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Default Extension="jpeg" ContentType="image/jpeg"/>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32"/>
        </w:rPr>
      </w:pPr>
      <w:r>
        <w:rPr/>
        <w:drawing>
          <wp:anchor distT="0" distB="0" distL="0" distR="0" allowOverlap="1" layoutInCell="1" locked="0" behindDoc="0" simplePos="0" relativeHeight="15728640">
            <wp:simplePos x="0" y="0"/>
            <wp:positionH relativeFrom="page">
              <wp:posOffset>380</wp:posOffset>
            </wp:positionH>
            <wp:positionV relativeFrom="page">
              <wp:posOffset>0</wp:posOffset>
            </wp:positionV>
            <wp:extent cx="7772019" cy="1917454"/>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772019" cy="1917454"/>
                    </a:xfrm>
                    <a:prstGeom prst="rect">
                      <a:avLst/>
                    </a:prstGeom>
                  </pic:spPr>
                </pic:pic>
              </a:graphicData>
            </a:graphic>
          </wp:anchor>
        </w:drawing>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259"/>
        <w:rPr>
          <w:rFonts w:ascii="Times New Roman"/>
          <w:sz w:val="32"/>
        </w:rPr>
      </w:pPr>
    </w:p>
    <w:p>
      <w:pPr>
        <w:spacing w:before="0"/>
        <w:ind w:left="2951" w:right="0" w:firstLine="0"/>
        <w:jc w:val="left"/>
        <w:rPr>
          <w:rFonts w:ascii="Arial"/>
          <w:sz w:val="32"/>
        </w:rPr>
      </w:pPr>
      <w:r>
        <w:rPr>
          <w:rFonts w:ascii="Arial"/>
          <w:color w:val="231F20"/>
          <w:w w:val="80"/>
          <w:sz w:val="32"/>
        </w:rPr>
        <w:t>IBM</w:t>
      </w:r>
      <w:r>
        <w:rPr>
          <w:rFonts w:ascii="Arial"/>
          <w:color w:val="231F20"/>
          <w:spacing w:val="-5"/>
          <w:w w:val="80"/>
          <w:sz w:val="32"/>
        </w:rPr>
        <w:t> </w:t>
      </w:r>
      <w:r>
        <w:rPr>
          <w:rFonts w:ascii="Arial"/>
          <w:color w:val="231F20"/>
          <w:w w:val="80"/>
          <w:sz w:val="32"/>
        </w:rPr>
        <w:t>Tivoli</w:t>
      </w:r>
      <w:r>
        <w:rPr>
          <w:rFonts w:ascii="Arial"/>
          <w:color w:val="231F20"/>
          <w:spacing w:val="-9"/>
          <w:sz w:val="32"/>
        </w:rPr>
        <w:t> </w:t>
      </w:r>
      <w:r>
        <w:rPr>
          <w:rFonts w:ascii="Arial"/>
          <w:color w:val="231F20"/>
          <w:spacing w:val="-2"/>
          <w:w w:val="80"/>
          <w:sz w:val="32"/>
        </w:rPr>
        <w:t>Monitoring</w:t>
      </w:r>
    </w:p>
    <w:p>
      <w:pPr>
        <w:spacing w:before="5"/>
        <w:ind w:left="2951" w:right="0" w:firstLine="0"/>
        <w:jc w:val="left"/>
        <w:rPr>
          <w:rFonts w:ascii="Arial"/>
          <w:sz w:val="28"/>
        </w:rPr>
      </w:pPr>
      <w:r>
        <w:rPr>
          <w:rFonts w:ascii="Arial"/>
          <w:color w:val="231F20"/>
          <w:spacing w:val="-2"/>
          <w:w w:val="80"/>
          <w:sz w:val="28"/>
        </w:rPr>
        <w:t>Version</w:t>
      </w:r>
      <w:r>
        <w:rPr>
          <w:rFonts w:ascii="Arial"/>
          <w:color w:val="231F20"/>
          <w:spacing w:val="-4"/>
          <w:w w:val="95"/>
          <w:sz w:val="28"/>
        </w:rPr>
        <w:t> </w:t>
      </w:r>
      <w:r>
        <w:rPr>
          <w:rFonts w:ascii="Arial"/>
          <w:color w:val="231F20"/>
          <w:spacing w:val="-5"/>
          <w:w w:val="95"/>
          <w:sz w:val="28"/>
        </w:rPr>
        <w:t>6.3</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202"/>
        <w:rPr>
          <w:rFonts w:ascii="Arial"/>
          <w:sz w:val="28"/>
        </w:rPr>
      </w:pPr>
    </w:p>
    <w:p>
      <w:pPr>
        <w:spacing w:before="0"/>
        <w:ind w:left="2951" w:right="0" w:firstLine="0"/>
        <w:jc w:val="left"/>
        <w:rPr>
          <w:rFonts w:ascii="Arial"/>
          <w:i/>
          <w:sz w:val="48"/>
        </w:rPr>
      </w:pPr>
      <w:r>
        <w:rPr>
          <w:rFonts w:ascii="Arial"/>
          <w:i/>
          <w:color w:val="231F20"/>
          <w:w w:val="80"/>
          <w:sz w:val="48"/>
        </w:rPr>
        <w:t>Tivoli</w:t>
      </w:r>
      <w:r>
        <w:rPr>
          <w:rFonts w:ascii="Arial"/>
          <w:i/>
          <w:color w:val="231F20"/>
          <w:spacing w:val="-4"/>
          <w:sz w:val="48"/>
        </w:rPr>
        <w:t> </w:t>
      </w:r>
      <w:r>
        <w:rPr>
          <w:rFonts w:ascii="Arial"/>
          <w:i/>
          <w:color w:val="231F20"/>
          <w:w w:val="80"/>
          <w:sz w:val="48"/>
        </w:rPr>
        <w:t>Enterprise</w:t>
      </w:r>
      <w:r>
        <w:rPr>
          <w:rFonts w:ascii="Arial"/>
          <w:i/>
          <w:color w:val="231F20"/>
          <w:spacing w:val="-3"/>
          <w:sz w:val="48"/>
        </w:rPr>
        <w:t> </w:t>
      </w:r>
      <w:r>
        <w:rPr>
          <w:rFonts w:ascii="Arial"/>
          <w:i/>
          <w:color w:val="231F20"/>
          <w:spacing w:val="-2"/>
          <w:w w:val="80"/>
          <w:sz w:val="48"/>
        </w:rPr>
        <w:t>Portal</w:t>
      </w:r>
    </w:p>
    <w:p>
      <w:pPr>
        <w:spacing w:before="79"/>
        <w:ind w:left="2951" w:right="0" w:firstLine="0"/>
        <w:jc w:val="left"/>
        <w:rPr>
          <w:rFonts w:ascii="Arial"/>
          <w:i/>
          <w:sz w:val="36"/>
        </w:rPr>
      </w:pPr>
      <w:r>
        <w:rPr>
          <w:rFonts w:ascii="Arial"/>
          <w:i/>
          <w:color w:val="231F20"/>
          <w:w w:val="80"/>
          <w:sz w:val="36"/>
        </w:rPr>
        <w:t>User's</w:t>
      </w:r>
      <w:r>
        <w:rPr>
          <w:rFonts w:ascii="Arial"/>
          <w:i/>
          <w:color w:val="231F20"/>
          <w:spacing w:val="6"/>
          <w:sz w:val="36"/>
        </w:rPr>
        <w:t> </w:t>
      </w:r>
      <w:r>
        <w:rPr>
          <w:rFonts w:ascii="Arial"/>
          <w:i/>
          <w:color w:val="231F20"/>
          <w:spacing w:val="-2"/>
          <w:w w:val="90"/>
          <w:sz w:val="36"/>
        </w:rPr>
        <w:t>Guide</w:t>
      </w:r>
    </w:p>
    <w:p>
      <w:pPr>
        <w:pStyle w:val="BodyText"/>
        <w:rPr>
          <w:rFonts w:ascii="Arial"/>
          <w:i/>
          <w:sz w:val="75"/>
        </w:rPr>
      </w:pPr>
    </w:p>
    <w:p>
      <w:pPr>
        <w:pStyle w:val="BodyText"/>
        <w:spacing w:before="349"/>
        <w:rPr>
          <w:rFonts w:ascii="Arial"/>
          <w:i/>
          <w:sz w:val="75"/>
        </w:rPr>
      </w:pPr>
    </w:p>
    <w:p>
      <w:pPr>
        <w:pStyle w:val="Title"/>
      </w:pPr>
      <w:r>
        <w:rPr>
          <w:color w:val="231F20"/>
          <w:spacing w:val="-5"/>
          <w:w w:val="140"/>
        </w:rPr>
        <w:t>IBM</w:t>
      </w:r>
    </w:p>
    <w:p>
      <w:pPr>
        <w:spacing w:after="0"/>
        <w:sectPr>
          <w:footerReference w:type="default" r:id="rId5"/>
          <w:type w:val="continuous"/>
          <w:pgSz w:w="12240" w:h="15840"/>
          <w:pgMar w:header="0" w:footer="4472" w:top="0" w:bottom="4660" w:left="1000" w:right="1060"/>
          <w:pgNumType w:start="1"/>
        </w:sectPr>
      </w:pPr>
    </w:p>
    <w:p>
      <w:pPr>
        <w:pStyle w:val="BodyText"/>
        <w:spacing w:before="4"/>
        <w:rPr>
          <w:rFonts w:ascii="Arial"/>
          <w:sz w:val="17"/>
        </w:rPr>
      </w:pPr>
    </w:p>
    <w:p>
      <w:pPr>
        <w:spacing w:after="0"/>
        <w:rPr>
          <w:rFonts w:ascii="Arial"/>
          <w:sz w:val="17"/>
        </w:rPr>
        <w:sectPr>
          <w:footerReference w:type="even" r:id="rId7"/>
          <w:pgSz w:w="12240" w:h="15840"/>
          <w:pgMar w:header="0" w:footer="0" w:top="1820" w:bottom="280" w:left="1000" w:right="1060"/>
        </w:sectPr>
      </w:pPr>
    </w:p>
    <w:p>
      <w:pPr>
        <w:pStyle w:val="BodyText"/>
        <w:rPr>
          <w:rFonts w:ascii="Arial"/>
          <w:sz w:val="32"/>
        </w:rPr>
      </w:pPr>
      <w:r>
        <w:rPr/>
        <w:drawing>
          <wp:anchor distT="0" distB="0" distL="0" distR="0" allowOverlap="1" layoutInCell="1" locked="0" behindDoc="0" simplePos="0" relativeHeight="15729152">
            <wp:simplePos x="0" y="0"/>
            <wp:positionH relativeFrom="page">
              <wp:posOffset>380</wp:posOffset>
            </wp:positionH>
            <wp:positionV relativeFrom="page">
              <wp:posOffset>0</wp:posOffset>
            </wp:positionV>
            <wp:extent cx="7772019" cy="1917454"/>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7772019" cy="1917454"/>
                    </a:xfrm>
                    <a:prstGeom prst="rect">
                      <a:avLst/>
                    </a:prstGeom>
                  </pic:spPr>
                </pic:pic>
              </a:graphicData>
            </a:graphic>
          </wp:anchor>
        </w:drawing>
      </w: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259"/>
        <w:rPr>
          <w:rFonts w:ascii="Arial"/>
          <w:sz w:val="32"/>
        </w:rPr>
      </w:pPr>
    </w:p>
    <w:p>
      <w:pPr>
        <w:spacing w:before="0"/>
        <w:ind w:left="2951" w:right="0" w:firstLine="0"/>
        <w:jc w:val="left"/>
        <w:rPr>
          <w:rFonts w:ascii="Arial"/>
          <w:sz w:val="32"/>
        </w:rPr>
      </w:pPr>
      <w:r>
        <w:rPr>
          <w:rFonts w:ascii="Arial"/>
          <w:color w:val="231F20"/>
          <w:w w:val="80"/>
          <w:sz w:val="32"/>
        </w:rPr>
        <w:t>IBM</w:t>
      </w:r>
      <w:r>
        <w:rPr>
          <w:rFonts w:ascii="Arial"/>
          <w:color w:val="231F20"/>
          <w:spacing w:val="-5"/>
          <w:w w:val="80"/>
          <w:sz w:val="32"/>
        </w:rPr>
        <w:t> </w:t>
      </w:r>
      <w:r>
        <w:rPr>
          <w:rFonts w:ascii="Arial"/>
          <w:color w:val="231F20"/>
          <w:w w:val="80"/>
          <w:sz w:val="32"/>
        </w:rPr>
        <w:t>Tivoli</w:t>
      </w:r>
      <w:r>
        <w:rPr>
          <w:rFonts w:ascii="Arial"/>
          <w:color w:val="231F20"/>
          <w:spacing w:val="-9"/>
          <w:sz w:val="32"/>
        </w:rPr>
        <w:t> </w:t>
      </w:r>
      <w:r>
        <w:rPr>
          <w:rFonts w:ascii="Arial"/>
          <w:color w:val="231F20"/>
          <w:spacing w:val="-2"/>
          <w:w w:val="80"/>
          <w:sz w:val="32"/>
        </w:rPr>
        <w:t>Monitoring</w:t>
      </w:r>
    </w:p>
    <w:p>
      <w:pPr>
        <w:spacing w:before="5"/>
        <w:ind w:left="2951" w:right="0" w:firstLine="0"/>
        <w:jc w:val="left"/>
        <w:rPr>
          <w:rFonts w:ascii="Arial"/>
          <w:sz w:val="28"/>
        </w:rPr>
      </w:pPr>
      <w:r>
        <w:rPr>
          <w:rFonts w:ascii="Arial"/>
          <w:color w:val="231F20"/>
          <w:spacing w:val="-2"/>
          <w:w w:val="80"/>
          <w:sz w:val="28"/>
        </w:rPr>
        <w:t>Version</w:t>
      </w:r>
      <w:r>
        <w:rPr>
          <w:rFonts w:ascii="Arial"/>
          <w:color w:val="231F20"/>
          <w:spacing w:val="-4"/>
          <w:w w:val="95"/>
          <w:sz w:val="28"/>
        </w:rPr>
        <w:t> </w:t>
      </w:r>
      <w:r>
        <w:rPr>
          <w:rFonts w:ascii="Arial"/>
          <w:color w:val="231F20"/>
          <w:spacing w:val="-5"/>
          <w:w w:val="95"/>
          <w:sz w:val="28"/>
        </w:rPr>
        <w:t>6.3</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202"/>
        <w:rPr>
          <w:rFonts w:ascii="Arial"/>
          <w:sz w:val="28"/>
        </w:rPr>
      </w:pPr>
    </w:p>
    <w:p>
      <w:pPr>
        <w:spacing w:before="0"/>
        <w:ind w:left="2951" w:right="0" w:firstLine="0"/>
        <w:jc w:val="left"/>
        <w:rPr>
          <w:rFonts w:ascii="Arial"/>
          <w:i/>
          <w:sz w:val="48"/>
        </w:rPr>
      </w:pPr>
      <w:r>
        <w:rPr>
          <w:rFonts w:ascii="Arial"/>
          <w:i/>
          <w:color w:val="231F20"/>
          <w:w w:val="80"/>
          <w:sz w:val="48"/>
        </w:rPr>
        <w:t>Tivoli</w:t>
      </w:r>
      <w:r>
        <w:rPr>
          <w:rFonts w:ascii="Arial"/>
          <w:i/>
          <w:color w:val="231F20"/>
          <w:spacing w:val="-4"/>
          <w:sz w:val="48"/>
        </w:rPr>
        <w:t> </w:t>
      </w:r>
      <w:r>
        <w:rPr>
          <w:rFonts w:ascii="Arial"/>
          <w:i/>
          <w:color w:val="231F20"/>
          <w:w w:val="80"/>
          <w:sz w:val="48"/>
        </w:rPr>
        <w:t>Enterprise</w:t>
      </w:r>
      <w:r>
        <w:rPr>
          <w:rFonts w:ascii="Arial"/>
          <w:i/>
          <w:color w:val="231F20"/>
          <w:spacing w:val="-3"/>
          <w:sz w:val="48"/>
        </w:rPr>
        <w:t> </w:t>
      </w:r>
      <w:r>
        <w:rPr>
          <w:rFonts w:ascii="Arial"/>
          <w:i/>
          <w:color w:val="231F20"/>
          <w:spacing w:val="-2"/>
          <w:w w:val="80"/>
          <w:sz w:val="48"/>
        </w:rPr>
        <w:t>Portal</w:t>
      </w:r>
    </w:p>
    <w:p>
      <w:pPr>
        <w:spacing w:before="79"/>
        <w:ind w:left="2951" w:right="0" w:firstLine="0"/>
        <w:jc w:val="left"/>
        <w:rPr>
          <w:rFonts w:ascii="Arial"/>
          <w:i/>
          <w:sz w:val="36"/>
        </w:rPr>
      </w:pPr>
      <w:r>
        <w:rPr>
          <w:rFonts w:ascii="Arial"/>
          <w:i/>
          <w:color w:val="231F20"/>
          <w:w w:val="80"/>
          <w:sz w:val="36"/>
        </w:rPr>
        <w:t>User's</w:t>
      </w:r>
      <w:r>
        <w:rPr>
          <w:rFonts w:ascii="Arial"/>
          <w:i/>
          <w:color w:val="231F20"/>
          <w:spacing w:val="6"/>
          <w:sz w:val="36"/>
        </w:rPr>
        <w:t> </w:t>
      </w:r>
      <w:r>
        <w:rPr>
          <w:rFonts w:ascii="Arial"/>
          <w:i/>
          <w:color w:val="231F20"/>
          <w:spacing w:val="-2"/>
          <w:w w:val="90"/>
          <w:sz w:val="36"/>
        </w:rPr>
        <w:t>Guide</w:t>
      </w:r>
    </w:p>
    <w:p>
      <w:pPr>
        <w:pStyle w:val="BodyText"/>
        <w:rPr>
          <w:rFonts w:ascii="Arial"/>
          <w:i/>
          <w:sz w:val="75"/>
        </w:rPr>
      </w:pPr>
    </w:p>
    <w:p>
      <w:pPr>
        <w:pStyle w:val="BodyText"/>
        <w:spacing w:before="349"/>
        <w:rPr>
          <w:rFonts w:ascii="Arial"/>
          <w:i/>
          <w:sz w:val="75"/>
        </w:rPr>
      </w:pPr>
    </w:p>
    <w:p>
      <w:pPr>
        <w:pStyle w:val="Title"/>
      </w:pPr>
      <w:r>
        <w:rPr>
          <w:color w:val="231F20"/>
          <w:spacing w:val="-5"/>
          <w:w w:val="140"/>
        </w:rPr>
        <w:t>IBM</w:t>
      </w:r>
    </w:p>
    <w:p>
      <w:pPr>
        <w:spacing w:after="0"/>
        <w:sectPr>
          <w:footerReference w:type="default" r:id="rId8"/>
          <w:pgSz w:w="12240" w:h="15840"/>
          <w:pgMar w:header="0" w:footer="4472" w:top="0" w:bottom="4660" w:left="1000" w:right="1060"/>
        </w:sectPr>
      </w:pPr>
    </w:p>
    <w:p>
      <w:pPr>
        <w:pStyle w:val="BodyText"/>
        <w:ind w:left="436"/>
        <w:rPr>
          <w:rFonts w:ascii="Arial"/>
        </w:rPr>
      </w:pPr>
      <w:r>
        <w:rPr>
          <w:rFonts w:ascii="Arial"/>
        </w:rPr>
        <mc:AlternateContent>
          <mc:Choice Requires="wps">
            <w:drawing>
              <wp:inline distT="0" distB="0" distL="0" distR="0">
                <wp:extent cx="6000750" cy="297815"/>
                <wp:effectExtent l="9525" t="0" r="0" b="6985"/>
                <wp:docPr id="7" name="Textbox 7"/>
                <wp:cNvGraphicFramePr>
                  <a:graphicFrameLocks/>
                </wp:cNvGraphicFramePr>
                <a:graphic>
                  <a:graphicData uri="http://schemas.microsoft.com/office/word/2010/wordprocessingShape">
                    <wps:wsp>
                      <wps:cNvPr id="7" name="Textbox 7"/>
                      <wps:cNvSpPr txBox="1"/>
                      <wps:spPr>
                        <a:xfrm>
                          <a:off x="0" y="0"/>
                          <a:ext cx="6000750" cy="297815"/>
                        </a:xfrm>
                        <a:prstGeom prst="rect">
                          <a:avLst/>
                        </a:prstGeom>
                        <a:ln w="6337">
                          <a:solidFill>
                            <a:srgbClr val="231F20"/>
                          </a:solidFill>
                          <a:prstDash val="solid"/>
                        </a:ln>
                      </wps:spPr>
                      <wps:txbx>
                        <w:txbxContent>
                          <w:p>
                            <w:pPr>
                              <w:spacing w:line="122" w:lineRule="exact" w:before="0"/>
                              <w:ind w:left="309" w:right="0" w:firstLine="0"/>
                              <w:jc w:val="left"/>
                              <w:rPr>
                                <w:rFonts w:ascii="Book Antiqua"/>
                                <w:b/>
                                <w:sz w:val="16"/>
                              </w:rPr>
                            </w:pPr>
                            <w:r>
                              <w:rPr>
                                <w:rFonts w:ascii="Book Antiqua"/>
                                <w:b/>
                                <w:color w:val="231F20"/>
                                <w:spacing w:val="-4"/>
                                <w:sz w:val="16"/>
                              </w:rPr>
                              <w:t>Note</w:t>
                            </w:r>
                          </w:p>
                          <w:p>
                            <w:pPr>
                              <w:spacing w:line="210" w:lineRule="exact" w:before="0"/>
                              <w:ind w:left="229" w:right="0" w:firstLine="0"/>
                              <w:jc w:val="left"/>
                              <w:rPr>
                                <w:sz w:val="16"/>
                              </w:rPr>
                            </w:pPr>
                            <w:r>
                              <w:rPr>
                                <w:color w:val="231F20"/>
                                <w:sz w:val="16"/>
                              </w:rPr>
                              <w:t>Before</w:t>
                            </w:r>
                            <w:r>
                              <w:rPr>
                                <w:color w:val="231F20"/>
                                <w:spacing w:val="8"/>
                                <w:sz w:val="16"/>
                              </w:rPr>
                              <w:t> </w:t>
                            </w:r>
                            <w:r>
                              <w:rPr>
                                <w:color w:val="231F20"/>
                                <w:sz w:val="16"/>
                              </w:rPr>
                              <w:t>using</w:t>
                            </w:r>
                            <w:r>
                              <w:rPr>
                                <w:color w:val="231F20"/>
                                <w:spacing w:val="8"/>
                                <w:sz w:val="16"/>
                              </w:rPr>
                              <w:t> </w:t>
                            </w:r>
                            <w:r>
                              <w:rPr>
                                <w:color w:val="231F20"/>
                                <w:sz w:val="16"/>
                              </w:rPr>
                              <w:t>this</w:t>
                            </w:r>
                            <w:r>
                              <w:rPr>
                                <w:color w:val="231F20"/>
                                <w:spacing w:val="9"/>
                                <w:sz w:val="16"/>
                              </w:rPr>
                              <w:t> </w:t>
                            </w:r>
                            <w:r>
                              <w:rPr>
                                <w:color w:val="231F20"/>
                                <w:sz w:val="16"/>
                              </w:rPr>
                              <w:t>information</w:t>
                            </w:r>
                            <w:r>
                              <w:rPr>
                                <w:color w:val="231F20"/>
                                <w:spacing w:val="8"/>
                                <w:sz w:val="16"/>
                              </w:rPr>
                              <w:t> </w:t>
                            </w:r>
                            <w:r>
                              <w:rPr>
                                <w:color w:val="231F20"/>
                                <w:sz w:val="16"/>
                              </w:rPr>
                              <w:t>and</w:t>
                            </w:r>
                            <w:r>
                              <w:rPr>
                                <w:color w:val="231F20"/>
                                <w:spacing w:val="8"/>
                                <w:sz w:val="16"/>
                              </w:rPr>
                              <w:t> </w:t>
                            </w:r>
                            <w:r>
                              <w:rPr>
                                <w:color w:val="231F20"/>
                                <w:sz w:val="16"/>
                              </w:rPr>
                              <w:t>the</w:t>
                            </w:r>
                            <w:r>
                              <w:rPr>
                                <w:color w:val="231F20"/>
                                <w:spacing w:val="9"/>
                                <w:sz w:val="16"/>
                              </w:rPr>
                              <w:t> </w:t>
                            </w:r>
                            <w:r>
                              <w:rPr>
                                <w:color w:val="231F20"/>
                                <w:sz w:val="16"/>
                              </w:rPr>
                              <w:t>product</w:t>
                            </w:r>
                            <w:r>
                              <w:rPr>
                                <w:color w:val="231F20"/>
                                <w:spacing w:val="8"/>
                                <w:sz w:val="16"/>
                              </w:rPr>
                              <w:t> </w:t>
                            </w:r>
                            <w:r>
                              <w:rPr>
                                <w:color w:val="231F20"/>
                                <w:sz w:val="16"/>
                              </w:rPr>
                              <w:t>it</w:t>
                            </w:r>
                            <w:r>
                              <w:rPr>
                                <w:color w:val="231F20"/>
                                <w:spacing w:val="8"/>
                                <w:sz w:val="16"/>
                              </w:rPr>
                              <w:t> </w:t>
                            </w:r>
                            <w:r>
                              <w:rPr>
                                <w:color w:val="231F20"/>
                                <w:sz w:val="16"/>
                              </w:rPr>
                              <w:t>supports,</w:t>
                            </w:r>
                            <w:r>
                              <w:rPr>
                                <w:color w:val="231F20"/>
                                <w:spacing w:val="9"/>
                                <w:sz w:val="16"/>
                              </w:rPr>
                              <w:t> </w:t>
                            </w:r>
                            <w:r>
                              <w:rPr>
                                <w:color w:val="231F20"/>
                                <w:sz w:val="16"/>
                              </w:rPr>
                              <w:t>read</w:t>
                            </w:r>
                            <w:r>
                              <w:rPr>
                                <w:color w:val="231F20"/>
                                <w:spacing w:val="8"/>
                                <w:sz w:val="16"/>
                              </w:rPr>
                              <w:t> </w:t>
                            </w:r>
                            <w:r>
                              <w:rPr>
                                <w:color w:val="231F20"/>
                                <w:sz w:val="16"/>
                              </w:rPr>
                              <w:t>the</w:t>
                            </w:r>
                            <w:r>
                              <w:rPr>
                                <w:color w:val="231F20"/>
                                <w:spacing w:val="9"/>
                                <w:sz w:val="16"/>
                              </w:rPr>
                              <w:t> </w:t>
                            </w:r>
                            <w:r>
                              <w:rPr>
                                <w:color w:val="231F20"/>
                                <w:sz w:val="16"/>
                              </w:rPr>
                              <w:t>information</w:t>
                            </w:r>
                            <w:r>
                              <w:rPr>
                                <w:color w:val="231F20"/>
                                <w:spacing w:val="8"/>
                                <w:sz w:val="16"/>
                              </w:rPr>
                              <w:t> </w:t>
                            </w:r>
                            <w:r>
                              <w:rPr>
                                <w:color w:val="231F20"/>
                                <w:sz w:val="16"/>
                              </w:rPr>
                              <w:t>in</w:t>
                            </w:r>
                            <w:r>
                              <w:rPr>
                                <w:color w:val="231F20"/>
                                <w:spacing w:val="8"/>
                                <w:sz w:val="16"/>
                              </w:rPr>
                              <w:t> </w:t>
                            </w:r>
                            <w:hyperlink w:history="true" w:anchor="_bookmark357">
                              <w:r>
                                <w:rPr>
                                  <w:color w:val="231F20"/>
                                  <w:sz w:val="16"/>
                                </w:rPr>
                                <w:t>“Notices”</w:t>
                              </w:r>
                              <w:r>
                                <w:rPr>
                                  <w:color w:val="231F20"/>
                                  <w:spacing w:val="9"/>
                                  <w:sz w:val="16"/>
                                </w:rPr>
                                <w:t> </w:t>
                              </w:r>
                              <w:r>
                                <w:rPr>
                                  <w:color w:val="231F20"/>
                                  <w:sz w:val="16"/>
                                </w:rPr>
                                <w:t>on</w:t>
                              </w:r>
                              <w:r>
                                <w:rPr>
                                  <w:color w:val="231F20"/>
                                  <w:spacing w:val="8"/>
                                  <w:sz w:val="16"/>
                                </w:rPr>
                                <w:t> </w:t>
                              </w:r>
                              <w:r>
                                <w:rPr>
                                  <w:color w:val="231F20"/>
                                  <w:sz w:val="16"/>
                                </w:rPr>
                                <w:t>page</w:t>
                              </w:r>
                              <w:r>
                                <w:rPr>
                                  <w:color w:val="231F20"/>
                                  <w:spacing w:val="8"/>
                                  <w:sz w:val="16"/>
                                </w:rPr>
                                <w:t> </w:t>
                              </w:r>
                              <w:r>
                                <w:rPr>
                                  <w:color w:val="231F20"/>
                                  <w:spacing w:val="-4"/>
                                  <w:sz w:val="16"/>
                                </w:rPr>
                                <w:t>463.</w:t>
                              </w:r>
                            </w:hyperlink>
                          </w:p>
                        </w:txbxContent>
                      </wps:txbx>
                      <wps:bodyPr wrap="square" lIns="0" tIns="0" rIns="0" bIns="0" rtlCol="0">
                        <a:noAutofit/>
                      </wps:bodyPr>
                    </wps:wsp>
                  </a:graphicData>
                </a:graphic>
              </wp:inline>
            </w:drawing>
          </mc:Choice>
          <mc:Fallback>
            <w:pict>
              <v:shape style="width:472.5pt;height:23.45pt;mso-position-horizontal-relative:char;mso-position-vertical-relative:line" type="#_x0000_t202" id="docshape3" filled="false" stroked="true" strokeweight=".499pt" strokecolor="#231f20">
                <w10:anchorlock/>
                <v:textbox inset="0,0,0,0">
                  <w:txbxContent>
                    <w:p>
                      <w:pPr>
                        <w:spacing w:line="122" w:lineRule="exact" w:before="0"/>
                        <w:ind w:left="309" w:right="0" w:firstLine="0"/>
                        <w:jc w:val="left"/>
                        <w:rPr>
                          <w:rFonts w:ascii="Book Antiqua"/>
                          <w:b/>
                          <w:sz w:val="16"/>
                        </w:rPr>
                      </w:pPr>
                      <w:r>
                        <w:rPr>
                          <w:rFonts w:ascii="Book Antiqua"/>
                          <w:b/>
                          <w:color w:val="231F20"/>
                          <w:spacing w:val="-4"/>
                          <w:sz w:val="16"/>
                        </w:rPr>
                        <w:t>Note</w:t>
                      </w:r>
                    </w:p>
                    <w:p>
                      <w:pPr>
                        <w:spacing w:line="210" w:lineRule="exact" w:before="0"/>
                        <w:ind w:left="229" w:right="0" w:firstLine="0"/>
                        <w:jc w:val="left"/>
                        <w:rPr>
                          <w:sz w:val="16"/>
                        </w:rPr>
                      </w:pPr>
                      <w:r>
                        <w:rPr>
                          <w:color w:val="231F20"/>
                          <w:sz w:val="16"/>
                        </w:rPr>
                        <w:t>Before</w:t>
                      </w:r>
                      <w:r>
                        <w:rPr>
                          <w:color w:val="231F20"/>
                          <w:spacing w:val="8"/>
                          <w:sz w:val="16"/>
                        </w:rPr>
                        <w:t> </w:t>
                      </w:r>
                      <w:r>
                        <w:rPr>
                          <w:color w:val="231F20"/>
                          <w:sz w:val="16"/>
                        </w:rPr>
                        <w:t>using</w:t>
                      </w:r>
                      <w:r>
                        <w:rPr>
                          <w:color w:val="231F20"/>
                          <w:spacing w:val="8"/>
                          <w:sz w:val="16"/>
                        </w:rPr>
                        <w:t> </w:t>
                      </w:r>
                      <w:r>
                        <w:rPr>
                          <w:color w:val="231F20"/>
                          <w:sz w:val="16"/>
                        </w:rPr>
                        <w:t>this</w:t>
                      </w:r>
                      <w:r>
                        <w:rPr>
                          <w:color w:val="231F20"/>
                          <w:spacing w:val="9"/>
                          <w:sz w:val="16"/>
                        </w:rPr>
                        <w:t> </w:t>
                      </w:r>
                      <w:r>
                        <w:rPr>
                          <w:color w:val="231F20"/>
                          <w:sz w:val="16"/>
                        </w:rPr>
                        <w:t>information</w:t>
                      </w:r>
                      <w:r>
                        <w:rPr>
                          <w:color w:val="231F20"/>
                          <w:spacing w:val="8"/>
                          <w:sz w:val="16"/>
                        </w:rPr>
                        <w:t> </w:t>
                      </w:r>
                      <w:r>
                        <w:rPr>
                          <w:color w:val="231F20"/>
                          <w:sz w:val="16"/>
                        </w:rPr>
                        <w:t>and</w:t>
                      </w:r>
                      <w:r>
                        <w:rPr>
                          <w:color w:val="231F20"/>
                          <w:spacing w:val="8"/>
                          <w:sz w:val="16"/>
                        </w:rPr>
                        <w:t> </w:t>
                      </w:r>
                      <w:r>
                        <w:rPr>
                          <w:color w:val="231F20"/>
                          <w:sz w:val="16"/>
                        </w:rPr>
                        <w:t>the</w:t>
                      </w:r>
                      <w:r>
                        <w:rPr>
                          <w:color w:val="231F20"/>
                          <w:spacing w:val="9"/>
                          <w:sz w:val="16"/>
                        </w:rPr>
                        <w:t> </w:t>
                      </w:r>
                      <w:r>
                        <w:rPr>
                          <w:color w:val="231F20"/>
                          <w:sz w:val="16"/>
                        </w:rPr>
                        <w:t>product</w:t>
                      </w:r>
                      <w:r>
                        <w:rPr>
                          <w:color w:val="231F20"/>
                          <w:spacing w:val="8"/>
                          <w:sz w:val="16"/>
                        </w:rPr>
                        <w:t> </w:t>
                      </w:r>
                      <w:r>
                        <w:rPr>
                          <w:color w:val="231F20"/>
                          <w:sz w:val="16"/>
                        </w:rPr>
                        <w:t>it</w:t>
                      </w:r>
                      <w:r>
                        <w:rPr>
                          <w:color w:val="231F20"/>
                          <w:spacing w:val="8"/>
                          <w:sz w:val="16"/>
                        </w:rPr>
                        <w:t> </w:t>
                      </w:r>
                      <w:r>
                        <w:rPr>
                          <w:color w:val="231F20"/>
                          <w:sz w:val="16"/>
                        </w:rPr>
                        <w:t>supports,</w:t>
                      </w:r>
                      <w:r>
                        <w:rPr>
                          <w:color w:val="231F20"/>
                          <w:spacing w:val="9"/>
                          <w:sz w:val="16"/>
                        </w:rPr>
                        <w:t> </w:t>
                      </w:r>
                      <w:r>
                        <w:rPr>
                          <w:color w:val="231F20"/>
                          <w:sz w:val="16"/>
                        </w:rPr>
                        <w:t>read</w:t>
                      </w:r>
                      <w:r>
                        <w:rPr>
                          <w:color w:val="231F20"/>
                          <w:spacing w:val="8"/>
                          <w:sz w:val="16"/>
                        </w:rPr>
                        <w:t> </w:t>
                      </w:r>
                      <w:r>
                        <w:rPr>
                          <w:color w:val="231F20"/>
                          <w:sz w:val="16"/>
                        </w:rPr>
                        <w:t>the</w:t>
                      </w:r>
                      <w:r>
                        <w:rPr>
                          <w:color w:val="231F20"/>
                          <w:spacing w:val="9"/>
                          <w:sz w:val="16"/>
                        </w:rPr>
                        <w:t> </w:t>
                      </w:r>
                      <w:r>
                        <w:rPr>
                          <w:color w:val="231F20"/>
                          <w:sz w:val="16"/>
                        </w:rPr>
                        <w:t>information</w:t>
                      </w:r>
                      <w:r>
                        <w:rPr>
                          <w:color w:val="231F20"/>
                          <w:spacing w:val="8"/>
                          <w:sz w:val="16"/>
                        </w:rPr>
                        <w:t> </w:t>
                      </w:r>
                      <w:r>
                        <w:rPr>
                          <w:color w:val="231F20"/>
                          <w:sz w:val="16"/>
                        </w:rPr>
                        <w:t>in</w:t>
                      </w:r>
                      <w:r>
                        <w:rPr>
                          <w:color w:val="231F20"/>
                          <w:spacing w:val="8"/>
                          <w:sz w:val="16"/>
                        </w:rPr>
                        <w:t> </w:t>
                      </w:r>
                      <w:hyperlink w:history="true" w:anchor="_bookmark357">
                        <w:r>
                          <w:rPr>
                            <w:color w:val="231F20"/>
                            <w:sz w:val="16"/>
                          </w:rPr>
                          <w:t>“Notices”</w:t>
                        </w:r>
                        <w:r>
                          <w:rPr>
                            <w:color w:val="231F20"/>
                            <w:spacing w:val="9"/>
                            <w:sz w:val="16"/>
                          </w:rPr>
                          <w:t> </w:t>
                        </w:r>
                        <w:r>
                          <w:rPr>
                            <w:color w:val="231F20"/>
                            <w:sz w:val="16"/>
                          </w:rPr>
                          <w:t>on</w:t>
                        </w:r>
                        <w:r>
                          <w:rPr>
                            <w:color w:val="231F20"/>
                            <w:spacing w:val="8"/>
                            <w:sz w:val="16"/>
                          </w:rPr>
                          <w:t> </w:t>
                        </w:r>
                        <w:r>
                          <w:rPr>
                            <w:color w:val="231F20"/>
                            <w:sz w:val="16"/>
                          </w:rPr>
                          <w:t>page</w:t>
                        </w:r>
                        <w:r>
                          <w:rPr>
                            <w:color w:val="231F20"/>
                            <w:spacing w:val="8"/>
                            <w:sz w:val="16"/>
                          </w:rPr>
                          <w:t> </w:t>
                        </w:r>
                        <w:r>
                          <w:rPr>
                            <w:color w:val="231F20"/>
                            <w:spacing w:val="-4"/>
                            <w:sz w:val="16"/>
                          </w:rPr>
                          <w:t>463.</w:t>
                        </w:r>
                      </w:hyperlink>
                    </w:p>
                  </w:txbxContent>
                </v:textbox>
                <v:stroke dashstyle="solid"/>
              </v:shape>
            </w:pict>
          </mc:Fallback>
        </mc:AlternateContent>
      </w:r>
      <w:r>
        <w:rPr>
          <w:rFonts w:ascii="Arial"/>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37"/>
        <w:rPr>
          <w:rFonts w:ascii="Arial"/>
          <w:sz w:val="18"/>
        </w:rPr>
      </w:pPr>
    </w:p>
    <w:p>
      <w:pPr>
        <w:spacing w:line="196" w:lineRule="auto" w:before="0"/>
        <w:ind w:left="436" w:right="545" w:firstLine="0"/>
        <w:jc w:val="left"/>
        <w:rPr>
          <w:sz w:val="18"/>
        </w:rPr>
      </w:pPr>
      <w:r>
        <w:rPr>
          <w:color w:val="231F20"/>
          <w:sz w:val="18"/>
        </w:rPr>
        <w:t>This edition applies to version 6, release 3 of IBM Tivoli Monitoring (product number 5724-C04) and to all subsequent releases and modifications until otherwise indicated in new editions.</w:t>
      </w:r>
    </w:p>
    <w:p>
      <w:pPr>
        <w:spacing w:line="198" w:lineRule="exact" w:before="107"/>
        <w:ind w:left="436" w:right="0" w:firstLine="0"/>
        <w:jc w:val="left"/>
        <w:rPr>
          <w:rFonts w:ascii="Book Antiqua" w:hAnsi="Book Antiqua"/>
          <w:b/>
          <w:sz w:val="18"/>
        </w:rPr>
      </w:pPr>
      <w:r>
        <w:rPr>
          <w:rFonts w:ascii="Book Antiqua" w:hAnsi="Book Antiqua"/>
          <w:b/>
          <w:color w:val="231F20"/>
          <w:sz w:val="18"/>
        </w:rPr>
        <w:t>©</w:t>
      </w:r>
      <w:r>
        <w:rPr>
          <w:rFonts w:ascii="Book Antiqua" w:hAnsi="Book Antiqua"/>
          <w:b/>
          <w:color w:val="231F20"/>
          <w:spacing w:val="8"/>
          <w:sz w:val="18"/>
        </w:rPr>
        <w:t> </w:t>
      </w:r>
      <w:r>
        <w:rPr>
          <w:rFonts w:ascii="Book Antiqua" w:hAnsi="Book Antiqua"/>
          <w:b/>
          <w:color w:val="231F20"/>
          <w:sz w:val="18"/>
        </w:rPr>
        <w:t>Copyright</w:t>
      </w:r>
      <w:r>
        <w:rPr>
          <w:rFonts w:ascii="Book Antiqua" w:hAnsi="Book Antiqua"/>
          <w:b/>
          <w:color w:val="231F20"/>
          <w:spacing w:val="9"/>
          <w:sz w:val="18"/>
        </w:rPr>
        <w:t> </w:t>
      </w:r>
      <w:r>
        <w:rPr>
          <w:rFonts w:ascii="Book Antiqua" w:hAnsi="Book Antiqua"/>
          <w:b/>
          <w:color w:val="231F20"/>
          <w:sz w:val="18"/>
        </w:rPr>
        <w:t>IBM</w:t>
      </w:r>
      <w:r>
        <w:rPr>
          <w:rFonts w:ascii="Book Antiqua" w:hAnsi="Book Antiqua"/>
          <w:b/>
          <w:color w:val="231F20"/>
          <w:spacing w:val="8"/>
          <w:sz w:val="18"/>
        </w:rPr>
        <w:t> </w:t>
      </w:r>
      <w:r>
        <w:rPr>
          <w:rFonts w:ascii="Book Antiqua" w:hAnsi="Book Antiqua"/>
          <w:b/>
          <w:color w:val="231F20"/>
          <w:sz w:val="18"/>
        </w:rPr>
        <w:t>Corporation</w:t>
      </w:r>
      <w:r>
        <w:rPr>
          <w:rFonts w:ascii="Book Antiqua" w:hAnsi="Book Antiqua"/>
          <w:b/>
          <w:color w:val="231F20"/>
          <w:spacing w:val="9"/>
          <w:sz w:val="18"/>
        </w:rPr>
        <w:t> </w:t>
      </w:r>
      <w:r>
        <w:rPr>
          <w:rFonts w:ascii="Book Antiqua" w:hAnsi="Book Antiqua"/>
          <w:b/>
          <w:color w:val="231F20"/>
          <w:sz w:val="18"/>
        </w:rPr>
        <w:t>2005,</w:t>
      </w:r>
      <w:r>
        <w:rPr>
          <w:rFonts w:ascii="Book Antiqua" w:hAnsi="Book Antiqua"/>
          <w:b/>
          <w:color w:val="231F20"/>
          <w:spacing w:val="8"/>
          <w:sz w:val="18"/>
        </w:rPr>
        <w:t> </w:t>
      </w:r>
      <w:r>
        <w:rPr>
          <w:rFonts w:ascii="Book Antiqua" w:hAnsi="Book Antiqua"/>
          <w:b/>
          <w:color w:val="231F20"/>
          <w:spacing w:val="-2"/>
          <w:sz w:val="18"/>
        </w:rPr>
        <w:t>2013.</w:t>
      </w:r>
    </w:p>
    <w:p>
      <w:pPr>
        <w:spacing w:line="196" w:lineRule="auto" w:before="15"/>
        <w:ind w:left="436" w:right="493" w:firstLine="0"/>
        <w:jc w:val="left"/>
        <w:rPr>
          <w:sz w:val="18"/>
        </w:rPr>
      </w:pPr>
      <w:r>
        <w:rPr>
          <w:color w:val="231F20"/>
          <w:sz w:val="18"/>
        </w:rPr>
        <w:t>US Government Users Restricted Rights – Use, duplication or disclosure restricted by GSA</w:t>
      </w:r>
      <w:r>
        <w:rPr>
          <w:color w:val="231F20"/>
          <w:spacing w:val="-5"/>
          <w:sz w:val="18"/>
        </w:rPr>
        <w:t> </w:t>
      </w:r>
      <w:r>
        <w:rPr>
          <w:color w:val="231F20"/>
          <w:sz w:val="18"/>
        </w:rPr>
        <w:t>ADP Schedule Contract with IBM Corp.</w:t>
      </w:r>
    </w:p>
    <w:p>
      <w:pPr>
        <w:spacing w:after="0" w:line="196" w:lineRule="auto"/>
        <w:jc w:val="left"/>
        <w:rPr>
          <w:sz w:val="18"/>
        </w:rPr>
        <w:sectPr>
          <w:footerReference w:type="even" r:id="rId10"/>
          <w:pgSz w:w="12240" w:h="15840"/>
          <w:pgMar w:header="0" w:footer="0" w:top="1780" w:bottom="280" w:left="1000" w:right="1060"/>
        </w:sectPr>
      </w:pPr>
    </w:p>
    <w:p>
      <w:pPr>
        <w:pStyle w:val="BodyText"/>
        <w:spacing w:line="20" w:lineRule="exact"/>
        <w:ind w:left="436"/>
        <w:rPr>
          <w:sz w:val="2"/>
        </w:rPr>
      </w:pPr>
      <w:r>
        <w:rPr>
          <w:sz w:val="2"/>
        </w:rPr>
        <mc:AlternateContent>
          <mc:Choice Requires="wps">
            <w:drawing>
              <wp:inline distT="0" distB="0" distL="0" distR="0">
                <wp:extent cx="6082665" cy="25400"/>
                <wp:effectExtent l="19050" t="0" r="3810" b="3175"/>
                <wp:docPr id="8" name="Group 8"/>
                <wp:cNvGraphicFramePr>
                  <a:graphicFrameLocks/>
                </wp:cNvGraphicFramePr>
                <a:graphic>
                  <a:graphicData uri="http://schemas.microsoft.com/office/word/2010/wordprocessingGroup">
                    <wpg:wgp>
                      <wpg:cNvPr id="8" name="Group 8"/>
                      <wpg:cNvGrpSpPr/>
                      <wpg:grpSpPr>
                        <a:xfrm>
                          <a:off x="0" y="0"/>
                          <a:ext cx="6082665" cy="25400"/>
                          <a:chExt cx="6082665" cy="25400"/>
                        </a:xfrm>
                      </wpg:grpSpPr>
                      <wps:wsp>
                        <wps:cNvPr id="9" name="Graphic 9"/>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4" coordorigin="0,0" coordsize="9579,40">
                <v:line style="position:absolute" from="0,20" to="9579,20" stroked="true" strokeweight="1.996pt" strokecolor="#231f20">
                  <v:stroke dashstyle="solid"/>
                </v:line>
              </v:group>
            </w:pict>
          </mc:Fallback>
        </mc:AlternateContent>
      </w:r>
      <w:r>
        <w:rPr>
          <w:sz w:val="2"/>
        </w:rPr>
      </w:r>
    </w:p>
    <w:p>
      <w:pPr>
        <w:pStyle w:val="BodyText"/>
        <w:spacing w:before="133"/>
      </w:pPr>
    </w:p>
    <w:p>
      <w:pPr>
        <w:spacing w:after="0"/>
        <w:sectPr>
          <w:footerReference w:type="default" r:id="rId11"/>
          <w:pgSz w:w="12240" w:h="15840"/>
          <w:pgMar w:header="0" w:footer="0" w:top="1300" w:bottom="280" w:left="1000" w:right="1060"/>
        </w:sectPr>
      </w:pPr>
    </w:p>
    <w:p>
      <w:pPr>
        <w:pStyle w:val="Heading2"/>
        <w:spacing w:before="107"/>
      </w:pPr>
      <w:bookmarkStart w:name="Contents" w:id="1"/>
      <w:bookmarkEnd w:id="1"/>
      <w:r>
        <w:rPr>
          <w:b w:val="0"/>
        </w:rPr>
      </w:r>
      <w:r>
        <w:rPr>
          <w:color w:val="231F20"/>
          <w:spacing w:val="-2"/>
        </w:rPr>
        <w:t>Contents</w:t>
      </w:r>
    </w:p>
    <w:p>
      <w:pPr>
        <w:pStyle w:val="Heading5"/>
        <w:tabs>
          <w:tab w:pos="4986" w:val="right" w:leader="dot"/>
        </w:tabs>
        <w:spacing w:before="230"/>
        <w:ind w:left="436"/>
      </w:pPr>
      <w:hyperlink w:history="true" w:anchor="_bookmark0">
        <w:r>
          <w:rPr>
            <w:color w:val="231F20"/>
          </w:rPr>
          <w:t>About</w:t>
        </w:r>
        <w:r>
          <w:rPr>
            <w:color w:val="231F20"/>
            <w:spacing w:val="5"/>
          </w:rPr>
          <w:t> </w:t>
        </w:r>
        <w:r>
          <w:rPr>
            <w:color w:val="231F20"/>
          </w:rPr>
          <w:t>this</w:t>
        </w:r>
        <w:r>
          <w:rPr>
            <w:color w:val="231F20"/>
            <w:spacing w:val="6"/>
          </w:rPr>
          <w:t> </w:t>
        </w:r>
        <w:r>
          <w:rPr>
            <w:color w:val="231F20"/>
            <w:spacing w:val="-2"/>
          </w:rPr>
          <w:t>information</w:t>
        </w:r>
      </w:hyperlink>
      <w:r>
        <w:rPr>
          <w:rFonts w:ascii="Times New Roman"/>
          <w:b w:val="0"/>
          <w:color w:val="231F20"/>
        </w:rPr>
        <w:tab/>
      </w:r>
      <w:hyperlink w:history="true" w:anchor="_bookmark0">
        <w:r>
          <w:rPr>
            <w:color w:val="231F20"/>
            <w:spacing w:val="-5"/>
          </w:rPr>
          <w:t>vii</w:t>
        </w:r>
      </w:hyperlink>
    </w:p>
    <w:p>
      <w:pPr>
        <w:pStyle w:val="Heading5"/>
        <w:tabs>
          <w:tab w:pos="4986" w:val="right" w:leader="dot"/>
        </w:tabs>
        <w:spacing w:line="252" w:lineRule="exact" w:before="246"/>
        <w:ind w:left="436"/>
      </w:pPr>
      <w:hyperlink w:history="true" w:anchor="_bookmark1">
        <w:r>
          <w:rPr>
            <w:color w:val="231F20"/>
          </w:rPr>
          <w:t>Chapter</w:t>
        </w:r>
        <w:r>
          <w:rPr>
            <w:color w:val="231F20"/>
            <w:spacing w:val="-7"/>
          </w:rPr>
          <w:t> </w:t>
        </w:r>
        <w:r>
          <w:rPr>
            <w:color w:val="231F20"/>
          </w:rPr>
          <w:t>1.</w:t>
        </w:r>
        <w:r>
          <w:rPr>
            <w:color w:val="231F20"/>
            <w:spacing w:val="5"/>
          </w:rPr>
          <w:t> </w:t>
        </w:r>
        <w:r>
          <w:rPr>
            <w:color w:val="231F20"/>
          </w:rPr>
          <w:t>Getting</w:t>
        </w:r>
        <w:r>
          <w:rPr>
            <w:color w:val="231F20"/>
            <w:spacing w:val="5"/>
          </w:rPr>
          <w:t> </w:t>
        </w:r>
        <w:r>
          <w:rPr>
            <w:color w:val="231F20"/>
            <w:spacing w:val="-2"/>
          </w:rPr>
          <w:t>started</w:t>
        </w:r>
      </w:hyperlink>
      <w:r>
        <w:rPr>
          <w:rFonts w:ascii="Times New Roman"/>
          <w:b w:val="0"/>
          <w:color w:val="231F20"/>
        </w:rPr>
        <w:tab/>
      </w:r>
      <w:hyperlink w:history="true" w:anchor="_bookmark1">
        <w:r>
          <w:rPr>
            <w:color w:val="231F20"/>
            <w:spacing w:val="-10"/>
          </w:rPr>
          <w:t>1</w:t>
        </w:r>
      </w:hyperlink>
    </w:p>
    <w:p>
      <w:pPr>
        <w:tabs>
          <w:tab w:pos="4986" w:val="right" w:leader="dot"/>
        </w:tabs>
        <w:spacing w:line="231" w:lineRule="exact" w:before="0"/>
        <w:ind w:left="436" w:right="0" w:firstLine="0"/>
        <w:jc w:val="left"/>
        <w:rPr>
          <w:sz w:val="18"/>
        </w:rPr>
      </w:pPr>
      <w:hyperlink w:history="true" w:anchor="_bookmark1">
        <w:r>
          <w:rPr>
            <w:color w:val="231F20"/>
            <w:sz w:val="18"/>
          </w:rPr>
          <w:t>New</w:t>
        </w:r>
        <w:r>
          <w:rPr>
            <w:color w:val="231F20"/>
            <w:spacing w:val="11"/>
            <w:sz w:val="18"/>
          </w:rPr>
          <w:t> </w:t>
        </w:r>
        <w:r>
          <w:rPr>
            <w:color w:val="231F20"/>
            <w:sz w:val="18"/>
          </w:rPr>
          <w:t>in</w:t>
        </w:r>
        <w:r>
          <w:rPr>
            <w:color w:val="231F20"/>
            <w:spacing w:val="11"/>
            <w:sz w:val="18"/>
          </w:rPr>
          <w:t> </w:t>
        </w:r>
        <w:r>
          <w:rPr>
            <w:color w:val="231F20"/>
            <w:sz w:val="18"/>
          </w:rPr>
          <w:t>this</w:t>
        </w:r>
        <w:r>
          <w:rPr>
            <w:color w:val="231F20"/>
            <w:spacing w:val="11"/>
            <w:sz w:val="18"/>
          </w:rPr>
          <w:t> </w:t>
        </w:r>
        <w:r>
          <w:rPr>
            <w:color w:val="231F20"/>
            <w:spacing w:val="-2"/>
            <w:sz w:val="18"/>
          </w:rPr>
          <w:t>release</w:t>
        </w:r>
      </w:hyperlink>
      <w:r>
        <w:rPr>
          <w:rFonts w:ascii="Times New Roman"/>
          <w:color w:val="231F20"/>
          <w:sz w:val="18"/>
        </w:rPr>
        <w:tab/>
      </w:r>
      <w:hyperlink w:history="true" w:anchor="_bookmark1">
        <w:r>
          <w:rPr>
            <w:color w:val="231F20"/>
            <w:spacing w:val="-10"/>
            <w:sz w:val="18"/>
          </w:rPr>
          <w:t>1</w:t>
        </w:r>
      </w:hyperlink>
    </w:p>
    <w:p>
      <w:pPr>
        <w:tabs>
          <w:tab w:pos="4986" w:val="right" w:leader="dot"/>
        </w:tabs>
        <w:spacing w:line="220" w:lineRule="exact" w:before="0"/>
        <w:ind w:left="676" w:right="0" w:firstLine="0"/>
        <w:jc w:val="left"/>
        <w:rPr>
          <w:sz w:val="18"/>
        </w:rPr>
      </w:pPr>
      <w:hyperlink w:history="true" w:anchor="_bookmark1">
        <w:r>
          <w:rPr>
            <w:color w:val="231F20"/>
            <w:sz w:val="18"/>
          </w:rPr>
          <w:t>New</w:t>
        </w:r>
        <w:r>
          <w:rPr>
            <w:color w:val="231F20"/>
            <w:spacing w:val="3"/>
            <w:sz w:val="18"/>
          </w:rPr>
          <w:t> </w:t>
        </w:r>
        <w:r>
          <w:rPr>
            <w:color w:val="231F20"/>
            <w:sz w:val="18"/>
          </w:rPr>
          <w:t>in</w:t>
        </w:r>
        <w:r>
          <w:rPr>
            <w:color w:val="231F20"/>
            <w:spacing w:val="3"/>
            <w:sz w:val="18"/>
          </w:rPr>
          <w:t> </w:t>
        </w:r>
        <w:r>
          <w:rPr>
            <w:color w:val="231F20"/>
            <w:sz w:val="18"/>
          </w:rPr>
          <w:t>Version</w:t>
        </w:r>
        <w:r>
          <w:rPr>
            <w:color w:val="231F20"/>
            <w:spacing w:val="4"/>
            <w:sz w:val="18"/>
          </w:rPr>
          <w:t> </w:t>
        </w:r>
        <w:r>
          <w:rPr>
            <w:color w:val="231F20"/>
            <w:spacing w:val="-5"/>
            <w:sz w:val="18"/>
          </w:rPr>
          <w:t>6.3</w:t>
        </w:r>
      </w:hyperlink>
      <w:r>
        <w:rPr>
          <w:rFonts w:ascii="Times New Roman"/>
          <w:color w:val="231F20"/>
          <w:sz w:val="18"/>
        </w:rPr>
        <w:tab/>
      </w:r>
      <w:hyperlink w:history="true" w:anchor="_bookmark1">
        <w:r>
          <w:rPr>
            <w:color w:val="231F20"/>
            <w:spacing w:val="-10"/>
            <w:sz w:val="18"/>
          </w:rPr>
          <w:t>1</w:t>
        </w:r>
      </w:hyperlink>
    </w:p>
    <w:p>
      <w:pPr>
        <w:tabs>
          <w:tab w:pos="4986" w:val="right" w:leader="dot"/>
        </w:tabs>
        <w:spacing w:line="220" w:lineRule="exact" w:before="0"/>
        <w:ind w:left="436" w:right="0" w:firstLine="0"/>
        <w:jc w:val="left"/>
        <w:rPr>
          <w:sz w:val="18"/>
        </w:rPr>
      </w:pPr>
      <w:hyperlink w:history="true" w:anchor="_bookmark2">
        <w:r>
          <w:rPr>
            <w:color w:val="231F20"/>
            <w:sz w:val="18"/>
          </w:rPr>
          <w:t>Tivoli</w:t>
        </w:r>
        <w:r>
          <w:rPr>
            <w:color w:val="231F20"/>
            <w:spacing w:val="3"/>
            <w:sz w:val="18"/>
          </w:rPr>
          <w:t> </w:t>
        </w:r>
        <w:r>
          <w:rPr>
            <w:color w:val="231F20"/>
            <w:sz w:val="18"/>
          </w:rPr>
          <w:t>Management</w:t>
        </w:r>
        <w:r>
          <w:rPr>
            <w:color w:val="231F20"/>
            <w:spacing w:val="3"/>
            <w:sz w:val="18"/>
          </w:rPr>
          <w:t> </w:t>
        </w:r>
        <w:r>
          <w:rPr>
            <w:color w:val="231F20"/>
            <w:sz w:val="18"/>
          </w:rPr>
          <w:t>Services</w:t>
        </w:r>
        <w:r>
          <w:rPr>
            <w:color w:val="231F20"/>
            <w:spacing w:val="4"/>
            <w:sz w:val="18"/>
          </w:rPr>
          <w:t> </w:t>
        </w:r>
        <w:r>
          <w:rPr>
            <w:color w:val="231F20"/>
            <w:spacing w:val="-2"/>
            <w:sz w:val="18"/>
          </w:rPr>
          <w:t>architecture</w:t>
        </w:r>
      </w:hyperlink>
      <w:r>
        <w:rPr>
          <w:rFonts w:ascii="Times New Roman"/>
          <w:color w:val="231F20"/>
          <w:sz w:val="18"/>
        </w:rPr>
        <w:tab/>
      </w:r>
      <w:hyperlink w:history="true" w:anchor="_bookmark2">
        <w:r>
          <w:rPr>
            <w:color w:val="231F20"/>
            <w:spacing w:val="-10"/>
            <w:sz w:val="18"/>
          </w:rPr>
          <w:t>2</w:t>
        </w:r>
      </w:hyperlink>
    </w:p>
    <w:p>
      <w:pPr>
        <w:tabs>
          <w:tab w:pos="4986" w:val="right" w:leader="dot"/>
        </w:tabs>
        <w:spacing w:line="220" w:lineRule="exact" w:before="0"/>
        <w:ind w:left="436" w:right="0" w:firstLine="0"/>
        <w:jc w:val="left"/>
        <w:rPr>
          <w:sz w:val="18"/>
        </w:rPr>
      </w:pPr>
      <w:hyperlink w:history="true" w:anchor="_bookmark3">
        <w:r>
          <w:rPr>
            <w:color w:val="231F20"/>
            <w:sz w:val="18"/>
          </w:rPr>
          <w:t>Tivoli</w:t>
        </w:r>
        <w:r>
          <w:rPr>
            <w:color w:val="231F20"/>
            <w:spacing w:val="4"/>
            <w:sz w:val="18"/>
          </w:rPr>
          <w:t> </w:t>
        </w:r>
        <w:r>
          <w:rPr>
            <w:color w:val="231F20"/>
            <w:sz w:val="18"/>
          </w:rPr>
          <w:t>Enterprise</w:t>
        </w:r>
        <w:r>
          <w:rPr>
            <w:color w:val="231F20"/>
            <w:spacing w:val="5"/>
            <w:sz w:val="18"/>
          </w:rPr>
          <w:t> </w:t>
        </w:r>
        <w:r>
          <w:rPr>
            <w:color w:val="231F20"/>
            <w:sz w:val="18"/>
          </w:rPr>
          <w:t>Portal</w:t>
        </w:r>
        <w:r>
          <w:rPr>
            <w:color w:val="231F20"/>
            <w:spacing w:val="5"/>
            <w:sz w:val="18"/>
          </w:rPr>
          <w:t> </w:t>
        </w:r>
        <w:r>
          <w:rPr>
            <w:color w:val="231F20"/>
            <w:spacing w:val="-2"/>
            <w:sz w:val="18"/>
          </w:rPr>
          <w:t>window</w:t>
        </w:r>
      </w:hyperlink>
      <w:r>
        <w:rPr>
          <w:rFonts w:ascii="Times New Roman"/>
          <w:color w:val="231F20"/>
          <w:sz w:val="18"/>
        </w:rPr>
        <w:tab/>
      </w:r>
      <w:hyperlink w:history="true" w:anchor="_bookmark3">
        <w:r>
          <w:rPr>
            <w:color w:val="231F20"/>
            <w:spacing w:val="-10"/>
            <w:sz w:val="18"/>
          </w:rPr>
          <w:t>3</w:t>
        </w:r>
      </w:hyperlink>
    </w:p>
    <w:p>
      <w:pPr>
        <w:tabs>
          <w:tab w:pos="4986" w:val="right" w:leader="dot"/>
        </w:tabs>
        <w:spacing w:line="220" w:lineRule="exact" w:before="0"/>
        <w:ind w:left="436" w:right="0" w:firstLine="0"/>
        <w:jc w:val="left"/>
        <w:rPr>
          <w:sz w:val="18"/>
        </w:rPr>
      </w:pPr>
      <w:hyperlink w:history="true" w:anchor="_bookmark6">
        <w:r>
          <w:rPr>
            <w:color w:val="231F20"/>
            <w:sz w:val="18"/>
          </w:rPr>
          <w:t>Browser</w:t>
        </w:r>
        <w:r>
          <w:rPr>
            <w:color w:val="231F20"/>
            <w:spacing w:val="6"/>
            <w:sz w:val="18"/>
          </w:rPr>
          <w:t> </w:t>
        </w:r>
        <w:r>
          <w:rPr>
            <w:color w:val="231F20"/>
            <w:sz w:val="18"/>
          </w:rPr>
          <w:t>client</w:t>
        </w:r>
        <w:r>
          <w:rPr>
            <w:color w:val="231F20"/>
            <w:spacing w:val="7"/>
            <w:sz w:val="18"/>
          </w:rPr>
          <w:t> </w:t>
        </w:r>
        <w:r>
          <w:rPr>
            <w:color w:val="231F20"/>
            <w:spacing w:val="-2"/>
            <w:sz w:val="18"/>
          </w:rPr>
          <w:t>differences</w:t>
        </w:r>
      </w:hyperlink>
      <w:r>
        <w:rPr>
          <w:rFonts w:ascii="Times New Roman"/>
          <w:color w:val="231F20"/>
          <w:sz w:val="18"/>
        </w:rPr>
        <w:tab/>
      </w:r>
      <w:hyperlink w:history="true" w:anchor="_bookmark6">
        <w:r>
          <w:rPr>
            <w:color w:val="231F20"/>
            <w:spacing w:val="-10"/>
            <w:sz w:val="18"/>
          </w:rPr>
          <w:t>8</w:t>
        </w:r>
      </w:hyperlink>
    </w:p>
    <w:p>
      <w:pPr>
        <w:tabs>
          <w:tab w:pos="4986" w:val="right" w:leader="dot"/>
        </w:tabs>
        <w:spacing w:line="220" w:lineRule="exact" w:before="0"/>
        <w:ind w:left="436" w:right="0" w:firstLine="0"/>
        <w:jc w:val="left"/>
        <w:rPr>
          <w:sz w:val="18"/>
        </w:rPr>
      </w:pPr>
      <w:hyperlink w:history="true" w:anchor="_bookmark6">
        <w:r>
          <w:rPr>
            <w:color w:val="231F20"/>
            <w:sz w:val="18"/>
          </w:rPr>
          <w:t>Monitoring</w:t>
        </w:r>
        <w:r>
          <w:rPr>
            <w:color w:val="231F20"/>
            <w:spacing w:val="4"/>
            <w:sz w:val="18"/>
          </w:rPr>
          <w:t> </w:t>
        </w:r>
        <w:r>
          <w:rPr>
            <w:color w:val="231F20"/>
            <w:spacing w:val="-2"/>
            <w:sz w:val="18"/>
          </w:rPr>
          <w:t>agents</w:t>
        </w:r>
      </w:hyperlink>
      <w:r>
        <w:rPr>
          <w:rFonts w:ascii="Times New Roman"/>
          <w:color w:val="231F20"/>
          <w:sz w:val="18"/>
        </w:rPr>
        <w:tab/>
      </w:r>
      <w:hyperlink w:history="true" w:anchor="_bookmark6">
        <w:r>
          <w:rPr>
            <w:color w:val="231F20"/>
            <w:spacing w:val="-10"/>
            <w:sz w:val="18"/>
          </w:rPr>
          <w:t>8</w:t>
        </w:r>
      </w:hyperlink>
    </w:p>
    <w:p>
      <w:pPr>
        <w:tabs>
          <w:tab w:pos="4986" w:val="right" w:leader="dot"/>
        </w:tabs>
        <w:spacing w:line="220" w:lineRule="exact" w:before="0"/>
        <w:ind w:left="436" w:right="0" w:firstLine="0"/>
        <w:jc w:val="left"/>
        <w:rPr>
          <w:sz w:val="18"/>
        </w:rPr>
      </w:pPr>
      <w:hyperlink w:history="true" w:anchor="_bookmark7">
        <w:r>
          <w:rPr>
            <w:color w:val="231F20"/>
            <w:spacing w:val="-2"/>
            <w:sz w:val="18"/>
          </w:rPr>
          <w:t>Features</w:t>
        </w:r>
      </w:hyperlink>
      <w:r>
        <w:rPr>
          <w:rFonts w:ascii="Times New Roman"/>
          <w:color w:val="231F20"/>
          <w:sz w:val="18"/>
        </w:rPr>
        <w:tab/>
      </w:r>
      <w:hyperlink w:history="true" w:anchor="_bookmark7">
        <w:r>
          <w:rPr>
            <w:color w:val="231F20"/>
            <w:spacing w:val="-10"/>
            <w:sz w:val="18"/>
          </w:rPr>
          <w:t>9</w:t>
        </w:r>
      </w:hyperlink>
    </w:p>
    <w:p>
      <w:pPr>
        <w:tabs>
          <w:tab w:pos="4986" w:val="right" w:leader="dot"/>
        </w:tabs>
        <w:spacing w:line="220" w:lineRule="exact" w:before="0"/>
        <w:ind w:left="436" w:right="0" w:firstLine="0"/>
        <w:jc w:val="left"/>
        <w:rPr>
          <w:sz w:val="18"/>
        </w:rPr>
      </w:pPr>
      <w:hyperlink w:history="true" w:anchor="_bookmark8">
        <w:r>
          <w:rPr>
            <w:color w:val="231F20"/>
            <w:sz w:val="18"/>
          </w:rPr>
          <w:t>Predefined</w:t>
        </w:r>
        <w:r>
          <w:rPr>
            <w:color w:val="231F20"/>
            <w:spacing w:val="5"/>
            <w:sz w:val="18"/>
          </w:rPr>
          <w:t> </w:t>
        </w:r>
        <w:r>
          <w:rPr>
            <w:color w:val="231F20"/>
            <w:sz w:val="18"/>
          </w:rPr>
          <w:t>workspaces,</w:t>
        </w:r>
        <w:r>
          <w:rPr>
            <w:color w:val="231F20"/>
            <w:spacing w:val="6"/>
            <w:sz w:val="18"/>
          </w:rPr>
          <w:t> </w:t>
        </w:r>
        <w:r>
          <w:rPr>
            <w:color w:val="231F20"/>
            <w:sz w:val="18"/>
          </w:rPr>
          <w:t>situations,</w:t>
        </w:r>
        <w:r>
          <w:rPr>
            <w:color w:val="231F20"/>
            <w:spacing w:val="5"/>
            <w:sz w:val="18"/>
          </w:rPr>
          <w:t> </w:t>
        </w:r>
        <w:r>
          <w:rPr>
            <w:color w:val="231F20"/>
            <w:sz w:val="18"/>
          </w:rPr>
          <w:t>and</w:t>
        </w:r>
        <w:r>
          <w:rPr>
            <w:color w:val="231F20"/>
            <w:spacing w:val="6"/>
            <w:sz w:val="18"/>
          </w:rPr>
          <w:t> </w:t>
        </w:r>
        <w:r>
          <w:rPr>
            <w:color w:val="231F20"/>
            <w:spacing w:val="-4"/>
            <w:sz w:val="18"/>
          </w:rPr>
          <w:t>more</w:t>
        </w:r>
      </w:hyperlink>
      <w:r>
        <w:rPr>
          <w:rFonts w:ascii="Times New Roman"/>
          <w:color w:val="231F20"/>
          <w:sz w:val="18"/>
        </w:rPr>
        <w:tab/>
      </w:r>
      <w:hyperlink w:history="true" w:anchor="_bookmark8">
        <w:r>
          <w:rPr>
            <w:color w:val="231F20"/>
            <w:spacing w:val="-5"/>
            <w:sz w:val="18"/>
          </w:rPr>
          <w:t>13</w:t>
        </w:r>
      </w:hyperlink>
    </w:p>
    <w:p>
      <w:pPr>
        <w:tabs>
          <w:tab w:pos="4986" w:val="right" w:leader="dot"/>
        </w:tabs>
        <w:spacing w:line="220" w:lineRule="exact" w:before="0"/>
        <w:ind w:left="436" w:right="0" w:firstLine="0"/>
        <w:jc w:val="left"/>
        <w:rPr>
          <w:sz w:val="18"/>
        </w:rPr>
      </w:pPr>
      <w:hyperlink w:history="true" w:anchor="_bookmark9">
        <w:r>
          <w:rPr>
            <w:color w:val="231F20"/>
            <w:sz w:val="18"/>
          </w:rPr>
          <w:t>Tivoli</w:t>
        </w:r>
        <w:r>
          <w:rPr>
            <w:color w:val="231F20"/>
            <w:spacing w:val="4"/>
            <w:sz w:val="18"/>
          </w:rPr>
          <w:t> </w:t>
        </w:r>
        <w:r>
          <w:rPr>
            <w:color w:val="231F20"/>
            <w:sz w:val="18"/>
          </w:rPr>
          <w:t>Enterprise</w:t>
        </w:r>
        <w:r>
          <w:rPr>
            <w:color w:val="231F20"/>
            <w:spacing w:val="5"/>
            <w:sz w:val="18"/>
          </w:rPr>
          <w:t> </w:t>
        </w:r>
        <w:r>
          <w:rPr>
            <w:color w:val="231F20"/>
            <w:sz w:val="18"/>
          </w:rPr>
          <w:t>Portal</w:t>
        </w:r>
        <w:r>
          <w:rPr>
            <w:color w:val="231F20"/>
            <w:spacing w:val="5"/>
            <w:sz w:val="18"/>
          </w:rPr>
          <w:t> </w:t>
        </w:r>
        <w:r>
          <w:rPr>
            <w:color w:val="231F20"/>
            <w:spacing w:val="-4"/>
            <w:sz w:val="18"/>
          </w:rPr>
          <w:t>tour</w:t>
        </w:r>
      </w:hyperlink>
      <w:r>
        <w:rPr>
          <w:rFonts w:ascii="Times New Roman"/>
          <w:color w:val="231F20"/>
          <w:sz w:val="18"/>
        </w:rPr>
        <w:tab/>
      </w:r>
      <w:hyperlink w:history="true" w:anchor="_bookmark9">
        <w:r>
          <w:rPr>
            <w:color w:val="231F20"/>
            <w:spacing w:val="-5"/>
            <w:sz w:val="18"/>
          </w:rPr>
          <w:t>15</w:t>
        </w:r>
      </w:hyperlink>
    </w:p>
    <w:p>
      <w:pPr>
        <w:tabs>
          <w:tab w:pos="4986" w:val="right" w:leader="dot"/>
        </w:tabs>
        <w:spacing w:line="220" w:lineRule="exact" w:before="0"/>
        <w:ind w:left="676" w:right="0" w:firstLine="0"/>
        <w:jc w:val="left"/>
        <w:rPr>
          <w:sz w:val="18"/>
        </w:rPr>
      </w:pPr>
      <w:hyperlink w:history="true" w:anchor="_bookmark9">
        <w:r>
          <w:rPr>
            <w:color w:val="231F20"/>
            <w:spacing w:val="-2"/>
            <w:sz w:val="18"/>
          </w:rPr>
          <w:t>Navigator</w:t>
        </w:r>
      </w:hyperlink>
      <w:r>
        <w:rPr>
          <w:rFonts w:ascii="Times New Roman"/>
          <w:color w:val="231F20"/>
          <w:sz w:val="18"/>
        </w:rPr>
        <w:tab/>
      </w:r>
      <w:hyperlink w:history="true" w:anchor="_bookmark9">
        <w:r>
          <w:rPr>
            <w:color w:val="231F20"/>
            <w:spacing w:val="-5"/>
            <w:sz w:val="18"/>
          </w:rPr>
          <w:t>15</w:t>
        </w:r>
      </w:hyperlink>
    </w:p>
    <w:p>
      <w:pPr>
        <w:tabs>
          <w:tab w:pos="4986" w:val="right" w:leader="dot"/>
        </w:tabs>
        <w:spacing w:line="220" w:lineRule="exact" w:before="0"/>
        <w:ind w:left="676" w:right="0" w:firstLine="0"/>
        <w:jc w:val="left"/>
        <w:rPr>
          <w:sz w:val="18"/>
        </w:rPr>
      </w:pPr>
      <w:hyperlink w:history="true" w:anchor="_bookmark10">
        <w:r>
          <w:rPr>
            <w:color w:val="231F20"/>
            <w:spacing w:val="-2"/>
            <w:sz w:val="18"/>
          </w:rPr>
          <w:t>Workspaces</w:t>
        </w:r>
      </w:hyperlink>
      <w:r>
        <w:rPr>
          <w:rFonts w:ascii="Times New Roman"/>
          <w:color w:val="231F20"/>
          <w:sz w:val="18"/>
        </w:rPr>
        <w:tab/>
      </w:r>
      <w:hyperlink w:history="true" w:anchor="_bookmark10">
        <w:r>
          <w:rPr>
            <w:color w:val="231F20"/>
            <w:spacing w:val="-5"/>
            <w:sz w:val="18"/>
          </w:rPr>
          <w:t>16</w:t>
        </w:r>
      </w:hyperlink>
    </w:p>
    <w:p>
      <w:pPr>
        <w:tabs>
          <w:tab w:pos="4986" w:val="right" w:leader="dot"/>
        </w:tabs>
        <w:spacing w:line="220" w:lineRule="exact" w:before="0"/>
        <w:ind w:left="676" w:right="0" w:firstLine="0"/>
        <w:jc w:val="left"/>
        <w:rPr>
          <w:sz w:val="18"/>
        </w:rPr>
      </w:pPr>
      <w:hyperlink w:history="true" w:anchor="_bookmark10">
        <w:r>
          <w:rPr>
            <w:color w:val="231F20"/>
            <w:spacing w:val="-2"/>
            <w:sz w:val="18"/>
          </w:rPr>
          <w:t>Views</w:t>
        </w:r>
      </w:hyperlink>
      <w:r>
        <w:rPr>
          <w:rFonts w:ascii="Times New Roman"/>
          <w:color w:val="231F20"/>
          <w:sz w:val="18"/>
        </w:rPr>
        <w:tab/>
      </w:r>
      <w:hyperlink w:history="true" w:anchor="_bookmark10">
        <w:r>
          <w:rPr>
            <w:color w:val="231F20"/>
            <w:spacing w:val="-5"/>
            <w:sz w:val="18"/>
          </w:rPr>
          <w:t>16</w:t>
        </w:r>
      </w:hyperlink>
    </w:p>
    <w:p>
      <w:pPr>
        <w:tabs>
          <w:tab w:pos="4986" w:val="right" w:leader="dot"/>
        </w:tabs>
        <w:spacing w:line="220" w:lineRule="exact" w:before="0"/>
        <w:ind w:left="676" w:right="0" w:firstLine="0"/>
        <w:jc w:val="left"/>
        <w:rPr>
          <w:sz w:val="18"/>
        </w:rPr>
      </w:pPr>
      <w:hyperlink w:history="true" w:anchor="_bookmark11">
        <w:r>
          <w:rPr>
            <w:color w:val="231F20"/>
            <w:spacing w:val="-2"/>
            <w:sz w:val="18"/>
          </w:rPr>
          <w:t>Situations</w:t>
        </w:r>
      </w:hyperlink>
      <w:r>
        <w:rPr>
          <w:rFonts w:ascii="Times New Roman"/>
          <w:color w:val="231F20"/>
          <w:sz w:val="18"/>
        </w:rPr>
        <w:tab/>
      </w:r>
      <w:hyperlink w:history="true" w:anchor="_bookmark11">
        <w:r>
          <w:rPr>
            <w:color w:val="231F20"/>
            <w:spacing w:val="-5"/>
            <w:sz w:val="18"/>
          </w:rPr>
          <w:t>18</w:t>
        </w:r>
      </w:hyperlink>
    </w:p>
    <w:p>
      <w:pPr>
        <w:tabs>
          <w:tab w:pos="4986" w:val="right" w:leader="dot"/>
        </w:tabs>
        <w:spacing w:line="220" w:lineRule="exact" w:before="0"/>
        <w:ind w:left="676" w:right="0" w:firstLine="0"/>
        <w:jc w:val="left"/>
        <w:rPr>
          <w:sz w:val="18"/>
        </w:rPr>
      </w:pPr>
      <w:hyperlink w:history="true" w:anchor="_bookmark12">
        <w:r>
          <w:rPr>
            <w:color w:val="231F20"/>
            <w:spacing w:val="-2"/>
            <w:sz w:val="18"/>
          </w:rPr>
          <w:t>Properties</w:t>
        </w:r>
      </w:hyperlink>
      <w:r>
        <w:rPr>
          <w:rFonts w:ascii="Times New Roman"/>
          <w:color w:val="231F20"/>
          <w:sz w:val="18"/>
        </w:rPr>
        <w:tab/>
      </w:r>
      <w:hyperlink w:history="true" w:anchor="_bookmark12">
        <w:r>
          <w:rPr>
            <w:color w:val="231F20"/>
            <w:spacing w:val="-5"/>
            <w:sz w:val="18"/>
          </w:rPr>
          <w:t>19</w:t>
        </w:r>
      </w:hyperlink>
    </w:p>
    <w:p>
      <w:pPr>
        <w:tabs>
          <w:tab w:pos="4986" w:val="right" w:leader="dot"/>
        </w:tabs>
        <w:spacing w:line="231" w:lineRule="exact" w:before="0"/>
        <w:ind w:left="676" w:right="0" w:firstLine="0"/>
        <w:jc w:val="left"/>
        <w:rPr>
          <w:sz w:val="18"/>
        </w:rPr>
      </w:pPr>
      <w:hyperlink w:history="true" w:anchor="_bookmark12">
        <w:r>
          <w:rPr>
            <w:color w:val="231F20"/>
            <w:spacing w:val="-2"/>
            <w:sz w:val="18"/>
          </w:rPr>
          <w:t>Conclusion</w:t>
        </w:r>
      </w:hyperlink>
      <w:r>
        <w:rPr>
          <w:rFonts w:ascii="Times New Roman"/>
          <w:color w:val="231F20"/>
          <w:sz w:val="18"/>
        </w:rPr>
        <w:tab/>
      </w:r>
      <w:hyperlink w:history="true" w:anchor="_bookmark12">
        <w:r>
          <w:rPr>
            <w:color w:val="231F20"/>
            <w:spacing w:val="-5"/>
            <w:sz w:val="18"/>
          </w:rPr>
          <w:t>19</w:t>
        </w:r>
      </w:hyperlink>
    </w:p>
    <w:p>
      <w:pPr>
        <w:pStyle w:val="Heading5"/>
        <w:tabs>
          <w:tab w:pos="4986" w:val="right" w:leader="dot"/>
        </w:tabs>
        <w:spacing w:line="252" w:lineRule="exact" w:before="223"/>
        <w:ind w:left="436"/>
      </w:pPr>
      <w:hyperlink w:history="true" w:anchor="_bookmark13">
        <w:r>
          <w:rPr>
            <w:color w:val="231F20"/>
          </w:rPr>
          <w:t>Chapter</w:t>
        </w:r>
        <w:r>
          <w:rPr>
            <w:color w:val="231F20"/>
            <w:spacing w:val="-6"/>
          </w:rPr>
          <w:t> </w:t>
        </w:r>
        <w:r>
          <w:rPr>
            <w:color w:val="231F20"/>
          </w:rPr>
          <w:t>2.</w:t>
        </w:r>
        <w:r>
          <w:rPr>
            <w:color w:val="231F20"/>
            <w:spacing w:val="6"/>
          </w:rPr>
          <w:t> </w:t>
        </w:r>
        <w:r>
          <w:rPr>
            <w:color w:val="231F20"/>
          </w:rPr>
          <w:t>Using</w:t>
        </w:r>
        <w:r>
          <w:rPr>
            <w:color w:val="231F20"/>
            <w:spacing w:val="6"/>
          </w:rPr>
          <w:t> </w:t>
        </w:r>
        <w:r>
          <w:rPr>
            <w:color w:val="231F20"/>
          </w:rPr>
          <w:t>the</w:t>
        </w:r>
        <w:r>
          <w:rPr>
            <w:color w:val="231F20"/>
            <w:spacing w:val="6"/>
          </w:rPr>
          <w:t> </w:t>
        </w:r>
        <w:r>
          <w:rPr>
            <w:color w:val="231F20"/>
            <w:spacing w:val="-2"/>
          </w:rPr>
          <w:t>Navigator</w:t>
        </w:r>
      </w:hyperlink>
      <w:r>
        <w:rPr>
          <w:rFonts w:ascii="Times New Roman"/>
          <w:b w:val="0"/>
          <w:color w:val="231F20"/>
        </w:rPr>
        <w:tab/>
      </w:r>
      <w:hyperlink w:history="true" w:anchor="_bookmark13">
        <w:r>
          <w:rPr>
            <w:color w:val="231F20"/>
            <w:spacing w:val="-5"/>
          </w:rPr>
          <w:t>21</w:t>
        </w:r>
      </w:hyperlink>
    </w:p>
    <w:p>
      <w:pPr>
        <w:tabs>
          <w:tab w:pos="4986" w:val="right" w:leader="dot"/>
        </w:tabs>
        <w:spacing w:line="231" w:lineRule="exact" w:before="0"/>
        <w:ind w:left="436" w:right="0" w:firstLine="0"/>
        <w:jc w:val="left"/>
        <w:rPr>
          <w:sz w:val="18"/>
        </w:rPr>
      </w:pPr>
      <w:hyperlink w:history="true" w:anchor="_bookmark13">
        <w:r>
          <w:rPr>
            <w:color w:val="231F20"/>
            <w:sz w:val="18"/>
          </w:rPr>
          <w:t>Navigator</w:t>
        </w:r>
        <w:r>
          <w:rPr>
            <w:color w:val="231F20"/>
            <w:spacing w:val="5"/>
            <w:sz w:val="18"/>
          </w:rPr>
          <w:t> </w:t>
        </w:r>
        <w:r>
          <w:rPr>
            <w:color w:val="231F20"/>
            <w:spacing w:val="-2"/>
            <w:sz w:val="18"/>
          </w:rPr>
          <w:t>overview</w:t>
        </w:r>
      </w:hyperlink>
      <w:r>
        <w:rPr>
          <w:rFonts w:ascii="Times New Roman"/>
          <w:color w:val="231F20"/>
          <w:sz w:val="18"/>
        </w:rPr>
        <w:tab/>
      </w:r>
      <w:hyperlink w:history="true" w:anchor="_bookmark13">
        <w:r>
          <w:rPr>
            <w:color w:val="231F20"/>
            <w:spacing w:val="-5"/>
            <w:sz w:val="18"/>
          </w:rPr>
          <w:t>21</w:t>
        </w:r>
      </w:hyperlink>
    </w:p>
    <w:p>
      <w:pPr>
        <w:tabs>
          <w:tab w:pos="4986" w:val="right" w:leader="dot"/>
        </w:tabs>
        <w:spacing w:line="220" w:lineRule="exact" w:before="0"/>
        <w:ind w:left="436" w:right="0" w:firstLine="0"/>
        <w:jc w:val="left"/>
        <w:rPr>
          <w:sz w:val="18"/>
        </w:rPr>
      </w:pPr>
      <w:hyperlink w:history="true" w:anchor="_bookmark14">
        <w:r>
          <w:rPr>
            <w:color w:val="231F20"/>
            <w:sz w:val="18"/>
          </w:rPr>
          <w:t>Navigator</w:t>
        </w:r>
        <w:r>
          <w:rPr>
            <w:color w:val="231F20"/>
            <w:spacing w:val="5"/>
            <w:sz w:val="18"/>
          </w:rPr>
          <w:t> </w:t>
        </w:r>
        <w:r>
          <w:rPr>
            <w:color w:val="231F20"/>
            <w:spacing w:val="-2"/>
            <w:sz w:val="18"/>
          </w:rPr>
          <w:t>tools</w:t>
        </w:r>
      </w:hyperlink>
      <w:r>
        <w:rPr>
          <w:rFonts w:ascii="Times New Roman"/>
          <w:color w:val="231F20"/>
          <w:sz w:val="18"/>
        </w:rPr>
        <w:tab/>
      </w:r>
      <w:hyperlink w:history="true" w:anchor="_bookmark14">
        <w:r>
          <w:rPr>
            <w:color w:val="231F20"/>
            <w:spacing w:val="-5"/>
            <w:sz w:val="18"/>
          </w:rPr>
          <w:t>22</w:t>
        </w:r>
      </w:hyperlink>
    </w:p>
    <w:p>
      <w:pPr>
        <w:tabs>
          <w:tab w:pos="4986" w:val="right" w:leader="dot"/>
        </w:tabs>
        <w:spacing w:line="220" w:lineRule="exact" w:before="0"/>
        <w:ind w:left="436" w:right="0" w:firstLine="0"/>
        <w:jc w:val="left"/>
        <w:rPr>
          <w:sz w:val="18"/>
        </w:rPr>
      </w:pPr>
      <w:hyperlink w:history="true" w:anchor="_bookmark15">
        <w:r>
          <w:rPr>
            <w:color w:val="231F20"/>
            <w:sz w:val="18"/>
          </w:rPr>
          <w:t>Situation</w:t>
        </w:r>
        <w:r>
          <w:rPr>
            <w:color w:val="231F20"/>
            <w:spacing w:val="8"/>
            <w:sz w:val="18"/>
          </w:rPr>
          <w:t> </w:t>
        </w:r>
        <w:r>
          <w:rPr>
            <w:color w:val="231F20"/>
            <w:sz w:val="18"/>
          </w:rPr>
          <w:t>event</w:t>
        </w:r>
        <w:r>
          <w:rPr>
            <w:color w:val="231F20"/>
            <w:spacing w:val="8"/>
            <w:sz w:val="18"/>
          </w:rPr>
          <w:t> </w:t>
        </w:r>
        <w:r>
          <w:rPr>
            <w:color w:val="231F20"/>
            <w:spacing w:val="-2"/>
            <w:sz w:val="18"/>
          </w:rPr>
          <w:t>indicators</w:t>
        </w:r>
      </w:hyperlink>
      <w:r>
        <w:rPr>
          <w:rFonts w:ascii="Times New Roman"/>
          <w:color w:val="231F20"/>
          <w:sz w:val="18"/>
        </w:rPr>
        <w:tab/>
      </w:r>
      <w:hyperlink w:history="true" w:anchor="_bookmark15">
        <w:r>
          <w:rPr>
            <w:color w:val="231F20"/>
            <w:spacing w:val="-5"/>
            <w:sz w:val="18"/>
          </w:rPr>
          <w:t>23</w:t>
        </w:r>
      </w:hyperlink>
    </w:p>
    <w:p>
      <w:pPr>
        <w:tabs>
          <w:tab w:pos="4986" w:val="right" w:leader="dot"/>
        </w:tabs>
        <w:spacing w:line="220" w:lineRule="exact" w:before="0"/>
        <w:ind w:left="436" w:right="0" w:firstLine="0"/>
        <w:jc w:val="left"/>
        <w:rPr>
          <w:sz w:val="18"/>
        </w:rPr>
      </w:pPr>
      <w:hyperlink w:history="true" w:anchor="_bookmark16">
        <w:r>
          <w:rPr>
            <w:color w:val="231F20"/>
            <w:sz w:val="18"/>
          </w:rPr>
          <w:t>More...</w:t>
        </w:r>
        <w:r>
          <w:rPr>
            <w:color w:val="231F20"/>
            <w:spacing w:val="4"/>
            <w:sz w:val="18"/>
          </w:rPr>
          <w:t> </w:t>
        </w:r>
        <w:r>
          <w:rPr>
            <w:color w:val="231F20"/>
            <w:spacing w:val="-2"/>
            <w:sz w:val="18"/>
          </w:rPr>
          <w:t>indicators</w:t>
        </w:r>
      </w:hyperlink>
      <w:r>
        <w:rPr>
          <w:rFonts w:ascii="Times New Roman"/>
          <w:color w:val="231F20"/>
          <w:sz w:val="18"/>
        </w:rPr>
        <w:tab/>
      </w:r>
      <w:hyperlink w:history="true" w:anchor="_bookmark16">
        <w:r>
          <w:rPr>
            <w:color w:val="231F20"/>
            <w:spacing w:val="-5"/>
            <w:sz w:val="18"/>
          </w:rPr>
          <w:t>24</w:t>
        </w:r>
      </w:hyperlink>
    </w:p>
    <w:p>
      <w:pPr>
        <w:tabs>
          <w:tab w:pos="4986" w:val="right" w:leader="dot"/>
        </w:tabs>
        <w:spacing w:line="220" w:lineRule="exact" w:before="0"/>
        <w:ind w:left="436" w:right="0" w:firstLine="0"/>
        <w:jc w:val="left"/>
        <w:rPr>
          <w:sz w:val="18"/>
        </w:rPr>
      </w:pPr>
      <w:hyperlink w:history="true" w:anchor="_bookmark16">
        <w:r>
          <w:rPr>
            <w:color w:val="231F20"/>
            <w:sz w:val="18"/>
          </w:rPr>
          <w:t>Expanding</w:t>
        </w:r>
        <w:r>
          <w:rPr>
            <w:color w:val="231F20"/>
            <w:spacing w:val="8"/>
            <w:sz w:val="18"/>
          </w:rPr>
          <w:t> </w:t>
        </w:r>
        <w:r>
          <w:rPr>
            <w:color w:val="231F20"/>
            <w:sz w:val="18"/>
          </w:rPr>
          <w:t>the</w:t>
        </w:r>
        <w:r>
          <w:rPr>
            <w:color w:val="231F20"/>
            <w:spacing w:val="9"/>
            <w:sz w:val="18"/>
          </w:rPr>
          <w:t> </w:t>
        </w:r>
        <w:r>
          <w:rPr>
            <w:color w:val="231F20"/>
            <w:sz w:val="18"/>
          </w:rPr>
          <w:t>Navigator</w:t>
        </w:r>
        <w:r>
          <w:rPr>
            <w:color w:val="231F20"/>
            <w:spacing w:val="9"/>
            <w:sz w:val="18"/>
          </w:rPr>
          <w:t> </w:t>
        </w:r>
        <w:r>
          <w:rPr>
            <w:color w:val="231F20"/>
            <w:sz w:val="18"/>
          </w:rPr>
          <w:t>in</w:t>
        </w:r>
        <w:r>
          <w:rPr>
            <w:color w:val="231F20"/>
            <w:spacing w:val="9"/>
            <w:sz w:val="18"/>
          </w:rPr>
          <w:t> </w:t>
        </w:r>
        <w:r>
          <w:rPr>
            <w:color w:val="231F20"/>
            <w:spacing w:val="-2"/>
            <w:sz w:val="18"/>
          </w:rPr>
          <w:t>increments</w:t>
        </w:r>
      </w:hyperlink>
      <w:r>
        <w:rPr>
          <w:rFonts w:ascii="Times New Roman"/>
          <w:color w:val="231F20"/>
          <w:sz w:val="18"/>
        </w:rPr>
        <w:tab/>
      </w:r>
      <w:hyperlink w:history="true" w:anchor="_bookmark16">
        <w:r>
          <w:rPr>
            <w:color w:val="231F20"/>
            <w:spacing w:val="-5"/>
            <w:sz w:val="18"/>
          </w:rPr>
          <w:t>24</w:t>
        </w:r>
      </w:hyperlink>
    </w:p>
    <w:p>
      <w:pPr>
        <w:tabs>
          <w:tab w:pos="4986" w:val="right" w:leader="dot"/>
        </w:tabs>
        <w:spacing w:line="220" w:lineRule="exact" w:before="0"/>
        <w:ind w:left="436" w:right="0" w:firstLine="0"/>
        <w:jc w:val="left"/>
        <w:rPr>
          <w:sz w:val="18"/>
        </w:rPr>
      </w:pPr>
      <w:hyperlink w:history="true" w:anchor="_bookmark17">
        <w:r>
          <w:rPr>
            <w:color w:val="231F20"/>
            <w:sz w:val="18"/>
          </w:rPr>
          <w:t>Collapsing</w:t>
        </w:r>
        <w:r>
          <w:rPr>
            <w:color w:val="231F20"/>
            <w:spacing w:val="8"/>
            <w:sz w:val="18"/>
          </w:rPr>
          <w:t> </w:t>
        </w:r>
        <w:r>
          <w:rPr>
            <w:color w:val="231F20"/>
            <w:sz w:val="18"/>
          </w:rPr>
          <w:t>and</w:t>
        </w:r>
        <w:r>
          <w:rPr>
            <w:color w:val="231F20"/>
            <w:spacing w:val="8"/>
            <w:sz w:val="18"/>
          </w:rPr>
          <w:t> </w:t>
        </w:r>
        <w:r>
          <w:rPr>
            <w:color w:val="231F20"/>
            <w:sz w:val="18"/>
          </w:rPr>
          <w:t>expanding</w:t>
        </w:r>
        <w:r>
          <w:rPr>
            <w:color w:val="231F20"/>
            <w:spacing w:val="9"/>
            <w:sz w:val="18"/>
          </w:rPr>
          <w:t> </w:t>
        </w:r>
        <w:r>
          <w:rPr>
            <w:color w:val="231F20"/>
            <w:sz w:val="18"/>
          </w:rPr>
          <w:t>the</w:t>
        </w:r>
        <w:r>
          <w:rPr>
            <w:color w:val="231F20"/>
            <w:spacing w:val="8"/>
            <w:sz w:val="18"/>
          </w:rPr>
          <w:t> </w:t>
        </w:r>
        <w:r>
          <w:rPr>
            <w:color w:val="231F20"/>
            <w:spacing w:val="-2"/>
            <w:sz w:val="18"/>
          </w:rPr>
          <w:t>Navigator</w:t>
        </w:r>
      </w:hyperlink>
      <w:r>
        <w:rPr>
          <w:rFonts w:ascii="Times New Roman"/>
          <w:color w:val="231F20"/>
          <w:sz w:val="18"/>
        </w:rPr>
        <w:tab/>
      </w:r>
      <w:hyperlink w:history="true" w:anchor="_bookmark17">
        <w:r>
          <w:rPr>
            <w:color w:val="231F20"/>
            <w:spacing w:val="-5"/>
            <w:sz w:val="18"/>
          </w:rPr>
          <w:t>26</w:t>
        </w:r>
      </w:hyperlink>
    </w:p>
    <w:p>
      <w:pPr>
        <w:tabs>
          <w:tab w:pos="4986" w:val="right" w:leader="dot"/>
        </w:tabs>
        <w:spacing w:line="220" w:lineRule="exact" w:before="0"/>
        <w:ind w:left="436" w:right="0" w:firstLine="0"/>
        <w:jc w:val="left"/>
        <w:rPr>
          <w:sz w:val="18"/>
        </w:rPr>
      </w:pPr>
      <w:hyperlink w:history="true" w:anchor="_bookmark17">
        <w:r>
          <w:rPr>
            <w:color w:val="231F20"/>
            <w:sz w:val="18"/>
          </w:rPr>
          <w:t>Finding</w:t>
        </w:r>
        <w:r>
          <w:rPr>
            <w:color w:val="231F20"/>
            <w:spacing w:val="6"/>
            <w:sz w:val="18"/>
          </w:rPr>
          <w:t> </w:t>
        </w:r>
        <w:r>
          <w:rPr>
            <w:color w:val="231F20"/>
            <w:sz w:val="18"/>
          </w:rPr>
          <w:t>Navigator</w:t>
        </w:r>
        <w:r>
          <w:rPr>
            <w:color w:val="231F20"/>
            <w:spacing w:val="7"/>
            <w:sz w:val="18"/>
          </w:rPr>
          <w:t> </w:t>
        </w:r>
        <w:r>
          <w:rPr>
            <w:color w:val="231F20"/>
            <w:spacing w:val="-2"/>
            <w:sz w:val="18"/>
          </w:rPr>
          <w:t>items</w:t>
        </w:r>
      </w:hyperlink>
      <w:r>
        <w:rPr>
          <w:rFonts w:ascii="Times New Roman"/>
          <w:color w:val="231F20"/>
          <w:sz w:val="18"/>
        </w:rPr>
        <w:tab/>
      </w:r>
      <w:hyperlink w:history="true" w:anchor="_bookmark17">
        <w:r>
          <w:rPr>
            <w:color w:val="231F20"/>
            <w:spacing w:val="-5"/>
            <w:sz w:val="18"/>
          </w:rPr>
          <w:t>26</w:t>
        </w:r>
      </w:hyperlink>
    </w:p>
    <w:p>
      <w:pPr>
        <w:tabs>
          <w:tab w:pos="4986" w:val="right" w:leader="dot"/>
        </w:tabs>
        <w:spacing w:line="220" w:lineRule="exact" w:before="0"/>
        <w:ind w:left="436" w:right="0" w:firstLine="0"/>
        <w:jc w:val="left"/>
        <w:rPr>
          <w:sz w:val="18"/>
        </w:rPr>
      </w:pPr>
      <w:hyperlink w:history="true" w:anchor="_bookmark18">
        <w:r>
          <w:rPr>
            <w:color w:val="231F20"/>
            <w:sz w:val="18"/>
          </w:rPr>
          <w:t>Opening</w:t>
        </w:r>
        <w:r>
          <w:rPr>
            <w:color w:val="231F20"/>
            <w:spacing w:val="8"/>
            <w:sz w:val="18"/>
          </w:rPr>
          <w:t> </w:t>
        </w:r>
        <w:r>
          <w:rPr>
            <w:color w:val="231F20"/>
            <w:sz w:val="18"/>
          </w:rPr>
          <w:t>a</w:t>
        </w:r>
        <w:r>
          <w:rPr>
            <w:color w:val="231F20"/>
            <w:spacing w:val="9"/>
            <w:sz w:val="18"/>
          </w:rPr>
          <w:t> </w:t>
        </w:r>
        <w:r>
          <w:rPr>
            <w:color w:val="231F20"/>
            <w:sz w:val="18"/>
          </w:rPr>
          <w:t>Navigator</w:t>
        </w:r>
        <w:r>
          <w:rPr>
            <w:color w:val="231F20"/>
            <w:spacing w:val="9"/>
            <w:sz w:val="18"/>
          </w:rPr>
          <w:t> </w:t>
        </w:r>
        <w:r>
          <w:rPr>
            <w:color w:val="231F20"/>
            <w:spacing w:val="-4"/>
            <w:sz w:val="18"/>
          </w:rPr>
          <w:t>view</w:t>
        </w:r>
      </w:hyperlink>
      <w:r>
        <w:rPr>
          <w:rFonts w:ascii="Times New Roman"/>
          <w:color w:val="231F20"/>
          <w:sz w:val="18"/>
        </w:rPr>
        <w:tab/>
      </w:r>
      <w:hyperlink w:history="true" w:anchor="_bookmark18">
        <w:r>
          <w:rPr>
            <w:color w:val="231F20"/>
            <w:spacing w:val="-5"/>
            <w:sz w:val="18"/>
          </w:rPr>
          <w:t>28</w:t>
        </w:r>
      </w:hyperlink>
    </w:p>
    <w:p>
      <w:pPr>
        <w:tabs>
          <w:tab w:pos="4986" w:val="right" w:leader="dot"/>
        </w:tabs>
        <w:spacing w:line="220" w:lineRule="exact" w:before="0"/>
        <w:ind w:left="436" w:right="0" w:firstLine="0"/>
        <w:jc w:val="left"/>
        <w:rPr>
          <w:sz w:val="18"/>
        </w:rPr>
      </w:pPr>
      <w:hyperlink w:history="true" w:anchor="_bookmark19">
        <w:r>
          <w:rPr>
            <w:color w:val="231F20"/>
            <w:sz w:val="18"/>
          </w:rPr>
          <w:t>Refreshing</w:t>
        </w:r>
        <w:r>
          <w:rPr>
            <w:color w:val="231F20"/>
            <w:spacing w:val="6"/>
            <w:sz w:val="18"/>
          </w:rPr>
          <w:t> </w:t>
        </w:r>
        <w:r>
          <w:rPr>
            <w:color w:val="231F20"/>
            <w:sz w:val="18"/>
          </w:rPr>
          <w:t>the</w:t>
        </w:r>
        <w:r>
          <w:rPr>
            <w:color w:val="231F20"/>
            <w:spacing w:val="6"/>
            <w:sz w:val="18"/>
          </w:rPr>
          <w:t> </w:t>
        </w:r>
        <w:r>
          <w:rPr>
            <w:color w:val="231F20"/>
            <w:spacing w:val="-2"/>
            <w:sz w:val="18"/>
          </w:rPr>
          <w:t>Navigator</w:t>
        </w:r>
      </w:hyperlink>
      <w:r>
        <w:rPr>
          <w:rFonts w:ascii="Times New Roman"/>
          <w:color w:val="231F20"/>
          <w:sz w:val="18"/>
        </w:rPr>
        <w:tab/>
      </w:r>
      <w:hyperlink w:history="true" w:anchor="_bookmark19">
        <w:r>
          <w:rPr>
            <w:color w:val="231F20"/>
            <w:spacing w:val="-5"/>
            <w:sz w:val="18"/>
          </w:rPr>
          <w:t>29</w:t>
        </w:r>
      </w:hyperlink>
    </w:p>
    <w:p>
      <w:pPr>
        <w:tabs>
          <w:tab w:pos="4986" w:val="right" w:leader="dot"/>
        </w:tabs>
        <w:spacing w:line="220" w:lineRule="exact" w:before="0"/>
        <w:ind w:left="436" w:right="0" w:firstLine="0"/>
        <w:jc w:val="left"/>
        <w:rPr>
          <w:sz w:val="18"/>
        </w:rPr>
      </w:pPr>
      <w:hyperlink w:history="true" w:anchor="_bookmark20">
        <w:r>
          <w:rPr>
            <w:color w:val="231F20"/>
            <w:sz w:val="18"/>
          </w:rPr>
          <w:t>Responding</w:t>
        </w:r>
        <w:r>
          <w:rPr>
            <w:color w:val="231F20"/>
            <w:spacing w:val="8"/>
            <w:sz w:val="18"/>
          </w:rPr>
          <w:t> </w:t>
        </w:r>
        <w:r>
          <w:rPr>
            <w:color w:val="231F20"/>
            <w:sz w:val="18"/>
          </w:rPr>
          <w:t>to</w:t>
        </w:r>
        <w:r>
          <w:rPr>
            <w:color w:val="231F20"/>
            <w:spacing w:val="8"/>
            <w:sz w:val="18"/>
          </w:rPr>
          <w:t> </w:t>
        </w:r>
        <w:r>
          <w:rPr>
            <w:color w:val="231F20"/>
            <w:sz w:val="18"/>
          </w:rPr>
          <w:t>an</w:t>
        </w:r>
        <w:r>
          <w:rPr>
            <w:color w:val="231F20"/>
            <w:spacing w:val="8"/>
            <w:sz w:val="18"/>
          </w:rPr>
          <w:t> </w:t>
        </w:r>
        <w:r>
          <w:rPr>
            <w:color w:val="231F20"/>
            <w:sz w:val="18"/>
          </w:rPr>
          <w:t>application</w:t>
        </w:r>
        <w:r>
          <w:rPr>
            <w:color w:val="231F20"/>
            <w:spacing w:val="9"/>
            <w:sz w:val="18"/>
          </w:rPr>
          <w:t> </w:t>
        </w:r>
        <w:r>
          <w:rPr>
            <w:color w:val="231F20"/>
            <w:sz w:val="18"/>
          </w:rPr>
          <w:t>support</w:t>
        </w:r>
        <w:r>
          <w:rPr>
            <w:color w:val="231F20"/>
            <w:spacing w:val="8"/>
            <w:sz w:val="18"/>
          </w:rPr>
          <w:t> </w:t>
        </w:r>
        <w:r>
          <w:rPr>
            <w:color w:val="231F20"/>
            <w:spacing w:val="-2"/>
            <w:sz w:val="18"/>
          </w:rPr>
          <w:t>event</w:t>
        </w:r>
      </w:hyperlink>
      <w:r>
        <w:rPr>
          <w:rFonts w:ascii="Times New Roman"/>
          <w:color w:val="231F20"/>
          <w:sz w:val="18"/>
        </w:rPr>
        <w:tab/>
      </w:r>
      <w:hyperlink w:history="true" w:anchor="_bookmark20">
        <w:r>
          <w:rPr>
            <w:color w:val="231F20"/>
            <w:spacing w:val="-5"/>
            <w:sz w:val="18"/>
          </w:rPr>
          <w:t>30</w:t>
        </w:r>
      </w:hyperlink>
    </w:p>
    <w:p>
      <w:pPr>
        <w:tabs>
          <w:tab w:pos="4986" w:val="right" w:leader="dot"/>
        </w:tabs>
        <w:spacing w:line="220" w:lineRule="exact" w:before="0"/>
        <w:ind w:left="436" w:right="0" w:firstLine="0"/>
        <w:jc w:val="left"/>
        <w:rPr>
          <w:sz w:val="18"/>
        </w:rPr>
      </w:pPr>
      <w:hyperlink w:history="true" w:anchor="_bookmark21">
        <w:r>
          <w:rPr>
            <w:color w:val="231F20"/>
            <w:sz w:val="18"/>
          </w:rPr>
          <w:t>Removing</w:t>
        </w:r>
        <w:r>
          <w:rPr>
            <w:color w:val="231F20"/>
            <w:spacing w:val="9"/>
            <w:sz w:val="18"/>
          </w:rPr>
          <w:t> </w:t>
        </w:r>
        <w:r>
          <w:rPr>
            <w:color w:val="231F20"/>
            <w:sz w:val="18"/>
          </w:rPr>
          <w:t>an</w:t>
        </w:r>
        <w:r>
          <w:rPr>
            <w:color w:val="231F20"/>
            <w:spacing w:val="9"/>
            <w:sz w:val="18"/>
          </w:rPr>
          <w:t> </w:t>
        </w:r>
        <w:r>
          <w:rPr>
            <w:color w:val="231F20"/>
            <w:sz w:val="18"/>
          </w:rPr>
          <w:t>event</w:t>
        </w:r>
        <w:r>
          <w:rPr>
            <w:color w:val="231F20"/>
            <w:spacing w:val="9"/>
            <w:sz w:val="18"/>
          </w:rPr>
          <w:t> </w:t>
        </w:r>
        <w:r>
          <w:rPr>
            <w:color w:val="231F20"/>
            <w:spacing w:val="-4"/>
            <w:sz w:val="18"/>
          </w:rPr>
          <w:t>item</w:t>
        </w:r>
      </w:hyperlink>
      <w:r>
        <w:rPr>
          <w:rFonts w:ascii="Times New Roman"/>
          <w:color w:val="231F20"/>
          <w:sz w:val="18"/>
        </w:rPr>
        <w:tab/>
      </w:r>
      <w:hyperlink w:history="true" w:anchor="_bookmark21">
        <w:r>
          <w:rPr>
            <w:color w:val="231F20"/>
            <w:spacing w:val="-5"/>
            <w:sz w:val="18"/>
          </w:rPr>
          <w:t>31</w:t>
        </w:r>
      </w:hyperlink>
    </w:p>
    <w:p>
      <w:pPr>
        <w:spacing w:line="220" w:lineRule="exact" w:before="0"/>
        <w:ind w:left="436" w:right="0" w:firstLine="0"/>
        <w:jc w:val="left"/>
        <w:rPr>
          <w:sz w:val="18"/>
        </w:rPr>
      </w:pPr>
      <w:hyperlink w:history="true" w:anchor="_bookmark22">
        <w:r>
          <w:rPr>
            <w:color w:val="231F20"/>
            <w:sz w:val="18"/>
          </w:rPr>
          <w:t>Removing</w:t>
        </w:r>
        <w:r>
          <w:rPr>
            <w:color w:val="231F20"/>
            <w:spacing w:val="7"/>
            <w:sz w:val="18"/>
          </w:rPr>
          <w:t> </w:t>
        </w:r>
        <w:r>
          <w:rPr>
            <w:color w:val="231F20"/>
            <w:sz w:val="18"/>
          </w:rPr>
          <w:t>an</w:t>
        </w:r>
        <w:r>
          <w:rPr>
            <w:color w:val="231F20"/>
            <w:spacing w:val="8"/>
            <w:sz w:val="18"/>
          </w:rPr>
          <w:t> </w:t>
        </w:r>
        <w:r>
          <w:rPr>
            <w:color w:val="231F20"/>
            <w:sz w:val="18"/>
          </w:rPr>
          <w:t>offline</w:t>
        </w:r>
        <w:r>
          <w:rPr>
            <w:color w:val="231F20"/>
            <w:spacing w:val="7"/>
            <w:sz w:val="18"/>
          </w:rPr>
          <w:t> </w:t>
        </w:r>
        <w:r>
          <w:rPr>
            <w:color w:val="231F20"/>
            <w:sz w:val="18"/>
          </w:rPr>
          <w:t>managed</w:t>
        </w:r>
        <w:r>
          <w:rPr>
            <w:color w:val="231F20"/>
            <w:spacing w:val="8"/>
            <w:sz w:val="18"/>
          </w:rPr>
          <w:t> </w:t>
        </w:r>
        <w:r>
          <w:rPr>
            <w:color w:val="231F20"/>
            <w:sz w:val="18"/>
          </w:rPr>
          <w:t>system</w:t>
        </w:r>
        <w:r>
          <w:rPr>
            <w:color w:val="231F20"/>
            <w:spacing w:val="7"/>
            <w:sz w:val="18"/>
          </w:rPr>
          <w:t> </w:t>
        </w:r>
        <w:r>
          <w:rPr>
            <w:color w:val="231F20"/>
            <w:spacing w:val="-2"/>
            <w:sz w:val="18"/>
          </w:rPr>
          <w:t>Navigator</w:t>
        </w:r>
      </w:hyperlink>
    </w:p>
    <w:p>
      <w:pPr>
        <w:tabs>
          <w:tab w:pos="4986" w:val="right" w:leader="dot"/>
        </w:tabs>
        <w:spacing w:line="231" w:lineRule="exact" w:before="0"/>
        <w:ind w:left="436" w:right="0" w:firstLine="0"/>
        <w:jc w:val="left"/>
        <w:rPr>
          <w:sz w:val="18"/>
        </w:rPr>
      </w:pPr>
      <w:hyperlink w:history="true" w:anchor="_bookmark22">
        <w:r>
          <w:rPr>
            <w:color w:val="231F20"/>
            <w:spacing w:val="-4"/>
            <w:sz w:val="18"/>
          </w:rPr>
          <w:t>item</w:t>
        </w:r>
      </w:hyperlink>
      <w:r>
        <w:rPr>
          <w:rFonts w:ascii="Times New Roman"/>
          <w:color w:val="231F20"/>
          <w:sz w:val="18"/>
        </w:rPr>
        <w:tab/>
      </w:r>
      <w:hyperlink w:history="true" w:anchor="_bookmark22">
        <w:r>
          <w:rPr>
            <w:color w:val="231F20"/>
            <w:spacing w:val="-5"/>
            <w:sz w:val="18"/>
          </w:rPr>
          <w:t>32</w:t>
        </w:r>
      </w:hyperlink>
    </w:p>
    <w:p>
      <w:pPr>
        <w:pStyle w:val="Heading5"/>
        <w:tabs>
          <w:tab w:pos="4986" w:val="right" w:leader="dot"/>
        </w:tabs>
        <w:spacing w:line="252" w:lineRule="exact" w:before="224"/>
        <w:ind w:left="436"/>
      </w:pPr>
      <w:hyperlink w:history="true" w:anchor="_bookmark24">
        <w:r>
          <w:rPr>
            <w:color w:val="231F20"/>
          </w:rPr>
          <w:t>Chapter</w:t>
        </w:r>
        <w:r>
          <w:rPr>
            <w:color w:val="231F20"/>
            <w:spacing w:val="-6"/>
          </w:rPr>
          <w:t> </w:t>
        </w:r>
        <w:r>
          <w:rPr>
            <w:color w:val="231F20"/>
          </w:rPr>
          <w:t>3.</w:t>
        </w:r>
        <w:r>
          <w:rPr>
            <w:color w:val="231F20"/>
            <w:spacing w:val="5"/>
          </w:rPr>
          <w:t> </w:t>
        </w:r>
        <w:r>
          <w:rPr>
            <w:color w:val="231F20"/>
          </w:rPr>
          <w:t>Using</w:t>
        </w:r>
        <w:r>
          <w:rPr>
            <w:color w:val="231F20"/>
            <w:spacing w:val="5"/>
          </w:rPr>
          <w:t> </w:t>
        </w:r>
        <w:r>
          <w:rPr>
            <w:color w:val="231F20"/>
            <w:spacing w:val="-2"/>
          </w:rPr>
          <w:t>workspaces</w:t>
        </w:r>
      </w:hyperlink>
      <w:r>
        <w:rPr>
          <w:rFonts w:ascii="Times New Roman"/>
          <w:b w:val="0"/>
          <w:color w:val="231F20"/>
        </w:rPr>
        <w:tab/>
      </w:r>
      <w:hyperlink w:history="true" w:anchor="_bookmark24">
        <w:r>
          <w:rPr>
            <w:color w:val="231F20"/>
            <w:spacing w:val="-5"/>
          </w:rPr>
          <w:t>33</w:t>
        </w:r>
      </w:hyperlink>
    </w:p>
    <w:p>
      <w:pPr>
        <w:tabs>
          <w:tab w:pos="4986" w:val="right" w:leader="dot"/>
        </w:tabs>
        <w:spacing w:line="231" w:lineRule="exact" w:before="0"/>
        <w:ind w:left="436" w:right="0" w:firstLine="0"/>
        <w:jc w:val="left"/>
        <w:rPr>
          <w:sz w:val="18"/>
        </w:rPr>
      </w:pPr>
      <w:hyperlink w:history="true" w:anchor="_bookmark24">
        <w:r>
          <w:rPr>
            <w:color w:val="231F20"/>
            <w:spacing w:val="-2"/>
            <w:sz w:val="18"/>
          </w:rPr>
          <w:t>Workspace</w:t>
        </w:r>
        <w:r>
          <w:rPr>
            <w:color w:val="231F20"/>
            <w:spacing w:val="6"/>
            <w:sz w:val="18"/>
          </w:rPr>
          <w:t> </w:t>
        </w:r>
        <w:r>
          <w:rPr>
            <w:color w:val="231F20"/>
            <w:spacing w:val="-2"/>
            <w:sz w:val="18"/>
          </w:rPr>
          <w:t>characteristics</w:t>
        </w:r>
      </w:hyperlink>
      <w:r>
        <w:rPr>
          <w:rFonts w:ascii="Times New Roman"/>
          <w:color w:val="231F20"/>
          <w:sz w:val="18"/>
        </w:rPr>
        <w:tab/>
      </w:r>
      <w:hyperlink w:history="true" w:anchor="_bookmark24">
        <w:r>
          <w:rPr>
            <w:color w:val="231F20"/>
            <w:spacing w:val="-5"/>
            <w:sz w:val="18"/>
          </w:rPr>
          <w:t>33</w:t>
        </w:r>
      </w:hyperlink>
    </w:p>
    <w:p>
      <w:pPr>
        <w:tabs>
          <w:tab w:pos="4986" w:val="right" w:leader="dot"/>
        </w:tabs>
        <w:spacing w:line="220" w:lineRule="exact" w:before="0"/>
        <w:ind w:left="436" w:right="0" w:firstLine="0"/>
        <w:jc w:val="left"/>
        <w:rPr>
          <w:sz w:val="18"/>
        </w:rPr>
      </w:pPr>
      <w:hyperlink w:history="true" w:anchor="_bookmark25">
        <w:r>
          <w:rPr>
            <w:color w:val="231F20"/>
            <w:sz w:val="18"/>
          </w:rPr>
          <w:t>Organization</w:t>
        </w:r>
        <w:r>
          <w:rPr>
            <w:color w:val="231F20"/>
            <w:spacing w:val="4"/>
            <w:sz w:val="18"/>
          </w:rPr>
          <w:t> </w:t>
        </w:r>
        <w:r>
          <w:rPr>
            <w:color w:val="231F20"/>
            <w:sz w:val="18"/>
          </w:rPr>
          <w:t>of</w:t>
        </w:r>
        <w:r>
          <w:rPr>
            <w:color w:val="231F20"/>
            <w:spacing w:val="4"/>
            <w:sz w:val="18"/>
          </w:rPr>
          <w:t> </w:t>
        </w:r>
        <w:r>
          <w:rPr>
            <w:color w:val="231F20"/>
            <w:sz w:val="18"/>
          </w:rPr>
          <w:t>predefined</w:t>
        </w:r>
        <w:r>
          <w:rPr>
            <w:color w:val="231F20"/>
            <w:spacing w:val="5"/>
            <w:sz w:val="18"/>
          </w:rPr>
          <w:t> </w:t>
        </w:r>
        <w:r>
          <w:rPr>
            <w:color w:val="231F20"/>
            <w:spacing w:val="-2"/>
            <w:sz w:val="18"/>
          </w:rPr>
          <w:t>workspaces</w:t>
        </w:r>
      </w:hyperlink>
      <w:r>
        <w:rPr>
          <w:rFonts w:ascii="Times New Roman"/>
          <w:color w:val="231F20"/>
          <w:sz w:val="18"/>
        </w:rPr>
        <w:tab/>
      </w:r>
      <w:hyperlink w:history="true" w:anchor="_bookmark25">
        <w:r>
          <w:rPr>
            <w:color w:val="231F20"/>
            <w:spacing w:val="-5"/>
            <w:sz w:val="18"/>
          </w:rPr>
          <w:t>34</w:t>
        </w:r>
      </w:hyperlink>
    </w:p>
    <w:p>
      <w:pPr>
        <w:tabs>
          <w:tab w:pos="4986" w:val="right" w:leader="dot"/>
        </w:tabs>
        <w:spacing w:line="220" w:lineRule="exact" w:before="0"/>
        <w:ind w:left="436" w:right="0" w:firstLine="0"/>
        <w:jc w:val="left"/>
        <w:rPr>
          <w:sz w:val="18"/>
        </w:rPr>
      </w:pPr>
      <w:hyperlink w:history="true" w:anchor="_bookmark26">
        <w:r>
          <w:rPr>
            <w:color w:val="231F20"/>
            <w:sz w:val="18"/>
          </w:rPr>
          <w:t>Opening</w:t>
        </w:r>
        <w:r>
          <w:rPr>
            <w:color w:val="231F20"/>
            <w:spacing w:val="10"/>
            <w:sz w:val="18"/>
          </w:rPr>
          <w:t> </w:t>
        </w:r>
        <w:r>
          <w:rPr>
            <w:color w:val="231F20"/>
            <w:sz w:val="18"/>
          </w:rPr>
          <w:t>a</w:t>
        </w:r>
        <w:r>
          <w:rPr>
            <w:color w:val="231F20"/>
            <w:spacing w:val="10"/>
            <w:sz w:val="18"/>
          </w:rPr>
          <w:t> </w:t>
        </w:r>
        <w:r>
          <w:rPr>
            <w:color w:val="231F20"/>
            <w:spacing w:val="-2"/>
            <w:sz w:val="18"/>
          </w:rPr>
          <w:t>workspace</w:t>
        </w:r>
      </w:hyperlink>
      <w:r>
        <w:rPr>
          <w:rFonts w:ascii="Times New Roman"/>
          <w:color w:val="231F20"/>
          <w:sz w:val="18"/>
        </w:rPr>
        <w:tab/>
      </w:r>
      <w:hyperlink w:history="true" w:anchor="_bookmark26">
        <w:r>
          <w:rPr>
            <w:color w:val="231F20"/>
            <w:spacing w:val="-5"/>
            <w:sz w:val="18"/>
          </w:rPr>
          <w:t>36</w:t>
        </w:r>
      </w:hyperlink>
    </w:p>
    <w:p>
      <w:pPr>
        <w:tabs>
          <w:tab w:pos="4986" w:val="right" w:leader="dot"/>
        </w:tabs>
        <w:spacing w:line="220" w:lineRule="exact" w:before="0"/>
        <w:ind w:left="436" w:right="0" w:firstLine="0"/>
        <w:jc w:val="left"/>
        <w:rPr>
          <w:sz w:val="18"/>
        </w:rPr>
      </w:pPr>
      <w:hyperlink w:history="true" w:anchor="_bookmark27">
        <w:r>
          <w:rPr>
            <w:color w:val="231F20"/>
            <w:sz w:val="18"/>
          </w:rPr>
          <w:t>Opening</w:t>
        </w:r>
        <w:r>
          <w:rPr>
            <w:color w:val="231F20"/>
            <w:spacing w:val="10"/>
            <w:sz w:val="18"/>
          </w:rPr>
          <w:t> </w:t>
        </w:r>
        <w:r>
          <w:rPr>
            <w:color w:val="231F20"/>
            <w:sz w:val="18"/>
          </w:rPr>
          <w:t>a</w:t>
        </w:r>
        <w:r>
          <w:rPr>
            <w:color w:val="231F20"/>
            <w:spacing w:val="10"/>
            <w:sz w:val="18"/>
          </w:rPr>
          <w:t> </w:t>
        </w:r>
        <w:r>
          <w:rPr>
            <w:color w:val="231F20"/>
            <w:sz w:val="18"/>
          </w:rPr>
          <w:t>new</w:t>
        </w:r>
        <w:r>
          <w:rPr>
            <w:color w:val="231F20"/>
            <w:spacing w:val="10"/>
            <w:sz w:val="18"/>
          </w:rPr>
          <w:t> </w:t>
        </w:r>
        <w:r>
          <w:rPr>
            <w:color w:val="231F20"/>
            <w:spacing w:val="-2"/>
            <w:sz w:val="18"/>
          </w:rPr>
          <w:t>window</w:t>
        </w:r>
      </w:hyperlink>
      <w:r>
        <w:rPr>
          <w:rFonts w:ascii="Times New Roman"/>
          <w:color w:val="231F20"/>
          <w:sz w:val="18"/>
        </w:rPr>
        <w:tab/>
      </w:r>
      <w:hyperlink w:history="true" w:anchor="_bookmark27">
        <w:r>
          <w:rPr>
            <w:color w:val="231F20"/>
            <w:spacing w:val="-5"/>
            <w:sz w:val="18"/>
          </w:rPr>
          <w:t>37</w:t>
        </w:r>
      </w:hyperlink>
    </w:p>
    <w:p>
      <w:pPr>
        <w:tabs>
          <w:tab w:pos="4986" w:val="right" w:leader="dot"/>
        </w:tabs>
        <w:spacing w:line="220" w:lineRule="exact" w:before="0"/>
        <w:ind w:left="436" w:right="0" w:firstLine="0"/>
        <w:jc w:val="left"/>
        <w:rPr>
          <w:sz w:val="18"/>
        </w:rPr>
      </w:pPr>
      <w:hyperlink w:history="true" w:anchor="_bookmark28">
        <w:r>
          <w:rPr>
            <w:color w:val="231F20"/>
            <w:spacing w:val="-2"/>
            <w:sz w:val="18"/>
          </w:rPr>
          <w:t>Tabbed</w:t>
        </w:r>
        <w:r>
          <w:rPr>
            <w:color w:val="231F20"/>
            <w:spacing w:val="3"/>
            <w:sz w:val="18"/>
          </w:rPr>
          <w:t> </w:t>
        </w:r>
        <w:r>
          <w:rPr>
            <w:color w:val="231F20"/>
            <w:spacing w:val="-2"/>
            <w:sz w:val="18"/>
          </w:rPr>
          <w:t>workspaces</w:t>
        </w:r>
      </w:hyperlink>
      <w:r>
        <w:rPr>
          <w:rFonts w:ascii="Times New Roman"/>
          <w:color w:val="231F20"/>
          <w:sz w:val="18"/>
        </w:rPr>
        <w:tab/>
      </w:r>
      <w:hyperlink w:history="true" w:anchor="_bookmark28">
        <w:r>
          <w:rPr>
            <w:color w:val="231F20"/>
            <w:spacing w:val="-5"/>
            <w:sz w:val="18"/>
          </w:rPr>
          <w:t>38</w:t>
        </w:r>
      </w:hyperlink>
    </w:p>
    <w:p>
      <w:pPr>
        <w:tabs>
          <w:tab w:pos="4986" w:val="right" w:leader="dot"/>
        </w:tabs>
        <w:spacing w:line="220" w:lineRule="exact" w:before="0"/>
        <w:ind w:left="436" w:right="0" w:firstLine="0"/>
        <w:jc w:val="left"/>
        <w:rPr>
          <w:sz w:val="18"/>
        </w:rPr>
      </w:pPr>
      <w:hyperlink w:history="true" w:anchor="_bookmark29">
        <w:r>
          <w:rPr>
            <w:color w:val="231F20"/>
            <w:sz w:val="18"/>
          </w:rPr>
          <w:t>Refreshing</w:t>
        </w:r>
        <w:r>
          <w:rPr>
            <w:color w:val="231F20"/>
            <w:spacing w:val="7"/>
            <w:sz w:val="18"/>
          </w:rPr>
          <w:t> </w:t>
        </w:r>
        <w:r>
          <w:rPr>
            <w:color w:val="231F20"/>
            <w:sz w:val="18"/>
          </w:rPr>
          <w:t>a</w:t>
        </w:r>
        <w:r>
          <w:rPr>
            <w:color w:val="231F20"/>
            <w:spacing w:val="7"/>
            <w:sz w:val="18"/>
          </w:rPr>
          <w:t> </w:t>
        </w:r>
        <w:r>
          <w:rPr>
            <w:color w:val="231F20"/>
            <w:spacing w:val="-2"/>
            <w:sz w:val="18"/>
          </w:rPr>
          <w:t>workspace</w:t>
        </w:r>
      </w:hyperlink>
      <w:r>
        <w:rPr>
          <w:rFonts w:ascii="Times New Roman"/>
          <w:color w:val="231F20"/>
          <w:sz w:val="18"/>
        </w:rPr>
        <w:tab/>
      </w:r>
      <w:hyperlink w:history="true" w:anchor="_bookmark29">
        <w:r>
          <w:rPr>
            <w:color w:val="231F20"/>
            <w:spacing w:val="-5"/>
            <w:sz w:val="18"/>
          </w:rPr>
          <w:t>39</w:t>
        </w:r>
      </w:hyperlink>
    </w:p>
    <w:p>
      <w:pPr>
        <w:tabs>
          <w:tab w:pos="4986" w:val="right" w:leader="dot"/>
        </w:tabs>
        <w:spacing w:line="220" w:lineRule="exact" w:before="0"/>
        <w:ind w:left="436" w:right="0" w:firstLine="0"/>
        <w:jc w:val="left"/>
        <w:rPr>
          <w:sz w:val="18"/>
        </w:rPr>
      </w:pPr>
      <w:hyperlink w:history="true" w:anchor="_bookmark30">
        <w:r>
          <w:rPr>
            <w:color w:val="231F20"/>
            <w:sz w:val="18"/>
          </w:rPr>
          <w:t>Suspending</w:t>
        </w:r>
        <w:r>
          <w:rPr>
            <w:color w:val="231F20"/>
            <w:spacing w:val="7"/>
            <w:sz w:val="18"/>
          </w:rPr>
          <w:t> </w:t>
        </w:r>
        <w:r>
          <w:rPr>
            <w:color w:val="231F20"/>
            <w:sz w:val="18"/>
          </w:rPr>
          <w:t>and</w:t>
        </w:r>
        <w:r>
          <w:rPr>
            <w:color w:val="231F20"/>
            <w:spacing w:val="7"/>
            <w:sz w:val="18"/>
          </w:rPr>
          <w:t> </w:t>
        </w:r>
        <w:r>
          <w:rPr>
            <w:color w:val="231F20"/>
            <w:sz w:val="18"/>
          </w:rPr>
          <w:t>stopping</w:t>
        </w:r>
        <w:r>
          <w:rPr>
            <w:color w:val="231F20"/>
            <w:spacing w:val="8"/>
            <w:sz w:val="18"/>
          </w:rPr>
          <w:t> </w:t>
        </w:r>
        <w:r>
          <w:rPr>
            <w:color w:val="231F20"/>
            <w:spacing w:val="-2"/>
            <w:sz w:val="18"/>
          </w:rPr>
          <w:t>refresh</w:t>
        </w:r>
      </w:hyperlink>
      <w:r>
        <w:rPr>
          <w:rFonts w:ascii="Times New Roman"/>
          <w:color w:val="231F20"/>
          <w:sz w:val="18"/>
        </w:rPr>
        <w:tab/>
      </w:r>
      <w:hyperlink w:history="true" w:anchor="_bookmark30">
        <w:r>
          <w:rPr>
            <w:color w:val="231F20"/>
            <w:spacing w:val="-5"/>
            <w:sz w:val="18"/>
          </w:rPr>
          <w:t>40</w:t>
        </w:r>
      </w:hyperlink>
    </w:p>
    <w:p>
      <w:pPr>
        <w:tabs>
          <w:tab w:pos="4986" w:val="right" w:leader="dot"/>
        </w:tabs>
        <w:spacing w:line="220" w:lineRule="exact" w:before="0"/>
        <w:ind w:left="436" w:right="0" w:firstLine="0"/>
        <w:jc w:val="left"/>
        <w:rPr>
          <w:sz w:val="18"/>
        </w:rPr>
      </w:pPr>
      <w:hyperlink w:history="true" w:anchor="_bookmark30">
        <w:r>
          <w:rPr>
            <w:color w:val="231F20"/>
            <w:sz w:val="18"/>
          </w:rPr>
          <w:t>Linking</w:t>
        </w:r>
        <w:r>
          <w:rPr>
            <w:color w:val="231F20"/>
            <w:spacing w:val="11"/>
            <w:sz w:val="18"/>
          </w:rPr>
          <w:t> </w:t>
        </w:r>
        <w:r>
          <w:rPr>
            <w:color w:val="231F20"/>
            <w:sz w:val="18"/>
          </w:rPr>
          <w:t>to</w:t>
        </w:r>
        <w:r>
          <w:rPr>
            <w:color w:val="231F20"/>
            <w:spacing w:val="11"/>
            <w:sz w:val="18"/>
          </w:rPr>
          <w:t> </w:t>
        </w:r>
        <w:r>
          <w:rPr>
            <w:color w:val="231F20"/>
            <w:sz w:val="18"/>
          </w:rPr>
          <w:t>a</w:t>
        </w:r>
        <w:r>
          <w:rPr>
            <w:color w:val="231F20"/>
            <w:spacing w:val="11"/>
            <w:sz w:val="18"/>
          </w:rPr>
          <w:t> </w:t>
        </w:r>
        <w:r>
          <w:rPr>
            <w:color w:val="231F20"/>
            <w:spacing w:val="-2"/>
            <w:sz w:val="18"/>
          </w:rPr>
          <w:t>workspace</w:t>
        </w:r>
      </w:hyperlink>
      <w:r>
        <w:rPr>
          <w:rFonts w:ascii="Times New Roman"/>
          <w:color w:val="231F20"/>
          <w:sz w:val="18"/>
        </w:rPr>
        <w:tab/>
      </w:r>
      <w:hyperlink w:history="true" w:anchor="_bookmark30">
        <w:r>
          <w:rPr>
            <w:color w:val="231F20"/>
            <w:spacing w:val="-5"/>
            <w:sz w:val="18"/>
          </w:rPr>
          <w:t>40</w:t>
        </w:r>
      </w:hyperlink>
    </w:p>
    <w:p>
      <w:pPr>
        <w:tabs>
          <w:tab w:pos="4986" w:val="right" w:leader="dot"/>
        </w:tabs>
        <w:spacing w:line="220" w:lineRule="exact" w:before="0"/>
        <w:ind w:left="436" w:right="0" w:firstLine="0"/>
        <w:jc w:val="left"/>
        <w:rPr>
          <w:sz w:val="18"/>
        </w:rPr>
      </w:pPr>
      <w:hyperlink w:history="true" w:anchor="_bookmark31">
        <w:r>
          <w:rPr>
            <w:color w:val="231F20"/>
            <w:sz w:val="18"/>
          </w:rPr>
          <w:t>View</w:t>
        </w:r>
        <w:r>
          <w:rPr>
            <w:color w:val="231F20"/>
            <w:spacing w:val="8"/>
            <w:sz w:val="18"/>
          </w:rPr>
          <w:t> </w:t>
        </w:r>
        <w:r>
          <w:rPr>
            <w:color w:val="231F20"/>
            <w:sz w:val="18"/>
          </w:rPr>
          <w:t>title</w:t>
        </w:r>
        <w:r>
          <w:rPr>
            <w:color w:val="231F20"/>
            <w:spacing w:val="8"/>
            <w:sz w:val="18"/>
          </w:rPr>
          <w:t> </w:t>
        </w:r>
        <w:r>
          <w:rPr>
            <w:color w:val="231F20"/>
            <w:sz w:val="18"/>
          </w:rPr>
          <w:t>bar</w:t>
        </w:r>
        <w:r>
          <w:rPr>
            <w:color w:val="231F20"/>
            <w:spacing w:val="8"/>
            <w:sz w:val="18"/>
          </w:rPr>
          <w:t> </w:t>
        </w:r>
        <w:r>
          <w:rPr>
            <w:color w:val="231F20"/>
            <w:sz w:val="18"/>
          </w:rPr>
          <w:t>and</w:t>
        </w:r>
        <w:r>
          <w:rPr>
            <w:color w:val="231F20"/>
            <w:spacing w:val="9"/>
            <w:sz w:val="18"/>
          </w:rPr>
          <w:t> </w:t>
        </w:r>
        <w:r>
          <w:rPr>
            <w:color w:val="231F20"/>
            <w:spacing w:val="-2"/>
            <w:sz w:val="18"/>
          </w:rPr>
          <w:t>toolbar</w:t>
        </w:r>
      </w:hyperlink>
      <w:r>
        <w:rPr>
          <w:rFonts w:ascii="Times New Roman"/>
          <w:color w:val="231F20"/>
          <w:sz w:val="18"/>
        </w:rPr>
        <w:tab/>
      </w:r>
      <w:hyperlink w:history="true" w:anchor="_bookmark31">
        <w:r>
          <w:rPr>
            <w:color w:val="231F20"/>
            <w:spacing w:val="-5"/>
            <w:sz w:val="18"/>
          </w:rPr>
          <w:t>41</w:t>
        </w:r>
      </w:hyperlink>
    </w:p>
    <w:p>
      <w:pPr>
        <w:tabs>
          <w:tab w:pos="4986" w:val="right" w:leader="dot"/>
        </w:tabs>
        <w:spacing w:line="220" w:lineRule="exact" w:before="0"/>
        <w:ind w:left="436" w:right="0" w:firstLine="0"/>
        <w:jc w:val="left"/>
        <w:rPr>
          <w:sz w:val="18"/>
        </w:rPr>
      </w:pPr>
      <w:hyperlink w:history="true" w:anchor="_bookmark32">
        <w:r>
          <w:rPr>
            <w:color w:val="231F20"/>
            <w:sz w:val="18"/>
          </w:rPr>
          <w:t>Setting</w:t>
        </w:r>
        <w:r>
          <w:rPr>
            <w:color w:val="231F20"/>
            <w:spacing w:val="10"/>
            <w:sz w:val="18"/>
          </w:rPr>
          <w:t> </w:t>
        </w:r>
        <w:r>
          <w:rPr>
            <w:color w:val="231F20"/>
            <w:sz w:val="18"/>
          </w:rPr>
          <w:t>a</w:t>
        </w:r>
        <w:r>
          <w:rPr>
            <w:color w:val="231F20"/>
            <w:spacing w:val="11"/>
            <w:sz w:val="18"/>
          </w:rPr>
          <w:t> </w:t>
        </w:r>
        <w:r>
          <w:rPr>
            <w:color w:val="231F20"/>
            <w:sz w:val="18"/>
          </w:rPr>
          <w:t>time</w:t>
        </w:r>
        <w:r>
          <w:rPr>
            <w:color w:val="231F20"/>
            <w:spacing w:val="11"/>
            <w:sz w:val="18"/>
          </w:rPr>
          <w:t> </w:t>
        </w:r>
        <w:r>
          <w:rPr>
            <w:color w:val="231F20"/>
            <w:sz w:val="18"/>
          </w:rPr>
          <w:t>span</w:t>
        </w:r>
        <w:r>
          <w:rPr>
            <w:color w:val="231F20"/>
            <w:spacing w:val="11"/>
            <w:sz w:val="18"/>
          </w:rPr>
          <w:t> </w:t>
        </w:r>
        <w:r>
          <w:rPr>
            <w:color w:val="231F20"/>
            <w:sz w:val="18"/>
          </w:rPr>
          <w:t>to</w:t>
        </w:r>
        <w:r>
          <w:rPr>
            <w:color w:val="231F20"/>
            <w:spacing w:val="11"/>
            <w:sz w:val="18"/>
          </w:rPr>
          <w:t> </w:t>
        </w:r>
        <w:r>
          <w:rPr>
            <w:color w:val="231F20"/>
            <w:spacing w:val="-2"/>
            <w:sz w:val="18"/>
          </w:rPr>
          <w:t>display</w:t>
        </w:r>
      </w:hyperlink>
      <w:r>
        <w:rPr>
          <w:rFonts w:ascii="Times New Roman"/>
          <w:color w:val="231F20"/>
          <w:sz w:val="18"/>
        </w:rPr>
        <w:tab/>
      </w:r>
      <w:hyperlink w:history="true" w:anchor="_bookmark32">
        <w:r>
          <w:rPr>
            <w:color w:val="231F20"/>
            <w:spacing w:val="-5"/>
            <w:sz w:val="18"/>
          </w:rPr>
          <w:t>42</w:t>
        </w:r>
      </w:hyperlink>
    </w:p>
    <w:p>
      <w:pPr>
        <w:tabs>
          <w:tab w:pos="4986" w:val="right" w:leader="dot"/>
        </w:tabs>
        <w:spacing w:line="220" w:lineRule="exact" w:before="0"/>
        <w:ind w:left="436" w:right="0" w:firstLine="0"/>
        <w:jc w:val="left"/>
        <w:rPr>
          <w:sz w:val="18"/>
        </w:rPr>
      </w:pPr>
      <w:hyperlink w:history="true" w:anchor="_bookmark33">
        <w:r>
          <w:rPr>
            <w:color w:val="231F20"/>
            <w:sz w:val="18"/>
          </w:rPr>
          <w:t>Moving</w:t>
        </w:r>
        <w:r>
          <w:rPr>
            <w:color w:val="231F20"/>
            <w:spacing w:val="10"/>
            <w:sz w:val="18"/>
          </w:rPr>
          <w:t> </w:t>
        </w:r>
        <w:r>
          <w:rPr>
            <w:color w:val="231F20"/>
            <w:sz w:val="18"/>
          </w:rPr>
          <w:t>a</w:t>
        </w:r>
        <w:r>
          <w:rPr>
            <w:color w:val="231F20"/>
            <w:spacing w:val="10"/>
            <w:sz w:val="18"/>
          </w:rPr>
          <w:t> </w:t>
        </w:r>
        <w:r>
          <w:rPr>
            <w:color w:val="231F20"/>
            <w:spacing w:val="-4"/>
            <w:sz w:val="18"/>
          </w:rPr>
          <w:t>view</w:t>
        </w:r>
      </w:hyperlink>
      <w:r>
        <w:rPr>
          <w:rFonts w:ascii="Times New Roman"/>
          <w:color w:val="231F20"/>
          <w:sz w:val="18"/>
        </w:rPr>
        <w:tab/>
      </w:r>
      <w:hyperlink w:history="true" w:anchor="_bookmark33">
        <w:r>
          <w:rPr>
            <w:color w:val="231F20"/>
            <w:spacing w:val="-5"/>
            <w:sz w:val="18"/>
          </w:rPr>
          <w:t>43</w:t>
        </w:r>
      </w:hyperlink>
    </w:p>
    <w:p>
      <w:pPr>
        <w:tabs>
          <w:tab w:pos="4986" w:val="right" w:leader="dot"/>
        </w:tabs>
        <w:spacing w:line="220" w:lineRule="exact" w:before="0"/>
        <w:ind w:left="436" w:right="0" w:firstLine="0"/>
        <w:jc w:val="left"/>
        <w:rPr>
          <w:sz w:val="18"/>
        </w:rPr>
      </w:pPr>
      <w:hyperlink w:history="true" w:anchor="_bookmark34">
        <w:r>
          <w:rPr>
            <w:color w:val="231F20"/>
            <w:sz w:val="18"/>
          </w:rPr>
          <w:t>Reordering</w:t>
        </w:r>
        <w:r>
          <w:rPr>
            <w:color w:val="231F20"/>
            <w:spacing w:val="6"/>
            <w:sz w:val="18"/>
          </w:rPr>
          <w:t> </w:t>
        </w:r>
        <w:r>
          <w:rPr>
            <w:color w:val="231F20"/>
            <w:sz w:val="18"/>
          </w:rPr>
          <w:t>columns</w:t>
        </w:r>
        <w:r>
          <w:rPr>
            <w:color w:val="231F20"/>
            <w:spacing w:val="6"/>
            <w:sz w:val="18"/>
          </w:rPr>
          <w:t> </w:t>
        </w:r>
        <w:r>
          <w:rPr>
            <w:color w:val="231F20"/>
            <w:sz w:val="18"/>
          </w:rPr>
          <w:t>and</w:t>
        </w:r>
        <w:r>
          <w:rPr>
            <w:color w:val="231F20"/>
            <w:spacing w:val="7"/>
            <w:sz w:val="18"/>
          </w:rPr>
          <w:t> </w:t>
        </w:r>
        <w:r>
          <w:rPr>
            <w:color w:val="231F20"/>
            <w:spacing w:val="-4"/>
            <w:sz w:val="18"/>
          </w:rPr>
          <w:t>rows</w:t>
        </w:r>
      </w:hyperlink>
      <w:r>
        <w:rPr>
          <w:rFonts w:ascii="Times New Roman"/>
          <w:color w:val="231F20"/>
          <w:sz w:val="18"/>
        </w:rPr>
        <w:tab/>
      </w:r>
      <w:hyperlink w:history="true" w:anchor="_bookmark34">
        <w:r>
          <w:rPr>
            <w:color w:val="231F20"/>
            <w:spacing w:val="-5"/>
            <w:sz w:val="18"/>
          </w:rPr>
          <w:t>44</w:t>
        </w:r>
      </w:hyperlink>
    </w:p>
    <w:p>
      <w:pPr>
        <w:tabs>
          <w:tab w:pos="4986" w:val="right" w:leader="dot"/>
        </w:tabs>
        <w:spacing w:line="220" w:lineRule="exact" w:before="0"/>
        <w:ind w:left="436" w:right="0" w:firstLine="0"/>
        <w:jc w:val="left"/>
        <w:rPr>
          <w:sz w:val="18"/>
        </w:rPr>
      </w:pPr>
      <w:hyperlink w:history="true" w:anchor="_bookmark34">
        <w:r>
          <w:rPr>
            <w:color w:val="231F20"/>
            <w:sz w:val="18"/>
          </w:rPr>
          <w:t>Zooming</w:t>
        </w:r>
        <w:r>
          <w:rPr>
            <w:color w:val="231F20"/>
            <w:spacing w:val="9"/>
            <w:sz w:val="18"/>
          </w:rPr>
          <w:t> </w:t>
        </w:r>
        <w:r>
          <w:rPr>
            <w:color w:val="231F20"/>
            <w:sz w:val="18"/>
          </w:rPr>
          <w:t>a</w:t>
        </w:r>
        <w:r>
          <w:rPr>
            <w:color w:val="231F20"/>
            <w:spacing w:val="10"/>
            <w:sz w:val="18"/>
          </w:rPr>
          <w:t> </w:t>
        </w:r>
        <w:r>
          <w:rPr>
            <w:color w:val="231F20"/>
            <w:sz w:val="18"/>
          </w:rPr>
          <w:t>chart</w:t>
        </w:r>
        <w:r>
          <w:rPr>
            <w:color w:val="231F20"/>
            <w:spacing w:val="10"/>
            <w:sz w:val="18"/>
          </w:rPr>
          <w:t> </w:t>
        </w:r>
        <w:r>
          <w:rPr>
            <w:color w:val="231F20"/>
            <w:spacing w:val="-4"/>
            <w:sz w:val="18"/>
          </w:rPr>
          <w:t>view</w:t>
        </w:r>
      </w:hyperlink>
      <w:r>
        <w:rPr>
          <w:rFonts w:ascii="Times New Roman"/>
          <w:color w:val="231F20"/>
          <w:sz w:val="18"/>
        </w:rPr>
        <w:tab/>
      </w:r>
      <w:hyperlink w:history="true" w:anchor="_bookmark34">
        <w:r>
          <w:rPr>
            <w:color w:val="231F20"/>
            <w:spacing w:val="-5"/>
            <w:sz w:val="18"/>
          </w:rPr>
          <w:t>44</w:t>
        </w:r>
      </w:hyperlink>
    </w:p>
    <w:p>
      <w:pPr>
        <w:tabs>
          <w:tab w:pos="4986" w:val="right" w:leader="dot"/>
        </w:tabs>
        <w:spacing w:line="220" w:lineRule="exact" w:before="0"/>
        <w:ind w:left="436" w:right="0" w:firstLine="0"/>
        <w:jc w:val="left"/>
        <w:rPr>
          <w:sz w:val="18"/>
        </w:rPr>
      </w:pPr>
      <w:hyperlink w:history="true" w:anchor="_bookmark35">
        <w:r>
          <w:rPr>
            <w:color w:val="231F20"/>
            <w:sz w:val="18"/>
          </w:rPr>
          <w:t>Exporting</w:t>
        </w:r>
        <w:r>
          <w:rPr>
            <w:color w:val="231F20"/>
            <w:spacing w:val="7"/>
            <w:sz w:val="18"/>
          </w:rPr>
          <w:t> </w:t>
        </w:r>
        <w:r>
          <w:rPr>
            <w:color w:val="231F20"/>
            <w:sz w:val="18"/>
          </w:rPr>
          <w:t>a</w:t>
        </w:r>
        <w:r>
          <w:rPr>
            <w:color w:val="231F20"/>
            <w:spacing w:val="8"/>
            <w:sz w:val="18"/>
          </w:rPr>
          <w:t> </w:t>
        </w:r>
        <w:r>
          <w:rPr>
            <w:color w:val="231F20"/>
            <w:sz w:val="18"/>
          </w:rPr>
          <w:t>query-based</w:t>
        </w:r>
        <w:r>
          <w:rPr>
            <w:color w:val="231F20"/>
            <w:spacing w:val="8"/>
            <w:sz w:val="18"/>
          </w:rPr>
          <w:t> </w:t>
        </w:r>
        <w:r>
          <w:rPr>
            <w:color w:val="231F20"/>
            <w:spacing w:val="-4"/>
            <w:sz w:val="18"/>
          </w:rPr>
          <w:t>view</w:t>
        </w:r>
      </w:hyperlink>
      <w:r>
        <w:rPr>
          <w:rFonts w:ascii="Times New Roman"/>
          <w:color w:val="231F20"/>
          <w:sz w:val="18"/>
        </w:rPr>
        <w:tab/>
      </w:r>
      <w:hyperlink w:history="true" w:anchor="_bookmark35">
        <w:r>
          <w:rPr>
            <w:color w:val="231F20"/>
            <w:spacing w:val="-5"/>
            <w:sz w:val="18"/>
          </w:rPr>
          <w:t>45</w:t>
        </w:r>
      </w:hyperlink>
    </w:p>
    <w:p>
      <w:pPr>
        <w:tabs>
          <w:tab w:pos="4986" w:val="right" w:leader="dot"/>
        </w:tabs>
        <w:spacing w:line="220" w:lineRule="exact" w:before="0"/>
        <w:ind w:left="436" w:right="0" w:firstLine="0"/>
        <w:jc w:val="left"/>
        <w:rPr>
          <w:sz w:val="18"/>
        </w:rPr>
      </w:pPr>
      <w:hyperlink w:history="true" w:anchor="_bookmark36">
        <w:r>
          <w:rPr>
            <w:color w:val="231F20"/>
            <w:sz w:val="18"/>
          </w:rPr>
          <w:t>Finding</w:t>
        </w:r>
        <w:r>
          <w:rPr>
            <w:color w:val="231F20"/>
            <w:spacing w:val="9"/>
            <w:sz w:val="18"/>
          </w:rPr>
          <w:t> </w:t>
        </w:r>
        <w:r>
          <w:rPr>
            <w:color w:val="231F20"/>
            <w:sz w:val="18"/>
          </w:rPr>
          <w:t>text</w:t>
        </w:r>
        <w:r>
          <w:rPr>
            <w:color w:val="231F20"/>
            <w:spacing w:val="10"/>
            <w:sz w:val="18"/>
          </w:rPr>
          <w:t> </w:t>
        </w:r>
        <w:r>
          <w:rPr>
            <w:color w:val="231F20"/>
            <w:sz w:val="18"/>
          </w:rPr>
          <w:t>in</w:t>
        </w:r>
        <w:r>
          <w:rPr>
            <w:color w:val="231F20"/>
            <w:spacing w:val="10"/>
            <w:sz w:val="18"/>
          </w:rPr>
          <w:t> </w:t>
        </w:r>
        <w:r>
          <w:rPr>
            <w:color w:val="231F20"/>
            <w:sz w:val="18"/>
          </w:rPr>
          <w:t>a</w:t>
        </w:r>
        <w:r>
          <w:rPr>
            <w:color w:val="231F20"/>
            <w:spacing w:val="9"/>
            <w:sz w:val="18"/>
          </w:rPr>
          <w:t> </w:t>
        </w:r>
        <w:r>
          <w:rPr>
            <w:color w:val="231F20"/>
            <w:sz w:val="18"/>
          </w:rPr>
          <w:t>browser</w:t>
        </w:r>
        <w:r>
          <w:rPr>
            <w:color w:val="231F20"/>
            <w:spacing w:val="10"/>
            <w:sz w:val="18"/>
          </w:rPr>
          <w:t> </w:t>
        </w:r>
        <w:r>
          <w:rPr>
            <w:color w:val="231F20"/>
            <w:sz w:val="18"/>
          </w:rPr>
          <w:t>view</w:t>
        </w:r>
        <w:r>
          <w:rPr>
            <w:color w:val="231F20"/>
            <w:spacing w:val="10"/>
            <w:sz w:val="18"/>
          </w:rPr>
          <w:t> </w:t>
        </w:r>
        <w:r>
          <w:rPr>
            <w:color w:val="231F20"/>
            <w:sz w:val="18"/>
          </w:rPr>
          <w:t>or</w:t>
        </w:r>
        <w:r>
          <w:rPr>
            <w:color w:val="231F20"/>
            <w:spacing w:val="9"/>
            <w:sz w:val="18"/>
          </w:rPr>
          <w:t> </w:t>
        </w:r>
        <w:r>
          <w:rPr>
            <w:color w:val="231F20"/>
            <w:sz w:val="18"/>
          </w:rPr>
          <w:t>notepad</w:t>
        </w:r>
        <w:r>
          <w:rPr>
            <w:color w:val="231F20"/>
            <w:spacing w:val="10"/>
            <w:sz w:val="18"/>
          </w:rPr>
          <w:t> </w:t>
        </w:r>
        <w:r>
          <w:rPr>
            <w:color w:val="231F20"/>
            <w:spacing w:val="-4"/>
            <w:sz w:val="18"/>
          </w:rPr>
          <w:t>view</w:t>
        </w:r>
      </w:hyperlink>
      <w:r>
        <w:rPr>
          <w:rFonts w:ascii="Times New Roman"/>
          <w:color w:val="231F20"/>
          <w:sz w:val="18"/>
        </w:rPr>
        <w:tab/>
      </w:r>
      <w:hyperlink w:history="true" w:anchor="_bookmark36">
        <w:r>
          <w:rPr>
            <w:color w:val="231F20"/>
            <w:spacing w:val="-5"/>
            <w:sz w:val="18"/>
          </w:rPr>
          <w:t>46</w:t>
        </w:r>
      </w:hyperlink>
    </w:p>
    <w:p>
      <w:pPr>
        <w:tabs>
          <w:tab w:pos="4986" w:val="right" w:leader="dot"/>
        </w:tabs>
        <w:spacing w:line="220" w:lineRule="exact" w:before="0"/>
        <w:ind w:left="436" w:right="0" w:firstLine="0"/>
        <w:jc w:val="left"/>
        <w:rPr>
          <w:sz w:val="18"/>
        </w:rPr>
      </w:pPr>
      <w:hyperlink w:history="true" w:anchor="_bookmark36">
        <w:r>
          <w:rPr>
            <w:color w:val="231F20"/>
            <w:sz w:val="18"/>
          </w:rPr>
          <w:t>Finding</w:t>
        </w:r>
        <w:r>
          <w:rPr>
            <w:color w:val="231F20"/>
            <w:spacing w:val="8"/>
            <w:sz w:val="18"/>
          </w:rPr>
          <w:t> </w:t>
        </w:r>
        <w:r>
          <w:rPr>
            <w:color w:val="231F20"/>
            <w:sz w:val="18"/>
          </w:rPr>
          <w:t>table</w:t>
        </w:r>
        <w:r>
          <w:rPr>
            <w:color w:val="231F20"/>
            <w:spacing w:val="9"/>
            <w:sz w:val="18"/>
          </w:rPr>
          <w:t> </w:t>
        </w:r>
        <w:r>
          <w:rPr>
            <w:color w:val="231F20"/>
            <w:spacing w:val="-4"/>
            <w:sz w:val="18"/>
          </w:rPr>
          <w:t>data</w:t>
        </w:r>
      </w:hyperlink>
      <w:r>
        <w:rPr>
          <w:rFonts w:ascii="Times New Roman"/>
          <w:color w:val="231F20"/>
          <w:sz w:val="18"/>
        </w:rPr>
        <w:tab/>
      </w:r>
      <w:hyperlink w:history="true" w:anchor="_bookmark36">
        <w:r>
          <w:rPr>
            <w:color w:val="231F20"/>
            <w:spacing w:val="-5"/>
            <w:sz w:val="18"/>
          </w:rPr>
          <w:t>46</w:t>
        </w:r>
      </w:hyperlink>
    </w:p>
    <w:p>
      <w:pPr>
        <w:tabs>
          <w:tab w:pos="4986" w:val="right" w:leader="dot"/>
        </w:tabs>
        <w:spacing w:line="231" w:lineRule="exact" w:before="0"/>
        <w:ind w:left="436" w:right="0" w:firstLine="0"/>
        <w:jc w:val="left"/>
        <w:rPr>
          <w:sz w:val="18"/>
        </w:rPr>
      </w:pPr>
      <w:hyperlink w:history="true" w:anchor="_bookmark38">
        <w:r>
          <w:rPr>
            <w:color w:val="231F20"/>
            <w:sz w:val="18"/>
          </w:rPr>
          <w:t>Printing</w:t>
        </w:r>
        <w:r>
          <w:rPr>
            <w:color w:val="231F20"/>
            <w:spacing w:val="10"/>
            <w:sz w:val="18"/>
          </w:rPr>
          <w:t> </w:t>
        </w:r>
        <w:r>
          <w:rPr>
            <w:color w:val="231F20"/>
            <w:sz w:val="18"/>
          </w:rPr>
          <w:t>a</w:t>
        </w:r>
        <w:r>
          <w:rPr>
            <w:color w:val="231F20"/>
            <w:spacing w:val="11"/>
            <w:sz w:val="18"/>
          </w:rPr>
          <w:t> </w:t>
        </w:r>
        <w:r>
          <w:rPr>
            <w:color w:val="231F20"/>
            <w:sz w:val="18"/>
          </w:rPr>
          <w:t>view</w:t>
        </w:r>
        <w:r>
          <w:rPr>
            <w:color w:val="231F20"/>
            <w:spacing w:val="11"/>
            <w:sz w:val="18"/>
          </w:rPr>
          <w:t> </w:t>
        </w:r>
        <w:r>
          <w:rPr>
            <w:color w:val="231F20"/>
            <w:sz w:val="18"/>
          </w:rPr>
          <w:t>or</w:t>
        </w:r>
        <w:r>
          <w:rPr>
            <w:color w:val="231F20"/>
            <w:spacing w:val="10"/>
            <w:sz w:val="18"/>
          </w:rPr>
          <w:t> </w:t>
        </w:r>
        <w:r>
          <w:rPr>
            <w:color w:val="231F20"/>
            <w:spacing w:val="-2"/>
            <w:sz w:val="18"/>
          </w:rPr>
          <w:t>workspace</w:t>
        </w:r>
      </w:hyperlink>
      <w:r>
        <w:rPr>
          <w:rFonts w:ascii="Times New Roman"/>
          <w:color w:val="231F20"/>
          <w:sz w:val="18"/>
        </w:rPr>
        <w:tab/>
      </w:r>
      <w:hyperlink w:history="true" w:anchor="_bookmark38">
        <w:r>
          <w:rPr>
            <w:color w:val="231F20"/>
            <w:spacing w:val="-5"/>
            <w:sz w:val="18"/>
          </w:rPr>
          <w:t>49</w:t>
        </w:r>
      </w:hyperlink>
    </w:p>
    <w:p>
      <w:pPr>
        <w:pStyle w:val="Heading5"/>
        <w:spacing w:line="252" w:lineRule="exact" w:before="705"/>
        <w:ind w:left="436"/>
      </w:pPr>
      <w:r>
        <w:rPr>
          <w:b w:val="0"/>
        </w:rPr>
        <w:br w:type="column"/>
      </w:r>
      <w:hyperlink w:history="true" w:anchor="_bookmark39">
        <w:r>
          <w:rPr>
            <w:color w:val="231F20"/>
          </w:rPr>
          <w:t>Chapter</w:t>
        </w:r>
        <w:r>
          <w:rPr>
            <w:color w:val="231F20"/>
            <w:spacing w:val="-4"/>
          </w:rPr>
          <w:t> </w:t>
        </w:r>
        <w:r>
          <w:rPr>
            <w:color w:val="231F20"/>
          </w:rPr>
          <w:t>4.</w:t>
        </w:r>
        <w:r>
          <w:rPr>
            <w:color w:val="231F20"/>
            <w:spacing w:val="9"/>
          </w:rPr>
          <w:t> </w:t>
        </w:r>
        <w:r>
          <w:rPr>
            <w:color w:val="231F20"/>
          </w:rPr>
          <w:t>Responding</w:t>
        </w:r>
        <w:r>
          <w:rPr>
            <w:color w:val="231F20"/>
            <w:spacing w:val="8"/>
          </w:rPr>
          <w:t> </w:t>
        </w:r>
        <w:r>
          <w:rPr>
            <w:color w:val="231F20"/>
          </w:rPr>
          <w:t>to</w:t>
        </w:r>
        <w:r>
          <w:rPr>
            <w:color w:val="231F20"/>
            <w:spacing w:val="9"/>
          </w:rPr>
          <w:t> </w:t>
        </w:r>
        <w:r>
          <w:rPr>
            <w:color w:val="231F20"/>
          </w:rPr>
          <w:t>events</w:t>
        </w:r>
        <w:r>
          <w:rPr>
            <w:color w:val="231F20"/>
            <w:spacing w:val="25"/>
          </w:rPr>
          <w:t>  </w:t>
        </w:r>
        <w:r>
          <w:rPr>
            <w:color w:val="231F20"/>
          </w:rPr>
          <w:t>.</w:t>
        </w:r>
        <w:r>
          <w:rPr>
            <w:color w:val="231F20"/>
            <w:spacing w:val="25"/>
          </w:rPr>
          <w:t>  </w:t>
        </w:r>
        <w:r>
          <w:rPr>
            <w:color w:val="231F20"/>
          </w:rPr>
          <w:t>.</w:t>
        </w:r>
        <w:r>
          <w:rPr>
            <w:color w:val="231F20"/>
            <w:spacing w:val="25"/>
          </w:rPr>
          <w:t>  </w:t>
        </w:r>
        <w:r>
          <w:rPr>
            <w:color w:val="231F20"/>
          </w:rPr>
          <w:t>.</w:t>
        </w:r>
      </w:hyperlink>
      <w:r>
        <w:rPr>
          <w:color w:val="231F20"/>
          <w:spacing w:val="55"/>
        </w:rPr>
        <w:t> </w:t>
      </w:r>
      <w:hyperlink w:history="true" w:anchor="_bookmark39">
        <w:r>
          <w:rPr>
            <w:color w:val="231F20"/>
            <w:spacing w:val="-5"/>
          </w:rPr>
          <w:t>51</w:t>
        </w:r>
      </w:hyperlink>
    </w:p>
    <w:p>
      <w:pPr>
        <w:tabs>
          <w:tab w:pos="4807" w:val="left" w:leader="dot"/>
        </w:tabs>
        <w:spacing w:line="231" w:lineRule="exact" w:before="0"/>
        <w:ind w:left="436" w:right="0" w:firstLine="0"/>
        <w:jc w:val="left"/>
        <w:rPr>
          <w:sz w:val="18"/>
        </w:rPr>
      </w:pPr>
      <w:hyperlink w:history="true" w:anchor="_bookmark39">
        <w:r>
          <w:rPr>
            <w:color w:val="231F20"/>
            <w:sz w:val="18"/>
          </w:rPr>
          <w:t>Understanding</w:t>
        </w:r>
        <w:r>
          <w:rPr>
            <w:color w:val="231F20"/>
            <w:spacing w:val="4"/>
            <w:sz w:val="18"/>
          </w:rPr>
          <w:t> </w:t>
        </w:r>
        <w:r>
          <w:rPr>
            <w:color w:val="231F20"/>
            <w:sz w:val="18"/>
          </w:rPr>
          <w:t>situation</w:t>
        </w:r>
        <w:r>
          <w:rPr>
            <w:color w:val="231F20"/>
            <w:spacing w:val="4"/>
            <w:sz w:val="18"/>
          </w:rPr>
          <w:t> </w:t>
        </w:r>
        <w:r>
          <w:rPr>
            <w:color w:val="231F20"/>
            <w:spacing w:val="-2"/>
            <w:sz w:val="18"/>
          </w:rPr>
          <w:t>events</w:t>
        </w:r>
      </w:hyperlink>
      <w:r>
        <w:rPr>
          <w:rFonts w:ascii="Times New Roman"/>
          <w:color w:val="231F20"/>
          <w:sz w:val="18"/>
        </w:rPr>
        <w:tab/>
      </w:r>
      <w:hyperlink w:history="true" w:anchor="_bookmark39">
        <w:r>
          <w:rPr>
            <w:color w:val="231F20"/>
            <w:spacing w:val="-5"/>
            <w:sz w:val="18"/>
          </w:rPr>
          <w:t>51</w:t>
        </w:r>
      </w:hyperlink>
    </w:p>
    <w:p>
      <w:pPr>
        <w:tabs>
          <w:tab w:pos="4807" w:val="left" w:leader="dot"/>
        </w:tabs>
        <w:spacing w:line="220" w:lineRule="exact" w:before="0"/>
        <w:ind w:left="436" w:right="0" w:firstLine="0"/>
        <w:jc w:val="left"/>
        <w:rPr>
          <w:sz w:val="18"/>
        </w:rPr>
      </w:pPr>
      <w:hyperlink w:history="true" w:anchor="_bookmark40">
        <w:r>
          <w:rPr>
            <w:color w:val="231F20"/>
            <w:sz w:val="18"/>
          </w:rPr>
          <w:t>Opening</w:t>
        </w:r>
        <w:r>
          <w:rPr>
            <w:color w:val="231F20"/>
            <w:spacing w:val="7"/>
            <w:sz w:val="18"/>
          </w:rPr>
          <w:t> </w:t>
        </w:r>
        <w:r>
          <w:rPr>
            <w:color w:val="231F20"/>
            <w:sz w:val="18"/>
          </w:rPr>
          <w:t>the</w:t>
        </w:r>
        <w:r>
          <w:rPr>
            <w:color w:val="231F20"/>
            <w:spacing w:val="8"/>
            <w:sz w:val="18"/>
          </w:rPr>
          <w:t> </w:t>
        </w:r>
        <w:r>
          <w:rPr>
            <w:color w:val="231F20"/>
            <w:sz w:val="18"/>
          </w:rPr>
          <w:t>situation</w:t>
        </w:r>
        <w:r>
          <w:rPr>
            <w:color w:val="231F20"/>
            <w:spacing w:val="8"/>
            <w:sz w:val="18"/>
          </w:rPr>
          <w:t> </w:t>
        </w:r>
        <w:r>
          <w:rPr>
            <w:color w:val="231F20"/>
            <w:sz w:val="18"/>
          </w:rPr>
          <w:t>event</w:t>
        </w:r>
        <w:r>
          <w:rPr>
            <w:color w:val="231F20"/>
            <w:spacing w:val="8"/>
            <w:sz w:val="18"/>
          </w:rPr>
          <w:t> </w:t>
        </w:r>
        <w:r>
          <w:rPr>
            <w:color w:val="231F20"/>
            <w:sz w:val="18"/>
          </w:rPr>
          <w:t>results</w:t>
        </w:r>
        <w:r>
          <w:rPr>
            <w:color w:val="231F20"/>
            <w:spacing w:val="8"/>
            <w:sz w:val="18"/>
          </w:rPr>
          <w:t> </w:t>
        </w:r>
        <w:r>
          <w:rPr>
            <w:color w:val="231F20"/>
            <w:spacing w:val="-2"/>
            <w:sz w:val="18"/>
          </w:rPr>
          <w:t>workspace</w:t>
        </w:r>
      </w:hyperlink>
      <w:r>
        <w:rPr>
          <w:rFonts w:ascii="Times New Roman"/>
          <w:color w:val="231F20"/>
          <w:sz w:val="18"/>
        </w:rPr>
        <w:tab/>
      </w:r>
      <w:hyperlink w:history="true" w:anchor="_bookmark40">
        <w:r>
          <w:rPr>
            <w:color w:val="231F20"/>
            <w:spacing w:val="-5"/>
            <w:sz w:val="18"/>
          </w:rPr>
          <w:t>53</w:t>
        </w:r>
      </w:hyperlink>
    </w:p>
    <w:p>
      <w:pPr>
        <w:tabs>
          <w:tab w:pos="4807" w:val="left" w:leader="dot"/>
        </w:tabs>
        <w:spacing w:line="220" w:lineRule="exact" w:before="0"/>
        <w:ind w:left="436" w:right="0" w:firstLine="0"/>
        <w:jc w:val="left"/>
        <w:rPr>
          <w:sz w:val="18"/>
        </w:rPr>
      </w:pPr>
      <w:hyperlink w:history="true" w:anchor="_bookmark41">
        <w:r>
          <w:rPr>
            <w:color w:val="231F20"/>
            <w:sz w:val="18"/>
          </w:rPr>
          <w:t>Enterprise</w:t>
        </w:r>
        <w:r>
          <w:rPr>
            <w:color w:val="231F20"/>
            <w:spacing w:val="7"/>
            <w:sz w:val="18"/>
          </w:rPr>
          <w:t> </w:t>
        </w:r>
        <w:r>
          <w:rPr>
            <w:color w:val="231F20"/>
            <w:sz w:val="18"/>
          </w:rPr>
          <w:t>Status</w:t>
        </w:r>
        <w:r>
          <w:rPr>
            <w:color w:val="231F20"/>
            <w:spacing w:val="7"/>
            <w:sz w:val="18"/>
          </w:rPr>
          <w:t> </w:t>
        </w:r>
        <w:r>
          <w:rPr>
            <w:color w:val="231F20"/>
            <w:spacing w:val="-2"/>
            <w:sz w:val="18"/>
          </w:rPr>
          <w:t>workspace</w:t>
        </w:r>
      </w:hyperlink>
      <w:r>
        <w:rPr>
          <w:rFonts w:ascii="Times New Roman"/>
          <w:color w:val="231F20"/>
          <w:sz w:val="18"/>
        </w:rPr>
        <w:tab/>
      </w:r>
      <w:hyperlink w:history="true" w:anchor="_bookmark41">
        <w:r>
          <w:rPr>
            <w:color w:val="231F20"/>
            <w:spacing w:val="-5"/>
            <w:sz w:val="18"/>
          </w:rPr>
          <w:t>55</w:t>
        </w:r>
      </w:hyperlink>
    </w:p>
    <w:p>
      <w:pPr>
        <w:tabs>
          <w:tab w:pos="4807" w:val="left" w:leader="dot"/>
        </w:tabs>
        <w:spacing w:line="220" w:lineRule="exact" w:before="0"/>
        <w:ind w:left="436" w:right="0" w:firstLine="0"/>
        <w:jc w:val="left"/>
        <w:rPr>
          <w:sz w:val="18"/>
        </w:rPr>
      </w:pPr>
      <w:hyperlink w:history="true" w:anchor="_bookmark43">
        <w:r>
          <w:rPr>
            <w:color w:val="231F20"/>
            <w:sz w:val="18"/>
          </w:rPr>
          <w:t>Acknowledging</w:t>
        </w:r>
        <w:r>
          <w:rPr>
            <w:color w:val="231F20"/>
            <w:spacing w:val="6"/>
            <w:sz w:val="18"/>
          </w:rPr>
          <w:t> </w:t>
        </w:r>
        <w:r>
          <w:rPr>
            <w:color w:val="231F20"/>
            <w:sz w:val="18"/>
          </w:rPr>
          <w:t>an</w:t>
        </w:r>
        <w:r>
          <w:rPr>
            <w:color w:val="231F20"/>
            <w:spacing w:val="7"/>
            <w:sz w:val="18"/>
          </w:rPr>
          <w:t> </w:t>
        </w:r>
        <w:r>
          <w:rPr>
            <w:color w:val="231F20"/>
            <w:spacing w:val="-2"/>
            <w:sz w:val="18"/>
          </w:rPr>
          <w:t>event</w:t>
        </w:r>
      </w:hyperlink>
      <w:r>
        <w:rPr>
          <w:rFonts w:ascii="Times New Roman"/>
          <w:color w:val="231F20"/>
          <w:sz w:val="18"/>
        </w:rPr>
        <w:tab/>
      </w:r>
      <w:hyperlink w:history="true" w:anchor="_bookmark43">
        <w:r>
          <w:rPr>
            <w:color w:val="231F20"/>
            <w:spacing w:val="-5"/>
            <w:sz w:val="18"/>
          </w:rPr>
          <w:t>57</w:t>
        </w:r>
      </w:hyperlink>
    </w:p>
    <w:p>
      <w:pPr>
        <w:tabs>
          <w:tab w:pos="4807" w:val="left" w:leader="dot"/>
        </w:tabs>
        <w:spacing w:line="220" w:lineRule="exact" w:before="0"/>
        <w:ind w:left="676" w:right="0" w:firstLine="0"/>
        <w:jc w:val="left"/>
        <w:rPr>
          <w:sz w:val="18"/>
        </w:rPr>
      </w:pPr>
      <w:hyperlink w:history="true" w:anchor="_bookmark44">
        <w:r>
          <w:rPr>
            <w:color w:val="231F20"/>
            <w:sz w:val="18"/>
          </w:rPr>
          <w:t>Acknowledgement</w:t>
        </w:r>
        <w:r>
          <w:rPr>
            <w:color w:val="231F20"/>
            <w:spacing w:val="-2"/>
            <w:sz w:val="18"/>
          </w:rPr>
          <w:t> status</w:t>
        </w:r>
      </w:hyperlink>
      <w:r>
        <w:rPr>
          <w:rFonts w:ascii="Times New Roman"/>
          <w:color w:val="231F20"/>
          <w:sz w:val="18"/>
        </w:rPr>
        <w:tab/>
      </w:r>
      <w:hyperlink w:history="true" w:anchor="_bookmark44">
        <w:r>
          <w:rPr>
            <w:color w:val="231F20"/>
            <w:spacing w:val="-5"/>
            <w:sz w:val="18"/>
          </w:rPr>
          <w:t>58</w:t>
        </w:r>
      </w:hyperlink>
    </w:p>
    <w:p>
      <w:pPr>
        <w:spacing w:line="220" w:lineRule="exact" w:before="0"/>
        <w:ind w:left="676" w:right="0" w:firstLine="0"/>
        <w:jc w:val="left"/>
        <w:rPr>
          <w:sz w:val="18"/>
        </w:rPr>
      </w:pPr>
      <w:hyperlink w:history="true" w:anchor="_bookmark44">
        <w:r>
          <w:rPr>
            <w:color w:val="231F20"/>
            <w:sz w:val="18"/>
          </w:rPr>
          <w:t>Reviewing</w:t>
        </w:r>
        <w:r>
          <w:rPr>
            <w:color w:val="231F20"/>
            <w:spacing w:val="6"/>
            <w:sz w:val="18"/>
          </w:rPr>
          <w:t> </w:t>
        </w:r>
        <w:r>
          <w:rPr>
            <w:color w:val="231F20"/>
            <w:sz w:val="18"/>
          </w:rPr>
          <w:t>the</w:t>
        </w:r>
        <w:r>
          <w:rPr>
            <w:color w:val="231F20"/>
            <w:spacing w:val="7"/>
            <w:sz w:val="18"/>
          </w:rPr>
          <w:t> </w:t>
        </w:r>
        <w:r>
          <w:rPr>
            <w:color w:val="231F20"/>
            <w:sz w:val="18"/>
          </w:rPr>
          <w:t>acknowledgement</w:t>
        </w:r>
        <w:r>
          <w:rPr>
            <w:color w:val="231F20"/>
            <w:spacing w:val="7"/>
            <w:sz w:val="18"/>
          </w:rPr>
          <w:t> </w:t>
        </w:r>
        <w:r>
          <w:rPr>
            <w:color w:val="231F20"/>
            <w:sz w:val="18"/>
          </w:rPr>
          <w:t>and</w:t>
        </w:r>
        <w:r>
          <w:rPr>
            <w:color w:val="231F20"/>
            <w:spacing w:val="7"/>
            <w:sz w:val="18"/>
          </w:rPr>
          <w:t> </w:t>
        </w:r>
        <w:r>
          <w:rPr>
            <w:color w:val="231F20"/>
            <w:spacing w:val="-2"/>
            <w:sz w:val="18"/>
          </w:rPr>
          <w:t>adding</w:t>
        </w:r>
      </w:hyperlink>
    </w:p>
    <w:p>
      <w:pPr>
        <w:tabs>
          <w:tab w:pos="4807" w:val="left" w:leader="dot"/>
        </w:tabs>
        <w:spacing w:line="220" w:lineRule="exact" w:before="0"/>
        <w:ind w:left="676" w:right="0" w:firstLine="0"/>
        <w:jc w:val="left"/>
        <w:rPr>
          <w:sz w:val="18"/>
        </w:rPr>
      </w:pPr>
      <w:hyperlink w:history="true" w:anchor="_bookmark44">
        <w:r>
          <w:rPr>
            <w:color w:val="231F20"/>
            <w:spacing w:val="-2"/>
            <w:sz w:val="18"/>
          </w:rPr>
          <w:t>notes</w:t>
        </w:r>
      </w:hyperlink>
      <w:r>
        <w:rPr>
          <w:rFonts w:ascii="Times New Roman"/>
          <w:color w:val="231F20"/>
          <w:sz w:val="18"/>
        </w:rPr>
        <w:tab/>
      </w:r>
      <w:hyperlink w:history="true" w:anchor="_bookmark44">
        <w:r>
          <w:rPr>
            <w:color w:val="231F20"/>
            <w:spacing w:val="-5"/>
            <w:sz w:val="18"/>
          </w:rPr>
          <w:t>58</w:t>
        </w:r>
      </w:hyperlink>
    </w:p>
    <w:p>
      <w:pPr>
        <w:tabs>
          <w:tab w:pos="4807" w:val="left" w:leader="dot"/>
        </w:tabs>
        <w:spacing w:line="220" w:lineRule="exact" w:before="0"/>
        <w:ind w:left="676" w:right="0" w:firstLine="0"/>
        <w:jc w:val="left"/>
        <w:rPr>
          <w:sz w:val="18"/>
        </w:rPr>
      </w:pPr>
      <w:hyperlink w:history="true" w:anchor="_bookmark45">
        <w:r>
          <w:rPr>
            <w:color w:val="231F20"/>
            <w:sz w:val="18"/>
          </w:rPr>
          <w:t>Adding</w:t>
        </w:r>
        <w:r>
          <w:rPr>
            <w:color w:val="231F20"/>
            <w:spacing w:val="8"/>
            <w:sz w:val="18"/>
          </w:rPr>
          <w:t> </w:t>
        </w:r>
        <w:r>
          <w:rPr>
            <w:color w:val="231F20"/>
            <w:sz w:val="18"/>
          </w:rPr>
          <w:t>notes</w:t>
        </w:r>
        <w:r>
          <w:rPr>
            <w:color w:val="231F20"/>
            <w:spacing w:val="9"/>
            <w:sz w:val="18"/>
          </w:rPr>
          <w:t> </w:t>
        </w:r>
        <w:r>
          <w:rPr>
            <w:color w:val="231F20"/>
            <w:sz w:val="18"/>
          </w:rPr>
          <w:t>to</w:t>
        </w:r>
        <w:r>
          <w:rPr>
            <w:color w:val="231F20"/>
            <w:spacing w:val="9"/>
            <w:sz w:val="18"/>
          </w:rPr>
          <w:t> </w:t>
        </w:r>
        <w:r>
          <w:rPr>
            <w:color w:val="231F20"/>
            <w:sz w:val="18"/>
          </w:rPr>
          <w:t>an</w:t>
        </w:r>
        <w:r>
          <w:rPr>
            <w:color w:val="231F20"/>
            <w:spacing w:val="9"/>
            <w:sz w:val="18"/>
          </w:rPr>
          <w:t> </w:t>
        </w:r>
        <w:r>
          <w:rPr>
            <w:color w:val="231F20"/>
            <w:sz w:val="18"/>
          </w:rPr>
          <w:t>acknowledged</w:t>
        </w:r>
        <w:r>
          <w:rPr>
            <w:color w:val="231F20"/>
            <w:spacing w:val="9"/>
            <w:sz w:val="18"/>
          </w:rPr>
          <w:t> </w:t>
        </w:r>
        <w:r>
          <w:rPr>
            <w:color w:val="231F20"/>
            <w:spacing w:val="-2"/>
            <w:sz w:val="18"/>
          </w:rPr>
          <w:t>event</w:t>
        </w:r>
      </w:hyperlink>
      <w:r>
        <w:rPr>
          <w:rFonts w:ascii="Times New Roman"/>
          <w:color w:val="231F20"/>
          <w:sz w:val="18"/>
        </w:rPr>
        <w:tab/>
      </w:r>
      <w:hyperlink w:history="true" w:anchor="_bookmark45">
        <w:r>
          <w:rPr>
            <w:color w:val="231F20"/>
            <w:spacing w:val="-5"/>
            <w:sz w:val="18"/>
          </w:rPr>
          <w:t>59</w:t>
        </w:r>
      </w:hyperlink>
    </w:p>
    <w:p>
      <w:pPr>
        <w:tabs>
          <w:tab w:pos="4807" w:val="left" w:leader="dot"/>
        </w:tabs>
        <w:spacing w:line="220" w:lineRule="exact" w:before="0"/>
        <w:ind w:left="676" w:right="0" w:firstLine="0"/>
        <w:jc w:val="left"/>
        <w:rPr>
          <w:sz w:val="18"/>
        </w:rPr>
      </w:pPr>
      <w:hyperlink w:history="true" w:anchor="_bookmark46">
        <w:r>
          <w:rPr>
            <w:color w:val="231F20"/>
            <w:sz w:val="18"/>
          </w:rPr>
          <w:t>Removing</w:t>
        </w:r>
        <w:r>
          <w:rPr>
            <w:color w:val="231F20"/>
            <w:spacing w:val="8"/>
            <w:sz w:val="18"/>
          </w:rPr>
          <w:t> </w:t>
        </w:r>
        <w:r>
          <w:rPr>
            <w:color w:val="231F20"/>
            <w:sz w:val="18"/>
          </w:rPr>
          <w:t>an</w:t>
        </w:r>
        <w:r>
          <w:rPr>
            <w:color w:val="231F20"/>
            <w:spacing w:val="9"/>
            <w:sz w:val="18"/>
          </w:rPr>
          <w:t> </w:t>
        </w:r>
        <w:r>
          <w:rPr>
            <w:color w:val="231F20"/>
            <w:spacing w:val="-2"/>
            <w:sz w:val="18"/>
          </w:rPr>
          <w:t>acknowledgement</w:t>
        </w:r>
      </w:hyperlink>
      <w:r>
        <w:rPr>
          <w:rFonts w:ascii="Times New Roman"/>
          <w:color w:val="231F20"/>
          <w:sz w:val="18"/>
        </w:rPr>
        <w:tab/>
      </w:r>
      <w:hyperlink w:history="true" w:anchor="_bookmark46">
        <w:r>
          <w:rPr>
            <w:color w:val="231F20"/>
            <w:spacing w:val="-5"/>
            <w:sz w:val="18"/>
          </w:rPr>
          <w:t>60</w:t>
        </w:r>
      </w:hyperlink>
    </w:p>
    <w:p>
      <w:pPr>
        <w:tabs>
          <w:tab w:pos="4807" w:val="left" w:leader="dot"/>
        </w:tabs>
        <w:spacing w:line="220" w:lineRule="exact" w:before="0"/>
        <w:ind w:left="436" w:right="0" w:firstLine="0"/>
        <w:jc w:val="left"/>
        <w:rPr>
          <w:sz w:val="18"/>
        </w:rPr>
      </w:pPr>
      <w:hyperlink w:history="true" w:anchor="_bookmark46">
        <w:r>
          <w:rPr>
            <w:color w:val="231F20"/>
            <w:sz w:val="18"/>
          </w:rPr>
          <w:t>Closing</w:t>
        </w:r>
        <w:r>
          <w:rPr>
            <w:color w:val="231F20"/>
            <w:spacing w:val="9"/>
            <w:sz w:val="18"/>
          </w:rPr>
          <w:t> </w:t>
        </w:r>
        <w:r>
          <w:rPr>
            <w:color w:val="231F20"/>
            <w:sz w:val="18"/>
          </w:rPr>
          <w:t>a</w:t>
        </w:r>
        <w:r>
          <w:rPr>
            <w:color w:val="231F20"/>
            <w:spacing w:val="9"/>
            <w:sz w:val="18"/>
          </w:rPr>
          <w:t> </w:t>
        </w:r>
        <w:r>
          <w:rPr>
            <w:color w:val="231F20"/>
            <w:sz w:val="18"/>
          </w:rPr>
          <w:t>situation</w:t>
        </w:r>
        <w:r>
          <w:rPr>
            <w:color w:val="231F20"/>
            <w:spacing w:val="9"/>
            <w:sz w:val="18"/>
          </w:rPr>
          <w:t> </w:t>
        </w:r>
        <w:r>
          <w:rPr>
            <w:color w:val="231F20"/>
            <w:spacing w:val="-2"/>
            <w:sz w:val="18"/>
          </w:rPr>
          <w:t>event</w:t>
        </w:r>
      </w:hyperlink>
      <w:r>
        <w:rPr>
          <w:rFonts w:ascii="Times New Roman"/>
          <w:color w:val="231F20"/>
          <w:sz w:val="18"/>
        </w:rPr>
        <w:tab/>
      </w:r>
      <w:hyperlink w:history="true" w:anchor="_bookmark46">
        <w:r>
          <w:rPr>
            <w:color w:val="231F20"/>
            <w:spacing w:val="-5"/>
            <w:sz w:val="18"/>
          </w:rPr>
          <w:t>60</w:t>
        </w:r>
      </w:hyperlink>
    </w:p>
    <w:p>
      <w:pPr>
        <w:tabs>
          <w:tab w:pos="4807" w:val="left" w:leader="dot"/>
        </w:tabs>
        <w:spacing w:line="220" w:lineRule="exact" w:before="0"/>
        <w:ind w:left="436" w:right="0" w:firstLine="0"/>
        <w:jc w:val="left"/>
        <w:rPr>
          <w:sz w:val="18"/>
        </w:rPr>
      </w:pPr>
      <w:hyperlink w:history="true" w:anchor="_bookmark47">
        <w:r>
          <w:rPr>
            <w:color w:val="231F20"/>
            <w:sz w:val="18"/>
          </w:rPr>
          <w:t>Turning</w:t>
        </w:r>
        <w:r>
          <w:rPr>
            <w:color w:val="231F20"/>
            <w:spacing w:val="3"/>
            <w:sz w:val="18"/>
          </w:rPr>
          <w:t> </w:t>
        </w:r>
        <w:r>
          <w:rPr>
            <w:color w:val="231F20"/>
            <w:sz w:val="18"/>
          </w:rPr>
          <w:t>off</w:t>
        </w:r>
        <w:r>
          <w:rPr>
            <w:color w:val="231F20"/>
            <w:spacing w:val="3"/>
            <w:sz w:val="18"/>
          </w:rPr>
          <w:t> </w:t>
        </w:r>
        <w:r>
          <w:rPr>
            <w:color w:val="231F20"/>
            <w:sz w:val="18"/>
          </w:rPr>
          <w:t>the</w:t>
        </w:r>
        <w:r>
          <w:rPr>
            <w:color w:val="231F20"/>
            <w:spacing w:val="3"/>
            <w:sz w:val="18"/>
          </w:rPr>
          <w:t> </w:t>
        </w:r>
        <w:r>
          <w:rPr>
            <w:color w:val="231F20"/>
            <w:spacing w:val="-2"/>
            <w:sz w:val="18"/>
          </w:rPr>
          <w:t>sound</w:t>
        </w:r>
      </w:hyperlink>
      <w:r>
        <w:rPr>
          <w:rFonts w:ascii="Times New Roman"/>
          <w:color w:val="231F20"/>
          <w:sz w:val="18"/>
        </w:rPr>
        <w:tab/>
      </w:r>
      <w:hyperlink w:history="true" w:anchor="_bookmark47">
        <w:r>
          <w:rPr>
            <w:color w:val="231F20"/>
            <w:spacing w:val="-5"/>
            <w:sz w:val="18"/>
          </w:rPr>
          <w:t>61</w:t>
        </w:r>
      </w:hyperlink>
    </w:p>
    <w:p>
      <w:pPr>
        <w:tabs>
          <w:tab w:pos="4807" w:val="left" w:leader="dot"/>
        </w:tabs>
        <w:spacing w:line="231" w:lineRule="exact" w:before="0"/>
        <w:ind w:left="436" w:right="0" w:firstLine="0"/>
        <w:jc w:val="left"/>
        <w:rPr>
          <w:sz w:val="18"/>
        </w:rPr>
      </w:pPr>
      <w:hyperlink w:history="true" w:anchor="_bookmark48">
        <w:r>
          <w:rPr>
            <w:color w:val="231F20"/>
            <w:sz w:val="18"/>
          </w:rPr>
          <w:t>Event</w:t>
        </w:r>
        <w:r>
          <w:rPr>
            <w:color w:val="231F20"/>
            <w:spacing w:val="9"/>
            <w:sz w:val="18"/>
          </w:rPr>
          <w:t> </w:t>
        </w:r>
        <w:r>
          <w:rPr>
            <w:color w:val="231F20"/>
            <w:spacing w:val="-2"/>
            <w:sz w:val="18"/>
          </w:rPr>
          <w:t>reporting</w:t>
        </w:r>
      </w:hyperlink>
      <w:r>
        <w:rPr>
          <w:rFonts w:ascii="Times New Roman"/>
          <w:color w:val="231F20"/>
          <w:sz w:val="18"/>
        </w:rPr>
        <w:tab/>
      </w:r>
      <w:hyperlink w:history="true" w:anchor="_bookmark48">
        <w:r>
          <w:rPr>
            <w:color w:val="231F20"/>
            <w:spacing w:val="-5"/>
            <w:sz w:val="18"/>
          </w:rPr>
          <w:t>62</w:t>
        </w:r>
      </w:hyperlink>
    </w:p>
    <w:p>
      <w:pPr>
        <w:pStyle w:val="Heading5"/>
        <w:tabs>
          <w:tab w:pos="4742" w:val="left" w:leader="dot"/>
        </w:tabs>
        <w:spacing w:line="252" w:lineRule="exact" w:before="223"/>
        <w:ind w:left="436"/>
      </w:pPr>
      <w:hyperlink w:history="true" w:anchor="_bookmark49">
        <w:r>
          <w:rPr>
            <w:color w:val="231F20"/>
          </w:rPr>
          <w:t>Chapter</w:t>
        </w:r>
        <w:r>
          <w:rPr>
            <w:color w:val="231F20"/>
            <w:spacing w:val="-8"/>
          </w:rPr>
          <w:t> </w:t>
        </w:r>
        <w:r>
          <w:rPr>
            <w:color w:val="231F20"/>
          </w:rPr>
          <w:t>5.</w:t>
        </w:r>
        <w:r>
          <w:rPr>
            <w:color w:val="231F20"/>
            <w:spacing w:val="2"/>
          </w:rPr>
          <w:t> </w:t>
        </w:r>
        <w:r>
          <w:rPr>
            <w:color w:val="231F20"/>
          </w:rPr>
          <w:t>Customizing</w:t>
        </w:r>
        <w:r>
          <w:rPr>
            <w:color w:val="231F20"/>
            <w:spacing w:val="3"/>
          </w:rPr>
          <w:t> </w:t>
        </w:r>
        <w:r>
          <w:rPr>
            <w:color w:val="231F20"/>
            <w:spacing w:val="-2"/>
          </w:rPr>
          <w:t>workspaces</w:t>
        </w:r>
      </w:hyperlink>
      <w:r>
        <w:rPr>
          <w:rFonts w:ascii="Times New Roman"/>
          <w:b w:val="0"/>
          <w:color w:val="231F20"/>
        </w:rPr>
        <w:tab/>
      </w:r>
      <w:hyperlink w:history="true" w:anchor="_bookmark49">
        <w:r>
          <w:rPr>
            <w:color w:val="231F20"/>
            <w:spacing w:val="-5"/>
          </w:rPr>
          <w:t>63</w:t>
        </w:r>
      </w:hyperlink>
    </w:p>
    <w:p>
      <w:pPr>
        <w:tabs>
          <w:tab w:pos="4807" w:val="left" w:leader="dot"/>
        </w:tabs>
        <w:spacing w:line="231" w:lineRule="exact" w:before="0"/>
        <w:ind w:left="436" w:right="0" w:firstLine="0"/>
        <w:jc w:val="left"/>
        <w:rPr>
          <w:sz w:val="18"/>
        </w:rPr>
      </w:pPr>
      <w:hyperlink w:history="true" w:anchor="_bookmark49">
        <w:r>
          <w:rPr>
            <w:color w:val="231F20"/>
            <w:sz w:val="18"/>
          </w:rPr>
          <w:t>Custom</w:t>
        </w:r>
        <w:r>
          <w:rPr>
            <w:color w:val="231F20"/>
            <w:spacing w:val="8"/>
            <w:sz w:val="18"/>
          </w:rPr>
          <w:t> </w:t>
        </w:r>
        <w:r>
          <w:rPr>
            <w:color w:val="231F20"/>
            <w:sz w:val="18"/>
          </w:rPr>
          <w:t>workspace</w:t>
        </w:r>
        <w:r>
          <w:rPr>
            <w:color w:val="231F20"/>
            <w:spacing w:val="8"/>
            <w:sz w:val="18"/>
          </w:rPr>
          <w:t> </w:t>
        </w:r>
        <w:r>
          <w:rPr>
            <w:color w:val="231F20"/>
            <w:sz w:val="18"/>
          </w:rPr>
          <w:t>options</w:t>
        </w:r>
        <w:r>
          <w:rPr>
            <w:color w:val="231F20"/>
            <w:spacing w:val="8"/>
            <w:sz w:val="18"/>
          </w:rPr>
          <w:t> </w:t>
        </w:r>
        <w:r>
          <w:rPr>
            <w:color w:val="231F20"/>
            <w:sz w:val="18"/>
          </w:rPr>
          <w:t>and</w:t>
        </w:r>
        <w:r>
          <w:rPr>
            <w:color w:val="231F20"/>
            <w:spacing w:val="8"/>
            <w:sz w:val="18"/>
          </w:rPr>
          <w:t> </w:t>
        </w:r>
        <w:r>
          <w:rPr>
            <w:color w:val="231F20"/>
            <w:spacing w:val="-2"/>
            <w:sz w:val="18"/>
          </w:rPr>
          <w:t>guidelines</w:t>
        </w:r>
      </w:hyperlink>
      <w:r>
        <w:rPr>
          <w:rFonts w:ascii="Times New Roman"/>
          <w:color w:val="231F20"/>
          <w:sz w:val="18"/>
        </w:rPr>
        <w:tab/>
      </w:r>
      <w:hyperlink w:history="true" w:anchor="_bookmark49">
        <w:r>
          <w:rPr>
            <w:color w:val="231F20"/>
            <w:spacing w:val="-5"/>
            <w:sz w:val="18"/>
          </w:rPr>
          <w:t>63</w:t>
        </w:r>
      </w:hyperlink>
    </w:p>
    <w:p>
      <w:pPr>
        <w:tabs>
          <w:tab w:pos="4807" w:val="left" w:leader="dot"/>
        </w:tabs>
        <w:spacing w:line="220" w:lineRule="exact" w:before="0"/>
        <w:ind w:left="436" w:right="0" w:firstLine="0"/>
        <w:jc w:val="left"/>
        <w:rPr>
          <w:sz w:val="18"/>
        </w:rPr>
      </w:pPr>
      <w:hyperlink w:history="true" w:anchor="_bookmark50">
        <w:r>
          <w:rPr>
            <w:color w:val="231F20"/>
            <w:sz w:val="18"/>
          </w:rPr>
          <w:t>Tutorial:</w:t>
        </w:r>
        <w:r>
          <w:rPr>
            <w:color w:val="231F20"/>
            <w:spacing w:val="3"/>
            <w:sz w:val="18"/>
          </w:rPr>
          <w:t> </w:t>
        </w:r>
        <w:r>
          <w:rPr>
            <w:color w:val="231F20"/>
            <w:sz w:val="18"/>
          </w:rPr>
          <w:t>Defining</w:t>
        </w:r>
        <w:r>
          <w:rPr>
            <w:color w:val="231F20"/>
            <w:spacing w:val="3"/>
            <w:sz w:val="18"/>
          </w:rPr>
          <w:t> </w:t>
        </w:r>
        <w:r>
          <w:rPr>
            <w:color w:val="231F20"/>
            <w:sz w:val="18"/>
          </w:rPr>
          <w:t>a</w:t>
        </w:r>
        <w:r>
          <w:rPr>
            <w:color w:val="231F20"/>
            <w:spacing w:val="4"/>
            <w:sz w:val="18"/>
          </w:rPr>
          <w:t> </w:t>
        </w:r>
        <w:r>
          <w:rPr>
            <w:color w:val="231F20"/>
            <w:spacing w:val="-2"/>
            <w:sz w:val="18"/>
          </w:rPr>
          <w:t>workspace</w:t>
        </w:r>
      </w:hyperlink>
      <w:r>
        <w:rPr>
          <w:rFonts w:ascii="Times New Roman"/>
          <w:color w:val="231F20"/>
          <w:sz w:val="18"/>
        </w:rPr>
        <w:tab/>
      </w:r>
      <w:hyperlink w:history="true" w:anchor="_bookmark50">
        <w:r>
          <w:rPr>
            <w:color w:val="231F20"/>
            <w:spacing w:val="-7"/>
            <w:sz w:val="18"/>
          </w:rPr>
          <w:t>64</w:t>
        </w:r>
      </w:hyperlink>
    </w:p>
    <w:p>
      <w:pPr>
        <w:tabs>
          <w:tab w:pos="4807" w:val="left" w:leader="dot"/>
        </w:tabs>
        <w:spacing w:line="220" w:lineRule="exact" w:before="0"/>
        <w:ind w:left="436" w:right="0" w:firstLine="0"/>
        <w:jc w:val="left"/>
        <w:rPr>
          <w:sz w:val="18"/>
        </w:rPr>
      </w:pPr>
      <w:hyperlink w:history="true" w:anchor="_bookmark53">
        <w:r>
          <w:rPr>
            <w:color w:val="231F20"/>
            <w:sz w:val="18"/>
          </w:rPr>
          <w:t>Starting</w:t>
        </w:r>
        <w:r>
          <w:rPr>
            <w:color w:val="231F20"/>
            <w:spacing w:val="5"/>
            <w:sz w:val="18"/>
          </w:rPr>
          <w:t> </w:t>
        </w:r>
        <w:r>
          <w:rPr>
            <w:color w:val="231F20"/>
            <w:sz w:val="18"/>
          </w:rPr>
          <w:t>workspace</w:t>
        </w:r>
        <w:r>
          <w:rPr>
            <w:color w:val="231F20"/>
            <w:spacing w:val="5"/>
            <w:sz w:val="18"/>
          </w:rPr>
          <w:t> </w:t>
        </w:r>
        <w:r>
          <w:rPr>
            <w:color w:val="231F20"/>
            <w:sz w:val="18"/>
          </w:rPr>
          <w:t>administration</w:t>
        </w:r>
        <w:r>
          <w:rPr>
            <w:color w:val="231F20"/>
            <w:spacing w:val="5"/>
            <w:sz w:val="18"/>
          </w:rPr>
          <w:t> </w:t>
        </w:r>
        <w:r>
          <w:rPr>
            <w:color w:val="231F20"/>
            <w:spacing w:val="-4"/>
            <w:sz w:val="18"/>
          </w:rPr>
          <w:t>mode</w:t>
        </w:r>
      </w:hyperlink>
      <w:r>
        <w:rPr>
          <w:rFonts w:ascii="Times New Roman"/>
          <w:color w:val="231F20"/>
          <w:sz w:val="18"/>
        </w:rPr>
        <w:tab/>
      </w:r>
      <w:hyperlink w:history="true" w:anchor="_bookmark53">
        <w:r>
          <w:rPr>
            <w:color w:val="231F20"/>
            <w:spacing w:val="-5"/>
            <w:sz w:val="18"/>
          </w:rPr>
          <w:t>67</w:t>
        </w:r>
      </w:hyperlink>
    </w:p>
    <w:p>
      <w:pPr>
        <w:tabs>
          <w:tab w:pos="4807" w:val="left" w:leader="dot"/>
        </w:tabs>
        <w:spacing w:line="220" w:lineRule="exact" w:before="0"/>
        <w:ind w:left="436" w:right="0" w:firstLine="0"/>
        <w:jc w:val="left"/>
        <w:rPr>
          <w:sz w:val="18"/>
        </w:rPr>
      </w:pPr>
      <w:hyperlink w:history="true" w:anchor="_bookmark54">
        <w:r>
          <w:rPr>
            <w:color w:val="231F20"/>
            <w:spacing w:val="-2"/>
            <w:sz w:val="18"/>
          </w:rPr>
          <w:t>Workspace</w:t>
        </w:r>
        <w:r>
          <w:rPr>
            <w:color w:val="231F20"/>
            <w:spacing w:val="6"/>
            <w:sz w:val="18"/>
          </w:rPr>
          <w:t> </w:t>
        </w:r>
        <w:r>
          <w:rPr>
            <w:color w:val="231F20"/>
            <w:spacing w:val="-2"/>
            <w:sz w:val="18"/>
          </w:rPr>
          <w:t>properties</w:t>
        </w:r>
      </w:hyperlink>
      <w:r>
        <w:rPr>
          <w:rFonts w:ascii="Times New Roman"/>
          <w:color w:val="231F20"/>
          <w:sz w:val="18"/>
        </w:rPr>
        <w:tab/>
      </w:r>
      <w:hyperlink w:history="true" w:anchor="_bookmark54">
        <w:r>
          <w:rPr>
            <w:color w:val="231F20"/>
            <w:spacing w:val="-7"/>
            <w:sz w:val="18"/>
          </w:rPr>
          <w:t>68</w:t>
        </w:r>
      </w:hyperlink>
    </w:p>
    <w:p>
      <w:pPr>
        <w:tabs>
          <w:tab w:pos="4807" w:val="left" w:leader="dot"/>
        </w:tabs>
        <w:spacing w:line="220" w:lineRule="exact" w:before="0"/>
        <w:ind w:left="436" w:right="0" w:firstLine="0"/>
        <w:jc w:val="left"/>
        <w:rPr>
          <w:sz w:val="18"/>
        </w:rPr>
      </w:pPr>
      <w:hyperlink w:history="true" w:anchor="_bookmark55">
        <w:r>
          <w:rPr>
            <w:color w:val="231F20"/>
            <w:sz w:val="18"/>
          </w:rPr>
          <w:t>Creating</w:t>
        </w:r>
        <w:r>
          <w:rPr>
            <w:color w:val="231F20"/>
            <w:spacing w:val="8"/>
            <w:sz w:val="18"/>
          </w:rPr>
          <w:t> </w:t>
        </w:r>
        <w:r>
          <w:rPr>
            <w:color w:val="231F20"/>
            <w:sz w:val="18"/>
          </w:rPr>
          <w:t>a</w:t>
        </w:r>
        <w:r>
          <w:rPr>
            <w:color w:val="231F20"/>
            <w:spacing w:val="9"/>
            <w:sz w:val="18"/>
          </w:rPr>
          <w:t> </w:t>
        </w:r>
        <w:r>
          <w:rPr>
            <w:color w:val="231F20"/>
            <w:sz w:val="18"/>
          </w:rPr>
          <w:t>new</w:t>
        </w:r>
        <w:r>
          <w:rPr>
            <w:color w:val="231F20"/>
            <w:spacing w:val="9"/>
            <w:sz w:val="18"/>
          </w:rPr>
          <w:t> </w:t>
        </w:r>
        <w:r>
          <w:rPr>
            <w:color w:val="231F20"/>
            <w:spacing w:val="-2"/>
            <w:sz w:val="18"/>
          </w:rPr>
          <w:t>workspace</w:t>
        </w:r>
      </w:hyperlink>
      <w:r>
        <w:rPr>
          <w:rFonts w:ascii="Times New Roman"/>
          <w:color w:val="231F20"/>
          <w:sz w:val="18"/>
        </w:rPr>
        <w:tab/>
      </w:r>
      <w:hyperlink w:history="true" w:anchor="_bookmark55">
        <w:r>
          <w:rPr>
            <w:color w:val="231F20"/>
            <w:spacing w:val="-5"/>
            <w:sz w:val="18"/>
          </w:rPr>
          <w:t>69</w:t>
        </w:r>
      </w:hyperlink>
    </w:p>
    <w:p>
      <w:pPr>
        <w:tabs>
          <w:tab w:pos="4807" w:val="left" w:leader="dot"/>
        </w:tabs>
        <w:spacing w:line="220" w:lineRule="exact" w:before="0"/>
        <w:ind w:left="436" w:right="0" w:firstLine="0"/>
        <w:jc w:val="left"/>
        <w:rPr>
          <w:sz w:val="18"/>
        </w:rPr>
      </w:pPr>
      <w:hyperlink w:history="true" w:anchor="_bookmark56">
        <w:r>
          <w:rPr>
            <w:color w:val="231F20"/>
            <w:sz w:val="18"/>
          </w:rPr>
          <w:t>Saving</w:t>
        </w:r>
        <w:r>
          <w:rPr>
            <w:color w:val="231F20"/>
            <w:spacing w:val="10"/>
            <w:sz w:val="18"/>
          </w:rPr>
          <w:t> </w:t>
        </w:r>
        <w:r>
          <w:rPr>
            <w:color w:val="231F20"/>
            <w:sz w:val="18"/>
          </w:rPr>
          <w:t>a</w:t>
        </w:r>
        <w:r>
          <w:rPr>
            <w:color w:val="231F20"/>
            <w:spacing w:val="11"/>
            <w:sz w:val="18"/>
          </w:rPr>
          <w:t> </w:t>
        </w:r>
        <w:r>
          <w:rPr>
            <w:color w:val="231F20"/>
            <w:spacing w:val="-2"/>
            <w:sz w:val="18"/>
          </w:rPr>
          <w:t>workspace</w:t>
        </w:r>
      </w:hyperlink>
      <w:r>
        <w:rPr>
          <w:rFonts w:ascii="Times New Roman"/>
          <w:color w:val="231F20"/>
          <w:sz w:val="18"/>
        </w:rPr>
        <w:tab/>
      </w:r>
      <w:hyperlink w:history="true" w:anchor="_bookmark56">
        <w:r>
          <w:rPr>
            <w:color w:val="231F20"/>
            <w:spacing w:val="-5"/>
            <w:sz w:val="18"/>
          </w:rPr>
          <w:t>70</w:t>
        </w:r>
      </w:hyperlink>
    </w:p>
    <w:p>
      <w:pPr>
        <w:tabs>
          <w:tab w:pos="4807" w:val="left" w:leader="dot"/>
        </w:tabs>
        <w:spacing w:line="220" w:lineRule="exact" w:before="0"/>
        <w:ind w:left="436" w:right="0" w:firstLine="0"/>
        <w:jc w:val="left"/>
        <w:rPr>
          <w:sz w:val="18"/>
        </w:rPr>
      </w:pPr>
      <w:hyperlink w:history="true" w:anchor="_bookmark57">
        <w:r>
          <w:rPr>
            <w:color w:val="231F20"/>
            <w:sz w:val="18"/>
          </w:rPr>
          <w:t>Editing</w:t>
        </w:r>
        <w:r>
          <w:rPr>
            <w:color w:val="231F20"/>
            <w:spacing w:val="10"/>
            <w:sz w:val="18"/>
          </w:rPr>
          <w:t> </w:t>
        </w:r>
        <w:r>
          <w:rPr>
            <w:color w:val="231F20"/>
            <w:sz w:val="18"/>
          </w:rPr>
          <w:t>a</w:t>
        </w:r>
        <w:r>
          <w:rPr>
            <w:color w:val="231F20"/>
            <w:spacing w:val="11"/>
            <w:sz w:val="18"/>
          </w:rPr>
          <w:t> </w:t>
        </w:r>
        <w:r>
          <w:rPr>
            <w:color w:val="231F20"/>
            <w:spacing w:val="-2"/>
            <w:sz w:val="18"/>
          </w:rPr>
          <w:t>workspace</w:t>
        </w:r>
      </w:hyperlink>
      <w:r>
        <w:rPr>
          <w:rFonts w:ascii="Times New Roman"/>
          <w:color w:val="231F20"/>
          <w:sz w:val="18"/>
        </w:rPr>
        <w:tab/>
      </w:r>
      <w:hyperlink w:history="true" w:anchor="_bookmark57">
        <w:r>
          <w:rPr>
            <w:color w:val="231F20"/>
            <w:spacing w:val="-5"/>
            <w:sz w:val="18"/>
          </w:rPr>
          <w:t>71</w:t>
        </w:r>
      </w:hyperlink>
    </w:p>
    <w:p>
      <w:pPr>
        <w:tabs>
          <w:tab w:pos="4807" w:val="left" w:leader="dot"/>
        </w:tabs>
        <w:spacing w:line="220" w:lineRule="exact" w:before="0"/>
        <w:ind w:left="436" w:right="0" w:firstLine="0"/>
        <w:jc w:val="left"/>
        <w:rPr>
          <w:sz w:val="18"/>
        </w:rPr>
      </w:pPr>
      <w:hyperlink w:history="true" w:anchor="_bookmark57">
        <w:r>
          <w:rPr>
            <w:color w:val="231F20"/>
            <w:sz w:val="18"/>
          </w:rPr>
          <w:t>Renaming</w:t>
        </w:r>
        <w:r>
          <w:rPr>
            <w:color w:val="231F20"/>
            <w:spacing w:val="9"/>
            <w:sz w:val="18"/>
          </w:rPr>
          <w:t> </w:t>
        </w:r>
        <w:r>
          <w:rPr>
            <w:color w:val="231F20"/>
            <w:sz w:val="18"/>
          </w:rPr>
          <w:t>a</w:t>
        </w:r>
        <w:r>
          <w:rPr>
            <w:color w:val="231F20"/>
            <w:spacing w:val="9"/>
            <w:sz w:val="18"/>
          </w:rPr>
          <w:t> </w:t>
        </w:r>
        <w:r>
          <w:rPr>
            <w:color w:val="231F20"/>
            <w:spacing w:val="-2"/>
            <w:sz w:val="18"/>
          </w:rPr>
          <w:t>workspace</w:t>
        </w:r>
      </w:hyperlink>
      <w:r>
        <w:rPr>
          <w:rFonts w:ascii="Times New Roman"/>
          <w:color w:val="231F20"/>
          <w:sz w:val="18"/>
        </w:rPr>
        <w:tab/>
      </w:r>
      <w:hyperlink w:history="true" w:anchor="_bookmark57">
        <w:r>
          <w:rPr>
            <w:color w:val="231F20"/>
            <w:spacing w:val="-5"/>
            <w:sz w:val="18"/>
          </w:rPr>
          <w:t>71</w:t>
        </w:r>
      </w:hyperlink>
    </w:p>
    <w:p>
      <w:pPr>
        <w:tabs>
          <w:tab w:pos="4807" w:val="left" w:leader="dot"/>
        </w:tabs>
        <w:spacing w:line="220" w:lineRule="exact" w:before="0"/>
        <w:ind w:left="436" w:right="0" w:firstLine="0"/>
        <w:jc w:val="left"/>
        <w:rPr>
          <w:sz w:val="18"/>
        </w:rPr>
      </w:pPr>
      <w:hyperlink w:history="true" w:anchor="_bookmark58">
        <w:r>
          <w:rPr>
            <w:color w:val="231F20"/>
            <w:sz w:val="18"/>
          </w:rPr>
          <w:t>Deleting</w:t>
        </w:r>
        <w:r>
          <w:rPr>
            <w:color w:val="231F20"/>
            <w:spacing w:val="8"/>
            <w:sz w:val="18"/>
          </w:rPr>
          <w:t> </w:t>
        </w:r>
        <w:r>
          <w:rPr>
            <w:color w:val="231F20"/>
            <w:sz w:val="18"/>
          </w:rPr>
          <w:t>or</w:t>
        </w:r>
        <w:r>
          <w:rPr>
            <w:color w:val="231F20"/>
            <w:spacing w:val="9"/>
            <w:sz w:val="18"/>
          </w:rPr>
          <w:t> </w:t>
        </w:r>
        <w:r>
          <w:rPr>
            <w:color w:val="231F20"/>
            <w:sz w:val="18"/>
          </w:rPr>
          <w:t>restoring</w:t>
        </w:r>
        <w:r>
          <w:rPr>
            <w:color w:val="231F20"/>
            <w:spacing w:val="9"/>
            <w:sz w:val="18"/>
          </w:rPr>
          <w:t> </w:t>
        </w:r>
        <w:r>
          <w:rPr>
            <w:color w:val="231F20"/>
            <w:sz w:val="18"/>
          </w:rPr>
          <w:t>a</w:t>
        </w:r>
        <w:r>
          <w:rPr>
            <w:color w:val="231F20"/>
            <w:spacing w:val="9"/>
            <w:sz w:val="18"/>
          </w:rPr>
          <w:t> </w:t>
        </w:r>
        <w:r>
          <w:rPr>
            <w:color w:val="231F20"/>
            <w:spacing w:val="-2"/>
            <w:sz w:val="18"/>
          </w:rPr>
          <w:t>workspace</w:t>
        </w:r>
      </w:hyperlink>
      <w:r>
        <w:rPr>
          <w:rFonts w:ascii="Times New Roman"/>
          <w:color w:val="231F20"/>
          <w:sz w:val="18"/>
        </w:rPr>
        <w:tab/>
      </w:r>
      <w:hyperlink w:history="true" w:anchor="_bookmark58">
        <w:r>
          <w:rPr>
            <w:color w:val="231F20"/>
            <w:spacing w:val="-5"/>
            <w:sz w:val="18"/>
          </w:rPr>
          <w:t>72</w:t>
        </w:r>
      </w:hyperlink>
    </w:p>
    <w:p>
      <w:pPr>
        <w:tabs>
          <w:tab w:pos="4807" w:val="left" w:leader="dot"/>
        </w:tabs>
        <w:spacing w:line="220" w:lineRule="exact" w:before="0"/>
        <w:ind w:left="676" w:right="0" w:firstLine="0"/>
        <w:jc w:val="left"/>
        <w:rPr>
          <w:sz w:val="18"/>
        </w:rPr>
      </w:pPr>
      <w:hyperlink w:history="true" w:anchor="_bookmark58">
        <w:r>
          <w:rPr>
            <w:color w:val="231F20"/>
            <w:sz w:val="18"/>
          </w:rPr>
          <w:t>Deleting</w:t>
        </w:r>
        <w:r>
          <w:rPr>
            <w:color w:val="231F20"/>
            <w:spacing w:val="10"/>
            <w:sz w:val="18"/>
          </w:rPr>
          <w:t> </w:t>
        </w:r>
        <w:r>
          <w:rPr>
            <w:color w:val="231F20"/>
            <w:sz w:val="18"/>
          </w:rPr>
          <w:t>a</w:t>
        </w:r>
        <w:r>
          <w:rPr>
            <w:color w:val="231F20"/>
            <w:spacing w:val="10"/>
            <w:sz w:val="18"/>
          </w:rPr>
          <w:t> </w:t>
        </w:r>
        <w:r>
          <w:rPr>
            <w:color w:val="231F20"/>
            <w:spacing w:val="-2"/>
            <w:sz w:val="18"/>
          </w:rPr>
          <w:t>workspace</w:t>
        </w:r>
      </w:hyperlink>
      <w:r>
        <w:rPr>
          <w:rFonts w:ascii="Times New Roman"/>
          <w:color w:val="231F20"/>
          <w:sz w:val="18"/>
        </w:rPr>
        <w:tab/>
      </w:r>
      <w:hyperlink w:history="true" w:anchor="_bookmark58">
        <w:r>
          <w:rPr>
            <w:color w:val="231F20"/>
            <w:spacing w:val="-5"/>
            <w:sz w:val="18"/>
          </w:rPr>
          <w:t>72</w:t>
        </w:r>
      </w:hyperlink>
    </w:p>
    <w:p>
      <w:pPr>
        <w:tabs>
          <w:tab w:pos="4807" w:val="left" w:leader="dot"/>
        </w:tabs>
        <w:spacing w:line="220" w:lineRule="exact" w:before="0"/>
        <w:ind w:left="676" w:right="0" w:firstLine="0"/>
        <w:jc w:val="left"/>
        <w:rPr>
          <w:sz w:val="18"/>
        </w:rPr>
      </w:pPr>
      <w:hyperlink w:history="true" w:anchor="_bookmark58">
        <w:r>
          <w:rPr>
            <w:color w:val="231F20"/>
            <w:sz w:val="18"/>
          </w:rPr>
          <w:t>Restoring</w:t>
        </w:r>
        <w:r>
          <w:rPr>
            <w:color w:val="231F20"/>
            <w:spacing w:val="8"/>
            <w:sz w:val="18"/>
          </w:rPr>
          <w:t> </w:t>
        </w:r>
        <w:r>
          <w:rPr>
            <w:color w:val="231F20"/>
            <w:sz w:val="18"/>
          </w:rPr>
          <w:t>the</w:t>
        </w:r>
        <w:r>
          <w:rPr>
            <w:color w:val="231F20"/>
            <w:spacing w:val="9"/>
            <w:sz w:val="18"/>
          </w:rPr>
          <w:t> </w:t>
        </w:r>
        <w:r>
          <w:rPr>
            <w:color w:val="231F20"/>
            <w:sz w:val="18"/>
          </w:rPr>
          <w:t>original</w:t>
        </w:r>
        <w:r>
          <w:rPr>
            <w:color w:val="231F20"/>
            <w:spacing w:val="8"/>
            <w:sz w:val="18"/>
          </w:rPr>
          <w:t> </w:t>
        </w:r>
        <w:r>
          <w:rPr>
            <w:color w:val="231F20"/>
            <w:spacing w:val="-2"/>
            <w:sz w:val="18"/>
          </w:rPr>
          <w:t>workspace</w:t>
        </w:r>
      </w:hyperlink>
      <w:r>
        <w:rPr>
          <w:rFonts w:ascii="Times New Roman"/>
          <w:color w:val="231F20"/>
          <w:sz w:val="18"/>
        </w:rPr>
        <w:tab/>
      </w:r>
      <w:hyperlink w:history="true" w:anchor="_bookmark58">
        <w:r>
          <w:rPr>
            <w:color w:val="231F20"/>
            <w:spacing w:val="-5"/>
            <w:sz w:val="18"/>
          </w:rPr>
          <w:t>72</w:t>
        </w:r>
      </w:hyperlink>
    </w:p>
    <w:p>
      <w:pPr>
        <w:tabs>
          <w:tab w:pos="4807" w:val="left" w:leader="dot"/>
        </w:tabs>
        <w:spacing w:line="220" w:lineRule="exact" w:before="0"/>
        <w:ind w:left="436" w:right="0" w:firstLine="0"/>
        <w:jc w:val="left"/>
        <w:rPr>
          <w:sz w:val="18"/>
        </w:rPr>
      </w:pPr>
      <w:hyperlink w:history="true" w:anchor="_bookmark59">
        <w:r>
          <w:rPr>
            <w:color w:val="231F20"/>
            <w:sz w:val="18"/>
          </w:rPr>
          <w:t>Defining</w:t>
        </w:r>
        <w:r>
          <w:rPr>
            <w:color w:val="231F20"/>
            <w:spacing w:val="8"/>
            <w:sz w:val="18"/>
          </w:rPr>
          <w:t> </w:t>
        </w:r>
        <w:r>
          <w:rPr>
            <w:color w:val="231F20"/>
            <w:sz w:val="18"/>
          </w:rPr>
          <w:t>links</w:t>
        </w:r>
        <w:r>
          <w:rPr>
            <w:color w:val="231F20"/>
            <w:spacing w:val="8"/>
            <w:sz w:val="18"/>
          </w:rPr>
          <w:t> </w:t>
        </w:r>
        <w:r>
          <w:rPr>
            <w:color w:val="231F20"/>
            <w:sz w:val="18"/>
          </w:rPr>
          <w:t>between</w:t>
        </w:r>
        <w:r>
          <w:rPr>
            <w:color w:val="231F20"/>
            <w:spacing w:val="8"/>
            <w:sz w:val="18"/>
          </w:rPr>
          <w:t> </w:t>
        </w:r>
        <w:r>
          <w:rPr>
            <w:color w:val="231F20"/>
            <w:spacing w:val="-2"/>
            <w:sz w:val="18"/>
          </w:rPr>
          <w:t>workspaces</w:t>
        </w:r>
      </w:hyperlink>
      <w:r>
        <w:rPr>
          <w:rFonts w:ascii="Times New Roman"/>
          <w:color w:val="231F20"/>
          <w:sz w:val="18"/>
        </w:rPr>
        <w:tab/>
      </w:r>
      <w:hyperlink w:history="true" w:anchor="_bookmark59">
        <w:r>
          <w:rPr>
            <w:color w:val="231F20"/>
            <w:spacing w:val="-5"/>
            <w:sz w:val="18"/>
          </w:rPr>
          <w:t>73</w:t>
        </w:r>
      </w:hyperlink>
    </w:p>
    <w:p>
      <w:pPr>
        <w:tabs>
          <w:tab w:pos="4807" w:val="left" w:leader="dot"/>
        </w:tabs>
        <w:spacing w:line="220" w:lineRule="exact" w:before="0"/>
        <w:ind w:left="676" w:right="0" w:firstLine="0"/>
        <w:jc w:val="left"/>
        <w:rPr>
          <w:sz w:val="18"/>
        </w:rPr>
      </w:pPr>
      <w:hyperlink w:history="true" w:anchor="_bookmark59">
        <w:r>
          <w:rPr>
            <w:color w:val="231F20"/>
            <w:sz w:val="18"/>
          </w:rPr>
          <w:t>Creating</w:t>
        </w:r>
        <w:r>
          <w:rPr>
            <w:color w:val="231F20"/>
            <w:spacing w:val="8"/>
            <w:sz w:val="18"/>
          </w:rPr>
          <w:t> </w:t>
        </w:r>
        <w:r>
          <w:rPr>
            <w:color w:val="231F20"/>
            <w:sz w:val="18"/>
          </w:rPr>
          <w:t>a</w:t>
        </w:r>
        <w:r>
          <w:rPr>
            <w:color w:val="231F20"/>
            <w:spacing w:val="9"/>
            <w:sz w:val="18"/>
          </w:rPr>
          <w:t> </w:t>
        </w:r>
        <w:r>
          <w:rPr>
            <w:color w:val="231F20"/>
            <w:sz w:val="18"/>
          </w:rPr>
          <w:t>new</w:t>
        </w:r>
        <w:r>
          <w:rPr>
            <w:color w:val="231F20"/>
            <w:spacing w:val="9"/>
            <w:sz w:val="18"/>
          </w:rPr>
          <w:t> </w:t>
        </w:r>
        <w:r>
          <w:rPr>
            <w:color w:val="231F20"/>
            <w:spacing w:val="-4"/>
            <w:sz w:val="18"/>
          </w:rPr>
          <w:t>link</w:t>
        </w:r>
      </w:hyperlink>
      <w:r>
        <w:rPr>
          <w:rFonts w:ascii="Times New Roman"/>
          <w:color w:val="231F20"/>
          <w:sz w:val="18"/>
        </w:rPr>
        <w:tab/>
      </w:r>
      <w:hyperlink w:history="true" w:anchor="_bookmark59">
        <w:r>
          <w:rPr>
            <w:color w:val="231F20"/>
            <w:spacing w:val="-5"/>
            <w:sz w:val="18"/>
          </w:rPr>
          <w:t>73</w:t>
        </w:r>
      </w:hyperlink>
    </w:p>
    <w:p>
      <w:pPr>
        <w:tabs>
          <w:tab w:pos="4807" w:val="left" w:leader="dot"/>
        </w:tabs>
        <w:spacing w:line="220" w:lineRule="exact" w:before="0"/>
        <w:ind w:left="676" w:right="0" w:firstLine="0"/>
        <w:jc w:val="left"/>
        <w:rPr>
          <w:sz w:val="18"/>
        </w:rPr>
      </w:pPr>
      <w:hyperlink w:history="true" w:anchor="_bookmark60">
        <w:r>
          <w:rPr>
            <w:color w:val="231F20"/>
            <w:sz w:val="18"/>
          </w:rPr>
          <w:t>Testing</w:t>
        </w:r>
        <w:r>
          <w:rPr>
            <w:color w:val="231F20"/>
            <w:spacing w:val="1"/>
            <w:sz w:val="18"/>
          </w:rPr>
          <w:t> </w:t>
        </w:r>
        <w:r>
          <w:rPr>
            <w:color w:val="231F20"/>
            <w:sz w:val="18"/>
          </w:rPr>
          <w:t>the</w:t>
        </w:r>
        <w:r>
          <w:rPr>
            <w:color w:val="231F20"/>
            <w:spacing w:val="1"/>
            <w:sz w:val="18"/>
          </w:rPr>
          <w:t> </w:t>
        </w:r>
        <w:r>
          <w:rPr>
            <w:color w:val="231F20"/>
            <w:spacing w:val="-4"/>
            <w:sz w:val="18"/>
          </w:rPr>
          <w:t>link</w:t>
        </w:r>
      </w:hyperlink>
      <w:r>
        <w:rPr>
          <w:rFonts w:ascii="Times New Roman"/>
          <w:color w:val="231F20"/>
          <w:sz w:val="18"/>
        </w:rPr>
        <w:tab/>
      </w:r>
      <w:hyperlink w:history="true" w:anchor="_bookmark60">
        <w:r>
          <w:rPr>
            <w:color w:val="231F20"/>
            <w:spacing w:val="-5"/>
            <w:sz w:val="18"/>
          </w:rPr>
          <w:t>76</w:t>
        </w:r>
      </w:hyperlink>
    </w:p>
    <w:p>
      <w:pPr>
        <w:tabs>
          <w:tab w:pos="4807" w:val="left" w:leader="dot"/>
        </w:tabs>
        <w:spacing w:line="220" w:lineRule="exact" w:before="0"/>
        <w:ind w:left="676" w:right="0" w:firstLine="0"/>
        <w:jc w:val="left"/>
        <w:rPr>
          <w:sz w:val="18"/>
        </w:rPr>
      </w:pPr>
      <w:hyperlink w:history="true" w:anchor="_bookmark60">
        <w:r>
          <w:rPr>
            <w:color w:val="231F20"/>
            <w:sz w:val="18"/>
          </w:rPr>
          <w:t>Editing</w:t>
        </w:r>
        <w:r>
          <w:rPr>
            <w:color w:val="231F20"/>
            <w:spacing w:val="10"/>
            <w:sz w:val="18"/>
          </w:rPr>
          <w:t> </w:t>
        </w:r>
        <w:r>
          <w:rPr>
            <w:color w:val="231F20"/>
            <w:sz w:val="18"/>
          </w:rPr>
          <w:t>a</w:t>
        </w:r>
        <w:r>
          <w:rPr>
            <w:color w:val="231F20"/>
            <w:spacing w:val="11"/>
            <w:sz w:val="18"/>
          </w:rPr>
          <w:t> </w:t>
        </w:r>
        <w:r>
          <w:rPr>
            <w:color w:val="231F20"/>
            <w:sz w:val="18"/>
          </w:rPr>
          <w:t>link</w:t>
        </w:r>
        <w:r>
          <w:rPr>
            <w:color w:val="231F20"/>
            <w:spacing w:val="11"/>
            <w:sz w:val="18"/>
          </w:rPr>
          <w:t> </w:t>
        </w:r>
        <w:r>
          <w:rPr>
            <w:color w:val="231F20"/>
            <w:spacing w:val="-2"/>
            <w:sz w:val="18"/>
          </w:rPr>
          <w:t>definition</w:t>
        </w:r>
      </w:hyperlink>
      <w:r>
        <w:rPr>
          <w:rFonts w:ascii="Times New Roman"/>
          <w:color w:val="231F20"/>
          <w:sz w:val="18"/>
        </w:rPr>
        <w:tab/>
      </w:r>
      <w:hyperlink w:history="true" w:anchor="_bookmark60">
        <w:r>
          <w:rPr>
            <w:color w:val="231F20"/>
            <w:spacing w:val="-5"/>
            <w:sz w:val="18"/>
          </w:rPr>
          <w:t>76</w:t>
        </w:r>
      </w:hyperlink>
    </w:p>
    <w:p>
      <w:pPr>
        <w:tabs>
          <w:tab w:pos="4807" w:val="left" w:leader="dot"/>
        </w:tabs>
        <w:spacing w:line="220" w:lineRule="exact" w:before="0"/>
        <w:ind w:left="676" w:right="0" w:firstLine="0"/>
        <w:jc w:val="left"/>
        <w:rPr>
          <w:sz w:val="18"/>
        </w:rPr>
      </w:pPr>
      <w:hyperlink w:history="true" w:anchor="_bookmark61">
        <w:r>
          <w:rPr>
            <w:color w:val="231F20"/>
            <w:sz w:val="18"/>
          </w:rPr>
          <w:t>Deleting</w:t>
        </w:r>
        <w:r>
          <w:rPr>
            <w:color w:val="231F20"/>
            <w:spacing w:val="10"/>
            <w:sz w:val="18"/>
          </w:rPr>
          <w:t> </w:t>
        </w:r>
        <w:r>
          <w:rPr>
            <w:color w:val="231F20"/>
            <w:sz w:val="18"/>
          </w:rPr>
          <w:t>a</w:t>
        </w:r>
        <w:r>
          <w:rPr>
            <w:color w:val="231F20"/>
            <w:spacing w:val="10"/>
            <w:sz w:val="18"/>
          </w:rPr>
          <w:t> </w:t>
        </w:r>
        <w:r>
          <w:rPr>
            <w:color w:val="231F20"/>
            <w:sz w:val="18"/>
          </w:rPr>
          <w:t>link</w:t>
        </w:r>
        <w:r>
          <w:rPr>
            <w:color w:val="231F20"/>
            <w:spacing w:val="11"/>
            <w:sz w:val="18"/>
          </w:rPr>
          <w:t> </w:t>
        </w:r>
        <w:r>
          <w:rPr>
            <w:color w:val="231F20"/>
            <w:spacing w:val="-2"/>
            <w:sz w:val="18"/>
          </w:rPr>
          <w:t>definition</w:t>
        </w:r>
      </w:hyperlink>
      <w:r>
        <w:rPr>
          <w:rFonts w:ascii="Times New Roman"/>
          <w:color w:val="231F20"/>
          <w:sz w:val="18"/>
        </w:rPr>
        <w:tab/>
      </w:r>
      <w:hyperlink w:history="true" w:anchor="_bookmark61">
        <w:r>
          <w:rPr>
            <w:color w:val="231F20"/>
            <w:spacing w:val="-5"/>
            <w:sz w:val="18"/>
          </w:rPr>
          <w:t>77</w:t>
        </w:r>
      </w:hyperlink>
    </w:p>
    <w:p>
      <w:pPr>
        <w:tabs>
          <w:tab w:pos="4807" w:val="left" w:leader="dot"/>
        </w:tabs>
        <w:spacing w:line="220" w:lineRule="exact" w:before="0"/>
        <w:ind w:left="676" w:right="0" w:firstLine="0"/>
        <w:jc w:val="left"/>
        <w:rPr>
          <w:sz w:val="18"/>
        </w:rPr>
      </w:pPr>
      <w:hyperlink w:history="true" w:anchor="_bookmark61">
        <w:r>
          <w:rPr>
            <w:color w:val="231F20"/>
            <w:sz w:val="18"/>
          </w:rPr>
          <w:t>Adding</w:t>
        </w:r>
        <w:r>
          <w:rPr>
            <w:color w:val="231F20"/>
            <w:spacing w:val="10"/>
            <w:sz w:val="18"/>
          </w:rPr>
          <w:t> </w:t>
        </w:r>
        <w:r>
          <w:rPr>
            <w:color w:val="231F20"/>
            <w:sz w:val="18"/>
          </w:rPr>
          <w:t>or</w:t>
        </w:r>
        <w:r>
          <w:rPr>
            <w:color w:val="231F20"/>
            <w:spacing w:val="11"/>
            <w:sz w:val="18"/>
          </w:rPr>
          <w:t> </w:t>
        </w:r>
        <w:r>
          <w:rPr>
            <w:color w:val="231F20"/>
            <w:sz w:val="18"/>
          </w:rPr>
          <w:t>editing</w:t>
        </w:r>
        <w:r>
          <w:rPr>
            <w:color w:val="231F20"/>
            <w:spacing w:val="10"/>
            <w:sz w:val="18"/>
          </w:rPr>
          <w:t> </w:t>
        </w:r>
        <w:r>
          <w:rPr>
            <w:color w:val="231F20"/>
            <w:sz w:val="18"/>
          </w:rPr>
          <w:t>a</w:t>
        </w:r>
        <w:r>
          <w:rPr>
            <w:color w:val="231F20"/>
            <w:spacing w:val="11"/>
            <w:sz w:val="18"/>
          </w:rPr>
          <w:t> </w:t>
        </w:r>
        <w:r>
          <w:rPr>
            <w:color w:val="231F20"/>
            <w:sz w:val="18"/>
          </w:rPr>
          <w:t>link</w:t>
        </w:r>
        <w:r>
          <w:rPr>
            <w:color w:val="231F20"/>
            <w:spacing w:val="10"/>
            <w:sz w:val="18"/>
          </w:rPr>
          <w:t> </w:t>
        </w:r>
        <w:r>
          <w:rPr>
            <w:color w:val="231F20"/>
            <w:spacing w:val="-2"/>
            <w:sz w:val="18"/>
          </w:rPr>
          <w:t>anchor</w:t>
        </w:r>
      </w:hyperlink>
      <w:r>
        <w:rPr>
          <w:rFonts w:ascii="Times New Roman"/>
          <w:color w:val="231F20"/>
          <w:sz w:val="18"/>
        </w:rPr>
        <w:tab/>
      </w:r>
      <w:hyperlink w:history="true" w:anchor="_bookmark61">
        <w:r>
          <w:rPr>
            <w:color w:val="231F20"/>
            <w:spacing w:val="-5"/>
            <w:sz w:val="18"/>
          </w:rPr>
          <w:t>77</w:t>
        </w:r>
      </w:hyperlink>
    </w:p>
    <w:p>
      <w:pPr>
        <w:tabs>
          <w:tab w:pos="4807" w:val="left" w:leader="dot"/>
        </w:tabs>
        <w:spacing w:line="231" w:lineRule="exact" w:before="0"/>
        <w:ind w:left="676" w:right="0" w:firstLine="0"/>
        <w:jc w:val="left"/>
        <w:rPr>
          <w:sz w:val="18"/>
        </w:rPr>
      </w:pPr>
      <w:hyperlink w:history="true" w:anchor="_bookmark62">
        <w:r>
          <w:rPr>
            <w:color w:val="231F20"/>
            <w:sz w:val="18"/>
          </w:rPr>
          <w:t>Link</w:t>
        </w:r>
        <w:r>
          <w:rPr>
            <w:color w:val="231F20"/>
            <w:spacing w:val="10"/>
            <w:sz w:val="18"/>
          </w:rPr>
          <w:t> </w:t>
        </w:r>
        <w:r>
          <w:rPr>
            <w:color w:val="231F20"/>
            <w:spacing w:val="-2"/>
            <w:sz w:val="18"/>
          </w:rPr>
          <w:t>examples</w:t>
        </w:r>
      </w:hyperlink>
      <w:r>
        <w:rPr>
          <w:rFonts w:ascii="Times New Roman"/>
          <w:color w:val="231F20"/>
          <w:sz w:val="18"/>
        </w:rPr>
        <w:tab/>
      </w:r>
      <w:hyperlink w:history="true" w:anchor="_bookmark62">
        <w:r>
          <w:rPr>
            <w:color w:val="231F20"/>
            <w:spacing w:val="-5"/>
            <w:sz w:val="18"/>
          </w:rPr>
          <w:t>78</w:t>
        </w:r>
      </w:hyperlink>
    </w:p>
    <w:p>
      <w:pPr>
        <w:pStyle w:val="Heading5"/>
        <w:spacing w:before="224"/>
        <w:ind w:left="436"/>
      </w:pPr>
      <w:hyperlink w:history="true" w:anchor="_bookmark63">
        <w:r>
          <w:rPr>
            <w:color w:val="231F20"/>
          </w:rPr>
          <w:t>Chapter</w:t>
        </w:r>
        <w:r>
          <w:rPr>
            <w:color w:val="231F20"/>
            <w:spacing w:val="-8"/>
          </w:rPr>
          <w:t> </w:t>
        </w:r>
        <w:r>
          <w:rPr>
            <w:color w:val="231F20"/>
          </w:rPr>
          <w:t>6.</w:t>
        </w:r>
        <w:r>
          <w:rPr>
            <w:color w:val="231F20"/>
            <w:spacing w:val="2"/>
          </w:rPr>
          <w:t> </w:t>
        </w:r>
        <w:r>
          <w:rPr>
            <w:color w:val="231F20"/>
          </w:rPr>
          <w:t>Customizing</w:t>
        </w:r>
        <w:r>
          <w:rPr>
            <w:color w:val="231F20"/>
            <w:spacing w:val="3"/>
          </w:rPr>
          <w:t> </w:t>
        </w:r>
        <w:r>
          <w:rPr>
            <w:color w:val="231F20"/>
            <w:spacing w:val="-2"/>
          </w:rPr>
          <w:t>workspace</w:t>
        </w:r>
      </w:hyperlink>
    </w:p>
    <w:p>
      <w:pPr>
        <w:pStyle w:val="Heading5"/>
        <w:tabs>
          <w:tab w:pos="4742" w:val="left" w:leader="dot"/>
        </w:tabs>
        <w:spacing w:line="252" w:lineRule="exact" w:before="7"/>
        <w:ind w:left="436"/>
      </w:pPr>
      <w:hyperlink w:history="true" w:anchor="_bookmark63">
        <w:r>
          <w:rPr>
            <w:color w:val="231F20"/>
            <w:spacing w:val="-2"/>
          </w:rPr>
          <w:t>views</w:t>
        </w:r>
      </w:hyperlink>
      <w:r>
        <w:rPr>
          <w:rFonts w:ascii="Times New Roman"/>
          <w:b w:val="0"/>
          <w:color w:val="231F20"/>
        </w:rPr>
        <w:tab/>
      </w:r>
      <w:hyperlink w:history="true" w:anchor="_bookmark63">
        <w:r>
          <w:rPr>
            <w:color w:val="231F20"/>
            <w:spacing w:val="-5"/>
          </w:rPr>
          <w:t>83</w:t>
        </w:r>
      </w:hyperlink>
    </w:p>
    <w:p>
      <w:pPr>
        <w:tabs>
          <w:tab w:pos="4807" w:val="left" w:leader="dot"/>
        </w:tabs>
        <w:spacing w:line="231" w:lineRule="exact" w:before="0"/>
        <w:ind w:left="436" w:right="0" w:firstLine="0"/>
        <w:jc w:val="left"/>
        <w:rPr>
          <w:sz w:val="18"/>
        </w:rPr>
      </w:pPr>
      <w:hyperlink w:history="true" w:anchor="_bookmark63">
        <w:r>
          <w:rPr>
            <w:color w:val="231F20"/>
            <w:sz w:val="18"/>
          </w:rPr>
          <w:t>Creating</w:t>
        </w:r>
        <w:r>
          <w:rPr>
            <w:color w:val="231F20"/>
            <w:spacing w:val="8"/>
            <w:sz w:val="18"/>
          </w:rPr>
          <w:t> </w:t>
        </w:r>
        <w:r>
          <w:rPr>
            <w:color w:val="231F20"/>
            <w:sz w:val="18"/>
          </w:rPr>
          <w:t>a</w:t>
        </w:r>
        <w:r>
          <w:rPr>
            <w:color w:val="231F20"/>
            <w:spacing w:val="9"/>
            <w:sz w:val="18"/>
          </w:rPr>
          <w:t> </w:t>
        </w:r>
        <w:r>
          <w:rPr>
            <w:color w:val="231F20"/>
            <w:sz w:val="18"/>
          </w:rPr>
          <w:t>new</w:t>
        </w:r>
        <w:r>
          <w:rPr>
            <w:color w:val="231F20"/>
            <w:spacing w:val="9"/>
            <w:sz w:val="18"/>
          </w:rPr>
          <w:t> </w:t>
        </w:r>
        <w:r>
          <w:rPr>
            <w:color w:val="231F20"/>
            <w:spacing w:val="-4"/>
            <w:sz w:val="18"/>
          </w:rPr>
          <w:t>view</w:t>
        </w:r>
      </w:hyperlink>
      <w:r>
        <w:rPr>
          <w:rFonts w:ascii="Times New Roman"/>
          <w:color w:val="231F20"/>
          <w:sz w:val="18"/>
        </w:rPr>
        <w:tab/>
      </w:r>
      <w:hyperlink w:history="true" w:anchor="_bookmark63">
        <w:r>
          <w:rPr>
            <w:color w:val="231F20"/>
            <w:spacing w:val="-5"/>
            <w:sz w:val="18"/>
          </w:rPr>
          <w:t>83</w:t>
        </w:r>
      </w:hyperlink>
    </w:p>
    <w:p>
      <w:pPr>
        <w:tabs>
          <w:tab w:pos="4807" w:val="left" w:leader="dot"/>
        </w:tabs>
        <w:spacing w:line="220" w:lineRule="exact" w:before="0"/>
        <w:ind w:left="436" w:right="0" w:firstLine="0"/>
        <w:jc w:val="left"/>
        <w:rPr>
          <w:sz w:val="18"/>
        </w:rPr>
      </w:pPr>
      <w:hyperlink w:history="true" w:anchor="_bookmark64">
        <w:r>
          <w:rPr>
            <w:color w:val="231F20"/>
            <w:sz w:val="18"/>
          </w:rPr>
          <w:t>Editing</w:t>
        </w:r>
        <w:r>
          <w:rPr>
            <w:color w:val="231F20"/>
            <w:spacing w:val="10"/>
            <w:sz w:val="18"/>
          </w:rPr>
          <w:t> </w:t>
        </w:r>
        <w:r>
          <w:rPr>
            <w:color w:val="231F20"/>
            <w:sz w:val="18"/>
          </w:rPr>
          <w:t>a</w:t>
        </w:r>
        <w:r>
          <w:rPr>
            <w:color w:val="231F20"/>
            <w:spacing w:val="11"/>
            <w:sz w:val="18"/>
          </w:rPr>
          <w:t> </w:t>
        </w:r>
        <w:r>
          <w:rPr>
            <w:color w:val="231F20"/>
            <w:spacing w:val="-4"/>
            <w:sz w:val="18"/>
          </w:rPr>
          <w:t>view</w:t>
        </w:r>
      </w:hyperlink>
      <w:r>
        <w:rPr>
          <w:rFonts w:ascii="Times New Roman"/>
          <w:color w:val="231F20"/>
          <w:sz w:val="18"/>
        </w:rPr>
        <w:tab/>
      </w:r>
      <w:hyperlink w:history="true" w:anchor="_bookmark64">
        <w:r>
          <w:rPr>
            <w:color w:val="231F20"/>
            <w:spacing w:val="-5"/>
            <w:sz w:val="18"/>
          </w:rPr>
          <w:t>84</w:t>
        </w:r>
      </w:hyperlink>
    </w:p>
    <w:p>
      <w:pPr>
        <w:tabs>
          <w:tab w:pos="4807" w:val="left" w:leader="dot"/>
        </w:tabs>
        <w:spacing w:line="220" w:lineRule="exact" w:before="0"/>
        <w:ind w:left="436" w:right="0" w:firstLine="0"/>
        <w:jc w:val="left"/>
        <w:rPr>
          <w:sz w:val="18"/>
        </w:rPr>
      </w:pPr>
      <w:hyperlink w:history="true" w:anchor="_bookmark65">
        <w:r>
          <w:rPr>
            <w:color w:val="231F20"/>
            <w:sz w:val="18"/>
          </w:rPr>
          <w:t>Query-based</w:t>
        </w:r>
        <w:r>
          <w:rPr>
            <w:color w:val="231F20"/>
            <w:spacing w:val="3"/>
            <w:sz w:val="18"/>
          </w:rPr>
          <w:t> </w:t>
        </w:r>
        <w:r>
          <w:rPr>
            <w:color w:val="231F20"/>
            <w:spacing w:val="-2"/>
            <w:sz w:val="18"/>
          </w:rPr>
          <w:t>views</w:t>
        </w:r>
      </w:hyperlink>
      <w:r>
        <w:rPr>
          <w:rFonts w:ascii="Times New Roman"/>
          <w:color w:val="231F20"/>
          <w:sz w:val="18"/>
        </w:rPr>
        <w:tab/>
      </w:r>
      <w:hyperlink w:history="true" w:anchor="_bookmark65">
        <w:r>
          <w:rPr>
            <w:color w:val="231F20"/>
            <w:spacing w:val="-5"/>
            <w:sz w:val="18"/>
          </w:rPr>
          <w:t>85</w:t>
        </w:r>
      </w:hyperlink>
    </w:p>
    <w:p>
      <w:pPr>
        <w:tabs>
          <w:tab w:pos="4807" w:val="left" w:leader="dot"/>
        </w:tabs>
        <w:spacing w:line="220" w:lineRule="exact" w:before="0"/>
        <w:ind w:left="676" w:right="0" w:firstLine="0"/>
        <w:jc w:val="left"/>
        <w:rPr>
          <w:sz w:val="18"/>
        </w:rPr>
      </w:pPr>
      <w:hyperlink w:history="true" w:anchor="_bookmark66">
        <w:r>
          <w:rPr>
            <w:color w:val="231F20"/>
            <w:sz w:val="18"/>
          </w:rPr>
          <w:t>Selecting</w:t>
        </w:r>
        <w:r>
          <w:rPr>
            <w:color w:val="231F20"/>
            <w:spacing w:val="10"/>
            <w:sz w:val="18"/>
          </w:rPr>
          <w:t> </w:t>
        </w:r>
        <w:r>
          <w:rPr>
            <w:color w:val="231F20"/>
            <w:sz w:val="18"/>
          </w:rPr>
          <w:t>a</w:t>
        </w:r>
        <w:r>
          <w:rPr>
            <w:color w:val="231F20"/>
            <w:spacing w:val="11"/>
            <w:sz w:val="18"/>
          </w:rPr>
          <w:t> </w:t>
        </w:r>
        <w:r>
          <w:rPr>
            <w:color w:val="231F20"/>
            <w:sz w:val="18"/>
          </w:rPr>
          <w:t>query</w:t>
        </w:r>
        <w:r>
          <w:rPr>
            <w:color w:val="231F20"/>
            <w:spacing w:val="11"/>
            <w:sz w:val="18"/>
          </w:rPr>
          <w:t> </w:t>
        </w:r>
        <w:r>
          <w:rPr>
            <w:color w:val="231F20"/>
            <w:sz w:val="18"/>
          </w:rPr>
          <w:t>for</w:t>
        </w:r>
        <w:r>
          <w:rPr>
            <w:color w:val="231F20"/>
            <w:spacing w:val="11"/>
            <w:sz w:val="18"/>
          </w:rPr>
          <w:t> </w:t>
        </w:r>
        <w:r>
          <w:rPr>
            <w:color w:val="231F20"/>
            <w:sz w:val="18"/>
          </w:rPr>
          <w:t>a</w:t>
        </w:r>
        <w:r>
          <w:rPr>
            <w:color w:val="231F20"/>
            <w:spacing w:val="11"/>
            <w:sz w:val="18"/>
          </w:rPr>
          <w:t> </w:t>
        </w:r>
        <w:r>
          <w:rPr>
            <w:color w:val="231F20"/>
            <w:spacing w:val="-4"/>
            <w:sz w:val="18"/>
          </w:rPr>
          <w:t>view</w:t>
        </w:r>
      </w:hyperlink>
      <w:r>
        <w:rPr>
          <w:rFonts w:ascii="Times New Roman"/>
          <w:color w:val="231F20"/>
          <w:sz w:val="18"/>
        </w:rPr>
        <w:tab/>
      </w:r>
      <w:hyperlink w:history="true" w:anchor="_bookmark66">
        <w:r>
          <w:rPr>
            <w:color w:val="231F20"/>
            <w:spacing w:val="-5"/>
            <w:sz w:val="18"/>
          </w:rPr>
          <w:t>86</w:t>
        </w:r>
      </w:hyperlink>
    </w:p>
    <w:p>
      <w:pPr>
        <w:tabs>
          <w:tab w:pos="4807" w:val="left" w:leader="dot"/>
        </w:tabs>
        <w:spacing w:line="220" w:lineRule="exact" w:before="0"/>
        <w:ind w:left="676" w:right="0" w:firstLine="0"/>
        <w:jc w:val="left"/>
        <w:rPr>
          <w:sz w:val="18"/>
        </w:rPr>
      </w:pPr>
      <w:hyperlink w:history="true" w:anchor="_bookmark67">
        <w:r>
          <w:rPr>
            <w:color w:val="231F20"/>
            <w:sz w:val="18"/>
          </w:rPr>
          <w:t>Filtering</w:t>
        </w:r>
        <w:r>
          <w:rPr>
            <w:color w:val="231F20"/>
            <w:spacing w:val="8"/>
            <w:sz w:val="18"/>
          </w:rPr>
          <w:t> </w:t>
        </w:r>
        <w:r>
          <w:rPr>
            <w:color w:val="231F20"/>
            <w:sz w:val="18"/>
          </w:rPr>
          <w:t>a</w:t>
        </w:r>
        <w:r>
          <w:rPr>
            <w:color w:val="231F20"/>
            <w:spacing w:val="8"/>
            <w:sz w:val="18"/>
          </w:rPr>
          <w:t> </w:t>
        </w:r>
        <w:r>
          <w:rPr>
            <w:color w:val="231F20"/>
            <w:sz w:val="18"/>
          </w:rPr>
          <w:t>query-based</w:t>
        </w:r>
        <w:r>
          <w:rPr>
            <w:color w:val="231F20"/>
            <w:spacing w:val="8"/>
            <w:sz w:val="18"/>
          </w:rPr>
          <w:t> </w:t>
        </w:r>
        <w:r>
          <w:rPr>
            <w:color w:val="231F20"/>
            <w:spacing w:val="-4"/>
            <w:sz w:val="18"/>
          </w:rPr>
          <w:t>view</w:t>
        </w:r>
      </w:hyperlink>
      <w:r>
        <w:rPr>
          <w:rFonts w:ascii="Times New Roman"/>
          <w:color w:val="231F20"/>
          <w:sz w:val="18"/>
        </w:rPr>
        <w:tab/>
      </w:r>
      <w:hyperlink w:history="true" w:anchor="_bookmark67">
        <w:r>
          <w:rPr>
            <w:color w:val="231F20"/>
            <w:spacing w:val="-5"/>
            <w:sz w:val="18"/>
          </w:rPr>
          <w:t>88</w:t>
        </w:r>
      </w:hyperlink>
    </w:p>
    <w:p>
      <w:pPr>
        <w:tabs>
          <w:tab w:pos="4807" w:val="left" w:leader="dot"/>
        </w:tabs>
        <w:spacing w:line="220" w:lineRule="exact" w:before="0"/>
        <w:ind w:left="676" w:right="0" w:firstLine="0"/>
        <w:jc w:val="left"/>
        <w:rPr>
          <w:sz w:val="18"/>
        </w:rPr>
      </w:pPr>
      <w:hyperlink w:history="true" w:anchor="_bookmark68">
        <w:r>
          <w:rPr>
            <w:color w:val="231F20"/>
            <w:sz w:val="18"/>
          </w:rPr>
          <w:t>Properties</w:t>
        </w:r>
        <w:r>
          <w:rPr>
            <w:color w:val="231F20"/>
            <w:spacing w:val="1"/>
            <w:sz w:val="18"/>
          </w:rPr>
          <w:t> </w:t>
        </w:r>
        <w:r>
          <w:rPr>
            <w:color w:val="231F20"/>
            <w:spacing w:val="-2"/>
            <w:sz w:val="18"/>
          </w:rPr>
          <w:t>editor</w:t>
        </w:r>
      </w:hyperlink>
      <w:r>
        <w:rPr>
          <w:rFonts w:ascii="Times New Roman"/>
          <w:color w:val="231F20"/>
          <w:sz w:val="18"/>
        </w:rPr>
        <w:tab/>
      </w:r>
      <w:hyperlink w:history="true" w:anchor="_bookmark68">
        <w:r>
          <w:rPr>
            <w:color w:val="231F20"/>
            <w:spacing w:val="-5"/>
            <w:sz w:val="18"/>
          </w:rPr>
          <w:t>89</w:t>
        </w:r>
      </w:hyperlink>
    </w:p>
    <w:p>
      <w:pPr>
        <w:tabs>
          <w:tab w:pos="4807" w:val="left" w:leader="dot"/>
        </w:tabs>
        <w:spacing w:line="220" w:lineRule="exact" w:before="0"/>
        <w:ind w:left="436" w:right="0" w:firstLine="0"/>
        <w:jc w:val="left"/>
        <w:rPr>
          <w:sz w:val="18"/>
        </w:rPr>
      </w:pPr>
      <w:hyperlink w:history="true" w:anchor="_bookmark74">
        <w:r>
          <w:rPr>
            <w:color w:val="231F20"/>
            <w:spacing w:val="-2"/>
            <w:sz w:val="18"/>
          </w:rPr>
          <w:t>Table</w:t>
        </w:r>
        <w:r>
          <w:rPr>
            <w:color w:val="231F20"/>
            <w:spacing w:val="2"/>
            <w:sz w:val="18"/>
          </w:rPr>
          <w:t> </w:t>
        </w:r>
        <w:r>
          <w:rPr>
            <w:color w:val="231F20"/>
            <w:spacing w:val="-4"/>
            <w:sz w:val="18"/>
          </w:rPr>
          <w:t>view</w:t>
        </w:r>
      </w:hyperlink>
      <w:r>
        <w:rPr>
          <w:rFonts w:ascii="Times New Roman"/>
          <w:color w:val="231F20"/>
          <w:sz w:val="18"/>
        </w:rPr>
        <w:tab/>
      </w:r>
      <w:hyperlink w:history="true" w:anchor="_bookmark74">
        <w:r>
          <w:rPr>
            <w:color w:val="231F20"/>
            <w:spacing w:val="-5"/>
            <w:sz w:val="18"/>
          </w:rPr>
          <w:t>97</w:t>
        </w:r>
      </w:hyperlink>
    </w:p>
    <w:p>
      <w:pPr>
        <w:tabs>
          <w:tab w:pos="4807" w:val="left" w:leader="dot"/>
        </w:tabs>
        <w:spacing w:line="220" w:lineRule="exact" w:before="0"/>
        <w:ind w:left="676" w:right="0" w:firstLine="0"/>
        <w:jc w:val="left"/>
        <w:rPr>
          <w:sz w:val="18"/>
        </w:rPr>
      </w:pPr>
      <w:hyperlink w:history="true" w:anchor="_bookmark74">
        <w:r>
          <w:rPr>
            <w:color w:val="231F20"/>
            <w:sz w:val="18"/>
          </w:rPr>
          <w:t>Adding</w:t>
        </w:r>
        <w:r>
          <w:rPr>
            <w:color w:val="231F20"/>
            <w:spacing w:val="10"/>
            <w:sz w:val="18"/>
          </w:rPr>
          <w:t> </w:t>
        </w:r>
        <w:r>
          <w:rPr>
            <w:color w:val="231F20"/>
            <w:sz w:val="18"/>
          </w:rPr>
          <w:t>a</w:t>
        </w:r>
        <w:r>
          <w:rPr>
            <w:color w:val="231F20"/>
            <w:spacing w:val="10"/>
            <w:sz w:val="18"/>
          </w:rPr>
          <w:t> </w:t>
        </w:r>
        <w:r>
          <w:rPr>
            <w:color w:val="231F20"/>
            <w:sz w:val="18"/>
          </w:rPr>
          <w:t>table</w:t>
        </w:r>
        <w:r>
          <w:rPr>
            <w:color w:val="231F20"/>
            <w:spacing w:val="11"/>
            <w:sz w:val="18"/>
          </w:rPr>
          <w:t> </w:t>
        </w:r>
        <w:r>
          <w:rPr>
            <w:color w:val="231F20"/>
            <w:spacing w:val="-4"/>
            <w:sz w:val="18"/>
          </w:rPr>
          <w:t>view</w:t>
        </w:r>
      </w:hyperlink>
      <w:r>
        <w:rPr>
          <w:rFonts w:ascii="Times New Roman"/>
          <w:color w:val="231F20"/>
          <w:sz w:val="18"/>
        </w:rPr>
        <w:tab/>
      </w:r>
      <w:hyperlink w:history="true" w:anchor="_bookmark74">
        <w:r>
          <w:rPr>
            <w:color w:val="231F20"/>
            <w:spacing w:val="-5"/>
            <w:sz w:val="18"/>
          </w:rPr>
          <w:t>97</w:t>
        </w:r>
      </w:hyperlink>
    </w:p>
    <w:p>
      <w:pPr>
        <w:tabs>
          <w:tab w:pos="4807" w:val="left" w:leader="dot"/>
        </w:tabs>
        <w:spacing w:line="220" w:lineRule="exact" w:before="0"/>
        <w:ind w:left="676" w:right="0" w:firstLine="0"/>
        <w:jc w:val="left"/>
        <w:rPr>
          <w:sz w:val="18"/>
        </w:rPr>
      </w:pPr>
      <w:hyperlink w:history="true" w:anchor="_bookmark75">
        <w:r>
          <w:rPr>
            <w:color w:val="231F20"/>
            <w:sz w:val="18"/>
          </w:rPr>
          <w:t>Table</w:t>
        </w:r>
        <w:r>
          <w:rPr>
            <w:color w:val="231F20"/>
            <w:spacing w:val="1"/>
            <w:sz w:val="18"/>
          </w:rPr>
          <w:t> </w:t>
        </w:r>
        <w:r>
          <w:rPr>
            <w:color w:val="231F20"/>
            <w:sz w:val="18"/>
          </w:rPr>
          <w:t>view</w:t>
        </w:r>
        <w:r>
          <w:rPr>
            <w:color w:val="231F20"/>
            <w:spacing w:val="1"/>
            <w:sz w:val="18"/>
          </w:rPr>
          <w:t> </w:t>
        </w:r>
        <w:r>
          <w:rPr>
            <w:color w:val="231F20"/>
            <w:spacing w:val="-2"/>
            <w:sz w:val="18"/>
          </w:rPr>
          <w:t>features</w:t>
        </w:r>
      </w:hyperlink>
      <w:r>
        <w:rPr>
          <w:rFonts w:ascii="Times New Roman"/>
          <w:color w:val="231F20"/>
          <w:sz w:val="18"/>
        </w:rPr>
        <w:tab/>
      </w:r>
      <w:hyperlink w:history="true" w:anchor="_bookmark75">
        <w:r>
          <w:rPr>
            <w:color w:val="231F20"/>
            <w:spacing w:val="-5"/>
            <w:sz w:val="18"/>
          </w:rPr>
          <w:t>98</w:t>
        </w:r>
      </w:hyperlink>
    </w:p>
    <w:p>
      <w:pPr>
        <w:tabs>
          <w:tab w:pos="4807" w:val="left" w:leader="dot"/>
        </w:tabs>
        <w:spacing w:line="220" w:lineRule="exact" w:before="0"/>
        <w:ind w:left="676" w:right="0" w:firstLine="0"/>
        <w:jc w:val="left"/>
        <w:rPr>
          <w:sz w:val="18"/>
        </w:rPr>
      </w:pPr>
      <w:hyperlink w:history="true" w:anchor="_bookmark76">
        <w:r>
          <w:rPr>
            <w:color w:val="231F20"/>
            <w:sz w:val="18"/>
          </w:rPr>
          <w:t>Adding</w:t>
        </w:r>
        <w:r>
          <w:rPr>
            <w:color w:val="231F20"/>
            <w:spacing w:val="7"/>
            <w:sz w:val="18"/>
          </w:rPr>
          <w:t> </w:t>
        </w:r>
        <w:r>
          <w:rPr>
            <w:color w:val="231F20"/>
            <w:sz w:val="18"/>
          </w:rPr>
          <w:t>column</w:t>
        </w:r>
        <w:r>
          <w:rPr>
            <w:color w:val="231F20"/>
            <w:spacing w:val="8"/>
            <w:sz w:val="18"/>
          </w:rPr>
          <w:t> </w:t>
        </w:r>
        <w:r>
          <w:rPr>
            <w:color w:val="231F20"/>
            <w:spacing w:val="-2"/>
            <w:sz w:val="18"/>
          </w:rPr>
          <w:t>thresholds</w:t>
        </w:r>
      </w:hyperlink>
      <w:r>
        <w:rPr>
          <w:rFonts w:ascii="Times New Roman"/>
          <w:color w:val="231F20"/>
          <w:sz w:val="18"/>
        </w:rPr>
        <w:tab/>
      </w:r>
      <w:hyperlink w:history="true" w:anchor="_bookmark76">
        <w:r>
          <w:rPr>
            <w:color w:val="231F20"/>
            <w:spacing w:val="-5"/>
            <w:sz w:val="18"/>
          </w:rPr>
          <w:t>99</w:t>
        </w:r>
      </w:hyperlink>
    </w:p>
    <w:p>
      <w:pPr>
        <w:tabs>
          <w:tab w:pos="4717" w:val="left" w:leader="dot"/>
        </w:tabs>
        <w:spacing w:line="220" w:lineRule="exact" w:before="0"/>
        <w:ind w:left="676" w:right="0" w:firstLine="0"/>
        <w:jc w:val="left"/>
        <w:rPr>
          <w:sz w:val="18"/>
        </w:rPr>
      </w:pPr>
      <w:hyperlink w:history="true" w:anchor="_bookmark77">
        <w:r>
          <w:rPr>
            <w:color w:val="231F20"/>
            <w:sz w:val="18"/>
          </w:rPr>
          <w:t>Guidelines</w:t>
        </w:r>
        <w:r>
          <w:rPr>
            <w:color w:val="231F20"/>
            <w:spacing w:val="6"/>
            <w:sz w:val="18"/>
          </w:rPr>
          <w:t> </w:t>
        </w:r>
        <w:r>
          <w:rPr>
            <w:color w:val="231F20"/>
            <w:sz w:val="18"/>
          </w:rPr>
          <w:t>for</w:t>
        </w:r>
        <w:r>
          <w:rPr>
            <w:color w:val="231F20"/>
            <w:spacing w:val="6"/>
            <w:sz w:val="18"/>
          </w:rPr>
          <w:t> </w:t>
        </w:r>
        <w:r>
          <w:rPr>
            <w:color w:val="231F20"/>
            <w:sz w:val="18"/>
          </w:rPr>
          <w:t>threshold</w:t>
        </w:r>
        <w:r>
          <w:rPr>
            <w:color w:val="231F20"/>
            <w:spacing w:val="7"/>
            <w:sz w:val="18"/>
          </w:rPr>
          <w:t> </w:t>
        </w:r>
        <w:r>
          <w:rPr>
            <w:color w:val="231F20"/>
            <w:spacing w:val="-4"/>
            <w:sz w:val="18"/>
          </w:rPr>
          <w:t>icons</w:t>
        </w:r>
      </w:hyperlink>
      <w:r>
        <w:rPr>
          <w:rFonts w:ascii="Times New Roman"/>
          <w:color w:val="231F20"/>
          <w:sz w:val="18"/>
        </w:rPr>
        <w:tab/>
      </w:r>
      <w:hyperlink w:history="true" w:anchor="_bookmark77">
        <w:r>
          <w:rPr>
            <w:color w:val="231F20"/>
            <w:spacing w:val="-5"/>
            <w:sz w:val="18"/>
          </w:rPr>
          <w:t>100</w:t>
        </w:r>
      </w:hyperlink>
    </w:p>
    <w:p>
      <w:pPr>
        <w:tabs>
          <w:tab w:pos="4717" w:val="left" w:leader="dot"/>
        </w:tabs>
        <w:spacing w:line="220" w:lineRule="exact" w:before="0"/>
        <w:ind w:left="436" w:right="0" w:firstLine="0"/>
        <w:jc w:val="left"/>
        <w:rPr>
          <w:sz w:val="18"/>
        </w:rPr>
      </w:pPr>
      <w:hyperlink w:history="true" w:anchor="_bookmark78">
        <w:r>
          <w:rPr>
            <w:color w:val="231F20"/>
            <w:sz w:val="18"/>
          </w:rPr>
          <w:t>Chart</w:t>
        </w:r>
        <w:r>
          <w:rPr>
            <w:color w:val="231F20"/>
            <w:spacing w:val="9"/>
            <w:sz w:val="18"/>
          </w:rPr>
          <w:t> </w:t>
        </w:r>
        <w:r>
          <w:rPr>
            <w:color w:val="231F20"/>
            <w:spacing w:val="-4"/>
            <w:sz w:val="18"/>
          </w:rPr>
          <w:t>views</w:t>
        </w:r>
      </w:hyperlink>
      <w:r>
        <w:rPr>
          <w:rFonts w:ascii="Times New Roman"/>
          <w:color w:val="231F20"/>
          <w:sz w:val="18"/>
        </w:rPr>
        <w:tab/>
      </w:r>
      <w:hyperlink w:history="true" w:anchor="_bookmark78">
        <w:r>
          <w:rPr>
            <w:color w:val="231F20"/>
            <w:spacing w:val="-5"/>
            <w:sz w:val="18"/>
          </w:rPr>
          <w:t>101</w:t>
        </w:r>
      </w:hyperlink>
    </w:p>
    <w:p>
      <w:pPr>
        <w:tabs>
          <w:tab w:pos="4717" w:val="left" w:leader="dot"/>
        </w:tabs>
        <w:spacing w:line="220" w:lineRule="exact" w:before="0"/>
        <w:ind w:left="676" w:right="0" w:firstLine="0"/>
        <w:jc w:val="left"/>
        <w:rPr>
          <w:sz w:val="18"/>
        </w:rPr>
      </w:pPr>
      <w:hyperlink w:history="true" w:anchor="_bookmark79">
        <w:r>
          <w:rPr>
            <w:color w:val="231F20"/>
            <w:sz w:val="18"/>
          </w:rPr>
          <w:t>Creating</w:t>
        </w:r>
        <w:r>
          <w:rPr>
            <w:color w:val="231F20"/>
            <w:spacing w:val="8"/>
            <w:sz w:val="18"/>
          </w:rPr>
          <w:t> </w:t>
        </w:r>
        <w:r>
          <w:rPr>
            <w:color w:val="231F20"/>
            <w:sz w:val="18"/>
          </w:rPr>
          <w:t>a</w:t>
        </w:r>
        <w:r>
          <w:rPr>
            <w:color w:val="231F20"/>
            <w:spacing w:val="9"/>
            <w:sz w:val="18"/>
          </w:rPr>
          <w:t> </w:t>
        </w:r>
        <w:r>
          <w:rPr>
            <w:color w:val="231F20"/>
            <w:sz w:val="18"/>
          </w:rPr>
          <w:t>new</w:t>
        </w:r>
        <w:r>
          <w:rPr>
            <w:color w:val="231F20"/>
            <w:spacing w:val="9"/>
            <w:sz w:val="18"/>
          </w:rPr>
          <w:t> </w:t>
        </w:r>
        <w:r>
          <w:rPr>
            <w:color w:val="231F20"/>
            <w:spacing w:val="-2"/>
            <w:sz w:val="18"/>
          </w:rPr>
          <w:t>chart</w:t>
        </w:r>
      </w:hyperlink>
      <w:r>
        <w:rPr>
          <w:rFonts w:ascii="Times New Roman"/>
          <w:color w:val="231F20"/>
          <w:sz w:val="18"/>
        </w:rPr>
        <w:tab/>
      </w:r>
      <w:hyperlink w:history="true" w:anchor="_bookmark79">
        <w:r>
          <w:rPr>
            <w:color w:val="231F20"/>
            <w:spacing w:val="-5"/>
            <w:sz w:val="18"/>
          </w:rPr>
          <w:t>102</w:t>
        </w:r>
      </w:hyperlink>
    </w:p>
    <w:p>
      <w:pPr>
        <w:tabs>
          <w:tab w:pos="4717" w:val="left" w:leader="dot"/>
        </w:tabs>
        <w:spacing w:line="220" w:lineRule="exact" w:before="0"/>
        <w:ind w:left="676" w:right="0" w:firstLine="0"/>
        <w:jc w:val="left"/>
        <w:rPr>
          <w:sz w:val="18"/>
        </w:rPr>
      </w:pPr>
      <w:hyperlink w:history="true" w:anchor="_bookmark80">
        <w:r>
          <w:rPr>
            <w:color w:val="231F20"/>
            <w:sz w:val="18"/>
          </w:rPr>
          <w:t>Pie</w:t>
        </w:r>
        <w:r>
          <w:rPr>
            <w:color w:val="231F20"/>
            <w:spacing w:val="11"/>
            <w:sz w:val="18"/>
          </w:rPr>
          <w:t> </w:t>
        </w:r>
        <w:r>
          <w:rPr>
            <w:color w:val="231F20"/>
            <w:spacing w:val="-2"/>
            <w:sz w:val="18"/>
          </w:rPr>
          <w:t>chart</w:t>
        </w:r>
      </w:hyperlink>
      <w:r>
        <w:rPr>
          <w:rFonts w:ascii="Times New Roman"/>
          <w:color w:val="231F20"/>
          <w:sz w:val="18"/>
        </w:rPr>
        <w:tab/>
      </w:r>
      <w:hyperlink w:history="true" w:anchor="_bookmark80">
        <w:r>
          <w:rPr>
            <w:color w:val="231F20"/>
            <w:spacing w:val="-5"/>
            <w:sz w:val="18"/>
          </w:rPr>
          <w:t>105</w:t>
        </w:r>
      </w:hyperlink>
    </w:p>
    <w:p>
      <w:pPr>
        <w:tabs>
          <w:tab w:pos="4717" w:val="left" w:leader="dot"/>
        </w:tabs>
        <w:spacing w:line="220" w:lineRule="exact" w:before="0"/>
        <w:ind w:left="676" w:right="0" w:firstLine="0"/>
        <w:jc w:val="left"/>
        <w:rPr>
          <w:sz w:val="18"/>
        </w:rPr>
      </w:pPr>
      <w:hyperlink w:history="true" w:anchor="_bookmark81">
        <w:r>
          <w:rPr>
            <w:color w:val="231F20"/>
            <w:sz w:val="18"/>
          </w:rPr>
          <w:t>Bar</w:t>
        </w:r>
        <w:r>
          <w:rPr>
            <w:color w:val="231F20"/>
            <w:spacing w:val="11"/>
            <w:sz w:val="18"/>
          </w:rPr>
          <w:t> </w:t>
        </w:r>
        <w:r>
          <w:rPr>
            <w:color w:val="231F20"/>
            <w:spacing w:val="-2"/>
            <w:sz w:val="18"/>
          </w:rPr>
          <w:t>chart</w:t>
        </w:r>
      </w:hyperlink>
      <w:r>
        <w:rPr>
          <w:rFonts w:ascii="Times New Roman"/>
          <w:color w:val="231F20"/>
          <w:sz w:val="18"/>
        </w:rPr>
        <w:tab/>
      </w:r>
      <w:hyperlink w:history="true" w:anchor="_bookmark81">
        <w:r>
          <w:rPr>
            <w:color w:val="231F20"/>
            <w:spacing w:val="-5"/>
            <w:sz w:val="18"/>
          </w:rPr>
          <w:t>107</w:t>
        </w:r>
      </w:hyperlink>
    </w:p>
    <w:p>
      <w:pPr>
        <w:tabs>
          <w:tab w:pos="4717" w:val="left" w:leader="dot"/>
        </w:tabs>
        <w:spacing w:line="220" w:lineRule="exact" w:before="0"/>
        <w:ind w:left="676" w:right="0" w:firstLine="0"/>
        <w:jc w:val="left"/>
        <w:rPr>
          <w:sz w:val="18"/>
        </w:rPr>
      </w:pPr>
      <w:hyperlink w:history="true" w:anchor="_bookmark82">
        <w:r>
          <w:rPr>
            <w:color w:val="231F20"/>
            <w:sz w:val="18"/>
          </w:rPr>
          <w:t>Plot</w:t>
        </w:r>
        <w:r>
          <w:rPr>
            <w:color w:val="231F20"/>
            <w:spacing w:val="10"/>
            <w:sz w:val="18"/>
          </w:rPr>
          <w:t> </w:t>
        </w:r>
        <w:r>
          <w:rPr>
            <w:color w:val="231F20"/>
            <w:spacing w:val="-4"/>
            <w:sz w:val="18"/>
          </w:rPr>
          <w:t>chart</w:t>
        </w:r>
      </w:hyperlink>
      <w:r>
        <w:rPr>
          <w:rFonts w:ascii="Times New Roman"/>
          <w:color w:val="231F20"/>
          <w:sz w:val="18"/>
        </w:rPr>
        <w:tab/>
      </w:r>
      <w:hyperlink w:history="true" w:anchor="_bookmark82">
        <w:r>
          <w:rPr>
            <w:color w:val="231F20"/>
            <w:spacing w:val="-5"/>
            <w:sz w:val="18"/>
          </w:rPr>
          <w:t>108</w:t>
        </w:r>
      </w:hyperlink>
    </w:p>
    <w:p>
      <w:pPr>
        <w:tabs>
          <w:tab w:pos="4727" w:val="left" w:leader="dot"/>
        </w:tabs>
        <w:spacing w:line="220" w:lineRule="exact" w:before="0"/>
        <w:ind w:left="676" w:right="0" w:firstLine="0"/>
        <w:jc w:val="left"/>
        <w:rPr>
          <w:sz w:val="18"/>
        </w:rPr>
      </w:pPr>
      <w:hyperlink w:history="true" w:anchor="_bookmark83">
        <w:r>
          <w:rPr>
            <w:color w:val="231F20"/>
            <w:sz w:val="18"/>
          </w:rPr>
          <w:t>Area</w:t>
        </w:r>
        <w:r>
          <w:rPr>
            <w:color w:val="231F20"/>
            <w:spacing w:val="6"/>
            <w:sz w:val="18"/>
          </w:rPr>
          <w:t> </w:t>
        </w:r>
        <w:r>
          <w:rPr>
            <w:color w:val="231F20"/>
            <w:spacing w:val="-4"/>
            <w:sz w:val="18"/>
          </w:rPr>
          <w:t>chart</w:t>
        </w:r>
      </w:hyperlink>
      <w:r>
        <w:rPr>
          <w:rFonts w:ascii="Times New Roman"/>
          <w:color w:val="231F20"/>
          <w:sz w:val="18"/>
        </w:rPr>
        <w:tab/>
      </w:r>
      <w:hyperlink w:history="true" w:anchor="_bookmark83">
        <w:r>
          <w:rPr>
            <w:color w:val="231F20"/>
            <w:spacing w:val="-5"/>
            <w:sz w:val="18"/>
          </w:rPr>
          <w:t>110</w:t>
        </w:r>
      </w:hyperlink>
    </w:p>
    <w:p>
      <w:pPr>
        <w:tabs>
          <w:tab w:pos="4727" w:val="left" w:leader="dot"/>
        </w:tabs>
        <w:spacing w:line="220" w:lineRule="exact" w:before="0"/>
        <w:ind w:left="676" w:right="0" w:firstLine="0"/>
        <w:jc w:val="left"/>
        <w:rPr>
          <w:sz w:val="18"/>
        </w:rPr>
      </w:pPr>
      <w:hyperlink w:history="true" w:anchor="_bookmark84">
        <w:r>
          <w:rPr>
            <w:color w:val="231F20"/>
            <w:sz w:val="18"/>
          </w:rPr>
          <w:t>Circular</w:t>
        </w:r>
        <w:r>
          <w:rPr>
            <w:color w:val="231F20"/>
            <w:spacing w:val="6"/>
            <w:sz w:val="18"/>
          </w:rPr>
          <w:t> </w:t>
        </w:r>
        <w:r>
          <w:rPr>
            <w:color w:val="231F20"/>
            <w:sz w:val="18"/>
          </w:rPr>
          <w:t>gauge</w:t>
        </w:r>
        <w:r>
          <w:rPr>
            <w:color w:val="231F20"/>
            <w:spacing w:val="6"/>
            <w:sz w:val="18"/>
          </w:rPr>
          <w:t> </w:t>
        </w:r>
        <w:r>
          <w:rPr>
            <w:color w:val="231F20"/>
            <w:spacing w:val="-2"/>
            <w:sz w:val="18"/>
          </w:rPr>
          <w:t>chart</w:t>
        </w:r>
      </w:hyperlink>
      <w:r>
        <w:rPr>
          <w:rFonts w:ascii="Times New Roman"/>
          <w:color w:val="231F20"/>
          <w:sz w:val="18"/>
        </w:rPr>
        <w:tab/>
      </w:r>
      <w:hyperlink w:history="true" w:anchor="_bookmark84">
        <w:r>
          <w:rPr>
            <w:color w:val="231F20"/>
            <w:spacing w:val="-5"/>
            <w:sz w:val="18"/>
          </w:rPr>
          <w:t>112</w:t>
        </w:r>
      </w:hyperlink>
    </w:p>
    <w:p>
      <w:pPr>
        <w:tabs>
          <w:tab w:pos="4727" w:val="left" w:leader="dot"/>
        </w:tabs>
        <w:spacing w:line="231" w:lineRule="exact" w:before="0"/>
        <w:ind w:left="676" w:right="0" w:firstLine="0"/>
        <w:jc w:val="left"/>
        <w:rPr>
          <w:sz w:val="18"/>
        </w:rPr>
      </w:pPr>
      <w:hyperlink w:history="true" w:anchor="_bookmark85">
        <w:r>
          <w:rPr>
            <w:color w:val="231F20"/>
            <w:sz w:val="18"/>
          </w:rPr>
          <w:t>Linear</w:t>
        </w:r>
        <w:r>
          <w:rPr>
            <w:color w:val="231F20"/>
            <w:spacing w:val="9"/>
            <w:sz w:val="18"/>
          </w:rPr>
          <w:t> </w:t>
        </w:r>
        <w:r>
          <w:rPr>
            <w:color w:val="231F20"/>
            <w:sz w:val="18"/>
          </w:rPr>
          <w:t>gauge</w:t>
        </w:r>
        <w:r>
          <w:rPr>
            <w:color w:val="231F20"/>
            <w:spacing w:val="9"/>
            <w:sz w:val="18"/>
          </w:rPr>
          <w:t> </w:t>
        </w:r>
        <w:r>
          <w:rPr>
            <w:color w:val="231F20"/>
            <w:spacing w:val="-2"/>
            <w:sz w:val="18"/>
          </w:rPr>
          <w:t>chart</w:t>
        </w:r>
      </w:hyperlink>
      <w:r>
        <w:rPr>
          <w:rFonts w:ascii="Times New Roman"/>
          <w:color w:val="231F20"/>
          <w:sz w:val="18"/>
        </w:rPr>
        <w:tab/>
      </w:r>
      <w:hyperlink w:history="true" w:anchor="_bookmark85">
        <w:r>
          <w:rPr>
            <w:color w:val="231F20"/>
            <w:spacing w:val="-5"/>
            <w:sz w:val="18"/>
          </w:rPr>
          <w:t>113</w:t>
        </w:r>
      </w:hyperlink>
    </w:p>
    <w:p>
      <w:pPr>
        <w:spacing w:after="0" w:line="231" w:lineRule="exact"/>
        <w:jc w:val="left"/>
        <w:rPr>
          <w:sz w:val="18"/>
        </w:rPr>
        <w:sectPr>
          <w:type w:val="continuous"/>
          <w:pgSz w:w="12240" w:h="15840"/>
          <w:pgMar w:header="0" w:footer="0" w:top="0" w:bottom="4660" w:left="1000" w:right="1060"/>
          <w:cols w:num="2" w:equalWidth="0">
            <w:col w:w="4987" w:space="42"/>
            <w:col w:w="5151"/>
          </w:cols>
        </w:sectPr>
      </w:pPr>
    </w:p>
    <w:p>
      <w:pPr>
        <w:tabs>
          <w:tab w:pos="10016" w:val="right" w:leader="none"/>
        </w:tabs>
        <w:spacing w:before="180"/>
        <w:ind w:left="436" w:right="0" w:firstLine="0"/>
        <w:jc w:val="left"/>
        <w:rPr>
          <w:rFonts w:ascii="Book Antiqua" w:hAnsi="Book Antiqua"/>
          <w:b/>
          <w:sz w:val="22"/>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r>
        <w:rPr>
          <w:rFonts w:ascii="Times New Roman" w:hAnsi="Times New Roman"/>
          <w:color w:val="231F20"/>
          <w:sz w:val="16"/>
        </w:rPr>
        <w:tab/>
      </w:r>
      <w:r>
        <w:rPr>
          <w:rFonts w:ascii="Book Antiqua" w:hAnsi="Book Antiqua"/>
          <w:b/>
          <w:color w:val="231F20"/>
          <w:spacing w:val="-5"/>
          <w:sz w:val="22"/>
        </w:rPr>
        <w:t>iii</w:t>
      </w:r>
    </w:p>
    <w:p>
      <w:pPr>
        <w:spacing w:after="0"/>
        <w:jc w:val="left"/>
        <w:rPr>
          <w:rFonts w:ascii="Book Antiqua" w:hAnsi="Book Antiqua"/>
          <w:sz w:val="22"/>
        </w:rPr>
        <w:sectPr>
          <w:type w:val="continuous"/>
          <w:pgSz w:w="12240" w:h="15840"/>
          <w:pgMar w:header="0" w:footer="0" w:top="0" w:bottom="4660" w:left="1000" w:right="1060"/>
        </w:sectPr>
      </w:pPr>
    </w:p>
    <w:sdt>
      <w:sdtPr>
        <w:docPartObj>
          <w:docPartGallery w:val="Table of Contents"/>
          <w:docPartUnique/>
        </w:docPartObj>
      </w:sdtPr>
      <w:sdtEndPr/>
      <w:sdtContent>
        <w:p>
          <w:pPr>
            <w:pStyle w:val="TOC3"/>
            <w:tabs>
              <w:tab w:pos="4747" w:val="right" w:leader="dot"/>
            </w:tabs>
            <w:spacing w:line="231" w:lineRule="exact" w:before="48"/>
          </w:pPr>
          <w:hyperlink w:history="true" w:anchor="_bookmark86">
            <w:r>
              <w:rPr>
                <w:color w:val="231F20"/>
              </w:rPr>
              <w:t>Chart</w:t>
            </w:r>
            <w:r>
              <w:rPr>
                <w:color w:val="231F20"/>
                <w:spacing w:val="9"/>
              </w:rPr>
              <w:t> </w:t>
            </w:r>
            <w:r>
              <w:rPr>
                <w:color w:val="231F20"/>
                <w:spacing w:val="-4"/>
              </w:rPr>
              <w:t>style</w:t>
            </w:r>
          </w:hyperlink>
          <w:r>
            <w:rPr>
              <w:rFonts w:ascii="Times New Roman"/>
              <w:color w:val="231F20"/>
            </w:rPr>
            <w:tab/>
          </w:r>
          <w:hyperlink w:history="true" w:anchor="_bookmark86">
            <w:r>
              <w:rPr>
                <w:color w:val="231F20"/>
                <w:spacing w:val="-5"/>
              </w:rPr>
              <w:t>115</w:t>
            </w:r>
          </w:hyperlink>
        </w:p>
        <w:p>
          <w:pPr>
            <w:pStyle w:val="TOC3"/>
            <w:tabs>
              <w:tab w:pos="4747" w:val="right" w:leader="dot"/>
            </w:tabs>
          </w:pPr>
          <w:hyperlink w:history="true" w:anchor="_bookmark95">
            <w:r>
              <w:rPr>
                <w:color w:val="231F20"/>
              </w:rPr>
              <w:t>Chart</w:t>
            </w:r>
            <w:r>
              <w:rPr>
                <w:color w:val="231F20"/>
                <w:spacing w:val="9"/>
              </w:rPr>
              <w:t> </w:t>
            </w:r>
            <w:r>
              <w:rPr>
                <w:color w:val="231F20"/>
                <w:spacing w:val="-2"/>
              </w:rPr>
              <w:t>baselines</w:t>
            </w:r>
          </w:hyperlink>
          <w:r>
            <w:rPr>
              <w:rFonts w:ascii="Times New Roman"/>
              <w:color w:val="231F20"/>
            </w:rPr>
            <w:tab/>
          </w:r>
          <w:hyperlink w:history="true" w:anchor="_bookmark95">
            <w:r>
              <w:rPr>
                <w:color w:val="231F20"/>
                <w:spacing w:val="-5"/>
              </w:rPr>
              <w:t>124</w:t>
            </w:r>
          </w:hyperlink>
        </w:p>
        <w:p>
          <w:pPr>
            <w:pStyle w:val="TOC2"/>
            <w:tabs>
              <w:tab w:pos="4747" w:val="right" w:leader="dot"/>
            </w:tabs>
          </w:pPr>
          <w:hyperlink w:history="true" w:anchor="_bookmark99">
            <w:r>
              <w:rPr>
                <w:color w:val="231F20"/>
                <w:spacing w:val="-2"/>
              </w:rPr>
              <w:t>Topology</w:t>
            </w:r>
            <w:r>
              <w:rPr>
                <w:color w:val="231F20"/>
                <w:spacing w:val="5"/>
              </w:rPr>
              <w:t> </w:t>
            </w:r>
            <w:r>
              <w:rPr>
                <w:color w:val="231F20"/>
                <w:spacing w:val="-4"/>
              </w:rPr>
              <w:t>view</w:t>
            </w:r>
          </w:hyperlink>
          <w:r>
            <w:rPr>
              <w:rFonts w:ascii="Times New Roman"/>
              <w:color w:val="231F20"/>
            </w:rPr>
            <w:tab/>
          </w:r>
          <w:hyperlink w:history="true" w:anchor="_bookmark99">
            <w:r>
              <w:rPr>
                <w:color w:val="231F20"/>
                <w:spacing w:val="-5"/>
              </w:rPr>
              <w:t>133</w:t>
            </w:r>
          </w:hyperlink>
        </w:p>
        <w:p>
          <w:pPr>
            <w:pStyle w:val="TOC3"/>
            <w:tabs>
              <w:tab w:pos="4747" w:val="right" w:leader="dot"/>
            </w:tabs>
          </w:pPr>
          <w:hyperlink w:history="true" w:anchor="_bookmark99">
            <w:r>
              <w:rPr>
                <w:color w:val="231F20"/>
              </w:rPr>
              <w:t>Creating</w:t>
            </w:r>
            <w:r>
              <w:rPr>
                <w:color w:val="231F20"/>
                <w:spacing w:val="7"/>
              </w:rPr>
              <w:t> </w:t>
            </w:r>
            <w:r>
              <w:rPr>
                <w:color w:val="231F20"/>
              </w:rPr>
              <w:t>a</w:t>
            </w:r>
            <w:r>
              <w:rPr>
                <w:color w:val="231F20"/>
                <w:spacing w:val="8"/>
              </w:rPr>
              <w:t> </w:t>
            </w:r>
            <w:r>
              <w:rPr>
                <w:color w:val="231F20"/>
              </w:rPr>
              <w:t>topology</w:t>
            </w:r>
            <w:r>
              <w:rPr>
                <w:color w:val="231F20"/>
                <w:spacing w:val="8"/>
              </w:rPr>
              <w:t> </w:t>
            </w:r>
            <w:r>
              <w:rPr>
                <w:color w:val="231F20"/>
                <w:spacing w:val="-4"/>
              </w:rPr>
              <w:t>view</w:t>
            </w:r>
          </w:hyperlink>
          <w:r>
            <w:rPr>
              <w:rFonts w:ascii="Times New Roman"/>
              <w:color w:val="231F20"/>
            </w:rPr>
            <w:tab/>
          </w:r>
          <w:hyperlink w:history="true" w:anchor="_bookmark99">
            <w:r>
              <w:rPr>
                <w:color w:val="231F20"/>
                <w:spacing w:val="-5"/>
              </w:rPr>
              <w:t>133</w:t>
            </w:r>
          </w:hyperlink>
        </w:p>
        <w:p>
          <w:pPr>
            <w:pStyle w:val="TOC3"/>
            <w:tabs>
              <w:tab w:pos="4747" w:val="right" w:leader="dot"/>
            </w:tabs>
          </w:pPr>
          <w:hyperlink w:history="true" w:anchor="_bookmark100">
            <w:r>
              <w:rPr>
                <w:color w:val="231F20"/>
              </w:rPr>
              <w:t>What</w:t>
            </w:r>
            <w:r>
              <w:rPr>
                <w:color w:val="231F20"/>
                <w:spacing w:val="9"/>
              </w:rPr>
              <w:t> </w:t>
            </w:r>
            <w:r>
              <w:rPr>
                <w:color w:val="231F20"/>
              </w:rPr>
              <w:t>the</w:t>
            </w:r>
            <w:r>
              <w:rPr>
                <w:color w:val="231F20"/>
                <w:spacing w:val="10"/>
              </w:rPr>
              <w:t> </w:t>
            </w:r>
            <w:r>
              <w:rPr>
                <w:color w:val="231F20"/>
              </w:rPr>
              <w:t>topology</w:t>
            </w:r>
            <w:r>
              <w:rPr>
                <w:color w:val="231F20"/>
                <w:spacing w:val="9"/>
              </w:rPr>
              <w:t> </w:t>
            </w:r>
            <w:r>
              <w:rPr>
                <w:color w:val="231F20"/>
              </w:rPr>
              <w:t>view</w:t>
            </w:r>
            <w:r>
              <w:rPr>
                <w:color w:val="231F20"/>
                <w:spacing w:val="10"/>
              </w:rPr>
              <w:t> </w:t>
            </w:r>
            <w:r>
              <w:rPr>
                <w:color w:val="231F20"/>
                <w:spacing w:val="-2"/>
              </w:rPr>
              <w:t>shows</w:t>
            </w:r>
          </w:hyperlink>
          <w:r>
            <w:rPr>
              <w:rFonts w:ascii="Times New Roman"/>
              <w:color w:val="231F20"/>
            </w:rPr>
            <w:tab/>
          </w:r>
          <w:hyperlink w:history="true" w:anchor="_bookmark100">
            <w:r>
              <w:rPr>
                <w:color w:val="231F20"/>
                <w:spacing w:val="-5"/>
              </w:rPr>
              <w:t>134</w:t>
            </w:r>
          </w:hyperlink>
        </w:p>
        <w:p>
          <w:pPr>
            <w:pStyle w:val="TOC3"/>
            <w:tabs>
              <w:tab w:pos="4747" w:val="right" w:leader="dot"/>
            </w:tabs>
          </w:pPr>
          <w:hyperlink w:history="true" w:anchor="_bookmark102">
            <w:r>
              <w:rPr>
                <w:color w:val="231F20"/>
              </w:rPr>
              <w:t>Topology</w:t>
            </w:r>
            <w:r>
              <w:rPr>
                <w:color w:val="231F20"/>
                <w:spacing w:val="3"/>
              </w:rPr>
              <w:t> </w:t>
            </w:r>
            <w:r>
              <w:rPr>
                <w:color w:val="231F20"/>
              </w:rPr>
              <w:t>view</w:t>
            </w:r>
            <w:r>
              <w:rPr>
                <w:color w:val="231F20"/>
                <w:spacing w:val="3"/>
              </w:rPr>
              <w:t> </w:t>
            </w:r>
            <w:r>
              <w:rPr>
                <w:color w:val="231F20"/>
              </w:rPr>
              <w:t>style</w:t>
            </w:r>
            <w:r>
              <w:rPr>
                <w:color w:val="231F20"/>
                <w:spacing w:val="3"/>
              </w:rPr>
              <w:t> </w:t>
            </w:r>
            <w:r>
              <w:rPr>
                <w:color w:val="231F20"/>
                <w:spacing w:val="-2"/>
              </w:rPr>
              <w:t>properties</w:t>
            </w:r>
          </w:hyperlink>
          <w:r>
            <w:rPr>
              <w:rFonts w:ascii="Times New Roman"/>
              <w:color w:val="231F20"/>
            </w:rPr>
            <w:tab/>
          </w:r>
          <w:hyperlink w:history="true" w:anchor="_bookmark102">
            <w:r>
              <w:rPr>
                <w:color w:val="231F20"/>
                <w:spacing w:val="-5"/>
              </w:rPr>
              <w:t>136</w:t>
            </w:r>
          </w:hyperlink>
        </w:p>
        <w:p>
          <w:pPr>
            <w:pStyle w:val="TOC3"/>
            <w:tabs>
              <w:tab w:pos="4747" w:val="right" w:leader="dot"/>
            </w:tabs>
          </w:pPr>
          <w:hyperlink w:history="true" w:anchor="_bookmark103">
            <w:r>
              <w:rPr>
                <w:color w:val="231F20"/>
              </w:rPr>
              <w:t>TMS</w:t>
            </w:r>
            <w:r>
              <w:rPr>
                <w:color w:val="231F20"/>
                <w:spacing w:val="3"/>
              </w:rPr>
              <w:t> </w:t>
            </w:r>
            <w:r>
              <w:rPr>
                <w:color w:val="231F20"/>
              </w:rPr>
              <w:t>Infrastructure</w:t>
            </w:r>
            <w:r>
              <w:rPr>
                <w:color w:val="231F20"/>
                <w:spacing w:val="4"/>
              </w:rPr>
              <w:t> </w:t>
            </w:r>
            <w:r>
              <w:rPr>
                <w:color w:val="231F20"/>
                <w:spacing w:val="-4"/>
              </w:rPr>
              <w:t>view</w:t>
            </w:r>
          </w:hyperlink>
          <w:r>
            <w:rPr>
              <w:rFonts w:ascii="Times New Roman"/>
              <w:color w:val="231F20"/>
            </w:rPr>
            <w:tab/>
          </w:r>
          <w:hyperlink w:history="true" w:anchor="_bookmark103">
            <w:r>
              <w:rPr>
                <w:color w:val="231F20"/>
                <w:spacing w:val="-5"/>
              </w:rPr>
              <w:t>139</w:t>
            </w:r>
          </w:hyperlink>
        </w:p>
        <w:p>
          <w:pPr>
            <w:pStyle w:val="TOC2"/>
            <w:tabs>
              <w:tab w:pos="4747" w:val="right" w:leader="dot"/>
            </w:tabs>
          </w:pPr>
          <w:hyperlink w:history="true" w:anchor="_bookmark104">
            <w:r>
              <w:rPr>
                <w:color w:val="231F20"/>
              </w:rPr>
              <w:t>Event</w:t>
            </w:r>
            <w:r>
              <w:rPr>
                <w:color w:val="231F20"/>
                <w:spacing w:val="9"/>
              </w:rPr>
              <w:t> </w:t>
            </w:r>
            <w:r>
              <w:rPr>
                <w:color w:val="231F20"/>
                <w:spacing w:val="-2"/>
              </w:rPr>
              <w:t>views</w:t>
            </w:r>
          </w:hyperlink>
          <w:r>
            <w:rPr>
              <w:rFonts w:ascii="Times New Roman"/>
              <w:color w:val="231F20"/>
            </w:rPr>
            <w:tab/>
          </w:r>
          <w:hyperlink w:history="true" w:anchor="_bookmark104">
            <w:r>
              <w:rPr>
                <w:color w:val="231F20"/>
                <w:spacing w:val="-5"/>
              </w:rPr>
              <w:t>140</w:t>
            </w:r>
          </w:hyperlink>
        </w:p>
        <w:p>
          <w:pPr>
            <w:pStyle w:val="TOC3"/>
            <w:tabs>
              <w:tab w:pos="4747" w:val="right" w:leader="dot"/>
            </w:tabs>
          </w:pPr>
          <w:hyperlink w:history="true" w:anchor="_bookmark104">
            <w:r>
              <w:rPr>
                <w:color w:val="231F20"/>
              </w:rPr>
              <w:t>Adding</w:t>
            </w:r>
            <w:r>
              <w:rPr>
                <w:color w:val="231F20"/>
                <w:spacing w:val="9"/>
              </w:rPr>
              <w:t> </w:t>
            </w:r>
            <w:r>
              <w:rPr>
                <w:color w:val="231F20"/>
              </w:rPr>
              <w:t>a</w:t>
            </w:r>
            <w:r>
              <w:rPr>
                <w:color w:val="231F20"/>
                <w:spacing w:val="10"/>
              </w:rPr>
              <w:t> </w:t>
            </w:r>
            <w:r>
              <w:rPr>
                <w:color w:val="231F20"/>
              </w:rPr>
              <w:t>message</w:t>
            </w:r>
            <w:r>
              <w:rPr>
                <w:color w:val="231F20"/>
                <w:spacing w:val="10"/>
              </w:rPr>
              <w:t> </w:t>
            </w:r>
            <w:r>
              <w:rPr>
                <w:color w:val="231F20"/>
              </w:rPr>
              <w:t>log</w:t>
            </w:r>
            <w:r>
              <w:rPr>
                <w:color w:val="231F20"/>
                <w:spacing w:val="10"/>
              </w:rPr>
              <w:t> </w:t>
            </w:r>
            <w:r>
              <w:rPr>
                <w:color w:val="231F20"/>
                <w:spacing w:val="-4"/>
              </w:rPr>
              <w:t>view</w:t>
            </w:r>
          </w:hyperlink>
          <w:r>
            <w:rPr>
              <w:rFonts w:ascii="Times New Roman"/>
              <w:color w:val="231F20"/>
            </w:rPr>
            <w:tab/>
          </w:r>
          <w:hyperlink w:history="true" w:anchor="_bookmark104">
            <w:r>
              <w:rPr>
                <w:color w:val="231F20"/>
                <w:spacing w:val="-5"/>
              </w:rPr>
              <w:t>140</w:t>
            </w:r>
          </w:hyperlink>
        </w:p>
        <w:p>
          <w:pPr>
            <w:pStyle w:val="TOC3"/>
            <w:tabs>
              <w:tab w:pos="4747" w:val="right" w:leader="dot"/>
            </w:tabs>
          </w:pPr>
          <w:hyperlink w:history="true" w:anchor="_bookmark107">
            <w:r>
              <w:rPr>
                <w:color w:val="231F20"/>
              </w:rPr>
              <w:t>Adding</w:t>
            </w:r>
            <w:r>
              <w:rPr>
                <w:color w:val="231F20"/>
                <w:spacing w:val="8"/>
              </w:rPr>
              <w:t> </w:t>
            </w:r>
            <w:r>
              <w:rPr>
                <w:color w:val="231F20"/>
              </w:rPr>
              <w:t>a</w:t>
            </w:r>
            <w:r>
              <w:rPr>
                <w:color w:val="231F20"/>
                <w:spacing w:val="8"/>
              </w:rPr>
              <w:t> </w:t>
            </w:r>
            <w:r>
              <w:rPr>
                <w:color w:val="231F20"/>
              </w:rPr>
              <w:t>Universal</w:t>
            </w:r>
            <w:r>
              <w:rPr>
                <w:color w:val="231F20"/>
                <w:spacing w:val="9"/>
              </w:rPr>
              <w:t> </w:t>
            </w:r>
            <w:r>
              <w:rPr>
                <w:color w:val="231F20"/>
              </w:rPr>
              <w:t>Message</w:t>
            </w:r>
            <w:r>
              <w:rPr>
                <w:color w:val="231F20"/>
                <w:spacing w:val="8"/>
              </w:rPr>
              <w:t> </w:t>
            </w:r>
            <w:r>
              <w:rPr>
                <w:color w:val="231F20"/>
              </w:rPr>
              <w:t>Console</w:t>
            </w:r>
            <w:r>
              <w:rPr>
                <w:color w:val="231F20"/>
                <w:spacing w:val="8"/>
              </w:rPr>
              <w:t> </w:t>
            </w:r>
            <w:r>
              <w:rPr>
                <w:color w:val="231F20"/>
                <w:spacing w:val="-4"/>
              </w:rPr>
              <w:t>view</w:t>
            </w:r>
          </w:hyperlink>
          <w:r>
            <w:rPr>
              <w:rFonts w:ascii="Times New Roman"/>
              <w:color w:val="231F20"/>
            </w:rPr>
            <w:tab/>
          </w:r>
          <w:hyperlink w:history="true" w:anchor="_bookmark107">
            <w:r>
              <w:rPr>
                <w:color w:val="231F20"/>
                <w:spacing w:val="-5"/>
              </w:rPr>
              <w:t>143</w:t>
            </w:r>
          </w:hyperlink>
        </w:p>
        <w:p>
          <w:pPr>
            <w:pStyle w:val="TOC3"/>
            <w:tabs>
              <w:tab w:pos="4747" w:val="right" w:leader="dot"/>
            </w:tabs>
          </w:pPr>
          <w:hyperlink w:history="true" w:anchor="_bookmark108">
            <w:r>
              <w:rPr>
                <w:color w:val="231F20"/>
              </w:rPr>
              <w:t>Adding</w:t>
            </w:r>
            <w:r>
              <w:rPr>
                <w:color w:val="231F20"/>
                <w:spacing w:val="9"/>
              </w:rPr>
              <w:t> </w:t>
            </w:r>
            <w:r>
              <w:rPr>
                <w:color w:val="231F20"/>
              </w:rPr>
              <w:t>a</w:t>
            </w:r>
            <w:r>
              <w:rPr>
                <w:color w:val="231F20"/>
                <w:spacing w:val="10"/>
              </w:rPr>
              <w:t> </w:t>
            </w:r>
            <w:r>
              <w:rPr>
                <w:color w:val="231F20"/>
              </w:rPr>
              <w:t>graphic</w:t>
            </w:r>
            <w:r>
              <w:rPr>
                <w:color w:val="231F20"/>
                <w:spacing w:val="9"/>
              </w:rPr>
              <w:t> </w:t>
            </w:r>
            <w:r>
              <w:rPr>
                <w:color w:val="231F20"/>
                <w:spacing w:val="-4"/>
              </w:rPr>
              <w:t>view</w:t>
            </w:r>
          </w:hyperlink>
          <w:r>
            <w:rPr>
              <w:rFonts w:ascii="Times New Roman"/>
              <w:color w:val="231F20"/>
            </w:rPr>
            <w:tab/>
          </w:r>
          <w:hyperlink w:history="true" w:anchor="_bookmark108">
            <w:r>
              <w:rPr>
                <w:color w:val="231F20"/>
                <w:spacing w:val="-5"/>
              </w:rPr>
              <w:t>144</w:t>
            </w:r>
          </w:hyperlink>
        </w:p>
        <w:p>
          <w:pPr>
            <w:pStyle w:val="TOC3"/>
            <w:tabs>
              <w:tab w:pos="4747" w:val="right" w:leader="dot"/>
            </w:tabs>
          </w:pPr>
          <w:hyperlink w:history="true" w:anchor="_bookmark113">
            <w:r>
              <w:rPr>
                <w:color w:val="231F20"/>
              </w:rPr>
              <w:t>Adding</w:t>
            </w:r>
            <w:r>
              <w:rPr>
                <w:color w:val="231F20"/>
                <w:spacing w:val="9"/>
              </w:rPr>
              <w:t> </w:t>
            </w:r>
            <w:r>
              <w:rPr>
                <w:color w:val="231F20"/>
              </w:rPr>
              <w:t>a</w:t>
            </w:r>
            <w:r>
              <w:rPr>
                <w:color w:val="231F20"/>
                <w:spacing w:val="9"/>
              </w:rPr>
              <w:t> </w:t>
            </w:r>
            <w:r>
              <w:rPr>
                <w:color w:val="231F20"/>
              </w:rPr>
              <w:t>situation</w:t>
            </w:r>
            <w:r>
              <w:rPr>
                <w:color w:val="231F20"/>
                <w:spacing w:val="9"/>
              </w:rPr>
              <w:t> </w:t>
            </w:r>
            <w:r>
              <w:rPr>
                <w:color w:val="231F20"/>
              </w:rPr>
              <w:t>event</w:t>
            </w:r>
            <w:r>
              <w:rPr>
                <w:color w:val="231F20"/>
                <w:spacing w:val="9"/>
              </w:rPr>
              <w:t> </w:t>
            </w:r>
            <w:r>
              <w:rPr>
                <w:color w:val="231F20"/>
              </w:rPr>
              <w:t>console</w:t>
            </w:r>
            <w:r>
              <w:rPr>
                <w:color w:val="231F20"/>
                <w:spacing w:val="9"/>
              </w:rPr>
              <w:t> </w:t>
            </w:r>
            <w:r>
              <w:rPr>
                <w:color w:val="231F20"/>
                <w:spacing w:val="-4"/>
              </w:rPr>
              <w:t>view</w:t>
            </w:r>
          </w:hyperlink>
          <w:r>
            <w:rPr>
              <w:rFonts w:ascii="Times New Roman"/>
              <w:color w:val="231F20"/>
            </w:rPr>
            <w:tab/>
          </w:r>
          <w:hyperlink w:history="true" w:anchor="_bookmark113">
            <w:r>
              <w:rPr>
                <w:color w:val="231F20"/>
                <w:spacing w:val="-5"/>
              </w:rPr>
              <w:t>150</w:t>
            </w:r>
          </w:hyperlink>
        </w:p>
        <w:p>
          <w:pPr>
            <w:pStyle w:val="TOC3"/>
            <w:tabs>
              <w:tab w:pos="4747" w:val="right" w:leader="dot"/>
            </w:tabs>
          </w:pPr>
          <w:hyperlink w:history="true" w:anchor="_bookmark116">
            <w:r>
              <w:rPr>
                <w:color w:val="231F20"/>
              </w:rPr>
              <w:t>Adding</w:t>
            </w:r>
            <w:r>
              <w:rPr>
                <w:color w:val="231F20"/>
                <w:spacing w:val="9"/>
              </w:rPr>
              <w:t> </w:t>
            </w:r>
            <w:r>
              <w:rPr>
                <w:color w:val="231F20"/>
              </w:rPr>
              <w:t>a</w:t>
            </w:r>
            <w:r>
              <w:rPr>
                <w:color w:val="231F20"/>
                <w:spacing w:val="9"/>
              </w:rPr>
              <w:t> </w:t>
            </w:r>
            <w:r>
              <w:rPr>
                <w:color w:val="231F20"/>
              </w:rPr>
              <w:t>common</w:t>
            </w:r>
            <w:r>
              <w:rPr>
                <w:color w:val="231F20"/>
                <w:spacing w:val="9"/>
              </w:rPr>
              <w:t> </w:t>
            </w:r>
            <w:r>
              <w:rPr>
                <w:color w:val="231F20"/>
              </w:rPr>
              <w:t>event</w:t>
            </w:r>
            <w:r>
              <w:rPr>
                <w:color w:val="231F20"/>
                <w:spacing w:val="9"/>
              </w:rPr>
              <w:t> </w:t>
            </w:r>
            <w:r>
              <w:rPr>
                <w:color w:val="231F20"/>
              </w:rPr>
              <w:t>console</w:t>
            </w:r>
            <w:r>
              <w:rPr>
                <w:color w:val="231F20"/>
                <w:spacing w:val="9"/>
              </w:rPr>
              <w:t> </w:t>
            </w:r>
            <w:r>
              <w:rPr>
                <w:color w:val="231F20"/>
                <w:spacing w:val="-4"/>
              </w:rPr>
              <w:t>view</w:t>
            </w:r>
          </w:hyperlink>
          <w:r>
            <w:rPr>
              <w:rFonts w:ascii="Times New Roman"/>
              <w:color w:val="231F20"/>
            </w:rPr>
            <w:tab/>
          </w:r>
          <w:hyperlink w:history="true" w:anchor="_bookmark116">
            <w:r>
              <w:rPr>
                <w:color w:val="231F20"/>
                <w:spacing w:val="-5"/>
              </w:rPr>
              <w:t>156</w:t>
            </w:r>
          </w:hyperlink>
        </w:p>
        <w:p>
          <w:pPr>
            <w:pStyle w:val="TOC3"/>
          </w:pPr>
          <w:hyperlink w:history="true" w:anchor="_bookmark119">
            <w:r>
              <w:rPr>
                <w:color w:val="231F20"/>
              </w:rPr>
              <w:t>Adding</w:t>
            </w:r>
            <w:r>
              <w:rPr>
                <w:color w:val="231F20"/>
                <w:spacing w:val="6"/>
              </w:rPr>
              <w:t> </w:t>
            </w:r>
            <w:r>
              <w:rPr>
                <w:color w:val="231F20"/>
              </w:rPr>
              <w:t>a</w:t>
            </w:r>
            <w:r>
              <w:rPr>
                <w:color w:val="231F20"/>
                <w:spacing w:val="7"/>
              </w:rPr>
              <w:t> </w:t>
            </w:r>
            <w:r>
              <w:rPr>
                <w:color w:val="231F20"/>
              </w:rPr>
              <w:t>Tivoli</w:t>
            </w:r>
            <w:r>
              <w:rPr>
                <w:color w:val="231F20"/>
                <w:spacing w:val="7"/>
              </w:rPr>
              <w:t> </w:t>
            </w:r>
            <w:r>
              <w:rPr>
                <w:color w:val="231F20"/>
              </w:rPr>
              <w:t>Enterprise</w:t>
            </w:r>
            <w:r>
              <w:rPr>
                <w:color w:val="231F20"/>
                <w:spacing w:val="6"/>
              </w:rPr>
              <w:t> </w:t>
            </w:r>
            <w:r>
              <w:rPr>
                <w:color w:val="231F20"/>
              </w:rPr>
              <w:t>Console</w:t>
            </w:r>
            <w:r>
              <w:rPr>
                <w:color w:val="231F20"/>
                <w:spacing w:val="7"/>
              </w:rPr>
              <w:t> </w:t>
            </w:r>
            <w:r>
              <w:rPr>
                <w:color w:val="231F20"/>
                <w:spacing w:val="-2"/>
              </w:rPr>
              <w:t>event</w:t>
            </w:r>
          </w:hyperlink>
        </w:p>
        <w:p>
          <w:pPr>
            <w:pStyle w:val="TOC3"/>
            <w:tabs>
              <w:tab w:pos="4747" w:val="right" w:leader="dot"/>
            </w:tabs>
          </w:pPr>
          <w:hyperlink w:history="true" w:anchor="_bookmark119">
            <w:r>
              <w:rPr>
                <w:color w:val="231F20"/>
                <w:spacing w:val="-2"/>
              </w:rPr>
              <w:t>viewer</w:t>
            </w:r>
          </w:hyperlink>
          <w:r>
            <w:rPr>
              <w:rFonts w:ascii="Times New Roman"/>
              <w:color w:val="231F20"/>
            </w:rPr>
            <w:tab/>
          </w:r>
          <w:hyperlink w:history="true" w:anchor="_bookmark119">
            <w:r>
              <w:rPr>
                <w:color w:val="231F20"/>
                <w:spacing w:val="-5"/>
              </w:rPr>
              <w:t>162</w:t>
            </w:r>
          </w:hyperlink>
        </w:p>
        <w:p>
          <w:pPr>
            <w:pStyle w:val="TOC2"/>
            <w:tabs>
              <w:tab w:pos="4747" w:val="right" w:leader="dot"/>
            </w:tabs>
          </w:pPr>
          <w:hyperlink w:history="true" w:anchor="_bookmark121">
            <w:r>
              <w:rPr>
                <w:color w:val="231F20"/>
              </w:rPr>
              <w:t>Creating</w:t>
            </w:r>
            <w:r>
              <w:rPr>
                <w:color w:val="231F20"/>
                <w:spacing w:val="6"/>
              </w:rPr>
              <w:t> </w:t>
            </w:r>
            <w:r>
              <w:rPr>
                <w:color w:val="231F20"/>
              </w:rPr>
              <w:t>a</w:t>
            </w:r>
            <w:r>
              <w:rPr>
                <w:color w:val="231F20"/>
                <w:spacing w:val="7"/>
              </w:rPr>
              <w:t> </w:t>
            </w:r>
            <w:r>
              <w:rPr>
                <w:color w:val="231F20"/>
              </w:rPr>
              <w:t>browser</w:t>
            </w:r>
            <w:r>
              <w:rPr>
                <w:color w:val="231F20"/>
                <w:spacing w:val="6"/>
              </w:rPr>
              <w:t> </w:t>
            </w:r>
            <w:r>
              <w:rPr>
                <w:color w:val="231F20"/>
                <w:spacing w:val="-4"/>
              </w:rPr>
              <w:t>view</w:t>
            </w:r>
          </w:hyperlink>
          <w:r>
            <w:rPr>
              <w:rFonts w:ascii="Times New Roman"/>
              <w:color w:val="231F20"/>
            </w:rPr>
            <w:tab/>
          </w:r>
          <w:hyperlink w:history="true" w:anchor="_bookmark121">
            <w:r>
              <w:rPr>
                <w:color w:val="231F20"/>
                <w:spacing w:val="-5"/>
              </w:rPr>
              <w:t>164</w:t>
            </w:r>
          </w:hyperlink>
        </w:p>
        <w:p>
          <w:pPr>
            <w:pStyle w:val="TOC3"/>
            <w:tabs>
              <w:tab w:pos="4747" w:val="right" w:leader="dot"/>
            </w:tabs>
          </w:pPr>
          <w:hyperlink w:history="true" w:anchor="_bookmark122">
            <w:r>
              <w:rPr>
                <w:color w:val="231F20"/>
              </w:rPr>
              <w:t>Browser</w:t>
            </w:r>
            <w:r>
              <w:rPr>
                <w:color w:val="231F20"/>
                <w:spacing w:val="6"/>
              </w:rPr>
              <w:t> </w:t>
            </w:r>
            <w:r>
              <w:rPr>
                <w:color w:val="231F20"/>
              </w:rPr>
              <w:t>view</w:t>
            </w:r>
            <w:r>
              <w:rPr>
                <w:color w:val="231F20"/>
                <w:spacing w:val="7"/>
              </w:rPr>
              <w:t> </w:t>
            </w:r>
            <w:r>
              <w:rPr>
                <w:color w:val="231F20"/>
                <w:spacing w:val="-2"/>
              </w:rPr>
              <w:t>toolbar</w:t>
            </w:r>
          </w:hyperlink>
          <w:r>
            <w:rPr>
              <w:rFonts w:ascii="Times New Roman"/>
              <w:color w:val="231F20"/>
            </w:rPr>
            <w:tab/>
          </w:r>
          <w:hyperlink w:history="true" w:anchor="_bookmark122">
            <w:r>
              <w:rPr>
                <w:color w:val="231F20"/>
                <w:spacing w:val="-5"/>
              </w:rPr>
              <w:t>165</w:t>
            </w:r>
          </w:hyperlink>
        </w:p>
        <w:p>
          <w:pPr>
            <w:pStyle w:val="TOC3"/>
            <w:tabs>
              <w:tab w:pos="4747" w:val="right" w:leader="dot"/>
            </w:tabs>
          </w:pPr>
          <w:hyperlink w:history="true" w:anchor="_bookmark122">
            <w:r>
              <w:rPr>
                <w:color w:val="231F20"/>
              </w:rPr>
              <w:t>URL</w:t>
            </w:r>
            <w:r>
              <w:rPr>
                <w:color w:val="231F20"/>
                <w:spacing w:val="5"/>
              </w:rPr>
              <w:t> </w:t>
            </w:r>
            <w:r>
              <w:rPr>
                <w:color w:val="231F20"/>
              </w:rPr>
              <w:t>to</w:t>
            </w:r>
            <w:r>
              <w:rPr>
                <w:color w:val="231F20"/>
                <w:spacing w:val="11"/>
              </w:rPr>
              <w:t> </w:t>
            </w:r>
            <w:r>
              <w:rPr>
                <w:color w:val="231F20"/>
              </w:rPr>
              <w:t>files</w:t>
            </w:r>
            <w:r>
              <w:rPr>
                <w:color w:val="231F20"/>
                <w:spacing w:val="11"/>
              </w:rPr>
              <w:t> </w:t>
            </w:r>
            <w:r>
              <w:rPr>
                <w:color w:val="231F20"/>
              </w:rPr>
              <w:t>on</w:t>
            </w:r>
            <w:r>
              <w:rPr>
                <w:color w:val="231F20"/>
                <w:spacing w:val="11"/>
              </w:rPr>
              <w:t> </w:t>
            </w:r>
            <w:r>
              <w:rPr>
                <w:color w:val="231F20"/>
              </w:rPr>
              <w:t>the</w:t>
            </w:r>
            <w:r>
              <w:rPr>
                <w:color w:val="231F20"/>
                <w:spacing w:val="11"/>
              </w:rPr>
              <w:t> </w:t>
            </w:r>
            <w:r>
              <w:rPr>
                <w:color w:val="231F20"/>
              </w:rPr>
              <w:t>portal</w:t>
            </w:r>
            <w:r>
              <w:rPr>
                <w:color w:val="231F20"/>
                <w:spacing w:val="11"/>
              </w:rPr>
              <w:t> </w:t>
            </w:r>
            <w:r>
              <w:rPr>
                <w:color w:val="231F20"/>
                <w:spacing w:val="-2"/>
              </w:rPr>
              <w:t>server</w:t>
            </w:r>
          </w:hyperlink>
          <w:r>
            <w:rPr>
              <w:rFonts w:ascii="Times New Roman"/>
              <w:color w:val="231F20"/>
            </w:rPr>
            <w:tab/>
          </w:r>
          <w:hyperlink w:history="true" w:anchor="_bookmark122">
            <w:r>
              <w:rPr>
                <w:color w:val="231F20"/>
                <w:spacing w:val="-5"/>
              </w:rPr>
              <w:t>165</w:t>
            </w:r>
          </w:hyperlink>
        </w:p>
        <w:p>
          <w:pPr>
            <w:pStyle w:val="TOC3"/>
            <w:tabs>
              <w:tab w:pos="4747" w:val="right" w:leader="dot"/>
            </w:tabs>
          </w:pPr>
          <w:hyperlink w:history="true" w:anchor="_bookmark123">
            <w:r>
              <w:rPr>
                <w:color w:val="231F20"/>
              </w:rPr>
              <w:t>Link</w:t>
            </w:r>
            <w:r>
              <w:rPr>
                <w:color w:val="231F20"/>
                <w:spacing w:val="10"/>
              </w:rPr>
              <w:t> </w:t>
            </w:r>
            <w:r>
              <w:rPr>
                <w:color w:val="231F20"/>
              </w:rPr>
              <w:t>symbols</w:t>
            </w:r>
            <w:r>
              <w:rPr>
                <w:color w:val="231F20"/>
                <w:spacing w:val="10"/>
              </w:rPr>
              <w:t> </w:t>
            </w:r>
            <w:r>
              <w:rPr>
                <w:color w:val="231F20"/>
              </w:rPr>
              <w:t>in</w:t>
            </w:r>
            <w:r>
              <w:rPr>
                <w:color w:val="231F20"/>
                <w:spacing w:val="10"/>
              </w:rPr>
              <w:t> </w:t>
            </w:r>
            <w:r>
              <w:rPr>
                <w:color w:val="231F20"/>
              </w:rPr>
              <w:t>the</w:t>
            </w:r>
            <w:r>
              <w:rPr>
                <w:color w:val="231F20"/>
                <w:spacing w:val="11"/>
              </w:rPr>
              <w:t> </w:t>
            </w:r>
            <w:r>
              <w:rPr>
                <w:color w:val="231F20"/>
              </w:rPr>
              <w:t>URL</w:t>
            </w:r>
            <w:r>
              <w:rPr>
                <w:color w:val="231F20"/>
                <w:spacing w:val="4"/>
              </w:rPr>
              <w:t> </w:t>
            </w:r>
            <w:r>
              <w:rPr>
                <w:color w:val="231F20"/>
                <w:spacing w:val="-2"/>
              </w:rPr>
              <w:t>address</w:t>
            </w:r>
          </w:hyperlink>
          <w:r>
            <w:rPr>
              <w:rFonts w:ascii="Times New Roman"/>
              <w:color w:val="231F20"/>
            </w:rPr>
            <w:tab/>
          </w:r>
          <w:hyperlink w:history="true" w:anchor="_bookmark123">
            <w:r>
              <w:rPr>
                <w:color w:val="231F20"/>
                <w:spacing w:val="-5"/>
              </w:rPr>
              <w:t>166</w:t>
            </w:r>
          </w:hyperlink>
        </w:p>
        <w:p>
          <w:pPr>
            <w:pStyle w:val="TOC3"/>
            <w:tabs>
              <w:tab w:pos="4747" w:val="right" w:leader="dot"/>
            </w:tabs>
          </w:pPr>
          <w:hyperlink w:history="true" w:anchor="_bookmark123">
            <w:r>
              <w:rPr>
                <w:color w:val="231F20"/>
              </w:rPr>
              <w:t>Link</w:t>
            </w:r>
            <w:r>
              <w:rPr>
                <w:color w:val="231F20"/>
                <w:spacing w:val="10"/>
              </w:rPr>
              <w:t> </w:t>
            </w:r>
            <w:r>
              <w:rPr>
                <w:color w:val="231F20"/>
              </w:rPr>
              <w:t>to</w:t>
            </w:r>
            <w:r>
              <w:rPr>
                <w:color w:val="231F20"/>
                <w:spacing w:val="10"/>
              </w:rPr>
              <w:t> </w:t>
            </w:r>
            <w:r>
              <w:rPr>
                <w:color w:val="231F20"/>
              </w:rPr>
              <w:t>external</w:t>
            </w:r>
            <w:r>
              <w:rPr>
                <w:color w:val="231F20"/>
                <w:spacing w:val="10"/>
              </w:rPr>
              <w:t> </w:t>
            </w:r>
            <w:r>
              <w:rPr>
                <w:color w:val="231F20"/>
                <w:spacing w:val="-2"/>
              </w:rPr>
              <w:t>browser</w:t>
            </w:r>
          </w:hyperlink>
          <w:r>
            <w:rPr>
              <w:rFonts w:ascii="Times New Roman"/>
              <w:color w:val="231F20"/>
            </w:rPr>
            <w:tab/>
          </w:r>
          <w:hyperlink w:history="true" w:anchor="_bookmark123">
            <w:r>
              <w:rPr>
                <w:color w:val="231F20"/>
                <w:spacing w:val="-5"/>
              </w:rPr>
              <w:t>166</w:t>
            </w:r>
          </w:hyperlink>
        </w:p>
        <w:p>
          <w:pPr>
            <w:pStyle w:val="TOC2"/>
            <w:tabs>
              <w:tab w:pos="4747" w:val="right" w:leader="dot"/>
            </w:tabs>
          </w:pPr>
          <w:hyperlink w:history="true" w:anchor="_bookmark123">
            <w:r>
              <w:rPr>
                <w:color w:val="231F20"/>
              </w:rPr>
              <w:t>Adding</w:t>
            </w:r>
            <w:r>
              <w:rPr>
                <w:color w:val="231F20"/>
                <w:spacing w:val="9"/>
              </w:rPr>
              <w:t> </w:t>
            </w:r>
            <w:r>
              <w:rPr>
                <w:color w:val="231F20"/>
              </w:rPr>
              <w:t>a</w:t>
            </w:r>
            <w:r>
              <w:rPr>
                <w:color w:val="231F20"/>
                <w:spacing w:val="9"/>
              </w:rPr>
              <w:t> </w:t>
            </w:r>
            <w:r>
              <w:rPr>
                <w:color w:val="231F20"/>
              </w:rPr>
              <w:t>notepad</w:t>
            </w:r>
            <w:r>
              <w:rPr>
                <w:color w:val="231F20"/>
                <w:spacing w:val="10"/>
              </w:rPr>
              <w:t> </w:t>
            </w:r>
            <w:r>
              <w:rPr>
                <w:color w:val="231F20"/>
                <w:spacing w:val="-4"/>
              </w:rPr>
              <w:t>view</w:t>
            </w:r>
          </w:hyperlink>
          <w:r>
            <w:rPr>
              <w:rFonts w:ascii="Times New Roman"/>
              <w:color w:val="231F20"/>
            </w:rPr>
            <w:tab/>
          </w:r>
          <w:hyperlink w:history="true" w:anchor="_bookmark123">
            <w:r>
              <w:rPr>
                <w:color w:val="231F20"/>
                <w:spacing w:val="-5"/>
              </w:rPr>
              <w:t>166</w:t>
            </w:r>
          </w:hyperlink>
        </w:p>
        <w:p>
          <w:pPr>
            <w:pStyle w:val="TOC2"/>
            <w:tabs>
              <w:tab w:pos="4747" w:val="right" w:leader="dot"/>
            </w:tabs>
          </w:pPr>
          <w:hyperlink w:history="true" w:anchor="_bookmark124">
            <w:r>
              <w:rPr>
                <w:color w:val="231F20"/>
              </w:rPr>
              <w:t>Creating</w:t>
            </w:r>
            <w:r>
              <w:rPr>
                <w:color w:val="231F20"/>
                <w:spacing w:val="9"/>
              </w:rPr>
              <w:t> </w:t>
            </w:r>
            <w:r>
              <w:rPr>
                <w:color w:val="231F20"/>
              </w:rPr>
              <w:t>a</w:t>
            </w:r>
            <w:r>
              <w:rPr>
                <w:color w:val="231F20"/>
                <w:spacing w:val="9"/>
              </w:rPr>
              <w:t> </w:t>
            </w:r>
            <w:r>
              <w:rPr>
                <w:color w:val="231F20"/>
              </w:rPr>
              <w:t>take</w:t>
            </w:r>
            <w:r>
              <w:rPr>
                <w:color w:val="231F20"/>
                <w:spacing w:val="9"/>
              </w:rPr>
              <w:t> </w:t>
            </w:r>
            <w:r>
              <w:rPr>
                <w:color w:val="231F20"/>
              </w:rPr>
              <w:t>action</w:t>
            </w:r>
            <w:r>
              <w:rPr>
                <w:color w:val="231F20"/>
                <w:spacing w:val="9"/>
              </w:rPr>
              <w:t> </w:t>
            </w:r>
            <w:r>
              <w:rPr>
                <w:color w:val="231F20"/>
                <w:spacing w:val="-4"/>
              </w:rPr>
              <w:t>view</w:t>
            </w:r>
          </w:hyperlink>
          <w:r>
            <w:rPr>
              <w:rFonts w:ascii="Times New Roman"/>
              <w:color w:val="231F20"/>
            </w:rPr>
            <w:tab/>
          </w:r>
          <w:hyperlink w:history="true" w:anchor="_bookmark124">
            <w:r>
              <w:rPr>
                <w:color w:val="231F20"/>
                <w:spacing w:val="-5"/>
              </w:rPr>
              <w:t>167</w:t>
            </w:r>
          </w:hyperlink>
        </w:p>
        <w:p>
          <w:pPr>
            <w:pStyle w:val="TOC2"/>
            <w:tabs>
              <w:tab w:pos="4747" w:val="right" w:leader="dot"/>
            </w:tabs>
          </w:pPr>
          <w:hyperlink w:history="true" w:anchor="_bookmark124">
            <w:r>
              <w:rPr>
                <w:color w:val="231F20"/>
                <w:spacing w:val="-2"/>
              </w:rPr>
              <w:t>Terminal</w:t>
            </w:r>
            <w:r>
              <w:rPr>
                <w:color w:val="231F20"/>
                <w:spacing w:val="5"/>
              </w:rPr>
              <w:t> </w:t>
            </w:r>
            <w:r>
              <w:rPr>
                <w:color w:val="231F20"/>
                <w:spacing w:val="-4"/>
              </w:rPr>
              <w:t>view</w:t>
            </w:r>
          </w:hyperlink>
          <w:r>
            <w:rPr>
              <w:rFonts w:ascii="Times New Roman"/>
              <w:color w:val="231F20"/>
            </w:rPr>
            <w:tab/>
          </w:r>
          <w:hyperlink w:history="true" w:anchor="_bookmark124">
            <w:r>
              <w:rPr>
                <w:color w:val="231F20"/>
                <w:spacing w:val="-5"/>
              </w:rPr>
              <w:t>167</w:t>
            </w:r>
          </w:hyperlink>
        </w:p>
        <w:p>
          <w:pPr>
            <w:pStyle w:val="TOC3"/>
            <w:tabs>
              <w:tab w:pos="4747" w:val="right" w:leader="dot"/>
            </w:tabs>
          </w:pPr>
          <w:hyperlink w:history="true" w:anchor="_bookmark125">
            <w:r>
              <w:rPr>
                <w:color w:val="231F20"/>
              </w:rPr>
              <w:t>Adding</w:t>
            </w:r>
            <w:r>
              <w:rPr>
                <w:color w:val="231F20"/>
                <w:spacing w:val="10"/>
              </w:rPr>
              <w:t> </w:t>
            </w:r>
            <w:r>
              <w:rPr>
                <w:color w:val="231F20"/>
              </w:rPr>
              <w:t>a</w:t>
            </w:r>
            <w:r>
              <w:rPr>
                <w:color w:val="231F20"/>
                <w:spacing w:val="10"/>
              </w:rPr>
              <w:t> </w:t>
            </w:r>
            <w:r>
              <w:rPr>
                <w:color w:val="231F20"/>
              </w:rPr>
              <w:t>terminal</w:t>
            </w:r>
            <w:r>
              <w:rPr>
                <w:color w:val="231F20"/>
                <w:spacing w:val="11"/>
              </w:rPr>
              <w:t> </w:t>
            </w:r>
            <w:r>
              <w:rPr>
                <w:color w:val="231F20"/>
              </w:rPr>
              <w:t>view</w:t>
            </w:r>
            <w:r>
              <w:rPr>
                <w:color w:val="231F20"/>
                <w:spacing w:val="10"/>
              </w:rPr>
              <w:t> </w:t>
            </w:r>
            <w:r>
              <w:rPr>
                <w:color w:val="231F20"/>
              </w:rPr>
              <w:t>to</w:t>
            </w:r>
            <w:r>
              <w:rPr>
                <w:color w:val="231F20"/>
                <w:spacing w:val="10"/>
              </w:rPr>
              <w:t> </w:t>
            </w:r>
            <w:r>
              <w:rPr>
                <w:color w:val="231F20"/>
              </w:rPr>
              <w:t>the</w:t>
            </w:r>
            <w:r>
              <w:rPr>
                <w:color w:val="231F20"/>
                <w:spacing w:val="11"/>
              </w:rPr>
              <w:t> </w:t>
            </w:r>
            <w:r>
              <w:rPr>
                <w:color w:val="231F20"/>
                <w:spacing w:val="-2"/>
              </w:rPr>
              <w:t>workspace</w:t>
            </w:r>
          </w:hyperlink>
          <w:r>
            <w:rPr>
              <w:rFonts w:ascii="Times New Roman"/>
              <w:color w:val="231F20"/>
            </w:rPr>
            <w:tab/>
          </w:r>
          <w:hyperlink w:history="true" w:anchor="_bookmark125">
            <w:r>
              <w:rPr>
                <w:color w:val="231F20"/>
                <w:spacing w:val="-5"/>
              </w:rPr>
              <w:t>168</w:t>
            </w:r>
          </w:hyperlink>
        </w:p>
        <w:p>
          <w:pPr>
            <w:pStyle w:val="TOC3"/>
            <w:tabs>
              <w:tab w:pos="4747" w:val="right" w:leader="dot"/>
            </w:tabs>
          </w:pPr>
          <w:hyperlink w:history="true" w:anchor="_bookmark126">
            <w:r>
              <w:rPr>
                <w:color w:val="231F20"/>
              </w:rPr>
              <w:t>What</w:t>
            </w:r>
            <w:r>
              <w:rPr>
                <w:color w:val="231F20"/>
                <w:spacing w:val="9"/>
              </w:rPr>
              <w:t> </w:t>
            </w:r>
            <w:r>
              <w:rPr>
                <w:color w:val="231F20"/>
              </w:rPr>
              <w:t>the</w:t>
            </w:r>
            <w:r>
              <w:rPr>
                <w:color w:val="231F20"/>
                <w:spacing w:val="10"/>
              </w:rPr>
              <w:t> </w:t>
            </w:r>
            <w:r>
              <w:rPr>
                <w:color w:val="231F20"/>
              </w:rPr>
              <w:t>terminal</w:t>
            </w:r>
            <w:r>
              <w:rPr>
                <w:color w:val="231F20"/>
                <w:spacing w:val="9"/>
              </w:rPr>
              <w:t> </w:t>
            </w:r>
            <w:r>
              <w:rPr>
                <w:color w:val="231F20"/>
              </w:rPr>
              <w:t>view</w:t>
            </w:r>
            <w:r>
              <w:rPr>
                <w:color w:val="231F20"/>
                <w:spacing w:val="10"/>
              </w:rPr>
              <w:t> </w:t>
            </w:r>
            <w:r>
              <w:rPr>
                <w:color w:val="231F20"/>
                <w:spacing w:val="-2"/>
              </w:rPr>
              <w:t>shows</w:t>
            </w:r>
          </w:hyperlink>
          <w:r>
            <w:rPr>
              <w:rFonts w:ascii="Times New Roman"/>
              <w:color w:val="231F20"/>
            </w:rPr>
            <w:tab/>
          </w:r>
          <w:hyperlink w:history="true" w:anchor="_bookmark126">
            <w:r>
              <w:rPr>
                <w:color w:val="231F20"/>
                <w:spacing w:val="-5"/>
              </w:rPr>
              <w:t>169</w:t>
            </w:r>
          </w:hyperlink>
        </w:p>
        <w:p>
          <w:pPr>
            <w:pStyle w:val="TOC3"/>
            <w:tabs>
              <w:tab w:pos="4747" w:val="right" w:leader="dot"/>
            </w:tabs>
          </w:pPr>
          <w:hyperlink w:history="true" w:anchor="_bookmark127">
            <w:r>
              <w:rPr>
                <w:color w:val="231F20"/>
              </w:rPr>
              <w:t>Terminal</w:t>
            </w:r>
            <w:r>
              <w:rPr>
                <w:color w:val="231F20"/>
                <w:spacing w:val="-1"/>
              </w:rPr>
              <w:t> </w:t>
            </w:r>
            <w:r>
              <w:rPr>
                <w:color w:val="231F20"/>
              </w:rPr>
              <w:t>view </w:t>
            </w:r>
            <w:r>
              <w:rPr>
                <w:color w:val="231F20"/>
                <w:spacing w:val="-2"/>
              </w:rPr>
              <w:t>properties</w:t>
            </w:r>
          </w:hyperlink>
          <w:r>
            <w:rPr>
              <w:rFonts w:ascii="Times New Roman"/>
              <w:color w:val="231F20"/>
            </w:rPr>
            <w:tab/>
          </w:r>
          <w:hyperlink w:history="true" w:anchor="_bookmark127">
            <w:r>
              <w:rPr>
                <w:color w:val="231F20"/>
                <w:spacing w:val="-5"/>
              </w:rPr>
              <w:t>170</w:t>
            </w:r>
          </w:hyperlink>
        </w:p>
        <w:p>
          <w:pPr>
            <w:pStyle w:val="TOC3"/>
            <w:tabs>
              <w:tab w:pos="4747" w:val="right" w:leader="dot"/>
            </w:tabs>
          </w:pPr>
          <w:hyperlink w:history="true" w:anchor="_bookmark128">
            <w:r>
              <w:rPr>
                <w:color w:val="231F20"/>
              </w:rPr>
              <w:t>Running</w:t>
            </w:r>
            <w:r>
              <w:rPr>
                <w:color w:val="231F20"/>
                <w:spacing w:val="10"/>
              </w:rPr>
              <w:t> </w:t>
            </w:r>
            <w:r>
              <w:rPr>
                <w:color w:val="231F20"/>
              </w:rPr>
              <w:t>a</w:t>
            </w:r>
            <w:r>
              <w:rPr>
                <w:color w:val="231F20"/>
                <w:spacing w:val="10"/>
              </w:rPr>
              <w:t> </w:t>
            </w:r>
            <w:r>
              <w:rPr>
                <w:color w:val="231F20"/>
                <w:spacing w:val="-2"/>
              </w:rPr>
              <w:t>script</w:t>
            </w:r>
          </w:hyperlink>
          <w:r>
            <w:rPr>
              <w:rFonts w:ascii="Times New Roman"/>
              <w:color w:val="231F20"/>
            </w:rPr>
            <w:tab/>
          </w:r>
          <w:hyperlink w:history="true" w:anchor="_bookmark128">
            <w:r>
              <w:rPr>
                <w:color w:val="231F20"/>
                <w:spacing w:val="-5"/>
              </w:rPr>
              <w:t>172</w:t>
            </w:r>
          </w:hyperlink>
        </w:p>
        <w:p>
          <w:pPr>
            <w:pStyle w:val="TOC3"/>
            <w:tabs>
              <w:tab w:pos="4747" w:val="right" w:leader="dot"/>
            </w:tabs>
          </w:pPr>
          <w:hyperlink w:history="true" w:anchor="_bookmark128">
            <w:r>
              <w:rPr>
                <w:color w:val="231F20"/>
              </w:rPr>
              <w:t>Recording</w:t>
            </w:r>
            <w:r>
              <w:rPr>
                <w:color w:val="231F20"/>
                <w:spacing w:val="7"/>
              </w:rPr>
              <w:t> </w:t>
            </w:r>
            <w:r>
              <w:rPr>
                <w:color w:val="231F20"/>
              </w:rPr>
              <w:t>a</w:t>
            </w:r>
            <w:r>
              <w:rPr>
                <w:color w:val="231F20"/>
                <w:spacing w:val="7"/>
              </w:rPr>
              <w:t> </w:t>
            </w:r>
            <w:r>
              <w:rPr>
                <w:color w:val="231F20"/>
                <w:spacing w:val="-2"/>
              </w:rPr>
              <w:t>script</w:t>
            </w:r>
          </w:hyperlink>
          <w:r>
            <w:rPr>
              <w:rFonts w:ascii="Times New Roman"/>
              <w:color w:val="231F20"/>
            </w:rPr>
            <w:tab/>
          </w:r>
          <w:hyperlink w:history="true" w:anchor="_bookmark128">
            <w:r>
              <w:rPr>
                <w:color w:val="231F20"/>
                <w:spacing w:val="-5"/>
              </w:rPr>
              <w:t>172</w:t>
            </w:r>
          </w:hyperlink>
        </w:p>
        <w:p>
          <w:pPr>
            <w:pStyle w:val="TOC3"/>
            <w:tabs>
              <w:tab w:pos="4747" w:val="right" w:leader="dot"/>
            </w:tabs>
          </w:pPr>
          <w:hyperlink w:history="true" w:anchor="_bookmark128">
            <w:r>
              <w:rPr>
                <w:color w:val="231F20"/>
              </w:rPr>
              <w:t>Managing</w:t>
            </w:r>
            <w:r>
              <w:rPr>
                <w:color w:val="231F20"/>
                <w:spacing w:val="5"/>
              </w:rPr>
              <w:t> </w:t>
            </w:r>
            <w:r>
              <w:rPr>
                <w:color w:val="231F20"/>
                <w:spacing w:val="-2"/>
              </w:rPr>
              <w:t>scripts</w:t>
            </w:r>
          </w:hyperlink>
          <w:r>
            <w:rPr>
              <w:rFonts w:ascii="Times New Roman"/>
              <w:color w:val="231F20"/>
            </w:rPr>
            <w:tab/>
          </w:r>
          <w:hyperlink w:history="true" w:anchor="_bookmark128">
            <w:r>
              <w:rPr>
                <w:color w:val="231F20"/>
                <w:spacing w:val="-5"/>
              </w:rPr>
              <w:t>172</w:t>
            </w:r>
          </w:hyperlink>
        </w:p>
        <w:p>
          <w:pPr>
            <w:pStyle w:val="TOC3"/>
            <w:tabs>
              <w:tab w:pos="4747" w:val="right" w:leader="dot"/>
            </w:tabs>
            <w:spacing w:line="231" w:lineRule="exact"/>
          </w:pPr>
          <w:hyperlink w:history="true" w:anchor="_bookmark129">
            <w:r>
              <w:rPr>
                <w:color w:val="231F20"/>
              </w:rPr>
              <w:t>Terminal</w:t>
            </w:r>
            <w:r>
              <w:rPr>
                <w:color w:val="231F20"/>
                <w:spacing w:val="1"/>
              </w:rPr>
              <w:t> </w:t>
            </w:r>
            <w:r>
              <w:rPr>
                <w:color w:val="231F20"/>
              </w:rPr>
              <w:t>Emulator</w:t>
            </w:r>
            <w:r>
              <w:rPr>
                <w:color w:val="231F20"/>
                <w:spacing w:val="1"/>
              </w:rPr>
              <w:t> </w:t>
            </w:r>
            <w:r>
              <w:rPr>
                <w:color w:val="231F20"/>
              </w:rPr>
              <w:t>Scripting</w:t>
            </w:r>
            <w:r>
              <w:rPr>
                <w:color w:val="231F20"/>
                <w:spacing w:val="1"/>
              </w:rPr>
              <w:t> </w:t>
            </w:r>
            <w:r>
              <w:rPr>
                <w:color w:val="231F20"/>
                <w:spacing w:val="-2"/>
              </w:rPr>
              <w:t>Language</w:t>
            </w:r>
          </w:hyperlink>
          <w:r>
            <w:rPr>
              <w:rFonts w:ascii="Times New Roman"/>
              <w:color w:val="231F20"/>
            </w:rPr>
            <w:tab/>
          </w:r>
          <w:hyperlink w:history="true" w:anchor="_bookmark129">
            <w:r>
              <w:rPr>
                <w:color w:val="231F20"/>
                <w:spacing w:val="-5"/>
              </w:rPr>
              <w:t>173</w:t>
            </w:r>
          </w:hyperlink>
        </w:p>
        <w:p>
          <w:pPr>
            <w:pStyle w:val="TOC1"/>
            <w:tabs>
              <w:tab w:pos="4747" w:val="right" w:leader="dot"/>
            </w:tabs>
            <w:spacing w:line="252" w:lineRule="exact"/>
          </w:pPr>
          <w:hyperlink w:history="true" w:anchor="_bookmark139">
            <w:r>
              <w:rPr>
                <w:color w:val="231F20"/>
              </w:rPr>
              <w:t>Chapter</w:t>
            </w:r>
            <w:r>
              <w:rPr>
                <w:color w:val="231F20"/>
                <w:spacing w:val="-7"/>
              </w:rPr>
              <w:t> </w:t>
            </w:r>
            <w:r>
              <w:rPr>
                <w:color w:val="231F20"/>
              </w:rPr>
              <w:t>7.</w:t>
            </w:r>
            <w:r>
              <w:rPr>
                <w:color w:val="231F20"/>
                <w:spacing w:val="5"/>
              </w:rPr>
              <w:t> </w:t>
            </w:r>
            <w:r>
              <w:rPr>
                <w:color w:val="231F20"/>
              </w:rPr>
              <w:t>Custom</w:t>
            </w:r>
            <w:r>
              <w:rPr>
                <w:color w:val="231F20"/>
                <w:spacing w:val="4"/>
              </w:rPr>
              <w:t> </w:t>
            </w:r>
            <w:r>
              <w:rPr>
                <w:color w:val="231F20"/>
                <w:spacing w:val="-2"/>
              </w:rPr>
              <w:t>queries</w:t>
            </w:r>
          </w:hyperlink>
          <w:r>
            <w:rPr>
              <w:rFonts w:ascii="Times New Roman"/>
              <w:b w:val="0"/>
              <w:color w:val="231F20"/>
            </w:rPr>
            <w:tab/>
          </w:r>
          <w:hyperlink w:history="true" w:anchor="_bookmark139">
            <w:r>
              <w:rPr>
                <w:color w:val="231F20"/>
                <w:spacing w:val="-5"/>
              </w:rPr>
              <w:t>197</w:t>
            </w:r>
          </w:hyperlink>
        </w:p>
        <w:p>
          <w:pPr>
            <w:pStyle w:val="TOC2"/>
            <w:tabs>
              <w:tab w:pos="4747" w:val="right" w:leader="dot"/>
            </w:tabs>
            <w:spacing w:line="231" w:lineRule="exact"/>
          </w:pPr>
          <w:hyperlink w:history="true" w:anchor="_bookmark139">
            <w:r>
              <w:rPr>
                <w:color w:val="231F20"/>
              </w:rPr>
              <w:t>Understanding</w:t>
            </w:r>
            <w:r>
              <w:rPr>
                <w:color w:val="231F20"/>
                <w:spacing w:val="1"/>
              </w:rPr>
              <w:t> </w:t>
            </w:r>
            <w:r>
              <w:rPr>
                <w:color w:val="231F20"/>
                <w:spacing w:val="-2"/>
              </w:rPr>
              <w:t>queries</w:t>
            </w:r>
          </w:hyperlink>
          <w:r>
            <w:rPr>
              <w:rFonts w:ascii="Times New Roman"/>
              <w:color w:val="231F20"/>
            </w:rPr>
            <w:tab/>
          </w:r>
          <w:hyperlink w:history="true" w:anchor="_bookmark139">
            <w:r>
              <w:rPr>
                <w:color w:val="231F20"/>
                <w:spacing w:val="-5"/>
              </w:rPr>
              <w:t>197</w:t>
            </w:r>
          </w:hyperlink>
        </w:p>
        <w:p>
          <w:pPr>
            <w:pStyle w:val="TOC2"/>
            <w:tabs>
              <w:tab w:pos="4747" w:val="right" w:leader="dot"/>
            </w:tabs>
          </w:pPr>
          <w:hyperlink w:history="true" w:anchor="_bookmark140">
            <w:r>
              <w:rPr>
                <w:color w:val="231F20"/>
              </w:rPr>
              <w:t>Queries</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monitoring</w:t>
            </w:r>
            <w:r>
              <w:rPr>
                <w:color w:val="231F20"/>
                <w:spacing w:val="9"/>
              </w:rPr>
              <w:t> </w:t>
            </w:r>
            <w:r>
              <w:rPr>
                <w:color w:val="231F20"/>
                <w:spacing w:val="-2"/>
              </w:rPr>
              <w:t>server</w:t>
            </w:r>
          </w:hyperlink>
          <w:r>
            <w:rPr>
              <w:rFonts w:ascii="Times New Roman"/>
              <w:color w:val="231F20"/>
            </w:rPr>
            <w:tab/>
          </w:r>
          <w:hyperlink w:history="true" w:anchor="_bookmark140">
            <w:r>
              <w:rPr>
                <w:color w:val="231F20"/>
                <w:spacing w:val="-5"/>
              </w:rPr>
              <w:t>198</w:t>
            </w:r>
          </w:hyperlink>
        </w:p>
        <w:p>
          <w:pPr>
            <w:pStyle w:val="TOC3"/>
            <w:tabs>
              <w:tab w:pos="4747" w:val="right" w:leader="dot"/>
            </w:tabs>
          </w:pPr>
          <w:hyperlink w:history="true" w:anchor="_bookmark141">
            <w:r>
              <w:rPr>
                <w:color w:val="231F20"/>
              </w:rPr>
              <w:t>Creating</w:t>
            </w:r>
            <w:r>
              <w:rPr>
                <w:color w:val="231F20"/>
                <w:spacing w:val="9"/>
              </w:rPr>
              <w:t> </w:t>
            </w:r>
            <w:r>
              <w:rPr>
                <w:color w:val="231F20"/>
              </w:rPr>
              <w:t>a</w:t>
            </w:r>
            <w:r>
              <w:rPr>
                <w:color w:val="231F20"/>
                <w:spacing w:val="9"/>
              </w:rPr>
              <w:t> </w:t>
            </w:r>
            <w:r>
              <w:rPr>
                <w:color w:val="231F20"/>
              </w:rPr>
              <w:t>query</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monitoring</w:t>
            </w:r>
            <w:r>
              <w:rPr>
                <w:color w:val="231F20"/>
                <w:spacing w:val="9"/>
              </w:rPr>
              <w:t> </w:t>
            </w:r>
            <w:r>
              <w:rPr>
                <w:color w:val="231F20"/>
                <w:spacing w:val="-2"/>
              </w:rPr>
              <w:t>server</w:t>
            </w:r>
          </w:hyperlink>
          <w:r>
            <w:rPr>
              <w:rFonts w:ascii="Times New Roman"/>
              <w:color w:val="231F20"/>
            </w:rPr>
            <w:tab/>
          </w:r>
          <w:hyperlink w:history="true" w:anchor="_bookmark141">
            <w:r>
              <w:rPr>
                <w:color w:val="231F20"/>
                <w:spacing w:val="-5"/>
              </w:rPr>
              <w:t>199</w:t>
            </w:r>
          </w:hyperlink>
        </w:p>
        <w:p>
          <w:pPr>
            <w:pStyle w:val="TOC3"/>
            <w:tabs>
              <w:tab w:pos="4747" w:val="right" w:leader="none"/>
            </w:tabs>
          </w:pPr>
          <w:hyperlink w:history="true" w:anchor="_bookmark142">
            <w:r>
              <w:rPr>
                <w:color w:val="231F20"/>
              </w:rPr>
              <w:t>Creating</w:t>
            </w:r>
            <w:r>
              <w:rPr>
                <w:color w:val="231F20"/>
                <w:spacing w:val="8"/>
              </w:rPr>
              <w:t> </w:t>
            </w:r>
            <w:r>
              <w:rPr>
                <w:color w:val="231F20"/>
              </w:rPr>
              <w:t>another</w:t>
            </w:r>
            <w:r>
              <w:rPr>
                <w:color w:val="231F20"/>
                <w:spacing w:val="8"/>
              </w:rPr>
              <w:t> </w:t>
            </w:r>
            <w:r>
              <w:rPr>
                <w:color w:val="231F20"/>
              </w:rPr>
              <w:t>query</w:t>
            </w:r>
            <w:r>
              <w:rPr>
                <w:color w:val="231F20"/>
                <w:spacing w:val="8"/>
              </w:rPr>
              <w:t> </w:t>
            </w:r>
            <w:r>
              <w:rPr>
                <w:color w:val="231F20"/>
              </w:rPr>
              <w:t>to</w:t>
            </w:r>
            <w:r>
              <w:rPr>
                <w:color w:val="231F20"/>
                <w:spacing w:val="8"/>
              </w:rPr>
              <w:t> </w:t>
            </w:r>
            <w:r>
              <w:rPr>
                <w:color w:val="231F20"/>
              </w:rPr>
              <w:t>the</w:t>
            </w:r>
            <w:r>
              <w:rPr>
                <w:color w:val="231F20"/>
                <w:spacing w:val="9"/>
              </w:rPr>
              <w:t> </w:t>
            </w:r>
            <w:r>
              <w:rPr>
                <w:color w:val="231F20"/>
              </w:rPr>
              <w:t>monitoring</w:t>
            </w:r>
            <w:r>
              <w:rPr>
                <w:color w:val="231F20"/>
                <w:spacing w:val="8"/>
              </w:rPr>
              <w:t> </w:t>
            </w:r>
            <w:r>
              <w:rPr>
                <w:color w:val="231F20"/>
                <w:spacing w:val="-2"/>
              </w:rPr>
              <w:t>server</w:t>
            </w:r>
          </w:hyperlink>
          <w:r>
            <w:rPr>
              <w:rFonts w:ascii="Times New Roman"/>
              <w:color w:val="231F20"/>
            </w:rPr>
            <w:tab/>
          </w:r>
          <w:hyperlink w:history="true" w:anchor="_bookmark142">
            <w:r>
              <w:rPr>
                <w:color w:val="231F20"/>
                <w:spacing w:val="-5"/>
              </w:rPr>
              <w:t>201</w:t>
            </w:r>
          </w:hyperlink>
        </w:p>
        <w:p>
          <w:pPr>
            <w:pStyle w:val="TOC3"/>
          </w:pPr>
          <w:hyperlink w:history="true" w:anchor="_bookmark143">
            <w:r>
              <w:rPr>
                <w:color w:val="231F20"/>
              </w:rPr>
              <w:t>Adding</w:t>
            </w:r>
            <w:r>
              <w:rPr>
                <w:color w:val="231F20"/>
                <w:spacing w:val="9"/>
              </w:rPr>
              <w:t> </w:t>
            </w:r>
            <w:r>
              <w:rPr>
                <w:color w:val="231F20"/>
              </w:rPr>
              <w:t>symbols</w:t>
            </w:r>
            <w:r>
              <w:rPr>
                <w:color w:val="231F20"/>
                <w:spacing w:val="10"/>
              </w:rPr>
              <w:t> </w:t>
            </w:r>
            <w:r>
              <w:rPr>
                <w:color w:val="231F20"/>
              </w:rPr>
              <w:t>in</w:t>
            </w:r>
            <w:r>
              <w:rPr>
                <w:color w:val="231F20"/>
                <w:spacing w:val="10"/>
              </w:rPr>
              <w:t> </w:t>
            </w:r>
            <w:r>
              <w:rPr>
                <w:color w:val="231F20"/>
              </w:rPr>
              <w:t>queries</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spacing w:val="-2"/>
              </w:rPr>
              <w:t>monitoring</w:t>
            </w:r>
          </w:hyperlink>
        </w:p>
        <w:p>
          <w:pPr>
            <w:pStyle w:val="TOC3"/>
            <w:tabs>
              <w:tab w:pos="4747" w:val="right" w:leader="dot"/>
            </w:tabs>
          </w:pPr>
          <w:hyperlink w:history="true" w:anchor="_bookmark143">
            <w:r>
              <w:rPr>
                <w:color w:val="231F20"/>
                <w:spacing w:val="-2"/>
              </w:rPr>
              <w:t>server</w:t>
            </w:r>
          </w:hyperlink>
          <w:r>
            <w:rPr>
              <w:rFonts w:ascii="Times New Roman"/>
              <w:color w:val="231F20"/>
            </w:rPr>
            <w:tab/>
          </w:r>
          <w:hyperlink w:history="true" w:anchor="_bookmark143">
            <w:r>
              <w:rPr>
                <w:color w:val="231F20"/>
                <w:spacing w:val="-5"/>
              </w:rPr>
              <w:t>202</w:t>
            </w:r>
          </w:hyperlink>
        </w:p>
        <w:p>
          <w:pPr>
            <w:pStyle w:val="TOC2"/>
            <w:tabs>
              <w:tab w:pos="4747" w:val="right" w:leader="dot"/>
            </w:tabs>
          </w:pPr>
          <w:hyperlink w:history="true" w:anchor="_bookmark144">
            <w:r>
              <w:rPr>
                <w:color w:val="231F20"/>
              </w:rPr>
              <w:t>Queries</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spacing w:val="-2"/>
              </w:rPr>
              <w:t>database</w:t>
            </w:r>
          </w:hyperlink>
          <w:r>
            <w:rPr>
              <w:rFonts w:ascii="Times New Roman"/>
              <w:color w:val="231F20"/>
            </w:rPr>
            <w:tab/>
          </w:r>
          <w:hyperlink w:history="true" w:anchor="_bookmark144">
            <w:r>
              <w:rPr>
                <w:color w:val="231F20"/>
                <w:spacing w:val="-5"/>
              </w:rPr>
              <w:t>203</w:t>
            </w:r>
          </w:hyperlink>
        </w:p>
        <w:p>
          <w:pPr>
            <w:pStyle w:val="TOC3"/>
            <w:tabs>
              <w:tab w:pos="4747" w:val="right" w:leader="none"/>
            </w:tabs>
          </w:pPr>
          <w:hyperlink w:history="true" w:anchor="_bookmark144">
            <w:r>
              <w:rPr>
                <w:color w:val="231F20"/>
              </w:rPr>
              <w:t>Creating</w:t>
            </w:r>
            <w:r>
              <w:rPr>
                <w:color w:val="231F20"/>
                <w:spacing w:val="10"/>
              </w:rPr>
              <w:t> </w:t>
            </w:r>
            <w:r>
              <w:rPr>
                <w:color w:val="231F20"/>
              </w:rPr>
              <w:t>a</w:t>
            </w:r>
            <w:r>
              <w:rPr>
                <w:color w:val="231F20"/>
                <w:spacing w:val="10"/>
              </w:rPr>
              <w:t> </w:t>
            </w:r>
            <w:r>
              <w:rPr>
                <w:color w:val="231F20"/>
              </w:rPr>
              <w:t>query</w:t>
            </w:r>
            <w:r>
              <w:rPr>
                <w:color w:val="231F20"/>
                <w:spacing w:val="10"/>
              </w:rPr>
              <w:t> </w:t>
            </w:r>
            <w:r>
              <w:rPr>
                <w:color w:val="231F20"/>
              </w:rPr>
              <w:t>to</w:t>
            </w:r>
            <w:r>
              <w:rPr>
                <w:color w:val="231F20"/>
                <w:spacing w:val="10"/>
              </w:rPr>
              <w:t> </w:t>
            </w:r>
            <w:r>
              <w:rPr>
                <w:color w:val="231F20"/>
              </w:rPr>
              <w:t>a</w:t>
            </w:r>
            <w:r>
              <w:rPr>
                <w:color w:val="231F20"/>
                <w:spacing w:val="11"/>
              </w:rPr>
              <w:t> </w:t>
            </w:r>
            <w:r>
              <w:rPr>
                <w:color w:val="231F20"/>
              </w:rPr>
              <w:t>JDBC</w:t>
            </w:r>
            <w:r>
              <w:rPr>
                <w:color w:val="231F20"/>
                <w:spacing w:val="10"/>
              </w:rPr>
              <w:t> </w:t>
            </w:r>
            <w:r>
              <w:rPr>
                <w:color w:val="231F20"/>
              </w:rPr>
              <w:t>or</w:t>
            </w:r>
            <w:r>
              <w:rPr>
                <w:color w:val="231F20"/>
                <w:spacing w:val="10"/>
              </w:rPr>
              <w:t> </w:t>
            </w:r>
            <w:r>
              <w:rPr>
                <w:color w:val="231F20"/>
              </w:rPr>
              <w:t>ODBC</w:t>
            </w:r>
            <w:r>
              <w:rPr>
                <w:color w:val="231F20"/>
                <w:spacing w:val="10"/>
              </w:rPr>
              <w:t> </w:t>
            </w:r>
            <w:r>
              <w:rPr>
                <w:color w:val="231F20"/>
                <w:spacing w:val="-2"/>
              </w:rPr>
              <w:t>database</w:t>
            </w:r>
          </w:hyperlink>
          <w:r>
            <w:rPr>
              <w:rFonts w:ascii="Times New Roman"/>
              <w:color w:val="231F20"/>
            </w:rPr>
            <w:tab/>
          </w:r>
          <w:hyperlink w:history="true" w:anchor="_bookmark144">
            <w:r>
              <w:rPr>
                <w:color w:val="231F20"/>
                <w:spacing w:val="-5"/>
              </w:rPr>
              <w:t>203</w:t>
            </w:r>
          </w:hyperlink>
        </w:p>
        <w:p>
          <w:pPr>
            <w:pStyle w:val="TOC3"/>
            <w:tabs>
              <w:tab w:pos="4747" w:val="right" w:leader="none"/>
            </w:tabs>
          </w:pPr>
          <w:hyperlink w:history="true" w:anchor="_bookmark145">
            <w:r>
              <w:rPr>
                <w:color w:val="231F20"/>
              </w:rPr>
              <w:t>Notes</w:t>
            </w:r>
            <w:r>
              <w:rPr>
                <w:color w:val="231F20"/>
                <w:spacing w:val="10"/>
              </w:rPr>
              <w:t> </w:t>
            </w:r>
            <w:r>
              <w:rPr>
                <w:color w:val="231F20"/>
              </w:rPr>
              <w:t>on</w:t>
            </w:r>
            <w:r>
              <w:rPr>
                <w:color w:val="231F20"/>
                <w:spacing w:val="11"/>
              </w:rPr>
              <w:t> </w:t>
            </w:r>
            <w:r>
              <w:rPr>
                <w:color w:val="231F20"/>
              </w:rPr>
              <w:t>queries</w:t>
            </w:r>
            <w:r>
              <w:rPr>
                <w:color w:val="231F20"/>
                <w:spacing w:val="11"/>
              </w:rPr>
              <w:t> </w:t>
            </w:r>
            <w:r>
              <w:rPr>
                <w:color w:val="231F20"/>
              </w:rPr>
              <w:t>to</w:t>
            </w:r>
            <w:r>
              <w:rPr>
                <w:color w:val="231F20"/>
                <w:spacing w:val="10"/>
              </w:rPr>
              <w:t> </w:t>
            </w:r>
            <w:r>
              <w:rPr>
                <w:color w:val="231F20"/>
              </w:rPr>
              <w:t>a</w:t>
            </w:r>
            <w:r>
              <w:rPr>
                <w:color w:val="231F20"/>
                <w:spacing w:val="11"/>
              </w:rPr>
              <w:t> </w:t>
            </w:r>
            <w:r>
              <w:rPr>
                <w:color w:val="231F20"/>
              </w:rPr>
              <w:t>JDBC</w:t>
            </w:r>
            <w:r>
              <w:rPr>
                <w:color w:val="231F20"/>
                <w:spacing w:val="11"/>
              </w:rPr>
              <w:t> </w:t>
            </w:r>
            <w:r>
              <w:rPr>
                <w:color w:val="231F20"/>
              </w:rPr>
              <w:t>or</w:t>
            </w:r>
            <w:r>
              <w:rPr>
                <w:color w:val="231F20"/>
                <w:spacing w:val="11"/>
              </w:rPr>
              <w:t> </w:t>
            </w:r>
            <w:r>
              <w:rPr>
                <w:color w:val="231F20"/>
              </w:rPr>
              <w:t>ODBC</w:t>
            </w:r>
            <w:r>
              <w:rPr>
                <w:color w:val="231F20"/>
                <w:spacing w:val="10"/>
              </w:rPr>
              <w:t> </w:t>
            </w:r>
            <w:r>
              <w:rPr>
                <w:color w:val="231F20"/>
                <w:spacing w:val="-2"/>
              </w:rPr>
              <w:t>database</w:t>
            </w:r>
          </w:hyperlink>
          <w:r>
            <w:rPr>
              <w:rFonts w:ascii="Times New Roman"/>
              <w:color w:val="231F20"/>
            </w:rPr>
            <w:tab/>
          </w:r>
          <w:hyperlink w:history="true" w:anchor="_bookmark145">
            <w:r>
              <w:rPr>
                <w:color w:val="231F20"/>
                <w:spacing w:val="-5"/>
              </w:rPr>
              <w:t>204</w:t>
            </w:r>
          </w:hyperlink>
        </w:p>
        <w:p>
          <w:pPr>
            <w:pStyle w:val="TOC3"/>
          </w:pPr>
          <w:hyperlink w:history="true" w:anchor="_bookmark146">
            <w:r>
              <w:rPr>
                <w:color w:val="231F20"/>
              </w:rPr>
              <w:t>Creating</w:t>
            </w:r>
            <w:r>
              <w:rPr>
                <w:color w:val="231F20"/>
                <w:spacing w:val="9"/>
              </w:rPr>
              <w:t> </w:t>
            </w:r>
            <w:r>
              <w:rPr>
                <w:color w:val="231F20"/>
              </w:rPr>
              <w:t>another</w:t>
            </w:r>
            <w:r>
              <w:rPr>
                <w:color w:val="231F20"/>
                <w:spacing w:val="10"/>
              </w:rPr>
              <w:t> </w:t>
            </w:r>
            <w:r>
              <w:rPr>
                <w:color w:val="231F20"/>
              </w:rPr>
              <w:t>query</w:t>
            </w:r>
            <w:r>
              <w:rPr>
                <w:color w:val="231F20"/>
                <w:spacing w:val="10"/>
              </w:rPr>
              <w:t> </w:t>
            </w:r>
            <w:r>
              <w:rPr>
                <w:color w:val="231F20"/>
              </w:rPr>
              <w:t>to</w:t>
            </w:r>
            <w:r>
              <w:rPr>
                <w:color w:val="231F20"/>
                <w:spacing w:val="9"/>
              </w:rPr>
              <w:t> </w:t>
            </w:r>
            <w:r>
              <w:rPr>
                <w:color w:val="231F20"/>
              </w:rPr>
              <w:t>a</w:t>
            </w:r>
            <w:r>
              <w:rPr>
                <w:color w:val="231F20"/>
                <w:spacing w:val="10"/>
              </w:rPr>
              <w:t> </w:t>
            </w:r>
            <w:r>
              <w:rPr>
                <w:color w:val="231F20"/>
              </w:rPr>
              <w:t>JDBC</w:t>
            </w:r>
            <w:r>
              <w:rPr>
                <w:color w:val="231F20"/>
                <w:spacing w:val="10"/>
              </w:rPr>
              <w:t> </w:t>
            </w:r>
            <w:r>
              <w:rPr>
                <w:color w:val="231F20"/>
              </w:rPr>
              <w:t>or</w:t>
            </w:r>
            <w:r>
              <w:rPr>
                <w:color w:val="231F20"/>
                <w:spacing w:val="9"/>
              </w:rPr>
              <w:t> </w:t>
            </w:r>
            <w:r>
              <w:rPr>
                <w:color w:val="231F20"/>
                <w:spacing w:val="-4"/>
              </w:rPr>
              <w:t>ODBC</w:t>
            </w:r>
          </w:hyperlink>
        </w:p>
        <w:p>
          <w:pPr>
            <w:pStyle w:val="TOC3"/>
            <w:tabs>
              <w:tab w:pos="4747" w:val="right" w:leader="dot"/>
            </w:tabs>
          </w:pPr>
          <w:hyperlink w:history="true" w:anchor="_bookmark146">
            <w:r>
              <w:rPr>
                <w:color w:val="231F20"/>
                <w:spacing w:val="-2"/>
              </w:rPr>
              <w:t>database</w:t>
            </w:r>
          </w:hyperlink>
          <w:r>
            <w:rPr>
              <w:rFonts w:ascii="Times New Roman"/>
              <w:color w:val="231F20"/>
            </w:rPr>
            <w:tab/>
          </w:r>
          <w:hyperlink w:history="true" w:anchor="_bookmark146">
            <w:r>
              <w:rPr>
                <w:color w:val="231F20"/>
                <w:spacing w:val="-5"/>
              </w:rPr>
              <w:t>205</w:t>
            </w:r>
          </w:hyperlink>
        </w:p>
        <w:p>
          <w:pPr>
            <w:pStyle w:val="TOC3"/>
          </w:pPr>
          <w:hyperlink w:history="true" w:anchor="_bookmark147">
            <w:r>
              <w:rPr>
                <w:color w:val="231F20"/>
              </w:rPr>
              <w:t>Symbols</w:t>
            </w:r>
            <w:r>
              <w:rPr>
                <w:color w:val="231F20"/>
                <w:spacing w:val="9"/>
              </w:rPr>
              <w:t> </w:t>
            </w:r>
            <w:r>
              <w:rPr>
                <w:color w:val="231F20"/>
              </w:rPr>
              <w:t>in</w:t>
            </w:r>
            <w:r>
              <w:rPr>
                <w:color w:val="231F20"/>
                <w:spacing w:val="9"/>
              </w:rPr>
              <w:t> </w:t>
            </w:r>
            <w:r>
              <w:rPr>
                <w:color w:val="231F20"/>
              </w:rPr>
              <w:t>creating</w:t>
            </w:r>
            <w:r>
              <w:rPr>
                <w:color w:val="231F20"/>
                <w:spacing w:val="10"/>
              </w:rPr>
              <w:t> </w:t>
            </w:r>
            <w:r>
              <w:rPr>
                <w:color w:val="231F20"/>
              </w:rPr>
              <w:t>queries</w:t>
            </w:r>
            <w:r>
              <w:rPr>
                <w:color w:val="231F20"/>
                <w:spacing w:val="9"/>
              </w:rPr>
              <w:t> </w:t>
            </w:r>
            <w:r>
              <w:rPr>
                <w:color w:val="231F20"/>
              </w:rPr>
              <w:t>to</w:t>
            </w:r>
            <w:r>
              <w:rPr>
                <w:color w:val="231F20"/>
                <w:spacing w:val="9"/>
              </w:rPr>
              <w:t> </w:t>
            </w:r>
            <w:r>
              <w:rPr>
                <w:color w:val="231F20"/>
              </w:rPr>
              <w:t>JDBC</w:t>
            </w:r>
            <w:r>
              <w:rPr>
                <w:color w:val="231F20"/>
                <w:spacing w:val="10"/>
              </w:rPr>
              <w:t> </w:t>
            </w:r>
            <w:r>
              <w:rPr>
                <w:color w:val="231F20"/>
              </w:rPr>
              <w:t>or</w:t>
            </w:r>
            <w:r>
              <w:rPr>
                <w:color w:val="231F20"/>
                <w:spacing w:val="9"/>
              </w:rPr>
              <w:t> </w:t>
            </w:r>
            <w:r>
              <w:rPr>
                <w:color w:val="231F20"/>
                <w:spacing w:val="-4"/>
              </w:rPr>
              <w:t>ODBC</w:t>
            </w:r>
          </w:hyperlink>
        </w:p>
        <w:p>
          <w:pPr>
            <w:pStyle w:val="TOC3"/>
            <w:tabs>
              <w:tab w:pos="4747" w:val="right" w:leader="dot"/>
            </w:tabs>
          </w:pPr>
          <w:hyperlink w:history="true" w:anchor="_bookmark147">
            <w:r>
              <w:rPr>
                <w:color w:val="231F20"/>
              </w:rPr>
              <w:t>data</w:t>
            </w:r>
            <w:r>
              <w:rPr>
                <w:color w:val="231F20"/>
                <w:spacing w:val="10"/>
              </w:rPr>
              <w:t> </w:t>
            </w:r>
            <w:r>
              <w:rPr>
                <w:color w:val="231F20"/>
                <w:spacing w:val="-2"/>
              </w:rPr>
              <w:t>sources</w:t>
            </w:r>
          </w:hyperlink>
          <w:r>
            <w:rPr>
              <w:rFonts w:ascii="Times New Roman"/>
              <w:color w:val="231F20"/>
            </w:rPr>
            <w:tab/>
          </w:r>
          <w:hyperlink w:history="true" w:anchor="_bookmark147">
            <w:r>
              <w:rPr>
                <w:color w:val="231F20"/>
                <w:spacing w:val="-5"/>
              </w:rPr>
              <w:t>206</w:t>
            </w:r>
          </w:hyperlink>
        </w:p>
        <w:p>
          <w:pPr>
            <w:pStyle w:val="TOC3"/>
            <w:tabs>
              <w:tab w:pos="4747" w:val="right" w:leader="dot"/>
            </w:tabs>
          </w:pPr>
          <w:hyperlink w:history="true" w:anchor="_bookmark147">
            <w:r>
              <w:rPr>
                <w:color w:val="231F20"/>
              </w:rPr>
              <w:t>Adding</w:t>
            </w:r>
            <w:r>
              <w:rPr>
                <w:color w:val="231F20"/>
                <w:spacing w:val="9"/>
              </w:rPr>
              <w:t> </w:t>
            </w:r>
            <w:r>
              <w:rPr>
                <w:color w:val="231F20"/>
              </w:rPr>
              <w:t>a</w:t>
            </w:r>
            <w:r>
              <w:rPr>
                <w:color w:val="231F20"/>
                <w:spacing w:val="10"/>
              </w:rPr>
              <w:t> </w:t>
            </w:r>
            <w:r>
              <w:rPr>
                <w:color w:val="231F20"/>
              </w:rPr>
              <w:t>database</w:t>
            </w:r>
            <w:r>
              <w:rPr>
                <w:color w:val="231F20"/>
                <w:spacing w:val="9"/>
              </w:rPr>
              <w:t> </w:t>
            </w:r>
            <w:r>
              <w:rPr>
                <w:color w:val="231F20"/>
              </w:rPr>
              <w:t>to</w:t>
            </w:r>
            <w:r>
              <w:rPr>
                <w:color w:val="231F20"/>
                <w:spacing w:val="10"/>
              </w:rPr>
              <w:t> </w:t>
            </w:r>
            <w:r>
              <w:rPr>
                <w:color w:val="231F20"/>
              </w:rPr>
              <w:t>the</w:t>
            </w:r>
            <w:r>
              <w:rPr>
                <w:color w:val="231F20"/>
                <w:spacing w:val="9"/>
              </w:rPr>
              <w:t> </w:t>
            </w:r>
            <w:r>
              <w:rPr>
                <w:color w:val="231F20"/>
              </w:rPr>
              <w:t>Data</w:t>
            </w:r>
            <w:r>
              <w:rPr>
                <w:color w:val="231F20"/>
                <w:spacing w:val="10"/>
              </w:rPr>
              <w:t> </w:t>
            </w:r>
            <w:r>
              <w:rPr>
                <w:color w:val="231F20"/>
              </w:rPr>
              <w:t>Source</w:t>
            </w:r>
            <w:r>
              <w:rPr>
                <w:color w:val="231F20"/>
                <w:spacing w:val="9"/>
              </w:rPr>
              <w:t> </w:t>
            </w:r>
            <w:r>
              <w:rPr>
                <w:color w:val="231F20"/>
                <w:spacing w:val="-4"/>
              </w:rPr>
              <w:t>list</w:t>
            </w:r>
          </w:hyperlink>
          <w:r>
            <w:rPr>
              <w:rFonts w:ascii="Times New Roman"/>
              <w:color w:val="231F20"/>
            </w:rPr>
            <w:tab/>
          </w:r>
          <w:hyperlink w:history="true" w:anchor="_bookmark147">
            <w:r>
              <w:rPr>
                <w:color w:val="231F20"/>
                <w:spacing w:val="-5"/>
              </w:rPr>
              <w:t>206</w:t>
            </w:r>
          </w:hyperlink>
        </w:p>
        <w:p>
          <w:pPr>
            <w:pStyle w:val="TOC2"/>
            <w:tabs>
              <w:tab w:pos="4747" w:val="right" w:leader="dot"/>
            </w:tabs>
          </w:pPr>
          <w:hyperlink w:history="true" w:anchor="_bookmark148">
            <w:r>
              <w:rPr>
                <w:color w:val="231F20"/>
              </w:rPr>
              <w:t>Editing</w:t>
            </w:r>
            <w:r>
              <w:rPr>
                <w:color w:val="231F20"/>
                <w:spacing w:val="10"/>
              </w:rPr>
              <w:t> </w:t>
            </w:r>
            <w:r>
              <w:rPr>
                <w:color w:val="231F20"/>
              </w:rPr>
              <w:t>a</w:t>
            </w:r>
            <w:r>
              <w:rPr>
                <w:color w:val="231F20"/>
                <w:spacing w:val="11"/>
              </w:rPr>
              <w:t> </w:t>
            </w:r>
            <w:r>
              <w:rPr>
                <w:color w:val="231F20"/>
                <w:spacing w:val="-2"/>
              </w:rPr>
              <w:t>query</w:t>
            </w:r>
          </w:hyperlink>
          <w:r>
            <w:rPr>
              <w:rFonts w:ascii="Times New Roman"/>
              <w:color w:val="231F20"/>
            </w:rPr>
            <w:tab/>
          </w:r>
          <w:hyperlink w:history="true" w:anchor="_bookmark148">
            <w:r>
              <w:rPr>
                <w:color w:val="231F20"/>
                <w:spacing w:val="-5"/>
              </w:rPr>
              <w:t>207</w:t>
            </w:r>
          </w:hyperlink>
        </w:p>
        <w:p>
          <w:pPr>
            <w:pStyle w:val="TOC2"/>
            <w:tabs>
              <w:tab w:pos="4747" w:val="right" w:leader="dot"/>
            </w:tabs>
          </w:pPr>
          <w:hyperlink w:history="true" w:anchor="_bookmark149">
            <w:r>
              <w:rPr>
                <w:color w:val="231F20"/>
              </w:rPr>
              <w:t>Deleting</w:t>
            </w:r>
            <w:r>
              <w:rPr>
                <w:color w:val="231F20"/>
                <w:spacing w:val="10"/>
              </w:rPr>
              <w:t> </w:t>
            </w:r>
            <w:r>
              <w:rPr>
                <w:color w:val="231F20"/>
              </w:rPr>
              <w:t>a</w:t>
            </w:r>
            <w:r>
              <w:rPr>
                <w:color w:val="231F20"/>
                <w:spacing w:val="10"/>
              </w:rPr>
              <w:t> </w:t>
            </w:r>
            <w:r>
              <w:rPr>
                <w:color w:val="231F20"/>
                <w:spacing w:val="-2"/>
              </w:rPr>
              <w:t>query</w:t>
            </w:r>
          </w:hyperlink>
          <w:r>
            <w:rPr>
              <w:rFonts w:ascii="Times New Roman"/>
              <w:color w:val="231F20"/>
            </w:rPr>
            <w:tab/>
          </w:r>
          <w:hyperlink w:history="true" w:anchor="_bookmark149">
            <w:r>
              <w:rPr>
                <w:color w:val="231F20"/>
                <w:spacing w:val="-5"/>
              </w:rPr>
              <w:t>209</w:t>
            </w:r>
          </w:hyperlink>
        </w:p>
        <w:p>
          <w:pPr>
            <w:pStyle w:val="TOC2"/>
          </w:pPr>
          <w:hyperlink w:history="true" w:anchor="_bookmark150">
            <w:r>
              <w:rPr>
                <w:color w:val="231F20"/>
              </w:rPr>
              <w:t>Tivoli</w:t>
            </w:r>
            <w:r>
              <w:rPr>
                <w:color w:val="231F20"/>
                <w:spacing w:val="4"/>
              </w:rPr>
              <w:t> </w:t>
            </w:r>
            <w:r>
              <w:rPr>
                <w:color w:val="231F20"/>
              </w:rPr>
              <w:t>Enterprise</w:t>
            </w:r>
            <w:r>
              <w:rPr>
                <w:color w:val="231F20"/>
                <w:spacing w:val="5"/>
              </w:rPr>
              <w:t> </w:t>
            </w:r>
            <w:r>
              <w:rPr>
                <w:color w:val="231F20"/>
              </w:rPr>
              <w:t>Monitoring</w:t>
            </w:r>
            <w:r>
              <w:rPr>
                <w:color w:val="231F20"/>
                <w:spacing w:val="5"/>
              </w:rPr>
              <w:t> </w:t>
            </w:r>
            <w:r>
              <w:rPr>
                <w:color w:val="231F20"/>
              </w:rPr>
              <w:t>Server</w:t>
            </w:r>
            <w:r>
              <w:rPr>
                <w:color w:val="231F20"/>
                <w:spacing w:val="4"/>
              </w:rPr>
              <w:t> </w:t>
            </w:r>
            <w:r>
              <w:rPr>
                <w:color w:val="231F20"/>
                <w:spacing w:val="-2"/>
              </w:rPr>
              <w:t>predefined</w:t>
            </w:r>
          </w:hyperlink>
        </w:p>
        <w:p>
          <w:pPr>
            <w:pStyle w:val="TOC2"/>
            <w:tabs>
              <w:tab w:pos="4747" w:val="right" w:leader="dot"/>
            </w:tabs>
            <w:spacing w:line="231" w:lineRule="exact"/>
          </w:pPr>
          <w:hyperlink w:history="true" w:anchor="_bookmark150">
            <w:r>
              <w:rPr>
                <w:color w:val="231F20"/>
                <w:spacing w:val="-2"/>
              </w:rPr>
              <w:t>queries</w:t>
            </w:r>
          </w:hyperlink>
          <w:r>
            <w:rPr>
              <w:rFonts w:ascii="Times New Roman"/>
              <w:color w:val="231F20"/>
            </w:rPr>
            <w:tab/>
          </w:r>
          <w:hyperlink w:history="true" w:anchor="_bookmark150">
            <w:r>
              <w:rPr>
                <w:color w:val="231F20"/>
                <w:spacing w:val="-5"/>
              </w:rPr>
              <w:t>210</w:t>
            </w:r>
          </w:hyperlink>
        </w:p>
        <w:p>
          <w:pPr>
            <w:pStyle w:val="TOC1"/>
            <w:tabs>
              <w:tab w:pos="4747" w:val="right" w:leader="dot"/>
            </w:tabs>
            <w:spacing w:line="252" w:lineRule="exact" w:before="224"/>
          </w:pPr>
          <w:hyperlink w:history="true" w:anchor="_bookmark153">
            <w:r>
              <w:rPr>
                <w:color w:val="231F20"/>
              </w:rPr>
              <w:t>Chapter</w:t>
            </w:r>
            <w:r>
              <w:rPr>
                <w:color w:val="231F20"/>
                <w:spacing w:val="-7"/>
              </w:rPr>
              <w:t> </w:t>
            </w:r>
            <w:r>
              <w:rPr>
                <w:color w:val="231F20"/>
              </w:rPr>
              <w:t>8.</w:t>
            </w:r>
            <w:r>
              <w:rPr>
                <w:color w:val="231F20"/>
                <w:spacing w:val="3"/>
              </w:rPr>
              <w:t> </w:t>
            </w:r>
            <w:r>
              <w:rPr>
                <w:color w:val="231F20"/>
              </w:rPr>
              <w:t>Historical</w:t>
            </w:r>
            <w:r>
              <w:rPr>
                <w:color w:val="231F20"/>
                <w:spacing w:val="4"/>
              </w:rPr>
              <w:t> </w:t>
            </w:r>
            <w:r>
              <w:rPr>
                <w:color w:val="231F20"/>
                <w:spacing w:val="-2"/>
              </w:rPr>
              <w:t>reporting</w:t>
            </w:r>
          </w:hyperlink>
          <w:r>
            <w:rPr>
              <w:rFonts w:ascii="Times New Roman"/>
              <w:b w:val="0"/>
              <w:color w:val="231F20"/>
            </w:rPr>
            <w:tab/>
          </w:r>
          <w:hyperlink w:history="true" w:anchor="_bookmark153">
            <w:r>
              <w:rPr>
                <w:color w:val="231F20"/>
                <w:spacing w:val="-5"/>
              </w:rPr>
              <w:t>213</w:t>
            </w:r>
          </w:hyperlink>
        </w:p>
        <w:p>
          <w:pPr>
            <w:pStyle w:val="TOC2"/>
            <w:spacing w:line="231" w:lineRule="exact"/>
          </w:pPr>
          <w:hyperlink w:history="true" w:anchor="_bookmark153">
            <w:r>
              <w:rPr>
                <w:color w:val="231F20"/>
              </w:rPr>
              <w:t>Overview</w:t>
            </w:r>
            <w:r>
              <w:rPr>
                <w:color w:val="231F20"/>
                <w:spacing w:val="8"/>
              </w:rPr>
              <w:t> </w:t>
            </w:r>
            <w:r>
              <w:rPr>
                <w:color w:val="231F20"/>
              </w:rPr>
              <w:t>of</w:t>
            </w:r>
            <w:r>
              <w:rPr>
                <w:color w:val="231F20"/>
                <w:spacing w:val="8"/>
              </w:rPr>
              <w:t> </w:t>
            </w:r>
            <w:r>
              <w:rPr>
                <w:color w:val="231F20"/>
              </w:rPr>
              <w:t>historical</w:t>
            </w:r>
            <w:r>
              <w:rPr>
                <w:color w:val="231F20"/>
                <w:spacing w:val="9"/>
              </w:rPr>
              <w:t> </w:t>
            </w:r>
            <w:r>
              <w:rPr>
                <w:color w:val="231F20"/>
              </w:rPr>
              <w:t>data</w:t>
            </w:r>
            <w:r>
              <w:rPr>
                <w:color w:val="231F20"/>
                <w:spacing w:val="8"/>
              </w:rPr>
              <w:t> </w:t>
            </w:r>
            <w:r>
              <w:rPr>
                <w:color w:val="231F20"/>
              </w:rPr>
              <w:t>collection</w:t>
            </w:r>
            <w:r>
              <w:rPr>
                <w:color w:val="231F20"/>
                <w:spacing w:val="9"/>
              </w:rPr>
              <w:t> </w:t>
            </w:r>
            <w:r>
              <w:rPr>
                <w:color w:val="231F20"/>
                <w:spacing w:val="-5"/>
              </w:rPr>
              <w:t>and</w:t>
            </w:r>
          </w:hyperlink>
        </w:p>
        <w:p>
          <w:pPr>
            <w:pStyle w:val="TOC2"/>
            <w:tabs>
              <w:tab w:pos="4747" w:val="right" w:leader="dot"/>
            </w:tabs>
          </w:pPr>
          <w:hyperlink w:history="true" w:anchor="_bookmark153">
            <w:r>
              <w:rPr>
                <w:color w:val="231F20"/>
                <w:spacing w:val="-2"/>
              </w:rPr>
              <w:t>reporting</w:t>
            </w:r>
          </w:hyperlink>
          <w:r>
            <w:rPr>
              <w:rFonts w:ascii="Times New Roman"/>
              <w:color w:val="231F20"/>
            </w:rPr>
            <w:tab/>
          </w:r>
          <w:hyperlink w:history="true" w:anchor="_bookmark153">
            <w:r>
              <w:rPr>
                <w:color w:val="231F20"/>
                <w:spacing w:val="-5"/>
              </w:rPr>
              <w:t>213</w:t>
            </w:r>
          </w:hyperlink>
        </w:p>
        <w:p>
          <w:pPr>
            <w:pStyle w:val="TOC2"/>
            <w:tabs>
              <w:tab w:pos="4747" w:val="right" w:leader="dot"/>
            </w:tabs>
          </w:pPr>
          <w:hyperlink w:history="true" w:anchor="_bookmark154">
            <w:r>
              <w:rPr>
                <w:color w:val="231F20"/>
              </w:rPr>
              <w:t>Setting</w:t>
            </w:r>
            <w:r>
              <w:rPr>
                <w:color w:val="231F20"/>
                <w:spacing w:val="10"/>
              </w:rPr>
              <w:t> </w:t>
            </w:r>
            <w:r>
              <w:rPr>
                <w:color w:val="231F20"/>
              </w:rPr>
              <w:t>a</w:t>
            </w:r>
            <w:r>
              <w:rPr>
                <w:color w:val="231F20"/>
                <w:spacing w:val="11"/>
              </w:rPr>
              <w:t> </w:t>
            </w:r>
            <w:r>
              <w:rPr>
                <w:color w:val="231F20"/>
              </w:rPr>
              <w:t>time</w:t>
            </w:r>
            <w:r>
              <w:rPr>
                <w:color w:val="231F20"/>
                <w:spacing w:val="11"/>
              </w:rPr>
              <w:t> </w:t>
            </w:r>
            <w:r>
              <w:rPr>
                <w:color w:val="231F20"/>
              </w:rPr>
              <w:t>span</w:t>
            </w:r>
            <w:r>
              <w:rPr>
                <w:color w:val="231F20"/>
                <w:spacing w:val="11"/>
              </w:rPr>
              <w:t> </w:t>
            </w:r>
            <w:r>
              <w:rPr>
                <w:color w:val="231F20"/>
              </w:rPr>
              <w:t>to</w:t>
            </w:r>
            <w:r>
              <w:rPr>
                <w:color w:val="231F20"/>
                <w:spacing w:val="11"/>
              </w:rPr>
              <w:t> </w:t>
            </w:r>
            <w:r>
              <w:rPr>
                <w:color w:val="231F20"/>
                <w:spacing w:val="-2"/>
              </w:rPr>
              <w:t>display</w:t>
            </w:r>
          </w:hyperlink>
          <w:r>
            <w:rPr>
              <w:rFonts w:ascii="Times New Roman"/>
              <w:color w:val="231F20"/>
            </w:rPr>
            <w:tab/>
          </w:r>
          <w:hyperlink w:history="true" w:anchor="_bookmark154">
            <w:r>
              <w:rPr>
                <w:color w:val="231F20"/>
                <w:spacing w:val="-5"/>
              </w:rPr>
              <w:t>214</w:t>
            </w:r>
          </w:hyperlink>
        </w:p>
        <w:p>
          <w:pPr>
            <w:pStyle w:val="TOC2"/>
            <w:tabs>
              <w:tab w:pos="4747" w:val="right" w:leader="dot"/>
            </w:tabs>
          </w:pPr>
          <w:hyperlink w:history="true" w:anchor="_bookmark155">
            <w:r>
              <w:rPr>
                <w:color w:val="231F20"/>
              </w:rPr>
              <w:t>Discontinuing</w:t>
            </w:r>
            <w:r>
              <w:rPr>
                <w:color w:val="231F20"/>
                <w:spacing w:val="4"/>
              </w:rPr>
              <w:t> </w:t>
            </w:r>
            <w:r>
              <w:rPr>
                <w:color w:val="231F20"/>
              </w:rPr>
              <w:t>historical</w:t>
            </w:r>
            <w:r>
              <w:rPr>
                <w:color w:val="231F20"/>
                <w:spacing w:val="5"/>
              </w:rPr>
              <w:t> </w:t>
            </w:r>
            <w:r>
              <w:rPr>
                <w:color w:val="231F20"/>
                <w:spacing w:val="-2"/>
              </w:rPr>
              <w:t>reporting</w:t>
            </w:r>
          </w:hyperlink>
          <w:r>
            <w:rPr>
              <w:rFonts w:ascii="Times New Roman"/>
              <w:color w:val="231F20"/>
            </w:rPr>
            <w:tab/>
          </w:r>
          <w:hyperlink w:history="true" w:anchor="_bookmark155">
            <w:r>
              <w:rPr>
                <w:color w:val="231F20"/>
                <w:spacing w:val="-5"/>
              </w:rPr>
              <w:t>216</w:t>
            </w:r>
          </w:hyperlink>
        </w:p>
        <w:p>
          <w:pPr>
            <w:pStyle w:val="TOC2"/>
            <w:tabs>
              <w:tab w:pos="4747" w:val="right" w:leader="dot"/>
            </w:tabs>
          </w:pPr>
          <w:hyperlink w:history="true" w:anchor="_bookmark155">
            <w:r>
              <w:rPr>
                <w:color w:val="231F20"/>
              </w:rPr>
              <w:t>Turning</w:t>
            </w:r>
            <w:r>
              <w:rPr>
                <w:color w:val="231F20"/>
                <w:spacing w:val="3"/>
              </w:rPr>
              <w:t> </w:t>
            </w:r>
            <w:r>
              <w:rPr>
                <w:color w:val="231F20"/>
              </w:rPr>
              <w:t>on</w:t>
            </w:r>
            <w:r>
              <w:rPr>
                <w:color w:val="231F20"/>
                <w:spacing w:val="4"/>
              </w:rPr>
              <w:t> </w:t>
            </w:r>
            <w:r>
              <w:rPr>
                <w:color w:val="231F20"/>
              </w:rPr>
              <w:t>historical</w:t>
            </w:r>
            <w:r>
              <w:rPr>
                <w:color w:val="231F20"/>
                <w:spacing w:val="3"/>
              </w:rPr>
              <w:t> </w:t>
            </w:r>
            <w:r>
              <w:rPr>
                <w:color w:val="231F20"/>
              </w:rPr>
              <w:t>navigation</w:t>
            </w:r>
            <w:r>
              <w:rPr>
                <w:color w:val="231F20"/>
                <w:spacing w:val="4"/>
              </w:rPr>
              <w:t> </w:t>
            </w:r>
            <w:r>
              <w:rPr>
                <w:color w:val="231F20"/>
                <w:spacing w:val="-4"/>
              </w:rPr>
              <w:t>mode</w:t>
            </w:r>
          </w:hyperlink>
          <w:r>
            <w:rPr>
              <w:rFonts w:ascii="Times New Roman"/>
              <w:color w:val="231F20"/>
            </w:rPr>
            <w:tab/>
          </w:r>
          <w:hyperlink w:history="true" w:anchor="_bookmark155">
            <w:r>
              <w:rPr>
                <w:color w:val="231F20"/>
                <w:spacing w:val="-5"/>
              </w:rPr>
              <w:t>216</w:t>
            </w:r>
          </w:hyperlink>
        </w:p>
        <w:p>
          <w:pPr>
            <w:pStyle w:val="TOC2"/>
            <w:tabs>
              <w:tab w:pos="4747" w:val="right" w:leader="dot"/>
            </w:tabs>
          </w:pPr>
          <w:hyperlink w:history="true" w:anchor="_bookmark156">
            <w:r>
              <w:rPr>
                <w:color w:val="231F20"/>
              </w:rPr>
              <w:t>Historical</w:t>
            </w:r>
            <w:r>
              <w:rPr>
                <w:color w:val="231F20"/>
                <w:spacing w:val="6"/>
              </w:rPr>
              <w:t> </w:t>
            </w:r>
            <w:r>
              <w:rPr>
                <w:color w:val="231F20"/>
              </w:rPr>
              <w:t>collection</w:t>
            </w:r>
            <w:r>
              <w:rPr>
                <w:color w:val="231F20"/>
                <w:spacing w:val="6"/>
              </w:rPr>
              <w:t> </w:t>
            </w:r>
            <w:r>
              <w:rPr>
                <w:color w:val="231F20"/>
                <w:spacing w:val="-2"/>
              </w:rPr>
              <w:t>configuration</w:t>
            </w:r>
          </w:hyperlink>
          <w:r>
            <w:rPr>
              <w:rFonts w:ascii="Times New Roman"/>
              <w:color w:val="231F20"/>
            </w:rPr>
            <w:tab/>
          </w:r>
          <w:hyperlink w:history="true" w:anchor="_bookmark156">
            <w:r>
              <w:rPr>
                <w:color w:val="231F20"/>
                <w:spacing w:val="-5"/>
              </w:rPr>
              <w:t>217</w:t>
            </w:r>
          </w:hyperlink>
        </w:p>
        <w:p>
          <w:pPr>
            <w:pStyle w:val="TOC3"/>
            <w:tabs>
              <w:tab w:pos="4747" w:val="right" w:leader="dot"/>
            </w:tabs>
          </w:pPr>
          <w:hyperlink w:history="true" w:anchor="_bookmark156">
            <w:r>
              <w:rPr>
                <w:color w:val="231F20"/>
              </w:rPr>
              <w:t>Understanding</w:t>
            </w:r>
            <w:r>
              <w:rPr>
                <w:color w:val="231F20"/>
                <w:spacing w:val="4"/>
              </w:rPr>
              <w:t> </w:t>
            </w:r>
            <w:r>
              <w:rPr>
                <w:color w:val="231F20"/>
              </w:rPr>
              <w:t>historical</w:t>
            </w:r>
            <w:r>
              <w:rPr>
                <w:color w:val="231F20"/>
                <w:spacing w:val="4"/>
              </w:rPr>
              <w:t> </w:t>
            </w:r>
            <w:r>
              <w:rPr>
                <w:color w:val="231F20"/>
                <w:spacing w:val="-2"/>
              </w:rPr>
              <w:t>configuration</w:t>
            </w:r>
          </w:hyperlink>
          <w:r>
            <w:rPr>
              <w:rFonts w:ascii="Times New Roman"/>
              <w:color w:val="231F20"/>
            </w:rPr>
            <w:tab/>
          </w:r>
          <w:hyperlink w:history="true" w:anchor="_bookmark156">
            <w:r>
              <w:rPr>
                <w:color w:val="231F20"/>
                <w:spacing w:val="-5"/>
              </w:rPr>
              <w:t>217</w:t>
            </w:r>
          </w:hyperlink>
        </w:p>
        <w:p>
          <w:pPr>
            <w:pStyle w:val="TOC3"/>
            <w:tabs>
              <w:tab w:pos="4747" w:val="right" w:leader="dot"/>
            </w:tabs>
            <w:spacing w:line="231" w:lineRule="exact"/>
          </w:pPr>
          <w:hyperlink w:history="true" w:anchor="_bookmark157">
            <w:r>
              <w:rPr>
                <w:color w:val="231F20"/>
              </w:rPr>
              <w:t>Creating</w:t>
            </w:r>
            <w:r>
              <w:rPr>
                <w:color w:val="231F20"/>
                <w:spacing w:val="7"/>
              </w:rPr>
              <w:t> </w:t>
            </w:r>
            <w:r>
              <w:rPr>
                <w:color w:val="231F20"/>
              </w:rPr>
              <w:t>a</w:t>
            </w:r>
            <w:r>
              <w:rPr>
                <w:color w:val="231F20"/>
                <w:spacing w:val="8"/>
              </w:rPr>
              <w:t> </w:t>
            </w:r>
            <w:r>
              <w:rPr>
                <w:color w:val="231F20"/>
              </w:rPr>
              <w:t>historical</w:t>
            </w:r>
            <w:r>
              <w:rPr>
                <w:color w:val="231F20"/>
                <w:spacing w:val="7"/>
              </w:rPr>
              <w:t> </w:t>
            </w:r>
            <w:r>
              <w:rPr>
                <w:color w:val="231F20"/>
                <w:spacing w:val="-2"/>
              </w:rPr>
              <w:t>collection</w:t>
            </w:r>
          </w:hyperlink>
          <w:r>
            <w:rPr>
              <w:rFonts w:ascii="Times New Roman"/>
              <w:color w:val="231F20"/>
            </w:rPr>
            <w:tab/>
          </w:r>
          <w:hyperlink w:history="true" w:anchor="_bookmark157">
            <w:r>
              <w:rPr>
                <w:color w:val="231F20"/>
                <w:spacing w:val="-5"/>
              </w:rPr>
              <w:t>221</w:t>
            </w:r>
          </w:hyperlink>
        </w:p>
        <w:p>
          <w:pPr>
            <w:pStyle w:val="TOC3"/>
            <w:tabs>
              <w:tab w:pos="4477" w:val="left" w:leader="dot"/>
            </w:tabs>
            <w:spacing w:line="231" w:lineRule="exact" w:before="47"/>
          </w:pPr>
          <w:r>
            <w:rPr/>
            <w:br w:type="column"/>
          </w:r>
          <w:hyperlink w:history="true" w:anchor="_bookmark159">
            <w:r>
              <w:rPr>
                <w:color w:val="231F20"/>
              </w:rPr>
              <w:t>Distributing</w:t>
            </w:r>
            <w:r>
              <w:rPr>
                <w:color w:val="231F20"/>
                <w:spacing w:val="6"/>
              </w:rPr>
              <w:t> </w:t>
            </w:r>
            <w:r>
              <w:rPr>
                <w:color w:val="231F20"/>
              </w:rPr>
              <w:t>a</w:t>
            </w:r>
            <w:r>
              <w:rPr>
                <w:color w:val="231F20"/>
                <w:spacing w:val="8"/>
              </w:rPr>
              <w:t> </w:t>
            </w:r>
            <w:r>
              <w:rPr>
                <w:color w:val="231F20"/>
              </w:rPr>
              <w:t>historical</w:t>
            </w:r>
            <w:r>
              <w:rPr>
                <w:color w:val="231F20"/>
                <w:spacing w:val="8"/>
              </w:rPr>
              <w:t> </w:t>
            </w:r>
            <w:r>
              <w:rPr>
                <w:color w:val="231F20"/>
                <w:spacing w:val="-2"/>
              </w:rPr>
              <w:t>collection</w:t>
            </w:r>
          </w:hyperlink>
          <w:r>
            <w:rPr>
              <w:rFonts w:ascii="Times New Roman"/>
              <w:color w:val="231F20"/>
            </w:rPr>
            <w:tab/>
          </w:r>
          <w:hyperlink w:history="true" w:anchor="_bookmark159">
            <w:r>
              <w:rPr>
                <w:color w:val="231F20"/>
                <w:spacing w:val="-5"/>
              </w:rPr>
              <w:t>223</w:t>
            </w:r>
          </w:hyperlink>
        </w:p>
        <w:p>
          <w:pPr>
            <w:pStyle w:val="TOC3"/>
            <w:tabs>
              <w:tab w:pos="4477" w:val="left" w:leader="dot"/>
            </w:tabs>
            <w:spacing w:line="216" w:lineRule="auto" w:before="8"/>
            <w:ind w:right="401"/>
          </w:pPr>
          <w:hyperlink w:history="true" w:anchor="_bookmark161">
            <w:r>
              <w:rPr>
                <w:color w:val="231F20"/>
              </w:rPr>
              <w:t>Configuring summarization and pruning for</w:t>
            </w:r>
          </w:hyperlink>
          <w:r>
            <w:rPr>
              <w:color w:val="231F20"/>
              <w:spacing w:val="80"/>
            </w:rPr>
            <w:t> </w:t>
          </w:r>
          <w:hyperlink w:history="true" w:anchor="_bookmark161">
            <w:r>
              <w:rPr>
                <w:color w:val="231F20"/>
              </w:rPr>
              <w:t>attribute</w:t>
            </w:r>
            <w:r>
              <w:rPr>
                <w:color w:val="231F20"/>
                <w:spacing w:val="7"/>
              </w:rPr>
              <w:t> </w:t>
            </w:r>
            <w:r>
              <w:rPr>
                <w:color w:val="231F20"/>
                <w:spacing w:val="-2"/>
              </w:rPr>
              <w:t>groups</w:t>
            </w:r>
          </w:hyperlink>
          <w:r>
            <w:rPr>
              <w:rFonts w:ascii="Times New Roman"/>
              <w:color w:val="231F20"/>
            </w:rPr>
            <w:tab/>
          </w:r>
          <w:hyperlink w:history="true" w:anchor="_bookmark161">
            <w:r>
              <w:rPr>
                <w:color w:val="231F20"/>
                <w:spacing w:val="-5"/>
              </w:rPr>
              <w:t>226</w:t>
            </w:r>
          </w:hyperlink>
        </w:p>
        <w:p>
          <w:pPr>
            <w:pStyle w:val="TOC3"/>
            <w:tabs>
              <w:tab w:pos="4477" w:val="left" w:leader="dot"/>
            </w:tabs>
            <w:spacing w:line="214" w:lineRule="exact"/>
          </w:pPr>
          <w:hyperlink w:history="true" w:anchor="_bookmark162">
            <w:r>
              <w:rPr>
                <w:color w:val="231F20"/>
              </w:rPr>
              <w:t>Creating</w:t>
            </w:r>
            <w:r>
              <w:rPr>
                <w:color w:val="231F20"/>
                <w:spacing w:val="5"/>
              </w:rPr>
              <w:t> </w:t>
            </w:r>
            <w:r>
              <w:rPr>
                <w:color w:val="231F20"/>
              </w:rPr>
              <w:t>another</w:t>
            </w:r>
            <w:r>
              <w:rPr>
                <w:color w:val="231F20"/>
                <w:spacing w:val="6"/>
              </w:rPr>
              <w:t> </w:t>
            </w:r>
            <w:r>
              <w:rPr>
                <w:color w:val="231F20"/>
              </w:rPr>
              <w:t>historical</w:t>
            </w:r>
            <w:r>
              <w:rPr>
                <w:color w:val="231F20"/>
                <w:spacing w:val="6"/>
              </w:rPr>
              <w:t> </w:t>
            </w:r>
            <w:r>
              <w:rPr>
                <w:color w:val="231F20"/>
                <w:spacing w:val="-2"/>
              </w:rPr>
              <w:t>collection</w:t>
            </w:r>
          </w:hyperlink>
          <w:r>
            <w:rPr>
              <w:rFonts w:ascii="Times New Roman"/>
              <w:color w:val="231F20"/>
            </w:rPr>
            <w:tab/>
          </w:r>
          <w:hyperlink w:history="true" w:anchor="_bookmark162">
            <w:r>
              <w:rPr>
                <w:color w:val="231F20"/>
                <w:spacing w:val="-5"/>
              </w:rPr>
              <w:t>227</w:t>
            </w:r>
          </w:hyperlink>
        </w:p>
        <w:p>
          <w:pPr>
            <w:pStyle w:val="TOC3"/>
            <w:tabs>
              <w:tab w:pos="4477" w:val="left" w:leader="dot"/>
            </w:tabs>
          </w:pPr>
          <w:hyperlink w:history="true" w:anchor="_bookmark162">
            <w:r>
              <w:rPr>
                <w:color w:val="231F20"/>
              </w:rPr>
              <w:t>Creating</w:t>
            </w:r>
            <w:r>
              <w:rPr>
                <w:color w:val="231F20"/>
                <w:spacing w:val="6"/>
              </w:rPr>
              <w:t> </w:t>
            </w:r>
            <w:r>
              <w:rPr>
                <w:color w:val="231F20"/>
              </w:rPr>
              <w:t>a</w:t>
            </w:r>
            <w:r>
              <w:rPr>
                <w:color w:val="231F20"/>
                <w:spacing w:val="7"/>
              </w:rPr>
              <w:t> </w:t>
            </w:r>
            <w:r>
              <w:rPr>
                <w:color w:val="231F20"/>
              </w:rPr>
              <w:t>historical</w:t>
            </w:r>
            <w:r>
              <w:rPr>
                <w:color w:val="231F20"/>
                <w:spacing w:val="6"/>
              </w:rPr>
              <w:t> </w:t>
            </w:r>
            <w:r>
              <w:rPr>
                <w:color w:val="231F20"/>
              </w:rPr>
              <w:t>configuration</w:t>
            </w:r>
            <w:r>
              <w:rPr>
                <w:color w:val="231F20"/>
                <w:spacing w:val="7"/>
              </w:rPr>
              <w:t> </w:t>
            </w:r>
            <w:r>
              <w:rPr>
                <w:color w:val="231F20"/>
                <w:spacing w:val="-2"/>
              </w:rPr>
              <w:t>group</w:t>
            </w:r>
          </w:hyperlink>
          <w:r>
            <w:rPr>
              <w:rFonts w:ascii="Times New Roman"/>
              <w:color w:val="231F20"/>
            </w:rPr>
            <w:tab/>
          </w:r>
          <w:hyperlink w:history="true" w:anchor="_bookmark162">
            <w:r>
              <w:rPr>
                <w:color w:val="231F20"/>
                <w:spacing w:val="-5"/>
              </w:rPr>
              <w:t>227</w:t>
            </w:r>
          </w:hyperlink>
        </w:p>
        <w:p>
          <w:pPr>
            <w:pStyle w:val="TOC3"/>
            <w:tabs>
              <w:tab w:pos="4477" w:val="left" w:leader="dot"/>
            </w:tabs>
          </w:pPr>
          <w:hyperlink w:history="true" w:anchor="_bookmark163">
            <w:r>
              <w:rPr>
                <w:color w:val="231F20"/>
              </w:rPr>
              <w:t>Stopping</w:t>
            </w:r>
            <w:r>
              <w:rPr>
                <w:color w:val="231F20"/>
                <w:spacing w:val="8"/>
              </w:rPr>
              <w:t> </w:t>
            </w:r>
            <w:r>
              <w:rPr>
                <w:color w:val="231F20"/>
              </w:rPr>
              <w:t>data</w:t>
            </w:r>
            <w:r>
              <w:rPr>
                <w:color w:val="231F20"/>
                <w:spacing w:val="9"/>
              </w:rPr>
              <w:t> </w:t>
            </w:r>
            <w:r>
              <w:rPr>
                <w:color w:val="231F20"/>
                <w:spacing w:val="-2"/>
              </w:rPr>
              <w:t>collection</w:t>
            </w:r>
          </w:hyperlink>
          <w:r>
            <w:rPr>
              <w:rFonts w:ascii="Times New Roman"/>
              <w:color w:val="231F20"/>
            </w:rPr>
            <w:tab/>
          </w:r>
          <w:hyperlink w:history="true" w:anchor="_bookmark163">
            <w:r>
              <w:rPr>
                <w:color w:val="231F20"/>
                <w:spacing w:val="-5"/>
              </w:rPr>
              <w:t>229</w:t>
            </w:r>
          </w:hyperlink>
        </w:p>
        <w:p>
          <w:pPr>
            <w:pStyle w:val="TOC3"/>
            <w:tabs>
              <w:tab w:pos="4477" w:val="left" w:leader="dot"/>
            </w:tabs>
          </w:pPr>
          <w:hyperlink w:history="true" w:anchor="_bookmark164">
            <w:r>
              <w:rPr>
                <w:color w:val="231F20"/>
              </w:rPr>
              <w:t>Starting</w:t>
            </w:r>
            <w:r>
              <w:rPr>
                <w:color w:val="231F20"/>
                <w:spacing w:val="9"/>
              </w:rPr>
              <w:t> </w:t>
            </w:r>
            <w:r>
              <w:rPr>
                <w:color w:val="231F20"/>
              </w:rPr>
              <w:t>data</w:t>
            </w:r>
            <w:r>
              <w:rPr>
                <w:color w:val="231F20"/>
                <w:spacing w:val="9"/>
              </w:rPr>
              <w:t> </w:t>
            </w:r>
            <w:r>
              <w:rPr>
                <w:color w:val="231F20"/>
                <w:spacing w:val="-2"/>
              </w:rPr>
              <w:t>collection</w:t>
            </w:r>
          </w:hyperlink>
          <w:r>
            <w:rPr>
              <w:rFonts w:ascii="Times New Roman"/>
              <w:color w:val="231F20"/>
            </w:rPr>
            <w:tab/>
          </w:r>
          <w:hyperlink w:history="true" w:anchor="_bookmark164">
            <w:r>
              <w:rPr>
                <w:color w:val="231F20"/>
                <w:spacing w:val="-5"/>
              </w:rPr>
              <w:t>230</w:t>
            </w:r>
          </w:hyperlink>
        </w:p>
        <w:p>
          <w:pPr>
            <w:pStyle w:val="TOC3"/>
            <w:tabs>
              <w:tab w:pos="4477" w:val="left" w:leader="dot"/>
            </w:tabs>
          </w:pPr>
          <w:hyperlink w:history="true" w:anchor="_bookmark165">
            <w:r>
              <w:rPr>
                <w:color w:val="231F20"/>
              </w:rPr>
              <w:t>Changing</w:t>
            </w:r>
            <w:r>
              <w:rPr>
                <w:color w:val="231F20"/>
                <w:spacing w:val="7"/>
              </w:rPr>
              <w:t> </w:t>
            </w:r>
            <w:r>
              <w:rPr>
                <w:color w:val="231F20"/>
              </w:rPr>
              <w:t>the</w:t>
            </w:r>
            <w:r>
              <w:rPr>
                <w:color w:val="231F20"/>
                <w:spacing w:val="7"/>
              </w:rPr>
              <w:t> </w:t>
            </w:r>
            <w:r>
              <w:rPr>
                <w:color w:val="231F20"/>
              </w:rPr>
              <w:t>distribution</w:t>
            </w:r>
            <w:r>
              <w:rPr>
                <w:color w:val="231F20"/>
                <w:spacing w:val="8"/>
              </w:rPr>
              <w:t> </w:t>
            </w:r>
            <w:r>
              <w:rPr>
                <w:color w:val="231F20"/>
                <w:spacing w:val="-2"/>
              </w:rPr>
              <w:t>method</w:t>
            </w:r>
          </w:hyperlink>
          <w:r>
            <w:rPr>
              <w:rFonts w:ascii="Times New Roman"/>
              <w:color w:val="231F20"/>
            </w:rPr>
            <w:tab/>
          </w:r>
          <w:hyperlink w:history="true" w:anchor="_bookmark165">
            <w:r>
              <w:rPr>
                <w:color w:val="231F20"/>
                <w:spacing w:val="-5"/>
              </w:rPr>
              <w:t>231</w:t>
            </w:r>
          </w:hyperlink>
        </w:p>
        <w:p>
          <w:pPr>
            <w:pStyle w:val="TOC3"/>
            <w:tabs>
              <w:tab w:pos="4477" w:val="left" w:leader="dot"/>
            </w:tabs>
            <w:spacing w:line="231" w:lineRule="exact"/>
          </w:pPr>
          <w:hyperlink w:history="true" w:anchor="_bookmark165">
            <w:r>
              <w:rPr>
                <w:color w:val="231F20"/>
              </w:rPr>
              <w:t>Removing</w:t>
            </w:r>
            <w:r>
              <w:rPr>
                <w:color w:val="231F20"/>
                <w:spacing w:val="9"/>
              </w:rPr>
              <w:t> </w:t>
            </w:r>
            <w:r>
              <w:rPr>
                <w:color w:val="231F20"/>
              </w:rPr>
              <w:t>a</w:t>
            </w:r>
            <w:r>
              <w:rPr>
                <w:color w:val="231F20"/>
                <w:spacing w:val="9"/>
              </w:rPr>
              <w:t> </w:t>
            </w:r>
            <w:r>
              <w:rPr>
                <w:color w:val="231F20"/>
              </w:rPr>
              <w:t>historical</w:t>
            </w:r>
            <w:r>
              <w:rPr>
                <w:color w:val="231F20"/>
                <w:spacing w:val="9"/>
              </w:rPr>
              <w:t> </w:t>
            </w:r>
            <w:r>
              <w:rPr>
                <w:color w:val="231F20"/>
              </w:rPr>
              <w:t>data</w:t>
            </w:r>
            <w:r>
              <w:rPr>
                <w:color w:val="231F20"/>
                <w:spacing w:val="9"/>
              </w:rPr>
              <w:t> </w:t>
            </w:r>
            <w:r>
              <w:rPr>
                <w:color w:val="231F20"/>
                <w:spacing w:val="-2"/>
              </w:rPr>
              <w:t>collection</w:t>
            </w:r>
          </w:hyperlink>
          <w:r>
            <w:rPr>
              <w:rFonts w:ascii="Times New Roman"/>
              <w:color w:val="231F20"/>
            </w:rPr>
            <w:tab/>
          </w:r>
          <w:hyperlink w:history="true" w:anchor="_bookmark165">
            <w:r>
              <w:rPr>
                <w:color w:val="231F20"/>
                <w:spacing w:val="-5"/>
              </w:rPr>
              <w:t>231</w:t>
            </w:r>
          </w:hyperlink>
        </w:p>
        <w:p>
          <w:pPr>
            <w:pStyle w:val="TOC1"/>
            <w:tabs>
              <w:tab w:pos="4381" w:val="left" w:leader="dot"/>
            </w:tabs>
            <w:spacing w:line="247" w:lineRule="auto" w:before="224"/>
            <w:ind w:right="401"/>
          </w:pPr>
          <w:hyperlink w:history="true" w:anchor="_bookmark167">
            <w:r>
              <w:rPr>
                <w:color w:val="231F20"/>
              </w:rPr>
              <w:t>Chapter 9. Navigator views for logical</w:t>
            </w:r>
          </w:hyperlink>
          <w:r>
            <w:rPr>
              <w:color w:val="231F20"/>
            </w:rPr>
            <w:t> </w:t>
          </w:r>
          <w:hyperlink w:history="true" w:anchor="_bookmark167">
            <w:r>
              <w:rPr>
                <w:color w:val="231F20"/>
                <w:spacing w:val="-2"/>
              </w:rPr>
              <w:t>organization</w:t>
            </w:r>
          </w:hyperlink>
          <w:r>
            <w:rPr>
              <w:rFonts w:ascii="Times New Roman"/>
              <w:b w:val="0"/>
              <w:color w:val="231F20"/>
            </w:rPr>
            <w:tab/>
          </w:r>
          <w:hyperlink w:history="true" w:anchor="_bookmark167">
            <w:r>
              <w:rPr>
                <w:color w:val="231F20"/>
                <w:spacing w:val="-5"/>
              </w:rPr>
              <w:t>233</w:t>
            </w:r>
          </w:hyperlink>
        </w:p>
        <w:p>
          <w:pPr>
            <w:pStyle w:val="TOC2"/>
            <w:tabs>
              <w:tab w:pos="4477" w:val="left" w:leader="dot"/>
            </w:tabs>
            <w:spacing w:line="221" w:lineRule="exact"/>
          </w:pPr>
          <w:hyperlink w:history="true" w:anchor="_bookmark167">
            <w:r>
              <w:rPr>
                <w:color w:val="231F20"/>
              </w:rPr>
              <w:t>Custom</w:t>
            </w:r>
            <w:r>
              <w:rPr>
                <w:color w:val="231F20"/>
                <w:spacing w:val="7"/>
              </w:rPr>
              <w:t> </w:t>
            </w:r>
            <w:r>
              <w:rPr>
                <w:color w:val="231F20"/>
              </w:rPr>
              <w:t>Navigator</w:t>
            </w:r>
            <w:r>
              <w:rPr>
                <w:color w:val="231F20"/>
                <w:spacing w:val="8"/>
              </w:rPr>
              <w:t> </w:t>
            </w:r>
            <w:r>
              <w:rPr>
                <w:color w:val="231F20"/>
              </w:rPr>
              <w:t>view</w:t>
            </w:r>
            <w:r>
              <w:rPr>
                <w:color w:val="231F20"/>
                <w:spacing w:val="8"/>
              </w:rPr>
              <w:t> </w:t>
            </w:r>
            <w:r>
              <w:rPr>
                <w:color w:val="231F20"/>
                <w:spacing w:val="-2"/>
              </w:rPr>
              <w:t>characteristics</w:t>
            </w:r>
          </w:hyperlink>
          <w:r>
            <w:rPr>
              <w:rFonts w:ascii="Times New Roman"/>
              <w:color w:val="231F20"/>
            </w:rPr>
            <w:tab/>
          </w:r>
          <w:hyperlink w:history="true" w:anchor="_bookmark167">
            <w:r>
              <w:rPr>
                <w:color w:val="231F20"/>
                <w:spacing w:val="-5"/>
              </w:rPr>
              <w:t>233</w:t>
            </w:r>
          </w:hyperlink>
        </w:p>
        <w:p>
          <w:pPr>
            <w:pStyle w:val="TOC2"/>
            <w:tabs>
              <w:tab w:pos="4477" w:val="left" w:leader="dot"/>
            </w:tabs>
          </w:pPr>
          <w:hyperlink w:history="true" w:anchor="_bookmark168">
            <w:r>
              <w:rPr>
                <w:color w:val="231F20"/>
              </w:rPr>
              <w:t>Creating</w:t>
            </w:r>
            <w:r>
              <w:rPr>
                <w:color w:val="231F20"/>
                <w:spacing w:val="8"/>
              </w:rPr>
              <w:t> </w:t>
            </w:r>
            <w:r>
              <w:rPr>
                <w:color w:val="231F20"/>
              </w:rPr>
              <w:t>a</w:t>
            </w:r>
            <w:r>
              <w:rPr>
                <w:color w:val="231F20"/>
                <w:spacing w:val="8"/>
              </w:rPr>
              <w:t> </w:t>
            </w:r>
            <w:r>
              <w:rPr>
                <w:color w:val="231F20"/>
              </w:rPr>
              <w:t>new</w:t>
            </w:r>
            <w:r>
              <w:rPr>
                <w:color w:val="231F20"/>
                <w:spacing w:val="8"/>
              </w:rPr>
              <w:t> </w:t>
            </w:r>
            <w:r>
              <w:rPr>
                <w:color w:val="231F20"/>
              </w:rPr>
              <w:t>Navigator</w:t>
            </w:r>
            <w:r>
              <w:rPr>
                <w:color w:val="231F20"/>
                <w:spacing w:val="8"/>
              </w:rPr>
              <w:t> </w:t>
            </w:r>
            <w:r>
              <w:rPr>
                <w:color w:val="231F20"/>
                <w:spacing w:val="-4"/>
              </w:rPr>
              <w:t>view</w:t>
            </w:r>
          </w:hyperlink>
          <w:r>
            <w:rPr>
              <w:rFonts w:ascii="Times New Roman"/>
              <w:color w:val="231F20"/>
            </w:rPr>
            <w:tab/>
          </w:r>
          <w:hyperlink w:history="true" w:anchor="_bookmark168">
            <w:r>
              <w:rPr>
                <w:color w:val="231F20"/>
                <w:spacing w:val="-5"/>
              </w:rPr>
              <w:t>234</w:t>
            </w:r>
          </w:hyperlink>
        </w:p>
        <w:p>
          <w:pPr>
            <w:pStyle w:val="TOC2"/>
            <w:tabs>
              <w:tab w:pos="4477" w:val="left" w:leader="dot"/>
            </w:tabs>
          </w:pPr>
          <w:hyperlink w:history="true" w:anchor="_bookmark169">
            <w:r>
              <w:rPr>
                <w:color w:val="231F20"/>
              </w:rPr>
              <w:t>Adding</w:t>
            </w:r>
            <w:r>
              <w:rPr>
                <w:color w:val="231F20"/>
                <w:spacing w:val="10"/>
              </w:rPr>
              <w:t> </w:t>
            </w:r>
            <w:r>
              <w:rPr>
                <w:color w:val="231F20"/>
              </w:rPr>
              <w:t>a</w:t>
            </w:r>
            <w:r>
              <w:rPr>
                <w:color w:val="231F20"/>
                <w:spacing w:val="10"/>
              </w:rPr>
              <w:t> </w:t>
            </w:r>
            <w:r>
              <w:rPr>
                <w:color w:val="231F20"/>
              </w:rPr>
              <w:t>child</w:t>
            </w:r>
            <w:r>
              <w:rPr>
                <w:color w:val="231F20"/>
                <w:spacing w:val="10"/>
              </w:rPr>
              <w:t> </w:t>
            </w:r>
            <w:r>
              <w:rPr>
                <w:color w:val="231F20"/>
                <w:spacing w:val="-4"/>
              </w:rPr>
              <w:t>item</w:t>
            </w:r>
          </w:hyperlink>
          <w:r>
            <w:rPr>
              <w:rFonts w:ascii="Times New Roman"/>
              <w:color w:val="231F20"/>
            </w:rPr>
            <w:tab/>
          </w:r>
          <w:hyperlink w:history="true" w:anchor="_bookmark169">
            <w:r>
              <w:rPr>
                <w:color w:val="231F20"/>
                <w:spacing w:val="-5"/>
              </w:rPr>
              <w:t>236</w:t>
            </w:r>
          </w:hyperlink>
        </w:p>
        <w:p>
          <w:pPr>
            <w:pStyle w:val="TOC2"/>
            <w:tabs>
              <w:tab w:pos="4477" w:val="left" w:leader="dot"/>
            </w:tabs>
          </w:pPr>
          <w:hyperlink w:history="true" w:anchor="_bookmark170">
            <w:r>
              <w:rPr>
                <w:color w:val="231F20"/>
              </w:rPr>
              <w:t>Editing</w:t>
            </w:r>
            <w:r>
              <w:rPr>
                <w:color w:val="231F20"/>
                <w:spacing w:val="9"/>
              </w:rPr>
              <w:t> </w:t>
            </w:r>
            <w:r>
              <w:rPr>
                <w:color w:val="231F20"/>
              </w:rPr>
              <w:t>a</w:t>
            </w:r>
            <w:r>
              <w:rPr>
                <w:color w:val="231F20"/>
                <w:spacing w:val="9"/>
              </w:rPr>
              <w:t> </w:t>
            </w:r>
            <w:r>
              <w:rPr>
                <w:color w:val="231F20"/>
              </w:rPr>
              <w:t>Navigator</w:t>
            </w:r>
            <w:r>
              <w:rPr>
                <w:color w:val="231F20"/>
                <w:spacing w:val="9"/>
              </w:rPr>
              <w:t> </w:t>
            </w:r>
            <w:r>
              <w:rPr>
                <w:color w:val="231F20"/>
                <w:spacing w:val="-4"/>
              </w:rPr>
              <w:t>view</w:t>
            </w:r>
          </w:hyperlink>
          <w:r>
            <w:rPr>
              <w:rFonts w:ascii="Times New Roman"/>
              <w:color w:val="231F20"/>
            </w:rPr>
            <w:tab/>
          </w:r>
          <w:hyperlink w:history="true" w:anchor="_bookmark170">
            <w:r>
              <w:rPr>
                <w:color w:val="231F20"/>
                <w:spacing w:val="-5"/>
              </w:rPr>
              <w:t>237</w:t>
            </w:r>
          </w:hyperlink>
        </w:p>
        <w:p>
          <w:pPr>
            <w:pStyle w:val="TOC2"/>
            <w:tabs>
              <w:tab w:pos="4477" w:val="left" w:leader="dot"/>
            </w:tabs>
          </w:pPr>
          <w:hyperlink w:history="true" w:anchor="_bookmark172">
            <w:r>
              <w:rPr>
                <w:color w:val="231F20"/>
              </w:rPr>
              <w:t>Editing</w:t>
            </w:r>
            <w:r>
              <w:rPr>
                <w:color w:val="231F20"/>
                <w:spacing w:val="8"/>
              </w:rPr>
              <w:t> </w:t>
            </w:r>
            <w:r>
              <w:rPr>
                <w:color w:val="231F20"/>
              </w:rPr>
              <w:t>Navigator</w:t>
            </w:r>
            <w:r>
              <w:rPr>
                <w:color w:val="231F20"/>
                <w:spacing w:val="8"/>
              </w:rPr>
              <w:t> </w:t>
            </w:r>
            <w:r>
              <w:rPr>
                <w:color w:val="231F20"/>
              </w:rPr>
              <w:t>item</w:t>
            </w:r>
            <w:r>
              <w:rPr>
                <w:color w:val="231F20"/>
                <w:spacing w:val="8"/>
              </w:rPr>
              <w:t> </w:t>
            </w:r>
            <w:r>
              <w:rPr>
                <w:color w:val="231F20"/>
                <w:spacing w:val="-2"/>
              </w:rPr>
              <w:t>properties</w:t>
            </w:r>
          </w:hyperlink>
          <w:r>
            <w:rPr>
              <w:rFonts w:ascii="Times New Roman"/>
              <w:color w:val="231F20"/>
            </w:rPr>
            <w:tab/>
          </w:r>
          <w:hyperlink w:history="true" w:anchor="_bookmark172">
            <w:r>
              <w:rPr>
                <w:color w:val="231F20"/>
                <w:spacing w:val="-5"/>
              </w:rPr>
              <w:t>239</w:t>
            </w:r>
          </w:hyperlink>
        </w:p>
        <w:p>
          <w:pPr>
            <w:pStyle w:val="TOC2"/>
            <w:tabs>
              <w:tab w:pos="4477" w:val="left" w:leader="dot"/>
            </w:tabs>
          </w:pPr>
          <w:hyperlink w:history="true" w:anchor="_bookmark174">
            <w:r>
              <w:rPr>
                <w:color w:val="231F20"/>
              </w:rPr>
              <w:t>Renaming</w:t>
            </w:r>
            <w:r>
              <w:rPr>
                <w:color w:val="231F20"/>
                <w:spacing w:val="9"/>
              </w:rPr>
              <w:t> </w:t>
            </w:r>
            <w:r>
              <w:rPr>
                <w:color w:val="231F20"/>
              </w:rPr>
              <w:t>a</w:t>
            </w:r>
            <w:r>
              <w:rPr>
                <w:color w:val="231F20"/>
                <w:spacing w:val="9"/>
              </w:rPr>
              <w:t> </w:t>
            </w:r>
            <w:r>
              <w:rPr>
                <w:color w:val="231F20"/>
              </w:rPr>
              <w:t>Navigator</w:t>
            </w:r>
            <w:r>
              <w:rPr>
                <w:color w:val="231F20"/>
                <w:spacing w:val="10"/>
              </w:rPr>
              <w:t> </w:t>
            </w:r>
            <w:r>
              <w:rPr>
                <w:color w:val="231F20"/>
              </w:rPr>
              <w:t>view</w:t>
            </w:r>
            <w:r>
              <w:rPr>
                <w:color w:val="231F20"/>
                <w:spacing w:val="9"/>
              </w:rPr>
              <w:t> </w:t>
            </w:r>
            <w:r>
              <w:rPr>
                <w:color w:val="231F20"/>
              </w:rPr>
              <w:t>or</w:t>
            </w:r>
            <w:r>
              <w:rPr>
                <w:color w:val="231F20"/>
                <w:spacing w:val="10"/>
              </w:rPr>
              <w:t> </w:t>
            </w:r>
            <w:r>
              <w:rPr>
                <w:color w:val="231F20"/>
                <w:spacing w:val="-4"/>
              </w:rPr>
              <w:t>item</w:t>
            </w:r>
          </w:hyperlink>
          <w:r>
            <w:rPr>
              <w:rFonts w:ascii="Times New Roman"/>
              <w:color w:val="231F20"/>
            </w:rPr>
            <w:tab/>
          </w:r>
          <w:hyperlink w:history="true" w:anchor="_bookmark174">
            <w:r>
              <w:rPr>
                <w:color w:val="231F20"/>
                <w:spacing w:val="-5"/>
              </w:rPr>
              <w:t>240</w:t>
            </w:r>
          </w:hyperlink>
        </w:p>
        <w:p>
          <w:pPr>
            <w:pStyle w:val="TOC2"/>
            <w:tabs>
              <w:tab w:pos="4477" w:val="left" w:leader="dot"/>
            </w:tabs>
          </w:pPr>
          <w:hyperlink w:history="true" w:anchor="_bookmark174">
            <w:r>
              <w:rPr>
                <w:color w:val="231F20"/>
              </w:rPr>
              <w:t>Deleting</w:t>
            </w:r>
            <w:r>
              <w:rPr>
                <w:color w:val="231F20"/>
                <w:spacing w:val="9"/>
              </w:rPr>
              <w:t> </w:t>
            </w:r>
            <w:r>
              <w:rPr>
                <w:color w:val="231F20"/>
              </w:rPr>
              <w:t>a</w:t>
            </w:r>
            <w:r>
              <w:rPr>
                <w:color w:val="231F20"/>
                <w:spacing w:val="10"/>
              </w:rPr>
              <w:t> </w:t>
            </w:r>
            <w:r>
              <w:rPr>
                <w:color w:val="231F20"/>
              </w:rPr>
              <w:t>Navigator</w:t>
            </w:r>
            <w:r>
              <w:rPr>
                <w:color w:val="231F20"/>
                <w:spacing w:val="10"/>
              </w:rPr>
              <w:t> </w:t>
            </w:r>
            <w:r>
              <w:rPr>
                <w:color w:val="231F20"/>
              </w:rPr>
              <w:t>view</w:t>
            </w:r>
            <w:r>
              <w:rPr>
                <w:color w:val="231F20"/>
                <w:spacing w:val="9"/>
              </w:rPr>
              <w:t> </w:t>
            </w:r>
            <w:r>
              <w:rPr>
                <w:color w:val="231F20"/>
              </w:rPr>
              <w:t>or</w:t>
            </w:r>
            <w:r>
              <w:rPr>
                <w:color w:val="231F20"/>
                <w:spacing w:val="10"/>
              </w:rPr>
              <w:t> </w:t>
            </w:r>
            <w:r>
              <w:rPr>
                <w:color w:val="231F20"/>
                <w:spacing w:val="-4"/>
              </w:rPr>
              <w:t>item</w:t>
            </w:r>
          </w:hyperlink>
          <w:r>
            <w:rPr>
              <w:rFonts w:ascii="Times New Roman"/>
              <w:color w:val="231F20"/>
            </w:rPr>
            <w:tab/>
          </w:r>
          <w:hyperlink w:history="true" w:anchor="_bookmark174">
            <w:r>
              <w:rPr>
                <w:color w:val="231F20"/>
                <w:spacing w:val="-5"/>
              </w:rPr>
              <w:t>240</w:t>
            </w:r>
          </w:hyperlink>
        </w:p>
        <w:p>
          <w:pPr>
            <w:pStyle w:val="TOC2"/>
            <w:tabs>
              <w:tab w:pos="4477" w:val="left" w:leader="dot"/>
            </w:tabs>
          </w:pPr>
          <w:hyperlink w:history="true" w:anchor="_bookmark175">
            <w:r>
              <w:rPr>
                <w:color w:val="231F20"/>
              </w:rPr>
              <w:t>Navigator</w:t>
            </w:r>
            <w:r>
              <w:rPr>
                <w:color w:val="231F20"/>
                <w:spacing w:val="8"/>
              </w:rPr>
              <w:t> </w:t>
            </w:r>
            <w:r>
              <w:rPr>
                <w:color w:val="231F20"/>
              </w:rPr>
              <w:t>editor</w:t>
            </w:r>
            <w:r>
              <w:rPr>
                <w:color w:val="231F20"/>
                <w:spacing w:val="9"/>
              </w:rPr>
              <w:t> </w:t>
            </w:r>
            <w:r>
              <w:rPr>
                <w:color w:val="231F20"/>
              </w:rPr>
              <w:t>and</w:t>
            </w:r>
            <w:r>
              <w:rPr>
                <w:color w:val="231F20"/>
                <w:spacing w:val="9"/>
              </w:rPr>
              <w:t> </w:t>
            </w:r>
            <w:r>
              <w:rPr>
                <w:color w:val="231F20"/>
                <w:spacing w:val="-2"/>
              </w:rPr>
              <w:t>properties</w:t>
            </w:r>
          </w:hyperlink>
          <w:r>
            <w:rPr>
              <w:rFonts w:ascii="Times New Roman"/>
              <w:color w:val="231F20"/>
            </w:rPr>
            <w:tab/>
          </w:r>
          <w:hyperlink w:history="true" w:anchor="_bookmark175">
            <w:r>
              <w:rPr>
                <w:color w:val="231F20"/>
                <w:spacing w:val="-5"/>
              </w:rPr>
              <w:t>241</w:t>
            </w:r>
          </w:hyperlink>
        </w:p>
        <w:p>
          <w:pPr>
            <w:pStyle w:val="TOC3"/>
            <w:tabs>
              <w:tab w:pos="4477" w:val="left" w:leader="dot"/>
            </w:tabs>
          </w:pPr>
          <w:hyperlink w:history="true" w:anchor="_bookmark175">
            <w:r>
              <w:rPr>
                <w:color w:val="231F20"/>
              </w:rPr>
              <w:t>Edit</w:t>
            </w:r>
            <w:r>
              <w:rPr>
                <w:color w:val="231F20"/>
                <w:spacing w:val="8"/>
              </w:rPr>
              <w:t> </w:t>
            </w:r>
            <w:r>
              <w:rPr>
                <w:color w:val="231F20"/>
              </w:rPr>
              <w:t>Navigator</w:t>
            </w:r>
            <w:r>
              <w:rPr>
                <w:color w:val="231F20"/>
                <w:spacing w:val="8"/>
              </w:rPr>
              <w:t> </w:t>
            </w:r>
            <w:r>
              <w:rPr>
                <w:color w:val="231F20"/>
                <w:spacing w:val="-4"/>
              </w:rPr>
              <w:t>view</w:t>
            </w:r>
          </w:hyperlink>
          <w:r>
            <w:rPr>
              <w:rFonts w:ascii="Times New Roman"/>
              <w:color w:val="231F20"/>
            </w:rPr>
            <w:tab/>
          </w:r>
          <w:hyperlink w:history="true" w:anchor="_bookmark175">
            <w:r>
              <w:rPr>
                <w:color w:val="231F20"/>
                <w:spacing w:val="-5"/>
              </w:rPr>
              <w:t>241</w:t>
            </w:r>
          </w:hyperlink>
        </w:p>
        <w:p>
          <w:pPr>
            <w:pStyle w:val="TOC3"/>
            <w:tabs>
              <w:tab w:pos="4477" w:val="left" w:leader="dot"/>
            </w:tabs>
          </w:pPr>
          <w:hyperlink w:history="true" w:anchor="_bookmark177">
            <w:r>
              <w:rPr>
                <w:color w:val="231F20"/>
              </w:rPr>
              <w:t>Navigator</w:t>
            </w:r>
            <w:r>
              <w:rPr>
                <w:color w:val="231F20"/>
                <w:spacing w:val="8"/>
              </w:rPr>
              <w:t> </w:t>
            </w:r>
            <w:r>
              <w:rPr>
                <w:color w:val="231F20"/>
              </w:rPr>
              <w:t>item</w:t>
            </w:r>
            <w:r>
              <w:rPr>
                <w:color w:val="231F20"/>
                <w:spacing w:val="8"/>
              </w:rPr>
              <w:t> </w:t>
            </w:r>
            <w:r>
              <w:rPr>
                <w:color w:val="231F20"/>
                <w:spacing w:val="-2"/>
              </w:rPr>
              <w:t>properties</w:t>
            </w:r>
          </w:hyperlink>
          <w:r>
            <w:rPr>
              <w:rFonts w:ascii="Times New Roman"/>
              <w:color w:val="231F20"/>
            </w:rPr>
            <w:tab/>
          </w:r>
          <w:hyperlink w:history="true" w:anchor="_bookmark177">
            <w:r>
              <w:rPr>
                <w:color w:val="231F20"/>
                <w:spacing w:val="-5"/>
              </w:rPr>
              <w:t>242</w:t>
            </w:r>
          </w:hyperlink>
        </w:p>
        <w:p>
          <w:pPr>
            <w:pStyle w:val="TOC3"/>
            <w:tabs>
              <w:tab w:pos="4477" w:val="left" w:leader="dot"/>
            </w:tabs>
          </w:pPr>
          <w:hyperlink w:history="true" w:anchor="_bookmark178">
            <w:r>
              <w:rPr>
                <w:color w:val="231F20"/>
              </w:rPr>
              <w:t>Assigned</w:t>
            </w:r>
            <w:r>
              <w:rPr>
                <w:color w:val="231F20"/>
                <w:spacing w:val="6"/>
              </w:rPr>
              <w:t> </w:t>
            </w:r>
            <w:r>
              <w:rPr>
                <w:color w:val="231F20"/>
              </w:rPr>
              <w:t>member</w:t>
            </w:r>
            <w:r>
              <w:rPr>
                <w:color w:val="231F20"/>
                <w:spacing w:val="7"/>
              </w:rPr>
              <w:t> </w:t>
            </w:r>
            <w:r>
              <w:rPr>
                <w:color w:val="231F20"/>
                <w:spacing w:val="-2"/>
              </w:rPr>
              <w:t>options</w:t>
            </w:r>
          </w:hyperlink>
          <w:r>
            <w:rPr>
              <w:rFonts w:ascii="Times New Roman"/>
              <w:color w:val="231F20"/>
            </w:rPr>
            <w:tab/>
          </w:r>
          <w:hyperlink w:history="true" w:anchor="_bookmark178">
            <w:r>
              <w:rPr>
                <w:color w:val="231F20"/>
                <w:spacing w:val="-5"/>
              </w:rPr>
              <w:t>245</w:t>
            </w:r>
          </w:hyperlink>
        </w:p>
        <w:p>
          <w:pPr>
            <w:pStyle w:val="TOC3"/>
            <w:tabs>
              <w:tab w:pos="4477" w:val="left" w:leader="dot"/>
            </w:tabs>
            <w:spacing w:line="231" w:lineRule="exact"/>
          </w:pPr>
          <w:hyperlink w:history="true" w:anchor="_bookmark179">
            <w:r>
              <w:rPr>
                <w:color w:val="231F20"/>
              </w:rPr>
              <w:t>Navigator</w:t>
            </w:r>
            <w:r>
              <w:rPr>
                <w:color w:val="231F20"/>
                <w:spacing w:val="5"/>
              </w:rPr>
              <w:t> </w:t>
            </w:r>
            <w:r>
              <w:rPr>
                <w:color w:val="231F20"/>
                <w:spacing w:val="-4"/>
              </w:rPr>
              <w:t>List</w:t>
            </w:r>
          </w:hyperlink>
          <w:r>
            <w:rPr>
              <w:rFonts w:ascii="Times New Roman"/>
              <w:color w:val="231F20"/>
            </w:rPr>
            <w:tab/>
          </w:r>
          <w:hyperlink w:history="true" w:anchor="_bookmark179">
            <w:r>
              <w:rPr>
                <w:color w:val="231F20"/>
                <w:spacing w:val="-5"/>
              </w:rPr>
              <w:t>247</w:t>
            </w:r>
          </w:hyperlink>
        </w:p>
        <w:p>
          <w:pPr>
            <w:pStyle w:val="TOC1"/>
          </w:pPr>
          <w:hyperlink w:history="true" w:anchor="_bookmark181">
            <w:r>
              <w:rPr>
                <w:color w:val="231F20"/>
              </w:rPr>
              <w:t>Chapter</w:t>
            </w:r>
            <w:r>
              <w:rPr>
                <w:color w:val="231F20"/>
                <w:spacing w:val="-7"/>
              </w:rPr>
              <w:t> </w:t>
            </w:r>
            <w:r>
              <w:rPr>
                <w:color w:val="231F20"/>
              </w:rPr>
              <w:t>10.</w:t>
            </w:r>
            <w:r>
              <w:rPr>
                <w:color w:val="231F20"/>
                <w:spacing w:val="5"/>
              </w:rPr>
              <w:t> </w:t>
            </w:r>
            <w:r>
              <w:rPr>
                <w:color w:val="231F20"/>
              </w:rPr>
              <w:t>Situations</w:t>
            </w:r>
            <w:r>
              <w:rPr>
                <w:color w:val="231F20"/>
                <w:spacing w:val="4"/>
              </w:rPr>
              <w:t> </w:t>
            </w:r>
            <w:r>
              <w:rPr>
                <w:color w:val="231F20"/>
              </w:rPr>
              <w:t>for</w:t>
            </w:r>
            <w:r>
              <w:rPr>
                <w:color w:val="231F20"/>
                <w:spacing w:val="5"/>
              </w:rPr>
              <w:t> </w:t>
            </w:r>
            <w:r>
              <w:rPr>
                <w:color w:val="231F20"/>
                <w:spacing w:val="-2"/>
              </w:rPr>
              <w:t>event</w:t>
            </w:r>
          </w:hyperlink>
        </w:p>
        <w:p>
          <w:pPr>
            <w:pStyle w:val="TOC1"/>
            <w:tabs>
              <w:tab w:pos="4381" w:val="left" w:leader="dot"/>
            </w:tabs>
            <w:spacing w:line="252" w:lineRule="exact" w:before="7"/>
          </w:pPr>
          <w:hyperlink w:history="true" w:anchor="_bookmark181">
            <w:r>
              <w:rPr>
                <w:color w:val="231F20"/>
                <w:spacing w:val="-2"/>
              </w:rPr>
              <w:t>monitoring</w:t>
            </w:r>
          </w:hyperlink>
          <w:r>
            <w:rPr>
              <w:rFonts w:ascii="Times New Roman"/>
              <w:b w:val="0"/>
              <w:color w:val="231F20"/>
            </w:rPr>
            <w:tab/>
          </w:r>
          <w:hyperlink w:history="true" w:anchor="_bookmark181">
            <w:r>
              <w:rPr>
                <w:color w:val="231F20"/>
                <w:spacing w:val="-5"/>
              </w:rPr>
              <w:t>249</w:t>
            </w:r>
          </w:hyperlink>
        </w:p>
        <w:p>
          <w:pPr>
            <w:pStyle w:val="TOC2"/>
            <w:tabs>
              <w:tab w:pos="4477" w:val="left" w:leader="dot"/>
            </w:tabs>
            <w:spacing w:line="231" w:lineRule="exact"/>
          </w:pPr>
          <w:hyperlink w:history="true" w:anchor="_bookmark181">
            <w:r>
              <w:rPr>
                <w:color w:val="231F20"/>
                <w:spacing w:val="-2"/>
              </w:rPr>
              <w:t>Overview</w:t>
            </w:r>
          </w:hyperlink>
          <w:r>
            <w:rPr>
              <w:rFonts w:ascii="Times New Roman"/>
              <w:color w:val="231F20"/>
            </w:rPr>
            <w:tab/>
          </w:r>
          <w:hyperlink w:history="true" w:anchor="_bookmark181">
            <w:r>
              <w:rPr>
                <w:color w:val="231F20"/>
                <w:spacing w:val="-5"/>
              </w:rPr>
              <w:t>249</w:t>
            </w:r>
          </w:hyperlink>
        </w:p>
        <w:p>
          <w:pPr>
            <w:pStyle w:val="TOC2"/>
            <w:tabs>
              <w:tab w:pos="4477" w:val="left" w:leader="dot"/>
            </w:tabs>
          </w:pPr>
          <w:hyperlink w:history="true" w:anchor="_bookmark183">
            <w:r>
              <w:rPr>
                <w:color w:val="231F20"/>
              </w:rPr>
              <w:t>Opening</w:t>
            </w:r>
            <w:r>
              <w:rPr>
                <w:color w:val="231F20"/>
                <w:spacing w:val="8"/>
              </w:rPr>
              <w:t> </w:t>
            </w:r>
            <w:r>
              <w:rPr>
                <w:color w:val="231F20"/>
              </w:rPr>
              <w:t>the</w:t>
            </w:r>
            <w:r>
              <w:rPr>
                <w:color w:val="231F20"/>
                <w:spacing w:val="8"/>
              </w:rPr>
              <w:t> </w:t>
            </w:r>
            <w:r>
              <w:rPr>
                <w:color w:val="231F20"/>
              </w:rPr>
              <w:t>Situation</w:t>
            </w:r>
            <w:r>
              <w:rPr>
                <w:color w:val="231F20"/>
                <w:spacing w:val="9"/>
              </w:rPr>
              <w:t> </w:t>
            </w:r>
            <w:r>
              <w:rPr>
                <w:color w:val="231F20"/>
                <w:spacing w:val="-2"/>
              </w:rPr>
              <w:t>editor</w:t>
            </w:r>
          </w:hyperlink>
          <w:r>
            <w:rPr>
              <w:rFonts w:ascii="Times New Roman"/>
              <w:color w:val="231F20"/>
            </w:rPr>
            <w:tab/>
          </w:r>
          <w:hyperlink w:history="true" w:anchor="_bookmark183">
            <w:r>
              <w:rPr>
                <w:color w:val="231F20"/>
                <w:spacing w:val="-5"/>
              </w:rPr>
              <w:t>251</w:t>
            </w:r>
          </w:hyperlink>
        </w:p>
        <w:p>
          <w:pPr>
            <w:pStyle w:val="TOC2"/>
            <w:tabs>
              <w:tab w:pos="4477" w:val="left" w:leader="dot"/>
            </w:tabs>
          </w:pPr>
          <w:hyperlink w:history="true" w:anchor="_bookmark184">
            <w:r>
              <w:rPr>
                <w:color w:val="231F20"/>
              </w:rPr>
              <w:t>Filtering</w:t>
            </w:r>
            <w:r>
              <w:rPr>
                <w:color w:val="231F20"/>
                <w:spacing w:val="8"/>
              </w:rPr>
              <w:t> </w:t>
            </w:r>
            <w:r>
              <w:rPr>
                <w:color w:val="231F20"/>
              </w:rPr>
              <w:t>the</w:t>
            </w:r>
            <w:r>
              <w:rPr>
                <w:color w:val="231F20"/>
                <w:spacing w:val="8"/>
              </w:rPr>
              <w:t> </w:t>
            </w:r>
            <w:r>
              <w:rPr>
                <w:color w:val="231F20"/>
              </w:rPr>
              <w:t>situations</w:t>
            </w:r>
            <w:r>
              <w:rPr>
                <w:color w:val="231F20"/>
                <w:spacing w:val="8"/>
              </w:rPr>
              <w:t> </w:t>
            </w:r>
            <w:r>
              <w:rPr>
                <w:color w:val="231F20"/>
                <w:spacing w:val="-4"/>
              </w:rPr>
              <w:t>tree</w:t>
            </w:r>
          </w:hyperlink>
          <w:r>
            <w:rPr>
              <w:rFonts w:ascii="Times New Roman"/>
              <w:color w:val="231F20"/>
            </w:rPr>
            <w:tab/>
          </w:r>
          <w:hyperlink w:history="true" w:anchor="_bookmark184">
            <w:r>
              <w:rPr>
                <w:color w:val="231F20"/>
                <w:spacing w:val="-5"/>
              </w:rPr>
              <w:t>252</w:t>
            </w:r>
          </w:hyperlink>
        </w:p>
        <w:p>
          <w:pPr>
            <w:pStyle w:val="TOC2"/>
            <w:tabs>
              <w:tab w:pos="4477" w:val="left" w:leader="dot"/>
            </w:tabs>
          </w:pPr>
          <w:hyperlink w:history="true" w:anchor="_bookmark185">
            <w:r>
              <w:rPr>
                <w:color w:val="231F20"/>
              </w:rPr>
              <w:t>Situation</w:t>
            </w:r>
            <w:r>
              <w:rPr>
                <w:color w:val="231F20"/>
                <w:spacing w:val="6"/>
              </w:rPr>
              <w:t> </w:t>
            </w:r>
            <w:r>
              <w:rPr>
                <w:color w:val="231F20"/>
                <w:spacing w:val="-2"/>
              </w:rPr>
              <w:t>editor</w:t>
            </w:r>
          </w:hyperlink>
          <w:r>
            <w:rPr>
              <w:rFonts w:ascii="Times New Roman"/>
              <w:color w:val="231F20"/>
            </w:rPr>
            <w:tab/>
          </w:r>
          <w:hyperlink w:history="true" w:anchor="_bookmark185">
            <w:r>
              <w:rPr>
                <w:color w:val="231F20"/>
                <w:spacing w:val="-5"/>
              </w:rPr>
              <w:t>253</w:t>
            </w:r>
          </w:hyperlink>
        </w:p>
        <w:p>
          <w:pPr>
            <w:pStyle w:val="TOC2"/>
            <w:tabs>
              <w:tab w:pos="4477" w:val="left" w:leader="dot"/>
            </w:tabs>
          </w:pPr>
          <w:hyperlink w:history="true" w:anchor="_bookmark193">
            <w:r>
              <w:rPr>
                <w:color w:val="231F20"/>
              </w:rPr>
              <w:t>Predefined</w:t>
            </w:r>
            <w:r>
              <w:rPr>
                <w:color w:val="231F20"/>
                <w:spacing w:val="1"/>
              </w:rPr>
              <w:t> </w:t>
            </w:r>
            <w:r>
              <w:rPr>
                <w:color w:val="231F20"/>
                <w:spacing w:val="-2"/>
              </w:rPr>
              <w:t>situations</w:t>
            </w:r>
          </w:hyperlink>
          <w:r>
            <w:rPr>
              <w:rFonts w:ascii="Times New Roman"/>
              <w:color w:val="231F20"/>
            </w:rPr>
            <w:tab/>
          </w:r>
          <w:hyperlink w:history="true" w:anchor="_bookmark193">
            <w:r>
              <w:rPr>
                <w:color w:val="231F20"/>
                <w:spacing w:val="-5"/>
              </w:rPr>
              <w:t>263</w:t>
            </w:r>
          </w:hyperlink>
        </w:p>
        <w:p>
          <w:pPr>
            <w:pStyle w:val="TOC3"/>
            <w:tabs>
              <w:tab w:pos="4477" w:val="left" w:leader="dot"/>
            </w:tabs>
          </w:pPr>
          <w:hyperlink w:history="true" w:anchor="_bookmark193">
            <w:r>
              <w:rPr>
                <w:color w:val="231F20"/>
              </w:rPr>
              <w:t>All</w:t>
            </w:r>
            <w:r>
              <w:rPr>
                <w:color w:val="231F20"/>
                <w:spacing w:val="8"/>
              </w:rPr>
              <w:t> </w:t>
            </w:r>
            <w:r>
              <w:rPr>
                <w:color w:val="231F20"/>
              </w:rPr>
              <w:t>Managed</w:t>
            </w:r>
            <w:r>
              <w:rPr>
                <w:color w:val="231F20"/>
                <w:spacing w:val="9"/>
              </w:rPr>
              <w:t> </w:t>
            </w:r>
            <w:r>
              <w:rPr>
                <w:color w:val="231F20"/>
              </w:rPr>
              <w:t>Systems</w:t>
            </w:r>
            <w:r>
              <w:rPr>
                <w:color w:val="231F20"/>
                <w:spacing w:val="8"/>
              </w:rPr>
              <w:t> </w:t>
            </w:r>
            <w:r>
              <w:rPr>
                <w:color w:val="231F20"/>
                <w:spacing w:val="-2"/>
              </w:rPr>
              <w:t>situations</w:t>
            </w:r>
          </w:hyperlink>
          <w:r>
            <w:rPr>
              <w:rFonts w:ascii="Times New Roman"/>
              <w:color w:val="231F20"/>
            </w:rPr>
            <w:tab/>
          </w:r>
          <w:hyperlink w:history="true" w:anchor="_bookmark193">
            <w:r>
              <w:rPr>
                <w:color w:val="231F20"/>
                <w:spacing w:val="-5"/>
              </w:rPr>
              <w:t>263</w:t>
            </w:r>
          </w:hyperlink>
        </w:p>
        <w:p>
          <w:pPr>
            <w:pStyle w:val="TOC3"/>
            <w:tabs>
              <w:tab w:pos="4477" w:val="left" w:leader="none"/>
            </w:tabs>
          </w:pPr>
          <w:hyperlink w:history="true" w:anchor="_bookmark194">
            <w:r>
              <w:rPr>
                <w:color w:val="231F20"/>
              </w:rPr>
              <w:t>Tivoli</w:t>
            </w:r>
            <w:r>
              <w:rPr>
                <w:color w:val="231F20"/>
                <w:spacing w:val="4"/>
              </w:rPr>
              <w:t> </w:t>
            </w:r>
            <w:r>
              <w:rPr>
                <w:color w:val="231F20"/>
              </w:rPr>
              <w:t>Enterprise</w:t>
            </w:r>
            <w:r>
              <w:rPr>
                <w:color w:val="231F20"/>
                <w:spacing w:val="5"/>
              </w:rPr>
              <w:t> </w:t>
            </w:r>
            <w:r>
              <w:rPr>
                <w:color w:val="231F20"/>
              </w:rPr>
              <w:t>Monitoring</w:t>
            </w:r>
            <w:r>
              <w:rPr>
                <w:color w:val="231F20"/>
                <w:spacing w:val="5"/>
              </w:rPr>
              <w:t> </w:t>
            </w:r>
            <w:r>
              <w:rPr>
                <w:color w:val="231F20"/>
              </w:rPr>
              <w:t>Server</w:t>
            </w:r>
            <w:r>
              <w:rPr>
                <w:color w:val="231F20"/>
                <w:spacing w:val="4"/>
              </w:rPr>
              <w:t> </w:t>
            </w:r>
            <w:r>
              <w:rPr>
                <w:color w:val="231F20"/>
                <w:spacing w:val="-2"/>
              </w:rPr>
              <w:t>situations</w:t>
            </w:r>
          </w:hyperlink>
          <w:r>
            <w:rPr>
              <w:rFonts w:ascii="Times New Roman"/>
              <w:color w:val="231F20"/>
            </w:rPr>
            <w:tab/>
          </w:r>
          <w:hyperlink w:history="true" w:anchor="_bookmark194">
            <w:r>
              <w:rPr>
                <w:color w:val="231F20"/>
                <w:spacing w:val="-5"/>
              </w:rPr>
              <w:t>264</w:t>
            </w:r>
          </w:hyperlink>
        </w:p>
        <w:p>
          <w:pPr>
            <w:pStyle w:val="TOC2"/>
            <w:tabs>
              <w:tab w:pos="4477" w:val="left" w:leader="dot"/>
            </w:tabs>
          </w:pPr>
          <w:hyperlink w:history="true" w:anchor="_bookmark195">
            <w:r>
              <w:rPr>
                <w:color w:val="231F20"/>
              </w:rPr>
              <w:t>Creating</w:t>
            </w:r>
            <w:r>
              <w:rPr>
                <w:color w:val="231F20"/>
                <w:spacing w:val="8"/>
              </w:rPr>
              <w:t> </w:t>
            </w:r>
            <w:r>
              <w:rPr>
                <w:color w:val="231F20"/>
              </w:rPr>
              <w:t>a</w:t>
            </w:r>
            <w:r>
              <w:rPr>
                <w:color w:val="231F20"/>
                <w:spacing w:val="8"/>
              </w:rPr>
              <w:t> </w:t>
            </w:r>
            <w:r>
              <w:rPr>
                <w:color w:val="231F20"/>
                <w:spacing w:val="-2"/>
              </w:rPr>
              <w:t>situation</w:t>
            </w:r>
          </w:hyperlink>
          <w:r>
            <w:rPr>
              <w:rFonts w:ascii="Times New Roman"/>
              <w:color w:val="231F20"/>
            </w:rPr>
            <w:tab/>
          </w:r>
          <w:hyperlink w:history="true" w:anchor="_bookmark195">
            <w:r>
              <w:rPr>
                <w:color w:val="231F20"/>
                <w:spacing w:val="-5"/>
              </w:rPr>
              <w:t>265</w:t>
            </w:r>
          </w:hyperlink>
        </w:p>
        <w:p>
          <w:pPr>
            <w:pStyle w:val="TOC3"/>
            <w:tabs>
              <w:tab w:pos="4477" w:val="left" w:leader="dot"/>
            </w:tabs>
          </w:pPr>
          <w:hyperlink w:history="true" w:anchor="_bookmark196">
            <w:r>
              <w:rPr>
                <w:color w:val="231F20"/>
              </w:rPr>
              <w:t>Defining</w:t>
            </w:r>
            <w:r>
              <w:rPr>
                <w:color w:val="231F20"/>
                <w:spacing w:val="9"/>
              </w:rPr>
              <w:t> </w:t>
            </w:r>
            <w:r>
              <w:rPr>
                <w:color w:val="231F20"/>
              </w:rPr>
              <w:t>the</w:t>
            </w:r>
            <w:r>
              <w:rPr>
                <w:color w:val="231F20"/>
                <w:spacing w:val="9"/>
              </w:rPr>
              <w:t> </w:t>
            </w:r>
            <w:r>
              <w:rPr>
                <w:color w:val="231F20"/>
                <w:spacing w:val="-2"/>
              </w:rPr>
              <w:t>condition</w:t>
            </w:r>
          </w:hyperlink>
          <w:r>
            <w:rPr>
              <w:rFonts w:ascii="Times New Roman"/>
              <w:color w:val="231F20"/>
            </w:rPr>
            <w:tab/>
          </w:r>
          <w:hyperlink w:history="true" w:anchor="_bookmark196">
            <w:r>
              <w:rPr>
                <w:color w:val="231F20"/>
                <w:spacing w:val="-5"/>
              </w:rPr>
              <w:t>266</w:t>
            </w:r>
          </w:hyperlink>
        </w:p>
        <w:p>
          <w:pPr>
            <w:pStyle w:val="TOC3"/>
            <w:tabs>
              <w:tab w:pos="4477" w:val="left" w:leader="dot"/>
            </w:tabs>
          </w:pPr>
          <w:hyperlink w:history="true" w:anchor="_bookmark199">
            <w:r>
              <w:rPr>
                <w:color w:val="231F20"/>
              </w:rPr>
              <w:t>Distributing</w:t>
            </w:r>
            <w:r>
              <w:rPr>
                <w:color w:val="231F20"/>
                <w:spacing w:val="7"/>
              </w:rPr>
              <w:t> </w:t>
            </w:r>
            <w:r>
              <w:rPr>
                <w:color w:val="231F20"/>
              </w:rPr>
              <w:t>the</w:t>
            </w:r>
            <w:r>
              <w:rPr>
                <w:color w:val="231F20"/>
                <w:spacing w:val="8"/>
              </w:rPr>
              <w:t> </w:t>
            </w:r>
            <w:r>
              <w:rPr>
                <w:color w:val="231F20"/>
                <w:spacing w:val="-2"/>
              </w:rPr>
              <w:t>situation</w:t>
            </w:r>
          </w:hyperlink>
          <w:r>
            <w:rPr>
              <w:rFonts w:ascii="Times New Roman"/>
              <w:color w:val="231F20"/>
            </w:rPr>
            <w:tab/>
          </w:r>
          <w:hyperlink w:history="true" w:anchor="_bookmark199">
            <w:r>
              <w:rPr>
                <w:color w:val="231F20"/>
                <w:spacing w:val="-5"/>
              </w:rPr>
              <w:t>269</w:t>
            </w:r>
          </w:hyperlink>
        </w:p>
        <w:p>
          <w:pPr>
            <w:pStyle w:val="TOC3"/>
            <w:tabs>
              <w:tab w:pos="4477" w:val="left" w:leader="dot"/>
            </w:tabs>
          </w:pPr>
          <w:hyperlink w:history="true" w:anchor="_bookmark201">
            <w:r>
              <w:rPr>
                <w:color w:val="231F20"/>
              </w:rPr>
              <w:t>Writing</w:t>
            </w:r>
            <w:r>
              <w:rPr>
                <w:color w:val="231F20"/>
                <w:spacing w:val="1"/>
              </w:rPr>
              <w:t> </w:t>
            </w:r>
            <w:r>
              <w:rPr>
                <w:color w:val="231F20"/>
              </w:rPr>
              <w:t>expert</w:t>
            </w:r>
            <w:r>
              <w:rPr>
                <w:color w:val="231F20"/>
                <w:spacing w:val="1"/>
              </w:rPr>
              <w:t> </w:t>
            </w:r>
            <w:r>
              <w:rPr>
                <w:color w:val="231F20"/>
                <w:spacing w:val="-2"/>
              </w:rPr>
              <w:t>advice</w:t>
            </w:r>
          </w:hyperlink>
          <w:r>
            <w:rPr>
              <w:rFonts w:ascii="Times New Roman"/>
              <w:color w:val="231F20"/>
            </w:rPr>
            <w:tab/>
          </w:r>
          <w:hyperlink w:history="true" w:anchor="_bookmark201">
            <w:r>
              <w:rPr>
                <w:color w:val="231F20"/>
                <w:spacing w:val="-5"/>
              </w:rPr>
              <w:t>271</w:t>
            </w:r>
          </w:hyperlink>
        </w:p>
        <w:p>
          <w:pPr>
            <w:pStyle w:val="TOC3"/>
            <w:tabs>
              <w:tab w:pos="4477" w:val="left" w:leader="dot"/>
            </w:tabs>
          </w:pPr>
          <w:hyperlink w:history="true" w:anchor="_bookmark203">
            <w:r>
              <w:rPr>
                <w:color w:val="231F20"/>
              </w:rPr>
              <w:t>Specifying</w:t>
            </w:r>
            <w:r>
              <w:rPr>
                <w:color w:val="231F20"/>
                <w:spacing w:val="8"/>
              </w:rPr>
              <w:t> </w:t>
            </w:r>
            <w:r>
              <w:rPr>
                <w:color w:val="231F20"/>
              </w:rPr>
              <w:t>an</w:t>
            </w:r>
            <w:r>
              <w:rPr>
                <w:color w:val="231F20"/>
                <w:spacing w:val="9"/>
              </w:rPr>
              <w:t> </w:t>
            </w:r>
            <w:r>
              <w:rPr>
                <w:color w:val="231F20"/>
                <w:spacing w:val="-2"/>
              </w:rPr>
              <w:t>action</w:t>
            </w:r>
          </w:hyperlink>
          <w:r>
            <w:rPr>
              <w:rFonts w:ascii="Times New Roman"/>
              <w:color w:val="231F20"/>
            </w:rPr>
            <w:tab/>
          </w:r>
          <w:hyperlink w:history="true" w:anchor="_bookmark203">
            <w:r>
              <w:rPr>
                <w:color w:val="231F20"/>
                <w:spacing w:val="-5"/>
              </w:rPr>
              <w:t>273</w:t>
            </w:r>
          </w:hyperlink>
        </w:p>
        <w:p>
          <w:pPr>
            <w:pStyle w:val="TOC3"/>
            <w:tabs>
              <w:tab w:pos="4477" w:val="left" w:leader="dot"/>
            </w:tabs>
          </w:pPr>
          <w:hyperlink w:history="true" w:anchor="_bookmark204">
            <w:r>
              <w:rPr>
                <w:color w:val="231F20"/>
              </w:rPr>
              <w:t>Adding</w:t>
            </w:r>
            <w:r>
              <w:rPr>
                <w:color w:val="231F20"/>
                <w:spacing w:val="9"/>
              </w:rPr>
              <w:t> </w:t>
            </w:r>
            <w:r>
              <w:rPr>
                <w:color w:val="231F20"/>
              </w:rPr>
              <w:t>an</w:t>
            </w:r>
            <w:r>
              <w:rPr>
                <w:color w:val="231F20"/>
                <w:spacing w:val="10"/>
              </w:rPr>
              <w:t> </w:t>
            </w:r>
            <w:r>
              <w:rPr>
                <w:color w:val="231F20"/>
              </w:rPr>
              <w:t>Until</w:t>
            </w:r>
            <w:r>
              <w:rPr>
                <w:color w:val="231F20"/>
                <w:spacing w:val="10"/>
              </w:rPr>
              <w:t> </w:t>
            </w:r>
            <w:r>
              <w:rPr>
                <w:color w:val="231F20"/>
                <w:spacing w:val="-2"/>
              </w:rPr>
              <w:t>modifier</w:t>
            </w:r>
          </w:hyperlink>
          <w:r>
            <w:rPr>
              <w:rFonts w:ascii="Times New Roman"/>
              <w:color w:val="231F20"/>
            </w:rPr>
            <w:tab/>
          </w:r>
          <w:hyperlink w:history="true" w:anchor="_bookmark204">
            <w:r>
              <w:rPr>
                <w:color w:val="231F20"/>
                <w:spacing w:val="-5"/>
              </w:rPr>
              <w:t>275</w:t>
            </w:r>
          </w:hyperlink>
        </w:p>
        <w:p>
          <w:pPr>
            <w:pStyle w:val="TOC3"/>
            <w:tabs>
              <w:tab w:pos="4477" w:val="left" w:leader="dot"/>
            </w:tabs>
          </w:pPr>
          <w:hyperlink w:history="true" w:anchor="_bookmark205">
            <w:r>
              <w:rPr>
                <w:color w:val="231F20"/>
              </w:rPr>
              <w:t>Forwarding</w:t>
            </w:r>
            <w:r>
              <w:rPr>
                <w:color w:val="231F20"/>
                <w:spacing w:val="9"/>
              </w:rPr>
              <w:t> </w:t>
            </w:r>
            <w:r>
              <w:rPr>
                <w:color w:val="231F20"/>
              </w:rPr>
              <w:t>the</w:t>
            </w:r>
            <w:r>
              <w:rPr>
                <w:color w:val="231F20"/>
                <w:spacing w:val="10"/>
              </w:rPr>
              <w:t> </w:t>
            </w:r>
            <w:r>
              <w:rPr>
                <w:color w:val="231F20"/>
              </w:rPr>
              <w:t>event</w:t>
            </w:r>
            <w:r>
              <w:rPr>
                <w:color w:val="231F20"/>
                <w:spacing w:val="9"/>
              </w:rPr>
              <w:t> </w:t>
            </w:r>
            <w:r>
              <w:rPr>
                <w:color w:val="231F20"/>
              </w:rPr>
              <w:t>to</w:t>
            </w:r>
            <w:r>
              <w:rPr>
                <w:color w:val="231F20"/>
                <w:spacing w:val="10"/>
              </w:rPr>
              <w:t> </w:t>
            </w:r>
            <w:r>
              <w:rPr>
                <w:color w:val="231F20"/>
              </w:rPr>
              <w:t>an</w:t>
            </w:r>
            <w:r>
              <w:rPr>
                <w:color w:val="231F20"/>
                <w:spacing w:val="9"/>
              </w:rPr>
              <w:t> </w:t>
            </w:r>
            <w:r>
              <w:rPr>
                <w:color w:val="231F20"/>
              </w:rPr>
              <w:t>EIF</w:t>
            </w:r>
            <w:r>
              <w:rPr>
                <w:color w:val="231F20"/>
                <w:spacing w:val="10"/>
              </w:rPr>
              <w:t> </w:t>
            </w:r>
            <w:r>
              <w:rPr>
                <w:color w:val="231F20"/>
                <w:spacing w:val="-2"/>
              </w:rPr>
              <w:t>receiver</w:t>
            </w:r>
          </w:hyperlink>
          <w:r>
            <w:rPr>
              <w:rFonts w:ascii="Times New Roman"/>
              <w:color w:val="231F20"/>
            </w:rPr>
            <w:tab/>
          </w:r>
          <w:hyperlink w:history="true" w:anchor="_bookmark205">
            <w:r>
              <w:rPr>
                <w:color w:val="231F20"/>
                <w:spacing w:val="-5"/>
              </w:rPr>
              <w:t>276</w:t>
            </w:r>
          </w:hyperlink>
        </w:p>
        <w:p>
          <w:pPr>
            <w:pStyle w:val="TOC2"/>
            <w:tabs>
              <w:tab w:pos="4477" w:val="left" w:leader="dot"/>
            </w:tabs>
          </w:pPr>
          <w:hyperlink w:history="true" w:anchor="_bookmark208">
            <w:r>
              <w:rPr>
                <w:color w:val="231F20"/>
              </w:rPr>
              <w:t>Starting</w:t>
            </w:r>
            <w:r>
              <w:rPr>
                <w:color w:val="231F20"/>
                <w:spacing w:val="10"/>
              </w:rPr>
              <w:t> </w:t>
            </w:r>
            <w:r>
              <w:rPr>
                <w:color w:val="231F20"/>
              </w:rPr>
              <w:t>or</w:t>
            </w:r>
            <w:r>
              <w:rPr>
                <w:color w:val="231F20"/>
                <w:spacing w:val="10"/>
              </w:rPr>
              <w:t> </w:t>
            </w:r>
            <w:r>
              <w:rPr>
                <w:color w:val="231F20"/>
              </w:rPr>
              <w:t>stopping</w:t>
            </w:r>
            <w:r>
              <w:rPr>
                <w:color w:val="231F20"/>
                <w:spacing w:val="10"/>
              </w:rPr>
              <w:t> </w:t>
            </w:r>
            <w:r>
              <w:rPr>
                <w:color w:val="231F20"/>
              </w:rPr>
              <w:t>a</w:t>
            </w:r>
            <w:r>
              <w:rPr>
                <w:color w:val="231F20"/>
                <w:spacing w:val="10"/>
              </w:rPr>
              <w:t> </w:t>
            </w:r>
            <w:r>
              <w:rPr>
                <w:color w:val="231F20"/>
                <w:spacing w:val="-2"/>
              </w:rPr>
              <w:t>situation</w:t>
            </w:r>
          </w:hyperlink>
          <w:r>
            <w:rPr>
              <w:rFonts w:ascii="Times New Roman"/>
              <w:color w:val="231F20"/>
            </w:rPr>
            <w:tab/>
          </w:r>
          <w:hyperlink w:history="true" w:anchor="_bookmark208">
            <w:r>
              <w:rPr>
                <w:color w:val="231F20"/>
                <w:spacing w:val="-5"/>
              </w:rPr>
              <w:t>281</w:t>
            </w:r>
          </w:hyperlink>
        </w:p>
        <w:p>
          <w:pPr>
            <w:pStyle w:val="TOC2"/>
            <w:tabs>
              <w:tab w:pos="4477" w:val="left" w:leader="dot"/>
            </w:tabs>
          </w:pPr>
          <w:hyperlink w:history="true" w:anchor="_bookmark209">
            <w:r>
              <w:rPr>
                <w:color w:val="231F20"/>
              </w:rPr>
              <w:t>Situation</w:t>
            </w:r>
            <w:r>
              <w:rPr>
                <w:color w:val="231F20"/>
                <w:spacing w:val="7"/>
              </w:rPr>
              <w:t> </w:t>
            </w:r>
            <w:r>
              <w:rPr>
                <w:color w:val="231F20"/>
              </w:rPr>
              <w:t>association</w:t>
            </w:r>
            <w:r>
              <w:rPr>
                <w:color w:val="231F20"/>
                <w:spacing w:val="7"/>
              </w:rPr>
              <w:t> </w:t>
            </w:r>
            <w:r>
              <w:rPr>
                <w:color w:val="231F20"/>
              </w:rPr>
              <w:t>with</w:t>
            </w:r>
            <w:r>
              <w:rPr>
                <w:color w:val="231F20"/>
                <w:spacing w:val="7"/>
              </w:rPr>
              <w:t> </w:t>
            </w:r>
            <w:r>
              <w:rPr>
                <w:color w:val="231F20"/>
              </w:rPr>
              <w:t>Navigator</w:t>
            </w:r>
            <w:r>
              <w:rPr>
                <w:color w:val="231F20"/>
                <w:spacing w:val="7"/>
              </w:rPr>
              <w:t> </w:t>
            </w:r>
            <w:r>
              <w:rPr>
                <w:color w:val="231F20"/>
                <w:spacing w:val="-2"/>
              </w:rPr>
              <w:t>items</w:t>
            </w:r>
          </w:hyperlink>
          <w:r>
            <w:rPr>
              <w:rFonts w:ascii="Times New Roman"/>
              <w:color w:val="231F20"/>
            </w:rPr>
            <w:tab/>
          </w:r>
          <w:hyperlink w:history="true" w:anchor="_bookmark209">
            <w:r>
              <w:rPr>
                <w:color w:val="231F20"/>
                <w:spacing w:val="-5"/>
              </w:rPr>
              <w:t>283</w:t>
            </w:r>
          </w:hyperlink>
        </w:p>
        <w:p>
          <w:pPr>
            <w:pStyle w:val="TOC3"/>
            <w:tabs>
              <w:tab w:pos="4477" w:val="left" w:leader="dot"/>
            </w:tabs>
          </w:pPr>
          <w:hyperlink w:history="true" w:anchor="_bookmark209">
            <w:r>
              <w:rPr>
                <w:color w:val="231F20"/>
              </w:rPr>
              <w:t>Associating</w:t>
            </w:r>
            <w:r>
              <w:rPr>
                <w:color w:val="231F20"/>
                <w:spacing w:val="8"/>
              </w:rPr>
              <w:t> </w:t>
            </w:r>
            <w:r>
              <w:rPr>
                <w:color w:val="231F20"/>
              </w:rPr>
              <w:t>a</w:t>
            </w:r>
            <w:r>
              <w:rPr>
                <w:color w:val="231F20"/>
                <w:spacing w:val="9"/>
              </w:rPr>
              <w:t> </w:t>
            </w:r>
            <w:r>
              <w:rPr>
                <w:color w:val="231F20"/>
                <w:spacing w:val="-2"/>
              </w:rPr>
              <w:t>situation</w:t>
            </w:r>
          </w:hyperlink>
          <w:r>
            <w:rPr>
              <w:rFonts w:ascii="Times New Roman"/>
              <w:color w:val="231F20"/>
            </w:rPr>
            <w:tab/>
          </w:r>
          <w:hyperlink w:history="true" w:anchor="_bookmark209">
            <w:r>
              <w:rPr>
                <w:color w:val="231F20"/>
                <w:spacing w:val="-5"/>
              </w:rPr>
              <w:t>283</w:t>
            </w:r>
          </w:hyperlink>
        </w:p>
        <w:p>
          <w:pPr>
            <w:pStyle w:val="TOC3"/>
            <w:tabs>
              <w:tab w:pos="4477" w:val="left" w:leader="dot"/>
            </w:tabs>
          </w:pPr>
          <w:hyperlink w:history="true" w:anchor="_bookmark210">
            <w:r>
              <w:rPr>
                <w:color w:val="231F20"/>
              </w:rPr>
              <w:t>Dissociating</w:t>
            </w:r>
            <w:r>
              <w:rPr>
                <w:color w:val="231F20"/>
                <w:spacing w:val="8"/>
              </w:rPr>
              <w:t> </w:t>
            </w:r>
            <w:r>
              <w:rPr>
                <w:color w:val="231F20"/>
              </w:rPr>
              <w:t>a</w:t>
            </w:r>
            <w:r>
              <w:rPr>
                <w:color w:val="231F20"/>
                <w:spacing w:val="9"/>
              </w:rPr>
              <w:t> </w:t>
            </w:r>
            <w:r>
              <w:rPr>
                <w:color w:val="231F20"/>
                <w:spacing w:val="-2"/>
              </w:rPr>
              <w:t>situation</w:t>
            </w:r>
          </w:hyperlink>
          <w:r>
            <w:rPr>
              <w:rFonts w:ascii="Times New Roman"/>
              <w:color w:val="231F20"/>
            </w:rPr>
            <w:tab/>
          </w:r>
          <w:hyperlink w:history="true" w:anchor="_bookmark210">
            <w:r>
              <w:rPr>
                <w:color w:val="231F20"/>
                <w:spacing w:val="-5"/>
              </w:rPr>
              <w:t>284</w:t>
            </w:r>
          </w:hyperlink>
        </w:p>
        <w:p>
          <w:pPr>
            <w:pStyle w:val="TOC2"/>
            <w:tabs>
              <w:tab w:pos="4477" w:val="left" w:leader="dot"/>
            </w:tabs>
          </w:pPr>
          <w:hyperlink w:history="true" w:anchor="_bookmark211">
            <w:r>
              <w:rPr>
                <w:color w:val="231F20"/>
              </w:rPr>
              <w:t>Modeling</w:t>
            </w:r>
            <w:r>
              <w:rPr>
                <w:color w:val="231F20"/>
                <w:spacing w:val="7"/>
              </w:rPr>
              <w:t> </w:t>
            </w:r>
            <w:r>
              <w:rPr>
                <w:color w:val="231F20"/>
              </w:rPr>
              <w:t>conditions</w:t>
            </w:r>
            <w:r>
              <w:rPr>
                <w:color w:val="231F20"/>
                <w:spacing w:val="8"/>
              </w:rPr>
              <w:t> </w:t>
            </w:r>
            <w:r>
              <w:rPr>
                <w:color w:val="231F20"/>
              </w:rPr>
              <w:t>for</w:t>
            </w:r>
            <w:r>
              <w:rPr>
                <w:color w:val="231F20"/>
                <w:spacing w:val="8"/>
              </w:rPr>
              <w:t> </w:t>
            </w:r>
            <w:r>
              <w:rPr>
                <w:color w:val="231F20"/>
                <w:spacing w:val="-2"/>
              </w:rPr>
              <w:t>situations</w:t>
            </w:r>
          </w:hyperlink>
          <w:r>
            <w:rPr>
              <w:rFonts w:ascii="Times New Roman"/>
              <w:color w:val="231F20"/>
            </w:rPr>
            <w:tab/>
          </w:r>
          <w:hyperlink w:history="true" w:anchor="_bookmark211">
            <w:r>
              <w:rPr>
                <w:color w:val="231F20"/>
                <w:spacing w:val="-5"/>
              </w:rPr>
              <w:t>285</w:t>
            </w:r>
          </w:hyperlink>
        </w:p>
        <w:p>
          <w:pPr>
            <w:pStyle w:val="TOC3"/>
            <w:tabs>
              <w:tab w:pos="4477" w:val="left" w:leader="dot"/>
            </w:tabs>
          </w:pPr>
          <w:hyperlink w:history="true" w:anchor="_bookmark211">
            <w:r>
              <w:rPr>
                <w:color w:val="231F20"/>
              </w:rPr>
              <w:t>Understanding</w:t>
            </w:r>
            <w:r>
              <w:rPr>
                <w:color w:val="231F20"/>
                <w:spacing w:val="4"/>
              </w:rPr>
              <w:t> </w:t>
            </w:r>
            <w:r>
              <w:rPr>
                <w:color w:val="231F20"/>
              </w:rPr>
              <w:t>situation</w:t>
            </w:r>
            <w:r>
              <w:rPr>
                <w:color w:val="231F20"/>
                <w:spacing w:val="4"/>
              </w:rPr>
              <w:t> </w:t>
            </w:r>
            <w:r>
              <w:rPr>
                <w:color w:val="231F20"/>
                <w:spacing w:val="-2"/>
              </w:rPr>
              <w:t>modeling</w:t>
            </w:r>
          </w:hyperlink>
          <w:r>
            <w:rPr>
              <w:rFonts w:ascii="Times New Roman"/>
              <w:color w:val="231F20"/>
            </w:rPr>
            <w:tab/>
          </w:r>
          <w:hyperlink w:history="true" w:anchor="_bookmark211">
            <w:r>
              <w:rPr>
                <w:color w:val="231F20"/>
                <w:spacing w:val="-5"/>
              </w:rPr>
              <w:t>285</w:t>
            </w:r>
          </w:hyperlink>
        </w:p>
        <w:p>
          <w:pPr>
            <w:pStyle w:val="TOC3"/>
            <w:tabs>
              <w:tab w:pos="4477" w:val="left" w:leader="dot"/>
            </w:tabs>
          </w:pPr>
          <w:hyperlink w:history="true" w:anchor="_bookmark212">
            <w:r>
              <w:rPr>
                <w:color w:val="231F20"/>
              </w:rPr>
              <w:t>Modeling</w:t>
            </w:r>
            <w:r>
              <w:rPr>
                <w:color w:val="231F20"/>
                <w:spacing w:val="9"/>
              </w:rPr>
              <w:t> </w:t>
            </w:r>
            <w:r>
              <w:rPr>
                <w:color w:val="231F20"/>
              </w:rPr>
              <w:t>a</w:t>
            </w:r>
            <w:r>
              <w:rPr>
                <w:color w:val="231F20"/>
                <w:spacing w:val="9"/>
              </w:rPr>
              <w:t> </w:t>
            </w:r>
            <w:r>
              <w:rPr>
                <w:color w:val="231F20"/>
              </w:rPr>
              <w:t>situation</w:t>
            </w:r>
            <w:r>
              <w:rPr>
                <w:color w:val="231F20"/>
                <w:spacing w:val="10"/>
              </w:rPr>
              <w:t> </w:t>
            </w:r>
            <w:r>
              <w:rPr>
                <w:color w:val="231F20"/>
              </w:rPr>
              <w:t>with</w:t>
            </w:r>
            <w:r>
              <w:rPr>
                <w:color w:val="231F20"/>
                <w:spacing w:val="9"/>
              </w:rPr>
              <w:t> </w:t>
            </w:r>
            <w:r>
              <w:rPr>
                <w:color w:val="231F20"/>
              </w:rPr>
              <w:t>view</w:t>
            </w:r>
            <w:r>
              <w:rPr>
                <w:color w:val="231F20"/>
                <w:spacing w:val="9"/>
              </w:rPr>
              <w:t> </w:t>
            </w:r>
            <w:r>
              <w:rPr>
                <w:color w:val="231F20"/>
                <w:spacing w:val="-4"/>
              </w:rPr>
              <w:t>data</w:t>
            </w:r>
          </w:hyperlink>
          <w:r>
            <w:rPr>
              <w:rFonts w:ascii="Times New Roman"/>
              <w:color w:val="231F20"/>
            </w:rPr>
            <w:tab/>
          </w:r>
          <w:hyperlink w:history="true" w:anchor="_bookmark212">
            <w:r>
              <w:rPr>
                <w:color w:val="231F20"/>
                <w:spacing w:val="-5"/>
              </w:rPr>
              <w:t>286</w:t>
            </w:r>
          </w:hyperlink>
        </w:p>
        <w:p>
          <w:pPr>
            <w:pStyle w:val="TOC3"/>
            <w:tabs>
              <w:tab w:pos="4477" w:val="left" w:leader="dot"/>
            </w:tabs>
          </w:pPr>
          <w:hyperlink w:history="true" w:anchor="_bookmark213">
            <w:r>
              <w:rPr>
                <w:color w:val="231F20"/>
              </w:rPr>
              <w:t>Modeling</w:t>
            </w:r>
            <w:r>
              <w:rPr>
                <w:color w:val="231F20"/>
                <w:spacing w:val="9"/>
              </w:rPr>
              <w:t> </w:t>
            </w:r>
            <w:r>
              <w:rPr>
                <w:color w:val="231F20"/>
              </w:rPr>
              <w:t>with</w:t>
            </w:r>
            <w:r>
              <w:rPr>
                <w:color w:val="231F20"/>
                <w:spacing w:val="9"/>
              </w:rPr>
              <w:t> </w:t>
            </w:r>
            <w:r>
              <w:rPr>
                <w:color w:val="231F20"/>
              </w:rPr>
              <w:t>an</w:t>
            </w:r>
            <w:r>
              <w:rPr>
                <w:color w:val="231F20"/>
                <w:spacing w:val="9"/>
              </w:rPr>
              <w:t> </w:t>
            </w:r>
            <w:r>
              <w:rPr>
                <w:color w:val="231F20"/>
              </w:rPr>
              <w:t>existing</w:t>
            </w:r>
            <w:r>
              <w:rPr>
                <w:color w:val="231F20"/>
                <w:spacing w:val="9"/>
              </w:rPr>
              <w:t> </w:t>
            </w:r>
            <w:r>
              <w:rPr>
                <w:color w:val="231F20"/>
                <w:spacing w:val="-2"/>
              </w:rPr>
              <w:t>situation</w:t>
            </w:r>
          </w:hyperlink>
          <w:r>
            <w:rPr>
              <w:rFonts w:ascii="Times New Roman"/>
              <w:color w:val="231F20"/>
            </w:rPr>
            <w:tab/>
          </w:r>
          <w:hyperlink w:history="true" w:anchor="_bookmark213">
            <w:r>
              <w:rPr>
                <w:color w:val="231F20"/>
                <w:spacing w:val="-5"/>
              </w:rPr>
              <w:t>287</w:t>
            </w:r>
          </w:hyperlink>
        </w:p>
        <w:p>
          <w:pPr>
            <w:pStyle w:val="TOC3"/>
            <w:tabs>
              <w:tab w:pos="4477" w:val="left" w:leader="dot"/>
            </w:tabs>
          </w:pPr>
          <w:hyperlink w:history="true" w:anchor="_bookmark214">
            <w:r>
              <w:rPr>
                <w:color w:val="231F20"/>
              </w:rPr>
              <w:t>Model</w:t>
            </w:r>
            <w:r>
              <w:rPr>
                <w:color w:val="231F20"/>
                <w:spacing w:val="8"/>
              </w:rPr>
              <w:t> </w:t>
            </w:r>
            <w:r>
              <w:rPr>
                <w:color w:val="231F20"/>
                <w:spacing w:val="-2"/>
              </w:rPr>
              <w:t>Situation</w:t>
            </w:r>
          </w:hyperlink>
          <w:r>
            <w:rPr>
              <w:rFonts w:ascii="Times New Roman"/>
              <w:color w:val="231F20"/>
            </w:rPr>
            <w:tab/>
          </w:r>
          <w:hyperlink w:history="true" w:anchor="_bookmark214">
            <w:r>
              <w:rPr>
                <w:color w:val="231F20"/>
                <w:spacing w:val="-5"/>
              </w:rPr>
              <w:t>288</w:t>
            </w:r>
          </w:hyperlink>
        </w:p>
        <w:p>
          <w:pPr>
            <w:pStyle w:val="TOC2"/>
            <w:tabs>
              <w:tab w:pos="4477" w:val="left" w:leader="dot"/>
            </w:tabs>
          </w:pPr>
          <w:hyperlink w:history="true" w:anchor="_bookmark215">
            <w:r>
              <w:rPr>
                <w:color w:val="231F20"/>
              </w:rPr>
              <w:t>Editing</w:t>
            </w:r>
            <w:r>
              <w:rPr>
                <w:color w:val="231F20"/>
                <w:spacing w:val="10"/>
              </w:rPr>
              <w:t> </w:t>
            </w:r>
            <w:r>
              <w:rPr>
                <w:color w:val="231F20"/>
              </w:rPr>
              <w:t>a</w:t>
            </w:r>
            <w:r>
              <w:rPr>
                <w:color w:val="231F20"/>
                <w:spacing w:val="11"/>
              </w:rPr>
              <w:t> </w:t>
            </w:r>
            <w:r>
              <w:rPr>
                <w:color w:val="231F20"/>
                <w:spacing w:val="-2"/>
              </w:rPr>
              <w:t>situation</w:t>
            </w:r>
          </w:hyperlink>
          <w:r>
            <w:rPr>
              <w:rFonts w:ascii="Times New Roman"/>
              <w:color w:val="231F20"/>
            </w:rPr>
            <w:tab/>
          </w:r>
          <w:hyperlink w:history="true" w:anchor="_bookmark215">
            <w:r>
              <w:rPr>
                <w:color w:val="231F20"/>
                <w:spacing w:val="-5"/>
              </w:rPr>
              <w:t>292</w:t>
            </w:r>
          </w:hyperlink>
        </w:p>
        <w:p>
          <w:pPr>
            <w:pStyle w:val="TOC2"/>
            <w:tabs>
              <w:tab w:pos="4477" w:val="left" w:leader="dot"/>
            </w:tabs>
          </w:pPr>
          <w:hyperlink w:history="true" w:anchor="_bookmark216">
            <w:r>
              <w:rPr>
                <w:color w:val="231F20"/>
              </w:rPr>
              <w:t>Deleting</w:t>
            </w:r>
            <w:r>
              <w:rPr>
                <w:color w:val="231F20"/>
                <w:spacing w:val="10"/>
              </w:rPr>
              <w:t> </w:t>
            </w:r>
            <w:r>
              <w:rPr>
                <w:color w:val="231F20"/>
              </w:rPr>
              <w:t>a</w:t>
            </w:r>
            <w:r>
              <w:rPr>
                <w:color w:val="231F20"/>
                <w:spacing w:val="10"/>
              </w:rPr>
              <w:t> </w:t>
            </w:r>
            <w:r>
              <w:rPr>
                <w:color w:val="231F20"/>
                <w:spacing w:val="-2"/>
              </w:rPr>
              <w:t>situation</w:t>
            </w:r>
          </w:hyperlink>
          <w:r>
            <w:rPr>
              <w:rFonts w:ascii="Times New Roman"/>
              <w:color w:val="231F20"/>
            </w:rPr>
            <w:tab/>
          </w:r>
          <w:hyperlink w:history="true" w:anchor="_bookmark216">
            <w:r>
              <w:rPr>
                <w:color w:val="231F20"/>
                <w:spacing w:val="-5"/>
              </w:rPr>
              <w:t>293</w:t>
            </w:r>
          </w:hyperlink>
        </w:p>
        <w:p>
          <w:pPr>
            <w:pStyle w:val="TOC2"/>
            <w:tabs>
              <w:tab w:pos="4477" w:val="left" w:leader="dot"/>
            </w:tabs>
          </w:pPr>
          <w:hyperlink w:history="true" w:anchor="_bookmark217">
            <w:r>
              <w:rPr>
                <w:color w:val="231F20"/>
              </w:rPr>
              <w:t>Situation</w:t>
            </w:r>
            <w:r>
              <w:rPr>
                <w:color w:val="231F20"/>
                <w:spacing w:val="8"/>
              </w:rPr>
              <w:t> </w:t>
            </w:r>
            <w:r>
              <w:rPr>
                <w:color w:val="231F20"/>
              </w:rPr>
              <w:t>overrides</w:t>
            </w:r>
            <w:r>
              <w:rPr>
                <w:color w:val="231F20"/>
                <w:spacing w:val="8"/>
              </w:rPr>
              <w:t> </w:t>
            </w:r>
            <w:r>
              <w:rPr>
                <w:color w:val="231F20"/>
              </w:rPr>
              <w:t>for</w:t>
            </w:r>
            <w:r>
              <w:rPr>
                <w:color w:val="231F20"/>
                <w:spacing w:val="8"/>
              </w:rPr>
              <w:t> </w:t>
            </w:r>
            <w:r>
              <w:rPr>
                <w:color w:val="231F20"/>
              </w:rPr>
              <w:t>dynamic</w:t>
            </w:r>
            <w:r>
              <w:rPr>
                <w:color w:val="231F20"/>
                <w:spacing w:val="8"/>
              </w:rPr>
              <w:t> </w:t>
            </w:r>
            <w:r>
              <w:rPr>
                <w:color w:val="231F20"/>
                <w:spacing w:val="-2"/>
              </w:rPr>
              <w:t>thresholding</w:t>
            </w:r>
          </w:hyperlink>
          <w:r>
            <w:rPr>
              <w:rFonts w:ascii="Times New Roman"/>
              <w:color w:val="231F20"/>
            </w:rPr>
            <w:tab/>
          </w:r>
          <w:hyperlink w:history="true" w:anchor="_bookmark217">
            <w:r>
              <w:rPr>
                <w:color w:val="231F20"/>
                <w:spacing w:val="-5"/>
              </w:rPr>
              <w:t>294</w:t>
            </w:r>
          </w:hyperlink>
        </w:p>
        <w:p>
          <w:pPr>
            <w:pStyle w:val="TOC3"/>
            <w:tabs>
              <w:tab w:pos="4477" w:val="left" w:leader="dot"/>
            </w:tabs>
          </w:pPr>
          <w:hyperlink w:history="true" w:anchor="_bookmark218">
            <w:r>
              <w:rPr>
                <w:color w:val="231F20"/>
              </w:rPr>
              <w:t>Creating</w:t>
            </w:r>
            <w:r>
              <w:rPr>
                <w:color w:val="231F20"/>
                <w:spacing w:val="7"/>
              </w:rPr>
              <w:t> </w:t>
            </w:r>
            <w:r>
              <w:rPr>
                <w:color w:val="231F20"/>
              </w:rPr>
              <w:t>a</w:t>
            </w:r>
            <w:r>
              <w:rPr>
                <w:color w:val="231F20"/>
                <w:spacing w:val="8"/>
              </w:rPr>
              <w:t> </w:t>
            </w:r>
            <w:r>
              <w:rPr>
                <w:color w:val="231F20"/>
              </w:rPr>
              <w:t>situation</w:t>
            </w:r>
            <w:r>
              <w:rPr>
                <w:color w:val="231F20"/>
                <w:spacing w:val="8"/>
              </w:rPr>
              <w:t> </w:t>
            </w:r>
            <w:r>
              <w:rPr>
                <w:color w:val="231F20"/>
                <w:spacing w:val="-2"/>
              </w:rPr>
              <w:t>override</w:t>
            </w:r>
          </w:hyperlink>
          <w:r>
            <w:rPr>
              <w:rFonts w:ascii="Times New Roman"/>
              <w:color w:val="231F20"/>
            </w:rPr>
            <w:tab/>
          </w:r>
          <w:hyperlink w:history="true" w:anchor="_bookmark218">
            <w:r>
              <w:rPr>
                <w:color w:val="231F20"/>
                <w:spacing w:val="-5"/>
              </w:rPr>
              <w:t>295</w:t>
            </w:r>
          </w:hyperlink>
        </w:p>
        <w:p>
          <w:pPr>
            <w:pStyle w:val="TOC3"/>
            <w:tabs>
              <w:tab w:pos="4477" w:val="left" w:leader="dot"/>
            </w:tabs>
          </w:pPr>
          <w:hyperlink w:history="true" w:anchor="_bookmark220">
            <w:r>
              <w:rPr>
                <w:color w:val="231F20"/>
              </w:rPr>
              <w:t>Adaptive</w:t>
            </w:r>
            <w:r>
              <w:rPr>
                <w:color w:val="231F20"/>
                <w:spacing w:val="5"/>
              </w:rPr>
              <w:t> </w:t>
            </w:r>
            <w:r>
              <w:rPr>
                <w:color w:val="231F20"/>
              </w:rPr>
              <w:t>monitoring</w:t>
            </w:r>
            <w:r>
              <w:rPr>
                <w:color w:val="231F20"/>
                <w:spacing w:val="6"/>
              </w:rPr>
              <w:t> </w:t>
            </w:r>
            <w:r>
              <w:rPr>
                <w:color w:val="231F20"/>
                <w:spacing w:val="-2"/>
              </w:rPr>
              <w:t>considerations</w:t>
            </w:r>
          </w:hyperlink>
          <w:r>
            <w:rPr>
              <w:rFonts w:ascii="Times New Roman"/>
              <w:color w:val="231F20"/>
            </w:rPr>
            <w:tab/>
          </w:r>
          <w:hyperlink w:history="true" w:anchor="_bookmark220">
            <w:r>
              <w:rPr>
                <w:color w:val="231F20"/>
                <w:spacing w:val="-5"/>
              </w:rPr>
              <w:t>297</w:t>
            </w:r>
          </w:hyperlink>
        </w:p>
        <w:p>
          <w:pPr>
            <w:pStyle w:val="TOC3"/>
            <w:tabs>
              <w:tab w:pos="4477" w:val="left" w:leader="dot"/>
            </w:tabs>
          </w:pPr>
          <w:hyperlink w:history="true" w:anchor="_bookmark221">
            <w:r>
              <w:rPr>
                <w:color w:val="231F20"/>
              </w:rPr>
              <w:t>Disabling</w:t>
            </w:r>
            <w:r>
              <w:rPr>
                <w:color w:val="231F20"/>
                <w:spacing w:val="7"/>
              </w:rPr>
              <w:t> </w:t>
            </w:r>
            <w:r>
              <w:rPr>
                <w:color w:val="231F20"/>
              </w:rPr>
              <w:t>and</w:t>
            </w:r>
            <w:r>
              <w:rPr>
                <w:color w:val="231F20"/>
                <w:spacing w:val="8"/>
              </w:rPr>
              <w:t> </w:t>
            </w:r>
            <w:r>
              <w:rPr>
                <w:color w:val="231F20"/>
              </w:rPr>
              <w:t>enabling</w:t>
            </w:r>
            <w:r>
              <w:rPr>
                <w:color w:val="231F20"/>
                <w:spacing w:val="8"/>
              </w:rPr>
              <w:t> </w:t>
            </w:r>
            <w:r>
              <w:rPr>
                <w:color w:val="231F20"/>
              </w:rPr>
              <w:t>situation</w:t>
            </w:r>
            <w:r>
              <w:rPr>
                <w:color w:val="231F20"/>
                <w:spacing w:val="8"/>
              </w:rPr>
              <w:t> </w:t>
            </w:r>
            <w:r>
              <w:rPr>
                <w:color w:val="231F20"/>
                <w:spacing w:val="-2"/>
              </w:rPr>
              <w:t>overrides</w:t>
            </w:r>
          </w:hyperlink>
          <w:r>
            <w:rPr>
              <w:rFonts w:ascii="Times New Roman"/>
              <w:color w:val="231F20"/>
            </w:rPr>
            <w:tab/>
          </w:r>
          <w:hyperlink w:history="true" w:anchor="_bookmark221">
            <w:r>
              <w:rPr>
                <w:color w:val="231F20"/>
                <w:spacing w:val="-5"/>
              </w:rPr>
              <w:t>298</w:t>
            </w:r>
          </w:hyperlink>
        </w:p>
        <w:p>
          <w:pPr>
            <w:pStyle w:val="TOC3"/>
            <w:tabs>
              <w:tab w:pos="4477" w:val="left" w:leader="dot"/>
            </w:tabs>
          </w:pPr>
          <w:hyperlink w:history="true" w:anchor="_bookmark222">
            <w:r>
              <w:rPr>
                <w:color w:val="231F20"/>
              </w:rPr>
              <w:t>Removing</w:t>
            </w:r>
            <w:r>
              <w:rPr>
                <w:color w:val="231F20"/>
                <w:spacing w:val="6"/>
              </w:rPr>
              <w:t> </w:t>
            </w:r>
            <w:r>
              <w:rPr>
                <w:color w:val="231F20"/>
              </w:rPr>
              <w:t>override</w:t>
            </w:r>
            <w:r>
              <w:rPr>
                <w:color w:val="231F20"/>
                <w:spacing w:val="7"/>
              </w:rPr>
              <w:t> </w:t>
            </w:r>
            <w:r>
              <w:rPr>
                <w:color w:val="231F20"/>
                <w:spacing w:val="-2"/>
              </w:rPr>
              <w:t>definitions</w:t>
            </w:r>
          </w:hyperlink>
          <w:r>
            <w:rPr>
              <w:rFonts w:ascii="Times New Roman"/>
              <w:color w:val="231F20"/>
            </w:rPr>
            <w:tab/>
          </w:r>
          <w:hyperlink w:history="true" w:anchor="_bookmark222">
            <w:r>
              <w:rPr>
                <w:color w:val="231F20"/>
                <w:spacing w:val="-5"/>
              </w:rPr>
              <w:t>299</w:t>
            </w:r>
          </w:hyperlink>
        </w:p>
        <w:p>
          <w:pPr>
            <w:pStyle w:val="TOC3"/>
            <w:tabs>
              <w:tab w:pos="4477" w:val="left" w:leader="none"/>
            </w:tabs>
          </w:pPr>
          <w:hyperlink w:history="true" w:anchor="_bookmark223">
            <w:r>
              <w:rPr>
                <w:color w:val="231F20"/>
              </w:rPr>
              <w:t>Expression</w:t>
            </w:r>
            <w:r>
              <w:rPr>
                <w:color w:val="231F20"/>
                <w:spacing w:val="6"/>
              </w:rPr>
              <w:t> </w:t>
            </w:r>
            <w:r>
              <w:rPr>
                <w:color w:val="231F20"/>
              </w:rPr>
              <w:t>override</w:t>
            </w:r>
            <w:r>
              <w:rPr>
                <w:color w:val="231F20"/>
                <w:spacing w:val="6"/>
              </w:rPr>
              <w:t> </w:t>
            </w:r>
            <w:r>
              <w:rPr>
                <w:color w:val="231F20"/>
              </w:rPr>
              <w:t>and</w:t>
            </w:r>
            <w:r>
              <w:rPr>
                <w:color w:val="231F20"/>
                <w:spacing w:val="6"/>
              </w:rPr>
              <w:t> </w:t>
            </w:r>
            <w:r>
              <w:rPr>
                <w:color w:val="231F20"/>
              </w:rPr>
              <w:t>scheduling</w:t>
            </w:r>
            <w:r>
              <w:rPr>
                <w:color w:val="231F20"/>
                <w:spacing w:val="6"/>
              </w:rPr>
              <w:t> </w:t>
            </w:r>
            <w:r>
              <w:rPr>
                <w:color w:val="231F20"/>
                <w:spacing w:val="-2"/>
              </w:rPr>
              <w:t>windows</w:t>
            </w:r>
          </w:hyperlink>
          <w:r>
            <w:rPr>
              <w:rFonts w:ascii="Times New Roman"/>
              <w:color w:val="231F20"/>
            </w:rPr>
            <w:tab/>
          </w:r>
          <w:hyperlink w:history="true" w:anchor="_bookmark223">
            <w:r>
              <w:rPr>
                <w:color w:val="231F20"/>
                <w:spacing w:val="-5"/>
              </w:rPr>
              <w:t>300</w:t>
            </w:r>
          </w:hyperlink>
        </w:p>
        <w:p>
          <w:pPr>
            <w:pStyle w:val="TOC2"/>
            <w:tabs>
              <w:tab w:pos="4477" w:val="left" w:leader="dot"/>
            </w:tabs>
          </w:pPr>
          <w:hyperlink w:history="true" w:anchor="_bookmark228">
            <w:r>
              <w:rPr>
                <w:color w:val="231F20"/>
              </w:rPr>
              <w:t>Embedding</w:t>
            </w:r>
            <w:r>
              <w:rPr>
                <w:color w:val="231F20"/>
                <w:spacing w:val="8"/>
              </w:rPr>
              <w:t> </w:t>
            </w:r>
            <w:r>
              <w:rPr>
                <w:color w:val="231F20"/>
              </w:rPr>
              <w:t>a</w:t>
            </w:r>
            <w:r>
              <w:rPr>
                <w:color w:val="231F20"/>
                <w:spacing w:val="9"/>
              </w:rPr>
              <w:t> </w:t>
            </w:r>
            <w:r>
              <w:rPr>
                <w:color w:val="231F20"/>
                <w:spacing w:val="-2"/>
              </w:rPr>
              <w:t>situation</w:t>
            </w:r>
          </w:hyperlink>
          <w:r>
            <w:rPr>
              <w:rFonts w:ascii="Times New Roman"/>
              <w:color w:val="231F20"/>
            </w:rPr>
            <w:tab/>
          </w:r>
          <w:hyperlink w:history="true" w:anchor="_bookmark228">
            <w:r>
              <w:rPr>
                <w:color w:val="231F20"/>
                <w:spacing w:val="-5"/>
              </w:rPr>
              <w:t>308</w:t>
            </w:r>
          </w:hyperlink>
        </w:p>
        <w:p>
          <w:pPr>
            <w:pStyle w:val="TOC2"/>
            <w:tabs>
              <w:tab w:pos="4477" w:val="left" w:leader="dot"/>
            </w:tabs>
            <w:spacing w:line="231" w:lineRule="exact"/>
          </w:pPr>
          <w:hyperlink w:history="true" w:anchor="_bookmark229">
            <w:r>
              <w:rPr>
                <w:color w:val="231F20"/>
              </w:rPr>
              <w:t>Correlating </w:t>
            </w:r>
            <w:r>
              <w:rPr>
                <w:color w:val="231F20"/>
                <w:spacing w:val="-2"/>
              </w:rPr>
              <w:t>situations</w:t>
            </w:r>
          </w:hyperlink>
          <w:r>
            <w:rPr>
              <w:rFonts w:ascii="Times New Roman"/>
              <w:color w:val="231F20"/>
            </w:rPr>
            <w:tab/>
          </w:r>
          <w:hyperlink w:history="true" w:anchor="_bookmark229">
            <w:r>
              <w:rPr>
                <w:color w:val="231F20"/>
                <w:spacing w:val="-5"/>
              </w:rPr>
              <w:t>310</w:t>
            </w:r>
          </w:hyperlink>
        </w:p>
      </w:sdtContent>
    </w:sdt>
    <w:p>
      <w:pPr>
        <w:spacing w:after="0" w:line="231" w:lineRule="exact"/>
        <w:sectPr>
          <w:footerReference w:type="even" r:id="rId12"/>
          <w:pgSz w:w="12240" w:h="15840"/>
          <w:pgMar w:header="0" w:footer="736" w:top="1200" w:bottom="920" w:left="1000" w:right="1060"/>
          <w:pgNumType w:start="4"/>
          <w:cols w:num="2" w:equalWidth="0">
            <w:col w:w="4788" w:space="241"/>
            <w:col w:w="5151"/>
          </w:cols>
        </w:sectPr>
      </w:pPr>
    </w:p>
    <w:p>
      <w:pPr>
        <w:tabs>
          <w:tab w:pos="4986" w:val="right" w:leader="dot"/>
        </w:tabs>
        <w:spacing w:line="231" w:lineRule="exact" w:before="48"/>
        <w:ind w:left="436" w:right="0" w:firstLine="0"/>
        <w:jc w:val="left"/>
        <w:rPr>
          <w:sz w:val="18"/>
        </w:rPr>
      </w:pPr>
      <w:hyperlink w:history="true" w:anchor="_bookmark231">
        <w:r>
          <w:rPr>
            <w:color w:val="231F20"/>
            <w:sz w:val="18"/>
          </w:rPr>
          <w:t>Situation</w:t>
        </w:r>
        <w:r>
          <w:rPr>
            <w:color w:val="231F20"/>
            <w:spacing w:val="6"/>
            <w:sz w:val="18"/>
          </w:rPr>
          <w:t> </w:t>
        </w:r>
        <w:r>
          <w:rPr>
            <w:color w:val="231F20"/>
            <w:spacing w:val="-2"/>
            <w:sz w:val="18"/>
          </w:rPr>
          <w:t>examples</w:t>
        </w:r>
      </w:hyperlink>
      <w:r>
        <w:rPr>
          <w:rFonts w:ascii="Times New Roman"/>
          <w:color w:val="231F20"/>
          <w:sz w:val="18"/>
        </w:rPr>
        <w:tab/>
      </w:r>
      <w:hyperlink w:history="true" w:anchor="_bookmark231">
        <w:r>
          <w:rPr>
            <w:color w:val="231F20"/>
            <w:spacing w:val="-5"/>
            <w:sz w:val="18"/>
          </w:rPr>
          <w:t>315</w:t>
        </w:r>
      </w:hyperlink>
    </w:p>
    <w:p>
      <w:pPr>
        <w:tabs>
          <w:tab w:pos="4986" w:val="right" w:leader="dot"/>
        </w:tabs>
        <w:spacing w:line="231" w:lineRule="exact" w:before="0"/>
        <w:ind w:left="436" w:right="0" w:firstLine="0"/>
        <w:jc w:val="left"/>
        <w:rPr>
          <w:sz w:val="18"/>
        </w:rPr>
      </w:pPr>
      <w:hyperlink w:history="true" w:anchor="_bookmark232">
        <w:r>
          <w:rPr>
            <w:color w:val="231F20"/>
            <w:sz w:val="18"/>
          </w:rPr>
          <w:t>Situation</w:t>
        </w:r>
        <w:r>
          <w:rPr>
            <w:color w:val="231F20"/>
            <w:spacing w:val="6"/>
            <w:sz w:val="18"/>
          </w:rPr>
          <w:t> </w:t>
        </w:r>
        <w:r>
          <w:rPr>
            <w:color w:val="231F20"/>
            <w:spacing w:val="-2"/>
            <w:sz w:val="18"/>
          </w:rPr>
          <w:t>troubleshooting</w:t>
        </w:r>
      </w:hyperlink>
      <w:r>
        <w:rPr>
          <w:rFonts w:ascii="Times New Roman"/>
          <w:color w:val="231F20"/>
          <w:sz w:val="18"/>
        </w:rPr>
        <w:tab/>
      </w:r>
      <w:hyperlink w:history="true" w:anchor="_bookmark232">
        <w:r>
          <w:rPr>
            <w:color w:val="231F20"/>
            <w:spacing w:val="-5"/>
            <w:sz w:val="18"/>
          </w:rPr>
          <w:t>318</w:t>
        </w:r>
      </w:hyperlink>
    </w:p>
    <w:p>
      <w:pPr>
        <w:pStyle w:val="Heading5"/>
        <w:tabs>
          <w:tab w:pos="4986" w:val="right" w:leader="dot"/>
        </w:tabs>
        <w:spacing w:line="247" w:lineRule="auto" w:before="223"/>
        <w:ind w:left="436"/>
      </w:pPr>
      <w:hyperlink w:history="true" w:anchor="_bookmark236">
        <w:r>
          <w:rPr>
            <w:color w:val="231F20"/>
          </w:rPr>
          <w:t>Chapter 11. Automating actions and</w:t>
        </w:r>
      </w:hyperlink>
      <w:r>
        <w:rPr>
          <w:color w:val="231F20"/>
        </w:rPr>
        <w:t> </w:t>
      </w:r>
      <w:hyperlink w:history="true" w:anchor="_bookmark236">
        <w:r>
          <w:rPr>
            <w:color w:val="231F20"/>
            <w:spacing w:val="-2"/>
          </w:rPr>
          <w:t>responses</w:t>
        </w:r>
      </w:hyperlink>
      <w:r>
        <w:rPr>
          <w:rFonts w:ascii="Times New Roman"/>
          <w:b w:val="0"/>
          <w:color w:val="231F20"/>
        </w:rPr>
        <w:tab/>
      </w:r>
      <w:hyperlink w:history="true" w:anchor="_bookmark236">
        <w:r>
          <w:rPr>
            <w:color w:val="231F20"/>
            <w:spacing w:val="-5"/>
          </w:rPr>
          <w:t>323</w:t>
        </w:r>
      </w:hyperlink>
    </w:p>
    <w:p>
      <w:pPr>
        <w:tabs>
          <w:tab w:pos="4986" w:val="right" w:leader="dot"/>
        </w:tabs>
        <w:spacing w:line="221" w:lineRule="exact" w:before="0"/>
        <w:ind w:left="436" w:right="0" w:firstLine="0"/>
        <w:jc w:val="left"/>
        <w:rPr>
          <w:sz w:val="18"/>
        </w:rPr>
      </w:pPr>
      <w:hyperlink w:history="true" w:anchor="_bookmark236">
        <w:r>
          <w:rPr>
            <w:color w:val="231F20"/>
            <w:sz w:val="18"/>
          </w:rPr>
          <w:t>Automation</w:t>
        </w:r>
        <w:r>
          <w:rPr>
            <w:color w:val="231F20"/>
            <w:spacing w:val="7"/>
            <w:sz w:val="18"/>
          </w:rPr>
          <w:t> </w:t>
        </w:r>
        <w:r>
          <w:rPr>
            <w:color w:val="231F20"/>
            <w:sz w:val="18"/>
          </w:rPr>
          <w:t>with</w:t>
        </w:r>
        <w:r>
          <w:rPr>
            <w:color w:val="231F20"/>
            <w:spacing w:val="7"/>
            <w:sz w:val="18"/>
          </w:rPr>
          <w:t> </w:t>
        </w:r>
        <w:r>
          <w:rPr>
            <w:color w:val="231F20"/>
            <w:spacing w:val="-2"/>
            <w:sz w:val="18"/>
          </w:rPr>
          <w:t>policies</w:t>
        </w:r>
      </w:hyperlink>
      <w:r>
        <w:rPr>
          <w:rFonts w:ascii="Times New Roman"/>
          <w:color w:val="231F20"/>
          <w:sz w:val="18"/>
        </w:rPr>
        <w:tab/>
      </w:r>
      <w:hyperlink w:history="true" w:anchor="_bookmark236">
        <w:r>
          <w:rPr>
            <w:color w:val="231F20"/>
            <w:spacing w:val="-5"/>
            <w:sz w:val="18"/>
          </w:rPr>
          <w:t>323</w:t>
        </w:r>
      </w:hyperlink>
    </w:p>
    <w:p>
      <w:pPr>
        <w:tabs>
          <w:tab w:pos="4986" w:val="right" w:leader="dot"/>
        </w:tabs>
        <w:spacing w:line="220" w:lineRule="exact" w:before="0"/>
        <w:ind w:left="676" w:right="0" w:firstLine="0"/>
        <w:jc w:val="left"/>
        <w:rPr>
          <w:sz w:val="18"/>
        </w:rPr>
      </w:pPr>
      <w:hyperlink w:history="true" w:anchor="_bookmark237">
        <w:r>
          <w:rPr>
            <w:color w:val="231F20"/>
            <w:sz w:val="18"/>
          </w:rPr>
          <w:t>Viewing</w:t>
        </w:r>
        <w:r>
          <w:rPr>
            <w:color w:val="231F20"/>
            <w:spacing w:val="3"/>
            <w:sz w:val="18"/>
          </w:rPr>
          <w:t> </w:t>
        </w:r>
        <w:r>
          <w:rPr>
            <w:color w:val="231F20"/>
            <w:sz w:val="18"/>
          </w:rPr>
          <w:t>policy</w:t>
        </w:r>
        <w:r>
          <w:rPr>
            <w:color w:val="231F20"/>
            <w:spacing w:val="3"/>
            <w:sz w:val="18"/>
          </w:rPr>
          <w:t> </w:t>
        </w:r>
        <w:r>
          <w:rPr>
            <w:color w:val="231F20"/>
            <w:spacing w:val="-2"/>
            <w:sz w:val="18"/>
          </w:rPr>
          <w:t>details</w:t>
        </w:r>
      </w:hyperlink>
      <w:r>
        <w:rPr>
          <w:rFonts w:ascii="Times New Roman"/>
          <w:color w:val="231F20"/>
          <w:sz w:val="18"/>
        </w:rPr>
        <w:tab/>
      </w:r>
      <w:hyperlink w:history="true" w:anchor="_bookmark237">
        <w:r>
          <w:rPr>
            <w:color w:val="231F20"/>
            <w:spacing w:val="-5"/>
            <w:sz w:val="18"/>
          </w:rPr>
          <w:t>324</w:t>
        </w:r>
      </w:hyperlink>
    </w:p>
    <w:p>
      <w:pPr>
        <w:tabs>
          <w:tab w:pos="4986" w:val="right" w:leader="dot"/>
        </w:tabs>
        <w:spacing w:line="220" w:lineRule="exact" w:before="0"/>
        <w:ind w:left="676" w:right="0" w:firstLine="0"/>
        <w:jc w:val="left"/>
        <w:rPr>
          <w:sz w:val="18"/>
        </w:rPr>
      </w:pPr>
      <w:hyperlink w:history="true" w:anchor="_bookmark237">
        <w:r>
          <w:rPr>
            <w:color w:val="231F20"/>
            <w:sz w:val="18"/>
          </w:rPr>
          <w:t>Creating</w:t>
        </w:r>
        <w:r>
          <w:rPr>
            <w:color w:val="231F20"/>
            <w:spacing w:val="8"/>
            <w:sz w:val="18"/>
          </w:rPr>
          <w:t> </w:t>
        </w:r>
        <w:r>
          <w:rPr>
            <w:color w:val="231F20"/>
            <w:sz w:val="18"/>
          </w:rPr>
          <w:t>a</w:t>
        </w:r>
        <w:r>
          <w:rPr>
            <w:color w:val="231F20"/>
            <w:spacing w:val="8"/>
            <w:sz w:val="18"/>
          </w:rPr>
          <w:t> </w:t>
        </w:r>
        <w:r>
          <w:rPr>
            <w:color w:val="231F20"/>
            <w:spacing w:val="-2"/>
            <w:sz w:val="18"/>
          </w:rPr>
          <w:t>policy</w:t>
        </w:r>
      </w:hyperlink>
      <w:r>
        <w:rPr>
          <w:rFonts w:ascii="Times New Roman"/>
          <w:color w:val="231F20"/>
          <w:sz w:val="18"/>
        </w:rPr>
        <w:tab/>
      </w:r>
      <w:hyperlink w:history="true" w:anchor="_bookmark237">
        <w:r>
          <w:rPr>
            <w:color w:val="231F20"/>
            <w:spacing w:val="-5"/>
            <w:sz w:val="18"/>
          </w:rPr>
          <w:t>324</w:t>
        </w:r>
      </w:hyperlink>
    </w:p>
    <w:p>
      <w:pPr>
        <w:tabs>
          <w:tab w:pos="4986" w:val="right" w:leader="dot"/>
        </w:tabs>
        <w:spacing w:line="220" w:lineRule="exact" w:before="0"/>
        <w:ind w:left="676" w:right="0" w:firstLine="0"/>
        <w:jc w:val="left"/>
        <w:rPr>
          <w:sz w:val="18"/>
        </w:rPr>
      </w:pPr>
      <w:hyperlink w:history="true" w:anchor="_bookmark238">
        <w:r>
          <w:rPr>
            <w:color w:val="231F20"/>
            <w:sz w:val="18"/>
          </w:rPr>
          <w:t>Editing</w:t>
        </w:r>
        <w:r>
          <w:rPr>
            <w:color w:val="231F20"/>
            <w:spacing w:val="10"/>
            <w:sz w:val="18"/>
          </w:rPr>
          <w:t> </w:t>
        </w:r>
        <w:r>
          <w:rPr>
            <w:color w:val="231F20"/>
            <w:sz w:val="18"/>
          </w:rPr>
          <w:t>a</w:t>
        </w:r>
        <w:r>
          <w:rPr>
            <w:color w:val="231F20"/>
            <w:spacing w:val="11"/>
            <w:sz w:val="18"/>
          </w:rPr>
          <w:t> </w:t>
        </w:r>
        <w:r>
          <w:rPr>
            <w:color w:val="231F20"/>
            <w:spacing w:val="-2"/>
            <w:sz w:val="18"/>
          </w:rPr>
          <w:t>policy</w:t>
        </w:r>
      </w:hyperlink>
      <w:r>
        <w:rPr>
          <w:rFonts w:ascii="Times New Roman"/>
          <w:color w:val="231F20"/>
          <w:sz w:val="18"/>
        </w:rPr>
        <w:tab/>
      </w:r>
      <w:hyperlink w:history="true" w:anchor="_bookmark238">
        <w:r>
          <w:rPr>
            <w:color w:val="231F20"/>
            <w:spacing w:val="-5"/>
            <w:sz w:val="18"/>
          </w:rPr>
          <w:t>327</w:t>
        </w:r>
      </w:hyperlink>
    </w:p>
    <w:p>
      <w:pPr>
        <w:tabs>
          <w:tab w:pos="4986" w:val="right" w:leader="dot"/>
        </w:tabs>
        <w:spacing w:line="220" w:lineRule="exact" w:before="0"/>
        <w:ind w:left="676" w:right="0" w:firstLine="0"/>
        <w:jc w:val="left"/>
        <w:rPr>
          <w:sz w:val="18"/>
        </w:rPr>
      </w:pPr>
      <w:hyperlink w:history="true" w:anchor="_bookmark239">
        <w:r>
          <w:rPr>
            <w:color w:val="231F20"/>
            <w:sz w:val="18"/>
          </w:rPr>
          <w:t>Copying</w:t>
        </w:r>
        <w:r>
          <w:rPr>
            <w:color w:val="231F20"/>
            <w:spacing w:val="10"/>
            <w:sz w:val="18"/>
          </w:rPr>
          <w:t> </w:t>
        </w:r>
        <w:r>
          <w:rPr>
            <w:color w:val="231F20"/>
            <w:sz w:val="18"/>
          </w:rPr>
          <w:t>a</w:t>
        </w:r>
        <w:r>
          <w:rPr>
            <w:color w:val="231F20"/>
            <w:spacing w:val="10"/>
            <w:sz w:val="18"/>
          </w:rPr>
          <w:t> </w:t>
        </w:r>
        <w:r>
          <w:rPr>
            <w:color w:val="231F20"/>
            <w:spacing w:val="-2"/>
            <w:sz w:val="18"/>
          </w:rPr>
          <w:t>policy</w:t>
        </w:r>
      </w:hyperlink>
      <w:r>
        <w:rPr>
          <w:rFonts w:ascii="Times New Roman"/>
          <w:color w:val="231F20"/>
          <w:sz w:val="18"/>
        </w:rPr>
        <w:tab/>
      </w:r>
      <w:hyperlink w:history="true" w:anchor="_bookmark239">
        <w:r>
          <w:rPr>
            <w:color w:val="231F20"/>
            <w:spacing w:val="-5"/>
            <w:sz w:val="18"/>
          </w:rPr>
          <w:t>328</w:t>
        </w:r>
      </w:hyperlink>
    </w:p>
    <w:p>
      <w:pPr>
        <w:tabs>
          <w:tab w:pos="4986" w:val="right" w:leader="dot"/>
        </w:tabs>
        <w:spacing w:line="220" w:lineRule="exact" w:before="0"/>
        <w:ind w:left="676" w:right="0" w:firstLine="0"/>
        <w:jc w:val="left"/>
        <w:rPr>
          <w:sz w:val="18"/>
        </w:rPr>
      </w:pPr>
      <w:hyperlink w:history="true" w:anchor="_bookmark239">
        <w:r>
          <w:rPr>
            <w:color w:val="231F20"/>
            <w:sz w:val="18"/>
          </w:rPr>
          <w:t>Deleting</w:t>
        </w:r>
        <w:r>
          <w:rPr>
            <w:color w:val="231F20"/>
            <w:spacing w:val="10"/>
            <w:sz w:val="18"/>
          </w:rPr>
          <w:t> </w:t>
        </w:r>
        <w:r>
          <w:rPr>
            <w:color w:val="231F20"/>
            <w:sz w:val="18"/>
          </w:rPr>
          <w:t>a</w:t>
        </w:r>
        <w:r>
          <w:rPr>
            <w:color w:val="231F20"/>
            <w:spacing w:val="10"/>
            <w:sz w:val="18"/>
          </w:rPr>
          <w:t> </w:t>
        </w:r>
        <w:r>
          <w:rPr>
            <w:color w:val="231F20"/>
            <w:spacing w:val="-2"/>
            <w:sz w:val="18"/>
          </w:rPr>
          <w:t>policy</w:t>
        </w:r>
      </w:hyperlink>
      <w:r>
        <w:rPr>
          <w:rFonts w:ascii="Times New Roman"/>
          <w:color w:val="231F20"/>
          <w:sz w:val="18"/>
        </w:rPr>
        <w:tab/>
      </w:r>
      <w:hyperlink w:history="true" w:anchor="_bookmark239">
        <w:r>
          <w:rPr>
            <w:color w:val="231F20"/>
            <w:spacing w:val="-5"/>
            <w:sz w:val="18"/>
          </w:rPr>
          <w:t>328</w:t>
        </w:r>
      </w:hyperlink>
    </w:p>
    <w:p>
      <w:pPr>
        <w:tabs>
          <w:tab w:pos="4986" w:val="right" w:leader="dot"/>
        </w:tabs>
        <w:spacing w:line="220" w:lineRule="exact" w:before="0"/>
        <w:ind w:left="676" w:right="0" w:firstLine="0"/>
        <w:jc w:val="left"/>
        <w:rPr>
          <w:sz w:val="18"/>
        </w:rPr>
      </w:pPr>
      <w:hyperlink w:history="true" w:anchor="_bookmark240">
        <w:r>
          <w:rPr>
            <w:color w:val="231F20"/>
            <w:sz w:val="18"/>
          </w:rPr>
          <w:t>Starting</w:t>
        </w:r>
        <w:r>
          <w:rPr>
            <w:color w:val="231F20"/>
            <w:spacing w:val="8"/>
            <w:sz w:val="18"/>
          </w:rPr>
          <w:t> </w:t>
        </w:r>
        <w:r>
          <w:rPr>
            <w:color w:val="231F20"/>
            <w:sz w:val="18"/>
          </w:rPr>
          <w:t>and</w:t>
        </w:r>
        <w:r>
          <w:rPr>
            <w:color w:val="231F20"/>
            <w:spacing w:val="9"/>
            <w:sz w:val="18"/>
          </w:rPr>
          <w:t> </w:t>
        </w:r>
        <w:r>
          <w:rPr>
            <w:color w:val="231F20"/>
            <w:sz w:val="18"/>
          </w:rPr>
          <w:t>stopping</w:t>
        </w:r>
        <w:r>
          <w:rPr>
            <w:color w:val="231F20"/>
            <w:spacing w:val="8"/>
            <w:sz w:val="18"/>
          </w:rPr>
          <w:t> </w:t>
        </w:r>
        <w:r>
          <w:rPr>
            <w:color w:val="231F20"/>
            <w:spacing w:val="-2"/>
            <w:sz w:val="18"/>
          </w:rPr>
          <w:t>policies</w:t>
        </w:r>
      </w:hyperlink>
      <w:r>
        <w:rPr>
          <w:rFonts w:ascii="Times New Roman"/>
          <w:color w:val="231F20"/>
          <w:sz w:val="18"/>
        </w:rPr>
        <w:tab/>
      </w:r>
      <w:hyperlink w:history="true" w:anchor="_bookmark240">
        <w:r>
          <w:rPr>
            <w:color w:val="231F20"/>
            <w:spacing w:val="-5"/>
            <w:sz w:val="18"/>
          </w:rPr>
          <w:t>329</w:t>
        </w:r>
      </w:hyperlink>
    </w:p>
    <w:p>
      <w:pPr>
        <w:tabs>
          <w:tab w:pos="4986" w:val="right" w:leader="dot"/>
        </w:tabs>
        <w:spacing w:line="220" w:lineRule="exact" w:before="0"/>
        <w:ind w:left="676" w:right="0" w:firstLine="0"/>
        <w:jc w:val="left"/>
        <w:rPr>
          <w:sz w:val="18"/>
        </w:rPr>
      </w:pPr>
      <w:hyperlink w:history="true" w:anchor="_bookmark241">
        <w:r>
          <w:rPr>
            <w:color w:val="231F20"/>
            <w:sz w:val="18"/>
          </w:rPr>
          <w:t>Policy</w:t>
        </w:r>
        <w:r>
          <w:rPr>
            <w:color w:val="231F20"/>
            <w:spacing w:val="9"/>
            <w:sz w:val="18"/>
          </w:rPr>
          <w:t> </w:t>
        </w:r>
        <w:r>
          <w:rPr>
            <w:color w:val="231F20"/>
            <w:spacing w:val="-2"/>
            <w:sz w:val="18"/>
          </w:rPr>
          <w:t>distribution</w:t>
        </w:r>
      </w:hyperlink>
      <w:r>
        <w:rPr>
          <w:rFonts w:ascii="Times New Roman"/>
          <w:color w:val="231F20"/>
          <w:sz w:val="18"/>
        </w:rPr>
        <w:tab/>
      </w:r>
      <w:hyperlink w:history="true" w:anchor="_bookmark241">
        <w:r>
          <w:rPr>
            <w:color w:val="231F20"/>
            <w:spacing w:val="-5"/>
            <w:sz w:val="18"/>
          </w:rPr>
          <w:t>330</w:t>
        </w:r>
      </w:hyperlink>
    </w:p>
    <w:p>
      <w:pPr>
        <w:tabs>
          <w:tab w:pos="4986" w:val="right" w:leader="dot"/>
        </w:tabs>
        <w:spacing w:line="220" w:lineRule="exact" w:before="0"/>
        <w:ind w:left="676" w:right="0" w:firstLine="0"/>
        <w:jc w:val="left"/>
        <w:rPr>
          <w:sz w:val="18"/>
        </w:rPr>
      </w:pPr>
      <w:hyperlink w:history="true" w:anchor="_bookmark243">
        <w:r>
          <w:rPr>
            <w:color w:val="231F20"/>
            <w:spacing w:val="-2"/>
            <w:sz w:val="18"/>
          </w:rPr>
          <w:t>Workflows</w:t>
        </w:r>
      </w:hyperlink>
      <w:r>
        <w:rPr>
          <w:rFonts w:ascii="Times New Roman"/>
          <w:color w:val="231F20"/>
          <w:sz w:val="18"/>
        </w:rPr>
        <w:tab/>
      </w:r>
      <w:hyperlink w:history="true" w:anchor="_bookmark243">
        <w:r>
          <w:rPr>
            <w:color w:val="231F20"/>
            <w:spacing w:val="-5"/>
            <w:sz w:val="18"/>
          </w:rPr>
          <w:t>331</w:t>
        </w:r>
      </w:hyperlink>
    </w:p>
    <w:p>
      <w:pPr>
        <w:spacing w:line="220" w:lineRule="exact" w:before="0"/>
        <w:ind w:left="676" w:right="0" w:firstLine="0"/>
        <w:jc w:val="left"/>
        <w:rPr>
          <w:sz w:val="18"/>
        </w:rPr>
      </w:pPr>
      <w:hyperlink w:history="true" w:anchor="_bookmark260">
        <w:r>
          <w:rPr>
            <w:color w:val="231F20"/>
            <w:sz w:val="18"/>
          </w:rPr>
          <w:t>Tivoli</w:t>
        </w:r>
        <w:r>
          <w:rPr>
            <w:color w:val="231F20"/>
            <w:spacing w:val="-3"/>
            <w:sz w:val="18"/>
          </w:rPr>
          <w:t> </w:t>
        </w:r>
        <w:r>
          <w:rPr>
            <w:color w:val="231F20"/>
            <w:sz w:val="18"/>
          </w:rPr>
          <w:t>Application</w:t>
        </w:r>
        <w:r>
          <w:rPr>
            <w:color w:val="231F20"/>
            <w:spacing w:val="2"/>
            <w:sz w:val="18"/>
          </w:rPr>
          <w:t> </w:t>
        </w:r>
        <w:r>
          <w:rPr>
            <w:color w:val="231F20"/>
            <w:sz w:val="18"/>
          </w:rPr>
          <w:t>Dependency</w:t>
        </w:r>
        <w:r>
          <w:rPr>
            <w:color w:val="231F20"/>
            <w:spacing w:val="2"/>
            <w:sz w:val="18"/>
          </w:rPr>
          <w:t> </w:t>
        </w:r>
        <w:r>
          <w:rPr>
            <w:color w:val="231F20"/>
            <w:spacing w:val="-2"/>
            <w:sz w:val="18"/>
          </w:rPr>
          <w:t>Discovery</w:t>
        </w:r>
      </w:hyperlink>
    </w:p>
    <w:p>
      <w:pPr>
        <w:tabs>
          <w:tab w:pos="4986" w:val="right" w:leader="dot"/>
        </w:tabs>
        <w:spacing w:line="220" w:lineRule="exact" w:before="0"/>
        <w:ind w:left="676" w:right="0" w:firstLine="0"/>
        <w:jc w:val="left"/>
        <w:rPr>
          <w:sz w:val="18"/>
        </w:rPr>
      </w:pPr>
      <w:hyperlink w:history="true" w:anchor="_bookmark260">
        <w:r>
          <w:rPr>
            <w:color w:val="231F20"/>
            <w:sz w:val="18"/>
          </w:rPr>
          <w:t>Manager</w:t>
        </w:r>
        <w:r>
          <w:rPr>
            <w:color w:val="231F20"/>
            <w:spacing w:val="6"/>
            <w:sz w:val="18"/>
          </w:rPr>
          <w:t> </w:t>
        </w:r>
        <w:r>
          <w:rPr>
            <w:color w:val="231F20"/>
            <w:spacing w:val="-2"/>
            <w:sz w:val="18"/>
          </w:rPr>
          <w:t>policies</w:t>
        </w:r>
      </w:hyperlink>
      <w:r>
        <w:rPr>
          <w:rFonts w:ascii="Times New Roman"/>
          <w:color w:val="231F20"/>
          <w:sz w:val="18"/>
        </w:rPr>
        <w:tab/>
      </w:r>
      <w:hyperlink w:history="true" w:anchor="_bookmark260">
        <w:r>
          <w:rPr>
            <w:color w:val="231F20"/>
            <w:spacing w:val="-5"/>
            <w:sz w:val="18"/>
          </w:rPr>
          <w:t>349</w:t>
        </w:r>
      </w:hyperlink>
    </w:p>
    <w:p>
      <w:pPr>
        <w:tabs>
          <w:tab w:pos="4986" w:val="right" w:leader="dot"/>
        </w:tabs>
        <w:spacing w:line="220" w:lineRule="exact" w:before="0"/>
        <w:ind w:left="436" w:right="0" w:firstLine="0"/>
        <w:jc w:val="left"/>
        <w:rPr>
          <w:sz w:val="18"/>
        </w:rPr>
      </w:pPr>
      <w:hyperlink w:history="true" w:anchor="_bookmark264">
        <w:r>
          <w:rPr>
            <w:color w:val="231F20"/>
            <w:sz w:val="18"/>
          </w:rPr>
          <w:t>Take</w:t>
        </w:r>
        <w:r>
          <w:rPr>
            <w:color w:val="231F20"/>
            <w:spacing w:val="1"/>
            <w:sz w:val="18"/>
          </w:rPr>
          <w:t> </w:t>
        </w:r>
        <w:r>
          <w:rPr>
            <w:color w:val="231F20"/>
            <w:sz w:val="18"/>
          </w:rPr>
          <w:t>action</w:t>
        </w:r>
        <w:r>
          <w:rPr>
            <w:color w:val="231F20"/>
            <w:spacing w:val="1"/>
            <w:sz w:val="18"/>
          </w:rPr>
          <w:t> </w:t>
        </w:r>
        <w:r>
          <w:rPr>
            <w:color w:val="231F20"/>
            <w:spacing w:val="-2"/>
            <w:sz w:val="18"/>
          </w:rPr>
          <w:t>commands</w:t>
        </w:r>
      </w:hyperlink>
      <w:r>
        <w:rPr>
          <w:rFonts w:ascii="Times New Roman"/>
          <w:color w:val="231F20"/>
          <w:sz w:val="18"/>
        </w:rPr>
        <w:tab/>
      </w:r>
      <w:hyperlink w:history="true" w:anchor="_bookmark264">
        <w:r>
          <w:rPr>
            <w:color w:val="231F20"/>
            <w:spacing w:val="-5"/>
            <w:sz w:val="18"/>
          </w:rPr>
          <w:t>353</w:t>
        </w:r>
      </w:hyperlink>
    </w:p>
    <w:p>
      <w:pPr>
        <w:tabs>
          <w:tab w:pos="4986" w:val="right" w:leader="dot"/>
        </w:tabs>
        <w:spacing w:line="220" w:lineRule="exact" w:before="0"/>
        <w:ind w:left="676" w:right="0" w:firstLine="0"/>
        <w:jc w:val="left"/>
        <w:rPr>
          <w:sz w:val="18"/>
        </w:rPr>
      </w:pPr>
      <w:hyperlink w:history="true" w:anchor="_bookmark264">
        <w:r>
          <w:rPr>
            <w:color w:val="231F20"/>
            <w:sz w:val="18"/>
          </w:rPr>
          <w:t>Creating</w:t>
        </w:r>
        <w:r>
          <w:rPr>
            <w:color w:val="231F20"/>
            <w:spacing w:val="9"/>
            <w:sz w:val="18"/>
          </w:rPr>
          <w:t> </w:t>
        </w:r>
        <w:r>
          <w:rPr>
            <w:color w:val="231F20"/>
            <w:sz w:val="18"/>
          </w:rPr>
          <w:t>a</w:t>
        </w:r>
        <w:r>
          <w:rPr>
            <w:color w:val="231F20"/>
            <w:spacing w:val="9"/>
            <w:sz w:val="18"/>
          </w:rPr>
          <w:t> </w:t>
        </w:r>
        <w:r>
          <w:rPr>
            <w:color w:val="231F20"/>
            <w:sz w:val="18"/>
          </w:rPr>
          <w:t>take</w:t>
        </w:r>
        <w:r>
          <w:rPr>
            <w:color w:val="231F20"/>
            <w:spacing w:val="9"/>
            <w:sz w:val="18"/>
          </w:rPr>
          <w:t> </w:t>
        </w:r>
        <w:r>
          <w:rPr>
            <w:color w:val="231F20"/>
            <w:sz w:val="18"/>
          </w:rPr>
          <w:t>action</w:t>
        </w:r>
        <w:r>
          <w:rPr>
            <w:color w:val="231F20"/>
            <w:spacing w:val="9"/>
            <w:sz w:val="18"/>
          </w:rPr>
          <w:t> </w:t>
        </w:r>
        <w:r>
          <w:rPr>
            <w:color w:val="231F20"/>
            <w:spacing w:val="-2"/>
            <w:sz w:val="18"/>
          </w:rPr>
          <w:t>command</w:t>
        </w:r>
      </w:hyperlink>
      <w:r>
        <w:rPr>
          <w:rFonts w:ascii="Times New Roman"/>
          <w:color w:val="231F20"/>
          <w:sz w:val="18"/>
        </w:rPr>
        <w:tab/>
      </w:r>
      <w:hyperlink w:history="true" w:anchor="_bookmark264">
        <w:r>
          <w:rPr>
            <w:color w:val="231F20"/>
            <w:spacing w:val="-5"/>
            <w:sz w:val="18"/>
          </w:rPr>
          <w:t>353</w:t>
        </w:r>
      </w:hyperlink>
    </w:p>
    <w:p>
      <w:pPr>
        <w:tabs>
          <w:tab w:pos="4986" w:val="right" w:leader="dot"/>
        </w:tabs>
        <w:spacing w:line="220" w:lineRule="exact" w:before="0"/>
        <w:ind w:left="676" w:right="0" w:firstLine="0"/>
        <w:jc w:val="left"/>
        <w:rPr>
          <w:sz w:val="18"/>
        </w:rPr>
      </w:pPr>
      <w:hyperlink w:history="true" w:anchor="_bookmark265">
        <w:r>
          <w:rPr>
            <w:color w:val="231F20"/>
            <w:sz w:val="18"/>
          </w:rPr>
          <w:t>Editing</w:t>
        </w:r>
        <w:r>
          <w:rPr>
            <w:color w:val="231F20"/>
            <w:spacing w:val="10"/>
            <w:sz w:val="18"/>
          </w:rPr>
          <w:t> </w:t>
        </w:r>
        <w:r>
          <w:rPr>
            <w:color w:val="231F20"/>
            <w:sz w:val="18"/>
          </w:rPr>
          <w:t>a</w:t>
        </w:r>
        <w:r>
          <w:rPr>
            <w:color w:val="231F20"/>
            <w:spacing w:val="10"/>
            <w:sz w:val="18"/>
          </w:rPr>
          <w:t> </w:t>
        </w:r>
        <w:r>
          <w:rPr>
            <w:color w:val="231F20"/>
            <w:sz w:val="18"/>
          </w:rPr>
          <w:t>take</w:t>
        </w:r>
        <w:r>
          <w:rPr>
            <w:color w:val="231F20"/>
            <w:spacing w:val="10"/>
            <w:sz w:val="18"/>
          </w:rPr>
          <w:t> </w:t>
        </w:r>
        <w:r>
          <w:rPr>
            <w:color w:val="231F20"/>
            <w:sz w:val="18"/>
          </w:rPr>
          <w:t>action</w:t>
        </w:r>
        <w:r>
          <w:rPr>
            <w:color w:val="231F20"/>
            <w:spacing w:val="11"/>
            <w:sz w:val="18"/>
          </w:rPr>
          <w:t> </w:t>
        </w:r>
        <w:r>
          <w:rPr>
            <w:color w:val="231F20"/>
            <w:spacing w:val="-2"/>
            <w:sz w:val="18"/>
          </w:rPr>
          <w:t>command</w:t>
        </w:r>
      </w:hyperlink>
      <w:r>
        <w:rPr>
          <w:rFonts w:ascii="Times New Roman"/>
          <w:color w:val="231F20"/>
          <w:sz w:val="18"/>
        </w:rPr>
        <w:tab/>
      </w:r>
      <w:hyperlink w:history="true" w:anchor="_bookmark265">
        <w:r>
          <w:rPr>
            <w:color w:val="231F20"/>
            <w:spacing w:val="-5"/>
            <w:sz w:val="18"/>
          </w:rPr>
          <w:t>354</w:t>
        </w:r>
      </w:hyperlink>
    </w:p>
    <w:p>
      <w:pPr>
        <w:tabs>
          <w:tab w:pos="4986" w:val="right" w:leader="dot"/>
        </w:tabs>
        <w:spacing w:line="220" w:lineRule="exact" w:before="0"/>
        <w:ind w:left="676" w:right="0" w:firstLine="0"/>
        <w:jc w:val="left"/>
        <w:rPr>
          <w:sz w:val="18"/>
        </w:rPr>
      </w:pPr>
      <w:hyperlink w:history="true" w:anchor="_bookmark266">
        <w:r>
          <w:rPr>
            <w:color w:val="231F20"/>
            <w:sz w:val="18"/>
          </w:rPr>
          <w:t>Sending</w:t>
        </w:r>
        <w:r>
          <w:rPr>
            <w:color w:val="231F20"/>
            <w:spacing w:val="10"/>
            <w:sz w:val="18"/>
          </w:rPr>
          <w:t> </w:t>
        </w:r>
        <w:r>
          <w:rPr>
            <w:color w:val="231F20"/>
            <w:sz w:val="18"/>
          </w:rPr>
          <w:t>a</w:t>
        </w:r>
        <w:r>
          <w:rPr>
            <w:color w:val="231F20"/>
            <w:spacing w:val="10"/>
            <w:sz w:val="18"/>
          </w:rPr>
          <w:t> </w:t>
        </w:r>
        <w:r>
          <w:rPr>
            <w:color w:val="231F20"/>
            <w:sz w:val="18"/>
          </w:rPr>
          <w:t>take</w:t>
        </w:r>
        <w:r>
          <w:rPr>
            <w:color w:val="231F20"/>
            <w:spacing w:val="10"/>
            <w:sz w:val="18"/>
          </w:rPr>
          <w:t> </w:t>
        </w:r>
        <w:r>
          <w:rPr>
            <w:color w:val="231F20"/>
            <w:sz w:val="18"/>
          </w:rPr>
          <w:t>action</w:t>
        </w:r>
        <w:r>
          <w:rPr>
            <w:color w:val="231F20"/>
            <w:spacing w:val="10"/>
            <w:sz w:val="18"/>
          </w:rPr>
          <w:t> </w:t>
        </w:r>
        <w:r>
          <w:rPr>
            <w:color w:val="231F20"/>
            <w:spacing w:val="-2"/>
            <w:sz w:val="18"/>
          </w:rPr>
          <w:t>command</w:t>
        </w:r>
      </w:hyperlink>
      <w:r>
        <w:rPr>
          <w:rFonts w:ascii="Times New Roman"/>
          <w:color w:val="231F20"/>
          <w:sz w:val="18"/>
        </w:rPr>
        <w:tab/>
      </w:r>
      <w:hyperlink w:history="true" w:anchor="_bookmark266">
        <w:r>
          <w:rPr>
            <w:color w:val="231F20"/>
            <w:spacing w:val="-5"/>
            <w:sz w:val="18"/>
          </w:rPr>
          <w:t>355</w:t>
        </w:r>
      </w:hyperlink>
    </w:p>
    <w:p>
      <w:pPr>
        <w:tabs>
          <w:tab w:pos="4986" w:val="right" w:leader="dot"/>
        </w:tabs>
        <w:spacing w:line="220" w:lineRule="exact" w:before="0"/>
        <w:ind w:left="676" w:right="0" w:firstLine="0"/>
        <w:jc w:val="left"/>
        <w:rPr>
          <w:sz w:val="18"/>
        </w:rPr>
      </w:pPr>
      <w:hyperlink w:history="true" w:anchor="_bookmark267">
        <w:r>
          <w:rPr>
            <w:color w:val="231F20"/>
            <w:sz w:val="18"/>
          </w:rPr>
          <w:t>Creating</w:t>
        </w:r>
        <w:r>
          <w:rPr>
            <w:color w:val="231F20"/>
            <w:spacing w:val="9"/>
            <w:sz w:val="18"/>
          </w:rPr>
          <w:t> </w:t>
        </w:r>
        <w:r>
          <w:rPr>
            <w:color w:val="231F20"/>
            <w:sz w:val="18"/>
          </w:rPr>
          <w:t>a</w:t>
        </w:r>
        <w:r>
          <w:rPr>
            <w:color w:val="231F20"/>
            <w:spacing w:val="9"/>
            <w:sz w:val="18"/>
          </w:rPr>
          <w:t> </w:t>
        </w:r>
        <w:r>
          <w:rPr>
            <w:color w:val="231F20"/>
            <w:sz w:val="18"/>
          </w:rPr>
          <w:t>take</w:t>
        </w:r>
        <w:r>
          <w:rPr>
            <w:color w:val="231F20"/>
            <w:spacing w:val="9"/>
            <w:sz w:val="18"/>
          </w:rPr>
          <w:t> </w:t>
        </w:r>
        <w:r>
          <w:rPr>
            <w:color w:val="231F20"/>
            <w:sz w:val="18"/>
          </w:rPr>
          <w:t>action</w:t>
        </w:r>
        <w:r>
          <w:rPr>
            <w:color w:val="231F20"/>
            <w:spacing w:val="9"/>
            <w:sz w:val="18"/>
          </w:rPr>
          <w:t> </w:t>
        </w:r>
        <w:r>
          <w:rPr>
            <w:color w:val="231F20"/>
            <w:spacing w:val="-4"/>
            <w:sz w:val="18"/>
          </w:rPr>
          <w:t>view</w:t>
        </w:r>
      </w:hyperlink>
      <w:r>
        <w:rPr>
          <w:rFonts w:ascii="Times New Roman"/>
          <w:color w:val="231F20"/>
          <w:sz w:val="18"/>
        </w:rPr>
        <w:tab/>
      </w:r>
      <w:hyperlink w:history="true" w:anchor="_bookmark267">
        <w:r>
          <w:rPr>
            <w:color w:val="231F20"/>
            <w:spacing w:val="-5"/>
            <w:sz w:val="18"/>
          </w:rPr>
          <w:t>356</w:t>
        </w:r>
      </w:hyperlink>
    </w:p>
    <w:p>
      <w:pPr>
        <w:tabs>
          <w:tab w:pos="4986" w:val="right" w:leader="none"/>
        </w:tabs>
        <w:spacing w:line="220" w:lineRule="exact" w:before="0"/>
        <w:ind w:left="676" w:right="0" w:firstLine="0"/>
        <w:jc w:val="left"/>
        <w:rPr>
          <w:sz w:val="18"/>
        </w:rPr>
      </w:pPr>
      <w:hyperlink w:history="true" w:anchor="_bookmark268">
        <w:r>
          <w:rPr>
            <w:color w:val="231F20"/>
            <w:sz w:val="18"/>
          </w:rPr>
          <w:t>Rules</w:t>
        </w:r>
        <w:r>
          <w:rPr>
            <w:color w:val="231F20"/>
            <w:spacing w:val="9"/>
            <w:sz w:val="18"/>
          </w:rPr>
          <w:t> </w:t>
        </w:r>
        <w:r>
          <w:rPr>
            <w:color w:val="231F20"/>
            <w:sz w:val="18"/>
          </w:rPr>
          <w:t>and</w:t>
        </w:r>
        <w:r>
          <w:rPr>
            <w:color w:val="231F20"/>
            <w:spacing w:val="10"/>
            <w:sz w:val="18"/>
          </w:rPr>
          <w:t> </w:t>
        </w:r>
        <w:r>
          <w:rPr>
            <w:color w:val="231F20"/>
            <w:sz w:val="18"/>
          </w:rPr>
          <w:t>guidelines</w:t>
        </w:r>
        <w:r>
          <w:rPr>
            <w:color w:val="231F20"/>
            <w:spacing w:val="9"/>
            <w:sz w:val="18"/>
          </w:rPr>
          <w:t> </w:t>
        </w:r>
        <w:r>
          <w:rPr>
            <w:color w:val="231F20"/>
            <w:sz w:val="18"/>
          </w:rPr>
          <w:t>for</w:t>
        </w:r>
        <w:r>
          <w:rPr>
            <w:color w:val="231F20"/>
            <w:spacing w:val="10"/>
            <w:sz w:val="18"/>
          </w:rPr>
          <w:t> </w:t>
        </w:r>
        <w:r>
          <w:rPr>
            <w:color w:val="231F20"/>
            <w:sz w:val="18"/>
          </w:rPr>
          <w:t>take</w:t>
        </w:r>
        <w:r>
          <w:rPr>
            <w:color w:val="231F20"/>
            <w:spacing w:val="10"/>
            <w:sz w:val="18"/>
          </w:rPr>
          <w:t> </w:t>
        </w:r>
        <w:r>
          <w:rPr>
            <w:color w:val="231F20"/>
            <w:sz w:val="18"/>
          </w:rPr>
          <w:t>action</w:t>
        </w:r>
        <w:r>
          <w:rPr>
            <w:color w:val="231F20"/>
            <w:spacing w:val="9"/>
            <w:sz w:val="18"/>
          </w:rPr>
          <w:t> </w:t>
        </w:r>
        <w:r>
          <w:rPr>
            <w:color w:val="231F20"/>
            <w:spacing w:val="-2"/>
            <w:sz w:val="18"/>
          </w:rPr>
          <w:t>commands</w:t>
        </w:r>
      </w:hyperlink>
      <w:r>
        <w:rPr>
          <w:rFonts w:ascii="Times New Roman"/>
          <w:color w:val="231F20"/>
          <w:sz w:val="18"/>
        </w:rPr>
        <w:tab/>
      </w:r>
      <w:hyperlink w:history="true" w:anchor="_bookmark268">
        <w:r>
          <w:rPr>
            <w:color w:val="231F20"/>
            <w:spacing w:val="-5"/>
            <w:sz w:val="18"/>
          </w:rPr>
          <w:t>357</w:t>
        </w:r>
      </w:hyperlink>
    </w:p>
    <w:p>
      <w:pPr>
        <w:tabs>
          <w:tab w:pos="4986" w:val="right" w:leader="dot"/>
        </w:tabs>
        <w:spacing w:line="220" w:lineRule="exact" w:before="0"/>
        <w:ind w:left="436" w:right="0" w:firstLine="0"/>
        <w:jc w:val="left"/>
        <w:rPr>
          <w:sz w:val="18"/>
        </w:rPr>
      </w:pPr>
      <w:hyperlink w:history="true" w:anchor="_bookmark268">
        <w:r>
          <w:rPr>
            <w:color w:val="231F20"/>
            <w:sz w:val="18"/>
          </w:rPr>
          <w:t>Launch</w:t>
        </w:r>
        <w:r>
          <w:rPr>
            <w:color w:val="231F20"/>
            <w:spacing w:val="8"/>
            <w:sz w:val="18"/>
          </w:rPr>
          <w:t> </w:t>
        </w:r>
        <w:r>
          <w:rPr>
            <w:color w:val="231F20"/>
            <w:spacing w:val="-2"/>
            <w:sz w:val="18"/>
          </w:rPr>
          <w:t>application</w:t>
        </w:r>
      </w:hyperlink>
      <w:r>
        <w:rPr>
          <w:rFonts w:ascii="Times New Roman"/>
          <w:color w:val="231F20"/>
          <w:sz w:val="18"/>
        </w:rPr>
        <w:tab/>
      </w:r>
      <w:hyperlink w:history="true" w:anchor="_bookmark268">
        <w:r>
          <w:rPr>
            <w:color w:val="231F20"/>
            <w:spacing w:val="-5"/>
            <w:sz w:val="18"/>
          </w:rPr>
          <w:t>357</w:t>
        </w:r>
      </w:hyperlink>
    </w:p>
    <w:p>
      <w:pPr>
        <w:tabs>
          <w:tab w:pos="4986" w:val="right" w:leader="dot"/>
        </w:tabs>
        <w:spacing w:line="220" w:lineRule="exact" w:before="0"/>
        <w:ind w:left="676" w:right="0" w:firstLine="0"/>
        <w:jc w:val="left"/>
        <w:rPr>
          <w:sz w:val="18"/>
        </w:rPr>
      </w:pPr>
      <w:hyperlink w:history="true" w:anchor="_bookmark269">
        <w:r>
          <w:rPr>
            <w:color w:val="231F20"/>
            <w:sz w:val="18"/>
          </w:rPr>
          <w:t>Creating</w:t>
        </w:r>
        <w:r>
          <w:rPr>
            <w:color w:val="231F20"/>
            <w:spacing w:val="8"/>
            <w:sz w:val="18"/>
          </w:rPr>
          <w:t> </w:t>
        </w:r>
        <w:r>
          <w:rPr>
            <w:color w:val="231F20"/>
            <w:sz w:val="18"/>
          </w:rPr>
          <w:t>a</w:t>
        </w:r>
        <w:r>
          <w:rPr>
            <w:color w:val="231F20"/>
            <w:spacing w:val="8"/>
            <w:sz w:val="18"/>
          </w:rPr>
          <w:t> </w:t>
        </w:r>
        <w:r>
          <w:rPr>
            <w:color w:val="231F20"/>
            <w:sz w:val="18"/>
          </w:rPr>
          <w:t>launch</w:t>
        </w:r>
        <w:r>
          <w:rPr>
            <w:color w:val="231F20"/>
            <w:spacing w:val="8"/>
            <w:sz w:val="18"/>
          </w:rPr>
          <w:t> </w:t>
        </w:r>
        <w:r>
          <w:rPr>
            <w:color w:val="231F20"/>
            <w:spacing w:val="-2"/>
            <w:sz w:val="18"/>
          </w:rPr>
          <w:t>definition</w:t>
        </w:r>
      </w:hyperlink>
      <w:r>
        <w:rPr>
          <w:rFonts w:ascii="Times New Roman"/>
          <w:color w:val="231F20"/>
          <w:sz w:val="18"/>
        </w:rPr>
        <w:tab/>
      </w:r>
      <w:hyperlink w:history="true" w:anchor="_bookmark269">
        <w:r>
          <w:rPr>
            <w:color w:val="231F20"/>
            <w:spacing w:val="-5"/>
            <w:sz w:val="18"/>
          </w:rPr>
          <w:t>358</w:t>
        </w:r>
      </w:hyperlink>
    </w:p>
    <w:p>
      <w:pPr>
        <w:tabs>
          <w:tab w:pos="4986" w:val="right" w:leader="dot"/>
        </w:tabs>
        <w:spacing w:line="220" w:lineRule="exact" w:before="0"/>
        <w:ind w:left="676" w:right="0" w:firstLine="0"/>
        <w:jc w:val="left"/>
        <w:rPr>
          <w:sz w:val="18"/>
        </w:rPr>
      </w:pPr>
      <w:hyperlink w:history="true" w:anchor="_bookmark270">
        <w:r>
          <w:rPr>
            <w:color w:val="231F20"/>
            <w:sz w:val="18"/>
          </w:rPr>
          <w:t>Copying</w:t>
        </w:r>
        <w:r>
          <w:rPr>
            <w:color w:val="231F20"/>
            <w:spacing w:val="9"/>
            <w:sz w:val="18"/>
          </w:rPr>
          <w:t> </w:t>
        </w:r>
        <w:r>
          <w:rPr>
            <w:color w:val="231F20"/>
            <w:sz w:val="18"/>
          </w:rPr>
          <w:t>or</w:t>
        </w:r>
        <w:r>
          <w:rPr>
            <w:color w:val="231F20"/>
            <w:spacing w:val="10"/>
            <w:sz w:val="18"/>
          </w:rPr>
          <w:t> </w:t>
        </w:r>
        <w:r>
          <w:rPr>
            <w:color w:val="231F20"/>
            <w:sz w:val="18"/>
          </w:rPr>
          <w:t>editing</w:t>
        </w:r>
        <w:r>
          <w:rPr>
            <w:color w:val="231F20"/>
            <w:spacing w:val="10"/>
            <w:sz w:val="18"/>
          </w:rPr>
          <w:t> </w:t>
        </w:r>
        <w:r>
          <w:rPr>
            <w:color w:val="231F20"/>
            <w:sz w:val="18"/>
          </w:rPr>
          <w:t>a</w:t>
        </w:r>
        <w:r>
          <w:rPr>
            <w:color w:val="231F20"/>
            <w:spacing w:val="10"/>
            <w:sz w:val="18"/>
          </w:rPr>
          <w:t> </w:t>
        </w:r>
        <w:r>
          <w:rPr>
            <w:color w:val="231F20"/>
            <w:sz w:val="18"/>
          </w:rPr>
          <w:t>launch</w:t>
        </w:r>
        <w:r>
          <w:rPr>
            <w:color w:val="231F20"/>
            <w:spacing w:val="10"/>
            <w:sz w:val="18"/>
          </w:rPr>
          <w:t> </w:t>
        </w:r>
        <w:r>
          <w:rPr>
            <w:color w:val="231F20"/>
            <w:spacing w:val="-2"/>
            <w:sz w:val="18"/>
          </w:rPr>
          <w:t>definition</w:t>
        </w:r>
      </w:hyperlink>
      <w:r>
        <w:rPr>
          <w:rFonts w:ascii="Times New Roman"/>
          <w:color w:val="231F20"/>
          <w:sz w:val="18"/>
        </w:rPr>
        <w:tab/>
      </w:r>
      <w:hyperlink w:history="true" w:anchor="_bookmark270">
        <w:r>
          <w:rPr>
            <w:color w:val="231F20"/>
            <w:spacing w:val="-5"/>
            <w:sz w:val="18"/>
          </w:rPr>
          <w:t>359</w:t>
        </w:r>
      </w:hyperlink>
    </w:p>
    <w:p>
      <w:pPr>
        <w:tabs>
          <w:tab w:pos="4986" w:val="right" w:leader="dot"/>
        </w:tabs>
        <w:spacing w:line="220" w:lineRule="exact" w:before="0"/>
        <w:ind w:left="676" w:right="0" w:firstLine="0"/>
        <w:jc w:val="left"/>
        <w:rPr>
          <w:sz w:val="18"/>
        </w:rPr>
      </w:pPr>
      <w:hyperlink w:history="true" w:anchor="_bookmark271">
        <w:r>
          <w:rPr>
            <w:color w:val="231F20"/>
            <w:sz w:val="18"/>
          </w:rPr>
          <w:t>Deleting</w:t>
        </w:r>
        <w:r>
          <w:rPr>
            <w:color w:val="231F20"/>
            <w:spacing w:val="9"/>
            <w:sz w:val="18"/>
          </w:rPr>
          <w:t> </w:t>
        </w:r>
        <w:r>
          <w:rPr>
            <w:color w:val="231F20"/>
            <w:sz w:val="18"/>
          </w:rPr>
          <w:t>a</w:t>
        </w:r>
        <w:r>
          <w:rPr>
            <w:color w:val="231F20"/>
            <w:spacing w:val="10"/>
            <w:sz w:val="18"/>
          </w:rPr>
          <w:t> </w:t>
        </w:r>
        <w:r>
          <w:rPr>
            <w:color w:val="231F20"/>
            <w:sz w:val="18"/>
          </w:rPr>
          <w:t>launch</w:t>
        </w:r>
        <w:r>
          <w:rPr>
            <w:color w:val="231F20"/>
            <w:spacing w:val="9"/>
            <w:sz w:val="18"/>
          </w:rPr>
          <w:t> </w:t>
        </w:r>
        <w:r>
          <w:rPr>
            <w:color w:val="231F20"/>
            <w:spacing w:val="-2"/>
            <w:sz w:val="18"/>
          </w:rPr>
          <w:t>definition</w:t>
        </w:r>
      </w:hyperlink>
      <w:r>
        <w:rPr>
          <w:rFonts w:ascii="Times New Roman"/>
          <w:color w:val="231F20"/>
          <w:sz w:val="18"/>
        </w:rPr>
        <w:tab/>
      </w:r>
      <w:hyperlink w:history="true" w:anchor="_bookmark271">
        <w:r>
          <w:rPr>
            <w:color w:val="231F20"/>
            <w:spacing w:val="-5"/>
            <w:sz w:val="18"/>
          </w:rPr>
          <w:t>360</w:t>
        </w:r>
      </w:hyperlink>
    </w:p>
    <w:p>
      <w:pPr>
        <w:tabs>
          <w:tab w:pos="4986" w:val="right" w:leader="dot"/>
        </w:tabs>
        <w:spacing w:line="231" w:lineRule="exact" w:before="0"/>
        <w:ind w:left="676" w:right="0" w:firstLine="0"/>
        <w:jc w:val="left"/>
        <w:rPr>
          <w:sz w:val="18"/>
        </w:rPr>
      </w:pPr>
      <w:hyperlink w:history="true" w:anchor="_bookmark271">
        <w:r>
          <w:rPr>
            <w:color w:val="231F20"/>
            <w:sz w:val="18"/>
          </w:rPr>
          <w:t>Launch</w:t>
        </w:r>
        <w:r>
          <w:rPr>
            <w:color w:val="231F20"/>
            <w:spacing w:val="6"/>
            <w:sz w:val="18"/>
          </w:rPr>
          <w:t> </w:t>
        </w:r>
        <w:r>
          <w:rPr>
            <w:color w:val="231F20"/>
            <w:sz w:val="18"/>
          </w:rPr>
          <w:t>application</w:t>
        </w:r>
        <w:r>
          <w:rPr>
            <w:color w:val="231F20"/>
            <w:spacing w:val="7"/>
            <w:sz w:val="18"/>
          </w:rPr>
          <w:t> </w:t>
        </w:r>
        <w:r>
          <w:rPr>
            <w:color w:val="231F20"/>
            <w:spacing w:val="-2"/>
            <w:sz w:val="18"/>
          </w:rPr>
          <w:t>examples</w:t>
        </w:r>
      </w:hyperlink>
      <w:r>
        <w:rPr>
          <w:rFonts w:ascii="Times New Roman"/>
          <w:color w:val="231F20"/>
          <w:sz w:val="18"/>
        </w:rPr>
        <w:tab/>
      </w:r>
      <w:hyperlink w:history="true" w:anchor="_bookmark271">
        <w:r>
          <w:rPr>
            <w:color w:val="231F20"/>
            <w:spacing w:val="-5"/>
            <w:sz w:val="18"/>
          </w:rPr>
          <w:t>360</w:t>
        </w:r>
      </w:hyperlink>
    </w:p>
    <w:p>
      <w:pPr>
        <w:pStyle w:val="Heading5"/>
        <w:spacing w:before="224"/>
        <w:ind w:left="436"/>
      </w:pPr>
      <w:hyperlink w:history="true" w:anchor="_bookmark272">
        <w:r>
          <w:rPr>
            <w:color w:val="231F20"/>
          </w:rPr>
          <w:t>Chapter</w:t>
        </w:r>
        <w:r>
          <w:rPr>
            <w:color w:val="231F20"/>
            <w:spacing w:val="-7"/>
          </w:rPr>
          <w:t> </w:t>
        </w:r>
        <w:r>
          <w:rPr>
            <w:color w:val="231F20"/>
          </w:rPr>
          <w:t>12.</w:t>
        </w:r>
        <w:r>
          <w:rPr>
            <w:color w:val="231F20"/>
            <w:spacing w:val="3"/>
          </w:rPr>
          <w:t> </w:t>
        </w:r>
        <w:r>
          <w:rPr>
            <w:color w:val="231F20"/>
          </w:rPr>
          <w:t>Using</w:t>
        </w:r>
        <w:r>
          <w:rPr>
            <w:color w:val="231F20"/>
            <w:spacing w:val="4"/>
          </w:rPr>
          <w:t> </w:t>
        </w:r>
        <w:r>
          <w:rPr>
            <w:color w:val="231F20"/>
          </w:rPr>
          <w:t>Tivoli</w:t>
        </w:r>
        <w:r>
          <w:rPr>
            <w:color w:val="231F20"/>
            <w:spacing w:val="4"/>
          </w:rPr>
          <w:t> </w:t>
        </w:r>
        <w:r>
          <w:rPr>
            <w:color w:val="231F20"/>
            <w:spacing w:val="-2"/>
          </w:rPr>
          <w:t>Enterprise</w:t>
        </w:r>
      </w:hyperlink>
    </w:p>
    <w:p>
      <w:pPr>
        <w:pStyle w:val="Heading5"/>
        <w:tabs>
          <w:tab w:pos="4986" w:val="right" w:leader="dot"/>
        </w:tabs>
        <w:spacing w:line="252" w:lineRule="exact" w:before="7"/>
        <w:ind w:left="436"/>
      </w:pPr>
      <w:hyperlink w:history="true" w:anchor="_bookmark272">
        <w:r>
          <w:rPr>
            <w:color w:val="231F20"/>
          </w:rPr>
          <w:t>Portal</w:t>
        </w:r>
        <w:r>
          <w:rPr>
            <w:color w:val="231F20"/>
            <w:spacing w:val="5"/>
          </w:rPr>
          <w:t> </w:t>
        </w:r>
        <w:r>
          <w:rPr>
            <w:color w:val="231F20"/>
          </w:rPr>
          <w:t>user</w:t>
        </w:r>
        <w:r>
          <w:rPr>
            <w:color w:val="231F20"/>
            <w:spacing w:val="6"/>
          </w:rPr>
          <w:t> </w:t>
        </w:r>
        <w:r>
          <w:rPr>
            <w:color w:val="231F20"/>
            <w:spacing w:val="-2"/>
          </w:rPr>
          <w:t>authorization</w:t>
        </w:r>
      </w:hyperlink>
      <w:r>
        <w:rPr>
          <w:rFonts w:ascii="Times New Roman"/>
          <w:b w:val="0"/>
          <w:color w:val="231F20"/>
        </w:rPr>
        <w:tab/>
      </w:r>
      <w:hyperlink w:history="true" w:anchor="_bookmark272">
        <w:r>
          <w:rPr>
            <w:color w:val="231F20"/>
            <w:spacing w:val="-5"/>
          </w:rPr>
          <w:t>363</w:t>
        </w:r>
      </w:hyperlink>
    </w:p>
    <w:p>
      <w:pPr>
        <w:tabs>
          <w:tab w:pos="4986" w:val="right" w:leader="dot"/>
        </w:tabs>
        <w:spacing w:line="231" w:lineRule="exact" w:before="0"/>
        <w:ind w:left="436" w:right="0" w:firstLine="0"/>
        <w:jc w:val="left"/>
        <w:rPr>
          <w:sz w:val="18"/>
        </w:rPr>
      </w:pPr>
      <w:hyperlink w:history="true" w:anchor="_bookmark273">
        <w:r>
          <w:rPr>
            <w:color w:val="231F20"/>
            <w:sz w:val="18"/>
          </w:rPr>
          <w:t>Managing</w:t>
        </w:r>
        <w:r>
          <w:rPr>
            <w:color w:val="231F20"/>
            <w:spacing w:val="8"/>
            <w:sz w:val="18"/>
          </w:rPr>
          <w:t> </w:t>
        </w:r>
        <w:r>
          <w:rPr>
            <w:color w:val="231F20"/>
            <w:sz w:val="18"/>
          </w:rPr>
          <w:t>user</w:t>
        </w:r>
        <w:r>
          <w:rPr>
            <w:color w:val="231F20"/>
            <w:spacing w:val="8"/>
            <w:sz w:val="18"/>
          </w:rPr>
          <w:t> </w:t>
        </w:r>
        <w:r>
          <w:rPr>
            <w:color w:val="231F20"/>
            <w:spacing w:val="-5"/>
            <w:sz w:val="18"/>
          </w:rPr>
          <w:t>IDs</w:t>
        </w:r>
      </w:hyperlink>
      <w:r>
        <w:rPr>
          <w:rFonts w:ascii="Times New Roman"/>
          <w:color w:val="231F20"/>
          <w:sz w:val="18"/>
        </w:rPr>
        <w:tab/>
      </w:r>
      <w:hyperlink w:history="true" w:anchor="_bookmark273">
        <w:r>
          <w:rPr>
            <w:color w:val="231F20"/>
            <w:spacing w:val="-5"/>
            <w:sz w:val="18"/>
          </w:rPr>
          <w:t>364</w:t>
        </w:r>
      </w:hyperlink>
    </w:p>
    <w:p>
      <w:pPr>
        <w:tabs>
          <w:tab w:pos="4986" w:val="right" w:leader="dot"/>
        </w:tabs>
        <w:spacing w:line="220" w:lineRule="exact" w:before="0"/>
        <w:ind w:left="676" w:right="0" w:firstLine="0"/>
        <w:jc w:val="left"/>
        <w:rPr>
          <w:sz w:val="18"/>
        </w:rPr>
      </w:pPr>
      <w:hyperlink w:history="true" w:anchor="_bookmark273">
        <w:r>
          <w:rPr>
            <w:color w:val="231F20"/>
            <w:sz w:val="18"/>
          </w:rPr>
          <w:t>Viewing</w:t>
        </w:r>
        <w:r>
          <w:rPr>
            <w:color w:val="231F20"/>
            <w:spacing w:val="8"/>
            <w:sz w:val="18"/>
          </w:rPr>
          <w:t> </w:t>
        </w:r>
        <w:r>
          <w:rPr>
            <w:color w:val="231F20"/>
            <w:sz w:val="18"/>
          </w:rPr>
          <w:t>and</w:t>
        </w:r>
        <w:r>
          <w:rPr>
            <w:color w:val="231F20"/>
            <w:spacing w:val="8"/>
            <w:sz w:val="18"/>
          </w:rPr>
          <w:t> </w:t>
        </w:r>
        <w:r>
          <w:rPr>
            <w:color w:val="231F20"/>
            <w:sz w:val="18"/>
          </w:rPr>
          <w:t>editing</w:t>
        </w:r>
        <w:r>
          <w:rPr>
            <w:color w:val="231F20"/>
            <w:spacing w:val="8"/>
            <w:sz w:val="18"/>
          </w:rPr>
          <w:t> </w:t>
        </w:r>
        <w:r>
          <w:rPr>
            <w:color w:val="231F20"/>
            <w:sz w:val="18"/>
          </w:rPr>
          <w:t>a</w:t>
        </w:r>
        <w:r>
          <w:rPr>
            <w:color w:val="231F20"/>
            <w:spacing w:val="8"/>
            <w:sz w:val="18"/>
          </w:rPr>
          <w:t> </w:t>
        </w:r>
        <w:r>
          <w:rPr>
            <w:color w:val="231F20"/>
            <w:sz w:val="18"/>
          </w:rPr>
          <w:t>user</w:t>
        </w:r>
        <w:r>
          <w:rPr>
            <w:color w:val="231F20"/>
            <w:spacing w:val="8"/>
            <w:sz w:val="18"/>
          </w:rPr>
          <w:t> </w:t>
        </w:r>
        <w:r>
          <w:rPr>
            <w:color w:val="231F20"/>
            <w:spacing w:val="-5"/>
            <w:sz w:val="18"/>
          </w:rPr>
          <w:t>ID</w:t>
        </w:r>
      </w:hyperlink>
      <w:r>
        <w:rPr>
          <w:rFonts w:ascii="Times New Roman"/>
          <w:color w:val="231F20"/>
          <w:sz w:val="18"/>
        </w:rPr>
        <w:tab/>
      </w:r>
      <w:hyperlink w:history="true" w:anchor="_bookmark273">
        <w:r>
          <w:rPr>
            <w:color w:val="231F20"/>
            <w:spacing w:val="-5"/>
            <w:sz w:val="18"/>
          </w:rPr>
          <w:t>364</w:t>
        </w:r>
      </w:hyperlink>
    </w:p>
    <w:p>
      <w:pPr>
        <w:tabs>
          <w:tab w:pos="4986" w:val="right" w:leader="dot"/>
        </w:tabs>
        <w:spacing w:line="220" w:lineRule="exact" w:before="0"/>
        <w:ind w:left="676" w:right="0" w:firstLine="0"/>
        <w:jc w:val="left"/>
        <w:rPr>
          <w:sz w:val="18"/>
        </w:rPr>
      </w:pPr>
      <w:hyperlink w:history="true" w:anchor="_bookmark274">
        <w:r>
          <w:rPr>
            <w:color w:val="231F20"/>
            <w:sz w:val="18"/>
          </w:rPr>
          <w:t>Adding</w:t>
        </w:r>
        <w:r>
          <w:rPr>
            <w:color w:val="231F20"/>
            <w:spacing w:val="10"/>
            <w:sz w:val="18"/>
          </w:rPr>
          <w:t> </w:t>
        </w:r>
        <w:r>
          <w:rPr>
            <w:color w:val="231F20"/>
            <w:sz w:val="18"/>
          </w:rPr>
          <w:t>a</w:t>
        </w:r>
        <w:r>
          <w:rPr>
            <w:color w:val="231F20"/>
            <w:spacing w:val="11"/>
            <w:sz w:val="18"/>
          </w:rPr>
          <w:t> </w:t>
        </w:r>
        <w:r>
          <w:rPr>
            <w:color w:val="231F20"/>
            <w:sz w:val="18"/>
          </w:rPr>
          <w:t>user</w:t>
        </w:r>
        <w:r>
          <w:rPr>
            <w:color w:val="231F20"/>
            <w:spacing w:val="10"/>
            <w:sz w:val="18"/>
          </w:rPr>
          <w:t> </w:t>
        </w:r>
        <w:r>
          <w:rPr>
            <w:color w:val="231F20"/>
            <w:spacing w:val="-7"/>
            <w:sz w:val="18"/>
          </w:rPr>
          <w:t>ID</w:t>
        </w:r>
      </w:hyperlink>
      <w:r>
        <w:rPr>
          <w:rFonts w:ascii="Times New Roman"/>
          <w:color w:val="231F20"/>
          <w:sz w:val="18"/>
        </w:rPr>
        <w:tab/>
      </w:r>
      <w:hyperlink w:history="true" w:anchor="_bookmark274">
        <w:r>
          <w:rPr>
            <w:color w:val="231F20"/>
            <w:spacing w:val="-5"/>
            <w:sz w:val="18"/>
          </w:rPr>
          <w:t>365</w:t>
        </w:r>
      </w:hyperlink>
    </w:p>
    <w:p>
      <w:pPr>
        <w:tabs>
          <w:tab w:pos="4986" w:val="right" w:leader="dot"/>
        </w:tabs>
        <w:spacing w:line="220" w:lineRule="exact" w:before="0"/>
        <w:ind w:left="676" w:right="0" w:firstLine="0"/>
        <w:jc w:val="left"/>
        <w:rPr>
          <w:sz w:val="18"/>
        </w:rPr>
      </w:pPr>
      <w:hyperlink w:history="true" w:anchor="_bookmark276">
        <w:r>
          <w:rPr>
            <w:color w:val="231F20"/>
            <w:sz w:val="18"/>
          </w:rPr>
          <w:t>Removing</w:t>
        </w:r>
        <w:r>
          <w:rPr>
            <w:color w:val="231F20"/>
            <w:spacing w:val="9"/>
            <w:sz w:val="18"/>
          </w:rPr>
          <w:t> </w:t>
        </w:r>
        <w:r>
          <w:rPr>
            <w:color w:val="231F20"/>
            <w:sz w:val="18"/>
          </w:rPr>
          <w:t>a</w:t>
        </w:r>
        <w:r>
          <w:rPr>
            <w:color w:val="231F20"/>
            <w:spacing w:val="10"/>
            <w:sz w:val="18"/>
          </w:rPr>
          <w:t> </w:t>
        </w:r>
        <w:r>
          <w:rPr>
            <w:color w:val="231F20"/>
            <w:sz w:val="18"/>
          </w:rPr>
          <w:t>user</w:t>
        </w:r>
        <w:r>
          <w:rPr>
            <w:color w:val="231F20"/>
            <w:spacing w:val="10"/>
            <w:sz w:val="18"/>
          </w:rPr>
          <w:t> </w:t>
        </w:r>
        <w:r>
          <w:rPr>
            <w:color w:val="231F20"/>
            <w:spacing w:val="-5"/>
            <w:sz w:val="18"/>
          </w:rPr>
          <w:t>ID</w:t>
        </w:r>
      </w:hyperlink>
      <w:r>
        <w:rPr>
          <w:rFonts w:ascii="Times New Roman"/>
          <w:color w:val="231F20"/>
          <w:sz w:val="18"/>
        </w:rPr>
        <w:tab/>
      </w:r>
      <w:hyperlink w:history="true" w:anchor="_bookmark276">
        <w:r>
          <w:rPr>
            <w:color w:val="231F20"/>
            <w:spacing w:val="-5"/>
            <w:sz w:val="18"/>
          </w:rPr>
          <w:t>367</w:t>
        </w:r>
      </w:hyperlink>
    </w:p>
    <w:p>
      <w:pPr>
        <w:tabs>
          <w:tab w:pos="4986" w:val="right" w:leader="dot"/>
        </w:tabs>
        <w:spacing w:line="220" w:lineRule="exact" w:before="0"/>
        <w:ind w:left="676" w:right="0" w:firstLine="0"/>
        <w:jc w:val="left"/>
        <w:rPr>
          <w:sz w:val="18"/>
        </w:rPr>
      </w:pPr>
      <w:hyperlink w:history="true" w:anchor="_bookmark276">
        <w:r>
          <w:rPr>
            <w:color w:val="231F20"/>
            <w:sz w:val="18"/>
          </w:rPr>
          <w:t>Default</w:t>
        </w:r>
        <w:r>
          <w:rPr>
            <w:color w:val="231F20"/>
            <w:spacing w:val="8"/>
            <w:sz w:val="18"/>
          </w:rPr>
          <w:t> </w:t>
        </w:r>
        <w:r>
          <w:rPr>
            <w:color w:val="231F20"/>
            <w:spacing w:val="-4"/>
            <w:sz w:val="18"/>
          </w:rPr>
          <w:t>user</w:t>
        </w:r>
      </w:hyperlink>
      <w:r>
        <w:rPr>
          <w:rFonts w:ascii="Times New Roman"/>
          <w:color w:val="231F20"/>
          <w:sz w:val="18"/>
        </w:rPr>
        <w:tab/>
      </w:r>
      <w:hyperlink w:history="true" w:anchor="_bookmark276">
        <w:r>
          <w:rPr>
            <w:color w:val="231F20"/>
            <w:spacing w:val="-5"/>
            <w:sz w:val="18"/>
          </w:rPr>
          <w:t>367</w:t>
        </w:r>
      </w:hyperlink>
    </w:p>
    <w:p>
      <w:pPr>
        <w:tabs>
          <w:tab w:pos="4986" w:val="right" w:leader="dot"/>
        </w:tabs>
        <w:spacing w:line="220" w:lineRule="exact" w:before="0"/>
        <w:ind w:left="436" w:right="0" w:firstLine="0"/>
        <w:jc w:val="left"/>
        <w:rPr>
          <w:sz w:val="18"/>
        </w:rPr>
      </w:pPr>
      <w:hyperlink w:history="true" w:anchor="_bookmark276">
        <w:r>
          <w:rPr>
            <w:color w:val="231F20"/>
            <w:sz w:val="18"/>
          </w:rPr>
          <w:t>Managing</w:t>
        </w:r>
        <w:r>
          <w:rPr>
            <w:color w:val="231F20"/>
            <w:spacing w:val="8"/>
            <w:sz w:val="18"/>
          </w:rPr>
          <w:t> </w:t>
        </w:r>
        <w:r>
          <w:rPr>
            <w:color w:val="231F20"/>
            <w:sz w:val="18"/>
          </w:rPr>
          <w:t>user</w:t>
        </w:r>
        <w:r>
          <w:rPr>
            <w:color w:val="231F20"/>
            <w:spacing w:val="8"/>
            <w:sz w:val="18"/>
          </w:rPr>
          <w:t> </w:t>
        </w:r>
        <w:r>
          <w:rPr>
            <w:color w:val="231F20"/>
            <w:spacing w:val="-2"/>
            <w:sz w:val="18"/>
          </w:rPr>
          <w:t>groups</w:t>
        </w:r>
      </w:hyperlink>
      <w:r>
        <w:rPr>
          <w:rFonts w:ascii="Times New Roman"/>
          <w:color w:val="231F20"/>
          <w:sz w:val="18"/>
        </w:rPr>
        <w:tab/>
      </w:r>
      <w:hyperlink w:history="true" w:anchor="_bookmark276">
        <w:r>
          <w:rPr>
            <w:color w:val="231F20"/>
            <w:spacing w:val="-5"/>
            <w:sz w:val="18"/>
          </w:rPr>
          <w:t>367</w:t>
        </w:r>
      </w:hyperlink>
    </w:p>
    <w:p>
      <w:pPr>
        <w:tabs>
          <w:tab w:pos="4986" w:val="right" w:leader="dot"/>
        </w:tabs>
        <w:spacing w:line="220" w:lineRule="exact" w:before="0"/>
        <w:ind w:left="676" w:right="0" w:firstLine="0"/>
        <w:jc w:val="left"/>
        <w:rPr>
          <w:sz w:val="18"/>
        </w:rPr>
      </w:pPr>
      <w:hyperlink w:history="true" w:anchor="_bookmark277">
        <w:r>
          <w:rPr>
            <w:color w:val="231F20"/>
            <w:sz w:val="18"/>
          </w:rPr>
          <w:t>Viewing</w:t>
        </w:r>
        <w:r>
          <w:rPr>
            <w:color w:val="231F20"/>
            <w:spacing w:val="4"/>
            <w:sz w:val="18"/>
          </w:rPr>
          <w:t> </w:t>
        </w:r>
        <w:r>
          <w:rPr>
            <w:color w:val="231F20"/>
            <w:sz w:val="18"/>
          </w:rPr>
          <w:t>user</w:t>
        </w:r>
        <w:r>
          <w:rPr>
            <w:color w:val="231F20"/>
            <w:spacing w:val="4"/>
            <w:sz w:val="18"/>
          </w:rPr>
          <w:t> </w:t>
        </w:r>
        <w:r>
          <w:rPr>
            <w:color w:val="231F20"/>
            <w:sz w:val="18"/>
          </w:rPr>
          <w:t>group</w:t>
        </w:r>
        <w:r>
          <w:rPr>
            <w:color w:val="231F20"/>
            <w:spacing w:val="4"/>
            <w:sz w:val="18"/>
          </w:rPr>
          <w:t> </w:t>
        </w:r>
        <w:r>
          <w:rPr>
            <w:color w:val="231F20"/>
            <w:spacing w:val="-2"/>
            <w:sz w:val="18"/>
          </w:rPr>
          <w:t>memberships</w:t>
        </w:r>
      </w:hyperlink>
      <w:r>
        <w:rPr>
          <w:rFonts w:ascii="Times New Roman"/>
          <w:color w:val="231F20"/>
          <w:sz w:val="18"/>
        </w:rPr>
        <w:tab/>
      </w:r>
      <w:hyperlink w:history="true" w:anchor="_bookmark277">
        <w:r>
          <w:rPr>
            <w:color w:val="231F20"/>
            <w:spacing w:val="-5"/>
            <w:sz w:val="18"/>
          </w:rPr>
          <w:t>368</w:t>
        </w:r>
      </w:hyperlink>
    </w:p>
    <w:p>
      <w:pPr>
        <w:tabs>
          <w:tab w:pos="4986" w:val="right" w:leader="dot"/>
        </w:tabs>
        <w:spacing w:line="220" w:lineRule="exact" w:before="0"/>
        <w:ind w:left="676" w:right="0" w:firstLine="0"/>
        <w:jc w:val="left"/>
        <w:rPr>
          <w:sz w:val="18"/>
        </w:rPr>
      </w:pPr>
      <w:hyperlink w:history="true" w:anchor="_bookmark277">
        <w:r>
          <w:rPr>
            <w:color w:val="231F20"/>
            <w:sz w:val="18"/>
          </w:rPr>
          <w:t>Adding</w:t>
        </w:r>
        <w:r>
          <w:rPr>
            <w:color w:val="231F20"/>
            <w:spacing w:val="10"/>
            <w:sz w:val="18"/>
          </w:rPr>
          <w:t> </w:t>
        </w:r>
        <w:r>
          <w:rPr>
            <w:color w:val="231F20"/>
            <w:sz w:val="18"/>
          </w:rPr>
          <w:t>a</w:t>
        </w:r>
        <w:r>
          <w:rPr>
            <w:color w:val="231F20"/>
            <w:spacing w:val="11"/>
            <w:sz w:val="18"/>
          </w:rPr>
          <w:t> </w:t>
        </w:r>
        <w:r>
          <w:rPr>
            <w:color w:val="231F20"/>
            <w:sz w:val="18"/>
          </w:rPr>
          <w:t>user</w:t>
        </w:r>
        <w:r>
          <w:rPr>
            <w:color w:val="231F20"/>
            <w:spacing w:val="10"/>
            <w:sz w:val="18"/>
          </w:rPr>
          <w:t> </w:t>
        </w:r>
        <w:r>
          <w:rPr>
            <w:color w:val="231F20"/>
            <w:spacing w:val="-4"/>
            <w:sz w:val="18"/>
          </w:rPr>
          <w:t>group</w:t>
        </w:r>
      </w:hyperlink>
      <w:r>
        <w:rPr>
          <w:rFonts w:ascii="Times New Roman"/>
          <w:color w:val="231F20"/>
          <w:sz w:val="18"/>
        </w:rPr>
        <w:tab/>
      </w:r>
      <w:hyperlink w:history="true" w:anchor="_bookmark277">
        <w:r>
          <w:rPr>
            <w:color w:val="231F20"/>
            <w:spacing w:val="-5"/>
            <w:sz w:val="18"/>
          </w:rPr>
          <w:t>368</w:t>
        </w:r>
      </w:hyperlink>
    </w:p>
    <w:p>
      <w:pPr>
        <w:tabs>
          <w:tab w:pos="4986" w:val="right" w:leader="dot"/>
        </w:tabs>
        <w:spacing w:line="220" w:lineRule="exact" w:before="0"/>
        <w:ind w:left="676" w:right="0" w:firstLine="0"/>
        <w:jc w:val="left"/>
        <w:rPr>
          <w:sz w:val="18"/>
        </w:rPr>
      </w:pPr>
      <w:hyperlink w:history="true" w:anchor="_bookmark278">
        <w:r>
          <w:rPr>
            <w:color w:val="231F20"/>
            <w:sz w:val="18"/>
          </w:rPr>
          <w:t>Reviewing</w:t>
        </w:r>
        <w:r>
          <w:rPr>
            <w:color w:val="231F20"/>
            <w:spacing w:val="9"/>
            <w:sz w:val="18"/>
          </w:rPr>
          <w:t> </w:t>
        </w:r>
        <w:r>
          <w:rPr>
            <w:color w:val="231F20"/>
            <w:sz w:val="18"/>
          </w:rPr>
          <w:t>and</w:t>
        </w:r>
        <w:r>
          <w:rPr>
            <w:color w:val="231F20"/>
            <w:spacing w:val="10"/>
            <w:sz w:val="18"/>
          </w:rPr>
          <w:t> </w:t>
        </w:r>
        <w:r>
          <w:rPr>
            <w:color w:val="231F20"/>
            <w:sz w:val="18"/>
          </w:rPr>
          <w:t>editing</w:t>
        </w:r>
        <w:r>
          <w:rPr>
            <w:color w:val="231F20"/>
            <w:spacing w:val="10"/>
            <w:sz w:val="18"/>
          </w:rPr>
          <w:t> </w:t>
        </w:r>
        <w:r>
          <w:rPr>
            <w:color w:val="231F20"/>
            <w:sz w:val="18"/>
          </w:rPr>
          <w:t>a</w:t>
        </w:r>
        <w:r>
          <w:rPr>
            <w:color w:val="231F20"/>
            <w:spacing w:val="9"/>
            <w:sz w:val="18"/>
          </w:rPr>
          <w:t> </w:t>
        </w:r>
        <w:r>
          <w:rPr>
            <w:color w:val="231F20"/>
            <w:sz w:val="18"/>
          </w:rPr>
          <w:t>user</w:t>
        </w:r>
        <w:r>
          <w:rPr>
            <w:color w:val="231F20"/>
            <w:spacing w:val="10"/>
            <w:sz w:val="18"/>
          </w:rPr>
          <w:t> </w:t>
        </w:r>
        <w:r>
          <w:rPr>
            <w:color w:val="231F20"/>
            <w:spacing w:val="-2"/>
            <w:sz w:val="18"/>
          </w:rPr>
          <w:t>group</w:t>
        </w:r>
      </w:hyperlink>
      <w:r>
        <w:rPr>
          <w:rFonts w:ascii="Times New Roman"/>
          <w:color w:val="231F20"/>
          <w:sz w:val="18"/>
        </w:rPr>
        <w:tab/>
      </w:r>
      <w:hyperlink w:history="true" w:anchor="_bookmark278">
        <w:r>
          <w:rPr>
            <w:color w:val="231F20"/>
            <w:spacing w:val="-5"/>
            <w:sz w:val="18"/>
          </w:rPr>
          <w:t>369</w:t>
        </w:r>
      </w:hyperlink>
    </w:p>
    <w:p>
      <w:pPr>
        <w:tabs>
          <w:tab w:pos="4986" w:val="right" w:leader="dot"/>
        </w:tabs>
        <w:spacing w:line="220" w:lineRule="exact" w:before="0"/>
        <w:ind w:left="676" w:right="0" w:firstLine="0"/>
        <w:jc w:val="left"/>
        <w:rPr>
          <w:sz w:val="18"/>
        </w:rPr>
      </w:pPr>
      <w:hyperlink w:history="true" w:anchor="_bookmark279">
        <w:r>
          <w:rPr>
            <w:color w:val="231F20"/>
            <w:sz w:val="18"/>
          </w:rPr>
          <w:t>Removing</w:t>
        </w:r>
        <w:r>
          <w:rPr>
            <w:color w:val="231F20"/>
            <w:spacing w:val="9"/>
            <w:sz w:val="18"/>
          </w:rPr>
          <w:t> </w:t>
        </w:r>
        <w:r>
          <w:rPr>
            <w:color w:val="231F20"/>
            <w:sz w:val="18"/>
          </w:rPr>
          <w:t>a</w:t>
        </w:r>
        <w:r>
          <w:rPr>
            <w:color w:val="231F20"/>
            <w:spacing w:val="10"/>
            <w:sz w:val="18"/>
          </w:rPr>
          <w:t> </w:t>
        </w:r>
        <w:r>
          <w:rPr>
            <w:color w:val="231F20"/>
            <w:sz w:val="18"/>
          </w:rPr>
          <w:t>user</w:t>
        </w:r>
        <w:r>
          <w:rPr>
            <w:color w:val="231F20"/>
            <w:spacing w:val="10"/>
            <w:sz w:val="18"/>
          </w:rPr>
          <w:t> </w:t>
        </w:r>
        <w:r>
          <w:rPr>
            <w:color w:val="231F20"/>
            <w:spacing w:val="-4"/>
            <w:sz w:val="18"/>
          </w:rPr>
          <w:t>group</w:t>
        </w:r>
      </w:hyperlink>
      <w:r>
        <w:rPr>
          <w:rFonts w:ascii="Times New Roman"/>
          <w:color w:val="231F20"/>
          <w:sz w:val="18"/>
        </w:rPr>
        <w:tab/>
      </w:r>
      <w:hyperlink w:history="true" w:anchor="_bookmark279">
        <w:r>
          <w:rPr>
            <w:color w:val="231F20"/>
            <w:spacing w:val="-5"/>
            <w:sz w:val="18"/>
          </w:rPr>
          <w:t>370</w:t>
        </w:r>
      </w:hyperlink>
    </w:p>
    <w:p>
      <w:pPr>
        <w:tabs>
          <w:tab w:pos="4986" w:val="right" w:leader="dot"/>
        </w:tabs>
        <w:spacing w:line="220" w:lineRule="exact" w:before="0"/>
        <w:ind w:left="436" w:right="0" w:firstLine="0"/>
        <w:jc w:val="left"/>
        <w:rPr>
          <w:sz w:val="18"/>
        </w:rPr>
      </w:pPr>
      <w:hyperlink w:history="true" w:anchor="_bookmark279">
        <w:r>
          <w:rPr>
            <w:color w:val="231F20"/>
            <w:sz w:val="18"/>
          </w:rPr>
          <w:t>Administer</w:t>
        </w:r>
        <w:r>
          <w:rPr>
            <w:color w:val="231F20"/>
            <w:spacing w:val="4"/>
            <w:sz w:val="18"/>
          </w:rPr>
          <w:t> </w:t>
        </w:r>
        <w:r>
          <w:rPr>
            <w:color w:val="231F20"/>
            <w:spacing w:val="-2"/>
            <w:sz w:val="18"/>
          </w:rPr>
          <w:t>Users</w:t>
        </w:r>
      </w:hyperlink>
      <w:r>
        <w:rPr>
          <w:rFonts w:ascii="Times New Roman"/>
          <w:color w:val="231F20"/>
          <w:sz w:val="18"/>
        </w:rPr>
        <w:tab/>
      </w:r>
      <w:hyperlink w:history="true" w:anchor="_bookmark279">
        <w:r>
          <w:rPr>
            <w:color w:val="231F20"/>
            <w:spacing w:val="-5"/>
            <w:sz w:val="18"/>
          </w:rPr>
          <w:t>370</w:t>
        </w:r>
      </w:hyperlink>
    </w:p>
    <w:p>
      <w:pPr>
        <w:tabs>
          <w:tab w:pos="4986" w:val="right" w:leader="dot"/>
        </w:tabs>
        <w:spacing w:line="220" w:lineRule="exact" w:before="0"/>
        <w:ind w:left="676" w:right="0" w:firstLine="0"/>
        <w:jc w:val="left"/>
        <w:rPr>
          <w:sz w:val="18"/>
        </w:rPr>
      </w:pPr>
      <w:hyperlink w:history="true" w:anchor="_bookmark280">
        <w:r>
          <w:rPr>
            <w:color w:val="231F20"/>
            <w:sz w:val="18"/>
          </w:rPr>
          <w:t>Users</w:t>
        </w:r>
        <w:r>
          <w:rPr>
            <w:color w:val="231F20"/>
            <w:spacing w:val="10"/>
            <w:sz w:val="18"/>
          </w:rPr>
          <w:t> </w:t>
        </w:r>
        <w:r>
          <w:rPr>
            <w:color w:val="231F20"/>
            <w:sz w:val="18"/>
          </w:rPr>
          <w:t>and</w:t>
        </w:r>
        <w:r>
          <w:rPr>
            <w:color w:val="231F20"/>
            <w:spacing w:val="10"/>
            <w:sz w:val="18"/>
          </w:rPr>
          <w:t> </w:t>
        </w:r>
        <w:r>
          <w:rPr>
            <w:color w:val="231F20"/>
            <w:sz w:val="18"/>
          </w:rPr>
          <w:t>User</w:t>
        </w:r>
        <w:r>
          <w:rPr>
            <w:color w:val="231F20"/>
            <w:spacing w:val="10"/>
            <w:sz w:val="18"/>
          </w:rPr>
          <w:t> </w:t>
        </w:r>
        <w:r>
          <w:rPr>
            <w:color w:val="231F20"/>
            <w:spacing w:val="-2"/>
            <w:sz w:val="18"/>
          </w:rPr>
          <w:t>Groups</w:t>
        </w:r>
      </w:hyperlink>
      <w:r>
        <w:rPr>
          <w:rFonts w:ascii="Times New Roman"/>
          <w:color w:val="231F20"/>
          <w:sz w:val="18"/>
        </w:rPr>
        <w:tab/>
      </w:r>
      <w:hyperlink w:history="true" w:anchor="_bookmark280">
        <w:r>
          <w:rPr>
            <w:color w:val="231F20"/>
            <w:spacing w:val="-5"/>
            <w:sz w:val="18"/>
          </w:rPr>
          <w:t>371</w:t>
        </w:r>
      </w:hyperlink>
    </w:p>
    <w:p>
      <w:pPr>
        <w:tabs>
          <w:tab w:pos="4986" w:val="right" w:leader="dot"/>
        </w:tabs>
        <w:spacing w:line="220" w:lineRule="exact" w:before="0"/>
        <w:ind w:left="676" w:right="0" w:firstLine="0"/>
        <w:jc w:val="left"/>
        <w:rPr>
          <w:sz w:val="18"/>
        </w:rPr>
      </w:pPr>
      <w:hyperlink w:history="true" w:anchor="_bookmark280">
        <w:r>
          <w:rPr>
            <w:color w:val="231F20"/>
            <w:spacing w:val="-2"/>
            <w:sz w:val="18"/>
          </w:rPr>
          <w:t>Permissions</w:t>
        </w:r>
      </w:hyperlink>
      <w:r>
        <w:rPr>
          <w:rFonts w:ascii="Times New Roman"/>
          <w:color w:val="231F20"/>
          <w:sz w:val="18"/>
        </w:rPr>
        <w:tab/>
      </w:r>
      <w:hyperlink w:history="true" w:anchor="_bookmark280">
        <w:r>
          <w:rPr>
            <w:color w:val="231F20"/>
            <w:spacing w:val="-5"/>
            <w:sz w:val="18"/>
          </w:rPr>
          <w:t>371</w:t>
        </w:r>
      </w:hyperlink>
    </w:p>
    <w:p>
      <w:pPr>
        <w:tabs>
          <w:tab w:pos="4986" w:val="right" w:leader="dot"/>
        </w:tabs>
        <w:spacing w:line="220" w:lineRule="exact" w:before="0"/>
        <w:ind w:left="676" w:right="0" w:firstLine="0"/>
        <w:jc w:val="left"/>
        <w:rPr>
          <w:sz w:val="18"/>
        </w:rPr>
      </w:pPr>
      <w:hyperlink w:history="true" w:anchor="_bookmark281">
        <w:r>
          <w:rPr>
            <w:color w:val="231F20"/>
            <w:spacing w:val="-2"/>
            <w:sz w:val="18"/>
          </w:rPr>
          <w:t>Applications</w:t>
        </w:r>
      </w:hyperlink>
      <w:r>
        <w:rPr>
          <w:rFonts w:ascii="Times New Roman"/>
          <w:color w:val="231F20"/>
          <w:sz w:val="18"/>
        </w:rPr>
        <w:tab/>
      </w:r>
      <w:hyperlink w:history="true" w:anchor="_bookmark281">
        <w:r>
          <w:rPr>
            <w:color w:val="231F20"/>
            <w:spacing w:val="-5"/>
            <w:sz w:val="18"/>
          </w:rPr>
          <w:t>374</w:t>
        </w:r>
      </w:hyperlink>
    </w:p>
    <w:p>
      <w:pPr>
        <w:tabs>
          <w:tab w:pos="4986" w:val="right" w:leader="dot"/>
        </w:tabs>
        <w:spacing w:line="220" w:lineRule="exact" w:before="0"/>
        <w:ind w:left="676" w:right="0" w:firstLine="0"/>
        <w:jc w:val="left"/>
        <w:rPr>
          <w:sz w:val="18"/>
        </w:rPr>
      </w:pPr>
      <w:hyperlink w:history="true" w:anchor="_bookmark282">
        <w:r>
          <w:rPr>
            <w:color w:val="231F20"/>
            <w:sz w:val="18"/>
          </w:rPr>
          <w:t>Navigator</w:t>
        </w:r>
        <w:r>
          <w:rPr>
            <w:color w:val="231F20"/>
            <w:spacing w:val="5"/>
            <w:sz w:val="18"/>
          </w:rPr>
          <w:t> </w:t>
        </w:r>
        <w:r>
          <w:rPr>
            <w:color w:val="231F20"/>
            <w:spacing w:val="-2"/>
            <w:sz w:val="18"/>
          </w:rPr>
          <w:t>views</w:t>
        </w:r>
      </w:hyperlink>
      <w:r>
        <w:rPr>
          <w:rFonts w:ascii="Times New Roman"/>
          <w:color w:val="231F20"/>
          <w:sz w:val="18"/>
        </w:rPr>
        <w:tab/>
      </w:r>
      <w:hyperlink w:history="true" w:anchor="_bookmark282">
        <w:r>
          <w:rPr>
            <w:color w:val="231F20"/>
            <w:spacing w:val="-5"/>
            <w:sz w:val="18"/>
          </w:rPr>
          <w:t>375</w:t>
        </w:r>
      </w:hyperlink>
    </w:p>
    <w:p>
      <w:pPr>
        <w:tabs>
          <w:tab w:pos="4986" w:val="right" w:leader="dot"/>
        </w:tabs>
        <w:spacing w:line="220" w:lineRule="exact" w:before="0"/>
        <w:ind w:left="676" w:right="0" w:firstLine="0"/>
        <w:jc w:val="left"/>
        <w:rPr>
          <w:sz w:val="18"/>
        </w:rPr>
      </w:pPr>
      <w:hyperlink w:history="true" w:anchor="_bookmark282">
        <w:r>
          <w:rPr>
            <w:color w:val="231F20"/>
            <w:sz w:val="18"/>
          </w:rPr>
          <w:t>Member</w:t>
        </w:r>
        <w:r>
          <w:rPr>
            <w:color w:val="231F20"/>
            <w:spacing w:val="10"/>
            <w:sz w:val="18"/>
          </w:rPr>
          <w:t> </w:t>
        </w:r>
        <w:r>
          <w:rPr>
            <w:color w:val="231F20"/>
            <w:sz w:val="18"/>
          </w:rPr>
          <w:t>Of</w:t>
        </w:r>
        <w:r>
          <w:rPr>
            <w:color w:val="231F20"/>
            <w:spacing w:val="10"/>
            <w:sz w:val="18"/>
          </w:rPr>
          <w:t> </w:t>
        </w:r>
        <w:r>
          <w:rPr>
            <w:color w:val="231F20"/>
            <w:sz w:val="18"/>
          </w:rPr>
          <w:t>and</w:t>
        </w:r>
        <w:r>
          <w:rPr>
            <w:color w:val="231F20"/>
            <w:spacing w:val="10"/>
            <w:sz w:val="18"/>
          </w:rPr>
          <w:t> </w:t>
        </w:r>
        <w:r>
          <w:rPr>
            <w:color w:val="231F20"/>
            <w:spacing w:val="-2"/>
            <w:sz w:val="18"/>
          </w:rPr>
          <w:t>Members</w:t>
        </w:r>
      </w:hyperlink>
      <w:r>
        <w:rPr>
          <w:rFonts w:ascii="Times New Roman"/>
          <w:color w:val="231F20"/>
          <w:sz w:val="18"/>
        </w:rPr>
        <w:tab/>
      </w:r>
      <w:hyperlink w:history="true" w:anchor="_bookmark282">
        <w:r>
          <w:rPr>
            <w:color w:val="231F20"/>
            <w:spacing w:val="-5"/>
            <w:sz w:val="18"/>
          </w:rPr>
          <w:t>375</w:t>
        </w:r>
      </w:hyperlink>
    </w:p>
    <w:p>
      <w:pPr>
        <w:tabs>
          <w:tab w:pos="4986" w:val="right" w:leader="dot"/>
        </w:tabs>
        <w:spacing w:line="220" w:lineRule="exact" w:before="0"/>
        <w:ind w:left="436" w:right="0" w:firstLine="0"/>
        <w:jc w:val="left"/>
        <w:rPr>
          <w:sz w:val="18"/>
        </w:rPr>
      </w:pPr>
      <w:hyperlink w:history="true" w:anchor="_bookmark282">
        <w:r>
          <w:rPr>
            <w:color w:val="231F20"/>
            <w:sz w:val="18"/>
          </w:rPr>
          <w:t>Notes</w:t>
        </w:r>
        <w:r>
          <w:rPr>
            <w:color w:val="231F20"/>
            <w:spacing w:val="10"/>
            <w:sz w:val="18"/>
          </w:rPr>
          <w:t> </w:t>
        </w:r>
        <w:r>
          <w:rPr>
            <w:color w:val="231F20"/>
            <w:sz w:val="18"/>
          </w:rPr>
          <w:t>on</w:t>
        </w:r>
        <w:r>
          <w:rPr>
            <w:color w:val="231F20"/>
            <w:spacing w:val="11"/>
            <w:sz w:val="18"/>
          </w:rPr>
          <w:t> </w:t>
        </w:r>
        <w:r>
          <w:rPr>
            <w:color w:val="231F20"/>
            <w:sz w:val="18"/>
          </w:rPr>
          <w:t>user</w:t>
        </w:r>
        <w:r>
          <w:rPr>
            <w:color w:val="231F20"/>
            <w:spacing w:val="10"/>
            <w:sz w:val="18"/>
          </w:rPr>
          <w:t> </w:t>
        </w:r>
        <w:r>
          <w:rPr>
            <w:color w:val="231F20"/>
            <w:spacing w:val="-2"/>
            <w:sz w:val="18"/>
          </w:rPr>
          <w:t>administration</w:t>
        </w:r>
      </w:hyperlink>
      <w:r>
        <w:rPr>
          <w:rFonts w:ascii="Times New Roman"/>
          <w:color w:val="231F20"/>
          <w:sz w:val="18"/>
        </w:rPr>
        <w:tab/>
      </w:r>
      <w:hyperlink w:history="true" w:anchor="_bookmark282">
        <w:r>
          <w:rPr>
            <w:color w:val="231F20"/>
            <w:spacing w:val="-5"/>
            <w:sz w:val="18"/>
          </w:rPr>
          <w:t>375</w:t>
        </w:r>
      </w:hyperlink>
    </w:p>
    <w:p>
      <w:pPr>
        <w:tabs>
          <w:tab w:pos="4986" w:val="right" w:leader="dot"/>
        </w:tabs>
        <w:spacing w:line="231" w:lineRule="exact" w:before="0"/>
        <w:ind w:left="436" w:right="0" w:firstLine="0"/>
        <w:jc w:val="left"/>
        <w:rPr>
          <w:sz w:val="18"/>
        </w:rPr>
      </w:pPr>
      <w:hyperlink w:history="true" w:anchor="_bookmark286">
        <w:r>
          <w:rPr>
            <w:color w:val="231F20"/>
            <w:sz w:val="18"/>
          </w:rPr>
          <w:t>Troubleshooting</w:t>
        </w:r>
        <w:r>
          <w:rPr>
            <w:color w:val="231F20"/>
            <w:spacing w:val="-2"/>
            <w:sz w:val="18"/>
          </w:rPr>
          <w:t> </w:t>
        </w:r>
        <w:r>
          <w:rPr>
            <w:color w:val="231F20"/>
            <w:sz w:val="18"/>
          </w:rPr>
          <w:t>logon</w:t>
        </w:r>
        <w:r>
          <w:rPr>
            <w:color w:val="231F20"/>
            <w:spacing w:val="-2"/>
            <w:sz w:val="18"/>
          </w:rPr>
          <w:t> </w:t>
        </w:r>
        <w:r>
          <w:rPr>
            <w:color w:val="231F20"/>
            <w:sz w:val="18"/>
          </w:rPr>
          <w:t>error</w:t>
        </w:r>
        <w:r>
          <w:rPr>
            <w:color w:val="231F20"/>
            <w:spacing w:val="-1"/>
            <w:sz w:val="18"/>
          </w:rPr>
          <w:t> </w:t>
        </w:r>
        <w:r>
          <w:rPr>
            <w:color w:val="231F20"/>
            <w:spacing w:val="-2"/>
            <w:sz w:val="18"/>
          </w:rPr>
          <w:t>messages</w:t>
        </w:r>
      </w:hyperlink>
      <w:r>
        <w:rPr>
          <w:rFonts w:ascii="Times New Roman"/>
          <w:color w:val="231F20"/>
          <w:sz w:val="18"/>
        </w:rPr>
        <w:tab/>
      </w:r>
      <w:hyperlink w:history="true" w:anchor="_bookmark286">
        <w:r>
          <w:rPr>
            <w:color w:val="231F20"/>
            <w:spacing w:val="-5"/>
            <w:sz w:val="18"/>
          </w:rPr>
          <w:t>379</w:t>
        </w:r>
      </w:hyperlink>
    </w:p>
    <w:p>
      <w:pPr>
        <w:pStyle w:val="Heading5"/>
        <w:spacing w:before="223"/>
        <w:ind w:left="436"/>
      </w:pPr>
      <w:hyperlink w:history="true" w:anchor="_bookmark288">
        <w:r>
          <w:rPr>
            <w:color w:val="231F20"/>
          </w:rPr>
          <w:t>Chapter</w:t>
        </w:r>
        <w:r>
          <w:rPr>
            <w:color w:val="231F20"/>
            <w:spacing w:val="-8"/>
          </w:rPr>
          <w:t> </w:t>
        </w:r>
        <w:r>
          <w:rPr>
            <w:color w:val="231F20"/>
          </w:rPr>
          <w:t>13.</w:t>
        </w:r>
        <w:r>
          <w:rPr>
            <w:color w:val="231F20"/>
            <w:spacing w:val="4"/>
          </w:rPr>
          <w:t> </w:t>
        </w:r>
        <w:r>
          <w:rPr>
            <w:color w:val="231F20"/>
          </w:rPr>
          <w:t>Managing</w:t>
        </w:r>
        <w:r>
          <w:rPr>
            <w:color w:val="231F20"/>
            <w:spacing w:val="3"/>
          </w:rPr>
          <w:t> </w:t>
        </w:r>
        <w:r>
          <w:rPr>
            <w:color w:val="231F20"/>
            <w:spacing w:val="-5"/>
          </w:rPr>
          <w:t>the</w:t>
        </w:r>
      </w:hyperlink>
    </w:p>
    <w:p>
      <w:pPr>
        <w:pStyle w:val="Heading5"/>
        <w:tabs>
          <w:tab w:pos="4986" w:val="right" w:leader="dot"/>
        </w:tabs>
        <w:spacing w:line="252" w:lineRule="exact" w:before="7"/>
        <w:ind w:left="436"/>
      </w:pPr>
      <w:hyperlink w:history="true" w:anchor="_bookmark288">
        <w:r>
          <w:rPr>
            <w:color w:val="231F20"/>
            <w:spacing w:val="-2"/>
          </w:rPr>
          <w:t>environment</w:t>
        </w:r>
      </w:hyperlink>
      <w:r>
        <w:rPr>
          <w:rFonts w:ascii="Times New Roman"/>
          <w:b w:val="0"/>
          <w:color w:val="231F20"/>
        </w:rPr>
        <w:tab/>
      </w:r>
      <w:hyperlink w:history="true" w:anchor="_bookmark288">
        <w:r>
          <w:rPr>
            <w:color w:val="231F20"/>
            <w:spacing w:val="-5"/>
          </w:rPr>
          <w:t>381</w:t>
        </w:r>
      </w:hyperlink>
    </w:p>
    <w:p>
      <w:pPr>
        <w:tabs>
          <w:tab w:pos="4986" w:val="right" w:leader="dot"/>
        </w:tabs>
        <w:spacing w:line="231" w:lineRule="exact" w:before="0"/>
        <w:ind w:left="436" w:right="0" w:firstLine="0"/>
        <w:jc w:val="left"/>
        <w:rPr>
          <w:sz w:val="18"/>
        </w:rPr>
      </w:pPr>
      <w:hyperlink w:history="true" w:anchor="_bookmark288">
        <w:r>
          <w:rPr>
            <w:color w:val="231F20"/>
            <w:sz w:val="18"/>
          </w:rPr>
          <w:t>Grouping</w:t>
        </w:r>
        <w:r>
          <w:rPr>
            <w:color w:val="231F20"/>
            <w:spacing w:val="2"/>
            <w:sz w:val="18"/>
          </w:rPr>
          <w:t> </w:t>
        </w:r>
        <w:r>
          <w:rPr>
            <w:color w:val="231F20"/>
            <w:spacing w:val="-2"/>
            <w:sz w:val="18"/>
          </w:rPr>
          <w:t>objects</w:t>
        </w:r>
      </w:hyperlink>
      <w:r>
        <w:rPr>
          <w:rFonts w:ascii="Times New Roman"/>
          <w:color w:val="231F20"/>
          <w:sz w:val="18"/>
        </w:rPr>
        <w:tab/>
      </w:r>
      <w:hyperlink w:history="true" w:anchor="_bookmark288">
        <w:r>
          <w:rPr>
            <w:color w:val="231F20"/>
            <w:spacing w:val="-5"/>
            <w:sz w:val="18"/>
          </w:rPr>
          <w:t>381</w:t>
        </w:r>
      </w:hyperlink>
    </w:p>
    <w:p>
      <w:pPr>
        <w:tabs>
          <w:tab w:pos="4986" w:val="right" w:leader="dot"/>
        </w:tabs>
        <w:spacing w:line="220" w:lineRule="exact" w:before="0"/>
        <w:ind w:left="676" w:right="0" w:firstLine="0"/>
        <w:jc w:val="left"/>
        <w:rPr>
          <w:sz w:val="18"/>
        </w:rPr>
      </w:pPr>
      <w:hyperlink w:history="true" w:anchor="_bookmark288">
        <w:r>
          <w:rPr>
            <w:color w:val="231F20"/>
            <w:sz w:val="18"/>
          </w:rPr>
          <w:t>Object</w:t>
        </w:r>
        <w:r>
          <w:rPr>
            <w:color w:val="231F20"/>
            <w:spacing w:val="7"/>
            <w:sz w:val="18"/>
          </w:rPr>
          <w:t> </w:t>
        </w:r>
        <w:r>
          <w:rPr>
            <w:color w:val="231F20"/>
            <w:sz w:val="18"/>
          </w:rPr>
          <w:t>group</w:t>
        </w:r>
        <w:r>
          <w:rPr>
            <w:color w:val="231F20"/>
            <w:spacing w:val="7"/>
            <w:sz w:val="18"/>
          </w:rPr>
          <w:t> </w:t>
        </w:r>
        <w:r>
          <w:rPr>
            <w:color w:val="231F20"/>
            <w:spacing w:val="-2"/>
            <w:sz w:val="18"/>
          </w:rPr>
          <w:t>editor</w:t>
        </w:r>
      </w:hyperlink>
      <w:r>
        <w:rPr>
          <w:rFonts w:ascii="Times New Roman"/>
          <w:color w:val="231F20"/>
          <w:sz w:val="18"/>
        </w:rPr>
        <w:tab/>
      </w:r>
      <w:hyperlink w:history="true" w:anchor="_bookmark288">
        <w:r>
          <w:rPr>
            <w:color w:val="231F20"/>
            <w:spacing w:val="-5"/>
            <w:sz w:val="18"/>
          </w:rPr>
          <w:t>381</w:t>
        </w:r>
      </w:hyperlink>
    </w:p>
    <w:p>
      <w:pPr>
        <w:tabs>
          <w:tab w:pos="4986" w:val="right" w:leader="dot"/>
        </w:tabs>
        <w:spacing w:line="220" w:lineRule="exact" w:before="0"/>
        <w:ind w:left="676" w:right="0" w:firstLine="0"/>
        <w:jc w:val="left"/>
        <w:rPr>
          <w:sz w:val="18"/>
        </w:rPr>
      </w:pPr>
      <w:hyperlink w:history="true" w:anchor="_bookmark291">
        <w:r>
          <w:rPr>
            <w:color w:val="231F20"/>
            <w:sz w:val="18"/>
          </w:rPr>
          <w:t>Managed</w:t>
        </w:r>
        <w:r>
          <w:rPr>
            <w:color w:val="231F20"/>
            <w:spacing w:val="7"/>
            <w:sz w:val="18"/>
          </w:rPr>
          <w:t> </w:t>
        </w:r>
        <w:r>
          <w:rPr>
            <w:color w:val="231F20"/>
            <w:sz w:val="18"/>
          </w:rPr>
          <w:t>system</w:t>
        </w:r>
        <w:r>
          <w:rPr>
            <w:color w:val="231F20"/>
            <w:spacing w:val="7"/>
            <w:sz w:val="18"/>
          </w:rPr>
          <w:t> </w:t>
        </w:r>
        <w:r>
          <w:rPr>
            <w:color w:val="231F20"/>
            <w:spacing w:val="-2"/>
            <w:sz w:val="18"/>
          </w:rPr>
          <w:t>groups</w:t>
        </w:r>
      </w:hyperlink>
      <w:r>
        <w:rPr>
          <w:rFonts w:ascii="Times New Roman"/>
          <w:color w:val="231F20"/>
          <w:sz w:val="18"/>
        </w:rPr>
        <w:tab/>
      </w:r>
      <w:hyperlink w:history="true" w:anchor="_bookmark291">
        <w:r>
          <w:rPr>
            <w:color w:val="231F20"/>
            <w:spacing w:val="-5"/>
            <w:sz w:val="18"/>
          </w:rPr>
          <w:t>383</w:t>
        </w:r>
      </w:hyperlink>
    </w:p>
    <w:p>
      <w:pPr>
        <w:tabs>
          <w:tab w:pos="4986" w:val="right" w:leader="dot"/>
        </w:tabs>
        <w:spacing w:line="220" w:lineRule="exact" w:before="0"/>
        <w:ind w:left="676" w:right="0" w:firstLine="0"/>
        <w:jc w:val="left"/>
        <w:rPr>
          <w:sz w:val="18"/>
        </w:rPr>
      </w:pPr>
      <w:hyperlink w:history="true" w:anchor="_bookmark294">
        <w:r>
          <w:rPr>
            <w:color w:val="231F20"/>
            <w:sz w:val="18"/>
          </w:rPr>
          <w:t>Creating</w:t>
        </w:r>
        <w:r>
          <w:rPr>
            <w:color w:val="231F20"/>
            <w:spacing w:val="6"/>
            <w:sz w:val="18"/>
          </w:rPr>
          <w:t> </w:t>
        </w:r>
        <w:r>
          <w:rPr>
            <w:color w:val="231F20"/>
            <w:sz w:val="18"/>
          </w:rPr>
          <w:t>a</w:t>
        </w:r>
        <w:r>
          <w:rPr>
            <w:color w:val="231F20"/>
            <w:spacing w:val="7"/>
            <w:sz w:val="18"/>
          </w:rPr>
          <w:t> </w:t>
        </w:r>
        <w:r>
          <w:rPr>
            <w:color w:val="231F20"/>
            <w:sz w:val="18"/>
          </w:rPr>
          <w:t>historical</w:t>
        </w:r>
        <w:r>
          <w:rPr>
            <w:color w:val="231F20"/>
            <w:spacing w:val="6"/>
            <w:sz w:val="18"/>
          </w:rPr>
          <w:t> </w:t>
        </w:r>
        <w:r>
          <w:rPr>
            <w:color w:val="231F20"/>
            <w:sz w:val="18"/>
          </w:rPr>
          <w:t>configuration</w:t>
        </w:r>
        <w:r>
          <w:rPr>
            <w:color w:val="231F20"/>
            <w:spacing w:val="7"/>
            <w:sz w:val="18"/>
          </w:rPr>
          <w:t> </w:t>
        </w:r>
        <w:r>
          <w:rPr>
            <w:color w:val="231F20"/>
            <w:spacing w:val="-2"/>
            <w:sz w:val="18"/>
          </w:rPr>
          <w:t>group</w:t>
        </w:r>
      </w:hyperlink>
      <w:r>
        <w:rPr>
          <w:rFonts w:ascii="Times New Roman"/>
          <w:color w:val="231F20"/>
          <w:sz w:val="18"/>
        </w:rPr>
        <w:tab/>
      </w:r>
      <w:hyperlink w:history="true" w:anchor="_bookmark294">
        <w:r>
          <w:rPr>
            <w:color w:val="231F20"/>
            <w:spacing w:val="-5"/>
            <w:sz w:val="18"/>
          </w:rPr>
          <w:t>386</w:t>
        </w:r>
      </w:hyperlink>
    </w:p>
    <w:p>
      <w:pPr>
        <w:tabs>
          <w:tab w:pos="4986" w:val="right" w:leader="dot"/>
        </w:tabs>
        <w:spacing w:line="220" w:lineRule="exact" w:before="0"/>
        <w:ind w:left="676" w:right="0" w:firstLine="0"/>
        <w:jc w:val="left"/>
        <w:rPr>
          <w:sz w:val="18"/>
        </w:rPr>
      </w:pPr>
      <w:hyperlink w:history="true" w:anchor="_bookmark295">
        <w:r>
          <w:rPr>
            <w:color w:val="231F20"/>
            <w:sz w:val="18"/>
          </w:rPr>
          <w:t>Creating</w:t>
        </w:r>
        <w:r>
          <w:rPr>
            <w:color w:val="231F20"/>
            <w:spacing w:val="7"/>
            <w:sz w:val="18"/>
          </w:rPr>
          <w:t> </w:t>
        </w:r>
        <w:r>
          <w:rPr>
            <w:color w:val="231F20"/>
            <w:sz w:val="18"/>
          </w:rPr>
          <w:t>a</w:t>
        </w:r>
        <w:r>
          <w:rPr>
            <w:color w:val="231F20"/>
            <w:spacing w:val="8"/>
            <w:sz w:val="18"/>
          </w:rPr>
          <w:t> </w:t>
        </w:r>
        <w:r>
          <w:rPr>
            <w:color w:val="231F20"/>
            <w:sz w:val="18"/>
          </w:rPr>
          <w:t>situation</w:t>
        </w:r>
        <w:r>
          <w:rPr>
            <w:color w:val="231F20"/>
            <w:spacing w:val="8"/>
            <w:sz w:val="18"/>
          </w:rPr>
          <w:t> </w:t>
        </w:r>
        <w:r>
          <w:rPr>
            <w:color w:val="231F20"/>
            <w:spacing w:val="-4"/>
            <w:sz w:val="18"/>
          </w:rPr>
          <w:t>group</w:t>
        </w:r>
      </w:hyperlink>
      <w:r>
        <w:rPr>
          <w:rFonts w:ascii="Times New Roman"/>
          <w:color w:val="231F20"/>
          <w:sz w:val="18"/>
        </w:rPr>
        <w:tab/>
      </w:r>
      <w:hyperlink w:history="true" w:anchor="_bookmark295">
        <w:r>
          <w:rPr>
            <w:color w:val="231F20"/>
            <w:spacing w:val="-5"/>
            <w:sz w:val="18"/>
          </w:rPr>
          <w:t>387</w:t>
        </w:r>
      </w:hyperlink>
    </w:p>
    <w:p>
      <w:pPr>
        <w:tabs>
          <w:tab w:pos="4986" w:val="right" w:leader="dot"/>
        </w:tabs>
        <w:spacing w:line="220" w:lineRule="exact" w:before="0"/>
        <w:ind w:left="436" w:right="0" w:firstLine="0"/>
        <w:jc w:val="left"/>
        <w:rPr>
          <w:sz w:val="18"/>
        </w:rPr>
      </w:pPr>
      <w:hyperlink w:history="true" w:anchor="_bookmark296">
        <w:r>
          <w:rPr>
            <w:color w:val="231F20"/>
            <w:sz w:val="18"/>
          </w:rPr>
          <w:t>Managed</w:t>
        </w:r>
        <w:r>
          <w:rPr>
            <w:color w:val="231F20"/>
            <w:spacing w:val="7"/>
            <w:sz w:val="18"/>
          </w:rPr>
          <w:t> </w:t>
        </w:r>
        <w:r>
          <w:rPr>
            <w:color w:val="231F20"/>
            <w:sz w:val="18"/>
          </w:rPr>
          <w:t>system</w:t>
        </w:r>
        <w:r>
          <w:rPr>
            <w:color w:val="231F20"/>
            <w:spacing w:val="7"/>
            <w:sz w:val="18"/>
          </w:rPr>
          <w:t> </w:t>
        </w:r>
        <w:r>
          <w:rPr>
            <w:color w:val="231F20"/>
            <w:spacing w:val="-2"/>
            <w:sz w:val="18"/>
          </w:rPr>
          <w:t>status</w:t>
        </w:r>
      </w:hyperlink>
      <w:r>
        <w:rPr>
          <w:rFonts w:ascii="Times New Roman"/>
          <w:color w:val="231F20"/>
          <w:sz w:val="18"/>
        </w:rPr>
        <w:tab/>
      </w:r>
      <w:hyperlink w:history="true" w:anchor="_bookmark296">
        <w:r>
          <w:rPr>
            <w:color w:val="231F20"/>
            <w:spacing w:val="-5"/>
            <w:sz w:val="18"/>
          </w:rPr>
          <w:t>388</w:t>
        </w:r>
      </w:hyperlink>
    </w:p>
    <w:p>
      <w:pPr>
        <w:tabs>
          <w:tab w:pos="4986" w:val="right" w:leader="dot"/>
        </w:tabs>
        <w:spacing w:line="220" w:lineRule="exact" w:before="0"/>
        <w:ind w:left="676" w:right="0" w:firstLine="0"/>
        <w:jc w:val="left"/>
        <w:rPr>
          <w:sz w:val="18"/>
        </w:rPr>
      </w:pPr>
      <w:hyperlink w:history="true" w:anchor="_bookmark296">
        <w:r>
          <w:rPr>
            <w:color w:val="231F20"/>
            <w:sz w:val="18"/>
          </w:rPr>
          <w:t>Managed</w:t>
        </w:r>
        <w:r>
          <w:rPr>
            <w:color w:val="231F20"/>
            <w:spacing w:val="7"/>
            <w:sz w:val="18"/>
          </w:rPr>
          <w:t> </w:t>
        </w:r>
        <w:r>
          <w:rPr>
            <w:color w:val="231F20"/>
            <w:sz w:val="18"/>
          </w:rPr>
          <w:t>System</w:t>
        </w:r>
        <w:r>
          <w:rPr>
            <w:color w:val="231F20"/>
            <w:spacing w:val="8"/>
            <w:sz w:val="18"/>
          </w:rPr>
          <w:t> </w:t>
        </w:r>
        <w:r>
          <w:rPr>
            <w:color w:val="231F20"/>
            <w:sz w:val="18"/>
          </w:rPr>
          <w:t>Status</w:t>
        </w:r>
        <w:r>
          <w:rPr>
            <w:color w:val="231F20"/>
            <w:spacing w:val="8"/>
            <w:sz w:val="18"/>
          </w:rPr>
          <w:t> </w:t>
        </w:r>
        <w:r>
          <w:rPr>
            <w:color w:val="231F20"/>
            <w:spacing w:val="-2"/>
            <w:sz w:val="18"/>
          </w:rPr>
          <w:t>workspace</w:t>
        </w:r>
      </w:hyperlink>
      <w:r>
        <w:rPr>
          <w:rFonts w:ascii="Times New Roman"/>
          <w:color w:val="231F20"/>
          <w:sz w:val="18"/>
        </w:rPr>
        <w:tab/>
      </w:r>
      <w:hyperlink w:history="true" w:anchor="_bookmark296">
        <w:r>
          <w:rPr>
            <w:color w:val="231F20"/>
            <w:spacing w:val="-5"/>
            <w:sz w:val="18"/>
          </w:rPr>
          <w:t>388</w:t>
        </w:r>
      </w:hyperlink>
    </w:p>
    <w:p>
      <w:pPr>
        <w:tabs>
          <w:tab w:pos="4986" w:val="right" w:leader="dot"/>
        </w:tabs>
        <w:spacing w:line="216" w:lineRule="auto" w:before="7"/>
        <w:ind w:left="676" w:right="0" w:firstLine="0"/>
        <w:jc w:val="left"/>
        <w:rPr>
          <w:sz w:val="18"/>
        </w:rPr>
      </w:pPr>
      <w:hyperlink w:history="true" w:anchor="_bookmark302">
        <w:r>
          <w:rPr>
            <w:color w:val="231F20"/>
            <w:sz w:val="18"/>
          </w:rPr>
          <w:t>Adding a Managed System Status view to a</w:t>
        </w:r>
      </w:hyperlink>
      <w:r>
        <w:rPr>
          <w:color w:val="231F20"/>
          <w:sz w:val="18"/>
        </w:rPr>
        <w:t> </w:t>
      </w:r>
      <w:hyperlink w:history="true" w:anchor="_bookmark302">
        <w:r>
          <w:rPr>
            <w:color w:val="231F20"/>
            <w:spacing w:val="-2"/>
            <w:sz w:val="18"/>
          </w:rPr>
          <w:t>workspace</w:t>
        </w:r>
      </w:hyperlink>
      <w:r>
        <w:rPr>
          <w:rFonts w:ascii="Times New Roman"/>
          <w:color w:val="231F20"/>
          <w:sz w:val="18"/>
        </w:rPr>
        <w:tab/>
      </w:r>
      <w:hyperlink w:history="true" w:anchor="_bookmark302">
        <w:r>
          <w:rPr>
            <w:color w:val="231F20"/>
            <w:spacing w:val="-4"/>
            <w:sz w:val="18"/>
          </w:rPr>
          <w:t>392</w:t>
        </w:r>
      </w:hyperlink>
    </w:p>
    <w:p>
      <w:pPr>
        <w:tabs>
          <w:tab w:pos="4717" w:val="left" w:leader="dot"/>
        </w:tabs>
        <w:spacing w:line="231" w:lineRule="exact" w:before="47"/>
        <w:ind w:left="676" w:right="0" w:firstLine="0"/>
        <w:jc w:val="left"/>
        <w:rPr>
          <w:sz w:val="18"/>
        </w:rPr>
      </w:pPr>
      <w:r>
        <w:rPr/>
        <w:br w:type="column"/>
      </w:r>
      <w:hyperlink w:history="true" w:anchor="_bookmark302">
        <w:r>
          <w:rPr>
            <w:color w:val="231F20"/>
            <w:sz w:val="18"/>
          </w:rPr>
          <w:t>EIB</w:t>
        </w:r>
        <w:r>
          <w:rPr>
            <w:color w:val="231F20"/>
            <w:spacing w:val="10"/>
            <w:sz w:val="18"/>
          </w:rPr>
          <w:t> </w:t>
        </w:r>
        <w:r>
          <w:rPr>
            <w:color w:val="231F20"/>
            <w:sz w:val="18"/>
          </w:rPr>
          <w:t>Change</w:t>
        </w:r>
        <w:r>
          <w:rPr>
            <w:color w:val="231F20"/>
            <w:spacing w:val="9"/>
            <w:sz w:val="18"/>
          </w:rPr>
          <w:t> </w:t>
        </w:r>
        <w:r>
          <w:rPr>
            <w:color w:val="231F20"/>
            <w:sz w:val="18"/>
          </w:rPr>
          <w:t>Log</w:t>
        </w:r>
        <w:r>
          <w:rPr>
            <w:color w:val="231F20"/>
            <w:spacing w:val="10"/>
            <w:sz w:val="18"/>
          </w:rPr>
          <w:t> </w:t>
        </w:r>
        <w:r>
          <w:rPr>
            <w:color w:val="231F20"/>
            <w:spacing w:val="-2"/>
            <w:sz w:val="18"/>
          </w:rPr>
          <w:t>workspace</w:t>
        </w:r>
      </w:hyperlink>
      <w:r>
        <w:rPr>
          <w:rFonts w:ascii="Times New Roman"/>
          <w:color w:val="231F20"/>
          <w:sz w:val="18"/>
        </w:rPr>
        <w:tab/>
      </w:r>
      <w:hyperlink w:history="true" w:anchor="_bookmark302">
        <w:r>
          <w:rPr>
            <w:color w:val="231F20"/>
            <w:spacing w:val="-5"/>
            <w:sz w:val="18"/>
          </w:rPr>
          <w:t>392</w:t>
        </w:r>
      </w:hyperlink>
    </w:p>
    <w:p>
      <w:pPr>
        <w:tabs>
          <w:tab w:pos="4717" w:val="left" w:leader="dot"/>
        </w:tabs>
        <w:spacing w:line="220" w:lineRule="exact" w:before="0"/>
        <w:ind w:left="676" w:right="0" w:firstLine="0"/>
        <w:jc w:val="left"/>
        <w:rPr>
          <w:sz w:val="18"/>
        </w:rPr>
      </w:pPr>
      <w:hyperlink w:history="true" w:anchor="_bookmark303">
        <w:r>
          <w:rPr>
            <w:color w:val="231F20"/>
            <w:sz w:val="18"/>
          </w:rPr>
          <w:t>Self-Monitoring</w:t>
        </w:r>
        <w:r>
          <w:rPr>
            <w:color w:val="231F20"/>
            <w:spacing w:val="-5"/>
            <w:sz w:val="18"/>
          </w:rPr>
          <w:t> </w:t>
        </w:r>
        <w:r>
          <w:rPr>
            <w:color w:val="231F20"/>
            <w:sz w:val="18"/>
          </w:rPr>
          <w:t>Topology</w:t>
        </w:r>
        <w:r>
          <w:rPr>
            <w:color w:val="231F20"/>
            <w:spacing w:val="-5"/>
            <w:sz w:val="18"/>
          </w:rPr>
          <w:t> </w:t>
        </w:r>
        <w:r>
          <w:rPr>
            <w:color w:val="231F20"/>
            <w:spacing w:val="-2"/>
            <w:sz w:val="18"/>
          </w:rPr>
          <w:t>workspace</w:t>
        </w:r>
      </w:hyperlink>
      <w:r>
        <w:rPr>
          <w:rFonts w:ascii="Times New Roman"/>
          <w:color w:val="231F20"/>
          <w:sz w:val="18"/>
        </w:rPr>
        <w:tab/>
      </w:r>
      <w:hyperlink w:history="true" w:anchor="_bookmark303">
        <w:r>
          <w:rPr>
            <w:color w:val="231F20"/>
            <w:spacing w:val="-5"/>
            <w:sz w:val="18"/>
          </w:rPr>
          <w:t>393</w:t>
        </w:r>
      </w:hyperlink>
    </w:p>
    <w:p>
      <w:pPr>
        <w:tabs>
          <w:tab w:pos="4717" w:val="left" w:leader="dot"/>
        </w:tabs>
        <w:spacing w:line="220" w:lineRule="exact" w:before="0"/>
        <w:ind w:left="436" w:right="0" w:firstLine="0"/>
        <w:jc w:val="left"/>
        <w:rPr>
          <w:sz w:val="18"/>
        </w:rPr>
      </w:pPr>
      <w:hyperlink w:history="true" w:anchor="_bookmark304">
        <w:r>
          <w:rPr>
            <w:color w:val="231F20"/>
            <w:sz w:val="18"/>
          </w:rPr>
          <w:t>Tivoli</w:t>
        </w:r>
        <w:r>
          <w:rPr>
            <w:color w:val="231F20"/>
            <w:spacing w:val="4"/>
            <w:sz w:val="18"/>
          </w:rPr>
          <w:t> </w:t>
        </w:r>
        <w:r>
          <w:rPr>
            <w:color w:val="231F20"/>
            <w:sz w:val="18"/>
          </w:rPr>
          <w:t>Enterprise</w:t>
        </w:r>
        <w:r>
          <w:rPr>
            <w:color w:val="231F20"/>
            <w:spacing w:val="5"/>
            <w:sz w:val="18"/>
          </w:rPr>
          <w:t> </w:t>
        </w:r>
        <w:r>
          <w:rPr>
            <w:color w:val="231F20"/>
            <w:sz w:val="18"/>
          </w:rPr>
          <w:t>Monitoring</w:t>
        </w:r>
        <w:r>
          <w:rPr>
            <w:color w:val="231F20"/>
            <w:spacing w:val="5"/>
            <w:sz w:val="18"/>
          </w:rPr>
          <w:t> </w:t>
        </w:r>
        <w:r>
          <w:rPr>
            <w:color w:val="231F20"/>
            <w:sz w:val="18"/>
          </w:rPr>
          <w:t>Server</w:t>
        </w:r>
        <w:r>
          <w:rPr>
            <w:color w:val="231F20"/>
            <w:spacing w:val="4"/>
            <w:sz w:val="18"/>
          </w:rPr>
          <w:t> </w:t>
        </w:r>
        <w:r>
          <w:rPr>
            <w:color w:val="231F20"/>
            <w:spacing w:val="-2"/>
            <w:sz w:val="18"/>
          </w:rPr>
          <w:t>status</w:t>
        </w:r>
      </w:hyperlink>
      <w:r>
        <w:rPr>
          <w:rFonts w:ascii="Times New Roman"/>
          <w:color w:val="231F20"/>
          <w:sz w:val="18"/>
        </w:rPr>
        <w:tab/>
      </w:r>
      <w:hyperlink w:history="true" w:anchor="_bookmark304">
        <w:r>
          <w:rPr>
            <w:color w:val="231F20"/>
            <w:spacing w:val="-5"/>
            <w:sz w:val="18"/>
          </w:rPr>
          <w:t>394</w:t>
        </w:r>
      </w:hyperlink>
    </w:p>
    <w:p>
      <w:pPr>
        <w:tabs>
          <w:tab w:pos="4717" w:val="left" w:leader="dot"/>
        </w:tabs>
        <w:spacing w:line="216" w:lineRule="auto" w:before="8"/>
        <w:ind w:left="676" w:right="162" w:firstLine="0"/>
        <w:jc w:val="left"/>
        <w:rPr>
          <w:sz w:val="18"/>
        </w:rPr>
      </w:pPr>
      <w:hyperlink w:history="true" w:anchor="_bookmark304">
        <w:r>
          <w:rPr>
            <w:color w:val="231F20"/>
            <w:sz w:val="18"/>
          </w:rPr>
          <w:t>Manage Tivoli Enterprise Monitoring Servers</w:t>
        </w:r>
      </w:hyperlink>
      <w:r>
        <w:rPr>
          <w:color w:val="231F20"/>
          <w:sz w:val="18"/>
        </w:rPr>
        <w:t> </w:t>
      </w:r>
      <w:hyperlink w:history="true" w:anchor="_bookmark304">
        <w:r>
          <w:rPr>
            <w:color w:val="231F20"/>
            <w:spacing w:val="-2"/>
            <w:sz w:val="18"/>
          </w:rPr>
          <w:t>workspaces</w:t>
        </w:r>
      </w:hyperlink>
      <w:r>
        <w:rPr>
          <w:rFonts w:ascii="Times New Roman"/>
          <w:color w:val="231F20"/>
          <w:sz w:val="18"/>
        </w:rPr>
        <w:tab/>
      </w:r>
      <w:hyperlink w:history="true" w:anchor="_bookmark304">
        <w:r>
          <w:rPr>
            <w:color w:val="231F20"/>
            <w:spacing w:val="-4"/>
            <w:sz w:val="18"/>
          </w:rPr>
          <w:t>394</w:t>
        </w:r>
      </w:hyperlink>
    </w:p>
    <w:p>
      <w:pPr>
        <w:tabs>
          <w:tab w:pos="4717" w:val="left" w:leader="dot"/>
        </w:tabs>
        <w:spacing w:line="216" w:lineRule="auto" w:before="2"/>
        <w:ind w:left="676" w:right="162" w:firstLine="0"/>
        <w:jc w:val="left"/>
        <w:rPr>
          <w:sz w:val="18"/>
        </w:rPr>
      </w:pPr>
      <w:hyperlink w:history="true" w:anchor="_bookmark305">
        <w:r>
          <w:rPr>
            <w:color w:val="231F20"/>
            <w:sz w:val="18"/>
          </w:rPr>
          <w:t>Manage Tivoli Enterprise Monitoring Server</w:t>
        </w:r>
      </w:hyperlink>
      <w:r>
        <w:rPr>
          <w:color w:val="231F20"/>
          <w:spacing w:val="40"/>
          <w:sz w:val="18"/>
        </w:rPr>
        <w:t> </w:t>
      </w:r>
      <w:hyperlink w:history="true" w:anchor="_bookmark305">
        <w:r>
          <w:rPr>
            <w:color w:val="231F20"/>
            <w:spacing w:val="-2"/>
            <w:sz w:val="18"/>
          </w:rPr>
          <w:t>situations</w:t>
        </w:r>
      </w:hyperlink>
      <w:r>
        <w:rPr>
          <w:rFonts w:ascii="Times New Roman"/>
          <w:color w:val="231F20"/>
          <w:sz w:val="18"/>
        </w:rPr>
        <w:tab/>
      </w:r>
      <w:hyperlink w:history="true" w:anchor="_bookmark305">
        <w:r>
          <w:rPr>
            <w:color w:val="231F20"/>
            <w:spacing w:val="-5"/>
            <w:sz w:val="18"/>
          </w:rPr>
          <w:t>395</w:t>
        </w:r>
      </w:hyperlink>
    </w:p>
    <w:p>
      <w:pPr>
        <w:tabs>
          <w:tab w:pos="4717" w:val="left" w:leader="dot"/>
        </w:tabs>
        <w:spacing w:line="214" w:lineRule="exact" w:before="0"/>
        <w:ind w:left="436" w:right="0" w:firstLine="0"/>
        <w:jc w:val="left"/>
        <w:rPr>
          <w:sz w:val="18"/>
        </w:rPr>
      </w:pPr>
      <w:hyperlink w:history="true" w:anchor="_bookmark306">
        <w:r>
          <w:rPr>
            <w:color w:val="231F20"/>
            <w:sz w:val="18"/>
          </w:rPr>
          <w:t>Managing</w:t>
        </w:r>
        <w:r>
          <w:rPr>
            <w:color w:val="231F20"/>
            <w:spacing w:val="5"/>
            <w:sz w:val="18"/>
          </w:rPr>
          <w:t> </w:t>
        </w:r>
        <w:r>
          <w:rPr>
            <w:color w:val="231F20"/>
            <w:sz w:val="18"/>
          </w:rPr>
          <w:t>monitoring</w:t>
        </w:r>
        <w:r>
          <w:rPr>
            <w:color w:val="231F20"/>
            <w:spacing w:val="5"/>
            <w:sz w:val="18"/>
          </w:rPr>
          <w:t> </w:t>
        </w:r>
        <w:r>
          <w:rPr>
            <w:color w:val="231F20"/>
            <w:spacing w:val="-2"/>
            <w:sz w:val="18"/>
          </w:rPr>
          <w:t>agents</w:t>
        </w:r>
      </w:hyperlink>
      <w:r>
        <w:rPr>
          <w:rFonts w:ascii="Times New Roman"/>
          <w:color w:val="231F20"/>
          <w:sz w:val="18"/>
        </w:rPr>
        <w:tab/>
      </w:r>
      <w:hyperlink w:history="true" w:anchor="_bookmark306">
        <w:r>
          <w:rPr>
            <w:color w:val="231F20"/>
            <w:spacing w:val="-5"/>
            <w:sz w:val="18"/>
          </w:rPr>
          <w:t>396</w:t>
        </w:r>
      </w:hyperlink>
    </w:p>
    <w:p>
      <w:pPr>
        <w:tabs>
          <w:tab w:pos="4717" w:val="left" w:leader="dot"/>
        </w:tabs>
        <w:spacing w:line="220" w:lineRule="exact" w:before="0"/>
        <w:ind w:left="676" w:right="0" w:firstLine="0"/>
        <w:jc w:val="left"/>
        <w:rPr>
          <w:sz w:val="18"/>
        </w:rPr>
      </w:pPr>
      <w:hyperlink w:history="true" w:anchor="_bookmark306">
        <w:r>
          <w:rPr>
            <w:color w:val="231F20"/>
            <w:sz w:val="18"/>
          </w:rPr>
          <w:t>Agent</w:t>
        </w:r>
        <w:r>
          <w:rPr>
            <w:color w:val="231F20"/>
            <w:spacing w:val="6"/>
            <w:sz w:val="18"/>
          </w:rPr>
          <w:t> </w:t>
        </w:r>
        <w:r>
          <w:rPr>
            <w:color w:val="231F20"/>
            <w:sz w:val="18"/>
          </w:rPr>
          <w:t>deployment</w:t>
        </w:r>
        <w:r>
          <w:rPr>
            <w:color w:val="231F20"/>
            <w:spacing w:val="7"/>
            <w:sz w:val="18"/>
          </w:rPr>
          <w:t> </w:t>
        </w:r>
        <w:r>
          <w:rPr>
            <w:color w:val="231F20"/>
            <w:spacing w:val="-2"/>
            <w:sz w:val="18"/>
          </w:rPr>
          <w:t>workspaces</w:t>
        </w:r>
      </w:hyperlink>
      <w:r>
        <w:rPr>
          <w:rFonts w:ascii="Times New Roman"/>
          <w:color w:val="231F20"/>
          <w:sz w:val="18"/>
        </w:rPr>
        <w:tab/>
      </w:r>
      <w:hyperlink w:history="true" w:anchor="_bookmark306">
        <w:r>
          <w:rPr>
            <w:color w:val="231F20"/>
            <w:spacing w:val="-5"/>
            <w:sz w:val="18"/>
          </w:rPr>
          <w:t>396</w:t>
        </w:r>
      </w:hyperlink>
    </w:p>
    <w:p>
      <w:pPr>
        <w:tabs>
          <w:tab w:pos="4717" w:val="left" w:leader="dot"/>
        </w:tabs>
        <w:spacing w:line="220" w:lineRule="exact" w:before="0"/>
        <w:ind w:left="676" w:right="0" w:firstLine="0"/>
        <w:jc w:val="left"/>
        <w:rPr>
          <w:sz w:val="18"/>
        </w:rPr>
      </w:pPr>
      <w:hyperlink w:history="true" w:anchor="_bookmark310">
        <w:r>
          <w:rPr>
            <w:color w:val="231F20"/>
            <w:sz w:val="18"/>
          </w:rPr>
          <w:t>Stopping</w:t>
        </w:r>
        <w:r>
          <w:rPr>
            <w:color w:val="231F20"/>
            <w:spacing w:val="8"/>
            <w:sz w:val="18"/>
          </w:rPr>
          <w:t> </w:t>
        </w:r>
        <w:r>
          <w:rPr>
            <w:color w:val="231F20"/>
            <w:sz w:val="18"/>
          </w:rPr>
          <w:t>a</w:t>
        </w:r>
        <w:r>
          <w:rPr>
            <w:color w:val="231F20"/>
            <w:spacing w:val="8"/>
            <w:sz w:val="18"/>
          </w:rPr>
          <w:t> </w:t>
        </w:r>
        <w:r>
          <w:rPr>
            <w:color w:val="231F20"/>
            <w:sz w:val="18"/>
          </w:rPr>
          <w:t>monitoring</w:t>
        </w:r>
        <w:r>
          <w:rPr>
            <w:color w:val="231F20"/>
            <w:spacing w:val="8"/>
            <w:sz w:val="18"/>
          </w:rPr>
          <w:t> </w:t>
        </w:r>
        <w:r>
          <w:rPr>
            <w:color w:val="231F20"/>
            <w:spacing w:val="-2"/>
            <w:sz w:val="18"/>
          </w:rPr>
          <w:t>agent</w:t>
        </w:r>
      </w:hyperlink>
      <w:r>
        <w:rPr>
          <w:rFonts w:ascii="Times New Roman"/>
          <w:color w:val="231F20"/>
          <w:sz w:val="18"/>
        </w:rPr>
        <w:tab/>
      </w:r>
      <w:hyperlink w:history="true" w:anchor="_bookmark310">
        <w:r>
          <w:rPr>
            <w:color w:val="231F20"/>
            <w:spacing w:val="-5"/>
            <w:sz w:val="18"/>
          </w:rPr>
          <w:t>401</w:t>
        </w:r>
      </w:hyperlink>
    </w:p>
    <w:p>
      <w:pPr>
        <w:tabs>
          <w:tab w:pos="4717" w:val="left" w:leader="dot"/>
        </w:tabs>
        <w:spacing w:line="220" w:lineRule="exact" w:before="0"/>
        <w:ind w:left="676" w:right="0" w:firstLine="0"/>
        <w:jc w:val="left"/>
        <w:rPr>
          <w:sz w:val="18"/>
        </w:rPr>
      </w:pPr>
      <w:hyperlink w:history="true" w:anchor="_bookmark311">
        <w:r>
          <w:rPr>
            <w:color w:val="231F20"/>
            <w:sz w:val="18"/>
          </w:rPr>
          <w:t>Recycling</w:t>
        </w:r>
        <w:r>
          <w:rPr>
            <w:color w:val="231F20"/>
            <w:spacing w:val="8"/>
            <w:sz w:val="18"/>
          </w:rPr>
          <w:t> </w:t>
        </w:r>
        <w:r>
          <w:rPr>
            <w:color w:val="231F20"/>
            <w:sz w:val="18"/>
          </w:rPr>
          <w:t>a</w:t>
        </w:r>
        <w:r>
          <w:rPr>
            <w:color w:val="231F20"/>
            <w:spacing w:val="8"/>
            <w:sz w:val="18"/>
          </w:rPr>
          <w:t> </w:t>
        </w:r>
        <w:r>
          <w:rPr>
            <w:color w:val="231F20"/>
            <w:sz w:val="18"/>
          </w:rPr>
          <w:t>monitoring</w:t>
        </w:r>
        <w:r>
          <w:rPr>
            <w:color w:val="231F20"/>
            <w:spacing w:val="8"/>
            <w:sz w:val="18"/>
          </w:rPr>
          <w:t> </w:t>
        </w:r>
        <w:r>
          <w:rPr>
            <w:color w:val="231F20"/>
            <w:spacing w:val="-2"/>
            <w:sz w:val="18"/>
          </w:rPr>
          <w:t>agent</w:t>
        </w:r>
      </w:hyperlink>
      <w:r>
        <w:rPr>
          <w:rFonts w:ascii="Times New Roman"/>
          <w:color w:val="231F20"/>
          <w:sz w:val="18"/>
        </w:rPr>
        <w:tab/>
      </w:r>
      <w:hyperlink w:history="true" w:anchor="_bookmark311">
        <w:r>
          <w:rPr>
            <w:color w:val="231F20"/>
            <w:spacing w:val="-5"/>
            <w:sz w:val="18"/>
          </w:rPr>
          <w:t>402</w:t>
        </w:r>
      </w:hyperlink>
    </w:p>
    <w:p>
      <w:pPr>
        <w:tabs>
          <w:tab w:pos="4717" w:val="left" w:leader="dot"/>
        </w:tabs>
        <w:spacing w:line="220" w:lineRule="exact" w:before="0"/>
        <w:ind w:left="676" w:right="0" w:firstLine="0"/>
        <w:jc w:val="left"/>
        <w:rPr>
          <w:sz w:val="18"/>
        </w:rPr>
      </w:pPr>
      <w:hyperlink w:history="true" w:anchor="_bookmark311">
        <w:r>
          <w:rPr>
            <w:color w:val="231F20"/>
            <w:sz w:val="18"/>
          </w:rPr>
          <w:t>Starting</w:t>
        </w:r>
        <w:r>
          <w:rPr>
            <w:color w:val="231F20"/>
            <w:spacing w:val="7"/>
            <w:sz w:val="18"/>
          </w:rPr>
          <w:t> </w:t>
        </w:r>
        <w:r>
          <w:rPr>
            <w:color w:val="231F20"/>
            <w:sz w:val="18"/>
          </w:rPr>
          <w:t>an</w:t>
        </w:r>
        <w:r>
          <w:rPr>
            <w:color w:val="231F20"/>
            <w:spacing w:val="7"/>
            <w:sz w:val="18"/>
          </w:rPr>
          <w:t> </w:t>
        </w:r>
        <w:r>
          <w:rPr>
            <w:color w:val="231F20"/>
            <w:sz w:val="18"/>
          </w:rPr>
          <w:t>offline</w:t>
        </w:r>
        <w:r>
          <w:rPr>
            <w:color w:val="231F20"/>
            <w:spacing w:val="8"/>
            <w:sz w:val="18"/>
          </w:rPr>
          <w:t> </w:t>
        </w:r>
        <w:r>
          <w:rPr>
            <w:color w:val="231F20"/>
            <w:sz w:val="18"/>
          </w:rPr>
          <w:t>monitoring</w:t>
        </w:r>
        <w:r>
          <w:rPr>
            <w:color w:val="231F20"/>
            <w:spacing w:val="7"/>
            <w:sz w:val="18"/>
          </w:rPr>
          <w:t> </w:t>
        </w:r>
        <w:r>
          <w:rPr>
            <w:color w:val="231F20"/>
            <w:spacing w:val="-4"/>
            <w:sz w:val="18"/>
          </w:rPr>
          <w:t>agent</w:t>
        </w:r>
      </w:hyperlink>
      <w:r>
        <w:rPr>
          <w:rFonts w:ascii="Times New Roman"/>
          <w:color w:val="231F20"/>
          <w:sz w:val="18"/>
        </w:rPr>
        <w:tab/>
      </w:r>
      <w:hyperlink w:history="true" w:anchor="_bookmark311">
        <w:r>
          <w:rPr>
            <w:color w:val="231F20"/>
            <w:spacing w:val="-5"/>
            <w:sz w:val="18"/>
          </w:rPr>
          <w:t>402</w:t>
        </w:r>
      </w:hyperlink>
    </w:p>
    <w:p>
      <w:pPr>
        <w:tabs>
          <w:tab w:pos="4717" w:val="left" w:leader="dot"/>
        </w:tabs>
        <w:spacing w:line="216" w:lineRule="auto" w:before="7"/>
        <w:ind w:left="676" w:right="162" w:firstLine="0"/>
        <w:jc w:val="left"/>
        <w:rPr>
          <w:sz w:val="18"/>
        </w:rPr>
      </w:pPr>
      <w:hyperlink w:history="true" w:anchor="_bookmark311">
        <w:r>
          <w:rPr>
            <w:color w:val="231F20"/>
            <w:sz w:val="18"/>
          </w:rPr>
          <w:t>Adding a managed system through the Tivoli</w:t>
        </w:r>
      </w:hyperlink>
      <w:r>
        <w:rPr>
          <w:color w:val="231F20"/>
          <w:sz w:val="18"/>
        </w:rPr>
        <w:t> </w:t>
      </w:r>
      <w:hyperlink w:history="true" w:anchor="_bookmark311">
        <w:r>
          <w:rPr>
            <w:color w:val="231F20"/>
            <w:sz w:val="18"/>
          </w:rPr>
          <w:t>Enterprise</w:t>
        </w:r>
        <w:r>
          <w:rPr>
            <w:color w:val="231F20"/>
            <w:spacing w:val="5"/>
            <w:sz w:val="18"/>
          </w:rPr>
          <w:t> </w:t>
        </w:r>
        <w:r>
          <w:rPr>
            <w:color w:val="231F20"/>
            <w:spacing w:val="-2"/>
            <w:sz w:val="18"/>
          </w:rPr>
          <w:t>Portal</w:t>
        </w:r>
      </w:hyperlink>
      <w:r>
        <w:rPr>
          <w:rFonts w:ascii="Times New Roman"/>
          <w:color w:val="231F20"/>
          <w:sz w:val="18"/>
        </w:rPr>
        <w:tab/>
      </w:r>
      <w:hyperlink w:history="true" w:anchor="_bookmark311">
        <w:r>
          <w:rPr>
            <w:color w:val="231F20"/>
            <w:spacing w:val="-5"/>
            <w:sz w:val="18"/>
          </w:rPr>
          <w:t>402</w:t>
        </w:r>
      </w:hyperlink>
    </w:p>
    <w:p>
      <w:pPr>
        <w:tabs>
          <w:tab w:pos="4717" w:val="left" w:leader="dot"/>
        </w:tabs>
        <w:spacing w:line="214" w:lineRule="exact" w:before="0"/>
        <w:ind w:left="676" w:right="0" w:firstLine="0"/>
        <w:jc w:val="left"/>
        <w:rPr>
          <w:sz w:val="18"/>
        </w:rPr>
      </w:pPr>
      <w:hyperlink w:history="true" w:anchor="_bookmark312">
        <w:r>
          <w:rPr>
            <w:color w:val="231F20"/>
            <w:sz w:val="18"/>
          </w:rPr>
          <w:t>Configuring</w:t>
        </w:r>
        <w:r>
          <w:rPr>
            <w:color w:val="231F20"/>
            <w:spacing w:val="7"/>
            <w:sz w:val="18"/>
          </w:rPr>
          <w:t> </w:t>
        </w:r>
        <w:r>
          <w:rPr>
            <w:color w:val="231F20"/>
            <w:sz w:val="18"/>
          </w:rPr>
          <w:t>a</w:t>
        </w:r>
        <w:r>
          <w:rPr>
            <w:color w:val="231F20"/>
            <w:spacing w:val="8"/>
            <w:sz w:val="18"/>
          </w:rPr>
          <w:t> </w:t>
        </w:r>
        <w:r>
          <w:rPr>
            <w:color w:val="231F20"/>
            <w:sz w:val="18"/>
          </w:rPr>
          <w:t>managed</w:t>
        </w:r>
        <w:r>
          <w:rPr>
            <w:color w:val="231F20"/>
            <w:spacing w:val="8"/>
            <w:sz w:val="18"/>
          </w:rPr>
          <w:t> </w:t>
        </w:r>
        <w:r>
          <w:rPr>
            <w:color w:val="231F20"/>
            <w:spacing w:val="-2"/>
            <w:sz w:val="18"/>
          </w:rPr>
          <w:t>system</w:t>
        </w:r>
      </w:hyperlink>
      <w:r>
        <w:rPr>
          <w:rFonts w:ascii="Times New Roman"/>
          <w:color w:val="231F20"/>
          <w:sz w:val="18"/>
        </w:rPr>
        <w:tab/>
      </w:r>
      <w:hyperlink w:history="true" w:anchor="_bookmark312">
        <w:r>
          <w:rPr>
            <w:color w:val="231F20"/>
            <w:spacing w:val="-5"/>
            <w:sz w:val="18"/>
          </w:rPr>
          <w:t>403</w:t>
        </w:r>
      </w:hyperlink>
    </w:p>
    <w:p>
      <w:pPr>
        <w:tabs>
          <w:tab w:pos="4717" w:val="left" w:leader="dot"/>
        </w:tabs>
        <w:spacing w:line="220" w:lineRule="exact" w:before="0"/>
        <w:ind w:left="676" w:right="0" w:firstLine="0"/>
        <w:jc w:val="left"/>
        <w:rPr>
          <w:sz w:val="18"/>
        </w:rPr>
      </w:pPr>
      <w:hyperlink w:history="true" w:anchor="_bookmark313">
        <w:r>
          <w:rPr>
            <w:color w:val="231F20"/>
            <w:sz w:val="18"/>
          </w:rPr>
          <w:t>Updating</w:t>
        </w:r>
        <w:r>
          <w:rPr>
            <w:color w:val="231F20"/>
            <w:spacing w:val="8"/>
            <w:sz w:val="18"/>
          </w:rPr>
          <w:t> </w:t>
        </w:r>
        <w:r>
          <w:rPr>
            <w:color w:val="231F20"/>
            <w:sz w:val="18"/>
          </w:rPr>
          <w:t>a</w:t>
        </w:r>
        <w:r>
          <w:rPr>
            <w:color w:val="231F20"/>
            <w:spacing w:val="8"/>
            <w:sz w:val="18"/>
          </w:rPr>
          <w:t> </w:t>
        </w:r>
        <w:r>
          <w:rPr>
            <w:color w:val="231F20"/>
            <w:sz w:val="18"/>
          </w:rPr>
          <w:t>monitoring</w:t>
        </w:r>
        <w:r>
          <w:rPr>
            <w:color w:val="231F20"/>
            <w:spacing w:val="8"/>
            <w:sz w:val="18"/>
          </w:rPr>
          <w:t> </w:t>
        </w:r>
        <w:r>
          <w:rPr>
            <w:color w:val="231F20"/>
            <w:spacing w:val="-2"/>
            <w:sz w:val="18"/>
          </w:rPr>
          <w:t>agent</w:t>
        </w:r>
      </w:hyperlink>
      <w:r>
        <w:rPr>
          <w:rFonts w:ascii="Times New Roman"/>
          <w:color w:val="231F20"/>
          <w:sz w:val="18"/>
        </w:rPr>
        <w:tab/>
      </w:r>
      <w:hyperlink w:history="true" w:anchor="_bookmark313">
        <w:r>
          <w:rPr>
            <w:color w:val="231F20"/>
            <w:spacing w:val="-5"/>
            <w:sz w:val="18"/>
          </w:rPr>
          <w:t>404</w:t>
        </w:r>
      </w:hyperlink>
    </w:p>
    <w:p>
      <w:pPr>
        <w:spacing w:line="220" w:lineRule="exact" w:before="0"/>
        <w:ind w:left="676" w:right="0" w:firstLine="0"/>
        <w:jc w:val="left"/>
        <w:rPr>
          <w:sz w:val="18"/>
        </w:rPr>
      </w:pPr>
      <w:hyperlink w:history="true" w:anchor="_bookmark314">
        <w:r>
          <w:rPr>
            <w:color w:val="231F20"/>
            <w:sz w:val="18"/>
          </w:rPr>
          <w:t>Removing</w:t>
        </w:r>
        <w:r>
          <w:rPr>
            <w:color w:val="231F20"/>
            <w:spacing w:val="8"/>
            <w:sz w:val="18"/>
          </w:rPr>
          <w:t> </w:t>
        </w:r>
        <w:r>
          <w:rPr>
            <w:color w:val="231F20"/>
            <w:sz w:val="18"/>
          </w:rPr>
          <w:t>a</w:t>
        </w:r>
        <w:r>
          <w:rPr>
            <w:color w:val="231F20"/>
            <w:spacing w:val="9"/>
            <w:sz w:val="18"/>
          </w:rPr>
          <w:t> </w:t>
        </w:r>
        <w:r>
          <w:rPr>
            <w:color w:val="231F20"/>
            <w:sz w:val="18"/>
          </w:rPr>
          <w:t>managed</w:t>
        </w:r>
        <w:r>
          <w:rPr>
            <w:color w:val="231F20"/>
            <w:spacing w:val="9"/>
            <w:sz w:val="18"/>
          </w:rPr>
          <w:t> </w:t>
        </w:r>
        <w:r>
          <w:rPr>
            <w:color w:val="231F20"/>
            <w:sz w:val="18"/>
          </w:rPr>
          <w:t>system</w:t>
        </w:r>
        <w:r>
          <w:rPr>
            <w:color w:val="231F20"/>
            <w:spacing w:val="9"/>
            <w:sz w:val="18"/>
          </w:rPr>
          <w:t> </w:t>
        </w:r>
        <w:r>
          <w:rPr>
            <w:color w:val="231F20"/>
            <w:sz w:val="18"/>
          </w:rPr>
          <w:t>and</w:t>
        </w:r>
        <w:r>
          <w:rPr>
            <w:color w:val="231F20"/>
            <w:spacing w:val="9"/>
            <w:sz w:val="18"/>
          </w:rPr>
          <w:t> </w:t>
        </w:r>
        <w:r>
          <w:rPr>
            <w:color w:val="231F20"/>
            <w:spacing w:val="-2"/>
            <w:sz w:val="18"/>
          </w:rPr>
          <w:t>monitoring</w:t>
        </w:r>
      </w:hyperlink>
    </w:p>
    <w:p>
      <w:pPr>
        <w:tabs>
          <w:tab w:pos="4717" w:val="left" w:leader="dot"/>
        </w:tabs>
        <w:spacing w:line="220" w:lineRule="exact" w:before="0"/>
        <w:ind w:left="676" w:right="0" w:firstLine="0"/>
        <w:jc w:val="left"/>
        <w:rPr>
          <w:sz w:val="18"/>
        </w:rPr>
      </w:pPr>
      <w:hyperlink w:history="true" w:anchor="_bookmark314">
        <w:r>
          <w:rPr>
            <w:color w:val="231F20"/>
            <w:spacing w:val="-2"/>
            <w:sz w:val="18"/>
          </w:rPr>
          <w:t>agent</w:t>
        </w:r>
      </w:hyperlink>
      <w:r>
        <w:rPr>
          <w:rFonts w:ascii="Times New Roman"/>
          <w:color w:val="231F20"/>
          <w:sz w:val="18"/>
        </w:rPr>
        <w:tab/>
      </w:r>
      <w:hyperlink w:history="true" w:anchor="_bookmark314">
        <w:r>
          <w:rPr>
            <w:color w:val="231F20"/>
            <w:spacing w:val="-5"/>
            <w:sz w:val="18"/>
          </w:rPr>
          <w:t>405</w:t>
        </w:r>
      </w:hyperlink>
    </w:p>
    <w:p>
      <w:pPr>
        <w:tabs>
          <w:tab w:pos="4717" w:val="left" w:leader="dot"/>
        </w:tabs>
        <w:spacing w:line="220" w:lineRule="exact" w:before="0"/>
        <w:ind w:left="436" w:right="0" w:firstLine="0"/>
        <w:jc w:val="left"/>
        <w:rPr>
          <w:sz w:val="18"/>
        </w:rPr>
      </w:pPr>
      <w:hyperlink w:history="true" w:anchor="_bookmark315">
        <w:r>
          <w:rPr>
            <w:color w:val="231F20"/>
            <w:sz w:val="18"/>
          </w:rPr>
          <w:t>Optimizing</w:t>
        </w:r>
        <w:r>
          <w:rPr>
            <w:color w:val="231F20"/>
            <w:spacing w:val="4"/>
            <w:sz w:val="18"/>
          </w:rPr>
          <w:t> </w:t>
        </w:r>
        <w:r>
          <w:rPr>
            <w:color w:val="231F20"/>
            <w:sz w:val="18"/>
          </w:rPr>
          <w:t>IBM</w:t>
        </w:r>
        <w:r>
          <w:rPr>
            <w:color w:val="231F20"/>
            <w:spacing w:val="5"/>
            <w:sz w:val="18"/>
          </w:rPr>
          <w:t> </w:t>
        </w:r>
        <w:r>
          <w:rPr>
            <w:color w:val="231F20"/>
            <w:sz w:val="18"/>
          </w:rPr>
          <w:t>Tivoli</w:t>
        </w:r>
        <w:r>
          <w:rPr>
            <w:color w:val="231F20"/>
            <w:spacing w:val="5"/>
            <w:sz w:val="18"/>
          </w:rPr>
          <w:t> </w:t>
        </w:r>
        <w:r>
          <w:rPr>
            <w:color w:val="231F20"/>
            <w:sz w:val="18"/>
          </w:rPr>
          <w:t>Monitoring</w:t>
        </w:r>
        <w:r>
          <w:rPr>
            <w:color w:val="231F20"/>
            <w:spacing w:val="5"/>
            <w:sz w:val="18"/>
          </w:rPr>
          <w:t> </w:t>
        </w:r>
        <w:r>
          <w:rPr>
            <w:color w:val="231F20"/>
            <w:spacing w:val="-2"/>
            <w:sz w:val="18"/>
          </w:rPr>
          <w:t>resources</w:t>
        </w:r>
      </w:hyperlink>
      <w:r>
        <w:rPr>
          <w:rFonts w:ascii="Times New Roman"/>
          <w:color w:val="231F20"/>
          <w:sz w:val="18"/>
        </w:rPr>
        <w:tab/>
      </w:r>
      <w:hyperlink w:history="true" w:anchor="_bookmark315">
        <w:r>
          <w:rPr>
            <w:color w:val="231F20"/>
            <w:spacing w:val="-5"/>
            <w:sz w:val="18"/>
          </w:rPr>
          <w:t>406</w:t>
        </w:r>
      </w:hyperlink>
    </w:p>
    <w:p>
      <w:pPr>
        <w:tabs>
          <w:tab w:pos="4717" w:val="left" w:leader="dot"/>
        </w:tabs>
        <w:spacing w:line="220" w:lineRule="exact" w:before="0"/>
        <w:ind w:left="436" w:right="0" w:firstLine="0"/>
        <w:jc w:val="left"/>
        <w:rPr>
          <w:sz w:val="18"/>
        </w:rPr>
      </w:pPr>
      <w:hyperlink w:history="true" w:anchor="_bookmark316">
        <w:r>
          <w:rPr>
            <w:color w:val="231F20"/>
            <w:sz w:val="18"/>
          </w:rPr>
          <w:t>Organization</w:t>
        </w:r>
        <w:r>
          <w:rPr>
            <w:color w:val="231F20"/>
            <w:spacing w:val="4"/>
            <w:sz w:val="18"/>
          </w:rPr>
          <w:t> </w:t>
        </w:r>
        <w:r>
          <w:rPr>
            <w:color w:val="231F20"/>
            <w:sz w:val="18"/>
          </w:rPr>
          <w:t>of</w:t>
        </w:r>
        <w:r>
          <w:rPr>
            <w:color w:val="231F20"/>
            <w:spacing w:val="4"/>
            <w:sz w:val="18"/>
          </w:rPr>
          <w:t> </w:t>
        </w:r>
        <w:r>
          <w:rPr>
            <w:color w:val="231F20"/>
            <w:sz w:val="18"/>
          </w:rPr>
          <w:t>predefined</w:t>
        </w:r>
        <w:r>
          <w:rPr>
            <w:color w:val="231F20"/>
            <w:spacing w:val="5"/>
            <w:sz w:val="18"/>
          </w:rPr>
          <w:t> </w:t>
        </w:r>
        <w:r>
          <w:rPr>
            <w:color w:val="231F20"/>
            <w:spacing w:val="-2"/>
            <w:sz w:val="18"/>
          </w:rPr>
          <w:t>workspaces</w:t>
        </w:r>
      </w:hyperlink>
      <w:r>
        <w:rPr>
          <w:rFonts w:ascii="Times New Roman"/>
          <w:color w:val="231F20"/>
          <w:sz w:val="18"/>
        </w:rPr>
        <w:tab/>
      </w:r>
      <w:hyperlink w:history="true" w:anchor="_bookmark316">
        <w:r>
          <w:rPr>
            <w:color w:val="231F20"/>
            <w:spacing w:val="-5"/>
            <w:sz w:val="18"/>
          </w:rPr>
          <w:t>407</w:t>
        </w:r>
      </w:hyperlink>
    </w:p>
    <w:p>
      <w:pPr>
        <w:tabs>
          <w:tab w:pos="4717" w:val="left" w:leader="dot"/>
        </w:tabs>
        <w:spacing w:line="231" w:lineRule="exact" w:before="0"/>
        <w:ind w:left="436" w:right="0" w:firstLine="0"/>
        <w:jc w:val="left"/>
        <w:rPr>
          <w:sz w:val="18"/>
        </w:rPr>
      </w:pPr>
      <w:hyperlink w:history="true" w:anchor="_bookmark317">
        <w:r>
          <w:rPr>
            <w:color w:val="231F20"/>
            <w:sz w:val="18"/>
          </w:rPr>
          <w:t>Tivoli</w:t>
        </w:r>
        <w:r>
          <w:rPr>
            <w:color w:val="231F20"/>
            <w:spacing w:val="4"/>
            <w:sz w:val="18"/>
          </w:rPr>
          <w:t> </w:t>
        </w:r>
        <w:r>
          <w:rPr>
            <w:color w:val="231F20"/>
            <w:sz w:val="18"/>
          </w:rPr>
          <w:t>Enterprise</w:t>
        </w:r>
        <w:r>
          <w:rPr>
            <w:color w:val="231F20"/>
            <w:spacing w:val="5"/>
            <w:sz w:val="18"/>
          </w:rPr>
          <w:t> </w:t>
        </w:r>
        <w:r>
          <w:rPr>
            <w:color w:val="231F20"/>
            <w:sz w:val="18"/>
          </w:rPr>
          <w:t>Monitoring</w:t>
        </w:r>
        <w:r>
          <w:rPr>
            <w:color w:val="231F20"/>
            <w:spacing w:val="5"/>
            <w:sz w:val="18"/>
          </w:rPr>
          <w:t> </w:t>
        </w:r>
        <w:r>
          <w:rPr>
            <w:color w:val="231F20"/>
            <w:sz w:val="18"/>
          </w:rPr>
          <w:t>Server</w:t>
        </w:r>
        <w:r>
          <w:rPr>
            <w:color w:val="231F20"/>
            <w:spacing w:val="4"/>
            <w:sz w:val="18"/>
          </w:rPr>
          <w:t> </w:t>
        </w:r>
        <w:r>
          <w:rPr>
            <w:color w:val="231F20"/>
            <w:spacing w:val="-2"/>
            <w:sz w:val="18"/>
          </w:rPr>
          <w:t>situations</w:t>
        </w:r>
      </w:hyperlink>
      <w:r>
        <w:rPr>
          <w:rFonts w:ascii="Times New Roman"/>
          <w:color w:val="231F20"/>
          <w:sz w:val="18"/>
        </w:rPr>
        <w:tab/>
      </w:r>
      <w:hyperlink w:history="true" w:anchor="_bookmark317">
        <w:r>
          <w:rPr>
            <w:color w:val="231F20"/>
            <w:spacing w:val="-5"/>
            <w:sz w:val="18"/>
          </w:rPr>
          <w:t>408</w:t>
        </w:r>
      </w:hyperlink>
    </w:p>
    <w:p>
      <w:pPr>
        <w:pStyle w:val="Heading5"/>
        <w:tabs>
          <w:tab w:pos="4632" w:val="left" w:leader="dot"/>
        </w:tabs>
        <w:spacing w:line="252" w:lineRule="exact" w:before="224"/>
        <w:ind w:left="436"/>
      </w:pPr>
      <w:hyperlink w:history="true" w:anchor="_bookmark318">
        <w:r>
          <w:rPr>
            <w:color w:val="231F20"/>
          </w:rPr>
          <w:t>Appendix</w:t>
        </w:r>
        <w:r>
          <w:rPr>
            <w:color w:val="231F20"/>
            <w:spacing w:val="-8"/>
          </w:rPr>
          <w:t> </w:t>
        </w:r>
        <w:r>
          <w:rPr>
            <w:color w:val="231F20"/>
          </w:rPr>
          <w:t>A.</w:t>
        </w:r>
        <w:r>
          <w:rPr>
            <w:color w:val="231F20"/>
            <w:spacing w:val="4"/>
          </w:rPr>
          <w:t> </w:t>
        </w:r>
        <w:r>
          <w:rPr>
            <w:color w:val="231F20"/>
          </w:rPr>
          <w:t>Formula</w:t>
        </w:r>
        <w:r>
          <w:rPr>
            <w:color w:val="231F20"/>
            <w:spacing w:val="4"/>
          </w:rPr>
          <w:t> </w:t>
        </w:r>
        <w:r>
          <w:rPr>
            <w:color w:val="231F20"/>
            <w:spacing w:val="-2"/>
          </w:rPr>
          <w:t>functions</w:t>
        </w:r>
      </w:hyperlink>
      <w:r>
        <w:rPr>
          <w:rFonts w:ascii="Times New Roman"/>
          <w:b w:val="0"/>
          <w:color w:val="231F20"/>
        </w:rPr>
        <w:tab/>
      </w:r>
      <w:hyperlink w:history="true" w:anchor="_bookmark318">
        <w:r>
          <w:rPr>
            <w:color w:val="231F20"/>
            <w:spacing w:val="-5"/>
          </w:rPr>
          <w:t>411</w:t>
        </w:r>
      </w:hyperlink>
    </w:p>
    <w:p>
      <w:pPr>
        <w:tabs>
          <w:tab w:pos="4727" w:val="left" w:leader="dot"/>
        </w:tabs>
        <w:spacing w:line="231" w:lineRule="exact" w:before="0"/>
        <w:ind w:left="436" w:right="0" w:firstLine="0"/>
        <w:jc w:val="left"/>
        <w:rPr>
          <w:sz w:val="18"/>
        </w:rPr>
      </w:pPr>
      <w:hyperlink w:history="true" w:anchor="_bookmark318">
        <w:r>
          <w:rPr>
            <w:color w:val="231F20"/>
            <w:sz w:val="18"/>
          </w:rPr>
          <w:t>Formula</w:t>
        </w:r>
        <w:r>
          <w:rPr>
            <w:color w:val="231F20"/>
            <w:spacing w:val="7"/>
            <w:sz w:val="18"/>
          </w:rPr>
          <w:t> </w:t>
        </w:r>
        <w:r>
          <w:rPr>
            <w:color w:val="231F20"/>
            <w:sz w:val="18"/>
          </w:rPr>
          <w:t>function</w:t>
        </w:r>
        <w:r>
          <w:rPr>
            <w:color w:val="231F20"/>
            <w:spacing w:val="7"/>
            <w:sz w:val="18"/>
          </w:rPr>
          <w:t> </w:t>
        </w:r>
        <w:r>
          <w:rPr>
            <w:color w:val="231F20"/>
            <w:spacing w:val="-2"/>
            <w:sz w:val="18"/>
          </w:rPr>
          <w:t>types</w:t>
        </w:r>
      </w:hyperlink>
      <w:r>
        <w:rPr>
          <w:rFonts w:ascii="Times New Roman"/>
          <w:color w:val="231F20"/>
          <w:sz w:val="18"/>
        </w:rPr>
        <w:tab/>
      </w:r>
      <w:hyperlink w:history="true" w:anchor="_bookmark318">
        <w:r>
          <w:rPr>
            <w:color w:val="231F20"/>
            <w:spacing w:val="-5"/>
            <w:sz w:val="18"/>
          </w:rPr>
          <w:t>411</w:t>
        </w:r>
      </w:hyperlink>
    </w:p>
    <w:p>
      <w:pPr>
        <w:tabs>
          <w:tab w:pos="4717" w:val="left" w:leader="dot"/>
        </w:tabs>
        <w:spacing w:line="220" w:lineRule="exact" w:before="0"/>
        <w:ind w:left="436" w:right="0" w:firstLine="0"/>
        <w:jc w:val="left"/>
        <w:rPr>
          <w:sz w:val="18"/>
        </w:rPr>
      </w:pPr>
      <w:hyperlink w:history="true" w:anchor="_bookmark319">
        <w:r>
          <w:rPr>
            <w:color w:val="231F20"/>
            <w:sz w:val="18"/>
          </w:rPr>
          <w:t>Attribute</w:t>
        </w:r>
        <w:r>
          <w:rPr>
            <w:color w:val="231F20"/>
            <w:spacing w:val="7"/>
            <w:sz w:val="18"/>
          </w:rPr>
          <w:t> </w:t>
        </w:r>
        <w:r>
          <w:rPr>
            <w:color w:val="231F20"/>
            <w:sz w:val="18"/>
          </w:rPr>
          <w:t>and</w:t>
        </w:r>
        <w:r>
          <w:rPr>
            <w:color w:val="231F20"/>
            <w:spacing w:val="7"/>
            <w:sz w:val="18"/>
          </w:rPr>
          <w:t> </w:t>
        </w:r>
        <w:r>
          <w:rPr>
            <w:color w:val="231F20"/>
            <w:sz w:val="18"/>
          </w:rPr>
          <w:t>attribute</w:t>
        </w:r>
        <w:r>
          <w:rPr>
            <w:color w:val="231F20"/>
            <w:spacing w:val="8"/>
            <w:sz w:val="18"/>
          </w:rPr>
          <w:t> </w:t>
        </w:r>
        <w:r>
          <w:rPr>
            <w:color w:val="231F20"/>
            <w:sz w:val="18"/>
          </w:rPr>
          <w:t>group</w:t>
        </w:r>
        <w:r>
          <w:rPr>
            <w:color w:val="231F20"/>
            <w:spacing w:val="7"/>
            <w:sz w:val="18"/>
          </w:rPr>
          <w:t> </w:t>
        </w:r>
        <w:r>
          <w:rPr>
            <w:color w:val="231F20"/>
            <w:spacing w:val="-2"/>
            <w:sz w:val="18"/>
          </w:rPr>
          <w:t>characteristics</w:t>
        </w:r>
      </w:hyperlink>
      <w:r>
        <w:rPr>
          <w:rFonts w:ascii="Times New Roman"/>
          <w:color w:val="231F20"/>
          <w:sz w:val="18"/>
        </w:rPr>
        <w:tab/>
      </w:r>
      <w:hyperlink w:history="true" w:anchor="_bookmark319">
        <w:r>
          <w:rPr>
            <w:color w:val="231F20"/>
            <w:spacing w:val="-5"/>
            <w:sz w:val="18"/>
          </w:rPr>
          <w:t>413</w:t>
        </w:r>
      </w:hyperlink>
    </w:p>
    <w:p>
      <w:pPr>
        <w:tabs>
          <w:tab w:pos="4717" w:val="left" w:leader="dot"/>
        </w:tabs>
        <w:spacing w:line="220" w:lineRule="exact" w:before="0"/>
        <w:ind w:left="436" w:right="0" w:firstLine="0"/>
        <w:jc w:val="left"/>
        <w:rPr>
          <w:sz w:val="18"/>
        </w:rPr>
      </w:pPr>
      <w:hyperlink w:history="true" w:anchor="_bookmark320">
        <w:r>
          <w:rPr>
            <w:color w:val="231F20"/>
            <w:sz w:val="18"/>
          </w:rPr>
          <w:t>Boolean</w:t>
        </w:r>
        <w:r>
          <w:rPr>
            <w:color w:val="231F20"/>
            <w:spacing w:val="3"/>
            <w:sz w:val="18"/>
          </w:rPr>
          <w:t> </w:t>
        </w:r>
        <w:r>
          <w:rPr>
            <w:color w:val="231F20"/>
            <w:sz w:val="18"/>
          </w:rPr>
          <w:t>AND</w:t>
        </w:r>
        <w:r>
          <w:rPr>
            <w:color w:val="231F20"/>
            <w:spacing w:val="10"/>
            <w:sz w:val="18"/>
          </w:rPr>
          <w:t> </w:t>
        </w:r>
        <w:r>
          <w:rPr>
            <w:color w:val="231F20"/>
            <w:sz w:val="18"/>
          </w:rPr>
          <w:t>and</w:t>
        </w:r>
        <w:r>
          <w:rPr>
            <w:color w:val="231F20"/>
            <w:spacing w:val="9"/>
            <w:sz w:val="18"/>
          </w:rPr>
          <w:t> </w:t>
        </w:r>
        <w:r>
          <w:rPr>
            <w:color w:val="231F20"/>
            <w:spacing w:val="-5"/>
            <w:sz w:val="18"/>
          </w:rPr>
          <w:t>OR</w:t>
        </w:r>
      </w:hyperlink>
      <w:r>
        <w:rPr>
          <w:rFonts w:ascii="Times New Roman"/>
          <w:color w:val="231F20"/>
          <w:sz w:val="18"/>
        </w:rPr>
        <w:tab/>
      </w:r>
      <w:hyperlink w:history="true" w:anchor="_bookmark320">
        <w:r>
          <w:rPr>
            <w:color w:val="231F20"/>
            <w:spacing w:val="-5"/>
            <w:sz w:val="18"/>
          </w:rPr>
          <w:t>414</w:t>
        </w:r>
      </w:hyperlink>
    </w:p>
    <w:p>
      <w:pPr>
        <w:tabs>
          <w:tab w:pos="4717" w:val="left" w:leader="dot"/>
        </w:tabs>
        <w:spacing w:line="220" w:lineRule="exact" w:before="0"/>
        <w:ind w:left="436" w:right="0" w:firstLine="0"/>
        <w:jc w:val="left"/>
        <w:rPr>
          <w:sz w:val="18"/>
        </w:rPr>
      </w:pPr>
      <w:hyperlink w:history="true" w:anchor="_bookmark321">
        <w:r>
          <w:rPr>
            <w:color w:val="231F20"/>
            <w:sz w:val="18"/>
          </w:rPr>
          <w:t>Formula</w:t>
        </w:r>
        <w:r>
          <w:rPr>
            <w:color w:val="231F20"/>
            <w:spacing w:val="8"/>
            <w:sz w:val="18"/>
          </w:rPr>
          <w:t> </w:t>
        </w:r>
        <w:r>
          <w:rPr>
            <w:color w:val="231F20"/>
            <w:sz w:val="18"/>
          </w:rPr>
          <w:t>editor</w:t>
        </w:r>
        <w:r>
          <w:rPr>
            <w:color w:val="231F20"/>
            <w:spacing w:val="8"/>
            <w:sz w:val="18"/>
          </w:rPr>
          <w:t> </w:t>
        </w:r>
        <w:r>
          <w:rPr>
            <w:color w:val="231F20"/>
            <w:spacing w:val="-4"/>
            <w:sz w:val="18"/>
          </w:rPr>
          <w:t>menu</w:t>
        </w:r>
      </w:hyperlink>
      <w:r>
        <w:rPr>
          <w:rFonts w:ascii="Times New Roman"/>
          <w:color w:val="231F20"/>
          <w:sz w:val="18"/>
        </w:rPr>
        <w:tab/>
      </w:r>
      <w:hyperlink w:history="true" w:anchor="_bookmark321">
        <w:r>
          <w:rPr>
            <w:color w:val="231F20"/>
            <w:spacing w:val="-5"/>
            <w:sz w:val="18"/>
          </w:rPr>
          <w:t>415</w:t>
        </w:r>
      </w:hyperlink>
    </w:p>
    <w:p>
      <w:pPr>
        <w:tabs>
          <w:tab w:pos="4717" w:val="left" w:leader="dot"/>
        </w:tabs>
        <w:spacing w:line="220" w:lineRule="exact" w:before="0"/>
        <w:ind w:left="436" w:right="0" w:firstLine="0"/>
        <w:jc w:val="left"/>
        <w:rPr>
          <w:sz w:val="18"/>
        </w:rPr>
      </w:pPr>
      <w:hyperlink w:history="true" w:anchor="_bookmark323">
        <w:r>
          <w:rPr>
            <w:color w:val="231F20"/>
            <w:sz w:val="18"/>
          </w:rPr>
          <w:t>Cell</w:t>
        </w:r>
        <w:r>
          <w:rPr>
            <w:color w:val="231F20"/>
            <w:spacing w:val="10"/>
            <w:sz w:val="18"/>
          </w:rPr>
          <w:t> </w:t>
        </w:r>
        <w:r>
          <w:rPr>
            <w:color w:val="231F20"/>
            <w:spacing w:val="-2"/>
            <w:sz w:val="18"/>
          </w:rPr>
          <w:t>functions</w:t>
        </w:r>
      </w:hyperlink>
      <w:r>
        <w:rPr>
          <w:rFonts w:ascii="Times New Roman"/>
          <w:color w:val="231F20"/>
          <w:sz w:val="18"/>
        </w:rPr>
        <w:tab/>
      </w:r>
      <w:hyperlink w:history="true" w:anchor="_bookmark323">
        <w:r>
          <w:rPr>
            <w:color w:val="231F20"/>
            <w:spacing w:val="-5"/>
            <w:sz w:val="18"/>
          </w:rPr>
          <w:t>416</w:t>
        </w:r>
      </w:hyperlink>
    </w:p>
    <w:p>
      <w:pPr>
        <w:tabs>
          <w:tab w:pos="4717" w:val="left" w:leader="dot"/>
        </w:tabs>
        <w:spacing w:line="220" w:lineRule="exact" w:before="0"/>
        <w:ind w:left="676" w:right="0" w:firstLine="0"/>
        <w:jc w:val="left"/>
        <w:rPr>
          <w:sz w:val="18"/>
        </w:rPr>
      </w:pPr>
      <w:hyperlink w:history="true" w:anchor="_bookmark323">
        <w:r>
          <w:rPr>
            <w:color w:val="231F20"/>
            <w:sz w:val="18"/>
          </w:rPr>
          <w:t>BETWEEN:</w:t>
        </w:r>
        <w:r>
          <w:rPr>
            <w:color w:val="231F20"/>
            <w:spacing w:val="10"/>
            <w:sz w:val="18"/>
          </w:rPr>
          <w:t> </w:t>
        </w:r>
        <w:r>
          <w:rPr>
            <w:color w:val="231F20"/>
            <w:sz w:val="18"/>
          </w:rPr>
          <w:t>See</w:t>
        </w:r>
        <w:r>
          <w:rPr>
            <w:color w:val="231F20"/>
            <w:spacing w:val="10"/>
            <w:sz w:val="18"/>
          </w:rPr>
          <w:t> </w:t>
        </w:r>
        <w:r>
          <w:rPr>
            <w:color w:val="231F20"/>
            <w:sz w:val="18"/>
          </w:rPr>
          <w:t>if</w:t>
        </w:r>
        <w:r>
          <w:rPr>
            <w:color w:val="231F20"/>
            <w:spacing w:val="11"/>
            <w:sz w:val="18"/>
          </w:rPr>
          <w:t> </w:t>
        </w:r>
        <w:r>
          <w:rPr>
            <w:color w:val="231F20"/>
            <w:sz w:val="18"/>
          </w:rPr>
          <w:t>value</w:t>
        </w:r>
        <w:r>
          <w:rPr>
            <w:color w:val="231F20"/>
            <w:spacing w:val="10"/>
            <w:sz w:val="18"/>
          </w:rPr>
          <w:t> </w:t>
        </w:r>
        <w:r>
          <w:rPr>
            <w:color w:val="231F20"/>
            <w:sz w:val="18"/>
          </w:rPr>
          <w:t>is</w:t>
        </w:r>
        <w:r>
          <w:rPr>
            <w:color w:val="231F20"/>
            <w:spacing w:val="11"/>
            <w:sz w:val="18"/>
          </w:rPr>
          <w:t> </w:t>
        </w:r>
        <w:r>
          <w:rPr>
            <w:color w:val="231F20"/>
            <w:sz w:val="18"/>
          </w:rPr>
          <w:t>within</w:t>
        </w:r>
        <w:r>
          <w:rPr>
            <w:color w:val="231F20"/>
            <w:spacing w:val="10"/>
            <w:sz w:val="18"/>
          </w:rPr>
          <w:t> </w:t>
        </w:r>
        <w:r>
          <w:rPr>
            <w:color w:val="231F20"/>
            <w:sz w:val="18"/>
          </w:rPr>
          <w:t>a</w:t>
        </w:r>
        <w:r>
          <w:rPr>
            <w:color w:val="231F20"/>
            <w:spacing w:val="11"/>
            <w:sz w:val="18"/>
          </w:rPr>
          <w:t> </w:t>
        </w:r>
        <w:r>
          <w:rPr>
            <w:color w:val="231F20"/>
            <w:spacing w:val="-2"/>
            <w:sz w:val="18"/>
          </w:rPr>
          <w:t>range</w:t>
        </w:r>
      </w:hyperlink>
      <w:r>
        <w:rPr>
          <w:rFonts w:ascii="Times New Roman"/>
          <w:color w:val="231F20"/>
          <w:sz w:val="18"/>
        </w:rPr>
        <w:tab/>
      </w:r>
      <w:hyperlink w:history="true" w:anchor="_bookmark323">
        <w:r>
          <w:rPr>
            <w:color w:val="231F20"/>
            <w:spacing w:val="-5"/>
            <w:sz w:val="18"/>
          </w:rPr>
          <w:t>416</w:t>
        </w:r>
      </w:hyperlink>
    </w:p>
    <w:p>
      <w:pPr>
        <w:tabs>
          <w:tab w:pos="4717" w:val="left" w:leader="dot"/>
        </w:tabs>
        <w:spacing w:line="220" w:lineRule="exact" w:before="0"/>
        <w:ind w:left="676" w:right="0" w:firstLine="0"/>
        <w:jc w:val="left"/>
        <w:rPr>
          <w:sz w:val="18"/>
        </w:rPr>
      </w:pPr>
      <w:hyperlink w:history="true" w:anchor="_bookmark324">
        <w:r>
          <w:rPr>
            <w:color w:val="231F20"/>
            <w:sz w:val="18"/>
          </w:rPr>
          <w:t>CHANGE:</w:t>
        </w:r>
        <w:r>
          <w:rPr>
            <w:color w:val="231F20"/>
            <w:spacing w:val="8"/>
            <w:sz w:val="18"/>
          </w:rPr>
          <w:t> </w:t>
        </w:r>
        <w:r>
          <w:rPr>
            <w:color w:val="231F20"/>
            <w:sz w:val="18"/>
          </w:rPr>
          <w:t>Change</w:t>
        </w:r>
        <w:r>
          <w:rPr>
            <w:color w:val="231F20"/>
            <w:spacing w:val="9"/>
            <w:sz w:val="18"/>
          </w:rPr>
          <w:t> </w:t>
        </w:r>
        <w:r>
          <w:rPr>
            <w:color w:val="231F20"/>
            <w:sz w:val="18"/>
          </w:rPr>
          <w:t>in</w:t>
        </w:r>
        <w:r>
          <w:rPr>
            <w:color w:val="231F20"/>
            <w:spacing w:val="8"/>
            <w:sz w:val="18"/>
          </w:rPr>
          <w:t> </w:t>
        </w:r>
        <w:r>
          <w:rPr>
            <w:color w:val="231F20"/>
            <w:spacing w:val="-2"/>
            <w:sz w:val="18"/>
          </w:rPr>
          <w:t>value</w:t>
        </w:r>
      </w:hyperlink>
      <w:r>
        <w:rPr>
          <w:rFonts w:ascii="Times New Roman"/>
          <w:color w:val="231F20"/>
          <w:sz w:val="18"/>
        </w:rPr>
        <w:tab/>
      </w:r>
      <w:hyperlink w:history="true" w:anchor="_bookmark324">
        <w:r>
          <w:rPr>
            <w:color w:val="231F20"/>
            <w:spacing w:val="-5"/>
            <w:sz w:val="18"/>
          </w:rPr>
          <w:t>417</w:t>
        </w:r>
      </w:hyperlink>
    </w:p>
    <w:p>
      <w:pPr>
        <w:tabs>
          <w:tab w:pos="4717" w:val="left" w:leader="dot"/>
        </w:tabs>
        <w:spacing w:line="220" w:lineRule="exact" w:before="0"/>
        <w:ind w:left="676" w:right="0" w:firstLine="0"/>
        <w:jc w:val="left"/>
        <w:rPr>
          <w:sz w:val="18"/>
        </w:rPr>
      </w:pPr>
      <w:hyperlink w:history="true" w:anchor="_bookmark324">
        <w:r>
          <w:rPr>
            <w:color w:val="231F20"/>
            <w:sz w:val="18"/>
          </w:rPr>
          <w:t>DATE:</w:t>
        </w:r>
        <w:r>
          <w:rPr>
            <w:color w:val="231F20"/>
            <w:spacing w:val="4"/>
            <w:sz w:val="18"/>
          </w:rPr>
          <w:t> </w:t>
        </w:r>
        <w:r>
          <w:rPr>
            <w:color w:val="231F20"/>
            <w:sz w:val="18"/>
          </w:rPr>
          <w:t>Compare</w:t>
        </w:r>
        <w:r>
          <w:rPr>
            <w:color w:val="231F20"/>
            <w:spacing w:val="5"/>
            <w:sz w:val="18"/>
          </w:rPr>
          <w:t> </w:t>
        </w:r>
        <w:r>
          <w:rPr>
            <w:color w:val="231F20"/>
            <w:sz w:val="18"/>
          </w:rPr>
          <w:t>Date</w:t>
        </w:r>
        <w:r>
          <w:rPr>
            <w:color w:val="231F20"/>
            <w:spacing w:val="4"/>
            <w:sz w:val="18"/>
          </w:rPr>
          <w:t> </w:t>
        </w:r>
        <w:r>
          <w:rPr>
            <w:color w:val="231F20"/>
            <w:sz w:val="18"/>
          </w:rPr>
          <w:t>and</w:t>
        </w:r>
        <w:r>
          <w:rPr>
            <w:color w:val="231F20"/>
            <w:spacing w:val="5"/>
            <w:sz w:val="18"/>
          </w:rPr>
          <w:t> </w:t>
        </w:r>
        <w:r>
          <w:rPr>
            <w:color w:val="231F20"/>
            <w:spacing w:val="-4"/>
            <w:sz w:val="18"/>
          </w:rPr>
          <w:t>Time</w:t>
        </w:r>
      </w:hyperlink>
      <w:r>
        <w:rPr>
          <w:rFonts w:ascii="Times New Roman"/>
          <w:color w:val="231F20"/>
          <w:sz w:val="18"/>
        </w:rPr>
        <w:tab/>
      </w:r>
      <w:hyperlink w:history="true" w:anchor="_bookmark324">
        <w:r>
          <w:rPr>
            <w:color w:val="231F20"/>
            <w:spacing w:val="-5"/>
            <w:sz w:val="18"/>
          </w:rPr>
          <w:t>417</w:t>
        </w:r>
      </w:hyperlink>
    </w:p>
    <w:p>
      <w:pPr>
        <w:tabs>
          <w:tab w:pos="4717" w:val="left" w:leader="dot"/>
        </w:tabs>
        <w:spacing w:line="220" w:lineRule="exact" w:before="0"/>
        <w:ind w:left="676" w:right="0" w:firstLine="0"/>
        <w:jc w:val="left"/>
        <w:rPr>
          <w:sz w:val="18"/>
        </w:rPr>
      </w:pPr>
      <w:hyperlink w:history="true" w:anchor="_bookmark325">
        <w:r>
          <w:rPr>
            <w:color w:val="231F20"/>
            <w:sz w:val="18"/>
          </w:rPr>
          <w:t>ISNULL:</w:t>
        </w:r>
        <w:r>
          <w:rPr>
            <w:color w:val="231F20"/>
            <w:spacing w:val="10"/>
            <w:sz w:val="18"/>
          </w:rPr>
          <w:t> </w:t>
        </w:r>
        <w:r>
          <w:rPr>
            <w:color w:val="231F20"/>
            <w:sz w:val="18"/>
          </w:rPr>
          <w:t>See</w:t>
        </w:r>
        <w:r>
          <w:rPr>
            <w:color w:val="231F20"/>
            <w:spacing w:val="11"/>
            <w:sz w:val="18"/>
          </w:rPr>
          <w:t> </w:t>
        </w:r>
        <w:r>
          <w:rPr>
            <w:color w:val="231F20"/>
            <w:sz w:val="18"/>
          </w:rPr>
          <w:t>if</w:t>
        </w:r>
        <w:r>
          <w:rPr>
            <w:color w:val="231F20"/>
            <w:spacing w:val="10"/>
            <w:sz w:val="18"/>
          </w:rPr>
          <w:t> </w:t>
        </w:r>
        <w:r>
          <w:rPr>
            <w:color w:val="231F20"/>
            <w:sz w:val="18"/>
          </w:rPr>
          <w:t>Null</w:t>
        </w:r>
        <w:r>
          <w:rPr>
            <w:color w:val="231F20"/>
            <w:spacing w:val="11"/>
            <w:sz w:val="18"/>
          </w:rPr>
          <w:t> </w:t>
        </w:r>
        <w:r>
          <w:rPr>
            <w:color w:val="231F20"/>
            <w:sz w:val="18"/>
          </w:rPr>
          <w:t>has</w:t>
        </w:r>
        <w:r>
          <w:rPr>
            <w:color w:val="231F20"/>
            <w:spacing w:val="10"/>
            <w:sz w:val="18"/>
          </w:rPr>
          <w:t> </w:t>
        </w:r>
        <w:r>
          <w:rPr>
            <w:color w:val="231F20"/>
            <w:sz w:val="18"/>
          </w:rPr>
          <w:t>been</w:t>
        </w:r>
        <w:r>
          <w:rPr>
            <w:color w:val="231F20"/>
            <w:spacing w:val="11"/>
            <w:sz w:val="18"/>
          </w:rPr>
          <w:t> </w:t>
        </w:r>
        <w:r>
          <w:rPr>
            <w:color w:val="231F20"/>
            <w:spacing w:val="-2"/>
            <w:sz w:val="18"/>
          </w:rPr>
          <w:t>detected</w:t>
        </w:r>
      </w:hyperlink>
      <w:r>
        <w:rPr>
          <w:rFonts w:ascii="Times New Roman"/>
          <w:color w:val="231F20"/>
          <w:sz w:val="18"/>
        </w:rPr>
        <w:tab/>
      </w:r>
      <w:hyperlink w:history="true" w:anchor="_bookmark325">
        <w:r>
          <w:rPr>
            <w:color w:val="231F20"/>
            <w:spacing w:val="-5"/>
            <w:sz w:val="18"/>
          </w:rPr>
          <w:t>418</w:t>
        </w:r>
      </w:hyperlink>
    </w:p>
    <w:p>
      <w:pPr>
        <w:tabs>
          <w:tab w:pos="4717" w:val="left" w:leader="dot"/>
        </w:tabs>
        <w:spacing w:line="220" w:lineRule="exact" w:before="0"/>
        <w:ind w:left="676" w:right="0" w:firstLine="0"/>
        <w:jc w:val="left"/>
        <w:rPr>
          <w:sz w:val="18"/>
        </w:rPr>
      </w:pPr>
      <w:hyperlink w:history="true" w:anchor="_bookmark325">
        <w:r>
          <w:rPr>
            <w:color w:val="231F20"/>
            <w:sz w:val="18"/>
          </w:rPr>
          <w:t>MISSING:</w:t>
        </w:r>
        <w:r>
          <w:rPr>
            <w:color w:val="231F20"/>
            <w:spacing w:val="8"/>
            <w:sz w:val="18"/>
          </w:rPr>
          <w:t> </w:t>
        </w:r>
        <w:r>
          <w:rPr>
            <w:color w:val="231F20"/>
            <w:sz w:val="18"/>
          </w:rPr>
          <w:t>Check</w:t>
        </w:r>
        <w:r>
          <w:rPr>
            <w:color w:val="231F20"/>
            <w:spacing w:val="9"/>
            <w:sz w:val="18"/>
          </w:rPr>
          <w:t> </w:t>
        </w:r>
        <w:r>
          <w:rPr>
            <w:color w:val="231F20"/>
            <w:sz w:val="18"/>
          </w:rPr>
          <w:t>for</w:t>
        </w:r>
        <w:r>
          <w:rPr>
            <w:color w:val="231F20"/>
            <w:spacing w:val="8"/>
            <w:sz w:val="18"/>
          </w:rPr>
          <w:t> </w:t>
        </w:r>
        <w:r>
          <w:rPr>
            <w:color w:val="231F20"/>
            <w:sz w:val="18"/>
          </w:rPr>
          <w:t>missing</w:t>
        </w:r>
        <w:r>
          <w:rPr>
            <w:color w:val="231F20"/>
            <w:spacing w:val="9"/>
            <w:sz w:val="18"/>
          </w:rPr>
          <w:t> </w:t>
        </w:r>
        <w:r>
          <w:rPr>
            <w:color w:val="231F20"/>
            <w:spacing w:val="-2"/>
            <w:sz w:val="18"/>
          </w:rPr>
          <w:t>items</w:t>
        </w:r>
      </w:hyperlink>
      <w:r>
        <w:rPr>
          <w:rFonts w:ascii="Times New Roman"/>
          <w:color w:val="231F20"/>
          <w:sz w:val="18"/>
        </w:rPr>
        <w:tab/>
      </w:r>
      <w:hyperlink w:history="true" w:anchor="_bookmark325">
        <w:r>
          <w:rPr>
            <w:color w:val="231F20"/>
            <w:spacing w:val="-5"/>
            <w:sz w:val="18"/>
          </w:rPr>
          <w:t>418</w:t>
        </w:r>
      </w:hyperlink>
    </w:p>
    <w:p>
      <w:pPr>
        <w:tabs>
          <w:tab w:pos="4717" w:val="left" w:leader="dot"/>
        </w:tabs>
        <w:spacing w:line="220" w:lineRule="exact" w:before="0"/>
        <w:ind w:left="676" w:right="0" w:firstLine="0"/>
        <w:jc w:val="left"/>
        <w:rPr>
          <w:sz w:val="18"/>
        </w:rPr>
      </w:pPr>
      <w:hyperlink w:history="true" w:anchor="_bookmark326">
        <w:r>
          <w:rPr>
            <w:color w:val="231F20"/>
            <w:sz w:val="18"/>
          </w:rPr>
          <w:t>PCTCHANGE:</w:t>
        </w:r>
        <w:r>
          <w:rPr>
            <w:color w:val="231F20"/>
            <w:spacing w:val="6"/>
            <w:sz w:val="18"/>
          </w:rPr>
          <w:t> </w:t>
        </w:r>
        <w:r>
          <w:rPr>
            <w:color w:val="231F20"/>
            <w:sz w:val="18"/>
          </w:rPr>
          <w:t>Percent</w:t>
        </w:r>
        <w:r>
          <w:rPr>
            <w:color w:val="231F20"/>
            <w:spacing w:val="7"/>
            <w:sz w:val="18"/>
          </w:rPr>
          <w:t> </w:t>
        </w:r>
        <w:r>
          <w:rPr>
            <w:color w:val="231F20"/>
            <w:sz w:val="18"/>
          </w:rPr>
          <w:t>change</w:t>
        </w:r>
        <w:r>
          <w:rPr>
            <w:color w:val="231F20"/>
            <w:spacing w:val="7"/>
            <w:sz w:val="18"/>
          </w:rPr>
          <w:t> </w:t>
        </w:r>
        <w:r>
          <w:rPr>
            <w:color w:val="231F20"/>
            <w:sz w:val="18"/>
          </w:rPr>
          <w:t>in</w:t>
        </w:r>
        <w:r>
          <w:rPr>
            <w:color w:val="231F20"/>
            <w:spacing w:val="6"/>
            <w:sz w:val="18"/>
          </w:rPr>
          <w:t> </w:t>
        </w:r>
        <w:r>
          <w:rPr>
            <w:color w:val="231F20"/>
            <w:spacing w:val="-2"/>
            <w:sz w:val="18"/>
          </w:rPr>
          <w:t>value</w:t>
        </w:r>
      </w:hyperlink>
      <w:r>
        <w:rPr>
          <w:rFonts w:ascii="Times New Roman"/>
          <w:color w:val="231F20"/>
          <w:sz w:val="18"/>
        </w:rPr>
        <w:tab/>
      </w:r>
      <w:hyperlink w:history="true" w:anchor="_bookmark326">
        <w:r>
          <w:rPr>
            <w:color w:val="231F20"/>
            <w:spacing w:val="-5"/>
            <w:sz w:val="18"/>
          </w:rPr>
          <w:t>419</w:t>
        </w:r>
      </w:hyperlink>
    </w:p>
    <w:p>
      <w:pPr>
        <w:tabs>
          <w:tab w:pos="4717" w:val="left" w:leader="dot"/>
        </w:tabs>
        <w:spacing w:line="216" w:lineRule="auto" w:before="7"/>
        <w:ind w:left="676" w:right="162" w:firstLine="0"/>
        <w:jc w:val="left"/>
        <w:rPr>
          <w:sz w:val="18"/>
        </w:rPr>
      </w:pPr>
      <w:hyperlink w:history="true" w:anchor="_bookmark326">
        <w:r>
          <w:rPr>
            <w:color w:val="231F20"/>
            <w:sz w:val="18"/>
          </w:rPr>
          <w:t>REGEX: Scan for a string based on Regular</w:t>
        </w:r>
      </w:hyperlink>
      <w:r>
        <w:rPr>
          <w:color w:val="231F20"/>
          <w:spacing w:val="40"/>
          <w:sz w:val="18"/>
        </w:rPr>
        <w:t> </w:t>
      </w:r>
      <w:hyperlink w:history="true" w:anchor="_bookmark326">
        <w:r>
          <w:rPr>
            <w:color w:val="231F20"/>
            <w:sz w:val="18"/>
          </w:rPr>
          <w:t>Expression</w:t>
        </w:r>
        <w:r>
          <w:rPr>
            <w:color w:val="231F20"/>
            <w:spacing w:val="1"/>
            <w:sz w:val="18"/>
          </w:rPr>
          <w:t> </w:t>
        </w:r>
        <w:r>
          <w:rPr>
            <w:color w:val="231F20"/>
            <w:spacing w:val="-2"/>
            <w:sz w:val="18"/>
          </w:rPr>
          <w:t>pattern</w:t>
        </w:r>
      </w:hyperlink>
      <w:r>
        <w:rPr>
          <w:rFonts w:ascii="Times New Roman"/>
          <w:color w:val="231F20"/>
          <w:sz w:val="18"/>
        </w:rPr>
        <w:tab/>
      </w:r>
      <w:hyperlink w:history="true" w:anchor="_bookmark326">
        <w:r>
          <w:rPr>
            <w:color w:val="231F20"/>
            <w:spacing w:val="-5"/>
            <w:sz w:val="18"/>
          </w:rPr>
          <w:t>419</w:t>
        </w:r>
      </w:hyperlink>
    </w:p>
    <w:p>
      <w:pPr>
        <w:tabs>
          <w:tab w:pos="4717" w:val="left" w:leader="dot"/>
        </w:tabs>
        <w:spacing w:line="214" w:lineRule="exact" w:before="0"/>
        <w:ind w:left="676" w:right="0" w:firstLine="0"/>
        <w:jc w:val="left"/>
        <w:rPr>
          <w:sz w:val="18"/>
        </w:rPr>
      </w:pPr>
      <w:hyperlink w:history="true" w:anchor="_bookmark328">
        <w:r>
          <w:rPr>
            <w:color w:val="231F20"/>
            <w:sz w:val="18"/>
          </w:rPr>
          <w:t>SCAN:</w:t>
        </w:r>
        <w:r>
          <w:rPr>
            <w:color w:val="231F20"/>
            <w:spacing w:val="10"/>
            <w:sz w:val="18"/>
          </w:rPr>
          <w:t> </w:t>
        </w:r>
        <w:r>
          <w:rPr>
            <w:color w:val="231F20"/>
            <w:sz w:val="18"/>
          </w:rPr>
          <w:t>Scan</w:t>
        </w:r>
        <w:r>
          <w:rPr>
            <w:color w:val="231F20"/>
            <w:spacing w:val="10"/>
            <w:sz w:val="18"/>
          </w:rPr>
          <w:t> </w:t>
        </w:r>
        <w:r>
          <w:rPr>
            <w:color w:val="231F20"/>
            <w:sz w:val="18"/>
          </w:rPr>
          <w:t>for</w:t>
        </w:r>
        <w:r>
          <w:rPr>
            <w:color w:val="231F20"/>
            <w:spacing w:val="10"/>
            <w:sz w:val="18"/>
          </w:rPr>
          <w:t> </w:t>
        </w:r>
        <w:r>
          <w:rPr>
            <w:color w:val="231F20"/>
            <w:sz w:val="18"/>
          </w:rPr>
          <w:t>string</w:t>
        </w:r>
        <w:r>
          <w:rPr>
            <w:color w:val="231F20"/>
            <w:spacing w:val="11"/>
            <w:sz w:val="18"/>
          </w:rPr>
          <w:t> </w:t>
        </w:r>
        <w:r>
          <w:rPr>
            <w:color w:val="231F20"/>
            <w:sz w:val="18"/>
          </w:rPr>
          <w:t>within</w:t>
        </w:r>
        <w:r>
          <w:rPr>
            <w:color w:val="231F20"/>
            <w:spacing w:val="10"/>
            <w:sz w:val="18"/>
          </w:rPr>
          <w:t> </w:t>
        </w:r>
        <w:r>
          <w:rPr>
            <w:color w:val="231F20"/>
            <w:sz w:val="18"/>
          </w:rPr>
          <w:t>a</w:t>
        </w:r>
        <w:r>
          <w:rPr>
            <w:color w:val="231F20"/>
            <w:spacing w:val="10"/>
            <w:sz w:val="18"/>
          </w:rPr>
          <w:t> </w:t>
        </w:r>
        <w:r>
          <w:rPr>
            <w:color w:val="231F20"/>
            <w:spacing w:val="-2"/>
            <w:sz w:val="18"/>
          </w:rPr>
          <w:t>string</w:t>
        </w:r>
      </w:hyperlink>
      <w:r>
        <w:rPr>
          <w:rFonts w:ascii="Times New Roman"/>
          <w:color w:val="231F20"/>
          <w:sz w:val="18"/>
        </w:rPr>
        <w:tab/>
      </w:r>
      <w:hyperlink w:history="true" w:anchor="_bookmark328">
        <w:r>
          <w:rPr>
            <w:color w:val="231F20"/>
            <w:spacing w:val="-5"/>
            <w:sz w:val="18"/>
          </w:rPr>
          <w:t>420</w:t>
        </w:r>
      </w:hyperlink>
    </w:p>
    <w:p>
      <w:pPr>
        <w:tabs>
          <w:tab w:pos="4717" w:val="left" w:leader="dot"/>
        </w:tabs>
        <w:spacing w:line="220" w:lineRule="exact" w:before="0"/>
        <w:ind w:left="676" w:right="0" w:firstLine="0"/>
        <w:jc w:val="left"/>
        <w:rPr>
          <w:sz w:val="18"/>
        </w:rPr>
      </w:pPr>
      <w:hyperlink w:history="true" w:anchor="_bookmark330">
        <w:r>
          <w:rPr>
            <w:color w:val="231F20"/>
            <w:sz w:val="18"/>
          </w:rPr>
          <w:t>STR:</w:t>
        </w:r>
        <w:r>
          <w:rPr>
            <w:color w:val="231F20"/>
            <w:spacing w:val="10"/>
            <w:sz w:val="18"/>
          </w:rPr>
          <w:t> </w:t>
        </w:r>
        <w:r>
          <w:rPr>
            <w:color w:val="231F20"/>
            <w:sz w:val="18"/>
          </w:rPr>
          <w:t>Return</w:t>
        </w:r>
        <w:r>
          <w:rPr>
            <w:color w:val="231F20"/>
            <w:spacing w:val="11"/>
            <w:sz w:val="18"/>
          </w:rPr>
          <w:t> </w:t>
        </w:r>
        <w:r>
          <w:rPr>
            <w:color w:val="231F20"/>
            <w:sz w:val="18"/>
          </w:rPr>
          <w:t>a</w:t>
        </w:r>
        <w:r>
          <w:rPr>
            <w:color w:val="231F20"/>
            <w:spacing w:val="11"/>
            <w:sz w:val="18"/>
          </w:rPr>
          <w:t> </w:t>
        </w:r>
        <w:r>
          <w:rPr>
            <w:color w:val="231F20"/>
            <w:sz w:val="18"/>
          </w:rPr>
          <w:t>subset</w:t>
        </w:r>
        <w:r>
          <w:rPr>
            <w:color w:val="231F20"/>
            <w:spacing w:val="11"/>
            <w:sz w:val="18"/>
          </w:rPr>
          <w:t> </w:t>
        </w:r>
        <w:r>
          <w:rPr>
            <w:color w:val="231F20"/>
            <w:sz w:val="18"/>
          </w:rPr>
          <w:t>of</w:t>
        </w:r>
        <w:r>
          <w:rPr>
            <w:color w:val="231F20"/>
            <w:spacing w:val="10"/>
            <w:sz w:val="18"/>
          </w:rPr>
          <w:t> </w:t>
        </w:r>
        <w:r>
          <w:rPr>
            <w:color w:val="231F20"/>
            <w:sz w:val="18"/>
          </w:rPr>
          <w:t>the</w:t>
        </w:r>
        <w:r>
          <w:rPr>
            <w:color w:val="231F20"/>
            <w:spacing w:val="11"/>
            <w:sz w:val="18"/>
          </w:rPr>
          <w:t> </w:t>
        </w:r>
        <w:r>
          <w:rPr>
            <w:color w:val="231F20"/>
            <w:spacing w:val="-2"/>
            <w:sz w:val="18"/>
          </w:rPr>
          <w:t>string</w:t>
        </w:r>
      </w:hyperlink>
      <w:r>
        <w:rPr>
          <w:rFonts w:ascii="Times New Roman"/>
          <w:color w:val="231F20"/>
          <w:sz w:val="18"/>
        </w:rPr>
        <w:tab/>
      </w:r>
      <w:hyperlink w:history="true" w:anchor="_bookmark330">
        <w:r>
          <w:rPr>
            <w:color w:val="231F20"/>
            <w:spacing w:val="-5"/>
            <w:sz w:val="18"/>
          </w:rPr>
          <w:t>421</w:t>
        </w:r>
      </w:hyperlink>
    </w:p>
    <w:p>
      <w:pPr>
        <w:tabs>
          <w:tab w:pos="4717" w:val="left" w:leader="dot"/>
        </w:tabs>
        <w:spacing w:line="220" w:lineRule="exact" w:before="0"/>
        <w:ind w:left="676" w:right="0" w:firstLine="0"/>
        <w:jc w:val="left"/>
        <w:rPr>
          <w:sz w:val="18"/>
        </w:rPr>
      </w:pPr>
      <w:hyperlink w:history="true" w:anchor="_bookmark330">
        <w:r>
          <w:rPr>
            <w:color w:val="231F20"/>
            <w:w w:val="105"/>
            <w:sz w:val="18"/>
          </w:rPr>
          <w:t>TIME:</w:t>
        </w:r>
        <w:r>
          <w:rPr>
            <w:color w:val="231F20"/>
            <w:spacing w:val="2"/>
            <w:w w:val="105"/>
            <w:sz w:val="18"/>
          </w:rPr>
          <w:t> </w:t>
        </w:r>
        <w:r>
          <w:rPr>
            <w:color w:val="231F20"/>
            <w:w w:val="105"/>
            <w:sz w:val="18"/>
          </w:rPr>
          <w:t>Compare</w:t>
        </w:r>
        <w:r>
          <w:rPr>
            <w:color w:val="231F20"/>
            <w:spacing w:val="2"/>
            <w:w w:val="105"/>
            <w:sz w:val="18"/>
          </w:rPr>
          <w:t> </w:t>
        </w:r>
        <w:r>
          <w:rPr>
            <w:color w:val="231F20"/>
            <w:w w:val="105"/>
            <w:sz w:val="18"/>
          </w:rPr>
          <w:t>to</w:t>
        </w:r>
        <w:r>
          <w:rPr>
            <w:color w:val="231F20"/>
            <w:spacing w:val="3"/>
            <w:w w:val="105"/>
            <w:sz w:val="18"/>
          </w:rPr>
          <w:t> </w:t>
        </w:r>
        <w:r>
          <w:rPr>
            <w:color w:val="231F20"/>
            <w:w w:val="105"/>
            <w:sz w:val="18"/>
          </w:rPr>
          <w:t>a</w:t>
        </w:r>
        <w:r>
          <w:rPr>
            <w:color w:val="231F20"/>
            <w:spacing w:val="2"/>
            <w:w w:val="105"/>
            <w:sz w:val="18"/>
          </w:rPr>
          <w:t> </w:t>
        </w:r>
        <w:r>
          <w:rPr>
            <w:color w:val="231F20"/>
            <w:w w:val="105"/>
            <w:sz w:val="18"/>
          </w:rPr>
          <w:t>time</w:t>
        </w:r>
        <w:r>
          <w:rPr>
            <w:color w:val="231F20"/>
            <w:spacing w:val="2"/>
            <w:w w:val="105"/>
            <w:sz w:val="18"/>
          </w:rPr>
          <w:t> </w:t>
        </w:r>
        <w:r>
          <w:rPr>
            <w:color w:val="231F20"/>
            <w:w w:val="105"/>
            <w:sz w:val="18"/>
          </w:rPr>
          <w:t>+/-</w:t>
        </w:r>
        <w:r>
          <w:rPr>
            <w:color w:val="231F20"/>
            <w:spacing w:val="3"/>
            <w:w w:val="105"/>
            <w:sz w:val="18"/>
          </w:rPr>
          <w:t> </w:t>
        </w:r>
        <w:r>
          <w:rPr>
            <w:color w:val="231F20"/>
            <w:spacing w:val="-4"/>
            <w:w w:val="105"/>
            <w:sz w:val="18"/>
          </w:rPr>
          <w:t>delta</w:t>
        </w:r>
      </w:hyperlink>
      <w:r>
        <w:rPr>
          <w:rFonts w:ascii="Times New Roman"/>
          <w:color w:val="231F20"/>
          <w:sz w:val="18"/>
        </w:rPr>
        <w:tab/>
      </w:r>
      <w:hyperlink w:history="true" w:anchor="_bookmark330">
        <w:r>
          <w:rPr>
            <w:color w:val="231F20"/>
            <w:spacing w:val="-5"/>
            <w:w w:val="110"/>
            <w:sz w:val="18"/>
          </w:rPr>
          <w:t>421</w:t>
        </w:r>
      </w:hyperlink>
    </w:p>
    <w:p>
      <w:pPr>
        <w:tabs>
          <w:tab w:pos="4717" w:val="left" w:leader="dot"/>
        </w:tabs>
        <w:spacing w:line="220" w:lineRule="exact" w:before="0"/>
        <w:ind w:left="676" w:right="0" w:firstLine="0"/>
        <w:jc w:val="left"/>
        <w:rPr>
          <w:sz w:val="18"/>
        </w:rPr>
      </w:pPr>
      <w:hyperlink w:history="true" w:anchor="_bookmark331">
        <w:r>
          <w:rPr>
            <w:color w:val="231F20"/>
            <w:sz w:val="18"/>
          </w:rPr>
          <w:t>TIMESPAN:</w:t>
        </w:r>
        <w:r>
          <w:rPr>
            <w:color w:val="231F20"/>
            <w:spacing w:val="8"/>
            <w:sz w:val="18"/>
          </w:rPr>
          <w:t> </w:t>
        </w:r>
        <w:r>
          <w:rPr>
            <w:color w:val="231F20"/>
            <w:sz w:val="18"/>
          </w:rPr>
          <w:t>See</w:t>
        </w:r>
        <w:r>
          <w:rPr>
            <w:color w:val="231F20"/>
            <w:spacing w:val="9"/>
            <w:sz w:val="18"/>
          </w:rPr>
          <w:t> </w:t>
        </w:r>
        <w:r>
          <w:rPr>
            <w:color w:val="231F20"/>
            <w:sz w:val="18"/>
          </w:rPr>
          <w:t>if</w:t>
        </w:r>
        <w:r>
          <w:rPr>
            <w:color w:val="231F20"/>
            <w:spacing w:val="9"/>
            <w:sz w:val="18"/>
          </w:rPr>
          <w:t> </w:t>
        </w:r>
        <w:r>
          <w:rPr>
            <w:color w:val="231F20"/>
            <w:sz w:val="18"/>
          </w:rPr>
          <w:t>a</w:t>
        </w:r>
        <w:r>
          <w:rPr>
            <w:color w:val="231F20"/>
            <w:spacing w:val="8"/>
            <w:sz w:val="18"/>
          </w:rPr>
          <w:t> </w:t>
        </w:r>
        <w:r>
          <w:rPr>
            <w:color w:val="231F20"/>
            <w:sz w:val="18"/>
          </w:rPr>
          <w:t>time</w:t>
        </w:r>
        <w:r>
          <w:rPr>
            <w:color w:val="231F20"/>
            <w:spacing w:val="9"/>
            <w:sz w:val="18"/>
          </w:rPr>
          <w:t> </w:t>
        </w:r>
        <w:r>
          <w:rPr>
            <w:color w:val="231F20"/>
            <w:sz w:val="18"/>
          </w:rPr>
          <w:t>is</w:t>
        </w:r>
        <w:r>
          <w:rPr>
            <w:color w:val="231F20"/>
            <w:spacing w:val="9"/>
            <w:sz w:val="18"/>
          </w:rPr>
          <w:t> </w:t>
        </w:r>
        <w:r>
          <w:rPr>
            <w:color w:val="231F20"/>
            <w:sz w:val="18"/>
          </w:rPr>
          <w:t>within</w:t>
        </w:r>
        <w:r>
          <w:rPr>
            <w:color w:val="231F20"/>
            <w:spacing w:val="8"/>
            <w:sz w:val="18"/>
          </w:rPr>
          <w:t> </w:t>
        </w:r>
        <w:r>
          <w:rPr>
            <w:color w:val="231F20"/>
            <w:sz w:val="18"/>
          </w:rPr>
          <w:t>a</w:t>
        </w:r>
        <w:r>
          <w:rPr>
            <w:color w:val="231F20"/>
            <w:spacing w:val="9"/>
            <w:sz w:val="18"/>
          </w:rPr>
          <w:t> </w:t>
        </w:r>
        <w:r>
          <w:rPr>
            <w:color w:val="231F20"/>
            <w:spacing w:val="-2"/>
            <w:sz w:val="18"/>
          </w:rPr>
          <w:t>range</w:t>
        </w:r>
      </w:hyperlink>
      <w:r>
        <w:rPr>
          <w:rFonts w:ascii="Times New Roman"/>
          <w:color w:val="231F20"/>
          <w:sz w:val="18"/>
        </w:rPr>
        <w:tab/>
      </w:r>
      <w:hyperlink w:history="true" w:anchor="_bookmark331">
        <w:r>
          <w:rPr>
            <w:color w:val="231F20"/>
            <w:spacing w:val="-5"/>
            <w:sz w:val="18"/>
          </w:rPr>
          <w:t>422</w:t>
        </w:r>
      </w:hyperlink>
    </w:p>
    <w:p>
      <w:pPr>
        <w:tabs>
          <w:tab w:pos="4717" w:val="left" w:leader="dot"/>
        </w:tabs>
        <w:spacing w:line="220" w:lineRule="exact" w:before="0"/>
        <w:ind w:left="676" w:right="0" w:firstLine="0"/>
        <w:jc w:val="left"/>
        <w:rPr>
          <w:sz w:val="18"/>
        </w:rPr>
      </w:pPr>
      <w:hyperlink w:history="true" w:anchor="_bookmark331">
        <w:r>
          <w:rPr>
            <w:color w:val="231F20"/>
            <w:sz w:val="18"/>
          </w:rPr>
          <w:t>VALUE:</w:t>
        </w:r>
        <w:r>
          <w:rPr>
            <w:color w:val="231F20"/>
            <w:spacing w:val="-5"/>
            <w:sz w:val="18"/>
          </w:rPr>
          <w:t> </w:t>
        </w:r>
        <w:r>
          <w:rPr>
            <w:color w:val="231F20"/>
            <w:sz w:val="18"/>
          </w:rPr>
          <w:t>Value</w:t>
        </w:r>
        <w:r>
          <w:rPr>
            <w:color w:val="231F20"/>
            <w:spacing w:val="-3"/>
            <w:sz w:val="18"/>
          </w:rPr>
          <w:t> </w:t>
        </w:r>
        <w:r>
          <w:rPr>
            <w:color w:val="231F20"/>
            <w:sz w:val="18"/>
          </w:rPr>
          <w:t>of</w:t>
        </w:r>
        <w:r>
          <w:rPr>
            <w:color w:val="231F20"/>
            <w:spacing w:val="-2"/>
            <w:sz w:val="18"/>
          </w:rPr>
          <w:t> expression</w:t>
        </w:r>
      </w:hyperlink>
      <w:r>
        <w:rPr>
          <w:rFonts w:ascii="Times New Roman"/>
          <w:color w:val="231F20"/>
          <w:sz w:val="18"/>
        </w:rPr>
        <w:tab/>
      </w:r>
      <w:hyperlink w:history="true" w:anchor="_bookmark331">
        <w:r>
          <w:rPr>
            <w:color w:val="231F20"/>
            <w:spacing w:val="-5"/>
            <w:sz w:val="18"/>
          </w:rPr>
          <w:t>422</w:t>
        </w:r>
      </w:hyperlink>
    </w:p>
    <w:p>
      <w:pPr>
        <w:tabs>
          <w:tab w:pos="4717" w:val="left" w:leader="dot"/>
        </w:tabs>
        <w:spacing w:line="220" w:lineRule="exact" w:before="0"/>
        <w:ind w:left="436" w:right="0" w:firstLine="0"/>
        <w:jc w:val="left"/>
        <w:rPr>
          <w:sz w:val="18"/>
        </w:rPr>
      </w:pPr>
      <w:hyperlink w:history="true" w:anchor="_bookmark332">
        <w:r>
          <w:rPr>
            <w:color w:val="231F20"/>
            <w:sz w:val="18"/>
          </w:rPr>
          <w:t>Group</w:t>
        </w:r>
        <w:r>
          <w:rPr>
            <w:color w:val="231F20"/>
            <w:spacing w:val="4"/>
            <w:sz w:val="18"/>
          </w:rPr>
          <w:t> </w:t>
        </w:r>
        <w:r>
          <w:rPr>
            <w:color w:val="231F20"/>
            <w:spacing w:val="-2"/>
            <w:sz w:val="18"/>
          </w:rPr>
          <w:t>functions</w:t>
        </w:r>
      </w:hyperlink>
      <w:r>
        <w:rPr>
          <w:rFonts w:ascii="Times New Roman"/>
          <w:color w:val="231F20"/>
          <w:sz w:val="18"/>
        </w:rPr>
        <w:tab/>
      </w:r>
      <w:hyperlink w:history="true" w:anchor="_bookmark332">
        <w:r>
          <w:rPr>
            <w:color w:val="231F20"/>
            <w:spacing w:val="-5"/>
            <w:sz w:val="18"/>
          </w:rPr>
          <w:t>423</w:t>
        </w:r>
      </w:hyperlink>
    </w:p>
    <w:p>
      <w:pPr>
        <w:tabs>
          <w:tab w:pos="4717" w:val="left" w:leader="dot"/>
        </w:tabs>
        <w:spacing w:line="220" w:lineRule="exact" w:before="0"/>
        <w:ind w:left="676" w:right="0" w:firstLine="0"/>
        <w:jc w:val="left"/>
        <w:rPr>
          <w:sz w:val="18"/>
        </w:rPr>
      </w:pPr>
      <w:hyperlink w:history="true" w:anchor="_bookmark333">
        <w:r>
          <w:rPr>
            <w:color w:val="231F20"/>
            <w:sz w:val="18"/>
          </w:rPr>
          <w:t>AVG:</w:t>
        </w:r>
        <w:r>
          <w:rPr>
            <w:color w:val="231F20"/>
            <w:spacing w:val="-8"/>
            <w:sz w:val="18"/>
          </w:rPr>
          <w:t> </w:t>
        </w:r>
        <w:r>
          <w:rPr>
            <w:color w:val="231F20"/>
            <w:sz w:val="18"/>
          </w:rPr>
          <w:t>Average</w:t>
        </w:r>
        <w:r>
          <w:rPr>
            <w:color w:val="231F20"/>
            <w:spacing w:val="-3"/>
            <w:sz w:val="18"/>
          </w:rPr>
          <w:t> </w:t>
        </w:r>
        <w:r>
          <w:rPr>
            <w:color w:val="231F20"/>
            <w:sz w:val="18"/>
          </w:rPr>
          <w:t>of</w:t>
        </w:r>
        <w:r>
          <w:rPr>
            <w:color w:val="231F20"/>
            <w:spacing w:val="-3"/>
            <w:sz w:val="18"/>
          </w:rPr>
          <w:t> </w:t>
        </w:r>
        <w:r>
          <w:rPr>
            <w:color w:val="231F20"/>
            <w:spacing w:val="-4"/>
            <w:sz w:val="18"/>
          </w:rPr>
          <w:t>group</w:t>
        </w:r>
      </w:hyperlink>
      <w:r>
        <w:rPr>
          <w:rFonts w:ascii="Times New Roman"/>
          <w:color w:val="231F20"/>
          <w:sz w:val="18"/>
        </w:rPr>
        <w:tab/>
      </w:r>
      <w:hyperlink w:history="true" w:anchor="_bookmark333">
        <w:r>
          <w:rPr>
            <w:color w:val="231F20"/>
            <w:spacing w:val="-5"/>
            <w:sz w:val="18"/>
          </w:rPr>
          <w:t>424</w:t>
        </w:r>
      </w:hyperlink>
    </w:p>
    <w:p>
      <w:pPr>
        <w:tabs>
          <w:tab w:pos="4717" w:val="left" w:leader="dot"/>
        </w:tabs>
        <w:spacing w:line="220" w:lineRule="exact" w:before="0"/>
        <w:ind w:left="676" w:right="0" w:firstLine="0"/>
        <w:jc w:val="left"/>
        <w:rPr>
          <w:sz w:val="18"/>
        </w:rPr>
      </w:pPr>
      <w:hyperlink w:history="true" w:anchor="_bookmark333">
        <w:r>
          <w:rPr>
            <w:color w:val="231F20"/>
            <w:sz w:val="18"/>
          </w:rPr>
          <w:t>COUNT:</w:t>
        </w:r>
        <w:r>
          <w:rPr>
            <w:color w:val="231F20"/>
            <w:spacing w:val="5"/>
            <w:sz w:val="18"/>
          </w:rPr>
          <w:t> </w:t>
        </w:r>
        <w:r>
          <w:rPr>
            <w:color w:val="231F20"/>
            <w:sz w:val="18"/>
          </w:rPr>
          <w:t>Count</w:t>
        </w:r>
        <w:r>
          <w:rPr>
            <w:color w:val="231F20"/>
            <w:spacing w:val="6"/>
            <w:sz w:val="18"/>
          </w:rPr>
          <w:t> </w:t>
        </w:r>
        <w:r>
          <w:rPr>
            <w:color w:val="231F20"/>
            <w:sz w:val="18"/>
          </w:rPr>
          <w:t>of</w:t>
        </w:r>
        <w:r>
          <w:rPr>
            <w:color w:val="231F20"/>
            <w:spacing w:val="6"/>
            <w:sz w:val="18"/>
          </w:rPr>
          <w:t> </w:t>
        </w:r>
        <w:r>
          <w:rPr>
            <w:color w:val="231F20"/>
            <w:sz w:val="18"/>
          </w:rPr>
          <w:t>group</w:t>
        </w:r>
        <w:r>
          <w:rPr>
            <w:color w:val="231F20"/>
            <w:spacing w:val="6"/>
            <w:sz w:val="18"/>
          </w:rPr>
          <w:t> </w:t>
        </w:r>
        <w:r>
          <w:rPr>
            <w:color w:val="231F20"/>
            <w:spacing w:val="-2"/>
            <w:sz w:val="18"/>
          </w:rPr>
          <w:t>members</w:t>
        </w:r>
      </w:hyperlink>
      <w:r>
        <w:rPr>
          <w:rFonts w:ascii="Times New Roman"/>
          <w:color w:val="231F20"/>
          <w:sz w:val="18"/>
        </w:rPr>
        <w:tab/>
      </w:r>
      <w:hyperlink w:history="true" w:anchor="_bookmark333">
        <w:r>
          <w:rPr>
            <w:color w:val="231F20"/>
            <w:spacing w:val="-5"/>
            <w:sz w:val="18"/>
          </w:rPr>
          <w:t>424</w:t>
        </w:r>
      </w:hyperlink>
    </w:p>
    <w:p>
      <w:pPr>
        <w:tabs>
          <w:tab w:pos="4717" w:val="left" w:leader="dot"/>
        </w:tabs>
        <w:spacing w:line="220" w:lineRule="exact" w:before="0"/>
        <w:ind w:left="676" w:right="0" w:firstLine="0"/>
        <w:jc w:val="left"/>
        <w:rPr>
          <w:sz w:val="18"/>
        </w:rPr>
      </w:pPr>
      <w:hyperlink w:history="true" w:anchor="_bookmark333">
        <w:r>
          <w:rPr>
            <w:color w:val="231F20"/>
            <w:sz w:val="18"/>
          </w:rPr>
          <w:t>MAX:</w:t>
        </w:r>
        <w:r>
          <w:rPr>
            <w:color w:val="231F20"/>
            <w:spacing w:val="9"/>
            <w:sz w:val="18"/>
          </w:rPr>
          <w:t> </w:t>
        </w:r>
        <w:r>
          <w:rPr>
            <w:color w:val="231F20"/>
            <w:sz w:val="18"/>
          </w:rPr>
          <w:t>Maximum</w:t>
        </w:r>
        <w:r>
          <w:rPr>
            <w:color w:val="231F20"/>
            <w:spacing w:val="9"/>
            <w:sz w:val="18"/>
          </w:rPr>
          <w:t> </w:t>
        </w:r>
        <w:r>
          <w:rPr>
            <w:color w:val="231F20"/>
            <w:sz w:val="18"/>
          </w:rPr>
          <w:t>in</w:t>
        </w:r>
        <w:r>
          <w:rPr>
            <w:color w:val="231F20"/>
            <w:spacing w:val="9"/>
            <w:sz w:val="18"/>
          </w:rPr>
          <w:t> </w:t>
        </w:r>
        <w:r>
          <w:rPr>
            <w:color w:val="231F20"/>
            <w:spacing w:val="-4"/>
            <w:sz w:val="18"/>
          </w:rPr>
          <w:t>group</w:t>
        </w:r>
      </w:hyperlink>
      <w:r>
        <w:rPr>
          <w:rFonts w:ascii="Times New Roman"/>
          <w:color w:val="231F20"/>
          <w:sz w:val="18"/>
        </w:rPr>
        <w:tab/>
      </w:r>
      <w:hyperlink w:history="true" w:anchor="_bookmark333">
        <w:r>
          <w:rPr>
            <w:color w:val="231F20"/>
            <w:spacing w:val="-5"/>
            <w:sz w:val="18"/>
          </w:rPr>
          <w:t>424</w:t>
        </w:r>
      </w:hyperlink>
    </w:p>
    <w:p>
      <w:pPr>
        <w:tabs>
          <w:tab w:pos="4717" w:val="left" w:leader="dot"/>
        </w:tabs>
        <w:spacing w:line="220" w:lineRule="exact" w:before="0"/>
        <w:ind w:left="676" w:right="0" w:firstLine="0"/>
        <w:jc w:val="left"/>
        <w:rPr>
          <w:sz w:val="18"/>
        </w:rPr>
      </w:pPr>
      <w:hyperlink w:history="true" w:anchor="_bookmark334">
        <w:r>
          <w:rPr>
            <w:color w:val="231F20"/>
            <w:sz w:val="18"/>
          </w:rPr>
          <w:t>MIN:</w:t>
        </w:r>
        <w:r>
          <w:rPr>
            <w:color w:val="231F20"/>
            <w:spacing w:val="9"/>
            <w:sz w:val="18"/>
          </w:rPr>
          <w:t> </w:t>
        </w:r>
        <w:r>
          <w:rPr>
            <w:color w:val="231F20"/>
            <w:sz w:val="18"/>
          </w:rPr>
          <w:t>Minimum</w:t>
        </w:r>
        <w:r>
          <w:rPr>
            <w:color w:val="231F20"/>
            <w:spacing w:val="9"/>
            <w:sz w:val="18"/>
          </w:rPr>
          <w:t> </w:t>
        </w:r>
        <w:r>
          <w:rPr>
            <w:color w:val="231F20"/>
            <w:sz w:val="18"/>
          </w:rPr>
          <w:t>in</w:t>
        </w:r>
        <w:r>
          <w:rPr>
            <w:color w:val="231F20"/>
            <w:spacing w:val="10"/>
            <w:sz w:val="18"/>
          </w:rPr>
          <w:t> </w:t>
        </w:r>
        <w:r>
          <w:rPr>
            <w:color w:val="231F20"/>
            <w:spacing w:val="-4"/>
            <w:sz w:val="18"/>
          </w:rPr>
          <w:t>group</w:t>
        </w:r>
      </w:hyperlink>
      <w:r>
        <w:rPr>
          <w:rFonts w:ascii="Times New Roman"/>
          <w:color w:val="231F20"/>
          <w:sz w:val="18"/>
        </w:rPr>
        <w:tab/>
      </w:r>
      <w:hyperlink w:history="true" w:anchor="_bookmark334">
        <w:r>
          <w:rPr>
            <w:color w:val="231F20"/>
            <w:spacing w:val="-5"/>
            <w:sz w:val="18"/>
          </w:rPr>
          <w:t>425</w:t>
        </w:r>
      </w:hyperlink>
    </w:p>
    <w:p>
      <w:pPr>
        <w:tabs>
          <w:tab w:pos="4717" w:val="left" w:leader="dot"/>
        </w:tabs>
        <w:spacing w:line="231" w:lineRule="exact" w:before="0"/>
        <w:ind w:left="676" w:right="0" w:firstLine="0"/>
        <w:jc w:val="left"/>
        <w:rPr>
          <w:sz w:val="18"/>
        </w:rPr>
      </w:pPr>
      <w:hyperlink w:history="true" w:anchor="_bookmark334">
        <w:r>
          <w:rPr>
            <w:color w:val="231F20"/>
            <w:sz w:val="18"/>
          </w:rPr>
          <w:t>SUM:</w:t>
        </w:r>
        <w:r>
          <w:rPr>
            <w:color w:val="231F20"/>
            <w:spacing w:val="10"/>
            <w:sz w:val="18"/>
          </w:rPr>
          <w:t> </w:t>
        </w:r>
        <w:r>
          <w:rPr>
            <w:color w:val="231F20"/>
            <w:sz w:val="18"/>
          </w:rPr>
          <w:t>Sum</w:t>
        </w:r>
        <w:r>
          <w:rPr>
            <w:color w:val="231F20"/>
            <w:spacing w:val="11"/>
            <w:sz w:val="18"/>
          </w:rPr>
          <w:t> </w:t>
        </w:r>
        <w:r>
          <w:rPr>
            <w:color w:val="231F20"/>
            <w:sz w:val="18"/>
          </w:rPr>
          <w:t>of</w:t>
        </w:r>
        <w:r>
          <w:rPr>
            <w:color w:val="231F20"/>
            <w:spacing w:val="11"/>
            <w:sz w:val="18"/>
          </w:rPr>
          <w:t> </w:t>
        </w:r>
        <w:r>
          <w:rPr>
            <w:color w:val="231F20"/>
            <w:spacing w:val="-2"/>
            <w:sz w:val="18"/>
          </w:rPr>
          <w:t>group</w:t>
        </w:r>
      </w:hyperlink>
      <w:r>
        <w:rPr>
          <w:rFonts w:ascii="Times New Roman"/>
          <w:color w:val="231F20"/>
          <w:sz w:val="18"/>
        </w:rPr>
        <w:tab/>
      </w:r>
      <w:hyperlink w:history="true" w:anchor="_bookmark334">
        <w:r>
          <w:rPr>
            <w:color w:val="231F20"/>
            <w:spacing w:val="-5"/>
            <w:sz w:val="18"/>
          </w:rPr>
          <w:t>425</w:t>
        </w:r>
      </w:hyperlink>
    </w:p>
    <w:p>
      <w:pPr>
        <w:pStyle w:val="Heading5"/>
        <w:spacing w:line="247" w:lineRule="auto" w:before="224"/>
        <w:ind w:left="436" w:right="555"/>
      </w:pPr>
      <w:hyperlink w:history="true" w:anchor="_bookmark335">
        <w:r>
          <w:rPr>
            <w:color w:val="231F20"/>
          </w:rPr>
          <w:t>Appendix</w:t>
        </w:r>
        <w:r>
          <w:rPr>
            <w:color w:val="231F20"/>
            <w:spacing w:val="-14"/>
          </w:rPr>
          <w:t> </w:t>
        </w:r>
        <w:r>
          <w:rPr>
            <w:color w:val="231F20"/>
          </w:rPr>
          <w:t>B.</w:t>
        </w:r>
        <w:r>
          <w:rPr>
            <w:color w:val="231F20"/>
            <w:spacing w:val="-5"/>
          </w:rPr>
          <w:t> </w:t>
        </w:r>
        <w:r>
          <w:rPr>
            <w:color w:val="231F20"/>
          </w:rPr>
          <w:t>Tivoli</w:t>
        </w:r>
        <w:r>
          <w:rPr>
            <w:color w:val="231F20"/>
            <w:spacing w:val="-5"/>
          </w:rPr>
          <w:t> </w:t>
        </w:r>
        <w:r>
          <w:rPr>
            <w:color w:val="231F20"/>
          </w:rPr>
          <w:t>Enterprise</w:t>
        </w:r>
      </w:hyperlink>
      <w:r>
        <w:rPr>
          <w:color w:val="231F20"/>
        </w:rPr>
        <w:t> </w:t>
      </w:r>
      <w:hyperlink w:history="true" w:anchor="_bookmark335">
        <w:r>
          <w:rPr>
            <w:color w:val="231F20"/>
          </w:rPr>
          <w:t>Monitoring</w:t>
        </w:r>
        <w:r>
          <w:rPr>
            <w:color w:val="231F20"/>
            <w:spacing w:val="3"/>
          </w:rPr>
          <w:t> </w:t>
        </w:r>
        <w:r>
          <w:rPr>
            <w:color w:val="231F20"/>
          </w:rPr>
          <w:t>Server</w:t>
        </w:r>
        <w:r>
          <w:rPr>
            <w:color w:val="231F20"/>
            <w:spacing w:val="4"/>
          </w:rPr>
          <w:t> </w:t>
        </w:r>
        <w:r>
          <w:rPr>
            <w:color w:val="231F20"/>
          </w:rPr>
          <w:t>and</w:t>
        </w:r>
        <w:r>
          <w:rPr>
            <w:color w:val="231F20"/>
            <w:spacing w:val="3"/>
          </w:rPr>
          <w:t> </w:t>
        </w:r>
        <w:r>
          <w:rPr>
            <w:color w:val="231F20"/>
            <w:spacing w:val="-2"/>
          </w:rPr>
          <w:t>global</w:t>
        </w:r>
      </w:hyperlink>
    </w:p>
    <w:p>
      <w:pPr>
        <w:pStyle w:val="Heading5"/>
        <w:tabs>
          <w:tab w:pos="4620" w:val="left" w:leader="dot"/>
        </w:tabs>
        <w:spacing w:line="250" w:lineRule="exact" w:before="0"/>
        <w:ind w:left="436"/>
      </w:pPr>
      <w:hyperlink w:history="true" w:anchor="_bookmark335">
        <w:r>
          <w:rPr>
            <w:color w:val="231F20"/>
            <w:spacing w:val="-2"/>
          </w:rPr>
          <w:t>attributes</w:t>
        </w:r>
      </w:hyperlink>
      <w:r>
        <w:rPr>
          <w:rFonts w:ascii="Times New Roman"/>
          <w:b w:val="0"/>
          <w:color w:val="231F20"/>
        </w:rPr>
        <w:tab/>
      </w:r>
      <w:hyperlink w:history="true" w:anchor="_bookmark335">
        <w:r>
          <w:rPr>
            <w:color w:val="231F20"/>
            <w:spacing w:val="-5"/>
          </w:rPr>
          <w:t>427</w:t>
        </w:r>
      </w:hyperlink>
    </w:p>
    <w:p>
      <w:pPr>
        <w:tabs>
          <w:tab w:pos="4717" w:val="left" w:leader="dot"/>
        </w:tabs>
        <w:spacing w:line="242" w:lineRule="exact" w:before="0"/>
        <w:ind w:left="436" w:right="0" w:firstLine="0"/>
        <w:jc w:val="left"/>
        <w:rPr>
          <w:sz w:val="18"/>
        </w:rPr>
      </w:pPr>
      <w:r>
        <w:rPr/>
        <mc:AlternateContent>
          <mc:Choice Requires="wps">
            <w:drawing>
              <wp:anchor distT="0" distB="0" distL="0" distR="0" allowOverlap="1" layoutInCell="1" locked="0" behindDoc="0" simplePos="0" relativeHeight="15730688">
                <wp:simplePos x="0" y="0"/>
                <wp:positionH relativeFrom="page">
                  <wp:posOffset>4035878</wp:posOffset>
                </wp:positionH>
                <wp:positionV relativeFrom="paragraph">
                  <wp:posOffset>153506</wp:posOffset>
                </wp:positionV>
                <wp:extent cx="3029585" cy="144335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3029585" cy="14433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6"/>
                              <w:gridCol w:w="364"/>
                            </w:tblGrid>
                            <w:tr>
                              <w:trPr>
                                <w:trHeight w:val="218" w:hRule="atLeast"/>
                              </w:trPr>
                              <w:tc>
                                <w:tcPr>
                                  <w:tcW w:w="4286" w:type="dxa"/>
                                </w:tcPr>
                                <w:p>
                                  <w:pPr>
                                    <w:pStyle w:val="TableParagraph"/>
                                    <w:spacing w:line="198" w:lineRule="exact" w:before="0"/>
                                    <w:ind w:left="0" w:right="41"/>
                                    <w:jc w:val="right"/>
                                    <w:rPr>
                                      <w:sz w:val="18"/>
                                    </w:rPr>
                                  </w:pPr>
                                  <w:hyperlink w:history="true" w:anchor="_bookmark336">
                                    <w:r>
                                      <w:rPr>
                                        <w:color w:val="231F20"/>
                                        <w:sz w:val="18"/>
                                      </w:rPr>
                                      <w:t>Application</w:t>
                                    </w:r>
                                    <w:r>
                                      <w:rPr>
                                        <w:color w:val="231F20"/>
                                        <w:spacing w:val="11"/>
                                        <w:sz w:val="18"/>
                                      </w:rPr>
                                      <w:t> </w:t>
                                    </w:r>
                                    <w:r>
                                      <w:rPr>
                                        <w:color w:val="231F20"/>
                                        <w:sz w:val="18"/>
                                      </w:rPr>
                                      <w:t>Property</w:t>
                                    </w:r>
                                    <w:r>
                                      <w:rPr>
                                        <w:color w:val="231F20"/>
                                        <w:spacing w:val="11"/>
                                        <w:sz w:val="18"/>
                                      </w:rPr>
                                      <w:t> </w:t>
                                    </w:r>
                                    <w:r>
                                      <w:rPr>
                                        <w:color w:val="231F20"/>
                                        <w:sz w:val="18"/>
                                      </w:rPr>
                                      <w:t>Installation</w:t>
                                    </w:r>
                                    <w:r>
                                      <w:rPr>
                                        <w:color w:val="231F20"/>
                                        <w:spacing w:val="11"/>
                                        <w:sz w:val="18"/>
                                      </w:rPr>
                                      <w:t> </w:t>
                                    </w:r>
                                    <w:r>
                                      <w:rPr>
                                        <w:color w:val="231F20"/>
                                        <w:sz w:val="18"/>
                                      </w:rPr>
                                      <w:t>attributes</w:t>
                                    </w:r>
                                    <w:r>
                                      <w:rPr>
                                        <w:color w:val="231F20"/>
                                        <w:spacing w:val="46"/>
                                        <w:sz w:val="18"/>
                                      </w:rPr>
                                      <w:t>  </w:t>
                                    </w:r>
                                    <w:r>
                                      <w:rPr>
                                        <w:color w:val="231F20"/>
                                        <w:sz w:val="18"/>
                                      </w:rPr>
                                      <w:t>.</w:t>
                                    </w:r>
                                    <w:r>
                                      <w:rPr>
                                        <w:color w:val="231F20"/>
                                        <w:spacing w:val="47"/>
                                        <w:sz w:val="18"/>
                                      </w:rPr>
                                      <w:t>  </w:t>
                                    </w:r>
                                    <w:r>
                                      <w:rPr>
                                        <w:color w:val="231F20"/>
                                        <w:sz w:val="18"/>
                                      </w:rPr>
                                      <w:t>.</w:t>
                                    </w:r>
                                    <w:r>
                                      <w:rPr>
                                        <w:color w:val="231F20"/>
                                        <w:spacing w:val="47"/>
                                        <w:sz w:val="18"/>
                                      </w:rPr>
                                      <w:t>  </w:t>
                                    </w:r>
                                    <w:r>
                                      <w:rPr>
                                        <w:color w:val="231F20"/>
                                        <w:spacing w:val="-10"/>
                                        <w:sz w:val="18"/>
                                      </w:rPr>
                                      <w:t>.</w:t>
                                    </w:r>
                                  </w:hyperlink>
                                </w:p>
                              </w:tc>
                              <w:tc>
                                <w:tcPr>
                                  <w:tcW w:w="364" w:type="dxa"/>
                                </w:tcPr>
                                <w:p>
                                  <w:pPr>
                                    <w:pStyle w:val="TableParagraph"/>
                                    <w:spacing w:line="198" w:lineRule="exact" w:before="0"/>
                                    <w:ind w:left="0" w:right="3"/>
                                    <w:jc w:val="center"/>
                                    <w:rPr>
                                      <w:sz w:val="18"/>
                                    </w:rPr>
                                  </w:pPr>
                                  <w:hyperlink w:history="true" w:anchor="_bookmark336">
                                    <w:r>
                                      <w:rPr>
                                        <w:color w:val="231F20"/>
                                        <w:spacing w:val="-5"/>
                                        <w:sz w:val="18"/>
                                      </w:rPr>
                                      <w:t>428</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37">
                                    <w:r>
                                      <w:rPr>
                                        <w:color w:val="231F20"/>
                                        <w:sz w:val="18"/>
                                      </w:rPr>
                                      <w:t>Catalog</w:t>
                                    </w:r>
                                    <w:r>
                                      <w:rPr>
                                        <w:color w:val="231F20"/>
                                        <w:spacing w:val="13"/>
                                        <w:sz w:val="18"/>
                                      </w:rPr>
                                      <w:t> </w:t>
                                    </w:r>
                                    <w:r>
                                      <w:rPr>
                                        <w:color w:val="231F20"/>
                                        <w:sz w:val="18"/>
                                      </w:rPr>
                                      <w:t>Check</w:t>
                                    </w:r>
                                    <w:r>
                                      <w:rPr>
                                        <w:color w:val="231F20"/>
                                        <w:spacing w:val="13"/>
                                        <w:sz w:val="18"/>
                                      </w:rPr>
                                      <w:t> </w:t>
                                    </w:r>
                                    <w:r>
                                      <w:rPr>
                                        <w:color w:val="231F20"/>
                                        <w:sz w:val="18"/>
                                      </w:rPr>
                                      <w:t>attributes.</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7">
                                    <w:r>
                                      <w:rPr>
                                        <w:color w:val="231F20"/>
                                        <w:spacing w:val="-5"/>
                                        <w:sz w:val="18"/>
                                      </w:rPr>
                                      <w:t>431</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38">
                                    <w:r>
                                      <w:rPr>
                                        <w:color w:val="231F20"/>
                                        <w:sz w:val="18"/>
                                      </w:rPr>
                                      <w:t>Deploy</w:t>
                                    </w:r>
                                    <w:r>
                                      <w:rPr>
                                        <w:color w:val="231F20"/>
                                        <w:spacing w:val="13"/>
                                        <w:sz w:val="18"/>
                                      </w:rPr>
                                      <w:t> </w:t>
                                    </w:r>
                                    <w:r>
                                      <w:rPr>
                                        <w:color w:val="231F20"/>
                                        <w:sz w:val="18"/>
                                      </w:rPr>
                                      <w:t>Status</w:t>
                                    </w:r>
                                    <w:r>
                                      <w:rPr>
                                        <w:color w:val="231F20"/>
                                        <w:spacing w:val="13"/>
                                        <w:sz w:val="18"/>
                                      </w:rPr>
                                      <w:t> </w:t>
                                    </w:r>
                                    <w:r>
                                      <w:rPr>
                                        <w:color w:val="231F20"/>
                                        <w:sz w:val="18"/>
                                      </w:rPr>
                                      <w:t>attributes</w:t>
                                    </w:r>
                                    <w:r>
                                      <w:rPr>
                                        <w:color w:val="231F20"/>
                                        <w:spacing w:val="-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8">
                                    <w:r>
                                      <w:rPr>
                                        <w:color w:val="231F20"/>
                                        <w:spacing w:val="-5"/>
                                        <w:sz w:val="18"/>
                                      </w:rPr>
                                      <w:t>432</w:t>
                                    </w:r>
                                  </w:hyperlink>
                                </w:p>
                              </w:tc>
                            </w:tr>
                            <w:tr>
                              <w:trPr>
                                <w:trHeight w:val="219" w:hRule="atLeast"/>
                              </w:trPr>
                              <w:tc>
                                <w:tcPr>
                                  <w:tcW w:w="4286" w:type="dxa"/>
                                </w:tcPr>
                                <w:p>
                                  <w:pPr>
                                    <w:pStyle w:val="TableParagraph"/>
                                    <w:tabs>
                                      <w:tab w:pos="2470" w:val="left" w:leader="none"/>
                                    </w:tabs>
                                    <w:spacing w:line="200" w:lineRule="exact" w:before="0"/>
                                    <w:ind w:left="0" w:right="42"/>
                                    <w:jc w:val="right"/>
                                    <w:rPr>
                                      <w:sz w:val="18"/>
                                    </w:rPr>
                                  </w:pPr>
                                  <w:hyperlink w:history="true" w:anchor="_bookmark339">
                                    <w:r>
                                      <w:rPr>
                                        <w:color w:val="231F20"/>
                                        <w:sz w:val="18"/>
                                      </w:rPr>
                                      <w:t>Deploy</w:t>
                                    </w:r>
                                    <w:r>
                                      <w:rPr>
                                        <w:color w:val="231F20"/>
                                        <w:spacing w:val="7"/>
                                        <w:sz w:val="18"/>
                                      </w:rPr>
                                      <w:t> </w:t>
                                    </w:r>
                                    <w:r>
                                      <w:rPr>
                                        <w:color w:val="231F20"/>
                                        <w:sz w:val="18"/>
                                      </w:rPr>
                                      <w:t>Summary</w:t>
                                    </w:r>
                                    <w:r>
                                      <w:rPr>
                                        <w:color w:val="231F20"/>
                                        <w:spacing w:val="7"/>
                                        <w:sz w:val="18"/>
                                      </w:rPr>
                                      <w:t> </w:t>
                                    </w:r>
                                    <w:r>
                                      <w:rPr>
                                        <w:color w:val="231F20"/>
                                        <w:spacing w:val="-2"/>
                                        <w:sz w:val="18"/>
                                      </w:rPr>
                                      <w:t>attributes</w:t>
                                    </w:r>
                                    <w:r>
                                      <w:rPr>
                                        <w:color w:val="231F20"/>
                                        <w:sz w:val="18"/>
                                      </w:rPr>
                                      <w:tab/>
                                      <w:t>.</w:t>
                                    </w:r>
                                    <w:r>
                                      <w:rPr>
                                        <w:color w:val="231F20"/>
                                        <w:spacing w:val="51"/>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z w:val="18"/>
                                      </w:rPr>
                                      <w:t>.</w:t>
                                    </w:r>
                                    <w:r>
                                      <w:rPr>
                                        <w:color w:val="231F20"/>
                                        <w:spacing w:val="51"/>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9">
                                    <w:r>
                                      <w:rPr>
                                        <w:color w:val="231F20"/>
                                        <w:spacing w:val="-5"/>
                                        <w:sz w:val="18"/>
                                      </w:rPr>
                                      <w:t>434</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0">
                                    <w:r>
                                      <w:rPr>
                                        <w:color w:val="231F20"/>
                                        <w:sz w:val="18"/>
                                      </w:rPr>
                                      <w:t>Depot</w:t>
                                    </w:r>
                                    <w:r>
                                      <w:rPr>
                                        <w:color w:val="231F20"/>
                                        <w:spacing w:val="13"/>
                                        <w:sz w:val="18"/>
                                      </w:rPr>
                                      <w:t> </w:t>
                                    </w:r>
                                    <w:r>
                                      <w:rPr>
                                        <w:color w:val="231F20"/>
                                        <w:sz w:val="18"/>
                                      </w:rPr>
                                      <w:t>Inventory</w:t>
                                    </w:r>
                                    <w:r>
                                      <w:rPr>
                                        <w:color w:val="231F20"/>
                                        <w:spacing w:val="13"/>
                                        <w:sz w:val="18"/>
                                      </w:rPr>
                                      <w:t> </w:t>
                                    </w:r>
                                    <w:r>
                                      <w:rPr>
                                        <w:color w:val="231F20"/>
                                        <w:sz w:val="18"/>
                                      </w:rPr>
                                      <w:t>attributes</w:t>
                                    </w:r>
                                    <w:r>
                                      <w:rPr>
                                        <w:color w:val="231F20"/>
                                        <w:spacing w:val="32"/>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0">
                                    <w:r>
                                      <w:rPr>
                                        <w:color w:val="231F20"/>
                                        <w:spacing w:val="-5"/>
                                        <w:sz w:val="18"/>
                                      </w:rPr>
                                      <w:t>436</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0">
                                    <w:r>
                                      <w:rPr>
                                        <w:color w:val="231F20"/>
                                        <w:sz w:val="18"/>
                                      </w:rPr>
                                      <w:t>EIB</w:t>
                                    </w:r>
                                    <w:r>
                                      <w:rPr>
                                        <w:color w:val="231F20"/>
                                        <w:spacing w:val="13"/>
                                        <w:sz w:val="18"/>
                                      </w:rPr>
                                      <w:t> </w:t>
                                    </w:r>
                                    <w:r>
                                      <w:rPr>
                                        <w:color w:val="231F20"/>
                                        <w:sz w:val="18"/>
                                      </w:rPr>
                                      <w:t>Change</w:t>
                                    </w:r>
                                    <w:r>
                                      <w:rPr>
                                        <w:color w:val="231F20"/>
                                        <w:spacing w:val="13"/>
                                        <w:sz w:val="18"/>
                                      </w:rPr>
                                      <w:t> </w:t>
                                    </w:r>
                                    <w:r>
                                      <w:rPr>
                                        <w:color w:val="231F20"/>
                                        <w:sz w:val="18"/>
                                      </w:rPr>
                                      <w:t>Log</w:t>
                                    </w:r>
                                    <w:r>
                                      <w:rPr>
                                        <w:color w:val="231F20"/>
                                        <w:spacing w:val="13"/>
                                        <w:sz w:val="18"/>
                                      </w:rPr>
                                      <w:t> </w:t>
                                    </w:r>
                                    <w:r>
                                      <w:rPr>
                                        <w:color w:val="231F20"/>
                                        <w:sz w:val="18"/>
                                      </w:rPr>
                                      <w:t>attributes</w:t>
                                    </w:r>
                                    <w:r>
                                      <w:rPr>
                                        <w:color w:val="231F20"/>
                                        <w:spacing w:val="47"/>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0">
                                    <w:r>
                                      <w:rPr>
                                        <w:color w:val="231F20"/>
                                        <w:spacing w:val="-5"/>
                                        <w:sz w:val="18"/>
                                      </w:rPr>
                                      <w:t>436</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1">
                                    <w:r>
                                      <w:rPr>
                                        <w:color w:val="231F20"/>
                                        <w:sz w:val="18"/>
                                      </w:rPr>
                                      <w:t>ITM</w:t>
                                    </w:r>
                                    <w:r>
                                      <w:rPr>
                                        <w:color w:val="231F20"/>
                                        <w:spacing w:val="7"/>
                                        <w:sz w:val="18"/>
                                      </w:rPr>
                                      <w:t> </w:t>
                                    </w:r>
                                    <w:r>
                                      <w:rPr>
                                        <w:color w:val="231F20"/>
                                        <w:sz w:val="18"/>
                                      </w:rPr>
                                      <w:t>Audit</w:t>
                                    </w:r>
                                    <w:r>
                                      <w:rPr>
                                        <w:color w:val="231F20"/>
                                        <w:spacing w:val="13"/>
                                        <w:sz w:val="18"/>
                                      </w:rPr>
                                      <w:t> </w:t>
                                    </w:r>
                                    <w:r>
                                      <w:rPr>
                                        <w:color w:val="231F20"/>
                                        <w:sz w:val="18"/>
                                      </w:rPr>
                                      <w:t>attributes</w:t>
                                    </w:r>
                                    <w:r>
                                      <w:rPr>
                                        <w:color w:val="231F20"/>
                                        <w:spacing w:val="26"/>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1">
                                    <w:r>
                                      <w:rPr>
                                        <w:color w:val="231F20"/>
                                        <w:spacing w:val="-5"/>
                                        <w:sz w:val="18"/>
                                      </w:rPr>
                                      <w:t>437</w:t>
                                    </w:r>
                                  </w:hyperlink>
                                </w:p>
                              </w:tc>
                            </w:tr>
                            <w:tr>
                              <w:trPr>
                                <w:trHeight w:val="349" w:hRule="atLeast"/>
                              </w:trPr>
                              <w:tc>
                                <w:tcPr>
                                  <w:tcW w:w="4286" w:type="dxa"/>
                                </w:tcPr>
                                <w:p>
                                  <w:pPr>
                                    <w:pStyle w:val="TableParagraph"/>
                                    <w:spacing w:line="221" w:lineRule="exact" w:before="0"/>
                                    <w:ind w:left="0" w:right="42"/>
                                    <w:jc w:val="right"/>
                                    <w:rPr>
                                      <w:sz w:val="18"/>
                                    </w:rPr>
                                  </w:pPr>
                                  <w:hyperlink w:history="true" w:anchor="_bookmark342">
                                    <w:r>
                                      <w:rPr>
                                        <w:color w:val="231F20"/>
                                        <w:sz w:val="18"/>
                                      </w:rPr>
                                      <w:t>ITM</w:t>
                                    </w:r>
                                    <w:r>
                                      <w:rPr>
                                        <w:color w:val="231F20"/>
                                        <w:spacing w:val="12"/>
                                        <w:sz w:val="18"/>
                                      </w:rPr>
                                      <w:t> </w:t>
                                    </w:r>
                                    <w:r>
                                      <w:rPr>
                                        <w:color w:val="231F20"/>
                                        <w:sz w:val="18"/>
                                      </w:rPr>
                                      <w:t>Historical</w:t>
                                    </w:r>
                                    <w:r>
                                      <w:rPr>
                                        <w:color w:val="231F20"/>
                                        <w:spacing w:val="13"/>
                                        <w:sz w:val="18"/>
                                      </w:rPr>
                                      <w:t> </w:t>
                                    </w:r>
                                    <w:r>
                                      <w:rPr>
                                        <w:color w:val="231F20"/>
                                        <w:sz w:val="18"/>
                                      </w:rPr>
                                      <w:t>Collection</w:t>
                                    </w:r>
                                    <w:r>
                                      <w:rPr>
                                        <w:color w:val="231F20"/>
                                        <w:spacing w:val="12"/>
                                        <w:sz w:val="18"/>
                                      </w:rPr>
                                      <w:t> </w:t>
                                    </w:r>
                                    <w:r>
                                      <w:rPr>
                                        <w:color w:val="231F20"/>
                                        <w:sz w:val="18"/>
                                      </w:rPr>
                                      <w:t>attributes</w:t>
                                    </w:r>
                                    <w:r>
                                      <w:rPr>
                                        <w:color w:val="231F20"/>
                                        <w:spacing w:val="35"/>
                                        <w:sz w:val="18"/>
                                      </w:rPr>
                                      <w:t> </w:t>
                                    </w:r>
                                    <w:r>
                                      <w:rPr>
                                        <w:color w:val="231F20"/>
                                        <w:sz w:val="18"/>
                                      </w:rPr>
                                      <w:t>.</w:t>
                                    </w:r>
                                    <w:r>
                                      <w:rPr>
                                        <w:color w:val="231F20"/>
                                        <w:spacing w:val="50"/>
                                        <w:sz w:val="18"/>
                                      </w:rPr>
                                      <w:t>  </w:t>
                                    </w:r>
                                    <w:r>
                                      <w:rPr>
                                        <w:color w:val="231F20"/>
                                        <w:sz w:val="18"/>
                                      </w:rPr>
                                      <w:t>.</w:t>
                                    </w:r>
                                    <w:r>
                                      <w:rPr>
                                        <w:color w:val="231F20"/>
                                        <w:spacing w:val="49"/>
                                        <w:sz w:val="18"/>
                                      </w:rPr>
                                      <w:t>  </w:t>
                                    </w:r>
                                    <w:r>
                                      <w:rPr>
                                        <w:color w:val="231F20"/>
                                        <w:sz w:val="18"/>
                                      </w:rPr>
                                      <w:t>.</w:t>
                                    </w:r>
                                    <w:r>
                                      <w:rPr>
                                        <w:color w:val="231F20"/>
                                        <w:spacing w:val="50"/>
                                        <w:sz w:val="18"/>
                                      </w:rPr>
                                      <w:t>  </w:t>
                                    </w:r>
                                    <w:r>
                                      <w:rPr>
                                        <w:color w:val="231F20"/>
                                        <w:sz w:val="18"/>
                                      </w:rPr>
                                      <w:t>.</w:t>
                                    </w:r>
                                    <w:r>
                                      <w:rPr>
                                        <w:color w:val="231F20"/>
                                        <w:spacing w:val="50"/>
                                        <w:sz w:val="18"/>
                                      </w:rPr>
                                      <w:t>  </w:t>
                                    </w:r>
                                    <w:r>
                                      <w:rPr>
                                        <w:color w:val="231F20"/>
                                        <w:sz w:val="18"/>
                                      </w:rPr>
                                      <w:t>.</w:t>
                                    </w:r>
                                    <w:r>
                                      <w:rPr>
                                        <w:color w:val="231F20"/>
                                        <w:spacing w:val="49"/>
                                        <w:sz w:val="18"/>
                                      </w:rPr>
                                      <w:t>  </w:t>
                                    </w:r>
                                    <w:r>
                                      <w:rPr>
                                        <w:color w:val="231F20"/>
                                        <w:spacing w:val="-10"/>
                                        <w:sz w:val="18"/>
                                      </w:rPr>
                                      <w:t>.</w:t>
                                    </w:r>
                                  </w:hyperlink>
                                </w:p>
                              </w:tc>
                              <w:tc>
                                <w:tcPr>
                                  <w:tcW w:w="364" w:type="dxa"/>
                                </w:tcPr>
                                <w:p>
                                  <w:pPr>
                                    <w:pStyle w:val="TableParagraph"/>
                                    <w:spacing w:line="221" w:lineRule="exact" w:before="0"/>
                                    <w:ind w:left="0" w:right="3"/>
                                    <w:jc w:val="center"/>
                                    <w:rPr>
                                      <w:sz w:val="18"/>
                                    </w:rPr>
                                  </w:pPr>
                                  <w:hyperlink w:history="true" w:anchor="_bookmark342">
                                    <w:r>
                                      <w:rPr>
                                        <w:color w:val="231F20"/>
                                        <w:spacing w:val="-5"/>
                                        <w:sz w:val="18"/>
                                      </w:rPr>
                                      <w:t>442</w:t>
                                    </w:r>
                                  </w:hyperlink>
                                </w:p>
                              </w:tc>
                            </w:tr>
                            <w:tr>
                              <w:trPr>
                                <w:trHeight w:val="392" w:hRule="atLeast"/>
                              </w:trPr>
                              <w:tc>
                                <w:tcPr>
                                  <w:tcW w:w="4286" w:type="dxa"/>
                                </w:tcPr>
                                <w:p>
                                  <w:pPr>
                                    <w:pStyle w:val="TableParagraph"/>
                                    <w:spacing w:line="206" w:lineRule="exact" w:before="166"/>
                                    <w:ind w:left="0" w:right="45"/>
                                    <w:jc w:val="right"/>
                                    <w:rPr>
                                      <w:sz w:val="16"/>
                                    </w:rPr>
                                  </w:pPr>
                                  <w:r>
                                    <w:rPr>
                                      <w:color w:val="231F20"/>
                                      <w:spacing w:val="-2"/>
                                      <w:sz w:val="16"/>
                                    </w:rPr>
                                    <w:t>Contents</w:t>
                                  </w:r>
                                </w:p>
                              </w:tc>
                              <w:tc>
                                <w:tcPr>
                                  <w:tcW w:w="364" w:type="dxa"/>
                                </w:tcPr>
                                <w:p>
                                  <w:pPr>
                                    <w:pStyle w:val="TableParagraph"/>
                                    <w:spacing w:line="245" w:lineRule="exact" w:before="127"/>
                                    <w:ind w:left="145" w:right="3"/>
                                    <w:jc w:val="center"/>
                                    <w:rPr>
                                      <w:rFonts w:ascii="Book Antiqua"/>
                                      <w:b/>
                                      <w:sz w:val="22"/>
                                    </w:rPr>
                                  </w:pPr>
                                  <w:r>
                                    <w:rPr>
                                      <w:rFonts w:ascii="Book Antiqua"/>
                                      <w:b/>
                                      <w:color w:val="231F20"/>
                                      <w:spacing w:val="-10"/>
                                      <w:sz w:val="22"/>
                                    </w:rPr>
                                    <w:t>v</w:t>
                                  </w:r>
                                </w:p>
                              </w:tc>
                            </w:tr>
                          </w:tbl>
                          <w:p>
                            <w:pPr>
                              <w:pStyle w:val="BodyText"/>
                            </w:pPr>
                          </w:p>
                        </w:txbxContent>
                      </wps:txbx>
                      <wps:bodyPr wrap="square" lIns="0" tIns="0" rIns="0" bIns="0" rtlCol="0">
                        <a:noAutofit/>
                      </wps:bodyPr>
                    </wps:wsp>
                  </a:graphicData>
                </a:graphic>
              </wp:anchor>
            </w:drawing>
          </mc:Choice>
          <mc:Fallback>
            <w:pict>
              <v:shape style="position:absolute;margin-left:317.785706pt;margin-top:12.08716pt;width:238.55pt;height:113.65pt;mso-position-horizontal-relative:page;mso-position-vertical-relative:paragraph;z-index:15730688"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86"/>
                        <w:gridCol w:w="364"/>
                      </w:tblGrid>
                      <w:tr>
                        <w:trPr>
                          <w:trHeight w:val="218" w:hRule="atLeast"/>
                        </w:trPr>
                        <w:tc>
                          <w:tcPr>
                            <w:tcW w:w="4286" w:type="dxa"/>
                          </w:tcPr>
                          <w:p>
                            <w:pPr>
                              <w:pStyle w:val="TableParagraph"/>
                              <w:spacing w:line="198" w:lineRule="exact" w:before="0"/>
                              <w:ind w:left="0" w:right="41"/>
                              <w:jc w:val="right"/>
                              <w:rPr>
                                <w:sz w:val="18"/>
                              </w:rPr>
                            </w:pPr>
                            <w:hyperlink w:history="true" w:anchor="_bookmark336">
                              <w:r>
                                <w:rPr>
                                  <w:color w:val="231F20"/>
                                  <w:sz w:val="18"/>
                                </w:rPr>
                                <w:t>Application</w:t>
                              </w:r>
                              <w:r>
                                <w:rPr>
                                  <w:color w:val="231F20"/>
                                  <w:spacing w:val="11"/>
                                  <w:sz w:val="18"/>
                                </w:rPr>
                                <w:t> </w:t>
                              </w:r>
                              <w:r>
                                <w:rPr>
                                  <w:color w:val="231F20"/>
                                  <w:sz w:val="18"/>
                                </w:rPr>
                                <w:t>Property</w:t>
                              </w:r>
                              <w:r>
                                <w:rPr>
                                  <w:color w:val="231F20"/>
                                  <w:spacing w:val="11"/>
                                  <w:sz w:val="18"/>
                                </w:rPr>
                                <w:t> </w:t>
                              </w:r>
                              <w:r>
                                <w:rPr>
                                  <w:color w:val="231F20"/>
                                  <w:sz w:val="18"/>
                                </w:rPr>
                                <w:t>Installation</w:t>
                              </w:r>
                              <w:r>
                                <w:rPr>
                                  <w:color w:val="231F20"/>
                                  <w:spacing w:val="11"/>
                                  <w:sz w:val="18"/>
                                </w:rPr>
                                <w:t> </w:t>
                              </w:r>
                              <w:r>
                                <w:rPr>
                                  <w:color w:val="231F20"/>
                                  <w:sz w:val="18"/>
                                </w:rPr>
                                <w:t>attributes</w:t>
                              </w:r>
                              <w:r>
                                <w:rPr>
                                  <w:color w:val="231F20"/>
                                  <w:spacing w:val="46"/>
                                  <w:sz w:val="18"/>
                                </w:rPr>
                                <w:t>  </w:t>
                              </w:r>
                              <w:r>
                                <w:rPr>
                                  <w:color w:val="231F20"/>
                                  <w:sz w:val="18"/>
                                </w:rPr>
                                <w:t>.</w:t>
                              </w:r>
                              <w:r>
                                <w:rPr>
                                  <w:color w:val="231F20"/>
                                  <w:spacing w:val="47"/>
                                  <w:sz w:val="18"/>
                                </w:rPr>
                                <w:t>  </w:t>
                              </w:r>
                              <w:r>
                                <w:rPr>
                                  <w:color w:val="231F20"/>
                                  <w:sz w:val="18"/>
                                </w:rPr>
                                <w:t>.</w:t>
                              </w:r>
                              <w:r>
                                <w:rPr>
                                  <w:color w:val="231F20"/>
                                  <w:spacing w:val="47"/>
                                  <w:sz w:val="18"/>
                                </w:rPr>
                                <w:t>  </w:t>
                              </w:r>
                              <w:r>
                                <w:rPr>
                                  <w:color w:val="231F20"/>
                                  <w:spacing w:val="-10"/>
                                  <w:sz w:val="18"/>
                                </w:rPr>
                                <w:t>.</w:t>
                              </w:r>
                            </w:hyperlink>
                          </w:p>
                        </w:tc>
                        <w:tc>
                          <w:tcPr>
                            <w:tcW w:w="364" w:type="dxa"/>
                          </w:tcPr>
                          <w:p>
                            <w:pPr>
                              <w:pStyle w:val="TableParagraph"/>
                              <w:spacing w:line="198" w:lineRule="exact" w:before="0"/>
                              <w:ind w:left="0" w:right="3"/>
                              <w:jc w:val="center"/>
                              <w:rPr>
                                <w:sz w:val="18"/>
                              </w:rPr>
                            </w:pPr>
                            <w:hyperlink w:history="true" w:anchor="_bookmark336">
                              <w:r>
                                <w:rPr>
                                  <w:color w:val="231F20"/>
                                  <w:spacing w:val="-5"/>
                                  <w:sz w:val="18"/>
                                </w:rPr>
                                <w:t>428</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37">
                              <w:r>
                                <w:rPr>
                                  <w:color w:val="231F20"/>
                                  <w:sz w:val="18"/>
                                </w:rPr>
                                <w:t>Catalog</w:t>
                              </w:r>
                              <w:r>
                                <w:rPr>
                                  <w:color w:val="231F20"/>
                                  <w:spacing w:val="13"/>
                                  <w:sz w:val="18"/>
                                </w:rPr>
                                <w:t> </w:t>
                              </w:r>
                              <w:r>
                                <w:rPr>
                                  <w:color w:val="231F20"/>
                                  <w:sz w:val="18"/>
                                </w:rPr>
                                <w:t>Check</w:t>
                              </w:r>
                              <w:r>
                                <w:rPr>
                                  <w:color w:val="231F20"/>
                                  <w:spacing w:val="13"/>
                                  <w:sz w:val="18"/>
                                </w:rPr>
                                <w:t> </w:t>
                              </w:r>
                              <w:r>
                                <w:rPr>
                                  <w:color w:val="231F20"/>
                                  <w:sz w:val="18"/>
                                </w:rPr>
                                <w:t>attributes.</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7">
                              <w:r>
                                <w:rPr>
                                  <w:color w:val="231F20"/>
                                  <w:spacing w:val="-5"/>
                                  <w:sz w:val="18"/>
                                </w:rPr>
                                <w:t>431</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38">
                              <w:r>
                                <w:rPr>
                                  <w:color w:val="231F20"/>
                                  <w:sz w:val="18"/>
                                </w:rPr>
                                <w:t>Deploy</w:t>
                              </w:r>
                              <w:r>
                                <w:rPr>
                                  <w:color w:val="231F20"/>
                                  <w:spacing w:val="13"/>
                                  <w:sz w:val="18"/>
                                </w:rPr>
                                <w:t> </w:t>
                              </w:r>
                              <w:r>
                                <w:rPr>
                                  <w:color w:val="231F20"/>
                                  <w:sz w:val="18"/>
                                </w:rPr>
                                <w:t>Status</w:t>
                              </w:r>
                              <w:r>
                                <w:rPr>
                                  <w:color w:val="231F20"/>
                                  <w:spacing w:val="13"/>
                                  <w:sz w:val="18"/>
                                </w:rPr>
                                <w:t> </w:t>
                              </w:r>
                              <w:r>
                                <w:rPr>
                                  <w:color w:val="231F20"/>
                                  <w:sz w:val="18"/>
                                </w:rPr>
                                <w:t>attributes</w:t>
                              </w:r>
                              <w:r>
                                <w:rPr>
                                  <w:color w:val="231F20"/>
                                  <w:spacing w:val="-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8">
                              <w:r>
                                <w:rPr>
                                  <w:color w:val="231F20"/>
                                  <w:spacing w:val="-5"/>
                                  <w:sz w:val="18"/>
                                </w:rPr>
                                <w:t>432</w:t>
                              </w:r>
                            </w:hyperlink>
                          </w:p>
                        </w:tc>
                      </w:tr>
                      <w:tr>
                        <w:trPr>
                          <w:trHeight w:val="219" w:hRule="atLeast"/>
                        </w:trPr>
                        <w:tc>
                          <w:tcPr>
                            <w:tcW w:w="4286" w:type="dxa"/>
                          </w:tcPr>
                          <w:p>
                            <w:pPr>
                              <w:pStyle w:val="TableParagraph"/>
                              <w:tabs>
                                <w:tab w:pos="2470" w:val="left" w:leader="none"/>
                              </w:tabs>
                              <w:spacing w:line="200" w:lineRule="exact" w:before="0"/>
                              <w:ind w:left="0" w:right="42"/>
                              <w:jc w:val="right"/>
                              <w:rPr>
                                <w:sz w:val="18"/>
                              </w:rPr>
                            </w:pPr>
                            <w:hyperlink w:history="true" w:anchor="_bookmark339">
                              <w:r>
                                <w:rPr>
                                  <w:color w:val="231F20"/>
                                  <w:sz w:val="18"/>
                                </w:rPr>
                                <w:t>Deploy</w:t>
                              </w:r>
                              <w:r>
                                <w:rPr>
                                  <w:color w:val="231F20"/>
                                  <w:spacing w:val="7"/>
                                  <w:sz w:val="18"/>
                                </w:rPr>
                                <w:t> </w:t>
                              </w:r>
                              <w:r>
                                <w:rPr>
                                  <w:color w:val="231F20"/>
                                  <w:sz w:val="18"/>
                                </w:rPr>
                                <w:t>Summary</w:t>
                              </w:r>
                              <w:r>
                                <w:rPr>
                                  <w:color w:val="231F20"/>
                                  <w:spacing w:val="7"/>
                                  <w:sz w:val="18"/>
                                </w:rPr>
                                <w:t> </w:t>
                              </w:r>
                              <w:r>
                                <w:rPr>
                                  <w:color w:val="231F20"/>
                                  <w:spacing w:val="-2"/>
                                  <w:sz w:val="18"/>
                                </w:rPr>
                                <w:t>attributes</w:t>
                              </w:r>
                              <w:r>
                                <w:rPr>
                                  <w:color w:val="231F20"/>
                                  <w:sz w:val="18"/>
                                </w:rPr>
                                <w:tab/>
                                <w:t>.</w:t>
                              </w:r>
                              <w:r>
                                <w:rPr>
                                  <w:color w:val="231F20"/>
                                  <w:spacing w:val="51"/>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z w:val="18"/>
                                </w:rPr>
                                <w:t>.</w:t>
                              </w:r>
                              <w:r>
                                <w:rPr>
                                  <w:color w:val="231F20"/>
                                  <w:spacing w:val="51"/>
                                  <w:sz w:val="18"/>
                                </w:rPr>
                                <w:t>  </w:t>
                              </w:r>
                              <w:r>
                                <w:rPr>
                                  <w:color w:val="231F20"/>
                                  <w:sz w:val="18"/>
                                </w:rPr>
                                <w:t>.</w:t>
                              </w:r>
                              <w:r>
                                <w:rPr>
                                  <w:color w:val="231F20"/>
                                  <w:spacing w:val="52"/>
                                  <w:sz w:val="18"/>
                                </w:rPr>
                                <w:t>  </w:t>
                              </w:r>
                              <w:r>
                                <w:rPr>
                                  <w:color w:val="231F20"/>
                                  <w:sz w:val="18"/>
                                </w:rPr>
                                <w:t>.</w:t>
                              </w:r>
                              <w:r>
                                <w:rPr>
                                  <w:color w:val="231F20"/>
                                  <w:spacing w:val="52"/>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39">
                              <w:r>
                                <w:rPr>
                                  <w:color w:val="231F20"/>
                                  <w:spacing w:val="-5"/>
                                  <w:sz w:val="18"/>
                                </w:rPr>
                                <w:t>434</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0">
                              <w:r>
                                <w:rPr>
                                  <w:color w:val="231F20"/>
                                  <w:sz w:val="18"/>
                                </w:rPr>
                                <w:t>Depot</w:t>
                              </w:r>
                              <w:r>
                                <w:rPr>
                                  <w:color w:val="231F20"/>
                                  <w:spacing w:val="13"/>
                                  <w:sz w:val="18"/>
                                </w:rPr>
                                <w:t> </w:t>
                              </w:r>
                              <w:r>
                                <w:rPr>
                                  <w:color w:val="231F20"/>
                                  <w:sz w:val="18"/>
                                </w:rPr>
                                <w:t>Inventory</w:t>
                              </w:r>
                              <w:r>
                                <w:rPr>
                                  <w:color w:val="231F20"/>
                                  <w:spacing w:val="13"/>
                                  <w:sz w:val="18"/>
                                </w:rPr>
                                <w:t> </w:t>
                              </w:r>
                              <w:r>
                                <w:rPr>
                                  <w:color w:val="231F20"/>
                                  <w:sz w:val="18"/>
                                </w:rPr>
                                <w:t>attributes</w:t>
                              </w:r>
                              <w:r>
                                <w:rPr>
                                  <w:color w:val="231F20"/>
                                  <w:spacing w:val="32"/>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0">
                              <w:r>
                                <w:rPr>
                                  <w:color w:val="231F20"/>
                                  <w:spacing w:val="-5"/>
                                  <w:sz w:val="18"/>
                                </w:rPr>
                                <w:t>436</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0">
                              <w:r>
                                <w:rPr>
                                  <w:color w:val="231F20"/>
                                  <w:sz w:val="18"/>
                                </w:rPr>
                                <w:t>EIB</w:t>
                              </w:r>
                              <w:r>
                                <w:rPr>
                                  <w:color w:val="231F20"/>
                                  <w:spacing w:val="13"/>
                                  <w:sz w:val="18"/>
                                </w:rPr>
                                <w:t> </w:t>
                              </w:r>
                              <w:r>
                                <w:rPr>
                                  <w:color w:val="231F20"/>
                                  <w:sz w:val="18"/>
                                </w:rPr>
                                <w:t>Change</w:t>
                              </w:r>
                              <w:r>
                                <w:rPr>
                                  <w:color w:val="231F20"/>
                                  <w:spacing w:val="13"/>
                                  <w:sz w:val="18"/>
                                </w:rPr>
                                <w:t> </w:t>
                              </w:r>
                              <w:r>
                                <w:rPr>
                                  <w:color w:val="231F20"/>
                                  <w:sz w:val="18"/>
                                </w:rPr>
                                <w:t>Log</w:t>
                              </w:r>
                              <w:r>
                                <w:rPr>
                                  <w:color w:val="231F20"/>
                                  <w:spacing w:val="13"/>
                                  <w:sz w:val="18"/>
                                </w:rPr>
                                <w:t> </w:t>
                              </w:r>
                              <w:r>
                                <w:rPr>
                                  <w:color w:val="231F20"/>
                                  <w:sz w:val="18"/>
                                </w:rPr>
                                <w:t>attributes</w:t>
                              </w:r>
                              <w:r>
                                <w:rPr>
                                  <w:color w:val="231F20"/>
                                  <w:spacing w:val="47"/>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0"/>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0">
                              <w:r>
                                <w:rPr>
                                  <w:color w:val="231F20"/>
                                  <w:spacing w:val="-5"/>
                                  <w:sz w:val="18"/>
                                </w:rPr>
                                <w:t>436</w:t>
                              </w:r>
                            </w:hyperlink>
                          </w:p>
                        </w:tc>
                      </w:tr>
                      <w:tr>
                        <w:trPr>
                          <w:trHeight w:val="219" w:hRule="atLeast"/>
                        </w:trPr>
                        <w:tc>
                          <w:tcPr>
                            <w:tcW w:w="4286" w:type="dxa"/>
                          </w:tcPr>
                          <w:p>
                            <w:pPr>
                              <w:pStyle w:val="TableParagraph"/>
                              <w:spacing w:line="200" w:lineRule="exact" w:before="0"/>
                              <w:ind w:left="0" w:right="42"/>
                              <w:jc w:val="right"/>
                              <w:rPr>
                                <w:sz w:val="18"/>
                              </w:rPr>
                            </w:pPr>
                            <w:hyperlink w:history="true" w:anchor="_bookmark341">
                              <w:r>
                                <w:rPr>
                                  <w:color w:val="231F20"/>
                                  <w:sz w:val="18"/>
                                </w:rPr>
                                <w:t>ITM</w:t>
                              </w:r>
                              <w:r>
                                <w:rPr>
                                  <w:color w:val="231F20"/>
                                  <w:spacing w:val="7"/>
                                  <w:sz w:val="18"/>
                                </w:rPr>
                                <w:t> </w:t>
                              </w:r>
                              <w:r>
                                <w:rPr>
                                  <w:color w:val="231F20"/>
                                  <w:sz w:val="18"/>
                                </w:rPr>
                                <w:t>Audit</w:t>
                              </w:r>
                              <w:r>
                                <w:rPr>
                                  <w:color w:val="231F20"/>
                                  <w:spacing w:val="13"/>
                                  <w:sz w:val="18"/>
                                </w:rPr>
                                <w:t> </w:t>
                              </w:r>
                              <w:r>
                                <w:rPr>
                                  <w:color w:val="231F20"/>
                                  <w:sz w:val="18"/>
                                </w:rPr>
                                <w:t>attributes</w:t>
                              </w:r>
                              <w:r>
                                <w:rPr>
                                  <w:color w:val="231F20"/>
                                  <w:spacing w:val="26"/>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z w:val="18"/>
                                </w:rPr>
                                <w:t>.</w:t>
                              </w:r>
                              <w:r>
                                <w:rPr>
                                  <w:color w:val="231F20"/>
                                  <w:spacing w:val="51"/>
                                  <w:sz w:val="18"/>
                                </w:rPr>
                                <w:t>  </w:t>
                              </w:r>
                              <w:r>
                                <w:rPr>
                                  <w:color w:val="231F20"/>
                                  <w:spacing w:val="-10"/>
                                  <w:sz w:val="18"/>
                                </w:rPr>
                                <w:t>.</w:t>
                              </w:r>
                            </w:hyperlink>
                          </w:p>
                        </w:tc>
                        <w:tc>
                          <w:tcPr>
                            <w:tcW w:w="364" w:type="dxa"/>
                          </w:tcPr>
                          <w:p>
                            <w:pPr>
                              <w:pStyle w:val="TableParagraph"/>
                              <w:spacing w:line="200" w:lineRule="exact" w:before="0"/>
                              <w:ind w:left="0" w:right="3"/>
                              <w:jc w:val="center"/>
                              <w:rPr>
                                <w:sz w:val="18"/>
                              </w:rPr>
                            </w:pPr>
                            <w:hyperlink w:history="true" w:anchor="_bookmark341">
                              <w:r>
                                <w:rPr>
                                  <w:color w:val="231F20"/>
                                  <w:spacing w:val="-5"/>
                                  <w:sz w:val="18"/>
                                </w:rPr>
                                <w:t>437</w:t>
                              </w:r>
                            </w:hyperlink>
                          </w:p>
                        </w:tc>
                      </w:tr>
                      <w:tr>
                        <w:trPr>
                          <w:trHeight w:val="349" w:hRule="atLeast"/>
                        </w:trPr>
                        <w:tc>
                          <w:tcPr>
                            <w:tcW w:w="4286" w:type="dxa"/>
                          </w:tcPr>
                          <w:p>
                            <w:pPr>
                              <w:pStyle w:val="TableParagraph"/>
                              <w:spacing w:line="221" w:lineRule="exact" w:before="0"/>
                              <w:ind w:left="0" w:right="42"/>
                              <w:jc w:val="right"/>
                              <w:rPr>
                                <w:sz w:val="18"/>
                              </w:rPr>
                            </w:pPr>
                            <w:hyperlink w:history="true" w:anchor="_bookmark342">
                              <w:r>
                                <w:rPr>
                                  <w:color w:val="231F20"/>
                                  <w:sz w:val="18"/>
                                </w:rPr>
                                <w:t>ITM</w:t>
                              </w:r>
                              <w:r>
                                <w:rPr>
                                  <w:color w:val="231F20"/>
                                  <w:spacing w:val="12"/>
                                  <w:sz w:val="18"/>
                                </w:rPr>
                                <w:t> </w:t>
                              </w:r>
                              <w:r>
                                <w:rPr>
                                  <w:color w:val="231F20"/>
                                  <w:sz w:val="18"/>
                                </w:rPr>
                                <w:t>Historical</w:t>
                              </w:r>
                              <w:r>
                                <w:rPr>
                                  <w:color w:val="231F20"/>
                                  <w:spacing w:val="13"/>
                                  <w:sz w:val="18"/>
                                </w:rPr>
                                <w:t> </w:t>
                              </w:r>
                              <w:r>
                                <w:rPr>
                                  <w:color w:val="231F20"/>
                                  <w:sz w:val="18"/>
                                </w:rPr>
                                <w:t>Collection</w:t>
                              </w:r>
                              <w:r>
                                <w:rPr>
                                  <w:color w:val="231F20"/>
                                  <w:spacing w:val="12"/>
                                  <w:sz w:val="18"/>
                                </w:rPr>
                                <w:t> </w:t>
                              </w:r>
                              <w:r>
                                <w:rPr>
                                  <w:color w:val="231F20"/>
                                  <w:sz w:val="18"/>
                                </w:rPr>
                                <w:t>attributes</w:t>
                              </w:r>
                              <w:r>
                                <w:rPr>
                                  <w:color w:val="231F20"/>
                                  <w:spacing w:val="35"/>
                                  <w:sz w:val="18"/>
                                </w:rPr>
                                <w:t> </w:t>
                              </w:r>
                              <w:r>
                                <w:rPr>
                                  <w:color w:val="231F20"/>
                                  <w:sz w:val="18"/>
                                </w:rPr>
                                <w:t>.</w:t>
                              </w:r>
                              <w:r>
                                <w:rPr>
                                  <w:color w:val="231F20"/>
                                  <w:spacing w:val="50"/>
                                  <w:sz w:val="18"/>
                                </w:rPr>
                                <w:t>  </w:t>
                              </w:r>
                              <w:r>
                                <w:rPr>
                                  <w:color w:val="231F20"/>
                                  <w:sz w:val="18"/>
                                </w:rPr>
                                <w:t>.</w:t>
                              </w:r>
                              <w:r>
                                <w:rPr>
                                  <w:color w:val="231F20"/>
                                  <w:spacing w:val="49"/>
                                  <w:sz w:val="18"/>
                                </w:rPr>
                                <w:t>  </w:t>
                              </w:r>
                              <w:r>
                                <w:rPr>
                                  <w:color w:val="231F20"/>
                                  <w:sz w:val="18"/>
                                </w:rPr>
                                <w:t>.</w:t>
                              </w:r>
                              <w:r>
                                <w:rPr>
                                  <w:color w:val="231F20"/>
                                  <w:spacing w:val="50"/>
                                  <w:sz w:val="18"/>
                                </w:rPr>
                                <w:t>  </w:t>
                              </w:r>
                              <w:r>
                                <w:rPr>
                                  <w:color w:val="231F20"/>
                                  <w:sz w:val="18"/>
                                </w:rPr>
                                <w:t>.</w:t>
                              </w:r>
                              <w:r>
                                <w:rPr>
                                  <w:color w:val="231F20"/>
                                  <w:spacing w:val="50"/>
                                  <w:sz w:val="18"/>
                                </w:rPr>
                                <w:t>  </w:t>
                              </w:r>
                              <w:r>
                                <w:rPr>
                                  <w:color w:val="231F20"/>
                                  <w:sz w:val="18"/>
                                </w:rPr>
                                <w:t>.</w:t>
                              </w:r>
                              <w:r>
                                <w:rPr>
                                  <w:color w:val="231F20"/>
                                  <w:spacing w:val="49"/>
                                  <w:sz w:val="18"/>
                                </w:rPr>
                                <w:t>  </w:t>
                              </w:r>
                              <w:r>
                                <w:rPr>
                                  <w:color w:val="231F20"/>
                                  <w:spacing w:val="-10"/>
                                  <w:sz w:val="18"/>
                                </w:rPr>
                                <w:t>.</w:t>
                              </w:r>
                            </w:hyperlink>
                          </w:p>
                        </w:tc>
                        <w:tc>
                          <w:tcPr>
                            <w:tcW w:w="364" w:type="dxa"/>
                          </w:tcPr>
                          <w:p>
                            <w:pPr>
                              <w:pStyle w:val="TableParagraph"/>
                              <w:spacing w:line="221" w:lineRule="exact" w:before="0"/>
                              <w:ind w:left="0" w:right="3"/>
                              <w:jc w:val="center"/>
                              <w:rPr>
                                <w:sz w:val="18"/>
                              </w:rPr>
                            </w:pPr>
                            <w:hyperlink w:history="true" w:anchor="_bookmark342">
                              <w:r>
                                <w:rPr>
                                  <w:color w:val="231F20"/>
                                  <w:spacing w:val="-5"/>
                                  <w:sz w:val="18"/>
                                </w:rPr>
                                <w:t>442</w:t>
                              </w:r>
                            </w:hyperlink>
                          </w:p>
                        </w:tc>
                      </w:tr>
                      <w:tr>
                        <w:trPr>
                          <w:trHeight w:val="392" w:hRule="atLeast"/>
                        </w:trPr>
                        <w:tc>
                          <w:tcPr>
                            <w:tcW w:w="4286" w:type="dxa"/>
                          </w:tcPr>
                          <w:p>
                            <w:pPr>
                              <w:pStyle w:val="TableParagraph"/>
                              <w:spacing w:line="206" w:lineRule="exact" w:before="166"/>
                              <w:ind w:left="0" w:right="45"/>
                              <w:jc w:val="right"/>
                              <w:rPr>
                                <w:sz w:val="16"/>
                              </w:rPr>
                            </w:pPr>
                            <w:r>
                              <w:rPr>
                                <w:color w:val="231F20"/>
                                <w:spacing w:val="-2"/>
                                <w:sz w:val="16"/>
                              </w:rPr>
                              <w:t>Contents</w:t>
                            </w:r>
                          </w:p>
                        </w:tc>
                        <w:tc>
                          <w:tcPr>
                            <w:tcW w:w="364" w:type="dxa"/>
                          </w:tcPr>
                          <w:p>
                            <w:pPr>
                              <w:pStyle w:val="TableParagraph"/>
                              <w:spacing w:line="245" w:lineRule="exact" w:before="127"/>
                              <w:ind w:left="145" w:right="3"/>
                              <w:jc w:val="center"/>
                              <w:rPr>
                                <w:rFonts w:ascii="Book Antiqua"/>
                                <w:b/>
                                <w:sz w:val="22"/>
                              </w:rPr>
                            </w:pPr>
                            <w:r>
                              <w:rPr>
                                <w:rFonts w:ascii="Book Antiqua"/>
                                <w:b/>
                                <w:color w:val="231F20"/>
                                <w:spacing w:val="-10"/>
                                <w:sz w:val="22"/>
                              </w:rPr>
                              <w:t>v</w:t>
                            </w:r>
                          </w:p>
                        </w:tc>
                      </w:tr>
                    </w:tbl>
                    <w:p>
                      <w:pPr>
                        <w:pStyle w:val="BodyText"/>
                      </w:pPr>
                    </w:p>
                  </w:txbxContent>
                </v:textbox>
                <w10:wrap type="none"/>
              </v:shape>
            </w:pict>
          </mc:Fallback>
        </mc:AlternateContent>
      </w:r>
      <w:hyperlink w:history="true" w:anchor="_bookmark336">
        <w:r>
          <w:rPr>
            <w:color w:val="231F20"/>
            <w:sz w:val="18"/>
          </w:rPr>
          <w:t>Agent</w:t>
        </w:r>
        <w:r>
          <w:rPr>
            <w:color w:val="231F20"/>
            <w:spacing w:val="8"/>
            <w:sz w:val="18"/>
          </w:rPr>
          <w:t> </w:t>
        </w:r>
        <w:r>
          <w:rPr>
            <w:color w:val="231F20"/>
            <w:sz w:val="18"/>
          </w:rPr>
          <w:t>Operations</w:t>
        </w:r>
        <w:r>
          <w:rPr>
            <w:color w:val="231F20"/>
            <w:spacing w:val="8"/>
            <w:sz w:val="18"/>
          </w:rPr>
          <w:t> </w:t>
        </w:r>
        <w:r>
          <w:rPr>
            <w:color w:val="231F20"/>
            <w:sz w:val="18"/>
          </w:rPr>
          <w:t>Log</w:t>
        </w:r>
        <w:r>
          <w:rPr>
            <w:color w:val="231F20"/>
            <w:spacing w:val="9"/>
            <w:sz w:val="18"/>
          </w:rPr>
          <w:t> </w:t>
        </w:r>
        <w:r>
          <w:rPr>
            <w:color w:val="231F20"/>
            <w:spacing w:val="-2"/>
            <w:sz w:val="18"/>
          </w:rPr>
          <w:t>attributes</w:t>
        </w:r>
      </w:hyperlink>
      <w:r>
        <w:rPr>
          <w:rFonts w:ascii="Times New Roman"/>
          <w:color w:val="231F20"/>
          <w:sz w:val="18"/>
        </w:rPr>
        <w:tab/>
      </w:r>
      <w:hyperlink w:history="true" w:anchor="_bookmark336">
        <w:r>
          <w:rPr>
            <w:color w:val="231F20"/>
            <w:spacing w:val="-5"/>
            <w:sz w:val="18"/>
          </w:rPr>
          <w:t>428</w:t>
        </w:r>
      </w:hyperlink>
    </w:p>
    <w:p>
      <w:pPr>
        <w:spacing w:after="0" w:line="242" w:lineRule="exact"/>
        <w:jc w:val="left"/>
        <w:rPr>
          <w:sz w:val="18"/>
        </w:rPr>
        <w:sectPr>
          <w:footerReference w:type="default" r:id="rId13"/>
          <w:pgSz w:w="12240" w:h="15840"/>
          <w:pgMar w:header="0" w:footer="0" w:top="1200" w:bottom="280" w:left="1000" w:right="1060"/>
          <w:cols w:num="2" w:equalWidth="0">
            <w:col w:w="4987" w:space="41"/>
            <w:col w:w="5152"/>
          </w:cols>
        </w:sectPr>
      </w:pPr>
    </w:p>
    <w:p>
      <w:pPr>
        <w:tabs>
          <w:tab w:pos="4747" w:val="right" w:leader="dot"/>
        </w:tabs>
        <w:spacing w:line="231" w:lineRule="exact" w:before="48"/>
        <w:ind w:left="197" w:right="0" w:firstLine="0"/>
        <w:jc w:val="left"/>
        <w:rPr>
          <w:sz w:val="18"/>
        </w:rPr>
      </w:pPr>
      <w:hyperlink w:history="true" w:anchor="_bookmark343">
        <w:r>
          <w:rPr>
            <w:color w:val="231F20"/>
            <w:sz w:val="18"/>
          </w:rPr>
          <w:t>Local</w:t>
        </w:r>
        <w:r>
          <w:rPr>
            <w:color w:val="231F20"/>
            <w:spacing w:val="4"/>
            <w:sz w:val="18"/>
          </w:rPr>
          <w:t> </w:t>
        </w:r>
        <w:r>
          <w:rPr>
            <w:color w:val="231F20"/>
            <w:sz w:val="18"/>
          </w:rPr>
          <w:t>Time</w:t>
        </w:r>
        <w:r>
          <w:rPr>
            <w:color w:val="231F20"/>
            <w:spacing w:val="5"/>
            <w:sz w:val="18"/>
          </w:rPr>
          <w:t> </w:t>
        </w:r>
        <w:r>
          <w:rPr>
            <w:color w:val="231F20"/>
            <w:spacing w:val="-2"/>
            <w:sz w:val="18"/>
          </w:rPr>
          <w:t>attributes</w:t>
        </w:r>
      </w:hyperlink>
      <w:r>
        <w:rPr>
          <w:rFonts w:ascii="Times New Roman"/>
          <w:color w:val="231F20"/>
          <w:sz w:val="18"/>
        </w:rPr>
        <w:tab/>
      </w:r>
      <w:hyperlink w:history="true" w:anchor="_bookmark343">
        <w:r>
          <w:rPr>
            <w:color w:val="231F20"/>
            <w:spacing w:val="-5"/>
            <w:sz w:val="18"/>
          </w:rPr>
          <w:t>444</w:t>
        </w:r>
      </w:hyperlink>
    </w:p>
    <w:p>
      <w:pPr>
        <w:tabs>
          <w:tab w:pos="4747" w:val="right" w:leader="dot"/>
        </w:tabs>
        <w:spacing w:line="220" w:lineRule="exact" w:before="0"/>
        <w:ind w:left="197" w:right="0" w:firstLine="0"/>
        <w:jc w:val="left"/>
        <w:rPr>
          <w:sz w:val="18"/>
        </w:rPr>
      </w:pPr>
      <w:hyperlink w:history="true" w:anchor="_bookmark344">
        <w:r>
          <w:rPr>
            <w:color w:val="231F20"/>
            <w:sz w:val="18"/>
          </w:rPr>
          <w:t>Managed</w:t>
        </w:r>
        <w:r>
          <w:rPr>
            <w:color w:val="231F20"/>
            <w:spacing w:val="6"/>
            <w:sz w:val="18"/>
          </w:rPr>
          <w:t> </w:t>
        </w:r>
        <w:r>
          <w:rPr>
            <w:color w:val="231F20"/>
            <w:sz w:val="18"/>
          </w:rPr>
          <w:t>Systems</w:t>
        </w:r>
        <w:r>
          <w:rPr>
            <w:color w:val="231F20"/>
            <w:spacing w:val="7"/>
            <w:sz w:val="18"/>
          </w:rPr>
          <w:t> </w:t>
        </w:r>
        <w:r>
          <w:rPr>
            <w:color w:val="231F20"/>
            <w:spacing w:val="-2"/>
            <w:sz w:val="18"/>
          </w:rPr>
          <w:t>attributes</w:t>
        </w:r>
      </w:hyperlink>
      <w:r>
        <w:rPr>
          <w:rFonts w:ascii="Times New Roman"/>
          <w:color w:val="231F20"/>
          <w:sz w:val="18"/>
        </w:rPr>
        <w:tab/>
      </w:r>
      <w:hyperlink w:history="true" w:anchor="_bookmark344">
        <w:r>
          <w:rPr>
            <w:color w:val="231F20"/>
            <w:spacing w:val="-5"/>
            <w:sz w:val="18"/>
          </w:rPr>
          <w:t>445</w:t>
        </w:r>
      </w:hyperlink>
    </w:p>
    <w:p>
      <w:pPr>
        <w:tabs>
          <w:tab w:pos="4747" w:val="right" w:leader="dot"/>
        </w:tabs>
        <w:spacing w:line="220" w:lineRule="exact" w:before="0"/>
        <w:ind w:left="197" w:right="0" w:firstLine="0"/>
        <w:jc w:val="left"/>
        <w:rPr>
          <w:sz w:val="18"/>
        </w:rPr>
      </w:pPr>
      <w:hyperlink w:history="true" w:anchor="_bookmark345">
        <w:r>
          <w:rPr>
            <w:color w:val="231F20"/>
            <w:sz w:val="18"/>
          </w:rPr>
          <w:t>Situation</w:t>
        </w:r>
        <w:r>
          <w:rPr>
            <w:color w:val="231F20"/>
            <w:spacing w:val="6"/>
            <w:sz w:val="18"/>
          </w:rPr>
          <w:t> </w:t>
        </w:r>
        <w:r>
          <w:rPr>
            <w:color w:val="231F20"/>
            <w:sz w:val="18"/>
          </w:rPr>
          <w:t>Definition</w:t>
        </w:r>
        <w:r>
          <w:rPr>
            <w:color w:val="231F20"/>
            <w:spacing w:val="6"/>
            <w:sz w:val="18"/>
          </w:rPr>
          <w:t> </w:t>
        </w:r>
        <w:r>
          <w:rPr>
            <w:color w:val="231F20"/>
            <w:spacing w:val="-2"/>
            <w:sz w:val="18"/>
          </w:rPr>
          <w:t>attributes</w:t>
        </w:r>
      </w:hyperlink>
      <w:r>
        <w:rPr>
          <w:rFonts w:ascii="Times New Roman"/>
          <w:color w:val="231F20"/>
          <w:sz w:val="18"/>
        </w:rPr>
        <w:tab/>
      </w:r>
      <w:hyperlink w:history="true" w:anchor="_bookmark345">
        <w:r>
          <w:rPr>
            <w:color w:val="231F20"/>
            <w:spacing w:val="-5"/>
            <w:sz w:val="18"/>
          </w:rPr>
          <w:t>446</w:t>
        </w:r>
      </w:hyperlink>
    </w:p>
    <w:p>
      <w:pPr>
        <w:tabs>
          <w:tab w:pos="4747" w:val="right" w:leader="dot"/>
        </w:tabs>
        <w:spacing w:line="220" w:lineRule="exact" w:before="0"/>
        <w:ind w:left="197" w:right="0" w:firstLine="0"/>
        <w:jc w:val="left"/>
        <w:rPr>
          <w:sz w:val="18"/>
        </w:rPr>
      </w:pPr>
      <w:hyperlink w:history="true" w:anchor="_bookmark346">
        <w:r>
          <w:rPr>
            <w:color w:val="231F20"/>
            <w:sz w:val="18"/>
          </w:rPr>
          <w:t>Situation</w:t>
        </w:r>
        <w:r>
          <w:rPr>
            <w:color w:val="231F20"/>
            <w:spacing w:val="8"/>
            <w:sz w:val="18"/>
          </w:rPr>
          <w:t> </w:t>
        </w:r>
        <w:r>
          <w:rPr>
            <w:color w:val="231F20"/>
            <w:sz w:val="18"/>
          </w:rPr>
          <w:t>State</w:t>
        </w:r>
        <w:r>
          <w:rPr>
            <w:color w:val="231F20"/>
            <w:spacing w:val="9"/>
            <w:sz w:val="18"/>
          </w:rPr>
          <w:t> </w:t>
        </w:r>
        <w:r>
          <w:rPr>
            <w:color w:val="231F20"/>
            <w:sz w:val="18"/>
          </w:rPr>
          <w:t>Event</w:t>
        </w:r>
        <w:r>
          <w:rPr>
            <w:color w:val="231F20"/>
            <w:spacing w:val="9"/>
            <w:sz w:val="18"/>
          </w:rPr>
          <w:t> </w:t>
        </w:r>
        <w:r>
          <w:rPr>
            <w:color w:val="231F20"/>
            <w:spacing w:val="-2"/>
            <w:sz w:val="18"/>
          </w:rPr>
          <w:t>attributes</w:t>
        </w:r>
      </w:hyperlink>
      <w:r>
        <w:rPr>
          <w:rFonts w:ascii="Times New Roman"/>
          <w:color w:val="231F20"/>
          <w:sz w:val="18"/>
        </w:rPr>
        <w:tab/>
      </w:r>
      <w:hyperlink w:history="true" w:anchor="_bookmark346">
        <w:r>
          <w:rPr>
            <w:color w:val="231F20"/>
            <w:spacing w:val="-5"/>
            <w:sz w:val="18"/>
          </w:rPr>
          <w:t>447</w:t>
        </w:r>
      </w:hyperlink>
    </w:p>
    <w:p>
      <w:pPr>
        <w:tabs>
          <w:tab w:pos="4747" w:val="right" w:leader="dot"/>
        </w:tabs>
        <w:spacing w:line="220" w:lineRule="exact" w:before="0"/>
        <w:ind w:left="197" w:right="0" w:firstLine="0"/>
        <w:jc w:val="left"/>
        <w:rPr>
          <w:sz w:val="18"/>
        </w:rPr>
      </w:pPr>
      <w:hyperlink w:history="true" w:anchor="_bookmark347">
        <w:r>
          <w:rPr>
            <w:color w:val="231F20"/>
            <w:sz w:val="18"/>
          </w:rPr>
          <w:t>Situation</w:t>
        </w:r>
        <w:r>
          <w:rPr>
            <w:color w:val="231F20"/>
            <w:spacing w:val="6"/>
            <w:sz w:val="18"/>
          </w:rPr>
          <w:t> </w:t>
        </w:r>
        <w:r>
          <w:rPr>
            <w:color w:val="231F20"/>
            <w:sz w:val="18"/>
          </w:rPr>
          <w:t>Status</w:t>
        </w:r>
        <w:r>
          <w:rPr>
            <w:color w:val="231F20"/>
            <w:spacing w:val="7"/>
            <w:sz w:val="18"/>
          </w:rPr>
          <w:t> </w:t>
        </w:r>
        <w:r>
          <w:rPr>
            <w:color w:val="231F20"/>
            <w:sz w:val="18"/>
          </w:rPr>
          <w:t>Current</w:t>
        </w:r>
        <w:r>
          <w:rPr>
            <w:color w:val="231F20"/>
            <w:spacing w:val="6"/>
            <w:sz w:val="18"/>
          </w:rPr>
          <w:t> </w:t>
        </w:r>
        <w:r>
          <w:rPr>
            <w:color w:val="231F20"/>
            <w:spacing w:val="-2"/>
            <w:sz w:val="18"/>
          </w:rPr>
          <w:t>attributes</w:t>
        </w:r>
      </w:hyperlink>
      <w:r>
        <w:rPr>
          <w:rFonts w:ascii="Times New Roman"/>
          <w:color w:val="231F20"/>
          <w:sz w:val="18"/>
        </w:rPr>
        <w:tab/>
      </w:r>
      <w:hyperlink w:history="true" w:anchor="_bookmark347">
        <w:r>
          <w:rPr>
            <w:color w:val="231F20"/>
            <w:spacing w:val="-5"/>
            <w:sz w:val="18"/>
          </w:rPr>
          <w:t>449</w:t>
        </w:r>
      </w:hyperlink>
    </w:p>
    <w:p>
      <w:pPr>
        <w:tabs>
          <w:tab w:pos="4747" w:val="right" w:leader="dot"/>
        </w:tabs>
        <w:spacing w:line="220" w:lineRule="exact" w:before="0"/>
        <w:ind w:left="197" w:right="0" w:firstLine="0"/>
        <w:jc w:val="left"/>
        <w:rPr>
          <w:sz w:val="18"/>
        </w:rPr>
      </w:pPr>
      <w:hyperlink w:history="true" w:anchor="_bookmark348">
        <w:r>
          <w:rPr>
            <w:color w:val="231F20"/>
            <w:sz w:val="18"/>
          </w:rPr>
          <w:t>Situation</w:t>
        </w:r>
        <w:r>
          <w:rPr>
            <w:color w:val="231F20"/>
            <w:spacing w:val="8"/>
            <w:sz w:val="18"/>
          </w:rPr>
          <w:t> </w:t>
        </w:r>
        <w:r>
          <w:rPr>
            <w:color w:val="231F20"/>
            <w:sz w:val="18"/>
          </w:rPr>
          <w:t>Status</w:t>
        </w:r>
        <w:r>
          <w:rPr>
            <w:color w:val="231F20"/>
            <w:spacing w:val="9"/>
            <w:sz w:val="18"/>
          </w:rPr>
          <w:t> </w:t>
        </w:r>
        <w:r>
          <w:rPr>
            <w:color w:val="231F20"/>
            <w:sz w:val="18"/>
          </w:rPr>
          <w:t>Log</w:t>
        </w:r>
        <w:r>
          <w:rPr>
            <w:color w:val="231F20"/>
            <w:spacing w:val="9"/>
            <w:sz w:val="18"/>
          </w:rPr>
          <w:t> </w:t>
        </w:r>
        <w:r>
          <w:rPr>
            <w:color w:val="231F20"/>
            <w:spacing w:val="-2"/>
            <w:sz w:val="18"/>
          </w:rPr>
          <w:t>attributes</w:t>
        </w:r>
      </w:hyperlink>
      <w:r>
        <w:rPr>
          <w:rFonts w:ascii="Times New Roman"/>
          <w:color w:val="231F20"/>
          <w:sz w:val="18"/>
        </w:rPr>
        <w:tab/>
      </w:r>
      <w:hyperlink w:history="true" w:anchor="_bookmark348">
        <w:r>
          <w:rPr>
            <w:color w:val="231F20"/>
            <w:spacing w:val="-5"/>
            <w:sz w:val="18"/>
          </w:rPr>
          <w:t>451</w:t>
        </w:r>
      </w:hyperlink>
    </w:p>
    <w:p>
      <w:pPr>
        <w:tabs>
          <w:tab w:pos="4747" w:val="right" w:leader="dot"/>
        </w:tabs>
        <w:spacing w:line="220" w:lineRule="exact" w:before="0"/>
        <w:ind w:left="197" w:right="0" w:firstLine="0"/>
        <w:jc w:val="left"/>
        <w:rPr>
          <w:sz w:val="18"/>
        </w:rPr>
      </w:pPr>
      <w:hyperlink w:history="true" w:anchor="_bookmark349">
        <w:r>
          <w:rPr>
            <w:color w:val="231F20"/>
            <w:sz w:val="18"/>
          </w:rPr>
          <w:t>Universal</w:t>
        </w:r>
        <w:r>
          <w:rPr>
            <w:color w:val="231F20"/>
            <w:spacing w:val="6"/>
            <w:sz w:val="18"/>
          </w:rPr>
          <w:t> </w:t>
        </w:r>
        <w:r>
          <w:rPr>
            <w:color w:val="231F20"/>
            <w:sz w:val="18"/>
          </w:rPr>
          <w:t>Messages</w:t>
        </w:r>
        <w:r>
          <w:rPr>
            <w:color w:val="231F20"/>
            <w:spacing w:val="6"/>
            <w:sz w:val="18"/>
          </w:rPr>
          <w:t> </w:t>
        </w:r>
        <w:r>
          <w:rPr>
            <w:color w:val="231F20"/>
            <w:spacing w:val="-2"/>
            <w:sz w:val="18"/>
          </w:rPr>
          <w:t>attributes</w:t>
        </w:r>
      </w:hyperlink>
      <w:r>
        <w:rPr>
          <w:rFonts w:ascii="Times New Roman"/>
          <w:color w:val="231F20"/>
          <w:sz w:val="18"/>
        </w:rPr>
        <w:tab/>
      </w:r>
      <w:hyperlink w:history="true" w:anchor="_bookmark349">
        <w:r>
          <w:rPr>
            <w:color w:val="231F20"/>
            <w:spacing w:val="-5"/>
            <w:sz w:val="18"/>
          </w:rPr>
          <w:t>452</w:t>
        </w:r>
      </w:hyperlink>
    </w:p>
    <w:p>
      <w:pPr>
        <w:tabs>
          <w:tab w:pos="4747" w:val="right" w:leader="dot"/>
        </w:tabs>
        <w:spacing w:line="231" w:lineRule="exact" w:before="0"/>
        <w:ind w:left="197" w:right="0" w:firstLine="0"/>
        <w:jc w:val="left"/>
        <w:rPr>
          <w:sz w:val="18"/>
        </w:rPr>
      </w:pPr>
      <w:hyperlink w:history="true" w:anchor="_bookmark350">
        <w:r>
          <w:rPr>
            <w:color w:val="231F20"/>
            <w:sz w:val="18"/>
          </w:rPr>
          <w:t>Universal</w:t>
        </w:r>
        <w:r>
          <w:rPr>
            <w:color w:val="231F20"/>
            <w:spacing w:val="3"/>
            <w:sz w:val="18"/>
          </w:rPr>
          <w:t> </w:t>
        </w:r>
        <w:r>
          <w:rPr>
            <w:color w:val="231F20"/>
            <w:sz w:val="18"/>
          </w:rPr>
          <w:t>Time</w:t>
        </w:r>
        <w:r>
          <w:rPr>
            <w:color w:val="231F20"/>
            <w:spacing w:val="3"/>
            <w:sz w:val="18"/>
          </w:rPr>
          <w:t> </w:t>
        </w:r>
        <w:r>
          <w:rPr>
            <w:color w:val="231F20"/>
            <w:spacing w:val="-2"/>
            <w:sz w:val="18"/>
          </w:rPr>
          <w:t>attributes</w:t>
        </w:r>
      </w:hyperlink>
      <w:r>
        <w:rPr>
          <w:rFonts w:ascii="Times New Roman"/>
          <w:color w:val="231F20"/>
          <w:sz w:val="18"/>
        </w:rPr>
        <w:tab/>
      </w:r>
      <w:hyperlink w:history="true" w:anchor="_bookmark350">
        <w:r>
          <w:rPr>
            <w:color w:val="231F20"/>
            <w:spacing w:val="-5"/>
            <w:sz w:val="18"/>
          </w:rPr>
          <w:t>453</w:t>
        </w:r>
      </w:hyperlink>
    </w:p>
    <w:p>
      <w:pPr>
        <w:tabs>
          <w:tab w:pos="4747" w:val="right" w:leader="dot"/>
        </w:tabs>
        <w:spacing w:line="252" w:lineRule="exact" w:before="223"/>
        <w:ind w:left="197" w:right="0" w:firstLine="0"/>
        <w:jc w:val="left"/>
        <w:rPr>
          <w:rFonts w:ascii="Arial"/>
          <w:b/>
          <w:sz w:val="22"/>
        </w:rPr>
      </w:pPr>
      <w:hyperlink w:history="true" w:anchor="_bookmark351">
        <w:r>
          <w:rPr>
            <w:rFonts w:ascii="Arial"/>
            <w:b/>
            <w:color w:val="231F20"/>
            <w:sz w:val="22"/>
          </w:rPr>
          <w:t>Documentation</w:t>
        </w:r>
        <w:r>
          <w:rPr>
            <w:rFonts w:ascii="Arial"/>
            <w:b/>
            <w:color w:val="231F20"/>
            <w:spacing w:val="-6"/>
            <w:sz w:val="22"/>
          </w:rPr>
          <w:t> </w:t>
        </w:r>
        <w:r>
          <w:rPr>
            <w:rFonts w:ascii="Arial"/>
            <w:b/>
            <w:color w:val="231F20"/>
            <w:spacing w:val="-2"/>
            <w:sz w:val="22"/>
          </w:rPr>
          <w:t>library</w:t>
        </w:r>
      </w:hyperlink>
      <w:r>
        <w:rPr>
          <w:rFonts w:ascii="Times New Roman"/>
          <w:color w:val="231F20"/>
          <w:sz w:val="22"/>
        </w:rPr>
        <w:tab/>
      </w:r>
      <w:hyperlink w:history="true" w:anchor="_bookmark351">
        <w:r>
          <w:rPr>
            <w:rFonts w:ascii="Arial"/>
            <w:b/>
            <w:color w:val="231F20"/>
            <w:spacing w:val="-5"/>
            <w:sz w:val="22"/>
          </w:rPr>
          <w:t>455</w:t>
        </w:r>
      </w:hyperlink>
    </w:p>
    <w:p>
      <w:pPr>
        <w:tabs>
          <w:tab w:pos="4747" w:val="right" w:leader="dot"/>
        </w:tabs>
        <w:spacing w:line="242" w:lineRule="exact" w:before="0"/>
        <w:ind w:left="197" w:right="0" w:firstLine="0"/>
        <w:jc w:val="left"/>
        <w:rPr>
          <w:sz w:val="18"/>
        </w:rPr>
      </w:pPr>
      <w:hyperlink w:history="true" w:anchor="_bookmark351">
        <w:r>
          <w:rPr>
            <w:color w:val="231F20"/>
            <w:sz w:val="18"/>
          </w:rPr>
          <w:t>IBM</w:t>
        </w:r>
        <w:r>
          <w:rPr>
            <w:color w:val="231F20"/>
            <w:spacing w:val="4"/>
            <w:sz w:val="18"/>
          </w:rPr>
          <w:t> </w:t>
        </w:r>
        <w:r>
          <w:rPr>
            <w:color w:val="231F20"/>
            <w:sz w:val="18"/>
          </w:rPr>
          <w:t>Tivoli</w:t>
        </w:r>
        <w:r>
          <w:rPr>
            <w:color w:val="231F20"/>
            <w:spacing w:val="5"/>
            <w:sz w:val="18"/>
          </w:rPr>
          <w:t> </w:t>
        </w:r>
        <w:r>
          <w:rPr>
            <w:color w:val="231F20"/>
            <w:sz w:val="18"/>
          </w:rPr>
          <w:t>Monitoring</w:t>
        </w:r>
        <w:r>
          <w:rPr>
            <w:color w:val="231F20"/>
            <w:spacing w:val="5"/>
            <w:sz w:val="18"/>
          </w:rPr>
          <w:t> </w:t>
        </w:r>
        <w:r>
          <w:rPr>
            <w:color w:val="231F20"/>
            <w:spacing w:val="-2"/>
            <w:sz w:val="18"/>
          </w:rPr>
          <w:t>library</w:t>
        </w:r>
      </w:hyperlink>
      <w:r>
        <w:rPr>
          <w:rFonts w:ascii="Times New Roman"/>
          <w:color w:val="231F20"/>
          <w:sz w:val="18"/>
        </w:rPr>
        <w:tab/>
      </w:r>
      <w:hyperlink w:history="true" w:anchor="_bookmark351">
        <w:r>
          <w:rPr>
            <w:color w:val="231F20"/>
            <w:spacing w:val="-5"/>
            <w:sz w:val="18"/>
          </w:rPr>
          <w:t>455</w:t>
        </w:r>
      </w:hyperlink>
    </w:p>
    <w:p>
      <w:pPr>
        <w:tabs>
          <w:tab w:pos="4747" w:val="right" w:leader="dot"/>
        </w:tabs>
        <w:spacing w:line="231" w:lineRule="exact" w:before="48"/>
        <w:ind w:left="436" w:right="0" w:firstLine="0"/>
        <w:jc w:val="left"/>
        <w:rPr>
          <w:sz w:val="18"/>
        </w:rPr>
      </w:pPr>
      <w:r>
        <w:rPr/>
        <w:br w:type="column"/>
      </w:r>
      <w:hyperlink w:history="true" w:anchor="_bookmark352">
        <w:r>
          <w:rPr>
            <w:color w:val="231F20"/>
            <w:sz w:val="18"/>
          </w:rPr>
          <w:t>Documentation</w:t>
        </w:r>
        <w:r>
          <w:rPr>
            <w:color w:val="231F20"/>
            <w:spacing w:val="8"/>
            <w:sz w:val="18"/>
          </w:rPr>
          <w:t> </w:t>
        </w:r>
        <w:r>
          <w:rPr>
            <w:color w:val="231F20"/>
            <w:sz w:val="18"/>
          </w:rPr>
          <w:t>for</w:t>
        </w:r>
        <w:r>
          <w:rPr>
            <w:color w:val="231F20"/>
            <w:spacing w:val="9"/>
            <w:sz w:val="18"/>
          </w:rPr>
          <w:t> </w:t>
        </w:r>
        <w:r>
          <w:rPr>
            <w:color w:val="231F20"/>
            <w:sz w:val="18"/>
          </w:rPr>
          <w:t>the</w:t>
        </w:r>
        <w:r>
          <w:rPr>
            <w:color w:val="231F20"/>
            <w:spacing w:val="9"/>
            <w:sz w:val="18"/>
          </w:rPr>
          <w:t> </w:t>
        </w:r>
        <w:r>
          <w:rPr>
            <w:color w:val="231F20"/>
            <w:sz w:val="18"/>
          </w:rPr>
          <w:t>base</w:t>
        </w:r>
        <w:r>
          <w:rPr>
            <w:color w:val="231F20"/>
            <w:spacing w:val="9"/>
            <w:sz w:val="18"/>
          </w:rPr>
          <w:t> </w:t>
        </w:r>
        <w:r>
          <w:rPr>
            <w:color w:val="231F20"/>
            <w:spacing w:val="-2"/>
            <w:sz w:val="18"/>
          </w:rPr>
          <w:t>agents</w:t>
        </w:r>
      </w:hyperlink>
      <w:r>
        <w:rPr>
          <w:rFonts w:ascii="Times New Roman"/>
          <w:color w:val="231F20"/>
          <w:sz w:val="18"/>
        </w:rPr>
        <w:tab/>
      </w:r>
      <w:hyperlink w:history="true" w:anchor="_bookmark352">
        <w:r>
          <w:rPr>
            <w:color w:val="231F20"/>
            <w:spacing w:val="-5"/>
            <w:sz w:val="18"/>
          </w:rPr>
          <w:t>456</w:t>
        </w:r>
      </w:hyperlink>
    </w:p>
    <w:p>
      <w:pPr>
        <w:tabs>
          <w:tab w:pos="4747" w:val="right" w:leader="dot"/>
        </w:tabs>
        <w:spacing w:line="220" w:lineRule="exact" w:before="0"/>
        <w:ind w:left="197" w:right="0" w:firstLine="0"/>
        <w:jc w:val="left"/>
        <w:rPr>
          <w:sz w:val="18"/>
        </w:rPr>
      </w:pPr>
      <w:hyperlink w:history="true" w:anchor="_bookmark353">
        <w:r>
          <w:rPr>
            <w:color w:val="231F20"/>
            <w:sz w:val="18"/>
          </w:rPr>
          <w:t>Related</w:t>
        </w:r>
        <w:r>
          <w:rPr>
            <w:color w:val="231F20"/>
            <w:spacing w:val="7"/>
            <w:sz w:val="18"/>
          </w:rPr>
          <w:t> </w:t>
        </w:r>
        <w:r>
          <w:rPr>
            <w:color w:val="231F20"/>
            <w:spacing w:val="-2"/>
            <w:sz w:val="18"/>
          </w:rPr>
          <w:t>publications</w:t>
        </w:r>
      </w:hyperlink>
      <w:r>
        <w:rPr>
          <w:rFonts w:ascii="Times New Roman"/>
          <w:color w:val="231F20"/>
          <w:sz w:val="18"/>
        </w:rPr>
        <w:tab/>
      </w:r>
      <w:hyperlink w:history="true" w:anchor="_bookmark353">
        <w:r>
          <w:rPr>
            <w:color w:val="231F20"/>
            <w:spacing w:val="-5"/>
            <w:sz w:val="18"/>
          </w:rPr>
          <w:t>457</w:t>
        </w:r>
      </w:hyperlink>
    </w:p>
    <w:p>
      <w:pPr>
        <w:tabs>
          <w:tab w:pos="4747" w:val="right" w:leader="dot"/>
        </w:tabs>
        <w:spacing w:line="231" w:lineRule="exact" w:before="0"/>
        <w:ind w:left="197" w:right="0" w:firstLine="0"/>
        <w:jc w:val="left"/>
        <w:rPr>
          <w:sz w:val="18"/>
        </w:rPr>
      </w:pPr>
      <w:hyperlink w:history="true" w:anchor="_bookmark353">
        <w:r>
          <w:rPr>
            <w:color w:val="231F20"/>
            <w:sz w:val="18"/>
          </w:rPr>
          <w:t>Other</w:t>
        </w:r>
        <w:r>
          <w:rPr>
            <w:color w:val="231F20"/>
            <w:spacing w:val="8"/>
            <w:sz w:val="18"/>
          </w:rPr>
          <w:t> </w:t>
        </w:r>
        <w:r>
          <w:rPr>
            <w:color w:val="231F20"/>
            <w:sz w:val="18"/>
          </w:rPr>
          <w:t>sources</w:t>
        </w:r>
        <w:r>
          <w:rPr>
            <w:color w:val="231F20"/>
            <w:spacing w:val="9"/>
            <w:sz w:val="18"/>
          </w:rPr>
          <w:t> </w:t>
        </w:r>
        <w:r>
          <w:rPr>
            <w:color w:val="231F20"/>
            <w:sz w:val="18"/>
          </w:rPr>
          <w:t>of</w:t>
        </w:r>
        <w:r>
          <w:rPr>
            <w:color w:val="231F20"/>
            <w:spacing w:val="8"/>
            <w:sz w:val="18"/>
          </w:rPr>
          <w:t> </w:t>
        </w:r>
        <w:r>
          <w:rPr>
            <w:color w:val="231F20"/>
            <w:spacing w:val="-2"/>
            <w:sz w:val="18"/>
          </w:rPr>
          <w:t>documentation</w:t>
        </w:r>
      </w:hyperlink>
      <w:r>
        <w:rPr>
          <w:rFonts w:ascii="Times New Roman"/>
          <w:color w:val="231F20"/>
          <w:sz w:val="18"/>
        </w:rPr>
        <w:tab/>
      </w:r>
      <w:hyperlink w:history="true" w:anchor="_bookmark353">
        <w:r>
          <w:rPr>
            <w:color w:val="231F20"/>
            <w:spacing w:val="-5"/>
            <w:sz w:val="18"/>
          </w:rPr>
          <w:t>457</w:t>
        </w:r>
      </w:hyperlink>
    </w:p>
    <w:p>
      <w:pPr>
        <w:tabs>
          <w:tab w:pos="4747" w:val="right" w:leader="dot"/>
        </w:tabs>
        <w:spacing w:before="223"/>
        <w:ind w:left="197" w:right="0" w:firstLine="0"/>
        <w:jc w:val="left"/>
        <w:rPr>
          <w:rFonts w:ascii="Arial"/>
          <w:b/>
          <w:sz w:val="22"/>
        </w:rPr>
      </w:pPr>
      <w:hyperlink w:history="true" w:anchor="_bookmark354">
        <w:r>
          <w:rPr>
            <w:rFonts w:ascii="Arial"/>
            <w:b/>
            <w:color w:val="231F20"/>
            <w:sz w:val="22"/>
          </w:rPr>
          <w:t>Support</w:t>
        </w:r>
        <w:r>
          <w:rPr>
            <w:rFonts w:ascii="Arial"/>
            <w:b/>
            <w:color w:val="231F20"/>
            <w:spacing w:val="2"/>
            <w:sz w:val="22"/>
          </w:rPr>
          <w:t> </w:t>
        </w:r>
        <w:r>
          <w:rPr>
            <w:rFonts w:ascii="Arial"/>
            <w:b/>
            <w:color w:val="231F20"/>
            <w:spacing w:val="-2"/>
            <w:sz w:val="22"/>
          </w:rPr>
          <w:t>information</w:t>
        </w:r>
      </w:hyperlink>
      <w:r>
        <w:rPr>
          <w:rFonts w:ascii="Times New Roman"/>
          <w:color w:val="231F20"/>
          <w:sz w:val="22"/>
        </w:rPr>
        <w:tab/>
      </w:r>
      <w:hyperlink w:history="true" w:anchor="_bookmark354">
        <w:r>
          <w:rPr>
            <w:rFonts w:ascii="Arial"/>
            <w:b/>
            <w:color w:val="231F20"/>
            <w:spacing w:val="-5"/>
            <w:sz w:val="22"/>
          </w:rPr>
          <w:t>459</w:t>
        </w:r>
      </w:hyperlink>
    </w:p>
    <w:p>
      <w:pPr>
        <w:tabs>
          <w:tab w:pos="4747" w:val="right" w:leader="dot"/>
        </w:tabs>
        <w:spacing w:before="246"/>
        <w:ind w:left="197" w:right="0" w:firstLine="0"/>
        <w:jc w:val="left"/>
        <w:rPr>
          <w:rFonts w:ascii="Arial"/>
          <w:b/>
          <w:sz w:val="22"/>
        </w:rPr>
      </w:pPr>
      <w:hyperlink w:history="true" w:anchor="_bookmark357">
        <w:r>
          <w:rPr>
            <w:rFonts w:ascii="Arial"/>
            <w:b/>
            <w:color w:val="231F20"/>
            <w:spacing w:val="-2"/>
            <w:sz w:val="22"/>
          </w:rPr>
          <w:t>Notices</w:t>
        </w:r>
      </w:hyperlink>
      <w:r>
        <w:rPr>
          <w:rFonts w:ascii="Times New Roman"/>
          <w:color w:val="231F20"/>
          <w:sz w:val="22"/>
        </w:rPr>
        <w:tab/>
      </w:r>
      <w:hyperlink w:history="true" w:anchor="_bookmark357">
        <w:r>
          <w:rPr>
            <w:rFonts w:ascii="Arial"/>
            <w:b/>
            <w:color w:val="231F20"/>
            <w:spacing w:val="-5"/>
            <w:sz w:val="22"/>
          </w:rPr>
          <w:t>463</w:t>
        </w:r>
      </w:hyperlink>
    </w:p>
    <w:p>
      <w:pPr>
        <w:tabs>
          <w:tab w:pos="4747" w:val="right" w:leader="dot"/>
        </w:tabs>
        <w:spacing w:before="246"/>
        <w:ind w:left="197" w:right="0" w:firstLine="0"/>
        <w:jc w:val="left"/>
        <w:rPr>
          <w:rFonts w:ascii="Arial"/>
          <w:b/>
          <w:sz w:val="22"/>
        </w:rPr>
      </w:pPr>
      <w:hyperlink w:history="true" w:anchor="_bookmark358">
        <w:r>
          <w:rPr>
            <w:rFonts w:ascii="Arial"/>
            <w:b/>
            <w:color w:val="231F20"/>
            <w:spacing w:val="-2"/>
            <w:sz w:val="22"/>
          </w:rPr>
          <w:t>Index</w:t>
        </w:r>
      </w:hyperlink>
      <w:r>
        <w:rPr>
          <w:rFonts w:ascii="Times New Roman"/>
          <w:color w:val="231F20"/>
          <w:sz w:val="22"/>
        </w:rPr>
        <w:tab/>
      </w:r>
      <w:hyperlink w:history="true" w:anchor="_bookmark358">
        <w:r>
          <w:rPr>
            <w:rFonts w:ascii="Arial"/>
            <w:b/>
            <w:color w:val="231F20"/>
            <w:spacing w:val="-5"/>
            <w:sz w:val="22"/>
          </w:rPr>
          <w:t>467</w:t>
        </w:r>
      </w:hyperlink>
    </w:p>
    <w:p>
      <w:pPr>
        <w:spacing w:after="0"/>
        <w:jc w:val="left"/>
        <w:rPr>
          <w:rFonts w:ascii="Arial"/>
          <w:sz w:val="22"/>
        </w:rPr>
        <w:sectPr>
          <w:footerReference w:type="even" r:id="rId14"/>
          <w:footerReference w:type="default" r:id="rId15"/>
          <w:pgSz w:w="12240" w:h="15840"/>
          <w:pgMar w:header="0" w:footer="736" w:top="1200" w:bottom="920" w:left="1000" w:right="1060"/>
          <w:pgNumType w:start="6"/>
          <w:cols w:num="2" w:equalWidth="0">
            <w:col w:w="4788" w:space="241"/>
            <w:col w:w="5151"/>
          </w:cols>
        </w:sectPr>
      </w:pPr>
    </w:p>
    <w:p>
      <w:pPr>
        <w:pStyle w:val="BodyText"/>
        <w:spacing w:line="20" w:lineRule="exact"/>
        <w:ind w:left="436"/>
        <w:rPr>
          <w:rFonts w:ascii="Arial"/>
          <w:sz w:val="2"/>
        </w:rPr>
      </w:pPr>
      <w:bookmarkStart w:name="_bookmark0" w:id="2"/>
      <w:bookmarkEnd w:id="2"/>
      <w:r>
        <w:rPr/>
      </w:r>
      <w:r>
        <w:rPr>
          <w:rFonts w:ascii="Arial"/>
          <w:sz w:val="2"/>
        </w:rPr>
        <mc:AlternateContent>
          <mc:Choice Requires="wps">
            <w:drawing>
              <wp:inline distT="0" distB="0" distL="0" distR="0">
                <wp:extent cx="6082665" cy="25400"/>
                <wp:effectExtent l="19050" t="0" r="3810" b="3175"/>
                <wp:docPr id="15" name="Group 15"/>
                <wp:cNvGraphicFramePr>
                  <a:graphicFrameLocks/>
                </wp:cNvGraphicFramePr>
                <a:graphic>
                  <a:graphicData uri="http://schemas.microsoft.com/office/word/2010/wordprocessingGroup">
                    <wpg:wgp>
                      <wpg:cNvPr id="15" name="Group 15"/>
                      <wpg:cNvGrpSpPr/>
                      <wpg:grpSpPr>
                        <a:xfrm>
                          <a:off x="0" y="0"/>
                          <a:ext cx="6082665" cy="25400"/>
                          <a:chExt cx="6082665" cy="25400"/>
                        </a:xfrm>
                      </wpg:grpSpPr>
                      <wps:wsp>
                        <wps:cNvPr id="16" name="Graphic 1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0" coordorigin="0,0" coordsize="9579,40">
                <v:line style="position:absolute" from="0,20" to="9579,20" stroked="true" strokeweight="1.996pt" strokecolor="#231f20">
                  <v:stroke dashstyle="solid"/>
                </v:line>
              </v:group>
            </w:pict>
          </mc:Fallback>
        </mc:AlternateContent>
      </w:r>
      <w:r>
        <w:rPr>
          <w:rFonts w:ascii="Arial"/>
          <w:sz w:val="2"/>
        </w:rPr>
      </w:r>
    </w:p>
    <w:p>
      <w:pPr>
        <w:pStyle w:val="BodyText"/>
        <w:spacing w:before="142"/>
        <w:rPr>
          <w:rFonts w:ascii="Arial"/>
          <w:b/>
          <w:sz w:val="32"/>
        </w:rPr>
      </w:pPr>
    </w:p>
    <w:p>
      <w:pPr>
        <w:pStyle w:val="Heading2"/>
      </w:pPr>
      <w:bookmarkStart w:name="About this information" w:id="3"/>
      <w:bookmarkEnd w:id="3"/>
      <w:r>
        <w:rPr>
          <w:b w:val="0"/>
        </w:rPr>
      </w:r>
      <w:r>
        <w:rPr>
          <w:color w:val="231F20"/>
        </w:rPr>
        <w:t>About</w:t>
      </w:r>
      <w:r>
        <w:rPr>
          <w:color w:val="231F20"/>
          <w:spacing w:val="9"/>
        </w:rPr>
        <w:t> </w:t>
      </w:r>
      <w:r>
        <w:rPr>
          <w:color w:val="231F20"/>
        </w:rPr>
        <w:t>this</w:t>
      </w:r>
      <w:r>
        <w:rPr>
          <w:color w:val="231F20"/>
          <w:spacing w:val="10"/>
        </w:rPr>
        <w:t> </w:t>
      </w:r>
      <w:r>
        <w:rPr>
          <w:color w:val="231F20"/>
          <w:spacing w:val="-2"/>
        </w:rPr>
        <w:t>information</w:t>
      </w:r>
    </w:p>
    <w:p>
      <w:pPr>
        <w:spacing w:line="213" w:lineRule="auto" w:before="304"/>
        <w:ind w:left="2472" w:right="0" w:firstLine="0"/>
        <w:jc w:val="left"/>
        <w:rPr>
          <w:sz w:val="20"/>
        </w:rPr>
      </w:pPr>
      <w:r>
        <w:rPr>
          <w:color w:val="231F20"/>
          <w:sz w:val="20"/>
        </w:rPr>
        <w:t>The </w:t>
      </w:r>
      <w:r>
        <w:rPr>
          <w:rFonts w:ascii="Book Antiqua" w:hAnsi="Book Antiqua"/>
          <w:i/>
          <w:color w:val="231F20"/>
          <w:sz w:val="20"/>
        </w:rPr>
        <w:t>IBM</w:t>
      </w:r>
      <w:r>
        <w:rPr>
          <w:rFonts w:ascii="Book Antiqua" w:hAnsi="Book Antiqua"/>
          <w:i/>
          <w:color w:val="231F20"/>
          <w:sz w:val="20"/>
          <w:vertAlign w:val="superscript"/>
        </w:rPr>
        <w:t>®</w:t>
      </w:r>
      <w:r>
        <w:rPr>
          <w:rFonts w:ascii="Book Antiqua" w:hAnsi="Book Antiqua"/>
          <w:i/>
          <w:color w:val="231F20"/>
          <w:sz w:val="20"/>
          <w:vertAlign w:val="baseline"/>
        </w:rPr>
        <w:t>Tivoli</w:t>
      </w:r>
      <w:r>
        <w:rPr>
          <w:rFonts w:ascii="Book Antiqua" w:hAnsi="Book Antiqua"/>
          <w:i/>
          <w:color w:val="231F20"/>
          <w:sz w:val="20"/>
          <w:vertAlign w:val="superscript"/>
        </w:rPr>
        <w:t>®</w:t>
      </w:r>
      <w:r>
        <w:rPr>
          <w:rFonts w:ascii="Book Antiqua" w:hAnsi="Book Antiqua"/>
          <w:i/>
          <w:color w:val="231F20"/>
          <w:sz w:val="20"/>
          <w:vertAlign w:val="baseline"/>
        </w:rPr>
        <w:t> Monitoring Tivoli Enterprise Portal User's Guide </w:t>
      </w:r>
      <w:r>
        <w:rPr>
          <w:color w:val="231F20"/>
          <w:sz w:val="20"/>
          <w:vertAlign w:val="baseline"/>
        </w:rPr>
        <w:t>describes the </w:t>
      </w:r>
      <w:r>
        <w:rPr>
          <w:color w:val="231F20"/>
          <w:sz w:val="20"/>
          <w:vertAlign w:val="baseline"/>
        </w:rPr>
        <w:t>Tivoli Enterprise</w:t>
      </w:r>
      <w:r>
        <w:rPr>
          <w:color w:val="231F20"/>
          <w:spacing w:val="6"/>
          <w:sz w:val="20"/>
          <w:vertAlign w:val="baseline"/>
        </w:rPr>
        <w:t> </w:t>
      </w:r>
      <w:r>
        <w:rPr>
          <w:color w:val="231F20"/>
          <w:sz w:val="20"/>
          <w:vertAlign w:val="baseline"/>
        </w:rPr>
        <w:t>Portal</w:t>
      </w:r>
      <w:r>
        <w:rPr>
          <w:color w:val="231F20"/>
          <w:spacing w:val="9"/>
          <w:sz w:val="20"/>
          <w:vertAlign w:val="baseline"/>
        </w:rPr>
        <w:t> </w:t>
      </w:r>
      <w:r>
        <w:rPr>
          <w:color w:val="231F20"/>
          <w:sz w:val="20"/>
          <w:vertAlign w:val="baseline"/>
        </w:rPr>
        <w:t>features</w:t>
      </w:r>
      <w:r>
        <w:rPr>
          <w:color w:val="231F20"/>
          <w:spacing w:val="8"/>
          <w:sz w:val="20"/>
          <w:vertAlign w:val="baseline"/>
        </w:rPr>
        <w:t> </w:t>
      </w:r>
      <w:r>
        <w:rPr>
          <w:color w:val="231F20"/>
          <w:sz w:val="20"/>
          <w:vertAlign w:val="baseline"/>
        </w:rPr>
        <w:t>for</w:t>
      </w:r>
      <w:r>
        <w:rPr>
          <w:color w:val="231F20"/>
          <w:spacing w:val="9"/>
          <w:sz w:val="20"/>
          <w:vertAlign w:val="baseline"/>
        </w:rPr>
        <w:t> </w:t>
      </w:r>
      <w:r>
        <w:rPr>
          <w:color w:val="231F20"/>
          <w:sz w:val="20"/>
          <w:vertAlign w:val="baseline"/>
        </w:rPr>
        <w:t>working</w:t>
      </w:r>
      <w:r>
        <w:rPr>
          <w:color w:val="231F20"/>
          <w:spacing w:val="9"/>
          <w:sz w:val="20"/>
          <w:vertAlign w:val="baseline"/>
        </w:rPr>
        <w:t> </w:t>
      </w:r>
      <w:r>
        <w:rPr>
          <w:color w:val="231F20"/>
          <w:sz w:val="20"/>
          <w:vertAlign w:val="baseline"/>
        </w:rPr>
        <w:t>with</w:t>
      </w:r>
      <w:r>
        <w:rPr>
          <w:color w:val="231F20"/>
          <w:spacing w:val="8"/>
          <w:sz w:val="20"/>
          <w:vertAlign w:val="baseline"/>
        </w:rPr>
        <w:t> </w:t>
      </w:r>
      <w:r>
        <w:rPr>
          <w:color w:val="231F20"/>
          <w:sz w:val="20"/>
          <w:vertAlign w:val="baseline"/>
        </w:rPr>
        <w:t>your</w:t>
      </w:r>
      <w:r>
        <w:rPr>
          <w:color w:val="231F20"/>
          <w:spacing w:val="9"/>
          <w:sz w:val="20"/>
          <w:vertAlign w:val="baseline"/>
        </w:rPr>
        <w:t> </w:t>
      </w:r>
      <w:r>
        <w:rPr>
          <w:color w:val="231F20"/>
          <w:sz w:val="20"/>
          <w:vertAlign w:val="baseline"/>
        </w:rPr>
        <w:t>IBM</w:t>
      </w:r>
      <w:r>
        <w:rPr>
          <w:color w:val="231F20"/>
          <w:spacing w:val="8"/>
          <w:sz w:val="20"/>
          <w:vertAlign w:val="baseline"/>
        </w:rPr>
        <w:t> </w:t>
      </w:r>
      <w:r>
        <w:rPr>
          <w:color w:val="231F20"/>
          <w:sz w:val="20"/>
          <w:vertAlign w:val="baseline"/>
        </w:rPr>
        <w:t>Tivoli</w:t>
      </w:r>
      <w:r>
        <w:rPr>
          <w:color w:val="231F20"/>
          <w:spacing w:val="9"/>
          <w:sz w:val="20"/>
          <w:vertAlign w:val="baseline"/>
        </w:rPr>
        <w:t> </w:t>
      </w:r>
      <w:r>
        <w:rPr>
          <w:color w:val="231F20"/>
          <w:sz w:val="20"/>
          <w:vertAlign w:val="baseline"/>
        </w:rPr>
        <w:t>Monitoring</w:t>
      </w:r>
      <w:r>
        <w:rPr>
          <w:color w:val="231F20"/>
          <w:spacing w:val="9"/>
          <w:sz w:val="20"/>
          <w:vertAlign w:val="baseline"/>
        </w:rPr>
        <w:t> </w:t>
      </w:r>
      <w:r>
        <w:rPr>
          <w:color w:val="231F20"/>
          <w:spacing w:val="-2"/>
          <w:sz w:val="20"/>
          <w:vertAlign w:val="baseline"/>
        </w:rPr>
        <w:t>products.</w:t>
      </w:r>
    </w:p>
    <w:p>
      <w:pPr>
        <w:pStyle w:val="BodyText"/>
        <w:spacing w:line="213" w:lineRule="auto" w:before="238"/>
        <w:ind w:left="2472" w:right="546"/>
        <w:jc w:val="both"/>
      </w:pPr>
      <w:r>
        <w:rPr>
          <w:color w:val="231F20"/>
        </w:rPr>
        <w:t>Users of this book should be familiar with performance monitoring concepts. </w:t>
      </w:r>
      <w:r>
        <w:rPr>
          <w:color w:val="231F20"/>
        </w:rPr>
        <w:t>If you use the Tivoli Data Warehouse, you need to be familiar with the operating system that hosts the warehouse.</w:t>
      </w:r>
    </w:p>
    <w:p>
      <w:pPr>
        <w:pStyle w:val="BodyText"/>
        <w:spacing w:line="213" w:lineRule="auto" w:before="238"/>
        <w:ind w:left="2472" w:right="385"/>
      </w:pPr>
      <w:r>
        <w:rPr>
          <w:color w:val="231F20"/>
          <w:w w:val="105"/>
        </w:rPr>
        <w:t>The</w:t>
      </w:r>
      <w:r>
        <w:rPr>
          <w:color w:val="231F20"/>
          <w:spacing w:val="-12"/>
          <w:w w:val="105"/>
        </w:rPr>
        <w:t> </w:t>
      </w:r>
      <w:r>
        <w:rPr>
          <w:color w:val="231F20"/>
          <w:w w:val="105"/>
        </w:rPr>
        <w:t>document</w:t>
      </w:r>
      <w:r>
        <w:rPr>
          <w:color w:val="231F20"/>
          <w:spacing w:val="-10"/>
          <w:w w:val="105"/>
        </w:rPr>
        <w:t> </w:t>
      </w:r>
      <w:r>
        <w:rPr>
          <w:color w:val="231F20"/>
          <w:w w:val="105"/>
        </w:rPr>
        <w:t>assumes</w:t>
      </w:r>
      <w:r>
        <w:rPr>
          <w:color w:val="231F20"/>
          <w:spacing w:val="-9"/>
          <w:w w:val="105"/>
        </w:rPr>
        <w:t> </w:t>
      </w:r>
      <w:r>
        <w:rPr>
          <w:color w:val="231F20"/>
          <w:w w:val="105"/>
        </w:rPr>
        <w:t>no</w:t>
      </w:r>
      <w:r>
        <w:rPr>
          <w:color w:val="231F20"/>
          <w:spacing w:val="-10"/>
          <w:w w:val="105"/>
        </w:rPr>
        <w:t> </w:t>
      </w:r>
      <w:r>
        <w:rPr>
          <w:color w:val="231F20"/>
          <w:w w:val="105"/>
        </w:rPr>
        <w:t>previous</w:t>
      </w:r>
      <w:r>
        <w:rPr>
          <w:color w:val="231F20"/>
          <w:spacing w:val="-9"/>
          <w:w w:val="105"/>
        </w:rPr>
        <w:t> </w:t>
      </w:r>
      <w:r>
        <w:rPr>
          <w:color w:val="231F20"/>
          <w:w w:val="105"/>
        </w:rPr>
        <w:t>experience</w:t>
      </w:r>
      <w:r>
        <w:rPr>
          <w:color w:val="231F20"/>
          <w:spacing w:val="-10"/>
          <w:w w:val="105"/>
        </w:rPr>
        <w:t> </w:t>
      </w:r>
      <w:r>
        <w:rPr>
          <w:color w:val="231F20"/>
          <w:w w:val="105"/>
        </w:rPr>
        <w:t>with</w:t>
      </w:r>
      <w:r>
        <w:rPr>
          <w:color w:val="231F20"/>
          <w:spacing w:val="-10"/>
          <w:w w:val="105"/>
        </w:rPr>
        <w:t> </w:t>
      </w:r>
      <w:r>
        <w:rPr>
          <w:color w:val="231F20"/>
          <w:w w:val="105"/>
        </w:rPr>
        <w:t>IBM</w:t>
      </w:r>
      <w:r>
        <w:rPr>
          <w:color w:val="231F20"/>
          <w:spacing w:val="-9"/>
          <w:w w:val="105"/>
        </w:rPr>
        <w:t> </w:t>
      </w:r>
      <w:r>
        <w:rPr>
          <w:color w:val="231F20"/>
          <w:w w:val="105"/>
        </w:rPr>
        <w:t>Tivoli</w:t>
      </w:r>
      <w:r>
        <w:rPr>
          <w:color w:val="231F20"/>
          <w:spacing w:val="-10"/>
          <w:w w:val="105"/>
        </w:rPr>
        <w:t> </w:t>
      </w:r>
      <w:r>
        <w:rPr>
          <w:color w:val="231F20"/>
          <w:w w:val="105"/>
        </w:rPr>
        <w:t>Monitoring.</w:t>
      </w:r>
      <w:r>
        <w:rPr>
          <w:color w:val="231F20"/>
          <w:spacing w:val="-9"/>
          <w:w w:val="105"/>
        </w:rPr>
        <w:t> </w:t>
      </w:r>
      <w:r>
        <w:rPr>
          <w:color w:val="231F20"/>
          <w:w w:val="105"/>
        </w:rPr>
        <w:t>To learn</w:t>
      </w:r>
      <w:r>
        <w:rPr>
          <w:color w:val="231F20"/>
          <w:spacing w:val="-5"/>
          <w:w w:val="105"/>
        </w:rPr>
        <w:t> </w:t>
      </w:r>
      <w:r>
        <w:rPr>
          <w:color w:val="231F20"/>
          <w:w w:val="105"/>
        </w:rPr>
        <w:t>more</w:t>
      </w:r>
      <w:r>
        <w:rPr>
          <w:color w:val="231F20"/>
          <w:spacing w:val="-5"/>
          <w:w w:val="105"/>
        </w:rPr>
        <w:t> </w:t>
      </w:r>
      <w:r>
        <w:rPr>
          <w:color w:val="231F20"/>
          <w:w w:val="105"/>
        </w:rPr>
        <w:t>about</w:t>
      </w:r>
      <w:r>
        <w:rPr>
          <w:color w:val="231F20"/>
          <w:spacing w:val="-5"/>
          <w:w w:val="105"/>
        </w:rPr>
        <w:t> </w:t>
      </w:r>
      <w:r>
        <w:rPr>
          <w:color w:val="231F20"/>
          <w:w w:val="105"/>
        </w:rPr>
        <w:t>this</w:t>
      </w:r>
      <w:r>
        <w:rPr>
          <w:color w:val="231F20"/>
          <w:spacing w:val="-5"/>
          <w:w w:val="105"/>
        </w:rPr>
        <w:t> </w:t>
      </w:r>
      <w:r>
        <w:rPr>
          <w:color w:val="231F20"/>
          <w:w w:val="105"/>
        </w:rPr>
        <w:t>family</w:t>
      </w:r>
      <w:r>
        <w:rPr>
          <w:color w:val="231F20"/>
          <w:spacing w:val="-5"/>
          <w:w w:val="105"/>
        </w:rPr>
        <w:t> </w:t>
      </w:r>
      <w:r>
        <w:rPr>
          <w:color w:val="231F20"/>
          <w:w w:val="105"/>
        </w:rPr>
        <w:t>of</w:t>
      </w:r>
      <w:r>
        <w:rPr>
          <w:color w:val="231F20"/>
          <w:spacing w:val="-5"/>
          <w:w w:val="105"/>
        </w:rPr>
        <w:t> </w:t>
      </w:r>
      <w:r>
        <w:rPr>
          <w:color w:val="231F20"/>
          <w:w w:val="105"/>
        </w:rPr>
        <w:t>products:</w:t>
      </w:r>
      <w:r>
        <w:rPr>
          <w:color w:val="231F20"/>
          <w:spacing w:val="-5"/>
          <w:w w:val="105"/>
        </w:rPr>
        <w:t> </w:t>
      </w:r>
      <w:hyperlink r:id="rId16">
        <w:r>
          <w:rPr>
            <w:color w:val="231F20"/>
            <w:w w:val="105"/>
          </w:rPr>
          <w:t>http://www.ibm.com/software/tivoli/</w:t>
        </w:r>
      </w:hyperlink>
      <w:r>
        <w:rPr>
          <w:color w:val="231F20"/>
          <w:w w:val="105"/>
        </w:rPr>
        <w:t> </w:t>
      </w:r>
      <w:hyperlink r:id="rId16">
        <w:r>
          <w:rPr>
            <w:color w:val="231F20"/>
            <w:spacing w:val="-2"/>
            <w:w w:val="105"/>
          </w:rPr>
          <w:t>solutions/service-availability/index.html.</w:t>
        </w:r>
      </w:hyperlink>
    </w:p>
    <w:p>
      <w:pPr>
        <w:spacing w:after="0" w:line="213" w:lineRule="auto"/>
        <w:sectPr>
          <w:pgSz w:w="12240" w:h="15840"/>
          <w:pgMar w:header="0" w:footer="736" w:top="1300" w:bottom="920" w:left="1000" w:right="1060"/>
        </w:sectPr>
      </w:pPr>
    </w:p>
    <w:p>
      <w:pPr>
        <w:pStyle w:val="BodyText"/>
        <w:spacing w:before="11"/>
        <w:rPr>
          <w:sz w:val="14"/>
        </w:rPr>
      </w:pPr>
    </w:p>
    <w:p>
      <w:pPr>
        <w:spacing w:after="0"/>
        <w:rPr>
          <w:sz w:val="14"/>
        </w:rPr>
        <w:sectPr>
          <w:footerReference w:type="even" r:id="rId17"/>
          <w:footerReference w:type="default" r:id="rId18"/>
          <w:pgSz w:w="12240" w:h="15840"/>
          <w:pgMar w:header="0" w:footer="736" w:top="1820" w:bottom="920" w:left="1000" w:right="1060"/>
        </w:sectPr>
      </w:pPr>
    </w:p>
    <w:p>
      <w:pPr>
        <w:pStyle w:val="BodyText"/>
        <w:spacing w:line="20" w:lineRule="exact"/>
        <w:ind w:left="436"/>
        <w:rPr>
          <w:sz w:val="2"/>
        </w:rPr>
      </w:pPr>
      <w:bookmarkStart w:name="_bookmark1" w:id="4"/>
      <w:bookmarkEnd w:id="4"/>
      <w:r>
        <w:rPr/>
      </w:r>
      <w:r>
        <w:rPr>
          <w:sz w:val="2"/>
        </w:rPr>
        <mc:AlternateContent>
          <mc:Choice Requires="wps">
            <w:drawing>
              <wp:inline distT="0" distB="0" distL="0" distR="0">
                <wp:extent cx="6082665" cy="25400"/>
                <wp:effectExtent l="19050" t="0" r="3810" b="3175"/>
                <wp:docPr id="20" name="Group 20"/>
                <wp:cNvGraphicFramePr>
                  <a:graphicFrameLocks/>
                </wp:cNvGraphicFramePr>
                <a:graphic>
                  <a:graphicData uri="http://schemas.microsoft.com/office/word/2010/wordprocessingGroup">
                    <wpg:wgp>
                      <wpg:cNvPr id="20" name="Group 20"/>
                      <wpg:cNvGrpSpPr/>
                      <wpg:grpSpPr>
                        <a:xfrm>
                          <a:off x="0" y="0"/>
                          <a:ext cx="6082665" cy="25400"/>
                          <a:chExt cx="6082665" cy="25400"/>
                        </a:xfrm>
                      </wpg:grpSpPr>
                      <wps:wsp>
                        <wps:cNvPr id="21" name="Graphic 21"/>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4"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1. Getting started" w:id="5"/>
      <w:bookmarkEnd w:id="5"/>
      <w:r>
        <w:rPr>
          <w:b w:val="0"/>
        </w:rPr>
      </w:r>
      <w:r>
        <w:rPr>
          <w:color w:val="231F20"/>
        </w:rPr>
        <w:t>Chapter</w:t>
      </w:r>
      <w:r>
        <w:rPr>
          <w:color w:val="231F20"/>
          <w:spacing w:val="-9"/>
        </w:rPr>
        <w:t> </w:t>
      </w:r>
      <w:r>
        <w:rPr>
          <w:color w:val="231F20"/>
        </w:rPr>
        <w:t>1.</w:t>
      </w:r>
      <w:r>
        <w:rPr>
          <w:color w:val="231F20"/>
          <w:spacing w:val="8"/>
        </w:rPr>
        <w:t> </w:t>
      </w:r>
      <w:r>
        <w:rPr>
          <w:color w:val="231F20"/>
        </w:rPr>
        <w:t>Getting</w:t>
      </w:r>
      <w:r>
        <w:rPr>
          <w:color w:val="231F20"/>
          <w:spacing w:val="8"/>
        </w:rPr>
        <w:t> </w:t>
      </w:r>
      <w:r>
        <w:rPr>
          <w:color w:val="231F20"/>
          <w:spacing w:val="-2"/>
        </w:rPr>
        <w:t>started</w:t>
      </w:r>
    </w:p>
    <w:p>
      <w:pPr>
        <w:pStyle w:val="BodyText"/>
        <w:spacing w:line="213" w:lineRule="auto" w:before="304"/>
        <w:ind w:left="2472" w:right="493"/>
      </w:pPr>
      <w:r>
        <w:rPr>
          <w:color w:val="231F20"/>
        </w:rPr>
        <w:t>The Tivoli Enterprise Portal is the window into your Tivoli monitored environment. The portal lets you explore your enterprise in the same way that your browser lets you explore the Internet. Consult the topics here to answer the questions, </w:t>
      </w:r>
      <w:r>
        <w:rPr>
          <w:rFonts w:ascii="Book Antiqua"/>
          <w:i/>
          <w:color w:val="231F20"/>
        </w:rPr>
        <w:t>Where do I start? </w:t>
      </w:r>
      <w:r>
        <w:rPr>
          <w:color w:val="231F20"/>
        </w:rPr>
        <w:t>and </w:t>
      </w:r>
      <w:r>
        <w:rPr>
          <w:rFonts w:ascii="Book Antiqua"/>
          <w:i/>
          <w:color w:val="231F20"/>
        </w:rPr>
        <w:t>What can I do here?</w:t>
      </w:r>
      <w:r>
        <w:rPr>
          <w:color w:val="231F20"/>
        </w:rPr>
        <w:t>.</w:t>
      </w:r>
    </w:p>
    <w:p>
      <w:pPr>
        <w:pStyle w:val="BodyText"/>
        <w:spacing w:before="4"/>
        <w:rPr>
          <w:sz w:val="16"/>
        </w:rPr>
      </w:pPr>
      <w:r>
        <w:rPr/>
        <mc:AlternateContent>
          <mc:Choice Requires="wps">
            <w:drawing>
              <wp:anchor distT="0" distB="0" distL="0" distR="0" allowOverlap="1" layoutInCell="1" locked="0" behindDoc="1" simplePos="0" relativeHeight="487591424">
                <wp:simplePos x="0" y="0"/>
                <wp:positionH relativeFrom="page">
                  <wp:posOffset>912380</wp:posOffset>
                </wp:positionH>
                <wp:positionV relativeFrom="paragraph">
                  <wp:posOffset>155281</wp:posOffset>
                </wp:positionV>
                <wp:extent cx="6082665"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26914pt;width:478.95pt;height:.1pt;mso-position-horizontal-relative:page;mso-position-vertical-relative:paragraph;z-index:-15725056;mso-wrap-distance-left:0;mso-wrap-distance-right:0" id="docshape15"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New in this release" w:id="6"/>
      <w:bookmarkEnd w:id="6"/>
      <w:r>
        <w:rPr>
          <w:b w:val="0"/>
        </w:rPr>
      </w:r>
      <w:r>
        <w:rPr>
          <w:color w:val="231F20"/>
        </w:rPr>
        <w:t>New</w:t>
      </w:r>
      <w:r>
        <w:rPr>
          <w:color w:val="231F20"/>
          <w:spacing w:val="10"/>
        </w:rPr>
        <w:t> </w:t>
      </w:r>
      <w:r>
        <w:rPr>
          <w:color w:val="231F20"/>
        </w:rPr>
        <w:t>in</w:t>
      </w:r>
      <w:r>
        <w:rPr>
          <w:color w:val="231F20"/>
          <w:spacing w:val="11"/>
        </w:rPr>
        <w:t> </w:t>
      </w:r>
      <w:r>
        <w:rPr>
          <w:color w:val="231F20"/>
        </w:rPr>
        <w:t>this</w:t>
      </w:r>
      <w:r>
        <w:rPr>
          <w:color w:val="231F20"/>
          <w:spacing w:val="10"/>
        </w:rPr>
        <w:t> </w:t>
      </w:r>
      <w:r>
        <w:rPr>
          <w:color w:val="231F20"/>
          <w:spacing w:val="-2"/>
        </w:rPr>
        <w:t>release</w:t>
      </w:r>
    </w:p>
    <w:p>
      <w:pPr>
        <w:pStyle w:val="BodyText"/>
        <w:spacing w:before="115"/>
        <w:ind w:left="2472"/>
      </w:pPr>
      <w:r>
        <w:rPr>
          <w:color w:val="231F20"/>
        </w:rPr>
        <w:t>Review</w:t>
      </w:r>
      <w:r>
        <w:rPr>
          <w:color w:val="231F20"/>
          <w:spacing w:val="8"/>
        </w:rPr>
        <w:t> </w:t>
      </w:r>
      <w:r>
        <w:rPr>
          <w:color w:val="231F20"/>
        </w:rPr>
        <w:t>the</w:t>
      </w:r>
      <w:r>
        <w:rPr>
          <w:color w:val="231F20"/>
          <w:spacing w:val="9"/>
        </w:rPr>
        <w:t> </w:t>
      </w:r>
      <w:r>
        <w:rPr>
          <w:color w:val="231F20"/>
        </w:rPr>
        <w:t>latest</w:t>
      </w:r>
      <w:r>
        <w:rPr>
          <w:color w:val="231F20"/>
          <w:spacing w:val="9"/>
        </w:rPr>
        <w:t> </w:t>
      </w:r>
      <w:r>
        <w:rPr>
          <w:color w:val="231F20"/>
        </w:rPr>
        <w:t>enhancements</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Tivoli</w:t>
      </w:r>
      <w:r>
        <w:rPr>
          <w:color w:val="231F20"/>
          <w:spacing w:val="9"/>
        </w:rPr>
        <w:t> </w:t>
      </w:r>
      <w:r>
        <w:rPr>
          <w:color w:val="231F20"/>
        </w:rPr>
        <w:t>Enterprise</w:t>
      </w:r>
      <w:r>
        <w:rPr>
          <w:color w:val="231F20"/>
          <w:spacing w:val="9"/>
        </w:rPr>
        <w:t> </w:t>
      </w:r>
      <w:r>
        <w:rPr>
          <w:color w:val="231F20"/>
          <w:spacing w:val="-2"/>
        </w:rPr>
        <w:t>Portal.</w:t>
      </w:r>
    </w:p>
    <w:p>
      <w:pPr>
        <w:pStyle w:val="Heading3"/>
        <w:spacing w:before="212"/>
        <w:ind w:left="1574"/>
      </w:pPr>
      <w:bookmarkStart w:name="New in Version 6.3" w:id="7"/>
      <w:bookmarkEnd w:id="7"/>
      <w:r>
        <w:rPr>
          <w:b w:val="0"/>
        </w:rPr>
      </w:r>
      <w:r>
        <w:rPr>
          <w:color w:val="231F20"/>
        </w:rPr>
        <w:t>New</w:t>
      </w:r>
      <w:r>
        <w:rPr>
          <w:color w:val="231F20"/>
          <w:spacing w:val="3"/>
        </w:rPr>
        <w:t> </w:t>
      </w:r>
      <w:r>
        <w:rPr>
          <w:color w:val="231F20"/>
        </w:rPr>
        <w:t>in</w:t>
      </w:r>
      <w:r>
        <w:rPr>
          <w:color w:val="231F20"/>
          <w:spacing w:val="3"/>
        </w:rPr>
        <w:t> </w:t>
      </w:r>
      <w:r>
        <w:rPr>
          <w:color w:val="231F20"/>
        </w:rPr>
        <w:t>Version</w:t>
      </w:r>
      <w:r>
        <w:rPr>
          <w:color w:val="231F20"/>
          <w:spacing w:val="4"/>
        </w:rPr>
        <w:t> </w:t>
      </w:r>
      <w:r>
        <w:rPr>
          <w:color w:val="231F20"/>
          <w:spacing w:val="-5"/>
        </w:rPr>
        <w:t>6.3</w:t>
      </w:r>
    </w:p>
    <w:p>
      <w:pPr>
        <w:pStyle w:val="BodyText"/>
        <w:spacing w:line="213" w:lineRule="auto" w:before="58"/>
        <w:ind w:left="2472" w:right="493"/>
      </w:pPr>
      <w:r>
        <w:rPr>
          <w:color w:val="231F20"/>
        </w:rPr>
        <w:t>The following enhancements have been made to the Tivoli Enterprise Portal </w:t>
      </w:r>
      <w:r>
        <w:rPr>
          <w:color w:val="231F20"/>
        </w:rPr>
        <w:t>for Version 6.3.</w:t>
      </w:r>
    </w:p>
    <w:p>
      <w:pPr>
        <w:pStyle w:val="Heading6"/>
      </w:pPr>
      <w:r>
        <w:rPr>
          <w:color w:val="231F20"/>
        </w:rPr>
        <w:t>Application</w:t>
      </w:r>
      <w:r>
        <w:rPr>
          <w:color w:val="231F20"/>
          <w:spacing w:val="6"/>
        </w:rPr>
        <w:t> </w:t>
      </w:r>
      <w:r>
        <w:rPr>
          <w:color w:val="231F20"/>
        </w:rPr>
        <w:t>Property</w:t>
      </w:r>
      <w:r>
        <w:rPr>
          <w:color w:val="231F20"/>
          <w:spacing w:val="7"/>
        </w:rPr>
        <w:t> </w:t>
      </w:r>
      <w:r>
        <w:rPr>
          <w:color w:val="231F20"/>
        </w:rPr>
        <w:t>Installation</w:t>
      </w:r>
      <w:r>
        <w:rPr>
          <w:color w:val="231F20"/>
          <w:spacing w:val="7"/>
        </w:rPr>
        <w:t> </w:t>
      </w:r>
      <w:r>
        <w:rPr>
          <w:color w:val="231F20"/>
        </w:rPr>
        <w:t>attribute</w:t>
      </w:r>
      <w:r>
        <w:rPr>
          <w:color w:val="231F20"/>
          <w:spacing w:val="6"/>
        </w:rPr>
        <w:t> </w:t>
      </w:r>
      <w:r>
        <w:rPr>
          <w:color w:val="231F20"/>
          <w:spacing w:val="-2"/>
        </w:rPr>
        <w:t>group</w:t>
      </w:r>
    </w:p>
    <w:p>
      <w:pPr>
        <w:pStyle w:val="BodyText"/>
        <w:spacing w:line="213" w:lineRule="auto" w:before="11"/>
        <w:ind w:left="3190"/>
      </w:pPr>
      <w:r>
        <w:rPr>
          <w:color w:val="231F20"/>
        </w:rPr>
        <w:t>The Application Property Installation attribute group provides </w:t>
      </w:r>
      <w:r>
        <w:rPr>
          <w:color w:val="231F20"/>
        </w:rPr>
        <w:t>information related to the self-describing agent installation process. See </w:t>
      </w:r>
      <w:hyperlink w:history="true" w:anchor="_bookmark336">
        <w:r>
          <w:rPr>
            <w:color w:val="231F20"/>
          </w:rPr>
          <w:t>“Application</w:t>
        </w:r>
      </w:hyperlink>
      <w:r>
        <w:rPr>
          <w:color w:val="231F20"/>
        </w:rPr>
        <w:t> </w:t>
      </w:r>
      <w:hyperlink w:history="true" w:anchor="_bookmark336">
        <w:r>
          <w:rPr>
            <w:color w:val="231F20"/>
          </w:rPr>
          <w:t>Property Installation attributes” on page 428.</w:t>
        </w:r>
      </w:hyperlink>
    </w:p>
    <w:p>
      <w:pPr>
        <w:pStyle w:val="Heading6"/>
      </w:pPr>
      <w:r>
        <w:rPr>
          <w:color w:val="231F20"/>
        </w:rPr>
        <w:t>ITM</w:t>
      </w:r>
      <w:r>
        <w:rPr>
          <w:color w:val="231F20"/>
          <w:spacing w:val="8"/>
        </w:rPr>
        <w:t> </w:t>
      </w:r>
      <w:r>
        <w:rPr>
          <w:color w:val="231F20"/>
        </w:rPr>
        <w:t>Historical</w:t>
      </w:r>
      <w:r>
        <w:rPr>
          <w:color w:val="231F20"/>
          <w:spacing w:val="8"/>
        </w:rPr>
        <w:t> </w:t>
      </w:r>
      <w:r>
        <w:rPr>
          <w:color w:val="231F20"/>
        </w:rPr>
        <w:t>Collection</w:t>
      </w:r>
      <w:r>
        <w:rPr>
          <w:color w:val="231F20"/>
          <w:spacing w:val="9"/>
        </w:rPr>
        <w:t> </w:t>
      </w:r>
      <w:r>
        <w:rPr>
          <w:color w:val="231F20"/>
        </w:rPr>
        <w:t>attribute</w:t>
      </w:r>
      <w:r>
        <w:rPr>
          <w:color w:val="231F20"/>
          <w:spacing w:val="8"/>
        </w:rPr>
        <w:t> </w:t>
      </w:r>
      <w:r>
        <w:rPr>
          <w:color w:val="231F20"/>
          <w:spacing w:val="-2"/>
        </w:rPr>
        <w:t>group</w:t>
      </w:r>
    </w:p>
    <w:p>
      <w:pPr>
        <w:pStyle w:val="BodyText"/>
        <w:spacing w:line="213" w:lineRule="auto" w:before="11"/>
        <w:ind w:left="3190" w:right="385"/>
      </w:pPr>
      <w:r>
        <w:rPr>
          <w:color w:val="231F20"/>
        </w:rPr>
        <w:t>The ITM Historical Collection attribute group provides information </w:t>
      </w:r>
      <w:r>
        <w:rPr>
          <w:color w:val="231F20"/>
        </w:rPr>
        <w:t>about the active historical collections that are exporting data from a location, including the metrics about each historical collection. See </w:t>
      </w:r>
      <w:hyperlink w:history="true" w:anchor="_bookmark342">
        <w:r>
          <w:rPr>
            <w:color w:val="231F20"/>
          </w:rPr>
          <w:t>“ITM Historical</w:t>
        </w:r>
      </w:hyperlink>
      <w:r>
        <w:rPr>
          <w:color w:val="231F20"/>
        </w:rPr>
        <w:t> </w:t>
      </w:r>
      <w:hyperlink w:history="true" w:anchor="_bookmark342">
        <w:r>
          <w:rPr>
            <w:color w:val="231F20"/>
          </w:rPr>
          <w:t>Collection attributes” on page 442.</w:t>
        </w:r>
      </w:hyperlink>
    </w:p>
    <w:p>
      <w:pPr>
        <w:pStyle w:val="Heading6"/>
        <w:spacing w:before="116"/>
      </w:pPr>
      <w:r>
        <w:rPr>
          <w:color w:val="231F20"/>
        </w:rPr>
        <w:t>Historical</w:t>
      </w:r>
      <w:r>
        <w:rPr>
          <w:color w:val="231F20"/>
          <w:spacing w:val="8"/>
        </w:rPr>
        <w:t> </w:t>
      </w:r>
      <w:r>
        <w:rPr>
          <w:color w:val="231F20"/>
        </w:rPr>
        <w:t>Export</w:t>
      </w:r>
      <w:r>
        <w:rPr>
          <w:color w:val="231F20"/>
          <w:spacing w:val="8"/>
        </w:rPr>
        <w:t> </w:t>
      </w:r>
      <w:r>
        <w:rPr>
          <w:color w:val="231F20"/>
        </w:rPr>
        <w:t>Statistics</w:t>
      </w:r>
      <w:r>
        <w:rPr>
          <w:color w:val="231F20"/>
          <w:spacing w:val="8"/>
        </w:rPr>
        <w:t> </w:t>
      </w:r>
      <w:r>
        <w:rPr>
          <w:color w:val="231F20"/>
          <w:spacing w:val="-2"/>
        </w:rPr>
        <w:t>workspace</w:t>
      </w:r>
    </w:p>
    <w:p>
      <w:pPr>
        <w:pStyle w:val="BodyText"/>
        <w:spacing w:line="213" w:lineRule="auto" w:before="11"/>
        <w:ind w:left="3190" w:right="258"/>
      </w:pPr>
      <w:r>
        <w:rPr>
          <w:color w:val="231F20"/>
        </w:rPr>
        <w:t>The Historical Export Statistics workspace displays the enterprise and private historical exports to a Warehouse Proxy agent instance performed</w:t>
      </w:r>
      <w:r>
        <w:rPr>
          <w:color w:val="231F20"/>
          <w:spacing w:val="80"/>
        </w:rPr>
        <w:t> </w:t>
      </w:r>
      <w:r>
        <w:rPr>
          <w:color w:val="231F20"/>
        </w:rPr>
        <w:t>by a selected managed system. This workspace is available for monitoring servers and monitoring agents. See </w:t>
      </w:r>
      <w:hyperlink w:history="true" w:anchor="_bookmark301">
        <w:r>
          <w:rPr>
            <w:color w:val="231F20"/>
          </w:rPr>
          <w:t>“Historical Export Statistics </w:t>
        </w:r>
        <w:r>
          <w:rPr>
            <w:color w:val="231F20"/>
          </w:rPr>
          <w:t>workspace”</w:t>
        </w:r>
      </w:hyperlink>
      <w:r>
        <w:rPr>
          <w:color w:val="231F20"/>
        </w:rPr>
        <w:t> </w:t>
      </w:r>
      <w:hyperlink w:history="true" w:anchor="_bookmark301">
        <w:r>
          <w:rPr>
            <w:color w:val="231F20"/>
          </w:rPr>
          <w:t>on page 391.</w:t>
        </w:r>
      </w:hyperlink>
    </w:p>
    <w:p>
      <w:pPr>
        <w:pStyle w:val="Heading6"/>
        <w:spacing w:before="115"/>
      </w:pPr>
      <w:r>
        <w:rPr>
          <w:color w:val="231F20"/>
        </w:rPr>
        <w:t>Historical</w:t>
      </w:r>
      <w:r>
        <w:rPr>
          <w:color w:val="231F20"/>
          <w:spacing w:val="7"/>
        </w:rPr>
        <w:t> </w:t>
      </w:r>
      <w:r>
        <w:rPr>
          <w:color w:val="231F20"/>
          <w:spacing w:val="-2"/>
        </w:rPr>
        <w:t>situations</w:t>
      </w:r>
    </w:p>
    <w:p>
      <w:pPr>
        <w:pStyle w:val="BodyText"/>
        <w:spacing w:line="213" w:lineRule="auto" w:before="12"/>
        <w:ind w:left="3190" w:right="385"/>
      </w:pPr>
      <w:r>
        <w:rPr>
          <w:color w:val="231F20"/>
        </w:rPr>
        <w:t>Historical_Exports_Critical, Historical_Exports_Failure, Historical_Exports_Warning, and Historical_RowsCorrupted help you manage your historical exports. See </w:t>
      </w:r>
      <w:hyperlink w:history="true" w:anchor="_bookmark193">
        <w:r>
          <w:rPr>
            <w:color w:val="231F20"/>
          </w:rPr>
          <w:t>“All Managed Systems situations” </w:t>
        </w:r>
        <w:r>
          <w:rPr>
            <w:color w:val="231F20"/>
          </w:rPr>
          <w:t>on</w:t>
        </w:r>
      </w:hyperlink>
      <w:r>
        <w:rPr>
          <w:color w:val="231F20"/>
        </w:rPr>
        <w:t> </w:t>
      </w:r>
      <w:hyperlink w:history="true" w:anchor="_bookmark193">
        <w:r>
          <w:rPr>
            <w:color w:val="231F20"/>
          </w:rPr>
          <w:t>page 263.</w:t>
        </w:r>
      </w:hyperlink>
    </w:p>
    <w:p>
      <w:pPr>
        <w:pStyle w:val="Heading6"/>
        <w:spacing w:before="116"/>
      </w:pPr>
      <w:r>
        <w:rPr>
          <w:color w:val="231F20"/>
        </w:rPr>
        <w:t>Define</w:t>
      </w:r>
      <w:r>
        <w:rPr>
          <w:color w:val="231F20"/>
          <w:spacing w:val="9"/>
        </w:rPr>
        <w:t> </w:t>
      </w:r>
      <w:r>
        <w:rPr>
          <w:color w:val="231F20"/>
        </w:rPr>
        <w:t>symbol</w:t>
      </w:r>
      <w:r>
        <w:rPr>
          <w:color w:val="231F20"/>
          <w:spacing w:val="10"/>
        </w:rPr>
        <w:t> </w:t>
      </w:r>
      <w:r>
        <w:rPr>
          <w:color w:val="231F20"/>
        </w:rPr>
        <w:t>name/value</w:t>
      </w:r>
      <w:r>
        <w:rPr>
          <w:color w:val="231F20"/>
          <w:spacing w:val="10"/>
        </w:rPr>
        <w:t> </w:t>
      </w:r>
      <w:r>
        <w:rPr>
          <w:color w:val="231F20"/>
        </w:rPr>
        <w:t>pairs</w:t>
      </w:r>
      <w:r>
        <w:rPr>
          <w:color w:val="231F20"/>
          <w:spacing w:val="10"/>
        </w:rPr>
        <w:t> </w:t>
      </w:r>
      <w:r>
        <w:rPr>
          <w:color w:val="231F20"/>
        </w:rPr>
        <w:t>for</w:t>
      </w:r>
      <w:r>
        <w:rPr>
          <w:color w:val="231F20"/>
          <w:spacing w:val="10"/>
        </w:rPr>
        <w:t> </w:t>
      </w:r>
      <w:r>
        <w:rPr>
          <w:color w:val="231F20"/>
        </w:rPr>
        <w:t>physical</w:t>
      </w:r>
      <w:r>
        <w:rPr>
          <w:color w:val="231F20"/>
          <w:spacing w:val="10"/>
        </w:rPr>
        <w:t> </w:t>
      </w:r>
      <w:r>
        <w:rPr>
          <w:color w:val="231F20"/>
        </w:rPr>
        <w:t>or</w:t>
      </w:r>
      <w:r>
        <w:rPr>
          <w:color w:val="231F20"/>
          <w:spacing w:val="10"/>
        </w:rPr>
        <w:t> </w:t>
      </w:r>
      <w:r>
        <w:rPr>
          <w:color w:val="231F20"/>
        </w:rPr>
        <w:t>logical</w:t>
      </w:r>
      <w:r>
        <w:rPr>
          <w:color w:val="231F20"/>
          <w:spacing w:val="9"/>
        </w:rPr>
        <w:t> </w:t>
      </w:r>
      <w:r>
        <w:rPr>
          <w:color w:val="231F20"/>
        </w:rPr>
        <w:t>navigator</w:t>
      </w:r>
      <w:r>
        <w:rPr>
          <w:color w:val="231F20"/>
          <w:spacing w:val="10"/>
        </w:rPr>
        <w:t> </w:t>
      </w:r>
      <w:r>
        <w:rPr>
          <w:color w:val="231F20"/>
          <w:spacing w:val="-2"/>
        </w:rPr>
        <w:t>nodes</w:t>
      </w:r>
    </w:p>
    <w:p>
      <w:pPr>
        <w:pStyle w:val="BodyText"/>
        <w:spacing w:line="213" w:lineRule="auto" w:before="11"/>
        <w:ind w:left="3190" w:right="274"/>
      </w:pPr>
      <w:r>
        <w:rPr>
          <w:color w:val="231F20"/>
        </w:rPr>
        <w:t>You can now define symbol name/value pairs for physical or logical navigator nodes. You can then create Take Action commands that reference these symbols. See </w:t>
      </w:r>
      <w:hyperlink w:history="true" w:anchor="_bookmark177">
        <w:r>
          <w:rPr>
            <w:color w:val="231F20"/>
          </w:rPr>
          <w:t>“Navigator item properties” on page 242.</w:t>
        </w:r>
      </w:hyperlink>
    </w:p>
    <w:p>
      <w:pPr>
        <w:pStyle w:val="Heading6"/>
        <w:spacing w:before="116"/>
      </w:pPr>
      <w:r>
        <w:rPr>
          <w:color w:val="231F20"/>
        </w:rPr>
        <w:t>Connect</w:t>
      </w:r>
      <w:r>
        <w:rPr>
          <w:color w:val="231F20"/>
          <w:spacing w:val="11"/>
        </w:rPr>
        <w:t> </w:t>
      </w:r>
      <w:r>
        <w:rPr>
          <w:color w:val="231F20"/>
        </w:rPr>
        <w:t>points</w:t>
      </w:r>
      <w:r>
        <w:rPr>
          <w:color w:val="231F20"/>
          <w:spacing w:val="11"/>
        </w:rPr>
        <w:t> </w:t>
      </w:r>
      <w:r>
        <w:rPr>
          <w:color w:val="231F20"/>
        </w:rPr>
        <w:t>in</w:t>
      </w:r>
      <w:r>
        <w:rPr>
          <w:color w:val="231F20"/>
          <w:spacing w:val="11"/>
        </w:rPr>
        <w:t> </w:t>
      </w:r>
      <w:r>
        <w:rPr>
          <w:color w:val="231F20"/>
        </w:rPr>
        <w:t>plot</w:t>
      </w:r>
      <w:r>
        <w:rPr>
          <w:color w:val="231F20"/>
          <w:spacing w:val="12"/>
        </w:rPr>
        <w:t> </w:t>
      </w:r>
      <w:r>
        <w:rPr>
          <w:color w:val="231F20"/>
          <w:spacing w:val="-2"/>
        </w:rPr>
        <w:t>charts</w:t>
      </w:r>
    </w:p>
    <w:p>
      <w:pPr>
        <w:pStyle w:val="BodyText"/>
        <w:spacing w:line="213" w:lineRule="auto" w:before="12"/>
        <w:ind w:left="3190" w:right="737"/>
        <w:jc w:val="both"/>
      </w:pPr>
      <w:r>
        <w:rPr>
          <w:color w:val="231F20"/>
        </w:rPr>
        <w:t>The plot points are connected with lines even when gaps in time are present. This feature is only available for plot charts. Use the </w:t>
      </w:r>
      <w:r>
        <w:rPr>
          <w:rFonts w:ascii="Book Antiqua"/>
          <w:b/>
          <w:color w:val="231F20"/>
        </w:rPr>
        <w:t>Always connects points </w:t>
      </w:r>
      <w:r>
        <w:rPr>
          <w:color w:val="231F20"/>
        </w:rPr>
        <w:t>option on the </w:t>
      </w:r>
      <w:r>
        <w:rPr>
          <w:rFonts w:ascii="Book Antiqua"/>
          <w:b/>
          <w:color w:val="231F20"/>
        </w:rPr>
        <w:t>Style </w:t>
      </w:r>
      <w:r>
        <w:rPr>
          <w:color w:val="231F20"/>
        </w:rPr>
        <w:t>tab.</w:t>
      </w:r>
    </w:p>
    <w:p>
      <w:pPr>
        <w:pStyle w:val="Heading6"/>
        <w:spacing w:before="116"/>
      </w:pPr>
      <w:r>
        <w:rPr>
          <w:color w:val="231F20"/>
        </w:rPr>
        <w:t>Tivoli</w:t>
      </w:r>
      <w:r>
        <w:rPr>
          <w:color w:val="231F20"/>
          <w:spacing w:val="10"/>
        </w:rPr>
        <w:t> </w:t>
      </w:r>
      <w:r>
        <w:rPr>
          <w:color w:val="231F20"/>
        </w:rPr>
        <w:t>Enterprise</w:t>
      </w:r>
      <w:r>
        <w:rPr>
          <w:color w:val="231F20"/>
          <w:spacing w:val="10"/>
        </w:rPr>
        <w:t> </w:t>
      </w:r>
      <w:r>
        <w:rPr>
          <w:color w:val="231F20"/>
        </w:rPr>
        <w:t>Portal</w:t>
      </w:r>
      <w:r>
        <w:rPr>
          <w:color w:val="231F20"/>
          <w:spacing w:val="11"/>
        </w:rPr>
        <w:t> </w:t>
      </w:r>
      <w:r>
        <w:rPr>
          <w:color w:val="231F20"/>
        </w:rPr>
        <w:t>browser</w:t>
      </w:r>
      <w:r>
        <w:rPr>
          <w:color w:val="231F20"/>
          <w:spacing w:val="10"/>
        </w:rPr>
        <w:t> </w:t>
      </w:r>
      <w:r>
        <w:rPr>
          <w:color w:val="231F20"/>
        </w:rPr>
        <w:t>support</w:t>
      </w:r>
      <w:r>
        <w:rPr>
          <w:color w:val="231F20"/>
          <w:spacing w:val="11"/>
        </w:rPr>
        <w:t> </w:t>
      </w:r>
      <w:r>
        <w:rPr>
          <w:color w:val="231F20"/>
        </w:rPr>
        <w:t>for</w:t>
      </w:r>
      <w:r>
        <w:rPr>
          <w:color w:val="231F20"/>
          <w:spacing w:val="10"/>
        </w:rPr>
        <w:t> </w:t>
      </w:r>
      <w:r>
        <w:rPr>
          <w:color w:val="231F20"/>
        </w:rPr>
        <w:t>32</w:t>
      </w:r>
      <w:r>
        <w:rPr>
          <w:color w:val="231F20"/>
          <w:spacing w:val="11"/>
        </w:rPr>
        <w:t> </w:t>
      </w:r>
      <w:r>
        <w:rPr>
          <w:color w:val="231F20"/>
        </w:rPr>
        <w:t>bit</w:t>
      </w:r>
      <w:r>
        <w:rPr>
          <w:color w:val="231F20"/>
          <w:spacing w:val="10"/>
        </w:rPr>
        <w:t> </w:t>
      </w:r>
      <w:r>
        <w:rPr>
          <w:color w:val="231F20"/>
        </w:rPr>
        <w:t>and</w:t>
      </w:r>
      <w:r>
        <w:rPr>
          <w:color w:val="231F20"/>
          <w:spacing w:val="10"/>
        </w:rPr>
        <w:t> </w:t>
      </w:r>
      <w:r>
        <w:rPr>
          <w:color w:val="231F20"/>
        </w:rPr>
        <w:t>64</w:t>
      </w:r>
      <w:r>
        <w:rPr>
          <w:color w:val="231F20"/>
          <w:spacing w:val="11"/>
        </w:rPr>
        <w:t> </w:t>
      </w:r>
      <w:r>
        <w:rPr>
          <w:color w:val="231F20"/>
        </w:rPr>
        <w:t>bit</w:t>
      </w:r>
      <w:r>
        <w:rPr>
          <w:color w:val="231F20"/>
          <w:spacing w:val="10"/>
        </w:rPr>
        <w:t> </w:t>
      </w:r>
      <w:r>
        <w:rPr>
          <w:color w:val="231F20"/>
          <w:spacing w:val="-2"/>
        </w:rPr>
        <w:t>browsers</w:t>
      </w:r>
    </w:p>
    <w:p>
      <w:pPr>
        <w:pStyle w:val="BodyText"/>
        <w:spacing w:line="213" w:lineRule="auto" w:before="12"/>
        <w:ind w:left="3190" w:right="202"/>
      </w:pPr>
      <w:r>
        <w:rPr>
          <w:color w:val="231F20"/>
        </w:rPr>
        <w:t>The</w:t>
      </w:r>
      <w:r>
        <w:rPr>
          <w:color w:val="231F20"/>
          <w:spacing w:val="27"/>
        </w:rPr>
        <w:t> </w:t>
      </w:r>
      <w:r>
        <w:rPr>
          <w:color w:val="231F20"/>
        </w:rPr>
        <w:t>Tivoli</w:t>
      </w:r>
      <w:r>
        <w:rPr>
          <w:color w:val="231F20"/>
          <w:spacing w:val="27"/>
        </w:rPr>
        <w:t> </w:t>
      </w:r>
      <w:r>
        <w:rPr>
          <w:color w:val="231F20"/>
        </w:rPr>
        <w:t>Enterprise</w:t>
      </w:r>
      <w:r>
        <w:rPr>
          <w:color w:val="231F20"/>
          <w:spacing w:val="27"/>
        </w:rPr>
        <w:t> </w:t>
      </w:r>
      <w:r>
        <w:rPr>
          <w:color w:val="231F20"/>
        </w:rPr>
        <w:t>Portal</w:t>
      </w:r>
      <w:r>
        <w:rPr>
          <w:color w:val="231F20"/>
          <w:spacing w:val="27"/>
        </w:rPr>
        <w:t> </w:t>
      </w:r>
      <w:r>
        <w:rPr>
          <w:color w:val="231F20"/>
        </w:rPr>
        <w:t>browser</w:t>
      </w:r>
      <w:r>
        <w:rPr>
          <w:color w:val="231F20"/>
          <w:spacing w:val="27"/>
        </w:rPr>
        <w:t> </w:t>
      </w:r>
      <w:r>
        <w:rPr>
          <w:color w:val="231F20"/>
        </w:rPr>
        <w:t>client</w:t>
      </w:r>
      <w:r>
        <w:rPr>
          <w:color w:val="231F20"/>
          <w:spacing w:val="27"/>
        </w:rPr>
        <w:t> </w:t>
      </w:r>
      <w:r>
        <w:rPr>
          <w:color w:val="231F20"/>
        </w:rPr>
        <w:t>now</w:t>
      </w:r>
      <w:r>
        <w:rPr>
          <w:color w:val="231F20"/>
          <w:spacing w:val="27"/>
        </w:rPr>
        <w:t> </w:t>
      </w:r>
      <w:r>
        <w:rPr>
          <w:color w:val="231F20"/>
        </w:rPr>
        <w:t>supports</w:t>
      </w:r>
      <w:r>
        <w:rPr>
          <w:color w:val="231F20"/>
          <w:spacing w:val="27"/>
        </w:rPr>
        <w:t> </w:t>
      </w:r>
      <w:r>
        <w:rPr>
          <w:color w:val="231F20"/>
        </w:rPr>
        <w:t>both</w:t>
      </w:r>
      <w:r>
        <w:rPr>
          <w:color w:val="231F20"/>
          <w:spacing w:val="27"/>
        </w:rPr>
        <w:t> </w:t>
      </w:r>
      <w:r>
        <w:rPr>
          <w:color w:val="231F20"/>
        </w:rPr>
        <w:t>32</w:t>
      </w:r>
      <w:r>
        <w:rPr>
          <w:color w:val="231F20"/>
          <w:spacing w:val="27"/>
        </w:rPr>
        <w:t> </w:t>
      </w:r>
      <w:r>
        <w:rPr>
          <w:color w:val="231F20"/>
        </w:rPr>
        <w:t>bit</w:t>
      </w:r>
      <w:r>
        <w:rPr>
          <w:color w:val="231F20"/>
          <w:spacing w:val="27"/>
        </w:rPr>
        <w:t> </w:t>
      </w:r>
      <w:r>
        <w:rPr>
          <w:color w:val="231F20"/>
        </w:rPr>
        <w:t>and 64 bit Firefox and Internet Explorer browsers on both Windows and Linux platforms. Support for the most current Extended Support Release </w:t>
      </w:r>
      <w:r>
        <w:rPr>
          <w:color w:val="231F20"/>
        </w:rPr>
        <w:t>versions of the Firefox browser is now available. Support for earlier versions of Firefox prior to version 3.6 are no longer supported in the IBM Tivoli Monitoring 6.3 release.</w:t>
      </w:r>
    </w:p>
    <w:p>
      <w:pPr>
        <w:spacing w:after="0" w:line="213" w:lineRule="auto"/>
        <w:sectPr>
          <w:pgSz w:w="12240" w:h="15840"/>
          <w:pgMar w:header="0" w:footer="736" w:top="1300" w:bottom="920" w:left="1000" w:right="1060"/>
        </w:sectPr>
      </w:pPr>
    </w:p>
    <w:p>
      <w:pPr>
        <w:pStyle w:val="Heading6"/>
        <w:spacing w:before="103"/>
        <w:ind w:left="2232"/>
      </w:pPr>
      <w:bookmarkStart w:name="_bookmark2" w:id="8"/>
      <w:bookmarkEnd w:id="8"/>
      <w:r>
        <w:rPr>
          <w:b w:val="0"/>
        </w:rPr>
      </w:r>
      <w:r>
        <w:rPr>
          <w:color w:val="231F20"/>
        </w:rPr>
        <w:t>Java</w:t>
      </w:r>
      <w:r>
        <w:rPr>
          <w:color w:val="231F20"/>
          <w:vertAlign w:val="superscript"/>
        </w:rPr>
        <w:t>™</w:t>
      </w:r>
      <w:r>
        <w:rPr>
          <w:color w:val="231F20"/>
          <w:spacing w:val="12"/>
          <w:vertAlign w:val="baseline"/>
        </w:rPr>
        <w:t> </w:t>
      </w:r>
      <w:r>
        <w:rPr>
          <w:color w:val="231F20"/>
          <w:vertAlign w:val="baseline"/>
        </w:rPr>
        <w:t>7</w:t>
      </w:r>
      <w:r>
        <w:rPr>
          <w:color w:val="231F20"/>
          <w:spacing w:val="13"/>
          <w:vertAlign w:val="baseline"/>
        </w:rPr>
        <w:t> </w:t>
      </w:r>
      <w:r>
        <w:rPr>
          <w:color w:val="231F20"/>
          <w:spacing w:val="-2"/>
          <w:vertAlign w:val="baseline"/>
        </w:rPr>
        <w:t>support</w:t>
      </w:r>
    </w:p>
    <w:p>
      <w:pPr>
        <w:pStyle w:val="BodyText"/>
        <w:spacing w:line="213" w:lineRule="auto" w:before="12"/>
        <w:ind w:left="2951" w:right="495"/>
        <w:jc w:val="both"/>
      </w:pPr>
      <w:r>
        <w:rPr>
          <w:color w:val="231F20"/>
        </w:rPr>
        <w:t>The Tivoli Enterprise Portal now uses IBM Java 7 as the default JRE for </w:t>
      </w:r>
      <w:r>
        <w:rPr>
          <w:color w:val="231F20"/>
        </w:rPr>
        <w:t>all deployment modes: desktop, browser, and Java WebStart. Use of IBM Java</w:t>
      </w:r>
      <w:r>
        <w:rPr>
          <w:color w:val="231F20"/>
          <w:spacing w:val="40"/>
        </w:rPr>
        <w:t> </w:t>
      </w:r>
      <w:r>
        <w:rPr>
          <w:color w:val="231F20"/>
        </w:rPr>
        <w:t>5 is no longer supported in the IBM Tivoli Monitoring 6.3 release.</w:t>
      </w:r>
    </w:p>
    <w:p>
      <w:pPr>
        <w:pStyle w:val="Heading6"/>
        <w:spacing w:line="240" w:lineRule="auto" w:before="116"/>
        <w:ind w:left="2232"/>
      </w:pPr>
      <w:r>
        <w:rPr>
          <w:color w:val="231F20"/>
        </w:rPr>
        <w:t>Ability to access multiple IBM Tivoli Monitoring domains from a single </w:t>
      </w:r>
      <w:r>
        <w:rPr>
          <w:color w:val="231F20"/>
        </w:rPr>
        <w:t>browser </w:t>
      </w:r>
      <w:r>
        <w:rPr>
          <w:color w:val="231F20"/>
          <w:spacing w:val="-2"/>
        </w:rPr>
        <w:t>instance</w:t>
      </w:r>
    </w:p>
    <w:p>
      <w:pPr>
        <w:pStyle w:val="BodyText"/>
        <w:spacing w:line="213" w:lineRule="auto"/>
        <w:ind w:left="2951" w:right="545"/>
      </w:pPr>
      <w:r>
        <w:rPr>
          <w:color w:val="231F20"/>
        </w:rPr>
        <w:t>It is now possible to connect the Tivoli Enterprise Portal to multiple IBM Tivoli Monitoring domains from a single browser instance. Prior to release 6.3, if you needed to manage multiple domains using the Tivoli </w:t>
      </w:r>
      <w:r>
        <w:rPr>
          <w:color w:val="231F20"/>
        </w:rPr>
        <w:t>Enterprise Portal, you were required to either launch separate browser instances (one for each domain), or use alternate client deployment modes (such as a desktop client or Java WebStart).</w:t>
      </w:r>
    </w:p>
    <w:p>
      <w:pPr>
        <w:pStyle w:val="BodyText"/>
        <w:spacing w:line="213" w:lineRule="auto" w:before="234"/>
        <w:ind w:left="2232" w:right="545"/>
      </w:pPr>
      <w:r>
        <w:rPr>
          <w:color w:val="231F20"/>
        </w:rPr>
        <w:t>Minor changes were also made to the Tivoli Enterprise Portal for </w:t>
      </w:r>
      <w:r>
        <w:rPr>
          <w:color w:val="231F20"/>
        </w:rPr>
        <w:t>content </w:t>
      </w:r>
      <w:r>
        <w:rPr>
          <w:color w:val="231F20"/>
          <w:spacing w:val="-2"/>
        </w:rPr>
        <w:t>improvements.</w:t>
      </w:r>
    </w:p>
    <w:p>
      <w:pPr>
        <w:pStyle w:val="BodyText"/>
        <w:spacing w:line="213" w:lineRule="auto" w:before="238"/>
        <w:ind w:left="2232" w:right="493"/>
      </w:pPr>
      <w:r>
        <w:rPr>
          <w:color w:val="231F20"/>
        </w:rPr>
        <w:t>New features and capability enhancements were made to the Tivoli </w:t>
      </w:r>
      <w:r>
        <w:rPr>
          <w:color w:val="231F20"/>
        </w:rPr>
        <w:t>Management </w:t>
      </w:r>
      <w:r>
        <w:rPr>
          <w:color w:val="231F20"/>
          <w:spacing w:val="-2"/>
          <w:w w:val="105"/>
        </w:rPr>
        <w:t>Services. For more information, see the following publications on the </w:t>
      </w:r>
      <w:hyperlink r:id="rId21">
        <w:r>
          <w:rPr>
            <w:color w:val="231F20"/>
            <w:spacing w:val="-2"/>
            <w:w w:val="105"/>
          </w:rPr>
          <w:t>IBM Tivoli</w:t>
        </w:r>
      </w:hyperlink>
      <w:r>
        <w:rPr>
          <w:color w:val="231F20"/>
          <w:spacing w:val="-2"/>
          <w:w w:val="105"/>
        </w:rPr>
        <w:t> </w:t>
      </w:r>
      <w:hyperlink r:id="rId21">
        <w:r>
          <w:rPr>
            <w:color w:val="231F20"/>
            <w:w w:val="105"/>
          </w:rPr>
          <w:t>Monitoring Information Center</w:t>
        </w:r>
      </w:hyperlink>
      <w:r>
        <w:rPr>
          <w:color w:val="231F20"/>
          <w:w w:val="105"/>
        </w:rPr>
        <w:t> </w:t>
      </w:r>
      <w:hyperlink r:id="rId22">
        <w:r>
          <w:rPr>
            <w:color w:val="231F20"/>
            <w:w w:val="105"/>
          </w:rPr>
          <w:t>(http://pic.dhe.ibm.com/infocenter/tivihelp/</w:t>
        </w:r>
      </w:hyperlink>
      <w:r>
        <w:rPr>
          <w:color w:val="231F20"/>
          <w:w w:val="105"/>
        </w:rPr>
        <w:t> </w:t>
      </w:r>
      <w:r>
        <w:rPr>
          <w:color w:val="231F20"/>
          <w:spacing w:val="-2"/>
          <w:w w:val="105"/>
        </w:rPr>
        <w:t>v61r1/topic/com.ibm.itm.doc_6.3/welcome.htm):</w:t>
      </w:r>
    </w:p>
    <w:p>
      <w:pPr>
        <w:spacing w:before="59"/>
        <w:ind w:left="2532" w:right="0" w:firstLine="0"/>
        <w:jc w:val="left"/>
        <w:rPr>
          <w:rFonts w:ascii="Book Antiqua"/>
          <w:i/>
          <w:sz w:val="20"/>
        </w:rPr>
      </w:pPr>
      <w:r>
        <w:rPr>
          <w:rFonts w:ascii="Book Antiqua"/>
          <w:i/>
          <w:color w:val="231F20"/>
          <w:sz w:val="20"/>
        </w:rPr>
        <w:t>IBM</w:t>
      </w:r>
      <w:r>
        <w:rPr>
          <w:rFonts w:ascii="Book Antiqua"/>
          <w:i/>
          <w:color w:val="231F20"/>
          <w:spacing w:val="5"/>
          <w:sz w:val="20"/>
        </w:rPr>
        <w:t> </w:t>
      </w:r>
      <w:r>
        <w:rPr>
          <w:rFonts w:ascii="Book Antiqua"/>
          <w:i/>
          <w:color w:val="231F20"/>
          <w:sz w:val="20"/>
        </w:rPr>
        <w:t>Tivoli</w:t>
      </w:r>
      <w:r>
        <w:rPr>
          <w:rFonts w:ascii="Book Antiqua"/>
          <w:i/>
          <w:color w:val="231F20"/>
          <w:spacing w:val="5"/>
          <w:sz w:val="20"/>
        </w:rPr>
        <w:t> </w:t>
      </w:r>
      <w:r>
        <w:rPr>
          <w:rFonts w:ascii="Book Antiqua"/>
          <w:i/>
          <w:color w:val="231F20"/>
          <w:sz w:val="20"/>
        </w:rPr>
        <w:t>Monitoring</w:t>
      </w:r>
      <w:r>
        <w:rPr>
          <w:rFonts w:ascii="Book Antiqua"/>
          <w:i/>
          <w:color w:val="231F20"/>
          <w:spacing w:val="6"/>
          <w:sz w:val="20"/>
        </w:rPr>
        <w:t> </w:t>
      </w:r>
      <w:r>
        <w:rPr>
          <w:rFonts w:ascii="Book Antiqua"/>
          <w:i/>
          <w:color w:val="231F20"/>
          <w:sz w:val="20"/>
        </w:rPr>
        <w:t>Administrator's</w:t>
      </w:r>
      <w:r>
        <w:rPr>
          <w:rFonts w:ascii="Book Antiqua"/>
          <w:i/>
          <w:color w:val="231F20"/>
          <w:spacing w:val="5"/>
          <w:sz w:val="20"/>
        </w:rPr>
        <w:t> </w:t>
      </w:r>
      <w:r>
        <w:rPr>
          <w:rFonts w:ascii="Book Antiqua"/>
          <w:i/>
          <w:color w:val="231F20"/>
          <w:spacing w:val="-2"/>
          <w:sz w:val="20"/>
        </w:rPr>
        <w:t>Guide</w:t>
      </w:r>
    </w:p>
    <w:p>
      <w:pPr>
        <w:spacing w:before="58"/>
        <w:ind w:left="2532" w:right="0" w:firstLine="0"/>
        <w:jc w:val="left"/>
        <w:rPr>
          <w:rFonts w:ascii="Book Antiqua"/>
          <w:i/>
          <w:sz w:val="20"/>
        </w:rPr>
      </w:pPr>
      <w:r>
        <w:rPr>
          <w:rFonts w:ascii="Book Antiqua"/>
          <w:i/>
          <w:color w:val="231F20"/>
          <w:sz w:val="20"/>
        </w:rPr>
        <w:t>IBM</w:t>
      </w:r>
      <w:r>
        <w:rPr>
          <w:rFonts w:ascii="Book Antiqua"/>
          <w:i/>
          <w:color w:val="231F20"/>
          <w:spacing w:val="8"/>
          <w:sz w:val="20"/>
        </w:rPr>
        <w:t> </w:t>
      </w:r>
      <w:r>
        <w:rPr>
          <w:rFonts w:ascii="Book Antiqua"/>
          <w:i/>
          <w:color w:val="231F20"/>
          <w:sz w:val="20"/>
        </w:rPr>
        <w:t>Tivoli</w:t>
      </w:r>
      <w:r>
        <w:rPr>
          <w:rFonts w:ascii="Book Antiqua"/>
          <w:i/>
          <w:color w:val="231F20"/>
          <w:spacing w:val="8"/>
          <w:sz w:val="20"/>
        </w:rPr>
        <w:t> </w:t>
      </w:r>
      <w:r>
        <w:rPr>
          <w:rFonts w:ascii="Book Antiqua"/>
          <w:i/>
          <w:color w:val="231F20"/>
          <w:sz w:val="20"/>
        </w:rPr>
        <w:t>Monitoring</w:t>
      </w:r>
      <w:r>
        <w:rPr>
          <w:rFonts w:ascii="Book Antiqua"/>
          <w:i/>
          <w:color w:val="231F20"/>
          <w:spacing w:val="9"/>
          <w:sz w:val="20"/>
        </w:rPr>
        <w:t> </w:t>
      </w:r>
      <w:r>
        <w:rPr>
          <w:rFonts w:ascii="Book Antiqua"/>
          <w:i/>
          <w:color w:val="231F20"/>
          <w:sz w:val="20"/>
        </w:rPr>
        <w:t>Installation</w:t>
      </w:r>
      <w:r>
        <w:rPr>
          <w:rFonts w:ascii="Book Antiqua"/>
          <w:i/>
          <w:color w:val="231F20"/>
          <w:spacing w:val="8"/>
          <w:sz w:val="20"/>
        </w:rPr>
        <w:t> </w:t>
      </w:r>
      <w:r>
        <w:rPr>
          <w:rFonts w:ascii="Book Antiqua"/>
          <w:i/>
          <w:color w:val="231F20"/>
          <w:sz w:val="20"/>
        </w:rPr>
        <w:t>and</w:t>
      </w:r>
      <w:r>
        <w:rPr>
          <w:rFonts w:ascii="Book Antiqua"/>
          <w:i/>
          <w:color w:val="231F20"/>
          <w:spacing w:val="8"/>
          <w:sz w:val="20"/>
        </w:rPr>
        <w:t> </w:t>
      </w:r>
      <w:r>
        <w:rPr>
          <w:rFonts w:ascii="Book Antiqua"/>
          <w:i/>
          <w:color w:val="231F20"/>
          <w:sz w:val="20"/>
        </w:rPr>
        <w:t>Setup</w:t>
      </w:r>
      <w:r>
        <w:rPr>
          <w:rFonts w:ascii="Book Antiqua"/>
          <w:i/>
          <w:color w:val="231F20"/>
          <w:spacing w:val="9"/>
          <w:sz w:val="20"/>
        </w:rPr>
        <w:t> </w:t>
      </w:r>
      <w:r>
        <w:rPr>
          <w:rFonts w:ascii="Book Antiqua"/>
          <w:i/>
          <w:color w:val="231F20"/>
          <w:spacing w:val="-2"/>
          <w:sz w:val="20"/>
        </w:rPr>
        <w:t>Guide</w:t>
      </w:r>
    </w:p>
    <w:p>
      <w:pPr>
        <w:pStyle w:val="BodyText"/>
        <w:spacing w:before="2"/>
        <w:rPr>
          <w:rFonts w:ascii="Book Antiqua"/>
          <w:i/>
          <w:sz w:val="18"/>
        </w:rPr>
      </w:pPr>
      <w:r>
        <w:rPr/>
        <mc:AlternateContent>
          <mc:Choice Requires="wps">
            <w:drawing>
              <wp:anchor distT="0" distB="0" distL="0" distR="0" allowOverlap="1" layoutInCell="1" locked="0" behindDoc="1" simplePos="0" relativeHeight="487591936">
                <wp:simplePos x="0" y="0"/>
                <wp:positionH relativeFrom="page">
                  <wp:posOffset>760323</wp:posOffset>
                </wp:positionH>
                <wp:positionV relativeFrom="paragraph">
                  <wp:posOffset>154634</wp:posOffset>
                </wp:positionV>
                <wp:extent cx="6082665" cy="1270"/>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75935pt;width:478.95pt;height:.1pt;mso-position-horizontal-relative:page;mso-position-vertical-relative:paragraph;z-index:-15724544;mso-wrap-distance-left:0;mso-wrap-distance-right:0" id="docshape18" coordorigin="1197,244" coordsize="9579,0" path="m1197,244l10776,244e" filled="false" stroked="true" strokeweight=".499pt" strokecolor="#231f20">
                <v:path arrowok="t"/>
                <v:stroke dashstyle="solid"/>
                <w10:wrap type="topAndBottom"/>
              </v:shape>
            </w:pict>
          </mc:Fallback>
        </mc:AlternateContent>
      </w:r>
    </w:p>
    <w:p>
      <w:pPr>
        <w:pStyle w:val="Heading3"/>
        <w:ind w:left="197"/>
      </w:pPr>
      <w:bookmarkStart w:name="Tivoli Management Services architecture" w:id="9"/>
      <w:bookmarkEnd w:id="9"/>
      <w:r>
        <w:rPr>
          <w:b w:val="0"/>
        </w:rPr>
      </w:r>
      <w:r>
        <w:rPr>
          <w:color w:val="231F20"/>
        </w:rPr>
        <w:t>Tivoli</w:t>
      </w:r>
      <w:r>
        <w:rPr>
          <w:color w:val="231F20"/>
          <w:spacing w:val="1"/>
        </w:rPr>
        <w:t> </w:t>
      </w:r>
      <w:r>
        <w:rPr>
          <w:color w:val="231F20"/>
        </w:rPr>
        <w:t>Management</w:t>
      </w:r>
      <w:r>
        <w:rPr>
          <w:color w:val="231F20"/>
          <w:spacing w:val="1"/>
        </w:rPr>
        <w:t> </w:t>
      </w:r>
      <w:r>
        <w:rPr>
          <w:color w:val="231F20"/>
        </w:rPr>
        <w:t>Services</w:t>
      </w:r>
      <w:r>
        <w:rPr>
          <w:color w:val="231F20"/>
          <w:spacing w:val="2"/>
        </w:rPr>
        <w:t> </w:t>
      </w:r>
      <w:r>
        <w:rPr>
          <w:color w:val="231F20"/>
          <w:spacing w:val="-2"/>
        </w:rPr>
        <w:t>architecture</w:t>
      </w:r>
    </w:p>
    <w:p>
      <w:pPr>
        <w:pStyle w:val="BodyText"/>
        <w:spacing w:before="115"/>
        <w:ind w:left="2232"/>
      </w:pPr>
      <w:r>
        <w:rPr>
          <w:color w:val="231F20"/>
        </w:rPr>
        <w:t>The</w:t>
      </w:r>
      <w:r>
        <w:rPr>
          <w:color w:val="231F20"/>
          <w:spacing w:val="8"/>
        </w:rPr>
        <w:t> </w:t>
      </w:r>
      <w:r>
        <w:rPr>
          <w:color w:val="231F20"/>
        </w:rPr>
        <w:t>Tivoli</w:t>
      </w:r>
      <w:r>
        <w:rPr>
          <w:color w:val="231F20"/>
          <w:spacing w:val="9"/>
        </w:rPr>
        <w:t> </w:t>
      </w:r>
      <w:r>
        <w:rPr>
          <w:color w:val="231F20"/>
        </w:rPr>
        <w:t>Enterprise</w:t>
      </w:r>
      <w:r>
        <w:rPr>
          <w:color w:val="231F20"/>
          <w:spacing w:val="9"/>
        </w:rPr>
        <w:t> </w:t>
      </w:r>
      <w:r>
        <w:rPr>
          <w:color w:val="231F20"/>
        </w:rPr>
        <w:t>Portal</w:t>
      </w:r>
      <w:r>
        <w:rPr>
          <w:color w:val="231F20"/>
          <w:spacing w:val="9"/>
        </w:rPr>
        <w:t> </w:t>
      </w:r>
      <w:r>
        <w:rPr>
          <w:color w:val="231F20"/>
        </w:rPr>
        <w:t>is</w:t>
      </w:r>
      <w:r>
        <w:rPr>
          <w:color w:val="231F20"/>
          <w:spacing w:val="9"/>
        </w:rPr>
        <w:t> </w:t>
      </w:r>
      <w:r>
        <w:rPr>
          <w:color w:val="231F20"/>
        </w:rPr>
        <w:t>based</w:t>
      </w:r>
      <w:r>
        <w:rPr>
          <w:color w:val="231F20"/>
          <w:spacing w:val="9"/>
        </w:rPr>
        <w:t> </w:t>
      </w:r>
      <w:r>
        <w:rPr>
          <w:color w:val="231F20"/>
        </w:rPr>
        <w:t>on</w:t>
      </w:r>
      <w:r>
        <w:rPr>
          <w:color w:val="231F20"/>
          <w:spacing w:val="8"/>
        </w:rPr>
        <w:t> </w:t>
      </w:r>
      <w:r>
        <w:rPr>
          <w:color w:val="231F20"/>
        </w:rPr>
        <w:t>a</w:t>
      </w:r>
      <w:r>
        <w:rPr>
          <w:color w:val="231F20"/>
          <w:spacing w:val="9"/>
        </w:rPr>
        <w:t> </w:t>
      </w:r>
      <w:r>
        <w:rPr>
          <w:color w:val="231F20"/>
        </w:rPr>
        <w:t>client-server-agent</w:t>
      </w:r>
      <w:r>
        <w:rPr>
          <w:color w:val="231F20"/>
          <w:spacing w:val="9"/>
        </w:rPr>
        <w:t> </w:t>
      </w:r>
      <w:r>
        <w:rPr>
          <w:color w:val="231F20"/>
          <w:spacing w:val="-2"/>
        </w:rPr>
        <w:t>architecture.</w:t>
      </w:r>
    </w:p>
    <w:p>
      <w:pPr>
        <w:pStyle w:val="Heading4"/>
        <w:spacing w:before="194"/>
      </w:pPr>
      <w:r>
        <w:rPr>
          <w:color w:val="231F20"/>
          <w:spacing w:val="-2"/>
        </w:rPr>
        <w:t>Client</w:t>
      </w:r>
    </w:p>
    <w:p>
      <w:pPr>
        <w:pStyle w:val="BodyText"/>
        <w:spacing w:line="213" w:lineRule="auto" w:before="241"/>
        <w:ind w:left="2232" w:right="493"/>
      </w:pPr>
      <w:r>
        <w:rPr>
          <w:color w:val="231F20"/>
        </w:rPr>
        <w:t>The Tivoli Enterprise Portal client is a Java-based user interface for viewing and monitoring your enterprise network. Depending on how it was installed, you can start Tivoli Enterprise Portal as a desktop application, a web application through your browser, or Java Webstart, which downloads the installable software from the Tivoli Enterprise Portal Server, installs it, and then makes it available as a desktop </w:t>
      </w:r>
      <w:r>
        <w:rPr>
          <w:color w:val="231F20"/>
          <w:spacing w:val="-2"/>
        </w:rPr>
        <w:t>application.</w:t>
      </w:r>
    </w:p>
    <w:p>
      <w:pPr>
        <w:pStyle w:val="Heading4"/>
        <w:spacing w:before="198"/>
      </w:pPr>
      <w:r>
        <w:rPr>
          <w:color w:val="231F20"/>
          <w:spacing w:val="-2"/>
        </w:rPr>
        <w:t>Server</w:t>
      </w:r>
    </w:p>
    <w:p>
      <w:pPr>
        <w:pStyle w:val="BodyText"/>
        <w:spacing w:line="213" w:lineRule="auto" w:before="241"/>
        <w:ind w:left="2232" w:right="493"/>
      </w:pPr>
      <w:r>
        <w:rPr>
          <w:color w:val="231F20"/>
        </w:rPr>
        <w:t>The Tivoli Enterprise Portal client connects to its application server, the </w:t>
      </w:r>
      <w:r>
        <w:rPr>
          <w:rFonts w:ascii="Book Antiqua"/>
          <w:i/>
          <w:color w:val="231F20"/>
        </w:rPr>
        <w:t>Tivoli</w:t>
      </w:r>
      <w:r>
        <w:rPr>
          <w:rFonts w:ascii="Book Antiqua"/>
          <w:i/>
          <w:color w:val="231F20"/>
        </w:rPr>
        <w:t> Enterprise</w:t>
      </w:r>
      <w:r>
        <w:rPr>
          <w:rFonts w:ascii="Book Antiqua"/>
          <w:i/>
          <w:color w:val="231F20"/>
          <w:spacing w:val="28"/>
        </w:rPr>
        <w:t> </w:t>
      </w:r>
      <w:r>
        <w:rPr>
          <w:rFonts w:ascii="Book Antiqua"/>
          <w:i/>
          <w:color w:val="231F20"/>
        </w:rPr>
        <w:t>Portal</w:t>
      </w:r>
      <w:r>
        <w:rPr>
          <w:rFonts w:ascii="Book Antiqua"/>
          <w:i/>
          <w:color w:val="231F20"/>
          <w:spacing w:val="28"/>
        </w:rPr>
        <w:t> </w:t>
      </w:r>
      <w:r>
        <w:rPr>
          <w:rFonts w:ascii="Book Antiqua"/>
          <w:i/>
          <w:color w:val="231F20"/>
        </w:rPr>
        <w:t>Server</w:t>
      </w:r>
      <w:r>
        <w:rPr>
          <w:color w:val="231F20"/>
        </w:rPr>
        <w:t>.</w:t>
      </w:r>
      <w:r>
        <w:rPr>
          <w:color w:val="231F20"/>
          <w:spacing w:val="28"/>
        </w:rPr>
        <w:t> </w:t>
      </w:r>
      <w:r>
        <w:rPr>
          <w:color w:val="231F20"/>
        </w:rPr>
        <w:t>The</w:t>
      </w:r>
      <w:r>
        <w:rPr>
          <w:color w:val="231F20"/>
          <w:spacing w:val="28"/>
        </w:rPr>
        <w:t> </w:t>
      </w:r>
      <w:r>
        <w:rPr>
          <w:color w:val="231F20"/>
        </w:rPr>
        <w:t>Tivoli</w:t>
      </w:r>
      <w:r>
        <w:rPr>
          <w:color w:val="231F20"/>
          <w:spacing w:val="28"/>
        </w:rPr>
        <w:t> </w:t>
      </w:r>
      <w:r>
        <w:rPr>
          <w:color w:val="231F20"/>
        </w:rPr>
        <w:t>Enterprise</w:t>
      </w:r>
      <w:r>
        <w:rPr>
          <w:color w:val="231F20"/>
          <w:spacing w:val="28"/>
        </w:rPr>
        <w:t> </w:t>
      </w:r>
      <w:r>
        <w:rPr>
          <w:color w:val="231F20"/>
        </w:rPr>
        <w:t>Portal</w:t>
      </w:r>
      <w:r>
        <w:rPr>
          <w:color w:val="231F20"/>
          <w:spacing w:val="28"/>
        </w:rPr>
        <w:t> </w:t>
      </w:r>
      <w:r>
        <w:rPr>
          <w:color w:val="231F20"/>
        </w:rPr>
        <w:t>Server</w:t>
      </w:r>
      <w:r>
        <w:rPr>
          <w:color w:val="231F20"/>
          <w:spacing w:val="28"/>
        </w:rPr>
        <w:t> </w:t>
      </w:r>
      <w:r>
        <w:rPr>
          <w:color w:val="231F20"/>
        </w:rPr>
        <w:t>is</w:t>
      </w:r>
      <w:r>
        <w:rPr>
          <w:color w:val="231F20"/>
          <w:spacing w:val="28"/>
        </w:rPr>
        <w:t> </w:t>
      </w:r>
      <w:r>
        <w:rPr>
          <w:color w:val="231F20"/>
        </w:rPr>
        <w:t>a</w:t>
      </w:r>
      <w:r>
        <w:rPr>
          <w:color w:val="231F20"/>
          <w:spacing w:val="28"/>
        </w:rPr>
        <w:t> </w:t>
      </w:r>
      <w:r>
        <w:rPr>
          <w:color w:val="231F20"/>
        </w:rPr>
        <w:t>collection</w:t>
      </w:r>
      <w:r>
        <w:rPr>
          <w:color w:val="231F20"/>
          <w:spacing w:val="28"/>
        </w:rPr>
        <w:t> </w:t>
      </w:r>
      <w:r>
        <w:rPr>
          <w:color w:val="231F20"/>
        </w:rPr>
        <w:t>of software services for the client that enables retrieval, manipulation and analysis of data from the monitoring agents on your enterprise. This server connects to the Tivoli Enterprise Monitoring Server, which acts as a collection and control point </w:t>
      </w:r>
      <w:r>
        <w:rPr>
          <w:color w:val="231F20"/>
        </w:rPr>
        <w:t>for alerts received from the monitoring agents, and collects performance and</w:t>
      </w:r>
      <w:r>
        <w:rPr>
          <w:color w:val="231F20"/>
          <w:spacing w:val="80"/>
        </w:rPr>
        <w:t> </w:t>
      </w:r>
      <w:r>
        <w:rPr>
          <w:color w:val="231F20"/>
        </w:rPr>
        <w:t>availability data. The main, or hub, Tivoli Enterprise Monitoring Server correlates</w:t>
      </w:r>
      <w:r>
        <w:rPr>
          <w:color w:val="231F20"/>
          <w:spacing w:val="40"/>
        </w:rPr>
        <w:t> </w:t>
      </w:r>
      <w:r>
        <w:rPr>
          <w:color w:val="231F20"/>
        </w:rPr>
        <w:t>the monitoring data collected by agents and remote servers and passes it to the</w:t>
      </w:r>
      <w:r>
        <w:rPr>
          <w:color w:val="231F20"/>
          <w:spacing w:val="40"/>
        </w:rPr>
        <w:t> </w:t>
      </w:r>
      <w:r>
        <w:rPr>
          <w:color w:val="231F20"/>
        </w:rPr>
        <w:t>Tivoli Enterprise Portal Server for presentation and your evaluation.</w:t>
      </w:r>
    </w:p>
    <w:p>
      <w:pPr>
        <w:pStyle w:val="Heading4"/>
        <w:spacing w:before="195"/>
      </w:pPr>
      <w:r>
        <w:rPr>
          <w:color w:val="231F20"/>
          <w:spacing w:val="-2"/>
        </w:rPr>
        <w:t>Agent</w:t>
      </w:r>
    </w:p>
    <w:p>
      <w:pPr>
        <w:pStyle w:val="BodyText"/>
        <w:spacing w:line="213" w:lineRule="auto" w:before="241"/>
        <w:ind w:left="2232" w:right="545"/>
      </w:pPr>
      <w:r>
        <w:rPr>
          <w:rFonts w:ascii="Book Antiqua"/>
          <w:i/>
          <w:color w:val="231F20"/>
        </w:rPr>
        <w:t>Tivoli Enterprise Monitoring Agents </w:t>
      </w:r>
      <w:r>
        <w:rPr>
          <w:color w:val="231F20"/>
        </w:rPr>
        <w:t>are installed on the systems whose </w:t>
      </w:r>
      <w:r>
        <w:rPr>
          <w:color w:val="231F20"/>
        </w:rPr>
        <w:t>applications or resources you want to monitor. The monitoring agent collects the monitored data, and passes it to the Tivoli Enterprise Monitoring Server to which it is connected. The client gathers the current values of the monitored properties, or attributes, and displays them in views. It can also test the values against a</w:t>
      </w:r>
    </w:p>
    <w:p>
      <w:pPr>
        <w:spacing w:after="0" w:line="213" w:lineRule="auto"/>
        <w:sectPr>
          <w:footerReference w:type="even" r:id="rId19"/>
          <w:footerReference w:type="default" r:id="rId20"/>
          <w:pgSz w:w="12240" w:h="15840"/>
          <w:pgMar w:header="0" w:footer="736" w:top="1160" w:bottom="920" w:left="1000" w:right="1060"/>
          <w:pgNumType w:start="2"/>
        </w:sectPr>
      </w:pPr>
    </w:p>
    <w:p>
      <w:pPr>
        <w:pStyle w:val="BodyText"/>
        <w:spacing w:before="62"/>
        <w:ind w:left="2472"/>
      </w:pPr>
      <w:bookmarkStart w:name="_bookmark3" w:id="10"/>
      <w:bookmarkEnd w:id="10"/>
      <w:r>
        <w:rPr/>
      </w:r>
      <w:r>
        <w:rPr>
          <w:color w:val="231F20"/>
        </w:rPr>
        <w:t>threshold</w:t>
      </w:r>
      <w:r>
        <w:rPr>
          <w:color w:val="231F20"/>
          <w:spacing w:val="10"/>
        </w:rPr>
        <w:t> </w:t>
      </w:r>
      <w:r>
        <w:rPr>
          <w:color w:val="231F20"/>
        </w:rPr>
        <w:t>and</w:t>
      </w:r>
      <w:r>
        <w:rPr>
          <w:color w:val="231F20"/>
          <w:spacing w:val="10"/>
        </w:rPr>
        <w:t> </w:t>
      </w:r>
      <w:r>
        <w:rPr>
          <w:color w:val="231F20"/>
        </w:rPr>
        <w:t>display</w:t>
      </w:r>
      <w:r>
        <w:rPr>
          <w:color w:val="231F20"/>
          <w:spacing w:val="10"/>
        </w:rPr>
        <w:t> </w:t>
      </w:r>
      <w:r>
        <w:rPr>
          <w:color w:val="231F20"/>
        </w:rPr>
        <w:t>an</w:t>
      </w:r>
      <w:r>
        <w:rPr>
          <w:color w:val="231F20"/>
          <w:spacing w:val="10"/>
        </w:rPr>
        <w:t> </w:t>
      </w:r>
      <w:r>
        <w:rPr>
          <w:color w:val="231F20"/>
        </w:rPr>
        <w:t>event</w:t>
      </w:r>
      <w:r>
        <w:rPr>
          <w:color w:val="231F20"/>
          <w:spacing w:val="10"/>
        </w:rPr>
        <w:t> </w:t>
      </w:r>
      <w:r>
        <w:rPr>
          <w:color w:val="231F20"/>
        </w:rPr>
        <w:t>indicator</w:t>
      </w:r>
      <w:r>
        <w:rPr>
          <w:color w:val="231F20"/>
          <w:spacing w:val="10"/>
        </w:rPr>
        <w:t> </w:t>
      </w:r>
      <w:r>
        <w:rPr>
          <w:color w:val="231F20"/>
        </w:rPr>
        <w:t>when</w:t>
      </w:r>
      <w:r>
        <w:rPr>
          <w:color w:val="231F20"/>
          <w:spacing w:val="10"/>
        </w:rPr>
        <w:t> </w:t>
      </w:r>
      <w:r>
        <w:rPr>
          <w:color w:val="231F20"/>
        </w:rPr>
        <w:t>that</w:t>
      </w:r>
      <w:r>
        <w:rPr>
          <w:color w:val="231F20"/>
          <w:spacing w:val="10"/>
        </w:rPr>
        <w:t> </w:t>
      </w:r>
      <w:r>
        <w:rPr>
          <w:color w:val="231F20"/>
        </w:rPr>
        <w:t>threshold</w:t>
      </w:r>
      <w:r>
        <w:rPr>
          <w:color w:val="231F20"/>
          <w:spacing w:val="10"/>
        </w:rPr>
        <w:t> </w:t>
      </w:r>
      <w:r>
        <w:rPr>
          <w:color w:val="231F20"/>
        </w:rPr>
        <w:t>is</w:t>
      </w:r>
      <w:r>
        <w:rPr>
          <w:color w:val="231F20"/>
          <w:spacing w:val="10"/>
        </w:rPr>
        <w:t> </w:t>
      </w:r>
      <w:r>
        <w:rPr>
          <w:color w:val="231F20"/>
          <w:spacing w:val="-2"/>
        </w:rPr>
        <w:t>exceeded.</w:t>
      </w:r>
    </w:p>
    <w:p>
      <w:pPr>
        <w:pStyle w:val="BodyText"/>
        <w:spacing w:before="12"/>
        <w:rPr>
          <w:sz w:val="15"/>
        </w:rPr>
      </w:pPr>
      <w:r>
        <w:rPr/>
        <mc:AlternateContent>
          <mc:Choice Requires="wps">
            <w:drawing>
              <wp:anchor distT="0" distB="0" distL="0" distR="0" allowOverlap="1" layoutInCell="1" locked="0" behindDoc="1" simplePos="0" relativeHeight="487592448">
                <wp:simplePos x="0" y="0"/>
                <wp:positionH relativeFrom="page">
                  <wp:posOffset>912380</wp:posOffset>
                </wp:positionH>
                <wp:positionV relativeFrom="paragraph">
                  <wp:posOffset>151965</wp:posOffset>
                </wp:positionV>
                <wp:extent cx="6082665"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65789pt;width:478.95pt;height:.1pt;mso-position-horizontal-relative:page;mso-position-vertical-relative:paragraph;z-index:-15724032;mso-wrap-distance-left:0;mso-wrap-distance-right:0" id="docshape19" coordorigin="1437,239" coordsize="9579,0" path="m1437,239l11016,239e" filled="false" stroked="true" strokeweight=".499pt" strokecolor="#231f20">
                <v:path arrowok="t"/>
                <v:stroke dashstyle="solid"/>
                <w10:wrap type="topAndBottom"/>
              </v:shape>
            </w:pict>
          </mc:Fallback>
        </mc:AlternateContent>
      </w:r>
    </w:p>
    <w:p>
      <w:pPr>
        <w:pStyle w:val="Heading3"/>
      </w:pPr>
      <w:bookmarkStart w:name="Tivoli Enterprise Portal window" w:id="11"/>
      <w:bookmarkEnd w:id="11"/>
      <w:r>
        <w:rPr>
          <w:b w:val="0"/>
        </w:rPr>
      </w:r>
      <w:r>
        <w:rPr>
          <w:color w:val="231F20"/>
        </w:rPr>
        <w:t>Tivoli</w:t>
      </w:r>
      <w:r>
        <w:rPr>
          <w:color w:val="231F20"/>
          <w:spacing w:val="3"/>
        </w:rPr>
        <w:t> </w:t>
      </w:r>
      <w:r>
        <w:rPr>
          <w:color w:val="231F20"/>
        </w:rPr>
        <w:t>Enterprise</w:t>
      </w:r>
      <w:r>
        <w:rPr>
          <w:color w:val="231F20"/>
          <w:spacing w:val="4"/>
        </w:rPr>
        <w:t> </w:t>
      </w:r>
      <w:r>
        <w:rPr>
          <w:color w:val="231F20"/>
        </w:rPr>
        <w:t>Portal</w:t>
      </w:r>
      <w:r>
        <w:rPr>
          <w:color w:val="231F20"/>
          <w:spacing w:val="3"/>
        </w:rPr>
        <w:t> </w:t>
      </w:r>
      <w:r>
        <w:rPr>
          <w:color w:val="231F20"/>
          <w:spacing w:val="-2"/>
        </w:rPr>
        <w:t>window</w:t>
      </w:r>
    </w:p>
    <w:p>
      <w:pPr>
        <w:pStyle w:val="BodyText"/>
        <w:spacing w:line="213" w:lineRule="auto" w:before="138"/>
        <w:ind w:left="2472" w:right="545"/>
      </w:pPr>
      <w:r>
        <w:rPr>
          <w:color w:val="231F20"/>
        </w:rPr>
        <w:t>Use this topic to familiarize yourself with the elements of the Tivoli </w:t>
      </w:r>
      <w:r>
        <w:rPr>
          <w:color w:val="231F20"/>
        </w:rPr>
        <w:t>Enterprise Portal window.</w:t>
      </w:r>
    </w:p>
    <w:p>
      <w:pPr>
        <w:pStyle w:val="BodyText"/>
        <w:spacing w:line="213" w:lineRule="auto" w:before="238"/>
        <w:ind w:left="2472" w:right="379"/>
      </w:pPr>
      <w:r>
        <w:rPr>
          <w:color w:val="231F20"/>
        </w:rPr>
        <w:t>The Tivoli Enterprise Portal window displays information about monitored resources in your enterprise. On the left is the Navigator, which shows the arrangement of your monitored network and allows you to access information collected by different agents on your monitored systems. On the right is a workspace. The workspace can be divided into as many smaller frames, or </w:t>
      </w:r>
      <w:r>
        <w:rPr>
          <w:color w:val="231F20"/>
        </w:rPr>
        <w:t>panes, as you can reasonably fit inside the window. When you select an item in the Navigator, a new workspace opens with a set of views for that item.</w:t>
      </w:r>
    </w:p>
    <w:p>
      <w:pPr>
        <w:pStyle w:val="BodyText"/>
        <w:spacing w:before="212"/>
        <w:ind w:left="2472"/>
      </w:pPr>
      <w:r>
        <w:rPr>
          <w:color w:val="231F20"/>
        </w:rPr>
        <w:t>The</w:t>
      </w:r>
      <w:r>
        <w:rPr>
          <w:color w:val="231F20"/>
          <w:spacing w:val="9"/>
        </w:rPr>
        <w:t> </w:t>
      </w:r>
      <w:r>
        <w:rPr>
          <w:color w:val="231F20"/>
        </w:rPr>
        <w:t>window</w:t>
      </w:r>
      <w:r>
        <w:rPr>
          <w:color w:val="231F20"/>
          <w:spacing w:val="10"/>
        </w:rPr>
        <w:t> </w:t>
      </w:r>
      <w:r>
        <w:rPr>
          <w:color w:val="231F20"/>
        </w:rPr>
        <w:t>comprises</w:t>
      </w:r>
      <w:r>
        <w:rPr>
          <w:color w:val="231F20"/>
          <w:spacing w:val="10"/>
        </w:rPr>
        <w:t> </w:t>
      </w:r>
      <w:r>
        <w:rPr>
          <w:color w:val="231F20"/>
        </w:rPr>
        <w:t>the</w:t>
      </w:r>
      <w:r>
        <w:rPr>
          <w:color w:val="231F20"/>
          <w:spacing w:val="10"/>
        </w:rPr>
        <w:t> </w:t>
      </w:r>
      <w:r>
        <w:rPr>
          <w:color w:val="231F20"/>
        </w:rPr>
        <w:t>following</w:t>
      </w:r>
      <w:r>
        <w:rPr>
          <w:color w:val="231F20"/>
          <w:spacing w:val="9"/>
        </w:rPr>
        <w:t> </w:t>
      </w:r>
      <w:r>
        <w:rPr>
          <w:color w:val="231F20"/>
          <w:spacing w:val="-2"/>
        </w:rPr>
        <w:t>elements:</w:t>
      </w:r>
    </w:p>
    <w:p>
      <w:pPr>
        <w:pStyle w:val="Heading6"/>
        <w:spacing w:line="240" w:lineRule="auto" w:before="111"/>
      </w:pPr>
      <w:r>
        <w:rPr>
          <w:color w:val="231F20"/>
        </w:rPr>
        <w:t>Title </w:t>
      </w:r>
      <w:r>
        <w:rPr>
          <w:color w:val="231F20"/>
          <w:spacing w:val="-5"/>
        </w:rPr>
        <w:t>bar</w:t>
      </w:r>
    </w:p>
    <w:p>
      <w:pPr>
        <w:pStyle w:val="BodyText"/>
        <w:spacing w:line="213" w:lineRule="auto" w:before="120"/>
        <w:ind w:left="3190" w:right="545"/>
      </w:pPr>
      <w:r>
        <w:rPr>
          <w:color w:val="231F20"/>
        </w:rPr>
        <w:t>In browser mode (as shown), the title bar shows the name of </w:t>
      </w:r>
      <w:r>
        <w:rPr>
          <w:color w:val="231F20"/>
        </w:rPr>
        <w:t>the </w:t>
      </w:r>
      <w:r>
        <w:rPr>
          <w:color w:val="231F20"/>
          <w:spacing w:val="-2"/>
        </w:rPr>
        <w:t>workspace.</w:t>
      </w:r>
    </w:p>
    <w:p>
      <w:pPr>
        <w:pStyle w:val="BodyText"/>
        <w:spacing w:line="213" w:lineRule="auto" w:before="118"/>
        <w:ind w:left="3190" w:right="202"/>
      </w:pPr>
      <w:r>
        <w:rPr>
          <w:color w:val="231F20"/>
        </w:rPr>
        <w:t>In desktop mode, the title bar shows the name of the workspace, the </w:t>
      </w:r>
      <w:r>
        <w:rPr>
          <w:color w:val="231F20"/>
        </w:rPr>
        <w:t>name and port number of the Tivoli Enterprise Portal Server, and the user name. For</w:t>
      </w:r>
      <w:r>
        <w:rPr>
          <w:color w:val="231F20"/>
          <w:spacing w:val="9"/>
        </w:rPr>
        <w:t> </w:t>
      </w:r>
      <w:r>
        <w:rPr>
          <w:color w:val="231F20"/>
        </w:rPr>
        <w:t>example,</w:t>
      </w:r>
      <w:r>
        <w:rPr>
          <w:color w:val="231F20"/>
          <w:spacing w:val="9"/>
        </w:rPr>
        <w:t> </w:t>
      </w:r>
      <w:r>
        <w:rPr>
          <w:rFonts w:ascii="Arial"/>
          <w:color w:val="231F20"/>
        </w:rPr>
        <w:t>NT Cache Details </w:t>
      </w:r>
      <w:r>
        <w:rPr>
          <w:rFonts w:ascii="Arial"/>
          <w:color w:val="231F20"/>
          <w:w w:val="120"/>
        </w:rPr>
        <w:t>-</w:t>
      </w:r>
      <w:r>
        <w:rPr>
          <w:rFonts w:ascii="Arial"/>
          <w:color w:val="231F20"/>
          <w:spacing w:val="-8"/>
          <w:w w:val="120"/>
        </w:rPr>
        <w:t> </w:t>
      </w:r>
      <w:r>
        <w:rPr>
          <w:rFonts w:ascii="Arial"/>
          <w:color w:val="231F20"/>
        </w:rPr>
        <w:t>mars:14000 </w:t>
      </w:r>
      <w:r>
        <w:rPr>
          <w:rFonts w:ascii="Arial"/>
          <w:color w:val="231F20"/>
          <w:w w:val="120"/>
        </w:rPr>
        <w:t>-</w:t>
      </w:r>
      <w:r>
        <w:rPr>
          <w:rFonts w:ascii="Arial"/>
          <w:color w:val="231F20"/>
          <w:spacing w:val="-8"/>
          <w:w w:val="120"/>
        </w:rPr>
        <w:t> </w:t>
      </w:r>
      <w:r>
        <w:rPr>
          <w:rFonts w:ascii="Arial"/>
          <w:color w:val="231F20"/>
        </w:rPr>
        <w:t>JONDO </w:t>
      </w:r>
      <w:r>
        <w:rPr>
          <w:color w:val="231F20"/>
        </w:rPr>
        <w:t>tells</w:t>
      </w:r>
      <w:r>
        <w:rPr>
          <w:color w:val="231F20"/>
          <w:spacing w:val="9"/>
        </w:rPr>
        <w:t> </w:t>
      </w:r>
      <w:r>
        <w:rPr>
          <w:color w:val="231F20"/>
        </w:rPr>
        <w:t>us</w:t>
      </w:r>
      <w:r>
        <w:rPr>
          <w:color w:val="231F20"/>
          <w:spacing w:val="9"/>
        </w:rPr>
        <w:t> </w:t>
      </w:r>
      <w:r>
        <w:rPr>
          <w:color w:val="231F20"/>
        </w:rPr>
        <w:t>that</w:t>
      </w:r>
      <w:r>
        <w:rPr>
          <w:color w:val="231F20"/>
          <w:spacing w:val="9"/>
        </w:rPr>
        <w:t> </w:t>
      </w:r>
      <w:r>
        <w:rPr>
          <w:color w:val="231F20"/>
        </w:rPr>
        <w:t>the</w:t>
      </w:r>
      <w:r>
        <w:rPr>
          <w:color w:val="231F20"/>
          <w:spacing w:val="9"/>
        </w:rPr>
        <w:t> </w:t>
      </w:r>
      <w:r>
        <w:rPr>
          <w:color w:val="231F20"/>
        </w:rPr>
        <w:t>NT Cache Details workspace is open and the user JONDO is connected to the Tivoli Enterprise Portal Server named mars through port number 14000.</w:t>
      </w:r>
    </w:p>
    <w:p>
      <w:pPr>
        <w:pStyle w:val="Heading6"/>
        <w:spacing w:line="240" w:lineRule="auto" w:before="115"/>
      </w:pPr>
      <w:r>
        <w:rPr>
          <w:color w:val="231F20"/>
          <w:spacing w:val="-2"/>
        </w:rPr>
        <w:t>Banner</w:t>
      </w:r>
    </w:p>
    <w:p>
      <w:pPr>
        <w:pStyle w:val="BodyText"/>
        <w:spacing w:line="213" w:lineRule="auto" w:before="120"/>
        <w:ind w:left="3190" w:right="385"/>
      </w:pPr>
      <w:r>
        <w:rPr>
          <w:color w:val="231F20"/>
        </w:rPr>
        <w:t>The banner is displayed when you run Tivoli Enterprise Portal in </w:t>
      </w:r>
      <w:r>
        <w:rPr>
          <w:color w:val="231F20"/>
        </w:rPr>
        <w:t>browser mode. You can replace it with your own .GIF graphic, such as your company logo. For more information, see the </w:t>
      </w:r>
      <w:r>
        <w:rPr>
          <w:rFonts w:ascii="Book Antiqua"/>
          <w:i/>
          <w:color w:val="231F20"/>
        </w:rPr>
        <w:t>IBM Tivoli Monitoring</w:t>
      </w:r>
      <w:r>
        <w:rPr>
          <w:rFonts w:ascii="Book Antiqua"/>
          <w:i/>
          <w:color w:val="231F20"/>
        </w:rPr>
        <w:t> Administrator's Guide</w:t>
      </w:r>
      <w:r>
        <w:rPr>
          <w:color w:val="231F20"/>
        </w:rPr>
        <w:t>.</w:t>
      </w:r>
    </w:p>
    <w:p>
      <w:pPr>
        <w:pStyle w:val="Heading6"/>
        <w:spacing w:line="240" w:lineRule="auto" w:before="115"/>
      </w:pPr>
      <w:r>
        <w:rPr>
          <w:color w:val="231F20"/>
        </w:rPr>
        <w:t>Menu</w:t>
      </w:r>
      <w:r>
        <w:rPr>
          <w:color w:val="231F20"/>
          <w:spacing w:val="10"/>
        </w:rPr>
        <w:t> </w:t>
      </w:r>
      <w:r>
        <w:rPr>
          <w:color w:val="231F20"/>
          <w:spacing w:val="-5"/>
        </w:rPr>
        <w:t>bar</w:t>
      </w:r>
    </w:p>
    <w:p>
      <w:pPr>
        <w:pStyle w:val="BodyText"/>
        <w:spacing w:line="213" w:lineRule="auto" w:before="120"/>
        <w:ind w:left="3190" w:right="545"/>
      </w:pPr>
      <w:r>
        <w:rPr>
          <w:color w:val="231F20"/>
        </w:rPr>
        <w:t>Tivoli Enterprise Portal has a menu bar that includes the following </w:t>
      </w:r>
      <w:r>
        <w:rPr>
          <w:color w:val="231F20"/>
        </w:rPr>
        <w:t>four </w:t>
      </w:r>
      <w:r>
        <w:rPr>
          <w:color w:val="231F20"/>
          <w:spacing w:val="-2"/>
        </w:rPr>
        <w:t>menus:</w:t>
      </w:r>
    </w:p>
    <w:p>
      <w:pPr>
        <w:pStyle w:val="BodyText"/>
        <w:tabs>
          <w:tab w:pos="3909" w:val="left" w:leader="none"/>
        </w:tabs>
        <w:spacing w:line="213" w:lineRule="auto" w:before="118"/>
        <w:ind w:left="3909" w:right="379" w:hanging="719"/>
      </w:pPr>
      <w:r>
        <w:rPr>
          <w:rFonts w:ascii="Book Antiqua"/>
          <w:b/>
          <w:color w:val="231F20"/>
          <w:spacing w:val="-4"/>
        </w:rPr>
        <w:t>File</w:t>
      </w:r>
      <w:r>
        <w:rPr>
          <w:rFonts w:ascii="Book Antiqua"/>
          <w:b/>
          <w:color w:val="231F20"/>
        </w:rPr>
        <w:tab/>
      </w:r>
      <w:r>
        <w:rPr>
          <w:color w:val="231F20"/>
        </w:rPr>
        <w:t>The File menu has options for working with workspaces, setting </w:t>
      </w:r>
      <w:r>
        <w:rPr>
          <w:color w:val="231F20"/>
        </w:rPr>
        <w:t>a trace, and exiting the Tivoli Enterprise Portal. The Trace Options are used only as instructed by a IBM customer support </w:t>
      </w:r>
      <w:r>
        <w:rPr>
          <w:color w:val="231F20"/>
          <w:spacing w:val="-2"/>
        </w:rPr>
        <w:t>representative.</w:t>
      </w:r>
    </w:p>
    <w:p>
      <w:pPr>
        <w:pStyle w:val="BodyText"/>
        <w:tabs>
          <w:tab w:pos="3909" w:val="left" w:leader="none"/>
        </w:tabs>
        <w:spacing w:line="213" w:lineRule="auto" w:before="117"/>
        <w:ind w:left="3909" w:right="603" w:hanging="719"/>
      </w:pPr>
      <w:r>
        <w:rPr>
          <w:rFonts w:ascii="Book Antiqua"/>
          <w:b/>
          <w:color w:val="231F20"/>
          <w:spacing w:val="-4"/>
        </w:rPr>
        <w:t>Edit</w:t>
      </w:r>
      <w:r>
        <w:rPr>
          <w:rFonts w:ascii="Book Antiqua"/>
          <w:b/>
          <w:color w:val="231F20"/>
        </w:rPr>
        <w:tab/>
      </w:r>
      <w:r>
        <w:rPr>
          <w:color w:val="231F20"/>
        </w:rPr>
        <w:t>The Edit menu has editing options for workspace properties, historical data collection configuration, policies, situations, </w:t>
      </w:r>
      <w:r>
        <w:rPr>
          <w:color w:val="231F20"/>
        </w:rPr>
        <w:t>user IDs, queries, and object groups.</w:t>
      </w:r>
    </w:p>
    <w:p>
      <w:pPr>
        <w:pStyle w:val="BodyText"/>
        <w:tabs>
          <w:tab w:pos="3909" w:val="left" w:leader="none"/>
        </w:tabs>
        <w:spacing w:line="213" w:lineRule="auto" w:before="118"/>
        <w:ind w:left="3909" w:right="258" w:hanging="719"/>
      </w:pPr>
      <w:r>
        <w:rPr>
          <w:rFonts w:ascii="Book Antiqua"/>
          <w:b/>
          <w:color w:val="231F20"/>
          <w:spacing w:val="-4"/>
        </w:rPr>
        <w:t>View</w:t>
      </w:r>
      <w:r>
        <w:rPr>
          <w:rFonts w:ascii="Book Antiqua"/>
          <w:b/>
          <w:color w:val="231F20"/>
        </w:rPr>
        <w:tab/>
      </w:r>
      <w:r>
        <w:rPr>
          <w:color w:val="231F20"/>
        </w:rPr>
        <w:t>The View menu has options for opening other workspaces for a Navigator item, hiding or showing the toolbars and status bar, refreshing the data in this workspace, turning off sound for </w:t>
      </w:r>
      <w:r>
        <w:rPr>
          <w:color w:val="231F20"/>
        </w:rPr>
        <w:t>events, and for opening other Navigator views.</w:t>
      </w:r>
    </w:p>
    <w:p>
      <w:pPr>
        <w:pStyle w:val="BodyText"/>
        <w:tabs>
          <w:tab w:pos="3909" w:val="left" w:leader="none"/>
        </w:tabs>
        <w:spacing w:line="255" w:lineRule="exact" w:before="94"/>
        <w:ind w:left="3190"/>
      </w:pPr>
      <w:r>
        <w:rPr>
          <w:rFonts w:ascii="Book Antiqua"/>
          <w:b/>
          <w:color w:val="231F20"/>
          <w:spacing w:val="-4"/>
        </w:rPr>
        <w:t>Help</w:t>
      </w:r>
      <w:r>
        <w:rPr>
          <w:rFonts w:ascii="Book Antiqua"/>
          <w:b/>
          <w:color w:val="231F20"/>
        </w:rPr>
        <w:tab/>
      </w:r>
      <w:r>
        <w:rPr>
          <w:color w:val="231F20"/>
        </w:rPr>
        <w:t>The</w:t>
      </w:r>
      <w:r>
        <w:rPr>
          <w:color w:val="231F20"/>
          <w:spacing w:val="9"/>
        </w:rPr>
        <w:t> </w:t>
      </w:r>
      <w:r>
        <w:rPr>
          <w:color w:val="231F20"/>
        </w:rPr>
        <w:t>Help</w:t>
      </w:r>
      <w:r>
        <w:rPr>
          <w:color w:val="231F20"/>
          <w:spacing w:val="10"/>
        </w:rPr>
        <w:t> </w:t>
      </w:r>
      <w:r>
        <w:rPr>
          <w:color w:val="231F20"/>
        </w:rPr>
        <w:t>menu</w:t>
      </w:r>
      <w:r>
        <w:rPr>
          <w:color w:val="231F20"/>
          <w:spacing w:val="10"/>
        </w:rPr>
        <w:t> </w:t>
      </w:r>
      <w:r>
        <w:rPr>
          <w:color w:val="231F20"/>
        </w:rPr>
        <w:t>opens</w:t>
      </w:r>
      <w:r>
        <w:rPr>
          <w:color w:val="231F20"/>
          <w:spacing w:val="9"/>
        </w:rPr>
        <w:t> </w:t>
      </w:r>
      <w:r>
        <w:rPr>
          <w:color w:val="231F20"/>
        </w:rPr>
        <w:t>the</w:t>
      </w:r>
      <w:r>
        <w:rPr>
          <w:color w:val="231F20"/>
          <w:spacing w:val="10"/>
        </w:rPr>
        <w:t> </w:t>
      </w:r>
      <w:r>
        <w:rPr>
          <w:color w:val="231F20"/>
        </w:rPr>
        <w:t>Tivoli</w:t>
      </w:r>
      <w:r>
        <w:rPr>
          <w:color w:val="231F20"/>
          <w:spacing w:val="10"/>
        </w:rPr>
        <w:t> </w:t>
      </w:r>
      <w:r>
        <w:rPr>
          <w:color w:val="231F20"/>
        </w:rPr>
        <w:t>Enterprise</w:t>
      </w:r>
      <w:r>
        <w:rPr>
          <w:color w:val="231F20"/>
          <w:spacing w:val="10"/>
        </w:rPr>
        <w:t> </w:t>
      </w:r>
      <w:r>
        <w:rPr>
          <w:color w:val="231F20"/>
        </w:rPr>
        <w:t>Portal</w:t>
      </w:r>
      <w:r>
        <w:rPr>
          <w:color w:val="231F20"/>
          <w:spacing w:val="9"/>
        </w:rPr>
        <w:t> </w:t>
      </w:r>
      <w:r>
        <w:rPr>
          <w:color w:val="231F20"/>
        </w:rPr>
        <w:t>Help,</w:t>
      </w:r>
      <w:r>
        <w:rPr>
          <w:color w:val="231F20"/>
          <w:spacing w:val="10"/>
        </w:rPr>
        <w:t> </w:t>
      </w:r>
      <w:r>
        <w:rPr>
          <w:color w:val="231F20"/>
          <w:spacing w:val="-10"/>
        </w:rPr>
        <w:t>a</w:t>
      </w:r>
    </w:p>
    <w:p>
      <w:pPr>
        <w:pStyle w:val="BodyText"/>
        <w:spacing w:line="213" w:lineRule="auto" w:before="8"/>
        <w:ind w:left="3909" w:right="258"/>
      </w:pPr>
      <w:r>
        <w:rPr>
          <w:color w:val="231F20"/>
        </w:rPr>
        <w:t>10-minute tour to give you some hands-on experience, and links </w:t>
      </w:r>
      <w:r>
        <w:rPr>
          <w:color w:val="231F20"/>
        </w:rPr>
        <w:t>to</w:t>
      </w:r>
      <w:r>
        <w:rPr>
          <w:color w:val="231F20"/>
        </w:rPr>
        <w:t> the IBM website.</w:t>
      </w:r>
    </w:p>
    <w:p>
      <w:pPr>
        <w:pStyle w:val="BodyText"/>
        <w:spacing w:line="213" w:lineRule="auto" w:before="118"/>
        <w:ind w:left="3190" w:right="493"/>
      </w:pPr>
      <w:r>
        <w:rPr>
          <w:color w:val="231F20"/>
        </w:rPr>
        <w:t>Also available are menus that open when you right-click an item in </w:t>
      </w:r>
      <w:r>
        <w:rPr>
          <w:color w:val="231F20"/>
        </w:rPr>
        <w:t>the Navigator or a view in the workspace.</w:t>
      </w:r>
    </w:p>
    <w:p>
      <w:pPr>
        <w:spacing w:after="0" w:line="213" w:lineRule="auto"/>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10"/>
      </w:pPr>
    </w:p>
    <w:p>
      <w:pPr>
        <w:pStyle w:val="Heading6"/>
        <w:spacing w:line="240" w:lineRule="auto" w:before="0"/>
        <w:ind w:left="0"/>
        <w:jc w:val="right"/>
      </w:pPr>
      <w:bookmarkStart w:name="_bookmark4" w:id="12"/>
      <w:bookmarkEnd w:id="12"/>
      <w:r>
        <w:rPr>
          <w:b w:val="0"/>
        </w:rPr>
      </w:r>
      <w:r>
        <w:rPr>
          <w:color w:val="231F20"/>
          <w:spacing w:val="-2"/>
        </w:rPr>
        <w:t>Toolbar</w:t>
      </w:r>
    </w:p>
    <w:p>
      <w:pPr>
        <w:pStyle w:val="BodyText"/>
        <w:spacing w:line="213" w:lineRule="auto" w:before="85"/>
        <w:ind w:right="522"/>
      </w:pPr>
      <w:r>
        <w:rPr/>
        <w:br w:type="column"/>
      </w:r>
      <w:r>
        <w:rPr>
          <w:color w:val="231F20"/>
        </w:rPr>
        <w:t>In browser mode you can also use the browser menu bar, which </w:t>
      </w:r>
      <w:r>
        <w:rPr>
          <w:color w:val="231F20"/>
        </w:rPr>
        <w:t>is displayed just below the title bar.</w:t>
      </w:r>
    </w:p>
    <w:p>
      <w:pPr>
        <w:pStyle w:val="BodyText"/>
        <w:spacing w:line="213" w:lineRule="auto" w:before="118"/>
        <w:ind w:right="522"/>
      </w:pPr>
      <w:r>
        <w:rPr>
          <w:color w:val="231F20"/>
        </w:rPr>
        <w:t>If your user ID does not have View or Modify permission for a function </w:t>
      </w:r>
      <w:r>
        <w:rPr>
          <w:color w:val="231F20"/>
        </w:rPr>
        <w:t>or does</w:t>
      </w:r>
      <w:r>
        <w:rPr>
          <w:color w:val="231F20"/>
          <w:spacing w:val="29"/>
        </w:rPr>
        <w:t> </w:t>
      </w:r>
      <w:r>
        <w:rPr>
          <w:color w:val="231F20"/>
        </w:rPr>
        <w:t>not</w:t>
      </w:r>
      <w:r>
        <w:rPr>
          <w:color w:val="231F20"/>
          <w:spacing w:val="29"/>
        </w:rPr>
        <w:t> </w:t>
      </w:r>
      <w:r>
        <w:rPr>
          <w:color w:val="231F20"/>
        </w:rPr>
        <w:t>have</w:t>
      </w:r>
      <w:r>
        <w:rPr>
          <w:color w:val="231F20"/>
          <w:spacing w:val="29"/>
        </w:rPr>
        <w:t> </w:t>
      </w:r>
      <w:r>
        <w:rPr>
          <w:color w:val="231F20"/>
        </w:rPr>
        <w:t>Workspace Author</w:t>
      </w:r>
      <w:r>
        <w:rPr>
          <w:color w:val="231F20"/>
          <w:spacing w:val="29"/>
        </w:rPr>
        <w:t> </w:t>
      </w:r>
      <w:r>
        <w:rPr>
          <w:color w:val="231F20"/>
        </w:rPr>
        <w:t>Mode</w:t>
      </w:r>
      <w:r>
        <w:rPr>
          <w:color w:val="231F20"/>
          <w:spacing w:val="29"/>
        </w:rPr>
        <w:t> </w:t>
      </w:r>
      <w:r>
        <w:rPr>
          <w:color w:val="231F20"/>
        </w:rPr>
        <w:t>permission,</w:t>
      </w:r>
      <w:r>
        <w:rPr>
          <w:color w:val="231F20"/>
          <w:spacing w:val="29"/>
        </w:rPr>
        <w:t> </w:t>
      </w:r>
      <w:r>
        <w:rPr>
          <w:color w:val="231F20"/>
        </w:rPr>
        <w:t>you</w:t>
      </w:r>
      <w:r>
        <w:rPr>
          <w:color w:val="231F20"/>
          <w:spacing w:val="29"/>
        </w:rPr>
        <w:t> </w:t>
      </w:r>
      <w:r>
        <w:rPr>
          <w:color w:val="231F20"/>
        </w:rPr>
        <w:t>will</w:t>
      </w:r>
      <w:r>
        <w:rPr>
          <w:color w:val="231F20"/>
          <w:spacing w:val="29"/>
        </w:rPr>
        <w:t> </w:t>
      </w:r>
      <w:r>
        <w:rPr>
          <w:color w:val="231F20"/>
        </w:rPr>
        <w:t>not</w:t>
      </w:r>
      <w:r>
        <w:rPr>
          <w:color w:val="231F20"/>
          <w:spacing w:val="29"/>
        </w:rPr>
        <w:t> </w:t>
      </w:r>
      <w:r>
        <w:rPr>
          <w:color w:val="231F20"/>
        </w:rPr>
        <w:t>see certain items in the menus, including the pop-up menus. For example, if</w:t>
      </w:r>
      <w:r>
        <w:rPr>
          <w:color w:val="231F20"/>
          <w:spacing w:val="40"/>
        </w:rPr>
        <w:t> </w:t>
      </w:r>
      <w:r>
        <w:rPr>
          <w:color w:val="231F20"/>
        </w:rPr>
        <w:t>you have no Workspace Author Mode permission, the </w:t>
      </w:r>
      <w:r>
        <w:rPr>
          <w:rFonts w:ascii="Book Antiqua"/>
          <w:b/>
          <w:color w:val="231F20"/>
        </w:rPr>
        <w:t>Properties </w:t>
      </w:r>
      <w:r>
        <w:rPr>
          <w:color w:val="231F20"/>
        </w:rPr>
        <w:t>menu</w:t>
      </w:r>
      <w:r>
        <w:rPr>
          <w:color w:val="231F20"/>
          <w:spacing w:val="40"/>
        </w:rPr>
        <w:t> </w:t>
      </w:r>
      <w:r>
        <w:rPr>
          <w:color w:val="231F20"/>
        </w:rPr>
        <w:t>item is not displayed.</w:t>
      </w:r>
    </w:p>
    <w:p>
      <w:pPr>
        <w:pStyle w:val="BodyText"/>
        <w:spacing w:before="206"/>
      </w:pPr>
    </w:p>
    <w:p>
      <w:pPr>
        <w:pStyle w:val="BodyText"/>
        <w:spacing w:line="213" w:lineRule="auto"/>
        <w:ind w:right="522"/>
      </w:pPr>
      <w:r>
        <w:rPr>
          <w:color w:val="231F20"/>
        </w:rPr>
        <w:t>Your user ID requires Workspace Author Mode permission to create </w:t>
      </w:r>
      <w:r>
        <w:rPr>
          <w:color w:val="231F20"/>
        </w:rPr>
        <w:t>and maintain workspaces, including links.</w:t>
      </w:r>
    </w:p>
    <w:p>
      <w:pPr>
        <w:pStyle w:val="BodyText"/>
        <w:spacing w:before="95"/>
      </w:pPr>
      <w:r>
        <w:rPr>
          <w:color w:val="231F20"/>
        </w:rPr>
        <w:t>The</w:t>
      </w:r>
      <w:r>
        <w:rPr>
          <w:color w:val="231F20"/>
          <w:spacing w:val="12"/>
        </w:rPr>
        <w:t> </w:t>
      </w:r>
      <w:r>
        <w:rPr>
          <w:color w:val="231F20"/>
        </w:rPr>
        <w:t>toolbar</w:t>
      </w:r>
      <w:r>
        <w:rPr>
          <w:color w:val="231F20"/>
          <w:spacing w:val="12"/>
        </w:rPr>
        <w:t> </w:t>
      </w:r>
      <w:r>
        <w:rPr>
          <w:color w:val="231F20"/>
        </w:rPr>
        <w:t>has</w:t>
      </w:r>
      <w:r>
        <w:rPr>
          <w:color w:val="231F20"/>
          <w:spacing w:val="12"/>
        </w:rPr>
        <w:t> </w:t>
      </w:r>
      <w:r>
        <w:rPr>
          <w:color w:val="231F20"/>
        </w:rPr>
        <w:t>four</w:t>
      </w:r>
      <w:r>
        <w:rPr>
          <w:color w:val="231F20"/>
          <w:spacing w:val="12"/>
        </w:rPr>
        <w:t> </w:t>
      </w:r>
      <w:r>
        <w:rPr>
          <w:color w:val="231F20"/>
        </w:rPr>
        <w:t>tool</w:t>
      </w:r>
      <w:r>
        <w:rPr>
          <w:color w:val="231F20"/>
          <w:spacing w:val="12"/>
        </w:rPr>
        <w:t> </w:t>
      </w:r>
      <w:r>
        <w:rPr>
          <w:color w:val="231F20"/>
          <w:spacing w:val="-2"/>
        </w:rPr>
        <w:t>groupings:</w:t>
      </w:r>
    </w:p>
    <w:p>
      <w:pPr>
        <w:spacing w:after="0"/>
        <w:sectPr>
          <w:pgSz w:w="12240" w:h="15840"/>
          <w:pgMar w:header="0" w:footer="736" w:top="1180" w:bottom="920" w:left="1000" w:right="1060"/>
          <w:cols w:num="2" w:equalWidth="0">
            <w:col w:w="2932" w:space="19"/>
            <w:col w:w="7229"/>
          </w:cols>
        </w:sectPr>
      </w:pPr>
    </w:p>
    <w:p>
      <w:pPr>
        <w:pStyle w:val="BodyText"/>
        <w:spacing w:before="111"/>
        <w:rPr>
          <w:sz w:val="18"/>
        </w:rPr>
      </w:pPr>
    </w:p>
    <w:p>
      <w:pPr>
        <w:spacing w:line="216" w:lineRule="auto" w:before="0"/>
        <w:ind w:left="3061" w:right="603" w:firstLine="0"/>
        <w:jc w:val="left"/>
        <w:rPr>
          <w:sz w:val="18"/>
        </w:rPr>
      </w:pPr>
      <w:r>
        <w:rPr/>
        <w:drawing>
          <wp:anchor distT="0" distB="0" distL="0" distR="0" allowOverlap="1" layoutInCell="1" locked="0" behindDoc="0" simplePos="0" relativeHeight="15733760">
            <wp:simplePos x="0" y="0"/>
            <wp:positionH relativeFrom="page">
              <wp:posOffset>2059213</wp:posOffset>
            </wp:positionH>
            <wp:positionV relativeFrom="paragraph">
              <wp:posOffset>76259</wp:posOffset>
            </wp:positionV>
            <wp:extent cx="95250" cy="9525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2220695</wp:posOffset>
            </wp:positionH>
            <wp:positionV relativeFrom="paragraph">
              <wp:posOffset>89024</wp:posOffset>
            </wp:positionV>
            <wp:extent cx="31750" cy="1905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31750" cy="19050"/>
                    </a:xfrm>
                    <a:prstGeom prst="rect">
                      <a:avLst/>
                    </a:prstGeom>
                  </pic:spPr>
                </pic:pic>
              </a:graphicData>
            </a:graphic>
          </wp:anchor>
        </w:drawing>
      </w:r>
      <w:r>
        <w:rPr>
          <w:color w:val="231F20"/>
          <w:sz w:val="18"/>
        </w:rPr>
        <w:t>Returns to the previous workspace. Click the list button to see and select from a history of workspaces as they were opened. The selected workspace refreshes with the most recent sampling data from the agent. This icon is not available in browser mode. Use the </w:t>
      </w:r>
      <w:r>
        <w:rPr>
          <w:rFonts w:ascii="Book Antiqua"/>
          <w:b/>
          <w:color w:val="231F20"/>
          <w:sz w:val="18"/>
        </w:rPr>
        <w:t>Back </w:t>
      </w:r>
      <w:r>
        <w:rPr>
          <w:color w:val="231F20"/>
          <w:sz w:val="18"/>
        </w:rPr>
        <w:t>tool in your browser instead.</w:t>
      </w:r>
    </w:p>
    <w:p>
      <w:pPr>
        <w:spacing w:line="216" w:lineRule="auto" w:before="203"/>
        <w:ind w:left="3061" w:right="488" w:firstLine="0"/>
        <w:jc w:val="left"/>
        <w:rPr>
          <w:sz w:val="18"/>
        </w:rPr>
      </w:pPr>
      <w:r>
        <w:rPr/>
        <w:drawing>
          <wp:anchor distT="0" distB="0" distL="0" distR="0" allowOverlap="1" layoutInCell="1" locked="0" behindDoc="0" simplePos="0" relativeHeight="15734784">
            <wp:simplePos x="0" y="0"/>
            <wp:positionH relativeFrom="page">
              <wp:posOffset>2059213</wp:posOffset>
            </wp:positionH>
            <wp:positionV relativeFrom="paragraph">
              <wp:posOffset>205303</wp:posOffset>
            </wp:positionV>
            <wp:extent cx="95250" cy="95250"/>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2220695</wp:posOffset>
            </wp:positionH>
            <wp:positionV relativeFrom="paragraph">
              <wp:posOffset>218067</wp:posOffset>
            </wp:positionV>
            <wp:extent cx="31750" cy="1905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31750" cy="19050"/>
                    </a:xfrm>
                    <a:prstGeom prst="rect">
                      <a:avLst/>
                    </a:prstGeom>
                  </pic:spPr>
                </pic:pic>
              </a:graphicData>
            </a:graphic>
          </wp:anchor>
        </w:drawing>
      </w:r>
      <w:r>
        <w:rPr>
          <w:color w:val="231F20"/>
          <w:sz w:val="18"/>
        </w:rPr>
        <w:t>Moves</w:t>
      </w:r>
      <w:r>
        <w:rPr>
          <w:color w:val="231F20"/>
          <w:spacing w:val="10"/>
          <w:sz w:val="18"/>
        </w:rPr>
        <w:t> </w:t>
      </w:r>
      <w:r>
        <w:rPr>
          <w:color w:val="231F20"/>
          <w:sz w:val="18"/>
        </w:rPr>
        <w:t>forward</w:t>
      </w:r>
      <w:r>
        <w:rPr>
          <w:color w:val="231F20"/>
          <w:spacing w:val="10"/>
          <w:sz w:val="18"/>
        </w:rPr>
        <w:t> </w:t>
      </w:r>
      <w:r>
        <w:rPr>
          <w:color w:val="231F20"/>
          <w:sz w:val="18"/>
        </w:rPr>
        <w:t>to</w:t>
      </w:r>
      <w:r>
        <w:rPr>
          <w:color w:val="231F20"/>
          <w:spacing w:val="10"/>
          <w:sz w:val="18"/>
        </w:rPr>
        <w:t> </w:t>
      </w:r>
      <w:r>
        <w:rPr>
          <w:color w:val="231F20"/>
          <w:sz w:val="18"/>
        </w:rPr>
        <w:t>the</w:t>
      </w:r>
      <w:r>
        <w:rPr>
          <w:color w:val="231F20"/>
          <w:spacing w:val="10"/>
          <w:sz w:val="18"/>
        </w:rPr>
        <w:t> </w:t>
      </w:r>
      <w:r>
        <w:rPr>
          <w:color w:val="231F20"/>
          <w:sz w:val="18"/>
        </w:rPr>
        <w:t>next</w:t>
      </w:r>
      <w:r>
        <w:rPr>
          <w:color w:val="231F20"/>
          <w:spacing w:val="10"/>
          <w:sz w:val="18"/>
        </w:rPr>
        <w:t> </w:t>
      </w:r>
      <w:r>
        <w:rPr>
          <w:color w:val="231F20"/>
          <w:sz w:val="18"/>
        </w:rPr>
        <w:t>workspace.</w:t>
      </w:r>
      <w:r>
        <w:rPr>
          <w:color w:val="231F20"/>
          <w:spacing w:val="10"/>
          <w:sz w:val="18"/>
        </w:rPr>
        <w:t> </w:t>
      </w:r>
      <w:r>
        <w:rPr>
          <w:color w:val="231F20"/>
          <w:sz w:val="18"/>
        </w:rPr>
        <w:t>Click</w:t>
      </w:r>
      <w:r>
        <w:rPr>
          <w:color w:val="231F20"/>
          <w:spacing w:val="10"/>
          <w:sz w:val="18"/>
        </w:rPr>
        <w:t> </w:t>
      </w:r>
      <w:r>
        <w:rPr>
          <w:color w:val="231F20"/>
          <w:sz w:val="18"/>
        </w:rPr>
        <w:t>the</w:t>
      </w:r>
      <w:r>
        <w:rPr>
          <w:color w:val="231F20"/>
          <w:spacing w:val="10"/>
          <w:sz w:val="18"/>
        </w:rPr>
        <w:t> </w:t>
      </w:r>
      <w:r>
        <w:rPr>
          <w:color w:val="231F20"/>
          <w:sz w:val="18"/>
        </w:rPr>
        <w:t>list</w:t>
      </w:r>
      <w:r>
        <w:rPr>
          <w:color w:val="231F20"/>
          <w:spacing w:val="10"/>
          <w:sz w:val="18"/>
        </w:rPr>
        <w:t> </w:t>
      </w:r>
      <w:r>
        <w:rPr>
          <w:color w:val="231F20"/>
          <w:sz w:val="18"/>
        </w:rPr>
        <w:t>button</w:t>
      </w:r>
      <w:r>
        <w:rPr>
          <w:color w:val="231F20"/>
          <w:spacing w:val="10"/>
          <w:sz w:val="18"/>
        </w:rPr>
        <w:t> </w:t>
      </w:r>
      <w:r>
        <w:rPr>
          <w:color w:val="231F20"/>
          <w:sz w:val="18"/>
        </w:rPr>
        <w:t>to</w:t>
      </w:r>
      <w:r>
        <w:rPr>
          <w:color w:val="231F20"/>
          <w:spacing w:val="10"/>
          <w:sz w:val="18"/>
        </w:rPr>
        <w:t> </w:t>
      </w:r>
      <w:r>
        <w:rPr>
          <w:color w:val="231F20"/>
          <w:sz w:val="18"/>
        </w:rPr>
        <w:t>see</w:t>
      </w:r>
      <w:r>
        <w:rPr>
          <w:color w:val="231F20"/>
          <w:spacing w:val="10"/>
          <w:sz w:val="18"/>
        </w:rPr>
        <w:t> </w:t>
      </w:r>
      <w:r>
        <w:rPr>
          <w:color w:val="231F20"/>
          <w:sz w:val="18"/>
        </w:rPr>
        <w:t>and</w:t>
      </w:r>
      <w:r>
        <w:rPr>
          <w:color w:val="231F20"/>
          <w:spacing w:val="10"/>
          <w:sz w:val="18"/>
        </w:rPr>
        <w:t> </w:t>
      </w:r>
      <w:r>
        <w:rPr>
          <w:color w:val="231F20"/>
          <w:sz w:val="18"/>
        </w:rPr>
        <w:t>select</w:t>
      </w:r>
      <w:r>
        <w:rPr>
          <w:color w:val="231F20"/>
          <w:spacing w:val="10"/>
          <w:sz w:val="18"/>
        </w:rPr>
        <w:t> </w:t>
      </w:r>
      <w:r>
        <w:rPr>
          <w:color w:val="231F20"/>
          <w:sz w:val="18"/>
        </w:rPr>
        <w:t>from a history of workspaces that were opened after this one. The selected workspace refreshes with the most recent sampling data from the agent. This icon is not available in browser mode. Use the </w:t>
      </w:r>
      <w:r>
        <w:rPr>
          <w:rFonts w:ascii="Book Antiqua"/>
          <w:b/>
          <w:color w:val="231F20"/>
          <w:sz w:val="18"/>
        </w:rPr>
        <w:t>Forward </w:t>
      </w:r>
      <w:r>
        <w:rPr>
          <w:color w:val="231F20"/>
          <w:sz w:val="18"/>
        </w:rPr>
        <w:t>tool in your browser instead.</w:t>
      </w:r>
    </w:p>
    <w:p>
      <w:pPr>
        <w:spacing w:line="216" w:lineRule="auto" w:before="203"/>
        <w:ind w:left="3061" w:right="493" w:firstLine="0"/>
        <w:jc w:val="left"/>
        <w:rPr>
          <w:sz w:val="18"/>
        </w:rPr>
      </w:pPr>
      <w:r>
        <w:rPr/>
        <w:drawing>
          <wp:anchor distT="0" distB="0" distL="0" distR="0" allowOverlap="1" layoutInCell="1" locked="0" behindDoc="0" simplePos="0" relativeHeight="15735808">
            <wp:simplePos x="0" y="0"/>
            <wp:positionH relativeFrom="page">
              <wp:posOffset>2059213</wp:posOffset>
            </wp:positionH>
            <wp:positionV relativeFrom="paragraph">
              <wp:posOffset>161111</wp:posOffset>
            </wp:positionV>
            <wp:extent cx="95250" cy="10160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6" cstate="print"/>
                    <a:stretch>
                      <a:fillRect/>
                    </a:stretch>
                  </pic:blipFill>
                  <pic:spPr>
                    <a:xfrm>
                      <a:off x="0" y="0"/>
                      <a:ext cx="95250" cy="101600"/>
                    </a:xfrm>
                    <a:prstGeom prst="rect">
                      <a:avLst/>
                    </a:prstGeom>
                  </pic:spPr>
                </pic:pic>
              </a:graphicData>
            </a:graphic>
          </wp:anchor>
        </w:drawing>
      </w:r>
      <w:r>
        <w:rPr>
          <w:color w:val="231F20"/>
          <w:sz w:val="18"/>
        </w:rPr>
        <w:t>Desktop mode only: Opens a new Tivoli Enterprise Portal window. Keyboard shortcut: Ctrl + N.</w:t>
      </w:r>
    </w:p>
    <w:p>
      <w:pPr>
        <w:spacing w:line="216" w:lineRule="auto" w:before="182"/>
        <w:ind w:left="3061" w:right="652" w:firstLine="0"/>
        <w:jc w:val="both"/>
        <w:rPr>
          <w:sz w:val="18"/>
        </w:rPr>
      </w:pPr>
      <w:r>
        <w:rPr>
          <w:color w:val="231F20"/>
          <w:sz w:val="18"/>
        </w:rPr>
        <w:t>If you are using the Tivoli Enterprise Portal browser client, you can also open a new window using the browser's </w:t>
      </w:r>
      <w:r>
        <w:rPr>
          <w:rFonts w:ascii="Book Antiqua"/>
          <w:b/>
          <w:color w:val="231F20"/>
          <w:sz w:val="18"/>
        </w:rPr>
        <w:t>File &gt; New Window </w:t>
      </w:r>
      <w:r>
        <w:rPr>
          <w:color w:val="231F20"/>
          <w:sz w:val="18"/>
        </w:rPr>
        <w:t>menu option. Keyboard shortcut: Ctrl + N.</w:t>
      </w:r>
    </w:p>
    <w:p>
      <w:pPr>
        <w:spacing w:line="216" w:lineRule="auto" w:before="202"/>
        <w:ind w:left="3061" w:right="0" w:firstLine="0"/>
        <w:jc w:val="left"/>
        <w:rPr>
          <w:sz w:val="18"/>
        </w:rPr>
      </w:pPr>
      <w:r>
        <w:rPr/>
        <w:drawing>
          <wp:anchor distT="0" distB="0" distL="0" distR="0" allowOverlap="1" layoutInCell="1" locked="0" behindDoc="0" simplePos="0" relativeHeight="15736320">
            <wp:simplePos x="0" y="0"/>
            <wp:positionH relativeFrom="page">
              <wp:posOffset>2059213</wp:posOffset>
            </wp:positionH>
            <wp:positionV relativeFrom="paragraph">
              <wp:posOffset>166649</wp:posOffset>
            </wp:positionV>
            <wp:extent cx="95250" cy="9525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7" cstate="print"/>
                    <a:stretch>
                      <a:fillRect/>
                    </a:stretch>
                  </pic:blipFill>
                  <pic:spPr>
                    <a:xfrm>
                      <a:off x="0" y="0"/>
                      <a:ext cx="95250" cy="95250"/>
                    </a:xfrm>
                    <a:prstGeom prst="rect">
                      <a:avLst/>
                    </a:prstGeom>
                  </pic:spPr>
                </pic:pic>
              </a:graphicData>
            </a:graphic>
          </wp:anchor>
        </w:drawing>
      </w:r>
      <w:r>
        <w:rPr>
          <w:color w:val="231F20"/>
          <w:sz w:val="18"/>
        </w:rPr>
        <w:t>Saves the current workspace properties, including any changes to views and links. Keyboard shortcut: Ctrl + S.</w:t>
      </w:r>
    </w:p>
    <w:p>
      <w:pPr>
        <w:spacing w:before="183"/>
        <w:ind w:left="3061" w:right="0" w:firstLine="0"/>
        <w:jc w:val="left"/>
        <w:rPr>
          <w:sz w:val="18"/>
        </w:rPr>
      </w:pPr>
      <w:r>
        <w:rPr/>
        <w:drawing>
          <wp:anchor distT="0" distB="0" distL="0" distR="0" allowOverlap="1" layoutInCell="1" locked="0" behindDoc="0" simplePos="0" relativeHeight="15736832">
            <wp:simplePos x="0" y="0"/>
            <wp:positionH relativeFrom="page">
              <wp:posOffset>2052863</wp:posOffset>
            </wp:positionH>
            <wp:positionV relativeFrom="paragraph">
              <wp:posOffset>166279</wp:posOffset>
            </wp:positionV>
            <wp:extent cx="101600" cy="9525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8" cstate="print"/>
                    <a:stretch>
                      <a:fillRect/>
                    </a:stretch>
                  </pic:blipFill>
                  <pic:spPr>
                    <a:xfrm>
                      <a:off x="0" y="0"/>
                      <a:ext cx="101600" cy="95250"/>
                    </a:xfrm>
                    <a:prstGeom prst="rect">
                      <a:avLst/>
                    </a:prstGeom>
                  </pic:spPr>
                </pic:pic>
              </a:graphicData>
            </a:graphic>
          </wp:anchor>
        </w:drawing>
      </w:r>
      <w:r>
        <w:rPr>
          <w:color w:val="231F20"/>
          <w:sz w:val="18"/>
        </w:rPr>
        <w:t>Opens</w:t>
      </w:r>
      <w:r>
        <w:rPr>
          <w:color w:val="231F20"/>
          <w:spacing w:val="10"/>
          <w:sz w:val="18"/>
        </w:rPr>
        <w:t> </w:t>
      </w:r>
      <w:r>
        <w:rPr>
          <w:color w:val="231F20"/>
          <w:sz w:val="18"/>
        </w:rPr>
        <w:t>the</w:t>
      </w:r>
      <w:r>
        <w:rPr>
          <w:color w:val="231F20"/>
          <w:spacing w:val="10"/>
          <w:sz w:val="18"/>
        </w:rPr>
        <w:t> </w:t>
      </w:r>
      <w:r>
        <w:rPr>
          <w:color w:val="231F20"/>
          <w:sz w:val="18"/>
        </w:rPr>
        <w:t>Properties</w:t>
      </w:r>
      <w:r>
        <w:rPr>
          <w:color w:val="231F20"/>
          <w:spacing w:val="10"/>
          <w:sz w:val="18"/>
        </w:rPr>
        <w:t> </w:t>
      </w:r>
      <w:r>
        <w:rPr>
          <w:color w:val="231F20"/>
          <w:sz w:val="18"/>
        </w:rPr>
        <w:t>editor</w:t>
      </w:r>
      <w:r>
        <w:rPr>
          <w:color w:val="231F20"/>
          <w:spacing w:val="10"/>
          <w:sz w:val="18"/>
        </w:rPr>
        <w:t> </w:t>
      </w:r>
      <w:r>
        <w:rPr>
          <w:color w:val="231F20"/>
          <w:sz w:val="18"/>
        </w:rPr>
        <w:t>for</w:t>
      </w:r>
      <w:r>
        <w:rPr>
          <w:color w:val="231F20"/>
          <w:spacing w:val="10"/>
          <w:sz w:val="18"/>
        </w:rPr>
        <w:t> </w:t>
      </w:r>
      <w:r>
        <w:rPr>
          <w:color w:val="231F20"/>
          <w:sz w:val="18"/>
        </w:rPr>
        <w:t>this</w:t>
      </w:r>
      <w:r>
        <w:rPr>
          <w:color w:val="231F20"/>
          <w:spacing w:val="10"/>
          <w:sz w:val="18"/>
        </w:rPr>
        <w:t> </w:t>
      </w:r>
      <w:r>
        <w:rPr>
          <w:color w:val="231F20"/>
          <w:sz w:val="18"/>
        </w:rPr>
        <w:t>workspace.</w:t>
      </w:r>
      <w:r>
        <w:rPr>
          <w:color w:val="231F20"/>
          <w:spacing w:val="10"/>
          <w:sz w:val="18"/>
        </w:rPr>
        <w:t> </w:t>
      </w:r>
      <w:r>
        <w:rPr>
          <w:color w:val="231F20"/>
          <w:sz w:val="18"/>
        </w:rPr>
        <w:t>Keyboard</w:t>
      </w:r>
      <w:r>
        <w:rPr>
          <w:color w:val="231F20"/>
          <w:spacing w:val="10"/>
          <w:sz w:val="18"/>
        </w:rPr>
        <w:t> </w:t>
      </w:r>
      <w:r>
        <w:rPr>
          <w:color w:val="231F20"/>
          <w:sz w:val="18"/>
        </w:rPr>
        <w:t>shortcut:</w:t>
      </w:r>
      <w:r>
        <w:rPr>
          <w:color w:val="231F20"/>
          <w:spacing w:val="10"/>
          <w:sz w:val="18"/>
        </w:rPr>
        <w:t> </w:t>
      </w:r>
      <w:r>
        <w:rPr>
          <w:color w:val="231F20"/>
          <w:sz w:val="18"/>
        </w:rPr>
        <w:t>Ctrl</w:t>
      </w:r>
      <w:r>
        <w:rPr>
          <w:color w:val="231F20"/>
          <w:spacing w:val="11"/>
          <w:sz w:val="18"/>
        </w:rPr>
        <w:t> </w:t>
      </w:r>
      <w:r>
        <w:rPr>
          <w:color w:val="231F20"/>
          <w:sz w:val="18"/>
        </w:rPr>
        <w:t>+</w:t>
      </w:r>
      <w:r>
        <w:rPr>
          <w:color w:val="231F20"/>
          <w:spacing w:val="10"/>
          <w:sz w:val="18"/>
        </w:rPr>
        <w:t> </w:t>
      </w:r>
      <w:r>
        <w:rPr>
          <w:color w:val="231F20"/>
          <w:spacing w:val="-5"/>
          <w:sz w:val="18"/>
        </w:rPr>
        <w:t>R.</w:t>
      </w:r>
    </w:p>
    <w:p>
      <w:pPr>
        <w:spacing w:line="216" w:lineRule="auto" w:before="195"/>
        <w:ind w:left="3061" w:right="545" w:firstLine="0"/>
        <w:jc w:val="left"/>
        <w:rPr>
          <w:sz w:val="18"/>
        </w:rPr>
      </w:pPr>
      <w:r>
        <w:rPr/>
        <w:drawing>
          <wp:anchor distT="0" distB="0" distL="0" distR="0" allowOverlap="1" layoutInCell="1" locked="0" behindDoc="0" simplePos="0" relativeHeight="15737344">
            <wp:simplePos x="0" y="0"/>
            <wp:positionH relativeFrom="page">
              <wp:posOffset>2052863</wp:posOffset>
            </wp:positionH>
            <wp:positionV relativeFrom="paragraph">
              <wp:posOffset>161981</wp:posOffset>
            </wp:positionV>
            <wp:extent cx="101600" cy="9525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9" cstate="print"/>
                    <a:stretch>
                      <a:fillRect/>
                    </a:stretch>
                  </pic:blipFill>
                  <pic:spPr>
                    <a:xfrm>
                      <a:off x="0" y="0"/>
                      <a:ext cx="101600" cy="95250"/>
                    </a:xfrm>
                    <a:prstGeom prst="rect">
                      <a:avLst/>
                    </a:prstGeom>
                  </pic:spPr>
                </pic:pic>
              </a:graphicData>
            </a:graphic>
          </wp:anchor>
        </w:drawing>
      </w:r>
      <w:r>
        <w:rPr>
          <w:color w:val="231F20"/>
          <w:sz w:val="18"/>
        </w:rPr>
        <w:t>Opens the History Collection Configuration window to define and start historical collection for the specified monitoring agents and attribute groups. Keyboard shortcut: Ctrl + H.</w:t>
      </w:r>
    </w:p>
    <w:p>
      <w:pPr>
        <w:spacing w:line="216" w:lineRule="auto" w:before="202"/>
        <w:ind w:left="3061" w:right="545" w:firstLine="0"/>
        <w:jc w:val="left"/>
        <w:rPr>
          <w:sz w:val="18"/>
        </w:rPr>
      </w:pPr>
      <w:r>
        <w:rPr/>
        <w:drawing>
          <wp:anchor distT="0" distB="0" distL="0" distR="0" allowOverlap="1" layoutInCell="1" locked="0" behindDoc="0" simplePos="0" relativeHeight="15737856">
            <wp:simplePos x="0" y="0"/>
            <wp:positionH relativeFrom="page">
              <wp:posOffset>2052863</wp:posOffset>
            </wp:positionH>
            <wp:positionV relativeFrom="paragraph">
              <wp:posOffset>160279</wp:posOffset>
            </wp:positionV>
            <wp:extent cx="101600" cy="1016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30" cstate="print"/>
                    <a:stretch>
                      <a:fillRect/>
                    </a:stretch>
                  </pic:blipFill>
                  <pic:spPr>
                    <a:xfrm>
                      <a:off x="0" y="0"/>
                      <a:ext cx="101600" cy="101600"/>
                    </a:xfrm>
                    <a:prstGeom prst="rect">
                      <a:avLst/>
                    </a:prstGeom>
                  </pic:spPr>
                </pic:pic>
              </a:graphicData>
            </a:graphic>
          </wp:anchor>
        </w:drawing>
      </w:r>
      <w:r>
        <w:rPr>
          <w:color w:val="231F20"/>
          <w:sz w:val="18"/>
        </w:rPr>
        <w:t>Opens the Workflow editor to customize policies for automation. Keyboard shortcut: Ctrl + W.</w:t>
      </w:r>
    </w:p>
    <w:p>
      <w:pPr>
        <w:spacing w:line="216" w:lineRule="auto" w:before="202"/>
        <w:ind w:left="3061" w:right="438" w:firstLine="0"/>
        <w:jc w:val="left"/>
        <w:rPr>
          <w:sz w:val="18"/>
        </w:rPr>
      </w:pPr>
      <w:r>
        <w:rPr/>
        <w:drawing>
          <wp:anchor distT="0" distB="0" distL="0" distR="0" allowOverlap="1" layoutInCell="1" locked="0" behindDoc="0" simplePos="0" relativeHeight="15738368">
            <wp:simplePos x="0" y="0"/>
            <wp:positionH relativeFrom="page">
              <wp:posOffset>2052863</wp:posOffset>
            </wp:positionH>
            <wp:positionV relativeFrom="paragraph">
              <wp:posOffset>166259</wp:posOffset>
            </wp:positionV>
            <wp:extent cx="101600" cy="9525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31" cstate="print"/>
                    <a:stretch>
                      <a:fillRect/>
                    </a:stretch>
                  </pic:blipFill>
                  <pic:spPr>
                    <a:xfrm>
                      <a:off x="0" y="0"/>
                      <a:ext cx="101600" cy="95250"/>
                    </a:xfrm>
                    <a:prstGeom prst="rect">
                      <a:avLst/>
                    </a:prstGeom>
                  </pic:spPr>
                </pic:pic>
              </a:graphicData>
            </a:graphic>
          </wp:anchor>
        </w:drawing>
      </w:r>
      <w:r>
        <w:rPr>
          <w:color w:val="231F20"/>
          <w:sz w:val="18"/>
        </w:rPr>
        <w:t>Opens the Situation editor for viewing, editing, and creating situations that alert you when the conditions they describe have been met. When you use this method</w:t>
      </w:r>
      <w:r>
        <w:rPr>
          <w:color w:val="231F20"/>
          <w:spacing w:val="40"/>
          <w:sz w:val="18"/>
        </w:rPr>
        <w:t> </w:t>
      </w:r>
      <w:r>
        <w:rPr>
          <w:color w:val="231F20"/>
          <w:sz w:val="18"/>
        </w:rPr>
        <w:t>to open the Situation editor instead of through the Navigator item pop-up menu, the</w:t>
      </w:r>
      <w:r>
        <w:rPr>
          <w:color w:val="231F20"/>
          <w:spacing w:val="23"/>
          <w:sz w:val="18"/>
        </w:rPr>
        <w:t> </w:t>
      </w:r>
      <w:r>
        <w:rPr>
          <w:color w:val="231F20"/>
          <w:sz w:val="18"/>
        </w:rPr>
        <w:t>situation</w:t>
      </w:r>
      <w:r>
        <w:rPr>
          <w:color w:val="231F20"/>
          <w:spacing w:val="23"/>
          <w:sz w:val="18"/>
        </w:rPr>
        <w:t> </w:t>
      </w:r>
      <w:r>
        <w:rPr>
          <w:color w:val="231F20"/>
          <w:sz w:val="18"/>
        </w:rPr>
        <w:t>is</w:t>
      </w:r>
      <w:r>
        <w:rPr>
          <w:color w:val="231F20"/>
          <w:spacing w:val="23"/>
          <w:sz w:val="18"/>
        </w:rPr>
        <w:t> </w:t>
      </w:r>
      <w:r>
        <w:rPr>
          <w:color w:val="231F20"/>
          <w:sz w:val="18"/>
        </w:rPr>
        <w:t>not</w:t>
      </w:r>
      <w:r>
        <w:rPr>
          <w:color w:val="231F20"/>
          <w:spacing w:val="23"/>
          <w:sz w:val="18"/>
        </w:rPr>
        <w:t> </w:t>
      </w:r>
      <w:r>
        <w:rPr>
          <w:rFonts w:ascii="Book Antiqua"/>
          <w:i/>
          <w:color w:val="231F20"/>
          <w:sz w:val="18"/>
        </w:rPr>
        <w:t>associated</w:t>
      </w:r>
      <w:r>
        <w:rPr>
          <w:rFonts w:ascii="Book Antiqua"/>
          <w:i/>
          <w:color w:val="231F20"/>
          <w:spacing w:val="23"/>
          <w:sz w:val="18"/>
        </w:rPr>
        <w:t> </w:t>
      </w:r>
      <w:r>
        <w:rPr>
          <w:color w:val="231F20"/>
          <w:sz w:val="18"/>
        </w:rPr>
        <w:t>with</w:t>
      </w:r>
      <w:r>
        <w:rPr>
          <w:color w:val="231F20"/>
          <w:spacing w:val="23"/>
          <w:sz w:val="18"/>
        </w:rPr>
        <w:t> </w:t>
      </w:r>
      <w:r>
        <w:rPr>
          <w:color w:val="231F20"/>
          <w:sz w:val="18"/>
        </w:rPr>
        <w:t>any</w:t>
      </w:r>
      <w:r>
        <w:rPr>
          <w:color w:val="231F20"/>
          <w:spacing w:val="23"/>
          <w:sz w:val="18"/>
        </w:rPr>
        <w:t> </w:t>
      </w:r>
      <w:r>
        <w:rPr>
          <w:color w:val="231F20"/>
          <w:sz w:val="18"/>
        </w:rPr>
        <w:t>Navigator</w:t>
      </w:r>
      <w:r>
        <w:rPr>
          <w:color w:val="231F20"/>
          <w:spacing w:val="23"/>
          <w:sz w:val="18"/>
        </w:rPr>
        <w:t> </w:t>
      </w:r>
      <w:r>
        <w:rPr>
          <w:color w:val="231F20"/>
          <w:sz w:val="18"/>
        </w:rPr>
        <w:t>item.</w:t>
      </w:r>
      <w:r>
        <w:rPr>
          <w:color w:val="231F20"/>
          <w:spacing w:val="23"/>
          <w:sz w:val="18"/>
        </w:rPr>
        <w:t> </w:t>
      </w:r>
      <w:r>
        <w:rPr>
          <w:color w:val="231F20"/>
          <w:sz w:val="18"/>
        </w:rPr>
        <w:t>Keyboard</w:t>
      </w:r>
      <w:r>
        <w:rPr>
          <w:color w:val="231F20"/>
          <w:spacing w:val="23"/>
          <w:sz w:val="18"/>
        </w:rPr>
        <w:t> </w:t>
      </w:r>
      <w:r>
        <w:rPr>
          <w:color w:val="231F20"/>
          <w:sz w:val="18"/>
        </w:rPr>
        <w:t>shortcut:</w:t>
      </w:r>
      <w:r>
        <w:rPr>
          <w:color w:val="231F20"/>
          <w:spacing w:val="23"/>
          <w:sz w:val="18"/>
        </w:rPr>
        <w:t> </w:t>
      </w:r>
      <w:r>
        <w:rPr>
          <w:color w:val="231F20"/>
          <w:sz w:val="18"/>
        </w:rPr>
        <w:t>Ctrl</w:t>
      </w:r>
      <w:r>
        <w:rPr>
          <w:color w:val="231F20"/>
          <w:spacing w:val="23"/>
          <w:sz w:val="18"/>
        </w:rPr>
        <w:t> </w:t>
      </w:r>
      <w:r>
        <w:rPr>
          <w:color w:val="231F20"/>
          <w:sz w:val="18"/>
        </w:rPr>
        <w:t>+ </w:t>
      </w:r>
      <w:r>
        <w:rPr>
          <w:color w:val="231F20"/>
          <w:spacing w:val="-6"/>
          <w:sz w:val="18"/>
        </w:rPr>
        <w:t>E.</w:t>
      </w:r>
    </w:p>
    <w:p>
      <w:pPr>
        <w:spacing w:line="216" w:lineRule="auto" w:before="204"/>
        <w:ind w:left="3061" w:right="545" w:firstLine="0"/>
        <w:jc w:val="left"/>
        <w:rPr>
          <w:sz w:val="18"/>
        </w:rPr>
      </w:pPr>
      <w:r>
        <w:rPr/>
        <w:drawing>
          <wp:anchor distT="0" distB="0" distL="0" distR="0" allowOverlap="1" layoutInCell="1" locked="0" behindDoc="0" simplePos="0" relativeHeight="15738880">
            <wp:simplePos x="0" y="0"/>
            <wp:positionH relativeFrom="page">
              <wp:posOffset>2065563</wp:posOffset>
            </wp:positionH>
            <wp:positionV relativeFrom="paragraph">
              <wp:posOffset>161255</wp:posOffset>
            </wp:positionV>
            <wp:extent cx="82550" cy="10160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32" cstate="print"/>
                    <a:stretch>
                      <a:fillRect/>
                    </a:stretch>
                  </pic:blipFill>
                  <pic:spPr>
                    <a:xfrm>
                      <a:off x="0" y="0"/>
                      <a:ext cx="82550" cy="101600"/>
                    </a:xfrm>
                    <a:prstGeom prst="rect">
                      <a:avLst/>
                    </a:prstGeom>
                  </pic:spPr>
                </pic:pic>
              </a:graphicData>
            </a:graphic>
          </wp:anchor>
        </w:drawing>
      </w:r>
      <w:r>
        <w:rPr>
          <w:color w:val="231F20"/>
          <w:sz w:val="18"/>
        </w:rPr>
        <w:t>Opens the Administer Users window for adding and removing user IDs and changing user permissions. Keyboard shortcut: Ctrl + U.</w:t>
      </w:r>
    </w:p>
    <w:p>
      <w:pPr>
        <w:spacing w:line="216" w:lineRule="auto" w:before="201"/>
        <w:ind w:left="3061" w:right="545" w:firstLine="0"/>
        <w:jc w:val="left"/>
        <w:rPr>
          <w:sz w:val="18"/>
        </w:rPr>
      </w:pPr>
      <w:r>
        <w:rPr/>
        <w:drawing>
          <wp:anchor distT="0" distB="0" distL="0" distR="0" allowOverlap="1" layoutInCell="1" locked="0" behindDoc="0" simplePos="0" relativeHeight="15739392">
            <wp:simplePos x="0" y="0"/>
            <wp:positionH relativeFrom="page">
              <wp:posOffset>2059213</wp:posOffset>
            </wp:positionH>
            <wp:positionV relativeFrom="paragraph">
              <wp:posOffset>159613</wp:posOffset>
            </wp:positionV>
            <wp:extent cx="95250" cy="1016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33" cstate="print"/>
                    <a:stretch>
                      <a:fillRect/>
                    </a:stretch>
                  </pic:blipFill>
                  <pic:spPr>
                    <a:xfrm>
                      <a:off x="0" y="0"/>
                      <a:ext cx="95250" cy="101600"/>
                    </a:xfrm>
                    <a:prstGeom prst="rect">
                      <a:avLst/>
                    </a:prstGeom>
                  </pic:spPr>
                </pic:pic>
              </a:graphicData>
            </a:graphic>
          </wp:anchor>
        </w:drawing>
      </w:r>
      <w:r>
        <w:rPr>
          <w:color w:val="231F20"/>
          <w:sz w:val="18"/>
        </w:rPr>
        <w:t>Opens the Query editor. When you use this method to open the Query editor (instead of opening the Query editor through the Properties editor), you can view and customize queries but you cannot assign them to table and chart views.</w:t>
      </w:r>
    </w:p>
    <w:p>
      <w:pPr>
        <w:spacing w:line="227" w:lineRule="exact" w:before="0"/>
        <w:ind w:left="3061" w:right="0" w:firstLine="0"/>
        <w:jc w:val="left"/>
        <w:rPr>
          <w:sz w:val="18"/>
        </w:rPr>
      </w:pPr>
      <w:r>
        <w:rPr>
          <w:color w:val="231F20"/>
          <w:sz w:val="18"/>
        </w:rPr>
        <w:t>Keyboard</w:t>
      </w:r>
      <w:r>
        <w:rPr>
          <w:color w:val="231F20"/>
          <w:spacing w:val="13"/>
          <w:sz w:val="18"/>
        </w:rPr>
        <w:t> </w:t>
      </w:r>
      <w:r>
        <w:rPr>
          <w:color w:val="231F20"/>
          <w:sz w:val="18"/>
        </w:rPr>
        <w:t>shortcut:</w:t>
      </w:r>
      <w:r>
        <w:rPr>
          <w:color w:val="231F20"/>
          <w:spacing w:val="13"/>
          <w:sz w:val="18"/>
        </w:rPr>
        <w:t> </w:t>
      </w:r>
      <w:r>
        <w:rPr>
          <w:color w:val="231F20"/>
          <w:sz w:val="18"/>
        </w:rPr>
        <w:t>Ctrl</w:t>
      </w:r>
      <w:r>
        <w:rPr>
          <w:color w:val="231F20"/>
          <w:spacing w:val="13"/>
          <w:sz w:val="18"/>
        </w:rPr>
        <w:t> </w:t>
      </w:r>
      <w:r>
        <w:rPr>
          <w:color w:val="231F20"/>
          <w:sz w:val="18"/>
        </w:rPr>
        <w:t>+</w:t>
      </w:r>
      <w:r>
        <w:rPr>
          <w:color w:val="231F20"/>
          <w:spacing w:val="13"/>
          <w:sz w:val="18"/>
        </w:rPr>
        <w:t> </w:t>
      </w:r>
      <w:r>
        <w:rPr>
          <w:color w:val="231F20"/>
          <w:spacing w:val="-5"/>
          <w:sz w:val="18"/>
        </w:rPr>
        <w:t>Q.</w:t>
      </w:r>
    </w:p>
    <w:p>
      <w:pPr>
        <w:spacing w:line="216" w:lineRule="auto" w:before="195"/>
        <w:ind w:left="3061" w:right="545" w:firstLine="0"/>
        <w:jc w:val="left"/>
        <w:rPr>
          <w:sz w:val="18"/>
        </w:rPr>
      </w:pPr>
      <w:r>
        <w:rPr/>
        <w:drawing>
          <wp:anchor distT="0" distB="0" distL="0" distR="0" allowOverlap="1" layoutInCell="1" locked="0" behindDoc="0" simplePos="0" relativeHeight="15739904">
            <wp:simplePos x="0" y="0"/>
            <wp:positionH relativeFrom="page">
              <wp:posOffset>2052863</wp:posOffset>
            </wp:positionH>
            <wp:positionV relativeFrom="paragraph">
              <wp:posOffset>162236</wp:posOffset>
            </wp:positionV>
            <wp:extent cx="95250" cy="9525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34" cstate="print"/>
                    <a:stretch>
                      <a:fillRect/>
                    </a:stretch>
                  </pic:blipFill>
                  <pic:spPr>
                    <a:xfrm>
                      <a:off x="0" y="0"/>
                      <a:ext cx="95250" cy="95250"/>
                    </a:xfrm>
                    <a:prstGeom prst="rect">
                      <a:avLst/>
                    </a:prstGeom>
                  </pic:spPr>
                </pic:pic>
              </a:graphicData>
            </a:graphic>
          </wp:anchor>
        </w:drawing>
      </w:r>
      <w:r>
        <w:rPr>
          <w:color w:val="231F20"/>
          <w:sz w:val="18"/>
        </w:rPr>
        <w:t>Opens the Object Group editor for creating and working with groups, such as managed systems and situations. Keyboard shortcut: Ctrl + O.</w:t>
      </w:r>
    </w:p>
    <w:p>
      <w:pPr>
        <w:spacing w:after="0" w:line="216" w:lineRule="auto"/>
        <w:jc w:val="left"/>
        <w:rPr>
          <w:sz w:val="18"/>
        </w:rPr>
        <w:sectPr>
          <w:type w:val="continuous"/>
          <w:pgSz w:w="12240" w:h="15840"/>
          <w:pgMar w:header="0" w:footer="736" w:top="0" w:bottom="4660" w:left="1000" w:right="1060"/>
        </w:sectPr>
      </w:pPr>
    </w:p>
    <w:p>
      <w:pPr>
        <w:spacing w:line="216" w:lineRule="auto" w:before="66"/>
        <w:ind w:left="3300" w:right="385" w:firstLine="0"/>
        <w:jc w:val="left"/>
        <w:rPr>
          <w:sz w:val="18"/>
        </w:rPr>
      </w:pPr>
      <w:r>
        <w:rPr/>
        <w:drawing>
          <wp:anchor distT="0" distB="0" distL="0" distR="0" allowOverlap="1" layoutInCell="1" locked="0" behindDoc="0" simplePos="0" relativeHeight="15740928">
            <wp:simplePos x="0" y="0"/>
            <wp:positionH relativeFrom="page">
              <wp:posOffset>2211024</wp:posOffset>
            </wp:positionH>
            <wp:positionV relativeFrom="paragraph">
              <wp:posOffset>82116</wp:posOffset>
            </wp:positionV>
            <wp:extent cx="97536" cy="112775"/>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35" cstate="print"/>
                    <a:stretch>
                      <a:fillRect/>
                    </a:stretch>
                  </pic:blipFill>
                  <pic:spPr>
                    <a:xfrm>
                      <a:off x="0" y="0"/>
                      <a:ext cx="97536" cy="112775"/>
                    </a:xfrm>
                    <a:prstGeom prst="rect">
                      <a:avLst/>
                    </a:prstGeom>
                  </pic:spPr>
                </pic:pic>
              </a:graphicData>
            </a:graphic>
          </wp:anchor>
        </w:drawing>
      </w:r>
      <w:r>
        <w:rPr>
          <w:color w:val="231F20"/>
          <w:sz w:val="18"/>
        </w:rPr>
        <w:t>Opens the Performance Analyzer Configuration window for creating </w:t>
      </w:r>
      <w:r>
        <w:rPr>
          <w:color w:val="231F20"/>
          <w:sz w:val="18"/>
        </w:rPr>
        <w:t>analytical tasks. Keyboard shortcut: Ctrl + F.</w:t>
      </w:r>
    </w:p>
    <w:p>
      <w:pPr>
        <w:spacing w:line="216" w:lineRule="auto" w:before="202"/>
        <w:ind w:left="3300" w:right="324" w:firstLine="0"/>
        <w:jc w:val="both"/>
        <w:rPr>
          <w:sz w:val="18"/>
        </w:rPr>
      </w:pPr>
      <w:r>
        <w:rPr/>
        <w:drawing>
          <wp:anchor distT="0" distB="0" distL="0" distR="0" allowOverlap="1" layoutInCell="1" locked="0" behindDoc="0" simplePos="0" relativeHeight="15741440">
            <wp:simplePos x="0" y="0"/>
            <wp:positionH relativeFrom="page">
              <wp:posOffset>2211278</wp:posOffset>
            </wp:positionH>
            <wp:positionV relativeFrom="paragraph">
              <wp:posOffset>166384</wp:posOffset>
            </wp:positionV>
            <wp:extent cx="95250" cy="95250"/>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36"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2404510</wp:posOffset>
            </wp:positionH>
            <wp:positionV relativeFrom="paragraph">
              <wp:posOffset>166384</wp:posOffset>
            </wp:positionV>
            <wp:extent cx="63500" cy="9525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37" cstate="print"/>
                    <a:stretch>
                      <a:fillRect/>
                    </a:stretch>
                  </pic:blipFill>
                  <pic:spPr>
                    <a:xfrm>
                      <a:off x="0" y="0"/>
                      <a:ext cx="63500" cy="95250"/>
                    </a:xfrm>
                    <a:prstGeom prst="rect">
                      <a:avLst/>
                    </a:prstGeom>
                  </pic:spPr>
                </pic:pic>
              </a:graphicData>
            </a:graphic>
          </wp:anchor>
        </w:drawing>
      </w:r>
      <w:r>
        <w:rPr>
          <w:color w:val="231F20"/>
          <w:sz w:val="18"/>
        </w:rPr>
        <w:t>Pauses or resume automatic refresh of the data in the workspace views. The tool</w:t>
      </w:r>
      <w:r>
        <w:rPr>
          <w:color w:val="231F20"/>
          <w:spacing w:val="40"/>
          <w:sz w:val="18"/>
        </w:rPr>
        <w:t> </w:t>
      </w:r>
      <w:r>
        <w:rPr>
          <w:color w:val="231F20"/>
          <w:sz w:val="18"/>
        </w:rPr>
        <w:t>is disabled if no refresh interval has been set for the workspace (</w:t>
      </w:r>
      <w:r>
        <w:rPr>
          <w:rFonts w:ascii="Book Antiqua" w:hAnsi="Book Antiqua"/>
          <w:b/>
          <w:color w:val="231F20"/>
          <w:sz w:val="18"/>
        </w:rPr>
        <w:t>View </w:t>
      </w:r>
      <w:r>
        <w:rPr>
          <w:rFonts w:ascii="Arial" w:hAnsi="Arial"/>
          <w:b/>
          <w:color w:val="231F20"/>
          <w:w w:val="90"/>
          <w:sz w:val="18"/>
        </w:rPr>
        <w:t>→ </w:t>
      </w:r>
      <w:r>
        <w:rPr>
          <w:rFonts w:ascii="Book Antiqua" w:hAnsi="Book Antiqua"/>
          <w:b/>
          <w:color w:val="231F20"/>
          <w:sz w:val="18"/>
        </w:rPr>
        <w:t>Refresh Every</w:t>
      </w:r>
      <w:r>
        <w:rPr>
          <w:color w:val="231F20"/>
          <w:sz w:val="18"/>
        </w:rPr>
        <w:t>). Keyboard shortcut: Shift + Esc.</w:t>
      </w:r>
    </w:p>
    <w:p>
      <w:pPr>
        <w:spacing w:line="231" w:lineRule="exact" w:before="183"/>
        <w:ind w:left="3300" w:right="0" w:firstLine="0"/>
        <w:jc w:val="left"/>
        <w:rPr>
          <w:rFonts w:ascii="Book Antiqua"/>
          <w:b/>
          <w:sz w:val="18"/>
        </w:rPr>
      </w:pPr>
      <w:r>
        <w:rPr/>
        <w:drawing>
          <wp:anchor distT="0" distB="0" distL="0" distR="0" allowOverlap="1" layoutInCell="1" locked="0" behindDoc="0" simplePos="0" relativeHeight="15742464">
            <wp:simplePos x="0" y="0"/>
            <wp:positionH relativeFrom="page">
              <wp:posOffset>2211278</wp:posOffset>
            </wp:positionH>
            <wp:positionV relativeFrom="paragraph">
              <wp:posOffset>166585</wp:posOffset>
            </wp:positionV>
            <wp:extent cx="95250" cy="9525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38" cstate="print"/>
                    <a:stretch>
                      <a:fillRect/>
                    </a:stretch>
                  </pic:blipFill>
                  <pic:spPr>
                    <a:xfrm>
                      <a:off x="0" y="0"/>
                      <a:ext cx="95250" cy="95250"/>
                    </a:xfrm>
                    <a:prstGeom prst="rect">
                      <a:avLst/>
                    </a:prstGeom>
                  </pic:spPr>
                </pic:pic>
              </a:graphicData>
            </a:graphic>
          </wp:anchor>
        </w:drawing>
      </w:r>
      <w:r>
        <w:rPr>
          <w:color w:val="231F20"/>
          <w:sz w:val="18"/>
        </w:rPr>
        <w:t>Stops</w:t>
      </w:r>
      <w:r>
        <w:rPr>
          <w:color w:val="231F20"/>
          <w:spacing w:val="9"/>
          <w:sz w:val="18"/>
        </w:rPr>
        <w:t> </w:t>
      </w:r>
      <w:r>
        <w:rPr>
          <w:color w:val="231F20"/>
          <w:sz w:val="18"/>
        </w:rPr>
        <w:t>loading</w:t>
      </w:r>
      <w:r>
        <w:rPr>
          <w:color w:val="231F20"/>
          <w:spacing w:val="9"/>
          <w:sz w:val="18"/>
        </w:rPr>
        <w:t> </w:t>
      </w:r>
      <w:r>
        <w:rPr>
          <w:color w:val="231F20"/>
          <w:sz w:val="18"/>
        </w:rPr>
        <w:t>the</w:t>
      </w:r>
      <w:r>
        <w:rPr>
          <w:color w:val="231F20"/>
          <w:spacing w:val="9"/>
          <w:sz w:val="18"/>
        </w:rPr>
        <w:t> </w:t>
      </w:r>
      <w:r>
        <w:rPr>
          <w:color w:val="231F20"/>
          <w:sz w:val="18"/>
        </w:rPr>
        <w:t>workspace.</w:t>
      </w:r>
      <w:r>
        <w:rPr>
          <w:color w:val="231F20"/>
          <w:spacing w:val="10"/>
          <w:sz w:val="18"/>
        </w:rPr>
        <w:t> </w:t>
      </w:r>
      <w:r>
        <w:rPr>
          <w:color w:val="231F20"/>
          <w:sz w:val="18"/>
        </w:rPr>
        <w:t>If</w:t>
      </w:r>
      <w:r>
        <w:rPr>
          <w:color w:val="231F20"/>
          <w:spacing w:val="9"/>
          <w:sz w:val="18"/>
        </w:rPr>
        <w:t> </w:t>
      </w:r>
      <w:r>
        <w:rPr>
          <w:color w:val="231F20"/>
          <w:sz w:val="18"/>
        </w:rPr>
        <w:t>the</w:t>
      </w:r>
      <w:r>
        <w:rPr>
          <w:color w:val="231F20"/>
          <w:spacing w:val="9"/>
          <w:sz w:val="18"/>
        </w:rPr>
        <w:t> </w:t>
      </w:r>
      <w:r>
        <w:rPr>
          <w:color w:val="231F20"/>
          <w:sz w:val="18"/>
        </w:rPr>
        <w:t>workspace</w:t>
      </w:r>
      <w:r>
        <w:rPr>
          <w:color w:val="231F20"/>
          <w:spacing w:val="9"/>
          <w:sz w:val="18"/>
        </w:rPr>
        <w:t> </w:t>
      </w:r>
      <w:r>
        <w:rPr>
          <w:color w:val="231F20"/>
          <w:sz w:val="18"/>
        </w:rPr>
        <w:t>is</w:t>
      </w:r>
      <w:r>
        <w:rPr>
          <w:color w:val="231F20"/>
          <w:spacing w:val="10"/>
          <w:sz w:val="18"/>
        </w:rPr>
        <w:t> </w:t>
      </w:r>
      <w:r>
        <w:rPr>
          <w:color w:val="231F20"/>
          <w:sz w:val="18"/>
        </w:rPr>
        <w:t>set</w:t>
      </w:r>
      <w:r>
        <w:rPr>
          <w:color w:val="231F20"/>
          <w:spacing w:val="9"/>
          <w:sz w:val="18"/>
        </w:rPr>
        <w:t> </w:t>
      </w:r>
      <w:r>
        <w:rPr>
          <w:color w:val="231F20"/>
          <w:sz w:val="18"/>
        </w:rPr>
        <w:t>to</w:t>
      </w:r>
      <w:r>
        <w:rPr>
          <w:color w:val="231F20"/>
          <w:spacing w:val="9"/>
          <w:sz w:val="18"/>
        </w:rPr>
        <w:t> </w:t>
      </w:r>
      <w:r>
        <w:rPr>
          <w:color w:val="231F20"/>
          <w:sz w:val="18"/>
        </w:rPr>
        <w:t>refresh</w:t>
      </w:r>
      <w:r>
        <w:rPr>
          <w:color w:val="231F20"/>
          <w:spacing w:val="10"/>
          <w:sz w:val="18"/>
        </w:rPr>
        <w:t> </w:t>
      </w:r>
      <w:r>
        <w:rPr>
          <w:color w:val="231F20"/>
          <w:sz w:val="18"/>
        </w:rPr>
        <w:t>at</w:t>
      </w:r>
      <w:r>
        <w:rPr>
          <w:color w:val="231F20"/>
          <w:spacing w:val="9"/>
          <w:sz w:val="18"/>
        </w:rPr>
        <w:t> </w:t>
      </w:r>
      <w:r>
        <w:rPr>
          <w:color w:val="231F20"/>
          <w:sz w:val="18"/>
        </w:rPr>
        <w:t>intervals</w:t>
      </w:r>
      <w:r>
        <w:rPr>
          <w:color w:val="231F20"/>
          <w:spacing w:val="9"/>
          <w:sz w:val="18"/>
        </w:rPr>
        <w:t> </w:t>
      </w:r>
      <w:r>
        <w:rPr>
          <w:color w:val="231F20"/>
          <w:spacing w:val="-2"/>
          <w:sz w:val="18"/>
        </w:rPr>
        <w:t>(</w:t>
      </w:r>
      <w:r>
        <w:rPr>
          <w:rFonts w:ascii="Book Antiqua"/>
          <w:b/>
          <w:color w:val="231F20"/>
          <w:spacing w:val="-2"/>
          <w:sz w:val="18"/>
        </w:rPr>
        <w:t>View</w:t>
      </w:r>
    </w:p>
    <w:p>
      <w:pPr>
        <w:spacing w:line="219" w:lineRule="exact" w:before="0"/>
        <w:ind w:left="3300" w:right="0" w:firstLine="0"/>
        <w:jc w:val="left"/>
        <w:rPr>
          <w:sz w:val="18"/>
        </w:rPr>
      </w:pPr>
      <w:r>
        <w:rPr>
          <w:rFonts w:ascii="Arial" w:hAnsi="Arial"/>
          <w:b/>
          <w:color w:val="231F20"/>
          <w:w w:val="90"/>
          <w:sz w:val="18"/>
        </w:rPr>
        <w:t>→</w:t>
      </w:r>
      <w:r>
        <w:rPr>
          <w:rFonts w:ascii="Arial" w:hAnsi="Arial"/>
          <w:b/>
          <w:color w:val="231F20"/>
          <w:spacing w:val="-3"/>
          <w:sz w:val="18"/>
        </w:rPr>
        <w:t> </w:t>
      </w:r>
      <w:r>
        <w:rPr>
          <w:rFonts w:ascii="Book Antiqua" w:hAnsi="Book Antiqua"/>
          <w:b/>
          <w:color w:val="231F20"/>
          <w:sz w:val="18"/>
        </w:rPr>
        <w:t>Refresh</w:t>
      </w:r>
      <w:r>
        <w:rPr>
          <w:rFonts w:ascii="Book Antiqua" w:hAnsi="Book Antiqua"/>
          <w:b/>
          <w:color w:val="231F20"/>
          <w:spacing w:val="2"/>
          <w:sz w:val="18"/>
        </w:rPr>
        <w:t> </w:t>
      </w:r>
      <w:r>
        <w:rPr>
          <w:rFonts w:ascii="Book Antiqua" w:hAnsi="Book Antiqua"/>
          <w:b/>
          <w:color w:val="231F20"/>
          <w:sz w:val="18"/>
        </w:rPr>
        <w:t>Every</w:t>
      </w:r>
      <w:r>
        <w:rPr>
          <w:color w:val="231F20"/>
          <w:sz w:val="18"/>
        </w:rPr>
        <w:t>),</w:t>
      </w:r>
      <w:r>
        <w:rPr>
          <w:color w:val="231F20"/>
          <w:spacing w:val="2"/>
          <w:sz w:val="18"/>
        </w:rPr>
        <w:t> </w:t>
      </w:r>
      <w:r>
        <w:rPr>
          <w:color w:val="231F20"/>
          <w:sz w:val="18"/>
        </w:rPr>
        <w:t>the</w:t>
      </w:r>
      <w:r>
        <w:rPr>
          <w:color w:val="231F20"/>
          <w:spacing w:val="2"/>
          <w:sz w:val="18"/>
        </w:rPr>
        <w:t> </w:t>
      </w:r>
      <w:r>
        <w:rPr>
          <w:color w:val="231F20"/>
          <w:sz w:val="18"/>
        </w:rPr>
        <w:t>refresh</w:t>
      </w:r>
      <w:r>
        <w:rPr>
          <w:color w:val="231F20"/>
          <w:spacing w:val="3"/>
          <w:sz w:val="18"/>
        </w:rPr>
        <w:t> </w:t>
      </w:r>
      <w:r>
        <w:rPr>
          <w:color w:val="231F20"/>
          <w:sz w:val="18"/>
        </w:rPr>
        <w:t>stops</w:t>
      </w:r>
      <w:r>
        <w:rPr>
          <w:color w:val="231F20"/>
          <w:spacing w:val="2"/>
          <w:sz w:val="18"/>
        </w:rPr>
        <w:t> </w:t>
      </w:r>
      <w:r>
        <w:rPr>
          <w:color w:val="231F20"/>
          <w:sz w:val="18"/>
        </w:rPr>
        <w:t>until</w:t>
      </w:r>
      <w:r>
        <w:rPr>
          <w:color w:val="231F20"/>
          <w:spacing w:val="2"/>
          <w:sz w:val="18"/>
        </w:rPr>
        <w:t> </w:t>
      </w:r>
      <w:r>
        <w:rPr>
          <w:color w:val="231F20"/>
          <w:sz w:val="18"/>
        </w:rPr>
        <w:t>the</w:t>
      </w:r>
      <w:r>
        <w:rPr>
          <w:color w:val="231F20"/>
          <w:spacing w:val="2"/>
          <w:sz w:val="18"/>
        </w:rPr>
        <w:t> </w:t>
      </w:r>
      <w:r>
        <w:rPr>
          <w:color w:val="231F20"/>
          <w:sz w:val="18"/>
        </w:rPr>
        <w:t>next</w:t>
      </w:r>
      <w:r>
        <w:rPr>
          <w:color w:val="231F20"/>
          <w:spacing w:val="2"/>
          <w:sz w:val="18"/>
        </w:rPr>
        <w:t> </w:t>
      </w:r>
      <w:r>
        <w:rPr>
          <w:color w:val="231F20"/>
          <w:sz w:val="18"/>
        </w:rPr>
        <w:t>interval.</w:t>
      </w:r>
      <w:r>
        <w:rPr>
          <w:color w:val="231F20"/>
          <w:spacing w:val="3"/>
          <w:sz w:val="18"/>
        </w:rPr>
        <w:t> </w:t>
      </w:r>
      <w:r>
        <w:rPr>
          <w:color w:val="231F20"/>
          <w:sz w:val="18"/>
        </w:rPr>
        <w:t>Keyboard</w:t>
      </w:r>
      <w:r>
        <w:rPr>
          <w:color w:val="231F20"/>
          <w:spacing w:val="2"/>
          <w:sz w:val="18"/>
        </w:rPr>
        <w:t> </w:t>
      </w:r>
      <w:r>
        <w:rPr>
          <w:color w:val="231F20"/>
          <w:sz w:val="18"/>
        </w:rPr>
        <w:t>shortcut:</w:t>
      </w:r>
      <w:r>
        <w:rPr>
          <w:color w:val="231F20"/>
          <w:spacing w:val="2"/>
          <w:sz w:val="18"/>
        </w:rPr>
        <w:t> </w:t>
      </w:r>
      <w:r>
        <w:rPr>
          <w:color w:val="231F20"/>
          <w:spacing w:val="-2"/>
          <w:sz w:val="18"/>
        </w:rPr>
        <w:t>Shift</w:t>
      </w:r>
    </w:p>
    <w:p>
      <w:pPr>
        <w:spacing w:line="231" w:lineRule="exact" w:before="0"/>
        <w:ind w:left="3300" w:right="0" w:firstLine="0"/>
        <w:jc w:val="left"/>
        <w:rPr>
          <w:sz w:val="18"/>
        </w:rPr>
      </w:pPr>
      <w:r>
        <w:rPr>
          <w:color w:val="231F20"/>
          <w:w w:val="105"/>
          <w:sz w:val="18"/>
        </w:rPr>
        <w:t>+</w:t>
      </w:r>
      <w:r>
        <w:rPr>
          <w:color w:val="231F20"/>
          <w:spacing w:val="25"/>
          <w:w w:val="105"/>
          <w:sz w:val="18"/>
        </w:rPr>
        <w:t> </w:t>
      </w:r>
      <w:r>
        <w:rPr>
          <w:color w:val="231F20"/>
          <w:spacing w:val="-4"/>
          <w:w w:val="105"/>
          <w:sz w:val="18"/>
        </w:rPr>
        <w:t>Esc.</w:t>
      </w:r>
    </w:p>
    <w:p>
      <w:pPr>
        <w:spacing w:line="216" w:lineRule="auto" w:before="195"/>
        <w:ind w:left="3300" w:right="545" w:firstLine="0"/>
        <w:jc w:val="left"/>
        <w:rPr>
          <w:sz w:val="18"/>
        </w:rPr>
      </w:pPr>
      <w:r>
        <w:rPr/>
        <w:drawing>
          <wp:anchor distT="0" distB="0" distL="0" distR="0" allowOverlap="1" layoutInCell="1" locked="0" behindDoc="0" simplePos="0" relativeHeight="15742976">
            <wp:simplePos x="0" y="0"/>
            <wp:positionH relativeFrom="page">
              <wp:posOffset>2211278</wp:posOffset>
            </wp:positionH>
            <wp:positionV relativeFrom="paragraph">
              <wp:posOffset>155938</wp:posOffset>
            </wp:positionV>
            <wp:extent cx="95250" cy="10160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39" cstate="print"/>
                    <a:stretch>
                      <a:fillRect/>
                    </a:stretch>
                  </pic:blipFill>
                  <pic:spPr>
                    <a:xfrm>
                      <a:off x="0" y="0"/>
                      <a:ext cx="95250" cy="101600"/>
                    </a:xfrm>
                    <a:prstGeom prst="rect">
                      <a:avLst/>
                    </a:prstGeom>
                  </pic:spPr>
                </pic:pic>
              </a:graphicData>
            </a:graphic>
          </wp:anchor>
        </w:drawing>
      </w:r>
      <w:r>
        <w:rPr>
          <w:color w:val="231F20"/>
          <w:sz w:val="18"/>
        </w:rPr>
        <w:t>Reloads the saved workspace and refreshes the data in the workspace views. Keyboard shortcut: F5.</w:t>
      </w:r>
    </w:p>
    <w:p>
      <w:pPr>
        <w:spacing w:line="216" w:lineRule="auto" w:before="22"/>
        <w:ind w:left="3300" w:right="385" w:firstLine="0"/>
        <w:jc w:val="left"/>
        <w:rPr>
          <w:sz w:val="18"/>
        </w:rPr>
      </w:pPr>
      <w:r>
        <w:rPr/>
        <w:drawing>
          <wp:anchor distT="0" distB="0" distL="0" distR="0" allowOverlap="1" layoutInCell="1" locked="0" behindDoc="0" simplePos="0" relativeHeight="15743488">
            <wp:simplePos x="0" y="0"/>
            <wp:positionH relativeFrom="page">
              <wp:posOffset>2204928</wp:posOffset>
            </wp:positionH>
            <wp:positionV relativeFrom="paragraph">
              <wp:posOffset>45965</wp:posOffset>
            </wp:positionV>
            <wp:extent cx="101600" cy="10160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40" cstate="print"/>
                    <a:stretch>
                      <a:fillRect/>
                    </a:stretch>
                  </pic:blipFill>
                  <pic:spPr>
                    <a:xfrm>
                      <a:off x="0" y="0"/>
                      <a:ext cx="101600" cy="101600"/>
                    </a:xfrm>
                    <a:prstGeom prst="rect">
                      <a:avLst/>
                    </a:prstGeom>
                  </pic:spPr>
                </pic:pic>
              </a:graphicData>
            </a:graphic>
          </wp:anchor>
        </w:drawing>
      </w:r>
      <w:r>
        <w:rPr>
          <w:color w:val="231F20"/>
          <w:sz w:val="18"/>
        </w:rPr>
        <w:t>Opens the workspace gallery panel containing selectable thumbnail images representing the workspaces that are associated with the currently selected navigator item. Images are only displayed if the workspace has been previously accessed. Keyboard shortcut: Ctrl + G.</w:t>
      </w:r>
    </w:p>
    <w:p>
      <w:pPr>
        <w:spacing w:line="216" w:lineRule="auto" w:before="203"/>
        <w:ind w:left="3300" w:right="346" w:firstLine="0"/>
        <w:jc w:val="both"/>
        <w:rPr>
          <w:sz w:val="18"/>
        </w:rPr>
      </w:pPr>
      <w:r>
        <w:rPr/>
        <w:drawing>
          <wp:anchor distT="0" distB="0" distL="0" distR="0" allowOverlap="1" layoutInCell="1" locked="0" behindDoc="0" simplePos="0" relativeHeight="15744000">
            <wp:simplePos x="0" y="0"/>
            <wp:positionH relativeFrom="page">
              <wp:posOffset>2211278</wp:posOffset>
            </wp:positionH>
            <wp:positionV relativeFrom="paragraph">
              <wp:posOffset>167388</wp:posOffset>
            </wp:positionV>
            <wp:extent cx="95250" cy="9525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41"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2385460</wp:posOffset>
            </wp:positionH>
            <wp:positionV relativeFrom="paragraph">
              <wp:posOffset>167388</wp:posOffset>
            </wp:positionV>
            <wp:extent cx="76200" cy="9525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42" cstate="print"/>
                    <a:stretch>
                      <a:fillRect/>
                    </a:stretch>
                  </pic:blipFill>
                  <pic:spPr>
                    <a:xfrm>
                      <a:off x="0" y="0"/>
                      <a:ext cx="76200" cy="95250"/>
                    </a:xfrm>
                    <a:prstGeom prst="rect">
                      <a:avLst/>
                    </a:prstGeom>
                  </pic:spPr>
                </pic:pic>
              </a:graphicData>
            </a:graphic>
          </wp:anchor>
        </w:drawing>
      </w:r>
      <w:r>
        <w:rPr>
          <w:color w:val="231F20"/>
          <w:sz w:val="18"/>
        </w:rPr>
        <w:t>Turns sound off or on for open events. Enabling or disabling sound for an event</w:t>
      </w:r>
      <w:r>
        <w:rPr>
          <w:color w:val="231F20"/>
          <w:spacing w:val="80"/>
          <w:sz w:val="18"/>
        </w:rPr>
        <w:t> </w:t>
      </w:r>
      <w:r>
        <w:rPr>
          <w:color w:val="231F20"/>
          <w:sz w:val="18"/>
        </w:rPr>
        <w:t>is controlled through the Situation editor.</w:t>
      </w:r>
    </w:p>
    <w:p>
      <w:pPr>
        <w:spacing w:line="216" w:lineRule="auto" w:before="202"/>
        <w:ind w:left="3300" w:right="0" w:firstLine="0"/>
        <w:jc w:val="left"/>
        <w:rPr>
          <w:sz w:val="18"/>
        </w:rPr>
      </w:pPr>
      <w:r>
        <w:rPr/>
        <w:drawing>
          <wp:anchor distT="0" distB="0" distL="0" distR="0" allowOverlap="1" layoutInCell="1" locked="0" behindDoc="0" simplePos="0" relativeHeight="15745024">
            <wp:simplePos x="0" y="0"/>
            <wp:positionH relativeFrom="page">
              <wp:posOffset>2211278</wp:posOffset>
            </wp:positionH>
            <wp:positionV relativeFrom="paragraph">
              <wp:posOffset>166383</wp:posOffset>
            </wp:positionV>
            <wp:extent cx="95250" cy="9525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43" cstate="print"/>
                    <a:stretch>
                      <a:fillRect/>
                    </a:stretch>
                  </pic:blipFill>
                  <pic:spPr>
                    <a:xfrm>
                      <a:off x="0" y="0"/>
                      <a:ext cx="95250" cy="95250"/>
                    </a:xfrm>
                    <a:prstGeom prst="rect">
                      <a:avLst/>
                    </a:prstGeom>
                  </pic:spPr>
                </pic:pic>
              </a:graphicData>
            </a:graphic>
          </wp:anchor>
        </w:drawing>
      </w:r>
      <w:r>
        <w:rPr>
          <w:color w:val="231F20"/>
          <w:sz w:val="18"/>
        </w:rPr>
        <w:t>Replaces the view you click next with a pie chart, the properties of which you can customize for the data you want to include.</w:t>
      </w:r>
    </w:p>
    <w:p>
      <w:pPr>
        <w:spacing w:line="216" w:lineRule="auto" w:before="201"/>
        <w:ind w:left="3300" w:right="274" w:firstLine="0"/>
        <w:jc w:val="left"/>
        <w:rPr>
          <w:sz w:val="18"/>
        </w:rPr>
      </w:pPr>
      <w:r>
        <w:rPr/>
        <w:drawing>
          <wp:anchor distT="0" distB="0" distL="0" distR="0" allowOverlap="1" layoutInCell="1" locked="0" behindDoc="0" simplePos="0" relativeHeight="15745536">
            <wp:simplePos x="0" y="0"/>
            <wp:positionH relativeFrom="page">
              <wp:posOffset>2211278</wp:posOffset>
            </wp:positionH>
            <wp:positionV relativeFrom="paragraph">
              <wp:posOffset>159664</wp:posOffset>
            </wp:positionV>
            <wp:extent cx="95250" cy="10160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44" cstate="print"/>
                    <a:stretch>
                      <a:fillRect/>
                    </a:stretch>
                  </pic:blipFill>
                  <pic:spPr>
                    <a:xfrm>
                      <a:off x="0" y="0"/>
                      <a:ext cx="95250" cy="101600"/>
                    </a:xfrm>
                    <a:prstGeom prst="rect">
                      <a:avLst/>
                    </a:prstGeom>
                  </pic:spPr>
                </pic:pic>
              </a:graphicData>
            </a:graphic>
          </wp:anchor>
        </w:drawing>
      </w:r>
      <w:r>
        <w:rPr>
          <w:color w:val="231F20"/>
          <w:sz w:val="18"/>
        </w:rPr>
        <w:t>Replaces the view you click next with a bar chart, the properties of which you can customize for the data you want to plot.</w:t>
      </w:r>
    </w:p>
    <w:p>
      <w:pPr>
        <w:spacing w:line="216" w:lineRule="auto" w:before="202"/>
        <w:ind w:left="3300" w:right="0" w:firstLine="0"/>
        <w:jc w:val="left"/>
        <w:rPr>
          <w:sz w:val="18"/>
        </w:rPr>
      </w:pPr>
      <w:r>
        <w:rPr/>
        <w:drawing>
          <wp:anchor distT="0" distB="0" distL="0" distR="0" allowOverlap="1" layoutInCell="1" locked="0" behindDoc="0" simplePos="0" relativeHeight="15746048">
            <wp:simplePos x="0" y="0"/>
            <wp:positionH relativeFrom="page">
              <wp:posOffset>2204928</wp:posOffset>
            </wp:positionH>
            <wp:positionV relativeFrom="paragraph">
              <wp:posOffset>166277</wp:posOffset>
            </wp:positionV>
            <wp:extent cx="101600" cy="9525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45" cstate="print"/>
                    <a:stretch>
                      <a:fillRect/>
                    </a:stretch>
                  </pic:blipFill>
                  <pic:spPr>
                    <a:xfrm>
                      <a:off x="0" y="0"/>
                      <a:ext cx="101600" cy="95250"/>
                    </a:xfrm>
                    <a:prstGeom prst="rect">
                      <a:avLst/>
                    </a:prstGeom>
                  </pic:spPr>
                </pic:pic>
              </a:graphicData>
            </a:graphic>
          </wp:anchor>
        </w:drawing>
      </w:r>
      <w:r>
        <w:rPr>
          <w:color w:val="231F20"/>
          <w:sz w:val="18"/>
        </w:rPr>
        <w:t>Replaces the view you next click inside with a plot chart, which you can then customize for the data you want to include.</w:t>
      </w:r>
    </w:p>
    <w:p>
      <w:pPr>
        <w:pStyle w:val="BodyText"/>
        <w:spacing w:before="3"/>
        <w:rPr>
          <w:sz w:val="4"/>
        </w:rPr>
      </w:pPr>
      <w:r>
        <w:rPr/>
        <w:drawing>
          <wp:anchor distT="0" distB="0" distL="0" distR="0" allowOverlap="1" layoutInCell="1" locked="0" behindDoc="1" simplePos="0" relativeHeight="487599616">
            <wp:simplePos x="0" y="0"/>
            <wp:positionH relativeFrom="page">
              <wp:posOffset>2204928</wp:posOffset>
            </wp:positionH>
            <wp:positionV relativeFrom="paragraph">
              <wp:posOffset>51412</wp:posOffset>
            </wp:positionV>
            <wp:extent cx="102107" cy="9572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6" cstate="print"/>
                    <a:stretch>
                      <a:fillRect/>
                    </a:stretch>
                  </pic:blipFill>
                  <pic:spPr>
                    <a:xfrm>
                      <a:off x="0" y="0"/>
                      <a:ext cx="102107" cy="95726"/>
                    </a:xfrm>
                    <a:prstGeom prst="rect">
                      <a:avLst/>
                    </a:prstGeom>
                  </pic:spPr>
                </pic:pic>
              </a:graphicData>
            </a:graphic>
          </wp:anchor>
        </w:drawing>
      </w:r>
    </w:p>
    <w:p>
      <w:pPr>
        <w:spacing w:line="216" w:lineRule="auto" w:before="0"/>
        <w:ind w:left="3300" w:right="493" w:firstLine="0"/>
        <w:jc w:val="left"/>
        <w:rPr>
          <w:sz w:val="18"/>
        </w:rPr>
      </w:pPr>
      <w:r>
        <w:rPr>
          <w:color w:val="231F20"/>
          <w:sz w:val="18"/>
        </w:rPr>
        <w:t>Replaces the view you next click inside with an area chart, which you can then customize for the data you want to include.</w:t>
      </w:r>
    </w:p>
    <w:p>
      <w:pPr>
        <w:spacing w:line="216" w:lineRule="auto" w:before="171"/>
        <w:ind w:left="3300" w:right="279" w:firstLine="0"/>
        <w:jc w:val="both"/>
        <w:rPr>
          <w:sz w:val="18"/>
        </w:rPr>
      </w:pPr>
      <w:r>
        <w:rPr/>
        <w:drawing>
          <wp:anchor distT="0" distB="0" distL="0" distR="0" allowOverlap="1" layoutInCell="1" locked="0" behindDoc="0" simplePos="0" relativeHeight="15746560">
            <wp:simplePos x="0" y="0"/>
            <wp:positionH relativeFrom="page">
              <wp:posOffset>2211278</wp:posOffset>
            </wp:positionH>
            <wp:positionV relativeFrom="paragraph">
              <wp:posOffset>146669</wp:posOffset>
            </wp:positionV>
            <wp:extent cx="95250" cy="9525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47" cstate="print"/>
                    <a:stretch>
                      <a:fillRect/>
                    </a:stretch>
                  </pic:blipFill>
                  <pic:spPr>
                    <a:xfrm>
                      <a:off x="0" y="0"/>
                      <a:ext cx="95250" cy="95250"/>
                    </a:xfrm>
                    <a:prstGeom prst="rect">
                      <a:avLst/>
                    </a:prstGeom>
                  </pic:spPr>
                </pic:pic>
              </a:graphicData>
            </a:graphic>
          </wp:anchor>
        </w:drawing>
      </w:r>
      <w:r>
        <w:rPr>
          <w:color w:val="231F20"/>
          <w:sz w:val="18"/>
        </w:rPr>
        <w:t>Replaces the view you next click with a circular gauge chart, which you can then customize for the data you want to show.</w:t>
      </w:r>
    </w:p>
    <w:p>
      <w:pPr>
        <w:spacing w:line="216" w:lineRule="auto" w:before="201"/>
        <w:ind w:left="3300" w:right="493" w:firstLine="0"/>
        <w:jc w:val="left"/>
        <w:rPr>
          <w:sz w:val="18"/>
        </w:rPr>
      </w:pPr>
      <w:r>
        <w:rPr/>
        <w:drawing>
          <wp:anchor distT="0" distB="0" distL="0" distR="0" allowOverlap="1" layoutInCell="1" locked="0" behindDoc="0" simplePos="0" relativeHeight="15747072">
            <wp:simplePos x="0" y="0"/>
            <wp:positionH relativeFrom="page">
              <wp:posOffset>2204928</wp:posOffset>
            </wp:positionH>
            <wp:positionV relativeFrom="paragraph">
              <wp:posOffset>159634</wp:posOffset>
            </wp:positionV>
            <wp:extent cx="101600" cy="101600"/>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48" cstate="print"/>
                    <a:stretch>
                      <a:fillRect/>
                    </a:stretch>
                  </pic:blipFill>
                  <pic:spPr>
                    <a:xfrm>
                      <a:off x="0" y="0"/>
                      <a:ext cx="101600" cy="101600"/>
                    </a:xfrm>
                    <a:prstGeom prst="rect">
                      <a:avLst/>
                    </a:prstGeom>
                  </pic:spPr>
                </pic:pic>
              </a:graphicData>
            </a:graphic>
          </wp:anchor>
        </w:drawing>
      </w:r>
      <w:r>
        <w:rPr>
          <w:color w:val="231F20"/>
          <w:sz w:val="18"/>
        </w:rPr>
        <w:t>Replaces the view you next click with a linear gauge chart, which you can then customize for the data you want to show.</w:t>
      </w:r>
    </w:p>
    <w:p>
      <w:pPr>
        <w:spacing w:line="223" w:lineRule="auto" w:before="196"/>
        <w:ind w:left="3300" w:right="274" w:firstLine="0"/>
        <w:jc w:val="left"/>
        <w:rPr>
          <w:sz w:val="18"/>
        </w:rPr>
      </w:pPr>
      <w:r>
        <w:rPr/>
        <w:drawing>
          <wp:anchor distT="0" distB="0" distL="0" distR="0" allowOverlap="1" layoutInCell="1" locked="0" behindDoc="0" simplePos="0" relativeHeight="15747584">
            <wp:simplePos x="0" y="0"/>
            <wp:positionH relativeFrom="page">
              <wp:posOffset>2217628</wp:posOffset>
            </wp:positionH>
            <wp:positionV relativeFrom="paragraph">
              <wp:posOffset>159898</wp:posOffset>
            </wp:positionV>
            <wp:extent cx="82550" cy="10160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49" cstate="print"/>
                    <a:stretch>
                      <a:fillRect/>
                    </a:stretch>
                  </pic:blipFill>
                  <pic:spPr>
                    <a:xfrm>
                      <a:off x="0" y="0"/>
                      <a:ext cx="82550" cy="101600"/>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2211278</wp:posOffset>
            </wp:positionH>
            <wp:positionV relativeFrom="paragraph">
              <wp:posOffset>432360</wp:posOffset>
            </wp:positionV>
            <wp:extent cx="95250" cy="95250"/>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50" cstate="print"/>
                    <a:stretch>
                      <a:fillRect/>
                    </a:stretch>
                  </pic:blipFill>
                  <pic:spPr>
                    <a:xfrm>
                      <a:off x="0" y="0"/>
                      <a:ext cx="95250" cy="95250"/>
                    </a:xfrm>
                    <a:prstGeom prst="rect">
                      <a:avLst/>
                    </a:prstGeom>
                  </pic:spPr>
                </pic:pic>
              </a:graphicData>
            </a:graphic>
          </wp:anchor>
        </w:drawing>
      </w:r>
      <w:r>
        <w:rPr>
          <w:color w:val="231F20"/>
          <w:sz w:val="18"/>
        </w:rPr>
        <w:t>The notepad view is a simple text editor for writing notes about the workspace.</w:t>
      </w:r>
      <w:r>
        <w:rPr>
          <w:color w:val="231F20"/>
          <w:spacing w:val="80"/>
          <w:sz w:val="18"/>
        </w:rPr>
        <w:t> </w:t>
      </w:r>
      <w:r>
        <w:rPr>
          <w:color w:val="231F20"/>
          <w:sz w:val="18"/>
        </w:rPr>
        <w:t>The table view shows a column for each attribute requested by the query and one</w:t>
      </w:r>
      <w:r>
        <w:rPr>
          <w:color w:val="231F20"/>
          <w:spacing w:val="40"/>
          <w:sz w:val="18"/>
        </w:rPr>
        <w:t> </w:t>
      </w:r>
      <w:r>
        <w:rPr>
          <w:color w:val="231F20"/>
          <w:sz w:val="18"/>
        </w:rPr>
        <w:t>or more rows of data. You can also get table views to show data samplings over a period of time.</w:t>
      </w:r>
    </w:p>
    <w:p>
      <w:pPr>
        <w:spacing w:line="216" w:lineRule="auto" w:before="200"/>
        <w:ind w:left="3300" w:right="545" w:firstLine="0"/>
        <w:jc w:val="left"/>
        <w:rPr>
          <w:sz w:val="18"/>
        </w:rPr>
      </w:pPr>
      <w:r>
        <w:rPr/>
        <w:drawing>
          <wp:anchor distT="0" distB="0" distL="0" distR="0" allowOverlap="1" layoutInCell="1" locked="0" behindDoc="0" simplePos="0" relativeHeight="15748608">
            <wp:simplePos x="0" y="0"/>
            <wp:positionH relativeFrom="page">
              <wp:posOffset>2204928</wp:posOffset>
            </wp:positionH>
            <wp:positionV relativeFrom="paragraph">
              <wp:posOffset>158686</wp:posOffset>
            </wp:positionV>
            <wp:extent cx="101600" cy="101600"/>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51" cstate="print"/>
                    <a:stretch>
                      <a:fillRect/>
                    </a:stretch>
                  </pic:blipFill>
                  <pic:spPr>
                    <a:xfrm>
                      <a:off x="0" y="0"/>
                      <a:ext cx="101600" cy="101600"/>
                    </a:xfrm>
                    <a:prstGeom prst="rect">
                      <a:avLst/>
                    </a:prstGeom>
                  </pic:spPr>
                </pic:pic>
              </a:graphicData>
            </a:graphic>
          </wp:anchor>
        </w:drawing>
      </w:r>
      <w:r>
        <w:rPr>
          <w:color w:val="231F20"/>
          <w:sz w:val="18"/>
        </w:rPr>
        <w:t>The message log view shows the status of events that have been opened on the entire monitored enterprise and can include up to 100 row entries at a time.</w:t>
      </w:r>
    </w:p>
    <w:p>
      <w:pPr>
        <w:spacing w:line="216" w:lineRule="auto" w:before="201"/>
        <w:ind w:left="3300" w:right="258" w:firstLine="0"/>
        <w:jc w:val="left"/>
        <w:rPr>
          <w:sz w:val="18"/>
        </w:rPr>
      </w:pPr>
      <w:r>
        <w:rPr/>
        <w:drawing>
          <wp:anchor distT="0" distB="0" distL="0" distR="0" allowOverlap="1" layoutInCell="1" locked="0" behindDoc="0" simplePos="0" relativeHeight="15749120">
            <wp:simplePos x="0" y="0"/>
            <wp:positionH relativeFrom="page">
              <wp:posOffset>2204928</wp:posOffset>
            </wp:positionH>
            <wp:positionV relativeFrom="paragraph">
              <wp:posOffset>159585</wp:posOffset>
            </wp:positionV>
            <wp:extent cx="101600" cy="101600"/>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52" cstate="print"/>
                    <a:stretch>
                      <a:fillRect/>
                    </a:stretch>
                  </pic:blipFill>
                  <pic:spPr>
                    <a:xfrm>
                      <a:off x="0" y="0"/>
                      <a:ext cx="101600" cy="101600"/>
                    </a:xfrm>
                    <a:prstGeom prst="rect">
                      <a:avLst/>
                    </a:prstGeom>
                  </pic:spPr>
                </pic:pic>
              </a:graphicData>
            </a:graphic>
          </wp:anchor>
        </w:drawing>
      </w:r>
      <w:r>
        <w:rPr>
          <w:color w:val="231F20"/>
          <w:sz w:val="18"/>
        </w:rPr>
        <w:t>The</w:t>
      </w:r>
      <w:r>
        <w:rPr>
          <w:color w:val="231F20"/>
          <w:spacing w:val="28"/>
          <w:sz w:val="18"/>
        </w:rPr>
        <w:t> </w:t>
      </w:r>
      <w:r>
        <w:rPr>
          <w:color w:val="231F20"/>
          <w:sz w:val="18"/>
        </w:rPr>
        <w:t>universal</w:t>
      </w:r>
      <w:r>
        <w:rPr>
          <w:color w:val="231F20"/>
          <w:spacing w:val="28"/>
          <w:sz w:val="18"/>
        </w:rPr>
        <w:t> </w:t>
      </w:r>
      <w:r>
        <w:rPr>
          <w:color w:val="231F20"/>
          <w:sz w:val="18"/>
        </w:rPr>
        <w:t>message</w:t>
      </w:r>
      <w:r>
        <w:rPr>
          <w:color w:val="231F20"/>
          <w:spacing w:val="28"/>
          <w:sz w:val="18"/>
        </w:rPr>
        <w:t> </w:t>
      </w:r>
      <w:r>
        <w:rPr>
          <w:color w:val="231F20"/>
          <w:sz w:val="18"/>
        </w:rPr>
        <w:t>console</w:t>
      </w:r>
      <w:r>
        <w:rPr>
          <w:color w:val="231F20"/>
          <w:spacing w:val="28"/>
          <w:sz w:val="18"/>
        </w:rPr>
        <w:t> </w:t>
      </w:r>
      <w:r>
        <w:rPr>
          <w:color w:val="231F20"/>
          <w:sz w:val="18"/>
        </w:rPr>
        <w:t>view</w:t>
      </w:r>
      <w:r>
        <w:rPr>
          <w:color w:val="231F20"/>
          <w:spacing w:val="28"/>
          <w:sz w:val="18"/>
        </w:rPr>
        <w:t> </w:t>
      </w:r>
      <w:r>
        <w:rPr>
          <w:color w:val="231F20"/>
          <w:sz w:val="18"/>
        </w:rPr>
        <w:t>displays</w:t>
      </w:r>
      <w:r>
        <w:rPr>
          <w:color w:val="231F20"/>
          <w:spacing w:val="28"/>
          <w:sz w:val="18"/>
        </w:rPr>
        <w:t> </w:t>
      </w:r>
      <w:r>
        <w:rPr>
          <w:color w:val="231F20"/>
          <w:sz w:val="18"/>
        </w:rPr>
        <w:t>situation</w:t>
      </w:r>
      <w:r>
        <w:rPr>
          <w:color w:val="231F20"/>
          <w:spacing w:val="28"/>
          <w:sz w:val="18"/>
        </w:rPr>
        <w:t> </w:t>
      </w:r>
      <w:r>
        <w:rPr>
          <w:color w:val="231F20"/>
          <w:sz w:val="18"/>
        </w:rPr>
        <w:t>and</w:t>
      </w:r>
      <w:r>
        <w:rPr>
          <w:color w:val="231F20"/>
          <w:spacing w:val="28"/>
          <w:sz w:val="18"/>
        </w:rPr>
        <w:t> </w:t>
      </w:r>
      <w:r>
        <w:rPr>
          <w:color w:val="231F20"/>
          <w:sz w:val="18"/>
        </w:rPr>
        <w:t>policy</w:t>
      </w:r>
      <w:r>
        <w:rPr>
          <w:color w:val="231F20"/>
          <w:spacing w:val="28"/>
          <w:sz w:val="18"/>
        </w:rPr>
        <w:t> </w:t>
      </w:r>
      <w:r>
        <w:rPr>
          <w:color w:val="231F20"/>
          <w:sz w:val="18"/>
        </w:rPr>
        <w:t>activities</w:t>
      </w:r>
      <w:r>
        <w:rPr>
          <w:color w:val="231F20"/>
          <w:spacing w:val="28"/>
          <w:sz w:val="18"/>
        </w:rPr>
        <w:t> </w:t>
      </w:r>
      <w:r>
        <w:rPr>
          <w:color w:val="231F20"/>
          <w:sz w:val="18"/>
        </w:rPr>
        <w:t>as they happen, such as when a situation has been created or deleted or a policy has been activated.</w:t>
      </w:r>
    </w:p>
    <w:p>
      <w:pPr>
        <w:spacing w:line="216" w:lineRule="auto" w:before="202"/>
        <w:ind w:left="3300" w:right="258" w:firstLine="0"/>
        <w:jc w:val="left"/>
        <w:rPr>
          <w:sz w:val="18"/>
        </w:rPr>
      </w:pPr>
      <w:r>
        <w:rPr/>
        <w:drawing>
          <wp:anchor distT="0" distB="0" distL="0" distR="0" allowOverlap="1" layoutInCell="1" locked="0" behindDoc="0" simplePos="0" relativeHeight="15749632">
            <wp:simplePos x="0" y="0"/>
            <wp:positionH relativeFrom="page">
              <wp:posOffset>2211278</wp:posOffset>
            </wp:positionH>
            <wp:positionV relativeFrom="paragraph">
              <wp:posOffset>166772</wp:posOffset>
            </wp:positionV>
            <wp:extent cx="95250" cy="95250"/>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53" cstate="print"/>
                    <a:stretch>
                      <a:fillRect/>
                    </a:stretch>
                  </pic:blipFill>
                  <pic:spPr>
                    <a:xfrm>
                      <a:off x="0" y="0"/>
                      <a:ext cx="95250" cy="95250"/>
                    </a:xfrm>
                    <a:prstGeom prst="rect">
                      <a:avLst/>
                    </a:prstGeom>
                  </pic:spPr>
                </pic:pic>
              </a:graphicData>
            </a:graphic>
          </wp:anchor>
        </w:drawing>
      </w:r>
      <w:r>
        <w:rPr>
          <w:color w:val="231F20"/>
          <w:sz w:val="18"/>
        </w:rPr>
        <w:t>The graphic view places Navigator items and their alerts as icons on a map or a picture to represent your monitored environment. Alerts show on these icons just as they do in the Navigator.</w:t>
      </w:r>
    </w:p>
    <w:p>
      <w:pPr>
        <w:spacing w:before="184"/>
        <w:ind w:left="3300" w:right="0" w:firstLine="0"/>
        <w:jc w:val="both"/>
        <w:rPr>
          <w:sz w:val="18"/>
        </w:rPr>
      </w:pPr>
      <w:r>
        <w:rPr/>
        <w:drawing>
          <wp:anchor distT="0" distB="0" distL="0" distR="0" allowOverlap="1" layoutInCell="1" locked="0" behindDoc="0" simplePos="0" relativeHeight="15750144">
            <wp:simplePos x="0" y="0"/>
            <wp:positionH relativeFrom="page">
              <wp:posOffset>2217628</wp:posOffset>
            </wp:positionH>
            <wp:positionV relativeFrom="paragraph">
              <wp:posOffset>160623</wp:posOffset>
            </wp:positionV>
            <wp:extent cx="76200" cy="95250"/>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54" cstate="print"/>
                    <a:stretch>
                      <a:fillRect/>
                    </a:stretch>
                  </pic:blipFill>
                  <pic:spPr>
                    <a:xfrm>
                      <a:off x="0" y="0"/>
                      <a:ext cx="76200" cy="95250"/>
                    </a:xfrm>
                    <a:prstGeom prst="rect">
                      <a:avLst/>
                    </a:prstGeom>
                  </pic:spPr>
                </pic:pic>
              </a:graphicData>
            </a:graphic>
          </wp:anchor>
        </w:drawing>
      </w:r>
      <w:r>
        <w:rPr>
          <w:color w:val="231F20"/>
          <w:sz w:val="18"/>
        </w:rPr>
        <w:t>The</w:t>
      </w:r>
      <w:r>
        <w:rPr>
          <w:color w:val="231F20"/>
          <w:spacing w:val="10"/>
          <w:sz w:val="18"/>
        </w:rPr>
        <w:t> </w:t>
      </w:r>
      <w:r>
        <w:rPr>
          <w:color w:val="231F20"/>
          <w:sz w:val="18"/>
        </w:rPr>
        <w:t>take</w:t>
      </w:r>
      <w:r>
        <w:rPr>
          <w:color w:val="231F20"/>
          <w:spacing w:val="10"/>
          <w:sz w:val="18"/>
        </w:rPr>
        <w:t> </w:t>
      </w:r>
      <w:r>
        <w:rPr>
          <w:color w:val="231F20"/>
          <w:sz w:val="18"/>
        </w:rPr>
        <w:t>action</w:t>
      </w:r>
      <w:r>
        <w:rPr>
          <w:color w:val="231F20"/>
          <w:spacing w:val="10"/>
          <w:sz w:val="18"/>
        </w:rPr>
        <w:t> </w:t>
      </w:r>
      <w:r>
        <w:rPr>
          <w:color w:val="231F20"/>
          <w:sz w:val="18"/>
        </w:rPr>
        <w:t>view</w:t>
      </w:r>
      <w:r>
        <w:rPr>
          <w:color w:val="231F20"/>
          <w:spacing w:val="11"/>
          <w:sz w:val="18"/>
        </w:rPr>
        <w:t> </w:t>
      </w:r>
      <w:r>
        <w:rPr>
          <w:color w:val="231F20"/>
          <w:sz w:val="18"/>
        </w:rPr>
        <w:t>enables</w:t>
      </w:r>
      <w:r>
        <w:rPr>
          <w:color w:val="231F20"/>
          <w:spacing w:val="10"/>
          <w:sz w:val="18"/>
        </w:rPr>
        <w:t> </w:t>
      </w:r>
      <w:r>
        <w:rPr>
          <w:color w:val="231F20"/>
          <w:sz w:val="18"/>
        </w:rPr>
        <w:t>you</w:t>
      </w:r>
      <w:r>
        <w:rPr>
          <w:color w:val="231F20"/>
          <w:spacing w:val="10"/>
          <w:sz w:val="18"/>
        </w:rPr>
        <w:t> </w:t>
      </w:r>
      <w:r>
        <w:rPr>
          <w:color w:val="231F20"/>
          <w:sz w:val="18"/>
        </w:rPr>
        <w:t>to</w:t>
      </w:r>
      <w:r>
        <w:rPr>
          <w:color w:val="231F20"/>
          <w:spacing w:val="11"/>
          <w:sz w:val="18"/>
        </w:rPr>
        <w:t> </w:t>
      </w:r>
      <w:r>
        <w:rPr>
          <w:color w:val="231F20"/>
          <w:sz w:val="18"/>
        </w:rPr>
        <w:t>send</w:t>
      </w:r>
      <w:r>
        <w:rPr>
          <w:color w:val="231F20"/>
          <w:spacing w:val="10"/>
          <w:sz w:val="18"/>
        </w:rPr>
        <w:t> </w:t>
      </w:r>
      <w:r>
        <w:rPr>
          <w:color w:val="231F20"/>
          <w:sz w:val="18"/>
        </w:rPr>
        <w:t>a</w:t>
      </w:r>
      <w:r>
        <w:rPr>
          <w:color w:val="231F20"/>
          <w:spacing w:val="10"/>
          <w:sz w:val="18"/>
        </w:rPr>
        <w:t> </w:t>
      </w:r>
      <w:r>
        <w:rPr>
          <w:color w:val="231F20"/>
          <w:sz w:val="18"/>
        </w:rPr>
        <w:t>command</w:t>
      </w:r>
      <w:r>
        <w:rPr>
          <w:color w:val="231F20"/>
          <w:spacing w:val="10"/>
          <w:sz w:val="18"/>
        </w:rPr>
        <w:t> </w:t>
      </w:r>
      <w:r>
        <w:rPr>
          <w:color w:val="231F20"/>
          <w:sz w:val="18"/>
        </w:rPr>
        <w:t>to</w:t>
      </w:r>
      <w:r>
        <w:rPr>
          <w:color w:val="231F20"/>
          <w:spacing w:val="11"/>
          <w:sz w:val="18"/>
        </w:rPr>
        <w:t> </w:t>
      </w:r>
      <w:r>
        <w:rPr>
          <w:color w:val="231F20"/>
          <w:sz w:val="18"/>
        </w:rPr>
        <w:t>a</w:t>
      </w:r>
      <w:r>
        <w:rPr>
          <w:color w:val="231F20"/>
          <w:spacing w:val="10"/>
          <w:sz w:val="18"/>
        </w:rPr>
        <w:t> </w:t>
      </w:r>
      <w:r>
        <w:rPr>
          <w:color w:val="231F20"/>
          <w:sz w:val="18"/>
        </w:rPr>
        <w:t>managed</w:t>
      </w:r>
      <w:r>
        <w:rPr>
          <w:color w:val="231F20"/>
          <w:spacing w:val="10"/>
          <w:sz w:val="18"/>
        </w:rPr>
        <w:t> </w:t>
      </w:r>
      <w:r>
        <w:rPr>
          <w:color w:val="231F20"/>
          <w:spacing w:val="-2"/>
          <w:sz w:val="18"/>
        </w:rPr>
        <w:t>system.</w:t>
      </w:r>
    </w:p>
    <w:p>
      <w:pPr>
        <w:spacing w:line="216" w:lineRule="auto" w:before="195"/>
        <w:ind w:left="3300" w:right="545" w:firstLine="0"/>
        <w:jc w:val="left"/>
        <w:rPr>
          <w:sz w:val="18"/>
        </w:rPr>
      </w:pPr>
      <w:r>
        <w:rPr/>
        <w:drawing>
          <wp:anchor distT="0" distB="0" distL="0" distR="0" allowOverlap="1" layoutInCell="1" locked="0" behindDoc="0" simplePos="0" relativeHeight="15750656">
            <wp:simplePos x="0" y="0"/>
            <wp:positionH relativeFrom="page">
              <wp:posOffset>2211278</wp:posOffset>
            </wp:positionH>
            <wp:positionV relativeFrom="paragraph">
              <wp:posOffset>162041</wp:posOffset>
            </wp:positionV>
            <wp:extent cx="95250" cy="88900"/>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55" cstate="print"/>
                    <a:stretch>
                      <a:fillRect/>
                    </a:stretch>
                  </pic:blipFill>
                  <pic:spPr>
                    <a:xfrm>
                      <a:off x="0" y="0"/>
                      <a:ext cx="95250" cy="88900"/>
                    </a:xfrm>
                    <a:prstGeom prst="rect">
                      <a:avLst/>
                    </a:prstGeom>
                  </pic:spPr>
                </pic:pic>
              </a:graphicData>
            </a:graphic>
          </wp:anchor>
        </w:drawing>
      </w:r>
      <w:r>
        <w:rPr>
          <w:color w:val="231F20"/>
          <w:sz w:val="18"/>
        </w:rPr>
        <w:t>The terminal view starts a 3270 or 5250 session for working with z/OS</w:t>
      </w:r>
      <w:r>
        <w:rPr>
          <w:color w:val="231F20"/>
          <w:spacing w:val="40"/>
          <w:sz w:val="18"/>
        </w:rPr>
        <w:t> </w:t>
      </w:r>
      <w:r>
        <w:rPr>
          <w:color w:val="231F20"/>
          <w:sz w:val="18"/>
        </w:rPr>
        <w:t>applications,</w:t>
      </w:r>
      <w:r>
        <w:rPr>
          <w:color w:val="231F20"/>
          <w:spacing w:val="13"/>
          <w:sz w:val="18"/>
        </w:rPr>
        <w:t> </w:t>
      </w:r>
      <w:r>
        <w:rPr>
          <w:color w:val="231F20"/>
          <w:sz w:val="18"/>
        </w:rPr>
        <w:t>or</w:t>
      </w:r>
      <w:r>
        <w:rPr>
          <w:color w:val="231F20"/>
          <w:spacing w:val="13"/>
          <w:sz w:val="18"/>
        </w:rPr>
        <w:t> </w:t>
      </w:r>
      <w:r>
        <w:rPr>
          <w:color w:val="231F20"/>
          <w:sz w:val="18"/>
        </w:rPr>
        <w:t>a</w:t>
      </w:r>
      <w:r>
        <w:rPr>
          <w:color w:val="231F20"/>
          <w:spacing w:val="13"/>
          <w:sz w:val="18"/>
        </w:rPr>
        <w:t> </w:t>
      </w:r>
      <w:r>
        <w:rPr>
          <w:color w:val="231F20"/>
          <w:sz w:val="18"/>
        </w:rPr>
        <w:t>Telnet</w:t>
      </w:r>
      <w:r>
        <w:rPr>
          <w:color w:val="231F20"/>
          <w:spacing w:val="13"/>
          <w:sz w:val="18"/>
        </w:rPr>
        <w:t> </w:t>
      </w:r>
      <w:r>
        <w:rPr>
          <w:color w:val="231F20"/>
          <w:sz w:val="18"/>
        </w:rPr>
        <w:t>session</w:t>
      </w:r>
      <w:r>
        <w:rPr>
          <w:color w:val="231F20"/>
          <w:spacing w:val="13"/>
          <w:sz w:val="18"/>
        </w:rPr>
        <w:t> </w:t>
      </w:r>
      <w:r>
        <w:rPr>
          <w:color w:val="231F20"/>
          <w:sz w:val="18"/>
        </w:rPr>
        <w:t>for</w:t>
      </w:r>
      <w:r>
        <w:rPr>
          <w:color w:val="231F20"/>
          <w:spacing w:val="13"/>
          <w:sz w:val="18"/>
        </w:rPr>
        <w:t> </w:t>
      </w:r>
      <w:r>
        <w:rPr>
          <w:color w:val="231F20"/>
          <w:sz w:val="18"/>
        </w:rPr>
        <w:t>working</w:t>
      </w:r>
      <w:r>
        <w:rPr>
          <w:color w:val="231F20"/>
          <w:spacing w:val="13"/>
          <w:sz w:val="18"/>
        </w:rPr>
        <w:t> </w:t>
      </w:r>
      <w:r>
        <w:rPr>
          <w:color w:val="231F20"/>
          <w:sz w:val="18"/>
        </w:rPr>
        <w:t>with</w:t>
      </w:r>
      <w:r>
        <w:rPr>
          <w:color w:val="231F20"/>
          <w:spacing w:val="13"/>
          <w:sz w:val="18"/>
        </w:rPr>
        <w:t> </w:t>
      </w:r>
      <w:r>
        <w:rPr>
          <w:color w:val="231F20"/>
          <w:sz w:val="18"/>
        </w:rPr>
        <w:t>the</w:t>
      </w:r>
      <w:r>
        <w:rPr>
          <w:color w:val="231F20"/>
          <w:spacing w:val="13"/>
          <w:sz w:val="18"/>
        </w:rPr>
        <w:t> </w:t>
      </w:r>
      <w:r>
        <w:rPr>
          <w:color w:val="231F20"/>
          <w:sz w:val="18"/>
        </w:rPr>
        <w:t>TCP/IP</w:t>
      </w:r>
      <w:r>
        <w:rPr>
          <w:color w:val="231F20"/>
          <w:spacing w:val="10"/>
          <w:sz w:val="18"/>
        </w:rPr>
        <w:t> </w:t>
      </w:r>
      <w:r>
        <w:rPr>
          <w:color w:val="231F20"/>
          <w:spacing w:val="-2"/>
          <w:sz w:val="18"/>
        </w:rPr>
        <w:t>network.</w:t>
      </w:r>
    </w:p>
    <w:p>
      <w:pPr>
        <w:spacing w:line="216" w:lineRule="auto" w:before="201"/>
        <w:ind w:left="3300" w:right="545" w:firstLine="0"/>
        <w:jc w:val="left"/>
        <w:rPr>
          <w:sz w:val="18"/>
        </w:rPr>
      </w:pPr>
      <w:r>
        <w:rPr/>
        <w:drawing>
          <wp:anchor distT="0" distB="0" distL="0" distR="0" allowOverlap="1" layoutInCell="1" locked="0" behindDoc="0" simplePos="0" relativeHeight="15751168">
            <wp:simplePos x="0" y="0"/>
            <wp:positionH relativeFrom="page">
              <wp:posOffset>2211278</wp:posOffset>
            </wp:positionH>
            <wp:positionV relativeFrom="paragraph">
              <wp:posOffset>166116</wp:posOffset>
            </wp:positionV>
            <wp:extent cx="95250" cy="95250"/>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56" cstate="print"/>
                    <a:stretch>
                      <a:fillRect/>
                    </a:stretch>
                  </pic:blipFill>
                  <pic:spPr>
                    <a:xfrm>
                      <a:off x="0" y="0"/>
                      <a:ext cx="95250" cy="95250"/>
                    </a:xfrm>
                    <a:prstGeom prst="rect">
                      <a:avLst/>
                    </a:prstGeom>
                  </pic:spPr>
                </pic:pic>
              </a:graphicData>
            </a:graphic>
          </wp:anchor>
        </w:drawing>
      </w:r>
      <w:r>
        <w:rPr>
          <w:color w:val="231F20"/>
          <w:sz w:val="18"/>
        </w:rPr>
        <w:t>The browser view opens the Tivoli Enterprise Portal integrated browser for accessing web pages and web applications.</w:t>
      </w:r>
    </w:p>
    <w:p>
      <w:pPr>
        <w:spacing w:after="0" w:line="216" w:lineRule="auto"/>
        <w:jc w:val="left"/>
        <w:rPr>
          <w:sz w:val="18"/>
        </w:rPr>
        <w:sectPr>
          <w:pgSz w:w="12240" w:h="15840"/>
          <w:pgMar w:header="0" w:footer="736" w:top="1260" w:bottom="920" w:left="1000" w:right="1060"/>
        </w:sectPr>
      </w:pPr>
    </w:p>
    <w:p>
      <w:pPr>
        <w:spacing w:line="216" w:lineRule="auto" w:before="86"/>
        <w:ind w:left="3061" w:right="545" w:firstLine="0"/>
        <w:jc w:val="left"/>
        <w:rPr>
          <w:sz w:val="18"/>
        </w:rPr>
      </w:pPr>
      <w:r>
        <w:rPr/>
        <w:drawing>
          <wp:anchor distT="0" distB="0" distL="0" distR="0" allowOverlap="1" layoutInCell="1" locked="0" behindDoc="0" simplePos="0" relativeHeight="15751680">
            <wp:simplePos x="0" y="0"/>
            <wp:positionH relativeFrom="page">
              <wp:posOffset>2059213</wp:posOffset>
            </wp:positionH>
            <wp:positionV relativeFrom="paragraph">
              <wp:posOffset>92842</wp:posOffset>
            </wp:positionV>
            <wp:extent cx="95250" cy="88900"/>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57" cstate="print"/>
                    <a:stretch>
                      <a:fillRect/>
                    </a:stretch>
                  </pic:blipFill>
                  <pic:spPr>
                    <a:xfrm>
                      <a:off x="0" y="0"/>
                      <a:ext cx="95250" cy="88900"/>
                    </a:xfrm>
                    <a:prstGeom prst="rect">
                      <a:avLst/>
                    </a:prstGeom>
                  </pic:spPr>
                </pic:pic>
              </a:graphicData>
            </a:graphic>
          </wp:anchor>
        </w:drawing>
      </w:r>
      <w:r>
        <w:rPr>
          <w:color w:val="231F20"/>
          <w:sz w:val="18"/>
        </w:rPr>
        <w:t>A topology view can be added to a workspace to show the arrangement of monitored components associated with its Navigator item. Most Navigator items have at least one topology source available for the topology view, and some have multiple topology sources from which to chose.</w:t>
      </w:r>
    </w:p>
    <w:p>
      <w:pPr>
        <w:spacing w:line="216" w:lineRule="auto" w:before="203"/>
        <w:ind w:left="3061" w:right="545" w:firstLine="0"/>
        <w:jc w:val="left"/>
        <w:rPr>
          <w:sz w:val="18"/>
        </w:rPr>
      </w:pPr>
      <w:r>
        <w:rPr/>
        <w:drawing>
          <wp:anchor distT="0" distB="0" distL="0" distR="0" allowOverlap="1" layoutInCell="1" locked="0" behindDoc="0" simplePos="0" relativeHeight="15752192">
            <wp:simplePos x="0" y="0"/>
            <wp:positionH relativeFrom="page">
              <wp:posOffset>2059213</wp:posOffset>
            </wp:positionH>
            <wp:positionV relativeFrom="paragraph">
              <wp:posOffset>167276</wp:posOffset>
            </wp:positionV>
            <wp:extent cx="95250" cy="95250"/>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58" cstate="print"/>
                    <a:stretch>
                      <a:fillRect/>
                    </a:stretch>
                  </pic:blipFill>
                  <pic:spPr>
                    <a:xfrm>
                      <a:off x="0" y="0"/>
                      <a:ext cx="95250" cy="95250"/>
                    </a:xfrm>
                    <a:prstGeom prst="rect">
                      <a:avLst/>
                    </a:prstGeom>
                  </pic:spPr>
                </pic:pic>
              </a:graphicData>
            </a:graphic>
          </wp:anchor>
        </w:drawing>
      </w:r>
      <w:r>
        <w:rPr>
          <w:color w:val="231F20"/>
          <w:sz w:val="18"/>
        </w:rPr>
        <w:t>The</w:t>
      </w:r>
      <w:r>
        <w:rPr>
          <w:color w:val="231F20"/>
          <w:spacing w:val="26"/>
          <w:sz w:val="18"/>
        </w:rPr>
        <w:t> </w:t>
      </w:r>
      <w:r>
        <w:rPr>
          <w:color w:val="231F20"/>
          <w:sz w:val="18"/>
        </w:rPr>
        <w:t>situation</w:t>
      </w:r>
      <w:r>
        <w:rPr>
          <w:color w:val="231F20"/>
          <w:spacing w:val="26"/>
          <w:sz w:val="18"/>
        </w:rPr>
        <w:t> </w:t>
      </w:r>
      <w:r>
        <w:rPr>
          <w:color w:val="231F20"/>
          <w:sz w:val="18"/>
        </w:rPr>
        <w:t>event</w:t>
      </w:r>
      <w:r>
        <w:rPr>
          <w:color w:val="231F20"/>
          <w:spacing w:val="26"/>
          <w:sz w:val="18"/>
        </w:rPr>
        <w:t> </w:t>
      </w:r>
      <w:r>
        <w:rPr>
          <w:color w:val="231F20"/>
          <w:sz w:val="18"/>
        </w:rPr>
        <w:t>console</w:t>
      </w:r>
      <w:r>
        <w:rPr>
          <w:color w:val="231F20"/>
          <w:spacing w:val="26"/>
          <w:sz w:val="18"/>
        </w:rPr>
        <w:t> </w:t>
      </w:r>
      <w:r>
        <w:rPr>
          <w:color w:val="231F20"/>
          <w:sz w:val="18"/>
        </w:rPr>
        <w:t>view</w:t>
      </w:r>
      <w:r>
        <w:rPr>
          <w:color w:val="231F20"/>
          <w:spacing w:val="26"/>
          <w:sz w:val="18"/>
        </w:rPr>
        <w:t> </w:t>
      </w:r>
      <w:r>
        <w:rPr>
          <w:color w:val="231F20"/>
          <w:sz w:val="18"/>
        </w:rPr>
        <w:t>shows</w:t>
      </w:r>
      <w:r>
        <w:rPr>
          <w:color w:val="231F20"/>
          <w:spacing w:val="26"/>
          <w:sz w:val="18"/>
        </w:rPr>
        <w:t> </w:t>
      </w:r>
      <w:r>
        <w:rPr>
          <w:color w:val="231F20"/>
          <w:sz w:val="18"/>
        </w:rPr>
        <w:t>the</w:t>
      </w:r>
      <w:r>
        <w:rPr>
          <w:color w:val="231F20"/>
          <w:spacing w:val="26"/>
          <w:sz w:val="18"/>
        </w:rPr>
        <w:t> </w:t>
      </w:r>
      <w:r>
        <w:rPr>
          <w:color w:val="231F20"/>
          <w:sz w:val="18"/>
        </w:rPr>
        <w:t>status</w:t>
      </w:r>
      <w:r>
        <w:rPr>
          <w:color w:val="231F20"/>
          <w:spacing w:val="26"/>
          <w:sz w:val="18"/>
        </w:rPr>
        <w:t> </w:t>
      </w:r>
      <w:r>
        <w:rPr>
          <w:color w:val="231F20"/>
          <w:sz w:val="18"/>
        </w:rPr>
        <w:t>of</w:t>
      </w:r>
      <w:r>
        <w:rPr>
          <w:color w:val="231F20"/>
          <w:spacing w:val="26"/>
          <w:sz w:val="18"/>
        </w:rPr>
        <w:t> </w:t>
      </w:r>
      <w:r>
        <w:rPr>
          <w:color w:val="231F20"/>
          <w:sz w:val="18"/>
        </w:rPr>
        <w:t>events</w:t>
      </w:r>
      <w:r>
        <w:rPr>
          <w:color w:val="231F20"/>
          <w:spacing w:val="26"/>
          <w:sz w:val="18"/>
        </w:rPr>
        <w:t> </w:t>
      </w:r>
      <w:r>
        <w:rPr>
          <w:color w:val="231F20"/>
          <w:sz w:val="18"/>
        </w:rPr>
        <w:t>that</w:t>
      </w:r>
      <w:r>
        <w:rPr>
          <w:color w:val="231F20"/>
          <w:spacing w:val="26"/>
          <w:sz w:val="18"/>
        </w:rPr>
        <w:t> </w:t>
      </w:r>
      <w:r>
        <w:rPr>
          <w:color w:val="231F20"/>
          <w:sz w:val="18"/>
        </w:rPr>
        <w:t>have</w:t>
      </w:r>
      <w:r>
        <w:rPr>
          <w:color w:val="231F20"/>
          <w:spacing w:val="26"/>
          <w:sz w:val="18"/>
        </w:rPr>
        <w:t> </w:t>
      </w:r>
      <w:r>
        <w:rPr>
          <w:color w:val="231F20"/>
          <w:sz w:val="18"/>
        </w:rPr>
        <w:t>been opened on this branch of the Navigator, such as the state and how long the event has been open.</w:t>
      </w:r>
    </w:p>
    <w:p>
      <w:pPr>
        <w:spacing w:line="216" w:lineRule="auto" w:before="23"/>
        <w:ind w:left="3061" w:right="574" w:firstLine="0"/>
        <w:jc w:val="both"/>
        <w:rPr>
          <w:sz w:val="18"/>
        </w:rPr>
      </w:pPr>
      <w:r>
        <w:rPr/>
        <w:drawing>
          <wp:anchor distT="0" distB="0" distL="0" distR="0" allowOverlap="1" layoutInCell="1" locked="0" behindDoc="0" simplePos="0" relativeHeight="15752704">
            <wp:simplePos x="0" y="0"/>
            <wp:positionH relativeFrom="page">
              <wp:posOffset>2052863</wp:posOffset>
            </wp:positionH>
            <wp:positionV relativeFrom="paragraph">
              <wp:posOffset>46444</wp:posOffset>
            </wp:positionV>
            <wp:extent cx="101600" cy="10160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59" cstate="print"/>
                    <a:stretch>
                      <a:fillRect/>
                    </a:stretch>
                  </pic:blipFill>
                  <pic:spPr>
                    <a:xfrm>
                      <a:off x="0" y="0"/>
                      <a:ext cx="101600" cy="101600"/>
                    </a:xfrm>
                    <a:prstGeom prst="rect">
                      <a:avLst/>
                    </a:prstGeom>
                  </pic:spPr>
                </pic:pic>
              </a:graphicData>
            </a:graphic>
          </wp:anchor>
        </w:drawing>
      </w:r>
      <w:r>
        <w:rPr>
          <w:color w:val="231F20"/>
          <w:sz w:val="18"/>
        </w:rPr>
        <w:t>The common event console view is able to integrates events from multiple event repositories: Tivoli Enterprise Monitoring Server, Tivoli Enterprise Console event server, and Netcool/OMNIbus ObjectServer.</w:t>
      </w:r>
    </w:p>
    <w:p>
      <w:pPr>
        <w:spacing w:line="216" w:lineRule="auto" w:before="202"/>
        <w:ind w:left="3061" w:right="636" w:firstLine="0"/>
        <w:jc w:val="left"/>
        <w:rPr>
          <w:sz w:val="18"/>
        </w:rPr>
      </w:pPr>
      <w:r>
        <w:rPr/>
        <w:drawing>
          <wp:anchor distT="0" distB="0" distL="0" distR="0" allowOverlap="1" layoutInCell="1" locked="0" behindDoc="0" simplePos="0" relativeHeight="15753216">
            <wp:simplePos x="0" y="0"/>
            <wp:positionH relativeFrom="page">
              <wp:posOffset>2052863</wp:posOffset>
            </wp:positionH>
            <wp:positionV relativeFrom="paragraph">
              <wp:posOffset>160311</wp:posOffset>
            </wp:positionV>
            <wp:extent cx="95250" cy="95250"/>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60" cstate="print"/>
                    <a:stretch>
                      <a:fillRect/>
                    </a:stretch>
                  </pic:blipFill>
                  <pic:spPr>
                    <a:xfrm>
                      <a:off x="0" y="0"/>
                      <a:ext cx="95250" cy="95250"/>
                    </a:xfrm>
                    <a:prstGeom prst="rect">
                      <a:avLst/>
                    </a:prstGeom>
                  </pic:spPr>
                </pic:pic>
              </a:graphicData>
            </a:graphic>
          </wp:anchor>
        </w:drawing>
      </w:r>
      <w:r>
        <w:rPr>
          <w:color w:val="231F20"/>
          <w:sz w:val="18"/>
        </w:rPr>
        <w:t>The Tivoli Enterprise Console</w:t>
      </w:r>
      <w:r>
        <w:rPr>
          <w:color w:val="231F20"/>
          <w:sz w:val="18"/>
          <w:vertAlign w:val="superscript"/>
        </w:rPr>
        <w:t>®</w:t>
      </w:r>
      <w:r>
        <w:rPr>
          <w:color w:val="231F20"/>
          <w:sz w:val="18"/>
          <w:vertAlign w:val="baseline"/>
        </w:rPr>
        <w:t> event viewer integrates events from the Tivoli Enterprise Console Server with those from the Tivoli Enterprise Monitoring </w:t>
      </w:r>
      <w:r>
        <w:rPr>
          <w:color w:val="231F20"/>
          <w:spacing w:val="-2"/>
          <w:sz w:val="18"/>
          <w:vertAlign w:val="baseline"/>
        </w:rPr>
        <w:t>Server.</w:t>
      </w:r>
    </w:p>
    <w:p>
      <w:pPr>
        <w:spacing w:line="216" w:lineRule="auto" w:before="23"/>
        <w:ind w:left="3061" w:right="636" w:firstLine="0"/>
        <w:jc w:val="left"/>
        <w:rPr>
          <w:sz w:val="18"/>
        </w:rPr>
      </w:pPr>
      <w:r>
        <w:rPr/>
        <w:drawing>
          <wp:anchor distT="0" distB="0" distL="0" distR="0" allowOverlap="1" layoutInCell="1" locked="0" behindDoc="0" simplePos="0" relativeHeight="15753728">
            <wp:simplePos x="0" y="0"/>
            <wp:positionH relativeFrom="page">
              <wp:posOffset>2059213</wp:posOffset>
            </wp:positionH>
            <wp:positionV relativeFrom="paragraph">
              <wp:posOffset>52814</wp:posOffset>
            </wp:positionV>
            <wp:extent cx="95250" cy="95250"/>
            <wp:effectExtent l="0" t="0" r="0" b="0"/>
            <wp:wrapNone/>
            <wp:docPr id="66" name="Image 66"/>
            <wp:cNvGraphicFramePr>
              <a:graphicFrameLocks/>
            </wp:cNvGraphicFramePr>
            <a:graphic>
              <a:graphicData uri="http://schemas.openxmlformats.org/drawingml/2006/picture">
                <pic:pic>
                  <pic:nvPicPr>
                    <pic:cNvPr id="66" name="Image 66"/>
                    <pic:cNvPicPr/>
                  </pic:nvPicPr>
                  <pic:blipFill>
                    <a:blip r:embed="rId61" cstate="print"/>
                    <a:stretch>
                      <a:fillRect/>
                    </a:stretch>
                  </pic:blipFill>
                  <pic:spPr>
                    <a:xfrm>
                      <a:off x="0" y="0"/>
                      <a:ext cx="95250" cy="95250"/>
                    </a:xfrm>
                    <a:prstGeom prst="rect">
                      <a:avLst/>
                    </a:prstGeom>
                  </pic:spPr>
                </pic:pic>
              </a:graphicData>
            </a:graphic>
          </wp:anchor>
        </w:drawing>
      </w:r>
      <w:r>
        <w:rPr>
          <w:color w:val="231F20"/>
          <w:sz w:val="18"/>
        </w:rPr>
        <w:t>For performance analysis, you can specify a time span to use for the workspaces that get opened. Historical navigation mode is easily started and stopped, and</w:t>
      </w:r>
      <w:r>
        <w:rPr>
          <w:color w:val="231F20"/>
          <w:spacing w:val="40"/>
          <w:sz w:val="18"/>
        </w:rPr>
        <w:t> </w:t>
      </w:r>
      <w:r>
        <w:rPr>
          <w:color w:val="231F20"/>
          <w:sz w:val="18"/>
        </w:rPr>
        <w:t>you can adjust the time span.</w:t>
      </w:r>
    </w:p>
    <w:p>
      <w:pPr>
        <w:pStyle w:val="BodyText"/>
        <w:spacing w:before="74"/>
        <w:rPr>
          <w:sz w:val="18"/>
        </w:rPr>
      </w:pPr>
    </w:p>
    <w:p>
      <w:pPr>
        <w:spacing w:before="0"/>
        <w:ind w:left="2951" w:right="0" w:firstLine="0"/>
        <w:jc w:val="left"/>
        <w:rPr>
          <w:sz w:val="20"/>
        </w:rPr>
      </w:pPr>
      <w:r>
        <w:rPr>
          <w:color w:val="231F20"/>
          <w:sz w:val="20"/>
        </w:rPr>
        <w:t>You</w:t>
      </w:r>
      <w:r>
        <w:rPr>
          <w:color w:val="231F20"/>
          <w:spacing w:val="7"/>
          <w:sz w:val="20"/>
        </w:rPr>
        <w:t> </w:t>
      </w:r>
      <w:r>
        <w:rPr>
          <w:color w:val="231F20"/>
          <w:sz w:val="20"/>
        </w:rPr>
        <w:t>can</w:t>
      </w:r>
      <w:r>
        <w:rPr>
          <w:color w:val="231F20"/>
          <w:spacing w:val="8"/>
          <w:sz w:val="20"/>
        </w:rPr>
        <w:t> </w:t>
      </w:r>
      <w:r>
        <w:rPr>
          <w:color w:val="231F20"/>
          <w:sz w:val="20"/>
        </w:rPr>
        <w:t>hide</w:t>
      </w:r>
      <w:r>
        <w:rPr>
          <w:color w:val="231F20"/>
          <w:spacing w:val="7"/>
          <w:sz w:val="20"/>
        </w:rPr>
        <w:t> </w:t>
      </w:r>
      <w:r>
        <w:rPr>
          <w:color w:val="231F20"/>
          <w:sz w:val="20"/>
        </w:rPr>
        <w:t>the</w:t>
      </w:r>
      <w:r>
        <w:rPr>
          <w:color w:val="231F20"/>
          <w:spacing w:val="8"/>
          <w:sz w:val="20"/>
        </w:rPr>
        <w:t> </w:t>
      </w:r>
      <w:r>
        <w:rPr>
          <w:color w:val="231F20"/>
          <w:sz w:val="20"/>
        </w:rPr>
        <w:t>toolbar</w:t>
      </w:r>
      <w:r>
        <w:rPr>
          <w:color w:val="231F20"/>
          <w:spacing w:val="8"/>
          <w:sz w:val="20"/>
        </w:rPr>
        <w:t> </w:t>
      </w:r>
      <w:r>
        <w:rPr>
          <w:color w:val="231F20"/>
          <w:sz w:val="20"/>
        </w:rPr>
        <w:t>with</w:t>
      </w:r>
      <w:r>
        <w:rPr>
          <w:color w:val="231F20"/>
          <w:spacing w:val="7"/>
          <w:sz w:val="20"/>
        </w:rPr>
        <w:t> </w:t>
      </w:r>
      <w:r>
        <w:rPr>
          <w:rFonts w:ascii="Book Antiqua" w:hAnsi="Book Antiqua"/>
          <w:b/>
          <w:color w:val="231F20"/>
          <w:sz w:val="20"/>
        </w:rPr>
        <w:t>View</w:t>
      </w:r>
      <w:r>
        <w:rPr>
          <w:rFonts w:ascii="Book Antiqua" w:hAnsi="Book Antiqua"/>
          <w:b/>
          <w:color w:val="231F20"/>
          <w:spacing w:val="8"/>
          <w:sz w:val="20"/>
        </w:rPr>
        <w:t> </w:t>
      </w:r>
      <w:r>
        <w:rPr>
          <w:rFonts w:ascii="Arial" w:hAnsi="Arial"/>
          <w:b/>
          <w:color w:val="231F20"/>
          <w:spacing w:val="-2"/>
          <w:sz w:val="20"/>
        </w:rPr>
        <w:t>→</w:t>
      </w:r>
      <w:r>
        <w:rPr>
          <w:rFonts w:ascii="Book Antiqua" w:hAnsi="Book Antiqua"/>
          <w:b/>
          <w:color w:val="231F20"/>
          <w:spacing w:val="-2"/>
          <w:sz w:val="20"/>
        </w:rPr>
        <w:t>Toolbar</w:t>
      </w:r>
      <w:r>
        <w:rPr>
          <w:color w:val="231F20"/>
          <w:spacing w:val="-2"/>
          <w:sz w:val="20"/>
        </w:rPr>
        <w:t>.</w:t>
      </w:r>
    </w:p>
    <w:p>
      <w:pPr>
        <w:pStyle w:val="BodyText"/>
        <w:spacing w:before="89"/>
        <w:ind w:left="2951"/>
      </w:pPr>
      <w:r>
        <w:rPr>
          <w:color w:val="231F20"/>
        </w:rPr>
        <w:t>Each</w:t>
      </w:r>
      <w:r>
        <w:rPr>
          <w:color w:val="231F20"/>
          <w:spacing w:val="12"/>
        </w:rPr>
        <w:t> </w:t>
      </w:r>
      <w:r>
        <w:rPr>
          <w:color w:val="231F20"/>
        </w:rPr>
        <w:t>view</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workspace</w:t>
      </w:r>
      <w:r>
        <w:rPr>
          <w:color w:val="231F20"/>
          <w:spacing w:val="12"/>
        </w:rPr>
        <w:t> </w:t>
      </w:r>
      <w:r>
        <w:rPr>
          <w:color w:val="231F20"/>
        </w:rPr>
        <w:t>also</w:t>
      </w:r>
      <w:r>
        <w:rPr>
          <w:color w:val="231F20"/>
          <w:spacing w:val="12"/>
        </w:rPr>
        <w:t> </w:t>
      </w:r>
      <w:r>
        <w:rPr>
          <w:color w:val="231F20"/>
        </w:rPr>
        <w:t>has</w:t>
      </w:r>
      <w:r>
        <w:rPr>
          <w:color w:val="231F20"/>
          <w:spacing w:val="12"/>
        </w:rPr>
        <w:t> </w:t>
      </w:r>
      <w:r>
        <w:rPr>
          <w:color w:val="231F20"/>
        </w:rPr>
        <w:t>a</w:t>
      </w:r>
      <w:r>
        <w:rPr>
          <w:color w:val="231F20"/>
          <w:spacing w:val="12"/>
        </w:rPr>
        <w:t> </w:t>
      </w:r>
      <w:r>
        <w:rPr>
          <w:color w:val="231F20"/>
        </w:rPr>
        <w:t>title</w:t>
      </w:r>
      <w:r>
        <w:rPr>
          <w:color w:val="231F20"/>
          <w:spacing w:val="12"/>
        </w:rPr>
        <w:t> </w:t>
      </w:r>
      <w:r>
        <w:rPr>
          <w:color w:val="231F20"/>
        </w:rPr>
        <w:t>bar</w:t>
      </w:r>
      <w:r>
        <w:rPr>
          <w:color w:val="231F20"/>
          <w:spacing w:val="12"/>
        </w:rPr>
        <w:t> </w:t>
      </w:r>
      <w:r>
        <w:rPr>
          <w:color w:val="231F20"/>
        </w:rPr>
        <w:t>that</w:t>
      </w:r>
      <w:r>
        <w:rPr>
          <w:color w:val="231F20"/>
          <w:spacing w:val="12"/>
        </w:rPr>
        <w:t> </w:t>
      </w:r>
      <w:r>
        <w:rPr>
          <w:color w:val="231F20"/>
        </w:rPr>
        <w:t>includes</w:t>
      </w:r>
      <w:r>
        <w:rPr>
          <w:color w:val="231F20"/>
          <w:spacing w:val="12"/>
        </w:rPr>
        <w:t> </w:t>
      </w:r>
      <w:r>
        <w:rPr>
          <w:color w:val="231F20"/>
        </w:rPr>
        <w:t>these</w:t>
      </w:r>
      <w:r>
        <w:rPr>
          <w:color w:val="231F20"/>
          <w:spacing w:val="12"/>
        </w:rPr>
        <w:t> </w:t>
      </w:r>
      <w:r>
        <w:rPr>
          <w:color w:val="231F20"/>
          <w:spacing w:val="-2"/>
        </w:rPr>
        <w:t>buttons:</w:t>
      </w:r>
    </w:p>
    <w:p>
      <w:pPr>
        <w:spacing w:line="216" w:lineRule="auto" w:before="175"/>
        <w:ind w:left="3041" w:right="545" w:firstLine="0"/>
        <w:jc w:val="left"/>
        <w:rPr>
          <w:sz w:val="18"/>
        </w:rPr>
      </w:pPr>
      <w:r>
        <w:rPr/>
        <w:drawing>
          <wp:anchor distT="0" distB="0" distL="0" distR="0" allowOverlap="1" layoutInCell="1" locked="0" behindDoc="0" simplePos="0" relativeHeight="15754240">
            <wp:simplePos x="0" y="0"/>
            <wp:positionH relativeFrom="page">
              <wp:posOffset>2078263</wp:posOffset>
            </wp:positionH>
            <wp:positionV relativeFrom="paragraph">
              <wp:posOffset>168221</wp:posOffset>
            </wp:positionV>
            <wp:extent cx="57150" cy="57150"/>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62" cstate="print"/>
                    <a:stretch>
                      <a:fillRect/>
                    </a:stretch>
                  </pic:blipFill>
                  <pic:spPr>
                    <a:xfrm>
                      <a:off x="0" y="0"/>
                      <a:ext cx="57150" cy="57150"/>
                    </a:xfrm>
                    <a:prstGeom prst="rect">
                      <a:avLst/>
                    </a:prstGeom>
                  </pic:spPr>
                </pic:pic>
              </a:graphicData>
            </a:graphic>
          </wp:anchor>
        </w:drawing>
      </w:r>
      <w:r>
        <w:rPr>
          <w:color w:val="231F20"/>
          <w:sz w:val="18"/>
        </w:rPr>
        <w:t>Brings up the Properties editor for the view. This button does not display if the view has no properties.</w:t>
      </w:r>
    </w:p>
    <w:p>
      <w:pPr>
        <w:spacing w:line="216" w:lineRule="auto" w:before="21"/>
        <w:ind w:left="3041" w:right="545" w:firstLine="0"/>
        <w:jc w:val="left"/>
        <w:rPr>
          <w:sz w:val="18"/>
        </w:rPr>
      </w:pPr>
      <w:r>
        <w:rPr/>
        <w:drawing>
          <wp:anchor distT="0" distB="0" distL="0" distR="0" allowOverlap="1" layoutInCell="1" locked="0" behindDoc="0" simplePos="0" relativeHeight="15754752">
            <wp:simplePos x="0" y="0"/>
            <wp:positionH relativeFrom="page">
              <wp:posOffset>2065563</wp:posOffset>
            </wp:positionH>
            <wp:positionV relativeFrom="paragraph">
              <wp:posOffset>58275</wp:posOffset>
            </wp:positionV>
            <wp:extent cx="57150" cy="63500"/>
            <wp:effectExtent l="0" t="0" r="0" b="0"/>
            <wp:wrapNone/>
            <wp:docPr id="68" name="Image 68"/>
            <wp:cNvGraphicFramePr>
              <a:graphicFrameLocks/>
            </wp:cNvGraphicFramePr>
            <a:graphic>
              <a:graphicData uri="http://schemas.openxmlformats.org/drawingml/2006/picture">
                <pic:pic>
                  <pic:nvPicPr>
                    <pic:cNvPr id="68" name="Image 68"/>
                    <pic:cNvPicPr/>
                  </pic:nvPicPr>
                  <pic:blipFill>
                    <a:blip r:embed="rId63" cstate="print"/>
                    <a:stretch>
                      <a:fillRect/>
                    </a:stretch>
                  </pic:blipFill>
                  <pic:spPr>
                    <a:xfrm>
                      <a:off x="0" y="0"/>
                      <a:ext cx="57150" cy="63500"/>
                    </a:xfrm>
                    <a:prstGeom prst="rect">
                      <a:avLst/>
                    </a:prstGeom>
                  </pic:spPr>
                </pic:pic>
              </a:graphicData>
            </a:graphic>
          </wp:anchor>
        </w:drawing>
      </w:r>
      <w:r>
        <w:rPr/>
        <w:drawing>
          <wp:anchor distT="0" distB="0" distL="0" distR="0" allowOverlap="1" layoutInCell="1" locked="0" behindDoc="0" simplePos="0" relativeHeight="15755264">
            <wp:simplePos x="0" y="0"/>
            <wp:positionH relativeFrom="page">
              <wp:posOffset>2220724</wp:posOffset>
            </wp:positionH>
            <wp:positionV relativeFrom="paragraph">
              <wp:posOffset>58275</wp:posOffset>
            </wp:positionV>
            <wp:extent cx="57150" cy="63500"/>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64" cstate="print"/>
                    <a:stretch>
                      <a:fillRect/>
                    </a:stretch>
                  </pic:blipFill>
                  <pic:spPr>
                    <a:xfrm>
                      <a:off x="0" y="0"/>
                      <a:ext cx="57150" cy="63500"/>
                    </a:xfrm>
                    <a:prstGeom prst="rect">
                      <a:avLst/>
                    </a:prstGeom>
                  </pic:spPr>
                </pic:pic>
              </a:graphicData>
            </a:graphic>
          </wp:anchor>
        </w:drawing>
      </w:r>
      <w:r>
        <w:rPr>
          <w:color w:val="231F20"/>
          <w:sz w:val="18"/>
        </w:rPr>
        <w:t>Shows or hides the view toolbar. This button does not display if the view has no </w:t>
      </w:r>
      <w:r>
        <w:rPr>
          <w:color w:val="231F20"/>
          <w:spacing w:val="-2"/>
          <w:sz w:val="18"/>
        </w:rPr>
        <w:t>toolbar.</w:t>
      </w:r>
    </w:p>
    <w:p>
      <w:pPr>
        <w:spacing w:line="237" w:lineRule="auto" w:before="5"/>
        <w:ind w:left="3041" w:right="2916" w:firstLine="0"/>
        <w:jc w:val="left"/>
        <w:rPr>
          <w:sz w:val="18"/>
        </w:rPr>
      </w:pPr>
      <w:r>
        <w:rPr/>
        <w:drawing>
          <wp:anchor distT="0" distB="0" distL="0" distR="0" allowOverlap="1" layoutInCell="1" locked="0" behindDoc="0" simplePos="0" relativeHeight="15755776">
            <wp:simplePos x="0" y="0"/>
            <wp:positionH relativeFrom="page">
              <wp:posOffset>2065563</wp:posOffset>
            </wp:positionH>
            <wp:positionV relativeFrom="paragraph">
              <wp:posOffset>58765</wp:posOffset>
            </wp:positionV>
            <wp:extent cx="88900" cy="88900"/>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65" cstate="print"/>
                    <a:stretch>
                      <a:fillRect/>
                    </a:stretch>
                  </pic:blipFill>
                  <pic:spPr>
                    <a:xfrm>
                      <a:off x="0" y="0"/>
                      <a:ext cx="88900" cy="88900"/>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2065563</wp:posOffset>
            </wp:positionH>
            <wp:positionV relativeFrom="paragraph">
              <wp:posOffset>210829</wp:posOffset>
            </wp:positionV>
            <wp:extent cx="88900" cy="88900"/>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66" cstate="print"/>
                    <a:stretch>
                      <a:fillRect/>
                    </a:stretch>
                  </pic:blipFill>
                  <pic:spPr>
                    <a:xfrm>
                      <a:off x="0" y="0"/>
                      <a:ext cx="88900" cy="88900"/>
                    </a:xfrm>
                    <a:prstGeom prst="rect">
                      <a:avLst/>
                    </a:prstGeom>
                  </pic:spPr>
                </pic:pic>
              </a:graphicData>
            </a:graphic>
          </wp:anchor>
        </w:drawing>
      </w:r>
      <w:r>
        <w:rPr>
          <w:color w:val="231F20"/>
          <w:sz w:val="18"/>
        </w:rPr>
        <w:t>Splits the view horizontally into two separate </w:t>
      </w:r>
      <w:r>
        <w:rPr>
          <w:color w:val="231F20"/>
          <w:sz w:val="18"/>
        </w:rPr>
        <w:t>views. Splits the view vertically into two separate views.</w:t>
      </w:r>
    </w:p>
    <w:p>
      <w:pPr>
        <w:tabs>
          <w:tab w:pos="3041" w:val="left" w:leader="none"/>
        </w:tabs>
        <w:spacing w:line="216" w:lineRule="auto" w:before="15"/>
        <w:ind w:left="3041" w:right="700" w:hanging="779"/>
        <w:jc w:val="left"/>
        <w:rPr>
          <w:sz w:val="18"/>
        </w:rPr>
      </w:pPr>
      <w:r>
        <w:rPr>
          <w:position w:val="-1"/>
        </w:rPr>
        <w:drawing>
          <wp:inline distT="0" distB="0" distL="0" distR="0">
            <wp:extent cx="69850" cy="6985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7" cstate="print"/>
                    <a:stretch>
                      <a:fillRect/>
                    </a:stretch>
                  </pic:blipFill>
                  <pic:spPr>
                    <a:xfrm>
                      <a:off x="0" y="0"/>
                      <a:ext cx="69850" cy="69850"/>
                    </a:xfrm>
                    <a:prstGeom prst="rect">
                      <a:avLst/>
                    </a:prstGeom>
                  </pic:spPr>
                </pic:pic>
              </a:graphicData>
            </a:graphic>
          </wp:inline>
        </w:drawing>
      </w:r>
      <w:r>
        <w:rPr>
          <w:position w:val="-1"/>
        </w:rPr>
      </w:r>
      <w:r>
        <w:rPr>
          <w:rFonts w:ascii="Times New Roman"/>
          <w:spacing w:val="80"/>
          <w:position w:val="-2"/>
          <w:sz w:val="20"/>
        </w:rPr>
        <w:t> </w:t>
      </w:r>
      <w:r>
        <w:rPr>
          <w:rFonts w:ascii="Times New Roman"/>
          <w:spacing w:val="-6"/>
          <w:position w:val="-2"/>
          <w:sz w:val="20"/>
        </w:rPr>
        <w:drawing>
          <wp:inline distT="0" distB="0" distL="0" distR="0">
            <wp:extent cx="82550" cy="82550"/>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68" cstate="print"/>
                    <a:stretch>
                      <a:fillRect/>
                    </a:stretch>
                  </pic:blipFill>
                  <pic:spPr>
                    <a:xfrm>
                      <a:off x="0" y="0"/>
                      <a:ext cx="82550" cy="82550"/>
                    </a:xfrm>
                    <a:prstGeom prst="rect">
                      <a:avLst/>
                    </a:prstGeom>
                  </pic:spPr>
                </pic:pic>
              </a:graphicData>
            </a:graphic>
          </wp:inline>
        </w:drawing>
      </w:r>
      <w:r>
        <w:rPr>
          <w:rFonts w:ascii="Times New Roman"/>
          <w:spacing w:val="-6"/>
          <w:position w:val="-2"/>
          <w:sz w:val="20"/>
        </w:rPr>
      </w:r>
      <w:r>
        <w:rPr>
          <w:rFonts w:ascii="Times New Roman"/>
          <w:sz w:val="20"/>
        </w:rPr>
        <w:tab/>
      </w:r>
      <w:r>
        <w:rPr>
          <w:color w:val="231F20"/>
          <w:sz w:val="18"/>
        </w:rPr>
        <w:t>Maximizes the view, at which time the button becomes a </w:t>
      </w:r>
      <w:r>
        <w:rPr>
          <w:rFonts w:ascii="Book Antiqua"/>
          <w:b/>
          <w:color w:val="231F20"/>
          <w:sz w:val="18"/>
        </w:rPr>
        <w:t>Restore </w:t>
      </w:r>
      <w:r>
        <w:rPr>
          <w:color w:val="231F20"/>
          <w:sz w:val="18"/>
        </w:rPr>
        <w:t>button so you can restore the view to its original size.</w:t>
      </w:r>
    </w:p>
    <w:p>
      <w:pPr>
        <w:spacing w:before="3"/>
        <w:ind w:left="3041" w:right="0" w:firstLine="0"/>
        <w:jc w:val="left"/>
        <w:rPr>
          <w:sz w:val="18"/>
        </w:rPr>
      </w:pPr>
      <w:r>
        <w:rPr/>
        <w:drawing>
          <wp:anchor distT="0" distB="0" distL="0" distR="0" allowOverlap="1" layoutInCell="1" locked="0" behindDoc="0" simplePos="0" relativeHeight="15756800">
            <wp:simplePos x="0" y="0"/>
            <wp:positionH relativeFrom="page">
              <wp:posOffset>2059213</wp:posOffset>
            </wp:positionH>
            <wp:positionV relativeFrom="paragraph">
              <wp:posOffset>52369</wp:posOffset>
            </wp:positionV>
            <wp:extent cx="95250" cy="95250"/>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69" cstate="print"/>
                    <a:stretch>
                      <a:fillRect/>
                    </a:stretch>
                  </pic:blipFill>
                  <pic:spPr>
                    <a:xfrm>
                      <a:off x="0" y="0"/>
                      <a:ext cx="95250" cy="95250"/>
                    </a:xfrm>
                    <a:prstGeom prst="rect">
                      <a:avLst/>
                    </a:prstGeom>
                  </pic:spPr>
                </pic:pic>
              </a:graphicData>
            </a:graphic>
          </wp:anchor>
        </w:drawing>
      </w:r>
      <w:r>
        <w:rPr>
          <w:color w:val="231F20"/>
          <w:sz w:val="18"/>
        </w:rPr>
        <w:t>Removes</w:t>
      </w:r>
      <w:r>
        <w:rPr>
          <w:color w:val="231F20"/>
          <w:spacing w:val="9"/>
          <w:sz w:val="18"/>
        </w:rPr>
        <w:t> </w:t>
      </w:r>
      <w:r>
        <w:rPr>
          <w:color w:val="231F20"/>
          <w:sz w:val="18"/>
        </w:rPr>
        <w:t>the</w:t>
      </w:r>
      <w:r>
        <w:rPr>
          <w:color w:val="231F20"/>
          <w:spacing w:val="9"/>
          <w:sz w:val="18"/>
        </w:rPr>
        <w:t> </w:t>
      </w:r>
      <w:r>
        <w:rPr>
          <w:color w:val="231F20"/>
          <w:sz w:val="18"/>
        </w:rPr>
        <w:t>view</w:t>
      </w:r>
      <w:r>
        <w:rPr>
          <w:color w:val="231F20"/>
          <w:spacing w:val="9"/>
          <w:sz w:val="18"/>
        </w:rPr>
        <w:t> </w:t>
      </w:r>
      <w:r>
        <w:rPr>
          <w:color w:val="231F20"/>
          <w:sz w:val="18"/>
        </w:rPr>
        <w:t>from</w:t>
      </w:r>
      <w:r>
        <w:rPr>
          <w:color w:val="231F20"/>
          <w:spacing w:val="9"/>
          <w:sz w:val="18"/>
        </w:rPr>
        <w:t> </w:t>
      </w:r>
      <w:r>
        <w:rPr>
          <w:color w:val="231F20"/>
          <w:sz w:val="18"/>
        </w:rPr>
        <w:t>the</w:t>
      </w:r>
      <w:r>
        <w:rPr>
          <w:color w:val="231F20"/>
          <w:spacing w:val="9"/>
          <w:sz w:val="18"/>
        </w:rPr>
        <w:t> </w:t>
      </w:r>
      <w:r>
        <w:rPr>
          <w:color w:val="231F20"/>
          <w:spacing w:val="-2"/>
          <w:sz w:val="18"/>
        </w:rPr>
        <w:t>workspace.</w:t>
      </w:r>
    </w:p>
    <w:p>
      <w:pPr>
        <w:pStyle w:val="BodyText"/>
        <w:spacing w:before="63"/>
      </w:pPr>
    </w:p>
    <w:p>
      <w:pPr>
        <w:pStyle w:val="BodyText"/>
        <w:spacing w:line="213" w:lineRule="auto"/>
        <w:ind w:left="2951" w:right="545"/>
      </w:pPr>
      <w:r>
        <w:rPr>
          <w:color w:val="231F20"/>
        </w:rPr>
        <w:t>Many</w:t>
      </w:r>
      <w:r>
        <w:rPr>
          <w:color w:val="231F20"/>
          <w:spacing w:val="26"/>
        </w:rPr>
        <w:t> </w:t>
      </w:r>
      <w:r>
        <w:rPr>
          <w:color w:val="231F20"/>
        </w:rPr>
        <w:t>views</w:t>
      </w:r>
      <w:r>
        <w:rPr>
          <w:color w:val="231F20"/>
          <w:spacing w:val="26"/>
        </w:rPr>
        <w:t> </w:t>
      </w:r>
      <w:r>
        <w:rPr>
          <w:color w:val="231F20"/>
        </w:rPr>
        <w:t>have</w:t>
      </w:r>
      <w:r>
        <w:rPr>
          <w:color w:val="231F20"/>
          <w:spacing w:val="26"/>
        </w:rPr>
        <w:t> </w:t>
      </w:r>
      <w:r>
        <w:rPr>
          <w:color w:val="231F20"/>
        </w:rPr>
        <w:t>a</w:t>
      </w:r>
      <w:r>
        <w:rPr>
          <w:color w:val="231F20"/>
          <w:spacing w:val="26"/>
        </w:rPr>
        <w:t> </w:t>
      </w:r>
      <w:r>
        <w:rPr>
          <w:color w:val="231F20"/>
        </w:rPr>
        <w:t>toolbar</w:t>
      </w:r>
      <w:r>
        <w:rPr>
          <w:color w:val="231F20"/>
          <w:spacing w:val="26"/>
        </w:rPr>
        <w:t> </w:t>
      </w:r>
      <w:r>
        <w:rPr>
          <w:color w:val="231F20"/>
        </w:rPr>
        <w:t>of</w:t>
      </w:r>
      <w:r>
        <w:rPr>
          <w:color w:val="231F20"/>
          <w:spacing w:val="26"/>
        </w:rPr>
        <w:t> </w:t>
      </w:r>
      <w:r>
        <w:rPr>
          <w:color w:val="231F20"/>
        </w:rPr>
        <w:t>functions</w:t>
      </w:r>
      <w:r>
        <w:rPr>
          <w:color w:val="231F20"/>
          <w:spacing w:val="26"/>
        </w:rPr>
        <w:t> </w:t>
      </w:r>
      <w:r>
        <w:rPr>
          <w:color w:val="231F20"/>
        </w:rPr>
        <w:t>that</w:t>
      </w:r>
      <w:r>
        <w:rPr>
          <w:color w:val="231F20"/>
          <w:spacing w:val="26"/>
        </w:rPr>
        <w:t> </w:t>
      </w:r>
      <w:r>
        <w:rPr>
          <w:color w:val="231F20"/>
        </w:rPr>
        <w:t>are</w:t>
      </w:r>
      <w:r>
        <w:rPr>
          <w:color w:val="231F20"/>
          <w:spacing w:val="26"/>
        </w:rPr>
        <w:t> </w:t>
      </w:r>
      <w:r>
        <w:rPr>
          <w:color w:val="231F20"/>
        </w:rPr>
        <w:t>applicable</w:t>
      </w:r>
      <w:r>
        <w:rPr>
          <w:color w:val="231F20"/>
          <w:spacing w:val="26"/>
        </w:rPr>
        <w:t> </w:t>
      </w:r>
      <w:r>
        <w:rPr>
          <w:color w:val="231F20"/>
        </w:rPr>
        <w:t>to</w:t>
      </w:r>
      <w:r>
        <w:rPr>
          <w:color w:val="231F20"/>
          <w:spacing w:val="26"/>
        </w:rPr>
        <w:t> </w:t>
      </w:r>
      <w:r>
        <w:rPr>
          <w:color w:val="231F20"/>
        </w:rPr>
        <w:t>that</w:t>
      </w:r>
      <w:r>
        <w:rPr>
          <w:color w:val="231F20"/>
          <w:spacing w:val="26"/>
        </w:rPr>
        <w:t> </w:t>
      </w:r>
      <w:r>
        <w:rPr>
          <w:color w:val="231F20"/>
        </w:rPr>
        <w:t>view. For example, the</w:t>
      </w:r>
      <w:r>
        <w:rPr>
          <w:color w:val="231F20"/>
          <w:spacing w:val="19"/>
        </w:rPr>
        <w:t> </w:t>
      </w:r>
      <w:r>
        <w:rPr>
          <w:color w:val="231F20"/>
          <w:spacing w:val="-24"/>
          <w:position w:val="-1"/>
        </w:rPr>
        <w:drawing>
          <wp:inline distT="0" distB="0" distL="0" distR="0">
            <wp:extent cx="95250" cy="95250"/>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6"/>
        </w:rPr>
        <w:t> </w:t>
      </w:r>
      <w:r>
        <w:rPr>
          <w:rFonts w:ascii="Book Antiqua"/>
          <w:b/>
          <w:color w:val="231F20"/>
        </w:rPr>
        <w:t>Time Span </w:t>
      </w:r>
      <w:r>
        <w:rPr>
          <w:color w:val="231F20"/>
        </w:rPr>
        <w:t>tool is displayed for table views, bar </w:t>
      </w:r>
      <w:r>
        <w:rPr>
          <w:color w:val="231F20"/>
        </w:rPr>
        <w:t>charts, and plot charts that query attribute groups that are historical in nature or that have been configured for historical data collection.</w:t>
      </w:r>
    </w:p>
    <w:p>
      <w:pPr>
        <w:pStyle w:val="BodyText"/>
        <w:spacing w:line="213" w:lineRule="auto" w:before="117"/>
        <w:ind w:left="2951" w:right="545"/>
      </w:pPr>
      <w:r>
        <w:rPr>
          <w:color w:val="231F20"/>
        </w:rPr>
        <w:t>You can turn off the display of both the view title bar and toolbar through View </w:t>
      </w:r>
      <w:r>
        <w:rPr>
          <w:rFonts w:ascii="Arial" w:hAnsi="Arial"/>
          <w:color w:val="231F20"/>
        </w:rPr>
        <w:t>→</w:t>
      </w:r>
      <w:r>
        <w:rPr>
          <w:color w:val="231F20"/>
        </w:rPr>
        <w:t>View Toolbars.</w:t>
      </w:r>
    </w:p>
    <w:p>
      <w:pPr>
        <w:pStyle w:val="Heading6"/>
        <w:spacing w:line="240" w:lineRule="auto" w:before="118"/>
        <w:ind w:left="2232"/>
      </w:pPr>
      <w:r>
        <w:rPr>
          <w:color w:val="231F20"/>
          <w:spacing w:val="-2"/>
        </w:rPr>
        <w:t>Navigator</w:t>
      </w:r>
    </w:p>
    <w:p>
      <w:pPr>
        <w:pStyle w:val="BodyText"/>
        <w:spacing w:line="213" w:lineRule="auto" w:before="119"/>
        <w:ind w:left="2951" w:right="488"/>
      </w:pPr>
      <w:r>
        <w:rPr>
          <w:color w:val="231F20"/>
        </w:rPr>
        <w:t>The Navigator Physical view shows the hierarchy of your monitored enterprise, from the top level (</w:t>
      </w:r>
      <w:r>
        <w:rPr>
          <w:color w:val="231F20"/>
          <w:spacing w:val="-1"/>
          <w:position w:val="-1"/>
        </w:rPr>
        <w:drawing>
          <wp:inline distT="0" distB="0" distL="0" distR="0">
            <wp:extent cx="95250" cy="101600"/>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
          <w:position w:val="-1"/>
        </w:rPr>
      </w:r>
      <w:r>
        <w:rPr>
          <w:rFonts w:ascii="Times New Roman"/>
          <w:color w:val="231F20"/>
          <w:spacing w:val="-1"/>
        </w:rPr>
        <w:t> </w:t>
      </w:r>
      <w:r>
        <w:rPr>
          <w:color w:val="231F20"/>
        </w:rPr>
        <w:t>Enterprise) down to individual groupings</w:t>
      </w:r>
      <w:r>
        <w:rPr>
          <w:color w:val="231F20"/>
          <w:spacing w:val="40"/>
        </w:rPr>
        <w:t> </w:t>
      </w:r>
      <w:r>
        <w:rPr>
          <w:color w:val="231F20"/>
        </w:rPr>
        <w:t>of information collected by monitoring agents. Every item in the </w:t>
      </w:r>
      <w:r>
        <w:rPr>
          <w:color w:val="231F20"/>
        </w:rPr>
        <w:t>Navigator has</w:t>
      </w:r>
      <w:r>
        <w:rPr>
          <w:color w:val="231F20"/>
          <w:spacing w:val="27"/>
        </w:rPr>
        <w:t> </w:t>
      </w:r>
      <w:r>
        <w:rPr>
          <w:color w:val="231F20"/>
        </w:rPr>
        <w:t>at</w:t>
      </w:r>
      <w:r>
        <w:rPr>
          <w:color w:val="231F20"/>
          <w:spacing w:val="27"/>
        </w:rPr>
        <w:t> </w:t>
      </w:r>
      <w:r>
        <w:rPr>
          <w:color w:val="231F20"/>
        </w:rPr>
        <w:t>least</w:t>
      </w:r>
      <w:r>
        <w:rPr>
          <w:color w:val="231F20"/>
          <w:spacing w:val="27"/>
        </w:rPr>
        <w:t> </w:t>
      </w:r>
      <w:r>
        <w:rPr>
          <w:color w:val="231F20"/>
        </w:rPr>
        <w:t>one</w:t>
      </w:r>
      <w:r>
        <w:rPr>
          <w:color w:val="231F20"/>
          <w:spacing w:val="27"/>
        </w:rPr>
        <w:t> </w:t>
      </w:r>
      <w:r>
        <w:rPr>
          <w:color w:val="231F20"/>
        </w:rPr>
        <w:t>workspace</w:t>
      </w:r>
      <w:r>
        <w:rPr>
          <w:color w:val="231F20"/>
          <w:spacing w:val="27"/>
        </w:rPr>
        <w:t> </w:t>
      </w:r>
      <w:r>
        <w:rPr>
          <w:color w:val="231F20"/>
        </w:rPr>
        <w:t>associated</w:t>
      </w:r>
      <w:r>
        <w:rPr>
          <w:color w:val="231F20"/>
          <w:spacing w:val="27"/>
        </w:rPr>
        <w:t> </w:t>
      </w:r>
      <w:r>
        <w:rPr>
          <w:color w:val="231F20"/>
        </w:rPr>
        <w:t>with</w:t>
      </w:r>
      <w:r>
        <w:rPr>
          <w:color w:val="231F20"/>
          <w:spacing w:val="27"/>
        </w:rPr>
        <w:t> </w:t>
      </w:r>
      <w:r>
        <w:rPr>
          <w:color w:val="231F20"/>
        </w:rPr>
        <w:t>it.</w:t>
      </w:r>
      <w:r>
        <w:rPr>
          <w:color w:val="231F20"/>
          <w:spacing w:val="27"/>
        </w:rPr>
        <w:t> </w:t>
      </w:r>
      <w:r>
        <w:rPr>
          <w:color w:val="231F20"/>
        </w:rPr>
        <w:t>When</w:t>
      </w:r>
      <w:r>
        <w:rPr>
          <w:color w:val="231F20"/>
          <w:spacing w:val="27"/>
        </w:rPr>
        <w:t> </w:t>
      </w:r>
      <w:r>
        <w:rPr>
          <w:color w:val="231F20"/>
        </w:rPr>
        <w:t>you</w:t>
      </w:r>
      <w:r>
        <w:rPr>
          <w:color w:val="231F20"/>
          <w:spacing w:val="27"/>
        </w:rPr>
        <w:t> </w:t>
      </w:r>
      <w:r>
        <w:rPr>
          <w:color w:val="231F20"/>
        </w:rPr>
        <w:t>click</w:t>
      </w:r>
      <w:r>
        <w:rPr>
          <w:color w:val="231F20"/>
          <w:spacing w:val="27"/>
        </w:rPr>
        <w:t> </w:t>
      </w:r>
      <w:r>
        <w:rPr>
          <w:color w:val="231F20"/>
        </w:rPr>
        <w:t>an</w:t>
      </w:r>
      <w:r>
        <w:rPr>
          <w:color w:val="231F20"/>
          <w:spacing w:val="27"/>
        </w:rPr>
        <w:t> </w:t>
      </w:r>
      <w:r>
        <w:rPr>
          <w:color w:val="231F20"/>
        </w:rPr>
        <w:t>item</w:t>
      </w:r>
      <w:r>
        <w:rPr>
          <w:color w:val="231F20"/>
          <w:spacing w:val="27"/>
        </w:rPr>
        <w:t> </w:t>
      </w:r>
      <w:r>
        <w:rPr>
          <w:color w:val="231F20"/>
        </w:rPr>
        <w:t>in the</w:t>
      </w:r>
      <w:r>
        <w:rPr>
          <w:color w:val="231F20"/>
          <w:spacing w:val="32"/>
        </w:rPr>
        <w:t> </w:t>
      </w:r>
      <w:r>
        <w:rPr>
          <w:color w:val="231F20"/>
        </w:rPr>
        <w:t>Navigator</w:t>
      </w:r>
      <w:r>
        <w:rPr>
          <w:color w:val="231F20"/>
          <w:spacing w:val="32"/>
        </w:rPr>
        <w:t> </w:t>
      </w:r>
      <w:r>
        <w:rPr>
          <w:color w:val="231F20"/>
        </w:rPr>
        <w:t>the</w:t>
      </w:r>
      <w:r>
        <w:rPr>
          <w:color w:val="231F20"/>
          <w:spacing w:val="32"/>
        </w:rPr>
        <w:t> </w:t>
      </w:r>
      <w:r>
        <w:rPr>
          <w:rFonts w:ascii="Book Antiqua"/>
          <w:i/>
          <w:color w:val="231F20"/>
        </w:rPr>
        <w:t>default</w:t>
      </w:r>
      <w:r>
        <w:rPr>
          <w:rFonts w:ascii="Book Antiqua"/>
          <w:i/>
          <w:color w:val="231F20"/>
          <w:spacing w:val="32"/>
        </w:rPr>
        <w:t> </w:t>
      </w:r>
      <w:r>
        <w:rPr>
          <w:color w:val="231F20"/>
        </w:rPr>
        <w:t>workspace</w:t>
      </w:r>
      <w:r>
        <w:rPr>
          <w:color w:val="231F20"/>
          <w:spacing w:val="32"/>
        </w:rPr>
        <w:t> </w:t>
      </w:r>
      <w:r>
        <w:rPr>
          <w:color w:val="231F20"/>
        </w:rPr>
        <w:t>is</w:t>
      </w:r>
      <w:r>
        <w:rPr>
          <w:color w:val="231F20"/>
          <w:spacing w:val="32"/>
        </w:rPr>
        <w:t> </w:t>
      </w:r>
      <w:r>
        <w:rPr>
          <w:color w:val="231F20"/>
        </w:rPr>
        <w:t>displayed</w:t>
      </w:r>
      <w:r>
        <w:rPr>
          <w:color w:val="231F20"/>
          <w:spacing w:val="32"/>
        </w:rPr>
        <w:t> </w:t>
      </w:r>
      <w:r>
        <w:rPr>
          <w:color w:val="231F20"/>
        </w:rPr>
        <w:t>in</w:t>
      </w:r>
      <w:r>
        <w:rPr>
          <w:color w:val="231F20"/>
          <w:spacing w:val="32"/>
        </w:rPr>
        <w:t> </w:t>
      </w:r>
      <w:r>
        <w:rPr>
          <w:color w:val="231F20"/>
        </w:rPr>
        <w:t>the</w:t>
      </w:r>
      <w:r>
        <w:rPr>
          <w:color w:val="231F20"/>
          <w:spacing w:val="32"/>
        </w:rPr>
        <w:t> </w:t>
      </w:r>
      <w:r>
        <w:rPr>
          <w:color w:val="231F20"/>
        </w:rPr>
        <w:t>application </w:t>
      </w:r>
      <w:r>
        <w:rPr>
          <w:color w:val="231F20"/>
          <w:spacing w:val="-2"/>
        </w:rPr>
        <w:t>window.</w:t>
      </w:r>
    </w:p>
    <w:p>
      <w:pPr>
        <w:pStyle w:val="BodyText"/>
        <w:spacing w:line="213" w:lineRule="auto" w:before="116"/>
        <w:ind w:left="2951" w:right="545"/>
      </w:pPr>
      <w:r>
        <w:rPr>
          <w:color w:val="231F20"/>
        </w:rPr>
        <w:t>The Navigator provides a physical view of your monitored network, organized by operating system platform, system type, Tivoli </w:t>
      </w:r>
      <w:r>
        <w:rPr>
          <w:color w:val="231F20"/>
        </w:rPr>
        <w:t>Enterprise Monitoring product (agents), and the attribute groups from which the agents can collect information.</w:t>
      </w:r>
    </w:p>
    <w:p>
      <w:pPr>
        <w:pStyle w:val="BodyText"/>
        <w:spacing w:line="213" w:lineRule="auto" w:before="117"/>
        <w:ind w:left="2951" w:right="493"/>
      </w:pPr>
      <w:r>
        <w:rPr>
          <w:color w:val="231F20"/>
        </w:rPr>
        <w:t>Small colored </w:t>
      </w:r>
      <w:r>
        <w:rPr>
          <w:rFonts w:ascii="Book Antiqua"/>
          <w:i/>
          <w:color w:val="231F20"/>
        </w:rPr>
        <w:t>event indicator </w:t>
      </w:r>
      <w:r>
        <w:rPr>
          <w:color w:val="231F20"/>
        </w:rPr>
        <w:t>(such as </w:t>
      </w:r>
      <w:r>
        <w:rPr>
          <w:color w:val="231F20"/>
          <w:spacing w:val="15"/>
        </w:rPr>
        <w:drawing>
          <wp:inline distT="0" distB="0" distL="0" distR="0">
            <wp:extent cx="57150" cy="5715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rPr>
        <w:t> </w:t>
      </w:r>
      <w:r>
        <w:rPr>
          <w:color w:val="231F20"/>
        </w:rPr>
        <w:t>, </w:t>
      </w:r>
      <w:r>
        <w:rPr>
          <w:color w:val="231F20"/>
          <w:spacing w:val="16"/>
        </w:rPr>
        <w:drawing>
          <wp:inline distT="0" distB="0" distL="0" distR="0">
            <wp:extent cx="57150" cy="57150"/>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2"/>
        </w:rPr>
        <w:t> </w:t>
      </w:r>
      <w:r>
        <w:rPr>
          <w:color w:val="231F20"/>
        </w:rPr>
        <w:t>, and</w:t>
      </w:r>
      <w:r>
        <w:rPr>
          <w:color w:val="231F20"/>
          <w:spacing w:val="-1"/>
        </w:rPr>
        <w:drawing>
          <wp:inline distT="0" distB="0" distL="0" distR="0">
            <wp:extent cx="57150" cy="57150"/>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
        </w:rPr>
      </w:r>
      <w:r>
        <w:rPr>
          <w:rFonts w:ascii="Times New Roman"/>
          <w:color w:val="231F20"/>
          <w:spacing w:val="-1"/>
        </w:rPr>
        <w:t> </w:t>
      </w:r>
      <w:r>
        <w:rPr>
          <w:color w:val="231F20"/>
        </w:rPr>
        <w:t>) icons overlay Navigator icons when a situation (a test of certain conditions) becomes true. As you move up the Navigator hierarchy, multiple events are consolidated to </w:t>
      </w:r>
      <w:r>
        <w:rPr>
          <w:color w:val="231F20"/>
        </w:rPr>
        <w:t>show only the indicator with the highest severity.</w:t>
      </w:r>
    </w:p>
    <w:p>
      <w:pPr>
        <w:spacing w:after="0" w:line="213" w:lineRule="auto"/>
        <w:sectPr>
          <w:pgSz w:w="12240" w:h="15840"/>
          <w:pgMar w:header="0" w:footer="736" w:top="1420" w:bottom="920" w:left="1000" w:right="1060"/>
        </w:sectPr>
      </w:pPr>
    </w:p>
    <w:p>
      <w:pPr>
        <w:pStyle w:val="BodyText"/>
        <w:spacing w:line="213" w:lineRule="auto" w:before="85"/>
        <w:ind w:left="3190" w:right="274"/>
      </w:pPr>
      <w:bookmarkStart w:name="_bookmark5" w:id="13"/>
      <w:bookmarkEnd w:id="13"/>
      <w:r>
        <w:rPr/>
      </w:r>
      <w:r>
        <w:rPr>
          <w:color w:val="231F20"/>
        </w:rPr>
        <w:t>You might see </w:t>
      </w:r>
      <w:r>
        <w:rPr>
          <w:color w:val="231F20"/>
          <w:spacing w:val="16"/>
          <w:position w:val="2"/>
        </w:rPr>
        <w:drawing>
          <wp:inline distT="0" distB="0" distL="0" distR="0">
            <wp:extent cx="31750" cy="19050"/>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4" cstate="print"/>
                    <a:stretch>
                      <a:fillRect/>
                    </a:stretch>
                  </pic:blipFill>
                  <pic:spPr>
                    <a:xfrm>
                      <a:off x="0" y="0"/>
                      <a:ext cx="31750" cy="19050"/>
                    </a:xfrm>
                    <a:prstGeom prst="rect">
                      <a:avLst/>
                    </a:prstGeom>
                  </pic:spPr>
                </pic:pic>
              </a:graphicData>
            </a:graphic>
          </wp:inline>
        </w:drawing>
      </w:r>
      <w:r>
        <w:rPr>
          <w:color w:val="231F20"/>
          <w:spacing w:val="16"/>
          <w:position w:val="2"/>
        </w:rPr>
      </w:r>
      <w:r>
        <w:rPr>
          <w:rFonts w:ascii="Times New Roman"/>
          <w:color w:val="231F20"/>
          <w:spacing w:val="40"/>
        </w:rPr>
        <w:t> </w:t>
      </w:r>
      <w:r>
        <w:rPr>
          <w:color w:val="231F20"/>
        </w:rPr>
        <w:t>More... indicators in the Navigator. These indicators keep the tree compact so you can see more alerts in the viewable area without having to scroll. Click </w:t>
      </w:r>
      <w:r>
        <w:rPr>
          <w:color w:val="231F20"/>
          <w:spacing w:val="15"/>
          <w:position w:val="2"/>
        </w:rPr>
        <w:drawing>
          <wp:inline distT="0" distB="0" distL="0" distR="0">
            <wp:extent cx="31750" cy="19050"/>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24" cstate="print"/>
                    <a:stretch>
                      <a:fillRect/>
                    </a:stretch>
                  </pic:blipFill>
                  <pic:spPr>
                    <a:xfrm>
                      <a:off x="0" y="0"/>
                      <a:ext cx="31750" cy="19050"/>
                    </a:xfrm>
                    <a:prstGeom prst="rect">
                      <a:avLst/>
                    </a:prstGeom>
                  </pic:spPr>
                </pic:pic>
              </a:graphicData>
            </a:graphic>
          </wp:inline>
        </w:drawing>
      </w:r>
      <w:r>
        <w:rPr>
          <w:color w:val="231F20"/>
          <w:spacing w:val="15"/>
          <w:position w:val="2"/>
        </w:rPr>
      </w:r>
      <w:r>
        <w:rPr>
          <w:rFonts w:ascii="Times New Roman"/>
          <w:color w:val="231F20"/>
          <w:spacing w:val="40"/>
        </w:rPr>
        <w:t> </w:t>
      </w:r>
      <w:r>
        <w:rPr>
          <w:rFonts w:ascii="Book Antiqua"/>
          <w:b/>
          <w:color w:val="231F20"/>
        </w:rPr>
        <w:t>More... </w:t>
      </w:r>
      <w:r>
        <w:rPr>
          <w:color w:val="231F20"/>
        </w:rPr>
        <w:t>to expand that branch of the tree.</w:t>
      </w:r>
    </w:p>
    <w:p>
      <w:pPr>
        <w:pStyle w:val="BodyText"/>
        <w:spacing w:line="213" w:lineRule="auto" w:before="117"/>
        <w:ind w:left="3190" w:right="545"/>
      </w:pPr>
      <w:r>
        <w:rPr>
          <w:color w:val="231F20"/>
        </w:rPr>
        <w:t>The tool for refreshing the Navigator view includes a count of the monitoring agent changes (added or removed) that are waiting to </w:t>
      </w:r>
      <w:r>
        <w:rPr>
          <w:color w:val="231F20"/>
        </w:rPr>
        <w:t>be updated. For example, six pending updates are shown as</w:t>
      </w:r>
      <w:r>
        <w:rPr>
          <w:color w:val="231F20"/>
          <w:spacing w:val="23"/>
        </w:rPr>
        <w:t> </w:t>
      </w:r>
      <w:r>
        <w:rPr>
          <w:color w:val="231F20"/>
          <w:spacing w:val="-25"/>
          <w:position w:val="-1"/>
        </w:rPr>
        <w:drawing>
          <wp:inline distT="0" distB="0" distL="0" distR="0">
            <wp:extent cx="95250" cy="101600"/>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2"/>
          <w:position w:val="8"/>
        </w:rPr>
        <w:t> </w:t>
      </w:r>
      <w:r>
        <w:rPr>
          <w:color w:val="231F20"/>
          <w:position w:val="8"/>
          <w:vertAlign w:val="superscript"/>
        </w:rPr>
        <w:t>6</w:t>
      </w:r>
      <w:r>
        <w:rPr>
          <w:color w:val="231F20"/>
          <w:position w:val="8"/>
          <w:vertAlign w:val="baseline"/>
        </w:rPr>
        <w:t> </w:t>
      </w:r>
      <w:r>
        <w:rPr>
          <w:rFonts w:ascii="Book Antiqua"/>
          <w:b/>
          <w:color w:val="231F20"/>
          <w:vertAlign w:val="baseline"/>
        </w:rPr>
        <w:t>Apply pending updates</w:t>
      </w:r>
      <w:r>
        <w:rPr>
          <w:color w:val="231F20"/>
          <w:vertAlign w:val="baseline"/>
        </w:rPr>
        <w:t>.</w:t>
      </w:r>
    </w:p>
    <w:p>
      <w:pPr>
        <w:pStyle w:val="BodyText"/>
        <w:spacing w:line="213" w:lineRule="auto" w:before="117"/>
        <w:ind w:left="3190" w:right="525"/>
        <w:jc w:val="both"/>
      </w:pPr>
      <w:r>
        <w:rPr>
          <w:color w:val="231F20"/>
        </w:rPr>
        <w:t>Tivoli Enterprise Portal also comes with a Navigator Logical view that initially shows one Navigator item. To change to the Navigator Logical view, select it from the </w:t>
      </w:r>
      <w:r>
        <w:rPr>
          <w:color w:val="231F20"/>
          <w:spacing w:val="-24"/>
          <w:position w:val="-1"/>
        </w:rPr>
        <w:drawing>
          <wp:inline distT="0" distB="0" distL="0" distR="0">
            <wp:extent cx="95250" cy="101600"/>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Navigator view list </w:t>
      </w:r>
      <w:r>
        <w:rPr>
          <w:color w:val="231F20"/>
          <w:spacing w:val="15"/>
          <w:position w:val="-1"/>
        </w:rPr>
        <w:drawing>
          <wp:inline distT="0" distB="0" distL="0" distR="0">
            <wp:extent cx="101600" cy="101600"/>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color w:val="231F20"/>
        </w:rPr>
        <w:t>. You can also edit the Logical view and define new Navigator views for any logical </w:t>
      </w:r>
      <w:r>
        <w:rPr>
          <w:color w:val="231F20"/>
        </w:rPr>
        <w:t>hierarchy. For example, you might have a Navigator view for Manufacturing and another for Marketing.</w:t>
      </w:r>
    </w:p>
    <w:p>
      <w:pPr>
        <w:pStyle w:val="BodyText"/>
        <w:spacing w:line="213" w:lineRule="auto" w:before="176"/>
        <w:ind w:left="3190" w:right="385"/>
      </w:pPr>
      <w:r>
        <w:rPr>
          <w:color w:val="231F20"/>
        </w:rPr>
        <w:t>The right border of the Navigator view has a </w:t>
      </w:r>
      <w:r>
        <w:rPr>
          <w:color w:val="231F20"/>
          <w:spacing w:val="15"/>
          <w:position w:val="-1"/>
        </w:rPr>
        <w:drawing>
          <wp:inline distT="0" distB="0" distL="0" distR="0">
            <wp:extent cx="50800" cy="133350"/>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76" cstate="print"/>
                    <a:stretch>
                      <a:fillRect/>
                    </a:stretch>
                  </pic:blipFill>
                  <pic:spPr>
                    <a:xfrm>
                      <a:off x="0" y="0"/>
                      <a:ext cx="50800" cy="1333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button that hides the Navigator and expands the adjacent workspace views to fill the gap. </w:t>
      </w:r>
      <w:r>
        <w:rPr>
          <w:color w:val="231F20"/>
        </w:rPr>
        <w:t>Click</w:t>
      </w:r>
    </w:p>
    <w:p>
      <w:pPr>
        <w:pStyle w:val="BodyText"/>
        <w:spacing w:line="213" w:lineRule="auto" w:before="58"/>
        <w:ind w:left="3190" w:right="379"/>
      </w:pPr>
      <w:r>
        <w:rPr>
          <w:position w:val="-1"/>
        </w:rPr>
        <w:drawing>
          <wp:inline distT="0" distB="0" distL="0" distR="0">
            <wp:extent cx="50800" cy="133350"/>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77" cstate="print"/>
                    <a:stretch>
                      <a:fillRect/>
                    </a:stretch>
                  </pic:blipFill>
                  <pic:spPr>
                    <a:xfrm>
                      <a:off x="0" y="0"/>
                      <a:ext cx="50800" cy="133350"/>
                    </a:xfrm>
                    <a:prstGeom prst="rect">
                      <a:avLst/>
                    </a:prstGeom>
                  </pic:spPr>
                </pic:pic>
              </a:graphicData>
            </a:graphic>
          </wp:inline>
        </w:drawing>
      </w:r>
      <w:r>
        <w:rPr>
          <w:position w:val="-1"/>
        </w:rPr>
      </w:r>
      <w:r>
        <w:rPr>
          <w:rFonts w:ascii="Times New Roman"/>
          <w:spacing w:val="40"/>
        </w:rPr>
        <w:t> </w:t>
      </w:r>
      <w:r>
        <w:rPr>
          <w:color w:val="231F20"/>
        </w:rPr>
        <w:t>to restore its original size. You can also click </w:t>
      </w:r>
      <w:r>
        <w:rPr>
          <w:color w:val="231F20"/>
          <w:spacing w:val="15"/>
          <w:position w:val="-1"/>
        </w:rPr>
        <w:drawing>
          <wp:inline distT="0" distB="0" distL="0" distR="0">
            <wp:extent cx="101600" cy="88900"/>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i/>
          <w:color w:val="231F20"/>
        </w:rPr>
        <w:t>&lt;Navigator name&gt; </w:t>
      </w:r>
      <w:r>
        <w:rPr>
          <w:color w:val="231F20"/>
        </w:rPr>
        <w:t>in the right-most</w:t>
      </w:r>
      <w:r>
        <w:rPr>
          <w:color w:val="231F20"/>
          <w:spacing w:val="28"/>
        </w:rPr>
        <w:t> </w:t>
      </w:r>
      <w:r>
        <w:rPr>
          <w:color w:val="231F20"/>
        </w:rPr>
        <w:t>section</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status</w:t>
      </w:r>
      <w:r>
        <w:rPr>
          <w:color w:val="231F20"/>
          <w:spacing w:val="28"/>
        </w:rPr>
        <w:t> </w:t>
      </w:r>
      <w:r>
        <w:rPr>
          <w:color w:val="231F20"/>
        </w:rPr>
        <w:t>bar</w:t>
      </w:r>
      <w:r>
        <w:rPr>
          <w:color w:val="231F20"/>
          <w:spacing w:val="28"/>
        </w:rPr>
        <w:t> </w:t>
      </w:r>
      <w:r>
        <w:rPr>
          <w:color w:val="231F20"/>
        </w:rPr>
        <w:t>to</w:t>
      </w:r>
      <w:r>
        <w:rPr>
          <w:color w:val="231F20"/>
          <w:spacing w:val="28"/>
        </w:rPr>
        <w:t> </w:t>
      </w:r>
      <w:r>
        <w:rPr>
          <w:color w:val="231F20"/>
        </w:rPr>
        <w:t>restore</w:t>
      </w:r>
      <w:r>
        <w:rPr>
          <w:color w:val="231F20"/>
          <w:spacing w:val="28"/>
        </w:rPr>
        <w:t> </w:t>
      </w:r>
      <w:r>
        <w:rPr>
          <w:color w:val="231F20"/>
        </w:rPr>
        <w:t>the</w:t>
      </w:r>
      <w:r>
        <w:rPr>
          <w:color w:val="231F20"/>
          <w:spacing w:val="28"/>
        </w:rPr>
        <w:t> </w:t>
      </w:r>
      <w:r>
        <w:rPr>
          <w:color w:val="231F20"/>
        </w:rPr>
        <w:t>Navigator</w:t>
      </w:r>
      <w:r>
        <w:rPr>
          <w:color w:val="231F20"/>
          <w:spacing w:val="28"/>
        </w:rPr>
        <w:t> </w:t>
      </w:r>
      <w:r>
        <w:rPr>
          <w:color w:val="231F20"/>
        </w:rPr>
        <w:t>view;</w:t>
      </w:r>
      <w:r>
        <w:rPr>
          <w:color w:val="231F20"/>
          <w:spacing w:val="28"/>
        </w:rPr>
        <w:t> </w:t>
      </w:r>
      <w:r>
        <w:rPr>
          <w:color w:val="231F20"/>
        </w:rPr>
        <w:t>or right-click it to see a list of Navigator views to select from.</w:t>
      </w:r>
    </w:p>
    <w:p>
      <w:pPr>
        <w:pStyle w:val="Heading6"/>
        <w:spacing w:line="240" w:lineRule="auto"/>
      </w:pPr>
      <w:r>
        <w:rPr>
          <w:color w:val="231F20"/>
          <w:spacing w:val="-2"/>
        </w:rPr>
        <w:t>Workspace</w:t>
      </w:r>
    </w:p>
    <w:p>
      <w:pPr>
        <w:pStyle w:val="BodyText"/>
        <w:spacing w:line="213" w:lineRule="auto" w:before="119"/>
        <w:ind w:left="3190" w:right="258"/>
      </w:pPr>
      <w:r>
        <w:rPr>
          <w:color w:val="231F20"/>
        </w:rPr>
        <w:t>The workspace is the working area of the application window and </w:t>
      </w:r>
      <w:r>
        <w:rPr>
          <w:color w:val="231F20"/>
        </w:rPr>
        <w:t>consists of one or more views.</w:t>
      </w:r>
    </w:p>
    <w:p>
      <w:pPr>
        <w:pStyle w:val="BodyText"/>
        <w:spacing w:line="213" w:lineRule="auto" w:before="119"/>
        <w:ind w:left="3190" w:right="493"/>
      </w:pPr>
      <w:r>
        <w:rPr>
          <w:color w:val="231F20"/>
        </w:rPr>
        <w:t>A </w:t>
      </w:r>
      <w:r>
        <w:rPr>
          <w:rFonts w:ascii="Book Antiqua"/>
          <w:i/>
          <w:color w:val="231F20"/>
        </w:rPr>
        <w:t>view </w:t>
      </w:r>
      <w:r>
        <w:rPr>
          <w:color w:val="231F20"/>
        </w:rPr>
        <w:t>is a pane in the workspace, typically a chart or table showing data collected from a monitoring agent, such as the process detail running on the UNIX operating system. A view can be split either vertically or horizontally into two separate, independent views.</w:t>
      </w:r>
    </w:p>
    <w:p>
      <w:pPr>
        <w:pStyle w:val="BodyText"/>
        <w:spacing w:line="213" w:lineRule="auto" w:before="117"/>
        <w:ind w:left="3190" w:right="258"/>
      </w:pPr>
      <w:r>
        <w:rPr>
          <w:color w:val="231F20"/>
        </w:rPr>
        <w:t>Every item in the Navigator has a default workspace associated with it.</w:t>
      </w:r>
      <w:r>
        <w:rPr>
          <w:color w:val="231F20"/>
          <w:spacing w:val="40"/>
        </w:rPr>
        <w:t> </w:t>
      </w:r>
      <w:r>
        <w:rPr>
          <w:color w:val="231F20"/>
        </w:rPr>
        <w:t>Some items might have multiple workspaces, which are accessible from </w:t>
      </w:r>
      <w:r>
        <w:rPr>
          <w:color w:val="231F20"/>
        </w:rPr>
        <w:t>the </w:t>
      </w:r>
      <w:r>
        <w:rPr>
          <w:color w:val="231F20"/>
          <w:position w:val="-1"/>
        </w:rPr>
        <w:drawing>
          <wp:inline distT="0" distB="0" distL="0" distR="0">
            <wp:extent cx="101600" cy="101600"/>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rFonts w:ascii="Book Antiqua"/>
          <w:b/>
          <w:color w:val="231F20"/>
        </w:rPr>
        <w:t>Workspace gallery </w:t>
      </w:r>
      <w:r>
        <w:rPr>
          <w:color w:val="231F20"/>
        </w:rPr>
        <w:t>or from the Navigator item pop-up menu.</w:t>
      </w:r>
    </w:p>
    <w:p>
      <w:pPr>
        <w:pStyle w:val="BodyText"/>
        <w:spacing w:line="255" w:lineRule="exact" w:before="94"/>
        <w:ind w:left="3190"/>
      </w:pPr>
      <w:r>
        <w:rPr>
          <w:color w:val="231F20"/>
        </w:rPr>
        <w:t>A</w:t>
      </w:r>
      <w:r>
        <w:rPr>
          <w:color w:val="231F20"/>
          <w:spacing w:val="1"/>
        </w:rPr>
        <w:t> </w:t>
      </w:r>
      <w:r>
        <w:rPr>
          <w:color w:val="231F20"/>
        </w:rPr>
        <w:t>workspace</w:t>
      </w:r>
      <w:r>
        <w:rPr>
          <w:color w:val="231F20"/>
          <w:spacing w:val="11"/>
        </w:rPr>
        <w:t> </w:t>
      </w:r>
      <w:r>
        <w:rPr>
          <w:color w:val="231F20"/>
        </w:rPr>
        <w:t>can</w:t>
      </w:r>
      <w:r>
        <w:rPr>
          <w:color w:val="231F20"/>
          <w:spacing w:val="12"/>
        </w:rPr>
        <w:t> </w:t>
      </w:r>
      <w:r>
        <w:rPr>
          <w:color w:val="231F20"/>
        </w:rPr>
        <w:t>be</w:t>
      </w:r>
      <w:r>
        <w:rPr>
          <w:color w:val="231F20"/>
          <w:spacing w:val="11"/>
        </w:rPr>
        <w:t> </w:t>
      </w:r>
      <w:r>
        <w:rPr>
          <w:color w:val="231F20"/>
        </w:rPr>
        <w:t>linked</w:t>
      </w:r>
      <w:r>
        <w:rPr>
          <w:color w:val="231F20"/>
          <w:spacing w:val="12"/>
        </w:rPr>
        <w:t> </w:t>
      </w:r>
      <w:r>
        <w:rPr>
          <w:color w:val="231F20"/>
        </w:rPr>
        <w:t>to</w:t>
      </w:r>
      <w:r>
        <w:rPr>
          <w:color w:val="231F20"/>
          <w:spacing w:val="11"/>
        </w:rPr>
        <w:t> </w:t>
      </w:r>
      <w:r>
        <w:rPr>
          <w:color w:val="231F20"/>
        </w:rPr>
        <w:t>other</w:t>
      </w:r>
      <w:r>
        <w:rPr>
          <w:color w:val="231F20"/>
          <w:spacing w:val="12"/>
        </w:rPr>
        <w:t> </w:t>
      </w:r>
      <w:r>
        <w:rPr>
          <w:color w:val="231F20"/>
        </w:rPr>
        <w:t>workspaces.</w:t>
      </w:r>
      <w:r>
        <w:rPr>
          <w:color w:val="231F20"/>
          <w:spacing w:val="5"/>
        </w:rPr>
        <w:t> </w:t>
      </w:r>
      <w:r>
        <w:rPr>
          <w:color w:val="231F20"/>
        </w:rPr>
        <w:t>A</w:t>
      </w:r>
      <w:r>
        <w:rPr>
          <w:color w:val="231F20"/>
          <w:spacing w:val="1"/>
        </w:rPr>
        <w:t> </w:t>
      </w:r>
      <w:r>
        <w:rPr>
          <w:color w:val="231F20"/>
        </w:rPr>
        <w:t>link</w:t>
      </w:r>
      <w:r>
        <w:rPr>
          <w:color w:val="231F20"/>
          <w:spacing w:val="12"/>
        </w:rPr>
        <w:t> </w:t>
      </w:r>
      <w:r>
        <w:rPr>
          <w:color w:val="231F20"/>
        </w:rPr>
        <w:t>can</w:t>
      </w:r>
      <w:r>
        <w:rPr>
          <w:color w:val="231F20"/>
          <w:spacing w:val="11"/>
        </w:rPr>
        <w:t> </w:t>
      </w:r>
      <w:r>
        <w:rPr>
          <w:color w:val="231F20"/>
          <w:spacing w:val="-5"/>
        </w:rPr>
        <w:t>be</w:t>
      </w:r>
    </w:p>
    <w:p>
      <w:pPr>
        <w:pStyle w:val="BodyText"/>
        <w:spacing w:line="213" w:lineRule="auto" w:before="8"/>
        <w:ind w:left="3190" w:right="258"/>
      </w:pPr>
      <w:r>
        <w:rPr>
          <w:color w:val="231F20"/>
        </w:rPr>
        <w:t>context-sensitive, whereby you click a </w:t>
      </w:r>
      <w:r>
        <w:rPr>
          <w:color w:val="231F20"/>
          <w:spacing w:val="15"/>
          <w:position w:val="-1"/>
        </w:rPr>
        <w:drawing>
          <wp:inline distT="0" distB="0" distL="0" distR="0">
            <wp:extent cx="101600" cy="10160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link in a table row or right-click a table row or a chart data series to link to more detailed information about one of the attributes in the row or data series.</w:t>
      </w:r>
    </w:p>
    <w:p>
      <w:pPr>
        <w:pStyle w:val="Heading6"/>
        <w:spacing w:line="240" w:lineRule="auto"/>
      </w:pPr>
      <w:r>
        <w:rPr>
          <w:color w:val="231F20"/>
        </w:rPr>
        <w:t>Status</w:t>
      </w:r>
      <w:r>
        <w:rPr>
          <w:color w:val="231F20"/>
          <w:spacing w:val="10"/>
        </w:rPr>
        <w:t> </w:t>
      </w:r>
      <w:r>
        <w:rPr>
          <w:color w:val="231F20"/>
          <w:spacing w:val="-5"/>
        </w:rPr>
        <w:t>bar</w:t>
      </w:r>
    </w:p>
    <w:p>
      <w:pPr>
        <w:pStyle w:val="BodyText"/>
        <w:spacing w:line="213" w:lineRule="auto" w:before="119"/>
        <w:ind w:left="3190" w:right="274"/>
      </w:pPr>
      <w:r>
        <w:rPr>
          <w:color w:val="231F20"/>
        </w:rPr>
        <w:t>The status bar has several sections showing the following, starting from </w:t>
      </w:r>
      <w:r>
        <w:rPr>
          <w:color w:val="231F20"/>
        </w:rPr>
        <w:t>the </w:t>
      </w:r>
      <w:r>
        <w:rPr>
          <w:color w:val="231F20"/>
          <w:spacing w:val="-2"/>
        </w:rPr>
        <w:t>left:</w:t>
      </w:r>
    </w:p>
    <w:p>
      <w:pPr>
        <w:pStyle w:val="BodyText"/>
        <w:spacing w:before="36"/>
        <w:ind w:left="3190"/>
      </w:pPr>
      <w:r>
        <w:rPr>
          <w:rFonts w:ascii="Futura MdCn BT"/>
          <w:color w:val="231F20"/>
        </w:rPr>
        <w:t>v</w:t>
      </w:r>
      <w:r>
        <w:rPr>
          <w:rFonts w:ascii="Futura MdCn BT"/>
          <w:color w:val="231F20"/>
          <w:spacing w:val="31"/>
        </w:rPr>
        <w:t>  </w:t>
      </w:r>
      <w:r>
        <w:rPr>
          <w:rFonts w:ascii="Futura MdCn BT"/>
          <w:color w:val="231F20"/>
          <w:spacing w:val="-5"/>
          <w:position w:val="-1"/>
        </w:rPr>
        <w:drawing>
          <wp:inline distT="0" distB="0" distL="0" distR="0">
            <wp:extent cx="101600" cy="101600"/>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80" cstate="print"/>
                    <a:stretch>
                      <a:fillRect/>
                    </a:stretch>
                  </pic:blipFill>
                  <pic:spPr>
                    <a:xfrm>
                      <a:off x="0" y="0"/>
                      <a:ext cx="101600" cy="101600"/>
                    </a:xfrm>
                    <a:prstGeom prst="rect">
                      <a:avLst/>
                    </a:prstGeom>
                  </pic:spPr>
                </pic:pic>
              </a:graphicData>
            </a:graphic>
          </wp:inline>
        </w:drawing>
      </w:r>
      <w:r>
        <w:rPr>
          <w:rFonts w:ascii="Futura MdCn BT"/>
          <w:color w:val="231F20"/>
          <w:spacing w:val="-5"/>
          <w:position w:val="-1"/>
        </w:rPr>
      </w:r>
      <w:r>
        <w:rPr>
          <w:rFonts w:ascii="Times New Roman"/>
          <w:color w:val="231F20"/>
          <w:spacing w:val="1"/>
        </w:rPr>
        <w:t> </w:t>
      </w:r>
      <w:r>
        <w:rPr>
          <w:rFonts w:ascii="Book Antiqua"/>
          <w:b/>
          <w:color w:val="231F20"/>
        </w:rPr>
        <w:t>Hub</w:t>
      </w:r>
      <w:r>
        <w:rPr>
          <w:rFonts w:ascii="Book Antiqua"/>
          <w:b/>
          <w:color w:val="231F20"/>
          <w:spacing w:val="12"/>
        </w:rPr>
        <w:t> </w:t>
      </w:r>
      <w:r>
        <w:rPr>
          <w:rFonts w:ascii="Book Antiqua"/>
          <w:b/>
          <w:color w:val="231F20"/>
        </w:rPr>
        <w:t>Time</w:t>
      </w:r>
      <w:r>
        <w:rPr>
          <w:color w:val="231F20"/>
        </w:rPr>
        <w:t>,</w:t>
      </w:r>
      <w:r>
        <w:rPr>
          <w:color w:val="231F20"/>
          <w:spacing w:val="12"/>
        </w:rPr>
        <w:t> </w:t>
      </w:r>
      <w:r>
        <w:rPr>
          <w:color w:val="231F20"/>
        </w:rPr>
        <w:t>which</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rPr>
        <w:t>local</w:t>
      </w:r>
      <w:r>
        <w:rPr>
          <w:color w:val="231F20"/>
          <w:spacing w:val="12"/>
        </w:rPr>
        <w:t> </w:t>
      </w:r>
      <w:r>
        <w:rPr>
          <w:color w:val="231F20"/>
        </w:rPr>
        <w:t>time</w:t>
      </w:r>
      <w:r>
        <w:rPr>
          <w:color w:val="231F20"/>
          <w:spacing w:val="12"/>
        </w:rPr>
        <w:t> </w:t>
      </w:r>
      <w:r>
        <w:rPr>
          <w:color w:val="231F20"/>
        </w:rPr>
        <w:t>at</w:t>
      </w:r>
      <w:r>
        <w:rPr>
          <w:color w:val="231F20"/>
          <w:spacing w:val="12"/>
        </w:rPr>
        <w:t> </w:t>
      </w:r>
      <w:r>
        <w:rPr>
          <w:color w:val="231F20"/>
        </w:rPr>
        <w:t>the</w:t>
      </w:r>
      <w:r>
        <w:rPr>
          <w:color w:val="231F20"/>
          <w:spacing w:val="12"/>
        </w:rPr>
        <w:t> </w:t>
      </w:r>
      <w:r>
        <w:rPr>
          <w:color w:val="231F20"/>
        </w:rPr>
        <w:t>hub</w:t>
      </w:r>
      <w:r>
        <w:rPr>
          <w:color w:val="231F20"/>
          <w:spacing w:val="12"/>
        </w:rPr>
        <w:t> </w:t>
      </w:r>
      <w:r>
        <w:rPr>
          <w:color w:val="231F20"/>
        </w:rPr>
        <w:t>monitoring</w:t>
      </w:r>
      <w:r>
        <w:rPr>
          <w:color w:val="231F20"/>
          <w:spacing w:val="12"/>
        </w:rPr>
        <w:t> </w:t>
      </w:r>
      <w:r>
        <w:rPr>
          <w:color w:val="231F20"/>
          <w:spacing w:val="-2"/>
        </w:rPr>
        <w:t>server</w:t>
      </w:r>
    </w:p>
    <w:p>
      <w:pPr>
        <w:pStyle w:val="BodyText"/>
        <w:spacing w:line="213" w:lineRule="auto" w:before="52"/>
        <w:ind w:left="3406" w:right="274"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95250" cy="10160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70" cstate="print"/>
                    <a:stretch>
                      <a:fillRect/>
                    </a:stretch>
                  </pic:blipFill>
                  <pic:spPr>
                    <a:xfrm>
                      <a:off x="0" y="0"/>
                      <a:ext cx="95250" cy="101600"/>
                    </a:xfrm>
                    <a:prstGeom prst="rect">
                      <a:avLst/>
                    </a:prstGeom>
                  </pic:spPr>
                </pic:pic>
              </a:graphicData>
            </a:graphic>
          </wp:inline>
        </w:drawing>
      </w:r>
      <w:r>
        <w:rPr>
          <w:rFonts w:ascii="Futura MdCn BT"/>
          <w:color w:val="231F20"/>
          <w:spacing w:val="-5"/>
          <w:position w:val="-1"/>
        </w:rPr>
      </w:r>
      <w:r>
        <w:rPr>
          <w:rFonts w:ascii="Times New Roman"/>
          <w:color w:val="231F20"/>
          <w:spacing w:val="-5"/>
        </w:rPr>
        <w:t> </w:t>
      </w:r>
      <w:r>
        <w:rPr>
          <w:rFonts w:ascii="Book Antiqua"/>
          <w:b/>
          <w:color w:val="231F20"/>
        </w:rPr>
        <w:t>Server Available </w:t>
      </w:r>
      <w:r>
        <w:rPr>
          <w:color w:val="231F20"/>
        </w:rPr>
        <w:t>(or offline if you see a red "X" over the server </w:t>
      </w:r>
      <w:r>
        <w:rPr>
          <w:color w:val="231F20"/>
        </w:rPr>
        <w:t>icon),</w:t>
      </w:r>
      <w:r>
        <w:rPr>
          <w:color w:val="231F20"/>
          <w:spacing w:val="40"/>
        </w:rPr>
        <w:t> </w:t>
      </w:r>
      <w:r>
        <w:rPr>
          <w:color w:val="231F20"/>
        </w:rPr>
        <w:t>which is the status of the connection to the portal server</w:t>
      </w:r>
    </w:p>
    <w:p>
      <w:pPr>
        <w:pStyle w:val="BodyText"/>
        <w:spacing w:line="213" w:lineRule="auto" w:before="59"/>
        <w:ind w:left="3406" w:right="545" w:hanging="216"/>
      </w:pPr>
      <w:r>
        <w:rPr>
          <w:rFonts w:ascii="Futura MdCn BT"/>
          <w:color w:val="231F20"/>
        </w:rPr>
        <w:t>v</w:t>
      </w:r>
      <w:r>
        <w:rPr>
          <w:rFonts w:ascii="Futura MdCn BT"/>
          <w:color w:val="231F20"/>
          <w:spacing w:val="80"/>
        </w:rPr>
        <w:t> </w:t>
      </w:r>
      <w:r>
        <w:rPr>
          <w:color w:val="231F20"/>
        </w:rPr>
        <w:t>Workspace name, portal server name, and port number, and the </w:t>
      </w:r>
      <w:r>
        <w:rPr>
          <w:color w:val="231F20"/>
        </w:rPr>
        <w:t>user</w:t>
      </w:r>
      <w:r>
        <w:rPr>
          <w:color w:val="231F20"/>
        </w:rPr>
        <w:t> name. If the user is in workspace administration mode, </w:t>
      </w:r>
      <w:r>
        <w:rPr>
          <w:rFonts w:ascii="Book Antiqua"/>
          <w:b/>
          <w:color w:val="231F20"/>
        </w:rPr>
        <w:t>*ADMIN MODE* </w:t>
      </w:r>
      <w:r>
        <w:rPr>
          <w:color w:val="231F20"/>
        </w:rPr>
        <w:t>is displayed.</w:t>
      </w:r>
    </w:p>
    <w:p>
      <w:pPr>
        <w:pStyle w:val="BodyText"/>
        <w:spacing w:line="213" w:lineRule="auto" w:before="57"/>
        <w:ind w:left="3406" w:right="493" w:hanging="216"/>
      </w:pPr>
      <w:r>
        <w:rPr>
          <w:rFonts w:ascii="Futura MdCn BT"/>
          <w:color w:val="231F20"/>
        </w:rPr>
        <w:t>v</w:t>
      </w:r>
      <w:r>
        <w:rPr>
          <w:rFonts w:ascii="Futura MdCn BT"/>
          <w:color w:val="231F20"/>
          <w:spacing w:val="80"/>
        </w:rPr>
        <w:t> </w:t>
      </w:r>
      <w:r>
        <w:rPr>
          <w:color w:val="231F20"/>
        </w:rPr>
        <w:t>If the Navigator view is minimized, a </w:t>
      </w:r>
      <w:r>
        <w:rPr>
          <w:color w:val="231F20"/>
          <w:spacing w:val="15"/>
          <w:position w:val="-1"/>
        </w:rPr>
        <w:drawing>
          <wp:inline distT="0" distB="0" distL="0" distR="0">
            <wp:extent cx="101600" cy="88900"/>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rPr>
      </w:r>
      <w:r>
        <w:rPr>
          <w:rFonts w:ascii="Times New Roman"/>
          <w:color w:val="231F20"/>
          <w:spacing w:val="-16"/>
        </w:rPr>
        <w:t> </w:t>
      </w:r>
      <w:r>
        <w:rPr>
          <w:color w:val="231F20"/>
        </w:rPr>
        <w:t>Navigator button is displayed for you to click to restore the named Navigator.</w:t>
      </w:r>
    </w:p>
    <w:p>
      <w:pPr>
        <w:pStyle w:val="BodyText"/>
        <w:spacing w:before="96"/>
        <w:ind w:left="3190"/>
      </w:pPr>
      <w:r>
        <w:rPr>
          <w:color w:val="231F20"/>
        </w:rPr>
        <w:t>You</w:t>
      </w:r>
      <w:r>
        <w:rPr>
          <w:color w:val="231F20"/>
          <w:spacing w:val="9"/>
        </w:rPr>
        <w:t> </w:t>
      </w:r>
      <w:r>
        <w:rPr>
          <w:color w:val="231F20"/>
        </w:rPr>
        <w:t>can</w:t>
      </w:r>
      <w:r>
        <w:rPr>
          <w:color w:val="231F20"/>
          <w:spacing w:val="9"/>
        </w:rPr>
        <w:t> </w:t>
      </w:r>
      <w:r>
        <w:rPr>
          <w:color w:val="231F20"/>
        </w:rPr>
        <w:t>turn</w:t>
      </w:r>
      <w:r>
        <w:rPr>
          <w:color w:val="231F20"/>
          <w:spacing w:val="9"/>
        </w:rPr>
        <w:t> </w:t>
      </w:r>
      <w:r>
        <w:rPr>
          <w:color w:val="231F20"/>
        </w:rPr>
        <w:t>off</w:t>
      </w:r>
      <w:r>
        <w:rPr>
          <w:color w:val="231F20"/>
          <w:spacing w:val="10"/>
        </w:rPr>
        <w:t> </w:t>
      </w:r>
      <w:r>
        <w:rPr>
          <w:color w:val="231F20"/>
        </w:rPr>
        <w:t>the</w:t>
      </w:r>
      <w:r>
        <w:rPr>
          <w:color w:val="231F20"/>
          <w:spacing w:val="9"/>
        </w:rPr>
        <w:t> </w:t>
      </w:r>
      <w:r>
        <w:rPr>
          <w:color w:val="231F20"/>
        </w:rPr>
        <w:t>display</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status</w:t>
      </w:r>
      <w:r>
        <w:rPr>
          <w:color w:val="231F20"/>
          <w:spacing w:val="9"/>
        </w:rPr>
        <w:t> </w:t>
      </w:r>
      <w:r>
        <w:rPr>
          <w:color w:val="231F20"/>
        </w:rPr>
        <w:t>bar</w:t>
      </w:r>
      <w:r>
        <w:rPr>
          <w:color w:val="231F20"/>
          <w:spacing w:val="9"/>
        </w:rPr>
        <w:t> </w:t>
      </w:r>
      <w:r>
        <w:rPr>
          <w:color w:val="231F20"/>
        </w:rPr>
        <w:t>through</w:t>
      </w:r>
      <w:r>
        <w:rPr>
          <w:color w:val="231F20"/>
          <w:spacing w:val="9"/>
        </w:rPr>
        <w:t> </w:t>
      </w:r>
      <w:r>
        <w:rPr>
          <w:color w:val="231F20"/>
        </w:rPr>
        <w:t>the</w:t>
      </w:r>
      <w:r>
        <w:rPr>
          <w:color w:val="231F20"/>
          <w:spacing w:val="10"/>
        </w:rPr>
        <w:t> </w:t>
      </w:r>
      <w:r>
        <w:rPr>
          <w:color w:val="231F20"/>
        </w:rPr>
        <w:t>View</w:t>
      </w:r>
      <w:r>
        <w:rPr>
          <w:color w:val="231F20"/>
          <w:spacing w:val="9"/>
        </w:rPr>
        <w:t> </w:t>
      </w:r>
      <w:r>
        <w:rPr>
          <w:color w:val="231F20"/>
          <w:spacing w:val="-2"/>
        </w:rPr>
        <w:t>menu.</w:t>
      </w:r>
    </w:p>
    <w:p>
      <w:pPr>
        <w:spacing w:after="0"/>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6" w:id="14"/>
      <w:bookmarkEnd w:id="14"/>
      <w:r>
        <w:rPr/>
      </w:r>
      <w:r>
        <w:rPr>
          <w:sz w:val="2"/>
        </w:rPr>
        <mc:AlternateContent>
          <mc:Choice Requires="wps">
            <w:drawing>
              <wp:inline distT="0" distB="0" distL="0" distR="0">
                <wp:extent cx="6082665" cy="6350"/>
                <wp:effectExtent l="9525" t="0" r="0" b="3175"/>
                <wp:docPr id="93" name="Group 93"/>
                <wp:cNvGraphicFramePr>
                  <a:graphicFrameLocks/>
                </wp:cNvGraphicFramePr>
                <a:graphic>
                  <a:graphicData uri="http://schemas.microsoft.com/office/word/2010/wordprocessingGroup">
                    <wpg:wgp>
                      <wpg:cNvPr id="93" name="Group 93"/>
                      <wpg:cNvGrpSpPr/>
                      <wpg:grpSpPr>
                        <a:xfrm>
                          <a:off x="0" y="0"/>
                          <a:ext cx="6082665" cy="6350"/>
                          <a:chExt cx="6082665" cy="6350"/>
                        </a:xfrm>
                      </wpg:grpSpPr>
                      <wps:wsp>
                        <wps:cNvPr id="94" name="Graphic 94"/>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0"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Browser client differences" w:id="15"/>
      <w:bookmarkEnd w:id="15"/>
      <w:r>
        <w:rPr>
          <w:b w:val="0"/>
        </w:rPr>
      </w:r>
      <w:r>
        <w:rPr>
          <w:color w:val="231F20"/>
        </w:rPr>
        <w:t>Browser</w:t>
      </w:r>
      <w:r>
        <w:rPr>
          <w:color w:val="231F20"/>
          <w:spacing w:val="5"/>
        </w:rPr>
        <w:t> </w:t>
      </w:r>
      <w:r>
        <w:rPr>
          <w:color w:val="231F20"/>
        </w:rPr>
        <w:t>client</w:t>
      </w:r>
      <w:r>
        <w:rPr>
          <w:color w:val="231F20"/>
          <w:spacing w:val="6"/>
        </w:rPr>
        <w:t> </w:t>
      </w:r>
      <w:r>
        <w:rPr>
          <w:color w:val="231F20"/>
          <w:spacing w:val="-2"/>
        </w:rPr>
        <w:t>differences</w:t>
      </w:r>
    </w:p>
    <w:p>
      <w:pPr>
        <w:pStyle w:val="BodyText"/>
        <w:spacing w:line="213" w:lineRule="auto" w:before="138"/>
        <w:ind w:left="2232" w:right="545"/>
      </w:pPr>
      <w:r>
        <w:rPr>
          <w:color w:val="231F20"/>
        </w:rPr>
        <w:t>The</w:t>
      </w:r>
      <w:r>
        <w:rPr>
          <w:color w:val="231F20"/>
          <w:spacing w:val="26"/>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can</w:t>
      </w:r>
      <w:r>
        <w:rPr>
          <w:color w:val="231F20"/>
          <w:spacing w:val="26"/>
        </w:rPr>
        <w:t> </w:t>
      </w:r>
      <w:r>
        <w:rPr>
          <w:color w:val="231F20"/>
        </w:rPr>
        <w:t>be</w:t>
      </w:r>
      <w:r>
        <w:rPr>
          <w:color w:val="231F20"/>
          <w:spacing w:val="26"/>
        </w:rPr>
        <w:t> </w:t>
      </w:r>
      <w:r>
        <w:rPr>
          <w:color w:val="231F20"/>
        </w:rPr>
        <w:t>started</w:t>
      </w:r>
      <w:r>
        <w:rPr>
          <w:color w:val="231F20"/>
          <w:spacing w:val="26"/>
        </w:rPr>
        <w:t> </w:t>
      </w:r>
      <w:r>
        <w:rPr>
          <w:color w:val="231F20"/>
        </w:rPr>
        <w:t>as</w:t>
      </w:r>
      <w:r>
        <w:rPr>
          <w:color w:val="231F20"/>
          <w:spacing w:val="26"/>
        </w:rPr>
        <w:t> </w:t>
      </w:r>
      <w:r>
        <w:rPr>
          <w:color w:val="231F20"/>
        </w:rPr>
        <w:t>a</w:t>
      </w:r>
      <w:r>
        <w:rPr>
          <w:color w:val="231F20"/>
          <w:spacing w:val="26"/>
        </w:rPr>
        <w:t> </w:t>
      </w:r>
      <w:r>
        <w:rPr>
          <w:color w:val="231F20"/>
        </w:rPr>
        <w:t>desktop</w:t>
      </w:r>
      <w:r>
        <w:rPr>
          <w:color w:val="231F20"/>
          <w:spacing w:val="26"/>
        </w:rPr>
        <w:t> </w:t>
      </w:r>
      <w:r>
        <w:rPr>
          <w:color w:val="231F20"/>
        </w:rPr>
        <w:t>application</w:t>
      </w:r>
      <w:r>
        <w:rPr>
          <w:color w:val="231F20"/>
          <w:spacing w:val="26"/>
        </w:rPr>
        <w:t> </w:t>
      </w:r>
      <w:r>
        <w:rPr>
          <w:color w:val="231F20"/>
        </w:rPr>
        <w:t>or</w:t>
      </w:r>
      <w:r>
        <w:rPr>
          <w:color w:val="231F20"/>
          <w:spacing w:val="26"/>
        </w:rPr>
        <w:t> </w:t>
      </w:r>
      <w:r>
        <w:rPr>
          <w:color w:val="231F20"/>
        </w:rPr>
        <w:t>through your browser by entering the URL for the Tivoli Enterprise Portal Server. There are</w:t>
      </w:r>
      <w:r>
        <w:rPr>
          <w:color w:val="231F20"/>
          <w:spacing w:val="80"/>
        </w:rPr>
        <w:t> </w:t>
      </w:r>
      <w:r>
        <w:rPr>
          <w:color w:val="231F20"/>
        </w:rPr>
        <w:t>a few differences in operation between the two clients.</w:t>
      </w:r>
    </w:p>
    <w:p>
      <w:pPr>
        <w:pStyle w:val="BodyText"/>
        <w:spacing w:line="213" w:lineRule="auto" w:before="238"/>
        <w:ind w:left="2232" w:right="402"/>
      </w:pPr>
      <w:r>
        <w:rPr>
          <w:color w:val="231F20"/>
        </w:rPr>
        <w:t>Tivoli Enterprise Portal can be used with either a desktop or a browser client. For a</w:t>
      </w:r>
      <w:r>
        <w:rPr>
          <w:color w:val="231F20"/>
          <w:spacing w:val="40"/>
        </w:rPr>
        <w:t> </w:t>
      </w:r>
      <w:r>
        <w:rPr>
          <w:color w:val="231F20"/>
        </w:rPr>
        <w:t>desktop client, the application software is installed on your system and you start it</w:t>
      </w:r>
      <w:r>
        <w:rPr>
          <w:color w:val="231F20"/>
          <w:spacing w:val="80"/>
        </w:rPr>
        <w:t> </w:t>
      </w:r>
      <w:r>
        <w:rPr>
          <w:color w:val="231F20"/>
        </w:rPr>
        <w:t>as</w:t>
      </w:r>
      <w:r>
        <w:rPr>
          <w:color w:val="231F20"/>
          <w:spacing w:val="26"/>
        </w:rPr>
        <w:t> </w:t>
      </w:r>
      <w:r>
        <w:rPr>
          <w:color w:val="231F20"/>
        </w:rPr>
        <w:t>you</w:t>
      </w:r>
      <w:r>
        <w:rPr>
          <w:color w:val="231F20"/>
          <w:spacing w:val="26"/>
        </w:rPr>
        <w:t> </w:t>
      </w:r>
      <w:r>
        <w:rPr>
          <w:color w:val="231F20"/>
        </w:rPr>
        <w:t>would</w:t>
      </w:r>
      <w:r>
        <w:rPr>
          <w:color w:val="231F20"/>
          <w:spacing w:val="26"/>
        </w:rPr>
        <w:t> </w:t>
      </w:r>
      <w:r>
        <w:rPr>
          <w:color w:val="231F20"/>
        </w:rPr>
        <w:t>any</w:t>
      </w:r>
      <w:r>
        <w:rPr>
          <w:color w:val="231F20"/>
          <w:spacing w:val="26"/>
        </w:rPr>
        <w:t> </w:t>
      </w:r>
      <w:r>
        <w:rPr>
          <w:color w:val="231F20"/>
        </w:rPr>
        <w:t>other</w:t>
      </w:r>
      <w:r>
        <w:rPr>
          <w:color w:val="231F20"/>
          <w:spacing w:val="26"/>
        </w:rPr>
        <w:t> </w:t>
      </w:r>
      <w:r>
        <w:rPr>
          <w:color w:val="231F20"/>
        </w:rPr>
        <w:t>application;</w:t>
      </w:r>
      <w:r>
        <w:rPr>
          <w:color w:val="231F20"/>
          <w:spacing w:val="26"/>
        </w:rPr>
        <w:t> </w:t>
      </w:r>
      <w:r>
        <w:rPr>
          <w:color w:val="231F20"/>
        </w:rPr>
        <w:t>for</w:t>
      </w:r>
      <w:r>
        <w:rPr>
          <w:color w:val="231F20"/>
          <w:spacing w:val="26"/>
        </w:rPr>
        <w:t> </w:t>
      </w:r>
      <w:r>
        <w:rPr>
          <w:color w:val="231F20"/>
        </w:rPr>
        <w:t>a</w:t>
      </w:r>
      <w:r>
        <w:rPr>
          <w:color w:val="231F20"/>
          <w:spacing w:val="26"/>
        </w:rPr>
        <w:t> </w:t>
      </w:r>
      <w:r>
        <w:rPr>
          <w:color w:val="231F20"/>
        </w:rPr>
        <w:t>browser</w:t>
      </w:r>
      <w:r>
        <w:rPr>
          <w:color w:val="231F20"/>
          <w:spacing w:val="26"/>
        </w:rPr>
        <w:t> </w:t>
      </w:r>
      <w:r>
        <w:rPr>
          <w:color w:val="231F20"/>
        </w:rPr>
        <w:t>client,</w:t>
      </w:r>
      <w:r>
        <w:rPr>
          <w:color w:val="231F20"/>
          <w:spacing w:val="26"/>
        </w:rPr>
        <w:t> </w:t>
      </w:r>
      <w:r>
        <w:rPr>
          <w:color w:val="231F20"/>
        </w:rPr>
        <w:t>the</w:t>
      </w:r>
      <w:r>
        <w:rPr>
          <w:color w:val="231F20"/>
          <w:spacing w:val="26"/>
        </w:rPr>
        <w:t> </w:t>
      </w:r>
      <w:r>
        <w:rPr>
          <w:color w:val="231F20"/>
        </w:rPr>
        <w:t>application</w:t>
      </w:r>
      <w:r>
        <w:rPr>
          <w:color w:val="231F20"/>
          <w:spacing w:val="26"/>
        </w:rPr>
        <w:t> </w:t>
      </w:r>
      <w:r>
        <w:rPr>
          <w:color w:val="231F20"/>
        </w:rPr>
        <w:t>software</w:t>
      </w:r>
      <w:r>
        <w:rPr>
          <w:color w:val="231F20"/>
        </w:rPr>
        <w:t> is installed on the web server that is integrated with the Tivoli Enterprise Portal Server and users log on from their browsers. The software is downloaded to your system</w:t>
      </w:r>
      <w:r>
        <w:rPr>
          <w:color w:val="231F20"/>
          <w:spacing w:val="26"/>
        </w:rPr>
        <w:t> </w:t>
      </w:r>
      <w:r>
        <w:rPr>
          <w:color w:val="231F20"/>
        </w:rPr>
        <w:t>the</w:t>
      </w:r>
      <w:r>
        <w:rPr>
          <w:color w:val="231F20"/>
          <w:spacing w:val="26"/>
        </w:rPr>
        <w:t> </w:t>
      </w:r>
      <w:r>
        <w:rPr>
          <w:color w:val="231F20"/>
        </w:rPr>
        <w:t>first</w:t>
      </w:r>
      <w:r>
        <w:rPr>
          <w:color w:val="231F20"/>
          <w:spacing w:val="26"/>
        </w:rPr>
        <w:t> </w:t>
      </w:r>
      <w:r>
        <w:rPr>
          <w:color w:val="231F20"/>
        </w:rPr>
        <w:t>time</w:t>
      </w:r>
      <w:r>
        <w:rPr>
          <w:color w:val="231F20"/>
          <w:spacing w:val="26"/>
        </w:rPr>
        <w:t> </w:t>
      </w:r>
      <w:r>
        <w:rPr>
          <w:color w:val="231F20"/>
        </w:rPr>
        <w:t>you</w:t>
      </w:r>
      <w:r>
        <w:rPr>
          <w:color w:val="231F20"/>
          <w:spacing w:val="26"/>
        </w:rPr>
        <w:t> </w:t>
      </w:r>
      <w:r>
        <w:rPr>
          <w:color w:val="231F20"/>
        </w:rPr>
        <w:t>log</w:t>
      </w:r>
      <w:r>
        <w:rPr>
          <w:color w:val="231F20"/>
          <w:spacing w:val="26"/>
        </w:rPr>
        <w:t> </w:t>
      </w:r>
      <w:r>
        <w:rPr>
          <w:color w:val="231F20"/>
        </w:rPr>
        <w:t>on</w:t>
      </w:r>
      <w:r>
        <w:rPr>
          <w:color w:val="231F20"/>
          <w:spacing w:val="26"/>
        </w:rPr>
        <w:t> </w:t>
      </w:r>
      <w:r>
        <w:rPr>
          <w:color w:val="231F20"/>
        </w:rPr>
        <w:t>to</w:t>
      </w:r>
      <w:r>
        <w:rPr>
          <w:color w:val="231F20"/>
          <w:spacing w:val="26"/>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and</w:t>
      </w:r>
      <w:r>
        <w:rPr>
          <w:color w:val="231F20"/>
          <w:spacing w:val="26"/>
        </w:rPr>
        <w:t> </w:t>
      </w:r>
      <w:r>
        <w:rPr>
          <w:color w:val="231F20"/>
        </w:rPr>
        <w:t>thereafter</w:t>
      </w:r>
      <w:r>
        <w:rPr>
          <w:color w:val="231F20"/>
          <w:spacing w:val="26"/>
        </w:rPr>
        <w:t> </w:t>
      </w:r>
      <w:r>
        <w:rPr>
          <w:color w:val="231F20"/>
        </w:rPr>
        <w:t>only when software updates are available.</w:t>
      </w:r>
    </w:p>
    <w:p>
      <w:pPr>
        <w:pStyle w:val="Heading6"/>
        <w:spacing w:before="113"/>
        <w:ind w:left="2232"/>
      </w:pPr>
      <w:r>
        <w:rPr>
          <w:color w:val="231F20"/>
        </w:rPr>
        <w:t>Portal</w:t>
      </w:r>
      <w:r>
        <w:rPr>
          <w:color w:val="231F20"/>
          <w:spacing w:val="10"/>
        </w:rPr>
        <w:t> </w:t>
      </w:r>
      <w:r>
        <w:rPr>
          <w:color w:val="231F20"/>
          <w:spacing w:val="-2"/>
        </w:rPr>
        <w:t>toolbar</w:t>
      </w:r>
    </w:p>
    <w:p>
      <w:pPr>
        <w:pStyle w:val="BodyText"/>
        <w:spacing w:line="213" w:lineRule="auto" w:before="12"/>
        <w:ind w:left="2951" w:right="493"/>
      </w:pPr>
      <w:r>
        <w:rPr>
          <w:color w:val="231F20"/>
        </w:rPr>
        <w:t>Tivoli Enterprise Portal functionality is the same for both types of clients except for the</w:t>
      </w:r>
      <w:r>
        <w:rPr>
          <w:color w:val="231F20"/>
          <w:spacing w:val="37"/>
        </w:rPr>
        <w:t> </w:t>
      </w:r>
      <w:r>
        <w:rPr>
          <w:color w:val="231F20"/>
          <w:spacing w:val="-24"/>
          <w:position w:val="-1"/>
        </w:rPr>
        <w:drawing>
          <wp:inline distT="0" distB="0" distL="0" distR="0">
            <wp:extent cx="95250" cy="95250"/>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3"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4"/>
        </w:rPr>
        <w:t> </w:t>
      </w:r>
      <w:r>
        <w:rPr>
          <w:rFonts w:ascii="Book Antiqua"/>
          <w:b/>
          <w:color w:val="231F20"/>
        </w:rPr>
        <w:t>Back</w:t>
      </w:r>
      <w:r>
        <w:rPr>
          <w:color w:val="231F20"/>
        </w:rPr>
        <w:t>,</w:t>
      </w:r>
      <w:r>
        <w:rPr>
          <w:color w:val="231F20"/>
          <w:spacing w:val="37"/>
        </w:rPr>
        <w:t> </w:t>
      </w:r>
      <w:r>
        <w:rPr>
          <w:color w:val="231F20"/>
          <w:spacing w:val="-24"/>
          <w:position w:val="-1"/>
        </w:rPr>
        <w:drawing>
          <wp:inline distT="0" distB="0" distL="0" distR="0">
            <wp:extent cx="95250" cy="9525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4"/>
        </w:rPr>
        <w:t> </w:t>
      </w:r>
      <w:r>
        <w:rPr>
          <w:rFonts w:ascii="Book Antiqua"/>
          <w:b/>
          <w:color w:val="231F20"/>
        </w:rPr>
        <w:t>Forward</w:t>
      </w:r>
      <w:r>
        <w:rPr>
          <w:color w:val="231F20"/>
        </w:rPr>
        <w:t>,</w:t>
      </w:r>
      <w:r>
        <w:rPr>
          <w:color w:val="231F20"/>
          <w:spacing w:val="37"/>
        </w:rPr>
        <w:t> </w:t>
      </w:r>
      <w:r>
        <w:rPr>
          <w:color w:val="231F20"/>
          <w:spacing w:val="-24"/>
          <w:position w:val="-1"/>
        </w:rPr>
        <w:drawing>
          <wp:inline distT="0" distB="0" distL="0" distR="0">
            <wp:extent cx="95250" cy="10160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34"/>
        </w:rPr>
        <w:t> </w:t>
      </w:r>
      <w:r>
        <w:rPr>
          <w:rFonts w:ascii="Book Antiqua"/>
          <w:b/>
          <w:color w:val="231F20"/>
        </w:rPr>
        <w:t>New Window</w:t>
      </w:r>
      <w:r>
        <w:rPr>
          <w:color w:val="231F20"/>
        </w:rPr>
        <w:t>, and</w:t>
      </w:r>
      <w:r>
        <w:rPr>
          <w:color w:val="231F20"/>
          <w:spacing w:val="37"/>
        </w:rPr>
        <w:t> </w:t>
      </w:r>
      <w:r>
        <w:rPr>
          <w:color w:val="231F20"/>
          <w:spacing w:val="-24"/>
          <w:position w:val="-1"/>
        </w:rPr>
        <w:drawing>
          <wp:inline distT="0" distB="0" distL="0" distR="0">
            <wp:extent cx="95250" cy="95250"/>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4"/>
        </w:rPr>
        <w:t> </w:t>
      </w:r>
      <w:r>
        <w:rPr>
          <w:rFonts w:ascii="Book Antiqua"/>
          <w:b/>
          <w:color w:val="231F20"/>
        </w:rPr>
        <w:t>Stop </w:t>
      </w:r>
      <w:r>
        <w:rPr>
          <w:color w:val="231F20"/>
        </w:rPr>
        <w:t>tools, which are not on the portal toolbar because they are already available browser toolbar. As well, keyboard shortcuts also used by Internet </w:t>
      </w:r>
      <w:r>
        <w:rPr>
          <w:color w:val="231F20"/>
        </w:rPr>
        <w:t>Explorer such as F1 for Help and Ctrl+H for the History Configuration window are not available in browser mode.</w:t>
      </w:r>
    </w:p>
    <w:p>
      <w:pPr>
        <w:pStyle w:val="Heading6"/>
        <w:spacing w:before="114"/>
        <w:ind w:left="2232"/>
      </w:pPr>
      <w:r>
        <w:rPr>
          <w:color w:val="231F20"/>
        </w:rPr>
        <w:t>Workspaces have</w:t>
      </w:r>
      <w:r>
        <w:rPr>
          <w:color w:val="231F20"/>
          <w:spacing w:val="1"/>
        </w:rPr>
        <w:t> </w:t>
      </w:r>
      <w:r>
        <w:rPr>
          <w:color w:val="231F20"/>
          <w:spacing w:val="-4"/>
        </w:rPr>
        <w:t>URLs</w:t>
      </w:r>
    </w:p>
    <w:p>
      <w:pPr>
        <w:pStyle w:val="BodyText"/>
        <w:spacing w:line="213" w:lineRule="auto" w:before="11"/>
        <w:ind w:left="2951" w:right="385"/>
      </w:pPr>
      <w:r>
        <w:rPr>
          <w:color w:val="231F20"/>
        </w:rPr>
        <w:t>When</w:t>
      </w:r>
      <w:r>
        <w:rPr>
          <w:color w:val="231F20"/>
          <w:spacing w:val="27"/>
        </w:rPr>
        <w:t> </w:t>
      </w:r>
      <w:r>
        <w:rPr>
          <w:color w:val="231F20"/>
        </w:rPr>
        <w:t>you</w:t>
      </w:r>
      <w:r>
        <w:rPr>
          <w:color w:val="231F20"/>
          <w:spacing w:val="27"/>
        </w:rPr>
        <w:t> </w:t>
      </w:r>
      <w:r>
        <w:rPr>
          <w:color w:val="231F20"/>
        </w:rPr>
        <w:t>are</w:t>
      </w:r>
      <w:r>
        <w:rPr>
          <w:color w:val="231F20"/>
          <w:spacing w:val="27"/>
        </w:rPr>
        <w:t> </w:t>
      </w:r>
      <w:r>
        <w:rPr>
          <w:color w:val="231F20"/>
        </w:rPr>
        <w:t>logged</w:t>
      </w:r>
      <w:r>
        <w:rPr>
          <w:color w:val="231F20"/>
          <w:spacing w:val="27"/>
        </w:rPr>
        <w:t> </w:t>
      </w:r>
      <w:r>
        <w:rPr>
          <w:color w:val="231F20"/>
        </w:rPr>
        <w:t>on</w:t>
      </w:r>
      <w:r>
        <w:rPr>
          <w:color w:val="231F20"/>
          <w:spacing w:val="27"/>
        </w:rPr>
        <w:t> </w:t>
      </w:r>
      <w:r>
        <w:rPr>
          <w:color w:val="231F20"/>
        </w:rPr>
        <w:t>to</w:t>
      </w:r>
      <w:r>
        <w:rPr>
          <w:color w:val="231F20"/>
          <w:spacing w:val="27"/>
        </w:rPr>
        <w:t> </w:t>
      </w:r>
      <w:r>
        <w:rPr>
          <w:color w:val="231F20"/>
        </w:rPr>
        <w:t>the</w:t>
      </w:r>
      <w:r>
        <w:rPr>
          <w:color w:val="231F20"/>
          <w:spacing w:val="27"/>
        </w:rPr>
        <w:t> </w:t>
      </w:r>
      <w:r>
        <w:rPr>
          <w:color w:val="231F20"/>
        </w:rPr>
        <w:t>Tivoli</w:t>
      </w:r>
      <w:r>
        <w:rPr>
          <w:color w:val="231F20"/>
          <w:spacing w:val="27"/>
        </w:rPr>
        <w:t> </w:t>
      </w:r>
      <w:r>
        <w:rPr>
          <w:color w:val="231F20"/>
        </w:rPr>
        <w:t>Enterprise</w:t>
      </w:r>
      <w:r>
        <w:rPr>
          <w:color w:val="231F20"/>
          <w:spacing w:val="27"/>
        </w:rPr>
        <w:t> </w:t>
      </w:r>
      <w:r>
        <w:rPr>
          <w:color w:val="231F20"/>
        </w:rPr>
        <w:t>Portal</w:t>
      </w:r>
      <w:r>
        <w:rPr>
          <w:color w:val="231F20"/>
          <w:spacing w:val="27"/>
        </w:rPr>
        <w:t> </w:t>
      </w:r>
      <w:r>
        <w:rPr>
          <w:color w:val="231F20"/>
        </w:rPr>
        <w:t>Server</w:t>
      </w:r>
      <w:r>
        <w:rPr>
          <w:color w:val="231F20"/>
          <w:spacing w:val="27"/>
        </w:rPr>
        <w:t> </w:t>
      </w:r>
      <w:r>
        <w:rPr>
          <w:color w:val="231F20"/>
        </w:rPr>
        <w:t>through your browser, the address bar displays a URL for each workspace. You can log on and open to the workspace of your choice by adding the </w:t>
      </w:r>
      <w:r>
        <w:rPr>
          <w:color w:val="231F20"/>
        </w:rPr>
        <w:t>workspace URL</w:t>
      </w:r>
      <w:r>
        <w:rPr>
          <w:color w:val="231F20"/>
          <w:spacing w:val="15"/>
        </w:rPr>
        <w:t> </w:t>
      </w:r>
      <w:r>
        <w:rPr>
          <w:color w:val="231F20"/>
        </w:rPr>
        <w:t>to</w:t>
      </w:r>
      <w:r>
        <w:rPr>
          <w:color w:val="231F20"/>
          <w:spacing w:val="22"/>
        </w:rPr>
        <w:t> </w:t>
      </w:r>
      <w:r>
        <w:rPr>
          <w:color w:val="231F20"/>
        </w:rPr>
        <w:t>the</w:t>
      </w:r>
      <w:r>
        <w:rPr>
          <w:color w:val="231F20"/>
          <w:spacing w:val="22"/>
        </w:rPr>
        <w:t> </w:t>
      </w:r>
      <w:r>
        <w:rPr>
          <w:color w:val="231F20"/>
        </w:rPr>
        <w:t>logon</w:t>
      </w:r>
      <w:r>
        <w:rPr>
          <w:color w:val="231F20"/>
          <w:spacing w:val="22"/>
        </w:rPr>
        <w:t> </w:t>
      </w:r>
      <w:r>
        <w:rPr>
          <w:color w:val="231F20"/>
        </w:rPr>
        <w:t>URL.</w:t>
      </w:r>
      <w:r>
        <w:rPr>
          <w:color w:val="231F20"/>
          <w:spacing w:val="18"/>
        </w:rPr>
        <w:t> </w:t>
      </w:r>
      <w:r>
        <w:rPr>
          <w:color w:val="231F20"/>
        </w:rPr>
        <w:t>You</w:t>
      </w:r>
      <w:r>
        <w:rPr>
          <w:color w:val="231F20"/>
          <w:spacing w:val="22"/>
        </w:rPr>
        <w:t> </w:t>
      </w:r>
      <w:r>
        <w:rPr>
          <w:color w:val="231F20"/>
        </w:rPr>
        <w:t>can</w:t>
      </w:r>
      <w:r>
        <w:rPr>
          <w:color w:val="231F20"/>
          <w:spacing w:val="22"/>
        </w:rPr>
        <w:t> </w:t>
      </w:r>
      <w:r>
        <w:rPr>
          <w:color w:val="231F20"/>
        </w:rPr>
        <w:t>also</w:t>
      </w:r>
      <w:r>
        <w:rPr>
          <w:color w:val="231F20"/>
          <w:spacing w:val="22"/>
        </w:rPr>
        <w:t> </w:t>
      </w:r>
      <w:r>
        <w:rPr>
          <w:color w:val="231F20"/>
        </w:rPr>
        <w:t>send</w:t>
      </w:r>
      <w:r>
        <w:rPr>
          <w:color w:val="231F20"/>
          <w:spacing w:val="22"/>
        </w:rPr>
        <w:t> </w:t>
      </w:r>
      <w:r>
        <w:rPr>
          <w:color w:val="231F20"/>
        </w:rPr>
        <w:t>the</w:t>
      </w:r>
      <w:r>
        <w:rPr>
          <w:color w:val="231F20"/>
          <w:spacing w:val="22"/>
        </w:rPr>
        <w:t> </w:t>
      </w:r>
      <w:r>
        <w:rPr>
          <w:color w:val="231F20"/>
        </w:rPr>
        <w:t>URL</w:t>
      </w:r>
      <w:r>
        <w:rPr>
          <w:color w:val="231F20"/>
          <w:spacing w:val="15"/>
        </w:rPr>
        <w:t> </w:t>
      </w:r>
      <w:r>
        <w:rPr>
          <w:color w:val="231F20"/>
        </w:rPr>
        <w:t>in</w:t>
      </w:r>
      <w:r>
        <w:rPr>
          <w:color w:val="231F20"/>
          <w:spacing w:val="22"/>
        </w:rPr>
        <w:t> </w:t>
      </w:r>
      <w:r>
        <w:rPr>
          <w:color w:val="231F20"/>
        </w:rPr>
        <w:t>an</w:t>
      </w:r>
      <w:r>
        <w:rPr>
          <w:color w:val="231F20"/>
          <w:spacing w:val="22"/>
        </w:rPr>
        <w:t> </w:t>
      </w:r>
      <w:r>
        <w:rPr>
          <w:color w:val="231F20"/>
        </w:rPr>
        <w:t>email,</w:t>
      </w:r>
      <w:r>
        <w:rPr>
          <w:color w:val="231F20"/>
          <w:spacing w:val="22"/>
        </w:rPr>
        <w:t> </w:t>
      </w:r>
      <w:r>
        <w:rPr>
          <w:color w:val="231F20"/>
        </w:rPr>
        <w:t>include</w:t>
      </w:r>
      <w:r>
        <w:rPr>
          <w:color w:val="231F20"/>
          <w:spacing w:val="22"/>
        </w:rPr>
        <w:t> </w:t>
      </w:r>
      <w:r>
        <w:rPr>
          <w:color w:val="231F20"/>
        </w:rPr>
        <w:t>it in a hypertext link in an HTML page or other document, or bookmark it.</w:t>
      </w:r>
    </w:p>
    <w:p>
      <w:pPr>
        <w:pStyle w:val="Heading6"/>
        <w:spacing w:before="116"/>
        <w:ind w:left="2232"/>
      </w:pPr>
      <w:r>
        <w:rPr>
          <w:color w:val="231F20"/>
          <w:spacing w:val="-2"/>
        </w:rPr>
        <w:t>Tabbed workspaces</w:t>
      </w:r>
    </w:p>
    <w:p>
      <w:pPr>
        <w:pStyle w:val="BodyText"/>
        <w:spacing w:line="213" w:lineRule="auto" w:before="11"/>
        <w:ind w:left="2951" w:right="545"/>
      </w:pPr>
      <w:r>
        <w:rPr>
          <w:color w:val="231F20"/>
        </w:rPr>
        <w:t>Every</w:t>
      </w:r>
      <w:r>
        <w:rPr>
          <w:color w:val="231F20"/>
          <w:spacing w:val="31"/>
        </w:rPr>
        <w:t> </w:t>
      </w:r>
      <w:r>
        <w:rPr>
          <w:color w:val="231F20"/>
        </w:rPr>
        <w:t>workspace</w:t>
      </w:r>
      <w:r>
        <w:rPr>
          <w:color w:val="231F20"/>
          <w:spacing w:val="31"/>
        </w:rPr>
        <w:t> </w:t>
      </w:r>
      <w:r>
        <w:rPr>
          <w:color w:val="231F20"/>
        </w:rPr>
        <w:t>has</w:t>
      </w:r>
      <w:r>
        <w:rPr>
          <w:color w:val="231F20"/>
          <w:spacing w:val="31"/>
        </w:rPr>
        <w:t> </w:t>
      </w:r>
      <w:r>
        <w:rPr>
          <w:color w:val="231F20"/>
        </w:rPr>
        <w:t>properties</w:t>
      </w:r>
      <w:r>
        <w:rPr>
          <w:color w:val="231F20"/>
          <w:spacing w:val="31"/>
        </w:rPr>
        <w:t> </w:t>
      </w:r>
      <w:r>
        <w:rPr>
          <w:color w:val="231F20"/>
        </w:rPr>
        <w:t>that</w:t>
      </w:r>
      <w:r>
        <w:rPr>
          <w:color w:val="231F20"/>
          <w:spacing w:val="31"/>
        </w:rPr>
        <w:t> </w:t>
      </w:r>
      <w:r>
        <w:rPr>
          <w:color w:val="231F20"/>
        </w:rPr>
        <w:t>control</w:t>
      </w:r>
      <w:r>
        <w:rPr>
          <w:color w:val="231F20"/>
          <w:spacing w:val="31"/>
        </w:rPr>
        <w:t> </w:t>
      </w:r>
      <w:r>
        <w:rPr>
          <w:color w:val="231F20"/>
        </w:rPr>
        <w:t>how</w:t>
      </w:r>
      <w:r>
        <w:rPr>
          <w:color w:val="231F20"/>
          <w:spacing w:val="31"/>
        </w:rPr>
        <w:t> </w:t>
      </w:r>
      <w:r>
        <w:rPr>
          <w:color w:val="231F20"/>
        </w:rPr>
        <w:t>it</w:t>
      </w:r>
      <w:r>
        <w:rPr>
          <w:color w:val="231F20"/>
          <w:spacing w:val="31"/>
        </w:rPr>
        <w:t> </w:t>
      </w:r>
      <w:r>
        <w:rPr>
          <w:color w:val="231F20"/>
        </w:rPr>
        <w:t>accessed</w:t>
      </w:r>
      <w:r>
        <w:rPr>
          <w:color w:val="231F20"/>
          <w:spacing w:val="31"/>
        </w:rPr>
        <w:t> </w:t>
      </w:r>
      <w:r>
        <w:rPr>
          <w:color w:val="231F20"/>
        </w:rPr>
        <w:t>and displayed. One of the options enables you to open the workspace in a </w:t>
      </w:r>
      <w:r>
        <w:rPr>
          <w:color w:val="231F20"/>
        </w:rPr>
        <w:t>new window instead of replacing the previous workspace in the same window. For</w:t>
      </w:r>
      <w:r>
        <w:rPr>
          <w:color w:val="231F20"/>
          <w:spacing w:val="28"/>
        </w:rPr>
        <w:t> </w:t>
      </w:r>
      <w:r>
        <w:rPr>
          <w:color w:val="231F20"/>
        </w:rPr>
        <w:t>browsers</w:t>
      </w:r>
      <w:r>
        <w:rPr>
          <w:color w:val="231F20"/>
          <w:spacing w:val="28"/>
        </w:rPr>
        <w:t> </w:t>
      </w:r>
      <w:r>
        <w:rPr>
          <w:color w:val="231F20"/>
        </w:rPr>
        <w:t>that</w:t>
      </w:r>
      <w:r>
        <w:rPr>
          <w:color w:val="231F20"/>
          <w:spacing w:val="28"/>
        </w:rPr>
        <w:t> </w:t>
      </w:r>
      <w:r>
        <w:rPr>
          <w:color w:val="231F20"/>
        </w:rPr>
        <w:t>are</w:t>
      </w:r>
      <w:r>
        <w:rPr>
          <w:color w:val="231F20"/>
          <w:spacing w:val="28"/>
        </w:rPr>
        <w:t> </w:t>
      </w:r>
      <w:r>
        <w:rPr>
          <w:color w:val="231F20"/>
        </w:rPr>
        <w:t>enabled</w:t>
      </w:r>
      <w:r>
        <w:rPr>
          <w:color w:val="231F20"/>
          <w:spacing w:val="28"/>
        </w:rPr>
        <w:t> </w:t>
      </w:r>
      <w:r>
        <w:rPr>
          <w:color w:val="231F20"/>
        </w:rPr>
        <w:t>for</w:t>
      </w:r>
      <w:r>
        <w:rPr>
          <w:color w:val="231F20"/>
          <w:spacing w:val="28"/>
        </w:rPr>
        <w:t> </w:t>
      </w:r>
      <w:r>
        <w:rPr>
          <w:color w:val="231F20"/>
        </w:rPr>
        <w:t>tabbed</w:t>
      </w:r>
      <w:r>
        <w:rPr>
          <w:color w:val="231F20"/>
          <w:spacing w:val="28"/>
        </w:rPr>
        <w:t> </w:t>
      </w:r>
      <w:r>
        <w:rPr>
          <w:color w:val="231F20"/>
        </w:rPr>
        <w:t>web</w:t>
      </w:r>
      <w:r>
        <w:rPr>
          <w:color w:val="231F20"/>
          <w:spacing w:val="28"/>
        </w:rPr>
        <w:t> </w:t>
      </w:r>
      <w:r>
        <w:rPr>
          <w:color w:val="231F20"/>
        </w:rPr>
        <w:t>pages,</w:t>
      </w:r>
      <w:r>
        <w:rPr>
          <w:color w:val="231F20"/>
          <w:spacing w:val="28"/>
        </w:rPr>
        <w:t> </w:t>
      </w:r>
      <w:r>
        <w:rPr>
          <w:color w:val="231F20"/>
        </w:rPr>
        <w:t>the</w:t>
      </w:r>
      <w:r>
        <w:rPr>
          <w:color w:val="231F20"/>
          <w:spacing w:val="28"/>
        </w:rPr>
        <w:t> </w:t>
      </w:r>
      <w:r>
        <w:rPr>
          <w:color w:val="231F20"/>
        </w:rPr>
        <w:t>browser</w:t>
      </w:r>
      <w:r>
        <w:rPr>
          <w:color w:val="231F20"/>
          <w:spacing w:val="28"/>
        </w:rPr>
        <w:t> </w:t>
      </w:r>
      <w:r>
        <w:rPr>
          <w:color w:val="231F20"/>
        </w:rPr>
        <w:t>client uses those settings and opens the workspace in a new tab.</w:t>
      </w:r>
    </w:p>
    <w:p>
      <w:pPr>
        <w:pStyle w:val="Heading6"/>
        <w:spacing w:before="115"/>
        <w:ind w:left="2232"/>
      </w:pPr>
      <w:r>
        <w:rPr>
          <w:color w:val="231F20"/>
        </w:rPr>
        <w:t>Launch</w:t>
      </w:r>
      <w:r>
        <w:rPr>
          <w:color w:val="231F20"/>
          <w:spacing w:val="10"/>
        </w:rPr>
        <w:t> </w:t>
      </w:r>
      <w:r>
        <w:rPr>
          <w:color w:val="231F20"/>
        </w:rPr>
        <w:t>in</w:t>
      </w:r>
      <w:r>
        <w:rPr>
          <w:color w:val="231F20"/>
          <w:spacing w:val="11"/>
        </w:rPr>
        <w:t> </w:t>
      </w:r>
      <w:r>
        <w:rPr>
          <w:color w:val="231F20"/>
        </w:rPr>
        <w:t>context</w:t>
      </w:r>
      <w:r>
        <w:rPr>
          <w:color w:val="231F20"/>
          <w:spacing w:val="10"/>
        </w:rPr>
        <w:t> </w:t>
      </w:r>
      <w:r>
        <w:rPr>
          <w:color w:val="231F20"/>
        </w:rPr>
        <w:t>and</w:t>
      </w:r>
      <w:r>
        <w:rPr>
          <w:color w:val="231F20"/>
          <w:spacing w:val="11"/>
        </w:rPr>
        <w:t> </w:t>
      </w:r>
      <w:r>
        <w:rPr>
          <w:color w:val="231F20"/>
        </w:rPr>
        <w:t>with</w:t>
      </w:r>
      <w:r>
        <w:rPr>
          <w:color w:val="231F20"/>
          <w:spacing w:val="10"/>
        </w:rPr>
        <w:t> </w:t>
      </w:r>
      <w:r>
        <w:rPr>
          <w:color w:val="231F20"/>
        </w:rPr>
        <w:t>single</w:t>
      </w:r>
      <w:r>
        <w:rPr>
          <w:color w:val="231F20"/>
          <w:spacing w:val="11"/>
        </w:rPr>
        <w:t> </w:t>
      </w:r>
      <w:r>
        <w:rPr>
          <w:color w:val="231F20"/>
        </w:rPr>
        <w:t>sign-</w:t>
      </w:r>
      <w:r>
        <w:rPr>
          <w:color w:val="231F20"/>
          <w:spacing w:val="-5"/>
        </w:rPr>
        <w:t>on</w:t>
      </w:r>
    </w:p>
    <w:p>
      <w:pPr>
        <w:pStyle w:val="BodyText"/>
        <w:spacing w:line="213" w:lineRule="auto" w:before="11"/>
        <w:ind w:left="2951" w:right="603"/>
      </w:pPr>
      <w:r>
        <w:rPr>
          <w:color w:val="231F20"/>
        </w:rPr>
        <w:t>You can launch products in context, such as to the IBM Tivoli </w:t>
      </w:r>
      <w:r>
        <w:rPr>
          <w:color w:val="231F20"/>
        </w:rPr>
        <w:t>Application Dependency Discovery Manager from the browser client. If your environment and user ID are configured for single sign-on, you do not need to re-authenticate as you launch into other applications.</w:t>
      </w:r>
    </w:p>
    <w:p>
      <w:pPr>
        <w:pStyle w:val="Heading6"/>
        <w:spacing w:before="116"/>
        <w:ind w:left="2232"/>
      </w:pPr>
      <w:r>
        <w:rPr>
          <w:color w:val="231F20"/>
        </w:rPr>
        <w:t>Custom</w:t>
      </w:r>
      <w:r>
        <w:rPr>
          <w:color w:val="231F20"/>
          <w:spacing w:val="8"/>
        </w:rPr>
        <w:t> </w:t>
      </w:r>
      <w:r>
        <w:rPr>
          <w:color w:val="231F20"/>
          <w:spacing w:val="-2"/>
        </w:rPr>
        <w:t>banner</w:t>
      </w:r>
    </w:p>
    <w:p>
      <w:pPr>
        <w:spacing w:line="213" w:lineRule="auto" w:before="12"/>
        <w:ind w:left="2951" w:right="545" w:firstLine="0"/>
        <w:jc w:val="left"/>
        <w:rPr>
          <w:sz w:val="20"/>
        </w:rPr>
      </w:pPr>
      <w:r>
        <w:rPr>
          <w:color w:val="231F20"/>
          <w:sz w:val="20"/>
        </w:rPr>
        <w:t>The browser client has a banner image and text that you can customize </w:t>
      </w:r>
      <w:r>
        <w:rPr>
          <w:color w:val="231F20"/>
          <w:sz w:val="20"/>
        </w:rPr>
        <w:t>for your organization. See </w:t>
      </w:r>
      <w:hyperlink r:id="rId81">
        <w:r>
          <w:rPr>
            <w:color w:val="231F20"/>
            <w:sz w:val="20"/>
          </w:rPr>
          <w:t>Adding your company logo and URL</w:t>
        </w:r>
      </w:hyperlink>
      <w:r>
        <w:rPr>
          <w:color w:val="231F20"/>
          <w:sz w:val="20"/>
        </w:rPr>
        <w:t> in the </w:t>
      </w:r>
      <w:r>
        <w:rPr>
          <w:rFonts w:ascii="Book Antiqua"/>
          <w:i/>
          <w:color w:val="231F20"/>
          <w:sz w:val="20"/>
        </w:rPr>
        <w:t>IBM</w:t>
      </w:r>
      <w:r>
        <w:rPr>
          <w:rFonts w:ascii="Book Antiqua"/>
          <w:i/>
          <w:color w:val="231F20"/>
          <w:sz w:val="20"/>
        </w:rPr>
        <w:t> Tivoli Monitoring Administrator's Guide </w:t>
      </w:r>
      <w:r>
        <w:rPr>
          <w:color w:val="231F20"/>
          <w:sz w:val="20"/>
        </w:rPr>
        <w:t>for details.</w:t>
      </w:r>
    </w:p>
    <w:p>
      <w:pPr>
        <w:pStyle w:val="BodyText"/>
        <w:spacing w:line="213" w:lineRule="auto" w:before="237"/>
        <w:ind w:left="2232"/>
      </w:pPr>
      <w:r>
        <w:rPr>
          <w:rFonts w:ascii="Book Antiqua"/>
          <w:b/>
          <w:color w:val="231F20"/>
        </w:rPr>
        <w:t>Note:</w:t>
      </w:r>
      <w:r>
        <w:rPr>
          <w:rFonts w:ascii="Book Antiqua"/>
          <w:b/>
          <w:color w:val="231F20"/>
          <w:spacing w:val="40"/>
        </w:rPr>
        <w:t> </w:t>
      </w:r>
      <w:r>
        <w:rPr>
          <w:color w:val="231F20"/>
        </w:rPr>
        <w:t>As an alternative to the browser client, you can use </w:t>
      </w:r>
      <w:r>
        <w:rPr>
          <w:rFonts w:ascii="Book Antiqua"/>
          <w:i/>
          <w:color w:val="231F20"/>
        </w:rPr>
        <w:t>IBM Web Start for Java </w:t>
      </w:r>
      <w:r>
        <w:rPr>
          <w:color w:val="231F20"/>
        </w:rPr>
        <w:t>to</w:t>
      </w:r>
      <w:r>
        <w:rPr>
          <w:color w:val="231F20"/>
          <w:spacing w:val="40"/>
        </w:rPr>
        <w:t> </w:t>
      </w:r>
      <w:r>
        <w:rPr>
          <w:color w:val="231F20"/>
        </w:rPr>
        <w:t>download the Java Web Start client from the Tivoli Enterprise Portal Server.</w:t>
      </w:r>
    </w:p>
    <w:p>
      <w:pPr>
        <w:pStyle w:val="BodyText"/>
        <w:spacing w:before="5"/>
        <w:rPr>
          <w:sz w:val="16"/>
        </w:rPr>
      </w:pPr>
      <w:r>
        <w:rPr/>
        <mc:AlternateContent>
          <mc:Choice Requires="wps">
            <w:drawing>
              <wp:anchor distT="0" distB="0" distL="0" distR="0" allowOverlap="1" layoutInCell="1" locked="0" behindDoc="1" simplePos="0" relativeHeight="487617024">
                <wp:simplePos x="0" y="0"/>
                <wp:positionH relativeFrom="page">
                  <wp:posOffset>760323</wp:posOffset>
                </wp:positionH>
                <wp:positionV relativeFrom="paragraph">
                  <wp:posOffset>156065</wp:posOffset>
                </wp:positionV>
                <wp:extent cx="6082665" cy="1270"/>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88659pt;width:478.95pt;height:.1pt;mso-position-horizontal-relative:page;mso-position-vertical-relative:paragraph;z-index:-15699456;mso-wrap-distance-left:0;mso-wrap-distance-right:0" id="docshape21"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Monitoring agents" w:id="16"/>
      <w:bookmarkEnd w:id="16"/>
      <w:r>
        <w:rPr>
          <w:b w:val="0"/>
        </w:rPr>
      </w:r>
      <w:r>
        <w:rPr>
          <w:color w:val="231F20"/>
        </w:rPr>
        <w:t>Monitoring </w:t>
      </w:r>
      <w:r>
        <w:rPr>
          <w:color w:val="231F20"/>
          <w:spacing w:val="-2"/>
        </w:rPr>
        <w:t>agents</w:t>
      </w:r>
    </w:p>
    <w:p>
      <w:pPr>
        <w:pStyle w:val="BodyText"/>
        <w:spacing w:line="213" w:lineRule="auto" w:before="138"/>
        <w:ind w:left="2232" w:right="545"/>
      </w:pPr>
      <w:r>
        <w:rPr>
          <w:color w:val="231F20"/>
        </w:rPr>
        <w:t>Tivoli Enterprise Monitoring Agents are installed where you have resources you want to monitor. The agents and the operating system, subsystem or computer </w:t>
      </w:r>
      <w:r>
        <w:rPr>
          <w:color w:val="231F20"/>
        </w:rPr>
        <w:t>that they are running on are referred to as </w:t>
      </w:r>
      <w:r>
        <w:rPr>
          <w:rFonts w:ascii="Book Antiqua"/>
          <w:i/>
          <w:color w:val="231F20"/>
        </w:rPr>
        <w:t>managed systems</w:t>
      </w:r>
      <w:r>
        <w:rPr>
          <w:color w:val="231F20"/>
        </w:rPr>
        <w:t>.</w:t>
      </w:r>
    </w:p>
    <w:p>
      <w:pPr>
        <w:pStyle w:val="BodyText"/>
        <w:spacing w:line="213" w:lineRule="auto" w:before="238"/>
        <w:ind w:left="2232" w:right="545"/>
      </w:pPr>
      <w:r>
        <w:rPr>
          <w:color w:val="231F20"/>
        </w:rPr>
        <w:t>The Navigator Physical view shows the types of agents installed and running </w:t>
      </w:r>
      <w:r>
        <w:rPr>
          <w:color w:val="231F20"/>
        </w:rPr>
        <w:t>on each managed system.</w:t>
      </w:r>
    </w:p>
    <w:p>
      <w:pPr>
        <w:spacing w:after="0" w:line="213" w:lineRule="auto"/>
        <w:sectPr>
          <w:pgSz w:w="12240" w:h="15840"/>
          <w:pgMar w:header="0" w:footer="736" w:top="1220" w:bottom="920" w:left="1000" w:right="10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39"/>
        <w:rPr>
          <w:sz w:val="28"/>
        </w:rPr>
      </w:pPr>
    </w:p>
    <w:p>
      <w:pPr>
        <w:pStyle w:val="Heading3"/>
        <w:spacing w:before="0"/>
      </w:pPr>
      <w:bookmarkStart w:name="_bookmark7" w:id="17"/>
      <w:bookmarkEnd w:id="17"/>
      <w:r>
        <w:rPr>
          <w:b w:val="0"/>
        </w:rPr>
      </w:r>
      <w:bookmarkStart w:name="Features" w:id="18"/>
      <w:bookmarkEnd w:id="18"/>
      <w:r>
        <w:rPr>
          <w:b w:val="0"/>
        </w:rPr>
      </w:r>
      <w:r>
        <w:rPr>
          <w:color w:val="231F20"/>
          <w:spacing w:val="-2"/>
        </w:rPr>
        <w:t>Features</w:t>
      </w:r>
    </w:p>
    <w:p>
      <w:pPr>
        <w:pStyle w:val="BodyText"/>
        <w:spacing w:line="213" w:lineRule="auto" w:before="85"/>
        <w:ind w:left="436" w:right="297"/>
      </w:pPr>
      <w:r>
        <w:rPr/>
        <w:br w:type="column"/>
      </w:r>
      <w:r>
        <w:rPr>
          <w:color w:val="231F20"/>
        </w:rPr>
        <w:t>Some agents also have subagents. In such instances the agent is the </w:t>
      </w:r>
      <w:r>
        <w:rPr>
          <w:rFonts w:ascii="Book Antiqua" w:hAnsi="Book Antiqua"/>
          <w:i/>
          <w:color w:val="231F20"/>
        </w:rPr>
        <w:t>managing </w:t>
      </w:r>
      <w:r>
        <w:rPr>
          <w:rFonts w:ascii="Book Antiqua" w:hAnsi="Book Antiqua"/>
          <w:i/>
          <w:color w:val="231F20"/>
        </w:rPr>
        <w:t>agent</w:t>
      </w:r>
      <w:r>
        <w:rPr>
          <w:color w:val="231F20"/>
        </w:rPr>
        <w:t>. For example, the WebSphere</w:t>
      </w:r>
      <w:r>
        <w:rPr>
          <w:color w:val="231F20"/>
          <w:vertAlign w:val="superscript"/>
        </w:rPr>
        <w:t>®</w:t>
      </w:r>
      <w:r>
        <w:rPr>
          <w:color w:val="231F20"/>
          <w:vertAlign w:val="baseline"/>
        </w:rPr>
        <w:t> MQ Integrator Series agent has MQSI Broker subagents.</w:t>
      </w:r>
      <w:r>
        <w:rPr>
          <w:color w:val="231F20"/>
          <w:spacing w:val="30"/>
          <w:vertAlign w:val="baseline"/>
        </w:rPr>
        <w:t> </w:t>
      </w:r>
      <w:r>
        <w:rPr>
          <w:color w:val="231F20"/>
          <w:vertAlign w:val="baseline"/>
        </w:rPr>
        <w:t>Subagents</w:t>
      </w:r>
      <w:r>
        <w:rPr>
          <w:color w:val="231F20"/>
          <w:spacing w:val="30"/>
          <w:vertAlign w:val="baseline"/>
        </w:rPr>
        <w:t> </w:t>
      </w:r>
      <w:r>
        <w:rPr>
          <w:color w:val="231F20"/>
          <w:vertAlign w:val="baseline"/>
        </w:rPr>
        <w:t>are</w:t>
      </w:r>
      <w:r>
        <w:rPr>
          <w:color w:val="231F20"/>
          <w:spacing w:val="30"/>
          <w:vertAlign w:val="baseline"/>
        </w:rPr>
        <w:t> </w:t>
      </w:r>
      <w:r>
        <w:rPr>
          <w:color w:val="231F20"/>
          <w:vertAlign w:val="baseline"/>
        </w:rPr>
        <w:t>displayed</w:t>
      </w:r>
      <w:r>
        <w:rPr>
          <w:color w:val="231F20"/>
          <w:spacing w:val="30"/>
          <w:vertAlign w:val="baseline"/>
        </w:rPr>
        <w:t> </w:t>
      </w:r>
      <w:r>
        <w:rPr>
          <w:color w:val="231F20"/>
          <w:vertAlign w:val="baseline"/>
        </w:rPr>
        <w:t>in</w:t>
      </w:r>
      <w:r>
        <w:rPr>
          <w:color w:val="231F20"/>
          <w:spacing w:val="30"/>
          <w:vertAlign w:val="baseline"/>
        </w:rPr>
        <w:t> </w:t>
      </w:r>
      <w:r>
        <w:rPr>
          <w:color w:val="231F20"/>
          <w:vertAlign w:val="baseline"/>
        </w:rPr>
        <w:t>the</w:t>
      </w:r>
      <w:r>
        <w:rPr>
          <w:color w:val="231F20"/>
          <w:spacing w:val="30"/>
          <w:vertAlign w:val="baseline"/>
        </w:rPr>
        <w:t> </w:t>
      </w:r>
      <w:r>
        <w:rPr>
          <w:color w:val="231F20"/>
          <w:vertAlign w:val="baseline"/>
        </w:rPr>
        <w:t>Navigator</w:t>
      </w:r>
      <w:r>
        <w:rPr>
          <w:color w:val="231F20"/>
          <w:spacing w:val="30"/>
          <w:vertAlign w:val="baseline"/>
        </w:rPr>
        <w:t> </w:t>
      </w:r>
      <w:r>
        <w:rPr>
          <w:color w:val="231F20"/>
          <w:vertAlign w:val="baseline"/>
        </w:rPr>
        <w:t>below</w:t>
      </w:r>
      <w:r>
        <w:rPr>
          <w:color w:val="231F20"/>
          <w:spacing w:val="30"/>
          <w:vertAlign w:val="baseline"/>
        </w:rPr>
        <w:t> </w:t>
      </w:r>
      <w:r>
        <w:rPr>
          <w:color w:val="231F20"/>
          <w:vertAlign w:val="baseline"/>
        </w:rPr>
        <w:t>the</w:t>
      </w:r>
      <w:r>
        <w:rPr>
          <w:color w:val="231F20"/>
          <w:spacing w:val="30"/>
          <w:vertAlign w:val="baseline"/>
        </w:rPr>
        <w:t> </w:t>
      </w:r>
      <w:r>
        <w:rPr>
          <w:color w:val="231F20"/>
          <w:vertAlign w:val="baseline"/>
        </w:rPr>
        <w:t>managing</w:t>
      </w:r>
      <w:r>
        <w:rPr>
          <w:color w:val="231F20"/>
          <w:spacing w:val="30"/>
          <w:vertAlign w:val="baseline"/>
        </w:rPr>
        <w:t> </w:t>
      </w:r>
      <w:r>
        <w:rPr>
          <w:color w:val="231F20"/>
          <w:vertAlign w:val="baseline"/>
        </w:rPr>
        <w:t>agent and its attribute groups.</w:t>
      </w:r>
    </w:p>
    <w:p>
      <w:pPr>
        <w:pStyle w:val="BodyText"/>
        <w:spacing w:before="213"/>
        <w:ind w:left="436"/>
      </w:pPr>
      <w:r>
        <w:rPr>
          <w:position w:val="-1"/>
        </w:rPr>
        <w:drawing>
          <wp:inline distT="0" distB="0" distL="0" distR="0">
            <wp:extent cx="101600" cy="95250"/>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2"/>
        </w:rPr>
        <w:t> </w:t>
      </w:r>
      <w:r>
        <w:rPr>
          <w:color w:val="231F20"/>
        </w:rPr>
        <w:t>MQSI</w:t>
      </w:r>
      <w:r>
        <w:rPr>
          <w:color w:val="231F20"/>
          <w:spacing w:val="8"/>
        </w:rPr>
        <w:t> </w:t>
      </w:r>
      <w:r>
        <w:rPr>
          <w:color w:val="231F20"/>
        </w:rPr>
        <w:t>Agent</w:t>
      </w:r>
      <w:r>
        <w:rPr>
          <w:color w:val="231F20"/>
          <w:spacing w:val="15"/>
        </w:rPr>
        <w:t> </w:t>
      </w:r>
      <w:r>
        <w:rPr>
          <w:color w:val="231F20"/>
        </w:rPr>
        <w:t>-</w:t>
      </w:r>
      <w:r>
        <w:rPr>
          <w:color w:val="231F20"/>
          <w:spacing w:val="15"/>
        </w:rPr>
        <w:t> </w:t>
      </w:r>
      <w:r>
        <w:rPr>
          <w:color w:val="231F20"/>
        </w:rPr>
        <w:t>::KQIA</w:t>
      </w:r>
    </w:p>
    <w:p>
      <w:pPr>
        <w:pStyle w:val="BodyText"/>
        <w:spacing w:before="30"/>
        <w:ind w:left="436"/>
      </w:pPr>
      <w:r>
        <w:rPr>
          <w:rFonts w:ascii="Futura MdCn BT"/>
          <w:color w:val="231F20"/>
        </w:rPr>
        <w:t>v</w:t>
      </w:r>
      <w:r>
        <w:rPr>
          <w:rFonts w:ascii="Futura MdCn BT"/>
          <w:color w:val="231F20"/>
          <w:spacing w:val="39"/>
        </w:rPr>
        <w:t>  </w:t>
      </w:r>
      <w:r>
        <w:rPr>
          <w:rFonts w:ascii="Futura MdCn BT"/>
          <w:color w:val="231F20"/>
          <w:spacing w:val="5"/>
          <w:position w:val="-1"/>
        </w:rPr>
        <w:drawing>
          <wp:inline distT="0" distB="0" distL="0" distR="0">
            <wp:extent cx="88900" cy="101600"/>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83" cstate="print"/>
                    <a:stretch>
                      <a:fillRect/>
                    </a:stretch>
                  </pic:blipFill>
                  <pic:spPr>
                    <a:xfrm>
                      <a:off x="0" y="0"/>
                      <a:ext cx="88900" cy="101600"/>
                    </a:xfrm>
                    <a:prstGeom prst="rect">
                      <a:avLst/>
                    </a:prstGeom>
                  </pic:spPr>
                </pic:pic>
              </a:graphicData>
            </a:graphic>
          </wp:inline>
        </w:drawing>
      </w:r>
      <w:r>
        <w:rPr>
          <w:rFonts w:ascii="Futura MdCn BT"/>
          <w:color w:val="231F20"/>
          <w:spacing w:val="5"/>
          <w:position w:val="-1"/>
        </w:rPr>
      </w:r>
      <w:r>
        <w:rPr>
          <w:rFonts w:ascii="Times New Roman"/>
          <w:color w:val="231F20"/>
          <w:spacing w:val="69"/>
        </w:rPr>
        <w:t> </w:t>
      </w:r>
      <w:r>
        <w:rPr>
          <w:color w:val="231F20"/>
        </w:rPr>
        <w:t>MQSI</w:t>
      </w:r>
      <w:r>
        <w:rPr>
          <w:color w:val="231F20"/>
          <w:spacing w:val="15"/>
        </w:rPr>
        <w:t> </w:t>
      </w:r>
      <w:r>
        <w:rPr>
          <w:color w:val="231F20"/>
          <w:spacing w:val="-2"/>
        </w:rPr>
        <w:t>Components</w:t>
      </w:r>
    </w:p>
    <w:p>
      <w:pPr>
        <w:pStyle w:val="BodyText"/>
        <w:spacing w:before="29"/>
        <w:ind w:left="436"/>
      </w:pPr>
      <w:r>
        <w:rPr>
          <w:rFonts w:ascii="Futura MdCn BT"/>
          <w:color w:val="231F20"/>
        </w:rPr>
        <w:t>v</w:t>
      </w:r>
      <w:r>
        <w:rPr>
          <w:rFonts w:ascii="Futura MdCn BT"/>
          <w:color w:val="231F20"/>
          <w:spacing w:val="38"/>
        </w:rPr>
        <w:t>  </w:t>
      </w:r>
      <w:r>
        <w:rPr>
          <w:rFonts w:ascii="Futura MdCn BT"/>
          <w:color w:val="231F20"/>
          <w:spacing w:val="5"/>
          <w:position w:val="-1"/>
        </w:rPr>
        <w:drawing>
          <wp:inline distT="0" distB="0" distL="0" distR="0">
            <wp:extent cx="88900" cy="101600"/>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83" cstate="print"/>
                    <a:stretch>
                      <a:fillRect/>
                    </a:stretch>
                  </pic:blipFill>
                  <pic:spPr>
                    <a:xfrm>
                      <a:off x="0" y="0"/>
                      <a:ext cx="88900" cy="101600"/>
                    </a:xfrm>
                    <a:prstGeom prst="rect">
                      <a:avLst/>
                    </a:prstGeom>
                  </pic:spPr>
                </pic:pic>
              </a:graphicData>
            </a:graphic>
          </wp:inline>
        </w:drawing>
      </w:r>
      <w:r>
        <w:rPr>
          <w:rFonts w:ascii="Futura MdCn BT"/>
          <w:color w:val="231F20"/>
          <w:spacing w:val="5"/>
          <w:position w:val="-1"/>
        </w:rPr>
      </w:r>
      <w:r>
        <w:rPr>
          <w:rFonts w:ascii="Times New Roman"/>
          <w:color w:val="231F20"/>
          <w:spacing w:val="66"/>
        </w:rPr>
        <w:t> </w:t>
      </w:r>
      <w:r>
        <w:rPr>
          <w:color w:val="231F20"/>
        </w:rPr>
        <w:t>Product</w:t>
      </w:r>
      <w:r>
        <w:rPr>
          <w:color w:val="231F20"/>
          <w:spacing w:val="14"/>
        </w:rPr>
        <w:t> </w:t>
      </w:r>
      <w:r>
        <w:rPr>
          <w:color w:val="231F20"/>
          <w:spacing w:val="-2"/>
        </w:rPr>
        <w:t>Events</w:t>
      </w:r>
    </w:p>
    <w:p>
      <w:pPr>
        <w:pStyle w:val="BodyText"/>
        <w:spacing w:line="266" w:lineRule="auto" w:before="30"/>
        <w:ind w:left="962" w:right="4141" w:hanging="52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95250" cy="95250"/>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84" cstate="print"/>
                    <a:stretch>
                      <a:fillRect/>
                    </a:stretch>
                  </pic:blipFill>
                  <pic:spPr>
                    <a:xfrm>
                      <a:off x="0" y="0"/>
                      <a:ext cx="95250" cy="95250"/>
                    </a:xfrm>
                    <a:prstGeom prst="rect">
                      <a:avLst/>
                    </a:prstGeom>
                  </pic:spPr>
                </pic:pic>
              </a:graphicData>
            </a:graphic>
          </wp:inline>
        </w:drawing>
      </w:r>
      <w:r>
        <w:rPr>
          <w:rFonts w:ascii="Futura MdCn BT"/>
          <w:color w:val="231F20"/>
          <w:spacing w:val="5"/>
          <w:position w:val="-1"/>
        </w:rPr>
      </w:r>
      <w:r>
        <w:rPr>
          <w:rFonts w:ascii="Times New Roman"/>
          <w:color w:val="231F20"/>
          <w:spacing w:val="40"/>
        </w:rPr>
        <w:t> </w:t>
      </w:r>
      <w:r>
        <w:rPr>
          <w:color w:val="231F20"/>
        </w:rPr>
        <w:t>MQSI Broker MQSIBroker1::KQIB </w:t>
      </w:r>
      <w:r>
        <w:rPr>
          <w:color w:val="231F20"/>
          <w:position w:val="-1"/>
        </w:rPr>
        <w:drawing>
          <wp:inline distT="0" distB="0" distL="0" distR="0">
            <wp:extent cx="88900" cy="101600"/>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Broker Events</w:t>
      </w:r>
    </w:p>
    <w:p>
      <w:pPr>
        <w:pStyle w:val="BodyText"/>
        <w:spacing w:line="269" w:lineRule="exact"/>
        <w:ind w:left="962"/>
      </w:pPr>
      <w:r>
        <w:rPr>
          <w:position w:val="-1"/>
        </w:rPr>
        <w:drawing>
          <wp:inline distT="0" distB="0" distL="0" distR="0">
            <wp:extent cx="88900" cy="101600"/>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80"/>
        </w:rPr>
        <w:t> </w:t>
      </w:r>
      <w:r>
        <w:rPr>
          <w:color w:val="231F20"/>
        </w:rPr>
        <w:t>Flow Events</w:t>
      </w:r>
    </w:p>
    <w:p>
      <w:pPr>
        <w:pStyle w:val="BodyText"/>
        <w:spacing w:line="266" w:lineRule="auto" w:before="29"/>
        <w:ind w:left="962" w:right="5121"/>
      </w:pPr>
      <w:r>
        <w:rPr>
          <w:position w:val="-1"/>
        </w:rPr>
        <w:drawing>
          <wp:inline distT="0" distB="0" distL="0" distR="0">
            <wp:extent cx="88900" cy="101600"/>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Broker </w:t>
      </w:r>
      <w:r>
        <w:rPr>
          <w:color w:val="231F20"/>
        </w:rPr>
        <w:t>Information </w:t>
      </w:r>
      <w:r>
        <w:rPr>
          <w:color w:val="231F20"/>
          <w:position w:val="-1"/>
        </w:rPr>
        <w:drawing>
          <wp:inline distT="0" distB="0" distL="0" distR="0">
            <wp:extent cx="88900" cy="101600"/>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Broker Statistics</w:t>
      </w:r>
    </w:p>
    <w:p>
      <w:pPr>
        <w:pStyle w:val="BodyText"/>
        <w:spacing w:line="266" w:lineRule="auto"/>
        <w:ind w:left="962" w:right="4495"/>
      </w:pPr>
      <w:r>
        <w:rPr>
          <w:position w:val="-1"/>
        </w:rPr>
        <w:drawing>
          <wp:inline distT="0" distB="0" distL="0" distR="0">
            <wp:extent cx="88900" cy="101600"/>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Execution Group </w:t>
      </w:r>
      <w:r>
        <w:rPr>
          <w:color w:val="231F20"/>
        </w:rPr>
        <w:t>Statistics </w:t>
      </w:r>
      <w:r>
        <w:rPr>
          <w:color w:val="231F20"/>
          <w:position w:val="-1"/>
        </w:rPr>
        <w:drawing>
          <wp:inline distT="0" distB="0" distL="0" distR="0">
            <wp:extent cx="88900" cy="101600"/>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Message Flow Statistics</w:t>
      </w:r>
    </w:p>
    <w:p>
      <w:pPr>
        <w:pStyle w:val="BodyText"/>
        <w:spacing w:line="266" w:lineRule="auto"/>
        <w:ind w:left="962" w:right="5905"/>
      </w:pPr>
      <w:r>
        <w:rPr>
          <w:position w:val="-1"/>
        </w:rPr>
        <w:drawing>
          <wp:inline distT="0" distB="0" distL="0" distR="0">
            <wp:extent cx="88900" cy="101599"/>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83" cstate="print"/>
                    <a:stretch>
                      <a:fillRect/>
                    </a:stretch>
                  </pic:blipFill>
                  <pic:spPr>
                    <a:xfrm>
                      <a:off x="0" y="0"/>
                      <a:ext cx="88900" cy="101599"/>
                    </a:xfrm>
                    <a:prstGeom prst="rect">
                      <a:avLst/>
                    </a:prstGeom>
                  </pic:spPr>
                </pic:pic>
              </a:graphicData>
            </a:graphic>
          </wp:inline>
        </w:drawing>
      </w:r>
      <w:r>
        <w:rPr>
          <w:position w:val="-1"/>
        </w:rPr>
      </w:r>
      <w:r>
        <w:rPr>
          <w:rFonts w:ascii="Times New Roman"/>
          <w:spacing w:val="35"/>
        </w:rPr>
        <w:t> </w:t>
      </w:r>
      <w:r>
        <w:rPr>
          <w:color w:val="231F20"/>
        </w:rPr>
        <w:t>Neighbors </w:t>
      </w:r>
      <w:r>
        <w:rPr>
          <w:color w:val="231F20"/>
          <w:position w:val="-1"/>
        </w:rPr>
        <w:drawing>
          <wp:inline distT="0" distB="0" distL="0" distR="0">
            <wp:extent cx="88900" cy="101600"/>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Topics</w:t>
      </w:r>
    </w:p>
    <w:p>
      <w:pPr>
        <w:pStyle w:val="BodyText"/>
        <w:spacing w:line="213" w:lineRule="auto" w:before="202"/>
        <w:ind w:left="436" w:right="403"/>
      </w:pPr>
      <w:r>
        <w:rPr>
          <w:color w:val="231F20"/>
        </w:rPr>
        <w:t>The agent gathers the current values of the attributes (elements) specified in a</w:t>
      </w:r>
      <w:r>
        <w:rPr>
          <w:color w:val="231F20"/>
          <w:spacing w:val="40"/>
        </w:rPr>
        <w:t> </w:t>
      </w:r>
      <w:r>
        <w:rPr>
          <w:color w:val="231F20"/>
        </w:rPr>
        <w:t>view. Gathered attribute values can also be tested against a threshold and </w:t>
      </w:r>
      <w:r>
        <w:rPr>
          <w:color w:val="231F20"/>
        </w:rPr>
        <w:t>display an event indicator when conditions exceed the threshold.</w:t>
      </w:r>
    </w:p>
    <w:p>
      <w:pPr>
        <w:pStyle w:val="BodyText"/>
        <w:spacing w:line="213" w:lineRule="auto" w:before="238"/>
        <w:ind w:left="436" w:right="372"/>
      </w:pPr>
      <w:r>
        <w:rPr>
          <w:color w:val="231F20"/>
        </w:rPr>
        <w:t>Some agents have fewer than 100 attributes, and many have several hundred.</w:t>
      </w:r>
      <w:r>
        <w:rPr>
          <w:color w:val="231F20"/>
          <w:spacing w:val="40"/>
        </w:rPr>
        <w:t> </w:t>
      </w:r>
      <w:r>
        <w:rPr>
          <w:color w:val="231F20"/>
        </w:rPr>
        <w:t>These attribute values are displayed in the table and chart views of workspaces </w:t>
      </w:r>
      <w:r>
        <w:rPr>
          <w:color w:val="231F20"/>
        </w:rPr>
        <w:t>at the system, agent, and attribute group level of the Navigator Physical view.</w:t>
      </w:r>
    </w:p>
    <w:p>
      <w:pPr>
        <w:pStyle w:val="BodyText"/>
        <w:spacing w:line="213" w:lineRule="auto" w:before="237"/>
        <w:ind w:left="436" w:right="407"/>
        <w:jc w:val="both"/>
      </w:pPr>
      <w:r>
        <w:rPr>
          <w:color w:val="231F20"/>
        </w:rPr>
        <w:t>When an attribute value (or range of values) is specified in a situation, as a table threshold, or as a chart or table view filter, Tivoli Enterprise Portal compares the current value with the value specified and does the following:</w:t>
      </w:r>
    </w:p>
    <w:p>
      <w:pPr>
        <w:pStyle w:val="BodyText"/>
        <w:spacing w:line="213" w:lineRule="auto" w:before="58"/>
        <w:ind w:left="652" w:right="297" w:hanging="216"/>
      </w:pPr>
      <w:r>
        <w:rPr>
          <w:rFonts w:ascii="Futura MdCn BT"/>
          <w:color w:val="231F20"/>
        </w:rPr>
        <w:t>v</w:t>
      </w:r>
      <w:r>
        <w:rPr>
          <w:rFonts w:ascii="Futura MdCn BT"/>
          <w:color w:val="231F20"/>
          <w:spacing w:val="80"/>
        </w:rPr>
        <w:t> </w:t>
      </w:r>
      <w:r>
        <w:rPr>
          <w:color w:val="231F20"/>
        </w:rPr>
        <w:t>If the comparison in the situation is met, then the situation is true and event</w:t>
      </w:r>
      <w:r>
        <w:rPr>
          <w:color w:val="231F20"/>
          <w:spacing w:val="40"/>
        </w:rPr>
        <w:t> </w:t>
      </w:r>
      <w:r>
        <w:rPr>
          <w:color w:val="231F20"/>
        </w:rPr>
        <w:t>indicators are displayed in the Navigator.</w:t>
      </w:r>
    </w:p>
    <w:p>
      <w:pPr>
        <w:pStyle w:val="BodyText"/>
        <w:spacing w:line="213" w:lineRule="auto" w:before="58"/>
        <w:ind w:left="652" w:right="297" w:hanging="216"/>
      </w:pPr>
      <w:r>
        <w:rPr>
          <w:rFonts w:ascii="Futura MdCn BT"/>
          <w:color w:val="231F20"/>
        </w:rPr>
        <w:t>v</w:t>
      </w:r>
      <w:r>
        <w:rPr>
          <w:rFonts w:ascii="Futura MdCn BT"/>
          <w:color w:val="231F20"/>
          <w:spacing w:val="80"/>
        </w:rPr>
        <w:t> </w:t>
      </w:r>
      <w:r>
        <w:rPr>
          <w:color w:val="231F20"/>
        </w:rPr>
        <w:t>If the compared value exceeds the threshold specified for the table, the cell is</w:t>
      </w:r>
      <w:r>
        <w:rPr>
          <w:color w:val="231F20"/>
          <w:spacing w:val="40"/>
        </w:rPr>
        <w:t> </w:t>
      </w:r>
      <w:r>
        <w:rPr>
          <w:color w:val="231F20"/>
        </w:rPr>
        <w:t>highlighted in red, yellow, or blue.</w:t>
      </w:r>
    </w:p>
    <w:p>
      <w:pPr>
        <w:pStyle w:val="BodyText"/>
        <w:spacing w:line="213" w:lineRule="auto" w:before="59"/>
        <w:ind w:left="652" w:right="372" w:hanging="216"/>
      </w:pPr>
      <w:r>
        <w:rPr/>
        <mc:AlternateContent>
          <mc:Choice Requires="wps">
            <w:drawing>
              <wp:anchor distT="0" distB="0" distL="0" distR="0" allowOverlap="1" layoutInCell="1" locked="0" behindDoc="0" simplePos="0" relativeHeight="15758336">
                <wp:simplePos x="0" y="0"/>
                <wp:positionH relativeFrom="page">
                  <wp:posOffset>912380</wp:posOffset>
                </wp:positionH>
                <wp:positionV relativeFrom="paragraph">
                  <wp:posOffset>498372</wp:posOffset>
                </wp:positionV>
                <wp:extent cx="6082665" cy="1270"/>
                <wp:effectExtent l="0" t="0" r="0" b="0"/>
                <wp:wrapNone/>
                <wp:docPr id="112" name="Graphic 112"/>
                <wp:cNvGraphicFramePr>
                  <a:graphicFrameLocks/>
                </wp:cNvGraphicFramePr>
                <a:graphic>
                  <a:graphicData uri="http://schemas.microsoft.com/office/word/2010/wordprocessingShape">
                    <wps:wsp>
                      <wps:cNvPr id="112" name="Graphic 11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71.841003pt,39.241894pt" to="550.783003pt,39.241894pt" stroked="true" strokeweight=".499pt" strokecolor="#231f20">
                <v:stroke dashstyle="solid"/>
                <w10:wrap type="none"/>
              </v:line>
            </w:pict>
          </mc:Fallback>
        </mc:AlternateContent>
      </w:r>
      <w:r>
        <w:rPr>
          <w:rFonts w:ascii="Futura MdCn BT"/>
          <w:color w:val="231F20"/>
        </w:rPr>
        <w:t>v</w:t>
      </w:r>
      <w:r>
        <w:rPr>
          <w:rFonts w:ascii="Futura MdCn BT"/>
          <w:color w:val="231F20"/>
          <w:spacing w:val="80"/>
        </w:rPr>
        <w:t> </w:t>
      </w:r>
      <w:r>
        <w:rPr>
          <w:color w:val="231F20"/>
        </w:rPr>
        <w:t>If the compared value meets the filter condition, it is included in the chart or</w:t>
      </w:r>
      <w:r>
        <w:rPr>
          <w:color w:val="231F20"/>
          <w:spacing w:val="40"/>
        </w:rPr>
        <w:t> </w:t>
      </w:r>
      <w:r>
        <w:rPr>
          <w:color w:val="231F20"/>
        </w:rPr>
        <w:t>table display.</w:t>
      </w:r>
    </w:p>
    <w:p>
      <w:pPr>
        <w:pStyle w:val="BodyText"/>
      </w:pPr>
    </w:p>
    <w:p>
      <w:pPr>
        <w:pStyle w:val="BodyText"/>
        <w:spacing w:before="197"/>
      </w:pPr>
    </w:p>
    <w:p>
      <w:pPr>
        <w:pStyle w:val="BodyText"/>
        <w:spacing w:line="213" w:lineRule="auto"/>
        <w:ind w:left="436" w:right="403"/>
      </w:pPr>
      <w:r>
        <w:rPr>
          <w:color w:val="231F20"/>
        </w:rPr>
        <w:t>The Tivoli Enterprise Portal gives you a single point of control for managing </w:t>
      </w:r>
      <w:r>
        <w:rPr>
          <w:color w:val="231F20"/>
        </w:rPr>
        <w:t>the resources your applications rely on, including a range of operating systems, servers, databases, platforms, and web components.</w:t>
      </w:r>
    </w:p>
    <w:p>
      <w:pPr>
        <w:pStyle w:val="BodyText"/>
        <w:spacing w:line="213" w:lineRule="auto" w:before="238"/>
        <w:ind w:left="436" w:right="297"/>
      </w:pPr>
      <w:r>
        <w:rPr>
          <w:color w:val="231F20"/>
        </w:rPr>
        <w:t>For example, a typical IT network might have a web server on Windows, an application server and database on UNIX, and a transaction processor on CICS</w:t>
      </w:r>
      <w:r>
        <w:rPr>
          <w:color w:val="231F20"/>
          <w:vertAlign w:val="superscript"/>
        </w:rPr>
        <w:t>®</w:t>
      </w:r>
      <w:r>
        <w:rPr>
          <w:color w:val="231F20"/>
          <w:vertAlign w:val="baseline"/>
        </w:rPr>
        <w:t> </w:t>
      </w:r>
      <w:r>
        <w:rPr>
          <w:color w:val="231F20"/>
          <w:vertAlign w:val="baseline"/>
        </w:rPr>
        <w:t>on the mainframe. The Tivoli Enterprise Portal brings all these views together in a</w:t>
      </w:r>
      <w:r>
        <w:rPr>
          <w:color w:val="231F20"/>
          <w:spacing w:val="40"/>
          <w:vertAlign w:val="baseline"/>
        </w:rPr>
        <w:t> </w:t>
      </w:r>
      <w:r>
        <w:rPr>
          <w:color w:val="231F20"/>
          <w:vertAlign w:val="baseline"/>
        </w:rPr>
        <w:t>single</w:t>
      </w:r>
      <w:r>
        <w:rPr>
          <w:color w:val="231F20"/>
          <w:spacing w:val="26"/>
          <w:vertAlign w:val="baseline"/>
        </w:rPr>
        <w:t> </w:t>
      </w:r>
      <w:r>
        <w:rPr>
          <w:color w:val="231F20"/>
          <w:vertAlign w:val="baseline"/>
        </w:rPr>
        <w:t>window</w:t>
      </w:r>
      <w:r>
        <w:rPr>
          <w:color w:val="231F20"/>
          <w:spacing w:val="26"/>
          <w:vertAlign w:val="baseline"/>
        </w:rPr>
        <w:t> </w:t>
      </w:r>
      <w:r>
        <w:rPr>
          <w:color w:val="231F20"/>
          <w:vertAlign w:val="baseline"/>
        </w:rPr>
        <w:t>so</w:t>
      </w:r>
      <w:r>
        <w:rPr>
          <w:color w:val="231F20"/>
          <w:spacing w:val="26"/>
          <w:vertAlign w:val="baseline"/>
        </w:rPr>
        <w:t> </w:t>
      </w:r>
      <w:r>
        <w:rPr>
          <w:color w:val="231F20"/>
          <w:vertAlign w:val="baseline"/>
        </w:rPr>
        <w:t>that</w:t>
      </w:r>
      <w:r>
        <w:rPr>
          <w:color w:val="231F20"/>
          <w:spacing w:val="26"/>
          <w:vertAlign w:val="baseline"/>
        </w:rPr>
        <w:t> </w:t>
      </w:r>
      <w:r>
        <w:rPr>
          <w:color w:val="231F20"/>
          <w:vertAlign w:val="baseline"/>
        </w:rPr>
        <w:t>you</w:t>
      </w:r>
      <w:r>
        <w:rPr>
          <w:color w:val="231F20"/>
          <w:spacing w:val="26"/>
          <w:vertAlign w:val="baseline"/>
        </w:rPr>
        <w:t> </w:t>
      </w:r>
      <w:r>
        <w:rPr>
          <w:color w:val="231F20"/>
          <w:vertAlign w:val="baseline"/>
        </w:rPr>
        <w:t>can</w:t>
      </w:r>
      <w:r>
        <w:rPr>
          <w:color w:val="231F20"/>
          <w:spacing w:val="26"/>
          <w:vertAlign w:val="baseline"/>
        </w:rPr>
        <w:t> </w:t>
      </w:r>
      <w:r>
        <w:rPr>
          <w:color w:val="231F20"/>
          <w:vertAlign w:val="baseline"/>
        </w:rPr>
        <w:t>see</w:t>
      </w:r>
      <w:r>
        <w:rPr>
          <w:color w:val="231F20"/>
          <w:spacing w:val="26"/>
          <w:vertAlign w:val="baseline"/>
        </w:rPr>
        <w:t> </w:t>
      </w:r>
      <w:r>
        <w:rPr>
          <w:color w:val="231F20"/>
          <w:vertAlign w:val="baseline"/>
        </w:rPr>
        <w:t>when</w:t>
      </w:r>
      <w:r>
        <w:rPr>
          <w:color w:val="231F20"/>
          <w:spacing w:val="26"/>
          <w:vertAlign w:val="baseline"/>
        </w:rPr>
        <w:t> </w:t>
      </w:r>
      <w:r>
        <w:rPr>
          <w:color w:val="231F20"/>
          <w:vertAlign w:val="baseline"/>
        </w:rPr>
        <w:t>any</w:t>
      </w:r>
      <w:r>
        <w:rPr>
          <w:color w:val="231F20"/>
          <w:spacing w:val="26"/>
          <w:vertAlign w:val="baseline"/>
        </w:rPr>
        <w:t> </w:t>
      </w:r>
      <w:r>
        <w:rPr>
          <w:color w:val="231F20"/>
          <w:vertAlign w:val="baseline"/>
        </w:rPr>
        <w:t>aspect</w:t>
      </w:r>
      <w:r>
        <w:rPr>
          <w:color w:val="231F20"/>
          <w:spacing w:val="26"/>
          <w:vertAlign w:val="baseline"/>
        </w:rPr>
        <w:t> </w:t>
      </w:r>
      <w:r>
        <w:rPr>
          <w:color w:val="231F20"/>
          <w:vertAlign w:val="baseline"/>
        </w:rPr>
        <w:t>of</w:t>
      </w:r>
      <w:r>
        <w:rPr>
          <w:color w:val="231F20"/>
          <w:spacing w:val="26"/>
          <w:vertAlign w:val="baseline"/>
        </w:rPr>
        <w:t> </w:t>
      </w:r>
      <w:r>
        <w:rPr>
          <w:color w:val="231F20"/>
          <w:vertAlign w:val="baseline"/>
        </w:rPr>
        <w:t>your</w:t>
      </w:r>
      <w:r>
        <w:rPr>
          <w:color w:val="231F20"/>
          <w:spacing w:val="26"/>
          <w:vertAlign w:val="baseline"/>
        </w:rPr>
        <w:t> </w:t>
      </w:r>
      <w:r>
        <w:rPr>
          <w:color w:val="231F20"/>
          <w:vertAlign w:val="baseline"/>
        </w:rPr>
        <w:t>network</w:t>
      </w:r>
      <w:r>
        <w:rPr>
          <w:color w:val="231F20"/>
          <w:spacing w:val="26"/>
          <w:vertAlign w:val="baseline"/>
        </w:rPr>
        <w:t> </w:t>
      </w:r>
      <w:r>
        <w:rPr>
          <w:color w:val="231F20"/>
          <w:vertAlign w:val="baseline"/>
        </w:rPr>
        <w:t>is</w:t>
      </w:r>
      <w:r>
        <w:rPr>
          <w:color w:val="231F20"/>
          <w:spacing w:val="26"/>
          <w:vertAlign w:val="baseline"/>
        </w:rPr>
        <w:t> </w:t>
      </w:r>
      <w:r>
        <w:rPr>
          <w:color w:val="231F20"/>
          <w:vertAlign w:val="baseline"/>
        </w:rPr>
        <w:t>not working as expected.</w:t>
      </w:r>
    </w:p>
    <w:p>
      <w:pPr>
        <w:pStyle w:val="BodyText"/>
        <w:spacing w:line="213" w:lineRule="auto" w:before="236"/>
        <w:ind w:left="436" w:right="297"/>
      </w:pPr>
      <w:r>
        <w:rPr>
          <w:color w:val="231F20"/>
          <w:w w:val="105"/>
        </w:rPr>
        <w:t>Your</w:t>
      </w:r>
      <w:r>
        <w:rPr>
          <w:color w:val="231F20"/>
          <w:spacing w:val="-6"/>
          <w:w w:val="105"/>
        </w:rPr>
        <w:t> </w:t>
      </w:r>
      <w:r>
        <w:rPr>
          <w:color w:val="231F20"/>
          <w:w w:val="105"/>
        </w:rPr>
        <w:t>IBM</w:t>
      </w:r>
      <w:r>
        <w:rPr>
          <w:color w:val="231F20"/>
          <w:spacing w:val="-6"/>
          <w:w w:val="105"/>
        </w:rPr>
        <w:t> </w:t>
      </w:r>
      <w:r>
        <w:rPr>
          <w:color w:val="231F20"/>
          <w:w w:val="105"/>
        </w:rPr>
        <w:t>Tivoli</w:t>
      </w:r>
      <w:r>
        <w:rPr>
          <w:color w:val="231F20"/>
          <w:spacing w:val="-6"/>
          <w:w w:val="105"/>
        </w:rPr>
        <w:t> </w:t>
      </w:r>
      <w:r>
        <w:rPr>
          <w:color w:val="231F20"/>
          <w:w w:val="105"/>
        </w:rPr>
        <w:t>Monitoring</w:t>
      </w:r>
      <w:r>
        <w:rPr>
          <w:color w:val="231F20"/>
          <w:spacing w:val="-6"/>
          <w:w w:val="105"/>
        </w:rPr>
        <w:t> </w:t>
      </w:r>
      <w:r>
        <w:rPr>
          <w:color w:val="231F20"/>
          <w:w w:val="105"/>
        </w:rPr>
        <w:t>products</w:t>
      </w:r>
      <w:r>
        <w:rPr>
          <w:color w:val="231F20"/>
          <w:spacing w:val="-6"/>
          <w:w w:val="105"/>
        </w:rPr>
        <w:t> </w:t>
      </w:r>
      <w:r>
        <w:rPr>
          <w:color w:val="231F20"/>
          <w:w w:val="105"/>
        </w:rPr>
        <w:t>use</w:t>
      </w:r>
      <w:r>
        <w:rPr>
          <w:color w:val="231F20"/>
          <w:spacing w:val="-6"/>
          <w:w w:val="105"/>
        </w:rPr>
        <w:t> </w:t>
      </w:r>
      <w:r>
        <w:rPr>
          <w:color w:val="231F20"/>
          <w:w w:val="105"/>
        </w:rPr>
        <w:t>the</w:t>
      </w:r>
      <w:r>
        <w:rPr>
          <w:color w:val="231F20"/>
          <w:spacing w:val="-6"/>
          <w:w w:val="105"/>
        </w:rPr>
        <w:t> </w:t>
      </w:r>
      <w:r>
        <w:rPr>
          <w:color w:val="231F20"/>
          <w:w w:val="105"/>
        </w:rPr>
        <w:t>portal</w:t>
      </w:r>
      <w:r>
        <w:rPr>
          <w:color w:val="231F20"/>
          <w:spacing w:val="-6"/>
          <w:w w:val="105"/>
        </w:rPr>
        <w:t> </w:t>
      </w:r>
      <w:r>
        <w:rPr>
          <w:color w:val="231F20"/>
          <w:w w:val="105"/>
        </w:rPr>
        <w:t>interface</w:t>
      </w:r>
      <w:r>
        <w:rPr>
          <w:color w:val="231F20"/>
          <w:spacing w:val="-6"/>
          <w:w w:val="105"/>
        </w:rPr>
        <w:t> </w:t>
      </w:r>
      <w:r>
        <w:rPr>
          <w:color w:val="231F20"/>
          <w:w w:val="105"/>
        </w:rPr>
        <w:t>with</w:t>
      </w:r>
      <w:r>
        <w:rPr>
          <w:color w:val="231F20"/>
          <w:spacing w:val="-6"/>
          <w:w w:val="105"/>
        </w:rPr>
        <w:t> </w:t>
      </w:r>
      <w:r>
        <w:rPr>
          <w:color w:val="231F20"/>
          <w:w w:val="105"/>
        </w:rPr>
        <w:t>these</w:t>
      </w:r>
      <w:r>
        <w:rPr>
          <w:color w:val="231F20"/>
          <w:spacing w:val="-6"/>
          <w:w w:val="105"/>
        </w:rPr>
        <w:t> </w:t>
      </w:r>
      <w:r>
        <w:rPr>
          <w:color w:val="231F20"/>
          <w:w w:val="105"/>
        </w:rPr>
        <w:t>major </w:t>
      </w:r>
      <w:r>
        <w:rPr>
          <w:color w:val="231F20"/>
        </w:rPr>
        <w:t>features and you can find demos for many of them on developerWorks in the </w:t>
      </w:r>
      <w:hyperlink r:id="rId85">
        <w:r>
          <w:rPr>
            <w:color w:val="231F20"/>
          </w:rPr>
          <w:t>IBM</w:t>
        </w:r>
      </w:hyperlink>
      <w:r>
        <w:rPr>
          <w:color w:val="231F20"/>
        </w:rPr>
        <w:t> </w:t>
      </w:r>
      <w:hyperlink r:id="rId85">
        <w:r>
          <w:rPr>
            <w:color w:val="231F20"/>
            <w:w w:val="105"/>
          </w:rPr>
          <w:t>Tivoli Media Gallery</w:t>
        </w:r>
      </w:hyperlink>
      <w:r>
        <w:rPr>
          <w:color w:val="231F20"/>
          <w:w w:val="105"/>
        </w:rPr>
        <w:t> </w:t>
      </w:r>
      <w:hyperlink r:id="rId86">
        <w:r>
          <w:rPr>
            <w:color w:val="231F20"/>
            <w:w w:val="105"/>
          </w:rPr>
          <w:t>(http://www.ibm.com/tivoli/media):</w:t>
        </w:r>
      </w:hyperlink>
    </w:p>
    <w:p>
      <w:pPr>
        <w:spacing w:after="0" w:line="213" w:lineRule="auto"/>
        <w:sectPr>
          <w:pgSz w:w="12240" w:h="15840"/>
          <w:pgMar w:header="0" w:footer="736" w:top="1180" w:bottom="920" w:left="1000" w:right="1060"/>
          <w:cols w:num="2" w:equalWidth="0">
            <w:col w:w="1642" w:space="394"/>
            <w:col w:w="8144"/>
          </w:cols>
        </w:sectPr>
      </w:pPr>
    </w:p>
    <w:tbl>
      <w:tblPr>
        <w:tblW w:w="0" w:type="auto"/>
        <w:jc w:val="left"/>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26"/>
        <w:gridCol w:w="7242"/>
      </w:tblGrid>
      <w:tr>
        <w:trPr>
          <w:trHeight w:val="274" w:hRule="atLeast"/>
        </w:trPr>
        <w:tc>
          <w:tcPr>
            <w:tcW w:w="2326" w:type="dxa"/>
          </w:tcPr>
          <w:p>
            <w:pPr>
              <w:pStyle w:val="TableParagraph"/>
              <w:spacing w:before="10"/>
              <w:ind w:left="44"/>
              <w:rPr>
                <w:rFonts w:ascii="Book Antiqua"/>
                <w:b/>
                <w:sz w:val="18"/>
              </w:rPr>
            </w:pPr>
            <w:r>
              <w:rPr>
                <w:rFonts w:ascii="Book Antiqua"/>
                <w:b/>
                <w:color w:val="231F20"/>
                <w:spacing w:val="-2"/>
                <w:sz w:val="18"/>
              </w:rPr>
              <w:t>Feature</w:t>
            </w:r>
          </w:p>
        </w:tc>
        <w:tc>
          <w:tcPr>
            <w:tcW w:w="7242"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2209" w:hRule="atLeast"/>
        </w:trPr>
        <w:tc>
          <w:tcPr>
            <w:tcW w:w="2326" w:type="dxa"/>
          </w:tcPr>
          <w:p>
            <w:pPr>
              <w:pStyle w:val="TableParagraph"/>
              <w:ind w:left="44"/>
              <w:rPr>
                <w:sz w:val="18"/>
              </w:rPr>
            </w:pPr>
            <w:r>
              <w:rPr>
                <w:color w:val="231F20"/>
                <w:sz w:val="18"/>
              </w:rPr>
              <w:t>Customizing</w:t>
            </w:r>
            <w:r>
              <w:rPr>
                <w:color w:val="231F20"/>
                <w:spacing w:val="3"/>
                <w:sz w:val="18"/>
              </w:rPr>
              <w:t> </w:t>
            </w:r>
            <w:r>
              <w:rPr>
                <w:color w:val="231F20"/>
                <w:spacing w:val="-2"/>
                <w:sz w:val="18"/>
              </w:rPr>
              <w:t>workspaces</w:t>
            </w:r>
          </w:p>
        </w:tc>
        <w:tc>
          <w:tcPr>
            <w:tcW w:w="7242" w:type="dxa"/>
          </w:tcPr>
          <w:p>
            <w:pPr>
              <w:pStyle w:val="TableParagraph"/>
              <w:spacing w:line="216" w:lineRule="auto" w:before="224"/>
              <w:ind w:left="60"/>
              <w:rPr>
                <w:sz w:val="18"/>
              </w:rPr>
            </w:pPr>
            <w:r>
              <w:rPr>
                <w:color w:val="231F20"/>
                <w:sz w:val="18"/>
              </w:rPr>
              <w:t>Tivoli</w:t>
            </w:r>
            <w:r>
              <w:rPr>
                <w:color w:val="231F20"/>
                <w:spacing w:val="25"/>
                <w:sz w:val="18"/>
              </w:rPr>
              <w:t> </w:t>
            </w:r>
            <w:r>
              <w:rPr>
                <w:color w:val="231F20"/>
                <w:sz w:val="18"/>
              </w:rPr>
              <w:t>Enterprise</w:t>
            </w:r>
            <w:r>
              <w:rPr>
                <w:color w:val="231F20"/>
                <w:spacing w:val="25"/>
                <w:sz w:val="18"/>
              </w:rPr>
              <w:t> </w:t>
            </w:r>
            <w:r>
              <w:rPr>
                <w:color w:val="231F20"/>
                <w:sz w:val="18"/>
              </w:rPr>
              <w:t>Portal</w:t>
            </w:r>
            <w:r>
              <w:rPr>
                <w:color w:val="231F20"/>
                <w:spacing w:val="25"/>
                <w:sz w:val="18"/>
              </w:rPr>
              <w:t> </w:t>
            </w:r>
            <w:r>
              <w:rPr>
                <w:color w:val="231F20"/>
                <w:sz w:val="18"/>
              </w:rPr>
              <w:t>presents</w:t>
            </w:r>
            <w:r>
              <w:rPr>
                <w:color w:val="231F20"/>
                <w:spacing w:val="25"/>
                <w:sz w:val="18"/>
              </w:rPr>
              <w:t> </w:t>
            </w:r>
            <w:r>
              <w:rPr>
                <w:color w:val="231F20"/>
                <w:sz w:val="18"/>
              </w:rPr>
              <w:t>information</w:t>
            </w:r>
            <w:r>
              <w:rPr>
                <w:color w:val="231F20"/>
                <w:spacing w:val="25"/>
                <w:sz w:val="18"/>
              </w:rPr>
              <w:t> </w:t>
            </w:r>
            <w:r>
              <w:rPr>
                <w:color w:val="231F20"/>
                <w:sz w:val="18"/>
              </w:rPr>
              <w:t>in</w:t>
            </w:r>
            <w:r>
              <w:rPr>
                <w:color w:val="231F20"/>
                <w:spacing w:val="25"/>
                <w:sz w:val="18"/>
              </w:rPr>
              <w:t> </w:t>
            </w:r>
            <w:r>
              <w:rPr>
                <w:color w:val="231F20"/>
                <w:sz w:val="18"/>
              </w:rPr>
              <w:t>a</w:t>
            </w:r>
            <w:r>
              <w:rPr>
                <w:color w:val="231F20"/>
                <w:spacing w:val="25"/>
                <w:sz w:val="18"/>
              </w:rPr>
              <w:t> </w:t>
            </w:r>
            <w:r>
              <w:rPr>
                <w:color w:val="231F20"/>
                <w:sz w:val="18"/>
              </w:rPr>
              <w:t>single</w:t>
            </w:r>
            <w:r>
              <w:rPr>
                <w:color w:val="231F20"/>
                <w:spacing w:val="25"/>
                <w:sz w:val="18"/>
              </w:rPr>
              <w:t> </w:t>
            </w:r>
            <w:r>
              <w:rPr>
                <w:color w:val="231F20"/>
                <w:sz w:val="18"/>
              </w:rPr>
              <w:t>pane</w:t>
            </w:r>
            <w:r>
              <w:rPr>
                <w:color w:val="231F20"/>
                <w:spacing w:val="25"/>
                <w:sz w:val="18"/>
              </w:rPr>
              <w:t> </w:t>
            </w:r>
            <w:r>
              <w:rPr>
                <w:color w:val="231F20"/>
                <w:sz w:val="18"/>
              </w:rPr>
              <w:t>of</w:t>
            </w:r>
            <w:r>
              <w:rPr>
                <w:color w:val="231F20"/>
                <w:spacing w:val="25"/>
                <w:sz w:val="18"/>
              </w:rPr>
              <w:t> </w:t>
            </w:r>
            <w:r>
              <w:rPr>
                <w:color w:val="231F20"/>
                <w:sz w:val="18"/>
              </w:rPr>
              <w:t>glass</w:t>
            </w:r>
            <w:r>
              <w:rPr>
                <w:color w:val="231F20"/>
                <w:spacing w:val="25"/>
                <w:sz w:val="18"/>
              </w:rPr>
              <w:t> </w:t>
            </w:r>
            <w:r>
              <w:rPr>
                <w:color w:val="231F20"/>
                <w:sz w:val="18"/>
              </w:rPr>
              <w:t>called</w:t>
            </w:r>
            <w:r>
              <w:rPr>
                <w:color w:val="231F20"/>
                <w:spacing w:val="25"/>
                <w:sz w:val="18"/>
              </w:rPr>
              <w:t> </w:t>
            </w:r>
            <w:r>
              <w:rPr>
                <w:color w:val="231F20"/>
                <w:sz w:val="18"/>
              </w:rPr>
              <w:t>a </w:t>
            </w:r>
            <w:r>
              <w:rPr>
                <w:rFonts w:ascii="Book Antiqua"/>
                <w:i/>
                <w:color w:val="231F20"/>
                <w:sz w:val="18"/>
              </w:rPr>
              <w:t>workspace</w:t>
            </w:r>
            <w:r>
              <w:rPr>
                <w:color w:val="231F20"/>
                <w:sz w:val="18"/>
              </w:rPr>
              <w:t>, which consists of one or more views. Monitoring data is retrieved at regular intervals and the results sent to the workspace in the form of chart and table views.</w:t>
            </w:r>
          </w:p>
          <w:p>
            <w:pPr>
              <w:pStyle w:val="TableParagraph"/>
              <w:spacing w:line="216" w:lineRule="auto" w:before="2"/>
              <w:ind w:left="60" w:right="272"/>
              <w:rPr>
                <w:sz w:val="18"/>
              </w:rPr>
            </w:pPr>
            <w:r>
              <w:rPr>
                <w:color w:val="231F20"/>
                <w:sz w:val="18"/>
              </w:rPr>
              <w:t>You can start monitoring activity and system status immediately with the predefined workspaces. with just a few clicks of the mouse, you can tailor your own workspaces</w:t>
            </w:r>
            <w:r>
              <w:rPr>
                <w:color w:val="231F20"/>
                <w:spacing w:val="40"/>
                <w:sz w:val="18"/>
              </w:rPr>
              <w:t> </w:t>
            </w:r>
            <w:r>
              <w:rPr>
                <w:color w:val="231F20"/>
                <w:sz w:val="18"/>
              </w:rPr>
              <w:t>to look at specific conditions, display critical threshold values in red, and filter incoming data so you see only what matters.</w:t>
            </w:r>
          </w:p>
          <w:p>
            <w:pPr>
              <w:pStyle w:val="TableParagraph"/>
              <w:spacing w:before="165"/>
              <w:ind w:left="60"/>
              <w:rPr>
                <w:sz w:val="18"/>
              </w:rPr>
            </w:pPr>
            <w:r>
              <w:rPr>
                <w:color w:val="231F20"/>
                <w:sz w:val="18"/>
              </w:rPr>
              <w:t>See</w:t>
            </w:r>
            <w:r>
              <w:rPr>
                <w:color w:val="231F20"/>
                <w:spacing w:val="8"/>
                <w:sz w:val="18"/>
              </w:rPr>
              <w:t> </w:t>
            </w:r>
            <w:hyperlink w:history="true" w:anchor="_bookmark49">
              <w:r>
                <w:rPr>
                  <w:color w:val="231F20"/>
                  <w:sz w:val="18"/>
                </w:rPr>
                <w:t>“Custom</w:t>
              </w:r>
              <w:r>
                <w:rPr>
                  <w:color w:val="231F20"/>
                  <w:spacing w:val="9"/>
                  <w:sz w:val="18"/>
                </w:rPr>
                <w:t> </w:t>
              </w:r>
              <w:r>
                <w:rPr>
                  <w:color w:val="231F20"/>
                  <w:sz w:val="18"/>
                </w:rPr>
                <w:t>workspace</w:t>
              </w:r>
              <w:r>
                <w:rPr>
                  <w:color w:val="231F20"/>
                  <w:spacing w:val="9"/>
                  <w:sz w:val="18"/>
                </w:rPr>
                <w:t> </w:t>
              </w:r>
              <w:r>
                <w:rPr>
                  <w:color w:val="231F20"/>
                  <w:sz w:val="18"/>
                </w:rPr>
                <w:t>options</w:t>
              </w:r>
              <w:r>
                <w:rPr>
                  <w:color w:val="231F20"/>
                  <w:spacing w:val="8"/>
                  <w:sz w:val="18"/>
                </w:rPr>
                <w:t> </w:t>
              </w:r>
              <w:r>
                <w:rPr>
                  <w:color w:val="231F20"/>
                  <w:sz w:val="18"/>
                </w:rPr>
                <w:t>and</w:t>
              </w:r>
              <w:r>
                <w:rPr>
                  <w:color w:val="231F20"/>
                  <w:spacing w:val="9"/>
                  <w:sz w:val="18"/>
                </w:rPr>
                <w:t> </w:t>
              </w:r>
              <w:r>
                <w:rPr>
                  <w:color w:val="231F20"/>
                  <w:sz w:val="18"/>
                </w:rPr>
                <w:t>guidelines”</w:t>
              </w:r>
              <w:r>
                <w:rPr>
                  <w:color w:val="231F20"/>
                  <w:spacing w:val="9"/>
                  <w:sz w:val="18"/>
                </w:rPr>
                <w:t> </w:t>
              </w:r>
              <w:r>
                <w:rPr>
                  <w:color w:val="231F20"/>
                  <w:sz w:val="18"/>
                </w:rPr>
                <w:t>on</w:t>
              </w:r>
              <w:r>
                <w:rPr>
                  <w:color w:val="231F20"/>
                  <w:spacing w:val="8"/>
                  <w:sz w:val="18"/>
                </w:rPr>
                <w:t> </w:t>
              </w:r>
              <w:r>
                <w:rPr>
                  <w:color w:val="231F20"/>
                  <w:sz w:val="18"/>
                </w:rPr>
                <w:t>page</w:t>
              </w:r>
              <w:r>
                <w:rPr>
                  <w:color w:val="231F20"/>
                  <w:spacing w:val="9"/>
                  <w:sz w:val="18"/>
                </w:rPr>
                <w:t> </w:t>
              </w:r>
              <w:r>
                <w:rPr>
                  <w:color w:val="231F20"/>
                  <w:spacing w:val="-5"/>
                  <w:sz w:val="18"/>
                </w:rPr>
                <w:t>63.</w:t>
              </w:r>
            </w:hyperlink>
          </w:p>
        </w:tc>
      </w:tr>
    </w:tbl>
    <w:p>
      <w:pPr>
        <w:spacing w:after="0"/>
        <w:rPr>
          <w:sz w:val="18"/>
        </w:rPr>
        <w:sectPr>
          <w:pgSz w:w="12240" w:h="15840"/>
          <w:pgMar w:header="0" w:footer="736" w:top="1300" w:bottom="920" w:left="1000" w:right="1060"/>
        </w:sect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26"/>
        <w:gridCol w:w="7242"/>
      </w:tblGrid>
      <w:tr>
        <w:trPr>
          <w:trHeight w:val="274" w:hRule="atLeast"/>
        </w:trPr>
        <w:tc>
          <w:tcPr>
            <w:tcW w:w="2326" w:type="dxa"/>
          </w:tcPr>
          <w:p>
            <w:pPr>
              <w:pStyle w:val="TableParagraph"/>
              <w:spacing w:before="10"/>
              <w:ind w:left="44"/>
              <w:rPr>
                <w:rFonts w:ascii="Book Antiqua"/>
                <w:b/>
                <w:sz w:val="18"/>
              </w:rPr>
            </w:pPr>
            <w:r>
              <w:rPr>
                <w:rFonts w:ascii="Book Antiqua"/>
                <w:b/>
                <w:color w:val="231F20"/>
                <w:spacing w:val="-2"/>
                <w:sz w:val="18"/>
              </w:rPr>
              <w:t>Feature</w:t>
            </w:r>
          </w:p>
        </w:tc>
        <w:tc>
          <w:tcPr>
            <w:tcW w:w="7242"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10983" w:hRule="atLeast"/>
        </w:trPr>
        <w:tc>
          <w:tcPr>
            <w:tcW w:w="2326" w:type="dxa"/>
          </w:tcPr>
          <w:p>
            <w:pPr>
              <w:pStyle w:val="TableParagraph"/>
              <w:spacing w:line="216" w:lineRule="auto" w:before="44"/>
              <w:ind w:left="44"/>
              <w:rPr>
                <w:sz w:val="18"/>
              </w:rPr>
            </w:pPr>
            <w:r>
              <w:rPr>
                <w:color w:val="231F20"/>
                <w:sz w:val="18"/>
              </w:rPr>
              <w:t>Customizing</w:t>
            </w:r>
            <w:r>
              <w:rPr>
                <w:color w:val="231F20"/>
                <w:spacing w:val="-7"/>
                <w:sz w:val="18"/>
              </w:rPr>
              <w:t> </w:t>
            </w:r>
            <w:r>
              <w:rPr>
                <w:color w:val="231F20"/>
                <w:sz w:val="18"/>
              </w:rPr>
              <w:t>workspace </w:t>
            </w:r>
            <w:r>
              <w:rPr>
                <w:color w:val="231F20"/>
                <w:spacing w:val="-2"/>
                <w:sz w:val="18"/>
              </w:rPr>
              <w:t>views</w:t>
            </w:r>
          </w:p>
        </w:tc>
        <w:tc>
          <w:tcPr>
            <w:tcW w:w="7242" w:type="dxa"/>
          </w:tcPr>
          <w:p>
            <w:pPr>
              <w:pStyle w:val="TableParagraph"/>
              <w:tabs>
                <w:tab w:pos="588" w:val="left" w:leader="none"/>
              </w:tabs>
              <w:spacing w:line="216" w:lineRule="auto" w:before="224"/>
              <w:ind w:left="60" w:right="272" w:firstLine="10"/>
              <w:rPr>
                <w:sz w:val="18"/>
              </w:rPr>
            </w:pPr>
            <w:r>
              <w:rPr/>
              <mc:AlternateContent>
                <mc:Choice Requires="wps">
                  <w:drawing>
                    <wp:anchor distT="0" distB="0" distL="0" distR="0" allowOverlap="1" layoutInCell="1" locked="0" behindDoc="1" simplePos="0" relativeHeight="473154560">
                      <wp:simplePos x="0" y="0"/>
                      <wp:positionH relativeFrom="column">
                        <wp:posOffset>212194</wp:posOffset>
                      </wp:positionH>
                      <wp:positionV relativeFrom="paragraph">
                        <wp:posOffset>173977</wp:posOffset>
                      </wp:positionV>
                      <wp:extent cx="95250" cy="101600"/>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95250" cy="101600"/>
                                <a:chExt cx="95250" cy="101600"/>
                              </a:xfrm>
                            </wpg:grpSpPr>
                            <pic:pic>
                              <pic:nvPicPr>
                                <pic:cNvPr id="114" name="Image 114"/>
                                <pic:cNvPicPr/>
                              </pic:nvPicPr>
                              <pic:blipFill>
                                <a:blip r:embed="rId44" cstate="print"/>
                                <a:stretch>
                                  <a:fillRect/>
                                </a:stretch>
                              </pic:blipFill>
                              <pic:spPr>
                                <a:xfrm>
                                  <a:off x="0" y="0"/>
                                  <a:ext cx="95250" cy="101600"/>
                                </a:xfrm>
                                <a:prstGeom prst="rect">
                                  <a:avLst/>
                                </a:prstGeom>
                              </pic:spPr>
                            </pic:pic>
                          </wpg:wgp>
                        </a:graphicData>
                      </a:graphic>
                    </wp:anchor>
                  </w:drawing>
                </mc:Choice>
                <mc:Fallback>
                  <w:pict>
                    <v:group style="position:absolute;margin-left:16.708200pt;margin-top:13.699037pt;width:7.5pt;height:8pt;mso-position-horizontal-relative:column;mso-position-vertical-relative:paragraph;z-index:-30161920" id="docshapegroup22" coordorigin="334,274" coordsize="150,160">
                      <v:shape style="position:absolute;left:334;top:273;width:150;height:160" type="#_x0000_t75" id="docshape23" stroked="false">
                        <v:imagedata r:id="rId44" o:title=""/>
                      </v:shape>
                      <w10:wrap type="none"/>
                    </v:group>
                  </w:pict>
                </mc:Fallback>
              </mc:AlternateContent>
            </w:r>
            <w:r>
              <w:rPr>
                <w:position w:val="-3"/>
              </w:rPr>
              <w:drawing>
                <wp:inline distT="0" distB="0" distL="0" distR="0">
                  <wp:extent cx="95250" cy="95250"/>
                  <wp:effectExtent l="0" t="0" r="0" b="0"/>
                  <wp:docPr id="115" name="Image 115"/>
                  <wp:cNvGraphicFramePr>
                    <a:graphicFrameLocks/>
                  </wp:cNvGraphicFramePr>
                  <a:graphic>
                    <a:graphicData uri="http://schemas.openxmlformats.org/drawingml/2006/picture">
                      <pic:pic>
                        <pic:nvPicPr>
                          <pic:cNvPr id="115" name="Image 115"/>
                          <pic:cNvPicPr/>
                        </pic:nvPicPr>
                        <pic:blipFill>
                          <a:blip r:embed="rId43" cstate="print"/>
                          <a:stretch>
                            <a:fillRect/>
                          </a:stretch>
                        </pic:blipFill>
                        <pic:spPr>
                          <a:xfrm>
                            <a:off x="0" y="0"/>
                            <a:ext cx="95250" cy="95250"/>
                          </a:xfrm>
                          <a:prstGeom prst="rect">
                            <a:avLst/>
                          </a:prstGeom>
                        </pic:spPr>
                      </pic:pic>
                    </a:graphicData>
                  </a:graphic>
                </wp:inline>
              </w:drawing>
            </w:r>
            <w:r>
              <w:rPr>
                <w:position w:val="-3"/>
              </w:rPr>
            </w:r>
            <w:r>
              <w:rPr>
                <w:rFonts w:ascii="Times New Roman"/>
                <w:position w:val="-3"/>
                <w:sz w:val="20"/>
              </w:rPr>
              <w:tab/>
            </w:r>
            <w:r>
              <w:rPr>
                <w:rFonts w:ascii="Times New Roman"/>
                <w:position w:val="-3"/>
                <w:sz w:val="20"/>
              </w:rPr>
              <w:drawing>
                <wp:inline distT="0" distB="0" distL="0" distR="0">
                  <wp:extent cx="101600" cy="95250"/>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45" cstate="print"/>
                          <a:stretch>
                            <a:fillRect/>
                          </a:stretch>
                        </pic:blipFill>
                        <pic:spPr>
                          <a:xfrm>
                            <a:off x="0" y="0"/>
                            <a:ext cx="101600" cy="95250"/>
                          </a:xfrm>
                          <a:prstGeom prst="rect">
                            <a:avLst/>
                          </a:prstGeom>
                        </pic:spPr>
                      </pic:pic>
                    </a:graphicData>
                  </a:graphic>
                </wp:inline>
              </w:drawing>
            </w:r>
            <w:r>
              <w:rPr>
                <w:rFonts w:ascii="Times New Roman"/>
                <w:position w:val="-3"/>
                <w:sz w:val="20"/>
              </w:rPr>
            </w:r>
            <w:r>
              <w:rPr>
                <w:rFonts w:ascii="Times New Roman"/>
                <w:spacing w:val="40"/>
                <w:position w:val="-3"/>
                <w:sz w:val="20"/>
              </w:rPr>
              <w:t> </w:t>
            </w:r>
            <w:r>
              <w:rPr>
                <w:rFonts w:ascii="Times New Roman"/>
                <w:spacing w:val="4"/>
                <w:position w:val="-3"/>
                <w:sz w:val="20"/>
              </w:rPr>
              <w:drawing>
                <wp:inline distT="0" distB="0" distL="0" distR="0">
                  <wp:extent cx="101600" cy="95250"/>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46" cstate="print"/>
                          <a:stretch>
                            <a:fillRect/>
                          </a:stretch>
                        </pic:blipFill>
                        <pic:spPr>
                          <a:xfrm>
                            <a:off x="0" y="0"/>
                            <a:ext cx="101600" cy="95250"/>
                          </a:xfrm>
                          <a:prstGeom prst="rect">
                            <a:avLst/>
                          </a:prstGeom>
                        </pic:spPr>
                      </pic:pic>
                    </a:graphicData>
                  </a:graphic>
                </wp:inline>
              </w:drawing>
            </w:r>
            <w:r>
              <w:rPr>
                <w:rFonts w:ascii="Times New Roman"/>
                <w:spacing w:val="4"/>
                <w:position w:val="-3"/>
                <w:sz w:val="20"/>
              </w:rPr>
            </w:r>
            <w:r>
              <w:rPr>
                <w:rFonts w:ascii="Times New Roman"/>
                <w:spacing w:val="40"/>
                <w:position w:val="-3"/>
                <w:sz w:val="20"/>
              </w:rPr>
              <w:t> </w:t>
            </w:r>
            <w:r>
              <w:rPr>
                <w:rFonts w:ascii="Times New Roman"/>
                <w:spacing w:val="6"/>
                <w:position w:val="-3"/>
                <w:sz w:val="20"/>
              </w:rPr>
              <w:drawing>
                <wp:inline distT="0" distB="0" distL="0" distR="0">
                  <wp:extent cx="95250" cy="95250"/>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47" cstate="print"/>
                          <a:stretch>
                            <a:fillRect/>
                          </a:stretch>
                        </pic:blipFill>
                        <pic:spPr>
                          <a:xfrm>
                            <a:off x="0" y="0"/>
                            <a:ext cx="95250" cy="95250"/>
                          </a:xfrm>
                          <a:prstGeom prst="rect">
                            <a:avLst/>
                          </a:prstGeom>
                        </pic:spPr>
                      </pic:pic>
                    </a:graphicData>
                  </a:graphic>
                </wp:inline>
              </w:drawing>
            </w:r>
            <w:r>
              <w:rPr>
                <w:rFonts w:ascii="Times New Roman"/>
                <w:spacing w:val="6"/>
                <w:position w:val="-3"/>
                <w:sz w:val="20"/>
              </w:rPr>
            </w:r>
            <w:r>
              <w:rPr>
                <w:rFonts w:ascii="Times New Roman"/>
                <w:spacing w:val="40"/>
                <w:position w:val="-3"/>
                <w:sz w:val="20"/>
              </w:rPr>
              <w:t> </w:t>
            </w:r>
            <w:r>
              <w:rPr>
                <w:rFonts w:ascii="Times New Roman"/>
                <w:spacing w:val="-8"/>
                <w:position w:val="-3"/>
                <w:sz w:val="20"/>
              </w:rPr>
              <w:drawing>
                <wp:inline distT="0" distB="0" distL="0" distR="0">
                  <wp:extent cx="101600" cy="101600"/>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48" cstate="print"/>
                          <a:stretch>
                            <a:fillRect/>
                          </a:stretch>
                        </pic:blipFill>
                        <pic:spPr>
                          <a:xfrm>
                            <a:off x="0" y="0"/>
                            <a:ext cx="101600" cy="101600"/>
                          </a:xfrm>
                          <a:prstGeom prst="rect">
                            <a:avLst/>
                          </a:prstGeom>
                        </pic:spPr>
                      </pic:pic>
                    </a:graphicData>
                  </a:graphic>
                </wp:inline>
              </w:drawing>
            </w:r>
            <w:r>
              <w:rPr>
                <w:rFonts w:ascii="Times New Roman"/>
                <w:spacing w:val="-8"/>
                <w:position w:val="-3"/>
                <w:sz w:val="20"/>
              </w:rPr>
            </w:r>
            <w:r>
              <w:rPr>
                <w:rFonts w:ascii="Times New Roman"/>
                <w:spacing w:val="40"/>
                <w:sz w:val="20"/>
              </w:rPr>
              <w:t> </w:t>
            </w:r>
            <w:r>
              <w:rPr>
                <w:color w:val="231F20"/>
                <w:sz w:val="18"/>
              </w:rPr>
              <w:t>The charts display data that the monitoring agents have gathered from the systems where they are running. They can also show data from any</w:t>
            </w:r>
          </w:p>
          <w:p>
            <w:pPr>
              <w:pStyle w:val="TableParagraph"/>
              <w:spacing w:line="216" w:lineRule="auto" w:before="2"/>
              <w:ind w:left="60" w:right="272"/>
              <w:rPr>
                <w:sz w:val="18"/>
              </w:rPr>
            </w:pPr>
            <w:r>
              <w:rPr>
                <w:color w:val="231F20"/>
                <w:sz w:val="18"/>
              </w:rPr>
              <w:t>ODBC-compliant database you write a custom query for. See </w:t>
            </w:r>
            <w:hyperlink w:history="true" w:anchor="_bookmark79">
              <w:r>
                <w:rPr>
                  <w:color w:val="231F20"/>
                  <w:sz w:val="18"/>
                </w:rPr>
                <w:t>“Creating a new chart”</w:t>
              </w:r>
            </w:hyperlink>
            <w:r>
              <w:rPr>
                <w:color w:val="231F20"/>
                <w:sz w:val="18"/>
              </w:rPr>
              <w:t> </w:t>
            </w:r>
            <w:hyperlink w:history="true" w:anchor="_bookmark79">
              <w:r>
                <w:rPr>
                  <w:color w:val="231F20"/>
                  <w:sz w:val="18"/>
                </w:rPr>
                <w:t>on page 102.</w:t>
              </w:r>
            </w:hyperlink>
          </w:p>
          <w:p>
            <w:pPr>
              <w:pStyle w:val="TableParagraph"/>
              <w:spacing w:line="216" w:lineRule="auto" w:before="181"/>
              <w:ind w:left="60" w:right="272" w:firstLine="20"/>
              <w:rPr>
                <w:sz w:val="18"/>
              </w:rPr>
            </w:pPr>
            <w:r>
              <w:rPr>
                <w:position w:val="-3"/>
              </w:rPr>
              <w:drawing>
                <wp:inline distT="0" distB="0" distL="0" distR="0">
                  <wp:extent cx="82550" cy="101600"/>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49" cstate="print"/>
                          <a:stretch>
                            <a:fillRect/>
                          </a:stretch>
                        </pic:blipFill>
                        <pic:spPr>
                          <a:xfrm>
                            <a:off x="0" y="0"/>
                            <a:ext cx="82550" cy="10160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notepad view opens a simple text editor for writing text that can be saved with</w:t>
            </w:r>
            <w:r>
              <w:rPr>
                <w:color w:val="231F20"/>
                <w:spacing w:val="40"/>
                <w:sz w:val="18"/>
              </w:rPr>
              <w:t> </w:t>
            </w:r>
            <w:r>
              <w:rPr>
                <w:color w:val="231F20"/>
                <w:sz w:val="18"/>
              </w:rPr>
              <w:t>the workspace. See </w:t>
            </w:r>
            <w:hyperlink w:history="true" w:anchor="_bookmark123">
              <w:r>
                <w:rPr>
                  <w:color w:val="231F20"/>
                  <w:sz w:val="18"/>
                </w:rPr>
                <w:t>“Adding a notepad view” on page 166.</w:t>
              </w:r>
            </w:hyperlink>
          </w:p>
          <w:p>
            <w:pPr>
              <w:pStyle w:val="TableParagraph"/>
              <w:spacing w:line="216" w:lineRule="auto" w:before="181"/>
              <w:ind w:left="60" w:firstLine="10"/>
              <w:rPr>
                <w:sz w:val="18"/>
              </w:rPr>
            </w:pPr>
            <w:r>
              <w:rPr>
                <w:position w:val="-3"/>
              </w:rPr>
              <w:drawing>
                <wp:inline distT="0" distB="0" distL="0" distR="0">
                  <wp:extent cx="95250" cy="95250"/>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50" cstate="print"/>
                          <a:stretch>
                            <a:fillRect/>
                          </a:stretch>
                        </pic:blipFill>
                        <pic:spPr>
                          <a:xfrm>
                            <a:off x="0" y="0"/>
                            <a:ext cx="95250" cy="9525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table view displays data that the monitoring agents have gathered from the systems where they are running. See </w:t>
            </w:r>
            <w:hyperlink w:history="true" w:anchor="_bookmark74">
              <w:r>
                <w:rPr>
                  <w:color w:val="231F20"/>
                  <w:sz w:val="18"/>
                </w:rPr>
                <w:t>“Adding a table view” on page 97.</w:t>
              </w:r>
            </w:hyperlink>
          </w:p>
          <w:p>
            <w:pPr>
              <w:pStyle w:val="TableParagraph"/>
              <w:spacing w:line="216" w:lineRule="auto" w:before="182"/>
              <w:ind w:left="60" w:right="587"/>
              <w:jc w:val="both"/>
              <w:rPr>
                <w:sz w:val="18"/>
              </w:rPr>
            </w:pPr>
            <w:r>
              <w:rPr>
                <w:position w:val="-3"/>
              </w:rPr>
              <w:drawing>
                <wp:inline distT="0" distB="0" distL="0" distR="0">
                  <wp:extent cx="101600" cy="101600"/>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51" cstate="print"/>
                          <a:stretch>
                            <a:fillRect/>
                          </a:stretch>
                        </pic:blipFill>
                        <pic:spPr>
                          <a:xfrm>
                            <a:off x="0" y="0"/>
                            <a:ext cx="101600" cy="10160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message log shows the status of all situations distributed to the managed systems in your enterprise. (Your user ID requires View permission for the Event feature.) See </w:t>
            </w:r>
            <w:hyperlink w:history="true" w:anchor="_bookmark104">
              <w:r>
                <w:rPr>
                  <w:color w:val="231F20"/>
                  <w:sz w:val="18"/>
                </w:rPr>
                <w:t>“Adding a message log view” on page 140.</w:t>
              </w:r>
            </w:hyperlink>
          </w:p>
          <w:p>
            <w:pPr>
              <w:pStyle w:val="TableParagraph"/>
              <w:spacing w:line="216" w:lineRule="auto" w:before="182"/>
              <w:ind w:left="60" w:right="689"/>
              <w:jc w:val="both"/>
              <w:rPr>
                <w:sz w:val="18"/>
              </w:rPr>
            </w:pPr>
            <w:r>
              <w:rPr>
                <w:position w:val="-3"/>
              </w:rPr>
              <w:drawing>
                <wp:inline distT="0" distB="0" distL="0" distR="0">
                  <wp:extent cx="101600" cy="101600"/>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52" cstate="print"/>
                          <a:stretch>
                            <a:fillRect/>
                          </a:stretch>
                        </pic:blipFill>
                        <pic:spPr>
                          <a:xfrm>
                            <a:off x="0" y="0"/>
                            <a:ext cx="101600" cy="10160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universal message console view shows situation and policy activity, and messages received as the result of universal message generation. See </w:t>
            </w:r>
            <w:hyperlink w:history="true" w:anchor="_bookmark107">
              <w:r>
                <w:rPr>
                  <w:color w:val="231F20"/>
                  <w:sz w:val="18"/>
                </w:rPr>
                <w:t>“Adding a</w:t>
              </w:r>
            </w:hyperlink>
            <w:r>
              <w:rPr>
                <w:color w:val="231F20"/>
                <w:sz w:val="18"/>
              </w:rPr>
              <w:t> </w:t>
            </w:r>
            <w:hyperlink w:history="true" w:anchor="_bookmark107">
              <w:r>
                <w:rPr>
                  <w:color w:val="231F20"/>
                  <w:sz w:val="18"/>
                </w:rPr>
                <w:t>Universal Message Console view” on page 143.</w:t>
              </w:r>
            </w:hyperlink>
          </w:p>
          <w:p>
            <w:pPr>
              <w:pStyle w:val="TableParagraph"/>
              <w:spacing w:line="216" w:lineRule="auto" w:before="182"/>
              <w:ind w:left="60" w:right="272" w:firstLine="10"/>
              <w:rPr>
                <w:sz w:val="18"/>
              </w:rPr>
            </w:pPr>
            <w:r>
              <w:rPr>
                <w:position w:val="-3"/>
              </w:rPr>
              <w:drawing>
                <wp:inline distT="0" distB="0" distL="0" distR="0">
                  <wp:extent cx="95250" cy="95250"/>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53" cstate="print"/>
                          <a:stretch>
                            <a:fillRect/>
                          </a:stretch>
                        </pic:blipFill>
                        <pic:spPr>
                          <a:xfrm>
                            <a:off x="0" y="0"/>
                            <a:ext cx="95250" cy="9525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graphic view places Navigator items as icons on a map or picture of your choosing. (User ID requires View permission for the Event feature.) See </w:t>
            </w:r>
            <w:hyperlink w:history="true" w:anchor="_bookmark108">
              <w:r>
                <w:rPr>
                  <w:color w:val="231F20"/>
                  <w:sz w:val="18"/>
                </w:rPr>
                <w:t>“Adding a</w:t>
              </w:r>
            </w:hyperlink>
            <w:r>
              <w:rPr>
                <w:color w:val="231F20"/>
                <w:sz w:val="18"/>
              </w:rPr>
              <w:t> </w:t>
            </w:r>
            <w:hyperlink w:history="true" w:anchor="_bookmark108">
              <w:r>
                <w:rPr>
                  <w:color w:val="231F20"/>
                  <w:sz w:val="18"/>
                </w:rPr>
                <w:t>graphic view” on page 144.</w:t>
              </w:r>
            </w:hyperlink>
          </w:p>
          <w:p>
            <w:pPr>
              <w:pStyle w:val="TableParagraph"/>
              <w:spacing w:line="216" w:lineRule="auto" w:before="183"/>
              <w:ind w:left="60" w:firstLine="20"/>
              <w:rPr>
                <w:sz w:val="18"/>
              </w:rPr>
            </w:pPr>
            <w:r>
              <w:rPr>
                <w:position w:val="-2"/>
              </w:rPr>
              <w:drawing>
                <wp:inline distT="0" distB="0" distL="0" distR="0">
                  <wp:extent cx="76200" cy="95250"/>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54" cstate="print"/>
                          <a:stretch>
                            <a:fillRect/>
                          </a:stretch>
                        </pic:blipFill>
                        <pic:spPr>
                          <a:xfrm>
                            <a:off x="0" y="0"/>
                            <a:ext cx="76200" cy="95250"/>
                          </a:xfrm>
                          <a:prstGeom prst="rect">
                            <a:avLst/>
                          </a:prstGeom>
                        </pic:spPr>
                      </pic:pic>
                    </a:graphicData>
                  </a:graphic>
                </wp:inline>
              </w:drawing>
            </w:r>
            <w:r>
              <w:rPr>
                <w:position w:val="-2"/>
              </w:rPr>
            </w:r>
            <w:r>
              <w:rPr>
                <w:rFonts w:ascii="Times New Roman" w:hAnsi="Times New Roman"/>
                <w:spacing w:val="40"/>
                <w:sz w:val="20"/>
              </w:rPr>
              <w:t> </w:t>
            </w:r>
            <w:r>
              <w:rPr>
                <w:color w:val="231F20"/>
                <w:sz w:val="18"/>
              </w:rPr>
              <w:t>The action enables you to send a command to a managed system. (User ID requires</w:t>
            </w:r>
            <w:r>
              <w:rPr>
                <w:color w:val="231F20"/>
                <w:spacing w:val="40"/>
                <w:sz w:val="18"/>
              </w:rPr>
              <w:t> </w:t>
            </w:r>
            <w:r>
              <w:rPr>
                <w:color w:val="231F20"/>
                <w:sz w:val="18"/>
              </w:rPr>
              <w:t>View permission for the Action feature.) See </w:t>
            </w:r>
            <w:hyperlink w:history="true" w:anchor="_bookmark124">
              <w:r>
                <w:rPr>
                  <w:color w:val="231F20"/>
                  <w:sz w:val="18"/>
                </w:rPr>
                <w:t>“Creating a take action view” on page 167.</w:t>
              </w:r>
            </w:hyperlink>
          </w:p>
          <w:p>
            <w:pPr>
              <w:pStyle w:val="TableParagraph"/>
              <w:spacing w:line="216" w:lineRule="auto" w:before="181"/>
              <w:ind w:left="60" w:right="272" w:firstLine="10"/>
              <w:rPr>
                <w:sz w:val="18"/>
              </w:rPr>
            </w:pPr>
            <w:r>
              <w:rPr>
                <w:position w:val="-2"/>
              </w:rPr>
              <w:drawing>
                <wp:inline distT="0" distB="0" distL="0" distR="0">
                  <wp:extent cx="95250" cy="8890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55" cstate="print"/>
                          <a:stretch>
                            <a:fillRect/>
                          </a:stretch>
                        </pic:blipFill>
                        <pic:spPr>
                          <a:xfrm>
                            <a:off x="0" y="0"/>
                            <a:ext cx="95250" cy="88900"/>
                          </a:xfrm>
                          <a:prstGeom prst="rect">
                            <a:avLst/>
                          </a:prstGeom>
                        </pic:spPr>
                      </pic:pic>
                    </a:graphicData>
                  </a:graphic>
                </wp:inline>
              </w:drawing>
            </w:r>
            <w:r>
              <w:rPr>
                <w:position w:val="-2"/>
              </w:rPr>
            </w:r>
            <w:r>
              <w:rPr>
                <w:rFonts w:ascii="Times New Roman" w:hAnsi="Times New Roman"/>
                <w:spacing w:val="40"/>
                <w:sz w:val="20"/>
              </w:rPr>
              <w:t> </w:t>
            </w:r>
            <w:r>
              <w:rPr>
                <w:color w:val="231F20"/>
                <w:sz w:val="18"/>
              </w:rPr>
              <w:t>The terminal view starts a 3270, 5250, or Telnet session, and enables you to write scripts for working with z/OS</w:t>
            </w:r>
            <w:r>
              <w:rPr>
                <w:color w:val="231F20"/>
                <w:sz w:val="18"/>
                <w:vertAlign w:val="superscript"/>
              </w:rPr>
              <w:t>®</w:t>
            </w:r>
            <w:r>
              <w:rPr>
                <w:color w:val="231F20"/>
                <w:sz w:val="18"/>
                <w:vertAlign w:val="baseline"/>
              </w:rPr>
              <w:t> applications. See </w:t>
            </w:r>
            <w:hyperlink w:history="true" w:anchor="_bookmark125">
              <w:r>
                <w:rPr>
                  <w:color w:val="231F20"/>
                  <w:sz w:val="18"/>
                  <w:vertAlign w:val="baseline"/>
                </w:rPr>
                <w:t>“Adding a terminal view to the</w:t>
              </w:r>
            </w:hyperlink>
            <w:r>
              <w:rPr>
                <w:color w:val="231F20"/>
                <w:spacing w:val="40"/>
                <w:sz w:val="18"/>
                <w:vertAlign w:val="baseline"/>
              </w:rPr>
              <w:t> </w:t>
            </w:r>
            <w:hyperlink w:history="true" w:anchor="_bookmark125">
              <w:r>
                <w:rPr>
                  <w:color w:val="231F20"/>
                  <w:sz w:val="18"/>
                  <w:vertAlign w:val="baseline"/>
                </w:rPr>
                <w:t>workspace” on page 168.</w:t>
              </w:r>
            </w:hyperlink>
          </w:p>
          <w:p>
            <w:pPr>
              <w:pStyle w:val="TableParagraph"/>
              <w:spacing w:line="216" w:lineRule="auto" w:before="182"/>
              <w:ind w:left="60" w:right="644" w:firstLine="10"/>
              <w:jc w:val="both"/>
              <w:rPr>
                <w:sz w:val="18"/>
              </w:rPr>
            </w:pPr>
            <w:r>
              <w:rPr>
                <w:position w:val="-3"/>
              </w:rPr>
              <w:drawing>
                <wp:inline distT="0" distB="0" distL="0" distR="0">
                  <wp:extent cx="95250" cy="95250"/>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56" cstate="print"/>
                          <a:stretch>
                            <a:fillRect/>
                          </a:stretch>
                        </pic:blipFill>
                        <pic:spPr>
                          <a:xfrm>
                            <a:off x="0" y="0"/>
                            <a:ext cx="95250" cy="9525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browser view opens the integrated browser for accessing web pages. See </w:t>
            </w:r>
            <w:hyperlink w:history="true" w:anchor="_bookmark121">
              <w:r>
                <w:rPr>
                  <w:color w:val="231F20"/>
                  <w:sz w:val="18"/>
                </w:rPr>
                <w:t>“Creating a browser view” on page 164.</w:t>
              </w:r>
            </w:hyperlink>
          </w:p>
          <w:p>
            <w:pPr>
              <w:pStyle w:val="TableParagraph"/>
              <w:spacing w:line="216" w:lineRule="auto" w:before="182"/>
              <w:ind w:left="60" w:right="272" w:firstLine="10"/>
              <w:rPr>
                <w:sz w:val="18"/>
              </w:rPr>
            </w:pPr>
            <w:r>
              <w:rPr>
                <w:position w:val="-2"/>
              </w:rPr>
              <w:drawing>
                <wp:inline distT="0" distB="0" distL="0" distR="0">
                  <wp:extent cx="95250" cy="88900"/>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57" cstate="print"/>
                          <a:stretch>
                            <a:fillRect/>
                          </a:stretch>
                        </pic:blipFill>
                        <pic:spPr>
                          <a:xfrm>
                            <a:off x="0" y="0"/>
                            <a:ext cx="95250" cy="88900"/>
                          </a:xfrm>
                          <a:prstGeom prst="rect">
                            <a:avLst/>
                          </a:prstGeom>
                        </pic:spPr>
                      </pic:pic>
                    </a:graphicData>
                  </a:graphic>
                </wp:inline>
              </w:drawing>
            </w:r>
            <w:r>
              <w:rPr>
                <w:position w:val="-2"/>
              </w:rPr>
            </w:r>
            <w:r>
              <w:rPr>
                <w:rFonts w:ascii="Times New Roman" w:hAnsi="Times New Roman"/>
                <w:spacing w:val="40"/>
                <w:sz w:val="20"/>
              </w:rPr>
              <w:t> </w:t>
            </w:r>
            <w:r>
              <w:rPr>
                <w:color w:val="231F20"/>
                <w:sz w:val="18"/>
              </w:rPr>
              <w:t>The topology view can be added to a workspace to show the arrangement of monitored components associated with the Navigator item. See </w:t>
            </w:r>
            <w:hyperlink w:history="true" w:anchor="_bookmark99">
              <w:r>
                <w:rPr>
                  <w:color w:val="231F20"/>
                  <w:sz w:val="18"/>
                </w:rPr>
                <w:t>“Creating a topology</w:t>
              </w:r>
            </w:hyperlink>
            <w:r>
              <w:rPr>
                <w:color w:val="231F20"/>
                <w:sz w:val="18"/>
              </w:rPr>
              <w:t> </w:t>
            </w:r>
            <w:hyperlink w:history="true" w:anchor="_bookmark99">
              <w:r>
                <w:rPr>
                  <w:color w:val="231F20"/>
                  <w:sz w:val="18"/>
                </w:rPr>
                <w:t>view” on page 133.</w:t>
              </w:r>
            </w:hyperlink>
          </w:p>
          <w:p>
            <w:pPr>
              <w:pStyle w:val="TableParagraph"/>
              <w:spacing w:line="216" w:lineRule="auto" w:before="182"/>
              <w:ind w:left="60" w:right="155" w:firstLine="10"/>
              <w:rPr>
                <w:sz w:val="18"/>
              </w:rPr>
            </w:pPr>
            <w:r>
              <w:rPr>
                <w:position w:val="-3"/>
              </w:rPr>
              <w:drawing>
                <wp:inline distT="0" distB="0" distL="0" distR="0">
                  <wp:extent cx="95250" cy="95250"/>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58" cstate="print"/>
                          <a:stretch>
                            <a:fillRect/>
                          </a:stretch>
                        </pic:blipFill>
                        <pic:spPr>
                          <a:xfrm>
                            <a:off x="0" y="0"/>
                            <a:ext cx="95250" cy="9525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situation event console view shows the status of all situations associated with items on this branch of the Navigator view, and has tools for instant filtering and event handling. (Your user ID requires View permission for the Event feature.) See </w:t>
            </w:r>
            <w:hyperlink w:history="true" w:anchor="_bookmark113">
              <w:r>
                <w:rPr>
                  <w:color w:val="231F20"/>
                  <w:sz w:val="18"/>
                </w:rPr>
                <w:t>“Adding a</w:t>
              </w:r>
            </w:hyperlink>
            <w:r>
              <w:rPr>
                <w:color w:val="231F20"/>
                <w:sz w:val="18"/>
              </w:rPr>
              <w:t> </w:t>
            </w:r>
            <w:hyperlink w:history="true" w:anchor="_bookmark113">
              <w:r>
                <w:rPr>
                  <w:color w:val="231F20"/>
                  <w:sz w:val="18"/>
                </w:rPr>
                <w:t>situation event console view” on page 150.</w:t>
              </w:r>
            </w:hyperlink>
          </w:p>
          <w:p>
            <w:pPr>
              <w:pStyle w:val="TableParagraph"/>
              <w:spacing w:line="216" w:lineRule="auto" w:before="183"/>
              <w:ind w:left="60" w:right="272"/>
              <w:rPr>
                <w:sz w:val="18"/>
              </w:rPr>
            </w:pPr>
            <w:r>
              <w:rPr>
                <w:position w:val="-3"/>
              </w:rPr>
              <w:drawing>
                <wp:inline distT="0" distB="0" distL="0" distR="0">
                  <wp:extent cx="101600" cy="101600"/>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59" cstate="print"/>
                          <a:stretch>
                            <a:fillRect/>
                          </a:stretch>
                        </pic:blipFill>
                        <pic:spPr>
                          <a:xfrm>
                            <a:off x="0" y="0"/>
                            <a:ext cx="101600" cy="101600"/>
                          </a:xfrm>
                          <a:prstGeom prst="rect">
                            <a:avLst/>
                          </a:prstGeom>
                        </pic:spPr>
                      </pic:pic>
                    </a:graphicData>
                  </a:graphic>
                </wp:inline>
              </w:drawing>
            </w:r>
            <w:r>
              <w:rPr>
                <w:position w:val="-3"/>
              </w:rPr>
            </w:r>
            <w:r>
              <w:rPr>
                <w:rFonts w:ascii="Times New Roman" w:hAnsi="Times New Roman"/>
                <w:spacing w:val="40"/>
                <w:sz w:val="20"/>
              </w:rPr>
              <w:t> </w:t>
            </w:r>
            <w:r>
              <w:rPr>
                <w:color w:val="231F20"/>
                <w:sz w:val="18"/>
              </w:rPr>
              <w:t>The common event console view enables you to see events from the Tivoli Enterprise Monitoring Server in the same way as the situation event console, plus it incorporates events from IBM Tivoli Enterprise Console and IBM Tivoli Netcool/OMNIbus if your managed environment is configured for those servers. See </w:t>
            </w:r>
            <w:hyperlink w:history="true" w:anchor="_bookmark116">
              <w:r>
                <w:rPr>
                  <w:color w:val="231F20"/>
                  <w:sz w:val="18"/>
                </w:rPr>
                <w:t>“Adding a common event console view” on page 156.</w:t>
              </w:r>
            </w:hyperlink>
          </w:p>
          <w:p>
            <w:pPr>
              <w:pStyle w:val="TableParagraph"/>
              <w:spacing w:line="216" w:lineRule="auto" w:before="184"/>
              <w:ind w:left="60" w:right="184"/>
              <w:jc w:val="both"/>
              <w:rPr>
                <w:sz w:val="18"/>
              </w:rPr>
            </w:pPr>
            <w:r>
              <w:rPr>
                <w:position w:val="-2"/>
              </w:rPr>
              <w:drawing>
                <wp:inline distT="0" distB="0" distL="0" distR="0">
                  <wp:extent cx="95250" cy="95250"/>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60" cstate="print"/>
                          <a:stretch>
                            <a:fillRect/>
                          </a:stretch>
                        </pic:blipFill>
                        <pic:spPr>
                          <a:xfrm>
                            <a:off x="0" y="0"/>
                            <a:ext cx="95250" cy="95250"/>
                          </a:xfrm>
                          <a:prstGeom prst="rect">
                            <a:avLst/>
                          </a:prstGeom>
                        </pic:spPr>
                      </pic:pic>
                    </a:graphicData>
                  </a:graphic>
                </wp:inline>
              </w:drawing>
            </w:r>
            <w:r>
              <w:rPr>
                <w:position w:val="-2"/>
              </w:rPr>
            </w:r>
            <w:r>
              <w:rPr>
                <w:rFonts w:ascii="Times New Roman" w:hAnsi="Times New Roman"/>
                <w:spacing w:val="40"/>
                <w:sz w:val="20"/>
              </w:rPr>
              <w:t> </w:t>
            </w:r>
            <w:r>
              <w:rPr>
                <w:color w:val="231F20"/>
                <w:sz w:val="18"/>
              </w:rPr>
              <w:t>The IBM Tivoli Enterprise Console view displays events from the event server and can integrate them with situation events from the Tivoli Enterprise Monitoring Server. See </w:t>
            </w:r>
            <w:hyperlink w:history="true" w:anchor="_bookmark119">
              <w:r>
                <w:rPr>
                  <w:color w:val="231F20"/>
                  <w:sz w:val="18"/>
                </w:rPr>
                <w:t>“Adding a Tivoli Enterprise Console event viewer” on page 162.</w:t>
              </w:r>
            </w:hyperlink>
          </w:p>
        </w:tc>
      </w:tr>
      <w:tr>
        <w:trPr>
          <w:trHeight w:val="1371" w:hRule="atLeast"/>
        </w:trPr>
        <w:tc>
          <w:tcPr>
            <w:tcW w:w="2326" w:type="dxa"/>
          </w:tcPr>
          <w:p>
            <w:pPr>
              <w:pStyle w:val="TableParagraph"/>
              <w:ind w:left="44"/>
              <w:rPr>
                <w:sz w:val="18"/>
              </w:rPr>
            </w:pPr>
            <w:r>
              <w:rPr>
                <w:color w:val="231F20"/>
                <w:sz w:val="18"/>
              </w:rPr>
              <w:t>Links</w:t>
            </w:r>
            <w:r>
              <w:rPr>
                <w:color w:val="231F20"/>
                <w:spacing w:val="8"/>
                <w:sz w:val="18"/>
              </w:rPr>
              <w:t> </w:t>
            </w:r>
            <w:r>
              <w:rPr>
                <w:color w:val="231F20"/>
                <w:sz w:val="18"/>
              </w:rPr>
              <w:t>between</w:t>
            </w:r>
            <w:r>
              <w:rPr>
                <w:color w:val="231F20"/>
                <w:spacing w:val="8"/>
                <w:sz w:val="18"/>
              </w:rPr>
              <w:t> </w:t>
            </w:r>
            <w:r>
              <w:rPr>
                <w:color w:val="231F20"/>
                <w:spacing w:val="-2"/>
                <w:sz w:val="18"/>
              </w:rPr>
              <w:t>workspaces</w:t>
            </w:r>
          </w:p>
        </w:tc>
        <w:tc>
          <w:tcPr>
            <w:tcW w:w="7242" w:type="dxa"/>
          </w:tcPr>
          <w:p>
            <w:pPr>
              <w:pStyle w:val="TableParagraph"/>
              <w:spacing w:line="216" w:lineRule="auto" w:before="224"/>
              <w:ind w:left="60" w:right="155"/>
              <w:rPr>
                <w:sz w:val="18"/>
              </w:rPr>
            </w:pPr>
            <w:r>
              <w:rPr>
                <w:color w:val="231F20"/>
                <w:sz w:val="18"/>
              </w:rPr>
              <w:t>If you often go from one workspace to another, and from one Navigator view to</w:t>
            </w:r>
            <w:r>
              <w:rPr>
                <w:color w:val="231F20"/>
                <w:spacing w:val="80"/>
                <w:sz w:val="18"/>
              </w:rPr>
              <w:t> </w:t>
            </w:r>
            <w:r>
              <w:rPr>
                <w:color w:val="231F20"/>
                <w:sz w:val="18"/>
              </w:rPr>
              <w:t>another, you can build a link from one to the other to get there more quickly. You can also build links that originate from a query-based view or a graphic view and use relevant data from the source to determine the link target. See </w:t>
            </w:r>
            <w:hyperlink w:history="true" w:anchor="_bookmark59">
              <w:r>
                <w:rPr>
                  <w:color w:val="231F20"/>
                  <w:sz w:val="18"/>
                </w:rPr>
                <w:t>“Defining links between</w:t>
              </w:r>
            </w:hyperlink>
            <w:r>
              <w:rPr>
                <w:color w:val="231F20"/>
                <w:sz w:val="18"/>
              </w:rPr>
              <w:t> </w:t>
            </w:r>
            <w:hyperlink w:history="true" w:anchor="_bookmark59">
              <w:r>
                <w:rPr>
                  <w:color w:val="231F20"/>
                  <w:sz w:val="18"/>
                </w:rPr>
                <w:t>workspaces” on page 73.</w:t>
              </w:r>
            </w:hyperlink>
          </w:p>
        </w:tc>
      </w:tr>
    </w:tbl>
    <w:p>
      <w:pPr>
        <w:spacing w:after="0" w:line="216" w:lineRule="auto"/>
        <w:rPr>
          <w:sz w:val="18"/>
        </w:rPr>
        <w:sectPr>
          <w:pgSz w:w="12240" w:h="15840"/>
          <w:pgMar w:header="0" w:footer="736" w:top="1300" w:bottom="1734" w:left="1000" w:right="1060"/>
        </w:sectPr>
      </w:pPr>
    </w:p>
    <w:tbl>
      <w:tblPr>
        <w:tblW w:w="0" w:type="auto"/>
        <w:jc w:val="left"/>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26"/>
        <w:gridCol w:w="7242"/>
      </w:tblGrid>
      <w:tr>
        <w:trPr>
          <w:trHeight w:val="274" w:hRule="atLeast"/>
        </w:trPr>
        <w:tc>
          <w:tcPr>
            <w:tcW w:w="2326" w:type="dxa"/>
          </w:tcPr>
          <w:p>
            <w:pPr>
              <w:pStyle w:val="TableParagraph"/>
              <w:spacing w:before="10"/>
              <w:ind w:left="44"/>
              <w:rPr>
                <w:rFonts w:ascii="Book Antiqua"/>
                <w:b/>
                <w:sz w:val="18"/>
              </w:rPr>
            </w:pPr>
            <w:r>
              <w:rPr>
                <w:rFonts w:ascii="Book Antiqua"/>
                <w:b/>
                <w:color w:val="231F20"/>
                <w:spacing w:val="-2"/>
                <w:sz w:val="18"/>
              </w:rPr>
              <w:t>Feature</w:t>
            </w:r>
          </w:p>
        </w:tc>
        <w:tc>
          <w:tcPr>
            <w:tcW w:w="7242"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2025" w:hRule="atLeast"/>
        </w:trPr>
        <w:tc>
          <w:tcPr>
            <w:tcW w:w="2326" w:type="dxa"/>
          </w:tcPr>
          <w:p>
            <w:pPr>
              <w:pStyle w:val="TableParagraph"/>
              <w:spacing w:line="216" w:lineRule="auto" w:before="44"/>
              <w:ind w:left="44"/>
              <w:rPr>
                <w:sz w:val="18"/>
              </w:rPr>
            </w:pPr>
            <w:r>
              <w:rPr>
                <w:color w:val="231F20"/>
                <w:sz w:val="18"/>
              </w:rPr>
              <w:t>Configuring</w:t>
            </w:r>
            <w:r>
              <w:rPr>
                <w:color w:val="231F20"/>
                <w:spacing w:val="-6"/>
                <w:sz w:val="18"/>
              </w:rPr>
              <w:t> </w:t>
            </w:r>
            <w:r>
              <w:rPr>
                <w:color w:val="231F20"/>
                <w:sz w:val="18"/>
              </w:rPr>
              <w:t>historical</w:t>
            </w:r>
            <w:r>
              <w:rPr>
                <w:color w:val="231F20"/>
                <w:spacing w:val="-7"/>
                <w:sz w:val="18"/>
              </w:rPr>
              <w:t> </w:t>
            </w:r>
            <w:r>
              <w:rPr>
                <w:color w:val="231F20"/>
                <w:sz w:val="18"/>
              </w:rPr>
              <w:t>data </w:t>
            </w:r>
            <w:r>
              <w:rPr>
                <w:color w:val="231F20"/>
                <w:spacing w:val="-2"/>
                <w:sz w:val="18"/>
              </w:rPr>
              <w:t>collection</w:t>
            </w:r>
          </w:p>
        </w:tc>
        <w:tc>
          <w:tcPr>
            <w:tcW w:w="7242" w:type="dxa"/>
          </w:tcPr>
          <w:p>
            <w:pPr>
              <w:pStyle w:val="TableParagraph"/>
              <w:spacing w:line="216" w:lineRule="auto" w:before="224"/>
              <w:ind w:left="60" w:right="155"/>
              <w:rPr>
                <w:sz w:val="18"/>
              </w:rPr>
            </w:pPr>
            <w:r>
              <w:rPr>
                <w:color w:val="231F20"/>
                <w:sz w:val="18"/>
              </w:rPr>
              <w:t>Configure IBM Tivoli Monitoring to retain data samplings in history files and, if you have the Tivoli Data Warehouse configured, roll off to a historical database at selected intervals, from every 15 minutes to once a day. In chart and table views you can then look over what happened hours or days ago, or as far back as you have data stored to</w:t>
            </w:r>
            <w:r>
              <w:rPr>
                <w:color w:val="231F20"/>
                <w:spacing w:val="40"/>
                <w:sz w:val="18"/>
              </w:rPr>
              <w:t> </w:t>
            </w:r>
            <w:r>
              <w:rPr>
                <w:color w:val="231F20"/>
                <w:sz w:val="18"/>
              </w:rPr>
              <w:t>find a pattern, and you can filter out unwanted data to speed up data retrieval and to</w:t>
            </w:r>
            <w:r>
              <w:rPr>
                <w:color w:val="231F20"/>
                <w:spacing w:val="40"/>
                <w:sz w:val="18"/>
              </w:rPr>
              <w:t> </w:t>
            </w:r>
            <w:r>
              <w:rPr>
                <w:color w:val="231F20"/>
                <w:sz w:val="18"/>
              </w:rPr>
              <w:t>show specific areas of interest. Pruning and summarization features enable you to keep the data stored on the warehouse at a manageable level. See </w:t>
            </w:r>
            <w:hyperlink w:history="true" w:anchor="_bookmark156">
              <w:r>
                <w:rPr>
                  <w:color w:val="231F20"/>
                  <w:sz w:val="18"/>
                </w:rPr>
                <w:t>“Historical collection</w:t>
              </w:r>
            </w:hyperlink>
            <w:r>
              <w:rPr>
                <w:color w:val="231F20"/>
                <w:sz w:val="18"/>
              </w:rPr>
              <w:t> </w:t>
            </w:r>
            <w:hyperlink w:history="true" w:anchor="_bookmark156">
              <w:r>
                <w:rPr>
                  <w:color w:val="231F20"/>
                  <w:sz w:val="18"/>
                </w:rPr>
                <w:t>configuration” on page 217.</w:t>
              </w:r>
            </w:hyperlink>
          </w:p>
        </w:tc>
      </w:tr>
      <w:tr>
        <w:trPr>
          <w:trHeight w:val="2863" w:hRule="atLeast"/>
        </w:trPr>
        <w:tc>
          <w:tcPr>
            <w:tcW w:w="2326" w:type="dxa"/>
          </w:tcPr>
          <w:p>
            <w:pPr>
              <w:pStyle w:val="TableParagraph"/>
              <w:ind w:left="44"/>
              <w:rPr>
                <w:sz w:val="18"/>
              </w:rPr>
            </w:pPr>
            <w:r>
              <w:rPr>
                <w:color w:val="231F20"/>
                <w:sz w:val="18"/>
              </w:rPr>
              <w:t>Creating</w:t>
            </w:r>
            <w:r>
              <w:rPr>
                <w:color w:val="231F20"/>
                <w:spacing w:val="5"/>
                <w:sz w:val="18"/>
              </w:rPr>
              <w:t> </w:t>
            </w:r>
            <w:r>
              <w:rPr>
                <w:color w:val="231F20"/>
                <w:sz w:val="18"/>
              </w:rPr>
              <w:t>custom</w:t>
            </w:r>
            <w:r>
              <w:rPr>
                <w:color w:val="231F20"/>
                <w:spacing w:val="6"/>
                <w:sz w:val="18"/>
              </w:rPr>
              <w:t> </w:t>
            </w:r>
            <w:r>
              <w:rPr>
                <w:color w:val="231F20"/>
                <w:spacing w:val="-2"/>
                <w:sz w:val="18"/>
              </w:rPr>
              <w:t>queries</w:t>
            </w:r>
          </w:p>
        </w:tc>
        <w:tc>
          <w:tcPr>
            <w:tcW w:w="7242" w:type="dxa"/>
          </w:tcPr>
          <w:p>
            <w:pPr>
              <w:pStyle w:val="TableParagraph"/>
              <w:spacing w:line="216" w:lineRule="auto" w:before="224"/>
              <w:ind w:left="60" w:right="272"/>
              <w:rPr>
                <w:sz w:val="18"/>
              </w:rPr>
            </w:pPr>
            <w:r>
              <w:rPr>
                <w:color w:val="231F20"/>
                <w:sz w:val="18"/>
              </w:rPr>
              <w:t>Every monitoring agent comes with a set of predefined queries for every attribute group. These queries tell the monitoring server what monitoring data to retrieve from the monitoring agent to display in a chart or table view. You can create your own queries to specify exactly which attributes to retrieve to the table or chart. This saves valuable resources by retrieving only the data you want and nothing more. For example, you can use filters in the query to retrieve only the records with a file size</w:t>
            </w:r>
            <w:r>
              <w:rPr>
                <w:color w:val="231F20"/>
                <w:spacing w:val="80"/>
                <w:sz w:val="18"/>
              </w:rPr>
              <w:t> </w:t>
            </w:r>
            <w:r>
              <w:rPr>
                <w:color w:val="231F20"/>
                <w:sz w:val="18"/>
              </w:rPr>
              <w:t>that is greater than five megabytes.</w:t>
            </w:r>
          </w:p>
          <w:p>
            <w:pPr>
              <w:pStyle w:val="TableParagraph"/>
              <w:spacing w:line="216" w:lineRule="auto" w:before="186"/>
              <w:ind w:left="60" w:right="155"/>
              <w:rPr>
                <w:sz w:val="18"/>
              </w:rPr>
            </w:pPr>
            <w:r>
              <w:rPr>
                <w:color w:val="231F20"/>
                <w:sz w:val="18"/>
              </w:rPr>
              <w:t>Additionally, you can write SQL queries to ODBC data sources and apply the results to any chart or table. This enables you to show Tivoli data and data from other sources (such as third-party databases) in a single workspace. See </w:t>
            </w:r>
            <w:hyperlink w:history="true" w:anchor="_bookmark139">
              <w:r>
                <w:rPr>
                  <w:color w:val="231F20"/>
                  <w:sz w:val="18"/>
                </w:rPr>
                <w:t>Chapter</w:t>
              </w:r>
              <w:r>
                <w:rPr>
                  <w:color w:val="231F20"/>
                  <w:spacing w:val="-4"/>
                  <w:sz w:val="18"/>
                </w:rPr>
                <w:t> </w:t>
              </w:r>
              <w:r>
                <w:rPr>
                  <w:color w:val="231F20"/>
                  <w:sz w:val="18"/>
                </w:rPr>
                <w:t>7, “Custom queries,”</w:t>
              </w:r>
            </w:hyperlink>
            <w:r>
              <w:rPr>
                <w:color w:val="231F20"/>
                <w:sz w:val="18"/>
              </w:rPr>
              <w:t> </w:t>
            </w:r>
            <w:hyperlink w:history="true" w:anchor="_bookmark139">
              <w:r>
                <w:rPr>
                  <w:color w:val="231F20"/>
                  <w:sz w:val="18"/>
                </w:rPr>
                <w:t>on page 197.</w:t>
              </w:r>
            </w:hyperlink>
          </w:p>
        </w:tc>
      </w:tr>
      <w:tr>
        <w:trPr>
          <w:trHeight w:val="1147" w:hRule="atLeast"/>
        </w:trPr>
        <w:tc>
          <w:tcPr>
            <w:tcW w:w="2326" w:type="dxa"/>
          </w:tcPr>
          <w:p>
            <w:pPr>
              <w:pStyle w:val="TableParagraph"/>
              <w:ind w:left="44"/>
              <w:rPr>
                <w:sz w:val="18"/>
              </w:rPr>
            </w:pPr>
            <w:r>
              <w:rPr>
                <w:color w:val="231F20"/>
                <w:spacing w:val="-2"/>
                <w:sz w:val="18"/>
              </w:rPr>
              <w:t>Take</w:t>
            </w:r>
            <w:r>
              <w:rPr>
                <w:color w:val="231F20"/>
                <w:spacing w:val="-5"/>
                <w:sz w:val="18"/>
              </w:rPr>
              <w:t> </w:t>
            </w:r>
            <w:r>
              <w:rPr>
                <w:color w:val="231F20"/>
                <w:spacing w:val="-2"/>
                <w:sz w:val="18"/>
              </w:rPr>
              <w:t>Action</w:t>
            </w:r>
          </w:p>
        </w:tc>
        <w:tc>
          <w:tcPr>
            <w:tcW w:w="7242" w:type="dxa"/>
          </w:tcPr>
          <w:p>
            <w:pPr>
              <w:pStyle w:val="TableParagraph"/>
              <w:spacing w:line="216" w:lineRule="auto" w:before="224"/>
              <w:ind w:left="60"/>
              <w:rPr>
                <w:sz w:val="18"/>
              </w:rPr>
            </w:pPr>
            <w:r>
              <w:rPr>
                <w:color w:val="231F20"/>
                <w:sz w:val="18"/>
              </w:rPr>
              <w:t>The take action feature lets you enter a command or select from one of the predefined commands for your product and run it on any system in your managed network either manually or automatically in response to reported conditions. See </w:t>
            </w:r>
            <w:hyperlink w:history="true" w:anchor="_bookmark264">
              <w:r>
                <w:rPr>
                  <w:color w:val="231F20"/>
                  <w:sz w:val="18"/>
                </w:rPr>
                <w:t>“Take action</w:t>
              </w:r>
            </w:hyperlink>
            <w:r>
              <w:rPr>
                <w:color w:val="231F20"/>
                <w:sz w:val="18"/>
              </w:rPr>
              <w:t> </w:t>
            </w:r>
            <w:hyperlink w:history="true" w:anchor="_bookmark264">
              <w:r>
                <w:rPr>
                  <w:color w:val="231F20"/>
                  <w:sz w:val="18"/>
                </w:rPr>
                <w:t>commands” on page 353.</w:t>
              </w:r>
            </w:hyperlink>
          </w:p>
        </w:tc>
      </w:tr>
      <w:tr>
        <w:trPr>
          <w:trHeight w:val="1147" w:hRule="atLeast"/>
        </w:trPr>
        <w:tc>
          <w:tcPr>
            <w:tcW w:w="2326" w:type="dxa"/>
          </w:tcPr>
          <w:p>
            <w:pPr>
              <w:pStyle w:val="TableParagraph"/>
              <w:ind w:left="44"/>
              <w:rPr>
                <w:sz w:val="18"/>
              </w:rPr>
            </w:pPr>
            <w:r>
              <w:rPr>
                <w:color w:val="231F20"/>
                <w:sz w:val="18"/>
              </w:rPr>
              <w:t>Launch</w:t>
            </w:r>
            <w:r>
              <w:rPr>
                <w:color w:val="231F20"/>
                <w:spacing w:val="2"/>
                <w:sz w:val="18"/>
              </w:rPr>
              <w:t> </w:t>
            </w:r>
            <w:r>
              <w:rPr>
                <w:color w:val="231F20"/>
                <w:spacing w:val="-2"/>
                <w:sz w:val="18"/>
              </w:rPr>
              <w:t>Application</w:t>
            </w:r>
          </w:p>
        </w:tc>
        <w:tc>
          <w:tcPr>
            <w:tcW w:w="7242" w:type="dxa"/>
          </w:tcPr>
          <w:p>
            <w:pPr>
              <w:pStyle w:val="TableParagraph"/>
              <w:spacing w:line="216" w:lineRule="auto" w:before="224"/>
              <w:ind w:left="60" w:right="272"/>
              <w:rPr>
                <w:sz w:val="18"/>
              </w:rPr>
            </w:pPr>
            <w:r>
              <w:rPr>
                <w:color w:val="231F20"/>
                <w:sz w:val="18"/>
              </w:rPr>
              <w:t>The launch application feature enables you to write definitions that start applications on your computer. A launch definition can include arguments that are passed to the application when it is started. You can invoke a definition at any time from the portal interface to launch the specified application. See </w:t>
            </w:r>
            <w:hyperlink w:history="true" w:anchor="_bookmark268">
              <w:r>
                <w:rPr>
                  <w:color w:val="231F20"/>
                  <w:sz w:val="18"/>
                </w:rPr>
                <w:t>“Launch application” on page 357.</w:t>
              </w:r>
            </w:hyperlink>
          </w:p>
        </w:tc>
      </w:tr>
      <w:tr>
        <w:trPr>
          <w:trHeight w:val="1147" w:hRule="atLeast"/>
        </w:trPr>
        <w:tc>
          <w:tcPr>
            <w:tcW w:w="2326" w:type="dxa"/>
          </w:tcPr>
          <w:p>
            <w:pPr>
              <w:pStyle w:val="TableParagraph"/>
              <w:ind w:left="44"/>
              <w:rPr>
                <w:sz w:val="18"/>
              </w:rPr>
            </w:pPr>
            <w:r>
              <w:rPr>
                <w:color w:val="231F20"/>
                <w:sz w:val="18"/>
              </w:rPr>
              <w:t>Condition-based </w:t>
            </w:r>
            <w:r>
              <w:rPr>
                <w:color w:val="231F20"/>
                <w:spacing w:val="-2"/>
                <w:sz w:val="18"/>
              </w:rPr>
              <w:t>alerts</w:t>
            </w:r>
          </w:p>
        </w:tc>
        <w:tc>
          <w:tcPr>
            <w:tcW w:w="7242" w:type="dxa"/>
          </w:tcPr>
          <w:p>
            <w:pPr>
              <w:pStyle w:val="TableParagraph"/>
              <w:spacing w:line="216" w:lineRule="auto" w:before="224"/>
              <w:ind w:left="60" w:right="272"/>
              <w:rPr>
                <w:sz w:val="18"/>
              </w:rPr>
            </w:pPr>
            <w:r>
              <w:rPr>
                <w:color w:val="231F20"/>
                <w:sz w:val="18"/>
              </w:rPr>
              <w:t>You can define conditions that are tested against monitored data at regular intervals. When matching values (or values that fall within a specified range) are found, a situation event is open and a visual indicator alerts you. You can automate a response</w:t>
            </w:r>
            <w:r>
              <w:rPr>
                <w:color w:val="231F20"/>
                <w:spacing w:val="40"/>
                <w:sz w:val="18"/>
              </w:rPr>
              <w:t> </w:t>
            </w:r>
            <w:r>
              <w:rPr>
                <w:color w:val="231F20"/>
                <w:sz w:val="18"/>
              </w:rPr>
              <w:t>to the event. See </w:t>
            </w:r>
            <w:hyperlink w:history="true" w:anchor="_bookmark181">
              <w:r>
                <w:rPr>
                  <w:color w:val="231F20"/>
                  <w:sz w:val="18"/>
                </w:rPr>
                <w:t>Chapter 10, “Situations for event monitoring,” on page 249.</w:t>
              </w:r>
            </w:hyperlink>
          </w:p>
        </w:tc>
      </w:tr>
      <w:tr>
        <w:trPr>
          <w:trHeight w:val="1546" w:hRule="atLeast"/>
        </w:trPr>
        <w:tc>
          <w:tcPr>
            <w:tcW w:w="2326" w:type="dxa"/>
          </w:tcPr>
          <w:p>
            <w:pPr>
              <w:pStyle w:val="TableParagraph"/>
              <w:spacing w:line="216" w:lineRule="auto" w:before="44"/>
              <w:ind w:left="44" w:right="107"/>
              <w:rPr>
                <w:sz w:val="18"/>
              </w:rPr>
            </w:pPr>
            <w:r>
              <w:rPr>
                <w:color w:val="231F20"/>
                <w:sz w:val="18"/>
              </w:rPr>
              <w:t>Object groups and managed</w:t>
            </w:r>
            <w:r>
              <w:rPr>
                <w:color w:val="231F20"/>
                <w:spacing w:val="-7"/>
                <w:sz w:val="18"/>
              </w:rPr>
              <w:t> </w:t>
            </w:r>
            <w:r>
              <w:rPr>
                <w:color w:val="231F20"/>
                <w:sz w:val="18"/>
              </w:rPr>
              <w:t>system</w:t>
            </w:r>
            <w:r>
              <w:rPr>
                <w:color w:val="231F20"/>
                <w:spacing w:val="-7"/>
                <w:sz w:val="18"/>
              </w:rPr>
              <w:t> </w:t>
            </w:r>
            <w:r>
              <w:rPr>
                <w:color w:val="231F20"/>
                <w:sz w:val="18"/>
              </w:rPr>
              <w:t>groups</w:t>
            </w:r>
          </w:p>
        </w:tc>
        <w:tc>
          <w:tcPr>
            <w:tcW w:w="7242" w:type="dxa"/>
          </w:tcPr>
          <w:p>
            <w:pPr>
              <w:pStyle w:val="TableParagraph"/>
              <w:spacing w:line="216" w:lineRule="auto" w:before="224"/>
              <w:ind w:left="60" w:right="272"/>
              <w:rPr>
                <w:sz w:val="18"/>
              </w:rPr>
            </w:pPr>
            <w:r>
              <w:rPr>
                <w:color w:val="231F20"/>
                <w:sz w:val="18"/>
              </w:rPr>
              <w:t>The object group editor enables you to create named lists of managed systems, historical data collection distribution lists, and situation lists.</w:t>
            </w:r>
          </w:p>
          <w:p>
            <w:pPr>
              <w:pStyle w:val="TableParagraph"/>
              <w:spacing w:line="216" w:lineRule="auto" w:before="181"/>
              <w:ind w:left="60"/>
              <w:rPr>
                <w:sz w:val="18"/>
              </w:rPr>
            </w:pPr>
            <w:r>
              <w:rPr>
                <w:color w:val="231F20"/>
                <w:sz w:val="18"/>
              </w:rPr>
              <w:t>You can create and maintain named lists of managed systems that can be applied to situation distribution lists, queries, custom Navigator managed system assignments, policies correlated by business application group. See </w:t>
            </w:r>
            <w:hyperlink w:history="true" w:anchor="_bookmark288">
              <w:r>
                <w:rPr>
                  <w:color w:val="231F20"/>
                  <w:sz w:val="18"/>
                </w:rPr>
                <w:t>“Grouping objects” on page 381.</w:t>
              </w:r>
            </w:hyperlink>
          </w:p>
        </w:tc>
      </w:tr>
      <w:tr>
        <w:trPr>
          <w:trHeight w:val="927" w:hRule="atLeast"/>
        </w:trPr>
        <w:tc>
          <w:tcPr>
            <w:tcW w:w="2326" w:type="dxa"/>
          </w:tcPr>
          <w:p>
            <w:pPr>
              <w:pStyle w:val="TableParagraph"/>
              <w:ind w:left="44"/>
              <w:rPr>
                <w:sz w:val="18"/>
              </w:rPr>
            </w:pPr>
            <w:r>
              <w:rPr>
                <w:color w:val="231F20"/>
                <w:sz w:val="18"/>
              </w:rPr>
              <w:t>User</w:t>
            </w:r>
            <w:r>
              <w:rPr>
                <w:color w:val="231F20"/>
                <w:spacing w:val="10"/>
                <w:sz w:val="18"/>
              </w:rPr>
              <w:t> </w:t>
            </w:r>
            <w:r>
              <w:rPr>
                <w:color w:val="231F20"/>
                <w:spacing w:val="-2"/>
                <w:sz w:val="18"/>
              </w:rPr>
              <w:t>administration</w:t>
            </w:r>
          </w:p>
        </w:tc>
        <w:tc>
          <w:tcPr>
            <w:tcW w:w="7242" w:type="dxa"/>
          </w:tcPr>
          <w:p>
            <w:pPr>
              <w:pStyle w:val="TableParagraph"/>
              <w:spacing w:line="216" w:lineRule="auto" w:before="224"/>
              <w:ind w:left="60" w:right="272"/>
              <w:rPr>
                <w:sz w:val="18"/>
              </w:rPr>
            </w:pPr>
            <w:r>
              <w:rPr>
                <w:color w:val="231F20"/>
                <w:sz w:val="18"/>
              </w:rPr>
              <w:t>The user administration feature is for adding and maintaining user IDs and user groups, assigning permissions for the major features, and restricting access to specific managed systems and Navigator views. See </w:t>
            </w:r>
            <w:hyperlink w:history="true" w:anchor="_bookmark279">
              <w:r>
                <w:rPr>
                  <w:color w:val="231F20"/>
                  <w:sz w:val="18"/>
                </w:rPr>
                <w:t>“Administer Users” on page 370.</w:t>
              </w:r>
            </w:hyperlink>
          </w:p>
        </w:tc>
      </w:tr>
      <w:tr>
        <w:trPr>
          <w:trHeight w:val="1371" w:hRule="atLeast"/>
        </w:trPr>
        <w:tc>
          <w:tcPr>
            <w:tcW w:w="2326" w:type="dxa"/>
          </w:tcPr>
          <w:p>
            <w:pPr>
              <w:pStyle w:val="TableParagraph"/>
              <w:ind w:left="44"/>
              <w:rPr>
                <w:sz w:val="18"/>
              </w:rPr>
            </w:pPr>
            <w:r>
              <w:rPr>
                <w:color w:val="231F20"/>
                <w:sz w:val="18"/>
              </w:rPr>
              <w:t>Customizing</w:t>
            </w:r>
            <w:r>
              <w:rPr>
                <w:color w:val="231F20"/>
                <w:spacing w:val="7"/>
                <w:sz w:val="18"/>
              </w:rPr>
              <w:t> </w:t>
            </w:r>
            <w:r>
              <w:rPr>
                <w:color w:val="231F20"/>
                <w:sz w:val="18"/>
              </w:rPr>
              <w:t>the</w:t>
            </w:r>
            <w:r>
              <w:rPr>
                <w:color w:val="231F20"/>
                <w:spacing w:val="8"/>
                <w:sz w:val="18"/>
              </w:rPr>
              <w:t> </w:t>
            </w:r>
            <w:r>
              <w:rPr>
                <w:color w:val="231F20"/>
                <w:spacing w:val="-2"/>
                <w:sz w:val="18"/>
              </w:rPr>
              <w:t>Navigator</w:t>
            </w:r>
          </w:p>
        </w:tc>
        <w:tc>
          <w:tcPr>
            <w:tcW w:w="7242" w:type="dxa"/>
          </w:tcPr>
          <w:p>
            <w:pPr>
              <w:pStyle w:val="TableParagraph"/>
              <w:spacing w:line="216" w:lineRule="auto" w:before="224"/>
              <w:ind w:left="60" w:right="155"/>
              <w:rPr>
                <w:sz w:val="18"/>
              </w:rPr>
            </w:pPr>
            <w:r>
              <w:rPr>
                <w:color w:val="231F20"/>
                <w:sz w:val="18"/>
              </w:rPr>
              <w:t>The portal interface comes with the Navigator Physical view, which organizes your managed enterprise by operating platform and agent type, and the Navigator Logical view, which initially shows one Navigator item. You can also define Navigator views</w:t>
            </w:r>
            <w:r>
              <w:rPr>
                <w:color w:val="231F20"/>
                <w:spacing w:val="40"/>
                <w:sz w:val="18"/>
              </w:rPr>
              <w:t> </w:t>
            </w:r>
            <w:r>
              <w:rPr>
                <w:color w:val="231F20"/>
                <w:sz w:val="18"/>
              </w:rPr>
              <w:t>for any logical grouping, such as a departmental or site hierarchy. See </w:t>
            </w:r>
            <w:hyperlink w:history="true" w:anchor="_bookmark175">
              <w:r>
                <w:rPr>
                  <w:color w:val="231F20"/>
                  <w:sz w:val="18"/>
                </w:rPr>
                <w:t>“Edit Navigator</w:t>
              </w:r>
            </w:hyperlink>
            <w:r>
              <w:rPr>
                <w:color w:val="231F20"/>
                <w:sz w:val="18"/>
              </w:rPr>
              <w:t> </w:t>
            </w:r>
            <w:hyperlink w:history="true" w:anchor="_bookmark175">
              <w:r>
                <w:rPr>
                  <w:color w:val="231F20"/>
                  <w:sz w:val="18"/>
                </w:rPr>
                <w:t>view” on page 241.</w:t>
              </w:r>
            </w:hyperlink>
          </w:p>
        </w:tc>
      </w:tr>
    </w:tbl>
    <w:p>
      <w:pPr>
        <w:spacing w:after="0" w:line="216" w:lineRule="auto"/>
        <w:rPr>
          <w:sz w:val="18"/>
        </w:rPr>
        <w:sectPr>
          <w:type w:val="continuous"/>
          <w:pgSz w:w="12240" w:h="15840"/>
          <w:pgMar w:header="0" w:footer="736" w:top="1300" w:bottom="1855" w:left="1000" w:right="1060"/>
        </w:sect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26"/>
        <w:gridCol w:w="7242"/>
      </w:tblGrid>
      <w:tr>
        <w:trPr>
          <w:trHeight w:val="274" w:hRule="atLeast"/>
        </w:trPr>
        <w:tc>
          <w:tcPr>
            <w:tcW w:w="2326" w:type="dxa"/>
          </w:tcPr>
          <w:p>
            <w:pPr>
              <w:pStyle w:val="TableParagraph"/>
              <w:spacing w:before="10"/>
              <w:ind w:left="44"/>
              <w:rPr>
                <w:rFonts w:ascii="Book Antiqua"/>
                <w:b/>
                <w:sz w:val="18"/>
              </w:rPr>
            </w:pPr>
            <w:r>
              <w:rPr>
                <w:rFonts w:ascii="Book Antiqua"/>
                <w:b/>
                <w:color w:val="231F20"/>
                <w:spacing w:val="-2"/>
                <w:sz w:val="18"/>
              </w:rPr>
              <w:t>Feature</w:t>
            </w:r>
          </w:p>
        </w:tc>
        <w:tc>
          <w:tcPr>
            <w:tcW w:w="7242"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1147" w:hRule="atLeast"/>
        </w:trPr>
        <w:tc>
          <w:tcPr>
            <w:tcW w:w="2326" w:type="dxa"/>
          </w:tcPr>
          <w:p>
            <w:pPr>
              <w:pStyle w:val="TableParagraph"/>
              <w:ind w:left="44"/>
              <w:rPr>
                <w:sz w:val="18"/>
              </w:rPr>
            </w:pPr>
            <w:r>
              <w:rPr>
                <w:color w:val="231F20"/>
                <w:spacing w:val="-2"/>
                <w:sz w:val="18"/>
              </w:rPr>
              <w:t>Policies</w:t>
            </w:r>
          </w:p>
        </w:tc>
        <w:tc>
          <w:tcPr>
            <w:tcW w:w="7242" w:type="dxa"/>
          </w:tcPr>
          <w:p>
            <w:pPr>
              <w:pStyle w:val="TableParagraph"/>
              <w:spacing w:line="216" w:lineRule="auto" w:before="224"/>
              <w:ind w:left="60" w:right="162"/>
              <w:rPr>
                <w:sz w:val="18"/>
              </w:rPr>
            </w:pPr>
            <w:r>
              <w:rPr>
                <w:color w:val="231F20"/>
                <w:sz w:val="18"/>
              </w:rPr>
              <w:t>The Workflow editor enables you to design sets of automated system processes, called policies, to resolve system problems. A policy performs actions, schedules work to be performed by users, or automates manual tasks. See </w:t>
            </w:r>
            <w:hyperlink w:history="true" w:anchor="_bookmark236">
              <w:r>
                <w:rPr>
                  <w:color w:val="231F20"/>
                  <w:sz w:val="18"/>
                </w:rPr>
                <w:t>“Automation with policies” on</w:t>
              </w:r>
            </w:hyperlink>
            <w:r>
              <w:rPr>
                <w:color w:val="231F20"/>
                <w:sz w:val="18"/>
              </w:rPr>
              <w:t> </w:t>
            </w:r>
            <w:hyperlink w:history="true" w:anchor="_bookmark236">
              <w:r>
                <w:rPr>
                  <w:color w:val="231F20"/>
                  <w:sz w:val="18"/>
                </w:rPr>
                <w:t>page 323.</w:t>
              </w:r>
            </w:hyperlink>
          </w:p>
        </w:tc>
      </w:tr>
      <w:tr>
        <w:trPr>
          <w:trHeight w:val="2204" w:hRule="atLeast"/>
        </w:trPr>
        <w:tc>
          <w:tcPr>
            <w:tcW w:w="2326" w:type="dxa"/>
          </w:tcPr>
          <w:p>
            <w:pPr>
              <w:pStyle w:val="TableParagraph"/>
              <w:ind w:left="44"/>
              <w:rPr>
                <w:sz w:val="18"/>
              </w:rPr>
            </w:pPr>
            <w:r>
              <w:rPr>
                <w:color w:val="231F20"/>
                <w:sz w:val="18"/>
              </w:rPr>
              <w:t>Universal</w:t>
            </w:r>
            <w:r>
              <w:rPr>
                <w:color w:val="231F20"/>
                <w:spacing w:val="2"/>
                <w:sz w:val="18"/>
              </w:rPr>
              <w:t> </w:t>
            </w:r>
            <w:r>
              <w:rPr>
                <w:color w:val="231F20"/>
                <w:sz w:val="18"/>
              </w:rPr>
              <w:t>Agent</w:t>
            </w:r>
            <w:r>
              <w:rPr>
                <w:color w:val="231F20"/>
                <w:spacing w:val="7"/>
                <w:sz w:val="18"/>
              </w:rPr>
              <w:t> </w:t>
            </w:r>
            <w:r>
              <w:rPr>
                <w:color w:val="231F20"/>
                <w:spacing w:val="-2"/>
                <w:sz w:val="18"/>
              </w:rPr>
              <w:t>support</w:t>
            </w:r>
          </w:p>
        </w:tc>
        <w:tc>
          <w:tcPr>
            <w:tcW w:w="7242" w:type="dxa"/>
          </w:tcPr>
          <w:p>
            <w:pPr>
              <w:pStyle w:val="TableParagraph"/>
              <w:spacing w:line="216" w:lineRule="auto" w:before="224"/>
              <w:ind w:left="60" w:right="155"/>
              <w:rPr>
                <w:sz w:val="18"/>
              </w:rPr>
            </w:pPr>
            <w:r>
              <w:rPr>
                <w:color w:val="231F20"/>
                <w:sz w:val="18"/>
              </w:rPr>
              <w:t>The</w:t>
            </w:r>
            <w:r>
              <w:rPr>
                <w:color w:val="231F20"/>
                <w:spacing w:val="24"/>
                <w:sz w:val="18"/>
              </w:rPr>
              <w:t> </w:t>
            </w:r>
            <w:r>
              <w:rPr>
                <w:color w:val="231F20"/>
                <w:sz w:val="18"/>
              </w:rPr>
              <w:t>Tivoli</w:t>
            </w:r>
            <w:r>
              <w:rPr>
                <w:color w:val="231F20"/>
                <w:spacing w:val="24"/>
                <w:sz w:val="18"/>
              </w:rPr>
              <w:t> </w:t>
            </w:r>
            <w:r>
              <w:rPr>
                <w:color w:val="231F20"/>
                <w:sz w:val="18"/>
              </w:rPr>
              <w:t>Universal Agent</w:t>
            </w:r>
            <w:r>
              <w:rPr>
                <w:color w:val="231F20"/>
                <w:spacing w:val="24"/>
                <w:sz w:val="18"/>
              </w:rPr>
              <w:t> </w:t>
            </w:r>
            <w:r>
              <w:rPr>
                <w:color w:val="231F20"/>
                <w:sz w:val="18"/>
              </w:rPr>
              <w:t>is</w:t>
            </w:r>
            <w:r>
              <w:rPr>
                <w:color w:val="231F20"/>
                <w:spacing w:val="24"/>
                <w:sz w:val="18"/>
              </w:rPr>
              <w:t> </w:t>
            </w:r>
            <w:r>
              <w:rPr>
                <w:color w:val="231F20"/>
                <w:sz w:val="18"/>
              </w:rPr>
              <w:t>a</w:t>
            </w:r>
            <w:r>
              <w:rPr>
                <w:color w:val="231F20"/>
                <w:spacing w:val="24"/>
                <w:sz w:val="18"/>
              </w:rPr>
              <w:t> </w:t>
            </w:r>
            <w:r>
              <w:rPr>
                <w:color w:val="231F20"/>
                <w:sz w:val="18"/>
              </w:rPr>
              <w:t>monitoring</w:t>
            </w:r>
            <w:r>
              <w:rPr>
                <w:color w:val="231F20"/>
                <w:spacing w:val="24"/>
                <w:sz w:val="18"/>
              </w:rPr>
              <w:t> </w:t>
            </w:r>
            <w:r>
              <w:rPr>
                <w:color w:val="231F20"/>
                <w:sz w:val="18"/>
              </w:rPr>
              <w:t>agent</w:t>
            </w:r>
            <w:r>
              <w:rPr>
                <w:color w:val="231F20"/>
                <w:spacing w:val="24"/>
                <w:sz w:val="18"/>
              </w:rPr>
              <w:t> </w:t>
            </w:r>
            <w:r>
              <w:rPr>
                <w:color w:val="231F20"/>
                <w:sz w:val="18"/>
              </w:rPr>
              <w:t>you</w:t>
            </w:r>
            <w:r>
              <w:rPr>
                <w:color w:val="231F20"/>
                <w:spacing w:val="24"/>
                <w:sz w:val="18"/>
              </w:rPr>
              <w:t> </w:t>
            </w:r>
            <w:r>
              <w:rPr>
                <w:color w:val="231F20"/>
                <w:sz w:val="18"/>
              </w:rPr>
              <w:t>can</w:t>
            </w:r>
            <w:r>
              <w:rPr>
                <w:color w:val="231F20"/>
                <w:spacing w:val="24"/>
                <w:sz w:val="18"/>
              </w:rPr>
              <w:t> </w:t>
            </w:r>
            <w:r>
              <w:rPr>
                <w:color w:val="231F20"/>
                <w:sz w:val="18"/>
              </w:rPr>
              <w:t>configure</w:t>
            </w:r>
            <w:r>
              <w:rPr>
                <w:color w:val="231F20"/>
                <w:spacing w:val="24"/>
                <w:sz w:val="18"/>
              </w:rPr>
              <w:t> </w:t>
            </w:r>
            <w:r>
              <w:rPr>
                <w:color w:val="231F20"/>
                <w:sz w:val="18"/>
              </w:rPr>
              <w:t>to</w:t>
            </w:r>
            <w:r>
              <w:rPr>
                <w:color w:val="231F20"/>
                <w:spacing w:val="24"/>
                <w:sz w:val="18"/>
              </w:rPr>
              <w:t> </w:t>
            </w:r>
            <w:r>
              <w:rPr>
                <w:color w:val="231F20"/>
                <w:sz w:val="18"/>
              </w:rPr>
              <w:t>monitor</w:t>
            </w:r>
            <w:r>
              <w:rPr>
                <w:color w:val="231F20"/>
                <w:spacing w:val="24"/>
                <w:sz w:val="18"/>
              </w:rPr>
              <w:t> </w:t>
            </w:r>
            <w:r>
              <w:rPr>
                <w:color w:val="231F20"/>
                <w:sz w:val="18"/>
              </w:rPr>
              <w:t>any data you collect. It lets you integrate data from virtually any platform and any source, such as custom applications, databases, systems, and subsystems. Your defined data providers are listed in the Navigator, and default workspaces automatically created for them. You can display data from your Universal Agent attributes in workspace views and use them in situations.</w:t>
            </w:r>
          </w:p>
          <w:p>
            <w:pPr>
              <w:pStyle w:val="TableParagraph"/>
              <w:spacing w:line="216" w:lineRule="auto" w:before="185"/>
              <w:ind w:left="60" w:right="272"/>
              <w:rPr>
                <w:sz w:val="18"/>
              </w:rPr>
            </w:pPr>
            <w:r>
              <w:rPr>
                <w:color w:val="231F20"/>
                <w:sz w:val="18"/>
              </w:rPr>
              <w:t>When you create custom queries for these universal agents you can display and monitor data from any application, including APIs and third-party software.</w:t>
            </w:r>
          </w:p>
        </w:tc>
      </w:tr>
      <w:tr>
        <w:trPr>
          <w:trHeight w:val="3042" w:hRule="atLeast"/>
        </w:trPr>
        <w:tc>
          <w:tcPr>
            <w:tcW w:w="2326" w:type="dxa"/>
          </w:tcPr>
          <w:p>
            <w:pPr>
              <w:pStyle w:val="TableParagraph"/>
              <w:ind w:left="44"/>
              <w:rPr>
                <w:sz w:val="18"/>
              </w:rPr>
            </w:pPr>
            <w:r>
              <w:rPr>
                <w:color w:val="231F20"/>
                <w:sz w:val="18"/>
              </w:rPr>
              <w:t>Agent</w:t>
            </w:r>
            <w:r>
              <w:rPr>
                <w:color w:val="231F20"/>
                <w:spacing w:val="8"/>
                <w:sz w:val="18"/>
              </w:rPr>
              <w:t> </w:t>
            </w:r>
            <w:r>
              <w:rPr>
                <w:color w:val="231F20"/>
                <w:sz w:val="18"/>
              </w:rPr>
              <w:t>Builder</w:t>
            </w:r>
            <w:r>
              <w:rPr>
                <w:color w:val="231F20"/>
                <w:spacing w:val="9"/>
                <w:sz w:val="18"/>
              </w:rPr>
              <w:t> </w:t>
            </w:r>
            <w:r>
              <w:rPr>
                <w:color w:val="231F20"/>
                <w:spacing w:val="-2"/>
                <w:sz w:val="18"/>
              </w:rPr>
              <w:t>support</w:t>
            </w:r>
          </w:p>
        </w:tc>
        <w:tc>
          <w:tcPr>
            <w:tcW w:w="7242" w:type="dxa"/>
          </w:tcPr>
          <w:p>
            <w:pPr>
              <w:pStyle w:val="TableParagraph"/>
              <w:spacing w:line="216" w:lineRule="auto" w:before="224"/>
              <w:ind w:left="60" w:right="272"/>
              <w:rPr>
                <w:sz w:val="18"/>
              </w:rPr>
            </w:pPr>
            <w:r>
              <w:rPr>
                <w:color w:val="231F20"/>
                <w:sz w:val="18"/>
              </w:rPr>
              <w:t>The Agent Builder is a wizard that makes it easier to build custom monitoring solutions. Using mostly point and click capabilities, the Agent Builder allows you to create a monitoring agent using multiple data providers such as WMI, Perfmon, Log scraping, scripts, and process monitoring. Over time additional data providers will be added to the Agent Builder.</w:t>
            </w:r>
          </w:p>
          <w:p>
            <w:pPr>
              <w:pStyle w:val="TableParagraph"/>
              <w:spacing w:line="216" w:lineRule="auto" w:before="184"/>
              <w:ind w:left="60" w:right="155"/>
              <w:rPr>
                <w:sz w:val="18"/>
              </w:rPr>
            </w:pPr>
            <w:r>
              <w:rPr>
                <w:color w:val="231F20"/>
                <w:sz w:val="18"/>
              </w:rPr>
              <w:t>Monitoring agents created using the Agent Builder have two advantages over agents based on the Tivoli Universal Agent. First, the Agent Builder monitoring agents tend to run with lower CPU utilization than an equivalent Tivoli Universal Agent. Second, you do not need to worry about Tivoli Universal Agent versioning.</w:t>
            </w:r>
          </w:p>
          <w:p>
            <w:pPr>
              <w:pStyle w:val="TableParagraph"/>
              <w:spacing w:line="216" w:lineRule="auto" w:before="183"/>
              <w:ind w:left="60" w:right="272"/>
              <w:rPr>
                <w:sz w:val="18"/>
              </w:rPr>
            </w:pPr>
            <w:r>
              <w:rPr>
                <w:color w:val="231F20"/>
                <w:sz w:val="18"/>
              </w:rPr>
              <w:t>The Agent Builder can be configured to monitor multiple remote systems, but you must create one agent instance for each remotely monitored server.</w:t>
            </w:r>
          </w:p>
        </w:tc>
      </w:tr>
      <w:tr>
        <w:trPr>
          <w:trHeight w:val="927" w:hRule="atLeast"/>
        </w:trPr>
        <w:tc>
          <w:tcPr>
            <w:tcW w:w="2326" w:type="dxa"/>
          </w:tcPr>
          <w:p>
            <w:pPr>
              <w:pStyle w:val="TableParagraph"/>
              <w:spacing w:line="216" w:lineRule="auto" w:before="44"/>
              <w:ind w:left="44" w:right="107"/>
              <w:rPr>
                <w:sz w:val="18"/>
              </w:rPr>
            </w:pPr>
            <w:r>
              <w:rPr>
                <w:color w:val="231F20"/>
                <w:sz w:val="18"/>
              </w:rPr>
              <w:t>Multiple</w:t>
            </w:r>
            <w:r>
              <w:rPr>
                <w:color w:val="231F20"/>
                <w:spacing w:val="-6"/>
                <w:sz w:val="18"/>
              </w:rPr>
              <w:t> </w:t>
            </w:r>
            <w:r>
              <w:rPr>
                <w:color w:val="231F20"/>
                <w:sz w:val="18"/>
              </w:rPr>
              <w:t>applications</w:t>
            </w:r>
            <w:r>
              <w:rPr>
                <w:color w:val="231F20"/>
                <w:spacing w:val="-6"/>
                <w:sz w:val="18"/>
              </w:rPr>
              <w:t> </w:t>
            </w:r>
            <w:r>
              <w:rPr>
                <w:color w:val="231F20"/>
                <w:sz w:val="18"/>
              </w:rPr>
              <w:t>in one workspace</w:t>
            </w:r>
          </w:p>
        </w:tc>
        <w:tc>
          <w:tcPr>
            <w:tcW w:w="7242" w:type="dxa"/>
          </w:tcPr>
          <w:p>
            <w:pPr>
              <w:pStyle w:val="TableParagraph"/>
              <w:spacing w:line="216" w:lineRule="auto" w:before="224"/>
              <w:ind w:left="60" w:right="57"/>
              <w:jc w:val="both"/>
              <w:rPr>
                <w:sz w:val="18"/>
              </w:rPr>
            </w:pPr>
            <w:r>
              <w:rPr>
                <w:color w:val="231F20"/>
                <w:sz w:val="18"/>
              </w:rPr>
              <w:t>In one workspace you can build a table or chart with data from one type of monitoring agent, and another table or chart with data from a different agent, showing views from</w:t>
            </w:r>
            <w:r>
              <w:rPr>
                <w:color w:val="231F20"/>
                <w:spacing w:val="80"/>
                <w:sz w:val="18"/>
              </w:rPr>
              <w:t> </w:t>
            </w:r>
            <w:r>
              <w:rPr>
                <w:color w:val="231F20"/>
                <w:sz w:val="18"/>
              </w:rPr>
              <w:t>as many different agent types as are included on that branch of the Navigator.</w:t>
            </w:r>
          </w:p>
        </w:tc>
      </w:tr>
      <w:tr>
        <w:trPr>
          <w:trHeight w:val="708" w:hRule="atLeast"/>
        </w:trPr>
        <w:tc>
          <w:tcPr>
            <w:tcW w:w="2326" w:type="dxa"/>
          </w:tcPr>
          <w:p>
            <w:pPr>
              <w:pStyle w:val="TableParagraph"/>
              <w:ind w:left="44"/>
              <w:rPr>
                <w:sz w:val="18"/>
              </w:rPr>
            </w:pPr>
            <w:r>
              <w:rPr>
                <w:color w:val="231F20"/>
                <w:sz w:val="18"/>
              </w:rPr>
              <w:t>Link</w:t>
            </w:r>
            <w:r>
              <w:rPr>
                <w:color w:val="231F20"/>
                <w:spacing w:val="8"/>
                <w:sz w:val="18"/>
              </w:rPr>
              <w:t> </w:t>
            </w:r>
            <w:r>
              <w:rPr>
                <w:color w:val="231F20"/>
                <w:sz w:val="18"/>
              </w:rPr>
              <w:t>between</w:t>
            </w:r>
            <w:r>
              <w:rPr>
                <w:color w:val="231F20"/>
                <w:spacing w:val="9"/>
                <w:sz w:val="18"/>
              </w:rPr>
              <w:t> </w:t>
            </w:r>
            <w:r>
              <w:rPr>
                <w:color w:val="231F20"/>
                <w:spacing w:val="-2"/>
                <w:sz w:val="18"/>
              </w:rPr>
              <w:t>applications</w:t>
            </w:r>
          </w:p>
        </w:tc>
        <w:tc>
          <w:tcPr>
            <w:tcW w:w="7242" w:type="dxa"/>
          </w:tcPr>
          <w:p>
            <w:pPr>
              <w:pStyle w:val="TableParagraph"/>
              <w:spacing w:line="216" w:lineRule="auto" w:before="224"/>
              <w:ind w:left="60"/>
              <w:rPr>
                <w:sz w:val="18"/>
              </w:rPr>
            </w:pPr>
            <w:r>
              <w:rPr>
                <w:color w:val="231F20"/>
                <w:sz w:val="18"/>
              </w:rPr>
              <w:t>You can define a link from a workspace associated with one monitoring agent to the workspace of another.</w:t>
            </w:r>
          </w:p>
        </w:tc>
      </w:tr>
      <w:tr>
        <w:trPr>
          <w:trHeight w:val="713" w:hRule="atLeast"/>
        </w:trPr>
        <w:tc>
          <w:tcPr>
            <w:tcW w:w="2326" w:type="dxa"/>
          </w:tcPr>
          <w:p>
            <w:pPr>
              <w:pStyle w:val="TableParagraph"/>
              <w:spacing w:line="216" w:lineRule="auto" w:before="44"/>
              <w:ind w:left="44" w:right="107"/>
              <w:rPr>
                <w:sz w:val="18"/>
              </w:rPr>
            </w:pPr>
            <w:r>
              <w:rPr>
                <w:color w:val="231F20"/>
                <w:sz w:val="18"/>
              </w:rPr>
              <w:t>Linking</w:t>
            </w:r>
            <w:r>
              <w:rPr>
                <w:color w:val="231F20"/>
                <w:spacing w:val="-7"/>
                <w:sz w:val="18"/>
              </w:rPr>
              <w:t> </w:t>
            </w:r>
            <w:r>
              <w:rPr>
                <w:color w:val="231F20"/>
                <w:sz w:val="18"/>
              </w:rPr>
              <w:t>between </w:t>
            </w:r>
            <w:r>
              <w:rPr>
                <w:color w:val="231F20"/>
                <w:spacing w:val="-2"/>
                <w:sz w:val="18"/>
              </w:rPr>
              <w:t>Navigators</w:t>
            </w:r>
          </w:p>
        </w:tc>
        <w:tc>
          <w:tcPr>
            <w:tcW w:w="7242" w:type="dxa"/>
          </w:tcPr>
          <w:p>
            <w:pPr>
              <w:pStyle w:val="TableParagraph"/>
              <w:spacing w:line="216" w:lineRule="auto" w:before="224"/>
              <w:ind w:left="60"/>
              <w:rPr>
                <w:sz w:val="18"/>
              </w:rPr>
            </w:pPr>
            <w:r>
              <w:rPr>
                <w:color w:val="231F20"/>
                <w:sz w:val="18"/>
              </w:rPr>
              <w:t>You can link from a workspace in one Navigator view to a workspace in a different Navigator view.</w:t>
            </w:r>
          </w:p>
        </w:tc>
      </w:tr>
    </w:tbl>
    <w:p>
      <w:pPr>
        <w:pStyle w:val="BodyText"/>
        <w:spacing w:before="140"/>
      </w:pPr>
      <w:r>
        <w:rPr/>
        <mc:AlternateContent>
          <mc:Choice Requires="wps">
            <w:drawing>
              <wp:anchor distT="0" distB="0" distL="0" distR="0" allowOverlap="1" layoutInCell="1" locked="0" behindDoc="1" simplePos="0" relativeHeight="487618560">
                <wp:simplePos x="0" y="0"/>
                <wp:positionH relativeFrom="page">
                  <wp:posOffset>912380</wp:posOffset>
                </wp:positionH>
                <wp:positionV relativeFrom="paragraph">
                  <wp:posOffset>276009</wp:posOffset>
                </wp:positionV>
                <wp:extent cx="6082665" cy="127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21.733pt;width:478.95pt;height:.1pt;mso-position-horizontal-relative:page;mso-position-vertical-relative:paragraph;z-index:-15697920;mso-wrap-distance-left:0;mso-wrap-distance-right:0" id="docshape24" coordorigin="1437,435" coordsize="9579,0" path="m1437,435l11016,435e" filled="false" stroked="true" strokeweight=".499pt" strokecolor="#231f20">
                <v:path arrowok="t"/>
                <v:stroke dashstyle="solid"/>
                <w10:wrap type="topAndBottom"/>
              </v:shape>
            </w:pict>
          </mc:Fallback>
        </mc:AlternateContent>
      </w:r>
    </w:p>
    <w:p>
      <w:pPr>
        <w:pStyle w:val="Heading3"/>
      </w:pPr>
      <w:bookmarkStart w:name="_bookmark8" w:id="19"/>
      <w:bookmarkEnd w:id="19"/>
      <w:r>
        <w:rPr>
          <w:b w:val="0"/>
        </w:rPr>
      </w:r>
      <w:bookmarkStart w:name="Predefined workspaces, situations, and m" w:id="20"/>
      <w:bookmarkEnd w:id="20"/>
      <w:r>
        <w:rPr>
          <w:b w:val="0"/>
        </w:rPr>
      </w:r>
      <w:r>
        <w:rPr>
          <w:color w:val="231F20"/>
        </w:rPr>
        <w:t>Predefined</w:t>
      </w:r>
      <w:r>
        <w:rPr>
          <w:color w:val="231F20"/>
          <w:spacing w:val="2"/>
        </w:rPr>
        <w:t> </w:t>
      </w:r>
      <w:r>
        <w:rPr>
          <w:color w:val="231F20"/>
        </w:rPr>
        <w:t>workspaces,</w:t>
      </w:r>
      <w:r>
        <w:rPr>
          <w:color w:val="231F20"/>
          <w:spacing w:val="2"/>
        </w:rPr>
        <w:t> </w:t>
      </w:r>
      <w:r>
        <w:rPr>
          <w:color w:val="231F20"/>
        </w:rPr>
        <w:t>situations,</w:t>
      </w:r>
      <w:r>
        <w:rPr>
          <w:color w:val="231F20"/>
          <w:spacing w:val="3"/>
        </w:rPr>
        <w:t> </w:t>
      </w:r>
      <w:r>
        <w:rPr>
          <w:color w:val="231F20"/>
        </w:rPr>
        <w:t>and</w:t>
      </w:r>
      <w:r>
        <w:rPr>
          <w:color w:val="231F20"/>
          <w:spacing w:val="2"/>
        </w:rPr>
        <w:t> </w:t>
      </w:r>
      <w:r>
        <w:rPr>
          <w:color w:val="231F20"/>
          <w:spacing w:val="-4"/>
        </w:rPr>
        <w:t>more</w:t>
      </w:r>
    </w:p>
    <w:p>
      <w:pPr>
        <w:pStyle w:val="BodyText"/>
        <w:spacing w:line="213" w:lineRule="auto" w:before="138"/>
        <w:ind w:left="2472" w:right="577"/>
        <w:jc w:val="both"/>
      </w:pPr>
      <w:r>
        <w:rPr>
          <w:color w:val="231F20"/>
        </w:rPr>
        <w:t>Every agent is designed to monitor specific </w:t>
      </w:r>
      <w:r>
        <w:rPr>
          <w:rFonts w:ascii="Book Antiqua"/>
          <w:i/>
          <w:color w:val="231F20"/>
        </w:rPr>
        <w:t>attributes </w:t>
      </w:r>
      <w:r>
        <w:rPr>
          <w:color w:val="231F20"/>
        </w:rPr>
        <w:t>of an operating system </w:t>
      </w:r>
      <w:r>
        <w:rPr>
          <w:color w:val="231F20"/>
        </w:rPr>
        <w:t>or other type of software. With these attributes, come definitions for use with the Tivoli Enterprise Portal functions.</w:t>
      </w:r>
    </w:p>
    <w:p>
      <w:pPr>
        <w:pStyle w:val="BodyText"/>
        <w:spacing w:line="213" w:lineRule="auto" w:before="238"/>
        <w:ind w:left="2472" w:right="385"/>
      </w:pPr>
      <w:r>
        <w:rPr>
          <w:color w:val="231F20"/>
        </w:rPr>
        <w:t>Use the definitions that have been designed for your product to begin </w:t>
      </w:r>
      <w:r>
        <w:rPr>
          <w:color w:val="231F20"/>
        </w:rPr>
        <w:t>monitoring and visualizing data immediately. Some definitions are ready to use; others are dormant until activated:</w:t>
      </w:r>
    </w:p>
    <w:p>
      <w:pPr>
        <w:pStyle w:val="Heading6"/>
        <w:spacing w:before="116"/>
      </w:pPr>
      <w:r>
        <w:rPr>
          <w:color w:val="231F20"/>
          <w:spacing w:val="-2"/>
        </w:rPr>
        <w:t>Workspaces</w:t>
      </w:r>
    </w:p>
    <w:p>
      <w:pPr>
        <w:pStyle w:val="BodyText"/>
        <w:spacing w:line="213" w:lineRule="auto" w:before="12"/>
        <w:ind w:left="3190" w:right="263"/>
      </w:pPr>
      <w:r>
        <w:rPr>
          <w:color w:val="231F20"/>
        </w:rPr>
        <w:t>The workspaces that open when you click a Navigator item or select from the </w:t>
      </w:r>
      <w:r>
        <w:rPr>
          <w:color w:val="231F20"/>
          <w:spacing w:val="16"/>
          <w:position w:val="-1"/>
        </w:rPr>
        <w:drawing>
          <wp:inline distT="0" distB="0" distL="0" distR="0">
            <wp:extent cx="101600" cy="101600"/>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Workspace Gallery, are predefined. They provide visual feedback of real-time values from managed systems, and historical values when historical data collection has been configured. They provide a starting</w:t>
      </w:r>
      <w:r>
        <w:rPr>
          <w:color w:val="231F20"/>
          <w:spacing w:val="80"/>
          <w:w w:val="150"/>
        </w:rPr>
        <w:t> </w:t>
      </w:r>
      <w:r>
        <w:rPr>
          <w:color w:val="231F20"/>
        </w:rPr>
        <w:t>point for designing your own workspaces.</w:t>
      </w:r>
    </w:p>
    <w:p>
      <w:pPr>
        <w:spacing w:after="0" w:line="213" w:lineRule="auto"/>
        <w:sectPr>
          <w:type w:val="continuous"/>
          <w:pgSz w:w="12240" w:h="15840"/>
          <w:pgMar w:header="0" w:footer="736" w:top="1300" w:bottom="920" w:left="1000" w:right="1060"/>
        </w:sectPr>
      </w:pPr>
    </w:p>
    <w:p>
      <w:pPr>
        <w:pStyle w:val="Heading6"/>
        <w:spacing w:before="83"/>
        <w:ind w:left="2232"/>
      </w:pPr>
      <w:r>
        <w:rPr>
          <w:color w:val="231F20"/>
          <w:spacing w:val="-2"/>
        </w:rPr>
        <w:t>Queries</w:t>
      </w:r>
    </w:p>
    <w:p>
      <w:pPr>
        <w:pStyle w:val="BodyText"/>
        <w:spacing w:line="213" w:lineRule="auto" w:before="12"/>
        <w:ind w:left="2951" w:right="545"/>
      </w:pPr>
      <w:r>
        <w:rPr>
          <w:color w:val="231F20"/>
        </w:rPr>
        <w:t>The predefined workspaces are populated with data gathered as a result </w:t>
      </w:r>
      <w:r>
        <w:rPr>
          <w:color w:val="231F20"/>
        </w:rPr>
        <w:t>of queries, which are also predefined. Creating your own queries from these predefined queries enables you to add or remove attributes, apply a sort order, and pre-filter the data to keep data retrieval at a manageable level</w:t>
      </w:r>
      <w:r>
        <w:rPr>
          <w:color w:val="231F20"/>
          <w:spacing w:val="40"/>
        </w:rPr>
        <w:t> </w:t>
      </w:r>
      <w:r>
        <w:rPr>
          <w:color w:val="231F20"/>
        </w:rPr>
        <w:t>and to enable you to more easily see data of interest.</w:t>
      </w:r>
    </w:p>
    <w:p>
      <w:pPr>
        <w:pStyle w:val="Heading6"/>
        <w:spacing w:before="115"/>
        <w:ind w:left="2232"/>
      </w:pPr>
      <w:r>
        <w:rPr>
          <w:color w:val="231F20"/>
        </w:rPr>
        <w:t>Take</w:t>
      </w:r>
      <w:r>
        <w:rPr>
          <w:color w:val="231F20"/>
          <w:spacing w:val="-1"/>
        </w:rPr>
        <w:t> </w:t>
      </w:r>
      <w:r>
        <w:rPr>
          <w:color w:val="231F20"/>
        </w:rPr>
        <w:t>action</w:t>
      </w:r>
      <w:r>
        <w:rPr>
          <w:color w:val="231F20"/>
          <w:spacing w:val="-1"/>
        </w:rPr>
        <w:t> </w:t>
      </w:r>
      <w:r>
        <w:rPr>
          <w:color w:val="231F20"/>
          <w:spacing w:val="-2"/>
        </w:rPr>
        <w:t>commands</w:t>
      </w:r>
    </w:p>
    <w:p>
      <w:pPr>
        <w:pStyle w:val="BodyText"/>
        <w:spacing w:line="213" w:lineRule="auto" w:before="11"/>
        <w:ind w:left="2951" w:right="493"/>
      </w:pPr>
      <w:r>
        <w:rPr>
          <w:color w:val="231F20"/>
        </w:rPr>
        <w:t>Some agents have predefined take action commands, such as the Windows OS agent Start Service and Stop Service commands. They are available for selection and they provide examples of the kinds of actions that you </w:t>
      </w:r>
      <w:r>
        <w:rPr>
          <w:color w:val="231F20"/>
        </w:rPr>
        <w:t>might want to define for maintaining managed systems.</w:t>
      </w:r>
    </w:p>
    <w:p>
      <w:pPr>
        <w:pStyle w:val="Heading6"/>
        <w:spacing w:before="116"/>
        <w:ind w:left="2232"/>
      </w:pPr>
      <w:r>
        <w:rPr>
          <w:color w:val="231F20"/>
          <w:spacing w:val="-2"/>
        </w:rPr>
        <w:t>Situations</w:t>
      </w:r>
    </w:p>
    <w:p>
      <w:pPr>
        <w:pStyle w:val="BodyText"/>
        <w:spacing w:line="213" w:lineRule="auto" w:before="11"/>
        <w:ind w:left="2951" w:right="441"/>
      </w:pPr>
      <w:r>
        <w:rPr>
          <w:color w:val="231F20"/>
        </w:rPr>
        <w:t>The tests for conditions that you want to be alerted for are available in the predefined</w:t>
      </w:r>
      <w:r>
        <w:rPr>
          <w:color w:val="231F20"/>
          <w:spacing w:val="31"/>
        </w:rPr>
        <w:t> </w:t>
      </w:r>
      <w:r>
        <w:rPr>
          <w:color w:val="231F20"/>
        </w:rPr>
        <w:t>situations.</w:t>
      </w:r>
      <w:r>
        <w:rPr>
          <w:color w:val="231F20"/>
          <w:spacing w:val="31"/>
        </w:rPr>
        <w:t> </w:t>
      </w:r>
      <w:r>
        <w:rPr>
          <w:color w:val="231F20"/>
        </w:rPr>
        <w:t>To</w:t>
      </w:r>
      <w:r>
        <w:rPr>
          <w:color w:val="231F20"/>
          <w:spacing w:val="31"/>
        </w:rPr>
        <w:t> </w:t>
      </w:r>
      <w:r>
        <w:rPr>
          <w:color w:val="231F20"/>
        </w:rPr>
        <w:t>avoid</w:t>
      </w:r>
      <w:r>
        <w:rPr>
          <w:color w:val="231F20"/>
          <w:spacing w:val="31"/>
        </w:rPr>
        <w:t> </w:t>
      </w:r>
      <w:r>
        <w:rPr>
          <w:color w:val="231F20"/>
        </w:rPr>
        <w:t>an</w:t>
      </w:r>
      <w:r>
        <w:rPr>
          <w:color w:val="231F20"/>
          <w:spacing w:val="31"/>
        </w:rPr>
        <w:t> </w:t>
      </w:r>
      <w:r>
        <w:rPr>
          <w:color w:val="231F20"/>
        </w:rPr>
        <w:t>overwhelming</w:t>
      </w:r>
      <w:r>
        <w:rPr>
          <w:color w:val="231F20"/>
          <w:spacing w:val="31"/>
        </w:rPr>
        <w:t> </w:t>
      </w:r>
      <w:r>
        <w:rPr>
          <w:color w:val="231F20"/>
        </w:rPr>
        <w:t>number</w:t>
      </w:r>
      <w:r>
        <w:rPr>
          <w:color w:val="231F20"/>
          <w:spacing w:val="31"/>
        </w:rPr>
        <w:t> </w:t>
      </w:r>
      <w:r>
        <w:rPr>
          <w:color w:val="231F20"/>
        </w:rPr>
        <w:t>of</w:t>
      </w:r>
      <w:r>
        <w:rPr>
          <w:color w:val="231F20"/>
          <w:spacing w:val="31"/>
        </w:rPr>
        <w:t> </w:t>
      </w:r>
      <w:r>
        <w:rPr>
          <w:color w:val="231F20"/>
        </w:rPr>
        <w:t>events opening</w:t>
      </w:r>
      <w:r>
        <w:rPr>
          <w:color w:val="231F20"/>
          <w:spacing w:val="31"/>
        </w:rPr>
        <w:t> </w:t>
      </w:r>
      <w:r>
        <w:rPr>
          <w:color w:val="231F20"/>
        </w:rPr>
        <w:t>in</w:t>
      </w:r>
      <w:r>
        <w:rPr>
          <w:color w:val="231F20"/>
          <w:spacing w:val="31"/>
        </w:rPr>
        <w:t> </w:t>
      </w:r>
      <w:r>
        <w:rPr>
          <w:color w:val="231F20"/>
        </w:rPr>
        <w:t>a</w:t>
      </w:r>
      <w:r>
        <w:rPr>
          <w:color w:val="231F20"/>
          <w:spacing w:val="31"/>
        </w:rPr>
        <w:t> </w:t>
      </w:r>
      <w:r>
        <w:rPr>
          <w:color w:val="231F20"/>
        </w:rPr>
        <w:t>newly</w:t>
      </w:r>
      <w:r>
        <w:rPr>
          <w:color w:val="231F20"/>
          <w:spacing w:val="31"/>
        </w:rPr>
        <w:t> </w:t>
      </w:r>
      <w:r>
        <w:rPr>
          <w:color w:val="231F20"/>
        </w:rPr>
        <w:t>managed</w:t>
      </w:r>
      <w:r>
        <w:rPr>
          <w:color w:val="231F20"/>
          <w:spacing w:val="31"/>
        </w:rPr>
        <w:t> </w:t>
      </w:r>
      <w:r>
        <w:rPr>
          <w:color w:val="231F20"/>
        </w:rPr>
        <w:t>environment</w:t>
      </w:r>
      <w:r>
        <w:rPr>
          <w:color w:val="231F20"/>
          <w:spacing w:val="31"/>
        </w:rPr>
        <w:t> </w:t>
      </w:r>
      <w:r>
        <w:rPr>
          <w:color w:val="231F20"/>
        </w:rPr>
        <w:t>and,</w:t>
      </w:r>
      <w:r>
        <w:rPr>
          <w:color w:val="231F20"/>
          <w:spacing w:val="31"/>
        </w:rPr>
        <w:t> </w:t>
      </w:r>
      <w:r>
        <w:rPr>
          <w:color w:val="231F20"/>
        </w:rPr>
        <w:t>conversely</w:t>
      </w:r>
      <w:r>
        <w:rPr>
          <w:color w:val="231F20"/>
          <w:spacing w:val="31"/>
        </w:rPr>
        <w:t> </w:t>
      </w:r>
      <w:r>
        <w:rPr>
          <w:color w:val="231F20"/>
        </w:rPr>
        <w:t>to</w:t>
      </w:r>
      <w:r>
        <w:rPr>
          <w:color w:val="231F20"/>
          <w:spacing w:val="31"/>
        </w:rPr>
        <w:t> </w:t>
      </w:r>
      <w:r>
        <w:rPr>
          <w:color w:val="231F20"/>
        </w:rPr>
        <w:t>avoid missing important events because the comparison criteria was set too low, many of the predefined situations for an agent are not set to start automatically. They remain stopped until you either start them manually </w:t>
      </w:r>
      <w:r>
        <w:rPr>
          <w:color w:val="231F20"/>
        </w:rPr>
        <w:t>or set</w:t>
      </w:r>
      <w:r>
        <w:rPr>
          <w:color w:val="231F20"/>
          <w:spacing w:val="21"/>
        </w:rPr>
        <w:t> </w:t>
      </w:r>
      <w:r>
        <w:rPr>
          <w:color w:val="231F20"/>
        </w:rPr>
        <w:t>them</w:t>
      </w:r>
      <w:r>
        <w:rPr>
          <w:color w:val="231F20"/>
          <w:spacing w:val="21"/>
        </w:rPr>
        <w:t> </w:t>
      </w:r>
      <w:r>
        <w:rPr>
          <w:color w:val="231F20"/>
        </w:rPr>
        <w:t>to</w:t>
      </w:r>
      <w:r>
        <w:rPr>
          <w:color w:val="231F20"/>
          <w:spacing w:val="16"/>
        </w:rPr>
        <w:t> </w:t>
      </w:r>
      <w:r>
        <w:rPr>
          <w:color w:val="231F20"/>
          <w:spacing w:val="16"/>
        </w:rPr>
        <w:drawing>
          <wp:inline distT="0" distB="0" distL="0" distR="0">
            <wp:extent cx="82550" cy="82550"/>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4"/>
        </w:rPr>
        <w:t> </w:t>
      </w:r>
      <w:r>
        <w:rPr>
          <w:rFonts w:ascii="Book Antiqua"/>
          <w:b/>
          <w:color w:val="231F20"/>
        </w:rPr>
        <w:t>Run</w:t>
      </w:r>
      <w:r>
        <w:rPr>
          <w:rFonts w:ascii="Book Antiqua"/>
          <w:b/>
          <w:color w:val="231F20"/>
          <w:spacing w:val="21"/>
        </w:rPr>
        <w:t> </w:t>
      </w:r>
      <w:r>
        <w:rPr>
          <w:rFonts w:ascii="Book Antiqua"/>
          <w:b/>
          <w:color w:val="231F20"/>
        </w:rPr>
        <w:t>at</w:t>
      </w:r>
      <w:r>
        <w:rPr>
          <w:rFonts w:ascii="Book Antiqua"/>
          <w:b/>
          <w:color w:val="231F20"/>
          <w:spacing w:val="21"/>
        </w:rPr>
        <w:t> </w:t>
      </w:r>
      <w:r>
        <w:rPr>
          <w:rFonts w:ascii="Book Antiqua"/>
          <w:b/>
          <w:color w:val="231F20"/>
        </w:rPr>
        <w:t>startup</w:t>
      </w:r>
      <w:r>
        <w:rPr>
          <w:color w:val="231F20"/>
        </w:rPr>
        <w:t>. A good</w:t>
      </w:r>
      <w:r>
        <w:rPr>
          <w:color w:val="231F20"/>
          <w:spacing w:val="21"/>
        </w:rPr>
        <w:t> </w:t>
      </w:r>
      <w:r>
        <w:rPr>
          <w:color w:val="231F20"/>
        </w:rPr>
        <w:t>way</w:t>
      </w:r>
      <w:r>
        <w:rPr>
          <w:color w:val="231F20"/>
          <w:spacing w:val="21"/>
        </w:rPr>
        <w:t> </w:t>
      </w:r>
      <w:r>
        <w:rPr>
          <w:color w:val="231F20"/>
        </w:rPr>
        <w:t>to</w:t>
      </w:r>
      <w:r>
        <w:rPr>
          <w:color w:val="231F20"/>
          <w:spacing w:val="21"/>
        </w:rPr>
        <w:t> </w:t>
      </w:r>
      <w:r>
        <w:rPr>
          <w:color w:val="231F20"/>
        </w:rPr>
        <w:t>find</w:t>
      </w:r>
      <w:r>
        <w:rPr>
          <w:color w:val="231F20"/>
          <w:spacing w:val="21"/>
        </w:rPr>
        <w:t> </w:t>
      </w:r>
      <w:r>
        <w:rPr>
          <w:color w:val="231F20"/>
        </w:rPr>
        <w:t>out</w:t>
      </w:r>
      <w:r>
        <w:rPr>
          <w:color w:val="231F20"/>
          <w:spacing w:val="21"/>
        </w:rPr>
        <w:t> </w:t>
      </w:r>
      <w:r>
        <w:rPr>
          <w:color w:val="231F20"/>
        </w:rPr>
        <w:t>which</w:t>
      </w:r>
      <w:r>
        <w:rPr>
          <w:color w:val="231F20"/>
          <w:spacing w:val="21"/>
        </w:rPr>
        <w:t> </w:t>
      </w:r>
      <w:r>
        <w:rPr>
          <w:color w:val="231F20"/>
        </w:rPr>
        <w:t>situations</w:t>
      </w:r>
      <w:r>
        <w:rPr>
          <w:color w:val="231F20"/>
          <w:spacing w:val="21"/>
        </w:rPr>
        <w:t> </w:t>
      </w:r>
      <w:r>
        <w:rPr>
          <w:color w:val="231F20"/>
        </w:rPr>
        <w:t>are set to run at startup and which ones are not, is to filter the Situation editor</w:t>
      </w:r>
      <w:r>
        <w:rPr>
          <w:color w:val="231F20"/>
          <w:spacing w:val="40"/>
        </w:rPr>
        <w:t> </w:t>
      </w:r>
      <w:r>
        <w:rPr>
          <w:color w:val="231F20"/>
        </w:rPr>
        <w:t>tree</w:t>
      </w:r>
      <w:r>
        <w:rPr>
          <w:color w:val="231F20"/>
          <w:spacing w:val="21"/>
        </w:rPr>
        <w:t> </w:t>
      </w:r>
      <w:r>
        <w:rPr>
          <w:color w:val="231F20"/>
        </w:rPr>
        <w:t>with</w:t>
      </w:r>
      <w:r>
        <w:rPr>
          <w:color w:val="231F20"/>
          <w:spacing w:val="32"/>
        </w:rPr>
        <w:t> </w:t>
      </w:r>
      <w:r>
        <w:rPr>
          <w:color w:val="231F20"/>
          <w:spacing w:val="-24"/>
          <w:position w:val="-1"/>
        </w:rPr>
        <w:drawing>
          <wp:inline distT="0" distB="0" distL="0" distR="0">
            <wp:extent cx="95250" cy="101600"/>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Show</w:t>
      </w:r>
      <w:r>
        <w:rPr>
          <w:color w:val="231F20"/>
          <w:spacing w:val="21"/>
        </w:rPr>
        <w:t> </w:t>
      </w:r>
      <w:r>
        <w:rPr>
          <w:color w:val="231F20"/>
        </w:rPr>
        <w:t>Situations,</w:t>
      </w:r>
      <w:r>
        <w:rPr>
          <w:color w:val="231F20"/>
          <w:spacing w:val="21"/>
        </w:rPr>
        <w:t> </w:t>
      </w:r>
      <w:r>
        <w:rPr>
          <w:color w:val="231F20"/>
        </w:rPr>
        <w:t>which</w:t>
      </w:r>
      <w:r>
        <w:rPr>
          <w:color w:val="231F20"/>
          <w:spacing w:val="21"/>
        </w:rPr>
        <w:t> </w:t>
      </w:r>
      <w:r>
        <w:rPr>
          <w:color w:val="231F20"/>
        </w:rPr>
        <w:t>is</w:t>
      </w:r>
      <w:r>
        <w:rPr>
          <w:color w:val="231F20"/>
          <w:spacing w:val="21"/>
        </w:rPr>
        <w:t> </w:t>
      </w:r>
      <w:r>
        <w:rPr>
          <w:color w:val="231F20"/>
        </w:rPr>
        <w:t>available</w:t>
      </w:r>
      <w:r>
        <w:rPr>
          <w:color w:val="231F20"/>
          <w:spacing w:val="21"/>
        </w:rPr>
        <w:t> </w:t>
      </w:r>
      <w:r>
        <w:rPr>
          <w:color w:val="231F20"/>
        </w:rPr>
        <w:t>when</w:t>
      </w:r>
      <w:r>
        <w:rPr>
          <w:color w:val="231F20"/>
          <w:spacing w:val="21"/>
        </w:rPr>
        <w:t> </w:t>
      </w:r>
      <w:r>
        <w:rPr>
          <w:color w:val="231F20"/>
        </w:rPr>
        <w:t>the</w:t>
      </w:r>
      <w:r>
        <w:rPr>
          <w:color w:val="231F20"/>
          <w:spacing w:val="21"/>
        </w:rPr>
        <w:t> </w:t>
      </w:r>
      <w:r>
        <w:rPr>
          <w:color w:val="231F20"/>
        </w:rPr>
        <w:t>Situation</w:t>
      </w:r>
      <w:r>
        <w:rPr>
          <w:color w:val="231F20"/>
          <w:spacing w:val="21"/>
        </w:rPr>
        <w:t> </w:t>
      </w:r>
      <w:r>
        <w:rPr>
          <w:color w:val="231F20"/>
        </w:rPr>
        <w:t>editor is opened from the Navigator pop-up menu. As agents report monitoring data, and especially when that data is being collected and stored in a Tivoli Data Warehouse, you can better determine the values and circumstances</w:t>
      </w:r>
      <w:r>
        <w:rPr>
          <w:color w:val="231F20"/>
          <w:spacing w:val="80"/>
        </w:rPr>
        <w:t> </w:t>
      </w:r>
      <w:r>
        <w:rPr>
          <w:color w:val="231F20"/>
        </w:rPr>
        <w:t>that</w:t>
      </w:r>
      <w:r>
        <w:rPr>
          <w:color w:val="231F20"/>
          <w:spacing w:val="27"/>
        </w:rPr>
        <w:t> </w:t>
      </w:r>
      <w:r>
        <w:rPr>
          <w:color w:val="231F20"/>
        </w:rPr>
        <w:t>are</w:t>
      </w:r>
      <w:r>
        <w:rPr>
          <w:color w:val="231F20"/>
          <w:spacing w:val="27"/>
        </w:rPr>
        <w:t> </w:t>
      </w:r>
      <w:r>
        <w:rPr>
          <w:color w:val="231F20"/>
        </w:rPr>
        <w:t>worthy</w:t>
      </w:r>
      <w:r>
        <w:rPr>
          <w:color w:val="231F20"/>
          <w:spacing w:val="27"/>
        </w:rPr>
        <w:t> </w:t>
      </w:r>
      <w:r>
        <w:rPr>
          <w:color w:val="231F20"/>
        </w:rPr>
        <w:t>of</w:t>
      </w:r>
      <w:r>
        <w:rPr>
          <w:color w:val="231F20"/>
          <w:spacing w:val="27"/>
        </w:rPr>
        <w:t> </w:t>
      </w:r>
      <w:r>
        <w:rPr>
          <w:color w:val="231F20"/>
        </w:rPr>
        <w:t>an</w:t>
      </w:r>
      <w:r>
        <w:rPr>
          <w:color w:val="231F20"/>
          <w:spacing w:val="27"/>
        </w:rPr>
        <w:t> </w:t>
      </w:r>
      <w:r>
        <w:rPr>
          <w:color w:val="231F20"/>
        </w:rPr>
        <w:t>alert,</w:t>
      </w:r>
      <w:r>
        <w:rPr>
          <w:color w:val="231F20"/>
          <w:spacing w:val="27"/>
        </w:rPr>
        <w:t> </w:t>
      </w:r>
      <w:r>
        <w:rPr>
          <w:color w:val="231F20"/>
        </w:rPr>
        <w:t>such</w:t>
      </w:r>
      <w:r>
        <w:rPr>
          <w:color w:val="231F20"/>
          <w:spacing w:val="27"/>
        </w:rPr>
        <w:t> </w:t>
      </w:r>
      <w:r>
        <w:rPr>
          <w:color w:val="231F20"/>
        </w:rPr>
        <w:t>as</w:t>
      </w:r>
      <w:r>
        <w:rPr>
          <w:color w:val="231F20"/>
          <w:spacing w:val="27"/>
        </w:rPr>
        <w:t> </w:t>
      </w:r>
      <w:r>
        <w:rPr>
          <w:color w:val="231F20"/>
        </w:rPr>
        <w:t>high</w:t>
      </w:r>
      <w:r>
        <w:rPr>
          <w:color w:val="231F20"/>
          <w:spacing w:val="27"/>
        </w:rPr>
        <w:t> </w:t>
      </w:r>
      <w:r>
        <w:rPr>
          <w:color w:val="231F20"/>
        </w:rPr>
        <w:t>CPU</w:t>
      </w:r>
      <w:r>
        <w:rPr>
          <w:color w:val="231F20"/>
          <w:spacing w:val="27"/>
        </w:rPr>
        <w:t> </w:t>
      </w:r>
      <w:r>
        <w:rPr>
          <w:color w:val="231F20"/>
        </w:rPr>
        <w:t>activity</w:t>
      </w:r>
      <w:r>
        <w:rPr>
          <w:color w:val="231F20"/>
          <w:spacing w:val="27"/>
        </w:rPr>
        <w:t> </w:t>
      </w:r>
      <w:r>
        <w:rPr>
          <w:color w:val="231F20"/>
        </w:rPr>
        <w:t>on</w:t>
      </w:r>
      <w:r>
        <w:rPr>
          <w:color w:val="231F20"/>
          <w:spacing w:val="27"/>
        </w:rPr>
        <w:t> </w:t>
      </w:r>
      <w:r>
        <w:rPr>
          <w:color w:val="231F20"/>
        </w:rPr>
        <w:t>a</w:t>
      </w:r>
      <w:r>
        <w:rPr>
          <w:color w:val="231F20"/>
          <w:spacing w:val="27"/>
        </w:rPr>
        <w:t> </w:t>
      </w:r>
      <w:r>
        <w:rPr>
          <w:color w:val="231F20"/>
        </w:rPr>
        <w:t>transaction server at peak times.</w:t>
      </w:r>
    </w:p>
    <w:p>
      <w:pPr>
        <w:pStyle w:val="Heading6"/>
        <w:spacing w:before="109"/>
        <w:ind w:left="2232"/>
      </w:pPr>
      <w:r>
        <w:rPr>
          <w:color w:val="231F20"/>
          <w:spacing w:val="-2"/>
        </w:rPr>
        <w:t>Policies</w:t>
      </w:r>
    </w:p>
    <w:p>
      <w:pPr>
        <w:pStyle w:val="BodyText"/>
        <w:spacing w:line="213" w:lineRule="auto" w:before="12"/>
        <w:ind w:left="2951" w:right="412"/>
        <w:jc w:val="both"/>
      </w:pPr>
      <w:r>
        <w:rPr>
          <w:color w:val="231F20"/>
        </w:rPr>
        <w:t>The predefined policies that are available with some products are not set </w:t>
      </w:r>
      <w:r>
        <w:rPr>
          <w:color w:val="231F20"/>
        </w:rPr>
        <w:t>to start automatically. This is primarily because policies automate activities, as described in the policy workflow.</w:t>
      </w:r>
    </w:p>
    <w:p>
      <w:pPr>
        <w:pStyle w:val="Heading6"/>
        <w:spacing w:before="116"/>
        <w:ind w:left="2232"/>
      </w:pPr>
      <w:r>
        <w:rPr>
          <w:color w:val="231F20"/>
        </w:rPr>
        <w:t>Managed</w:t>
      </w:r>
      <w:r>
        <w:rPr>
          <w:color w:val="231F20"/>
          <w:spacing w:val="8"/>
        </w:rPr>
        <w:t> </w:t>
      </w:r>
      <w:r>
        <w:rPr>
          <w:color w:val="231F20"/>
        </w:rPr>
        <w:t>system</w:t>
      </w:r>
      <w:r>
        <w:rPr>
          <w:color w:val="231F20"/>
          <w:spacing w:val="9"/>
        </w:rPr>
        <w:t> </w:t>
      </w:r>
      <w:r>
        <w:rPr>
          <w:color w:val="231F20"/>
          <w:spacing w:val="-2"/>
        </w:rPr>
        <w:t>groups</w:t>
      </w:r>
    </w:p>
    <w:p>
      <w:pPr>
        <w:pStyle w:val="BodyText"/>
        <w:spacing w:line="213" w:lineRule="auto" w:before="12"/>
        <w:ind w:left="2951" w:right="433"/>
      </w:pPr>
      <w:r>
        <w:rPr>
          <w:color w:val="231F20"/>
        </w:rPr>
        <w:t>The Tivoli Enterprise Monitoring Server and every IBM Tivoli Monitoring product</w:t>
      </w:r>
      <w:r>
        <w:rPr>
          <w:color w:val="231F20"/>
          <w:spacing w:val="29"/>
        </w:rPr>
        <w:t> </w:t>
      </w:r>
      <w:r>
        <w:rPr>
          <w:color w:val="231F20"/>
        </w:rPr>
        <w:t>has</w:t>
      </w:r>
      <w:r>
        <w:rPr>
          <w:color w:val="231F20"/>
          <w:spacing w:val="29"/>
        </w:rPr>
        <w:t> </w:t>
      </w:r>
      <w:r>
        <w:rPr>
          <w:color w:val="231F20"/>
        </w:rPr>
        <w:t>at</w:t>
      </w:r>
      <w:r>
        <w:rPr>
          <w:color w:val="231F20"/>
          <w:spacing w:val="29"/>
        </w:rPr>
        <w:t> </w:t>
      </w:r>
      <w:r>
        <w:rPr>
          <w:color w:val="231F20"/>
        </w:rPr>
        <w:t>least</w:t>
      </w:r>
      <w:r>
        <w:rPr>
          <w:color w:val="231F20"/>
          <w:spacing w:val="29"/>
        </w:rPr>
        <w:t> </w:t>
      </w:r>
      <w:r>
        <w:rPr>
          <w:color w:val="231F20"/>
        </w:rPr>
        <w:t>one</w:t>
      </w:r>
      <w:r>
        <w:rPr>
          <w:color w:val="231F20"/>
          <w:spacing w:val="29"/>
        </w:rPr>
        <w:t> </w:t>
      </w:r>
      <w:r>
        <w:rPr>
          <w:color w:val="231F20"/>
        </w:rPr>
        <w:t>predefined</w:t>
      </w:r>
      <w:r>
        <w:rPr>
          <w:color w:val="231F20"/>
          <w:spacing w:val="29"/>
        </w:rPr>
        <w:t> </w:t>
      </w:r>
      <w:r>
        <w:rPr>
          <w:color w:val="231F20"/>
        </w:rPr>
        <w:t>managed</w:t>
      </w:r>
      <w:r>
        <w:rPr>
          <w:color w:val="231F20"/>
          <w:spacing w:val="29"/>
        </w:rPr>
        <w:t> </w:t>
      </w:r>
      <w:r>
        <w:rPr>
          <w:color w:val="231F20"/>
        </w:rPr>
        <w:t>system</w:t>
      </w:r>
      <w:r>
        <w:rPr>
          <w:color w:val="231F20"/>
          <w:spacing w:val="29"/>
        </w:rPr>
        <w:t> </w:t>
      </w:r>
      <w:r>
        <w:rPr>
          <w:color w:val="231F20"/>
        </w:rPr>
        <w:t>group,</w:t>
      </w:r>
      <w:r>
        <w:rPr>
          <w:color w:val="231F20"/>
          <w:spacing w:val="29"/>
        </w:rPr>
        <w:t> </w:t>
      </w:r>
      <w:r>
        <w:rPr>
          <w:color w:val="231F20"/>
        </w:rPr>
        <w:t>indicated</w:t>
      </w:r>
      <w:r>
        <w:rPr>
          <w:color w:val="231F20"/>
          <w:spacing w:val="29"/>
        </w:rPr>
        <w:t> </w:t>
      </w:r>
      <w:r>
        <w:rPr>
          <w:color w:val="231F20"/>
        </w:rPr>
        <w:t>by an asterisk at the beginning of the list name, such as *NT_SYSTEM for the Windows OS agent. When you assign one of these managed system </w:t>
      </w:r>
      <w:r>
        <w:rPr>
          <w:color w:val="231F20"/>
        </w:rPr>
        <w:t>groups to a situation, policy, historical collection configuration, or custom</w:t>
      </w:r>
      <w:r>
        <w:rPr>
          <w:color w:val="231F20"/>
          <w:spacing w:val="40"/>
        </w:rPr>
        <w:t> </w:t>
      </w:r>
      <w:r>
        <w:rPr>
          <w:color w:val="231F20"/>
        </w:rPr>
        <w:t>Navigator, all managed systems with that agent installed are selected.</w:t>
      </w:r>
    </w:p>
    <w:p>
      <w:pPr>
        <w:pStyle w:val="Heading6"/>
        <w:spacing w:before="114"/>
        <w:ind w:left="2232"/>
      </w:pPr>
      <w:r>
        <w:rPr>
          <w:color w:val="231F20"/>
        </w:rPr>
        <w:t>Navigator</w:t>
      </w:r>
      <w:r>
        <w:rPr>
          <w:color w:val="231F20"/>
          <w:spacing w:val="6"/>
        </w:rPr>
        <w:t> </w:t>
      </w:r>
      <w:r>
        <w:rPr>
          <w:color w:val="231F20"/>
          <w:spacing w:val="-2"/>
        </w:rPr>
        <w:t>views</w:t>
      </w:r>
    </w:p>
    <w:p>
      <w:pPr>
        <w:pStyle w:val="BodyText"/>
        <w:spacing w:line="258" w:lineRule="exact"/>
        <w:ind w:left="2951"/>
      </w:pPr>
      <w:r>
        <w:rPr>
          <w:color w:val="231F20"/>
        </w:rPr>
        <w:t>Some</w:t>
      </w:r>
      <w:r>
        <w:rPr>
          <w:color w:val="231F20"/>
          <w:spacing w:val="10"/>
        </w:rPr>
        <w:t> </w:t>
      </w:r>
      <w:r>
        <w:rPr>
          <w:color w:val="231F20"/>
        </w:rPr>
        <w:t>products</w:t>
      </w:r>
      <w:r>
        <w:rPr>
          <w:color w:val="231F20"/>
          <w:spacing w:val="10"/>
        </w:rPr>
        <w:t> </w:t>
      </w:r>
      <w:r>
        <w:rPr>
          <w:color w:val="231F20"/>
        </w:rPr>
        <w:t>have</w:t>
      </w:r>
      <w:r>
        <w:rPr>
          <w:color w:val="231F20"/>
          <w:spacing w:val="10"/>
        </w:rPr>
        <w:t> </w:t>
      </w:r>
      <w:r>
        <w:rPr>
          <w:color w:val="231F20"/>
        </w:rPr>
        <w:t>custom</w:t>
      </w:r>
      <w:r>
        <w:rPr>
          <w:color w:val="231F20"/>
          <w:spacing w:val="11"/>
        </w:rPr>
        <w:t> </w:t>
      </w:r>
      <w:r>
        <w:rPr>
          <w:color w:val="231F20"/>
        </w:rPr>
        <w:t>Navigator</w:t>
      </w:r>
      <w:r>
        <w:rPr>
          <w:color w:val="231F20"/>
          <w:spacing w:val="10"/>
        </w:rPr>
        <w:t> </w:t>
      </w:r>
      <w:r>
        <w:rPr>
          <w:color w:val="231F20"/>
        </w:rPr>
        <w:t>views</w:t>
      </w:r>
      <w:r>
        <w:rPr>
          <w:color w:val="231F20"/>
          <w:spacing w:val="10"/>
        </w:rPr>
        <w:t> </w:t>
      </w:r>
      <w:r>
        <w:rPr>
          <w:color w:val="231F20"/>
        </w:rPr>
        <w:t>for</w:t>
      </w:r>
      <w:r>
        <w:rPr>
          <w:color w:val="231F20"/>
          <w:spacing w:val="10"/>
        </w:rPr>
        <w:t> </w:t>
      </w:r>
      <w:r>
        <w:rPr>
          <w:color w:val="231F20"/>
        </w:rPr>
        <w:t>access</w:t>
      </w:r>
      <w:r>
        <w:rPr>
          <w:color w:val="231F20"/>
          <w:spacing w:val="11"/>
        </w:rPr>
        <w:t> </w:t>
      </w:r>
      <w:r>
        <w:rPr>
          <w:color w:val="231F20"/>
        </w:rPr>
        <w:t>to</w:t>
      </w:r>
      <w:r>
        <w:rPr>
          <w:color w:val="231F20"/>
          <w:spacing w:val="10"/>
        </w:rPr>
        <w:t> </w:t>
      </w:r>
      <w:r>
        <w:rPr>
          <w:color w:val="231F20"/>
        </w:rPr>
        <w:t>special</w:t>
      </w:r>
      <w:r>
        <w:rPr>
          <w:color w:val="231F20"/>
          <w:spacing w:val="10"/>
        </w:rPr>
        <w:t> </w:t>
      </w:r>
      <w:r>
        <w:rPr>
          <w:color w:val="231F20"/>
          <w:spacing w:val="-2"/>
        </w:rPr>
        <w:t>features.</w:t>
      </w:r>
    </w:p>
    <w:p>
      <w:pPr>
        <w:spacing w:after="0" w:line="258" w:lineRule="exact"/>
        <w:sectPr>
          <w:pgSz w:w="12240" w:h="15840"/>
          <w:pgMar w:header="0" w:footer="736" w:top="1180" w:bottom="920" w:left="1000" w:right="1060"/>
        </w:sectPr>
      </w:pPr>
    </w:p>
    <w:p>
      <w:pPr>
        <w:pStyle w:val="Heading6"/>
        <w:spacing w:line="240" w:lineRule="auto" w:before="62"/>
        <w:rPr>
          <w:rFonts w:ascii="Palatino Linotype"/>
          <w:b w:val="0"/>
        </w:rPr>
      </w:pPr>
      <w:bookmarkStart w:name="_bookmark9" w:id="21"/>
      <w:bookmarkEnd w:id="21"/>
      <w:r>
        <w:rPr>
          <w:b w:val="0"/>
        </w:rPr>
      </w: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66" w:lineRule="auto" w:before="29"/>
        <w:ind w:left="2472" w:right="5533"/>
      </w:pPr>
      <w:hyperlink w:history="true" w:anchor="_bookmark23">
        <w:r>
          <w:rPr>
            <w:color w:val="231F20"/>
          </w:rPr>
          <w:t>Using</w:t>
        </w:r>
        <w:r>
          <w:rPr>
            <w:color w:val="231F20"/>
            <w:spacing w:val="-8"/>
          </w:rPr>
          <w:t> </w:t>
        </w:r>
        <w:r>
          <w:rPr>
            <w:color w:val="231F20"/>
          </w:rPr>
          <w:t>workspaces</w:t>
        </w:r>
      </w:hyperlink>
      <w:r>
        <w:rPr>
          <w:color w:val="231F20"/>
        </w:rPr>
        <w:t> </w:t>
      </w:r>
      <w:hyperlink w:history="true" w:anchor="_bookmark138">
        <w:r>
          <w:rPr>
            <w:color w:val="231F20"/>
          </w:rPr>
          <w:t>Custom queries</w:t>
        </w:r>
      </w:hyperlink>
    </w:p>
    <w:p>
      <w:pPr>
        <w:pStyle w:val="BodyText"/>
        <w:spacing w:line="194" w:lineRule="exact"/>
        <w:ind w:left="2472"/>
      </w:pPr>
      <w:r>
        <w:rPr>
          <w:color w:val="231F20"/>
        </w:rPr>
        <w:t>In</w:t>
      </w:r>
      <w:r>
        <w:rPr>
          <w:color w:val="231F20"/>
          <w:spacing w:val="9"/>
        </w:rPr>
        <w:t> </w:t>
      </w:r>
      <w:r>
        <w:rPr>
          <w:color w:val="231F20"/>
        </w:rPr>
        <w:t>views</w:t>
      </w:r>
      <w:r>
        <w:rPr>
          <w:color w:val="231F20"/>
          <w:spacing w:val="9"/>
        </w:rPr>
        <w:t> </w:t>
      </w:r>
      <w:r>
        <w:rPr>
          <w:color w:val="231F20"/>
        </w:rPr>
        <w:t>that</w:t>
      </w:r>
      <w:r>
        <w:rPr>
          <w:color w:val="231F20"/>
          <w:spacing w:val="10"/>
        </w:rPr>
        <w:t> </w:t>
      </w:r>
      <w:r>
        <w:rPr>
          <w:color w:val="231F20"/>
        </w:rPr>
        <w:t>display</w:t>
      </w:r>
      <w:r>
        <w:rPr>
          <w:color w:val="231F20"/>
          <w:spacing w:val="9"/>
        </w:rPr>
        <w:t> </w:t>
      </w:r>
      <w:r>
        <w:rPr>
          <w:color w:val="231F20"/>
        </w:rPr>
        <w:t>monitored</w:t>
      </w:r>
      <w:r>
        <w:rPr>
          <w:color w:val="231F20"/>
          <w:spacing w:val="10"/>
        </w:rPr>
        <w:t> </w:t>
      </w:r>
      <w:r>
        <w:rPr>
          <w:color w:val="231F20"/>
        </w:rPr>
        <w:t>data,</w:t>
      </w:r>
      <w:r>
        <w:rPr>
          <w:color w:val="231F20"/>
          <w:spacing w:val="9"/>
        </w:rPr>
        <w:t> </w:t>
      </w:r>
      <w:r>
        <w:rPr>
          <w:color w:val="231F20"/>
        </w:rPr>
        <w:t>attribute</w:t>
      </w:r>
      <w:r>
        <w:rPr>
          <w:color w:val="231F20"/>
          <w:spacing w:val="10"/>
        </w:rPr>
        <w:t> </w:t>
      </w:r>
      <w:r>
        <w:rPr>
          <w:color w:val="231F20"/>
        </w:rPr>
        <w:t>values</w:t>
      </w:r>
      <w:r>
        <w:rPr>
          <w:color w:val="231F20"/>
          <w:spacing w:val="9"/>
        </w:rPr>
        <w:t> </w:t>
      </w:r>
      <w:r>
        <w:rPr>
          <w:color w:val="231F20"/>
        </w:rPr>
        <w:t>from</w:t>
      </w:r>
      <w:r>
        <w:rPr>
          <w:color w:val="231F20"/>
          <w:spacing w:val="10"/>
        </w:rPr>
        <w:t> </w:t>
      </w:r>
      <w:r>
        <w:rPr>
          <w:color w:val="231F20"/>
        </w:rPr>
        <w:t>managed</w:t>
      </w:r>
      <w:r>
        <w:rPr>
          <w:color w:val="231F20"/>
          <w:spacing w:val="9"/>
        </w:rPr>
        <w:t> </w:t>
      </w:r>
      <w:r>
        <w:rPr>
          <w:color w:val="231F20"/>
        </w:rPr>
        <w:t>systems</w:t>
      </w:r>
      <w:r>
        <w:rPr>
          <w:color w:val="231F20"/>
          <w:spacing w:val="10"/>
        </w:rPr>
        <w:t> </w:t>
      </w:r>
      <w:r>
        <w:rPr>
          <w:color w:val="231F20"/>
          <w:spacing w:val="-5"/>
        </w:rPr>
        <w:t>are</w:t>
      </w:r>
    </w:p>
    <w:p>
      <w:pPr>
        <w:pStyle w:val="BodyText"/>
        <w:spacing w:line="213" w:lineRule="auto" w:before="8"/>
        <w:ind w:left="2472" w:right="379"/>
      </w:pPr>
      <w:r>
        <w:rPr>
          <w:color w:val="231F20"/>
        </w:rPr>
        <w:t>retrieved by queries to the Tivoli Enterprise Monitoring Server. You can edit the queries that are used in the predefined workspaces for your monitoring </w:t>
      </w:r>
      <w:r>
        <w:rPr>
          <w:color w:val="231F20"/>
        </w:rPr>
        <w:t>products, or create new queries to populate new views. In addition, you can retrieve data from any JDBC- or ODBC-compliant database to display in a chart or table by writing an SQL SELECT statement.</w:t>
      </w:r>
    </w:p>
    <w:p>
      <w:pPr>
        <w:pStyle w:val="BodyText"/>
        <w:spacing w:line="255" w:lineRule="exact" w:before="33"/>
        <w:ind w:left="2472"/>
      </w:pPr>
      <w:hyperlink w:history="true" w:anchor="_bookmark263">
        <w:r>
          <w:rPr>
            <w:color w:val="231F20"/>
          </w:rPr>
          <w:t>Take</w:t>
        </w:r>
        <w:r>
          <w:rPr>
            <w:color w:val="231F20"/>
            <w:spacing w:val="1"/>
          </w:rPr>
          <w:t> </w:t>
        </w:r>
        <w:r>
          <w:rPr>
            <w:color w:val="231F20"/>
          </w:rPr>
          <w:t>action</w:t>
        </w:r>
        <w:r>
          <w:rPr>
            <w:color w:val="231F20"/>
            <w:spacing w:val="2"/>
          </w:rPr>
          <w:t> </w:t>
        </w:r>
        <w:r>
          <w:rPr>
            <w:color w:val="231F20"/>
            <w:spacing w:val="-2"/>
          </w:rPr>
          <w:t>commands</w:t>
        </w:r>
      </w:hyperlink>
    </w:p>
    <w:p>
      <w:pPr>
        <w:pStyle w:val="BodyText"/>
        <w:spacing w:line="213" w:lineRule="auto" w:before="8"/>
        <w:ind w:left="2472"/>
      </w:pPr>
      <w:r>
        <w:rPr>
          <w:color w:val="231F20"/>
        </w:rPr>
        <w:t>The take action feature enables you to invoke a predefined command or enter a command on a selected managed system. Action commands can also be added </w:t>
      </w:r>
      <w:r>
        <w:rPr>
          <w:color w:val="231F20"/>
        </w:rPr>
        <w:t>to situations to implement simple (reflex) automation when an event is opened.</w:t>
      </w:r>
    </w:p>
    <w:p>
      <w:pPr>
        <w:pStyle w:val="BodyText"/>
        <w:spacing w:line="255" w:lineRule="exact" w:before="35"/>
        <w:ind w:left="2472"/>
      </w:pPr>
      <w:hyperlink w:history="true" w:anchor="_bookmark180">
        <w:r>
          <w:rPr>
            <w:color w:val="231F20"/>
          </w:rPr>
          <w:t>Situations</w:t>
        </w:r>
        <w:r>
          <w:rPr>
            <w:color w:val="231F20"/>
            <w:spacing w:val="10"/>
          </w:rPr>
          <w:t> </w:t>
        </w:r>
        <w:r>
          <w:rPr>
            <w:color w:val="231F20"/>
          </w:rPr>
          <w:t>for</w:t>
        </w:r>
        <w:r>
          <w:rPr>
            <w:color w:val="231F20"/>
            <w:spacing w:val="11"/>
          </w:rPr>
          <w:t> </w:t>
        </w:r>
        <w:r>
          <w:rPr>
            <w:color w:val="231F20"/>
          </w:rPr>
          <w:t>event</w:t>
        </w:r>
        <w:r>
          <w:rPr>
            <w:color w:val="231F20"/>
            <w:spacing w:val="10"/>
          </w:rPr>
          <w:t> </w:t>
        </w:r>
        <w:r>
          <w:rPr>
            <w:color w:val="231F20"/>
            <w:spacing w:val="-2"/>
          </w:rPr>
          <w:t>monitoring</w:t>
        </w:r>
      </w:hyperlink>
    </w:p>
    <w:p>
      <w:pPr>
        <w:pStyle w:val="BodyText"/>
        <w:spacing w:line="213" w:lineRule="auto" w:before="8"/>
        <w:ind w:left="2472" w:right="493"/>
      </w:pPr>
      <w:r>
        <w:rPr>
          <w:color w:val="231F20"/>
        </w:rPr>
        <w:t>Situations are definitions of conditions to test, such as slow transaction rates or invalid logon attempts. Use situations to raise alerts of certain conditions and </w:t>
      </w:r>
      <w:r>
        <w:rPr>
          <w:color w:val="231F20"/>
        </w:rPr>
        <w:t>to trigger single action commands or automated workflows.</w:t>
      </w:r>
    </w:p>
    <w:p>
      <w:pPr>
        <w:pStyle w:val="BodyText"/>
        <w:spacing w:line="255" w:lineRule="exact" w:before="35"/>
        <w:ind w:left="2472"/>
      </w:pPr>
      <w:hyperlink w:history="true" w:anchor="_bookmark235">
        <w:r>
          <w:rPr>
            <w:color w:val="231F20"/>
          </w:rPr>
          <w:t>Automation</w:t>
        </w:r>
        <w:r>
          <w:rPr>
            <w:color w:val="231F20"/>
            <w:spacing w:val="8"/>
          </w:rPr>
          <w:t> </w:t>
        </w:r>
        <w:r>
          <w:rPr>
            <w:color w:val="231F20"/>
          </w:rPr>
          <w:t>with</w:t>
        </w:r>
        <w:r>
          <w:rPr>
            <w:color w:val="231F20"/>
            <w:spacing w:val="9"/>
          </w:rPr>
          <w:t> </w:t>
        </w:r>
        <w:r>
          <w:rPr>
            <w:color w:val="231F20"/>
            <w:spacing w:val="-2"/>
          </w:rPr>
          <w:t>policies</w:t>
        </w:r>
      </w:hyperlink>
    </w:p>
    <w:p>
      <w:pPr>
        <w:pStyle w:val="BodyText"/>
        <w:spacing w:line="213" w:lineRule="auto" w:before="8"/>
        <w:ind w:left="2472" w:right="258"/>
      </w:pPr>
      <w:r>
        <w:rPr>
          <w:color w:val="231F20"/>
        </w:rPr>
        <w:t>A </w:t>
      </w:r>
      <w:r>
        <w:rPr>
          <w:rFonts w:ascii="Book Antiqua"/>
          <w:i/>
          <w:color w:val="231F20"/>
        </w:rPr>
        <w:t>policy </w:t>
      </w:r>
      <w:r>
        <w:rPr>
          <w:color w:val="231F20"/>
        </w:rPr>
        <w:t>is a logical expression that describes a series, or </w:t>
      </w:r>
      <w:r>
        <w:rPr>
          <w:rFonts w:ascii="Book Antiqua"/>
          <w:i/>
          <w:color w:val="231F20"/>
        </w:rPr>
        <w:t>workflow</w:t>
      </w:r>
      <w:r>
        <w:rPr>
          <w:color w:val="231F20"/>
        </w:rPr>
        <w:t>, of automated</w:t>
      </w:r>
      <w:r>
        <w:rPr>
          <w:color w:val="231F20"/>
          <w:spacing w:val="40"/>
        </w:rPr>
        <w:t> </w:t>
      </w:r>
      <w:r>
        <w:rPr>
          <w:color w:val="231F20"/>
        </w:rPr>
        <w:t>steps, called </w:t>
      </w:r>
      <w:r>
        <w:rPr>
          <w:rFonts w:ascii="Book Antiqua"/>
          <w:i/>
          <w:color w:val="231F20"/>
        </w:rPr>
        <w:t>activities</w:t>
      </w:r>
      <w:r>
        <w:rPr>
          <w:color w:val="231F20"/>
        </w:rPr>
        <w:t>, whose order of execution you control. You can create policies that implement fully automated workflow strategies and policies that require user </w:t>
      </w:r>
      <w:r>
        <w:rPr>
          <w:color w:val="231F20"/>
          <w:spacing w:val="-2"/>
        </w:rPr>
        <w:t>intervention.</w:t>
      </w:r>
    </w:p>
    <w:p>
      <w:pPr>
        <w:pStyle w:val="BodyText"/>
        <w:spacing w:line="255" w:lineRule="exact" w:before="34"/>
        <w:ind w:left="2472"/>
      </w:pPr>
      <w:hyperlink w:history="true" w:anchor="_bookmark287">
        <w:r>
          <w:rPr>
            <w:color w:val="231F20"/>
          </w:rPr>
          <w:t>Grouping</w:t>
        </w:r>
        <w:r>
          <w:rPr>
            <w:color w:val="231F20"/>
            <w:spacing w:val="3"/>
          </w:rPr>
          <w:t> </w:t>
        </w:r>
        <w:r>
          <w:rPr>
            <w:color w:val="231F20"/>
            <w:spacing w:val="-2"/>
          </w:rPr>
          <w:t>objects</w:t>
        </w:r>
      </w:hyperlink>
    </w:p>
    <w:p>
      <w:pPr>
        <w:pStyle w:val="BodyText"/>
        <w:spacing w:line="213" w:lineRule="auto" w:before="8"/>
        <w:ind w:left="2472" w:right="545"/>
      </w:pPr>
      <w:r>
        <w:rPr>
          <w:color w:val="231F20"/>
        </w:rPr>
        <w:t>Use the Object group editor to organize situations, managed systems, and historical configurations into named collections that can be applied with a </w:t>
      </w:r>
      <w:r>
        <w:rPr>
          <w:color w:val="231F20"/>
        </w:rPr>
        <w:t>single </w:t>
      </w:r>
      <w:r>
        <w:rPr>
          <w:color w:val="231F20"/>
          <w:spacing w:val="-2"/>
        </w:rPr>
        <w:t>action.</w:t>
      </w:r>
    </w:p>
    <w:p>
      <w:pPr>
        <w:pStyle w:val="BodyText"/>
        <w:spacing w:line="255" w:lineRule="exact" w:before="34"/>
        <w:ind w:left="2472"/>
      </w:pPr>
      <w:hyperlink w:history="true" w:anchor="_bookmark166">
        <w:r>
          <w:rPr>
            <w:color w:val="231F20"/>
          </w:rPr>
          <w:t>Navigator</w:t>
        </w:r>
        <w:r>
          <w:rPr>
            <w:color w:val="231F20"/>
            <w:spacing w:val="10"/>
          </w:rPr>
          <w:t> </w:t>
        </w:r>
        <w:r>
          <w:rPr>
            <w:color w:val="231F20"/>
          </w:rPr>
          <w:t>views</w:t>
        </w:r>
        <w:r>
          <w:rPr>
            <w:color w:val="231F20"/>
            <w:spacing w:val="10"/>
          </w:rPr>
          <w:t> </w:t>
        </w:r>
        <w:r>
          <w:rPr>
            <w:color w:val="231F20"/>
          </w:rPr>
          <w:t>for</w:t>
        </w:r>
        <w:r>
          <w:rPr>
            <w:color w:val="231F20"/>
            <w:spacing w:val="11"/>
          </w:rPr>
          <w:t> </w:t>
        </w:r>
        <w:r>
          <w:rPr>
            <w:color w:val="231F20"/>
          </w:rPr>
          <w:t>logical</w:t>
        </w:r>
        <w:r>
          <w:rPr>
            <w:color w:val="231F20"/>
            <w:spacing w:val="10"/>
          </w:rPr>
          <w:t> </w:t>
        </w:r>
        <w:r>
          <w:rPr>
            <w:color w:val="231F20"/>
            <w:spacing w:val="-2"/>
          </w:rPr>
          <w:t>organization</w:t>
        </w:r>
      </w:hyperlink>
    </w:p>
    <w:p>
      <w:pPr>
        <w:pStyle w:val="BodyText"/>
        <w:spacing w:line="213" w:lineRule="auto" w:before="8"/>
        <w:ind w:left="2472" w:right="545"/>
      </w:pPr>
      <w:r>
        <w:rPr>
          <w:color w:val="231F20"/>
        </w:rPr>
        <w:t>Create custom Navigator views to organize your monitored environment </w:t>
      </w:r>
      <w:r>
        <w:rPr>
          <w:color w:val="231F20"/>
        </w:rPr>
        <w:t>into logical hierarchical groupings. You can also create Navigator views and build workspaces that are targeted for specific points of view, such as executive, operator, or subject matter expert for an application domain.</w:t>
      </w:r>
    </w:p>
    <w:p>
      <w:pPr>
        <w:pStyle w:val="BodyText"/>
        <w:spacing w:before="4"/>
        <w:rPr>
          <w:sz w:val="16"/>
        </w:rPr>
      </w:pPr>
      <w:r>
        <w:rPr/>
        <mc:AlternateContent>
          <mc:Choice Requires="wps">
            <w:drawing>
              <wp:anchor distT="0" distB="0" distL="0" distR="0" allowOverlap="1" layoutInCell="1" locked="0" behindDoc="1" simplePos="0" relativeHeight="487619072">
                <wp:simplePos x="0" y="0"/>
                <wp:positionH relativeFrom="page">
                  <wp:posOffset>912380</wp:posOffset>
                </wp:positionH>
                <wp:positionV relativeFrom="paragraph">
                  <wp:posOffset>155356</wp:posOffset>
                </wp:positionV>
                <wp:extent cx="6082665" cy="1270"/>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2811pt;width:478.95pt;height:.1pt;mso-position-horizontal-relative:page;mso-position-vertical-relative:paragraph;z-index:-15697408;mso-wrap-distance-left:0;mso-wrap-distance-right:0" id="docshape25"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Tivoli Enterprise Portal tour" w:id="22"/>
      <w:bookmarkEnd w:id="22"/>
      <w:r>
        <w:rPr>
          <w:b w:val="0"/>
        </w:rPr>
      </w:r>
      <w:r>
        <w:rPr>
          <w:color w:val="231F20"/>
        </w:rPr>
        <w:t>Tivoli</w:t>
      </w:r>
      <w:r>
        <w:rPr>
          <w:color w:val="231F20"/>
          <w:spacing w:val="3"/>
        </w:rPr>
        <w:t> </w:t>
      </w:r>
      <w:r>
        <w:rPr>
          <w:color w:val="231F20"/>
        </w:rPr>
        <w:t>Enterprise</w:t>
      </w:r>
      <w:r>
        <w:rPr>
          <w:color w:val="231F20"/>
          <w:spacing w:val="4"/>
        </w:rPr>
        <w:t> </w:t>
      </w:r>
      <w:r>
        <w:rPr>
          <w:color w:val="231F20"/>
        </w:rPr>
        <w:t>Portal</w:t>
      </w:r>
      <w:r>
        <w:rPr>
          <w:color w:val="231F20"/>
          <w:spacing w:val="3"/>
        </w:rPr>
        <w:t> </w:t>
      </w:r>
      <w:r>
        <w:rPr>
          <w:color w:val="231F20"/>
          <w:spacing w:val="-4"/>
        </w:rPr>
        <w:t>tour</w:t>
      </w:r>
    </w:p>
    <w:p>
      <w:pPr>
        <w:pStyle w:val="BodyText"/>
        <w:spacing w:line="213" w:lineRule="auto" w:before="138"/>
        <w:ind w:left="2472"/>
      </w:pPr>
      <w:r>
        <w:rPr>
          <w:color w:val="231F20"/>
        </w:rPr>
        <w:t>Welcome to the Tivoli Enterprise Portal tour. In under 10 minutes, this </w:t>
      </w:r>
      <w:r>
        <w:rPr>
          <w:color w:val="231F20"/>
        </w:rPr>
        <w:t>hands-on </w:t>
      </w:r>
      <w:bookmarkStart w:name="Navigator" w:id="23"/>
      <w:bookmarkEnd w:id="23"/>
      <w:r>
        <w:rPr>
          <w:color w:val="231F20"/>
        </w:rPr>
        <w:t>practice</w:t>
      </w:r>
      <w:r>
        <w:rPr>
          <w:color w:val="231F20"/>
        </w:rPr>
        <w:t> introduces you to some of the major features.</w:t>
      </w:r>
    </w:p>
    <w:p>
      <w:pPr>
        <w:pStyle w:val="Heading3"/>
        <w:spacing w:before="218"/>
        <w:ind w:left="1574"/>
      </w:pPr>
      <w:r>
        <w:rPr>
          <w:color w:val="231F20"/>
          <w:spacing w:val="-2"/>
        </w:rPr>
        <w:t>Navigator</w:t>
      </w:r>
    </w:p>
    <w:p>
      <w:pPr>
        <w:pStyle w:val="BodyText"/>
        <w:spacing w:line="213" w:lineRule="auto" w:before="58"/>
        <w:ind w:left="2472" w:right="365"/>
        <w:jc w:val="both"/>
      </w:pPr>
      <w:r>
        <w:rPr>
          <w:color w:val="231F20"/>
        </w:rPr>
        <w:t>The Navigator Physical view shows the physical hierarchy of your network, </w:t>
      </w:r>
      <w:r>
        <w:rPr>
          <w:color w:val="231F20"/>
        </w:rPr>
        <w:t>with </w:t>
      </w:r>
      <w:r>
        <w:rPr>
          <w:rFonts w:ascii="Book Antiqua"/>
          <w:i/>
          <w:color w:val="231F20"/>
        </w:rPr>
        <w:t>enterprise </w:t>
      </w:r>
      <w:r>
        <w:rPr>
          <w:color w:val="231F20"/>
        </w:rPr>
        <w:t>at the top, followed by the </w:t>
      </w:r>
      <w:r>
        <w:rPr>
          <w:rFonts w:ascii="Book Antiqua"/>
          <w:i/>
          <w:color w:val="231F20"/>
        </w:rPr>
        <w:t>operating platform</w:t>
      </w:r>
      <w:r>
        <w:rPr>
          <w:color w:val="231F20"/>
        </w:rPr>
        <w:t>, and so on. Have a look at the levels of the Navigator:</w:t>
      </w:r>
    </w:p>
    <w:p>
      <w:pPr>
        <w:pStyle w:val="ListParagraph"/>
        <w:numPr>
          <w:ilvl w:val="0"/>
          <w:numId w:val="1"/>
        </w:numPr>
        <w:tabs>
          <w:tab w:pos="2788" w:val="left" w:leader="none"/>
        </w:tabs>
        <w:spacing w:line="213" w:lineRule="auto" w:before="58" w:after="0"/>
        <w:ind w:left="2788" w:right="483" w:hanging="316"/>
        <w:jc w:val="both"/>
        <w:rPr>
          <w:sz w:val="20"/>
        </w:rPr>
      </w:pPr>
      <w:r>
        <w:rPr>
          <w:color w:val="231F20"/>
          <w:sz w:val="20"/>
        </w:rPr>
        <w:t>Open the operating platform level (Linux Systems, UNIX Systems, </w:t>
      </w:r>
      <w:r>
        <w:rPr>
          <w:color w:val="231F20"/>
          <w:sz w:val="20"/>
        </w:rPr>
        <w:t>Windows Systems,</w:t>
      </w:r>
      <w:r>
        <w:rPr>
          <w:color w:val="231F20"/>
          <w:spacing w:val="29"/>
          <w:sz w:val="20"/>
        </w:rPr>
        <w:t> </w:t>
      </w:r>
      <w:r>
        <w:rPr>
          <w:color w:val="231F20"/>
          <w:sz w:val="20"/>
        </w:rPr>
        <w:t>or</w:t>
      </w:r>
      <w:r>
        <w:rPr>
          <w:color w:val="231F20"/>
          <w:spacing w:val="29"/>
          <w:sz w:val="20"/>
        </w:rPr>
        <w:t> </w:t>
      </w:r>
      <w:r>
        <w:rPr>
          <w:color w:val="231F20"/>
          <w:sz w:val="20"/>
        </w:rPr>
        <w:t>z/OS</w:t>
      </w:r>
      <w:r>
        <w:rPr>
          <w:color w:val="231F20"/>
          <w:spacing w:val="29"/>
          <w:sz w:val="20"/>
        </w:rPr>
        <w:t> </w:t>
      </w:r>
      <w:r>
        <w:rPr>
          <w:color w:val="231F20"/>
          <w:sz w:val="20"/>
        </w:rPr>
        <w:t>Systems)</w:t>
      </w:r>
      <w:r>
        <w:rPr>
          <w:color w:val="231F20"/>
          <w:spacing w:val="29"/>
          <w:sz w:val="20"/>
        </w:rPr>
        <w:t> </w:t>
      </w:r>
      <w:r>
        <w:rPr>
          <w:color w:val="231F20"/>
          <w:sz w:val="20"/>
        </w:rPr>
        <w:t>by</w:t>
      </w:r>
      <w:r>
        <w:rPr>
          <w:color w:val="231F20"/>
          <w:spacing w:val="29"/>
          <w:sz w:val="20"/>
        </w:rPr>
        <w:t> </w:t>
      </w:r>
      <w:r>
        <w:rPr>
          <w:color w:val="231F20"/>
          <w:sz w:val="20"/>
        </w:rPr>
        <w:t>clicking</w:t>
      </w:r>
      <w:r>
        <w:rPr>
          <w:color w:val="231F20"/>
          <w:spacing w:val="40"/>
          <w:sz w:val="20"/>
        </w:rPr>
        <w:t> </w:t>
      </w:r>
      <w:r>
        <w:rPr>
          <w:color w:val="231F20"/>
          <w:spacing w:val="5"/>
          <w:sz w:val="20"/>
        </w:rPr>
        <w:drawing>
          <wp:inline distT="0" distB="0" distL="0" distR="0">
            <wp:extent cx="69850" cy="69850"/>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sz w:val="20"/>
        </w:rPr>
      </w:r>
      <w:r>
        <w:rPr>
          <w:rFonts w:ascii="Times New Roman"/>
          <w:color w:val="231F20"/>
          <w:spacing w:val="80"/>
          <w:w w:val="150"/>
          <w:sz w:val="20"/>
        </w:rPr>
        <w:t> </w:t>
      </w:r>
      <w:r>
        <w:rPr>
          <w:color w:val="231F20"/>
          <w:sz w:val="20"/>
        </w:rPr>
        <w:t>Expand</w:t>
      </w:r>
      <w:r>
        <w:rPr>
          <w:color w:val="231F20"/>
          <w:spacing w:val="29"/>
          <w:sz w:val="20"/>
        </w:rPr>
        <w:t> </w:t>
      </w:r>
      <w:r>
        <w:rPr>
          <w:color w:val="231F20"/>
          <w:sz w:val="20"/>
        </w:rPr>
        <w:t>to</w:t>
      </w:r>
      <w:r>
        <w:rPr>
          <w:color w:val="231F20"/>
          <w:spacing w:val="29"/>
          <w:sz w:val="20"/>
        </w:rPr>
        <w:t> </w:t>
      </w:r>
      <w:r>
        <w:rPr>
          <w:color w:val="231F20"/>
          <w:sz w:val="20"/>
        </w:rPr>
        <w:t>the</w:t>
      </w:r>
      <w:r>
        <w:rPr>
          <w:color w:val="231F20"/>
          <w:spacing w:val="29"/>
          <w:sz w:val="20"/>
        </w:rPr>
        <w:t> </w:t>
      </w:r>
      <w:r>
        <w:rPr>
          <w:color w:val="231F20"/>
          <w:sz w:val="20"/>
        </w:rPr>
        <w:t>left</w:t>
      </w:r>
      <w:r>
        <w:rPr>
          <w:color w:val="231F20"/>
          <w:spacing w:val="29"/>
          <w:sz w:val="20"/>
        </w:rPr>
        <w:t> </w:t>
      </w:r>
      <w:r>
        <w:rPr>
          <w:color w:val="231F20"/>
          <w:sz w:val="20"/>
        </w:rPr>
        <w:t>of</w:t>
      </w:r>
      <w:r>
        <w:rPr>
          <w:color w:val="231F20"/>
          <w:spacing w:val="29"/>
          <w:sz w:val="20"/>
        </w:rPr>
        <w:t> </w:t>
      </w:r>
      <w:r>
        <w:rPr>
          <w:color w:val="231F20"/>
          <w:sz w:val="20"/>
        </w:rPr>
        <w:t>its</w:t>
      </w:r>
      <w:r>
        <w:rPr>
          <w:color w:val="231F20"/>
          <w:spacing w:val="29"/>
          <w:sz w:val="20"/>
        </w:rPr>
        <w:t> </w:t>
      </w:r>
      <w:r>
        <w:rPr>
          <w:color w:val="231F20"/>
          <w:sz w:val="20"/>
        </w:rPr>
        <w:t>icon.</w:t>
      </w:r>
    </w:p>
    <w:p>
      <w:pPr>
        <w:pStyle w:val="BodyText"/>
        <w:spacing w:line="255" w:lineRule="exact" w:before="35"/>
        <w:ind w:left="3087"/>
      </w:pPr>
      <w:r>
        <w:rPr>
          <w:position w:val="-1"/>
        </w:rPr>
        <w:drawing>
          <wp:inline distT="0" distB="0" distL="0" distR="0">
            <wp:extent cx="95250" cy="101600"/>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55" w:lineRule="exact"/>
        <w:ind w:left="3626"/>
      </w:pPr>
      <w:r>
        <w:rPr/>
        <w:drawing>
          <wp:inline distT="0" distB="0" distL="0" distR="0">
            <wp:extent cx="69850" cy="69850"/>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Windows Systems</w:t>
      </w:r>
    </w:p>
    <w:p>
      <w:pPr>
        <w:pStyle w:val="BodyText"/>
        <w:spacing w:before="30"/>
        <w:ind w:left="2788"/>
      </w:pPr>
      <w:r>
        <w:rPr>
          <w:color w:val="231F20"/>
        </w:rPr>
        <w:t>Opening</w:t>
      </w:r>
      <w:r>
        <w:rPr>
          <w:color w:val="231F20"/>
          <w:spacing w:val="11"/>
        </w:rPr>
        <w:t> </w:t>
      </w:r>
      <w:r>
        <w:rPr>
          <w:color w:val="231F20"/>
        </w:rPr>
        <w:t>a</w:t>
      </w:r>
      <w:r>
        <w:rPr>
          <w:color w:val="231F20"/>
          <w:spacing w:val="12"/>
        </w:rPr>
        <w:t> </w:t>
      </w:r>
      <w:r>
        <w:rPr>
          <w:color w:val="231F20"/>
        </w:rPr>
        <w:t>level</w:t>
      </w:r>
      <w:r>
        <w:rPr>
          <w:color w:val="231F20"/>
          <w:spacing w:val="11"/>
        </w:rPr>
        <w:t> </w:t>
      </w:r>
      <w:r>
        <w:rPr>
          <w:color w:val="231F20"/>
        </w:rPr>
        <w:t>in</w:t>
      </w:r>
      <w:r>
        <w:rPr>
          <w:color w:val="231F20"/>
          <w:spacing w:val="12"/>
        </w:rPr>
        <w:t> </w:t>
      </w:r>
      <w:r>
        <w:rPr>
          <w:color w:val="231F20"/>
        </w:rPr>
        <w:t>the</w:t>
      </w:r>
      <w:r>
        <w:rPr>
          <w:color w:val="231F20"/>
          <w:spacing w:val="12"/>
        </w:rPr>
        <w:t> </w:t>
      </w:r>
      <w:r>
        <w:rPr>
          <w:color w:val="231F20"/>
        </w:rPr>
        <w:t>Navigator</w:t>
      </w:r>
      <w:r>
        <w:rPr>
          <w:color w:val="231F20"/>
          <w:spacing w:val="11"/>
        </w:rPr>
        <w:t> </w:t>
      </w:r>
      <w:r>
        <w:rPr>
          <w:color w:val="231F20"/>
        </w:rPr>
        <w:t>reveals</w:t>
      </w:r>
      <w:r>
        <w:rPr>
          <w:color w:val="231F20"/>
          <w:spacing w:val="12"/>
        </w:rPr>
        <w:t> </w:t>
      </w:r>
      <w:r>
        <w:rPr>
          <w:color w:val="231F20"/>
        </w:rPr>
        <w:t>the</w:t>
      </w:r>
      <w:r>
        <w:rPr>
          <w:color w:val="231F20"/>
          <w:spacing w:val="11"/>
        </w:rPr>
        <w:t> </w:t>
      </w:r>
      <w:r>
        <w:rPr>
          <w:color w:val="231F20"/>
        </w:rPr>
        <w:t>next</w:t>
      </w:r>
      <w:r>
        <w:rPr>
          <w:color w:val="231F20"/>
          <w:spacing w:val="12"/>
        </w:rPr>
        <w:t> </w:t>
      </w:r>
      <w:r>
        <w:rPr>
          <w:color w:val="231F20"/>
        </w:rPr>
        <w:t>level</w:t>
      </w:r>
      <w:r>
        <w:rPr>
          <w:color w:val="231F20"/>
          <w:spacing w:val="12"/>
        </w:rPr>
        <w:t> </w:t>
      </w:r>
      <w:r>
        <w:rPr>
          <w:color w:val="231F20"/>
        </w:rPr>
        <w:t>in</w:t>
      </w:r>
      <w:r>
        <w:rPr>
          <w:color w:val="231F20"/>
          <w:spacing w:val="11"/>
        </w:rPr>
        <w:t> </w:t>
      </w:r>
      <w:r>
        <w:rPr>
          <w:color w:val="231F20"/>
        </w:rPr>
        <w:t>that</w:t>
      </w:r>
      <w:r>
        <w:rPr>
          <w:color w:val="231F20"/>
          <w:spacing w:val="12"/>
        </w:rPr>
        <w:t> </w:t>
      </w:r>
      <w:r>
        <w:rPr>
          <w:color w:val="231F20"/>
          <w:spacing w:val="-2"/>
        </w:rPr>
        <w:t>branch.</w:t>
      </w:r>
    </w:p>
    <w:p>
      <w:pPr>
        <w:pStyle w:val="ListParagraph"/>
        <w:numPr>
          <w:ilvl w:val="0"/>
          <w:numId w:val="1"/>
        </w:numPr>
        <w:tabs>
          <w:tab w:pos="2788" w:val="left" w:leader="none"/>
        </w:tabs>
        <w:spacing w:line="213" w:lineRule="auto" w:before="52" w:after="0"/>
        <w:ind w:left="2788" w:right="311" w:hanging="316"/>
        <w:jc w:val="left"/>
        <w:rPr>
          <w:sz w:val="20"/>
        </w:rPr>
      </w:pPr>
      <w:r>
        <w:rPr>
          <w:color w:val="231F20"/>
          <w:sz w:val="20"/>
        </w:rPr>
        <w:t>Open the operating platform level to see the names for the </w:t>
      </w:r>
      <w:r>
        <w:rPr>
          <w:rFonts w:ascii="Book Antiqua"/>
          <w:i/>
          <w:color w:val="231F20"/>
          <w:sz w:val="20"/>
        </w:rPr>
        <w:t>systems </w:t>
      </w:r>
      <w:r>
        <w:rPr>
          <w:color w:val="231F20"/>
          <w:sz w:val="20"/>
        </w:rPr>
        <w:t>running on that platform.</w:t>
      </w:r>
    </w:p>
    <w:p>
      <w:pPr>
        <w:pStyle w:val="BodyText"/>
        <w:spacing w:line="255" w:lineRule="exact" w:before="36"/>
        <w:ind w:left="3087"/>
      </w:pPr>
      <w:r>
        <w:rPr>
          <w:position w:val="-1"/>
        </w:rPr>
        <w:drawing>
          <wp:inline distT="0" distB="0" distL="0" distR="0">
            <wp:extent cx="95250" cy="101600"/>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13" w:lineRule="auto" w:before="7"/>
        <w:ind w:left="4092" w:right="4392" w:hanging="466"/>
      </w:pPr>
      <w:r>
        <w:rPr/>
        <w:drawing>
          <wp:inline distT="0" distB="0" distL="0" distR="0">
            <wp:extent cx="69850" cy="69850"/>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31"/>
          <w:position w:val="-1"/>
        </w:rPr>
        <w:t> </w:t>
      </w:r>
      <w:r>
        <w:rPr>
          <w:rFonts w:ascii="Times New Roman"/>
          <w:spacing w:val="-1"/>
          <w:position w:val="-1"/>
        </w:rPr>
        <w:drawing>
          <wp:inline distT="0" distB="0" distL="0" distR="0">
            <wp:extent cx="101600" cy="95250"/>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Windows </w:t>
      </w:r>
      <w:r>
        <w:rPr>
          <w:color w:val="231F20"/>
        </w:rPr>
        <w:t>Systems </w:t>
      </w:r>
      <w:r>
        <w:rPr>
          <w:color w:val="231F20"/>
        </w:rPr>
        <w:drawing>
          <wp:inline distT="0" distB="0" distL="0" distR="0">
            <wp:extent cx="69849" cy="69850"/>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89" cstate="print"/>
                    <a:stretch>
                      <a:fillRect/>
                    </a:stretch>
                  </pic:blipFill>
                  <pic:spPr>
                    <a:xfrm>
                      <a:off x="0" y="0"/>
                      <a:ext cx="69849"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145" name="Image 145"/>
            <wp:cNvGraphicFramePr>
              <a:graphicFrameLocks/>
            </wp:cNvGraphicFramePr>
            <a:graphic>
              <a:graphicData uri="http://schemas.openxmlformats.org/drawingml/2006/picture">
                <pic:pic>
                  <pic:nvPicPr>
                    <pic:cNvPr id="145" name="Image 145"/>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JDOE</w:t>
      </w:r>
    </w:p>
    <w:p>
      <w:pPr>
        <w:spacing w:after="0" w:line="213" w:lineRule="auto"/>
        <w:sectPr>
          <w:pgSz w:w="12240" w:h="15840"/>
          <w:pgMar w:header="0" w:footer="736" w:top="1180" w:bottom="920" w:left="1000" w:right="1060"/>
        </w:sectPr>
      </w:pPr>
    </w:p>
    <w:p>
      <w:pPr>
        <w:pStyle w:val="ListParagraph"/>
        <w:numPr>
          <w:ilvl w:val="0"/>
          <w:numId w:val="1"/>
        </w:numPr>
        <w:tabs>
          <w:tab w:pos="2546" w:val="left" w:leader="none"/>
          <w:tab w:pos="2548" w:val="left" w:leader="none"/>
        </w:tabs>
        <w:spacing w:line="213" w:lineRule="auto" w:before="85" w:after="0"/>
        <w:ind w:left="2548" w:right="889" w:hanging="317"/>
        <w:jc w:val="both"/>
        <w:rPr>
          <w:sz w:val="20"/>
        </w:rPr>
      </w:pPr>
      <w:bookmarkStart w:name="_bookmark10" w:id="24"/>
      <w:bookmarkEnd w:id="24"/>
      <w:r>
        <w:rPr/>
      </w:r>
      <w:r>
        <w:rPr>
          <w:color w:val="231F20"/>
          <w:sz w:val="20"/>
        </w:rPr>
        <w:t>Open any system to see the monitoring </w:t>
      </w:r>
      <w:r>
        <w:rPr>
          <w:rFonts w:ascii="Book Antiqua"/>
          <w:i/>
          <w:color w:val="231F20"/>
          <w:sz w:val="20"/>
        </w:rPr>
        <w:t>agents </w:t>
      </w:r>
      <w:r>
        <w:rPr>
          <w:color w:val="231F20"/>
          <w:sz w:val="20"/>
        </w:rPr>
        <w:t>installed on that system for monitoring applications and resources, and, below agents, the elements, </w:t>
      </w:r>
      <w:r>
        <w:rPr>
          <w:color w:val="231F20"/>
          <w:sz w:val="20"/>
        </w:rPr>
        <w:t>or </w:t>
      </w:r>
      <w:r>
        <w:rPr>
          <w:rFonts w:ascii="Book Antiqua"/>
          <w:i/>
          <w:color w:val="231F20"/>
          <w:sz w:val="20"/>
        </w:rPr>
        <w:t>attributes</w:t>
      </w:r>
      <w:r>
        <w:rPr>
          <w:color w:val="231F20"/>
          <w:sz w:val="20"/>
        </w:rPr>
        <w:t>, for which the agent can collect data for reporting and testing.</w:t>
      </w:r>
    </w:p>
    <w:p>
      <w:pPr>
        <w:pStyle w:val="BodyText"/>
        <w:spacing w:line="255" w:lineRule="exact" w:before="34"/>
        <w:ind w:left="2848"/>
      </w:pPr>
      <w:r>
        <w:rPr>
          <w:position w:val="-1"/>
        </w:rPr>
        <w:drawing>
          <wp:inline distT="0" distB="0" distL="0" distR="0">
            <wp:extent cx="95250" cy="101600"/>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13" w:lineRule="auto" w:before="8"/>
        <w:ind w:left="3852" w:right="4632" w:hanging="466"/>
      </w:pPr>
      <w:r>
        <w:rPr/>
        <w:drawing>
          <wp:inline distT="0" distB="0" distL="0" distR="0">
            <wp:extent cx="69850" cy="69850"/>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31"/>
          <w:position w:val="-1"/>
        </w:rPr>
        <w:t> </w:t>
      </w:r>
      <w:r>
        <w:rPr>
          <w:rFonts w:ascii="Times New Roman"/>
          <w:spacing w:val="-1"/>
          <w:position w:val="-1"/>
        </w:rPr>
        <w:drawing>
          <wp:inline distT="0" distB="0" distL="0" distR="0">
            <wp:extent cx="101600" cy="95250"/>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Windows </w:t>
      </w:r>
      <w:r>
        <w:rPr>
          <w:color w:val="231F20"/>
        </w:rPr>
        <w:t>Systems </w:t>
      </w:r>
      <w:r>
        <w:rPr>
          <w:color w:val="231F20"/>
        </w:rPr>
        <w:drawing>
          <wp:inline distT="0" distB="0" distL="0" distR="0">
            <wp:extent cx="69850" cy="69850"/>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JDOE</w:t>
      </w:r>
    </w:p>
    <w:p>
      <w:pPr>
        <w:pStyle w:val="BodyText"/>
        <w:spacing w:line="230" w:lineRule="exact"/>
        <w:ind w:left="4251"/>
      </w:pPr>
      <w:r>
        <w:rPr/>
        <w:drawing>
          <wp:inline distT="0" distB="0" distL="0" distR="0">
            <wp:extent cx="69850" cy="69850"/>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95250" cy="95250"/>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84" cstate="print"/>
                    <a:stretch>
                      <a:fillRect/>
                    </a:stretch>
                  </pic:blipFill>
                  <pic:spPr>
                    <a:xfrm>
                      <a:off x="0" y="0"/>
                      <a:ext cx="95250" cy="9525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Windows</w:t>
      </w:r>
    </w:p>
    <w:p>
      <w:pPr>
        <w:pStyle w:val="BodyText"/>
        <w:spacing w:line="239" w:lineRule="exact"/>
        <w:ind w:left="5152"/>
      </w:pPr>
      <w:r>
        <w:rPr>
          <w:position w:val="-1"/>
        </w:rPr>
        <w:drawing>
          <wp:inline distT="0" distB="0" distL="0" distR="0">
            <wp:extent cx="88900" cy="101600"/>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Disk</w:t>
      </w:r>
    </w:p>
    <w:p>
      <w:pPr>
        <w:pStyle w:val="BodyText"/>
        <w:spacing w:line="213" w:lineRule="auto" w:before="8"/>
        <w:ind w:left="5152" w:right="2916"/>
      </w:pPr>
      <w:r>
        <w:rPr>
          <w:position w:val="-1"/>
        </w:rPr>
        <w:drawing>
          <wp:inline distT="0" distB="0" distL="0" distR="0">
            <wp:extent cx="88900" cy="101600"/>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Monitoring </w:t>
      </w:r>
      <w:r>
        <w:rPr>
          <w:color w:val="231F20"/>
        </w:rPr>
        <w:t>Services </w:t>
      </w:r>
      <w:r>
        <w:rPr>
          <w:color w:val="231F20"/>
          <w:position w:val="-1"/>
        </w:rPr>
        <w:drawing>
          <wp:inline distT="0" distB="0" distL="0" distR="0">
            <wp:extent cx="88900" cy="101600"/>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13" w:lineRule="auto" w:before="238"/>
        <w:ind w:left="2232" w:right="545" w:firstLine="40"/>
      </w:pPr>
      <w:r>
        <w:rPr/>
        <w:drawing>
          <wp:inline distT="0" distB="0" distL="0" distR="0">
            <wp:extent cx="69850" cy="69850"/>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40"/>
        </w:rPr>
        <w:t> </w:t>
      </w:r>
      <w:r>
        <w:rPr>
          <w:color w:val="231F20"/>
        </w:rPr>
        <w:t>Expand and</w:t>
      </w:r>
      <w:r>
        <w:rPr>
          <w:color w:val="231F20"/>
          <w:spacing w:val="40"/>
        </w:rPr>
        <w:t> </w:t>
      </w:r>
      <w:r>
        <w:rPr>
          <w:color w:val="231F20"/>
          <w:spacing w:val="6"/>
        </w:rPr>
        <w:drawing>
          <wp:inline distT="0" distB="0" distL="0" distR="0">
            <wp:extent cx="69850" cy="69850"/>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91" cstate="print"/>
                    <a:stretch>
                      <a:fillRect/>
                    </a:stretch>
                  </pic:blipFill>
                  <pic:spPr>
                    <a:xfrm>
                      <a:off x="0" y="0"/>
                      <a:ext cx="69850" cy="69850"/>
                    </a:xfrm>
                    <a:prstGeom prst="rect">
                      <a:avLst/>
                    </a:prstGeom>
                  </pic:spPr>
                </pic:pic>
              </a:graphicData>
            </a:graphic>
          </wp:inline>
        </w:drawing>
      </w:r>
      <w:r>
        <w:rPr>
          <w:color w:val="231F20"/>
          <w:spacing w:val="6"/>
        </w:rPr>
      </w:r>
      <w:r>
        <w:rPr>
          <w:rFonts w:ascii="Times New Roman"/>
          <w:color w:val="231F20"/>
          <w:spacing w:val="39"/>
        </w:rPr>
        <w:t> </w:t>
      </w:r>
      <w:r>
        <w:rPr>
          <w:color w:val="231F20"/>
        </w:rPr>
        <w:t>Collapse enable you to open and close levels in the Navigator without selecting an item.</w:t>
      </w:r>
    </w:p>
    <w:p>
      <w:pPr>
        <w:pStyle w:val="BodyText"/>
        <w:spacing w:line="213" w:lineRule="auto" w:before="238"/>
        <w:ind w:left="2232" w:right="545"/>
      </w:pPr>
      <w:r>
        <w:rPr>
          <w:rFonts w:ascii="Book Antiqua"/>
          <w:b/>
          <w:color w:val="231F20"/>
        </w:rPr>
        <w:t>Tip:</w:t>
      </w:r>
      <w:r>
        <w:rPr>
          <w:rFonts w:ascii="Book Antiqua"/>
          <w:b/>
          <w:color w:val="231F20"/>
          <w:spacing w:val="39"/>
        </w:rPr>
        <w:t> </w:t>
      </w:r>
      <w:r>
        <w:rPr>
          <w:color w:val="231F20"/>
        </w:rPr>
        <w:t>You can close the tree entirely by double-clicking the </w:t>
      </w:r>
      <w:r>
        <w:rPr>
          <w:color w:val="231F20"/>
          <w:spacing w:val="15"/>
          <w:position w:val="-1"/>
        </w:rPr>
        <w:drawing>
          <wp:inline distT="0" distB="0" distL="0" distR="0">
            <wp:extent cx="95250" cy="101600"/>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11"/>
        </w:rPr>
        <w:t> </w:t>
      </w:r>
      <w:r>
        <w:rPr>
          <w:color w:val="231F20"/>
        </w:rPr>
        <w:t>Enterprise item. To expand the tree, double-click again.</w:t>
      </w:r>
    </w:p>
    <w:p>
      <w:pPr>
        <w:pStyle w:val="Heading3"/>
        <w:spacing w:before="218"/>
        <w:ind w:left="1334"/>
      </w:pPr>
      <w:bookmarkStart w:name="Workspaces" w:id="25"/>
      <w:bookmarkEnd w:id="25"/>
      <w:r>
        <w:rPr>
          <w:b w:val="0"/>
        </w:rPr>
      </w:r>
      <w:r>
        <w:rPr>
          <w:color w:val="231F20"/>
          <w:spacing w:val="-2"/>
        </w:rPr>
        <w:t>Workspaces</w:t>
      </w:r>
    </w:p>
    <w:p>
      <w:pPr>
        <w:pStyle w:val="BodyText"/>
        <w:spacing w:line="213" w:lineRule="auto" w:before="58"/>
        <w:ind w:left="2232" w:right="545"/>
      </w:pPr>
      <w:r>
        <w:rPr>
          <w:color w:val="231F20"/>
        </w:rPr>
        <w:t>Every item in the Navigator has a default workspace that opens when you select </w:t>
      </w:r>
      <w:r>
        <w:rPr>
          <w:color w:val="231F20"/>
        </w:rPr>
        <w:t>it. Multiple workspaces can also be accessed from a single navigator item. After you</w:t>
      </w:r>
      <w:r>
        <w:rPr>
          <w:color w:val="231F20"/>
          <w:spacing w:val="80"/>
        </w:rPr>
        <w:t> </w:t>
      </w:r>
      <w:r>
        <w:rPr>
          <w:color w:val="231F20"/>
        </w:rPr>
        <w:t>log into the Tivoli Enterprise Portal Server, the Tivoli Enterprise Portal window opens. The top item in the Navigator, </w:t>
      </w:r>
      <w:r>
        <w:rPr>
          <w:color w:val="231F20"/>
          <w:spacing w:val="15"/>
          <w:position w:val="-1"/>
        </w:rPr>
        <w:drawing>
          <wp:inline distT="0" distB="0" distL="0" distR="0">
            <wp:extent cx="95250" cy="101600"/>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7"/>
        </w:rPr>
        <w:t> </w:t>
      </w:r>
      <w:r>
        <w:rPr>
          <w:color w:val="231F20"/>
        </w:rPr>
        <w:t>Enterprise, is selected and its workspace is </w:t>
      </w:r>
      <w:r>
        <w:rPr>
          <w:color w:val="231F20"/>
          <w:spacing w:val="-2"/>
        </w:rPr>
        <w:t>displayed.</w:t>
      </w:r>
    </w:p>
    <w:p>
      <w:pPr>
        <w:pStyle w:val="BodyText"/>
        <w:spacing w:line="213" w:lineRule="auto" w:before="56"/>
        <w:ind w:left="2448" w:right="603" w:hanging="216"/>
      </w:pPr>
      <w:r>
        <w:rPr>
          <w:rFonts w:ascii="Futura MdCn BT"/>
          <w:color w:val="231F20"/>
        </w:rPr>
        <w:t>v</w:t>
      </w:r>
      <w:r>
        <w:rPr>
          <w:rFonts w:ascii="Futura MdCn BT"/>
          <w:color w:val="231F20"/>
          <w:spacing w:val="80"/>
        </w:rPr>
        <w:t> </w:t>
      </w:r>
      <w:r>
        <w:rPr>
          <w:color w:val="231F20"/>
        </w:rPr>
        <w:t>Select another Navigator item by clicking the </w:t>
      </w:r>
      <w:r>
        <w:rPr>
          <w:color w:val="231F20"/>
          <w:spacing w:val="15"/>
          <w:position w:val="-1"/>
        </w:rPr>
        <w:drawing>
          <wp:inline distT="0" distB="0" distL="0" distR="0">
            <wp:extent cx="101600" cy="95250"/>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icon for the operating platform</w:t>
      </w:r>
      <w:r>
        <w:rPr>
          <w:color w:val="231F20"/>
          <w:spacing w:val="40"/>
        </w:rPr>
        <w:t> </w:t>
      </w:r>
      <w:r>
        <w:rPr>
          <w:color w:val="231F20"/>
        </w:rPr>
        <w:t>or the name.</w:t>
      </w:r>
    </w:p>
    <w:p>
      <w:pPr>
        <w:pStyle w:val="BodyText"/>
        <w:spacing w:line="213" w:lineRule="auto" w:before="238"/>
        <w:ind w:left="2232" w:right="385"/>
      </w:pPr>
      <w:r>
        <w:rPr>
          <w:color w:val="231F20"/>
        </w:rPr>
        <w:t>The workspace for the operating platform you selected replaces the one that was previously displayed. The workspace displayed when you click a Navigator item </w:t>
      </w:r>
      <w:r>
        <w:rPr>
          <w:color w:val="231F20"/>
        </w:rPr>
        <w:t>is the </w:t>
      </w:r>
      <w:r>
        <w:rPr>
          <w:rFonts w:ascii="Book Antiqua"/>
          <w:i/>
          <w:color w:val="231F20"/>
        </w:rPr>
        <w:t>default workspace </w:t>
      </w:r>
      <w:r>
        <w:rPr>
          <w:color w:val="231F20"/>
        </w:rPr>
        <w:t>for that item. Your IBM Tivoli Monitoring product might come with</w:t>
      </w:r>
      <w:r>
        <w:rPr>
          <w:color w:val="231F20"/>
          <w:spacing w:val="30"/>
        </w:rPr>
        <w:t> </w:t>
      </w:r>
      <w:r>
        <w:rPr>
          <w:color w:val="231F20"/>
        </w:rPr>
        <w:t>multiple</w:t>
      </w:r>
      <w:r>
        <w:rPr>
          <w:color w:val="231F20"/>
          <w:spacing w:val="30"/>
        </w:rPr>
        <w:t> </w:t>
      </w:r>
      <w:r>
        <w:rPr>
          <w:color w:val="231F20"/>
        </w:rPr>
        <w:t>workspaces</w:t>
      </w:r>
      <w:r>
        <w:rPr>
          <w:color w:val="231F20"/>
          <w:spacing w:val="30"/>
        </w:rPr>
        <w:t> </w:t>
      </w:r>
      <w:r>
        <w:rPr>
          <w:color w:val="231F20"/>
        </w:rPr>
        <w:t>for</w:t>
      </w:r>
      <w:r>
        <w:rPr>
          <w:color w:val="231F20"/>
          <w:spacing w:val="30"/>
        </w:rPr>
        <w:t> </w:t>
      </w:r>
      <w:r>
        <w:rPr>
          <w:color w:val="231F20"/>
        </w:rPr>
        <w:t>some</w:t>
      </w:r>
      <w:r>
        <w:rPr>
          <w:color w:val="231F20"/>
          <w:spacing w:val="30"/>
        </w:rPr>
        <w:t> </w:t>
      </w:r>
      <w:r>
        <w:rPr>
          <w:color w:val="231F20"/>
        </w:rPr>
        <w:t>items,</w:t>
      </w:r>
      <w:r>
        <w:rPr>
          <w:color w:val="231F20"/>
          <w:spacing w:val="30"/>
        </w:rPr>
        <w:t> </w:t>
      </w:r>
      <w:r>
        <w:rPr>
          <w:color w:val="231F20"/>
        </w:rPr>
        <w:t>and</w:t>
      </w:r>
      <w:r>
        <w:rPr>
          <w:color w:val="231F20"/>
          <w:spacing w:val="30"/>
        </w:rPr>
        <w:t> </w:t>
      </w:r>
      <w:r>
        <w:rPr>
          <w:color w:val="231F20"/>
        </w:rPr>
        <w:t>you</w:t>
      </w:r>
      <w:r>
        <w:rPr>
          <w:color w:val="231F20"/>
          <w:spacing w:val="30"/>
        </w:rPr>
        <w:t> </w:t>
      </w:r>
      <w:r>
        <w:rPr>
          <w:color w:val="231F20"/>
        </w:rPr>
        <w:t>can</w:t>
      </w:r>
      <w:r>
        <w:rPr>
          <w:color w:val="231F20"/>
          <w:spacing w:val="30"/>
        </w:rPr>
        <w:t> </w:t>
      </w:r>
      <w:r>
        <w:rPr>
          <w:color w:val="231F20"/>
        </w:rPr>
        <w:t>create</w:t>
      </w:r>
      <w:r>
        <w:rPr>
          <w:color w:val="231F20"/>
          <w:spacing w:val="30"/>
        </w:rPr>
        <w:t> </w:t>
      </w:r>
      <w:r>
        <w:rPr>
          <w:color w:val="231F20"/>
        </w:rPr>
        <w:t>additional workspaces of your own.</w:t>
      </w:r>
    </w:p>
    <w:p>
      <w:pPr>
        <w:pStyle w:val="BodyText"/>
        <w:spacing w:line="213" w:lineRule="auto" w:before="57"/>
        <w:ind w:left="2448" w:right="493"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101600"/>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Workspace gallery </w:t>
      </w:r>
      <w:r>
        <w:rPr>
          <w:color w:val="231F20"/>
        </w:rPr>
        <w:t>to see thumbnail graphics of all the workspaces that</w:t>
      </w:r>
      <w:r>
        <w:rPr>
          <w:color w:val="231F20"/>
          <w:spacing w:val="40"/>
        </w:rPr>
        <w:t> </w:t>
      </w:r>
      <w:r>
        <w:rPr>
          <w:color w:val="231F20"/>
        </w:rPr>
        <w:t>you can open for this Navigator item.</w:t>
      </w:r>
    </w:p>
    <w:p>
      <w:pPr>
        <w:pStyle w:val="BodyText"/>
        <w:spacing w:line="213" w:lineRule="auto" w:before="118"/>
        <w:ind w:left="2232" w:right="421"/>
      </w:pPr>
      <w:r>
        <w:rPr>
          <w:color w:val="231F20"/>
        </w:rPr>
        <w:t>If this is a new installation, you will see the splash screen instead of a thumbnail</w:t>
      </w:r>
      <w:r>
        <w:rPr>
          <w:color w:val="231F20"/>
          <w:spacing w:val="40"/>
        </w:rPr>
        <w:t> </w:t>
      </w:r>
      <w:r>
        <w:rPr>
          <w:color w:val="231F20"/>
        </w:rPr>
        <w:t>version of the workspace in the gallery until you or another user who is logged on</w:t>
      </w:r>
      <w:r>
        <w:rPr>
          <w:color w:val="231F20"/>
          <w:spacing w:val="80"/>
          <w:w w:val="150"/>
        </w:rPr>
        <w:t> </w:t>
      </w:r>
      <w:r>
        <w:rPr>
          <w:color w:val="231F20"/>
        </w:rPr>
        <w:t>to</w:t>
      </w:r>
      <w:r>
        <w:rPr>
          <w:color w:val="231F20"/>
          <w:spacing w:val="23"/>
        </w:rPr>
        <w:t> </w:t>
      </w:r>
      <w:r>
        <w:rPr>
          <w:color w:val="231F20"/>
        </w:rPr>
        <w:t>the</w:t>
      </w:r>
      <w:r>
        <w:rPr>
          <w:color w:val="231F20"/>
          <w:spacing w:val="23"/>
        </w:rPr>
        <w:t> </w:t>
      </w:r>
      <w:r>
        <w:rPr>
          <w:color w:val="231F20"/>
        </w:rPr>
        <w:t>same</w:t>
      </w:r>
      <w:r>
        <w:rPr>
          <w:color w:val="231F20"/>
          <w:spacing w:val="23"/>
        </w:rPr>
        <w:t> </w:t>
      </w:r>
      <w:r>
        <w:rPr>
          <w:color w:val="231F20"/>
        </w:rPr>
        <w:t>Tivoli</w:t>
      </w:r>
      <w:r>
        <w:rPr>
          <w:color w:val="231F20"/>
          <w:spacing w:val="23"/>
        </w:rPr>
        <w:t> </w:t>
      </w:r>
      <w:r>
        <w:rPr>
          <w:color w:val="231F20"/>
        </w:rPr>
        <w:t>Enterprise</w:t>
      </w:r>
      <w:r>
        <w:rPr>
          <w:color w:val="231F20"/>
          <w:spacing w:val="23"/>
        </w:rPr>
        <w:t> </w:t>
      </w:r>
      <w:r>
        <w:rPr>
          <w:color w:val="231F20"/>
        </w:rPr>
        <w:t>Portal</w:t>
      </w:r>
      <w:r>
        <w:rPr>
          <w:color w:val="231F20"/>
          <w:spacing w:val="23"/>
        </w:rPr>
        <w:t> </w:t>
      </w:r>
      <w:r>
        <w:rPr>
          <w:color w:val="231F20"/>
        </w:rPr>
        <w:t>Server</w:t>
      </w:r>
      <w:r>
        <w:rPr>
          <w:color w:val="231F20"/>
          <w:spacing w:val="23"/>
        </w:rPr>
        <w:t> </w:t>
      </w:r>
      <w:r>
        <w:rPr>
          <w:color w:val="231F20"/>
        </w:rPr>
        <w:t>opens</w:t>
      </w:r>
      <w:r>
        <w:rPr>
          <w:color w:val="231F20"/>
          <w:spacing w:val="23"/>
        </w:rPr>
        <w:t> </w:t>
      </w:r>
      <w:r>
        <w:rPr>
          <w:color w:val="231F20"/>
        </w:rPr>
        <w:t>the</w:t>
      </w:r>
      <w:r>
        <w:rPr>
          <w:color w:val="231F20"/>
          <w:spacing w:val="23"/>
        </w:rPr>
        <w:t> </w:t>
      </w:r>
      <w:r>
        <w:rPr>
          <w:color w:val="231F20"/>
        </w:rPr>
        <w:t>workspace</w:t>
      </w:r>
      <w:r>
        <w:rPr>
          <w:color w:val="231F20"/>
          <w:spacing w:val="23"/>
        </w:rPr>
        <w:t> </w:t>
      </w:r>
      <w:r>
        <w:rPr>
          <w:color w:val="231F20"/>
        </w:rPr>
        <w:t>for</w:t>
      </w:r>
      <w:r>
        <w:rPr>
          <w:color w:val="231F20"/>
          <w:spacing w:val="23"/>
        </w:rPr>
        <w:t> </w:t>
      </w:r>
      <w:r>
        <w:rPr>
          <w:color w:val="231F20"/>
        </w:rPr>
        <w:t>the</w:t>
      </w:r>
      <w:r>
        <w:rPr>
          <w:color w:val="231F20"/>
          <w:spacing w:val="23"/>
        </w:rPr>
        <w:t> </w:t>
      </w:r>
      <w:r>
        <w:rPr>
          <w:color w:val="231F20"/>
        </w:rPr>
        <w:t>first</w:t>
      </w:r>
      <w:r>
        <w:rPr>
          <w:color w:val="231F20"/>
          <w:spacing w:val="23"/>
        </w:rPr>
        <w:t> </w:t>
      </w:r>
      <w:r>
        <w:rPr>
          <w:color w:val="231F20"/>
        </w:rPr>
        <w:t>time. A </w:t>
      </w:r>
      <w:r>
        <w:rPr>
          <w:color w:val="231F20"/>
          <w:spacing w:val="5"/>
          <w:position w:val="-1"/>
        </w:rPr>
        <w:drawing>
          <wp:inline distT="0" distB="0" distL="0" distR="0">
            <wp:extent cx="101600" cy="101600"/>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92" cstate="print"/>
                    <a:stretch>
                      <a:fillRect/>
                    </a:stretch>
                  </pic:blipFill>
                  <pic:spPr>
                    <a:xfrm>
                      <a:off x="0" y="0"/>
                      <a:ext cx="101600" cy="101600"/>
                    </a:xfrm>
                    <a:prstGeom prst="rect">
                      <a:avLst/>
                    </a:prstGeom>
                  </pic:spPr>
                </pic:pic>
              </a:graphicData>
            </a:graphic>
          </wp:inline>
        </w:drawing>
      </w:r>
      <w:r>
        <w:rPr>
          <w:color w:val="231F20"/>
          <w:spacing w:val="5"/>
          <w:position w:val="-1"/>
        </w:rPr>
      </w:r>
      <w:r>
        <w:rPr>
          <w:rFonts w:ascii="Times New Roman"/>
          <w:color w:val="231F20"/>
          <w:spacing w:val="-8"/>
        </w:rPr>
        <w:t> </w:t>
      </w:r>
      <w:r>
        <w:rPr>
          <w:color w:val="231F20"/>
        </w:rPr>
        <w:t>check mark by a workspace name indicates that it is the default workspace for this Navigator item. You can reorder the workspaces in your copy of the gallery by clicking a thumbnail graphic and dragging it on top of the workspace to swap positions with.</w:t>
      </w:r>
    </w:p>
    <w:p>
      <w:pPr>
        <w:pStyle w:val="BodyText"/>
        <w:spacing w:line="213" w:lineRule="auto" w:before="235"/>
        <w:ind w:left="2232"/>
      </w:pPr>
      <w:r>
        <w:rPr>
          <w:color w:val="231F20"/>
        </w:rPr>
        <w:t>Together, the Navigator and workspaces show the facets of your Tivoli </w:t>
      </w:r>
      <w:r>
        <w:rPr>
          <w:color w:val="231F20"/>
        </w:rPr>
        <w:t>managed </w:t>
      </w:r>
      <w:bookmarkStart w:name="Views" w:id="26"/>
      <w:bookmarkEnd w:id="26"/>
      <w:r>
        <w:rPr>
          <w:color w:val="231F20"/>
        </w:rPr>
        <w:t>enterprise</w:t>
      </w:r>
      <w:r>
        <w:rPr>
          <w:color w:val="231F20"/>
        </w:rPr>
        <w:t> from the highest level to the most detailed.</w:t>
      </w:r>
    </w:p>
    <w:p>
      <w:pPr>
        <w:pStyle w:val="BodyText"/>
        <w:spacing w:before="3"/>
        <w:rPr>
          <w:sz w:val="8"/>
        </w:rPr>
      </w:pPr>
    </w:p>
    <w:p>
      <w:pPr>
        <w:spacing w:after="0"/>
        <w:rPr>
          <w:sz w:val="8"/>
        </w:rPr>
        <w:sectPr>
          <w:pgSz w:w="12240" w:h="15840"/>
          <w:pgMar w:header="0" w:footer="736" w:top="1180" w:bottom="920" w:left="1000" w:right="1060"/>
        </w:sectPr>
      </w:pPr>
    </w:p>
    <w:p>
      <w:pPr>
        <w:pStyle w:val="Heading3"/>
        <w:spacing w:before="106"/>
        <w:ind w:left="1334"/>
      </w:pPr>
      <w:r>
        <w:rPr>
          <w:color w:val="231F20"/>
          <w:spacing w:val="-5"/>
        </w:rPr>
        <w:t>Views</w:t>
      </w:r>
    </w:p>
    <w:p>
      <w:pPr>
        <w:spacing w:line="240" w:lineRule="auto" w:before="0"/>
        <w:rPr>
          <w:rFonts w:ascii="Arial"/>
          <w:b/>
          <w:sz w:val="20"/>
        </w:rPr>
      </w:pPr>
      <w:r>
        <w:rPr/>
        <w:br w:type="column"/>
      </w:r>
      <w:r>
        <w:rPr>
          <w:rFonts w:ascii="Arial"/>
          <w:b/>
          <w:sz w:val="20"/>
        </w:rPr>
      </w:r>
    </w:p>
    <w:p>
      <w:pPr>
        <w:pStyle w:val="BodyText"/>
        <w:spacing w:before="26"/>
        <w:rPr>
          <w:rFonts w:ascii="Arial"/>
          <w:b/>
        </w:rPr>
      </w:pPr>
    </w:p>
    <w:p>
      <w:pPr>
        <w:pStyle w:val="BodyText"/>
        <w:spacing w:line="213" w:lineRule="auto" w:before="1"/>
        <w:ind w:left="70" w:right="239"/>
      </w:pPr>
      <w:r>
        <w:rPr>
          <w:color w:val="231F20"/>
        </w:rPr>
        <w:t>Tivoli Enterprise Portal offers many different views that you can add to </w:t>
      </w:r>
      <w:r>
        <w:rPr>
          <w:color w:val="231F20"/>
        </w:rPr>
        <w:t>your </w:t>
      </w:r>
      <w:r>
        <w:rPr>
          <w:color w:val="231F20"/>
          <w:spacing w:val="-2"/>
        </w:rPr>
        <w:t>workspaces.</w:t>
      </w:r>
    </w:p>
    <w:p>
      <w:pPr>
        <w:pStyle w:val="BodyText"/>
        <w:spacing w:before="215"/>
        <w:ind w:left="70"/>
      </w:pPr>
      <w:r>
        <w:rPr>
          <w:color w:val="231F20"/>
        </w:rPr>
        <w:t>The</w:t>
      </w:r>
      <w:r>
        <w:rPr>
          <w:color w:val="231F20"/>
          <w:spacing w:val="14"/>
        </w:rPr>
        <w:t> </w:t>
      </w:r>
      <w:r>
        <w:rPr>
          <w:color w:val="231F20"/>
        </w:rPr>
        <w:t>view</w:t>
      </w:r>
      <w:r>
        <w:rPr>
          <w:color w:val="231F20"/>
          <w:spacing w:val="14"/>
        </w:rPr>
        <w:t> </w:t>
      </w:r>
      <w:r>
        <w:rPr>
          <w:color w:val="231F20"/>
        </w:rPr>
        <w:t>title</w:t>
      </w:r>
      <w:r>
        <w:rPr>
          <w:color w:val="231F20"/>
          <w:spacing w:val="14"/>
        </w:rPr>
        <w:t> </w:t>
      </w:r>
      <w:r>
        <w:rPr>
          <w:color w:val="231F20"/>
        </w:rPr>
        <w:t>bar</w:t>
      </w:r>
      <w:r>
        <w:rPr>
          <w:color w:val="231F20"/>
          <w:spacing w:val="14"/>
        </w:rPr>
        <w:t> </w:t>
      </w:r>
      <w:r>
        <w:rPr>
          <w:color w:val="231F20"/>
        </w:rPr>
        <w:t>has</w:t>
      </w:r>
      <w:r>
        <w:rPr>
          <w:color w:val="231F20"/>
          <w:spacing w:val="14"/>
        </w:rPr>
        <w:t> </w:t>
      </w:r>
      <w:r>
        <w:rPr>
          <w:color w:val="231F20"/>
        </w:rPr>
        <w:t>buttons</w:t>
      </w:r>
      <w:r>
        <w:rPr>
          <w:color w:val="231F20"/>
          <w:spacing w:val="14"/>
        </w:rPr>
        <w:t> </w:t>
      </w:r>
      <w:r>
        <w:rPr>
          <w:color w:val="231F20"/>
        </w:rPr>
        <w:t>for</w:t>
      </w:r>
      <w:r>
        <w:rPr>
          <w:color w:val="231F20"/>
          <w:spacing w:val="14"/>
        </w:rPr>
        <w:t> </w:t>
      </w:r>
      <w:r>
        <w:rPr>
          <w:color w:val="231F20"/>
        </w:rPr>
        <w:t>creating</w:t>
      </w:r>
      <w:r>
        <w:rPr>
          <w:color w:val="231F20"/>
          <w:spacing w:val="14"/>
        </w:rPr>
        <w:t> </w:t>
      </w:r>
      <w:r>
        <w:rPr>
          <w:color w:val="231F20"/>
        </w:rPr>
        <w:t>another</w:t>
      </w:r>
      <w:r>
        <w:rPr>
          <w:color w:val="231F20"/>
          <w:spacing w:val="14"/>
        </w:rPr>
        <w:t> </w:t>
      </w:r>
      <w:r>
        <w:rPr>
          <w:color w:val="231F20"/>
        </w:rPr>
        <w:t>view</w:t>
      </w:r>
      <w:r>
        <w:rPr>
          <w:color w:val="231F20"/>
          <w:spacing w:val="14"/>
        </w:rPr>
        <w:t> </w:t>
      </w:r>
      <w:r>
        <w:rPr>
          <w:color w:val="231F20"/>
        </w:rPr>
        <w:t>by</w:t>
      </w:r>
      <w:r>
        <w:rPr>
          <w:color w:val="231F20"/>
          <w:spacing w:val="14"/>
        </w:rPr>
        <w:t> </w:t>
      </w:r>
      <w:r>
        <w:rPr>
          <w:color w:val="231F20"/>
        </w:rPr>
        <w:t>splitting</w:t>
      </w:r>
      <w:r>
        <w:rPr>
          <w:color w:val="231F20"/>
          <w:spacing w:val="14"/>
        </w:rPr>
        <w:t> </w:t>
      </w:r>
      <w:r>
        <w:rPr>
          <w:color w:val="231F20"/>
        </w:rPr>
        <w:t>the</w:t>
      </w:r>
      <w:r>
        <w:rPr>
          <w:color w:val="231F20"/>
          <w:spacing w:val="14"/>
        </w:rPr>
        <w:t> </w:t>
      </w:r>
      <w:r>
        <w:rPr>
          <w:color w:val="231F20"/>
        </w:rPr>
        <w:t>view</w:t>
      </w:r>
      <w:r>
        <w:rPr>
          <w:color w:val="231F20"/>
          <w:spacing w:val="32"/>
        </w:rPr>
        <w:t> </w:t>
      </w:r>
      <w:r>
        <w:rPr>
          <w:color w:val="231F20"/>
          <w:spacing w:val="-16"/>
          <w:position w:val="-1"/>
        </w:rPr>
        <w:drawing>
          <wp:inline distT="0" distB="0" distL="0" distR="0">
            <wp:extent cx="88900" cy="88900"/>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6"/>
          <w:position w:val="-1"/>
        </w:rPr>
      </w:r>
    </w:p>
    <w:p>
      <w:pPr>
        <w:pStyle w:val="BodyText"/>
        <w:spacing w:line="208" w:lineRule="auto" w:before="96"/>
        <w:ind w:left="70" w:right="239"/>
      </w:pPr>
      <w:r>
        <w:rPr>
          <w:color w:val="231F20"/>
        </w:rPr>
        <w:t>horizontally or</w:t>
      </w:r>
      <w:r>
        <w:rPr>
          <w:color w:val="231F20"/>
          <w:spacing w:val="27"/>
        </w:rPr>
        <w:t> </w:t>
      </w:r>
      <w:r>
        <w:rPr>
          <w:color w:val="231F20"/>
          <w:spacing w:val="-14"/>
          <w:position w:val="-1"/>
        </w:rPr>
        <w:drawing>
          <wp:inline distT="0" distB="0" distL="0" distR="0">
            <wp:extent cx="88900" cy="88900"/>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vertically,</w:t>
      </w:r>
      <w:r>
        <w:rPr>
          <w:color w:val="231F20"/>
          <w:spacing w:val="36"/>
        </w:rPr>
        <w:t> </w:t>
      </w:r>
      <w:r>
        <w:rPr>
          <w:color w:val="231F20"/>
          <w:spacing w:val="-4"/>
        </w:rPr>
        <w:drawing>
          <wp:inline distT="0" distB="0" distL="0" distR="0">
            <wp:extent cx="69850" cy="69850"/>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67" cstate="print"/>
                    <a:stretch>
                      <a:fillRect/>
                    </a:stretch>
                  </pic:blipFill>
                  <pic:spPr>
                    <a:xfrm>
                      <a:off x="0" y="0"/>
                      <a:ext cx="69850" cy="69850"/>
                    </a:xfrm>
                    <a:prstGeom prst="rect">
                      <a:avLst/>
                    </a:prstGeom>
                  </pic:spPr>
                </pic:pic>
              </a:graphicData>
            </a:graphic>
          </wp:inline>
        </w:drawing>
      </w:r>
      <w:r>
        <w:rPr>
          <w:color w:val="231F20"/>
          <w:spacing w:val="-4"/>
        </w:rPr>
      </w:r>
      <w:r>
        <w:rPr>
          <w:rFonts w:ascii="Times New Roman"/>
          <w:color w:val="231F20"/>
          <w:spacing w:val="75"/>
        </w:rPr>
        <w:t> </w:t>
      </w:r>
      <w:r>
        <w:rPr>
          <w:color w:val="231F20"/>
        </w:rPr>
        <w:t>for maximizing the view, and for</w:t>
      </w:r>
      <w:r>
        <w:rPr>
          <w:color w:val="231F20"/>
          <w:spacing w:val="31"/>
        </w:rPr>
        <w:t> </w:t>
      </w:r>
      <w:r>
        <w:rPr>
          <w:color w:val="231F20"/>
          <w:spacing w:val="-10"/>
        </w:rPr>
        <w:drawing>
          <wp:inline distT="0" distB="0" distL="0" distR="0">
            <wp:extent cx="158750" cy="158750"/>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93" cstate="print"/>
                    <a:stretch>
                      <a:fillRect/>
                    </a:stretch>
                  </pic:blipFill>
                  <pic:spPr>
                    <a:xfrm>
                      <a:off x="0" y="0"/>
                      <a:ext cx="158750" cy="158750"/>
                    </a:xfrm>
                    <a:prstGeom prst="rect">
                      <a:avLst/>
                    </a:prstGeom>
                  </pic:spPr>
                </pic:pic>
              </a:graphicData>
            </a:graphic>
          </wp:inline>
        </w:drawing>
      </w:r>
      <w:r>
        <w:rPr>
          <w:color w:val="231F20"/>
          <w:spacing w:val="-10"/>
        </w:rPr>
      </w:r>
      <w:r>
        <w:rPr>
          <w:rFonts w:ascii="Times New Roman"/>
          <w:color w:val="231F20"/>
          <w:spacing w:val="80"/>
        </w:rPr>
        <w:t> </w:t>
      </w:r>
      <w:r>
        <w:rPr>
          <w:color w:val="231F20"/>
        </w:rPr>
        <w:t>deleting </w:t>
      </w:r>
      <w:r>
        <w:rPr>
          <w:color w:val="231F20"/>
        </w:rPr>
        <w:t>the </w:t>
      </w:r>
      <w:r>
        <w:rPr>
          <w:color w:val="231F20"/>
          <w:spacing w:val="-2"/>
        </w:rPr>
        <w:t>view.</w:t>
      </w:r>
    </w:p>
    <w:p>
      <w:pPr>
        <w:pStyle w:val="BodyText"/>
        <w:spacing w:before="217"/>
        <w:ind w:left="70"/>
      </w:pPr>
      <w:r>
        <w:rPr>
          <w:color w:val="231F20"/>
        </w:rPr>
        <w:t>To</w:t>
      </w:r>
      <w:r>
        <w:rPr>
          <w:color w:val="231F20"/>
          <w:spacing w:val="7"/>
        </w:rPr>
        <w:t> </w:t>
      </w:r>
      <w:r>
        <w:rPr>
          <w:color w:val="231F20"/>
        </w:rPr>
        <w:t>add</w:t>
      </w:r>
      <w:r>
        <w:rPr>
          <w:color w:val="231F20"/>
          <w:spacing w:val="8"/>
        </w:rPr>
        <w:t> </w:t>
      </w:r>
      <w:r>
        <w:rPr>
          <w:color w:val="231F20"/>
        </w:rPr>
        <w:t>a</w:t>
      </w:r>
      <w:r>
        <w:rPr>
          <w:color w:val="231F20"/>
          <w:spacing w:val="8"/>
        </w:rPr>
        <w:t> </w:t>
      </w:r>
      <w:r>
        <w:rPr>
          <w:color w:val="231F20"/>
        </w:rPr>
        <w:t>different</w:t>
      </w:r>
      <w:r>
        <w:rPr>
          <w:color w:val="231F20"/>
          <w:spacing w:val="8"/>
        </w:rPr>
        <w:t> </w:t>
      </w:r>
      <w:r>
        <w:rPr>
          <w:color w:val="231F20"/>
        </w:rPr>
        <w:t>view</w:t>
      </w:r>
      <w:r>
        <w:rPr>
          <w:color w:val="231F20"/>
          <w:spacing w:val="8"/>
        </w:rPr>
        <w:t> </w:t>
      </w:r>
      <w:r>
        <w:rPr>
          <w:color w:val="231F20"/>
        </w:rPr>
        <w:t>complete</w:t>
      </w:r>
      <w:r>
        <w:rPr>
          <w:color w:val="231F20"/>
          <w:spacing w:val="8"/>
        </w:rPr>
        <w:t> </w:t>
      </w:r>
      <w:r>
        <w:rPr>
          <w:color w:val="231F20"/>
        </w:rPr>
        <w:t>the</w:t>
      </w:r>
      <w:r>
        <w:rPr>
          <w:color w:val="231F20"/>
          <w:spacing w:val="7"/>
        </w:rPr>
        <w:t> </w:t>
      </w:r>
      <w:r>
        <w:rPr>
          <w:color w:val="231F20"/>
        </w:rPr>
        <w:t>following</w:t>
      </w:r>
      <w:r>
        <w:rPr>
          <w:color w:val="231F20"/>
          <w:spacing w:val="8"/>
        </w:rPr>
        <w:t> </w:t>
      </w:r>
      <w:r>
        <w:rPr>
          <w:color w:val="231F20"/>
          <w:spacing w:val="-2"/>
        </w:rPr>
        <w:t>steps:</w:t>
      </w:r>
    </w:p>
    <w:p>
      <w:pPr>
        <w:spacing w:after="0"/>
        <w:sectPr>
          <w:type w:val="continuous"/>
          <w:pgSz w:w="12240" w:h="15840"/>
          <w:pgMar w:header="0" w:footer="736" w:top="0" w:bottom="4660" w:left="1000" w:right="1060"/>
          <w:cols w:num="2" w:equalWidth="0">
            <w:col w:w="2122" w:space="40"/>
            <w:col w:w="8018"/>
          </w:cols>
        </w:sectPr>
      </w:pPr>
    </w:p>
    <w:p>
      <w:pPr>
        <w:pStyle w:val="ListParagraph"/>
        <w:numPr>
          <w:ilvl w:val="0"/>
          <w:numId w:val="2"/>
        </w:numPr>
        <w:tabs>
          <w:tab w:pos="2787" w:val="left" w:leader="none"/>
        </w:tabs>
        <w:spacing w:line="240" w:lineRule="auto" w:before="62" w:after="0"/>
        <w:ind w:left="2787" w:right="0" w:hanging="315"/>
        <w:jc w:val="left"/>
        <w:rPr>
          <w:sz w:val="20"/>
        </w:rPr>
      </w:pPr>
      <w:r>
        <w:rPr>
          <w:color w:val="231F20"/>
          <w:sz w:val="20"/>
        </w:rPr>
        <w:t>Select</w:t>
      </w:r>
      <w:r>
        <w:rPr>
          <w:color w:val="231F20"/>
          <w:spacing w:val="10"/>
          <w:sz w:val="20"/>
        </w:rPr>
        <w:t> </w:t>
      </w:r>
      <w:r>
        <w:rPr>
          <w:color w:val="231F20"/>
          <w:sz w:val="20"/>
        </w:rPr>
        <w:t>a</w:t>
      </w:r>
      <w:r>
        <w:rPr>
          <w:color w:val="231F20"/>
          <w:spacing w:val="11"/>
          <w:sz w:val="20"/>
        </w:rPr>
        <w:t> </w:t>
      </w:r>
      <w:r>
        <w:rPr>
          <w:color w:val="231F20"/>
          <w:sz w:val="20"/>
        </w:rPr>
        <w:t>view,</w:t>
      </w:r>
      <w:r>
        <w:rPr>
          <w:color w:val="231F20"/>
          <w:spacing w:val="11"/>
          <w:sz w:val="20"/>
        </w:rPr>
        <w:t> </w:t>
      </w:r>
      <w:r>
        <w:rPr>
          <w:color w:val="231F20"/>
          <w:sz w:val="20"/>
        </w:rPr>
        <w:t>then</w:t>
      </w:r>
      <w:r>
        <w:rPr>
          <w:color w:val="231F20"/>
          <w:spacing w:val="11"/>
          <w:sz w:val="20"/>
        </w:rPr>
        <w:t> </w:t>
      </w:r>
      <w:r>
        <w:rPr>
          <w:color w:val="231F20"/>
          <w:sz w:val="20"/>
        </w:rPr>
        <w:t>click</w:t>
      </w:r>
      <w:r>
        <w:rPr>
          <w:color w:val="231F20"/>
          <w:spacing w:val="28"/>
          <w:sz w:val="20"/>
        </w:rPr>
        <w:t> </w:t>
      </w:r>
      <w:r>
        <w:rPr>
          <w:color w:val="231F20"/>
          <w:spacing w:val="-15"/>
          <w:position w:val="-1"/>
          <w:sz w:val="20"/>
        </w:rPr>
        <w:drawing>
          <wp:inline distT="0" distB="0" distL="0" distR="0">
            <wp:extent cx="88900" cy="88900"/>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0"/>
          <w:sz w:val="20"/>
        </w:rPr>
        <w:t> </w:t>
      </w:r>
      <w:r>
        <w:rPr>
          <w:rFonts w:ascii="Book Antiqua"/>
          <w:b/>
          <w:color w:val="231F20"/>
          <w:sz w:val="20"/>
        </w:rPr>
        <w:t>Split</w:t>
      </w:r>
      <w:r>
        <w:rPr>
          <w:rFonts w:ascii="Book Antiqua"/>
          <w:b/>
          <w:color w:val="231F20"/>
          <w:spacing w:val="11"/>
          <w:sz w:val="20"/>
        </w:rPr>
        <w:t> </w:t>
      </w:r>
      <w:r>
        <w:rPr>
          <w:rFonts w:ascii="Book Antiqua"/>
          <w:b/>
          <w:color w:val="231F20"/>
          <w:spacing w:val="-2"/>
          <w:sz w:val="20"/>
        </w:rPr>
        <w:t>Horizontally</w:t>
      </w:r>
      <w:r>
        <w:rPr>
          <w:color w:val="231F20"/>
          <w:spacing w:val="-2"/>
          <w:sz w:val="20"/>
        </w:rPr>
        <w:t>.</w:t>
      </w:r>
    </w:p>
    <w:p>
      <w:pPr>
        <w:pStyle w:val="BodyText"/>
        <w:spacing w:line="213" w:lineRule="auto" w:before="52"/>
        <w:ind w:left="2788" w:right="545"/>
      </w:pPr>
      <w:r>
        <w:rPr>
          <w:color w:val="231F20"/>
        </w:rPr>
        <w:t>This tool divides the view space in half horizontally to create a copy of </w:t>
      </w:r>
      <w:r>
        <w:rPr>
          <w:color w:val="231F20"/>
        </w:rPr>
        <w:t>the original view.</w:t>
      </w:r>
    </w:p>
    <w:p>
      <w:pPr>
        <w:pStyle w:val="BodyText"/>
        <w:spacing w:line="213" w:lineRule="auto" w:before="59"/>
        <w:ind w:left="2788" w:right="545"/>
      </w:pPr>
      <w:r>
        <w:rPr>
          <w:color w:val="231F20"/>
        </w:rPr>
        <w:t>If you cannot split a view and the tools for the notepad and other views are</w:t>
      </w:r>
      <w:r>
        <w:rPr>
          <w:color w:val="231F20"/>
          <w:spacing w:val="40"/>
        </w:rPr>
        <w:t> </w:t>
      </w:r>
      <w:r>
        <w:rPr>
          <w:color w:val="231F20"/>
        </w:rPr>
        <w:t>disabled (dimmed), your user ID does not have Workspace Author Mode </w:t>
      </w:r>
      <w:r>
        <w:rPr>
          <w:color w:val="231F20"/>
          <w:spacing w:val="-2"/>
        </w:rPr>
        <w:t>permission.</w:t>
      </w:r>
    </w:p>
    <w:p>
      <w:pPr>
        <w:pStyle w:val="ListParagraph"/>
        <w:numPr>
          <w:ilvl w:val="0"/>
          <w:numId w:val="2"/>
        </w:numPr>
        <w:tabs>
          <w:tab w:pos="2787" w:val="left" w:leader="none"/>
        </w:tabs>
        <w:spacing w:line="240" w:lineRule="auto" w:before="34" w:after="0"/>
        <w:ind w:left="2787" w:right="0" w:hanging="315"/>
        <w:jc w:val="left"/>
        <w:rPr>
          <w:rFonts w:ascii="Book Antiqua"/>
          <w:b/>
          <w:sz w:val="20"/>
        </w:rPr>
      </w:pPr>
      <w:r>
        <w:rPr>
          <w:color w:val="231F20"/>
          <w:sz w:val="20"/>
        </w:rPr>
        <w:t>Click</w:t>
      </w:r>
      <w:r>
        <w:rPr>
          <w:color w:val="231F20"/>
          <w:spacing w:val="9"/>
          <w:sz w:val="20"/>
        </w:rPr>
        <w:t> </w:t>
      </w:r>
      <w:r>
        <w:rPr>
          <w:color w:val="231F20"/>
          <w:sz w:val="20"/>
        </w:rPr>
        <w:t>your</w:t>
      </w:r>
      <w:r>
        <w:rPr>
          <w:color w:val="231F20"/>
          <w:spacing w:val="10"/>
          <w:sz w:val="20"/>
        </w:rPr>
        <w:t> </w:t>
      </w:r>
      <w:r>
        <w:rPr>
          <w:color w:val="231F20"/>
          <w:sz w:val="20"/>
        </w:rPr>
        <w:t>desired</w:t>
      </w:r>
      <w:r>
        <w:rPr>
          <w:color w:val="231F20"/>
          <w:spacing w:val="10"/>
          <w:sz w:val="20"/>
        </w:rPr>
        <w:t> </w:t>
      </w:r>
      <w:r>
        <w:rPr>
          <w:color w:val="231F20"/>
          <w:sz w:val="20"/>
        </w:rPr>
        <w:t>view</w:t>
      </w:r>
      <w:r>
        <w:rPr>
          <w:color w:val="231F20"/>
          <w:spacing w:val="10"/>
          <w:sz w:val="20"/>
        </w:rPr>
        <w:t> </w:t>
      </w:r>
      <w:r>
        <w:rPr>
          <w:color w:val="231F20"/>
          <w:sz w:val="20"/>
        </w:rPr>
        <w:t>type</w:t>
      </w:r>
      <w:r>
        <w:rPr>
          <w:color w:val="231F20"/>
          <w:spacing w:val="10"/>
          <w:sz w:val="20"/>
        </w:rPr>
        <w:t> </w:t>
      </w:r>
      <w:r>
        <w:rPr>
          <w:color w:val="231F20"/>
          <w:sz w:val="20"/>
        </w:rPr>
        <w:t>from</w:t>
      </w:r>
      <w:r>
        <w:rPr>
          <w:color w:val="231F20"/>
          <w:spacing w:val="10"/>
          <w:sz w:val="20"/>
        </w:rPr>
        <w:t> </w:t>
      </w:r>
      <w:r>
        <w:rPr>
          <w:color w:val="231F20"/>
          <w:sz w:val="20"/>
        </w:rPr>
        <w:t>the</w:t>
      </w:r>
      <w:r>
        <w:rPr>
          <w:color w:val="231F20"/>
          <w:spacing w:val="10"/>
          <w:sz w:val="20"/>
        </w:rPr>
        <w:t> </w:t>
      </w:r>
      <w:r>
        <w:rPr>
          <w:color w:val="231F20"/>
          <w:sz w:val="20"/>
        </w:rPr>
        <w:t>toolbar.</w:t>
      </w:r>
      <w:r>
        <w:rPr>
          <w:color w:val="231F20"/>
          <w:spacing w:val="10"/>
          <w:sz w:val="20"/>
        </w:rPr>
        <w:t> </w:t>
      </w:r>
      <w:r>
        <w:rPr>
          <w:color w:val="231F20"/>
          <w:sz w:val="20"/>
        </w:rPr>
        <w:t>For</w:t>
      </w:r>
      <w:r>
        <w:rPr>
          <w:color w:val="231F20"/>
          <w:spacing w:val="10"/>
          <w:sz w:val="20"/>
        </w:rPr>
        <w:t> </w:t>
      </w:r>
      <w:r>
        <w:rPr>
          <w:color w:val="231F20"/>
          <w:sz w:val="20"/>
        </w:rPr>
        <w:t>example</w:t>
      </w:r>
      <w:r>
        <w:rPr>
          <w:color w:val="231F20"/>
          <w:spacing w:val="10"/>
          <w:sz w:val="20"/>
        </w:rPr>
        <w:t> </w:t>
      </w:r>
      <w:r>
        <w:rPr>
          <w:color w:val="231F20"/>
          <w:sz w:val="20"/>
        </w:rPr>
        <w:t>click</w:t>
      </w:r>
      <w:r>
        <w:rPr>
          <w:color w:val="231F20"/>
          <w:spacing w:val="26"/>
          <w:sz w:val="20"/>
        </w:rPr>
        <w:t> </w:t>
      </w:r>
      <w:r>
        <w:rPr>
          <w:color w:val="231F20"/>
          <w:spacing w:val="-16"/>
          <w:position w:val="-1"/>
          <w:sz w:val="20"/>
        </w:rPr>
        <w:drawing>
          <wp:inline distT="0" distB="0" distL="0" distR="0">
            <wp:extent cx="82550" cy="101600"/>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49" cstate="print"/>
                    <a:stretch>
                      <a:fillRect/>
                    </a:stretch>
                  </pic:blipFill>
                  <pic:spPr>
                    <a:xfrm>
                      <a:off x="0" y="0"/>
                      <a:ext cx="82550" cy="101600"/>
                    </a:xfrm>
                    <a:prstGeom prst="rect">
                      <a:avLst/>
                    </a:prstGeom>
                  </pic:spPr>
                </pic:pic>
              </a:graphicData>
            </a:graphic>
          </wp:inline>
        </w:drawing>
      </w:r>
      <w:r>
        <w:rPr>
          <w:color w:val="231F20"/>
          <w:spacing w:val="-16"/>
          <w:position w:val="-1"/>
          <w:sz w:val="20"/>
        </w:rPr>
      </w:r>
      <w:r>
        <w:rPr>
          <w:rFonts w:ascii="Times New Roman"/>
          <w:color w:val="231F20"/>
          <w:spacing w:val="18"/>
          <w:sz w:val="20"/>
        </w:rPr>
        <w:t> </w:t>
      </w:r>
      <w:r>
        <w:rPr>
          <w:rFonts w:ascii="Book Antiqua"/>
          <w:b/>
          <w:color w:val="231F20"/>
          <w:spacing w:val="-2"/>
          <w:sz w:val="20"/>
        </w:rPr>
        <w:t>Notepad</w:t>
      </w:r>
    </w:p>
    <w:p>
      <w:pPr>
        <w:pStyle w:val="BodyText"/>
        <w:spacing w:line="213" w:lineRule="auto" w:before="53"/>
        <w:ind w:left="2788" w:right="545"/>
      </w:pPr>
      <w:r>
        <w:rPr>
          <w:color w:val="231F20"/>
        </w:rPr>
        <w:t>When you click a view tool, the mouse pointer changes to an icon of </w:t>
      </w:r>
      <w:r>
        <w:rPr>
          <w:color w:val="231F20"/>
        </w:rPr>
        <w:t>the chosen view type (hand icon on Linux).</w:t>
      </w:r>
    </w:p>
    <w:p>
      <w:pPr>
        <w:pStyle w:val="ListParagraph"/>
        <w:numPr>
          <w:ilvl w:val="0"/>
          <w:numId w:val="2"/>
        </w:numPr>
        <w:tabs>
          <w:tab w:pos="2787" w:val="left" w:leader="none"/>
        </w:tabs>
        <w:spacing w:line="240" w:lineRule="auto" w:before="35" w:after="0"/>
        <w:ind w:left="2787" w:right="0" w:hanging="315"/>
        <w:jc w:val="left"/>
        <w:rPr>
          <w:sz w:val="20"/>
        </w:rPr>
      </w:pPr>
      <w:r>
        <w:rPr>
          <w:color w:val="231F20"/>
          <w:sz w:val="20"/>
        </w:rPr>
        <w:t>Click</w:t>
      </w:r>
      <w:r>
        <w:rPr>
          <w:color w:val="231F20"/>
          <w:spacing w:val="10"/>
          <w:sz w:val="20"/>
        </w:rPr>
        <w:t> </w:t>
      </w:r>
      <w:r>
        <w:rPr>
          <w:color w:val="231F20"/>
          <w:sz w:val="20"/>
        </w:rPr>
        <w:t>inside</w:t>
      </w:r>
      <w:r>
        <w:rPr>
          <w:color w:val="231F20"/>
          <w:spacing w:val="11"/>
          <w:sz w:val="20"/>
        </w:rPr>
        <w:t> </w:t>
      </w:r>
      <w:r>
        <w:rPr>
          <w:color w:val="231F20"/>
          <w:sz w:val="20"/>
        </w:rPr>
        <w:t>the</w:t>
      </w:r>
      <w:r>
        <w:rPr>
          <w:color w:val="231F20"/>
          <w:spacing w:val="10"/>
          <w:sz w:val="20"/>
        </w:rPr>
        <w:t> </w:t>
      </w:r>
      <w:r>
        <w:rPr>
          <w:color w:val="231F20"/>
          <w:sz w:val="20"/>
        </w:rPr>
        <w:t>view</w:t>
      </w:r>
      <w:r>
        <w:rPr>
          <w:color w:val="231F20"/>
          <w:spacing w:val="11"/>
          <w:sz w:val="20"/>
        </w:rPr>
        <w:t> </w:t>
      </w:r>
      <w:r>
        <w:rPr>
          <w:color w:val="231F20"/>
          <w:sz w:val="20"/>
        </w:rPr>
        <w:t>pane.</w:t>
      </w:r>
      <w:r>
        <w:rPr>
          <w:color w:val="231F20"/>
          <w:spacing w:val="11"/>
          <w:sz w:val="20"/>
        </w:rPr>
        <w:t> </w:t>
      </w:r>
      <w:r>
        <w:rPr>
          <w:color w:val="231F20"/>
          <w:sz w:val="20"/>
        </w:rPr>
        <w:t>The</w:t>
      </w:r>
      <w:r>
        <w:rPr>
          <w:color w:val="231F20"/>
          <w:spacing w:val="10"/>
          <w:sz w:val="20"/>
        </w:rPr>
        <w:t> </w:t>
      </w:r>
      <w:r>
        <w:rPr>
          <w:color w:val="231F20"/>
          <w:sz w:val="20"/>
        </w:rPr>
        <w:t>new</w:t>
      </w:r>
      <w:r>
        <w:rPr>
          <w:color w:val="231F20"/>
          <w:spacing w:val="11"/>
          <w:sz w:val="20"/>
        </w:rPr>
        <w:t> </w:t>
      </w:r>
      <w:r>
        <w:rPr>
          <w:color w:val="231F20"/>
          <w:sz w:val="20"/>
        </w:rPr>
        <w:t>view</w:t>
      </w:r>
      <w:r>
        <w:rPr>
          <w:color w:val="231F20"/>
          <w:spacing w:val="10"/>
          <w:sz w:val="20"/>
        </w:rPr>
        <w:t> </w:t>
      </w:r>
      <w:r>
        <w:rPr>
          <w:color w:val="231F20"/>
          <w:sz w:val="20"/>
        </w:rPr>
        <w:t>replaces</w:t>
      </w:r>
      <w:r>
        <w:rPr>
          <w:color w:val="231F20"/>
          <w:spacing w:val="11"/>
          <w:sz w:val="20"/>
        </w:rPr>
        <w:t> </w:t>
      </w:r>
      <w:r>
        <w:rPr>
          <w:color w:val="231F20"/>
          <w:sz w:val="20"/>
        </w:rPr>
        <w:t>the</w:t>
      </w:r>
      <w:r>
        <w:rPr>
          <w:color w:val="231F20"/>
          <w:spacing w:val="11"/>
          <w:sz w:val="20"/>
        </w:rPr>
        <w:t> </w:t>
      </w:r>
      <w:r>
        <w:rPr>
          <w:color w:val="231F20"/>
          <w:sz w:val="20"/>
        </w:rPr>
        <w:t>previous</w:t>
      </w:r>
      <w:r>
        <w:rPr>
          <w:color w:val="231F20"/>
          <w:spacing w:val="10"/>
          <w:sz w:val="20"/>
        </w:rPr>
        <w:t> </w:t>
      </w:r>
      <w:r>
        <w:rPr>
          <w:color w:val="231F20"/>
          <w:spacing w:val="-2"/>
          <w:sz w:val="20"/>
        </w:rPr>
        <w:t>view.</w:t>
      </w:r>
    </w:p>
    <w:p>
      <w:pPr>
        <w:pStyle w:val="BodyText"/>
        <w:spacing w:before="210"/>
        <w:ind w:left="2472"/>
      </w:pPr>
      <w:r>
        <w:rPr>
          <w:color w:val="231F20"/>
        </w:rPr>
        <w:t>To</w:t>
      </w:r>
      <w:r>
        <w:rPr>
          <w:color w:val="231F20"/>
          <w:spacing w:val="6"/>
        </w:rPr>
        <w:t> </w:t>
      </w:r>
      <w:r>
        <w:rPr>
          <w:color w:val="231F20"/>
        </w:rPr>
        <w:t>rearrange</w:t>
      </w:r>
      <w:r>
        <w:rPr>
          <w:color w:val="231F20"/>
          <w:spacing w:val="6"/>
        </w:rPr>
        <w:t> </w:t>
      </w:r>
      <w:r>
        <w:rPr>
          <w:color w:val="231F20"/>
        </w:rPr>
        <w:t>views</w:t>
      </w:r>
      <w:r>
        <w:rPr>
          <w:color w:val="231F20"/>
          <w:spacing w:val="6"/>
        </w:rPr>
        <w:t> </w:t>
      </w:r>
      <w:r>
        <w:rPr>
          <w:color w:val="231F20"/>
        </w:rPr>
        <w:t>complete</w:t>
      </w:r>
      <w:r>
        <w:rPr>
          <w:color w:val="231F20"/>
          <w:spacing w:val="7"/>
        </w:rPr>
        <w:t> </w:t>
      </w:r>
      <w:r>
        <w:rPr>
          <w:color w:val="231F20"/>
        </w:rPr>
        <w:t>the</w:t>
      </w:r>
      <w:r>
        <w:rPr>
          <w:color w:val="231F20"/>
          <w:spacing w:val="6"/>
        </w:rPr>
        <w:t> </w:t>
      </w:r>
      <w:r>
        <w:rPr>
          <w:color w:val="231F20"/>
        </w:rPr>
        <w:t>following</w:t>
      </w:r>
      <w:r>
        <w:rPr>
          <w:color w:val="231F20"/>
          <w:spacing w:val="6"/>
        </w:rPr>
        <w:t> </w:t>
      </w:r>
      <w:r>
        <w:rPr>
          <w:color w:val="231F20"/>
          <w:spacing w:val="-2"/>
        </w:rPr>
        <w:t>steps:</w:t>
      </w:r>
    </w:p>
    <w:p>
      <w:pPr>
        <w:pStyle w:val="ListParagraph"/>
        <w:numPr>
          <w:ilvl w:val="0"/>
          <w:numId w:val="3"/>
        </w:numPr>
        <w:tabs>
          <w:tab w:pos="2787" w:val="left" w:leader="none"/>
        </w:tabs>
        <w:spacing w:line="240" w:lineRule="auto" w:before="29" w:after="0"/>
        <w:ind w:left="2787" w:right="0" w:hanging="315"/>
        <w:jc w:val="left"/>
        <w:rPr>
          <w:sz w:val="20"/>
        </w:rPr>
      </w:pPr>
      <w:r>
        <w:rPr>
          <w:color w:val="231F20"/>
          <w:sz w:val="20"/>
        </w:rPr>
        <w:t>Drag</w:t>
      </w:r>
      <w:r>
        <w:rPr>
          <w:color w:val="231F20"/>
          <w:spacing w:val="11"/>
          <w:sz w:val="20"/>
        </w:rPr>
        <w:t> </w:t>
      </w:r>
      <w:r>
        <w:rPr>
          <w:color w:val="231F20"/>
          <w:sz w:val="20"/>
        </w:rPr>
        <w:t>the</w:t>
      </w:r>
      <w:r>
        <w:rPr>
          <w:color w:val="231F20"/>
          <w:spacing w:val="12"/>
          <w:sz w:val="20"/>
        </w:rPr>
        <w:t> </w:t>
      </w:r>
      <w:r>
        <w:rPr>
          <w:color w:val="231F20"/>
          <w:sz w:val="20"/>
        </w:rPr>
        <w:t>title</w:t>
      </w:r>
      <w:r>
        <w:rPr>
          <w:color w:val="231F20"/>
          <w:spacing w:val="12"/>
          <w:sz w:val="20"/>
        </w:rPr>
        <w:t> </w:t>
      </w:r>
      <w:r>
        <w:rPr>
          <w:color w:val="231F20"/>
          <w:sz w:val="20"/>
        </w:rPr>
        <w:t>bar</w:t>
      </w:r>
      <w:r>
        <w:rPr>
          <w:color w:val="231F20"/>
          <w:spacing w:val="12"/>
          <w:sz w:val="20"/>
        </w:rPr>
        <w:t> </w:t>
      </w:r>
      <w:r>
        <w:rPr>
          <w:color w:val="231F20"/>
          <w:sz w:val="20"/>
        </w:rPr>
        <w:t>of</w:t>
      </w:r>
      <w:r>
        <w:rPr>
          <w:color w:val="231F20"/>
          <w:spacing w:val="12"/>
          <w:sz w:val="20"/>
        </w:rPr>
        <w:t> </w:t>
      </w:r>
      <w:r>
        <w:rPr>
          <w:color w:val="231F20"/>
          <w:sz w:val="20"/>
        </w:rPr>
        <w:t>one</w:t>
      </w:r>
      <w:r>
        <w:rPr>
          <w:color w:val="231F20"/>
          <w:spacing w:val="12"/>
          <w:sz w:val="20"/>
        </w:rPr>
        <w:t> </w:t>
      </w:r>
      <w:r>
        <w:rPr>
          <w:color w:val="231F20"/>
          <w:sz w:val="20"/>
        </w:rPr>
        <w:t>view</w:t>
      </w:r>
      <w:r>
        <w:rPr>
          <w:color w:val="231F20"/>
          <w:spacing w:val="12"/>
          <w:sz w:val="20"/>
        </w:rPr>
        <w:t> </w:t>
      </w:r>
      <w:r>
        <w:rPr>
          <w:color w:val="231F20"/>
          <w:sz w:val="20"/>
        </w:rPr>
        <w:t>and</w:t>
      </w:r>
      <w:r>
        <w:rPr>
          <w:color w:val="231F20"/>
          <w:spacing w:val="12"/>
          <w:sz w:val="20"/>
        </w:rPr>
        <w:t> </w:t>
      </w:r>
      <w:r>
        <w:rPr>
          <w:color w:val="231F20"/>
          <w:sz w:val="20"/>
        </w:rPr>
        <w:t>drop</w:t>
      </w:r>
      <w:r>
        <w:rPr>
          <w:color w:val="231F20"/>
          <w:spacing w:val="11"/>
          <w:sz w:val="20"/>
        </w:rPr>
        <w:t> </w:t>
      </w:r>
      <w:r>
        <w:rPr>
          <w:color w:val="231F20"/>
          <w:sz w:val="20"/>
        </w:rPr>
        <w:t>over</w:t>
      </w:r>
      <w:r>
        <w:rPr>
          <w:color w:val="231F20"/>
          <w:spacing w:val="12"/>
          <w:sz w:val="20"/>
        </w:rPr>
        <w:t> </w:t>
      </w:r>
      <w:r>
        <w:rPr>
          <w:color w:val="231F20"/>
          <w:sz w:val="20"/>
        </w:rPr>
        <w:t>another</w:t>
      </w:r>
      <w:r>
        <w:rPr>
          <w:color w:val="231F20"/>
          <w:spacing w:val="12"/>
          <w:sz w:val="20"/>
        </w:rPr>
        <w:t> </w:t>
      </w:r>
      <w:r>
        <w:rPr>
          <w:color w:val="231F20"/>
          <w:spacing w:val="-2"/>
          <w:sz w:val="20"/>
        </w:rPr>
        <w:t>view.</w:t>
      </w:r>
    </w:p>
    <w:p>
      <w:pPr>
        <w:pStyle w:val="BodyText"/>
        <w:spacing w:line="213" w:lineRule="auto" w:before="53"/>
        <w:ind w:left="2788" w:right="545"/>
      </w:pPr>
      <w:r>
        <w:rPr>
          <w:color w:val="231F20"/>
        </w:rPr>
        <w:t>While dragging the title bar, you should see a semi-transparent copy of </w:t>
      </w:r>
      <w:r>
        <w:rPr>
          <w:color w:val="231F20"/>
        </w:rPr>
        <w:t>the </w:t>
      </w:r>
      <w:r>
        <w:rPr>
          <w:color w:val="231F20"/>
          <w:spacing w:val="-2"/>
        </w:rPr>
        <w:t>view.</w:t>
      </w:r>
    </w:p>
    <w:p>
      <w:pPr>
        <w:pStyle w:val="ListParagraph"/>
        <w:numPr>
          <w:ilvl w:val="0"/>
          <w:numId w:val="3"/>
        </w:numPr>
        <w:tabs>
          <w:tab w:pos="2787" w:val="left" w:leader="none"/>
        </w:tabs>
        <w:spacing w:line="240" w:lineRule="auto" w:before="35" w:after="0"/>
        <w:ind w:left="2787" w:right="0" w:hanging="315"/>
        <w:jc w:val="left"/>
        <w:rPr>
          <w:sz w:val="20"/>
        </w:rPr>
      </w:pPr>
      <w:r>
        <w:rPr>
          <w:color w:val="231F20"/>
          <w:sz w:val="20"/>
        </w:rPr>
        <w:t>Release</w:t>
      </w:r>
      <w:r>
        <w:rPr>
          <w:color w:val="231F20"/>
          <w:spacing w:val="11"/>
          <w:sz w:val="20"/>
        </w:rPr>
        <w:t> </w:t>
      </w:r>
      <w:r>
        <w:rPr>
          <w:color w:val="231F20"/>
          <w:sz w:val="20"/>
        </w:rPr>
        <w:t>the</w:t>
      </w:r>
      <w:r>
        <w:rPr>
          <w:color w:val="231F20"/>
          <w:spacing w:val="12"/>
          <w:sz w:val="20"/>
        </w:rPr>
        <w:t> </w:t>
      </w:r>
      <w:r>
        <w:rPr>
          <w:color w:val="231F20"/>
          <w:sz w:val="20"/>
        </w:rPr>
        <w:t>mouse</w:t>
      </w:r>
      <w:r>
        <w:rPr>
          <w:color w:val="231F20"/>
          <w:spacing w:val="11"/>
          <w:sz w:val="20"/>
        </w:rPr>
        <w:t> </w:t>
      </w:r>
      <w:r>
        <w:rPr>
          <w:color w:val="231F20"/>
          <w:sz w:val="20"/>
        </w:rPr>
        <w:t>button</w:t>
      </w:r>
      <w:r>
        <w:rPr>
          <w:color w:val="231F20"/>
          <w:spacing w:val="12"/>
          <w:sz w:val="20"/>
        </w:rPr>
        <w:t> </w:t>
      </w:r>
      <w:r>
        <w:rPr>
          <w:color w:val="231F20"/>
          <w:sz w:val="20"/>
        </w:rPr>
        <w:t>to</w:t>
      </w:r>
      <w:r>
        <w:rPr>
          <w:color w:val="231F20"/>
          <w:spacing w:val="11"/>
          <w:sz w:val="20"/>
        </w:rPr>
        <w:t> </w:t>
      </w:r>
      <w:r>
        <w:rPr>
          <w:color w:val="231F20"/>
          <w:sz w:val="20"/>
        </w:rPr>
        <w:t>switch</w:t>
      </w:r>
      <w:r>
        <w:rPr>
          <w:color w:val="231F20"/>
          <w:spacing w:val="12"/>
          <w:sz w:val="20"/>
        </w:rPr>
        <w:t> </w:t>
      </w:r>
      <w:r>
        <w:rPr>
          <w:color w:val="231F20"/>
          <w:sz w:val="20"/>
        </w:rPr>
        <w:t>the</w:t>
      </w:r>
      <w:r>
        <w:rPr>
          <w:color w:val="231F20"/>
          <w:spacing w:val="11"/>
          <w:sz w:val="20"/>
        </w:rPr>
        <w:t> </w:t>
      </w:r>
      <w:r>
        <w:rPr>
          <w:color w:val="231F20"/>
          <w:spacing w:val="-2"/>
          <w:sz w:val="20"/>
        </w:rPr>
        <w:t>views.</w:t>
      </w:r>
    </w:p>
    <w:p>
      <w:pPr>
        <w:pStyle w:val="Heading6"/>
        <w:spacing w:line="240" w:lineRule="auto" w:before="111"/>
      </w:pPr>
      <w:r>
        <w:rPr>
          <w:color w:val="231F20"/>
        </w:rPr>
        <w:t>Query-based</w:t>
      </w:r>
      <w:r>
        <w:rPr>
          <w:color w:val="231F20"/>
          <w:spacing w:val="4"/>
        </w:rPr>
        <w:t> </w:t>
      </w:r>
      <w:r>
        <w:rPr>
          <w:color w:val="231F20"/>
          <w:spacing w:val="-4"/>
        </w:rPr>
        <w:t>views</w:t>
      </w:r>
    </w:p>
    <w:p>
      <w:pPr>
        <w:pStyle w:val="BodyText"/>
        <w:spacing w:line="213" w:lineRule="auto" w:before="120"/>
        <w:ind w:left="3190" w:right="308"/>
      </w:pPr>
      <w:r>
        <w:rPr>
          <w:color w:val="231F20"/>
        </w:rPr>
        <w:t>The table and chart views are the first step to getting meaningful information from the data being collected. When you understand what values and states are causing problems, you can refine your views to </w:t>
      </w:r>
      <w:r>
        <w:rPr>
          <w:color w:val="231F20"/>
        </w:rPr>
        <w:t>show what is important. For attribute groups with attributes that can be</w:t>
      </w:r>
      <w:r>
        <w:rPr>
          <w:color w:val="231F20"/>
          <w:spacing w:val="80"/>
        </w:rPr>
        <w:t> </w:t>
      </w:r>
      <w:r>
        <w:rPr>
          <w:color w:val="231F20"/>
        </w:rPr>
        <w:t>expressed meaningfully as objects and show their relationship to other attributes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group,</w:t>
      </w:r>
      <w:r>
        <w:rPr>
          <w:color w:val="231F20"/>
          <w:spacing w:val="26"/>
        </w:rPr>
        <w:t> </w:t>
      </w:r>
      <w:r>
        <w:rPr>
          <w:color w:val="231F20"/>
        </w:rPr>
        <w:t>there</w:t>
      </w:r>
      <w:r>
        <w:rPr>
          <w:color w:val="231F20"/>
          <w:spacing w:val="26"/>
        </w:rPr>
        <w:t> </w:t>
      </w:r>
      <w:r>
        <w:rPr>
          <w:color w:val="231F20"/>
        </w:rPr>
        <w:t>is</w:t>
      </w:r>
      <w:r>
        <w:rPr>
          <w:color w:val="231F20"/>
          <w:spacing w:val="26"/>
        </w:rPr>
        <w:t> </w:t>
      </w:r>
      <w:r>
        <w:rPr>
          <w:color w:val="231F20"/>
        </w:rPr>
        <w:t>also</w:t>
      </w:r>
      <w:r>
        <w:rPr>
          <w:color w:val="231F20"/>
          <w:spacing w:val="26"/>
        </w:rPr>
        <w:t> </w:t>
      </w:r>
      <w:r>
        <w:rPr>
          <w:color w:val="231F20"/>
        </w:rPr>
        <w:t>the</w:t>
      </w:r>
      <w:r>
        <w:rPr>
          <w:color w:val="231F20"/>
          <w:spacing w:val="26"/>
        </w:rPr>
        <w:t> </w:t>
      </w:r>
      <w:r>
        <w:rPr>
          <w:rFonts w:ascii="Book Antiqua"/>
          <w:i/>
          <w:color w:val="231F20"/>
        </w:rPr>
        <w:t>Relational</w:t>
      </w:r>
      <w:r>
        <w:rPr>
          <w:rFonts w:ascii="Book Antiqua"/>
          <w:i/>
          <w:color w:val="231F20"/>
          <w:spacing w:val="26"/>
        </w:rPr>
        <w:t> </w:t>
      </w:r>
      <w:r>
        <w:rPr>
          <w:rFonts w:ascii="Book Antiqua"/>
          <w:i/>
          <w:color w:val="231F20"/>
        </w:rPr>
        <w:t>Table</w:t>
      </w:r>
      <w:r>
        <w:rPr>
          <w:rFonts w:ascii="Book Antiqua"/>
          <w:i/>
          <w:color w:val="231F20"/>
          <w:spacing w:val="26"/>
        </w:rPr>
        <w:t> </w:t>
      </w:r>
      <w:r>
        <w:rPr>
          <w:rFonts w:ascii="Book Antiqua"/>
          <w:i/>
          <w:color w:val="231F20"/>
        </w:rPr>
        <w:t>Based</w:t>
      </w:r>
      <w:r>
        <w:rPr>
          <w:rFonts w:ascii="Book Antiqua"/>
          <w:i/>
          <w:color w:val="231F20"/>
        </w:rPr>
        <w:t> </w:t>
      </w:r>
      <w:r>
        <w:rPr>
          <w:color w:val="231F20"/>
        </w:rPr>
        <w:t>topology view.</w:t>
      </w:r>
    </w:p>
    <w:p>
      <w:pPr>
        <w:pStyle w:val="BodyText"/>
        <w:spacing w:line="213" w:lineRule="auto" w:before="115"/>
        <w:ind w:left="3190" w:firstLine="10"/>
      </w:pPr>
      <w:r>
        <w:rPr>
          <w:position w:val="-1"/>
        </w:rPr>
        <w:drawing>
          <wp:inline distT="0" distB="0" distL="0" distR="0">
            <wp:extent cx="95250" cy="95250"/>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50" cstate="print"/>
                    <a:stretch>
                      <a:fillRect/>
                    </a:stretch>
                  </pic:blipFill>
                  <pic:spPr>
                    <a:xfrm>
                      <a:off x="0" y="0"/>
                      <a:ext cx="95250" cy="95250"/>
                    </a:xfrm>
                    <a:prstGeom prst="rect">
                      <a:avLst/>
                    </a:prstGeom>
                  </pic:spPr>
                </pic:pic>
              </a:graphicData>
            </a:graphic>
          </wp:inline>
        </w:drawing>
      </w:r>
      <w:r>
        <w:rPr>
          <w:position w:val="-1"/>
        </w:rPr>
      </w:r>
      <w:r>
        <w:rPr>
          <w:rFonts w:ascii="Times New Roman"/>
        </w:rPr>
        <w:t> </w:t>
      </w:r>
      <w:r>
        <w:rPr>
          <w:color w:val="231F20"/>
        </w:rPr>
        <w:t>The</w:t>
      </w:r>
      <w:r>
        <w:rPr>
          <w:color w:val="231F20"/>
          <w:spacing w:val="23"/>
        </w:rPr>
        <w:t> </w:t>
      </w:r>
      <w:r>
        <w:rPr>
          <w:color w:val="231F20"/>
        </w:rPr>
        <w:t>table</w:t>
      </w:r>
      <w:r>
        <w:rPr>
          <w:color w:val="231F20"/>
          <w:spacing w:val="23"/>
        </w:rPr>
        <w:t> </w:t>
      </w:r>
      <w:r>
        <w:rPr>
          <w:color w:val="231F20"/>
        </w:rPr>
        <w:t>view</w:t>
      </w:r>
      <w:r>
        <w:rPr>
          <w:color w:val="231F20"/>
          <w:spacing w:val="23"/>
        </w:rPr>
        <w:t> </w:t>
      </w:r>
      <w:r>
        <w:rPr>
          <w:color w:val="231F20"/>
        </w:rPr>
        <w:t>and</w:t>
      </w:r>
      <w:r>
        <w:rPr>
          <w:color w:val="231F20"/>
          <w:spacing w:val="34"/>
        </w:rPr>
        <w:t> </w:t>
      </w:r>
      <w:r>
        <w:rPr>
          <w:color w:val="231F20"/>
          <w:spacing w:val="-24"/>
          <w:position w:val="-1"/>
        </w:rPr>
        <w:drawing>
          <wp:inline distT="0" distB="0" distL="0" distR="0">
            <wp:extent cx="95250" cy="95250"/>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position w:val="-1"/>
        </w:rPr>
        <w:t> </w:t>
      </w:r>
      <w:r>
        <w:rPr>
          <w:rFonts w:ascii="Times New Roman"/>
          <w:color w:val="231F20"/>
          <w:spacing w:val="-5"/>
          <w:position w:val="-1"/>
        </w:rPr>
        <w:drawing>
          <wp:inline distT="0" distB="0" distL="0" distR="0">
            <wp:extent cx="95250" cy="101600"/>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44" cstate="print"/>
                    <a:stretch>
                      <a:fillRect/>
                    </a:stretch>
                  </pic:blipFill>
                  <pic:spPr>
                    <a:xfrm>
                      <a:off x="0" y="0"/>
                      <a:ext cx="95250" cy="101600"/>
                    </a:xfrm>
                    <a:prstGeom prst="rect">
                      <a:avLst/>
                    </a:prstGeom>
                  </pic:spPr>
                </pic:pic>
              </a:graphicData>
            </a:graphic>
          </wp:inline>
        </w:drawing>
      </w:r>
      <w:r>
        <w:rPr>
          <w:rFonts w:ascii="Times New Roman"/>
          <w:color w:val="231F20"/>
          <w:spacing w:val="-5"/>
          <w:position w:val="-1"/>
        </w:rPr>
      </w:r>
      <w:r>
        <w:rPr>
          <w:rFonts w:ascii="Times New Roman"/>
          <w:color w:val="231F20"/>
          <w:spacing w:val="80"/>
          <w:position w:val="-1"/>
        </w:rPr>
        <w:t> </w:t>
      </w:r>
      <w:r>
        <w:rPr>
          <w:rFonts w:ascii="Times New Roman"/>
          <w:color w:val="231F20"/>
          <w:spacing w:val="-20"/>
          <w:position w:val="-1"/>
        </w:rPr>
        <w:drawing>
          <wp:inline distT="0" distB="0" distL="0" distR="0">
            <wp:extent cx="101600" cy="95250"/>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45" cstate="print"/>
                    <a:stretch>
                      <a:fillRect/>
                    </a:stretch>
                  </pic:blipFill>
                  <pic:spPr>
                    <a:xfrm>
                      <a:off x="0" y="0"/>
                      <a:ext cx="101600" cy="95250"/>
                    </a:xfrm>
                    <a:prstGeom prst="rect">
                      <a:avLst/>
                    </a:prstGeom>
                  </pic:spPr>
                </pic:pic>
              </a:graphicData>
            </a:graphic>
          </wp:inline>
        </w:drawing>
      </w:r>
      <w:r>
        <w:rPr>
          <w:rFonts w:ascii="Times New Roman"/>
          <w:color w:val="231F20"/>
          <w:spacing w:val="-20"/>
          <w:position w:val="-1"/>
        </w:rPr>
      </w:r>
      <w:r>
        <w:rPr>
          <w:rFonts w:ascii="Times New Roman"/>
          <w:color w:val="231F20"/>
          <w:spacing w:val="80"/>
          <w:position w:val="-1"/>
        </w:rPr>
        <w:t> </w:t>
      </w:r>
      <w:r>
        <w:rPr>
          <w:rFonts w:ascii="Times New Roman"/>
          <w:color w:val="231F20"/>
          <w:spacing w:val="-5"/>
          <w:position w:val="-1"/>
        </w:rPr>
        <w:drawing>
          <wp:inline distT="0" distB="0" distL="0" distR="0">
            <wp:extent cx="101600" cy="95250"/>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46" cstate="print"/>
                    <a:stretch>
                      <a:fillRect/>
                    </a:stretch>
                  </pic:blipFill>
                  <pic:spPr>
                    <a:xfrm>
                      <a:off x="0" y="0"/>
                      <a:ext cx="101600" cy="95250"/>
                    </a:xfrm>
                    <a:prstGeom prst="rect">
                      <a:avLst/>
                    </a:prstGeom>
                  </pic:spPr>
                </pic:pic>
              </a:graphicData>
            </a:graphic>
          </wp:inline>
        </w:drawing>
      </w:r>
      <w:r>
        <w:rPr>
          <w:rFonts w:ascii="Times New Roman"/>
          <w:color w:val="231F20"/>
          <w:spacing w:val="-5"/>
          <w:position w:val="-1"/>
        </w:rPr>
      </w:r>
      <w:r>
        <w:rPr>
          <w:rFonts w:ascii="Times New Roman"/>
          <w:color w:val="231F20"/>
          <w:spacing w:val="80"/>
          <w:position w:val="-1"/>
        </w:rPr>
        <w:t> </w:t>
      </w:r>
      <w:r>
        <w:rPr>
          <w:rFonts w:ascii="Times New Roman"/>
          <w:color w:val="231F20"/>
          <w:spacing w:val="-10"/>
          <w:position w:val="-1"/>
        </w:rPr>
        <w:drawing>
          <wp:inline distT="0" distB="0" distL="0" distR="0">
            <wp:extent cx="95250" cy="95250"/>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47" cstate="print"/>
                    <a:stretch>
                      <a:fillRect/>
                    </a:stretch>
                  </pic:blipFill>
                  <pic:spPr>
                    <a:xfrm>
                      <a:off x="0" y="0"/>
                      <a:ext cx="95250" cy="95250"/>
                    </a:xfrm>
                    <a:prstGeom prst="rect">
                      <a:avLst/>
                    </a:prstGeom>
                  </pic:spPr>
                </pic:pic>
              </a:graphicData>
            </a:graphic>
          </wp:inline>
        </w:drawing>
      </w:r>
      <w:r>
        <w:rPr>
          <w:rFonts w:ascii="Times New Roman"/>
          <w:color w:val="231F20"/>
          <w:spacing w:val="-10"/>
          <w:position w:val="-1"/>
        </w:rPr>
      </w:r>
      <w:r>
        <w:rPr>
          <w:rFonts w:ascii="Times New Roman"/>
          <w:color w:val="231F20"/>
          <w:spacing w:val="80"/>
          <w:position w:val="-1"/>
        </w:rPr>
        <w:t> </w:t>
      </w:r>
      <w:r>
        <w:rPr>
          <w:rFonts w:ascii="Times New Roman"/>
          <w:color w:val="231F20"/>
          <w:spacing w:val="-5"/>
          <w:position w:val="-1"/>
        </w:rPr>
        <w:drawing>
          <wp:inline distT="0" distB="0" distL="0" distR="0">
            <wp:extent cx="101600" cy="101600"/>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48" cstate="print"/>
                    <a:stretch>
                      <a:fillRect/>
                    </a:stretch>
                  </pic:blipFill>
                  <pic:spPr>
                    <a:xfrm>
                      <a:off x="0" y="0"/>
                      <a:ext cx="101600" cy="101600"/>
                    </a:xfrm>
                    <a:prstGeom prst="rect">
                      <a:avLst/>
                    </a:prstGeom>
                  </pic:spPr>
                </pic:pic>
              </a:graphicData>
            </a:graphic>
          </wp:inline>
        </w:drawing>
      </w:r>
      <w:r>
        <w:rPr>
          <w:rFonts w:ascii="Times New Roman"/>
          <w:color w:val="231F20"/>
          <w:spacing w:val="-5"/>
          <w:position w:val="-1"/>
        </w:rPr>
      </w:r>
      <w:r>
        <w:rPr>
          <w:rFonts w:ascii="Times New Roman"/>
          <w:color w:val="231F20"/>
          <w:spacing w:val="-5"/>
        </w:rPr>
        <w:t> </w:t>
      </w:r>
      <w:r>
        <w:rPr>
          <w:color w:val="231F20"/>
        </w:rPr>
        <w:t>chart</w:t>
      </w:r>
      <w:r>
        <w:rPr>
          <w:color w:val="231F20"/>
          <w:spacing w:val="23"/>
        </w:rPr>
        <w:t> </w:t>
      </w:r>
      <w:r>
        <w:rPr>
          <w:color w:val="231F20"/>
        </w:rPr>
        <w:t>views</w:t>
      </w:r>
      <w:r>
        <w:rPr>
          <w:color w:val="231F20"/>
          <w:spacing w:val="23"/>
        </w:rPr>
        <w:t> </w:t>
      </w:r>
      <w:r>
        <w:rPr>
          <w:color w:val="231F20"/>
        </w:rPr>
        <w:t>display</w:t>
      </w:r>
      <w:r>
        <w:rPr>
          <w:color w:val="231F20"/>
          <w:spacing w:val="23"/>
        </w:rPr>
        <w:t> </w:t>
      </w:r>
      <w:r>
        <w:rPr>
          <w:color w:val="231F20"/>
        </w:rPr>
        <w:t>data</w:t>
      </w:r>
      <w:r>
        <w:rPr>
          <w:color w:val="231F20"/>
          <w:spacing w:val="23"/>
        </w:rPr>
        <w:t> </w:t>
      </w:r>
      <w:r>
        <w:rPr>
          <w:color w:val="231F20"/>
        </w:rPr>
        <w:t>the monitoring agents have gathered from the systems where they are </w:t>
      </w:r>
      <w:r>
        <w:rPr>
          <w:color w:val="231F20"/>
        </w:rPr>
        <w:t>running.</w:t>
      </w:r>
    </w:p>
    <w:p>
      <w:pPr>
        <w:pStyle w:val="BodyText"/>
        <w:spacing w:line="206" w:lineRule="auto" w:before="131"/>
        <w:ind w:left="3190" w:right="545" w:firstLine="10"/>
      </w:pPr>
      <w:r>
        <w:rPr/>
        <w:drawing>
          <wp:inline distT="0" distB="0" distL="0" distR="0">
            <wp:extent cx="95250" cy="88900"/>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57" cstate="print"/>
                    <a:stretch>
                      <a:fillRect/>
                    </a:stretch>
                  </pic:blipFill>
                  <pic:spPr>
                    <a:xfrm>
                      <a:off x="0" y="0"/>
                      <a:ext cx="95250" cy="88900"/>
                    </a:xfrm>
                    <a:prstGeom prst="rect">
                      <a:avLst/>
                    </a:prstGeom>
                  </pic:spPr>
                </pic:pic>
              </a:graphicData>
            </a:graphic>
          </wp:inline>
        </w:drawing>
      </w:r>
      <w:r>
        <w:rPr/>
      </w:r>
      <w:r>
        <w:rPr>
          <w:rFonts w:ascii="Times New Roman"/>
          <w:spacing w:val="40"/>
          <w:position w:val="1"/>
        </w:rPr>
        <w:t> </w:t>
      </w:r>
      <w:r>
        <w:rPr>
          <w:color w:val="231F20"/>
          <w:position w:val="1"/>
        </w:rPr>
        <w:t>The topology shows the arrangement of monitored </w:t>
      </w:r>
      <w:r>
        <w:rPr>
          <w:color w:val="231F20"/>
          <w:position w:val="1"/>
        </w:rPr>
        <w:t>components </w:t>
      </w:r>
      <w:r>
        <w:rPr>
          <w:color w:val="231F20"/>
        </w:rPr>
        <w:t>associated with its Navigator item.</w:t>
      </w:r>
    </w:p>
    <w:p>
      <w:pPr>
        <w:pStyle w:val="Heading6"/>
        <w:spacing w:line="240" w:lineRule="auto" w:before="120"/>
      </w:pPr>
      <w:r>
        <w:rPr>
          <w:color w:val="231F20"/>
        </w:rPr>
        <w:t>Event</w:t>
      </w:r>
      <w:r>
        <w:rPr>
          <w:color w:val="231F20"/>
          <w:spacing w:val="10"/>
        </w:rPr>
        <w:t> </w:t>
      </w:r>
      <w:r>
        <w:rPr>
          <w:color w:val="231F20"/>
          <w:spacing w:val="-2"/>
        </w:rPr>
        <w:t>views</w:t>
      </w:r>
    </w:p>
    <w:p>
      <w:pPr>
        <w:pStyle w:val="BodyText"/>
        <w:spacing w:line="213" w:lineRule="auto" w:before="120"/>
        <w:ind w:left="3190" w:right="308"/>
      </w:pPr>
      <w:r>
        <w:rPr>
          <w:color w:val="231F20"/>
        </w:rPr>
        <w:t>The message log view and console views (universal message, situation event, common event, and Tivoli Enterprise Console) update </w:t>
      </w:r>
      <w:r>
        <w:rPr>
          <w:color w:val="231F20"/>
        </w:rPr>
        <w:t>automatically to show new events as they arrive and changes in event status as they</w:t>
      </w:r>
      <w:r>
        <w:rPr>
          <w:color w:val="231F20"/>
          <w:spacing w:val="80"/>
        </w:rPr>
        <w:t> </w:t>
      </w:r>
      <w:r>
        <w:rPr>
          <w:color w:val="231F20"/>
        </w:rPr>
        <w:t>occur. The graphic view gives you a pictorial alternative to the Navigator</w:t>
      </w:r>
      <w:r>
        <w:rPr>
          <w:color w:val="231F20"/>
          <w:spacing w:val="40"/>
        </w:rPr>
        <w:t> </w:t>
      </w:r>
      <w:r>
        <w:rPr>
          <w:color w:val="231F20"/>
        </w:rPr>
        <w:t>for indicating alerts.</w:t>
      </w:r>
    </w:p>
    <w:p>
      <w:pPr>
        <w:pStyle w:val="BodyText"/>
        <w:spacing w:line="213" w:lineRule="auto" w:before="116"/>
        <w:ind w:left="3190" w:right="177"/>
        <w:jc w:val="both"/>
      </w:pPr>
      <w:r>
        <w:rPr>
          <w:position w:val="-1"/>
        </w:rPr>
        <w:drawing>
          <wp:inline distT="0" distB="0" distL="0" distR="0">
            <wp:extent cx="101600" cy="101600"/>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51" cstate="print"/>
                    <a:stretch>
                      <a:fillRect/>
                    </a:stretch>
                  </pic:blipFill>
                  <pic:spPr>
                    <a:xfrm>
                      <a:off x="0" y="0"/>
                      <a:ext cx="101600" cy="101600"/>
                    </a:xfrm>
                    <a:prstGeom prst="rect">
                      <a:avLst/>
                    </a:prstGeom>
                  </pic:spPr>
                </pic:pic>
              </a:graphicData>
            </a:graphic>
          </wp:inline>
        </w:drawing>
      </w:r>
      <w:r>
        <w:rPr>
          <w:position w:val="-1"/>
        </w:rPr>
      </w:r>
      <w:r>
        <w:rPr>
          <w:rFonts w:ascii="Times New Roman"/>
        </w:rPr>
        <w:t> </w:t>
      </w:r>
      <w:r>
        <w:rPr>
          <w:color w:val="231F20"/>
        </w:rPr>
        <w:t>The message log view shows the status of events that have been opened</w:t>
      </w:r>
      <w:r>
        <w:rPr>
          <w:color w:val="231F20"/>
          <w:spacing w:val="40"/>
        </w:rPr>
        <w:t> </w:t>
      </w:r>
      <w:r>
        <w:rPr>
          <w:color w:val="231F20"/>
        </w:rPr>
        <w:t>on the entire monitored enterprise and can include up to 100 row entries at</w:t>
      </w:r>
      <w:r>
        <w:rPr>
          <w:color w:val="231F20"/>
          <w:spacing w:val="80"/>
          <w:w w:val="150"/>
        </w:rPr>
        <w:t> </w:t>
      </w:r>
      <w:r>
        <w:rPr>
          <w:color w:val="231F20"/>
        </w:rPr>
        <w:t>a time.</w:t>
      </w:r>
    </w:p>
    <w:p>
      <w:pPr>
        <w:pStyle w:val="BodyText"/>
        <w:spacing w:line="213" w:lineRule="auto" w:before="118"/>
        <w:ind w:left="3190" w:right="545"/>
      </w:pPr>
      <w:r>
        <w:rPr>
          <w:position w:val="-1"/>
        </w:rPr>
        <w:drawing>
          <wp:inline distT="0" distB="0" distL="0" distR="0">
            <wp:extent cx="101600" cy="101600"/>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52" cstate="print"/>
                    <a:stretch>
                      <a:fillRect/>
                    </a:stretch>
                  </pic:blipFill>
                  <pic:spPr>
                    <a:xfrm>
                      <a:off x="0" y="0"/>
                      <a:ext cx="101600" cy="101600"/>
                    </a:xfrm>
                    <a:prstGeom prst="rect">
                      <a:avLst/>
                    </a:prstGeom>
                  </pic:spPr>
                </pic:pic>
              </a:graphicData>
            </a:graphic>
          </wp:inline>
        </w:drawing>
      </w:r>
      <w:r>
        <w:rPr>
          <w:position w:val="-1"/>
        </w:rPr>
      </w:r>
      <w:r>
        <w:rPr>
          <w:rFonts w:ascii="Times New Roman"/>
        </w:rPr>
        <w:t> </w:t>
      </w:r>
      <w:r>
        <w:rPr>
          <w:color w:val="231F20"/>
        </w:rPr>
        <w:t>The universal message console view displays situation and policy activities as they happen, such as when a situation has been created </w:t>
      </w:r>
      <w:r>
        <w:rPr>
          <w:color w:val="231F20"/>
        </w:rPr>
        <w:t>or deleted or a policy has been activated.</w:t>
      </w:r>
    </w:p>
    <w:p>
      <w:pPr>
        <w:pStyle w:val="BodyText"/>
        <w:spacing w:line="213" w:lineRule="auto" w:before="118"/>
        <w:ind w:left="3190" w:right="545" w:firstLine="10"/>
      </w:pPr>
      <w:r>
        <w:rPr>
          <w:position w:val="-1"/>
        </w:rPr>
        <w:drawing>
          <wp:inline distT="0" distB="0" distL="0" distR="0">
            <wp:extent cx="95250" cy="95250"/>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53"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
        </w:rPr>
        <w:t> </w:t>
      </w:r>
      <w:r>
        <w:rPr>
          <w:color w:val="231F20"/>
        </w:rPr>
        <w:t>The graphic view places Navigator items and their alerts as icons on </w:t>
      </w:r>
      <w:r>
        <w:rPr>
          <w:color w:val="231F20"/>
        </w:rPr>
        <w:t>a map or a picture to represent your monitored environment.</w:t>
      </w:r>
    </w:p>
    <w:p>
      <w:pPr>
        <w:pStyle w:val="BodyText"/>
        <w:spacing w:line="213" w:lineRule="auto" w:before="118"/>
        <w:ind w:left="3190" w:right="385" w:firstLine="10"/>
      </w:pPr>
      <w:r>
        <w:rPr>
          <w:position w:val="-1"/>
        </w:rPr>
        <w:drawing>
          <wp:inline distT="0" distB="0" distL="0" distR="0">
            <wp:extent cx="95250" cy="95250"/>
            <wp:effectExtent l="0" t="0" r="0" b="0"/>
            <wp:docPr id="180" name="Image 180"/>
            <wp:cNvGraphicFramePr>
              <a:graphicFrameLocks/>
            </wp:cNvGraphicFramePr>
            <a:graphic>
              <a:graphicData uri="http://schemas.openxmlformats.org/drawingml/2006/picture">
                <pic:pic>
                  <pic:nvPicPr>
                    <pic:cNvPr id="180" name="Image 180"/>
                    <pic:cNvPicPr/>
                  </pic:nvPicPr>
                  <pic:blipFill>
                    <a:blip r:embed="rId58" cstate="print"/>
                    <a:stretch>
                      <a:fillRect/>
                    </a:stretch>
                  </pic:blipFill>
                  <pic:spPr>
                    <a:xfrm>
                      <a:off x="0" y="0"/>
                      <a:ext cx="95250" cy="95250"/>
                    </a:xfrm>
                    <a:prstGeom prst="rect">
                      <a:avLst/>
                    </a:prstGeom>
                  </pic:spPr>
                </pic:pic>
              </a:graphicData>
            </a:graphic>
          </wp:inline>
        </w:drawing>
      </w:r>
      <w:r>
        <w:rPr>
          <w:position w:val="-1"/>
        </w:rPr>
      </w:r>
      <w:r>
        <w:rPr>
          <w:rFonts w:ascii="Times New Roman"/>
        </w:rPr>
        <w:t> </w:t>
      </w:r>
      <w:r>
        <w:rPr>
          <w:color w:val="231F20"/>
        </w:rPr>
        <w:t>The situation event console view shows the status of situation events</w:t>
      </w:r>
      <w:r>
        <w:rPr>
          <w:color w:val="231F20"/>
          <w:spacing w:val="40"/>
        </w:rPr>
        <w:t> </w:t>
      </w:r>
      <w:r>
        <w:rPr>
          <w:color w:val="231F20"/>
        </w:rPr>
        <w:t>that have been opened on this branch of the Navigator. The console has </w:t>
      </w:r>
      <w:r>
        <w:rPr>
          <w:color w:val="231F20"/>
        </w:rPr>
        <w:t>a toolbar for quick filtering and a menu for responding to alerts.</w:t>
      </w:r>
    </w:p>
    <w:p>
      <w:pPr>
        <w:pStyle w:val="BodyText"/>
        <w:spacing w:line="213" w:lineRule="auto" w:before="118"/>
        <w:ind w:left="3190" w:right="274"/>
      </w:pPr>
      <w:r>
        <w:rPr>
          <w:position w:val="-1"/>
        </w:rPr>
        <w:drawing>
          <wp:inline distT="0" distB="0" distL="0" distR="0">
            <wp:extent cx="101600" cy="101600"/>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5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The common event console view integrates events from multiple event repositories:</w:t>
      </w:r>
      <w:r>
        <w:rPr>
          <w:color w:val="231F20"/>
          <w:spacing w:val="2"/>
        </w:rPr>
        <w:t> </w:t>
      </w:r>
      <w:r>
        <w:rPr>
          <w:color w:val="231F20"/>
        </w:rPr>
        <w:t>Tivoli</w:t>
      </w:r>
      <w:r>
        <w:rPr>
          <w:color w:val="231F20"/>
          <w:spacing w:val="2"/>
        </w:rPr>
        <w:t> </w:t>
      </w:r>
      <w:r>
        <w:rPr>
          <w:color w:val="231F20"/>
        </w:rPr>
        <w:t>Enterprise</w:t>
      </w:r>
      <w:r>
        <w:rPr>
          <w:color w:val="231F20"/>
          <w:spacing w:val="2"/>
        </w:rPr>
        <w:t> </w:t>
      </w:r>
      <w:r>
        <w:rPr>
          <w:color w:val="231F20"/>
        </w:rPr>
        <w:t>Monitoring</w:t>
      </w:r>
      <w:r>
        <w:rPr>
          <w:color w:val="231F20"/>
          <w:spacing w:val="2"/>
        </w:rPr>
        <w:t> </w:t>
      </w:r>
      <w:r>
        <w:rPr>
          <w:color w:val="231F20"/>
        </w:rPr>
        <w:t>Server,</w:t>
      </w:r>
      <w:r>
        <w:rPr>
          <w:color w:val="231F20"/>
          <w:spacing w:val="2"/>
        </w:rPr>
        <w:t> </w:t>
      </w:r>
      <w:r>
        <w:rPr>
          <w:color w:val="231F20"/>
        </w:rPr>
        <w:t>Tivoli</w:t>
      </w:r>
      <w:r>
        <w:rPr>
          <w:color w:val="231F20"/>
          <w:spacing w:val="2"/>
        </w:rPr>
        <w:t> </w:t>
      </w:r>
      <w:r>
        <w:rPr>
          <w:color w:val="231F20"/>
        </w:rPr>
        <w:t>Enterprise</w:t>
      </w:r>
      <w:r>
        <w:rPr>
          <w:color w:val="231F20"/>
          <w:spacing w:val="3"/>
        </w:rPr>
        <w:t> </w:t>
      </w:r>
      <w:r>
        <w:rPr>
          <w:color w:val="231F20"/>
          <w:spacing w:val="-2"/>
        </w:rPr>
        <w:t>Console</w:t>
      </w:r>
    </w:p>
    <w:p>
      <w:pPr>
        <w:spacing w:after="0" w:line="213" w:lineRule="auto"/>
        <w:sectPr>
          <w:pgSz w:w="12240" w:h="15840"/>
          <w:pgMar w:header="0" w:footer="736" w:top="1180" w:bottom="920" w:left="1000" w:right="1060"/>
        </w:sectPr>
      </w:pPr>
    </w:p>
    <w:p>
      <w:pPr>
        <w:pStyle w:val="BodyText"/>
        <w:spacing w:line="213" w:lineRule="auto" w:before="85"/>
        <w:ind w:left="2951" w:right="545"/>
      </w:pPr>
      <w:bookmarkStart w:name="_bookmark11" w:id="27"/>
      <w:bookmarkEnd w:id="27"/>
      <w:r>
        <w:rPr/>
      </w:r>
      <w:r>
        <w:rPr>
          <w:color w:val="231F20"/>
        </w:rPr>
        <w:t>event server, and Netcool/OMNIbus ObjectServer. This view has the </w:t>
      </w:r>
      <w:r>
        <w:rPr>
          <w:color w:val="231F20"/>
        </w:rPr>
        <w:t>same functional capabilities as the situation event console view, such as the</w:t>
      </w:r>
      <w:r>
        <w:rPr>
          <w:color w:val="231F20"/>
          <w:spacing w:val="40"/>
        </w:rPr>
        <w:t> </w:t>
      </w:r>
      <w:r>
        <w:rPr>
          <w:color w:val="231F20"/>
        </w:rPr>
        <w:t>ability to sort and filter events.</w:t>
      </w:r>
    </w:p>
    <w:p>
      <w:pPr>
        <w:pStyle w:val="BodyText"/>
        <w:spacing w:line="211" w:lineRule="auto" w:before="126"/>
        <w:ind w:left="2951" w:right="636"/>
      </w:pPr>
      <w:r>
        <w:rPr/>
        <w:drawing>
          <wp:inline distT="0" distB="0" distL="0" distR="0">
            <wp:extent cx="95250" cy="95250"/>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60" cstate="print"/>
                    <a:stretch>
                      <a:fillRect/>
                    </a:stretch>
                  </pic:blipFill>
                  <pic:spPr>
                    <a:xfrm>
                      <a:off x="0" y="0"/>
                      <a:ext cx="95250" cy="95250"/>
                    </a:xfrm>
                    <a:prstGeom prst="rect">
                      <a:avLst/>
                    </a:prstGeom>
                  </pic:spPr>
                </pic:pic>
              </a:graphicData>
            </a:graphic>
          </wp:inline>
        </w:drawing>
      </w:r>
      <w:r>
        <w:rPr/>
      </w:r>
      <w:r>
        <w:rPr>
          <w:rFonts w:ascii="Times New Roman"/>
          <w:spacing w:val="40"/>
          <w:position w:val="1"/>
        </w:rPr>
        <w:t> </w:t>
      </w:r>
      <w:r>
        <w:rPr>
          <w:color w:val="231F20"/>
          <w:position w:val="1"/>
        </w:rPr>
        <w:t>The Tivoli Enterprise Console event viewer can integrate events from </w:t>
      </w:r>
      <w:r>
        <w:rPr>
          <w:color w:val="231F20"/>
        </w:rPr>
        <w:t>the Tivoli Enterprise Console Server with those from the Tivoli </w:t>
      </w:r>
      <w:r>
        <w:rPr>
          <w:color w:val="231F20"/>
        </w:rPr>
        <w:t>Enterprise Monitoring Server.</w:t>
      </w:r>
    </w:p>
    <w:p>
      <w:pPr>
        <w:pStyle w:val="Heading6"/>
        <w:spacing w:line="240" w:lineRule="auto" w:before="116"/>
        <w:ind w:left="2232"/>
      </w:pPr>
      <w:r>
        <w:rPr>
          <w:color w:val="231F20"/>
        </w:rPr>
        <w:t>Other</w:t>
      </w:r>
      <w:r>
        <w:rPr>
          <w:color w:val="231F20"/>
          <w:spacing w:val="10"/>
        </w:rPr>
        <w:t> </w:t>
      </w:r>
      <w:r>
        <w:rPr>
          <w:color w:val="231F20"/>
          <w:spacing w:val="-2"/>
        </w:rPr>
        <w:t>views</w:t>
      </w:r>
    </w:p>
    <w:p>
      <w:pPr>
        <w:pStyle w:val="BodyText"/>
        <w:spacing w:line="213" w:lineRule="auto" w:before="119"/>
        <w:ind w:left="2951" w:right="493"/>
      </w:pPr>
      <w:r>
        <w:rPr>
          <w:color w:val="231F20"/>
        </w:rPr>
        <w:t>Tivoli Enterprise Portal workspaces can also have any of the </w:t>
      </w:r>
      <w:r>
        <w:rPr>
          <w:color w:val="231F20"/>
        </w:rPr>
        <w:t>following specialized views:</w:t>
      </w:r>
    </w:p>
    <w:p>
      <w:pPr>
        <w:pStyle w:val="BodyText"/>
        <w:spacing w:line="213" w:lineRule="auto" w:before="119"/>
        <w:ind w:left="2951" w:right="545" w:firstLine="20"/>
      </w:pPr>
      <w:r>
        <w:rPr>
          <w:position w:val="-1"/>
        </w:rPr>
        <w:drawing>
          <wp:inline distT="0" distB="0" distL="0" distR="0">
            <wp:extent cx="82550" cy="101600"/>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49" cstate="print"/>
                    <a:stretch>
                      <a:fillRect/>
                    </a:stretch>
                  </pic:blipFill>
                  <pic:spPr>
                    <a:xfrm>
                      <a:off x="0" y="0"/>
                      <a:ext cx="82550" cy="101600"/>
                    </a:xfrm>
                    <a:prstGeom prst="rect">
                      <a:avLst/>
                    </a:prstGeom>
                  </pic:spPr>
                </pic:pic>
              </a:graphicData>
            </a:graphic>
          </wp:inline>
        </w:drawing>
      </w:r>
      <w:r>
        <w:rPr>
          <w:position w:val="-1"/>
        </w:rPr>
      </w:r>
      <w:r>
        <w:rPr>
          <w:rFonts w:ascii="Times New Roman"/>
        </w:rPr>
        <w:t> </w:t>
      </w:r>
      <w:r>
        <w:rPr>
          <w:color w:val="231F20"/>
        </w:rPr>
        <w:t>The notepad view opens a simple text editor for writing notes or </w:t>
      </w:r>
      <w:r>
        <w:rPr>
          <w:color w:val="231F20"/>
        </w:rPr>
        <w:t>other text that can be saved with the workspace.</w:t>
      </w:r>
    </w:p>
    <w:p>
      <w:pPr>
        <w:pStyle w:val="BodyText"/>
        <w:spacing w:line="206" w:lineRule="auto" w:before="131"/>
        <w:ind w:left="2951" w:right="545" w:firstLine="20"/>
      </w:pPr>
      <w:r>
        <w:rPr/>
        <w:drawing>
          <wp:inline distT="0" distB="0" distL="0" distR="0">
            <wp:extent cx="76200" cy="95250"/>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54" cstate="print"/>
                    <a:stretch>
                      <a:fillRect/>
                    </a:stretch>
                  </pic:blipFill>
                  <pic:spPr>
                    <a:xfrm>
                      <a:off x="0" y="0"/>
                      <a:ext cx="76200" cy="95250"/>
                    </a:xfrm>
                    <a:prstGeom prst="rect">
                      <a:avLst/>
                    </a:prstGeom>
                  </pic:spPr>
                </pic:pic>
              </a:graphicData>
            </a:graphic>
          </wp:inline>
        </w:drawing>
      </w:r>
      <w:r>
        <w:rPr/>
      </w:r>
      <w:r>
        <w:rPr>
          <w:rFonts w:ascii="Times New Roman"/>
          <w:position w:val="1"/>
        </w:rPr>
        <w:t> </w:t>
      </w:r>
      <w:r>
        <w:rPr>
          <w:color w:val="231F20"/>
          <w:position w:val="1"/>
        </w:rPr>
        <w:t>The take action view enables you to send a command to a </w:t>
      </w:r>
      <w:r>
        <w:rPr>
          <w:color w:val="231F20"/>
          <w:position w:val="1"/>
        </w:rPr>
        <w:t>managed </w:t>
      </w:r>
      <w:r>
        <w:rPr>
          <w:color w:val="231F20"/>
          <w:spacing w:val="-2"/>
        </w:rPr>
        <w:t>system.</w:t>
      </w:r>
    </w:p>
    <w:p>
      <w:pPr>
        <w:pStyle w:val="BodyText"/>
        <w:spacing w:line="206" w:lineRule="auto" w:before="134"/>
        <w:ind w:left="2951" w:firstLine="10"/>
      </w:pPr>
      <w:r>
        <w:rPr/>
        <w:drawing>
          <wp:inline distT="0" distB="0" distL="0" distR="0">
            <wp:extent cx="95250" cy="88900"/>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55" cstate="print"/>
                    <a:stretch>
                      <a:fillRect/>
                    </a:stretch>
                  </pic:blipFill>
                  <pic:spPr>
                    <a:xfrm>
                      <a:off x="0" y="0"/>
                      <a:ext cx="95250" cy="88900"/>
                    </a:xfrm>
                    <a:prstGeom prst="rect">
                      <a:avLst/>
                    </a:prstGeom>
                  </pic:spPr>
                </pic:pic>
              </a:graphicData>
            </a:graphic>
          </wp:inline>
        </w:drawing>
      </w:r>
      <w:r>
        <w:rPr/>
      </w:r>
      <w:r>
        <w:rPr>
          <w:rFonts w:ascii="Times New Roman"/>
          <w:spacing w:val="-1"/>
          <w:position w:val="1"/>
        </w:rPr>
        <w:t> </w:t>
      </w:r>
      <w:r>
        <w:rPr>
          <w:color w:val="231F20"/>
          <w:position w:val="1"/>
        </w:rPr>
        <w:t>The terminal view starts a 3270 or 5250 session for working with </w:t>
      </w:r>
      <w:r>
        <w:rPr>
          <w:color w:val="231F20"/>
          <w:position w:val="1"/>
        </w:rPr>
        <w:t>z/OS</w:t>
      </w:r>
      <w:r>
        <w:rPr>
          <w:color w:val="231F20"/>
          <w:spacing w:val="40"/>
          <w:position w:val="1"/>
        </w:rPr>
        <w:t> </w:t>
      </w:r>
      <w:r>
        <w:rPr>
          <w:color w:val="231F20"/>
        </w:rPr>
        <w:t>applications, or a Telnet session for working with the TCP/IP network.</w:t>
      </w:r>
    </w:p>
    <w:p>
      <w:pPr>
        <w:pStyle w:val="BodyText"/>
        <w:spacing w:before="99"/>
        <w:ind w:left="2961"/>
      </w:pPr>
      <w:r>
        <w:rPr>
          <w:position w:val="-1"/>
        </w:rPr>
        <w:drawing>
          <wp:inline distT="0" distB="0" distL="0" distR="0">
            <wp:extent cx="95250" cy="95250"/>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5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5"/>
        </w:rPr>
        <w:t> </w:t>
      </w:r>
      <w:r>
        <w:rPr>
          <w:color w:val="231F20"/>
        </w:rPr>
        <w:t>The</w:t>
      </w:r>
      <w:r>
        <w:rPr>
          <w:color w:val="231F20"/>
          <w:spacing w:val="11"/>
        </w:rPr>
        <w:t> </w:t>
      </w:r>
      <w:r>
        <w:rPr>
          <w:color w:val="231F20"/>
        </w:rPr>
        <w:t>browser</w:t>
      </w:r>
      <w:r>
        <w:rPr>
          <w:color w:val="231F20"/>
          <w:spacing w:val="11"/>
        </w:rPr>
        <w:t> </w:t>
      </w:r>
      <w:r>
        <w:rPr>
          <w:color w:val="231F20"/>
        </w:rPr>
        <w:t>view</w:t>
      </w:r>
      <w:r>
        <w:rPr>
          <w:color w:val="231F20"/>
          <w:spacing w:val="11"/>
        </w:rPr>
        <w:t> </w:t>
      </w:r>
      <w:r>
        <w:rPr>
          <w:color w:val="231F20"/>
        </w:rPr>
        <w:t>opens</w:t>
      </w:r>
      <w:r>
        <w:rPr>
          <w:color w:val="231F20"/>
          <w:spacing w:val="11"/>
        </w:rPr>
        <w:t> </w:t>
      </w:r>
      <w:r>
        <w:rPr>
          <w:color w:val="231F20"/>
        </w:rPr>
        <w:t>the</w:t>
      </w:r>
      <w:r>
        <w:rPr>
          <w:color w:val="231F20"/>
          <w:spacing w:val="11"/>
        </w:rPr>
        <w:t> </w:t>
      </w:r>
      <w:r>
        <w:rPr>
          <w:color w:val="231F20"/>
        </w:rPr>
        <w:t>integrated</w:t>
      </w:r>
      <w:r>
        <w:rPr>
          <w:color w:val="231F20"/>
          <w:spacing w:val="11"/>
        </w:rPr>
        <w:t> </w:t>
      </w:r>
      <w:r>
        <w:rPr>
          <w:color w:val="231F20"/>
        </w:rPr>
        <w:t>browser</w:t>
      </w:r>
      <w:r>
        <w:rPr>
          <w:color w:val="231F20"/>
          <w:spacing w:val="11"/>
        </w:rPr>
        <w:t> </w:t>
      </w:r>
      <w:r>
        <w:rPr>
          <w:color w:val="231F20"/>
        </w:rPr>
        <w:t>for</w:t>
      </w:r>
      <w:r>
        <w:rPr>
          <w:color w:val="231F20"/>
          <w:spacing w:val="11"/>
        </w:rPr>
        <w:t> </w:t>
      </w:r>
      <w:r>
        <w:rPr>
          <w:color w:val="231F20"/>
        </w:rPr>
        <w:t>accessing</w:t>
      </w:r>
      <w:r>
        <w:rPr>
          <w:color w:val="231F20"/>
          <w:spacing w:val="11"/>
        </w:rPr>
        <w:t> </w:t>
      </w:r>
      <w:r>
        <w:rPr>
          <w:color w:val="231F20"/>
        </w:rPr>
        <w:t>web</w:t>
      </w:r>
      <w:r>
        <w:rPr>
          <w:color w:val="231F20"/>
          <w:spacing w:val="11"/>
        </w:rPr>
        <w:t> </w:t>
      </w:r>
      <w:r>
        <w:rPr>
          <w:color w:val="231F20"/>
        </w:rPr>
        <w:t>pages.</w:t>
      </w:r>
    </w:p>
    <w:p>
      <w:pPr>
        <w:pStyle w:val="BodyText"/>
        <w:spacing w:line="213" w:lineRule="auto" w:before="113"/>
        <w:ind w:left="2951" w:right="488" w:firstLine="10"/>
      </w:pPr>
      <w:r>
        <w:rPr>
          <w:position w:val="-1"/>
        </w:rPr>
        <w:drawing>
          <wp:inline distT="0" distB="0" distL="0" distR="0">
            <wp:extent cx="95250" cy="95250"/>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53" cstate="print"/>
                    <a:stretch>
                      <a:fillRect/>
                    </a:stretch>
                  </pic:blipFill>
                  <pic:spPr>
                    <a:xfrm>
                      <a:off x="0" y="0"/>
                      <a:ext cx="95250" cy="95250"/>
                    </a:xfrm>
                    <a:prstGeom prst="rect">
                      <a:avLst/>
                    </a:prstGeom>
                  </pic:spPr>
                </pic:pic>
              </a:graphicData>
            </a:graphic>
          </wp:inline>
        </w:drawing>
      </w:r>
      <w:r>
        <w:rPr>
          <w:position w:val="-1"/>
        </w:rPr>
      </w:r>
      <w:r>
        <w:rPr>
          <w:rFonts w:ascii="Times New Roman"/>
        </w:rPr>
        <w:t> </w:t>
      </w:r>
      <w:r>
        <w:rPr>
          <w:color w:val="231F20"/>
        </w:rPr>
        <w:t>The graphic view places Navigator items and their alerts as icons on a</w:t>
      </w:r>
      <w:r>
        <w:rPr>
          <w:color w:val="231F20"/>
          <w:spacing w:val="40"/>
        </w:rPr>
        <w:t> </w:t>
      </w:r>
      <w:r>
        <w:rPr>
          <w:color w:val="231F20"/>
        </w:rPr>
        <w:t>map or a picture to represent your monitored environment. Alerts show </w:t>
      </w:r>
      <w:r>
        <w:rPr>
          <w:color w:val="231F20"/>
        </w:rPr>
        <w:t>on these icons just as they do in the Navigator.</w:t>
      </w:r>
    </w:p>
    <w:p>
      <w:pPr>
        <w:pStyle w:val="Heading3"/>
        <w:spacing w:before="216"/>
        <w:ind w:left="1334"/>
      </w:pPr>
      <w:bookmarkStart w:name="Situations" w:id="28"/>
      <w:bookmarkEnd w:id="28"/>
      <w:r>
        <w:rPr>
          <w:b w:val="0"/>
        </w:rPr>
      </w:r>
      <w:r>
        <w:rPr>
          <w:color w:val="231F20"/>
          <w:spacing w:val="-2"/>
        </w:rPr>
        <w:t>Situations</w:t>
      </w:r>
    </w:p>
    <w:p>
      <w:pPr>
        <w:pStyle w:val="BodyText"/>
        <w:spacing w:line="213" w:lineRule="auto" w:before="58"/>
        <w:ind w:left="2232" w:right="482"/>
      </w:pPr>
      <w:r>
        <w:rPr>
          <w:color w:val="231F20"/>
        </w:rPr>
        <w:t>In addition to providing a map of your enterprise, the Navigator can alert you of changing conditions in the systems you are monitoring. When a condition </w:t>
      </w:r>
      <w:r>
        <w:rPr>
          <w:color w:val="231F20"/>
        </w:rPr>
        <w:t>changes, the</w:t>
      </w:r>
      <w:r>
        <w:rPr>
          <w:color w:val="231F20"/>
          <w:spacing w:val="24"/>
        </w:rPr>
        <w:t> </w:t>
      </w:r>
      <w:r>
        <w:rPr>
          <w:color w:val="231F20"/>
        </w:rPr>
        <w:t>associated</w:t>
      </w:r>
      <w:r>
        <w:rPr>
          <w:color w:val="231F20"/>
          <w:spacing w:val="24"/>
        </w:rPr>
        <w:t> </w:t>
      </w:r>
      <w:r>
        <w:rPr>
          <w:color w:val="231F20"/>
        </w:rPr>
        <w:t>item</w:t>
      </w:r>
      <w:r>
        <w:rPr>
          <w:color w:val="231F20"/>
          <w:spacing w:val="24"/>
        </w:rPr>
        <w:t> </w:t>
      </w:r>
      <w:r>
        <w:rPr>
          <w:color w:val="231F20"/>
        </w:rPr>
        <w:t>is</w:t>
      </w:r>
      <w:r>
        <w:rPr>
          <w:color w:val="231F20"/>
          <w:spacing w:val="24"/>
        </w:rPr>
        <w:t> </w:t>
      </w:r>
      <w:r>
        <w:rPr>
          <w:color w:val="231F20"/>
        </w:rPr>
        <w:t>marked</w:t>
      </w:r>
      <w:r>
        <w:rPr>
          <w:color w:val="231F20"/>
          <w:spacing w:val="24"/>
        </w:rPr>
        <w:t> </w:t>
      </w:r>
      <w:r>
        <w:rPr>
          <w:color w:val="231F20"/>
        </w:rPr>
        <w:t>with</w:t>
      </w:r>
      <w:r>
        <w:rPr>
          <w:color w:val="231F20"/>
          <w:spacing w:val="24"/>
        </w:rPr>
        <w:t> </w:t>
      </w:r>
      <w:r>
        <w:rPr>
          <w:color w:val="231F20"/>
        </w:rPr>
        <w:t>an</w:t>
      </w:r>
      <w:r>
        <w:rPr>
          <w:color w:val="231F20"/>
          <w:spacing w:val="24"/>
        </w:rPr>
        <w:t> </w:t>
      </w:r>
      <w:r>
        <w:rPr>
          <w:color w:val="231F20"/>
        </w:rPr>
        <w:t>icon:</w:t>
      </w:r>
      <w:r>
        <w:rPr>
          <w:color w:val="231F20"/>
          <w:spacing w:val="15"/>
        </w:rPr>
        <w:t> </w:t>
      </w:r>
      <w:r>
        <w:rPr>
          <w:color w:val="231F20"/>
          <w:spacing w:val="15"/>
        </w:rPr>
        <w:drawing>
          <wp:inline distT="0" distB="0" distL="0" distR="0">
            <wp:extent cx="57150" cy="57150"/>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94"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75"/>
        </w:rPr>
        <w:t> </w:t>
      </w:r>
      <w:r>
        <w:rPr>
          <w:color w:val="231F20"/>
        </w:rPr>
        <w:t>Fatal,</w:t>
      </w:r>
      <w:r>
        <w:rPr>
          <w:color w:val="231F20"/>
          <w:spacing w:val="16"/>
        </w:rPr>
        <w:t> </w:t>
      </w:r>
      <w:r>
        <w:rPr>
          <w:color w:val="231F20"/>
          <w:spacing w:val="16"/>
        </w:rPr>
        <w:drawing>
          <wp:inline distT="0" distB="0" distL="0" distR="0">
            <wp:extent cx="57150" cy="57150"/>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3"/>
        </w:rPr>
        <w:t> </w:t>
      </w:r>
      <w:r>
        <w:rPr>
          <w:color w:val="231F20"/>
        </w:rPr>
        <w:t>Critical,</w:t>
      </w:r>
      <w:r>
        <w:rPr>
          <w:color w:val="231F20"/>
          <w:spacing w:val="16"/>
        </w:rPr>
        <w:t> </w:t>
      </w:r>
      <w:r>
        <w:rPr>
          <w:color w:val="231F20"/>
          <w:spacing w:val="16"/>
        </w:rPr>
        <w:drawing>
          <wp:inline distT="0" distB="0" distL="0" distR="0">
            <wp:extent cx="57150" cy="57150"/>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95"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3"/>
        </w:rPr>
        <w:t> </w:t>
      </w:r>
      <w:r>
        <w:rPr>
          <w:color w:val="231F20"/>
        </w:rPr>
        <w:t>Minor,</w:t>
      </w:r>
      <w:r>
        <w:rPr>
          <w:color w:val="231F20"/>
          <w:spacing w:val="16"/>
        </w:rPr>
        <w:t> </w:t>
      </w:r>
      <w:r>
        <w:rPr>
          <w:color w:val="231F20"/>
          <w:spacing w:val="16"/>
        </w:rPr>
        <w:drawing>
          <wp:inline distT="0" distB="0" distL="0" distR="0">
            <wp:extent cx="57150" cy="57150"/>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16"/>
        </w:rPr>
        <w:t> </w:t>
      </w:r>
      <w:r>
        <w:rPr>
          <w:color w:val="231F20"/>
        </w:rPr>
        <w:t>Warning,</w:t>
      </w:r>
      <w:r>
        <w:rPr>
          <w:color w:val="231F20"/>
          <w:spacing w:val="16"/>
        </w:rPr>
        <w:t> </w:t>
      </w:r>
      <w:r>
        <w:rPr>
          <w:color w:val="231F20"/>
          <w:spacing w:val="16"/>
        </w:rPr>
        <w:drawing>
          <wp:inline distT="0" distB="0" distL="0" distR="0">
            <wp:extent cx="57150" cy="57150"/>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96"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4"/>
        </w:rPr>
        <w:t> </w:t>
      </w:r>
      <w:r>
        <w:rPr>
          <w:color w:val="231F20"/>
        </w:rPr>
        <w:t>Harmless,</w:t>
      </w:r>
      <w:r>
        <w:rPr>
          <w:color w:val="231F20"/>
          <w:spacing w:val="16"/>
        </w:rPr>
        <w:t> </w:t>
      </w:r>
      <w:r>
        <w:rPr>
          <w:color w:val="231F20"/>
          <w:spacing w:val="16"/>
        </w:rPr>
        <w:drawing>
          <wp:inline distT="0" distB="0" distL="0" distR="0">
            <wp:extent cx="57150" cy="57150"/>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4"/>
        </w:rPr>
        <w:t> </w:t>
      </w:r>
      <w:r>
        <w:rPr>
          <w:color w:val="231F20"/>
        </w:rPr>
        <w:t>Informational,</w:t>
      </w:r>
      <w:r>
        <w:rPr>
          <w:color w:val="231F20"/>
          <w:spacing w:val="24"/>
        </w:rPr>
        <w:t> </w:t>
      </w:r>
      <w:r>
        <w:rPr>
          <w:color w:val="231F20"/>
        </w:rPr>
        <w:t>or</w:t>
      </w:r>
      <w:r>
        <w:rPr>
          <w:color w:val="231F20"/>
          <w:spacing w:val="16"/>
        </w:rPr>
        <w:t> </w:t>
      </w:r>
      <w:r>
        <w:rPr>
          <w:color w:val="231F20"/>
          <w:spacing w:val="16"/>
        </w:rPr>
        <w:drawing>
          <wp:inline distT="0" distB="0" distL="0" distR="0">
            <wp:extent cx="57150" cy="57150"/>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97"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4"/>
        </w:rPr>
        <w:t> </w:t>
      </w:r>
      <w:r>
        <w:rPr>
          <w:color w:val="231F20"/>
        </w:rPr>
        <w:t>Unknown.</w:t>
      </w:r>
      <w:r>
        <w:rPr>
          <w:color w:val="231F20"/>
          <w:spacing w:val="24"/>
        </w:rPr>
        <w:t> </w:t>
      </w:r>
      <w:r>
        <w:rPr>
          <w:color w:val="231F20"/>
        </w:rPr>
        <w:t>The</w:t>
      </w:r>
      <w:r>
        <w:rPr>
          <w:color w:val="231F20"/>
          <w:spacing w:val="24"/>
        </w:rPr>
        <w:t> </w:t>
      </w:r>
      <w:r>
        <w:rPr>
          <w:color w:val="231F20"/>
        </w:rPr>
        <w:t>Navigator</w:t>
      </w:r>
      <w:r>
        <w:rPr>
          <w:color w:val="231F20"/>
          <w:spacing w:val="24"/>
        </w:rPr>
        <w:t> </w:t>
      </w:r>
      <w:r>
        <w:rPr>
          <w:color w:val="231F20"/>
        </w:rPr>
        <w:t>places</w:t>
      </w:r>
      <w:r>
        <w:rPr>
          <w:color w:val="231F20"/>
          <w:spacing w:val="24"/>
        </w:rPr>
        <w:t> </w:t>
      </w:r>
      <w:r>
        <w:rPr>
          <w:color w:val="231F20"/>
        </w:rPr>
        <w:t>one of these icons, called </w:t>
      </w:r>
      <w:r>
        <w:rPr>
          <w:rFonts w:ascii="Book Antiqua"/>
          <w:i/>
          <w:color w:val="231F20"/>
        </w:rPr>
        <w:t>alert indicator </w:t>
      </w:r>
      <w:r>
        <w:rPr>
          <w:color w:val="231F20"/>
        </w:rPr>
        <w:t>or </w:t>
      </w:r>
      <w:r>
        <w:rPr>
          <w:rFonts w:ascii="Book Antiqua"/>
          <w:i/>
          <w:color w:val="231F20"/>
        </w:rPr>
        <w:t>event indicator</w:t>
      </w:r>
      <w:r>
        <w:rPr>
          <w:color w:val="231F20"/>
        </w:rPr>
        <w:t>, at every level of the hierarchy</w:t>
      </w:r>
      <w:r>
        <w:rPr>
          <w:color w:val="231F20"/>
          <w:spacing w:val="80"/>
          <w:w w:val="150"/>
        </w:rPr>
        <w:t> </w:t>
      </w:r>
      <w:r>
        <w:rPr>
          <w:color w:val="231F20"/>
        </w:rPr>
        <w:t>so you can see an alert even if a Navigator branch is closed.</w:t>
      </w:r>
    </w:p>
    <w:p>
      <w:pPr>
        <w:pStyle w:val="BodyText"/>
        <w:spacing w:line="213" w:lineRule="auto" w:before="236"/>
        <w:ind w:left="2232" w:right="526"/>
      </w:pPr>
      <w:r>
        <w:rPr>
          <w:color w:val="231F20"/>
        </w:rPr>
        <w:t>If</w:t>
      </w:r>
      <w:r>
        <w:rPr>
          <w:color w:val="231F20"/>
          <w:spacing w:val="19"/>
        </w:rPr>
        <w:t> </w:t>
      </w:r>
      <w:r>
        <w:rPr>
          <w:color w:val="231F20"/>
        </w:rPr>
        <w:t>you</w:t>
      </w:r>
      <w:r>
        <w:rPr>
          <w:color w:val="231F20"/>
          <w:spacing w:val="19"/>
        </w:rPr>
        <w:t> </w:t>
      </w:r>
      <w:r>
        <w:rPr>
          <w:color w:val="231F20"/>
        </w:rPr>
        <w:t>see</w:t>
      </w:r>
      <w:r>
        <w:rPr>
          <w:color w:val="231F20"/>
          <w:spacing w:val="19"/>
        </w:rPr>
        <w:t> </w:t>
      </w:r>
      <w:r>
        <w:rPr>
          <w:color w:val="231F20"/>
        </w:rPr>
        <w:t>any</w:t>
      </w:r>
      <w:r>
        <w:rPr>
          <w:color w:val="231F20"/>
          <w:spacing w:val="19"/>
        </w:rPr>
        <w:t> </w:t>
      </w:r>
      <w:r>
        <w:rPr>
          <w:color w:val="231F20"/>
        </w:rPr>
        <w:t>of</w:t>
      </w:r>
      <w:r>
        <w:rPr>
          <w:color w:val="231F20"/>
          <w:spacing w:val="19"/>
        </w:rPr>
        <w:t> </w:t>
      </w:r>
      <w:r>
        <w:rPr>
          <w:color w:val="231F20"/>
        </w:rPr>
        <w:t>these</w:t>
      </w:r>
      <w:r>
        <w:rPr>
          <w:color w:val="231F20"/>
          <w:spacing w:val="19"/>
        </w:rPr>
        <w:t> </w:t>
      </w:r>
      <w:r>
        <w:rPr>
          <w:color w:val="231F20"/>
        </w:rPr>
        <w:t>icons</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Navigator</w:t>
      </w:r>
      <w:r>
        <w:rPr>
          <w:color w:val="231F20"/>
          <w:spacing w:val="19"/>
        </w:rPr>
        <w:t> </w:t>
      </w:r>
      <w:r>
        <w:rPr>
          <w:color w:val="231F20"/>
        </w:rPr>
        <w:t>now,</w:t>
      </w:r>
      <w:r>
        <w:rPr>
          <w:color w:val="231F20"/>
          <w:spacing w:val="19"/>
        </w:rPr>
        <w:t> </w:t>
      </w:r>
      <w:r>
        <w:rPr>
          <w:color w:val="231F20"/>
        </w:rPr>
        <w:t>move</w:t>
      </w:r>
      <w:r>
        <w:rPr>
          <w:color w:val="231F20"/>
          <w:spacing w:val="19"/>
        </w:rPr>
        <w:t> </w:t>
      </w:r>
      <w:r>
        <w:rPr>
          <w:color w:val="231F20"/>
        </w:rPr>
        <w:t>the</w:t>
      </w:r>
      <w:r>
        <w:rPr>
          <w:color w:val="231F20"/>
          <w:spacing w:val="19"/>
        </w:rPr>
        <w:t> </w:t>
      </w:r>
      <w:r>
        <w:rPr>
          <w:color w:val="231F20"/>
        </w:rPr>
        <w:t>mouse</w:t>
      </w:r>
      <w:r>
        <w:rPr>
          <w:color w:val="231F20"/>
          <w:spacing w:val="19"/>
        </w:rPr>
        <w:t> </w:t>
      </w:r>
      <w:r>
        <w:rPr>
          <w:color w:val="231F20"/>
        </w:rPr>
        <w:t>pointer</w:t>
      </w:r>
      <w:r>
        <w:rPr>
          <w:color w:val="231F20"/>
          <w:spacing w:val="19"/>
        </w:rPr>
        <w:t> </w:t>
      </w:r>
      <w:r>
        <w:rPr>
          <w:color w:val="231F20"/>
        </w:rPr>
        <w:t>over an event indicator to open a flyover listing of the situations that caused the events</w:t>
      </w:r>
      <w:r>
        <w:rPr>
          <w:color w:val="231F20"/>
          <w:spacing w:val="80"/>
        </w:rPr>
        <w:t> </w:t>
      </w:r>
      <w:r>
        <w:rPr>
          <w:color w:val="231F20"/>
        </w:rPr>
        <w:t>at that level of the Navigator and below.</w:t>
      </w:r>
    </w:p>
    <w:p>
      <w:pPr>
        <w:pStyle w:val="BodyText"/>
        <w:spacing w:line="213" w:lineRule="auto" w:before="237"/>
        <w:ind w:left="2232" w:right="493"/>
      </w:pPr>
      <w:r>
        <w:rPr>
          <w:color w:val="231F20"/>
        </w:rPr>
        <w:t>Tivoli Enterprise Portal runs tests called </w:t>
      </w:r>
      <w:r>
        <w:rPr>
          <w:rFonts w:ascii="Book Antiqua"/>
          <w:i/>
          <w:color w:val="231F20"/>
        </w:rPr>
        <w:t>situations </w:t>
      </w:r>
      <w:r>
        <w:rPr>
          <w:color w:val="231F20"/>
        </w:rPr>
        <w:t>on systems where monitoring agents are installed. When the conditions of a situation have been met, an </w:t>
      </w:r>
      <w:r>
        <w:rPr>
          <w:color w:val="231F20"/>
        </w:rPr>
        <w:t>event occurs and an event indicator is displayed over the applicable items in the </w:t>
      </w:r>
      <w:r>
        <w:rPr>
          <w:color w:val="231F20"/>
          <w:spacing w:val="-2"/>
        </w:rPr>
        <w:t>Navigator.</w:t>
      </w:r>
    </w:p>
    <w:p>
      <w:pPr>
        <w:pStyle w:val="BodyText"/>
        <w:spacing w:before="214"/>
        <w:ind w:left="2232"/>
      </w:pPr>
      <w:r>
        <w:rPr>
          <w:color w:val="231F20"/>
        </w:rPr>
        <w:t>Open</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using</w:t>
      </w:r>
      <w:r>
        <w:rPr>
          <w:color w:val="231F20"/>
          <w:spacing w:val="11"/>
        </w:rPr>
        <w:t> </w:t>
      </w:r>
      <w:r>
        <w:rPr>
          <w:color w:val="231F20"/>
        </w:rPr>
        <w:t>the</w:t>
      </w:r>
      <w:r>
        <w:rPr>
          <w:color w:val="231F20"/>
          <w:spacing w:val="11"/>
        </w:rPr>
        <w:t> </w:t>
      </w:r>
      <w:r>
        <w:rPr>
          <w:color w:val="231F20"/>
        </w:rPr>
        <w:t>following</w:t>
      </w:r>
      <w:r>
        <w:rPr>
          <w:color w:val="231F20"/>
          <w:spacing w:val="11"/>
        </w:rPr>
        <w:t> </w:t>
      </w:r>
      <w:r>
        <w:rPr>
          <w:color w:val="231F20"/>
          <w:spacing w:val="-2"/>
        </w:rPr>
        <w:t>steps:</w:t>
      </w:r>
    </w:p>
    <w:p>
      <w:pPr>
        <w:pStyle w:val="ListParagraph"/>
        <w:numPr>
          <w:ilvl w:val="0"/>
          <w:numId w:val="4"/>
        </w:numPr>
        <w:tabs>
          <w:tab w:pos="2546" w:val="left" w:leader="none"/>
          <w:tab w:pos="2548" w:val="left" w:leader="none"/>
        </w:tabs>
        <w:spacing w:line="213" w:lineRule="auto" w:before="52" w:after="0"/>
        <w:ind w:left="2548" w:right="420" w:hanging="317"/>
        <w:jc w:val="left"/>
        <w:rPr>
          <w:sz w:val="20"/>
        </w:rPr>
      </w:pPr>
      <w:r>
        <w:rPr>
          <w:color w:val="231F20"/>
          <w:sz w:val="20"/>
        </w:rPr>
        <w:t>Right-click</w:t>
      </w:r>
      <w:r>
        <w:rPr>
          <w:color w:val="231F20"/>
          <w:spacing w:val="28"/>
          <w:sz w:val="20"/>
        </w:rPr>
        <w:t> </w:t>
      </w:r>
      <w:r>
        <w:rPr>
          <w:color w:val="231F20"/>
          <w:sz w:val="20"/>
        </w:rPr>
        <w:t>a</w:t>
      </w:r>
      <w:r>
        <w:rPr>
          <w:color w:val="231F20"/>
          <w:spacing w:val="28"/>
          <w:sz w:val="20"/>
        </w:rPr>
        <w:t> </w:t>
      </w:r>
      <w:r>
        <w:rPr>
          <w:color w:val="231F20"/>
          <w:sz w:val="20"/>
        </w:rPr>
        <w:t>system</w:t>
      </w:r>
      <w:r>
        <w:rPr>
          <w:color w:val="231F20"/>
          <w:spacing w:val="28"/>
          <w:sz w:val="20"/>
        </w:rPr>
        <w:t> </w:t>
      </w:r>
      <w:r>
        <w:rPr>
          <w:color w:val="231F20"/>
          <w:sz w:val="20"/>
        </w:rPr>
        <w:t>name</w:t>
      </w:r>
      <w:r>
        <w:rPr>
          <w:color w:val="231F20"/>
          <w:spacing w:val="28"/>
          <w:sz w:val="20"/>
        </w:rPr>
        <w:t> </w:t>
      </w:r>
      <w:r>
        <w:rPr>
          <w:color w:val="231F20"/>
          <w:sz w:val="20"/>
        </w:rPr>
        <w:t>in</w:t>
      </w:r>
      <w:r>
        <w:rPr>
          <w:color w:val="231F20"/>
          <w:spacing w:val="28"/>
          <w:sz w:val="20"/>
        </w:rPr>
        <w:t> </w:t>
      </w:r>
      <w:r>
        <w:rPr>
          <w:color w:val="231F20"/>
          <w:sz w:val="20"/>
        </w:rPr>
        <w:t>the</w:t>
      </w:r>
      <w:r>
        <w:rPr>
          <w:color w:val="231F20"/>
          <w:spacing w:val="28"/>
          <w:sz w:val="20"/>
        </w:rPr>
        <w:t> </w:t>
      </w:r>
      <w:r>
        <w:rPr>
          <w:color w:val="231F20"/>
          <w:sz w:val="20"/>
        </w:rPr>
        <w:t>Navigator</w:t>
      </w:r>
      <w:r>
        <w:rPr>
          <w:color w:val="231F20"/>
          <w:spacing w:val="28"/>
          <w:sz w:val="20"/>
        </w:rPr>
        <w:t> </w:t>
      </w:r>
      <w:r>
        <w:rPr>
          <w:color w:val="231F20"/>
          <w:sz w:val="20"/>
        </w:rPr>
        <w:t>and</w:t>
      </w:r>
      <w:r>
        <w:rPr>
          <w:color w:val="231F20"/>
          <w:spacing w:val="28"/>
          <w:sz w:val="20"/>
        </w:rPr>
        <w:t> </w:t>
      </w:r>
      <w:r>
        <w:rPr>
          <w:color w:val="231F20"/>
          <w:sz w:val="20"/>
        </w:rPr>
        <w:t>click </w:t>
      </w:r>
      <w:r>
        <w:rPr>
          <w:color w:val="231F20"/>
          <w:spacing w:val="15"/>
          <w:position w:val="-1"/>
          <w:sz w:val="20"/>
        </w:rPr>
        <w:drawing>
          <wp:inline distT="0" distB="0" distL="0" distR="0">
            <wp:extent cx="101600" cy="95250"/>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Situations</w:t>
      </w:r>
      <w:r>
        <w:rPr>
          <w:color w:val="231F20"/>
          <w:sz w:val="20"/>
        </w:rPr>
        <w:t>.</w:t>
      </w:r>
      <w:r>
        <w:rPr>
          <w:color w:val="231F20"/>
          <w:spacing w:val="28"/>
          <w:sz w:val="20"/>
        </w:rPr>
        <w:t> </w:t>
      </w:r>
      <w:r>
        <w:rPr>
          <w:color w:val="231F20"/>
          <w:sz w:val="20"/>
        </w:rPr>
        <w:t>The Situation editor opens with a list of situations on the left. This is where you can</w:t>
      </w:r>
      <w:r>
        <w:rPr>
          <w:color w:val="231F20"/>
          <w:spacing w:val="40"/>
          <w:sz w:val="20"/>
        </w:rPr>
        <w:t> </w:t>
      </w:r>
      <w:r>
        <w:rPr>
          <w:color w:val="231F20"/>
          <w:sz w:val="20"/>
        </w:rPr>
        <w:t>view and edit situations or create new ones.</w:t>
      </w:r>
    </w:p>
    <w:p>
      <w:pPr>
        <w:pStyle w:val="ListParagraph"/>
        <w:numPr>
          <w:ilvl w:val="0"/>
          <w:numId w:val="4"/>
        </w:numPr>
        <w:tabs>
          <w:tab w:pos="2548" w:val="left" w:leader="none"/>
        </w:tabs>
        <w:spacing w:line="213" w:lineRule="auto" w:before="58" w:after="0"/>
        <w:ind w:left="2548" w:right="432" w:hanging="316"/>
        <w:jc w:val="left"/>
        <w:rPr>
          <w:sz w:val="20"/>
        </w:rPr>
      </w:pPr>
      <w:r>
        <w:rPr>
          <w:color w:val="231F20"/>
          <w:sz w:val="20"/>
        </w:rPr>
        <w:t>Click a situation name in the tree to see the Situation editor tabs. </w:t>
      </w:r>
      <w:r>
        <w:rPr>
          <w:color w:val="231F20"/>
          <w:spacing w:val="14"/>
          <w:position w:val="-1"/>
          <w:sz w:val="20"/>
        </w:rPr>
        <w:drawing>
          <wp:inline distT="0" distB="0" distL="0" distR="0">
            <wp:extent cx="101600" cy="101600"/>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Formula to</w:t>
      </w:r>
      <w:r>
        <w:rPr>
          <w:color w:val="231F20"/>
          <w:spacing w:val="40"/>
          <w:sz w:val="20"/>
        </w:rPr>
        <w:t> </w:t>
      </w:r>
      <w:r>
        <w:rPr>
          <w:color w:val="231F20"/>
          <w:sz w:val="20"/>
        </w:rPr>
        <w:t>view, add, and change the conditions being tested; </w:t>
      </w:r>
      <w:r>
        <w:rPr>
          <w:color w:val="231F20"/>
          <w:spacing w:val="15"/>
          <w:position w:val="-1"/>
          <w:sz w:val="20"/>
        </w:rPr>
        <w:drawing>
          <wp:inline distT="0" distB="0" distL="0" distR="0">
            <wp:extent cx="101600" cy="95250"/>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Distribution to view and specify the systems on which to run the situation; </w:t>
      </w:r>
      <w:r>
        <w:rPr>
          <w:color w:val="231F20"/>
          <w:spacing w:val="15"/>
          <w:position w:val="-1"/>
          <w:sz w:val="20"/>
        </w:rPr>
        <w:drawing>
          <wp:inline distT="0" distB="0" distL="0" distR="0">
            <wp:extent cx="101600" cy="101600"/>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9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Expert Advice to write </w:t>
      </w:r>
      <w:r>
        <w:rPr>
          <w:color w:val="231F20"/>
          <w:position w:val="1"/>
          <w:sz w:val="20"/>
        </w:rPr>
        <w:t>comments</w:t>
      </w:r>
      <w:r>
        <w:rPr>
          <w:color w:val="231F20"/>
          <w:spacing w:val="23"/>
          <w:position w:val="1"/>
          <w:sz w:val="20"/>
        </w:rPr>
        <w:t> </w:t>
      </w:r>
      <w:r>
        <w:rPr>
          <w:color w:val="231F20"/>
          <w:position w:val="1"/>
          <w:sz w:val="20"/>
        </w:rPr>
        <w:t>or</w:t>
      </w:r>
      <w:r>
        <w:rPr>
          <w:color w:val="231F20"/>
          <w:spacing w:val="23"/>
          <w:position w:val="1"/>
          <w:sz w:val="20"/>
        </w:rPr>
        <w:t> </w:t>
      </w:r>
      <w:r>
        <w:rPr>
          <w:color w:val="231F20"/>
          <w:position w:val="1"/>
          <w:sz w:val="20"/>
        </w:rPr>
        <w:t>instructions</w:t>
      </w:r>
      <w:r>
        <w:rPr>
          <w:color w:val="231F20"/>
          <w:spacing w:val="23"/>
          <w:position w:val="1"/>
          <w:sz w:val="20"/>
        </w:rPr>
        <w:t> </w:t>
      </w:r>
      <w:r>
        <w:rPr>
          <w:color w:val="231F20"/>
          <w:position w:val="1"/>
          <w:sz w:val="20"/>
        </w:rPr>
        <w:t>to</w:t>
      </w:r>
      <w:r>
        <w:rPr>
          <w:color w:val="231F20"/>
          <w:spacing w:val="23"/>
          <w:position w:val="1"/>
          <w:sz w:val="20"/>
        </w:rPr>
        <w:t> </w:t>
      </w:r>
      <w:r>
        <w:rPr>
          <w:color w:val="231F20"/>
          <w:position w:val="1"/>
          <w:sz w:val="20"/>
        </w:rPr>
        <w:t>be</w:t>
      </w:r>
      <w:r>
        <w:rPr>
          <w:color w:val="231F20"/>
          <w:spacing w:val="23"/>
          <w:position w:val="1"/>
          <w:sz w:val="20"/>
        </w:rPr>
        <w:t> </w:t>
      </w:r>
      <w:r>
        <w:rPr>
          <w:color w:val="231F20"/>
          <w:position w:val="1"/>
          <w:sz w:val="20"/>
        </w:rPr>
        <w:t>read</w:t>
      </w:r>
      <w:r>
        <w:rPr>
          <w:color w:val="231F20"/>
          <w:spacing w:val="23"/>
          <w:position w:val="1"/>
          <w:sz w:val="20"/>
        </w:rPr>
        <w:t> </w:t>
      </w:r>
      <w:r>
        <w:rPr>
          <w:color w:val="231F20"/>
          <w:position w:val="1"/>
          <w:sz w:val="20"/>
        </w:rPr>
        <w:t>in</w:t>
      </w:r>
      <w:r>
        <w:rPr>
          <w:color w:val="231F20"/>
          <w:spacing w:val="23"/>
          <w:position w:val="1"/>
          <w:sz w:val="20"/>
        </w:rPr>
        <w:t> </w:t>
      </w:r>
      <w:r>
        <w:rPr>
          <w:color w:val="231F20"/>
          <w:position w:val="1"/>
          <w:sz w:val="20"/>
        </w:rPr>
        <w:t>the</w:t>
      </w:r>
      <w:r>
        <w:rPr>
          <w:color w:val="231F20"/>
          <w:spacing w:val="23"/>
          <w:position w:val="1"/>
          <w:sz w:val="20"/>
        </w:rPr>
        <w:t> </w:t>
      </w:r>
      <w:r>
        <w:rPr>
          <w:color w:val="231F20"/>
          <w:position w:val="1"/>
          <w:sz w:val="20"/>
        </w:rPr>
        <w:t>event</w:t>
      </w:r>
      <w:r>
        <w:rPr>
          <w:color w:val="231F20"/>
          <w:spacing w:val="23"/>
          <w:position w:val="1"/>
          <w:sz w:val="20"/>
        </w:rPr>
        <w:t> </w:t>
      </w:r>
      <w:r>
        <w:rPr>
          <w:color w:val="231F20"/>
          <w:position w:val="1"/>
          <w:sz w:val="20"/>
        </w:rPr>
        <w:t>results</w:t>
      </w:r>
      <w:r>
        <w:rPr>
          <w:color w:val="231F20"/>
          <w:spacing w:val="23"/>
          <w:position w:val="1"/>
          <w:sz w:val="20"/>
        </w:rPr>
        <w:t> </w:t>
      </w:r>
      <w:r>
        <w:rPr>
          <w:color w:val="231F20"/>
          <w:position w:val="1"/>
          <w:sz w:val="20"/>
        </w:rPr>
        <w:t>workspace;</w:t>
      </w:r>
      <w:r>
        <w:rPr>
          <w:color w:val="231F20"/>
          <w:spacing w:val="40"/>
          <w:position w:val="1"/>
          <w:sz w:val="20"/>
        </w:rPr>
        <w:t> </w:t>
      </w:r>
      <w:r>
        <w:rPr>
          <w:color w:val="231F20"/>
          <w:spacing w:val="-15"/>
          <w:sz w:val="20"/>
        </w:rPr>
        <w:drawing>
          <wp:inline distT="0" distB="0" distL="0" distR="0">
            <wp:extent cx="76200" cy="95250"/>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5"/>
          <w:sz w:val="20"/>
        </w:rPr>
      </w:r>
      <w:r>
        <w:rPr>
          <w:rFonts w:ascii="Times New Roman"/>
          <w:color w:val="231F20"/>
          <w:spacing w:val="80"/>
          <w:position w:val="1"/>
          <w:sz w:val="20"/>
        </w:rPr>
        <w:t> </w:t>
      </w:r>
      <w:r>
        <w:rPr>
          <w:color w:val="231F20"/>
          <w:position w:val="1"/>
          <w:sz w:val="20"/>
        </w:rPr>
        <w:t>Action </w:t>
      </w:r>
      <w:r>
        <w:rPr>
          <w:color w:val="231F20"/>
          <w:sz w:val="20"/>
        </w:rPr>
        <w:t>to</w:t>
      </w:r>
      <w:r>
        <w:rPr>
          <w:color w:val="231F20"/>
          <w:spacing w:val="26"/>
          <w:sz w:val="20"/>
        </w:rPr>
        <w:t> </w:t>
      </w:r>
      <w:r>
        <w:rPr>
          <w:color w:val="231F20"/>
          <w:sz w:val="20"/>
        </w:rPr>
        <w:t>send</w:t>
      </w:r>
      <w:r>
        <w:rPr>
          <w:color w:val="231F20"/>
          <w:spacing w:val="26"/>
          <w:sz w:val="20"/>
        </w:rPr>
        <w:t> </w:t>
      </w:r>
      <w:r>
        <w:rPr>
          <w:color w:val="231F20"/>
          <w:sz w:val="20"/>
        </w:rPr>
        <w:t>a</w:t>
      </w:r>
      <w:r>
        <w:rPr>
          <w:color w:val="231F20"/>
          <w:spacing w:val="26"/>
          <w:sz w:val="20"/>
        </w:rPr>
        <w:t> </w:t>
      </w:r>
      <w:r>
        <w:rPr>
          <w:color w:val="231F20"/>
          <w:sz w:val="20"/>
        </w:rPr>
        <w:t>command</w:t>
      </w:r>
      <w:r>
        <w:rPr>
          <w:color w:val="231F20"/>
          <w:spacing w:val="26"/>
          <w:sz w:val="20"/>
        </w:rPr>
        <w:t> </w:t>
      </w:r>
      <w:r>
        <w:rPr>
          <w:color w:val="231F20"/>
          <w:sz w:val="20"/>
        </w:rPr>
        <w:t>to</w:t>
      </w:r>
      <w:r>
        <w:rPr>
          <w:color w:val="231F20"/>
          <w:spacing w:val="26"/>
          <w:sz w:val="20"/>
        </w:rPr>
        <w:t> </w:t>
      </w:r>
      <w:r>
        <w:rPr>
          <w:color w:val="231F20"/>
          <w:sz w:val="20"/>
        </w:rPr>
        <w:t>the</w:t>
      </w:r>
      <w:r>
        <w:rPr>
          <w:color w:val="231F20"/>
          <w:spacing w:val="26"/>
          <w:sz w:val="20"/>
        </w:rPr>
        <w:t> </w:t>
      </w:r>
      <w:r>
        <w:rPr>
          <w:color w:val="231F20"/>
          <w:sz w:val="20"/>
        </w:rPr>
        <w:t>managed</w:t>
      </w:r>
      <w:r>
        <w:rPr>
          <w:color w:val="231F20"/>
          <w:spacing w:val="26"/>
          <w:sz w:val="20"/>
        </w:rPr>
        <w:t> </w:t>
      </w:r>
      <w:r>
        <w:rPr>
          <w:color w:val="231F20"/>
          <w:sz w:val="20"/>
        </w:rPr>
        <w:t>system;</w:t>
      </w:r>
      <w:r>
        <w:rPr>
          <w:color w:val="231F20"/>
          <w:spacing w:val="26"/>
          <w:sz w:val="20"/>
        </w:rPr>
        <w:t> </w:t>
      </w:r>
      <w:r>
        <w:rPr>
          <w:color w:val="231F20"/>
          <w:sz w:val="20"/>
        </w:rPr>
        <w:t>and</w:t>
      </w:r>
      <w:r>
        <w:rPr>
          <w:color w:val="231F20"/>
          <w:spacing w:val="15"/>
          <w:sz w:val="20"/>
        </w:rPr>
        <w:t> </w:t>
      </w:r>
      <w:r>
        <w:rPr>
          <w:color w:val="231F20"/>
          <w:spacing w:val="15"/>
          <w:position w:val="-1"/>
          <w:sz w:val="20"/>
        </w:rPr>
        <w:drawing>
          <wp:inline distT="0" distB="0" distL="0" distR="0">
            <wp:extent cx="101600" cy="101600"/>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10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Until</w:t>
      </w:r>
      <w:r>
        <w:rPr>
          <w:rFonts w:ascii="Book Antiqua"/>
          <w:b/>
          <w:color w:val="231F20"/>
          <w:spacing w:val="26"/>
          <w:sz w:val="20"/>
        </w:rPr>
        <w:t> </w:t>
      </w:r>
      <w:r>
        <w:rPr>
          <w:color w:val="231F20"/>
          <w:sz w:val="20"/>
        </w:rPr>
        <w:t>to</w:t>
      </w:r>
      <w:r>
        <w:rPr>
          <w:color w:val="231F20"/>
          <w:spacing w:val="26"/>
          <w:sz w:val="20"/>
        </w:rPr>
        <w:t> </w:t>
      </w:r>
      <w:r>
        <w:rPr>
          <w:color w:val="231F20"/>
          <w:sz w:val="20"/>
        </w:rPr>
        <w:t>close</w:t>
      </w:r>
      <w:r>
        <w:rPr>
          <w:color w:val="231F20"/>
          <w:spacing w:val="26"/>
          <w:sz w:val="20"/>
        </w:rPr>
        <w:t> </w:t>
      </w:r>
      <w:r>
        <w:rPr>
          <w:color w:val="231F20"/>
          <w:sz w:val="20"/>
        </w:rPr>
        <w:t>the</w:t>
      </w:r>
      <w:r>
        <w:rPr>
          <w:color w:val="231F20"/>
          <w:spacing w:val="26"/>
          <w:sz w:val="20"/>
        </w:rPr>
        <w:t> </w:t>
      </w:r>
      <w:r>
        <w:rPr>
          <w:color w:val="231F20"/>
          <w:sz w:val="20"/>
        </w:rPr>
        <w:t>event after a period of time or when another situation is true.</w:t>
      </w:r>
    </w:p>
    <w:p>
      <w:pPr>
        <w:pStyle w:val="ListParagraph"/>
        <w:numPr>
          <w:ilvl w:val="0"/>
          <w:numId w:val="4"/>
        </w:numPr>
        <w:tabs>
          <w:tab w:pos="2547" w:val="left" w:leader="none"/>
        </w:tabs>
        <w:spacing w:line="240" w:lineRule="auto" w:before="33" w:after="0"/>
        <w:ind w:left="2547" w:right="0" w:hanging="315"/>
        <w:jc w:val="left"/>
        <w:rPr>
          <w:sz w:val="20"/>
        </w:rPr>
      </w:pPr>
      <w:r>
        <w:rPr>
          <w:color w:val="231F20"/>
          <w:sz w:val="20"/>
        </w:rPr>
        <w:t>Click</w:t>
      </w:r>
      <w:r>
        <w:rPr>
          <w:color w:val="231F20"/>
          <w:spacing w:val="11"/>
          <w:sz w:val="20"/>
        </w:rPr>
        <w:t> </w:t>
      </w:r>
      <w:r>
        <w:rPr>
          <w:rFonts w:ascii="Book Antiqua"/>
          <w:b/>
          <w:color w:val="231F20"/>
          <w:sz w:val="20"/>
        </w:rPr>
        <w:t>Cancel</w:t>
      </w:r>
      <w:r>
        <w:rPr>
          <w:rFonts w:ascii="Book Antiqua"/>
          <w:b/>
          <w:color w:val="231F20"/>
          <w:spacing w:val="11"/>
          <w:sz w:val="20"/>
        </w:rPr>
        <w:t> </w:t>
      </w:r>
      <w:r>
        <w:rPr>
          <w:color w:val="231F20"/>
          <w:sz w:val="20"/>
        </w:rPr>
        <w:t>to</w:t>
      </w:r>
      <w:r>
        <w:rPr>
          <w:color w:val="231F20"/>
          <w:spacing w:val="12"/>
          <w:sz w:val="20"/>
        </w:rPr>
        <w:t> </w:t>
      </w:r>
      <w:r>
        <w:rPr>
          <w:color w:val="231F20"/>
          <w:sz w:val="20"/>
        </w:rPr>
        <w:t>close</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pacing w:val="-2"/>
          <w:sz w:val="20"/>
        </w:rPr>
        <w:t>editor.</w:t>
      </w:r>
    </w:p>
    <w:p>
      <w:pPr>
        <w:pStyle w:val="BodyText"/>
        <w:spacing w:line="213" w:lineRule="auto" w:before="232"/>
        <w:ind w:left="2232" w:right="545"/>
      </w:pPr>
      <w:r>
        <w:rPr>
          <w:color w:val="231F20"/>
        </w:rPr>
        <w:t>You cannot open the Situation editor if your user ID does not have permission to View Situations.</w:t>
      </w:r>
    </w:p>
    <w:p>
      <w:pPr>
        <w:spacing w:after="0" w:line="213" w:lineRule="auto"/>
        <w:sectPr>
          <w:pgSz w:w="12240" w:h="15840"/>
          <w:pgMar w:header="0" w:footer="736" w:top="1180" w:bottom="920" w:left="1000" w:right="1060"/>
        </w:sectPr>
      </w:pPr>
    </w:p>
    <w:p>
      <w:pPr>
        <w:pStyle w:val="Heading3"/>
        <w:spacing w:before="84"/>
        <w:ind w:left="1574"/>
      </w:pPr>
      <w:bookmarkStart w:name="_bookmark12" w:id="29"/>
      <w:bookmarkEnd w:id="29"/>
      <w:r>
        <w:rPr>
          <w:b w:val="0"/>
        </w:rPr>
      </w:r>
      <w:bookmarkStart w:name="Properties" w:id="30"/>
      <w:bookmarkEnd w:id="30"/>
      <w:r>
        <w:rPr>
          <w:b w:val="0"/>
        </w:rPr>
      </w:r>
      <w:r>
        <w:rPr>
          <w:color w:val="231F20"/>
          <w:spacing w:val="-2"/>
        </w:rPr>
        <w:t>Properties</w:t>
      </w:r>
    </w:p>
    <w:p>
      <w:pPr>
        <w:pStyle w:val="BodyText"/>
        <w:spacing w:line="213" w:lineRule="auto" w:before="58"/>
        <w:ind w:left="2472"/>
      </w:pPr>
      <w:r>
        <w:rPr>
          <w:color w:val="231F20"/>
        </w:rPr>
        <w:t>In this last part of the tour, open the Properties editor, where you can edit the appearance and content of the views chosen for a workspace.</w:t>
      </w:r>
    </w:p>
    <w:p>
      <w:pPr>
        <w:pStyle w:val="ListParagraph"/>
        <w:numPr>
          <w:ilvl w:val="1"/>
          <w:numId w:val="4"/>
        </w:numPr>
        <w:tabs>
          <w:tab w:pos="2788" w:val="left" w:leader="none"/>
        </w:tabs>
        <w:spacing w:line="213" w:lineRule="auto" w:before="58" w:after="0"/>
        <w:ind w:left="2788" w:right="345"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Properties</w:t>
      </w:r>
      <w:r>
        <w:rPr>
          <w:color w:val="231F20"/>
          <w:sz w:val="20"/>
        </w:rPr>
        <w:t>. The Properties editor opens with a list of the views on the left, grouped by type. The general workspace properties appear on the right.</w:t>
      </w:r>
    </w:p>
    <w:p>
      <w:pPr>
        <w:pStyle w:val="ListParagraph"/>
        <w:numPr>
          <w:ilvl w:val="1"/>
          <w:numId w:val="4"/>
        </w:numPr>
        <w:tabs>
          <w:tab w:pos="2788" w:val="left" w:leader="none"/>
        </w:tabs>
        <w:spacing w:line="213" w:lineRule="auto" w:before="59" w:after="0"/>
        <w:ind w:left="2788" w:right="197" w:hanging="316"/>
        <w:jc w:val="left"/>
        <w:rPr>
          <w:sz w:val="20"/>
        </w:rPr>
      </w:pPr>
      <w:r>
        <w:rPr>
          <w:color w:val="231F20"/>
          <w:sz w:val="20"/>
        </w:rPr>
        <w:t>Select one of the views in the </w:t>
      </w:r>
      <w:r>
        <w:rPr>
          <w:rFonts w:ascii="Book Antiqua"/>
          <w:b/>
          <w:color w:val="231F20"/>
          <w:sz w:val="20"/>
        </w:rPr>
        <w:t>Properties </w:t>
      </w:r>
      <w:r>
        <w:rPr>
          <w:color w:val="231F20"/>
          <w:sz w:val="20"/>
        </w:rPr>
        <w:t>tree. All types of views have a</w:t>
      </w:r>
      <w:r>
        <w:rPr>
          <w:color w:val="231F20"/>
          <w:spacing w:val="22"/>
          <w:sz w:val="20"/>
        </w:rPr>
        <w:t> </w:t>
      </w:r>
      <w:r>
        <w:rPr>
          <w:color w:val="231F20"/>
          <w:spacing w:val="24"/>
          <w:position w:val="-1"/>
          <w:sz w:val="20"/>
        </w:rPr>
        <w:drawing>
          <wp:inline distT="0" distB="0" distL="0" distR="0">
            <wp:extent cx="95250" cy="95250"/>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5"/>
          <w:sz w:val="20"/>
        </w:rPr>
        <w:t> </w:t>
      </w:r>
      <w:r>
        <w:rPr>
          <w:rFonts w:ascii="Book Antiqua"/>
          <w:b/>
          <w:color w:val="231F20"/>
          <w:sz w:val="20"/>
        </w:rPr>
        <w:t>Style </w:t>
      </w:r>
      <w:r>
        <w:rPr>
          <w:color w:val="231F20"/>
          <w:sz w:val="20"/>
        </w:rPr>
        <w:t>tab, with different options for the type of view. The table, charts, and topology views have</w:t>
      </w:r>
      <w:r>
        <w:rPr>
          <w:color w:val="231F20"/>
          <w:spacing w:val="37"/>
          <w:sz w:val="20"/>
        </w:rPr>
        <w:t> </w:t>
      </w:r>
      <w:r>
        <w:rPr>
          <w:color w:val="231F20"/>
          <w:spacing w:val="-24"/>
          <w:position w:val="-1"/>
          <w:sz w:val="20"/>
        </w:rPr>
        <w:drawing>
          <wp:inline distT="0" distB="0" distL="0" distR="0">
            <wp:extent cx="95250" cy="101600"/>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34"/>
          <w:sz w:val="20"/>
        </w:rPr>
        <w:t> </w:t>
      </w:r>
      <w:r>
        <w:rPr>
          <w:rFonts w:ascii="Book Antiqua"/>
          <w:b/>
          <w:color w:val="231F20"/>
          <w:sz w:val="20"/>
        </w:rPr>
        <w:t>Query </w:t>
      </w:r>
      <w:r>
        <w:rPr>
          <w:color w:val="231F20"/>
          <w:sz w:val="20"/>
        </w:rPr>
        <w:t>and</w:t>
      </w:r>
      <w:r>
        <w:rPr>
          <w:color w:val="231F20"/>
          <w:spacing w:val="37"/>
          <w:sz w:val="20"/>
        </w:rPr>
        <w:t> </w:t>
      </w:r>
      <w:r>
        <w:rPr>
          <w:color w:val="231F20"/>
          <w:spacing w:val="-24"/>
          <w:position w:val="-1"/>
          <w:sz w:val="20"/>
        </w:rPr>
        <w:drawing>
          <wp:inline distT="0" distB="0" distL="0" distR="0">
            <wp:extent cx="95250" cy="101600"/>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Filters </w:t>
      </w:r>
      <w:r>
        <w:rPr>
          <w:color w:val="231F20"/>
          <w:sz w:val="20"/>
        </w:rPr>
        <w:t>tabs, table and topology have a</w:t>
      </w:r>
      <w:r>
        <w:rPr>
          <w:color w:val="231F20"/>
          <w:spacing w:val="36"/>
          <w:sz w:val="20"/>
        </w:rPr>
        <w:t> </w:t>
      </w:r>
      <w:r>
        <w:rPr>
          <w:color w:val="231F20"/>
          <w:spacing w:val="-25"/>
          <w:position w:val="-1"/>
          <w:sz w:val="20"/>
        </w:rPr>
        <w:drawing>
          <wp:inline distT="0" distB="0" distL="0" distR="0">
            <wp:extent cx="88900" cy="95250"/>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sz w:val="20"/>
        </w:rPr>
      </w:r>
      <w:r>
        <w:rPr>
          <w:rFonts w:ascii="Times New Roman"/>
          <w:color w:val="231F20"/>
          <w:position w:val="-1"/>
          <w:sz w:val="20"/>
        </w:rPr>
        <w:t> </w:t>
      </w:r>
      <w:r>
        <w:rPr>
          <w:rFonts w:ascii="Book Antiqua"/>
          <w:b/>
          <w:color w:val="231F20"/>
          <w:sz w:val="20"/>
        </w:rPr>
        <w:t>Thresholds </w:t>
      </w:r>
      <w:r>
        <w:rPr>
          <w:color w:val="231F20"/>
          <w:sz w:val="20"/>
        </w:rPr>
        <w:t>tab, and terminal emulators have a </w:t>
      </w:r>
      <w:r>
        <w:rPr>
          <w:color w:val="231F20"/>
          <w:spacing w:val="15"/>
          <w:position w:val="-1"/>
          <w:sz w:val="20"/>
        </w:rPr>
        <w:drawing>
          <wp:inline distT="0" distB="0" distL="0" distR="0">
            <wp:extent cx="101600" cy="101600"/>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Configuration </w:t>
      </w:r>
      <w:r>
        <w:rPr>
          <w:color w:val="231F20"/>
          <w:sz w:val="20"/>
        </w:rPr>
        <w:t>tab. Whenever you</w:t>
      </w:r>
      <w:r>
        <w:rPr>
          <w:color w:val="231F20"/>
          <w:spacing w:val="26"/>
          <w:sz w:val="20"/>
        </w:rPr>
        <w:t> </w:t>
      </w:r>
      <w:r>
        <w:rPr>
          <w:color w:val="231F20"/>
          <w:sz w:val="20"/>
        </w:rPr>
        <w:t>want</w:t>
      </w:r>
      <w:r>
        <w:rPr>
          <w:color w:val="231F20"/>
          <w:spacing w:val="26"/>
          <w:sz w:val="20"/>
        </w:rPr>
        <w:t> </w:t>
      </w:r>
      <w:r>
        <w:rPr>
          <w:color w:val="231F20"/>
          <w:sz w:val="20"/>
        </w:rPr>
        <w:t>to</w:t>
      </w:r>
      <w:r>
        <w:rPr>
          <w:color w:val="231F20"/>
          <w:spacing w:val="26"/>
          <w:sz w:val="20"/>
        </w:rPr>
        <w:t> </w:t>
      </w:r>
      <w:r>
        <w:rPr>
          <w:color w:val="231F20"/>
          <w:sz w:val="20"/>
        </w:rPr>
        <w:t>change</w:t>
      </w:r>
      <w:r>
        <w:rPr>
          <w:color w:val="231F20"/>
          <w:spacing w:val="26"/>
          <w:sz w:val="20"/>
        </w:rPr>
        <w:t> </w:t>
      </w:r>
      <w:r>
        <w:rPr>
          <w:color w:val="231F20"/>
          <w:sz w:val="20"/>
        </w:rPr>
        <w:t>the</w:t>
      </w:r>
      <w:r>
        <w:rPr>
          <w:color w:val="231F20"/>
          <w:spacing w:val="26"/>
          <w:sz w:val="20"/>
        </w:rPr>
        <w:t> </w:t>
      </w:r>
      <w:r>
        <w:rPr>
          <w:color w:val="231F20"/>
          <w:sz w:val="20"/>
        </w:rPr>
        <w:t>data</w:t>
      </w:r>
      <w:r>
        <w:rPr>
          <w:color w:val="231F20"/>
          <w:spacing w:val="26"/>
          <w:sz w:val="20"/>
        </w:rPr>
        <w:t> </w:t>
      </w:r>
      <w:r>
        <w:rPr>
          <w:color w:val="231F20"/>
          <w:sz w:val="20"/>
        </w:rPr>
        <w:t>elements</w:t>
      </w:r>
      <w:r>
        <w:rPr>
          <w:color w:val="231F20"/>
          <w:spacing w:val="26"/>
          <w:sz w:val="20"/>
        </w:rPr>
        <w:t> </w:t>
      </w:r>
      <w:r>
        <w:rPr>
          <w:color w:val="231F20"/>
          <w:sz w:val="20"/>
        </w:rPr>
        <w:t>that</w:t>
      </w:r>
      <w:r>
        <w:rPr>
          <w:color w:val="231F20"/>
          <w:spacing w:val="26"/>
          <w:sz w:val="20"/>
        </w:rPr>
        <w:t> </w:t>
      </w:r>
      <w:r>
        <w:rPr>
          <w:color w:val="231F20"/>
          <w:sz w:val="20"/>
        </w:rPr>
        <w:t>display</w:t>
      </w:r>
      <w:r>
        <w:rPr>
          <w:color w:val="231F20"/>
          <w:spacing w:val="26"/>
          <w:sz w:val="20"/>
        </w:rPr>
        <w:t> </w:t>
      </w:r>
      <w:r>
        <w:rPr>
          <w:color w:val="231F20"/>
          <w:sz w:val="20"/>
        </w:rPr>
        <w:t>for</w:t>
      </w:r>
      <w:r>
        <w:rPr>
          <w:color w:val="231F20"/>
          <w:spacing w:val="26"/>
          <w:sz w:val="20"/>
        </w:rPr>
        <w:t> </w:t>
      </w:r>
      <w:r>
        <w:rPr>
          <w:color w:val="231F20"/>
          <w:sz w:val="20"/>
        </w:rPr>
        <w:t>a</w:t>
      </w:r>
      <w:r>
        <w:rPr>
          <w:color w:val="231F20"/>
          <w:spacing w:val="26"/>
          <w:sz w:val="20"/>
        </w:rPr>
        <w:t> </w:t>
      </w:r>
      <w:r>
        <w:rPr>
          <w:color w:val="231F20"/>
          <w:sz w:val="20"/>
        </w:rPr>
        <w:t>chart</w:t>
      </w:r>
      <w:r>
        <w:rPr>
          <w:color w:val="231F20"/>
          <w:spacing w:val="26"/>
          <w:sz w:val="20"/>
        </w:rPr>
        <w:t> </w:t>
      </w:r>
      <w:r>
        <w:rPr>
          <w:color w:val="231F20"/>
          <w:sz w:val="20"/>
        </w:rPr>
        <w:t>or</w:t>
      </w:r>
      <w:r>
        <w:rPr>
          <w:color w:val="231F20"/>
          <w:spacing w:val="26"/>
          <w:sz w:val="20"/>
        </w:rPr>
        <w:t> </w:t>
      </w:r>
      <w:r>
        <w:rPr>
          <w:color w:val="231F20"/>
          <w:sz w:val="20"/>
        </w:rPr>
        <w:t>table</w:t>
      </w:r>
      <w:r>
        <w:rPr>
          <w:color w:val="231F20"/>
          <w:spacing w:val="26"/>
          <w:sz w:val="20"/>
        </w:rPr>
        <w:t> </w:t>
      </w:r>
      <w:r>
        <w:rPr>
          <w:color w:val="231F20"/>
          <w:sz w:val="20"/>
        </w:rPr>
        <w:t>or change the styling of a view, go to the Properties editor.</w:t>
      </w:r>
    </w:p>
    <w:p>
      <w:pPr>
        <w:pStyle w:val="ListParagraph"/>
        <w:numPr>
          <w:ilvl w:val="1"/>
          <w:numId w:val="4"/>
        </w:numPr>
        <w:tabs>
          <w:tab w:pos="2787" w:val="left" w:leader="none"/>
        </w:tabs>
        <w:spacing w:line="240" w:lineRule="auto" w:before="33" w:after="0"/>
        <w:ind w:left="2787" w:right="0" w:hanging="315"/>
        <w:jc w:val="left"/>
        <w:rPr>
          <w:sz w:val="20"/>
        </w:rPr>
      </w:pPr>
      <w:r>
        <w:rPr>
          <w:color w:val="231F20"/>
          <w:sz w:val="20"/>
        </w:rPr>
        <w:t>Click</w:t>
      </w:r>
      <w:r>
        <w:rPr>
          <w:color w:val="231F20"/>
          <w:spacing w:val="10"/>
          <w:sz w:val="20"/>
        </w:rPr>
        <w:t> </w:t>
      </w:r>
      <w:r>
        <w:rPr>
          <w:rFonts w:ascii="Book Antiqua"/>
          <w:b/>
          <w:color w:val="231F20"/>
          <w:sz w:val="20"/>
        </w:rPr>
        <w:t>Cancel</w:t>
      </w:r>
      <w:r>
        <w:rPr>
          <w:rFonts w:ascii="Book Antiqua"/>
          <w:b/>
          <w:color w:val="231F20"/>
          <w:spacing w:val="11"/>
          <w:sz w:val="20"/>
        </w:rPr>
        <w:t> </w:t>
      </w:r>
      <w:r>
        <w:rPr>
          <w:color w:val="231F20"/>
          <w:sz w:val="20"/>
        </w:rPr>
        <w:t>to</w:t>
      </w:r>
      <w:r>
        <w:rPr>
          <w:color w:val="231F20"/>
          <w:spacing w:val="10"/>
          <w:sz w:val="20"/>
        </w:rPr>
        <w:t> </w:t>
      </w:r>
      <w:r>
        <w:rPr>
          <w:color w:val="231F20"/>
          <w:sz w:val="20"/>
        </w:rPr>
        <w:t>close</w:t>
      </w:r>
      <w:r>
        <w:rPr>
          <w:color w:val="231F20"/>
          <w:spacing w:val="11"/>
          <w:sz w:val="20"/>
        </w:rPr>
        <w:t> </w:t>
      </w:r>
      <w:r>
        <w:rPr>
          <w:color w:val="231F20"/>
          <w:sz w:val="20"/>
        </w:rPr>
        <w:t>the</w:t>
      </w:r>
      <w:r>
        <w:rPr>
          <w:color w:val="231F20"/>
          <w:spacing w:val="10"/>
          <w:sz w:val="20"/>
        </w:rPr>
        <w:t> </w:t>
      </w:r>
      <w:r>
        <w:rPr>
          <w:color w:val="231F20"/>
          <w:sz w:val="20"/>
        </w:rPr>
        <w:t>Properties</w:t>
      </w:r>
      <w:r>
        <w:rPr>
          <w:color w:val="231F20"/>
          <w:spacing w:val="11"/>
          <w:sz w:val="20"/>
        </w:rPr>
        <w:t> </w:t>
      </w:r>
      <w:r>
        <w:rPr>
          <w:color w:val="231F20"/>
          <w:spacing w:val="-2"/>
          <w:sz w:val="20"/>
        </w:rPr>
        <w:t>editor.</w:t>
      </w:r>
    </w:p>
    <w:p>
      <w:pPr>
        <w:pStyle w:val="Heading3"/>
        <w:spacing w:before="211"/>
        <w:ind w:left="1574"/>
      </w:pPr>
      <w:bookmarkStart w:name="Conclusion" w:id="31"/>
      <w:bookmarkEnd w:id="31"/>
      <w:r>
        <w:rPr>
          <w:b w:val="0"/>
        </w:rPr>
      </w:r>
      <w:r>
        <w:rPr>
          <w:color w:val="231F20"/>
          <w:spacing w:val="-2"/>
        </w:rPr>
        <w:t>Conclusion</w:t>
      </w:r>
    </w:p>
    <w:p>
      <w:pPr>
        <w:pStyle w:val="BodyText"/>
        <w:spacing w:line="213" w:lineRule="auto" w:before="58"/>
        <w:ind w:left="2472" w:right="385"/>
      </w:pPr>
      <w:r>
        <w:rPr>
          <w:color w:val="231F20"/>
        </w:rPr>
        <w:t>You now know the basics on the main functionality of the Tivoli Enterprise </w:t>
      </w:r>
      <w:r>
        <w:rPr>
          <w:color w:val="231F20"/>
        </w:rPr>
        <w:t>Portal. For practice, try splitting this view and apply a</w:t>
      </w:r>
      <w:r>
        <w:rPr>
          <w:color w:val="231F20"/>
          <w:spacing w:val="37"/>
        </w:rPr>
        <w:t> </w:t>
      </w:r>
      <w:r>
        <w:rPr>
          <w:color w:val="231F20"/>
          <w:spacing w:val="-25"/>
          <w:position w:val="-1"/>
        </w:rPr>
        <w:drawing>
          <wp:inline distT="0" distB="0" distL="0" distR="0">
            <wp:extent cx="95250" cy="95250"/>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56"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36"/>
        </w:rPr>
        <w:t> </w:t>
      </w:r>
      <w:r>
        <w:rPr>
          <w:color w:val="231F20"/>
        </w:rPr>
        <w:t>Browser view.</w:t>
      </w:r>
    </w:p>
    <w:p>
      <w:pPr>
        <w:spacing w:after="0" w:line="213" w:lineRule="auto"/>
        <w:sectPr>
          <w:pgSz w:w="12240" w:h="15840"/>
          <w:pgMar w:header="0" w:footer="736" w:top="1160" w:bottom="920" w:left="1000" w:right="1060"/>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line="20" w:lineRule="exact"/>
        <w:ind w:left="436"/>
        <w:rPr>
          <w:sz w:val="2"/>
        </w:rPr>
      </w:pPr>
      <w:r>
        <w:rPr/>
        <mc:AlternateContent>
          <mc:Choice Requires="wps">
            <w:drawing>
              <wp:anchor distT="0" distB="0" distL="0" distR="0" allowOverlap="1" layoutInCell="1" locked="0" behindDoc="0" simplePos="0" relativeHeight="15761920">
                <wp:simplePos x="0" y="0"/>
                <wp:positionH relativeFrom="page">
                  <wp:posOffset>5181600</wp:posOffset>
                </wp:positionH>
                <wp:positionV relativeFrom="page">
                  <wp:posOffset>3854348</wp:posOffset>
                </wp:positionV>
                <wp:extent cx="2590800" cy="144780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590800" cy="1447800"/>
                        </a:xfrm>
                        <a:prstGeom prst="rect">
                          <a:avLst/>
                        </a:prstGeom>
                        <a:gradFill>
                          <a:gsLst>
                            <a:gs pos="0">
                              <a:srgbClr val="FFFFFF"/>
                            </a:gs>
                            <a:gs pos="100000">
                              <a:srgbClr val="FFDE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2023-06-19 </w:t>
                            </w:r>
                            <w:r>
                              <w:rPr>
                                <w:rFonts w:ascii="Arial"/>
                                <w:i/>
                                <w:color w:val="000000"/>
                                <w:spacing w:val="-2"/>
                                <w:sz w:val="16"/>
                              </w:rPr>
                              <w:t>20:00:05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concept within concept? </w:t>
                            </w:r>
                            <w:r>
                              <w:rPr>
                                <w:rFonts w:ascii="Arial"/>
                                <w:color w:val="000000"/>
                                <w:spacing w:val="-2"/>
                              </w:rPr>
                              <w:t>title?</w:t>
                            </w:r>
                          </w:p>
                        </w:txbxContent>
                      </wps:txbx>
                      <wps:bodyPr wrap="square" lIns="0" tIns="0" rIns="0" bIns="0" rtlCol="0">
                        <a:noAutofit/>
                      </wps:bodyPr>
                    </wps:wsp>
                  </a:graphicData>
                </a:graphic>
              </wp:anchor>
            </w:drawing>
          </mc:Choice>
          <mc:Fallback>
            <w:pict>
              <v:shape style="position:absolute;margin-left:408pt;margin-top:303.492004pt;width:204pt;height:114pt;mso-position-horizontal-relative:page;mso-position-vertical-relative:page;z-index:15761920" type="#_x0000_t202" id="docshape29" fillcolor="#ffde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2023-06-19 </w:t>
                      </w:r>
                      <w:r>
                        <w:rPr>
                          <w:rFonts w:ascii="Arial"/>
                          <w:i/>
                          <w:color w:val="000000"/>
                          <w:spacing w:val="-2"/>
                          <w:sz w:val="16"/>
                        </w:rPr>
                        <w:t>20:00:05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concept within concept? </w:t>
                      </w:r>
                      <w:r>
                        <w:rPr>
                          <w:rFonts w:ascii="Arial"/>
                          <w:color w:val="000000"/>
                          <w:spacing w:val="-2"/>
                        </w:rPr>
                        <w:t>title?</w:t>
                      </w:r>
                    </w:p>
                  </w:txbxContent>
                </v:textbox>
                <v:fill opacity="45875f" type="gradient"/>
                <v:stroke dashstyle="solid"/>
                <w10:wrap type="none"/>
              </v:shape>
            </w:pict>
          </mc:Fallback>
        </mc:AlternateContent>
      </w:r>
      <w:bookmarkStart w:name="_bookmark13" w:id="32"/>
      <w:bookmarkEnd w:id="32"/>
      <w:r>
        <w:rPr/>
      </w:r>
      <w:r>
        <w:rPr>
          <w:sz w:val="2"/>
        </w:rPr>
        <mc:AlternateContent>
          <mc:Choice Requires="wps">
            <w:drawing>
              <wp:inline distT="0" distB="0" distL="0" distR="0">
                <wp:extent cx="6082665" cy="25400"/>
                <wp:effectExtent l="19050" t="0" r="3810" b="3175"/>
                <wp:docPr id="212" name="Group 212"/>
                <wp:cNvGraphicFramePr>
                  <a:graphicFrameLocks/>
                </wp:cNvGraphicFramePr>
                <a:graphic>
                  <a:graphicData uri="http://schemas.microsoft.com/office/word/2010/wordprocessingGroup">
                    <wpg:wgp>
                      <wpg:cNvPr id="212" name="Group 212"/>
                      <wpg:cNvGrpSpPr/>
                      <wpg:grpSpPr>
                        <a:xfrm>
                          <a:off x="0" y="0"/>
                          <a:ext cx="6082665" cy="25400"/>
                          <a:chExt cx="6082665" cy="25400"/>
                        </a:xfrm>
                      </wpg:grpSpPr>
                      <wps:wsp>
                        <wps:cNvPr id="213" name="Graphic 213"/>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30"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2. Using the Navigator" w:id="33"/>
      <w:bookmarkEnd w:id="33"/>
      <w:r>
        <w:rPr>
          <w:b w:val="0"/>
        </w:rPr>
      </w:r>
      <w:r>
        <w:rPr>
          <w:color w:val="231F20"/>
        </w:rPr>
        <w:t>Chapter</w:t>
      </w:r>
      <w:r>
        <w:rPr>
          <w:color w:val="231F20"/>
          <w:spacing w:val="-8"/>
        </w:rPr>
        <w:t> </w:t>
      </w:r>
      <w:r>
        <w:rPr>
          <w:color w:val="231F20"/>
        </w:rPr>
        <w:t>2.</w:t>
      </w:r>
      <w:r>
        <w:rPr>
          <w:color w:val="231F20"/>
          <w:spacing w:val="10"/>
        </w:rPr>
        <w:t> </w:t>
      </w:r>
      <w:r>
        <w:rPr>
          <w:color w:val="231F20"/>
        </w:rPr>
        <w:t>Using</w:t>
      </w:r>
      <w:r>
        <w:rPr>
          <w:color w:val="231F20"/>
          <w:spacing w:val="9"/>
        </w:rPr>
        <w:t> </w:t>
      </w:r>
      <w:r>
        <w:rPr>
          <w:color w:val="231F20"/>
        </w:rPr>
        <w:t>the</w:t>
      </w:r>
      <w:r>
        <w:rPr>
          <w:color w:val="231F20"/>
          <w:spacing w:val="10"/>
        </w:rPr>
        <w:t> </w:t>
      </w:r>
      <w:r>
        <w:rPr>
          <w:color w:val="231F20"/>
          <w:spacing w:val="-2"/>
        </w:rPr>
        <w:t>Navigator</w:t>
      </w:r>
    </w:p>
    <w:p>
      <w:pPr>
        <w:pStyle w:val="BodyText"/>
        <w:spacing w:line="213" w:lineRule="auto" w:before="304"/>
        <w:ind w:left="2472" w:right="258"/>
      </w:pPr>
      <w:r>
        <w:rPr>
          <w:color w:val="231F20"/>
        </w:rPr>
        <w:t>The Navigator provides a hierarchical view of your enterprise. At the highest </w:t>
      </w:r>
      <w:r>
        <w:rPr>
          <w:color w:val="231F20"/>
        </w:rPr>
        <w:t>level you can get a high level overview of the status of your monitored environment.</w:t>
      </w:r>
    </w:p>
    <w:p>
      <w:pPr>
        <w:pStyle w:val="BodyText"/>
        <w:spacing w:line="213" w:lineRule="auto"/>
        <w:ind w:left="2472"/>
      </w:pPr>
      <w:r>
        <w:rPr>
          <w:color w:val="231F20"/>
        </w:rPr>
        <w:t>From there you can navigate to specific monitored resources to check activity and investigate problems.</w:t>
      </w:r>
    </w:p>
    <w:p>
      <w:pPr>
        <w:pStyle w:val="BodyText"/>
        <w:spacing w:line="213" w:lineRule="auto" w:before="237"/>
        <w:ind w:left="2472" w:right="493"/>
      </w:pPr>
      <w:r>
        <w:rPr>
          <w:color w:val="231F20"/>
        </w:rPr>
        <w:t>At every level, event indicators alert you to changes in system or </w:t>
      </w:r>
      <w:r>
        <w:rPr>
          <w:color w:val="231F20"/>
        </w:rPr>
        <w:t>application </w:t>
      </w:r>
      <w:r>
        <w:rPr>
          <w:color w:val="231F20"/>
          <w:spacing w:val="-2"/>
        </w:rPr>
        <w:t>conditions.</w:t>
      </w:r>
    </w:p>
    <w:p>
      <w:pPr>
        <w:pStyle w:val="BodyText"/>
        <w:spacing w:before="5"/>
        <w:rPr>
          <w:sz w:val="16"/>
        </w:rPr>
      </w:pPr>
      <w:r>
        <w:rPr/>
        <mc:AlternateContent>
          <mc:Choice Requires="wps">
            <w:drawing>
              <wp:anchor distT="0" distB="0" distL="0" distR="0" allowOverlap="1" layoutInCell="1" locked="0" behindDoc="1" simplePos="0" relativeHeight="487620096">
                <wp:simplePos x="0" y="0"/>
                <wp:positionH relativeFrom="page">
                  <wp:posOffset>912380</wp:posOffset>
                </wp:positionH>
                <wp:positionV relativeFrom="paragraph">
                  <wp:posOffset>156001</wp:posOffset>
                </wp:positionV>
                <wp:extent cx="6082665" cy="127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83559pt;width:478.95pt;height:.1pt;mso-position-horizontal-relative:page;mso-position-vertical-relative:paragraph;z-index:-15696384;mso-wrap-distance-left:0;mso-wrap-distance-right:0" id="docshape31"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Navigator overview" w:id="34"/>
      <w:bookmarkEnd w:id="34"/>
      <w:r>
        <w:rPr>
          <w:b w:val="0"/>
        </w:rPr>
      </w:r>
      <w:r>
        <w:rPr>
          <w:color w:val="231F20"/>
        </w:rPr>
        <w:t>Navigator</w:t>
      </w:r>
      <w:r>
        <w:rPr>
          <w:color w:val="231F20"/>
          <w:spacing w:val="2"/>
        </w:rPr>
        <w:t> </w:t>
      </w:r>
      <w:r>
        <w:rPr>
          <w:color w:val="231F20"/>
          <w:spacing w:val="-2"/>
        </w:rPr>
        <w:t>overview</w:t>
      </w:r>
    </w:p>
    <w:p>
      <w:pPr>
        <w:pStyle w:val="BodyText"/>
        <w:spacing w:line="213" w:lineRule="auto" w:before="138"/>
        <w:ind w:left="2472" w:right="258"/>
      </w:pPr>
      <w:r>
        <w:rPr>
          <w:color w:val="231F20"/>
        </w:rPr>
        <w:t>The Navigator provides a hierarchical view of your enterprise. At the highest </w:t>
      </w:r>
      <w:r>
        <w:rPr>
          <w:color w:val="231F20"/>
        </w:rPr>
        <w:t>level you can get a high level overview of the status of your monitored environment.</w:t>
      </w:r>
    </w:p>
    <w:p>
      <w:pPr>
        <w:pStyle w:val="BodyText"/>
        <w:spacing w:line="213" w:lineRule="auto"/>
        <w:ind w:left="2472"/>
      </w:pPr>
      <w:r>
        <w:rPr>
          <w:color w:val="231F20"/>
        </w:rPr>
        <w:t>From there you can navigate to specific monitored resources to check activity and investigate problems.</w:t>
      </w:r>
    </w:p>
    <w:p>
      <w:pPr>
        <w:pStyle w:val="Heading4"/>
        <w:spacing w:before="199"/>
        <w:ind w:left="2472"/>
      </w:pPr>
      <w:r>
        <w:rPr/>
        <mc:AlternateContent>
          <mc:Choice Requires="wps">
            <w:drawing>
              <wp:anchor distT="0" distB="0" distL="0" distR="0" allowOverlap="1" layoutInCell="1" locked="0" behindDoc="0" simplePos="0" relativeHeight="15761408">
                <wp:simplePos x="0" y="0"/>
                <wp:positionH relativeFrom="page">
                  <wp:posOffset>4045458</wp:posOffset>
                </wp:positionH>
                <wp:positionV relativeFrom="paragraph">
                  <wp:posOffset>198721</wp:posOffset>
                </wp:positionV>
                <wp:extent cx="229235" cy="229235"/>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229235" cy="229235"/>
                          <a:chExt cx="229235" cy="229235"/>
                        </a:xfrm>
                      </wpg:grpSpPr>
                      <wps:wsp>
                        <wps:cNvPr id="216" name="Graphic 216"/>
                        <wps:cNvSpPr/>
                        <wps:spPr>
                          <a:xfrm>
                            <a:off x="3810" y="3810"/>
                            <a:ext cx="221615" cy="221615"/>
                          </a:xfrm>
                          <a:custGeom>
                            <a:avLst/>
                            <a:gdLst/>
                            <a:ahLst/>
                            <a:cxnLst/>
                            <a:rect l="l" t="t" r="r" b="b"/>
                            <a:pathLst>
                              <a:path w="221615" h="221615">
                                <a:moveTo>
                                  <a:pt x="215658" y="0"/>
                                </a:moveTo>
                                <a:lnTo>
                                  <a:pt x="5499" y="0"/>
                                </a:lnTo>
                                <a:lnTo>
                                  <a:pt x="0" y="5486"/>
                                </a:lnTo>
                                <a:lnTo>
                                  <a:pt x="0" y="215658"/>
                                </a:lnTo>
                                <a:lnTo>
                                  <a:pt x="5499" y="221157"/>
                                </a:lnTo>
                                <a:lnTo>
                                  <a:pt x="215658" y="221157"/>
                                </a:lnTo>
                                <a:lnTo>
                                  <a:pt x="221157" y="215658"/>
                                </a:lnTo>
                                <a:lnTo>
                                  <a:pt x="221157" y="195910"/>
                                </a:lnTo>
                                <a:lnTo>
                                  <a:pt x="81051" y="195910"/>
                                </a:lnTo>
                                <a:lnTo>
                                  <a:pt x="81051" y="160223"/>
                                </a:lnTo>
                                <a:lnTo>
                                  <a:pt x="37934" y="160223"/>
                                </a:lnTo>
                                <a:lnTo>
                                  <a:pt x="37934" y="46685"/>
                                </a:lnTo>
                                <a:lnTo>
                                  <a:pt x="221157" y="46685"/>
                                </a:lnTo>
                                <a:lnTo>
                                  <a:pt x="221157" y="5486"/>
                                </a:lnTo>
                                <a:lnTo>
                                  <a:pt x="215658" y="0"/>
                                </a:lnTo>
                                <a:close/>
                              </a:path>
                              <a:path w="221615" h="221615">
                                <a:moveTo>
                                  <a:pt x="221157" y="46685"/>
                                </a:moveTo>
                                <a:lnTo>
                                  <a:pt x="180555" y="46685"/>
                                </a:lnTo>
                                <a:lnTo>
                                  <a:pt x="180555" y="160223"/>
                                </a:lnTo>
                                <a:lnTo>
                                  <a:pt x="123278" y="160223"/>
                                </a:lnTo>
                                <a:lnTo>
                                  <a:pt x="81051" y="195910"/>
                                </a:lnTo>
                                <a:lnTo>
                                  <a:pt x="221157" y="195910"/>
                                </a:lnTo>
                                <a:lnTo>
                                  <a:pt x="221157" y="46685"/>
                                </a:lnTo>
                                <a:close/>
                              </a:path>
                              <a:path w="221615" h="221615">
                                <a:moveTo>
                                  <a:pt x="139407" y="110439"/>
                                </a:moveTo>
                                <a:lnTo>
                                  <a:pt x="66128" y="110439"/>
                                </a:lnTo>
                                <a:lnTo>
                                  <a:pt x="66128" y="117805"/>
                                </a:lnTo>
                                <a:lnTo>
                                  <a:pt x="139407" y="117805"/>
                                </a:lnTo>
                                <a:lnTo>
                                  <a:pt x="139407" y="110439"/>
                                </a:lnTo>
                                <a:close/>
                              </a:path>
                              <a:path w="221615" h="221615">
                                <a:moveTo>
                                  <a:pt x="152361" y="89230"/>
                                </a:moveTo>
                                <a:lnTo>
                                  <a:pt x="66128" y="89230"/>
                                </a:lnTo>
                                <a:lnTo>
                                  <a:pt x="66128" y="96596"/>
                                </a:lnTo>
                                <a:lnTo>
                                  <a:pt x="152361" y="96596"/>
                                </a:lnTo>
                                <a:lnTo>
                                  <a:pt x="152361" y="89230"/>
                                </a:lnTo>
                                <a:close/>
                              </a:path>
                            </a:pathLst>
                          </a:custGeom>
                          <a:solidFill>
                            <a:srgbClr val="FFD100"/>
                          </a:solidFill>
                        </wps:spPr>
                        <wps:bodyPr wrap="square" lIns="0" tIns="0" rIns="0" bIns="0" rtlCol="0">
                          <a:prstTxWarp prst="textNoShape">
                            <a:avLst/>
                          </a:prstTxWarp>
                          <a:noAutofit/>
                        </wps:bodyPr>
                      </wps:wsp>
                      <wps:wsp>
                        <wps:cNvPr id="217" name="Graphic 217"/>
                        <wps:cNvSpPr/>
                        <wps:spPr>
                          <a:xfrm>
                            <a:off x="3810" y="3810"/>
                            <a:ext cx="221615" cy="221615"/>
                          </a:xfrm>
                          <a:custGeom>
                            <a:avLst/>
                            <a:gdLst/>
                            <a:ahLst/>
                            <a:cxnLst/>
                            <a:rect l="l" t="t" r="r" b="b"/>
                            <a:pathLst>
                              <a:path w="221615" h="221615">
                                <a:moveTo>
                                  <a:pt x="123278" y="160223"/>
                                </a:moveTo>
                                <a:lnTo>
                                  <a:pt x="81051" y="195910"/>
                                </a:lnTo>
                                <a:lnTo>
                                  <a:pt x="81051" y="160223"/>
                                </a:lnTo>
                                <a:lnTo>
                                  <a:pt x="37934" y="160223"/>
                                </a:lnTo>
                                <a:lnTo>
                                  <a:pt x="37934" y="46685"/>
                                </a:lnTo>
                                <a:lnTo>
                                  <a:pt x="180555" y="46685"/>
                                </a:lnTo>
                                <a:lnTo>
                                  <a:pt x="180555" y="160223"/>
                                </a:lnTo>
                                <a:lnTo>
                                  <a:pt x="123278" y="160223"/>
                                </a:lnTo>
                              </a:path>
                              <a:path w="221615" h="221615">
                                <a:moveTo>
                                  <a:pt x="66128" y="96596"/>
                                </a:moveTo>
                                <a:lnTo>
                                  <a:pt x="66128" y="89230"/>
                                </a:lnTo>
                                <a:lnTo>
                                  <a:pt x="152361" y="89230"/>
                                </a:lnTo>
                                <a:lnTo>
                                  <a:pt x="152361" y="96596"/>
                                </a:lnTo>
                                <a:lnTo>
                                  <a:pt x="66128" y="96596"/>
                                </a:lnTo>
                              </a:path>
                              <a:path w="221615" h="221615">
                                <a:moveTo>
                                  <a:pt x="66128" y="117805"/>
                                </a:moveTo>
                                <a:lnTo>
                                  <a:pt x="66128" y="110439"/>
                                </a:lnTo>
                                <a:lnTo>
                                  <a:pt x="139407" y="110439"/>
                                </a:lnTo>
                                <a:lnTo>
                                  <a:pt x="139407" y="117805"/>
                                </a:lnTo>
                                <a:lnTo>
                                  <a:pt x="66128" y="117805"/>
                                </a:lnTo>
                              </a:path>
                              <a:path w="221615" h="221615">
                                <a:moveTo>
                                  <a:pt x="208876" y="0"/>
                                </a:moveTo>
                                <a:lnTo>
                                  <a:pt x="12280" y="0"/>
                                </a:lnTo>
                                <a:lnTo>
                                  <a:pt x="5499" y="0"/>
                                </a:lnTo>
                                <a:lnTo>
                                  <a:pt x="0" y="5486"/>
                                </a:lnTo>
                                <a:lnTo>
                                  <a:pt x="0" y="12280"/>
                                </a:lnTo>
                                <a:lnTo>
                                  <a:pt x="0" y="208876"/>
                                </a:lnTo>
                                <a:lnTo>
                                  <a:pt x="0" y="215658"/>
                                </a:lnTo>
                                <a:lnTo>
                                  <a:pt x="5499" y="221157"/>
                                </a:lnTo>
                                <a:lnTo>
                                  <a:pt x="12280" y="221157"/>
                                </a:lnTo>
                                <a:lnTo>
                                  <a:pt x="208876" y="221157"/>
                                </a:lnTo>
                                <a:lnTo>
                                  <a:pt x="215658" y="221157"/>
                                </a:lnTo>
                                <a:lnTo>
                                  <a:pt x="221157" y="215658"/>
                                </a:lnTo>
                                <a:lnTo>
                                  <a:pt x="221157" y="208876"/>
                                </a:lnTo>
                                <a:lnTo>
                                  <a:pt x="221157" y="12280"/>
                                </a:lnTo>
                                <a:lnTo>
                                  <a:pt x="221157" y="5486"/>
                                </a:lnTo>
                                <a:lnTo>
                                  <a:pt x="215658" y="0"/>
                                </a:lnTo>
                                <a:lnTo>
                                  <a:pt x="208876" y="0"/>
                                </a:lnTo>
                                <a:close/>
                              </a:path>
                            </a:pathLst>
                          </a:custGeom>
                          <a:ln w="7620">
                            <a:solidFill>
                              <a:srgbClr val="000000"/>
                            </a:solidFill>
                            <a:prstDash val="dot"/>
                          </a:ln>
                        </wps:spPr>
                        <wps:bodyPr wrap="square" lIns="0" tIns="0" rIns="0" bIns="0" rtlCol="0">
                          <a:prstTxWarp prst="textNoShape">
                            <a:avLst/>
                          </a:prstTxWarp>
                          <a:noAutofit/>
                        </wps:bodyPr>
                      </wps:wsp>
                    </wpg:wgp>
                  </a:graphicData>
                </a:graphic>
              </wp:anchor>
            </w:drawing>
          </mc:Choice>
          <mc:Fallback>
            <w:pict>
              <v:group style="position:absolute;margin-left:318.540009pt;margin-top:15.647361pt;width:18.05pt;height:18.05pt;mso-position-horizontal-relative:page;mso-position-vertical-relative:paragraph;z-index:15761408" id="docshapegroup32" coordorigin="6371,313" coordsize="361,361">
                <v:shape style="position:absolute;left:6376;top:318;width:349;height:349" id="docshape33" coordorigin="6377,319" coordsize="349,349" path="m6716,319l6385,319,6377,328,6377,659,6385,667,6716,667,6725,659,6725,627,6504,627,6504,571,6437,571,6437,392,6725,392,6725,328,6716,319xm6725,392l6661,392,6661,571,6571,571,6504,627,6725,627,6725,392xm6596,493l6481,493,6481,504,6596,504,6596,493xm6617,459l6481,459,6481,471,6617,471,6617,459xe" filled="true" fillcolor="#ffd100" stroked="false">
                  <v:path arrowok="t"/>
                  <v:fill type="solid"/>
                </v:shape>
                <v:shape style="position:absolute;left:6376;top:318;width:349;height:349" id="docshape34" coordorigin="6377,319" coordsize="349,349" path="m6571,571l6504,627,6504,571,6437,571,6437,392,6661,392,6661,571,6571,571m6481,471l6481,459,6617,459,6617,471,6481,471m6481,504l6481,493,6596,493,6596,504,6481,504m6706,319l6396,319,6385,319,6377,328,6377,338,6377,648,6377,659,6385,667,6396,667,6706,667,6716,667,6725,659,6725,648,6725,338,6725,328,6716,319,6706,319xe" filled="false" stroked="true" strokeweight=".6pt" strokecolor="#000000">
                  <v:path arrowok="t"/>
                  <v:stroke dashstyle="dot"/>
                </v:shape>
                <w10:wrap type="none"/>
              </v:group>
            </w:pict>
          </mc:Fallback>
        </mc:AlternateContent>
      </w:r>
      <w:r>
        <w:rPr>
          <w:color w:val="231F20"/>
        </w:rPr>
        <w:t>Types of Navigator </w:t>
      </w:r>
      <w:r>
        <w:rPr>
          <w:color w:val="231F20"/>
          <w:spacing w:val="-2"/>
        </w:rPr>
        <w:t>views</w:t>
      </w:r>
    </w:p>
    <w:p>
      <w:pPr>
        <w:pStyle w:val="Heading6"/>
        <w:spacing w:before="120"/>
      </w:pPr>
      <w:r>
        <w:rPr>
          <w:color w:val="231F20"/>
        </w:rPr>
        <w:t>Navigator</w:t>
      </w:r>
      <w:r>
        <w:rPr>
          <w:color w:val="231F20"/>
          <w:spacing w:val="7"/>
        </w:rPr>
        <w:t> </w:t>
      </w:r>
      <w:r>
        <w:rPr>
          <w:color w:val="231F20"/>
        </w:rPr>
        <w:t>Physical</w:t>
      </w:r>
      <w:r>
        <w:rPr>
          <w:color w:val="231F20"/>
          <w:spacing w:val="8"/>
        </w:rPr>
        <w:t> </w:t>
      </w:r>
      <w:r>
        <w:rPr>
          <w:color w:val="231F20"/>
          <w:spacing w:val="-4"/>
        </w:rPr>
        <w:t>view</w:t>
      </w:r>
    </w:p>
    <w:p>
      <w:pPr>
        <w:pStyle w:val="BodyText"/>
        <w:spacing w:line="213" w:lineRule="auto" w:before="12"/>
        <w:ind w:left="3190"/>
      </w:pPr>
      <w:r>
        <w:rPr>
          <w:color w:val="231F20"/>
        </w:rPr>
        <w:t>The default Navigator view is Physical and shows the hierarchy of your monitored enterprise. The Navigator Physical view is a discovered view: as new managed systems come online or when they become disconnected, </w:t>
      </w:r>
      <w:r>
        <w:rPr>
          <w:color w:val="231F20"/>
        </w:rPr>
        <w:t>the view is adjusted accordingly.</w:t>
      </w:r>
    </w:p>
    <w:p>
      <w:pPr>
        <w:pStyle w:val="BodyText"/>
        <w:spacing w:line="255" w:lineRule="exact" w:before="93"/>
        <w:ind w:left="3190"/>
      </w:pPr>
      <w:r>
        <w:rPr>
          <w:position w:val="-1"/>
        </w:rPr>
        <w:drawing>
          <wp:inline distT="0" distB="0" distL="0" distR="0">
            <wp:extent cx="95250" cy="101600"/>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80"/>
        </w:rPr>
        <w:t> </w:t>
      </w:r>
      <w:r>
        <w:rPr>
          <w:rFonts w:ascii="Book Antiqua"/>
          <w:b/>
          <w:color w:val="231F20"/>
        </w:rPr>
        <w:t>Enterprise</w:t>
      </w:r>
      <w:r>
        <w:rPr>
          <w:color w:val="231F20"/>
        </w:rPr>
        <w:t>,</w:t>
      </w:r>
      <w:r>
        <w:rPr>
          <w:color w:val="231F20"/>
          <w:spacing w:val="20"/>
        </w:rPr>
        <w:t> </w:t>
      </w:r>
      <w:r>
        <w:rPr>
          <w:color w:val="231F20"/>
        </w:rPr>
        <w:t>or</w:t>
      </w:r>
      <w:r>
        <w:rPr>
          <w:color w:val="231F20"/>
          <w:spacing w:val="20"/>
        </w:rPr>
        <w:t> </w:t>
      </w:r>
      <w:r>
        <w:rPr>
          <w:color w:val="231F20"/>
        </w:rPr>
        <w:t>root,</w:t>
      </w:r>
      <w:r>
        <w:rPr>
          <w:color w:val="231F20"/>
          <w:spacing w:val="20"/>
        </w:rPr>
        <w:t> </w:t>
      </w:r>
      <w:r>
        <w:rPr>
          <w:color w:val="231F20"/>
        </w:rPr>
        <w:t>level</w:t>
      </w:r>
      <w:r>
        <w:rPr>
          <w:color w:val="231F20"/>
          <w:spacing w:val="20"/>
        </w:rPr>
        <w:t> </w:t>
      </w:r>
      <w:r>
        <w:rPr>
          <w:color w:val="231F20"/>
        </w:rPr>
        <w:t>contains</w:t>
      </w:r>
      <w:r>
        <w:rPr>
          <w:color w:val="231F20"/>
          <w:spacing w:val="20"/>
        </w:rPr>
        <w:t> </w:t>
      </w:r>
      <w:r>
        <w:rPr>
          <w:color w:val="231F20"/>
        </w:rPr>
        <w:t>all</w:t>
      </w:r>
      <w:r>
        <w:rPr>
          <w:color w:val="231F20"/>
          <w:spacing w:val="20"/>
        </w:rPr>
        <w:t> </w:t>
      </w:r>
      <w:r>
        <w:rPr>
          <w:color w:val="231F20"/>
        </w:rPr>
        <w:t>managed</w:t>
      </w:r>
      <w:r>
        <w:rPr>
          <w:color w:val="231F20"/>
          <w:spacing w:val="20"/>
        </w:rPr>
        <w:t> </w:t>
      </w:r>
      <w:r>
        <w:rPr>
          <w:color w:val="231F20"/>
        </w:rPr>
        <w:t>systems</w:t>
      </w:r>
    </w:p>
    <w:p>
      <w:pPr>
        <w:spacing w:line="239" w:lineRule="exact" w:before="0"/>
        <w:ind w:left="3689" w:right="0" w:firstLine="0"/>
        <w:jc w:val="left"/>
        <w:rPr>
          <w:sz w:val="20"/>
        </w:rPr>
      </w:pPr>
      <w:r>
        <w:rPr>
          <w:position w:val="-1"/>
        </w:rPr>
        <w:drawing>
          <wp:inline distT="0" distB="0" distL="0" distR="0">
            <wp:extent cx="101600" cy="95250"/>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80"/>
          <w:sz w:val="20"/>
        </w:rPr>
        <w:t> </w:t>
      </w:r>
      <w:r>
        <w:rPr>
          <w:rFonts w:ascii="Book Antiqua"/>
          <w:b/>
          <w:color w:val="231F20"/>
          <w:sz w:val="20"/>
        </w:rPr>
        <w:t>Platform</w:t>
      </w:r>
      <w:r>
        <w:rPr>
          <w:rFonts w:ascii="Book Antiqua"/>
          <w:b/>
          <w:color w:val="231F20"/>
          <w:spacing w:val="25"/>
          <w:sz w:val="20"/>
        </w:rPr>
        <w:t> </w:t>
      </w:r>
      <w:r>
        <w:rPr>
          <w:color w:val="231F20"/>
          <w:sz w:val="20"/>
        </w:rPr>
        <w:t>is</w:t>
      </w:r>
      <w:r>
        <w:rPr>
          <w:color w:val="231F20"/>
          <w:spacing w:val="25"/>
          <w:sz w:val="20"/>
        </w:rPr>
        <w:t> </w:t>
      </w:r>
      <w:r>
        <w:rPr>
          <w:color w:val="231F20"/>
          <w:sz w:val="20"/>
        </w:rPr>
        <w:t>the</w:t>
      </w:r>
      <w:r>
        <w:rPr>
          <w:color w:val="231F20"/>
          <w:spacing w:val="25"/>
          <w:sz w:val="20"/>
        </w:rPr>
        <w:t> </w:t>
      </w:r>
      <w:r>
        <w:rPr>
          <w:color w:val="231F20"/>
          <w:sz w:val="20"/>
        </w:rPr>
        <w:t>operating</w:t>
      </w:r>
      <w:r>
        <w:rPr>
          <w:color w:val="231F20"/>
          <w:spacing w:val="25"/>
          <w:sz w:val="20"/>
        </w:rPr>
        <w:t> </w:t>
      </w:r>
      <w:r>
        <w:rPr>
          <w:color w:val="231F20"/>
          <w:sz w:val="20"/>
        </w:rPr>
        <w:t>system</w:t>
      </w:r>
    </w:p>
    <w:p>
      <w:pPr>
        <w:pStyle w:val="BodyText"/>
        <w:spacing w:line="239" w:lineRule="exact"/>
        <w:ind w:left="4155"/>
      </w:pPr>
      <w:r>
        <w:rPr>
          <w:position w:val="-1"/>
        </w:rPr>
        <w:drawing>
          <wp:inline distT="0" distB="0" distL="0" distR="0">
            <wp:extent cx="101600" cy="95250"/>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77"/>
        </w:rPr>
        <w:t> </w:t>
      </w:r>
      <w:r>
        <w:rPr>
          <w:rFonts w:ascii="Book Antiqua"/>
          <w:b/>
          <w:color w:val="231F20"/>
        </w:rPr>
        <w:t>System</w:t>
      </w:r>
      <w:r>
        <w:rPr>
          <w:color w:val="231F20"/>
        </w:rPr>
        <w:t>,</w:t>
      </w:r>
      <w:r>
        <w:rPr>
          <w:color w:val="231F20"/>
          <w:spacing w:val="23"/>
        </w:rPr>
        <w:t> </w:t>
      </w:r>
      <w:r>
        <w:rPr>
          <w:color w:val="231F20"/>
        </w:rPr>
        <w:t>or</w:t>
      </w:r>
      <w:r>
        <w:rPr>
          <w:color w:val="231F20"/>
          <w:spacing w:val="23"/>
        </w:rPr>
        <w:t> </w:t>
      </w:r>
      <w:r>
        <w:rPr>
          <w:color w:val="231F20"/>
        </w:rPr>
        <w:t>node,</w:t>
      </w:r>
      <w:r>
        <w:rPr>
          <w:color w:val="231F20"/>
          <w:spacing w:val="23"/>
        </w:rPr>
        <w:t> </w:t>
      </w:r>
      <w:r>
        <w:rPr>
          <w:color w:val="231F20"/>
        </w:rPr>
        <w:t>is</w:t>
      </w:r>
      <w:r>
        <w:rPr>
          <w:color w:val="231F20"/>
          <w:spacing w:val="23"/>
        </w:rPr>
        <w:t> </w:t>
      </w:r>
      <w:r>
        <w:rPr>
          <w:color w:val="231F20"/>
        </w:rPr>
        <w:t>the</w:t>
      </w:r>
      <w:r>
        <w:rPr>
          <w:color w:val="231F20"/>
          <w:spacing w:val="23"/>
        </w:rPr>
        <w:t> </w:t>
      </w:r>
      <w:r>
        <w:rPr>
          <w:color w:val="231F20"/>
        </w:rPr>
        <w:t>name</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computer</w:t>
      </w:r>
      <w:r>
        <w:rPr>
          <w:color w:val="231F20"/>
          <w:spacing w:val="23"/>
        </w:rPr>
        <w:t> </w:t>
      </w:r>
      <w:r>
        <w:rPr>
          <w:color w:val="231F20"/>
        </w:rPr>
        <w:t>or</w:t>
      </w:r>
      <w:r>
        <w:rPr>
          <w:color w:val="231F20"/>
          <w:spacing w:val="23"/>
        </w:rPr>
        <w:t> </w:t>
      </w:r>
      <w:r>
        <w:rPr>
          <w:color w:val="231F20"/>
        </w:rPr>
        <w:t>z/OS</w:t>
      </w:r>
      <w:r>
        <w:rPr>
          <w:color w:val="231F20"/>
          <w:spacing w:val="23"/>
        </w:rPr>
        <w:t> </w:t>
      </w:r>
      <w:r>
        <w:rPr>
          <w:color w:val="231F20"/>
        </w:rPr>
        <w:t>image</w:t>
      </w:r>
    </w:p>
    <w:p>
      <w:pPr>
        <w:pStyle w:val="BodyText"/>
        <w:spacing w:line="213" w:lineRule="auto" w:before="8"/>
        <w:ind w:left="3190" w:right="385" w:firstLine="1373"/>
      </w:pPr>
      <w:r>
        <w:rPr>
          <w:position w:val="-1"/>
        </w:rPr>
        <w:drawing>
          <wp:inline distT="0" distB="0" distL="0" distR="0">
            <wp:extent cx="95250" cy="95250"/>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rFonts w:ascii="Book Antiqua"/>
          <w:b/>
          <w:color w:val="231F20"/>
        </w:rPr>
        <w:t>Agent </w:t>
      </w:r>
      <w:r>
        <w:rPr>
          <w:color w:val="231F20"/>
        </w:rPr>
        <w:t>type. Multiple instance agents have child </w:t>
      </w:r>
      <w:r>
        <w:rPr>
          <w:color w:val="231F20"/>
        </w:rPr>
        <w:t>items; some are grouped into one folder</w:t>
      </w:r>
    </w:p>
    <w:p>
      <w:pPr>
        <w:spacing w:line="245" w:lineRule="exact" w:before="0"/>
        <w:ind w:left="4963" w:right="0" w:firstLine="0"/>
        <w:jc w:val="left"/>
        <w:rPr>
          <w:sz w:val="20"/>
        </w:rPr>
      </w:pPr>
      <w:r>
        <w:rPr>
          <w:position w:val="-1"/>
        </w:rPr>
        <w:drawing>
          <wp:inline distT="0" distB="0" distL="0" distR="0">
            <wp:extent cx="88900" cy="101600"/>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80"/>
          <w:sz w:val="20"/>
        </w:rPr>
        <w:t> </w:t>
      </w:r>
      <w:r>
        <w:rPr>
          <w:rFonts w:ascii="Book Antiqua"/>
          <w:b/>
          <w:color w:val="231F20"/>
          <w:sz w:val="20"/>
        </w:rPr>
        <w:t>Resource</w:t>
      </w:r>
      <w:r>
        <w:rPr>
          <w:rFonts w:ascii="Book Antiqua"/>
          <w:b/>
          <w:color w:val="231F20"/>
          <w:spacing w:val="29"/>
          <w:sz w:val="20"/>
        </w:rPr>
        <w:t> </w:t>
      </w:r>
      <w:r>
        <w:rPr>
          <w:color w:val="231F20"/>
          <w:sz w:val="20"/>
        </w:rPr>
        <w:t>category</w:t>
      </w:r>
      <w:r>
        <w:rPr>
          <w:color w:val="231F20"/>
          <w:spacing w:val="29"/>
          <w:sz w:val="20"/>
        </w:rPr>
        <w:t> </w:t>
      </w:r>
      <w:r>
        <w:rPr>
          <w:color w:val="231F20"/>
          <w:sz w:val="20"/>
        </w:rPr>
        <w:t>being</w:t>
      </w:r>
      <w:r>
        <w:rPr>
          <w:color w:val="231F20"/>
          <w:spacing w:val="29"/>
          <w:sz w:val="20"/>
        </w:rPr>
        <w:t> </w:t>
      </w:r>
      <w:r>
        <w:rPr>
          <w:color w:val="231F20"/>
          <w:sz w:val="20"/>
        </w:rPr>
        <w:t>monitored</w:t>
      </w:r>
    </w:p>
    <w:p>
      <w:pPr>
        <w:pStyle w:val="BodyText"/>
        <w:spacing w:line="213" w:lineRule="auto" w:before="113"/>
        <w:ind w:left="3190" w:right="385"/>
      </w:pPr>
      <w:r>
        <w:rPr>
          <w:color w:val="231F20"/>
        </w:rPr>
        <w:t>Here is an example of a system named JDOE, running on Windows, </w:t>
      </w:r>
      <w:r>
        <w:rPr>
          <w:color w:val="231F20"/>
        </w:rPr>
        <w:t>with the Windows OS agent.</w:t>
      </w:r>
    </w:p>
    <w:p>
      <w:pPr>
        <w:pStyle w:val="BodyText"/>
        <w:spacing w:line="255" w:lineRule="exact" w:before="95"/>
        <w:ind w:left="3190"/>
      </w:pPr>
      <w:r>
        <w:rPr>
          <w:position w:val="-1"/>
        </w:rPr>
        <w:drawing>
          <wp:inline distT="0" distB="0" distL="0" distR="0">
            <wp:extent cx="95250" cy="101600"/>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13" w:lineRule="auto" w:before="8"/>
        <w:ind w:left="4155" w:right="4480" w:hanging="466"/>
      </w:pPr>
      <w:r>
        <w:rPr>
          <w:position w:val="-1"/>
        </w:rPr>
        <w:drawing>
          <wp:inline distT="0" distB="0" distL="0" distR="0">
            <wp:extent cx="101600" cy="95250"/>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3"/>
        </w:rPr>
        <w:t> </w:t>
      </w:r>
      <w:r>
        <w:rPr>
          <w:color w:val="231F20"/>
        </w:rPr>
        <w:t>Systems </w:t>
      </w:r>
      <w:r>
        <w:rPr>
          <w:color w:val="231F20"/>
          <w:position w:val="-1"/>
        </w:rPr>
        <w:drawing>
          <wp:inline distT="0" distB="0" distL="0" distR="0">
            <wp:extent cx="101600" cy="95250"/>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JDOE</w:t>
      </w:r>
    </w:p>
    <w:p>
      <w:pPr>
        <w:pStyle w:val="BodyText"/>
        <w:spacing w:line="213" w:lineRule="auto"/>
        <w:ind w:left="4963" w:right="4095" w:hanging="400"/>
      </w:pPr>
      <w:r>
        <w:rPr>
          <w:position w:val="-1"/>
        </w:rPr>
        <w:drawing>
          <wp:inline distT="0" distB="0" distL="0" distR="0">
            <wp:extent cx="95250" cy="95249"/>
            <wp:effectExtent l="0" t="0" r="0" b="0"/>
            <wp:docPr id="226" name="Image 226"/>
            <wp:cNvGraphicFramePr>
              <a:graphicFrameLocks/>
            </wp:cNvGraphicFramePr>
            <a:graphic>
              <a:graphicData uri="http://schemas.openxmlformats.org/drawingml/2006/picture">
                <pic:pic>
                  <pic:nvPicPr>
                    <pic:cNvPr id="226" name="Image 226"/>
                    <pic:cNvPicPr/>
                  </pic:nvPicPr>
                  <pic:blipFill>
                    <a:blip r:embed="rId84" cstate="print"/>
                    <a:stretch>
                      <a:fillRect/>
                    </a:stretch>
                  </pic:blipFill>
                  <pic:spPr>
                    <a:xfrm>
                      <a:off x="0" y="0"/>
                      <a:ext cx="95250" cy="95249"/>
                    </a:xfrm>
                    <a:prstGeom prst="rect">
                      <a:avLst/>
                    </a:prstGeom>
                  </pic:spPr>
                </pic:pic>
              </a:graphicData>
            </a:graphic>
          </wp:inline>
        </w:drawing>
      </w:r>
      <w:r>
        <w:rPr>
          <w:position w:val="-1"/>
        </w:rPr>
      </w:r>
      <w:r>
        <w:rPr>
          <w:rFonts w:ascii="Times New Roman"/>
          <w:spacing w:val="34"/>
        </w:rPr>
        <w:t> </w:t>
      </w:r>
      <w:r>
        <w:rPr>
          <w:color w:val="231F20"/>
        </w:rPr>
        <w:t>Windows</w:t>
      </w:r>
      <w:r>
        <w:rPr>
          <w:color w:val="231F20"/>
          <w:spacing w:val="-2"/>
        </w:rPr>
        <w:t> </w:t>
      </w:r>
      <w:r>
        <w:rPr>
          <w:color w:val="231F20"/>
        </w:rPr>
        <w:t>OS </w:t>
      </w:r>
      <w:r>
        <w:rPr>
          <w:color w:val="231F20"/>
          <w:position w:val="-1"/>
        </w:rPr>
        <w:drawing>
          <wp:inline distT="0" distB="0" distL="0" distR="0">
            <wp:extent cx="88900" cy="101600"/>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13" w:lineRule="auto"/>
        <w:ind w:left="4963" w:right="3150"/>
      </w:pPr>
      <w:r>
        <w:rPr>
          <w:position w:val="-1"/>
        </w:rPr>
        <w:drawing>
          <wp:inline distT="0" distB="0" distL="0" distR="0">
            <wp:extent cx="88900" cy="101600"/>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Monitoring </w:t>
      </w:r>
      <w:r>
        <w:rPr>
          <w:color w:val="231F20"/>
        </w:rPr>
        <w:t>Services </w:t>
      </w:r>
      <w:r>
        <w:rPr>
          <w:color w:val="231F20"/>
          <w:position w:val="-1"/>
        </w:rPr>
        <w:drawing>
          <wp:inline distT="0" distB="0" distL="0" distR="0">
            <wp:extent cx="88900" cy="101600"/>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13" w:lineRule="auto" w:before="116"/>
        <w:ind w:left="3190" w:right="545" w:hanging="1"/>
      </w:pPr>
      <w:r>
        <w:rPr>
          <w:color w:val="231F20"/>
        </w:rPr>
        <w:t>You can collapse the tree by double-clicking the </w:t>
      </w:r>
      <w:r>
        <w:rPr>
          <w:color w:val="231F20"/>
          <w:spacing w:val="15"/>
          <w:position w:val="-1"/>
        </w:rPr>
        <w:drawing>
          <wp:inline distT="0" distB="0" distL="0" distR="0">
            <wp:extent cx="95250" cy="101600"/>
            <wp:effectExtent l="0" t="0" r="0" b="0"/>
            <wp:docPr id="230" name="Image 230"/>
            <wp:cNvGraphicFramePr>
              <a:graphicFrameLocks/>
            </wp:cNvGraphicFramePr>
            <a:graphic>
              <a:graphicData uri="http://schemas.openxmlformats.org/drawingml/2006/picture">
                <pic:pic>
                  <pic:nvPicPr>
                    <pic:cNvPr id="230" name="Image 230"/>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Enterprise item, and expand it by double-clicking again.</w:t>
      </w:r>
    </w:p>
    <w:p>
      <w:pPr>
        <w:pStyle w:val="Heading6"/>
      </w:pPr>
      <w:r>
        <w:rPr>
          <w:color w:val="231F20"/>
        </w:rPr>
        <w:t>Custom</w:t>
      </w:r>
      <w:r>
        <w:rPr>
          <w:color w:val="231F20"/>
          <w:spacing w:val="7"/>
        </w:rPr>
        <w:t> </w:t>
      </w:r>
      <w:r>
        <w:rPr>
          <w:color w:val="231F20"/>
        </w:rPr>
        <w:t>Navigator</w:t>
      </w:r>
      <w:r>
        <w:rPr>
          <w:color w:val="231F20"/>
          <w:spacing w:val="8"/>
        </w:rPr>
        <w:t> </w:t>
      </w:r>
      <w:r>
        <w:rPr>
          <w:color w:val="231F20"/>
          <w:spacing w:val="-2"/>
        </w:rPr>
        <w:t>views</w:t>
      </w:r>
    </w:p>
    <w:p>
      <w:pPr>
        <w:pStyle w:val="BodyText"/>
        <w:spacing w:line="213" w:lineRule="auto" w:before="11"/>
        <w:ind w:left="3190" w:right="258"/>
      </w:pPr>
      <w:r>
        <w:rPr>
          <w:color w:val="231F20"/>
        </w:rPr>
        <w:t>Your Tivoli Enterprise Portal configuration can also have custom-designed Navigator views. These views are selectable from the Navigator toolbar, navigable and show event indicators (described below) in the same way </w:t>
      </w:r>
      <w:r>
        <w:rPr>
          <w:color w:val="231F20"/>
        </w:rPr>
        <w:t>as the Navigator Physical view. Unlike the Navigator Physical view, custom Navigator views can be edited. You can, for example, design a Navigator view for Manufacturing and another for Marketing.</w:t>
      </w:r>
    </w:p>
    <w:p>
      <w:pPr>
        <w:spacing w:after="0" w:line="213" w:lineRule="auto"/>
        <w:sectPr>
          <w:footerReference w:type="default" r:id="rId103"/>
          <w:footerReference w:type="even" r:id="rId104"/>
          <w:pgSz w:w="12240" w:h="15840"/>
          <w:pgMar w:header="0" w:footer="736" w:top="1300" w:bottom="920" w:left="1000" w:right="1060"/>
          <w:pgNumType w:start="21"/>
        </w:sectPr>
      </w:pPr>
    </w:p>
    <w:p>
      <w:pPr>
        <w:pStyle w:val="BodyText"/>
        <w:spacing w:line="213" w:lineRule="auto" w:before="85"/>
        <w:ind w:left="2951" w:right="545"/>
      </w:pPr>
      <w:bookmarkStart w:name="_bookmark14" w:id="35"/>
      <w:bookmarkEnd w:id="35"/>
      <w:r>
        <w:rPr/>
      </w:r>
      <w:r>
        <w:rPr>
          <w:color w:val="231F20"/>
        </w:rPr>
        <w:t>Your user ID can be assigned to all or a subset of the defined Navigator views, and your access in any of these views can be restricted to a certain branch. To see the list of available Navigator views, click the </w:t>
      </w:r>
      <w:r>
        <w:rPr>
          <w:color w:val="231F20"/>
          <w:spacing w:val="15"/>
          <w:position w:val="-1"/>
        </w:rPr>
        <w:drawing>
          <wp:inline distT="0" distB="0" distL="0" distR="0">
            <wp:extent cx="101600" cy="101600"/>
            <wp:effectExtent l="0" t="0" r="0" b="0"/>
            <wp:docPr id="231" name="Image 231"/>
            <wp:cNvGraphicFramePr>
              <a:graphicFrameLocks/>
            </wp:cNvGraphicFramePr>
            <a:graphic>
              <a:graphicData uri="http://schemas.openxmlformats.org/drawingml/2006/picture">
                <pic:pic>
                  <pic:nvPicPr>
                    <pic:cNvPr id="231" name="Image 23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 box in the Navigator toolbar.</w:t>
      </w:r>
    </w:p>
    <w:p>
      <w:pPr>
        <w:pStyle w:val="BodyText"/>
        <w:spacing w:line="213" w:lineRule="auto" w:before="117"/>
        <w:ind w:left="2951" w:right="545" w:hanging="1"/>
      </w:pPr>
      <w:r>
        <w:rPr>
          <w:color w:val="231F20"/>
        </w:rPr>
        <w:t>A </w:t>
      </w:r>
      <w:r>
        <w:rPr>
          <w:color w:val="231F20"/>
          <w:spacing w:val="5"/>
        </w:rPr>
        <w:drawing>
          <wp:inline distT="0" distB="0" distL="0" distR="0">
            <wp:extent cx="44450" cy="44450"/>
            <wp:effectExtent l="0" t="0" r="0" b="0"/>
            <wp:docPr id="232" name="Image 232"/>
            <wp:cNvGraphicFramePr>
              <a:graphicFrameLocks/>
            </wp:cNvGraphicFramePr>
            <a:graphic>
              <a:graphicData uri="http://schemas.openxmlformats.org/drawingml/2006/picture">
                <pic:pic>
                  <pic:nvPicPr>
                    <pic:cNvPr id="232" name="Image 232"/>
                    <pic:cNvPicPr/>
                  </pic:nvPicPr>
                  <pic:blipFill>
                    <a:blip r:embed="rId105" cstate="print"/>
                    <a:stretch>
                      <a:fillRect/>
                    </a:stretch>
                  </pic:blipFill>
                  <pic:spPr>
                    <a:xfrm>
                      <a:off x="0" y="0"/>
                      <a:ext cx="44450" cy="44450"/>
                    </a:xfrm>
                    <a:prstGeom prst="rect">
                      <a:avLst/>
                    </a:prstGeom>
                  </pic:spPr>
                </pic:pic>
              </a:graphicData>
            </a:graphic>
          </wp:inline>
        </w:drawing>
      </w:r>
      <w:r>
        <w:rPr>
          <w:color w:val="231F20"/>
          <w:spacing w:val="5"/>
        </w:rPr>
      </w:r>
      <w:r>
        <w:rPr>
          <w:rFonts w:ascii="Times New Roman"/>
          <w:color w:val="231F20"/>
          <w:spacing w:val="40"/>
        </w:rPr>
        <w:t> </w:t>
      </w:r>
      <w:r>
        <w:rPr>
          <w:color w:val="231F20"/>
        </w:rPr>
        <w:t>small white cross over a Navigator item icon means one or more other Navigator items share the characteristics of that item. This happens when</w:t>
      </w:r>
      <w:r>
        <w:rPr>
          <w:color w:val="231F20"/>
          <w:spacing w:val="80"/>
        </w:rPr>
        <w:t> </w:t>
      </w:r>
      <w:r>
        <w:rPr>
          <w:color w:val="231F20"/>
        </w:rPr>
        <w:t>an item from one Navigator view has been copied to another Navigator view. All</w:t>
      </w:r>
      <w:r>
        <w:rPr>
          <w:color w:val="231F20"/>
          <w:spacing w:val="32"/>
        </w:rPr>
        <w:t> </w:t>
      </w:r>
      <w:r>
        <w:rPr>
          <w:color w:val="231F20"/>
        </w:rPr>
        <w:t>the</w:t>
      </w:r>
      <w:r>
        <w:rPr>
          <w:color w:val="231F20"/>
          <w:spacing w:val="32"/>
        </w:rPr>
        <w:t> </w:t>
      </w:r>
      <w:r>
        <w:rPr>
          <w:color w:val="231F20"/>
        </w:rPr>
        <w:t>managed</w:t>
      </w:r>
      <w:r>
        <w:rPr>
          <w:color w:val="231F20"/>
          <w:spacing w:val="32"/>
        </w:rPr>
        <w:t> </w:t>
      </w:r>
      <w:r>
        <w:rPr>
          <w:color w:val="231F20"/>
        </w:rPr>
        <w:t>systems,</w:t>
      </w:r>
      <w:r>
        <w:rPr>
          <w:color w:val="231F20"/>
          <w:spacing w:val="32"/>
        </w:rPr>
        <w:t> </w:t>
      </w:r>
      <w:r>
        <w:rPr>
          <w:color w:val="231F20"/>
        </w:rPr>
        <w:t>workspaces,</w:t>
      </w:r>
      <w:r>
        <w:rPr>
          <w:color w:val="231F20"/>
          <w:spacing w:val="32"/>
        </w:rPr>
        <w:t> </w:t>
      </w:r>
      <w:r>
        <w:rPr>
          <w:color w:val="231F20"/>
        </w:rPr>
        <w:t>link</w:t>
      </w:r>
      <w:r>
        <w:rPr>
          <w:color w:val="231F20"/>
          <w:spacing w:val="32"/>
        </w:rPr>
        <w:t> </w:t>
      </w:r>
      <w:r>
        <w:rPr>
          <w:color w:val="231F20"/>
        </w:rPr>
        <w:t>definitions,</w:t>
      </w:r>
      <w:r>
        <w:rPr>
          <w:color w:val="231F20"/>
          <w:spacing w:val="32"/>
        </w:rPr>
        <w:t> </w:t>
      </w:r>
      <w:r>
        <w:rPr>
          <w:color w:val="231F20"/>
        </w:rPr>
        <w:t>situations, and policies associated with the original (source) item are applied to the</w:t>
      </w:r>
      <w:r>
        <w:rPr>
          <w:color w:val="231F20"/>
          <w:spacing w:val="80"/>
        </w:rPr>
        <w:t> </w:t>
      </w:r>
      <w:r>
        <w:rPr>
          <w:color w:val="231F20"/>
        </w:rPr>
        <w:t>new</w:t>
      </w:r>
      <w:r>
        <w:rPr>
          <w:color w:val="231F20"/>
          <w:spacing w:val="27"/>
        </w:rPr>
        <w:t> </w:t>
      </w:r>
      <w:r>
        <w:rPr>
          <w:color w:val="231F20"/>
        </w:rPr>
        <w:t>item. And</w:t>
      </w:r>
      <w:r>
        <w:rPr>
          <w:color w:val="231F20"/>
          <w:spacing w:val="27"/>
        </w:rPr>
        <w:t> </w:t>
      </w:r>
      <w:r>
        <w:rPr>
          <w:color w:val="231F20"/>
        </w:rPr>
        <w:t>from</w:t>
      </w:r>
      <w:r>
        <w:rPr>
          <w:color w:val="231F20"/>
          <w:spacing w:val="27"/>
        </w:rPr>
        <w:t> </w:t>
      </w:r>
      <w:r>
        <w:rPr>
          <w:color w:val="231F20"/>
        </w:rPr>
        <w:t>then</w:t>
      </w:r>
      <w:r>
        <w:rPr>
          <w:color w:val="231F20"/>
          <w:spacing w:val="27"/>
        </w:rPr>
        <w:t> </w:t>
      </w:r>
      <w:r>
        <w:rPr>
          <w:color w:val="231F20"/>
        </w:rPr>
        <w:t>on,</w:t>
      </w:r>
      <w:r>
        <w:rPr>
          <w:color w:val="231F20"/>
          <w:spacing w:val="27"/>
        </w:rPr>
        <w:t> </w:t>
      </w:r>
      <w:r>
        <w:rPr>
          <w:color w:val="231F20"/>
        </w:rPr>
        <w:t>changes</w:t>
      </w:r>
      <w:r>
        <w:rPr>
          <w:color w:val="231F20"/>
          <w:spacing w:val="27"/>
        </w:rPr>
        <w:t> </w:t>
      </w:r>
      <w:r>
        <w:rPr>
          <w:color w:val="231F20"/>
        </w:rPr>
        <w:t>to</w:t>
      </w:r>
      <w:r>
        <w:rPr>
          <w:color w:val="231F20"/>
          <w:spacing w:val="27"/>
        </w:rPr>
        <w:t> </w:t>
      </w:r>
      <w:r>
        <w:rPr>
          <w:color w:val="231F20"/>
        </w:rPr>
        <w:t>one</w:t>
      </w:r>
      <w:r>
        <w:rPr>
          <w:color w:val="231F20"/>
          <w:spacing w:val="27"/>
        </w:rPr>
        <w:t> </w:t>
      </w:r>
      <w:r>
        <w:rPr>
          <w:color w:val="231F20"/>
        </w:rPr>
        <w:t>item</w:t>
      </w:r>
      <w:r>
        <w:rPr>
          <w:color w:val="231F20"/>
          <w:spacing w:val="27"/>
        </w:rPr>
        <w:t> </w:t>
      </w:r>
      <w:r>
        <w:rPr>
          <w:color w:val="231F20"/>
        </w:rPr>
        <w:t>(such</w:t>
      </w:r>
      <w:r>
        <w:rPr>
          <w:color w:val="231F20"/>
          <w:spacing w:val="27"/>
        </w:rPr>
        <w:t> </w:t>
      </w:r>
      <w:r>
        <w:rPr>
          <w:color w:val="231F20"/>
        </w:rPr>
        <w:t>as</w:t>
      </w:r>
      <w:r>
        <w:rPr>
          <w:color w:val="231F20"/>
          <w:spacing w:val="27"/>
        </w:rPr>
        <w:t> </w:t>
      </w:r>
      <w:r>
        <w:rPr>
          <w:color w:val="231F20"/>
        </w:rPr>
        <w:t>a</w:t>
      </w:r>
      <w:r>
        <w:rPr>
          <w:color w:val="231F20"/>
          <w:spacing w:val="27"/>
        </w:rPr>
        <w:t> </w:t>
      </w:r>
      <w:r>
        <w:rPr>
          <w:color w:val="231F20"/>
        </w:rPr>
        <w:t>new workspace is added) are applied to the other. Right-click a Navigator item and click </w:t>
      </w:r>
      <w:r>
        <w:rPr>
          <w:color w:val="231F20"/>
          <w:spacing w:val="16"/>
          <w:position w:val="-1"/>
        </w:rPr>
        <w:drawing>
          <wp:inline distT="0" distB="0" distL="0" distR="0">
            <wp:extent cx="101600" cy="88900"/>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12"/>
        </w:rPr>
        <w:t> </w:t>
      </w:r>
      <w:r>
        <w:rPr>
          <w:rFonts w:ascii="Book Antiqua"/>
          <w:b/>
          <w:color w:val="231F20"/>
        </w:rPr>
        <w:t>Show Navigator List </w:t>
      </w:r>
      <w:r>
        <w:rPr>
          <w:color w:val="231F20"/>
        </w:rPr>
        <w:t>to see the other Navigator views it is contained in.</w:t>
      </w:r>
    </w:p>
    <w:p>
      <w:pPr>
        <w:pStyle w:val="Heading6"/>
        <w:spacing w:before="112"/>
        <w:ind w:left="2232"/>
      </w:pPr>
      <w:r>
        <w:rPr>
          <w:color w:val="231F20"/>
        </w:rPr>
        <w:t>Navigator</w:t>
      </w:r>
      <w:r>
        <w:rPr>
          <w:color w:val="231F20"/>
          <w:spacing w:val="8"/>
        </w:rPr>
        <w:t> </w:t>
      </w:r>
      <w:r>
        <w:rPr>
          <w:color w:val="231F20"/>
        </w:rPr>
        <w:t>Logical</w:t>
      </w:r>
      <w:r>
        <w:rPr>
          <w:color w:val="231F20"/>
          <w:spacing w:val="8"/>
        </w:rPr>
        <w:t> </w:t>
      </w:r>
      <w:r>
        <w:rPr>
          <w:color w:val="231F20"/>
          <w:spacing w:val="-4"/>
        </w:rPr>
        <w:t>view</w:t>
      </w:r>
    </w:p>
    <w:p>
      <w:pPr>
        <w:pStyle w:val="BodyText"/>
        <w:spacing w:line="213" w:lineRule="auto" w:before="11"/>
        <w:ind w:left="2951" w:right="545"/>
      </w:pPr>
      <w:r>
        <w:rPr>
          <w:color w:val="231F20"/>
        </w:rPr>
        <w:t>Users initially have one custom Navigator view called </w:t>
      </w:r>
      <w:r>
        <w:rPr>
          <w:rFonts w:ascii="Book Antiqua"/>
          <w:i/>
          <w:color w:val="231F20"/>
        </w:rPr>
        <w:t>Logical </w:t>
      </w:r>
      <w:r>
        <w:rPr>
          <w:color w:val="231F20"/>
        </w:rPr>
        <w:t>with a </w:t>
      </w:r>
      <w:r>
        <w:rPr>
          <w:color w:val="231F20"/>
        </w:rPr>
        <w:t>single Navigator item for </w:t>
      </w:r>
      <w:r>
        <w:rPr>
          <w:color w:val="231F20"/>
          <w:spacing w:val="16"/>
          <w:position w:val="-1"/>
        </w:rPr>
        <w:drawing>
          <wp:inline distT="0" distB="0" distL="0" distR="0">
            <wp:extent cx="101600" cy="95250"/>
            <wp:effectExtent l="0" t="0" r="0" b="0"/>
            <wp:docPr id="234" name="Image 234"/>
            <wp:cNvGraphicFramePr>
              <a:graphicFrameLocks/>
            </wp:cNvGraphicFramePr>
            <a:graphic>
              <a:graphicData uri="http://schemas.openxmlformats.org/drawingml/2006/picture">
                <pic:pic>
                  <pic:nvPicPr>
                    <pic:cNvPr id="234" name="Image 234"/>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Enterprise. Click the </w:t>
      </w:r>
      <w:r>
        <w:rPr>
          <w:color w:val="231F20"/>
          <w:spacing w:val="16"/>
          <w:position w:val="-1"/>
        </w:rPr>
        <w:drawing>
          <wp:inline distT="0" distB="0" distL="0" distR="0">
            <wp:extent cx="101600" cy="101600"/>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 box and select the</w:t>
      </w:r>
      <w:r>
        <w:rPr>
          <w:color w:val="231F20"/>
          <w:spacing w:val="40"/>
        </w:rPr>
        <w:t> </w:t>
      </w:r>
      <w:r>
        <w:rPr>
          <w:color w:val="231F20"/>
        </w:rPr>
        <w:t>Navigator Logical view from the list.</w:t>
      </w:r>
    </w:p>
    <w:p>
      <w:pPr>
        <w:pStyle w:val="Heading4"/>
      </w:pPr>
      <w:r>
        <w:rPr>
          <w:color w:val="231F20"/>
          <w:spacing w:val="-2"/>
        </w:rPr>
        <w:t>Workspaces</w:t>
      </w:r>
    </w:p>
    <w:p>
      <w:pPr>
        <w:pStyle w:val="BodyText"/>
        <w:spacing w:line="213" w:lineRule="auto" w:before="241"/>
        <w:ind w:left="2232" w:right="545"/>
      </w:pPr>
      <w:r>
        <w:rPr>
          <w:color w:val="231F20"/>
        </w:rPr>
        <w:t>The </w:t>
      </w:r>
      <w:r>
        <w:rPr>
          <w:rFonts w:ascii="Book Antiqua"/>
          <w:i/>
          <w:color w:val="231F20"/>
        </w:rPr>
        <w:t>workspace </w:t>
      </w:r>
      <w:r>
        <w:rPr>
          <w:color w:val="231F20"/>
        </w:rPr>
        <w:t>is the working area of the application window. Selecting an item </w:t>
      </w:r>
      <w:r>
        <w:rPr>
          <w:color w:val="231F20"/>
        </w:rPr>
        <w:t>in the Navigator opens its default workspace. The workspace contains views of information for that item in the Navigator.</w:t>
      </w:r>
    </w:p>
    <w:p>
      <w:pPr>
        <w:pStyle w:val="BodyText"/>
        <w:spacing w:line="213" w:lineRule="auto" w:before="237"/>
        <w:ind w:left="2232" w:right="488"/>
      </w:pPr>
      <w:r>
        <w:rPr>
          <w:color w:val="231F20"/>
        </w:rPr>
        <w:t>If the item has multiple workspaces created for it, you can click </w:t>
      </w:r>
      <w:r>
        <w:rPr>
          <w:color w:val="231F20"/>
          <w:spacing w:val="15"/>
          <w:position w:val="-1"/>
        </w:rPr>
        <w:drawing>
          <wp:inline distT="0" distB="0" distL="0" distR="0">
            <wp:extent cx="101600" cy="101600"/>
            <wp:effectExtent l="0" t="0" r="0" b="0"/>
            <wp:docPr id="236" name="Image 236"/>
            <wp:cNvGraphicFramePr>
              <a:graphicFrameLocks/>
            </wp:cNvGraphicFramePr>
            <a:graphic>
              <a:graphicData uri="http://schemas.openxmlformats.org/drawingml/2006/picture">
                <pic:pic>
                  <pic:nvPicPr>
                    <pic:cNvPr id="236" name="Image 236"/>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Workspace Gallery </w:t>
      </w:r>
      <w:r>
        <w:rPr>
          <w:color w:val="231F20"/>
        </w:rPr>
        <w:t>to see thumbnail images of them and select another workspace to open.</w:t>
      </w:r>
      <w:r>
        <w:rPr>
          <w:color w:val="231F20"/>
          <w:spacing w:val="40"/>
        </w:rPr>
        <w:t> </w:t>
      </w:r>
      <w:r>
        <w:rPr>
          <w:color w:val="231F20"/>
        </w:rPr>
        <w:t>You can also select any additional workspaces associated with a navigator item by right-clicking on the navigator item and selecting the </w:t>
      </w:r>
      <w:r>
        <w:rPr>
          <w:rFonts w:ascii="Book Antiqua"/>
          <w:b/>
          <w:color w:val="231F20"/>
        </w:rPr>
        <w:t>Workspaces </w:t>
      </w:r>
      <w:r>
        <w:rPr>
          <w:color w:val="231F20"/>
        </w:rPr>
        <w:t>menu option, </w:t>
      </w:r>
      <w:r>
        <w:rPr>
          <w:color w:val="231F20"/>
        </w:rPr>
        <w:t>or by selecting that same option from the </w:t>
      </w:r>
      <w:r>
        <w:rPr>
          <w:rFonts w:ascii="Book Antiqua"/>
          <w:b/>
          <w:color w:val="231F20"/>
        </w:rPr>
        <w:t>View </w:t>
      </w:r>
      <w:r>
        <w:rPr>
          <w:color w:val="231F20"/>
        </w:rPr>
        <w:t>menu found on the main menu bar.</w:t>
      </w:r>
    </w:p>
    <w:p>
      <w:pPr>
        <w:pStyle w:val="BodyText"/>
        <w:spacing w:line="213" w:lineRule="auto" w:before="236"/>
        <w:ind w:left="2232" w:right="545"/>
      </w:pPr>
      <w:r>
        <w:rPr>
          <w:color w:val="231F20"/>
        </w:rPr>
        <w:t>You can move around the Navigator without selecting workspaces by using </w:t>
      </w:r>
      <w:r>
        <w:rPr>
          <w:color w:val="231F20"/>
        </w:rPr>
        <w:t>the vertical</w:t>
      </w:r>
      <w:r>
        <w:rPr>
          <w:color w:val="231F20"/>
          <w:spacing w:val="24"/>
        </w:rPr>
        <w:t> </w:t>
      </w:r>
      <w:r>
        <w:rPr>
          <w:color w:val="231F20"/>
        </w:rPr>
        <w:t>scroll</w:t>
      </w:r>
      <w:r>
        <w:rPr>
          <w:color w:val="231F20"/>
          <w:spacing w:val="24"/>
        </w:rPr>
        <w:t> </w:t>
      </w:r>
      <w:r>
        <w:rPr>
          <w:color w:val="231F20"/>
        </w:rPr>
        <w:t>bars</w:t>
      </w:r>
      <w:r>
        <w:rPr>
          <w:color w:val="231F20"/>
          <w:spacing w:val="24"/>
        </w:rPr>
        <w:t> </w:t>
      </w:r>
      <w:r>
        <w:rPr>
          <w:color w:val="231F20"/>
        </w:rPr>
        <w:t>and</w:t>
      </w:r>
      <w:r>
        <w:rPr>
          <w:color w:val="231F20"/>
          <w:spacing w:val="24"/>
        </w:rPr>
        <w:t> </w:t>
      </w:r>
      <w:r>
        <w:rPr>
          <w:color w:val="231F20"/>
        </w:rPr>
        <w:t>clicking</w:t>
      </w:r>
      <w:r>
        <w:rPr>
          <w:color w:val="231F20"/>
          <w:spacing w:val="40"/>
        </w:rPr>
        <w:t> </w:t>
      </w:r>
      <w:r>
        <w:rPr>
          <w:color w:val="231F20"/>
          <w:spacing w:val="5"/>
        </w:rPr>
        <w:drawing>
          <wp:inline distT="0" distB="0" distL="0" distR="0">
            <wp:extent cx="69850" cy="69850"/>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w w:val="150"/>
        </w:rPr>
        <w:t> </w:t>
      </w:r>
      <w:r>
        <w:rPr>
          <w:color w:val="231F20"/>
        </w:rPr>
        <w:t>to</w:t>
      </w:r>
      <w:r>
        <w:rPr>
          <w:color w:val="231F20"/>
          <w:spacing w:val="24"/>
        </w:rPr>
        <w:t> </w:t>
      </w:r>
      <w:r>
        <w:rPr>
          <w:color w:val="231F20"/>
        </w:rPr>
        <w:t>expand</w:t>
      </w:r>
      <w:r>
        <w:rPr>
          <w:color w:val="231F20"/>
          <w:spacing w:val="24"/>
        </w:rPr>
        <w:t> </w:t>
      </w:r>
      <w:r>
        <w:rPr>
          <w:color w:val="231F20"/>
        </w:rPr>
        <w:t>a</w:t>
      </w:r>
      <w:r>
        <w:rPr>
          <w:color w:val="231F20"/>
          <w:spacing w:val="24"/>
        </w:rPr>
        <w:t> </w:t>
      </w:r>
      <w:r>
        <w:rPr>
          <w:color w:val="231F20"/>
        </w:rPr>
        <w:t>list</w:t>
      </w:r>
      <w:r>
        <w:rPr>
          <w:color w:val="231F20"/>
          <w:spacing w:val="24"/>
        </w:rPr>
        <w:t> </w:t>
      </w:r>
      <w:r>
        <w:rPr>
          <w:color w:val="231F20"/>
        </w:rPr>
        <w:t>or</w:t>
      </w:r>
      <w:r>
        <w:rPr>
          <w:color w:val="231F20"/>
          <w:spacing w:val="40"/>
        </w:rPr>
        <w:t> </w:t>
      </w:r>
      <w:r>
        <w:rPr>
          <w:color w:val="231F20"/>
          <w:spacing w:val="6"/>
        </w:rPr>
        <w:drawing>
          <wp:inline distT="0" distB="0" distL="0" distR="0">
            <wp:extent cx="69850" cy="69850"/>
            <wp:effectExtent l="0" t="0" r="0" b="0"/>
            <wp:docPr id="238" name="Image 238"/>
            <wp:cNvGraphicFramePr>
              <a:graphicFrameLocks/>
            </wp:cNvGraphicFramePr>
            <a:graphic>
              <a:graphicData uri="http://schemas.openxmlformats.org/drawingml/2006/picture">
                <pic:pic>
                  <pic:nvPicPr>
                    <pic:cNvPr id="238" name="Image 238"/>
                    <pic:cNvPicPr/>
                  </pic:nvPicPr>
                  <pic:blipFill>
                    <a:blip r:embed="rId91" cstate="print"/>
                    <a:stretch>
                      <a:fillRect/>
                    </a:stretch>
                  </pic:blipFill>
                  <pic:spPr>
                    <a:xfrm>
                      <a:off x="0" y="0"/>
                      <a:ext cx="69850" cy="69850"/>
                    </a:xfrm>
                    <a:prstGeom prst="rect">
                      <a:avLst/>
                    </a:prstGeom>
                  </pic:spPr>
                </pic:pic>
              </a:graphicData>
            </a:graphic>
          </wp:inline>
        </w:drawing>
      </w:r>
      <w:r>
        <w:rPr>
          <w:color w:val="231F20"/>
          <w:spacing w:val="6"/>
        </w:rPr>
      </w:r>
      <w:r>
        <w:rPr>
          <w:rFonts w:ascii="Times New Roman"/>
          <w:color w:val="231F20"/>
          <w:spacing w:val="80"/>
          <w:w w:val="150"/>
        </w:rPr>
        <w:t> </w:t>
      </w:r>
      <w:r>
        <w:rPr>
          <w:color w:val="231F20"/>
        </w:rPr>
        <w:t>to</w:t>
      </w:r>
      <w:r>
        <w:rPr>
          <w:color w:val="231F20"/>
          <w:spacing w:val="24"/>
        </w:rPr>
        <w:t> </w:t>
      </w:r>
      <w:r>
        <w:rPr>
          <w:color w:val="231F20"/>
        </w:rPr>
        <w:t>collapse</w:t>
      </w:r>
      <w:r>
        <w:rPr>
          <w:color w:val="231F20"/>
          <w:spacing w:val="24"/>
        </w:rPr>
        <w:t> </w:t>
      </w:r>
      <w:r>
        <w:rPr>
          <w:color w:val="231F20"/>
        </w:rPr>
        <w:t>it.</w:t>
      </w:r>
    </w:p>
    <w:p>
      <w:pPr>
        <w:pStyle w:val="BodyText"/>
        <w:spacing w:line="213" w:lineRule="auto" w:before="239"/>
        <w:ind w:left="2232" w:right="604" w:hanging="1"/>
        <w:jc w:val="both"/>
      </w:pPr>
      <w:r>
        <w:rPr>
          <w:color w:val="231F20"/>
        </w:rPr>
        <w:t>Use </w:t>
      </w:r>
      <w:r>
        <w:rPr>
          <w:color w:val="231F20"/>
          <w:spacing w:val="-24"/>
          <w:position w:val="-1"/>
        </w:rPr>
        <w:drawing>
          <wp:inline distT="0" distB="0" distL="0" distR="0">
            <wp:extent cx="95250" cy="95250"/>
            <wp:effectExtent l="0" t="0" r="0" b="0"/>
            <wp:docPr id="239" name="Image 239"/>
            <wp:cNvGraphicFramePr>
              <a:graphicFrameLocks/>
            </wp:cNvGraphicFramePr>
            <a:graphic>
              <a:graphicData uri="http://schemas.openxmlformats.org/drawingml/2006/picture">
                <pic:pic>
                  <pic:nvPicPr>
                    <pic:cNvPr id="239" name="Image 239"/>
                    <pic:cNvPicPr/>
                  </pic:nvPicPr>
                  <pic:blipFill>
                    <a:blip r:embed="rId23"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and </w:t>
      </w:r>
      <w:r>
        <w:rPr>
          <w:color w:val="231F20"/>
          <w:spacing w:val="-24"/>
          <w:position w:val="-1"/>
        </w:rPr>
        <w:drawing>
          <wp:inline distT="0" distB="0" distL="0" distR="0">
            <wp:extent cx="95250" cy="95250"/>
            <wp:effectExtent l="0" t="0" r="0" b="0"/>
            <wp:docPr id="240" name="Image 240"/>
            <wp:cNvGraphicFramePr>
              <a:graphicFrameLocks/>
            </wp:cNvGraphicFramePr>
            <a:graphic>
              <a:graphicData uri="http://schemas.openxmlformats.org/drawingml/2006/picture">
                <pic:pic>
                  <pic:nvPicPr>
                    <pic:cNvPr id="240" name="Image 240"/>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to return to previously viewed workspaces in the order they </w:t>
      </w:r>
      <w:r>
        <w:rPr>
          <w:color w:val="231F20"/>
        </w:rPr>
        <w:t>were initially visited. The data in those workspaces is not cached, so any chart or table views are refreshed with the most recent data samplings when you revisit them.</w:t>
      </w:r>
    </w:p>
    <w:p>
      <w:pPr>
        <w:pStyle w:val="BodyText"/>
        <w:spacing w:before="4"/>
        <w:rPr>
          <w:sz w:val="16"/>
        </w:rPr>
      </w:pPr>
      <w:r>
        <w:rPr/>
        <mc:AlternateContent>
          <mc:Choice Requires="wps">
            <w:drawing>
              <wp:anchor distT="0" distB="0" distL="0" distR="0" allowOverlap="1" layoutInCell="1" locked="0" behindDoc="1" simplePos="0" relativeHeight="487621632">
                <wp:simplePos x="0" y="0"/>
                <wp:positionH relativeFrom="page">
                  <wp:posOffset>760323</wp:posOffset>
                </wp:positionH>
                <wp:positionV relativeFrom="paragraph">
                  <wp:posOffset>155311</wp:posOffset>
                </wp:positionV>
                <wp:extent cx="6082665" cy="127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29275pt;width:478.95pt;height:.1pt;mso-position-horizontal-relative:page;mso-position-vertical-relative:paragraph;z-index:-15694848;mso-wrap-distance-left:0;mso-wrap-distance-right:0" id="docshape35"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Navigator tools" w:id="36"/>
      <w:bookmarkEnd w:id="36"/>
      <w:r>
        <w:rPr>
          <w:b w:val="0"/>
        </w:rPr>
      </w:r>
      <w:r>
        <w:rPr>
          <w:color w:val="231F20"/>
        </w:rPr>
        <w:t>Navigator</w:t>
      </w:r>
      <w:r>
        <w:rPr>
          <w:color w:val="231F20"/>
          <w:spacing w:val="2"/>
        </w:rPr>
        <w:t> </w:t>
      </w:r>
      <w:r>
        <w:rPr>
          <w:color w:val="231F20"/>
          <w:spacing w:val="-2"/>
        </w:rPr>
        <w:t>tools</w:t>
      </w:r>
    </w:p>
    <w:p>
      <w:pPr>
        <w:pStyle w:val="BodyText"/>
        <w:spacing w:line="213" w:lineRule="auto" w:before="138"/>
        <w:ind w:left="2232" w:right="523"/>
        <w:jc w:val="both"/>
      </w:pPr>
      <w:r>
        <w:rPr>
          <w:color w:val="231F20"/>
        </w:rPr>
        <w:t>Use the tools in the Navigator view toolbar to update the display when managed systems have come online or gone offline, to open another Navigator view, to edit custom Navigator views, and to collapse the view.</w:t>
      </w:r>
    </w:p>
    <w:p>
      <w:pPr>
        <w:pStyle w:val="Heading6"/>
        <w:ind w:left="2442"/>
      </w:pPr>
      <w:r>
        <w:rPr/>
        <w:drawing>
          <wp:anchor distT="0" distB="0" distL="0" distR="0" allowOverlap="1" layoutInCell="1" locked="0" behindDoc="0" simplePos="0" relativeHeight="15762944">
            <wp:simplePos x="0" y="0"/>
            <wp:positionH relativeFrom="page">
              <wp:posOffset>2059213</wp:posOffset>
            </wp:positionH>
            <wp:positionV relativeFrom="paragraph">
              <wp:posOffset>108078</wp:posOffset>
            </wp:positionV>
            <wp:extent cx="95250" cy="101600"/>
            <wp:effectExtent l="0" t="0" r="0" b="0"/>
            <wp:wrapNone/>
            <wp:docPr id="242" name="Image 242"/>
            <wp:cNvGraphicFramePr>
              <a:graphicFrameLocks/>
            </wp:cNvGraphicFramePr>
            <a:graphic>
              <a:graphicData uri="http://schemas.openxmlformats.org/drawingml/2006/picture">
                <pic:pic>
                  <pic:nvPicPr>
                    <pic:cNvPr id="242" name="Image 242"/>
                    <pic:cNvPicPr/>
                  </pic:nvPicPr>
                  <pic:blipFill>
                    <a:blip r:embed="rId39" cstate="print"/>
                    <a:stretch>
                      <a:fillRect/>
                    </a:stretch>
                  </pic:blipFill>
                  <pic:spPr>
                    <a:xfrm>
                      <a:off x="0" y="0"/>
                      <a:ext cx="95250" cy="101600"/>
                    </a:xfrm>
                    <a:prstGeom prst="rect">
                      <a:avLst/>
                    </a:prstGeom>
                  </pic:spPr>
                </pic:pic>
              </a:graphicData>
            </a:graphic>
          </wp:anchor>
        </w:drawing>
      </w:r>
      <w:r>
        <w:rPr>
          <w:color w:val="231F20"/>
          <w:vertAlign w:val="superscript"/>
        </w:rPr>
        <w:t>2</w:t>
      </w:r>
      <w:r>
        <w:rPr>
          <w:color w:val="231F20"/>
          <w:spacing w:val="11"/>
          <w:vertAlign w:val="baseline"/>
        </w:rPr>
        <w:t> </w:t>
      </w:r>
      <w:r>
        <w:rPr>
          <w:color w:val="231F20"/>
          <w:vertAlign w:val="baseline"/>
        </w:rPr>
        <w:t>Apply</w:t>
      </w:r>
      <w:r>
        <w:rPr>
          <w:color w:val="231F20"/>
          <w:spacing w:val="11"/>
          <w:vertAlign w:val="baseline"/>
        </w:rPr>
        <w:t> </w:t>
      </w:r>
      <w:r>
        <w:rPr>
          <w:color w:val="231F20"/>
          <w:vertAlign w:val="baseline"/>
        </w:rPr>
        <w:t>pending</w:t>
      </w:r>
      <w:r>
        <w:rPr>
          <w:color w:val="231F20"/>
          <w:spacing w:val="11"/>
          <w:vertAlign w:val="baseline"/>
        </w:rPr>
        <w:t> </w:t>
      </w:r>
      <w:r>
        <w:rPr>
          <w:color w:val="231F20"/>
          <w:spacing w:val="-2"/>
          <w:vertAlign w:val="baseline"/>
        </w:rPr>
        <w:t>updates</w:t>
      </w:r>
    </w:p>
    <w:p>
      <w:pPr>
        <w:pStyle w:val="BodyText"/>
        <w:spacing w:line="213" w:lineRule="auto" w:before="11"/>
        <w:ind w:left="2951" w:right="488"/>
      </w:pPr>
      <w:r>
        <w:rPr>
          <w:color w:val="231F20"/>
        </w:rPr>
        <w:t>The </w:t>
      </w:r>
      <w:r>
        <w:rPr>
          <w:rFonts w:ascii="Book Antiqua" w:hAnsi="Book Antiqua"/>
          <w:b/>
          <w:color w:val="231F20"/>
        </w:rPr>
        <w:t>Apply pending updates tool </w:t>
      </w:r>
      <w:r>
        <w:rPr>
          <w:color w:val="231F20"/>
        </w:rPr>
        <w:t>updates the Navigator tree with the</w:t>
      </w:r>
      <w:r>
        <w:rPr>
          <w:color w:val="231F20"/>
          <w:spacing w:val="40"/>
        </w:rPr>
        <w:t> </w:t>
      </w:r>
      <w:r>
        <w:rPr>
          <w:color w:val="231F20"/>
        </w:rPr>
        <w:t>correct status of agents, in response to the count of agents that have been removed from or added to the Tivoli Enterprise Monitoring Server. The counter</w:t>
      </w:r>
      <w:r>
        <w:rPr>
          <w:color w:val="231F20"/>
          <w:spacing w:val="25"/>
        </w:rPr>
        <w:t> </w:t>
      </w:r>
      <w:r>
        <w:rPr>
          <w:color w:val="231F20"/>
        </w:rPr>
        <w:t>is</w:t>
      </w:r>
      <w:r>
        <w:rPr>
          <w:color w:val="231F20"/>
          <w:spacing w:val="25"/>
        </w:rPr>
        <w:t> </w:t>
      </w:r>
      <w:r>
        <w:rPr>
          <w:color w:val="231F20"/>
        </w:rPr>
        <w:t>displayed</w:t>
      </w:r>
      <w:r>
        <w:rPr>
          <w:color w:val="231F20"/>
          <w:spacing w:val="25"/>
        </w:rPr>
        <w:t> </w:t>
      </w:r>
      <w:r>
        <w:rPr>
          <w:color w:val="231F20"/>
        </w:rPr>
        <w:t>next</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tool</w:t>
      </w:r>
      <w:r>
        <w:rPr>
          <w:color w:val="231F20"/>
          <w:spacing w:val="25"/>
        </w:rPr>
        <w:t> </w:t>
      </w:r>
      <w:r>
        <w:rPr>
          <w:color w:val="231F20"/>
        </w:rPr>
        <w:t>and</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status</w:t>
      </w:r>
      <w:r>
        <w:rPr>
          <w:color w:val="231F20"/>
          <w:spacing w:val="25"/>
        </w:rPr>
        <w:t> </w:t>
      </w:r>
      <w:r>
        <w:rPr>
          <w:color w:val="231F20"/>
        </w:rPr>
        <w:t>bar.</w:t>
      </w:r>
      <w:r>
        <w:rPr>
          <w:color w:val="231F20"/>
          <w:spacing w:val="25"/>
        </w:rPr>
        <w:t> </w:t>
      </w:r>
      <w:r>
        <w:rPr>
          <w:color w:val="231F20"/>
        </w:rPr>
        <w:t>Refresh</w:t>
      </w:r>
      <w:r>
        <w:rPr>
          <w:color w:val="231F20"/>
          <w:spacing w:val="25"/>
        </w:rPr>
        <w:t> </w:t>
      </w:r>
      <w:r>
        <w:rPr>
          <w:color w:val="231F20"/>
        </w:rPr>
        <w:t>is enabled when the Navigator view has been edited, such as a new item has been added, so that you can update the view with the changes. This tool </w:t>
      </w:r>
      <w:r>
        <w:rPr>
          <w:color w:val="231F20"/>
        </w:rPr>
        <w:t>is dimmed</w:t>
      </w:r>
      <w:r>
        <w:rPr>
          <w:color w:val="231F20"/>
          <w:spacing w:val="30"/>
        </w:rPr>
        <w:t> </w:t>
      </w:r>
      <w:r>
        <w:rPr>
          <w:color w:val="231F20"/>
        </w:rPr>
        <w:t>when</w:t>
      </w:r>
      <w:r>
        <w:rPr>
          <w:color w:val="231F20"/>
          <w:spacing w:val="30"/>
        </w:rPr>
        <w:t> </w:t>
      </w:r>
      <w:r>
        <w:rPr>
          <w:color w:val="231F20"/>
        </w:rPr>
        <w:t>no</w:t>
      </w:r>
      <w:r>
        <w:rPr>
          <w:color w:val="231F20"/>
          <w:spacing w:val="30"/>
        </w:rPr>
        <w:t> </w:t>
      </w:r>
      <w:r>
        <w:rPr>
          <w:color w:val="231F20"/>
        </w:rPr>
        <w:t>updates</w:t>
      </w:r>
      <w:r>
        <w:rPr>
          <w:color w:val="231F20"/>
          <w:spacing w:val="30"/>
        </w:rPr>
        <w:t> </w:t>
      </w:r>
      <w:r>
        <w:rPr>
          <w:color w:val="231F20"/>
        </w:rPr>
        <w:t>are</w:t>
      </w:r>
      <w:r>
        <w:rPr>
          <w:color w:val="231F20"/>
          <w:spacing w:val="30"/>
        </w:rPr>
        <w:t> </w:t>
      </w:r>
      <w:r>
        <w:rPr>
          <w:color w:val="231F20"/>
        </w:rPr>
        <w:t>required.</w:t>
      </w:r>
      <w:r>
        <w:rPr>
          <w:color w:val="231F20"/>
          <w:spacing w:val="30"/>
        </w:rPr>
        <w:t> </w:t>
      </w:r>
      <w:r>
        <w:rPr>
          <w:color w:val="231F20"/>
        </w:rPr>
        <w:t>(See</w:t>
      </w:r>
      <w:r>
        <w:rPr>
          <w:color w:val="231F20"/>
          <w:spacing w:val="30"/>
        </w:rPr>
        <w:t> </w:t>
      </w:r>
      <w:hyperlink w:history="true" w:anchor="_bookmark19">
        <w:r>
          <w:rPr>
            <w:color w:val="231F20"/>
          </w:rPr>
          <w:t>“Refreshing</w:t>
        </w:r>
        <w:r>
          <w:rPr>
            <w:color w:val="231F20"/>
            <w:spacing w:val="30"/>
          </w:rPr>
          <w:t> </w:t>
        </w:r>
        <w:r>
          <w:rPr>
            <w:color w:val="231F20"/>
          </w:rPr>
          <w:t>the</w:t>
        </w:r>
        <w:r>
          <w:rPr>
            <w:color w:val="231F20"/>
            <w:spacing w:val="30"/>
          </w:rPr>
          <w:t> </w:t>
        </w:r>
        <w:r>
          <w:rPr>
            <w:color w:val="231F20"/>
          </w:rPr>
          <w:t>Navigator”</w:t>
        </w:r>
      </w:hyperlink>
      <w:r>
        <w:rPr>
          <w:color w:val="231F20"/>
        </w:rPr>
        <w:t> </w:t>
      </w:r>
      <w:hyperlink w:history="true" w:anchor="_bookmark19">
        <w:r>
          <w:rPr>
            <w:color w:val="231F20"/>
          </w:rPr>
          <w:t>on page 29.)</w:t>
        </w:r>
      </w:hyperlink>
    </w:p>
    <w:p>
      <w:pPr>
        <w:pStyle w:val="Heading6"/>
        <w:spacing w:before="113"/>
        <w:ind w:left="2442"/>
      </w:pPr>
      <w:r>
        <w:rPr/>
        <w:drawing>
          <wp:anchor distT="0" distB="0" distL="0" distR="0" allowOverlap="1" layoutInCell="1" locked="0" behindDoc="0" simplePos="0" relativeHeight="15763456">
            <wp:simplePos x="0" y="0"/>
            <wp:positionH relativeFrom="page">
              <wp:posOffset>2052863</wp:posOffset>
            </wp:positionH>
            <wp:positionV relativeFrom="paragraph">
              <wp:posOffset>105837</wp:posOffset>
            </wp:positionV>
            <wp:extent cx="101600" cy="101600"/>
            <wp:effectExtent l="0" t="0" r="0" b="0"/>
            <wp:wrapNone/>
            <wp:docPr id="243" name="Image 243"/>
            <wp:cNvGraphicFramePr>
              <a:graphicFrameLocks/>
            </wp:cNvGraphicFramePr>
            <a:graphic>
              <a:graphicData uri="http://schemas.openxmlformats.org/drawingml/2006/picture">
                <pic:pic>
                  <pic:nvPicPr>
                    <pic:cNvPr id="243" name="Image 243"/>
                    <pic:cNvPicPr/>
                  </pic:nvPicPr>
                  <pic:blipFill>
                    <a:blip r:embed="rId106" cstate="print"/>
                    <a:stretch>
                      <a:fillRect/>
                    </a:stretch>
                  </pic:blipFill>
                  <pic:spPr>
                    <a:xfrm>
                      <a:off x="0" y="0"/>
                      <a:ext cx="101600" cy="101600"/>
                    </a:xfrm>
                    <a:prstGeom prst="rect">
                      <a:avLst/>
                    </a:prstGeom>
                  </pic:spPr>
                </pic:pic>
              </a:graphicData>
            </a:graphic>
          </wp:anchor>
        </w:drawing>
      </w:r>
      <w:r>
        <w:rPr>
          <w:color w:val="231F20"/>
          <w:vertAlign w:val="superscript"/>
        </w:rPr>
        <w:t>6</w:t>
      </w:r>
      <w:r>
        <w:rPr>
          <w:color w:val="231F20"/>
          <w:spacing w:val="9"/>
          <w:vertAlign w:val="baseline"/>
        </w:rPr>
        <w:t> </w:t>
      </w:r>
      <w:r>
        <w:rPr>
          <w:color w:val="231F20"/>
          <w:vertAlign w:val="baseline"/>
        </w:rPr>
        <w:t>Application</w:t>
      </w:r>
      <w:r>
        <w:rPr>
          <w:color w:val="231F20"/>
          <w:spacing w:val="10"/>
          <w:vertAlign w:val="baseline"/>
        </w:rPr>
        <w:t> </w:t>
      </w:r>
      <w:r>
        <w:rPr>
          <w:color w:val="231F20"/>
          <w:vertAlign w:val="baseline"/>
        </w:rPr>
        <w:t>support</w:t>
      </w:r>
      <w:r>
        <w:rPr>
          <w:color w:val="231F20"/>
          <w:spacing w:val="10"/>
          <w:vertAlign w:val="baseline"/>
        </w:rPr>
        <w:t> </w:t>
      </w:r>
      <w:r>
        <w:rPr>
          <w:color w:val="231F20"/>
          <w:spacing w:val="-2"/>
          <w:vertAlign w:val="baseline"/>
        </w:rPr>
        <w:t>event</w:t>
      </w:r>
    </w:p>
    <w:p>
      <w:pPr>
        <w:pStyle w:val="BodyText"/>
        <w:spacing w:line="213" w:lineRule="auto" w:before="12"/>
        <w:ind w:left="2951" w:right="545"/>
      </w:pPr>
      <w:r>
        <w:rPr>
          <w:color w:val="231F20"/>
        </w:rPr>
        <w:t>After you start the Tivoli Enterprise Portal, the application support </w:t>
      </w:r>
      <w:r>
        <w:rPr>
          <w:color w:val="231F20"/>
        </w:rPr>
        <w:t>version is read from the portal client and the portal server. Any discrepancies in</w:t>
      </w:r>
    </w:p>
    <w:p>
      <w:pPr>
        <w:spacing w:after="0" w:line="213" w:lineRule="auto"/>
        <w:sectPr>
          <w:pgSz w:w="12240" w:h="15840"/>
          <w:pgMar w:header="0" w:footer="736" w:top="1180" w:bottom="920" w:left="1000" w:right="1060"/>
        </w:sectPr>
      </w:pPr>
    </w:p>
    <w:p>
      <w:pPr>
        <w:pStyle w:val="BodyText"/>
        <w:spacing w:line="213" w:lineRule="auto" w:before="85"/>
        <w:ind w:left="3190" w:right="385"/>
      </w:pPr>
      <w:bookmarkStart w:name="_bookmark15" w:id="37"/>
      <w:bookmarkEnd w:id="37"/>
      <w:r>
        <w:rPr/>
      </w:r>
      <w:r>
        <w:rPr>
          <w:color w:val="231F20"/>
        </w:rPr>
        <w:t>versions between client and server are noted in the Application Support Mismatch list. (See </w:t>
      </w:r>
      <w:hyperlink w:history="true" w:anchor="_bookmark20">
        <w:r>
          <w:rPr>
            <w:color w:val="231F20"/>
          </w:rPr>
          <w:t>“Responding to an application support event” on </w:t>
        </w:r>
        <w:r>
          <w:rPr>
            <w:color w:val="231F20"/>
          </w:rPr>
          <w:t>page</w:t>
        </w:r>
      </w:hyperlink>
      <w:r>
        <w:rPr>
          <w:color w:val="231F20"/>
        </w:rPr>
        <w:t> </w:t>
      </w:r>
      <w:hyperlink w:history="true" w:anchor="_bookmark20">
        <w:r>
          <w:rPr>
            <w:color w:val="231F20"/>
            <w:spacing w:val="-4"/>
          </w:rPr>
          <w:t>30.)</w:t>
        </w:r>
      </w:hyperlink>
    </w:p>
    <w:p>
      <w:pPr>
        <w:pStyle w:val="Heading6"/>
        <w:spacing w:before="116"/>
      </w:pPr>
      <w:r>
        <w:rPr>
          <w:b w:val="0"/>
          <w:position w:val="-1"/>
        </w:rPr>
        <w:drawing>
          <wp:inline distT="0" distB="0" distL="0" distR="0">
            <wp:extent cx="101600" cy="101600"/>
            <wp:effectExtent l="0" t="0" r="0" b="0"/>
            <wp:docPr id="246" name="Image 246"/>
            <wp:cNvGraphicFramePr>
              <a:graphicFrameLocks/>
            </wp:cNvGraphicFramePr>
            <a:graphic>
              <a:graphicData uri="http://schemas.openxmlformats.org/drawingml/2006/picture">
                <pic:pic>
                  <pic:nvPicPr>
                    <pic:cNvPr id="246" name="Image 246"/>
                    <pic:cNvPicPr/>
                  </pic:nvPicPr>
                  <pic:blipFill>
                    <a:blip r:embed="rId10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80"/>
        </w:rPr>
        <w:t> </w:t>
      </w:r>
      <w:r>
        <w:rPr>
          <w:color w:val="231F20"/>
        </w:rPr>
        <w:t>Find</w:t>
      </w:r>
      <w:r>
        <w:rPr>
          <w:color w:val="231F20"/>
          <w:spacing w:val="32"/>
        </w:rPr>
        <w:t> </w:t>
      </w:r>
      <w:r>
        <w:rPr>
          <w:color w:val="231F20"/>
        </w:rPr>
        <w:t>Navigator</w:t>
      </w:r>
      <w:r>
        <w:rPr>
          <w:color w:val="231F20"/>
          <w:spacing w:val="32"/>
        </w:rPr>
        <w:t> </w:t>
      </w:r>
      <w:r>
        <w:rPr>
          <w:color w:val="231F20"/>
        </w:rPr>
        <w:t>item</w:t>
      </w:r>
    </w:p>
    <w:p>
      <w:pPr>
        <w:pStyle w:val="BodyText"/>
        <w:spacing w:line="213" w:lineRule="auto" w:before="11"/>
        <w:ind w:left="3190" w:right="385"/>
      </w:pPr>
      <w:r>
        <w:rPr>
          <w:color w:val="231F20"/>
        </w:rPr>
        <w:t>Use </w:t>
      </w:r>
      <w:r>
        <w:rPr>
          <w:color w:val="231F20"/>
          <w:spacing w:val="16"/>
          <w:position w:val="-1"/>
        </w:rPr>
        <w:drawing>
          <wp:inline distT="0" distB="0" distL="0" distR="0">
            <wp:extent cx="101600" cy="101600"/>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Find </w:t>
      </w:r>
      <w:r>
        <w:rPr>
          <w:color w:val="231F20"/>
        </w:rPr>
        <w:t>in the Navigator toolbar to look for a Navigator item by such criteria as managed system name or associated situation name. When the search has completed, any items that match the criteria are listed in the </w:t>
      </w:r>
      <w:r>
        <w:rPr>
          <w:rFonts w:ascii="Book Antiqua"/>
          <w:b/>
          <w:color w:val="231F20"/>
        </w:rPr>
        <w:t>Find results </w:t>
      </w:r>
      <w:r>
        <w:rPr>
          <w:color w:val="231F20"/>
        </w:rPr>
        <w:t>table where you can switch to the default workspace for a found item or open it in a new window.</w:t>
      </w:r>
    </w:p>
    <w:p>
      <w:pPr>
        <w:pStyle w:val="Heading6"/>
        <w:spacing w:before="116"/>
        <w:ind w:left="2482"/>
      </w:pPr>
      <w:r>
        <w:rPr>
          <w:b w:val="0"/>
          <w:position w:val="-1"/>
        </w:rPr>
        <w:drawing>
          <wp:inline distT="0" distB="0" distL="0" distR="0">
            <wp:extent cx="95250" cy="101600"/>
            <wp:effectExtent l="0" t="0" r="0" b="0"/>
            <wp:docPr id="248" name="Image 248"/>
            <wp:cNvGraphicFramePr>
              <a:graphicFrameLocks/>
            </wp:cNvGraphicFramePr>
            <a:graphic>
              <a:graphicData uri="http://schemas.openxmlformats.org/drawingml/2006/picture">
                <pic:pic>
                  <pic:nvPicPr>
                    <pic:cNvPr id="248" name="Image 248"/>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2"/>
        </w:rPr>
        <w:t> </w:t>
      </w:r>
      <w:r>
        <w:rPr>
          <w:color w:val="231F20"/>
        </w:rPr>
        <w:t>Edit</w:t>
      </w:r>
      <w:r>
        <w:rPr>
          <w:color w:val="231F20"/>
          <w:spacing w:val="14"/>
        </w:rPr>
        <w:t> </w:t>
      </w:r>
      <w:r>
        <w:rPr>
          <w:color w:val="231F20"/>
        </w:rPr>
        <w:t>navigator</w:t>
      </w:r>
      <w:r>
        <w:rPr>
          <w:color w:val="231F20"/>
          <w:spacing w:val="14"/>
        </w:rPr>
        <w:t> </w:t>
      </w:r>
      <w:r>
        <w:rPr>
          <w:color w:val="231F20"/>
        </w:rPr>
        <w:t>view</w:t>
      </w:r>
    </w:p>
    <w:p>
      <w:pPr>
        <w:pStyle w:val="BodyText"/>
        <w:spacing w:line="213" w:lineRule="auto" w:before="11"/>
        <w:ind w:left="3190" w:right="545"/>
      </w:pPr>
      <w:r>
        <w:rPr>
          <w:color w:val="231F20"/>
        </w:rPr>
        <w:t>Opens the Navigator editor for creating, deleting, and </w:t>
      </w:r>
      <w:r>
        <w:rPr>
          <w:color w:val="231F20"/>
        </w:rPr>
        <w:t>modifying Navigator views. (See </w:t>
      </w:r>
      <w:hyperlink w:history="true" w:anchor="_bookmark167">
        <w:r>
          <w:rPr>
            <w:color w:val="231F20"/>
          </w:rPr>
          <w:t>Chapter 9, “Navigator views for logical</w:t>
        </w:r>
      </w:hyperlink>
      <w:r>
        <w:rPr>
          <w:color w:val="231F20"/>
        </w:rPr>
        <w:t> </w:t>
      </w:r>
      <w:hyperlink w:history="true" w:anchor="_bookmark167">
        <w:r>
          <w:rPr>
            <w:color w:val="231F20"/>
          </w:rPr>
          <w:t>organization,” on page 233.)</w:t>
        </w:r>
      </w:hyperlink>
    </w:p>
    <w:p>
      <w:pPr>
        <w:pStyle w:val="BodyText"/>
        <w:spacing w:line="213" w:lineRule="auto" w:before="118"/>
        <w:ind w:left="3190" w:right="545"/>
      </w:pPr>
      <w:r>
        <w:rPr>
          <w:color w:val="231F20"/>
        </w:rPr>
        <w:t>If the tool is disabled (dimmed), your user ID does not have </w:t>
      </w:r>
      <w:r>
        <w:rPr>
          <w:color w:val="231F20"/>
        </w:rPr>
        <w:t>Modify permission for Custom Navigator Views.</w:t>
      </w:r>
    </w:p>
    <w:p>
      <w:pPr>
        <w:pStyle w:val="BodyText"/>
        <w:spacing w:line="213" w:lineRule="auto" w:before="118"/>
        <w:ind w:left="3190" w:right="488"/>
      </w:pPr>
      <w:r>
        <w:rPr/>
        <w:drawing>
          <wp:anchor distT="0" distB="0" distL="0" distR="0" allowOverlap="1" layoutInCell="1" locked="0" behindDoc="0" simplePos="0" relativeHeight="15764480">
            <wp:simplePos x="0" y="0"/>
            <wp:positionH relativeFrom="page">
              <wp:posOffset>2204928</wp:posOffset>
            </wp:positionH>
            <wp:positionV relativeFrom="paragraph">
              <wp:posOffset>108055</wp:posOffset>
            </wp:positionV>
            <wp:extent cx="101600" cy="101600"/>
            <wp:effectExtent l="0" t="0" r="0" b="0"/>
            <wp:wrapNone/>
            <wp:docPr id="249" name="Image 249"/>
            <wp:cNvGraphicFramePr>
              <a:graphicFrameLocks/>
            </wp:cNvGraphicFramePr>
            <a:graphic>
              <a:graphicData uri="http://schemas.openxmlformats.org/drawingml/2006/picture">
                <pic:pic>
                  <pic:nvPicPr>
                    <pic:cNvPr id="249" name="Image 249"/>
                    <pic:cNvPicPr/>
                  </pic:nvPicPr>
                  <pic:blipFill>
                    <a:blip r:embed="rId75" cstate="print"/>
                    <a:stretch>
                      <a:fillRect/>
                    </a:stretch>
                  </pic:blipFill>
                  <pic:spPr>
                    <a:xfrm>
                      <a:off x="0" y="0"/>
                      <a:ext cx="101600" cy="101600"/>
                    </a:xfrm>
                    <a:prstGeom prst="rect">
                      <a:avLst/>
                    </a:prstGeom>
                  </pic:spPr>
                </pic:pic>
              </a:graphicData>
            </a:graphic>
          </wp:anchor>
        </w:drawing>
      </w:r>
      <w:r>
        <w:rPr>
          <w:color w:val="231F20"/>
        </w:rPr>
        <w:t>Opens a list that you can select a Navigator view from. The views</w:t>
      </w:r>
      <w:r>
        <w:rPr>
          <w:color w:val="231F20"/>
          <w:spacing w:val="40"/>
        </w:rPr>
        <w:t> </w:t>
      </w:r>
      <w:r>
        <w:rPr>
          <w:color w:val="231F20"/>
        </w:rPr>
        <w:t>available are those assigned to your user ID. When you select another Navigator view, a </w:t>
      </w:r>
      <w:r>
        <w:rPr>
          <w:color w:val="231F20"/>
          <w:spacing w:val="16"/>
          <w:position w:val="-1"/>
        </w:rPr>
        <w:drawing>
          <wp:inline distT="0" distB="0" distL="0" distR="0">
            <wp:extent cx="101600" cy="88900"/>
            <wp:effectExtent l="0" t="0" r="0" b="0"/>
            <wp:docPr id="250" name="Image 250"/>
            <wp:cNvGraphicFramePr>
              <a:graphicFrameLocks/>
            </wp:cNvGraphicFramePr>
            <a:graphic>
              <a:graphicData uri="http://schemas.openxmlformats.org/drawingml/2006/picture">
                <pic:pic>
                  <pic:nvPicPr>
                    <pic:cNvPr id="250" name="Image 250"/>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hAnsi="Times New Roman"/>
          <w:color w:val="231F20"/>
          <w:spacing w:val="16"/>
        </w:rPr>
        <w:t> </w:t>
      </w:r>
      <w:r>
        <w:rPr>
          <w:color w:val="231F20"/>
        </w:rPr>
        <w:t>tab is added to the bottom of the Navigator so you</w:t>
      </w:r>
      <w:r>
        <w:rPr>
          <w:color w:val="231F20"/>
          <w:spacing w:val="40"/>
        </w:rPr>
        <w:t> </w:t>
      </w:r>
      <w:r>
        <w:rPr>
          <w:color w:val="231F20"/>
        </w:rPr>
        <w:t>can quickly switch among the views by clicking the tab. (See </w:t>
      </w:r>
      <w:hyperlink w:history="true" w:anchor="_bookmark18">
        <w:r>
          <w:rPr>
            <w:color w:val="231F20"/>
          </w:rPr>
          <w:t>“Opening </w:t>
        </w:r>
        <w:r>
          <w:rPr>
            <w:color w:val="231F20"/>
          </w:rPr>
          <w:t>a</w:t>
        </w:r>
      </w:hyperlink>
      <w:r>
        <w:rPr>
          <w:color w:val="231F20"/>
        </w:rPr>
        <w:t> </w:t>
      </w:r>
      <w:hyperlink w:history="true" w:anchor="_bookmark18">
        <w:r>
          <w:rPr>
            <w:color w:val="231F20"/>
          </w:rPr>
          <w:t>Navigator view” on page 28.)</w:t>
        </w:r>
      </w:hyperlink>
    </w:p>
    <w:p>
      <w:pPr>
        <w:pStyle w:val="BodyText"/>
        <w:spacing w:before="153"/>
        <w:ind w:left="3190"/>
      </w:pPr>
      <w:r>
        <w:rPr/>
        <w:drawing>
          <wp:anchor distT="0" distB="0" distL="0" distR="0" allowOverlap="1" layoutInCell="1" locked="0" behindDoc="0" simplePos="0" relativeHeight="15764992">
            <wp:simplePos x="0" y="0"/>
            <wp:positionH relativeFrom="page">
              <wp:posOffset>2204928</wp:posOffset>
            </wp:positionH>
            <wp:positionV relativeFrom="paragraph">
              <wp:posOffset>113287</wp:posOffset>
            </wp:positionV>
            <wp:extent cx="50800" cy="133350"/>
            <wp:effectExtent l="0" t="0" r="0" b="0"/>
            <wp:wrapNone/>
            <wp:docPr id="251" name="Image 251"/>
            <wp:cNvGraphicFramePr>
              <a:graphicFrameLocks/>
            </wp:cNvGraphicFramePr>
            <a:graphic>
              <a:graphicData uri="http://schemas.openxmlformats.org/drawingml/2006/picture">
                <pic:pic>
                  <pic:nvPicPr>
                    <pic:cNvPr id="251" name="Image 251"/>
                    <pic:cNvPicPr/>
                  </pic:nvPicPr>
                  <pic:blipFill>
                    <a:blip r:embed="rId76" cstate="print"/>
                    <a:stretch>
                      <a:fillRect/>
                    </a:stretch>
                  </pic:blipFill>
                  <pic:spPr>
                    <a:xfrm>
                      <a:off x="0" y="0"/>
                      <a:ext cx="50800" cy="133350"/>
                    </a:xfrm>
                    <a:prstGeom prst="rect">
                      <a:avLst/>
                    </a:prstGeom>
                  </pic:spPr>
                </pic:pic>
              </a:graphicData>
            </a:graphic>
          </wp:anchor>
        </w:drawing>
      </w:r>
      <w:r>
        <w:rPr>
          <w:color w:val="231F20"/>
        </w:rPr>
        <w:t>Minimizes</w:t>
      </w:r>
      <w:r>
        <w:rPr>
          <w:color w:val="231F20"/>
          <w:spacing w:val="10"/>
        </w:rPr>
        <w:t> </w:t>
      </w:r>
      <w:r>
        <w:rPr>
          <w:color w:val="231F20"/>
        </w:rPr>
        <w:t>the</w:t>
      </w:r>
      <w:r>
        <w:rPr>
          <w:color w:val="231F20"/>
          <w:spacing w:val="10"/>
        </w:rPr>
        <w:t> </w:t>
      </w:r>
      <w:r>
        <w:rPr>
          <w:color w:val="231F20"/>
        </w:rPr>
        <w:t>Navigator</w:t>
      </w:r>
      <w:r>
        <w:rPr>
          <w:color w:val="231F20"/>
          <w:spacing w:val="10"/>
        </w:rPr>
        <w:t> </w:t>
      </w:r>
      <w:r>
        <w:rPr>
          <w:color w:val="231F20"/>
        </w:rPr>
        <w:t>and</w:t>
      </w:r>
      <w:r>
        <w:rPr>
          <w:color w:val="231F20"/>
          <w:spacing w:val="10"/>
        </w:rPr>
        <w:t> </w:t>
      </w:r>
      <w:r>
        <w:rPr>
          <w:color w:val="231F20"/>
        </w:rPr>
        <w:t>expands</w:t>
      </w:r>
      <w:r>
        <w:rPr>
          <w:color w:val="231F20"/>
          <w:spacing w:val="10"/>
        </w:rPr>
        <w:t> </w:t>
      </w:r>
      <w:r>
        <w:rPr>
          <w:color w:val="231F20"/>
        </w:rPr>
        <w:t>the</w:t>
      </w:r>
      <w:r>
        <w:rPr>
          <w:color w:val="231F20"/>
          <w:spacing w:val="10"/>
        </w:rPr>
        <w:t> </w:t>
      </w:r>
      <w:r>
        <w:rPr>
          <w:color w:val="231F20"/>
        </w:rPr>
        <w:t>adjacent</w:t>
      </w:r>
      <w:r>
        <w:rPr>
          <w:color w:val="231F20"/>
          <w:spacing w:val="10"/>
        </w:rPr>
        <w:t> </w:t>
      </w:r>
      <w:r>
        <w:rPr>
          <w:color w:val="231F20"/>
        </w:rPr>
        <w:t>workspace</w:t>
      </w:r>
      <w:r>
        <w:rPr>
          <w:color w:val="231F20"/>
          <w:spacing w:val="11"/>
        </w:rPr>
        <w:t> </w:t>
      </w:r>
      <w:r>
        <w:rPr>
          <w:color w:val="231F20"/>
        </w:rPr>
        <w:t>views</w:t>
      </w:r>
      <w:r>
        <w:rPr>
          <w:color w:val="231F20"/>
          <w:spacing w:val="10"/>
        </w:rPr>
        <w:t> </w:t>
      </w:r>
      <w:r>
        <w:rPr>
          <w:color w:val="231F20"/>
        </w:rPr>
        <w:t>to</w:t>
      </w:r>
      <w:r>
        <w:rPr>
          <w:color w:val="231F20"/>
          <w:spacing w:val="10"/>
        </w:rPr>
        <w:t> </w:t>
      </w:r>
      <w:r>
        <w:rPr>
          <w:color w:val="231F20"/>
          <w:spacing w:val="-4"/>
        </w:rPr>
        <w:t>fill</w:t>
      </w:r>
    </w:p>
    <w:p>
      <w:pPr>
        <w:pStyle w:val="BodyText"/>
        <w:spacing w:line="213" w:lineRule="auto" w:before="53"/>
        <w:ind w:left="3190" w:right="385"/>
      </w:pPr>
      <w:r>
        <w:rPr>
          <w:color w:val="231F20"/>
        </w:rPr>
        <w:t>the gap. Click </w:t>
      </w:r>
      <w:r>
        <w:rPr>
          <w:color w:val="231F20"/>
          <w:spacing w:val="16"/>
          <w:position w:val="-1"/>
        </w:rPr>
        <w:drawing>
          <wp:inline distT="0" distB="0" distL="0" distR="0">
            <wp:extent cx="50800" cy="133350"/>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77" cstate="print"/>
                    <a:stretch>
                      <a:fillRect/>
                    </a:stretch>
                  </pic:blipFill>
                  <pic:spPr>
                    <a:xfrm>
                      <a:off x="0" y="0"/>
                      <a:ext cx="50800" cy="13335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to restore its original size. You can also click </w:t>
      </w:r>
      <w:r>
        <w:rPr>
          <w:color w:val="231F20"/>
          <w:spacing w:val="15"/>
          <w:position w:val="-1"/>
        </w:rPr>
        <w:drawing>
          <wp:inline distT="0" distB="0" distL="0" distR="0">
            <wp:extent cx="101600" cy="88900"/>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i/>
          <w:color w:val="231F20"/>
        </w:rPr>
        <w:t>&lt;Navigator</w:t>
      </w:r>
      <w:r>
        <w:rPr>
          <w:rFonts w:ascii="Book Antiqua"/>
          <w:i/>
          <w:color w:val="231F20"/>
        </w:rPr>
        <w:t> name&gt; </w:t>
      </w:r>
      <w:r>
        <w:rPr>
          <w:color w:val="231F20"/>
        </w:rPr>
        <w:t>in the right-most section of the status bar to restore the Navigator view; or right-click it to see a list of Navigator views to select from.</w:t>
      </w:r>
    </w:p>
    <w:p>
      <w:pPr>
        <w:pStyle w:val="BodyText"/>
        <w:spacing w:line="213" w:lineRule="auto" w:before="118"/>
        <w:ind w:left="3190" w:right="493"/>
      </w:pPr>
      <w:r>
        <w:rPr/>
        <w:drawing>
          <wp:anchor distT="0" distB="0" distL="0" distR="0" allowOverlap="1" layoutInCell="1" locked="0" behindDoc="0" simplePos="0" relativeHeight="15765504">
            <wp:simplePos x="0" y="0"/>
            <wp:positionH relativeFrom="page">
              <wp:posOffset>2217628</wp:posOffset>
            </wp:positionH>
            <wp:positionV relativeFrom="paragraph">
              <wp:posOffset>120419</wp:posOffset>
            </wp:positionV>
            <wp:extent cx="88900" cy="88900"/>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65" cstate="print"/>
                    <a:stretch>
                      <a:fillRect/>
                    </a:stretch>
                  </pic:blipFill>
                  <pic:spPr>
                    <a:xfrm>
                      <a:off x="0" y="0"/>
                      <a:ext cx="88900" cy="88900"/>
                    </a:xfrm>
                    <a:prstGeom prst="rect">
                      <a:avLst/>
                    </a:prstGeom>
                  </pic:spPr>
                </pic:pic>
              </a:graphicData>
            </a:graphic>
          </wp:anchor>
        </w:drawing>
      </w:r>
      <w:r>
        <w:rPr>
          <w:color w:val="231F20"/>
        </w:rPr>
        <w:t>Splits the Navigator horizontally to create a new workspace view. </w:t>
      </w:r>
      <w:r>
        <w:rPr>
          <w:color w:val="231F20"/>
        </w:rPr>
        <w:t>(See </w:t>
      </w:r>
      <w:hyperlink w:history="true" w:anchor="_bookmark63">
        <w:r>
          <w:rPr>
            <w:color w:val="231F20"/>
          </w:rPr>
          <w:t>Chapter 6, “Customizing workspace views,” on page 83.)</w:t>
        </w:r>
      </w:hyperlink>
    </w:p>
    <w:p>
      <w:pPr>
        <w:pStyle w:val="BodyText"/>
        <w:spacing w:line="213" w:lineRule="auto" w:before="118"/>
        <w:ind w:left="3190" w:right="545"/>
      </w:pPr>
      <w:r>
        <w:rPr>
          <w:color w:val="231F20"/>
        </w:rPr>
        <w:t>If the tool is disabled your user ID does not have Author </w:t>
      </w:r>
      <w:r>
        <w:rPr>
          <w:color w:val="231F20"/>
        </w:rPr>
        <w:t>Mode </w:t>
      </w:r>
      <w:r>
        <w:rPr>
          <w:color w:val="231F20"/>
          <w:spacing w:val="-2"/>
        </w:rPr>
        <w:t>permission.</w:t>
      </w:r>
    </w:p>
    <w:p>
      <w:pPr>
        <w:pStyle w:val="BodyText"/>
        <w:spacing w:line="213" w:lineRule="auto" w:before="118"/>
        <w:ind w:left="3190" w:right="545"/>
      </w:pPr>
      <w:r>
        <w:rPr/>
        <w:drawing>
          <wp:anchor distT="0" distB="0" distL="0" distR="0" allowOverlap="1" layoutInCell="1" locked="0" behindDoc="0" simplePos="0" relativeHeight="15766016">
            <wp:simplePos x="0" y="0"/>
            <wp:positionH relativeFrom="page">
              <wp:posOffset>2217628</wp:posOffset>
            </wp:positionH>
            <wp:positionV relativeFrom="paragraph">
              <wp:posOffset>120914</wp:posOffset>
            </wp:positionV>
            <wp:extent cx="88900" cy="88900"/>
            <wp:effectExtent l="0" t="0" r="0" b="0"/>
            <wp:wrapNone/>
            <wp:docPr id="255" name="Image 255"/>
            <wp:cNvGraphicFramePr>
              <a:graphicFrameLocks/>
            </wp:cNvGraphicFramePr>
            <a:graphic>
              <a:graphicData uri="http://schemas.openxmlformats.org/drawingml/2006/picture">
                <pic:pic>
                  <pic:nvPicPr>
                    <pic:cNvPr id="255" name="Image 255"/>
                    <pic:cNvPicPr/>
                  </pic:nvPicPr>
                  <pic:blipFill>
                    <a:blip r:embed="rId66" cstate="print"/>
                    <a:stretch>
                      <a:fillRect/>
                    </a:stretch>
                  </pic:blipFill>
                  <pic:spPr>
                    <a:xfrm>
                      <a:off x="0" y="0"/>
                      <a:ext cx="88900" cy="88900"/>
                    </a:xfrm>
                    <a:prstGeom prst="rect">
                      <a:avLst/>
                    </a:prstGeom>
                  </pic:spPr>
                </pic:pic>
              </a:graphicData>
            </a:graphic>
          </wp:anchor>
        </w:drawing>
      </w:r>
      <w:r>
        <w:rPr>
          <w:color w:val="231F20"/>
        </w:rPr>
        <w:t>Splits the Navigator vertically to create a new workspace view. </w:t>
      </w:r>
      <w:r>
        <w:rPr>
          <w:color w:val="231F20"/>
        </w:rPr>
        <w:t>(See </w:t>
      </w:r>
      <w:hyperlink w:history="true" w:anchor="_bookmark63">
        <w:r>
          <w:rPr>
            <w:color w:val="231F20"/>
          </w:rPr>
          <w:t>Chapter 6, “Customizing workspace views,” on page 83.)</w:t>
        </w:r>
      </w:hyperlink>
    </w:p>
    <w:p>
      <w:pPr>
        <w:pStyle w:val="BodyText"/>
        <w:spacing w:line="213" w:lineRule="auto" w:before="119"/>
        <w:ind w:left="3190" w:right="545"/>
      </w:pPr>
      <w:r>
        <w:rPr>
          <w:color w:val="231F20"/>
        </w:rPr>
        <w:t>If the tool is disabled your user ID does not have Author </w:t>
      </w:r>
      <w:r>
        <w:rPr>
          <w:color w:val="231F20"/>
        </w:rPr>
        <w:t>Mode </w:t>
      </w:r>
      <w:r>
        <w:rPr>
          <w:color w:val="231F20"/>
          <w:spacing w:val="-2"/>
        </w:rPr>
        <w:t>permission.</w:t>
      </w:r>
    </w:p>
    <w:p>
      <w:pPr>
        <w:pStyle w:val="BodyText"/>
        <w:spacing w:before="5"/>
        <w:rPr>
          <w:sz w:val="16"/>
        </w:rPr>
      </w:pPr>
      <w:r>
        <w:rPr/>
        <mc:AlternateContent>
          <mc:Choice Requires="wps">
            <w:drawing>
              <wp:anchor distT="0" distB="0" distL="0" distR="0" allowOverlap="1" layoutInCell="1" locked="0" behindDoc="1" simplePos="0" relativeHeight="487623168">
                <wp:simplePos x="0" y="0"/>
                <wp:positionH relativeFrom="page">
                  <wp:posOffset>912380</wp:posOffset>
                </wp:positionH>
                <wp:positionV relativeFrom="paragraph">
                  <wp:posOffset>155817</wp:posOffset>
                </wp:positionV>
                <wp:extent cx="6082665" cy="1270"/>
                <wp:effectExtent l="0" t="0" r="0" b="0"/>
                <wp:wrapTopAndBottom/>
                <wp:docPr id="256" name="Graphic 256"/>
                <wp:cNvGraphicFramePr>
                  <a:graphicFrameLocks/>
                </wp:cNvGraphicFramePr>
                <a:graphic>
                  <a:graphicData uri="http://schemas.microsoft.com/office/word/2010/wordprocessingShape">
                    <wps:wsp>
                      <wps:cNvPr id="256" name="Graphic 25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9118pt;width:478.95pt;height:.1pt;mso-position-horizontal-relative:page;mso-position-vertical-relative:paragraph;z-index:-15693312;mso-wrap-distance-left:0;mso-wrap-distance-right:0" id="docshape38"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Situation event indicators" w:id="38"/>
      <w:bookmarkEnd w:id="38"/>
      <w:r>
        <w:rPr>
          <w:b w:val="0"/>
        </w:rPr>
      </w:r>
      <w:r>
        <w:rPr>
          <w:color w:val="231F20"/>
        </w:rPr>
        <w:t>Situation</w:t>
      </w:r>
      <w:r>
        <w:rPr>
          <w:color w:val="231F20"/>
          <w:spacing w:val="5"/>
        </w:rPr>
        <w:t> </w:t>
      </w:r>
      <w:r>
        <w:rPr>
          <w:color w:val="231F20"/>
        </w:rPr>
        <w:t>event</w:t>
      </w:r>
      <w:r>
        <w:rPr>
          <w:color w:val="231F20"/>
          <w:spacing w:val="5"/>
        </w:rPr>
        <w:t> </w:t>
      </w:r>
      <w:r>
        <w:rPr>
          <w:color w:val="231F20"/>
          <w:spacing w:val="-2"/>
        </w:rPr>
        <w:t>indicators</w:t>
      </w:r>
    </w:p>
    <w:p>
      <w:pPr>
        <w:pStyle w:val="BodyText"/>
        <w:spacing w:line="213" w:lineRule="auto" w:before="138"/>
        <w:ind w:left="2472" w:right="385"/>
      </w:pPr>
      <w:r>
        <w:rPr>
          <w:color w:val="231F20"/>
        </w:rPr>
        <w:t>When you see a small colored icon overlay the Navigator icons, you are seeing </w:t>
      </w:r>
      <w:r>
        <w:rPr>
          <w:color w:val="231F20"/>
        </w:rPr>
        <w:t>an </w:t>
      </w:r>
      <w:r>
        <w:rPr>
          <w:rFonts w:ascii="Book Antiqua"/>
          <w:i/>
          <w:color w:val="231F20"/>
        </w:rPr>
        <w:t>event indicator </w:t>
      </w:r>
      <w:r>
        <w:rPr>
          <w:color w:val="231F20"/>
        </w:rPr>
        <w:t>. An event indicator is displayed when a situation (a test of certain conditions) running on a system becomes true.</w:t>
      </w:r>
    </w:p>
    <w:p>
      <w:pPr>
        <w:pStyle w:val="BodyText"/>
        <w:spacing w:line="480" w:lineRule="atLeast" w:before="5"/>
        <w:ind w:left="2472" w:right="545"/>
      </w:pPr>
      <w:r>
        <w:rPr>
          <w:color w:val="231F20"/>
        </w:rPr>
        <w:t>These indicators alert you that conditions have changed and need attention. Event</w:t>
      </w:r>
      <w:r>
        <w:rPr>
          <w:color w:val="231F20"/>
          <w:spacing w:val="14"/>
        </w:rPr>
        <w:t> </w:t>
      </w:r>
      <w:r>
        <w:rPr>
          <w:color w:val="231F20"/>
        </w:rPr>
        <w:t>indicators</w:t>
      </w:r>
      <w:r>
        <w:rPr>
          <w:color w:val="231F20"/>
          <w:spacing w:val="14"/>
        </w:rPr>
        <w:t> </w:t>
      </w:r>
      <w:r>
        <w:rPr>
          <w:color w:val="231F20"/>
        </w:rPr>
        <w:t>can</w:t>
      </w:r>
      <w:r>
        <w:rPr>
          <w:color w:val="231F20"/>
          <w:spacing w:val="14"/>
        </w:rPr>
        <w:t> </w:t>
      </w:r>
      <w:r>
        <w:rPr>
          <w:color w:val="231F20"/>
        </w:rPr>
        <w:t>be,</w:t>
      </w:r>
      <w:r>
        <w:rPr>
          <w:color w:val="231F20"/>
          <w:spacing w:val="14"/>
        </w:rPr>
        <w:t> </w:t>
      </w:r>
      <w:r>
        <w:rPr>
          <w:color w:val="231F20"/>
        </w:rPr>
        <w:t>from</w:t>
      </w:r>
      <w:r>
        <w:rPr>
          <w:color w:val="231F20"/>
          <w:spacing w:val="14"/>
        </w:rPr>
        <w:t> </w:t>
      </w:r>
      <w:r>
        <w:rPr>
          <w:color w:val="231F20"/>
        </w:rPr>
        <w:t>highest</w:t>
      </w:r>
      <w:r>
        <w:rPr>
          <w:color w:val="231F20"/>
          <w:spacing w:val="14"/>
        </w:rPr>
        <w:t> </w:t>
      </w:r>
      <w:r>
        <w:rPr>
          <w:color w:val="231F20"/>
        </w:rPr>
        <w:t>severity</w:t>
      </w:r>
      <w:r>
        <w:rPr>
          <w:color w:val="231F20"/>
          <w:spacing w:val="14"/>
        </w:rPr>
        <w:t> </w:t>
      </w:r>
      <w:r>
        <w:rPr>
          <w:color w:val="231F20"/>
        </w:rPr>
        <w:t>to</w:t>
      </w:r>
      <w:r>
        <w:rPr>
          <w:color w:val="231F20"/>
          <w:spacing w:val="14"/>
        </w:rPr>
        <w:t> </w:t>
      </w:r>
      <w:r>
        <w:rPr>
          <w:color w:val="231F20"/>
        </w:rPr>
        <w:t>lowest,</w:t>
      </w:r>
      <w:r>
        <w:rPr>
          <w:color w:val="231F20"/>
          <w:spacing w:val="13"/>
        </w:rPr>
        <w:t> </w:t>
      </w:r>
      <w:r>
        <w:rPr>
          <w:color w:val="231F20"/>
          <w:spacing w:val="15"/>
        </w:rPr>
        <w:drawing>
          <wp:inline distT="0" distB="0" distL="0" distR="0">
            <wp:extent cx="57150" cy="57150"/>
            <wp:effectExtent l="0" t="0" r="0" b="0"/>
            <wp:docPr id="257" name="Image 257"/>
            <wp:cNvGraphicFramePr>
              <a:graphicFrameLocks/>
            </wp:cNvGraphicFramePr>
            <a:graphic>
              <a:graphicData uri="http://schemas.openxmlformats.org/drawingml/2006/picture">
                <pic:pic>
                  <pic:nvPicPr>
                    <pic:cNvPr id="257" name="Image 257"/>
                    <pic:cNvPicPr/>
                  </pic:nvPicPr>
                  <pic:blipFill>
                    <a:blip r:embed="rId94"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40"/>
        </w:rPr>
        <w:t> </w:t>
      </w:r>
      <w:r>
        <w:rPr>
          <w:color w:val="231F20"/>
        </w:rPr>
        <w:t>Fatal,</w:t>
      </w:r>
      <w:r>
        <w:rPr>
          <w:color w:val="231F20"/>
          <w:spacing w:val="14"/>
        </w:rPr>
        <w:t> </w:t>
      </w:r>
      <w:r>
        <w:rPr>
          <w:color w:val="231F20"/>
          <w:spacing w:val="16"/>
        </w:rPr>
        <w:drawing>
          <wp:inline distT="0" distB="0" distL="0" distR="0">
            <wp:extent cx="57150" cy="57150"/>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40"/>
        </w:rPr>
        <w:t> </w:t>
      </w:r>
      <w:r>
        <w:rPr>
          <w:color w:val="231F20"/>
        </w:rPr>
        <w:t>Critical,</w:t>
      </w:r>
      <w:r>
        <w:rPr>
          <w:color w:val="231F20"/>
          <w:spacing w:val="14"/>
        </w:rPr>
        <w:t> </w:t>
      </w:r>
      <w:r>
        <w:rPr>
          <w:color w:val="231F20"/>
          <w:spacing w:val="16"/>
        </w:rPr>
        <w:drawing>
          <wp:inline distT="0" distB="0" distL="0" distR="0">
            <wp:extent cx="57150" cy="57150"/>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95" cstate="print"/>
                    <a:stretch>
                      <a:fillRect/>
                    </a:stretch>
                  </pic:blipFill>
                  <pic:spPr>
                    <a:xfrm>
                      <a:off x="0" y="0"/>
                      <a:ext cx="57150" cy="57150"/>
                    </a:xfrm>
                    <a:prstGeom prst="rect">
                      <a:avLst/>
                    </a:prstGeom>
                  </pic:spPr>
                </pic:pic>
              </a:graphicData>
            </a:graphic>
          </wp:inline>
        </w:drawing>
      </w:r>
      <w:r>
        <w:rPr>
          <w:color w:val="231F20"/>
          <w:spacing w:val="16"/>
        </w:rPr>
      </w:r>
    </w:p>
    <w:p>
      <w:pPr>
        <w:pStyle w:val="BodyText"/>
        <w:spacing w:line="213" w:lineRule="auto"/>
        <w:ind w:left="2472" w:right="379"/>
      </w:pPr>
      <w:r>
        <w:rPr>
          <w:color w:val="231F20"/>
        </w:rPr>
        <w:t>Minor, </w:t>
      </w:r>
      <w:r>
        <w:rPr>
          <w:color w:val="231F20"/>
          <w:spacing w:val="16"/>
        </w:rPr>
        <w:drawing>
          <wp:inline distT="0" distB="0" distL="0" distR="0">
            <wp:extent cx="57150" cy="57150"/>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40"/>
        </w:rPr>
        <w:t> </w:t>
      </w:r>
      <w:r>
        <w:rPr>
          <w:color w:val="231F20"/>
        </w:rPr>
        <w:t>Warning, </w:t>
      </w:r>
      <w:r>
        <w:rPr>
          <w:color w:val="231F20"/>
          <w:spacing w:val="16"/>
        </w:rPr>
        <w:drawing>
          <wp:inline distT="0" distB="0" distL="0" distR="0">
            <wp:extent cx="57150" cy="57150"/>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96"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40"/>
        </w:rPr>
        <w:t> </w:t>
      </w:r>
      <w:r>
        <w:rPr>
          <w:color w:val="231F20"/>
        </w:rPr>
        <w:t>Harmless, </w:t>
      </w:r>
      <w:r>
        <w:rPr>
          <w:color w:val="231F20"/>
          <w:spacing w:val="16"/>
        </w:rPr>
        <w:drawing>
          <wp:inline distT="0" distB="0" distL="0" distR="0">
            <wp:extent cx="57150" cy="57150"/>
            <wp:effectExtent l="0" t="0" r="0" b="0"/>
            <wp:docPr id="262" name="Image 262"/>
            <wp:cNvGraphicFramePr>
              <a:graphicFrameLocks/>
            </wp:cNvGraphicFramePr>
            <a:graphic>
              <a:graphicData uri="http://schemas.openxmlformats.org/drawingml/2006/picture">
                <pic:pic>
                  <pic:nvPicPr>
                    <pic:cNvPr id="262" name="Image 262"/>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40"/>
        </w:rPr>
        <w:t> </w:t>
      </w:r>
      <w:r>
        <w:rPr>
          <w:color w:val="231F20"/>
        </w:rPr>
        <w:t>Informational, or </w:t>
      </w:r>
      <w:r>
        <w:rPr>
          <w:color w:val="231F20"/>
          <w:spacing w:val="16"/>
        </w:rPr>
        <w:drawing>
          <wp:inline distT="0" distB="0" distL="0" distR="0">
            <wp:extent cx="57150" cy="57150"/>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97"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40"/>
        </w:rPr>
        <w:t> </w:t>
      </w:r>
      <w:r>
        <w:rPr>
          <w:color w:val="231F20"/>
        </w:rPr>
        <w:t>Unknown. As you move up the Navigator hierarchy, multiple events are consolidated to show only the</w:t>
      </w:r>
      <w:r>
        <w:rPr>
          <w:color w:val="231F20"/>
          <w:spacing w:val="40"/>
        </w:rPr>
        <w:t> </w:t>
      </w:r>
      <w:r>
        <w:rPr>
          <w:color w:val="231F20"/>
        </w:rPr>
        <w:t>indicator for the event with the highest severity. Go to the lowest level of the hierarchy to see individual event indicators over attribute groups with values that have met situation definitions.</w:t>
      </w:r>
    </w:p>
    <w:p>
      <w:pPr>
        <w:pStyle w:val="BodyText"/>
        <w:spacing w:line="213" w:lineRule="auto" w:before="227"/>
        <w:ind w:left="2472" w:right="545"/>
      </w:pPr>
      <w:r>
        <w:rPr>
          <w:color w:val="231F20"/>
        </w:rPr>
        <w:t>Move the mouse pointer over an indicator to open a flyover listing of the situations that are true for the Navigator item and any branching items. </w:t>
      </w:r>
      <w:r>
        <w:rPr>
          <w:color w:val="231F20"/>
        </w:rPr>
        <w:t>This flyover list might also show a status icon on the right:</w:t>
      </w:r>
    </w:p>
    <w:p>
      <w:pPr>
        <w:spacing w:after="0" w:line="213" w:lineRule="auto"/>
        <w:sectPr>
          <w:footerReference w:type="default" r:id="rId107"/>
          <w:footerReference w:type="even" r:id="rId108"/>
          <w:pgSz w:w="12240" w:h="15840"/>
          <w:pgMar w:header="0" w:footer="736" w:top="1180" w:bottom="920" w:left="1000" w:right="1060"/>
          <w:pgNumType w:start="23"/>
        </w:sectPr>
      </w:pPr>
    </w:p>
    <w:p>
      <w:pPr>
        <w:spacing w:line="231" w:lineRule="exact" w:before="47"/>
        <w:ind w:left="3777" w:right="0" w:firstLine="0"/>
        <w:jc w:val="left"/>
        <w:rPr>
          <w:sz w:val="18"/>
        </w:rPr>
      </w:pPr>
      <w:r>
        <w:rPr/>
        <w:drawing>
          <wp:anchor distT="0" distB="0" distL="0" distR="0" allowOverlap="1" layoutInCell="1" locked="0" behindDoc="0" simplePos="0" relativeHeight="15767552">
            <wp:simplePos x="0" y="0"/>
            <wp:positionH relativeFrom="page">
              <wp:posOffset>2059213</wp:posOffset>
            </wp:positionH>
            <wp:positionV relativeFrom="paragraph">
              <wp:posOffset>80394</wp:posOffset>
            </wp:positionV>
            <wp:extent cx="95250" cy="95250"/>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110" cstate="print"/>
                    <a:stretch>
                      <a:fillRect/>
                    </a:stretch>
                  </pic:blipFill>
                  <pic:spPr>
                    <a:xfrm>
                      <a:off x="0" y="0"/>
                      <a:ext cx="95250" cy="95250"/>
                    </a:xfrm>
                    <a:prstGeom prst="rect">
                      <a:avLst/>
                    </a:prstGeom>
                  </pic:spPr>
                </pic:pic>
              </a:graphicData>
            </a:graphic>
          </wp:anchor>
        </w:drawing>
      </w:r>
      <w:bookmarkStart w:name="_bookmark16" w:id="39"/>
      <w:bookmarkEnd w:id="39"/>
      <w:r>
        <w:rPr/>
      </w:r>
      <w:r>
        <w:rPr>
          <w:color w:val="231F20"/>
          <w:sz w:val="18"/>
        </w:rPr>
        <w:t>The</w:t>
      </w:r>
      <w:r>
        <w:rPr>
          <w:color w:val="231F20"/>
          <w:spacing w:val="9"/>
          <w:sz w:val="18"/>
        </w:rPr>
        <w:t> </w:t>
      </w:r>
      <w:r>
        <w:rPr>
          <w:color w:val="231F20"/>
          <w:sz w:val="18"/>
        </w:rPr>
        <w:t>situation</w:t>
      </w:r>
      <w:r>
        <w:rPr>
          <w:color w:val="231F20"/>
          <w:spacing w:val="10"/>
          <w:sz w:val="18"/>
        </w:rPr>
        <w:t> </w:t>
      </w:r>
      <w:r>
        <w:rPr>
          <w:color w:val="231F20"/>
          <w:sz w:val="18"/>
        </w:rPr>
        <w:t>event</w:t>
      </w:r>
      <w:r>
        <w:rPr>
          <w:color w:val="231F20"/>
          <w:spacing w:val="10"/>
          <w:sz w:val="18"/>
        </w:rPr>
        <w:t> </w:t>
      </w:r>
      <w:r>
        <w:rPr>
          <w:color w:val="231F20"/>
          <w:sz w:val="18"/>
        </w:rPr>
        <w:t>has</w:t>
      </w:r>
      <w:r>
        <w:rPr>
          <w:color w:val="231F20"/>
          <w:spacing w:val="10"/>
          <w:sz w:val="18"/>
        </w:rPr>
        <w:t> </w:t>
      </w:r>
      <w:r>
        <w:rPr>
          <w:color w:val="231F20"/>
          <w:sz w:val="18"/>
        </w:rPr>
        <w:t>been</w:t>
      </w:r>
      <w:r>
        <w:rPr>
          <w:color w:val="231F20"/>
          <w:spacing w:val="10"/>
          <w:sz w:val="18"/>
        </w:rPr>
        <w:t> </w:t>
      </w:r>
      <w:r>
        <w:rPr>
          <w:color w:val="231F20"/>
          <w:spacing w:val="-2"/>
          <w:sz w:val="18"/>
        </w:rPr>
        <w:t>acknowledged.</w:t>
      </w:r>
    </w:p>
    <w:p>
      <w:pPr>
        <w:spacing w:line="231" w:lineRule="exact" w:before="0"/>
        <w:ind w:left="2232" w:right="0" w:firstLine="0"/>
        <w:jc w:val="left"/>
        <w:rPr>
          <w:sz w:val="18"/>
        </w:rPr>
      </w:pPr>
      <w:r>
        <w:rPr>
          <w:color w:val="231F20"/>
          <w:spacing w:val="-2"/>
          <w:sz w:val="18"/>
        </w:rPr>
        <w:t>Acknowledged</w:t>
      </w:r>
    </w:p>
    <w:p>
      <w:pPr>
        <w:tabs>
          <w:tab w:pos="3777" w:val="left" w:leader="none"/>
        </w:tabs>
        <w:spacing w:before="77"/>
        <w:ind w:left="2242" w:right="0" w:firstLine="0"/>
        <w:jc w:val="left"/>
        <w:rPr>
          <w:sz w:val="18"/>
        </w:rPr>
      </w:pPr>
      <w:r>
        <w:rPr>
          <w:position w:val="-3"/>
        </w:rPr>
        <w:drawing>
          <wp:inline distT="0" distB="0" distL="0" distR="0">
            <wp:extent cx="95250" cy="95250"/>
            <wp:effectExtent l="0" t="0" r="0" b="0"/>
            <wp:docPr id="265" name="Image 265"/>
            <wp:cNvGraphicFramePr>
              <a:graphicFrameLocks/>
            </wp:cNvGraphicFramePr>
            <a:graphic>
              <a:graphicData uri="http://schemas.openxmlformats.org/drawingml/2006/picture">
                <pic:pic>
                  <pic:nvPicPr>
                    <pic:cNvPr id="265" name="Image 265"/>
                    <pic:cNvPicPr/>
                  </pic:nvPicPr>
                  <pic:blipFill>
                    <a:blip r:embed="rId11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Expired</w:t>
        <w:tab/>
        <w:t>The</w:t>
      </w:r>
      <w:r>
        <w:rPr>
          <w:color w:val="231F20"/>
          <w:spacing w:val="8"/>
          <w:sz w:val="18"/>
        </w:rPr>
        <w:t> </w:t>
      </w:r>
      <w:r>
        <w:rPr>
          <w:color w:val="231F20"/>
          <w:sz w:val="18"/>
        </w:rPr>
        <w:t>acknowledgement</w:t>
      </w:r>
      <w:r>
        <w:rPr>
          <w:color w:val="231F20"/>
          <w:spacing w:val="9"/>
          <w:sz w:val="18"/>
        </w:rPr>
        <w:t> </w:t>
      </w:r>
      <w:r>
        <w:rPr>
          <w:color w:val="231F20"/>
          <w:sz w:val="18"/>
        </w:rPr>
        <w:t>has</w:t>
      </w:r>
      <w:r>
        <w:rPr>
          <w:color w:val="231F20"/>
          <w:spacing w:val="9"/>
          <w:sz w:val="18"/>
        </w:rPr>
        <w:t> </w:t>
      </w:r>
      <w:r>
        <w:rPr>
          <w:color w:val="231F20"/>
          <w:sz w:val="18"/>
        </w:rPr>
        <w:t>expired</w:t>
      </w:r>
      <w:r>
        <w:rPr>
          <w:color w:val="231F20"/>
          <w:spacing w:val="9"/>
          <w:sz w:val="18"/>
        </w:rPr>
        <w:t> </w:t>
      </w:r>
      <w:r>
        <w:rPr>
          <w:color w:val="231F20"/>
          <w:sz w:val="18"/>
        </w:rPr>
        <w:t>and</w:t>
      </w:r>
      <w:r>
        <w:rPr>
          <w:color w:val="231F20"/>
          <w:spacing w:val="8"/>
          <w:sz w:val="18"/>
        </w:rPr>
        <w:t> </w:t>
      </w:r>
      <w:r>
        <w:rPr>
          <w:color w:val="231F20"/>
          <w:sz w:val="18"/>
        </w:rPr>
        <w:t>the</w:t>
      </w:r>
      <w:r>
        <w:rPr>
          <w:color w:val="231F20"/>
          <w:spacing w:val="9"/>
          <w:sz w:val="18"/>
        </w:rPr>
        <w:t> </w:t>
      </w:r>
      <w:r>
        <w:rPr>
          <w:color w:val="231F20"/>
          <w:sz w:val="18"/>
        </w:rPr>
        <w:t>situation</w:t>
      </w:r>
      <w:r>
        <w:rPr>
          <w:color w:val="231F20"/>
          <w:spacing w:val="9"/>
          <w:sz w:val="18"/>
        </w:rPr>
        <w:t> </w:t>
      </w:r>
      <w:r>
        <w:rPr>
          <w:color w:val="231F20"/>
          <w:sz w:val="18"/>
        </w:rPr>
        <w:t>is</w:t>
      </w:r>
      <w:r>
        <w:rPr>
          <w:color w:val="231F20"/>
          <w:spacing w:val="9"/>
          <w:sz w:val="18"/>
        </w:rPr>
        <w:t> </w:t>
      </w:r>
      <w:r>
        <w:rPr>
          <w:color w:val="231F20"/>
          <w:sz w:val="18"/>
        </w:rPr>
        <w:t>still</w:t>
      </w:r>
      <w:r>
        <w:rPr>
          <w:color w:val="231F20"/>
          <w:spacing w:val="8"/>
          <w:sz w:val="18"/>
        </w:rPr>
        <w:t> </w:t>
      </w:r>
      <w:r>
        <w:rPr>
          <w:color w:val="231F20"/>
          <w:spacing w:val="-2"/>
          <w:sz w:val="18"/>
        </w:rPr>
        <w:t>true.</w:t>
      </w:r>
    </w:p>
    <w:p>
      <w:pPr>
        <w:tabs>
          <w:tab w:pos="3777" w:val="left" w:leader="none"/>
        </w:tabs>
        <w:spacing w:line="216" w:lineRule="auto" w:before="95"/>
        <w:ind w:left="3777" w:right="1104" w:hanging="1535"/>
        <w:jc w:val="left"/>
        <w:rPr>
          <w:sz w:val="18"/>
        </w:rPr>
      </w:pPr>
      <w:r>
        <w:rPr>
          <w:position w:val="-3"/>
        </w:rPr>
        <w:drawing>
          <wp:inline distT="0" distB="0" distL="0" distR="0">
            <wp:extent cx="95250" cy="95250"/>
            <wp:effectExtent l="0" t="0" r="0" b="0"/>
            <wp:docPr id="266" name="Image 266"/>
            <wp:cNvGraphicFramePr>
              <a:graphicFrameLocks/>
            </wp:cNvGraphicFramePr>
            <a:graphic>
              <a:graphicData uri="http://schemas.openxmlformats.org/drawingml/2006/picture">
                <pic:pic>
                  <pic:nvPicPr>
                    <pic:cNvPr id="266" name="Image 266"/>
                    <pic:cNvPicPr/>
                  </pic:nvPicPr>
                  <pic:blipFill>
                    <a:blip r:embed="rId112"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Reopened</w:t>
        <w:tab/>
        <w:t>The acknowledgement was canceled before it had expired and the situation is still true.</w:t>
      </w:r>
    </w:p>
    <w:p>
      <w:pPr>
        <w:tabs>
          <w:tab w:pos="3777" w:val="left" w:leader="none"/>
        </w:tabs>
        <w:spacing w:before="83"/>
        <w:ind w:left="2242" w:right="0" w:firstLine="0"/>
        <w:jc w:val="left"/>
        <w:rPr>
          <w:sz w:val="18"/>
        </w:rPr>
      </w:pPr>
      <w:r>
        <w:rPr>
          <w:position w:val="-3"/>
        </w:rPr>
        <w:drawing>
          <wp:inline distT="0" distB="0" distL="0" distR="0">
            <wp:extent cx="95250" cy="95250"/>
            <wp:effectExtent l="0" t="0" r="0" b="0"/>
            <wp:docPr id="267" name="Image 267"/>
            <wp:cNvGraphicFramePr>
              <a:graphicFrameLocks/>
            </wp:cNvGraphicFramePr>
            <a:graphic>
              <a:graphicData uri="http://schemas.openxmlformats.org/drawingml/2006/picture">
                <pic:pic>
                  <pic:nvPicPr>
                    <pic:cNvPr id="267" name="Image 267"/>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Stopped</w:t>
        <w:tab/>
        <w:t>The</w:t>
      </w:r>
      <w:r>
        <w:rPr>
          <w:color w:val="231F20"/>
          <w:spacing w:val="9"/>
          <w:sz w:val="18"/>
        </w:rPr>
        <w:t> </w:t>
      </w:r>
      <w:r>
        <w:rPr>
          <w:color w:val="231F20"/>
          <w:sz w:val="18"/>
        </w:rPr>
        <w:t>situation</w:t>
      </w:r>
      <w:r>
        <w:rPr>
          <w:color w:val="231F20"/>
          <w:spacing w:val="10"/>
          <w:sz w:val="18"/>
        </w:rPr>
        <w:t> </w:t>
      </w:r>
      <w:r>
        <w:rPr>
          <w:color w:val="231F20"/>
          <w:sz w:val="18"/>
        </w:rPr>
        <w:t>has</w:t>
      </w:r>
      <w:r>
        <w:rPr>
          <w:color w:val="231F20"/>
          <w:spacing w:val="10"/>
          <w:sz w:val="18"/>
        </w:rPr>
        <w:t> </w:t>
      </w:r>
      <w:r>
        <w:rPr>
          <w:color w:val="231F20"/>
          <w:sz w:val="18"/>
        </w:rPr>
        <w:t>been</w:t>
      </w:r>
      <w:r>
        <w:rPr>
          <w:color w:val="231F20"/>
          <w:spacing w:val="10"/>
          <w:sz w:val="18"/>
        </w:rPr>
        <w:t> </w:t>
      </w:r>
      <w:r>
        <w:rPr>
          <w:color w:val="231F20"/>
          <w:spacing w:val="-2"/>
          <w:sz w:val="18"/>
        </w:rPr>
        <w:t>stopped.</w:t>
      </w:r>
    </w:p>
    <w:p>
      <w:pPr>
        <w:tabs>
          <w:tab w:pos="3777" w:val="left" w:leader="none"/>
        </w:tabs>
        <w:spacing w:before="76"/>
        <w:ind w:left="2242" w:right="0" w:firstLine="0"/>
        <w:jc w:val="left"/>
        <w:rPr>
          <w:sz w:val="18"/>
        </w:rPr>
      </w:pPr>
      <w:r>
        <w:rPr>
          <w:position w:val="-3"/>
        </w:rPr>
        <w:drawing>
          <wp:inline distT="0" distB="0" distL="0" distR="0">
            <wp:extent cx="95250" cy="95250"/>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Error</w:t>
        <w:tab/>
        <w:t>The</w:t>
      </w:r>
      <w:r>
        <w:rPr>
          <w:color w:val="231F20"/>
          <w:spacing w:val="9"/>
          <w:sz w:val="18"/>
        </w:rPr>
        <w:t> </w:t>
      </w:r>
      <w:r>
        <w:rPr>
          <w:color w:val="231F20"/>
          <w:sz w:val="18"/>
        </w:rPr>
        <w:t>situation</w:t>
      </w:r>
      <w:r>
        <w:rPr>
          <w:color w:val="231F20"/>
          <w:spacing w:val="9"/>
          <w:sz w:val="18"/>
        </w:rPr>
        <w:t> </w:t>
      </w:r>
      <w:r>
        <w:rPr>
          <w:color w:val="231F20"/>
          <w:sz w:val="18"/>
        </w:rPr>
        <w:t>is</w:t>
      </w:r>
      <w:r>
        <w:rPr>
          <w:color w:val="231F20"/>
          <w:spacing w:val="10"/>
          <w:sz w:val="18"/>
        </w:rPr>
        <w:t> </w:t>
      </w:r>
      <w:r>
        <w:rPr>
          <w:color w:val="231F20"/>
          <w:sz w:val="18"/>
        </w:rPr>
        <w:t>not</w:t>
      </w:r>
      <w:r>
        <w:rPr>
          <w:color w:val="231F20"/>
          <w:spacing w:val="9"/>
          <w:sz w:val="18"/>
        </w:rPr>
        <w:t> </w:t>
      </w:r>
      <w:r>
        <w:rPr>
          <w:color w:val="231F20"/>
          <w:sz w:val="18"/>
        </w:rPr>
        <w:t>functioning</w:t>
      </w:r>
      <w:r>
        <w:rPr>
          <w:color w:val="231F20"/>
          <w:spacing w:val="9"/>
          <w:sz w:val="18"/>
        </w:rPr>
        <w:t> </w:t>
      </w:r>
      <w:r>
        <w:rPr>
          <w:color w:val="231F20"/>
          <w:spacing w:val="-2"/>
          <w:sz w:val="18"/>
        </w:rPr>
        <w:t>properly.</w:t>
      </w:r>
    </w:p>
    <w:p>
      <w:pPr>
        <w:spacing w:after="0"/>
        <w:jc w:val="left"/>
        <w:rPr>
          <w:sz w:val="18"/>
        </w:rPr>
        <w:sectPr>
          <w:pgSz w:w="12240" w:h="15840"/>
          <w:pgMar w:header="0" w:footer="736" w:top="1260" w:bottom="920" w:left="1000" w:right="1060"/>
        </w:sectPr>
      </w:pPr>
    </w:p>
    <w:p>
      <w:pPr>
        <w:spacing w:line="216" w:lineRule="auto" w:before="96"/>
        <w:ind w:left="2232" w:right="0" w:firstLine="0"/>
        <w:jc w:val="left"/>
        <w:rPr>
          <w:sz w:val="18"/>
        </w:rPr>
      </w:pPr>
      <w:r>
        <w:rPr/>
        <w:drawing>
          <wp:inline distT="0" distB="0" distL="0" distR="0">
            <wp:extent cx="57150" cy="57150"/>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114" cstate="print"/>
                    <a:stretch>
                      <a:fillRect/>
                    </a:stretch>
                  </pic:blipFill>
                  <pic:spPr>
                    <a:xfrm>
                      <a:off x="0" y="0"/>
                      <a:ext cx="57150" cy="57150"/>
                    </a:xfrm>
                    <a:prstGeom prst="rect">
                      <a:avLst/>
                    </a:prstGeom>
                  </pic:spPr>
                </pic:pic>
              </a:graphicData>
            </a:graphic>
          </wp:inline>
        </w:drawing>
      </w:r>
      <w:r>
        <w:rPr/>
      </w:r>
      <w:r>
        <w:rPr>
          <w:rFonts w:ascii="Times New Roman"/>
          <w:spacing w:val="40"/>
          <w:sz w:val="20"/>
        </w:rPr>
        <w:t> </w:t>
      </w:r>
      <w:r>
        <w:rPr>
          <w:color w:val="231F20"/>
          <w:sz w:val="18"/>
        </w:rPr>
        <w:t>Status </w:t>
      </w:r>
      <w:r>
        <w:rPr>
          <w:color w:val="231F20"/>
          <w:spacing w:val="-2"/>
          <w:sz w:val="18"/>
        </w:rPr>
        <w:t>Unknown</w:t>
      </w:r>
    </w:p>
    <w:p>
      <w:pPr>
        <w:spacing w:line="216" w:lineRule="auto" w:before="96"/>
        <w:ind w:left="703" w:right="501" w:firstLine="0"/>
        <w:jc w:val="left"/>
        <w:rPr>
          <w:sz w:val="18"/>
        </w:rPr>
      </w:pPr>
      <w:r>
        <w:rPr/>
        <w:br w:type="column"/>
      </w:r>
      <w:r>
        <w:rPr>
          <w:color w:val="231F20"/>
          <w:sz w:val="18"/>
        </w:rPr>
        <w:t>The monitoring server detects that an agent is offline. The agent might have been taken offline intentionally, there might be a communication problem, or the agent or the system it is running on might have stopped</w:t>
      </w:r>
      <w:r>
        <w:rPr>
          <w:color w:val="231F20"/>
          <w:spacing w:val="40"/>
          <w:sz w:val="18"/>
        </w:rPr>
        <w:t> </w:t>
      </w:r>
      <w:r>
        <w:rPr>
          <w:color w:val="231F20"/>
          <w:sz w:val="18"/>
        </w:rPr>
        <w:t>or be failing. The situation flyover listing on this icon shows</w:t>
      </w:r>
    </w:p>
    <w:p>
      <w:pPr>
        <w:spacing w:line="216" w:lineRule="auto" w:before="3"/>
        <w:ind w:left="703" w:right="321" w:firstLine="0"/>
        <w:jc w:val="left"/>
        <w:rPr>
          <w:sz w:val="18"/>
        </w:rPr>
      </w:pPr>
      <w:r>
        <w:rPr>
          <w:color w:val="231F20"/>
          <w:sz w:val="18"/>
        </w:rPr>
        <w:t>*STATUS_UNKNOWN, which is not actually a situation, but the notation for a problem on the managed system. Consider recycling the agent, described in </w:t>
      </w:r>
      <w:hyperlink w:history="true" w:anchor="_bookmark306">
        <w:r>
          <w:rPr>
            <w:color w:val="231F20"/>
            <w:sz w:val="18"/>
          </w:rPr>
          <w:t>“Managing monitoring agents” on page 396.</w:t>
        </w:r>
      </w:hyperlink>
    </w:p>
    <w:p>
      <w:pPr>
        <w:spacing w:after="0" w:line="216" w:lineRule="auto"/>
        <w:jc w:val="left"/>
        <w:rPr>
          <w:sz w:val="18"/>
        </w:rPr>
        <w:sectPr>
          <w:type w:val="continuous"/>
          <w:pgSz w:w="12240" w:h="15840"/>
          <w:pgMar w:header="0" w:footer="736" w:top="0" w:bottom="4660" w:left="1000" w:right="1060"/>
          <w:cols w:num="2" w:equalWidth="0">
            <w:col w:w="3034" w:space="40"/>
            <w:col w:w="7106"/>
          </w:cols>
        </w:sectPr>
      </w:pPr>
    </w:p>
    <w:p>
      <w:pPr>
        <w:pStyle w:val="BodyText"/>
        <w:spacing w:before="197" w:after="1"/>
      </w:pPr>
    </w:p>
    <w:p>
      <w:pPr>
        <w:pStyle w:val="BodyText"/>
        <w:spacing w:line="20" w:lineRule="exact"/>
        <w:ind w:left="197"/>
        <w:rPr>
          <w:sz w:val="2"/>
        </w:rPr>
      </w:pPr>
      <w:r>
        <w:rPr>
          <w:sz w:val="2"/>
        </w:rPr>
        <mc:AlternateContent>
          <mc:Choice Requires="wps">
            <w:drawing>
              <wp:inline distT="0" distB="0" distL="0" distR="0">
                <wp:extent cx="6082665" cy="6350"/>
                <wp:effectExtent l="9525" t="0" r="0" b="3175"/>
                <wp:docPr id="270" name="Group 270"/>
                <wp:cNvGraphicFramePr>
                  <a:graphicFrameLocks/>
                </wp:cNvGraphicFramePr>
                <a:graphic>
                  <a:graphicData uri="http://schemas.microsoft.com/office/word/2010/wordprocessingGroup">
                    <wpg:wgp>
                      <wpg:cNvPr id="270" name="Group 270"/>
                      <wpg:cNvGrpSpPr/>
                      <wpg:grpSpPr>
                        <a:xfrm>
                          <a:off x="0" y="0"/>
                          <a:ext cx="6082665" cy="6350"/>
                          <a:chExt cx="6082665" cy="6350"/>
                        </a:xfrm>
                      </wpg:grpSpPr>
                      <wps:wsp>
                        <wps:cNvPr id="271" name="Graphic 271"/>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39" coordorigin="0,0" coordsize="9579,10">
                <v:line style="position:absolute" from="0,5" to="9579,5" stroked="true" strokeweight=".499pt" strokecolor="#231f20">
                  <v:stroke dashstyle="solid"/>
                </v:line>
              </v:group>
            </w:pict>
          </mc:Fallback>
        </mc:AlternateContent>
      </w:r>
      <w:r>
        <w:rPr>
          <w:sz w:val="2"/>
        </w:rPr>
      </w:r>
    </w:p>
    <w:p>
      <w:pPr>
        <w:pStyle w:val="Heading3"/>
        <w:spacing w:before="11"/>
        <w:ind w:left="197"/>
      </w:pPr>
      <w:bookmarkStart w:name="More... indicators" w:id="40"/>
      <w:bookmarkEnd w:id="40"/>
      <w:r>
        <w:rPr>
          <w:b w:val="0"/>
        </w:rPr>
      </w:r>
      <w:r>
        <w:rPr>
          <w:color w:val="231F20"/>
        </w:rPr>
        <w:t>More...</w:t>
      </w:r>
      <w:r>
        <w:rPr>
          <w:color w:val="231F20"/>
          <w:spacing w:val="5"/>
        </w:rPr>
        <w:t> </w:t>
      </w:r>
      <w:r>
        <w:rPr>
          <w:color w:val="231F20"/>
          <w:spacing w:val="-2"/>
        </w:rPr>
        <w:t>indicators</w:t>
      </w:r>
    </w:p>
    <w:p>
      <w:pPr>
        <w:pStyle w:val="BodyText"/>
        <w:spacing w:line="213" w:lineRule="auto" w:before="138"/>
        <w:ind w:left="2232" w:right="448"/>
        <w:jc w:val="both"/>
      </w:pPr>
      <w:r>
        <w:rPr>
          <w:color w:val="231F20"/>
        </w:rPr>
        <w:t>You might sometimes see</w:t>
      </w:r>
      <w:r>
        <w:rPr>
          <w:color w:val="231F20"/>
          <w:spacing w:val="5"/>
        </w:rPr>
        <w:t> </w:t>
      </w:r>
      <w:r>
        <w:rPr>
          <w:color w:val="231F20"/>
          <w:spacing w:val="5"/>
          <w:position w:val="2"/>
        </w:rPr>
        <w:drawing>
          <wp:inline distT="0" distB="0" distL="0" distR="0">
            <wp:extent cx="31750" cy="44450"/>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115" cstate="print"/>
                    <a:stretch>
                      <a:fillRect/>
                    </a:stretch>
                  </pic:blipFill>
                  <pic:spPr>
                    <a:xfrm>
                      <a:off x="0" y="0"/>
                      <a:ext cx="31750" cy="44450"/>
                    </a:xfrm>
                    <a:prstGeom prst="rect">
                      <a:avLst/>
                    </a:prstGeom>
                  </pic:spPr>
                </pic:pic>
              </a:graphicData>
            </a:graphic>
          </wp:inline>
        </w:drawing>
      </w:r>
      <w:r>
        <w:rPr>
          <w:color w:val="231F20"/>
          <w:spacing w:val="5"/>
          <w:position w:val="2"/>
        </w:rPr>
      </w:r>
      <w:r>
        <w:rPr>
          <w:rFonts w:ascii="Times New Roman"/>
          <w:color w:val="231F20"/>
          <w:spacing w:val="40"/>
        </w:rPr>
        <w:t> </w:t>
      </w:r>
      <w:r>
        <w:rPr>
          <w:rFonts w:ascii="Book Antiqua"/>
          <w:b/>
          <w:color w:val="231F20"/>
        </w:rPr>
        <w:t>More </w:t>
      </w:r>
      <w:r>
        <w:rPr>
          <w:color w:val="231F20"/>
        </w:rPr>
        <w:t>indicators in the Navigator. These indicators are used to keep the Navigator tree compact so that you can see more in the viewable area without having to scroll.</w:t>
      </w:r>
    </w:p>
    <w:p>
      <w:pPr>
        <w:pStyle w:val="BodyText"/>
        <w:spacing w:before="215"/>
        <w:ind w:left="2232"/>
        <w:jc w:val="both"/>
      </w:pPr>
      <w:r>
        <w:rPr>
          <w:color w:val="231F20"/>
        </w:rPr>
        <w:t>Click</w:t>
      </w:r>
      <w:r>
        <w:rPr>
          <w:color w:val="231F20"/>
          <w:spacing w:val="51"/>
        </w:rPr>
        <w:t> </w:t>
      </w:r>
      <w:r>
        <w:rPr>
          <w:color w:val="231F20"/>
          <w:spacing w:val="6"/>
          <w:position w:val="2"/>
        </w:rPr>
        <w:drawing>
          <wp:inline distT="0" distB="0" distL="0" distR="0">
            <wp:extent cx="31750" cy="44450"/>
            <wp:effectExtent l="0" t="0" r="0" b="0"/>
            <wp:docPr id="273" name="Image 273"/>
            <wp:cNvGraphicFramePr>
              <a:graphicFrameLocks/>
            </wp:cNvGraphicFramePr>
            <a:graphic>
              <a:graphicData uri="http://schemas.openxmlformats.org/drawingml/2006/picture">
                <pic:pic>
                  <pic:nvPicPr>
                    <pic:cNvPr id="273" name="Image 273"/>
                    <pic:cNvPicPr/>
                  </pic:nvPicPr>
                  <pic:blipFill>
                    <a:blip r:embed="rId115" cstate="print"/>
                    <a:stretch>
                      <a:fillRect/>
                    </a:stretch>
                  </pic:blipFill>
                  <pic:spPr>
                    <a:xfrm>
                      <a:off x="0" y="0"/>
                      <a:ext cx="31750" cy="44450"/>
                    </a:xfrm>
                    <a:prstGeom prst="rect">
                      <a:avLst/>
                    </a:prstGeom>
                  </pic:spPr>
                </pic:pic>
              </a:graphicData>
            </a:graphic>
          </wp:inline>
        </w:drawing>
      </w:r>
      <w:r>
        <w:rPr>
          <w:color w:val="231F20"/>
          <w:spacing w:val="6"/>
          <w:position w:val="2"/>
        </w:rPr>
      </w:r>
      <w:r>
        <w:rPr>
          <w:rFonts w:ascii="Times New Roman"/>
          <w:color w:val="231F20"/>
          <w:spacing w:val="79"/>
          <w:w w:val="150"/>
        </w:rPr>
        <w:t> </w:t>
      </w:r>
      <w:r>
        <w:rPr>
          <w:rFonts w:ascii="Book Antiqua"/>
          <w:b/>
          <w:color w:val="231F20"/>
        </w:rPr>
        <w:t>More</w:t>
      </w:r>
      <w:r>
        <w:rPr>
          <w:rFonts w:ascii="Book Antiqua"/>
          <w:b/>
          <w:color w:val="231F20"/>
          <w:spacing w:val="13"/>
        </w:rPr>
        <w:t> </w:t>
      </w:r>
      <w:r>
        <w:rPr>
          <w:color w:val="231F20"/>
        </w:rPr>
        <w:t>to</w:t>
      </w:r>
      <w:r>
        <w:rPr>
          <w:color w:val="231F20"/>
          <w:spacing w:val="13"/>
        </w:rPr>
        <w:t> </w:t>
      </w:r>
      <w:r>
        <w:rPr>
          <w:color w:val="231F20"/>
        </w:rPr>
        <w:t>open</w:t>
      </w:r>
      <w:r>
        <w:rPr>
          <w:color w:val="231F20"/>
          <w:spacing w:val="14"/>
        </w:rPr>
        <w:t> </w:t>
      </w:r>
      <w:r>
        <w:rPr>
          <w:color w:val="231F20"/>
        </w:rPr>
        <w:t>that</w:t>
      </w:r>
      <w:r>
        <w:rPr>
          <w:color w:val="231F20"/>
          <w:spacing w:val="13"/>
        </w:rPr>
        <w:t> </w:t>
      </w:r>
      <w:r>
        <w:rPr>
          <w:color w:val="231F20"/>
        </w:rPr>
        <w:t>branch</w:t>
      </w:r>
      <w:r>
        <w:rPr>
          <w:color w:val="231F20"/>
          <w:spacing w:val="13"/>
        </w:rPr>
        <w:t> </w:t>
      </w:r>
      <w:r>
        <w:rPr>
          <w:color w:val="231F20"/>
        </w:rPr>
        <w:t>of</w:t>
      </w:r>
      <w:r>
        <w:rPr>
          <w:color w:val="231F20"/>
          <w:spacing w:val="13"/>
        </w:rPr>
        <w:t> </w:t>
      </w:r>
      <w:r>
        <w:rPr>
          <w:color w:val="231F20"/>
        </w:rPr>
        <w:t>the</w:t>
      </w:r>
      <w:r>
        <w:rPr>
          <w:color w:val="231F20"/>
          <w:spacing w:val="14"/>
        </w:rPr>
        <w:t> </w:t>
      </w:r>
      <w:r>
        <w:rPr>
          <w:color w:val="231F20"/>
          <w:spacing w:val="-2"/>
        </w:rPr>
        <w:t>tree.</w:t>
      </w:r>
    </w:p>
    <w:p>
      <w:pPr>
        <w:pStyle w:val="BodyText"/>
        <w:spacing w:line="213" w:lineRule="auto" w:before="232"/>
        <w:ind w:left="2232" w:right="412"/>
      </w:pPr>
      <w:r>
        <w:rPr>
          <w:color w:val="231F20"/>
        </w:rPr>
        <w:t>When clicking</w:t>
      </w:r>
      <w:r>
        <w:rPr>
          <w:color w:val="231F20"/>
          <w:spacing w:val="40"/>
        </w:rPr>
        <w:t> </w:t>
      </w:r>
      <w:r>
        <w:rPr>
          <w:color w:val="231F20"/>
          <w:spacing w:val="6"/>
        </w:rPr>
        <w:drawing>
          <wp:inline distT="0" distB="0" distL="0" distR="0">
            <wp:extent cx="69850" cy="69850"/>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rPr>
      </w:r>
      <w:r>
        <w:rPr>
          <w:rFonts w:ascii="Times New Roman"/>
          <w:color w:val="231F20"/>
          <w:spacing w:val="80"/>
        </w:rPr>
        <w:t> </w:t>
      </w:r>
      <w:r>
        <w:rPr>
          <w:color w:val="231F20"/>
        </w:rPr>
        <w:t>Expand on a Navigator branch of more than, by default, 25 child</w:t>
      </w:r>
      <w:r>
        <w:rPr>
          <w:color w:val="231F20"/>
          <w:spacing w:val="40"/>
        </w:rPr>
        <w:t> </w:t>
      </w:r>
      <w:r>
        <w:rPr>
          <w:color w:val="231F20"/>
        </w:rPr>
        <w:t>items, you are prompted to enter the number to expand at one time. You can also right-click a Navigator item and click</w:t>
      </w:r>
      <w:r>
        <w:rPr>
          <w:color w:val="231F20"/>
          <w:spacing w:val="40"/>
        </w:rPr>
        <w:t> </w:t>
      </w:r>
      <w:r>
        <w:rPr>
          <w:color w:val="231F20"/>
          <w:spacing w:val="5"/>
        </w:rPr>
        <w:drawing>
          <wp:inline distT="0" distB="0" distL="0" distR="0">
            <wp:extent cx="69850" cy="69850"/>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rPr>
        <w:t> </w:t>
      </w:r>
      <w:r>
        <w:rPr>
          <w:rFonts w:ascii="Book Antiqua"/>
          <w:b/>
          <w:color w:val="231F20"/>
        </w:rPr>
        <w:t>Expand </w:t>
      </w:r>
      <w:r>
        <w:rPr>
          <w:color w:val="231F20"/>
        </w:rPr>
        <w:t>to open the </w:t>
      </w:r>
      <w:r>
        <w:rPr>
          <w:rFonts w:ascii="Book Antiqua"/>
          <w:b/>
          <w:color w:val="231F20"/>
        </w:rPr>
        <w:t>Expand child items </w:t>
      </w:r>
      <w:r>
        <w:rPr>
          <w:color w:val="231F20"/>
        </w:rPr>
        <w:t>window. After you enter the number to expand, a group of child items opens.</w:t>
      </w:r>
    </w:p>
    <w:p>
      <w:pPr>
        <w:pStyle w:val="BodyText"/>
        <w:spacing w:line="244" w:lineRule="exact"/>
        <w:ind w:left="2232"/>
      </w:pPr>
      <w:r>
        <w:rPr>
          <w:color w:val="231F20"/>
        </w:rPr>
        <w:t>Click</w:t>
      </w:r>
      <w:r>
        <w:rPr>
          <w:color w:val="231F20"/>
          <w:spacing w:val="50"/>
        </w:rPr>
        <w:t> </w:t>
      </w:r>
      <w:r>
        <w:rPr>
          <w:color w:val="231F20"/>
          <w:spacing w:val="6"/>
          <w:position w:val="2"/>
        </w:rPr>
        <w:drawing>
          <wp:inline distT="0" distB="0" distL="0" distR="0">
            <wp:extent cx="31750" cy="44450"/>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115" cstate="print"/>
                    <a:stretch>
                      <a:fillRect/>
                    </a:stretch>
                  </pic:blipFill>
                  <pic:spPr>
                    <a:xfrm>
                      <a:off x="0" y="0"/>
                      <a:ext cx="31750" cy="44450"/>
                    </a:xfrm>
                    <a:prstGeom prst="rect">
                      <a:avLst/>
                    </a:prstGeom>
                  </pic:spPr>
                </pic:pic>
              </a:graphicData>
            </a:graphic>
          </wp:inline>
        </w:drawing>
      </w:r>
      <w:r>
        <w:rPr>
          <w:color w:val="231F20"/>
          <w:spacing w:val="6"/>
          <w:position w:val="2"/>
        </w:rPr>
      </w:r>
      <w:r>
        <w:rPr>
          <w:rFonts w:ascii="Times New Roman"/>
          <w:color w:val="231F20"/>
          <w:spacing w:val="78"/>
          <w:w w:val="150"/>
        </w:rPr>
        <w:t> </w:t>
      </w:r>
      <w:r>
        <w:rPr>
          <w:rFonts w:ascii="Book Antiqua"/>
          <w:b/>
          <w:color w:val="231F20"/>
        </w:rPr>
        <w:t>More</w:t>
      </w:r>
      <w:r>
        <w:rPr>
          <w:rFonts w:ascii="Book Antiqua"/>
          <w:b/>
          <w:color w:val="231F20"/>
          <w:spacing w:val="13"/>
        </w:rPr>
        <w:t> </w:t>
      </w:r>
      <w:r>
        <w:rPr>
          <w:color w:val="231F20"/>
        </w:rPr>
        <w:t>to</w:t>
      </w:r>
      <w:r>
        <w:rPr>
          <w:color w:val="231F20"/>
          <w:spacing w:val="13"/>
        </w:rPr>
        <w:t> </w:t>
      </w:r>
      <w:r>
        <w:rPr>
          <w:color w:val="231F20"/>
        </w:rPr>
        <w:t>open</w:t>
      </w:r>
      <w:r>
        <w:rPr>
          <w:color w:val="231F20"/>
          <w:spacing w:val="12"/>
        </w:rPr>
        <w:t> </w:t>
      </w:r>
      <w:r>
        <w:rPr>
          <w:color w:val="231F20"/>
        </w:rPr>
        <w:t>the</w:t>
      </w:r>
      <w:r>
        <w:rPr>
          <w:color w:val="231F20"/>
          <w:spacing w:val="13"/>
        </w:rPr>
        <w:t> </w:t>
      </w:r>
      <w:r>
        <w:rPr>
          <w:color w:val="231F20"/>
        </w:rPr>
        <w:t>next</w:t>
      </w:r>
      <w:r>
        <w:rPr>
          <w:color w:val="231F20"/>
          <w:spacing w:val="13"/>
        </w:rPr>
        <w:t> </w:t>
      </w:r>
      <w:r>
        <w:rPr>
          <w:color w:val="231F20"/>
        </w:rPr>
        <w:t>group</w:t>
      </w:r>
      <w:r>
        <w:rPr>
          <w:color w:val="231F20"/>
          <w:spacing w:val="13"/>
        </w:rPr>
        <w:t> </w:t>
      </w:r>
      <w:r>
        <w:rPr>
          <w:color w:val="231F20"/>
        </w:rPr>
        <w:t>of</w:t>
      </w:r>
      <w:r>
        <w:rPr>
          <w:color w:val="231F20"/>
          <w:spacing w:val="13"/>
        </w:rPr>
        <w:t> </w:t>
      </w:r>
      <w:r>
        <w:rPr>
          <w:color w:val="231F20"/>
        </w:rPr>
        <w:t>child</w:t>
      </w:r>
      <w:r>
        <w:rPr>
          <w:color w:val="231F20"/>
          <w:spacing w:val="13"/>
        </w:rPr>
        <w:t> </w:t>
      </w:r>
      <w:r>
        <w:rPr>
          <w:color w:val="231F20"/>
          <w:spacing w:val="-2"/>
        </w:rPr>
        <w:t>items.</w:t>
      </w:r>
    </w:p>
    <w:p>
      <w:pPr>
        <w:pStyle w:val="BodyText"/>
        <w:spacing w:line="213" w:lineRule="auto" w:before="232"/>
        <w:ind w:left="2232" w:right="636"/>
      </w:pPr>
      <w:r>
        <w:rPr>
          <w:color w:val="231F20"/>
        </w:rPr>
        <w:t>In large managed environments this feature helps you control the Navigator display and its performance. In this example, the expansion limit of 4 was </w:t>
      </w:r>
      <w:r>
        <w:rPr>
          <w:color w:val="231F20"/>
        </w:rPr>
        <w:t>chosen for the Windows Server branch:</w:t>
      </w:r>
    </w:p>
    <w:p>
      <w:pPr>
        <w:pStyle w:val="BodyText"/>
        <w:spacing w:before="35"/>
        <w:ind w:left="2572"/>
      </w:pPr>
      <w:r>
        <w:rPr/>
        <w:drawing>
          <wp:inline distT="0" distB="0" distL="0" distR="0">
            <wp:extent cx="69850" cy="69850"/>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101600" cy="95250"/>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MYCOMPUTER</w:t>
      </w:r>
    </w:p>
    <w:p>
      <w:pPr>
        <w:pStyle w:val="BodyText"/>
        <w:spacing w:line="266" w:lineRule="auto" w:before="29"/>
        <w:ind w:left="3207" w:right="5052" w:hanging="170"/>
      </w:pPr>
      <w:r>
        <w:rPr/>
        <w:drawing>
          <wp:inline distT="0" distB="0" distL="0" distR="0">
            <wp:extent cx="69850" cy="69850"/>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25"/>
          <w:position w:val="-1"/>
        </w:rPr>
        <w:drawing>
          <wp:inline distT="0" distB="0" distL="0" distR="0">
            <wp:extent cx="95250" cy="95250"/>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84" cstate="print"/>
                    <a:stretch>
                      <a:fillRect/>
                    </a:stretch>
                  </pic:blipFill>
                  <pic:spPr>
                    <a:xfrm>
                      <a:off x="0" y="0"/>
                      <a:ext cx="95250" cy="95250"/>
                    </a:xfrm>
                    <a:prstGeom prst="rect">
                      <a:avLst/>
                    </a:prstGeom>
                  </pic:spPr>
                </pic:pic>
              </a:graphicData>
            </a:graphic>
          </wp:inline>
        </w:drawing>
      </w:r>
      <w:r>
        <w:rPr>
          <w:rFonts w:ascii="Times New Roman"/>
          <w:spacing w:val="-25"/>
          <w:position w:val="-1"/>
        </w:rPr>
      </w:r>
      <w:r>
        <w:rPr>
          <w:rFonts w:ascii="Times New Roman"/>
          <w:spacing w:val="63"/>
        </w:rPr>
        <w:t> </w:t>
      </w:r>
      <w:r>
        <w:rPr>
          <w:color w:val="231F20"/>
        </w:rPr>
        <w:t>Windows </w:t>
      </w:r>
      <w:r>
        <w:rPr>
          <w:color w:val="231F20"/>
        </w:rPr>
        <w:t>Server </w:t>
      </w:r>
      <w:r>
        <w:rPr>
          <w:color w:val="231F20"/>
          <w:position w:val="-1"/>
        </w:rPr>
        <w:drawing>
          <wp:inline distT="0" distB="0" distL="0" distR="0">
            <wp:extent cx="88900" cy="101600"/>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66" w:lineRule="auto"/>
        <w:ind w:left="3207" w:right="4944"/>
      </w:pPr>
      <w:r>
        <w:rPr>
          <w:position w:val="-1"/>
        </w:rPr>
        <w:drawing>
          <wp:inline distT="0" distB="0" distL="0" distR="0">
            <wp:extent cx="88900" cy="101600"/>
            <wp:effectExtent l="0" t="0" r="0" b="0"/>
            <wp:docPr id="282" name="Image 282"/>
            <wp:cNvGraphicFramePr>
              <a:graphicFrameLocks/>
            </wp:cNvGraphicFramePr>
            <a:graphic>
              <a:graphicData uri="http://schemas.openxmlformats.org/drawingml/2006/picture">
                <pic:pic>
                  <pic:nvPicPr>
                    <pic:cNvPr id="282" name="Image 282"/>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Enterprise </w:t>
      </w:r>
      <w:r>
        <w:rPr>
          <w:color w:val="231F20"/>
        </w:rPr>
        <w:t>Services </w:t>
      </w:r>
      <w:r>
        <w:rPr>
          <w:color w:val="231F20"/>
          <w:position w:val="-1"/>
        </w:rPr>
        <w:drawing>
          <wp:inline distT="0" distB="0" distL="0" distR="0">
            <wp:extent cx="88900" cy="101600"/>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69" w:lineRule="exact"/>
        <w:ind w:left="3207"/>
      </w:pPr>
      <w:r>
        <w:rPr>
          <w:position w:val="-1"/>
        </w:rPr>
        <w:drawing>
          <wp:inline distT="0" distB="0" distL="0" distR="0">
            <wp:extent cx="88900" cy="101600"/>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Network</w:t>
      </w:r>
    </w:p>
    <w:p>
      <w:pPr>
        <w:pStyle w:val="BodyText"/>
        <w:spacing w:before="30"/>
        <w:ind w:left="3237"/>
      </w:pPr>
      <w:r>
        <w:rPr>
          <w:position w:val="2"/>
        </w:rPr>
        <w:drawing>
          <wp:inline distT="0" distB="0" distL="0" distR="0">
            <wp:extent cx="31750" cy="44450"/>
            <wp:effectExtent l="0" t="0" r="0" b="0"/>
            <wp:docPr id="285" name="Image 285"/>
            <wp:cNvGraphicFramePr>
              <a:graphicFrameLocks/>
            </wp:cNvGraphicFramePr>
            <a:graphic>
              <a:graphicData uri="http://schemas.openxmlformats.org/drawingml/2006/picture">
                <pic:pic>
                  <pic:nvPicPr>
                    <pic:cNvPr id="285" name="Image 285"/>
                    <pic:cNvPicPr/>
                  </pic:nvPicPr>
                  <pic:blipFill>
                    <a:blip r:embed="rId115" cstate="print"/>
                    <a:stretch>
                      <a:fillRect/>
                    </a:stretch>
                  </pic:blipFill>
                  <pic:spPr>
                    <a:xfrm>
                      <a:off x="0" y="0"/>
                      <a:ext cx="31750" cy="44450"/>
                    </a:xfrm>
                    <a:prstGeom prst="rect">
                      <a:avLst/>
                    </a:prstGeom>
                  </pic:spPr>
                </pic:pic>
              </a:graphicData>
            </a:graphic>
          </wp:inline>
        </w:drawing>
      </w:r>
      <w:r>
        <w:rPr>
          <w:position w:val="2"/>
        </w:rPr>
      </w:r>
      <w:r>
        <w:rPr>
          <w:rFonts w:ascii="Times New Roman"/>
          <w:spacing w:val="80"/>
          <w:w w:val="150"/>
        </w:rPr>
        <w:t> </w:t>
      </w:r>
      <w:r>
        <w:rPr>
          <w:color w:val="231F20"/>
        </w:rPr>
        <w:t>More... </w:t>
      </w:r>
      <w:r>
        <w:rPr>
          <w:color w:val="231F20"/>
          <w:spacing w:val="16"/>
        </w:rPr>
        <w:t>4 : </w:t>
      </w:r>
      <w:r>
        <w:rPr>
          <w:color w:val="231F20"/>
        </w:rPr>
        <w:t>8 </w:t>
      </w:r>
    </w:p>
    <w:p>
      <w:pPr>
        <w:pStyle w:val="BodyText"/>
        <w:spacing w:before="13"/>
        <w:rPr>
          <w:sz w:val="15"/>
        </w:rPr>
      </w:pPr>
      <w:r>
        <w:rPr/>
        <mc:AlternateContent>
          <mc:Choice Requires="wps">
            <w:drawing>
              <wp:anchor distT="0" distB="0" distL="0" distR="0" allowOverlap="1" layoutInCell="1" locked="0" behindDoc="1" simplePos="0" relativeHeight="487626240">
                <wp:simplePos x="0" y="0"/>
                <wp:positionH relativeFrom="page">
                  <wp:posOffset>760323</wp:posOffset>
                </wp:positionH>
                <wp:positionV relativeFrom="paragraph">
                  <wp:posOffset>151999</wp:posOffset>
                </wp:positionV>
                <wp:extent cx="6082665" cy="127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68433pt;width:478.95pt;height:.1pt;mso-position-horizontal-relative:page;mso-position-vertical-relative:paragraph;z-index:-15690240;mso-wrap-distance-left:0;mso-wrap-distance-right:0" id="docshape40" coordorigin="1197,239" coordsize="9579,0" path="m1197,239l10776,239e" filled="false" stroked="true" strokeweight=".499pt" strokecolor="#231f20">
                <v:path arrowok="t"/>
                <v:stroke dashstyle="solid"/>
                <w10:wrap type="topAndBottom"/>
              </v:shape>
            </w:pict>
          </mc:Fallback>
        </mc:AlternateContent>
      </w:r>
    </w:p>
    <w:p>
      <w:pPr>
        <w:pStyle w:val="Heading3"/>
        <w:ind w:left="197"/>
      </w:pPr>
      <w:bookmarkStart w:name="Expanding the Navigator in increments" w:id="41"/>
      <w:bookmarkEnd w:id="41"/>
      <w:r>
        <w:rPr>
          <w:b w:val="0"/>
        </w:rPr>
      </w:r>
      <w:r>
        <w:rPr>
          <w:color w:val="231F20"/>
        </w:rPr>
        <w:t>Expanding</w:t>
      </w:r>
      <w:r>
        <w:rPr>
          <w:color w:val="231F20"/>
          <w:spacing w:val="6"/>
        </w:rPr>
        <w:t> </w:t>
      </w:r>
      <w:r>
        <w:rPr>
          <w:color w:val="231F20"/>
        </w:rPr>
        <w:t>the</w:t>
      </w:r>
      <w:r>
        <w:rPr>
          <w:color w:val="231F20"/>
          <w:spacing w:val="7"/>
        </w:rPr>
        <w:t> </w:t>
      </w:r>
      <w:r>
        <w:rPr>
          <w:color w:val="231F20"/>
        </w:rPr>
        <w:t>Navigator</w:t>
      </w:r>
      <w:r>
        <w:rPr>
          <w:color w:val="231F20"/>
          <w:spacing w:val="6"/>
        </w:rPr>
        <w:t> </w:t>
      </w:r>
      <w:r>
        <w:rPr>
          <w:color w:val="231F20"/>
        </w:rPr>
        <w:t>in</w:t>
      </w:r>
      <w:r>
        <w:rPr>
          <w:color w:val="231F20"/>
          <w:spacing w:val="7"/>
        </w:rPr>
        <w:t> </w:t>
      </w:r>
      <w:r>
        <w:rPr>
          <w:color w:val="231F20"/>
          <w:spacing w:val="-2"/>
        </w:rPr>
        <w:t>increments</w:t>
      </w:r>
    </w:p>
    <w:p>
      <w:pPr>
        <w:pStyle w:val="BodyText"/>
        <w:spacing w:line="213" w:lineRule="auto" w:before="138"/>
        <w:ind w:left="2232" w:right="636" w:firstLine="40"/>
      </w:pPr>
      <w:r>
        <w:rPr>
          <w:position w:val="2"/>
        </w:rPr>
        <w:drawing>
          <wp:inline distT="0" distB="0" distL="0" distR="0">
            <wp:extent cx="31750" cy="44450"/>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15" cstate="print"/>
                    <a:stretch>
                      <a:fillRect/>
                    </a:stretch>
                  </pic:blipFill>
                  <pic:spPr>
                    <a:xfrm>
                      <a:off x="0" y="0"/>
                      <a:ext cx="31750" cy="44450"/>
                    </a:xfrm>
                    <a:prstGeom prst="rect">
                      <a:avLst/>
                    </a:prstGeom>
                  </pic:spPr>
                </pic:pic>
              </a:graphicData>
            </a:graphic>
          </wp:inline>
        </w:drawing>
      </w:r>
      <w:r>
        <w:rPr>
          <w:position w:val="2"/>
        </w:rPr>
      </w:r>
      <w:r>
        <w:rPr>
          <w:rFonts w:ascii="Times New Roman"/>
          <w:spacing w:val="80"/>
        </w:rPr>
        <w:t> </w:t>
      </w:r>
      <w:r>
        <w:rPr>
          <w:rFonts w:ascii="Book Antiqua"/>
          <w:b/>
          <w:color w:val="231F20"/>
        </w:rPr>
        <w:t>More </w:t>
      </w:r>
      <w:r>
        <w:rPr>
          <w:color w:val="231F20"/>
        </w:rPr>
        <w:t>indicators in the Navigator keep the tree compact. Click the indicator </w:t>
      </w:r>
      <w:r>
        <w:rPr>
          <w:color w:val="231F20"/>
        </w:rPr>
        <w:t>to open that branch of the tree. You can specify how many items to expand at one </w:t>
      </w:r>
      <w:r>
        <w:rPr>
          <w:color w:val="231F20"/>
          <w:spacing w:val="-2"/>
        </w:rPr>
        <w:t>time.</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When clicking</w:t>
      </w:r>
      <w:r>
        <w:rPr>
          <w:color w:val="231F20"/>
          <w:spacing w:val="40"/>
        </w:rPr>
        <w:t> </w:t>
      </w:r>
      <w:r>
        <w:rPr>
          <w:color w:val="231F20"/>
          <w:spacing w:val="6"/>
        </w:rPr>
        <w:drawing>
          <wp:inline distT="0" distB="0" distL="0" distR="0">
            <wp:extent cx="69850" cy="69850"/>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rPr>
      </w:r>
      <w:r>
        <w:rPr>
          <w:rFonts w:ascii="Times New Roman"/>
          <w:color w:val="231F20"/>
          <w:spacing w:val="80"/>
        </w:rPr>
        <w:t> </w:t>
      </w:r>
      <w:r>
        <w:rPr>
          <w:color w:val="231F20"/>
        </w:rPr>
        <w:t>Expand on a Navigator branch of more than, by default, 25 child</w:t>
      </w:r>
      <w:r>
        <w:rPr>
          <w:color w:val="231F20"/>
          <w:spacing w:val="40"/>
        </w:rPr>
        <w:t> </w:t>
      </w:r>
      <w:r>
        <w:rPr>
          <w:color w:val="231F20"/>
        </w:rPr>
        <w:t>items, you are prompted to enter the number to expand at one time.</w:t>
      </w:r>
    </w:p>
    <w:p>
      <w:pPr>
        <w:spacing w:after="0" w:line="213" w:lineRule="auto"/>
        <w:sectPr>
          <w:type w:val="continuous"/>
          <w:pgSz w:w="12240" w:h="15840"/>
          <w:pgMar w:header="0" w:footer="736" w:top="0" w:bottom="4660" w:left="1000" w:right="1060"/>
        </w:sectPr>
      </w:pPr>
    </w:p>
    <w:p>
      <w:pPr>
        <w:pStyle w:val="Heading4"/>
        <w:spacing w:before="86"/>
        <w:ind w:left="2472"/>
      </w:pPr>
      <w:r>
        <w:rPr/>
        <mc:AlternateContent>
          <mc:Choice Requires="wps">
            <w:drawing>
              <wp:anchor distT="0" distB="0" distL="0" distR="0" allowOverlap="1" layoutInCell="1" locked="0" behindDoc="0" simplePos="0" relativeHeight="15768576">
                <wp:simplePos x="0" y="0"/>
                <wp:positionH relativeFrom="page">
                  <wp:posOffset>5181600</wp:posOffset>
                </wp:positionH>
                <wp:positionV relativeFrom="page">
                  <wp:posOffset>3014764</wp:posOffset>
                </wp:positionV>
                <wp:extent cx="2590800" cy="144780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2590800" cy="1447800"/>
                        </a:xfrm>
                        <a:prstGeom prst="rect">
                          <a:avLst/>
                        </a:prstGeom>
                        <a:gradFill>
                          <a:gsLst>
                            <a:gs pos="0">
                              <a:srgbClr val="FFFFFF"/>
                            </a:gs>
                            <a:gs pos="100000">
                              <a:srgbClr val="FFDE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2023-06-19 </w:t>
                            </w:r>
                            <w:r>
                              <w:rPr>
                                <w:rFonts w:ascii="Arial"/>
                                <w:i/>
                                <w:color w:val="000000"/>
                                <w:spacing w:val="-2"/>
                                <w:sz w:val="16"/>
                              </w:rPr>
                              <w:t>20:46:05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is this part of the task </w:t>
                            </w:r>
                            <w:r>
                              <w:rPr>
                                <w:rFonts w:ascii="Arial"/>
                                <w:color w:val="000000"/>
                                <w:spacing w:val="-2"/>
                              </w:rPr>
                              <w:t>example?</w:t>
                            </w:r>
                          </w:p>
                        </w:txbxContent>
                      </wps:txbx>
                      <wps:bodyPr wrap="square" lIns="0" tIns="0" rIns="0" bIns="0" rtlCol="0">
                        <a:noAutofit/>
                      </wps:bodyPr>
                    </wps:wsp>
                  </a:graphicData>
                </a:graphic>
              </wp:anchor>
            </w:drawing>
          </mc:Choice>
          <mc:Fallback>
            <w:pict>
              <v:shape style="position:absolute;margin-left:408pt;margin-top:237.382996pt;width:204pt;height:114pt;mso-position-horizontal-relative:page;mso-position-vertical-relative:page;z-index:15768576" type="#_x0000_t202" id="docshape41" fillcolor="#ffde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2023-06-19 </w:t>
                      </w:r>
                      <w:r>
                        <w:rPr>
                          <w:rFonts w:ascii="Arial"/>
                          <w:i/>
                          <w:color w:val="000000"/>
                          <w:spacing w:val="-2"/>
                          <w:sz w:val="16"/>
                        </w:rPr>
                        <w:t>20:46:05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is this part of the task </w:t>
                      </w:r>
                      <w:r>
                        <w:rPr>
                          <w:rFonts w:ascii="Arial"/>
                          <w:color w:val="000000"/>
                          <w:spacing w:val="-2"/>
                        </w:rPr>
                        <w:t>example?</w:t>
                      </w:r>
                    </w:p>
                  </w:txbxContent>
                </v:textbox>
                <v:fill opacity="45875f" type="gradient"/>
                <v:stroke dashstyle="solid"/>
                <w10:wrap type="none"/>
              </v:shape>
            </w:pict>
          </mc:Fallback>
        </mc:AlternateContent>
      </w:r>
      <w:r>
        <w:rPr>
          <w:color w:val="231F20"/>
          <w:spacing w:val="-2"/>
        </w:rPr>
        <w:t>Procedure</w:t>
      </w:r>
    </w:p>
    <w:p>
      <w:pPr>
        <w:pStyle w:val="ListParagraph"/>
        <w:numPr>
          <w:ilvl w:val="0"/>
          <w:numId w:val="5"/>
        </w:numPr>
        <w:tabs>
          <w:tab w:pos="2787" w:val="left" w:leader="none"/>
        </w:tabs>
        <w:spacing w:line="240" w:lineRule="auto" w:before="39" w:after="0"/>
        <w:ind w:left="2787" w:right="0" w:hanging="315"/>
        <w:jc w:val="left"/>
        <w:rPr>
          <w:sz w:val="20"/>
        </w:rPr>
      </w:pPr>
      <w:r>
        <w:rPr>
          <w:color w:val="231F20"/>
          <w:sz w:val="20"/>
        </w:rPr>
        <w:t>Set</w:t>
      </w:r>
      <w:r>
        <w:rPr>
          <w:color w:val="231F20"/>
          <w:spacing w:val="12"/>
          <w:sz w:val="20"/>
        </w:rPr>
        <w:t> </w:t>
      </w:r>
      <w:r>
        <w:rPr>
          <w:color w:val="231F20"/>
          <w:sz w:val="20"/>
        </w:rPr>
        <w:t>the</w:t>
      </w:r>
      <w:r>
        <w:rPr>
          <w:color w:val="231F20"/>
          <w:spacing w:val="13"/>
          <w:sz w:val="20"/>
        </w:rPr>
        <w:t> </w:t>
      </w:r>
      <w:r>
        <w:rPr>
          <w:color w:val="231F20"/>
          <w:sz w:val="20"/>
        </w:rPr>
        <w:t>number</w:t>
      </w:r>
      <w:r>
        <w:rPr>
          <w:color w:val="231F20"/>
          <w:spacing w:val="12"/>
          <w:sz w:val="20"/>
        </w:rPr>
        <w:t> </w:t>
      </w:r>
      <w:r>
        <w:rPr>
          <w:color w:val="231F20"/>
          <w:sz w:val="20"/>
        </w:rPr>
        <w:t>of</w:t>
      </w:r>
      <w:r>
        <w:rPr>
          <w:color w:val="231F20"/>
          <w:spacing w:val="13"/>
          <w:sz w:val="20"/>
        </w:rPr>
        <w:t> </w:t>
      </w:r>
      <w:r>
        <w:rPr>
          <w:color w:val="231F20"/>
          <w:sz w:val="20"/>
        </w:rPr>
        <w:t>items</w:t>
      </w:r>
      <w:r>
        <w:rPr>
          <w:color w:val="231F20"/>
          <w:spacing w:val="12"/>
          <w:sz w:val="20"/>
        </w:rPr>
        <w:t> </w:t>
      </w:r>
      <w:r>
        <w:rPr>
          <w:color w:val="231F20"/>
          <w:sz w:val="20"/>
        </w:rPr>
        <w:t>to</w:t>
      </w:r>
      <w:r>
        <w:rPr>
          <w:color w:val="231F20"/>
          <w:spacing w:val="13"/>
          <w:sz w:val="20"/>
        </w:rPr>
        <w:t> </w:t>
      </w:r>
      <w:r>
        <w:rPr>
          <w:color w:val="231F20"/>
          <w:spacing w:val="-2"/>
          <w:sz w:val="20"/>
        </w:rPr>
        <w:t>expand:</w:t>
      </w:r>
    </w:p>
    <w:p>
      <w:pPr>
        <w:pStyle w:val="ListParagraph"/>
        <w:numPr>
          <w:ilvl w:val="1"/>
          <w:numId w:val="5"/>
        </w:numPr>
        <w:tabs>
          <w:tab w:pos="3104" w:val="left" w:leader="none"/>
        </w:tabs>
        <w:spacing w:line="213" w:lineRule="auto" w:before="53" w:after="0"/>
        <w:ind w:left="3104" w:right="589" w:hanging="316"/>
        <w:jc w:val="left"/>
        <w:rPr>
          <w:sz w:val="20"/>
        </w:rPr>
      </w:pPr>
      <w:r>
        <w:rPr>
          <w:color w:val="231F20"/>
          <w:sz w:val="20"/>
        </w:rPr>
        <w:t>If the Expand child items window is not open, right-click the </w:t>
      </w:r>
      <w:r>
        <w:rPr>
          <w:color w:val="231F20"/>
          <w:sz w:val="20"/>
        </w:rPr>
        <w:t>Navigator item whose child items you want to expand incrementally and click</w:t>
      </w:r>
    </w:p>
    <w:p>
      <w:pPr>
        <w:spacing w:line="245" w:lineRule="exact" w:before="0"/>
        <w:ind w:left="3144" w:right="0" w:firstLine="0"/>
        <w:jc w:val="left"/>
        <w:rPr>
          <w:sz w:val="20"/>
        </w:rPr>
      </w:pPr>
      <w:r>
        <w:rPr/>
        <w:drawing>
          <wp:inline distT="0" distB="0" distL="0" distR="0">
            <wp:extent cx="69850" cy="69850"/>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40"/>
          <w:sz w:val="20"/>
        </w:rPr>
        <w:t> </w:t>
      </w:r>
      <w:r>
        <w:rPr>
          <w:rFonts w:ascii="Book Antiqua"/>
          <w:b/>
          <w:color w:val="231F20"/>
          <w:sz w:val="20"/>
        </w:rPr>
        <w:t>Expand</w:t>
      </w:r>
      <w:r>
        <w:rPr>
          <w:color w:val="231F20"/>
          <w:sz w:val="20"/>
        </w:rPr>
        <w:t>.</w:t>
      </w:r>
    </w:p>
    <w:p>
      <w:pPr>
        <w:pStyle w:val="ListParagraph"/>
        <w:numPr>
          <w:ilvl w:val="1"/>
          <w:numId w:val="5"/>
        </w:numPr>
        <w:tabs>
          <w:tab w:pos="3104" w:val="left" w:leader="none"/>
        </w:tabs>
        <w:spacing w:line="213" w:lineRule="auto" w:before="52" w:after="0"/>
        <w:ind w:left="3104" w:right="587" w:hanging="316"/>
        <w:jc w:val="left"/>
        <w:rPr>
          <w:sz w:val="20"/>
        </w:rPr>
      </w:pPr>
      <w:r>
        <w:rPr>
          <w:color w:val="231F20"/>
          <w:sz w:val="20"/>
        </w:rPr>
        <w:t>Enter the number to expand and click </w:t>
      </w:r>
      <w:r>
        <w:rPr>
          <w:rFonts w:ascii="Book Antiqua"/>
          <w:b/>
          <w:color w:val="231F20"/>
          <w:sz w:val="20"/>
        </w:rPr>
        <w:t>OK </w:t>
      </w:r>
      <w:r>
        <w:rPr>
          <w:color w:val="231F20"/>
          <w:sz w:val="20"/>
        </w:rPr>
        <w:t>to open that number of </w:t>
      </w:r>
      <w:r>
        <w:rPr>
          <w:color w:val="231F20"/>
          <w:sz w:val="20"/>
        </w:rPr>
        <w:t>child </w:t>
      </w:r>
      <w:r>
        <w:rPr>
          <w:color w:val="231F20"/>
          <w:spacing w:val="-2"/>
          <w:sz w:val="20"/>
        </w:rPr>
        <w:t>items.</w:t>
      </w:r>
    </w:p>
    <w:p>
      <w:pPr>
        <w:pStyle w:val="ListParagraph"/>
        <w:numPr>
          <w:ilvl w:val="1"/>
          <w:numId w:val="5"/>
        </w:numPr>
        <w:tabs>
          <w:tab w:pos="3091" w:val="left" w:leader="none"/>
        </w:tabs>
        <w:spacing w:line="240" w:lineRule="auto" w:before="36" w:after="0"/>
        <w:ind w:left="3091" w:right="0" w:hanging="303"/>
        <w:jc w:val="left"/>
        <w:rPr>
          <w:sz w:val="20"/>
        </w:rPr>
      </w:pPr>
      <w:r>
        <w:rPr>
          <w:color w:val="231F20"/>
          <w:sz w:val="20"/>
        </w:rPr>
        <w:t>Click</w:t>
      </w:r>
      <w:r>
        <w:rPr>
          <w:color w:val="231F20"/>
          <w:spacing w:val="50"/>
          <w:sz w:val="20"/>
        </w:rPr>
        <w:t> </w:t>
      </w:r>
      <w:r>
        <w:rPr>
          <w:color w:val="231F20"/>
          <w:spacing w:val="6"/>
          <w:position w:val="2"/>
          <w:sz w:val="20"/>
        </w:rPr>
        <w:drawing>
          <wp:inline distT="0" distB="0" distL="0" distR="0">
            <wp:extent cx="31750" cy="44450"/>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115" cstate="print"/>
                    <a:stretch>
                      <a:fillRect/>
                    </a:stretch>
                  </pic:blipFill>
                  <pic:spPr>
                    <a:xfrm>
                      <a:off x="0" y="0"/>
                      <a:ext cx="31750" cy="44450"/>
                    </a:xfrm>
                    <a:prstGeom prst="rect">
                      <a:avLst/>
                    </a:prstGeom>
                  </pic:spPr>
                </pic:pic>
              </a:graphicData>
            </a:graphic>
          </wp:inline>
        </w:drawing>
      </w:r>
      <w:r>
        <w:rPr>
          <w:color w:val="231F20"/>
          <w:spacing w:val="6"/>
          <w:position w:val="2"/>
          <w:sz w:val="20"/>
        </w:rPr>
      </w:r>
      <w:r>
        <w:rPr>
          <w:rFonts w:ascii="Times New Roman"/>
          <w:color w:val="231F20"/>
          <w:spacing w:val="38"/>
          <w:sz w:val="20"/>
        </w:rPr>
        <w:t> </w:t>
      </w:r>
      <w:r>
        <w:rPr>
          <w:rFonts w:ascii="Book Antiqua"/>
          <w:b/>
          <w:color w:val="231F20"/>
          <w:sz w:val="20"/>
        </w:rPr>
        <w:t>More</w:t>
      </w:r>
      <w:r>
        <w:rPr>
          <w:rFonts w:ascii="Book Antiqua"/>
          <w:b/>
          <w:color w:val="231F20"/>
          <w:spacing w:val="12"/>
          <w:sz w:val="20"/>
        </w:rPr>
        <w:t> </w:t>
      </w:r>
      <w:r>
        <w:rPr>
          <w:color w:val="231F20"/>
          <w:sz w:val="20"/>
        </w:rPr>
        <w:t>when</w:t>
      </w:r>
      <w:r>
        <w:rPr>
          <w:color w:val="231F20"/>
          <w:spacing w:val="12"/>
          <w:sz w:val="20"/>
        </w:rPr>
        <w:t> </w:t>
      </w:r>
      <w:r>
        <w:rPr>
          <w:color w:val="231F20"/>
          <w:sz w:val="20"/>
        </w:rPr>
        <w:t>you</w:t>
      </w:r>
      <w:r>
        <w:rPr>
          <w:color w:val="231F20"/>
          <w:spacing w:val="13"/>
          <w:sz w:val="20"/>
        </w:rPr>
        <w:t> </w:t>
      </w:r>
      <w:r>
        <w:rPr>
          <w:color w:val="231F20"/>
          <w:sz w:val="20"/>
        </w:rPr>
        <w:t>want</w:t>
      </w:r>
      <w:r>
        <w:rPr>
          <w:color w:val="231F20"/>
          <w:spacing w:val="12"/>
          <w:sz w:val="20"/>
        </w:rPr>
        <w:t> </w:t>
      </w:r>
      <w:r>
        <w:rPr>
          <w:color w:val="231F20"/>
          <w:sz w:val="20"/>
        </w:rPr>
        <w:t>to</w:t>
      </w:r>
      <w:r>
        <w:rPr>
          <w:color w:val="231F20"/>
          <w:spacing w:val="13"/>
          <w:sz w:val="20"/>
        </w:rPr>
        <w:t> </w:t>
      </w:r>
      <w:r>
        <w:rPr>
          <w:color w:val="231F20"/>
          <w:sz w:val="20"/>
        </w:rPr>
        <w:t>open</w:t>
      </w:r>
      <w:r>
        <w:rPr>
          <w:color w:val="231F20"/>
          <w:spacing w:val="12"/>
          <w:sz w:val="20"/>
        </w:rPr>
        <w:t> </w:t>
      </w:r>
      <w:r>
        <w:rPr>
          <w:color w:val="231F20"/>
          <w:sz w:val="20"/>
        </w:rPr>
        <w:t>the</w:t>
      </w:r>
      <w:r>
        <w:rPr>
          <w:color w:val="231F20"/>
          <w:spacing w:val="12"/>
          <w:sz w:val="20"/>
        </w:rPr>
        <w:t> </w:t>
      </w:r>
      <w:r>
        <w:rPr>
          <w:color w:val="231F20"/>
          <w:sz w:val="20"/>
        </w:rPr>
        <w:t>next</w:t>
      </w:r>
      <w:r>
        <w:rPr>
          <w:color w:val="231F20"/>
          <w:spacing w:val="13"/>
          <w:sz w:val="20"/>
        </w:rPr>
        <w:t> </w:t>
      </w:r>
      <w:r>
        <w:rPr>
          <w:color w:val="231F20"/>
          <w:sz w:val="20"/>
        </w:rPr>
        <w:t>group</w:t>
      </w:r>
      <w:r>
        <w:rPr>
          <w:color w:val="231F20"/>
          <w:spacing w:val="12"/>
          <w:sz w:val="20"/>
        </w:rPr>
        <w:t> </w:t>
      </w:r>
      <w:r>
        <w:rPr>
          <w:color w:val="231F20"/>
          <w:sz w:val="20"/>
        </w:rPr>
        <w:t>of</w:t>
      </w:r>
      <w:r>
        <w:rPr>
          <w:color w:val="231F20"/>
          <w:spacing w:val="12"/>
          <w:sz w:val="20"/>
        </w:rPr>
        <w:t> </w:t>
      </w:r>
      <w:r>
        <w:rPr>
          <w:color w:val="231F20"/>
          <w:sz w:val="20"/>
        </w:rPr>
        <w:t>child</w:t>
      </w:r>
      <w:r>
        <w:rPr>
          <w:color w:val="231F20"/>
          <w:spacing w:val="13"/>
          <w:sz w:val="20"/>
        </w:rPr>
        <w:t> </w:t>
      </w:r>
      <w:r>
        <w:rPr>
          <w:color w:val="231F20"/>
          <w:spacing w:val="-2"/>
          <w:sz w:val="20"/>
        </w:rPr>
        <w:t>items.</w:t>
      </w:r>
    </w:p>
    <w:p>
      <w:pPr>
        <w:pStyle w:val="ListParagraph"/>
        <w:numPr>
          <w:ilvl w:val="0"/>
          <w:numId w:val="5"/>
        </w:numPr>
        <w:tabs>
          <w:tab w:pos="2788" w:val="left" w:leader="none"/>
        </w:tabs>
        <w:spacing w:line="213" w:lineRule="auto" w:before="52" w:after="0"/>
        <w:ind w:left="2788" w:right="266" w:hanging="316"/>
        <w:jc w:val="left"/>
        <w:rPr>
          <w:sz w:val="20"/>
        </w:rPr>
      </w:pPr>
      <w:r>
        <w:rPr>
          <w:color w:val="231F20"/>
          <w:sz w:val="20"/>
        </w:rPr>
        <w:t>Expand</w:t>
      </w:r>
      <w:r>
        <w:rPr>
          <w:color w:val="231F20"/>
          <w:spacing w:val="25"/>
          <w:sz w:val="20"/>
        </w:rPr>
        <w:t> </w:t>
      </w:r>
      <w:r>
        <w:rPr>
          <w:color w:val="231F20"/>
          <w:sz w:val="20"/>
        </w:rPr>
        <w:t>child</w:t>
      </w:r>
      <w:r>
        <w:rPr>
          <w:color w:val="231F20"/>
          <w:spacing w:val="25"/>
          <w:sz w:val="20"/>
        </w:rPr>
        <w:t> </w:t>
      </w:r>
      <w:r>
        <w:rPr>
          <w:color w:val="231F20"/>
          <w:sz w:val="20"/>
        </w:rPr>
        <w:t>items. You</w:t>
      </w:r>
      <w:r>
        <w:rPr>
          <w:color w:val="231F20"/>
          <w:spacing w:val="25"/>
          <w:sz w:val="20"/>
        </w:rPr>
        <w:t> </w:t>
      </w:r>
      <w:r>
        <w:rPr>
          <w:color w:val="231F20"/>
          <w:sz w:val="20"/>
        </w:rPr>
        <w:t>can</w:t>
      </w:r>
      <w:r>
        <w:rPr>
          <w:color w:val="231F20"/>
          <w:spacing w:val="25"/>
          <w:sz w:val="20"/>
        </w:rPr>
        <w:t> </w:t>
      </w:r>
      <w:r>
        <w:rPr>
          <w:color w:val="231F20"/>
          <w:sz w:val="20"/>
        </w:rPr>
        <w:t>expand</w:t>
      </w:r>
      <w:r>
        <w:rPr>
          <w:color w:val="231F20"/>
          <w:spacing w:val="25"/>
          <w:sz w:val="20"/>
        </w:rPr>
        <w:t> </w:t>
      </w:r>
      <w:r>
        <w:rPr>
          <w:color w:val="231F20"/>
          <w:sz w:val="20"/>
        </w:rPr>
        <w:t>all</w:t>
      </w:r>
      <w:r>
        <w:rPr>
          <w:color w:val="231F20"/>
          <w:spacing w:val="25"/>
          <w:sz w:val="20"/>
        </w:rPr>
        <w:t> </w:t>
      </w:r>
      <w:r>
        <w:rPr>
          <w:color w:val="231F20"/>
          <w:sz w:val="20"/>
        </w:rPr>
        <w:t>the</w:t>
      </w:r>
      <w:r>
        <w:rPr>
          <w:color w:val="231F20"/>
          <w:spacing w:val="25"/>
          <w:sz w:val="20"/>
        </w:rPr>
        <w:t> </w:t>
      </w:r>
      <w:r>
        <w:rPr>
          <w:color w:val="231F20"/>
          <w:sz w:val="20"/>
        </w:rPr>
        <w:t>child</w:t>
      </w:r>
      <w:r>
        <w:rPr>
          <w:color w:val="231F20"/>
          <w:spacing w:val="25"/>
          <w:sz w:val="20"/>
        </w:rPr>
        <w:t> </w:t>
      </w:r>
      <w:r>
        <w:rPr>
          <w:color w:val="231F20"/>
          <w:sz w:val="20"/>
        </w:rPr>
        <w:t>items</w:t>
      </w:r>
      <w:r>
        <w:rPr>
          <w:color w:val="231F20"/>
          <w:spacing w:val="25"/>
          <w:sz w:val="20"/>
        </w:rPr>
        <w:t> </w:t>
      </w:r>
      <w:r>
        <w:rPr>
          <w:color w:val="231F20"/>
          <w:sz w:val="20"/>
        </w:rPr>
        <w:t>of</w:t>
      </w:r>
      <w:r>
        <w:rPr>
          <w:color w:val="231F20"/>
          <w:spacing w:val="25"/>
          <w:sz w:val="20"/>
        </w:rPr>
        <w:t> </w:t>
      </w:r>
      <w:r>
        <w:rPr>
          <w:color w:val="231F20"/>
          <w:sz w:val="20"/>
        </w:rPr>
        <w:t>a</w:t>
      </w:r>
      <w:r>
        <w:rPr>
          <w:color w:val="231F20"/>
          <w:spacing w:val="25"/>
          <w:sz w:val="20"/>
        </w:rPr>
        <w:t> </w:t>
      </w:r>
      <w:r>
        <w:rPr>
          <w:color w:val="231F20"/>
          <w:sz w:val="20"/>
        </w:rPr>
        <w:t>Navigator</w:t>
      </w:r>
      <w:r>
        <w:rPr>
          <w:color w:val="231F20"/>
          <w:spacing w:val="25"/>
          <w:sz w:val="20"/>
        </w:rPr>
        <w:t> </w:t>
      </w:r>
      <w:r>
        <w:rPr>
          <w:color w:val="231F20"/>
          <w:sz w:val="20"/>
        </w:rPr>
        <w:t>item. The entire branch does not expand, just the children of the selected item. If </w:t>
      </w:r>
      <w:r>
        <w:rPr>
          <w:color w:val="231F20"/>
          <w:sz w:val="20"/>
        </w:rPr>
        <w:t>the Expand child items window is not open, right-click the Navigator item whose child items you want to expand and click</w:t>
      </w:r>
      <w:r>
        <w:rPr>
          <w:color w:val="231F20"/>
          <w:spacing w:val="40"/>
          <w:sz w:val="20"/>
        </w:rPr>
        <w:t> </w:t>
      </w:r>
      <w:r>
        <w:rPr>
          <w:color w:val="231F20"/>
          <w:spacing w:val="5"/>
          <w:sz w:val="20"/>
        </w:rPr>
        <w:drawing>
          <wp:inline distT="0" distB="0" distL="0" distR="0">
            <wp:extent cx="69850" cy="69850"/>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sz w:val="20"/>
        </w:rPr>
      </w:r>
      <w:r>
        <w:rPr>
          <w:rFonts w:ascii="Times New Roman"/>
          <w:color w:val="231F20"/>
          <w:spacing w:val="80"/>
          <w:sz w:val="20"/>
        </w:rPr>
        <w:t> </w:t>
      </w:r>
      <w:r>
        <w:rPr>
          <w:rFonts w:ascii="Book Antiqua"/>
          <w:b/>
          <w:color w:val="231F20"/>
          <w:sz w:val="20"/>
        </w:rPr>
        <w:t>Expand Child Items</w:t>
      </w:r>
      <w:r>
        <w:rPr>
          <w:color w:val="231F20"/>
          <w:sz w:val="20"/>
        </w:rPr>
        <w:t>.</w:t>
      </w:r>
    </w:p>
    <w:p>
      <w:pPr>
        <w:pStyle w:val="Heading4"/>
        <w:spacing w:before="199"/>
        <w:ind w:left="2472"/>
      </w:pPr>
      <w:r>
        <w:rPr/>
        <mc:AlternateContent>
          <mc:Choice Requires="wps">
            <w:drawing>
              <wp:anchor distT="0" distB="0" distL="0" distR="0" allowOverlap="1" layoutInCell="1" locked="0" behindDoc="0" simplePos="0" relativeHeight="15768064">
                <wp:simplePos x="0" y="0"/>
                <wp:positionH relativeFrom="page">
                  <wp:posOffset>2823476</wp:posOffset>
                </wp:positionH>
                <wp:positionV relativeFrom="paragraph">
                  <wp:posOffset>271378</wp:posOffset>
                </wp:positionV>
                <wp:extent cx="229235" cy="229235"/>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229235" cy="229235"/>
                          <a:chExt cx="229235" cy="229235"/>
                        </a:xfrm>
                      </wpg:grpSpPr>
                      <wps:wsp>
                        <wps:cNvPr id="294" name="Graphic 294"/>
                        <wps:cNvSpPr/>
                        <wps:spPr>
                          <a:xfrm>
                            <a:off x="3810" y="3810"/>
                            <a:ext cx="221615" cy="221615"/>
                          </a:xfrm>
                          <a:custGeom>
                            <a:avLst/>
                            <a:gdLst/>
                            <a:ahLst/>
                            <a:cxnLst/>
                            <a:rect l="l" t="t" r="r" b="b"/>
                            <a:pathLst>
                              <a:path w="221615" h="221615">
                                <a:moveTo>
                                  <a:pt x="215658" y="0"/>
                                </a:moveTo>
                                <a:lnTo>
                                  <a:pt x="208876" y="0"/>
                                </a:lnTo>
                                <a:lnTo>
                                  <a:pt x="5499" y="0"/>
                                </a:lnTo>
                                <a:lnTo>
                                  <a:pt x="0" y="5486"/>
                                </a:lnTo>
                                <a:lnTo>
                                  <a:pt x="0" y="215658"/>
                                </a:lnTo>
                                <a:lnTo>
                                  <a:pt x="5499" y="221157"/>
                                </a:lnTo>
                                <a:lnTo>
                                  <a:pt x="215658" y="221157"/>
                                </a:lnTo>
                                <a:lnTo>
                                  <a:pt x="221157" y="215658"/>
                                </a:lnTo>
                                <a:lnTo>
                                  <a:pt x="221157" y="5486"/>
                                </a:lnTo>
                                <a:lnTo>
                                  <a:pt x="215658" y="0"/>
                                </a:lnTo>
                                <a:close/>
                              </a:path>
                            </a:pathLst>
                          </a:custGeom>
                          <a:solidFill>
                            <a:srgbClr val="FFFFFF">
                              <a:alpha val="59999"/>
                            </a:srgbClr>
                          </a:solidFill>
                        </wps:spPr>
                        <wps:bodyPr wrap="square" lIns="0" tIns="0" rIns="0" bIns="0" rtlCol="0">
                          <a:prstTxWarp prst="textNoShape">
                            <a:avLst/>
                          </a:prstTxWarp>
                          <a:noAutofit/>
                        </wps:bodyPr>
                      </wps:wsp>
                      <wps:wsp>
                        <wps:cNvPr id="295" name="Graphic 295"/>
                        <wps:cNvSpPr/>
                        <wps:spPr>
                          <a:xfrm>
                            <a:off x="3810" y="3810"/>
                            <a:ext cx="221615" cy="221615"/>
                          </a:xfrm>
                          <a:custGeom>
                            <a:avLst/>
                            <a:gdLst/>
                            <a:ahLst/>
                            <a:cxnLst/>
                            <a:rect l="l" t="t" r="r" b="b"/>
                            <a:pathLst>
                              <a:path w="221615" h="221615">
                                <a:moveTo>
                                  <a:pt x="215658" y="0"/>
                                </a:moveTo>
                                <a:lnTo>
                                  <a:pt x="5499" y="0"/>
                                </a:lnTo>
                                <a:lnTo>
                                  <a:pt x="0" y="5486"/>
                                </a:lnTo>
                                <a:lnTo>
                                  <a:pt x="0" y="215658"/>
                                </a:lnTo>
                                <a:lnTo>
                                  <a:pt x="5499" y="221157"/>
                                </a:lnTo>
                                <a:lnTo>
                                  <a:pt x="215658" y="221157"/>
                                </a:lnTo>
                                <a:lnTo>
                                  <a:pt x="221157" y="215658"/>
                                </a:lnTo>
                                <a:lnTo>
                                  <a:pt x="221157" y="195910"/>
                                </a:lnTo>
                                <a:lnTo>
                                  <a:pt x="81051" y="195910"/>
                                </a:lnTo>
                                <a:lnTo>
                                  <a:pt x="81051" y="160223"/>
                                </a:lnTo>
                                <a:lnTo>
                                  <a:pt x="37934" y="160223"/>
                                </a:lnTo>
                                <a:lnTo>
                                  <a:pt x="37934" y="46685"/>
                                </a:lnTo>
                                <a:lnTo>
                                  <a:pt x="221157" y="46685"/>
                                </a:lnTo>
                                <a:lnTo>
                                  <a:pt x="221157" y="5486"/>
                                </a:lnTo>
                                <a:lnTo>
                                  <a:pt x="215658" y="0"/>
                                </a:lnTo>
                                <a:close/>
                              </a:path>
                              <a:path w="221615" h="221615">
                                <a:moveTo>
                                  <a:pt x="221157" y="46685"/>
                                </a:moveTo>
                                <a:lnTo>
                                  <a:pt x="180555" y="46685"/>
                                </a:lnTo>
                                <a:lnTo>
                                  <a:pt x="180555" y="160223"/>
                                </a:lnTo>
                                <a:lnTo>
                                  <a:pt x="123278" y="160223"/>
                                </a:lnTo>
                                <a:lnTo>
                                  <a:pt x="81051" y="195910"/>
                                </a:lnTo>
                                <a:lnTo>
                                  <a:pt x="221157" y="195910"/>
                                </a:lnTo>
                                <a:lnTo>
                                  <a:pt x="221157" y="46685"/>
                                </a:lnTo>
                                <a:close/>
                              </a:path>
                              <a:path w="221615" h="221615">
                                <a:moveTo>
                                  <a:pt x="139407" y="110439"/>
                                </a:moveTo>
                                <a:lnTo>
                                  <a:pt x="66128" y="110439"/>
                                </a:lnTo>
                                <a:lnTo>
                                  <a:pt x="66128" y="117805"/>
                                </a:lnTo>
                                <a:lnTo>
                                  <a:pt x="139407" y="117805"/>
                                </a:lnTo>
                                <a:lnTo>
                                  <a:pt x="139407" y="110439"/>
                                </a:lnTo>
                                <a:close/>
                              </a:path>
                              <a:path w="221615" h="221615">
                                <a:moveTo>
                                  <a:pt x="152361" y="89230"/>
                                </a:moveTo>
                                <a:lnTo>
                                  <a:pt x="66128" y="89230"/>
                                </a:lnTo>
                                <a:lnTo>
                                  <a:pt x="66128" y="96596"/>
                                </a:lnTo>
                                <a:lnTo>
                                  <a:pt x="152361" y="96596"/>
                                </a:lnTo>
                                <a:lnTo>
                                  <a:pt x="152361" y="89230"/>
                                </a:lnTo>
                                <a:close/>
                              </a:path>
                            </a:pathLst>
                          </a:custGeom>
                          <a:solidFill>
                            <a:srgbClr val="FFD100"/>
                          </a:solidFill>
                        </wps:spPr>
                        <wps:bodyPr wrap="square" lIns="0" tIns="0" rIns="0" bIns="0" rtlCol="0">
                          <a:prstTxWarp prst="textNoShape">
                            <a:avLst/>
                          </a:prstTxWarp>
                          <a:noAutofit/>
                        </wps:bodyPr>
                      </wps:wsp>
                      <wps:wsp>
                        <wps:cNvPr id="296" name="Graphic 296"/>
                        <wps:cNvSpPr/>
                        <wps:spPr>
                          <a:xfrm>
                            <a:off x="3810" y="3810"/>
                            <a:ext cx="221615" cy="221615"/>
                          </a:xfrm>
                          <a:custGeom>
                            <a:avLst/>
                            <a:gdLst/>
                            <a:ahLst/>
                            <a:cxnLst/>
                            <a:rect l="l" t="t" r="r" b="b"/>
                            <a:pathLst>
                              <a:path w="221615" h="221615">
                                <a:moveTo>
                                  <a:pt x="123278" y="160223"/>
                                </a:moveTo>
                                <a:lnTo>
                                  <a:pt x="81051" y="195910"/>
                                </a:lnTo>
                                <a:lnTo>
                                  <a:pt x="81051" y="160223"/>
                                </a:lnTo>
                                <a:lnTo>
                                  <a:pt x="37934" y="160223"/>
                                </a:lnTo>
                                <a:lnTo>
                                  <a:pt x="37934" y="46685"/>
                                </a:lnTo>
                                <a:lnTo>
                                  <a:pt x="180555" y="46685"/>
                                </a:lnTo>
                                <a:lnTo>
                                  <a:pt x="180555" y="160223"/>
                                </a:lnTo>
                                <a:lnTo>
                                  <a:pt x="123278" y="160223"/>
                                </a:lnTo>
                              </a:path>
                              <a:path w="221615" h="221615">
                                <a:moveTo>
                                  <a:pt x="66128" y="96596"/>
                                </a:moveTo>
                                <a:lnTo>
                                  <a:pt x="66128" y="89230"/>
                                </a:lnTo>
                                <a:lnTo>
                                  <a:pt x="152361" y="89230"/>
                                </a:lnTo>
                                <a:lnTo>
                                  <a:pt x="152361" y="96596"/>
                                </a:lnTo>
                                <a:lnTo>
                                  <a:pt x="66128" y="96596"/>
                                </a:lnTo>
                              </a:path>
                              <a:path w="221615" h="221615">
                                <a:moveTo>
                                  <a:pt x="66128" y="117805"/>
                                </a:moveTo>
                                <a:lnTo>
                                  <a:pt x="66128" y="110439"/>
                                </a:lnTo>
                                <a:lnTo>
                                  <a:pt x="139407" y="110439"/>
                                </a:lnTo>
                                <a:lnTo>
                                  <a:pt x="139407" y="117805"/>
                                </a:lnTo>
                                <a:lnTo>
                                  <a:pt x="66128" y="117805"/>
                                </a:lnTo>
                              </a:path>
                              <a:path w="221615" h="221615">
                                <a:moveTo>
                                  <a:pt x="208876" y="0"/>
                                </a:moveTo>
                                <a:lnTo>
                                  <a:pt x="12280" y="0"/>
                                </a:lnTo>
                                <a:lnTo>
                                  <a:pt x="5499" y="0"/>
                                </a:lnTo>
                                <a:lnTo>
                                  <a:pt x="0" y="5486"/>
                                </a:lnTo>
                                <a:lnTo>
                                  <a:pt x="0" y="12280"/>
                                </a:lnTo>
                                <a:lnTo>
                                  <a:pt x="0" y="208876"/>
                                </a:lnTo>
                                <a:lnTo>
                                  <a:pt x="0" y="215658"/>
                                </a:lnTo>
                                <a:lnTo>
                                  <a:pt x="5499" y="221157"/>
                                </a:lnTo>
                                <a:lnTo>
                                  <a:pt x="12280" y="221157"/>
                                </a:lnTo>
                                <a:lnTo>
                                  <a:pt x="208876" y="221157"/>
                                </a:lnTo>
                                <a:lnTo>
                                  <a:pt x="215658" y="221157"/>
                                </a:lnTo>
                                <a:lnTo>
                                  <a:pt x="221157" y="215658"/>
                                </a:lnTo>
                                <a:lnTo>
                                  <a:pt x="221157" y="208876"/>
                                </a:lnTo>
                                <a:lnTo>
                                  <a:pt x="221157" y="12280"/>
                                </a:lnTo>
                                <a:lnTo>
                                  <a:pt x="221157" y="5486"/>
                                </a:lnTo>
                                <a:lnTo>
                                  <a:pt x="215658" y="0"/>
                                </a:lnTo>
                                <a:lnTo>
                                  <a:pt x="208876" y="0"/>
                                </a:lnTo>
                                <a:close/>
                              </a:path>
                            </a:pathLst>
                          </a:custGeom>
                          <a:ln w="7620">
                            <a:solidFill>
                              <a:srgbClr val="000000"/>
                            </a:solidFill>
                            <a:prstDash val="dot"/>
                          </a:ln>
                        </wps:spPr>
                        <wps:bodyPr wrap="square" lIns="0" tIns="0" rIns="0" bIns="0" rtlCol="0">
                          <a:prstTxWarp prst="textNoShape">
                            <a:avLst/>
                          </a:prstTxWarp>
                          <a:noAutofit/>
                        </wps:bodyPr>
                      </wps:wsp>
                    </wpg:wgp>
                  </a:graphicData>
                </a:graphic>
              </wp:anchor>
            </w:drawing>
          </mc:Choice>
          <mc:Fallback>
            <w:pict>
              <v:group style="position:absolute;margin-left:222.320999pt;margin-top:21.368353pt;width:18.05pt;height:18.05pt;mso-position-horizontal-relative:page;mso-position-vertical-relative:paragraph;z-index:15768064" id="docshapegroup42" coordorigin="4446,427" coordsize="361,361">
                <v:shape style="position:absolute;left:4452;top:433;width:349;height:349" id="docshape43" coordorigin="4452,433" coordsize="349,349" path="m4792,433l4781,433,4461,433,4452,442,4452,773,4461,782,4792,782,4801,773,4801,442,4792,433xe" filled="true" fillcolor="#ffffff" stroked="false">
                  <v:path arrowok="t"/>
                  <v:fill opacity="39321f" type="solid"/>
                </v:shape>
                <v:shape style="position:absolute;left:4452;top:433;width:349;height:349" id="docshape44" coordorigin="4452,433" coordsize="349,349" path="m4792,433l4461,433,4452,442,4452,773,4461,782,4792,782,4801,773,4801,742,4580,742,4580,686,4512,686,4512,507,4801,507,4801,442,4792,433xm4801,507l4737,507,4737,686,4647,686,4580,742,4801,742,4801,507xm4672,607l4557,607,4557,619,4672,619,4672,607xm4692,574l4557,574,4557,585,4692,585,4692,574xe" filled="true" fillcolor="#ffd100" stroked="false">
                  <v:path arrowok="t"/>
                  <v:fill type="solid"/>
                </v:shape>
                <v:shape style="position:absolute;left:4452;top:433;width:349;height:349" id="docshape45" coordorigin="4452,433" coordsize="349,349" path="m4647,686l4580,742,4580,686,4512,686,4512,507,4737,507,4737,686,4647,686m4557,585l4557,574,4692,574,4692,585,4557,585m4557,619l4557,607,4672,607,4672,619,4557,619m4781,433l4472,433,4461,433,4452,442,4452,453,4452,762,4452,773,4461,782,4472,782,4781,782,4792,782,4801,773,4801,762,4801,453,4801,442,4792,433,4781,433xe" filled="false" stroked="true" strokeweight=".6pt" strokecolor="#000000">
                  <v:path arrowok="t"/>
                  <v:stroke dashstyle="dot"/>
                </v:shape>
                <w10:wrap type="none"/>
              </v:group>
            </w:pict>
          </mc:Fallback>
        </mc:AlternateContent>
      </w:r>
      <w:r>
        <w:rPr>
          <w:color w:val="231F20"/>
          <w:spacing w:val="-2"/>
        </w:rPr>
        <w:t>Example</w:t>
      </w:r>
    </w:p>
    <w:p>
      <w:pPr>
        <w:pStyle w:val="BodyText"/>
        <w:spacing w:line="213" w:lineRule="auto" w:before="241"/>
        <w:ind w:left="2472" w:right="493"/>
      </w:pPr>
      <w:r>
        <w:rPr>
          <w:color w:val="231F20"/>
        </w:rPr>
        <w:t>In large managed environments the expand feature helps you control the Navigator display and its performance. In this example, the expansion limit of </w:t>
      </w:r>
      <w:r>
        <w:rPr>
          <w:color w:val="231F20"/>
        </w:rPr>
        <w:t>4 was chosen for the Windows Server child items:</w:t>
      </w:r>
    </w:p>
    <w:p>
      <w:pPr>
        <w:pStyle w:val="BodyText"/>
        <w:spacing w:before="35"/>
        <w:ind w:left="2811"/>
      </w:pPr>
      <w:r>
        <w:rPr/>
        <w:drawing>
          <wp:inline distT="0" distB="0" distL="0" distR="0">
            <wp:extent cx="69850" cy="69850"/>
            <wp:effectExtent l="0" t="0" r="0" b="0"/>
            <wp:docPr id="297" name="Image 297"/>
            <wp:cNvGraphicFramePr>
              <a:graphicFrameLocks/>
            </wp:cNvGraphicFramePr>
            <a:graphic>
              <a:graphicData uri="http://schemas.openxmlformats.org/drawingml/2006/picture">
                <pic:pic>
                  <pic:nvPicPr>
                    <pic:cNvPr id="297" name="Image 297"/>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95250" cy="101600"/>
            <wp:effectExtent l="0" t="0" r="0" b="0"/>
            <wp:docPr id="298" name="Image 298"/>
            <wp:cNvGraphicFramePr>
              <a:graphicFrameLocks/>
            </wp:cNvGraphicFramePr>
            <a:graphic>
              <a:graphicData uri="http://schemas.openxmlformats.org/drawingml/2006/picture">
                <pic:pic>
                  <pic:nvPicPr>
                    <pic:cNvPr id="298" name="Image 298"/>
                    <pic:cNvPicPr/>
                  </pic:nvPicPr>
                  <pic:blipFill>
                    <a:blip r:embed="rId70" cstate="print"/>
                    <a:stretch>
                      <a:fillRect/>
                    </a:stretch>
                  </pic:blipFill>
                  <pic:spPr>
                    <a:xfrm>
                      <a:off x="0" y="0"/>
                      <a:ext cx="95250" cy="10160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Enterprise</w:t>
      </w:r>
    </w:p>
    <w:p>
      <w:pPr>
        <w:pStyle w:val="BodyText"/>
        <w:spacing w:line="266" w:lineRule="auto" w:before="29"/>
        <w:ind w:left="3476" w:right="4693" w:hanging="200"/>
      </w:pPr>
      <w:r>
        <w:rPr/>
        <w:drawing>
          <wp:inline distT="0" distB="0" distL="0" distR="0">
            <wp:extent cx="69850" cy="69850"/>
            <wp:effectExtent l="0" t="0" r="0" b="0"/>
            <wp:docPr id="299" name="Image 299"/>
            <wp:cNvGraphicFramePr>
              <a:graphicFrameLocks/>
            </wp:cNvGraphicFramePr>
            <a:graphic>
              <a:graphicData uri="http://schemas.openxmlformats.org/drawingml/2006/picture">
                <pic:pic>
                  <pic:nvPicPr>
                    <pic:cNvPr id="299" name="Image 299"/>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101600" cy="95250"/>
            <wp:effectExtent l="0" t="0" r="0" b="0"/>
            <wp:docPr id="300" name="Image 300"/>
            <wp:cNvGraphicFramePr>
              <a:graphicFrameLocks/>
            </wp:cNvGraphicFramePr>
            <a:graphic>
              <a:graphicData uri="http://schemas.openxmlformats.org/drawingml/2006/picture">
                <pic:pic>
                  <pic:nvPicPr>
                    <pic:cNvPr id="300" name="Image 300"/>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Windows Systems </w:t>
      </w:r>
      <w:r>
        <w:rPr>
          <w:color w:val="231F20"/>
        </w:rPr>
        <w:drawing>
          <wp:inline distT="0" distB="0" distL="0" distR="0">
            <wp:extent cx="69850" cy="69850"/>
            <wp:effectExtent l="0" t="0" r="0" b="0"/>
            <wp:docPr id="301" name="Image 301"/>
            <wp:cNvGraphicFramePr>
              <a:graphicFrameLocks/>
            </wp:cNvGraphicFramePr>
            <a:graphic>
              <a:graphicData uri="http://schemas.openxmlformats.org/drawingml/2006/picture">
                <pic:pic>
                  <pic:nvPicPr>
                    <pic:cNvPr id="301" name="Image 301"/>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02" name="Image 302"/>
            <wp:cNvGraphicFramePr>
              <a:graphicFrameLocks/>
            </wp:cNvGraphicFramePr>
            <a:graphic>
              <a:graphicData uri="http://schemas.openxmlformats.org/drawingml/2006/picture">
                <pic:pic>
                  <pic:nvPicPr>
                    <pic:cNvPr id="302" name="Image 302"/>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w:t>
      </w:r>
    </w:p>
    <w:p>
      <w:pPr>
        <w:pStyle w:val="BodyText"/>
        <w:spacing w:line="266" w:lineRule="auto"/>
        <w:ind w:left="3845" w:right="4420" w:hanging="170"/>
      </w:pPr>
      <w:r>
        <w:rPr/>
        <w:drawing>
          <wp:inline distT="0" distB="0" distL="0" distR="0">
            <wp:extent cx="69850" cy="69850"/>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25"/>
          <w:position w:val="-1"/>
        </w:rPr>
        <w:drawing>
          <wp:inline distT="0" distB="0" distL="0" distR="0">
            <wp:extent cx="95250" cy="95250"/>
            <wp:effectExtent l="0" t="0" r="0" b="0"/>
            <wp:docPr id="304" name="Image 304"/>
            <wp:cNvGraphicFramePr>
              <a:graphicFrameLocks/>
            </wp:cNvGraphicFramePr>
            <a:graphic>
              <a:graphicData uri="http://schemas.openxmlformats.org/drawingml/2006/picture">
                <pic:pic>
                  <pic:nvPicPr>
                    <pic:cNvPr id="304" name="Image 304"/>
                    <pic:cNvPicPr/>
                  </pic:nvPicPr>
                  <pic:blipFill>
                    <a:blip r:embed="rId84" cstate="print"/>
                    <a:stretch>
                      <a:fillRect/>
                    </a:stretch>
                  </pic:blipFill>
                  <pic:spPr>
                    <a:xfrm>
                      <a:off x="0" y="0"/>
                      <a:ext cx="95250" cy="95250"/>
                    </a:xfrm>
                    <a:prstGeom prst="rect">
                      <a:avLst/>
                    </a:prstGeom>
                  </pic:spPr>
                </pic:pic>
              </a:graphicData>
            </a:graphic>
          </wp:inline>
        </w:drawing>
      </w:r>
      <w:r>
        <w:rPr>
          <w:rFonts w:ascii="Times New Roman"/>
          <w:spacing w:val="-25"/>
          <w:position w:val="-1"/>
        </w:rPr>
      </w:r>
      <w:r>
        <w:rPr>
          <w:rFonts w:ascii="Times New Roman"/>
          <w:spacing w:val="63"/>
        </w:rPr>
        <w:t> </w:t>
      </w:r>
      <w:r>
        <w:rPr>
          <w:color w:val="231F20"/>
        </w:rPr>
        <w:t>Windows </w:t>
      </w:r>
      <w:r>
        <w:rPr>
          <w:color w:val="231F20"/>
        </w:rPr>
        <w:t>Server </w:t>
      </w:r>
      <w:r>
        <w:rPr>
          <w:color w:val="231F20"/>
          <w:position w:val="-1"/>
        </w:rPr>
        <w:drawing>
          <wp:inline distT="0" distB="0" distL="0" distR="0">
            <wp:extent cx="88900" cy="101600"/>
            <wp:effectExtent l="0" t="0" r="0" b="0"/>
            <wp:docPr id="305" name="Image 305"/>
            <wp:cNvGraphicFramePr>
              <a:graphicFrameLocks/>
            </wp:cNvGraphicFramePr>
            <a:graphic>
              <a:graphicData uri="http://schemas.openxmlformats.org/drawingml/2006/picture">
                <pic:pic>
                  <pic:nvPicPr>
                    <pic:cNvPr id="305" name="Image 305"/>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66" w:lineRule="auto"/>
        <w:ind w:left="3845" w:right="4299"/>
      </w:pPr>
      <w:r>
        <w:rPr>
          <w:position w:val="-1"/>
        </w:rPr>
        <w:drawing>
          <wp:inline distT="0" distB="0" distL="0" distR="0">
            <wp:extent cx="88900" cy="101600"/>
            <wp:effectExtent l="0" t="0" r="0" b="0"/>
            <wp:docPr id="306" name="Image 306"/>
            <wp:cNvGraphicFramePr>
              <a:graphicFrameLocks/>
            </wp:cNvGraphicFramePr>
            <a:graphic>
              <a:graphicData uri="http://schemas.openxmlformats.org/drawingml/2006/picture">
                <pic:pic>
                  <pic:nvPicPr>
                    <pic:cNvPr id="306" name="Image 306"/>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Enterprise </w:t>
      </w:r>
      <w:r>
        <w:rPr>
          <w:color w:val="231F20"/>
        </w:rPr>
        <w:t>Services </w:t>
      </w:r>
      <w:r>
        <w:rPr>
          <w:color w:val="231F20"/>
          <w:position w:val="-1"/>
        </w:rPr>
        <w:drawing>
          <wp:inline distT="0" distB="0" distL="0" distR="0">
            <wp:extent cx="88900" cy="101600"/>
            <wp:effectExtent l="0" t="0" r="0" b="0"/>
            <wp:docPr id="307" name="Image 307"/>
            <wp:cNvGraphicFramePr>
              <a:graphicFrameLocks/>
            </wp:cNvGraphicFramePr>
            <a:graphic>
              <a:graphicData uri="http://schemas.openxmlformats.org/drawingml/2006/picture">
                <pic:pic>
                  <pic:nvPicPr>
                    <pic:cNvPr id="307" name="Image 307"/>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69" w:lineRule="exact"/>
        <w:ind w:left="3845"/>
      </w:pPr>
      <w:r>
        <w:rPr>
          <w:position w:val="-1"/>
        </w:rPr>
        <w:drawing>
          <wp:inline distT="0" distB="0" distL="0" distR="0">
            <wp:extent cx="88900" cy="101600"/>
            <wp:effectExtent l="0" t="0" r="0" b="0"/>
            <wp:docPr id="308" name="Image 308"/>
            <wp:cNvGraphicFramePr>
              <a:graphicFrameLocks/>
            </wp:cNvGraphicFramePr>
            <a:graphic>
              <a:graphicData uri="http://schemas.openxmlformats.org/drawingml/2006/picture">
                <pic:pic>
                  <pic:nvPicPr>
                    <pic:cNvPr id="308" name="Image 30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Network</w:t>
      </w:r>
    </w:p>
    <w:p>
      <w:pPr>
        <w:pStyle w:val="BodyText"/>
        <w:spacing w:before="29"/>
        <w:ind w:left="3875"/>
      </w:pPr>
      <w:r>
        <w:rPr>
          <w:position w:val="2"/>
        </w:rPr>
        <w:drawing>
          <wp:inline distT="0" distB="0" distL="0" distR="0">
            <wp:extent cx="31750" cy="44450"/>
            <wp:effectExtent l="0" t="0" r="0" b="0"/>
            <wp:docPr id="309" name="Image 309"/>
            <wp:cNvGraphicFramePr>
              <a:graphicFrameLocks/>
            </wp:cNvGraphicFramePr>
            <a:graphic>
              <a:graphicData uri="http://schemas.openxmlformats.org/drawingml/2006/picture">
                <pic:pic>
                  <pic:nvPicPr>
                    <pic:cNvPr id="309" name="Image 309"/>
                    <pic:cNvPicPr/>
                  </pic:nvPicPr>
                  <pic:blipFill>
                    <a:blip r:embed="rId115" cstate="print"/>
                    <a:stretch>
                      <a:fillRect/>
                    </a:stretch>
                  </pic:blipFill>
                  <pic:spPr>
                    <a:xfrm>
                      <a:off x="0" y="0"/>
                      <a:ext cx="31750" cy="44450"/>
                    </a:xfrm>
                    <a:prstGeom prst="rect">
                      <a:avLst/>
                    </a:prstGeom>
                  </pic:spPr>
                </pic:pic>
              </a:graphicData>
            </a:graphic>
          </wp:inline>
        </w:drawing>
      </w:r>
      <w:r>
        <w:rPr>
          <w:position w:val="2"/>
        </w:rPr>
      </w:r>
      <w:r>
        <w:rPr>
          <w:rFonts w:ascii="Times New Roman"/>
          <w:spacing w:val="80"/>
          <w:w w:val="150"/>
        </w:rPr>
        <w:t> </w:t>
      </w:r>
      <w:r>
        <w:rPr>
          <w:color w:val="231F20"/>
        </w:rPr>
        <w:t>More... </w:t>
      </w:r>
      <w:r>
        <w:rPr>
          <w:color w:val="231F20"/>
          <w:spacing w:val="16"/>
        </w:rPr>
        <w:t>4 : </w:t>
      </w:r>
      <w:r>
        <w:rPr>
          <w:color w:val="231F20"/>
        </w:rPr>
        <w:t>8 </w:t>
      </w:r>
    </w:p>
    <w:p>
      <w:pPr>
        <w:pStyle w:val="BodyText"/>
        <w:spacing w:line="213" w:lineRule="auto" w:before="232"/>
        <w:ind w:left="2472" w:right="258"/>
      </w:pPr>
      <w:r>
        <w:rPr>
          <w:color w:val="231F20"/>
        </w:rPr>
        <w:t>This example illustrates the result of selecting</w:t>
      </w:r>
      <w:r>
        <w:rPr>
          <w:color w:val="231F20"/>
          <w:spacing w:val="40"/>
        </w:rPr>
        <w:t> </w:t>
      </w:r>
      <w:r>
        <w:rPr>
          <w:color w:val="231F20"/>
          <w:spacing w:val="5"/>
        </w:rPr>
        <w:drawing>
          <wp:inline distT="0" distB="0" distL="0" distR="0">
            <wp:extent cx="69850" cy="69850"/>
            <wp:effectExtent l="0" t="0" r="0" b="0"/>
            <wp:docPr id="310" name="Image 310"/>
            <wp:cNvGraphicFramePr>
              <a:graphicFrameLocks/>
            </wp:cNvGraphicFramePr>
            <a:graphic>
              <a:graphicData uri="http://schemas.openxmlformats.org/drawingml/2006/picture">
                <pic:pic>
                  <pic:nvPicPr>
                    <pic:cNvPr id="310" name="Image 310"/>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rPr>
        <w:t> </w:t>
      </w:r>
      <w:r>
        <w:rPr>
          <w:rFonts w:ascii="Book Antiqua"/>
          <w:b/>
          <w:color w:val="231F20"/>
        </w:rPr>
        <w:t>Expand Child Items </w:t>
      </w:r>
      <w:r>
        <w:rPr>
          <w:color w:val="231F20"/>
        </w:rPr>
        <w:t>at the</w:t>
      </w:r>
      <w:r>
        <w:rPr>
          <w:color w:val="231F20"/>
          <w:spacing w:val="40"/>
        </w:rPr>
        <w:t> </w:t>
      </w:r>
      <w:r>
        <w:rPr>
          <w:color w:val="231F20"/>
        </w:rPr>
        <w:t>platform</w:t>
      </w:r>
      <w:r>
        <w:rPr>
          <w:color w:val="231F20"/>
          <w:spacing w:val="28"/>
        </w:rPr>
        <w:t> </w:t>
      </w:r>
      <w:r>
        <w:rPr>
          <w:color w:val="231F20"/>
        </w:rPr>
        <w:t>level</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Navigator.</w:t>
      </w:r>
      <w:r>
        <w:rPr>
          <w:color w:val="231F20"/>
          <w:spacing w:val="28"/>
        </w:rPr>
        <w:t> </w:t>
      </w:r>
      <w:r>
        <w:rPr>
          <w:color w:val="231F20"/>
        </w:rPr>
        <w:t>The</w:t>
      </w:r>
      <w:r>
        <w:rPr>
          <w:color w:val="231F20"/>
          <w:spacing w:val="28"/>
        </w:rPr>
        <w:t> </w:t>
      </w:r>
      <w:r>
        <w:rPr>
          <w:color w:val="231F20"/>
        </w:rPr>
        <w:t>site</w:t>
      </w:r>
      <w:r>
        <w:rPr>
          <w:color w:val="231F20"/>
          <w:spacing w:val="28"/>
        </w:rPr>
        <w:t> </w:t>
      </w:r>
      <w:r>
        <w:rPr>
          <w:color w:val="231F20"/>
        </w:rPr>
        <w:t>is</w:t>
      </w:r>
      <w:r>
        <w:rPr>
          <w:color w:val="231F20"/>
          <w:spacing w:val="28"/>
        </w:rPr>
        <w:t> </w:t>
      </w:r>
      <w:r>
        <w:rPr>
          <w:color w:val="231F20"/>
        </w:rPr>
        <w:t>monitoring</w:t>
      </w:r>
      <w:r>
        <w:rPr>
          <w:color w:val="231F20"/>
          <w:spacing w:val="28"/>
        </w:rPr>
        <w:t> </w:t>
      </w:r>
      <w:r>
        <w:rPr>
          <w:color w:val="231F20"/>
        </w:rPr>
        <w:t>500</w:t>
      </w:r>
      <w:r>
        <w:rPr>
          <w:color w:val="231F20"/>
          <w:spacing w:val="28"/>
        </w:rPr>
        <w:t> </w:t>
      </w:r>
      <w:r>
        <w:rPr>
          <w:color w:val="231F20"/>
        </w:rPr>
        <w:t>Windows-based</w:t>
      </w:r>
      <w:r>
        <w:rPr>
          <w:color w:val="231F20"/>
        </w:rPr>
        <w:t> systems. The user can quickly see which systems have situation events and at what </w:t>
      </w:r>
      <w:r>
        <w:rPr>
          <w:color w:val="231F20"/>
          <w:spacing w:val="-2"/>
        </w:rPr>
        <w:t>severity.</w:t>
      </w:r>
    </w:p>
    <w:p>
      <w:pPr>
        <w:pStyle w:val="BodyText"/>
        <w:spacing w:before="34"/>
        <w:ind w:left="2811"/>
      </w:pPr>
      <w:r>
        <w:rPr/>
        <w:drawing>
          <wp:inline distT="0" distB="0" distL="0" distR="0">
            <wp:extent cx="69850" cy="69850"/>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3"/>
        </w:rPr>
        <w:t> </w:t>
      </w:r>
      <w:r>
        <w:rPr>
          <w:rFonts w:ascii="Times New Roman"/>
          <w:spacing w:val="15"/>
          <w:position w:val="-3"/>
        </w:rPr>
        <w:drawing>
          <wp:inline distT="0" distB="0" distL="0" distR="0">
            <wp:extent cx="114300" cy="114300"/>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116" cstate="print"/>
                    <a:stretch>
                      <a:fillRect/>
                    </a:stretch>
                  </pic:blipFill>
                  <pic:spPr>
                    <a:xfrm>
                      <a:off x="0" y="0"/>
                      <a:ext cx="114300" cy="114300"/>
                    </a:xfrm>
                    <a:prstGeom prst="rect">
                      <a:avLst/>
                    </a:prstGeom>
                  </pic:spPr>
                </pic:pic>
              </a:graphicData>
            </a:graphic>
          </wp:inline>
        </w:drawing>
      </w:r>
      <w:r>
        <w:rPr>
          <w:rFonts w:ascii="Times New Roman"/>
          <w:spacing w:val="15"/>
          <w:position w:val="-3"/>
        </w:rPr>
      </w:r>
      <w:r>
        <w:rPr>
          <w:rFonts w:ascii="Times New Roman"/>
          <w:spacing w:val="40"/>
        </w:rPr>
        <w:t> </w:t>
      </w:r>
      <w:r>
        <w:rPr>
          <w:color w:val="231F20"/>
        </w:rPr>
        <w:t>Enterprise</w:t>
      </w:r>
    </w:p>
    <w:p>
      <w:pPr>
        <w:pStyle w:val="BodyText"/>
        <w:spacing w:line="266" w:lineRule="auto" w:before="30"/>
        <w:ind w:left="3476" w:right="4607" w:hanging="134"/>
      </w:pPr>
      <w:r>
        <w:rPr/>
        <w:drawing>
          <wp:inline distT="0" distB="0" distL="0" distR="0">
            <wp:extent cx="69850" cy="69850"/>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114300" cy="101600"/>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117" cstate="print"/>
                    <a:stretch>
                      <a:fillRect/>
                    </a:stretch>
                  </pic:blipFill>
                  <pic:spPr>
                    <a:xfrm>
                      <a:off x="0" y="0"/>
                      <a:ext cx="114300" cy="10160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Windows Systems </w:t>
      </w:r>
      <w:r>
        <w:rPr>
          <w:color w:val="231F20"/>
        </w:rPr>
        <w:drawing>
          <wp:inline distT="0" distB="0" distL="0" distR="0">
            <wp:extent cx="69850" cy="69850"/>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w:t>
      </w:r>
    </w:p>
    <w:p>
      <w:pPr>
        <w:pStyle w:val="BodyText"/>
        <w:spacing w:line="266" w:lineRule="auto"/>
        <w:ind w:left="3476" w:right="5043"/>
        <w:jc w:val="both"/>
      </w:pPr>
      <w:r>
        <w:rPr/>
        <w:drawing>
          <wp:inline distT="0" distB="0" distL="0" distR="0">
            <wp:extent cx="69850" cy="69850"/>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101600" cy="95250"/>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Computer2</w:t>
      </w:r>
      <w:r>
        <w:rPr>
          <w:color w:val="231F20"/>
          <w:spacing w:val="80"/>
        </w:rPr>
        <w:t> </w:t>
      </w:r>
      <w:r>
        <w:rPr>
          <w:color w:val="231F20"/>
        </w:rPr>
        <w:drawing>
          <wp:inline distT="0" distB="0" distL="0" distR="0">
            <wp:extent cx="69850" cy="69850"/>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3"/>
        </w:rPr>
        <w:t> </w:t>
      </w:r>
      <w:r>
        <w:rPr>
          <w:rFonts w:ascii="Times New Roman"/>
          <w:color w:val="231F20"/>
          <w:spacing w:val="16"/>
          <w:position w:val="-3"/>
        </w:rPr>
        <w:drawing>
          <wp:inline distT="0" distB="0" distL="0" distR="0">
            <wp:extent cx="114300" cy="114300"/>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118" cstate="print"/>
                    <a:stretch>
                      <a:fillRect/>
                    </a:stretch>
                  </pic:blipFill>
                  <pic:spPr>
                    <a:xfrm>
                      <a:off x="0" y="0"/>
                      <a:ext cx="114300" cy="114300"/>
                    </a:xfrm>
                    <a:prstGeom prst="rect">
                      <a:avLst/>
                    </a:prstGeom>
                  </pic:spPr>
                </pic:pic>
              </a:graphicData>
            </a:graphic>
          </wp:inline>
        </w:drawing>
      </w:r>
      <w:r>
        <w:rPr>
          <w:rFonts w:ascii="Times New Roman"/>
          <w:color w:val="231F20"/>
          <w:spacing w:val="16"/>
          <w:position w:val="-3"/>
        </w:rPr>
      </w:r>
      <w:r>
        <w:rPr>
          <w:rFonts w:ascii="Times New Roman"/>
          <w:color w:val="231F20"/>
          <w:spacing w:val="16"/>
        </w:rPr>
        <w:t> </w:t>
      </w:r>
      <w:r>
        <w:rPr>
          <w:color w:val="231F20"/>
        </w:rPr>
        <w:t>Computer3</w:t>
      </w:r>
      <w:r>
        <w:rPr>
          <w:color w:val="231F20"/>
          <w:spacing w:val="80"/>
          <w:w w:val="150"/>
        </w:rPr>
        <w:t> </w:t>
      </w:r>
      <w:r>
        <w:rPr>
          <w:color w:val="231F20"/>
        </w:rPr>
        <w:drawing>
          <wp:inline distT="0" distB="0" distL="0" distR="0">
            <wp:extent cx="69850" cy="69850"/>
            <wp:effectExtent l="0" t="0" r="0" b="0"/>
            <wp:docPr id="321" name="Image 321"/>
            <wp:cNvGraphicFramePr>
              <a:graphicFrameLocks/>
            </wp:cNvGraphicFramePr>
            <a:graphic>
              <a:graphicData uri="http://schemas.openxmlformats.org/drawingml/2006/picture">
                <pic:pic>
                  <pic:nvPicPr>
                    <pic:cNvPr id="321" name="Image 32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Computer4</w:t>
      </w:r>
      <w:r>
        <w:rPr>
          <w:color w:val="231F20"/>
          <w:spacing w:val="80"/>
        </w:rPr>
        <w:t> </w:t>
      </w:r>
      <w:r>
        <w:rPr>
          <w:color w:val="231F20"/>
        </w:rPr>
        <w:drawing>
          <wp:inline distT="0" distB="0" distL="0" distR="0">
            <wp:extent cx="69850" cy="69850"/>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3"/>
        </w:rPr>
        <w:t> </w:t>
      </w:r>
      <w:r>
        <w:rPr>
          <w:rFonts w:ascii="Times New Roman"/>
          <w:color w:val="231F20"/>
          <w:spacing w:val="16"/>
          <w:position w:val="-3"/>
        </w:rPr>
        <w:drawing>
          <wp:inline distT="0" distB="0" distL="0" distR="0">
            <wp:extent cx="114300" cy="114300"/>
            <wp:effectExtent l="0" t="0" r="0" b="0"/>
            <wp:docPr id="324" name="Image 324"/>
            <wp:cNvGraphicFramePr>
              <a:graphicFrameLocks/>
            </wp:cNvGraphicFramePr>
            <a:graphic>
              <a:graphicData uri="http://schemas.openxmlformats.org/drawingml/2006/picture">
                <pic:pic>
                  <pic:nvPicPr>
                    <pic:cNvPr id="324" name="Image 324"/>
                    <pic:cNvPicPr/>
                  </pic:nvPicPr>
                  <pic:blipFill>
                    <a:blip r:embed="rId118" cstate="print"/>
                    <a:stretch>
                      <a:fillRect/>
                    </a:stretch>
                  </pic:blipFill>
                  <pic:spPr>
                    <a:xfrm>
                      <a:off x="0" y="0"/>
                      <a:ext cx="114300" cy="114300"/>
                    </a:xfrm>
                    <a:prstGeom prst="rect">
                      <a:avLst/>
                    </a:prstGeom>
                  </pic:spPr>
                </pic:pic>
              </a:graphicData>
            </a:graphic>
          </wp:inline>
        </w:drawing>
      </w:r>
      <w:r>
        <w:rPr>
          <w:rFonts w:ascii="Times New Roman"/>
          <w:color w:val="231F20"/>
          <w:spacing w:val="16"/>
          <w:position w:val="-3"/>
        </w:rPr>
      </w:r>
      <w:r>
        <w:rPr>
          <w:rFonts w:ascii="Times New Roman"/>
          <w:color w:val="231F20"/>
          <w:spacing w:val="16"/>
        </w:rPr>
        <w:t> </w:t>
      </w:r>
      <w:r>
        <w:rPr>
          <w:color w:val="231F20"/>
        </w:rPr>
        <w:t>Computer5</w:t>
      </w:r>
      <w:r>
        <w:rPr>
          <w:color w:val="231F20"/>
          <w:spacing w:val="80"/>
          <w:w w:val="150"/>
        </w:rPr>
        <w:t> </w:t>
      </w:r>
      <w:r>
        <w:rPr>
          <w:color w:val="231F20"/>
        </w:rPr>
        <w:drawing>
          <wp:inline distT="0" distB="0" distL="0" distR="0">
            <wp:extent cx="69850" cy="69850"/>
            <wp:effectExtent l="0" t="0" r="0" b="0"/>
            <wp:docPr id="325" name="Image 325"/>
            <wp:cNvGraphicFramePr>
              <a:graphicFrameLocks/>
            </wp:cNvGraphicFramePr>
            <a:graphic>
              <a:graphicData uri="http://schemas.openxmlformats.org/drawingml/2006/picture">
                <pic:pic>
                  <pic:nvPicPr>
                    <pic:cNvPr id="325" name="Image 32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Computer6</w:t>
      </w:r>
      <w:r>
        <w:rPr>
          <w:color w:val="231F20"/>
          <w:spacing w:val="80"/>
        </w:rPr>
        <w:t> </w:t>
      </w:r>
      <w:r>
        <w:rPr>
          <w:color w:val="231F20"/>
        </w:rPr>
        <w:drawing>
          <wp:inline distT="0" distB="0" distL="0" distR="0">
            <wp:extent cx="69850" cy="69850"/>
            <wp:effectExtent l="0" t="0" r="0" b="0"/>
            <wp:docPr id="327" name="Image 327"/>
            <wp:cNvGraphicFramePr>
              <a:graphicFrameLocks/>
            </wp:cNvGraphicFramePr>
            <a:graphic>
              <a:graphicData uri="http://schemas.openxmlformats.org/drawingml/2006/picture">
                <pic:pic>
                  <pic:nvPicPr>
                    <pic:cNvPr id="327" name="Image 32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28" name="Image 328"/>
            <wp:cNvGraphicFramePr>
              <a:graphicFrameLocks/>
            </wp:cNvGraphicFramePr>
            <a:graphic>
              <a:graphicData uri="http://schemas.openxmlformats.org/drawingml/2006/picture">
                <pic:pic>
                  <pic:nvPicPr>
                    <pic:cNvPr id="328" name="Image 328"/>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Computer7</w:t>
      </w:r>
      <w:r>
        <w:rPr>
          <w:color w:val="231F20"/>
          <w:spacing w:val="80"/>
        </w:rPr>
        <w:t> </w:t>
      </w:r>
      <w:r>
        <w:rPr>
          <w:color w:val="231F20"/>
        </w:rPr>
        <w:drawing>
          <wp:inline distT="0" distB="0" distL="0" distR="0">
            <wp:extent cx="69850" cy="69850"/>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3"/>
        </w:rPr>
        <w:t> </w:t>
      </w:r>
      <w:r>
        <w:rPr>
          <w:rFonts w:ascii="Times New Roman"/>
          <w:color w:val="231F20"/>
          <w:spacing w:val="16"/>
          <w:position w:val="-3"/>
        </w:rPr>
        <w:drawing>
          <wp:inline distT="0" distB="0" distL="0" distR="0">
            <wp:extent cx="114300" cy="114300"/>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119" cstate="print"/>
                    <a:stretch>
                      <a:fillRect/>
                    </a:stretch>
                  </pic:blipFill>
                  <pic:spPr>
                    <a:xfrm>
                      <a:off x="0" y="0"/>
                      <a:ext cx="114300" cy="114300"/>
                    </a:xfrm>
                    <a:prstGeom prst="rect">
                      <a:avLst/>
                    </a:prstGeom>
                  </pic:spPr>
                </pic:pic>
              </a:graphicData>
            </a:graphic>
          </wp:inline>
        </w:drawing>
      </w:r>
      <w:r>
        <w:rPr>
          <w:rFonts w:ascii="Times New Roman"/>
          <w:color w:val="231F20"/>
          <w:spacing w:val="16"/>
          <w:position w:val="-3"/>
        </w:rPr>
      </w:r>
      <w:r>
        <w:rPr>
          <w:rFonts w:ascii="Times New Roman"/>
          <w:color w:val="231F20"/>
          <w:spacing w:val="16"/>
        </w:rPr>
        <w:t> </w:t>
      </w:r>
      <w:r>
        <w:rPr>
          <w:color w:val="231F20"/>
        </w:rPr>
        <w:t>Computer8</w:t>
      </w:r>
      <w:r>
        <w:rPr>
          <w:color w:val="231F20"/>
          <w:spacing w:val="80"/>
          <w:w w:val="150"/>
        </w:rPr>
        <w:t> </w:t>
      </w:r>
      <w:r>
        <w:rPr>
          <w:color w:val="231F20"/>
        </w:rPr>
        <w:drawing>
          <wp:inline distT="0" distB="0" distL="0" distR="0">
            <wp:extent cx="69850" cy="69850"/>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3"/>
        </w:rPr>
        <w:t> </w:t>
      </w:r>
      <w:r>
        <w:rPr>
          <w:rFonts w:ascii="Times New Roman"/>
          <w:color w:val="231F20"/>
          <w:spacing w:val="16"/>
          <w:position w:val="-3"/>
        </w:rPr>
        <w:drawing>
          <wp:inline distT="0" distB="0" distL="0" distR="0">
            <wp:extent cx="114300" cy="114300"/>
            <wp:effectExtent l="0" t="0" r="0" b="0"/>
            <wp:docPr id="332" name="Image 332"/>
            <wp:cNvGraphicFramePr>
              <a:graphicFrameLocks/>
            </wp:cNvGraphicFramePr>
            <a:graphic>
              <a:graphicData uri="http://schemas.openxmlformats.org/drawingml/2006/picture">
                <pic:pic>
                  <pic:nvPicPr>
                    <pic:cNvPr id="332" name="Image 332"/>
                    <pic:cNvPicPr/>
                  </pic:nvPicPr>
                  <pic:blipFill>
                    <a:blip r:embed="rId119" cstate="print"/>
                    <a:stretch>
                      <a:fillRect/>
                    </a:stretch>
                  </pic:blipFill>
                  <pic:spPr>
                    <a:xfrm>
                      <a:off x="0" y="0"/>
                      <a:ext cx="114300" cy="114300"/>
                    </a:xfrm>
                    <a:prstGeom prst="rect">
                      <a:avLst/>
                    </a:prstGeom>
                  </pic:spPr>
                </pic:pic>
              </a:graphicData>
            </a:graphic>
          </wp:inline>
        </w:drawing>
      </w:r>
      <w:r>
        <w:rPr>
          <w:rFonts w:ascii="Times New Roman"/>
          <w:color w:val="231F20"/>
          <w:spacing w:val="16"/>
          <w:position w:val="-3"/>
        </w:rPr>
      </w:r>
      <w:r>
        <w:rPr>
          <w:rFonts w:ascii="Times New Roman"/>
          <w:color w:val="231F20"/>
          <w:spacing w:val="16"/>
        </w:rPr>
        <w:t> </w:t>
      </w:r>
      <w:r>
        <w:rPr>
          <w:color w:val="231F20"/>
        </w:rPr>
        <w:t>Computer9</w:t>
      </w:r>
      <w:r>
        <w:rPr>
          <w:color w:val="231F20"/>
          <w:spacing w:val="80"/>
          <w:w w:val="150"/>
        </w:rPr>
        <w:t> </w:t>
      </w:r>
      <w:r>
        <w:rPr>
          <w:color w:val="231F20"/>
        </w:rPr>
        <w:drawing>
          <wp:inline distT="0" distB="0" distL="0" distR="0">
            <wp:extent cx="69850" cy="69850"/>
            <wp:effectExtent l="0" t="0" r="0" b="0"/>
            <wp:docPr id="333" name="Image 333"/>
            <wp:cNvGraphicFramePr>
              <a:graphicFrameLocks/>
            </wp:cNvGraphicFramePr>
            <a:graphic>
              <a:graphicData uri="http://schemas.openxmlformats.org/drawingml/2006/picture">
                <pic:pic>
                  <pic:nvPicPr>
                    <pic:cNvPr id="333" name="Image 333"/>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position w:val="-1"/>
        </w:rPr>
        <w:t> </w:t>
      </w:r>
      <w:r>
        <w:rPr>
          <w:rFonts w:ascii="Times New Roman"/>
          <w:color w:val="231F20"/>
          <w:spacing w:val="16"/>
          <w:position w:val="-1"/>
        </w:rPr>
        <w:drawing>
          <wp:inline distT="0" distB="0" distL="0" distR="0">
            <wp:extent cx="101600" cy="95250"/>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Computer10</w:t>
      </w:r>
      <w:r>
        <w:rPr>
          <w:color w:val="231F20"/>
          <w:spacing w:val="80"/>
        </w:rPr>
        <w:t> </w:t>
      </w:r>
      <w:r>
        <w:rPr>
          <w:color w:val="231F20"/>
        </w:rPr>
        <w:drawing>
          <wp:inline distT="0" distB="0" distL="0" distR="0">
            <wp:extent cx="69850" cy="69850"/>
            <wp:effectExtent l="0" t="0" r="0" b="0"/>
            <wp:docPr id="335" name="Image 335"/>
            <wp:cNvGraphicFramePr>
              <a:graphicFrameLocks/>
            </wp:cNvGraphicFramePr>
            <a:graphic>
              <a:graphicData uri="http://schemas.openxmlformats.org/drawingml/2006/picture">
                <pic:pic>
                  <pic:nvPicPr>
                    <pic:cNvPr id="335" name="Image 33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position w:val="-1"/>
        </w:rPr>
        <w:t> </w:t>
      </w:r>
      <w:r>
        <w:rPr>
          <w:rFonts w:ascii="Times New Roman"/>
          <w:color w:val="231F20"/>
          <w:spacing w:val="16"/>
          <w:position w:val="-1"/>
        </w:rPr>
        <w:drawing>
          <wp:inline distT="0" distB="0" distL="0" distR="0">
            <wp:extent cx="101600" cy="95250"/>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Computer11</w:t>
      </w:r>
      <w:r>
        <w:rPr>
          <w:color w:val="231F20"/>
          <w:spacing w:val="80"/>
        </w:rPr>
        <w:t> </w:t>
      </w:r>
      <w:r>
        <w:rPr>
          <w:color w:val="231F20"/>
        </w:rPr>
        <w:drawing>
          <wp:inline distT="0" distB="0" distL="0" distR="0">
            <wp:extent cx="69850" cy="69850"/>
            <wp:effectExtent l="0" t="0" r="0" b="0"/>
            <wp:docPr id="337" name="Image 337"/>
            <wp:cNvGraphicFramePr>
              <a:graphicFrameLocks/>
            </wp:cNvGraphicFramePr>
            <a:graphic>
              <a:graphicData uri="http://schemas.openxmlformats.org/drawingml/2006/picture">
                <pic:pic>
                  <pic:nvPicPr>
                    <pic:cNvPr id="337" name="Image 33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position w:val="-1"/>
        </w:rPr>
        <w:t> </w:t>
      </w:r>
      <w:r>
        <w:rPr>
          <w:rFonts w:ascii="Times New Roman"/>
          <w:color w:val="231F20"/>
          <w:spacing w:val="16"/>
          <w:position w:val="-1"/>
        </w:rPr>
        <w:drawing>
          <wp:inline distT="0" distB="0" distL="0" distR="0">
            <wp:extent cx="101600" cy="95250"/>
            <wp:effectExtent l="0" t="0" r="0" b="0"/>
            <wp:docPr id="338" name="Image 338"/>
            <wp:cNvGraphicFramePr>
              <a:graphicFrameLocks/>
            </wp:cNvGraphicFramePr>
            <a:graphic>
              <a:graphicData uri="http://schemas.openxmlformats.org/drawingml/2006/picture">
                <pic:pic>
                  <pic:nvPicPr>
                    <pic:cNvPr id="338" name="Image 338"/>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Computer12</w:t>
      </w:r>
      <w:r>
        <w:rPr>
          <w:color w:val="231F20"/>
          <w:spacing w:val="80"/>
        </w:rPr>
        <w:t> </w:t>
      </w:r>
      <w:r>
        <w:rPr>
          <w:color w:val="231F20"/>
        </w:rPr>
        <w:drawing>
          <wp:inline distT="0" distB="0" distL="0" distR="0">
            <wp:extent cx="69850" cy="69850"/>
            <wp:effectExtent l="0" t="0" r="0" b="0"/>
            <wp:docPr id="339" name="Image 339"/>
            <wp:cNvGraphicFramePr>
              <a:graphicFrameLocks/>
            </wp:cNvGraphicFramePr>
            <a:graphic>
              <a:graphicData uri="http://schemas.openxmlformats.org/drawingml/2006/picture">
                <pic:pic>
                  <pic:nvPicPr>
                    <pic:cNvPr id="339" name="Image 33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position w:val="-1"/>
        </w:rPr>
        <w:t> </w:t>
      </w:r>
      <w:r>
        <w:rPr>
          <w:rFonts w:ascii="Times New Roman"/>
          <w:color w:val="231F20"/>
          <w:spacing w:val="16"/>
          <w:position w:val="-1"/>
        </w:rPr>
        <w:drawing>
          <wp:inline distT="0" distB="0" distL="0" distR="0">
            <wp:extent cx="101600" cy="95250"/>
            <wp:effectExtent l="0" t="0" r="0" b="0"/>
            <wp:docPr id="340" name="Image 340"/>
            <wp:cNvGraphicFramePr>
              <a:graphicFrameLocks/>
            </wp:cNvGraphicFramePr>
            <a:graphic>
              <a:graphicData uri="http://schemas.openxmlformats.org/drawingml/2006/picture">
                <pic:pic>
                  <pic:nvPicPr>
                    <pic:cNvPr id="340" name="Image 340"/>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Computer13</w:t>
      </w:r>
      <w:r>
        <w:rPr>
          <w:color w:val="231F20"/>
          <w:spacing w:val="80"/>
        </w:rPr>
        <w:t> </w:t>
      </w:r>
      <w:r>
        <w:rPr>
          <w:color w:val="231F20"/>
        </w:rPr>
        <w:drawing>
          <wp:inline distT="0" distB="0" distL="0" distR="0">
            <wp:extent cx="69850" cy="69850"/>
            <wp:effectExtent l="0" t="0" r="0" b="0"/>
            <wp:docPr id="341" name="Image 341"/>
            <wp:cNvGraphicFramePr>
              <a:graphicFrameLocks/>
            </wp:cNvGraphicFramePr>
            <a:graphic>
              <a:graphicData uri="http://schemas.openxmlformats.org/drawingml/2006/picture">
                <pic:pic>
                  <pic:nvPicPr>
                    <pic:cNvPr id="341" name="Image 34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80"/>
          <w:position w:val="-1"/>
        </w:rPr>
        <w:t> </w:t>
      </w:r>
      <w:r>
        <w:rPr>
          <w:rFonts w:ascii="Times New Roman"/>
          <w:color w:val="231F20"/>
          <w:spacing w:val="16"/>
          <w:position w:val="-1"/>
        </w:rPr>
        <w:drawing>
          <wp:inline distT="0" distB="0" distL="0" distR="0">
            <wp:extent cx="101600" cy="95250"/>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color w:val="231F20"/>
          <w:spacing w:val="16"/>
          <w:position w:val="-1"/>
        </w:rPr>
      </w:r>
      <w:r>
        <w:rPr>
          <w:rFonts w:ascii="Times New Roman"/>
          <w:color w:val="231F20"/>
          <w:spacing w:val="16"/>
        </w:rPr>
        <w:t> </w:t>
      </w:r>
      <w:r>
        <w:rPr>
          <w:color w:val="231F20"/>
        </w:rPr>
        <w:t>Computer14</w:t>
      </w:r>
    </w:p>
    <w:p>
      <w:pPr>
        <w:spacing w:after="0" w:line="266" w:lineRule="auto"/>
        <w:jc w:val="both"/>
        <w:sectPr>
          <w:pgSz w:w="12240" w:h="15840"/>
          <w:pgMar w:header="0" w:footer="736" w:top="1140" w:bottom="920" w:left="1000" w:right="1060"/>
        </w:sectPr>
      </w:pPr>
    </w:p>
    <w:p>
      <w:pPr>
        <w:pStyle w:val="BodyText"/>
        <w:spacing w:before="62"/>
        <w:ind w:left="3237"/>
      </w:pPr>
      <w:r>
        <w:rPr/>
        <mc:AlternateContent>
          <mc:Choice Requires="wps">
            <w:drawing>
              <wp:anchor distT="0" distB="0" distL="0" distR="0" allowOverlap="1" layoutInCell="1" locked="0" behindDoc="0" simplePos="0" relativeHeight="15770624">
                <wp:simplePos x="0" y="0"/>
                <wp:positionH relativeFrom="page">
                  <wp:posOffset>5181600</wp:posOffset>
                </wp:positionH>
                <wp:positionV relativeFrom="page">
                  <wp:posOffset>7994104</wp:posOffset>
                </wp:positionV>
                <wp:extent cx="2590800" cy="144780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2590800" cy="1447800"/>
                        </a:xfrm>
                        <a:prstGeom prst="rect">
                          <a:avLst/>
                        </a:prstGeom>
                        <a:gradFill>
                          <a:gsLst>
                            <a:gs pos="0">
                              <a:srgbClr val="FFFFFF"/>
                            </a:gs>
                            <a:gs pos="100000">
                              <a:srgbClr val="FFDE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2023-06-20 </w:t>
                            </w:r>
                            <w:r>
                              <w:rPr>
                                <w:rFonts w:ascii="Arial"/>
                                <w:i/>
                                <w:color w:val="000000"/>
                                <w:spacing w:val="-2"/>
                                <w:sz w:val="16"/>
                              </w:rPr>
                              <w:t>14:00:48</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why only choice-table available </w:t>
                            </w:r>
                            <w:r>
                              <w:rPr>
                                <w:rFonts w:ascii="Arial"/>
                                <w:color w:val="000000"/>
                                <w:spacing w:val="-2"/>
                              </w:rPr>
                              <w:t>here?</w:t>
                            </w:r>
                          </w:p>
                        </w:txbxContent>
                      </wps:txbx>
                      <wps:bodyPr wrap="square" lIns="0" tIns="0" rIns="0" bIns="0" rtlCol="0">
                        <a:noAutofit/>
                      </wps:bodyPr>
                    </wps:wsp>
                  </a:graphicData>
                </a:graphic>
              </wp:anchor>
            </w:drawing>
          </mc:Choice>
          <mc:Fallback>
            <w:pict>
              <v:shape style="position:absolute;margin-left:408pt;margin-top:629.457031pt;width:204pt;height:114pt;mso-position-horizontal-relative:page;mso-position-vertical-relative:page;z-index:15770624" type="#_x0000_t202" id="docshape46" fillcolor="#ffde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2"/>
                          <w:sz w:val="16"/>
                        </w:rPr>
                        <w:t>AbrarSyed</w:t>
                      </w:r>
                    </w:p>
                    <w:p>
                      <w:pPr>
                        <w:spacing w:before="16"/>
                        <w:ind w:left="40" w:right="0" w:firstLine="0"/>
                        <w:jc w:val="left"/>
                        <w:rPr>
                          <w:rFonts w:ascii="Arial"/>
                          <w:i/>
                          <w:color w:val="000000"/>
                          <w:sz w:val="16"/>
                        </w:rPr>
                      </w:pPr>
                      <w:r>
                        <w:rPr>
                          <w:rFonts w:ascii="Arial"/>
                          <w:i/>
                          <w:color w:val="000000"/>
                          <w:sz w:val="16"/>
                        </w:rPr>
                        <w:t>2023-06-20 </w:t>
                      </w:r>
                      <w:r>
                        <w:rPr>
                          <w:rFonts w:ascii="Arial"/>
                          <w:i/>
                          <w:color w:val="000000"/>
                          <w:spacing w:val="-2"/>
                          <w:sz w:val="16"/>
                        </w:rPr>
                        <w:t>14:00:48</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pStyle w:val="BodyText"/>
                        <w:spacing w:before="10"/>
                        <w:ind w:left="40"/>
                        <w:rPr>
                          <w:rFonts w:ascii="Arial"/>
                          <w:color w:val="000000"/>
                        </w:rPr>
                      </w:pPr>
                      <w:r>
                        <w:rPr>
                          <w:rFonts w:ascii="Arial"/>
                          <w:color w:val="000000"/>
                        </w:rPr>
                        <w:t>why only choice-table available </w:t>
                      </w:r>
                      <w:r>
                        <w:rPr>
                          <w:rFonts w:ascii="Arial"/>
                          <w:color w:val="000000"/>
                          <w:spacing w:val="-2"/>
                        </w:rPr>
                        <w:t>here?</w:t>
                      </w:r>
                    </w:p>
                  </w:txbxContent>
                </v:textbox>
                <v:fill opacity="45875f" type="gradient"/>
                <v:stroke dashstyle="solid"/>
                <w10:wrap type="none"/>
              </v:shape>
            </w:pict>
          </mc:Fallback>
        </mc:AlternateContent>
      </w:r>
      <w:bookmarkStart w:name="_bookmark17" w:id="42"/>
      <w:bookmarkEnd w:id="42"/>
      <w:r>
        <w:rPr/>
      </w:r>
      <w:r>
        <w:rPr/>
        <w:drawing>
          <wp:inline distT="0" distB="0" distL="0" distR="0">
            <wp:extent cx="69850" cy="69850"/>
            <wp:effectExtent l="0" t="0" r="0" b="0"/>
            <wp:docPr id="344" name="Image 344"/>
            <wp:cNvGraphicFramePr>
              <a:graphicFrameLocks/>
            </wp:cNvGraphicFramePr>
            <a:graphic>
              <a:graphicData uri="http://schemas.openxmlformats.org/drawingml/2006/picture">
                <pic:pic>
                  <pic:nvPicPr>
                    <pic:cNvPr id="344" name="Image 344"/>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80"/>
          <w:position w:val="-1"/>
        </w:rPr>
        <w:t> </w:t>
      </w:r>
      <w:r>
        <w:rPr>
          <w:rFonts w:ascii="Times New Roman"/>
          <w:spacing w:val="15"/>
          <w:position w:val="-1"/>
        </w:rPr>
        <w:drawing>
          <wp:inline distT="0" distB="0" distL="0" distR="0">
            <wp:extent cx="101600" cy="95250"/>
            <wp:effectExtent l="0" t="0" r="0" b="0"/>
            <wp:docPr id="345" name="Image 345"/>
            <wp:cNvGraphicFramePr>
              <a:graphicFrameLocks/>
            </wp:cNvGraphicFramePr>
            <a:graphic>
              <a:graphicData uri="http://schemas.openxmlformats.org/drawingml/2006/picture">
                <pic:pic>
                  <pic:nvPicPr>
                    <pic:cNvPr id="345" name="Image 345"/>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5"/>
          <w:position w:val="-1"/>
        </w:rPr>
      </w:r>
      <w:r>
        <w:rPr>
          <w:rFonts w:ascii="Times New Roman"/>
          <w:spacing w:val="40"/>
        </w:rPr>
        <w:t> </w:t>
      </w:r>
      <w:r>
        <w:rPr>
          <w:color w:val="231F20"/>
        </w:rPr>
        <w:t>Computer15</w:t>
      </w:r>
    </w:p>
    <w:p>
      <w:pPr>
        <w:spacing w:before="29"/>
        <w:ind w:left="3197" w:right="0" w:firstLine="0"/>
        <w:jc w:val="left"/>
        <w:rPr>
          <w:sz w:val="20"/>
        </w:rPr>
      </w:pPr>
      <w:r>
        <w:rPr>
          <w:color w:val="231F20"/>
          <w:spacing w:val="-10"/>
          <w:sz w:val="20"/>
        </w:rPr>
        <w:t>.</w:t>
      </w:r>
    </w:p>
    <w:p>
      <w:pPr>
        <w:spacing w:before="30"/>
        <w:ind w:left="3197" w:right="0" w:firstLine="0"/>
        <w:jc w:val="left"/>
        <w:rPr>
          <w:sz w:val="20"/>
        </w:rPr>
      </w:pPr>
      <w:r>
        <w:rPr>
          <w:color w:val="231F20"/>
          <w:spacing w:val="-10"/>
          <w:sz w:val="20"/>
        </w:rPr>
        <w:t>.</w:t>
      </w:r>
    </w:p>
    <w:p>
      <w:pPr>
        <w:spacing w:before="29"/>
        <w:ind w:left="3197" w:right="0" w:firstLine="0"/>
        <w:jc w:val="left"/>
        <w:rPr>
          <w:sz w:val="20"/>
        </w:rPr>
      </w:pPr>
      <w:r>
        <w:rPr>
          <w:color w:val="231F20"/>
          <w:spacing w:val="-10"/>
          <w:sz w:val="20"/>
        </w:rPr>
        <w:t>.</w:t>
      </w:r>
    </w:p>
    <w:p>
      <w:pPr>
        <w:pStyle w:val="BodyText"/>
        <w:spacing w:before="30"/>
        <w:ind w:left="3237"/>
      </w:pPr>
      <w:r>
        <w:rPr/>
        <w:drawing>
          <wp:inline distT="0" distB="0" distL="0" distR="0">
            <wp:extent cx="69850" cy="69850"/>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80"/>
          <w:position w:val="-3"/>
        </w:rPr>
        <w:t> </w:t>
      </w:r>
      <w:r>
        <w:rPr>
          <w:rFonts w:ascii="Times New Roman"/>
          <w:spacing w:val="15"/>
          <w:position w:val="-3"/>
        </w:rPr>
        <w:drawing>
          <wp:inline distT="0" distB="0" distL="0" distR="0">
            <wp:extent cx="114300" cy="114300"/>
            <wp:effectExtent l="0" t="0" r="0" b="0"/>
            <wp:docPr id="347" name="Image 347"/>
            <wp:cNvGraphicFramePr>
              <a:graphicFrameLocks/>
            </wp:cNvGraphicFramePr>
            <a:graphic>
              <a:graphicData uri="http://schemas.openxmlformats.org/drawingml/2006/picture">
                <pic:pic>
                  <pic:nvPicPr>
                    <pic:cNvPr id="347" name="Image 347"/>
                    <pic:cNvPicPr/>
                  </pic:nvPicPr>
                  <pic:blipFill>
                    <a:blip r:embed="rId118" cstate="print"/>
                    <a:stretch>
                      <a:fillRect/>
                    </a:stretch>
                  </pic:blipFill>
                  <pic:spPr>
                    <a:xfrm>
                      <a:off x="0" y="0"/>
                      <a:ext cx="114300" cy="114300"/>
                    </a:xfrm>
                    <a:prstGeom prst="rect">
                      <a:avLst/>
                    </a:prstGeom>
                  </pic:spPr>
                </pic:pic>
              </a:graphicData>
            </a:graphic>
          </wp:inline>
        </w:drawing>
      </w:r>
      <w:r>
        <w:rPr>
          <w:rFonts w:ascii="Times New Roman"/>
          <w:spacing w:val="15"/>
          <w:position w:val="-3"/>
        </w:rPr>
      </w:r>
      <w:r>
        <w:rPr>
          <w:rFonts w:ascii="Times New Roman"/>
          <w:spacing w:val="40"/>
        </w:rPr>
        <w:t> </w:t>
      </w:r>
      <w:r>
        <w:rPr>
          <w:color w:val="231F20"/>
        </w:rPr>
        <w:t>Computer500</w:t>
      </w:r>
    </w:p>
    <w:p>
      <w:pPr>
        <w:pStyle w:val="Heading6"/>
        <w:spacing w:before="111"/>
        <w:ind w:left="2232"/>
      </w:pPr>
      <w:r>
        <w:rPr>
          <w:color w:val="231F20"/>
        </w:rPr>
        <w:t>Logical</w:t>
      </w:r>
      <w:r>
        <w:rPr>
          <w:color w:val="231F20"/>
          <w:spacing w:val="9"/>
        </w:rPr>
        <w:t> </w:t>
      </w:r>
      <w:r>
        <w:rPr>
          <w:color w:val="231F20"/>
        </w:rPr>
        <w:t>and</w:t>
      </w:r>
      <w:r>
        <w:rPr>
          <w:color w:val="231F20"/>
          <w:spacing w:val="10"/>
        </w:rPr>
        <w:t> </w:t>
      </w:r>
      <w:r>
        <w:rPr>
          <w:color w:val="231F20"/>
        </w:rPr>
        <w:t>custom</w:t>
      </w:r>
      <w:r>
        <w:rPr>
          <w:color w:val="231F20"/>
          <w:spacing w:val="9"/>
        </w:rPr>
        <w:t> </w:t>
      </w:r>
      <w:r>
        <w:rPr>
          <w:color w:val="231F20"/>
        </w:rPr>
        <w:t>Navigator</w:t>
      </w:r>
      <w:r>
        <w:rPr>
          <w:color w:val="231F20"/>
          <w:spacing w:val="10"/>
        </w:rPr>
        <w:t> </w:t>
      </w:r>
      <w:r>
        <w:rPr>
          <w:color w:val="231F20"/>
          <w:spacing w:val="-2"/>
        </w:rPr>
        <w:t>views</w:t>
      </w:r>
    </w:p>
    <w:p>
      <w:pPr>
        <w:pStyle w:val="BodyText"/>
        <w:spacing w:line="213" w:lineRule="auto" w:before="11"/>
        <w:ind w:left="2951" w:right="603"/>
      </w:pPr>
      <w:r>
        <w:rPr>
          <w:color w:val="231F20"/>
        </w:rPr>
        <w:t>A custom Navigator view can be designed to show the same managed system more than once. If you have a managed system repeated somewhere else in the Navigator view, when you use the expand feature on one Navigator item for that managed system, any other items for </w:t>
      </w:r>
      <w:r>
        <w:rPr>
          <w:color w:val="231F20"/>
        </w:rPr>
        <w:t>that managed system will expand at the same time.</w:t>
      </w:r>
    </w:p>
    <w:p>
      <w:pPr>
        <w:pStyle w:val="BodyText"/>
        <w:spacing w:before="3"/>
        <w:rPr>
          <w:sz w:val="16"/>
        </w:rPr>
      </w:pPr>
      <w:r>
        <w:rPr/>
        <mc:AlternateContent>
          <mc:Choice Requires="wps">
            <w:drawing>
              <wp:anchor distT="0" distB="0" distL="0" distR="0" allowOverlap="1" layoutInCell="1" locked="0" behindDoc="1" simplePos="0" relativeHeight="487628288">
                <wp:simplePos x="0" y="0"/>
                <wp:positionH relativeFrom="page">
                  <wp:posOffset>760323</wp:posOffset>
                </wp:positionH>
                <wp:positionV relativeFrom="paragraph">
                  <wp:posOffset>154842</wp:posOffset>
                </wp:positionV>
                <wp:extent cx="6082665" cy="1270"/>
                <wp:effectExtent l="0" t="0" r="0" b="0"/>
                <wp:wrapTopAndBottom/>
                <wp:docPr id="348" name="Graphic 348"/>
                <wp:cNvGraphicFramePr>
                  <a:graphicFrameLocks/>
                </wp:cNvGraphicFramePr>
                <a:graphic>
                  <a:graphicData uri="http://schemas.microsoft.com/office/word/2010/wordprocessingShape">
                    <wps:wsp>
                      <wps:cNvPr id="348" name="Graphic 34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92314pt;width:478.95pt;height:.1pt;mso-position-horizontal-relative:page;mso-position-vertical-relative:paragraph;z-index:-15688192;mso-wrap-distance-left:0;mso-wrap-distance-right:0" id="docshape47" coordorigin="1197,244" coordsize="9579,0" path="m1197,244l10776,244e" filled="false" stroked="true" strokeweight=".499pt" strokecolor="#231f20">
                <v:path arrowok="t"/>
                <v:stroke dashstyle="solid"/>
                <w10:wrap type="topAndBottom"/>
              </v:shape>
            </w:pict>
          </mc:Fallback>
        </mc:AlternateContent>
      </w:r>
    </w:p>
    <w:p>
      <w:pPr>
        <w:pStyle w:val="Heading3"/>
        <w:ind w:left="197"/>
      </w:pPr>
      <w:bookmarkStart w:name="Collapsing and expanding the Navigator" w:id="43"/>
      <w:bookmarkEnd w:id="43"/>
      <w:r>
        <w:rPr>
          <w:b w:val="0"/>
        </w:rPr>
      </w:r>
      <w:r>
        <w:rPr>
          <w:color w:val="231F20"/>
        </w:rPr>
        <w:t>Collapsing</w:t>
      </w:r>
      <w:r>
        <w:rPr>
          <w:color w:val="231F20"/>
          <w:spacing w:val="5"/>
        </w:rPr>
        <w:t> </w:t>
      </w:r>
      <w:r>
        <w:rPr>
          <w:color w:val="231F20"/>
        </w:rPr>
        <w:t>and</w:t>
      </w:r>
      <w:r>
        <w:rPr>
          <w:color w:val="231F20"/>
          <w:spacing w:val="6"/>
        </w:rPr>
        <w:t> </w:t>
      </w:r>
      <w:r>
        <w:rPr>
          <w:color w:val="231F20"/>
        </w:rPr>
        <w:t>expanding</w:t>
      </w:r>
      <w:r>
        <w:rPr>
          <w:color w:val="231F20"/>
          <w:spacing w:val="5"/>
        </w:rPr>
        <w:t> </w:t>
      </w:r>
      <w:r>
        <w:rPr>
          <w:color w:val="231F20"/>
        </w:rPr>
        <w:t>the</w:t>
      </w:r>
      <w:r>
        <w:rPr>
          <w:color w:val="231F20"/>
          <w:spacing w:val="6"/>
        </w:rPr>
        <w:t> </w:t>
      </w:r>
      <w:r>
        <w:rPr>
          <w:color w:val="231F20"/>
          <w:spacing w:val="-2"/>
        </w:rPr>
        <w:t>Navigator</w:t>
      </w:r>
    </w:p>
    <w:p>
      <w:pPr>
        <w:pStyle w:val="BodyText"/>
        <w:spacing w:line="213" w:lineRule="auto" w:before="138"/>
        <w:ind w:left="2232" w:right="545"/>
      </w:pPr>
      <w:r>
        <w:rPr>
          <w:color w:val="231F20"/>
        </w:rPr>
        <w:t>To provide more space for workspace views, you can hide the Navigator, then restore it when you want to see it.</w:t>
      </w:r>
    </w:p>
    <w:p>
      <w:pPr>
        <w:pStyle w:val="BodyText"/>
        <w:spacing w:before="215"/>
        <w:ind w:left="2232"/>
      </w:pPr>
      <w:r>
        <w:rPr>
          <w:color w:val="231F20"/>
        </w:rPr>
        <w:t>You</w:t>
      </w:r>
      <w:r>
        <w:rPr>
          <w:color w:val="231F20"/>
          <w:spacing w:val="9"/>
        </w:rPr>
        <w:t> </w:t>
      </w:r>
      <w:r>
        <w:rPr>
          <w:color w:val="231F20"/>
        </w:rPr>
        <w:t>can</w:t>
      </w:r>
      <w:r>
        <w:rPr>
          <w:color w:val="231F20"/>
          <w:spacing w:val="10"/>
        </w:rPr>
        <w:t> </w:t>
      </w:r>
      <w:r>
        <w:rPr>
          <w:color w:val="231F20"/>
        </w:rPr>
        <w:t>also</w:t>
      </w:r>
      <w:r>
        <w:rPr>
          <w:color w:val="231F20"/>
          <w:spacing w:val="9"/>
        </w:rPr>
        <w:t> </w:t>
      </w:r>
      <w:r>
        <w:rPr>
          <w:color w:val="231F20"/>
        </w:rPr>
        <w:t>can</w:t>
      </w:r>
      <w:r>
        <w:rPr>
          <w:color w:val="231F20"/>
          <w:spacing w:val="10"/>
        </w:rPr>
        <w:t> </w:t>
      </w:r>
      <w:r>
        <w:rPr>
          <w:color w:val="231F20"/>
        </w:rPr>
        <w:t>save</w:t>
      </w:r>
      <w:r>
        <w:rPr>
          <w:color w:val="231F20"/>
          <w:spacing w:val="9"/>
        </w:rPr>
        <w:t> </w:t>
      </w:r>
      <w:r>
        <w:rPr>
          <w:color w:val="231F20"/>
        </w:rPr>
        <w:t>the</w:t>
      </w:r>
      <w:r>
        <w:rPr>
          <w:color w:val="231F20"/>
          <w:spacing w:val="10"/>
        </w:rPr>
        <w:t> </w:t>
      </w:r>
      <w:r>
        <w:rPr>
          <w:color w:val="231F20"/>
        </w:rPr>
        <w:t>workspace</w:t>
      </w:r>
      <w:r>
        <w:rPr>
          <w:color w:val="231F20"/>
          <w:spacing w:val="9"/>
        </w:rPr>
        <w:t> </w:t>
      </w:r>
      <w:r>
        <w:rPr>
          <w:color w:val="231F20"/>
        </w:rPr>
        <w:t>with</w:t>
      </w:r>
      <w:r>
        <w:rPr>
          <w:color w:val="231F20"/>
          <w:spacing w:val="10"/>
        </w:rPr>
        <w:t> </w:t>
      </w:r>
      <w:r>
        <w:rPr>
          <w:color w:val="231F20"/>
        </w:rPr>
        <w:t>the</w:t>
      </w:r>
      <w:r>
        <w:rPr>
          <w:color w:val="231F20"/>
          <w:spacing w:val="10"/>
        </w:rPr>
        <w:t> </w:t>
      </w:r>
      <w:r>
        <w:rPr>
          <w:color w:val="231F20"/>
        </w:rPr>
        <w:t>Navigator</w:t>
      </w:r>
      <w:r>
        <w:rPr>
          <w:color w:val="231F20"/>
          <w:spacing w:val="9"/>
        </w:rPr>
        <w:t> </w:t>
      </w:r>
      <w:r>
        <w:rPr>
          <w:color w:val="231F20"/>
          <w:spacing w:val="-2"/>
        </w:rPr>
        <w:t>minimized.</w:t>
      </w:r>
    </w:p>
    <w:p>
      <w:pPr>
        <w:pStyle w:val="Heading4"/>
        <w:spacing w:before="194"/>
        <w:ind w:left="0" w:right="6760"/>
        <w:jc w:val="right"/>
      </w:pPr>
      <w:r>
        <w:rPr>
          <w:color w:val="231F20"/>
          <w:spacing w:val="-2"/>
        </w:rPr>
        <w:t>Procedure</w:t>
      </w:r>
    </w:p>
    <w:p>
      <w:pPr>
        <w:pStyle w:val="BodyText"/>
        <w:spacing w:line="213" w:lineRule="auto" w:before="122"/>
        <w:ind w:left="2448" w:right="603" w:hanging="216"/>
      </w:pPr>
      <w:r>
        <w:rPr>
          <w:rFonts w:ascii="Futura MdCn BT"/>
          <w:color w:val="231F20"/>
        </w:rPr>
        <w:t>v</w:t>
      </w:r>
      <w:r>
        <w:rPr>
          <w:rFonts w:ascii="Futura MdCn BT"/>
          <w:color w:val="231F20"/>
          <w:spacing w:val="80"/>
        </w:rPr>
        <w:t> </w:t>
      </w:r>
      <w:r>
        <w:rPr>
          <w:color w:val="231F20"/>
        </w:rPr>
        <w:t>To collapse the Navigator view, click the </w:t>
      </w:r>
      <w:r>
        <w:rPr>
          <w:color w:val="231F20"/>
          <w:spacing w:val="15"/>
          <w:position w:val="-1"/>
        </w:rPr>
        <w:drawing>
          <wp:inline distT="0" distB="0" distL="0" distR="0">
            <wp:extent cx="50800" cy="133350"/>
            <wp:effectExtent l="0" t="0" r="0" b="0"/>
            <wp:docPr id="349" name="Image 349"/>
            <wp:cNvGraphicFramePr>
              <a:graphicFrameLocks/>
            </wp:cNvGraphicFramePr>
            <a:graphic>
              <a:graphicData uri="http://schemas.openxmlformats.org/drawingml/2006/picture">
                <pic:pic>
                  <pic:nvPicPr>
                    <pic:cNvPr id="349" name="Image 349"/>
                    <pic:cNvPicPr/>
                  </pic:nvPicPr>
                  <pic:blipFill>
                    <a:blip r:embed="rId76" cstate="print"/>
                    <a:stretch>
                      <a:fillRect/>
                    </a:stretch>
                  </pic:blipFill>
                  <pic:spPr>
                    <a:xfrm>
                      <a:off x="0" y="0"/>
                      <a:ext cx="50800" cy="13335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Collapse </w:t>
      </w:r>
      <w:r>
        <w:rPr>
          <w:color w:val="231F20"/>
        </w:rPr>
        <w:t>bar on the right border.</w:t>
      </w:r>
      <w:r>
        <w:rPr>
          <w:color w:val="231F20"/>
          <w:spacing w:val="40"/>
        </w:rPr>
        <w:t> </w:t>
      </w:r>
      <w:r>
        <w:rPr>
          <w:color w:val="231F20"/>
        </w:rPr>
        <w:t>(You can also drag the right border if you prefer to manually adjust the Navigator width.) The adjacent workspace views expand to fill the gap and </w:t>
      </w:r>
      <w:r>
        <w:rPr>
          <w:color w:val="231F20"/>
        </w:rPr>
        <w:t>the</w:t>
      </w:r>
      <w:r>
        <w:rPr>
          <w:color w:val="231F20"/>
        </w:rPr>
        <w:t> status bar shows the Navigator view icon and name in the right-most section.</w:t>
      </w:r>
    </w:p>
    <w:p>
      <w:pPr>
        <w:pStyle w:val="BodyText"/>
        <w:spacing w:line="213" w:lineRule="auto" w:before="117"/>
        <w:ind w:left="2448" w:right="416" w:hanging="216"/>
        <w:jc w:val="both"/>
      </w:pPr>
      <w:r>
        <w:rPr>
          <w:rFonts w:ascii="Futura MdCn BT"/>
          <w:color w:val="231F20"/>
        </w:rPr>
        <w:t>v</w:t>
      </w:r>
      <w:r>
        <w:rPr>
          <w:rFonts w:ascii="Futura MdCn BT"/>
          <w:color w:val="231F20"/>
          <w:spacing w:val="80"/>
        </w:rPr>
        <w:t> </w:t>
      </w:r>
      <w:r>
        <w:rPr>
          <w:color w:val="231F20"/>
        </w:rPr>
        <w:t>To restore the Navigator view, either click the </w:t>
      </w:r>
      <w:r>
        <w:rPr>
          <w:color w:val="231F20"/>
          <w:spacing w:val="15"/>
          <w:position w:val="-1"/>
        </w:rPr>
        <w:drawing>
          <wp:inline distT="0" distB="0" distL="0" distR="0">
            <wp:extent cx="50800" cy="133350"/>
            <wp:effectExtent l="0" t="0" r="0" b="0"/>
            <wp:docPr id="350" name="Image 350"/>
            <wp:cNvGraphicFramePr>
              <a:graphicFrameLocks/>
            </wp:cNvGraphicFramePr>
            <a:graphic>
              <a:graphicData uri="http://schemas.openxmlformats.org/drawingml/2006/picture">
                <pic:pic>
                  <pic:nvPicPr>
                    <pic:cNvPr id="350" name="Image 350"/>
                    <pic:cNvPicPr/>
                  </pic:nvPicPr>
                  <pic:blipFill>
                    <a:blip r:embed="rId77" cstate="print"/>
                    <a:stretch>
                      <a:fillRect/>
                    </a:stretch>
                  </pic:blipFill>
                  <pic:spPr>
                    <a:xfrm>
                      <a:off x="0" y="0"/>
                      <a:ext cx="50800" cy="133350"/>
                    </a:xfrm>
                    <a:prstGeom prst="rect">
                      <a:avLst/>
                    </a:prstGeom>
                  </pic:spPr>
                </pic:pic>
              </a:graphicData>
            </a:graphic>
          </wp:inline>
        </w:drawing>
      </w:r>
      <w:r>
        <w:rPr>
          <w:color w:val="231F20"/>
          <w:spacing w:val="15"/>
          <w:position w:val="-1"/>
        </w:rPr>
      </w:r>
      <w:r>
        <w:rPr>
          <w:rFonts w:ascii="Times New Roman"/>
          <w:color w:val="231F20"/>
          <w:spacing w:val="15"/>
        </w:rPr>
        <w:t> </w:t>
      </w:r>
      <w:r>
        <w:rPr>
          <w:rFonts w:ascii="Book Antiqua"/>
          <w:b/>
          <w:color w:val="231F20"/>
        </w:rPr>
        <w:t>Expand </w:t>
      </w:r>
      <w:r>
        <w:rPr>
          <w:color w:val="231F20"/>
        </w:rPr>
        <w:t>bar on the left border or click</w:t>
      </w:r>
      <w:r>
        <w:rPr>
          <w:color w:val="231F20"/>
          <w:spacing w:val="13"/>
        </w:rPr>
        <w:t> </w:t>
      </w:r>
      <w:r>
        <w:rPr>
          <w:color w:val="231F20"/>
          <w:spacing w:val="16"/>
          <w:position w:val="-1"/>
        </w:rPr>
        <w:drawing>
          <wp:inline distT="0" distB="0" distL="0" distR="0">
            <wp:extent cx="101600" cy="88900"/>
            <wp:effectExtent l="0" t="0" r="0" b="0"/>
            <wp:docPr id="351" name="Image 351"/>
            <wp:cNvGraphicFramePr>
              <a:graphicFrameLocks/>
            </wp:cNvGraphicFramePr>
            <a:graphic>
              <a:graphicData uri="http://schemas.openxmlformats.org/drawingml/2006/picture">
                <pic:pic>
                  <pic:nvPicPr>
                    <pic:cNvPr id="351" name="Image 351"/>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i/>
          <w:color w:val="231F20"/>
        </w:rPr>
        <w:t>&lt;Navigator</w:t>
      </w:r>
      <w:r>
        <w:rPr>
          <w:rFonts w:ascii="Book Antiqua"/>
          <w:i/>
          <w:color w:val="231F20"/>
          <w:spacing w:val="13"/>
        </w:rPr>
        <w:t> </w:t>
      </w:r>
      <w:r>
        <w:rPr>
          <w:rFonts w:ascii="Book Antiqua"/>
          <w:i/>
          <w:color w:val="231F20"/>
        </w:rPr>
        <w:t>name&gt;</w:t>
      </w:r>
      <w:r>
        <w:rPr>
          <w:rFonts w:ascii="Book Antiqua"/>
          <w:i/>
          <w:color w:val="231F20"/>
          <w:spacing w:val="13"/>
        </w:rPr>
        <w:t> </w:t>
      </w:r>
      <w:r>
        <w:rPr>
          <w:color w:val="231F20"/>
        </w:rPr>
        <w:t>in</w:t>
      </w:r>
      <w:r>
        <w:rPr>
          <w:color w:val="231F20"/>
          <w:spacing w:val="13"/>
        </w:rPr>
        <w:t> </w:t>
      </w:r>
      <w:r>
        <w:rPr>
          <w:color w:val="231F20"/>
        </w:rPr>
        <w:t>the</w:t>
      </w:r>
      <w:r>
        <w:rPr>
          <w:color w:val="231F20"/>
          <w:spacing w:val="13"/>
        </w:rPr>
        <w:t> </w:t>
      </w:r>
      <w:r>
        <w:rPr>
          <w:color w:val="231F20"/>
        </w:rPr>
        <w:t>status</w:t>
      </w:r>
      <w:r>
        <w:rPr>
          <w:color w:val="231F20"/>
          <w:spacing w:val="13"/>
        </w:rPr>
        <w:t> </w:t>
      </w:r>
      <w:r>
        <w:rPr>
          <w:color w:val="231F20"/>
        </w:rPr>
        <w:t>bar.</w:t>
      </w:r>
      <w:r>
        <w:rPr>
          <w:color w:val="231F20"/>
          <w:spacing w:val="13"/>
        </w:rPr>
        <w:t> </w:t>
      </w:r>
      <w:r>
        <w:rPr>
          <w:color w:val="231F20"/>
        </w:rPr>
        <w:t>There</w:t>
      </w:r>
      <w:r>
        <w:rPr>
          <w:color w:val="231F20"/>
          <w:spacing w:val="13"/>
        </w:rPr>
        <w:t> </w:t>
      </w:r>
      <w:r>
        <w:rPr>
          <w:color w:val="231F20"/>
        </w:rPr>
        <w:t>is</w:t>
      </w:r>
      <w:r>
        <w:rPr>
          <w:color w:val="231F20"/>
          <w:spacing w:val="13"/>
        </w:rPr>
        <w:t> </w:t>
      </w:r>
      <w:r>
        <w:rPr>
          <w:color w:val="231F20"/>
        </w:rPr>
        <w:t>an</w:t>
      </w:r>
      <w:r>
        <w:rPr>
          <w:color w:val="231F20"/>
          <w:spacing w:val="13"/>
        </w:rPr>
        <w:t> </w:t>
      </w:r>
      <w:r>
        <w:rPr>
          <w:color w:val="231F20"/>
        </w:rPr>
        <w:t>additional</w:t>
      </w:r>
      <w:r>
        <w:rPr>
          <w:color w:val="231F20"/>
          <w:spacing w:val="13"/>
        </w:rPr>
        <w:t> </w:t>
      </w:r>
      <w:r>
        <w:rPr>
          <w:color w:val="231F20"/>
        </w:rPr>
        <w:t>option</w:t>
      </w:r>
      <w:r>
        <w:rPr>
          <w:color w:val="231F20"/>
          <w:spacing w:val="13"/>
        </w:rPr>
        <w:t> </w:t>
      </w:r>
      <w:r>
        <w:rPr>
          <w:color w:val="231F20"/>
        </w:rPr>
        <w:t>to</w:t>
      </w:r>
      <w:r>
        <w:rPr>
          <w:color w:val="231F20"/>
          <w:spacing w:val="13"/>
        </w:rPr>
        <w:t> </w:t>
      </w:r>
      <w:r>
        <w:rPr>
          <w:color w:val="231F20"/>
        </w:rPr>
        <w:t>open a different Navigator view instead of restoring the original by right-clicking </w:t>
      </w:r>
      <w:r>
        <w:rPr>
          <w:color w:val="231F20"/>
          <w:spacing w:val="14"/>
          <w:position w:val="-1"/>
        </w:rPr>
        <w:drawing>
          <wp:inline distT="0" distB="0" distL="0" distR="0">
            <wp:extent cx="101600" cy="88900"/>
            <wp:effectExtent l="0" t="0" r="0" b="0"/>
            <wp:docPr id="352" name="Image 352"/>
            <wp:cNvGraphicFramePr>
              <a:graphicFrameLocks/>
            </wp:cNvGraphicFramePr>
            <a:graphic>
              <a:graphicData uri="http://schemas.openxmlformats.org/drawingml/2006/picture">
                <pic:pic>
                  <pic:nvPicPr>
                    <pic:cNvPr id="352" name="Image 352"/>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4"/>
          <w:position w:val="-1"/>
        </w:rPr>
      </w:r>
    </w:p>
    <w:p>
      <w:pPr>
        <w:spacing w:line="245" w:lineRule="exact" w:before="0"/>
        <w:ind w:left="2448" w:right="0" w:firstLine="0"/>
        <w:jc w:val="both"/>
        <w:rPr>
          <w:sz w:val="20"/>
        </w:rPr>
      </w:pPr>
      <w:r>
        <w:rPr>
          <w:rFonts w:ascii="Book Antiqua"/>
          <w:i/>
          <w:color w:val="231F20"/>
          <w:sz w:val="20"/>
        </w:rPr>
        <w:t>&lt;Navigator</w:t>
      </w:r>
      <w:r>
        <w:rPr>
          <w:rFonts w:ascii="Book Antiqua"/>
          <w:i/>
          <w:color w:val="231F20"/>
          <w:spacing w:val="11"/>
          <w:sz w:val="20"/>
        </w:rPr>
        <w:t> </w:t>
      </w:r>
      <w:r>
        <w:rPr>
          <w:rFonts w:ascii="Book Antiqua"/>
          <w:i/>
          <w:color w:val="231F20"/>
          <w:sz w:val="20"/>
        </w:rPr>
        <w:t>name&gt;</w:t>
      </w:r>
      <w:r>
        <w:rPr>
          <w:rFonts w:ascii="Book Antiqua"/>
          <w:i/>
          <w:color w:val="231F20"/>
          <w:spacing w:val="11"/>
          <w:sz w:val="20"/>
        </w:rPr>
        <w:t> </w:t>
      </w:r>
      <w:r>
        <w:rPr>
          <w:color w:val="231F20"/>
          <w:sz w:val="20"/>
        </w:rPr>
        <w:t>to</w:t>
      </w:r>
      <w:r>
        <w:rPr>
          <w:color w:val="231F20"/>
          <w:spacing w:val="11"/>
          <w:sz w:val="20"/>
        </w:rPr>
        <w:t> </w:t>
      </w:r>
      <w:r>
        <w:rPr>
          <w:color w:val="231F20"/>
          <w:sz w:val="20"/>
        </w:rPr>
        <w:t>see</w:t>
      </w:r>
      <w:r>
        <w:rPr>
          <w:color w:val="231F20"/>
          <w:spacing w:val="11"/>
          <w:sz w:val="20"/>
        </w:rPr>
        <w:t> </w:t>
      </w:r>
      <w:r>
        <w:rPr>
          <w:color w:val="231F20"/>
          <w:sz w:val="20"/>
        </w:rPr>
        <w:t>and</w:t>
      </w:r>
      <w:r>
        <w:rPr>
          <w:color w:val="231F20"/>
          <w:spacing w:val="11"/>
          <w:sz w:val="20"/>
        </w:rPr>
        <w:t> </w:t>
      </w:r>
      <w:r>
        <w:rPr>
          <w:color w:val="231F20"/>
          <w:sz w:val="20"/>
        </w:rPr>
        <w:t>select</w:t>
      </w:r>
      <w:r>
        <w:rPr>
          <w:color w:val="231F20"/>
          <w:spacing w:val="11"/>
          <w:sz w:val="20"/>
        </w:rPr>
        <w:t> </w:t>
      </w:r>
      <w:r>
        <w:rPr>
          <w:color w:val="231F20"/>
          <w:sz w:val="20"/>
        </w:rPr>
        <w:t>from</w:t>
      </w:r>
      <w:r>
        <w:rPr>
          <w:color w:val="231F20"/>
          <w:spacing w:val="11"/>
          <w:sz w:val="20"/>
        </w:rPr>
        <w:t> </w:t>
      </w:r>
      <w:r>
        <w:rPr>
          <w:color w:val="231F20"/>
          <w:sz w:val="20"/>
        </w:rPr>
        <w:t>a</w:t>
      </w:r>
      <w:r>
        <w:rPr>
          <w:color w:val="231F20"/>
          <w:spacing w:val="12"/>
          <w:sz w:val="20"/>
        </w:rPr>
        <w:t> </w:t>
      </w:r>
      <w:r>
        <w:rPr>
          <w:color w:val="231F20"/>
          <w:sz w:val="20"/>
        </w:rPr>
        <w:t>list</w:t>
      </w:r>
      <w:r>
        <w:rPr>
          <w:color w:val="231F20"/>
          <w:spacing w:val="11"/>
          <w:sz w:val="20"/>
        </w:rPr>
        <w:t> </w:t>
      </w:r>
      <w:r>
        <w:rPr>
          <w:color w:val="231F20"/>
          <w:sz w:val="20"/>
        </w:rPr>
        <w:t>of</w:t>
      </w:r>
      <w:r>
        <w:rPr>
          <w:color w:val="231F20"/>
          <w:spacing w:val="11"/>
          <w:sz w:val="20"/>
        </w:rPr>
        <w:t> </w:t>
      </w:r>
      <w:r>
        <w:rPr>
          <w:color w:val="231F20"/>
          <w:sz w:val="20"/>
        </w:rPr>
        <w:t>available</w:t>
      </w:r>
      <w:r>
        <w:rPr>
          <w:color w:val="231F20"/>
          <w:spacing w:val="11"/>
          <w:sz w:val="20"/>
        </w:rPr>
        <w:t> </w:t>
      </w:r>
      <w:r>
        <w:rPr>
          <w:color w:val="231F20"/>
          <w:sz w:val="20"/>
        </w:rPr>
        <w:t>Navigator</w:t>
      </w:r>
      <w:r>
        <w:rPr>
          <w:color w:val="231F20"/>
          <w:spacing w:val="11"/>
          <w:sz w:val="20"/>
        </w:rPr>
        <w:t> </w:t>
      </w:r>
      <w:r>
        <w:rPr>
          <w:color w:val="231F20"/>
          <w:spacing w:val="-2"/>
          <w:sz w:val="20"/>
        </w:rPr>
        <w:t>views.</w:t>
      </w:r>
    </w:p>
    <w:p>
      <w:pPr>
        <w:pStyle w:val="BodyText"/>
        <w:spacing w:before="13"/>
        <w:rPr>
          <w:sz w:val="15"/>
        </w:rPr>
      </w:pPr>
      <w:r>
        <w:rPr/>
        <mc:AlternateContent>
          <mc:Choice Requires="wps">
            <w:drawing>
              <wp:anchor distT="0" distB="0" distL="0" distR="0" allowOverlap="1" layoutInCell="1" locked="0" behindDoc="1" simplePos="0" relativeHeight="487628800">
                <wp:simplePos x="0" y="0"/>
                <wp:positionH relativeFrom="page">
                  <wp:posOffset>760323</wp:posOffset>
                </wp:positionH>
                <wp:positionV relativeFrom="paragraph">
                  <wp:posOffset>152197</wp:posOffset>
                </wp:positionV>
                <wp:extent cx="6082665" cy="1270"/>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84048pt;width:478.95pt;height:.1pt;mso-position-horizontal-relative:page;mso-position-vertical-relative:paragraph;z-index:-15687680;mso-wrap-distance-left:0;mso-wrap-distance-right:0" id="docshape48" coordorigin="1197,240" coordsize="9579,0" path="m1197,240l10776,240e" filled="false" stroked="true" strokeweight=".499pt" strokecolor="#231f20">
                <v:path arrowok="t"/>
                <v:stroke dashstyle="solid"/>
                <w10:wrap type="topAndBottom"/>
              </v:shape>
            </w:pict>
          </mc:Fallback>
        </mc:AlternateContent>
      </w:r>
    </w:p>
    <w:p>
      <w:pPr>
        <w:pStyle w:val="Heading3"/>
        <w:ind w:left="0" w:right="6767"/>
        <w:jc w:val="right"/>
      </w:pPr>
      <w:bookmarkStart w:name="Finding Navigator items" w:id="44"/>
      <w:bookmarkEnd w:id="44"/>
      <w:r>
        <w:rPr>
          <w:b w:val="0"/>
        </w:rPr>
      </w:r>
      <w:r>
        <w:rPr>
          <w:color w:val="231F20"/>
        </w:rPr>
        <w:t>Finding</w:t>
      </w:r>
      <w:r>
        <w:rPr>
          <w:color w:val="231F20"/>
          <w:spacing w:val="3"/>
        </w:rPr>
        <w:t> </w:t>
      </w:r>
      <w:r>
        <w:rPr>
          <w:color w:val="231F20"/>
        </w:rPr>
        <w:t>Navigator</w:t>
      </w:r>
      <w:r>
        <w:rPr>
          <w:color w:val="231F20"/>
          <w:spacing w:val="3"/>
        </w:rPr>
        <w:t> </w:t>
      </w:r>
      <w:r>
        <w:rPr>
          <w:color w:val="231F20"/>
          <w:spacing w:val="-2"/>
        </w:rPr>
        <w:t>items</w:t>
      </w:r>
    </w:p>
    <w:p>
      <w:pPr>
        <w:pStyle w:val="BodyText"/>
        <w:spacing w:line="213" w:lineRule="auto" w:before="138"/>
        <w:ind w:left="2232" w:right="763"/>
      </w:pPr>
      <w:r>
        <w:rPr>
          <w:color w:val="231F20"/>
        </w:rPr>
        <w:t>The Navigator shows all the managed systems that run on an operating system and this list can get very long. Use the Find tool to locate Navigator items </w:t>
      </w:r>
      <w:r>
        <w:rPr>
          <w:color w:val="231F20"/>
        </w:rPr>
        <w:t>based</w:t>
      </w:r>
      <w:r>
        <w:rPr>
          <w:color w:val="231F20"/>
          <w:spacing w:val="40"/>
        </w:rPr>
        <w:t> </w:t>
      </w:r>
      <w:r>
        <w:rPr>
          <w:color w:val="231F20"/>
        </w:rPr>
        <w:t>on properties such as IP address or associated situations.</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9"/>
        </w:rPr>
        <w:t> </w:t>
      </w:r>
      <w:r>
        <w:rPr>
          <w:color w:val="231F20"/>
        </w:rPr>
        <w:t>these</w:t>
      </w:r>
      <w:r>
        <w:rPr>
          <w:color w:val="231F20"/>
          <w:spacing w:val="9"/>
        </w:rPr>
        <w:t> </w:t>
      </w:r>
      <w:r>
        <w:rPr>
          <w:color w:val="231F20"/>
        </w:rPr>
        <w:t>steps</w:t>
      </w:r>
      <w:r>
        <w:rPr>
          <w:color w:val="231F20"/>
          <w:spacing w:val="9"/>
        </w:rPr>
        <w:t> </w:t>
      </w:r>
      <w:r>
        <w:rPr>
          <w:color w:val="231F20"/>
        </w:rPr>
        <w:t>to</w:t>
      </w:r>
      <w:r>
        <w:rPr>
          <w:color w:val="231F20"/>
          <w:spacing w:val="9"/>
        </w:rPr>
        <w:t> </w:t>
      </w:r>
      <w:r>
        <w:rPr>
          <w:color w:val="231F20"/>
        </w:rPr>
        <w:t>find</w:t>
      </w:r>
      <w:r>
        <w:rPr>
          <w:color w:val="231F20"/>
          <w:spacing w:val="9"/>
        </w:rPr>
        <w:t> </w:t>
      </w:r>
      <w:r>
        <w:rPr>
          <w:color w:val="231F20"/>
        </w:rPr>
        <w:t>a</w:t>
      </w:r>
      <w:r>
        <w:rPr>
          <w:color w:val="231F20"/>
          <w:spacing w:val="10"/>
        </w:rPr>
        <w:t> </w:t>
      </w:r>
      <w:r>
        <w:rPr>
          <w:color w:val="231F20"/>
        </w:rPr>
        <w:t>Navigator</w:t>
      </w:r>
      <w:r>
        <w:rPr>
          <w:color w:val="231F20"/>
          <w:spacing w:val="9"/>
        </w:rPr>
        <w:t> </w:t>
      </w:r>
      <w:r>
        <w:rPr>
          <w:color w:val="231F20"/>
          <w:spacing w:val="-2"/>
        </w:rPr>
        <w:t>item:</w:t>
      </w:r>
    </w:p>
    <w:p>
      <w:pPr>
        <w:pStyle w:val="Heading4"/>
        <w:spacing w:before="194"/>
      </w:pPr>
      <w:r>
        <w:rPr>
          <w:color w:val="231F20"/>
          <w:spacing w:val="-2"/>
        </w:rPr>
        <w:t>Procedure</w:t>
      </w:r>
    </w:p>
    <w:p>
      <w:pPr>
        <w:pStyle w:val="ListParagraph"/>
        <w:numPr>
          <w:ilvl w:val="0"/>
          <w:numId w:val="6"/>
        </w:numPr>
        <w:tabs>
          <w:tab w:pos="2547" w:val="left" w:leader="none"/>
        </w:tabs>
        <w:spacing w:line="240" w:lineRule="auto" w:before="38" w:after="0"/>
        <w:ind w:left="2547" w:right="0" w:hanging="315"/>
        <w:jc w:val="left"/>
        <w:rPr>
          <w:sz w:val="20"/>
        </w:rPr>
      </w:pPr>
      <w:r>
        <w:rPr>
          <w:color w:val="231F20"/>
          <w:sz w:val="20"/>
        </w:rPr>
        <w:t>Click</w:t>
      </w:r>
      <w:r>
        <w:rPr>
          <w:color w:val="231F20"/>
          <w:spacing w:val="9"/>
          <w:sz w:val="20"/>
        </w:rPr>
        <w:t> </w:t>
      </w:r>
      <w:r>
        <w:rPr>
          <w:color w:val="231F20"/>
          <w:spacing w:val="16"/>
          <w:position w:val="-1"/>
          <w:sz w:val="20"/>
        </w:rPr>
        <w:drawing>
          <wp:inline distT="0" distB="0" distL="0" distR="0">
            <wp:extent cx="101600" cy="101600"/>
            <wp:effectExtent l="0" t="0" r="0" b="0"/>
            <wp:docPr id="354" name="Image 354"/>
            <wp:cNvGraphicFramePr>
              <a:graphicFrameLocks/>
            </wp:cNvGraphicFramePr>
            <a:graphic>
              <a:graphicData uri="http://schemas.openxmlformats.org/drawingml/2006/picture">
                <pic:pic>
                  <pic:nvPicPr>
                    <pic:cNvPr id="354" name="Image 354"/>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Find</w:t>
      </w:r>
      <w:r>
        <w:rPr>
          <w:rFonts w:ascii="Book Antiqua"/>
          <w:b/>
          <w:color w:val="231F20"/>
          <w:spacing w:val="12"/>
          <w:sz w:val="20"/>
        </w:rPr>
        <w:t> </w:t>
      </w:r>
      <w:r>
        <w:rPr>
          <w:color w:val="231F20"/>
          <w:sz w:val="20"/>
        </w:rPr>
        <w:t>in</w:t>
      </w:r>
      <w:r>
        <w:rPr>
          <w:color w:val="231F20"/>
          <w:spacing w:val="12"/>
          <w:sz w:val="20"/>
        </w:rPr>
        <w:t> </w:t>
      </w:r>
      <w:r>
        <w:rPr>
          <w:color w:val="231F20"/>
          <w:sz w:val="20"/>
        </w:rPr>
        <w:t>the</w:t>
      </w:r>
      <w:r>
        <w:rPr>
          <w:color w:val="231F20"/>
          <w:spacing w:val="12"/>
          <w:sz w:val="20"/>
        </w:rPr>
        <w:t> </w:t>
      </w:r>
      <w:r>
        <w:rPr>
          <w:color w:val="231F20"/>
          <w:sz w:val="20"/>
        </w:rPr>
        <w:t>Navigator</w:t>
      </w:r>
      <w:r>
        <w:rPr>
          <w:color w:val="231F20"/>
          <w:spacing w:val="12"/>
          <w:sz w:val="20"/>
        </w:rPr>
        <w:t> </w:t>
      </w:r>
      <w:r>
        <w:rPr>
          <w:color w:val="231F20"/>
          <w:spacing w:val="-2"/>
          <w:sz w:val="20"/>
        </w:rPr>
        <w:t>toolbar.</w:t>
      </w:r>
    </w:p>
    <w:p>
      <w:pPr>
        <w:pStyle w:val="ListParagraph"/>
        <w:numPr>
          <w:ilvl w:val="0"/>
          <w:numId w:val="6"/>
        </w:numPr>
        <w:tabs>
          <w:tab w:pos="2548" w:val="left" w:leader="none"/>
        </w:tabs>
        <w:spacing w:line="213" w:lineRule="auto" w:before="53" w:after="0"/>
        <w:ind w:left="2548" w:right="408" w:hanging="316"/>
        <w:jc w:val="left"/>
        <w:rPr>
          <w:sz w:val="20"/>
        </w:rPr>
      </w:pPr>
      <w:r>
        <w:rPr>
          <w:color w:val="231F20"/>
          <w:sz w:val="20"/>
        </w:rPr>
        <w:t>If the item you want to search for is in a different Navigator view, select it from the </w:t>
      </w:r>
      <w:r>
        <w:rPr>
          <w:rFonts w:ascii="Book Antiqua"/>
          <w:b/>
          <w:color w:val="231F20"/>
          <w:sz w:val="20"/>
        </w:rPr>
        <w:t>For Navigator </w:t>
      </w:r>
      <w:r>
        <w:rPr>
          <w:rFonts w:ascii="Book Antiqua"/>
          <w:b/>
          <w:color w:val="231F20"/>
          <w:spacing w:val="15"/>
          <w:position w:val="-1"/>
          <w:sz w:val="20"/>
        </w:rPr>
        <w:drawing>
          <wp:inline distT="0" distB="0" distL="0" distR="0">
            <wp:extent cx="101600" cy="101600"/>
            <wp:effectExtent l="0" t="0" r="0" b="0"/>
            <wp:docPr id="355" name="Image 355"/>
            <wp:cNvGraphicFramePr>
              <a:graphicFrameLocks/>
            </wp:cNvGraphicFramePr>
            <a:graphic>
              <a:graphicData uri="http://schemas.openxmlformats.org/drawingml/2006/picture">
                <pic:pic>
                  <pic:nvPicPr>
                    <pic:cNvPr id="355" name="Image 355"/>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6"/>
          <w:sz w:val="20"/>
        </w:rPr>
        <w:t> </w:t>
      </w:r>
      <w:r>
        <w:rPr>
          <w:color w:val="231F20"/>
          <w:sz w:val="20"/>
        </w:rPr>
        <w:t>list.</w:t>
      </w:r>
    </w:p>
    <w:p>
      <w:pPr>
        <w:pStyle w:val="ListParagraph"/>
        <w:numPr>
          <w:ilvl w:val="0"/>
          <w:numId w:val="6"/>
        </w:numPr>
        <w:tabs>
          <w:tab w:pos="2547" w:val="left" w:leader="none"/>
        </w:tabs>
        <w:spacing w:line="240" w:lineRule="auto" w:before="35" w:after="0"/>
        <w:ind w:left="2547" w:right="0" w:hanging="315"/>
        <w:jc w:val="left"/>
        <w:rPr>
          <w:sz w:val="20"/>
        </w:rPr>
      </w:pPr>
      <w:r>
        <w:rPr>
          <w:color w:val="231F20"/>
          <w:sz w:val="20"/>
        </w:rPr>
        <w:t>Enter</w:t>
      </w:r>
      <w:r>
        <w:rPr>
          <w:color w:val="231F20"/>
          <w:spacing w:val="10"/>
          <w:sz w:val="20"/>
        </w:rPr>
        <w:t> </w:t>
      </w:r>
      <w:r>
        <w:rPr>
          <w:color w:val="231F20"/>
          <w:sz w:val="20"/>
        </w:rPr>
        <w:t>the</w:t>
      </w:r>
      <w:r>
        <w:rPr>
          <w:color w:val="231F20"/>
          <w:spacing w:val="11"/>
          <w:sz w:val="20"/>
        </w:rPr>
        <w:t> </w:t>
      </w:r>
      <w:r>
        <w:rPr>
          <w:color w:val="231F20"/>
          <w:sz w:val="20"/>
        </w:rPr>
        <w:t>values</w:t>
      </w:r>
      <w:r>
        <w:rPr>
          <w:color w:val="231F20"/>
          <w:spacing w:val="11"/>
          <w:sz w:val="20"/>
        </w:rPr>
        <w:t> </w:t>
      </w:r>
      <w:r>
        <w:rPr>
          <w:color w:val="231F20"/>
          <w:sz w:val="20"/>
        </w:rPr>
        <w:t>of</w:t>
      </w:r>
      <w:r>
        <w:rPr>
          <w:color w:val="231F20"/>
          <w:spacing w:val="10"/>
          <w:sz w:val="20"/>
        </w:rPr>
        <w:t> </w:t>
      </w:r>
      <w:r>
        <w:rPr>
          <w:color w:val="231F20"/>
          <w:sz w:val="20"/>
        </w:rPr>
        <w:t>the</w:t>
      </w:r>
      <w:r>
        <w:rPr>
          <w:color w:val="231F20"/>
          <w:spacing w:val="11"/>
          <w:sz w:val="20"/>
        </w:rPr>
        <w:t> </w:t>
      </w:r>
      <w:r>
        <w:rPr>
          <w:color w:val="231F20"/>
          <w:sz w:val="20"/>
        </w:rPr>
        <w:t>properties</w:t>
      </w:r>
      <w:r>
        <w:rPr>
          <w:color w:val="231F20"/>
          <w:spacing w:val="11"/>
          <w:sz w:val="20"/>
        </w:rPr>
        <w:t> </w:t>
      </w:r>
      <w:r>
        <w:rPr>
          <w:color w:val="231F20"/>
          <w:sz w:val="20"/>
        </w:rPr>
        <w:t>to</w:t>
      </w:r>
      <w:r>
        <w:rPr>
          <w:color w:val="231F20"/>
          <w:spacing w:val="11"/>
          <w:sz w:val="20"/>
        </w:rPr>
        <w:t> </w:t>
      </w:r>
      <w:r>
        <w:rPr>
          <w:color w:val="231F20"/>
          <w:sz w:val="20"/>
        </w:rPr>
        <w:t>search</w:t>
      </w:r>
      <w:r>
        <w:rPr>
          <w:color w:val="231F20"/>
          <w:spacing w:val="10"/>
          <w:sz w:val="20"/>
        </w:rPr>
        <w:t> </w:t>
      </w:r>
      <w:r>
        <w:rPr>
          <w:color w:val="231F20"/>
          <w:spacing w:val="-5"/>
          <w:sz w:val="20"/>
        </w:rPr>
        <w:t>by:</w:t>
      </w:r>
    </w:p>
    <w:p>
      <w:pPr>
        <w:pStyle w:val="BodyText"/>
        <w:spacing w:before="3"/>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6"/>
        <w:gridCol w:w="4987"/>
      </w:tblGrid>
      <w:tr>
        <w:trPr>
          <w:trHeight w:val="274" w:hRule="atLeast"/>
        </w:trPr>
        <w:tc>
          <w:tcPr>
            <w:tcW w:w="2546" w:type="dxa"/>
          </w:tcPr>
          <w:p>
            <w:pPr>
              <w:pStyle w:val="TableParagraph"/>
              <w:spacing w:before="10"/>
              <w:ind w:left="44"/>
              <w:rPr>
                <w:rFonts w:ascii="Book Antiqua"/>
                <w:b/>
                <w:sz w:val="18"/>
              </w:rPr>
            </w:pPr>
            <w:r>
              <w:rPr>
                <w:rFonts w:ascii="Book Antiqua"/>
                <w:b/>
                <w:color w:val="231F20"/>
                <w:spacing w:val="-2"/>
                <w:sz w:val="18"/>
              </w:rPr>
              <w:t>Properties</w:t>
            </w:r>
          </w:p>
        </w:tc>
        <w:tc>
          <w:tcPr>
            <w:tcW w:w="4987" w:type="dxa"/>
          </w:tcPr>
          <w:p>
            <w:pPr>
              <w:pStyle w:val="TableParagraph"/>
              <w:spacing w:before="10"/>
              <w:rPr>
                <w:rFonts w:ascii="Book Antiqua"/>
                <w:b/>
                <w:sz w:val="18"/>
              </w:rPr>
            </w:pPr>
            <w:r>
              <w:rPr/>
              <mc:AlternateContent>
                <mc:Choice Requires="wps">
                  <w:drawing>
                    <wp:anchor distT="0" distB="0" distL="0" distR="0" allowOverlap="1" layoutInCell="1" locked="0" behindDoc="0" simplePos="0" relativeHeight="15770112">
                      <wp:simplePos x="0" y="0"/>
                      <wp:positionH relativeFrom="column">
                        <wp:posOffset>1578006</wp:posOffset>
                      </wp:positionH>
                      <wp:positionV relativeFrom="paragraph">
                        <wp:posOffset>-59076</wp:posOffset>
                      </wp:positionV>
                      <wp:extent cx="229235" cy="229235"/>
                      <wp:effectExtent l="0" t="0" r="0" b="0"/>
                      <wp:wrapNone/>
                      <wp:docPr id="356" name="Group 356"/>
                      <wp:cNvGraphicFramePr>
                        <a:graphicFrameLocks/>
                      </wp:cNvGraphicFramePr>
                      <a:graphic>
                        <a:graphicData uri="http://schemas.microsoft.com/office/word/2010/wordprocessingGroup">
                          <wpg:wgp>
                            <wpg:cNvPr id="356" name="Group 356"/>
                            <wpg:cNvGrpSpPr/>
                            <wpg:grpSpPr>
                              <a:xfrm>
                                <a:off x="0" y="0"/>
                                <a:ext cx="229235" cy="229235"/>
                                <a:chExt cx="229235" cy="229235"/>
                              </a:xfrm>
                            </wpg:grpSpPr>
                            <wps:wsp>
                              <wps:cNvPr id="357" name="Graphic 357"/>
                              <wps:cNvSpPr/>
                              <wps:spPr>
                                <a:xfrm>
                                  <a:off x="3810" y="3810"/>
                                  <a:ext cx="221615" cy="221615"/>
                                </a:xfrm>
                                <a:custGeom>
                                  <a:avLst/>
                                  <a:gdLst/>
                                  <a:ahLst/>
                                  <a:cxnLst/>
                                  <a:rect l="l" t="t" r="r" b="b"/>
                                  <a:pathLst>
                                    <a:path w="221615" h="221615">
                                      <a:moveTo>
                                        <a:pt x="215658" y="0"/>
                                      </a:moveTo>
                                      <a:lnTo>
                                        <a:pt x="208876" y="0"/>
                                      </a:lnTo>
                                      <a:lnTo>
                                        <a:pt x="5499" y="0"/>
                                      </a:lnTo>
                                      <a:lnTo>
                                        <a:pt x="0" y="5486"/>
                                      </a:lnTo>
                                      <a:lnTo>
                                        <a:pt x="0" y="215658"/>
                                      </a:lnTo>
                                      <a:lnTo>
                                        <a:pt x="5499" y="221157"/>
                                      </a:lnTo>
                                      <a:lnTo>
                                        <a:pt x="215658" y="221157"/>
                                      </a:lnTo>
                                      <a:lnTo>
                                        <a:pt x="221157" y="215658"/>
                                      </a:lnTo>
                                      <a:lnTo>
                                        <a:pt x="221157" y="5486"/>
                                      </a:lnTo>
                                      <a:lnTo>
                                        <a:pt x="215658" y="0"/>
                                      </a:lnTo>
                                      <a:close/>
                                    </a:path>
                                  </a:pathLst>
                                </a:custGeom>
                                <a:solidFill>
                                  <a:srgbClr val="FFFFFF">
                                    <a:alpha val="59999"/>
                                  </a:srgbClr>
                                </a:solidFill>
                              </wps:spPr>
                              <wps:bodyPr wrap="square" lIns="0" tIns="0" rIns="0" bIns="0" rtlCol="0">
                                <a:prstTxWarp prst="textNoShape">
                                  <a:avLst/>
                                </a:prstTxWarp>
                                <a:noAutofit/>
                              </wps:bodyPr>
                            </wps:wsp>
                            <wps:wsp>
                              <wps:cNvPr id="358" name="Graphic 358"/>
                              <wps:cNvSpPr/>
                              <wps:spPr>
                                <a:xfrm>
                                  <a:off x="3810" y="3810"/>
                                  <a:ext cx="221615" cy="221615"/>
                                </a:xfrm>
                                <a:custGeom>
                                  <a:avLst/>
                                  <a:gdLst/>
                                  <a:ahLst/>
                                  <a:cxnLst/>
                                  <a:rect l="l" t="t" r="r" b="b"/>
                                  <a:pathLst>
                                    <a:path w="221615" h="221615">
                                      <a:moveTo>
                                        <a:pt x="215658" y="0"/>
                                      </a:moveTo>
                                      <a:lnTo>
                                        <a:pt x="5499" y="0"/>
                                      </a:lnTo>
                                      <a:lnTo>
                                        <a:pt x="0" y="5486"/>
                                      </a:lnTo>
                                      <a:lnTo>
                                        <a:pt x="0" y="215658"/>
                                      </a:lnTo>
                                      <a:lnTo>
                                        <a:pt x="5499" y="221157"/>
                                      </a:lnTo>
                                      <a:lnTo>
                                        <a:pt x="215658" y="221157"/>
                                      </a:lnTo>
                                      <a:lnTo>
                                        <a:pt x="221157" y="215658"/>
                                      </a:lnTo>
                                      <a:lnTo>
                                        <a:pt x="221157" y="195910"/>
                                      </a:lnTo>
                                      <a:lnTo>
                                        <a:pt x="81051" y="195910"/>
                                      </a:lnTo>
                                      <a:lnTo>
                                        <a:pt x="81051" y="160223"/>
                                      </a:lnTo>
                                      <a:lnTo>
                                        <a:pt x="37934" y="160223"/>
                                      </a:lnTo>
                                      <a:lnTo>
                                        <a:pt x="37934" y="46685"/>
                                      </a:lnTo>
                                      <a:lnTo>
                                        <a:pt x="221157" y="46685"/>
                                      </a:lnTo>
                                      <a:lnTo>
                                        <a:pt x="221157" y="5486"/>
                                      </a:lnTo>
                                      <a:lnTo>
                                        <a:pt x="215658" y="0"/>
                                      </a:lnTo>
                                      <a:close/>
                                    </a:path>
                                    <a:path w="221615" h="221615">
                                      <a:moveTo>
                                        <a:pt x="221157" y="46685"/>
                                      </a:moveTo>
                                      <a:lnTo>
                                        <a:pt x="180555" y="46685"/>
                                      </a:lnTo>
                                      <a:lnTo>
                                        <a:pt x="180555" y="160223"/>
                                      </a:lnTo>
                                      <a:lnTo>
                                        <a:pt x="123278" y="160223"/>
                                      </a:lnTo>
                                      <a:lnTo>
                                        <a:pt x="81051" y="195910"/>
                                      </a:lnTo>
                                      <a:lnTo>
                                        <a:pt x="221157" y="195910"/>
                                      </a:lnTo>
                                      <a:lnTo>
                                        <a:pt x="221157" y="46685"/>
                                      </a:lnTo>
                                      <a:close/>
                                    </a:path>
                                    <a:path w="221615" h="221615">
                                      <a:moveTo>
                                        <a:pt x="139407" y="110439"/>
                                      </a:moveTo>
                                      <a:lnTo>
                                        <a:pt x="66128" y="110439"/>
                                      </a:lnTo>
                                      <a:lnTo>
                                        <a:pt x="66128" y="117805"/>
                                      </a:lnTo>
                                      <a:lnTo>
                                        <a:pt x="139407" y="117805"/>
                                      </a:lnTo>
                                      <a:lnTo>
                                        <a:pt x="139407" y="110439"/>
                                      </a:lnTo>
                                      <a:close/>
                                    </a:path>
                                    <a:path w="221615" h="221615">
                                      <a:moveTo>
                                        <a:pt x="152361" y="89230"/>
                                      </a:moveTo>
                                      <a:lnTo>
                                        <a:pt x="66128" y="89230"/>
                                      </a:lnTo>
                                      <a:lnTo>
                                        <a:pt x="66128" y="96596"/>
                                      </a:lnTo>
                                      <a:lnTo>
                                        <a:pt x="152361" y="96596"/>
                                      </a:lnTo>
                                      <a:lnTo>
                                        <a:pt x="152361" y="89230"/>
                                      </a:lnTo>
                                      <a:close/>
                                    </a:path>
                                  </a:pathLst>
                                </a:custGeom>
                                <a:solidFill>
                                  <a:srgbClr val="FFD100"/>
                                </a:solidFill>
                              </wps:spPr>
                              <wps:bodyPr wrap="square" lIns="0" tIns="0" rIns="0" bIns="0" rtlCol="0">
                                <a:prstTxWarp prst="textNoShape">
                                  <a:avLst/>
                                </a:prstTxWarp>
                                <a:noAutofit/>
                              </wps:bodyPr>
                            </wps:wsp>
                            <wps:wsp>
                              <wps:cNvPr id="359" name="Graphic 359"/>
                              <wps:cNvSpPr/>
                              <wps:spPr>
                                <a:xfrm>
                                  <a:off x="3810" y="3810"/>
                                  <a:ext cx="221615" cy="221615"/>
                                </a:xfrm>
                                <a:custGeom>
                                  <a:avLst/>
                                  <a:gdLst/>
                                  <a:ahLst/>
                                  <a:cxnLst/>
                                  <a:rect l="l" t="t" r="r" b="b"/>
                                  <a:pathLst>
                                    <a:path w="221615" h="221615">
                                      <a:moveTo>
                                        <a:pt x="123278" y="160223"/>
                                      </a:moveTo>
                                      <a:lnTo>
                                        <a:pt x="81051" y="195910"/>
                                      </a:lnTo>
                                      <a:lnTo>
                                        <a:pt x="81051" y="160223"/>
                                      </a:lnTo>
                                      <a:lnTo>
                                        <a:pt x="37934" y="160223"/>
                                      </a:lnTo>
                                      <a:lnTo>
                                        <a:pt x="37934" y="46685"/>
                                      </a:lnTo>
                                      <a:lnTo>
                                        <a:pt x="180555" y="46685"/>
                                      </a:lnTo>
                                      <a:lnTo>
                                        <a:pt x="180555" y="160223"/>
                                      </a:lnTo>
                                      <a:lnTo>
                                        <a:pt x="123278" y="160223"/>
                                      </a:lnTo>
                                    </a:path>
                                    <a:path w="221615" h="221615">
                                      <a:moveTo>
                                        <a:pt x="66128" y="96596"/>
                                      </a:moveTo>
                                      <a:lnTo>
                                        <a:pt x="66128" y="89230"/>
                                      </a:lnTo>
                                      <a:lnTo>
                                        <a:pt x="152361" y="89230"/>
                                      </a:lnTo>
                                      <a:lnTo>
                                        <a:pt x="152361" y="96596"/>
                                      </a:lnTo>
                                      <a:lnTo>
                                        <a:pt x="66128" y="96596"/>
                                      </a:lnTo>
                                    </a:path>
                                    <a:path w="221615" h="221615">
                                      <a:moveTo>
                                        <a:pt x="66128" y="117805"/>
                                      </a:moveTo>
                                      <a:lnTo>
                                        <a:pt x="66128" y="110439"/>
                                      </a:lnTo>
                                      <a:lnTo>
                                        <a:pt x="139407" y="110439"/>
                                      </a:lnTo>
                                      <a:lnTo>
                                        <a:pt x="139407" y="117805"/>
                                      </a:lnTo>
                                      <a:lnTo>
                                        <a:pt x="66128" y="117805"/>
                                      </a:lnTo>
                                    </a:path>
                                    <a:path w="221615" h="221615">
                                      <a:moveTo>
                                        <a:pt x="208876" y="0"/>
                                      </a:moveTo>
                                      <a:lnTo>
                                        <a:pt x="12280" y="0"/>
                                      </a:lnTo>
                                      <a:lnTo>
                                        <a:pt x="5499" y="0"/>
                                      </a:lnTo>
                                      <a:lnTo>
                                        <a:pt x="0" y="5486"/>
                                      </a:lnTo>
                                      <a:lnTo>
                                        <a:pt x="0" y="12280"/>
                                      </a:lnTo>
                                      <a:lnTo>
                                        <a:pt x="0" y="208876"/>
                                      </a:lnTo>
                                      <a:lnTo>
                                        <a:pt x="0" y="215658"/>
                                      </a:lnTo>
                                      <a:lnTo>
                                        <a:pt x="5499" y="221157"/>
                                      </a:lnTo>
                                      <a:lnTo>
                                        <a:pt x="12280" y="221157"/>
                                      </a:lnTo>
                                      <a:lnTo>
                                        <a:pt x="208876" y="221157"/>
                                      </a:lnTo>
                                      <a:lnTo>
                                        <a:pt x="215658" y="221157"/>
                                      </a:lnTo>
                                      <a:lnTo>
                                        <a:pt x="221157" y="215658"/>
                                      </a:lnTo>
                                      <a:lnTo>
                                        <a:pt x="221157" y="208876"/>
                                      </a:lnTo>
                                      <a:lnTo>
                                        <a:pt x="221157" y="12280"/>
                                      </a:lnTo>
                                      <a:lnTo>
                                        <a:pt x="221157" y="5486"/>
                                      </a:lnTo>
                                      <a:lnTo>
                                        <a:pt x="215658" y="0"/>
                                      </a:lnTo>
                                      <a:lnTo>
                                        <a:pt x="208876" y="0"/>
                                      </a:lnTo>
                                      <a:close/>
                                    </a:path>
                                  </a:pathLst>
                                </a:custGeom>
                                <a:ln w="7620">
                                  <a:solidFill>
                                    <a:srgbClr val="000000"/>
                                  </a:solidFill>
                                  <a:prstDash val="dot"/>
                                </a:ln>
                              </wps:spPr>
                              <wps:bodyPr wrap="square" lIns="0" tIns="0" rIns="0" bIns="0" rtlCol="0">
                                <a:prstTxWarp prst="textNoShape">
                                  <a:avLst/>
                                </a:prstTxWarp>
                                <a:noAutofit/>
                              </wps:bodyPr>
                            </wps:wsp>
                          </wpg:wgp>
                        </a:graphicData>
                      </a:graphic>
                    </wp:anchor>
                  </w:drawing>
                </mc:Choice>
                <mc:Fallback>
                  <w:pict>
                    <v:group style="position:absolute;margin-left:124.252495pt;margin-top:-4.651728pt;width:18.05pt;height:18.05pt;mso-position-horizontal-relative:column;mso-position-vertical-relative:paragraph;z-index:15770112" id="docshapegroup49" coordorigin="2485,-93" coordsize="361,361">
                      <v:shape style="position:absolute;left:2491;top:-88;width:349;height:349" id="docshape50" coordorigin="2491,-87" coordsize="349,349" path="m2831,-87l2820,-87,2500,-87,2491,-78,2491,253,2500,261,2831,261,2839,253,2839,-78,2831,-87xe" filled="true" fillcolor="#ffffff" stroked="false">
                        <v:path arrowok="t"/>
                        <v:fill opacity="39321f" type="solid"/>
                      </v:shape>
                      <v:shape style="position:absolute;left:2491;top:-88;width:349;height:349" id="docshape51" coordorigin="2491,-87" coordsize="349,349" path="m2831,-87l2500,-87,2491,-78,2491,253,2500,261,2831,261,2839,253,2839,221,2619,221,2619,165,2551,165,2551,-14,2839,-14,2839,-78,2831,-87xm2839,-14l2775,-14,2775,165,2685,165,2619,221,2839,221,2839,-14xm2711,87l2595,87,2595,98,2711,98,2711,87xm2731,53l2595,53,2595,65,2731,65,2731,53xe" filled="true" fillcolor="#ffd100" stroked="false">
                        <v:path arrowok="t"/>
                        <v:fill type="solid"/>
                      </v:shape>
                      <v:shape style="position:absolute;left:2491;top:-88;width:349;height:349" id="docshape52" coordorigin="2491,-87" coordsize="349,349" path="m2685,165l2619,221,2619,165,2551,165,2551,-14,2775,-14,2775,165,2685,165m2595,65l2595,53,2731,53,2731,65,2595,65m2595,98l2595,87,2711,87,2711,98,2595,98m2820,-87l2510,-87,2500,-87,2491,-78,2491,-68,2491,242,2491,253,2500,261,2510,261,2820,261,2831,261,2839,253,2839,242,2839,-68,2839,-78,2831,-87,2820,-87xe" filled="false" stroked="true" strokeweight=".6pt" strokecolor="#000000">
                        <v:path arrowok="t"/>
                        <v:stroke dashstyle="dot"/>
                      </v:shape>
                      <w10:wrap type="none"/>
                    </v:group>
                  </w:pict>
                </mc:Fallback>
              </mc:AlternateContent>
            </w:r>
            <w:r>
              <w:rPr>
                <w:rFonts w:ascii="Book Antiqua"/>
                <w:b/>
                <w:color w:val="231F20"/>
                <w:spacing w:val="-2"/>
                <w:sz w:val="18"/>
              </w:rPr>
              <w:t>Value</w:t>
            </w:r>
          </w:p>
        </w:tc>
      </w:tr>
      <w:tr>
        <w:trPr>
          <w:trHeight w:val="972" w:hRule="atLeast"/>
        </w:trPr>
        <w:tc>
          <w:tcPr>
            <w:tcW w:w="2546" w:type="dxa"/>
          </w:tcPr>
          <w:p>
            <w:pPr>
              <w:pStyle w:val="TableParagraph"/>
              <w:ind w:left="44"/>
              <w:rPr>
                <w:sz w:val="18"/>
              </w:rPr>
            </w:pPr>
            <w:r>
              <w:rPr>
                <w:color w:val="231F20"/>
                <w:sz w:val="18"/>
              </w:rPr>
              <w:t>IP</w:t>
            </w:r>
            <w:r>
              <w:rPr>
                <w:color w:val="231F20"/>
                <w:spacing w:val="2"/>
                <w:sz w:val="18"/>
              </w:rPr>
              <w:t> </w:t>
            </w:r>
            <w:r>
              <w:rPr>
                <w:color w:val="231F20"/>
                <w:spacing w:val="-2"/>
                <w:sz w:val="18"/>
              </w:rPr>
              <w:t>Address</w:t>
            </w:r>
          </w:p>
        </w:tc>
        <w:tc>
          <w:tcPr>
            <w:tcW w:w="4987" w:type="dxa"/>
          </w:tcPr>
          <w:p>
            <w:pPr>
              <w:pStyle w:val="TableParagraph"/>
              <w:spacing w:line="216" w:lineRule="auto" w:before="44"/>
              <w:ind w:right="167" w:hanging="1"/>
              <w:rPr>
                <w:sz w:val="18"/>
              </w:rPr>
            </w:pPr>
            <w:r>
              <w:rPr>
                <w:color w:val="231F20"/>
                <w:sz w:val="18"/>
              </w:rPr>
              <w:t>(Distributed systems only) If you know the IP address, you can enter it here. Example: SCAN == 9.55.1* finds</w:t>
            </w:r>
            <w:r>
              <w:rPr>
                <w:color w:val="231F20"/>
                <w:spacing w:val="80"/>
                <w:sz w:val="18"/>
              </w:rPr>
              <w:t> </w:t>
            </w:r>
            <w:r>
              <w:rPr>
                <w:color w:val="231F20"/>
                <w:sz w:val="18"/>
              </w:rPr>
              <w:t>computers that start with 9.55.1, such as 9.55.105.180 and </w:t>
            </w:r>
            <w:r>
              <w:rPr>
                <w:color w:val="231F20"/>
                <w:spacing w:val="-2"/>
                <w:sz w:val="18"/>
              </w:rPr>
              <w:t>9.55.110.180</w:t>
            </w:r>
          </w:p>
        </w:tc>
      </w:tr>
    </w:tbl>
    <w:p>
      <w:pPr>
        <w:spacing w:after="0" w:line="216" w:lineRule="auto"/>
        <w:rPr>
          <w:sz w:val="18"/>
        </w:rPr>
        <w:sectPr>
          <w:pgSz w:w="12240" w:h="15840"/>
          <w:pgMar w:header="0" w:footer="736" w:top="1180" w:bottom="1635"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46"/>
        <w:gridCol w:w="4987"/>
      </w:tblGrid>
      <w:tr>
        <w:trPr>
          <w:trHeight w:val="274" w:hRule="atLeast"/>
        </w:trPr>
        <w:tc>
          <w:tcPr>
            <w:tcW w:w="2546" w:type="dxa"/>
          </w:tcPr>
          <w:p>
            <w:pPr>
              <w:pStyle w:val="TableParagraph"/>
              <w:spacing w:before="10"/>
              <w:ind w:left="44"/>
              <w:rPr>
                <w:rFonts w:ascii="Book Antiqua"/>
                <w:b/>
                <w:sz w:val="18"/>
              </w:rPr>
            </w:pPr>
            <w:r>
              <w:rPr>
                <w:rFonts w:ascii="Book Antiqua"/>
                <w:b/>
                <w:color w:val="231F20"/>
                <w:spacing w:val="-2"/>
                <w:sz w:val="18"/>
              </w:rPr>
              <w:t>Properties</w:t>
            </w:r>
          </w:p>
        </w:tc>
        <w:tc>
          <w:tcPr>
            <w:tcW w:w="4987" w:type="dxa"/>
          </w:tcPr>
          <w:p>
            <w:pPr>
              <w:pStyle w:val="TableParagraph"/>
              <w:spacing w:before="10"/>
              <w:rPr>
                <w:rFonts w:ascii="Book Antiqua"/>
                <w:b/>
                <w:sz w:val="18"/>
              </w:rPr>
            </w:pPr>
            <w:r>
              <w:rPr>
                <w:rFonts w:ascii="Book Antiqua"/>
                <w:b/>
                <w:color w:val="231F20"/>
                <w:spacing w:val="-2"/>
                <w:sz w:val="18"/>
              </w:rPr>
              <w:t>Value</w:t>
            </w:r>
          </w:p>
        </w:tc>
      </w:tr>
      <w:tr>
        <w:trPr>
          <w:trHeight w:val="1187" w:hRule="atLeast"/>
        </w:trPr>
        <w:tc>
          <w:tcPr>
            <w:tcW w:w="2546" w:type="dxa"/>
          </w:tcPr>
          <w:p>
            <w:pPr>
              <w:pStyle w:val="TableParagraph"/>
              <w:ind w:left="44"/>
              <w:rPr>
                <w:sz w:val="18"/>
              </w:rPr>
            </w:pPr>
            <w:r>
              <w:rPr>
                <w:color w:val="231F20"/>
                <w:spacing w:val="-2"/>
                <w:sz w:val="18"/>
              </w:rPr>
              <w:t>Hostname</w:t>
            </w:r>
          </w:p>
        </w:tc>
        <w:tc>
          <w:tcPr>
            <w:tcW w:w="4987" w:type="dxa"/>
          </w:tcPr>
          <w:p>
            <w:pPr>
              <w:pStyle w:val="TableParagraph"/>
              <w:spacing w:line="216" w:lineRule="auto" w:before="44"/>
              <w:ind w:right="203" w:hanging="1"/>
              <w:rPr>
                <w:sz w:val="18"/>
              </w:rPr>
            </w:pPr>
            <w:r>
              <w:rPr>
                <w:color w:val="231F20"/>
                <w:sz w:val="18"/>
              </w:rPr>
              <w:t>(Distributed systems only) Specify all or part of the host name here. Example: SCAN == MYHOST?? finds computers that start with MYHOST and have two </w:t>
            </w:r>
            <w:r>
              <w:rPr>
                <w:color w:val="231F20"/>
                <w:sz w:val="18"/>
              </w:rPr>
              <w:t>trailing characters, such as MYHOSTEL and MYHOST33 but not MYHOSTA or myhostess.</w:t>
            </w:r>
          </w:p>
        </w:tc>
      </w:tr>
      <w:tr>
        <w:trPr>
          <w:trHeight w:val="528" w:hRule="atLeast"/>
        </w:trPr>
        <w:tc>
          <w:tcPr>
            <w:tcW w:w="2546" w:type="dxa"/>
          </w:tcPr>
          <w:p>
            <w:pPr>
              <w:pStyle w:val="TableParagraph"/>
              <w:ind w:left="44"/>
              <w:rPr>
                <w:sz w:val="18"/>
              </w:rPr>
            </w:pPr>
            <w:r>
              <w:rPr>
                <w:color w:val="231F20"/>
                <w:sz w:val="18"/>
              </w:rPr>
              <w:t>SMFID</w:t>
            </w:r>
            <w:r>
              <w:rPr>
                <w:color w:val="231F20"/>
                <w:spacing w:val="8"/>
                <w:sz w:val="18"/>
              </w:rPr>
              <w:t> </w:t>
            </w:r>
            <w:r>
              <w:rPr>
                <w:color w:val="231F20"/>
                <w:spacing w:val="-4"/>
                <w:sz w:val="18"/>
              </w:rPr>
              <w:t>Name</w:t>
            </w:r>
          </w:p>
        </w:tc>
        <w:tc>
          <w:tcPr>
            <w:tcW w:w="4987" w:type="dxa"/>
          </w:tcPr>
          <w:p>
            <w:pPr>
              <w:pStyle w:val="TableParagraph"/>
              <w:spacing w:line="216" w:lineRule="auto" w:before="44"/>
              <w:ind w:right="167" w:hanging="1"/>
              <w:rPr>
                <w:sz w:val="18"/>
              </w:rPr>
            </w:pPr>
            <w:r>
              <w:rPr>
                <w:color w:val="231F20"/>
                <w:sz w:val="18"/>
              </w:rPr>
              <w:t>(z/OS-based systems only) Find the item by the session ID </w:t>
            </w:r>
            <w:r>
              <w:rPr>
                <w:color w:val="231F20"/>
                <w:spacing w:val="-2"/>
                <w:sz w:val="18"/>
              </w:rPr>
              <w:t>value.</w:t>
            </w:r>
          </w:p>
        </w:tc>
      </w:tr>
      <w:tr>
        <w:trPr>
          <w:trHeight w:val="528" w:hRule="atLeast"/>
        </w:trPr>
        <w:tc>
          <w:tcPr>
            <w:tcW w:w="2546" w:type="dxa"/>
          </w:tcPr>
          <w:p>
            <w:pPr>
              <w:pStyle w:val="TableParagraph"/>
              <w:ind w:left="44"/>
              <w:rPr>
                <w:sz w:val="18"/>
              </w:rPr>
            </w:pPr>
            <w:r>
              <w:rPr>
                <w:color w:val="231F20"/>
                <w:sz w:val="18"/>
              </w:rPr>
              <w:t>Sysplex</w:t>
            </w:r>
            <w:r>
              <w:rPr>
                <w:color w:val="231F20"/>
                <w:spacing w:val="7"/>
                <w:sz w:val="18"/>
              </w:rPr>
              <w:t> </w:t>
            </w:r>
            <w:r>
              <w:rPr>
                <w:color w:val="231F20"/>
                <w:spacing w:val="-4"/>
                <w:sz w:val="18"/>
              </w:rPr>
              <w:t>Name</w:t>
            </w:r>
          </w:p>
        </w:tc>
        <w:tc>
          <w:tcPr>
            <w:tcW w:w="4987" w:type="dxa"/>
          </w:tcPr>
          <w:p>
            <w:pPr>
              <w:pStyle w:val="TableParagraph"/>
              <w:spacing w:line="216" w:lineRule="auto" w:before="44"/>
              <w:ind w:right="167" w:hanging="1"/>
              <w:rPr>
                <w:sz w:val="18"/>
              </w:rPr>
            </w:pPr>
            <w:r>
              <w:rPr>
                <w:color w:val="231F20"/>
                <w:sz w:val="18"/>
              </w:rPr>
              <w:t>(z/OS-based systems only) Specify the item by </w:t>
            </w:r>
            <w:r>
              <w:rPr>
                <w:color w:val="231F20"/>
                <w:sz w:val="18"/>
              </w:rPr>
              <w:t>system complex name.</w:t>
            </w:r>
          </w:p>
        </w:tc>
      </w:tr>
      <w:tr>
        <w:trPr>
          <w:trHeight w:val="528" w:hRule="atLeast"/>
        </w:trPr>
        <w:tc>
          <w:tcPr>
            <w:tcW w:w="2546" w:type="dxa"/>
          </w:tcPr>
          <w:p>
            <w:pPr>
              <w:pStyle w:val="TableParagraph"/>
              <w:ind w:left="44"/>
              <w:rPr>
                <w:sz w:val="18"/>
              </w:rPr>
            </w:pPr>
            <w:r>
              <w:rPr>
                <w:color w:val="231F20"/>
                <w:sz w:val="18"/>
              </w:rPr>
              <w:t>Product</w:t>
            </w:r>
            <w:r>
              <w:rPr>
                <w:color w:val="231F20"/>
                <w:spacing w:val="3"/>
                <w:sz w:val="18"/>
              </w:rPr>
              <w:t> </w:t>
            </w:r>
            <w:r>
              <w:rPr>
                <w:color w:val="231F20"/>
                <w:spacing w:val="-4"/>
                <w:sz w:val="18"/>
              </w:rPr>
              <w:t>Code</w:t>
            </w:r>
          </w:p>
        </w:tc>
        <w:tc>
          <w:tcPr>
            <w:tcW w:w="4987" w:type="dxa"/>
          </w:tcPr>
          <w:p>
            <w:pPr>
              <w:pStyle w:val="TableParagraph"/>
              <w:spacing w:line="216" w:lineRule="auto" w:before="44"/>
              <w:ind w:right="167" w:hanging="1"/>
              <w:rPr>
                <w:sz w:val="18"/>
              </w:rPr>
            </w:pPr>
            <w:r>
              <w:rPr>
                <w:color w:val="231F20"/>
                <w:sz w:val="18"/>
              </w:rPr>
              <w:t>Select the product name from the </w:t>
            </w:r>
            <w:r>
              <w:rPr>
                <w:color w:val="231F20"/>
                <w:spacing w:val="13"/>
                <w:position w:val="-3"/>
                <w:sz w:val="18"/>
              </w:rPr>
              <w:drawing>
                <wp:inline distT="0" distB="0" distL="0" distR="0">
                  <wp:extent cx="101600" cy="101600"/>
                  <wp:effectExtent l="0" t="0" r="0" b="0"/>
                  <wp:docPr id="360" name="Image 360"/>
                  <wp:cNvGraphicFramePr>
                    <a:graphicFrameLocks/>
                  </wp:cNvGraphicFramePr>
                  <a:graphic>
                    <a:graphicData uri="http://schemas.openxmlformats.org/drawingml/2006/picture">
                      <pic:pic>
                        <pic:nvPicPr>
                          <pic:cNvPr id="360" name="Image 36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3"/>
                <w:position w:val="-3"/>
                <w:sz w:val="18"/>
              </w:rPr>
            </w:r>
            <w:r>
              <w:rPr>
                <w:rFonts w:ascii="Times New Roman"/>
                <w:color w:val="231F20"/>
                <w:spacing w:val="40"/>
                <w:sz w:val="18"/>
              </w:rPr>
              <w:t> </w:t>
            </w:r>
            <w:r>
              <w:rPr>
                <w:color w:val="231F20"/>
                <w:sz w:val="18"/>
              </w:rPr>
              <w:t>list to specify the managed system type to find.</w:t>
            </w:r>
          </w:p>
        </w:tc>
      </w:tr>
      <w:tr>
        <w:trPr>
          <w:trHeight w:val="967" w:hRule="atLeast"/>
        </w:trPr>
        <w:tc>
          <w:tcPr>
            <w:tcW w:w="2546" w:type="dxa"/>
          </w:tcPr>
          <w:p>
            <w:pPr>
              <w:pStyle w:val="TableParagraph"/>
              <w:ind w:left="44"/>
              <w:rPr>
                <w:sz w:val="18"/>
              </w:rPr>
            </w:pPr>
            <w:r>
              <w:rPr>
                <w:color w:val="231F20"/>
                <w:sz w:val="18"/>
              </w:rPr>
              <w:t>Managed</w:t>
            </w:r>
            <w:r>
              <w:rPr>
                <w:color w:val="231F20"/>
                <w:spacing w:val="7"/>
                <w:sz w:val="18"/>
              </w:rPr>
              <w:t> </w:t>
            </w:r>
            <w:r>
              <w:rPr>
                <w:color w:val="231F20"/>
                <w:sz w:val="18"/>
              </w:rPr>
              <w:t>System</w:t>
            </w:r>
            <w:r>
              <w:rPr>
                <w:color w:val="231F20"/>
                <w:spacing w:val="7"/>
                <w:sz w:val="18"/>
              </w:rPr>
              <w:t> </w:t>
            </w:r>
            <w:r>
              <w:rPr>
                <w:color w:val="231F20"/>
                <w:spacing w:val="-4"/>
                <w:sz w:val="18"/>
              </w:rPr>
              <w:t>Name</w:t>
            </w:r>
          </w:p>
        </w:tc>
        <w:tc>
          <w:tcPr>
            <w:tcW w:w="4987" w:type="dxa"/>
          </w:tcPr>
          <w:p>
            <w:pPr>
              <w:pStyle w:val="TableParagraph"/>
              <w:spacing w:line="216" w:lineRule="auto" w:before="44"/>
              <w:ind w:right="167" w:hanging="1"/>
              <w:rPr>
                <w:sz w:val="18"/>
              </w:rPr>
            </w:pPr>
            <w:r>
              <w:rPr>
                <w:color w:val="231F20"/>
                <w:sz w:val="18"/>
              </w:rPr>
              <w:t>The managed system name is often the same as the host name. Example: SCAN == *UAGENT0? finds Universal Agents Navigator items such as </w:t>
            </w:r>
            <w:r>
              <w:rPr>
                <w:color w:val="231F20"/>
                <w:sz w:val="18"/>
              </w:rPr>
              <w:t>onionASFSdp:UAGENT00 and garlicASFSdp:UAGENT05.</w:t>
            </w:r>
          </w:p>
        </w:tc>
      </w:tr>
      <w:tr>
        <w:trPr>
          <w:trHeight w:val="1192" w:hRule="atLeast"/>
        </w:trPr>
        <w:tc>
          <w:tcPr>
            <w:tcW w:w="2546" w:type="dxa"/>
          </w:tcPr>
          <w:p>
            <w:pPr>
              <w:pStyle w:val="TableParagraph"/>
              <w:ind w:left="44"/>
              <w:rPr>
                <w:sz w:val="18"/>
              </w:rPr>
            </w:pPr>
            <w:r>
              <w:rPr>
                <w:color w:val="231F20"/>
                <w:sz w:val="18"/>
              </w:rPr>
              <w:t>Associated</w:t>
            </w:r>
            <w:r>
              <w:rPr>
                <w:color w:val="231F20"/>
                <w:spacing w:val="6"/>
                <w:sz w:val="18"/>
              </w:rPr>
              <w:t> </w:t>
            </w:r>
            <w:r>
              <w:rPr>
                <w:color w:val="231F20"/>
                <w:sz w:val="18"/>
              </w:rPr>
              <w:t>Situation</w:t>
            </w:r>
            <w:r>
              <w:rPr>
                <w:color w:val="231F20"/>
                <w:spacing w:val="6"/>
                <w:sz w:val="18"/>
              </w:rPr>
              <w:t> </w:t>
            </w:r>
            <w:r>
              <w:rPr>
                <w:color w:val="231F20"/>
                <w:spacing w:val="-4"/>
                <w:sz w:val="18"/>
              </w:rPr>
              <w:t>Name</w:t>
            </w:r>
          </w:p>
        </w:tc>
        <w:tc>
          <w:tcPr>
            <w:tcW w:w="4987" w:type="dxa"/>
          </w:tcPr>
          <w:p>
            <w:pPr>
              <w:pStyle w:val="TableParagraph"/>
              <w:spacing w:line="216" w:lineRule="auto" w:before="44"/>
              <w:ind w:right="167" w:hanging="1"/>
              <w:rPr>
                <w:sz w:val="18"/>
              </w:rPr>
            </w:pPr>
            <w:r>
              <w:rPr>
                <w:color w:val="231F20"/>
                <w:sz w:val="18"/>
              </w:rPr>
              <w:t>Enter a situation name to find the Navigator items that the situation is associated with. (For an alert indicator to</w:t>
            </w:r>
            <w:r>
              <w:rPr>
                <w:color w:val="231F20"/>
                <w:spacing w:val="40"/>
                <w:sz w:val="18"/>
              </w:rPr>
              <w:t> </w:t>
            </w:r>
            <w:r>
              <w:rPr>
                <w:color w:val="231F20"/>
                <w:sz w:val="18"/>
              </w:rPr>
              <w:t>display in the Navigator for a situation that has become true, the situation must be associated with a Navigator </w:t>
            </w:r>
            <w:r>
              <w:rPr>
                <w:color w:val="231F20"/>
                <w:spacing w:val="-2"/>
                <w:sz w:val="18"/>
              </w:rPr>
              <w:t>item.)</w:t>
            </w:r>
          </w:p>
        </w:tc>
      </w:tr>
    </w:tbl>
    <w:p>
      <w:pPr>
        <w:pStyle w:val="ListParagraph"/>
        <w:numPr>
          <w:ilvl w:val="0"/>
          <w:numId w:val="6"/>
        </w:numPr>
        <w:tabs>
          <w:tab w:pos="2788" w:val="left" w:leader="none"/>
        </w:tabs>
        <w:spacing w:line="216" w:lineRule="auto" w:before="245" w:after="0"/>
        <w:ind w:left="2788" w:right="746" w:hanging="316"/>
        <w:jc w:val="left"/>
        <w:rPr>
          <w:sz w:val="20"/>
        </w:rPr>
      </w:pPr>
      <w:r>
        <w:rPr>
          <w:color w:val="231F20"/>
          <w:sz w:val="20"/>
        </w:rPr>
        <w:t>If you want to show the found Navigator items at the agent level (and subagent if applicable) but to exclude the child Navigator items </w:t>
      </w:r>
      <w:r>
        <w:rPr>
          <w:color w:val="231F20"/>
          <w:sz w:val="20"/>
        </w:rPr>
        <w:t>(attribute level), select the </w:t>
      </w:r>
      <w:r>
        <w:rPr>
          <w:color w:val="231F20"/>
          <w:spacing w:val="16"/>
          <w:sz w:val="20"/>
        </w:rPr>
        <w:drawing>
          <wp:inline distT="0" distB="0" distL="0" distR="0">
            <wp:extent cx="82550" cy="82550"/>
            <wp:effectExtent l="0" t="0" r="0" b="0"/>
            <wp:docPr id="361" name="Image 361"/>
            <wp:cNvGraphicFramePr>
              <a:graphicFrameLocks/>
            </wp:cNvGraphicFramePr>
            <a:graphic>
              <a:graphicData uri="http://schemas.openxmlformats.org/drawingml/2006/picture">
                <pic:pic>
                  <pic:nvPicPr>
                    <pic:cNvPr id="361" name="Image 36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Include only managed system items </w:t>
      </w:r>
      <w:r>
        <w:rPr>
          <w:color w:val="231F20"/>
          <w:sz w:val="20"/>
        </w:rPr>
        <w:t>check box.</w:t>
      </w:r>
    </w:p>
    <w:p>
      <w:pPr>
        <w:pStyle w:val="ListParagraph"/>
        <w:numPr>
          <w:ilvl w:val="0"/>
          <w:numId w:val="6"/>
        </w:numPr>
        <w:tabs>
          <w:tab w:pos="2788" w:val="left" w:leader="none"/>
        </w:tabs>
        <w:spacing w:line="213" w:lineRule="auto" w:before="52" w:after="0"/>
        <w:ind w:left="2788" w:right="163" w:hanging="316"/>
        <w:jc w:val="left"/>
        <w:rPr>
          <w:sz w:val="20"/>
        </w:rPr>
      </w:pPr>
      <w:r>
        <w:rPr>
          <w:color w:val="231F20"/>
          <w:sz w:val="20"/>
        </w:rPr>
        <w:t>If</w:t>
      </w:r>
      <w:r>
        <w:rPr>
          <w:color w:val="231F20"/>
          <w:spacing w:val="25"/>
          <w:sz w:val="20"/>
        </w:rPr>
        <w:t> </w:t>
      </w:r>
      <w:r>
        <w:rPr>
          <w:color w:val="231F20"/>
          <w:sz w:val="20"/>
        </w:rPr>
        <w:t>you</w:t>
      </w:r>
      <w:r>
        <w:rPr>
          <w:color w:val="231F20"/>
          <w:spacing w:val="25"/>
          <w:sz w:val="20"/>
        </w:rPr>
        <w:t> </w:t>
      </w:r>
      <w:r>
        <w:rPr>
          <w:color w:val="231F20"/>
          <w:sz w:val="20"/>
        </w:rPr>
        <w:t>want</w:t>
      </w:r>
      <w:r>
        <w:rPr>
          <w:color w:val="231F20"/>
          <w:spacing w:val="25"/>
          <w:sz w:val="20"/>
        </w:rPr>
        <w:t> </w:t>
      </w:r>
      <w:r>
        <w:rPr>
          <w:color w:val="231F20"/>
          <w:sz w:val="20"/>
        </w:rPr>
        <w:t>to</w:t>
      </w:r>
      <w:r>
        <w:rPr>
          <w:color w:val="231F20"/>
          <w:spacing w:val="25"/>
          <w:sz w:val="20"/>
        </w:rPr>
        <w:t> </w:t>
      </w:r>
      <w:r>
        <w:rPr>
          <w:color w:val="231F20"/>
          <w:sz w:val="20"/>
        </w:rPr>
        <w:t>control</w:t>
      </w:r>
      <w:r>
        <w:rPr>
          <w:color w:val="231F20"/>
          <w:spacing w:val="25"/>
          <w:sz w:val="20"/>
        </w:rPr>
        <w:t> </w:t>
      </w:r>
      <w:r>
        <w:rPr>
          <w:color w:val="231F20"/>
          <w:sz w:val="20"/>
        </w:rPr>
        <w:t>the</w:t>
      </w:r>
      <w:r>
        <w:rPr>
          <w:color w:val="231F20"/>
          <w:spacing w:val="25"/>
          <w:sz w:val="20"/>
        </w:rPr>
        <w:t> </w:t>
      </w:r>
      <w:r>
        <w:rPr>
          <w:color w:val="231F20"/>
          <w:sz w:val="20"/>
        </w:rPr>
        <w:t>number</w:t>
      </w:r>
      <w:r>
        <w:rPr>
          <w:color w:val="231F20"/>
          <w:spacing w:val="25"/>
          <w:sz w:val="20"/>
        </w:rPr>
        <w:t> </w:t>
      </w:r>
      <w:r>
        <w:rPr>
          <w:color w:val="231F20"/>
          <w:sz w:val="20"/>
        </w:rPr>
        <w:t>of</w:t>
      </w:r>
      <w:r>
        <w:rPr>
          <w:color w:val="231F20"/>
          <w:spacing w:val="25"/>
          <w:sz w:val="20"/>
        </w:rPr>
        <w:t> </w:t>
      </w:r>
      <w:r>
        <w:rPr>
          <w:color w:val="231F20"/>
          <w:sz w:val="20"/>
        </w:rPr>
        <w:t>Navigator</w:t>
      </w:r>
      <w:r>
        <w:rPr>
          <w:color w:val="231F20"/>
          <w:spacing w:val="25"/>
          <w:sz w:val="20"/>
        </w:rPr>
        <w:t> </w:t>
      </w:r>
      <w:r>
        <w:rPr>
          <w:color w:val="231F20"/>
          <w:sz w:val="20"/>
        </w:rPr>
        <w:t>items</w:t>
      </w:r>
      <w:r>
        <w:rPr>
          <w:color w:val="231F20"/>
          <w:spacing w:val="25"/>
          <w:sz w:val="20"/>
        </w:rPr>
        <w:t> </w:t>
      </w:r>
      <w:r>
        <w:rPr>
          <w:color w:val="231F20"/>
          <w:sz w:val="20"/>
        </w:rPr>
        <w:t>to</w:t>
      </w:r>
      <w:r>
        <w:rPr>
          <w:color w:val="231F20"/>
          <w:spacing w:val="25"/>
          <w:sz w:val="20"/>
        </w:rPr>
        <w:t> </w:t>
      </w:r>
      <w:r>
        <w:rPr>
          <w:color w:val="231F20"/>
          <w:sz w:val="20"/>
        </w:rPr>
        <w:t>list</w:t>
      </w:r>
      <w:r>
        <w:rPr>
          <w:color w:val="231F20"/>
          <w:spacing w:val="25"/>
          <w:sz w:val="20"/>
        </w:rPr>
        <w:t> </w:t>
      </w:r>
      <w:r>
        <w:rPr>
          <w:color w:val="231F20"/>
          <w:sz w:val="20"/>
        </w:rPr>
        <w:t>per</w:t>
      </w:r>
      <w:r>
        <w:rPr>
          <w:color w:val="231F20"/>
          <w:spacing w:val="25"/>
          <w:sz w:val="20"/>
        </w:rPr>
        <w:t> </w:t>
      </w:r>
      <w:r>
        <w:rPr>
          <w:color w:val="231F20"/>
          <w:sz w:val="20"/>
        </w:rPr>
        <w:t>page</w:t>
      </w:r>
      <w:r>
        <w:rPr>
          <w:color w:val="231F20"/>
          <w:spacing w:val="25"/>
          <w:sz w:val="20"/>
        </w:rPr>
        <w:t> </w:t>
      </w:r>
      <w:r>
        <w:rPr>
          <w:color w:val="231F20"/>
          <w:sz w:val="20"/>
        </w:rPr>
        <w:t>in</w:t>
      </w:r>
      <w:r>
        <w:rPr>
          <w:color w:val="231F20"/>
          <w:spacing w:val="25"/>
          <w:sz w:val="20"/>
        </w:rPr>
        <w:t> </w:t>
      </w:r>
      <w:r>
        <w:rPr>
          <w:color w:val="231F20"/>
          <w:sz w:val="20"/>
        </w:rPr>
        <w:t>the find results, click </w:t>
      </w:r>
      <w:r>
        <w:rPr>
          <w:rFonts w:ascii="Book Antiqua"/>
          <w:b/>
          <w:color w:val="231F20"/>
          <w:sz w:val="20"/>
        </w:rPr>
        <w:t>Advanced </w:t>
      </w:r>
      <w:r>
        <w:rPr>
          <w:color w:val="231F20"/>
          <w:sz w:val="20"/>
        </w:rPr>
        <w:t>and specify the page size. The default is 100 rows</w:t>
      </w:r>
      <w:r>
        <w:rPr>
          <w:color w:val="231F20"/>
          <w:spacing w:val="80"/>
          <w:sz w:val="20"/>
        </w:rPr>
        <w:t> </w:t>
      </w:r>
      <w:r>
        <w:rPr>
          <w:color w:val="231F20"/>
          <w:sz w:val="20"/>
        </w:rPr>
        <w:t>per page. By reducing the number, you can have the results displayed more quickly and in smaller, more manageable pages; then move through the pages with </w:t>
      </w:r>
      <w:r>
        <w:rPr>
          <w:color w:val="231F20"/>
          <w:spacing w:val="16"/>
          <w:position w:val="-1"/>
          <w:sz w:val="20"/>
        </w:rPr>
        <w:drawing>
          <wp:inline distT="0" distB="0" distL="0" distR="0">
            <wp:extent cx="101600" cy="101600"/>
            <wp:effectExtent l="0" t="0" r="0" b="0"/>
            <wp:docPr id="362" name="Image 362"/>
            <wp:cNvGraphicFramePr>
              <a:graphicFrameLocks/>
            </wp:cNvGraphicFramePr>
            <a:graphic>
              <a:graphicData uri="http://schemas.openxmlformats.org/drawingml/2006/picture">
                <pic:pic>
                  <pic:nvPicPr>
                    <pic:cNvPr id="362" name="Image 362"/>
                    <pic:cNvPicPr/>
                  </pic:nvPicPr>
                  <pic:blipFill>
                    <a:blip r:embed="rId121"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Page down and </w:t>
      </w:r>
      <w:r>
        <w:rPr>
          <w:color w:val="231F20"/>
          <w:spacing w:val="16"/>
          <w:position w:val="-1"/>
          <w:sz w:val="20"/>
        </w:rPr>
        <w:drawing>
          <wp:inline distT="0" distB="0" distL="0" distR="0">
            <wp:extent cx="101600" cy="101600"/>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12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Page up. By increasing the number, you increase the</w:t>
      </w:r>
      <w:r>
        <w:rPr>
          <w:color w:val="231F20"/>
          <w:spacing w:val="40"/>
          <w:sz w:val="20"/>
        </w:rPr>
        <w:t> </w:t>
      </w:r>
      <w:r>
        <w:rPr>
          <w:color w:val="231F20"/>
          <w:sz w:val="20"/>
        </w:rPr>
        <w:t>processing time but you can see all the results on one table page.</w:t>
      </w:r>
    </w:p>
    <w:p>
      <w:pPr>
        <w:pStyle w:val="ListParagraph"/>
        <w:numPr>
          <w:ilvl w:val="0"/>
          <w:numId w:val="6"/>
        </w:numPr>
        <w:tabs>
          <w:tab w:pos="2788" w:val="left" w:leader="none"/>
        </w:tabs>
        <w:spacing w:line="213" w:lineRule="auto" w:before="56" w:after="0"/>
        <w:ind w:left="2788" w:right="626" w:hanging="316"/>
        <w:jc w:val="left"/>
        <w:rPr>
          <w:sz w:val="20"/>
        </w:rPr>
      </w:pPr>
      <w:r>
        <w:rPr>
          <w:color w:val="231F20"/>
          <w:sz w:val="20"/>
        </w:rPr>
        <w:t>Click </w:t>
      </w:r>
      <w:r>
        <w:rPr>
          <w:rFonts w:ascii="Book Antiqua"/>
          <w:b/>
          <w:color w:val="231F20"/>
          <w:sz w:val="20"/>
        </w:rPr>
        <w:t>Find</w:t>
      </w:r>
      <w:r>
        <w:rPr>
          <w:color w:val="231F20"/>
          <w:sz w:val="20"/>
        </w:rPr>
        <w:t>. The </w:t>
      </w:r>
      <w:r>
        <w:rPr>
          <w:rFonts w:ascii="Book Antiqua"/>
          <w:b/>
          <w:color w:val="231F20"/>
          <w:sz w:val="20"/>
        </w:rPr>
        <w:t>Find results </w:t>
      </w:r>
      <w:r>
        <w:rPr>
          <w:color w:val="231F20"/>
          <w:sz w:val="20"/>
        </w:rPr>
        <w:t>area is appended to the window with a list of Navigator items that meet the criteria.</w:t>
      </w:r>
    </w:p>
    <w:p>
      <w:pPr>
        <w:pStyle w:val="ListParagraph"/>
        <w:numPr>
          <w:ilvl w:val="0"/>
          <w:numId w:val="6"/>
        </w:numPr>
        <w:tabs>
          <w:tab w:pos="2788" w:val="left" w:leader="none"/>
        </w:tabs>
        <w:spacing w:line="213" w:lineRule="auto" w:before="59" w:after="0"/>
        <w:ind w:left="2788" w:right="904" w:hanging="316"/>
        <w:jc w:val="left"/>
        <w:rPr>
          <w:sz w:val="20"/>
        </w:rPr>
      </w:pPr>
      <w:r>
        <w:rPr>
          <w:color w:val="231F20"/>
          <w:sz w:val="20"/>
        </w:rPr>
        <w:t>Click a Navigator item in the Find results area and click </w:t>
      </w:r>
      <w:r>
        <w:rPr>
          <w:rFonts w:ascii="Book Antiqua"/>
          <w:b/>
          <w:color w:val="231F20"/>
          <w:sz w:val="20"/>
        </w:rPr>
        <w:t>Switch to </w:t>
      </w:r>
      <w:r>
        <w:rPr>
          <w:color w:val="231F20"/>
          <w:sz w:val="20"/>
        </w:rPr>
        <w:t>after selecting any or none of these check boxes:</w:t>
      </w:r>
    </w:p>
    <w:p>
      <w:pPr>
        <w:pStyle w:val="Heading6"/>
        <w:spacing w:line="227" w:lineRule="exact" w:before="122"/>
        <w:ind w:left="2788"/>
      </w:pPr>
      <w:r>
        <w:rPr>
          <w:b w:val="0"/>
        </w:rPr>
        <w:drawing>
          <wp:inline distT="0" distB="0" distL="0" distR="0">
            <wp:extent cx="82550" cy="82550"/>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
        </w:rPr>
        <w:t> </w:t>
      </w:r>
      <w:r>
        <w:rPr>
          <w:color w:val="231F20"/>
        </w:rPr>
        <w:t>Open</w:t>
      </w:r>
      <w:r>
        <w:rPr>
          <w:color w:val="231F20"/>
          <w:spacing w:val="15"/>
        </w:rPr>
        <w:t> </w:t>
      </w:r>
      <w:r>
        <w:rPr>
          <w:color w:val="231F20"/>
        </w:rPr>
        <w:t>workspace</w:t>
      </w:r>
      <w:r>
        <w:rPr>
          <w:color w:val="231F20"/>
          <w:spacing w:val="15"/>
        </w:rPr>
        <w:t> </w:t>
      </w:r>
      <w:r>
        <w:rPr>
          <w:color w:val="231F20"/>
        </w:rPr>
        <w:t>in</w:t>
      </w:r>
      <w:r>
        <w:rPr>
          <w:color w:val="231F20"/>
          <w:spacing w:val="15"/>
        </w:rPr>
        <w:t> </w:t>
      </w:r>
      <w:r>
        <w:rPr>
          <w:color w:val="231F20"/>
        </w:rPr>
        <w:t>new</w:t>
      </w:r>
      <w:r>
        <w:rPr>
          <w:color w:val="231F20"/>
          <w:spacing w:val="15"/>
        </w:rPr>
        <w:t> </w:t>
      </w:r>
      <w:r>
        <w:rPr>
          <w:color w:val="231F20"/>
        </w:rPr>
        <w:t>window</w:t>
      </w:r>
    </w:p>
    <w:p>
      <w:pPr>
        <w:pStyle w:val="BodyText"/>
        <w:spacing w:line="213" w:lineRule="auto" w:before="9"/>
        <w:ind w:left="3506" w:right="274"/>
      </w:pPr>
      <w:r>
        <w:rPr>
          <w:color w:val="231F20"/>
        </w:rPr>
        <w:t>Keep the current workspace open and open the workspace at the selected Navigator item in a new window (or separate tab if you are </w:t>
      </w:r>
      <w:r>
        <w:rPr>
          <w:color w:val="231F20"/>
        </w:rPr>
        <w:t>in browser mode and your browser is configured for tabbed windows).</w:t>
      </w:r>
    </w:p>
    <w:p>
      <w:pPr>
        <w:pStyle w:val="Heading6"/>
        <w:spacing w:line="227" w:lineRule="exact" w:before="121"/>
        <w:ind w:left="2788"/>
      </w:pPr>
      <w:r>
        <w:rPr>
          <w:b w:val="0"/>
        </w:rPr>
        <w:drawing>
          <wp:inline distT="0" distB="0" distL="0" distR="0">
            <wp:extent cx="82550" cy="82550"/>
            <wp:effectExtent l="0" t="0" r="0" b="0"/>
            <wp:docPr id="365" name="Image 365"/>
            <wp:cNvGraphicFramePr>
              <a:graphicFrameLocks/>
            </wp:cNvGraphicFramePr>
            <a:graphic>
              <a:graphicData uri="http://schemas.openxmlformats.org/drawingml/2006/picture">
                <pic:pic>
                  <pic:nvPicPr>
                    <pic:cNvPr id="365" name="Image 365"/>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
        </w:rPr>
        <w:t> </w:t>
      </w:r>
      <w:r>
        <w:rPr>
          <w:color w:val="231F20"/>
        </w:rPr>
        <w:t>Close</w:t>
      </w:r>
      <w:r>
        <w:rPr>
          <w:color w:val="231F20"/>
          <w:spacing w:val="15"/>
        </w:rPr>
        <w:t> </w:t>
      </w:r>
      <w:r>
        <w:rPr>
          <w:color w:val="231F20"/>
        </w:rPr>
        <w:t>after</w:t>
      </w:r>
      <w:r>
        <w:rPr>
          <w:color w:val="231F20"/>
          <w:spacing w:val="15"/>
        </w:rPr>
        <w:t> </w:t>
      </w:r>
      <w:r>
        <w:rPr>
          <w:color w:val="231F20"/>
        </w:rPr>
        <w:t>switching</w:t>
      </w:r>
      <w:r>
        <w:rPr>
          <w:color w:val="231F20"/>
          <w:spacing w:val="15"/>
        </w:rPr>
        <w:t> </w:t>
      </w:r>
      <w:r>
        <w:rPr>
          <w:color w:val="231F20"/>
        </w:rPr>
        <w:t>to</w:t>
      </w:r>
      <w:r>
        <w:rPr>
          <w:color w:val="231F20"/>
          <w:spacing w:val="15"/>
        </w:rPr>
        <w:t> </w:t>
      </w:r>
      <w:r>
        <w:rPr>
          <w:color w:val="231F20"/>
        </w:rPr>
        <w:t>workspace</w:t>
      </w:r>
    </w:p>
    <w:p>
      <w:pPr>
        <w:pStyle w:val="BodyText"/>
        <w:spacing w:line="213" w:lineRule="auto" w:before="9"/>
        <w:ind w:left="3506"/>
      </w:pPr>
      <w:r>
        <w:rPr>
          <w:color w:val="231F20"/>
        </w:rPr>
        <w:t>Close the Find window after opening the workspace for the </w:t>
      </w:r>
      <w:r>
        <w:rPr>
          <w:color w:val="231F20"/>
        </w:rPr>
        <w:t>selected Navigator item.</w:t>
      </w:r>
    </w:p>
    <w:p>
      <w:pPr>
        <w:pStyle w:val="Heading4"/>
        <w:ind w:left="2472"/>
      </w:pPr>
      <w:r>
        <w:rPr>
          <w:color w:val="231F20"/>
          <w:spacing w:val="-2"/>
        </w:rPr>
        <w:t>Results</w:t>
      </w:r>
    </w:p>
    <w:p>
      <w:pPr>
        <w:pStyle w:val="BodyText"/>
        <w:spacing w:before="218"/>
        <w:ind w:left="2472"/>
      </w:pPr>
      <w:r>
        <w:rPr>
          <w:color w:val="231F20"/>
        </w:rPr>
        <w:t>The</w:t>
      </w:r>
      <w:r>
        <w:rPr>
          <w:color w:val="231F20"/>
          <w:spacing w:val="10"/>
        </w:rPr>
        <w:t> </w:t>
      </w:r>
      <w:r>
        <w:rPr>
          <w:color w:val="231F20"/>
        </w:rPr>
        <w:t>default</w:t>
      </w:r>
      <w:r>
        <w:rPr>
          <w:color w:val="231F20"/>
          <w:spacing w:val="11"/>
        </w:rPr>
        <w:t> </w:t>
      </w:r>
      <w:r>
        <w:rPr>
          <w:color w:val="231F20"/>
        </w:rPr>
        <w:t>workspace</w:t>
      </w:r>
      <w:r>
        <w:rPr>
          <w:color w:val="231F20"/>
          <w:spacing w:val="11"/>
        </w:rPr>
        <w:t> </w:t>
      </w:r>
      <w:r>
        <w:rPr>
          <w:color w:val="231F20"/>
        </w:rPr>
        <w:t>for</w:t>
      </w:r>
      <w:r>
        <w:rPr>
          <w:color w:val="231F20"/>
          <w:spacing w:val="11"/>
        </w:rPr>
        <w:t> </w:t>
      </w:r>
      <w:r>
        <w:rPr>
          <w:color w:val="231F20"/>
        </w:rPr>
        <w:t>the</w:t>
      </w:r>
      <w:r>
        <w:rPr>
          <w:color w:val="231F20"/>
          <w:spacing w:val="11"/>
        </w:rPr>
        <w:t> </w:t>
      </w:r>
      <w:r>
        <w:rPr>
          <w:color w:val="231F20"/>
        </w:rPr>
        <w:t>selected</w:t>
      </w:r>
      <w:r>
        <w:rPr>
          <w:color w:val="231F20"/>
          <w:spacing w:val="11"/>
        </w:rPr>
        <w:t> </w:t>
      </w:r>
      <w:r>
        <w:rPr>
          <w:color w:val="231F20"/>
        </w:rPr>
        <w:t>Navigator</w:t>
      </w:r>
      <w:r>
        <w:rPr>
          <w:color w:val="231F20"/>
          <w:spacing w:val="11"/>
        </w:rPr>
        <w:t> </w:t>
      </w:r>
      <w:r>
        <w:rPr>
          <w:color w:val="231F20"/>
        </w:rPr>
        <w:t>item</w:t>
      </w:r>
      <w:r>
        <w:rPr>
          <w:color w:val="231F20"/>
          <w:spacing w:val="11"/>
        </w:rPr>
        <w:t> </w:t>
      </w:r>
      <w:r>
        <w:rPr>
          <w:color w:val="231F20"/>
        </w:rPr>
        <w:t>is</w:t>
      </w:r>
      <w:r>
        <w:rPr>
          <w:color w:val="231F20"/>
          <w:spacing w:val="11"/>
        </w:rPr>
        <w:t> </w:t>
      </w:r>
      <w:r>
        <w:rPr>
          <w:color w:val="231F20"/>
          <w:spacing w:val="-2"/>
        </w:rPr>
        <w:t>opened.</w:t>
      </w:r>
    </w:p>
    <w:p>
      <w:pPr>
        <w:pStyle w:val="Heading4"/>
        <w:spacing w:before="194"/>
        <w:ind w:left="2472"/>
      </w:pPr>
      <w:r>
        <w:rPr>
          <w:color w:val="231F20"/>
          <w:spacing w:val="-2"/>
        </w:rPr>
        <w:t>Example</w:t>
      </w:r>
    </w:p>
    <w:p>
      <w:pPr>
        <w:pStyle w:val="BodyText"/>
        <w:spacing w:line="213" w:lineRule="auto" w:before="241"/>
        <w:ind w:left="2472" w:right="385"/>
      </w:pPr>
      <w:r>
        <w:rPr>
          <w:color w:val="231F20"/>
        </w:rPr>
        <w:t>In this example, the find criteria looks on the MySystem computers for </w:t>
      </w:r>
      <w:r>
        <w:rPr>
          <w:color w:val="231F20"/>
        </w:rPr>
        <w:t>Navigator items with associated situations that have "CPU" in the situation name.</w:t>
      </w:r>
    </w:p>
    <w:p>
      <w:pPr>
        <w:spacing w:before="117"/>
        <w:ind w:left="2472" w:right="0" w:firstLine="0"/>
        <w:jc w:val="left"/>
        <w:rPr>
          <w:rFonts w:ascii="Book Antiqua"/>
          <w:b/>
          <w:sz w:val="20"/>
        </w:rPr>
      </w:pPr>
      <w:r>
        <w:rPr>
          <w:rFonts w:ascii="Book Antiqua"/>
          <w:b/>
          <w:color w:val="231F20"/>
          <w:sz w:val="20"/>
        </w:rPr>
        <w:t>Find</w:t>
      </w:r>
      <w:r>
        <w:rPr>
          <w:rFonts w:ascii="Book Antiqua"/>
          <w:b/>
          <w:color w:val="231F20"/>
          <w:spacing w:val="11"/>
          <w:sz w:val="20"/>
        </w:rPr>
        <w:t> </w:t>
      </w:r>
      <w:r>
        <w:rPr>
          <w:rFonts w:ascii="Book Antiqua"/>
          <w:b/>
          <w:color w:val="231F20"/>
          <w:spacing w:val="-2"/>
          <w:sz w:val="20"/>
        </w:rPr>
        <w:t>criteria</w:t>
      </w:r>
    </w:p>
    <w:p>
      <w:pPr>
        <w:spacing w:after="0"/>
        <w:jc w:val="left"/>
        <w:rPr>
          <w:rFonts w:ascii="Book Antiqua"/>
          <w:sz w:val="20"/>
        </w:rPr>
        <w:sectPr>
          <w:type w:val="continuous"/>
          <w:pgSz w:w="12240" w:h="15840"/>
          <w:pgMar w:header="0" w:footer="736" w:top="1300" w:bottom="920"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34"/>
        <w:gridCol w:w="4499"/>
      </w:tblGrid>
      <w:tr>
        <w:trPr>
          <w:trHeight w:val="274" w:hRule="atLeast"/>
        </w:trPr>
        <w:tc>
          <w:tcPr>
            <w:tcW w:w="3034" w:type="dxa"/>
          </w:tcPr>
          <w:p>
            <w:pPr>
              <w:pStyle w:val="TableParagraph"/>
              <w:spacing w:before="10"/>
              <w:ind w:left="44"/>
              <w:rPr>
                <w:rFonts w:ascii="Book Antiqua"/>
                <w:b/>
                <w:sz w:val="18"/>
              </w:rPr>
            </w:pPr>
            <w:r>
              <w:rPr>
                <w:rFonts w:ascii="Book Antiqua"/>
                <w:b/>
                <w:color w:val="231F20"/>
                <w:spacing w:val="-2"/>
                <w:sz w:val="18"/>
              </w:rPr>
              <w:t>Properties</w:t>
            </w:r>
          </w:p>
        </w:tc>
        <w:tc>
          <w:tcPr>
            <w:tcW w:w="4499" w:type="dxa"/>
          </w:tcPr>
          <w:p>
            <w:pPr>
              <w:pStyle w:val="TableParagraph"/>
              <w:spacing w:before="10"/>
              <w:ind w:left="60"/>
              <w:rPr>
                <w:rFonts w:ascii="Book Antiqua"/>
                <w:b/>
                <w:sz w:val="18"/>
              </w:rPr>
            </w:pPr>
            <w:r>
              <w:rPr>
                <w:rFonts w:ascii="Book Antiqua"/>
                <w:b/>
                <w:color w:val="231F20"/>
                <w:spacing w:val="-2"/>
                <w:sz w:val="18"/>
              </w:rPr>
              <w:t>Value</w:t>
            </w:r>
          </w:p>
        </w:tc>
      </w:tr>
      <w:tr>
        <w:trPr>
          <w:trHeight w:val="309" w:hRule="atLeast"/>
        </w:trPr>
        <w:tc>
          <w:tcPr>
            <w:tcW w:w="3034" w:type="dxa"/>
          </w:tcPr>
          <w:p>
            <w:pPr>
              <w:pStyle w:val="TableParagraph"/>
              <w:ind w:left="44"/>
              <w:rPr>
                <w:sz w:val="18"/>
              </w:rPr>
            </w:pPr>
            <w:r>
              <w:rPr>
                <w:color w:val="231F20"/>
                <w:sz w:val="18"/>
              </w:rPr>
              <w:t>IP</w:t>
            </w:r>
            <w:r>
              <w:rPr>
                <w:color w:val="231F20"/>
                <w:spacing w:val="2"/>
                <w:sz w:val="18"/>
              </w:rPr>
              <w:t> </w:t>
            </w:r>
            <w:r>
              <w:rPr>
                <w:color w:val="231F20"/>
                <w:spacing w:val="-2"/>
                <w:sz w:val="18"/>
              </w:rPr>
              <w:t>Address</w:t>
            </w:r>
          </w:p>
        </w:tc>
        <w:tc>
          <w:tcPr>
            <w:tcW w:w="4499" w:type="dxa"/>
          </w:tcPr>
          <w:p>
            <w:pPr>
              <w:pStyle w:val="TableParagraph"/>
              <w:spacing w:before="0"/>
              <w:ind w:left="0"/>
              <w:rPr>
                <w:rFonts w:ascii="Times New Roman"/>
                <w:sz w:val="18"/>
              </w:rPr>
            </w:pPr>
          </w:p>
        </w:tc>
      </w:tr>
      <w:tr>
        <w:trPr>
          <w:trHeight w:val="369" w:hRule="atLeast"/>
        </w:trPr>
        <w:tc>
          <w:tcPr>
            <w:tcW w:w="3034" w:type="dxa"/>
          </w:tcPr>
          <w:p>
            <w:pPr>
              <w:pStyle w:val="TableParagraph"/>
              <w:ind w:left="44"/>
              <w:rPr>
                <w:sz w:val="18"/>
              </w:rPr>
            </w:pPr>
            <w:r>
              <w:rPr>
                <w:color w:val="231F20"/>
                <w:spacing w:val="-2"/>
                <w:sz w:val="18"/>
              </w:rPr>
              <w:t>Hostname</w:t>
            </w:r>
          </w:p>
        </w:tc>
        <w:tc>
          <w:tcPr>
            <w:tcW w:w="4499" w:type="dxa"/>
          </w:tcPr>
          <w:p>
            <w:pPr>
              <w:pStyle w:val="TableParagraph"/>
              <w:spacing w:before="85"/>
              <w:ind w:left="549"/>
              <w:rPr>
                <w:sz w:val="18"/>
              </w:rPr>
            </w:pPr>
            <w:r>
              <w:rPr/>
              <mc:AlternateContent>
                <mc:Choice Requires="wps">
                  <w:drawing>
                    <wp:anchor distT="0" distB="0" distL="0" distR="0" allowOverlap="1" layoutInCell="1" locked="0" behindDoc="1" simplePos="0" relativeHeight="473167360">
                      <wp:simplePos x="0" y="0"/>
                      <wp:positionH relativeFrom="column">
                        <wp:posOffset>44362</wp:posOffset>
                      </wp:positionH>
                      <wp:positionV relativeFrom="paragraph">
                        <wp:posOffset>72376</wp:posOffset>
                      </wp:positionV>
                      <wp:extent cx="269875" cy="11430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269875" cy="114300"/>
                                <a:chExt cx="269875" cy="114300"/>
                              </a:xfrm>
                            </wpg:grpSpPr>
                            <pic:pic>
                              <pic:nvPicPr>
                                <pic:cNvPr id="367" name="Image 367"/>
                                <pic:cNvPicPr/>
                              </pic:nvPicPr>
                              <pic:blipFill>
                                <a:blip r:embed="rId123" cstate="print"/>
                                <a:stretch>
                                  <a:fillRect/>
                                </a:stretch>
                              </pic:blipFill>
                              <pic:spPr>
                                <a:xfrm>
                                  <a:off x="0" y="0"/>
                                  <a:ext cx="114300" cy="114300"/>
                                </a:xfrm>
                                <a:prstGeom prst="rect">
                                  <a:avLst/>
                                </a:prstGeom>
                              </pic:spPr>
                            </pic:pic>
                            <pic:pic>
                              <pic:nvPicPr>
                                <pic:cNvPr id="368" name="Image 368"/>
                                <pic:cNvPicPr/>
                              </pic:nvPicPr>
                              <pic:blipFill>
                                <a:blip r:embed="rId124" cstate="print"/>
                                <a:stretch>
                                  <a:fillRect/>
                                </a:stretch>
                              </pic:blipFill>
                              <pic:spPr>
                                <a:xfrm>
                                  <a:off x="155230" y="0"/>
                                  <a:ext cx="114300" cy="114300"/>
                                </a:xfrm>
                                <a:prstGeom prst="rect">
                                  <a:avLst/>
                                </a:prstGeom>
                              </pic:spPr>
                            </pic:pic>
                          </wpg:wgp>
                        </a:graphicData>
                      </a:graphic>
                    </wp:anchor>
                  </w:drawing>
                </mc:Choice>
                <mc:Fallback>
                  <w:pict>
                    <v:group style="position:absolute;margin-left:3.4931pt;margin-top:5.698963pt;width:21.25pt;height:9pt;mso-position-horizontal-relative:column;mso-position-vertical-relative:paragraph;z-index:-30149120" id="docshapegroup53" coordorigin="70,114" coordsize="425,180">
                      <v:shape style="position:absolute;left:69;top:113;width:180;height:180" type="#_x0000_t75" id="docshape54" stroked="false">
                        <v:imagedata r:id="rId123" o:title=""/>
                      </v:shape>
                      <v:shape style="position:absolute;left:314;top:113;width:180;height:180" type="#_x0000_t75" id="docshape55" stroked="false">
                        <v:imagedata r:id="rId124" o:title=""/>
                      </v:shape>
                      <w10:wrap type="none"/>
                    </v:group>
                  </w:pict>
                </mc:Fallback>
              </mc:AlternateContent>
            </w:r>
            <w:r>
              <w:rPr>
                <w:color w:val="231F20"/>
                <w:spacing w:val="-2"/>
                <w:sz w:val="18"/>
              </w:rPr>
              <w:t>'MySystem?'</w:t>
            </w:r>
          </w:p>
        </w:tc>
      </w:tr>
      <w:tr>
        <w:trPr>
          <w:trHeight w:val="309" w:hRule="atLeast"/>
        </w:trPr>
        <w:tc>
          <w:tcPr>
            <w:tcW w:w="3034" w:type="dxa"/>
          </w:tcPr>
          <w:p>
            <w:pPr>
              <w:pStyle w:val="TableParagraph"/>
              <w:ind w:left="44"/>
              <w:rPr>
                <w:sz w:val="18"/>
              </w:rPr>
            </w:pPr>
            <w:r>
              <w:rPr>
                <w:color w:val="231F20"/>
                <w:sz w:val="18"/>
              </w:rPr>
              <w:t>SMFID</w:t>
            </w:r>
            <w:r>
              <w:rPr>
                <w:color w:val="231F20"/>
                <w:spacing w:val="8"/>
                <w:sz w:val="18"/>
              </w:rPr>
              <w:t> </w:t>
            </w:r>
            <w:r>
              <w:rPr>
                <w:color w:val="231F20"/>
                <w:spacing w:val="-4"/>
                <w:sz w:val="18"/>
              </w:rPr>
              <w:t>Name</w:t>
            </w:r>
          </w:p>
        </w:tc>
        <w:tc>
          <w:tcPr>
            <w:tcW w:w="4499" w:type="dxa"/>
          </w:tcPr>
          <w:p>
            <w:pPr>
              <w:pStyle w:val="TableParagraph"/>
              <w:spacing w:before="0"/>
              <w:ind w:left="0"/>
              <w:rPr>
                <w:rFonts w:ascii="Times New Roman"/>
                <w:sz w:val="18"/>
              </w:rPr>
            </w:pPr>
          </w:p>
        </w:tc>
      </w:tr>
      <w:tr>
        <w:trPr>
          <w:trHeight w:val="309" w:hRule="atLeast"/>
        </w:trPr>
        <w:tc>
          <w:tcPr>
            <w:tcW w:w="3034" w:type="dxa"/>
          </w:tcPr>
          <w:p>
            <w:pPr>
              <w:pStyle w:val="TableParagraph"/>
              <w:ind w:left="44"/>
              <w:rPr>
                <w:sz w:val="18"/>
              </w:rPr>
            </w:pPr>
            <w:r>
              <w:rPr>
                <w:color w:val="231F20"/>
                <w:sz w:val="18"/>
              </w:rPr>
              <w:t>Sysplex</w:t>
            </w:r>
            <w:r>
              <w:rPr>
                <w:color w:val="231F20"/>
                <w:spacing w:val="7"/>
                <w:sz w:val="18"/>
              </w:rPr>
              <w:t> </w:t>
            </w:r>
            <w:r>
              <w:rPr>
                <w:color w:val="231F20"/>
                <w:spacing w:val="-4"/>
                <w:sz w:val="18"/>
              </w:rPr>
              <w:t>Name</w:t>
            </w:r>
          </w:p>
        </w:tc>
        <w:tc>
          <w:tcPr>
            <w:tcW w:w="4499" w:type="dxa"/>
          </w:tcPr>
          <w:p>
            <w:pPr>
              <w:pStyle w:val="TableParagraph"/>
              <w:spacing w:before="0"/>
              <w:ind w:left="0"/>
              <w:rPr>
                <w:rFonts w:ascii="Times New Roman"/>
                <w:sz w:val="18"/>
              </w:rPr>
            </w:pPr>
          </w:p>
        </w:tc>
      </w:tr>
      <w:tr>
        <w:trPr>
          <w:trHeight w:val="309" w:hRule="atLeast"/>
        </w:trPr>
        <w:tc>
          <w:tcPr>
            <w:tcW w:w="3034" w:type="dxa"/>
          </w:tcPr>
          <w:p>
            <w:pPr>
              <w:pStyle w:val="TableParagraph"/>
              <w:ind w:left="44"/>
              <w:rPr>
                <w:sz w:val="18"/>
              </w:rPr>
            </w:pPr>
            <w:r>
              <w:rPr>
                <w:color w:val="231F20"/>
                <w:sz w:val="18"/>
              </w:rPr>
              <w:t>Product</w:t>
            </w:r>
            <w:r>
              <w:rPr>
                <w:color w:val="231F20"/>
                <w:spacing w:val="3"/>
                <w:sz w:val="18"/>
              </w:rPr>
              <w:t> </w:t>
            </w:r>
            <w:r>
              <w:rPr>
                <w:color w:val="231F20"/>
                <w:spacing w:val="-4"/>
                <w:sz w:val="18"/>
              </w:rPr>
              <w:t>Code</w:t>
            </w:r>
          </w:p>
        </w:tc>
        <w:tc>
          <w:tcPr>
            <w:tcW w:w="4499" w:type="dxa"/>
          </w:tcPr>
          <w:p>
            <w:pPr>
              <w:pStyle w:val="TableParagraph"/>
              <w:spacing w:before="0"/>
              <w:ind w:left="0"/>
              <w:rPr>
                <w:rFonts w:ascii="Times New Roman"/>
                <w:sz w:val="18"/>
              </w:rPr>
            </w:pPr>
          </w:p>
        </w:tc>
      </w:tr>
      <w:tr>
        <w:trPr>
          <w:trHeight w:val="309" w:hRule="atLeast"/>
        </w:trPr>
        <w:tc>
          <w:tcPr>
            <w:tcW w:w="3034" w:type="dxa"/>
          </w:tcPr>
          <w:p>
            <w:pPr>
              <w:pStyle w:val="TableParagraph"/>
              <w:ind w:left="44"/>
              <w:rPr>
                <w:sz w:val="18"/>
              </w:rPr>
            </w:pPr>
            <w:r>
              <w:rPr>
                <w:color w:val="231F20"/>
                <w:sz w:val="18"/>
              </w:rPr>
              <w:t>Managed</w:t>
            </w:r>
            <w:r>
              <w:rPr>
                <w:color w:val="231F20"/>
                <w:spacing w:val="7"/>
                <w:sz w:val="18"/>
              </w:rPr>
              <w:t> </w:t>
            </w:r>
            <w:r>
              <w:rPr>
                <w:color w:val="231F20"/>
                <w:sz w:val="18"/>
              </w:rPr>
              <w:t>System</w:t>
            </w:r>
            <w:r>
              <w:rPr>
                <w:color w:val="231F20"/>
                <w:spacing w:val="7"/>
                <w:sz w:val="18"/>
              </w:rPr>
              <w:t> </w:t>
            </w:r>
            <w:r>
              <w:rPr>
                <w:color w:val="231F20"/>
                <w:spacing w:val="-4"/>
                <w:sz w:val="18"/>
              </w:rPr>
              <w:t>Name</w:t>
            </w:r>
          </w:p>
        </w:tc>
        <w:tc>
          <w:tcPr>
            <w:tcW w:w="4499" w:type="dxa"/>
          </w:tcPr>
          <w:p>
            <w:pPr>
              <w:pStyle w:val="TableParagraph"/>
              <w:spacing w:before="0"/>
              <w:ind w:left="0"/>
              <w:rPr>
                <w:rFonts w:ascii="Times New Roman"/>
                <w:sz w:val="18"/>
              </w:rPr>
            </w:pPr>
          </w:p>
        </w:tc>
      </w:tr>
      <w:tr>
        <w:trPr>
          <w:trHeight w:val="374" w:hRule="atLeast"/>
        </w:trPr>
        <w:tc>
          <w:tcPr>
            <w:tcW w:w="3034" w:type="dxa"/>
          </w:tcPr>
          <w:p>
            <w:pPr>
              <w:pStyle w:val="TableParagraph"/>
              <w:ind w:left="44"/>
              <w:rPr>
                <w:sz w:val="18"/>
              </w:rPr>
            </w:pPr>
            <w:r>
              <w:rPr>
                <w:color w:val="231F20"/>
                <w:sz w:val="18"/>
              </w:rPr>
              <w:t>Associated</w:t>
            </w:r>
            <w:r>
              <w:rPr>
                <w:color w:val="231F20"/>
                <w:spacing w:val="6"/>
                <w:sz w:val="18"/>
              </w:rPr>
              <w:t> </w:t>
            </w:r>
            <w:r>
              <w:rPr>
                <w:color w:val="231F20"/>
                <w:sz w:val="18"/>
              </w:rPr>
              <w:t>Situation</w:t>
            </w:r>
            <w:r>
              <w:rPr>
                <w:color w:val="231F20"/>
                <w:spacing w:val="6"/>
                <w:sz w:val="18"/>
              </w:rPr>
              <w:t> </w:t>
            </w:r>
            <w:r>
              <w:rPr>
                <w:color w:val="231F20"/>
                <w:spacing w:val="-4"/>
                <w:sz w:val="18"/>
              </w:rPr>
              <w:t>Name</w:t>
            </w:r>
          </w:p>
        </w:tc>
        <w:tc>
          <w:tcPr>
            <w:tcW w:w="4499" w:type="dxa"/>
          </w:tcPr>
          <w:p>
            <w:pPr>
              <w:pStyle w:val="TableParagraph"/>
              <w:spacing w:before="85"/>
              <w:ind w:left="549"/>
              <w:rPr>
                <w:sz w:val="18"/>
              </w:rPr>
            </w:pPr>
            <w:r>
              <w:rPr/>
              <mc:AlternateContent>
                <mc:Choice Requires="wps">
                  <w:drawing>
                    <wp:anchor distT="0" distB="0" distL="0" distR="0" allowOverlap="1" layoutInCell="1" locked="0" behindDoc="1" simplePos="0" relativeHeight="473167872">
                      <wp:simplePos x="0" y="0"/>
                      <wp:positionH relativeFrom="column">
                        <wp:posOffset>44362</wp:posOffset>
                      </wp:positionH>
                      <wp:positionV relativeFrom="paragraph">
                        <wp:posOffset>72376</wp:posOffset>
                      </wp:positionV>
                      <wp:extent cx="269875" cy="114300"/>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269875" cy="114300"/>
                                <a:chExt cx="269875" cy="114300"/>
                              </a:xfrm>
                            </wpg:grpSpPr>
                            <pic:pic>
                              <pic:nvPicPr>
                                <pic:cNvPr id="370" name="Image 370"/>
                                <pic:cNvPicPr/>
                              </pic:nvPicPr>
                              <pic:blipFill>
                                <a:blip r:embed="rId123" cstate="print"/>
                                <a:stretch>
                                  <a:fillRect/>
                                </a:stretch>
                              </pic:blipFill>
                              <pic:spPr>
                                <a:xfrm>
                                  <a:off x="0" y="0"/>
                                  <a:ext cx="114300" cy="114300"/>
                                </a:xfrm>
                                <a:prstGeom prst="rect">
                                  <a:avLst/>
                                </a:prstGeom>
                              </pic:spPr>
                            </pic:pic>
                            <pic:pic>
                              <pic:nvPicPr>
                                <pic:cNvPr id="371" name="Image 371"/>
                                <pic:cNvPicPr/>
                              </pic:nvPicPr>
                              <pic:blipFill>
                                <a:blip r:embed="rId124" cstate="print"/>
                                <a:stretch>
                                  <a:fillRect/>
                                </a:stretch>
                              </pic:blipFill>
                              <pic:spPr>
                                <a:xfrm>
                                  <a:off x="155230" y="0"/>
                                  <a:ext cx="114300" cy="114300"/>
                                </a:xfrm>
                                <a:prstGeom prst="rect">
                                  <a:avLst/>
                                </a:prstGeom>
                              </pic:spPr>
                            </pic:pic>
                          </wpg:wgp>
                        </a:graphicData>
                      </a:graphic>
                    </wp:anchor>
                  </w:drawing>
                </mc:Choice>
                <mc:Fallback>
                  <w:pict>
                    <v:group style="position:absolute;margin-left:3.4931pt;margin-top:5.698954pt;width:21.25pt;height:9pt;mso-position-horizontal-relative:column;mso-position-vertical-relative:paragraph;z-index:-30148608" id="docshapegroup56" coordorigin="70,114" coordsize="425,180">
                      <v:shape style="position:absolute;left:69;top:113;width:180;height:180" type="#_x0000_t75" id="docshape57" stroked="false">
                        <v:imagedata r:id="rId123" o:title=""/>
                      </v:shape>
                      <v:shape style="position:absolute;left:314;top:113;width:180;height:180" type="#_x0000_t75" id="docshape58" stroked="false">
                        <v:imagedata r:id="rId124" o:title=""/>
                      </v:shape>
                      <w10:wrap type="none"/>
                    </v:group>
                  </w:pict>
                </mc:Fallback>
              </mc:AlternateContent>
            </w:r>
            <w:r>
              <w:rPr>
                <w:color w:val="231F20"/>
                <w:spacing w:val="-2"/>
                <w:sz w:val="18"/>
              </w:rPr>
              <w:t>'*CPU*'</w:t>
            </w:r>
          </w:p>
        </w:tc>
      </w:tr>
    </w:tbl>
    <w:p>
      <w:pPr>
        <w:pStyle w:val="BodyText"/>
        <w:spacing w:before="63"/>
        <w:rPr>
          <w:rFonts w:ascii="Book Antiqua"/>
          <w:b/>
        </w:rPr>
      </w:pPr>
    </w:p>
    <w:p>
      <w:pPr>
        <w:spacing w:before="1"/>
        <w:ind w:left="2232" w:right="0" w:firstLine="0"/>
        <w:jc w:val="left"/>
        <w:rPr>
          <w:rFonts w:ascii="Book Antiqua"/>
          <w:b/>
          <w:sz w:val="20"/>
        </w:rPr>
      </w:pPr>
      <w:bookmarkStart w:name="_bookmark18" w:id="45"/>
      <w:bookmarkEnd w:id="45"/>
      <w:r>
        <w:rPr/>
      </w:r>
      <w:r>
        <w:rPr>
          <w:rFonts w:ascii="Book Antiqua"/>
          <w:b/>
          <w:color w:val="231F20"/>
          <w:sz w:val="20"/>
        </w:rPr>
        <w:t>Find</w:t>
      </w:r>
      <w:r>
        <w:rPr>
          <w:rFonts w:ascii="Book Antiqua"/>
          <w:b/>
          <w:color w:val="231F20"/>
          <w:spacing w:val="11"/>
          <w:sz w:val="20"/>
        </w:rPr>
        <w:t> </w:t>
      </w:r>
      <w:r>
        <w:rPr>
          <w:rFonts w:ascii="Book Antiqua"/>
          <w:b/>
          <w:color w:val="231F20"/>
          <w:spacing w:val="-2"/>
          <w:sz w:val="20"/>
        </w:rPr>
        <w:t>results</w:t>
      </w:r>
    </w:p>
    <w:p>
      <w:pPr>
        <w:pStyle w:val="BodyText"/>
        <w:spacing w:before="2"/>
        <w:rPr>
          <w:rFonts w:ascii="Book Antiqua"/>
          <w:b/>
          <w:sz w:val="14"/>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06"/>
        <w:gridCol w:w="1721"/>
        <w:gridCol w:w="4107"/>
      </w:tblGrid>
      <w:tr>
        <w:trPr>
          <w:trHeight w:val="274" w:hRule="atLeast"/>
        </w:trPr>
        <w:tc>
          <w:tcPr>
            <w:tcW w:w="1706" w:type="dxa"/>
          </w:tcPr>
          <w:p>
            <w:pPr>
              <w:pStyle w:val="TableParagraph"/>
              <w:spacing w:before="10"/>
              <w:ind w:left="44"/>
              <w:rPr>
                <w:rFonts w:ascii="Book Antiqua"/>
                <w:b/>
                <w:sz w:val="18"/>
              </w:rPr>
            </w:pPr>
            <w:r>
              <w:rPr>
                <w:rFonts w:ascii="Book Antiqua"/>
                <w:b/>
                <w:color w:val="231F20"/>
                <w:spacing w:val="-4"/>
                <w:sz w:val="18"/>
              </w:rPr>
              <w:t>Item</w:t>
            </w:r>
          </w:p>
        </w:tc>
        <w:tc>
          <w:tcPr>
            <w:tcW w:w="1721" w:type="dxa"/>
          </w:tcPr>
          <w:p>
            <w:pPr>
              <w:pStyle w:val="TableParagraph"/>
              <w:spacing w:before="10"/>
              <w:rPr>
                <w:rFonts w:ascii="Book Antiqua"/>
                <w:b/>
                <w:sz w:val="18"/>
              </w:rPr>
            </w:pPr>
            <w:r>
              <w:rPr>
                <w:rFonts w:ascii="Book Antiqua"/>
                <w:b/>
                <w:color w:val="231F20"/>
                <w:spacing w:val="-4"/>
                <w:sz w:val="18"/>
              </w:rPr>
              <w:t>View</w:t>
            </w:r>
          </w:p>
        </w:tc>
        <w:tc>
          <w:tcPr>
            <w:tcW w:w="4107" w:type="dxa"/>
          </w:tcPr>
          <w:p>
            <w:pPr>
              <w:pStyle w:val="TableParagraph"/>
              <w:spacing w:before="10"/>
              <w:rPr>
                <w:rFonts w:ascii="Book Antiqua"/>
                <w:b/>
                <w:sz w:val="18"/>
              </w:rPr>
            </w:pPr>
            <w:r>
              <w:rPr>
                <w:rFonts w:ascii="Book Antiqua"/>
                <w:b/>
                <w:color w:val="231F20"/>
                <w:sz w:val="18"/>
              </w:rPr>
              <w:t>Item</w:t>
            </w:r>
            <w:r>
              <w:rPr>
                <w:rFonts w:ascii="Book Antiqua"/>
                <w:b/>
                <w:color w:val="231F20"/>
                <w:spacing w:val="10"/>
                <w:sz w:val="18"/>
              </w:rPr>
              <w:t> </w:t>
            </w:r>
            <w:r>
              <w:rPr>
                <w:rFonts w:ascii="Book Antiqua"/>
                <w:b/>
                <w:color w:val="231F20"/>
                <w:spacing w:val="-4"/>
                <w:sz w:val="18"/>
              </w:rPr>
              <w:t>path</w:t>
            </w:r>
          </w:p>
        </w:tc>
      </w:tr>
      <w:tr>
        <w:trPr>
          <w:trHeight w:val="528" w:hRule="atLeast"/>
        </w:trPr>
        <w:tc>
          <w:tcPr>
            <w:tcW w:w="1706" w:type="dxa"/>
          </w:tcPr>
          <w:p>
            <w:pPr>
              <w:pStyle w:val="TableParagraph"/>
              <w:ind w:left="44"/>
              <w:rPr>
                <w:sz w:val="18"/>
              </w:rPr>
            </w:pPr>
            <w:r>
              <w:rPr>
                <w:color w:val="231F20"/>
                <w:spacing w:val="-2"/>
                <w:sz w:val="18"/>
              </w:rPr>
              <w:t>Process</w:t>
            </w:r>
          </w:p>
        </w:tc>
        <w:tc>
          <w:tcPr>
            <w:tcW w:w="1721" w:type="dxa"/>
          </w:tcPr>
          <w:p>
            <w:pPr>
              <w:pStyle w:val="TableParagraph"/>
              <w:rPr>
                <w:sz w:val="18"/>
              </w:rPr>
            </w:pPr>
            <w:r>
              <w:rPr>
                <w:color w:val="231F20"/>
                <w:spacing w:val="-2"/>
                <w:sz w:val="18"/>
              </w:rPr>
              <w:t>Physical</w:t>
            </w:r>
          </w:p>
        </w:tc>
        <w:tc>
          <w:tcPr>
            <w:tcW w:w="4107" w:type="dxa"/>
          </w:tcPr>
          <w:p>
            <w:pPr>
              <w:pStyle w:val="TableParagraph"/>
              <w:spacing w:line="216" w:lineRule="auto" w:before="44"/>
              <w:ind w:hanging="1"/>
              <w:rPr>
                <w:sz w:val="18"/>
              </w:rPr>
            </w:pPr>
            <w:r>
              <w:rPr>
                <w:color w:val="231F20"/>
                <w:spacing w:val="-2"/>
                <w:sz w:val="18"/>
              </w:rPr>
              <w:t>WindowsOS/MySystem1/Windows </w:t>
            </w:r>
            <w:r>
              <w:rPr>
                <w:color w:val="231F20"/>
                <w:spacing w:val="-2"/>
                <w:w w:val="105"/>
                <w:sz w:val="18"/>
              </w:rPr>
              <w:t>Systems/Enterprise</w:t>
            </w:r>
          </w:p>
        </w:tc>
      </w:tr>
      <w:tr>
        <w:trPr>
          <w:trHeight w:val="528" w:hRule="atLeast"/>
        </w:trPr>
        <w:tc>
          <w:tcPr>
            <w:tcW w:w="1706" w:type="dxa"/>
          </w:tcPr>
          <w:p>
            <w:pPr>
              <w:pStyle w:val="TableParagraph"/>
              <w:ind w:left="44"/>
              <w:rPr>
                <w:sz w:val="18"/>
              </w:rPr>
            </w:pPr>
            <w:r>
              <w:rPr>
                <w:color w:val="231F20"/>
                <w:spacing w:val="-2"/>
                <w:sz w:val="18"/>
              </w:rPr>
              <w:t>Processor</w:t>
            </w:r>
          </w:p>
        </w:tc>
        <w:tc>
          <w:tcPr>
            <w:tcW w:w="1721" w:type="dxa"/>
          </w:tcPr>
          <w:p>
            <w:pPr>
              <w:pStyle w:val="TableParagraph"/>
              <w:rPr>
                <w:sz w:val="18"/>
              </w:rPr>
            </w:pPr>
            <w:r>
              <w:rPr>
                <w:color w:val="231F20"/>
                <w:spacing w:val="-2"/>
                <w:sz w:val="18"/>
              </w:rPr>
              <w:t>Physical</w:t>
            </w:r>
          </w:p>
        </w:tc>
        <w:tc>
          <w:tcPr>
            <w:tcW w:w="4107" w:type="dxa"/>
          </w:tcPr>
          <w:p>
            <w:pPr>
              <w:pStyle w:val="TableParagraph"/>
              <w:spacing w:line="216" w:lineRule="auto" w:before="44"/>
              <w:ind w:hanging="1"/>
              <w:rPr>
                <w:sz w:val="18"/>
              </w:rPr>
            </w:pPr>
            <w:r>
              <w:rPr>
                <w:color w:val="231F20"/>
                <w:spacing w:val="-2"/>
                <w:sz w:val="18"/>
              </w:rPr>
              <w:t>WindowsOS/MySystem1/Windows </w:t>
            </w:r>
            <w:r>
              <w:rPr>
                <w:color w:val="231F20"/>
                <w:spacing w:val="-2"/>
                <w:w w:val="105"/>
                <w:sz w:val="18"/>
              </w:rPr>
              <w:t>Systems/Enterprise</w:t>
            </w:r>
          </w:p>
        </w:tc>
      </w:tr>
      <w:tr>
        <w:trPr>
          <w:trHeight w:val="528" w:hRule="atLeast"/>
        </w:trPr>
        <w:tc>
          <w:tcPr>
            <w:tcW w:w="1706" w:type="dxa"/>
          </w:tcPr>
          <w:p>
            <w:pPr>
              <w:pStyle w:val="TableParagraph"/>
              <w:ind w:left="44"/>
              <w:rPr>
                <w:sz w:val="18"/>
              </w:rPr>
            </w:pPr>
            <w:r>
              <w:rPr>
                <w:color w:val="231F20"/>
                <w:spacing w:val="-2"/>
                <w:sz w:val="18"/>
              </w:rPr>
              <w:t>Process</w:t>
            </w:r>
          </w:p>
        </w:tc>
        <w:tc>
          <w:tcPr>
            <w:tcW w:w="1721" w:type="dxa"/>
          </w:tcPr>
          <w:p>
            <w:pPr>
              <w:pStyle w:val="TableParagraph"/>
              <w:rPr>
                <w:sz w:val="18"/>
              </w:rPr>
            </w:pPr>
            <w:r>
              <w:rPr>
                <w:color w:val="231F20"/>
                <w:spacing w:val="-2"/>
                <w:sz w:val="18"/>
              </w:rPr>
              <w:t>Physical</w:t>
            </w:r>
          </w:p>
        </w:tc>
        <w:tc>
          <w:tcPr>
            <w:tcW w:w="4107" w:type="dxa"/>
          </w:tcPr>
          <w:p>
            <w:pPr>
              <w:pStyle w:val="TableParagraph"/>
              <w:spacing w:line="216" w:lineRule="auto" w:before="44"/>
              <w:ind w:hanging="1"/>
              <w:rPr>
                <w:sz w:val="18"/>
              </w:rPr>
            </w:pPr>
            <w:r>
              <w:rPr>
                <w:color w:val="231F20"/>
                <w:spacing w:val="-2"/>
                <w:sz w:val="18"/>
              </w:rPr>
              <w:t>WindowsOS/MySystem2/Windows </w:t>
            </w:r>
            <w:r>
              <w:rPr>
                <w:color w:val="231F20"/>
                <w:spacing w:val="-2"/>
                <w:w w:val="105"/>
                <w:sz w:val="18"/>
              </w:rPr>
              <w:t>Systems/Enterprise</w:t>
            </w:r>
          </w:p>
        </w:tc>
      </w:tr>
      <w:tr>
        <w:trPr>
          <w:trHeight w:val="533" w:hRule="atLeast"/>
        </w:trPr>
        <w:tc>
          <w:tcPr>
            <w:tcW w:w="1706" w:type="dxa"/>
          </w:tcPr>
          <w:p>
            <w:pPr>
              <w:pStyle w:val="TableParagraph"/>
              <w:ind w:left="44"/>
              <w:rPr>
                <w:sz w:val="18"/>
              </w:rPr>
            </w:pPr>
            <w:r>
              <w:rPr>
                <w:color w:val="231F20"/>
                <w:spacing w:val="-2"/>
                <w:sz w:val="18"/>
              </w:rPr>
              <w:t>Processor</w:t>
            </w:r>
          </w:p>
        </w:tc>
        <w:tc>
          <w:tcPr>
            <w:tcW w:w="1721" w:type="dxa"/>
          </w:tcPr>
          <w:p>
            <w:pPr>
              <w:pStyle w:val="TableParagraph"/>
              <w:rPr>
                <w:sz w:val="18"/>
              </w:rPr>
            </w:pPr>
            <w:r>
              <w:rPr>
                <w:color w:val="231F20"/>
                <w:spacing w:val="-2"/>
                <w:sz w:val="18"/>
              </w:rPr>
              <w:t>Physical</w:t>
            </w:r>
          </w:p>
        </w:tc>
        <w:tc>
          <w:tcPr>
            <w:tcW w:w="4107" w:type="dxa"/>
          </w:tcPr>
          <w:p>
            <w:pPr>
              <w:pStyle w:val="TableParagraph"/>
              <w:spacing w:line="216" w:lineRule="auto" w:before="44"/>
              <w:ind w:hanging="1"/>
              <w:rPr>
                <w:sz w:val="18"/>
              </w:rPr>
            </w:pPr>
            <w:r>
              <w:rPr>
                <w:color w:val="231F20"/>
                <w:spacing w:val="-2"/>
                <w:sz w:val="18"/>
              </w:rPr>
              <w:t>WindowsOS/MySystem2/Windows </w:t>
            </w:r>
            <w:r>
              <w:rPr>
                <w:color w:val="231F20"/>
                <w:spacing w:val="-2"/>
                <w:w w:val="105"/>
                <w:sz w:val="18"/>
              </w:rPr>
              <w:t>Systems/Enterprise</w:t>
            </w:r>
          </w:p>
        </w:tc>
      </w:tr>
    </w:tbl>
    <w:p>
      <w:pPr>
        <w:pStyle w:val="BodyText"/>
        <w:spacing w:before="130"/>
        <w:rPr>
          <w:rFonts w:ascii="Book Antiqua"/>
          <w:b/>
        </w:rPr>
      </w:pPr>
    </w:p>
    <w:p>
      <w:pPr>
        <w:pStyle w:val="Heading4"/>
        <w:spacing w:before="0"/>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545"/>
      </w:pPr>
      <w:r>
        <w:rPr>
          <w:color w:val="231F20"/>
        </w:rPr>
        <w:t>You can keep the window open to switch between one found Navigator item </w:t>
      </w:r>
      <w:r>
        <w:rPr>
          <w:color w:val="231F20"/>
        </w:rPr>
        <w:t>and another or to change the criteria and find other Navigator items.</w:t>
      </w:r>
    </w:p>
    <w:p>
      <w:pPr>
        <w:pStyle w:val="BodyText"/>
        <w:spacing w:before="5"/>
        <w:rPr>
          <w:sz w:val="16"/>
        </w:rPr>
      </w:pPr>
      <w:r>
        <w:rPr/>
        <mc:AlternateContent>
          <mc:Choice Requires="wps">
            <w:drawing>
              <wp:anchor distT="0" distB="0" distL="0" distR="0" allowOverlap="1" layoutInCell="1" locked="0" behindDoc="1" simplePos="0" relativeHeight="487630336">
                <wp:simplePos x="0" y="0"/>
                <wp:positionH relativeFrom="page">
                  <wp:posOffset>760323</wp:posOffset>
                </wp:positionH>
                <wp:positionV relativeFrom="paragraph">
                  <wp:posOffset>155799</wp:posOffset>
                </wp:positionV>
                <wp:extent cx="6082665" cy="1270"/>
                <wp:effectExtent l="0" t="0" r="0" b="0"/>
                <wp:wrapTopAndBottom/>
                <wp:docPr id="372" name="Graphic 372"/>
                <wp:cNvGraphicFramePr>
                  <a:graphicFrameLocks/>
                </wp:cNvGraphicFramePr>
                <a:graphic>
                  <a:graphicData uri="http://schemas.microsoft.com/office/word/2010/wordprocessingShape">
                    <wps:wsp>
                      <wps:cNvPr id="372" name="Graphic 37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7653pt;width:478.95pt;height:.1pt;mso-position-horizontal-relative:page;mso-position-vertical-relative:paragraph;z-index:-15686144;mso-wrap-distance-left:0;mso-wrap-distance-right:0" id="docshape59"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Opening a Navigator view" w:id="46"/>
      <w:bookmarkEnd w:id="46"/>
      <w:r>
        <w:rPr>
          <w:b w:val="0"/>
        </w:rPr>
      </w:r>
      <w:r>
        <w:rPr>
          <w:color w:val="231F20"/>
        </w:rPr>
        <w:t>Opening</w:t>
      </w:r>
      <w:r>
        <w:rPr>
          <w:color w:val="231F20"/>
          <w:spacing w:val="6"/>
        </w:rPr>
        <w:t> </w:t>
      </w:r>
      <w:r>
        <w:rPr>
          <w:color w:val="231F20"/>
        </w:rPr>
        <w:t>a</w:t>
      </w:r>
      <w:r>
        <w:rPr>
          <w:color w:val="231F20"/>
          <w:spacing w:val="6"/>
        </w:rPr>
        <w:t> </w:t>
      </w:r>
      <w:r>
        <w:rPr>
          <w:color w:val="231F20"/>
        </w:rPr>
        <w:t>Navigator</w:t>
      </w:r>
      <w:r>
        <w:rPr>
          <w:color w:val="231F20"/>
          <w:spacing w:val="7"/>
        </w:rPr>
        <w:t> </w:t>
      </w:r>
      <w:r>
        <w:rPr>
          <w:color w:val="231F20"/>
          <w:spacing w:val="-4"/>
        </w:rPr>
        <w:t>view</w:t>
      </w:r>
    </w:p>
    <w:p>
      <w:pPr>
        <w:pStyle w:val="BodyText"/>
        <w:spacing w:line="213" w:lineRule="auto" w:before="138"/>
        <w:ind w:left="2232" w:right="545"/>
      </w:pPr>
      <w:r>
        <w:rPr>
          <w:color w:val="231F20"/>
        </w:rPr>
        <w:t>The initial Tivoli Enterprise Portal workplace has a Navigator Physical view and </w:t>
      </w:r>
      <w:r>
        <w:rPr>
          <w:color w:val="231F20"/>
        </w:rPr>
        <w:t>a Logical view and any other views that were predefined for your product. You can switch between Navigator views to see the items and workspaces of another </w:t>
      </w:r>
      <w:r>
        <w:rPr>
          <w:color w:val="231F20"/>
          <w:spacing w:val="-2"/>
        </w:rPr>
        <w:t>Navigator.</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493"/>
      </w:pPr>
      <w:r>
        <w:rPr>
          <w:color w:val="231F20"/>
        </w:rPr>
        <w:t>Depending on whether the Navigator is displayed or hidden, take either of </w:t>
      </w:r>
      <w:r>
        <w:rPr>
          <w:color w:val="231F20"/>
        </w:rPr>
        <w:t>these steps to open a different Navigator view:</w:t>
      </w:r>
    </w:p>
    <w:p>
      <w:pPr>
        <w:pStyle w:val="Heading4"/>
      </w:pPr>
      <w:r>
        <w:rPr>
          <w:color w:val="231F20"/>
          <w:spacing w:val="-2"/>
        </w:rPr>
        <w:t>Procedure</w:t>
      </w:r>
    </w:p>
    <w:p>
      <w:pPr>
        <w:pStyle w:val="BodyText"/>
        <w:spacing w:line="213" w:lineRule="auto" w:before="62"/>
        <w:ind w:left="2448" w:right="700" w:hanging="216"/>
      </w:pPr>
      <w:r>
        <w:rPr>
          <w:rFonts w:ascii="Futura MdCn BT"/>
          <w:color w:val="231F20"/>
        </w:rPr>
        <w:t>v</w:t>
      </w:r>
      <w:r>
        <w:rPr>
          <w:rFonts w:ascii="Futura MdCn BT"/>
          <w:color w:val="231F20"/>
          <w:spacing w:val="80"/>
        </w:rPr>
        <w:t> </w:t>
      </w:r>
      <w:r>
        <w:rPr>
          <w:color w:val="231F20"/>
        </w:rPr>
        <w:t>Click the View </w:t>
      </w:r>
      <w:r>
        <w:rPr>
          <w:color w:val="231F20"/>
          <w:spacing w:val="16"/>
          <w:position w:val="-1"/>
        </w:rPr>
        <w:drawing>
          <wp:inline distT="0" distB="0" distL="0" distR="0">
            <wp:extent cx="101600" cy="101600"/>
            <wp:effectExtent l="0" t="0" r="0" b="0"/>
            <wp:docPr id="373" name="Image 373"/>
            <wp:cNvGraphicFramePr>
              <a:graphicFrameLocks/>
            </wp:cNvGraphicFramePr>
            <a:graphic>
              <a:graphicData uri="http://schemas.openxmlformats.org/drawingml/2006/picture">
                <pic:pic>
                  <pic:nvPicPr>
                    <pic:cNvPr id="373" name="Image 37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list in the Navigator toolbar and select the Navigator view you want to open.</w:t>
      </w:r>
    </w:p>
    <w:p>
      <w:pPr>
        <w:pStyle w:val="BodyText"/>
        <w:spacing w:line="255" w:lineRule="exact" w:before="35"/>
        <w:ind w:left="2232"/>
      </w:pPr>
      <w:r>
        <w:rPr>
          <w:rFonts w:ascii="Futura MdCn BT"/>
          <w:color w:val="231F20"/>
        </w:rPr>
        <w:t>v</w:t>
      </w:r>
      <w:r>
        <w:rPr>
          <w:rFonts w:ascii="Futura MdCn BT"/>
          <w:color w:val="231F20"/>
          <w:spacing w:val="80"/>
          <w:w w:val="150"/>
        </w:rPr>
        <w:t> </w:t>
      </w:r>
      <w:r>
        <w:rPr>
          <w:color w:val="231F20"/>
        </w:rPr>
        <w:t>If</w:t>
      </w:r>
      <w:r>
        <w:rPr>
          <w:color w:val="231F20"/>
          <w:spacing w:val="13"/>
        </w:rPr>
        <w:t> </w:t>
      </w:r>
      <w:r>
        <w:rPr>
          <w:color w:val="231F20"/>
        </w:rPr>
        <w:t>the</w:t>
      </w:r>
      <w:r>
        <w:rPr>
          <w:color w:val="231F20"/>
          <w:spacing w:val="13"/>
        </w:rPr>
        <w:t> </w:t>
      </w:r>
      <w:r>
        <w:rPr>
          <w:color w:val="231F20"/>
        </w:rPr>
        <w:t>Navigator</w:t>
      </w:r>
      <w:r>
        <w:rPr>
          <w:color w:val="231F20"/>
          <w:spacing w:val="13"/>
        </w:rPr>
        <w:t> </w:t>
      </w:r>
      <w:r>
        <w:rPr>
          <w:color w:val="231F20"/>
        </w:rPr>
        <w:t>is</w:t>
      </w:r>
      <w:r>
        <w:rPr>
          <w:color w:val="231F20"/>
          <w:spacing w:val="13"/>
        </w:rPr>
        <w:t> </w:t>
      </w:r>
      <w:r>
        <w:rPr>
          <w:color w:val="231F20"/>
        </w:rPr>
        <w:t>not</w:t>
      </w:r>
      <w:r>
        <w:rPr>
          <w:color w:val="231F20"/>
          <w:spacing w:val="13"/>
        </w:rPr>
        <w:t> </w:t>
      </w:r>
      <w:r>
        <w:rPr>
          <w:color w:val="231F20"/>
        </w:rPr>
        <w:t>displayed</w:t>
      </w:r>
      <w:r>
        <w:rPr>
          <w:color w:val="231F20"/>
          <w:spacing w:val="13"/>
        </w:rPr>
        <w:t> </w:t>
      </w:r>
      <w:r>
        <w:rPr>
          <w:color w:val="231F20"/>
        </w:rPr>
        <w:t>because</w:t>
      </w:r>
      <w:r>
        <w:rPr>
          <w:color w:val="231F20"/>
          <w:spacing w:val="13"/>
        </w:rPr>
        <w:t> </w:t>
      </w:r>
      <w:r>
        <w:rPr>
          <w:color w:val="231F20"/>
        </w:rPr>
        <w:t>it</w:t>
      </w:r>
      <w:r>
        <w:rPr>
          <w:color w:val="231F20"/>
          <w:spacing w:val="13"/>
        </w:rPr>
        <w:t> </w:t>
      </w:r>
      <w:r>
        <w:rPr>
          <w:color w:val="231F20"/>
        </w:rPr>
        <w:t>is</w:t>
      </w:r>
      <w:r>
        <w:rPr>
          <w:color w:val="231F20"/>
          <w:spacing w:val="13"/>
        </w:rPr>
        <w:t> </w:t>
      </w:r>
      <w:r>
        <w:rPr>
          <w:color w:val="231F20"/>
        </w:rPr>
        <w:t>collapsed,</w:t>
      </w:r>
      <w:r>
        <w:rPr>
          <w:color w:val="231F20"/>
          <w:spacing w:val="13"/>
        </w:rPr>
        <w:t> </w:t>
      </w:r>
      <w:r>
        <w:rPr>
          <w:color w:val="231F20"/>
        </w:rPr>
        <w:t>you</w:t>
      </w:r>
      <w:r>
        <w:rPr>
          <w:color w:val="231F20"/>
          <w:spacing w:val="13"/>
        </w:rPr>
        <w:t> </w:t>
      </w:r>
      <w:r>
        <w:rPr>
          <w:color w:val="231F20"/>
        </w:rPr>
        <w:t>can</w:t>
      </w:r>
      <w:r>
        <w:rPr>
          <w:color w:val="231F20"/>
          <w:spacing w:val="13"/>
        </w:rPr>
        <w:t> </w:t>
      </w:r>
      <w:r>
        <w:rPr>
          <w:color w:val="231F20"/>
        </w:rPr>
        <w:t>right-click</w:t>
      </w:r>
      <w:r>
        <w:rPr>
          <w:color w:val="231F20"/>
          <w:spacing w:val="11"/>
        </w:rPr>
        <w:t> </w:t>
      </w:r>
      <w:r>
        <w:rPr>
          <w:color w:val="231F20"/>
          <w:spacing w:val="14"/>
          <w:position w:val="-1"/>
        </w:rPr>
        <w:drawing>
          <wp:inline distT="0" distB="0" distL="0" distR="0">
            <wp:extent cx="101600" cy="88900"/>
            <wp:effectExtent l="0" t="0" r="0" b="0"/>
            <wp:docPr id="374" name="Image 374"/>
            <wp:cNvGraphicFramePr>
              <a:graphicFrameLocks/>
            </wp:cNvGraphicFramePr>
            <a:graphic>
              <a:graphicData uri="http://schemas.openxmlformats.org/drawingml/2006/picture">
                <pic:pic>
                  <pic:nvPicPr>
                    <pic:cNvPr id="374" name="Image 374"/>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4"/>
          <w:position w:val="-1"/>
        </w:rPr>
      </w:r>
    </w:p>
    <w:p>
      <w:pPr>
        <w:pStyle w:val="BodyText"/>
        <w:spacing w:line="213" w:lineRule="auto" w:before="8"/>
        <w:ind w:left="2448" w:right="636"/>
      </w:pPr>
      <w:r>
        <w:rPr>
          <w:rFonts w:ascii="Book Antiqua"/>
          <w:i/>
          <w:color w:val="231F20"/>
        </w:rPr>
        <w:t>&lt;Navigator name&gt; </w:t>
      </w:r>
      <w:r>
        <w:rPr>
          <w:color w:val="231F20"/>
        </w:rPr>
        <w:t>in the right-most section of the status bar to see and </w:t>
      </w:r>
      <w:r>
        <w:rPr>
          <w:color w:val="231F20"/>
        </w:rPr>
        <w:t>select from a list of available Navigator views.</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385"/>
      </w:pPr>
      <w:r>
        <w:rPr>
          <w:color w:val="231F20"/>
        </w:rPr>
        <w:t>If</w:t>
      </w:r>
      <w:r>
        <w:rPr>
          <w:color w:val="231F20"/>
          <w:spacing w:val="20"/>
        </w:rPr>
        <w:t> </w:t>
      </w:r>
      <w:r>
        <w:rPr>
          <w:color w:val="231F20"/>
        </w:rPr>
        <w:t>you</w:t>
      </w:r>
      <w:r>
        <w:rPr>
          <w:color w:val="231F20"/>
          <w:spacing w:val="20"/>
        </w:rPr>
        <w:t> </w:t>
      </w:r>
      <w:r>
        <w:rPr>
          <w:color w:val="231F20"/>
        </w:rPr>
        <w:t>do</w:t>
      </w:r>
      <w:r>
        <w:rPr>
          <w:color w:val="231F20"/>
          <w:spacing w:val="20"/>
        </w:rPr>
        <w:t> </w:t>
      </w:r>
      <w:r>
        <w:rPr>
          <w:color w:val="231F20"/>
        </w:rPr>
        <w:t>not</w:t>
      </w:r>
      <w:r>
        <w:rPr>
          <w:color w:val="231F20"/>
          <w:spacing w:val="20"/>
        </w:rPr>
        <w:t> </w:t>
      </w:r>
      <w:r>
        <w:rPr>
          <w:color w:val="231F20"/>
        </w:rPr>
        <w:t>see</w:t>
      </w:r>
      <w:r>
        <w:rPr>
          <w:color w:val="231F20"/>
          <w:spacing w:val="20"/>
        </w:rPr>
        <w:t> </w:t>
      </w:r>
      <w:r>
        <w:rPr>
          <w:color w:val="231F20"/>
        </w:rPr>
        <w:t>the</w:t>
      </w:r>
      <w:r>
        <w:rPr>
          <w:color w:val="231F20"/>
          <w:spacing w:val="20"/>
        </w:rPr>
        <w:t> </w:t>
      </w:r>
      <w:r>
        <w:rPr>
          <w:color w:val="231F20"/>
        </w:rPr>
        <w:t>Navigator</w:t>
      </w:r>
      <w:r>
        <w:rPr>
          <w:color w:val="231F20"/>
          <w:spacing w:val="20"/>
        </w:rPr>
        <w:t> </w:t>
      </w:r>
      <w:r>
        <w:rPr>
          <w:color w:val="231F20"/>
        </w:rPr>
        <w:t>view</w:t>
      </w:r>
      <w:r>
        <w:rPr>
          <w:color w:val="231F20"/>
          <w:spacing w:val="20"/>
        </w:rPr>
        <w:t> </w:t>
      </w:r>
      <w:r>
        <w:rPr>
          <w:color w:val="231F20"/>
        </w:rPr>
        <w:t>you</w:t>
      </w:r>
      <w:r>
        <w:rPr>
          <w:color w:val="231F20"/>
          <w:spacing w:val="20"/>
        </w:rPr>
        <w:t> </w:t>
      </w:r>
      <w:r>
        <w:rPr>
          <w:color w:val="231F20"/>
        </w:rPr>
        <w:t>are</w:t>
      </w:r>
      <w:r>
        <w:rPr>
          <w:color w:val="231F20"/>
          <w:spacing w:val="20"/>
        </w:rPr>
        <w:t> </w:t>
      </w:r>
      <w:r>
        <w:rPr>
          <w:color w:val="231F20"/>
        </w:rPr>
        <w:t>looking</w:t>
      </w:r>
      <w:r>
        <w:rPr>
          <w:color w:val="231F20"/>
          <w:spacing w:val="20"/>
        </w:rPr>
        <w:t> </w:t>
      </w:r>
      <w:r>
        <w:rPr>
          <w:color w:val="231F20"/>
        </w:rPr>
        <w:t>for,</w:t>
      </w:r>
      <w:r>
        <w:rPr>
          <w:color w:val="231F20"/>
          <w:spacing w:val="20"/>
        </w:rPr>
        <w:t> </w:t>
      </w:r>
      <w:r>
        <w:rPr>
          <w:color w:val="231F20"/>
        </w:rPr>
        <w:t>it</w:t>
      </w:r>
      <w:r>
        <w:rPr>
          <w:color w:val="231F20"/>
          <w:spacing w:val="20"/>
        </w:rPr>
        <w:t> </w:t>
      </w:r>
      <w:r>
        <w:rPr>
          <w:color w:val="231F20"/>
        </w:rPr>
        <w:t>is</w:t>
      </w:r>
      <w:r>
        <w:rPr>
          <w:color w:val="231F20"/>
          <w:spacing w:val="20"/>
        </w:rPr>
        <w:t> </w:t>
      </w:r>
      <w:r>
        <w:rPr>
          <w:color w:val="231F20"/>
        </w:rPr>
        <w:t>possible</w:t>
      </w:r>
      <w:r>
        <w:rPr>
          <w:color w:val="231F20"/>
          <w:spacing w:val="20"/>
        </w:rPr>
        <w:t> </w:t>
      </w:r>
      <w:r>
        <w:rPr>
          <w:color w:val="231F20"/>
        </w:rPr>
        <w:t>your</w:t>
      </w:r>
      <w:r>
        <w:rPr>
          <w:color w:val="231F20"/>
          <w:spacing w:val="20"/>
        </w:rPr>
        <w:t> </w:t>
      </w:r>
      <w:r>
        <w:rPr>
          <w:color w:val="231F20"/>
        </w:rPr>
        <w:t>user ID does not have the authority to access this Navigator view. Ask your IBM Tivoli Monitoring administrator.</w:t>
      </w:r>
    </w:p>
    <w:p>
      <w:pPr>
        <w:spacing w:after="0" w:line="213" w:lineRule="auto"/>
        <w:sectPr>
          <w:pgSz w:w="12240" w:h="15840"/>
          <w:pgMar w:header="0" w:footer="736" w:top="1300" w:bottom="920" w:left="1000" w:right="1060"/>
        </w:sectPr>
      </w:pPr>
    </w:p>
    <w:p>
      <w:pPr>
        <w:pStyle w:val="BodyText"/>
        <w:spacing w:line="213" w:lineRule="auto" w:before="85"/>
        <w:ind w:left="2472" w:right="545"/>
      </w:pPr>
      <w:bookmarkStart w:name="_bookmark19" w:id="47"/>
      <w:bookmarkEnd w:id="47"/>
      <w:r>
        <w:rPr/>
      </w:r>
      <w:r>
        <w:rPr>
          <w:color w:val="231F20"/>
        </w:rPr>
        <w:t>If there are many Navigator views in the list, you can have them reordered through the </w:t>
      </w:r>
      <w:r>
        <w:rPr>
          <w:rFonts w:ascii="Book Antiqua"/>
          <w:b/>
          <w:color w:val="231F20"/>
        </w:rPr>
        <w:t>Navigator Views </w:t>
      </w:r>
      <w:r>
        <w:rPr>
          <w:color w:val="231F20"/>
        </w:rPr>
        <w:t>tab of the Administer Users window.</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274">
        <w:r>
          <w:rPr>
            <w:color w:val="231F20"/>
          </w:rPr>
          <w:t>“Adding</w:t>
        </w:r>
        <w:r>
          <w:rPr>
            <w:color w:val="231F20"/>
            <w:spacing w:val="12"/>
          </w:rPr>
          <w:t> </w:t>
        </w:r>
        <w:r>
          <w:rPr>
            <w:color w:val="231F20"/>
          </w:rPr>
          <w:t>a</w:t>
        </w:r>
        <w:r>
          <w:rPr>
            <w:color w:val="231F20"/>
            <w:spacing w:val="12"/>
          </w:rPr>
          <w:t> </w:t>
        </w:r>
        <w:r>
          <w:rPr>
            <w:color w:val="231F20"/>
          </w:rPr>
          <w:t>user</w:t>
        </w:r>
        <w:r>
          <w:rPr>
            <w:color w:val="231F20"/>
            <w:spacing w:val="12"/>
          </w:rPr>
          <w:t> </w:t>
        </w:r>
        <w:r>
          <w:rPr>
            <w:color w:val="231F20"/>
          </w:rPr>
          <w:t>ID”</w:t>
        </w:r>
        <w:r>
          <w:rPr>
            <w:color w:val="231F20"/>
            <w:spacing w:val="13"/>
          </w:rPr>
          <w:t> </w:t>
        </w:r>
        <w:r>
          <w:rPr>
            <w:color w:val="231F20"/>
          </w:rPr>
          <w:t>on</w:t>
        </w:r>
        <w:r>
          <w:rPr>
            <w:color w:val="231F20"/>
            <w:spacing w:val="12"/>
          </w:rPr>
          <w:t> </w:t>
        </w:r>
        <w:r>
          <w:rPr>
            <w:color w:val="231F20"/>
          </w:rPr>
          <w:t>page</w:t>
        </w:r>
        <w:r>
          <w:rPr>
            <w:color w:val="231F20"/>
            <w:spacing w:val="12"/>
          </w:rPr>
          <w:t> </w:t>
        </w:r>
        <w:r>
          <w:rPr>
            <w:color w:val="231F20"/>
            <w:spacing w:val="-5"/>
          </w:rPr>
          <w:t>365</w:t>
        </w:r>
      </w:hyperlink>
    </w:p>
    <w:p>
      <w:pPr>
        <w:pStyle w:val="BodyText"/>
        <w:spacing w:line="213" w:lineRule="auto" w:before="7"/>
        <w:ind w:left="2472" w:right="274"/>
      </w:pPr>
      <w:r>
        <w:rPr>
          <w:color w:val="231F20"/>
        </w:rPr>
        <w:t>Create a user ID for all users that should be able to log onto the Tivoli Enterprise</w:t>
      </w:r>
      <w:r>
        <w:rPr>
          <w:color w:val="231F20"/>
          <w:spacing w:val="40"/>
        </w:rPr>
        <w:t> </w:t>
      </w:r>
      <w:r>
        <w:rPr>
          <w:color w:val="231F20"/>
        </w:rPr>
        <w:t>Portal Server using a portal client or the </w:t>
      </w:r>
      <w:r>
        <w:rPr>
          <w:rFonts w:ascii="Arial"/>
          <w:b/>
          <w:color w:val="231F20"/>
        </w:rPr>
        <w:t>tacmd</w:t>
      </w:r>
      <w:r>
        <w:rPr>
          <w:rFonts w:ascii="Arial"/>
          <w:b/>
          <w:color w:val="231F20"/>
          <w:spacing w:val="-1"/>
        </w:rPr>
        <w:t> </w:t>
      </w:r>
      <w:r>
        <w:rPr>
          <w:rFonts w:ascii="Arial"/>
          <w:b/>
          <w:color w:val="231F20"/>
        </w:rPr>
        <w:t>tepsLogin</w:t>
      </w:r>
      <w:r>
        <w:rPr>
          <w:rFonts w:ascii="Arial"/>
          <w:b/>
          <w:color w:val="231F20"/>
          <w:spacing w:val="-1"/>
        </w:rPr>
        <w:t> </w:t>
      </w:r>
      <w:r>
        <w:rPr>
          <w:color w:val="231F20"/>
        </w:rPr>
        <w:t>command.</w:t>
      </w:r>
      <w:r>
        <w:rPr>
          <w:color w:val="231F20"/>
          <w:spacing w:val="-1"/>
        </w:rPr>
        <w:t> </w:t>
      </w:r>
      <w:r>
        <w:rPr>
          <w:color w:val="231F20"/>
        </w:rPr>
        <w:t>A</w:t>
      </w:r>
      <w:r>
        <w:rPr>
          <w:color w:val="231F20"/>
          <w:spacing w:val="-5"/>
        </w:rPr>
        <w:t> </w:t>
      </w:r>
      <w:r>
        <w:rPr>
          <w:color w:val="231F20"/>
        </w:rPr>
        <w:t>user ID is also required for IBM Dashboard Application Services Hub users who request monitoring data. You can use the default user profile or copy the profile of an existing user.</w:t>
      </w:r>
    </w:p>
    <w:p>
      <w:pPr>
        <w:pStyle w:val="BodyText"/>
        <w:spacing w:before="4"/>
        <w:rPr>
          <w:sz w:val="16"/>
        </w:rPr>
      </w:pPr>
      <w:r>
        <w:rPr/>
        <mc:AlternateContent>
          <mc:Choice Requires="wps">
            <w:drawing>
              <wp:anchor distT="0" distB="0" distL="0" distR="0" allowOverlap="1" layoutInCell="1" locked="0" behindDoc="1" simplePos="0" relativeHeight="487631872">
                <wp:simplePos x="0" y="0"/>
                <wp:positionH relativeFrom="page">
                  <wp:posOffset>912380</wp:posOffset>
                </wp:positionH>
                <wp:positionV relativeFrom="paragraph">
                  <wp:posOffset>155043</wp:posOffset>
                </wp:positionV>
                <wp:extent cx="6082665" cy="1270"/>
                <wp:effectExtent l="0" t="0" r="0" b="0"/>
                <wp:wrapTopAndBottom/>
                <wp:docPr id="375" name="Graphic 375"/>
                <wp:cNvGraphicFramePr>
                  <a:graphicFrameLocks/>
                </wp:cNvGraphicFramePr>
                <a:graphic>
                  <a:graphicData uri="http://schemas.microsoft.com/office/word/2010/wordprocessingShape">
                    <wps:wsp>
                      <wps:cNvPr id="375" name="Graphic 375"/>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08123pt;width:478.95pt;height:.1pt;mso-position-horizontal-relative:page;mso-position-vertical-relative:paragraph;z-index:-15684608;mso-wrap-distance-left:0;mso-wrap-distance-right:0" id="docshape60"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Refreshing the Navigator" w:id="48"/>
      <w:bookmarkEnd w:id="48"/>
      <w:r>
        <w:rPr>
          <w:b w:val="0"/>
        </w:rPr>
      </w:r>
      <w:r>
        <w:rPr>
          <w:color w:val="231F20"/>
        </w:rPr>
        <w:t>Refreshing</w:t>
      </w:r>
      <w:r>
        <w:rPr>
          <w:color w:val="231F20"/>
          <w:spacing w:val="5"/>
        </w:rPr>
        <w:t> </w:t>
      </w:r>
      <w:r>
        <w:rPr>
          <w:color w:val="231F20"/>
        </w:rPr>
        <w:t>the</w:t>
      </w:r>
      <w:r>
        <w:rPr>
          <w:color w:val="231F20"/>
          <w:spacing w:val="6"/>
        </w:rPr>
        <w:t> </w:t>
      </w:r>
      <w:r>
        <w:rPr>
          <w:color w:val="231F20"/>
          <w:spacing w:val="-2"/>
        </w:rPr>
        <w:t>Navigator</w:t>
      </w:r>
    </w:p>
    <w:p>
      <w:pPr>
        <w:pStyle w:val="BodyText"/>
        <w:spacing w:line="213" w:lineRule="auto" w:before="138"/>
        <w:ind w:left="2472" w:right="258"/>
      </w:pPr>
      <w:r>
        <w:rPr>
          <w:color w:val="231F20"/>
        </w:rPr>
        <w:t>The Navigator refreshes automatically whenever the status of agents changes between offline and online. The Navigator does not update automatically when </w:t>
      </w:r>
      <w:r>
        <w:rPr>
          <w:color w:val="231F20"/>
        </w:rPr>
        <w:t>an agent</w:t>
      </w:r>
      <w:r>
        <w:rPr>
          <w:color w:val="231F20"/>
          <w:spacing w:val="25"/>
        </w:rPr>
        <w:t> </w:t>
      </w:r>
      <w:r>
        <w:rPr>
          <w:color w:val="231F20"/>
        </w:rPr>
        <w:t>is</w:t>
      </w:r>
      <w:r>
        <w:rPr>
          <w:color w:val="231F20"/>
          <w:spacing w:val="25"/>
        </w:rPr>
        <w:t> </w:t>
      </w:r>
      <w:r>
        <w:rPr>
          <w:color w:val="231F20"/>
        </w:rPr>
        <w:t>removed</w:t>
      </w:r>
      <w:r>
        <w:rPr>
          <w:color w:val="231F20"/>
          <w:spacing w:val="25"/>
        </w:rPr>
        <w:t> </w:t>
      </w:r>
      <w:r>
        <w:rPr>
          <w:color w:val="231F20"/>
        </w:rPr>
        <w:t>from</w:t>
      </w:r>
      <w:r>
        <w:rPr>
          <w:color w:val="231F20"/>
          <w:spacing w:val="25"/>
        </w:rPr>
        <w:t> </w:t>
      </w:r>
      <w:r>
        <w:rPr>
          <w:color w:val="231F20"/>
        </w:rPr>
        <w:t>or</w:t>
      </w:r>
      <w:r>
        <w:rPr>
          <w:color w:val="231F20"/>
          <w:spacing w:val="25"/>
        </w:rPr>
        <w:t> </w:t>
      </w:r>
      <w:r>
        <w:rPr>
          <w:color w:val="231F20"/>
        </w:rPr>
        <w:t>a</w:t>
      </w:r>
      <w:r>
        <w:rPr>
          <w:color w:val="231F20"/>
          <w:spacing w:val="25"/>
        </w:rPr>
        <w:t> </w:t>
      </w:r>
      <w:r>
        <w:rPr>
          <w:color w:val="231F20"/>
        </w:rPr>
        <w:t>new</w:t>
      </w:r>
      <w:r>
        <w:rPr>
          <w:color w:val="231F20"/>
          <w:spacing w:val="25"/>
        </w:rPr>
        <w:t> </w:t>
      </w:r>
      <w:r>
        <w:rPr>
          <w:color w:val="231F20"/>
        </w:rPr>
        <w:t>agent</w:t>
      </w:r>
      <w:r>
        <w:rPr>
          <w:color w:val="231F20"/>
          <w:spacing w:val="25"/>
        </w:rPr>
        <w:t> </w:t>
      </w:r>
      <w:r>
        <w:rPr>
          <w:color w:val="231F20"/>
        </w:rPr>
        <w:t>is</w:t>
      </w:r>
      <w:r>
        <w:rPr>
          <w:color w:val="231F20"/>
          <w:spacing w:val="25"/>
        </w:rPr>
        <w:t> </w:t>
      </w:r>
      <w:r>
        <w:rPr>
          <w:color w:val="231F20"/>
        </w:rPr>
        <w:t>added</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managed</w:t>
      </w:r>
      <w:r>
        <w:rPr>
          <w:color w:val="231F20"/>
          <w:spacing w:val="25"/>
        </w:rPr>
        <w:t> </w:t>
      </w:r>
      <w:r>
        <w:rPr>
          <w:color w:val="231F20"/>
        </w:rPr>
        <w:t>network.</w:t>
      </w:r>
      <w:r>
        <w:rPr>
          <w:color w:val="231F20"/>
          <w:spacing w:val="25"/>
        </w:rPr>
        <w:t> </w:t>
      </w:r>
      <w:r>
        <w:rPr>
          <w:color w:val="231F20"/>
        </w:rPr>
        <w:t>When the tool is enabled, click </w:t>
      </w:r>
      <w:r>
        <w:rPr>
          <w:color w:val="231F20"/>
          <w:spacing w:val="-25"/>
          <w:position w:val="-1"/>
        </w:rPr>
        <w:drawing>
          <wp:inline distT="0" distB="0" distL="0" distR="0">
            <wp:extent cx="95250" cy="101600"/>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Apply pending updates </w:t>
      </w:r>
      <w:r>
        <w:rPr>
          <w:color w:val="231F20"/>
        </w:rPr>
        <w:t>to manually refresh the </w:t>
      </w:r>
      <w:r>
        <w:rPr>
          <w:color w:val="231F20"/>
          <w:spacing w:val="-2"/>
        </w:rPr>
        <w:t>Navigator.</w:t>
      </w:r>
    </w:p>
    <w:p>
      <w:pPr>
        <w:pStyle w:val="Heading4"/>
        <w:spacing w:before="198"/>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74"/>
      </w:pPr>
      <w:r>
        <w:rPr>
          <w:color w:val="231F20"/>
        </w:rPr>
        <w:t>If an agent name is dimmed (grayed out), the agent has stopped or is not</w:t>
      </w:r>
      <w:r>
        <w:rPr>
          <w:color w:val="231F20"/>
          <w:spacing w:val="40"/>
        </w:rPr>
        <w:t> </w:t>
      </w:r>
      <w:r>
        <w:rPr>
          <w:color w:val="231F20"/>
        </w:rPr>
        <w:t>responding. It might also indicate that Tivoli Enterprise Portal has timed out </w:t>
      </w:r>
      <w:r>
        <w:rPr>
          <w:color w:val="231F20"/>
        </w:rPr>
        <w:t>before detecting the availability of the agent.</w:t>
      </w:r>
    </w:p>
    <w:p>
      <w:pPr>
        <w:pStyle w:val="BodyText"/>
        <w:spacing w:line="213" w:lineRule="auto" w:before="238"/>
        <w:ind w:left="2472" w:right="274"/>
      </w:pPr>
      <w:r>
        <w:rPr>
          <w:color w:val="231F20"/>
        </w:rPr>
        <w:t>For custom Navigator views,</w:t>
      </w:r>
      <w:r>
        <w:rPr>
          <w:color w:val="231F20"/>
          <w:spacing w:val="38"/>
        </w:rPr>
        <w:t> </w:t>
      </w:r>
      <w:r>
        <w:rPr>
          <w:color w:val="231F20"/>
          <w:spacing w:val="-25"/>
          <w:position w:val="-1"/>
        </w:rPr>
        <w:drawing>
          <wp:inline distT="0" distB="0" distL="0" distR="0">
            <wp:extent cx="95250" cy="101600"/>
            <wp:effectExtent l="0" t="0" r="0" b="0"/>
            <wp:docPr id="377" name="Image 377"/>
            <wp:cNvGraphicFramePr>
              <a:graphicFrameLocks/>
            </wp:cNvGraphicFramePr>
            <a:graphic>
              <a:graphicData uri="http://schemas.openxmlformats.org/drawingml/2006/picture">
                <pic:pic>
                  <pic:nvPicPr>
                    <pic:cNvPr id="377" name="Image 377"/>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Apply pending updates </w:t>
      </w:r>
      <w:r>
        <w:rPr>
          <w:color w:val="231F20"/>
        </w:rPr>
        <w:t>is enabled in the</w:t>
      </w:r>
      <w:r>
        <w:rPr>
          <w:color w:val="231F20"/>
          <w:spacing w:val="40"/>
        </w:rPr>
        <w:t> </w:t>
      </w:r>
      <w:r>
        <w:rPr>
          <w:color w:val="231F20"/>
        </w:rPr>
        <w:t>Navigator toolbar whenever you have edited the view in the Navigator editor (added, removed, or renamed items). The tool is not enabled in the Navigator </w:t>
      </w:r>
      <w:r>
        <w:rPr>
          <w:color w:val="231F20"/>
        </w:rPr>
        <w:t>view when an agent has been removed from the Tivoli Enterprise Monitoring Server. In these</w:t>
      </w:r>
      <w:r>
        <w:rPr>
          <w:color w:val="231F20"/>
          <w:spacing w:val="24"/>
        </w:rPr>
        <w:t> </w:t>
      </w:r>
      <w:r>
        <w:rPr>
          <w:color w:val="231F20"/>
        </w:rPr>
        <w:t>cases,</w:t>
      </w:r>
      <w:r>
        <w:rPr>
          <w:color w:val="231F20"/>
          <w:spacing w:val="24"/>
        </w:rPr>
        <w:t> </w:t>
      </w:r>
      <w:r>
        <w:rPr>
          <w:color w:val="231F20"/>
        </w:rPr>
        <w:t>the</w:t>
      </w:r>
      <w:r>
        <w:rPr>
          <w:color w:val="231F20"/>
          <w:spacing w:val="24"/>
        </w:rPr>
        <w:t> </w:t>
      </w:r>
      <w:r>
        <w:rPr>
          <w:color w:val="231F20"/>
        </w:rPr>
        <w:t>agent</w:t>
      </w:r>
      <w:r>
        <w:rPr>
          <w:color w:val="231F20"/>
          <w:spacing w:val="24"/>
        </w:rPr>
        <w:t> </w:t>
      </w:r>
      <w:r>
        <w:rPr>
          <w:color w:val="231F20"/>
        </w:rPr>
        <w:t>appears</w:t>
      </w:r>
      <w:r>
        <w:rPr>
          <w:color w:val="231F20"/>
          <w:spacing w:val="24"/>
        </w:rPr>
        <w:t> </w:t>
      </w:r>
      <w:r>
        <w:rPr>
          <w:color w:val="231F20"/>
        </w:rPr>
        <w:t>to</w:t>
      </w:r>
      <w:r>
        <w:rPr>
          <w:color w:val="231F20"/>
          <w:spacing w:val="24"/>
        </w:rPr>
        <w:t> </w:t>
      </w:r>
      <w:r>
        <w:rPr>
          <w:color w:val="231F20"/>
        </w:rPr>
        <w:t>be</w:t>
      </w:r>
      <w:r>
        <w:rPr>
          <w:color w:val="231F20"/>
          <w:spacing w:val="24"/>
        </w:rPr>
        <w:t> </w:t>
      </w:r>
      <w:r>
        <w:rPr>
          <w:color w:val="231F20"/>
        </w:rPr>
        <w:t>offline.</w:t>
      </w:r>
      <w:r>
        <w:rPr>
          <w:color w:val="231F20"/>
          <w:spacing w:val="24"/>
        </w:rPr>
        <w:t> </w:t>
      </w:r>
      <w:r>
        <w:rPr>
          <w:color w:val="231F20"/>
        </w:rPr>
        <w:t>To</w:t>
      </w:r>
      <w:r>
        <w:rPr>
          <w:color w:val="231F20"/>
          <w:spacing w:val="24"/>
        </w:rPr>
        <w:t> </w:t>
      </w:r>
      <w:r>
        <w:rPr>
          <w:color w:val="231F20"/>
        </w:rPr>
        <w:t>remove</w:t>
      </w:r>
      <w:r>
        <w:rPr>
          <w:color w:val="231F20"/>
          <w:spacing w:val="24"/>
        </w:rPr>
        <w:t> </w:t>
      </w:r>
      <w:r>
        <w:rPr>
          <w:color w:val="231F20"/>
        </w:rPr>
        <w:t>this</w:t>
      </w:r>
      <w:r>
        <w:rPr>
          <w:color w:val="231F20"/>
          <w:spacing w:val="24"/>
        </w:rPr>
        <w:t> </w:t>
      </w:r>
      <w:r>
        <w:rPr>
          <w:color w:val="231F20"/>
        </w:rPr>
        <w:t>agent</w:t>
      </w:r>
      <w:r>
        <w:rPr>
          <w:color w:val="231F20"/>
          <w:spacing w:val="24"/>
        </w:rPr>
        <w:t> </w:t>
      </w:r>
      <w:r>
        <w:rPr>
          <w:color w:val="231F20"/>
        </w:rPr>
        <w:t>from</w:t>
      </w:r>
      <w:r>
        <w:rPr>
          <w:color w:val="231F20"/>
          <w:spacing w:val="24"/>
        </w:rPr>
        <w:t> </w:t>
      </w:r>
      <w:r>
        <w:rPr>
          <w:color w:val="231F20"/>
        </w:rPr>
        <w:t>the Navigator display, delete the Navigator item through the Navigator editor.</w:t>
      </w:r>
    </w:p>
    <w:p>
      <w:pPr>
        <w:pStyle w:val="Heading4"/>
        <w:spacing w:before="197"/>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pPr>
      <w:r>
        <w:rPr>
          <w:color w:val="231F20"/>
        </w:rPr>
        <w:t>A count of changes to the Navigator view is kept as agents are removed from, disabled, or added to the monitoring server. The counter shows as a </w:t>
      </w:r>
      <w:r>
        <w:rPr>
          <w:color w:val="231F20"/>
        </w:rPr>
        <w:t>superscripted number next to the tool (such as</w:t>
      </w:r>
      <w:r>
        <w:rPr>
          <w:color w:val="231F20"/>
          <w:spacing w:val="27"/>
        </w:rPr>
        <w:t> </w:t>
      </w:r>
      <w:r>
        <w:rPr>
          <w:color w:val="231F20"/>
          <w:spacing w:val="-25"/>
          <w:position w:val="-1"/>
        </w:rPr>
        <w:drawing>
          <wp:inline distT="0" distB="0" distL="0" distR="0">
            <wp:extent cx="95250" cy="101600"/>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6"/>
          <w:position w:val="8"/>
        </w:rPr>
        <w:t> </w:t>
      </w:r>
      <w:r>
        <w:rPr>
          <w:color w:val="231F20"/>
          <w:position w:val="8"/>
          <w:vertAlign w:val="superscript"/>
        </w:rPr>
        <w:t>9</w:t>
      </w:r>
      <w:r>
        <w:rPr>
          <w:color w:val="231F20"/>
          <w:position w:val="8"/>
          <w:vertAlign w:val="baseline"/>
        </w:rPr>
        <w:t> </w:t>
      </w:r>
      <w:r>
        <w:rPr>
          <w:color w:val="231F20"/>
          <w:vertAlign w:val="baseline"/>
        </w:rPr>
        <w:t>for nine updates) and in the Navigator view</w:t>
      </w:r>
      <w:r>
        <w:rPr>
          <w:color w:val="231F20"/>
          <w:spacing w:val="40"/>
          <w:vertAlign w:val="baseline"/>
        </w:rPr>
        <w:t> </w:t>
      </w:r>
      <w:r>
        <w:rPr>
          <w:color w:val="231F20"/>
          <w:vertAlign w:val="baseline"/>
        </w:rPr>
        <w:t>status bar. You must refresh the Navigator to show these changes. Take one of the following steps:</w:t>
      </w:r>
    </w:p>
    <w:p>
      <w:pPr>
        <w:pStyle w:val="Heading4"/>
        <w:spacing w:before="198"/>
        <w:ind w:left="2472"/>
      </w:pPr>
      <w:r>
        <w:rPr>
          <w:color w:val="231F20"/>
          <w:spacing w:val="-2"/>
        </w:rPr>
        <w:t>Procedure</w:t>
      </w:r>
    </w:p>
    <w:p>
      <w:pPr>
        <w:spacing w:before="39"/>
        <w:ind w:left="2472"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Click</w:t>
      </w:r>
      <w:r>
        <w:rPr>
          <w:color w:val="231F20"/>
          <w:spacing w:val="23"/>
          <w:sz w:val="20"/>
        </w:rPr>
        <w:t> </w:t>
      </w:r>
      <w:r>
        <w:rPr>
          <w:color w:val="231F20"/>
          <w:spacing w:val="-24"/>
          <w:position w:val="-1"/>
          <w:sz w:val="20"/>
        </w:rPr>
        <w:drawing>
          <wp:inline distT="0" distB="0" distL="0" distR="0">
            <wp:extent cx="95250" cy="101600"/>
            <wp:effectExtent l="0" t="0" r="0" b="0"/>
            <wp:docPr id="379" name="Image 379"/>
            <wp:cNvGraphicFramePr>
              <a:graphicFrameLocks/>
            </wp:cNvGraphicFramePr>
            <a:graphic>
              <a:graphicData uri="http://schemas.openxmlformats.org/drawingml/2006/picture">
                <pic:pic>
                  <pic:nvPicPr>
                    <pic:cNvPr id="379" name="Image 379"/>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7"/>
          <w:w w:val="150"/>
          <w:sz w:val="20"/>
        </w:rPr>
        <w:t> </w:t>
      </w:r>
      <w:r>
        <w:rPr>
          <w:rFonts w:ascii="Book Antiqua"/>
          <w:b/>
          <w:color w:val="231F20"/>
          <w:sz w:val="20"/>
        </w:rPr>
        <w:t>Apply</w:t>
      </w:r>
      <w:r>
        <w:rPr>
          <w:rFonts w:ascii="Book Antiqua"/>
          <w:b/>
          <w:color w:val="231F20"/>
          <w:spacing w:val="13"/>
          <w:sz w:val="20"/>
        </w:rPr>
        <w:t> </w:t>
      </w:r>
      <w:r>
        <w:rPr>
          <w:rFonts w:ascii="Book Antiqua"/>
          <w:b/>
          <w:color w:val="231F20"/>
          <w:sz w:val="20"/>
        </w:rPr>
        <w:t>pending</w:t>
      </w:r>
      <w:r>
        <w:rPr>
          <w:rFonts w:ascii="Book Antiqua"/>
          <w:b/>
          <w:color w:val="231F20"/>
          <w:spacing w:val="13"/>
          <w:sz w:val="20"/>
        </w:rPr>
        <w:t> </w:t>
      </w:r>
      <w:r>
        <w:rPr>
          <w:rFonts w:ascii="Book Antiqua"/>
          <w:b/>
          <w:color w:val="231F20"/>
          <w:sz w:val="20"/>
        </w:rPr>
        <w:t>updates</w:t>
      </w:r>
      <w:r>
        <w:rPr>
          <w:rFonts w:ascii="Book Antiqua"/>
          <w:b/>
          <w:color w:val="231F20"/>
          <w:spacing w:val="12"/>
          <w:sz w:val="20"/>
        </w:rPr>
        <w:t> </w:t>
      </w:r>
      <w:r>
        <w:rPr>
          <w:color w:val="231F20"/>
          <w:sz w:val="20"/>
        </w:rPr>
        <w:t>in</w:t>
      </w:r>
      <w:r>
        <w:rPr>
          <w:color w:val="231F20"/>
          <w:spacing w:val="13"/>
          <w:sz w:val="20"/>
        </w:rPr>
        <w:t> </w:t>
      </w:r>
      <w:r>
        <w:rPr>
          <w:color w:val="231F20"/>
          <w:sz w:val="20"/>
        </w:rPr>
        <w:t>the</w:t>
      </w:r>
      <w:r>
        <w:rPr>
          <w:color w:val="231F20"/>
          <w:spacing w:val="13"/>
          <w:sz w:val="20"/>
        </w:rPr>
        <w:t> </w:t>
      </w:r>
      <w:r>
        <w:rPr>
          <w:color w:val="231F20"/>
          <w:sz w:val="20"/>
        </w:rPr>
        <w:t>Navigator</w:t>
      </w:r>
      <w:r>
        <w:rPr>
          <w:color w:val="231F20"/>
          <w:spacing w:val="12"/>
          <w:sz w:val="20"/>
        </w:rPr>
        <w:t> </w:t>
      </w:r>
      <w:r>
        <w:rPr>
          <w:color w:val="231F20"/>
          <w:spacing w:val="-2"/>
          <w:sz w:val="20"/>
        </w:rPr>
        <w:t>toolbar.</w:t>
      </w:r>
    </w:p>
    <w:p>
      <w:pPr>
        <w:spacing w:before="29"/>
        <w:ind w:left="2472"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6"/>
          <w:w w:val="150"/>
          <w:sz w:val="20"/>
        </w:rPr>
        <w:t> </w:t>
      </w:r>
      <w:r>
        <w:rPr>
          <w:rFonts w:ascii="Book Antiqua"/>
          <w:b/>
          <w:color w:val="231F20"/>
          <w:sz w:val="20"/>
        </w:rPr>
        <w:t>Navigator</w:t>
      </w:r>
      <w:r>
        <w:rPr>
          <w:rFonts w:ascii="Book Antiqua"/>
          <w:b/>
          <w:color w:val="231F20"/>
          <w:spacing w:val="13"/>
          <w:sz w:val="20"/>
        </w:rPr>
        <w:t> </w:t>
      </w:r>
      <w:r>
        <w:rPr>
          <w:rFonts w:ascii="Book Antiqua"/>
          <w:b/>
          <w:color w:val="231F20"/>
          <w:sz w:val="20"/>
        </w:rPr>
        <w:t>update</w:t>
      </w:r>
      <w:r>
        <w:rPr>
          <w:rFonts w:ascii="Book Antiqua"/>
          <w:b/>
          <w:color w:val="231F20"/>
          <w:spacing w:val="12"/>
          <w:sz w:val="20"/>
        </w:rPr>
        <w:t> </w:t>
      </w:r>
      <w:r>
        <w:rPr>
          <w:rFonts w:ascii="Book Antiqua"/>
          <w:b/>
          <w:color w:val="231F20"/>
          <w:sz w:val="20"/>
        </w:rPr>
        <w:t>pending</w:t>
      </w:r>
      <w:r>
        <w:rPr>
          <w:rFonts w:ascii="Book Antiqua"/>
          <w:b/>
          <w:color w:val="231F20"/>
          <w:spacing w:val="12"/>
          <w:sz w:val="20"/>
        </w:rPr>
        <w:t> </w:t>
      </w:r>
      <w:r>
        <w:rPr>
          <w:color w:val="231F20"/>
          <w:sz w:val="20"/>
        </w:rPr>
        <w:t>in</w:t>
      </w:r>
      <w:r>
        <w:rPr>
          <w:color w:val="231F20"/>
          <w:spacing w:val="13"/>
          <w:sz w:val="20"/>
        </w:rPr>
        <w:t> </w:t>
      </w:r>
      <w:r>
        <w:rPr>
          <w:color w:val="231F20"/>
          <w:sz w:val="20"/>
        </w:rPr>
        <w:t>the</w:t>
      </w:r>
      <w:r>
        <w:rPr>
          <w:color w:val="231F20"/>
          <w:spacing w:val="12"/>
          <w:sz w:val="20"/>
        </w:rPr>
        <w:t> </w:t>
      </w:r>
      <w:r>
        <w:rPr>
          <w:color w:val="231F20"/>
          <w:sz w:val="20"/>
        </w:rPr>
        <w:t>Navigator</w:t>
      </w:r>
      <w:r>
        <w:rPr>
          <w:color w:val="231F20"/>
          <w:spacing w:val="12"/>
          <w:sz w:val="20"/>
        </w:rPr>
        <w:t> </w:t>
      </w:r>
      <w:r>
        <w:rPr>
          <w:color w:val="231F20"/>
          <w:sz w:val="20"/>
        </w:rPr>
        <w:t>status</w:t>
      </w:r>
      <w:r>
        <w:rPr>
          <w:color w:val="231F20"/>
          <w:spacing w:val="12"/>
          <w:sz w:val="20"/>
        </w:rPr>
        <w:t> </w:t>
      </w:r>
      <w:r>
        <w:rPr>
          <w:color w:val="231F20"/>
          <w:spacing w:val="-4"/>
          <w:sz w:val="20"/>
        </w:rPr>
        <w:t>bar.</w:t>
      </w:r>
    </w:p>
    <w:p>
      <w:pPr>
        <w:pStyle w:val="Heading4"/>
        <w:spacing w:before="194"/>
        <w:ind w:left="2472"/>
      </w:pPr>
      <w:r>
        <w:rPr>
          <w:color w:val="231F20"/>
          <w:spacing w:val="-2"/>
        </w:rPr>
        <w:t>Results</w:t>
      </w:r>
    </w:p>
    <w:p>
      <w:pPr>
        <w:pStyle w:val="BodyText"/>
        <w:spacing w:line="213" w:lineRule="auto" w:before="241"/>
        <w:ind w:left="2472" w:right="258"/>
      </w:pPr>
      <w:r>
        <w:rPr>
          <w:color w:val="231F20"/>
        </w:rPr>
        <w:t>The agent status is updated in the Navigator. (You might not see any change if the branch containing the agent is</w:t>
      </w:r>
      <w:r>
        <w:rPr>
          <w:color w:val="231F20"/>
          <w:spacing w:val="40"/>
        </w:rPr>
        <w:t> </w:t>
      </w:r>
      <w:r>
        <w:rPr>
          <w:color w:val="231F20"/>
          <w:spacing w:val="5"/>
        </w:rPr>
        <w:drawing>
          <wp:inline distT="0" distB="0" distL="0" distR="0">
            <wp:extent cx="69850" cy="69850"/>
            <wp:effectExtent l="0" t="0" r="0" b="0"/>
            <wp:docPr id="381" name="Image 381"/>
            <wp:cNvGraphicFramePr>
              <a:graphicFrameLocks/>
            </wp:cNvGraphicFramePr>
            <a:graphic>
              <a:graphicData uri="http://schemas.openxmlformats.org/drawingml/2006/picture">
                <pic:pic>
                  <pic:nvPicPr>
                    <pic:cNvPr id="381" name="Image 38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rPr>
        <w:t> </w:t>
      </w:r>
      <w:r>
        <w:rPr>
          <w:color w:val="231F20"/>
        </w:rPr>
        <w:t>collapsed.) The tool is disabled until the another status change is detected, at which time the counter starts again. If the workspace</w:t>
      </w:r>
      <w:r>
        <w:rPr>
          <w:color w:val="231F20"/>
          <w:spacing w:val="40"/>
        </w:rPr>
        <w:t> </w:t>
      </w:r>
      <w:r>
        <w:rPr>
          <w:color w:val="231F20"/>
        </w:rPr>
        <w:t>has automatic refresh turned on, the Navigator is updated at the end of the refresh </w:t>
      </w:r>
      <w:r>
        <w:rPr>
          <w:color w:val="231F20"/>
          <w:spacing w:val="-2"/>
        </w:rPr>
        <w:t>interval.</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20" w:id="49"/>
      <w:bookmarkEnd w:id="49"/>
      <w:r>
        <w:rPr/>
      </w:r>
      <w:r>
        <w:rPr>
          <w:sz w:val="2"/>
        </w:rPr>
        <mc:AlternateContent>
          <mc:Choice Requires="wps">
            <w:drawing>
              <wp:inline distT="0" distB="0" distL="0" distR="0">
                <wp:extent cx="6082665" cy="6350"/>
                <wp:effectExtent l="9525" t="0" r="0" b="3175"/>
                <wp:docPr id="382" name="Group 382"/>
                <wp:cNvGraphicFramePr>
                  <a:graphicFrameLocks/>
                </wp:cNvGraphicFramePr>
                <a:graphic>
                  <a:graphicData uri="http://schemas.microsoft.com/office/word/2010/wordprocessingGroup">
                    <wpg:wgp>
                      <wpg:cNvPr id="382" name="Group 382"/>
                      <wpg:cNvGrpSpPr/>
                      <wpg:grpSpPr>
                        <a:xfrm>
                          <a:off x="0" y="0"/>
                          <a:ext cx="6082665" cy="6350"/>
                          <a:chExt cx="6082665" cy="6350"/>
                        </a:xfrm>
                      </wpg:grpSpPr>
                      <wps:wsp>
                        <wps:cNvPr id="383" name="Graphic 383"/>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61"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Responding to an application support eve" w:id="50"/>
      <w:bookmarkEnd w:id="50"/>
      <w:r>
        <w:rPr>
          <w:b w:val="0"/>
        </w:rPr>
      </w:r>
      <w:r>
        <w:rPr>
          <w:color w:val="231F20"/>
        </w:rPr>
        <w:t>Responding</w:t>
      </w:r>
      <w:r>
        <w:rPr>
          <w:color w:val="231F20"/>
          <w:spacing w:val="5"/>
        </w:rPr>
        <w:t> </w:t>
      </w:r>
      <w:r>
        <w:rPr>
          <w:color w:val="231F20"/>
        </w:rPr>
        <w:t>to</w:t>
      </w:r>
      <w:r>
        <w:rPr>
          <w:color w:val="231F20"/>
          <w:spacing w:val="6"/>
        </w:rPr>
        <w:t> </w:t>
      </w:r>
      <w:r>
        <w:rPr>
          <w:color w:val="231F20"/>
        </w:rPr>
        <w:t>an</w:t>
      </w:r>
      <w:r>
        <w:rPr>
          <w:color w:val="231F20"/>
          <w:spacing w:val="5"/>
        </w:rPr>
        <w:t> </w:t>
      </w:r>
      <w:r>
        <w:rPr>
          <w:color w:val="231F20"/>
        </w:rPr>
        <w:t>application</w:t>
      </w:r>
      <w:r>
        <w:rPr>
          <w:color w:val="231F20"/>
          <w:spacing w:val="6"/>
        </w:rPr>
        <w:t> </w:t>
      </w:r>
      <w:r>
        <w:rPr>
          <w:color w:val="231F20"/>
        </w:rPr>
        <w:t>support</w:t>
      </w:r>
      <w:r>
        <w:rPr>
          <w:color w:val="231F20"/>
          <w:spacing w:val="5"/>
        </w:rPr>
        <w:t> </w:t>
      </w:r>
      <w:r>
        <w:rPr>
          <w:color w:val="231F20"/>
          <w:spacing w:val="-2"/>
        </w:rPr>
        <w:t>event</w:t>
      </w:r>
    </w:p>
    <w:p>
      <w:pPr>
        <w:pStyle w:val="BodyText"/>
        <w:spacing w:line="213" w:lineRule="auto" w:before="138"/>
        <w:ind w:left="2232" w:right="636"/>
      </w:pPr>
      <w:r>
        <w:rPr>
          <w:color w:val="231F20"/>
        </w:rPr>
        <w:t>Use the </w:t>
      </w:r>
      <w:r>
        <w:rPr>
          <w:rFonts w:ascii="Book Antiqua"/>
          <w:b/>
          <w:color w:val="231F20"/>
        </w:rPr>
        <w:t>Show new or updated application support </w:t>
      </w:r>
      <w:r>
        <w:rPr>
          <w:color w:val="231F20"/>
        </w:rPr>
        <w:t>tool to see a count of </w:t>
      </w:r>
      <w:r>
        <w:rPr>
          <w:color w:val="231F20"/>
        </w:rPr>
        <w:t>the version mismatch messages, to view a list of application support version mismatches between the Tivoli Enterprise Portal client and server, and to see instructions for correcting the discrepancy.</w:t>
      </w:r>
    </w:p>
    <w:p>
      <w:pPr>
        <w:pStyle w:val="BodyText"/>
        <w:spacing w:line="213" w:lineRule="auto" w:before="237"/>
        <w:ind w:left="2232" w:right="488"/>
      </w:pPr>
      <w:r>
        <w:rPr>
          <w:color w:val="231F20"/>
        </w:rPr>
        <w:t>The</w:t>
      </w:r>
      <w:r>
        <w:rPr>
          <w:color w:val="231F20"/>
          <w:spacing w:val="13"/>
        </w:rPr>
        <w:t> </w:t>
      </w:r>
      <w:r>
        <w:rPr>
          <w:color w:val="231F20"/>
        </w:rPr>
        <w:t>number</w:t>
      </w:r>
      <w:r>
        <w:rPr>
          <w:color w:val="231F20"/>
          <w:spacing w:val="14"/>
        </w:rPr>
        <w:t> </w:t>
      </w:r>
      <w:r>
        <w:rPr>
          <w:color w:val="231F20"/>
        </w:rPr>
        <w:t>that</w:t>
      </w:r>
      <w:r>
        <w:rPr>
          <w:color w:val="231F20"/>
          <w:spacing w:val="14"/>
        </w:rPr>
        <w:t> </w:t>
      </w:r>
      <w:r>
        <w:rPr>
          <w:color w:val="231F20"/>
        </w:rPr>
        <w:t>is</w:t>
      </w:r>
      <w:r>
        <w:rPr>
          <w:color w:val="231F20"/>
          <w:spacing w:val="14"/>
        </w:rPr>
        <w:t> </w:t>
      </w:r>
      <w:r>
        <w:rPr>
          <w:color w:val="231F20"/>
        </w:rPr>
        <w:t>displayed</w:t>
      </w:r>
      <w:r>
        <w:rPr>
          <w:color w:val="231F20"/>
          <w:spacing w:val="14"/>
        </w:rPr>
        <w:t> </w:t>
      </w:r>
      <w:r>
        <w:rPr>
          <w:color w:val="231F20"/>
        </w:rPr>
        <w:t>after</w:t>
      </w:r>
      <w:r>
        <w:rPr>
          <w:color w:val="231F20"/>
          <w:spacing w:val="14"/>
        </w:rPr>
        <w:t> </w:t>
      </w:r>
      <w:r>
        <w:rPr>
          <w:color w:val="231F20"/>
        </w:rPr>
        <w:t>the</w:t>
      </w:r>
      <w:r>
        <w:rPr>
          <w:color w:val="231F20"/>
          <w:spacing w:val="14"/>
        </w:rPr>
        <w:t> </w:t>
      </w:r>
      <w:r>
        <w:rPr>
          <w:color w:val="231F20"/>
        </w:rPr>
        <w:t>tool,</w:t>
      </w:r>
      <w:r>
        <w:rPr>
          <w:color w:val="231F20"/>
          <w:spacing w:val="14"/>
        </w:rPr>
        <w:t> </w:t>
      </w:r>
      <w:r>
        <w:rPr>
          <w:color w:val="231F20"/>
        </w:rPr>
        <w:t>such</w:t>
      </w:r>
      <w:r>
        <w:rPr>
          <w:color w:val="231F20"/>
          <w:spacing w:val="14"/>
        </w:rPr>
        <w:t> </w:t>
      </w:r>
      <w:r>
        <w:rPr>
          <w:color w:val="231F20"/>
        </w:rPr>
        <w:t>as </w:t>
      </w:r>
      <w:r>
        <w:rPr>
          <w:color w:val="231F20"/>
          <w:spacing w:val="15"/>
          <w:position w:val="-1"/>
        </w:rPr>
        <w:drawing>
          <wp:inline distT="0" distB="0" distL="0" distR="0">
            <wp:extent cx="101600" cy="101600"/>
            <wp:effectExtent l="0" t="0" r="0" b="0"/>
            <wp:docPr id="384" name="Image 384"/>
            <wp:cNvGraphicFramePr>
              <a:graphicFrameLocks/>
            </wp:cNvGraphicFramePr>
            <a:graphic>
              <a:graphicData uri="http://schemas.openxmlformats.org/drawingml/2006/picture">
                <pic:pic>
                  <pic:nvPicPr>
                    <pic:cNvPr id="384" name="Image 384"/>
                    <pic:cNvPicPr/>
                  </pic:nvPicPr>
                  <pic:blipFill>
                    <a:blip r:embed="rId106"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position w:val="8"/>
        </w:rPr>
        <w:t> </w:t>
      </w:r>
      <w:r>
        <w:rPr>
          <w:color w:val="231F20"/>
          <w:position w:val="8"/>
          <w:vertAlign w:val="superscript"/>
        </w:rPr>
        <w:t>8</w:t>
      </w:r>
      <w:r>
        <w:rPr>
          <w:color w:val="231F20"/>
          <w:spacing w:val="14"/>
          <w:position w:val="8"/>
          <w:vertAlign w:val="baseline"/>
        </w:rPr>
        <w:t> </w:t>
      </w:r>
      <w:r>
        <w:rPr>
          <w:color w:val="231F20"/>
          <w:vertAlign w:val="baseline"/>
        </w:rPr>
        <w:t>for</w:t>
      </w:r>
      <w:r>
        <w:rPr>
          <w:color w:val="231F20"/>
          <w:spacing w:val="14"/>
          <w:vertAlign w:val="baseline"/>
        </w:rPr>
        <w:t> </w:t>
      </w:r>
      <w:r>
        <w:rPr>
          <w:color w:val="231F20"/>
          <w:vertAlign w:val="baseline"/>
        </w:rPr>
        <w:t>eight</w:t>
      </w:r>
      <w:r>
        <w:rPr>
          <w:color w:val="231F20"/>
          <w:spacing w:val="14"/>
          <w:vertAlign w:val="baseline"/>
        </w:rPr>
        <w:t> </w:t>
      </w:r>
      <w:r>
        <w:rPr>
          <w:color w:val="231F20"/>
          <w:vertAlign w:val="baseline"/>
        </w:rPr>
        <w:t>mismatch</w:t>
      </w:r>
      <w:r>
        <w:rPr>
          <w:color w:val="231F20"/>
          <w:spacing w:val="14"/>
          <w:vertAlign w:val="baseline"/>
        </w:rPr>
        <w:t> </w:t>
      </w:r>
      <w:r>
        <w:rPr>
          <w:color w:val="231F20"/>
          <w:vertAlign w:val="baseline"/>
        </w:rPr>
        <w:t>events, is a count of the events that have accumulated.</w:t>
      </w:r>
    </w:p>
    <w:p>
      <w:pPr>
        <w:pStyle w:val="Heading4"/>
      </w:pPr>
      <w:r>
        <w:rPr>
          <w:color w:val="231F20"/>
          <w:spacing w:val="-2"/>
        </w:rPr>
        <w:t>Procedure</w:t>
      </w:r>
    </w:p>
    <w:p>
      <w:pPr>
        <w:pStyle w:val="ListParagraph"/>
        <w:numPr>
          <w:ilvl w:val="0"/>
          <w:numId w:val="7"/>
        </w:numPr>
        <w:tabs>
          <w:tab w:pos="2548" w:val="left" w:leader="none"/>
        </w:tabs>
        <w:spacing w:line="213" w:lineRule="auto" w:before="61" w:after="0"/>
        <w:ind w:left="2548" w:right="417" w:hanging="316"/>
        <w:jc w:val="left"/>
        <w:rPr>
          <w:sz w:val="20"/>
        </w:rPr>
      </w:pPr>
      <w:r>
        <w:rPr>
          <w:color w:val="231F20"/>
          <w:sz w:val="20"/>
        </w:rPr>
        <w:t>When</w:t>
      </w:r>
      <w:r>
        <w:rPr>
          <w:color w:val="231F20"/>
          <w:spacing w:val="30"/>
          <w:sz w:val="20"/>
        </w:rPr>
        <w:t> </w:t>
      </w:r>
      <w:r>
        <w:rPr>
          <w:color w:val="231F20"/>
          <w:sz w:val="20"/>
        </w:rPr>
        <w:t>the</w:t>
      </w:r>
      <w:r>
        <w:rPr>
          <w:color w:val="231F20"/>
          <w:spacing w:val="16"/>
          <w:sz w:val="20"/>
        </w:rPr>
        <w:t> </w:t>
      </w:r>
      <w:r>
        <w:rPr>
          <w:color w:val="231F20"/>
          <w:spacing w:val="16"/>
          <w:position w:val="-1"/>
          <w:sz w:val="20"/>
        </w:rPr>
        <w:drawing>
          <wp:inline distT="0" distB="0" distL="0" distR="0">
            <wp:extent cx="101600" cy="101600"/>
            <wp:effectExtent l="0" t="0" r="0" b="0"/>
            <wp:docPr id="385" name="Image 385"/>
            <wp:cNvGraphicFramePr>
              <a:graphicFrameLocks/>
            </wp:cNvGraphicFramePr>
            <a:graphic>
              <a:graphicData uri="http://schemas.openxmlformats.org/drawingml/2006/picture">
                <pic:pic>
                  <pic:nvPicPr>
                    <pic:cNvPr id="385" name="Image 385"/>
                    <pic:cNvPicPr/>
                  </pic:nvPicPr>
                  <pic:blipFill>
                    <a:blip r:embed="rId106"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rFonts w:ascii="Book Antiqua"/>
          <w:b/>
          <w:color w:val="231F20"/>
          <w:sz w:val="20"/>
        </w:rPr>
        <w:t>Application</w:t>
      </w:r>
      <w:r>
        <w:rPr>
          <w:rFonts w:ascii="Book Antiqua"/>
          <w:b/>
          <w:color w:val="231F20"/>
          <w:spacing w:val="30"/>
          <w:sz w:val="20"/>
        </w:rPr>
        <w:t> </w:t>
      </w:r>
      <w:r>
        <w:rPr>
          <w:rFonts w:ascii="Book Antiqua"/>
          <w:b/>
          <w:color w:val="231F20"/>
          <w:sz w:val="20"/>
        </w:rPr>
        <w:t>support</w:t>
      </w:r>
      <w:r>
        <w:rPr>
          <w:rFonts w:ascii="Book Antiqua"/>
          <w:b/>
          <w:color w:val="231F20"/>
          <w:spacing w:val="30"/>
          <w:sz w:val="20"/>
        </w:rPr>
        <w:t> </w:t>
      </w:r>
      <w:r>
        <w:rPr>
          <w:rFonts w:ascii="Book Antiqua"/>
          <w:b/>
          <w:color w:val="231F20"/>
          <w:sz w:val="20"/>
        </w:rPr>
        <w:t>event</w:t>
      </w:r>
      <w:r>
        <w:rPr>
          <w:rFonts w:ascii="Book Antiqua"/>
          <w:b/>
          <w:color w:val="231F20"/>
          <w:spacing w:val="30"/>
          <w:sz w:val="20"/>
        </w:rPr>
        <w:t> </w:t>
      </w:r>
      <w:r>
        <w:rPr>
          <w:color w:val="231F20"/>
          <w:sz w:val="20"/>
        </w:rPr>
        <w:t>tool</w:t>
      </w:r>
      <w:r>
        <w:rPr>
          <w:color w:val="231F20"/>
          <w:spacing w:val="30"/>
          <w:sz w:val="20"/>
        </w:rPr>
        <w:t> </w:t>
      </w:r>
      <w:r>
        <w:rPr>
          <w:color w:val="231F20"/>
          <w:sz w:val="20"/>
        </w:rPr>
        <w:t>is</w:t>
      </w:r>
      <w:r>
        <w:rPr>
          <w:color w:val="231F20"/>
          <w:spacing w:val="30"/>
          <w:sz w:val="20"/>
        </w:rPr>
        <w:t> </w:t>
      </w:r>
      <w:r>
        <w:rPr>
          <w:color w:val="231F20"/>
          <w:sz w:val="20"/>
        </w:rPr>
        <w:t>enabled</w:t>
      </w:r>
      <w:r>
        <w:rPr>
          <w:color w:val="231F20"/>
          <w:spacing w:val="30"/>
          <w:sz w:val="20"/>
        </w:rPr>
        <w:t> </w:t>
      </w:r>
      <w:r>
        <w:rPr>
          <w:color w:val="231F20"/>
          <w:sz w:val="20"/>
        </w:rPr>
        <w:t>in</w:t>
      </w:r>
      <w:r>
        <w:rPr>
          <w:color w:val="231F20"/>
          <w:spacing w:val="30"/>
          <w:sz w:val="20"/>
        </w:rPr>
        <w:t> </w:t>
      </w:r>
      <w:r>
        <w:rPr>
          <w:color w:val="231F20"/>
          <w:sz w:val="20"/>
        </w:rPr>
        <w:t>the</w:t>
      </w:r>
      <w:r>
        <w:rPr>
          <w:color w:val="231F20"/>
          <w:spacing w:val="30"/>
          <w:sz w:val="20"/>
        </w:rPr>
        <w:t> </w:t>
      </w:r>
      <w:r>
        <w:rPr>
          <w:color w:val="231F20"/>
          <w:sz w:val="20"/>
        </w:rPr>
        <w:t>Navigator</w:t>
      </w:r>
      <w:r>
        <w:rPr>
          <w:color w:val="231F20"/>
          <w:sz w:val="20"/>
        </w:rPr>
        <w:t> toolbar, click it. The dialog box shows the list of mismatched applications and their support versions. Each event shows a Warning or Informational indicator followed by the name of the monitoring agent, the version of application</w:t>
      </w:r>
      <w:r>
        <w:rPr>
          <w:color w:val="231F20"/>
          <w:spacing w:val="80"/>
          <w:w w:val="150"/>
          <w:sz w:val="20"/>
        </w:rPr>
        <w:t> </w:t>
      </w:r>
      <w:r>
        <w:rPr>
          <w:color w:val="231F20"/>
          <w:sz w:val="20"/>
        </w:rPr>
        <w:t>support</w:t>
      </w:r>
      <w:r>
        <w:rPr>
          <w:color w:val="231F20"/>
          <w:spacing w:val="28"/>
          <w:sz w:val="20"/>
        </w:rPr>
        <w:t> </w:t>
      </w:r>
      <w:r>
        <w:rPr>
          <w:color w:val="231F20"/>
          <w:sz w:val="20"/>
        </w:rPr>
        <w:t>applied</w:t>
      </w:r>
      <w:r>
        <w:rPr>
          <w:color w:val="231F20"/>
          <w:spacing w:val="28"/>
          <w:sz w:val="20"/>
        </w:rPr>
        <w:t> </w:t>
      </w:r>
      <w:r>
        <w:rPr>
          <w:color w:val="231F20"/>
          <w:sz w:val="20"/>
        </w:rPr>
        <w:t>at</w:t>
      </w:r>
      <w:r>
        <w:rPr>
          <w:color w:val="231F20"/>
          <w:spacing w:val="28"/>
          <w:sz w:val="20"/>
        </w:rPr>
        <w:t> </w:t>
      </w:r>
      <w:r>
        <w:rPr>
          <w:color w:val="231F20"/>
          <w:sz w:val="20"/>
        </w:rPr>
        <w:t>the</w:t>
      </w:r>
      <w:r>
        <w:rPr>
          <w:color w:val="231F20"/>
          <w:spacing w:val="28"/>
          <w:sz w:val="20"/>
        </w:rPr>
        <w:t> </w:t>
      </w:r>
      <w:r>
        <w:rPr>
          <w:color w:val="231F20"/>
          <w:sz w:val="20"/>
        </w:rPr>
        <w:t>portal</w:t>
      </w:r>
      <w:r>
        <w:rPr>
          <w:color w:val="231F20"/>
          <w:spacing w:val="28"/>
          <w:sz w:val="20"/>
        </w:rPr>
        <w:t> </w:t>
      </w:r>
      <w:r>
        <w:rPr>
          <w:color w:val="231F20"/>
          <w:sz w:val="20"/>
        </w:rPr>
        <w:t>client,</w:t>
      </w:r>
      <w:r>
        <w:rPr>
          <w:color w:val="231F20"/>
          <w:spacing w:val="28"/>
          <w:sz w:val="20"/>
        </w:rPr>
        <w:t> </w:t>
      </w:r>
      <w:r>
        <w:rPr>
          <w:color w:val="231F20"/>
          <w:sz w:val="20"/>
        </w:rPr>
        <w:t>and</w:t>
      </w:r>
      <w:r>
        <w:rPr>
          <w:color w:val="231F20"/>
          <w:spacing w:val="28"/>
          <w:sz w:val="20"/>
        </w:rPr>
        <w:t> </w:t>
      </w:r>
      <w:r>
        <w:rPr>
          <w:color w:val="231F20"/>
          <w:sz w:val="20"/>
        </w:rPr>
        <w:t>the</w:t>
      </w:r>
      <w:r>
        <w:rPr>
          <w:color w:val="231F20"/>
          <w:spacing w:val="28"/>
          <w:sz w:val="20"/>
        </w:rPr>
        <w:t> </w:t>
      </w:r>
      <w:r>
        <w:rPr>
          <w:color w:val="231F20"/>
          <w:sz w:val="20"/>
        </w:rPr>
        <w:t>version</w:t>
      </w:r>
      <w:r>
        <w:rPr>
          <w:color w:val="231F20"/>
          <w:spacing w:val="28"/>
          <w:sz w:val="20"/>
        </w:rPr>
        <w:t> </w:t>
      </w:r>
      <w:r>
        <w:rPr>
          <w:color w:val="231F20"/>
          <w:sz w:val="20"/>
        </w:rPr>
        <w:t>applied</w:t>
      </w:r>
      <w:r>
        <w:rPr>
          <w:color w:val="231F20"/>
          <w:spacing w:val="28"/>
          <w:sz w:val="20"/>
        </w:rPr>
        <w:t> </w:t>
      </w:r>
      <w:r>
        <w:rPr>
          <w:color w:val="231F20"/>
          <w:sz w:val="20"/>
        </w:rPr>
        <w:t>at</w:t>
      </w:r>
      <w:r>
        <w:rPr>
          <w:color w:val="231F20"/>
          <w:spacing w:val="28"/>
          <w:sz w:val="20"/>
        </w:rPr>
        <w:t> </w:t>
      </w:r>
      <w:r>
        <w:rPr>
          <w:color w:val="231F20"/>
          <w:sz w:val="20"/>
        </w:rPr>
        <w:t>the</w:t>
      </w:r>
      <w:r>
        <w:rPr>
          <w:color w:val="231F20"/>
          <w:spacing w:val="28"/>
          <w:sz w:val="20"/>
        </w:rPr>
        <w:t> </w:t>
      </w:r>
      <w:r>
        <w:rPr>
          <w:color w:val="231F20"/>
          <w:sz w:val="20"/>
        </w:rPr>
        <w:t>portal server. No portal client version information is available when a new monitoring application is initially installed.</w:t>
      </w:r>
    </w:p>
    <w:p>
      <w:pPr>
        <w:pStyle w:val="ListParagraph"/>
        <w:numPr>
          <w:ilvl w:val="0"/>
          <w:numId w:val="7"/>
        </w:numPr>
        <w:tabs>
          <w:tab w:pos="2547" w:val="left" w:leader="none"/>
        </w:tabs>
        <w:spacing w:line="240" w:lineRule="auto" w:before="32" w:after="0"/>
        <w:ind w:left="2547" w:right="0" w:hanging="315"/>
        <w:jc w:val="left"/>
        <w:rPr>
          <w:sz w:val="20"/>
        </w:rPr>
      </w:pPr>
      <w:r>
        <w:rPr>
          <w:color w:val="231F20"/>
          <w:sz w:val="20"/>
        </w:rPr>
        <w:t>Complete</w:t>
      </w:r>
      <w:r>
        <w:rPr>
          <w:color w:val="231F20"/>
          <w:spacing w:val="9"/>
          <w:sz w:val="20"/>
        </w:rPr>
        <w:t> </w:t>
      </w:r>
      <w:r>
        <w:rPr>
          <w:color w:val="231F20"/>
          <w:sz w:val="20"/>
        </w:rPr>
        <w:t>the</w:t>
      </w:r>
      <w:r>
        <w:rPr>
          <w:color w:val="231F20"/>
          <w:spacing w:val="10"/>
          <w:sz w:val="20"/>
        </w:rPr>
        <w:t> </w:t>
      </w:r>
      <w:r>
        <w:rPr>
          <w:color w:val="231F20"/>
          <w:sz w:val="20"/>
        </w:rPr>
        <w:t>instructions</w:t>
      </w:r>
      <w:r>
        <w:rPr>
          <w:color w:val="231F20"/>
          <w:spacing w:val="10"/>
          <w:sz w:val="20"/>
        </w:rPr>
        <w:t> </w:t>
      </w:r>
      <w:r>
        <w:rPr>
          <w:color w:val="231F20"/>
          <w:sz w:val="20"/>
        </w:rPr>
        <w:t>that</w:t>
      </w:r>
      <w:r>
        <w:rPr>
          <w:color w:val="231F20"/>
          <w:spacing w:val="9"/>
          <w:sz w:val="20"/>
        </w:rPr>
        <w:t> </w:t>
      </w:r>
      <w:r>
        <w:rPr>
          <w:color w:val="231F20"/>
          <w:sz w:val="20"/>
        </w:rPr>
        <w:t>are</w:t>
      </w:r>
      <w:r>
        <w:rPr>
          <w:color w:val="231F20"/>
          <w:spacing w:val="10"/>
          <w:sz w:val="20"/>
        </w:rPr>
        <w:t> </w:t>
      </w:r>
      <w:r>
        <w:rPr>
          <w:color w:val="231F20"/>
          <w:sz w:val="20"/>
        </w:rPr>
        <w:t>displayed</w:t>
      </w:r>
      <w:r>
        <w:rPr>
          <w:color w:val="231F20"/>
          <w:spacing w:val="10"/>
          <w:sz w:val="20"/>
        </w:rPr>
        <w:t> </w:t>
      </w:r>
      <w:r>
        <w:rPr>
          <w:color w:val="231F20"/>
          <w:sz w:val="20"/>
        </w:rPr>
        <w:t>after</w:t>
      </w:r>
      <w:r>
        <w:rPr>
          <w:color w:val="231F20"/>
          <w:spacing w:val="9"/>
          <w:sz w:val="20"/>
        </w:rPr>
        <w:t> </w:t>
      </w:r>
      <w:r>
        <w:rPr>
          <w:color w:val="231F20"/>
          <w:sz w:val="20"/>
        </w:rPr>
        <w:t>the</w:t>
      </w:r>
      <w:r>
        <w:rPr>
          <w:color w:val="231F20"/>
          <w:spacing w:val="10"/>
          <w:sz w:val="20"/>
        </w:rPr>
        <w:t> </w:t>
      </w:r>
      <w:r>
        <w:rPr>
          <w:color w:val="231F20"/>
          <w:sz w:val="20"/>
        </w:rPr>
        <w:t>mismatch</w:t>
      </w:r>
      <w:r>
        <w:rPr>
          <w:color w:val="231F20"/>
          <w:spacing w:val="10"/>
          <w:sz w:val="20"/>
        </w:rPr>
        <w:t> </w:t>
      </w:r>
      <w:r>
        <w:rPr>
          <w:color w:val="231F20"/>
          <w:sz w:val="20"/>
        </w:rPr>
        <w:t>event</w:t>
      </w:r>
      <w:r>
        <w:rPr>
          <w:color w:val="231F20"/>
          <w:spacing w:val="9"/>
          <w:sz w:val="20"/>
        </w:rPr>
        <w:t> </w:t>
      </w:r>
      <w:r>
        <w:rPr>
          <w:color w:val="231F20"/>
          <w:spacing w:val="-2"/>
          <w:sz w:val="20"/>
        </w:rPr>
        <w:t>list:</w:t>
      </w:r>
    </w:p>
    <w:p>
      <w:pPr>
        <w:pStyle w:val="Heading6"/>
        <w:spacing w:before="112"/>
        <w:ind w:left="2548"/>
      </w:pPr>
      <w:r>
        <w:rPr>
          <w:color w:val="231F20"/>
        </w:rPr>
        <w:t>Browser</w:t>
      </w:r>
      <w:r>
        <w:rPr>
          <w:color w:val="231F20"/>
          <w:spacing w:val="7"/>
        </w:rPr>
        <w:t> </w:t>
      </w:r>
      <w:r>
        <w:rPr>
          <w:color w:val="231F20"/>
        </w:rPr>
        <w:t>client</w:t>
      </w:r>
      <w:r>
        <w:rPr>
          <w:color w:val="231F20"/>
          <w:spacing w:val="7"/>
        </w:rPr>
        <w:t> </w:t>
      </w:r>
      <w:r>
        <w:rPr>
          <w:color w:val="231F20"/>
        </w:rPr>
        <w:t>and</w:t>
      </w:r>
      <w:r>
        <w:rPr>
          <w:color w:val="231F20"/>
          <w:spacing w:val="7"/>
        </w:rPr>
        <w:t> </w:t>
      </w:r>
      <w:r>
        <w:rPr>
          <w:color w:val="231F20"/>
        </w:rPr>
        <w:t>Java</w:t>
      </w:r>
      <w:r>
        <w:rPr>
          <w:color w:val="231F20"/>
          <w:spacing w:val="8"/>
        </w:rPr>
        <w:t> </w:t>
      </w:r>
      <w:r>
        <w:rPr>
          <w:color w:val="231F20"/>
        </w:rPr>
        <w:t>WebStart</w:t>
      </w:r>
      <w:r>
        <w:rPr>
          <w:color w:val="231F20"/>
          <w:spacing w:val="7"/>
        </w:rPr>
        <w:t> </w:t>
      </w:r>
      <w:r>
        <w:rPr>
          <w:color w:val="231F20"/>
          <w:spacing w:val="-2"/>
        </w:rPr>
        <w:t>client</w:t>
      </w:r>
    </w:p>
    <w:p>
      <w:pPr>
        <w:pStyle w:val="BodyText"/>
        <w:spacing w:line="213" w:lineRule="auto" w:before="11"/>
        <w:ind w:left="3267" w:right="703"/>
        <w:jc w:val="both"/>
      </w:pPr>
      <w:r>
        <w:rPr>
          <w:color w:val="231F20"/>
        </w:rPr>
        <w:t>If you are running the browser client or Java WebStart, any required application support updates are downloaded automatically after </w:t>
      </w:r>
      <w:r>
        <w:rPr>
          <w:color w:val="231F20"/>
        </w:rPr>
        <w:t>you log on to the portal server.</w:t>
      </w:r>
    </w:p>
    <w:p>
      <w:pPr>
        <w:spacing w:line="213" w:lineRule="auto" w:before="140"/>
        <w:ind w:left="3267" w:right="545" w:firstLine="10"/>
        <w:jc w:val="left"/>
        <w:rPr>
          <w:sz w:val="20"/>
        </w:rPr>
      </w:pPr>
      <w:r>
        <w:rPr>
          <w:position w:val="-1"/>
        </w:rPr>
        <w:drawing>
          <wp:inline distT="0" distB="0" distL="0" distR="0">
            <wp:extent cx="95250" cy="95250"/>
            <wp:effectExtent l="0" t="0" r="0" b="0"/>
            <wp:docPr id="386" name="Image 386"/>
            <wp:cNvGraphicFramePr>
              <a:graphicFrameLocks/>
            </wp:cNvGraphicFramePr>
            <a:graphic>
              <a:graphicData uri="http://schemas.openxmlformats.org/drawingml/2006/picture">
                <pic:pic>
                  <pic:nvPicPr>
                    <pic:cNvPr id="386" name="Image 386"/>
                    <pic:cNvPicPr/>
                  </pic:nvPicPr>
                  <pic:blipFill>
                    <a:blip r:embed="rId125"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An application support version mismatch has been detected. Click Help </w:t>
      </w:r>
      <w:r>
        <w:rPr>
          <w:rFonts w:ascii="Book Antiqua"/>
          <w:i/>
          <w:color w:val="231F20"/>
          <w:sz w:val="20"/>
        </w:rPr>
        <w:t>for</w:t>
      </w:r>
      <w:r>
        <w:rPr>
          <w:rFonts w:ascii="Book Antiqua"/>
          <w:i/>
          <w:color w:val="231F20"/>
          <w:sz w:val="20"/>
        </w:rPr>
        <w:t> more information on possible causes and actions. </w:t>
      </w:r>
      <w:r>
        <w:rPr>
          <w:color w:val="231F20"/>
          <w:sz w:val="20"/>
        </w:rPr>
        <w:t>Warning events indicate that the mismatch was found at client startup.</w:t>
      </w:r>
    </w:p>
    <w:p>
      <w:pPr>
        <w:spacing w:line="213" w:lineRule="auto" w:before="143"/>
        <w:ind w:left="3267" w:right="545" w:firstLine="10"/>
        <w:jc w:val="left"/>
        <w:rPr>
          <w:sz w:val="20"/>
        </w:rPr>
      </w:pPr>
      <w:r>
        <w:rPr>
          <w:position w:val="-1"/>
        </w:rPr>
        <w:drawing>
          <wp:inline distT="0" distB="0" distL="0" distR="0">
            <wp:extent cx="95250" cy="95250"/>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12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New or updated application support is available. Restart the Tivoli</w:t>
      </w:r>
      <w:r>
        <w:rPr>
          <w:rFonts w:ascii="Book Antiqua"/>
          <w:i/>
          <w:color w:val="231F20"/>
          <w:spacing w:val="40"/>
          <w:sz w:val="20"/>
        </w:rPr>
        <w:t> </w:t>
      </w:r>
      <w:r>
        <w:rPr>
          <w:rFonts w:ascii="Book Antiqua"/>
          <w:i/>
          <w:color w:val="231F20"/>
          <w:sz w:val="20"/>
        </w:rPr>
        <w:t>Enterprise Portal client to update your application support. </w:t>
      </w:r>
      <w:r>
        <w:rPr>
          <w:color w:val="231F20"/>
          <w:sz w:val="20"/>
        </w:rPr>
        <w:t>If application support updates become available while you are logged on, an Informational event occurs to show that application support is waiting</w:t>
      </w:r>
      <w:r>
        <w:rPr>
          <w:color w:val="231F20"/>
          <w:spacing w:val="80"/>
          <w:sz w:val="20"/>
        </w:rPr>
        <w:t> </w:t>
      </w:r>
      <w:r>
        <w:rPr>
          <w:color w:val="231F20"/>
          <w:sz w:val="20"/>
        </w:rPr>
        <w:t>to be applied. Log out and restart the client to have application </w:t>
      </w:r>
      <w:r>
        <w:rPr>
          <w:color w:val="231F20"/>
          <w:sz w:val="20"/>
        </w:rPr>
        <w:t>support updates applied.</w:t>
      </w:r>
    </w:p>
    <w:p>
      <w:pPr>
        <w:pStyle w:val="Heading6"/>
        <w:spacing w:before="118"/>
        <w:ind w:left="2548"/>
      </w:pPr>
      <w:r>
        <w:rPr>
          <w:color w:val="231F20"/>
        </w:rPr>
        <w:t>Desktop</w:t>
      </w:r>
      <w:r>
        <w:rPr>
          <w:color w:val="231F20"/>
          <w:spacing w:val="8"/>
        </w:rPr>
        <w:t> </w:t>
      </w:r>
      <w:r>
        <w:rPr>
          <w:color w:val="231F20"/>
          <w:spacing w:val="-2"/>
        </w:rPr>
        <w:t>client</w:t>
      </w:r>
    </w:p>
    <w:p>
      <w:pPr>
        <w:pStyle w:val="BodyText"/>
        <w:spacing w:line="213" w:lineRule="auto" w:before="11"/>
        <w:ind w:left="3267" w:right="385"/>
      </w:pPr>
      <w:r>
        <w:rPr>
          <w:color w:val="231F20"/>
        </w:rPr>
        <w:t>Application support updates to the desktop client must be made by running</w:t>
      </w:r>
      <w:r>
        <w:rPr>
          <w:color w:val="231F20"/>
          <w:spacing w:val="8"/>
        </w:rPr>
        <w:t> </w:t>
      </w:r>
      <w:r>
        <w:rPr>
          <w:color w:val="231F20"/>
        </w:rPr>
        <w:t>the</w:t>
      </w:r>
      <w:r>
        <w:rPr>
          <w:color w:val="231F20"/>
          <w:spacing w:val="9"/>
        </w:rPr>
        <w:t> </w:t>
      </w:r>
      <w:r>
        <w:rPr>
          <w:color w:val="231F20"/>
        </w:rPr>
        <w:t>installer</w:t>
      </w:r>
      <w:r>
        <w:rPr>
          <w:color w:val="231F20"/>
          <w:spacing w:val="8"/>
        </w:rPr>
        <w:t> </w:t>
      </w:r>
      <w:r>
        <w:rPr>
          <w:color w:val="231F20"/>
        </w:rPr>
        <w:t>on</w:t>
      </w:r>
      <w:r>
        <w:rPr>
          <w:color w:val="231F20"/>
          <w:spacing w:val="9"/>
        </w:rPr>
        <w:t> </w:t>
      </w:r>
      <w:r>
        <w:rPr>
          <w:color w:val="231F20"/>
        </w:rPr>
        <w:t>the</w:t>
      </w:r>
      <w:r>
        <w:rPr>
          <w:color w:val="231F20"/>
          <w:spacing w:val="9"/>
        </w:rPr>
        <w:t> </w:t>
      </w:r>
      <w:r>
        <w:rPr>
          <w:color w:val="231F20"/>
        </w:rPr>
        <w:t>Tivoli</w:t>
      </w:r>
      <w:r>
        <w:rPr>
          <w:color w:val="231F20"/>
          <w:spacing w:val="8"/>
        </w:rPr>
        <w:t> </w:t>
      </w:r>
      <w:r>
        <w:rPr>
          <w:color w:val="231F20"/>
        </w:rPr>
        <w:t>Monitoring</w:t>
      </w:r>
      <w:r>
        <w:rPr>
          <w:color w:val="231F20"/>
          <w:spacing w:val="3"/>
        </w:rPr>
        <w:t> </w:t>
      </w:r>
      <w:r>
        <w:rPr>
          <w:color w:val="231F20"/>
        </w:rPr>
        <w:t>Agent</w:t>
      </w:r>
      <w:r>
        <w:rPr>
          <w:color w:val="231F20"/>
          <w:spacing w:val="8"/>
        </w:rPr>
        <w:t> </w:t>
      </w:r>
      <w:r>
        <w:rPr>
          <w:color w:val="231F20"/>
        </w:rPr>
        <w:t>installation</w:t>
      </w:r>
      <w:r>
        <w:rPr>
          <w:color w:val="231F20"/>
          <w:spacing w:val="9"/>
        </w:rPr>
        <w:t> </w:t>
      </w:r>
      <w:r>
        <w:rPr>
          <w:color w:val="231F20"/>
          <w:spacing w:val="-2"/>
        </w:rPr>
        <w:t>media.</w:t>
      </w:r>
    </w:p>
    <w:p>
      <w:pPr>
        <w:spacing w:line="220" w:lineRule="auto" w:before="135"/>
        <w:ind w:left="3267" w:right="545" w:firstLine="10"/>
        <w:jc w:val="left"/>
        <w:rPr>
          <w:sz w:val="20"/>
        </w:rPr>
      </w:pPr>
      <w:r>
        <w:rPr>
          <w:position w:val="-1"/>
        </w:rPr>
        <w:drawing>
          <wp:inline distT="0" distB="0" distL="0" distR="0">
            <wp:extent cx="95250" cy="95250"/>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125"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An application support version mismatch has been detected. Use the </w:t>
      </w:r>
      <w:r>
        <w:rPr>
          <w:rFonts w:ascii="Book Antiqua"/>
          <w:i/>
          <w:color w:val="231F20"/>
          <w:sz w:val="20"/>
        </w:rPr>
        <w:t>Tivoli</w:t>
      </w:r>
      <w:r>
        <w:rPr>
          <w:rFonts w:ascii="Book Antiqua"/>
          <w:i/>
          <w:color w:val="231F20"/>
          <w:sz w:val="20"/>
        </w:rPr>
        <w:t> Monitoring installer to add the associated application support to the portal desktop client. </w:t>
      </w:r>
      <w:r>
        <w:rPr>
          <w:color w:val="231F20"/>
          <w:sz w:val="20"/>
        </w:rPr>
        <w:t>Warning events indicate that the mismatch was found at client startup.</w:t>
      </w:r>
    </w:p>
    <w:p>
      <w:pPr>
        <w:spacing w:line="220" w:lineRule="auto" w:before="138"/>
        <w:ind w:left="3267" w:right="545" w:firstLine="10"/>
        <w:jc w:val="left"/>
        <w:rPr>
          <w:sz w:val="20"/>
        </w:rPr>
      </w:pPr>
      <w:r>
        <w:rPr>
          <w:position w:val="-1"/>
        </w:rPr>
        <w:drawing>
          <wp:inline distT="0" distB="0" distL="0" distR="0">
            <wp:extent cx="95250" cy="95250"/>
            <wp:effectExtent l="0" t="0" r="0" b="0"/>
            <wp:docPr id="389" name="Image 389"/>
            <wp:cNvGraphicFramePr>
              <a:graphicFrameLocks/>
            </wp:cNvGraphicFramePr>
            <a:graphic>
              <a:graphicData uri="http://schemas.openxmlformats.org/drawingml/2006/picture">
                <pic:pic>
                  <pic:nvPicPr>
                    <pic:cNvPr id="389" name="Image 389"/>
                    <pic:cNvPicPr/>
                  </pic:nvPicPr>
                  <pic:blipFill>
                    <a:blip r:embed="rId12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New or updated application support is available. Use the Tivoli </w:t>
      </w:r>
      <w:r>
        <w:rPr>
          <w:rFonts w:ascii="Book Antiqua"/>
          <w:i/>
          <w:color w:val="231F20"/>
          <w:sz w:val="20"/>
        </w:rPr>
        <w:t>Monitoring</w:t>
      </w:r>
      <w:r>
        <w:rPr>
          <w:rFonts w:ascii="Book Antiqua"/>
          <w:i/>
          <w:color w:val="231F20"/>
          <w:sz w:val="20"/>
        </w:rPr>
        <w:t> installer to add the associated application support to the portal desktop client. </w:t>
      </w:r>
      <w:r>
        <w:rPr>
          <w:color w:val="231F20"/>
          <w:sz w:val="20"/>
        </w:rPr>
        <w:t>Informational events indicate that the mismatch was found after logon</w:t>
      </w:r>
      <w:r>
        <w:rPr>
          <w:color w:val="231F20"/>
          <w:spacing w:val="80"/>
          <w:sz w:val="20"/>
        </w:rPr>
        <w:t> </w:t>
      </w:r>
      <w:r>
        <w:rPr>
          <w:color w:val="231F20"/>
          <w:sz w:val="20"/>
        </w:rPr>
        <w:t>to the portal server.</w:t>
      </w:r>
    </w:p>
    <w:p>
      <w:pPr>
        <w:pStyle w:val="Heading4"/>
        <w:spacing w:before="202"/>
      </w:pPr>
      <w:r>
        <w:rPr>
          <w:color w:val="231F20"/>
          <w:spacing w:val="-2"/>
        </w:rPr>
        <w:t>Results</w:t>
      </w:r>
    </w:p>
    <w:p>
      <w:pPr>
        <w:pStyle w:val="BodyText"/>
        <w:spacing w:line="213" w:lineRule="auto" w:before="241"/>
        <w:ind w:left="2232" w:right="545"/>
      </w:pPr>
      <w:r>
        <w:rPr>
          <w:color w:val="231F20"/>
        </w:rPr>
        <w:t>After logging off and logging onto the Tivoli Enterprise Portal, the </w:t>
      </w:r>
      <w:r>
        <w:rPr>
          <w:rFonts w:ascii="Book Antiqua"/>
          <w:b/>
          <w:color w:val="231F20"/>
        </w:rPr>
        <w:t>Application support event </w:t>
      </w:r>
      <w:r>
        <w:rPr>
          <w:color w:val="231F20"/>
        </w:rPr>
        <w:t>tool is disabled. If it is not, contact your network administrator </w:t>
      </w:r>
      <w:r>
        <w:rPr>
          <w:color w:val="231F20"/>
        </w:rPr>
        <w:t>or IBM Support.</w:t>
      </w:r>
    </w:p>
    <w:p>
      <w:pPr>
        <w:spacing w:line="213" w:lineRule="auto" w:before="238"/>
        <w:ind w:left="2232" w:right="433" w:firstLine="0"/>
        <w:jc w:val="left"/>
        <w:rPr>
          <w:sz w:val="20"/>
        </w:rPr>
      </w:pPr>
      <w:r>
        <w:rPr>
          <w:color w:val="231F20"/>
          <w:sz w:val="20"/>
        </w:rPr>
        <w:t>The first time the </w:t>
      </w:r>
      <w:r>
        <w:rPr>
          <w:rFonts w:ascii="Book Antiqua" w:hAnsi="Book Antiqua"/>
          <w:b/>
          <w:color w:val="231F20"/>
          <w:sz w:val="20"/>
        </w:rPr>
        <w:t>Show new or updated application support </w:t>
      </w:r>
      <w:r>
        <w:rPr>
          <w:color w:val="231F20"/>
          <w:sz w:val="20"/>
        </w:rPr>
        <w:t>tool is enabled and after</w:t>
      </w:r>
      <w:r>
        <w:rPr>
          <w:color w:val="231F20"/>
          <w:spacing w:val="13"/>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event</w:t>
      </w:r>
      <w:r>
        <w:rPr>
          <w:color w:val="231F20"/>
          <w:spacing w:val="14"/>
          <w:sz w:val="20"/>
        </w:rPr>
        <w:t> </w:t>
      </w:r>
      <w:r>
        <w:rPr>
          <w:color w:val="231F20"/>
          <w:sz w:val="20"/>
        </w:rPr>
        <w:t>arrives,</w:t>
      </w:r>
      <w:r>
        <w:rPr>
          <w:color w:val="231F20"/>
          <w:spacing w:val="14"/>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indicator</w:t>
      </w:r>
      <w:r>
        <w:rPr>
          <w:color w:val="231F20"/>
          <w:spacing w:val="14"/>
          <w:sz w:val="20"/>
        </w:rPr>
        <w:t> </w:t>
      </w:r>
      <w:r>
        <w:rPr>
          <w:color w:val="231F20"/>
          <w:sz w:val="20"/>
        </w:rPr>
        <w:t>is</w:t>
      </w:r>
      <w:r>
        <w:rPr>
          <w:color w:val="231F20"/>
          <w:spacing w:val="14"/>
          <w:sz w:val="20"/>
        </w:rPr>
        <w:t> </w:t>
      </w:r>
      <w:r>
        <w:rPr>
          <w:color w:val="231F20"/>
          <w:sz w:val="20"/>
        </w:rPr>
        <w:t>displayed</w:t>
      </w:r>
      <w:r>
        <w:rPr>
          <w:color w:val="231F20"/>
          <w:spacing w:val="14"/>
          <w:sz w:val="20"/>
        </w:rPr>
        <w:t> </w:t>
      </w:r>
      <w:r>
        <w:rPr>
          <w:color w:val="231F20"/>
          <w:sz w:val="20"/>
        </w:rPr>
        <w:t>on</w:t>
      </w:r>
      <w:r>
        <w:rPr>
          <w:color w:val="231F20"/>
          <w:spacing w:val="14"/>
          <w:sz w:val="20"/>
        </w:rPr>
        <w:t> </w:t>
      </w:r>
      <w:r>
        <w:rPr>
          <w:color w:val="231F20"/>
          <w:sz w:val="20"/>
        </w:rPr>
        <w:t>the</w:t>
      </w:r>
      <w:r>
        <w:rPr>
          <w:color w:val="231F20"/>
          <w:spacing w:val="14"/>
          <w:sz w:val="20"/>
        </w:rPr>
        <w:t> </w:t>
      </w:r>
      <w:r>
        <w:rPr>
          <w:color w:val="231F20"/>
          <w:sz w:val="20"/>
        </w:rPr>
        <w:t>tool:</w:t>
      </w:r>
      <w:r>
        <w:rPr>
          <w:color w:val="231F20"/>
          <w:spacing w:val="13"/>
          <w:sz w:val="20"/>
        </w:rPr>
        <w:t> </w:t>
      </w:r>
      <w:r>
        <w:rPr>
          <w:color w:val="231F20"/>
          <w:spacing w:val="15"/>
          <w:position w:val="-1"/>
          <w:sz w:val="20"/>
        </w:rPr>
        <w:drawing>
          <wp:inline distT="0" distB="0" distL="0" distR="0">
            <wp:extent cx="101600" cy="101600"/>
            <wp:effectExtent l="0" t="0" r="0" b="0"/>
            <wp:docPr id="390" name="Image 390"/>
            <wp:cNvGraphicFramePr>
              <a:graphicFrameLocks/>
            </wp:cNvGraphicFramePr>
            <a:graphic>
              <a:graphicData uri="http://schemas.openxmlformats.org/drawingml/2006/picture">
                <pic:pic>
                  <pic:nvPicPr>
                    <pic:cNvPr id="390" name="Image 390"/>
                    <pic:cNvPicPr/>
                  </pic:nvPicPr>
                  <pic:blipFill>
                    <a:blip r:embed="rId106"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hAnsi="Times New Roman"/>
          <w:color w:val="231F20"/>
          <w:spacing w:val="-16"/>
          <w:sz w:val="20"/>
        </w:rPr>
        <w:t> </w:t>
      </w:r>
      <w:r>
        <w:rPr>
          <w:color w:val="231F20"/>
          <w:sz w:val="20"/>
        </w:rPr>
        <w:t>. After</w:t>
      </w:r>
      <w:r>
        <w:rPr>
          <w:color w:val="231F20"/>
          <w:spacing w:val="14"/>
          <w:sz w:val="20"/>
        </w:rPr>
        <w:t> </w:t>
      </w:r>
      <w:r>
        <w:rPr>
          <w:color w:val="231F20"/>
          <w:sz w:val="20"/>
        </w:rPr>
        <w:t>you</w:t>
      </w:r>
    </w:p>
    <w:p>
      <w:pPr>
        <w:spacing w:after="0" w:line="213" w:lineRule="auto"/>
        <w:jc w:val="left"/>
        <w:rPr>
          <w:sz w:val="20"/>
        </w:rPr>
        <w:sectPr>
          <w:pgSz w:w="12240" w:h="15840"/>
          <w:pgMar w:header="0" w:footer="736" w:top="1220" w:bottom="920" w:left="1000" w:right="1060"/>
        </w:sectPr>
      </w:pPr>
    </w:p>
    <w:p>
      <w:pPr>
        <w:pStyle w:val="BodyText"/>
        <w:spacing w:line="213" w:lineRule="auto" w:before="85"/>
        <w:ind w:left="2472" w:right="385"/>
      </w:pPr>
      <w:bookmarkStart w:name="_bookmark21" w:id="51"/>
      <w:bookmarkEnd w:id="51"/>
      <w:r>
        <w:rPr/>
      </w:r>
      <w:r>
        <w:rPr>
          <w:color w:val="231F20"/>
        </w:rPr>
        <w:t>open and then close the dialog box, the indicator is no longer shown: </w:t>
      </w:r>
      <w:r>
        <w:rPr>
          <w:color w:val="231F20"/>
          <w:spacing w:val="24"/>
          <w:position w:val="-1"/>
        </w:rPr>
        <w:drawing>
          <wp:inline distT="0" distB="0" distL="0" distR="0">
            <wp:extent cx="95250" cy="95250"/>
            <wp:effectExtent l="0" t="0" r="0" b="0"/>
            <wp:docPr id="391" name="Image 391"/>
            <wp:cNvGraphicFramePr>
              <a:graphicFrameLocks/>
            </wp:cNvGraphicFramePr>
            <a:graphic>
              <a:graphicData uri="http://schemas.openxmlformats.org/drawingml/2006/picture">
                <pic:pic>
                  <pic:nvPicPr>
                    <pic:cNvPr id="391" name="Image 391"/>
                    <pic:cNvPicPr/>
                  </pic:nvPicPr>
                  <pic:blipFill>
                    <a:blip r:embed="rId1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2"/>
        </w:rPr>
        <w:t> </w:t>
      </w:r>
      <w:r>
        <w:rPr>
          <w:color w:val="231F20"/>
        </w:rPr>
        <w:t>. The</w:t>
      </w:r>
      <w:r>
        <w:rPr>
          <w:color w:val="231F20"/>
          <w:spacing w:val="40"/>
        </w:rPr>
        <w:t> </w:t>
      </w:r>
      <w:r>
        <w:rPr>
          <w:color w:val="231F20"/>
        </w:rPr>
        <w:t>indicator provides a convenient visual cue when new events arrive that you </w:t>
      </w:r>
      <w:r>
        <w:rPr>
          <w:color w:val="231F20"/>
        </w:rPr>
        <w:t>have not yet seen.</w:t>
      </w:r>
    </w:p>
    <w:p>
      <w:pPr>
        <w:pStyle w:val="Heading6"/>
        <w:spacing w:line="240" w:lineRule="auto" w:before="236"/>
      </w:pPr>
      <w:r>
        <w:rPr>
          <w:color w:val="231F20"/>
        </w:rPr>
        <w:t>Usage</w:t>
      </w:r>
      <w:r>
        <w:rPr>
          <w:color w:val="231F20"/>
          <w:spacing w:val="10"/>
        </w:rPr>
        <w:t> </w:t>
      </w:r>
      <w:r>
        <w:rPr>
          <w:color w:val="231F20"/>
          <w:spacing w:val="-2"/>
        </w:rPr>
        <w:t>note:</w:t>
      </w:r>
    </w:p>
    <w:p>
      <w:pPr>
        <w:pStyle w:val="BodyText"/>
        <w:spacing w:line="213" w:lineRule="auto" w:before="239"/>
        <w:ind w:left="2472" w:right="292"/>
      </w:pPr>
      <w:r>
        <w:rPr>
          <w:color w:val="231F20"/>
        </w:rPr>
        <w:t>If the client application support version is greater than the portal server's</w:t>
      </w:r>
      <w:r>
        <w:rPr>
          <w:color w:val="231F20"/>
          <w:spacing w:val="80"/>
        </w:rPr>
        <w:t> </w:t>
      </w:r>
      <w:r>
        <w:rPr>
          <w:color w:val="231F20"/>
        </w:rPr>
        <w:t>application support version, there is no need to recycle the client. The new </w:t>
      </w:r>
      <w:r>
        <w:rPr>
          <w:color w:val="231F20"/>
        </w:rPr>
        <w:t>support will</w:t>
      </w:r>
      <w:r>
        <w:rPr>
          <w:color w:val="231F20"/>
          <w:spacing w:val="25"/>
        </w:rPr>
        <w:t> </w:t>
      </w:r>
      <w:r>
        <w:rPr>
          <w:color w:val="231F20"/>
        </w:rPr>
        <w:t>work</w:t>
      </w:r>
      <w:r>
        <w:rPr>
          <w:color w:val="231F20"/>
          <w:spacing w:val="25"/>
        </w:rPr>
        <w:t> </w:t>
      </w:r>
      <w:r>
        <w:rPr>
          <w:color w:val="231F20"/>
        </w:rPr>
        <w:t>with</w:t>
      </w:r>
      <w:r>
        <w:rPr>
          <w:color w:val="231F20"/>
          <w:spacing w:val="25"/>
        </w:rPr>
        <w:t> </w:t>
      </w:r>
      <w:r>
        <w:rPr>
          <w:color w:val="231F20"/>
        </w:rPr>
        <w:t>the</w:t>
      </w:r>
      <w:r>
        <w:rPr>
          <w:color w:val="231F20"/>
          <w:spacing w:val="25"/>
        </w:rPr>
        <w:t> </w:t>
      </w:r>
      <w:r>
        <w:rPr>
          <w:color w:val="231F20"/>
        </w:rPr>
        <w:t>earlier</w:t>
      </w:r>
      <w:r>
        <w:rPr>
          <w:color w:val="231F20"/>
          <w:spacing w:val="25"/>
        </w:rPr>
        <w:t> </w:t>
      </w:r>
      <w:r>
        <w:rPr>
          <w:color w:val="231F20"/>
        </w:rPr>
        <w:t>support</w:t>
      </w:r>
      <w:r>
        <w:rPr>
          <w:color w:val="231F20"/>
          <w:spacing w:val="25"/>
        </w:rPr>
        <w:t> </w:t>
      </w:r>
      <w:r>
        <w:rPr>
          <w:color w:val="231F20"/>
        </w:rPr>
        <w:t>that</w:t>
      </w:r>
      <w:r>
        <w:rPr>
          <w:color w:val="231F20"/>
          <w:spacing w:val="25"/>
        </w:rPr>
        <w:t> </w:t>
      </w:r>
      <w:r>
        <w:rPr>
          <w:color w:val="231F20"/>
        </w:rPr>
        <w:t>is</w:t>
      </w:r>
      <w:r>
        <w:rPr>
          <w:color w:val="231F20"/>
          <w:spacing w:val="25"/>
        </w:rPr>
        <w:t> </w:t>
      </w:r>
      <w:r>
        <w:rPr>
          <w:color w:val="231F20"/>
        </w:rPr>
        <w:t>present</w:t>
      </w:r>
      <w:r>
        <w:rPr>
          <w:color w:val="231F20"/>
          <w:spacing w:val="25"/>
        </w:rPr>
        <w:t> </w:t>
      </w:r>
      <w:r>
        <w:rPr>
          <w:color w:val="231F20"/>
        </w:rPr>
        <w:t>on</w:t>
      </w:r>
      <w:r>
        <w:rPr>
          <w:color w:val="231F20"/>
          <w:spacing w:val="25"/>
        </w:rPr>
        <w:t> </w:t>
      </w:r>
      <w:r>
        <w:rPr>
          <w:color w:val="231F20"/>
        </w:rPr>
        <w:t>the</w:t>
      </w:r>
      <w:r>
        <w:rPr>
          <w:color w:val="231F20"/>
          <w:spacing w:val="25"/>
        </w:rPr>
        <w:t> </w:t>
      </w:r>
      <w:r>
        <w:rPr>
          <w:color w:val="231F20"/>
        </w:rPr>
        <w:t>portal</w:t>
      </w:r>
      <w:r>
        <w:rPr>
          <w:color w:val="231F20"/>
          <w:spacing w:val="25"/>
        </w:rPr>
        <w:t> </w:t>
      </w:r>
      <w:r>
        <w:rPr>
          <w:color w:val="231F20"/>
        </w:rPr>
        <w:t>server.</w:t>
      </w:r>
      <w:r>
        <w:rPr>
          <w:color w:val="231F20"/>
          <w:spacing w:val="25"/>
        </w:rPr>
        <w:t> </w:t>
      </w:r>
      <w:r>
        <w:rPr>
          <w:color w:val="231F20"/>
        </w:rPr>
        <w:t>Recycling the</w:t>
      </w:r>
      <w:r>
        <w:rPr>
          <w:color w:val="231F20"/>
          <w:spacing w:val="26"/>
        </w:rPr>
        <w:t> </w:t>
      </w:r>
      <w:r>
        <w:rPr>
          <w:color w:val="231F20"/>
        </w:rPr>
        <w:t>client</w:t>
      </w:r>
      <w:r>
        <w:rPr>
          <w:color w:val="231F20"/>
          <w:spacing w:val="26"/>
        </w:rPr>
        <w:t> </w:t>
      </w:r>
      <w:r>
        <w:rPr>
          <w:color w:val="231F20"/>
        </w:rPr>
        <w:t>does</w:t>
      </w:r>
      <w:r>
        <w:rPr>
          <w:color w:val="231F20"/>
          <w:spacing w:val="26"/>
        </w:rPr>
        <w:t> </w:t>
      </w:r>
      <w:r>
        <w:rPr>
          <w:color w:val="231F20"/>
        </w:rPr>
        <w:t>not</w:t>
      </w:r>
      <w:r>
        <w:rPr>
          <w:color w:val="231F20"/>
          <w:spacing w:val="26"/>
        </w:rPr>
        <w:t> </w:t>
      </w:r>
      <w:r>
        <w:rPr>
          <w:color w:val="231F20"/>
        </w:rPr>
        <w:t>collect</w:t>
      </w:r>
      <w:r>
        <w:rPr>
          <w:color w:val="231F20"/>
          <w:spacing w:val="26"/>
        </w:rPr>
        <w:t> </w:t>
      </w:r>
      <w:r>
        <w:rPr>
          <w:color w:val="231F20"/>
        </w:rPr>
        <w:t>the</w:t>
      </w:r>
      <w:r>
        <w:rPr>
          <w:color w:val="231F20"/>
          <w:spacing w:val="26"/>
        </w:rPr>
        <w:t> </w:t>
      </w:r>
      <w:r>
        <w:rPr>
          <w:color w:val="231F20"/>
        </w:rPr>
        <w:t>earlier</w:t>
      </w:r>
      <w:r>
        <w:rPr>
          <w:color w:val="231F20"/>
          <w:spacing w:val="26"/>
        </w:rPr>
        <w:t> </w:t>
      </w:r>
      <w:r>
        <w:rPr>
          <w:color w:val="231F20"/>
        </w:rPr>
        <w:t>version</w:t>
      </w:r>
      <w:r>
        <w:rPr>
          <w:color w:val="231F20"/>
          <w:spacing w:val="26"/>
        </w:rPr>
        <w:t> </w:t>
      </w:r>
      <w:r>
        <w:rPr>
          <w:color w:val="231F20"/>
        </w:rPr>
        <w:t>of</w:t>
      </w:r>
      <w:r>
        <w:rPr>
          <w:color w:val="231F20"/>
          <w:spacing w:val="26"/>
        </w:rPr>
        <w:t> </w:t>
      </w:r>
      <w:r>
        <w:rPr>
          <w:color w:val="231F20"/>
        </w:rPr>
        <w:t>support</w:t>
      </w:r>
      <w:r>
        <w:rPr>
          <w:color w:val="231F20"/>
          <w:spacing w:val="26"/>
        </w:rPr>
        <w:t> </w:t>
      </w:r>
      <w:r>
        <w:rPr>
          <w:color w:val="231F20"/>
        </w:rPr>
        <w:t>from</w:t>
      </w:r>
      <w:r>
        <w:rPr>
          <w:color w:val="231F20"/>
          <w:spacing w:val="26"/>
        </w:rPr>
        <w:t> </w:t>
      </w:r>
      <w:r>
        <w:rPr>
          <w:color w:val="231F20"/>
        </w:rPr>
        <w:t>the</w:t>
      </w:r>
      <w:r>
        <w:rPr>
          <w:color w:val="231F20"/>
          <w:spacing w:val="26"/>
        </w:rPr>
        <w:t> </w:t>
      </w:r>
      <w:r>
        <w:rPr>
          <w:color w:val="231F20"/>
        </w:rPr>
        <w:t>portal</w:t>
      </w:r>
      <w:r>
        <w:rPr>
          <w:color w:val="231F20"/>
          <w:spacing w:val="26"/>
        </w:rPr>
        <w:t> </w:t>
      </w:r>
      <w:r>
        <w:rPr>
          <w:color w:val="231F20"/>
        </w:rPr>
        <w:t>server unless the Java cache has been cleared to remove the newer version of application support. To clear the Java cache complete the following steps:</w:t>
      </w:r>
    </w:p>
    <w:p>
      <w:pPr>
        <w:pStyle w:val="ListParagraph"/>
        <w:numPr>
          <w:ilvl w:val="1"/>
          <w:numId w:val="7"/>
        </w:numPr>
        <w:tabs>
          <w:tab w:pos="2787" w:val="left" w:leader="none"/>
        </w:tabs>
        <w:spacing w:line="240" w:lineRule="auto" w:before="33" w:after="0"/>
        <w:ind w:left="2787" w:right="0" w:hanging="315"/>
        <w:jc w:val="left"/>
        <w:rPr>
          <w:sz w:val="20"/>
        </w:rPr>
      </w:pPr>
      <w:r>
        <w:rPr>
          <w:color w:val="231F20"/>
          <w:sz w:val="20"/>
        </w:rPr>
        <w:t>If</w:t>
      </w:r>
      <w:r>
        <w:rPr>
          <w:color w:val="231F20"/>
          <w:spacing w:val="9"/>
          <w:sz w:val="20"/>
        </w:rPr>
        <w:t> </w:t>
      </w:r>
      <w:r>
        <w:rPr>
          <w:color w:val="231F20"/>
          <w:sz w:val="20"/>
        </w:rPr>
        <w:t>Tivoli</w:t>
      </w:r>
      <w:r>
        <w:rPr>
          <w:color w:val="231F20"/>
          <w:spacing w:val="10"/>
          <w:sz w:val="20"/>
        </w:rPr>
        <w:t> </w:t>
      </w:r>
      <w:r>
        <w:rPr>
          <w:color w:val="231F20"/>
          <w:sz w:val="20"/>
        </w:rPr>
        <w:t>Enterprise</w:t>
      </w:r>
      <w:r>
        <w:rPr>
          <w:color w:val="231F20"/>
          <w:spacing w:val="10"/>
          <w:sz w:val="20"/>
        </w:rPr>
        <w:t> </w:t>
      </w:r>
      <w:r>
        <w:rPr>
          <w:color w:val="231F20"/>
          <w:sz w:val="20"/>
        </w:rPr>
        <w:t>Portal</w:t>
      </w:r>
      <w:r>
        <w:rPr>
          <w:color w:val="231F20"/>
          <w:spacing w:val="9"/>
          <w:sz w:val="20"/>
        </w:rPr>
        <w:t> </w:t>
      </w:r>
      <w:r>
        <w:rPr>
          <w:color w:val="231F20"/>
          <w:sz w:val="20"/>
        </w:rPr>
        <w:t>is</w:t>
      </w:r>
      <w:r>
        <w:rPr>
          <w:color w:val="231F20"/>
          <w:spacing w:val="10"/>
          <w:sz w:val="20"/>
        </w:rPr>
        <w:t> </w:t>
      </w:r>
      <w:r>
        <w:rPr>
          <w:color w:val="231F20"/>
          <w:sz w:val="20"/>
        </w:rPr>
        <w:t>running,</w:t>
      </w:r>
      <w:r>
        <w:rPr>
          <w:color w:val="231F20"/>
          <w:spacing w:val="10"/>
          <w:sz w:val="20"/>
        </w:rPr>
        <w:t> </w:t>
      </w:r>
      <w:r>
        <w:rPr>
          <w:color w:val="231F20"/>
          <w:sz w:val="20"/>
        </w:rPr>
        <w:t>exit</w:t>
      </w:r>
      <w:r>
        <w:rPr>
          <w:color w:val="231F20"/>
          <w:spacing w:val="10"/>
          <w:sz w:val="20"/>
        </w:rPr>
        <w:t> </w:t>
      </w:r>
      <w:r>
        <w:rPr>
          <w:color w:val="231F20"/>
          <w:sz w:val="20"/>
        </w:rPr>
        <w:t>by</w:t>
      </w:r>
      <w:r>
        <w:rPr>
          <w:color w:val="231F20"/>
          <w:spacing w:val="9"/>
          <w:sz w:val="20"/>
        </w:rPr>
        <w:t> </w:t>
      </w:r>
      <w:r>
        <w:rPr>
          <w:color w:val="231F20"/>
          <w:sz w:val="20"/>
        </w:rPr>
        <w:t>closing</w:t>
      </w:r>
      <w:r>
        <w:rPr>
          <w:color w:val="231F20"/>
          <w:spacing w:val="10"/>
          <w:sz w:val="20"/>
        </w:rPr>
        <w:t> </w:t>
      </w:r>
      <w:r>
        <w:rPr>
          <w:color w:val="231F20"/>
          <w:sz w:val="20"/>
        </w:rPr>
        <w:t>the</w:t>
      </w:r>
      <w:r>
        <w:rPr>
          <w:color w:val="231F20"/>
          <w:spacing w:val="10"/>
          <w:sz w:val="20"/>
        </w:rPr>
        <w:t> </w:t>
      </w:r>
      <w:r>
        <w:rPr>
          <w:color w:val="231F20"/>
          <w:sz w:val="20"/>
        </w:rPr>
        <w:t>browser</w:t>
      </w:r>
      <w:r>
        <w:rPr>
          <w:color w:val="231F20"/>
          <w:spacing w:val="10"/>
          <w:sz w:val="20"/>
        </w:rPr>
        <w:t> </w:t>
      </w:r>
      <w:r>
        <w:rPr>
          <w:color w:val="231F20"/>
          <w:spacing w:val="-2"/>
          <w:sz w:val="20"/>
        </w:rPr>
        <w:t>window.</w:t>
      </w:r>
    </w:p>
    <w:p>
      <w:pPr>
        <w:pStyle w:val="ListParagraph"/>
        <w:numPr>
          <w:ilvl w:val="1"/>
          <w:numId w:val="7"/>
        </w:numPr>
        <w:tabs>
          <w:tab w:pos="2788" w:val="left" w:leader="none"/>
        </w:tabs>
        <w:spacing w:line="213" w:lineRule="auto" w:before="52" w:after="0"/>
        <w:ind w:left="2788" w:right="739" w:hanging="316"/>
        <w:jc w:val="left"/>
        <w:rPr>
          <w:sz w:val="20"/>
        </w:rPr>
      </w:pPr>
      <w:r>
        <w:rPr>
          <w:color w:val="231F20"/>
          <w:sz w:val="20"/>
        </w:rPr>
        <w:t>Start the Java Control Panel. Go to </w:t>
      </w:r>
      <w:r>
        <w:rPr>
          <w:rFonts w:ascii="Book Antiqua"/>
          <w:b/>
          <w:color w:val="231F20"/>
          <w:sz w:val="20"/>
        </w:rPr>
        <w:t>Start &gt; Settings &gt; Control Panel</w:t>
      </w:r>
      <w:r>
        <w:rPr>
          <w:color w:val="231F20"/>
          <w:sz w:val="20"/>
        </w:rPr>
        <w:t>, then double-click the Java Control Panel icon.</w:t>
      </w:r>
    </w:p>
    <w:p>
      <w:pPr>
        <w:pStyle w:val="ListParagraph"/>
        <w:numPr>
          <w:ilvl w:val="1"/>
          <w:numId w:val="7"/>
        </w:numPr>
        <w:tabs>
          <w:tab w:pos="2788" w:val="left" w:leader="none"/>
        </w:tabs>
        <w:spacing w:line="213" w:lineRule="auto" w:before="59" w:after="0"/>
        <w:ind w:left="2788" w:right="568" w:hanging="316"/>
        <w:jc w:val="left"/>
        <w:rPr>
          <w:sz w:val="20"/>
        </w:rPr>
      </w:pPr>
      <w:r>
        <w:rPr>
          <w:color w:val="231F20"/>
          <w:sz w:val="20"/>
        </w:rPr>
        <w:t>In the Java Control Panel window, on the </w:t>
      </w:r>
      <w:r>
        <w:rPr>
          <w:rFonts w:ascii="Book Antiqua"/>
          <w:b/>
          <w:color w:val="231F20"/>
          <w:sz w:val="20"/>
        </w:rPr>
        <w:t>General </w:t>
      </w:r>
      <w:r>
        <w:rPr>
          <w:color w:val="231F20"/>
          <w:sz w:val="20"/>
        </w:rPr>
        <w:t>tab delete the </w:t>
      </w:r>
      <w:r>
        <w:rPr>
          <w:color w:val="231F20"/>
          <w:sz w:val="20"/>
        </w:rPr>
        <w:t>temporary internet files. When the JAR cache is cleared, click </w:t>
      </w:r>
      <w:r>
        <w:rPr>
          <w:rFonts w:ascii="Book Antiqua"/>
          <w:b/>
          <w:color w:val="231F20"/>
          <w:sz w:val="20"/>
        </w:rPr>
        <w:t>OK</w:t>
      </w:r>
      <w:r>
        <w:rPr>
          <w:color w:val="231F20"/>
          <w:sz w:val="20"/>
        </w:rPr>
        <w:t>.</w:t>
      </w:r>
    </w:p>
    <w:p>
      <w:pPr>
        <w:pStyle w:val="ListParagraph"/>
        <w:numPr>
          <w:ilvl w:val="1"/>
          <w:numId w:val="7"/>
        </w:numPr>
        <w:tabs>
          <w:tab w:pos="2787" w:val="left" w:leader="none"/>
        </w:tabs>
        <w:spacing w:line="240" w:lineRule="auto" w:before="35" w:after="0"/>
        <w:ind w:left="2787" w:right="0" w:hanging="315"/>
        <w:jc w:val="left"/>
        <w:rPr>
          <w:sz w:val="20"/>
        </w:rPr>
      </w:pPr>
      <w:r>
        <w:rPr>
          <w:color w:val="231F20"/>
          <w:sz w:val="20"/>
        </w:rPr>
        <w:t>Restart</w:t>
      </w:r>
      <w:r>
        <w:rPr>
          <w:color w:val="231F20"/>
          <w:spacing w:val="8"/>
          <w:sz w:val="20"/>
        </w:rPr>
        <w:t> </w:t>
      </w:r>
      <w:r>
        <w:rPr>
          <w:color w:val="231F20"/>
          <w:sz w:val="20"/>
        </w:rPr>
        <w:t>the</w:t>
      </w:r>
      <w:r>
        <w:rPr>
          <w:color w:val="231F20"/>
          <w:spacing w:val="8"/>
          <w:sz w:val="20"/>
        </w:rPr>
        <w:t> </w:t>
      </w:r>
      <w:r>
        <w:rPr>
          <w:color w:val="231F20"/>
          <w:sz w:val="20"/>
        </w:rPr>
        <w:t>Tivoli</w:t>
      </w:r>
      <w:r>
        <w:rPr>
          <w:color w:val="231F20"/>
          <w:spacing w:val="8"/>
          <w:sz w:val="20"/>
        </w:rPr>
        <w:t> </w:t>
      </w:r>
      <w:r>
        <w:rPr>
          <w:color w:val="231F20"/>
          <w:sz w:val="20"/>
        </w:rPr>
        <w:t>Enterprise</w:t>
      </w:r>
      <w:r>
        <w:rPr>
          <w:color w:val="231F20"/>
          <w:spacing w:val="8"/>
          <w:sz w:val="20"/>
        </w:rPr>
        <w:t> </w:t>
      </w:r>
      <w:r>
        <w:rPr>
          <w:color w:val="231F20"/>
          <w:sz w:val="20"/>
        </w:rPr>
        <w:t>Portal</w:t>
      </w:r>
      <w:r>
        <w:rPr>
          <w:color w:val="231F20"/>
          <w:spacing w:val="8"/>
          <w:sz w:val="20"/>
        </w:rPr>
        <w:t> </w:t>
      </w:r>
      <w:r>
        <w:rPr>
          <w:color w:val="231F20"/>
          <w:spacing w:val="-2"/>
          <w:sz w:val="20"/>
        </w:rPr>
        <w:t>client.</w:t>
      </w:r>
    </w:p>
    <w:p>
      <w:pPr>
        <w:pStyle w:val="BodyText"/>
        <w:rPr>
          <w:sz w:val="16"/>
        </w:rPr>
      </w:pPr>
      <w:r>
        <w:rPr/>
        <mc:AlternateContent>
          <mc:Choice Requires="wps">
            <w:drawing>
              <wp:anchor distT="0" distB="0" distL="0" distR="0" allowOverlap="1" layoutInCell="1" locked="0" behindDoc="1" simplePos="0" relativeHeight="487632896">
                <wp:simplePos x="0" y="0"/>
                <wp:positionH relativeFrom="page">
                  <wp:posOffset>912380</wp:posOffset>
                </wp:positionH>
                <wp:positionV relativeFrom="paragraph">
                  <wp:posOffset>152382</wp:posOffset>
                </wp:positionV>
                <wp:extent cx="6082665" cy="1270"/>
                <wp:effectExtent l="0" t="0" r="0" b="0"/>
                <wp:wrapTopAndBottom/>
                <wp:docPr id="392" name="Graphic 392"/>
                <wp:cNvGraphicFramePr>
                  <a:graphicFrameLocks/>
                </wp:cNvGraphicFramePr>
                <a:graphic>
                  <a:graphicData uri="http://schemas.microsoft.com/office/word/2010/wordprocessingShape">
                    <wps:wsp>
                      <wps:cNvPr id="392" name="Graphic 39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98604pt;width:478.95pt;height:.1pt;mso-position-horizontal-relative:page;mso-position-vertical-relative:paragraph;z-index:-15683584;mso-wrap-distance-left:0;mso-wrap-distance-right:0" id="docshape62" coordorigin="1437,240" coordsize="9579,0" path="m1437,240l11016,240e" filled="false" stroked="true" strokeweight=".499pt" strokecolor="#231f20">
                <v:path arrowok="t"/>
                <v:stroke dashstyle="solid"/>
                <w10:wrap type="topAndBottom"/>
              </v:shape>
            </w:pict>
          </mc:Fallback>
        </mc:AlternateContent>
      </w:r>
    </w:p>
    <w:p>
      <w:pPr>
        <w:pStyle w:val="Heading3"/>
        <w:ind w:left="0" w:right="6481"/>
        <w:jc w:val="right"/>
      </w:pPr>
      <w:bookmarkStart w:name="Removing an event item" w:id="52"/>
      <w:bookmarkEnd w:id="52"/>
      <w:r>
        <w:rPr>
          <w:b w:val="0"/>
        </w:rPr>
      </w:r>
      <w:r>
        <w:rPr>
          <w:color w:val="231F20"/>
        </w:rPr>
        <w:t>Removing</w:t>
      </w:r>
      <w:r>
        <w:rPr>
          <w:color w:val="231F20"/>
          <w:spacing w:val="6"/>
        </w:rPr>
        <w:t> </w:t>
      </w:r>
      <w:r>
        <w:rPr>
          <w:color w:val="231F20"/>
        </w:rPr>
        <w:t>an</w:t>
      </w:r>
      <w:r>
        <w:rPr>
          <w:color w:val="231F20"/>
          <w:spacing w:val="7"/>
        </w:rPr>
        <w:t> </w:t>
      </w:r>
      <w:r>
        <w:rPr>
          <w:color w:val="231F20"/>
        </w:rPr>
        <w:t>event</w:t>
      </w:r>
      <w:r>
        <w:rPr>
          <w:color w:val="231F20"/>
          <w:spacing w:val="7"/>
        </w:rPr>
        <w:t> </w:t>
      </w:r>
      <w:r>
        <w:rPr>
          <w:color w:val="231F20"/>
          <w:spacing w:val="-4"/>
        </w:rPr>
        <w:t>item</w:t>
      </w:r>
    </w:p>
    <w:p>
      <w:pPr>
        <w:pStyle w:val="BodyText"/>
        <w:spacing w:line="213" w:lineRule="auto" w:before="138"/>
        <w:ind w:left="2472" w:right="385"/>
      </w:pPr>
      <w:r>
        <w:rPr>
          <w:color w:val="231F20"/>
        </w:rPr>
        <w:t>When you open an event results workspace, a new item is displayed in the Navigator. If you use event acknowledgement, other icons overlay the situation icon. If you close the event, all overlay icons are removed, but the Navigator item itself is not removed until you end your Tivoli Enterprise Portal session. If you </w:t>
      </w:r>
      <w:r>
        <w:rPr>
          <w:color w:val="231F20"/>
        </w:rPr>
        <w:t>do not want to have the event item in the Navigator, you can remove it.</w:t>
      </w:r>
    </w:p>
    <w:p>
      <w:pPr>
        <w:pStyle w:val="BodyText"/>
        <w:spacing w:line="213" w:lineRule="auto" w:before="236"/>
        <w:ind w:left="2472" w:right="385"/>
      </w:pPr>
      <w:r>
        <w:rPr>
          <w:color w:val="231F20"/>
        </w:rPr>
        <w:t>This does not affect the event or operation of the situation, only its appearance </w:t>
      </w:r>
      <w:r>
        <w:rPr>
          <w:color w:val="231F20"/>
        </w:rPr>
        <w:t>in the Navigator.</w:t>
      </w:r>
    </w:p>
    <w:p>
      <w:pPr>
        <w:pStyle w:val="Heading4"/>
        <w:ind w:left="0" w:right="6521"/>
        <w:jc w:val="right"/>
      </w:pPr>
      <w:r>
        <w:rPr>
          <w:color w:val="231F20"/>
          <w:spacing w:val="-2"/>
        </w:rPr>
        <w:t>Procedure</w:t>
      </w:r>
    </w:p>
    <w:p>
      <w:pPr>
        <w:pStyle w:val="BodyText"/>
        <w:spacing w:line="213" w:lineRule="auto" w:before="242"/>
        <w:ind w:left="2472" w:right="274"/>
      </w:pPr>
      <w:r>
        <w:rPr>
          <w:color w:val="231F20"/>
        </w:rPr>
        <w:t>To remove an event item, in the Navigator right-click the </w:t>
      </w:r>
      <w:r>
        <w:rPr>
          <w:color w:val="231F20"/>
          <w:spacing w:val="15"/>
          <w:position w:val="-1"/>
        </w:rPr>
        <w:drawing>
          <wp:inline distT="0" distB="0" distL="0" distR="0">
            <wp:extent cx="101600" cy="95250"/>
            <wp:effectExtent l="0" t="0" r="0" b="0"/>
            <wp:docPr id="393" name="Image 393"/>
            <wp:cNvGraphicFramePr>
              <a:graphicFrameLocks/>
            </wp:cNvGraphicFramePr>
            <a:graphic>
              <a:graphicData uri="http://schemas.openxmlformats.org/drawingml/2006/picture">
                <pic:pic>
                  <pic:nvPicPr>
                    <pic:cNvPr id="393" name="Image 393"/>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situation name and</w:t>
      </w:r>
      <w:r>
        <w:rPr>
          <w:color w:val="231F20"/>
          <w:spacing w:val="40"/>
        </w:rPr>
        <w:t> </w:t>
      </w:r>
      <w:r>
        <w:rPr>
          <w:color w:val="231F20"/>
        </w:rPr>
        <w:t>click</w:t>
      </w:r>
      <w:r>
        <w:rPr>
          <w:color w:val="231F20"/>
          <w:spacing w:val="32"/>
        </w:rPr>
        <w:t> </w:t>
      </w:r>
      <w:r>
        <w:rPr>
          <w:color w:val="231F20"/>
          <w:spacing w:val="-24"/>
          <w:position w:val="-1"/>
        </w:rPr>
        <w:drawing>
          <wp:inline distT="0" distB="0" distL="0" distR="0">
            <wp:extent cx="95250" cy="95250"/>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Remove</w:t>
      </w:r>
      <w:r>
        <w:rPr>
          <w:color w:val="231F20"/>
        </w:rPr>
        <w:t>. The event item is removed from the Navigator. To see it again, you need open its workspace by selecting the true situation from the event </w:t>
      </w:r>
      <w:r>
        <w:rPr>
          <w:color w:val="231F20"/>
        </w:rPr>
        <w:t>flyover </w:t>
      </w:r>
      <w:r>
        <w:rPr>
          <w:color w:val="231F20"/>
          <w:spacing w:val="-2"/>
        </w:rPr>
        <w:t>list.</w:t>
      </w:r>
    </w:p>
    <w:p>
      <w:pPr>
        <w:pStyle w:val="Heading4"/>
        <w:spacing w:before="198"/>
        <w:ind w:left="2472"/>
      </w:pPr>
      <w:r>
        <w:rPr>
          <w:color w:val="231F20"/>
          <w:spacing w:val="-2"/>
        </w:rPr>
        <w:t>Example</w:t>
      </w:r>
    </w:p>
    <w:p>
      <w:pPr>
        <w:pStyle w:val="BodyText"/>
        <w:spacing w:before="218"/>
        <w:ind w:left="2472"/>
      </w:pPr>
      <w:r>
        <w:rPr>
          <w:color w:val="231F20"/>
        </w:rPr>
        <w:t>Here</w:t>
      </w:r>
      <w:r>
        <w:rPr>
          <w:color w:val="231F20"/>
          <w:spacing w:val="11"/>
        </w:rPr>
        <w:t> </w:t>
      </w:r>
      <w:r>
        <w:rPr>
          <w:color w:val="231F20"/>
        </w:rPr>
        <w:t>are</w:t>
      </w:r>
      <w:r>
        <w:rPr>
          <w:color w:val="231F20"/>
          <w:spacing w:val="11"/>
        </w:rPr>
        <w:t> </w:t>
      </w:r>
      <w:r>
        <w:rPr>
          <w:color w:val="231F20"/>
        </w:rPr>
        <w:t>some</w:t>
      </w:r>
      <w:r>
        <w:rPr>
          <w:color w:val="231F20"/>
          <w:spacing w:val="12"/>
        </w:rPr>
        <w:t> </w:t>
      </w:r>
      <w:r>
        <w:rPr>
          <w:color w:val="231F20"/>
        </w:rPr>
        <w:t>examples</w:t>
      </w:r>
      <w:r>
        <w:rPr>
          <w:color w:val="231F20"/>
          <w:spacing w:val="11"/>
        </w:rPr>
        <w:t> </w:t>
      </w:r>
      <w:r>
        <w:rPr>
          <w:color w:val="231F20"/>
        </w:rPr>
        <w:t>of</w:t>
      </w:r>
      <w:r>
        <w:rPr>
          <w:color w:val="231F20"/>
          <w:spacing w:val="12"/>
        </w:rPr>
        <w:t> </w:t>
      </w:r>
      <w:r>
        <w:rPr>
          <w:color w:val="231F20"/>
        </w:rPr>
        <w:t>event</w:t>
      </w:r>
      <w:r>
        <w:rPr>
          <w:color w:val="231F20"/>
          <w:spacing w:val="11"/>
        </w:rPr>
        <w:t> </w:t>
      </w:r>
      <w:r>
        <w:rPr>
          <w:color w:val="231F20"/>
        </w:rPr>
        <w:t>icons</w:t>
      </w:r>
      <w:r>
        <w:rPr>
          <w:color w:val="231F20"/>
          <w:spacing w:val="12"/>
        </w:rPr>
        <w:t> </w:t>
      </w:r>
      <w:r>
        <w:rPr>
          <w:color w:val="231F20"/>
        </w:rPr>
        <w:t>that</w:t>
      </w:r>
      <w:r>
        <w:rPr>
          <w:color w:val="231F20"/>
          <w:spacing w:val="11"/>
        </w:rPr>
        <w:t> </w:t>
      </w:r>
      <w:r>
        <w:rPr>
          <w:color w:val="231F20"/>
        </w:rPr>
        <w:t>you</w:t>
      </w:r>
      <w:r>
        <w:rPr>
          <w:color w:val="231F20"/>
          <w:spacing w:val="12"/>
        </w:rPr>
        <w:t> </w:t>
      </w:r>
      <w:r>
        <w:rPr>
          <w:color w:val="231F20"/>
        </w:rPr>
        <w:t>might</w:t>
      </w:r>
      <w:r>
        <w:rPr>
          <w:color w:val="231F20"/>
          <w:spacing w:val="11"/>
        </w:rPr>
        <w:t> </w:t>
      </w:r>
      <w:r>
        <w:rPr>
          <w:color w:val="231F20"/>
        </w:rPr>
        <w:t>see</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spacing w:val="-2"/>
        </w:rPr>
        <w:t>Navigator:</w:t>
      </w:r>
    </w:p>
    <w:p>
      <w:pPr>
        <w:spacing w:line="237" w:lineRule="auto" w:before="157"/>
        <w:ind w:left="3119" w:right="5655" w:firstLine="0"/>
        <w:jc w:val="left"/>
        <w:rPr>
          <w:sz w:val="18"/>
        </w:rPr>
      </w:pPr>
      <w:r>
        <w:rPr/>
        <w:drawing>
          <wp:anchor distT="0" distB="0" distL="0" distR="0" allowOverlap="1" layoutInCell="1" locked="0" behindDoc="0" simplePos="0" relativeHeight="15774208">
            <wp:simplePos x="0" y="0"/>
            <wp:positionH relativeFrom="page">
              <wp:posOffset>2204928</wp:posOffset>
            </wp:positionH>
            <wp:positionV relativeFrom="paragraph">
              <wp:posOffset>149023</wp:posOffset>
            </wp:positionV>
            <wp:extent cx="107950" cy="95250"/>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128" cstate="print"/>
                    <a:stretch>
                      <a:fillRect/>
                    </a:stretch>
                  </pic:blipFill>
                  <pic:spPr>
                    <a:xfrm>
                      <a:off x="0" y="0"/>
                      <a:ext cx="107950" cy="95250"/>
                    </a:xfrm>
                    <a:prstGeom prst="rect">
                      <a:avLst/>
                    </a:prstGeom>
                  </pic:spPr>
                </pic:pic>
              </a:graphicData>
            </a:graphic>
          </wp:anchor>
        </w:drawing>
      </w:r>
      <w:r>
        <w:rPr/>
        <w:drawing>
          <wp:anchor distT="0" distB="0" distL="0" distR="0" allowOverlap="1" layoutInCell="1" locked="0" behindDoc="0" simplePos="0" relativeHeight="15774720">
            <wp:simplePos x="0" y="0"/>
            <wp:positionH relativeFrom="page">
              <wp:posOffset>2204928</wp:posOffset>
            </wp:positionH>
            <wp:positionV relativeFrom="paragraph">
              <wp:posOffset>301087</wp:posOffset>
            </wp:positionV>
            <wp:extent cx="107950" cy="95250"/>
            <wp:effectExtent l="0" t="0" r="0" b="0"/>
            <wp:wrapNone/>
            <wp:docPr id="396" name="Image 396"/>
            <wp:cNvGraphicFramePr>
              <a:graphicFrameLocks/>
            </wp:cNvGraphicFramePr>
            <a:graphic>
              <a:graphicData uri="http://schemas.openxmlformats.org/drawingml/2006/picture">
                <pic:pic>
                  <pic:nvPicPr>
                    <pic:cNvPr id="396" name="Image 396"/>
                    <pic:cNvPicPr/>
                  </pic:nvPicPr>
                  <pic:blipFill>
                    <a:blip r:embed="rId129" cstate="print"/>
                    <a:stretch>
                      <a:fillRect/>
                    </a:stretch>
                  </pic:blipFill>
                  <pic:spPr>
                    <a:xfrm>
                      <a:off x="0" y="0"/>
                      <a:ext cx="107950" cy="95250"/>
                    </a:xfrm>
                    <a:prstGeom prst="rect">
                      <a:avLst/>
                    </a:prstGeom>
                  </pic:spPr>
                </pic:pic>
              </a:graphicData>
            </a:graphic>
          </wp:anchor>
        </w:drawing>
      </w:r>
      <w:r>
        <w:rPr>
          <w:color w:val="231F20"/>
          <w:sz w:val="18"/>
        </w:rPr>
        <w:t>A critical event.</w:t>
      </w:r>
      <w:r>
        <w:rPr>
          <w:color w:val="231F20"/>
          <w:spacing w:val="40"/>
          <w:sz w:val="18"/>
        </w:rPr>
        <w:t> </w:t>
      </w:r>
      <w:r>
        <w:rPr>
          <w:color w:val="231F20"/>
          <w:sz w:val="18"/>
        </w:rPr>
        <w:t>A</w:t>
      </w:r>
      <w:r>
        <w:rPr>
          <w:color w:val="231F20"/>
          <w:spacing w:val="-12"/>
          <w:sz w:val="18"/>
        </w:rPr>
        <w:t> </w:t>
      </w:r>
      <w:r>
        <w:rPr>
          <w:color w:val="231F20"/>
          <w:sz w:val="18"/>
        </w:rPr>
        <w:t>warning</w:t>
      </w:r>
      <w:r>
        <w:rPr>
          <w:color w:val="231F20"/>
          <w:spacing w:val="-6"/>
          <w:sz w:val="18"/>
        </w:rPr>
        <w:t> </w:t>
      </w:r>
      <w:r>
        <w:rPr>
          <w:color w:val="231F20"/>
          <w:sz w:val="18"/>
        </w:rPr>
        <w:t>event.</w:t>
      </w:r>
    </w:p>
    <w:p>
      <w:pPr>
        <w:spacing w:line="237" w:lineRule="exact" w:before="0"/>
        <w:ind w:left="3119" w:right="0" w:firstLine="0"/>
        <w:jc w:val="left"/>
        <w:rPr>
          <w:sz w:val="18"/>
        </w:rPr>
      </w:pPr>
      <w:r>
        <w:rPr/>
        <w:drawing>
          <wp:anchor distT="0" distB="0" distL="0" distR="0" allowOverlap="1" layoutInCell="1" locked="0" behindDoc="0" simplePos="0" relativeHeight="15775232">
            <wp:simplePos x="0" y="0"/>
            <wp:positionH relativeFrom="page">
              <wp:posOffset>2211278</wp:posOffset>
            </wp:positionH>
            <wp:positionV relativeFrom="paragraph">
              <wp:posOffset>48130</wp:posOffset>
            </wp:positionV>
            <wp:extent cx="95250" cy="95250"/>
            <wp:effectExtent l="0" t="0" r="0" b="0"/>
            <wp:wrapNone/>
            <wp:docPr id="397" name="Image 397"/>
            <wp:cNvGraphicFramePr>
              <a:graphicFrameLocks/>
            </wp:cNvGraphicFramePr>
            <a:graphic>
              <a:graphicData uri="http://schemas.openxmlformats.org/drawingml/2006/picture">
                <pic:pic>
                  <pic:nvPicPr>
                    <pic:cNvPr id="397" name="Image 397"/>
                    <pic:cNvPicPr/>
                  </pic:nvPicPr>
                  <pic:blipFill>
                    <a:blip r:embed="rId110" cstate="print"/>
                    <a:stretch>
                      <a:fillRect/>
                    </a:stretch>
                  </pic:blipFill>
                  <pic:spPr>
                    <a:xfrm>
                      <a:off x="0" y="0"/>
                      <a:ext cx="95250" cy="95250"/>
                    </a:xfrm>
                    <a:prstGeom prst="rect">
                      <a:avLst/>
                    </a:prstGeom>
                  </pic:spPr>
                </pic:pic>
              </a:graphicData>
            </a:graphic>
          </wp:anchor>
        </w:drawing>
      </w:r>
      <w:r>
        <w:rPr>
          <w:color w:val="231F20"/>
          <w:sz w:val="18"/>
        </w:rPr>
        <w:t>A warning</w:t>
      </w:r>
      <w:r>
        <w:rPr>
          <w:color w:val="231F20"/>
          <w:spacing w:val="11"/>
          <w:sz w:val="18"/>
        </w:rPr>
        <w:t> </w:t>
      </w:r>
      <w:r>
        <w:rPr>
          <w:color w:val="231F20"/>
          <w:sz w:val="18"/>
        </w:rPr>
        <w:t>event</w:t>
      </w:r>
      <w:r>
        <w:rPr>
          <w:color w:val="231F20"/>
          <w:spacing w:val="10"/>
          <w:sz w:val="18"/>
        </w:rPr>
        <w:t> </w:t>
      </w:r>
      <w:r>
        <w:rPr>
          <w:color w:val="231F20"/>
          <w:sz w:val="18"/>
        </w:rPr>
        <w:t>that</w:t>
      </w:r>
      <w:r>
        <w:rPr>
          <w:color w:val="231F20"/>
          <w:spacing w:val="10"/>
          <w:sz w:val="18"/>
        </w:rPr>
        <w:t> </w:t>
      </w:r>
      <w:r>
        <w:rPr>
          <w:color w:val="231F20"/>
          <w:sz w:val="18"/>
        </w:rPr>
        <w:t>has</w:t>
      </w:r>
      <w:r>
        <w:rPr>
          <w:color w:val="231F20"/>
          <w:spacing w:val="10"/>
          <w:sz w:val="18"/>
        </w:rPr>
        <w:t> </w:t>
      </w:r>
      <w:r>
        <w:rPr>
          <w:color w:val="231F20"/>
          <w:sz w:val="18"/>
        </w:rPr>
        <w:t>been</w:t>
      </w:r>
      <w:r>
        <w:rPr>
          <w:color w:val="231F20"/>
          <w:spacing w:val="10"/>
          <w:sz w:val="18"/>
        </w:rPr>
        <w:t> </w:t>
      </w:r>
      <w:r>
        <w:rPr>
          <w:color w:val="231F20"/>
          <w:spacing w:val="-2"/>
          <w:sz w:val="18"/>
        </w:rPr>
        <w:t>acknowledged.</w:t>
      </w:r>
    </w:p>
    <w:p>
      <w:pPr>
        <w:spacing w:line="239" w:lineRule="exact" w:before="0"/>
        <w:ind w:left="3119" w:right="0" w:firstLine="0"/>
        <w:jc w:val="left"/>
        <w:rPr>
          <w:sz w:val="18"/>
        </w:rPr>
      </w:pPr>
      <w:r>
        <w:rPr/>
        <w:drawing>
          <wp:anchor distT="0" distB="0" distL="0" distR="0" allowOverlap="1" layoutInCell="1" locked="0" behindDoc="0" simplePos="0" relativeHeight="15775744">
            <wp:simplePos x="0" y="0"/>
            <wp:positionH relativeFrom="page">
              <wp:posOffset>2204928</wp:posOffset>
            </wp:positionH>
            <wp:positionV relativeFrom="paragraph">
              <wp:posOffset>49457</wp:posOffset>
            </wp:positionV>
            <wp:extent cx="107950" cy="95250"/>
            <wp:effectExtent l="0" t="0" r="0" b="0"/>
            <wp:wrapNone/>
            <wp:docPr id="398" name="Image 398"/>
            <wp:cNvGraphicFramePr>
              <a:graphicFrameLocks/>
            </wp:cNvGraphicFramePr>
            <a:graphic>
              <a:graphicData uri="http://schemas.openxmlformats.org/drawingml/2006/picture">
                <pic:pic>
                  <pic:nvPicPr>
                    <pic:cNvPr id="398" name="Image 398"/>
                    <pic:cNvPicPr/>
                  </pic:nvPicPr>
                  <pic:blipFill>
                    <a:blip r:embed="rId130" cstate="print"/>
                    <a:stretch>
                      <a:fillRect/>
                    </a:stretch>
                  </pic:blipFill>
                  <pic:spPr>
                    <a:xfrm>
                      <a:off x="0" y="0"/>
                      <a:ext cx="107950" cy="95250"/>
                    </a:xfrm>
                    <a:prstGeom prst="rect">
                      <a:avLst/>
                    </a:prstGeom>
                  </pic:spPr>
                </pic:pic>
              </a:graphicData>
            </a:graphic>
          </wp:anchor>
        </w:drawing>
      </w:r>
      <w:r>
        <w:rPr>
          <w:color w:val="231F20"/>
          <w:sz w:val="18"/>
        </w:rPr>
        <w:t>A</w:t>
      </w:r>
      <w:r>
        <w:rPr>
          <w:color w:val="231F20"/>
          <w:spacing w:val="-1"/>
          <w:sz w:val="18"/>
        </w:rPr>
        <w:t> </w:t>
      </w:r>
      <w:r>
        <w:rPr>
          <w:color w:val="231F20"/>
          <w:sz w:val="18"/>
        </w:rPr>
        <w:t>warning</w:t>
      </w:r>
      <w:r>
        <w:rPr>
          <w:color w:val="231F20"/>
          <w:spacing w:val="8"/>
          <w:sz w:val="18"/>
        </w:rPr>
        <w:t> </w:t>
      </w:r>
      <w:r>
        <w:rPr>
          <w:color w:val="231F20"/>
          <w:sz w:val="18"/>
        </w:rPr>
        <w:t>event</w:t>
      </w:r>
      <w:r>
        <w:rPr>
          <w:color w:val="231F20"/>
          <w:spacing w:val="7"/>
          <w:sz w:val="18"/>
        </w:rPr>
        <w:t> </w:t>
      </w:r>
      <w:r>
        <w:rPr>
          <w:color w:val="231F20"/>
          <w:sz w:val="18"/>
        </w:rPr>
        <w:t>whose</w:t>
      </w:r>
      <w:r>
        <w:rPr>
          <w:color w:val="231F20"/>
          <w:spacing w:val="8"/>
          <w:sz w:val="18"/>
        </w:rPr>
        <w:t> </w:t>
      </w:r>
      <w:r>
        <w:rPr>
          <w:color w:val="231F20"/>
          <w:sz w:val="18"/>
        </w:rPr>
        <w:t>acknowledgement</w:t>
      </w:r>
      <w:r>
        <w:rPr>
          <w:color w:val="231F20"/>
          <w:spacing w:val="8"/>
          <w:sz w:val="18"/>
        </w:rPr>
        <w:t> </w:t>
      </w:r>
      <w:r>
        <w:rPr>
          <w:color w:val="231F20"/>
          <w:sz w:val="18"/>
        </w:rPr>
        <w:t>has</w:t>
      </w:r>
      <w:r>
        <w:rPr>
          <w:color w:val="231F20"/>
          <w:spacing w:val="8"/>
          <w:sz w:val="18"/>
        </w:rPr>
        <w:t> </w:t>
      </w:r>
      <w:r>
        <w:rPr>
          <w:color w:val="231F20"/>
          <w:spacing w:val="-2"/>
          <w:sz w:val="18"/>
        </w:rPr>
        <w:t>expired.</w:t>
      </w:r>
    </w:p>
    <w:p>
      <w:pPr>
        <w:spacing w:line="216" w:lineRule="auto" w:before="18"/>
        <w:ind w:left="3119" w:right="385" w:firstLine="0"/>
        <w:jc w:val="left"/>
        <w:rPr>
          <w:sz w:val="18"/>
        </w:rPr>
      </w:pPr>
      <w:r>
        <w:rPr/>
        <w:drawing>
          <wp:anchor distT="0" distB="0" distL="0" distR="0" allowOverlap="1" layoutInCell="1" locked="0" behindDoc="0" simplePos="0" relativeHeight="15776256">
            <wp:simplePos x="0" y="0"/>
            <wp:positionH relativeFrom="page">
              <wp:posOffset>2204928</wp:posOffset>
            </wp:positionH>
            <wp:positionV relativeFrom="paragraph">
              <wp:posOffset>49457</wp:posOffset>
            </wp:positionV>
            <wp:extent cx="107950" cy="95250"/>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131" cstate="print"/>
                    <a:stretch>
                      <a:fillRect/>
                    </a:stretch>
                  </pic:blipFill>
                  <pic:spPr>
                    <a:xfrm>
                      <a:off x="0" y="0"/>
                      <a:ext cx="107950" cy="95250"/>
                    </a:xfrm>
                    <a:prstGeom prst="rect">
                      <a:avLst/>
                    </a:prstGeom>
                  </pic:spPr>
                </pic:pic>
              </a:graphicData>
            </a:graphic>
          </wp:anchor>
        </w:drawing>
      </w:r>
      <w:r>
        <w:rPr>
          <w:color w:val="231F20"/>
          <w:sz w:val="18"/>
        </w:rPr>
        <w:t>A warning event whose acknowledgement was removed while the event was still </w:t>
      </w:r>
      <w:r>
        <w:rPr>
          <w:color w:val="231F20"/>
          <w:spacing w:val="-2"/>
          <w:sz w:val="18"/>
        </w:rPr>
        <w:t>open.</w:t>
      </w:r>
    </w:p>
    <w:p>
      <w:pPr>
        <w:spacing w:line="241" w:lineRule="exact" w:before="3"/>
        <w:ind w:left="3119" w:right="0" w:firstLine="0"/>
        <w:jc w:val="left"/>
        <w:rPr>
          <w:sz w:val="18"/>
        </w:rPr>
      </w:pPr>
      <w:r>
        <w:rPr/>
        <w:drawing>
          <wp:anchor distT="0" distB="0" distL="0" distR="0" allowOverlap="1" layoutInCell="1" locked="0" behindDoc="0" simplePos="0" relativeHeight="15776768">
            <wp:simplePos x="0" y="0"/>
            <wp:positionH relativeFrom="page">
              <wp:posOffset>2204928</wp:posOffset>
            </wp:positionH>
            <wp:positionV relativeFrom="paragraph">
              <wp:posOffset>51879</wp:posOffset>
            </wp:positionV>
            <wp:extent cx="101600" cy="95250"/>
            <wp:effectExtent l="0" t="0" r="0" b="0"/>
            <wp:wrapNone/>
            <wp:docPr id="400" name="Image 400"/>
            <wp:cNvGraphicFramePr>
              <a:graphicFrameLocks/>
            </wp:cNvGraphicFramePr>
            <a:graphic>
              <a:graphicData uri="http://schemas.openxmlformats.org/drawingml/2006/picture">
                <pic:pic>
                  <pic:nvPicPr>
                    <pic:cNvPr id="400" name="Image 400"/>
                    <pic:cNvPicPr/>
                  </pic:nvPicPr>
                  <pic:blipFill>
                    <a:blip r:embed="rId31" cstate="print"/>
                    <a:stretch>
                      <a:fillRect/>
                    </a:stretch>
                  </pic:blipFill>
                  <pic:spPr>
                    <a:xfrm>
                      <a:off x="0" y="0"/>
                      <a:ext cx="101600" cy="95250"/>
                    </a:xfrm>
                    <a:prstGeom prst="rect">
                      <a:avLst/>
                    </a:prstGeom>
                  </pic:spPr>
                </pic:pic>
              </a:graphicData>
            </a:graphic>
          </wp:anchor>
        </w:drawing>
      </w:r>
      <w:r>
        <w:rPr>
          <w:color w:val="231F20"/>
          <w:sz w:val="18"/>
        </w:rPr>
        <w:t>A true</w:t>
      </w:r>
      <w:r>
        <w:rPr>
          <w:color w:val="231F20"/>
          <w:spacing w:val="10"/>
          <w:sz w:val="18"/>
        </w:rPr>
        <w:t> </w:t>
      </w:r>
      <w:r>
        <w:rPr>
          <w:color w:val="231F20"/>
          <w:sz w:val="18"/>
        </w:rPr>
        <w:t>situation</w:t>
      </w:r>
      <w:r>
        <w:rPr>
          <w:color w:val="231F20"/>
          <w:spacing w:val="9"/>
          <w:sz w:val="18"/>
        </w:rPr>
        <w:t> </w:t>
      </w:r>
      <w:r>
        <w:rPr>
          <w:color w:val="231F20"/>
          <w:sz w:val="18"/>
        </w:rPr>
        <w:t>whose</w:t>
      </w:r>
      <w:r>
        <w:rPr>
          <w:color w:val="231F20"/>
          <w:spacing w:val="10"/>
          <w:sz w:val="18"/>
        </w:rPr>
        <w:t> </w:t>
      </w:r>
      <w:r>
        <w:rPr>
          <w:color w:val="231F20"/>
          <w:sz w:val="18"/>
        </w:rPr>
        <w:t>event</w:t>
      </w:r>
      <w:r>
        <w:rPr>
          <w:color w:val="231F20"/>
          <w:spacing w:val="10"/>
          <w:sz w:val="18"/>
        </w:rPr>
        <w:t> </w:t>
      </w:r>
      <w:r>
        <w:rPr>
          <w:color w:val="231F20"/>
          <w:sz w:val="18"/>
        </w:rPr>
        <w:t>has</w:t>
      </w:r>
      <w:r>
        <w:rPr>
          <w:color w:val="231F20"/>
          <w:spacing w:val="9"/>
          <w:sz w:val="18"/>
        </w:rPr>
        <w:t> </w:t>
      </w:r>
      <w:r>
        <w:rPr>
          <w:color w:val="231F20"/>
          <w:sz w:val="18"/>
        </w:rPr>
        <w:t>been</w:t>
      </w:r>
      <w:r>
        <w:rPr>
          <w:color w:val="231F20"/>
          <w:spacing w:val="10"/>
          <w:sz w:val="18"/>
        </w:rPr>
        <w:t> </w:t>
      </w:r>
      <w:r>
        <w:rPr>
          <w:color w:val="231F20"/>
          <w:spacing w:val="-2"/>
          <w:sz w:val="18"/>
        </w:rPr>
        <w:t>closed.</w:t>
      </w:r>
    </w:p>
    <w:p>
      <w:pPr>
        <w:spacing w:line="216" w:lineRule="auto" w:before="17"/>
        <w:ind w:left="3119" w:right="385" w:firstLine="0"/>
        <w:jc w:val="left"/>
        <w:rPr>
          <w:sz w:val="18"/>
        </w:rPr>
      </w:pPr>
      <w:r>
        <w:rPr/>
        <w:drawing>
          <wp:anchor distT="0" distB="0" distL="0" distR="0" allowOverlap="1" layoutInCell="1" locked="0" behindDoc="0" simplePos="0" relativeHeight="15777280">
            <wp:simplePos x="0" y="0"/>
            <wp:positionH relativeFrom="page">
              <wp:posOffset>2204928</wp:posOffset>
            </wp:positionH>
            <wp:positionV relativeFrom="paragraph">
              <wp:posOffset>61659</wp:posOffset>
            </wp:positionV>
            <wp:extent cx="57150" cy="57150"/>
            <wp:effectExtent l="0" t="0" r="0" b="0"/>
            <wp:wrapNone/>
            <wp:docPr id="401" name="Image 401"/>
            <wp:cNvGraphicFramePr>
              <a:graphicFrameLocks/>
            </wp:cNvGraphicFramePr>
            <a:graphic>
              <a:graphicData uri="http://schemas.openxmlformats.org/drawingml/2006/picture">
                <pic:pic>
                  <pic:nvPicPr>
                    <pic:cNvPr id="401" name="Image 401"/>
                    <pic:cNvPicPr/>
                  </pic:nvPicPr>
                  <pic:blipFill>
                    <a:blip r:embed="rId114" cstate="print"/>
                    <a:stretch>
                      <a:fillRect/>
                    </a:stretch>
                  </pic:blipFill>
                  <pic:spPr>
                    <a:xfrm>
                      <a:off x="0" y="0"/>
                      <a:ext cx="57150" cy="57150"/>
                    </a:xfrm>
                    <a:prstGeom prst="rect">
                      <a:avLst/>
                    </a:prstGeom>
                  </pic:spPr>
                </pic:pic>
              </a:graphicData>
            </a:graphic>
          </wp:anchor>
        </w:drawing>
      </w:r>
      <w:r>
        <w:rPr>
          <w:color w:val="231F20"/>
          <w:sz w:val="18"/>
        </w:rPr>
        <w:t>An agent whose status is unknown. The monitoring server detects that the agent is offline. It might have been taken offline intentionally, there might be a communication problem, or the agent or the system it is running on might have stopped or be failing.</w:t>
      </w:r>
    </w:p>
    <w:p>
      <w:pPr>
        <w:spacing w:after="0" w:line="216" w:lineRule="auto"/>
        <w:jc w:val="left"/>
        <w:rPr>
          <w:sz w:val="18"/>
        </w:rPr>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22" w:id="53"/>
      <w:bookmarkEnd w:id="53"/>
      <w:r>
        <w:rPr/>
      </w:r>
      <w:r>
        <w:rPr>
          <w:sz w:val="2"/>
        </w:rPr>
        <mc:AlternateContent>
          <mc:Choice Requires="wps">
            <w:drawing>
              <wp:inline distT="0" distB="0" distL="0" distR="0">
                <wp:extent cx="6082665" cy="6350"/>
                <wp:effectExtent l="9525" t="0" r="0" b="3175"/>
                <wp:docPr id="402" name="Group 402"/>
                <wp:cNvGraphicFramePr>
                  <a:graphicFrameLocks/>
                </wp:cNvGraphicFramePr>
                <a:graphic>
                  <a:graphicData uri="http://schemas.microsoft.com/office/word/2010/wordprocessingGroup">
                    <wpg:wgp>
                      <wpg:cNvPr id="402" name="Group 402"/>
                      <wpg:cNvGrpSpPr/>
                      <wpg:grpSpPr>
                        <a:xfrm>
                          <a:off x="0" y="0"/>
                          <a:ext cx="6082665" cy="6350"/>
                          <a:chExt cx="6082665" cy="6350"/>
                        </a:xfrm>
                      </wpg:grpSpPr>
                      <wps:wsp>
                        <wps:cNvPr id="403" name="Graphic 403"/>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63"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Removing an offline managed system Navig" w:id="54"/>
      <w:bookmarkEnd w:id="54"/>
      <w:r>
        <w:rPr>
          <w:b w:val="0"/>
        </w:rPr>
      </w:r>
      <w:r>
        <w:rPr>
          <w:color w:val="231F20"/>
        </w:rPr>
        <w:t>Removing</w:t>
      </w:r>
      <w:r>
        <w:rPr>
          <w:color w:val="231F20"/>
          <w:spacing w:val="5"/>
        </w:rPr>
        <w:t> </w:t>
      </w:r>
      <w:r>
        <w:rPr>
          <w:color w:val="231F20"/>
        </w:rPr>
        <w:t>an</w:t>
      </w:r>
      <w:r>
        <w:rPr>
          <w:color w:val="231F20"/>
          <w:spacing w:val="4"/>
        </w:rPr>
        <w:t> </w:t>
      </w:r>
      <w:r>
        <w:rPr>
          <w:color w:val="231F20"/>
        </w:rPr>
        <w:t>offline</w:t>
      </w:r>
      <w:r>
        <w:rPr>
          <w:color w:val="231F20"/>
          <w:spacing w:val="5"/>
        </w:rPr>
        <w:t> </w:t>
      </w:r>
      <w:r>
        <w:rPr>
          <w:color w:val="231F20"/>
        </w:rPr>
        <w:t>managed</w:t>
      </w:r>
      <w:r>
        <w:rPr>
          <w:color w:val="231F20"/>
          <w:spacing w:val="5"/>
        </w:rPr>
        <w:t> </w:t>
      </w:r>
      <w:r>
        <w:rPr>
          <w:color w:val="231F20"/>
        </w:rPr>
        <w:t>system</w:t>
      </w:r>
      <w:r>
        <w:rPr>
          <w:color w:val="231F20"/>
          <w:spacing w:val="5"/>
        </w:rPr>
        <w:t> </w:t>
      </w:r>
      <w:r>
        <w:rPr>
          <w:color w:val="231F20"/>
        </w:rPr>
        <w:t>Navigator</w:t>
      </w:r>
      <w:r>
        <w:rPr>
          <w:color w:val="231F20"/>
          <w:spacing w:val="5"/>
        </w:rPr>
        <w:t> </w:t>
      </w:r>
      <w:r>
        <w:rPr>
          <w:color w:val="231F20"/>
          <w:spacing w:val="-4"/>
        </w:rPr>
        <w:t>item</w:t>
      </w:r>
    </w:p>
    <w:p>
      <w:pPr>
        <w:pStyle w:val="BodyText"/>
        <w:spacing w:line="213" w:lineRule="auto" w:before="138"/>
        <w:ind w:left="2232" w:right="545"/>
      </w:pPr>
      <w:r>
        <w:rPr>
          <w:color w:val="231F20"/>
        </w:rPr>
        <w:t>Use the Managed System Status workspace to clear offline managed systems </w:t>
      </w:r>
      <w:r>
        <w:rPr>
          <w:color w:val="231F20"/>
        </w:rPr>
        <w:t>from the Navigator view.</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When a monitoring agent goes offline or its host name gets changed, its branch is dimmed in the Navigator, as in the following example, and its status is shown as</w:t>
      </w:r>
    </w:p>
    <w:p>
      <w:pPr>
        <w:pStyle w:val="BodyText"/>
        <w:spacing w:line="245" w:lineRule="exact"/>
        <w:ind w:left="2232"/>
      </w:pPr>
      <w:r>
        <w:rPr>
          <w:color w:val="231F20"/>
        </w:rPr>
        <w:t>*OFFLINE</w:t>
      </w:r>
      <w:r>
        <w:rPr>
          <w:color w:val="231F20"/>
          <w:spacing w:val="10"/>
        </w:rPr>
        <w:t> </w:t>
      </w:r>
      <w:r>
        <w:rPr>
          <w:color w:val="231F20"/>
        </w:rPr>
        <w:t>in</w:t>
      </w:r>
      <w:r>
        <w:rPr>
          <w:color w:val="231F20"/>
          <w:spacing w:val="11"/>
        </w:rPr>
        <w:t> </w:t>
      </w:r>
      <w:r>
        <w:rPr>
          <w:color w:val="231F20"/>
        </w:rPr>
        <w:t>any</w:t>
      </w:r>
      <w:r>
        <w:rPr>
          <w:color w:val="231F20"/>
          <w:spacing w:val="10"/>
        </w:rPr>
        <w:t> </w:t>
      </w:r>
      <w:r>
        <w:rPr>
          <w:color w:val="231F20"/>
        </w:rPr>
        <w:t>table</w:t>
      </w:r>
      <w:r>
        <w:rPr>
          <w:color w:val="231F20"/>
          <w:spacing w:val="11"/>
        </w:rPr>
        <w:t> </w:t>
      </w:r>
      <w:r>
        <w:rPr>
          <w:color w:val="231F20"/>
        </w:rPr>
        <w:t>view</w:t>
      </w:r>
      <w:r>
        <w:rPr>
          <w:color w:val="231F20"/>
          <w:spacing w:val="10"/>
        </w:rPr>
        <w:t> </w:t>
      </w:r>
      <w:r>
        <w:rPr>
          <w:color w:val="231F20"/>
        </w:rPr>
        <w:t>that</w:t>
      </w:r>
      <w:r>
        <w:rPr>
          <w:color w:val="231F20"/>
          <w:spacing w:val="11"/>
        </w:rPr>
        <w:t> </w:t>
      </w:r>
      <w:r>
        <w:rPr>
          <w:color w:val="231F20"/>
        </w:rPr>
        <w:t>uses</w:t>
      </w:r>
      <w:r>
        <w:rPr>
          <w:color w:val="231F20"/>
          <w:spacing w:val="11"/>
        </w:rPr>
        <w:t> </w:t>
      </w:r>
      <w:r>
        <w:rPr>
          <w:color w:val="231F20"/>
        </w:rPr>
        <w:t>the</w:t>
      </w:r>
      <w:r>
        <w:rPr>
          <w:color w:val="231F20"/>
          <w:spacing w:val="10"/>
        </w:rPr>
        <w:t> </w:t>
      </w:r>
      <w:r>
        <w:rPr>
          <w:color w:val="231F20"/>
        </w:rPr>
        <w:t>Current</w:t>
      </w:r>
      <w:r>
        <w:rPr>
          <w:color w:val="231F20"/>
          <w:spacing w:val="11"/>
        </w:rPr>
        <w:t> </w:t>
      </w:r>
      <w:r>
        <w:rPr>
          <w:color w:val="231F20"/>
        </w:rPr>
        <w:t>Managed</w:t>
      </w:r>
      <w:r>
        <w:rPr>
          <w:color w:val="231F20"/>
          <w:spacing w:val="10"/>
        </w:rPr>
        <w:t> </w:t>
      </w:r>
      <w:r>
        <w:rPr>
          <w:color w:val="231F20"/>
        </w:rPr>
        <w:t>Systems</w:t>
      </w:r>
      <w:r>
        <w:rPr>
          <w:color w:val="231F20"/>
          <w:spacing w:val="11"/>
        </w:rPr>
        <w:t> </w:t>
      </w:r>
      <w:r>
        <w:rPr>
          <w:color w:val="231F20"/>
        </w:rPr>
        <w:t>status</w:t>
      </w:r>
      <w:r>
        <w:rPr>
          <w:color w:val="231F20"/>
          <w:spacing w:val="11"/>
        </w:rPr>
        <w:t> </w:t>
      </w:r>
      <w:r>
        <w:rPr>
          <w:color w:val="231F20"/>
          <w:spacing w:val="-2"/>
        </w:rPr>
        <w:t>query.</w:t>
      </w:r>
    </w:p>
    <w:p>
      <w:pPr>
        <w:pStyle w:val="BodyText"/>
        <w:spacing w:before="30"/>
        <w:ind w:left="2532"/>
      </w:pPr>
      <w:r>
        <w:rPr>
          <w:position w:val="-1"/>
        </w:rPr>
        <w:drawing>
          <wp:inline distT="0" distB="0" distL="0" distR="0">
            <wp:extent cx="95250" cy="101600"/>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66" w:lineRule="auto" w:before="29"/>
        <w:ind w:left="3529" w:right="5096" w:hanging="466"/>
      </w:pPr>
      <w:r>
        <w:rPr>
          <w:position w:val="-1"/>
        </w:rPr>
        <w:drawing>
          <wp:inline distT="0" distB="0" distL="0" distR="0">
            <wp:extent cx="101600" cy="95250"/>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Windows Systems </w:t>
      </w:r>
      <w:r>
        <w:rPr>
          <w:color w:val="231F20"/>
          <w:position w:val="-1"/>
        </w:rPr>
        <w:drawing>
          <wp:inline distT="0" distB="0" distL="0" distR="0">
            <wp:extent cx="101600" cy="95250"/>
            <wp:effectExtent l="0" t="0" r="0" b="0"/>
            <wp:docPr id="406" name="Image 406"/>
            <wp:cNvGraphicFramePr>
              <a:graphicFrameLocks/>
            </wp:cNvGraphicFramePr>
            <a:graphic>
              <a:graphicData uri="http://schemas.openxmlformats.org/drawingml/2006/picture">
                <pic:pic>
                  <pic:nvPicPr>
                    <pic:cNvPr id="406" name="Image 406"/>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26"/>
        </w:rPr>
        <w:t> </w:t>
      </w:r>
      <w:r>
        <w:rPr>
          <w:color w:val="231F20"/>
        </w:rPr>
        <w:t>MyComputer</w:t>
      </w:r>
    </w:p>
    <w:p>
      <w:pPr>
        <w:pStyle w:val="BodyText"/>
        <w:spacing w:line="266" w:lineRule="auto"/>
        <w:ind w:left="4005" w:right="4420" w:hanging="10"/>
      </w:pPr>
      <w:r>
        <w:rPr>
          <w:position w:val="-1"/>
        </w:rPr>
        <w:drawing>
          <wp:inline distT="0" distB="0" distL="0" distR="0">
            <wp:extent cx="101600" cy="95250"/>
            <wp:effectExtent l="0" t="0" r="0" b="0"/>
            <wp:docPr id="407" name="Image 407"/>
            <wp:cNvGraphicFramePr>
              <a:graphicFrameLocks/>
            </wp:cNvGraphicFramePr>
            <a:graphic>
              <a:graphicData uri="http://schemas.openxmlformats.org/drawingml/2006/picture">
                <pic:pic>
                  <pic:nvPicPr>
                    <pic:cNvPr id="407" name="Image 407"/>
                    <pic:cNvPicPr/>
                  </pic:nvPicPr>
                  <pic:blipFill>
                    <a:blip r:embed="rId13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8"/>
        </w:rPr>
        <w:t> </w:t>
      </w:r>
      <w:r>
        <w:rPr>
          <w:color w:val="231F20"/>
        </w:rPr>
        <w:t>Universal</w:t>
      </w:r>
      <w:r>
        <w:rPr>
          <w:color w:val="231F20"/>
          <w:spacing w:val="-5"/>
        </w:rPr>
        <w:t> </w:t>
      </w:r>
      <w:r>
        <w:rPr>
          <w:color w:val="231F20"/>
        </w:rPr>
        <w:t>Agent </w:t>
      </w:r>
      <w:r>
        <w:rPr>
          <w:color w:val="231F20"/>
          <w:position w:val="-1"/>
        </w:rPr>
        <w:drawing>
          <wp:inline distT="0" distB="0" distL="0" distR="0">
            <wp:extent cx="95250" cy="95250"/>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84"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spacing w:val="40"/>
        </w:rPr>
        <w:t> </w:t>
      </w:r>
      <w:r>
        <w:rPr>
          <w:color w:val="231F20"/>
        </w:rPr>
        <w:t>Windows OS</w:t>
      </w:r>
    </w:p>
    <w:p>
      <w:pPr>
        <w:pStyle w:val="BodyText"/>
        <w:spacing w:line="213" w:lineRule="auto" w:before="202"/>
        <w:ind w:left="2232" w:right="545"/>
      </w:pPr>
      <w:r>
        <w:rPr>
          <w:color w:val="231F20"/>
        </w:rPr>
        <w:t>The Enterprise Navigator item has a Managed System Status workspace that </w:t>
      </w:r>
      <w:r>
        <w:rPr>
          <w:color w:val="231F20"/>
        </w:rPr>
        <w:t>you can use to check for any offline managed systems and remove them from the Navigator view. When the monitoring agent comes online again, it will reappear. Use these steps to clear an offline entry:</w:t>
      </w:r>
    </w:p>
    <w:p>
      <w:pPr>
        <w:pStyle w:val="Heading4"/>
        <w:spacing w:before="199"/>
      </w:pPr>
      <w:r>
        <w:rPr>
          <w:color w:val="231F20"/>
          <w:spacing w:val="-2"/>
        </w:rPr>
        <w:t>Procedure</w:t>
      </w:r>
    </w:p>
    <w:p>
      <w:pPr>
        <w:pStyle w:val="ListParagraph"/>
        <w:numPr>
          <w:ilvl w:val="0"/>
          <w:numId w:val="8"/>
        </w:numPr>
        <w:tabs>
          <w:tab w:pos="2547" w:val="left" w:leader="none"/>
        </w:tabs>
        <w:spacing w:line="240" w:lineRule="auto" w:before="38" w:after="0"/>
        <w:ind w:left="2547" w:right="0" w:hanging="315"/>
        <w:jc w:val="left"/>
        <w:rPr>
          <w:rFonts w:ascii="Arial"/>
          <w:color w:val="231F20"/>
          <w:sz w:val="20"/>
        </w:rPr>
      </w:pPr>
      <w:r>
        <w:rPr>
          <w:color w:val="231F20"/>
          <w:sz w:val="20"/>
        </w:rPr>
        <w:t>Click</w:t>
      </w:r>
      <w:r>
        <w:rPr>
          <w:color w:val="231F20"/>
          <w:spacing w:val="11"/>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409" name="Image 409"/>
            <wp:cNvGraphicFramePr>
              <a:graphicFrameLocks/>
            </wp:cNvGraphicFramePr>
            <a:graphic>
              <a:graphicData uri="http://schemas.openxmlformats.org/drawingml/2006/picture">
                <pic:pic>
                  <pic:nvPicPr>
                    <pic:cNvPr id="409" name="Image 40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51"/>
          <w:sz w:val="20"/>
        </w:rPr>
        <w:t> </w:t>
      </w:r>
      <w:r>
        <w:rPr>
          <w:color w:val="231F20"/>
          <w:sz w:val="20"/>
        </w:rPr>
        <w:t>Enterprise</w:t>
      </w:r>
      <w:r>
        <w:rPr>
          <w:color w:val="231F20"/>
          <w:spacing w:val="42"/>
          <w:sz w:val="20"/>
        </w:rPr>
        <w:t> </w:t>
      </w:r>
      <w:r>
        <w:rPr>
          <w:color w:val="231F20"/>
          <w:sz w:val="20"/>
        </w:rPr>
        <w:t>Navigator</w:t>
      </w:r>
      <w:r>
        <w:rPr>
          <w:color w:val="231F20"/>
          <w:spacing w:val="11"/>
          <w:sz w:val="20"/>
        </w:rPr>
        <w:t> </w:t>
      </w:r>
      <w:r>
        <w:rPr>
          <w:color w:val="231F20"/>
          <w:sz w:val="20"/>
        </w:rPr>
        <w:t>item.</w:t>
      </w:r>
      <w:r>
        <w:rPr>
          <w:color w:val="231F20"/>
          <w:spacing w:val="11"/>
          <w:sz w:val="20"/>
        </w:rPr>
        <w:t> </w:t>
      </w:r>
      <w:r>
        <w:rPr>
          <w:color w:val="231F20"/>
          <w:sz w:val="20"/>
        </w:rPr>
        <w:t>The</w:t>
      </w:r>
      <w:r>
        <w:rPr>
          <w:color w:val="231F20"/>
          <w:spacing w:val="11"/>
          <w:sz w:val="20"/>
        </w:rPr>
        <w:t> </w:t>
      </w:r>
      <w:r>
        <w:rPr>
          <w:color w:val="231F20"/>
          <w:sz w:val="20"/>
        </w:rPr>
        <w:t>default</w:t>
      </w:r>
      <w:r>
        <w:rPr>
          <w:color w:val="231F20"/>
          <w:spacing w:val="11"/>
          <w:sz w:val="20"/>
        </w:rPr>
        <w:t> </w:t>
      </w:r>
      <w:r>
        <w:rPr>
          <w:color w:val="231F20"/>
          <w:sz w:val="20"/>
        </w:rPr>
        <w:t>workspace</w:t>
      </w:r>
      <w:r>
        <w:rPr>
          <w:color w:val="231F20"/>
          <w:spacing w:val="11"/>
          <w:sz w:val="20"/>
        </w:rPr>
        <w:t> </w:t>
      </w:r>
      <w:r>
        <w:rPr>
          <w:color w:val="231F20"/>
          <w:spacing w:val="-2"/>
          <w:sz w:val="20"/>
        </w:rPr>
        <w:t>opens.</w:t>
      </w:r>
    </w:p>
    <w:p>
      <w:pPr>
        <w:pStyle w:val="ListParagraph"/>
        <w:numPr>
          <w:ilvl w:val="0"/>
          <w:numId w:val="8"/>
        </w:numPr>
        <w:tabs>
          <w:tab w:pos="2548" w:val="left" w:leader="none"/>
        </w:tabs>
        <w:spacing w:line="213" w:lineRule="auto" w:before="53" w:after="0"/>
        <w:ind w:left="2548" w:right="755" w:hanging="316"/>
        <w:jc w:val="left"/>
        <w:rPr>
          <w:rFonts w:ascii="Arial"/>
          <w:color w:val="231F20"/>
          <w:sz w:val="20"/>
        </w:rPr>
      </w:pPr>
      <w:r>
        <w:rPr>
          <w:color w:val="231F20"/>
          <w:sz w:val="20"/>
        </w:rPr>
        <w:t>Click </w:t>
      </w:r>
      <w:r>
        <w:rPr>
          <w:color w:val="231F20"/>
          <w:spacing w:val="16"/>
          <w:position w:val="-1"/>
          <w:sz w:val="20"/>
        </w:rPr>
        <w:drawing>
          <wp:inline distT="0" distB="0" distL="0" distR="0">
            <wp:extent cx="101600" cy="101600"/>
            <wp:effectExtent l="0" t="0" r="0" b="0"/>
            <wp:docPr id="410" name="Image 410"/>
            <wp:cNvGraphicFramePr>
              <a:graphicFrameLocks/>
            </wp:cNvGraphicFramePr>
            <a:graphic>
              <a:graphicData uri="http://schemas.openxmlformats.org/drawingml/2006/picture">
                <pic:pic>
                  <pic:nvPicPr>
                    <pic:cNvPr id="410" name="Image 410"/>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Workspace gallery</w:t>
      </w:r>
      <w:r>
        <w:rPr>
          <w:color w:val="231F20"/>
          <w:sz w:val="20"/>
        </w:rPr>
        <w:t>, scroll to </w:t>
      </w:r>
      <w:r>
        <w:rPr>
          <w:rFonts w:ascii="Book Antiqua"/>
          <w:b/>
          <w:color w:val="231F20"/>
          <w:sz w:val="20"/>
        </w:rPr>
        <w:t>Managed System Status</w:t>
      </w:r>
      <w:r>
        <w:rPr>
          <w:color w:val="231F20"/>
          <w:sz w:val="20"/>
        </w:rPr>
        <w:t>, and click the </w:t>
      </w:r>
      <w:r>
        <w:rPr>
          <w:color w:val="231F20"/>
          <w:spacing w:val="-2"/>
          <w:sz w:val="20"/>
        </w:rPr>
        <w:t>workspace.</w:t>
      </w:r>
    </w:p>
    <w:p>
      <w:pPr>
        <w:pStyle w:val="ListParagraph"/>
        <w:numPr>
          <w:ilvl w:val="0"/>
          <w:numId w:val="8"/>
        </w:numPr>
        <w:tabs>
          <w:tab w:pos="2547" w:val="left" w:leader="none"/>
        </w:tabs>
        <w:spacing w:line="240" w:lineRule="auto" w:before="40" w:after="0"/>
        <w:ind w:left="2547" w:right="0" w:hanging="315"/>
        <w:jc w:val="left"/>
        <w:rPr>
          <w:rFonts w:ascii="Arial"/>
          <w:color w:val="231F20"/>
          <w:position w:val="1"/>
          <w:sz w:val="20"/>
        </w:rPr>
      </w:pPr>
      <w:r>
        <w:rPr>
          <w:color w:val="231F20"/>
          <w:position w:val="1"/>
          <w:sz w:val="20"/>
        </w:rPr>
        <w:t>Right-click</w:t>
      </w:r>
      <w:r>
        <w:rPr>
          <w:color w:val="231F20"/>
          <w:spacing w:val="8"/>
          <w:position w:val="1"/>
          <w:sz w:val="20"/>
        </w:rPr>
        <w:t> </w:t>
      </w:r>
      <w:r>
        <w:rPr>
          <w:color w:val="231F20"/>
          <w:position w:val="1"/>
          <w:sz w:val="20"/>
        </w:rPr>
        <w:t>an</w:t>
      </w:r>
      <w:r>
        <w:rPr>
          <w:color w:val="231F20"/>
          <w:spacing w:val="8"/>
          <w:position w:val="1"/>
          <w:sz w:val="20"/>
        </w:rPr>
        <w:t> </w:t>
      </w:r>
      <w:r>
        <w:rPr>
          <w:rFonts w:ascii="Book Antiqua"/>
          <w:b/>
          <w:color w:val="231F20"/>
          <w:position w:val="1"/>
          <w:sz w:val="20"/>
        </w:rPr>
        <w:t>*OFFLINE</w:t>
      </w:r>
      <w:r>
        <w:rPr>
          <w:rFonts w:ascii="Book Antiqua"/>
          <w:b/>
          <w:color w:val="231F20"/>
          <w:spacing w:val="9"/>
          <w:position w:val="1"/>
          <w:sz w:val="20"/>
        </w:rPr>
        <w:t> </w:t>
      </w:r>
      <w:r>
        <w:rPr>
          <w:color w:val="231F20"/>
          <w:position w:val="1"/>
          <w:sz w:val="20"/>
        </w:rPr>
        <w:t>row,</w:t>
      </w:r>
      <w:r>
        <w:rPr>
          <w:color w:val="231F20"/>
          <w:spacing w:val="8"/>
          <w:position w:val="1"/>
          <w:sz w:val="20"/>
        </w:rPr>
        <w:t> </w:t>
      </w:r>
      <w:r>
        <w:rPr>
          <w:color w:val="231F20"/>
          <w:position w:val="1"/>
          <w:sz w:val="20"/>
        </w:rPr>
        <w:t>then</w:t>
      </w:r>
      <w:r>
        <w:rPr>
          <w:color w:val="231F20"/>
          <w:spacing w:val="9"/>
          <w:position w:val="1"/>
          <w:sz w:val="20"/>
        </w:rPr>
        <w:t> </w:t>
      </w:r>
      <w:r>
        <w:rPr>
          <w:color w:val="231F20"/>
          <w:position w:val="1"/>
          <w:sz w:val="20"/>
        </w:rPr>
        <w:t>click</w:t>
      </w:r>
      <w:r>
        <w:rPr>
          <w:color w:val="231F20"/>
          <w:spacing w:val="7"/>
          <w:position w:val="1"/>
          <w:sz w:val="20"/>
        </w:rPr>
        <w:t> </w:t>
      </w:r>
      <w:r>
        <w:rPr>
          <w:color w:val="231F20"/>
          <w:spacing w:val="15"/>
          <w:sz w:val="20"/>
        </w:rPr>
        <w:drawing>
          <wp:inline distT="0" distB="0" distL="0" distR="0">
            <wp:extent cx="101600" cy="88900"/>
            <wp:effectExtent l="0" t="0" r="0" b="0"/>
            <wp:docPr id="411" name="Image 411"/>
            <wp:cNvGraphicFramePr>
              <a:graphicFrameLocks/>
            </wp:cNvGraphicFramePr>
            <a:graphic>
              <a:graphicData uri="http://schemas.openxmlformats.org/drawingml/2006/picture">
                <pic:pic>
                  <pic:nvPicPr>
                    <pic:cNvPr id="411" name="Image 411"/>
                    <pic:cNvPicPr/>
                  </pic:nvPicPr>
                  <pic:blipFill>
                    <a:blip r:embed="rId133" cstate="print"/>
                    <a:stretch>
                      <a:fillRect/>
                    </a:stretch>
                  </pic:blipFill>
                  <pic:spPr>
                    <a:xfrm>
                      <a:off x="0" y="0"/>
                      <a:ext cx="101600" cy="88900"/>
                    </a:xfrm>
                    <a:prstGeom prst="rect">
                      <a:avLst/>
                    </a:prstGeom>
                  </pic:spPr>
                </pic:pic>
              </a:graphicData>
            </a:graphic>
          </wp:inline>
        </w:drawing>
      </w:r>
      <w:r>
        <w:rPr>
          <w:color w:val="231F20"/>
          <w:spacing w:val="15"/>
          <w:sz w:val="20"/>
        </w:rPr>
      </w:r>
      <w:r>
        <w:rPr>
          <w:rFonts w:ascii="Times New Roman"/>
          <w:color w:val="231F20"/>
          <w:spacing w:val="39"/>
          <w:position w:val="1"/>
          <w:sz w:val="20"/>
        </w:rPr>
        <w:t> </w:t>
      </w:r>
      <w:r>
        <w:rPr>
          <w:rFonts w:ascii="Book Antiqua"/>
          <w:b/>
          <w:color w:val="231F20"/>
          <w:position w:val="1"/>
          <w:sz w:val="20"/>
        </w:rPr>
        <w:t>Clear</w:t>
      </w:r>
      <w:r>
        <w:rPr>
          <w:rFonts w:ascii="Book Antiqua"/>
          <w:b/>
          <w:color w:val="231F20"/>
          <w:spacing w:val="8"/>
          <w:position w:val="1"/>
          <w:sz w:val="20"/>
        </w:rPr>
        <w:t> </w:t>
      </w:r>
      <w:r>
        <w:rPr>
          <w:rFonts w:ascii="Book Antiqua"/>
          <w:b/>
          <w:color w:val="231F20"/>
          <w:position w:val="1"/>
          <w:sz w:val="20"/>
        </w:rPr>
        <w:t>offline</w:t>
      </w:r>
      <w:r>
        <w:rPr>
          <w:rFonts w:ascii="Book Antiqua"/>
          <w:b/>
          <w:color w:val="231F20"/>
          <w:spacing w:val="9"/>
          <w:position w:val="1"/>
          <w:sz w:val="20"/>
        </w:rPr>
        <w:t> </w:t>
      </w:r>
      <w:r>
        <w:rPr>
          <w:rFonts w:ascii="Book Antiqua"/>
          <w:b/>
          <w:color w:val="231F20"/>
          <w:spacing w:val="-2"/>
          <w:position w:val="1"/>
          <w:sz w:val="20"/>
        </w:rPr>
        <w:t>entry</w:t>
      </w:r>
      <w:r>
        <w:rPr>
          <w:color w:val="231F20"/>
          <w:spacing w:val="-2"/>
          <w:position w:val="1"/>
          <w:sz w:val="20"/>
        </w:rPr>
        <w:t>.</w:t>
      </w:r>
    </w:p>
    <w:p>
      <w:pPr>
        <w:pStyle w:val="Heading4"/>
        <w:spacing w:before="189"/>
      </w:pPr>
      <w:r>
        <w:rPr>
          <w:color w:val="231F20"/>
          <w:spacing w:val="-2"/>
        </w:rPr>
        <w:t>Results</w:t>
      </w:r>
    </w:p>
    <w:p>
      <w:pPr>
        <w:pStyle w:val="BodyText"/>
        <w:spacing w:line="213" w:lineRule="auto" w:before="241"/>
        <w:ind w:left="2232" w:right="700"/>
      </w:pPr>
      <w:r>
        <w:rPr>
          <w:color w:val="231F20"/>
        </w:rPr>
        <w:t>The offline entry is now cleared from the Navigator and will not appear again until the managed system comes online.</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545"/>
      </w:pPr>
      <w:r>
        <w:rPr>
          <w:color w:val="231F20"/>
        </w:rPr>
        <w:t>If this is a custom Navigator view with only one managed system, it is possible for</w:t>
      </w:r>
      <w:r>
        <w:rPr>
          <w:color w:val="231F20"/>
          <w:spacing w:val="40"/>
        </w:rPr>
        <w:t> </w:t>
      </w:r>
      <w:r>
        <w:rPr>
          <w:color w:val="231F20"/>
        </w:rPr>
        <w:t>the</w:t>
      </w:r>
      <w:r>
        <w:rPr>
          <w:color w:val="231F20"/>
          <w:spacing w:val="24"/>
        </w:rPr>
        <w:t> </w:t>
      </w:r>
      <w:r>
        <w:rPr>
          <w:color w:val="231F20"/>
        </w:rPr>
        <w:t>item</w:t>
      </w:r>
      <w:r>
        <w:rPr>
          <w:color w:val="231F20"/>
          <w:spacing w:val="24"/>
        </w:rPr>
        <w:t> </w:t>
      </w:r>
      <w:r>
        <w:rPr>
          <w:color w:val="231F20"/>
        </w:rPr>
        <w:t>to</w:t>
      </w:r>
      <w:r>
        <w:rPr>
          <w:color w:val="231F20"/>
          <w:spacing w:val="24"/>
        </w:rPr>
        <w:t> </w:t>
      </w:r>
      <w:r>
        <w:rPr>
          <w:color w:val="231F20"/>
        </w:rPr>
        <w:t>continue</w:t>
      </w:r>
      <w:r>
        <w:rPr>
          <w:color w:val="231F20"/>
          <w:spacing w:val="24"/>
        </w:rPr>
        <w:t> </w:t>
      </w:r>
      <w:r>
        <w:rPr>
          <w:color w:val="231F20"/>
        </w:rPr>
        <w:t>to</w:t>
      </w:r>
      <w:r>
        <w:rPr>
          <w:color w:val="231F20"/>
          <w:spacing w:val="24"/>
        </w:rPr>
        <w:t> </w:t>
      </w:r>
      <w:r>
        <w:rPr>
          <w:color w:val="231F20"/>
        </w:rPr>
        <w:t>appear</w:t>
      </w:r>
      <w:r>
        <w:rPr>
          <w:color w:val="231F20"/>
          <w:spacing w:val="24"/>
        </w:rPr>
        <w:t> </w:t>
      </w:r>
      <w:r>
        <w:rPr>
          <w:color w:val="231F20"/>
        </w:rPr>
        <w:t>in</w:t>
      </w:r>
      <w:r>
        <w:rPr>
          <w:color w:val="231F20"/>
          <w:spacing w:val="24"/>
        </w:rPr>
        <w:t> </w:t>
      </w:r>
      <w:r>
        <w:rPr>
          <w:color w:val="231F20"/>
        </w:rPr>
        <w:t>the</w:t>
      </w:r>
      <w:r>
        <w:rPr>
          <w:color w:val="231F20"/>
          <w:spacing w:val="24"/>
        </w:rPr>
        <w:t> </w:t>
      </w:r>
      <w:r>
        <w:rPr>
          <w:color w:val="231F20"/>
        </w:rPr>
        <w:t>view.</w:t>
      </w:r>
      <w:r>
        <w:rPr>
          <w:color w:val="231F20"/>
          <w:spacing w:val="24"/>
        </w:rPr>
        <w:t> </w:t>
      </w:r>
      <w:r>
        <w:rPr>
          <w:color w:val="231F20"/>
        </w:rPr>
        <w:t>This</w:t>
      </w:r>
      <w:r>
        <w:rPr>
          <w:color w:val="231F20"/>
          <w:spacing w:val="24"/>
        </w:rPr>
        <w:t> </w:t>
      </w:r>
      <w:r>
        <w:rPr>
          <w:color w:val="231F20"/>
        </w:rPr>
        <w:t>is</w:t>
      </w:r>
      <w:r>
        <w:rPr>
          <w:color w:val="231F20"/>
          <w:spacing w:val="24"/>
        </w:rPr>
        <w:t> </w:t>
      </w:r>
      <w:r>
        <w:rPr>
          <w:color w:val="231F20"/>
        </w:rPr>
        <w:t>possible</w:t>
      </w:r>
      <w:r>
        <w:rPr>
          <w:color w:val="231F20"/>
          <w:spacing w:val="24"/>
        </w:rPr>
        <w:t> </w:t>
      </w:r>
      <w:r>
        <w:rPr>
          <w:color w:val="231F20"/>
        </w:rPr>
        <w:t>when</w:t>
      </w:r>
      <w:r>
        <w:rPr>
          <w:color w:val="231F20"/>
          <w:spacing w:val="24"/>
        </w:rPr>
        <w:t> </w:t>
      </w:r>
      <w:r>
        <w:rPr>
          <w:color w:val="231F20"/>
        </w:rPr>
        <w:t>the</w:t>
      </w:r>
      <w:r>
        <w:rPr>
          <w:color w:val="231F20"/>
          <w:spacing w:val="24"/>
        </w:rPr>
        <w:t> </w:t>
      </w:r>
      <w:r>
        <w:rPr>
          <w:color w:val="231F20"/>
        </w:rPr>
        <w:t>item</w:t>
      </w:r>
      <w:r>
        <w:rPr>
          <w:color w:val="231F20"/>
          <w:spacing w:val="24"/>
        </w:rPr>
        <w:t> </w:t>
      </w:r>
      <w:r>
        <w:rPr>
          <w:color w:val="231F20"/>
        </w:rPr>
        <w:t>was added using drag-and-drop in the Navigator editor. Use the Navigator editor to manually remove the item, described in </w:t>
      </w:r>
      <w:hyperlink w:history="true" w:anchor="_bookmark173">
        <w:r>
          <w:rPr>
            <w:color w:val="231F20"/>
          </w:rPr>
          <w:t>Deleting a Navigator view or item.</w:t>
        </w:r>
      </w:hyperlink>
      <w:r>
        <w:rPr>
          <w:color w:val="231F20"/>
        </w:rPr>
        <w:t> If the managed system comes online again, it does not appear in the custom Navigator view. If you want it to appear there, assign the managed system in the Navigator item properties as described in </w:t>
      </w:r>
      <w:hyperlink w:history="true" w:anchor="_bookmark176">
        <w:r>
          <w:rPr>
            <w:color w:val="231F20"/>
          </w:rPr>
          <w:t>Navigator item properties.</w:t>
        </w:r>
      </w:hyperlink>
    </w:p>
    <w:p>
      <w:pPr>
        <w:pStyle w:val="Heading6"/>
        <w:spacing w:line="240" w:lineRule="auto" w:before="32"/>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314">
        <w:r>
          <w:rPr>
            <w:color w:val="231F20"/>
          </w:rPr>
          <w:t>“Removing</w:t>
        </w:r>
        <w:r>
          <w:rPr>
            <w:color w:val="231F20"/>
            <w:spacing w:val="10"/>
          </w:rPr>
          <w:t> </w:t>
        </w:r>
        <w:r>
          <w:rPr>
            <w:color w:val="231F20"/>
          </w:rPr>
          <w:t>a</w:t>
        </w:r>
        <w:r>
          <w:rPr>
            <w:color w:val="231F20"/>
            <w:spacing w:val="10"/>
          </w:rPr>
          <w:t> </w:t>
        </w:r>
        <w:r>
          <w:rPr>
            <w:color w:val="231F20"/>
          </w:rPr>
          <w:t>managed</w:t>
        </w:r>
        <w:r>
          <w:rPr>
            <w:color w:val="231F20"/>
            <w:spacing w:val="10"/>
          </w:rPr>
          <w:t> </w:t>
        </w:r>
        <w:r>
          <w:rPr>
            <w:color w:val="231F20"/>
          </w:rPr>
          <w:t>system</w:t>
        </w:r>
        <w:r>
          <w:rPr>
            <w:color w:val="231F20"/>
            <w:spacing w:val="11"/>
          </w:rPr>
          <w:t> </w:t>
        </w:r>
        <w:r>
          <w:rPr>
            <w:color w:val="231F20"/>
          </w:rPr>
          <w:t>and</w:t>
        </w:r>
        <w:r>
          <w:rPr>
            <w:color w:val="231F20"/>
            <w:spacing w:val="10"/>
          </w:rPr>
          <w:t> </w:t>
        </w:r>
        <w:r>
          <w:rPr>
            <w:color w:val="231F20"/>
          </w:rPr>
          <w:t>monitoring</w:t>
        </w:r>
        <w:r>
          <w:rPr>
            <w:color w:val="231F20"/>
            <w:spacing w:val="10"/>
          </w:rPr>
          <w:t> </w:t>
        </w:r>
        <w:r>
          <w:rPr>
            <w:color w:val="231F20"/>
          </w:rPr>
          <w:t>agent”</w:t>
        </w:r>
        <w:r>
          <w:rPr>
            <w:color w:val="231F20"/>
            <w:spacing w:val="11"/>
          </w:rPr>
          <w:t> </w:t>
        </w:r>
        <w:r>
          <w:rPr>
            <w:color w:val="231F20"/>
          </w:rPr>
          <w:t>on</w:t>
        </w:r>
        <w:r>
          <w:rPr>
            <w:color w:val="231F20"/>
            <w:spacing w:val="10"/>
          </w:rPr>
          <w:t> </w:t>
        </w:r>
        <w:r>
          <w:rPr>
            <w:color w:val="231F20"/>
          </w:rPr>
          <w:t>page</w:t>
        </w:r>
        <w:r>
          <w:rPr>
            <w:color w:val="231F20"/>
            <w:spacing w:val="10"/>
          </w:rPr>
          <w:t> </w:t>
        </w:r>
        <w:r>
          <w:rPr>
            <w:color w:val="231F20"/>
            <w:spacing w:val="-5"/>
          </w:rPr>
          <w:t>405</w:t>
        </w:r>
      </w:hyperlink>
    </w:p>
    <w:p>
      <w:pPr>
        <w:pStyle w:val="BodyText"/>
        <w:spacing w:line="213" w:lineRule="auto" w:before="8"/>
        <w:ind w:left="2232" w:right="545"/>
      </w:pPr>
      <w:r>
        <w:rPr>
          <w:color w:val="231F20"/>
        </w:rPr>
        <w:t>Use </w:t>
      </w:r>
      <w:r>
        <w:rPr>
          <w:color w:val="231F20"/>
          <w:spacing w:val="-24"/>
          <w:position w:val="-1"/>
        </w:rPr>
        <w:drawing>
          <wp:inline distT="0" distB="0" distL="0" distR="0">
            <wp:extent cx="95250" cy="95250"/>
            <wp:effectExtent l="0" t="0" r="0" b="0"/>
            <wp:docPr id="412" name="Image 412"/>
            <wp:cNvGraphicFramePr>
              <a:graphicFrameLocks/>
            </wp:cNvGraphicFramePr>
            <a:graphic>
              <a:graphicData uri="http://schemas.openxmlformats.org/drawingml/2006/picture">
                <pic:pic>
                  <pic:nvPicPr>
                    <pic:cNvPr id="412" name="Image 412"/>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7"/>
        </w:rPr>
        <w:t> </w:t>
      </w:r>
      <w:r>
        <w:rPr>
          <w:rFonts w:ascii="Book Antiqua"/>
          <w:b/>
          <w:color w:val="231F20"/>
        </w:rPr>
        <w:t>Remove </w:t>
      </w:r>
      <w:r>
        <w:rPr>
          <w:color w:val="231F20"/>
        </w:rPr>
        <w:t>to stop a managed system and permanently remove it from </w:t>
      </w:r>
      <w:r>
        <w:rPr>
          <w:color w:val="231F20"/>
        </w:rPr>
        <w:t>the Navigator Physical view.</w:t>
      </w:r>
    </w:p>
    <w:p>
      <w:pPr>
        <w:spacing w:after="0" w:line="213" w:lineRule="auto"/>
        <w:sectPr>
          <w:pgSz w:w="12240" w:h="15840"/>
          <w:pgMar w:header="0" w:footer="736" w:top="1220" w:bottom="920" w:left="1000" w:right="1060"/>
        </w:sectPr>
      </w:pPr>
    </w:p>
    <w:p>
      <w:pPr>
        <w:pStyle w:val="BodyText"/>
        <w:spacing w:line="20" w:lineRule="exact"/>
        <w:ind w:left="436"/>
        <w:rPr>
          <w:sz w:val="2"/>
        </w:rPr>
      </w:pPr>
      <w:bookmarkStart w:name="_bookmark24" w:id="55"/>
      <w:bookmarkEnd w:id="55"/>
      <w:r>
        <w:rPr/>
      </w:r>
      <w:r>
        <w:rPr>
          <w:sz w:val="2"/>
        </w:rPr>
        <mc:AlternateContent>
          <mc:Choice Requires="wps">
            <w:drawing>
              <wp:inline distT="0" distB="0" distL="0" distR="0">
                <wp:extent cx="6082665" cy="25400"/>
                <wp:effectExtent l="19050" t="0" r="3810" b="3175"/>
                <wp:docPr id="416" name="Group 416"/>
                <wp:cNvGraphicFramePr>
                  <a:graphicFrameLocks/>
                </wp:cNvGraphicFramePr>
                <a:graphic>
                  <a:graphicData uri="http://schemas.microsoft.com/office/word/2010/wordprocessingGroup">
                    <wpg:wgp>
                      <wpg:cNvPr id="416" name="Group 416"/>
                      <wpg:cNvGrpSpPr/>
                      <wpg:grpSpPr>
                        <a:xfrm>
                          <a:off x="0" y="0"/>
                          <a:ext cx="6082665" cy="25400"/>
                          <a:chExt cx="6082665" cy="25400"/>
                        </a:xfrm>
                      </wpg:grpSpPr>
                      <wps:wsp>
                        <wps:cNvPr id="417" name="Graphic 417"/>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67"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3. Using workspaces" w:id="56"/>
      <w:bookmarkEnd w:id="56"/>
      <w:r>
        <w:rPr>
          <w:b w:val="0"/>
        </w:rPr>
      </w:r>
      <w:bookmarkStart w:name="_bookmark23" w:id="57"/>
      <w:bookmarkEnd w:id="57"/>
      <w:r>
        <w:rPr>
          <w:b w:val="0"/>
        </w:rPr>
      </w:r>
      <w:r>
        <w:rPr>
          <w:color w:val="231F20"/>
        </w:rPr>
        <w:t>Chapter</w:t>
      </w:r>
      <w:r>
        <w:rPr>
          <w:color w:val="231F20"/>
          <w:spacing w:val="-8"/>
        </w:rPr>
        <w:t> </w:t>
      </w:r>
      <w:r>
        <w:rPr>
          <w:color w:val="231F20"/>
        </w:rPr>
        <w:t>3.</w:t>
      </w:r>
      <w:r>
        <w:rPr>
          <w:color w:val="231F20"/>
          <w:spacing w:val="8"/>
        </w:rPr>
        <w:t> </w:t>
      </w:r>
      <w:r>
        <w:rPr>
          <w:color w:val="231F20"/>
        </w:rPr>
        <w:t>Using</w:t>
      </w:r>
      <w:r>
        <w:rPr>
          <w:color w:val="231F20"/>
          <w:spacing w:val="9"/>
        </w:rPr>
        <w:t> </w:t>
      </w:r>
      <w:r>
        <w:rPr>
          <w:color w:val="231F20"/>
          <w:spacing w:val="-2"/>
        </w:rPr>
        <w:t>workspaces</w:t>
      </w:r>
    </w:p>
    <w:p>
      <w:pPr>
        <w:pStyle w:val="BodyText"/>
        <w:spacing w:line="213" w:lineRule="auto" w:before="304"/>
        <w:ind w:left="2472" w:right="258"/>
      </w:pPr>
      <w:r>
        <w:rPr>
          <w:color w:val="231F20"/>
        </w:rPr>
        <w:t>The workspace is the working area of the Tivoli Enterprise Portal window, </w:t>
      </w:r>
      <w:r>
        <w:rPr>
          <w:color w:val="231F20"/>
        </w:rPr>
        <w:t>divided into panes to show different types of views. You can start monitoring activity and system status immediately with the predefined workspaces.</w:t>
      </w:r>
    </w:p>
    <w:p>
      <w:pPr>
        <w:pStyle w:val="BodyText"/>
        <w:spacing w:line="213" w:lineRule="auto" w:before="238"/>
        <w:ind w:left="2472"/>
      </w:pPr>
      <w:r>
        <w:rPr>
          <w:color w:val="231F20"/>
        </w:rPr>
        <w:t>You can tailor your own workspaces to give you summary overviews or to look </w:t>
      </w:r>
      <w:r>
        <w:rPr>
          <w:color w:val="231F20"/>
        </w:rPr>
        <w:t>at specific conditions.</w:t>
      </w:r>
    </w:p>
    <w:p>
      <w:pPr>
        <w:pStyle w:val="BodyText"/>
        <w:spacing w:before="5"/>
        <w:rPr>
          <w:sz w:val="16"/>
        </w:rPr>
      </w:pPr>
      <w:r>
        <w:rPr/>
        <mc:AlternateContent>
          <mc:Choice Requires="wps">
            <w:drawing>
              <wp:anchor distT="0" distB="0" distL="0" distR="0" allowOverlap="1" layoutInCell="1" locked="0" behindDoc="1" simplePos="0" relativeHeight="487638016">
                <wp:simplePos x="0" y="0"/>
                <wp:positionH relativeFrom="page">
                  <wp:posOffset>912380</wp:posOffset>
                </wp:positionH>
                <wp:positionV relativeFrom="paragraph">
                  <wp:posOffset>155800</wp:posOffset>
                </wp:positionV>
                <wp:extent cx="6082665" cy="1270"/>
                <wp:effectExtent l="0" t="0" r="0" b="0"/>
                <wp:wrapTopAndBottom/>
                <wp:docPr id="418" name="Graphic 418"/>
                <wp:cNvGraphicFramePr>
                  <a:graphicFrameLocks/>
                </wp:cNvGraphicFramePr>
                <a:graphic>
                  <a:graphicData uri="http://schemas.microsoft.com/office/word/2010/wordprocessingShape">
                    <wps:wsp>
                      <wps:cNvPr id="418" name="Graphic 41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7736pt;width:478.95pt;height:.1pt;mso-position-horizontal-relative:page;mso-position-vertical-relative:paragraph;z-index:-15678464;mso-wrap-distance-left:0;mso-wrap-distance-right:0" id="docshape68"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Workspace characteristics" w:id="58"/>
      <w:bookmarkEnd w:id="58"/>
      <w:r>
        <w:rPr>
          <w:b w:val="0"/>
        </w:rPr>
      </w:r>
      <w:r>
        <w:rPr>
          <w:color w:val="231F20"/>
        </w:rPr>
        <w:t>Workspace</w:t>
      </w:r>
      <w:r>
        <w:rPr>
          <w:color w:val="231F20"/>
          <w:spacing w:val="-5"/>
        </w:rPr>
        <w:t> </w:t>
      </w:r>
      <w:r>
        <w:rPr>
          <w:color w:val="231F20"/>
          <w:spacing w:val="-2"/>
        </w:rPr>
        <w:t>characteristics</w:t>
      </w:r>
    </w:p>
    <w:p>
      <w:pPr>
        <w:pStyle w:val="BodyText"/>
        <w:spacing w:line="213" w:lineRule="auto" w:before="138"/>
        <w:ind w:left="2472" w:right="545"/>
      </w:pPr>
      <w:r>
        <w:rPr>
          <w:color w:val="231F20"/>
        </w:rPr>
        <w:t>Every Navigator item has at least one predefined workspace that you can </w:t>
      </w:r>
      <w:r>
        <w:rPr>
          <w:color w:val="231F20"/>
        </w:rPr>
        <w:t>open. Every workspace characteristics such as editable properties and views.</w:t>
      </w:r>
    </w:p>
    <w:p>
      <w:pPr>
        <w:pStyle w:val="Heading4"/>
        <w:ind w:left="2472"/>
      </w:pPr>
      <w:r>
        <w:rPr>
          <w:color w:val="231F20"/>
          <w:spacing w:val="-2"/>
        </w:rPr>
        <w:t>Views</w:t>
      </w:r>
    </w:p>
    <w:p>
      <w:pPr>
        <w:pStyle w:val="BodyText"/>
        <w:spacing w:line="213" w:lineRule="auto" w:before="241"/>
        <w:ind w:left="2472" w:right="385"/>
      </w:pPr>
      <w:r>
        <w:rPr>
          <w:color w:val="231F20"/>
        </w:rPr>
        <w:t>A view is a windowpane, or frame, in the workspace containing a chart or table showing data from one or more monitoring agents. Other types of views such as</w:t>
      </w:r>
      <w:r>
        <w:rPr>
          <w:color w:val="231F20"/>
          <w:spacing w:val="80"/>
        </w:rPr>
        <w:t> </w:t>
      </w:r>
      <w:r>
        <w:rPr>
          <w:color w:val="231F20"/>
        </w:rPr>
        <w:t>the topology view and graphic view can give a broader overview of the network. Specialized view such as the browser view and terminal view are also available.</w:t>
      </w:r>
      <w:r>
        <w:rPr>
          <w:color w:val="231F20"/>
          <w:spacing w:val="40"/>
        </w:rPr>
        <w:t> </w:t>
      </w:r>
      <w:r>
        <w:rPr>
          <w:color w:val="231F20"/>
        </w:rPr>
        <w:t>You can increase the number of views in a workspace by splitting a view into two separate views.</w:t>
      </w:r>
    </w:p>
    <w:p>
      <w:pPr>
        <w:pStyle w:val="BodyText"/>
        <w:spacing w:line="213" w:lineRule="auto" w:before="236"/>
        <w:ind w:left="2472" w:right="297"/>
      </w:pPr>
      <w:r>
        <w:rPr>
          <w:color w:val="231F20"/>
        </w:rPr>
        <w:t>The data for a table, chart, or relational table-based topology view is chosen by the query it uses. Collectively, they are called </w:t>
      </w:r>
      <w:r>
        <w:rPr>
          <w:rFonts w:ascii="Book Antiqua"/>
          <w:i/>
          <w:color w:val="231F20"/>
        </w:rPr>
        <w:t>query-based views</w:t>
      </w:r>
      <w:r>
        <w:rPr>
          <w:color w:val="231F20"/>
        </w:rPr>
        <w:t>. The query specifies the attributes to include in the view. Although each view uses one query, you can add more views to the workspace, and each can use a different query. The queries can</w:t>
      </w:r>
      <w:r>
        <w:rPr>
          <w:color w:val="231F20"/>
          <w:spacing w:val="80"/>
        </w:rPr>
        <w:t> </w:t>
      </w:r>
      <w:r>
        <w:rPr>
          <w:color w:val="231F20"/>
        </w:rPr>
        <w:t>be for different monitoring agents, including those for the Tivoli Enterprise Monitoring Server for showing information that is common to your monitored environment</w:t>
      </w:r>
      <w:r>
        <w:rPr>
          <w:color w:val="231F20"/>
          <w:spacing w:val="26"/>
        </w:rPr>
        <w:t> </w:t>
      </w:r>
      <w:r>
        <w:rPr>
          <w:color w:val="231F20"/>
        </w:rPr>
        <w:t>(such</w:t>
      </w:r>
      <w:r>
        <w:rPr>
          <w:color w:val="231F20"/>
          <w:spacing w:val="26"/>
        </w:rPr>
        <w:t> </w:t>
      </w:r>
      <w:r>
        <w:rPr>
          <w:color w:val="231F20"/>
        </w:rPr>
        <w:t>as</w:t>
      </w:r>
      <w:r>
        <w:rPr>
          <w:color w:val="231F20"/>
          <w:spacing w:val="26"/>
        </w:rPr>
        <w:t> </w:t>
      </w:r>
      <w:r>
        <w:rPr>
          <w:color w:val="231F20"/>
        </w:rPr>
        <w:t>all</w:t>
      </w:r>
      <w:r>
        <w:rPr>
          <w:color w:val="231F20"/>
          <w:spacing w:val="26"/>
        </w:rPr>
        <w:t> </w:t>
      </w:r>
      <w:r>
        <w:rPr>
          <w:color w:val="231F20"/>
        </w:rPr>
        <w:t>the</w:t>
      </w:r>
      <w:r>
        <w:rPr>
          <w:color w:val="231F20"/>
          <w:spacing w:val="26"/>
        </w:rPr>
        <w:t> </w:t>
      </w:r>
      <w:r>
        <w:rPr>
          <w:color w:val="231F20"/>
        </w:rPr>
        <w:t>managed</w:t>
      </w:r>
      <w:r>
        <w:rPr>
          <w:color w:val="231F20"/>
          <w:spacing w:val="26"/>
        </w:rPr>
        <w:t> </w:t>
      </w:r>
      <w:r>
        <w:rPr>
          <w:color w:val="231F20"/>
        </w:rPr>
        <w:t>systems</w:t>
      </w:r>
      <w:r>
        <w:rPr>
          <w:color w:val="231F20"/>
          <w:spacing w:val="26"/>
        </w:rPr>
        <w:t> </w:t>
      </w:r>
      <w:r>
        <w:rPr>
          <w:color w:val="231F20"/>
        </w:rPr>
        <w:t>and</w:t>
      </w:r>
      <w:r>
        <w:rPr>
          <w:color w:val="231F20"/>
          <w:spacing w:val="26"/>
        </w:rPr>
        <w:t> </w:t>
      </w:r>
      <w:r>
        <w:rPr>
          <w:color w:val="231F20"/>
        </w:rPr>
        <w:t>all</w:t>
      </w:r>
      <w:r>
        <w:rPr>
          <w:color w:val="231F20"/>
          <w:spacing w:val="26"/>
        </w:rPr>
        <w:t> </w:t>
      </w:r>
      <w:r>
        <w:rPr>
          <w:color w:val="231F20"/>
        </w:rPr>
        <w:t>the</w:t>
      </w:r>
      <w:r>
        <w:rPr>
          <w:color w:val="231F20"/>
          <w:spacing w:val="26"/>
        </w:rPr>
        <w:t> </w:t>
      </w:r>
      <w:r>
        <w:rPr>
          <w:color w:val="231F20"/>
        </w:rPr>
        <w:t>situation</w:t>
      </w:r>
      <w:r>
        <w:rPr>
          <w:color w:val="231F20"/>
          <w:spacing w:val="26"/>
        </w:rPr>
        <w:t> </w:t>
      </w:r>
      <w:r>
        <w:rPr>
          <w:color w:val="231F20"/>
        </w:rPr>
        <w:t>events). You can also include queries of JDBC or ODBC data sources by writing custom SQL </w:t>
      </w:r>
      <w:r>
        <w:rPr>
          <w:color w:val="231F20"/>
          <w:spacing w:val="-2"/>
        </w:rPr>
        <w:t>queries.</w:t>
      </w:r>
    </w:p>
    <w:p>
      <w:pPr>
        <w:pStyle w:val="Heading4"/>
        <w:spacing w:before="195"/>
        <w:ind w:left="2472"/>
      </w:pPr>
      <w:r>
        <w:rPr>
          <w:color w:val="231F20"/>
          <w:spacing w:val="-2"/>
        </w:rPr>
        <w:t>Properties</w:t>
      </w:r>
    </w:p>
    <w:p>
      <w:pPr>
        <w:pStyle w:val="BodyText"/>
        <w:spacing w:line="213" w:lineRule="auto" w:before="241"/>
        <w:ind w:left="2472" w:right="256"/>
        <w:jc w:val="both"/>
      </w:pPr>
      <w:r>
        <w:rPr>
          <w:color w:val="231F20"/>
        </w:rPr>
        <w:t>Every workspace has a set of properties associated with it: general properties that apply to the entire workspace, and properties for each view in the workspace. </w:t>
      </w:r>
      <w:r>
        <w:rPr>
          <w:color w:val="231F20"/>
        </w:rPr>
        <w:t>Use the Properties editor to customize the workspace characteristics and to change the style and content of each view.</w:t>
      </w:r>
    </w:p>
    <w:p>
      <w:pPr>
        <w:pStyle w:val="BodyText"/>
        <w:spacing w:line="213" w:lineRule="auto" w:before="237"/>
        <w:ind w:left="2472" w:right="258"/>
      </w:pPr>
      <w:r>
        <w:rPr>
          <w:color w:val="231F20"/>
        </w:rPr>
        <w:t>You can also keep the original workspace intact and create another workspace </w:t>
      </w:r>
      <w:r>
        <w:rPr>
          <w:color w:val="231F20"/>
        </w:rPr>
        <w:t>for the</w:t>
      </w:r>
      <w:r>
        <w:rPr>
          <w:color w:val="231F20"/>
          <w:spacing w:val="25"/>
        </w:rPr>
        <w:t> </w:t>
      </w:r>
      <w:r>
        <w:rPr>
          <w:color w:val="231F20"/>
        </w:rPr>
        <w:t>same</w:t>
      </w:r>
      <w:r>
        <w:rPr>
          <w:color w:val="231F20"/>
          <w:spacing w:val="25"/>
        </w:rPr>
        <w:t> </w:t>
      </w:r>
      <w:r>
        <w:rPr>
          <w:color w:val="231F20"/>
        </w:rPr>
        <w:t>item</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Navigator,</w:t>
      </w:r>
      <w:r>
        <w:rPr>
          <w:color w:val="231F20"/>
          <w:spacing w:val="25"/>
        </w:rPr>
        <w:t> </w:t>
      </w:r>
      <w:r>
        <w:rPr>
          <w:color w:val="231F20"/>
        </w:rPr>
        <w:t>customizing</w:t>
      </w:r>
      <w:r>
        <w:rPr>
          <w:color w:val="231F20"/>
          <w:spacing w:val="25"/>
        </w:rPr>
        <w:t> </w:t>
      </w:r>
      <w:r>
        <w:rPr>
          <w:color w:val="231F20"/>
        </w:rPr>
        <w:t>it</w:t>
      </w:r>
      <w:r>
        <w:rPr>
          <w:color w:val="231F20"/>
          <w:spacing w:val="25"/>
        </w:rPr>
        <w:t> </w:t>
      </w:r>
      <w:r>
        <w:rPr>
          <w:color w:val="231F20"/>
        </w:rPr>
        <w:t>for</w:t>
      </w:r>
      <w:r>
        <w:rPr>
          <w:color w:val="231F20"/>
          <w:spacing w:val="25"/>
        </w:rPr>
        <w:t> </w:t>
      </w:r>
      <w:r>
        <w:rPr>
          <w:color w:val="231F20"/>
        </w:rPr>
        <w:t>the</w:t>
      </w:r>
      <w:r>
        <w:rPr>
          <w:color w:val="231F20"/>
          <w:spacing w:val="25"/>
        </w:rPr>
        <w:t> </w:t>
      </w:r>
      <w:r>
        <w:rPr>
          <w:color w:val="231F20"/>
        </w:rPr>
        <w:t>types</w:t>
      </w:r>
      <w:r>
        <w:rPr>
          <w:color w:val="231F20"/>
          <w:spacing w:val="25"/>
        </w:rPr>
        <w:t> </w:t>
      </w:r>
      <w:r>
        <w:rPr>
          <w:color w:val="231F20"/>
        </w:rPr>
        <w:t>of</w:t>
      </w:r>
      <w:r>
        <w:rPr>
          <w:color w:val="231F20"/>
          <w:spacing w:val="25"/>
        </w:rPr>
        <w:t> </w:t>
      </w:r>
      <w:r>
        <w:rPr>
          <w:color w:val="231F20"/>
        </w:rPr>
        <w:t>views</w:t>
      </w:r>
      <w:r>
        <w:rPr>
          <w:color w:val="231F20"/>
          <w:spacing w:val="25"/>
        </w:rPr>
        <w:t> </w:t>
      </w:r>
      <w:r>
        <w:rPr>
          <w:color w:val="231F20"/>
        </w:rPr>
        <w:t>you</w:t>
      </w:r>
      <w:r>
        <w:rPr>
          <w:color w:val="231F20"/>
          <w:spacing w:val="25"/>
        </w:rPr>
        <w:t> </w:t>
      </w:r>
      <w:r>
        <w:rPr>
          <w:color w:val="231F20"/>
        </w:rPr>
        <w:t>want and the information reported in charts and tables.</w:t>
      </w:r>
    </w:p>
    <w:p>
      <w:pPr>
        <w:pStyle w:val="BodyText"/>
        <w:spacing w:line="213" w:lineRule="auto" w:before="238"/>
        <w:ind w:left="2472" w:right="545"/>
      </w:pPr>
      <w:r>
        <w:rPr>
          <w:color w:val="231F20"/>
        </w:rPr>
        <w:t>Changes you make to a workspace are available only to your user ID. System administrators can work in Administration mode to create and edit </w:t>
      </w:r>
      <w:r>
        <w:rPr>
          <w:color w:val="231F20"/>
        </w:rPr>
        <w:t>workspaces that will be available to all users on the managed network.</w:t>
      </w:r>
    </w:p>
    <w:p>
      <w:pPr>
        <w:pStyle w:val="Heading4"/>
        <w:spacing w:before="199"/>
        <w:ind w:left="2472"/>
      </w:pPr>
      <w:r>
        <w:rPr>
          <w:color w:val="231F20"/>
          <w:spacing w:val="-2"/>
        </w:rPr>
        <w:t>Links</w:t>
      </w:r>
    </w:p>
    <w:p>
      <w:pPr>
        <w:pStyle w:val="BodyText"/>
        <w:spacing w:line="213" w:lineRule="auto" w:before="241"/>
        <w:ind w:left="2472" w:right="385"/>
      </w:pPr>
      <w:r>
        <w:rPr>
          <w:color w:val="231F20"/>
        </w:rPr>
        <w:t>The link feature enables you to define a link from one workspace to another. Then you</w:t>
      </w:r>
      <w:r>
        <w:rPr>
          <w:color w:val="231F20"/>
          <w:spacing w:val="27"/>
        </w:rPr>
        <w:t> </w:t>
      </w:r>
      <w:r>
        <w:rPr>
          <w:color w:val="231F20"/>
        </w:rPr>
        <w:t>can</w:t>
      </w:r>
      <w:r>
        <w:rPr>
          <w:color w:val="231F20"/>
          <w:spacing w:val="27"/>
        </w:rPr>
        <w:t> </w:t>
      </w:r>
      <w:r>
        <w:rPr>
          <w:color w:val="231F20"/>
        </w:rPr>
        <w:t>quickly</w:t>
      </w:r>
      <w:r>
        <w:rPr>
          <w:color w:val="231F20"/>
          <w:spacing w:val="27"/>
        </w:rPr>
        <w:t> </w:t>
      </w:r>
      <w:r>
        <w:rPr>
          <w:color w:val="231F20"/>
        </w:rPr>
        <w:t>jump</w:t>
      </w:r>
      <w:r>
        <w:rPr>
          <w:color w:val="231F20"/>
          <w:spacing w:val="27"/>
        </w:rPr>
        <w:t> </w:t>
      </w:r>
      <w:r>
        <w:rPr>
          <w:color w:val="231F20"/>
        </w:rPr>
        <w:t>to</w:t>
      </w:r>
      <w:r>
        <w:rPr>
          <w:color w:val="231F20"/>
          <w:spacing w:val="27"/>
        </w:rPr>
        <w:t> </w:t>
      </w:r>
      <w:r>
        <w:rPr>
          <w:color w:val="231F20"/>
        </w:rPr>
        <w:t>a</w:t>
      </w:r>
      <w:r>
        <w:rPr>
          <w:color w:val="231F20"/>
          <w:spacing w:val="27"/>
        </w:rPr>
        <w:t> </w:t>
      </w:r>
      <w:r>
        <w:rPr>
          <w:color w:val="231F20"/>
        </w:rPr>
        <w:t>related</w:t>
      </w:r>
      <w:r>
        <w:rPr>
          <w:color w:val="231F20"/>
          <w:spacing w:val="27"/>
        </w:rPr>
        <w:t> </w:t>
      </w:r>
      <w:r>
        <w:rPr>
          <w:color w:val="231F20"/>
        </w:rPr>
        <w:t>or</w:t>
      </w:r>
      <w:r>
        <w:rPr>
          <w:color w:val="231F20"/>
          <w:spacing w:val="27"/>
        </w:rPr>
        <w:t> </w:t>
      </w:r>
      <w:r>
        <w:rPr>
          <w:color w:val="231F20"/>
        </w:rPr>
        <w:t>more</w:t>
      </w:r>
      <w:r>
        <w:rPr>
          <w:color w:val="231F20"/>
          <w:spacing w:val="27"/>
        </w:rPr>
        <w:t> </w:t>
      </w:r>
      <w:r>
        <w:rPr>
          <w:color w:val="231F20"/>
        </w:rPr>
        <w:t>detailed</w:t>
      </w:r>
      <w:r>
        <w:rPr>
          <w:color w:val="231F20"/>
          <w:spacing w:val="27"/>
        </w:rPr>
        <w:t> </w:t>
      </w:r>
      <w:r>
        <w:rPr>
          <w:color w:val="231F20"/>
        </w:rPr>
        <w:t>workspace</w:t>
      </w:r>
      <w:r>
        <w:rPr>
          <w:color w:val="231F20"/>
          <w:spacing w:val="27"/>
        </w:rPr>
        <w:t> </w:t>
      </w:r>
      <w:r>
        <w:rPr>
          <w:color w:val="231F20"/>
        </w:rPr>
        <w:t>to</w:t>
      </w:r>
      <w:r>
        <w:rPr>
          <w:color w:val="231F20"/>
          <w:spacing w:val="27"/>
        </w:rPr>
        <w:t> </w:t>
      </w:r>
      <w:r>
        <w:rPr>
          <w:color w:val="231F20"/>
        </w:rPr>
        <w:t>investigate system conditions.</w:t>
      </w:r>
    </w:p>
    <w:p>
      <w:pPr>
        <w:spacing w:after="0" w:line="213" w:lineRule="auto"/>
        <w:sectPr>
          <w:footerReference w:type="default" r:id="rId134"/>
          <w:footerReference w:type="even" r:id="rId135"/>
          <w:pgSz w:w="12240" w:h="15840"/>
          <w:pgMar w:header="0" w:footer="736" w:top="1300" w:bottom="920" w:left="1000" w:right="1060"/>
          <w:pgNumType w:start="33"/>
        </w:sectPr>
      </w:pPr>
    </w:p>
    <w:p>
      <w:pPr>
        <w:pStyle w:val="BodyText"/>
        <w:spacing w:line="255" w:lineRule="exact" w:before="62"/>
        <w:ind w:left="2232"/>
      </w:pPr>
      <w:bookmarkStart w:name="_bookmark25" w:id="59"/>
      <w:bookmarkEnd w:id="59"/>
      <w:r>
        <w:rPr/>
      </w:r>
      <w:r>
        <w:rPr>
          <w:color w:val="231F20"/>
        </w:rPr>
        <w:t>The</w:t>
      </w:r>
      <w:r>
        <w:rPr>
          <w:color w:val="231F20"/>
          <w:spacing w:val="11"/>
        </w:rPr>
        <w:t> </w:t>
      </w:r>
      <w:r>
        <w:rPr>
          <w:color w:val="231F20"/>
        </w:rPr>
        <w:t>simplest</w:t>
      </w:r>
      <w:r>
        <w:rPr>
          <w:color w:val="231F20"/>
          <w:spacing w:val="11"/>
        </w:rPr>
        <w:t> </w:t>
      </w:r>
      <w:r>
        <w:rPr>
          <w:color w:val="231F20"/>
        </w:rPr>
        <w:t>type</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link</w:t>
      </w:r>
      <w:r>
        <w:rPr>
          <w:color w:val="231F20"/>
          <w:spacing w:val="11"/>
        </w:rPr>
        <w:t> </w:t>
      </w:r>
      <w:r>
        <w:rPr>
          <w:color w:val="231F20"/>
        </w:rPr>
        <w:t>originates</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rPr>
        <w:t>Navigator</w:t>
      </w:r>
      <w:r>
        <w:rPr>
          <w:color w:val="231F20"/>
          <w:spacing w:val="11"/>
        </w:rPr>
        <w:t> </w:t>
      </w:r>
      <w:r>
        <w:rPr>
          <w:color w:val="231F20"/>
        </w:rPr>
        <w:t>item:</w:t>
      </w:r>
      <w:r>
        <w:rPr>
          <w:color w:val="231F20"/>
          <w:spacing w:val="11"/>
        </w:rPr>
        <w:t> </w:t>
      </w:r>
      <w:r>
        <w:rPr>
          <w:color w:val="231F20"/>
        </w:rPr>
        <w:t>When</w:t>
      </w:r>
      <w:r>
        <w:rPr>
          <w:color w:val="231F20"/>
          <w:spacing w:val="11"/>
        </w:rPr>
        <w:t> </w:t>
      </w:r>
      <w:r>
        <w:rPr>
          <w:color w:val="231F20"/>
          <w:spacing w:val="-5"/>
        </w:rPr>
        <w:t>you</w:t>
      </w:r>
    </w:p>
    <w:p>
      <w:pPr>
        <w:pStyle w:val="BodyText"/>
        <w:spacing w:line="213" w:lineRule="auto" w:before="7"/>
        <w:ind w:left="2232" w:right="493"/>
      </w:pPr>
      <w:r>
        <w:rPr>
          <w:color w:val="231F20"/>
        </w:rPr>
        <w:t>right-click that Navigator item, the pop-up menu shows the defined links for </w:t>
      </w:r>
      <w:r>
        <w:rPr>
          <w:color w:val="231F20"/>
        </w:rPr>
        <w:t>the item. Select one to open the linked workspace.</w:t>
      </w:r>
    </w:p>
    <w:p>
      <w:pPr>
        <w:pStyle w:val="BodyText"/>
        <w:spacing w:line="213" w:lineRule="auto" w:before="239"/>
        <w:ind w:left="2232" w:right="545"/>
      </w:pPr>
      <w:r>
        <w:rPr>
          <w:color w:val="231F20"/>
        </w:rPr>
        <w:t>A more specific link originates from a table or from a chart data point to another workspace. Information from one of the attributes in the selected row, bar, pie segment, or plot point is used to determine the content of the target workspace.</w:t>
      </w:r>
    </w:p>
    <w:p>
      <w:pPr>
        <w:pStyle w:val="BodyText"/>
        <w:spacing w:line="213" w:lineRule="auto" w:before="237"/>
        <w:ind w:left="2232" w:right="636"/>
      </w:pPr>
      <w:r>
        <w:rPr>
          <w:color w:val="231F20"/>
        </w:rPr>
        <w:t>You can also define more complex links and use the predefined links that come with your IBM Tivoli Monitoring product.</w:t>
      </w:r>
    </w:p>
    <w:p>
      <w:pPr>
        <w:pStyle w:val="Heading4"/>
      </w:pPr>
      <w:r>
        <w:rPr>
          <w:color w:val="231F20"/>
        </w:rPr>
        <w:t>Navigator</w:t>
      </w:r>
      <w:r>
        <w:rPr>
          <w:color w:val="231F20"/>
          <w:spacing w:val="1"/>
        </w:rPr>
        <w:t> </w:t>
      </w:r>
      <w:r>
        <w:rPr>
          <w:color w:val="231F20"/>
          <w:spacing w:val="-2"/>
        </w:rPr>
        <w:t>level</w:t>
      </w:r>
    </w:p>
    <w:p>
      <w:pPr>
        <w:pStyle w:val="BodyText"/>
        <w:spacing w:line="213" w:lineRule="auto" w:before="241"/>
        <w:ind w:left="2232" w:right="493"/>
      </w:pPr>
      <w:r>
        <w:rPr>
          <w:color w:val="231F20"/>
        </w:rPr>
        <w:t>The monitoring agents available for reporting in a workspace are those assigned </w:t>
      </w:r>
      <w:r>
        <w:rPr>
          <w:color w:val="231F20"/>
        </w:rPr>
        <w:t>to that branch of the Navigator. If you are not sure which monitoring agents are included, do one of the following:</w:t>
      </w:r>
    </w:p>
    <w:p>
      <w:pPr>
        <w:pStyle w:val="BodyText"/>
        <w:spacing w:before="35"/>
        <w:ind w:left="2232"/>
      </w:pPr>
      <w:r>
        <w:rPr>
          <w:rFonts w:ascii="Futura MdCn BT"/>
          <w:color w:val="231F20"/>
        </w:rPr>
        <w:t>v</w:t>
      </w:r>
      <w:r>
        <w:rPr>
          <w:rFonts w:ascii="Futura MdCn BT"/>
          <w:color w:val="231F20"/>
          <w:spacing w:val="32"/>
        </w:rPr>
        <w:t>  </w:t>
      </w:r>
      <w:r>
        <w:rPr>
          <w:color w:val="231F20"/>
        </w:rPr>
        <w:t>Expand</w:t>
      </w:r>
      <w:r>
        <w:rPr>
          <w:color w:val="231F20"/>
          <w:spacing w:val="14"/>
        </w:rPr>
        <w:t> </w:t>
      </w:r>
      <w:r>
        <w:rPr>
          <w:color w:val="231F20"/>
        </w:rPr>
        <w:t>the</w:t>
      </w:r>
      <w:r>
        <w:rPr>
          <w:color w:val="231F20"/>
          <w:spacing w:val="13"/>
        </w:rPr>
        <w:t> </w:t>
      </w:r>
      <w:r>
        <w:rPr>
          <w:color w:val="231F20"/>
        </w:rPr>
        <w:t>branch</w:t>
      </w:r>
      <w:r>
        <w:rPr>
          <w:color w:val="231F20"/>
          <w:spacing w:val="13"/>
        </w:rPr>
        <w:t> </w:t>
      </w:r>
      <w:r>
        <w:rPr>
          <w:color w:val="231F20"/>
        </w:rPr>
        <w:t>of</w:t>
      </w:r>
      <w:r>
        <w:rPr>
          <w:color w:val="231F20"/>
          <w:spacing w:val="13"/>
        </w:rPr>
        <w:t> </w:t>
      </w:r>
      <w:r>
        <w:rPr>
          <w:color w:val="231F20"/>
        </w:rPr>
        <w:t>the</w:t>
      </w:r>
      <w:r>
        <w:rPr>
          <w:color w:val="231F20"/>
          <w:spacing w:val="14"/>
        </w:rPr>
        <w:t> </w:t>
      </w:r>
      <w:r>
        <w:rPr>
          <w:color w:val="231F20"/>
          <w:spacing w:val="-2"/>
        </w:rPr>
        <w:t>Navigator</w:t>
      </w:r>
    </w:p>
    <w:p>
      <w:pPr>
        <w:pStyle w:val="BodyText"/>
        <w:spacing w:line="213" w:lineRule="auto" w:before="52"/>
        <w:ind w:left="2448" w:right="603" w:hanging="216"/>
      </w:pPr>
      <w:r>
        <w:rPr>
          <w:rFonts w:ascii="Futura MdCn BT"/>
          <w:color w:val="231F20"/>
        </w:rPr>
        <w:t>v</w:t>
      </w:r>
      <w:r>
        <w:rPr>
          <w:rFonts w:ascii="Futura MdCn BT"/>
          <w:color w:val="231F20"/>
          <w:spacing w:val="80"/>
        </w:rPr>
        <w:t> </w:t>
      </w:r>
      <w:r>
        <w:rPr>
          <w:color w:val="231F20"/>
        </w:rPr>
        <w:t>Right-click the Navigator item and select Properties to see which </w:t>
      </w:r>
      <w:r>
        <w:rPr>
          <w:color w:val="231F20"/>
        </w:rPr>
        <w:t>managed</w:t>
      </w:r>
      <w:r>
        <w:rPr>
          <w:color w:val="231F20"/>
        </w:rPr>
        <w:t> systems are assigned.</w:t>
      </w:r>
    </w:p>
    <w:p>
      <w:pPr>
        <w:pStyle w:val="BodyText"/>
        <w:spacing w:line="213" w:lineRule="auto" w:before="59"/>
        <w:ind w:left="2448" w:right="493" w:hanging="216"/>
      </w:pPr>
      <w:r>
        <w:rPr>
          <w:rFonts w:ascii="Futura MdCn BT"/>
          <w:color w:val="231F20"/>
        </w:rPr>
        <w:t>v</w:t>
      </w:r>
      <w:r>
        <w:rPr>
          <w:rFonts w:ascii="Futura MdCn BT"/>
          <w:color w:val="231F20"/>
          <w:spacing w:val="80"/>
        </w:rPr>
        <w:t> </w:t>
      </w:r>
      <w:r>
        <w:rPr>
          <w:color w:val="231F20"/>
        </w:rPr>
        <w:t>Open one of the workspaces at the enterprise, platform, or system level of </w:t>
      </w:r>
      <w:r>
        <w:rPr>
          <w:color w:val="231F20"/>
        </w:rPr>
        <w:t>the</w:t>
      </w:r>
      <w:r>
        <w:rPr>
          <w:color w:val="231F20"/>
          <w:spacing w:val="40"/>
        </w:rPr>
        <w:t> </w:t>
      </w:r>
      <w:r>
        <w:rPr>
          <w:color w:val="231F20"/>
        </w:rPr>
        <w:t>Navigator Physical view</w:t>
      </w:r>
    </w:p>
    <w:p>
      <w:pPr>
        <w:pStyle w:val="BodyText"/>
        <w:spacing w:line="213" w:lineRule="auto" w:before="238"/>
        <w:ind w:left="2232" w:right="545"/>
      </w:pPr>
      <w:r>
        <w:rPr>
          <w:color w:val="231F20"/>
        </w:rPr>
        <w:t>This same principle applies to attribute groups. The lowest level of the Navigator Physical view, for example, is the attribute level. The views you can show for the workspaces at that level can draw only from the attribute groups represented by that level. If you were to build a workspace for the</w:t>
      </w:r>
      <w:r>
        <w:rPr>
          <w:color w:val="231F20"/>
          <w:spacing w:val="30"/>
        </w:rPr>
        <w:t> </w:t>
      </w:r>
      <w:r>
        <w:rPr>
          <w:color w:val="231F20"/>
          <w:spacing w:val="-25"/>
          <w:position w:val="-1"/>
        </w:rPr>
        <w:drawing>
          <wp:inline distT="0" distB="0" distL="0" distR="0">
            <wp:extent cx="88900" cy="101600"/>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Disk </w:t>
      </w:r>
      <w:r>
        <w:rPr>
          <w:color w:val="231F20"/>
        </w:rPr>
        <w:t>Navigator item, for example, you could create a chart with data from the </w:t>
      </w:r>
      <w:r>
        <w:rPr>
          <w:rFonts w:ascii="Book Antiqua"/>
          <w:b/>
          <w:color w:val="231F20"/>
        </w:rPr>
        <w:t>Logical Disk </w:t>
      </w:r>
      <w:r>
        <w:rPr>
          <w:color w:val="231F20"/>
        </w:rPr>
        <w:t>attributes </w:t>
      </w:r>
      <w:r>
        <w:rPr>
          <w:color w:val="231F20"/>
        </w:rPr>
        <w:t>and another with data from the </w:t>
      </w:r>
      <w:r>
        <w:rPr>
          <w:rFonts w:ascii="Book Antiqua"/>
          <w:b/>
          <w:color w:val="231F20"/>
        </w:rPr>
        <w:t>Physical Disk </w:t>
      </w:r>
      <w:r>
        <w:rPr>
          <w:color w:val="231F20"/>
        </w:rPr>
        <w:t>attributes.</w:t>
      </w:r>
    </w:p>
    <w:p>
      <w:pPr>
        <w:pStyle w:val="BodyText"/>
        <w:spacing w:before="3"/>
        <w:rPr>
          <w:sz w:val="16"/>
        </w:rPr>
      </w:pPr>
      <w:r>
        <w:rPr/>
        <mc:AlternateContent>
          <mc:Choice Requires="wps">
            <w:drawing>
              <wp:anchor distT="0" distB="0" distL="0" distR="0" allowOverlap="1" layoutInCell="1" locked="0" behindDoc="1" simplePos="0" relativeHeight="487638528">
                <wp:simplePos x="0" y="0"/>
                <wp:positionH relativeFrom="page">
                  <wp:posOffset>760323</wp:posOffset>
                </wp:positionH>
                <wp:positionV relativeFrom="paragraph">
                  <wp:posOffset>154381</wp:posOffset>
                </wp:positionV>
                <wp:extent cx="6082665" cy="1270"/>
                <wp:effectExtent l="0" t="0" r="0" b="0"/>
                <wp:wrapTopAndBottom/>
                <wp:docPr id="420" name="Graphic 420"/>
                <wp:cNvGraphicFramePr>
                  <a:graphicFrameLocks/>
                </wp:cNvGraphicFramePr>
                <a:graphic>
                  <a:graphicData uri="http://schemas.microsoft.com/office/word/2010/wordprocessingShape">
                    <wps:wsp>
                      <wps:cNvPr id="420" name="Graphic 420"/>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56014pt;width:478.95pt;height:.1pt;mso-position-horizontal-relative:page;mso-position-vertical-relative:paragraph;z-index:-15677952;mso-wrap-distance-left:0;mso-wrap-distance-right:0" id="docshape69" coordorigin="1197,243" coordsize="9579,0" path="m1197,243l10776,243e" filled="false" stroked="true" strokeweight=".499pt" strokecolor="#231f20">
                <v:path arrowok="t"/>
                <v:stroke dashstyle="solid"/>
                <w10:wrap type="topAndBottom"/>
              </v:shape>
            </w:pict>
          </mc:Fallback>
        </mc:AlternateContent>
      </w:r>
    </w:p>
    <w:p>
      <w:pPr>
        <w:pStyle w:val="Heading3"/>
        <w:ind w:left="197"/>
      </w:pPr>
      <w:bookmarkStart w:name="Organization of predefined workspaces" w:id="60"/>
      <w:bookmarkEnd w:id="60"/>
      <w:r>
        <w:rPr>
          <w:b w:val="0"/>
        </w:rPr>
      </w:r>
      <w:r>
        <w:rPr>
          <w:color w:val="231F20"/>
        </w:rPr>
        <w:t>Organization</w:t>
      </w:r>
      <w:r>
        <w:rPr>
          <w:color w:val="231F20"/>
          <w:spacing w:val="3"/>
        </w:rPr>
        <w:t> </w:t>
      </w:r>
      <w:r>
        <w:rPr>
          <w:color w:val="231F20"/>
        </w:rPr>
        <w:t>of</w:t>
      </w:r>
      <w:r>
        <w:rPr>
          <w:color w:val="231F20"/>
          <w:spacing w:val="4"/>
        </w:rPr>
        <w:t> </w:t>
      </w:r>
      <w:r>
        <w:rPr>
          <w:color w:val="231F20"/>
        </w:rPr>
        <w:t>predefined</w:t>
      </w:r>
      <w:r>
        <w:rPr>
          <w:color w:val="231F20"/>
          <w:spacing w:val="3"/>
        </w:rPr>
        <w:t> </w:t>
      </w:r>
      <w:r>
        <w:rPr>
          <w:color w:val="231F20"/>
          <w:spacing w:val="-2"/>
        </w:rPr>
        <w:t>workspaces</w:t>
      </w:r>
    </w:p>
    <w:p>
      <w:pPr>
        <w:pStyle w:val="BodyText"/>
        <w:spacing w:line="213" w:lineRule="auto" w:before="138"/>
        <w:ind w:left="2232" w:right="636"/>
      </w:pPr>
      <w:r>
        <w:rPr>
          <w:color w:val="231F20"/>
        </w:rPr>
        <w:t>The Enterprise Navigator item has workspaces that query the Tivoli </w:t>
      </w:r>
      <w:r>
        <w:rPr>
          <w:color w:val="231F20"/>
        </w:rPr>
        <w:t>Enterprise Monitoring Server. Use these predefined workspaces to get status information about the monitoring server and monitoring agents and about situations and </w:t>
      </w:r>
      <w:r>
        <w:rPr>
          <w:color w:val="231F20"/>
          <w:spacing w:val="-2"/>
        </w:rPr>
        <w:t>policies.</w:t>
      </w:r>
    </w:p>
    <w:p>
      <w:pPr>
        <w:pStyle w:val="BodyText"/>
        <w:spacing w:line="213" w:lineRule="auto" w:before="237"/>
        <w:ind w:left="2232" w:right="636"/>
      </w:pPr>
      <w:r>
        <w:rPr>
          <w:color w:val="231F20"/>
        </w:rPr>
        <w:t>Use the </w:t>
      </w:r>
      <w:r>
        <w:rPr>
          <w:color w:val="231F20"/>
          <w:spacing w:val="16"/>
          <w:position w:val="-1"/>
        </w:rPr>
        <w:drawing>
          <wp:inline distT="0" distB="0" distL="0" distR="0">
            <wp:extent cx="101600" cy="101600"/>
            <wp:effectExtent l="0" t="0" r="0" b="0"/>
            <wp:docPr id="421" name="Image 421"/>
            <wp:cNvGraphicFramePr>
              <a:graphicFrameLocks/>
            </wp:cNvGraphicFramePr>
            <a:graphic>
              <a:graphicData uri="http://schemas.openxmlformats.org/drawingml/2006/picture">
                <pic:pic>
                  <pic:nvPicPr>
                    <pic:cNvPr id="421" name="Image 421"/>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2"/>
        </w:rPr>
        <w:t> </w:t>
      </w:r>
      <w:r>
        <w:rPr>
          <w:rFonts w:ascii="Book Antiqua"/>
          <w:b/>
          <w:color w:val="231F20"/>
        </w:rPr>
        <w:t>Workspace Gallery </w:t>
      </w:r>
      <w:r>
        <w:rPr>
          <w:color w:val="231F20"/>
        </w:rPr>
        <w:t>to see what is available for the Navigator item.</w:t>
      </w:r>
      <w:r>
        <w:rPr>
          <w:color w:val="231F20"/>
          <w:spacing w:val="80"/>
        </w:rPr>
        <w:t> </w:t>
      </w:r>
      <w:r>
        <w:rPr>
          <w:color w:val="231F20"/>
        </w:rPr>
        <w:t>These are the Enterprise Navigator item workspaces and the workspaces they </w:t>
      </w:r>
      <w:r>
        <w:rPr>
          <w:color w:val="231F20"/>
        </w:rPr>
        <w:t>link </w:t>
      </w:r>
      <w:r>
        <w:rPr>
          <w:color w:val="231F20"/>
          <w:spacing w:val="-4"/>
        </w:rPr>
        <w:t>to:</w:t>
      </w:r>
    </w:p>
    <w:p>
      <w:pPr>
        <w:pStyle w:val="Heading6"/>
        <w:ind w:left="2232"/>
      </w:pPr>
      <w:r>
        <w:rPr>
          <w:color w:val="231F20"/>
        </w:rPr>
        <w:t>Enterprise</w:t>
      </w:r>
      <w:r>
        <w:rPr>
          <w:color w:val="231F20"/>
          <w:spacing w:val="6"/>
        </w:rPr>
        <w:t> </w:t>
      </w:r>
      <w:r>
        <w:rPr>
          <w:color w:val="231F20"/>
          <w:spacing w:val="-2"/>
        </w:rPr>
        <w:t>Status</w:t>
      </w:r>
    </w:p>
    <w:p>
      <w:pPr>
        <w:pStyle w:val="BodyText"/>
        <w:spacing w:line="213" w:lineRule="auto" w:before="11"/>
        <w:ind w:left="2951" w:right="493"/>
      </w:pPr>
      <w:r>
        <w:rPr>
          <w:color w:val="231F20"/>
        </w:rPr>
        <w:t>The default workspace is Enterprise Status, which gives an overview of </w:t>
      </w:r>
      <w:r>
        <w:rPr>
          <w:color w:val="231F20"/>
        </w:rPr>
        <w:t>the situation event status throughout your enterprise.</w:t>
      </w:r>
    </w:p>
    <w:p>
      <w:pPr>
        <w:pStyle w:val="BodyText"/>
        <w:spacing w:line="213" w:lineRule="auto"/>
        <w:ind w:left="2951" w:right="3150"/>
      </w:pPr>
      <w:r>
        <w:rPr>
          <w:position w:val="-1"/>
        </w:rPr>
        <w:drawing>
          <wp:inline distT="0" distB="0" distL="0" distR="0">
            <wp:extent cx="101600" cy="101600"/>
            <wp:effectExtent l="0" t="0" r="0" b="0"/>
            <wp:docPr id="422" name="Image 422"/>
            <wp:cNvGraphicFramePr>
              <a:graphicFrameLocks/>
            </wp:cNvGraphicFramePr>
            <a:graphic>
              <a:graphicData uri="http://schemas.openxmlformats.org/drawingml/2006/picture">
                <pic:pic>
                  <pic:nvPicPr>
                    <pic:cNvPr id="422" name="Image 422"/>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Event Details - Similar by Situation </w:t>
      </w:r>
      <w:r>
        <w:rPr>
          <w:color w:val="231F20"/>
        </w:rPr>
        <w:t>Name </w:t>
      </w:r>
      <w:r>
        <w:rPr>
          <w:color w:val="231F20"/>
          <w:position w:val="-1"/>
        </w:rPr>
        <w:drawing>
          <wp:inline distT="0" distB="0" distL="0" distR="0">
            <wp:extent cx="101600" cy="101600"/>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Event Details - Similar by Source</w:t>
      </w:r>
    </w:p>
    <w:p>
      <w:pPr>
        <w:pStyle w:val="BodyText"/>
        <w:spacing w:line="245" w:lineRule="exact"/>
        <w:ind w:left="2951"/>
      </w:pPr>
      <w:r>
        <w:rPr>
          <w:position w:val="-1"/>
        </w:rPr>
        <w:drawing>
          <wp:inline distT="0" distB="0" distL="0" distR="0">
            <wp:extent cx="101600" cy="101600"/>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79"/>
        </w:rPr>
        <w:t> </w:t>
      </w:r>
      <w:r>
        <w:rPr>
          <w:color w:val="231F20"/>
        </w:rPr>
        <w:t>Event</w:t>
      </w:r>
      <w:r>
        <w:rPr>
          <w:color w:val="231F20"/>
          <w:spacing w:val="24"/>
        </w:rPr>
        <w:t> </w:t>
      </w:r>
      <w:r>
        <w:rPr>
          <w:color w:val="231F20"/>
        </w:rPr>
        <w:t>Details</w:t>
      </w:r>
      <w:r>
        <w:rPr>
          <w:color w:val="231F20"/>
          <w:spacing w:val="24"/>
        </w:rPr>
        <w:t> </w:t>
      </w:r>
      <w:r>
        <w:rPr>
          <w:color w:val="231F20"/>
        </w:rPr>
        <w:t>-</w:t>
      </w:r>
      <w:r>
        <w:rPr>
          <w:color w:val="231F20"/>
          <w:spacing w:val="24"/>
        </w:rPr>
        <w:t> </w:t>
      </w:r>
      <w:r>
        <w:rPr>
          <w:color w:val="231F20"/>
        </w:rPr>
        <w:t>Similar</w:t>
      </w:r>
      <w:r>
        <w:rPr>
          <w:color w:val="231F20"/>
          <w:spacing w:val="24"/>
        </w:rPr>
        <w:t> </w:t>
      </w:r>
      <w:r>
        <w:rPr>
          <w:color w:val="231F20"/>
        </w:rPr>
        <w:t>by</w:t>
      </w:r>
      <w:r>
        <w:rPr>
          <w:color w:val="231F20"/>
          <w:spacing w:val="24"/>
        </w:rPr>
        <w:t> </w:t>
      </w:r>
      <w:r>
        <w:rPr>
          <w:color w:val="231F20"/>
        </w:rPr>
        <w:t>Resource</w:t>
      </w:r>
    </w:p>
    <w:p>
      <w:pPr>
        <w:pStyle w:val="Heading6"/>
        <w:spacing w:before="110"/>
        <w:ind w:left="2232"/>
      </w:pPr>
      <w:r>
        <w:rPr>
          <w:color w:val="231F20"/>
        </w:rPr>
        <w:t>Manage</w:t>
      </w:r>
      <w:r>
        <w:rPr>
          <w:color w:val="231F20"/>
          <w:spacing w:val="5"/>
        </w:rPr>
        <w:t> </w:t>
      </w:r>
      <w:r>
        <w:rPr>
          <w:color w:val="231F20"/>
        </w:rPr>
        <w:t>Tivoli</w:t>
      </w:r>
      <w:r>
        <w:rPr>
          <w:color w:val="231F20"/>
          <w:spacing w:val="5"/>
        </w:rPr>
        <w:t> </w:t>
      </w:r>
      <w:r>
        <w:rPr>
          <w:color w:val="231F20"/>
        </w:rPr>
        <w:t>Enterprise</w:t>
      </w:r>
      <w:r>
        <w:rPr>
          <w:color w:val="231F20"/>
          <w:spacing w:val="5"/>
        </w:rPr>
        <w:t> </w:t>
      </w:r>
      <w:r>
        <w:rPr>
          <w:color w:val="231F20"/>
        </w:rPr>
        <w:t>Monitoring</w:t>
      </w:r>
      <w:r>
        <w:rPr>
          <w:color w:val="231F20"/>
          <w:spacing w:val="5"/>
        </w:rPr>
        <w:t> </w:t>
      </w:r>
      <w:r>
        <w:rPr>
          <w:color w:val="231F20"/>
          <w:spacing w:val="-2"/>
        </w:rPr>
        <w:t>Servers</w:t>
      </w:r>
    </w:p>
    <w:p>
      <w:pPr>
        <w:pStyle w:val="BodyText"/>
        <w:spacing w:line="213" w:lineRule="auto" w:before="11"/>
        <w:ind w:left="2951" w:right="734"/>
        <w:jc w:val="both"/>
      </w:pPr>
      <w:r>
        <w:rPr>
          <w:color w:val="231F20"/>
        </w:rPr>
        <w:t>The Manage Tivoli Enterprise Monitoring Servers workspaces provide </w:t>
      </w:r>
      <w:r>
        <w:rPr>
          <w:color w:val="231F20"/>
        </w:rPr>
        <w:t>a visual health check of the monitoring servers in your enterprise and the application support that has been applied.</w:t>
      </w:r>
    </w:p>
    <w:p>
      <w:pPr>
        <w:pStyle w:val="BodyText"/>
        <w:spacing w:line="213" w:lineRule="auto"/>
        <w:ind w:left="2951" w:right="3751"/>
      </w:pPr>
      <w:r>
        <w:rPr>
          <w:position w:val="-1"/>
        </w:rPr>
        <w:drawing>
          <wp:inline distT="0" distB="0" distL="0" distR="0">
            <wp:extent cx="101600" cy="101600"/>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Installed Catalogs - Enterprise </w:t>
      </w:r>
      <w:r>
        <w:rPr>
          <w:color w:val="231F20"/>
        </w:rPr>
        <w:t>View </w:t>
      </w:r>
      <w:r>
        <w:rPr>
          <w:color w:val="231F20"/>
          <w:position w:val="-1"/>
        </w:rPr>
        <w:drawing>
          <wp:inline distT="0" distB="0" distL="0" distR="0">
            <wp:extent cx="101600" cy="101600"/>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Installed Catalogs - Remote Server</w:t>
      </w:r>
      <w:r>
        <w:rPr>
          <w:color w:val="231F20"/>
          <w:spacing w:val="80"/>
        </w:rPr>
        <w:t> </w:t>
      </w:r>
      <w:r>
        <w:rPr>
          <w:color w:val="231F20"/>
          <w:position w:val="-1"/>
        </w:rPr>
        <w:drawing>
          <wp:inline distT="0" distB="0" distL="0" distR="0">
            <wp:extent cx="101600" cy="101600"/>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Protocols</w:t>
      </w:r>
    </w:p>
    <w:p>
      <w:pPr>
        <w:pStyle w:val="BodyText"/>
        <w:spacing w:line="230" w:lineRule="exact"/>
        <w:ind w:left="2951"/>
      </w:pPr>
      <w:r>
        <w:rPr>
          <w:position w:val="-1"/>
        </w:rPr>
        <w:drawing>
          <wp:inline distT="0" distB="0" distL="0" distR="0">
            <wp:extent cx="101600" cy="101600"/>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Situation Status</w:t>
      </w:r>
    </w:p>
    <w:p>
      <w:pPr>
        <w:pStyle w:val="BodyText"/>
        <w:spacing w:line="255" w:lineRule="exact"/>
        <w:ind w:left="2951"/>
      </w:pPr>
      <w:r>
        <w:rPr>
          <w:position w:val="-1"/>
        </w:rPr>
        <w:drawing>
          <wp:inline distT="0" distB="0" distL="0" distR="0">
            <wp:extent cx="101600" cy="101600"/>
            <wp:effectExtent l="0" t="0" r="0" b="0"/>
            <wp:docPr id="429" name="Image 429"/>
            <wp:cNvGraphicFramePr>
              <a:graphicFrameLocks/>
            </wp:cNvGraphicFramePr>
            <a:graphic>
              <a:graphicData uri="http://schemas.openxmlformats.org/drawingml/2006/picture">
                <pic:pic>
                  <pic:nvPicPr>
                    <pic:cNvPr id="429" name="Image 429"/>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System Information</w:t>
      </w:r>
    </w:p>
    <w:p>
      <w:pPr>
        <w:spacing w:after="0" w:line="255" w:lineRule="exact"/>
        <w:sectPr>
          <w:pgSz w:w="12240" w:h="15840"/>
          <w:pgMar w:header="0" w:footer="736" w:top="1180" w:bottom="920" w:left="1000" w:right="1060"/>
        </w:sectPr>
      </w:pPr>
    </w:p>
    <w:p>
      <w:pPr>
        <w:pStyle w:val="Heading6"/>
        <w:spacing w:before="83"/>
      </w:pPr>
      <w:r>
        <w:rPr>
          <w:color w:val="231F20"/>
        </w:rPr>
        <w:t>Managed</w:t>
      </w:r>
      <w:r>
        <w:rPr>
          <w:color w:val="231F20"/>
          <w:spacing w:val="8"/>
        </w:rPr>
        <w:t> </w:t>
      </w:r>
      <w:r>
        <w:rPr>
          <w:color w:val="231F20"/>
        </w:rPr>
        <w:t>System</w:t>
      </w:r>
      <w:r>
        <w:rPr>
          <w:color w:val="231F20"/>
          <w:spacing w:val="8"/>
        </w:rPr>
        <w:t> </w:t>
      </w:r>
      <w:r>
        <w:rPr>
          <w:color w:val="231F20"/>
          <w:spacing w:val="-2"/>
        </w:rPr>
        <w:t>Status</w:t>
      </w:r>
    </w:p>
    <w:p>
      <w:pPr>
        <w:pStyle w:val="BodyText"/>
        <w:spacing w:line="213" w:lineRule="auto" w:before="12"/>
        <w:ind w:left="3190" w:right="179"/>
        <w:jc w:val="both"/>
      </w:pPr>
      <w:r>
        <w:rPr>
          <w:color w:val="231F20"/>
        </w:rPr>
        <w:t>The Managed System Status is a list of monitoring agents in your </w:t>
      </w:r>
      <w:r>
        <w:rPr>
          <w:color w:val="231F20"/>
        </w:rPr>
        <w:t>managed network and their ONLINE or OFFLINE status. The linked workspaces are only available for online managed systems.</w:t>
      </w:r>
    </w:p>
    <w:p>
      <w:pPr>
        <w:pStyle w:val="BodyText"/>
        <w:spacing w:line="230" w:lineRule="exact"/>
        <w:ind w:left="3190"/>
        <w:jc w:val="both"/>
      </w:pPr>
      <w:r>
        <w:rPr>
          <w:position w:val="-1"/>
        </w:rPr>
        <w:drawing>
          <wp:inline distT="0" distB="0" distL="0" distR="0">
            <wp:extent cx="101600" cy="101600"/>
            <wp:effectExtent l="0" t="0" r="0" b="0"/>
            <wp:docPr id="432" name="Image 432"/>
            <wp:cNvGraphicFramePr>
              <a:graphicFrameLocks/>
            </wp:cNvGraphicFramePr>
            <a:graphic>
              <a:graphicData uri="http://schemas.openxmlformats.org/drawingml/2006/picture">
                <pic:pic>
                  <pic:nvPicPr>
                    <pic:cNvPr id="432" name="Image 432"/>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Audit Log</w:t>
      </w:r>
    </w:p>
    <w:p>
      <w:pPr>
        <w:pStyle w:val="BodyText"/>
        <w:spacing w:line="213" w:lineRule="auto" w:before="8"/>
        <w:ind w:left="3190" w:right="4717"/>
        <w:jc w:val="both"/>
      </w:pPr>
      <w:r>
        <w:rPr>
          <w:position w:val="-1"/>
        </w:rPr>
        <w:drawing>
          <wp:inline distT="0" distB="0" distL="0" distR="0">
            <wp:extent cx="101600" cy="101600"/>
            <wp:effectExtent l="0" t="0" r="0" b="0"/>
            <wp:docPr id="433" name="Image 433"/>
            <wp:cNvGraphicFramePr>
              <a:graphicFrameLocks/>
            </wp:cNvGraphicFramePr>
            <a:graphic>
              <a:graphicData uri="http://schemas.openxmlformats.org/drawingml/2006/picture">
                <pic:pic>
                  <pic:nvPicPr>
                    <pic:cNvPr id="433" name="Image 433"/>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39"/>
        </w:rPr>
        <w:t> </w:t>
      </w:r>
      <w:r>
        <w:rPr>
          <w:color w:val="231F20"/>
        </w:rPr>
        <w:t>Agent Operations </w:t>
      </w:r>
      <w:r>
        <w:rPr>
          <w:color w:val="231F20"/>
        </w:rPr>
        <w:t>Log </w:t>
      </w:r>
      <w:r>
        <w:rPr>
          <w:color w:val="231F20"/>
          <w:position w:val="-1"/>
        </w:rPr>
        <w:drawing>
          <wp:inline distT="0" distB="0" distL="0" distR="0">
            <wp:extent cx="101600" cy="101600"/>
            <wp:effectExtent l="0" t="0" r="0" b="0"/>
            <wp:docPr id="434" name="Image 434"/>
            <wp:cNvGraphicFramePr>
              <a:graphicFrameLocks/>
            </wp:cNvGraphicFramePr>
            <a:graphic>
              <a:graphicData uri="http://schemas.openxmlformats.org/drawingml/2006/picture">
                <pic:pic>
                  <pic:nvPicPr>
                    <pic:cNvPr id="434" name="Image 434"/>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History Exports</w:t>
      </w:r>
    </w:p>
    <w:p>
      <w:pPr>
        <w:pStyle w:val="Heading6"/>
      </w:pPr>
      <w:r>
        <w:rPr>
          <w:color w:val="231F20"/>
        </w:rPr>
        <w:t>EIB</w:t>
      </w:r>
      <w:r>
        <w:rPr>
          <w:color w:val="231F20"/>
          <w:spacing w:val="10"/>
        </w:rPr>
        <w:t> </w:t>
      </w:r>
      <w:r>
        <w:rPr>
          <w:color w:val="231F20"/>
        </w:rPr>
        <w:t>Change</w:t>
      </w:r>
      <w:r>
        <w:rPr>
          <w:color w:val="231F20"/>
          <w:spacing w:val="11"/>
        </w:rPr>
        <w:t> </w:t>
      </w:r>
      <w:r>
        <w:rPr>
          <w:color w:val="231F20"/>
          <w:spacing w:val="-5"/>
        </w:rPr>
        <w:t>Log</w:t>
      </w:r>
    </w:p>
    <w:p>
      <w:pPr>
        <w:pStyle w:val="BodyText"/>
        <w:spacing w:line="213" w:lineRule="auto" w:before="11"/>
        <w:ind w:left="3190" w:right="385"/>
      </w:pPr>
      <w:r>
        <w:rPr>
          <w:color w:val="231F20"/>
        </w:rPr>
        <w:t>This workspaces displays entries in the Enterprise Information Base (EIB) log. The EIB is a database used by the Tivoli Enterprise Monitoring </w:t>
      </w:r>
      <w:r>
        <w:rPr>
          <w:color w:val="231F20"/>
        </w:rPr>
        <w:t>Server to store situation, policy, user definitions, and configuration information.</w:t>
      </w:r>
    </w:p>
    <w:p>
      <w:pPr>
        <w:pStyle w:val="Heading6"/>
      </w:pPr>
      <w:r>
        <w:rPr>
          <w:color w:val="231F20"/>
        </w:rPr>
        <w:t>Self-Monitoring</w:t>
      </w:r>
      <w:r>
        <w:rPr>
          <w:color w:val="231F20"/>
          <w:spacing w:val="1"/>
        </w:rPr>
        <w:t> </w:t>
      </w:r>
      <w:r>
        <w:rPr>
          <w:color w:val="231F20"/>
          <w:spacing w:val="-2"/>
        </w:rPr>
        <w:t>Topology</w:t>
      </w:r>
    </w:p>
    <w:p>
      <w:pPr>
        <w:pStyle w:val="BodyText"/>
        <w:spacing w:line="213" w:lineRule="auto" w:before="11"/>
        <w:ind w:left="3190"/>
      </w:pPr>
      <w:r>
        <w:rPr>
          <w:color w:val="231F20"/>
        </w:rPr>
        <w:t>The Self-Monitoring Topology workspace provides a high level overview </w:t>
      </w:r>
      <w:r>
        <w:rPr>
          <w:color w:val="231F20"/>
        </w:rPr>
        <w:t>of your managed infrastructure and its health.</w:t>
      </w:r>
    </w:p>
    <w:p>
      <w:pPr>
        <w:pStyle w:val="Heading6"/>
      </w:pPr>
      <w:r>
        <w:rPr>
          <w:color w:val="231F20"/>
        </w:rPr>
        <w:t>Deploy</w:t>
      </w:r>
      <w:r>
        <w:rPr>
          <w:color w:val="231F20"/>
          <w:spacing w:val="9"/>
        </w:rPr>
        <w:t> </w:t>
      </w:r>
      <w:r>
        <w:rPr>
          <w:color w:val="231F20"/>
        </w:rPr>
        <w:t>Depot</w:t>
      </w:r>
      <w:r>
        <w:rPr>
          <w:color w:val="231F20"/>
          <w:spacing w:val="9"/>
        </w:rPr>
        <w:t> </w:t>
      </w:r>
      <w:r>
        <w:rPr>
          <w:color w:val="231F20"/>
        </w:rPr>
        <w:t>Package</w:t>
      </w:r>
      <w:r>
        <w:rPr>
          <w:color w:val="231F20"/>
          <w:spacing w:val="10"/>
        </w:rPr>
        <w:t> </w:t>
      </w:r>
      <w:r>
        <w:rPr>
          <w:color w:val="231F20"/>
          <w:spacing w:val="-4"/>
        </w:rPr>
        <w:t>List</w:t>
      </w:r>
    </w:p>
    <w:p>
      <w:pPr>
        <w:pStyle w:val="BodyText"/>
        <w:spacing w:line="213" w:lineRule="auto" w:before="12"/>
        <w:ind w:left="3190" w:right="274"/>
      </w:pPr>
      <w:r>
        <w:rPr>
          <w:color w:val="231F20"/>
        </w:rPr>
        <w:t>The Deploy Depot Package List workspace shows the installation </w:t>
      </w:r>
      <w:r>
        <w:rPr>
          <w:color w:val="231F20"/>
        </w:rPr>
        <w:t>packages that are available in the agent depot.</w:t>
      </w:r>
    </w:p>
    <w:p>
      <w:pPr>
        <w:pStyle w:val="Heading6"/>
      </w:pPr>
      <w:r>
        <w:rPr>
          <w:color w:val="231F20"/>
        </w:rPr>
        <w:t>Deployment</w:t>
      </w:r>
      <w:r>
        <w:rPr>
          <w:color w:val="231F20"/>
          <w:spacing w:val="7"/>
        </w:rPr>
        <w:t> </w:t>
      </w:r>
      <w:r>
        <w:rPr>
          <w:color w:val="231F20"/>
        </w:rPr>
        <w:t>Status</w:t>
      </w:r>
      <w:r>
        <w:rPr>
          <w:color w:val="231F20"/>
          <w:spacing w:val="7"/>
        </w:rPr>
        <w:t> </w:t>
      </w:r>
      <w:r>
        <w:rPr>
          <w:color w:val="231F20"/>
          <w:spacing w:val="-2"/>
        </w:rPr>
        <w:t>Summary</w:t>
      </w:r>
    </w:p>
    <w:p>
      <w:pPr>
        <w:pStyle w:val="BodyText"/>
        <w:spacing w:line="213" w:lineRule="auto" w:before="11"/>
        <w:ind w:left="3190" w:right="493"/>
      </w:pPr>
      <w:r>
        <w:rPr>
          <w:color w:val="231F20"/>
        </w:rPr>
        <w:t>The Deployment Status Summary workspace shows summary </w:t>
      </w:r>
      <w:r>
        <w:rPr>
          <w:color w:val="231F20"/>
        </w:rPr>
        <w:t>status information about remote agent deployments.</w:t>
      </w:r>
    </w:p>
    <w:p>
      <w:pPr>
        <w:pStyle w:val="BodyText"/>
        <w:spacing w:line="213" w:lineRule="auto"/>
        <w:ind w:left="3190" w:right="3304"/>
      </w:pPr>
      <w:r>
        <w:rPr>
          <w:position w:val="-1"/>
        </w:rPr>
        <w:drawing>
          <wp:inline distT="0" distB="0" distL="0" distR="0">
            <wp:extent cx="101600" cy="101600"/>
            <wp:effectExtent l="0" t="0" r="0" b="0"/>
            <wp:docPr id="435" name="Image 435"/>
            <wp:cNvGraphicFramePr>
              <a:graphicFrameLocks/>
            </wp:cNvGraphicFramePr>
            <a:graphic>
              <a:graphicData uri="http://schemas.openxmlformats.org/drawingml/2006/picture">
                <pic:pic>
                  <pic:nvPicPr>
                    <pic:cNvPr id="435" name="Image 435"/>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Deployment Status by Deploy </w:t>
      </w:r>
      <w:r>
        <w:rPr>
          <w:color w:val="231F20"/>
        </w:rPr>
        <w:t>Group </w:t>
      </w:r>
      <w:r>
        <w:rPr>
          <w:color w:val="231F20"/>
          <w:position w:val="-1"/>
        </w:rPr>
        <w:drawing>
          <wp:inline distT="0" distB="0" distL="0" distR="0">
            <wp:extent cx="101600" cy="101600"/>
            <wp:effectExtent l="0" t="0" r="0" b="0"/>
            <wp:docPr id="436" name="Image 436"/>
            <wp:cNvGraphicFramePr>
              <a:graphicFrameLocks/>
            </wp:cNvGraphicFramePr>
            <a:graphic>
              <a:graphicData uri="http://schemas.openxmlformats.org/drawingml/2006/picture">
                <pic:pic>
                  <pic:nvPicPr>
                    <pic:cNvPr id="436" name="Image 436"/>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Deployment Status by Product</w:t>
      </w:r>
    </w:p>
    <w:p>
      <w:pPr>
        <w:pStyle w:val="Heading6"/>
        <w:spacing w:before="116"/>
      </w:pPr>
      <w:r>
        <w:rPr>
          <w:color w:val="231F20"/>
        </w:rPr>
        <w:t>Deployment</w:t>
      </w:r>
      <w:r>
        <w:rPr>
          <w:color w:val="231F20"/>
          <w:spacing w:val="8"/>
        </w:rPr>
        <w:t> </w:t>
      </w:r>
      <w:r>
        <w:rPr>
          <w:color w:val="231F20"/>
        </w:rPr>
        <w:t>Status</w:t>
      </w:r>
      <w:r>
        <w:rPr>
          <w:color w:val="231F20"/>
          <w:spacing w:val="9"/>
        </w:rPr>
        <w:t> </w:t>
      </w:r>
      <w:r>
        <w:rPr>
          <w:color w:val="231F20"/>
        </w:rPr>
        <w:t>Summary</w:t>
      </w:r>
      <w:r>
        <w:rPr>
          <w:color w:val="231F20"/>
          <w:spacing w:val="9"/>
        </w:rPr>
        <w:t> </w:t>
      </w:r>
      <w:r>
        <w:rPr>
          <w:color w:val="231F20"/>
        </w:rPr>
        <w:t>by</w:t>
      </w:r>
      <w:r>
        <w:rPr>
          <w:color w:val="231F20"/>
          <w:spacing w:val="9"/>
        </w:rPr>
        <w:t> </w:t>
      </w:r>
      <w:r>
        <w:rPr>
          <w:color w:val="231F20"/>
          <w:spacing w:val="-2"/>
        </w:rPr>
        <w:t>Transaction</w:t>
      </w:r>
    </w:p>
    <w:p>
      <w:pPr>
        <w:pStyle w:val="BodyText"/>
        <w:spacing w:line="213" w:lineRule="auto" w:before="11"/>
        <w:ind w:left="3190" w:right="385"/>
      </w:pPr>
      <w:r>
        <w:rPr>
          <w:color w:val="231F20"/>
        </w:rPr>
        <w:t>The Deployment Status Summary by Transaction workspace shows summary status information about remote agent deployments, sorted </w:t>
      </w:r>
      <w:r>
        <w:rPr>
          <w:color w:val="231F20"/>
        </w:rPr>
        <w:t>by </w:t>
      </w:r>
      <w:r>
        <w:rPr>
          <w:color w:val="231F20"/>
          <w:spacing w:val="-2"/>
        </w:rPr>
        <w:t>transaction.</w:t>
      </w:r>
    </w:p>
    <w:p>
      <w:pPr>
        <w:spacing w:after="0" w:line="213" w:lineRule="auto"/>
        <w:sectPr>
          <w:footerReference w:type="default" r:id="rId136"/>
          <w:footerReference w:type="even" r:id="rId137"/>
          <w:pgSz w:w="12240" w:h="15840"/>
          <w:pgMar w:header="0" w:footer="736" w:top="1180" w:bottom="920" w:left="1000" w:right="1060"/>
          <w:pgNumType w:start="35"/>
        </w:sectPr>
      </w:pPr>
    </w:p>
    <w:p>
      <w:pPr>
        <w:pStyle w:val="Heading6"/>
        <w:spacing w:line="240" w:lineRule="auto" w:before="62"/>
        <w:ind w:left="2232"/>
        <w:rPr>
          <w:rFonts w:ascii="Palatino Linotype"/>
          <w:b w:val="0"/>
        </w:rPr>
      </w:pPr>
      <w:bookmarkStart w:name="_bookmark26" w:id="61"/>
      <w:bookmarkEnd w:id="61"/>
      <w:r>
        <w:rPr>
          <w:b w:val="0"/>
        </w:rPr>
      </w: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41">
        <w:r>
          <w:rPr>
            <w:color w:val="231F20"/>
          </w:rPr>
          <w:t>“Enterprise</w:t>
        </w:r>
        <w:r>
          <w:rPr>
            <w:color w:val="231F20"/>
            <w:spacing w:val="9"/>
          </w:rPr>
          <w:t> </w:t>
        </w:r>
        <w:r>
          <w:rPr>
            <w:color w:val="231F20"/>
          </w:rPr>
          <w:t>Status</w:t>
        </w:r>
        <w:r>
          <w:rPr>
            <w:color w:val="231F20"/>
            <w:spacing w:val="9"/>
          </w:rPr>
          <w:t> </w:t>
        </w:r>
        <w:r>
          <w:rPr>
            <w:color w:val="231F20"/>
          </w:rPr>
          <w:t>workspace”</w:t>
        </w:r>
        <w:r>
          <w:rPr>
            <w:color w:val="231F20"/>
            <w:spacing w:val="10"/>
          </w:rPr>
          <w:t> </w:t>
        </w:r>
        <w:r>
          <w:rPr>
            <w:color w:val="231F20"/>
          </w:rPr>
          <w:t>on</w:t>
        </w:r>
        <w:r>
          <w:rPr>
            <w:color w:val="231F20"/>
            <w:spacing w:val="9"/>
          </w:rPr>
          <w:t> </w:t>
        </w:r>
        <w:r>
          <w:rPr>
            <w:color w:val="231F20"/>
          </w:rPr>
          <w:t>page</w:t>
        </w:r>
        <w:r>
          <w:rPr>
            <w:color w:val="231F20"/>
            <w:spacing w:val="10"/>
          </w:rPr>
          <w:t> </w:t>
        </w:r>
        <w:r>
          <w:rPr>
            <w:color w:val="231F20"/>
            <w:spacing w:val="-5"/>
          </w:rPr>
          <w:t>55</w:t>
        </w:r>
      </w:hyperlink>
    </w:p>
    <w:p>
      <w:pPr>
        <w:pStyle w:val="BodyText"/>
        <w:spacing w:line="213" w:lineRule="auto" w:before="8"/>
        <w:ind w:left="2232" w:right="493"/>
      </w:pPr>
      <w:r>
        <w:rPr>
          <w:color w:val="231F20"/>
        </w:rPr>
        <w:t>At the highest level of the Navigator Physical view is the </w:t>
      </w:r>
      <w:r>
        <w:rPr>
          <w:color w:val="231F20"/>
          <w:spacing w:val="15"/>
          <w:position w:val="-1"/>
        </w:rPr>
        <w:drawing>
          <wp:inline distT="0" distB="0" distL="0" distR="0">
            <wp:extent cx="95250" cy="101600"/>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8"/>
        </w:rPr>
        <w:t> </w:t>
      </w:r>
      <w:r>
        <w:rPr>
          <w:color w:val="231F20"/>
        </w:rPr>
        <w:t>Enterprise item. The default workspace for the Enterprise is called Enterprise Status.</w:t>
      </w:r>
    </w:p>
    <w:p>
      <w:pPr>
        <w:pStyle w:val="BodyText"/>
        <w:spacing w:line="255" w:lineRule="exact" w:before="35"/>
        <w:ind w:left="2232"/>
      </w:pPr>
      <w:hyperlink w:history="true" w:anchor="_bookmark304">
        <w:r>
          <w:rPr>
            <w:color w:val="231F20"/>
          </w:rPr>
          <w:t>“Manage</w:t>
        </w:r>
        <w:r>
          <w:rPr>
            <w:color w:val="231F20"/>
            <w:spacing w:val="7"/>
          </w:rPr>
          <w:t> </w:t>
        </w:r>
        <w:r>
          <w:rPr>
            <w:color w:val="231F20"/>
          </w:rPr>
          <w:t>Tivoli</w:t>
        </w:r>
        <w:r>
          <w:rPr>
            <w:color w:val="231F20"/>
            <w:spacing w:val="7"/>
          </w:rPr>
          <w:t> </w:t>
        </w:r>
        <w:r>
          <w:rPr>
            <w:color w:val="231F20"/>
          </w:rPr>
          <w:t>Enterprise</w:t>
        </w:r>
        <w:r>
          <w:rPr>
            <w:color w:val="231F20"/>
            <w:spacing w:val="8"/>
          </w:rPr>
          <w:t> </w:t>
        </w:r>
        <w:r>
          <w:rPr>
            <w:color w:val="231F20"/>
          </w:rPr>
          <w:t>Monitoring</w:t>
        </w:r>
        <w:r>
          <w:rPr>
            <w:color w:val="231F20"/>
            <w:spacing w:val="7"/>
          </w:rPr>
          <w:t> </w:t>
        </w:r>
        <w:r>
          <w:rPr>
            <w:color w:val="231F20"/>
          </w:rPr>
          <w:t>Servers</w:t>
        </w:r>
        <w:r>
          <w:rPr>
            <w:color w:val="231F20"/>
            <w:spacing w:val="8"/>
          </w:rPr>
          <w:t> </w:t>
        </w:r>
        <w:r>
          <w:rPr>
            <w:color w:val="231F20"/>
          </w:rPr>
          <w:t>workspaces”</w:t>
        </w:r>
        <w:r>
          <w:rPr>
            <w:color w:val="231F20"/>
            <w:spacing w:val="7"/>
          </w:rPr>
          <w:t> </w:t>
        </w:r>
        <w:r>
          <w:rPr>
            <w:color w:val="231F20"/>
          </w:rPr>
          <w:t>on</w:t>
        </w:r>
        <w:r>
          <w:rPr>
            <w:color w:val="231F20"/>
            <w:spacing w:val="8"/>
          </w:rPr>
          <w:t> </w:t>
        </w:r>
        <w:r>
          <w:rPr>
            <w:color w:val="231F20"/>
          </w:rPr>
          <w:t>page</w:t>
        </w:r>
        <w:r>
          <w:rPr>
            <w:color w:val="231F20"/>
            <w:spacing w:val="7"/>
          </w:rPr>
          <w:t> </w:t>
        </w:r>
        <w:r>
          <w:rPr>
            <w:color w:val="231F20"/>
            <w:spacing w:val="-5"/>
          </w:rPr>
          <w:t>394</w:t>
        </w:r>
      </w:hyperlink>
    </w:p>
    <w:p>
      <w:pPr>
        <w:pStyle w:val="BodyText"/>
        <w:spacing w:line="213" w:lineRule="auto" w:before="8"/>
        <w:ind w:left="2232" w:right="545"/>
      </w:pPr>
      <w:r>
        <w:rPr>
          <w:color w:val="231F20"/>
        </w:rPr>
        <w:t>Use the Manage Tivoli Enterprise Monitoring Servers workspaces and situations </w:t>
      </w:r>
      <w:r>
        <w:rPr>
          <w:color w:val="231F20"/>
        </w:rPr>
        <w:t>to gather information for diagnosing and correcting typical monitoring server configuration issues.</w:t>
      </w:r>
    </w:p>
    <w:p>
      <w:pPr>
        <w:pStyle w:val="BodyText"/>
        <w:spacing w:line="255" w:lineRule="exact" w:before="35"/>
        <w:ind w:left="2232"/>
      </w:pPr>
      <w:hyperlink w:history="true" w:anchor="_bookmark296">
        <w:r>
          <w:rPr>
            <w:color w:val="231F20"/>
          </w:rPr>
          <w:t>“Managed</w:t>
        </w:r>
        <w:r>
          <w:rPr>
            <w:color w:val="231F20"/>
            <w:spacing w:val="9"/>
          </w:rPr>
          <w:t> </w:t>
        </w:r>
        <w:r>
          <w:rPr>
            <w:color w:val="231F20"/>
          </w:rPr>
          <w:t>System</w:t>
        </w:r>
        <w:r>
          <w:rPr>
            <w:color w:val="231F20"/>
            <w:spacing w:val="10"/>
          </w:rPr>
          <w:t> </w:t>
        </w:r>
        <w:r>
          <w:rPr>
            <w:color w:val="231F20"/>
          </w:rPr>
          <w:t>Status</w:t>
        </w:r>
        <w:r>
          <w:rPr>
            <w:color w:val="231F20"/>
            <w:spacing w:val="9"/>
          </w:rPr>
          <w:t> </w:t>
        </w:r>
        <w:r>
          <w:rPr>
            <w:color w:val="231F20"/>
          </w:rPr>
          <w:t>workspace”</w:t>
        </w:r>
        <w:r>
          <w:rPr>
            <w:color w:val="231F20"/>
            <w:spacing w:val="10"/>
          </w:rPr>
          <w:t> </w:t>
        </w:r>
        <w:r>
          <w:rPr>
            <w:color w:val="231F20"/>
          </w:rPr>
          <w:t>on</w:t>
        </w:r>
        <w:r>
          <w:rPr>
            <w:color w:val="231F20"/>
            <w:spacing w:val="10"/>
          </w:rPr>
          <w:t> </w:t>
        </w:r>
        <w:r>
          <w:rPr>
            <w:color w:val="231F20"/>
          </w:rPr>
          <w:t>page</w:t>
        </w:r>
        <w:r>
          <w:rPr>
            <w:color w:val="231F20"/>
            <w:spacing w:val="9"/>
          </w:rPr>
          <w:t> </w:t>
        </w:r>
        <w:r>
          <w:rPr>
            <w:color w:val="231F20"/>
            <w:spacing w:val="-5"/>
          </w:rPr>
          <w:t>388</w:t>
        </w:r>
      </w:hyperlink>
    </w:p>
    <w:p>
      <w:pPr>
        <w:pStyle w:val="BodyText"/>
        <w:spacing w:line="213" w:lineRule="auto" w:before="8"/>
        <w:ind w:left="2232" w:right="636"/>
      </w:pPr>
      <w:r>
        <w:rPr>
          <w:color w:val="231F20"/>
        </w:rPr>
        <w:t>The Managed System Status workspace is one of the predefined workspaces for</w:t>
      </w:r>
      <w:r>
        <w:rPr>
          <w:color w:val="231F20"/>
          <w:spacing w:val="40"/>
        </w:rPr>
        <w:t> </w:t>
      </w:r>
      <w:r>
        <w:rPr>
          <w:color w:val="231F20"/>
        </w:rPr>
        <w:t>the Enterprise Navigator item, and offers a high level overview of your </w:t>
      </w:r>
      <w:r>
        <w:rPr>
          <w:color w:val="231F20"/>
        </w:rPr>
        <w:t>managed network. The workspace has a single view: </w:t>
      </w:r>
      <w:r>
        <w:rPr>
          <w:rFonts w:ascii="Book Antiqua"/>
          <w:i/>
          <w:color w:val="231F20"/>
        </w:rPr>
        <w:t>Managed System Status table view</w:t>
      </w:r>
      <w:r>
        <w:rPr>
          <w:color w:val="231F20"/>
        </w:rPr>
        <w:t>.</w:t>
      </w:r>
    </w:p>
    <w:p>
      <w:pPr>
        <w:pStyle w:val="BodyText"/>
        <w:spacing w:line="255" w:lineRule="exact" w:before="35"/>
        <w:ind w:left="2232"/>
      </w:pPr>
      <w:hyperlink w:history="true" w:anchor="_bookmark302">
        <w:r>
          <w:rPr>
            <w:color w:val="231F20"/>
          </w:rPr>
          <w:t>“EIB</w:t>
        </w:r>
        <w:r>
          <w:rPr>
            <w:color w:val="231F20"/>
            <w:spacing w:val="10"/>
          </w:rPr>
          <w:t> </w:t>
        </w:r>
        <w:r>
          <w:rPr>
            <w:color w:val="231F20"/>
          </w:rPr>
          <w:t>Change</w:t>
        </w:r>
        <w:r>
          <w:rPr>
            <w:color w:val="231F20"/>
            <w:spacing w:val="11"/>
          </w:rPr>
          <w:t> </w:t>
        </w:r>
        <w:r>
          <w:rPr>
            <w:color w:val="231F20"/>
          </w:rPr>
          <w:t>Log</w:t>
        </w:r>
        <w:r>
          <w:rPr>
            <w:color w:val="231F20"/>
            <w:spacing w:val="11"/>
          </w:rPr>
          <w:t> </w:t>
        </w:r>
        <w:r>
          <w:rPr>
            <w:color w:val="231F20"/>
          </w:rPr>
          <w:t>workspace”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392</w:t>
        </w:r>
      </w:hyperlink>
    </w:p>
    <w:p>
      <w:pPr>
        <w:pStyle w:val="BodyText"/>
        <w:spacing w:line="213" w:lineRule="auto" w:before="8"/>
        <w:ind w:left="2232" w:right="493"/>
      </w:pPr>
      <w:r>
        <w:rPr>
          <w:color w:val="231F20"/>
        </w:rPr>
        <w:t>The Enterprise Information Base (EIB) is a database used by the Tivoli </w:t>
      </w:r>
      <w:r>
        <w:rPr>
          <w:color w:val="231F20"/>
        </w:rPr>
        <w:t>Enterprise Monitoring Server to store situation, policy, user definitions and configuration information. The EIB Change Log view is a log with details of changes made to</w:t>
      </w:r>
      <w:r>
        <w:rPr>
          <w:color w:val="231F20"/>
          <w:spacing w:val="40"/>
        </w:rPr>
        <w:t> </w:t>
      </w:r>
      <w:r>
        <w:rPr>
          <w:color w:val="231F20"/>
        </w:rPr>
        <w:t>information in the database.</w:t>
      </w:r>
    </w:p>
    <w:p>
      <w:pPr>
        <w:pStyle w:val="BodyText"/>
        <w:spacing w:line="255" w:lineRule="exact" w:before="34"/>
        <w:ind w:left="2232"/>
      </w:pPr>
      <w:hyperlink w:history="true" w:anchor="_bookmark303">
        <w:r>
          <w:rPr>
            <w:color w:val="231F20"/>
          </w:rPr>
          <w:t>“Self-Monitoring</w:t>
        </w:r>
        <w:r>
          <w:rPr>
            <w:color w:val="231F20"/>
            <w:spacing w:val="4"/>
          </w:rPr>
          <w:t> </w:t>
        </w:r>
        <w:r>
          <w:rPr>
            <w:color w:val="231F20"/>
          </w:rPr>
          <w:t>Topology</w:t>
        </w:r>
        <w:r>
          <w:rPr>
            <w:color w:val="231F20"/>
            <w:spacing w:val="4"/>
          </w:rPr>
          <w:t> </w:t>
        </w:r>
        <w:r>
          <w:rPr>
            <w:color w:val="231F20"/>
          </w:rPr>
          <w:t>workspace”</w:t>
        </w:r>
        <w:r>
          <w:rPr>
            <w:color w:val="231F20"/>
            <w:spacing w:val="4"/>
          </w:rPr>
          <w:t> </w:t>
        </w:r>
        <w:r>
          <w:rPr>
            <w:color w:val="231F20"/>
          </w:rPr>
          <w:t>on</w:t>
        </w:r>
        <w:r>
          <w:rPr>
            <w:color w:val="231F20"/>
            <w:spacing w:val="4"/>
          </w:rPr>
          <w:t> </w:t>
        </w:r>
        <w:r>
          <w:rPr>
            <w:color w:val="231F20"/>
          </w:rPr>
          <w:t>page</w:t>
        </w:r>
        <w:r>
          <w:rPr>
            <w:color w:val="231F20"/>
            <w:spacing w:val="4"/>
          </w:rPr>
          <w:t> </w:t>
        </w:r>
        <w:r>
          <w:rPr>
            <w:color w:val="231F20"/>
            <w:spacing w:val="-5"/>
          </w:rPr>
          <w:t>393</w:t>
        </w:r>
      </w:hyperlink>
    </w:p>
    <w:p>
      <w:pPr>
        <w:pStyle w:val="BodyText"/>
        <w:spacing w:line="213" w:lineRule="auto" w:before="8"/>
        <w:ind w:left="2232" w:right="600"/>
        <w:jc w:val="both"/>
      </w:pPr>
      <w:r>
        <w:rPr>
          <w:color w:val="231F20"/>
        </w:rPr>
        <w:t>The Self-Monitoring Topology workspace provides a high level overview of your managed infrastructure and its health and introduces you to the Tivoli </w:t>
      </w:r>
      <w:r>
        <w:rPr>
          <w:color w:val="231F20"/>
        </w:rPr>
        <w:t>Enterprise Portal self-monitoring capabilities.</w:t>
      </w:r>
    </w:p>
    <w:p>
      <w:pPr>
        <w:pStyle w:val="BodyText"/>
        <w:spacing w:line="255" w:lineRule="exact" w:before="34"/>
        <w:ind w:left="2232"/>
        <w:jc w:val="both"/>
      </w:pPr>
      <w:hyperlink w:history="true" w:anchor="_bookmark306">
        <w:r>
          <w:rPr>
            <w:color w:val="231F20"/>
          </w:rPr>
          <w:t>“Agent</w:t>
        </w:r>
        <w:r>
          <w:rPr>
            <w:color w:val="231F20"/>
            <w:spacing w:val="8"/>
          </w:rPr>
          <w:t> </w:t>
        </w:r>
        <w:r>
          <w:rPr>
            <w:color w:val="231F20"/>
          </w:rPr>
          <w:t>deployment</w:t>
        </w:r>
        <w:r>
          <w:rPr>
            <w:color w:val="231F20"/>
            <w:spacing w:val="9"/>
          </w:rPr>
          <w:t> </w:t>
        </w:r>
        <w:r>
          <w:rPr>
            <w:color w:val="231F20"/>
          </w:rPr>
          <w:t>workspaces”</w:t>
        </w:r>
        <w:r>
          <w:rPr>
            <w:color w:val="231F20"/>
            <w:spacing w:val="9"/>
          </w:rPr>
          <w:t> </w:t>
        </w:r>
        <w:r>
          <w:rPr>
            <w:color w:val="231F20"/>
          </w:rPr>
          <w:t>on</w:t>
        </w:r>
        <w:r>
          <w:rPr>
            <w:color w:val="231F20"/>
            <w:spacing w:val="9"/>
          </w:rPr>
          <w:t> </w:t>
        </w:r>
        <w:r>
          <w:rPr>
            <w:color w:val="231F20"/>
          </w:rPr>
          <w:t>page</w:t>
        </w:r>
        <w:r>
          <w:rPr>
            <w:color w:val="231F20"/>
            <w:spacing w:val="9"/>
          </w:rPr>
          <w:t> </w:t>
        </w:r>
        <w:r>
          <w:rPr>
            <w:color w:val="231F20"/>
            <w:spacing w:val="-5"/>
          </w:rPr>
          <w:t>396</w:t>
        </w:r>
      </w:hyperlink>
    </w:p>
    <w:p>
      <w:pPr>
        <w:pStyle w:val="BodyText"/>
        <w:spacing w:line="213" w:lineRule="auto" w:before="8"/>
        <w:ind w:left="2232" w:right="521"/>
        <w:jc w:val="both"/>
      </w:pPr>
      <w:r>
        <w:rPr>
          <w:color w:val="231F20"/>
        </w:rPr>
        <w:t>Use the agent deployment workspaces to see your package list, the results of a deployment</w:t>
      </w:r>
      <w:r>
        <w:rPr>
          <w:color w:val="231F20"/>
          <w:spacing w:val="8"/>
        </w:rPr>
        <w:t> </w:t>
      </w:r>
      <w:r>
        <w:rPr>
          <w:color w:val="231F20"/>
        </w:rPr>
        <w:t>prerequisite</w:t>
      </w:r>
      <w:r>
        <w:rPr>
          <w:color w:val="231F20"/>
          <w:spacing w:val="8"/>
        </w:rPr>
        <w:t> </w:t>
      </w:r>
      <w:r>
        <w:rPr>
          <w:color w:val="231F20"/>
        </w:rPr>
        <w:t>check,</w:t>
      </w:r>
      <w:r>
        <w:rPr>
          <w:color w:val="231F20"/>
          <w:spacing w:val="8"/>
        </w:rPr>
        <w:t> </w:t>
      </w:r>
      <w:r>
        <w:rPr>
          <w:color w:val="231F20"/>
        </w:rPr>
        <w:t>and</w:t>
      </w:r>
      <w:r>
        <w:rPr>
          <w:color w:val="231F20"/>
          <w:spacing w:val="9"/>
        </w:rPr>
        <w:t> </w:t>
      </w:r>
      <w:r>
        <w:rPr>
          <w:color w:val="231F20"/>
        </w:rPr>
        <w:t>the</w:t>
      </w:r>
      <w:r>
        <w:rPr>
          <w:color w:val="231F20"/>
          <w:spacing w:val="8"/>
        </w:rPr>
        <w:t> </w:t>
      </w:r>
      <w:r>
        <w:rPr>
          <w:color w:val="231F20"/>
        </w:rPr>
        <w:t>progress</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agent</w:t>
      </w:r>
      <w:r>
        <w:rPr>
          <w:color w:val="231F20"/>
          <w:spacing w:val="8"/>
        </w:rPr>
        <w:t> </w:t>
      </w:r>
      <w:r>
        <w:rPr>
          <w:color w:val="231F20"/>
        </w:rPr>
        <w:t>deployment</w:t>
      </w:r>
      <w:r>
        <w:rPr>
          <w:color w:val="231F20"/>
          <w:spacing w:val="9"/>
        </w:rPr>
        <w:t> </w:t>
      </w:r>
      <w:r>
        <w:rPr>
          <w:color w:val="231F20"/>
          <w:spacing w:val="-2"/>
        </w:rPr>
        <w:t>process.</w:t>
      </w:r>
    </w:p>
    <w:p>
      <w:pPr>
        <w:pStyle w:val="BodyText"/>
        <w:spacing w:before="6"/>
        <w:rPr>
          <w:sz w:val="16"/>
        </w:rPr>
      </w:pPr>
      <w:r>
        <w:rPr/>
        <mc:AlternateContent>
          <mc:Choice Requires="wps">
            <w:drawing>
              <wp:anchor distT="0" distB="0" distL="0" distR="0" allowOverlap="1" layoutInCell="1" locked="0" behindDoc="1" simplePos="0" relativeHeight="487639040">
                <wp:simplePos x="0" y="0"/>
                <wp:positionH relativeFrom="page">
                  <wp:posOffset>760323</wp:posOffset>
                </wp:positionH>
                <wp:positionV relativeFrom="paragraph">
                  <wp:posOffset>156214</wp:posOffset>
                </wp:positionV>
                <wp:extent cx="6082665" cy="1270"/>
                <wp:effectExtent l="0" t="0" r="0" b="0"/>
                <wp:wrapTopAndBottom/>
                <wp:docPr id="438" name="Graphic 438"/>
                <wp:cNvGraphicFramePr>
                  <a:graphicFrameLocks/>
                </wp:cNvGraphicFramePr>
                <a:graphic>
                  <a:graphicData uri="http://schemas.microsoft.com/office/word/2010/wordprocessingShape">
                    <wps:wsp>
                      <wps:cNvPr id="438" name="Graphic 43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0344pt;width:478.95pt;height:.1pt;mso-position-horizontal-relative:page;mso-position-vertical-relative:paragraph;z-index:-15677440;mso-wrap-distance-left:0;mso-wrap-distance-right:0" id="docshape72"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Opening a workspace" w:id="62"/>
      <w:bookmarkEnd w:id="62"/>
      <w:r>
        <w:rPr>
          <w:b w:val="0"/>
        </w:rPr>
      </w:r>
      <w:r>
        <w:rPr>
          <w:color w:val="231F20"/>
        </w:rPr>
        <w:t>Opening</w:t>
      </w:r>
      <w:r>
        <w:rPr>
          <w:color w:val="231F20"/>
          <w:spacing w:val="8"/>
        </w:rPr>
        <w:t> </w:t>
      </w:r>
      <w:r>
        <w:rPr>
          <w:color w:val="231F20"/>
        </w:rPr>
        <w:t>a</w:t>
      </w:r>
      <w:r>
        <w:rPr>
          <w:color w:val="231F20"/>
          <w:spacing w:val="9"/>
        </w:rPr>
        <w:t> </w:t>
      </w:r>
      <w:r>
        <w:rPr>
          <w:color w:val="231F20"/>
          <w:spacing w:val="-2"/>
        </w:rPr>
        <w:t>workspace</w:t>
      </w:r>
    </w:p>
    <w:p>
      <w:pPr>
        <w:pStyle w:val="BodyText"/>
        <w:spacing w:line="213" w:lineRule="auto" w:before="138"/>
        <w:ind w:left="2232" w:right="545"/>
      </w:pPr>
      <w:r>
        <w:rPr>
          <w:color w:val="231F20"/>
        </w:rPr>
        <w:t>Use the Navigator to open the default workspace for the selected item, then </w:t>
      </w:r>
      <w:r>
        <w:rPr>
          <w:color w:val="231F20"/>
        </w:rPr>
        <w:t>the Workspace Gallery to see and select from a thumbnail display of available </w:t>
      </w:r>
      <w:r>
        <w:rPr>
          <w:color w:val="231F20"/>
          <w:spacing w:val="-2"/>
        </w:rPr>
        <w:t>workspaces.</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636"/>
      </w:pPr>
      <w:r>
        <w:rPr>
          <w:color w:val="231F20"/>
        </w:rPr>
        <w:t>As well as a convenient way to open workspaces, you can also move the workspaces around the gallery to change their order. The changes you make </w:t>
      </w:r>
      <w:r>
        <w:rPr>
          <w:color w:val="231F20"/>
        </w:rPr>
        <w:t>are saved with the workspace definition for the Navigator item. If you are in workspace administration mode when you reorder the thumbnail graphics, the reorganization will be reflected in the workspace gallery of all Tivoli Enterprise Portal clients connected to this Tivoli Enterprise Portal Server.</w:t>
      </w:r>
    </w:p>
    <w:p>
      <w:pPr>
        <w:pStyle w:val="Heading4"/>
        <w:spacing w:before="197"/>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Every item in the Navigator has a workspace associated with it, called the </w:t>
      </w:r>
      <w:r>
        <w:rPr>
          <w:rFonts w:ascii="Book Antiqua"/>
          <w:i/>
          <w:color w:val="231F20"/>
        </w:rPr>
        <w:t>default</w:t>
      </w:r>
      <w:r>
        <w:rPr>
          <w:rFonts w:ascii="Book Antiqua"/>
          <w:i/>
          <w:color w:val="231F20"/>
        </w:rPr>
        <w:t> workspace</w:t>
      </w:r>
      <w:r>
        <w:rPr>
          <w:color w:val="231F20"/>
        </w:rPr>
        <w:t>. Some items have multiple workspaces that you can open, although </w:t>
      </w:r>
      <w:r>
        <w:rPr>
          <w:color w:val="231F20"/>
        </w:rPr>
        <w:t>only one workspace can be open in the Tivoli Enterprise Portal window at one time.</w:t>
      </w:r>
    </w:p>
    <w:p>
      <w:pPr>
        <w:pStyle w:val="BodyText"/>
        <w:spacing w:line="245" w:lineRule="exact"/>
        <w:ind w:left="2232"/>
      </w:pPr>
      <w:r>
        <w:rPr>
          <w:color w:val="231F20"/>
        </w:rPr>
        <w:t>Some</w:t>
      </w:r>
      <w:r>
        <w:rPr>
          <w:color w:val="231F20"/>
          <w:spacing w:val="10"/>
        </w:rPr>
        <w:t> </w:t>
      </w:r>
      <w:r>
        <w:rPr>
          <w:color w:val="231F20"/>
        </w:rPr>
        <w:t>workspaces</w:t>
      </w:r>
      <w:r>
        <w:rPr>
          <w:color w:val="231F20"/>
          <w:spacing w:val="10"/>
        </w:rPr>
        <w:t> </w:t>
      </w:r>
      <w:r>
        <w:rPr>
          <w:color w:val="231F20"/>
        </w:rPr>
        <w:t>are</w:t>
      </w:r>
      <w:r>
        <w:rPr>
          <w:color w:val="231F20"/>
          <w:spacing w:val="10"/>
        </w:rPr>
        <w:t> </w:t>
      </w:r>
      <w:r>
        <w:rPr>
          <w:color w:val="231F20"/>
        </w:rPr>
        <w:t>only</w:t>
      </w:r>
      <w:r>
        <w:rPr>
          <w:color w:val="231F20"/>
          <w:spacing w:val="10"/>
        </w:rPr>
        <w:t> </w:t>
      </w:r>
      <w:r>
        <w:rPr>
          <w:color w:val="231F20"/>
        </w:rPr>
        <w:t>accessible</w:t>
      </w:r>
      <w:r>
        <w:rPr>
          <w:color w:val="231F20"/>
          <w:spacing w:val="10"/>
        </w:rPr>
        <w:t> </w:t>
      </w:r>
      <w:r>
        <w:rPr>
          <w:color w:val="231F20"/>
        </w:rPr>
        <w:t>by</w:t>
      </w:r>
      <w:r>
        <w:rPr>
          <w:color w:val="231F20"/>
          <w:spacing w:val="10"/>
        </w:rPr>
        <w:t> </w:t>
      </w:r>
      <w:r>
        <w:rPr>
          <w:color w:val="231F20"/>
        </w:rPr>
        <w:t>linking</w:t>
      </w:r>
      <w:r>
        <w:rPr>
          <w:color w:val="231F20"/>
          <w:spacing w:val="10"/>
        </w:rPr>
        <w:t> </w:t>
      </w:r>
      <w:r>
        <w:rPr>
          <w:color w:val="231F20"/>
        </w:rPr>
        <w:t>to</w:t>
      </w:r>
      <w:r>
        <w:rPr>
          <w:color w:val="231F20"/>
          <w:spacing w:val="11"/>
        </w:rPr>
        <w:t> </w:t>
      </w:r>
      <w:r>
        <w:rPr>
          <w:color w:val="231F20"/>
        </w:rPr>
        <w:t>them</w:t>
      </w:r>
      <w:r>
        <w:rPr>
          <w:color w:val="231F20"/>
          <w:spacing w:val="10"/>
        </w:rPr>
        <w:t> </w:t>
      </w:r>
      <w:r>
        <w:rPr>
          <w:color w:val="231F20"/>
        </w:rPr>
        <w:t>from</w:t>
      </w:r>
      <w:r>
        <w:rPr>
          <w:color w:val="231F20"/>
          <w:spacing w:val="10"/>
        </w:rPr>
        <w:t> </w:t>
      </w:r>
      <w:r>
        <w:rPr>
          <w:color w:val="231F20"/>
        </w:rPr>
        <w:t>another</w:t>
      </w:r>
      <w:r>
        <w:rPr>
          <w:color w:val="231F20"/>
          <w:spacing w:val="10"/>
        </w:rPr>
        <w:t> </w:t>
      </w:r>
      <w:r>
        <w:rPr>
          <w:color w:val="231F20"/>
          <w:spacing w:val="-2"/>
        </w:rPr>
        <w:t>workspace.</w:t>
      </w:r>
    </w:p>
    <w:p>
      <w:pPr>
        <w:pStyle w:val="Heading4"/>
        <w:spacing w:before="194"/>
      </w:pPr>
      <w:r>
        <w:rPr>
          <w:color w:val="231F20"/>
          <w:spacing w:val="-2"/>
        </w:rPr>
        <w:t>Procedure</w:t>
      </w:r>
    </w:p>
    <w:p>
      <w:pPr>
        <w:pStyle w:val="BodyText"/>
        <w:spacing w:before="39"/>
        <w:ind w:left="2232"/>
      </w:pPr>
      <w:r>
        <w:rPr>
          <w:rFonts w:ascii="Futura MdCn BT"/>
          <w:color w:val="231F20"/>
        </w:rPr>
        <w:t>v</w:t>
      </w:r>
      <w:r>
        <w:rPr>
          <w:rFonts w:ascii="Futura MdCn BT"/>
          <w:color w:val="231F20"/>
          <w:spacing w:val="30"/>
        </w:rPr>
        <w:t>  </w:t>
      </w:r>
      <w:r>
        <w:rPr>
          <w:color w:val="231F20"/>
        </w:rPr>
        <w:t>To</w:t>
      </w:r>
      <w:r>
        <w:rPr>
          <w:color w:val="231F20"/>
          <w:spacing w:val="12"/>
        </w:rPr>
        <w:t> </w:t>
      </w:r>
      <w:r>
        <w:rPr>
          <w:color w:val="231F20"/>
        </w:rPr>
        <w:t>open</w:t>
      </w:r>
      <w:r>
        <w:rPr>
          <w:color w:val="231F20"/>
          <w:spacing w:val="11"/>
        </w:rPr>
        <w:t> </w:t>
      </w:r>
      <w:r>
        <w:rPr>
          <w:color w:val="231F20"/>
        </w:rPr>
        <w:t>the</w:t>
      </w:r>
      <w:r>
        <w:rPr>
          <w:color w:val="231F20"/>
          <w:spacing w:val="12"/>
        </w:rPr>
        <w:t> </w:t>
      </w:r>
      <w:r>
        <w:rPr>
          <w:color w:val="231F20"/>
        </w:rPr>
        <w:t>default</w:t>
      </w:r>
      <w:r>
        <w:rPr>
          <w:color w:val="231F20"/>
          <w:spacing w:val="11"/>
        </w:rPr>
        <w:t> </w:t>
      </w:r>
      <w:r>
        <w:rPr>
          <w:color w:val="231F20"/>
        </w:rPr>
        <w:t>workspace,</w:t>
      </w:r>
      <w:r>
        <w:rPr>
          <w:color w:val="231F20"/>
          <w:spacing w:val="11"/>
        </w:rPr>
        <w:t> </w:t>
      </w:r>
      <w:r>
        <w:rPr>
          <w:color w:val="231F20"/>
        </w:rPr>
        <w:t>click</w:t>
      </w:r>
      <w:r>
        <w:rPr>
          <w:color w:val="231F20"/>
          <w:spacing w:val="12"/>
        </w:rPr>
        <w:t> </w:t>
      </w:r>
      <w:r>
        <w:rPr>
          <w:color w:val="231F20"/>
        </w:rPr>
        <w:t>the</w:t>
      </w:r>
      <w:r>
        <w:rPr>
          <w:color w:val="231F20"/>
          <w:spacing w:val="11"/>
        </w:rPr>
        <w:t> </w:t>
      </w:r>
      <w:r>
        <w:rPr>
          <w:color w:val="231F20"/>
        </w:rPr>
        <w:t>item</w:t>
      </w:r>
      <w:r>
        <w:rPr>
          <w:color w:val="231F20"/>
          <w:spacing w:val="11"/>
        </w:rPr>
        <w:t> </w:t>
      </w:r>
      <w:r>
        <w:rPr>
          <w:color w:val="231F20"/>
        </w:rPr>
        <w:t>name</w:t>
      </w:r>
      <w:r>
        <w:rPr>
          <w:color w:val="231F20"/>
          <w:spacing w:val="12"/>
        </w:rPr>
        <w:t> </w:t>
      </w:r>
      <w:r>
        <w:rPr>
          <w:color w:val="231F20"/>
        </w:rPr>
        <w:t>or</w:t>
      </w:r>
      <w:r>
        <w:rPr>
          <w:color w:val="231F20"/>
          <w:spacing w:val="11"/>
        </w:rPr>
        <w:t> </w:t>
      </w:r>
      <w:r>
        <w:rPr>
          <w:color w:val="231F20"/>
        </w:rPr>
        <w:t>icon</w:t>
      </w:r>
      <w:r>
        <w:rPr>
          <w:color w:val="231F20"/>
          <w:spacing w:val="12"/>
        </w:rPr>
        <w:t> </w:t>
      </w:r>
      <w:r>
        <w:rPr>
          <w:color w:val="231F20"/>
        </w:rPr>
        <w:t>in</w:t>
      </w:r>
      <w:r>
        <w:rPr>
          <w:color w:val="231F20"/>
          <w:spacing w:val="11"/>
        </w:rPr>
        <w:t> </w:t>
      </w:r>
      <w:r>
        <w:rPr>
          <w:color w:val="231F20"/>
        </w:rPr>
        <w:t>the</w:t>
      </w:r>
      <w:r>
        <w:rPr>
          <w:color w:val="231F20"/>
          <w:spacing w:val="11"/>
        </w:rPr>
        <w:t> </w:t>
      </w:r>
      <w:r>
        <w:rPr>
          <w:color w:val="231F20"/>
          <w:spacing w:val="-2"/>
        </w:rPr>
        <w:t>Navigator:</w:t>
      </w:r>
    </w:p>
    <w:p>
      <w:pPr>
        <w:pStyle w:val="ListParagraph"/>
        <w:numPr>
          <w:ilvl w:val="0"/>
          <w:numId w:val="9"/>
        </w:numPr>
        <w:tabs>
          <w:tab w:pos="2696" w:val="left" w:leader="none"/>
        </w:tabs>
        <w:spacing w:line="240" w:lineRule="auto" w:before="29" w:after="0"/>
        <w:ind w:left="2696" w:right="0" w:hanging="248"/>
        <w:jc w:val="left"/>
        <w:rPr>
          <w:sz w:val="20"/>
        </w:rPr>
      </w:pPr>
      <w:r>
        <w:rPr>
          <w:color w:val="231F20"/>
          <w:sz w:val="20"/>
        </w:rPr>
        <w:t>Physical</w:t>
      </w:r>
      <w:r>
        <w:rPr>
          <w:color w:val="231F20"/>
          <w:spacing w:val="13"/>
          <w:sz w:val="20"/>
        </w:rPr>
        <w:t> </w:t>
      </w:r>
      <w:r>
        <w:rPr>
          <w:color w:val="231F20"/>
          <w:sz w:val="20"/>
        </w:rPr>
        <w:t>view:</w:t>
      </w:r>
      <w:r>
        <w:rPr>
          <w:color w:val="231F20"/>
          <w:spacing w:val="14"/>
          <w:sz w:val="20"/>
        </w:rPr>
        <w:t> </w:t>
      </w:r>
      <w:r>
        <w:rPr>
          <w:color w:val="231F20"/>
          <w:spacing w:val="16"/>
          <w:position w:val="-1"/>
          <w:sz w:val="20"/>
        </w:rPr>
        <w:drawing>
          <wp:inline distT="0" distB="0" distL="0" distR="0">
            <wp:extent cx="95250" cy="101600"/>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hAnsi="Times New Roman"/>
          <w:color w:val="231F20"/>
          <w:spacing w:val="-8"/>
          <w:sz w:val="20"/>
        </w:rPr>
        <w:t> </w:t>
      </w:r>
      <w:r>
        <w:rPr>
          <w:color w:val="231F20"/>
          <w:sz w:val="20"/>
        </w:rPr>
        <w:t>,</w:t>
      </w:r>
      <w:r>
        <w:rPr>
          <w:color w:val="231F20"/>
          <w:spacing w:val="15"/>
          <w:sz w:val="20"/>
        </w:rPr>
        <w:t> </w:t>
      </w:r>
      <w:r>
        <w:rPr>
          <w:color w:val="231F20"/>
          <w:spacing w:val="16"/>
          <w:position w:val="-1"/>
          <w:sz w:val="20"/>
        </w:rPr>
        <w:drawing>
          <wp:inline distT="0" distB="0" distL="0" distR="0">
            <wp:extent cx="101600" cy="95250"/>
            <wp:effectExtent l="0" t="0" r="0" b="0"/>
            <wp:docPr id="440" name="Image 440"/>
            <wp:cNvGraphicFramePr>
              <a:graphicFrameLocks/>
            </wp:cNvGraphicFramePr>
            <a:graphic>
              <a:graphicData uri="http://schemas.openxmlformats.org/drawingml/2006/picture">
                <pic:pic>
                  <pic:nvPicPr>
                    <pic:cNvPr id="440" name="Image 440"/>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hAnsi="Times New Roman"/>
          <w:color w:val="231F20"/>
          <w:spacing w:val="-17"/>
          <w:sz w:val="20"/>
        </w:rPr>
        <w:t> </w:t>
      </w:r>
      <w:r>
        <w:rPr>
          <w:color w:val="231F20"/>
          <w:sz w:val="20"/>
        </w:rPr>
        <w:t>,</w:t>
      </w:r>
      <w:r>
        <w:rPr>
          <w:color w:val="231F20"/>
          <w:spacing w:val="14"/>
          <w:sz w:val="20"/>
        </w:rPr>
        <w:t> </w:t>
      </w:r>
      <w:r>
        <w:rPr>
          <w:color w:val="231F20"/>
          <w:spacing w:val="16"/>
          <w:position w:val="-1"/>
          <w:sz w:val="20"/>
        </w:rPr>
        <w:drawing>
          <wp:inline distT="0" distB="0" distL="0" distR="0">
            <wp:extent cx="101600" cy="95250"/>
            <wp:effectExtent l="0" t="0" r="0" b="0"/>
            <wp:docPr id="441" name="Image 441"/>
            <wp:cNvGraphicFramePr>
              <a:graphicFrameLocks/>
            </wp:cNvGraphicFramePr>
            <a:graphic>
              <a:graphicData uri="http://schemas.openxmlformats.org/drawingml/2006/picture">
                <pic:pic>
                  <pic:nvPicPr>
                    <pic:cNvPr id="441" name="Image 441"/>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hAnsi="Times New Roman"/>
          <w:color w:val="231F20"/>
          <w:spacing w:val="-17"/>
          <w:sz w:val="20"/>
        </w:rPr>
        <w:t> </w:t>
      </w:r>
      <w:r>
        <w:rPr>
          <w:color w:val="231F20"/>
          <w:sz w:val="20"/>
        </w:rPr>
        <w:t>,</w:t>
      </w:r>
      <w:r>
        <w:rPr>
          <w:color w:val="231F20"/>
          <w:spacing w:val="25"/>
          <w:sz w:val="20"/>
        </w:rPr>
        <w:t> </w:t>
      </w:r>
      <w:r>
        <w:rPr>
          <w:color w:val="231F20"/>
          <w:spacing w:val="-24"/>
          <w:position w:val="-1"/>
          <w:sz w:val="20"/>
        </w:rPr>
        <w:drawing>
          <wp:inline distT="0" distB="0" distL="0" distR="0">
            <wp:extent cx="95250" cy="95250"/>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hAnsi="Times New Roman"/>
          <w:color w:val="231F20"/>
          <w:spacing w:val="21"/>
          <w:sz w:val="20"/>
        </w:rPr>
        <w:t> </w:t>
      </w:r>
      <w:r>
        <w:rPr>
          <w:color w:val="231F20"/>
          <w:sz w:val="20"/>
        </w:rPr>
        <w:t>,</w:t>
      </w:r>
      <w:r>
        <w:rPr>
          <w:color w:val="231F20"/>
          <w:spacing w:val="15"/>
          <w:sz w:val="20"/>
        </w:rPr>
        <w:t> </w:t>
      </w:r>
      <w:r>
        <w:rPr>
          <w:color w:val="231F20"/>
          <w:sz w:val="20"/>
        </w:rPr>
        <w:t>or</w:t>
      </w:r>
      <w:r>
        <w:rPr>
          <w:color w:val="231F20"/>
          <w:spacing w:val="24"/>
          <w:sz w:val="20"/>
        </w:rPr>
        <w:t> </w:t>
      </w:r>
      <w:r>
        <w:rPr>
          <w:color w:val="231F20"/>
          <w:spacing w:val="-24"/>
          <w:position w:val="-1"/>
          <w:sz w:val="20"/>
        </w:rPr>
        <w:drawing>
          <wp:inline distT="0" distB="0" distL="0" distR="0">
            <wp:extent cx="88900" cy="101600"/>
            <wp:effectExtent l="0" t="0" r="0" b="0"/>
            <wp:docPr id="443" name="Image 443"/>
            <wp:cNvGraphicFramePr>
              <a:graphicFrameLocks/>
            </wp:cNvGraphicFramePr>
            <a:graphic>
              <a:graphicData uri="http://schemas.openxmlformats.org/drawingml/2006/picture">
                <pic:pic>
                  <pic:nvPicPr>
                    <pic:cNvPr id="443" name="Image 443"/>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sz w:val="20"/>
        </w:rPr>
      </w:r>
      <w:r>
        <w:rPr>
          <w:rFonts w:ascii="Times New Roman" w:hAnsi="Times New Roman"/>
          <w:color w:val="231F20"/>
          <w:spacing w:val="31"/>
          <w:sz w:val="20"/>
        </w:rPr>
        <w:t> </w:t>
      </w:r>
      <w:r>
        <w:rPr>
          <w:color w:val="231F20"/>
          <w:spacing w:val="-10"/>
          <w:sz w:val="20"/>
        </w:rPr>
        <w:t>.</w:t>
      </w:r>
    </w:p>
    <w:p>
      <w:pPr>
        <w:pStyle w:val="ListParagraph"/>
        <w:numPr>
          <w:ilvl w:val="0"/>
          <w:numId w:val="9"/>
        </w:numPr>
        <w:tabs>
          <w:tab w:pos="2696" w:val="left" w:leader="none"/>
        </w:tabs>
        <w:spacing w:line="240" w:lineRule="auto" w:before="30" w:after="0"/>
        <w:ind w:left="2696" w:right="0" w:hanging="248"/>
        <w:jc w:val="left"/>
        <w:rPr>
          <w:sz w:val="20"/>
        </w:rPr>
      </w:pPr>
      <w:r>
        <w:rPr>
          <w:color w:val="231F20"/>
          <w:sz w:val="20"/>
        </w:rPr>
        <w:t>Logical</w:t>
      </w:r>
      <w:r>
        <w:rPr>
          <w:color w:val="231F20"/>
          <w:spacing w:val="8"/>
          <w:sz w:val="20"/>
        </w:rPr>
        <w:t> </w:t>
      </w:r>
      <w:r>
        <w:rPr>
          <w:color w:val="231F20"/>
          <w:sz w:val="20"/>
        </w:rPr>
        <w:t>view</w:t>
      </w:r>
      <w:r>
        <w:rPr>
          <w:color w:val="231F20"/>
          <w:spacing w:val="11"/>
          <w:sz w:val="20"/>
        </w:rPr>
        <w:t> </w:t>
      </w:r>
      <w:r>
        <w:rPr>
          <w:color w:val="231F20"/>
          <w:sz w:val="20"/>
        </w:rPr>
        <w:t>or</w:t>
      </w:r>
      <w:r>
        <w:rPr>
          <w:color w:val="231F20"/>
          <w:spacing w:val="11"/>
          <w:sz w:val="20"/>
        </w:rPr>
        <w:t> </w:t>
      </w:r>
      <w:r>
        <w:rPr>
          <w:color w:val="231F20"/>
          <w:sz w:val="20"/>
        </w:rPr>
        <w:t>other</w:t>
      </w:r>
      <w:r>
        <w:rPr>
          <w:color w:val="231F20"/>
          <w:spacing w:val="11"/>
          <w:sz w:val="20"/>
        </w:rPr>
        <w:t> </w:t>
      </w:r>
      <w:r>
        <w:rPr>
          <w:color w:val="231F20"/>
          <w:sz w:val="20"/>
        </w:rPr>
        <w:t>custom</w:t>
      </w:r>
      <w:r>
        <w:rPr>
          <w:color w:val="231F20"/>
          <w:spacing w:val="11"/>
          <w:sz w:val="20"/>
        </w:rPr>
        <w:t> </w:t>
      </w:r>
      <w:r>
        <w:rPr>
          <w:color w:val="231F20"/>
          <w:sz w:val="20"/>
        </w:rPr>
        <w:t>Navigator</w:t>
      </w:r>
      <w:r>
        <w:rPr>
          <w:color w:val="231F20"/>
          <w:spacing w:val="11"/>
          <w:sz w:val="20"/>
        </w:rPr>
        <w:t> </w:t>
      </w:r>
      <w:r>
        <w:rPr>
          <w:color w:val="231F20"/>
          <w:sz w:val="20"/>
        </w:rPr>
        <w:t>view:</w:t>
      </w:r>
      <w:r>
        <w:rPr>
          <w:color w:val="231F20"/>
          <w:spacing w:val="10"/>
          <w:sz w:val="20"/>
        </w:rPr>
        <w:t> </w:t>
      </w:r>
      <w:r>
        <w:rPr>
          <w:color w:val="231F20"/>
          <w:spacing w:val="15"/>
          <w:position w:val="-1"/>
          <w:sz w:val="20"/>
        </w:rPr>
        <w:drawing>
          <wp:inline distT="0" distB="0" distL="0" distR="0">
            <wp:extent cx="101600" cy="95250"/>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hAnsi="Times New Roman"/>
          <w:color w:val="231F20"/>
          <w:spacing w:val="-16"/>
          <w:sz w:val="20"/>
        </w:rPr>
        <w:t> </w:t>
      </w:r>
      <w:r>
        <w:rPr>
          <w:color w:val="231F20"/>
          <w:spacing w:val="-10"/>
          <w:sz w:val="20"/>
        </w:rPr>
        <w:t>.</w:t>
      </w:r>
    </w:p>
    <w:p>
      <w:pPr>
        <w:pStyle w:val="BodyText"/>
        <w:spacing w:line="213" w:lineRule="auto" w:before="112"/>
        <w:ind w:left="2448"/>
      </w:pPr>
      <w:r>
        <w:rPr>
          <w:color w:val="231F20"/>
        </w:rPr>
        <w:t>The default workspace for that item is displayed, replacing the workspace of </w:t>
      </w:r>
      <w:r>
        <w:rPr>
          <w:color w:val="231F20"/>
        </w:rPr>
        <w:t>the previously selected item. If the workspace shows no data for a chart or table</w:t>
      </w:r>
    </w:p>
    <w:p>
      <w:pPr>
        <w:spacing w:after="0" w:line="213" w:lineRule="auto"/>
        <w:sectPr>
          <w:pgSz w:w="12240" w:h="15840"/>
          <w:pgMar w:header="0" w:footer="736" w:top="1180" w:bottom="920" w:left="1000" w:right="1060"/>
        </w:sectPr>
      </w:pPr>
    </w:p>
    <w:p>
      <w:pPr>
        <w:pStyle w:val="BodyText"/>
        <w:spacing w:line="213" w:lineRule="auto" w:before="85"/>
        <w:ind w:left="2688" w:right="258"/>
      </w:pPr>
      <w:bookmarkStart w:name="_bookmark27" w:id="63"/>
      <w:bookmarkEnd w:id="63"/>
      <w:r>
        <w:rPr/>
      </w:r>
      <w:r>
        <w:rPr>
          <w:color w:val="231F20"/>
        </w:rPr>
        <w:t>view, it means there is no data to display. This can occur with monitoring data that is not constantly generated, such as Archive Errors, which collects data </w:t>
      </w:r>
      <w:r>
        <w:rPr>
          <w:color w:val="231F20"/>
        </w:rPr>
        <w:t>only when archive errors occur.</w:t>
      </w:r>
    </w:p>
    <w:p>
      <w:pPr>
        <w:pStyle w:val="BodyText"/>
        <w:spacing w:before="34"/>
        <w:ind w:left="2472"/>
      </w:pPr>
      <w:r>
        <w:rPr>
          <w:rFonts w:ascii="Futura MdCn BT"/>
          <w:color w:val="231F20"/>
        </w:rPr>
        <w:t>v</w:t>
      </w:r>
      <w:r>
        <w:rPr>
          <w:rFonts w:ascii="Futura MdCn BT"/>
          <w:color w:val="231F20"/>
          <w:spacing w:val="75"/>
          <w:w w:val="150"/>
        </w:rPr>
        <w:t> </w:t>
      </w:r>
      <w:r>
        <w:rPr>
          <w:color w:val="231F20"/>
        </w:rPr>
        <w:t>To</w:t>
      </w:r>
      <w:r>
        <w:rPr>
          <w:color w:val="231F20"/>
          <w:spacing w:val="10"/>
        </w:rPr>
        <w:t> </w:t>
      </w:r>
      <w:r>
        <w:rPr>
          <w:color w:val="231F20"/>
        </w:rPr>
        <w:t>open</w:t>
      </w:r>
      <w:r>
        <w:rPr>
          <w:color w:val="231F20"/>
          <w:spacing w:val="9"/>
        </w:rPr>
        <w:t> </w:t>
      </w:r>
      <w:r>
        <w:rPr>
          <w:color w:val="231F20"/>
        </w:rPr>
        <w:t>another</w:t>
      </w:r>
      <w:r>
        <w:rPr>
          <w:color w:val="231F20"/>
          <w:spacing w:val="10"/>
        </w:rPr>
        <w:t> </w:t>
      </w:r>
      <w:r>
        <w:rPr>
          <w:color w:val="231F20"/>
        </w:rPr>
        <w:t>workspace</w:t>
      </w:r>
      <w:r>
        <w:rPr>
          <w:color w:val="231F20"/>
          <w:spacing w:val="9"/>
        </w:rPr>
        <w:t> </w:t>
      </w:r>
      <w:r>
        <w:rPr>
          <w:color w:val="231F20"/>
        </w:rPr>
        <w:t>associated</w:t>
      </w:r>
      <w:r>
        <w:rPr>
          <w:color w:val="231F20"/>
          <w:spacing w:val="10"/>
        </w:rPr>
        <w:t> </w:t>
      </w:r>
      <w:r>
        <w:rPr>
          <w:color w:val="231F20"/>
        </w:rPr>
        <w:t>with</w:t>
      </w:r>
      <w:r>
        <w:rPr>
          <w:color w:val="231F20"/>
          <w:spacing w:val="9"/>
        </w:rPr>
        <w:t> </w:t>
      </w:r>
      <w:r>
        <w:rPr>
          <w:color w:val="231F20"/>
        </w:rPr>
        <w:t>the</w:t>
      </w:r>
      <w:r>
        <w:rPr>
          <w:color w:val="231F20"/>
          <w:spacing w:val="10"/>
        </w:rPr>
        <w:t> </w:t>
      </w:r>
      <w:r>
        <w:rPr>
          <w:color w:val="231F20"/>
        </w:rPr>
        <w:t>Navigator</w:t>
      </w:r>
      <w:r>
        <w:rPr>
          <w:color w:val="231F20"/>
          <w:spacing w:val="9"/>
        </w:rPr>
        <w:t> </w:t>
      </w:r>
      <w:r>
        <w:rPr>
          <w:color w:val="231F20"/>
          <w:spacing w:val="-2"/>
        </w:rPr>
        <w:t>item:</w:t>
      </w:r>
    </w:p>
    <w:p>
      <w:pPr>
        <w:pStyle w:val="ListParagraph"/>
        <w:numPr>
          <w:ilvl w:val="0"/>
          <w:numId w:val="10"/>
        </w:numPr>
        <w:tabs>
          <w:tab w:pos="3003" w:val="left" w:leader="none"/>
        </w:tabs>
        <w:spacing w:line="240" w:lineRule="auto" w:before="30" w:after="0"/>
        <w:ind w:left="3003" w:right="0" w:hanging="315"/>
        <w:jc w:val="left"/>
        <w:rPr>
          <w:sz w:val="20"/>
        </w:rPr>
      </w:pPr>
      <w:r>
        <w:rPr>
          <w:color w:val="231F20"/>
          <w:sz w:val="20"/>
        </w:rPr>
        <w:t>Click</w:t>
      </w:r>
      <w:r>
        <w:rPr>
          <w:color w:val="231F20"/>
          <w:spacing w:val="7"/>
          <w:sz w:val="20"/>
        </w:rPr>
        <w:t> </w:t>
      </w:r>
      <w:r>
        <w:rPr>
          <w:color w:val="231F20"/>
          <w:spacing w:val="16"/>
          <w:position w:val="-1"/>
          <w:sz w:val="20"/>
        </w:rPr>
        <w:drawing>
          <wp:inline distT="0" distB="0" distL="0" distR="0">
            <wp:extent cx="101600" cy="101600"/>
            <wp:effectExtent l="0" t="0" r="0" b="0"/>
            <wp:docPr id="445" name="Image 445"/>
            <wp:cNvGraphicFramePr>
              <a:graphicFrameLocks/>
            </wp:cNvGraphicFramePr>
            <a:graphic>
              <a:graphicData uri="http://schemas.openxmlformats.org/drawingml/2006/picture">
                <pic:pic>
                  <pic:nvPicPr>
                    <pic:cNvPr id="445" name="Image 445"/>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36"/>
          <w:sz w:val="20"/>
        </w:rPr>
        <w:t> </w:t>
      </w:r>
      <w:r>
        <w:rPr>
          <w:rFonts w:ascii="Book Antiqua"/>
          <w:b/>
          <w:color w:val="231F20"/>
          <w:sz w:val="20"/>
        </w:rPr>
        <w:t>Workspace</w:t>
      </w:r>
      <w:r>
        <w:rPr>
          <w:rFonts w:ascii="Book Antiqua"/>
          <w:b/>
          <w:color w:val="231F20"/>
          <w:spacing w:val="8"/>
          <w:sz w:val="20"/>
        </w:rPr>
        <w:t> </w:t>
      </w:r>
      <w:r>
        <w:rPr>
          <w:rFonts w:ascii="Book Antiqua"/>
          <w:b/>
          <w:color w:val="231F20"/>
          <w:spacing w:val="-2"/>
          <w:sz w:val="20"/>
        </w:rPr>
        <w:t>gallery</w:t>
      </w:r>
      <w:r>
        <w:rPr>
          <w:color w:val="231F20"/>
          <w:spacing w:val="-2"/>
          <w:sz w:val="20"/>
        </w:rPr>
        <w:t>.</w:t>
      </w:r>
    </w:p>
    <w:p>
      <w:pPr>
        <w:pStyle w:val="ListParagraph"/>
        <w:numPr>
          <w:ilvl w:val="0"/>
          <w:numId w:val="10"/>
        </w:numPr>
        <w:tabs>
          <w:tab w:pos="3004" w:val="left" w:leader="none"/>
        </w:tabs>
        <w:spacing w:line="213" w:lineRule="auto" w:before="53" w:after="0"/>
        <w:ind w:left="3004" w:right="239" w:hanging="316"/>
        <w:jc w:val="left"/>
        <w:rPr>
          <w:sz w:val="20"/>
        </w:rPr>
      </w:pPr>
      <w:r>
        <w:rPr>
          <w:color w:val="231F20"/>
          <w:sz w:val="20"/>
        </w:rPr>
        <w:t>Click the thumbnail graphic of the workspace to open. (To open the workspace in a new window instead of replacing the current workspace, </w:t>
      </w:r>
      <w:r>
        <w:rPr>
          <w:color w:val="231F20"/>
          <w:sz w:val="20"/>
        </w:rPr>
        <w:t>use Ctrl + Shift + click the thumbnail graphic.)</w:t>
      </w:r>
    </w:p>
    <w:p>
      <w:pPr>
        <w:pStyle w:val="BodyText"/>
        <w:spacing w:line="213" w:lineRule="auto" w:before="117"/>
        <w:ind w:left="2688" w:right="185"/>
      </w:pPr>
      <w:r>
        <w:rPr>
          <w:color w:val="231F20"/>
        </w:rPr>
        <w:t>If this is a new installation, you will see the splash screen instead of a thumbnail</w:t>
      </w:r>
      <w:r>
        <w:rPr>
          <w:color w:val="231F20"/>
          <w:spacing w:val="40"/>
        </w:rPr>
        <w:t> </w:t>
      </w:r>
      <w:r>
        <w:rPr>
          <w:color w:val="231F20"/>
        </w:rPr>
        <w:t>version</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workspace</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gallery</w:t>
      </w:r>
      <w:r>
        <w:rPr>
          <w:color w:val="231F20"/>
          <w:spacing w:val="20"/>
        </w:rPr>
        <w:t> </w:t>
      </w:r>
      <w:r>
        <w:rPr>
          <w:color w:val="231F20"/>
        </w:rPr>
        <w:t>until</w:t>
      </w:r>
      <w:r>
        <w:rPr>
          <w:color w:val="231F20"/>
          <w:spacing w:val="20"/>
        </w:rPr>
        <w:t> </w:t>
      </w:r>
      <w:r>
        <w:rPr>
          <w:color w:val="231F20"/>
        </w:rPr>
        <w:t>you</w:t>
      </w:r>
      <w:r>
        <w:rPr>
          <w:color w:val="231F20"/>
          <w:spacing w:val="20"/>
        </w:rPr>
        <w:t> </w:t>
      </w:r>
      <w:r>
        <w:rPr>
          <w:color w:val="231F20"/>
        </w:rPr>
        <w:t>or</w:t>
      </w:r>
      <w:r>
        <w:rPr>
          <w:color w:val="231F20"/>
          <w:spacing w:val="20"/>
        </w:rPr>
        <w:t> </w:t>
      </w:r>
      <w:r>
        <w:rPr>
          <w:color w:val="231F20"/>
        </w:rPr>
        <w:t>another</w:t>
      </w:r>
      <w:r>
        <w:rPr>
          <w:color w:val="231F20"/>
          <w:spacing w:val="20"/>
        </w:rPr>
        <w:t> </w:t>
      </w:r>
      <w:r>
        <w:rPr>
          <w:color w:val="231F20"/>
        </w:rPr>
        <w:t>user</w:t>
      </w:r>
      <w:r>
        <w:rPr>
          <w:color w:val="231F20"/>
          <w:spacing w:val="20"/>
        </w:rPr>
        <w:t> </w:t>
      </w:r>
      <w:r>
        <w:rPr>
          <w:color w:val="231F20"/>
        </w:rPr>
        <w:t>who</w:t>
      </w:r>
      <w:r>
        <w:rPr>
          <w:color w:val="231F20"/>
          <w:spacing w:val="20"/>
        </w:rPr>
        <w:t> </w:t>
      </w:r>
      <w:r>
        <w:rPr>
          <w:color w:val="231F20"/>
        </w:rPr>
        <w:t>is</w:t>
      </w:r>
      <w:r>
        <w:rPr>
          <w:color w:val="231F20"/>
          <w:spacing w:val="20"/>
        </w:rPr>
        <w:t> </w:t>
      </w:r>
      <w:r>
        <w:rPr>
          <w:color w:val="231F20"/>
        </w:rPr>
        <w:t>logged on to the same Tivoli Enterprise Portal Server opens the workspace for the first time. A </w:t>
      </w:r>
      <w:r>
        <w:rPr>
          <w:color w:val="231F20"/>
          <w:spacing w:val="5"/>
          <w:position w:val="-1"/>
        </w:rPr>
        <w:drawing>
          <wp:inline distT="0" distB="0" distL="0" distR="0">
            <wp:extent cx="101600" cy="101600"/>
            <wp:effectExtent l="0" t="0" r="0" b="0"/>
            <wp:docPr id="446" name="Image 446"/>
            <wp:cNvGraphicFramePr>
              <a:graphicFrameLocks/>
            </wp:cNvGraphicFramePr>
            <a:graphic>
              <a:graphicData uri="http://schemas.openxmlformats.org/drawingml/2006/picture">
                <pic:pic>
                  <pic:nvPicPr>
                    <pic:cNvPr id="446" name="Image 446"/>
                    <pic:cNvPicPr/>
                  </pic:nvPicPr>
                  <pic:blipFill>
                    <a:blip r:embed="rId92" cstate="print"/>
                    <a:stretch>
                      <a:fillRect/>
                    </a:stretch>
                  </pic:blipFill>
                  <pic:spPr>
                    <a:xfrm>
                      <a:off x="0" y="0"/>
                      <a:ext cx="101600" cy="101600"/>
                    </a:xfrm>
                    <a:prstGeom prst="rect">
                      <a:avLst/>
                    </a:prstGeom>
                  </pic:spPr>
                </pic:pic>
              </a:graphicData>
            </a:graphic>
          </wp:inline>
        </w:drawing>
      </w:r>
      <w:r>
        <w:rPr>
          <w:color w:val="231F20"/>
          <w:spacing w:val="5"/>
          <w:position w:val="-1"/>
        </w:rPr>
      </w:r>
      <w:r>
        <w:rPr>
          <w:rFonts w:ascii="Times New Roman"/>
          <w:color w:val="231F20"/>
          <w:spacing w:val="1"/>
        </w:rPr>
        <w:t> </w:t>
      </w:r>
      <w:r>
        <w:rPr>
          <w:color w:val="231F20"/>
        </w:rPr>
        <w:t>check mark by a workspace name indicates that it is the default workspace for this Navigator item. You can reorder the workspaces in your copy of the gallery by clicking a thumbnail graphic and dragging it on top of the</w:t>
      </w:r>
      <w:r>
        <w:rPr>
          <w:color w:val="231F20"/>
          <w:spacing w:val="40"/>
        </w:rPr>
        <w:t> </w:t>
      </w:r>
      <w:r>
        <w:rPr>
          <w:color w:val="231F20"/>
        </w:rPr>
        <w:t>workspace to swap positions with.</w:t>
      </w:r>
    </w:p>
    <w:p>
      <w:pPr>
        <w:pStyle w:val="Heading6"/>
        <w:spacing w:line="240" w:lineRule="auto" w:before="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52">
        <w:r>
          <w:rPr>
            <w:color w:val="231F20"/>
          </w:rPr>
          <w:t>Starting</w:t>
        </w:r>
        <w:r>
          <w:rPr>
            <w:color w:val="231F20"/>
            <w:spacing w:val="6"/>
          </w:rPr>
          <w:t> </w:t>
        </w:r>
        <w:r>
          <w:rPr>
            <w:color w:val="231F20"/>
          </w:rPr>
          <w:t>workspace</w:t>
        </w:r>
        <w:r>
          <w:rPr>
            <w:color w:val="231F20"/>
            <w:spacing w:val="6"/>
          </w:rPr>
          <w:t> </w:t>
        </w:r>
        <w:r>
          <w:rPr>
            <w:color w:val="231F20"/>
          </w:rPr>
          <w:t>administration</w:t>
        </w:r>
        <w:r>
          <w:rPr>
            <w:color w:val="231F20"/>
            <w:spacing w:val="6"/>
          </w:rPr>
          <w:t> </w:t>
        </w:r>
        <w:r>
          <w:rPr>
            <w:color w:val="231F20"/>
            <w:spacing w:val="-4"/>
          </w:rPr>
          <w:t>mode</w:t>
        </w:r>
      </w:hyperlink>
    </w:p>
    <w:p>
      <w:pPr>
        <w:pStyle w:val="BodyText"/>
        <w:spacing w:line="213" w:lineRule="auto" w:before="8"/>
        <w:ind w:left="2472" w:right="258"/>
      </w:pPr>
      <w:r>
        <w:rPr>
          <w:color w:val="231F20"/>
        </w:rPr>
        <w:t>Typically, workspaces you create are saved with your user ID and no other users can</w:t>
      </w:r>
      <w:r>
        <w:rPr>
          <w:color w:val="231F20"/>
          <w:spacing w:val="25"/>
        </w:rPr>
        <w:t> </w:t>
      </w:r>
      <w:r>
        <w:rPr>
          <w:color w:val="231F20"/>
        </w:rPr>
        <w:t>see</w:t>
      </w:r>
      <w:r>
        <w:rPr>
          <w:color w:val="231F20"/>
          <w:spacing w:val="25"/>
        </w:rPr>
        <w:t> </w:t>
      </w:r>
      <w:r>
        <w:rPr>
          <w:color w:val="231F20"/>
        </w:rPr>
        <w:t>them.</w:t>
      </w:r>
      <w:r>
        <w:rPr>
          <w:color w:val="231F20"/>
          <w:spacing w:val="21"/>
        </w:rPr>
        <w:t> </w:t>
      </w:r>
      <w:r>
        <w:rPr>
          <w:color w:val="231F20"/>
        </w:rPr>
        <w:t>You</w:t>
      </w:r>
      <w:r>
        <w:rPr>
          <w:color w:val="231F20"/>
          <w:spacing w:val="25"/>
        </w:rPr>
        <w:t> </w:t>
      </w:r>
      <w:r>
        <w:rPr>
          <w:color w:val="231F20"/>
        </w:rPr>
        <w:t>can</w:t>
      </w:r>
      <w:r>
        <w:rPr>
          <w:color w:val="231F20"/>
          <w:spacing w:val="25"/>
        </w:rPr>
        <w:t> </w:t>
      </w:r>
      <w:r>
        <w:rPr>
          <w:color w:val="231F20"/>
        </w:rPr>
        <w:t>turn</w:t>
      </w:r>
      <w:r>
        <w:rPr>
          <w:color w:val="231F20"/>
          <w:spacing w:val="25"/>
        </w:rPr>
        <w:t> </w:t>
      </w:r>
      <w:r>
        <w:rPr>
          <w:color w:val="231F20"/>
        </w:rPr>
        <w:t>on</w:t>
      </w:r>
      <w:r>
        <w:rPr>
          <w:color w:val="231F20"/>
          <w:spacing w:val="25"/>
        </w:rPr>
        <w:t> </w:t>
      </w:r>
      <w:r>
        <w:rPr>
          <w:color w:val="231F20"/>
        </w:rPr>
        <w:t>administration</w:t>
      </w:r>
      <w:r>
        <w:rPr>
          <w:color w:val="231F20"/>
          <w:spacing w:val="25"/>
        </w:rPr>
        <w:t> </w:t>
      </w:r>
      <w:r>
        <w:rPr>
          <w:color w:val="231F20"/>
        </w:rPr>
        <w:t>mode</w:t>
      </w:r>
      <w:r>
        <w:rPr>
          <w:color w:val="231F20"/>
          <w:spacing w:val="25"/>
        </w:rPr>
        <w:t> </w:t>
      </w:r>
      <w:r>
        <w:rPr>
          <w:color w:val="231F20"/>
        </w:rPr>
        <w:t>so</w:t>
      </w:r>
      <w:r>
        <w:rPr>
          <w:color w:val="231F20"/>
          <w:spacing w:val="25"/>
        </w:rPr>
        <w:t> </w:t>
      </w:r>
      <w:r>
        <w:rPr>
          <w:color w:val="231F20"/>
        </w:rPr>
        <w:t>that</w:t>
      </w:r>
      <w:r>
        <w:rPr>
          <w:color w:val="231F20"/>
          <w:spacing w:val="25"/>
        </w:rPr>
        <w:t> </w:t>
      </w:r>
      <w:r>
        <w:rPr>
          <w:color w:val="231F20"/>
        </w:rPr>
        <w:t>all</w:t>
      </w:r>
      <w:r>
        <w:rPr>
          <w:color w:val="231F20"/>
          <w:spacing w:val="25"/>
        </w:rPr>
        <w:t> </w:t>
      </w:r>
      <w:r>
        <w:rPr>
          <w:color w:val="231F20"/>
        </w:rPr>
        <w:t>workspaces</w:t>
      </w:r>
      <w:r>
        <w:rPr>
          <w:color w:val="231F20"/>
          <w:spacing w:val="25"/>
        </w:rPr>
        <w:t> </w:t>
      </w:r>
      <w:r>
        <w:rPr>
          <w:color w:val="231F20"/>
        </w:rPr>
        <w:t>you edit and save while in this mode are shared with all users who log on to the same</w:t>
      </w:r>
      <w:r>
        <w:rPr>
          <w:color w:val="231F20"/>
          <w:spacing w:val="80"/>
        </w:rPr>
        <w:t> </w:t>
      </w:r>
      <w:r>
        <w:rPr>
          <w:color w:val="231F20"/>
        </w:rPr>
        <w:t>Tivoli Enterprise Portal Server.</w:t>
      </w:r>
    </w:p>
    <w:p>
      <w:pPr>
        <w:pStyle w:val="BodyText"/>
        <w:spacing w:line="255" w:lineRule="exact" w:before="34"/>
        <w:ind w:left="2472"/>
      </w:pPr>
      <w:hyperlink w:history="true" w:anchor="_bookmark27">
        <w:r>
          <w:rPr>
            <w:color w:val="231F20"/>
          </w:rPr>
          <w:t>“Opening</w:t>
        </w:r>
        <w:r>
          <w:rPr>
            <w:color w:val="231F20"/>
            <w:spacing w:val="11"/>
          </w:rPr>
          <w:t> </w:t>
        </w:r>
        <w:r>
          <w:rPr>
            <w:color w:val="231F20"/>
          </w:rPr>
          <w:t>a</w:t>
        </w:r>
        <w:r>
          <w:rPr>
            <w:color w:val="231F20"/>
            <w:spacing w:val="11"/>
          </w:rPr>
          <w:t> </w:t>
        </w:r>
        <w:r>
          <w:rPr>
            <w:color w:val="231F20"/>
          </w:rPr>
          <w:t>new</w:t>
        </w:r>
        <w:r>
          <w:rPr>
            <w:color w:val="231F20"/>
            <w:spacing w:val="12"/>
          </w:rPr>
          <w:t> </w:t>
        </w:r>
        <w:r>
          <w:rPr>
            <w:color w:val="231F20"/>
            <w:spacing w:val="-2"/>
          </w:rPr>
          <w:t>window”</w:t>
        </w:r>
      </w:hyperlink>
    </w:p>
    <w:p>
      <w:pPr>
        <w:pStyle w:val="BodyText"/>
        <w:spacing w:line="213" w:lineRule="auto" w:before="8"/>
        <w:ind w:left="2472" w:right="545"/>
      </w:pPr>
      <w:r>
        <w:rPr>
          <w:color w:val="231F20"/>
        </w:rPr>
        <w:t>Have multiple workspaces open on your desktop at the same time by </w:t>
      </w:r>
      <w:r>
        <w:rPr>
          <w:color w:val="231F20"/>
        </w:rPr>
        <w:t>opening multiple Tivoli Enterprise Portal windows.</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472"/>
      </w:pPr>
      <w:hyperlink w:history="true" w:anchor="_bookmark28">
        <w:r>
          <w:rPr>
            <w:color w:val="231F20"/>
          </w:rPr>
          <w:t>“Tabbed</w:t>
        </w:r>
        <w:r>
          <w:rPr>
            <w:color w:val="231F20"/>
            <w:spacing w:val="4"/>
          </w:rPr>
          <w:t> </w:t>
        </w:r>
        <w:r>
          <w:rPr>
            <w:color w:val="231F20"/>
          </w:rPr>
          <w:t>workspaces”</w:t>
        </w:r>
        <w:r>
          <w:rPr>
            <w:color w:val="231F20"/>
            <w:spacing w:val="5"/>
          </w:rPr>
          <w:t> </w:t>
        </w:r>
        <w:r>
          <w:rPr>
            <w:color w:val="231F20"/>
          </w:rPr>
          <w:t>on</w:t>
        </w:r>
        <w:r>
          <w:rPr>
            <w:color w:val="231F20"/>
            <w:spacing w:val="5"/>
          </w:rPr>
          <w:t> </w:t>
        </w:r>
        <w:r>
          <w:rPr>
            <w:color w:val="231F20"/>
          </w:rPr>
          <w:t>page</w:t>
        </w:r>
        <w:r>
          <w:rPr>
            <w:color w:val="231F20"/>
            <w:spacing w:val="5"/>
          </w:rPr>
          <w:t> </w:t>
        </w:r>
        <w:r>
          <w:rPr>
            <w:color w:val="231F20"/>
            <w:spacing w:val="-5"/>
          </w:rPr>
          <w:t>38</w:t>
        </w:r>
      </w:hyperlink>
    </w:p>
    <w:p>
      <w:pPr>
        <w:pStyle w:val="BodyText"/>
        <w:spacing w:line="213" w:lineRule="auto" w:before="8"/>
        <w:ind w:left="2472"/>
      </w:pPr>
      <w:r>
        <w:rPr>
          <w:color w:val="231F20"/>
        </w:rPr>
        <w:t>Use the tabbed pages capability of your browser to open workspaces, </w:t>
      </w:r>
      <w:r>
        <w:rPr>
          <w:color w:val="231F20"/>
        </w:rPr>
        <w:t>linked workspaces, and Navigator views in new tabs.</w:t>
      </w:r>
    </w:p>
    <w:p>
      <w:pPr>
        <w:pStyle w:val="BodyText"/>
        <w:spacing w:before="5"/>
        <w:rPr>
          <w:sz w:val="16"/>
        </w:rPr>
      </w:pPr>
      <w:r>
        <w:rPr/>
        <mc:AlternateContent>
          <mc:Choice Requires="wps">
            <w:drawing>
              <wp:anchor distT="0" distB="0" distL="0" distR="0" allowOverlap="1" layoutInCell="1" locked="0" behindDoc="1" simplePos="0" relativeHeight="487639552">
                <wp:simplePos x="0" y="0"/>
                <wp:positionH relativeFrom="page">
                  <wp:posOffset>912380</wp:posOffset>
                </wp:positionH>
                <wp:positionV relativeFrom="paragraph">
                  <wp:posOffset>155742</wp:posOffset>
                </wp:positionV>
                <wp:extent cx="6082665" cy="1270"/>
                <wp:effectExtent l="0" t="0" r="0" b="0"/>
                <wp:wrapTopAndBottom/>
                <wp:docPr id="447" name="Graphic 447"/>
                <wp:cNvGraphicFramePr>
                  <a:graphicFrameLocks/>
                </wp:cNvGraphicFramePr>
                <a:graphic>
                  <a:graphicData uri="http://schemas.microsoft.com/office/word/2010/wordprocessingShape">
                    <wps:wsp>
                      <wps:cNvPr id="447" name="Graphic 44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3219pt;width:478.95pt;height:.1pt;mso-position-horizontal-relative:page;mso-position-vertical-relative:paragraph;z-index:-15676928;mso-wrap-distance-left:0;mso-wrap-distance-right:0" id="docshape73"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Opening a new window" w:id="64"/>
      <w:bookmarkEnd w:id="64"/>
      <w:r>
        <w:rPr>
          <w:b w:val="0"/>
        </w:rPr>
      </w:r>
      <w:r>
        <w:rPr>
          <w:color w:val="231F20"/>
        </w:rPr>
        <w:t>Opening</w:t>
      </w:r>
      <w:r>
        <w:rPr>
          <w:color w:val="231F20"/>
          <w:spacing w:val="8"/>
        </w:rPr>
        <w:t> </w:t>
      </w:r>
      <w:r>
        <w:rPr>
          <w:color w:val="231F20"/>
        </w:rPr>
        <w:t>a</w:t>
      </w:r>
      <w:r>
        <w:rPr>
          <w:color w:val="231F20"/>
          <w:spacing w:val="9"/>
        </w:rPr>
        <w:t> </w:t>
      </w:r>
      <w:r>
        <w:rPr>
          <w:color w:val="231F20"/>
        </w:rPr>
        <w:t>new</w:t>
      </w:r>
      <w:r>
        <w:rPr>
          <w:color w:val="231F20"/>
          <w:spacing w:val="9"/>
        </w:rPr>
        <w:t> </w:t>
      </w:r>
      <w:r>
        <w:rPr>
          <w:color w:val="231F20"/>
          <w:spacing w:val="-2"/>
        </w:rPr>
        <w:t>window</w:t>
      </w:r>
    </w:p>
    <w:p>
      <w:pPr>
        <w:pStyle w:val="BodyText"/>
        <w:spacing w:line="213" w:lineRule="auto" w:before="138"/>
        <w:ind w:left="2472" w:right="545"/>
      </w:pPr>
      <w:r>
        <w:rPr>
          <w:color w:val="231F20"/>
        </w:rPr>
        <w:t>Have multiple workspaces open on your desktop at the same time by </w:t>
      </w:r>
      <w:r>
        <w:rPr>
          <w:color w:val="231F20"/>
        </w:rPr>
        <w:t>opening multiple Tivoli Enterprise Portal windows.</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pPr>
      <w:r>
        <w:rPr>
          <w:color w:val="231F20"/>
        </w:rPr>
        <w:t>You can add more dashboard views to your desktop by opening more Tivoli Enterprise Portal windows. Any changes you make these window are saved </w:t>
      </w:r>
      <w:r>
        <w:rPr>
          <w:color w:val="231F20"/>
        </w:rPr>
        <w:t>with the application.</w:t>
      </w:r>
    </w:p>
    <w:p>
      <w:pPr>
        <w:pStyle w:val="Heading4"/>
        <w:ind w:left="2472"/>
      </w:pPr>
      <w:r>
        <w:rPr>
          <w:color w:val="231F20"/>
          <w:spacing w:val="-2"/>
        </w:rPr>
        <w:t>Procedure</w:t>
      </w:r>
    </w:p>
    <w:p>
      <w:pPr>
        <w:pStyle w:val="BodyText"/>
        <w:spacing w:before="38"/>
        <w:ind w:left="2472"/>
      </w:pPr>
      <w:r>
        <w:rPr>
          <w:rFonts w:ascii="Futura MdCn BT"/>
          <w:color w:val="231F20"/>
        </w:rPr>
        <w:t>v</w:t>
      </w:r>
      <w:r>
        <w:rPr>
          <w:rFonts w:ascii="Futura MdCn BT"/>
          <w:color w:val="231F20"/>
          <w:spacing w:val="30"/>
        </w:rPr>
        <w:t>  </w:t>
      </w:r>
      <w:r>
        <w:rPr>
          <w:color w:val="231F20"/>
        </w:rPr>
        <w:t>To</w:t>
      </w:r>
      <w:r>
        <w:rPr>
          <w:color w:val="231F20"/>
          <w:spacing w:val="13"/>
        </w:rPr>
        <w:t> </w:t>
      </w:r>
      <w:r>
        <w:rPr>
          <w:color w:val="231F20"/>
        </w:rPr>
        <w:t>open</w:t>
      </w:r>
      <w:r>
        <w:rPr>
          <w:color w:val="231F20"/>
          <w:spacing w:val="11"/>
        </w:rPr>
        <w:t> </w:t>
      </w:r>
      <w:r>
        <w:rPr>
          <w:color w:val="231F20"/>
        </w:rPr>
        <w:t>a</w:t>
      </w:r>
      <w:r>
        <w:rPr>
          <w:color w:val="231F20"/>
          <w:spacing w:val="12"/>
        </w:rPr>
        <w:t> </w:t>
      </w:r>
      <w:r>
        <w:rPr>
          <w:color w:val="231F20"/>
        </w:rPr>
        <w:t>new</w:t>
      </w:r>
      <w:r>
        <w:rPr>
          <w:color w:val="231F20"/>
          <w:spacing w:val="12"/>
        </w:rPr>
        <w:t> </w:t>
      </w:r>
      <w:r>
        <w:rPr>
          <w:color w:val="231F20"/>
        </w:rPr>
        <w:t>window</w:t>
      </w:r>
      <w:r>
        <w:rPr>
          <w:color w:val="231F20"/>
          <w:spacing w:val="11"/>
        </w:rPr>
        <w:t> </w:t>
      </w:r>
      <w:r>
        <w:rPr>
          <w:color w:val="231F20"/>
        </w:rPr>
        <w:t>in</w:t>
      </w:r>
      <w:r>
        <w:rPr>
          <w:color w:val="231F20"/>
          <w:spacing w:val="12"/>
        </w:rPr>
        <w:t> </w:t>
      </w:r>
      <w:r>
        <w:rPr>
          <w:color w:val="231F20"/>
        </w:rPr>
        <w:t>the</w:t>
      </w:r>
      <w:r>
        <w:rPr>
          <w:color w:val="231F20"/>
          <w:spacing w:val="12"/>
        </w:rPr>
        <w:t> </w:t>
      </w:r>
      <w:r>
        <w:rPr>
          <w:color w:val="231F20"/>
        </w:rPr>
        <w:t>desktop</w:t>
      </w:r>
      <w:r>
        <w:rPr>
          <w:color w:val="231F20"/>
          <w:spacing w:val="11"/>
        </w:rPr>
        <w:t> </w:t>
      </w:r>
      <w:r>
        <w:rPr>
          <w:color w:val="231F20"/>
        </w:rPr>
        <w:t>client,</w:t>
      </w:r>
      <w:r>
        <w:rPr>
          <w:color w:val="231F20"/>
          <w:spacing w:val="12"/>
        </w:rPr>
        <w:t> </w:t>
      </w:r>
      <w:r>
        <w:rPr>
          <w:color w:val="231F20"/>
        </w:rPr>
        <w:t>click</w:t>
      </w:r>
      <w:r>
        <w:rPr>
          <w:color w:val="231F20"/>
          <w:spacing w:val="20"/>
        </w:rPr>
        <w:t> </w:t>
      </w:r>
      <w:r>
        <w:rPr>
          <w:color w:val="231F20"/>
          <w:spacing w:val="-25"/>
          <w:position w:val="-1"/>
        </w:rPr>
        <w:drawing>
          <wp:inline distT="0" distB="0" distL="0" distR="0">
            <wp:extent cx="95250" cy="101600"/>
            <wp:effectExtent l="0" t="0" r="0" b="0"/>
            <wp:docPr id="448" name="Image 448"/>
            <wp:cNvGraphicFramePr>
              <a:graphicFrameLocks/>
            </wp:cNvGraphicFramePr>
            <a:graphic>
              <a:graphicData uri="http://schemas.openxmlformats.org/drawingml/2006/picture">
                <pic:pic>
                  <pic:nvPicPr>
                    <pic:cNvPr id="448" name="Image 44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9"/>
        </w:rPr>
        <w:t> </w:t>
      </w:r>
      <w:r>
        <w:rPr>
          <w:rFonts w:ascii="Book Antiqua"/>
          <w:b/>
          <w:color w:val="231F20"/>
        </w:rPr>
        <w:t>New</w:t>
      </w:r>
      <w:r>
        <w:rPr>
          <w:rFonts w:ascii="Book Antiqua"/>
          <w:b/>
          <w:color w:val="231F20"/>
          <w:spacing w:val="12"/>
        </w:rPr>
        <w:t> </w:t>
      </w:r>
      <w:r>
        <w:rPr>
          <w:rFonts w:ascii="Book Antiqua"/>
          <w:b/>
          <w:color w:val="231F20"/>
          <w:spacing w:val="-2"/>
        </w:rPr>
        <w:t>Window</w:t>
      </w:r>
      <w:r>
        <w:rPr>
          <w:color w:val="231F20"/>
          <w:spacing w:val="-2"/>
        </w:rPr>
        <w:t>.</w:t>
      </w:r>
    </w:p>
    <w:p>
      <w:pPr>
        <w:pStyle w:val="BodyText"/>
        <w:spacing w:line="213" w:lineRule="auto" w:before="53"/>
        <w:ind w:left="2688" w:right="274" w:hanging="216"/>
      </w:pPr>
      <w:r>
        <w:rPr>
          <w:rFonts w:ascii="Futura MdCn BT"/>
          <w:color w:val="231F20"/>
        </w:rPr>
        <w:t>v</w:t>
      </w:r>
      <w:r>
        <w:rPr>
          <w:rFonts w:ascii="Futura MdCn BT"/>
          <w:color w:val="231F20"/>
          <w:spacing w:val="80"/>
        </w:rPr>
        <w:t> </w:t>
      </w:r>
      <w:r>
        <w:rPr>
          <w:color w:val="231F20"/>
        </w:rPr>
        <w:t>To open a new window in the browser client running in Internet Explorer, press Ctrl + N.</w:t>
      </w:r>
    </w:p>
    <w:p>
      <w:pPr>
        <w:pStyle w:val="BodyText"/>
        <w:spacing w:line="213" w:lineRule="auto" w:before="58"/>
        <w:ind w:left="2688" w:right="274" w:hanging="216"/>
      </w:pPr>
      <w:r>
        <w:rPr>
          <w:rFonts w:ascii="Futura MdCn BT"/>
          <w:color w:val="231F20"/>
        </w:rPr>
        <w:t>v</w:t>
      </w:r>
      <w:r>
        <w:rPr>
          <w:rFonts w:ascii="Futura MdCn BT"/>
          <w:color w:val="231F20"/>
          <w:spacing w:val="80"/>
        </w:rPr>
        <w:t> </w:t>
      </w:r>
      <w:r>
        <w:rPr>
          <w:color w:val="231F20"/>
        </w:rPr>
        <w:t>To open another workspace in a new window and keep the original intact in </w:t>
      </w:r>
      <w:r>
        <w:rPr>
          <w:color w:val="231F20"/>
        </w:rPr>
        <w:t>this</w:t>
      </w:r>
      <w:r>
        <w:rPr>
          <w:color w:val="231F20"/>
          <w:spacing w:val="40"/>
        </w:rPr>
        <w:t> </w:t>
      </w:r>
      <w:r>
        <w:rPr>
          <w:color w:val="231F20"/>
        </w:rPr>
        <w:t>window, click </w:t>
      </w:r>
      <w:r>
        <w:rPr>
          <w:color w:val="231F20"/>
          <w:spacing w:val="16"/>
          <w:position w:val="-1"/>
        </w:rPr>
        <w:drawing>
          <wp:inline distT="0" distB="0" distL="0" distR="0">
            <wp:extent cx="101600" cy="101600"/>
            <wp:effectExtent l="0" t="0" r="0" b="0"/>
            <wp:docPr id="449" name="Image 449"/>
            <wp:cNvGraphicFramePr>
              <a:graphicFrameLocks/>
            </wp:cNvGraphicFramePr>
            <a:graphic>
              <a:graphicData uri="http://schemas.openxmlformats.org/drawingml/2006/picture">
                <pic:pic>
                  <pic:nvPicPr>
                    <pic:cNvPr id="449" name="Image 449"/>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Workspace gallery </w:t>
      </w:r>
      <w:r>
        <w:rPr>
          <w:color w:val="231F20"/>
        </w:rPr>
        <w:t>and Ctrl + Shift + click the workspace.</w:t>
      </w:r>
    </w:p>
    <w:p>
      <w:pPr>
        <w:pStyle w:val="Heading4"/>
        <w:ind w:left="2472"/>
      </w:pPr>
      <w:r>
        <w:rPr>
          <w:color w:val="231F20"/>
          <w:spacing w:val="-2"/>
        </w:rPr>
        <w:t>Results</w:t>
      </w:r>
    </w:p>
    <w:p>
      <w:pPr>
        <w:pStyle w:val="BodyText"/>
        <w:spacing w:line="213" w:lineRule="auto" w:before="241"/>
        <w:ind w:left="2472" w:right="488"/>
      </w:pPr>
      <w:r>
        <w:rPr>
          <w:color w:val="231F20"/>
        </w:rPr>
        <w:t>The new window is opened as a duplicate of the original; any changes you </w:t>
      </w:r>
      <w:r>
        <w:rPr>
          <w:color w:val="231F20"/>
        </w:rPr>
        <w:t>make</w:t>
      </w:r>
      <w:r>
        <w:rPr>
          <w:color w:val="231F20"/>
          <w:spacing w:val="40"/>
        </w:rPr>
        <w:t> </w:t>
      </w:r>
      <w:r>
        <w:rPr>
          <w:color w:val="231F20"/>
        </w:rPr>
        <w:t>to the new window are independent of the original.</w:t>
      </w:r>
    </w:p>
    <w:p>
      <w:pPr>
        <w:spacing w:after="0" w:line="213" w:lineRule="auto"/>
        <w:sectPr>
          <w:pgSz w:w="12240" w:h="15840"/>
          <w:pgMar w:header="0" w:footer="736" w:top="1180" w:bottom="920" w:left="1000" w:right="1060"/>
        </w:sectPr>
      </w:pPr>
    </w:p>
    <w:p>
      <w:pPr>
        <w:pStyle w:val="Heading4"/>
        <w:spacing w:before="86"/>
      </w:pPr>
      <w:bookmarkStart w:name="_bookmark28" w:id="65"/>
      <w:bookmarkEnd w:id="65"/>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636"/>
      </w:pPr>
      <w:r>
        <w:rPr>
          <w:color w:val="231F20"/>
        </w:rPr>
        <w:t>Any previously visited workspaces are retained from the parent window; use </w:t>
      </w:r>
      <w:r>
        <w:rPr>
          <w:color w:val="231F20"/>
          <w:spacing w:val="24"/>
          <w:position w:val="-1"/>
        </w:rPr>
        <w:drawing>
          <wp:inline distT="0" distB="0" distL="0" distR="0">
            <wp:extent cx="95250" cy="95250"/>
            <wp:effectExtent l="0" t="0" r="0" b="0"/>
            <wp:docPr id="450" name="Image 450"/>
            <wp:cNvGraphicFramePr>
              <a:graphicFrameLocks/>
            </wp:cNvGraphicFramePr>
            <a:graphic>
              <a:graphicData uri="http://schemas.openxmlformats.org/drawingml/2006/picture">
                <pic:pic>
                  <pic:nvPicPr>
                    <pic:cNvPr id="450" name="Image 450"/>
                    <pic:cNvPicPr/>
                  </pic:nvPicPr>
                  <pic:blipFill>
                    <a:blip r:embed="rId23"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position w:val="-1"/>
        </w:rPr>
        <w:t> </w:t>
      </w:r>
      <w:r>
        <w:rPr>
          <w:color w:val="231F20"/>
        </w:rPr>
        <w:t>and </w:t>
      </w:r>
      <w:r>
        <w:rPr>
          <w:color w:val="231F20"/>
          <w:spacing w:val="-24"/>
          <w:position w:val="-1"/>
        </w:rPr>
        <w:drawing>
          <wp:inline distT="0" distB="0" distL="0" distR="0">
            <wp:extent cx="95250" cy="95250"/>
            <wp:effectExtent l="0" t="0" r="0" b="0"/>
            <wp:docPr id="451" name="Image 451"/>
            <wp:cNvGraphicFramePr>
              <a:graphicFrameLocks/>
            </wp:cNvGraphicFramePr>
            <a:graphic>
              <a:graphicData uri="http://schemas.openxmlformats.org/drawingml/2006/picture">
                <pic:pic>
                  <pic:nvPicPr>
                    <pic:cNvPr id="451" name="Image 451"/>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4"/>
        </w:rPr>
        <w:t> </w:t>
      </w:r>
      <w:r>
        <w:rPr>
          <w:color w:val="231F20"/>
        </w:rPr>
        <w:t>to revisit them. Further navigation to other workspaces in either </w:t>
      </w:r>
      <w:r>
        <w:rPr>
          <w:color w:val="231F20"/>
        </w:rPr>
        <w:t>window, however, is independent of the other window.</w:t>
      </w:r>
    </w:p>
    <w:p>
      <w:pPr>
        <w:pStyle w:val="BodyText"/>
        <w:spacing w:line="213" w:lineRule="auto" w:before="237"/>
        <w:ind w:left="2232" w:right="493"/>
      </w:pPr>
      <w:r>
        <w:rPr>
          <w:color w:val="231F20"/>
        </w:rPr>
        <w:t>You can close duplicate windows (click </w:t>
      </w:r>
      <w:r>
        <w:rPr>
          <w:rFonts w:ascii="Book Antiqua"/>
          <w:b/>
          <w:color w:val="231F20"/>
        </w:rPr>
        <w:t>File &gt; Close) </w:t>
      </w:r>
      <w:r>
        <w:rPr>
          <w:color w:val="231F20"/>
        </w:rPr>
        <w:t>or the original; the work session remains active as long as one window is open.</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26">
        <w:r>
          <w:rPr>
            <w:color w:val="231F20"/>
          </w:rPr>
          <w:t>“Opening</w:t>
        </w:r>
        <w:r>
          <w:rPr>
            <w:color w:val="231F20"/>
            <w:spacing w:val="10"/>
          </w:rPr>
          <w:t> </w:t>
        </w:r>
        <w:r>
          <w:rPr>
            <w:color w:val="231F20"/>
          </w:rPr>
          <w:t>a</w:t>
        </w:r>
        <w:r>
          <w:rPr>
            <w:color w:val="231F20"/>
            <w:spacing w:val="11"/>
          </w:rPr>
          <w:t> </w:t>
        </w:r>
        <w:r>
          <w:rPr>
            <w:color w:val="231F20"/>
          </w:rPr>
          <w:t>workspace”</w:t>
        </w:r>
        <w:r>
          <w:rPr>
            <w:color w:val="231F20"/>
            <w:spacing w:val="10"/>
          </w:rPr>
          <w:t> </w:t>
        </w:r>
        <w:r>
          <w:rPr>
            <w:color w:val="231F20"/>
          </w:rPr>
          <w:t>on</w:t>
        </w:r>
        <w:r>
          <w:rPr>
            <w:color w:val="231F20"/>
            <w:spacing w:val="11"/>
          </w:rPr>
          <w:t> </w:t>
        </w:r>
        <w:r>
          <w:rPr>
            <w:color w:val="231F20"/>
          </w:rPr>
          <w:t>page</w:t>
        </w:r>
        <w:r>
          <w:rPr>
            <w:color w:val="231F20"/>
            <w:spacing w:val="11"/>
          </w:rPr>
          <w:t> </w:t>
        </w:r>
        <w:r>
          <w:rPr>
            <w:color w:val="231F20"/>
            <w:spacing w:val="-5"/>
          </w:rPr>
          <w:t>36</w:t>
        </w:r>
      </w:hyperlink>
    </w:p>
    <w:p>
      <w:pPr>
        <w:pStyle w:val="BodyText"/>
        <w:spacing w:line="213" w:lineRule="auto" w:before="8"/>
        <w:ind w:left="2232" w:right="545"/>
      </w:pPr>
      <w:r>
        <w:rPr>
          <w:color w:val="231F20"/>
        </w:rPr>
        <w:t>Use the Navigator to open the default workspace for the selected item, then </w:t>
      </w:r>
      <w:r>
        <w:rPr>
          <w:color w:val="231F20"/>
        </w:rPr>
        <w:t>the Workspace Gallery to see and select from a thumbnail display of available </w:t>
      </w:r>
      <w:r>
        <w:rPr>
          <w:color w:val="231F20"/>
          <w:spacing w:val="-2"/>
        </w:rPr>
        <w:t>workspaces.</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28">
        <w:r>
          <w:rPr>
            <w:color w:val="231F20"/>
            <w:spacing w:val="-2"/>
          </w:rPr>
          <w:t>“Tabbed</w:t>
        </w:r>
        <w:r>
          <w:rPr>
            <w:color w:val="231F20"/>
            <w:spacing w:val="3"/>
          </w:rPr>
          <w:t> </w:t>
        </w:r>
        <w:r>
          <w:rPr>
            <w:color w:val="231F20"/>
            <w:spacing w:val="-2"/>
          </w:rPr>
          <w:t>workspaces”</w:t>
        </w:r>
      </w:hyperlink>
    </w:p>
    <w:p>
      <w:pPr>
        <w:pStyle w:val="BodyText"/>
        <w:spacing w:line="213" w:lineRule="auto" w:before="8"/>
        <w:ind w:left="2232" w:right="545"/>
      </w:pPr>
      <w:r>
        <w:rPr>
          <w:color w:val="231F20"/>
        </w:rPr>
        <w:t>Use the tabbed pages capability of your browser to open workspaces, </w:t>
      </w:r>
      <w:r>
        <w:rPr>
          <w:color w:val="231F20"/>
        </w:rPr>
        <w:t>linked workspaces, and Navigator views in new tabs.</w:t>
      </w:r>
    </w:p>
    <w:p>
      <w:pPr>
        <w:pStyle w:val="BodyText"/>
        <w:spacing w:before="5"/>
        <w:rPr>
          <w:sz w:val="16"/>
        </w:rPr>
      </w:pPr>
      <w:r>
        <w:rPr/>
        <mc:AlternateContent>
          <mc:Choice Requires="wps">
            <w:drawing>
              <wp:anchor distT="0" distB="0" distL="0" distR="0" allowOverlap="1" layoutInCell="1" locked="0" behindDoc="1" simplePos="0" relativeHeight="487640064">
                <wp:simplePos x="0" y="0"/>
                <wp:positionH relativeFrom="page">
                  <wp:posOffset>760323</wp:posOffset>
                </wp:positionH>
                <wp:positionV relativeFrom="paragraph">
                  <wp:posOffset>156071</wp:posOffset>
                </wp:positionV>
                <wp:extent cx="6082665" cy="1270"/>
                <wp:effectExtent l="0" t="0" r="0" b="0"/>
                <wp:wrapTopAndBottom/>
                <wp:docPr id="452" name="Graphic 452"/>
                <wp:cNvGraphicFramePr>
                  <a:graphicFrameLocks/>
                </wp:cNvGraphicFramePr>
                <a:graphic>
                  <a:graphicData uri="http://schemas.microsoft.com/office/word/2010/wordprocessingShape">
                    <wps:wsp>
                      <wps:cNvPr id="452" name="Graphic 45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89129pt;width:478.95pt;height:.1pt;mso-position-horizontal-relative:page;mso-position-vertical-relative:paragraph;z-index:-15676416;mso-wrap-distance-left:0;mso-wrap-distance-right:0" id="docshape74"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Tabbed workspaces" w:id="66"/>
      <w:bookmarkEnd w:id="66"/>
      <w:r>
        <w:rPr>
          <w:b w:val="0"/>
        </w:rPr>
      </w:r>
      <w:r>
        <w:rPr>
          <w:color w:val="231F20"/>
        </w:rPr>
        <w:t>Tabbed</w:t>
      </w:r>
      <w:r>
        <w:rPr>
          <w:color w:val="231F20"/>
          <w:spacing w:val="-16"/>
        </w:rPr>
        <w:t> </w:t>
      </w:r>
      <w:r>
        <w:rPr>
          <w:color w:val="231F20"/>
          <w:spacing w:val="-2"/>
        </w:rPr>
        <w:t>workspaces</w:t>
      </w:r>
    </w:p>
    <w:p>
      <w:pPr>
        <w:pStyle w:val="BodyText"/>
        <w:spacing w:line="213" w:lineRule="auto" w:before="138"/>
        <w:ind w:left="2232" w:right="545"/>
      </w:pPr>
      <w:r>
        <w:rPr>
          <w:color w:val="231F20"/>
        </w:rPr>
        <w:t>Use the tabbed pages capability of your browser to open workspaces, </w:t>
      </w:r>
      <w:r>
        <w:rPr>
          <w:color w:val="231F20"/>
        </w:rPr>
        <w:t>linked workspaces, and Navigator views in new tabs.</w:t>
      </w:r>
    </w:p>
    <w:p>
      <w:pPr>
        <w:pStyle w:val="Heading6"/>
        <w:spacing w:before="118"/>
        <w:ind w:left="2232"/>
      </w:pPr>
      <w:r>
        <w:rPr>
          <w:color w:val="231F20"/>
        </w:rPr>
        <w:t>Browser</w:t>
      </w:r>
      <w:r>
        <w:rPr>
          <w:color w:val="231F20"/>
          <w:spacing w:val="10"/>
        </w:rPr>
        <w:t> </w:t>
      </w:r>
      <w:r>
        <w:rPr>
          <w:color w:val="231F20"/>
        </w:rPr>
        <w:t>client</w:t>
      </w:r>
      <w:r>
        <w:rPr>
          <w:color w:val="231F20"/>
          <w:spacing w:val="10"/>
        </w:rPr>
        <w:t> </w:t>
      </w:r>
      <w:r>
        <w:rPr>
          <w:color w:val="231F20"/>
        </w:rPr>
        <w:t>and</w:t>
      </w:r>
      <w:r>
        <w:rPr>
          <w:color w:val="231F20"/>
          <w:spacing w:val="10"/>
        </w:rPr>
        <w:t> </w:t>
      </w:r>
      <w:r>
        <w:rPr>
          <w:color w:val="231F20"/>
        </w:rPr>
        <w:t>browser</w:t>
      </w:r>
      <w:r>
        <w:rPr>
          <w:color w:val="231F20"/>
          <w:spacing w:val="10"/>
        </w:rPr>
        <w:t> </w:t>
      </w:r>
      <w:r>
        <w:rPr>
          <w:color w:val="231F20"/>
          <w:spacing w:val="-2"/>
        </w:rPr>
        <w:t>settings</w:t>
      </w:r>
    </w:p>
    <w:p>
      <w:pPr>
        <w:pStyle w:val="BodyText"/>
        <w:spacing w:line="213" w:lineRule="auto" w:before="11"/>
        <w:ind w:left="2951" w:right="545"/>
      </w:pPr>
      <w:r>
        <w:rPr>
          <w:color w:val="231F20"/>
        </w:rPr>
        <w:t>When your browser supports tabbed web pages, the Tivoli Enterprise</w:t>
      </w:r>
      <w:r>
        <w:rPr>
          <w:color w:val="231F20"/>
          <w:spacing w:val="80"/>
        </w:rPr>
        <w:t> </w:t>
      </w:r>
      <w:r>
        <w:rPr>
          <w:color w:val="231F20"/>
        </w:rPr>
        <w:t>Portal browser client uses the browser's tab settings to determine how to open a workspace: When tabs are enabled, the workspace is opened in a</w:t>
      </w:r>
      <w:r>
        <w:rPr>
          <w:color w:val="231F20"/>
          <w:spacing w:val="40"/>
        </w:rPr>
        <w:t> </w:t>
      </w:r>
      <w:r>
        <w:rPr>
          <w:color w:val="231F20"/>
        </w:rPr>
        <w:t>new tab. You can set the properties of a workspace or the target of a workspace link to always open in a new tab, or you can open a </w:t>
      </w:r>
      <w:r>
        <w:rPr>
          <w:color w:val="231F20"/>
        </w:rPr>
        <w:t>workspace</w:t>
      </w:r>
      <w:r>
        <w:rPr>
          <w:color w:val="231F20"/>
          <w:spacing w:val="40"/>
        </w:rPr>
        <w:t> </w:t>
      </w:r>
      <w:r>
        <w:rPr>
          <w:color w:val="231F20"/>
        </w:rPr>
        <w:t>in a new tab by holding down the Ctrl + Shift keys while selecting the</w:t>
      </w:r>
      <w:r>
        <w:rPr>
          <w:color w:val="231F20"/>
          <w:spacing w:val="40"/>
        </w:rPr>
        <w:t> </w:t>
      </w:r>
      <w:r>
        <w:rPr>
          <w:color w:val="231F20"/>
        </w:rPr>
        <w:t>workspace</w:t>
      </w:r>
      <w:r>
        <w:rPr>
          <w:color w:val="231F20"/>
          <w:spacing w:val="27"/>
        </w:rPr>
        <w:t> </w:t>
      </w:r>
      <w:r>
        <w:rPr>
          <w:color w:val="231F20"/>
        </w:rPr>
        <w:t>with</w:t>
      </w:r>
      <w:r>
        <w:rPr>
          <w:color w:val="231F20"/>
          <w:spacing w:val="27"/>
        </w:rPr>
        <w:t> </w:t>
      </w:r>
      <w:r>
        <w:rPr>
          <w:color w:val="231F20"/>
        </w:rPr>
        <w:t>a</w:t>
      </w:r>
      <w:r>
        <w:rPr>
          <w:color w:val="231F20"/>
          <w:spacing w:val="27"/>
        </w:rPr>
        <w:t> </w:t>
      </w:r>
      <w:r>
        <w:rPr>
          <w:color w:val="231F20"/>
        </w:rPr>
        <w:t>mouse</w:t>
      </w:r>
      <w:r>
        <w:rPr>
          <w:color w:val="231F20"/>
          <w:spacing w:val="27"/>
        </w:rPr>
        <w:t> </w:t>
      </w:r>
      <w:r>
        <w:rPr>
          <w:color w:val="231F20"/>
        </w:rPr>
        <w:t>click.</w:t>
      </w:r>
      <w:r>
        <w:rPr>
          <w:color w:val="231F20"/>
          <w:spacing w:val="27"/>
        </w:rPr>
        <w:t> </w:t>
      </w:r>
      <w:r>
        <w:rPr>
          <w:color w:val="231F20"/>
        </w:rPr>
        <w:t>Then</w:t>
      </w:r>
      <w:r>
        <w:rPr>
          <w:color w:val="231F20"/>
          <w:spacing w:val="27"/>
        </w:rPr>
        <w:t> </w:t>
      </w:r>
      <w:r>
        <w:rPr>
          <w:color w:val="231F20"/>
        </w:rPr>
        <w:t>use</w:t>
      </w:r>
      <w:r>
        <w:rPr>
          <w:color w:val="231F20"/>
          <w:spacing w:val="27"/>
        </w:rPr>
        <w:t> </w:t>
      </w:r>
      <w:r>
        <w:rPr>
          <w:color w:val="231F20"/>
        </w:rPr>
        <w:t>the</w:t>
      </w:r>
      <w:r>
        <w:rPr>
          <w:color w:val="231F20"/>
          <w:spacing w:val="27"/>
        </w:rPr>
        <w:t> </w:t>
      </w:r>
      <w:r>
        <w:rPr>
          <w:color w:val="231F20"/>
        </w:rPr>
        <w:t>Ctrl</w:t>
      </w:r>
      <w:r>
        <w:rPr>
          <w:color w:val="231F20"/>
          <w:spacing w:val="27"/>
        </w:rPr>
        <w:t> </w:t>
      </w:r>
      <w:r>
        <w:rPr>
          <w:color w:val="231F20"/>
        </w:rPr>
        <w:t>+</w:t>
      </w:r>
      <w:r>
        <w:rPr>
          <w:color w:val="231F20"/>
          <w:spacing w:val="27"/>
        </w:rPr>
        <w:t> </w:t>
      </w:r>
      <w:r>
        <w:rPr>
          <w:color w:val="231F20"/>
        </w:rPr>
        <w:t>Tab</w:t>
      </w:r>
      <w:r>
        <w:rPr>
          <w:color w:val="231F20"/>
          <w:spacing w:val="27"/>
        </w:rPr>
        <w:t> </w:t>
      </w:r>
      <w:r>
        <w:rPr>
          <w:color w:val="231F20"/>
        </w:rPr>
        <w:t>keys</w:t>
      </w:r>
      <w:r>
        <w:rPr>
          <w:color w:val="231F20"/>
          <w:spacing w:val="27"/>
        </w:rPr>
        <w:t> </w:t>
      </w:r>
      <w:r>
        <w:rPr>
          <w:color w:val="231F20"/>
        </w:rPr>
        <w:t>to</w:t>
      </w:r>
      <w:r>
        <w:rPr>
          <w:color w:val="231F20"/>
          <w:spacing w:val="27"/>
        </w:rPr>
        <w:t> </w:t>
      </w:r>
      <w:r>
        <w:rPr>
          <w:color w:val="231F20"/>
        </w:rPr>
        <w:t>switch focus to the next tabbed workspace.</w:t>
      </w:r>
    </w:p>
    <w:p>
      <w:pPr>
        <w:pStyle w:val="BodyText"/>
        <w:spacing w:line="213" w:lineRule="auto" w:before="114"/>
        <w:ind w:left="2951" w:right="636"/>
      </w:pPr>
      <w:r>
        <w:rPr>
          <w:color w:val="231F20"/>
        </w:rPr>
        <w:t>The desktop client and Java Web Start client use these same features </w:t>
      </w:r>
      <w:r>
        <w:rPr>
          <w:color w:val="231F20"/>
        </w:rPr>
        <w:t>to open a workspace, but it is always opened in a new window.</w:t>
      </w:r>
    </w:p>
    <w:p>
      <w:pPr>
        <w:pStyle w:val="Heading6"/>
        <w:ind w:left="2232"/>
      </w:pPr>
      <w:r>
        <w:rPr>
          <w:color w:val="231F20"/>
          <w:spacing w:val="-2"/>
        </w:rPr>
        <w:t>Workspace</w:t>
      </w:r>
      <w:r>
        <w:rPr>
          <w:color w:val="231F20"/>
          <w:spacing w:val="8"/>
        </w:rPr>
        <w:t> </w:t>
      </w:r>
      <w:r>
        <w:rPr>
          <w:color w:val="231F20"/>
          <w:spacing w:val="-2"/>
        </w:rPr>
        <w:t>properties</w:t>
      </w:r>
    </w:p>
    <w:p>
      <w:pPr>
        <w:pStyle w:val="BodyText"/>
        <w:spacing w:line="213" w:lineRule="auto" w:before="12"/>
        <w:ind w:left="2951" w:right="603"/>
      </w:pPr>
      <w:r>
        <w:rPr>
          <w:color w:val="231F20"/>
        </w:rPr>
        <w:t>Every Tivoli Enterprise Portal workspace has properties that control the access and method of display when it is opened. The workspace will </w:t>
      </w:r>
      <w:r>
        <w:rPr>
          <w:color w:val="231F20"/>
        </w:rPr>
        <w:t>open</w:t>
      </w:r>
      <w:r>
        <w:rPr>
          <w:color w:val="231F20"/>
          <w:spacing w:val="40"/>
        </w:rPr>
        <w:t> </w:t>
      </w:r>
      <w:r>
        <w:rPr>
          <w:color w:val="231F20"/>
        </w:rPr>
        <w:t>in a new tab on browsers that are set to use tabbed pages when </w:t>
      </w:r>
      <w:r>
        <w:rPr>
          <w:color w:val="231F20"/>
          <w:spacing w:val="15"/>
        </w:rPr>
        <w:drawing>
          <wp:inline distT="0" distB="0" distL="0" distR="0">
            <wp:extent cx="82550" cy="82550"/>
            <wp:effectExtent l="0" t="0" r="0" b="0"/>
            <wp:docPr id="453" name="Image 453"/>
            <wp:cNvGraphicFramePr>
              <a:graphicFrameLocks/>
            </wp:cNvGraphicFramePr>
            <a:graphic>
              <a:graphicData uri="http://schemas.openxmlformats.org/drawingml/2006/picture">
                <pic:pic>
                  <pic:nvPicPr>
                    <pic:cNvPr id="453" name="Image 45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7"/>
        </w:rPr>
        <w:t> </w:t>
      </w:r>
      <w:r>
        <w:rPr>
          <w:rFonts w:ascii="Book Antiqua"/>
          <w:b/>
          <w:color w:val="231F20"/>
        </w:rPr>
        <w:t>Always open workspace in new window </w:t>
      </w:r>
      <w:r>
        <w:rPr>
          <w:color w:val="231F20"/>
        </w:rPr>
        <w:t>is enabled.</w:t>
      </w:r>
    </w:p>
    <w:p>
      <w:pPr>
        <w:pStyle w:val="Heading6"/>
        <w:spacing w:line="232" w:lineRule="exact" w:before="116"/>
        <w:ind w:left="2232"/>
      </w:pPr>
      <w:r>
        <w:rPr>
          <w:color w:val="231F20"/>
        </w:rPr>
        <w:t>Link</w:t>
      </w:r>
      <w:r>
        <w:rPr>
          <w:color w:val="231F20"/>
          <w:spacing w:val="11"/>
        </w:rPr>
        <w:t> </w:t>
      </w:r>
      <w:r>
        <w:rPr>
          <w:color w:val="231F20"/>
          <w:spacing w:val="-2"/>
        </w:rPr>
        <w:t>target</w:t>
      </w:r>
    </w:p>
    <w:p>
      <w:pPr>
        <w:spacing w:line="211" w:lineRule="auto" w:before="15"/>
        <w:ind w:left="2951" w:right="545" w:hanging="1"/>
        <w:jc w:val="left"/>
        <w:rPr>
          <w:sz w:val="20"/>
        </w:rPr>
      </w:pPr>
      <w:r>
        <w:rPr>
          <w:color w:val="231F20"/>
          <w:sz w:val="20"/>
        </w:rPr>
        <w:t>The link wizard Target Workspace page has an option to </w:t>
      </w:r>
      <w:r>
        <w:rPr>
          <w:color w:val="231F20"/>
          <w:spacing w:val="15"/>
          <w:sz w:val="20"/>
        </w:rPr>
        <w:drawing>
          <wp:inline distT="0" distB="0" distL="0" distR="0">
            <wp:extent cx="82550" cy="82550"/>
            <wp:effectExtent l="0" t="0" r="0" b="0"/>
            <wp:docPr id="454" name="Image 454"/>
            <wp:cNvGraphicFramePr>
              <a:graphicFrameLocks/>
            </wp:cNvGraphicFramePr>
            <a:graphic>
              <a:graphicData uri="http://schemas.openxmlformats.org/drawingml/2006/picture">
                <pic:pic>
                  <pic:nvPicPr>
                    <pic:cNvPr id="454" name="Image 45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3"/>
          <w:sz w:val="20"/>
        </w:rPr>
        <w:t> </w:t>
      </w:r>
      <w:r>
        <w:rPr>
          <w:rFonts w:ascii="Book Antiqua"/>
          <w:b/>
          <w:color w:val="231F20"/>
          <w:sz w:val="20"/>
        </w:rPr>
        <w:t>Always open target workspace in new window</w:t>
      </w:r>
      <w:r>
        <w:rPr>
          <w:color w:val="231F20"/>
          <w:sz w:val="20"/>
        </w:rPr>
        <w:t>. It shows in the link wizard </w:t>
      </w:r>
      <w:r>
        <w:rPr>
          <w:color w:val="231F20"/>
          <w:sz w:val="20"/>
        </w:rPr>
        <w:t>Parameters page as </w:t>
      </w:r>
      <w:r>
        <w:rPr>
          <w:color w:val="231F20"/>
          <w:spacing w:val="16"/>
          <w:sz w:val="20"/>
        </w:rPr>
        <w:drawing>
          <wp:inline distT="0" distB="0" distL="0" distR="0">
            <wp:extent cx="63500" cy="63500"/>
            <wp:effectExtent l="0" t="0" r="0" b="0"/>
            <wp:docPr id="455" name="Image 455"/>
            <wp:cNvGraphicFramePr>
              <a:graphicFrameLocks/>
            </wp:cNvGraphicFramePr>
            <a:graphic>
              <a:graphicData uri="http://schemas.openxmlformats.org/drawingml/2006/picture">
                <pic:pic>
                  <pic:nvPicPr>
                    <pic:cNvPr id="455" name="Image 455"/>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6"/>
          <w:sz w:val="20"/>
        </w:rPr>
      </w:r>
      <w:r>
        <w:rPr>
          <w:rFonts w:ascii="Times New Roman"/>
          <w:color w:val="231F20"/>
          <w:spacing w:val="-11"/>
          <w:sz w:val="20"/>
        </w:rPr>
        <w:t> </w:t>
      </w:r>
      <w:r>
        <w:rPr>
          <w:rFonts w:ascii="Book Antiqua"/>
          <w:i/>
          <w:color w:val="231F20"/>
          <w:sz w:val="20"/>
        </w:rPr>
        <w:t>openTargetInNewWindow</w:t>
      </w:r>
      <w:r>
        <w:rPr>
          <w:color w:val="231F20"/>
          <w:sz w:val="20"/>
        </w:rPr>
        <w:t>. When enabled, this option opens the targeted workspace in a new tab if you are logged on from a tab-enabled </w:t>
      </w:r>
      <w:r>
        <w:rPr>
          <w:color w:val="231F20"/>
          <w:spacing w:val="-2"/>
          <w:sz w:val="20"/>
        </w:rPr>
        <w:t>browser.</w:t>
      </w:r>
    </w:p>
    <w:p>
      <w:pPr>
        <w:pStyle w:val="Heading6"/>
        <w:spacing w:before="122"/>
        <w:ind w:left="2232"/>
      </w:pPr>
      <w:r>
        <w:rPr>
          <w:color w:val="231F20"/>
        </w:rPr>
        <w:t>Navigator</w:t>
      </w:r>
      <w:r>
        <w:rPr>
          <w:color w:val="231F20"/>
          <w:spacing w:val="9"/>
        </w:rPr>
        <w:t> </w:t>
      </w:r>
      <w:r>
        <w:rPr>
          <w:color w:val="231F20"/>
        </w:rPr>
        <w:t>item</w:t>
      </w:r>
      <w:r>
        <w:rPr>
          <w:color w:val="231F20"/>
          <w:spacing w:val="9"/>
        </w:rPr>
        <w:t> </w:t>
      </w:r>
      <w:r>
        <w:rPr>
          <w:color w:val="231F20"/>
          <w:spacing w:val="-4"/>
        </w:rPr>
        <w:t>find</w:t>
      </w:r>
    </w:p>
    <w:p>
      <w:pPr>
        <w:pStyle w:val="BodyText"/>
        <w:spacing w:line="213" w:lineRule="auto" w:before="11"/>
        <w:ind w:left="2951" w:right="636"/>
      </w:pPr>
      <w:r>
        <w:rPr>
          <w:position w:val="-1"/>
        </w:rPr>
        <w:drawing>
          <wp:inline distT="0" distB="0" distL="0" distR="0">
            <wp:extent cx="101600" cy="101600"/>
            <wp:effectExtent l="0" t="0" r="0" b="0"/>
            <wp:docPr id="456" name="Image 456"/>
            <wp:cNvGraphicFramePr>
              <a:graphicFrameLocks/>
            </wp:cNvGraphicFramePr>
            <a:graphic>
              <a:graphicData uri="http://schemas.openxmlformats.org/drawingml/2006/picture">
                <pic:pic>
                  <pic:nvPicPr>
                    <pic:cNvPr id="456" name="Image 456"/>
                    <pic:cNvPicPr/>
                  </pic:nvPicPr>
                  <pic:blipFill>
                    <a:blip r:embed="rId109" cstate="print"/>
                    <a:stretch>
                      <a:fillRect/>
                    </a:stretch>
                  </pic:blipFill>
                  <pic:spPr>
                    <a:xfrm>
                      <a:off x="0" y="0"/>
                      <a:ext cx="101600" cy="101600"/>
                    </a:xfrm>
                    <a:prstGeom prst="rect">
                      <a:avLst/>
                    </a:prstGeom>
                  </pic:spPr>
                </pic:pic>
              </a:graphicData>
            </a:graphic>
          </wp:inline>
        </w:drawing>
      </w:r>
      <w:r>
        <w:rPr>
          <w:position w:val="-1"/>
        </w:rPr>
      </w:r>
      <w:r>
        <w:rPr>
          <w:rFonts w:ascii="Times New Roman"/>
        </w:rPr>
        <w:t> </w:t>
      </w:r>
      <w:r>
        <w:rPr>
          <w:rFonts w:ascii="Book Antiqua"/>
          <w:b/>
          <w:color w:val="231F20"/>
        </w:rPr>
        <w:t>Find </w:t>
      </w:r>
      <w:r>
        <w:rPr>
          <w:color w:val="231F20"/>
        </w:rPr>
        <w:t>in the Navigator toolbar enables you to locate any Navigator item using simple or advanced search criteria. The Find window has an option</w:t>
      </w:r>
      <w:r>
        <w:rPr>
          <w:color w:val="231F20"/>
          <w:spacing w:val="80"/>
        </w:rPr>
        <w:t> </w:t>
      </w:r>
      <w:r>
        <w:rPr>
          <w:color w:val="231F20"/>
        </w:rPr>
        <w:t>to </w:t>
      </w:r>
      <w:r>
        <w:rPr>
          <w:color w:val="231F20"/>
          <w:spacing w:val="16"/>
        </w:rPr>
        <w:drawing>
          <wp:inline distT="0" distB="0" distL="0" distR="0">
            <wp:extent cx="82550" cy="82550"/>
            <wp:effectExtent l="0" t="0" r="0" b="0"/>
            <wp:docPr id="457" name="Image 457"/>
            <wp:cNvGraphicFramePr>
              <a:graphicFrameLocks/>
            </wp:cNvGraphicFramePr>
            <a:graphic>
              <a:graphicData uri="http://schemas.openxmlformats.org/drawingml/2006/picture">
                <pic:pic>
                  <pic:nvPicPr>
                    <pic:cNvPr id="457" name="Image 45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2"/>
        </w:rPr>
        <w:t> </w:t>
      </w:r>
      <w:r>
        <w:rPr>
          <w:rFonts w:ascii="Book Antiqua"/>
          <w:b/>
          <w:color w:val="231F20"/>
        </w:rPr>
        <w:t>Open workspace in new window </w:t>
      </w:r>
      <w:r>
        <w:rPr>
          <w:color w:val="231F20"/>
        </w:rPr>
        <w:t>that will open the default</w:t>
      </w:r>
      <w:r>
        <w:rPr>
          <w:color w:val="231F20"/>
          <w:spacing w:val="80"/>
        </w:rPr>
        <w:t> </w:t>
      </w:r>
      <w:r>
        <w:rPr>
          <w:color w:val="231F20"/>
        </w:rPr>
        <w:t>workspace for the found Navigator item in a new tab if you are logged </w:t>
      </w:r>
      <w:r>
        <w:rPr>
          <w:color w:val="231F20"/>
        </w:rPr>
        <w:t>on from a tab-enabled browser.</w:t>
      </w:r>
    </w:p>
    <w:p>
      <w:pPr>
        <w:pStyle w:val="Heading6"/>
        <w:spacing w:before="116"/>
        <w:ind w:left="2232"/>
      </w:pPr>
      <w:r>
        <w:rPr>
          <w:color w:val="231F20"/>
        </w:rPr>
        <w:t>On</w:t>
      </w:r>
      <w:r>
        <w:rPr>
          <w:color w:val="231F20"/>
          <w:spacing w:val="13"/>
        </w:rPr>
        <w:t> </w:t>
      </w:r>
      <w:r>
        <w:rPr>
          <w:color w:val="231F20"/>
          <w:spacing w:val="-2"/>
        </w:rPr>
        <w:t>demand</w:t>
      </w:r>
    </w:p>
    <w:p>
      <w:pPr>
        <w:pStyle w:val="BodyText"/>
        <w:spacing w:line="258" w:lineRule="exact"/>
        <w:ind w:left="2951"/>
      </w:pPr>
      <w:r>
        <w:rPr>
          <w:color w:val="231F20"/>
        </w:rPr>
        <w:t>You</w:t>
      </w:r>
      <w:r>
        <w:rPr>
          <w:color w:val="231F20"/>
          <w:spacing w:val="10"/>
        </w:rPr>
        <w:t> </w:t>
      </w:r>
      <w:r>
        <w:rPr>
          <w:color w:val="231F20"/>
        </w:rPr>
        <w:t>can</w:t>
      </w:r>
      <w:r>
        <w:rPr>
          <w:color w:val="231F20"/>
          <w:spacing w:val="10"/>
        </w:rPr>
        <w:t> </w:t>
      </w:r>
      <w:r>
        <w:rPr>
          <w:color w:val="231F20"/>
        </w:rPr>
        <w:t>open</w:t>
      </w:r>
      <w:r>
        <w:rPr>
          <w:color w:val="231F20"/>
          <w:spacing w:val="11"/>
        </w:rPr>
        <w:t> </w:t>
      </w:r>
      <w:r>
        <w:rPr>
          <w:color w:val="231F20"/>
        </w:rPr>
        <w:t>a</w:t>
      </w:r>
      <w:r>
        <w:rPr>
          <w:color w:val="231F20"/>
          <w:spacing w:val="10"/>
        </w:rPr>
        <w:t> </w:t>
      </w:r>
      <w:r>
        <w:rPr>
          <w:color w:val="231F20"/>
        </w:rPr>
        <w:t>workspace</w:t>
      </w:r>
      <w:r>
        <w:rPr>
          <w:color w:val="231F20"/>
          <w:spacing w:val="11"/>
        </w:rPr>
        <w:t> </w:t>
      </w:r>
      <w:r>
        <w:rPr>
          <w:color w:val="231F20"/>
        </w:rPr>
        <w:t>in</w:t>
      </w:r>
      <w:r>
        <w:rPr>
          <w:color w:val="231F20"/>
          <w:spacing w:val="10"/>
        </w:rPr>
        <w:t> </w:t>
      </w:r>
      <w:r>
        <w:rPr>
          <w:color w:val="231F20"/>
        </w:rPr>
        <w:t>a</w:t>
      </w:r>
      <w:r>
        <w:rPr>
          <w:color w:val="231F20"/>
          <w:spacing w:val="10"/>
        </w:rPr>
        <w:t> </w:t>
      </w:r>
      <w:r>
        <w:rPr>
          <w:color w:val="231F20"/>
        </w:rPr>
        <w:t>new</w:t>
      </w:r>
      <w:r>
        <w:rPr>
          <w:color w:val="231F20"/>
          <w:spacing w:val="11"/>
        </w:rPr>
        <w:t> </w:t>
      </w:r>
      <w:r>
        <w:rPr>
          <w:color w:val="231F20"/>
        </w:rPr>
        <w:t>tab</w:t>
      </w:r>
      <w:r>
        <w:rPr>
          <w:color w:val="231F20"/>
          <w:spacing w:val="10"/>
        </w:rPr>
        <w:t> </w:t>
      </w:r>
      <w:r>
        <w:rPr>
          <w:color w:val="231F20"/>
        </w:rPr>
        <w:t>from</w:t>
      </w:r>
      <w:r>
        <w:rPr>
          <w:color w:val="231F20"/>
          <w:spacing w:val="11"/>
        </w:rPr>
        <w:t> </w:t>
      </w:r>
      <w:r>
        <w:rPr>
          <w:color w:val="231F20"/>
        </w:rPr>
        <w:t>any</w:t>
      </w:r>
      <w:r>
        <w:rPr>
          <w:color w:val="231F20"/>
          <w:spacing w:val="10"/>
        </w:rPr>
        <w:t> </w:t>
      </w:r>
      <w:r>
        <w:rPr>
          <w:color w:val="231F20"/>
          <w:spacing w:val="-2"/>
        </w:rPr>
        <w:t>context:</w:t>
      </w:r>
    </w:p>
    <w:p>
      <w:pPr>
        <w:spacing w:after="0" w:line="258" w:lineRule="exact"/>
        <w:sectPr>
          <w:pgSz w:w="12240" w:h="15840"/>
          <w:pgMar w:header="0" w:footer="736" w:top="1140" w:bottom="920" w:left="1000" w:right="1060"/>
        </w:sectPr>
      </w:pPr>
    </w:p>
    <w:p>
      <w:pPr>
        <w:pStyle w:val="Heading6"/>
        <w:spacing w:before="83"/>
        <w:ind w:left="3200"/>
      </w:pPr>
      <w:bookmarkStart w:name="_bookmark29" w:id="67"/>
      <w:bookmarkEnd w:id="67"/>
      <w:r>
        <w:rPr>
          <w:b w:val="0"/>
        </w:rPr>
      </w:r>
      <w:r>
        <w:rPr>
          <w:b w:val="0"/>
          <w:position w:val="-1"/>
        </w:rPr>
        <w:drawing>
          <wp:inline distT="0" distB="0" distL="0" distR="0">
            <wp:extent cx="95250" cy="95250"/>
            <wp:effectExtent l="0" t="0" r="0" b="0"/>
            <wp:docPr id="458" name="Image 458"/>
            <wp:cNvGraphicFramePr>
              <a:graphicFrameLocks/>
            </wp:cNvGraphicFramePr>
            <a:graphic>
              <a:graphicData uri="http://schemas.openxmlformats.org/drawingml/2006/picture">
                <pic:pic>
                  <pic:nvPicPr>
                    <pic:cNvPr id="458" name="Image 458"/>
                    <pic:cNvPicPr/>
                  </pic:nvPicPr>
                  <pic:blipFill>
                    <a:blip r:embed="rId139"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80"/>
        </w:rPr>
        <w:t> </w:t>
      </w:r>
      <w:r>
        <w:rPr>
          <w:color w:val="231F20"/>
        </w:rPr>
        <w:t>Open</w:t>
      </w:r>
      <w:r>
        <w:rPr>
          <w:color w:val="231F20"/>
          <w:spacing w:val="34"/>
        </w:rPr>
        <w:t> </w:t>
      </w:r>
      <w:r>
        <w:rPr>
          <w:color w:val="231F20"/>
        </w:rPr>
        <w:t>a</w:t>
      </w:r>
      <w:r>
        <w:rPr>
          <w:color w:val="231F20"/>
          <w:spacing w:val="34"/>
        </w:rPr>
        <w:t> </w:t>
      </w:r>
      <w:r>
        <w:rPr>
          <w:color w:val="231F20"/>
        </w:rPr>
        <w:t>workspace</w:t>
      </w:r>
    </w:p>
    <w:p>
      <w:pPr>
        <w:pStyle w:val="BodyText"/>
        <w:spacing w:line="243" w:lineRule="exact"/>
        <w:ind w:left="3190"/>
      </w:pPr>
      <w:r>
        <w:rPr>
          <w:rFonts w:ascii="Futura MdCn BT"/>
          <w:color w:val="231F20"/>
        </w:rPr>
        <w:t>v</w:t>
      </w:r>
      <w:r>
        <w:rPr>
          <w:rFonts w:ascii="Futura MdCn BT"/>
          <w:color w:val="231F20"/>
          <w:spacing w:val="35"/>
        </w:rPr>
        <w:t>  </w:t>
      </w:r>
      <w:r>
        <w:rPr>
          <w:color w:val="231F20"/>
        </w:rPr>
        <w:t>Ctrl</w:t>
      </w:r>
      <w:r>
        <w:rPr>
          <w:color w:val="231F20"/>
          <w:spacing w:val="17"/>
        </w:rPr>
        <w:t> </w:t>
      </w:r>
      <w:r>
        <w:rPr>
          <w:color w:val="231F20"/>
        </w:rPr>
        <w:t>+</w:t>
      </w:r>
      <w:r>
        <w:rPr>
          <w:color w:val="231F20"/>
          <w:spacing w:val="16"/>
        </w:rPr>
        <w:t> </w:t>
      </w:r>
      <w:r>
        <w:rPr>
          <w:color w:val="231F20"/>
        </w:rPr>
        <w:t>Shift</w:t>
      </w:r>
      <w:r>
        <w:rPr>
          <w:color w:val="231F20"/>
          <w:spacing w:val="16"/>
        </w:rPr>
        <w:t> </w:t>
      </w:r>
      <w:r>
        <w:rPr>
          <w:color w:val="231F20"/>
        </w:rPr>
        <w:t>+</w:t>
      </w:r>
      <w:r>
        <w:rPr>
          <w:color w:val="231F20"/>
          <w:spacing w:val="16"/>
        </w:rPr>
        <w:t> </w:t>
      </w:r>
      <w:r>
        <w:rPr>
          <w:color w:val="231F20"/>
        </w:rPr>
        <w:t>click</w:t>
      </w:r>
      <w:r>
        <w:rPr>
          <w:color w:val="231F20"/>
          <w:spacing w:val="16"/>
        </w:rPr>
        <w:t> </w:t>
      </w:r>
      <w:r>
        <w:rPr>
          <w:color w:val="231F20"/>
        </w:rPr>
        <w:t>a</w:t>
      </w:r>
      <w:r>
        <w:rPr>
          <w:color w:val="231F20"/>
          <w:spacing w:val="16"/>
        </w:rPr>
        <w:t> </w:t>
      </w:r>
      <w:r>
        <w:rPr>
          <w:color w:val="231F20"/>
        </w:rPr>
        <w:t>Navigator</w:t>
      </w:r>
      <w:r>
        <w:rPr>
          <w:color w:val="231F20"/>
          <w:spacing w:val="16"/>
        </w:rPr>
        <w:t> </w:t>
      </w:r>
      <w:r>
        <w:rPr>
          <w:color w:val="231F20"/>
        </w:rPr>
        <w:t>item</w:t>
      </w:r>
      <w:r>
        <w:rPr>
          <w:color w:val="231F20"/>
          <w:spacing w:val="16"/>
        </w:rPr>
        <w:t> </w:t>
      </w:r>
      <w:r>
        <w:rPr>
          <w:color w:val="231F20"/>
        </w:rPr>
        <w:t>to</w:t>
      </w:r>
      <w:r>
        <w:rPr>
          <w:color w:val="231F20"/>
          <w:spacing w:val="16"/>
        </w:rPr>
        <w:t> </w:t>
      </w:r>
      <w:r>
        <w:rPr>
          <w:color w:val="231F20"/>
        </w:rPr>
        <w:t>open</w:t>
      </w:r>
      <w:r>
        <w:rPr>
          <w:color w:val="231F20"/>
          <w:spacing w:val="16"/>
        </w:rPr>
        <w:t> </w:t>
      </w:r>
      <w:r>
        <w:rPr>
          <w:color w:val="231F20"/>
        </w:rPr>
        <w:t>its</w:t>
      </w:r>
      <w:r>
        <w:rPr>
          <w:color w:val="231F20"/>
          <w:spacing w:val="16"/>
        </w:rPr>
        <w:t> </w:t>
      </w:r>
      <w:r>
        <w:rPr>
          <w:color w:val="231F20"/>
        </w:rPr>
        <w:t>default</w:t>
      </w:r>
      <w:r>
        <w:rPr>
          <w:color w:val="231F20"/>
          <w:spacing w:val="16"/>
        </w:rPr>
        <w:t> </w:t>
      </w:r>
      <w:r>
        <w:rPr>
          <w:color w:val="231F20"/>
          <w:spacing w:val="-2"/>
        </w:rPr>
        <w:t>workspace.</w:t>
      </w:r>
    </w:p>
    <w:p>
      <w:pPr>
        <w:spacing w:line="239" w:lineRule="exact" w:before="0"/>
        <w:ind w:left="3190" w:right="0" w:firstLine="0"/>
        <w:jc w:val="left"/>
        <w:rPr>
          <w:sz w:val="20"/>
        </w:rPr>
      </w:pPr>
      <w:r>
        <w:rPr>
          <w:rFonts w:ascii="Futura MdCn BT"/>
          <w:color w:val="231F20"/>
          <w:sz w:val="20"/>
        </w:rPr>
        <w:t>v</w:t>
      </w:r>
      <w:r>
        <w:rPr>
          <w:rFonts w:ascii="Futura MdCn BT"/>
          <w:color w:val="231F20"/>
          <w:spacing w:val="34"/>
          <w:sz w:val="20"/>
        </w:rPr>
        <w:t>  </w:t>
      </w:r>
      <w:r>
        <w:rPr>
          <w:color w:val="231F20"/>
          <w:sz w:val="20"/>
        </w:rPr>
        <w:t>Click</w:t>
      </w:r>
      <w:r>
        <w:rPr>
          <w:color w:val="231F20"/>
          <w:spacing w:val="16"/>
          <w:sz w:val="20"/>
        </w:rPr>
        <w:t> </w:t>
      </w:r>
      <w:r>
        <w:rPr>
          <w:color w:val="231F20"/>
          <w:spacing w:val="16"/>
          <w:position w:val="-1"/>
          <w:sz w:val="20"/>
        </w:rPr>
        <w:drawing>
          <wp:inline distT="0" distB="0" distL="0" distR="0">
            <wp:extent cx="101600" cy="101600"/>
            <wp:effectExtent l="0" t="0" r="0" b="0"/>
            <wp:docPr id="459" name="Image 459"/>
            <wp:cNvGraphicFramePr>
              <a:graphicFrameLocks/>
            </wp:cNvGraphicFramePr>
            <a:graphic>
              <a:graphicData uri="http://schemas.openxmlformats.org/drawingml/2006/picture">
                <pic:pic>
                  <pic:nvPicPr>
                    <pic:cNvPr id="459" name="Image 459"/>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7"/>
          <w:sz w:val="20"/>
        </w:rPr>
        <w:t> </w:t>
      </w:r>
      <w:r>
        <w:rPr>
          <w:rFonts w:ascii="Book Antiqua"/>
          <w:b/>
          <w:color w:val="231F20"/>
          <w:sz w:val="20"/>
        </w:rPr>
        <w:t>Workspace</w:t>
      </w:r>
      <w:r>
        <w:rPr>
          <w:rFonts w:ascii="Book Antiqua"/>
          <w:b/>
          <w:color w:val="231F20"/>
          <w:spacing w:val="15"/>
          <w:sz w:val="20"/>
        </w:rPr>
        <w:t> </w:t>
      </w:r>
      <w:r>
        <w:rPr>
          <w:rFonts w:ascii="Book Antiqua"/>
          <w:b/>
          <w:color w:val="231F20"/>
          <w:sz w:val="20"/>
        </w:rPr>
        <w:t>gallery</w:t>
      </w:r>
      <w:r>
        <w:rPr>
          <w:rFonts w:ascii="Book Antiqua"/>
          <w:b/>
          <w:color w:val="231F20"/>
          <w:spacing w:val="15"/>
          <w:sz w:val="20"/>
        </w:rPr>
        <w:t> </w:t>
      </w:r>
      <w:r>
        <w:rPr>
          <w:color w:val="231F20"/>
          <w:sz w:val="20"/>
        </w:rPr>
        <w:t>and</w:t>
      </w:r>
      <w:r>
        <w:rPr>
          <w:color w:val="231F20"/>
          <w:spacing w:val="15"/>
          <w:sz w:val="20"/>
        </w:rPr>
        <w:t> </w:t>
      </w:r>
      <w:r>
        <w:rPr>
          <w:color w:val="231F20"/>
          <w:sz w:val="20"/>
        </w:rPr>
        <w:t>Ctrl</w:t>
      </w:r>
      <w:r>
        <w:rPr>
          <w:color w:val="231F20"/>
          <w:spacing w:val="15"/>
          <w:sz w:val="20"/>
        </w:rPr>
        <w:t> </w:t>
      </w:r>
      <w:r>
        <w:rPr>
          <w:color w:val="231F20"/>
          <w:sz w:val="20"/>
        </w:rPr>
        <w:t>+</w:t>
      </w:r>
      <w:r>
        <w:rPr>
          <w:color w:val="231F20"/>
          <w:spacing w:val="15"/>
          <w:sz w:val="20"/>
        </w:rPr>
        <w:t> </w:t>
      </w:r>
      <w:r>
        <w:rPr>
          <w:color w:val="231F20"/>
          <w:sz w:val="20"/>
        </w:rPr>
        <w:t>Shift</w:t>
      </w:r>
      <w:r>
        <w:rPr>
          <w:color w:val="231F20"/>
          <w:spacing w:val="15"/>
          <w:sz w:val="20"/>
        </w:rPr>
        <w:t> </w:t>
      </w:r>
      <w:r>
        <w:rPr>
          <w:color w:val="231F20"/>
          <w:sz w:val="20"/>
        </w:rPr>
        <w:t>+</w:t>
      </w:r>
      <w:r>
        <w:rPr>
          <w:color w:val="231F20"/>
          <w:spacing w:val="15"/>
          <w:sz w:val="20"/>
        </w:rPr>
        <w:t> </w:t>
      </w:r>
      <w:r>
        <w:rPr>
          <w:color w:val="231F20"/>
          <w:sz w:val="20"/>
        </w:rPr>
        <w:t>click</w:t>
      </w:r>
      <w:r>
        <w:rPr>
          <w:color w:val="231F20"/>
          <w:spacing w:val="15"/>
          <w:sz w:val="20"/>
        </w:rPr>
        <w:t> </w:t>
      </w:r>
      <w:r>
        <w:rPr>
          <w:color w:val="231F20"/>
          <w:sz w:val="20"/>
        </w:rPr>
        <w:t>the</w:t>
      </w:r>
      <w:r>
        <w:rPr>
          <w:color w:val="231F20"/>
          <w:spacing w:val="15"/>
          <w:sz w:val="20"/>
        </w:rPr>
        <w:t> </w:t>
      </w:r>
      <w:r>
        <w:rPr>
          <w:color w:val="231F20"/>
          <w:spacing w:val="-2"/>
          <w:sz w:val="20"/>
        </w:rPr>
        <w:t>workspace.</w:t>
      </w:r>
    </w:p>
    <w:p>
      <w:pPr>
        <w:pStyle w:val="BodyText"/>
        <w:spacing w:line="213" w:lineRule="auto" w:before="8"/>
        <w:ind w:left="3406" w:right="493" w:hanging="216"/>
      </w:pPr>
      <w:r>
        <w:rPr>
          <w:rFonts w:ascii="Futura MdCn BT"/>
          <w:color w:val="231F20"/>
        </w:rPr>
        <w:t>v</w:t>
      </w:r>
      <w:r>
        <w:rPr>
          <w:rFonts w:ascii="Futura MdCn BT"/>
          <w:color w:val="231F20"/>
          <w:spacing w:val="80"/>
        </w:rPr>
        <w:t> </w:t>
      </w:r>
      <w:r>
        <w:rPr>
          <w:color w:val="231F20"/>
        </w:rPr>
        <w:t>Right-click the active Navigator item, point to </w:t>
      </w:r>
      <w:r>
        <w:rPr>
          <w:rFonts w:ascii="Book Antiqua"/>
          <w:b/>
          <w:color w:val="231F20"/>
        </w:rPr>
        <w:t>Workspace</w:t>
      </w:r>
      <w:r>
        <w:rPr>
          <w:color w:val="231F20"/>
        </w:rPr>
        <w:t>, and Ctrl </w:t>
      </w:r>
      <w:r>
        <w:rPr>
          <w:color w:val="231F20"/>
        </w:rPr>
        <w:t>+</w:t>
      </w:r>
      <w:r>
        <w:rPr>
          <w:color w:val="231F20"/>
        </w:rPr>
        <w:t> Shift + click the workspace that you want to open.</w:t>
      </w:r>
    </w:p>
    <w:p>
      <w:pPr>
        <w:pStyle w:val="BodyText"/>
        <w:spacing w:line="213" w:lineRule="auto"/>
        <w:ind w:left="3406" w:right="274" w:hanging="216"/>
      </w:pPr>
      <w:r>
        <w:rPr>
          <w:rFonts w:ascii="Futura MdCn BT"/>
          <w:color w:val="231F20"/>
        </w:rPr>
        <w:t>v</w:t>
      </w:r>
      <w:r>
        <w:rPr>
          <w:rFonts w:ascii="Futura MdCn BT"/>
          <w:color w:val="231F20"/>
          <w:spacing w:val="80"/>
        </w:rPr>
        <w:t> </w:t>
      </w:r>
      <w:r>
        <w:rPr>
          <w:color w:val="231F20"/>
        </w:rPr>
        <w:t>View</w:t>
      </w:r>
      <w:r>
        <w:rPr>
          <w:color w:val="231F20"/>
          <w:spacing w:val="16"/>
        </w:rPr>
        <w:t> </w:t>
      </w:r>
      <w:r>
        <w:rPr>
          <w:color w:val="231F20"/>
        </w:rPr>
        <w:t>&gt;</w:t>
      </w:r>
      <w:r>
        <w:rPr>
          <w:color w:val="231F20"/>
          <w:spacing w:val="16"/>
        </w:rPr>
        <w:t> </w:t>
      </w:r>
      <w:r>
        <w:rPr>
          <w:color w:val="231F20"/>
        </w:rPr>
        <w:t>Workspace</w:t>
      </w:r>
      <w:r>
        <w:rPr>
          <w:color w:val="231F20"/>
          <w:spacing w:val="16"/>
        </w:rPr>
        <w:t> </w:t>
      </w:r>
      <w:r>
        <w:rPr>
          <w:color w:val="231F20"/>
        </w:rPr>
        <w:t>&gt;</w:t>
      </w:r>
      <w:r>
        <w:rPr>
          <w:color w:val="231F20"/>
          <w:spacing w:val="16"/>
        </w:rPr>
        <w:t> </w:t>
      </w:r>
      <w:r>
        <w:rPr>
          <w:color w:val="231F20"/>
        </w:rPr>
        <w:t>Ctrl</w:t>
      </w:r>
      <w:r>
        <w:rPr>
          <w:color w:val="231F20"/>
          <w:spacing w:val="16"/>
        </w:rPr>
        <w:t> </w:t>
      </w:r>
      <w:r>
        <w:rPr>
          <w:color w:val="231F20"/>
        </w:rPr>
        <w:t>+</w:t>
      </w:r>
      <w:r>
        <w:rPr>
          <w:color w:val="231F20"/>
          <w:spacing w:val="16"/>
        </w:rPr>
        <w:t> </w:t>
      </w:r>
      <w:r>
        <w:rPr>
          <w:color w:val="231F20"/>
        </w:rPr>
        <w:t>Shift</w:t>
      </w:r>
      <w:r>
        <w:rPr>
          <w:color w:val="231F20"/>
          <w:spacing w:val="16"/>
        </w:rPr>
        <w:t> </w:t>
      </w:r>
      <w:r>
        <w:rPr>
          <w:color w:val="231F20"/>
        </w:rPr>
        <w:t>+</w:t>
      </w:r>
      <w:r>
        <w:rPr>
          <w:color w:val="231F20"/>
          <w:spacing w:val="16"/>
        </w:rPr>
        <w:t> </w:t>
      </w:r>
      <w:r>
        <w:rPr>
          <w:color w:val="231F20"/>
        </w:rPr>
        <w:t>click</w:t>
      </w:r>
      <w:r>
        <w:rPr>
          <w:color w:val="231F20"/>
          <w:spacing w:val="16"/>
        </w:rPr>
        <w:t> </w:t>
      </w:r>
      <w:r>
        <w:rPr>
          <w:color w:val="231F20"/>
        </w:rPr>
        <w:t>the</w:t>
      </w:r>
      <w:r>
        <w:rPr>
          <w:color w:val="231F20"/>
          <w:spacing w:val="16"/>
        </w:rPr>
        <w:t> </w:t>
      </w:r>
      <w:r>
        <w:rPr>
          <w:color w:val="231F20"/>
        </w:rPr>
        <w:t>workspace</w:t>
      </w:r>
      <w:r>
        <w:rPr>
          <w:color w:val="231F20"/>
          <w:spacing w:val="16"/>
        </w:rPr>
        <w:t> </w:t>
      </w:r>
      <w:r>
        <w:rPr>
          <w:color w:val="231F20"/>
        </w:rPr>
        <w:t>that</w:t>
      </w:r>
      <w:r>
        <w:rPr>
          <w:color w:val="231F20"/>
          <w:spacing w:val="16"/>
        </w:rPr>
        <w:t> </w:t>
      </w:r>
      <w:r>
        <w:rPr>
          <w:color w:val="231F20"/>
        </w:rPr>
        <w:t>you</w:t>
      </w:r>
      <w:r>
        <w:rPr>
          <w:color w:val="231F20"/>
          <w:spacing w:val="16"/>
        </w:rPr>
        <w:t> </w:t>
      </w:r>
      <w:r>
        <w:rPr>
          <w:color w:val="231F20"/>
        </w:rPr>
        <w:t>want</w:t>
      </w:r>
      <w:r>
        <w:rPr>
          <w:color w:val="231F20"/>
          <w:spacing w:val="16"/>
        </w:rPr>
        <w:t> </w:t>
      </w:r>
      <w:r>
        <w:rPr>
          <w:color w:val="231F20"/>
        </w:rPr>
        <w:t>to </w:t>
      </w:r>
      <w:r>
        <w:rPr>
          <w:color w:val="231F20"/>
          <w:spacing w:val="-2"/>
        </w:rPr>
        <w:t>open.</w:t>
      </w:r>
    </w:p>
    <w:p>
      <w:pPr>
        <w:pStyle w:val="Heading6"/>
        <w:spacing w:before="116"/>
        <w:ind w:left="3190"/>
      </w:pPr>
      <w:r>
        <w:rPr>
          <w:b w:val="0"/>
          <w:position w:val="-1"/>
        </w:rPr>
        <w:drawing>
          <wp:inline distT="0" distB="0" distL="0" distR="0">
            <wp:extent cx="101600" cy="101600"/>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7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80"/>
        </w:rPr>
        <w:t> </w:t>
      </w:r>
      <w:r>
        <w:rPr>
          <w:color w:val="231F20"/>
        </w:rPr>
        <w:t>Link</w:t>
      </w:r>
      <w:r>
        <w:rPr>
          <w:color w:val="231F20"/>
          <w:spacing w:val="30"/>
        </w:rPr>
        <w:t> </w:t>
      </w:r>
      <w:r>
        <w:rPr>
          <w:color w:val="231F20"/>
        </w:rPr>
        <w:t>to</w:t>
      </w:r>
      <w:r>
        <w:rPr>
          <w:color w:val="231F20"/>
          <w:spacing w:val="30"/>
        </w:rPr>
        <w:t> </w:t>
      </w:r>
      <w:r>
        <w:rPr>
          <w:color w:val="231F20"/>
        </w:rPr>
        <w:t>a</w:t>
      </w:r>
      <w:r>
        <w:rPr>
          <w:color w:val="231F20"/>
          <w:spacing w:val="30"/>
        </w:rPr>
        <w:t> </w:t>
      </w:r>
      <w:r>
        <w:rPr>
          <w:color w:val="231F20"/>
        </w:rPr>
        <w:t>workspace</w:t>
      </w:r>
    </w:p>
    <w:p>
      <w:pPr>
        <w:pStyle w:val="BodyText"/>
        <w:spacing w:line="213" w:lineRule="auto" w:before="11"/>
        <w:ind w:left="3406" w:right="202" w:hanging="216"/>
        <w:jc w:val="both"/>
      </w:pPr>
      <w:r>
        <w:rPr>
          <w:rFonts w:ascii="Futura MdCn BT"/>
          <w:color w:val="231F20"/>
        </w:rPr>
        <w:t>v</w:t>
      </w:r>
      <w:r>
        <w:rPr>
          <w:rFonts w:ascii="Futura MdCn BT"/>
          <w:color w:val="231F20"/>
          <w:spacing w:val="80"/>
        </w:rPr>
        <w:t> </w:t>
      </w:r>
      <w:r>
        <w:rPr>
          <w:color w:val="231F20"/>
        </w:rPr>
        <w:t>Ctrl + Shift + click the link anchor. If there are multiple choices, click the one you want.</w:t>
      </w:r>
    </w:p>
    <w:p>
      <w:pPr>
        <w:pStyle w:val="BodyText"/>
        <w:spacing w:line="213" w:lineRule="auto"/>
        <w:ind w:left="3406" w:right="286" w:hanging="216"/>
        <w:jc w:val="both"/>
      </w:pPr>
      <w:r>
        <w:rPr>
          <w:rFonts w:ascii="Futura MdCn BT"/>
          <w:color w:val="231F20"/>
        </w:rPr>
        <w:t>v</w:t>
      </w:r>
      <w:r>
        <w:rPr>
          <w:rFonts w:ascii="Futura MdCn BT"/>
          <w:color w:val="231F20"/>
          <w:spacing w:val="80"/>
        </w:rPr>
        <w:t> </w:t>
      </w:r>
      <w:r>
        <w:rPr>
          <w:color w:val="231F20"/>
        </w:rPr>
        <w:t>Right-click the source of a defined link (Navigator item, table view row, pie chart slice, bar chart bar, plot chart point, area chart point), point to </w:t>
      </w:r>
      <w:r>
        <w:rPr>
          <w:rFonts w:ascii="Book Antiqua"/>
          <w:b/>
          <w:color w:val="231F20"/>
        </w:rPr>
        <w:t>Link to</w:t>
      </w:r>
      <w:r>
        <w:rPr>
          <w:color w:val="231F20"/>
        </w:rPr>
        <w:t>, and Ctrl + Shift + click the link name.</w:t>
      </w:r>
    </w:p>
    <w:p>
      <w:pPr>
        <w:pStyle w:val="Heading6"/>
        <w:spacing w:before="116"/>
        <w:ind w:left="3190"/>
      </w:pPr>
      <w:r>
        <w:rPr>
          <w:b w:val="0"/>
          <w:position w:val="-1"/>
        </w:rPr>
        <w:drawing>
          <wp:inline distT="0" distB="0" distL="0" distR="0">
            <wp:extent cx="101600" cy="101600"/>
            <wp:effectExtent l="0" t="0" r="0" b="0"/>
            <wp:docPr id="461" name="Image 461"/>
            <wp:cNvGraphicFramePr>
              <a:graphicFrameLocks/>
            </wp:cNvGraphicFramePr>
            <a:graphic>
              <a:graphicData uri="http://schemas.openxmlformats.org/drawingml/2006/picture">
                <pic:pic>
                  <pic:nvPicPr>
                    <pic:cNvPr id="461" name="Image 461"/>
                    <pic:cNvPicPr/>
                  </pic:nvPicPr>
                  <pic:blipFill>
                    <a:blip r:embed="rId10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72"/>
        </w:rPr>
        <w:t> </w:t>
      </w:r>
      <w:r>
        <w:rPr>
          <w:color w:val="231F20"/>
        </w:rPr>
        <w:t>Open</w:t>
      </w:r>
      <w:r>
        <w:rPr>
          <w:color w:val="231F20"/>
          <w:spacing w:val="20"/>
        </w:rPr>
        <w:t> </w:t>
      </w:r>
      <w:r>
        <w:rPr>
          <w:color w:val="231F20"/>
        </w:rPr>
        <w:t>a</w:t>
      </w:r>
      <w:r>
        <w:rPr>
          <w:color w:val="231F20"/>
          <w:spacing w:val="20"/>
        </w:rPr>
        <w:t> </w:t>
      </w:r>
      <w:r>
        <w:rPr>
          <w:color w:val="231F20"/>
        </w:rPr>
        <w:t>found</w:t>
      </w:r>
      <w:r>
        <w:rPr>
          <w:color w:val="231F20"/>
          <w:spacing w:val="20"/>
        </w:rPr>
        <w:t> </w:t>
      </w:r>
      <w:r>
        <w:rPr>
          <w:color w:val="231F20"/>
        </w:rPr>
        <w:t>Navigator</w:t>
      </w:r>
      <w:r>
        <w:rPr>
          <w:color w:val="231F20"/>
          <w:spacing w:val="20"/>
        </w:rPr>
        <w:t> </w:t>
      </w:r>
      <w:r>
        <w:rPr>
          <w:color w:val="231F20"/>
        </w:rPr>
        <w:t>item</w:t>
      </w:r>
      <w:r>
        <w:rPr>
          <w:color w:val="231F20"/>
          <w:spacing w:val="20"/>
        </w:rPr>
        <w:t> </w:t>
      </w:r>
      <w:r>
        <w:rPr>
          <w:color w:val="231F20"/>
        </w:rPr>
        <w:t>at</w:t>
      </w:r>
      <w:r>
        <w:rPr>
          <w:color w:val="231F20"/>
          <w:spacing w:val="20"/>
        </w:rPr>
        <w:t> </w:t>
      </w:r>
      <w:r>
        <w:rPr>
          <w:color w:val="231F20"/>
        </w:rPr>
        <w:t>its</w:t>
      </w:r>
      <w:r>
        <w:rPr>
          <w:color w:val="231F20"/>
          <w:spacing w:val="20"/>
        </w:rPr>
        <w:t> </w:t>
      </w:r>
      <w:r>
        <w:rPr>
          <w:color w:val="231F20"/>
        </w:rPr>
        <w:t>default</w:t>
      </w:r>
      <w:r>
        <w:rPr>
          <w:color w:val="231F20"/>
          <w:spacing w:val="20"/>
        </w:rPr>
        <w:t> </w:t>
      </w:r>
      <w:r>
        <w:rPr>
          <w:color w:val="231F20"/>
        </w:rPr>
        <w:t>workspace</w:t>
      </w:r>
    </w:p>
    <w:p>
      <w:pPr>
        <w:pStyle w:val="ListParagraph"/>
        <w:numPr>
          <w:ilvl w:val="0"/>
          <w:numId w:val="11"/>
        </w:numPr>
        <w:tabs>
          <w:tab w:pos="3506" w:val="left" w:leader="none"/>
        </w:tabs>
        <w:spacing w:line="213" w:lineRule="auto" w:before="11" w:after="0"/>
        <w:ind w:left="3506" w:right="346" w:hanging="316"/>
        <w:jc w:val="left"/>
        <w:rPr>
          <w:sz w:val="20"/>
        </w:rPr>
      </w:pPr>
      <w:r>
        <w:rPr>
          <w:color w:val="231F20"/>
          <w:sz w:val="20"/>
        </w:rPr>
        <w:t>In the Navigator view toolbar, click </w:t>
      </w:r>
      <w:r>
        <w:rPr>
          <w:color w:val="231F20"/>
          <w:spacing w:val="15"/>
          <w:position w:val="-1"/>
          <w:sz w:val="20"/>
        </w:rPr>
        <w:drawing>
          <wp:inline distT="0" distB="0" distL="0" distR="0">
            <wp:extent cx="101600" cy="101600"/>
            <wp:effectExtent l="0" t="0" r="0" b="0"/>
            <wp:docPr id="462" name="Image 462"/>
            <wp:cNvGraphicFramePr>
              <a:graphicFrameLocks/>
            </wp:cNvGraphicFramePr>
            <a:graphic>
              <a:graphicData uri="http://schemas.openxmlformats.org/drawingml/2006/picture">
                <pic:pic>
                  <pic:nvPicPr>
                    <pic:cNvPr id="462" name="Image 462"/>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Find</w:t>
      </w:r>
      <w:r>
        <w:rPr>
          <w:color w:val="231F20"/>
          <w:sz w:val="20"/>
        </w:rPr>
        <w:t>, enter the find criteria and click </w:t>
      </w:r>
      <w:r>
        <w:rPr>
          <w:rFonts w:ascii="Book Antiqua"/>
          <w:b/>
          <w:color w:val="231F20"/>
          <w:sz w:val="20"/>
        </w:rPr>
        <w:t>Find</w:t>
      </w:r>
      <w:r>
        <w:rPr>
          <w:color w:val="231F20"/>
          <w:sz w:val="20"/>
        </w:rPr>
        <w:t>.</w:t>
      </w:r>
    </w:p>
    <w:p>
      <w:pPr>
        <w:pStyle w:val="ListParagraph"/>
        <w:numPr>
          <w:ilvl w:val="0"/>
          <w:numId w:val="11"/>
        </w:numPr>
        <w:tabs>
          <w:tab w:pos="3506" w:val="left" w:leader="none"/>
        </w:tabs>
        <w:spacing w:line="213" w:lineRule="auto" w:before="0" w:after="0"/>
        <w:ind w:left="3506" w:right="463" w:hanging="316"/>
        <w:jc w:val="left"/>
        <w:rPr>
          <w:sz w:val="20"/>
        </w:rPr>
      </w:pPr>
      <w:r>
        <w:rPr>
          <w:color w:val="231F20"/>
          <w:sz w:val="20"/>
        </w:rPr>
        <w:t>From the list of Navigator items that is displayed in the </w:t>
      </w:r>
      <w:r>
        <w:rPr>
          <w:rFonts w:ascii="Book Antiqua"/>
          <w:b/>
          <w:color w:val="231F20"/>
          <w:sz w:val="20"/>
        </w:rPr>
        <w:t>Find results </w:t>
      </w:r>
      <w:r>
        <w:rPr>
          <w:color w:val="231F20"/>
          <w:sz w:val="20"/>
        </w:rPr>
        <w:t>area, point to a row and Ctrl + Shift + click to open the default</w:t>
      </w:r>
      <w:r>
        <w:rPr>
          <w:color w:val="231F20"/>
          <w:spacing w:val="40"/>
          <w:sz w:val="20"/>
        </w:rPr>
        <w:t> </w:t>
      </w:r>
      <w:r>
        <w:rPr>
          <w:color w:val="231F20"/>
          <w:sz w:val="20"/>
        </w:rPr>
        <w:t>workspace for that Navigator item in a new tab.</w:t>
      </w:r>
    </w:p>
    <w:p>
      <w:pPr>
        <w:pStyle w:val="Heading6"/>
        <w:spacing w:before="115"/>
        <w:ind w:left="3190"/>
      </w:pPr>
      <w:r>
        <w:rPr>
          <w:b w:val="0"/>
          <w:position w:val="-1"/>
        </w:rPr>
        <w:drawing>
          <wp:inline distT="0" distB="0" distL="0" distR="0">
            <wp:extent cx="101600" cy="88900"/>
            <wp:effectExtent l="0" t="0" r="0" b="0"/>
            <wp:docPr id="463" name="Image 463"/>
            <wp:cNvGraphicFramePr>
              <a:graphicFrameLocks/>
            </wp:cNvGraphicFramePr>
            <a:graphic>
              <a:graphicData uri="http://schemas.openxmlformats.org/drawingml/2006/picture">
                <pic:pic>
                  <pic:nvPicPr>
                    <pic:cNvPr id="463" name="Image 463"/>
                    <pic:cNvPicPr/>
                  </pic:nvPicPr>
                  <pic:blipFill>
                    <a:blip r:embed="rId78" cstate="print"/>
                    <a:stretch>
                      <a:fillRect/>
                    </a:stretch>
                  </pic:blipFill>
                  <pic:spPr>
                    <a:xfrm>
                      <a:off x="0" y="0"/>
                      <a:ext cx="101600" cy="88900"/>
                    </a:xfrm>
                    <a:prstGeom prst="rect">
                      <a:avLst/>
                    </a:prstGeom>
                  </pic:spPr>
                </pic:pic>
              </a:graphicData>
            </a:graphic>
          </wp:inline>
        </w:drawing>
      </w:r>
      <w:r>
        <w:rPr>
          <w:b w:val="0"/>
          <w:position w:val="-1"/>
        </w:rPr>
      </w:r>
      <w:r>
        <w:rPr>
          <w:rFonts w:ascii="Times New Roman"/>
          <w:b w:val="0"/>
          <w:spacing w:val="73"/>
        </w:rPr>
        <w:t> </w:t>
      </w:r>
      <w:r>
        <w:rPr>
          <w:color w:val="231F20"/>
        </w:rPr>
        <w:t>Open</w:t>
      </w:r>
      <w:r>
        <w:rPr>
          <w:color w:val="231F20"/>
          <w:spacing w:val="21"/>
        </w:rPr>
        <w:t> </w:t>
      </w:r>
      <w:r>
        <w:rPr>
          <w:color w:val="231F20"/>
        </w:rPr>
        <w:t>a</w:t>
      </w:r>
      <w:r>
        <w:rPr>
          <w:color w:val="231F20"/>
          <w:spacing w:val="21"/>
        </w:rPr>
        <w:t> </w:t>
      </w:r>
      <w:r>
        <w:rPr>
          <w:color w:val="231F20"/>
        </w:rPr>
        <w:t>Navigator</w:t>
      </w:r>
      <w:r>
        <w:rPr>
          <w:color w:val="231F20"/>
          <w:spacing w:val="21"/>
        </w:rPr>
        <w:t> </w:t>
      </w:r>
      <w:r>
        <w:rPr>
          <w:color w:val="231F20"/>
        </w:rPr>
        <w:t>view</w:t>
      </w:r>
      <w:r>
        <w:rPr>
          <w:color w:val="231F20"/>
          <w:spacing w:val="21"/>
        </w:rPr>
        <w:t> </w:t>
      </w:r>
      <w:r>
        <w:rPr>
          <w:color w:val="231F20"/>
        </w:rPr>
        <w:t>at</w:t>
      </w:r>
      <w:r>
        <w:rPr>
          <w:color w:val="231F20"/>
          <w:spacing w:val="21"/>
        </w:rPr>
        <w:t> </w:t>
      </w:r>
      <w:r>
        <w:rPr>
          <w:color w:val="231F20"/>
        </w:rPr>
        <w:t>its</w:t>
      </w:r>
      <w:r>
        <w:rPr>
          <w:color w:val="231F20"/>
          <w:spacing w:val="21"/>
        </w:rPr>
        <w:t> </w:t>
      </w:r>
      <w:r>
        <w:rPr>
          <w:color w:val="231F20"/>
        </w:rPr>
        <w:t>default</w:t>
      </w:r>
      <w:r>
        <w:rPr>
          <w:color w:val="231F20"/>
          <w:spacing w:val="21"/>
        </w:rPr>
        <w:t> </w:t>
      </w:r>
      <w:r>
        <w:rPr>
          <w:color w:val="231F20"/>
        </w:rPr>
        <w:t>workspace</w:t>
      </w:r>
    </w:p>
    <w:p>
      <w:pPr>
        <w:pStyle w:val="BodyText"/>
        <w:spacing w:line="243" w:lineRule="exact"/>
        <w:ind w:left="3190"/>
      </w:pPr>
      <w:r>
        <w:rPr>
          <w:rFonts w:ascii="Futura MdCn BT"/>
          <w:color w:val="231F20"/>
        </w:rPr>
        <w:t>v</w:t>
      </w:r>
      <w:r>
        <w:rPr>
          <w:rFonts w:ascii="Futura MdCn BT"/>
          <w:color w:val="231F20"/>
          <w:spacing w:val="32"/>
        </w:rPr>
        <w:t>  </w:t>
      </w:r>
      <w:r>
        <w:rPr>
          <w:color w:val="231F20"/>
        </w:rPr>
        <w:t>In</w:t>
      </w:r>
      <w:r>
        <w:rPr>
          <w:color w:val="231F20"/>
          <w:spacing w:val="12"/>
        </w:rPr>
        <w:t> </w:t>
      </w:r>
      <w:r>
        <w:rPr>
          <w:color w:val="231F20"/>
        </w:rPr>
        <w:t>the</w:t>
      </w:r>
      <w:r>
        <w:rPr>
          <w:color w:val="231F20"/>
          <w:spacing w:val="13"/>
        </w:rPr>
        <w:t> </w:t>
      </w:r>
      <w:r>
        <w:rPr>
          <w:color w:val="231F20"/>
        </w:rPr>
        <w:t>Navigator</w:t>
      </w:r>
      <w:r>
        <w:rPr>
          <w:color w:val="231F20"/>
          <w:spacing w:val="13"/>
        </w:rPr>
        <w:t> </w:t>
      </w:r>
      <w:r>
        <w:rPr>
          <w:color w:val="231F20"/>
        </w:rPr>
        <w:t>view</w:t>
      </w:r>
      <w:r>
        <w:rPr>
          <w:color w:val="231F20"/>
          <w:spacing w:val="12"/>
        </w:rPr>
        <w:t> </w:t>
      </w:r>
      <w:r>
        <w:rPr>
          <w:color w:val="231F20"/>
        </w:rPr>
        <w:t>toolbar,</w:t>
      </w:r>
      <w:r>
        <w:rPr>
          <w:color w:val="231F20"/>
          <w:spacing w:val="13"/>
        </w:rPr>
        <w:t> </w:t>
      </w:r>
      <w:r>
        <w:rPr>
          <w:color w:val="231F20"/>
        </w:rPr>
        <w:t>click</w:t>
      </w:r>
      <w:r>
        <w:rPr>
          <w:color w:val="231F20"/>
          <w:spacing w:val="13"/>
        </w:rPr>
        <w:t> </w:t>
      </w:r>
      <w:r>
        <w:rPr>
          <w:color w:val="231F20"/>
        </w:rPr>
        <w:t>the</w:t>
      </w:r>
      <w:r>
        <w:rPr>
          <w:color w:val="231F20"/>
          <w:spacing w:val="13"/>
        </w:rPr>
        <w:t> </w:t>
      </w:r>
      <w:r>
        <w:rPr>
          <w:color w:val="231F20"/>
        </w:rPr>
        <w:t>View</w:t>
      </w:r>
      <w:r>
        <w:rPr>
          <w:color w:val="231F20"/>
          <w:spacing w:val="11"/>
        </w:rPr>
        <w:t> </w:t>
      </w:r>
      <w:r>
        <w:rPr>
          <w:color w:val="231F20"/>
          <w:spacing w:val="15"/>
          <w:position w:val="-1"/>
        </w:rPr>
        <w:drawing>
          <wp:inline distT="0" distB="0" distL="0" distR="0">
            <wp:extent cx="101600" cy="101600"/>
            <wp:effectExtent l="0" t="0" r="0" b="0"/>
            <wp:docPr id="464" name="Image 464"/>
            <wp:cNvGraphicFramePr>
              <a:graphicFrameLocks/>
            </wp:cNvGraphicFramePr>
            <a:graphic>
              <a:graphicData uri="http://schemas.openxmlformats.org/drawingml/2006/picture">
                <pic:pic>
                  <pic:nvPicPr>
                    <pic:cNvPr id="464" name="Image 464"/>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5"/>
        </w:rPr>
        <w:t> </w:t>
      </w:r>
      <w:r>
        <w:rPr>
          <w:color w:val="231F20"/>
        </w:rPr>
        <w:t>list</w:t>
      </w:r>
      <w:r>
        <w:rPr>
          <w:color w:val="231F20"/>
          <w:spacing w:val="13"/>
        </w:rPr>
        <w:t> </w:t>
      </w:r>
      <w:r>
        <w:rPr>
          <w:color w:val="231F20"/>
        </w:rPr>
        <w:t>box</w:t>
      </w:r>
      <w:r>
        <w:rPr>
          <w:color w:val="231F20"/>
          <w:spacing w:val="13"/>
        </w:rPr>
        <w:t> </w:t>
      </w:r>
      <w:r>
        <w:rPr>
          <w:color w:val="231F20"/>
        </w:rPr>
        <w:t>and</w:t>
      </w:r>
      <w:r>
        <w:rPr>
          <w:color w:val="231F20"/>
          <w:spacing w:val="13"/>
        </w:rPr>
        <w:t> </w:t>
      </w:r>
      <w:r>
        <w:rPr>
          <w:color w:val="231F20"/>
        </w:rPr>
        <w:t>Ctrl</w:t>
      </w:r>
      <w:r>
        <w:rPr>
          <w:color w:val="231F20"/>
          <w:spacing w:val="12"/>
        </w:rPr>
        <w:t> </w:t>
      </w:r>
      <w:r>
        <w:rPr>
          <w:color w:val="231F20"/>
        </w:rPr>
        <w:t>+</w:t>
      </w:r>
      <w:r>
        <w:rPr>
          <w:color w:val="231F20"/>
          <w:spacing w:val="13"/>
        </w:rPr>
        <w:t> </w:t>
      </w:r>
      <w:r>
        <w:rPr>
          <w:color w:val="231F20"/>
          <w:spacing w:val="-2"/>
        </w:rPr>
        <w:t>Shift</w:t>
      </w:r>
    </w:p>
    <w:p>
      <w:pPr>
        <w:pStyle w:val="BodyText"/>
        <w:spacing w:line="239" w:lineRule="exact"/>
        <w:ind w:left="3406"/>
      </w:pPr>
      <w:r>
        <w:rPr>
          <w:color w:val="231F20"/>
        </w:rPr>
        <w:t>+</w:t>
      </w:r>
      <w:r>
        <w:rPr>
          <w:color w:val="231F20"/>
          <w:spacing w:val="17"/>
        </w:rPr>
        <w:t> </w:t>
      </w:r>
      <w:r>
        <w:rPr>
          <w:color w:val="231F20"/>
        </w:rPr>
        <w:t>click</w:t>
      </w:r>
      <w:r>
        <w:rPr>
          <w:color w:val="231F20"/>
          <w:spacing w:val="17"/>
        </w:rPr>
        <w:t> </w:t>
      </w:r>
      <w:r>
        <w:rPr>
          <w:color w:val="231F20"/>
        </w:rPr>
        <w:t>the</w:t>
      </w:r>
      <w:r>
        <w:rPr>
          <w:color w:val="231F20"/>
          <w:spacing w:val="17"/>
        </w:rPr>
        <w:t> </w:t>
      </w:r>
      <w:r>
        <w:rPr>
          <w:color w:val="231F20"/>
        </w:rPr>
        <w:t>Navigator</w:t>
      </w:r>
      <w:r>
        <w:rPr>
          <w:color w:val="231F20"/>
          <w:spacing w:val="17"/>
        </w:rPr>
        <w:t> </w:t>
      </w:r>
      <w:r>
        <w:rPr>
          <w:color w:val="231F20"/>
          <w:spacing w:val="-4"/>
        </w:rPr>
        <w:t>view.</w:t>
      </w:r>
    </w:p>
    <w:p>
      <w:pPr>
        <w:pStyle w:val="BodyText"/>
        <w:spacing w:line="239" w:lineRule="exact"/>
        <w:ind w:left="3190"/>
      </w:pPr>
      <w:r>
        <w:rPr>
          <w:rFonts w:ascii="Futura MdCn BT"/>
          <w:color w:val="231F20"/>
          <w:w w:val="105"/>
        </w:rPr>
        <w:t>v</w:t>
      </w:r>
      <w:r>
        <w:rPr>
          <w:rFonts w:ascii="Futura MdCn BT"/>
          <w:color w:val="231F20"/>
          <w:spacing w:val="74"/>
          <w:w w:val="105"/>
        </w:rPr>
        <w:t> </w:t>
      </w:r>
      <w:r>
        <w:rPr>
          <w:color w:val="231F20"/>
          <w:w w:val="105"/>
        </w:rPr>
        <w:t>View</w:t>
      </w:r>
      <w:r>
        <w:rPr>
          <w:color w:val="231F20"/>
          <w:spacing w:val="-2"/>
          <w:w w:val="105"/>
        </w:rPr>
        <w:t> </w:t>
      </w:r>
      <w:r>
        <w:rPr>
          <w:color w:val="231F20"/>
          <w:w w:val="105"/>
        </w:rPr>
        <w:t>&gt;</w:t>
      </w:r>
      <w:r>
        <w:rPr>
          <w:color w:val="231F20"/>
          <w:spacing w:val="-2"/>
          <w:w w:val="105"/>
        </w:rPr>
        <w:t> </w:t>
      </w:r>
      <w:r>
        <w:rPr>
          <w:color w:val="231F20"/>
          <w:w w:val="105"/>
        </w:rPr>
        <w:t>Navigator</w:t>
      </w:r>
      <w:r>
        <w:rPr>
          <w:color w:val="231F20"/>
          <w:spacing w:val="-1"/>
          <w:w w:val="105"/>
        </w:rPr>
        <w:t> </w:t>
      </w:r>
      <w:r>
        <w:rPr>
          <w:color w:val="231F20"/>
          <w:w w:val="105"/>
        </w:rPr>
        <w:t>View</w:t>
      </w:r>
      <w:r>
        <w:rPr>
          <w:color w:val="231F20"/>
          <w:spacing w:val="-2"/>
          <w:w w:val="105"/>
        </w:rPr>
        <w:t> </w:t>
      </w:r>
      <w:r>
        <w:rPr>
          <w:color w:val="231F20"/>
          <w:w w:val="105"/>
        </w:rPr>
        <w:t>&gt;</w:t>
      </w:r>
      <w:r>
        <w:rPr>
          <w:color w:val="231F20"/>
          <w:spacing w:val="-2"/>
          <w:w w:val="105"/>
        </w:rPr>
        <w:t> </w:t>
      </w:r>
      <w:r>
        <w:rPr>
          <w:color w:val="231F20"/>
          <w:w w:val="105"/>
        </w:rPr>
        <w:t>Ctrl</w:t>
      </w:r>
      <w:r>
        <w:rPr>
          <w:color w:val="231F20"/>
          <w:spacing w:val="-1"/>
          <w:w w:val="105"/>
        </w:rPr>
        <w:t> </w:t>
      </w:r>
      <w:r>
        <w:rPr>
          <w:color w:val="231F20"/>
          <w:w w:val="105"/>
        </w:rPr>
        <w:t>+</w:t>
      </w:r>
      <w:r>
        <w:rPr>
          <w:color w:val="231F20"/>
          <w:spacing w:val="-2"/>
          <w:w w:val="105"/>
        </w:rPr>
        <w:t> </w:t>
      </w:r>
      <w:r>
        <w:rPr>
          <w:color w:val="231F20"/>
          <w:w w:val="105"/>
        </w:rPr>
        <w:t>Shift</w:t>
      </w:r>
      <w:r>
        <w:rPr>
          <w:color w:val="231F20"/>
          <w:spacing w:val="-2"/>
          <w:w w:val="105"/>
        </w:rPr>
        <w:t> </w:t>
      </w:r>
      <w:r>
        <w:rPr>
          <w:color w:val="231F20"/>
          <w:w w:val="105"/>
        </w:rPr>
        <w:t>+</w:t>
      </w:r>
      <w:r>
        <w:rPr>
          <w:color w:val="231F20"/>
          <w:spacing w:val="-1"/>
          <w:w w:val="105"/>
        </w:rPr>
        <w:t> </w:t>
      </w:r>
      <w:r>
        <w:rPr>
          <w:color w:val="231F20"/>
          <w:w w:val="105"/>
        </w:rPr>
        <w:t>click</w:t>
      </w:r>
      <w:r>
        <w:rPr>
          <w:color w:val="231F20"/>
          <w:spacing w:val="-2"/>
          <w:w w:val="105"/>
        </w:rPr>
        <w:t> </w:t>
      </w:r>
      <w:r>
        <w:rPr>
          <w:color w:val="231F20"/>
          <w:w w:val="105"/>
        </w:rPr>
        <w:t>the</w:t>
      </w:r>
      <w:r>
        <w:rPr>
          <w:color w:val="231F20"/>
          <w:spacing w:val="-1"/>
          <w:w w:val="105"/>
        </w:rPr>
        <w:t> </w:t>
      </w:r>
      <w:r>
        <w:rPr>
          <w:color w:val="231F20"/>
          <w:w w:val="105"/>
        </w:rPr>
        <w:t>Navigator</w:t>
      </w:r>
      <w:r>
        <w:rPr>
          <w:color w:val="231F20"/>
          <w:spacing w:val="-2"/>
          <w:w w:val="105"/>
        </w:rPr>
        <w:t> view.</w:t>
      </w:r>
    </w:p>
    <w:p>
      <w:pPr>
        <w:pStyle w:val="BodyText"/>
        <w:spacing w:line="255" w:lineRule="exact"/>
        <w:ind w:left="3190"/>
      </w:pPr>
      <w:r>
        <w:rPr>
          <w:rFonts w:ascii="Futura MdCn BT"/>
          <w:color w:val="231F20"/>
        </w:rPr>
        <w:t>v</w:t>
      </w:r>
      <w:r>
        <w:rPr>
          <w:rFonts w:ascii="Futura MdCn BT"/>
          <w:color w:val="231F20"/>
          <w:spacing w:val="37"/>
        </w:rPr>
        <w:t>  </w:t>
      </w:r>
      <w:r>
        <w:rPr>
          <w:color w:val="231F20"/>
        </w:rPr>
        <w:t>Ctrl</w:t>
      </w:r>
      <w:r>
        <w:rPr>
          <w:color w:val="231F20"/>
          <w:spacing w:val="19"/>
        </w:rPr>
        <w:t> </w:t>
      </w:r>
      <w:r>
        <w:rPr>
          <w:color w:val="231F20"/>
        </w:rPr>
        <w:t>+</w:t>
      </w:r>
      <w:r>
        <w:rPr>
          <w:color w:val="231F20"/>
          <w:spacing w:val="18"/>
        </w:rPr>
        <w:t> </w:t>
      </w:r>
      <w:r>
        <w:rPr>
          <w:color w:val="231F20"/>
        </w:rPr>
        <w:t>Shift</w:t>
      </w:r>
      <w:r>
        <w:rPr>
          <w:color w:val="231F20"/>
          <w:spacing w:val="18"/>
        </w:rPr>
        <w:t> </w:t>
      </w:r>
      <w:r>
        <w:rPr>
          <w:color w:val="231F20"/>
        </w:rPr>
        <w:t>+</w:t>
      </w:r>
      <w:r>
        <w:rPr>
          <w:color w:val="231F20"/>
          <w:spacing w:val="18"/>
        </w:rPr>
        <w:t> </w:t>
      </w:r>
      <w:r>
        <w:rPr>
          <w:color w:val="231F20"/>
        </w:rPr>
        <w:t>click</w:t>
      </w:r>
      <w:r>
        <w:rPr>
          <w:color w:val="231F20"/>
          <w:spacing w:val="18"/>
        </w:rPr>
        <w:t> </w:t>
      </w:r>
      <w:r>
        <w:rPr>
          <w:color w:val="231F20"/>
        </w:rPr>
        <w:t>a</w:t>
      </w:r>
      <w:r>
        <w:rPr>
          <w:color w:val="231F20"/>
          <w:spacing w:val="18"/>
        </w:rPr>
        <w:t> </w:t>
      </w:r>
      <w:r>
        <w:rPr>
          <w:color w:val="231F20"/>
        </w:rPr>
        <w:t>Navigator</w:t>
      </w:r>
      <w:r>
        <w:rPr>
          <w:color w:val="231F20"/>
          <w:spacing w:val="18"/>
        </w:rPr>
        <w:t> </w:t>
      </w:r>
      <w:r>
        <w:rPr>
          <w:color w:val="231F20"/>
          <w:spacing w:val="-4"/>
        </w:rPr>
        <w:t>tab.</w:t>
      </w:r>
    </w:p>
    <w:p>
      <w:pPr>
        <w:pStyle w:val="Heading6"/>
        <w:spacing w:before="111"/>
      </w:pPr>
      <w:r>
        <w:rPr>
          <w:color w:val="231F20"/>
          <w:spacing w:val="-2"/>
        </w:rPr>
        <w:t>Troubleshooting</w:t>
      </w:r>
    </w:p>
    <w:p>
      <w:pPr>
        <w:pStyle w:val="BodyText"/>
        <w:spacing w:line="213" w:lineRule="auto" w:before="12"/>
        <w:ind w:left="3190" w:right="258"/>
      </w:pPr>
      <w:r>
        <w:rPr>
          <w:color w:val="231F20"/>
        </w:rPr>
        <w:t>If the workspace or Navigator view opens in a new window rather than a new tab, review the tab options in your browser to ensure that the tab feature is enabled. If you are using Microsoft Internet Explorer 7, be aware that tabbed workspaces are treated as pop-ups: In the Tabbed Browsing Settings</w:t>
      </w:r>
      <w:r>
        <w:rPr>
          <w:color w:val="231F20"/>
          <w:spacing w:val="33"/>
        </w:rPr>
        <w:t> </w:t>
      </w:r>
      <w:r>
        <w:rPr>
          <w:color w:val="231F20"/>
        </w:rPr>
        <w:t>window</w:t>
      </w:r>
      <w:r>
        <w:rPr>
          <w:color w:val="231F20"/>
          <w:spacing w:val="33"/>
        </w:rPr>
        <w:t> </w:t>
      </w:r>
      <w:r>
        <w:rPr>
          <w:color w:val="231F20"/>
        </w:rPr>
        <w:t>(Tools</w:t>
      </w:r>
      <w:r>
        <w:rPr>
          <w:color w:val="231F20"/>
          <w:spacing w:val="33"/>
        </w:rPr>
        <w:t> </w:t>
      </w:r>
      <w:r>
        <w:rPr>
          <w:color w:val="231F20"/>
        </w:rPr>
        <w:t>&gt;</w:t>
      </w:r>
      <w:r>
        <w:rPr>
          <w:color w:val="231F20"/>
          <w:spacing w:val="33"/>
        </w:rPr>
        <w:t> </w:t>
      </w:r>
      <w:r>
        <w:rPr>
          <w:color w:val="231F20"/>
        </w:rPr>
        <w:t>Internet</w:t>
      </w:r>
      <w:r>
        <w:rPr>
          <w:color w:val="231F20"/>
          <w:spacing w:val="33"/>
        </w:rPr>
        <w:t> </w:t>
      </w:r>
      <w:r>
        <w:rPr>
          <w:color w:val="231F20"/>
        </w:rPr>
        <w:t>Options</w:t>
      </w:r>
      <w:r>
        <w:rPr>
          <w:color w:val="231F20"/>
          <w:spacing w:val="33"/>
        </w:rPr>
        <w:t> </w:t>
      </w:r>
      <w:r>
        <w:rPr>
          <w:color w:val="231F20"/>
        </w:rPr>
        <w:t>&gt;</w:t>
      </w:r>
      <w:r>
        <w:rPr>
          <w:color w:val="231F20"/>
          <w:spacing w:val="33"/>
        </w:rPr>
        <w:t> </w:t>
      </w:r>
      <w:r>
        <w:rPr>
          <w:color w:val="231F20"/>
        </w:rPr>
        <w:t>General</w:t>
      </w:r>
      <w:r>
        <w:rPr>
          <w:color w:val="231F20"/>
          <w:spacing w:val="33"/>
        </w:rPr>
        <w:t> </w:t>
      </w:r>
      <w:r>
        <w:rPr>
          <w:color w:val="231F20"/>
        </w:rPr>
        <w:t>&gt;</w:t>
      </w:r>
      <w:r>
        <w:rPr>
          <w:color w:val="231F20"/>
          <w:spacing w:val="33"/>
        </w:rPr>
        <w:t> </w:t>
      </w:r>
      <w:r>
        <w:rPr>
          <w:color w:val="231F20"/>
        </w:rPr>
        <w:t>Tabs</w:t>
      </w:r>
      <w:r>
        <w:rPr>
          <w:color w:val="231F20"/>
          <w:spacing w:val="33"/>
        </w:rPr>
        <w:t> </w:t>
      </w:r>
      <w:r>
        <w:rPr>
          <w:color w:val="231F20"/>
        </w:rPr>
        <w:t>&gt;</w:t>
      </w:r>
      <w:r>
        <w:rPr>
          <w:color w:val="231F20"/>
          <w:spacing w:val="33"/>
        </w:rPr>
        <w:t> </w:t>
      </w:r>
      <w:r>
        <w:rPr>
          <w:color w:val="231F20"/>
        </w:rPr>
        <w:t>Settings),</w:t>
      </w:r>
    </w:p>
    <w:p>
      <w:pPr>
        <w:spacing w:line="248" w:lineRule="exact" w:before="0"/>
        <w:ind w:left="3190" w:right="0" w:firstLine="0"/>
        <w:jc w:val="left"/>
        <w:rPr>
          <w:sz w:val="20"/>
        </w:rPr>
      </w:pPr>
      <w:r>
        <w:rPr/>
        <w:drawing>
          <wp:inline distT="0" distB="0" distL="0" distR="0">
            <wp:extent cx="88900" cy="82550"/>
            <wp:effectExtent l="0" t="0" r="0" b="0"/>
            <wp:docPr id="465" name="Image 465"/>
            <wp:cNvGraphicFramePr>
              <a:graphicFrameLocks/>
            </wp:cNvGraphicFramePr>
            <a:graphic>
              <a:graphicData uri="http://schemas.openxmlformats.org/drawingml/2006/picture">
                <pic:pic>
                  <pic:nvPicPr>
                    <pic:cNvPr id="465" name="Image 465"/>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
          <w:sz w:val="20"/>
        </w:rPr>
        <w:t> </w:t>
      </w:r>
      <w:r>
        <w:rPr>
          <w:rFonts w:ascii="Book Antiqua"/>
          <w:b/>
          <w:color w:val="231F20"/>
          <w:sz w:val="20"/>
        </w:rPr>
        <w:t>Always</w:t>
      </w:r>
      <w:r>
        <w:rPr>
          <w:rFonts w:ascii="Book Antiqua"/>
          <w:b/>
          <w:color w:val="231F20"/>
          <w:spacing w:val="13"/>
          <w:sz w:val="20"/>
        </w:rPr>
        <w:t> </w:t>
      </w:r>
      <w:r>
        <w:rPr>
          <w:rFonts w:ascii="Book Antiqua"/>
          <w:b/>
          <w:color w:val="231F20"/>
          <w:sz w:val="20"/>
        </w:rPr>
        <w:t>open</w:t>
      </w:r>
      <w:r>
        <w:rPr>
          <w:rFonts w:ascii="Book Antiqua"/>
          <w:b/>
          <w:color w:val="231F20"/>
          <w:spacing w:val="13"/>
          <w:sz w:val="20"/>
        </w:rPr>
        <w:t> </w:t>
      </w:r>
      <w:r>
        <w:rPr>
          <w:rFonts w:ascii="Book Antiqua"/>
          <w:b/>
          <w:color w:val="231F20"/>
          <w:sz w:val="20"/>
        </w:rPr>
        <w:t>pop-ups</w:t>
      </w:r>
      <w:r>
        <w:rPr>
          <w:rFonts w:ascii="Book Antiqua"/>
          <w:b/>
          <w:color w:val="231F20"/>
          <w:spacing w:val="13"/>
          <w:sz w:val="20"/>
        </w:rPr>
        <w:t> </w:t>
      </w:r>
      <w:r>
        <w:rPr>
          <w:rFonts w:ascii="Book Antiqua"/>
          <w:b/>
          <w:color w:val="231F20"/>
          <w:sz w:val="20"/>
        </w:rPr>
        <w:t>in</w:t>
      </w:r>
      <w:r>
        <w:rPr>
          <w:rFonts w:ascii="Book Antiqua"/>
          <w:b/>
          <w:color w:val="231F20"/>
          <w:spacing w:val="13"/>
          <w:sz w:val="20"/>
        </w:rPr>
        <w:t> </w:t>
      </w:r>
      <w:r>
        <w:rPr>
          <w:rFonts w:ascii="Book Antiqua"/>
          <w:b/>
          <w:color w:val="231F20"/>
          <w:sz w:val="20"/>
        </w:rPr>
        <w:t>a</w:t>
      </w:r>
      <w:r>
        <w:rPr>
          <w:rFonts w:ascii="Book Antiqua"/>
          <w:b/>
          <w:color w:val="231F20"/>
          <w:spacing w:val="13"/>
          <w:sz w:val="20"/>
        </w:rPr>
        <w:t> </w:t>
      </w:r>
      <w:r>
        <w:rPr>
          <w:rFonts w:ascii="Book Antiqua"/>
          <w:b/>
          <w:color w:val="231F20"/>
          <w:sz w:val="20"/>
        </w:rPr>
        <w:t>new</w:t>
      </w:r>
      <w:r>
        <w:rPr>
          <w:rFonts w:ascii="Book Antiqua"/>
          <w:b/>
          <w:color w:val="231F20"/>
          <w:spacing w:val="13"/>
          <w:sz w:val="20"/>
        </w:rPr>
        <w:t> </w:t>
      </w:r>
      <w:r>
        <w:rPr>
          <w:rFonts w:ascii="Book Antiqua"/>
          <w:b/>
          <w:color w:val="231F20"/>
          <w:sz w:val="20"/>
        </w:rPr>
        <w:t>tab</w:t>
      </w:r>
      <w:r>
        <w:rPr>
          <w:rFonts w:ascii="Book Antiqua"/>
          <w:b/>
          <w:color w:val="231F20"/>
          <w:spacing w:val="13"/>
          <w:sz w:val="20"/>
        </w:rPr>
        <w:t> </w:t>
      </w:r>
      <w:r>
        <w:rPr>
          <w:color w:val="231F20"/>
          <w:sz w:val="20"/>
        </w:rPr>
        <w:t>must</w:t>
      </w:r>
      <w:r>
        <w:rPr>
          <w:color w:val="231F20"/>
          <w:spacing w:val="13"/>
          <w:sz w:val="20"/>
        </w:rPr>
        <w:t> </w:t>
      </w:r>
      <w:r>
        <w:rPr>
          <w:color w:val="231F20"/>
          <w:sz w:val="20"/>
        </w:rPr>
        <w:t>be</w:t>
      </w:r>
      <w:r>
        <w:rPr>
          <w:color w:val="231F20"/>
          <w:spacing w:val="13"/>
          <w:sz w:val="20"/>
        </w:rPr>
        <w:t> </w:t>
      </w:r>
      <w:r>
        <w:rPr>
          <w:color w:val="231F20"/>
          <w:sz w:val="20"/>
        </w:rPr>
        <w:t>selected.</w:t>
      </w:r>
    </w:p>
    <w:p>
      <w:pPr>
        <w:pStyle w:val="BodyText"/>
        <w:spacing w:before="8"/>
        <w:rPr>
          <w:sz w:val="15"/>
        </w:rPr>
      </w:pPr>
      <w:r>
        <w:rPr/>
        <mc:AlternateContent>
          <mc:Choice Requires="wps">
            <w:drawing>
              <wp:anchor distT="0" distB="0" distL="0" distR="0" allowOverlap="1" layoutInCell="1" locked="0" behindDoc="1" simplePos="0" relativeHeight="487640576">
                <wp:simplePos x="0" y="0"/>
                <wp:positionH relativeFrom="page">
                  <wp:posOffset>912380</wp:posOffset>
                </wp:positionH>
                <wp:positionV relativeFrom="paragraph">
                  <wp:posOffset>148912</wp:posOffset>
                </wp:positionV>
                <wp:extent cx="6082665" cy="1270"/>
                <wp:effectExtent l="0" t="0" r="0" b="0"/>
                <wp:wrapTopAndBottom/>
                <wp:docPr id="466" name="Graphic 466"/>
                <wp:cNvGraphicFramePr>
                  <a:graphicFrameLocks/>
                </wp:cNvGraphicFramePr>
                <a:graphic>
                  <a:graphicData uri="http://schemas.microsoft.com/office/word/2010/wordprocessingShape">
                    <wps:wsp>
                      <wps:cNvPr id="466" name="Graphic 46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725428pt;width:478.95pt;height:.1pt;mso-position-horizontal-relative:page;mso-position-vertical-relative:paragraph;z-index:-15675904;mso-wrap-distance-left:0;mso-wrap-distance-right:0" id="docshape75" coordorigin="1437,235" coordsize="9579,0" path="m1437,235l11016,235e" filled="false" stroked="true" strokeweight=".499pt" strokecolor="#231f20">
                <v:path arrowok="t"/>
                <v:stroke dashstyle="solid"/>
                <w10:wrap type="topAndBottom"/>
              </v:shape>
            </w:pict>
          </mc:Fallback>
        </mc:AlternateContent>
      </w:r>
    </w:p>
    <w:p>
      <w:pPr>
        <w:pStyle w:val="Heading3"/>
      </w:pPr>
      <w:bookmarkStart w:name="Refreshing a workspace" w:id="68"/>
      <w:bookmarkEnd w:id="68"/>
      <w:r>
        <w:rPr>
          <w:b w:val="0"/>
        </w:rPr>
      </w:r>
      <w:r>
        <w:rPr>
          <w:color w:val="231F20"/>
        </w:rPr>
        <w:t>Refreshing</w:t>
      </w:r>
      <w:r>
        <w:rPr>
          <w:color w:val="231F20"/>
          <w:spacing w:val="6"/>
        </w:rPr>
        <w:t> </w:t>
      </w:r>
      <w:r>
        <w:rPr>
          <w:color w:val="231F20"/>
        </w:rPr>
        <w:t>a</w:t>
      </w:r>
      <w:r>
        <w:rPr>
          <w:color w:val="231F20"/>
          <w:spacing w:val="7"/>
        </w:rPr>
        <w:t> </w:t>
      </w:r>
      <w:r>
        <w:rPr>
          <w:color w:val="231F20"/>
          <w:spacing w:val="-2"/>
        </w:rPr>
        <w:t>workspace</w:t>
      </w:r>
    </w:p>
    <w:p>
      <w:pPr>
        <w:pStyle w:val="BodyText"/>
        <w:spacing w:line="213" w:lineRule="auto" w:before="138"/>
        <w:ind w:left="2472"/>
      </w:pPr>
      <w:r>
        <w:rPr>
          <w:color w:val="231F20"/>
        </w:rPr>
        <w:t>You can refresh the data that is displayed in the workspace on demand or at a set</w:t>
      </w:r>
      <w:r>
        <w:rPr>
          <w:color w:val="231F20"/>
          <w:spacing w:val="40"/>
        </w:rPr>
        <w:t> </w:t>
      </w:r>
      <w:r>
        <w:rPr>
          <w:color w:val="231F20"/>
          <w:spacing w:val="-2"/>
        </w:rPr>
        <w:t>interval.</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58"/>
      </w:pPr>
      <w:r>
        <w:rPr>
          <w:color w:val="231F20"/>
        </w:rPr>
        <w:t>The Tivoli Enterprise Portal client receives monitoring data from monitoring </w:t>
      </w:r>
      <w:r>
        <w:rPr>
          <w:color w:val="231F20"/>
        </w:rPr>
        <w:t>agents whenever you open a workspace that includes query-based views. The default setting for most predefined workspaces is </w:t>
      </w:r>
      <w:r>
        <w:rPr>
          <w:rFonts w:ascii="Book Antiqua"/>
          <w:i/>
          <w:color w:val="231F20"/>
        </w:rPr>
        <w:t>On Demand</w:t>
      </w:r>
      <w:r>
        <w:rPr>
          <w:color w:val="231F20"/>
        </w:rPr>
        <w:t>, which means retrieved data remains static until you refresh manually.</w:t>
      </w:r>
    </w:p>
    <w:p>
      <w:pPr>
        <w:pStyle w:val="Heading4"/>
        <w:spacing w:before="199"/>
        <w:ind w:left="2472"/>
      </w:pPr>
      <w:r>
        <w:rPr>
          <w:color w:val="231F20"/>
          <w:spacing w:val="-2"/>
        </w:rPr>
        <w:t>Procedure</w:t>
      </w:r>
    </w:p>
    <w:p>
      <w:pPr>
        <w:spacing w:before="39"/>
        <w:ind w:left="2472" w:right="0" w:firstLine="0"/>
        <w:jc w:val="both"/>
        <w:rPr>
          <w:sz w:val="20"/>
        </w:rPr>
      </w:pPr>
      <w:r>
        <w:rPr>
          <w:rFonts w:ascii="Futura MdCn BT"/>
          <w:color w:val="231F20"/>
          <w:sz w:val="20"/>
        </w:rPr>
        <w:t>v</w:t>
      </w:r>
      <w:r>
        <w:rPr>
          <w:rFonts w:ascii="Futura MdCn BT"/>
          <w:color w:val="231F20"/>
          <w:spacing w:val="71"/>
          <w:w w:val="150"/>
          <w:sz w:val="20"/>
        </w:rPr>
        <w:t> </w:t>
      </w:r>
      <w:r>
        <w:rPr>
          <w:color w:val="231F20"/>
          <w:sz w:val="20"/>
        </w:rPr>
        <w:t>To</w:t>
      </w:r>
      <w:r>
        <w:rPr>
          <w:color w:val="231F20"/>
          <w:spacing w:val="8"/>
          <w:sz w:val="20"/>
        </w:rPr>
        <w:t> </w:t>
      </w:r>
      <w:r>
        <w:rPr>
          <w:color w:val="231F20"/>
          <w:sz w:val="20"/>
        </w:rPr>
        <w:t>refresh</w:t>
      </w:r>
      <w:r>
        <w:rPr>
          <w:color w:val="231F20"/>
          <w:spacing w:val="7"/>
          <w:sz w:val="20"/>
        </w:rPr>
        <w:t> </w:t>
      </w:r>
      <w:r>
        <w:rPr>
          <w:color w:val="231F20"/>
          <w:sz w:val="20"/>
        </w:rPr>
        <w:t>a</w:t>
      </w:r>
      <w:r>
        <w:rPr>
          <w:color w:val="231F20"/>
          <w:spacing w:val="8"/>
          <w:sz w:val="20"/>
        </w:rPr>
        <w:t> </w:t>
      </w:r>
      <w:r>
        <w:rPr>
          <w:color w:val="231F20"/>
          <w:sz w:val="20"/>
        </w:rPr>
        <w:t>workspace</w:t>
      </w:r>
      <w:r>
        <w:rPr>
          <w:color w:val="231F20"/>
          <w:spacing w:val="7"/>
          <w:sz w:val="20"/>
        </w:rPr>
        <w:t> </w:t>
      </w:r>
      <w:r>
        <w:rPr>
          <w:color w:val="231F20"/>
          <w:sz w:val="20"/>
        </w:rPr>
        <w:t>manually,</w:t>
      </w:r>
      <w:r>
        <w:rPr>
          <w:color w:val="231F20"/>
          <w:spacing w:val="8"/>
          <w:sz w:val="20"/>
        </w:rPr>
        <w:t> </w:t>
      </w:r>
      <w:r>
        <w:rPr>
          <w:color w:val="231F20"/>
          <w:sz w:val="20"/>
        </w:rPr>
        <w:t>click</w:t>
      </w:r>
      <w:r>
        <w:rPr>
          <w:color w:val="231F20"/>
          <w:spacing w:val="15"/>
          <w:sz w:val="20"/>
        </w:rPr>
        <w:t> </w:t>
      </w:r>
      <w:r>
        <w:rPr>
          <w:color w:val="231F20"/>
          <w:spacing w:val="-25"/>
          <w:position w:val="-1"/>
          <w:sz w:val="20"/>
        </w:rPr>
        <w:drawing>
          <wp:inline distT="0" distB="0" distL="0" distR="0">
            <wp:extent cx="95250" cy="101600"/>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5"/>
          <w:sz w:val="20"/>
        </w:rPr>
        <w:t> </w:t>
      </w:r>
      <w:r>
        <w:rPr>
          <w:rFonts w:ascii="Book Antiqua"/>
          <w:b/>
          <w:color w:val="231F20"/>
          <w:sz w:val="20"/>
        </w:rPr>
        <w:t>Refresh</w:t>
      </w:r>
      <w:r>
        <w:rPr>
          <w:rFonts w:ascii="Book Antiqua"/>
          <w:b/>
          <w:color w:val="231F20"/>
          <w:spacing w:val="7"/>
          <w:sz w:val="20"/>
        </w:rPr>
        <w:t> </w:t>
      </w:r>
      <w:r>
        <w:rPr>
          <w:rFonts w:ascii="Book Antiqua"/>
          <w:b/>
          <w:color w:val="231F20"/>
          <w:spacing w:val="-4"/>
          <w:sz w:val="20"/>
        </w:rPr>
        <w:t>Now</w:t>
      </w:r>
      <w:r>
        <w:rPr>
          <w:color w:val="231F20"/>
          <w:spacing w:val="-4"/>
          <w:sz w:val="20"/>
        </w:rPr>
        <w:t>.</w:t>
      </w:r>
    </w:p>
    <w:p>
      <w:pPr>
        <w:pStyle w:val="BodyText"/>
        <w:spacing w:line="213" w:lineRule="auto" w:before="52"/>
        <w:ind w:left="2688" w:right="723" w:hanging="216"/>
        <w:jc w:val="both"/>
      </w:pPr>
      <w:r>
        <w:rPr>
          <w:rFonts w:ascii="Futura MdCn BT"/>
          <w:color w:val="231F20"/>
        </w:rPr>
        <w:t>v</w:t>
      </w:r>
      <w:r>
        <w:rPr>
          <w:rFonts w:ascii="Futura MdCn BT"/>
          <w:color w:val="231F20"/>
          <w:spacing w:val="40"/>
        </w:rPr>
        <w:t> </w:t>
      </w:r>
      <w:r>
        <w:rPr>
          <w:color w:val="231F20"/>
        </w:rPr>
        <w:t>To set a refresh interval, click </w:t>
      </w:r>
      <w:r>
        <w:rPr>
          <w:rFonts w:ascii="Book Antiqua"/>
          <w:b/>
          <w:color w:val="231F20"/>
        </w:rPr>
        <w:t>View &gt; Refresh Every</w:t>
      </w:r>
      <w:r>
        <w:rPr>
          <w:color w:val="231F20"/>
        </w:rPr>
        <w:t>, and select one of the intervals: </w:t>
      </w:r>
      <w:r>
        <w:rPr>
          <w:color w:val="231F20"/>
          <w:spacing w:val="-24"/>
          <w:position w:val="-1"/>
        </w:rPr>
        <w:drawing>
          <wp:inline distT="0" distB="0" distL="0" distR="0">
            <wp:extent cx="88900" cy="101600"/>
            <wp:effectExtent l="0" t="0" r="0" b="0"/>
            <wp:docPr id="468" name="Image 468"/>
            <wp:cNvGraphicFramePr>
              <a:graphicFrameLocks/>
            </wp:cNvGraphicFramePr>
            <a:graphic>
              <a:graphicData uri="http://schemas.openxmlformats.org/drawingml/2006/picture">
                <pic:pic>
                  <pic:nvPicPr>
                    <pic:cNvPr id="468" name="Image 468"/>
                    <pic:cNvPicPr/>
                  </pic:nvPicPr>
                  <pic:blipFill>
                    <a:blip r:embed="rId141"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30 seconds; </w:t>
      </w:r>
      <w:r>
        <w:rPr>
          <w:color w:val="231F20"/>
          <w:spacing w:val="-24"/>
          <w:position w:val="-1"/>
        </w:rPr>
        <w:drawing>
          <wp:inline distT="0" distB="0" distL="0" distR="0">
            <wp:extent cx="88900" cy="101600"/>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142"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60 seconds; </w:t>
      </w:r>
      <w:r>
        <w:rPr>
          <w:color w:val="231F20"/>
          <w:spacing w:val="16"/>
          <w:position w:val="-1"/>
        </w:rPr>
        <w:drawing>
          <wp:inline distT="0" distB="0" distL="0" distR="0">
            <wp:extent cx="101600" cy="101600"/>
            <wp:effectExtent l="0" t="0" r="0" b="0"/>
            <wp:docPr id="470" name="Image 470"/>
            <wp:cNvGraphicFramePr>
              <a:graphicFrameLocks/>
            </wp:cNvGraphicFramePr>
            <a:graphic>
              <a:graphicData uri="http://schemas.openxmlformats.org/drawingml/2006/picture">
                <pic:pic>
                  <pic:nvPicPr>
                    <pic:cNvPr id="470" name="Image 470"/>
                    <pic:cNvPicPr/>
                  </pic:nvPicPr>
                  <pic:blipFill>
                    <a:blip r:embed="rId143"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5 minutes; </w:t>
      </w:r>
      <w:r>
        <w:rPr>
          <w:color w:val="231F20"/>
          <w:spacing w:val="-14"/>
          <w:position w:val="-1"/>
        </w:rPr>
        <w:drawing>
          <wp:inline distT="0" distB="0" distL="0" distR="0">
            <wp:extent cx="101600" cy="101600"/>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144"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15 minutes; </w:t>
      </w:r>
      <w:r>
        <w:rPr>
          <w:color w:val="231F20"/>
          <w:spacing w:val="16"/>
          <w:position w:val="-1"/>
        </w:rPr>
        <w:drawing>
          <wp:inline distT="0" distB="0" distL="0" distR="0">
            <wp:extent cx="101600" cy="101600"/>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14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60</w:t>
      </w:r>
      <w:r>
        <w:rPr>
          <w:color w:val="231F20"/>
        </w:rPr>
        <w:t> minutes; or On Demand .</w:t>
      </w:r>
    </w:p>
    <w:p>
      <w:pPr>
        <w:spacing w:after="0" w:line="213" w:lineRule="auto"/>
        <w:jc w:val="both"/>
        <w:sectPr>
          <w:pgSz w:w="12240" w:h="15840"/>
          <w:pgMar w:header="0" w:footer="736" w:top="1180" w:bottom="920" w:left="1000" w:right="1060"/>
        </w:sectPr>
      </w:pPr>
    </w:p>
    <w:p>
      <w:pPr>
        <w:pStyle w:val="Heading4"/>
        <w:spacing w:before="86"/>
      </w:pPr>
      <w:bookmarkStart w:name="_bookmark30" w:id="69"/>
      <w:bookmarkEnd w:id="69"/>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636"/>
      </w:pPr>
      <w:r>
        <w:rPr>
          <w:rFonts w:ascii="Book Antiqua"/>
          <w:b/>
          <w:color w:val="231F20"/>
        </w:rPr>
        <w:t>Note:</w:t>
      </w:r>
      <w:r>
        <w:rPr>
          <w:rFonts w:ascii="Book Antiqua"/>
          <w:b/>
          <w:color w:val="231F20"/>
          <w:spacing w:val="40"/>
        </w:rPr>
        <w:t> </w:t>
      </w:r>
      <w:r>
        <w:rPr>
          <w:color w:val="231F20"/>
        </w:rPr>
        <w:t>In order for your refresh settings to persist, you must save the workspace and optionally select "Assign as default for this Navigator item" in the </w:t>
      </w:r>
      <w:r>
        <w:rPr>
          <w:rFonts w:ascii="Book Antiqua"/>
          <w:b/>
          <w:color w:val="231F20"/>
        </w:rPr>
        <w:t>Save Workspace As </w:t>
      </w:r>
      <w:r>
        <w:rPr>
          <w:color w:val="231F20"/>
        </w:rPr>
        <w:t>dialog.</w:t>
      </w:r>
    </w:p>
    <w:p>
      <w:pPr>
        <w:pStyle w:val="BodyText"/>
        <w:spacing w:line="213" w:lineRule="auto" w:before="237"/>
        <w:ind w:left="2232" w:right="636"/>
      </w:pPr>
      <w:r>
        <w:rPr>
          <w:color w:val="231F20"/>
        </w:rPr>
        <w:t>If the workspace includes any plot charts or area charts, you can refresh those views independent of the rest of the workspace by editing the Style properties of the plotted area to specify a refresh rate.</w:t>
      </w:r>
    </w:p>
    <w:p>
      <w:pPr>
        <w:pStyle w:val="BodyText"/>
        <w:spacing w:line="213" w:lineRule="auto" w:before="238"/>
        <w:ind w:left="2232" w:right="636"/>
      </w:pPr>
      <w:r>
        <w:rPr>
          <w:color w:val="231F20"/>
        </w:rPr>
        <w:t>Be aware that the more frequent the automatic refresh, the more network traffic you create. These requests travel from the portal client to the portal server and to the hub monitoring server before reaching the monitoring agent. They might also pass through a remote monitoring server to reach the monitoring agent. The information is returned by the same route.</w:t>
      </w:r>
    </w:p>
    <w:p>
      <w:pPr>
        <w:pStyle w:val="Heading6"/>
        <w:spacing w:line="240" w:lineRule="auto" w:before="33"/>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jc w:val="both"/>
      </w:pPr>
      <w:hyperlink w:history="true" w:anchor="_bookmark30">
        <w:r>
          <w:rPr>
            <w:color w:val="231F20"/>
          </w:rPr>
          <w:t>“Suspending</w:t>
        </w:r>
        <w:r>
          <w:rPr>
            <w:color w:val="231F20"/>
            <w:spacing w:val="8"/>
          </w:rPr>
          <w:t> </w:t>
        </w:r>
        <w:r>
          <w:rPr>
            <w:color w:val="231F20"/>
          </w:rPr>
          <w:t>and</w:t>
        </w:r>
        <w:r>
          <w:rPr>
            <w:color w:val="231F20"/>
            <w:spacing w:val="8"/>
          </w:rPr>
          <w:t> </w:t>
        </w:r>
        <w:r>
          <w:rPr>
            <w:color w:val="231F20"/>
          </w:rPr>
          <w:t>stopping</w:t>
        </w:r>
        <w:r>
          <w:rPr>
            <w:color w:val="231F20"/>
            <w:spacing w:val="9"/>
          </w:rPr>
          <w:t> </w:t>
        </w:r>
        <w:r>
          <w:rPr>
            <w:color w:val="231F20"/>
            <w:spacing w:val="-2"/>
          </w:rPr>
          <w:t>refresh”</w:t>
        </w:r>
      </w:hyperlink>
    </w:p>
    <w:p>
      <w:pPr>
        <w:pStyle w:val="BodyText"/>
        <w:spacing w:line="213" w:lineRule="auto" w:before="8"/>
        <w:ind w:left="2232" w:right="832"/>
        <w:jc w:val="both"/>
      </w:pPr>
      <w:r>
        <w:rPr>
          <w:color w:val="231F20"/>
        </w:rPr>
        <w:t>If the workspace is set to refresh automatically at timed intervals or it includes event status views, you can suspend refreshes to keep the data from changing while you investigate a problem.</w:t>
      </w:r>
    </w:p>
    <w:p>
      <w:pPr>
        <w:pStyle w:val="BodyText"/>
        <w:spacing w:before="5"/>
        <w:rPr>
          <w:sz w:val="16"/>
        </w:rPr>
      </w:pPr>
      <w:r>
        <w:rPr/>
        <mc:AlternateContent>
          <mc:Choice Requires="wps">
            <w:drawing>
              <wp:anchor distT="0" distB="0" distL="0" distR="0" allowOverlap="1" layoutInCell="1" locked="0" behindDoc="1" simplePos="0" relativeHeight="487641088">
                <wp:simplePos x="0" y="0"/>
                <wp:positionH relativeFrom="page">
                  <wp:posOffset>760323</wp:posOffset>
                </wp:positionH>
                <wp:positionV relativeFrom="paragraph">
                  <wp:posOffset>155804</wp:posOffset>
                </wp:positionV>
                <wp:extent cx="6082665" cy="1270"/>
                <wp:effectExtent l="0" t="0" r="0" b="0"/>
                <wp:wrapTopAndBottom/>
                <wp:docPr id="473" name="Graphic 473"/>
                <wp:cNvGraphicFramePr>
                  <a:graphicFrameLocks/>
                </wp:cNvGraphicFramePr>
                <a:graphic>
                  <a:graphicData uri="http://schemas.microsoft.com/office/word/2010/wordprocessingShape">
                    <wps:wsp>
                      <wps:cNvPr id="473" name="Graphic 473"/>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8051pt;width:478.95pt;height:.1pt;mso-position-horizontal-relative:page;mso-position-vertical-relative:paragraph;z-index:-15675392;mso-wrap-distance-left:0;mso-wrap-distance-right:0" id="docshape76"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Suspending and stopping refresh" w:id="70"/>
      <w:bookmarkEnd w:id="70"/>
      <w:r>
        <w:rPr>
          <w:b w:val="0"/>
        </w:rPr>
      </w:r>
      <w:r>
        <w:rPr>
          <w:color w:val="231F20"/>
        </w:rPr>
        <w:t>Suspending</w:t>
      </w:r>
      <w:r>
        <w:rPr>
          <w:color w:val="231F20"/>
          <w:spacing w:val="4"/>
        </w:rPr>
        <w:t> </w:t>
      </w:r>
      <w:r>
        <w:rPr>
          <w:color w:val="231F20"/>
        </w:rPr>
        <w:t>and</w:t>
      </w:r>
      <w:r>
        <w:rPr>
          <w:color w:val="231F20"/>
          <w:spacing w:val="4"/>
        </w:rPr>
        <w:t> </w:t>
      </w:r>
      <w:r>
        <w:rPr>
          <w:color w:val="231F20"/>
        </w:rPr>
        <w:t>stopping</w:t>
      </w:r>
      <w:r>
        <w:rPr>
          <w:color w:val="231F20"/>
          <w:spacing w:val="4"/>
        </w:rPr>
        <w:t> </w:t>
      </w:r>
      <w:r>
        <w:rPr>
          <w:color w:val="231F20"/>
          <w:spacing w:val="-2"/>
        </w:rPr>
        <w:t>refresh</w:t>
      </w:r>
    </w:p>
    <w:p>
      <w:pPr>
        <w:pStyle w:val="BodyText"/>
        <w:spacing w:line="213" w:lineRule="auto" w:before="138"/>
        <w:ind w:left="2232" w:right="832"/>
        <w:jc w:val="both"/>
      </w:pPr>
      <w:r>
        <w:rPr>
          <w:color w:val="231F20"/>
        </w:rPr>
        <w:t>If the workspace is set to refresh automatically at timed intervals or it includes event status views, you can suspend refreshes to keep the data from changing while you investigate a problem.</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36"/>
      </w:pPr>
      <w:r>
        <w:rPr>
          <w:color w:val="231F20"/>
        </w:rPr>
        <w:t>When you open a workspace that includes table or chart views, the Tivoli Enterprise Portal receives the most recently sampled monitoring data from the agents. Take one of these steps to suspend data refreshes or to stop receiving the data that populates the workspace.</w:t>
      </w:r>
    </w:p>
    <w:p>
      <w:pPr>
        <w:pStyle w:val="Heading4"/>
        <w:spacing w:before="198"/>
      </w:pPr>
      <w:r>
        <w:rPr>
          <w:color w:val="231F20"/>
          <w:spacing w:val="-2"/>
        </w:rPr>
        <w:t>Procedure</w:t>
      </w:r>
    </w:p>
    <w:p>
      <w:pPr>
        <w:pStyle w:val="BodyText"/>
        <w:spacing w:line="255" w:lineRule="exact" w:before="39"/>
        <w:ind w:left="2232"/>
      </w:pPr>
      <w:r>
        <w:rPr>
          <w:rFonts w:ascii="Futura MdCn BT"/>
          <w:color w:val="231F20"/>
        </w:rPr>
        <w:t>v</w:t>
      </w:r>
      <w:r>
        <w:rPr>
          <w:rFonts w:ascii="Futura MdCn BT"/>
          <w:color w:val="231F20"/>
          <w:spacing w:val="77"/>
          <w:w w:val="150"/>
        </w:rPr>
        <w:t> </w:t>
      </w:r>
      <w:r>
        <w:rPr>
          <w:color w:val="231F20"/>
        </w:rPr>
        <w:t>To</w:t>
      </w:r>
      <w:r>
        <w:rPr>
          <w:color w:val="231F20"/>
          <w:spacing w:val="10"/>
        </w:rPr>
        <w:t> </w:t>
      </w:r>
      <w:r>
        <w:rPr>
          <w:color w:val="231F20"/>
        </w:rPr>
        <w:t>suspend</w:t>
      </w:r>
      <w:r>
        <w:rPr>
          <w:color w:val="231F20"/>
          <w:spacing w:val="10"/>
        </w:rPr>
        <w:t> </w:t>
      </w:r>
      <w:r>
        <w:rPr>
          <w:color w:val="231F20"/>
        </w:rPr>
        <w:t>automatic</w:t>
      </w:r>
      <w:r>
        <w:rPr>
          <w:color w:val="231F20"/>
          <w:spacing w:val="10"/>
        </w:rPr>
        <w:t> </w:t>
      </w:r>
      <w:r>
        <w:rPr>
          <w:color w:val="231F20"/>
        </w:rPr>
        <w:t>refreshing</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workspace,</w:t>
      </w:r>
      <w:r>
        <w:rPr>
          <w:color w:val="231F20"/>
          <w:spacing w:val="10"/>
        </w:rPr>
        <w:t> </w:t>
      </w:r>
      <w:r>
        <w:rPr>
          <w:color w:val="231F20"/>
        </w:rPr>
        <w:t>click</w:t>
      </w:r>
      <w:r>
        <w:rPr>
          <w:color w:val="231F20"/>
          <w:spacing w:val="18"/>
        </w:rPr>
        <w:t> </w:t>
      </w:r>
      <w:r>
        <w:rPr>
          <w:color w:val="231F20"/>
          <w:spacing w:val="-25"/>
          <w:position w:val="-1"/>
        </w:rPr>
        <w:drawing>
          <wp:inline distT="0" distB="0" distL="0" distR="0">
            <wp:extent cx="95250" cy="95250"/>
            <wp:effectExtent l="0" t="0" r="0" b="0"/>
            <wp:docPr id="474" name="Image 474"/>
            <wp:cNvGraphicFramePr>
              <a:graphicFrameLocks/>
            </wp:cNvGraphicFramePr>
            <a:graphic>
              <a:graphicData uri="http://schemas.openxmlformats.org/drawingml/2006/picture">
                <pic:pic>
                  <pic:nvPicPr>
                    <pic:cNvPr id="474" name="Image 474"/>
                    <pic:cNvPicPr/>
                  </pic:nvPicPr>
                  <pic:blipFill>
                    <a:blip r:embed="rId36"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8"/>
        </w:rPr>
        <w:t> </w:t>
      </w:r>
      <w:r>
        <w:rPr>
          <w:rFonts w:ascii="Book Antiqua"/>
          <w:b/>
          <w:color w:val="231F20"/>
        </w:rPr>
        <w:t>Pause</w:t>
      </w:r>
      <w:r>
        <w:rPr>
          <w:rFonts w:ascii="Book Antiqua"/>
          <w:b/>
          <w:color w:val="231F20"/>
          <w:spacing w:val="10"/>
        </w:rPr>
        <w:t> </w:t>
      </w:r>
      <w:r>
        <w:rPr>
          <w:rFonts w:ascii="Book Antiqua"/>
          <w:b/>
          <w:color w:val="231F20"/>
        </w:rPr>
        <w:t>Refresh</w:t>
      </w:r>
      <w:r>
        <w:rPr>
          <w:color w:val="231F20"/>
        </w:rPr>
        <w:t>;</w:t>
      </w:r>
      <w:r>
        <w:rPr>
          <w:color w:val="231F20"/>
          <w:spacing w:val="10"/>
        </w:rPr>
        <w:t> </w:t>
      </w:r>
      <w:r>
        <w:rPr>
          <w:color w:val="231F20"/>
          <w:spacing w:val="-2"/>
        </w:rPr>
        <w:t>click</w:t>
      </w:r>
    </w:p>
    <w:p>
      <w:pPr>
        <w:spacing w:line="255" w:lineRule="exact" w:before="0"/>
        <w:ind w:left="2498" w:right="0" w:firstLine="0"/>
        <w:jc w:val="left"/>
        <w:rPr>
          <w:sz w:val="20"/>
        </w:rPr>
      </w:pPr>
      <w:r>
        <w:rPr>
          <w:position w:val="-1"/>
        </w:rPr>
        <w:drawing>
          <wp:inline distT="0" distB="0" distL="0" distR="0">
            <wp:extent cx="63500" cy="95250"/>
            <wp:effectExtent l="0" t="0" r="0" b="0"/>
            <wp:docPr id="475" name="Image 475"/>
            <wp:cNvGraphicFramePr>
              <a:graphicFrameLocks/>
            </wp:cNvGraphicFramePr>
            <a:graphic>
              <a:graphicData uri="http://schemas.openxmlformats.org/drawingml/2006/picture">
                <pic:pic>
                  <pic:nvPicPr>
                    <pic:cNvPr id="475" name="Image 475"/>
                    <pic:cNvPicPr/>
                  </pic:nvPicPr>
                  <pic:blipFill>
                    <a:blip r:embed="rId37" cstate="print"/>
                    <a:stretch>
                      <a:fillRect/>
                    </a:stretch>
                  </pic:blipFill>
                  <pic:spPr>
                    <a:xfrm>
                      <a:off x="0" y="0"/>
                      <a:ext cx="63500" cy="95250"/>
                    </a:xfrm>
                    <a:prstGeom prst="rect">
                      <a:avLst/>
                    </a:prstGeom>
                  </pic:spPr>
                </pic:pic>
              </a:graphicData>
            </a:graphic>
          </wp:inline>
        </w:drawing>
      </w:r>
      <w:r>
        <w:rPr>
          <w:position w:val="-1"/>
        </w:rPr>
      </w:r>
      <w:r>
        <w:rPr>
          <w:rFonts w:ascii="Times New Roman"/>
          <w:spacing w:val="80"/>
          <w:sz w:val="20"/>
        </w:rPr>
        <w:t> </w:t>
      </w:r>
      <w:r>
        <w:rPr>
          <w:rFonts w:ascii="Book Antiqua"/>
          <w:b/>
          <w:color w:val="231F20"/>
          <w:sz w:val="20"/>
        </w:rPr>
        <w:t>Resume</w:t>
      </w:r>
      <w:r>
        <w:rPr>
          <w:rFonts w:ascii="Book Antiqua"/>
          <w:b/>
          <w:color w:val="231F20"/>
          <w:spacing w:val="20"/>
          <w:sz w:val="20"/>
        </w:rPr>
        <w:t> </w:t>
      </w:r>
      <w:r>
        <w:rPr>
          <w:rFonts w:ascii="Book Antiqua"/>
          <w:b/>
          <w:color w:val="231F20"/>
          <w:sz w:val="20"/>
        </w:rPr>
        <w:t>Refresh</w:t>
      </w:r>
      <w:r>
        <w:rPr>
          <w:rFonts w:ascii="Book Antiqua"/>
          <w:b/>
          <w:color w:val="231F20"/>
          <w:spacing w:val="20"/>
          <w:sz w:val="20"/>
        </w:rPr>
        <w:t> </w:t>
      </w:r>
      <w:r>
        <w:rPr>
          <w:color w:val="231F20"/>
          <w:sz w:val="20"/>
        </w:rPr>
        <w:t>to</w:t>
      </w:r>
      <w:r>
        <w:rPr>
          <w:color w:val="231F20"/>
          <w:spacing w:val="20"/>
          <w:sz w:val="20"/>
        </w:rPr>
        <w:t> </w:t>
      </w:r>
      <w:r>
        <w:rPr>
          <w:color w:val="231F20"/>
          <w:sz w:val="20"/>
        </w:rPr>
        <w:t>turn</w:t>
      </w:r>
      <w:r>
        <w:rPr>
          <w:color w:val="231F20"/>
          <w:spacing w:val="20"/>
          <w:sz w:val="20"/>
        </w:rPr>
        <w:t> </w:t>
      </w:r>
      <w:r>
        <w:rPr>
          <w:color w:val="231F20"/>
          <w:sz w:val="20"/>
        </w:rPr>
        <w:t>on</w:t>
      </w:r>
      <w:r>
        <w:rPr>
          <w:color w:val="231F20"/>
          <w:spacing w:val="20"/>
          <w:sz w:val="20"/>
        </w:rPr>
        <w:t> </w:t>
      </w:r>
      <w:r>
        <w:rPr>
          <w:color w:val="231F20"/>
          <w:sz w:val="20"/>
        </w:rPr>
        <w:t>automatic</w:t>
      </w:r>
      <w:r>
        <w:rPr>
          <w:color w:val="231F20"/>
          <w:spacing w:val="20"/>
          <w:sz w:val="20"/>
        </w:rPr>
        <w:t> </w:t>
      </w:r>
      <w:r>
        <w:rPr>
          <w:color w:val="231F20"/>
          <w:sz w:val="20"/>
        </w:rPr>
        <w:t>refresh</w:t>
      </w:r>
      <w:r>
        <w:rPr>
          <w:color w:val="231F20"/>
          <w:spacing w:val="20"/>
          <w:sz w:val="20"/>
        </w:rPr>
        <w:t> </w:t>
      </w:r>
      <w:r>
        <w:rPr>
          <w:color w:val="231F20"/>
          <w:sz w:val="20"/>
        </w:rPr>
        <w:t>again.</w:t>
      </w:r>
    </w:p>
    <w:p>
      <w:pPr>
        <w:spacing w:line="266" w:lineRule="auto" w:before="29"/>
        <w:ind w:left="2232" w:right="3150" w:firstLine="0"/>
        <w:jc w:val="left"/>
        <w:rPr>
          <w:sz w:val="20"/>
        </w:rPr>
      </w:pPr>
      <w:r>
        <w:rPr>
          <w:rFonts w:ascii="Futura MdCn BT"/>
          <w:color w:val="231F20"/>
          <w:sz w:val="20"/>
        </w:rPr>
        <w:t>v</w:t>
      </w:r>
      <w:r>
        <w:rPr>
          <w:rFonts w:ascii="Futura MdCn BT"/>
          <w:color w:val="231F20"/>
          <w:spacing w:val="80"/>
          <w:sz w:val="20"/>
        </w:rPr>
        <w:t> </w:t>
      </w:r>
      <w:r>
        <w:rPr>
          <w:color w:val="231F20"/>
          <w:sz w:val="20"/>
        </w:rPr>
        <w:t>To stop loading the workspace, click </w:t>
      </w:r>
      <w:r>
        <w:rPr>
          <w:color w:val="231F20"/>
          <w:spacing w:val="-25"/>
          <w:position w:val="-1"/>
          <w:sz w:val="20"/>
        </w:rPr>
        <w:drawing>
          <wp:inline distT="0" distB="0" distL="0" distR="0">
            <wp:extent cx="95250" cy="95250"/>
            <wp:effectExtent l="0" t="0" r="0" b="0"/>
            <wp:docPr id="476" name="Image 476"/>
            <wp:cNvGraphicFramePr>
              <a:graphicFrameLocks/>
            </wp:cNvGraphicFramePr>
            <a:graphic>
              <a:graphicData uri="http://schemas.openxmlformats.org/drawingml/2006/picture">
                <pic:pic>
                  <pic:nvPicPr>
                    <pic:cNvPr id="476" name="Image 476"/>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73"/>
          <w:sz w:val="20"/>
        </w:rPr>
        <w:t> </w:t>
      </w:r>
      <w:r>
        <w:rPr>
          <w:rFonts w:ascii="Book Antiqua"/>
          <w:b/>
          <w:color w:val="231F20"/>
          <w:sz w:val="20"/>
        </w:rPr>
        <w:t>Stop</w:t>
      </w:r>
      <w:r>
        <w:rPr>
          <w:color w:val="231F20"/>
          <w:sz w:val="20"/>
        </w:rPr>
        <w:t>.</w:t>
      </w:r>
      <w:r>
        <w:rPr>
          <w:color w:val="231F20"/>
          <w:sz w:val="20"/>
        </w:rPr>
        <w:t> </w:t>
      </w:r>
      <w:r>
        <w:rPr>
          <w:rFonts w:ascii="Book Antiqua"/>
          <w:b/>
          <w:color w:val="231F20"/>
          <w:sz w:val="20"/>
        </w:rPr>
        <w:t>Related tasks</w:t>
      </w:r>
      <w:r>
        <w:rPr>
          <w:color w:val="231F20"/>
          <w:sz w:val="20"/>
        </w:rPr>
        <w:t>:</w:t>
      </w:r>
    </w:p>
    <w:p>
      <w:pPr>
        <w:pStyle w:val="BodyText"/>
        <w:spacing w:line="254" w:lineRule="exact"/>
        <w:ind w:left="2232"/>
      </w:pPr>
      <w:hyperlink w:history="true" w:anchor="_bookmark29">
        <w:r>
          <w:rPr>
            <w:color w:val="231F20"/>
          </w:rPr>
          <w:t>“Refreshing</w:t>
        </w:r>
        <w:r>
          <w:rPr>
            <w:color w:val="231F20"/>
            <w:spacing w:val="9"/>
          </w:rPr>
          <w:t> </w:t>
        </w:r>
        <w:r>
          <w:rPr>
            <w:color w:val="231F20"/>
          </w:rPr>
          <w:t>a</w:t>
        </w:r>
        <w:r>
          <w:rPr>
            <w:color w:val="231F20"/>
            <w:spacing w:val="9"/>
          </w:rPr>
          <w:t> </w:t>
        </w:r>
        <w:r>
          <w:rPr>
            <w:color w:val="231F20"/>
          </w:rPr>
          <w:t>workspace”</w:t>
        </w:r>
        <w:r>
          <w:rPr>
            <w:color w:val="231F20"/>
            <w:spacing w:val="10"/>
          </w:rPr>
          <w:t> </w:t>
        </w:r>
        <w:r>
          <w:rPr>
            <w:color w:val="231F20"/>
          </w:rPr>
          <w:t>on</w:t>
        </w:r>
        <w:r>
          <w:rPr>
            <w:color w:val="231F20"/>
            <w:spacing w:val="9"/>
          </w:rPr>
          <w:t> </w:t>
        </w:r>
        <w:r>
          <w:rPr>
            <w:color w:val="231F20"/>
          </w:rPr>
          <w:t>page</w:t>
        </w:r>
        <w:r>
          <w:rPr>
            <w:color w:val="231F20"/>
            <w:spacing w:val="10"/>
          </w:rPr>
          <w:t> </w:t>
        </w:r>
        <w:r>
          <w:rPr>
            <w:color w:val="231F20"/>
            <w:spacing w:val="-5"/>
          </w:rPr>
          <w:t>39</w:t>
        </w:r>
      </w:hyperlink>
    </w:p>
    <w:p>
      <w:pPr>
        <w:pStyle w:val="BodyText"/>
        <w:spacing w:line="213" w:lineRule="auto" w:before="8"/>
        <w:ind w:left="2232" w:right="545"/>
      </w:pPr>
      <w:r>
        <w:rPr>
          <w:color w:val="231F20"/>
        </w:rPr>
        <w:t>You can refresh the data that is displayed in the workspace on demand or at a set</w:t>
      </w:r>
      <w:r>
        <w:rPr>
          <w:color w:val="231F20"/>
          <w:spacing w:val="40"/>
        </w:rPr>
        <w:t> </w:t>
      </w:r>
      <w:r>
        <w:rPr>
          <w:color w:val="231F20"/>
          <w:spacing w:val="-2"/>
        </w:rPr>
        <w:t>interval.</w:t>
      </w:r>
    </w:p>
    <w:p>
      <w:pPr>
        <w:pStyle w:val="BodyText"/>
        <w:spacing w:before="6"/>
        <w:rPr>
          <w:sz w:val="16"/>
        </w:rPr>
      </w:pPr>
      <w:r>
        <w:rPr/>
        <mc:AlternateContent>
          <mc:Choice Requires="wps">
            <w:drawing>
              <wp:anchor distT="0" distB="0" distL="0" distR="0" allowOverlap="1" layoutInCell="1" locked="0" behindDoc="1" simplePos="0" relativeHeight="487641600">
                <wp:simplePos x="0" y="0"/>
                <wp:positionH relativeFrom="page">
                  <wp:posOffset>760323</wp:posOffset>
                </wp:positionH>
                <wp:positionV relativeFrom="paragraph">
                  <wp:posOffset>156177</wp:posOffset>
                </wp:positionV>
                <wp:extent cx="6082665" cy="1270"/>
                <wp:effectExtent l="0" t="0" r="0" b="0"/>
                <wp:wrapTopAndBottom/>
                <wp:docPr id="477" name="Graphic 477"/>
                <wp:cNvGraphicFramePr>
                  <a:graphicFrameLocks/>
                </wp:cNvGraphicFramePr>
                <a:graphic>
                  <a:graphicData uri="http://schemas.microsoft.com/office/word/2010/wordprocessingShape">
                    <wps:wsp>
                      <wps:cNvPr id="477" name="Graphic 477"/>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97478pt;width:478.95pt;height:.1pt;mso-position-horizontal-relative:page;mso-position-vertical-relative:paragraph;z-index:-15674880;mso-wrap-distance-left:0;mso-wrap-distance-right:0" id="docshape77"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Linking to a workspace" w:id="71"/>
      <w:bookmarkEnd w:id="71"/>
      <w:r>
        <w:rPr>
          <w:b w:val="0"/>
        </w:rPr>
      </w:r>
      <w:r>
        <w:rPr>
          <w:color w:val="231F20"/>
        </w:rPr>
        <w:t>Linking</w:t>
      </w:r>
      <w:r>
        <w:rPr>
          <w:color w:val="231F20"/>
          <w:spacing w:val="10"/>
        </w:rPr>
        <w:t> </w:t>
      </w:r>
      <w:r>
        <w:rPr>
          <w:color w:val="231F20"/>
        </w:rPr>
        <w:t>to</w:t>
      </w:r>
      <w:r>
        <w:rPr>
          <w:color w:val="231F20"/>
          <w:spacing w:val="10"/>
        </w:rPr>
        <w:t> </w:t>
      </w:r>
      <w:r>
        <w:rPr>
          <w:color w:val="231F20"/>
        </w:rPr>
        <w:t>a</w:t>
      </w:r>
      <w:r>
        <w:rPr>
          <w:color w:val="231F20"/>
          <w:spacing w:val="10"/>
        </w:rPr>
        <w:t> </w:t>
      </w:r>
      <w:r>
        <w:rPr>
          <w:color w:val="231F20"/>
          <w:spacing w:val="-2"/>
        </w:rPr>
        <w:t>workspace</w:t>
      </w:r>
    </w:p>
    <w:p>
      <w:pPr>
        <w:pStyle w:val="BodyText"/>
        <w:spacing w:line="213" w:lineRule="auto" w:before="138"/>
        <w:ind w:left="2232" w:right="545"/>
      </w:pPr>
      <w:r>
        <w:rPr>
          <w:color w:val="231F20"/>
        </w:rPr>
        <w:t>Use these steps to link to a workspace that has been targeted from the current Navigator item or view.</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385"/>
      </w:pPr>
      <w:r>
        <w:rPr>
          <w:color w:val="231F20"/>
        </w:rPr>
        <w:t>Many monitoring agent products have workspace links available through their predefined</w:t>
      </w:r>
      <w:r>
        <w:rPr>
          <w:color w:val="231F20"/>
          <w:spacing w:val="26"/>
        </w:rPr>
        <w:t> </w:t>
      </w:r>
      <w:r>
        <w:rPr>
          <w:color w:val="231F20"/>
        </w:rPr>
        <w:t>workspaces.</w:t>
      </w:r>
      <w:r>
        <w:rPr>
          <w:color w:val="231F20"/>
          <w:spacing w:val="22"/>
        </w:rPr>
        <w:t> </w:t>
      </w:r>
      <w:r>
        <w:rPr>
          <w:color w:val="231F20"/>
        </w:rPr>
        <w:t>You</w:t>
      </w:r>
      <w:r>
        <w:rPr>
          <w:color w:val="231F20"/>
          <w:spacing w:val="26"/>
        </w:rPr>
        <w:t> </w:t>
      </w:r>
      <w:r>
        <w:rPr>
          <w:color w:val="231F20"/>
        </w:rPr>
        <w:t>can</w:t>
      </w:r>
      <w:r>
        <w:rPr>
          <w:color w:val="231F20"/>
          <w:spacing w:val="26"/>
        </w:rPr>
        <w:t> </w:t>
      </w:r>
      <w:r>
        <w:rPr>
          <w:color w:val="231F20"/>
        </w:rPr>
        <w:t>also</w:t>
      </w:r>
      <w:r>
        <w:rPr>
          <w:color w:val="231F20"/>
          <w:spacing w:val="26"/>
        </w:rPr>
        <w:t> </w:t>
      </w:r>
      <w:r>
        <w:rPr>
          <w:color w:val="231F20"/>
        </w:rPr>
        <w:t>create</w:t>
      </w:r>
      <w:r>
        <w:rPr>
          <w:color w:val="231F20"/>
          <w:spacing w:val="26"/>
        </w:rPr>
        <w:t> </w:t>
      </w:r>
      <w:r>
        <w:rPr>
          <w:color w:val="231F20"/>
        </w:rPr>
        <w:t>and</w:t>
      </w:r>
      <w:r>
        <w:rPr>
          <w:color w:val="231F20"/>
          <w:spacing w:val="26"/>
        </w:rPr>
        <w:t> </w:t>
      </w:r>
      <w:r>
        <w:rPr>
          <w:color w:val="231F20"/>
        </w:rPr>
        <w:t>use</w:t>
      </w:r>
      <w:r>
        <w:rPr>
          <w:color w:val="231F20"/>
          <w:spacing w:val="26"/>
        </w:rPr>
        <w:t> </w:t>
      </w:r>
      <w:r>
        <w:rPr>
          <w:color w:val="231F20"/>
        </w:rPr>
        <w:t>links</w:t>
      </w:r>
      <w:r>
        <w:rPr>
          <w:color w:val="231F20"/>
          <w:spacing w:val="26"/>
        </w:rPr>
        <w:t> </w:t>
      </w:r>
      <w:r>
        <w:rPr>
          <w:color w:val="231F20"/>
        </w:rPr>
        <w:t>to</w:t>
      </w:r>
      <w:r>
        <w:rPr>
          <w:color w:val="231F20"/>
          <w:spacing w:val="26"/>
        </w:rPr>
        <w:t> </w:t>
      </w:r>
      <w:r>
        <w:rPr>
          <w:color w:val="231F20"/>
        </w:rPr>
        <w:t>workspaces</w:t>
      </w:r>
      <w:r>
        <w:rPr>
          <w:color w:val="231F20"/>
          <w:spacing w:val="26"/>
        </w:rPr>
        <w:t> </w:t>
      </w:r>
      <w:r>
        <w:rPr>
          <w:color w:val="231F20"/>
        </w:rPr>
        <w:t>that follow a logical progression of investigation into performance and operation </w:t>
      </w:r>
      <w:r>
        <w:rPr>
          <w:color w:val="231F20"/>
        </w:rPr>
        <w:t>issues.</w:t>
      </w:r>
    </w:p>
    <w:p>
      <w:pPr>
        <w:spacing w:after="0" w:line="213" w:lineRule="auto"/>
        <w:sectPr>
          <w:pgSz w:w="12240" w:h="15840"/>
          <w:pgMar w:header="0" w:footer="736" w:top="1140" w:bottom="920" w:left="1000" w:right="1060"/>
        </w:sectPr>
      </w:pPr>
    </w:p>
    <w:p>
      <w:pPr>
        <w:pStyle w:val="Heading4"/>
        <w:spacing w:before="86"/>
        <w:ind w:left="2472"/>
      </w:pPr>
      <w:bookmarkStart w:name="_bookmark31" w:id="72"/>
      <w:bookmarkEnd w:id="72"/>
      <w:r>
        <w:rPr>
          <w:b w:val="0"/>
        </w:rPr>
      </w:r>
      <w:r>
        <w:rPr>
          <w:color w:val="231F20"/>
          <w:spacing w:val="-2"/>
        </w:rPr>
        <w:t>Procedure</w:t>
      </w:r>
    </w:p>
    <w:p>
      <w:pPr>
        <w:pStyle w:val="ListParagraph"/>
        <w:numPr>
          <w:ilvl w:val="0"/>
          <w:numId w:val="12"/>
        </w:numPr>
        <w:tabs>
          <w:tab w:pos="2788" w:val="left" w:leader="none"/>
        </w:tabs>
        <w:spacing w:line="213" w:lineRule="auto" w:before="62" w:after="0"/>
        <w:ind w:left="2788" w:right="506" w:hanging="316"/>
        <w:jc w:val="both"/>
        <w:rPr>
          <w:sz w:val="20"/>
        </w:rPr>
      </w:pPr>
      <w:r>
        <w:rPr>
          <w:color w:val="231F20"/>
          <w:sz w:val="20"/>
        </w:rPr>
        <w:t>Open the workspace from where you will launch the link. This is the source </w:t>
      </w:r>
      <w:r>
        <w:rPr>
          <w:color w:val="231F20"/>
          <w:spacing w:val="-2"/>
          <w:sz w:val="20"/>
        </w:rPr>
        <w:t>workspace.</w:t>
      </w:r>
    </w:p>
    <w:p>
      <w:pPr>
        <w:pStyle w:val="ListParagraph"/>
        <w:numPr>
          <w:ilvl w:val="0"/>
          <w:numId w:val="12"/>
        </w:numPr>
        <w:tabs>
          <w:tab w:pos="2787" w:val="left" w:leader="none"/>
        </w:tabs>
        <w:spacing w:line="240" w:lineRule="auto" w:before="35" w:after="0"/>
        <w:ind w:left="2787" w:right="0" w:hanging="315"/>
        <w:jc w:val="both"/>
        <w:rPr>
          <w:sz w:val="20"/>
        </w:rPr>
      </w:pPr>
      <w:r>
        <w:rPr>
          <w:color w:val="231F20"/>
          <w:sz w:val="20"/>
        </w:rPr>
        <w:t>Do</w:t>
      </w:r>
      <w:r>
        <w:rPr>
          <w:color w:val="231F20"/>
          <w:spacing w:val="11"/>
          <w:sz w:val="20"/>
        </w:rPr>
        <w:t> </w:t>
      </w:r>
      <w:r>
        <w:rPr>
          <w:color w:val="231F20"/>
          <w:sz w:val="20"/>
        </w:rPr>
        <w:t>one</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following,</w:t>
      </w:r>
      <w:r>
        <w:rPr>
          <w:color w:val="231F20"/>
          <w:spacing w:val="11"/>
          <w:sz w:val="20"/>
        </w:rPr>
        <w:t> </w:t>
      </w:r>
      <w:r>
        <w:rPr>
          <w:color w:val="231F20"/>
          <w:sz w:val="20"/>
        </w:rPr>
        <w:t>depending</w:t>
      </w:r>
      <w:r>
        <w:rPr>
          <w:color w:val="231F20"/>
          <w:spacing w:val="11"/>
          <w:sz w:val="20"/>
        </w:rPr>
        <w:t> </w:t>
      </w:r>
      <w:r>
        <w:rPr>
          <w:color w:val="231F20"/>
          <w:sz w:val="20"/>
        </w:rPr>
        <w:t>on</w:t>
      </w:r>
      <w:r>
        <w:rPr>
          <w:color w:val="231F20"/>
          <w:spacing w:val="12"/>
          <w:sz w:val="20"/>
        </w:rPr>
        <w:t> </w:t>
      </w:r>
      <w:r>
        <w:rPr>
          <w:color w:val="231F20"/>
          <w:sz w:val="20"/>
        </w:rPr>
        <w:t>where</w:t>
      </w:r>
      <w:r>
        <w:rPr>
          <w:color w:val="231F20"/>
          <w:spacing w:val="11"/>
          <w:sz w:val="20"/>
        </w:rPr>
        <w:t> </w:t>
      </w:r>
      <w:r>
        <w:rPr>
          <w:color w:val="231F20"/>
          <w:sz w:val="20"/>
        </w:rPr>
        <w:t>the</w:t>
      </w:r>
      <w:r>
        <w:rPr>
          <w:color w:val="231F20"/>
          <w:spacing w:val="11"/>
          <w:sz w:val="20"/>
        </w:rPr>
        <w:t> </w:t>
      </w:r>
      <w:r>
        <w:rPr>
          <w:color w:val="231F20"/>
          <w:sz w:val="20"/>
        </w:rPr>
        <w:t>link</w:t>
      </w:r>
      <w:r>
        <w:rPr>
          <w:color w:val="231F20"/>
          <w:spacing w:val="11"/>
          <w:sz w:val="20"/>
        </w:rPr>
        <w:t> </w:t>
      </w:r>
      <w:r>
        <w:rPr>
          <w:color w:val="231F20"/>
          <w:spacing w:val="-2"/>
          <w:sz w:val="20"/>
        </w:rPr>
        <w:t>originates:</w:t>
      </w:r>
    </w:p>
    <w:p>
      <w:pPr>
        <w:pStyle w:val="BodyText"/>
        <w:spacing w:before="30"/>
        <w:ind w:left="2788"/>
        <w:jc w:val="both"/>
      </w:pPr>
      <w:r>
        <w:rPr>
          <w:rFonts w:ascii="Futura MdCn BT"/>
          <w:color w:val="231F20"/>
        </w:rPr>
        <w:t>v</w:t>
      </w:r>
      <w:r>
        <w:rPr>
          <w:rFonts w:ascii="Futura MdCn BT"/>
          <w:color w:val="231F20"/>
          <w:spacing w:val="77"/>
          <w:w w:val="150"/>
        </w:rPr>
        <w:t> </w:t>
      </w:r>
      <w:r>
        <w:rPr>
          <w:color w:val="231F20"/>
        </w:rPr>
        <w:t>Right-click</w:t>
      </w:r>
      <w:r>
        <w:rPr>
          <w:color w:val="231F20"/>
          <w:spacing w:val="10"/>
        </w:rPr>
        <w:t> </w:t>
      </w:r>
      <w:r>
        <w:rPr>
          <w:color w:val="231F20"/>
        </w:rPr>
        <w:t>the</w:t>
      </w:r>
      <w:r>
        <w:rPr>
          <w:color w:val="231F20"/>
          <w:spacing w:val="10"/>
        </w:rPr>
        <w:t> </w:t>
      </w:r>
      <w:r>
        <w:rPr>
          <w:color w:val="231F20"/>
        </w:rPr>
        <w:t>current</w:t>
      </w:r>
      <w:r>
        <w:rPr>
          <w:color w:val="231F20"/>
          <w:spacing w:val="10"/>
        </w:rPr>
        <w:t> </w:t>
      </w:r>
      <w:r>
        <w:rPr>
          <w:color w:val="231F20"/>
        </w:rPr>
        <w:t>(highlighted)</w:t>
      </w:r>
      <w:r>
        <w:rPr>
          <w:color w:val="231F20"/>
          <w:spacing w:val="10"/>
        </w:rPr>
        <w:t> </w:t>
      </w:r>
      <w:r>
        <w:rPr>
          <w:color w:val="231F20"/>
        </w:rPr>
        <w:t>Navigator</w:t>
      </w:r>
      <w:r>
        <w:rPr>
          <w:color w:val="231F20"/>
          <w:spacing w:val="10"/>
        </w:rPr>
        <w:t> </w:t>
      </w:r>
      <w:r>
        <w:rPr>
          <w:color w:val="231F20"/>
          <w:spacing w:val="-2"/>
        </w:rPr>
        <w:t>item.</w:t>
      </w:r>
    </w:p>
    <w:p>
      <w:pPr>
        <w:pStyle w:val="BodyText"/>
        <w:spacing w:line="213" w:lineRule="auto" w:before="53"/>
        <w:ind w:left="3004" w:right="505" w:hanging="216"/>
        <w:jc w:val="both"/>
      </w:pPr>
      <w:r>
        <w:rPr>
          <w:rFonts w:ascii="Futura MdCn BT"/>
          <w:color w:val="231F20"/>
        </w:rPr>
        <w:t>v</w:t>
      </w:r>
      <w:r>
        <w:rPr>
          <w:rFonts w:ascii="Futura MdCn BT"/>
          <w:color w:val="231F20"/>
          <w:spacing w:val="80"/>
        </w:rPr>
        <w:t> </w:t>
      </w:r>
      <w:r>
        <w:rPr>
          <w:color w:val="231F20"/>
        </w:rPr>
        <w:t>Click the </w:t>
      </w:r>
      <w:r>
        <w:rPr>
          <w:color w:val="231F20"/>
          <w:spacing w:val="16"/>
          <w:position w:val="-1"/>
        </w:rPr>
        <w:drawing>
          <wp:inline distT="0" distB="0" distL="0" distR="0">
            <wp:extent cx="101600" cy="101600"/>
            <wp:effectExtent l="0" t="0" r="0" b="0"/>
            <wp:docPr id="478" name="Image 478"/>
            <wp:cNvGraphicFramePr>
              <a:graphicFrameLocks/>
            </wp:cNvGraphicFramePr>
            <a:graphic>
              <a:graphicData uri="http://schemas.openxmlformats.org/drawingml/2006/picture">
                <pic:pic>
                  <pic:nvPicPr>
                    <pic:cNvPr id="478" name="Image 478"/>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3"/>
        </w:rPr>
        <w:t> </w:t>
      </w:r>
      <w:r>
        <w:rPr>
          <w:color w:val="231F20"/>
        </w:rPr>
        <w:t>link indicator on a table row or the graphic view, then skip to step 4. (A dimmed link indicator means the link is not available from </w:t>
      </w:r>
      <w:r>
        <w:rPr>
          <w:color w:val="231F20"/>
        </w:rPr>
        <w:t>that</w:t>
      </w:r>
      <w:r>
        <w:rPr>
          <w:color w:val="231F20"/>
        </w:rPr>
        <w:t> </w:t>
      </w:r>
      <w:r>
        <w:rPr>
          <w:color w:val="231F20"/>
          <w:spacing w:val="-2"/>
        </w:rPr>
        <w:t>row.)</w:t>
      </w:r>
    </w:p>
    <w:p>
      <w:pPr>
        <w:pStyle w:val="BodyText"/>
        <w:spacing w:line="213" w:lineRule="auto" w:before="57"/>
        <w:ind w:left="3004" w:right="235" w:hanging="216"/>
        <w:jc w:val="both"/>
      </w:pPr>
      <w:r>
        <w:rPr>
          <w:rFonts w:ascii="Futura MdCn BT"/>
          <w:color w:val="231F20"/>
        </w:rPr>
        <w:t>v</w:t>
      </w:r>
      <w:r>
        <w:rPr>
          <w:rFonts w:ascii="Futura MdCn BT"/>
          <w:color w:val="231F20"/>
          <w:spacing w:val="40"/>
        </w:rPr>
        <w:t> </w:t>
      </w:r>
      <w:r>
        <w:rPr>
          <w:color w:val="231F20"/>
        </w:rPr>
        <w:t>Right-click a pie chart slice, bar chart bar, plot chart point, table row, graphic view icon, or TMS Infrastructure object.</w:t>
      </w:r>
    </w:p>
    <w:p>
      <w:pPr>
        <w:pStyle w:val="ListParagraph"/>
        <w:numPr>
          <w:ilvl w:val="0"/>
          <w:numId w:val="12"/>
        </w:numPr>
        <w:tabs>
          <w:tab w:pos="2788" w:val="left" w:leader="none"/>
        </w:tabs>
        <w:spacing w:line="213" w:lineRule="auto" w:before="59" w:after="0"/>
        <w:ind w:left="2788" w:right="366" w:hanging="316"/>
        <w:jc w:val="left"/>
        <w:rPr>
          <w:sz w:val="20"/>
        </w:rPr>
      </w:pPr>
      <w:r>
        <w:rPr>
          <w:color w:val="231F20"/>
          <w:sz w:val="20"/>
        </w:rPr>
        <w:t>Click </w:t>
      </w:r>
      <w:r>
        <w:rPr>
          <w:rFonts w:ascii="Book Antiqua"/>
          <w:b/>
          <w:color w:val="231F20"/>
          <w:sz w:val="20"/>
        </w:rPr>
        <w:t>Link To </w:t>
      </w:r>
      <w:r>
        <w:rPr>
          <w:color w:val="231F20"/>
          <w:sz w:val="20"/>
        </w:rPr>
        <w:t>and click the target workspace in the </w:t>
      </w:r>
      <w:r>
        <w:rPr>
          <w:color w:val="231F20"/>
          <w:spacing w:val="15"/>
          <w:position w:val="-1"/>
          <w:sz w:val="20"/>
        </w:rPr>
        <w:drawing>
          <wp:inline distT="0" distB="0" distL="0" distR="0">
            <wp:extent cx="101600" cy="101600"/>
            <wp:effectExtent l="0" t="0" r="0" b="0"/>
            <wp:docPr id="479" name="Image 479"/>
            <wp:cNvGraphicFramePr>
              <a:graphicFrameLocks/>
            </wp:cNvGraphicFramePr>
            <a:graphic>
              <a:graphicData uri="http://schemas.openxmlformats.org/drawingml/2006/picture">
                <pic:pic>
                  <pic:nvPicPr>
                    <pic:cNvPr id="479" name="Image 479"/>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The target filter or link expression is used to select the information displayed in the views of the target workspace. If, instead of the workspace opening, you get a "Target not found" message, the definition of the target workspace could not be resolved.</w:t>
      </w:r>
    </w:p>
    <w:p>
      <w:pPr>
        <w:pStyle w:val="ListParagraph"/>
        <w:numPr>
          <w:ilvl w:val="0"/>
          <w:numId w:val="12"/>
        </w:numPr>
        <w:tabs>
          <w:tab w:pos="2788" w:val="left" w:leader="none"/>
        </w:tabs>
        <w:spacing w:line="213" w:lineRule="auto" w:before="57" w:after="0"/>
        <w:ind w:left="2788" w:right="322" w:hanging="316"/>
        <w:jc w:val="left"/>
        <w:rPr>
          <w:sz w:val="20"/>
        </w:rPr>
      </w:pPr>
      <w:r>
        <w:rPr>
          <w:color w:val="231F20"/>
          <w:sz w:val="20"/>
        </w:rPr>
        <w:t>If there is more than one workspace you can link to, the Select Target window opens: Select the Navigator item for the workspace and click </w:t>
      </w:r>
      <w:r>
        <w:rPr>
          <w:rFonts w:ascii="Book Antiqua"/>
          <w:b/>
          <w:color w:val="231F20"/>
          <w:sz w:val="20"/>
        </w:rPr>
        <w:t>OK</w:t>
      </w:r>
      <w:r>
        <w:rPr>
          <w:color w:val="231F20"/>
          <w:sz w:val="20"/>
        </w:rPr>
        <w:t>.</w:t>
      </w:r>
    </w:p>
    <w:p>
      <w:pPr>
        <w:pStyle w:val="ListParagraph"/>
        <w:numPr>
          <w:ilvl w:val="0"/>
          <w:numId w:val="12"/>
        </w:numPr>
        <w:tabs>
          <w:tab w:pos="2788" w:val="left" w:leader="none"/>
        </w:tabs>
        <w:spacing w:line="213" w:lineRule="auto" w:before="59" w:after="0"/>
        <w:ind w:left="2788" w:right="177" w:hanging="316"/>
        <w:jc w:val="left"/>
        <w:rPr>
          <w:sz w:val="20"/>
        </w:rPr>
      </w:pPr>
      <w:r>
        <w:rPr>
          <w:color w:val="231F20"/>
          <w:sz w:val="20"/>
        </w:rPr>
        <w:t>If a message asks you to select a leaf node, click </w:t>
      </w:r>
      <w:r>
        <w:rPr>
          <w:rFonts w:ascii="Book Antiqua"/>
          <w:b/>
          <w:color w:val="231F20"/>
          <w:sz w:val="20"/>
        </w:rPr>
        <w:t>OK</w:t>
      </w:r>
      <w:r>
        <w:rPr>
          <w:color w:val="231F20"/>
          <w:sz w:val="20"/>
        </w:rPr>
        <w:t>, then select an item deeper</w:t>
      </w:r>
      <w:r>
        <w:rPr>
          <w:color w:val="231F20"/>
          <w:spacing w:val="80"/>
          <w:sz w:val="20"/>
        </w:rPr>
        <w:t> </w:t>
      </w:r>
      <w:r>
        <w:rPr>
          <w:color w:val="231F20"/>
          <w:sz w:val="20"/>
        </w:rPr>
        <w:t>in the tree hierarchy.</w:t>
      </w:r>
    </w:p>
    <w:p>
      <w:pPr>
        <w:pStyle w:val="Heading4"/>
        <w:spacing w:before="199"/>
        <w:ind w:left="2472"/>
      </w:pPr>
      <w:r>
        <w:rPr>
          <w:color w:val="231F20"/>
          <w:spacing w:val="-2"/>
        </w:rPr>
        <w:t>Results</w:t>
      </w:r>
    </w:p>
    <w:p>
      <w:pPr>
        <w:pStyle w:val="BodyText"/>
        <w:spacing w:line="213" w:lineRule="auto" w:before="242"/>
        <w:ind w:left="2472" w:right="385"/>
      </w:pPr>
      <w:r>
        <w:rPr>
          <w:color w:val="231F20"/>
        </w:rPr>
        <w:t>The target workspace is displayed. If the link was defined to open the </w:t>
      </w:r>
      <w:r>
        <w:rPr>
          <w:color w:val="231F20"/>
        </w:rPr>
        <w:t>workspace</w:t>
      </w:r>
      <w:r>
        <w:rPr>
          <w:color w:val="231F20"/>
          <w:spacing w:val="40"/>
        </w:rPr>
        <w:t> </w:t>
      </w:r>
      <w:r>
        <w:rPr>
          <w:color w:val="231F20"/>
        </w:rPr>
        <w:t>in a new window, it is opened in its own window. If you are using the browser client and your browser supports tabs, the workspace is in a new tab next to the</w:t>
      </w:r>
      <w:r>
        <w:rPr>
          <w:color w:val="231F20"/>
          <w:spacing w:val="40"/>
        </w:rPr>
        <w:t> </w:t>
      </w:r>
      <w:r>
        <w:rPr>
          <w:color w:val="231F20"/>
        </w:rPr>
        <w:t>source workspace.</w:t>
      </w:r>
    </w:p>
    <w:p>
      <w:pPr>
        <w:pStyle w:val="BodyText"/>
        <w:spacing w:line="213" w:lineRule="auto" w:before="236"/>
        <w:ind w:left="2472" w:right="493"/>
      </w:pPr>
      <w:r>
        <w:rPr>
          <w:rFonts w:ascii="Book Antiqua"/>
          <w:b/>
          <w:color w:val="231F20"/>
        </w:rPr>
        <w:t>Note:</w:t>
      </w:r>
      <w:r>
        <w:rPr>
          <w:rFonts w:ascii="Book Antiqua"/>
          <w:b/>
          <w:color w:val="231F20"/>
          <w:spacing w:val="39"/>
        </w:rPr>
        <w:t> </w:t>
      </w:r>
      <w:r>
        <w:rPr>
          <w:color w:val="231F20"/>
        </w:rPr>
        <w:t>Navigation using </w:t>
      </w:r>
      <w:r>
        <w:rPr>
          <w:color w:val="231F20"/>
          <w:spacing w:val="-25"/>
          <w:position w:val="-1"/>
        </w:rPr>
        <w:drawing>
          <wp:inline distT="0" distB="0" distL="0" distR="0">
            <wp:extent cx="95250" cy="95250"/>
            <wp:effectExtent l="0" t="0" r="0" b="0"/>
            <wp:docPr id="480" name="Image 480"/>
            <wp:cNvGraphicFramePr>
              <a:graphicFrameLocks/>
            </wp:cNvGraphicFramePr>
            <a:graphic>
              <a:graphicData uri="http://schemas.openxmlformats.org/drawingml/2006/picture">
                <pic:pic>
                  <pic:nvPicPr>
                    <pic:cNvPr id="480" name="Image 480"/>
                    <pic:cNvPicPr/>
                  </pic:nvPicPr>
                  <pic:blipFill>
                    <a:blip r:embed="rId2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6"/>
        </w:rPr>
        <w:t> </w:t>
      </w:r>
      <w:r>
        <w:rPr>
          <w:color w:val="231F20"/>
        </w:rPr>
        <w:t>and </w:t>
      </w:r>
      <w:r>
        <w:rPr>
          <w:color w:val="231F20"/>
          <w:spacing w:val="-24"/>
          <w:position w:val="-1"/>
        </w:rPr>
        <w:drawing>
          <wp:inline distT="0" distB="0" distL="0" distR="0">
            <wp:extent cx="95250" cy="95250"/>
            <wp:effectExtent l="0" t="0" r="0" b="0"/>
            <wp:docPr id="481" name="Image 481"/>
            <wp:cNvGraphicFramePr>
              <a:graphicFrameLocks/>
            </wp:cNvGraphicFramePr>
            <a:graphic>
              <a:graphicData uri="http://schemas.openxmlformats.org/drawingml/2006/picture">
                <pic:pic>
                  <pic:nvPicPr>
                    <pic:cNvPr id="481" name="Image 481"/>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5"/>
        </w:rPr>
        <w:t> </w:t>
      </w:r>
      <w:r>
        <w:rPr>
          <w:color w:val="231F20"/>
        </w:rPr>
        <w:t>to visited workspaces retains the link </w:t>
      </w:r>
      <w:r>
        <w:rPr>
          <w:color w:val="231F20"/>
        </w:rPr>
        <w:t>context. As an example, consider a link to a workspace from a table row. The row from which you linked is remembered when you revisit the target workspace.</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30"/>
        <w:ind w:left="2472"/>
      </w:pPr>
      <w:hyperlink w:history="true" w:anchor="_bookmark59">
        <w:r>
          <w:rPr>
            <w:color w:val="231F20"/>
          </w:rPr>
          <w:t>“Defining</w:t>
        </w:r>
        <w:r>
          <w:rPr>
            <w:color w:val="231F20"/>
            <w:spacing w:val="9"/>
          </w:rPr>
          <w:t> </w:t>
        </w:r>
        <w:r>
          <w:rPr>
            <w:color w:val="231F20"/>
          </w:rPr>
          <w:t>links</w:t>
        </w:r>
        <w:r>
          <w:rPr>
            <w:color w:val="231F20"/>
            <w:spacing w:val="10"/>
          </w:rPr>
          <w:t> </w:t>
        </w:r>
        <w:r>
          <w:rPr>
            <w:color w:val="231F20"/>
          </w:rPr>
          <w:t>between</w:t>
        </w:r>
        <w:r>
          <w:rPr>
            <w:color w:val="231F20"/>
            <w:spacing w:val="9"/>
          </w:rPr>
          <w:t> </w:t>
        </w:r>
        <w:r>
          <w:rPr>
            <w:color w:val="231F20"/>
          </w:rPr>
          <w:t>workspaces”</w:t>
        </w:r>
        <w:r>
          <w:rPr>
            <w:color w:val="231F20"/>
            <w:spacing w:val="10"/>
          </w:rPr>
          <w:t> </w:t>
        </w:r>
        <w:r>
          <w:rPr>
            <w:color w:val="231F20"/>
          </w:rPr>
          <w:t>on</w:t>
        </w:r>
        <w:r>
          <w:rPr>
            <w:color w:val="231F20"/>
            <w:spacing w:val="9"/>
          </w:rPr>
          <w:t> </w:t>
        </w:r>
        <w:r>
          <w:rPr>
            <w:color w:val="231F20"/>
          </w:rPr>
          <w:t>page</w:t>
        </w:r>
        <w:r>
          <w:rPr>
            <w:color w:val="231F20"/>
            <w:spacing w:val="10"/>
          </w:rPr>
          <w:t> </w:t>
        </w:r>
        <w:r>
          <w:rPr>
            <w:color w:val="231F20"/>
            <w:spacing w:val="-5"/>
          </w:rPr>
          <w:t>73</w:t>
        </w:r>
      </w:hyperlink>
    </w:p>
    <w:p>
      <w:pPr>
        <w:pStyle w:val="BodyText"/>
        <w:spacing w:line="213" w:lineRule="auto" w:before="8"/>
        <w:ind w:left="2472"/>
      </w:pPr>
      <w:r>
        <w:rPr>
          <w:color w:val="231F20"/>
        </w:rPr>
        <w:t>The Tivoli Enterprise Portal enables you to define a link from one workspace </w:t>
      </w:r>
      <w:r>
        <w:rPr>
          <w:color w:val="231F20"/>
        </w:rPr>
        <w:t>to another. Then you can quickly jump to a related workspace or a sequence of workspaces that you like to frequently review.</w:t>
      </w:r>
    </w:p>
    <w:p>
      <w:pPr>
        <w:pStyle w:val="BodyText"/>
        <w:spacing w:before="4"/>
        <w:rPr>
          <w:sz w:val="16"/>
        </w:rPr>
      </w:pPr>
      <w:r>
        <w:rPr/>
        <mc:AlternateContent>
          <mc:Choice Requires="wps">
            <w:drawing>
              <wp:anchor distT="0" distB="0" distL="0" distR="0" allowOverlap="1" layoutInCell="1" locked="0" behindDoc="1" simplePos="0" relativeHeight="487642112">
                <wp:simplePos x="0" y="0"/>
                <wp:positionH relativeFrom="page">
                  <wp:posOffset>912380</wp:posOffset>
                </wp:positionH>
                <wp:positionV relativeFrom="paragraph">
                  <wp:posOffset>155370</wp:posOffset>
                </wp:positionV>
                <wp:extent cx="6082665" cy="1270"/>
                <wp:effectExtent l="0" t="0" r="0" b="0"/>
                <wp:wrapTopAndBottom/>
                <wp:docPr id="482" name="Graphic 482"/>
                <wp:cNvGraphicFramePr>
                  <a:graphicFrameLocks/>
                </wp:cNvGraphicFramePr>
                <a:graphic>
                  <a:graphicData uri="http://schemas.microsoft.com/office/word/2010/wordprocessingShape">
                    <wps:wsp>
                      <wps:cNvPr id="482" name="Graphic 48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3861pt;width:478.95pt;height:.1pt;mso-position-horizontal-relative:page;mso-position-vertical-relative:paragraph;z-index:-15674368;mso-wrap-distance-left:0;mso-wrap-distance-right:0" id="docshape78"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View title bar and toolbar" w:id="73"/>
      <w:bookmarkEnd w:id="73"/>
      <w:r>
        <w:rPr>
          <w:b w:val="0"/>
        </w:rPr>
      </w:r>
      <w:r>
        <w:rPr>
          <w:color w:val="231F20"/>
        </w:rPr>
        <w:t>View</w:t>
      </w:r>
      <w:r>
        <w:rPr>
          <w:color w:val="231F20"/>
          <w:spacing w:val="8"/>
        </w:rPr>
        <w:t> </w:t>
      </w:r>
      <w:r>
        <w:rPr>
          <w:color w:val="231F20"/>
        </w:rPr>
        <w:t>title</w:t>
      </w:r>
      <w:r>
        <w:rPr>
          <w:color w:val="231F20"/>
          <w:spacing w:val="9"/>
        </w:rPr>
        <w:t> </w:t>
      </w:r>
      <w:r>
        <w:rPr>
          <w:color w:val="231F20"/>
        </w:rPr>
        <w:t>bar</w:t>
      </w:r>
      <w:r>
        <w:rPr>
          <w:color w:val="231F20"/>
          <w:spacing w:val="8"/>
        </w:rPr>
        <w:t> </w:t>
      </w:r>
      <w:r>
        <w:rPr>
          <w:color w:val="231F20"/>
        </w:rPr>
        <w:t>and</w:t>
      </w:r>
      <w:r>
        <w:rPr>
          <w:color w:val="231F20"/>
          <w:spacing w:val="9"/>
        </w:rPr>
        <w:t> </w:t>
      </w:r>
      <w:r>
        <w:rPr>
          <w:color w:val="231F20"/>
          <w:spacing w:val="-2"/>
        </w:rPr>
        <w:t>toolbar</w:t>
      </w:r>
    </w:p>
    <w:p>
      <w:pPr>
        <w:pStyle w:val="BodyText"/>
        <w:spacing w:line="213" w:lineRule="auto" w:before="138"/>
        <w:ind w:left="2472" w:right="545"/>
      </w:pPr>
      <w:r>
        <w:rPr>
          <w:color w:val="231F20"/>
        </w:rPr>
        <w:t>Every workspace view and the Navigator view has a title bar with some or all </w:t>
      </w:r>
      <w:r>
        <w:rPr>
          <w:color w:val="231F20"/>
        </w:rPr>
        <w:t>of</w:t>
      </w:r>
      <w:r>
        <w:rPr>
          <w:color w:val="231F20"/>
          <w:spacing w:val="40"/>
        </w:rPr>
        <w:t> </w:t>
      </w:r>
      <w:r>
        <w:rPr>
          <w:color w:val="231F20"/>
        </w:rPr>
        <w:t>these controls.</w:t>
      </w:r>
    </w:p>
    <w:p>
      <w:pPr>
        <w:spacing w:before="162"/>
        <w:ind w:left="3270" w:right="0" w:firstLine="0"/>
        <w:jc w:val="left"/>
        <w:rPr>
          <w:sz w:val="18"/>
        </w:rPr>
      </w:pPr>
      <w:r>
        <w:rPr/>
        <w:drawing>
          <wp:anchor distT="0" distB="0" distL="0" distR="0" allowOverlap="1" layoutInCell="1" locked="0" behindDoc="0" simplePos="0" relativeHeight="15783424">
            <wp:simplePos x="0" y="0"/>
            <wp:positionH relativeFrom="page">
              <wp:posOffset>2230328</wp:posOffset>
            </wp:positionH>
            <wp:positionV relativeFrom="paragraph">
              <wp:posOffset>171925</wp:posOffset>
            </wp:positionV>
            <wp:extent cx="57150" cy="57150"/>
            <wp:effectExtent l="0" t="0" r="0" b="0"/>
            <wp:wrapNone/>
            <wp:docPr id="483" name="Image 483"/>
            <wp:cNvGraphicFramePr>
              <a:graphicFrameLocks/>
            </wp:cNvGraphicFramePr>
            <a:graphic>
              <a:graphicData uri="http://schemas.openxmlformats.org/drawingml/2006/picture">
                <pic:pic>
                  <pic:nvPicPr>
                    <pic:cNvPr id="483" name="Image 483"/>
                    <pic:cNvPicPr/>
                  </pic:nvPicPr>
                  <pic:blipFill>
                    <a:blip r:embed="rId62" cstate="print"/>
                    <a:stretch>
                      <a:fillRect/>
                    </a:stretch>
                  </pic:blipFill>
                  <pic:spPr>
                    <a:xfrm>
                      <a:off x="0" y="0"/>
                      <a:ext cx="57150" cy="57150"/>
                    </a:xfrm>
                    <a:prstGeom prst="rect">
                      <a:avLst/>
                    </a:prstGeom>
                  </pic:spPr>
                </pic:pic>
              </a:graphicData>
            </a:graphic>
          </wp:anchor>
        </w:drawing>
      </w:r>
      <w:r>
        <w:rPr>
          <w:color w:val="231F20"/>
          <w:sz w:val="18"/>
        </w:rPr>
        <w:t>Opens</w:t>
      </w:r>
      <w:r>
        <w:rPr>
          <w:color w:val="231F20"/>
          <w:spacing w:val="8"/>
          <w:sz w:val="18"/>
        </w:rPr>
        <w:t> </w:t>
      </w:r>
      <w:r>
        <w:rPr>
          <w:color w:val="231F20"/>
          <w:sz w:val="18"/>
        </w:rPr>
        <w:t>the</w:t>
      </w:r>
      <w:r>
        <w:rPr>
          <w:color w:val="231F20"/>
          <w:spacing w:val="9"/>
          <w:sz w:val="18"/>
        </w:rPr>
        <w:t> </w:t>
      </w:r>
      <w:r>
        <w:rPr>
          <w:color w:val="231F20"/>
          <w:sz w:val="18"/>
        </w:rPr>
        <w:t>Properties</w:t>
      </w:r>
      <w:r>
        <w:rPr>
          <w:color w:val="231F20"/>
          <w:spacing w:val="9"/>
          <w:sz w:val="18"/>
        </w:rPr>
        <w:t> </w:t>
      </w:r>
      <w:r>
        <w:rPr>
          <w:color w:val="231F20"/>
          <w:sz w:val="18"/>
        </w:rPr>
        <w:t>editor</w:t>
      </w:r>
      <w:r>
        <w:rPr>
          <w:color w:val="231F20"/>
          <w:spacing w:val="9"/>
          <w:sz w:val="18"/>
        </w:rPr>
        <w:t> </w:t>
      </w:r>
      <w:r>
        <w:rPr>
          <w:color w:val="231F20"/>
          <w:sz w:val="18"/>
        </w:rPr>
        <w:t>to</w:t>
      </w:r>
      <w:r>
        <w:rPr>
          <w:color w:val="231F20"/>
          <w:spacing w:val="9"/>
          <w:sz w:val="18"/>
        </w:rPr>
        <w:t> </w:t>
      </w:r>
      <w:r>
        <w:rPr>
          <w:color w:val="231F20"/>
          <w:sz w:val="18"/>
        </w:rPr>
        <w:t>the</w:t>
      </w:r>
      <w:r>
        <w:rPr>
          <w:color w:val="231F20"/>
          <w:spacing w:val="9"/>
          <w:sz w:val="18"/>
        </w:rPr>
        <w:t> </w:t>
      </w:r>
      <w:r>
        <w:rPr>
          <w:color w:val="231F20"/>
          <w:sz w:val="18"/>
        </w:rPr>
        <w:t>properties</w:t>
      </w:r>
      <w:r>
        <w:rPr>
          <w:color w:val="231F20"/>
          <w:spacing w:val="9"/>
          <w:sz w:val="18"/>
        </w:rPr>
        <w:t> </w:t>
      </w:r>
      <w:r>
        <w:rPr>
          <w:color w:val="231F20"/>
          <w:sz w:val="18"/>
        </w:rPr>
        <w:t>for</w:t>
      </w:r>
      <w:r>
        <w:rPr>
          <w:color w:val="231F20"/>
          <w:spacing w:val="9"/>
          <w:sz w:val="18"/>
        </w:rPr>
        <w:t> </w:t>
      </w:r>
      <w:r>
        <w:rPr>
          <w:color w:val="231F20"/>
          <w:sz w:val="18"/>
        </w:rPr>
        <w:t>the</w:t>
      </w:r>
      <w:r>
        <w:rPr>
          <w:color w:val="231F20"/>
          <w:spacing w:val="9"/>
          <w:sz w:val="18"/>
        </w:rPr>
        <w:t> </w:t>
      </w:r>
      <w:r>
        <w:rPr>
          <w:color w:val="231F20"/>
          <w:spacing w:val="-4"/>
          <w:sz w:val="18"/>
        </w:rPr>
        <w:t>view.</w:t>
      </w:r>
    </w:p>
    <w:p>
      <w:pPr>
        <w:spacing w:line="216" w:lineRule="auto" w:before="95"/>
        <w:ind w:left="3270" w:right="0" w:firstLine="0"/>
        <w:jc w:val="left"/>
        <w:rPr>
          <w:sz w:val="18"/>
        </w:rPr>
      </w:pPr>
      <w:r>
        <w:rPr/>
        <w:drawing>
          <wp:anchor distT="0" distB="0" distL="0" distR="0" allowOverlap="1" layoutInCell="1" locked="0" behindDoc="0" simplePos="0" relativeHeight="15783936">
            <wp:simplePos x="0" y="0"/>
            <wp:positionH relativeFrom="page">
              <wp:posOffset>2217628</wp:posOffset>
            </wp:positionH>
            <wp:positionV relativeFrom="paragraph">
              <wp:posOffset>104930</wp:posOffset>
            </wp:positionV>
            <wp:extent cx="57150" cy="63500"/>
            <wp:effectExtent l="0" t="0" r="0" b="0"/>
            <wp:wrapNone/>
            <wp:docPr id="484" name="Image 484"/>
            <wp:cNvGraphicFramePr>
              <a:graphicFrameLocks/>
            </wp:cNvGraphicFramePr>
            <a:graphic>
              <a:graphicData uri="http://schemas.openxmlformats.org/drawingml/2006/picture">
                <pic:pic>
                  <pic:nvPicPr>
                    <pic:cNvPr id="484" name="Image 484"/>
                    <pic:cNvPicPr/>
                  </pic:nvPicPr>
                  <pic:blipFill>
                    <a:blip r:embed="rId63" cstate="print"/>
                    <a:stretch>
                      <a:fillRect/>
                    </a:stretch>
                  </pic:blipFill>
                  <pic:spPr>
                    <a:xfrm>
                      <a:off x="0" y="0"/>
                      <a:ext cx="57150" cy="63500"/>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2372787</wp:posOffset>
            </wp:positionH>
            <wp:positionV relativeFrom="paragraph">
              <wp:posOffset>104930</wp:posOffset>
            </wp:positionV>
            <wp:extent cx="57150" cy="63500"/>
            <wp:effectExtent l="0" t="0" r="0" b="0"/>
            <wp:wrapNone/>
            <wp:docPr id="485" name="Image 485"/>
            <wp:cNvGraphicFramePr>
              <a:graphicFrameLocks/>
            </wp:cNvGraphicFramePr>
            <a:graphic>
              <a:graphicData uri="http://schemas.openxmlformats.org/drawingml/2006/picture">
                <pic:pic>
                  <pic:nvPicPr>
                    <pic:cNvPr id="485" name="Image 485"/>
                    <pic:cNvPicPr/>
                  </pic:nvPicPr>
                  <pic:blipFill>
                    <a:blip r:embed="rId64" cstate="print"/>
                    <a:stretch>
                      <a:fillRect/>
                    </a:stretch>
                  </pic:blipFill>
                  <pic:spPr>
                    <a:xfrm>
                      <a:off x="0" y="0"/>
                      <a:ext cx="57150" cy="63500"/>
                    </a:xfrm>
                    <a:prstGeom prst="rect">
                      <a:avLst/>
                    </a:prstGeom>
                  </pic:spPr>
                </pic:pic>
              </a:graphicData>
            </a:graphic>
          </wp:anchor>
        </w:drawing>
      </w:r>
      <w:r>
        <w:rPr>
          <w:color w:val="231F20"/>
          <w:sz w:val="18"/>
        </w:rPr>
        <w:t>Shows or hides the view toolbar. This button does not display if the view has no </w:t>
      </w:r>
      <w:r>
        <w:rPr>
          <w:color w:val="231F20"/>
          <w:spacing w:val="-2"/>
          <w:sz w:val="18"/>
        </w:rPr>
        <w:t>toolbar.</w:t>
      </w:r>
    </w:p>
    <w:p>
      <w:pPr>
        <w:spacing w:before="83"/>
        <w:ind w:left="3270" w:right="0" w:firstLine="0"/>
        <w:jc w:val="left"/>
        <w:rPr>
          <w:sz w:val="18"/>
        </w:rPr>
      </w:pPr>
      <w:r>
        <w:rPr/>
        <w:drawing>
          <wp:anchor distT="0" distB="0" distL="0" distR="0" allowOverlap="1" layoutInCell="1" locked="0" behindDoc="0" simplePos="0" relativeHeight="15784960">
            <wp:simplePos x="0" y="0"/>
            <wp:positionH relativeFrom="page">
              <wp:posOffset>2217628</wp:posOffset>
            </wp:positionH>
            <wp:positionV relativeFrom="paragraph">
              <wp:posOffset>109116</wp:posOffset>
            </wp:positionV>
            <wp:extent cx="88900" cy="88900"/>
            <wp:effectExtent l="0" t="0" r="0" b="0"/>
            <wp:wrapNone/>
            <wp:docPr id="486" name="Image 486"/>
            <wp:cNvGraphicFramePr>
              <a:graphicFrameLocks/>
            </wp:cNvGraphicFramePr>
            <a:graphic>
              <a:graphicData uri="http://schemas.openxmlformats.org/drawingml/2006/picture">
                <pic:pic>
                  <pic:nvPicPr>
                    <pic:cNvPr id="486" name="Image 486"/>
                    <pic:cNvPicPr/>
                  </pic:nvPicPr>
                  <pic:blipFill>
                    <a:blip r:embed="rId65" cstate="print"/>
                    <a:stretch>
                      <a:fillRect/>
                    </a:stretch>
                  </pic:blipFill>
                  <pic:spPr>
                    <a:xfrm>
                      <a:off x="0" y="0"/>
                      <a:ext cx="88900" cy="88900"/>
                    </a:xfrm>
                    <a:prstGeom prst="rect">
                      <a:avLst/>
                    </a:prstGeom>
                  </pic:spPr>
                </pic:pic>
              </a:graphicData>
            </a:graphic>
          </wp:anchor>
        </w:drawing>
      </w:r>
      <w:r>
        <w:rPr>
          <w:color w:val="231F20"/>
          <w:sz w:val="18"/>
        </w:rPr>
        <w:t>Splits</w:t>
      </w:r>
      <w:r>
        <w:rPr>
          <w:color w:val="231F20"/>
          <w:spacing w:val="8"/>
          <w:sz w:val="18"/>
        </w:rPr>
        <w:t> </w:t>
      </w:r>
      <w:r>
        <w:rPr>
          <w:color w:val="231F20"/>
          <w:sz w:val="18"/>
        </w:rPr>
        <w:t>the</w:t>
      </w:r>
      <w:r>
        <w:rPr>
          <w:color w:val="231F20"/>
          <w:spacing w:val="9"/>
          <w:sz w:val="18"/>
        </w:rPr>
        <w:t> </w:t>
      </w:r>
      <w:r>
        <w:rPr>
          <w:color w:val="231F20"/>
          <w:sz w:val="18"/>
        </w:rPr>
        <w:t>Navigator</w:t>
      </w:r>
      <w:r>
        <w:rPr>
          <w:color w:val="231F20"/>
          <w:spacing w:val="9"/>
          <w:sz w:val="18"/>
        </w:rPr>
        <w:t> </w:t>
      </w:r>
      <w:r>
        <w:rPr>
          <w:color w:val="231F20"/>
          <w:sz w:val="18"/>
        </w:rPr>
        <w:t>horizontally</w:t>
      </w:r>
      <w:r>
        <w:rPr>
          <w:color w:val="231F20"/>
          <w:spacing w:val="8"/>
          <w:sz w:val="18"/>
        </w:rPr>
        <w:t> </w:t>
      </w:r>
      <w:r>
        <w:rPr>
          <w:color w:val="231F20"/>
          <w:sz w:val="18"/>
        </w:rPr>
        <w:t>to</w:t>
      </w:r>
      <w:r>
        <w:rPr>
          <w:color w:val="231F20"/>
          <w:spacing w:val="9"/>
          <w:sz w:val="18"/>
        </w:rPr>
        <w:t> </w:t>
      </w:r>
      <w:r>
        <w:rPr>
          <w:color w:val="231F20"/>
          <w:sz w:val="18"/>
        </w:rPr>
        <w:t>create</w:t>
      </w:r>
      <w:r>
        <w:rPr>
          <w:color w:val="231F20"/>
          <w:spacing w:val="9"/>
          <w:sz w:val="18"/>
        </w:rPr>
        <w:t> </w:t>
      </w:r>
      <w:r>
        <w:rPr>
          <w:color w:val="231F20"/>
          <w:sz w:val="18"/>
        </w:rPr>
        <w:t>a</w:t>
      </w:r>
      <w:r>
        <w:rPr>
          <w:color w:val="231F20"/>
          <w:spacing w:val="8"/>
          <w:sz w:val="18"/>
        </w:rPr>
        <w:t> </w:t>
      </w:r>
      <w:r>
        <w:rPr>
          <w:color w:val="231F20"/>
          <w:sz w:val="18"/>
        </w:rPr>
        <w:t>new</w:t>
      </w:r>
      <w:r>
        <w:rPr>
          <w:color w:val="231F20"/>
          <w:spacing w:val="9"/>
          <w:sz w:val="18"/>
        </w:rPr>
        <w:t> </w:t>
      </w:r>
      <w:r>
        <w:rPr>
          <w:color w:val="231F20"/>
          <w:sz w:val="18"/>
        </w:rPr>
        <w:t>workspace</w:t>
      </w:r>
      <w:r>
        <w:rPr>
          <w:color w:val="231F20"/>
          <w:spacing w:val="9"/>
          <w:sz w:val="18"/>
        </w:rPr>
        <w:t> </w:t>
      </w:r>
      <w:r>
        <w:rPr>
          <w:color w:val="231F20"/>
          <w:spacing w:val="-2"/>
          <w:sz w:val="18"/>
        </w:rPr>
        <w:t>view.</w:t>
      </w:r>
    </w:p>
    <w:p>
      <w:pPr>
        <w:spacing w:line="216" w:lineRule="auto" w:before="95"/>
        <w:ind w:left="3270" w:right="545" w:firstLine="0"/>
        <w:jc w:val="left"/>
        <w:rPr>
          <w:sz w:val="18"/>
        </w:rPr>
      </w:pPr>
      <w:r>
        <w:rPr/>
        <w:drawing>
          <wp:anchor distT="0" distB="0" distL="0" distR="0" allowOverlap="1" layoutInCell="1" locked="0" behindDoc="0" simplePos="0" relativeHeight="15785472">
            <wp:simplePos x="0" y="0"/>
            <wp:positionH relativeFrom="page">
              <wp:posOffset>2223978</wp:posOffset>
            </wp:positionH>
            <wp:positionV relativeFrom="paragraph">
              <wp:posOffset>111310</wp:posOffset>
            </wp:positionV>
            <wp:extent cx="69850" cy="69850"/>
            <wp:effectExtent l="0" t="0" r="0" b="0"/>
            <wp:wrapNone/>
            <wp:docPr id="487" name="Image 487"/>
            <wp:cNvGraphicFramePr>
              <a:graphicFrameLocks/>
            </wp:cNvGraphicFramePr>
            <a:graphic>
              <a:graphicData uri="http://schemas.openxmlformats.org/drawingml/2006/picture">
                <pic:pic>
                  <pic:nvPicPr>
                    <pic:cNvPr id="487" name="Image 487"/>
                    <pic:cNvPicPr/>
                  </pic:nvPicPr>
                  <pic:blipFill>
                    <a:blip r:embed="rId67" cstate="print"/>
                    <a:stretch>
                      <a:fillRect/>
                    </a:stretch>
                  </pic:blipFill>
                  <pic:spPr>
                    <a:xfrm>
                      <a:off x="0" y="0"/>
                      <a:ext cx="69850" cy="69850"/>
                    </a:xfrm>
                    <a:prstGeom prst="rect">
                      <a:avLst/>
                    </a:prstGeom>
                  </pic:spPr>
                </pic:pic>
              </a:graphicData>
            </a:graphic>
          </wp:anchor>
        </w:drawing>
      </w:r>
      <w:r>
        <w:rPr>
          <w:color w:val="231F20"/>
          <w:sz w:val="18"/>
        </w:rPr>
        <w:t>Maximizes a view for a closer look. Click </w:t>
      </w:r>
      <w:r>
        <w:rPr>
          <w:rFonts w:ascii="Book Antiqua"/>
          <w:b/>
          <w:color w:val="231F20"/>
          <w:sz w:val="18"/>
        </w:rPr>
        <w:t>Restore </w:t>
      </w:r>
      <w:r>
        <w:rPr>
          <w:color w:val="231F20"/>
          <w:sz w:val="18"/>
        </w:rPr>
        <w:t>to return to the original size. You can save the workspace with the view maximized.</w:t>
      </w:r>
    </w:p>
    <w:p>
      <w:pPr>
        <w:spacing w:line="216" w:lineRule="auto" w:before="102"/>
        <w:ind w:left="3270" w:right="493" w:firstLine="0"/>
        <w:jc w:val="left"/>
        <w:rPr>
          <w:sz w:val="18"/>
        </w:rPr>
      </w:pPr>
      <w:r>
        <w:rPr/>
        <w:drawing>
          <wp:anchor distT="0" distB="0" distL="0" distR="0" allowOverlap="1" layoutInCell="1" locked="0" behindDoc="0" simplePos="0" relativeHeight="15785984">
            <wp:simplePos x="0" y="0"/>
            <wp:positionH relativeFrom="page">
              <wp:posOffset>2211278</wp:posOffset>
            </wp:positionH>
            <wp:positionV relativeFrom="paragraph">
              <wp:posOffset>102824</wp:posOffset>
            </wp:positionV>
            <wp:extent cx="95250" cy="95250"/>
            <wp:effectExtent l="0" t="0" r="0" b="0"/>
            <wp:wrapNone/>
            <wp:docPr id="488" name="Image 488"/>
            <wp:cNvGraphicFramePr>
              <a:graphicFrameLocks/>
            </wp:cNvGraphicFramePr>
            <a:graphic>
              <a:graphicData uri="http://schemas.openxmlformats.org/drawingml/2006/picture">
                <pic:pic>
                  <pic:nvPicPr>
                    <pic:cNvPr id="488" name="Image 488"/>
                    <pic:cNvPicPr/>
                  </pic:nvPicPr>
                  <pic:blipFill>
                    <a:blip r:embed="rId69" cstate="print"/>
                    <a:stretch>
                      <a:fillRect/>
                    </a:stretch>
                  </pic:blipFill>
                  <pic:spPr>
                    <a:xfrm>
                      <a:off x="0" y="0"/>
                      <a:ext cx="95250" cy="95250"/>
                    </a:xfrm>
                    <a:prstGeom prst="rect">
                      <a:avLst/>
                    </a:prstGeom>
                  </pic:spPr>
                </pic:pic>
              </a:graphicData>
            </a:graphic>
          </wp:anchor>
        </w:drawing>
      </w:r>
      <w:r>
        <w:rPr>
          <w:color w:val="231F20"/>
          <w:sz w:val="18"/>
        </w:rPr>
        <w:t>Removes a view. There is no undo for this action except to open a different workspace and answer No when a message asks if you want to save the workspace; -OR- Select </w:t>
      </w:r>
      <w:r>
        <w:rPr>
          <w:rFonts w:ascii="Book Antiqua"/>
          <w:b/>
          <w:color w:val="231F20"/>
          <w:sz w:val="18"/>
        </w:rPr>
        <w:t>File &gt; Save As </w:t>
      </w:r>
      <w:r>
        <w:rPr>
          <w:color w:val="231F20"/>
          <w:sz w:val="18"/>
        </w:rPr>
        <w:t>to keep the original workspace with the view intact and create a new workspace without this view.</w:t>
      </w:r>
    </w:p>
    <w:p>
      <w:pPr>
        <w:spacing w:after="0" w:line="216" w:lineRule="auto"/>
        <w:jc w:val="left"/>
        <w:rPr>
          <w:sz w:val="18"/>
        </w:rPr>
        <w:sectPr>
          <w:pgSz w:w="12240" w:h="15840"/>
          <w:pgMar w:header="0" w:footer="736" w:top="1140" w:bottom="920" w:left="1000" w:right="1060"/>
        </w:sectPr>
      </w:pPr>
    </w:p>
    <w:p>
      <w:pPr>
        <w:pStyle w:val="BodyText"/>
        <w:spacing w:line="213" w:lineRule="auto" w:before="85"/>
        <w:ind w:left="2232" w:right="545"/>
      </w:pPr>
      <w:bookmarkStart w:name="_bookmark32" w:id="74"/>
      <w:bookmarkEnd w:id="74"/>
      <w:r>
        <w:rPr/>
      </w:r>
      <w:r>
        <w:rPr>
          <w:color w:val="231F20"/>
        </w:rPr>
        <w:t>Most view types have a toolbar for performing specific actions in the view. A common tool is </w:t>
      </w:r>
      <w:r>
        <w:rPr>
          <w:color w:val="231F20"/>
          <w:spacing w:val="16"/>
          <w:position w:val="-1"/>
        </w:rPr>
        <w:drawing>
          <wp:inline distT="0" distB="0" distL="0" distR="0">
            <wp:extent cx="101600" cy="101600"/>
            <wp:effectExtent l="0" t="0" r="0" b="0"/>
            <wp:docPr id="489" name="Image 489"/>
            <wp:cNvGraphicFramePr>
              <a:graphicFrameLocks/>
            </wp:cNvGraphicFramePr>
            <a:graphic>
              <a:graphicData uri="http://schemas.openxmlformats.org/drawingml/2006/picture">
                <pic:pic>
                  <pic:nvPicPr>
                    <pic:cNvPr id="489" name="Image 489"/>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Find</w:t>
      </w:r>
      <w:r>
        <w:rPr>
          <w:color w:val="231F20"/>
        </w:rPr>
        <w:t>, which is available for finding values in the browser view, notepad view, table view, message log view, and the event console views. Another tool,</w:t>
      </w:r>
      <w:r>
        <w:rPr>
          <w:color w:val="231F20"/>
          <w:spacing w:val="36"/>
        </w:rPr>
        <w:t> </w:t>
      </w:r>
      <w:r>
        <w:rPr>
          <w:color w:val="231F20"/>
          <w:spacing w:val="-24"/>
          <w:position w:val="-1"/>
        </w:rPr>
        <w:drawing>
          <wp:inline distT="0" distB="0" distL="0" distR="0">
            <wp:extent cx="95250" cy="95250"/>
            <wp:effectExtent l="0" t="0" r="0" b="0"/>
            <wp:docPr id="490" name="Image 490"/>
            <wp:cNvGraphicFramePr>
              <a:graphicFrameLocks/>
            </wp:cNvGraphicFramePr>
            <a:graphic>
              <a:graphicData uri="http://schemas.openxmlformats.org/drawingml/2006/picture">
                <pic:pic>
                  <pic:nvPicPr>
                    <pic:cNvPr id="490" name="Image 490"/>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Time</w:t>
      </w:r>
      <w:r>
        <w:rPr>
          <w:rFonts w:ascii="Book Antiqua"/>
          <w:b/>
          <w:color w:val="231F20"/>
          <w:spacing w:val="24"/>
        </w:rPr>
        <w:t> </w:t>
      </w:r>
      <w:r>
        <w:rPr>
          <w:rFonts w:ascii="Book Antiqua"/>
          <w:b/>
          <w:color w:val="231F20"/>
        </w:rPr>
        <w:t>span</w:t>
      </w:r>
      <w:r>
        <w:rPr>
          <w:color w:val="231F20"/>
        </w:rPr>
        <w:t>,</w:t>
      </w:r>
      <w:r>
        <w:rPr>
          <w:color w:val="231F20"/>
          <w:spacing w:val="24"/>
        </w:rPr>
        <w:t> </w:t>
      </w:r>
      <w:r>
        <w:rPr>
          <w:color w:val="231F20"/>
        </w:rPr>
        <w:t>is</w:t>
      </w:r>
      <w:r>
        <w:rPr>
          <w:color w:val="231F20"/>
          <w:spacing w:val="24"/>
        </w:rPr>
        <w:t> </w:t>
      </w:r>
      <w:r>
        <w:rPr>
          <w:color w:val="231F20"/>
        </w:rPr>
        <w:t>for</w:t>
      </w:r>
      <w:r>
        <w:rPr>
          <w:color w:val="231F20"/>
          <w:spacing w:val="24"/>
        </w:rPr>
        <w:t> </w:t>
      </w:r>
      <w:r>
        <w:rPr>
          <w:color w:val="231F20"/>
        </w:rPr>
        <w:t>specifying</w:t>
      </w:r>
      <w:r>
        <w:rPr>
          <w:color w:val="231F20"/>
          <w:spacing w:val="24"/>
        </w:rPr>
        <w:t> </w:t>
      </w:r>
      <w:r>
        <w:rPr>
          <w:color w:val="231F20"/>
        </w:rPr>
        <w:t>the</w:t>
      </w:r>
      <w:r>
        <w:rPr>
          <w:color w:val="231F20"/>
          <w:spacing w:val="24"/>
        </w:rPr>
        <w:t> </w:t>
      </w:r>
      <w:r>
        <w:rPr>
          <w:color w:val="231F20"/>
        </w:rPr>
        <w:t>time</w:t>
      </w:r>
      <w:r>
        <w:rPr>
          <w:color w:val="231F20"/>
          <w:spacing w:val="24"/>
        </w:rPr>
        <w:t> </w:t>
      </w:r>
      <w:r>
        <w:rPr>
          <w:color w:val="231F20"/>
        </w:rPr>
        <w:t>period</w:t>
      </w:r>
      <w:r>
        <w:rPr>
          <w:color w:val="231F20"/>
          <w:spacing w:val="24"/>
        </w:rPr>
        <w:t> </w:t>
      </w:r>
      <w:r>
        <w:rPr>
          <w:color w:val="231F20"/>
        </w:rPr>
        <w:t>to</w:t>
      </w:r>
      <w:r>
        <w:rPr>
          <w:color w:val="231F20"/>
          <w:spacing w:val="24"/>
        </w:rPr>
        <w:t> </w:t>
      </w:r>
      <w:r>
        <w:rPr>
          <w:color w:val="231F20"/>
        </w:rPr>
        <w:t>be</w:t>
      </w:r>
      <w:r>
        <w:rPr>
          <w:color w:val="231F20"/>
          <w:spacing w:val="24"/>
        </w:rPr>
        <w:t> </w:t>
      </w:r>
      <w:r>
        <w:rPr>
          <w:color w:val="231F20"/>
        </w:rPr>
        <w:t>displayed</w:t>
      </w:r>
      <w:r>
        <w:rPr>
          <w:color w:val="231F20"/>
          <w:spacing w:val="24"/>
        </w:rPr>
        <w:t> </w:t>
      </w:r>
      <w:r>
        <w:rPr>
          <w:color w:val="231F20"/>
        </w:rPr>
        <w:t>in</w:t>
      </w:r>
      <w:r>
        <w:rPr>
          <w:color w:val="231F20"/>
          <w:spacing w:val="24"/>
        </w:rPr>
        <w:t> </w:t>
      </w:r>
      <w:r>
        <w:rPr>
          <w:color w:val="231F20"/>
        </w:rPr>
        <w:t>a</w:t>
      </w:r>
    </w:p>
    <w:p>
      <w:pPr>
        <w:pStyle w:val="BodyText"/>
        <w:spacing w:line="244" w:lineRule="exact"/>
        <w:ind w:left="2232"/>
      </w:pPr>
      <w:r>
        <w:rPr>
          <w:color w:val="231F20"/>
        </w:rPr>
        <w:t>query-based</w:t>
      </w:r>
      <w:r>
        <w:rPr>
          <w:color w:val="231F20"/>
          <w:spacing w:val="10"/>
        </w:rPr>
        <w:t> </w:t>
      </w:r>
      <w:r>
        <w:rPr>
          <w:color w:val="231F20"/>
        </w:rPr>
        <w:t>view</w:t>
      </w:r>
      <w:r>
        <w:rPr>
          <w:color w:val="231F20"/>
          <w:spacing w:val="11"/>
        </w:rPr>
        <w:t> </w:t>
      </w:r>
      <w:r>
        <w:rPr>
          <w:color w:val="231F20"/>
        </w:rPr>
        <w:t>when</w:t>
      </w:r>
      <w:r>
        <w:rPr>
          <w:color w:val="231F20"/>
          <w:spacing w:val="10"/>
        </w:rPr>
        <w:t> </w:t>
      </w:r>
      <w:r>
        <w:rPr>
          <w:color w:val="231F20"/>
        </w:rPr>
        <w:t>historical</w:t>
      </w:r>
      <w:r>
        <w:rPr>
          <w:color w:val="231F20"/>
          <w:spacing w:val="11"/>
        </w:rPr>
        <w:t> </w:t>
      </w:r>
      <w:r>
        <w:rPr>
          <w:color w:val="231F20"/>
        </w:rPr>
        <w:t>data</w:t>
      </w:r>
      <w:r>
        <w:rPr>
          <w:color w:val="231F20"/>
          <w:spacing w:val="10"/>
        </w:rPr>
        <w:t> </w:t>
      </w:r>
      <w:r>
        <w:rPr>
          <w:color w:val="231F20"/>
        </w:rPr>
        <w:t>is</w:t>
      </w:r>
      <w:r>
        <w:rPr>
          <w:color w:val="231F20"/>
          <w:spacing w:val="11"/>
        </w:rPr>
        <w:t> </w:t>
      </w:r>
      <w:r>
        <w:rPr>
          <w:color w:val="231F20"/>
        </w:rPr>
        <w:t>being</w:t>
      </w:r>
      <w:r>
        <w:rPr>
          <w:color w:val="231F20"/>
          <w:spacing w:val="10"/>
        </w:rPr>
        <w:t> </w:t>
      </w:r>
      <w:r>
        <w:rPr>
          <w:color w:val="231F20"/>
        </w:rPr>
        <w:t>collected</w:t>
      </w:r>
      <w:r>
        <w:rPr>
          <w:color w:val="231F20"/>
          <w:spacing w:val="11"/>
        </w:rPr>
        <w:t> </w:t>
      </w:r>
      <w:r>
        <w:rPr>
          <w:color w:val="231F20"/>
        </w:rPr>
        <w:t>for</w:t>
      </w:r>
      <w:r>
        <w:rPr>
          <w:color w:val="231F20"/>
          <w:spacing w:val="10"/>
        </w:rPr>
        <w:t> </w:t>
      </w:r>
      <w:r>
        <w:rPr>
          <w:color w:val="231F20"/>
          <w:spacing w:val="-5"/>
        </w:rPr>
        <w:t>it.</w:t>
      </w:r>
    </w:p>
    <w:p>
      <w:pPr>
        <w:pStyle w:val="BodyText"/>
        <w:spacing w:before="13"/>
        <w:rPr>
          <w:sz w:val="15"/>
        </w:rPr>
      </w:pPr>
      <w:r>
        <w:rPr/>
        <mc:AlternateContent>
          <mc:Choice Requires="wps">
            <w:drawing>
              <wp:anchor distT="0" distB="0" distL="0" distR="0" allowOverlap="1" layoutInCell="1" locked="0" behindDoc="1" simplePos="0" relativeHeight="487645696">
                <wp:simplePos x="0" y="0"/>
                <wp:positionH relativeFrom="page">
                  <wp:posOffset>760323</wp:posOffset>
                </wp:positionH>
                <wp:positionV relativeFrom="paragraph">
                  <wp:posOffset>152022</wp:posOffset>
                </wp:positionV>
                <wp:extent cx="6082665" cy="1270"/>
                <wp:effectExtent l="0" t="0" r="0" b="0"/>
                <wp:wrapTopAndBottom/>
                <wp:docPr id="491" name="Graphic 491"/>
                <wp:cNvGraphicFramePr>
                  <a:graphicFrameLocks/>
                </wp:cNvGraphicFramePr>
                <a:graphic>
                  <a:graphicData uri="http://schemas.microsoft.com/office/word/2010/wordprocessingShape">
                    <wps:wsp>
                      <wps:cNvPr id="491" name="Graphic 49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70287pt;width:478.95pt;height:.1pt;mso-position-horizontal-relative:page;mso-position-vertical-relative:paragraph;z-index:-15670784;mso-wrap-distance-left:0;mso-wrap-distance-right:0" id="docshape79" coordorigin="1197,239" coordsize="9579,0" path="m1197,239l10776,239e" filled="false" stroked="true" strokeweight=".499pt" strokecolor="#231f20">
                <v:path arrowok="t"/>
                <v:stroke dashstyle="solid"/>
                <w10:wrap type="topAndBottom"/>
              </v:shape>
            </w:pict>
          </mc:Fallback>
        </mc:AlternateContent>
      </w:r>
    </w:p>
    <w:p>
      <w:pPr>
        <w:pStyle w:val="Heading3"/>
        <w:ind w:left="0" w:right="5960"/>
        <w:jc w:val="right"/>
      </w:pPr>
      <w:bookmarkStart w:name="Setting a time span to display" w:id="75"/>
      <w:bookmarkEnd w:id="75"/>
      <w:r>
        <w:rPr>
          <w:b w:val="0"/>
        </w:rPr>
      </w:r>
      <w:r>
        <w:rPr>
          <w:color w:val="231F20"/>
        </w:rPr>
        <w:t>Setting</w:t>
      </w:r>
      <w:r>
        <w:rPr>
          <w:color w:val="231F20"/>
          <w:spacing w:val="9"/>
        </w:rPr>
        <w:t> </w:t>
      </w:r>
      <w:r>
        <w:rPr>
          <w:color w:val="231F20"/>
        </w:rPr>
        <w:t>a</w:t>
      </w:r>
      <w:r>
        <w:rPr>
          <w:color w:val="231F20"/>
          <w:spacing w:val="10"/>
        </w:rPr>
        <w:t> </w:t>
      </w:r>
      <w:r>
        <w:rPr>
          <w:color w:val="231F20"/>
        </w:rPr>
        <w:t>time</w:t>
      </w:r>
      <w:r>
        <w:rPr>
          <w:color w:val="231F20"/>
          <w:spacing w:val="10"/>
        </w:rPr>
        <w:t> </w:t>
      </w:r>
      <w:r>
        <w:rPr>
          <w:color w:val="231F20"/>
        </w:rPr>
        <w:t>span</w:t>
      </w:r>
      <w:r>
        <w:rPr>
          <w:color w:val="231F20"/>
          <w:spacing w:val="10"/>
        </w:rPr>
        <w:t> </w:t>
      </w:r>
      <w:r>
        <w:rPr>
          <w:color w:val="231F20"/>
        </w:rPr>
        <w:t>to</w:t>
      </w:r>
      <w:r>
        <w:rPr>
          <w:color w:val="231F20"/>
          <w:spacing w:val="10"/>
        </w:rPr>
        <w:t> </w:t>
      </w:r>
      <w:r>
        <w:rPr>
          <w:color w:val="231F20"/>
          <w:spacing w:val="-2"/>
        </w:rPr>
        <w:t>display</w:t>
      </w:r>
    </w:p>
    <w:p>
      <w:pPr>
        <w:pStyle w:val="BodyText"/>
        <w:spacing w:line="213" w:lineRule="auto" w:before="138"/>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Heading4"/>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88"/>
      </w:pPr>
      <w:r>
        <w:rPr>
          <w:color w:val="231F20"/>
        </w:rPr>
        <w:t>Historical data collection must be configured and distributed to the managed</w:t>
      </w:r>
      <w:r>
        <w:rPr>
          <w:color w:val="231F20"/>
          <w:spacing w:val="40"/>
        </w:rPr>
        <w:t> </w:t>
      </w:r>
      <w:r>
        <w:rPr>
          <w:color w:val="231F20"/>
        </w:rPr>
        <w:t>systems that you are querying data from. Otherwise, </w:t>
      </w:r>
      <w:r>
        <w:rPr>
          <w:color w:val="231F20"/>
          <w:spacing w:val="-25"/>
          <w:position w:val="-1"/>
        </w:rPr>
        <w:drawing>
          <wp:inline distT="0" distB="0" distL="0" distR="0">
            <wp:extent cx="95250" cy="95250"/>
            <wp:effectExtent l="0" t="0" r="0" b="0"/>
            <wp:docPr id="492" name="Image 492"/>
            <wp:cNvGraphicFramePr>
              <a:graphicFrameLocks/>
            </wp:cNvGraphicFramePr>
            <a:graphic>
              <a:graphicData uri="http://schemas.openxmlformats.org/drawingml/2006/picture">
                <pic:pic>
                  <pic:nvPicPr>
                    <pic:cNvPr id="492" name="Image 492"/>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16"/>
        </w:rPr>
        <w:t> </w:t>
      </w:r>
      <w:r>
        <w:rPr>
          <w:rFonts w:ascii="Book Antiqua"/>
          <w:b/>
          <w:color w:val="231F20"/>
        </w:rPr>
        <w:t>Time Span </w:t>
      </w:r>
      <w:r>
        <w:rPr>
          <w:color w:val="231F20"/>
        </w:rPr>
        <w:t>is not </w:t>
      </w:r>
      <w:r>
        <w:rPr>
          <w:color w:val="231F20"/>
        </w:rPr>
        <w:t>displayed in the toolbar of the query-based view.</w:t>
      </w:r>
    </w:p>
    <w:p>
      <w:pPr>
        <w:pStyle w:val="BodyText"/>
        <w:spacing w:line="213" w:lineRule="auto" w:before="237"/>
        <w:ind w:left="2232" w:right="545"/>
      </w:pPr>
      <w:r>
        <w:rPr>
          <w:color w:val="231F20"/>
        </w:rPr>
        <w:t>Some attributes groups, such as Situation Status and the Windows Event Log, are historical in nature and show all their entries without you having to specify a time span. For these types of attribute groups, you do not need to configure history collection unless you want to roll off to a data warehouse for long-term storage or limit the amount of data displayed. Thus, the time span feature, rather than</w:t>
      </w:r>
      <w:r>
        <w:rPr>
          <w:color w:val="231F20"/>
          <w:spacing w:val="80"/>
        </w:rPr>
        <w:t> </w:t>
      </w:r>
      <w:r>
        <w:rPr>
          <w:color w:val="231F20"/>
        </w:rPr>
        <w:t>showing more data, limits the data reported to the time period indicated.</w:t>
      </w:r>
    </w:p>
    <w:p>
      <w:pPr>
        <w:pStyle w:val="BodyText"/>
        <w:spacing w:line="213" w:lineRule="auto" w:before="236"/>
        <w:ind w:left="2232" w:right="545"/>
      </w:pPr>
      <w:r>
        <w:rPr>
          <w:color w:val="231F20"/>
        </w:rPr>
        <w:t>Even if data collection has been started, you cannot use the time span feature if the</w:t>
      </w:r>
      <w:r>
        <w:rPr>
          <w:color w:val="231F20"/>
          <w:spacing w:val="40"/>
        </w:rPr>
        <w:t> </w:t>
      </w:r>
      <w:r>
        <w:rPr>
          <w:color w:val="231F20"/>
        </w:rPr>
        <w:t>query for the chart or table includes any column functions. If this is the case, you</w:t>
      </w:r>
      <w:r>
        <w:rPr>
          <w:color w:val="231F20"/>
          <w:spacing w:val="80"/>
          <w:w w:val="150"/>
        </w:rPr>
        <w:t> </w:t>
      </w:r>
      <w:r>
        <w:rPr>
          <w:color w:val="231F20"/>
        </w:rPr>
        <w:t>can select or create another query to enable</w:t>
      </w:r>
      <w:r>
        <w:rPr>
          <w:color w:val="231F20"/>
          <w:spacing w:val="38"/>
        </w:rPr>
        <w:t> </w:t>
      </w:r>
      <w:r>
        <w:rPr>
          <w:color w:val="231F20"/>
          <w:spacing w:val="-25"/>
          <w:position w:val="-1"/>
        </w:rPr>
        <w:drawing>
          <wp:inline distT="0" distB="0" distL="0" distR="0">
            <wp:extent cx="95250" cy="95250"/>
            <wp:effectExtent l="0" t="0" r="0" b="0"/>
            <wp:docPr id="493" name="Image 493"/>
            <wp:cNvGraphicFramePr>
              <a:graphicFrameLocks/>
            </wp:cNvGraphicFramePr>
            <a:graphic>
              <a:graphicData uri="http://schemas.openxmlformats.org/drawingml/2006/picture">
                <pic:pic>
                  <pic:nvPicPr>
                    <pic:cNvPr id="493" name="Image 493"/>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Time Span</w:t>
      </w:r>
      <w:r>
        <w:rPr>
          <w:color w:val="231F20"/>
        </w:rPr>
        <w: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Take these steps to broaden the time range of data beyond the current data </w:t>
      </w:r>
      <w:r>
        <w:rPr>
          <w:color w:val="231F20"/>
          <w:spacing w:val="-2"/>
        </w:rPr>
        <w:t>samplings.</w:t>
      </w:r>
    </w:p>
    <w:p>
      <w:pPr>
        <w:pStyle w:val="Heading4"/>
      </w:pPr>
      <w:r>
        <w:rPr>
          <w:color w:val="231F20"/>
          <w:spacing w:val="-2"/>
        </w:rPr>
        <w:t>Procedure</w:t>
      </w:r>
    </w:p>
    <w:p>
      <w:pPr>
        <w:pStyle w:val="ListParagraph"/>
        <w:numPr>
          <w:ilvl w:val="0"/>
          <w:numId w:val="13"/>
        </w:numPr>
        <w:tabs>
          <w:tab w:pos="2548" w:val="left" w:leader="none"/>
        </w:tabs>
        <w:spacing w:line="213" w:lineRule="auto" w:before="62" w:after="0"/>
        <w:ind w:left="2548" w:right="1090" w:hanging="316"/>
        <w:jc w:val="left"/>
        <w:rPr>
          <w:sz w:val="20"/>
        </w:rPr>
      </w:pPr>
      <w:r>
        <w:rPr>
          <w:color w:val="231F20"/>
          <w:sz w:val="20"/>
        </w:rPr>
        <w:t>Open the workspace containing the chart, table, or relational </w:t>
      </w:r>
      <w:r>
        <w:rPr>
          <w:color w:val="231F20"/>
          <w:sz w:val="20"/>
        </w:rPr>
        <w:t>table-based topology view where you want to see historical data.</w:t>
      </w:r>
    </w:p>
    <w:p>
      <w:pPr>
        <w:pStyle w:val="ListParagraph"/>
        <w:numPr>
          <w:ilvl w:val="0"/>
          <w:numId w:val="13"/>
        </w:numPr>
        <w:tabs>
          <w:tab w:pos="2547" w:val="left" w:leader="none"/>
        </w:tabs>
        <w:spacing w:line="240" w:lineRule="auto" w:before="35" w:after="0"/>
        <w:ind w:left="2547" w:right="0" w:hanging="315"/>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95250"/>
            <wp:effectExtent l="0" t="0" r="0" b="0"/>
            <wp:docPr id="494" name="Image 494"/>
            <wp:cNvGraphicFramePr>
              <a:graphicFrameLocks/>
            </wp:cNvGraphicFramePr>
            <a:graphic>
              <a:graphicData uri="http://schemas.openxmlformats.org/drawingml/2006/picture">
                <pic:pic>
                  <pic:nvPicPr>
                    <pic:cNvPr id="494" name="Image 494"/>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Time</w:t>
      </w:r>
      <w:r>
        <w:rPr>
          <w:rFonts w:ascii="Book Antiqua"/>
          <w:b/>
          <w:color w:val="231F20"/>
          <w:spacing w:val="11"/>
          <w:sz w:val="20"/>
        </w:rPr>
        <w:t> </w:t>
      </w:r>
      <w:r>
        <w:rPr>
          <w:rFonts w:ascii="Book Antiqua"/>
          <w:b/>
          <w:color w:val="231F20"/>
          <w:sz w:val="20"/>
        </w:rPr>
        <w:t>Span</w:t>
      </w:r>
      <w:r>
        <w:rPr>
          <w:rFonts w:ascii="Book Antiqua"/>
          <w:b/>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view's</w:t>
      </w:r>
      <w:r>
        <w:rPr>
          <w:color w:val="231F20"/>
          <w:spacing w:val="11"/>
          <w:sz w:val="20"/>
        </w:rPr>
        <w:t> </w:t>
      </w:r>
      <w:r>
        <w:rPr>
          <w:color w:val="231F20"/>
          <w:spacing w:val="-2"/>
          <w:sz w:val="20"/>
        </w:rPr>
        <w:t>toolbar.</w:t>
      </w:r>
    </w:p>
    <w:p>
      <w:pPr>
        <w:pStyle w:val="ListParagraph"/>
        <w:numPr>
          <w:ilvl w:val="0"/>
          <w:numId w:val="13"/>
        </w:numPr>
        <w:tabs>
          <w:tab w:pos="2548" w:val="left" w:leader="none"/>
        </w:tabs>
        <w:spacing w:line="213" w:lineRule="auto" w:before="53" w:after="0"/>
        <w:ind w:left="2548" w:right="786" w:hanging="316"/>
        <w:jc w:val="left"/>
        <w:rPr>
          <w:sz w:val="20"/>
        </w:rPr>
      </w:pPr>
      <w:r>
        <w:rPr>
          <w:color w:val="231F20"/>
          <w:sz w:val="20"/>
        </w:rPr>
        <w:t>Select a time frame: </w:t>
      </w:r>
      <w:r>
        <w:rPr>
          <w:rFonts w:ascii="Book Antiqua"/>
          <w:b/>
          <w:color w:val="231F20"/>
          <w:sz w:val="20"/>
        </w:rPr>
        <w:t>Real time plus Last _ Hours </w:t>
      </w:r>
      <w:r>
        <w:rPr>
          <w:color w:val="231F20"/>
          <w:sz w:val="20"/>
        </w:rPr>
        <w:t>(enabled for bar, plot, and area charts only), </w:t>
      </w:r>
      <w:r>
        <w:rPr>
          <w:rFonts w:ascii="Book Antiqua"/>
          <w:b/>
          <w:color w:val="231F20"/>
          <w:sz w:val="20"/>
        </w:rPr>
        <w:t>Last _ Hours </w:t>
      </w:r>
      <w:r>
        <w:rPr>
          <w:color w:val="231F20"/>
          <w:sz w:val="20"/>
        </w:rPr>
        <w:t>(or Days, Weeks, or Months, if the data is warehoused), or </w:t>
      </w:r>
      <w:r>
        <w:rPr>
          <w:rFonts w:ascii="Book Antiqua"/>
          <w:b/>
          <w:color w:val="231F20"/>
          <w:sz w:val="20"/>
        </w:rPr>
        <w:t>Custom</w:t>
      </w:r>
      <w:r>
        <w:rPr>
          <w:color w:val="231F20"/>
          <w:sz w:val="20"/>
        </w:rPr>
        <w:t>.</w:t>
      </w:r>
    </w:p>
    <w:p>
      <w:pPr>
        <w:pStyle w:val="ListParagraph"/>
        <w:numPr>
          <w:ilvl w:val="0"/>
          <w:numId w:val="13"/>
        </w:numPr>
        <w:tabs>
          <w:tab w:pos="2547" w:val="left" w:leader="none"/>
        </w:tabs>
        <w:spacing w:line="240" w:lineRule="auto" w:before="34" w:after="0"/>
        <w:ind w:left="2547" w:right="0" w:hanging="315"/>
        <w:jc w:val="left"/>
        <w:rPr>
          <w:sz w:val="20"/>
        </w:rPr>
      </w:pPr>
      <w:r>
        <w:rPr>
          <w:color w:val="231F20"/>
          <w:sz w:val="20"/>
        </w:rPr>
        <w:t>If</w:t>
      </w:r>
      <w:r>
        <w:rPr>
          <w:color w:val="231F20"/>
          <w:spacing w:val="11"/>
          <w:sz w:val="20"/>
        </w:rPr>
        <w:t> </w:t>
      </w:r>
      <w:r>
        <w:rPr>
          <w:color w:val="231F20"/>
          <w:sz w:val="20"/>
        </w:rPr>
        <w:t>you</w:t>
      </w:r>
      <w:r>
        <w:rPr>
          <w:color w:val="231F20"/>
          <w:spacing w:val="12"/>
          <w:sz w:val="20"/>
        </w:rPr>
        <w:t> </w:t>
      </w:r>
      <w:r>
        <w:rPr>
          <w:color w:val="231F20"/>
          <w:sz w:val="20"/>
        </w:rPr>
        <w:t>selected</w:t>
      </w:r>
      <w:r>
        <w:rPr>
          <w:color w:val="231F20"/>
          <w:spacing w:val="12"/>
          <w:sz w:val="20"/>
        </w:rPr>
        <w:t> </w:t>
      </w:r>
      <w:r>
        <w:rPr>
          <w:rFonts w:ascii="Book Antiqua"/>
          <w:b/>
          <w:color w:val="231F20"/>
          <w:sz w:val="20"/>
        </w:rPr>
        <w:t>Last</w:t>
      </w:r>
      <w:r>
        <w:rPr>
          <w:rFonts w:ascii="Book Antiqua"/>
          <w:b/>
          <w:color w:val="231F20"/>
          <w:spacing w:val="12"/>
          <w:sz w:val="20"/>
        </w:rPr>
        <w:t> </w:t>
      </w:r>
      <w:r>
        <w:rPr>
          <w:color w:val="231F20"/>
          <w:sz w:val="20"/>
        </w:rPr>
        <w:t>or</w:t>
      </w:r>
      <w:r>
        <w:rPr>
          <w:color w:val="231F20"/>
          <w:spacing w:val="12"/>
          <w:sz w:val="20"/>
        </w:rPr>
        <w:t> </w:t>
      </w:r>
      <w:r>
        <w:rPr>
          <w:rFonts w:ascii="Book Antiqua"/>
          <w:b/>
          <w:color w:val="231F20"/>
          <w:sz w:val="20"/>
        </w:rPr>
        <w:t>Custom</w:t>
      </w:r>
      <w:r>
        <w:rPr>
          <w:color w:val="231F20"/>
          <w:sz w:val="20"/>
        </w:rPr>
        <w:t>,</w:t>
      </w:r>
      <w:r>
        <w:rPr>
          <w:color w:val="231F20"/>
          <w:spacing w:val="12"/>
          <w:sz w:val="20"/>
        </w:rPr>
        <w:t> </w:t>
      </w:r>
      <w:r>
        <w:rPr>
          <w:color w:val="231F20"/>
          <w:sz w:val="20"/>
        </w:rPr>
        <w:t>specify</w:t>
      </w:r>
      <w:r>
        <w:rPr>
          <w:color w:val="231F20"/>
          <w:spacing w:val="12"/>
          <w:sz w:val="20"/>
        </w:rPr>
        <w:t> </w:t>
      </w:r>
      <w:r>
        <w:rPr>
          <w:color w:val="231F20"/>
          <w:sz w:val="20"/>
        </w:rPr>
        <w:t>the</w:t>
      </w:r>
      <w:r>
        <w:rPr>
          <w:color w:val="231F20"/>
          <w:spacing w:val="12"/>
          <w:sz w:val="20"/>
        </w:rPr>
        <w:t> </w:t>
      </w:r>
      <w:r>
        <w:rPr>
          <w:color w:val="231F20"/>
          <w:sz w:val="20"/>
        </w:rPr>
        <w:t>range</w:t>
      </w:r>
      <w:r>
        <w:rPr>
          <w:color w:val="231F20"/>
          <w:spacing w:val="12"/>
          <w:sz w:val="20"/>
        </w:rPr>
        <w:t> </w:t>
      </w:r>
      <w:r>
        <w:rPr>
          <w:color w:val="231F20"/>
          <w:sz w:val="20"/>
        </w:rPr>
        <w:t>of</w:t>
      </w:r>
      <w:r>
        <w:rPr>
          <w:color w:val="231F20"/>
          <w:spacing w:val="12"/>
          <w:sz w:val="20"/>
        </w:rPr>
        <w:t> </w:t>
      </w:r>
      <w:r>
        <w:rPr>
          <w:color w:val="231F20"/>
          <w:spacing w:val="-2"/>
          <w:sz w:val="20"/>
        </w:rPr>
        <w:t>data:</w:t>
      </w:r>
    </w:p>
    <w:p>
      <w:pPr>
        <w:pStyle w:val="BodyText"/>
        <w:spacing w:before="30"/>
        <w:ind w:left="2548"/>
      </w:pPr>
      <w:r>
        <w:rPr>
          <w:rFonts w:ascii="Futura MdCn BT"/>
          <w:color w:val="231F20"/>
        </w:rPr>
        <w:t>v</w:t>
      </w:r>
      <w:r>
        <w:rPr>
          <w:rFonts w:ascii="Futura MdCn BT"/>
          <w:color w:val="231F20"/>
          <w:spacing w:val="32"/>
        </w:rPr>
        <w:t>  </w:t>
      </w:r>
      <w:r>
        <w:rPr>
          <w:color w:val="231F20"/>
        </w:rPr>
        <w:t>Detailed</w:t>
      </w:r>
      <w:r>
        <w:rPr>
          <w:color w:val="231F20"/>
          <w:spacing w:val="13"/>
        </w:rPr>
        <w:t> </w:t>
      </w:r>
      <w:r>
        <w:rPr>
          <w:color w:val="231F20"/>
        </w:rPr>
        <w:t>data</w:t>
      </w:r>
      <w:r>
        <w:rPr>
          <w:color w:val="231F20"/>
          <w:spacing w:val="13"/>
        </w:rPr>
        <w:t> </w:t>
      </w:r>
      <w:r>
        <w:rPr>
          <w:color w:val="231F20"/>
        </w:rPr>
        <w:t>is</w:t>
      </w:r>
      <w:r>
        <w:rPr>
          <w:color w:val="231F20"/>
          <w:spacing w:val="13"/>
        </w:rPr>
        <w:t> </w:t>
      </w:r>
      <w:r>
        <w:rPr>
          <w:color w:val="231F20"/>
        </w:rPr>
        <w:t>all</w:t>
      </w:r>
      <w:r>
        <w:rPr>
          <w:color w:val="231F20"/>
          <w:spacing w:val="13"/>
        </w:rPr>
        <w:t> </w:t>
      </w:r>
      <w:r>
        <w:rPr>
          <w:color w:val="231F20"/>
        </w:rPr>
        <w:t>the</w:t>
      </w:r>
      <w:r>
        <w:rPr>
          <w:color w:val="231F20"/>
          <w:spacing w:val="13"/>
        </w:rPr>
        <w:t> </w:t>
      </w:r>
      <w:r>
        <w:rPr>
          <w:color w:val="231F20"/>
        </w:rPr>
        <w:t>data</w:t>
      </w:r>
      <w:r>
        <w:rPr>
          <w:color w:val="231F20"/>
          <w:spacing w:val="12"/>
        </w:rPr>
        <w:t> </w:t>
      </w:r>
      <w:r>
        <w:rPr>
          <w:color w:val="231F20"/>
        </w:rPr>
        <w:t>collected</w:t>
      </w:r>
      <w:r>
        <w:rPr>
          <w:color w:val="231F20"/>
          <w:spacing w:val="13"/>
        </w:rPr>
        <w:t> </w:t>
      </w:r>
      <w:r>
        <w:rPr>
          <w:color w:val="231F20"/>
        </w:rPr>
        <w:t>for</w:t>
      </w:r>
      <w:r>
        <w:rPr>
          <w:color w:val="231F20"/>
          <w:spacing w:val="13"/>
        </w:rPr>
        <w:t> </w:t>
      </w:r>
      <w:r>
        <w:rPr>
          <w:color w:val="231F20"/>
        </w:rPr>
        <w:t>the</w:t>
      </w:r>
      <w:r>
        <w:rPr>
          <w:color w:val="231F20"/>
          <w:spacing w:val="13"/>
        </w:rPr>
        <w:t> </w:t>
      </w:r>
      <w:r>
        <w:rPr>
          <w:color w:val="231F20"/>
          <w:spacing w:val="-2"/>
        </w:rPr>
        <w:t>agent.</w:t>
      </w:r>
    </w:p>
    <w:p>
      <w:pPr>
        <w:pStyle w:val="BodyText"/>
        <w:spacing w:line="213" w:lineRule="auto" w:before="53"/>
        <w:ind w:left="2764" w:right="603" w:hanging="216"/>
      </w:pPr>
      <w:r>
        <w:rPr>
          <w:rFonts w:ascii="Futura MdCn BT"/>
          <w:color w:val="231F20"/>
        </w:rPr>
        <w:t>v</w:t>
      </w:r>
      <w:r>
        <w:rPr>
          <w:rFonts w:ascii="Futura MdCn BT"/>
          <w:color w:val="231F20"/>
          <w:spacing w:val="80"/>
        </w:rPr>
        <w:t> </w:t>
      </w:r>
      <w:r>
        <w:rPr>
          <w:color w:val="231F20"/>
        </w:rPr>
        <w:t>Summarized data is data that is aggregated across the specified time frame. Set the time frame interval, work shift, and the days. This option is </w:t>
      </w:r>
      <w:r>
        <w:rPr>
          <w:color w:val="231F20"/>
        </w:rPr>
        <w:t>disabled</w:t>
      </w:r>
      <w:r>
        <w:rPr>
          <w:color w:val="231F20"/>
          <w:spacing w:val="80"/>
        </w:rPr>
        <w:t> </w:t>
      </w:r>
      <w:r>
        <w:rPr>
          <w:color w:val="231F20"/>
        </w:rPr>
        <w:t>if no data warehouse and summarization schedule were configured for this attribute group.</w:t>
      </w:r>
    </w:p>
    <w:p>
      <w:pPr>
        <w:pStyle w:val="BodyText"/>
        <w:spacing w:line="211" w:lineRule="auto" w:before="59"/>
        <w:ind w:left="2764" w:right="636" w:hanging="216"/>
      </w:pPr>
      <w:r>
        <w:rPr>
          <w:rFonts w:ascii="Futura MdCn BT"/>
          <w:color w:val="231F20"/>
        </w:rPr>
        <w:t>v</w:t>
      </w:r>
      <w:r>
        <w:rPr>
          <w:rFonts w:ascii="Futura MdCn BT"/>
          <w:color w:val="231F20"/>
          <w:spacing w:val="80"/>
        </w:rPr>
        <w:t> </w:t>
      </w:r>
      <w:r>
        <w:rPr>
          <w:color w:val="231F20"/>
        </w:rPr>
        <w:t>To set a custom time frame, click inside the </w:t>
      </w:r>
      <w:r>
        <w:rPr>
          <w:rFonts w:ascii="Book Antiqua"/>
          <w:b/>
          <w:color w:val="231F20"/>
        </w:rPr>
        <w:t>Start Time </w:t>
      </w:r>
      <w:r>
        <w:rPr>
          <w:color w:val="231F20"/>
        </w:rPr>
        <w:t>and </w:t>
      </w:r>
      <w:r>
        <w:rPr>
          <w:rFonts w:ascii="Book Antiqua"/>
          <w:b/>
          <w:color w:val="231F20"/>
        </w:rPr>
        <w:t>End Time </w:t>
      </w:r>
      <w:r>
        <w:rPr>
          <w:color w:val="231F20"/>
        </w:rPr>
        <w:t>fields</w:t>
      </w:r>
      <w:r>
        <w:rPr>
          <w:color w:val="231F20"/>
          <w:spacing w:val="80"/>
        </w:rPr>
        <w:t> </w:t>
      </w:r>
      <w:r>
        <w:rPr>
          <w:color w:val="231F20"/>
        </w:rPr>
        <w:t>to open the date editor. Use the </w:t>
      </w:r>
      <w:r>
        <w:rPr>
          <w:color w:val="231F20"/>
          <w:spacing w:val="15"/>
          <w:position w:val="-5"/>
        </w:rPr>
        <w:drawing>
          <wp:inline distT="0" distB="0" distL="0" distR="0">
            <wp:extent cx="69850" cy="126999"/>
            <wp:effectExtent l="0" t="0" r="0" b="0"/>
            <wp:docPr id="495" name="Image 495"/>
            <wp:cNvGraphicFramePr>
              <a:graphicFrameLocks/>
            </wp:cNvGraphicFramePr>
            <a:graphic>
              <a:graphicData uri="http://schemas.openxmlformats.org/drawingml/2006/picture">
                <pic:pic>
                  <pic:nvPicPr>
                    <pic:cNvPr id="495" name="Image 495"/>
                    <pic:cNvPicPr/>
                  </pic:nvPicPr>
                  <pic:blipFill>
                    <a:blip r:embed="rId146" cstate="print"/>
                    <a:stretch>
                      <a:fillRect/>
                    </a:stretch>
                  </pic:blipFill>
                  <pic:spPr>
                    <a:xfrm>
                      <a:off x="0" y="0"/>
                      <a:ext cx="69850" cy="126999"/>
                    </a:xfrm>
                    <a:prstGeom prst="rect">
                      <a:avLst/>
                    </a:prstGeom>
                  </pic:spPr>
                </pic:pic>
              </a:graphicData>
            </a:graphic>
          </wp:inline>
        </w:drawing>
      </w:r>
      <w:r>
        <w:rPr>
          <w:color w:val="231F20"/>
          <w:spacing w:val="15"/>
          <w:position w:val="-5"/>
        </w:rPr>
      </w:r>
      <w:r>
        <w:rPr>
          <w:rFonts w:ascii="Times New Roman"/>
          <w:color w:val="231F20"/>
          <w:spacing w:val="40"/>
        </w:rPr>
        <w:t> </w:t>
      </w:r>
      <w:r>
        <w:rPr>
          <w:color w:val="231F20"/>
        </w:rPr>
        <w:t>spin boxes to adjust the time, year, or month; and click the calendar day. </w:t>
      </w:r>
      <w:r>
        <w:rPr>
          <w:rFonts w:ascii="Book Antiqua"/>
          <w:b/>
          <w:color w:val="231F20"/>
        </w:rPr>
        <w:t>HH:MM:SS AM/PM </w:t>
      </w:r>
      <w:r>
        <w:rPr>
          <w:color w:val="231F20"/>
        </w:rPr>
        <w:t>is initially set to </w:t>
      </w:r>
      <w:r>
        <w:rPr>
          <w:color w:val="231F20"/>
        </w:rPr>
        <w:t>the</w:t>
      </w:r>
      <w:r>
        <w:rPr>
          <w:color w:val="231F20"/>
        </w:rPr>
        <w:t> current time.</w:t>
      </w:r>
    </w:p>
    <w:p>
      <w:pPr>
        <w:spacing w:line="218" w:lineRule="auto" w:before="56"/>
        <w:ind w:left="2764" w:right="603" w:hanging="216"/>
        <w:jc w:val="left"/>
        <w:rPr>
          <w:sz w:val="20"/>
        </w:rPr>
      </w:pPr>
      <w:r>
        <w:rPr>
          <w:rFonts w:ascii="Futura MdCn BT"/>
          <w:color w:val="231F20"/>
          <w:sz w:val="20"/>
        </w:rPr>
        <w:t>v</w:t>
      </w:r>
      <w:r>
        <w:rPr>
          <w:rFonts w:ascii="Futura MdCn BT"/>
          <w:color w:val="231F20"/>
          <w:spacing w:val="80"/>
          <w:sz w:val="20"/>
        </w:rPr>
        <w:t> </w:t>
      </w:r>
      <w:r>
        <w:rPr>
          <w:color w:val="231F20"/>
          <w:sz w:val="20"/>
        </w:rPr>
        <w:t>To apply the time span to all views that use the same query as this view,</w:t>
      </w:r>
      <w:r>
        <w:rPr>
          <w:color w:val="231F20"/>
          <w:spacing w:val="40"/>
          <w:sz w:val="20"/>
        </w:rPr>
        <w:t> </w:t>
      </w:r>
      <w:r>
        <w:rPr>
          <w:color w:val="231F20"/>
          <w:sz w:val="20"/>
        </w:rPr>
        <w:t>select</w:t>
      </w:r>
      <w:r>
        <w:rPr>
          <w:color w:val="231F20"/>
          <w:spacing w:val="9"/>
          <w:sz w:val="20"/>
        </w:rPr>
        <w:t> </w:t>
      </w:r>
      <w:r>
        <w:rPr>
          <w:color w:val="231F20"/>
          <w:spacing w:val="16"/>
          <w:sz w:val="20"/>
        </w:rPr>
        <w:drawing>
          <wp:inline distT="0" distB="0" distL="0" distR="0">
            <wp:extent cx="82550" cy="82550"/>
            <wp:effectExtent l="0" t="0" r="0" b="0"/>
            <wp:docPr id="496" name="Image 496"/>
            <wp:cNvGraphicFramePr>
              <a:graphicFrameLocks/>
            </wp:cNvGraphicFramePr>
            <a:graphic>
              <a:graphicData uri="http://schemas.openxmlformats.org/drawingml/2006/picture">
                <pic:pic>
                  <pic:nvPicPr>
                    <pic:cNvPr id="496" name="Image 496"/>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10"/>
          <w:sz w:val="20"/>
        </w:rPr>
        <w:t> </w:t>
      </w:r>
      <w:r>
        <w:rPr>
          <w:rFonts w:ascii="Book Antiqua"/>
          <w:b/>
          <w:color w:val="231F20"/>
          <w:sz w:val="20"/>
        </w:rPr>
        <w:t>Apply</w:t>
      </w:r>
      <w:r>
        <w:rPr>
          <w:rFonts w:ascii="Book Antiqua"/>
          <w:b/>
          <w:color w:val="231F20"/>
          <w:spacing w:val="11"/>
          <w:sz w:val="20"/>
        </w:rPr>
        <w:t> </w:t>
      </w:r>
      <w:r>
        <w:rPr>
          <w:rFonts w:ascii="Book Antiqua"/>
          <w:b/>
          <w:color w:val="231F20"/>
          <w:sz w:val="20"/>
        </w:rPr>
        <w:t>to</w:t>
      </w:r>
      <w:r>
        <w:rPr>
          <w:rFonts w:ascii="Book Antiqua"/>
          <w:b/>
          <w:color w:val="231F20"/>
          <w:spacing w:val="12"/>
          <w:sz w:val="20"/>
        </w:rPr>
        <w:t> </w:t>
      </w:r>
      <w:r>
        <w:rPr>
          <w:rFonts w:ascii="Book Antiqua"/>
          <w:b/>
          <w:color w:val="231F20"/>
          <w:sz w:val="20"/>
        </w:rPr>
        <w:t>all</w:t>
      </w:r>
      <w:r>
        <w:rPr>
          <w:rFonts w:ascii="Book Antiqua"/>
          <w:b/>
          <w:color w:val="231F20"/>
          <w:spacing w:val="11"/>
          <w:sz w:val="20"/>
        </w:rPr>
        <w:t> </w:t>
      </w:r>
      <w:r>
        <w:rPr>
          <w:rFonts w:ascii="Book Antiqua"/>
          <w:b/>
          <w:color w:val="231F20"/>
          <w:sz w:val="20"/>
        </w:rPr>
        <w:t>views</w:t>
      </w:r>
      <w:r>
        <w:rPr>
          <w:rFonts w:ascii="Book Antiqua"/>
          <w:b/>
          <w:color w:val="231F20"/>
          <w:spacing w:val="11"/>
          <w:sz w:val="20"/>
        </w:rPr>
        <w:t> </w:t>
      </w:r>
      <w:r>
        <w:rPr>
          <w:rFonts w:ascii="Book Antiqua"/>
          <w:b/>
          <w:color w:val="231F20"/>
          <w:sz w:val="20"/>
        </w:rPr>
        <w:t>associated</w:t>
      </w:r>
      <w:r>
        <w:rPr>
          <w:rFonts w:ascii="Book Antiqua"/>
          <w:b/>
          <w:color w:val="231F20"/>
          <w:spacing w:val="12"/>
          <w:sz w:val="20"/>
        </w:rPr>
        <w:t> </w:t>
      </w:r>
      <w:r>
        <w:rPr>
          <w:rFonts w:ascii="Book Antiqua"/>
          <w:b/>
          <w:color w:val="231F20"/>
          <w:sz w:val="20"/>
        </w:rPr>
        <w:t>with</w:t>
      </w:r>
      <w:r>
        <w:rPr>
          <w:rFonts w:ascii="Book Antiqua"/>
          <w:b/>
          <w:color w:val="231F20"/>
          <w:spacing w:val="11"/>
          <w:sz w:val="20"/>
        </w:rPr>
        <w:t> </w:t>
      </w:r>
      <w:r>
        <w:rPr>
          <w:rFonts w:ascii="Book Antiqua"/>
          <w:b/>
          <w:color w:val="231F20"/>
          <w:sz w:val="20"/>
        </w:rPr>
        <w:t>this</w:t>
      </w:r>
      <w:r>
        <w:rPr>
          <w:rFonts w:ascii="Book Antiqua"/>
          <w:b/>
          <w:color w:val="231F20"/>
          <w:spacing w:val="11"/>
          <w:sz w:val="20"/>
        </w:rPr>
        <w:t> </w:t>
      </w:r>
      <w:r>
        <w:rPr>
          <w:rFonts w:ascii="Book Antiqua"/>
          <w:b/>
          <w:color w:val="231F20"/>
          <w:sz w:val="20"/>
        </w:rPr>
        <w:t>view's</w:t>
      </w:r>
      <w:r>
        <w:rPr>
          <w:rFonts w:ascii="Book Antiqua"/>
          <w:b/>
          <w:color w:val="231F20"/>
          <w:spacing w:val="12"/>
          <w:sz w:val="20"/>
        </w:rPr>
        <w:t> </w:t>
      </w:r>
      <w:r>
        <w:rPr>
          <w:rFonts w:ascii="Book Antiqua"/>
          <w:b/>
          <w:color w:val="231F20"/>
          <w:sz w:val="20"/>
        </w:rPr>
        <w:t>query</w:t>
      </w:r>
      <w:r>
        <w:rPr>
          <w:color w:val="231F20"/>
          <w:sz w:val="20"/>
        </w:rPr>
        <w:t>.</w:t>
      </w:r>
      <w:r>
        <w:rPr>
          <w:color w:val="231F20"/>
          <w:spacing w:val="11"/>
          <w:sz w:val="20"/>
        </w:rPr>
        <w:t> </w:t>
      </w:r>
      <w:r>
        <w:rPr>
          <w:color w:val="231F20"/>
          <w:sz w:val="20"/>
        </w:rPr>
        <w:t>When</w:t>
      </w:r>
      <w:r>
        <w:rPr>
          <w:color w:val="231F20"/>
          <w:spacing w:val="12"/>
          <w:sz w:val="20"/>
        </w:rPr>
        <w:t> </w:t>
      </w:r>
      <w:r>
        <w:rPr>
          <w:color w:val="231F20"/>
          <w:spacing w:val="-4"/>
          <w:sz w:val="20"/>
        </w:rPr>
        <w:t>this</w:t>
      </w:r>
    </w:p>
    <w:p>
      <w:pPr>
        <w:spacing w:after="0" w:line="218" w:lineRule="auto"/>
        <w:jc w:val="left"/>
        <w:rPr>
          <w:sz w:val="20"/>
        </w:rPr>
        <w:sectPr>
          <w:pgSz w:w="12240" w:h="15840"/>
          <w:pgMar w:header="0" w:footer="736" w:top="1180" w:bottom="920" w:left="1000" w:right="10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42"/>
        <w:rPr>
          <w:sz w:val="28"/>
        </w:rPr>
      </w:pPr>
    </w:p>
    <w:p>
      <w:pPr>
        <w:pStyle w:val="Heading3"/>
        <w:spacing w:before="0"/>
      </w:pPr>
      <w:bookmarkStart w:name="_bookmark33" w:id="76"/>
      <w:bookmarkEnd w:id="76"/>
      <w:r>
        <w:rPr>
          <w:b w:val="0"/>
        </w:rPr>
      </w:r>
      <w:bookmarkStart w:name="Moving a view" w:id="77"/>
      <w:bookmarkEnd w:id="77"/>
      <w:r>
        <w:rPr>
          <w:b w:val="0"/>
        </w:rPr>
      </w:r>
      <w:r>
        <w:rPr>
          <w:color w:val="231F20"/>
        </w:rPr>
        <w:t>Moving</w:t>
      </w:r>
      <w:r>
        <w:rPr>
          <w:color w:val="231F20"/>
          <w:spacing w:val="9"/>
        </w:rPr>
        <w:t> </w:t>
      </w:r>
      <w:r>
        <w:rPr>
          <w:color w:val="231F20"/>
        </w:rPr>
        <w:t>a</w:t>
      </w:r>
      <w:r>
        <w:rPr>
          <w:color w:val="231F20"/>
          <w:spacing w:val="9"/>
        </w:rPr>
        <w:t> </w:t>
      </w:r>
      <w:r>
        <w:rPr>
          <w:color w:val="231F20"/>
          <w:spacing w:val="-4"/>
        </w:rPr>
        <w:t>view</w:t>
      </w:r>
    </w:p>
    <w:p>
      <w:pPr>
        <w:pStyle w:val="BodyText"/>
        <w:spacing w:line="213" w:lineRule="auto" w:before="85"/>
        <w:ind w:left="602" w:right="264"/>
      </w:pPr>
      <w:r>
        <w:rPr/>
        <w:br w:type="column"/>
      </w:r>
      <w:r>
        <w:rPr>
          <w:color w:val="231F20"/>
        </w:rPr>
        <w:t>option is enabled, the query is modified to include the time span set here, so any other views using this query report the same time range.</w:t>
      </w:r>
    </w:p>
    <w:p>
      <w:pPr>
        <w:pStyle w:val="BodyText"/>
        <w:spacing w:line="213" w:lineRule="auto" w:before="58"/>
        <w:ind w:left="602" w:right="264" w:hanging="216"/>
      </w:pPr>
      <w:r>
        <w:rPr>
          <w:rFonts w:ascii="Futura MdCn BT"/>
          <w:color w:val="231F20"/>
        </w:rPr>
        <w:t>v</w:t>
      </w:r>
      <w:r>
        <w:rPr>
          <w:rFonts w:ascii="Futura MdCn BT"/>
          <w:color w:val="231F20"/>
          <w:spacing w:val="80"/>
        </w:rPr>
        <w:t> </w:t>
      </w:r>
      <w:r>
        <w:rPr>
          <w:color w:val="231F20"/>
        </w:rPr>
        <w:t>The </w:t>
      </w:r>
      <w:r>
        <w:rPr>
          <w:rFonts w:ascii="Book Antiqua"/>
          <w:b/>
          <w:color w:val="231F20"/>
        </w:rPr>
        <w:t>Timestamp </w:t>
      </w:r>
      <w:r>
        <w:rPr>
          <w:color w:val="231F20"/>
        </w:rPr>
        <w:t>column that is added to the historical view can show either the global timestamp (the default) or local. Select </w:t>
      </w:r>
      <w:r>
        <w:rPr>
          <w:color w:val="231F20"/>
          <w:spacing w:val="15"/>
        </w:rPr>
        <w:drawing>
          <wp:inline distT="0" distB="0" distL="0" distR="0">
            <wp:extent cx="82550" cy="82550"/>
            <wp:effectExtent l="0" t="0" r="0" b="0"/>
            <wp:docPr id="497" name="Image 497"/>
            <wp:cNvGraphicFramePr>
              <a:graphicFrameLocks/>
            </wp:cNvGraphicFramePr>
            <a:graphic>
              <a:graphicData uri="http://schemas.openxmlformats.org/drawingml/2006/picture">
                <pic:pic>
                  <pic:nvPicPr>
                    <pic:cNvPr id="497" name="Image 49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Hub time </w:t>
      </w:r>
      <w:r>
        <w:rPr>
          <w:color w:val="231F20"/>
        </w:rPr>
        <w:t>to reflect the time at the Hub Tivoli Enterprise Monitoring Server rather than at the Tivoli Enterprise Portal Server or portal client.</w:t>
      </w:r>
    </w:p>
    <w:p>
      <w:pPr>
        <w:pStyle w:val="Heading4"/>
        <w:spacing w:before="199"/>
        <w:ind w:left="70"/>
      </w:pPr>
      <w:r>
        <w:rPr>
          <w:color w:val="231F20"/>
          <w:spacing w:val="-2"/>
        </w:rPr>
        <w:t>Results</w:t>
      </w:r>
    </w:p>
    <w:p>
      <w:pPr>
        <w:pStyle w:val="BodyText"/>
        <w:spacing w:line="213" w:lineRule="auto" w:before="241"/>
        <w:ind w:left="70" w:right="271"/>
      </w:pPr>
      <w:r>
        <w:rPr>
          <w:color w:val="231F20"/>
        </w:rPr>
        <w:t>After you click </w:t>
      </w:r>
      <w:r>
        <w:rPr>
          <w:rFonts w:ascii="Book Antiqua"/>
          <w:b/>
          <w:color w:val="231F20"/>
        </w:rPr>
        <w:t>OK</w:t>
      </w:r>
      <w:r>
        <w:rPr>
          <w:color w:val="231F20"/>
        </w:rPr>
        <w:t>, the view shows data from the time span you specified. If the</w:t>
      </w:r>
      <w:r>
        <w:rPr>
          <w:color w:val="231F20"/>
          <w:spacing w:val="40"/>
        </w:rPr>
        <w:t> </w:t>
      </w:r>
      <w:r>
        <w:rPr>
          <w:color w:val="231F20"/>
        </w:rPr>
        <w:t>view is a table, a timestamp is displayed as the first column and is accurate to </w:t>
      </w:r>
      <w:r>
        <w:rPr>
          <w:color w:val="231F20"/>
        </w:rPr>
        <w:t>the</w:t>
      </w:r>
      <w:r>
        <w:rPr>
          <w:color w:val="231F20"/>
          <w:spacing w:val="40"/>
        </w:rPr>
        <w:t> </w:t>
      </w:r>
      <w:r>
        <w:rPr>
          <w:color w:val="231F20"/>
        </w:rPr>
        <w:t>nearest minute; seconds are displayed as 00.</w:t>
      </w:r>
    </w:p>
    <w:p>
      <w:pPr>
        <w:pStyle w:val="BodyText"/>
        <w:spacing w:line="213" w:lineRule="auto" w:before="237"/>
        <w:ind w:left="70" w:right="264"/>
      </w:pPr>
      <w:r>
        <w:rPr>
          <w:color w:val="231F20"/>
        </w:rPr>
        <w:t>If</w:t>
      </w:r>
      <w:r>
        <w:rPr>
          <w:color w:val="231F20"/>
          <w:spacing w:val="18"/>
        </w:rPr>
        <w:t> </w:t>
      </w:r>
      <w:r>
        <w:rPr>
          <w:color w:val="231F20"/>
        </w:rPr>
        <w:t>you</w:t>
      </w:r>
      <w:r>
        <w:rPr>
          <w:color w:val="231F20"/>
          <w:spacing w:val="18"/>
        </w:rPr>
        <w:t> </w:t>
      </w:r>
      <w:r>
        <w:rPr>
          <w:color w:val="231F20"/>
        </w:rPr>
        <w:t>see</w:t>
      </w:r>
      <w:r>
        <w:rPr>
          <w:color w:val="231F20"/>
          <w:spacing w:val="18"/>
        </w:rPr>
        <w:t> </w:t>
      </w:r>
      <w:r>
        <w:rPr>
          <w:rFonts w:ascii="Arial"/>
          <w:color w:val="231F20"/>
        </w:rPr>
        <w:t>null </w:t>
      </w:r>
      <w:r>
        <w:rPr>
          <w:color w:val="231F20"/>
        </w:rPr>
        <w:t>as</w:t>
      </w:r>
      <w:r>
        <w:rPr>
          <w:color w:val="231F20"/>
          <w:spacing w:val="18"/>
        </w:rPr>
        <w:t> </w:t>
      </w:r>
      <w:r>
        <w:rPr>
          <w:color w:val="231F20"/>
        </w:rPr>
        <w:t>the</w:t>
      </w:r>
      <w:r>
        <w:rPr>
          <w:color w:val="231F20"/>
          <w:spacing w:val="18"/>
        </w:rPr>
        <w:t> </w:t>
      </w:r>
      <w:r>
        <w:rPr>
          <w:color w:val="231F20"/>
        </w:rPr>
        <w:t>value</w:t>
      </w:r>
      <w:r>
        <w:rPr>
          <w:color w:val="231F20"/>
          <w:spacing w:val="18"/>
        </w:rPr>
        <w:t> </w:t>
      </w:r>
      <w:r>
        <w:rPr>
          <w:color w:val="231F20"/>
        </w:rPr>
        <w:t>of</w:t>
      </w:r>
      <w:r>
        <w:rPr>
          <w:color w:val="231F20"/>
          <w:spacing w:val="18"/>
        </w:rPr>
        <w:t> </w:t>
      </w:r>
      <w:r>
        <w:rPr>
          <w:color w:val="231F20"/>
        </w:rPr>
        <w:t>a</w:t>
      </w:r>
      <w:r>
        <w:rPr>
          <w:color w:val="231F20"/>
          <w:spacing w:val="18"/>
        </w:rPr>
        <w:t> </w:t>
      </w:r>
      <w:r>
        <w:rPr>
          <w:color w:val="231F20"/>
        </w:rPr>
        <w:t>table</w:t>
      </w:r>
      <w:r>
        <w:rPr>
          <w:color w:val="231F20"/>
          <w:spacing w:val="18"/>
        </w:rPr>
        <w:t> </w:t>
      </w:r>
      <w:r>
        <w:rPr>
          <w:color w:val="231F20"/>
        </w:rPr>
        <w:t>cell</w:t>
      </w:r>
      <w:r>
        <w:rPr>
          <w:color w:val="231F20"/>
          <w:spacing w:val="18"/>
        </w:rPr>
        <w:t> </w:t>
      </w:r>
      <w:r>
        <w:rPr>
          <w:color w:val="231F20"/>
        </w:rPr>
        <w:t>or</w:t>
      </w:r>
      <w:r>
        <w:rPr>
          <w:color w:val="231F20"/>
          <w:spacing w:val="18"/>
        </w:rPr>
        <w:t> </w:t>
      </w:r>
      <w:r>
        <w:rPr>
          <w:color w:val="231F20"/>
        </w:rPr>
        <w:t>chart</w:t>
      </w:r>
      <w:r>
        <w:rPr>
          <w:color w:val="231F20"/>
          <w:spacing w:val="18"/>
        </w:rPr>
        <w:t> </w:t>
      </w:r>
      <w:r>
        <w:rPr>
          <w:color w:val="231F20"/>
        </w:rPr>
        <w:t>point,</w:t>
      </w:r>
      <w:r>
        <w:rPr>
          <w:color w:val="231F20"/>
          <w:spacing w:val="18"/>
        </w:rPr>
        <w:t> </w:t>
      </w:r>
      <w:r>
        <w:rPr>
          <w:color w:val="231F20"/>
        </w:rPr>
        <w:t>it</w:t>
      </w:r>
      <w:r>
        <w:rPr>
          <w:color w:val="231F20"/>
          <w:spacing w:val="18"/>
        </w:rPr>
        <w:t> </w:t>
      </w:r>
      <w:r>
        <w:rPr>
          <w:color w:val="231F20"/>
        </w:rPr>
        <w:t>means</w:t>
      </w:r>
      <w:r>
        <w:rPr>
          <w:color w:val="231F20"/>
          <w:spacing w:val="18"/>
        </w:rPr>
        <w:t> </w:t>
      </w:r>
      <w:r>
        <w:rPr>
          <w:color w:val="231F20"/>
        </w:rPr>
        <w:t>that</w:t>
      </w:r>
      <w:r>
        <w:rPr>
          <w:color w:val="231F20"/>
          <w:spacing w:val="18"/>
        </w:rPr>
        <w:t> </w:t>
      </w:r>
      <w:r>
        <w:rPr>
          <w:color w:val="231F20"/>
        </w:rPr>
        <w:t>no</w:t>
      </w:r>
      <w:r>
        <w:rPr>
          <w:color w:val="231F20"/>
          <w:spacing w:val="18"/>
        </w:rPr>
        <w:t> </w:t>
      </w:r>
      <w:r>
        <w:rPr>
          <w:color w:val="231F20"/>
        </w:rPr>
        <w:t>value was stored in the Tivoli Data Warehouse. This happens when values that were identified as invalid are reported from a monitoring agent for a given summarization period.</w:t>
      </w:r>
    </w:p>
    <w:p>
      <w:pPr>
        <w:pStyle w:val="Heading4"/>
        <w:spacing w:before="199"/>
        <w:ind w:left="70"/>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70" w:right="262"/>
      </w:pPr>
      <w:r>
        <w:rPr>
          <w:color w:val="231F20"/>
        </w:rPr>
        <w:t>The sort function is incompatible with the historical reporting feature. If you are using</w:t>
      </w:r>
      <w:r>
        <w:rPr>
          <w:color w:val="231F20"/>
          <w:spacing w:val="20"/>
        </w:rPr>
        <w:t> </w:t>
      </w:r>
      <w:r>
        <w:rPr>
          <w:color w:val="231F20"/>
          <w:spacing w:val="-24"/>
          <w:position w:val="-1"/>
        </w:rPr>
        <w:drawing>
          <wp:inline distT="0" distB="0" distL="0" distR="0">
            <wp:extent cx="95250" cy="95250"/>
            <wp:effectExtent l="0" t="0" r="0" b="0"/>
            <wp:docPr id="498" name="Image 498"/>
            <wp:cNvGraphicFramePr>
              <a:graphicFrameLocks/>
            </wp:cNvGraphicFramePr>
            <a:graphic>
              <a:graphicData uri="http://schemas.openxmlformats.org/drawingml/2006/picture">
                <pic:pic>
                  <pic:nvPicPr>
                    <pic:cNvPr id="498" name="Image 498"/>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8"/>
        </w:rPr>
        <w:t> </w:t>
      </w:r>
      <w:r>
        <w:rPr>
          <w:rFonts w:ascii="Book Antiqua"/>
          <w:b/>
          <w:color w:val="231F20"/>
        </w:rPr>
        <w:t>Time Span </w:t>
      </w:r>
      <w:r>
        <w:rPr>
          <w:color w:val="231F20"/>
        </w:rPr>
        <w:t>to retrieve historical data, the chart or table is not sorted </w:t>
      </w:r>
      <w:r>
        <w:rPr>
          <w:color w:val="231F20"/>
        </w:rPr>
        <w:t>even</w:t>
      </w:r>
      <w:r>
        <w:rPr>
          <w:color w:val="231F20"/>
          <w:spacing w:val="80"/>
        </w:rPr>
        <w:t> </w:t>
      </w:r>
      <w:r>
        <w:rPr>
          <w:color w:val="231F20"/>
        </w:rPr>
        <w:t>if</w:t>
      </w:r>
      <w:r>
        <w:rPr>
          <w:color w:val="231F20"/>
          <w:spacing w:val="11"/>
        </w:rPr>
        <w:t> </w:t>
      </w:r>
      <w:r>
        <w:rPr>
          <w:color w:val="231F20"/>
        </w:rPr>
        <w:t>you</w:t>
      </w:r>
      <w:r>
        <w:rPr>
          <w:color w:val="231F20"/>
          <w:spacing w:val="11"/>
        </w:rPr>
        <w:t> </w:t>
      </w:r>
      <w:r>
        <w:rPr>
          <w:color w:val="231F20"/>
        </w:rPr>
        <w:t>have</w:t>
      </w:r>
      <w:r>
        <w:rPr>
          <w:color w:val="231F20"/>
          <w:spacing w:val="11"/>
        </w:rPr>
        <w:t> </w:t>
      </w:r>
      <w:r>
        <w:rPr>
          <w:color w:val="231F20"/>
        </w:rPr>
        <w:t>specified</w:t>
      </w:r>
      <w:r>
        <w:rPr>
          <w:color w:val="231F20"/>
          <w:spacing w:val="11"/>
        </w:rPr>
        <w:t> </w:t>
      </w:r>
      <w:r>
        <w:rPr>
          <w:color w:val="231F20"/>
        </w:rPr>
        <w:t>a</w:t>
      </w:r>
      <w:r>
        <w:rPr>
          <w:color w:val="231F20"/>
          <w:spacing w:val="11"/>
        </w:rPr>
        <w:t> </w:t>
      </w:r>
      <w:r>
        <w:rPr>
          <w:color w:val="231F20"/>
        </w:rPr>
        <w:t>sort</w:t>
      </w:r>
      <w:r>
        <w:rPr>
          <w:color w:val="231F20"/>
          <w:spacing w:val="11"/>
        </w:rPr>
        <w:t> </w:t>
      </w:r>
      <w:r>
        <w:rPr>
          <w:color w:val="231F20"/>
        </w:rPr>
        <w:t>order</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query. You</w:t>
      </w:r>
      <w:r>
        <w:rPr>
          <w:color w:val="231F20"/>
          <w:spacing w:val="11"/>
        </w:rPr>
        <w:t> </w:t>
      </w:r>
      <w:r>
        <w:rPr>
          <w:color w:val="231F20"/>
        </w:rPr>
        <w:t>can</w:t>
      </w:r>
      <w:r>
        <w:rPr>
          <w:color w:val="231F20"/>
          <w:spacing w:val="11"/>
        </w:rPr>
        <w:t> </w:t>
      </w:r>
      <w:r>
        <w:rPr>
          <w:color w:val="231F20"/>
        </w:rPr>
        <w:t>still</w:t>
      </w:r>
      <w:r>
        <w:rPr>
          <w:color w:val="231F20"/>
          <w:spacing w:val="11"/>
        </w:rPr>
        <w:t> </w:t>
      </w:r>
      <w:r>
        <w:rPr>
          <w:color w:val="231F20"/>
        </w:rPr>
        <w:t>sort</w:t>
      </w:r>
      <w:r>
        <w:rPr>
          <w:color w:val="231F20"/>
          <w:spacing w:val="11"/>
        </w:rPr>
        <w:t> </w:t>
      </w:r>
      <w:r>
        <w:rPr>
          <w:color w:val="231F20"/>
        </w:rPr>
        <w:t>a</w:t>
      </w:r>
      <w:r>
        <w:rPr>
          <w:color w:val="231F20"/>
          <w:spacing w:val="11"/>
        </w:rPr>
        <w:t> </w:t>
      </w:r>
      <w:r>
        <w:rPr>
          <w:color w:val="231F20"/>
        </w:rPr>
        <w:t>table</w:t>
      </w:r>
      <w:r>
        <w:rPr>
          <w:color w:val="231F20"/>
          <w:spacing w:val="11"/>
        </w:rPr>
        <w:t> </w:t>
      </w:r>
      <w:r>
        <w:rPr>
          <w:color w:val="231F20"/>
        </w:rPr>
        <w:t>by</w:t>
      </w:r>
      <w:r>
        <w:rPr>
          <w:color w:val="231F20"/>
          <w:spacing w:val="11"/>
        </w:rPr>
        <w:t> </w:t>
      </w:r>
      <w:r>
        <w:rPr>
          <w:color w:val="231F20"/>
        </w:rPr>
        <w:t>clicking a column heading.</w:t>
      </w:r>
    </w:p>
    <w:p>
      <w:pPr>
        <w:pStyle w:val="BodyText"/>
        <w:spacing w:line="213" w:lineRule="auto" w:before="237"/>
        <w:ind w:left="70" w:right="271"/>
      </w:pPr>
      <w:r>
        <w:rPr>
          <w:color w:val="231F20"/>
        </w:rPr>
        <w:t>After support for an updated product has been applied to the portal server, it is possible to get a request error message about a missing or unknown column name</w:t>
      </w:r>
      <w:r>
        <w:rPr>
          <w:color w:val="231F20"/>
          <w:spacing w:val="80"/>
        </w:rPr>
        <w:t> </w:t>
      </w:r>
      <w:r>
        <w:rPr>
          <w:color w:val="231F20"/>
        </w:rPr>
        <w:t>in the view's status bar after you set a time span with </w:t>
      </w:r>
      <w:r>
        <w:rPr>
          <w:color w:val="231F20"/>
          <w:spacing w:val="15"/>
        </w:rPr>
        <w:drawing>
          <wp:inline distT="0" distB="0" distL="0" distR="0">
            <wp:extent cx="82550" cy="82550"/>
            <wp:effectExtent l="0" t="0" r="0" b="0"/>
            <wp:docPr id="499" name="Image 499"/>
            <wp:cNvGraphicFramePr>
              <a:graphicFrameLocks/>
            </wp:cNvGraphicFramePr>
            <a:graphic>
              <a:graphicData uri="http://schemas.openxmlformats.org/drawingml/2006/picture">
                <pic:pic>
                  <pic:nvPicPr>
                    <pic:cNvPr id="499" name="Image 49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summarized data</w:t>
      </w:r>
      <w:r>
        <w:rPr>
          <w:rFonts w:ascii="Book Antiqua"/>
          <w:b/>
          <w:color w:val="231F20"/>
          <w:spacing w:val="40"/>
        </w:rPr>
        <w:t> </w:t>
      </w:r>
      <w:r>
        <w:rPr>
          <w:color w:val="231F20"/>
        </w:rPr>
        <w:t>selected. Wait until after the next scheduled summarization and pruning </w:t>
      </w:r>
      <w:r>
        <w:rPr>
          <w:color w:val="231F20"/>
        </w:rPr>
        <w:t>procedure has</w:t>
      </w:r>
      <w:r>
        <w:rPr>
          <w:color w:val="231F20"/>
          <w:spacing w:val="27"/>
        </w:rPr>
        <w:t> </w:t>
      </w:r>
      <w:r>
        <w:rPr>
          <w:color w:val="231F20"/>
        </w:rPr>
        <w:t>taken</w:t>
      </w:r>
      <w:r>
        <w:rPr>
          <w:color w:val="231F20"/>
          <w:spacing w:val="27"/>
        </w:rPr>
        <w:t> </w:t>
      </w:r>
      <w:r>
        <w:rPr>
          <w:color w:val="231F20"/>
        </w:rPr>
        <w:t>place</w:t>
      </w:r>
      <w:r>
        <w:rPr>
          <w:color w:val="231F20"/>
          <w:spacing w:val="27"/>
        </w:rPr>
        <w:t> </w:t>
      </w:r>
      <w:r>
        <w:rPr>
          <w:color w:val="231F20"/>
        </w:rPr>
        <w:t>before</w:t>
      </w:r>
      <w:r>
        <w:rPr>
          <w:color w:val="231F20"/>
          <w:spacing w:val="27"/>
        </w:rPr>
        <w:t> </w:t>
      </w:r>
      <w:r>
        <w:rPr>
          <w:color w:val="231F20"/>
        </w:rPr>
        <w:t>viewing</w:t>
      </w:r>
      <w:r>
        <w:rPr>
          <w:color w:val="231F20"/>
          <w:spacing w:val="27"/>
        </w:rPr>
        <w:t> </w:t>
      </w:r>
      <w:r>
        <w:rPr>
          <w:color w:val="231F20"/>
        </w:rPr>
        <w:t>the</w:t>
      </w:r>
      <w:r>
        <w:rPr>
          <w:color w:val="231F20"/>
          <w:spacing w:val="27"/>
        </w:rPr>
        <w:t> </w:t>
      </w:r>
      <w:r>
        <w:rPr>
          <w:color w:val="231F20"/>
        </w:rPr>
        <w:t>summarized</w:t>
      </w:r>
      <w:r>
        <w:rPr>
          <w:color w:val="231F20"/>
          <w:spacing w:val="27"/>
        </w:rPr>
        <w:t> </w:t>
      </w:r>
      <w:r>
        <w:rPr>
          <w:color w:val="231F20"/>
        </w:rPr>
        <w:t>data.</w:t>
      </w:r>
      <w:r>
        <w:rPr>
          <w:color w:val="231F20"/>
          <w:spacing w:val="27"/>
        </w:rPr>
        <w:t> </w:t>
      </w:r>
      <w:r>
        <w:rPr>
          <w:color w:val="231F20"/>
        </w:rPr>
        <w:t>If</w:t>
      </w:r>
      <w:r>
        <w:rPr>
          <w:color w:val="231F20"/>
          <w:spacing w:val="27"/>
        </w:rPr>
        <w:t> </w:t>
      </w:r>
      <w:r>
        <w:rPr>
          <w:color w:val="231F20"/>
        </w:rPr>
        <w:t>need</w:t>
      </w:r>
      <w:r>
        <w:rPr>
          <w:color w:val="231F20"/>
          <w:spacing w:val="27"/>
        </w:rPr>
        <w:t> </w:t>
      </w:r>
      <w:r>
        <w:rPr>
          <w:color w:val="231F20"/>
        </w:rPr>
        <w:t>be,</w:t>
      </w:r>
      <w:r>
        <w:rPr>
          <w:color w:val="231F20"/>
          <w:spacing w:val="27"/>
        </w:rPr>
        <w:t> </w:t>
      </w:r>
      <w:r>
        <w:rPr>
          <w:color w:val="231F20"/>
        </w:rPr>
        <w:t>you</w:t>
      </w:r>
      <w:r>
        <w:rPr>
          <w:color w:val="231F20"/>
          <w:spacing w:val="27"/>
        </w:rPr>
        <w:t> </w:t>
      </w:r>
      <w:r>
        <w:rPr>
          <w:color w:val="231F20"/>
        </w:rPr>
        <w:t>can reschedule summarization and pruning to run sooner.</w:t>
      </w:r>
    </w:p>
    <w:p>
      <w:pPr>
        <w:pStyle w:val="Heading6"/>
        <w:spacing w:line="240" w:lineRule="auto" w:before="33"/>
        <w:ind w:left="70"/>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29"/>
        <w:ind w:left="70"/>
      </w:pPr>
      <w:hyperlink w:history="true" w:anchor="_bookmark153">
        <w:r>
          <w:rPr>
            <w:color w:val="231F20"/>
          </w:rPr>
          <w:t>“Overview</w:t>
        </w:r>
        <w:r>
          <w:rPr>
            <w:color w:val="231F20"/>
            <w:spacing w:val="9"/>
          </w:rPr>
          <w:t> </w:t>
        </w:r>
        <w:r>
          <w:rPr>
            <w:color w:val="231F20"/>
          </w:rPr>
          <w:t>of</w:t>
        </w:r>
        <w:r>
          <w:rPr>
            <w:color w:val="231F20"/>
            <w:spacing w:val="10"/>
          </w:rPr>
          <w:t> </w:t>
        </w:r>
        <w:r>
          <w:rPr>
            <w:color w:val="231F20"/>
          </w:rPr>
          <w:t>historical</w:t>
        </w:r>
        <w:r>
          <w:rPr>
            <w:color w:val="231F20"/>
            <w:spacing w:val="10"/>
          </w:rPr>
          <w:t> </w:t>
        </w:r>
        <w:r>
          <w:rPr>
            <w:color w:val="231F20"/>
          </w:rPr>
          <w:t>data</w:t>
        </w:r>
        <w:r>
          <w:rPr>
            <w:color w:val="231F20"/>
            <w:spacing w:val="10"/>
          </w:rPr>
          <w:t> </w:t>
        </w:r>
        <w:r>
          <w:rPr>
            <w:color w:val="231F20"/>
          </w:rPr>
          <w:t>collection</w:t>
        </w:r>
        <w:r>
          <w:rPr>
            <w:color w:val="231F20"/>
            <w:spacing w:val="10"/>
          </w:rPr>
          <w:t> </w:t>
        </w:r>
        <w:r>
          <w:rPr>
            <w:color w:val="231F20"/>
          </w:rPr>
          <w:t>and</w:t>
        </w:r>
        <w:r>
          <w:rPr>
            <w:color w:val="231F20"/>
            <w:spacing w:val="10"/>
          </w:rPr>
          <w:t> </w:t>
        </w:r>
        <w:r>
          <w:rPr>
            <w:color w:val="231F20"/>
          </w:rPr>
          <w:t>reporting”</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5"/>
          </w:rPr>
          <w:t>213</w:t>
        </w:r>
      </w:hyperlink>
    </w:p>
    <w:p>
      <w:pPr>
        <w:pStyle w:val="BodyText"/>
        <w:spacing w:line="213" w:lineRule="auto" w:before="8"/>
        <w:ind w:left="70" w:right="264"/>
      </w:pPr>
      <w:r>
        <w:rPr>
          <w:color w:val="231F20"/>
        </w:rPr>
        <w:t>Use historical data collection and reporting to gather useful metrics about your managed network. You can also use historical data with the chart baselining tools for predictive analysis and in situation modeling for key performance indicators.</w:t>
      </w:r>
    </w:p>
    <w:p>
      <w:pPr>
        <w:pStyle w:val="Heading6"/>
        <w:spacing w:line="240" w:lineRule="auto" w:before="35"/>
        <w:ind w:left="70"/>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70"/>
      </w:pPr>
      <w:hyperlink w:history="true" w:anchor="_bookmark155">
        <w:r>
          <w:rPr>
            <w:color w:val="231F20"/>
          </w:rPr>
          <w:t>“Discontinuing</w:t>
        </w:r>
        <w:r>
          <w:rPr>
            <w:color w:val="231F20"/>
            <w:spacing w:val="7"/>
          </w:rPr>
          <w:t> </w:t>
        </w:r>
        <w:r>
          <w:rPr>
            <w:color w:val="231F20"/>
          </w:rPr>
          <w:t>historical</w:t>
        </w:r>
        <w:r>
          <w:rPr>
            <w:color w:val="231F20"/>
            <w:spacing w:val="8"/>
          </w:rPr>
          <w:t> </w:t>
        </w:r>
        <w:r>
          <w:rPr>
            <w:color w:val="231F20"/>
          </w:rPr>
          <w:t>reporting”</w:t>
        </w:r>
        <w:r>
          <w:rPr>
            <w:color w:val="231F20"/>
            <w:spacing w:val="8"/>
          </w:rPr>
          <w:t> </w:t>
        </w:r>
        <w:r>
          <w:rPr>
            <w:color w:val="231F20"/>
          </w:rPr>
          <w:t>on</w:t>
        </w:r>
        <w:r>
          <w:rPr>
            <w:color w:val="231F20"/>
            <w:spacing w:val="7"/>
          </w:rPr>
          <w:t> </w:t>
        </w:r>
        <w:r>
          <w:rPr>
            <w:color w:val="231F20"/>
          </w:rPr>
          <w:t>page</w:t>
        </w:r>
        <w:r>
          <w:rPr>
            <w:color w:val="231F20"/>
            <w:spacing w:val="8"/>
          </w:rPr>
          <w:t> </w:t>
        </w:r>
        <w:r>
          <w:rPr>
            <w:color w:val="231F20"/>
            <w:spacing w:val="-5"/>
          </w:rPr>
          <w:t>216</w:t>
        </w:r>
      </w:hyperlink>
    </w:p>
    <w:p>
      <w:pPr>
        <w:pStyle w:val="BodyText"/>
        <w:spacing w:line="213" w:lineRule="auto" w:before="8"/>
        <w:ind w:left="70" w:right="264"/>
      </w:pPr>
      <w:r>
        <w:rPr/>
        <mc:AlternateContent>
          <mc:Choice Requires="wps">
            <w:drawing>
              <wp:anchor distT="0" distB="0" distL="0" distR="0" allowOverlap="1" layoutInCell="1" locked="0" behindDoc="0" simplePos="0" relativeHeight="15787008">
                <wp:simplePos x="0" y="0"/>
                <wp:positionH relativeFrom="page">
                  <wp:posOffset>912380</wp:posOffset>
                </wp:positionH>
                <wp:positionV relativeFrom="paragraph">
                  <wp:posOffset>466223</wp:posOffset>
                </wp:positionV>
                <wp:extent cx="6082665" cy="1270"/>
                <wp:effectExtent l="0" t="0" r="0" b="0"/>
                <wp:wrapNone/>
                <wp:docPr id="500" name="Graphic 500"/>
                <wp:cNvGraphicFramePr>
                  <a:graphicFrameLocks/>
                </wp:cNvGraphicFramePr>
                <a:graphic>
                  <a:graphicData uri="http://schemas.microsoft.com/office/word/2010/wordprocessingShape">
                    <wps:wsp>
                      <wps:cNvPr id="500" name="Graphic 50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7008" from="71.841003pt,36.710495pt" to="550.783003pt,36.710495pt" stroked="true" strokeweight=".499pt" strokecolor="#231f20">
                <v:stroke dashstyle="solid"/>
                <w10:wrap type="none"/>
              </v:line>
            </w:pict>
          </mc:Fallback>
        </mc:AlternateContent>
      </w:r>
      <w:r>
        <w:rPr>
          <w:color w:val="231F20"/>
        </w:rPr>
        <w:t>For views that have a time span set to show data samplings over a range of time,</w:t>
      </w:r>
      <w:r>
        <w:rPr>
          <w:color w:val="231F20"/>
          <w:spacing w:val="40"/>
        </w:rPr>
        <w:t> </w:t>
      </w:r>
      <w:r>
        <w:rPr>
          <w:color w:val="231F20"/>
        </w:rPr>
        <w:t>you can remove the time span and display real-time data only.</w:t>
      </w:r>
    </w:p>
    <w:p>
      <w:pPr>
        <w:pStyle w:val="BodyText"/>
      </w:pPr>
    </w:p>
    <w:p>
      <w:pPr>
        <w:pStyle w:val="BodyText"/>
        <w:spacing w:before="197"/>
      </w:pPr>
    </w:p>
    <w:p>
      <w:pPr>
        <w:pStyle w:val="BodyText"/>
        <w:spacing w:line="213" w:lineRule="auto" w:before="1"/>
        <w:ind w:left="70" w:right="271"/>
      </w:pPr>
      <w:r>
        <w:rPr>
          <w:color w:val="231F20"/>
        </w:rPr>
        <w:t>Move a view to a different position in the workspace to take best advantage of the</w:t>
      </w:r>
      <w:r>
        <w:rPr>
          <w:color w:val="231F20"/>
          <w:spacing w:val="40"/>
        </w:rPr>
        <w:t> </w:t>
      </w:r>
      <w:r>
        <w:rPr>
          <w:color w:val="231F20"/>
        </w:rPr>
        <w:t>available space.</w:t>
      </w:r>
    </w:p>
    <w:p>
      <w:pPr>
        <w:pStyle w:val="Heading4"/>
        <w:spacing w:before="199"/>
        <w:ind w:left="70"/>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9"/>
        <w:ind w:left="70"/>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70"/>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70" w:right="264"/>
      </w:pPr>
      <w:r>
        <w:rPr>
          <w:color w:val="231F20"/>
        </w:rPr>
        <w:t>You can easily rearrange the views in a workspace to take advantage of the greater width available below the Navigator view and the narrow area to the right.</w:t>
      </w:r>
    </w:p>
    <w:p>
      <w:pPr>
        <w:spacing w:after="0" w:line="213" w:lineRule="auto"/>
        <w:sectPr>
          <w:pgSz w:w="12240" w:h="15840"/>
          <w:pgMar w:header="0" w:footer="736" w:top="1180" w:bottom="920" w:left="1000" w:right="1060"/>
          <w:cols w:num="2" w:equalWidth="0">
            <w:col w:w="2362" w:space="40"/>
            <w:col w:w="7778"/>
          </w:cols>
        </w:sectPr>
      </w:pPr>
    </w:p>
    <w:p>
      <w:pPr>
        <w:pStyle w:val="Heading4"/>
        <w:spacing w:before="86"/>
      </w:pPr>
      <w:bookmarkStart w:name="_bookmark34" w:id="78"/>
      <w:bookmarkEnd w:id="78"/>
      <w:r>
        <w:rPr>
          <w:b w:val="0"/>
        </w:rPr>
      </w:r>
      <w:r>
        <w:rPr>
          <w:color w:val="231F20"/>
          <w:spacing w:val="-2"/>
        </w:rPr>
        <w:t>Procedure</w:t>
      </w:r>
    </w:p>
    <w:p>
      <w:pPr>
        <w:pStyle w:val="ListParagraph"/>
        <w:numPr>
          <w:ilvl w:val="0"/>
          <w:numId w:val="14"/>
        </w:numPr>
        <w:tabs>
          <w:tab w:pos="2547" w:val="left" w:leader="none"/>
        </w:tabs>
        <w:spacing w:line="240" w:lineRule="auto" w:before="39" w:after="0"/>
        <w:ind w:left="2547" w:right="0" w:hanging="315"/>
        <w:jc w:val="left"/>
        <w:rPr>
          <w:sz w:val="20"/>
        </w:rPr>
      </w:pPr>
      <w:r>
        <w:rPr>
          <w:color w:val="231F20"/>
          <w:sz w:val="20"/>
        </w:rPr>
        <w:t>Move</w:t>
      </w:r>
      <w:r>
        <w:rPr>
          <w:color w:val="231F20"/>
          <w:spacing w:val="12"/>
          <w:sz w:val="20"/>
        </w:rPr>
        <w:t> </w:t>
      </w:r>
      <w:r>
        <w:rPr>
          <w:color w:val="231F20"/>
          <w:sz w:val="20"/>
        </w:rPr>
        <w:t>the</w:t>
      </w:r>
      <w:r>
        <w:rPr>
          <w:color w:val="231F20"/>
          <w:spacing w:val="12"/>
          <w:sz w:val="20"/>
        </w:rPr>
        <w:t> </w:t>
      </w:r>
      <w:r>
        <w:rPr>
          <w:color w:val="231F20"/>
          <w:sz w:val="20"/>
        </w:rPr>
        <w:t>mouse</w:t>
      </w:r>
      <w:r>
        <w:rPr>
          <w:color w:val="231F20"/>
          <w:spacing w:val="12"/>
          <w:sz w:val="20"/>
        </w:rPr>
        <w:t> </w:t>
      </w:r>
      <w:r>
        <w:rPr>
          <w:color w:val="231F20"/>
          <w:sz w:val="20"/>
        </w:rPr>
        <w:t>pointer</w:t>
      </w:r>
      <w:r>
        <w:rPr>
          <w:color w:val="231F20"/>
          <w:spacing w:val="13"/>
          <w:sz w:val="20"/>
        </w:rPr>
        <w:t> </w:t>
      </w:r>
      <w:r>
        <w:rPr>
          <w:color w:val="231F20"/>
          <w:sz w:val="20"/>
        </w:rPr>
        <w:t>over</w:t>
      </w:r>
      <w:r>
        <w:rPr>
          <w:color w:val="231F20"/>
          <w:spacing w:val="12"/>
          <w:sz w:val="20"/>
        </w:rPr>
        <w:t> </w:t>
      </w:r>
      <w:r>
        <w:rPr>
          <w:color w:val="231F20"/>
          <w:sz w:val="20"/>
        </w:rPr>
        <w:t>the</w:t>
      </w:r>
      <w:r>
        <w:rPr>
          <w:color w:val="231F20"/>
          <w:spacing w:val="12"/>
          <w:sz w:val="20"/>
        </w:rPr>
        <w:t> </w:t>
      </w:r>
      <w:r>
        <w:rPr>
          <w:color w:val="231F20"/>
          <w:sz w:val="20"/>
        </w:rPr>
        <w:t>title</w:t>
      </w:r>
      <w:r>
        <w:rPr>
          <w:color w:val="231F20"/>
          <w:spacing w:val="13"/>
          <w:sz w:val="20"/>
        </w:rPr>
        <w:t> </w:t>
      </w:r>
      <w:r>
        <w:rPr>
          <w:color w:val="231F20"/>
          <w:sz w:val="20"/>
        </w:rPr>
        <w:t>bar</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3"/>
          <w:sz w:val="20"/>
        </w:rPr>
        <w:t> </w:t>
      </w:r>
      <w:r>
        <w:rPr>
          <w:color w:val="231F20"/>
          <w:sz w:val="20"/>
        </w:rPr>
        <w:t>view</w:t>
      </w:r>
      <w:r>
        <w:rPr>
          <w:color w:val="231F20"/>
          <w:spacing w:val="12"/>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3"/>
          <w:sz w:val="20"/>
        </w:rPr>
        <w:t> </w:t>
      </w:r>
      <w:r>
        <w:rPr>
          <w:color w:val="231F20"/>
          <w:spacing w:val="-2"/>
          <w:sz w:val="20"/>
        </w:rPr>
        <w:t>relocate.</w:t>
      </w:r>
    </w:p>
    <w:p>
      <w:pPr>
        <w:pStyle w:val="ListParagraph"/>
        <w:numPr>
          <w:ilvl w:val="0"/>
          <w:numId w:val="14"/>
        </w:numPr>
        <w:tabs>
          <w:tab w:pos="2548" w:val="left" w:leader="none"/>
        </w:tabs>
        <w:spacing w:line="213" w:lineRule="auto" w:before="53" w:after="0"/>
        <w:ind w:left="2548" w:right="536" w:hanging="316"/>
        <w:jc w:val="left"/>
        <w:rPr>
          <w:sz w:val="20"/>
        </w:rPr>
      </w:pPr>
      <w:r>
        <w:rPr>
          <w:color w:val="231F20"/>
          <w:sz w:val="20"/>
        </w:rPr>
        <w:t>Click and drag the view over the space you want it to occupy. While dragging the title bar, you should see a semi-transparent copy of the view.</w:t>
      </w:r>
    </w:p>
    <w:p>
      <w:pPr>
        <w:pStyle w:val="ListParagraph"/>
        <w:numPr>
          <w:ilvl w:val="0"/>
          <w:numId w:val="14"/>
        </w:numPr>
        <w:tabs>
          <w:tab w:pos="2547" w:val="left" w:leader="none"/>
        </w:tabs>
        <w:spacing w:line="240" w:lineRule="auto" w:before="35" w:after="0"/>
        <w:ind w:left="2547" w:right="0" w:hanging="315"/>
        <w:jc w:val="left"/>
        <w:rPr>
          <w:sz w:val="20"/>
        </w:rPr>
      </w:pPr>
      <w:r>
        <w:rPr>
          <w:color w:val="231F20"/>
          <w:sz w:val="20"/>
        </w:rPr>
        <w:t>Release</w:t>
      </w:r>
      <w:r>
        <w:rPr>
          <w:color w:val="231F20"/>
          <w:spacing w:val="11"/>
          <w:sz w:val="20"/>
        </w:rPr>
        <w:t> </w:t>
      </w:r>
      <w:r>
        <w:rPr>
          <w:color w:val="231F20"/>
          <w:sz w:val="20"/>
        </w:rPr>
        <w:t>the</w:t>
      </w:r>
      <w:r>
        <w:rPr>
          <w:color w:val="231F20"/>
          <w:spacing w:val="12"/>
          <w:sz w:val="20"/>
        </w:rPr>
        <w:t> </w:t>
      </w:r>
      <w:r>
        <w:rPr>
          <w:color w:val="231F20"/>
          <w:sz w:val="20"/>
        </w:rPr>
        <w:t>mouse</w:t>
      </w:r>
      <w:r>
        <w:rPr>
          <w:color w:val="231F20"/>
          <w:spacing w:val="11"/>
          <w:sz w:val="20"/>
        </w:rPr>
        <w:t> </w:t>
      </w:r>
      <w:r>
        <w:rPr>
          <w:color w:val="231F20"/>
          <w:sz w:val="20"/>
        </w:rPr>
        <w:t>button</w:t>
      </w:r>
      <w:r>
        <w:rPr>
          <w:color w:val="231F20"/>
          <w:spacing w:val="12"/>
          <w:sz w:val="20"/>
        </w:rPr>
        <w:t> </w:t>
      </w:r>
      <w:r>
        <w:rPr>
          <w:color w:val="231F20"/>
          <w:sz w:val="20"/>
        </w:rPr>
        <w:t>to</w:t>
      </w:r>
      <w:r>
        <w:rPr>
          <w:color w:val="231F20"/>
          <w:spacing w:val="12"/>
          <w:sz w:val="20"/>
        </w:rPr>
        <w:t> </w:t>
      </w:r>
      <w:r>
        <w:rPr>
          <w:color w:val="231F20"/>
          <w:sz w:val="20"/>
        </w:rPr>
        <w:t>swap</w:t>
      </w:r>
      <w:r>
        <w:rPr>
          <w:color w:val="231F20"/>
          <w:spacing w:val="11"/>
          <w:sz w:val="20"/>
        </w:rPr>
        <w:t> </w:t>
      </w:r>
      <w:r>
        <w:rPr>
          <w:color w:val="231F20"/>
          <w:sz w:val="20"/>
        </w:rPr>
        <w:t>the</w:t>
      </w:r>
      <w:r>
        <w:rPr>
          <w:color w:val="231F20"/>
          <w:spacing w:val="12"/>
          <w:sz w:val="20"/>
        </w:rPr>
        <w:t> </w:t>
      </w:r>
      <w:r>
        <w:rPr>
          <w:color w:val="231F20"/>
          <w:spacing w:val="-2"/>
          <w:sz w:val="20"/>
        </w:rPr>
        <w:t>views.</w:t>
      </w:r>
    </w:p>
    <w:p>
      <w:pPr>
        <w:pStyle w:val="BodyText"/>
        <w:spacing w:before="13"/>
        <w:rPr>
          <w:sz w:val="15"/>
        </w:rPr>
      </w:pPr>
      <w:r>
        <w:rPr/>
        <mc:AlternateContent>
          <mc:Choice Requires="wps">
            <w:drawing>
              <wp:anchor distT="0" distB="0" distL="0" distR="0" allowOverlap="1" layoutInCell="1" locked="0" behindDoc="1" simplePos="0" relativeHeight="487646720">
                <wp:simplePos x="0" y="0"/>
                <wp:positionH relativeFrom="page">
                  <wp:posOffset>760323</wp:posOffset>
                </wp:positionH>
                <wp:positionV relativeFrom="paragraph">
                  <wp:posOffset>152214</wp:posOffset>
                </wp:positionV>
                <wp:extent cx="6082665" cy="1270"/>
                <wp:effectExtent l="0" t="0" r="0" b="0"/>
                <wp:wrapTopAndBottom/>
                <wp:docPr id="501" name="Graphic 501"/>
                <wp:cNvGraphicFramePr>
                  <a:graphicFrameLocks/>
                </wp:cNvGraphicFramePr>
                <a:graphic>
                  <a:graphicData uri="http://schemas.microsoft.com/office/word/2010/wordprocessingShape">
                    <wps:wsp>
                      <wps:cNvPr id="501" name="Graphic 50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85394pt;width:478.95pt;height:.1pt;mso-position-horizontal-relative:page;mso-position-vertical-relative:paragraph;z-index:-15669760;mso-wrap-distance-left:0;mso-wrap-distance-right:0" id="docshape80"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Reordering columns and rows" w:id="79"/>
      <w:bookmarkEnd w:id="79"/>
      <w:r>
        <w:rPr>
          <w:b w:val="0"/>
        </w:rPr>
      </w:r>
      <w:r>
        <w:rPr>
          <w:color w:val="231F20"/>
        </w:rPr>
        <w:t>Reordering</w:t>
      </w:r>
      <w:r>
        <w:rPr>
          <w:color w:val="231F20"/>
          <w:spacing w:val="4"/>
        </w:rPr>
        <w:t> </w:t>
      </w:r>
      <w:r>
        <w:rPr>
          <w:color w:val="231F20"/>
        </w:rPr>
        <w:t>columns</w:t>
      </w:r>
      <w:r>
        <w:rPr>
          <w:color w:val="231F20"/>
          <w:spacing w:val="5"/>
        </w:rPr>
        <w:t> </w:t>
      </w:r>
      <w:r>
        <w:rPr>
          <w:color w:val="231F20"/>
        </w:rPr>
        <w:t>and</w:t>
      </w:r>
      <w:r>
        <w:rPr>
          <w:color w:val="231F20"/>
          <w:spacing w:val="4"/>
        </w:rPr>
        <w:t> </w:t>
      </w:r>
      <w:r>
        <w:rPr>
          <w:color w:val="231F20"/>
          <w:spacing w:val="-4"/>
        </w:rPr>
        <w:t>rows</w:t>
      </w:r>
    </w:p>
    <w:p>
      <w:pPr>
        <w:pStyle w:val="BodyText"/>
        <w:spacing w:line="213" w:lineRule="auto" w:before="138"/>
        <w:ind w:left="2232" w:right="545"/>
      </w:pPr>
      <w:r>
        <w:rPr>
          <w:color w:val="231F20"/>
        </w:rPr>
        <w:t>Change how a table view is sorted temporarily to focus on specific column details</w:t>
      </w:r>
      <w:r>
        <w:rPr>
          <w:color w:val="231F20"/>
          <w:spacing w:val="40"/>
        </w:rPr>
        <w:t> </w:t>
      </w:r>
      <w:r>
        <w:rPr>
          <w:color w:val="231F20"/>
        </w:rPr>
        <w:t>or in a more permanent way if it should always appear sorted in this manner. You can also reposition columns for a more logical organization or to emphasize</w:t>
      </w:r>
      <w:r>
        <w:rPr>
          <w:color w:val="231F20"/>
          <w:spacing w:val="40"/>
        </w:rPr>
        <w:t> </w:t>
      </w:r>
      <w:r>
        <w:rPr>
          <w:color w:val="231F20"/>
        </w:rPr>
        <w:t>columns of interest.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You</w:t>
      </w:r>
      <w:r>
        <w:rPr>
          <w:color w:val="231F20"/>
          <w:spacing w:val="9"/>
        </w:rPr>
        <w:t> </w:t>
      </w:r>
      <w:r>
        <w:rPr>
          <w:color w:val="231F20"/>
        </w:rPr>
        <w:t>can</w:t>
      </w:r>
      <w:r>
        <w:rPr>
          <w:color w:val="231F20"/>
          <w:spacing w:val="8"/>
        </w:rPr>
        <w:t> </w:t>
      </w:r>
      <w:r>
        <w:rPr>
          <w:color w:val="231F20"/>
        </w:rPr>
        <w:t>set</w:t>
      </w:r>
      <w:r>
        <w:rPr>
          <w:color w:val="231F20"/>
          <w:spacing w:val="9"/>
        </w:rPr>
        <w:t> </w:t>
      </w:r>
      <w:r>
        <w:rPr>
          <w:color w:val="231F20"/>
        </w:rPr>
        <w:t>the</w:t>
      </w:r>
      <w:r>
        <w:rPr>
          <w:color w:val="231F20"/>
          <w:spacing w:val="9"/>
        </w:rPr>
        <w:t> </w:t>
      </w:r>
      <w:r>
        <w:rPr>
          <w:color w:val="231F20"/>
        </w:rPr>
        <w:t>sort</w:t>
      </w:r>
      <w:r>
        <w:rPr>
          <w:color w:val="231F20"/>
          <w:spacing w:val="9"/>
        </w:rPr>
        <w:t> </w:t>
      </w:r>
      <w:r>
        <w:rPr>
          <w:color w:val="231F20"/>
        </w:rPr>
        <w:t>order</w:t>
      </w:r>
      <w:r>
        <w:rPr>
          <w:color w:val="231F20"/>
          <w:spacing w:val="9"/>
        </w:rPr>
        <w:t> </w:t>
      </w:r>
      <w:r>
        <w:rPr>
          <w:color w:val="231F20"/>
        </w:rPr>
        <w:t>in</w:t>
      </w:r>
      <w:r>
        <w:rPr>
          <w:color w:val="231F20"/>
          <w:spacing w:val="9"/>
        </w:rPr>
        <w:t> </w:t>
      </w:r>
      <w:r>
        <w:rPr>
          <w:color w:val="231F20"/>
        </w:rPr>
        <w:t>three</w:t>
      </w:r>
      <w:r>
        <w:rPr>
          <w:color w:val="231F20"/>
          <w:spacing w:val="9"/>
        </w:rPr>
        <w:t> </w:t>
      </w:r>
      <w:r>
        <w:rPr>
          <w:color w:val="231F20"/>
        </w:rPr>
        <w:t>ways.</w:t>
      </w:r>
      <w:r>
        <w:rPr>
          <w:color w:val="231F20"/>
          <w:spacing w:val="9"/>
        </w:rPr>
        <w:t> </w:t>
      </w:r>
      <w:r>
        <w:rPr>
          <w:color w:val="231F20"/>
        </w:rPr>
        <w:t>Take</w:t>
      </w:r>
      <w:r>
        <w:rPr>
          <w:color w:val="231F20"/>
          <w:spacing w:val="9"/>
        </w:rPr>
        <w:t> </w:t>
      </w:r>
      <w:r>
        <w:rPr>
          <w:color w:val="231F20"/>
        </w:rPr>
        <w:t>one</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following</w:t>
      </w:r>
      <w:r>
        <w:rPr>
          <w:color w:val="231F20"/>
          <w:spacing w:val="9"/>
        </w:rPr>
        <w:t> </w:t>
      </w:r>
      <w:r>
        <w:rPr>
          <w:color w:val="231F20"/>
          <w:spacing w:val="-2"/>
        </w:rPr>
        <w:t>steps</w:t>
      </w:r>
    </w:p>
    <w:p>
      <w:pPr>
        <w:pStyle w:val="Heading4"/>
        <w:spacing w:before="194"/>
      </w:pPr>
      <w:r>
        <w:rPr>
          <w:color w:val="231F20"/>
          <w:spacing w:val="-2"/>
        </w:rPr>
        <w:t>Procedure</w:t>
      </w:r>
    </w:p>
    <w:p>
      <w:pPr>
        <w:pStyle w:val="BodyText"/>
        <w:spacing w:line="213" w:lineRule="auto" w:before="62"/>
        <w:ind w:left="2448" w:right="493" w:hanging="216"/>
      </w:pPr>
      <w:r>
        <w:rPr>
          <w:rFonts w:ascii="Futura MdCn BT"/>
          <w:color w:val="231F20"/>
        </w:rPr>
        <w:t>v</w:t>
      </w:r>
      <w:r>
        <w:rPr>
          <w:rFonts w:ascii="Futura MdCn BT"/>
          <w:color w:val="231F20"/>
          <w:spacing w:val="80"/>
        </w:rPr>
        <w:t> </w:t>
      </w:r>
      <w:r>
        <w:rPr>
          <w:color w:val="231F20"/>
        </w:rPr>
        <w:t>Reorder the table view columns or chart view data series by clicking the column</w:t>
      </w:r>
      <w:r>
        <w:rPr>
          <w:color w:val="231F20"/>
          <w:spacing w:val="40"/>
        </w:rPr>
        <w:t> </w:t>
      </w:r>
      <w:r>
        <w:rPr>
          <w:color w:val="231F20"/>
        </w:rPr>
        <w:t>heading and dragging to the new position:</w:t>
      </w:r>
    </w:p>
    <w:p>
      <w:pPr>
        <w:pStyle w:val="ListParagraph"/>
        <w:numPr>
          <w:ilvl w:val="0"/>
          <w:numId w:val="15"/>
        </w:numPr>
        <w:tabs>
          <w:tab w:pos="2696" w:val="left" w:leader="none"/>
          <w:tab w:pos="2698" w:val="left" w:leader="none"/>
        </w:tabs>
        <w:spacing w:line="213" w:lineRule="auto" w:before="58" w:after="0"/>
        <w:ind w:left="2698" w:right="468" w:hanging="250"/>
        <w:jc w:val="left"/>
        <w:rPr>
          <w:sz w:val="20"/>
        </w:rPr>
      </w:pPr>
      <w:r>
        <w:rPr>
          <w:color w:val="231F20"/>
          <w:sz w:val="20"/>
        </w:rPr>
        <w:t>If you open a workspace and drag the column heading in a workspace table view, the change is temporary unless you save the workspace. You can also right-click a column heading and click </w:t>
      </w:r>
      <w:r>
        <w:rPr>
          <w:color w:val="231F20"/>
          <w:spacing w:val="-25"/>
          <w:position w:val="-1"/>
          <w:sz w:val="20"/>
        </w:rPr>
        <w:drawing>
          <wp:inline distT="0" distB="0" distL="0" distR="0">
            <wp:extent cx="95250" cy="101600"/>
            <wp:effectExtent l="0" t="0" r="0" b="0"/>
            <wp:docPr id="502" name="Image 502"/>
            <wp:cNvGraphicFramePr>
              <a:graphicFrameLocks/>
            </wp:cNvGraphicFramePr>
            <a:graphic>
              <a:graphicData uri="http://schemas.openxmlformats.org/drawingml/2006/picture">
                <pic:pic>
                  <pic:nvPicPr>
                    <pic:cNvPr id="502" name="Image 502"/>
                    <pic:cNvPicPr/>
                  </pic:nvPicPr>
                  <pic:blipFill>
                    <a:blip r:embed="rId147"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hAnsi="Times New Roman"/>
          <w:color w:val="231F20"/>
          <w:spacing w:val="18"/>
          <w:sz w:val="20"/>
        </w:rPr>
        <w:t> </w:t>
      </w:r>
      <w:r>
        <w:rPr>
          <w:rFonts w:ascii="Book Antiqua" w:hAnsi="Book Antiqua"/>
          <w:b/>
          <w:color w:val="231F20"/>
          <w:sz w:val="20"/>
        </w:rPr>
        <w:t>Lock this Column </w:t>
      </w:r>
      <w:r>
        <w:rPr>
          <w:color w:val="231F20"/>
          <w:sz w:val="20"/>
        </w:rPr>
        <w:t>to fix the </w:t>
      </w:r>
      <w:r>
        <w:rPr>
          <w:color w:val="231F20"/>
          <w:sz w:val="20"/>
        </w:rPr>
        <w:t>column and</w:t>
      </w:r>
      <w:r>
        <w:rPr>
          <w:color w:val="231F20"/>
          <w:spacing w:val="24"/>
          <w:sz w:val="20"/>
        </w:rPr>
        <w:t> </w:t>
      </w:r>
      <w:r>
        <w:rPr>
          <w:color w:val="231F20"/>
          <w:sz w:val="20"/>
        </w:rPr>
        <w:t>any</w:t>
      </w:r>
      <w:r>
        <w:rPr>
          <w:color w:val="231F20"/>
          <w:spacing w:val="24"/>
          <w:sz w:val="20"/>
        </w:rPr>
        <w:t> </w:t>
      </w:r>
      <w:r>
        <w:rPr>
          <w:color w:val="231F20"/>
          <w:sz w:val="20"/>
        </w:rPr>
        <w:t>columns</w:t>
      </w:r>
      <w:r>
        <w:rPr>
          <w:color w:val="231F20"/>
          <w:spacing w:val="24"/>
          <w:sz w:val="20"/>
        </w:rPr>
        <w:t> </w:t>
      </w:r>
      <w:r>
        <w:rPr>
          <w:color w:val="231F20"/>
          <w:sz w:val="20"/>
        </w:rPr>
        <w:t>to</w:t>
      </w:r>
      <w:r>
        <w:rPr>
          <w:color w:val="231F20"/>
          <w:spacing w:val="24"/>
          <w:sz w:val="20"/>
        </w:rPr>
        <w:t> </w:t>
      </w:r>
      <w:r>
        <w:rPr>
          <w:color w:val="231F20"/>
          <w:sz w:val="20"/>
        </w:rPr>
        <w:t>the</w:t>
      </w:r>
      <w:r>
        <w:rPr>
          <w:color w:val="231F20"/>
          <w:spacing w:val="24"/>
          <w:sz w:val="20"/>
        </w:rPr>
        <w:t> </w:t>
      </w:r>
      <w:r>
        <w:rPr>
          <w:color w:val="231F20"/>
          <w:sz w:val="20"/>
        </w:rPr>
        <w:t>left</w:t>
      </w:r>
      <w:r>
        <w:rPr>
          <w:color w:val="231F20"/>
          <w:spacing w:val="24"/>
          <w:sz w:val="20"/>
        </w:rPr>
        <w:t> </w:t>
      </w:r>
      <w:r>
        <w:rPr>
          <w:color w:val="231F20"/>
          <w:sz w:val="20"/>
        </w:rPr>
        <w:t>of</w:t>
      </w:r>
      <w:r>
        <w:rPr>
          <w:color w:val="231F20"/>
          <w:spacing w:val="24"/>
          <w:sz w:val="20"/>
        </w:rPr>
        <w:t> </w:t>
      </w:r>
      <w:r>
        <w:rPr>
          <w:color w:val="231F20"/>
          <w:sz w:val="20"/>
        </w:rPr>
        <w:t>it</w:t>
      </w:r>
      <w:r>
        <w:rPr>
          <w:color w:val="231F20"/>
          <w:spacing w:val="24"/>
          <w:sz w:val="20"/>
        </w:rPr>
        <w:t> </w:t>
      </w:r>
      <w:r>
        <w:rPr>
          <w:color w:val="231F20"/>
          <w:sz w:val="20"/>
        </w:rPr>
        <w:t>so</w:t>
      </w:r>
      <w:r>
        <w:rPr>
          <w:color w:val="231F20"/>
          <w:spacing w:val="24"/>
          <w:sz w:val="20"/>
        </w:rPr>
        <w:t> </w:t>
      </w:r>
      <w:r>
        <w:rPr>
          <w:color w:val="231F20"/>
          <w:sz w:val="20"/>
        </w:rPr>
        <w:t>that</w:t>
      </w:r>
      <w:r>
        <w:rPr>
          <w:color w:val="231F20"/>
          <w:spacing w:val="24"/>
          <w:sz w:val="20"/>
        </w:rPr>
        <w:t> </w:t>
      </w:r>
      <w:r>
        <w:rPr>
          <w:color w:val="231F20"/>
          <w:sz w:val="20"/>
        </w:rPr>
        <w:t>they</w:t>
      </w:r>
      <w:r>
        <w:rPr>
          <w:color w:val="231F20"/>
          <w:spacing w:val="24"/>
          <w:sz w:val="20"/>
        </w:rPr>
        <w:t> </w:t>
      </w:r>
      <w:r>
        <w:rPr>
          <w:color w:val="231F20"/>
          <w:sz w:val="20"/>
        </w:rPr>
        <w:t>do</w:t>
      </w:r>
      <w:r>
        <w:rPr>
          <w:color w:val="231F20"/>
          <w:spacing w:val="24"/>
          <w:sz w:val="20"/>
        </w:rPr>
        <w:t> </w:t>
      </w:r>
      <w:r>
        <w:rPr>
          <w:color w:val="231F20"/>
          <w:sz w:val="20"/>
        </w:rPr>
        <w:t>not</w:t>
      </w:r>
      <w:r>
        <w:rPr>
          <w:color w:val="231F20"/>
          <w:spacing w:val="24"/>
          <w:sz w:val="20"/>
        </w:rPr>
        <w:t> </w:t>
      </w:r>
      <w:r>
        <w:rPr>
          <w:color w:val="231F20"/>
          <w:sz w:val="20"/>
        </w:rPr>
        <w:t>move</w:t>
      </w:r>
      <w:r>
        <w:rPr>
          <w:color w:val="231F20"/>
          <w:spacing w:val="24"/>
          <w:sz w:val="20"/>
        </w:rPr>
        <w:t> </w:t>
      </w:r>
      <w:r>
        <w:rPr>
          <w:color w:val="231F20"/>
          <w:sz w:val="20"/>
        </w:rPr>
        <w:t>off</w:t>
      </w:r>
      <w:r>
        <w:rPr>
          <w:color w:val="231F20"/>
          <w:spacing w:val="24"/>
          <w:sz w:val="20"/>
        </w:rPr>
        <w:t> </w:t>
      </w:r>
      <w:r>
        <w:rPr>
          <w:color w:val="231F20"/>
          <w:sz w:val="20"/>
        </w:rPr>
        <w:t>the</w:t>
      </w:r>
      <w:r>
        <w:rPr>
          <w:color w:val="231F20"/>
          <w:spacing w:val="24"/>
          <w:sz w:val="20"/>
        </w:rPr>
        <w:t> </w:t>
      </w:r>
      <w:r>
        <w:rPr>
          <w:color w:val="231F20"/>
          <w:sz w:val="20"/>
        </w:rPr>
        <w:t>viewable area of the pane when you scroll horizontally.</w:t>
      </w:r>
    </w:p>
    <w:p>
      <w:pPr>
        <w:pStyle w:val="ListParagraph"/>
        <w:numPr>
          <w:ilvl w:val="0"/>
          <w:numId w:val="15"/>
        </w:numPr>
        <w:tabs>
          <w:tab w:pos="2696" w:val="left" w:leader="none"/>
          <w:tab w:pos="2698" w:val="left" w:leader="none"/>
        </w:tabs>
        <w:spacing w:line="213" w:lineRule="auto" w:before="57" w:after="0"/>
        <w:ind w:left="2698" w:right="460" w:hanging="250"/>
        <w:jc w:val="both"/>
        <w:rPr>
          <w:sz w:val="20"/>
        </w:rPr>
      </w:pPr>
      <w:r>
        <w:rPr>
          <w:color w:val="231F20"/>
          <w:sz w:val="20"/>
        </w:rPr>
        <w:t>If you click</w:t>
      </w:r>
      <w:r>
        <w:rPr>
          <w:color w:val="231F20"/>
          <w:spacing w:val="6"/>
          <w:sz w:val="20"/>
        </w:rPr>
        <w:t> </w:t>
      </w:r>
      <w:r>
        <w:rPr>
          <w:color w:val="231F20"/>
          <w:spacing w:val="6"/>
          <w:position w:val="1"/>
          <w:sz w:val="20"/>
        </w:rPr>
        <w:drawing>
          <wp:inline distT="0" distB="0" distL="0" distR="0">
            <wp:extent cx="57150" cy="57150"/>
            <wp:effectExtent l="0" t="0" r="0" b="0"/>
            <wp:docPr id="503" name="Image 503"/>
            <wp:cNvGraphicFramePr>
              <a:graphicFrameLocks/>
            </wp:cNvGraphicFramePr>
            <a:graphic>
              <a:graphicData uri="http://schemas.openxmlformats.org/drawingml/2006/picture">
                <pic:pic>
                  <pic:nvPicPr>
                    <pic:cNvPr id="503" name="Image 503"/>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hAnsi="Times New Roman"/>
          <w:color w:val="231F20"/>
          <w:spacing w:val="40"/>
          <w:sz w:val="20"/>
        </w:rPr>
        <w:t> </w:t>
      </w:r>
      <w:r>
        <w:rPr>
          <w:rFonts w:ascii="Book Antiqua" w:hAnsi="Book Antiqua"/>
          <w:b/>
          <w:color w:val="231F20"/>
          <w:sz w:val="20"/>
        </w:rPr>
        <w:t>Edit properties </w:t>
      </w:r>
      <w:r>
        <w:rPr>
          <w:color w:val="231F20"/>
          <w:sz w:val="20"/>
        </w:rPr>
        <w:t>in the table- or chart view title bar and drag a column heading in the </w:t>
      </w:r>
      <w:r>
        <w:rPr>
          <w:color w:val="231F20"/>
          <w:spacing w:val="-24"/>
          <w:position w:val="-1"/>
          <w:sz w:val="20"/>
        </w:rPr>
        <w:drawing>
          <wp:inline distT="0" distB="0" distL="0" distR="0">
            <wp:extent cx="95250" cy="101600"/>
            <wp:effectExtent l="0" t="0" r="0" b="0"/>
            <wp:docPr id="504" name="Image 504"/>
            <wp:cNvGraphicFramePr>
              <a:graphicFrameLocks/>
            </wp:cNvGraphicFramePr>
            <a:graphic>
              <a:graphicData uri="http://schemas.openxmlformats.org/drawingml/2006/picture">
                <pic:pic>
                  <pic:nvPicPr>
                    <pic:cNvPr id="504" name="Image 504"/>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hAnsi="Times New Roman"/>
          <w:color w:val="231F20"/>
          <w:spacing w:val="17"/>
          <w:sz w:val="20"/>
        </w:rPr>
        <w:t> </w:t>
      </w:r>
      <w:r>
        <w:rPr>
          <w:rFonts w:ascii="Book Antiqua" w:hAnsi="Book Antiqua"/>
          <w:b/>
          <w:color w:val="231F20"/>
          <w:sz w:val="20"/>
        </w:rPr>
        <w:t>Filters </w:t>
      </w:r>
      <w:r>
        <w:rPr>
          <w:color w:val="231F20"/>
          <w:sz w:val="20"/>
        </w:rPr>
        <w:t>tab, the change is temporary unless you </w:t>
      </w:r>
      <w:r>
        <w:rPr>
          <w:color w:val="231F20"/>
          <w:sz w:val="20"/>
        </w:rPr>
        <w:t>save the workspace.</w:t>
      </w:r>
    </w:p>
    <w:p>
      <w:pPr>
        <w:pStyle w:val="ListParagraph"/>
        <w:numPr>
          <w:ilvl w:val="0"/>
          <w:numId w:val="15"/>
        </w:numPr>
        <w:tabs>
          <w:tab w:pos="2696" w:val="left" w:leader="none"/>
          <w:tab w:pos="2698" w:val="left" w:leader="none"/>
        </w:tabs>
        <w:spacing w:line="213" w:lineRule="auto" w:before="57" w:after="0"/>
        <w:ind w:left="2698" w:right="574" w:hanging="250"/>
        <w:jc w:val="left"/>
        <w:rPr>
          <w:sz w:val="20"/>
        </w:rPr>
      </w:pPr>
      <w:r>
        <w:rPr>
          <w:color w:val="231F20"/>
          <w:sz w:val="20"/>
        </w:rPr>
        <w:t>If you click</w:t>
      </w:r>
      <w:r>
        <w:rPr>
          <w:color w:val="231F20"/>
          <w:spacing w:val="25"/>
          <w:sz w:val="20"/>
        </w:rPr>
        <w:t> </w:t>
      </w:r>
      <w:r>
        <w:rPr>
          <w:color w:val="231F20"/>
          <w:spacing w:val="-24"/>
          <w:position w:val="-1"/>
          <w:sz w:val="20"/>
        </w:rPr>
        <w:drawing>
          <wp:inline distT="0" distB="0" distL="0" distR="0">
            <wp:extent cx="95250" cy="101600"/>
            <wp:effectExtent l="0" t="0" r="0" b="0"/>
            <wp:docPr id="505" name="Image 505"/>
            <wp:cNvGraphicFramePr>
              <a:graphicFrameLocks/>
            </wp:cNvGraphicFramePr>
            <a:graphic>
              <a:graphicData uri="http://schemas.openxmlformats.org/drawingml/2006/picture">
                <pic:pic>
                  <pic:nvPicPr>
                    <pic:cNvPr id="505" name="Image 505"/>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hAnsi="Times New Roman"/>
          <w:color w:val="231F20"/>
          <w:spacing w:val="22"/>
          <w:sz w:val="20"/>
        </w:rPr>
        <w:t> </w:t>
      </w:r>
      <w:r>
        <w:rPr>
          <w:rFonts w:ascii="Book Antiqua" w:hAnsi="Book Antiqua"/>
          <w:b/>
          <w:color w:val="231F20"/>
          <w:sz w:val="20"/>
        </w:rPr>
        <w:t>Query Editor </w:t>
      </w:r>
      <w:r>
        <w:rPr>
          <w:color w:val="231F20"/>
          <w:sz w:val="20"/>
        </w:rPr>
        <w:t>and drag a column heading in the Specification tab, the changes are saved with the query and applied to any views that </w:t>
      </w:r>
      <w:r>
        <w:rPr>
          <w:color w:val="231F20"/>
          <w:sz w:val="20"/>
        </w:rPr>
        <w:t>use that query. Column reordering must be done in a custom query because predefined queries are not editable.</w:t>
      </w:r>
    </w:p>
    <w:p>
      <w:pPr>
        <w:pStyle w:val="BodyText"/>
        <w:spacing w:before="35"/>
        <w:ind w:left="2232"/>
      </w:pPr>
      <w:r>
        <w:rPr>
          <w:rFonts w:ascii="Futura MdCn BT"/>
          <w:color w:val="231F20"/>
        </w:rPr>
        <w:t>v</w:t>
      </w:r>
      <w:r>
        <w:rPr>
          <w:rFonts w:ascii="Futura MdCn BT"/>
          <w:color w:val="231F20"/>
          <w:spacing w:val="32"/>
        </w:rPr>
        <w:t>  </w:t>
      </w:r>
      <w:r>
        <w:rPr>
          <w:color w:val="231F20"/>
        </w:rPr>
        <w:t>Sort</w:t>
      </w:r>
      <w:r>
        <w:rPr>
          <w:color w:val="231F20"/>
          <w:spacing w:val="14"/>
        </w:rPr>
        <w:t> </w:t>
      </w:r>
      <w:r>
        <w:rPr>
          <w:color w:val="231F20"/>
        </w:rPr>
        <w:t>the</w:t>
      </w:r>
      <w:r>
        <w:rPr>
          <w:color w:val="231F20"/>
          <w:spacing w:val="14"/>
        </w:rPr>
        <w:t> </w:t>
      </w:r>
      <w:r>
        <w:rPr>
          <w:color w:val="231F20"/>
        </w:rPr>
        <w:t>row</w:t>
      </w:r>
      <w:r>
        <w:rPr>
          <w:color w:val="231F20"/>
          <w:spacing w:val="13"/>
        </w:rPr>
        <w:t> </w:t>
      </w:r>
      <w:r>
        <w:rPr>
          <w:color w:val="231F20"/>
        </w:rPr>
        <w:t>data</w:t>
      </w:r>
      <w:r>
        <w:rPr>
          <w:color w:val="231F20"/>
          <w:spacing w:val="13"/>
        </w:rPr>
        <w:t> </w:t>
      </w:r>
      <w:r>
        <w:rPr>
          <w:color w:val="231F20"/>
        </w:rPr>
        <w:t>in</w:t>
      </w:r>
      <w:r>
        <w:rPr>
          <w:color w:val="231F20"/>
          <w:spacing w:val="13"/>
        </w:rPr>
        <w:t> </w:t>
      </w:r>
      <w:r>
        <w:rPr>
          <w:color w:val="231F20"/>
        </w:rPr>
        <w:t>a</w:t>
      </w:r>
      <w:r>
        <w:rPr>
          <w:color w:val="231F20"/>
          <w:spacing w:val="14"/>
        </w:rPr>
        <w:t> </w:t>
      </w:r>
      <w:r>
        <w:rPr>
          <w:color w:val="231F20"/>
        </w:rPr>
        <w:t>table</w:t>
      </w:r>
      <w:r>
        <w:rPr>
          <w:color w:val="231F20"/>
          <w:spacing w:val="13"/>
        </w:rPr>
        <w:t> </w:t>
      </w:r>
      <w:r>
        <w:rPr>
          <w:color w:val="231F20"/>
          <w:spacing w:val="-2"/>
        </w:rPr>
        <w:t>view:</w:t>
      </w:r>
    </w:p>
    <w:p>
      <w:pPr>
        <w:pStyle w:val="ListParagraph"/>
        <w:numPr>
          <w:ilvl w:val="0"/>
          <w:numId w:val="15"/>
        </w:numPr>
        <w:tabs>
          <w:tab w:pos="2696" w:val="left" w:leader="none"/>
          <w:tab w:pos="2698" w:val="left" w:leader="none"/>
        </w:tabs>
        <w:spacing w:line="213" w:lineRule="auto" w:before="52" w:after="0"/>
        <w:ind w:left="2698" w:right="417" w:hanging="250"/>
        <w:jc w:val="left"/>
        <w:rPr>
          <w:sz w:val="20"/>
        </w:rPr>
      </w:pPr>
      <w:r>
        <w:rPr>
          <w:color w:val="231F20"/>
          <w:sz w:val="20"/>
        </w:rPr>
        <w:t>Click</w:t>
      </w:r>
      <w:r>
        <w:rPr>
          <w:color w:val="231F20"/>
          <w:spacing w:val="18"/>
          <w:sz w:val="20"/>
        </w:rPr>
        <w:t> </w:t>
      </w:r>
      <w:r>
        <w:rPr>
          <w:color w:val="231F20"/>
          <w:spacing w:val="-24"/>
          <w:position w:val="-1"/>
          <w:sz w:val="20"/>
        </w:rPr>
        <w:drawing>
          <wp:inline distT="0" distB="0" distL="0" distR="0">
            <wp:extent cx="95250" cy="101600"/>
            <wp:effectExtent l="0" t="0" r="0" b="0"/>
            <wp:docPr id="506" name="Image 506"/>
            <wp:cNvGraphicFramePr>
              <a:graphicFrameLocks/>
            </wp:cNvGraphicFramePr>
            <a:graphic>
              <a:graphicData uri="http://schemas.openxmlformats.org/drawingml/2006/picture">
                <pic:pic>
                  <pic:nvPicPr>
                    <pic:cNvPr id="506" name="Image 506"/>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hAnsi="Times New Roman"/>
          <w:color w:val="231F20"/>
          <w:spacing w:val="15"/>
          <w:sz w:val="20"/>
        </w:rPr>
        <w:t> </w:t>
      </w:r>
      <w:r>
        <w:rPr>
          <w:rFonts w:ascii="Book Antiqua" w:hAnsi="Book Antiqua"/>
          <w:b/>
          <w:color w:val="231F20"/>
          <w:sz w:val="20"/>
        </w:rPr>
        <w:t>Query Editor</w:t>
      </w:r>
      <w:r>
        <w:rPr>
          <w:color w:val="231F20"/>
          <w:sz w:val="20"/>
        </w:rPr>
        <w:t>, open a custom query, click </w:t>
      </w:r>
      <w:r>
        <w:rPr>
          <w:rFonts w:ascii="Book Antiqua" w:hAnsi="Book Antiqua"/>
          <w:b/>
          <w:color w:val="231F20"/>
          <w:sz w:val="20"/>
        </w:rPr>
        <w:t>Advanced</w:t>
      </w:r>
      <w:r>
        <w:rPr>
          <w:color w:val="231F20"/>
          <w:sz w:val="20"/>
        </w:rPr>
        <w:t>, and select a </w:t>
      </w:r>
      <w:r>
        <w:rPr>
          <w:rFonts w:ascii="Book Antiqua" w:hAnsi="Book Antiqua"/>
          <w:b/>
          <w:color w:val="231F20"/>
          <w:sz w:val="20"/>
        </w:rPr>
        <w:t>Sort By </w:t>
      </w:r>
      <w:r>
        <w:rPr>
          <w:color w:val="231F20"/>
          <w:sz w:val="20"/>
        </w:rPr>
        <w:t>attribute from the </w:t>
      </w:r>
      <w:r>
        <w:rPr>
          <w:color w:val="231F20"/>
          <w:spacing w:val="15"/>
          <w:position w:val="-1"/>
          <w:sz w:val="20"/>
        </w:rPr>
        <w:drawing>
          <wp:inline distT="0" distB="0" distL="0" distR="0">
            <wp:extent cx="101600" cy="101600"/>
            <wp:effectExtent l="0" t="0" r="0" b="0"/>
            <wp:docPr id="507" name="Image 507"/>
            <wp:cNvGraphicFramePr>
              <a:graphicFrameLocks/>
            </wp:cNvGraphicFramePr>
            <a:graphic>
              <a:graphicData uri="http://schemas.openxmlformats.org/drawingml/2006/picture">
                <pic:pic>
                  <pic:nvPicPr>
                    <pic:cNvPr id="507" name="Image 507"/>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hAnsi="Times New Roman"/>
          <w:color w:val="231F20"/>
          <w:spacing w:val="15"/>
          <w:sz w:val="20"/>
        </w:rPr>
        <w:t> </w:t>
      </w:r>
      <w:r>
        <w:rPr>
          <w:color w:val="231F20"/>
          <w:sz w:val="20"/>
        </w:rPr>
        <w:t>list.</w:t>
      </w:r>
    </w:p>
    <w:p>
      <w:pPr>
        <w:pStyle w:val="ListParagraph"/>
        <w:numPr>
          <w:ilvl w:val="0"/>
          <w:numId w:val="15"/>
        </w:numPr>
        <w:tabs>
          <w:tab w:pos="2696" w:val="left" w:leader="none"/>
        </w:tabs>
        <w:spacing w:line="255" w:lineRule="exact" w:before="36" w:after="0"/>
        <w:ind w:left="2696" w:right="0" w:hanging="248"/>
        <w:jc w:val="left"/>
        <w:rPr>
          <w:sz w:val="20"/>
        </w:rPr>
      </w:pPr>
      <w:r>
        <w:rPr>
          <w:color w:val="231F20"/>
          <w:sz w:val="20"/>
        </w:rPr>
        <w:t>In</w:t>
      </w:r>
      <w:r>
        <w:rPr>
          <w:color w:val="231F20"/>
          <w:spacing w:val="10"/>
          <w:sz w:val="20"/>
        </w:rPr>
        <w:t> </w:t>
      </w:r>
      <w:r>
        <w:rPr>
          <w:color w:val="231F20"/>
          <w:sz w:val="20"/>
        </w:rPr>
        <w:t>a</w:t>
      </w:r>
      <w:r>
        <w:rPr>
          <w:color w:val="231F20"/>
          <w:spacing w:val="11"/>
          <w:sz w:val="20"/>
        </w:rPr>
        <w:t> </w:t>
      </w:r>
      <w:r>
        <w:rPr>
          <w:color w:val="231F20"/>
          <w:sz w:val="20"/>
        </w:rPr>
        <w:t>table</w:t>
      </w:r>
      <w:r>
        <w:rPr>
          <w:color w:val="231F20"/>
          <w:spacing w:val="11"/>
          <w:sz w:val="20"/>
        </w:rPr>
        <w:t> </w:t>
      </w:r>
      <w:r>
        <w:rPr>
          <w:color w:val="231F20"/>
          <w:sz w:val="20"/>
        </w:rPr>
        <w:t>view,</w:t>
      </w:r>
      <w:r>
        <w:rPr>
          <w:color w:val="231F20"/>
          <w:spacing w:val="11"/>
          <w:sz w:val="20"/>
        </w:rPr>
        <w:t> </w:t>
      </w:r>
      <w:r>
        <w:rPr>
          <w:color w:val="231F20"/>
          <w:sz w:val="20"/>
        </w:rPr>
        <w:t>click</w:t>
      </w:r>
      <w:r>
        <w:rPr>
          <w:color w:val="231F20"/>
          <w:spacing w:val="11"/>
          <w:sz w:val="20"/>
        </w:rPr>
        <w:t> </w:t>
      </w:r>
      <w:r>
        <w:rPr>
          <w:color w:val="231F20"/>
          <w:sz w:val="20"/>
        </w:rPr>
        <w:t>a</w:t>
      </w:r>
      <w:r>
        <w:rPr>
          <w:color w:val="231F20"/>
          <w:spacing w:val="10"/>
          <w:sz w:val="20"/>
        </w:rPr>
        <w:t> </w:t>
      </w:r>
      <w:r>
        <w:rPr>
          <w:color w:val="231F20"/>
          <w:sz w:val="20"/>
        </w:rPr>
        <w:t>column</w:t>
      </w:r>
      <w:r>
        <w:rPr>
          <w:color w:val="231F20"/>
          <w:spacing w:val="11"/>
          <w:sz w:val="20"/>
        </w:rPr>
        <w:t> </w:t>
      </w:r>
      <w:r>
        <w:rPr>
          <w:color w:val="231F20"/>
          <w:sz w:val="20"/>
        </w:rPr>
        <w:t>heading</w:t>
      </w:r>
      <w:r>
        <w:rPr>
          <w:color w:val="231F20"/>
          <w:spacing w:val="11"/>
          <w:sz w:val="20"/>
        </w:rPr>
        <w:t> </w:t>
      </w:r>
      <w:r>
        <w:rPr>
          <w:color w:val="231F20"/>
          <w:sz w:val="20"/>
        </w:rPr>
        <w:t>to</w:t>
      </w:r>
      <w:r>
        <w:rPr>
          <w:color w:val="231F20"/>
          <w:spacing w:val="11"/>
          <w:sz w:val="20"/>
        </w:rPr>
        <w:t> </w:t>
      </w:r>
      <w:r>
        <w:rPr>
          <w:color w:val="231F20"/>
          <w:sz w:val="20"/>
        </w:rPr>
        <w:t>sort</w:t>
      </w:r>
      <w:r>
        <w:rPr>
          <w:color w:val="231F20"/>
          <w:spacing w:val="11"/>
          <w:sz w:val="20"/>
        </w:rPr>
        <w:t> </w:t>
      </w:r>
      <w:r>
        <w:rPr>
          <w:color w:val="231F20"/>
          <w:sz w:val="20"/>
        </w:rPr>
        <w:t>all</w:t>
      </w:r>
      <w:r>
        <w:rPr>
          <w:color w:val="231F20"/>
          <w:spacing w:val="10"/>
          <w:sz w:val="20"/>
        </w:rPr>
        <w:t> </w:t>
      </w:r>
      <w:r>
        <w:rPr>
          <w:color w:val="231F20"/>
          <w:sz w:val="20"/>
        </w:rPr>
        <w:t>rows</w:t>
      </w:r>
      <w:r>
        <w:rPr>
          <w:color w:val="231F20"/>
          <w:spacing w:val="11"/>
          <w:sz w:val="20"/>
        </w:rPr>
        <w:t> </w:t>
      </w:r>
      <w:r>
        <w:rPr>
          <w:color w:val="231F20"/>
          <w:sz w:val="20"/>
        </w:rPr>
        <w:t>by</w:t>
      </w:r>
      <w:r>
        <w:rPr>
          <w:color w:val="231F20"/>
          <w:spacing w:val="11"/>
          <w:sz w:val="20"/>
        </w:rPr>
        <w:t> </w:t>
      </w:r>
      <w:r>
        <w:rPr>
          <w:color w:val="231F20"/>
          <w:sz w:val="20"/>
        </w:rPr>
        <w:t>that</w:t>
      </w:r>
      <w:r>
        <w:rPr>
          <w:color w:val="231F20"/>
          <w:spacing w:val="11"/>
          <w:sz w:val="20"/>
        </w:rPr>
        <w:t> </w:t>
      </w:r>
      <w:r>
        <w:rPr>
          <w:color w:val="231F20"/>
          <w:sz w:val="20"/>
        </w:rPr>
        <w:t>column</w:t>
      </w:r>
      <w:r>
        <w:rPr>
          <w:color w:val="231F20"/>
          <w:spacing w:val="11"/>
          <w:sz w:val="20"/>
        </w:rPr>
        <w:t> </w:t>
      </w:r>
      <w:r>
        <w:rPr>
          <w:color w:val="231F20"/>
          <w:spacing w:val="-5"/>
          <w:sz w:val="20"/>
        </w:rPr>
        <w:t>in</w:t>
      </w:r>
    </w:p>
    <w:p>
      <w:pPr>
        <w:pStyle w:val="BodyText"/>
        <w:spacing w:line="213" w:lineRule="auto" w:before="8"/>
        <w:ind w:left="2698" w:right="385" w:firstLine="10"/>
      </w:pPr>
      <w:r>
        <w:rPr>
          <w:position w:val="3"/>
        </w:rPr>
        <w:drawing>
          <wp:inline distT="0" distB="0" distL="0" distR="0">
            <wp:extent cx="44450" cy="25400"/>
            <wp:effectExtent l="0" t="0" r="0" b="0"/>
            <wp:docPr id="508" name="Image 508"/>
            <wp:cNvGraphicFramePr>
              <a:graphicFrameLocks/>
            </wp:cNvGraphicFramePr>
            <a:graphic>
              <a:graphicData uri="http://schemas.openxmlformats.org/drawingml/2006/picture">
                <pic:pic>
                  <pic:nvPicPr>
                    <pic:cNvPr id="508" name="Image 508"/>
                    <pic:cNvPicPr/>
                  </pic:nvPicPr>
                  <pic:blipFill>
                    <a:blip r:embed="rId148" cstate="print"/>
                    <a:stretch>
                      <a:fillRect/>
                    </a:stretch>
                  </pic:blipFill>
                  <pic:spPr>
                    <a:xfrm>
                      <a:off x="0" y="0"/>
                      <a:ext cx="44450" cy="25400"/>
                    </a:xfrm>
                    <a:prstGeom prst="rect">
                      <a:avLst/>
                    </a:prstGeom>
                  </pic:spPr>
                </pic:pic>
              </a:graphicData>
            </a:graphic>
          </wp:inline>
        </w:drawing>
      </w:r>
      <w:r>
        <w:rPr>
          <w:position w:val="3"/>
        </w:rPr>
      </w:r>
      <w:r>
        <w:rPr>
          <w:rFonts w:ascii="Times New Roman"/>
        </w:rPr>
        <w:t> </w:t>
      </w:r>
      <w:r>
        <w:rPr>
          <w:color w:val="231F20"/>
        </w:rPr>
        <w:t>ascending order, </w:t>
      </w:r>
      <w:r>
        <w:rPr>
          <w:color w:val="231F20"/>
          <w:spacing w:val="-24"/>
          <w:position w:val="2"/>
        </w:rPr>
        <w:drawing>
          <wp:inline distT="0" distB="0" distL="0" distR="0">
            <wp:extent cx="44450" cy="25400"/>
            <wp:effectExtent l="0" t="0" r="0" b="0"/>
            <wp:docPr id="509" name="Image 509"/>
            <wp:cNvGraphicFramePr>
              <a:graphicFrameLocks/>
            </wp:cNvGraphicFramePr>
            <a:graphic>
              <a:graphicData uri="http://schemas.openxmlformats.org/drawingml/2006/picture">
                <pic:pic>
                  <pic:nvPicPr>
                    <pic:cNvPr id="509" name="Image 509"/>
                    <pic:cNvPicPr/>
                  </pic:nvPicPr>
                  <pic:blipFill>
                    <a:blip r:embed="rId149" cstate="print"/>
                    <a:stretch>
                      <a:fillRect/>
                    </a:stretch>
                  </pic:blipFill>
                  <pic:spPr>
                    <a:xfrm>
                      <a:off x="0" y="0"/>
                      <a:ext cx="44450" cy="25400"/>
                    </a:xfrm>
                    <a:prstGeom prst="rect">
                      <a:avLst/>
                    </a:prstGeom>
                  </pic:spPr>
                </pic:pic>
              </a:graphicData>
            </a:graphic>
          </wp:inline>
        </w:drawing>
      </w:r>
      <w:r>
        <w:rPr>
          <w:color w:val="231F20"/>
          <w:spacing w:val="-24"/>
          <w:position w:val="2"/>
        </w:rPr>
      </w:r>
      <w:r>
        <w:rPr>
          <w:rFonts w:ascii="Times New Roman"/>
          <w:color w:val="231F20"/>
          <w:spacing w:val="31"/>
        </w:rPr>
        <w:t> </w:t>
      </w:r>
      <w:r>
        <w:rPr>
          <w:color w:val="231F20"/>
        </w:rPr>
        <w:t>descending order, and back to the original order the </w:t>
      </w:r>
      <w:r>
        <w:rPr>
          <w:color w:val="231F20"/>
        </w:rPr>
        <w:t>third time you click. You can save the view's sort order with the workspace.</w:t>
      </w:r>
    </w:p>
    <w:p>
      <w:pPr>
        <w:pStyle w:val="BodyText"/>
        <w:spacing w:before="5"/>
        <w:rPr>
          <w:sz w:val="16"/>
        </w:rPr>
      </w:pPr>
      <w:r>
        <w:rPr/>
        <mc:AlternateContent>
          <mc:Choice Requires="wps">
            <w:drawing>
              <wp:anchor distT="0" distB="0" distL="0" distR="0" allowOverlap="1" layoutInCell="1" locked="0" behindDoc="1" simplePos="0" relativeHeight="487647232">
                <wp:simplePos x="0" y="0"/>
                <wp:positionH relativeFrom="page">
                  <wp:posOffset>760323</wp:posOffset>
                </wp:positionH>
                <wp:positionV relativeFrom="paragraph">
                  <wp:posOffset>155696</wp:posOffset>
                </wp:positionV>
                <wp:extent cx="6082665" cy="1270"/>
                <wp:effectExtent l="0" t="0" r="0" b="0"/>
                <wp:wrapTopAndBottom/>
                <wp:docPr id="510" name="Graphic 510"/>
                <wp:cNvGraphicFramePr>
                  <a:graphicFrameLocks/>
                </wp:cNvGraphicFramePr>
                <a:graphic>
                  <a:graphicData uri="http://schemas.microsoft.com/office/word/2010/wordprocessingShape">
                    <wps:wsp>
                      <wps:cNvPr id="510" name="Graphic 510"/>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59579pt;width:478.95pt;height:.1pt;mso-position-horizontal-relative:page;mso-position-vertical-relative:paragraph;z-index:-15669248;mso-wrap-distance-left:0;mso-wrap-distance-right:0" id="docshape81"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Zooming a chart view" w:id="80"/>
      <w:bookmarkEnd w:id="80"/>
      <w:r>
        <w:rPr>
          <w:b w:val="0"/>
        </w:rPr>
      </w:r>
      <w:r>
        <w:rPr>
          <w:color w:val="231F20"/>
        </w:rPr>
        <w:t>Zooming</w:t>
      </w:r>
      <w:r>
        <w:rPr>
          <w:color w:val="231F20"/>
          <w:spacing w:val="8"/>
        </w:rPr>
        <w:t> </w:t>
      </w:r>
      <w:r>
        <w:rPr>
          <w:color w:val="231F20"/>
        </w:rPr>
        <w:t>a</w:t>
      </w:r>
      <w:r>
        <w:rPr>
          <w:color w:val="231F20"/>
          <w:spacing w:val="8"/>
        </w:rPr>
        <w:t> </w:t>
      </w:r>
      <w:r>
        <w:rPr>
          <w:color w:val="231F20"/>
        </w:rPr>
        <w:t>chart</w:t>
      </w:r>
      <w:r>
        <w:rPr>
          <w:color w:val="231F20"/>
          <w:spacing w:val="8"/>
        </w:rPr>
        <w:t> </w:t>
      </w:r>
      <w:r>
        <w:rPr>
          <w:color w:val="231F20"/>
          <w:spacing w:val="-4"/>
        </w:rPr>
        <w:t>view</w:t>
      </w:r>
    </w:p>
    <w:p>
      <w:pPr>
        <w:pStyle w:val="BodyText"/>
        <w:spacing w:line="213" w:lineRule="auto" w:before="138"/>
        <w:ind w:left="2232" w:right="493"/>
      </w:pPr>
      <w:r>
        <w:rPr>
          <w:color w:val="231F20"/>
        </w:rPr>
        <w:t>Zoom</w:t>
      </w:r>
      <w:r>
        <w:rPr>
          <w:color w:val="231F20"/>
          <w:spacing w:val="13"/>
        </w:rPr>
        <w:t> </w:t>
      </w:r>
      <w:r>
        <w:rPr>
          <w:color w:val="231F20"/>
        </w:rPr>
        <w:t>in</w:t>
      </w:r>
      <w:r>
        <w:rPr>
          <w:color w:val="231F20"/>
          <w:spacing w:val="13"/>
        </w:rPr>
        <w:t> </w:t>
      </w:r>
      <w:r>
        <w:rPr>
          <w:color w:val="231F20"/>
        </w:rPr>
        <w:t>on</w:t>
      </w:r>
      <w:r>
        <w:rPr>
          <w:color w:val="231F20"/>
          <w:spacing w:val="13"/>
        </w:rPr>
        <w:t> </w:t>
      </w:r>
      <w:r>
        <w:rPr>
          <w:color w:val="231F20"/>
        </w:rPr>
        <w:t>part</w:t>
      </w:r>
      <w:r>
        <w:rPr>
          <w:color w:val="231F20"/>
          <w:spacing w:val="13"/>
        </w:rPr>
        <w:t> </w:t>
      </w:r>
      <w:r>
        <w:rPr>
          <w:color w:val="231F20"/>
        </w:rPr>
        <w:t>of</w:t>
      </w:r>
      <w:r>
        <w:rPr>
          <w:color w:val="231F20"/>
          <w:spacing w:val="13"/>
        </w:rPr>
        <w:t> </w:t>
      </w:r>
      <w:r>
        <w:rPr>
          <w:color w:val="231F20"/>
        </w:rPr>
        <w:t>a</w:t>
      </w:r>
      <w:r>
        <w:rPr>
          <w:color w:val="231F20"/>
          <w:spacing w:val="13"/>
        </w:rPr>
        <w:t> </w:t>
      </w:r>
      <w:r>
        <w:rPr>
          <w:color w:val="231F20"/>
        </w:rPr>
        <w:t>bar</w:t>
      </w:r>
      <w:r>
        <w:rPr>
          <w:color w:val="231F20"/>
          <w:spacing w:val="13"/>
        </w:rPr>
        <w:t> </w:t>
      </w:r>
      <w:r>
        <w:rPr>
          <w:color w:val="231F20"/>
        </w:rPr>
        <w:t>chart,</w:t>
      </w:r>
      <w:r>
        <w:rPr>
          <w:color w:val="231F20"/>
          <w:spacing w:val="13"/>
        </w:rPr>
        <w:t> </w:t>
      </w:r>
      <w:r>
        <w:rPr>
          <w:color w:val="231F20"/>
        </w:rPr>
        <w:t>plot</w:t>
      </w:r>
      <w:r>
        <w:rPr>
          <w:color w:val="231F20"/>
          <w:spacing w:val="13"/>
        </w:rPr>
        <w:t> </w:t>
      </w:r>
      <w:r>
        <w:rPr>
          <w:color w:val="231F20"/>
        </w:rPr>
        <w:t>chart,</w:t>
      </w:r>
      <w:r>
        <w:rPr>
          <w:color w:val="231F20"/>
          <w:spacing w:val="13"/>
        </w:rPr>
        <w:t> </w:t>
      </w:r>
      <w:r>
        <w:rPr>
          <w:color w:val="231F20"/>
        </w:rPr>
        <w:t>or</w:t>
      </w:r>
      <w:r>
        <w:rPr>
          <w:color w:val="231F20"/>
          <w:spacing w:val="13"/>
        </w:rPr>
        <w:t> </w:t>
      </w:r>
      <w:r>
        <w:rPr>
          <w:color w:val="231F20"/>
        </w:rPr>
        <w:t>area</w:t>
      </w:r>
      <w:r>
        <w:rPr>
          <w:color w:val="231F20"/>
          <w:spacing w:val="13"/>
        </w:rPr>
        <w:t> </w:t>
      </w:r>
      <w:r>
        <w:rPr>
          <w:color w:val="231F20"/>
        </w:rPr>
        <w:t>chart</w:t>
      </w:r>
      <w:r>
        <w:rPr>
          <w:color w:val="231F20"/>
          <w:spacing w:val="13"/>
        </w:rPr>
        <w:t> </w:t>
      </w:r>
      <w:r>
        <w:rPr>
          <w:color w:val="231F20"/>
        </w:rPr>
        <w:t>to</w:t>
      </w:r>
      <w:r>
        <w:rPr>
          <w:color w:val="231F20"/>
          <w:spacing w:val="13"/>
        </w:rPr>
        <w:t> </w:t>
      </w:r>
      <w:r>
        <w:rPr>
          <w:color w:val="231F20"/>
        </w:rPr>
        <w:t>see</w:t>
      </w:r>
      <w:r>
        <w:rPr>
          <w:color w:val="231F20"/>
          <w:spacing w:val="13"/>
        </w:rPr>
        <w:t> </w:t>
      </w:r>
      <w:r>
        <w:rPr>
          <w:color w:val="231F20"/>
        </w:rPr>
        <w:t>a</w:t>
      </w:r>
      <w:r>
        <w:rPr>
          <w:color w:val="231F20"/>
          <w:spacing w:val="13"/>
        </w:rPr>
        <w:t> </w:t>
      </w:r>
      <w:r>
        <w:rPr>
          <w:color w:val="231F20"/>
        </w:rPr>
        <w:t>subset</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data in greater detail.</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36"/>
      </w:pPr>
      <w:r>
        <w:rPr>
          <w:color w:val="231F20"/>
        </w:rPr>
        <w:t>Zooming expands the chart along the category axis; for example, you can zoom </w:t>
      </w:r>
      <w:r>
        <w:rPr>
          <w:color w:val="231F20"/>
        </w:rPr>
        <w:t>a bar chart to show just a few bars, or zoom a plot or area chart to show a shorter</w:t>
      </w:r>
      <w:r>
        <w:rPr>
          <w:color w:val="231F20"/>
          <w:spacing w:val="80"/>
        </w:rPr>
        <w:t> </w:t>
      </w:r>
      <w:r>
        <w:rPr>
          <w:color w:val="231F20"/>
        </w:rPr>
        <w:t>span of time. While displaying the chart, complete the following steps to zoom:</w:t>
      </w:r>
    </w:p>
    <w:p>
      <w:pPr>
        <w:spacing w:after="0" w:line="213" w:lineRule="auto"/>
        <w:sectPr>
          <w:pgSz w:w="12240" w:h="15840"/>
          <w:pgMar w:header="0" w:footer="736" w:top="1140" w:bottom="920" w:left="1000" w:right="1060"/>
        </w:sectPr>
      </w:pPr>
    </w:p>
    <w:p>
      <w:pPr>
        <w:pStyle w:val="Heading4"/>
        <w:spacing w:before="86"/>
        <w:ind w:left="2472"/>
      </w:pPr>
      <w:bookmarkStart w:name="_bookmark35" w:id="81"/>
      <w:bookmarkEnd w:id="81"/>
      <w:r>
        <w:rPr>
          <w:b w:val="0"/>
        </w:rPr>
      </w:r>
      <w:r>
        <w:rPr>
          <w:color w:val="231F20"/>
          <w:spacing w:val="-2"/>
        </w:rPr>
        <w:t>Procedure</w:t>
      </w:r>
    </w:p>
    <w:p>
      <w:pPr>
        <w:pStyle w:val="ListParagraph"/>
        <w:numPr>
          <w:ilvl w:val="0"/>
          <w:numId w:val="16"/>
        </w:numPr>
        <w:tabs>
          <w:tab w:pos="2788" w:val="left" w:leader="none"/>
        </w:tabs>
        <w:spacing w:line="213" w:lineRule="auto" w:before="62" w:after="0"/>
        <w:ind w:left="2788" w:right="450" w:hanging="316"/>
        <w:jc w:val="left"/>
        <w:rPr>
          <w:sz w:val="20"/>
        </w:rPr>
      </w:pPr>
      <w:r>
        <w:rPr>
          <w:color w:val="231F20"/>
          <w:sz w:val="20"/>
        </w:rPr>
        <w:t>Select an area of the chart by clicking and dragging the mouse pointer. The selected area immediately expands to fill the available view space. Each </w:t>
      </w:r>
      <w:r>
        <w:rPr>
          <w:color w:val="231F20"/>
          <w:sz w:val="20"/>
        </w:rPr>
        <w:t>time you click and drag, the chart zooms to show more detail.</w:t>
      </w:r>
    </w:p>
    <w:p>
      <w:pPr>
        <w:pStyle w:val="ListParagraph"/>
        <w:numPr>
          <w:ilvl w:val="0"/>
          <w:numId w:val="16"/>
        </w:numPr>
        <w:tabs>
          <w:tab w:pos="2788" w:val="left" w:leader="none"/>
        </w:tabs>
        <w:spacing w:line="213" w:lineRule="auto" w:before="58" w:after="0"/>
        <w:ind w:left="2788" w:right="580" w:hanging="316"/>
        <w:jc w:val="left"/>
        <w:rPr>
          <w:sz w:val="20"/>
        </w:rPr>
      </w:pPr>
      <w:r>
        <w:rPr>
          <w:color w:val="231F20"/>
          <w:sz w:val="20"/>
        </w:rPr>
        <w:t>Press Esc for each zoom step to undo. The plot area returns to the previous </w:t>
      </w:r>
      <w:r>
        <w:rPr>
          <w:color w:val="231F20"/>
          <w:spacing w:val="-2"/>
          <w:sz w:val="20"/>
        </w:rPr>
        <w:t>size.</w:t>
      </w:r>
    </w:p>
    <w:p>
      <w:pPr>
        <w:pStyle w:val="BodyText"/>
        <w:spacing w:before="5"/>
        <w:rPr>
          <w:sz w:val="16"/>
        </w:rPr>
      </w:pPr>
      <w:r>
        <w:rPr/>
        <mc:AlternateContent>
          <mc:Choice Requires="wps">
            <w:drawing>
              <wp:anchor distT="0" distB="0" distL="0" distR="0" allowOverlap="1" layoutInCell="1" locked="0" behindDoc="1" simplePos="0" relativeHeight="487647744">
                <wp:simplePos x="0" y="0"/>
                <wp:positionH relativeFrom="page">
                  <wp:posOffset>912380</wp:posOffset>
                </wp:positionH>
                <wp:positionV relativeFrom="paragraph">
                  <wp:posOffset>155908</wp:posOffset>
                </wp:positionV>
                <wp:extent cx="6082665" cy="1270"/>
                <wp:effectExtent l="0" t="0" r="0" b="0"/>
                <wp:wrapTopAndBottom/>
                <wp:docPr id="511" name="Graphic 511"/>
                <wp:cNvGraphicFramePr>
                  <a:graphicFrameLocks/>
                </wp:cNvGraphicFramePr>
                <a:graphic>
                  <a:graphicData uri="http://schemas.microsoft.com/office/word/2010/wordprocessingShape">
                    <wps:wsp>
                      <wps:cNvPr id="511" name="Graphic 511"/>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76283pt;width:478.95pt;height:.1pt;mso-position-horizontal-relative:page;mso-position-vertical-relative:paragraph;z-index:-15668736;mso-wrap-distance-left:0;mso-wrap-distance-right:0" id="docshape82"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Exporting a query-based view" w:id="82"/>
      <w:bookmarkEnd w:id="82"/>
      <w:r>
        <w:rPr>
          <w:b w:val="0"/>
        </w:rPr>
      </w:r>
      <w:r>
        <w:rPr>
          <w:color w:val="231F20"/>
        </w:rPr>
        <w:t>Exporting</w:t>
      </w:r>
      <w:r>
        <w:rPr>
          <w:color w:val="231F20"/>
          <w:spacing w:val="4"/>
        </w:rPr>
        <w:t> </w:t>
      </w:r>
      <w:r>
        <w:rPr>
          <w:color w:val="231F20"/>
        </w:rPr>
        <w:t>a</w:t>
      </w:r>
      <w:r>
        <w:rPr>
          <w:color w:val="231F20"/>
          <w:spacing w:val="5"/>
        </w:rPr>
        <w:t> </w:t>
      </w:r>
      <w:r>
        <w:rPr>
          <w:color w:val="231F20"/>
        </w:rPr>
        <w:t>query-based</w:t>
      </w:r>
      <w:r>
        <w:rPr>
          <w:color w:val="231F20"/>
          <w:spacing w:val="4"/>
        </w:rPr>
        <w:t> </w:t>
      </w:r>
      <w:r>
        <w:rPr>
          <w:color w:val="231F20"/>
          <w:spacing w:val="-4"/>
        </w:rPr>
        <w:t>view</w:t>
      </w:r>
    </w:p>
    <w:p>
      <w:pPr>
        <w:pStyle w:val="BodyText"/>
        <w:spacing w:line="213" w:lineRule="auto" w:before="138"/>
        <w:ind w:left="2472" w:right="385"/>
      </w:pPr>
      <w:r>
        <w:rPr>
          <w:color w:val="231F20"/>
        </w:rPr>
        <w:t>Save some or all of the data that was retrieved by the query for a view in a text</w:t>
      </w:r>
      <w:r>
        <w:rPr>
          <w:color w:val="231F20"/>
          <w:spacing w:val="80"/>
        </w:rPr>
        <w:t> </w:t>
      </w:r>
      <w:r>
        <w:rPr>
          <w:color w:val="231F20"/>
        </w:rPr>
        <w:t>(.txt) file or comma separated value (.csv) file for further manipulation in </w:t>
      </w:r>
      <w:r>
        <w:rPr>
          <w:color w:val="231F20"/>
        </w:rPr>
        <w:t>another software application.</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58"/>
      </w:pPr>
      <w:r>
        <w:rPr>
          <w:color w:val="231F20"/>
        </w:rPr>
        <w:t>When you open or refresh a workspace, the queries assigned to the table and chart views are sent to the Tivoli Enterprise Monitoring Server, which returns the requested</w:t>
      </w:r>
      <w:r>
        <w:rPr>
          <w:color w:val="231F20"/>
          <w:spacing w:val="28"/>
        </w:rPr>
        <w:t> </w:t>
      </w:r>
      <w:r>
        <w:rPr>
          <w:color w:val="231F20"/>
        </w:rPr>
        <w:t>data</w:t>
      </w:r>
      <w:r>
        <w:rPr>
          <w:color w:val="231F20"/>
          <w:spacing w:val="28"/>
        </w:rPr>
        <w:t> </w:t>
      </w:r>
      <w:r>
        <w:rPr>
          <w:color w:val="231F20"/>
        </w:rPr>
        <w:t>from</w:t>
      </w:r>
      <w:r>
        <w:rPr>
          <w:color w:val="231F20"/>
          <w:spacing w:val="28"/>
        </w:rPr>
        <w:t> </w:t>
      </w:r>
      <w:r>
        <w:rPr>
          <w:color w:val="231F20"/>
        </w:rPr>
        <w:t>the</w:t>
      </w:r>
      <w:r>
        <w:rPr>
          <w:color w:val="231F20"/>
          <w:spacing w:val="28"/>
        </w:rPr>
        <w:t> </w:t>
      </w:r>
      <w:r>
        <w:rPr>
          <w:color w:val="231F20"/>
        </w:rPr>
        <w:t>managed</w:t>
      </w:r>
      <w:r>
        <w:rPr>
          <w:color w:val="231F20"/>
          <w:spacing w:val="28"/>
        </w:rPr>
        <w:t> </w:t>
      </w:r>
      <w:r>
        <w:rPr>
          <w:color w:val="231F20"/>
        </w:rPr>
        <w:t>systems. Any</w:t>
      </w:r>
      <w:r>
        <w:rPr>
          <w:color w:val="231F20"/>
          <w:spacing w:val="28"/>
        </w:rPr>
        <w:t> </w:t>
      </w:r>
      <w:r>
        <w:rPr>
          <w:color w:val="231F20"/>
        </w:rPr>
        <w:t>filters</w:t>
      </w:r>
      <w:r>
        <w:rPr>
          <w:color w:val="231F20"/>
          <w:spacing w:val="28"/>
        </w:rPr>
        <w:t> </w:t>
      </w:r>
      <w:r>
        <w:rPr>
          <w:color w:val="231F20"/>
        </w:rPr>
        <w:t>applied</w:t>
      </w:r>
      <w:r>
        <w:rPr>
          <w:color w:val="231F20"/>
          <w:spacing w:val="28"/>
        </w:rPr>
        <w:t> </w:t>
      </w:r>
      <w:r>
        <w:rPr>
          <w:color w:val="231F20"/>
        </w:rPr>
        <w:t>to</w:t>
      </w:r>
      <w:r>
        <w:rPr>
          <w:color w:val="231F20"/>
          <w:spacing w:val="28"/>
        </w:rPr>
        <w:t> </w:t>
      </w:r>
      <w:r>
        <w:rPr>
          <w:color w:val="231F20"/>
        </w:rPr>
        <w:t>views</w:t>
      </w:r>
      <w:r>
        <w:rPr>
          <w:color w:val="231F20"/>
          <w:spacing w:val="28"/>
        </w:rPr>
        <w:t> </w:t>
      </w:r>
      <w:r>
        <w:rPr>
          <w:color w:val="231F20"/>
        </w:rPr>
        <w:t>reduce what displays, such as only the relevant four columns of a seven-column table or only the processes that are using the most memory.</w:t>
      </w:r>
    </w:p>
    <w:p>
      <w:pPr>
        <w:pStyle w:val="BodyText"/>
        <w:spacing w:line="213" w:lineRule="auto" w:before="236"/>
        <w:ind w:left="2472" w:right="258"/>
      </w:pPr>
      <w:r>
        <w:rPr>
          <w:color w:val="231F20"/>
        </w:rPr>
        <w:t>When you export a query-based view, you can save everything returned by the query before any filters are applied. This includes every column queried or only those you select; every row returned or, if there are multiple pages, only the rows from the displayed page. Also, if you save the data to an existing file, you can</w:t>
      </w:r>
      <w:r>
        <w:rPr>
          <w:color w:val="231F20"/>
          <w:spacing w:val="80"/>
        </w:rPr>
        <w:t> </w:t>
      </w:r>
      <w:r>
        <w:rPr>
          <w:color w:val="231F20"/>
        </w:rPr>
        <w:t>choose to append the data or to overwrite the previous version. Take these steps to save the data you select from the view to a .txt or .csv file:</w:t>
      </w:r>
    </w:p>
    <w:p>
      <w:pPr>
        <w:pStyle w:val="Heading4"/>
        <w:spacing w:before="197"/>
        <w:ind w:left="2472"/>
      </w:pPr>
      <w:r>
        <w:rPr>
          <w:color w:val="231F20"/>
          <w:spacing w:val="-2"/>
        </w:rPr>
        <w:t>Procedure</w:t>
      </w:r>
    </w:p>
    <w:p>
      <w:pPr>
        <w:pStyle w:val="ListParagraph"/>
        <w:numPr>
          <w:ilvl w:val="0"/>
          <w:numId w:val="17"/>
        </w:numPr>
        <w:tabs>
          <w:tab w:pos="2788" w:val="left" w:leader="none"/>
        </w:tabs>
        <w:spacing w:line="213" w:lineRule="auto" w:before="62" w:after="0"/>
        <w:ind w:left="2788" w:right="611" w:hanging="316"/>
        <w:jc w:val="left"/>
        <w:rPr>
          <w:sz w:val="20"/>
        </w:rPr>
      </w:pPr>
      <w:r>
        <w:rPr>
          <w:color w:val="231F20"/>
          <w:sz w:val="20"/>
        </w:rPr>
        <w:t>Open the workspace with the query-based view whose results you want </w:t>
      </w:r>
      <w:r>
        <w:rPr>
          <w:color w:val="231F20"/>
          <w:sz w:val="20"/>
        </w:rPr>
        <w:t>to </w:t>
      </w:r>
      <w:r>
        <w:rPr>
          <w:color w:val="231F20"/>
          <w:spacing w:val="-2"/>
          <w:sz w:val="20"/>
        </w:rPr>
        <w:t>save.</w:t>
      </w:r>
    </w:p>
    <w:p>
      <w:pPr>
        <w:pStyle w:val="ListParagraph"/>
        <w:numPr>
          <w:ilvl w:val="0"/>
          <w:numId w:val="17"/>
        </w:numPr>
        <w:tabs>
          <w:tab w:pos="2788" w:val="left" w:leader="none"/>
        </w:tabs>
        <w:spacing w:line="213" w:lineRule="auto" w:before="58" w:after="0"/>
        <w:ind w:left="2788" w:right="436" w:hanging="316"/>
        <w:jc w:val="left"/>
        <w:rPr>
          <w:sz w:val="20"/>
        </w:rPr>
      </w:pPr>
      <w:r>
        <w:rPr>
          <w:color w:val="231F20"/>
          <w:sz w:val="20"/>
        </w:rPr>
        <w:t>Because the current data display is exported, click </w:t>
      </w:r>
      <w:r>
        <w:rPr>
          <w:color w:val="231F20"/>
          <w:spacing w:val="-25"/>
          <w:position w:val="-1"/>
          <w:sz w:val="20"/>
        </w:rPr>
        <w:drawing>
          <wp:inline distT="0" distB="0" distL="0" distR="0">
            <wp:extent cx="95250" cy="101600"/>
            <wp:effectExtent l="0" t="0" r="0" b="0"/>
            <wp:docPr id="512" name="Image 512"/>
            <wp:cNvGraphicFramePr>
              <a:graphicFrameLocks/>
            </wp:cNvGraphicFramePr>
            <a:graphic>
              <a:graphicData uri="http://schemas.openxmlformats.org/drawingml/2006/picture">
                <pic:pic>
                  <pic:nvPicPr>
                    <pic:cNvPr id="512" name="Image 512"/>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7"/>
          <w:sz w:val="20"/>
        </w:rPr>
        <w:t> </w:t>
      </w:r>
      <w:r>
        <w:rPr>
          <w:rFonts w:ascii="Book Antiqua"/>
          <w:b/>
          <w:color w:val="231F20"/>
          <w:sz w:val="20"/>
        </w:rPr>
        <w:t>Refresh </w:t>
      </w:r>
      <w:r>
        <w:rPr>
          <w:color w:val="231F20"/>
          <w:sz w:val="20"/>
        </w:rPr>
        <w:t>if you want </w:t>
      </w:r>
      <w:r>
        <w:rPr>
          <w:color w:val="231F20"/>
          <w:sz w:val="20"/>
        </w:rPr>
        <w:t>the latest results.</w:t>
      </w:r>
    </w:p>
    <w:p>
      <w:pPr>
        <w:pStyle w:val="ListParagraph"/>
        <w:numPr>
          <w:ilvl w:val="0"/>
          <w:numId w:val="17"/>
        </w:numPr>
        <w:tabs>
          <w:tab w:pos="2788" w:val="left" w:leader="none"/>
        </w:tabs>
        <w:spacing w:line="213" w:lineRule="auto" w:before="59" w:after="0"/>
        <w:ind w:left="2788" w:right="274" w:hanging="316"/>
        <w:jc w:val="left"/>
        <w:rPr>
          <w:sz w:val="20"/>
        </w:rPr>
      </w:pPr>
      <w:r>
        <w:rPr>
          <w:color w:val="231F20"/>
          <w:sz w:val="20"/>
        </w:rPr>
        <w:t>If this is a table, pie chart or bar chart view with multiple pages and you want</w:t>
      </w:r>
      <w:r>
        <w:rPr>
          <w:color w:val="231F20"/>
          <w:spacing w:val="80"/>
          <w:sz w:val="20"/>
        </w:rPr>
        <w:t> </w:t>
      </w:r>
      <w:r>
        <w:rPr>
          <w:color w:val="231F20"/>
          <w:sz w:val="20"/>
        </w:rPr>
        <w:t>to save a particular page rather than all rows, click </w:t>
      </w:r>
      <w:r>
        <w:rPr>
          <w:color w:val="231F20"/>
          <w:spacing w:val="15"/>
          <w:sz w:val="20"/>
        </w:rPr>
        <w:drawing>
          <wp:inline distT="0" distB="0" distL="0" distR="0">
            <wp:extent cx="82550" cy="82550"/>
            <wp:effectExtent l="0" t="0" r="0" b="0"/>
            <wp:docPr id="513" name="Image 513"/>
            <wp:cNvGraphicFramePr>
              <a:graphicFrameLocks/>
            </wp:cNvGraphicFramePr>
            <a:graphic>
              <a:graphicData uri="http://schemas.openxmlformats.org/drawingml/2006/picture">
                <pic:pic>
                  <pic:nvPicPr>
                    <pic:cNvPr id="513" name="Image 513"/>
                    <pic:cNvPicPr/>
                  </pic:nvPicPr>
                  <pic:blipFill>
                    <a:blip r:embed="rId15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color w:val="231F20"/>
          <w:sz w:val="20"/>
        </w:rPr>
        <w:t>or </w:t>
      </w:r>
      <w:r>
        <w:rPr>
          <w:color w:val="231F20"/>
          <w:spacing w:val="16"/>
          <w:sz w:val="20"/>
        </w:rPr>
        <w:drawing>
          <wp:inline distT="0" distB="0" distL="0" distR="0">
            <wp:extent cx="82550" cy="82550"/>
            <wp:effectExtent l="0" t="0" r="0" b="0"/>
            <wp:docPr id="514" name="Image 514"/>
            <wp:cNvGraphicFramePr>
              <a:graphicFrameLocks/>
            </wp:cNvGraphicFramePr>
            <a:graphic>
              <a:graphicData uri="http://schemas.openxmlformats.org/drawingml/2006/picture">
                <pic:pic>
                  <pic:nvPicPr>
                    <pic:cNvPr id="514" name="Image 514"/>
                    <pic:cNvPicPr/>
                  </pic:nvPicPr>
                  <pic:blipFill>
                    <a:blip r:embed="rId151"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color w:val="231F20"/>
          <w:sz w:val="20"/>
        </w:rPr>
        <w:t>at the ends of the</w:t>
      </w:r>
      <w:r>
        <w:rPr>
          <w:color w:val="231F20"/>
          <w:spacing w:val="80"/>
          <w:sz w:val="20"/>
        </w:rPr>
        <w:t> </w:t>
      </w:r>
      <w:r>
        <w:rPr>
          <w:color w:val="231F20"/>
          <w:sz w:val="20"/>
        </w:rPr>
        <w:t>vertical scroll bar (or type the number in the </w:t>
      </w:r>
      <w:r>
        <w:rPr>
          <w:rFonts w:ascii="Book Antiqua"/>
          <w:i/>
          <w:color w:val="231F20"/>
          <w:sz w:val="20"/>
        </w:rPr>
        <w:t>Page </w:t>
      </w:r>
      <w:r>
        <w:rPr>
          <w:color w:val="231F20"/>
          <w:sz w:val="20"/>
        </w:rPr>
        <w:t>text box) until it displays. A</w:t>
      </w:r>
      <w:r>
        <w:rPr>
          <w:color w:val="231F20"/>
          <w:spacing w:val="40"/>
          <w:sz w:val="20"/>
        </w:rPr>
        <w:t> </w:t>
      </w:r>
      <w:r>
        <w:rPr>
          <w:color w:val="231F20"/>
          <w:sz w:val="20"/>
        </w:rPr>
        <w:t>page is 100 rows by default. You can change the view's page size by clicking</w:t>
      </w:r>
      <w:r>
        <w:rPr>
          <w:color w:val="231F20"/>
          <w:spacing w:val="40"/>
          <w:sz w:val="20"/>
        </w:rPr>
        <w:t> </w:t>
      </w:r>
      <w:r>
        <w:rPr>
          <w:color w:val="231F20"/>
          <w:spacing w:val="4"/>
          <w:position w:val="1"/>
          <w:sz w:val="20"/>
        </w:rPr>
        <w:drawing>
          <wp:inline distT="0" distB="0" distL="0" distR="0">
            <wp:extent cx="57150" cy="57150"/>
            <wp:effectExtent l="0" t="0" r="0" b="0"/>
            <wp:docPr id="515" name="Image 515"/>
            <wp:cNvGraphicFramePr>
              <a:graphicFrameLocks/>
            </wp:cNvGraphicFramePr>
            <a:graphic>
              <a:graphicData uri="http://schemas.openxmlformats.org/drawingml/2006/picture">
                <pic:pic>
                  <pic:nvPicPr>
                    <pic:cNvPr id="515" name="Image 515"/>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4"/>
          <w:position w:val="1"/>
          <w:sz w:val="20"/>
        </w:rPr>
      </w:r>
      <w:r>
        <w:rPr>
          <w:rFonts w:ascii="Times New Roman"/>
          <w:color w:val="231F20"/>
          <w:spacing w:val="80"/>
          <w:position w:val="1"/>
          <w:sz w:val="20"/>
        </w:rPr>
        <w:t> </w:t>
      </w:r>
      <w:r>
        <w:rPr>
          <w:rFonts w:ascii="Times New Roman"/>
          <w:color w:val="231F20"/>
          <w:spacing w:val="4"/>
          <w:position w:val="-1"/>
          <w:sz w:val="20"/>
        </w:rPr>
        <w:drawing>
          <wp:inline distT="0" distB="0" distL="0" distR="0">
            <wp:extent cx="101600" cy="95250"/>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28" cstate="print"/>
                    <a:stretch>
                      <a:fillRect/>
                    </a:stretch>
                  </pic:blipFill>
                  <pic:spPr>
                    <a:xfrm>
                      <a:off x="0" y="0"/>
                      <a:ext cx="101600" cy="95250"/>
                    </a:xfrm>
                    <a:prstGeom prst="rect">
                      <a:avLst/>
                    </a:prstGeom>
                  </pic:spPr>
                </pic:pic>
              </a:graphicData>
            </a:graphic>
          </wp:inline>
        </w:drawing>
      </w:r>
      <w:r>
        <w:rPr>
          <w:rFonts w:ascii="Times New Roman"/>
          <w:color w:val="231F20"/>
          <w:spacing w:val="4"/>
          <w:position w:val="-1"/>
          <w:sz w:val="20"/>
        </w:rPr>
      </w:r>
      <w:r>
        <w:rPr>
          <w:rFonts w:ascii="Times New Roman"/>
          <w:color w:val="231F20"/>
          <w:spacing w:val="40"/>
          <w:sz w:val="20"/>
        </w:rPr>
        <w:t> </w:t>
      </w:r>
      <w:r>
        <w:rPr>
          <w:color w:val="231F20"/>
          <w:sz w:val="20"/>
        </w:rPr>
        <w:t>and changing the </w:t>
      </w:r>
      <w:r>
        <w:rPr>
          <w:rFonts w:ascii="Book Antiqua"/>
          <w:b/>
          <w:color w:val="231F20"/>
          <w:sz w:val="20"/>
        </w:rPr>
        <w:t>View-level Page Size </w:t>
      </w:r>
      <w:r>
        <w:rPr>
          <w:color w:val="231F20"/>
          <w:sz w:val="20"/>
        </w:rPr>
        <w:t>value in the Query tab.</w:t>
      </w:r>
    </w:p>
    <w:p>
      <w:pPr>
        <w:pStyle w:val="ListParagraph"/>
        <w:numPr>
          <w:ilvl w:val="0"/>
          <w:numId w:val="17"/>
        </w:numPr>
        <w:tabs>
          <w:tab w:pos="2787" w:val="left" w:leader="none"/>
        </w:tabs>
        <w:spacing w:line="240" w:lineRule="auto" w:before="33" w:after="0"/>
        <w:ind w:left="2787" w:right="0" w:hanging="315"/>
        <w:jc w:val="left"/>
        <w:rPr>
          <w:sz w:val="20"/>
        </w:rPr>
      </w:pPr>
      <w:r>
        <w:rPr>
          <w:color w:val="231F20"/>
          <w:sz w:val="20"/>
        </w:rPr>
        <w:t>Right-click</w:t>
      </w:r>
      <w:r>
        <w:rPr>
          <w:color w:val="231F20"/>
          <w:spacing w:val="11"/>
          <w:sz w:val="20"/>
        </w:rPr>
        <w:t> </w:t>
      </w:r>
      <w:r>
        <w:rPr>
          <w:color w:val="231F20"/>
          <w:sz w:val="20"/>
        </w:rPr>
        <w:t>inside</w:t>
      </w:r>
      <w:r>
        <w:rPr>
          <w:color w:val="231F20"/>
          <w:spacing w:val="11"/>
          <w:sz w:val="20"/>
        </w:rPr>
        <w:t> </w:t>
      </w:r>
      <w:r>
        <w:rPr>
          <w:color w:val="231F20"/>
          <w:sz w:val="20"/>
        </w:rPr>
        <w:t>the</w:t>
      </w:r>
      <w:r>
        <w:rPr>
          <w:color w:val="231F20"/>
          <w:spacing w:val="11"/>
          <w:sz w:val="20"/>
        </w:rPr>
        <w:t> </w:t>
      </w:r>
      <w:r>
        <w:rPr>
          <w:color w:val="231F20"/>
          <w:sz w:val="20"/>
        </w:rPr>
        <w:t>query-based</w:t>
      </w:r>
      <w:r>
        <w:rPr>
          <w:color w:val="231F20"/>
          <w:spacing w:val="11"/>
          <w:sz w:val="20"/>
        </w:rPr>
        <w:t> </w:t>
      </w:r>
      <w:r>
        <w:rPr>
          <w:color w:val="231F20"/>
          <w:sz w:val="20"/>
        </w:rPr>
        <w:t>view</w:t>
      </w:r>
      <w:r>
        <w:rPr>
          <w:color w:val="231F20"/>
          <w:spacing w:val="12"/>
          <w:sz w:val="20"/>
        </w:rPr>
        <w:t> </w:t>
      </w:r>
      <w:r>
        <w:rPr>
          <w:color w:val="231F20"/>
          <w:sz w:val="20"/>
        </w:rPr>
        <w:t>and</w:t>
      </w:r>
      <w:r>
        <w:rPr>
          <w:color w:val="231F20"/>
          <w:spacing w:val="11"/>
          <w:sz w:val="20"/>
        </w:rPr>
        <w:t> </w:t>
      </w:r>
      <w:r>
        <w:rPr>
          <w:color w:val="231F20"/>
          <w:sz w:val="20"/>
        </w:rPr>
        <w:t>click</w:t>
      </w:r>
      <w:r>
        <w:rPr>
          <w:color w:val="231F20"/>
          <w:spacing w:val="10"/>
          <w:sz w:val="20"/>
        </w:rPr>
        <w:t> </w:t>
      </w:r>
      <w:r>
        <w:rPr>
          <w:color w:val="231F20"/>
          <w:spacing w:val="15"/>
          <w:position w:val="-1"/>
          <w:sz w:val="20"/>
        </w:rPr>
        <w:drawing>
          <wp:inline distT="0" distB="0" distL="0" distR="0">
            <wp:extent cx="101600" cy="95250"/>
            <wp:effectExtent l="0" t="0" r="0" b="0"/>
            <wp:docPr id="517" name="Image 517"/>
            <wp:cNvGraphicFramePr>
              <a:graphicFrameLocks/>
            </wp:cNvGraphicFramePr>
            <a:graphic>
              <a:graphicData uri="http://schemas.openxmlformats.org/drawingml/2006/picture">
                <pic:pic>
                  <pic:nvPicPr>
                    <pic:cNvPr id="517" name="Image 517"/>
                    <pic:cNvPicPr/>
                  </pic:nvPicPr>
                  <pic:blipFill>
                    <a:blip r:embed="rId152"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3"/>
          <w:sz w:val="20"/>
        </w:rPr>
        <w:t> </w:t>
      </w:r>
      <w:r>
        <w:rPr>
          <w:rFonts w:ascii="Book Antiqua"/>
          <w:b/>
          <w:color w:val="231F20"/>
          <w:spacing w:val="-2"/>
          <w:sz w:val="20"/>
        </w:rPr>
        <w:t>Export</w:t>
      </w:r>
      <w:r>
        <w:rPr>
          <w:color w:val="231F20"/>
          <w:spacing w:val="-2"/>
          <w:sz w:val="20"/>
        </w:rPr>
        <w:t>.</w:t>
      </w:r>
    </w:p>
    <w:p>
      <w:pPr>
        <w:pStyle w:val="ListParagraph"/>
        <w:numPr>
          <w:ilvl w:val="0"/>
          <w:numId w:val="17"/>
        </w:numPr>
        <w:tabs>
          <w:tab w:pos="2788" w:val="left" w:leader="none"/>
        </w:tabs>
        <w:spacing w:line="213" w:lineRule="auto" w:before="53" w:after="0"/>
        <w:ind w:left="2788" w:right="238" w:hanging="316"/>
        <w:jc w:val="left"/>
        <w:rPr>
          <w:sz w:val="20"/>
        </w:rPr>
      </w:pPr>
      <w:r>
        <w:rPr>
          <w:color w:val="231F20"/>
          <w:sz w:val="20"/>
        </w:rPr>
        <w:t>In the Export to Disk window, select the location for the exported data, select a file type, and type a file name.</w:t>
      </w:r>
    </w:p>
    <w:p>
      <w:pPr>
        <w:pStyle w:val="ListParagraph"/>
        <w:numPr>
          <w:ilvl w:val="0"/>
          <w:numId w:val="17"/>
        </w:numPr>
        <w:tabs>
          <w:tab w:pos="2788" w:val="left" w:leader="none"/>
        </w:tabs>
        <w:spacing w:line="213" w:lineRule="auto" w:before="58" w:after="0"/>
        <w:ind w:left="2788" w:right="520" w:hanging="316"/>
        <w:jc w:val="left"/>
        <w:rPr>
          <w:sz w:val="20"/>
        </w:rPr>
      </w:pPr>
      <w:r>
        <w:rPr>
          <w:color w:val="231F20"/>
          <w:sz w:val="20"/>
        </w:rPr>
        <w:t>To export the rows that are visible in the view space and all the columns shown in the </w:t>
      </w:r>
      <w:r>
        <w:rPr>
          <w:rFonts w:ascii="Book Antiqua"/>
          <w:b/>
          <w:color w:val="231F20"/>
          <w:sz w:val="20"/>
        </w:rPr>
        <w:t>Assigned </w:t>
      </w:r>
      <w:r>
        <w:rPr>
          <w:color w:val="231F20"/>
          <w:sz w:val="20"/>
        </w:rPr>
        <w:t>list, click </w:t>
      </w:r>
      <w:r>
        <w:rPr>
          <w:rFonts w:ascii="Book Antiqua"/>
          <w:b/>
          <w:color w:val="231F20"/>
          <w:sz w:val="20"/>
        </w:rPr>
        <w:t>OK</w:t>
      </w:r>
      <w:r>
        <w:rPr>
          <w:color w:val="231F20"/>
          <w:sz w:val="20"/>
        </w:rPr>
        <w:t>; or, to specify otherwise, do any of </w:t>
      </w:r>
      <w:r>
        <w:rPr>
          <w:color w:val="231F20"/>
          <w:sz w:val="20"/>
        </w:rPr>
        <w:t>the </w:t>
      </w:r>
      <w:r>
        <w:rPr>
          <w:color w:val="231F20"/>
          <w:spacing w:val="-2"/>
          <w:sz w:val="20"/>
        </w:rPr>
        <w:t>following:</w:t>
      </w:r>
    </w:p>
    <w:p>
      <w:pPr>
        <w:pStyle w:val="BodyText"/>
        <w:spacing w:before="40"/>
        <w:ind w:left="2788"/>
      </w:pPr>
      <w:r>
        <w:rPr>
          <w:rFonts w:ascii="Futura MdCn BT"/>
          <w:color w:val="231F20"/>
        </w:rPr>
        <w:t>v</w:t>
      </w:r>
      <w:r>
        <w:rPr>
          <w:rFonts w:ascii="Futura MdCn BT"/>
          <w:color w:val="231F20"/>
          <w:spacing w:val="76"/>
          <w:w w:val="150"/>
        </w:rPr>
        <w:t> </w:t>
      </w:r>
      <w:r>
        <w:rPr>
          <w:color w:val="231F20"/>
        </w:rPr>
        <w:t>For</w:t>
      </w:r>
      <w:r>
        <w:rPr>
          <w:color w:val="231F20"/>
          <w:spacing w:val="11"/>
        </w:rPr>
        <w:t> </w:t>
      </w:r>
      <w:r>
        <w:rPr>
          <w:color w:val="231F20"/>
        </w:rPr>
        <w:t>the</w:t>
      </w:r>
      <w:r>
        <w:rPr>
          <w:color w:val="231F20"/>
          <w:spacing w:val="11"/>
        </w:rPr>
        <w:t> </w:t>
      </w:r>
      <w:r>
        <w:rPr>
          <w:color w:val="231F20"/>
        </w:rPr>
        <w:t>all</w:t>
      </w:r>
      <w:r>
        <w:rPr>
          <w:color w:val="231F20"/>
          <w:spacing w:val="11"/>
        </w:rPr>
        <w:t> </w:t>
      </w:r>
      <w:r>
        <w:rPr>
          <w:color w:val="231F20"/>
        </w:rPr>
        <w:t>pages</w:t>
      </w:r>
      <w:r>
        <w:rPr>
          <w:color w:val="231F20"/>
          <w:spacing w:val="11"/>
        </w:rPr>
        <w:t> </w:t>
      </w:r>
      <w:r>
        <w:rPr>
          <w:color w:val="231F20"/>
        </w:rPr>
        <w:t>returned</w:t>
      </w:r>
      <w:r>
        <w:rPr>
          <w:color w:val="231F20"/>
          <w:spacing w:val="10"/>
        </w:rPr>
        <w:t> </w:t>
      </w:r>
      <w:r>
        <w:rPr>
          <w:color w:val="231F20"/>
        </w:rPr>
        <w:t>by</w:t>
      </w:r>
      <w:r>
        <w:rPr>
          <w:color w:val="231F20"/>
          <w:spacing w:val="11"/>
        </w:rPr>
        <w:t> </w:t>
      </w:r>
      <w:r>
        <w:rPr>
          <w:color w:val="231F20"/>
        </w:rPr>
        <w:t>the</w:t>
      </w:r>
      <w:r>
        <w:rPr>
          <w:color w:val="231F20"/>
          <w:spacing w:val="11"/>
        </w:rPr>
        <w:t> </w:t>
      </w:r>
      <w:r>
        <w:rPr>
          <w:color w:val="231F20"/>
        </w:rPr>
        <w:t>query,</w:t>
      </w:r>
      <w:r>
        <w:rPr>
          <w:color w:val="231F20"/>
          <w:spacing w:val="11"/>
        </w:rPr>
        <w:t> </w:t>
      </w:r>
      <w:r>
        <w:rPr>
          <w:color w:val="231F20"/>
        </w:rPr>
        <w:t>click</w:t>
      </w:r>
      <w:r>
        <w:rPr>
          <w:color w:val="231F20"/>
          <w:spacing w:val="10"/>
        </w:rPr>
        <w:t> </w:t>
      </w:r>
      <w:r>
        <w:rPr>
          <w:color w:val="231F20"/>
          <w:spacing w:val="15"/>
        </w:rPr>
        <w:drawing>
          <wp:inline distT="0" distB="0" distL="0" distR="0">
            <wp:extent cx="88900" cy="82550"/>
            <wp:effectExtent l="0" t="0" r="0" b="0"/>
            <wp:docPr id="518" name="Image 518"/>
            <wp:cNvGraphicFramePr>
              <a:graphicFrameLocks/>
            </wp:cNvGraphicFramePr>
            <a:graphic>
              <a:graphicData uri="http://schemas.openxmlformats.org/drawingml/2006/picture">
                <pic:pic>
                  <pic:nvPicPr>
                    <pic:cNvPr id="518" name="Image 518"/>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6"/>
        </w:rPr>
        <w:t> </w:t>
      </w:r>
      <w:r>
        <w:rPr>
          <w:rFonts w:ascii="Book Antiqua"/>
          <w:b/>
          <w:color w:val="231F20"/>
        </w:rPr>
        <w:t>All</w:t>
      </w:r>
      <w:r>
        <w:rPr>
          <w:rFonts w:ascii="Book Antiqua"/>
          <w:b/>
          <w:color w:val="231F20"/>
          <w:spacing w:val="11"/>
        </w:rPr>
        <w:t> </w:t>
      </w:r>
      <w:r>
        <w:rPr>
          <w:rFonts w:ascii="Book Antiqua"/>
          <w:b/>
          <w:color w:val="231F20"/>
          <w:spacing w:val="-2"/>
        </w:rPr>
        <w:t>rows</w:t>
      </w:r>
      <w:r>
        <w:rPr>
          <w:color w:val="231F20"/>
          <w:spacing w:val="-2"/>
        </w:rPr>
        <w:t>.</w:t>
      </w:r>
    </w:p>
    <w:p>
      <w:pPr>
        <w:pStyle w:val="BodyText"/>
        <w:spacing w:line="213" w:lineRule="auto" w:before="48"/>
        <w:ind w:left="3004" w:right="242" w:hanging="216"/>
      </w:pPr>
      <w:r>
        <w:rPr>
          <w:rFonts w:ascii="Futura MdCn BT"/>
          <w:color w:val="231F20"/>
        </w:rPr>
        <w:t>v</w:t>
      </w:r>
      <w:r>
        <w:rPr>
          <w:rFonts w:ascii="Futura MdCn BT"/>
          <w:color w:val="231F20"/>
          <w:spacing w:val="80"/>
        </w:rPr>
        <w:t> </w:t>
      </w:r>
      <w:r>
        <w:rPr>
          <w:color w:val="231F20"/>
        </w:rPr>
        <w:t>To exclude a column from those being exported, select from the </w:t>
      </w:r>
      <w:r>
        <w:rPr>
          <w:rFonts w:ascii="Book Antiqua"/>
          <w:b/>
          <w:color w:val="231F20"/>
        </w:rPr>
        <w:t>Assigned </w:t>
      </w:r>
      <w:r>
        <w:rPr>
          <w:color w:val="231F20"/>
        </w:rPr>
        <w:t>list and</w:t>
      </w:r>
      <w:r>
        <w:rPr>
          <w:color w:val="231F20"/>
          <w:spacing w:val="24"/>
        </w:rPr>
        <w:t> </w:t>
      </w:r>
      <w:r>
        <w:rPr>
          <w:color w:val="231F20"/>
        </w:rPr>
        <w:t>click</w:t>
      </w:r>
      <w:r>
        <w:rPr>
          <w:color w:val="231F20"/>
          <w:spacing w:val="36"/>
        </w:rPr>
        <w:t> </w:t>
      </w:r>
      <w:r>
        <w:rPr>
          <w:color w:val="231F20"/>
          <w:spacing w:val="-24"/>
          <w:position w:val="-1"/>
        </w:rPr>
        <w:drawing>
          <wp:inline distT="0" distB="0" distL="0" distR="0">
            <wp:extent cx="95250" cy="95250"/>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2"/>
        </w:rPr>
        <w:t> </w:t>
      </w:r>
      <w:r>
        <w:rPr>
          <w:color w:val="231F20"/>
        </w:rPr>
        <w:t>;</w:t>
      </w:r>
      <w:r>
        <w:rPr>
          <w:color w:val="231F20"/>
          <w:spacing w:val="24"/>
        </w:rPr>
        <w:t> </w:t>
      </w:r>
      <w:r>
        <w:rPr>
          <w:color w:val="231F20"/>
        </w:rPr>
        <w:t>to</w:t>
      </w:r>
      <w:r>
        <w:rPr>
          <w:color w:val="231F20"/>
          <w:spacing w:val="24"/>
        </w:rPr>
        <w:t> </w:t>
      </w:r>
      <w:r>
        <w:rPr>
          <w:color w:val="231F20"/>
        </w:rPr>
        <w:t>include</w:t>
      </w:r>
      <w:r>
        <w:rPr>
          <w:color w:val="231F20"/>
          <w:spacing w:val="24"/>
        </w:rPr>
        <w:t> </w:t>
      </w:r>
      <w:r>
        <w:rPr>
          <w:color w:val="231F20"/>
        </w:rPr>
        <w:t>a</w:t>
      </w:r>
      <w:r>
        <w:rPr>
          <w:color w:val="231F20"/>
          <w:spacing w:val="24"/>
        </w:rPr>
        <w:t> </w:t>
      </w:r>
      <w:r>
        <w:rPr>
          <w:color w:val="231F20"/>
        </w:rPr>
        <w:t>column,</w:t>
      </w:r>
      <w:r>
        <w:rPr>
          <w:color w:val="231F20"/>
          <w:spacing w:val="24"/>
        </w:rPr>
        <w:t> </w:t>
      </w:r>
      <w:r>
        <w:rPr>
          <w:color w:val="231F20"/>
        </w:rPr>
        <w:t>select</w:t>
      </w:r>
      <w:r>
        <w:rPr>
          <w:color w:val="231F20"/>
          <w:spacing w:val="24"/>
        </w:rPr>
        <w:t> </w:t>
      </w:r>
      <w:r>
        <w:rPr>
          <w:color w:val="231F20"/>
        </w:rPr>
        <w:t>it</w:t>
      </w:r>
      <w:r>
        <w:rPr>
          <w:color w:val="231F20"/>
          <w:spacing w:val="24"/>
        </w:rPr>
        <w:t> </w:t>
      </w:r>
      <w:r>
        <w:rPr>
          <w:color w:val="231F20"/>
        </w:rPr>
        <w:t>from</w:t>
      </w:r>
      <w:r>
        <w:rPr>
          <w:color w:val="231F20"/>
          <w:spacing w:val="24"/>
        </w:rPr>
        <w:t> </w:t>
      </w:r>
      <w:r>
        <w:rPr>
          <w:color w:val="231F20"/>
        </w:rPr>
        <w:t>the Available</w:t>
      </w:r>
      <w:r>
        <w:rPr>
          <w:color w:val="231F20"/>
          <w:spacing w:val="24"/>
        </w:rPr>
        <w:t> </w:t>
      </w:r>
      <w:r>
        <w:rPr>
          <w:color w:val="231F20"/>
        </w:rPr>
        <w:t>Columns</w:t>
      </w:r>
      <w:r>
        <w:rPr>
          <w:color w:val="231F20"/>
          <w:spacing w:val="24"/>
        </w:rPr>
        <w:t> </w:t>
      </w:r>
      <w:r>
        <w:rPr>
          <w:color w:val="231F20"/>
        </w:rPr>
        <w:t>list and click</w:t>
      </w:r>
      <w:r>
        <w:rPr>
          <w:color w:val="231F20"/>
          <w:spacing w:val="40"/>
        </w:rPr>
        <w:t> </w:t>
      </w:r>
      <w:r>
        <w:rPr>
          <w:color w:val="231F20"/>
          <w:spacing w:val="16"/>
          <w:position w:val="1"/>
        </w:rPr>
        <w:drawing>
          <wp:inline distT="0" distB="0" distL="0" distR="0">
            <wp:extent cx="44450" cy="76200"/>
            <wp:effectExtent l="0" t="0" r="0" b="0"/>
            <wp:docPr id="520" name="Image 520"/>
            <wp:cNvGraphicFramePr>
              <a:graphicFrameLocks/>
            </wp:cNvGraphicFramePr>
            <a:graphic>
              <a:graphicData uri="http://schemas.openxmlformats.org/drawingml/2006/picture">
                <pic:pic>
                  <pic:nvPicPr>
                    <pic:cNvPr id="520" name="Image 520"/>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 Use Ctrl+click to select multiple columns or Shift+click to select</w:t>
      </w:r>
      <w:r>
        <w:rPr>
          <w:color w:val="231F20"/>
          <w:spacing w:val="80"/>
        </w:rPr>
        <w:t> </w:t>
      </w:r>
      <w:r>
        <w:rPr>
          <w:color w:val="231F20"/>
        </w:rPr>
        <w:t>all columns from the first one selected to this one.</w:t>
      </w:r>
    </w:p>
    <w:p>
      <w:pPr>
        <w:pStyle w:val="BodyText"/>
        <w:spacing w:before="34"/>
        <w:ind w:left="2788"/>
      </w:pPr>
      <w:r>
        <w:rPr>
          <w:rFonts w:ascii="Futura MdCn BT"/>
          <w:color w:val="231F20"/>
        </w:rPr>
        <w:t>v</w:t>
      </w:r>
      <w:r>
        <w:rPr>
          <w:rFonts w:ascii="Futura MdCn BT"/>
          <w:color w:val="231F20"/>
          <w:spacing w:val="30"/>
        </w:rPr>
        <w:t>  </w:t>
      </w:r>
      <w:r>
        <w:rPr>
          <w:color w:val="231F20"/>
        </w:rPr>
        <w:t>To</w:t>
      </w:r>
      <w:r>
        <w:rPr>
          <w:color w:val="231F20"/>
          <w:spacing w:val="12"/>
        </w:rPr>
        <w:t> </w:t>
      </w:r>
      <w:r>
        <w:rPr>
          <w:color w:val="231F20"/>
        </w:rPr>
        <w:t>change</w:t>
      </w:r>
      <w:r>
        <w:rPr>
          <w:color w:val="231F20"/>
          <w:spacing w:val="12"/>
        </w:rPr>
        <w:t> </w:t>
      </w:r>
      <w:r>
        <w:rPr>
          <w:color w:val="231F20"/>
        </w:rPr>
        <w:t>the</w:t>
      </w:r>
      <w:r>
        <w:rPr>
          <w:color w:val="231F20"/>
          <w:spacing w:val="11"/>
        </w:rPr>
        <w:t> </w:t>
      </w:r>
      <w:r>
        <w:rPr>
          <w:color w:val="231F20"/>
        </w:rPr>
        <w:t>order,</w:t>
      </w:r>
      <w:r>
        <w:rPr>
          <w:color w:val="231F20"/>
          <w:spacing w:val="12"/>
        </w:rPr>
        <w:t> </w:t>
      </w:r>
      <w:r>
        <w:rPr>
          <w:color w:val="231F20"/>
        </w:rPr>
        <w:t>select</w:t>
      </w:r>
      <w:r>
        <w:rPr>
          <w:color w:val="231F20"/>
          <w:spacing w:val="11"/>
        </w:rPr>
        <w:t> </w:t>
      </w:r>
      <w:r>
        <w:rPr>
          <w:color w:val="231F20"/>
        </w:rPr>
        <w:t>a</w:t>
      </w:r>
      <w:r>
        <w:rPr>
          <w:color w:val="231F20"/>
          <w:spacing w:val="12"/>
        </w:rPr>
        <w:t> </w:t>
      </w:r>
      <w:r>
        <w:rPr>
          <w:color w:val="231F20"/>
        </w:rPr>
        <w:t>column</w:t>
      </w:r>
      <w:r>
        <w:rPr>
          <w:color w:val="231F20"/>
          <w:spacing w:val="11"/>
        </w:rPr>
        <w:t> </w:t>
      </w:r>
      <w:r>
        <w:rPr>
          <w:color w:val="231F20"/>
        </w:rPr>
        <w:t>and</w:t>
      </w:r>
      <w:r>
        <w:rPr>
          <w:color w:val="231F20"/>
          <w:spacing w:val="12"/>
        </w:rPr>
        <w:t> </w:t>
      </w:r>
      <w:r>
        <w:rPr>
          <w:color w:val="231F20"/>
        </w:rPr>
        <w:t>click</w:t>
      </w:r>
      <w:r>
        <w:rPr>
          <w:color w:val="231F20"/>
          <w:spacing w:val="47"/>
        </w:rPr>
        <w:t> </w:t>
      </w:r>
      <w:r>
        <w:rPr>
          <w:color w:val="231F20"/>
          <w:spacing w:val="5"/>
          <w:position w:val="3"/>
        </w:rPr>
        <w:drawing>
          <wp:inline distT="0" distB="0" distL="0" distR="0">
            <wp:extent cx="76200" cy="44450"/>
            <wp:effectExtent l="0" t="0" r="0" b="0"/>
            <wp:docPr id="521" name="Image 521"/>
            <wp:cNvGraphicFramePr>
              <a:graphicFrameLocks/>
            </wp:cNvGraphicFramePr>
            <a:graphic>
              <a:graphicData uri="http://schemas.openxmlformats.org/drawingml/2006/picture">
                <pic:pic>
                  <pic:nvPicPr>
                    <pic:cNvPr id="521" name="Image 521"/>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spacing w:val="5"/>
          <w:position w:val="3"/>
        </w:rPr>
      </w:r>
      <w:r>
        <w:rPr>
          <w:rFonts w:ascii="Times New Roman"/>
          <w:color w:val="231F20"/>
          <w:spacing w:val="65"/>
          <w:w w:val="150"/>
        </w:rPr>
        <w:t> </w:t>
      </w:r>
      <w:r>
        <w:rPr>
          <w:color w:val="231F20"/>
        </w:rPr>
        <w:t>or</w:t>
      </w:r>
      <w:r>
        <w:rPr>
          <w:color w:val="231F20"/>
          <w:spacing w:val="49"/>
        </w:rPr>
        <w:t> </w:t>
      </w:r>
      <w:r>
        <w:rPr>
          <w:color w:val="231F20"/>
          <w:spacing w:val="6"/>
          <w:position w:val="3"/>
        </w:rPr>
        <w:drawing>
          <wp:inline distT="0" distB="0" distL="0" distR="0">
            <wp:extent cx="76200" cy="44450"/>
            <wp:effectExtent l="0" t="0" r="0" b="0"/>
            <wp:docPr id="522" name="Image 522"/>
            <wp:cNvGraphicFramePr>
              <a:graphicFrameLocks/>
            </wp:cNvGraphicFramePr>
            <a:graphic>
              <a:graphicData uri="http://schemas.openxmlformats.org/drawingml/2006/picture">
                <pic:pic>
                  <pic:nvPicPr>
                    <pic:cNvPr id="522" name="Image 522"/>
                    <pic:cNvPicPr/>
                  </pic:nvPicPr>
                  <pic:blipFill>
                    <a:blip r:embed="rId155" cstate="print"/>
                    <a:stretch>
                      <a:fillRect/>
                    </a:stretch>
                  </pic:blipFill>
                  <pic:spPr>
                    <a:xfrm>
                      <a:off x="0" y="0"/>
                      <a:ext cx="76200" cy="44450"/>
                    </a:xfrm>
                    <a:prstGeom prst="rect">
                      <a:avLst/>
                    </a:prstGeom>
                  </pic:spPr>
                </pic:pic>
              </a:graphicData>
            </a:graphic>
          </wp:inline>
        </w:drawing>
      </w:r>
      <w:r>
        <w:rPr>
          <w:color w:val="231F20"/>
          <w:spacing w:val="6"/>
          <w:position w:val="3"/>
        </w:rPr>
      </w:r>
      <w:r>
        <w:rPr>
          <w:rFonts w:ascii="Times New Roman"/>
          <w:color w:val="231F20"/>
          <w:spacing w:val="27"/>
        </w:rPr>
        <w:t> </w:t>
      </w:r>
      <w:r>
        <w:rPr>
          <w:color w:val="231F20"/>
          <w:spacing w:val="-10"/>
        </w:rPr>
        <w:t>.</w:t>
      </w:r>
    </w:p>
    <w:p>
      <w:pPr>
        <w:pStyle w:val="BodyText"/>
        <w:spacing w:line="208" w:lineRule="auto" w:before="121"/>
        <w:ind w:left="2788" w:right="493" w:hanging="1"/>
      </w:pPr>
      <w:r>
        <w:rPr>
          <w:color w:val="231F20"/>
        </w:rPr>
        <w:t>If this is a new, unsaved table or chart view, </w:t>
      </w:r>
      <w:r>
        <w:rPr>
          <w:color w:val="231F20"/>
          <w:spacing w:val="15"/>
        </w:rPr>
        <w:drawing>
          <wp:inline distT="0" distB="0" distL="0" distR="0">
            <wp:extent cx="88900" cy="82550"/>
            <wp:effectExtent l="0" t="0" r="0" b="0"/>
            <wp:docPr id="523" name="Image 523"/>
            <wp:cNvGraphicFramePr>
              <a:graphicFrameLocks/>
            </wp:cNvGraphicFramePr>
            <a:graphic>
              <a:graphicData uri="http://schemas.openxmlformats.org/drawingml/2006/picture">
                <pic:pic>
                  <pic:nvPicPr>
                    <pic:cNvPr id="523" name="Image 523"/>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Visible rows </w:t>
      </w:r>
      <w:r>
        <w:rPr>
          <w:color w:val="231F20"/>
        </w:rPr>
        <w:t>is selected for </w:t>
      </w:r>
      <w:r>
        <w:rPr>
          <w:color w:val="231F20"/>
          <w:spacing w:val="-4"/>
        </w:rPr>
        <w:t>you.</w:t>
      </w:r>
    </w:p>
    <w:p>
      <w:pPr>
        <w:spacing w:after="0" w:line="208" w:lineRule="auto"/>
        <w:sectPr>
          <w:pgSz w:w="12240" w:h="15840"/>
          <w:pgMar w:header="0" w:footer="736" w:top="1140" w:bottom="920" w:left="1000" w:right="1060"/>
        </w:sectPr>
      </w:pPr>
    </w:p>
    <w:p>
      <w:pPr>
        <w:pStyle w:val="ListParagraph"/>
        <w:numPr>
          <w:ilvl w:val="0"/>
          <w:numId w:val="17"/>
        </w:numPr>
        <w:tabs>
          <w:tab w:pos="2548" w:val="left" w:leader="none"/>
        </w:tabs>
        <w:spacing w:line="213" w:lineRule="auto" w:before="85" w:after="0"/>
        <w:ind w:left="2548" w:right="777" w:hanging="316"/>
        <w:jc w:val="left"/>
        <w:rPr>
          <w:sz w:val="20"/>
        </w:rPr>
      </w:pPr>
      <w:bookmarkStart w:name="_bookmark36" w:id="83"/>
      <w:bookmarkEnd w:id="83"/>
      <w:r>
        <w:rPr/>
      </w:r>
      <w:r>
        <w:rPr>
          <w:color w:val="231F20"/>
          <w:sz w:val="20"/>
        </w:rPr>
        <w:t>If the file you are saving already exists, you can choose to overwrite the file with the current data selection, append the data to the file, or cancel.</w:t>
      </w:r>
    </w:p>
    <w:p>
      <w:pPr>
        <w:pStyle w:val="BodyText"/>
        <w:spacing w:before="5"/>
        <w:rPr>
          <w:sz w:val="16"/>
        </w:rPr>
      </w:pPr>
      <w:r>
        <w:rPr/>
        <mc:AlternateContent>
          <mc:Choice Requires="wps">
            <w:drawing>
              <wp:anchor distT="0" distB="0" distL="0" distR="0" allowOverlap="1" layoutInCell="1" locked="0" behindDoc="1" simplePos="0" relativeHeight="487648256">
                <wp:simplePos x="0" y="0"/>
                <wp:positionH relativeFrom="page">
                  <wp:posOffset>760323</wp:posOffset>
                </wp:positionH>
                <wp:positionV relativeFrom="paragraph">
                  <wp:posOffset>155773</wp:posOffset>
                </wp:positionV>
                <wp:extent cx="6082665" cy="1270"/>
                <wp:effectExtent l="0" t="0" r="0" b="0"/>
                <wp:wrapTopAndBottom/>
                <wp:docPr id="524" name="Graphic 524"/>
                <wp:cNvGraphicFramePr>
                  <a:graphicFrameLocks/>
                </wp:cNvGraphicFramePr>
                <a:graphic>
                  <a:graphicData uri="http://schemas.microsoft.com/office/word/2010/wordprocessingShape">
                    <wps:wsp>
                      <wps:cNvPr id="524" name="Graphic 524"/>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5644pt;width:478.95pt;height:.1pt;mso-position-horizontal-relative:page;mso-position-vertical-relative:paragraph;z-index:-15668224;mso-wrap-distance-left:0;mso-wrap-distance-right:0" id="docshape83"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Finding text in a browser view or notepa" w:id="84"/>
      <w:bookmarkEnd w:id="84"/>
      <w:r>
        <w:rPr>
          <w:b w:val="0"/>
        </w:rPr>
      </w:r>
      <w:r>
        <w:rPr>
          <w:color w:val="231F20"/>
        </w:rPr>
        <w:t>Finding</w:t>
      </w:r>
      <w:r>
        <w:rPr>
          <w:color w:val="231F20"/>
          <w:spacing w:val="8"/>
        </w:rPr>
        <w:t> </w:t>
      </w:r>
      <w:r>
        <w:rPr>
          <w:color w:val="231F20"/>
        </w:rPr>
        <w:t>text</w:t>
      </w:r>
      <w:r>
        <w:rPr>
          <w:color w:val="231F20"/>
          <w:spacing w:val="9"/>
        </w:rPr>
        <w:t> </w:t>
      </w:r>
      <w:r>
        <w:rPr>
          <w:color w:val="231F20"/>
        </w:rPr>
        <w:t>in</w:t>
      </w:r>
      <w:r>
        <w:rPr>
          <w:color w:val="231F20"/>
          <w:spacing w:val="9"/>
        </w:rPr>
        <w:t> </w:t>
      </w:r>
      <w:r>
        <w:rPr>
          <w:color w:val="231F20"/>
        </w:rPr>
        <w:t>a</w:t>
      </w:r>
      <w:r>
        <w:rPr>
          <w:color w:val="231F20"/>
          <w:spacing w:val="9"/>
        </w:rPr>
        <w:t> </w:t>
      </w:r>
      <w:r>
        <w:rPr>
          <w:color w:val="231F20"/>
        </w:rPr>
        <w:t>browser</w:t>
      </w:r>
      <w:r>
        <w:rPr>
          <w:color w:val="231F20"/>
          <w:spacing w:val="8"/>
        </w:rPr>
        <w:t> </w:t>
      </w:r>
      <w:r>
        <w:rPr>
          <w:color w:val="231F20"/>
        </w:rPr>
        <w:t>view</w:t>
      </w:r>
      <w:r>
        <w:rPr>
          <w:color w:val="231F20"/>
          <w:spacing w:val="9"/>
        </w:rPr>
        <w:t> </w:t>
      </w:r>
      <w:r>
        <w:rPr>
          <w:color w:val="231F20"/>
        </w:rPr>
        <w:t>or</w:t>
      </w:r>
      <w:r>
        <w:rPr>
          <w:color w:val="231F20"/>
          <w:spacing w:val="9"/>
        </w:rPr>
        <w:t> </w:t>
      </w:r>
      <w:r>
        <w:rPr>
          <w:color w:val="231F20"/>
        </w:rPr>
        <w:t>notepad</w:t>
      </w:r>
      <w:r>
        <w:rPr>
          <w:color w:val="231F20"/>
          <w:spacing w:val="9"/>
        </w:rPr>
        <w:t> </w:t>
      </w:r>
      <w:r>
        <w:rPr>
          <w:color w:val="231F20"/>
          <w:spacing w:val="-4"/>
        </w:rPr>
        <w:t>view</w:t>
      </w:r>
    </w:p>
    <w:p>
      <w:pPr>
        <w:pStyle w:val="BodyText"/>
        <w:spacing w:before="115"/>
        <w:ind w:left="2232"/>
      </w:pPr>
      <w:r>
        <w:rPr>
          <w:color w:val="231F20"/>
        </w:rPr>
        <w:t>Use</w:t>
      </w:r>
      <w:r>
        <w:rPr>
          <w:color w:val="231F20"/>
          <w:spacing w:val="11"/>
        </w:rPr>
        <w:t> </w:t>
      </w:r>
      <w:r>
        <w:rPr>
          <w:color w:val="231F20"/>
        </w:rPr>
        <w:t>the</w:t>
      </w:r>
      <w:r>
        <w:rPr>
          <w:color w:val="231F20"/>
          <w:spacing w:val="11"/>
        </w:rPr>
        <w:t> </w:t>
      </w:r>
      <w:r>
        <w:rPr>
          <w:color w:val="231F20"/>
        </w:rPr>
        <w:t>find</w:t>
      </w:r>
      <w:r>
        <w:rPr>
          <w:color w:val="231F20"/>
          <w:spacing w:val="12"/>
        </w:rPr>
        <w:t> </w:t>
      </w:r>
      <w:r>
        <w:rPr>
          <w:color w:val="231F20"/>
        </w:rPr>
        <w:t>function</w:t>
      </w:r>
      <w:r>
        <w:rPr>
          <w:color w:val="231F20"/>
          <w:spacing w:val="11"/>
        </w:rPr>
        <w:t> </w:t>
      </w:r>
      <w:r>
        <w:rPr>
          <w:color w:val="231F20"/>
        </w:rPr>
        <w:t>to</w:t>
      </w:r>
      <w:r>
        <w:rPr>
          <w:color w:val="231F20"/>
          <w:spacing w:val="12"/>
        </w:rPr>
        <w:t> </w:t>
      </w:r>
      <w:r>
        <w:rPr>
          <w:color w:val="231F20"/>
        </w:rPr>
        <w:t>locate</w:t>
      </w:r>
      <w:r>
        <w:rPr>
          <w:color w:val="231F20"/>
          <w:spacing w:val="11"/>
        </w:rPr>
        <w:t> </w:t>
      </w:r>
      <w:r>
        <w:rPr>
          <w:color w:val="231F20"/>
        </w:rPr>
        <w:t>text</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selected</w:t>
      </w:r>
      <w:r>
        <w:rPr>
          <w:color w:val="231F20"/>
          <w:spacing w:val="11"/>
        </w:rPr>
        <w:t> </w:t>
      </w:r>
      <w:r>
        <w:rPr>
          <w:color w:val="231F20"/>
        </w:rPr>
        <w:t>notepad</w:t>
      </w:r>
      <w:r>
        <w:rPr>
          <w:color w:val="231F20"/>
          <w:spacing w:val="11"/>
        </w:rPr>
        <w:t> </w:t>
      </w:r>
      <w:r>
        <w:rPr>
          <w:color w:val="231F20"/>
        </w:rPr>
        <w:t>view</w:t>
      </w:r>
      <w:r>
        <w:rPr>
          <w:color w:val="231F20"/>
          <w:spacing w:val="12"/>
        </w:rPr>
        <w:t> </w:t>
      </w:r>
      <w:r>
        <w:rPr>
          <w:color w:val="231F20"/>
        </w:rPr>
        <w:t>or</w:t>
      </w:r>
      <w:r>
        <w:rPr>
          <w:color w:val="231F20"/>
          <w:spacing w:val="11"/>
        </w:rPr>
        <w:t> </w:t>
      </w:r>
      <w:r>
        <w:rPr>
          <w:color w:val="231F20"/>
        </w:rPr>
        <w:t>browser</w:t>
      </w:r>
      <w:r>
        <w:rPr>
          <w:color w:val="231F20"/>
          <w:spacing w:val="12"/>
        </w:rPr>
        <w:t> </w:t>
      </w:r>
      <w:r>
        <w:rPr>
          <w:color w:val="231F20"/>
          <w:spacing w:val="-2"/>
        </w:rPr>
        <w:t>view.</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10"/>
        </w:rPr>
        <w:t> </w:t>
      </w:r>
      <w:r>
        <w:rPr>
          <w:color w:val="231F20"/>
        </w:rPr>
        <w:t>these</w:t>
      </w:r>
      <w:r>
        <w:rPr>
          <w:color w:val="231F20"/>
          <w:spacing w:val="10"/>
        </w:rPr>
        <w:t> </w:t>
      </w:r>
      <w:r>
        <w:rPr>
          <w:color w:val="231F20"/>
        </w:rPr>
        <w:t>steps</w:t>
      </w:r>
      <w:r>
        <w:rPr>
          <w:color w:val="231F20"/>
          <w:spacing w:val="11"/>
        </w:rPr>
        <w:t> </w:t>
      </w:r>
      <w:r>
        <w:rPr>
          <w:color w:val="231F20"/>
        </w:rPr>
        <w:t>to</w:t>
      </w:r>
      <w:r>
        <w:rPr>
          <w:color w:val="231F20"/>
          <w:spacing w:val="10"/>
        </w:rPr>
        <w:t> </w:t>
      </w:r>
      <w:r>
        <w:rPr>
          <w:color w:val="231F20"/>
        </w:rPr>
        <w:t>find</w:t>
      </w:r>
      <w:r>
        <w:rPr>
          <w:color w:val="231F20"/>
          <w:spacing w:val="11"/>
        </w:rPr>
        <w:t> </w:t>
      </w:r>
      <w:r>
        <w:rPr>
          <w:color w:val="231F20"/>
        </w:rPr>
        <w:t>specific</w:t>
      </w:r>
      <w:r>
        <w:rPr>
          <w:color w:val="231F20"/>
          <w:spacing w:val="10"/>
        </w:rPr>
        <w:t> </w:t>
      </w:r>
      <w:r>
        <w:rPr>
          <w:color w:val="231F20"/>
        </w:rPr>
        <w:t>text</w:t>
      </w:r>
      <w:r>
        <w:rPr>
          <w:color w:val="231F20"/>
          <w:spacing w:val="11"/>
        </w:rPr>
        <w:t> </w:t>
      </w:r>
      <w:r>
        <w:rPr>
          <w:color w:val="231F20"/>
        </w:rPr>
        <w:t>or</w:t>
      </w:r>
      <w:r>
        <w:rPr>
          <w:color w:val="231F20"/>
          <w:spacing w:val="10"/>
        </w:rPr>
        <w:t> </w:t>
      </w:r>
      <w:r>
        <w:rPr>
          <w:color w:val="231F20"/>
        </w:rPr>
        <w:t>values</w:t>
      </w:r>
      <w:r>
        <w:rPr>
          <w:color w:val="231F20"/>
          <w:spacing w:val="11"/>
        </w:rPr>
        <w:t> </w:t>
      </w:r>
      <w:r>
        <w:rPr>
          <w:color w:val="231F20"/>
        </w:rPr>
        <w:t>in</w:t>
      </w:r>
      <w:r>
        <w:rPr>
          <w:color w:val="231F20"/>
          <w:spacing w:val="10"/>
        </w:rPr>
        <w:t> </w:t>
      </w:r>
      <w:r>
        <w:rPr>
          <w:color w:val="231F20"/>
        </w:rPr>
        <w:t>a</w:t>
      </w:r>
      <w:r>
        <w:rPr>
          <w:color w:val="231F20"/>
          <w:spacing w:val="11"/>
        </w:rPr>
        <w:t> </w:t>
      </w:r>
      <w:r>
        <w:rPr>
          <w:color w:val="231F20"/>
        </w:rPr>
        <w:t>notepad</w:t>
      </w:r>
      <w:r>
        <w:rPr>
          <w:color w:val="231F20"/>
          <w:spacing w:val="10"/>
        </w:rPr>
        <w:t> </w:t>
      </w:r>
      <w:r>
        <w:rPr>
          <w:color w:val="231F20"/>
        </w:rPr>
        <w:t>view</w:t>
      </w:r>
      <w:r>
        <w:rPr>
          <w:color w:val="231F20"/>
          <w:spacing w:val="11"/>
        </w:rPr>
        <w:t> </w:t>
      </w:r>
      <w:r>
        <w:rPr>
          <w:color w:val="231F20"/>
        </w:rPr>
        <w:t>or</w:t>
      </w:r>
      <w:r>
        <w:rPr>
          <w:color w:val="231F20"/>
          <w:spacing w:val="10"/>
        </w:rPr>
        <w:t> </w:t>
      </w:r>
      <w:r>
        <w:rPr>
          <w:color w:val="231F20"/>
        </w:rPr>
        <w:t>browser</w:t>
      </w:r>
      <w:r>
        <w:rPr>
          <w:color w:val="231F20"/>
          <w:spacing w:val="11"/>
        </w:rPr>
        <w:t> </w:t>
      </w:r>
      <w:r>
        <w:rPr>
          <w:color w:val="231F20"/>
          <w:spacing w:val="-2"/>
        </w:rPr>
        <w:t>view.</w:t>
      </w:r>
    </w:p>
    <w:p>
      <w:pPr>
        <w:pStyle w:val="Heading4"/>
        <w:spacing w:before="194"/>
      </w:pPr>
      <w:r>
        <w:rPr>
          <w:color w:val="231F20"/>
          <w:spacing w:val="-2"/>
        </w:rPr>
        <w:t>Procedure</w:t>
      </w:r>
    </w:p>
    <w:p>
      <w:pPr>
        <w:pStyle w:val="ListParagraph"/>
        <w:numPr>
          <w:ilvl w:val="0"/>
          <w:numId w:val="18"/>
        </w:numPr>
        <w:tabs>
          <w:tab w:pos="2547" w:val="left" w:leader="none"/>
        </w:tabs>
        <w:spacing w:line="240" w:lineRule="auto" w:before="39" w:after="0"/>
        <w:ind w:left="2547" w:right="0" w:hanging="315"/>
        <w:jc w:val="left"/>
        <w:rPr>
          <w:sz w:val="20"/>
        </w:rPr>
      </w:pPr>
      <w:r>
        <w:rPr>
          <w:color w:val="231F20"/>
          <w:sz w:val="20"/>
        </w:rPr>
        <w:t>Open</w:t>
      </w:r>
      <w:r>
        <w:rPr>
          <w:color w:val="231F20"/>
          <w:spacing w:val="11"/>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that</w:t>
      </w:r>
      <w:r>
        <w:rPr>
          <w:color w:val="231F20"/>
          <w:spacing w:val="11"/>
          <w:sz w:val="20"/>
        </w:rPr>
        <w:t> </w:t>
      </w:r>
      <w:r>
        <w:rPr>
          <w:color w:val="231F20"/>
          <w:sz w:val="20"/>
        </w:rPr>
        <w:t>contains</w:t>
      </w:r>
      <w:r>
        <w:rPr>
          <w:color w:val="231F20"/>
          <w:spacing w:val="11"/>
          <w:sz w:val="20"/>
        </w:rPr>
        <w:t> </w:t>
      </w:r>
      <w:r>
        <w:rPr>
          <w:color w:val="231F20"/>
          <w:sz w:val="20"/>
        </w:rPr>
        <w:t>the</w:t>
      </w:r>
      <w:r>
        <w:rPr>
          <w:color w:val="231F20"/>
          <w:spacing w:val="11"/>
          <w:sz w:val="20"/>
        </w:rPr>
        <w:t> </w:t>
      </w:r>
      <w:r>
        <w:rPr>
          <w:color w:val="231F20"/>
          <w:sz w:val="20"/>
        </w:rPr>
        <w:t>notepad</w:t>
      </w:r>
      <w:r>
        <w:rPr>
          <w:color w:val="231F20"/>
          <w:spacing w:val="11"/>
          <w:sz w:val="20"/>
        </w:rPr>
        <w:t> </w:t>
      </w:r>
      <w:r>
        <w:rPr>
          <w:color w:val="231F20"/>
          <w:sz w:val="20"/>
        </w:rPr>
        <w:t>view</w:t>
      </w:r>
      <w:r>
        <w:rPr>
          <w:color w:val="231F20"/>
          <w:spacing w:val="11"/>
          <w:sz w:val="20"/>
        </w:rPr>
        <w:t> </w:t>
      </w:r>
      <w:r>
        <w:rPr>
          <w:color w:val="231F20"/>
          <w:sz w:val="20"/>
        </w:rPr>
        <w:t>to</w:t>
      </w:r>
      <w:r>
        <w:rPr>
          <w:color w:val="231F20"/>
          <w:spacing w:val="11"/>
          <w:sz w:val="20"/>
        </w:rPr>
        <w:t> </w:t>
      </w:r>
      <w:r>
        <w:rPr>
          <w:color w:val="231F20"/>
          <w:spacing w:val="-2"/>
          <w:sz w:val="20"/>
        </w:rPr>
        <w:t>search.</w:t>
      </w:r>
    </w:p>
    <w:p>
      <w:pPr>
        <w:pStyle w:val="ListParagraph"/>
        <w:numPr>
          <w:ilvl w:val="0"/>
          <w:numId w:val="18"/>
        </w:numPr>
        <w:tabs>
          <w:tab w:pos="2548" w:val="left" w:leader="none"/>
        </w:tabs>
        <w:spacing w:line="213" w:lineRule="auto" w:before="52" w:after="0"/>
        <w:ind w:left="2548" w:right="1046" w:hanging="316"/>
        <w:jc w:val="left"/>
        <w:rPr>
          <w:sz w:val="20"/>
        </w:rPr>
      </w:pPr>
      <w:r>
        <w:rPr>
          <w:color w:val="231F20"/>
          <w:sz w:val="20"/>
        </w:rPr>
        <w:t>Click </w:t>
      </w:r>
      <w:r>
        <w:rPr>
          <w:color w:val="231F20"/>
          <w:spacing w:val="16"/>
          <w:position w:val="-1"/>
          <w:sz w:val="20"/>
        </w:rPr>
        <w:drawing>
          <wp:inline distT="0" distB="0" distL="0" distR="0">
            <wp:extent cx="101600" cy="101600"/>
            <wp:effectExtent l="0" t="0" r="0" b="0"/>
            <wp:docPr id="525" name="Image 525"/>
            <wp:cNvGraphicFramePr>
              <a:graphicFrameLocks/>
            </wp:cNvGraphicFramePr>
            <a:graphic>
              <a:graphicData uri="http://schemas.openxmlformats.org/drawingml/2006/picture">
                <pic:pic>
                  <pic:nvPicPr>
                    <pic:cNvPr id="525" name="Image 525"/>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Find </w:t>
      </w:r>
      <w:r>
        <w:rPr>
          <w:color w:val="231F20"/>
          <w:sz w:val="20"/>
        </w:rPr>
        <w:t>in the toolbar of the view you want to search. (If the tool is</w:t>
      </w:r>
      <w:r>
        <w:rPr>
          <w:color w:val="231F20"/>
          <w:spacing w:val="40"/>
          <w:sz w:val="20"/>
        </w:rPr>
        <w:t> </w:t>
      </w:r>
      <w:r>
        <w:rPr>
          <w:color w:val="231F20"/>
          <w:sz w:val="20"/>
        </w:rPr>
        <w:t>hidden, click</w:t>
      </w:r>
      <w:r>
        <w:rPr>
          <w:color w:val="231F20"/>
          <w:spacing w:val="40"/>
          <w:sz w:val="20"/>
        </w:rPr>
        <w:t> </w:t>
      </w:r>
      <w:r>
        <w:rPr>
          <w:color w:val="231F20"/>
          <w:spacing w:val="-14"/>
          <w:position w:val="2"/>
          <w:sz w:val="20"/>
        </w:rPr>
        <w:drawing>
          <wp:inline distT="0" distB="0" distL="0" distR="0">
            <wp:extent cx="57150" cy="63500"/>
            <wp:effectExtent l="0" t="0" r="0" b="0"/>
            <wp:docPr id="526" name="Image 526"/>
            <wp:cNvGraphicFramePr>
              <a:graphicFrameLocks/>
            </wp:cNvGraphicFramePr>
            <a:graphic>
              <a:graphicData uri="http://schemas.openxmlformats.org/drawingml/2006/picture">
                <pic:pic>
                  <pic:nvPicPr>
                    <pic:cNvPr id="526" name="Image 526"/>
                    <pic:cNvPicPr/>
                  </pic:nvPicPr>
                  <pic:blipFill>
                    <a:blip r:embed="rId63" cstate="print"/>
                    <a:stretch>
                      <a:fillRect/>
                    </a:stretch>
                  </pic:blipFill>
                  <pic:spPr>
                    <a:xfrm>
                      <a:off x="0" y="0"/>
                      <a:ext cx="57150" cy="63500"/>
                    </a:xfrm>
                    <a:prstGeom prst="rect">
                      <a:avLst/>
                    </a:prstGeom>
                  </pic:spPr>
                </pic:pic>
              </a:graphicData>
            </a:graphic>
          </wp:inline>
        </w:drawing>
      </w:r>
      <w:r>
        <w:rPr>
          <w:color w:val="231F20"/>
          <w:spacing w:val="-14"/>
          <w:position w:val="2"/>
          <w:sz w:val="20"/>
        </w:rPr>
      </w:r>
      <w:r>
        <w:rPr>
          <w:rFonts w:ascii="Times New Roman"/>
          <w:color w:val="231F20"/>
          <w:spacing w:val="80"/>
          <w:sz w:val="20"/>
        </w:rPr>
        <w:t> </w:t>
      </w:r>
      <w:r>
        <w:rPr>
          <w:color w:val="231F20"/>
          <w:sz w:val="20"/>
        </w:rPr>
        <w:t>Show toolbar in the view's title bar.)</w:t>
      </w:r>
    </w:p>
    <w:p>
      <w:pPr>
        <w:pStyle w:val="ListParagraph"/>
        <w:numPr>
          <w:ilvl w:val="0"/>
          <w:numId w:val="18"/>
        </w:numPr>
        <w:tabs>
          <w:tab w:pos="2547" w:val="left" w:leader="none"/>
        </w:tabs>
        <w:spacing w:line="240" w:lineRule="auto" w:before="36" w:after="0"/>
        <w:ind w:left="2547" w:right="0" w:hanging="315"/>
        <w:jc w:val="left"/>
        <w:rPr>
          <w:sz w:val="20"/>
        </w:rPr>
      </w:pPr>
      <w:r>
        <w:rPr>
          <w:color w:val="231F20"/>
          <w:sz w:val="20"/>
        </w:rPr>
        <w:t>In</w:t>
      </w:r>
      <w:r>
        <w:rPr>
          <w:color w:val="231F20"/>
          <w:spacing w:val="12"/>
          <w:sz w:val="20"/>
        </w:rPr>
        <w:t> </w:t>
      </w:r>
      <w:r>
        <w:rPr>
          <w:color w:val="231F20"/>
          <w:sz w:val="20"/>
        </w:rPr>
        <w:t>the</w:t>
      </w:r>
      <w:r>
        <w:rPr>
          <w:color w:val="231F20"/>
          <w:spacing w:val="12"/>
          <w:sz w:val="20"/>
        </w:rPr>
        <w:t> </w:t>
      </w:r>
      <w:r>
        <w:rPr>
          <w:color w:val="231F20"/>
          <w:sz w:val="20"/>
        </w:rPr>
        <w:t>Find</w:t>
      </w:r>
      <w:r>
        <w:rPr>
          <w:color w:val="231F20"/>
          <w:spacing w:val="13"/>
          <w:sz w:val="20"/>
        </w:rPr>
        <w:t> </w:t>
      </w:r>
      <w:r>
        <w:rPr>
          <w:color w:val="231F20"/>
          <w:sz w:val="20"/>
        </w:rPr>
        <w:t>window</w:t>
      </w:r>
      <w:r>
        <w:rPr>
          <w:color w:val="231F20"/>
          <w:spacing w:val="12"/>
          <w:sz w:val="20"/>
        </w:rPr>
        <w:t> </w:t>
      </w:r>
      <w:r>
        <w:rPr>
          <w:color w:val="231F20"/>
          <w:sz w:val="20"/>
        </w:rPr>
        <w:t>that</w:t>
      </w:r>
      <w:r>
        <w:rPr>
          <w:color w:val="231F20"/>
          <w:spacing w:val="12"/>
          <w:sz w:val="20"/>
        </w:rPr>
        <w:t> </w:t>
      </w:r>
      <w:r>
        <w:rPr>
          <w:color w:val="231F20"/>
          <w:sz w:val="20"/>
        </w:rPr>
        <w:t>opens,</w:t>
      </w:r>
      <w:r>
        <w:rPr>
          <w:color w:val="231F20"/>
          <w:spacing w:val="13"/>
          <w:sz w:val="20"/>
        </w:rPr>
        <w:t> </w:t>
      </w:r>
      <w:r>
        <w:rPr>
          <w:color w:val="231F20"/>
          <w:sz w:val="20"/>
        </w:rPr>
        <w:t>type</w:t>
      </w:r>
      <w:r>
        <w:rPr>
          <w:color w:val="231F20"/>
          <w:spacing w:val="12"/>
          <w:sz w:val="20"/>
        </w:rPr>
        <w:t> </w:t>
      </w:r>
      <w:r>
        <w:rPr>
          <w:color w:val="231F20"/>
          <w:sz w:val="20"/>
        </w:rPr>
        <w:t>the</w:t>
      </w:r>
      <w:r>
        <w:rPr>
          <w:color w:val="231F20"/>
          <w:spacing w:val="12"/>
          <w:sz w:val="20"/>
        </w:rPr>
        <w:t> </w:t>
      </w:r>
      <w:r>
        <w:rPr>
          <w:color w:val="231F20"/>
          <w:sz w:val="20"/>
        </w:rPr>
        <w:t>beginning</w:t>
      </w:r>
      <w:r>
        <w:rPr>
          <w:color w:val="231F20"/>
          <w:spacing w:val="13"/>
          <w:sz w:val="20"/>
        </w:rPr>
        <w:t> </w:t>
      </w:r>
      <w:r>
        <w:rPr>
          <w:color w:val="231F20"/>
          <w:sz w:val="20"/>
        </w:rPr>
        <w:t>or</w:t>
      </w:r>
      <w:r>
        <w:rPr>
          <w:color w:val="231F20"/>
          <w:spacing w:val="12"/>
          <w:sz w:val="20"/>
        </w:rPr>
        <w:t> </w:t>
      </w:r>
      <w:r>
        <w:rPr>
          <w:color w:val="231F20"/>
          <w:sz w:val="20"/>
        </w:rPr>
        <w:t>all</w:t>
      </w:r>
      <w:r>
        <w:rPr>
          <w:color w:val="231F20"/>
          <w:spacing w:val="12"/>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text</w:t>
      </w:r>
      <w:r>
        <w:rPr>
          <w:color w:val="231F20"/>
          <w:spacing w:val="13"/>
          <w:sz w:val="20"/>
        </w:rPr>
        <w:t> </w:t>
      </w:r>
      <w:r>
        <w:rPr>
          <w:color w:val="231F20"/>
          <w:sz w:val="20"/>
        </w:rPr>
        <w:t>to</w:t>
      </w:r>
      <w:r>
        <w:rPr>
          <w:color w:val="231F20"/>
          <w:spacing w:val="12"/>
          <w:sz w:val="20"/>
        </w:rPr>
        <w:t> </w:t>
      </w:r>
      <w:r>
        <w:rPr>
          <w:color w:val="231F20"/>
          <w:spacing w:val="-2"/>
          <w:sz w:val="20"/>
        </w:rPr>
        <w:t>find.</w:t>
      </w:r>
    </w:p>
    <w:p>
      <w:pPr>
        <w:pStyle w:val="ListParagraph"/>
        <w:numPr>
          <w:ilvl w:val="0"/>
          <w:numId w:val="18"/>
        </w:numPr>
        <w:tabs>
          <w:tab w:pos="2547" w:val="left" w:leader="none"/>
        </w:tabs>
        <w:spacing w:line="240" w:lineRule="auto" w:before="29" w:after="0"/>
        <w:ind w:left="2547" w:right="0" w:hanging="315"/>
        <w:jc w:val="left"/>
        <w:rPr>
          <w:sz w:val="20"/>
        </w:rPr>
      </w:pPr>
      <w:r>
        <w:rPr>
          <w:color w:val="231F20"/>
          <w:sz w:val="20"/>
        </w:rPr>
        <w:t>Select</w:t>
      </w:r>
      <w:r>
        <w:rPr>
          <w:color w:val="231F20"/>
          <w:spacing w:val="11"/>
          <w:sz w:val="20"/>
        </w:rPr>
        <w:t> </w:t>
      </w:r>
      <w:r>
        <w:rPr>
          <w:color w:val="231F20"/>
          <w:sz w:val="20"/>
        </w:rPr>
        <w:t>or</w:t>
      </w:r>
      <w:r>
        <w:rPr>
          <w:color w:val="231F20"/>
          <w:spacing w:val="12"/>
          <w:sz w:val="20"/>
        </w:rPr>
        <w:t> </w:t>
      </w:r>
      <w:r>
        <w:rPr>
          <w:color w:val="231F20"/>
          <w:sz w:val="20"/>
        </w:rPr>
        <w:t>clear</w:t>
      </w:r>
      <w:r>
        <w:rPr>
          <w:color w:val="231F20"/>
          <w:spacing w:val="12"/>
          <w:sz w:val="20"/>
        </w:rPr>
        <w:t> </w:t>
      </w:r>
      <w:r>
        <w:rPr>
          <w:color w:val="231F20"/>
          <w:sz w:val="20"/>
        </w:rPr>
        <w:t>any</w:t>
      </w:r>
      <w:r>
        <w:rPr>
          <w:color w:val="231F20"/>
          <w:spacing w:val="12"/>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check</w:t>
      </w:r>
      <w:r>
        <w:rPr>
          <w:color w:val="231F20"/>
          <w:spacing w:val="12"/>
          <w:sz w:val="20"/>
        </w:rPr>
        <w:t> </w:t>
      </w:r>
      <w:r>
        <w:rPr>
          <w:color w:val="231F20"/>
          <w:sz w:val="20"/>
        </w:rPr>
        <w:t>box</w:t>
      </w:r>
      <w:r>
        <w:rPr>
          <w:color w:val="231F20"/>
          <w:spacing w:val="11"/>
          <w:sz w:val="20"/>
        </w:rPr>
        <w:t> </w:t>
      </w:r>
      <w:r>
        <w:rPr>
          <w:color w:val="231F20"/>
          <w:sz w:val="20"/>
        </w:rPr>
        <w:t>options,</w:t>
      </w:r>
      <w:r>
        <w:rPr>
          <w:color w:val="231F20"/>
          <w:spacing w:val="12"/>
          <w:sz w:val="20"/>
        </w:rPr>
        <w:t> </w:t>
      </w:r>
      <w:r>
        <w:rPr>
          <w:color w:val="231F20"/>
          <w:sz w:val="20"/>
        </w:rPr>
        <w:t>then</w:t>
      </w:r>
      <w:r>
        <w:rPr>
          <w:color w:val="231F20"/>
          <w:spacing w:val="12"/>
          <w:sz w:val="20"/>
        </w:rPr>
        <w:t> </w:t>
      </w:r>
      <w:r>
        <w:rPr>
          <w:color w:val="231F20"/>
          <w:sz w:val="20"/>
        </w:rPr>
        <w:t>click</w:t>
      </w:r>
      <w:r>
        <w:rPr>
          <w:color w:val="231F20"/>
          <w:spacing w:val="12"/>
          <w:sz w:val="20"/>
        </w:rPr>
        <w:t> </w:t>
      </w:r>
      <w:r>
        <w:rPr>
          <w:rFonts w:ascii="Book Antiqua"/>
          <w:b/>
          <w:color w:val="231F20"/>
          <w:spacing w:val="-2"/>
          <w:sz w:val="20"/>
        </w:rPr>
        <w:t>Find</w:t>
      </w:r>
      <w:r>
        <w:rPr>
          <w:color w:val="231F20"/>
          <w:spacing w:val="-2"/>
          <w:sz w:val="20"/>
        </w:rPr>
        <w:t>.</w:t>
      </w:r>
    </w:p>
    <w:p>
      <w:pPr>
        <w:pStyle w:val="BodyText"/>
        <w:spacing w:line="252" w:lineRule="exact" w:before="35"/>
        <w:ind w:left="2548"/>
      </w:pPr>
      <w:r>
        <w:rPr>
          <w:rFonts w:ascii="Futura MdCn BT"/>
          <w:color w:val="231F20"/>
        </w:rPr>
        <w:t>v</w:t>
      </w:r>
      <w:r>
        <w:rPr>
          <w:rFonts w:ascii="Futura MdCn BT"/>
          <w:color w:val="231F20"/>
          <w:spacing w:val="31"/>
        </w:rPr>
        <w:t>  </w:t>
      </w:r>
      <w:r>
        <w:rPr>
          <w:rFonts w:ascii="Futura MdCn BT"/>
          <w:color w:val="231F20"/>
          <w:spacing w:val="-5"/>
        </w:rPr>
        <w:drawing>
          <wp:inline distT="0" distB="0" distL="0" distR="0">
            <wp:extent cx="82550" cy="82550"/>
            <wp:effectExtent l="0" t="0" r="0" b="0"/>
            <wp:docPr id="527" name="Image 527"/>
            <wp:cNvGraphicFramePr>
              <a:graphicFrameLocks/>
            </wp:cNvGraphicFramePr>
            <a:graphic>
              <a:graphicData uri="http://schemas.openxmlformats.org/drawingml/2006/picture">
                <pic:pic>
                  <pic:nvPicPr>
                    <pic:cNvPr id="527" name="Image 527"/>
                    <pic:cNvPicPr/>
                  </pic:nvPicPr>
                  <pic:blipFill>
                    <a:blip r:embed="rId87"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12"/>
        </w:rPr>
        <w:t> </w:t>
      </w:r>
      <w:r>
        <w:rPr>
          <w:rFonts w:ascii="Book Antiqua"/>
          <w:b/>
          <w:color w:val="231F20"/>
        </w:rPr>
        <w:t>Case</w:t>
      </w:r>
      <w:r>
        <w:rPr>
          <w:rFonts w:ascii="Book Antiqua"/>
          <w:b/>
          <w:color w:val="231F20"/>
          <w:spacing w:val="12"/>
        </w:rPr>
        <w:t> </w:t>
      </w:r>
      <w:r>
        <w:rPr>
          <w:rFonts w:ascii="Book Antiqua"/>
          <w:b/>
          <w:color w:val="231F20"/>
        </w:rPr>
        <w:t>Sensitive</w:t>
      </w:r>
      <w:r>
        <w:rPr>
          <w:rFonts w:ascii="Book Antiqua"/>
          <w:b/>
          <w:color w:val="231F20"/>
          <w:spacing w:val="13"/>
        </w:rPr>
        <w:t> </w:t>
      </w:r>
      <w:r>
        <w:rPr>
          <w:color w:val="231F20"/>
        </w:rPr>
        <w:t>to</w:t>
      </w:r>
      <w:r>
        <w:rPr>
          <w:color w:val="231F20"/>
          <w:spacing w:val="12"/>
        </w:rPr>
        <w:t> </w:t>
      </w:r>
      <w:r>
        <w:rPr>
          <w:color w:val="231F20"/>
        </w:rPr>
        <w:t>find</w:t>
      </w:r>
      <w:r>
        <w:rPr>
          <w:color w:val="231F20"/>
          <w:spacing w:val="12"/>
        </w:rPr>
        <w:t> </w:t>
      </w:r>
      <w:r>
        <w:rPr>
          <w:color w:val="231F20"/>
        </w:rPr>
        <w:t>only</w:t>
      </w:r>
      <w:r>
        <w:rPr>
          <w:color w:val="231F20"/>
          <w:spacing w:val="13"/>
        </w:rPr>
        <w:t> </w:t>
      </w:r>
      <w:r>
        <w:rPr>
          <w:color w:val="231F20"/>
        </w:rPr>
        <w:t>spellings</w:t>
      </w:r>
      <w:r>
        <w:rPr>
          <w:color w:val="231F20"/>
          <w:spacing w:val="12"/>
        </w:rPr>
        <w:t> </w:t>
      </w:r>
      <w:r>
        <w:rPr>
          <w:color w:val="231F20"/>
        </w:rPr>
        <w:t>that</w:t>
      </w:r>
      <w:r>
        <w:rPr>
          <w:color w:val="231F20"/>
          <w:spacing w:val="13"/>
        </w:rPr>
        <w:t> </w:t>
      </w:r>
      <w:r>
        <w:rPr>
          <w:color w:val="231F20"/>
        </w:rPr>
        <w:t>match</w:t>
      </w:r>
      <w:r>
        <w:rPr>
          <w:color w:val="231F20"/>
          <w:spacing w:val="12"/>
        </w:rPr>
        <w:t> </w:t>
      </w:r>
      <w:r>
        <w:rPr>
          <w:color w:val="231F20"/>
        </w:rPr>
        <w:t>the</w:t>
      </w:r>
      <w:r>
        <w:rPr>
          <w:color w:val="231F20"/>
          <w:spacing w:val="13"/>
        </w:rPr>
        <w:t> </w:t>
      </w:r>
      <w:r>
        <w:rPr>
          <w:color w:val="231F20"/>
        </w:rPr>
        <w:t>letter</w:t>
      </w:r>
      <w:r>
        <w:rPr>
          <w:color w:val="231F20"/>
          <w:spacing w:val="12"/>
        </w:rPr>
        <w:t> </w:t>
      </w:r>
      <w:r>
        <w:rPr>
          <w:color w:val="231F20"/>
        </w:rPr>
        <w:t>casing</w:t>
      </w:r>
      <w:r>
        <w:rPr>
          <w:color w:val="231F20"/>
          <w:spacing w:val="13"/>
        </w:rPr>
        <w:t> </w:t>
      </w:r>
      <w:r>
        <w:rPr>
          <w:color w:val="231F20"/>
        </w:rPr>
        <w:t>as</w:t>
      </w:r>
      <w:r>
        <w:rPr>
          <w:color w:val="231F20"/>
          <w:spacing w:val="12"/>
        </w:rPr>
        <w:t> </w:t>
      </w:r>
      <w:r>
        <w:rPr>
          <w:color w:val="231F20"/>
          <w:spacing w:val="-2"/>
        </w:rPr>
        <w:t>typed.</w:t>
      </w:r>
    </w:p>
    <w:p>
      <w:pPr>
        <w:pStyle w:val="BodyText"/>
        <w:spacing w:line="213" w:lineRule="auto" w:before="5"/>
        <w:ind w:left="2764" w:right="636"/>
      </w:pPr>
      <w:r>
        <w:rPr>
          <w:color w:val="231F20"/>
        </w:rPr>
        <w:t>When the check box is disabled, all variations of the letter casing can </w:t>
      </w:r>
      <w:r>
        <w:rPr>
          <w:color w:val="231F20"/>
        </w:rPr>
        <w:t>be </w:t>
      </w:r>
      <w:r>
        <w:rPr>
          <w:color w:val="231F20"/>
          <w:spacing w:val="-2"/>
        </w:rPr>
        <w:t>found.</w:t>
      </w:r>
    </w:p>
    <w:p>
      <w:pPr>
        <w:pStyle w:val="BodyText"/>
        <w:spacing w:line="208" w:lineRule="auto" w:before="68"/>
        <w:ind w:left="2764" w:right="763" w:hanging="216"/>
      </w:pPr>
      <w:r>
        <w:rPr>
          <w:rFonts w:ascii="Futura MdCn BT"/>
          <w:color w:val="231F20"/>
        </w:rPr>
        <w:t>v</w:t>
      </w:r>
      <w:r>
        <w:rPr>
          <w:rFonts w:ascii="Futura MdCn BT"/>
          <w:color w:val="231F20"/>
          <w:spacing w:val="80"/>
        </w:rPr>
        <w:t> </w:t>
      </w:r>
      <w:r>
        <w:rPr>
          <w:rFonts w:ascii="Futura MdCn BT"/>
          <w:color w:val="231F20"/>
          <w:spacing w:val="-5"/>
        </w:rPr>
        <w:drawing>
          <wp:inline distT="0" distB="0" distL="0" distR="0">
            <wp:extent cx="82550" cy="82550"/>
            <wp:effectExtent l="0" t="0" r="0" b="0"/>
            <wp:docPr id="528" name="Image 528"/>
            <wp:cNvGraphicFramePr>
              <a:graphicFrameLocks/>
            </wp:cNvGraphicFramePr>
            <a:graphic>
              <a:graphicData uri="http://schemas.openxmlformats.org/drawingml/2006/picture">
                <pic:pic>
                  <pic:nvPicPr>
                    <pic:cNvPr id="528" name="Image 528"/>
                    <pic:cNvPicPr/>
                  </pic:nvPicPr>
                  <pic:blipFill>
                    <a:blip r:embed="rId120"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5"/>
        </w:rPr>
        <w:t> </w:t>
      </w:r>
      <w:r>
        <w:rPr>
          <w:rFonts w:ascii="Book Antiqua"/>
          <w:b/>
          <w:color w:val="231F20"/>
        </w:rPr>
        <w:t>Backwards </w:t>
      </w:r>
      <w:r>
        <w:rPr>
          <w:color w:val="231F20"/>
        </w:rPr>
        <w:t>to search from the cursor point backwards. When the </w:t>
      </w:r>
      <w:r>
        <w:rPr>
          <w:color w:val="231F20"/>
        </w:rPr>
        <w:t>check</w:t>
      </w:r>
      <w:r>
        <w:rPr>
          <w:color w:val="231F20"/>
        </w:rPr>
        <w:t> box is disabled, the default, the search will be from this point forward.</w:t>
      </w:r>
    </w:p>
    <w:p>
      <w:pPr>
        <w:pStyle w:val="BodyText"/>
        <w:spacing w:line="211" w:lineRule="auto" w:before="67"/>
        <w:ind w:left="2764" w:right="488" w:hanging="216"/>
      </w:pPr>
      <w:r>
        <w:rPr>
          <w:rFonts w:ascii="Futura MdCn BT"/>
          <w:color w:val="231F20"/>
        </w:rPr>
        <w:t>v</w:t>
      </w:r>
      <w:r>
        <w:rPr>
          <w:rFonts w:ascii="Futura MdCn BT"/>
          <w:color w:val="231F20"/>
          <w:spacing w:val="80"/>
          <w:w w:val="150"/>
        </w:rPr>
        <w:t> </w:t>
      </w:r>
      <w:r>
        <w:rPr>
          <w:rFonts w:ascii="Futura MdCn BT"/>
          <w:color w:val="231F20"/>
          <w:spacing w:val="-5"/>
        </w:rPr>
        <w:drawing>
          <wp:inline distT="0" distB="0" distL="0" distR="0">
            <wp:extent cx="82550" cy="82550"/>
            <wp:effectExtent l="0" t="0" r="0" b="0"/>
            <wp:docPr id="529" name="Image 529"/>
            <wp:cNvGraphicFramePr>
              <a:graphicFrameLocks/>
            </wp:cNvGraphicFramePr>
            <a:graphic>
              <a:graphicData uri="http://schemas.openxmlformats.org/drawingml/2006/picture">
                <pic:pic>
                  <pic:nvPicPr>
                    <pic:cNvPr id="529" name="Image 529"/>
                    <pic:cNvPicPr/>
                  </pic:nvPicPr>
                  <pic:blipFill>
                    <a:blip r:embed="rId87"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22"/>
        </w:rPr>
        <w:t> </w:t>
      </w:r>
      <w:r>
        <w:rPr>
          <w:rFonts w:ascii="Book Antiqua"/>
          <w:b/>
          <w:color w:val="231F20"/>
        </w:rPr>
        <w:t>Wrap</w:t>
      </w:r>
      <w:r>
        <w:rPr>
          <w:rFonts w:ascii="Book Antiqua"/>
          <w:b/>
          <w:color w:val="231F20"/>
          <w:spacing w:val="25"/>
        </w:rPr>
        <w:t> </w:t>
      </w:r>
      <w:r>
        <w:rPr>
          <w:rFonts w:ascii="Book Antiqua"/>
          <w:b/>
          <w:color w:val="231F20"/>
        </w:rPr>
        <w:t>Search</w:t>
      </w:r>
      <w:r>
        <w:rPr>
          <w:color w:val="231F20"/>
        </w:rPr>
        <w:t>,</w:t>
      </w:r>
      <w:r>
        <w:rPr>
          <w:color w:val="231F20"/>
          <w:spacing w:val="25"/>
        </w:rPr>
        <w:t> </w:t>
      </w:r>
      <w:r>
        <w:rPr>
          <w:color w:val="231F20"/>
        </w:rPr>
        <w:t>instead</w:t>
      </w:r>
      <w:r>
        <w:rPr>
          <w:color w:val="231F20"/>
          <w:spacing w:val="25"/>
        </w:rPr>
        <w:t> </w:t>
      </w:r>
      <w:r>
        <w:rPr>
          <w:color w:val="231F20"/>
        </w:rPr>
        <w:t>of</w:t>
      </w:r>
      <w:r>
        <w:rPr>
          <w:color w:val="231F20"/>
          <w:spacing w:val="25"/>
        </w:rPr>
        <w:t> </w:t>
      </w:r>
      <w:r>
        <w:rPr>
          <w:color w:val="231F20"/>
        </w:rPr>
        <w:t>stopping</w:t>
      </w:r>
      <w:r>
        <w:rPr>
          <w:color w:val="231F20"/>
          <w:spacing w:val="25"/>
        </w:rPr>
        <w:t> </w:t>
      </w:r>
      <w:r>
        <w:rPr>
          <w:color w:val="231F20"/>
        </w:rPr>
        <w:t>the</w:t>
      </w:r>
      <w:r>
        <w:rPr>
          <w:color w:val="231F20"/>
          <w:spacing w:val="25"/>
        </w:rPr>
        <w:t> </w:t>
      </w:r>
      <w:r>
        <w:rPr>
          <w:color w:val="231F20"/>
        </w:rPr>
        <w:t>search</w:t>
      </w:r>
      <w:r>
        <w:rPr>
          <w:color w:val="231F20"/>
          <w:spacing w:val="25"/>
        </w:rPr>
        <w:t> </w:t>
      </w:r>
      <w:r>
        <w:rPr>
          <w:color w:val="231F20"/>
        </w:rPr>
        <w:t>when</w:t>
      </w:r>
      <w:r>
        <w:rPr>
          <w:color w:val="231F20"/>
          <w:spacing w:val="25"/>
        </w:rPr>
        <w:t> </w:t>
      </w:r>
      <w:r>
        <w:rPr>
          <w:color w:val="231F20"/>
        </w:rPr>
        <w:t>the</w:t>
      </w:r>
      <w:r>
        <w:rPr>
          <w:color w:val="231F20"/>
          <w:spacing w:val="25"/>
        </w:rPr>
        <w:t> </w:t>
      </w:r>
      <w:r>
        <w:rPr>
          <w:color w:val="231F20"/>
        </w:rPr>
        <w:t>end</w:t>
      </w:r>
      <w:r>
        <w:rPr>
          <w:color w:val="231F20"/>
          <w:spacing w:val="25"/>
        </w:rPr>
        <w:t> </w:t>
      </w:r>
      <w:r>
        <w:rPr>
          <w:color w:val="231F20"/>
        </w:rPr>
        <w:t>of</w:t>
      </w:r>
      <w:r>
        <w:rPr>
          <w:color w:val="231F20"/>
          <w:spacing w:val="25"/>
        </w:rPr>
        <w:t> </w:t>
      </w:r>
      <w:r>
        <w:rPr>
          <w:color w:val="231F20"/>
        </w:rPr>
        <w:t>the</w:t>
      </w:r>
      <w:r>
        <w:rPr>
          <w:color w:val="231F20"/>
        </w:rPr>
        <w:t> document is reached, continues to search from the beginning and stops </w:t>
      </w:r>
      <w:r>
        <w:rPr>
          <w:color w:val="231F20"/>
        </w:rPr>
        <w:t>when</w:t>
      </w:r>
      <w:r>
        <w:rPr>
          <w:color w:val="231F20"/>
          <w:spacing w:val="40"/>
        </w:rPr>
        <w:t> </w:t>
      </w:r>
      <w:r>
        <w:rPr>
          <w:color w:val="231F20"/>
        </w:rPr>
        <w:t>it reaches the point where the search began. Clear the check box if you want</w:t>
      </w:r>
      <w:r>
        <w:rPr>
          <w:color w:val="231F20"/>
          <w:spacing w:val="40"/>
        </w:rPr>
        <w:t> </w:t>
      </w:r>
      <w:r>
        <w:rPr>
          <w:color w:val="231F20"/>
        </w:rPr>
        <w:t>the search to stop at the end of the document (or the beginning of the document if the search is backwards).</w:t>
      </w:r>
    </w:p>
    <w:p>
      <w:pPr>
        <w:pStyle w:val="ListParagraph"/>
        <w:numPr>
          <w:ilvl w:val="0"/>
          <w:numId w:val="18"/>
        </w:numPr>
        <w:tabs>
          <w:tab w:pos="2547" w:val="left" w:leader="none"/>
        </w:tabs>
        <w:spacing w:line="240" w:lineRule="auto" w:before="40" w:after="0"/>
        <w:ind w:left="2547" w:right="0" w:hanging="315"/>
        <w:jc w:val="left"/>
        <w:rPr>
          <w:sz w:val="20"/>
        </w:rPr>
      </w:pPr>
      <w:r>
        <w:rPr>
          <w:color w:val="231F20"/>
          <w:sz w:val="20"/>
        </w:rPr>
        <w:t>Click</w:t>
      </w:r>
      <w:r>
        <w:rPr>
          <w:color w:val="231F20"/>
          <w:spacing w:val="11"/>
          <w:sz w:val="20"/>
        </w:rPr>
        <w:t> </w:t>
      </w:r>
      <w:r>
        <w:rPr>
          <w:rFonts w:ascii="Book Antiqua"/>
          <w:b/>
          <w:color w:val="231F20"/>
          <w:sz w:val="20"/>
        </w:rPr>
        <w:t>Find</w:t>
      </w:r>
      <w:r>
        <w:rPr>
          <w:rFonts w:ascii="Book Antiqua"/>
          <w:b/>
          <w:color w:val="231F20"/>
          <w:spacing w:val="12"/>
          <w:sz w:val="20"/>
        </w:rPr>
        <w:t> </w:t>
      </w:r>
      <w:r>
        <w:rPr>
          <w:rFonts w:ascii="Book Antiqua"/>
          <w:b/>
          <w:color w:val="231F20"/>
          <w:sz w:val="20"/>
        </w:rPr>
        <w:t>Again</w:t>
      </w:r>
      <w:r>
        <w:rPr>
          <w:rFonts w:ascii="Book Antiqua"/>
          <w:b/>
          <w:color w:val="231F20"/>
          <w:spacing w:val="11"/>
          <w:sz w:val="20"/>
        </w:rPr>
        <w:t> </w:t>
      </w:r>
      <w:r>
        <w:rPr>
          <w:color w:val="231F20"/>
          <w:sz w:val="20"/>
        </w:rPr>
        <w:t>to</w:t>
      </w:r>
      <w:r>
        <w:rPr>
          <w:color w:val="231F20"/>
          <w:spacing w:val="12"/>
          <w:sz w:val="20"/>
        </w:rPr>
        <w:t> </w:t>
      </w:r>
      <w:r>
        <w:rPr>
          <w:color w:val="231F20"/>
          <w:sz w:val="20"/>
        </w:rPr>
        <w:t>search</w:t>
      </w:r>
      <w:r>
        <w:rPr>
          <w:color w:val="231F20"/>
          <w:spacing w:val="12"/>
          <w:sz w:val="20"/>
        </w:rPr>
        <w:t> </w:t>
      </w:r>
      <w:r>
        <w:rPr>
          <w:color w:val="231F20"/>
          <w:sz w:val="20"/>
        </w:rPr>
        <w:t>for</w:t>
      </w:r>
      <w:r>
        <w:rPr>
          <w:color w:val="231F20"/>
          <w:spacing w:val="11"/>
          <w:sz w:val="20"/>
        </w:rPr>
        <w:t> </w:t>
      </w:r>
      <w:r>
        <w:rPr>
          <w:color w:val="231F20"/>
          <w:sz w:val="20"/>
        </w:rPr>
        <w:t>the</w:t>
      </w:r>
      <w:r>
        <w:rPr>
          <w:color w:val="231F20"/>
          <w:spacing w:val="12"/>
          <w:sz w:val="20"/>
        </w:rPr>
        <w:t> </w:t>
      </w:r>
      <w:r>
        <w:rPr>
          <w:color w:val="231F20"/>
          <w:sz w:val="20"/>
        </w:rPr>
        <w:t>next</w:t>
      </w:r>
      <w:r>
        <w:rPr>
          <w:color w:val="231F20"/>
          <w:spacing w:val="12"/>
          <w:sz w:val="20"/>
        </w:rPr>
        <w:t> </w:t>
      </w:r>
      <w:r>
        <w:rPr>
          <w:color w:val="231F20"/>
          <w:spacing w:val="-2"/>
          <w:sz w:val="20"/>
        </w:rPr>
        <w:t>instance.</w:t>
      </w:r>
    </w:p>
    <w:p>
      <w:pPr>
        <w:pStyle w:val="Heading4"/>
        <w:spacing w:before="19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636"/>
      </w:pPr>
      <w:r>
        <w:rPr>
          <w:color w:val="231F20"/>
        </w:rPr>
        <w:t>You can click </w:t>
      </w:r>
      <w:r>
        <w:rPr>
          <w:rFonts w:ascii="Book Antiqua"/>
          <w:b/>
          <w:color w:val="231F20"/>
        </w:rPr>
        <w:t>Close </w:t>
      </w:r>
      <w:r>
        <w:rPr>
          <w:color w:val="231F20"/>
        </w:rPr>
        <w:t>when you are done or leave the Find window open for this view while you continue working with the workspace.</w:t>
      </w:r>
    </w:p>
    <w:p>
      <w:pPr>
        <w:pStyle w:val="BodyText"/>
        <w:spacing w:before="6"/>
        <w:rPr>
          <w:sz w:val="16"/>
        </w:rPr>
      </w:pPr>
      <w:r>
        <w:rPr/>
        <mc:AlternateContent>
          <mc:Choice Requires="wps">
            <w:drawing>
              <wp:anchor distT="0" distB="0" distL="0" distR="0" allowOverlap="1" layoutInCell="1" locked="0" behindDoc="1" simplePos="0" relativeHeight="487648768">
                <wp:simplePos x="0" y="0"/>
                <wp:positionH relativeFrom="page">
                  <wp:posOffset>760323</wp:posOffset>
                </wp:positionH>
                <wp:positionV relativeFrom="paragraph">
                  <wp:posOffset>156163</wp:posOffset>
                </wp:positionV>
                <wp:extent cx="6082665" cy="1270"/>
                <wp:effectExtent l="0" t="0" r="0" b="0"/>
                <wp:wrapTopAndBottom/>
                <wp:docPr id="530" name="Graphic 530"/>
                <wp:cNvGraphicFramePr>
                  <a:graphicFrameLocks/>
                </wp:cNvGraphicFramePr>
                <a:graphic>
                  <a:graphicData uri="http://schemas.microsoft.com/office/word/2010/wordprocessingShape">
                    <wps:wsp>
                      <wps:cNvPr id="530" name="Graphic 530"/>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96317pt;width:478.95pt;height:.1pt;mso-position-horizontal-relative:page;mso-position-vertical-relative:paragraph;z-index:-15667712;mso-wrap-distance-left:0;mso-wrap-distance-right:0" id="docshape84"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Finding table data" w:id="85"/>
      <w:bookmarkEnd w:id="85"/>
      <w:r>
        <w:rPr>
          <w:b w:val="0"/>
        </w:rPr>
      </w:r>
      <w:r>
        <w:rPr>
          <w:color w:val="231F20"/>
        </w:rPr>
        <w:t>Finding</w:t>
      </w:r>
      <w:r>
        <w:rPr>
          <w:color w:val="231F20"/>
          <w:spacing w:val="6"/>
        </w:rPr>
        <w:t> </w:t>
      </w:r>
      <w:r>
        <w:rPr>
          <w:color w:val="231F20"/>
        </w:rPr>
        <w:t>table</w:t>
      </w:r>
      <w:r>
        <w:rPr>
          <w:color w:val="231F20"/>
          <w:spacing w:val="7"/>
        </w:rPr>
        <w:t> </w:t>
      </w:r>
      <w:r>
        <w:rPr>
          <w:color w:val="231F20"/>
          <w:spacing w:val="-4"/>
        </w:rPr>
        <w:t>data</w:t>
      </w:r>
    </w:p>
    <w:p>
      <w:pPr>
        <w:pStyle w:val="BodyText"/>
        <w:spacing w:line="213" w:lineRule="auto" w:before="138"/>
        <w:ind w:left="2232" w:right="545"/>
      </w:pPr>
      <w:r>
        <w:rPr>
          <w:color w:val="231F20"/>
        </w:rPr>
        <w:t>Use the find function to locate a text or numeric value in the selected table view, message log, or event console view.</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10"/>
        </w:rPr>
        <w:t> </w:t>
      </w:r>
      <w:r>
        <w:rPr>
          <w:color w:val="231F20"/>
        </w:rPr>
        <w:t>these</w:t>
      </w:r>
      <w:r>
        <w:rPr>
          <w:color w:val="231F20"/>
          <w:spacing w:val="10"/>
        </w:rPr>
        <w:t> </w:t>
      </w:r>
      <w:r>
        <w:rPr>
          <w:color w:val="231F20"/>
        </w:rPr>
        <w:t>steps</w:t>
      </w:r>
      <w:r>
        <w:rPr>
          <w:color w:val="231F20"/>
          <w:spacing w:val="10"/>
        </w:rPr>
        <w:t> </w:t>
      </w:r>
      <w:r>
        <w:rPr>
          <w:color w:val="231F20"/>
        </w:rPr>
        <w:t>to</w:t>
      </w:r>
      <w:r>
        <w:rPr>
          <w:color w:val="231F20"/>
          <w:spacing w:val="10"/>
        </w:rPr>
        <w:t> </w:t>
      </w:r>
      <w:r>
        <w:rPr>
          <w:color w:val="231F20"/>
        </w:rPr>
        <w:t>use</w:t>
      </w:r>
      <w:r>
        <w:rPr>
          <w:color w:val="231F20"/>
          <w:spacing w:val="11"/>
        </w:rPr>
        <w:t> </w:t>
      </w:r>
      <w:r>
        <w:rPr>
          <w:color w:val="231F20"/>
        </w:rPr>
        <w:t>the</w:t>
      </w:r>
      <w:r>
        <w:rPr>
          <w:color w:val="231F20"/>
          <w:spacing w:val="10"/>
        </w:rPr>
        <w:t> </w:t>
      </w:r>
      <w:r>
        <w:rPr>
          <w:color w:val="231F20"/>
        </w:rPr>
        <w:t>Find</w:t>
      </w:r>
      <w:r>
        <w:rPr>
          <w:color w:val="231F20"/>
          <w:spacing w:val="10"/>
        </w:rPr>
        <w:t> </w:t>
      </w:r>
      <w:r>
        <w:rPr>
          <w:color w:val="231F20"/>
        </w:rPr>
        <w:t>tool</w:t>
      </w:r>
      <w:r>
        <w:rPr>
          <w:color w:val="231F20"/>
          <w:spacing w:val="10"/>
        </w:rPr>
        <w:t> </w:t>
      </w:r>
      <w:r>
        <w:rPr>
          <w:color w:val="231F20"/>
        </w:rPr>
        <w:t>for</w:t>
      </w:r>
      <w:r>
        <w:rPr>
          <w:color w:val="231F20"/>
          <w:spacing w:val="10"/>
        </w:rPr>
        <w:t> </w:t>
      </w:r>
      <w:r>
        <w:rPr>
          <w:color w:val="231F20"/>
        </w:rPr>
        <w:t>quickly</w:t>
      </w:r>
      <w:r>
        <w:rPr>
          <w:color w:val="231F20"/>
          <w:spacing w:val="11"/>
        </w:rPr>
        <w:t> </w:t>
      </w:r>
      <w:r>
        <w:rPr>
          <w:color w:val="231F20"/>
        </w:rPr>
        <w:t>locating</w:t>
      </w:r>
      <w:r>
        <w:rPr>
          <w:color w:val="231F20"/>
          <w:spacing w:val="10"/>
        </w:rPr>
        <w:t> </w:t>
      </w:r>
      <w:r>
        <w:rPr>
          <w:color w:val="231F20"/>
          <w:spacing w:val="-2"/>
        </w:rPr>
        <w:t>values.</w:t>
      </w:r>
    </w:p>
    <w:p>
      <w:pPr>
        <w:pStyle w:val="Heading4"/>
        <w:spacing w:before="194"/>
      </w:pPr>
      <w:r>
        <w:rPr>
          <w:color w:val="231F20"/>
          <w:spacing w:val="-2"/>
        </w:rPr>
        <w:t>Procedure</w:t>
      </w:r>
    </w:p>
    <w:p>
      <w:pPr>
        <w:pStyle w:val="ListParagraph"/>
        <w:numPr>
          <w:ilvl w:val="0"/>
          <w:numId w:val="19"/>
        </w:numPr>
        <w:tabs>
          <w:tab w:pos="2547" w:val="left" w:leader="none"/>
        </w:tabs>
        <w:spacing w:line="240" w:lineRule="auto" w:before="39" w:after="0"/>
        <w:ind w:left="2547" w:right="0" w:hanging="315"/>
        <w:jc w:val="left"/>
        <w:rPr>
          <w:sz w:val="20"/>
        </w:rPr>
      </w:pP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workspace</w:t>
      </w:r>
      <w:r>
        <w:rPr>
          <w:color w:val="231F20"/>
          <w:spacing w:val="11"/>
          <w:sz w:val="20"/>
        </w:rPr>
        <w:t> </w:t>
      </w:r>
      <w:r>
        <w:rPr>
          <w:color w:val="231F20"/>
          <w:sz w:val="20"/>
        </w:rPr>
        <w:t>that</w:t>
      </w:r>
      <w:r>
        <w:rPr>
          <w:color w:val="231F20"/>
          <w:spacing w:val="12"/>
          <w:sz w:val="20"/>
        </w:rPr>
        <w:t> </w:t>
      </w:r>
      <w:r>
        <w:rPr>
          <w:color w:val="231F20"/>
          <w:sz w:val="20"/>
        </w:rPr>
        <w:t>contains</w:t>
      </w:r>
      <w:r>
        <w:rPr>
          <w:color w:val="231F20"/>
          <w:spacing w:val="11"/>
          <w:sz w:val="20"/>
        </w:rPr>
        <w:t> </w:t>
      </w:r>
      <w:r>
        <w:rPr>
          <w:color w:val="231F20"/>
          <w:sz w:val="20"/>
        </w:rPr>
        <w:t>the</w:t>
      </w:r>
      <w:r>
        <w:rPr>
          <w:color w:val="231F20"/>
          <w:spacing w:val="12"/>
          <w:sz w:val="20"/>
        </w:rPr>
        <w:t> </w:t>
      </w:r>
      <w:r>
        <w:rPr>
          <w:color w:val="231F20"/>
          <w:sz w:val="20"/>
        </w:rPr>
        <w:t>view</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to</w:t>
      </w:r>
      <w:r>
        <w:rPr>
          <w:color w:val="231F20"/>
          <w:spacing w:val="12"/>
          <w:sz w:val="20"/>
        </w:rPr>
        <w:t> </w:t>
      </w:r>
      <w:r>
        <w:rPr>
          <w:color w:val="231F20"/>
          <w:spacing w:val="-2"/>
          <w:sz w:val="20"/>
        </w:rPr>
        <w:t>search.</w:t>
      </w:r>
    </w:p>
    <w:p>
      <w:pPr>
        <w:pStyle w:val="ListParagraph"/>
        <w:numPr>
          <w:ilvl w:val="0"/>
          <w:numId w:val="19"/>
        </w:numPr>
        <w:tabs>
          <w:tab w:pos="2548" w:val="left" w:leader="none"/>
        </w:tabs>
        <w:spacing w:line="213" w:lineRule="auto" w:before="52" w:after="0"/>
        <w:ind w:left="2548" w:right="570" w:hanging="316"/>
        <w:jc w:val="left"/>
        <w:rPr>
          <w:sz w:val="20"/>
        </w:rPr>
      </w:pPr>
      <w:r>
        <w:rPr>
          <w:color w:val="231F20"/>
          <w:sz w:val="20"/>
        </w:rPr>
        <w:t>Click </w:t>
      </w:r>
      <w:r>
        <w:rPr>
          <w:color w:val="231F20"/>
          <w:spacing w:val="16"/>
          <w:position w:val="-1"/>
          <w:sz w:val="20"/>
        </w:rPr>
        <w:drawing>
          <wp:inline distT="0" distB="0" distL="0" distR="0">
            <wp:extent cx="101600" cy="101600"/>
            <wp:effectExtent l="0" t="0" r="0" b="0"/>
            <wp:docPr id="531" name="Image 531"/>
            <wp:cNvGraphicFramePr>
              <a:graphicFrameLocks/>
            </wp:cNvGraphicFramePr>
            <a:graphic>
              <a:graphicData uri="http://schemas.openxmlformats.org/drawingml/2006/picture">
                <pic:pic>
                  <pic:nvPicPr>
                    <pic:cNvPr id="531" name="Image 531"/>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3"/>
          <w:sz w:val="20"/>
        </w:rPr>
        <w:t> </w:t>
      </w:r>
      <w:r>
        <w:rPr>
          <w:rFonts w:ascii="Book Antiqua"/>
          <w:b/>
          <w:color w:val="231F20"/>
          <w:sz w:val="20"/>
        </w:rPr>
        <w:t>Find </w:t>
      </w:r>
      <w:r>
        <w:rPr>
          <w:color w:val="231F20"/>
          <w:sz w:val="20"/>
        </w:rPr>
        <w:t>in the table view toolbar. If the tool is hidden, click</w:t>
      </w:r>
      <w:r>
        <w:rPr>
          <w:color w:val="231F20"/>
          <w:spacing w:val="40"/>
          <w:sz w:val="20"/>
        </w:rPr>
        <w:t> </w:t>
      </w:r>
      <w:r>
        <w:rPr>
          <w:color w:val="231F20"/>
          <w:spacing w:val="-15"/>
          <w:position w:val="2"/>
          <w:sz w:val="20"/>
        </w:rPr>
        <w:drawing>
          <wp:inline distT="0" distB="0" distL="0" distR="0">
            <wp:extent cx="57150" cy="63500"/>
            <wp:effectExtent l="0" t="0" r="0" b="0"/>
            <wp:docPr id="532" name="Image 532"/>
            <wp:cNvGraphicFramePr>
              <a:graphicFrameLocks/>
            </wp:cNvGraphicFramePr>
            <a:graphic>
              <a:graphicData uri="http://schemas.openxmlformats.org/drawingml/2006/picture">
                <pic:pic>
                  <pic:nvPicPr>
                    <pic:cNvPr id="532" name="Image 532"/>
                    <pic:cNvPicPr/>
                  </pic:nvPicPr>
                  <pic:blipFill>
                    <a:blip r:embed="rId63" cstate="print"/>
                    <a:stretch>
                      <a:fillRect/>
                    </a:stretch>
                  </pic:blipFill>
                  <pic:spPr>
                    <a:xfrm>
                      <a:off x="0" y="0"/>
                      <a:ext cx="57150" cy="63500"/>
                    </a:xfrm>
                    <a:prstGeom prst="rect">
                      <a:avLst/>
                    </a:prstGeom>
                  </pic:spPr>
                </pic:pic>
              </a:graphicData>
            </a:graphic>
          </wp:inline>
        </w:drawing>
      </w:r>
      <w:r>
        <w:rPr>
          <w:color w:val="231F20"/>
          <w:spacing w:val="-15"/>
          <w:position w:val="2"/>
          <w:sz w:val="20"/>
        </w:rPr>
      </w:r>
      <w:r>
        <w:rPr>
          <w:rFonts w:ascii="Times New Roman"/>
          <w:color w:val="231F20"/>
          <w:spacing w:val="80"/>
          <w:sz w:val="20"/>
        </w:rPr>
        <w:t> </w:t>
      </w:r>
      <w:r>
        <w:rPr>
          <w:color w:val="231F20"/>
          <w:sz w:val="20"/>
        </w:rPr>
        <w:t>Show toolbar in the view's title bar. The Find window opens with the first two</w:t>
      </w:r>
      <w:r>
        <w:rPr>
          <w:color w:val="231F20"/>
          <w:spacing w:val="40"/>
          <w:sz w:val="20"/>
        </w:rPr>
        <w:t> </w:t>
      </w:r>
      <w:r>
        <w:rPr>
          <w:color w:val="231F20"/>
          <w:sz w:val="20"/>
        </w:rPr>
        <w:t>column headings (attributes) filled in and fields for entering up to five </w:t>
      </w:r>
      <w:r>
        <w:rPr>
          <w:color w:val="231F20"/>
          <w:sz w:val="20"/>
        </w:rPr>
        <w:t>values.</w:t>
      </w:r>
    </w:p>
    <w:p>
      <w:pPr>
        <w:pStyle w:val="ListParagraph"/>
        <w:numPr>
          <w:ilvl w:val="0"/>
          <w:numId w:val="19"/>
        </w:numPr>
        <w:tabs>
          <w:tab w:pos="2546" w:val="left" w:leader="none"/>
          <w:tab w:pos="2548" w:val="left" w:leader="none"/>
        </w:tabs>
        <w:spacing w:line="213" w:lineRule="auto" w:before="58" w:after="0"/>
        <w:ind w:left="2548" w:right="750" w:hanging="317"/>
        <w:jc w:val="left"/>
        <w:rPr>
          <w:sz w:val="20"/>
        </w:rPr>
      </w:pPr>
      <w:r>
        <w:rPr>
          <w:color w:val="231F20"/>
          <w:sz w:val="20"/>
        </w:rPr>
        <w:t>Click an </w:t>
      </w:r>
      <w:r>
        <w:rPr>
          <w:color w:val="231F20"/>
          <w:spacing w:val="16"/>
          <w:position w:val="-1"/>
          <w:sz w:val="20"/>
        </w:rPr>
        <w:drawing>
          <wp:inline distT="0" distB="0" distL="0" distR="0">
            <wp:extent cx="101600" cy="101600"/>
            <wp:effectExtent l="0" t="0" r="0" b="0"/>
            <wp:docPr id="533" name="Image 533"/>
            <wp:cNvGraphicFramePr>
              <a:graphicFrameLocks/>
            </wp:cNvGraphicFramePr>
            <a:graphic>
              <a:graphicData uri="http://schemas.openxmlformats.org/drawingml/2006/picture">
                <pic:pic>
                  <pic:nvPicPr>
                    <pic:cNvPr id="533" name="Image 53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arrow and select the column to search within. To clear a column name, select the first entry (which is empty) from the list.</w:t>
      </w:r>
    </w:p>
    <w:p>
      <w:pPr>
        <w:pStyle w:val="ListParagraph"/>
        <w:numPr>
          <w:ilvl w:val="0"/>
          <w:numId w:val="19"/>
        </w:numPr>
        <w:tabs>
          <w:tab w:pos="2547" w:val="left" w:leader="none"/>
        </w:tabs>
        <w:spacing w:line="240" w:lineRule="auto" w:before="36" w:after="0"/>
        <w:ind w:left="2547" w:right="0" w:hanging="315"/>
        <w:jc w:val="left"/>
        <w:rPr>
          <w:sz w:val="20"/>
        </w:rPr>
      </w:pPr>
      <w:r>
        <w:rPr>
          <w:color w:val="231F20"/>
          <w:sz w:val="20"/>
        </w:rPr>
        <w:t>Click</w:t>
      </w:r>
      <w:r>
        <w:rPr>
          <w:color w:val="231F20"/>
          <w:spacing w:val="8"/>
          <w:sz w:val="20"/>
        </w:rPr>
        <w:t> </w:t>
      </w:r>
      <w:r>
        <w:rPr>
          <w:color w:val="231F20"/>
          <w:sz w:val="20"/>
        </w:rPr>
        <w:t>inside</w:t>
      </w:r>
      <w:r>
        <w:rPr>
          <w:color w:val="231F20"/>
          <w:spacing w:val="9"/>
          <w:sz w:val="20"/>
        </w:rPr>
        <w:t> </w:t>
      </w:r>
      <w:r>
        <w:rPr>
          <w:color w:val="231F20"/>
          <w:sz w:val="20"/>
        </w:rPr>
        <w:t>the</w:t>
      </w:r>
      <w:r>
        <w:rPr>
          <w:color w:val="231F20"/>
          <w:spacing w:val="9"/>
          <w:sz w:val="20"/>
        </w:rPr>
        <w:t> </w:t>
      </w:r>
      <w:r>
        <w:rPr>
          <w:color w:val="231F20"/>
          <w:sz w:val="20"/>
        </w:rPr>
        <w:t>corresponding</w:t>
      </w:r>
      <w:r>
        <w:rPr>
          <w:color w:val="231F20"/>
          <w:spacing w:val="9"/>
          <w:sz w:val="20"/>
        </w:rPr>
        <w:t> </w:t>
      </w:r>
      <w:r>
        <w:rPr>
          <w:rFonts w:ascii="Book Antiqua"/>
          <w:b/>
          <w:color w:val="231F20"/>
          <w:sz w:val="20"/>
        </w:rPr>
        <w:t>Value</w:t>
      </w:r>
      <w:r>
        <w:rPr>
          <w:rFonts w:ascii="Book Antiqua"/>
          <w:b/>
          <w:color w:val="231F20"/>
          <w:spacing w:val="8"/>
          <w:sz w:val="20"/>
        </w:rPr>
        <w:t> </w:t>
      </w:r>
      <w:r>
        <w:rPr>
          <w:color w:val="231F20"/>
          <w:sz w:val="20"/>
        </w:rPr>
        <w:t>field</w:t>
      </w:r>
      <w:r>
        <w:rPr>
          <w:color w:val="231F20"/>
          <w:spacing w:val="9"/>
          <w:sz w:val="20"/>
        </w:rPr>
        <w:t> </w:t>
      </w:r>
      <w:r>
        <w:rPr>
          <w:color w:val="231F20"/>
          <w:sz w:val="20"/>
        </w:rPr>
        <w:t>and</w:t>
      </w:r>
      <w:r>
        <w:rPr>
          <w:color w:val="231F20"/>
          <w:spacing w:val="9"/>
          <w:sz w:val="20"/>
        </w:rPr>
        <w:t> </w:t>
      </w:r>
      <w:r>
        <w:rPr>
          <w:color w:val="231F20"/>
          <w:sz w:val="20"/>
        </w:rPr>
        <w:t>enter</w:t>
      </w:r>
      <w:r>
        <w:rPr>
          <w:color w:val="231F20"/>
          <w:spacing w:val="9"/>
          <w:sz w:val="20"/>
        </w:rPr>
        <w:t> </w:t>
      </w:r>
      <w:r>
        <w:rPr>
          <w:color w:val="231F20"/>
          <w:sz w:val="20"/>
        </w:rPr>
        <w:t>the</w:t>
      </w:r>
      <w:r>
        <w:rPr>
          <w:color w:val="231F20"/>
          <w:spacing w:val="9"/>
          <w:sz w:val="20"/>
        </w:rPr>
        <w:t> </w:t>
      </w:r>
      <w:r>
        <w:rPr>
          <w:color w:val="231F20"/>
          <w:sz w:val="20"/>
        </w:rPr>
        <w:t>value</w:t>
      </w:r>
      <w:r>
        <w:rPr>
          <w:color w:val="231F20"/>
          <w:spacing w:val="8"/>
          <w:sz w:val="20"/>
        </w:rPr>
        <w:t> </w:t>
      </w:r>
      <w:r>
        <w:rPr>
          <w:color w:val="231F20"/>
          <w:sz w:val="20"/>
        </w:rPr>
        <w:t>to</w:t>
      </w:r>
      <w:r>
        <w:rPr>
          <w:color w:val="231F20"/>
          <w:spacing w:val="9"/>
          <w:sz w:val="20"/>
        </w:rPr>
        <w:t> </w:t>
      </w:r>
      <w:r>
        <w:rPr>
          <w:color w:val="231F20"/>
          <w:spacing w:val="-2"/>
          <w:sz w:val="20"/>
        </w:rPr>
        <w:t>find.</w:t>
      </w:r>
    </w:p>
    <w:p>
      <w:pPr>
        <w:spacing w:after="0" w:line="240" w:lineRule="auto"/>
        <w:jc w:val="left"/>
        <w:rPr>
          <w:sz w:val="20"/>
        </w:rPr>
        <w:sectPr>
          <w:pgSz w:w="12240" w:h="15840"/>
          <w:pgMar w:header="0" w:footer="736" w:top="1180" w:bottom="920" w:left="1000" w:right="1060"/>
        </w:sectPr>
      </w:pPr>
    </w:p>
    <w:p>
      <w:pPr>
        <w:pStyle w:val="BodyText"/>
        <w:spacing w:line="211" w:lineRule="auto" w:before="87"/>
        <w:ind w:left="3004" w:right="258" w:hanging="216"/>
      </w:pPr>
      <w:r>
        <w:rPr>
          <w:rFonts w:ascii="Futura MdCn BT"/>
          <w:color w:val="231F20"/>
        </w:rPr>
        <w:t>v</w:t>
      </w:r>
      <w:r>
        <w:rPr>
          <w:rFonts w:ascii="Futura MdCn BT"/>
          <w:color w:val="231F20"/>
          <w:spacing w:val="80"/>
        </w:rPr>
        <w:t> </w:t>
      </w:r>
      <w:r>
        <w:rPr>
          <w:color w:val="231F20"/>
        </w:rPr>
        <w:t>The default function is </w:t>
      </w:r>
      <w:r>
        <w:rPr>
          <w:color w:val="231F20"/>
          <w:spacing w:val="15"/>
        </w:rPr>
        <w:drawing>
          <wp:inline distT="0" distB="0" distL="0" distR="0">
            <wp:extent cx="63500" cy="63500"/>
            <wp:effectExtent l="0" t="0" r="0" b="0"/>
            <wp:docPr id="534" name="Image 534"/>
            <wp:cNvGraphicFramePr>
              <a:graphicFrameLocks/>
            </wp:cNvGraphicFramePr>
            <a:graphic>
              <a:graphicData uri="http://schemas.openxmlformats.org/drawingml/2006/picture">
                <pic:pic>
                  <pic:nvPicPr>
                    <pic:cNvPr id="534" name="Image 534"/>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5"/>
        </w:rPr>
      </w:r>
      <w:r>
        <w:rPr>
          <w:rFonts w:ascii="Times New Roman"/>
          <w:color w:val="231F20"/>
          <w:spacing w:val="-16"/>
        </w:rPr>
        <w:t> </w:t>
      </w:r>
      <w:r>
        <w:rPr>
          <w:rFonts w:ascii="Book Antiqua"/>
          <w:b/>
          <w:color w:val="231F20"/>
        </w:rPr>
        <w:t>Value of expression </w:t>
      </w:r>
      <w:r>
        <w:rPr>
          <w:color w:val="231F20"/>
        </w:rPr>
        <w:t>(</w:t>
      </w:r>
      <w:r>
        <w:rPr>
          <w:color w:val="231F20"/>
          <w:spacing w:val="-1"/>
        </w:rPr>
        <w:drawing>
          <wp:inline distT="0" distB="0" distL="0" distR="0">
            <wp:extent cx="88900" cy="63500"/>
            <wp:effectExtent l="0" t="0" r="0" b="0"/>
            <wp:docPr id="535" name="Image 535"/>
            <wp:cNvGraphicFramePr>
              <a:graphicFrameLocks/>
            </wp:cNvGraphicFramePr>
            <a:graphic>
              <a:graphicData uri="http://schemas.openxmlformats.org/drawingml/2006/picture">
                <pic:pic>
                  <pic:nvPicPr>
                    <pic:cNvPr id="535" name="Image 535"/>
                    <pic:cNvPicPr/>
                  </pic:nvPicPr>
                  <pic:blipFill>
                    <a:blip r:embed="rId156" cstate="print"/>
                    <a:stretch>
                      <a:fillRect/>
                    </a:stretch>
                  </pic:blipFill>
                  <pic:spPr>
                    <a:xfrm>
                      <a:off x="0" y="0"/>
                      <a:ext cx="88900" cy="63500"/>
                    </a:xfrm>
                    <a:prstGeom prst="rect">
                      <a:avLst/>
                    </a:prstGeom>
                  </pic:spPr>
                </pic:pic>
              </a:graphicData>
            </a:graphic>
          </wp:inline>
        </w:drawing>
      </w:r>
      <w:r>
        <w:rPr>
          <w:color w:val="231F20"/>
          <w:spacing w:val="-1"/>
        </w:rPr>
      </w:r>
      <w:r>
        <w:rPr>
          <w:rFonts w:ascii="Times New Roman"/>
          <w:color w:val="231F20"/>
          <w:spacing w:val="-4"/>
        </w:rPr>
        <w:t> </w:t>
      </w:r>
      <w:r>
        <w:rPr>
          <w:rFonts w:ascii="Book Antiqua"/>
          <w:b/>
          <w:color w:val="231F20"/>
        </w:rPr>
        <w:t>Compare Date and Time </w:t>
      </w:r>
      <w:r>
        <w:rPr>
          <w:color w:val="231F20"/>
        </w:rPr>
        <w:t>for time</w:t>
      </w:r>
      <w:r>
        <w:rPr>
          <w:color w:val="231F20"/>
          <w:spacing w:val="27"/>
        </w:rPr>
        <w:t> </w:t>
      </w:r>
      <w:r>
        <w:rPr>
          <w:color w:val="231F20"/>
        </w:rPr>
        <w:t>attributes);</w:t>
      </w:r>
      <w:r>
        <w:rPr>
          <w:color w:val="231F20"/>
          <w:spacing w:val="27"/>
        </w:rPr>
        <w:t> </w:t>
      </w:r>
      <w:r>
        <w:rPr>
          <w:color w:val="231F20"/>
        </w:rPr>
        <w:t>the</w:t>
      </w:r>
      <w:r>
        <w:rPr>
          <w:color w:val="231F20"/>
          <w:spacing w:val="27"/>
        </w:rPr>
        <w:t> </w:t>
      </w:r>
      <w:r>
        <w:rPr>
          <w:color w:val="231F20"/>
        </w:rPr>
        <w:t>default</w:t>
      </w:r>
      <w:r>
        <w:rPr>
          <w:color w:val="231F20"/>
          <w:spacing w:val="27"/>
        </w:rPr>
        <w:t> </w:t>
      </w:r>
      <w:r>
        <w:rPr>
          <w:color w:val="231F20"/>
        </w:rPr>
        <w:t>operator</w:t>
      </w:r>
      <w:r>
        <w:rPr>
          <w:color w:val="231F20"/>
          <w:spacing w:val="27"/>
        </w:rPr>
        <w:t> </w:t>
      </w:r>
      <w:r>
        <w:rPr>
          <w:color w:val="231F20"/>
        </w:rPr>
        <w:t>is</w:t>
      </w:r>
      <w:r>
        <w:rPr>
          <w:color w:val="231F20"/>
          <w:spacing w:val="37"/>
        </w:rPr>
        <w:t> </w:t>
      </w:r>
      <w:r>
        <w:rPr>
          <w:color w:val="231F20"/>
          <w:spacing w:val="-25"/>
          <w:position w:val="-5"/>
        </w:rPr>
        <w:drawing>
          <wp:inline distT="0" distB="0" distL="0" distR="0">
            <wp:extent cx="114300" cy="114300"/>
            <wp:effectExtent l="0" t="0" r="0" b="0"/>
            <wp:docPr id="536" name="Image 536"/>
            <wp:cNvGraphicFramePr>
              <a:graphicFrameLocks/>
            </wp:cNvGraphicFramePr>
            <a:graphic>
              <a:graphicData uri="http://schemas.openxmlformats.org/drawingml/2006/picture">
                <pic:pic>
                  <pic:nvPicPr>
                    <pic:cNvPr id="536" name="Image 536"/>
                    <pic:cNvPicPr/>
                  </pic:nvPicPr>
                  <pic:blipFill>
                    <a:blip r:embed="rId124" cstate="print"/>
                    <a:stretch>
                      <a:fillRect/>
                    </a:stretch>
                  </pic:blipFill>
                  <pic:spPr>
                    <a:xfrm>
                      <a:off x="0" y="0"/>
                      <a:ext cx="114300" cy="114300"/>
                    </a:xfrm>
                    <a:prstGeom prst="rect">
                      <a:avLst/>
                    </a:prstGeom>
                  </pic:spPr>
                </pic:pic>
              </a:graphicData>
            </a:graphic>
          </wp:inline>
        </w:drawing>
      </w:r>
      <w:r>
        <w:rPr>
          <w:color w:val="231F20"/>
          <w:spacing w:val="-25"/>
          <w:position w:val="-5"/>
        </w:rPr>
      </w:r>
      <w:r>
        <w:rPr>
          <w:rFonts w:ascii="Times New Roman"/>
          <w:color w:val="231F20"/>
          <w:spacing w:val="40"/>
        </w:rPr>
        <w:t> </w:t>
      </w:r>
      <w:r>
        <w:rPr>
          <w:color w:val="231F20"/>
        </w:rPr>
        <w:t>.</w:t>
      </w:r>
      <w:r>
        <w:rPr>
          <w:color w:val="231F20"/>
          <w:spacing w:val="27"/>
        </w:rPr>
        <w:t> </w:t>
      </w:r>
      <w:r>
        <w:rPr>
          <w:color w:val="231F20"/>
        </w:rPr>
        <w:t>If</w:t>
      </w:r>
      <w:r>
        <w:rPr>
          <w:color w:val="231F20"/>
          <w:spacing w:val="27"/>
        </w:rPr>
        <w:t> </w:t>
      </w:r>
      <w:r>
        <w:rPr>
          <w:color w:val="231F20"/>
        </w:rPr>
        <w:t>you</w:t>
      </w:r>
      <w:r>
        <w:rPr>
          <w:color w:val="231F20"/>
          <w:spacing w:val="27"/>
        </w:rPr>
        <w:t> </w:t>
      </w:r>
      <w:r>
        <w:rPr>
          <w:color w:val="231F20"/>
        </w:rPr>
        <w:t>need</w:t>
      </w:r>
      <w:r>
        <w:rPr>
          <w:color w:val="231F20"/>
          <w:spacing w:val="27"/>
        </w:rPr>
        <w:t> </w:t>
      </w:r>
      <w:r>
        <w:rPr>
          <w:color w:val="231F20"/>
        </w:rPr>
        <w:t>to</w:t>
      </w:r>
      <w:r>
        <w:rPr>
          <w:color w:val="231F20"/>
          <w:spacing w:val="27"/>
        </w:rPr>
        <w:t> </w:t>
      </w:r>
      <w:r>
        <w:rPr>
          <w:color w:val="231F20"/>
        </w:rPr>
        <w:t>change</w:t>
      </w:r>
      <w:r>
        <w:rPr>
          <w:color w:val="231F20"/>
          <w:spacing w:val="27"/>
        </w:rPr>
        <w:t> </w:t>
      </w:r>
      <w:r>
        <w:rPr>
          <w:color w:val="231F20"/>
        </w:rPr>
        <w:t>the function</w:t>
      </w:r>
      <w:r>
        <w:rPr>
          <w:color w:val="231F20"/>
          <w:spacing w:val="24"/>
        </w:rPr>
        <w:t> </w:t>
      </w:r>
      <w:r>
        <w:rPr>
          <w:color w:val="231F20"/>
        </w:rPr>
        <w:t>or</w:t>
      </w:r>
      <w:r>
        <w:rPr>
          <w:color w:val="231F20"/>
          <w:spacing w:val="24"/>
        </w:rPr>
        <w:t> </w:t>
      </w:r>
      <w:r>
        <w:rPr>
          <w:color w:val="231F20"/>
        </w:rPr>
        <w:t>operator,</w:t>
      </w:r>
      <w:r>
        <w:rPr>
          <w:color w:val="231F20"/>
          <w:spacing w:val="24"/>
        </w:rPr>
        <w:t> </w:t>
      </w:r>
      <w:r>
        <w:rPr>
          <w:color w:val="231F20"/>
        </w:rPr>
        <w:t>click</w:t>
      </w:r>
      <w:r>
        <w:rPr>
          <w:color w:val="231F20"/>
          <w:spacing w:val="24"/>
        </w:rPr>
        <w:t> </w:t>
      </w:r>
      <w:r>
        <w:rPr>
          <w:color w:val="231F20"/>
        </w:rPr>
        <w:t>the</w:t>
      </w:r>
      <w:r>
        <w:rPr>
          <w:color w:val="231F20"/>
          <w:spacing w:val="34"/>
        </w:rPr>
        <w:t> </w:t>
      </w:r>
      <w:r>
        <w:rPr>
          <w:color w:val="231F20"/>
          <w:spacing w:val="-25"/>
          <w:position w:val="-5"/>
        </w:rPr>
        <w:drawing>
          <wp:inline distT="0" distB="0" distL="0" distR="0">
            <wp:extent cx="101600" cy="114300"/>
            <wp:effectExtent l="0" t="0" r="0" b="0"/>
            <wp:docPr id="537" name="Image 537"/>
            <wp:cNvGraphicFramePr>
              <a:graphicFrameLocks/>
            </wp:cNvGraphicFramePr>
            <a:graphic>
              <a:graphicData uri="http://schemas.openxmlformats.org/drawingml/2006/picture">
                <pic:pic>
                  <pic:nvPicPr>
                    <pic:cNvPr id="537" name="Image 537"/>
                    <pic:cNvPicPr/>
                  </pic:nvPicPr>
                  <pic:blipFill>
                    <a:blip r:embed="rId157" cstate="print"/>
                    <a:stretch>
                      <a:fillRect/>
                    </a:stretch>
                  </pic:blipFill>
                  <pic:spPr>
                    <a:xfrm>
                      <a:off x="0" y="0"/>
                      <a:ext cx="101600" cy="114300"/>
                    </a:xfrm>
                    <a:prstGeom prst="rect">
                      <a:avLst/>
                    </a:prstGeom>
                  </pic:spPr>
                </pic:pic>
              </a:graphicData>
            </a:graphic>
          </wp:inline>
        </w:drawing>
      </w:r>
      <w:r>
        <w:rPr>
          <w:color w:val="231F20"/>
          <w:spacing w:val="-25"/>
          <w:position w:val="-5"/>
        </w:rPr>
      </w:r>
      <w:r>
        <w:rPr>
          <w:rFonts w:ascii="Times New Roman"/>
          <w:color w:val="231F20"/>
          <w:spacing w:val="80"/>
        </w:rPr>
        <w:t> </w:t>
      </w:r>
      <w:r>
        <w:rPr>
          <w:color w:val="231F20"/>
        </w:rPr>
        <w:t>or</w:t>
      </w:r>
      <w:r>
        <w:rPr>
          <w:color w:val="231F20"/>
          <w:spacing w:val="35"/>
        </w:rPr>
        <w:t> </w:t>
      </w:r>
      <w:r>
        <w:rPr>
          <w:color w:val="231F20"/>
          <w:spacing w:val="-24"/>
          <w:position w:val="-5"/>
        </w:rPr>
        <w:drawing>
          <wp:inline distT="0" distB="0" distL="0" distR="0">
            <wp:extent cx="114300" cy="114300"/>
            <wp:effectExtent l="0" t="0" r="0" b="0"/>
            <wp:docPr id="538" name="Image 538"/>
            <wp:cNvGraphicFramePr>
              <a:graphicFrameLocks/>
            </wp:cNvGraphicFramePr>
            <a:graphic>
              <a:graphicData uri="http://schemas.openxmlformats.org/drawingml/2006/picture">
                <pic:pic>
                  <pic:nvPicPr>
                    <pic:cNvPr id="538" name="Image 538"/>
                    <pic:cNvPicPr/>
                  </pic:nvPicPr>
                  <pic:blipFill>
                    <a:blip r:embed="rId124" cstate="print"/>
                    <a:stretch>
                      <a:fillRect/>
                    </a:stretch>
                  </pic:blipFill>
                  <pic:spPr>
                    <a:xfrm>
                      <a:off x="0" y="0"/>
                      <a:ext cx="114300" cy="114300"/>
                    </a:xfrm>
                    <a:prstGeom prst="rect">
                      <a:avLst/>
                    </a:prstGeom>
                  </pic:spPr>
                </pic:pic>
              </a:graphicData>
            </a:graphic>
          </wp:inline>
        </w:drawing>
      </w:r>
      <w:r>
        <w:rPr>
          <w:color w:val="231F20"/>
          <w:spacing w:val="-24"/>
          <w:position w:val="-5"/>
        </w:rPr>
      </w:r>
      <w:r>
        <w:rPr>
          <w:rFonts w:ascii="Times New Roman"/>
          <w:color w:val="231F20"/>
          <w:spacing w:val="80"/>
        </w:rPr>
        <w:t> </w:t>
      </w:r>
      <w:r>
        <w:rPr>
          <w:color w:val="231F20"/>
        </w:rPr>
        <w:t>button</w:t>
      </w:r>
      <w:r>
        <w:rPr>
          <w:color w:val="231F20"/>
          <w:spacing w:val="24"/>
        </w:rPr>
        <w:t> </w:t>
      </w:r>
      <w:r>
        <w:rPr>
          <w:color w:val="231F20"/>
        </w:rPr>
        <w:t>and</w:t>
      </w:r>
      <w:r>
        <w:rPr>
          <w:color w:val="231F20"/>
          <w:spacing w:val="24"/>
        </w:rPr>
        <w:t> </w:t>
      </w:r>
      <w:r>
        <w:rPr>
          <w:color w:val="231F20"/>
        </w:rPr>
        <w:t>select</w:t>
      </w:r>
      <w:r>
        <w:rPr>
          <w:color w:val="231F20"/>
          <w:spacing w:val="24"/>
        </w:rPr>
        <w:t> </w:t>
      </w:r>
      <w:r>
        <w:rPr>
          <w:color w:val="231F20"/>
        </w:rPr>
        <w:t>from</w:t>
      </w:r>
      <w:r>
        <w:rPr>
          <w:color w:val="231F20"/>
          <w:spacing w:val="24"/>
        </w:rPr>
        <w:t> </w:t>
      </w:r>
      <w:r>
        <w:rPr>
          <w:color w:val="231F20"/>
        </w:rPr>
        <w:t>the</w:t>
      </w:r>
      <w:r>
        <w:rPr>
          <w:color w:val="231F20"/>
          <w:spacing w:val="24"/>
        </w:rPr>
        <w:t> </w:t>
      </w:r>
      <w:r>
        <w:rPr>
          <w:color w:val="231F20"/>
        </w:rPr>
        <w:t>list.</w:t>
      </w:r>
    </w:p>
    <w:p>
      <w:pPr>
        <w:pStyle w:val="BodyText"/>
        <w:spacing w:line="213" w:lineRule="auto" w:before="54"/>
        <w:ind w:left="3004" w:right="493" w:hanging="216"/>
      </w:pPr>
      <w:r>
        <w:rPr>
          <w:rFonts w:ascii="Futura MdCn BT"/>
          <w:color w:val="231F20"/>
        </w:rPr>
        <w:t>v</w:t>
      </w:r>
      <w:r>
        <w:rPr>
          <w:rFonts w:ascii="Futura MdCn BT"/>
          <w:color w:val="231F20"/>
          <w:spacing w:val="80"/>
        </w:rPr>
        <w:t> </w:t>
      </w:r>
      <w:r>
        <w:rPr>
          <w:color w:val="231F20"/>
        </w:rPr>
        <w:t>You can enter a partial value to find all occurrences of the text or number</w:t>
      </w:r>
      <w:r>
        <w:rPr>
          <w:color w:val="231F20"/>
          <w:spacing w:val="40"/>
        </w:rPr>
        <w:t> </w:t>
      </w:r>
      <w:r>
        <w:rPr>
          <w:color w:val="231F20"/>
        </w:rPr>
        <w:t>that begin with those characters. For example, 500 will find 500 and 5000; and West will find West, West006, and Western. You can also use an * asterisk wildcard for any number of characters beginning at that position; use a ? question mark wildcard for a single character at that position. You can also use wildcards with the </w:t>
      </w:r>
      <w:r>
        <w:rPr>
          <w:color w:val="231F20"/>
          <w:spacing w:val="15"/>
        </w:rPr>
        <w:drawing>
          <wp:inline distT="0" distB="0" distL="0" distR="0">
            <wp:extent cx="63500" cy="63500"/>
            <wp:effectExtent l="0" t="0" r="0" b="0"/>
            <wp:docPr id="539" name="Image 539"/>
            <wp:cNvGraphicFramePr>
              <a:graphicFrameLocks/>
            </wp:cNvGraphicFramePr>
            <a:graphic>
              <a:graphicData uri="http://schemas.openxmlformats.org/drawingml/2006/picture">
                <pic:pic>
                  <pic:nvPicPr>
                    <pic:cNvPr id="539" name="Image 539"/>
                    <pic:cNvPicPr/>
                  </pic:nvPicPr>
                  <pic:blipFill>
                    <a:blip r:embed="rId158" cstate="print"/>
                    <a:stretch>
                      <a:fillRect/>
                    </a:stretch>
                  </pic:blipFill>
                  <pic:spPr>
                    <a:xfrm>
                      <a:off x="0" y="0"/>
                      <a:ext cx="63500" cy="63500"/>
                    </a:xfrm>
                    <a:prstGeom prst="rect">
                      <a:avLst/>
                    </a:prstGeom>
                  </pic:spPr>
                </pic:pic>
              </a:graphicData>
            </a:graphic>
          </wp:inline>
        </w:drawing>
      </w:r>
      <w:r>
        <w:rPr>
          <w:color w:val="231F20"/>
          <w:spacing w:val="15"/>
        </w:rPr>
      </w:r>
      <w:r>
        <w:rPr>
          <w:rFonts w:ascii="Times New Roman"/>
          <w:color w:val="231F20"/>
          <w:spacing w:val="-11"/>
        </w:rPr>
        <w:t> </w:t>
      </w:r>
      <w:r>
        <w:rPr>
          <w:rFonts w:ascii="Book Antiqua"/>
          <w:b/>
          <w:color w:val="231F20"/>
        </w:rPr>
        <w:t>Scan for string within a string </w:t>
      </w:r>
      <w:r>
        <w:rPr>
          <w:color w:val="231F20"/>
        </w:rPr>
        <w:t>and</w:t>
      </w:r>
    </w:p>
    <w:p>
      <w:pPr>
        <w:pStyle w:val="BodyText"/>
        <w:spacing w:line="211" w:lineRule="auto" w:before="3"/>
        <w:ind w:left="3004" w:right="274"/>
      </w:pPr>
      <w:r>
        <w:rPr/>
        <w:drawing>
          <wp:inline distT="0" distB="0" distL="0" distR="0">
            <wp:extent cx="88900" cy="88900"/>
            <wp:effectExtent l="0" t="0" r="0" b="0"/>
            <wp:docPr id="540" name="Image 540"/>
            <wp:cNvGraphicFramePr>
              <a:graphicFrameLocks/>
            </wp:cNvGraphicFramePr>
            <a:graphic>
              <a:graphicData uri="http://schemas.openxmlformats.org/drawingml/2006/picture">
                <pic:pic>
                  <pic:nvPicPr>
                    <pic:cNvPr id="540" name="Image 540"/>
                    <pic:cNvPicPr/>
                  </pic:nvPicPr>
                  <pic:blipFill>
                    <a:blip r:embed="rId159" cstate="print"/>
                    <a:stretch>
                      <a:fillRect/>
                    </a:stretch>
                  </pic:blipFill>
                  <pic:spPr>
                    <a:xfrm>
                      <a:off x="0" y="0"/>
                      <a:ext cx="88900" cy="88900"/>
                    </a:xfrm>
                    <a:prstGeom prst="rect">
                      <a:avLst/>
                    </a:prstGeom>
                  </pic:spPr>
                </pic:pic>
              </a:graphicData>
            </a:graphic>
          </wp:inline>
        </w:drawing>
      </w:r>
      <w:r>
        <w:rPr/>
      </w:r>
      <w:r>
        <w:rPr>
          <w:rFonts w:ascii="Times New Roman"/>
          <w:spacing w:val="-4"/>
        </w:rPr>
        <w:t> </w:t>
      </w:r>
      <w:r>
        <w:rPr>
          <w:rFonts w:ascii="Book Antiqua"/>
          <w:b/>
          <w:color w:val="231F20"/>
        </w:rPr>
        <w:t>Return a subset of the string </w:t>
      </w:r>
      <w:r>
        <w:rPr>
          <w:color w:val="231F20"/>
        </w:rPr>
        <w:t>functions. See the formula function topics </w:t>
      </w:r>
      <w:r>
        <w:rPr>
          <w:color w:val="231F20"/>
        </w:rPr>
        <w:t>for</w:t>
      </w:r>
      <w:r>
        <w:rPr>
          <w:color w:val="231F20"/>
          <w:spacing w:val="80"/>
          <w:w w:val="150"/>
        </w:rPr>
        <w:t> </w:t>
      </w:r>
      <w:r>
        <w:rPr>
          <w:color w:val="231F20"/>
        </w:rPr>
        <w:t>a description of attribute types and other formula functions, including examples. When using the ? question mark wildcard with the </w:t>
      </w:r>
      <w:r>
        <w:rPr>
          <w:color w:val="231F20"/>
          <w:spacing w:val="15"/>
        </w:rPr>
        <w:drawing>
          <wp:inline distT="0" distB="0" distL="0" distR="0">
            <wp:extent cx="63500" cy="63500"/>
            <wp:effectExtent l="0" t="0" r="0" b="0"/>
            <wp:docPr id="541" name="Image 541"/>
            <wp:cNvGraphicFramePr>
              <a:graphicFrameLocks/>
            </wp:cNvGraphicFramePr>
            <a:graphic>
              <a:graphicData uri="http://schemas.openxmlformats.org/drawingml/2006/picture">
                <pic:pic>
                  <pic:nvPicPr>
                    <pic:cNvPr id="541" name="Image 541"/>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Value of expression </w:t>
      </w:r>
      <w:r>
        <w:rPr>
          <w:color w:val="231F20"/>
        </w:rPr>
        <w:t>function, append the text with an * asterisk. For example, enter Sa?e* to find Safe and Sale.</w:t>
      </w:r>
    </w:p>
    <w:p>
      <w:pPr>
        <w:pStyle w:val="BodyText"/>
        <w:spacing w:line="213" w:lineRule="auto" w:before="63"/>
        <w:ind w:left="3004" w:right="274" w:hanging="216"/>
      </w:pPr>
      <w:r>
        <w:rPr>
          <w:rFonts w:ascii="Futura MdCn BT"/>
          <w:color w:val="231F20"/>
        </w:rPr>
        <w:t>v</w:t>
      </w:r>
      <w:r>
        <w:rPr>
          <w:rFonts w:ascii="Futura MdCn BT"/>
          <w:color w:val="231F20"/>
          <w:spacing w:val="80"/>
          <w:w w:val="150"/>
        </w:rPr>
        <w:t> </w:t>
      </w:r>
      <w:r>
        <w:rPr>
          <w:color w:val="231F20"/>
        </w:rPr>
        <w:t>Most</w:t>
      </w:r>
      <w:r>
        <w:rPr>
          <w:color w:val="231F20"/>
          <w:spacing w:val="24"/>
        </w:rPr>
        <w:t> </w:t>
      </w:r>
      <w:r>
        <w:rPr>
          <w:color w:val="231F20"/>
        </w:rPr>
        <w:t>special</w:t>
      </w:r>
      <w:r>
        <w:rPr>
          <w:color w:val="231F20"/>
          <w:spacing w:val="24"/>
        </w:rPr>
        <w:t> </w:t>
      </w:r>
      <w:r>
        <w:rPr>
          <w:color w:val="231F20"/>
        </w:rPr>
        <w:t>characters</w:t>
      </w:r>
      <w:r>
        <w:rPr>
          <w:color w:val="231F20"/>
          <w:spacing w:val="24"/>
        </w:rPr>
        <w:t> </w:t>
      </w:r>
      <w:r>
        <w:rPr>
          <w:color w:val="231F20"/>
        </w:rPr>
        <w:t>are</w:t>
      </w:r>
      <w:r>
        <w:rPr>
          <w:color w:val="231F20"/>
          <w:spacing w:val="24"/>
        </w:rPr>
        <w:t> </w:t>
      </w:r>
      <w:r>
        <w:rPr>
          <w:color w:val="231F20"/>
        </w:rPr>
        <w:t>processed</w:t>
      </w:r>
      <w:r>
        <w:rPr>
          <w:color w:val="231F20"/>
          <w:spacing w:val="24"/>
        </w:rPr>
        <w:t> </w:t>
      </w:r>
      <w:r>
        <w:rPr>
          <w:color w:val="231F20"/>
        </w:rPr>
        <w:t>correctly.</w:t>
      </w:r>
      <w:r>
        <w:rPr>
          <w:color w:val="231F20"/>
          <w:spacing w:val="24"/>
        </w:rPr>
        <w:t> </w:t>
      </w:r>
      <w:r>
        <w:rPr>
          <w:color w:val="231F20"/>
        </w:rPr>
        <w:t>If</w:t>
      </w:r>
      <w:r>
        <w:rPr>
          <w:color w:val="231F20"/>
          <w:spacing w:val="24"/>
        </w:rPr>
        <w:t> </w:t>
      </w:r>
      <w:r>
        <w:rPr>
          <w:color w:val="231F20"/>
        </w:rPr>
        <w:t>you</w:t>
      </w:r>
      <w:r>
        <w:rPr>
          <w:color w:val="231F20"/>
          <w:spacing w:val="24"/>
        </w:rPr>
        <w:t> </w:t>
      </w:r>
      <w:r>
        <w:rPr>
          <w:color w:val="231F20"/>
        </w:rPr>
        <w:t>attempt</w:t>
      </w:r>
      <w:r>
        <w:rPr>
          <w:color w:val="231F20"/>
          <w:spacing w:val="24"/>
        </w:rPr>
        <w:t> </w:t>
      </w:r>
      <w:r>
        <w:rPr>
          <w:color w:val="231F20"/>
        </w:rPr>
        <w:t>to</w:t>
      </w:r>
      <w:r>
        <w:rPr>
          <w:color w:val="231F20"/>
          <w:spacing w:val="24"/>
        </w:rPr>
        <w:t> </w:t>
      </w:r>
      <w:r>
        <w:rPr>
          <w:color w:val="231F20"/>
        </w:rPr>
        <w:t>find</w:t>
      </w:r>
      <w:r>
        <w:rPr>
          <w:color w:val="231F20"/>
          <w:spacing w:val="24"/>
        </w:rPr>
        <w:t> </w:t>
      </w:r>
      <w:r>
        <w:rPr>
          <w:color w:val="231F20"/>
        </w:rPr>
        <w:t>text that includes a special character and it is not found, but you know it exists </w:t>
      </w:r>
      <w:r>
        <w:rPr>
          <w:color w:val="231F20"/>
        </w:rPr>
        <w:t>in</w:t>
      </w:r>
      <w:r>
        <w:rPr>
          <w:color w:val="231F20"/>
          <w:spacing w:val="40"/>
        </w:rPr>
        <w:t> </w:t>
      </w:r>
      <w:r>
        <w:rPr>
          <w:color w:val="231F20"/>
        </w:rPr>
        <w:t>your environment, precede it with the \ backslash escape character.</w:t>
      </w:r>
    </w:p>
    <w:p>
      <w:pPr>
        <w:pStyle w:val="BodyText"/>
        <w:spacing w:line="213" w:lineRule="auto"/>
        <w:ind w:left="3004" w:right="185"/>
      </w:pPr>
      <w:r>
        <w:rPr>
          <w:color w:val="231F20"/>
          <w:w w:val="105"/>
        </w:rPr>
        <w:t>These</w:t>
      </w:r>
      <w:r>
        <w:rPr>
          <w:color w:val="231F20"/>
          <w:spacing w:val="-1"/>
          <w:w w:val="105"/>
        </w:rPr>
        <w:t> </w:t>
      </w:r>
      <w:r>
        <w:rPr>
          <w:color w:val="231F20"/>
          <w:w w:val="105"/>
        </w:rPr>
        <w:t>are</w:t>
      </w:r>
      <w:r>
        <w:rPr>
          <w:color w:val="231F20"/>
          <w:spacing w:val="-1"/>
          <w:w w:val="105"/>
        </w:rPr>
        <w:t> </w:t>
      </w:r>
      <w:r>
        <w:rPr>
          <w:color w:val="231F20"/>
          <w:w w:val="105"/>
        </w:rPr>
        <w:t>some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special</w:t>
      </w:r>
      <w:r>
        <w:rPr>
          <w:color w:val="231F20"/>
          <w:spacing w:val="-1"/>
          <w:w w:val="105"/>
        </w:rPr>
        <w:t> </w:t>
      </w:r>
      <w:r>
        <w:rPr>
          <w:color w:val="231F20"/>
          <w:w w:val="105"/>
        </w:rPr>
        <w:t>characters</w:t>
      </w:r>
      <w:r>
        <w:rPr>
          <w:color w:val="231F20"/>
          <w:spacing w:val="-1"/>
          <w:w w:val="105"/>
        </w:rPr>
        <w:t> </w:t>
      </w:r>
      <w:r>
        <w:rPr>
          <w:color w:val="231F20"/>
          <w:w w:val="105"/>
        </w:rPr>
        <w:t>that</w:t>
      </w:r>
      <w:r>
        <w:rPr>
          <w:color w:val="231F20"/>
          <w:spacing w:val="-1"/>
          <w:w w:val="105"/>
        </w:rPr>
        <w:t> </w:t>
      </w:r>
      <w:r>
        <w:rPr>
          <w:color w:val="231F20"/>
          <w:w w:val="105"/>
        </w:rPr>
        <w:t>require</w:t>
      </w:r>
      <w:r>
        <w:rPr>
          <w:color w:val="231F20"/>
          <w:spacing w:val="-1"/>
          <w:w w:val="105"/>
        </w:rPr>
        <w:t> </w:t>
      </w:r>
      <w:r>
        <w:rPr>
          <w:color w:val="231F20"/>
          <w:w w:val="105"/>
        </w:rPr>
        <w:t>the</w:t>
      </w:r>
      <w:r>
        <w:rPr>
          <w:color w:val="231F20"/>
          <w:spacing w:val="-1"/>
          <w:w w:val="105"/>
        </w:rPr>
        <w:t> </w:t>
      </w:r>
      <w:r>
        <w:rPr>
          <w:rFonts w:ascii="Book Antiqua"/>
          <w:b/>
          <w:color w:val="231F20"/>
          <w:w w:val="105"/>
        </w:rPr>
        <w:t>\</w:t>
      </w:r>
      <w:r>
        <w:rPr>
          <w:rFonts w:ascii="Book Antiqua"/>
          <w:b/>
          <w:color w:val="231F20"/>
          <w:spacing w:val="-1"/>
          <w:w w:val="105"/>
        </w:rPr>
        <w:t> </w:t>
      </w:r>
      <w:r>
        <w:rPr>
          <w:color w:val="231F20"/>
          <w:w w:val="105"/>
        </w:rPr>
        <w:t>escape</w:t>
      </w:r>
      <w:r>
        <w:rPr>
          <w:color w:val="231F20"/>
          <w:spacing w:val="-1"/>
          <w:w w:val="105"/>
        </w:rPr>
        <w:t> </w:t>
      </w:r>
      <w:r>
        <w:rPr>
          <w:color w:val="231F20"/>
          <w:w w:val="105"/>
        </w:rPr>
        <w:t>character prefix: # pound sign; $ dollar sign; ^ circumflex; \ backslash; ( open and ) close</w:t>
      </w:r>
      <w:r>
        <w:rPr>
          <w:color w:val="231F20"/>
          <w:spacing w:val="-10"/>
          <w:w w:val="105"/>
        </w:rPr>
        <w:t> </w:t>
      </w:r>
      <w:r>
        <w:rPr>
          <w:color w:val="231F20"/>
          <w:w w:val="105"/>
        </w:rPr>
        <w:t>parentheses;</w:t>
      </w:r>
      <w:r>
        <w:rPr>
          <w:color w:val="231F20"/>
          <w:spacing w:val="-10"/>
          <w:w w:val="105"/>
        </w:rPr>
        <w:t> </w:t>
      </w:r>
      <w:r>
        <w:rPr>
          <w:color w:val="231F20"/>
          <w:w w:val="105"/>
        </w:rPr>
        <w:t>+</w:t>
      </w:r>
      <w:r>
        <w:rPr>
          <w:color w:val="231F20"/>
          <w:spacing w:val="-9"/>
          <w:w w:val="105"/>
        </w:rPr>
        <w:t> </w:t>
      </w:r>
      <w:r>
        <w:rPr>
          <w:color w:val="231F20"/>
          <w:w w:val="105"/>
        </w:rPr>
        <w:t>plus</w:t>
      </w:r>
      <w:r>
        <w:rPr>
          <w:color w:val="231F20"/>
          <w:spacing w:val="-10"/>
          <w:w w:val="105"/>
        </w:rPr>
        <w:t> </w:t>
      </w:r>
      <w:r>
        <w:rPr>
          <w:color w:val="231F20"/>
          <w:w w:val="105"/>
        </w:rPr>
        <w:t>sign;</w:t>
      </w:r>
      <w:r>
        <w:rPr>
          <w:color w:val="231F20"/>
          <w:spacing w:val="-9"/>
          <w:w w:val="105"/>
        </w:rPr>
        <w:t> </w:t>
      </w:r>
      <w:r>
        <w:rPr>
          <w:color w:val="231F20"/>
          <w:w w:val="105"/>
        </w:rPr>
        <w:t>[</w:t>
      </w:r>
      <w:r>
        <w:rPr>
          <w:color w:val="231F20"/>
          <w:spacing w:val="-10"/>
          <w:w w:val="105"/>
        </w:rPr>
        <w:t> </w:t>
      </w:r>
      <w:r>
        <w:rPr>
          <w:color w:val="231F20"/>
          <w:w w:val="105"/>
        </w:rPr>
        <w:t>open</w:t>
      </w:r>
      <w:r>
        <w:rPr>
          <w:color w:val="231F20"/>
          <w:spacing w:val="-10"/>
          <w:w w:val="105"/>
        </w:rPr>
        <w:t> </w:t>
      </w:r>
      <w:r>
        <w:rPr>
          <w:color w:val="231F20"/>
          <w:w w:val="105"/>
        </w:rPr>
        <w:t>square</w:t>
      </w:r>
      <w:r>
        <w:rPr>
          <w:color w:val="231F20"/>
          <w:spacing w:val="-9"/>
          <w:w w:val="105"/>
        </w:rPr>
        <w:t> </w:t>
      </w:r>
      <w:r>
        <w:rPr>
          <w:color w:val="231F20"/>
          <w:w w:val="105"/>
        </w:rPr>
        <w:t>bracket;</w:t>
      </w:r>
      <w:r>
        <w:rPr>
          <w:color w:val="231F20"/>
          <w:spacing w:val="-10"/>
          <w:w w:val="105"/>
        </w:rPr>
        <w:t> </w:t>
      </w:r>
      <w:r>
        <w:rPr>
          <w:color w:val="231F20"/>
          <w:w w:val="105"/>
        </w:rPr>
        <w:t>{</w:t>
      </w:r>
      <w:r>
        <w:rPr>
          <w:color w:val="231F20"/>
          <w:spacing w:val="-9"/>
          <w:w w:val="105"/>
        </w:rPr>
        <w:t> </w:t>
      </w:r>
      <w:r>
        <w:rPr>
          <w:color w:val="231F20"/>
          <w:w w:val="105"/>
        </w:rPr>
        <w:t>open</w:t>
      </w:r>
      <w:r>
        <w:rPr>
          <w:color w:val="231F20"/>
          <w:spacing w:val="-10"/>
          <w:w w:val="105"/>
        </w:rPr>
        <w:t> </w:t>
      </w:r>
      <w:r>
        <w:rPr>
          <w:color w:val="231F20"/>
          <w:w w:val="105"/>
        </w:rPr>
        <w:t>and</w:t>
      </w:r>
      <w:r>
        <w:rPr>
          <w:color w:val="231F20"/>
          <w:spacing w:val="-10"/>
          <w:w w:val="105"/>
        </w:rPr>
        <w:t> </w:t>
      </w:r>
      <w:r>
        <w:rPr>
          <w:color w:val="231F20"/>
          <w:w w:val="105"/>
        </w:rPr>
        <w:t>}</w:t>
      </w:r>
      <w:r>
        <w:rPr>
          <w:color w:val="231F20"/>
          <w:spacing w:val="-9"/>
          <w:w w:val="105"/>
        </w:rPr>
        <w:t> </w:t>
      </w:r>
      <w:r>
        <w:rPr>
          <w:color w:val="231F20"/>
          <w:w w:val="105"/>
        </w:rPr>
        <w:t>close</w:t>
      </w:r>
      <w:r>
        <w:rPr>
          <w:color w:val="231F20"/>
          <w:spacing w:val="-10"/>
          <w:w w:val="105"/>
        </w:rPr>
        <w:t> </w:t>
      </w:r>
      <w:r>
        <w:rPr>
          <w:color w:val="231F20"/>
          <w:w w:val="105"/>
        </w:rPr>
        <w:t>curly braces. For example, </w:t>
      </w:r>
      <w:r>
        <w:rPr>
          <w:rFonts w:ascii="Arial"/>
          <w:color w:val="231F20"/>
          <w:w w:val="105"/>
        </w:rPr>
        <w:t>\#my_situation </w:t>
      </w:r>
      <w:r>
        <w:rPr>
          <w:color w:val="231F20"/>
          <w:w w:val="105"/>
        </w:rPr>
        <w:t>to find </w:t>
      </w:r>
      <w:r>
        <w:rPr>
          <w:rFonts w:ascii="Arial"/>
          <w:color w:val="231F20"/>
          <w:w w:val="105"/>
        </w:rPr>
        <w:t>#my_situation </w:t>
      </w:r>
      <w:r>
        <w:rPr>
          <w:color w:val="231F20"/>
          <w:w w:val="105"/>
        </w:rPr>
        <w:t>in the Message Log view.</w:t>
      </w:r>
    </w:p>
    <w:p>
      <w:pPr>
        <w:pStyle w:val="BodyText"/>
        <w:spacing w:line="213" w:lineRule="auto"/>
        <w:ind w:left="3004" w:right="202"/>
      </w:pPr>
      <w:r>
        <w:rPr>
          <w:color w:val="231F20"/>
          <w:w w:val="105"/>
        </w:rPr>
        <w:t>These</w:t>
      </w:r>
      <w:r>
        <w:rPr>
          <w:color w:val="231F20"/>
          <w:spacing w:val="-1"/>
          <w:w w:val="105"/>
        </w:rPr>
        <w:t> </w:t>
      </w:r>
      <w:r>
        <w:rPr>
          <w:color w:val="231F20"/>
          <w:w w:val="105"/>
        </w:rPr>
        <w:t>special</w:t>
      </w:r>
      <w:r>
        <w:rPr>
          <w:color w:val="231F20"/>
          <w:spacing w:val="-1"/>
          <w:w w:val="105"/>
        </w:rPr>
        <w:t> </w:t>
      </w:r>
      <w:r>
        <w:rPr>
          <w:color w:val="231F20"/>
          <w:w w:val="105"/>
        </w:rPr>
        <w:t>characters</w:t>
      </w:r>
      <w:r>
        <w:rPr>
          <w:color w:val="231F20"/>
          <w:spacing w:val="-1"/>
          <w:w w:val="105"/>
        </w:rPr>
        <w:t> </w:t>
      </w:r>
      <w:r>
        <w:rPr>
          <w:color w:val="231F20"/>
          <w:w w:val="105"/>
        </w:rPr>
        <w:t>do</w:t>
      </w:r>
      <w:r>
        <w:rPr>
          <w:color w:val="231F20"/>
          <w:spacing w:val="-1"/>
          <w:w w:val="105"/>
        </w:rPr>
        <w:t> </w:t>
      </w:r>
      <w:r>
        <w:rPr>
          <w:color w:val="231F20"/>
          <w:w w:val="105"/>
        </w:rPr>
        <w:t>not</w:t>
      </w:r>
      <w:r>
        <w:rPr>
          <w:color w:val="231F20"/>
          <w:spacing w:val="-1"/>
          <w:w w:val="105"/>
        </w:rPr>
        <w:t> </w:t>
      </w:r>
      <w:r>
        <w:rPr>
          <w:color w:val="231F20"/>
          <w:w w:val="105"/>
        </w:rPr>
        <w:t>need</w:t>
      </w:r>
      <w:r>
        <w:rPr>
          <w:color w:val="231F20"/>
          <w:spacing w:val="-1"/>
          <w:w w:val="105"/>
        </w:rPr>
        <w:t> </w:t>
      </w:r>
      <w:r>
        <w:rPr>
          <w:color w:val="231F20"/>
          <w:w w:val="105"/>
        </w:rPr>
        <w:t>the</w:t>
      </w:r>
      <w:r>
        <w:rPr>
          <w:color w:val="231F20"/>
          <w:spacing w:val="-1"/>
          <w:w w:val="105"/>
        </w:rPr>
        <w:t> </w:t>
      </w:r>
      <w:r>
        <w:rPr>
          <w:color w:val="231F20"/>
          <w:w w:val="105"/>
        </w:rPr>
        <w:t>escape</w:t>
      </w:r>
      <w:r>
        <w:rPr>
          <w:color w:val="231F20"/>
          <w:spacing w:val="-1"/>
          <w:w w:val="105"/>
        </w:rPr>
        <w:t> </w:t>
      </w:r>
      <w:r>
        <w:rPr>
          <w:color w:val="231F20"/>
          <w:w w:val="105"/>
        </w:rPr>
        <w:t>character:</w:t>
      </w:r>
      <w:r>
        <w:rPr>
          <w:color w:val="231F20"/>
          <w:spacing w:val="-1"/>
          <w:w w:val="105"/>
        </w:rPr>
        <w:t> </w:t>
      </w:r>
      <w:r>
        <w:rPr>
          <w:color w:val="231F20"/>
          <w:w w:val="105"/>
        </w:rPr>
        <w:t>!</w:t>
      </w:r>
      <w:r>
        <w:rPr>
          <w:color w:val="231F20"/>
          <w:spacing w:val="-1"/>
          <w:w w:val="105"/>
        </w:rPr>
        <w:t> </w:t>
      </w:r>
      <w:r>
        <w:rPr>
          <w:color w:val="231F20"/>
          <w:w w:val="105"/>
        </w:rPr>
        <w:t>exclamation point; @ at sign; % percentage; &amp; ampersand; = equal sign; &lt; open and &gt; </w:t>
      </w:r>
      <w:r>
        <w:rPr>
          <w:color w:val="231F20"/>
          <w:spacing w:val="-2"/>
          <w:w w:val="105"/>
        </w:rPr>
        <w:t>close</w:t>
      </w:r>
      <w:r>
        <w:rPr>
          <w:color w:val="231F20"/>
          <w:spacing w:val="-7"/>
          <w:w w:val="105"/>
        </w:rPr>
        <w:t> </w:t>
      </w:r>
      <w:r>
        <w:rPr>
          <w:color w:val="231F20"/>
          <w:spacing w:val="-2"/>
          <w:w w:val="105"/>
        </w:rPr>
        <w:t>pointed</w:t>
      </w:r>
      <w:r>
        <w:rPr>
          <w:color w:val="231F20"/>
          <w:spacing w:val="-3"/>
          <w:w w:val="105"/>
        </w:rPr>
        <w:t> </w:t>
      </w:r>
      <w:r>
        <w:rPr>
          <w:color w:val="231F20"/>
          <w:spacing w:val="-2"/>
          <w:w w:val="105"/>
        </w:rPr>
        <w:t>bracket;</w:t>
      </w:r>
      <w:r>
        <w:rPr>
          <w:color w:val="231F20"/>
          <w:spacing w:val="-3"/>
          <w:w w:val="105"/>
        </w:rPr>
        <w:t> </w:t>
      </w:r>
      <w:r>
        <w:rPr>
          <w:color w:val="231F20"/>
          <w:spacing w:val="-2"/>
          <w:w w:val="105"/>
        </w:rPr>
        <w:t>_</w:t>
      </w:r>
      <w:r>
        <w:rPr>
          <w:color w:val="231F20"/>
          <w:spacing w:val="-3"/>
          <w:w w:val="105"/>
        </w:rPr>
        <w:t> </w:t>
      </w:r>
      <w:r>
        <w:rPr>
          <w:color w:val="231F20"/>
          <w:spacing w:val="-2"/>
          <w:w w:val="105"/>
        </w:rPr>
        <w:t>underscore;</w:t>
      </w:r>
      <w:r>
        <w:rPr>
          <w:color w:val="231F20"/>
          <w:spacing w:val="-3"/>
          <w:w w:val="105"/>
        </w:rPr>
        <w:t> </w:t>
      </w:r>
      <w:r>
        <w:rPr>
          <w:color w:val="231F20"/>
          <w:spacing w:val="-2"/>
          <w:w w:val="105"/>
        </w:rPr>
        <w:t>-</w:t>
      </w:r>
      <w:r>
        <w:rPr>
          <w:color w:val="231F20"/>
          <w:spacing w:val="-3"/>
          <w:w w:val="105"/>
        </w:rPr>
        <w:t> </w:t>
      </w:r>
      <w:r>
        <w:rPr>
          <w:color w:val="231F20"/>
          <w:spacing w:val="-2"/>
          <w:w w:val="105"/>
        </w:rPr>
        <w:t>hyphen;</w:t>
      </w:r>
      <w:r>
        <w:rPr>
          <w:color w:val="231F20"/>
          <w:spacing w:val="-3"/>
          <w:w w:val="105"/>
        </w:rPr>
        <w:t> </w:t>
      </w:r>
      <w:r>
        <w:rPr>
          <w:color w:val="231F20"/>
          <w:spacing w:val="-2"/>
          <w:w w:val="105"/>
        </w:rPr>
        <w:t>]</w:t>
      </w:r>
      <w:r>
        <w:rPr>
          <w:color w:val="231F20"/>
          <w:spacing w:val="-3"/>
          <w:w w:val="105"/>
        </w:rPr>
        <w:t> </w:t>
      </w:r>
      <w:r>
        <w:rPr>
          <w:color w:val="231F20"/>
          <w:spacing w:val="-2"/>
          <w:w w:val="105"/>
        </w:rPr>
        <w:t>close</w:t>
      </w:r>
      <w:r>
        <w:rPr>
          <w:color w:val="231F20"/>
          <w:spacing w:val="-3"/>
          <w:w w:val="105"/>
        </w:rPr>
        <w:t> </w:t>
      </w:r>
      <w:r>
        <w:rPr>
          <w:color w:val="231F20"/>
          <w:spacing w:val="-2"/>
          <w:w w:val="105"/>
        </w:rPr>
        <w:t>square</w:t>
      </w:r>
      <w:r>
        <w:rPr>
          <w:color w:val="231F20"/>
          <w:spacing w:val="-3"/>
          <w:w w:val="105"/>
        </w:rPr>
        <w:t> </w:t>
      </w:r>
      <w:r>
        <w:rPr>
          <w:color w:val="231F20"/>
          <w:spacing w:val="-2"/>
          <w:w w:val="105"/>
        </w:rPr>
        <w:t>bracket;</w:t>
      </w:r>
      <w:r>
        <w:rPr>
          <w:color w:val="231F20"/>
          <w:spacing w:val="-3"/>
          <w:w w:val="105"/>
        </w:rPr>
        <w:t> </w:t>
      </w:r>
      <w:r>
        <w:rPr>
          <w:color w:val="231F20"/>
          <w:spacing w:val="-2"/>
          <w:w w:val="140"/>
        </w:rPr>
        <w:t>/</w:t>
      </w:r>
      <w:r>
        <w:rPr>
          <w:color w:val="231F20"/>
          <w:spacing w:val="-16"/>
          <w:w w:val="140"/>
        </w:rPr>
        <w:t> </w:t>
      </w:r>
      <w:r>
        <w:rPr>
          <w:color w:val="231F20"/>
          <w:spacing w:val="-2"/>
          <w:w w:val="105"/>
        </w:rPr>
        <w:t>slash;</w:t>
      </w:r>
    </w:p>
    <w:p>
      <w:pPr>
        <w:pStyle w:val="BodyText"/>
        <w:spacing w:line="245" w:lineRule="exact"/>
        <w:ind w:left="3004"/>
      </w:pPr>
      <w:r>
        <w:rPr>
          <w:color w:val="231F20"/>
        </w:rPr>
        <w:t>:</w:t>
      </w:r>
      <w:r>
        <w:rPr>
          <w:color w:val="231F20"/>
          <w:spacing w:val="13"/>
        </w:rPr>
        <w:t> </w:t>
      </w:r>
      <w:r>
        <w:rPr>
          <w:color w:val="231F20"/>
        </w:rPr>
        <w:t>colon;</w:t>
      </w:r>
      <w:r>
        <w:rPr>
          <w:color w:val="231F20"/>
          <w:spacing w:val="14"/>
        </w:rPr>
        <w:t> </w:t>
      </w:r>
      <w:r>
        <w:rPr>
          <w:color w:val="231F20"/>
        </w:rPr>
        <w:t>and</w:t>
      </w:r>
      <w:r>
        <w:rPr>
          <w:color w:val="231F20"/>
          <w:spacing w:val="13"/>
        </w:rPr>
        <w:t> </w:t>
      </w:r>
      <w:r>
        <w:rPr>
          <w:color w:val="231F20"/>
        </w:rPr>
        <w:t>;</w:t>
      </w:r>
      <w:r>
        <w:rPr>
          <w:color w:val="231F20"/>
          <w:spacing w:val="14"/>
        </w:rPr>
        <w:t> </w:t>
      </w:r>
      <w:r>
        <w:rPr>
          <w:color w:val="231F20"/>
          <w:spacing w:val="-2"/>
        </w:rPr>
        <w:t>semicolon.</w:t>
      </w:r>
    </w:p>
    <w:p>
      <w:pPr>
        <w:pStyle w:val="ListParagraph"/>
        <w:numPr>
          <w:ilvl w:val="0"/>
          <w:numId w:val="19"/>
        </w:numPr>
        <w:tabs>
          <w:tab w:pos="2787" w:val="left" w:leader="none"/>
        </w:tabs>
        <w:spacing w:line="240" w:lineRule="auto" w:before="24" w:after="0"/>
        <w:ind w:left="2787" w:right="0" w:hanging="315"/>
        <w:jc w:val="left"/>
        <w:rPr>
          <w:sz w:val="20"/>
        </w:rPr>
      </w:pPr>
      <w:r>
        <w:rPr>
          <w:color w:val="231F20"/>
          <w:sz w:val="20"/>
        </w:rPr>
        <w:t>Select</w:t>
      </w:r>
      <w:r>
        <w:rPr>
          <w:color w:val="231F20"/>
          <w:spacing w:val="12"/>
          <w:sz w:val="20"/>
        </w:rPr>
        <w:t> </w:t>
      </w:r>
      <w:r>
        <w:rPr>
          <w:color w:val="231F20"/>
          <w:sz w:val="20"/>
        </w:rPr>
        <w:t>or</w:t>
      </w:r>
      <w:r>
        <w:rPr>
          <w:color w:val="231F20"/>
          <w:spacing w:val="12"/>
          <w:sz w:val="20"/>
        </w:rPr>
        <w:t> </w:t>
      </w:r>
      <w:r>
        <w:rPr>
          <w:color w:val="231F20"/>
          <w:sz w:val="20"/>
        </w:rPr>
        <w:t>clear</w:t>
      </w:r>
      <w:r>
        <w:rPr>
          <w:color w:val="231F20"/>
          <w:spacing w:val="13"/>
          <w:sz w:val="20"/>
        </w:rPr>
        <w:t> </w:t>
      </w:r>
      <w:r>
        <w:rPr>
          <w:color w:val="231F20"/>
          <w:sz w:val="20"/>
        </w:rPr>
        <w:t>any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3"/>
          <w:sz w:val="20"/>
        </w:rPr>
        <w:t> </w:t>
      </w:r>
      <w:r>
        <w:rPr>
          <w:color w:val="231F20"/>
          <w:sz w:val="20"/>
        </w:rPr>
        <w:t>check</w:t>
      </w:r>
      <w:r>
        <w:rPr>
          <w:color w:val="231F20"/>
          <w:spacing w:val="12"/>
          <w:sz w:val="20"/>
        </w:rPr>
        <w:t> </w:t>
      </w:r>
      <w:r>
        <w:rPr>
          <w:color w:val="231F20"/>
          <w:sz w:val="20"/>
        </w:rPr>
        <w:t>boxes</w:t>
      </w:r>
      <w:r>
        <w:rPr>
          <w:color w:val="231F20"/>
          <w:spacing w:val="12"/>
          <w:sz w:val="20"/>
        </w:rPr>
        <w:t> </w:t>
      </w:r>
      <w:r>
        <w:rPr>
          <w:color w:val="231F20"/>
          <w:sz w:val="20"/>
        </w:rPr>
        <w:t>and</w:t>
      </w:r>
      <w:r>
        <w:rPr>
          <w:color w:val="231F20"/>
          <w:spacing w:val="13"/>
          <w:sz w:val="20"/>
        </w:rPr>
        <w:t> </w:t>
      </w:r>
      <w:r>
        <w:rPr>
          <w:color w:val="231F20"/>
          <w:sz w:val="20"/>
        </w:rPr>
        <w:t>click</w:t>
      </w:r>
      <w:r>
        <w:rPr>
          <w:color w:val="231F20"/>
          <w:spacing w:val="12"/>
          <w:sz w:val="20"/>
        </w:rPr>
        <w:t> </w:t>
      </w:r>
      <w:r>
        <w:rPr>
          <w:rFonts w:ascii="Book Antiqua"/>
          <w:b/>
          <w:color w:val="231F20"/>
          <w:spacing w:val="-2"/>
          <w:sz w:val="20"/>
        </w:rPr>
        <w:t>Find</w:t>
      </w:r>
      <w:r>
        <w:rPr>
          <w:color w:val="231F20"/>
          <w:spacing w:val="-2"/>
          <w:sz w:val="20"/>
        </w:rPr>
        <w:t>.</w:t>
      </w:r>
    </w:p>
    <w:p>
      <w:pPr>
        <w:pStyle w:val="BodyText"/>
        <w:spacing w:line="252" w:lineRule="exact" w:before="34"/>
        <w:ind w:left="2788"/>
      </w:pPr>
      <w:r>
        <w:rPr>
          <w:rFonts w:ascii="Futura MdCn BT"/>
          <w:color w:val="231F20"/>
        </w:rPr>
        <w:t>v</w:t>
      </w:r>
      <w:r>
        <w:rPr>
          <w:rFonts w:ascii="Futura MdCn BT"/>
          <w:color w:val="231F20"/>
          <w:spacing w:val="31"/>
        </w:rPr>
        <w:t>  </w:t>
      </w:r>
      <w:r>
        <w:rPr>
          <w:rFonts w:ascii="Futura MdCn BT"/>
          <w:color w:val="231F20"/>
          <w:spacing w:val="-5"/>
        </w:rPr>
        <w:drawing>
          <wp:inline distT="0" distB="0" distL="0" distR="0">
            <wp:extent cx="82550" cy="82550"/>
            <wp:effectExtent l="0" t="0" r="0" b="0"/>
            <wp:docPr id="542" name="Image 542"/>
            <wp:cNvGraphicFramePr>
              <a:graphicFrameLocks/>
            </wp:cNvGraphicFramePr>
            <a:graphic>
              <a:graphicData uri="http://schemas.openxmlformats.org/drawingml/2006/picture">
                <pic:pic>
                  <pic:nvPicPr>
                    <pic:cNvPr id="542" name="Image 542"/>
                    <pic:cNvPicPr/>
                  </pic:nvPicPr>
                  <pic:blipFill>
                    <a:blip r:embed="rId87"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12"/>
        </w:rPr>
        <w:t> </w:t>
      </w:r>
      <w:r>
        <w:rPr>
          <w:rFonts w:ascii="Book Antiqua"/>
          <w:b/>
          <w:color w:val="231F20"/>
        </w:rPr>
        <w:t>Case</w:t>
      </w:r>
      <w:r>
        <w:rPr>
          <w:rFonts w:ascii="Book Antiqua"/>
          <w:b/>
          <w:color w:val="231F20"/>
          <w:spacing w:val="12"/>
        </w:rPr>
        <w:t> </w:t>
      </w:r>
      <w:r>
        <w:rPr>
          <w:rFonts w:ascii="Book Antiqua"/>
          <w:b/>
          <w:color w:val="231F20"/>
        </w:rPr>
        <w:t>Sensitive</w:t>
      </w:r>
      <w:r>
        <w:rPr>
          <w:rFonts w:ascii="Book Antiqua"/>
          <w:b/>
          <w:color w:val="231F20"/>
          <w:spacing w:val="13"/>
        </w:rPr>
        <w:t> </w:t>
      </w:r>
      <w:r>
        <w:rPr>
          <w:color w:val="231F20"/>
        </w:rPr>
        <w:t>to</w:t>
      </w:r>
      <w:r>
        <w:rPr>
          <w:color w:val="231F20"/>
          <w:spacing w:val="12"/>
        </w:rPr>
        <w:t> </w:t>
      </w:r>
      <w:r>
        <w:rPr>
          <w:color w:val="231F20"/>
        </w:rPr>
        <w:t>find</w:t>
      </w:r>
      <w:r>
        <w:rPr>
          <w:color w:val="231F20"/>
          <w:spacing w:val="12"/>
        </w:rPr>
        <w:t> </w:t>
      </w:r>
      <w:r>
        <w:rPr>
          <w:color w:val="231F20"/>
        </w:rPr>
        <w:t>only</w:t>
      </w:r>
      <w:r>
        <w:rPr>
          <w:color w:val="231F20"/>
          <w:spacing w:val="13"/>
        </w:rPr>
        <w:t> </w:t>
      </w:r>
      <w:r>
        <w:rPr>
          <w:color w:val="231F20"/>
        </w:rPr>
        <w:t>spellings</w:t>
      </w:r>
      <w:r>
        <w:rPr>
          <w:color w:val="231F20"/>
          <w:spacing w:val="12"/>
        </w:rPr>
        <w:t> </w:t>
      </w:r>
      <w:r>
        <w:rPr>
          <w:color w:val="231F20"/>
        </w:rPr>
        <w:t>that</w:t>
      </w:r>
      <w:r>
        <w:rPr>
          <w:color w:val="231F20"/>
          <w:spacing w:val="13"/>
        </w:rPr>
        <w:t> </w:t>
      </w:r>
      <w:r>
        <w:rPr>
          <w:color w:val="231F20"/>
        </w:rPr>
        <w:t>match</w:t>
      </w:r>
      <w:r>
        <w:rPr>
          <w:color w:val="231F20"/>
          <w:spacing w:val="12"/>
        </w:rPr>
        <w:t> </w:t>
      </w:r>
      <w:r>
        <w:rPr>
          <w:color w:val="231F20"/>
        </w:rPr>
        <w:t>the</w:t>
      </w:r>
      <w:r>
        <w:rPr>
          <w:color w:val="231F20"/>
          <w:spacing w:val="13"/>
        </w:rPr>
        <w:t> </w:t>
      </w:r>
      <w:r>
        <w:rPr>
          <w:color w:val="231F20"/>
        </w:rPr>
        <w:t>letter</w:t>
      </w:r>
      <w:r>
        <w:rPr>
          <w:color w:val="231F20"/>
          <w:spacing w:val="12"/>
        </w:rPr>
        <w:t> </w:t>
      </w:r>
      <w:r>
        <w:rPr>
          <w:color w:val="231F20"/>
        </w:rPr>
        <w:t>casing</w:t>
      </w:r>
      <w:r>
        <w:rPr>
          <w:color w:val="231F20"/>
          <w:spacing w:val="13"/>
        </w:rPr>
        <w:t> </w:t>
      </w:r>
      <w:r>
        <w:rPr>
          <w:color w:val="231F20"/>
        </w:rPr>
        <w:t>as</w:t>
      </w:r>
      <w:r>
        <w:rPr>
          <w:color w:val="231F20"/>
          <w:spacing w:val="12"/>
        </w:rPr>
        <w:t> </w:t>
      </w:r>
      <w:r>
        <w:rPr>
          <w:color w:val="231F20"/>
          <w:spacing w:val="-2"/>
        </w:rPr>
        <w:t>typed.</w:t>
      </w:r>
    </w:p>
    <w:p>
      <w:pPr>
        <w:pStyle w:val="BodyText"/>
        <w:spacing w:line="213" w:lineRule="auto" w:before="6"/>
        <w:ind w:left="3004" w:right="545"/>
      </w:pPr>
      <w:r>
        <w:rPr>
          <w:color w:val="231F20"/>
        </w:rPr>
        <w:t>When the check box is disabled, all variations of the letter casing can </w:t>
      </w:r>
      <w:r>
        <w:rPr>
          <w:color w:val="231F20"/>
        </w:rPr>
        <w:t>be </w:t>
      </w:r>
      <w:r>
        <w:rPr>
          <w:color w:val="231F20"/>
          <w:spacing w:val="-2"/>
        </w:rPr>
        <w:t>found.</w:t>
      </w:r>
    </w:p>
    <w:p>
      <w:pPr>
        <w:pStyle w:val="BodyText"/>
        <w:spacing w:line="208" w:lineRule="auto" w:before="67"/>
        <w:ind w:left="3004" w:right="493" w:hanging="216"/>
      </w:pPr>
      <w:r>
        <w:rPr>
          <w:rFonts w:ascii="Futura MdCn BT"/>
          <w:color w:val="231F20"/>
        </w:rPr>
        <w:t>v</w:t>
      </w:r>
      <w:r>
        <w:rPr>
          <w:rFonts w:ascii="Futura MdCn BT"/>
          <w:color w:val="231F20"/>
          <w:spacing w:val="80"/>
        </w:rPr>
        <w:t> </w:t>
      </w:r>
      <w:r>
        <w:rPr>
          <w:rFonts w:ascii="Futura MdCn BT"/>
          <w:color w:val="231F20"/>
          <w:spacing w:val="-5"/>
        </w:rPr>
        <w:drawing>
          <wp:inline distT="0" distB="0" distL="0" distR="0">
            <wp:extent cx="82550" cy="82550"/>
            <wp:effectExtent l="0" t="0" r="0" b="0"/>
            <wp:docPr id="543" name="Image 543"/>
            <wp:cNvGraphicFramePr>
              <a:graphicFrameLocks/>
            </wp:cNvGraphicFramePr>
            <a:graphic>
              <a:graphicData uri="http://schemas.openxmlformats.org/drawingml/2006/picture">
                <pic:pic>
                  <pic:nvPicPr>
                    <pic:cNvPr id="543" name="Image 543"/>
                    <pic:cNvPicPr/>
                  </pic:nvPicPr>
                  <pic:blipFill>
                    <a:blip r:embed="rId120"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5"/>
        </w:rPr>
        <w:t> </w:t>
      </w:r>
      <w:r>
        <w:rPr>
          <w:rFonts w:ascii="Book Antiqua"/>
          <w:b/>
          <w:color w:val="231F20"/>
        </w:rPr>
        <w:t>Backwards </w:t>
      </w:r>
      <w:r>
        <w:rPr>
          <w:color w:val="231F20"/>
        </w:rPr>
        <w:t>to search from the cursor point backwards. When the </w:t>
      </w:r>
      <w:r>
        <w:rPr>
          <w:color w:val="231F20"/>
        </w:rPr>
        <w:t>check</w:t>
      </w:r>
      <w:r>
        <w:rPr>
          <w:color w:val="231F20"/>
        </w:rPr>
        <w:t> box is disabled, the default, the search will be from this point forward.</w:t>
      </w:r>
    </w:p>
    <w:p>
      <w:pPr>
        <w:pStyle w:val="BodyText"/>
        <w:spacing w:line="211" w:lineRule="auto" w:before="68"/>
        <w:ind w:left="3004" w:right="274" w:hanging="216"/>
      </w:pPr>
      <w:r>
        <w:rPr>
          <w:rFonts w:ascii="Futura MdCn BT"/>
          <w:color w:val="231F20"/>
        </w:rPr>
        <w:t>v</w:t>
      </w:r>
      <w:r>
        <w:rPr>
          <w:rFonts w:ascii="Futura MdCn BT"/>
          <w:color w:val="231F20"/>
          <w:spacing w:val="80"/>
          <w:w w:val="150"/>
        </w:rPr>
        <w:t> </w:t>
      </w:r>
      <w:r>
        <w:rPr>
          <w:rFonts w:ascii="Futura MdCn BT"/>
          <w:color w:val="231F20"/>
          <w:spacing w:val="-5"/>
        </w:rPr>
        <w:drawing>
          <wp:inline distT="0" distB="0" distL="0" distR="0">
            <wp:extent cx="82550" cy="82550"/>
            <wp:effectExtent l="0" t="0" r="0" b="0"/>
            <wp:docPr id="544" name="Image 544"/>
            <wp:cNvGraphicFramePr>
              <a:graphicFrameLocks/>
            </wp:cNvGraphicFramePr>
            <a:graphic>
              <a:graphicData uri="http://schemas.openxmlformats.org/drawingml/2006/picture">
                <pic:pic>
                  <pic:nvPicPr>
                    <pic:cNvPr id="544" name="Image 544"/>
                    <pic:cNvPicPr/>
                  </pic:nvPicPr>
                  <pic:blipFill>
                    <a:blip r:embed="rId87" cstate="print"/>
                    <a:stretch>
                      <a:fillRect/>
                    </a:stretch>
                  </pic:blipFill>
                  <pic:spPr>
                    <a:xfrm>
                      <a:off x="0" y="0"/>
                      <a:ext cx="82550" cy="82550"/>
                    </a:xfrm>
                    <a:prstGeom prst="rect">
                      <a:avLst/>
                    </a:prstGeom>
                  </pic:spPr>
                </pic:pic>
              </a:graphicData>
            </a:graphic>
          </wp:inline>
        </w:drawing>
      </w:r>
      <w:r>
        <w:rPr>
          <w:rFonts w:ascii="Futura MdCn BT"/>
          <w:color w:val="231F20"/>
          <w:spacing w:val="-5"/>
        </w:rPr>
      </w:r>
      <w:r>
        <w:rPr>
          <w:rFonts w:ascii="Times New Roman"/>
          <w:color w:val="231F20"/>
          <w:spacing w:val="22"/>
        </w:rPr>
        <w:t> </w:t>
      </w:r>
      <w:r>
        <w:rPr>
          <w:rFonts w:ascii="Book Antiqua"/>
          <w:b/>
          <w:color w:val="231F20"/>
        </w:rPr>
        <w:t>Wrap</w:t>
      </w:r>
      <w:r>
        <w:rPr>
          <w:rFonts w:ascii="Book Antiqua"/>
          <w:b/>
          <w:color w:val="231F20"/>
          <w:spacing w:val="25"/>
        </w:rPr>
        <w:t> </w:t>
      </w:r>
      <w:r>
        <w:rPr>
          <w:rFonts w:ascii="Book Antiqua"/>
          <w:b/>
          <w:color w:val="231F20"/>
        </w:rPr>
        <w:t>Search</w:t>
      </w:r>
      <w:r>
        <w:rPr>
          <w:color w:val="231F20"/>
        </w:rPr>
        <w:t>,</w:t>
      </w:r>
      <w:r>
        <w:rPr>
          <w:color w:val="231F20"/>
          <w:spacing w:val="25"/>
        </w:rPr>
        <w:t> </w:t>
      </w:r>
      <w:r>
        <w:rPr>
          <w:color w:val="231F20"/>
        </w:rPr>
        <w:t>instead</w:t>
      </w:r>
      <w:r>
        <w:rPr>
          <w:color w:val="231F20"/>
          <w:spacing w:val="25"/>
        </w:rPr>
        <w:t> </w:t>
      </w:r>
      <w:r>
        <w:rPr>
          <w:color w:val="231F20"/>
        </w:rPr>
        <w:t>of</w:t>
      </w:r>
      <w:r>
        <w:rPr>
          <w:color w:val="231F20"/>
          <w:spacing w:val="25"/>
        </w:rPr>
        <w:t> </w:t>
      </w:r>
      <w:r>
        <w:rPr>
          <w:color w:val="231F20"/>
        </w:rPr>
        <w:t>stopping</w:t>
      </w:r>
      <w:r>
        <w:rPr>
          <w:color w:val="231F20"/>
          <w:spacing w:val="25"/>
        </w:rPr>
        <w:t> </w:t>
      </w:r>
      <w:r>
        <w:rPr>
          <w:color w:val="231F20"/>
        </w:rPr>
        <w:t>the</w:t>
      </w:r>
      <w:r>
        <w:rPr>
          <w:color w:val="231F20"/>
          <w:spacing w:val="25"/>
        </w:rPr>
        <w:t> </w:t>
      </w:r>
      <w:r>
        <w:rPr>
          <w:color w:val="231F20"/>
        </w:rPr>
        <w:t>search</w:t>
      </w:r>
      <w:r>
        <w:rPr>
          <w:color w:val="231F20"/>
          <w:spacing w:val="25"/>
        </w:rPr>
        <w:t> </w:t>
      </w:r>
      <w:r>
        <w:rPr>
          <w:color w:val="231F20"/>
        </w:rPr>
        <w:t>when</w:t>
      </w:r>
      <w:r>
        <w:rPr>
          <w:color w:val="231F20"/>
          <w:spacing w:val="25"/>
        </w:rPr>
        <w:t> </w:t>
      </w:r>
      <w:r>
        <w:rPr>
          <w:color w:val="231F20"/>
        </w:rPr>
        <w:t>the</w:t>
      </w:r>
      <w:r>
        <w:rPr>
          <w:color w:val="231F20"/>
          <w:spacing w:val="25"/>
        </w:rPr>
        <w:t> </w:t>
      </w:r>
      <w:r>
        <w:rPr>
          <w:color w:val="231F20"/>
        </w:rPr>
        <w:t>end</w:t>
      </w:r>
      <w:r>
        <w:rPr>
          <w:color w:val="231F20"/>
          <w:spacing w:val="25"/>
        </w:rPr>
        <w:t> </w:t>
      </w:r>
      <w:r>
        <w:rPr>
          <w:color w:val="231F20"/>
        </w:rPr>
        <w:t>of</w:t>
      </w:r>
      <w:r>
        <w:rPr>
          <w:color w:val="231F20"/>
          <w:spacing w:val="25"/>
        </w:rPr>
        <w:t> </w:t>
      </w:r>
      <w:r>
        <w:rPr>
          <w:color w:val="231F20"/>
        </w:rPr>
        <w:t>the</w:t>
      </w:r>
      <w:r>
        <w:rPr>
          <w:color w:val="231F20"/>
        </w:rPr>
        <w:t> document is reached, continues to search from the beginning and stops </w:t>
      </w:r>
      <w:r>
        <w:rPr>
          <w:color w:val="231F20"/>
        </w:rPr>
        <w:t>when</w:t>
      </w:r>
      <w:r>
        <w:rPr>
          <w:color w:val="231F20"/>
          <w:spacing w:val="40"/>
        </w:rPr>
        <w:t> </w:t>
      </w:r>
      <w:r>
        <w:rPr>
          <w:color w:val="231F20"/>
        </w:rPr>
        <w:t>it reaches the point where the search began. Clear the check box if you want</w:t>
      </w:r>
      <w:r>
        <w:rPr>
          <w:color w:val="231F20"/>
          <w:spacing w:val="40"/>
        </w:rPr>
        <w:t> </w:t>
      </w:r>
      <w:r>
        <w:rPr>
          <w:color w:val="231F20"/>
        </w:rPr>
        <w:t>the search to stop at the end of the document (or the beginning of the document if the search is backwards).</w:t>
      </w:r>
    </w:p>
    <w:p>
      <w:pPr>
        <w:pStyle w:val="ListParagraph"/>
        <w:numPr>
          <w:ilvl w:val="0"/>
          <w:numId w:val="19"/>
        </w:numPr>
        <w:tabs>
          <w:tab w:pos="2787" w:val="left" w:leader="none"/>
        </w:tabs>
        <w:spacing w:line="240" w:lineRule="auto" w:before="39" w:after="0"/>
        <w:ind w:left="2787" w:right="0" w:hanging="315"/>
        <w:jc w:val="left"/>
        <w:rPr>
          <w:sz w:val="20"/>
        </w:rPr>
      </w:pPr>
      <w:r>
        <w:rPr>
          <w:color w:val="231F20"/>
          <w:sz w:val="20"/>
        </w:rPr>
        <w:t>Click</w:t>
      </w:r>
      <w:r>
        <w:rPr>
          <w:color w:val="231F20"/>
          <w:spacing w:val="9"/>
          <w:sz w:val="20"/>
        </w:rPr>
        <w:t> </w:t>
      </w:r>
      <w:r>
        <w:rPr>
          <w:rFonts w:ascii="Book Antiqua"/>
          <w:b/>
          <w:color w:val="231F20"/>
          <w:sz w:val="20"/>
        </w:rPr>
        <w:t>Find</w:t>
      </w:r>
      <w:r>
        <w:rPr>
          <w:rFonts w:ascii="Book Antiqua"/>
          <w:b/>
          <w:color w:val="231F20"/>
          <w:spacing w:val="11"/>
          <w:sz w:val="20"/>
        </w:rPr>
        <w:t> </w:t>
      </w:r>
      <w:r>
        <w:rPr>
          <w:rFonts w:ascii="Book Antiqua"/>
          <w:b/>
          <w:color w:val="231F20"/>
          <w:sz w:val="20"/>
        </w:rPr>
        <w:t>Again</w:t>
      </w:r>
      <w:r>
        <w:rPr>
          <w:rFonts w:ascii="Book Antiqua"/>
          <w:b/>
          <w:color w:val="231F20"/>
          <w:spacing w:val="11"/>
          <w:sz w:val="20"/>
        </w:rPr>
        <w:t> </w:t>
      </w:r>
      <w:r>
        <w:rPr>
          <w:color w:val="231F20"/>
          <w:sz w:val="20"/>
        </w:rPr>
        <w:t>to</w:t>
      </w:r>
      <w:r>
        <w:rPr>
          <w:color w:val="231F20"/>
          <w:spacing w:val="11"/>
          <w:sz w:val="20"/>
        </w:rPr>
        <w:t> </w:t>
      </w:r>
      <w:r>
        <w:rPr>
          <w:color w:val="231F20"/>
          <w:sz w:val="20"/>
        </w:rPr>
        <w:t>search</w:t>
      </w:r>
      <w:r>
        <w:rPr>
          <w:color w:val="231F20"/>
          <w:spacing w:val="11"/>
          <w:sz w:val="20"/>
        </w:rPr>
        <w:t> </w:t>
      </w:r>
      <w:r>
        <w:rPr>
          <w:color w:val="231F20"/>
          <w:sz w:val="20"/>
        </w:rPr>
        <w:t>for</w:t>
      </w:r>
      <w:r>
        <w:rPr>
          <w:color w:val="231F20"/>
          <w:spacing w:val="11"/>
          <w:sz w:val="20"/>
        </w:rPr>
        <w:t> </w:t>
      </w:r>
      <w:r>
        <w:rPr>
          <w:color w:val="231F20"/>
          <w:sz w:val="20"/>
        </w:rPr>
        <w:t>the</w:t>
      </w:r>
      <w:r>
        <w:rPr>
          <w:color w:val="231F20"/>
          <w:spacing w:val="11"/>
          <w:sz w:val="20"/>
        </w:rPr>
        <w:t> </w:t>
      </w:r>
      <w:r>
        <w:rPr>
          <w:color w:val="231F20"/>
          <w:sz w:val="20"/>
        </w:rPr>
        <w:t>next</w:t>
      </w:r>
      <w:r>
        <w:rPr>
          <w:color w:val="231F20"/>
          <w:spacing w:val="11"/>
          <w:sz w:val="20"/>
        </w:rPr>
        <w:t> </w:t>
      </w:r>
      <w:r>
        <w:rPr>
          <w:color w:val="231F20"/>
          <w:sz w:val="20"/>
        </w:rPr>
        <w:t>instance</w:t>
      </w:r>
      <w:r>
        <w:rPr>
          <w:color w:val="231F20"/>
          <w:spacing w:val="11"/>
          <w:sz w:val="20"/>
        </w:rPr>
        <w:t> </w:t>
      </w:r>
      <w:r>
        <w:rPr>
          <w:color w:val="231F20"/>
          <w:sz w:val="20"/>
        </w:rPr>
        <w:t>or</w:t>
      </w:r>
      <w:r>
        <w:rPr>
          <w:color w:val="231F20"/>
          <w:spacing w:val="11"/>
          <w:sz w:val="20"/>
        </w:rPr>
        <w:t> </w:t>
      </w:r>
      <w:r>
        <w:rPr>
          <w:color w:val="231F20"/>
          <w:sz w:val="20"/>
        </w:rPr>
        <w:t>enter</w:t>
      </w:r>
      <w:r>
        <w:rPr>
          <w:color w:val="231F20"/>
          <w:spacing w:val="11"/>
          <w:sz w:val="20"/>
        </w:rPr>
        <w:t> </w:t>
      </w:r>
      <w:r>
        <w:rPr>
          <w:color w:val="231F20"/>
          <w:sz w:val="20"/>
        </w:rPr>
        <w:t>another</w:t>
      </w:r>
      <w:r>
        <w:rPr>
          <w:color w:val="231F20"/>
          <w:spacing w:val="11"/>
          <w:sz w:val="20"/>
        </w:rPr>
        <w:t> </w:t>
      </w:r>
      <w:r>
        <w:rPr>
          <w:color w:val="231F20"/>
          <w:sz w:val="20"/>
        </w:rPr>
        <w:t>search</w:t>
      </w:r>
      <w:r>
        <w:rPr>
          <w:color w:val="231F20"/>
          <w:spacing w:val="11"/>
          <w:sz w:val="20"/>
        </w:rPr>
        <w:t> </w:t>
      </w:r>
      <w:r>
        <w:rPr>
          <w:color w:val="231F20"/>
          <w:spacing w:val="-2"/>
          <w:sz w:val="20"/>
        </w:rPr>
        <w:t>term.</w:t>
      </w:r>
    </w:p>
    <w:p>
      <w:pPr>
        <w:pStyle w:val="Heading4"/>
        <w:spacing w:before="19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545"/>
      </w:pPr>
      <w:r>
        <w:rPr>
          <w:color w:val="231F20"/>
        </w:rPr>
        <w:t>You can click </w:t>
      </w:r>
      <w:r>
        <w:rPr>
          <w:rFonts w:ascii="Book Antiqua"/>
          <w:b/>
          <w:color w:val="231F20"/>
        </w:rPr>
        <w:t>Close </w:t>
      </w:r>
      <w:r>
        <w:rPr>
          <w:color w:val="231F20"/>
        </w:rPr>
        <w:t>when you are done or leave the Find window open for this view while the workspace is open.</w:t>
      </w:r>
    </w:p>
    <w:p>
      <w:pPr>
        <w:spacing w:after="0" w:line="213" w:lineRule="auto"/>
        <w:sectPr>
          <w:pgSz w:w="12240" w:h="15840"/>
          <w:pgMar w:header="0" w:footer="736" w:top="1180" w:bottom="920" w:left="1000" w:right="1060"/>
        </w:sectPr>
      </w:pPr>
    </w:p>
    <w:p>
      <w:pPr>
        <w:pStyle w:val="Heading6"/>
        <w:spacing w:line="240" w:lineRule="auto" w:before="62"/>
        <w:ind w:left="2232"/>
        <w:rPr>
          <w:rFonts w:ascii="Palatino Linotype"/>
          <w:b w:val="0"/>
        </w:rPr>
      </w:pPr>
      <w:bookmarkStart w:name="_bookmark37" w:id="86"/>
      <w:bookmarkEnd w:id="86"/>
      <w:r>
        <w:rPr>
          <w:b w:val="0"/>
        </w:rPr>
      </w: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before="29"/>
        <w:ind w:left="2232"/>
      </w:pPr>
      <w:hyperlink w:history="true" w:anchor="_bookmark37">
        <w:r>
          <w:rPr>
            <w:color w:val="231F20"/>
          </w:rPr>
          <w:t>“Table</w:t>
        </w:r>
        <w:r>
          <w:rPr>
            <w:color w:val="231F20"/>
            <w:spacing w:val="1"/>
          </w:rPr>
          <w:t> </w:t>
        </w:r>
        <w:r>
          <w:rPr>
            <w:color w:val="231F20"/>
          </w:rPr>
          <w:t>find</w:t>
        </w:r>
        <w:r>
          <w:rPr>
            <w:color w:val="231F20"/>
            <w:spacing w:val="2"/>
          </w:rPr>
          <w:t> </w:t>
        </w:r>
        <w:r>
          <w:rPr>
            <w:color w:val="231F20"/>
            <w:spacing w:val="-2"/>
          </w:rPr>
          <w:t>examples”</w:t>
        </w:r>
      </w:hyperlink>
    </w:p>
    <w:p>
      <w:pPr>
        <w:pStyle w:val="Heading6"/>
        <w:spacing w:line="240" w:lineRule="auto" w:before="30"/>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322">
        <w:r>
          <w:rPr>
            <w:color w:val="231F20"/>
          </w:rPr>
          <w:t>Cell</w:t>
        </w:r>
        <w:r>
          <w:rPr>
            <w:color w:val="231F20"/>
            <w:spacing w:val="12"/>
          </w:rPr>
          <w:t> </w:t>
        </w:r>
        <w:r>
          <w:rPr>
            <w:color w:val="231F20"/>
            <w:spacing w:val="-2"/>
          </w:rPr>
          <w:t>functions</w:t>
        </w:r>
      </w:hyperlink>
    </w:p>
    <w:p>
      <w:pPr>
        <w:pStyle w:val="BodyText"/>
        <w:spacing w:line="213" w:lineRule="auto" w:before="8"/>
        <w:ind w:left="2232" w:right="545"/>
      </w:pPr>
      <w:r>
        <w:rPr>
          <w:color w:val="231F20"/>
        </w:rPr>
        <w:t>Use the cell formula functions to add filters to queries and query-based views, </w:t>
      </w:r>
      <w:r>
        <w:rPr>
          <w:color w:val="231F20"/>
        </w:rPr>
        <w:t>and</w:t>
      </w:r>
      <w:r>
        <w:rPr>
          <w:color w:val="231F20"/>
          <w:spacing w:val="40"/>
        </w:rPr>
        <w:t> </w:t>
      </w:r>
      <w:r>
        <w:rPr>
          <w:color w:val="231F20"/>
        </w:rPr>
        <w:t>to set thresholds for situations and query-based views. The functions that are available depend on the type of attribute (numeric, text, or time) and in which</w:t>
      </w:r>
      <w:r>
        <w:rPr>
          <w:color w:val="231F20"/>
          <w:spacing w:val="80"/>
        </w:rPr>
        <w:t> </w:t>
      </w:r>
      <w:r>
        <w:rPr>
          <w:color w:val="231F20"/>
        </w:rPr>
        <w:t>editor you are working: Query, Situation, or Properties (Filters and Thresholds</w:t>
      </w:r>
      <w:r>
        <w:rPr>
          <w:color w:val="231F20"/>
          <w:spacing w:val="80"/>
        </w:rPr>
        <w:t> </w:t>
      </w:r>
      <w:r>
        <w:rPr>
          <w:color w:val="231F20"/>
          <w:spacing w:val="-2"/>
        </w:rPr>
        <w:t>tabs).</w:t>
      </w:r>
    </w:p>
    <w:p>
      <w:pPr>
        <w:pStyle w:val="Heading3"/>
        <w:spacing w:before="215"/>
        <w:ind w:left="1334"/>
      </w:pPr>
      <w:r>
        <w:rPr>
          <w:color w:val="231F20"/>
        </w:rPr>
        <w:t>Table</w:t>
      </w:r>
      <w:r>
        <w:rPr>
          <w:color w:val="231F20"/>
          <w:spacing w:val="-2"/>
        </w:rPr>
        <w:t> </w:t>
      </w:r>
      <w:r>
        <w:rPr>
          <w:color w:val="231F20"/>
        </w:rPr>
        <w:t>find</w:t>
      </w:r>
      <w:r>
        <w:rPr>
          <w:color w:val="231F20"/>
          <w:spacing w:val="-2"/>
        </w:rPr>
        <w:t> examples</w:t>
      </w:r>
    </w:p>
    <w:p>
      <w:pPr>
        <w:pStyle w:val="BodyText"/>
        <w:spacing w:line="213" w:lineRule="auto" w:before="58"/>
        <w:ind w:left="2232" w:right="475"/>
      </w:pPr>
      <w:r>
        <w:rPr>
          <w:color w:val="231F20"/>
        </w:rPr>
        <w:t>The</w:t>
      </w:r>
      <w:r>
        <w:rPr>
          <w:color w:val="231F20"/>
          <w:spacing w:val="30"/>
        </w:rPr>
        <w:t> </w:t>
      </w:r>
      <w:r>
        <w:rPr>
          <w:color w:val="231F20"/>
        </w:rPr>
        <w:t>criteria</w:t>
      </w:r>
      <w:r>
        <w:rPr>
          <w:color w:val="231F20"/>
          <w:spacing w:val="30"/>
        </w:rPr>
        <w:t> </w:t>
      </w:r>
      <w:r>
        <w:rPr>
          <w:color w:val="231F20"/>
        </w:rPr>
        <w:t>in</w:t>
      </w:r>
      <w:r>
        <w:rPr>
          <w:color w:val="231F20"/>
          <w:spacing w:val="30"/>
        </w:rPr>
        <w:t> </w:t>
      </w:r>
      <w:r>
        <w:rPr>
          <w:color w:val="231F20"/>
        </w:rPr>
        <w:t>this</w:t>
      </w:r>
      <w:r>
        <w:rPr>
          <w:color w:val="231F20"/>
          <w:spacing w:val="30"/>
        </w:rPr>
        <w:t> </w:t>
      </w:r>
      <w:r>
        <w:rPr>
          <w:color w:val="231F20"/>
        </w:rPr>
        <w:t>example</w:t>
      </w:r>
      <w:r>
        <w:rPr>
          <w:color w:val="231F20"/>
          <w:spacing w:val="30"/>
        </w:rPr>
        <w:t> </w:t>
      </w:r>
      <w:r>
        <w:rPr>
          <w:color w:val="231F20"/>
        </w:rPr>
        <w:t>will</w:t>
      </w:r>
      <w:r>
        <w:rPr>
          <w:color w:val="231F20"/>
          <w:spacing w:val="30"/>
        </w:rPr>
        <w:t> </w:t>
      </w:r>
      <w:r>
        <w:rPr>
          <w:color w:val="231F20"/>
        </w:rPr>
        <w:t>find</w:t>
      </w:r>
      <w:r>
        <w:rPr>
          <w:color w:val="231F20"/>
          <w:spacing w:val="30"/>
        </w:rPr>
        <w:t> </w:t>
      </w:r>
      <w:r>
        <w:rPr>
          <w:color w:val="231F20"/>
        </w:rPr>
        <w:t>cells</w:t>
      </w:r>
      <w:r>
        <w:rPr>
          <w:color w:val="231F20"/>
          <w:spacing w:val="30"/>
        </w:rPr>
        <w:t> </w:t>
      </w:r>
      <w:r>
        <w:rPr>
          <w:color w:val="231F20"/>
        </w:rPr>
        <w:t>whose</w:t>
      </w:r>
      <w:r>
        <w:rPr>
          <w:color w:val="231F20"/>
          <w:spacing w:val="21"/>
        </w:rPr>
        <w:t> </w:t>
      </w:r>
      <w:r>
        <w:rPr>
          <w:color w:val="231F20"/>
        </w:rPr>
        <w:t>AvgDiskBytes/Write</w:t>
      </w:r>
      <w:r>
        <w:rPr>
          <w:color w:val="231F20"/>
          <w:spacing w:val="30"/>
        </w:rPr>
        <w:t> </w:t>
      </w:r>
      <w:r>
        <w:rPr>
          <w:color w:val="231F20"/>
        </w:rPr>
        <w:t>value</w:t>
      </w:r>
      <w:r>
        <w:rPr>
          <w:color w:val="231F20"/>
          <w:spacing w:val="30"/>
        </w:rPr>
        <w:t> </w:t>
      </w:r>
      <w:r>
        <w:rPr>
          <w:color w:val="231F20"/>
        </w:rPr>
        <w:t>is</w:t>
      </w:r>
      <w:r>
        <w:rPr>
          <w:color w:val="231F20"/>
          <w:spacing w:val="30"/>
        </w:rPr>
        <w:t> </w:t>
      </w:r>
      <w:r>
        <w:rPr>
          <w:color w:val="231F20"/>
        </w:rPr>
        <w:t>at or</w:t>
      </w:r>
      <w:r>
        <w:rPr>
          <w:color w:val="231F20"/>
          <w:spacing w:val="16"/>
        </w:rPr>
        <w:t> </w:t>
      </w:r>
      <w:r>
        <w:rPr>
          <w:color w:val="231F20"/>
        </w:rPr>
        <w:t>above</w:t>
      </w:r>
      <w:r>
        <w:rPr>
          <w:color w:val="231F20"/>
          <w:spacing w:val="16"/>
        </w:rPr>
        <w:t> </w:t>
      </w:r>
      <w:r>
        <w:rPr>
          <w:color w:val="231F20"/>
        </w:rPr>
        <w:t>5,000</w:t>
      </w:r>
      <w:r>
        <w:rPr>
          <w:color w:val="231F20"/>
          <w:spacing w:val="16"/>
        </w:rPr>
        <w:t> </w:t>
      </w:r>
      <w:r>
        <w:rPr>
          <w:color w:val="231F20"/>
        </w:rPr>
        <w:t>and</w:t>
      </w:r>
      <w:r>
        <w:rPr>
          <w:color w:val="231F20"/>
          <w:spacing w:val="16"/>
        </w:rPr>
        <w:t> </w:t>
      </w:r>
      <w:r>
        <w:rPr>
          <w:color w:val="231F20"/>
        </w:rPr>
        <w:t>that</w:t>
      </w:r>
      <w:r>
        <w:rPr>
          <w:color w:val="231F20"/>
          <w:spacing w:val="16"/>
        </w:rPr>
        <w:t> </w:t>
      </w:r>
      <w:r>
        <w:rPr>
          <w:color w:val="231F20"/>
        </w:rPr>
        <w:t>were</w:t>
      </w:r>
      <w:r>
        <w:rPr>
          <w:color w:val="231F20"/>
          <w:spacing w:val="16"/>
        </w:rPr>
        <w:t> </w:t>
      </w:r>
      <w:r>
        <w:rPr>
          <w:color w:val="231F20"/>
        </w:rPr>
        <w:t>written</w:t>
      </w:r>
      <w:r>
        <w:rPr>
          <w:color w:val="231F20"/>
          <w:spacing w:val="16"/>
        </w:rPr>
        <w:t> </w:t>
      </w:r>
      <w:r>
        <w:rPr>
          <w:color w:val="231F20"/>
        </w:rPr>
        <w:t>on</w:t>
      </w:r>
      <w:r>
        <w:rPr>
          <w:color w:val="231F20"/>
          <w:spacing w:val="16"/>
        </w:rPr>
        <w:t> </w:t>
      </w:r>
      <w:r>
        <w:rPr>
          <w:color w:val="231F20"/>
        </w:rPr>
        <w:t>first</w:t>
      </w:r>
      <w:r>
        <w:rPr>
          <w:color w:val="231F20"/>
          <w:spacing w:val="16"/>
        </w:rPr>
        <w:t> </w:t>
      </w:r>
      <w:r>
        <w:rPr>
          <w:color w:val="231F20"/>
        </w:rPr>
        <w:t>day</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month</w:t>
      </w:r>
      <w:r>
        <w:rPr>
          <w:color w:val="231F20"/>
          <w:spacing w:val="16"/>
        </w:rPr>
        <w:t> </w:t>
      </w:r>
      <w:r>
        <w:rPr>
          <w:color w:val="231F20"/>
        </w:rPr>
        <w:t>(</w:t>
      </w:r>
      <w:r>
        <w:rPr>
          <w:color w:val="231F20"/>
          <w:spacing w:val="-2"/>
        </w:rPr>
        <w:drawing>
          <wp:inline distT="0" distB="0" distL="0" distR="0">
            <wp:extent cx="88900" cy="88900"/>
            <wp:effectExtent l="0" t="0" r="0" b="0"/>
            <wp:docPr id="545" name="Image 545"/>
            <wp:cNvGraphicFramePr>
              <a:graphicFrameLocks/>
            </wp:cNvGraphicFramePr>
            <a:graphic>
              <a:graphicData uri="http://schemas.openxmlformats.org/drawingml/2006/picture">
                <pic:pic>
                  <pic:nvPicPr>
                    <pic:cNvPr id="545" name="Image 545"/>
                    <pic:cNvPicPr/>
                  </pic:nvPicPr>
                  <pic:blipFill>
                    <a:blip r:embed="rId159" cstate="print"/>
                    <a:stretch>
                      <a:fillRect/>
                    </a:stretch>
                  </pic:blipFill>
                  <pic:spPr>
                    <a:xfrm>
                      <a:off x="0" y="0"/>
                      <a:ext cx="88900" cy="88900"/>
                    </a:xfrm>
                    <a:prstGeom prst="rect">
                      <a:avLst/>
                    </a:prstGeom>
                  </pic:spPr>
                </pic:pic>
              </a:graphicData>
            </a:graphic>
          </wp:inline>
        </w:drawing>
      </w:r>
      <w:r>
        <w:rPr>
          <w:color w:val="231F20"/>
          <w:spacing w:val="-2"/>
        </w:rPr>
      </w:r>
      <w:r>
        <w:rPr>
          <w:rFonts w:ascii="Times New Roman"/>
          <w:color w:val="231F20"/>
          <w:spacing w:val="-2"/>
        </w:rPr>
        <w:t> </w:t>
      </w:r>
      <w:r>
        <w:rPr>
          <w:rFonts w:ascii="Book Antiqua"/>
          <w:b/>
          <w:color w:val="231F20"/>
        </w:rPr>
        <w:t>Return</w:t>
      </w:r>
      <w:r>
        <w:rPr>
          <w:rFonts w:ascii="Book Antiqua"/>
          <w:b/>
          <w:color w:val="231F20"/>
          <w:spacing w:val="16"/>
        </w:rPr>
        <w:t> </w:t>
      </w:r>
      <w:r>
        <w:rPr>
          <w:rFonts w:ascii="Book Antiqua"/>
          <w:b/>
          <w:color w:val="231F20"/>
        </w:rPr>
        <w:t>a</w:t>
      </w:r>
      <w:r>
        <w:rPr>
          <w:rFonts w:ascii="Book Antiqua"/>
          <w:b/>
          <w:color w:val="231F20"/>
          <w:spacing w:val="16"/>
        </w:rPr>
        <w:t> </w:t>
      </w:r>
      <w:r>
        <w:rPr>
          <w:rFonts w:ascii="Book Antiqua"/>
          <w:b/>
          <w:color w:val="231F20"/>
        </w:rPr>
        <w:t>subset of the string </w:t>
      </w:r>
      <w:r>
        <w:rPr>
          <w:color w:val="231F20"/>
        </w:rPr>
        <w:t>in the formula is set to start at the fourth character in the time stamp,</w:t>
      </w:r>
      <w:r>
        <w:rPr>
          <w:color w:val="231F20"/>
          <w:spacing w:val="80"/>
        </w:rPr>
        <w:t> </w:t>
      </w:r>
      <w:r>
        <w:rPr>
          <w:color w:val="231F20"/>
        </w:rPr>
        <w:t>so</w:t>
      </w:r>
      <w:r>
        <w:rPr>
          <w:color w:val="231F20"/>
          <w:spacing w:val="40"/>
        </w:rPr>
        <w:t> </w:t>
      </w:r>
      <w:r>
        <w:rPr>
          <w:color w:val="231F20"/>
        </w:rPr>
        <w:t>it</w:t>
      </w:r>
      <w:r>
        <w:rPr>
          <w:color w:val="231F20"/>
          <w:spacing w:val="40"/>
        </w:rPr>
        <w:t> </w:t>
      </w:r>
      <w:r>
        <w:rPr>
          <w:color w:val="231F20"/>
        </w:rPr>
        <w:t>will</w:t>
      </w:r>
      <w:r>
        <w:rPr>
          <w:color w:val="231F20"/>
          <w:spacing w:val="40"/>
        </w:rPr>
        <w:t> </w:t>
      </w:r>
      <w:r>
        <w:rPr>
          <w:color w:val="231F20"/>
        </w:rPr>
        <w:t>find</w:t>
      </w:r>
      <w:r>
        <w:rPr>
          <w:color w:val="231F20"/>
          <w:spacing w:val="40"/>
        </w:rPr>
        <w:t> </w:t>
      </w:r>
      <w:r>
        <w:rPr>
          <w:color w:val="231F20"/>
        </w:rPr>
        <w:t>06/01/09</w:t>
      </w:r>
      <w:r>
        <w:rPr>
          <w:color w:val="231F20"/>
          <w:spacing w:val="40"/>
        </w:rPr>
        <w:t> </w:t>
      </w:r>
      <w:r>
        <w:rPr>
          <w:color w:val="231F20"/>
        </w:rPr>
        <w:t>and</w:t>
      </w:r>
      <w:r>
        <w:rPr>
          <w:color w:val="231F20"/>
          <w:spacing w:val="40"/>
        </w:rPr>
        <w:t> </w:t>
      </w:r>
      <w:r>
        <w:rPr>
          <w:color w:val="231F20"/>
        </w:rPr>
        <w:t>10/01/09</w:t>
      </w:r>
      <w:r>
        <w:rPr>
          <w:color w:val="231F20"/>
          <w:spacing w:val="40"/>
        </w:rPr>
        <w:t> </w:t>
      </w:r>
      <w:r>
        <w:rPr>
          <w:color w:val="231F20"/>
        </w:rPr>
        <w:t>but</w:t>
      </w:r>
      <w:r>
        <w:rPr>
          <w:color w:val="231F20"/>
          <w:spacing w:val="40"/>
        </w:rPr>
        <w:t> </w:t>
      </w:r>
      <w:r>
        <w:rPr>
          <w:color w:val="231F20"/>
        </w:rPr>
        <w:t>not</w:t>
      </w:r>
      <w:r>
        <w:rPr>
          <w:color w:val="231F20"/>
          <w:spacing w:val="40"/>
        </w:rPr>
        <w:t> </w:t>
      </w:r>
      <w:r>
        <w:rPr>
          <w:color w:val="231F20"/>
        </w:rPr>
        <w:t>06/13/09).</w:t>
      </w:r>
    </w:p>
    <w:p>
      <w:pPr>
        <w:pStyle w:val="BodyText"/>
        <w:spacing w:before="7"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86"/>
        <w:gridCol w:w="4448"/>
      </w:tblGrid>
      <w:tr>
        <w:trPr>
          <w:trHeight w:val="274" w:hRule="atLeast"/>
        </w:trPr>
        <w:tc>
          <w:tcPr>
            <w:tcW w:w="3086" w:type="dxa"/>
          </w:tcPr>
          <w:p>
            <w:pPr>
              <w:pStyle w:val="TableParagraph"/>
              <w:spacing w:before="10"/>
              <w:ind w:left="0" w:right="3"/>
              <w:jc w:val="center"/>
              <w:rPr>
                <w:rFonts w:ascii="Book Antiqua"/>
                <w:b/>
                <w:sz w:val="18"/>
              </w:rPr>
            </w:pPr>
            <w:r>
              <w:rPr>
                <w:rFonts w:ascii="Book Antiqua"/>
                <w:b/>
                <w:color w:val="231F20"/>
                <w:spacing w:val="-2"/>
                <w:sz w:val="18"/>
              </w:rPr>
              <w:t>Column</w:t>
            </w:r>
          </w:p>
        </w:tc>
        <w:tc>
          <w:tcPr>
            <w:tcW w:w="4448" w:type="dxa"/>
          </w:tcPr>
          <w:p>
            <w:pPr>
              <w:pStyle w:val="TableParagraph"/>
              <w:spacing w:before="10"/>
              <w:ind w:left="24"/>
              <w:jc w:val="center"/>
              <w:rPr>
                <w:rFonts w:ascii="Book Antiqua"/>
                <w:b/>
                <w:sz w:val="18"/>
              </w:rPr>
            </w:pPr>
            <w:r>
              <w:rPr>
                <w:rFonts w:ascii="Book Antiqua"/>
                <w:b/>
                <w:color w:val="231F20"/>
                <w:spacing w:val="-2"/>
                <w:sz w:val="18"/>
              </w:rPr>
              <w:t>Value</w:t>
            </w:r>
          </w:p>
        </w:tc>
      </w:tr>
      <w:tr>
        <w:trPr>
          <w:trHeight w:val="309" w:hRule="atLeast"/>
        </w:trPr>
        <w:tc>
          <w:tcPr>
            <w:tcW w:w="3086" w:type="dxa"/>
          </w:tcPr>
          <w:p>
            <w:pPr>
              <w:pStyle w:val="TableParagraph"/>
              <w:ind w:left="44"/>
              <w:rPr>
                <w:sz w:val="18"/>
              </w:rPr>
            </w:pPr>
            <w:r>
              <w:rPr>
                <w:color w:val="231F20"/>
                <w:spacing w:val="-2"/>
                <w:sz w:val="18"/>
              </w:rPr>
              <w:t>AvgDiskBytes/Write</w:t>
            </w:r>
          </w:p>
        </w:tc>
        <w:tc>
          <w:tcPr>
            <w:tcW w:w="4448" w:type="dxa"/>
          </w:tcPr>
          <w:p>
            <w:pPr>
              <w:pStyle w:val="TableParagraph"/>
              <w:rPr>
                <w:sz w:val="18"/>
              </w:rPr>
            </w:pPr>
            <w:r>
              <w:rPr>
                <w:color w:val="231F20"/>
                <w:w w:val="110"/>
                <w:sz w:val="18"/>
              </w:rPr>
              <w:t>&gt;=</w:t>
            </w:r>
            <w:r>
              <w:rPr>
                <w:color w:val="231F20"/>
                <w:spacing w:val="27"/>
                <w:w w:val="110"/>
                <w:sz w:val="18"/>
              </w:rPr>
              <w:t> </w:t>
            </w:r>
            <w:r>
              <w:rPr>
                <w:color w:val="231F20"/>
                <w:spacing w:val="-2"/>
                <w:w w:val="110"/>
                <w:sz w:val="18"/>
              </w:rPr>
              <w:t>5,000</w:t>
            </w:r>
          </w:p>
        </w:tc>
      </w:tr>
      <w:tr>
        <w:trPr>
          <w:trHeight w:val="314" w:hRule="atLeast"/>
        </w:trPr>
        <w:tc>
          <w:tcPr>
            <w:tcW w:w="3086" w:type="dxa"/>
          </w:tcPr>
          <w:p>
            <w:pPr>
              <w:pStyle w:val="TableParagraph"/>
              <w:ind w:left="44"/>
              <w:rPr>
                <w:sz w:val="18"/>
              </w:rPr>
            </w:pPr>
            <w:r>
              <w:rPr>
                <w:color w:val="231F20"/>
                <w:spacing w:val="-2"/>
                <w:sz w:val="18"/>
              </w:rPr>
              <w:t>Timestamp</w:t>
            </w:r>
          </w:p>
        </w:tc>
        <w:tc>
          <w:tcPr>
            <w:tcW w:w="4448" w:type="dxa"/>
          </w:tcPr>
          <w:p>
            <w:pPr>
              <w:pStyle w:val="TableParagraph"/>
              <w:rPr>
                <w:sz w:val="18"/>
              </w:rPr>
            </w:pPr>
            <w:r>
              <w:rPr/>
              <w:drawing>
                <wp:inline distT="0" distB="0" distL="0" distR="0">
                  <wp:extent cx="88900" cy="88900"/>
                  <wp:effectExtent l="0" t="0" r="0" b="0"/>
                  <wp:docPr id="546" name="Image 546"/>
                  <wp:cNvGraphicFramePr>
                    <a:graphicFrameLocks/>
                  </wp:cNvGraphicFramePr>
                  <a:graphic>
                    <a:graphicData uri="http://schemas.openxmlformats.org/drawingml/2006/picture">
                      <pic:pic>
                        <pic:nvPicPr>
                          <pic:cNvPr id="546" name="Image 546"/>
                          <pic:cNvPicPr/>
                        </pic:nvPicPr>
                        <pic:blipFill>
                          <a:blip r:embed="rId159" cstate="print"/>
                          <a:stretch>
                            <a:fillRect/>
                          </a:stretch>
                        </pic:blipFill>
                        <pic:spPr>
                          <a:xfrm>
                            <a:off x="0" y="0"/>
                            <a:ext cx="88900" cy="88900"/>
                          </a:xfrm>
                          <a:prstGeom prst="rect">
                            <a:avLst/>
                          </a:prstGeom>
                        </pic:spPr>
                      </pic:pic>
                    </a:graphicData>
                  </a:graphic>
                </wp:inline>
              </w:drawing>
            </w:r>
            <w:r>
              <w:rPr/>
            </w:r>
            <w:r>
              <w:rPr>
                <w:rFonts w:ascii="Times New Roman"/>
                <w:position w:val="2"/>
                <w:sz w:val="20"/>
              </w:rPr>
              <w:t> </w:t>
            </w:r>
            <w:r>
              <w:rPr>
                <w:color w:val="231F20"/>
                <w:w w:val="110"/>
                <w:position w:val="2"/>
                <w:sz w:val="18"/>
              </w:rPr>
              <w:t>==</w:t>
            </w:r>
            <w:r>
              <w:rPr>
                <w:color w:val="231F20"/>
                <w:spacing w:val="21"/>
                <w:w w:val="110"/>
                <w:position w:val="2"/>
                <w:sz w:val="18"/>
              </w:rPr>
              <w:t> </w:t>
            </w:r>
            <w:r>
              <w:rPr>
                <w:color w:val="231F20"/>
                <w:w w:val="110"/>
                <w:position w:val="2"/>
                <w:sz w:val="18"/>
              </w:rPr>
              <w:t>4,01</w:t>
            </w:r>
          </w:p>
        </w:tc>
      </w:tr>
    </w:tbl>
    <w:p>
      <w:pPr>
        <w:spacing w:line="194" w:lineRule="auto" w:before="170"/>
        <w:ind w:left="2232" w:right="545" w:firstLine="0"/>
        <w:jc w:val="left"/>
        <w:rPr>
          <w:sz w:val="20"/>
        </w:rPr>
      </w:pPr>
      <w:r>
        <w:rPr>
          <w:color w:val="231F20"/>
          <w:sz w:val="20"/>
        </w:rPr>
        <w:t>The criteria in this example were written for the table in the EIB Change Log workspace to find entries that have been updated and that have "Disk" </w:t>
      </w:r>
      <w:r>
        <w:rPr>
          <w:color w:val="231F20"/>
          <w:sz w:val="20"/>
        </w:rPr>
        <w:t>somewhere </w:t>
      </w:r>
      <w:r>
        <w:rPr>
          <w:color w:val="231F20"/>
          <w:position w:val="2"/>
          <w:sz w:val="20"/>
        </w:rPr>
        <w:t>in</w:t>
      </w:r>
      <w:r>
        <w:rPr>
          <w:color w:val="231F20"/>
          <w:spacing w:val="25"/>
          <w:position w:val="2"/>
          <w:sz w:val="20"/>
        </w:rPr>
        <w:t> </w:t>
      </w:r>
      <w:r>
        <w:rPr>
          <w:color w:val="231F20"/>
          <w:position w:val="2"/>
          <w:sz w:val="20"/>
        </w:rPr>
        <w:t>the</w:t>
      </w:r>
      <w:r>
        <w:rPr>
          <w:color w:val="231F20"/>
          <w:spacing w:val="25"/>
          <w:position w:val="2"/>
          <w:sz w:val="20"/>
        </w:rPr>
        <w:t> </w:t>
      </w:r>
      <w:r>
        <w:rPr>
          <w:color w:val="231F20"/>
          <w:position w:val="2"/>
          <w:sz w:val="20"/>
        </w:rPr>
        <w:t>name.</w:t>
      </w:r>
      <w:r>
        <w:rPr>
          <w:color w:val="231F20"/>
          <w:spacing w:val="25"/>
          <w:position w:val="2"/>
          <w:sz w:val="20"/>
        </w:rPr>
        <w:t> </w:t>
      </w:r>
      <w:r>
        <w:rPr>
          <w:color w:val="231F20"/>
          <w:position w:val="2"/>
          <w:sz w:val="20"/>
        </w:rPr>
        <w:t>(</w:t>
      </w:r>
      <w:r>
        <w:rPr>
          <w:color w:val="231F20"/>
          <w:spacing w:val="-1"/>
          <w:sz w:val="20"/>
        </w:rPr>
        <w:drawing>
          <wp:inline distT="0" distB="0" distL="0" distR="0">
            <wp:extent cx="88900" cy="88900"/>
            <wp:effectExtent l="0" t="0" r="0" b="0"/>
            <wp:docPr id="547" name="Image 547"/>
            <wp:cNvGraphicFramePr>
              <a:graphicFrameLocks/>
            </wp:cNvGraphicFramePr>
            <a:graphic>
              <a:graphicData uri="http://schemas.openxmlformats.org/drawingml/2006/picture">
                <pic:pic>
                  <pic:nvPicPr>
                    <pic:cNvPr id="547" name="Image 547"/>
                    <pic:cNvPicPr/>
                  </pic:nvPicPr>
                  <pic:blipFill>
                    <a:blip r:embed="rId159" cstate="print"/>
                    <a:stretch>
                      <a:fillRect/>
                    </a:stretch>
                  </pic:blipFill>
                  <pic:spPr>
                    <a:xfrm>
                      <a:off x="0" y="0"/>
                      <a:ext cx="88900" cy="88900"/>
                    </a:xfrm>
                    <a:prstGeom prst="rect">
                      <a:avLst/>
                    </a:prstGeom>
                  </pic:spPr>
                </pic:pic>
              </a:graphicData>
            </a:graphic>
          </wp:inline>
        </w:drawing>
      </w:r>
      <w:r>
        <w:rPr>
          <w:color w:val="231F20"/>
          <w:spacing w:val="-1"/>
          <w:sz w:val="20"/>
        </w:rPr>
      </w:r>
      <w:r>
        <w:rPr>
          <w:rFonts w:ascii="Times New Roman"/>
          <w:color w:val="231F20"/>
          <w:spacing w:val="-1"/>
          <w:position w:val="2"/>
          <w:sz w:val="20"/>
        </w:rPr>
        <w:t> </w:t>
      </w:r>
      <w:r>
        <w:rPr>
          <w:rFonts w:ascii="Book Antiqua"/>
          <w:b/>
          <w:color w:val="231F20"/>
          <w:position w:val="2"/>
          <w:sz w:val="20"/>
        </w:rPr>
        <w:t>Return</w:t>
      </w:r>
      <w:r>
        <w:rPr>
          <w:rFonts w:ascii="Book Antiqua"/>
          <w:b/>
          <w:color w:val="231F20"/>
          <w:spacing w:val="25"/>
          <w:position w:val="2"/>
          <w:sz w:val="20"/>
        </w:rPr>
        <w:t> </w:t>
      </w:r>
      <w:r>
        <w:rPr>
          <w:rFonts w:ascii="Book Antiqua"/>
          <w:b/>
          <w:color w:val="231F20"/>
          <w:position w:val="2"/>
          <w:sz w:val="20"/>
        </w:rPr>
        <w:t>a</w:t>
      </w:r>
      <w:r>
        <w:rPr>
          <w:rFonts w:ascii="Book Antiqua"/>
          <w:b/>
          <w:color w:val="231F20"/>
          <w:spacing w:val="25"/>
          <w:position w:val="2"/>
          <w:sz w:val="20"/>
        </w:rPr>
        <w:t> </w:t>
      </w:r>
      <w:r>
        <w:rPr>
          <w:rFonts w:ascii="Book Antiqua"/>
          <w:b/>
          <w:color w:val="231F20"/>
          <w:position w:val="2"/>
          <w:sz w:val="20"/>
        </w:rPr>
        <w:t>subset</w:t>
      </w:r>
      <w:r>
        <w:rPr>
          <w:rFonts w:ascii="Book Antiqua"/>
          <w:b/>
          <w:color w:val="231F20"/>
          <w:spacing w:val="25"/>
          <w:position w:val="2"/>
          <w:sz w:val="20"/>
        </w:rPr>
        <w:t> </w:t>
      </w:r>
      <w:r>
        <w:rPr>
          <w:rFonts w:ascii="Book Antiqua"/>
          <w:b/>
          <w:color w:val="231F20"/>
          <w:position w:val="2"/>
          <w:sz w:val="20"/>
        </w:rPr>
        <w:t>of</w:t>
      </w:r>
      <w:r>
        <w:rPr>
          <w:rFonts w:ascii="Book Antiqua"/>
          <w:b/>
          <w:color w:val="231F20"/>
          <w:spacing w:val="25"/>
          <w:position w:val="2"/>
          <w:sz w:val="20"/>
        </w:rPr>
        <w:t> </w:t>
      </w:r>
      <w:r>
        <w:rPr>
          <w:rFonts w:ascii="Book Antiqua"/>
          <w:b/>
          <w:color w:val="231F20"/>
          <w:position w:val="2"/>
          <w:sz w:val="20"/>
        </w:rPr>
        <w:t>the</w:t>
      </w:r>
      <w:r>
        <w:rPr>
          <w:rFonts w:ascii="Book Antiqua"/>
          <w:b/>
          <w:color w:val="231F20"/>
          <w:spacing w:val="25"/>
          <w:position w:val="2"/>
          <w:sz w:val="20"/>
        </w:rPr>
        <w:t> </w:t>
      </w:r>
      <w:r>
        <w:rPr>
          <w:rFonts w:ascii="Book Antiqua"/>
          <w:b/>
          <w:color w:val="231F20"/>
          <w:position w:val="2"/>
          <w:sz w:val="20"/>
        </w:rPr>
        <w:t>string</w:t>
      </w:r>
      <w:r>
        <w:rPr>
          <w:rFonts w:ascii="Book Antiqua"/>
          <w:b/>
          <w:color w:val="231F20"/>
          <w:spacing w:val="25"/>
          <w:position w:val="2"/>
          <w:sz w:val="20"/>
        </w:rPr>
        <w:t> </w:t>
      </w:r>
      <w:r>
        <w:rPr>
          <w:color w:val="231F20"/>
          <w:position w:val="2"/>
          <w:sz w:val="20"/>
        </w:rPr>
        <w:t>and</w:t>
      </w:r>
      <w:r>
        <w:rPr>
          <w:color w:val="231F20"/>
          <w:spacing w:val="16"/>
          <w:position w:val="2"/>
          <w:sz w:val="20"/>
        </w:rPr>
        <w:t> </w:t>
      </w:r>
      <w:r>
        <w:rPr>
          <w:color w:val="231F20"/>
          <w:spacing w:val="16"/>
          <w:sz w:val="20"/>
        </w:rPr>
        <w:drawing>
          <wp:inline distT="0" distB="0" distL="0" distR="0">
            <wp:extent cx="88900" cy="88900"/>
            <wp:effectExtent l="0" t="0" r="0" b="0"/>
            <wp:docPr id="548" name="Image 548"/>
            <wp:cNvGraphicFramePr>
              <a:graphicFrameLocks/>
            </wp:cNvGraphicFramePr>
            <a:graphic>
              <a:graphicData uri="http://schemas.openxmlformats.org/drawingml/2006/picture">
                <pic:pic>
                  <pic:nvPicPr>
                    <pic:cNvPr id="548" name="Image 548"/>
                    <pic:cNvPicPr/>
                  </pic:nvPicPr>
                  <pic:blipFill>
                    <a:blip r:embed="rId158" cstate="print"/>
                    <a:stretch>
                      <a:fillRect/>
                    </a:stretch>
                  </pic:blipFill>
                  <pic:spPr>
                    <a:xfrm>
                      <a:off x="0" y="0"/>
                      <a:ext cx="88900" cy="88900"/>
                    </a:xfrm>
                    <a:prstGeom prst="rect">
                      <a:avLst/>
                    </a:prstGeom>
                  </pic:spPr>
                </pic:pic>
              </a:graphicData>
            </a:graphic>
          </wp:inline>
        </w:drawing>
      </w:r>
      <w:r>
        <w:rPr>
          <w:color w:val="231F20"/>
          <w:spacing w:val="16"/>
          <w:sz w:val="20"/>
        </w:rPr>
      </w:r>
      <w:r>
        <w:rPr>
          <w:rFonts w:ascii="Times New Roman"/>
          <w:color w:val="231F20"/>
          <w:spacing w:val="-13"/>
          <w:position w:val="2"/>
          <w:sz w:val="20"/>
        </w:rPr>
        <w:t> </w:t>
      </w:r>
      <w:r>
        <w:rPr>
          <w:rFonts w:ascii="Book Antiqua"/>
          <w:b/>
          <w:color w:val="231F20"/>
          <w:position w:val="2"/>
          <w:sz w:val="20"/>
        </w:rPr>
        <w:t>Scan</w:t>
      </w:r>
      <w:r>
        <w:rPr>
          <w:rFonts w:ascii="Book Antiqua"/>
          <w:b/>
          <w:color w:val="231F20"/>
          <w:spacing w:val="25"/>
          <w:position w:val="2"/>
          <w:sz w:val="20"/>
        </w:rPr>
        <w:t> </w:t>
      </w:r>
      <w:r>
        <w:rPr>
          <w:rFonts w:ascii="Book Antiqua"/>
          <w:b/>
          <w:color w:val="231F20"/>
          <w:position w:val="2"/>
          <w:sz w:val="20"/>
        </w:rPr>
        <w:t>for</w:t>
      </w:r>
      <w:r>
        <w:rPr>
          <w:rFonts w:ascii="Book Antiqua"/>
          <w:b/>
          <w:color w:val="231F20"/>
          <w:spacing w:val="25"/>
          <w:position w:val="2"/>
          <w:sz w:val="20"/>
        </w:rPr>
        <w:t> </w:t>
      </w:r>
      <w:r>
        <w:rPr>
          <w:rFonts w:ascii="Book Antiqua"/>
          <w:b/>
          <w:color w:val="231F20"/>
          <w:position w:val="2"/>
          <w:sz w:val="20"/>
        </w:rPr>
        <w:t>string</w:t>
      </w:r>
      <w:r>
        <w:rPr>
          <w:rFonts w:ascii="Book Antiqua"/>
          <w:b/>
          <w:color w:val="231F20"/>
          <w:spacing w:val="25"/>
          <w:position w:val="2"/>
          <w:sz w:val="20"/>
        </w:rPr>
        <w:t> </w:t>
      </w:r>
      <w:r>
        <w:rPr>
          <w:rFonts w:ascii="Book Antiqua"/>
          <w:b/>
          <w:color w:val="231F20"/>
          <w:position w:val="2"/>
          <w:sz w:val="20"/>
        </w:rPr>
        <w:t>within</w:t>
      </w:r>
      <w:r>
        <w:rPr>
          <w:rFonts w:ascii="Book Antiqua"/>
          <w:b/>
          <w:color w:val="231F20"/>
          <w:spacing w:val="25"/>
          <w:position w:val="2"/>
          <w:sz w:val="20"/>
        </w:rPr>
        <w:t> </w:t>
      </w:r>
      <w:r>
        <w:rPr>
          <w:rFonts w:ascii="Book Antiqua"/>
          <w:b/>
          <w:color w:val="231F20"/>
          <w:position w:val="2"/>
          <w:sz w:val="20"/>
        </w:rPr>
        <w:t>a </w:t>
      </w:r>
      <w:r>
        <w:rPr>
          <w:rFonts w:ascii="Book Antiqua"/>
          <w:b/>
          <w:color w:val="231F20"/>
          <w:sz w:val="20"/>
        </w:rPr>
        <w:t>string </w:t>
      </w:r>
      <w:r>
        <w:rPr>
          <w:color w:val="231F20"/>
          <w:sz w:val="20"/>
        </w:rPr>
        <w:t>are described in </w:t>
      </w:r>
      <w:hyperlink w:history="true" w:anchor="_bookmark329">
        <w:r>
          <w:rPr>
            <w:color w:val="231F20"/>
            <w:sz w:val="20"/>
          </w:rPr>
          <w:t>STR</w:t>
        </w:r>
      </w:hyperlink>
      <w:r>
        <w:rPr>
          <w:color w:val="231F20"/>
          <w:sz w:val="20"/>
        </w:rPr>
        <w:t> and </w:t>
      </w:r>
      <w:hyperlink w:history="true" w:anchor="_bookmark327">
        <w:r>
          <w:rPr>
            <w:color w:val="231F20"/>
            <w:sz w:val="20"/>
          </w:rPr>
          <w:t>SCAN.)</w:t>
        </w:r>
      </w:hyperlink>
    </w:p>
    <w:p>
      <w:pPr>
        <w:pStyle w:val="BodyText"/>
        <w:spacing w:before="12"/>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86"/>
        <w:gridCol w:w="4448"/>
      </w:tblGrid>
      <w:tr>
        <w:trPr>
          <w:trHeight w:val="274" w:hRule="atLeast"/>
        </w:trPr>
        <w:tc>
          <w:tcPr>
            <w:tcW w:w="3086" w:type="dxa"/>
          </w:tcPr>
          <w:p>
            <w:pPr>
              <w:pStyle w:val="TableParagraph"/>
              <w:spacing w:before="10"/>
              <w:ind w:left="0" w:right="3"/>
              <w:jc w:val="center"/>
              <w:rPr>
                <w:rFonts w:ascii="Book Antiqua"/>
                <w:b/>
                <w:sz w:val="18"/>
              </w:rPr>
            </w:pPr>
            <w:r>
              <w:rPr>
                <w:rFonts w:ascii="Book Antiqua"/>
                <w:b/>
                <w:color w:val="231F20"/>
                <w:spacing w:val="-2"/>
                <w:sz w:val="18"/>
              </w:rPr>
              <w:t>Column</w:t>
            </w:r>
          </w:p>
        </w:tc>
        <w:tc>
          <w:tcPr>
            <w:tcW w:w="4448" w:type="dxa"/>
          </w:tcPr>
          <w:p>
            <w:pPr>
              <w:pStyle w:val="TableParagraph"/>
              <w:spacing w:before="10"/>
              <w:ind w:left="24"/>
              <w:jc w:val="center"/>
              <w:rPr>
                <w:rFonts w:ascii="Book Antiqua"/>
                <w:b/>
                <w:sz w:val="18"/>
              </w:rPr>
            </w:pPr>
            <w:r>
              <w:rPr>
                <w:rFonts w:ascii="Book Antiqua"/>
                <w:b/>
                <w:color w:val="231F20"/>
                <w:spacing w:val="-2"/>
                <w:sz w:val="18"/>
              </w:rPr>
              <w:t>Value</w:t>
            </w:r>
          </w:p>
        </w:tc>
      </w:tr>
      <w:tr>
        <w:trPr>
          <w:trHeight w:val="309" w:hRule="atLeast"/>
        </w:trPr>
        <w:tc>
          <w:tcPr>
            <w:tcW w:w="3086" w:type="dxa"/>
          </w:tcPr>
          <w:p>
            <w:pPr>
              <w:pStyle w:val="TableParagraph"/>
              <w:ind w:left="44"/>
              <w:rPr>
                <w:sz w:val="18"/>
              </w:rPr>
            </w:pPr>
            <w:r>
              <w:rPr>
                <w:color w:val="231F20"/>
                <w:spacing w:val="-2"/>
                <w:sz w:val="18"/>
              </w:rPr>
              <w:t>Table</w:t>
            </w:r>
            <w:r>
              <w:rPr>
                <w:color w:val="231F20"/>
                <w:spacing w:val="2"/>
                <w:sz w:val="18"/>
              </w:rPr>
              <w:t> </w:t>
            </w:r>
            <w:r>
              <w:rPr>
                <w:color w:val="231F20"/>
                <w:spacing w:val="-4"/>
                <w:sz w:val="18"/>
              </w:rPr>
              <w:t>Name</w:t>
            </w:r>
          </w:p>
        </w:tc>
        <w:tc>
          <w:tcPr>
            <w:tcW w:w="4448" w:type="dxa"/>
          </w:tcPr>
          <w:p>
            <w:pPr>
              <w:pStyle w:val="TableParagraph"/>
              <w:rPr>
                <w:sz w:val="18"/>
              </w:rPr>
            </w:pPr>
            <w:r>
              <w:rPr>
                <w:color w:val="231F20"/>
                <w:w w:val="105"/>
                <w:sz w:val="18"/>
              </w:rPr>
              <w:t>==</w:t>
            </w:r>
            <w:r>
              <w:rPr>
                <w:color w:val="231F20"/>
                <w:spacing w:val="38"/>
                <w:w w:val="105"/>
                <w:sz w:val="18"/>
              </w:rPr>
              <w:t> </w:t>
            </w:r>
            <w:r>
              <w:rPr>
                <w:color w:val="231F20"/>
                <w:spacing w:val="-2"/>
                <w:w w:val="105"/>
                <w:sz w:val="18"/>
              </w:rPr>
              <w:t>IDDefSituation</w:t>
            </w:r>
          </w:p>
        </w:tc>
      </w:tr>
      <w:tr>
        <w:trPr>
          <w:trHeight w:val="309" w:hRule="atLeast"/>
        </w:trPr>
        <w:tc>
          <w:tcPr>
            <w:tcW w:w="3086" w:type="dxa"/>
          </w:tcPr>
          <w:p>
            <w:pPr>
              <w:pStyle w:val="TableParagraph"/>
              <w:ind w:left="44"/>
              <w:rPr>
                <w:sz w:val="18"/>
              </w:rPr>
            </w:pPr>
            <w:r>
              <w:rPr>
                <w:color w:val="231F20"/>
                <w:spacing w:val="-2"/>
                <w:sz w:val="18"/>
              </w:rPr>
              <w:t>Operation</w:t>
            </w:r>
          </w:p>
        </w:tc>
        <w:tc>
          <w:tcPr>
            <w:tcW w:w="4448" w:type="dxa"/>
          </w:tcPr>
          <w:p>
            <w:pPr>
              <w:pStyle w:val="TableParagraph"/>
              <w:rPr>
                <w:sz w:val="18"/>
              </w:rPr>
            </w:pPr>
            <w:r>
              <w:rPr>
                <w:color w:val="231F20"/>
                <w:w w:val="105"/>
                <w:sz w:val="18"/>
              </w:rPr>
              <w:t>==</w:t>
            </w:r>
            <w:r>
              <w:rPr>
                <w:color w:val="231F20"/>
                <w:spacing w:val="38"/>
                <w:w w:val="105"/>
                <w:sz w:val="18"/>
              </w:rPr>
              <w:t> </w:t>
            </w:r>
            <w:r>
              <w:rPr>
                <w:color w:val="231F20"/>
                <w:spacing w:val="-2"/>
                <w:w w:val="105"/>
                <w:sz w:val="18"/>
              </w:rPr>
              <w:t>Update</w:t>
            </w:r>
          </w:p>
        </w:tc>
      </w:tr>
      <w:tr>
        <w:trPr>
          <w:trHeight w:val="314" w:hRule="atLeast"/>
        </w:trPr>
        <w:tc>
          <w:tcPr>
            <w:tcW w:w="3086" w:type="dxa"/>
          </w:tcPr>
          <w:p>
            <w:pPr>
              <w:pStyle w:val="TableParagraph"/>
              <w:ind w:left="44"/>
              <w:rPr>
                <w:sz w:val="18"/>
              </w:rPr>
            </w:pPr>
            <w:r>
              <w:rPr>
                <w:color w:val="231F20"/>
                <w:sz w:val="18"/>
              </w:rPr>
              <w:t>Object</w:t>
            </w:r>
            <w:r>
              <w:rPr>
                <w:color w:val="231F20"/>
                <w:spacing w:val="8"/>
                <w:sz w:val="18"/>
              </w:rPr>
              <w:t> </w:t>
            </w:r>
            <w:r>
              <w:rPr>
                <w:color w:val="231F20"/>
                <w:spacing w:val="-4"/>
                <w:sz w:val="18"/>
              </w:rPr>
              <w:t>Name</w:t>
            </w:r>
          </w:p>
        </w:tc>
        <w:tc>
          <w:tcPr>
            <w:tcW w:w="4448" w:type="dxa"/>
          </w:tcPr>
          <w:p>
            <w:pPr>
              <w:pStyle w:val="TableParagraph"/>
              <w:rPr>
                <w:sz w:val="18"/>
              </w:rPr>
            </w:pPr>
            <w:r>
              <w:rPr/>
              <w:drawing>
                <wp:inline distT="0" distB="0" distL="0" distR="0">
                  <wp:extent cx="63500" cy="63500"/>
                  <wp:effectExtent l="0" t="0" r="0" b="0"/>
                  <wp:docPr id="549" name="Image 549"/>
                  <wp:cNvGraphicFramePr>
                    <a:graphicFrameLocks/>
                  </wp:cNvGraphicFramePr>
                  <a:graphic>
                    <a:graphicData uri="http://schemas.openxmlformats.org/drawingml/2006/picture">
                      <pic:pic>
                        <pic:nvPicPr>
                          <pic:cNvPr id="549" name="Image 549"/>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80"/>
                <w:sz w:val="20"/>
              </w:rPr>
              <w:t> </w:t>
            </w:r>
            <w:r>
              <w:rPr>
                <w:color w:val="231F20"/>
                <w:sz w:val="18"/>
              </w:rPr>
              <w:t>SCAN==</w:t>
            </w:r>
            <w:r>
              <w:rPr>
                <w:color w:val="231F20"/>
                <w:spacing w:val="40"/>
                <w:sz w:val="18"/>
              </w:rPr>
              <w:t> </w:t>
            </w:r>
            <w:r>
              <w:rPr>
                <w:color w:val="231F20"/>
                <w:sz w:val="18"/>
              </w:rPr>
              <w:t>'Disk'</w:t>
            </w:r>
          </w:p>
        </w:tc>
      </w:tr>
    </w:tbl>
    <w:p>
      <w:pPr>
        <w:pStyle w:val="BodyText"/>
        <w:spacing w:before="138"/>
      </w:pPr>
    </w:p>
    <w:p>
      <w:pPr>
        <w:pStyle w:val="BodyText"/>
        <w:spacing w:line="213" w:lineRule="auto"/>
        <w:ind w:left="2232" w:right="636"/>
      </w:pPr>
      <w:r>
        <w:rPr>
          <w:color w:val="231F20"/>
        </w:rPr>
        <w:t>Most special characters are processed correctly in the find function. If you </w:t>
      </w:r>
      <w:r>
        <w:rPr>
          <w:color w:val="231F20"/>
        </w:rPr>
        <w:t>attempt to find text that includes a special character and it is not found, but you know it</w:t>
      </w:r>
      <w:r>
        <w:rPr>
          <w:color w:val="231F20"/>
          <w:spacing w:val="40"/>
        </w:rPr>
        <w:t> </w:t>
      </w:r>
      <w:r>
        <w:rPr>
          <w:color w:val="231F20"/>
        </w:rPr>
        <w:t>exists in your environment, precede the character with the \ backslash escape character. In this example, the user is searching through Temporary Storage</w:t>
      </w:r>
      <w:r>
        <w:rPr>
          <w:color w:val="231F20"/>
          <w:spacing w:val="80"/>
        </w:rPr>
        <w:t> </w:t>
      </w:r>
      <w:r>
        <w:rPr>
          <w:color w:val="231F20"/>
        </w:rPr>
        <w:t>Queues</w:t>
      </w:r>
      <w:r>
        <w:rPr>
          <w:color w:val="231F20"/>
          <w:spacing w:val="24"/>
        </w:rPr>
        <w:t> </w:t>
      </w:r>
      <w:r>
        <w:rPr>
          <w:color w:val="231F20"/>
        </w:rPr>
        <w:t>for</w:t>
      </w:r>
      <w:r>
        <w:rPr>
          <w:color w:val="231F20"/>
          <w:spacing w:val="24"/>
        </w:rPr>
        <w:t> </w:t>
      </w:r>
      <w:r>
        <w:rPr>
          <w:color w:val="231F20"/>
        </w:rPr>
        <w:t>a</w:t>
      </w:r>
      <w:r>
        <w:rPr>
          <w:color w:val="231F20"/>
          <w:spacing w:val="24"/>
        </w:rPr>
        <w:t> </w:t>
      </w:r>
      <w:r>
        <w:rPr>
          <w:color w:val="231F20"/>
        </w:rPr>
        <w:t>Queue</w:t>
      </w:r>
      <w:r>
        <w:rPr>
          <w:color w:val="231F20"/>
          <w:spacing w:val="24"/>
        </w:rPr>
        <w:t> </w:t>
      </w:r>
      <w:r>
        <w:rPr>
          <w:color w:val="231F20"/>
        </w:rPr>
        <w:t>ID</w:t>
      </w:r>
      <w:r>
        <w:rPr>
          <w:color w:val="231F20"/>
          <w:spacing w:val="24"/>
        </w:rPr>
        <w:t> </w:t>
      </w:r>
      <w:r>
        <w:rPr>
          <w:color w:val="231F20"/>
        </w:rPr>
        <w:t>of</w:t>
      </w:r>
      <w:r>
        <w:rPr>
          <w:color w:val="231F20"/>
          <w:spacing w:val="24"/>
        </w:rPr>
        <w:t> </w:t>
      </w:r>
      <w:r>
        <w:rPr>
          <w:color w:val="231F20"/>
        </w:rPr>
        <w:t>#ETC.</w:t>
      </w:r>
      <w:r>
        <w:rPr>
          <w:color w:val="231F20"/>
          <w:spacing w:val="24"/>
        </w:rPr>
        <w:t> </w:t>
      </w:r>
      <w:r>
        <w:rPr>
          <w:color w:val="231F20"/>
        </w:rPr>
        <w:t>This</w:t>
      </w:r>
      <w:r>
        <w:rPr>
          <w:color w:val="231F20"/>
          <w:spacing w:val="24"/>
        </w:rPr>
        <w:t> </w:t>
      </w:r>
      <w:r>
        <w:rPr>
          <w:color w:val="231F20"/>
        </w:rPr>
        <w:t>is</w:t>
      </w:r>
      <w:r>
        <w:rPr>
          <w:color w:val="231F20"/>
          <w:spacing w:val="24"/>
        </w:rPr>
        <w:t> </w:t>
      </w:r>
      <w:r>
        <w:rPr>
          <w:color w:val="231F20"/>
        </w:rPr>
        <w:t>how</w:t>
      </w:r>
      <w:r>
        <w:rPr>
          <w:color w:val="231F20"/>
          <w:spacing w:val="24"/>
        </w:rPr>
        <w:t> </w:t>
      </w:r>
      <w:r>
        <w:rPr>
          <w:color w:val="231F20"/>
        </w:rPr>
        <w:t>it</w:t>
      </w:r>
      <w:r>
        <w:rPr>
          <w:color w:val="231F20"/>
          <w:spacing w:val="24"/>
        </w:rPr>
        <w:t> </w:t>
      </w:r>
      <w:r>
        <w:rPr>
          <w:color w:val="231F20"/>
        </w:rPr>
        <w:t>is</w:t>
      </w:r>
      <w:r>
        <w:rPr>
          <w:color w:val="231F20"/>
          <w:spacing w:val="24"/>
        </w:rPr>
        <w:t> </w:t>
      </w:r>
      <w:r>
        <w:rPr>
          <w:color w:val="231F20"/>
        </w:rPr>
        <w:t>entered</w:t>
      </w:r>
      <w:r>
        <w:rPr>
          <w:color w:val="231F20"/>
          <w:spacing w:val="24"/>
        </w:rPr>
        <w:t> </w:t>
      </w:r>
      <w:r>
        <w:rPr>
          <w:color w:val="231F20"/>
        </w:rPr>
        <w:t>in</w:t>
      </w:r>
      <w:r>
        <w:rPr>
          <w:color w:val="231F20"/>
          <w:spacing w:val="24"/>
        </w:rPr>
        <w:t> </w:t>
      </w:r>
      <w:r>
        <w:rPr>
          <w:color w:val="231F20"/>
        </w:rPr>
        <w:t>the</w:t>
      </w:r>
      <w:r>
        <w:rPr>
          <w:color w:val="231F20"/>
          <w:spacing w:val="24"/>
        </w:rPr>
        <w:t> </w:t>
      </w:r>
      <w:r>
        <w:rPr>
          <w:color w:val="231F20"/>
        </w:rPr>
        <w:t>Value</w:t>
      </w:r>
      <w:r>
        <w:rPr>
          <w:color w:val="231F20"/>
          <w:spacing w:val="24"/>
        </w:rPr>
        <w:t> </w:t>
      </w:r>
      <w:r>
        <w:rPr>
          <w:color w:val="231F20"/>
        </w:rPr>
        <w:t>cell:</w:t>
      </w:r>
    </w:p>
    <w:p>
      <w:pPr>
        <w:pStyle w:val="BodyText"/>
        <w:spacing w:before="6"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86"/>
        <w:gridCol w:w="4448"/>
      </w:tblGrid>
      <w:tr>
        <w:trPr>
          <w:trHeight w:val="274" w:hRule="atLeast"/>
        </w:trPr>
        <w:tc>
          <w:tcPr>
            <w:tcW w:w="3086" w:type="dxa"/>
          </w:tcPr>
          <w:p>
            <w:pPr>
              <w:pStyle w:val="TableParagraph"/>
              <w:spacing w:before="10"/>
              <w:ind w:left="0" w:right="3"/>
              <w:jc w:val="center"/>
              <w:rPr>
                <w:rFonts w:ascii="Book Antiqua"/>
                <w:b/>
                <w:sz w:val="18"/>
              </w:rPr>
            </w:pPr>
            <w:r>
              <w:rPr>
                <w:rFonts w:ascii="Book Antiqua"/>
                <w:b/>
                <w:color w:val="231F20"/>
                <w:spacing w:val="-2"/>
                <w:sz w:val="18"/>
              </w:rPr>
              <w:t>Column</w:t>
            </w:r>
          </w:p>
        </w:tc>
        <w:tc>
          <w:tcPr>
            <w:tcW w:w="4448" w:type="dxa"/>
          </w:tcPr>
          <w:p>
            <w:pPr>
              <w:pStyle w:val="TableParagraph"/>
              <w:spacing w:before="10"/>
              <w:ind w:left="24"/>
              <w:jc w:val="center"/>
              <w:rPr>
                <w:rFonts w:ascii="Book Antiqua"/>
                <w:b/>
                <w:sz w:val="18"/>
              </w:rPr>
            </w:pPr>
            <w:r>
              <w:rPr>
                <w:rFonts w:ascii="Book Antiqua"/>
                <w:b/>
                <w:color w:val="231F20"/>
                <w:spacing w:val="-2"/>
                <w:sz w:val="18"/>
              </w:rPr>
              <w:t>Value</w:t>
            </w:r>
          </w:p>
        </w:tc>
      </w:tr>
      <w:tr>
        <w:trPr>
          <w:trHeight w:val="309" w:hRule="atLeast"/>
        </w:trPr>
        <w:tc>
          <w:tcPr>
            <w:tcW w:w="3086" w:type="dxa"/>
          </w:tcPr>
          <w:p>
            <w:pPr>
              <w:pStyle w:val="TableParagraph"/>
              <w:ind w:left="44"/>
              <w:rPr>
                <w:sz w:val="18"/>
              </w:rPr>
            </w:pPr>
            <w:r>
              <w:rPr>
                <w:color w:val="231F20"/>
                <w:spacing w:val="-2"/>
                <w:sz w:val="18"/>
              </w:rPr>
              <w:t>QueueID</w:t>
            </w:r>
          </w:p>
        </w:tc>
        <w:tc>
          <w:tcPr>
            <w:tcW w:w="4448" w:type="dxa"/>
          </w:tcPr>
          <w:p>
            <w:pPr>
              <w:pStyle w:val="TableParagraph"/>
              <w:rPr>
                <w:sz w:val="18"/>
              </w:rPr>
            </w:pPr>
            <w:r>
              <w:rPr>
                <w:color w:val="231F20"/>
                <w:w w:val="110"/>
                <w:sz w:val="18"/>
              </w:rPr>
              <w:t>==</w:t>
            </w:r>
            <w:r>
              <w:rPr>
                <w:color w:val="231F20"/>
                <w:spacing w:val="27"/>
                <w:w w:val="110"/>
                <w:sz w:val="18"/>
              </w:rPr>
              <w:t> </w:t>
            </w:r>
            <w:r>
              <w:rPr>
                <w:color w:val="231F20"/>
                <w:spacing w:val="-2"/>
                <w:w w:val="110"/>
                <w:sz w:val="18"/>
              </w:rPr>
              <w:t>'\#ETC'</w:t>
            </w:r>
          </w:p>
        </w:tc>
      </w:tr>
      <w:tr>
        <w:trPr>
          <w:trHeight w:val="314" w:hRule="atLeast"/>
        </w:trPr>
        <w:tc>
          <w:tcPr>
            <w:tcW w:w="3086" w:type="dxa"/>
          </w:tcPr>
          <w:p>
            <w:pPr>
              <w:pStyle w:val="TableParagraph"/>
              <w:ind w:left="44"/>
              <w:rPr>
                <w:sz w:val="18"/>
              </w:rPr>
            </w:pPr>
            <w:r>
              <w:rPr>
                <w:color w:val="231F20"/>
                <w:sz w:val="18"/>
              </w:rPr>
              <w:t>CICS</w:t>
            </w:r>
            <w:r>
              <w:rPr>
                <w:color w:val="231F20"/>
                <w:spacing w:val="9"/>
                <w:sz w:val="18"/>
              </w:rPr>
              <w:t> </w:t>
            </w:r>
            <w:r>
              <w:rPr>
                <w:color w:val="231F20"/>
                <w:spacing w:val="-2"/>
                <w:sz w:val="18"/>
              </w:rPr>
              <w:t>RegionName</w:t>
            </w:r>
          </w:p>
        </w:tc>
        <w:tc>
          <w:tcPr>
            <w:tcW w:w="4448" w:type="dxa"/>
          </w:tcPr>
          <w:p>
            <w:pPr>
              <w:pStyle w:val="TableParagraph"/>
              <w:spacing w:before="0"/>
              <w:ind w:left="0"/>
              <w:rPr>
                <w:rFonts w:ascii="Times New Roman"/>
                <w:sz w:val="18"/>
              </w:rPr>
            </w:pPr>
          </w:p>
        </w:tc>
      </w:tr>
    </w:tbl>
    <w:p>
      <w:pPr>
        <w:spacing w:after="0"/>
        <w:rPr>
          <w:rFonts w:ascii="Times New Roman"/>
          <w:sz w:val="18"/>
        </w:rPr>
        <w:sectPr>
          <w:pgSz w:w="12240" w:h="15840"/>
          <w:pgMar w:header="0" w:footer="736" w:top="1180" w:bottom="920" w:left="1000" w:right="1060"/>
        </w:sectPr>
      </w:pPr>
    </w:p>
    <w:p>
      <w:pPr>
        <w:pStyle w:val="Heading6"/>
        <w:spacing w:line="240" w:lineRule="auto" w:before="62"/>
        <w:rPr>
          <w:rFonts w:ascii="Palatino Linotype"/>
          <w:b w:val="0"/>
        </w:rPr>
      </w:pPr>
      <w:bookmarkStart w:name="_bookmark38" w:id="87"/>
      <w:bookmarkEnd w:id="87"/>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472"/>
      </w:pPr>
      <w:hyperlink w:history="true" w:anchor="_bookmark36">
        <w:r>
          <w:rPr>
            <w:color w:val="231F20"/>
          </w:rPr>
          <w:t>“Finding</w:t>
        </w:r>
        <w:r>
          <w:rPr>
            <w:color w:val="231F20"/>
            <w:spacing w:val="11"/>
          </w:rPr>
          <w:t> </w:t>
        </w:r>
        <w:r>
          <w:rPr>
            <w:color w:val="231F20"/>
          </w:rPr>
          <w:t>table</w:t>
        </w:r>
        <w:r>
          <w:rPr>
            <w:color w:val="231F20"/>
            <w:spacing w:val="11"/>
          </w:rPr>
          <w:t> </w:t>
        </w:r>
        <w:r>
          <w:rPr>
            <w:color w:val="231F20"/>
          </w:rPr>
          <w:t>data”</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5"/>
          </w:rPr>
          <w:t>46</w:t>
        </w:r>
      </w:hyperlink>
    </w:p>
    <w:p>
      <w:pPr>
        <w:pStyle w:val="BodyText"/>
        <w:spacing w:line="213" w:lineRule="auto" w:before="8"/>
        <w:ind w:left="2472"/>
      </w:pPr>
      <w:r>
        <w:rPr>
          <w:color w:val="231F20"/>
        </w:rPr>
        <w:t>Use the find function to locate a text or numeric value in the selected table view, message log, or event console view.</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472"/>
      </w:pPr>
      <w:hyperlink w:history="true" w:anchor="_bookmark322">
        <w:r>
          <w:rPr>
            <w:color w:val="231F20"/>
          </w:rPr>
          <w:t>Cell</w:t>
        </w:r>
        <w:r>
          <w:rPr>
            <w:color w:val="231F20"/>
            <w:spacing w:val="12"/>
          </w:rPr>
          <w:t> </w:t>
        </w:r>
        <w:r>
          <w:rPr>
            <w:color w:val="231F20"/>
            <w:spacing w:val="-2"/>
          </w:rPr>
          <w:t>functions</w:t>
        </w:r>
      </w:hyperlink>
    </w:p>
    <w:p>
      <w:pPr>
        <w:pStyle w:val="BodyText"/>
        <w:spacing w:line="213" w:lineRule="auto" w:before="8"/>
        <w:ind w:left="2472" w:right="292"/>
      </w:pPr>
      <w:r>
        <w:rPr>
          <w:color w:val="231F20"/>
        </w:rPr>
        <w:t>Use the cell formula functions to add filters to queries and query-based views, </w:t>
      </w:r>
      <w:r>
        <w:rPr>
          <w:color w:val="231F20"/>
        </w:rPr>
        <w:t>and</w:t>
      </w:r>
      <w:r>
        <w:rPr>
          <w:color w:val="231F20"/>
          <w:spacing w:val="40"/>
        </w:rPr>
        <w:t> </w:t>
      </w:r>
      <w:r>
        <w:rPr>
          <w:color w:val="231F20"/>
        </w:rPr>
        <w:t>to set thresholds for situations and query-based views. The functions that are available depend on the type of attribute (numeric, text, or time) and in which</w:t>
      </w:r>
      <w:r>
        <w:rPr>
          <w:color w:val="231F20"/>
          <w:spacing w:val="80"/>
        </w:rPr>
        <w:t> </w:t>
      </w:r>
      <w:r>
        <w:rPr>
          <w:color w:val="231F20"/>
        </w:rPr>
        <w:t>editor you are working: Query, Situation, or Properties (Filters and Thresholds</w:t>
      </w:r>
      <w:r>
        <w:rPr>
          <w:color w:val="231F20"/>
          <w:spacing w:val="80"/>
        </w:rPr>
        <w:t> </w:t>
      </w:r>
      <w:r>
        <w:rPr>
          <w:color w:val="231F20"/>
          <w:spacing w:val="-2"/>
        </w:rPr>
        <w:t>tabs).</w:t>
      </w:r>
    </w:p>
    <w:p>
      <w:pPr>
        <w:pStyle w:val="BodyText"/>
        <w:spacing w:before="3"/>
        <w:rPr>
          <w:sz w:val="16"/>
        </w:rPr>
      </w:pPr>
      <w:r>
        <w:rPr/>
        <mc:AlternateContent>
          <mc:Choice Requires="wps">
            <w:drawing>
              <wp:anchor distT="0" distB="0" distL="0" distR="0" allowOverlap="1" layoutInCell="1" locked="0" behindDoc="1" simplePos="0" relativeHeight="487649280">
                <wp:simplePos x="0" y="0"/>
                <wp:positionH relativeFrom="page">
                  <wp:posOffset>912380</wp:posOffset>
                </wp:positionH>
                <wp:positionV relativeFrom="paragraph">
                  <wp:posOffset>154616</wp:posOffset>
                </wp:positionV>
                <wp:extent cx="6082665" cy="1270"/>
                <wp:effectExtent l="0" t="0" r="0" b="0"/>
                <wp:wrapTopAndBottom/>
                <wp:docPr id="550" name="Graphic 550"/>
                <wp:cNvGraphicFramePr>
                  <a:graphicFrameLocks/>
                </wp:cNvGraphicFramePr>
                <a:graphic>
                  <a:graphicData uri="http://schemas.microsoft.com/office/word/2010/wordprocessingShape">
                    <wps:wsp>
                      <wps:cNvPr id="550" name="Graphic 55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7452pt;width:478.95pt;height:.1pt;mso-position-horizontal-relative:page;mso-position-vertical-relative:paragraph;z-index:-15667200;mso-wrap-distance-left:0;mso-wrap-distance-right:0" id="docshape85"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Printing a view or workspace" w:id="88"/>
      <w:bookmarkEnd w:id="88"/>
      <w:r>
        <w:rPr>
          <w:b w:val="0"/>
        </w:rPr>
      </w:r>
      <w:r>
        <w:rPr>
          <w:color w:val="231F20"/>
        </w:rPr>
        <w:t>Printing</w:t>
      </w:r>
      <w:r>
        <w:rPr>
          <w:color w:val="231F20"/>
          <w:spacing w:val="7"/>
        </w:rPr>
        <w:t> </w:t>
      </w:r>
      <w:r>
        <w:rPr>
          <w:color w:val="231F20"/>
        </w:rPr>
        <w:t>a</w:t>
      </w:r>
      <w:r>
        <w:rPr>
          <w:color w:val="231F20"/>
          <w:spacing w:val="10"/>
        </w:rPr>
        <w:t> </w:t>
      </w:r>
      <w:r>
        <w:rPr>
          <w:color w:val="231F20"/>
        </w:rPr>
        <w:t>view</w:t>
      </w:r>
      <w:r>
        <w:rPr>
          <w:color w:val="231F20"/>
          <w:spacing w:val="10"/>
        </w:rPr>
        <w:t> </w:t>
      </w:r>
      <w:r>
        <w:rPr>
          <w:color w:val="231F20"/>
        </w:rPr>
        <w:t>or</w:t>
      </w:r>
      <w:r>
        <w:rPr>
          <w:color w:val="231F20"/>
          <w:spacing w:val="10"/>
        </w:rPr>
        <w:t> </w:t>
      </w:r>
      <w:r>
        <w:rPr>
          <w:color w:val="231F20"/>
          <w:spacing w:val="-2"/>
        </w:rPr>
        <w:t>workspace</w:t>
      </w:r>
    </w:p>
    <w:p>
      <w:pPr>
        <w:pStyle w:val="BodyText"/>
        <w:spacing w:line="213" w:lineRule="auto" w:before="138"/>
        <w:ind w:left="2472" w:right="545"/>
      </w:pPr>
      <w:r>
        <w:rPr>
          <w:color w:val="231F20"/>
        </w:rPr>
        <w:t>You can print the workspace or an individual view and display a </w:t>
      </w:r>
      <w:r>
        <w:rPr>
          <w:color w:val="231F20"/>
        </w:rPr>
        <w:t>preview </w:t>
      </w:r>
      <w:r>
        <w:rPr>
          <w:color w:val="231F20"/>
          <w:spacing w:val="-2"/>
        </w:rPr>
        <w:t>beforehand.</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pPr>
      <w:r>
        <w:rPr>
          <w:color w:val="231F20"/>
        </w:rPr>
        <w:t>Do any of the following to see a print preview or print the workspace or selected</w:t>
      </w:r>
      <w:r>
        <w:rPr>
          <w:color w:val="231F20"/>
          <w:spacing w:val="40"/>
        </w:rPr>
        <w:t> </w:t>
      </w:r>
      <w:r>
        <w:rPr>
          <w:color w:val="231F20"/>
          <w:spacing w:val="-2"/>
        </w:rPr>
        <w:t>view:</w:t>
      </w:r>
    </w:p>
    <w:p>
      <w:pPr>
        <w:pStyle w:val="Heading4"/>
        <w:ind w:left="2472"/>
      </w:pPr>
      <w:r>
        <w:rPr>
          <w:color w:val="231F20"/>
          <w:spacing w:val="-2"/>
        </w:rPr>
        <w:t>Procedure</w:t>
      </w:r>
    </w:p>
    <w:p>
      <w:pPr>
        <w:spacing w:before="39"/>
        <w:ind w:left="2472"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To</w:t>
      </w:r>
      <w:r>
        <w:rPr>
          <w:color w:val="231F20"/>
          <w:spacing w:val="13"/>
          <w:sz w:val="20"/>
        </w:rPr>
        <w:t> </w:t>
      </w:r>
      <w:r>
        <w:rPr>
          <w:color w:val="231F20"/>
          <w:sz w:val="20"/>
        </w:rPr>
        <w:t>see</w:t>
      </w:r>
      <w:r>
        <w:rPr>
          <w:color w:val="231F20"/>
          <w:spacing w:val="13"/>
          <w:sz w:val="20"/>
        </w:rPr>
        <w:t> </w:t>
      </w:r>
      <w:r>
        <w:rPr>
          <w:color w:val="231F20"/>
          <w:sz w:val="20"/>
        </w:rPr>
        <w:t>a</w:t>
      </w:r>
      <w:r>
        <w:rPr>
          <w:color w:val="231F20"/>
          <w:spacing w:val="12"/>
          <w:sz w:val="20"/>
        </w:rPr>
        <w:t> </w:t>
      </w:r>
      <w:r>
        <w:rPr>
          <w:color w:val="231F20"/>
          <w:sz w:val="20"/>
        </w:rPr>
        <w:t>print</w:t>
      </w:r>
      <w:r>
        <w:rPr>
          <w:color w:val="231F20"/>
          <w:spacing w:val="13"/>
          <w:sz w:val="20"/>
        </w:rPr>
        <w:t> </w:t>
      </w:r>
      <w:r>
        <w:rPr>
          <w:color w:val="231F20"/>
          <w:sz w:val="20"/>
        </w:rPr>
        <w:t>preview</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workspace,</w:t>
      </w:r>
      <w:r>
        <w:rPr>
          <w:color w:val="231F20"/>
          <w:spacing w:val="12"/>
          <w:sz w:val="20"/>
        </w:rPr>
        <w:t> </w:t>
      </w:r>
      <w:r>
        <w:rPr>
          <w:color w:val="231F20"/>
          <w:sz w:val="20"/>
        </w:rPr>
        <w:t>click</w:t>
      </w:r>
      <w:r>
        <w:rPr>
          <w:color w:val="231F20"/>
          <w:spacing w:val="13"/>
          <w:sz w:val="20"/>
        </w:rPr>
        <w:t> </w:t>
      </w:r>
      <w:r>
        <w:rPr>
          <w:rFonts w:ascii="Book Antiqua"/>
          <w:b/>
          <w:color w:val="231F20"/>
          <w:sz w:val="20"/>
        </w:rPr>
        <w:t>File</w:t>
      </w:r>
      <w:r>
        <w:rPr>
          <w:rFonts w:ascii="Book Antiqua"/>
          <w:b/>
          <w:color w:val="231F20"/>
          <w:spacing w:val="13"/>
          <w:sz w:val="20"/>
        </w:rPr>
        <w:t> </w:t>
      </w:r>
      <w:r>
        <w:rPr>
          <w:color w:val="231F20"/>
          <w:sz w:val="20"/>
        </w:rPr>
        <w:t>&gt;</w:t>
      </w:r>
      <w:r>
        <w:rPr>
          <w:color w:val="231F20"/>
          <w:spacing w:val="12"/>
          <w:sz w:val="20"/>
        </w:rPr>
        <w:t> </w:t>
      </w:r>
      <w:r>
        <w:rPr>
          <w:color w:val="231F20"/>
          <w:spacing w:val="15"/>
          <w:position w:val="-1"/>
          <w:sz w:val="20"/>
        </w:rPr>
        <w:drawing>
          <wp:inline distT="0" distB="0" distL="0" distR="0">
            <wp:extent cx="101600" cy="101600"/>
            <wp:effectExtent l="0" t="0" r="0" b="0"/>
            <wp:docPr id="551" name="Image 551"/>
            <wp:cNvGraphicFramePr>
              <a:graphicFrameLocks/>
            </wp:cNvGraphicFramePr>
            <a:graphic>
              <a:graphicData uri="http://schemas.openxmlformats.org/drawingml/2006/picture">
                <pic:pic>
                  <pic:nvPicPr>
                    <pic:cNvPr id="551" name="Image 551"/>
                    <pic:cNvPicPr/>
                  </pic:nvPicPr>
                  <pic:blipFill>
                    <a:blip r:embed="rId16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Print</w:t>
      </w:r>
      <w:r>
        <w:rPr>
          <w:rFonts w:ascii="Book Antiqua"/>
          <w:b/>
          <w:color w:val="231F20"/>
          <w:spacing w:val="13"/>
          <w:sz w:val="20"/>
        </w:rPr>
        <w:t> </w:t>
      </w:r>
      <w:r>
        <w:rPr>
          <w:rFonts w:ascii="Book Antiqua"/>
          <w:b/>
          <w:color w:val="231F20"/>
          <w:spacing w:val="-2"/>
          <w:sz w:val="20"/>
        </w:rPr>
        <w:t>Preview</w:t>
      </w:r>
      <w:r>
        <w:rPr>
          <w:color w:val="231F20"/>
          <w:spacing w:val="-2"/>
          <w:sz w:val="20"/>
        </w:rPr>
        <w:t>.</w:t>
      </w:r>
    </w:p>
    <w:p>
      <w:pPr>
        <w:pStyle w:val="BodyText"/>
        <w:spacing w:before="29"/>
        <w:ind w:left="2472"/>
      </w:pPr>
      <w:r>
        <w:rPr>
          <w:rFonts w:ascii="Futura MdCn BT"/>
          <w:color w:val="231F20"/>
        </w:rPr>
        <w:t>v</w:t>
      </w:r>
      <w:r>
        <w:rPr>
          <w:rFonts w:ascii="Futura MdCn BT"/>
          <w:color w:val="231F20"/>
          <w:spacing w:val="31"/>
        </w:rPr>
        <w:t>  </w:t>
      </w:r>
      <w:r>
        <w:rPr>
          <w:color w:val="231F20"/>
        </w:rPr>
        <w:t>To</w:t>
      </w:r>
      <w:r>
        <w:rPr>
          <w:color w:val="231F20"/>
          <w:spacing w:val="12"/>
        </w:rPr>
        <w:t> </w:t>
      </w:r>
      <w:r>
        <w:rPr>
          <w:color w:val="231F20"/>
        </w:rPr>
        <w:t>print</w:t>
      </w:r>
      <w:r>
        <w:rPr>
          <w:color w:val="231F20"/>
          <w:spacing w:val="13"/>
        </w:rPr>
        <w:t> </w:t>
      </w:r>
      <w:r>
        <w:rPr>
          <w:color w:val="231F20"/>
        </w:rPr>
        <w:t>the</w:t>
      </w:r>
      <w:r>
        <w:rPr>
          <w:color w:val="231F20"/>
          <w:spacing w:val="12"/>
        </w:rPr>
        <w:t> </w:t>
      </w:r>
      <w:r>
        <w:rPr>
          <w:color w:val="231F20"/>
        </w:rPr>
        <w:t>current</w:t>
      </w:r>
      <w:r>
        <w:rPr>
          <w:color w:val="231F20"/>
          <w:spacing w:val="13"/>
        </w:rPr>
        <w:t> </w:t>
      </w:r>
      <w:r>
        <w:rPr>
          <w:color w:val="231F20"/>
        </w:rPr>
        <w:t>workspace,</w:t>
      </w:r>
      <w:r>
        <w:rPr>
          <w:color w:val="231F20"/>
          <w:spacing w:val="13"/>
        </w:rPr>
        <w:t> </w:t>
      </w:r>
      <w:r>
        <w:rPr>
          <w:color w:val="231F20"/>
        </w:rPr>
        <w:t>click</w:t>
      </w:r>
      <w:r>
        <w:rPr>
          <w:color w:val="231F20"/>
          <w:spacing w:val="12"/>
        </w:rPr>
        <w:t> </w:t>
      </w:r>
      <w:r>
        <w:rPr>
          <w:rFonts w:ascii="Book Antiqua"/>
          <w:b/>
          <w:color w:val="231F20"/>
        </w:rPr>
        <w:t>File</w:t>
      </w:r>
      <w:r>
        <w:rPr>
          <w:rFonts w:ascii="Book Antiqua"/>
          <w:b/>
          <w:color w:val="231F20"/>
          <w:spacing w:val="13"/>
        </w:rPr>
        <w:t> </w:t>
      </w:r>
      <w:r>
        <w:rPr>
          <w:color w:val="231F20"/>
        </w:rPr>
        <w:t>&gt;</w:t>
      </w:r>
      <w:r>
        <w:rPr>
          <w:color w:val="231F20"/>
          <w:spacing w:val="11"/>
        </w:rPr>
        <w:t> </w:t>
      </w:r>
      <w:r>
        <w:rPr>
          <w:color w:val="231F20"/>
          <w:spacing w:val="15"/>
          <w:position w:val="-1"/>
        </w:rPr>
        <w:drawing>
          <wp:inline distT="0" distB="0" distL="0" distR="0">
            <wp:extent cx="101600" cy="101600"/>
            <wp:effectExtent l="0" t="0" r="0" b="0"/>
            <wp:docPr id="552" name="Image 552"/>
            <wp:cNvGraphicFramePr>
              <a:graphicFrameLocks/>
            </wp:cNvGraphicFramePr>
            <a:graphic>
              <a:graphicData uri="http://schemas.openxmlformats.org/drawingml/2006/picture">
                <pic:pic>
                  <pic:nvPicPr>
                    <pic:cNvPr id="552" name="Image 552"/>
                    <pic:cNvPicPr/>
                  </pic:nvPicPr>
                  <pic:blipFill>
                    <a:blip r:embed="rId16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spacing w:val="-2"/>
        </w:rPr>
        <w:t>Print</w:t>
      </w:r>
      <w:r>
        <w:rPr>
          <w:color w:val="231F20"/>
          <w:spacing w:val="-2"/>
        </w:rPr>
        <w:t>.</w:t>
      </w:r>
    </w:p>
    <w:p>
      <w:pPr>
        <w:pStyle w:val="BodyText"/>
        <w:spacing w:line="213" w:lineRule="auto" w:before="53"/>
        <w:ind w:left="2688" w:right="493" w:hanging="216"/>
      </w:pPr>
      <w:r>
        <w:rPr>
          <w:rFonts w:ascii="Futura MdCn BT"/>
          <w:color w:val="231F20"/>
        </w:rPr>
        <w:t>v</w:t>
      </w:r>
      <w:r>
        <w:rPr>
          <w:rFonts w:ascii="Futura MdCn BT"/>
          <w:color w:val="231F20"/>
          <w:spacing w:val="80"/>
        </w:rPr>
        <w:t> </w:t>
      </w:r>
      <w:r>
        <w:rPr>
          <w:color w:val="231F20"/>
        </w:rPr>
        <w:t>To see a print preview of the view, right-click in the view and click </w:t>
      </w:r>
      <w:r>
        <w:rPr>
          <w:color w:val="231F20"/>
          <w:spacing w:val="14"/>
          <w:position w:val="-1"/>
        </w:rPr>
        <w:drawing>
          <wp:inline distT="0" distB="0" distL="0" distR="0">
            <wp:extent cx="101600" cy="101600"/>
            <wp:effectExtent l="0" t="0" r="0" b="0"/>
            <wp:docPr id="553" name="Image 553"/>
            <wp:cNvGraphicFramePr>
              <a:graphicFrameLocks/>
            </wp:cNvGraphicFramePr>
            <a:graphic>
              <a:graphicData uri="http://schemas.openxmlformats.org/drawingml/2006/picture">
                <pic:pic>
                  <pic:nvPicPr>
                    <pic:cNvPr id="553" name="Image 553"/>
                    <pic:cNvPicPr/>
                  </pic:nvPicPr>
                  <pic:blipFill>
                    <a:blip r:embed="rId160"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15"/>
        </w:rPr>
        <w:t> </w:t>
      </w:r>
      <w:r>
        <w:rPr>
          <w:rFonts w:ascii="Book Antiqua"/>
          <w:b/>
          <w:color w:val="231F20"/>
        </w:rPr>
        <w:t>Print </w:t>
      </w:r>
      <w:r>
        <w:rPr>
          <w:rFonts w:ascii="Book Antiqua"/>
          <w:b/>
          <w:color w:val="231F20"/>
          <w:spacing w:val="-2"/>
        </w:rPr>
        <w:t>preview</w:t>
      </w:r>
      <w:r>
        <w:rPr>
          <w:color w:val="231F20"/>
          <w:spacing w:val="-2"/>
        </w:rPr>
        <w:t>,</w:t>
      </w:r>
    </w:p>
    <w:p>
      <w:pPr>
        <w:pStyle w:val="BodyText"/>
        <w:spacing w:before="35"/>
        <w:ind w:left="2472"/>
      </w:pPr>
      <w:r>
        <w:rPr>
          <w:rFonts w:ascii="Futura MdCn BT"/>
          <w:color w:val="231F20"/>
        </w:rPr>
        <w:t>v</w:t>
      </w:r>
      <w:r>
        <w:rPr>
          <w:rFonts w:ascii="Futura MdCn BT"/>
          <w:color w:val="231F20"/>
          <w:spacing w:val="73"/>
          <w:w w:val="150"/>
        </w:rPr>
        <w:t> </w:t>
      </w:r>
      <w:r>
        <w:rPr>
          <w:color w:val="231F20"/>
        </w:rPr>
        <w:t>To</w:t>
      </w:r>
      <w:r>
        <w:rPr>
          <w:color w:val="231F20"/>
          <w:spacing w:val="10"/>
        </w:rPr>
        <w:t> </w:t>
      </w:r>
      <w:r>
        <w:rPr>
          <w:color w:val="231F20"/>
        </w:rPr>
        <w:t>print</w:t>
      </w:r>
      <w:r>
        <w:rPr>
          <w:color w:val="231F20"/>
          <w:spacing w:val="10"/>
        </w:rPr>
        <w:t> </w:t>
      </w:r>
      <w:r>
        <w:rPr>
          <w:color w:val="231F20"/>
        </w:rPr>
        <w:t>the</w:t>
      </w:r>
      <w:r>
        <w:rPr>
          <w:color w:val="231F20"/>
          <w:spacing w:val="10"/>
        </w:rPr>
        <w:t> </w:t>
      </w:r>
      <w:r>
        <w:rPr>
          <w:color w:val="231F20"/>
        </w:rPr>
        <w:t>view,</w:t>
      </w:r>
      <w:r>
        <w:rPr>
          <w:color w:val="231F20"/>
          <w:spacing w:val="10"/>
        </w:rPr>
        <w:t> </w:t>
      </w:r>
      <w:r>
        <w:rPr>
          <w:color w:val="231F20"/>
        </w:rPr>
        <w:t>right-click</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view</w:t>
      </w:r>
      <w:r>
        <w:rPr>
          <w:color w:val="231F20"/>
          <w:spacing w:val="10"/>
        </w:rPr>
        <w:t> </w:t>
      </w:r>
      <w:r>
        <w:rPr>
          <w:color w:val="231F20"/>
        </w:rPr>
        <w:t>and</w:t>
      </w:r>
      <w:r>
        <w:rPr>
          <w:color w:val="231F20"/>
          <w:spacing w:val="10"/>
        </w:rPr>
        <w:t> </w:t>
      </w:r>
      <w:r>
        <w:rPr>
          <w:color w:val="231F20"/>
        </w:rPr>
        <w:t>click</w:t>
      </w:r>
      <w:r>
        <w:rPr>
          <w:color w:val="231F20"/>
          <w:spacing w:val="9"/>
        </w:rPr>
        <w:t> </w:t>
      </w:r>
      <w:r>
        <w:rPr>
          <w:color w:val="231F20"/>
          <w:spacing w:val="15"/>
          <w:position w:val="-1"/>
        </w:rPr>
        <w:drawing>
          <wp:inline distT="0" distB="0" distL="0" distR="0">
            <wp:extent cx="101600" cy="101600"/>
            <wp:effectExtent l="0" t="0" r="0" b="0"/>
            <wp:docPr id="554" name="Image 554"/>
            <wp:cNvGraphicFramePr>
              <a:graphicFrameLocks/>
            </wp:cNvGraphicFramePr>
            <a:graphic>
              <a:graphicData uri="http://schemas.openxmlformats.org/drawingml/2006/picture">
                <pic:pic>
                  <pic:nvPicPr>
                    <pic:cNvPr id="554" name="Image 554"/>
                    <pic:cNvPicPr/>
                  </pic:nvPicPr>
                  <pic:blipFill>
                    <a:blip r:embed="rId16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spacing w:val="-2"/>
        </w:rPr>
        <w:t>Print</w:t>
      </w:r>
      <w:r>
        <w:rPr>
          <w:color w:val="231F20"/>
          <w:spacing w:val="-2"/>
        </w:rPr>
        <w:t>.</w:t>
      </w:r>
    </w:p>
    <w:p>
      <w:pPr>
        <w:pStyle w:val="Heading4"/>
        <w:spacing w:before="194"/>
        <w:ind w:left="2472"/>
      </w:pPr>
      <w:r>
        <w:rPr>
          <w:color w:val="231F20"/>
          <w:spacing w:val="-2"/>
        </w:rPr>
        <w:t>Results</w:t>
      </w:r>
    </w:p>
    <w:p>
      <w:pPr>
        <w:pStyle w:val="BodyText"/>
        <w:spacing w:line="213" w:lineRule="auto" w:before="242"/>
        <w:ind w:left="2472" w:right="385"/>
      </w:pPr>
      <w:r>
        <w:rPr>
          <w:color w:val="231F20"/>
        </w:rPr>
        <w:t>When you print a table that has more columns than will fit the width of the page,</w:t>
      </w:r>
      <w:r>
        <w:rPr>
          <w:color w:val="231F20"/>
          <w:spacing w:val="40"/>
        </w:rPr>
        <w:t> </w:t>
      </w:r>
      <w:r>
        <w:rPr>
          <w:color w:val="231F20"/>
        </w:rPr>
        <w:t>they will wrap to the next page. If there are more rows than will fit on the page,</w:t>
      </w:r>
      <w:r>
        <w:rPr>
          <w:color w:val="231F20"/>
          <w:spacing w:val="40"/>
        </w:rPr>
        <w:t> </w:t>
      </w:r>
      <w:r>
        <w:rPr>
          <w:color w:val="231F20"/>
        </w:rPr>
        <w:t>they are displayed on subsequent pages.</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167"/>
      </w:pPr>
      <w:r>
        <w:rPr>
          <w:color w:val="231F20"/>
        </w:rPr>
        <w:t>The printing mechanism used by Tivoli Enterprise Portal is provided by Java, and has</w:t>
      </w:r>
      <w:r>
        <w:rPr>
          <w:color w:val="231F20"/>
          <w:spacing w:val="21"/>
        </w:rPr>
        <w:t> </w:t>
      </w:r>
      <w:r>
        <w:rPr>
          <w:color w:val="231F20"/>
        </w:rPr>
        <w:t>some</w:t>
      </w:r>
      <w:r>
        <w:rPr>
          <w:color w:val="231F20"/>
          <w:spacing w:val="20"/>
        </w:rPr>
        <w:t> </w:t>
      </w:r>
      <w:r>
        <w:rPr>
          <w:color w:val="231F20"/>
        </w:rPr>
        <w:t>limitations.</w:t>
      </w:r>
      <w:r>
        <w:rPr>
          <w:color w:val="231F20"/>
          <w:spacing w:val="21"/>
        </w:rPr>
        <w:t> </w:t>
      </w:r>
      <w:r>
        <w:rPr>
          <w:color w:val="231F20"/>
        </w:rPr>
        <w:t>When</w:t>
      </w:r>
      <w:r>
        <w:rPr>
          <w:color w:val="231F20"/>
          <w:spacing w:val="20"/>
        </w:rPr>
        <w:t> </w:t>
      </w:r>
      <w:r>
        <w:rPr>
          <w:color w:val="231F20"/>
        </w:rPr>
        <w:t>you</w:t>
      </w:r>
      <w:r>
        <w:rPr>
          <w:color w:val="231F20"/>
          <w:spacing w:val="21"/>
        </w:rPr>
        <w:t> </w:t>
      </w:r>
      <w:r>
        <w:rPr>
          <w:color w:val="231F20"/>
        </w:rPr>
        <w:t>print</w:t>
      </w:r>
      <w:r>
        <w:rPr>
          <w:color w:val="231F20"/>
          <w:spacing w:val="20"/>
        </w:rPr>
        <w:t> </w:t>
      </w:r>
      <w:r>
        <w:rPr>
          <w:color w:val="231F20"/>
        </w:rPr>
        <w:t>a</w:t>
      </w:r>
      <w:r>
        <w:rPr>
          <w:color w:val="231F20"/>
          <w:spacing w:val="21"/>
        </w:rPr>
        <w:t> </w:t>
      </w:r>
      <w:r>
        <w:rPr>
          <w:color w:val="231F20"/>
        </w:rPr>
        <w:t>notepad</w:t>
      </w:r>
      <w:r>
        <w:rPr>
          <w:color w:val="231F20"/>
          <w:spacing w:val="20"/>
        </w:rPr>
        <w:t> </w:t>
      </w:r>
      <w:r>
        <w:rPr>
          <w:color w:val="231F20"/>
        </w:rPr>
        <w:t>view,</w:t>
      </w:r>
      <w:r>
        <w:rPr>
          <w:color w:val="231F20"/>
          <w:spacing w:val="21"/>
        </w:rPr>
        <w:t> </w:t>
      </w:r>
      <w:r>
        <w:rPr>
          <w:color w:val="231F20"/>
        </w:rPr>
        <w:t>the</w:t>
      </w:r>
      <w:r>
        <w:rPr>
          <w:color w:val="231F20"/>
          <w:spacing w:val="20"/>
        </w:rPr>
        <w:t> </w:t>
      </w:r>
      <w:r>
        <w:rPr>
          <w:color w:val="231F20"/>
        </w:rPr>
        <w:t>text</w:t>
      </w:r>
      <w:r>
        <w:rPr>
          <w:color w:val="231F20"/>
          <w:spacing w:val="21"/>
        </w:rPr>
        <w:t> </w:t>
      </w:r>
      <w:r>
        <w:rPr>
          <w:color w:val="231F20"/>
        </w:rPr>
        <w:t>prints</w:t>
      </w:r>
      <w:r>
        <w:rPr>
          <w:color w:val="231F20"/>
          <w:spacing w:val="20"/>
        </w:rPr>
        <w:t> </w:t>
      </w:r>
      <w:r>
        <w:rPr>
          <w:color w:val="231F20"/>
        </w:rPr>
        <w:t>as</w:t>
      </w:r>
      <w:r>
        <w:rPr>
          <w:color w:val="231F20"/>
          <w:spacing w:val="21"/>
        </w:rPr>
        <w:t> </w:t>
      </w:r>
      <w:r>
        <w:rPr>
          <w:color w:val="231F20"/>
        </w:rPr>
        <w:t>an</w:t>
      </w:r>
      <w:r>
        <w:rPr>
          <w:color w:val="231F20"/>
          <w:spacing w:val="20"/>
        </w:rPr>
        <w:t> </w:t>
      </w:r>
      <w:r>
        <w:rPr>
          <w:color w:val="231F20"/>
        </w:rPr>
        <w:t>image. If</w:t>
      </w:r>
      <w:r>
        <w:rPr>
          <w:color w:val="231F20"/>
          <w:spacing w:val="27"/>
        </w:rPr>
        <w:t> </w:t>
      </w:r>
      <w:r>
        <w:rPr>
          <w:color w:val="231F20"/>
        </w:rPr>
        <w:t>you</w:t>
      </w:r>
      <w:r>
        <w:rPr>
          <w:color w:val="231F20"/>
          <w:spacing w:val="27"/>
        </w:rPr>
        <w:t> </w:t>
      </w:r>
      <w:r>
        <w:rPr>
          <w:color w:val="231F20"/>
        </w:rPr>
        <w:t>want</w:t>
      </w:r>
      <w:r>
        <w:rPr>
          <w:color w:val="231F20"/>
          <w:spacing w:val="27"/>
        </w:rPr>
        <w:t> </w:t>
      </w:r>
      <w:r>
        <w:rPr>
          <w:color w:val="231F20"/>
        </w:rPr>
        <w:t>a</w:t>
      </w:r>
      <w:r>
        <w:rPr>
          <w:color w:val="231F20"/>
          <w:spacing w:val="27"/>
        </w:rPr>
        <w:t> </w:t>
      </w:r>
      <w:r>
        <w:rPr>
          <w:color w:val="231F20"/>
        </w:rPr>
        <w:t>better</w:t>
      </w:r>
      <w:r>
        <w:rPr>
          <w:color w:val="231F20"/>
          <w:spacing w:val="27"/>
        </w:rPr>
        <w:t> </w:t>
      </w:r>
      <w:r>
        <w:rPr>
          <w:color w:val="231F20"/>
        </w:rPr>
        <w:t>quality,</w:t>
      </w:r>
      <w:r>
        <w:rPr>
          <w:color w:val="231F20"/>
          <w:spacing w:val="27"/>
        </w:rPr>
        <w:t> </w:t>
      </w:r>
      <w:r>
        <w:rPr>
          <w:color w:val="231F20"/>
        </w:rPr>
        <w:t>try</w:t>
      </w:r>
      <w:r>
        <w:rPr>
          <w:color w:val="231F20"/>
          <w:spacing w:val="27"/>
        </w:rPr>
        <w:t> </w:t>
      </w:r>
      <w:r>
        <w:rPr>
          <w:color w:val="231F20"/>
        </w:rPr>
        <w:t>selecting</w:t>
      </w:r>
      <w:r>
        <w:rPr>
          <w:color w:val="231F20"/>
          <w:spacing w:val="27"/>
        </w:rPr>
        <w:t> </w:t>
      </w:r>
      <w:r>
        <w:rPr>
          <w:color w:val="231F20"/>
        </w:rPr>
        <w:t>and</w:t>
      </w:r>
      <w:r>
        <w:rPr>
          <w:color w:val="231F20"/>
          <w:spacing w:val="27"/>
        </w:rPr>
        <w:t> </w:t>
      </w:r>
      <w:r>
        <w:rPr>
          <w:color w:val="231F20"/>
        </w:rPr>
        <w:t>copying</w:t>
      </w:r>
      <w:r>
        <w:rPr>
          <w:color w:val="231F20"/>
          <w:spacing w:val="27"/>
        </w:rPr>
        <w:t> </w:t>
      </w:r>
      <w:r>
        <w:rPr>
          <w:color w:val="231F20"/>
        </w:rPr>
        <w:t>the</w:t>
      </w:r>
      <w:r>
        <w:rPr>
          <w:color w:val="231F20"/>
          <w:spacing w:val="27"/>
        </w:rPr>
        <w:t> </w:t>
      </w:r>
      <w:r>
        <w:rPr>
          <w:color w:val="231F20"/>
        </w:rPr>
        <w:t>text</w:t>
      </w:r>
      <w:r>
        <w:rPr>
          <w:color w:val="231F20"/>
          <w:spacing w:val="27"/>
        </w:rPr>
        <w:t> </w:t>
      </w:r>
      <w:r>
        <w:rPr>
          <w:color w:val="231F20"/>
        </w:rPr>
        <w:t>(Ctrl+C),</w:t>
      </w:r>
      <w:r>
        <w:rPr>
          <w:color w:val="231F20"/>
          <w:spacing w:val="27"/>
        </w:rPr>
        <w:t> </w:t>
      </w:r>
      <w:r>
        <w:rPr>
          <w:color w:val="231F20"/>
        </w:rPr>
        <w:t>then pasting into your favorite text editor for formatting and printing. When you print </w:t>
      </w:r>
      <w:r>
        <w:rPr>
          <w:color w:val="231F20"/>
        </w:rPr>
        <w:t>a workspace or chart, try sizing the application window or view pane smaller to improve the clarity of the printed copy. You can also use the </w:t>
      </w:r>
      <w:r>
        <w:rPr>
          <w:rFonts w:ascii="Book Antiqua"/>
          <w:b/>
          <w:color w:val="231F20"/>
        </w:rPr>
        <w:t>Print Screen </w:t>
      </w:r>
      <w:r>
        <w:rPr>
          <w:color w:val="231F20"/>
        </w:rPr>
        <w:t>key.</w:t>
      </w:r>
    </w:p>
    <w:p>
      <w:pPr>
        <w:pStyle w:val="BodyText"/>
        <w:spacing w:line="213" w:lineRule="auto" w:before="235"/>
        <w:ind w:left="2472" w:right="202"/>
      </w:pPr>
      <w:r>
        <w:rPr>
          <w:color w:val="231F20"/>
        </w:rPr>
        <w:t>As</w:t>
      </w:r>
      <w:r>
        <w:rPr>
          <w:color w:val="231F20"/>
          <w:spacing w:val="11"/>
        </w:rPr>
        <w:t> </w:t>
      </w:r>
      <w:r>
        <w:rPr>
          <w:color w:val="231F20"/>
        </w:rPr>
        <w:t>an</w:t>
      </w:r>
      <w:r>
        <w:rPr>
          <w:color w:val="231F20"/>
          <w:spacing w:val="11"/>
        </w:rPr>
        <w:t> </w:t>
      </w:r>
      <w:r>
        <w:rPr>
          <w:color w:val="231F20"/>
        </w:rPr>
        <w:t>alternative</w:t>
      </w:r>
      <w:r>
        <w:rPr>
          <w:color w:val="231F20"/>
          <w:spacing w:val="11"/>
        </w:rPr>
        <w:t> </w:t>
      </w:r>
      <w:r>
        <w:rPr>
          <w:color w:val="231F20"/>
        </w:rPr>
        <w:t>to</w:t>
      </w:r>
      <w:r>
        <w:rPr>
          <w:color w:val="231F20"/>
          <w:spacing w:val="11"/>
        </w:rPr>
        <w:t> </w:t>
      </w:r>
      <w:r>
        <w:rPr>
          <w:color w:val="231F20"/>
        </w:rPr>
        <w:t>printing</w:t>
      </w:r>
      <w:r>
        <w:rPr>
          <w:color w:val="231F20"/>
          <w:spacing w:val="11"/>
        </w:rPr>
        <w:t> </w:t>
      </w:r>
      <w:r>
        <w:rPr>
          <w:color w:val="231F20"/>
        </w:rPr>
        <w:t>in</w:t>
      </w:r>
      <w:r>
        <w:rPr>
          <w:color w:val="231F20"/>
          <w:spacing w:val="11"/>
        </w:rPr>
        <w:t> </w:t>
      </w:r>
      <w:r>
        <w:rPr>
          <w:color w:val="231F20"/>
        </w:rPr>
        <w:t>Tivoli</w:t>
      </w:r>
      <w:r>
        <w:rPr>
          <w:color w:val="231F20"/>
          <w:spacing w:val="11"/>
        </w:rPr>
        <w:t> </w:t>
      </w:r>
      <w:r>
        <w:rPr>
          <w:color w:val="231F20"/>
        </w:rPr>
        <w:t>Enterprise</w:t>
      </w:r>
      <w:r>
        <w:rPr>
          <w:color w:val="231F20"/>
          <w:spacing w:val="11"/>
        </w:rPr>
        <w:t> </w:t>
      </w:r>
      <w:r>
        <w:rPr>
          <w:color w:val="231F20"/>
        </w:rPr>
        <w:t>Portal,</w:t>
      </w:r>
      <w:r>
        <w:rPr>
          <w:color w:val="231F20"/>
          <w:spacing w:val="11"/>
        </w:rPr>
        <w:t> </w:t>
      </w:r>
      <w:r>
        <w:rPr>
          <w:color w:val="231F20"/>
        </w:rPr>
        <w:t>you</w:t>
      </w:r>
      <w:r>
        <w:rPr>
          <w:color w:val="231F20"/>
          <w:spacing w:val="11"/>
        </w:rPr>
        <w:t> </w:t>
      </w:r>
      <w:r>
        <w:rPr>
          <w:color w:val="231F20"/>
        </w:rPr>
        <w:t>can</w:t>
      </w:r>
      <w:r>
        <w:rPr>
          <w:color w:val="231F20"/>
          <w:spacing w:val="11"/>
        </w:rPr>
        <w:t> </w:t>
      </w:r>
      <w:r>
        <w:rPr>
          <w:color w:val="231F20"/>
        </w:rPr>
        <w:t>export</w:t>
      </w:r>
      <w:r>
        <w:rPr>
          <w:color w:val="231F20"/>
          <w:spacing w:val="11"/>
        </w:rPr>
        <w:t> </w:t>
      </w:r>
      <w:r>
        <w:rPr>
          <w:color w:val="231F20"/>
        </w:rPr>
        <w:t>the</w:t>
      </w:r>
      <w:r>
        <w:rPr>
          <w:color w:val="231F20"/>
          <w:spacing w:val="11"/>
        </w:rPr>
        <w:t> </w:t>
      </w:r>
      <w:r>
        <w:rPr>
          <w:color w:val="231F20"/>
        </w:rPr>
        <w:t>view</w:t>
      </w:r>
      <w:r>
        <w:rPr>
          <w:color w:val="231F20"/>
          <w:spacing w:val="11"/>
        </w:rPr>
        <w:t> </w:t>
      </w:r>
      <w:r>
        <w:rPr>
          <w:color w:val="231F20"/>
        </w:rPr>
        <w:t>to a</w:t>
      </w:r>
      <w:r>
        <w:rPr>
          <w:color w:val="231F20"/>
          <w:spacing w:val="26"/>
        </w:rPr>
        <w:t> </w:t>
      </w:r>
      <w:r>
        <w:rPr>
          <w:color w:val="231F20"/>
        </w:rPr>
        <w:t>comma</w:t>
      </w:r>
      <w:r>
        <w:rPr>
          <w:color w:val="231F20"/>
          <w:spacing w:val="26"/>
        </w:rPr>
        <w:t> </w:t>
      </w:r>
      <w:r>
        <w:rPr>
          <w:color w:val="231F20"/>
        </w:rPr>
        <w:t>separated</w:t>
      </w:r>
      <w:r>
        <w:rPr>
          <w:color w:val="231F20"/>
          <w:spacing w:val="26"/>
        </w:rPr>
        <w:t> </w:t>
      </w:r>
      <w:r>
        <w:rPr>
          <w:color w:val="231F20"/>
        </w:rPr>
        <w:t>value</w:t>
      </w:r>
      <w:r>
        <w:rPr>
          <w:color w:val="231F20"/>
          <w:spacing w:val="26"/>
        </w:rPr>
        <w:t> </w:t>
      </w:r>
      <w:r>
        <w:rPr>
          <w:color w:val="231F20"/>
        </w:rPr>
        <w:t>(.csv)</w:t>
      </w:r>
      <w:r>
        <w:rPr>
          <w:color w:val="231F20"/>
          <w:spacing w:val="26"/>
        </w:rPr>
        <w:t> </w:t>
      </w:r>
      <w:r>
        <w:rPr>
          <w:color w:val="231F20"/>
        </w:rPr>
        <w:t>file</w:t>
      </w:r>
      <w:r>
        <w:rPr>
          <w:color w:val="231F20"/>
          <w:spacing w:val="26"/>
        </w:rPr>
        <w:t> </w:t>
      </w:r>
      <w:r>
        <w:rPr>
          <w:color w:val="231F20"/>
        </w:rPr>
        <w:t>or</w:t>
      </w:r>
      <w:r>
        <w:rPr>
          <w:color w:val="231F20"/>
          <w:spacing w:val="26"/>
        </w:rPr>
        <w:t> </w:t>
      </w:r>
      <w:r>
        <w:rPr>
          <w:color w:val="231F20"/>
        </w:rPr>
        <w:t>text</w:t>
      </w:r>
      <w:r>
        <w:rPr>
          <w:color w:val="231F20"/>
          <w:spacing w:val="26"/>
        </w:rPr>
        <w:t> </w:t>
      </w:r>
      <w:r>
        <w:rPr>
          <w:color w:val="231F20"/>
        </w:rPr>
        <w:t>(.txt)</w:t>
      </w:r>
      <w:r>
        <w:rPr>
          <w:color w:val="231F20"/>
          <w:spacing w:val="26"/>
        </w:rPr>
        <w:t> </w:t>
      </w:r>
      <w:r>
        <w:rPr>
          <w:color w:val="231F20"/>
        </w:rPr>
        <w:t>file,</w:t>
      </w:r>
      <w:r>
        <w:rPr>
          <w:color w:val="231F20"/>
          <w:spacing w:val="26"/>
        </w:rPr>
        <w:t> </w:t>
      </w:r>
      <w:r>
        <w:rPr>
          <w:color w:val="231F20"/>
        </w:rPr>
        <w:t>then</w:t>
      </w:r>
      <w:r>
        <w:rPr>
          <w:color w:val="231F20"/>
          <w:spacing w:val="26"/>
        </w:rPr>
        <w:t> </w:t>
      </w:r>
      <w:r>
        <w:rPr>
          <w:color w:val="231F20"/>
        </w:rPr>
        <w:t>import</w:t>
      </w:r>
      <w:r>
        <w:rPr>
          <w:color w:val="231F20"/>
          <w:spacing w:val="26"/>
        </w:rPr>
        <w:t> </w:t>
      </w:r>
      <w:r>
        <w:rPr>
          <w:color w:val="231F20"/>
        </w:rPr>
        <w:t>it</w:t>
      </w:r>
      <w:r>
        <w:rPr>
          <w:color w:val="231F20"/>
          <w:spacing w:val="26"/>
        </w:rPr>
        <w:t> </w:t>
      </w:r>
      <w:r>
        <w:rPr>
          <w:color w:val="231F20"/>
        </w:rPr>
        <w:t>into</w:t>
      </w:r>
      <w:r>
        <w:rPr>
          <w:color w:val="231F20"/>
          <w:spacing w:val="26"/>
        </w:rPr>
        <w:t> </w:t>
      </w:r>
      <w:r>
        <w:rPr>
          <w:color w:val="231F20"/>
        </w:rPr>
        <w:t>the program of your choice, and print there.</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35">
        <w:r>
          <w:rPr>
            <w:color w:val="231F20"/>
          </w:rPr>
          <w:t>“Exporting</w:t>
        </w:r>
        <w:r>
          <w:rPr>
            <w:color w:val="231F20"/>
            <w:spacing w:val="10"/>
          </w:rPr>
          <w:t> </w:t>
        </w:r>
        <w:r>
          <w:rPr>
            <w:color w:val="231F20"/>
          </w:rPr>
          <w:t>a</w:t>
        </w:r>
        <w:r>
          <w:rPr>
            <w:color w:val="231F20"/>
            <w:spacing w:val="10"/>
          </w:rPr>
          <w:t> </w:t>
        </w:r>
        <w:r>
          <w:rPr>
            <w:color w:val="231F20"/>
          </w:rPr>
          <w:t>query-based</w:t>
        </w:r>
        <w:r>
          <w:rPr>
            <w:color w:val="231F20"/>
            <w:spacing w:val="11"/>
          </w:rPr>
          <w:t> </w:t>
        </w:r>
        <w:r>
          <w:rPr>
            <w:color w:val="231F20"/>
          </w:rPr>
          <w:t>view”</w:t>
        </w:r>
        <w:r>
          <w:rPr>
            <w:color w:val="231F20"/>
            <w:spacing w:val="10"/>
          </w:rPr>
          <w:t> </w:t>
        </w:r>
        <w:r>
          <w:rPr>
            <w:color w:val="231F20"/>
          </w:rPr>
          <w:t>on</w:t>
        </w:r>
        <w:r>
          <w:rPr>
            <w:color w:val="231F20"/>
            <w:spacing w:val="10"/>
          </w:rPr>
          <w:t> </w:t>
        </w:r>
        <w:r>
          <w:rPr>
            <w:color w:val="231F20"/>
          </w:rPr>
          <w:t>page</w:t>
        </w:r>
        <w:r>
          <w:rPr>
            <w:color w:val="231F20"/>
            <w:spacing w:val="11"/>
          </w:rPr>
          <w:t> </w:t>
        </w:r>
        <w:r>
          <w:rPr>
            <w:color w:val="231F20"/>
            <w:spacing w:val="-5"/>
          </w:rPr>
          <w:t>45</w:t>
        </w:r>
      </w:hyperlink>
    </w:p>
    <w:p>
      <w:pPr>
        <w:pStyle w:val="BodyText"/>
        <w:spacing w:line="213" w:lineRule="auto" w:before="8"/>
        <w:ind w:left="2472" w:right="385"/>
      </w:pPr>
      <w:r>
        <w:rPr>
          <w:color w:val="231F20"/>
        </w:rPr>
        <w:t>Save some or all of the data that was retrieved by the query for a view in a text</w:t>
      </w:r>
      <w:r>
        <w:rPr>
          <w:color w:val="231F20"/>
          <w:spacing w:val="80"/>
        </w:rPr>
        <w:t> </w:t>
      </w:r>
      <w:r>
        <w:rPr>
          <w:color w:val="231F20"/>
        </w:rPr>
        <w:t>(.txt) file or comma separated value (.csv) file for further manipulation in </w:t>
      </w:r>
      <w:r>
        <w:rPr>
          <w:color w:val="231F20"/>
        </w:rPr>
        <w:t>another software application.</w:t>
      </w:r>
    </w:p>
    <w:p>
      <w:pPr>
        <w:spacing w:after="0" w:line="213" w:lineRule="auto"/>
        <w:sectPr>
          <w:pgSz w:w="12240" w:h="15840"/>
          <w:pgMar w:header="0" w:footer="736" w:top="1180" w:bottom="920" w:left="1000" w:right="1060"/>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line="20" w:lineRule="exact"/>
        <w:ind w:left="436"/>
        <w:rPr>
          <w:sz w:val="2"/>
        </w:rPr>
      </w:pPr>
      <w:bookmarkStart w:name="_bookmark39" w:id="89"/>
      <w:bookmarkEnd w:id="89"/>
      <w:r>
        <w:rPr/>
      </w:r>
      <w:r>
        <w:rPr>
          <w:sz w:val="2"/>
        </w:rPr>
        <mc:AlternateContent>
          <mc:Choice Requires="wps">
            <w:drawing>
              <wp:inline distT="0" distB="0" distL="0" distR="0">
                <wp:extent cx="6082665" cy="25400"/>
                <wp:effectExtent l="19050" t="0" r="3810" b="3175"/>
                <wp:docPr id="558" name="Group 558"/>
                <wp:cNvGraphicFramePr>
                  <a:graphicFrameLocks/>
                </wp:cNvGraphicFramePr>
                <a:graphic>
                  <a:graphicData uri="http://schemas.microsoft.com/office/word/2010/wordprocessingGroup">
                    <wpg:wgp>
                      <wpg:cNvPr id="558" name="Group 558"/>
                      <wpg:cNvGrpSpPr/>
                      <wpg:grpSpPr>
                        <a:xfrm>
                          <a:off x="0" y="0"/>
                          <a:ext cx="6082665" cy="25400"/>
                          <a:chExt cx="6082665" cy="25400"/>
                        </a:xfrm>
                      </wpg:grpSpPr>
                      <wps:wsp>
                        <wps:cNvPr id="559" name="Graphic 559"/>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89"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4. Responding to events" w:id="90"/>
      <w:bookmarkEnd w:id="90"/>
      <w:r>
        <w:rPr>
          <w:b w:val="0"/>
        </w:rPr>
      </w:r>
      <w:r>
        <w:rPr>
          <w:color w:val="231F20"/>
        </w:rPr>
        <w:t>Chapter</w:t>
      </w:r>
      <w:r>
        <w:rPr>
          <w:color w:val="231F20"/>
          <w:spacing w:val="-9"/>
        </w:rPr>
        <w:t> </w:t>
      </w:r>
      <w:r>
        <w:rPr>
          <w:color w:val="231F20"/>
        </w:rPr>
        <w:t>4.</w:t>
      </w:r>
      <w:r>
        <w:rPr>
          <w:color w:val="231F20"/>
          <w:spacing w:val="7"/>
        </w:rPr>
        <w:t> </w:t>
      </w:r>
      <w:r>
        <w:rPr>
          <w:color w:val="231F20"/>
        </w:rPr>
        <w:t>Responding</w:t>
      </w:r>
      <w:r>
        <w:rPr>
          <w:color w:val="231F20"/>
          <w:spacing w:val="8"/>
        </w:rPr>
        <w:t> </w:t>
      </w:r>
      <w:r>
        <w:rPr>
          <w:color w:val="231F20"/>
        </w:rPr>
        <w:t>to</w:t>
      </w:r>
      <w:r>
        <w:rPr>
          <w:color w:val="231F20"/>
          <w:spacing w:val="7"/>
        </w:rPr>
        <w:t> </w:t>
      </w:r>
      <w:r>
        <w:rPr>
          <w:color w:val="231F20"/>
          <w:spacing w:val="-2"/>
        </w:rPr>
        <w:t>events</w:t>
      </w:r>
    </w:p>
    <w:p>
      <w:pPr>
        <w:pStyle w:val="BodyText"/>
        <w:spacing w:line="213" w:lineRule="auto" w:before="304"/>
        <w:ind w:left="2472" w:right="545"/>
      </w:pPr>
      <w:r>
        <w:rPr>
          <w:color w:val="231F20"/>
        </w:rPr>
        <w:t>Event indicators such as </w:t>
      </w:r>
      <w:r>
        <w:rPr>
          <w:color w:val="231F20"/>
          <w:spacing w:val="-24"/>
          <w:position w:val="-1"/>
        </w:rPr>
        <w:drawing>
          <wp:inline distT="0" distB="0" distL="0" distR="0">
            <wp:extent cx="95250" cy="95250"/>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16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5"/>
        </w:rPr>
        <w:t> </w:t>
      </w:r>
      <w:r>
        <w:rPr>
          <w:color w:val="231F20"/>
        </w:rPr>
        <w:t>Minor or </w:t>
      </w:r>
      <w:r>
        <w:rPr>
          <w:color w:val="231F20"/>
          <w:spacing w:val="-24"/>
          <w:position w:val="-1"/>
        </w:rPr>
        <w:drawing>
          <wp:inline distT="0" distB="0" distL="0" distR="0">
            <wp:extent cx="95250" cy="95250"/>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16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5"/>
        </w:rPr>
        <w:t> </w:t>
      </w:r>
      <w:r>
        <w:rPr>
          <w:color w:val="231F20"/>
        </w:rPr>
        <w:t>Harmless appear on Navigator </w:t>
      </w:r>
      <w:r>
        <w:rPr>
          <w:color w:val="231F20"/>
        </w:rPr>
        <w:t>items when an event is opened for a true situation.</w:t>
      </w:r>
    </w:p>
    <w:p>
      <w:pPr>
        <w:pStyle w:val="BodyText"/>
        <w:spacing w:line="213" w:lineRule="auto" w:before="238"/>
        <w:ind w:left="2472" w:right="545"/>
      </w:pPr>
      <w:r>
        <w:rPr>
          <w:color w:val="231F20"/>
        </w:rPr>
        <w:t>A situation is a test for certain conditions on managed systems that, when met, change the situation status to true. The situation can include a take action command (reflex automation) that will be carried out when the situation is </w:t>
      </w:r>
      <w:r>
        <w:rPr>
          <w:color w:val="231F20"/>
        </w:rPr>
        <w:t>true.</w:t>
      </w:r>
    </w:p>
    <w:p>
      <w:pPr>
        <w:pStyle w:val="BodyText"/>
        <w:spacing w:before="5"/>
        <w:rPr>
          <w:sz w:val="16"/>
        </w:rPr>
      </w:pPr>
      <w:r>
        <w:rPr/>
        <mc:AlternateContent>
          <mc:Choice Requires="wps">
            <w:drawing>
              <wp:anchor distT="0" distB="0" distL="0" distR="0" allowOverlap="1" layoutInCell="1" locked="0" behindDoc="1" simplePos="0" relativeHeight="487650304">
                <wp:simplePos x="0" y="0"/>
                <wp:positionH relativeFrom="page">
                  <wp:posOffset>912380</wp:posOffset>
                </wp:positionH>
                <wp:positionV relativeFrom="paragraph">
                  <wp:posOffset>155800</wp:posOffset>
                </wp:positionV>
                <wp:extent cx="6082665" cy="1270"/>
                <wp:effectExtent l="0" t="0" r="0" b="0"/>
                <wp:wrapTopAndBottom/>
                <wp:docPr id="562" name="Graphic 562"/>
                <wp:cNvGraphicFramePr>
                  <a:graphicFrameLocks/>
                </wp:cNvGraphicFramePr>
                <a:graphic>
                  <a:graphicData uri="http://schemas.microsoft.com/office/word/2010/wordprocessingShape">
                    <wps:wsp>
                      <wps:cNvPr id="562" name="Graphic 56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7736pt;width:478.95pt;height:.1pt;mso-position-horizontal-relative:page;mso-position-vertical-relative:paragraph;z-index:-15666176;mso-wrap-distance-left:0;mso-wrap-distance-right:0" id="docshape90"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Understanding situation events" w:id="91"/>
      <w:bookmarkEnd w:id="91"/>
      <w:r>
        <w:rPr>
          <w:b w:val="0"/>
        </w:rPr>
      </w:r>
      <w:r>
        <w:rPr>
          <w:color w:val="231F20"/>
        </w:rPr>
        <w:t>Understanding</w:t>
      </w:r>
      <w:r>
        <w:rPr>
          <w:color w:val="231F20"/>
          <w:spacing w:val="-1"/>
        </w:rPr>
        <w:t> </w:t>
      </w:r>
      <w:r>
        <w:rPr>
          <w:color w:val="231F20"/>
        </w:rPr>
        <w:t>situation</w:t>
      </w:r>
      <w:r>
        <w:rPr>
          <w:color w:val="231F20"/>
          <w:spacing w:val="-1"/>
        </w:rPr>
        <w:t> </w:t>
      </w:r>
      <w:r>
        <w:rPr>
          <w:color w:val="231F20"/>
          <w:spacing w:val="-2"/>
        </w:rPr>
        <w:t>events</w:t>
      </w:r>
    </w:p>
    <w:p>
      <w:pPr>
        <w:pStyle w:val="BodyText"/>
        <w:spacing w:line="213" w:lineRule="auto" w:before="138"/>
        <w:ind w:left="2472" w:right="345"/>
        <w:jc w:val="both"/>
      </w:pPr>
      <w:r>
        <w:rPr>
          <w:color w:val="231F20"/>
        </w:rPr>
        <w:t>The products that run in the Tivoli Monitoring environment come with their </w:t>
      </w:r>
      <w:r>
        <w:rPr>
          <w:color w:val="231F20"/>
        </w:rPr>
        <w:t>own set of situations. These predefined situations serve as models for defining custom situations for your environment.</w:t>
      </w:r>
    </w:p>
    <w:p>
      <w:pPr>
        <w:pStyle w:val="Heading6"/>
      </w:pPr>
      <w:r>
        <w:rPr>
          <w:color w:val="231F20"/>
        </w:rPr>
        <w:t>Situation</w:t>
      </w:r>
      <w:r>
        <w:rPr>
          <w:color w:val="231F20"/>
          <w:spacing w:val="7"/>
        </w:rPr>
        <w:t> </w:t>
      </w:r>
      <w:r>
        <w:rPr>
          <w:color w:val="231F20"/>
          <w:spacing w:val="-2"/>
        </w:rPr>
        <w:t>formula</w:t>
      </w:r>
    </w:p>
    <w:p>
      <w:pPr>
        <w:pStyle w:val="BodyText"/>
        <w:spacing w:line="213" w:lineRule="auto" w:before="11"/>
        <w:ind w:left="3190" w:right="254"/>
      </w:pPr>
      <w:r>
        <w:rPr>
          <w:color w:val="231F20"/>
        </w:rPr>
        <w:t>Situations formulas are constructed of one or more expressions. For</w:t>
      </w:r>
      <w:r>
        <w:rPr>
          <w:color w:val="231F20"/>
          <w:spacing w:val="40"/>
        </w:rPr>
        <w:t> </w:t>
      </w:r>
      <w:r>
        <w:rPr>
          <w:color w:val="231F20"/>
        </w:rPr>
        <w:t>example, a situation that checks for free disk space below 20% on a</w:t>
      </w:r>
      <w:r>
        <w:rPr>
          <w:color w:val="231F20"/>
          <w:spacing w:val="80"/>
        </w:rPr>
        <w:t> </w:t>
      </w:r>
      <w:r>
        <w:rPr>
          <w:color w:val="231F20"/>
        </w:rPr>
        <w:t>Windows system has an expression that uses the Logical Disk attribute</w:t>
      </w:r>
      <w:r>
        <w:rPr>
          <w:color w:val="231F20"/>
          <w:spacing w:val="80"/>
        </w:rPr>
        <w:t> </w:t>
      </w:r>
      <w:r>
        <w:rPr>
          <w:color w:val="231F20"/>
        </w:rPr>
        <w:t>"Free Megabytes" and reads as </w:t>
      </w:r>
      <w:r>
        <w:rPr>
          <w:rFonts w:ascii="Arial"/>
          <w:color w:val="231F20"/>
        </w:rPr>
        <w:t>Free Megabytes &lt; 20</w:t>
      </w:r>
      <w:r>
        <w:rPr>
          <w:color w:val="231F20"/>
        </w:rPr>
        <w:t>.The situation will read data samples taken at the managed system at set intervals, such as once a</w:t>
      </w:r>
      <w:r>
        <w:rPr>
          <w:color w:val="231F20"/>
          <w:spacing w:val="40"/>
        </w:rPr>
        <w:t> </w:t>
      </w:r>
      <w:r>
        <w:rPr>
          <w:color w:val="231F20"/>
        </w:rPr>
        <w:t>day for the disk space situation in our example.</w:t>
      </w:r>
    </w:p>
    <w:p>
      <w:pPr>
        <w:pStyle w:val="BodyText"/>
        <w:spacing w:line="213" w:lineRule="auto" w:before="116"/>
        <w:ind w:left="3190" w:right="249"/>
      </w:pPr>
      <w:r>
        <w:rPr>
          <w:color w:val="231F20"/>
        </w:rPr>
        <w:t>Other situations might be more elaborate, such as the predefined Windows OS situation, Bottleneck Memory. It embeds two situations: one that tests</w:t>
      </w:r>
      <w:r>
        <w:rPr>
          <w:color w:val="231F20"/>
          <w:spacing w:val="80"/>
        </w:rPr>
        <w:t> </w:t>
      </w:r>
      <w:r>
        <w:rPr>
          <w:color w:val="231F20"/>
        </w:rPr>
        <w:t>for</w:t>
      </w:r>
      <w:r>
        <w:rPr>
          <w:color w:val="231F20"/>
          <w:spacing w:val="32"/>
        </w:rPr>
        <w:t> </w:t>
      </w:r>
      <w:r>
        <w:rPr>
          <w:color w:val="231F20"/>
        </w:rPr>
        <w:t>excessive</w:t>
      </w:r>
      <w:r>
        <w:rPr>
          <w:color w:val="231F20"/>
          <w:spacing w:val="32"/>
        </w:rPr>
        <w:t> </w:t>
      </w:r>
      <w:r>
        <w:rPr>
          <w:color w:val="231F20"/>
        </w:rPr>
        <w:t>memory</w:t>
      </w:r>
      <w:r>
        <w:rPr>
          <w:color w:val="231F20"/>
          <w:spacing w:val="32"/>
        </w:rPr>
        <w:t> </w:t>
      </w:r>
      <w:r>
        <w:rPr>
          <w:color w:val="231F20"/>
        </w:rPr>
        <w:t>paging</w:t>
      </w:r>
      <w:r>
        <w:rPr>
          <w:color w:val="231F20"/>
          <w:spacing w:val="32"/>
        </w:rPr>
        <w:t> </w:t>
      </w:r>
      <w:r>
        <w:rPr>
          <w:color w:val="231F20"/>
        </w:rPr>
        <w:t>activity</w:t>
      </w:r>
      <w:r>
        <w:rPr>
          <w:color w:val="231F20"/>
          <w:spacing w:val="32"/>
        </w:rPr>
        <w:t> </w:t>
      </w:r>
      <w:r>
        <w:rPr>
          <w:color w:val="231F20"/>
        </w:rPr>
        <w:t>(&gt;100</w:t>
      </w:r>
      <w:r>
        <w:rPr>
          <w:color w:val="231F20"/>
          <w:spacing w:val="32"/>
        </w:rPr>
        <w:t> </w:t>
      </w:r>
      <w:r>
        <w:rPr>
          <w:color w:val="231F20"/>
        </w:rPr>
        <w:t>pages</w:t>
      </w:r>
      <w:r>
        <w:rPr>
          <w:color w:val="231F20"/>
          <w:spacing w:val="32"/>
        </w:rPr>
        <w:t> </w:t>
      </w:r>
      <w:r>
        <w:rPr>
          <w:color w:val="231F20"/>
        </w:rPr>
        <w:t>per</w:t>
      </w:r>
      <w:r>
        <w:rPr>
          <w:color w:val="231F20"/>
          <w:spacing w:val="32"/>
        </w:rPr>
        <w:t> </w:t>
      </w:r>
      <w:r>
        <w:rPr>
          <w:color w:val="231F20"/>
        </w:rPr>
        <w:t>second),</w:t>
      </w:r>
      <w:r>
        <w:rPr>
          <w:color w:val="231F20"/>
          <w:spacing w:val="32"/>
        </w:rPr>
        <w:t> </w:t>
      </w:r>
      <w:r>
        <w:rPr>
          <w:color w:val="231F20"/>
        </w:rPr>
        <w:t>and</w:t>
      </w:r>
      <w:r>
        <w:rPr>
          <w:color w:val="231F20"/>
          <w:spacing w:val="32"/>
        </w:rPr>
        <w:t> </w:t>
      </w:r>
      <w:r>
        <w:rPr>
          <w:color w:val="231F20"/>
        </w:rPr>
        <w:t>one that tests for processor time over 70%. If both of these situations are true at the</w:t>
      </w:r>
      <w:r>
        <w:rPr>
          <w:color w:val="231F20"/>
          <w:spacing w:val="30"/>
        </w:rPr>
        <w:t> </w:t>
      </w:r>
      <w:r>
        <w:rPr>
          <w:color w:val="231F20"/>
        </w:rPr>
        <w:t>same</w:t>
      </w:r>
      <w:r>
        <w:rPr>
          <w:color w:val="231F20"/>
          <w:spacing w:val="30"/>
        </w:rPr>
        <w:t> </w:t>
      </w:r>
      <w:r>
        <w:rPr>
          <w:color w:val="231F20"/>
        </w:rPr>
        <w:t>time,</w:t>
      </w:r>
      <w:r>
        <w:rPr>
          <w:color w:val="231F20"/>
          <w:spacing w:val="30"/>
        </w:rPr>
        <w:t> </w:t>
      </w:r>
      <w:r>
        <w:rPr>
          <w:color w:val="231F20"/>
        </w:rPr>
        <w:t>the</w:t>
      </w:r>
      <w:r>
        <w:rPr>
          <w:color w:val="231F20"/>
          <w:spacing w:val="30"/>
        </w:rPr>
        <w:t> </w:t>
      </w:r>
      <w:r>
        <w:rPr>
          <w:color w:val="231F20"/>
        </w:rPr>
        <w:t>Bottleneck</w:t>
      </w:r>
      <w:r>
        <w:rPr>
          <w:color w:val="231F20"/>
          <w:spacing w:val="30"/>
        </w:rPr>
        <w:t> </w:t>
      </w:r>
      <w:r>
        <w:rPr>
          <w:color w:val="231F20"/>
        </w:rPr>
        <w:t>Memory</w:t>
      </w:r>
      <w:r>
        <w:rPr>
          <w:color w:val="231F20"/>
          <w:spacing w:val="30"/>
        </w:rPr>
        <w:t> </w:t>
      </w:r>
      <w:r>
        <w:rPr>
          <w:color w:val="231F20"/>
        </w:rPr>
        <w:t>situation</w:t>
      </w:r>
      <w:r>
        <w:rPr>
          <w:color w:val="231F20"/>
          <w:spacing w:val="30"/>
        </w:rPr>
        <w:t> </w:t>
      </w:r>
      <w:r>
        <w:rPr>
          <w:color w:val="231F20"/>
        </w:rPr>
        <w:t>becomes</w:t>
      </w:r>
      <w:r>
        <w:rPr>
          <w:color w:val="231F20"/>
          <w:spacing w:val="30"/>
        </w:rPr>
        <w:t> </w:t>
      </w:r>
      <w:r>
        <w:rPr>
          <w:color w:val="231F20"/>
        </w:rPr>
        <w:t>true</w:t>
      </w:r>
      <w:r>
        <w:rPr>
          <w:color w:val="231F20"/>
          <w:spacing w:val="30"/>
        </w:rPr>
        <w:t> </w:t>
      </w:r>
      <w:r>
        <w:rPr>
          <w:color w:val="231F20"/>
        </w:rPr>
        <w:t>and</w:t>
      </w:r>
      <w:r>
        <w:rPr>
          <w:color w:val="231F20"/>
          <w:spacing w:val="30"/>
        </w:rPr>
        <w:t> </w:t>
      </w:r>
      <w:r>
        <w:rPr>
          <w:color w:val="231F20"/>
        </w:rPr>
        <w:t>opens an event.</w:t>
      </w:r>
    </w:p>
    <w:p>
      <w:pPr>
        <w:pStyle w:val="Heading6"/>
        <w:spacing w:line="240" w:lineRule="auto" w:before="114"/>
      </w:pPr>
      <w:r>
        <w:rPr>
          <w:color w:val="231F20"/>
        </w:rPr>
        <w:t>Situation</w:t>
      </w:r>
      <w:r>
        <w:rPr>
          <w:color w:val="231F20"/>
          <w:spacing w:val="9"/>
        </w:rPr>
        <w:t> </w:t>
      </w:r>
      <w:r>
        <w:rPr>
          <w:color w:val="231F20"/>
        </w:rPr>
        <w:t>event</w:t>
      </w:r>
      <w:r>
        <w:rPr>
          <w:color w:val="231F20"/>
          <w:spacing w:val="9"/>
        </w:rPr>
        <w:t> </w:t>
      </w:r>
      <w:r>
        <w:rPr>
          <w:color w:val="231F20"/>
          <w:spacing w:val="-2"/>
        </w:rPr>
        <w:t>indicators</w:t>
      </w:r>
    </w:p>
    <w:p>
      <w:pPr>
        <w:pStyle w:val="BodyText"/>
        <w:spacing w:line="213" w:lineRule="auto" w:before="120"/>
        <w:ind w:left="3190" w:right="218"/>
      </w:pPr>
      <w:r>
        <w:rPr>
          <w:color w:val="231F20"/>
        </w:rPr>
        <w:t>When a situation is associated with a managed system, it also has a state setting that determines which light, is displayed on the Navigator item</w:t>
      </w:r>
      <w:r>
        <w:rPr>
          <w:color w:val="231F20"/>
          <w:spacing w:val="40"/>
        </w:rPr>
        <w:t> </w:t>
      </w:r>
      <w:r>
        <w:rPr>
          <w:color w:val="231F20"/>
        </w:rPr>
        <w:t>when</w:t>
      </w:r>
      <w:r>
        <w:rPr>
          <w:color w:val="231F20"/>
          <w:spacing w:val="15"/>
        </w:rPr>
        <w:t> </w:t>
      </w:r>
      <w:r>
        <w:rPr>
          <w:color w:val="231F20"/>
        </w:rPr>
        <w:t>the</w:t>
      </w:r>
      <w:r>
        <w:rPr>
          <w:color w:val="231F20"/>
          <w:spacing w:val="15"/>
        </w:rPr>
        <w:t> </w:t>
      </w:r>
      <w:r>
        <w:rPr>
          <w:color w:val="231F20"/>
        </w:rPr>
        <w:t>situation</w:t>
      </w:r>
      <w:r>
        <w:rPr>
          <w:color w:val="231F20"/>
          <w:spacing w:val="15"/>
        </w:rPr>
        <w:t> </w:t>
      </w:r>
      <w:r>
        <w:rPr>
          <w:color w:val="231F20"/>
        </w:rPr>
        <w:t>becomes</w:t>
      </w:r>
      <w:r>
        <w:rPr>
          <w:color w:val="231F20"/>
          <w:spacing w:val="15"/>
        </w:rPr>
        <w:t> </w:t>
      </w:r>
      <w:r>
        <w:rPr>
          <w:color w:val="231F20"/>
        </w:rPr>
        <w:t>true.</w:t>
      </w:r>
      <w:r>
        <w:rPr>
          <w:color w:val="231F20"/>
          <w:spacing w:val="15"/>
        </w:rPr>
        <w:t> </w:t>
      </w:r>
      <w:r>
        <w:rPr>
          <w:color w:val="231F20"/>
        </w:rPr>
        <w:t>From</w:t>
      </w:r>
      <w:r>
        <w:rPr>
          <w:color w:val="231F20"/>
          <w:spacing w:val="15"/>
        </w:rPr>
        <w:t> </w:t>
      </w:r>
      <w:r>
        <w:rPr>
          <w:color w:val="231F20"/>
        </w:rPr>
        <w:t>highest</w:t>
      </w:r>
      <w:r>
        <w:rPr>
          <w:color w:val="231F20"/>
          <w:spacing w:val="15"/>
        </w:rPr>
        <w:t> </w:t>
      </w:r>
      <w:r>
        <w:rPr>
          <w:color w:val="231F20"/>
        </w:rPr>
        <w:t>severity</w:t>
      </w:r>
      <w:r>
        <w:rPr>
          <w:color w:val="231F20"/>
          <w:spacing w:val="15"/>
        </w:rPr>
        <w:t> </w:t>
      </w:r>
      <w:r>
        <w:rPr>
          <w:color w:val="231F20"/>
        </w:rPr>
        <w:t>to</w:t>
      </w:r>
      <w:r>
        <w:rPr>
          <w:color w:val="231F20"/>
          <w:spacing w:val="15"/>
        </w:rPr>
        <w:t> </w:t>
      </w:r>
      <w:r>
        <w:rPr>
          <w:color w:val="231F20"/>
        </w:rPr>
        <w:t>lowest,</w:t>
      </w:r>
      <w:r>
        <w:rPr>
          <w:color w:val="231F20"/>
          <w:spacing w:val="15"/>
        </w:rPr>
        <w:t> </w:t>
      </w:r>
      <w:r>
        <w:rPr>
          <w:color w:val="231F20"/>
        </w:rPr>
        <w:t>they</w:t>
      </w:r>
      <w:r>
        <w:rPr>
          <w:color w:val="231F20"/>
          <w:spacing w:val="15"/>
        </w:rPr>
        <w:t> </w:t>
      </w:r>
      <w:r>
        <w:rPr>
          <w:color w:val="231F20"/>
        </w:rPr>
        <w:t>are </w:t>
      </w:r>
      <w:r>
        <w:rPr>
          <w:color w:val="231F20"/>
        </w:rPr>
        <w:drawing>
          <wp:inline distT="0" distB="0" distL="0" distR="0">
            <wp:extent cx="57150" cy="57150"/>
            <wp:effectExtent l="0" t="0" r="0" b="0"/>
            <wp:docPr id="563" name="Image 563"/>
            <wp:cNvGraphicFramePr>
              <a:graphicFrameLocks/>
            </wp:cNvGraphicFramePr>
            <a:graphic>
              <a:graphicData uri="http://schemas.openxmlformats.org/drawingml/2006/picture">
                <pic:pic>
                  <pic:nvPicPr>
                    <pic:cNvPr id="563" name="Image 563"/>
                    <pic:cNvPicPr/>
                  </pic:nvPicPr>
                  <pic:blipFill>
                    <a:blip r:embed="rId94" cstate="print"/>
                    <a:stretch>
                      <a:fillRect/>
                    </a:stretch>
                  </pic:blipFill>
                  <pic:spPr>
                    <a:xfrm>
                      <a:off x="0" y="0"/>
                      <a:ext cx="57150" cy="57150"/>
                    </a:xfrm>
                    <a:prstGeom prst="rect">
                      <a:avLst/>
                    </a:prstGeom>
                  </pic:spPr>
                </pic:pic>
              </a:graphicData>
            </a:graphic>
          </wp:inline>
        </w:drawing>
      </w:r>
      <w:r>
        <w:rPr>
          <w:color w:val="231F20"/>
        </w:rPr>
      </w:r>
      <w:r>
        <w:rPr>
          <w:rFonts w:ascii="Times New Roman"/>
          <w:color w:val="231F20"/>
          <w:spacing w:val="74"/>
        </w:rPr>
        <w:t> </w:t>
      </w:r>
      <w:r>
        <w:rPr>
          <w:color w:val="231F20"/>
        </w:rPr>
        <w:t>Fatal,</w:t>
      </w:r>
      <w:r>
        <w:rPr>
          <w:color w:val="231F20"/>
          <w:spacing w:val="16"/>
        </w:rPr>
        <w:t> </w:t>
      </w:r>
      <w:r>
        <w:rPr>
          <w:color w:val="231F20"/>
          <w:spacing w:val="16"/>
        </w:rPr>
        <w:drawing>
          <wp:inline distT="0" distB="0" distL="0" distR="0">
            <wp:extent cx="57150" cy="57150"/>
            <wp:effectExtent l="0" t="0" r="0" b="0"/>
            <wp:docPr id="564" name="Image 564"/>
            <wp:cNvGraphicFramePr>
              <a:graphicFrameLocks/>
            </wp:cNvGraphicFramePr>
            <a:graphic>
              <a:graphicData uri="http://schemas.openxmlformats.org/drawingml/2006/picture">
                <pic:pic>
                  <pic:nvPicPr>
                    <pic:cNvPr id="564" name="Image 564"/>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Critical,</w:t>
      </w:r>
      <w:r>
        <w:rPr>
          <w:color w:val="231F20"/>
          <w:spacing w:val="16"/>
        </w:rPr>
        <w:t> </w:t>
      </w:r>
      <w:r>
        <w:rPr>
          <w:color w:val="231F20"/>
          <w:spacing w:val="16"/>
        </w:rPr>
        <w:drawing>
          <wp:inline distT="0" distB="0" distL="0" distR="0">
            <wp:extent cx="57150" cy="57150"/>
            <wp:effectExtent l="0" t="0" r="0" b="0"/>
            <wp:docPr id="565" name="Image 565"/>
            <wp:cNvGraphicFramePr>
              <a:graphicFrameLocks/>
            </wp:cNvGraphicFramePr>
            <a:graphic>
              <a:graphicData uri="http://schemas.openxmlformats.org/drawingml/2006/picture">
                <pic:pic>
                  <pic:nvPicPr>
                    <pic:cNvPr id="565" name="Image 565"/>
                    <pic:cNvPicPr/>
                  </pic:nvPicPr>
                  <pic:blipFill>
                    <a:blip r:embed="rId95"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Minor,</w:t>
      </w:r>
      <w:r>
        <w:rPr>
          <w:color w:val="231F20"/>
          <w:spacing w:val="16"/>
        </w:rPr>
        <w:t> </w:t>
      </w:r>
      <w:r>
        <w:rPr>
          <w:color w:val="231F20"/>
          <w:spacing w:val="16"/>
        </w:rPr>
        <w:drawing>
          <wp:inline distT="0" distB="0" distL="0" distR="0">
            <wp:extent cx="57150" cy="57150"/>
            <wp:effectExtent l="0" t="0" r="0" b="0"/>
            <wp:docPr id="566" name="Image 566"/>
            <wp:cNvGraphicFramePr>
              <a:graphicFrameLocks/>
            </wp:cNvGraphicFramePr>
            <a:graphic>
              <a:graphicData uri="http://schemas.openxmlformats.org/drawingml/2006/picture">
                <pic:pic>
                  <pic:nvPicPr>
                    <pic:cNvPr id="566" name="Image 566"/>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Warning,</w:t>
      </w:r>
      <w:r>
        <w:rPr>
          <w:color w:val="231F20"/>
          <w:spacing w:val="16"/>
        </w:rPr>
        <w:t> </w:t>
      </w:r>
      <w:r>
        <w:rPr>
          <w:color w:val="231F20"/>
          <w:spacing w:val="16"/>
        </w:rPr>
        <w:drawing>
          <wp:inline distT="0" distB="0" distL="0" distR="0">
            <wp:extent cx="57150" cy="57150"/>
            <wp:effectExtent l="0" t="0" r="0" b="0"/>
            <wp:docPr id="567" name="Image 567"/>
            <wp:cNvGraphicFramePr>
              <a:graphicFrameLocks/>
            </wp:cNvGraphicFramePr>
            <a:graphic>
              <a:graphicData uri="http://schemas.openxmlformats.org/drawingml/2006/picture">
                <pic:pic>
                  <pic:nvPicPr>
                    <pic:cNvPr id="567" name="Image 567"/>
                    <pic:cNvPicPr/>
                  </pic:nvPicPr>
                  <pic:blipFill>
                    <a:blip r:embed="rId96"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Harmless,</w:t>
      </w:r>
      <w:r>
        <w:rPr>
          <w:color w:val="231F20"/>
          <w:spacing w:val="16"/>
        </w:rPr>
        <w:t> </w:t>
      </w:r>
      <w:r>
        <w:rPr>
          <w:color w:val="231F20"/>
          <w:spacing w:val="16"/>
        </w:rPr>
        <w:drawing>
          <wp:inline distT="0" distB="0" distL="0" distR="0">
            <wp:extent cx="57150" cy="57150"/>
            <wp:effectExtent l="0" t="0" r="0" b="0"/>
            <wp:docPr id="568" name="Image 568"/>
            <wp:cNvGraphicFramePr>
              <a:graphicFrameLocks/>
            </wp:cNvGraphicFramePr>
            <a:graphic>
              <a:graphicData uri="http://schemas.openxmlformats.org/drawingml/2006/picture">
                <pic:pic>
                  <pic:nvPicPr>
                    <pic:cNvPr id="568" name="Image 568"/>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Informational,</w:t>
      </w:r>
      <w:r>
        <w:rPr>
          <w:color w:val="231F20"/>
          <w:spacing w:val="16"/>
        </w:rPr>
        <w:t> </w:t>
      </w:r>
      <w:r>
        <w:rPr>
          <w:color w:val="231F20"/>
        </w:rPr>
        <w:t>and </w:t>
      </w:r>
      <w:r>
        <w:rPr>
          <w:color w:val="231F20"/>
        </w:rPr>
        <w:drawing>
          <wp:inline distT="0" distB="0" distL="0" distR="0">
            <wp:extent cx="57150" cy="57150"/>
            <wp:effectExtent l="0" t="0" r="0" b="0"/>
            <wp:docPr id="569" name="Image 569"/>
            <wp:cNvGraphicFramePr>
              <a:graphicFrameLocks/>
            </wp:cNvGraphicFramePr>
            <a:graphic>
              <a:graphicData uri="http://schemas.openxmlformats.org/drawingml/2006/picture">
                <pic:pic>
                  <pic:nvPicPr>
                    <pic:cNvPr id="569" name="Image 569"/>
                    <pic:cNvPicPr/>
                  </pic:nvPicPr>
                  <pic:blipFill>
                    <a:blip r:embed="rId97" cstate="print"/>
                    <a:stretch>
                      <a:fillRect/>
                    </a:stretch>
                  </pic:blipFill>
                  <pic:spPr>
                    <a:xfrm>
                      <a:off x="0" y="0"/>
                      <a:ext cx="57150" cy="57150"/>
                    </a:xfrm>
                    <a:prstGeom prst="rect">
                      <a:avLst/>
                    </a:prstGeom>
                  </pic:spPr>
                </pic:pic>
              </a:graphicData>
            </a:graphic>
          </wp:inline>
        </w:drawing>
      </w:r>
      <w:r>
        <w:rPr>
          <w:color w:val="231F20"/>
        </w:rPr>
      </w:r>
      <w:r>
        <w:rPr>
          <w:rFonts w:ascii="Times New Roman"/>
          <w:color w:val="231F20"/>
          <w:spacing w:val="40"/>
        </w:rPr>
        <w:t> </w:t>
      </w:r>
      <w:r>
        <w:rPr>
          <w:color w:val="231F20"/>
        </w:rPr>
        <w:t>Unknown. As you move up the Navigator hierarchy, multiple events are consolidated to show only the indicator of the highest severity. Go to the lowest level of the hierarchy in the Navigator and you see the event indicator over the attribute category for which it was written.The situation event console and graphic view also show situation event indicators and enable you to respond to events. The Enterprise Status workspace includes the situation event console view.</w:t>
      </w:r>
    </w:p>
    <w:p>
      <w:pPr>
        <w:pStyle w:val="Heading6"/>
        <w:spacing w:before="111"/>
      </w:pPr>
      <w:r>
        <w:rPr>
          <w:color w:val="231F20"/>
        </w:rPr>
        <w:t>Enterprise</w:t>
      </w:r>
      <w:r>
        <w:rPr>
          <w:color w:val="231F20"/>
          <w:spacing w:val="8"/>
        </w:rPr>
        <w:t> </w:t>
      </w:r>
      <w:r>
        <w:rPr>
          <w:color w:val="231F20"/>
        </w:rPr>
        <w:t>Status</w:t>
      </w:r>
      <w:r>
        <w:rPr>
          <w:color w:val="231F20"/>
          <w:spacing w:val="8"/>
        </w:rPr>
        <w:t> </w:t>
      </w:r>
      <w:r>
        <w:rPr>
          <w:color w:val="231F20"/>
          <w:spacing w:val="-2"/>
        </w:rPr>
        <w:t>workspace</w:t>
      </w:r>
    </w:p>
    <w:p>
      <w:pPr>
        <w:pStyle w:val="BodyText"/>
        <w:spacing w:line="213" w:lineRule="auto" w:before="11"/>
        <w:ind w:left="3190" w:right="258"/>
      </w:pPr>
      <w:r>
        <w:rPr>
          <w:color w:val="231F20"/>
        </w:rPr>
        <w:t>The initial default workspace is the Enterprise Status workspace. The </w:t>
      </w:r>
      <w:r>
        <w:rPr>
          <w:color w:val="231F20"/>
        </w:rPr>
        <w:t>views in this workspace give an excellent overview of situation events in your monitored environment and their status. One of the views, Situation Event Console, lists the open events and their severities.</w:t>
      </w:r>
    </w:p>
    <w:p>
      <w:pPr>
        <w:pStyle w:val="Heading6"/>
        <w:spacing w:before="116"/>
      </w:pPr>
      <w:r>
        <w:rPr>
          <w:color w:val="231F20"/>
        </w:rPr>
        <w:t>Event</w:t>
      </w:r>
      <w:r>
        <w:rPr>
          <w:color w:val="231F20"/>
          <w:spacing w:val="10"/>
        </w:rPr>
        <w:t> </w:t>
      </w:r>
      <w:r>
        <w:rPr>
          <w:color w:val="231F20"/>
        </w:rPr>
        <w:t>flyover</w:t>
      </w:r>
      <w:r>
        <w:rPr>
          <w:color w:val="231F20"/>
          <w:spacing w:val="10"/>
        </w:rPr>
        <w:t> </w:t>
      </w:r>
      <w:r>
        <w:rPr>
          <w:color w:val="231F20"/>
          <w:spacing w:val="-4"/>
        </w:rPr>
        <w:t>list</w:t>
      </w:r>
    </w:p>
    <w:p>
      <w:pPr>
        <w:pStyle w:val="BodyText"/>
        <w:spacing w:line="213" w:lineRule="auto" w:before="11"/>
        <w:ind w:left="3190"/>
      </w:pPr>
      <w:r>
        <w:rPr>
          <w:color w:val="231F20"/>
        </w:rPr>
        <w:t>In the Navigator view or a graphic view, you can hover the mouse over an event indicator to open a flyover listing of open situation events with this </w:t>
      </w:r>
      <w:r>
        <w:rPr>
          <w:color w:val="231F20"/>
          <w:spacing w:val="-2"/>
        </w:rPr>
        <w:t>information:</w:t>
      </w:r>
    </w:p>
    <w:p>
      <w:pPr>
        <w:pStyle w:val="BodyText"/>
        <w:spacing w:before="35"/>
        <w:ind w:left="3490"/>
      </w:pPr>
      <w:r>
        <w:rPr>
          <w:color w:val="231F20"/>
        </w:rPr>
        <w:t>Event</w:t>
      </w:r>
      <w:r>
        <w:rPr>
          <w:color w:val="231F20"/>
          <w:spacing w:val="10"/>
        </w:rPr>
        <w:t> </w:t>
      </w:r>
      <w:r>
        <w:rPr>
          <w:color w:val="231F20"/>
          <w:spacing w:val="-2"/>
        </w:rPr>
        <w:t>state</w:t>
      </w:r>
    </w:p>
    <w:p>
      <w:pPr>
        <w:spacing w:after="0"/>
        <w:sectPr>
          <w:footerReference w:type="default" r:id="rId162"/>
          <w:footerReference w:type="even" r:id="rId163"/>
          <w:pgSz w:w="12240" w:h="15840"/>
          <w:pgMar w:header="0" w:footer="736" w:top="1300" w:bottom="920" w:left="1000" w:right="1060"/>
          <w:pgNumType w:start="51"/>
        </w:sectPr>
      </w:pPr>
    </w:p>
    <w:p>
      <w:pPr>
        <w:pStyle w:val="BodyText"/>
        <w:spacing w:before="62"/>
        <w:ind w:left="3250"/>
      </w:pPr>
      <w:r>
        <w:rPr>
          <w:color w:val="231F20"/>
        </w:rPr>
        <w:t>Situation</w:t>
      </w:r>
      <w:r>
        <w:rPr>
          <w:color w:val="231F20"/>
          <w:spacing w:val="8"/>
        </w:rPr>
        <w:t> </w:t>
      </w:r>
      <w:r>
        <w:rPr>
          <w:color w:val="231F20"/>
          <w:spacing w:val="-4"/>
        </w:rPr>
        <w:t>name</w:t>
      </w:r>
    </w:p>
    <w:p>
      <w:pPr>
        <w:pStyle w:val="BodyText"/>
        <w:spacing w:line="266" w:lineRule="auto" w:before="29"/>
        <w:ind w:left="3250" w:right="2478"/>
      </w:pPr>
      <w:r>
        <w:rPr>
          <w:color w:val="231F20"/>
        </w:rPr>
        <w:t>Name of the system on which the event </w:t>
      </w:r>
      <w:r>
        <w:rPr>
          <w:color w:val="231F20"/>
        </w:rPr>
        <w:t>occurred Two-letter code for the monitoring agent</w:t>
      </w:r>
    </w:p>
    <w:p>
      <w:pPr>
        <w:pStyle w:val="BodyText"/>
        <w:spacing w:line="269" w:lineRule="exact"/>
        <w:ind w:left="3250"/>
      </w:pPr>
      <w:r>
        <w:rPr>
          <w:color w:val="231F20"/>
        </w:rPr>
        <w:t>Event</w:t>
      </w:r>
      <w:r>
        <w:rPr>
          <w:color w:val="231F20"/>
          <w:spacing w:val="10"/>
        </w:rPr>
        <w:t> </w:t>
      </w:r>
      <w:r>
        <w:rPr>
          <w:color w:val="231F20"/>
          <w:spacing w:val="-2"/>
        </w:rPr>
        <w:t>timestamp</w:t>
      </w:r>
    </w:p>
    <w:p>
      <w:pPr>
        <w:pStyle w:val="BodyText"/>
        <w:spacing w:before="30"/>
        <w:ind w:left="3250"/>
      </w:pPr>
      <w:r>
        <w:rPr>
          <w:color w:val="231F20"/>
        </w:rPr>
        <w:t>Display</w:t>
      </w:r>
      <w:r>
        <w:rPr>
          <w:color w:val="231F20"/>
          <w:spacing w:val="12"/>
        </w:rPr>
        <w:t> </w:t>
      </w:r>
      <w:r>
        <w:rPr>
          <w:color w:val="231F20"/>
        </w:rPr>
        <w:t>item,</w:t>
      </w:r>
      <w:r>
        <w:rPr>
          <w:color w:val="231F20"/>
          <w:spacing w:val="12"/>
        </w:rPr>
        <w:t> </w:t>
      </w:r>
      <w:r>
        <w:rPr>
          <w:color w:val="231F20"/>
        </w:rPr>
        <w:t>if</w:t>
      </w:r>
      <w:r>
        <w:rPr>
          <w:color w:val="231F20"/>
          <w:spacing w:val="12"/>
        </w:rPr>
        <w:t> </w:t>
      </w:r>
      <w:r>
        <w:rPr>
          <w:color w:val="231F20"/>
        </w:rPr>
        <w:t>one</w:t>
      </w:r>
      <w:r>
        <w:rPr>
          <w:color w:val="231F20"/>
          <w:spacing w:val="12"/>
        </w:rPr>
        <w:t> </w:t>
      </w:r>
      <w:r>
        <w:rPr>
          <w:color w:val="231F20"/>
        </w:rPr>
        <w:t>was</w:t>
      </w:r>
      <w:r>
        <w:rPr>
          <w:color w:val="231F20"/>
          <w:spacing w:val="12"/>
        </w:rPr>
        <w:t> </w:t>
      </w:r>
      <w:r>
        <w:rPr>
          <w:color w:val="231F20"/>
          <w:spacing w:val="-2"/>
        </w:rPr>
        <w:t>specified</w:t>
      </w:r>
    </w:p>
    <w:p>
      <w:pPr>
        <w:pStyle w:val="BodyText"/>
        <w:spacing w:line="213" w:lineRule="auto" w:before="52"/>
        <w:ind w:left="3250" w:right="567"/>
      </w:pPr>
      <w:r>
        <w:rPr>
          <w:color w:val="231F20"/>
        </w:rPr>
        <w:t>Situation status icon if: </w:t>
      </w:r>
      <w:r>
        <w:rPr>
          <w:color w:val="231F20"/>
          <w:spacing w:val="-25"/>
          <w:position w:val="-1"/>
        </w:rPr>
        <w:drawing>
          <wp:inline distT="0" distB="0" distL="0" distR="0">
            <wp:extent cx="95250" cy="95250"/>
            <wp:effectExtent l="0" t="0" r="0" b="0"/>
            <wp:docPr id="570" name="Image 570"/>
            <wp:cNvGraphicFramePr>
              <a:graphicFrameLocks/>
            </wp:cNvGraphicFramePr>
            <a:graphic>
              <a:graphicData uri="http://schemas.openxmlformats.org/drawingml/2006/picture">
                <pic:pic>
                  <pic:nvPicPr>
                    <pic:cNvPr id="570" name="Image 570"/>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the event has been acknowledged; </w:t>
      </w:r>
      <w:r>
        <w:rPr>
          <w:color w:val="231F20"/>
          <w:spacing w:val="-25"/>
          <w:position w:val="-1"/>
        </w:rPr>
        <w:drawing>
          <wp:inline distT="0" distB="0" distL="0" distR="0">
            <wp:extent cx="95250" cy="95250"/>
            <wp:effectExtent l="0" t="0" r="0" b="0"/>
            <wp:docPr id="571" name="Image 571"/>
            <wp:cNvGraphicFramePr>
              <a:graphicFrameLocks/>
            </wp:cNvGraphicFramePr>
            <a:graphic>
              <a:graphicData uri="http://schemas.openxmlformats.org/drawingml/2006/picture">
                <pic:pic>
                  <pic:nvPicPr>
                    <pic:cNvPr id="571" name="Image 571"/>
                    <pic:cNvPicPr/>
                  </pic:nvPicPr>
                  <pic:blipFill>
                    <a:blip r:embed="rId11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the acknowledgement has expired; </w:t>
      </w:r>
      <w:r>
        <w:rPr>
          <w:color w:val="231F20"/>
          <w:spacing w:val="-25"/>
          <w:position w:val="-1"/>
        </w:rPr>
        <w:drawing>
          <wp:inline distT="0" distB="0" distL="0" distR="0">
            <wp:extent cx="95250" cy="95250"/>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112"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0"/>
        </w:rPr>
        <w:t> </w:t>
      </w:r>
      <w:r>
        <w:rPr>
          <w:color w:val="231F20"/>
        </w:rPr>
        <w:t>the acknowledgement was </w:t>
      </w:r>
      <w:r>
        <w:rPr>
          <w:color w:val="231F20"/>
        </w:rPr>
        <w:t>removed before it had expired and the situation is still true;</w:t>
      </w:r>
      <w:r>
        <w:rPr>
          <w:color w:val="231F20"/>
          <w:spacing w:val="30"/>
        </w:rPr>
        <w:t> </w:t>
      </w:r>
      <w:r>
        <w:rPr>
          <w:color w:val="231F20"/>
          <w:spacing w:val="-25"/>
          <w:position w:val="-1"/>
        </w:rPr>
        <w:drawing>
          <wp:inline distT="0" distB="0" distL="0" distR="0">
            <wp:extent cx="95250" cy="95250"/>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11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the situation is not functioning properly and you will not be able to open its event results workspace; or </w:t>
      </w:r>
      <w:r>
        <w:rPr>
          <w:color w:val="231F20"/>
          <w:spacing w:val="-25"/>
          <w:position w:val="-1"/>
        </w:rPr>
        <w:drawing>
          <wp:inline distT="0" distB="0" distL="0" distR="0">
            <wp:extent cx="95250" cy="95250"/>
            <wp:effectExtent l="0" t="0" r="0" b="0"/>
            <wp:docPr id="574" name="Image 574"/>
            <wp:cNvGraphicFramePr>
              <a:graphicFrameLocks/>
            </wp:cNvGraphicFramePr>
            <a:graphic>
              <a:graphicData uri="http://schemas.openxmlformats.org/drawingml/2006/picture">
                <pic:pic>
                  <pic:nvPicPr>
                    <pic:cNvPr id="574" name="Image 574"/>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the situation has been stopped and you will not be able to open its event results workspace.</w:t>
      </w:r>
    </w:p>
    <w:p>
      <w:pPr>
        <w:pStyle w:val="BodyText"/>
        <w:spacing w:before="33"/>
        <w:ind w:left="3250"/>
      </w:pPr>
      <w:r>
        <w:rPr>
          <w:color w:val="231F20"/>
        </w:rPr>
        <w:t>The</w:t>
      </w:r>
      <w:r>
        <w:rPr>
          <w:color w:val="231F20"/>
          <w:spacing w:val="12"/>
        </w:rPr>
        <w:t> </w:t>
      </w:r>
      <w:r>
        <w:rPr>
          <w:color w:val="231F20"/>
          <w:spacing w:val="16"/>
          <w:position w:val="-1"/>
        </w:rPr>
        <w:drawing>
          <wp:inline distT="0" distB="0" distL="0" distR="0">
            <wp:extent cx="101600" cy="101600"/>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3"/>
        </w:rPr>
        <w:t> </w:t>
      </w:r>
      <w:r>
        <w:rPr>
          <w:color w:val="231F20"/>
        </w:rPr>
        <w:t>link</w:t>
      </w:r>
      <w:r>
        <w:rPr>
          <w:color w:val="231F20"/>
          <w:spacing w:val="13"/>
        </w:rPr>
        <w:t> </w:t>
      </w:r>
      <w:r>
        <w:rPr>
          <w:color w:val="231F20"/>
        </w:rPr>
        <w:t>is</w:t>
      </w:r>
      <w:r>
        <w:rPr>
          <w:color w:val="231F20"/>
          <w:spacing w:val="12"/>
        </w:rPr>
        <w:t> </w:t>
      </w:r>
      <w:r>
        <w:rPr>
          <w:color w:val="231F20"/>
        </w:rPr>
        <w:t>to</w:t>
      </w:r>
      <w:r>
        <w:rPr>
          <w:color w:val="231F20"/>
          <w:spacing w:val="12"/>
        </w:rPr>
        <w:t> </w:t>
      </w:r>
      <w:r>
        <w:rPr>
          <w:color w:val="231F20"/>
        </w:rPr>
        <w:t>the</w:t>
      </w:r>
      <w:r>
        <w:rPr>
          <w:color w:val="231F20"/>
          <w:spacing w:val="13"/>
        </w:rPr>
        <w:t> </w:t>
      </w:r>
      <w:r>
        <w:rPr>
          <w:color w:val="231F20"/>
        </w:rPr>
        <w:t>event</w:t>
      </w:r>
      <w:r>
        <w:rPr>
          <w:color w:val="231F20"/>
          <w:spacing w:val="12"/>
        </w:rPr>
        <w:t> </w:t>
      </w:r>
      <w:r>
        <w:rPr>
          <w:color w:val="231F20"/>
        </w:rPr>
        <w:t>results</w:t>
      </w:r>
      <w:r>
        <w:rPr>
          <w:color w:val="231F20"/>
          <w:spacing w:val="12"/>
        </w:rPr>
        <w:t> </w:t>
      </w:r>
      <w:r>
        <w:rPr>
          <w:color w:val="231F20"/>
        </w:rPr>
        <w:t>workspace</w:t>
      </w:r>
      <w:r>
        <w:rPr>
          <w:color w:val="231F20"/>
          <w:spacing w:val="13"/>
        </w:rPr>
        <w:t> </w:t>
      </w:r>
      <w:r>
        <w:rPr>
          <w:color w:val="231F20"/>
        </w:rPr>
        <w:t>for</w:t>
      </w:r>
      <w:r>
        <w:rPr>
          <w:color w:val="231F20"/>
          <w:spacing w:val="12"/>
        </w:rPr>
        <w:t> </w:t>
      </w:r>
      <w:r>
        <w:rPr>
          <w:color w:val="231F20"/>
        </w:rPr>
        <w:t>the</w:t>
      </w:r>
      <w:r>
        <w:rPr>
          <w:color w:val="231F20"/>
          <w:spacing w:val="12"/>
        </w:rPr>
        <w:t> </w:t>
      </w:r>
      <w:r>
        <w:rPr>
          <w:color w:val="231F20"/>
          <w:spacing w:val="-2"/>
        </w:rPr>
        <w:t>situation.</w:t>
      </w:r>
    </w:p>
    <w:p>
      <w:pPr>
        <w:pStyle w:val="BodyText"/>
        <w:spacing w:line="213" w:lineRule="auto" w:before="112"/>
        <w:ind w:left="2951" w:right="545"/>
      </w:pPr>
      <w:r>
        <w:rPr>
          <w:color w:val="231F20"/>
        </w:rPr>
        <w:t>The pop-up menu for the event items has options for working with </w:t>
      </w:r>
      <w:r>
        <w:rPr>
          <w:color w:val="231F20"/>
        </w:rPr>
        <w:t>the situation and event:</w:t>
      </w:r>
    </w:p>
    <w:p>
      <w:pPr>
        <w:pStyle w:val="BodyText"/>
        <w:spacing w:before="36"/>
        <w:ind w:left="3320" w:hanging="60"/>
      </w:pPr>
      <w:r>
        <w:rPr>
          <w:position w:val="-1"/>
        </w:rPr>
        <w:drawing>
          <wp:inline distT="0" distB="0" distL="0" distR="0">
            <wp:extent cx="95250" cy="101600"/>
            <wp:effectExtent l="0" t="0" r="0" b="0"/>
            <wp:docPr id="576" name="Image 576"/>
            <wp:cNvGraphicFramePr>
              <a:graphicFrameLocks/>
            </wp:cNvGraphicFramePr>
            <a:graphic>
              <a:graphicData uri="http://schemas.openxmlformats.org/drawingml/2006/picture">
                <pic:pic>
                  <pic:nvPicPr>
                    <pic:cNvPr id="576" name="Image 576"/>
                    <pic:cNvPicPr/>
                  </pic:nvPicPr>
                  <pic:blipFill>
                    <a:blip r:embed="rId74"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80"/>
        </w:rPr>
        <w:t> </w:t>
      </w:r>
      <w:r>
        <w:rPr>
          <w:color w:val="231F20"/>
        </w:rPr>
        <w:t>Edit</w:t>
      </w:r>
      <w:r>
        <w:rPr>
          <w:color w:val="231F20"/>
          <w:spacing w:val="34"/>
        </w:rPr>
        <w:t> </w:t>
      </w:r>
      <w:r>
        <w:rPr>
          <w:color w:val="231F20"/>
        </w:rPr>
        <w:t>the</w:t>
      </w:r>
      <w:r>
        <w:rPr>
          <w:color w:val="231F20"/>
          <w:spacing w:val="34"/>
        </w:rPr>
        <w:t> </w:t>
      </w:r>
      <w:r>
        <w:rPr>
          <w:color w:val="231F20"/>
        </w:rPr>
        <w:t>situation</w:t>
      </w:r>
    </w:p>
    <w:p>
      <w:pPr>
        <w:pStyle w:val="BodyText"/>
        <w:spacing w:line="266" w:lineRule="auto" w:before="89"/>
        <w:ind w:left="3260" w:right="5052" w:firstLine="60"/>
      </w:pPr>
      <w:r>
        <w:rPr>
          <w:position w:val="-1"/>
        </w:rPr>
        <w:drawing>
          <wp:inline distT="0" distB="0" distL="0" distR="0">
            <wp:extent cx="82550" cy="133350"/>
            <wp:effectExtent l="0" t="0" r="0" b="0"/>
            <wp:docPr id="577" name="Image 577"/>
            <wp:cNvGraphicFramePr>
              <a:graphicFrameLocks/>
            </wp:cNvGraphicFramePr>
            <a:graphic>
              <a:graphicData uri="http://schemas.openxmlformats.org/drawingml/2006/picture">
                <pic:pic>
                  <pic:nvPicPr>
                    <pic:cNvPr id="577" name="Image 577"/>
                    <pic:cNvPicPr/>
                  </pic:nvPicPr>
                  <pic:blipFill>
                    <a:blip r:embed="rId166" cstate="print"/>
                    <a:stretch>
                      <a:fillRect/>
                    </a:stretch>
                  </pic:blipFill>
                  <pic:spPr>
                    <a:xfrm>
                      <a:off x="0" y="0"/>
                      <a:ext cx="82550" cy="133350"/>
                    </a:xfrm>
                    <a:prstGeom prst="rect">
                      <a:avLst/>
                    </a:prstGeom>
                  </pic:spPr>
                </pic:pic>
              </a:graphicData>
            </a:graphic>
          </wp:inline>
        </w:drawing>
      </w:r>
      <w:r>
        <w:rPr>
          <w:position w:val="-1"/>
        </w:rPr>
      </w:r>
      <w:r>
        <w:rPr>
          <w:rFonts w:ascii="Times New Roman"/>
        </w:rPr>
        <w:t> </w:t>
      </w:r>
      <w:r>
        <w:rPr>
          <w:color w:val="231F20"/>
        </w:rPr>
        <w:t>Start the </w:t>
      </w:r>
      <w:r>
        <w:rPr>
          <w:color w:val="231F20"/>
        </w:rPr>
        <w:t>situation </w:t>
      </w:r>
      <w:r>
        <w:rPr>
          <w:color w:val="231F20"/>
          <w:position w:val="-1"/>
        </w:rPr>
        <w:drawing>
          <wp:inline distT="0" distB="0" distL="0" distR="0">
            <wp:extent cx="95250" cy="95250"/>
            <wp:effectExtent l="0" t="0" r="0" b="0"/>
            <wp:docPr id="578" name="Image 578"/>
            <wp:cNvGraphicFramePr>
              <a:graphicFrameLocks/>
            </wp:cNvGraphicFramePr>
            <a:graphic>
              <a:graphicData uri="http://schemas.openxmlformats.org/drawingml/2006/picture">
                <pic:pic>
                  <pic:nvPicPr>
                    <pic:cNvPr id="578" name="Image 578"/>
                    <pic:cNvPicPr/>
                  </pic:nvPicPr>
                  <pic:blipFill>
                    <a:blip r:embed="rId38"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spacing w:val="50"/>
        </w:rPr>
        <w:t> </w:t>
      </w:r>
      <w:r>
        <w:rPr>
          <w:color w:val="231F20"/>
        </w:rPr>
        <w:t>Stop</w:t>
      </w:r>
      <w:r>
        <w:rPr>
          <w:color w:val="231F20"/>
          <w:spacing w:val="8"/>
        </w:rPr>
        <w:t> </w:t>
      </w:r>
      <w:r>
        <w:rPr>
          <w:color w:val="231F20"/>
        </w:rPr>
        <w:t>the</w:t>
      </w:r>
      <w:r>
        <w:rPr>
          <w:color w:val="231F20"/>
          <w:spacing w:val="8"/>
        </w:rPr>
        <w:t> </w:t>
      </w:r>
      <w:r>
        <w:rPr>
          <w:color w:val="231F20"/>
        </w:rPr>
        <w:t>situation</w:t>
      </w:r>
    </w:p>
    <w:p>
      <w:pPr>
        <w:pStyle w:val="BodyText"/>
        <w:spacing w:line="266" w:lineRule="auto"/>
        <w:ind w:left="3260" w:right="3985"/>
      </w:pPr>
      <w:r>
        <w:rPr>
          <w:position w:val="-1"/>
        </w:rPr>
        <w:drawing>
          <wp:inline distT="0" distB="0" distL="0" distR="0">
            <wp:extent cx="95250" cy="95250"/>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167"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Quick acknowledge the </w:t>
      </w:r>
      <w:r>
        <w:rPr>
          <w:color w:val="231F20"/>
        </w:rPr>
        <w:t>event </w:t>
      </w:r>
      <w:r>
        <w:rPr>
          <w:color w:val="231F20"/>
          <w:position w:val="-1"/>
        </w:rPr>
        <w:drawing>
          <wp:inline distT="0" distB="0" distL="0" distR="0">
            <wp:extent cx="95250" cy="95250"/>
            <wp:effectExtent l="0" t="0" r="0" b="0"/>
            <wp:docPr id="580" name="Image 580"/>
            <wp:cNvGraphicFramePr>
              <a:graphicFrameLocks/>
            </wp:cNvGraphicFramePr>
            <a:graphic>
              <a:graphicData uri="http://schemas.openxmlformats.org/drawingml/2006/picture">
                <pic:pic>
                  <pic:nvPicPr>
                    <pic:cNvPr id="580" name="Image 580"/>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spacing w:val="40"/>
        </w:rPr>
        <w:t> </w:t>
      </w:r>
      <w:r>
        <w:rPr>
          <w:color w:val="231F20"/>
        </w:rPr>
        <w:t>Acknowledge the event</w:t>
      </w:r>
    </w:p>
    <w:p>
      <w:pPr>
        <w:pStyle w:val="BodyText"/>
        <w:spacing w:line="269" w:lineRule="exact"/>
        <w:ind w:left="3260"/>
      </w:pPr>
      <w:r>
        <w:rPr>
          <w:position w:val="-1"/>
        </w:rPr>
        <w:drawing>
          <wp:inline distT="0" distB="0" distL="0" distR="0">
            <wp:extent cx="95250" cy="95250"/>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168"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77"/>
        </w:rPr>
        <w:t> </w:t>
      </w:r>
      <w:r>
        <w:rPr>
          <w:color w:val="231F20"/>
        </w:rPr>
        <w:t>Close</w:t>
      </w:r>
      <w:r>
        <w:rPr>
          <w:color w:val="231F20"/>
          <w:spacing w:val="23"/>
        </w:rPr>
        <w:t> </w:t>
      </w:r>
      <w:r>
        <w:rPr>
          <w:color w:val="231F20"/>
        </w:rPr>
        <w:t>the</w:t>
      </w:r>
      <w:r>
        <w:rPr>
          <w:color w:val="231F20"/>
          <w:spacing w:val="23"/>
        </w:rPr>
        <w:t> </w:t>
      </w:r>
      <w:r>
        <w:rPr>
          <w:color w:val="231F20"/>
        </w:rPr>
        <w:t>event</w:t>
      </w:r>
      <w:r>
        <w:rPr>
          <w:color w:val="231F20"/>
          <w:spacing w:val="23"/>
        </w:rPr>
        <w:t> </w:t>
      </w:r>
      <w:r>
        <w:rPr>
          <w:color w:val="231F20"/>
        </w:rPr>
        <w:t>(pure</w:t>
      </w:r>
      <w:r>
        <w:rPr>
          <w:color w:val="231F20"/>
          <w:spacing w:val="23"/>
        </w:rPr>
        <w:t> </w:t>
      </w:r>
      <w:r>
        <w:rPr>
          <w:color w:val="231F20"/>
        </w:rPr>
        <w:t>events</w:t>
      </w:r>
      <w:r>
        <w:rPr>
          <w:color w:val="231F20"/>
          <w:spacing w:val="23"/>
        </w:rPr>
        <w:t> </w:t>
      </w:r>
      <w:r>
        <w:rPr>
          <w:color w:val="231F20"/>
        </w:rPr>
        <w:t>only)</w:t>
      </w:r>
    </w:p>
    <w:p>
      <w:pPr>
        <w:pStyle w:val="Heading6"/>
        <w:spacing w:line="240" w:lineRule="auto" w:before="111"/>
        <w:ind w:left="2232"/>
      </w:pPr>
      <w:r>
        <w:rPr>
          <w:color w:val="231F20"/>
        </w:rPr>
        <w:t>Event</w:t>
      </w:r>
      <w:r>
        <w:rPr>
          <w:color w:val="231F20"/>
          <w:spacing w:val="10"/>
        </w:rPr>
        <w:t> </w:t>
      </w:r>
      <w:r>
        <w:rPr>
          <w:color w:val="231F20"/>
        </w:rPr>
        <w:t>results</w:t>
      </w:r>
      <w:r>
        <w:rPr>
          <w:color w:val="231F20"/>
          <w:spacing w:val="10"/>
        </w:rPr>
        <w:t> </w:t>
      </w:r>
      <w:r>
        <w:rPr>
          <w:color w:val="231F20"/>
          <w:spacing w:val="-2"/>
        </w:rPr>
        <w:t>workspace</w:t>
      </w:r>
    </w:p>
    <w:p>
      <w:pPr>
        <w:pStyle w:val="BodyText"/>
        <w:spacing w:line="213" w:lineRule="auto" w:before="119"/>
        <w:ind w:left="2951" w:right="603"/>
      </w:pPr>
      <w:r>
        <w:rPr>
          <w:color w:val="231F20"/>
        </w:rPr>
        <w:t>The event results workspace shows the values of the attributes when the situation fired and their current values. It shows any expert advice the situation author might have written and any hypertext links to go to for more information. The take action view enables you to select or define a command to be invoked at the managed system.The table views </w:t>
      </w:r>
      <w:r>
        <w:rPr>
          <w:color w:val="231F20"/>
        </w:rPr>
        <w:t>showing the initial situation values and their current values also have pop-up menus that include the option to launch an application. If you have a favorite diagnostic tool, you can start it from here.</w:t>
      </w:r>
    </w:p>
    <w:p>
      <w:pPr>
        <w:pStyle w:val="Heading6"/>
        <w:spacing w:line="240" w:lineRule="auto" w:before="114"/>
        <w:ind w:left="2232"/>
      </w:pPr>
      <w:r>
        <w:rPr>
          <w:color w:val="231F20"/>
        </w:rPr>
        <w:t>Event</w:t>
      </w:r>
      <w:r>
        <w:rPr>
          <w:color w:val="231F20"/>
          <w:spacing w:val="10"/>
        </w:rPr>
        <w:t> </w:t>
      </w:r>
      <w:r>
        <w:rPr>
          <w:color w:val="231F20"/>
          <w:spacing w:val="-2"/>
        </w:rPr>
        <w:t>acknowledgement</w:t>
      </w:r>
    </w:p>
    <w:p>
      <w:pPr>
        <w:pStyle w:val="BodyText"/>
        <w:spacing w:line="213" w:lineRule="auto" w:before="119"/>
        <w:ind w:left="2951" w:right="545"/>
      </w:pPr>
      <w:r>
        <w:rPr>
          <w:color w:val="231F20"/>
        </w:rPr>
        <w:t>When multiple users are monitoring the network for events, one of them can acknowledge an event to indicate it has been seen and the problem is being worked on. Acknowledging an event changes its event status from </w:t>
      </w:r>
      <w:r>
        <w:rPr>
          <w:rFonts w:ascii="Arial"/>
          <w:color w:val="231F20"/>
        </w:rPr>
        <w:t>Open </w:t>
      </w:r>
      <w:r>
        <w:rPr>
          <w:color w:val="231F20"/>
        </w:rPr>
        <w:t>to </w:t>
      </w:r>
      <w:r>
        <w:rPr>
          <w:rFonts w:ascii="Arial"/>
          <w:color w:val="231F20"/>
        </w:rPr>
        <w:t>Acknowledged </w:t>
      </w:r>
      <w:r>
        <w:rPr>
          <w:color w:val="231F20"/>
        </w:rPr>
        <w:t>until the acknowledgement expires or until the situation is no longer true.You can add notes to an acknowledgement </w:t>
      </w:r>
      <w:r>
        <w:rPr>
          <w:color w:val="231F20"/>
        </w:rPr>
        <w:t>and attach files that are pertinent to the event.</w:t>
      </w:r>
    </w:p>
    <w:p>
      <w:pPr>
        <w:pStyle w:val="Heading6"/>
        <w:spacing w:before="114"/>
        <w:ind w:left="2232"/>
      </w:pPr>
      <w:r>
        <w:rPr>
          <w:color w:val="231F20"/>
        </w:rPr>
        <w:t>Automated</w:t>
      </w:r>
      <w:r>
        <w:rPr>
          <w:color w:val="231F20"/>
          <w:spacing w:val="5"/>
        </w:rPr>
        <w:t> </w:t>
      </w:r>
      <w:r>
        <w:rPr>
          <w:color w:val="231F20"/>
          <w:spacing w:val="-2"/>
        </w:rPr>
        <w:t>responses</w:t>
      </w:r>
    </w:p>
    <w:p>
      <w:pPr>
        <w:pStyle w:val="BodyText"/>
        <w:spacing w:line="213" w:lineRule="auto" w:before="12"/>
        <w:ind w:left="2951" w:right="545"/>
      </w:pPr>
      <w:r>
        <w:rPr>
          <w:color w:val="231F20"/>
        </w:rPr>
        <w:t>Automated responses to events can improve the efficiency of systems management by reducing user workload and errors and allowing </w:t>
      </w:r>
      <w:r>
        <w:rPr>
          <w:color w:val="231F20"/>
        </w:rPr>
        <w:t>quicker responses to problems. Tivoli Enterprise Portal provides two levels of automation: </w:t>
      </w:r>
      <w:r>
        <w:rPr>
          <w:rFonts w:ascii="Book Antiqua"/>
          <w:i/>
          <w:color w:val="231F20"/>
        </w:rPr>
        <w:t>reflex </w:t>
      </w:r>
      <w:r>
        <w:rPr>
          <w:color w:val="231F20"/>
        </w:rPr>
        <w:t>and </w:t>
      </w:r>
      <w:r>
        <w:rPr>
          <w:rFonts w:ascii="Book Antiqua"/>
          <w:i/>
          <w:color w:val="231F20"/>
        </w:rPr>
        <w:t>advanced</w:t>
      </w:r>
      <w:r>
        <w:rPr>
          <w:color w:val="231F20"/>
        </w:rPr>
        <w:t>.</w:t>
      </w:r>
    </w:p>
    <w:p>
      <w:pPr>
        <w:pStyle w:val="BodyText"/>
        <w:spacing w:line="213" w:lineRule="auto" w:before="57"/>
        <w:ind w:left="3167" w:right="545" w:hanging="216"/>
      </w:pPr>
      <w:r>
        <w:rPr>
          <w:rFonts w:ascii="Futura MdCn BT"/>
          <w:color w:val="231F20"/>
        </w:rPr>
        <w:t>v</w:t>
      </w:r>
      <w:r>
        <w:rPr>
          <w:rFonts w:ascii="Futura MdCn BT"/>
          <w:color w:val="231F20"/>
          <w:spacing w:val="80"/>
        </w:rPr>
        <w:t> </w:t>
      </w:r>
      <w:r>
        <w:rPr>
          <w:color w:val="231F20"/>
        </w:rPr>
        <w:t>Reflex automation provides simple automated system actions. It allows you to monitor a condition on a particular system and to specify a command to execute there. The command can be a single action or a</w:t>
      </w:r>
      <w:r>
        <w:rPr>
          <w:color w:val="231F20"/>
          <w:spacing w:val="40"/>
        </w:rPr>
        <w:t> </w:t>
      </w:r>
      <w:r>
        <w:rPr>
          <w:color w:val="231F20"/>
        </w:rPr>
        <w:t>script of commands. Tivoli Enterprise Portal receives no feedback after </w:t>
      </w:r>
      <w:r>
        <w:rPr>
          <w:color w:val="231F20"/>
        </w:rPr>
        <w:t>it</w:t>
      </w:r>
      <w:r>
        <w:rPr>
          <w:color w:val="231F20"/>
        </w:rPr>
        <w:t> sends the command or notifies the user.</w:t>
      </w:r>
    </w:p>
    <w:p>
      <w:pPr>
        <w:pStyle w:val="BodyText"/>
        <w:spacing w:line="213" w:lineRule="auto" w:before="56"/>
        <w:ind w:left="3167" w:right="545"/>
      </w:pPr>
      <w:r>
        <w:rPr>
          <w:color w:val="231F20"/>
        </w:rPr>
        <w:t>Reflex automation is implemented by adding an action command to </w:t>
      </w:r>
      <w:r>
        <w:rPr>
          <w:color w:val="231F20"/>
        </w:rPr>
        <w:t>a situation definition that runs when an event is opened.</w:t>
      </w:r>
    </w:p>
    <w:p>
      <w:pPr>
        <w:spacing w:after="0" w:line="213" w:lineRule="auto"/>
        <w:sectPr>
          <w:pgSz w:w="12240" w:h="15840"/>
          <w:pgMar w:header="0" w:footer="736" w:top="1180" w:bottom="920" w:left="1000" w:right="1060"/>
        </w:sectPr>
      </w:pPr>
    </w:p>
    <w:p>
      <w:pPr>
        <w:pStyle w:val="BodyText"/>
        <w:spacing w:line="213" w:lineRule="auto" w:before="85"/>
        <w:ind w:left="3406" w:right="258" w:hanging="216"/>
      </w:pPr>
      <w:bookmarkStart w:name="_bookmark40" w:id="92"/>
      <w:bookmarkEnd w:id="92"/>
      <w:r>
        <w:rPr/>
      </w:r>
      <w:r>
        <w:rPr>
          <w:rFonts w:ascii="Futura MdCn BT"/>
          <w:color w:val="231F20"/>
        </w:rPr>
        <w:t>v</w:t>
      </w:r>
      <w:r>
        <w:rPr>
          <w:rFonts w:ascii="Futura MdCn BT"/>
          <w:color w:val="231F20"/>
          <w:spacing w:val="80"/>
        </w:rPr>
        <w:t> </w:t>
      </w:r>
      <w:r>
        <w:rPr>
          <w:color w:val="231F20"/>
        </w:rPr>
        <w:t>Advanced automation allows you to implement more complex workflow strategies than you can create through simple reflex automation. </w:t>
      </w:r>
      <w:r>
        <w:rPr>
          <w:rFonts w:ascii="Book Antiqua"/>
          <w:i/>
          <w:color w:val="231F20"/>
        </w:rPr>
        <w:t>Policies</w:t>
      </w:r>
      <w:r>
        <w:rPr>
          <w:rFonts w:ascii="Book Antiqua"/>
          <w:i/>
          <w:color w:val="231F20"/>
        </w:rPr>
        <w:t> </w:t>
      </w:r>
      <w:r>
        <w:rPr>
          <w:color w:val="231F20"/>
        </w:rPr>
        <w:t>are used to perform actions, schedule work, and automate manual tasks.</w:t>
      </w:r>
      <w:r>
        <w:rPr>
          <w:color w:val="231F20"/>
          <w:spacing w:val="40"/>
        </w:rPr>
        <w:t> </w:t>
      </w:r>
      <w:r>
        <w:rPr>
          <w:color w:val="231F20"/>
        </w:rPr>
        <w:t>A policy comprises a series of automated steps called </w:t>
      </w:r>
      <w:r>
        <w:rPr>
          <w:rFonts w:ascii="Book Antiqua"/>
          <w:i/>
          <w:color w:val="231F20"/>
        </w:rPr>
        <w:t>activities</w:t>
      </w:r>
      <w:r>
        <w:rPr>
          <w:color w:val="231F20"/>
        </w:rPr>
        <w:t>, which </w:t>
      </w:r>
      <w:r>
        <w:rPr>
          <w:color w:val="231F20"/>
        </w:rPr>
        <w:t>ar</w:t>
      </w:r>
      <w:r>
        <w:rPr>
          <w:color w:val="231F20"/>
        </w:rPr>
        <w:t>e</w:t>
      </w:r>
      <w:r>
        <w:rPr>
          <w:color w:val="231F20"/>
        </w:rPr>
        <w:t> connected and can branch to create a </w:t>
      </w:r>
      <w:r>
        <w:rPr>
          <w:rFonts w:ascii="Book Antiqua"/>
          <w:i/>
          <w:color w:val="231F20"/>
        </w:rPr>
        <w:t>workflow</w:t>
      </w:r>
      <w:r>
        <w:rPr>
          <w:color w:val="231F20"/>
        </w:rPr>
        <w:t>. After an activity is completed, a return code is received with feedback and the next activity prescribed by the feedback is carried out.</w:t>
      </w:r>
    </w:p>
    <w:p>
      <w:pPr>
        <w:pStyle w:val="BodyText"/>
        <w:spacing w:line="213" w:lineRule="auto" w:before="55"/>
        <w:ind w:left="3406" w:right="286"/>
      </w:pPr>
      <w:r>
        <w:rPr>
          <w:color w:val="231F20"/>
        </w:rPr>
        <w:t>With policies you can monitor multiple conditions simultaneously on</w:t>
      </w:r>
      <w:r>
        <w:rPr>
          <w:color w:val="231F20"/>
          <w:spacing w:val="80"/>
          <w:w w:val="150"/>
        </w:rPr>
        <w:t> </w:t>
      </w:r>
      <w:r>
        <w:rPr>
          <w:color w:val="231F20"/>
        </w:rPr>
        <w:t>any number of systems and have selected activities take place when specific conditions occur. Many monitoring agents come with </w:t>
      </w:r>
      <w:r>
        <w:rPr>
          <w:color w:val="231F20"/>
        </w:rPr>
        <w:t>predefined policies that you can use as is or modify for your environment.</w:t>
      </w:r>
    </w:p>
    <w:p>
      <w:pPr>
        <w:pStyle w:val="BodyText"/>
        <w:spacing w:line="213" w:lineRule="auto" w:before="117"/>
        <w:ind w:left="3190" w:right="493"/>
      </w:pPr>
      <w:r>
        <w:rPr>
          <w:color w:val="231F20"/>
        </w:rPr>
        <w:t>You can also create your own policies. The Workflows editor is provided for designing and managing policies.</w:t>
      </w:r>
    </w:p>
    <w:p>
      <w:pPr>
        <w:pStyle w:val="BodyText"/>
        <w:spacing w:before="5"/>
        <w:rPr>
          <w:sz w:val="16"/>
        </w:rPr>
      </w:pPr>
      <w:r>
        <w:rPr/>
        <mc:AlternateContent>
          <mc:Choice Requires="wps">
            <w:drawing>
              <wp:anchor distT="0" distB="0" distL="0" distR="0" allowOverlap="1" layoutInCell="1" locked="0" behindDoc="1" simplePos="0" relativeHeight="487650816">
                <wp:simplePos x="0" y="0"/>
                <wp:positionH relativeFrom="page">
                  <wp:posOffset>912380</wp:posOffset>
                </wp:positionH>
                <wp:positionV relativeFrom="paragraph">
                  <wp:posOffset>155901</wp:posOffset>
                </wp:positionV>
                <wp:extent cx="6082665" cy="1270"/>
                <wp:effectExtent l="0" t="0" r="0" b="0"/>
                <wp:wrapTopAndBottom/>
                <wp:docPr id="584" name="Graphic 584"/>
                <wp:cNvGraphicFramePr>
                  <a:graphicFrameLocks/>
                </wp:cNvGraphicFramePr>
                <a:graphic>
                  <a:graphicData uri="http://schemas.microsoft.com/office/word/2010/wordprocessingShape">
                    <wps:wsp>
                      <wps:cNvPr id="584" name="Graphic 58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75689pt;width:478.95pt;height:.1pt;mso-position-horizontal-relative:page;mso-position-vertical-relative:paragraph;z-index:-15665664;mso-wrap-distance-left:0;mso-wrap-distance-right:0" id="docshape93"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Opening the situation event results work" w:id="93"/>
      <w:bookmarkEnd w:id="93"/>
      <w:r>
        <w:rPr>
          <w:b w:val="0"/>
        </w:rPr>
      </w:r>
      <w:r>
        <w:rPr>
          <w:color w:val="231F20"/>
        </w:rPr>
        <w:t>Opening</w:t>
      </w:r>
      <w:r>
        <w:rPr>
          <w:color w:val="231F20"/>
          <w:spacing w:val="6"/>
        </w:rPr>
        <w:t> </w:t>
      </w:r>
      <w:r>
        <w:rPr>
          <w:color w:val="231F20"/>
        </w:rPr>
        <w:t>the</w:t>
      </w:r>
      <w:r>
        <w:rPr>
          <w:color w:val="231F20"/>
          <w:spacing w:val="6"/>
        </w:rPr>
        <w:t> </w:t>
      </w:r>
      <w:r>
        <w:rPr>
          <w:color w:val="231F20"/>
        </w:rPr>
        <w:t>situation</w:t>
      </w:r>
      <w:r>
        <w:rPr>
          <w:color w:val="231F20"/>
          <w:spacing w:val="6"/>
        </w:rPr>
        <w:t> </w:t>
      </w:r>
      <w:r>
        <w:rPr>
          <w:color w:val="231F20"/>
        </w:rPr>
        <w:t>event</w:t>
      </w:r>
      <w:r>
        <w:rPr>
          <w:color w:val="231F20"/>
          <w:spacing w:val="7"/>
        </w:rPr>
        <w:t> </w:t>
      </w:r>
      <w:r>
        <w:rPr>
          <w:color w:val="231F20"/>
        </w:rPr>
        <w:t>results</w:t>
      </w:r>
      <w:r>
        <w:rPr>
          <w:color w:val="231F20"/>
          <w:spacing w:val="6"/>
        </w:rPr>
        <w:t> </w:t>
      </w:r>
      <w:r>
        <w:rPr>
          <w:color w:val="231F20"/>
          <w:spacing w:val="-2"/>
        </w:rPr>
        <w:t>workspace</w:t>
      </w:r>
    </w:p>
    <w:p>
      <w:pPr>
        <w:pStyle w:val="BodyText"/>
        <w:spacing w:line="213" w:lineRule="auto" w:before="138"/>
        <w:ind w:left="2472"/>
      </w:pPr>
      <w:r>
        <w:rPr>
          <w:color w:val="231F20"/>
        </w:rPr>
        <w:t>When the conditions of a situation have been met, event indicators appear in </w:t>
      </w:r>
      <w:r>
        <w:rPr>
          <w:color w:val="231F20"/>
        </w:rPr>
        <w:t>the Navigator and in the graphic view. You can investigate the event by opening its </w:t>
      </w:r>
      <w:r>
        <w:rPr>
          <w:color w:val="231F20"/>
          <w:spacing w:val="-2"/>
        </w:rPr>
        <w:t>workspace.</w:t>
      </w:r>
    </w:p>
    <w:p>
      <w:pPr>
        <w:pStyle w:val="Heading4"/>
        <w:ind w:left="2472"/>
      </w:pPr>
      <w:r>
        <w:rPr>
          <w:color w:val="231F20"/>
          <w:spacing w:val="-2"/>
        </w:rPr>
        <w:t>Procedure</w:t>
      </w:r>
    </w:p>
    <w:p>
      <w:pPr>
        <w:pStyle w:val="BodyText"/>
        <w:spacing w:before="38"/>
        <w:ind w:left="2472"/>
      </w:pPr>
      <w:r>
        <w:rPr>
          <w:rFonts w:ascii="Futura MdCn BT"/>
          <w:color w:val="231F20"/>
        </w:rPr>
        <w:t>v</w:t>
      </w:r>
      <w:r>
        <w:rPr>
          <w:rFonts w:ascii="Futura MdCn BT"/>
          <w:color w:val="231F20"/>
          <w:spacing w:val="79"/>
          <w:w w:val="150"/>
        </w:rPr>
        <w:t> </w:t>
      </w:r>
      <w:r>
        <w:rPr>
          <w:color w:val="231F20"/>
        </w:rPr>
        <w:t>Open</w:t>
      </w:r>
      <w:r>
        <w:rPr>
          <w:color w:val="231F20"/>
          <w:spacing w:val="12"/>
        </w:rPr>
        <w:t> </w:t>
      </w:r>
      <w:r>
        <w:rPr>
          <w:color w:val="231F20"/>
        </w:rPr>
        <w:t>the</w:t>
      </w:r>
      <w:r>
        <w:rPr>
          <w:color w:val="231F20"/>
          <w:spacing w:val="11"/>
        </w:rPr>
        <w:t> </w:t>
      </w:r>
      <w:r>
        <w:rPr>
          <w:color w:val="231F20"/>
        </w:rPr>
        <w:t>event</w:t>
      </w:r>
      <w:r>
        <w:rPr>
          <w:color w:val="231F20"/>
          <w:spacing w:val="11"/>
        </w:rPr>
        <w:t> </w:t>
      </w:r>
      <w:r>
        <w:rPr>
          <w:color w:val="231F20"/>
        </w:rPr>
        <w:t>results</w:t>
      </w:r>
      <w:r>
        <w:rPr>
          <w:color w:val="231F20"/>
          <w:spacing w:val="11"/>
        </w:rPr>
        <w:t> </w:t>
      </w:r>
      <w:r>
        <w:rPr>
          <w:color w:val="231F20"/>
        </w:rPr>
        <w:t>workspace</w:t>
      </w:r>
      <w:r>
        <w:rPr>
          <w:color w:val="231F20"/>
          <w:spacing w:val="11"/>
        </w:rPr>
        <w:t> </w:t>
      </w:r>
      <w:r>
        <w:rPr>
          <w:color w:val="231F20"/>
        </w:rPr>
        <w:t>from</w:t>
      </w:r>
      <w:r>
        <w:rPr>
          <w:color w:val="231F20"/>
          <w:spacing w:val="11"/>
        </w:rPr>
        <w:t> </w:t>
      </w:r>
      <w:r>
        <w:rPr>
          <w:color w:val="231F20"/>
        </w:rPr>
        <w:t>the</w:t>
      </w:r>
      <w:r>
        <w:rPr>
          <w:color w:val="231F20"/>
          <w:spacing w:val="12"/>
        </w:rPr>
        <w:t> </w:t>
      </w:r>
      <w:r>
        <w:rPr>
          <w:color w:val="231F20"/>
        </w:rPr>
        <w:t>event</w:t>
      </w:r>
      <w:r>
        <w:rPr>
          <w:color w:val="231F20"/>
          <w:spacing w:val="11"/>
        </w:rPr>
        <w:t> </w:t>
      </w:r>
      <w:r>
        <w:rPr>
          <w:color w:val="231F20"/>
        </w:rPr>
        <w:t>flyover</w:t>
      </w:r>
      <w:r>
        <w:rPr>
          <w:color w:val="231F20"/>
          <w:spacing w:val="11"/>
        </w:rPr>
        <w:t> </w:t>
      </w:r>
      <w:r>
        <w:rPr>
          <w:color w:val="231F20"/>
          <w:spacing w:val="-2"/>
        </w:rPr>
        <w:t>list:</w:t>
      </w:r>
    </w:p>
    <w:p>
      <w:pPr>
        <w:pStyle w:val="ListParagraph"/>
        <w:numPr>
          <w:ilvl w:val="0"/>
          <w:numId w:val="20"/>
        </w:numPr>
        <w:tabs>
          <w:tab w:pos="3004" w:val="left" w:leader="none"/>
        </w:tabs>
        <w:spacing w:line="213" w:lineRule="auto" w:before="53" w:after="0"/>
        <w:ind w:left="3004" w:right="249" w:hanging="316"/>
        <w:jc w:val="left"/>
        <w:rPr>
          <w:sz w:val="20"/>
        </w:rPr>
      </w:pPr>
      <w:r>
        <w:rPr>
          <w:color w:val="231F20"/>
          <w:sz w:val="20"/>
        </w:rPr>
        <w:t>In the Navigator or graphic view, move the mouse over the event indicator </w:t>
      </w:r>
      <w:r>
        <w:rPr>
          <w:color w:val="231F20"/>
          <w:sz w:val="20"/>
        </w:rPr>
        <w:t>(</w:t>
      </w:r>
      <w:r>
        <w:rPr>
          <w:color w:val="231F20"/>
          <w:spacing w:val="80"/>
          <w:w w:val="150"/>
          <w:sz w:val="20"/>
        </w:rPr>
        <w:t> </w:t>
      </w:r>
      <w:r>
        <w:rPr>
          <w:color w:val="231F20"/>
          <w:sz w:val="20"/>
        </w:rPr>
        <w:drawing>
          <wp:inline distT="0" distB="0" distL="0" distR="0">
            <wp:extent cx="57150" cy="57150"/>
            <wp:effectExtent l="0" t="0" r="0" b="0"/>
            <wp:docPr id="585" name="Image 585"/>
            <wp:cNvGraphicFramePr>
              <a:graphicFrameLocks/>
            </wp:cNvGraphicFramePr>
            <a:graphic>
              <a:graphicData uri="http://schemas.openxmlformats.org/drawingml/2006/picture">
                <pic:pic>
                  <pic:nvPicPr>
                    <pic:cNvPr id="585" name="Image 585"/>
                    <pic:cNvPicPr/>
                  </pic:nvPicPr>
                  <pic:blipFill>
                    <a:blip r:embed="rId94" cstate="print"/>
                    <a:stretch>
                      <a:fillRect/>
                    </a:stretch>
                  </pic:blipFill>
                  <pic:spPr>
                    <a:xfrm>
                      <a:off x="0" y="0"/>
                      <a:ext cx="57150" cy="57150"/>
                    </a:xfrm>
                    <a:prstGeom prst="rect">
                      <a:avLst/>
                    </a:prstGeom>
                  </pic:spPr>
                </pic:pic>
              </a:graphicData>
            </a:graphic>
          </wp:inline>
        </w:drawing>
      </w:r>
      <w:r>
        <w:rPr>
          <w:color w:val="231F20"/>
          <w:sz w:val="20"/>
        </w:rPr>
      </w:r>
      <w:r>
        <w:rPr>
          <w:rFonts w:ascii="Times New Roman"/>
          <w:color w:val="231F20"/>
          <w:sz w:val="20"/>
        </w:rPr>
        <w:t> </w:t>
      </w:r>
      <w:r>
        <w:rPr>
          <w:color w:val="231F20"/>
          <w:sz w:val="20"/>
        </w:rPr>
        <w:t>Fatal, </w:t>
      </w:r>
      <w:r>
        <w:rPr>
          <w:color w:val="231F20"/>
          <w:spacing w:val="16"/>
          <w:sz w:val="20"/>
        </w:rPr>
        <w:drawing>
          <wp:inline distT="0" distB="0" distL="0" distR="0">
            <wp:extent cx="57150" cy="57150"/>
            <wp:effectExtent l="0" t="0" r="0" b="0"/>
            <wp:docPr id="586" name="Image 586"/>
            <wp:cNvGraphicFramePr>
              <a:graphicFrameLocks/>
            </wp:cNvGraphicFramePr>
            <a:graphic>
              <a:graphicData uri="http://schemas.openxmlformats.org/drawingml/2006/picture">
                <pic:pic>
                  <pic:nvPicPr>
                    <pic:cNvPr id="586" name="Image 586"/>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6"/>
          <w:sz w:val="20"/>
        </w:rPr>
      </w:r>
      <w:r>
        <w:rPr>
          <w:rFonts w:ascii="Times New Roman"/>
          <w:color w:val="231F20"/>
          <w:sz w:val="20"/>
        </w:rPr>
        <w:t> </w:t>
      </w:r>
      <w:r>
        <w:rPr>
          <w:color w:val="231F20"/>
          <w:sz w:val="20"/>
        </w:rPr>
        <w:t>Critical, </w:t>
      </w:r>
      <w:r>
        <w:rPr>
          <w:color w:val="231F20"/>
          <w:spacing w:val="16"/>
          <w:sz w:val="20"/>
        </w:rPr>
        <w:drawing>
          <wp:inline distT="0" distB="0" distL="0" distR="0">
            <wp:extent cx="57150" cy="57150"/>
            <wp:effectExtent l="0" t="0" r="0" b="0"/>
            <wp:docPr id="587" name="Image 587"/>
            <wp:cNvGraphicFramePr>
              <a:graphicFrameLocks/>
            </wp:cNvGraphicFramePr>
            <a:graphic>
              <a:graphicData uri="http://schemas.openxmlformats.org/drawingml/2006/picture">
                <pic:pic>
                  <pic:nvPicPr>
                    <pic:cNvPr id="587" name="Image 587"/>
                    <pic:cNvPicPr/>
                  </pic:nvPicPr>
                  <pic:blipFill>
                    <a:blip r:embed="rId95" cstate="print"/>
                    <a:stretch>
                      <a:fillRect/>
                    </a:stretch>
                  </pic:blipFill>
                  <pic:spPr>
                    <a:xfrm>
                      <a:off x="0" y="0"/>
                      <a:ext cx="57150" cy="57150"/>
                    </a:xfrm>
                    <a:prstGeom prst="rect">
                      <a:avLst/>
                    </a:prstGeom>
                  </pic:spPr>
                </pic:pic>
              </a:graphicData>
            </a:graphic>
          </wp:inline>
        </w:drawing>
      </w:r>
      <w:r>
        <w:rPr>
          <w:color w:val="231F20"/>
          <w:spacing w:val="16"/>
          <w:sz w:val="20"/>
        </w:rPr>
      </w:r>
      <w:r>
        <w:rPr>
          <w:rFonts w:ascii="Times New Roman"/>
          <w:color w:val="231F20"/>
          <w:sz w:val="20"/>
        </w:rPr>
        <w:t> </w:t>
      </w:r>
      <w:r>
        <w:rPr>
          <w:color w:val="231F20"/>
          <w:sz w:val="20"/>
        </w:rPr>
        <w:t>Minor, </w:t>
      </w:r>
      <w:r>
        <w:rPr>
          <w:color w:val="231F20"/>
          <w:spacing w:val="16"/>
          <w:sz w:val="20"/>
        </w:rPr>
        <w:drawing>
          <wp:inline distT="0" distB="0" distL="0" distR="0">
            <wp:extent cx="57150" cy="57150"/>
            <wp:effectExtent l="0" t="0" r="0" b="0"/>
            <wp:docPr id="588" name="Image 588"/>
            <wp:cNvGraphicFramePr>
              <a:graphicFrameLocks/>
            </wp:cNvGraphicFramePr>
            <a:graphic>
              <a:graphicData uri="http://schemas.openxmlformats.org/drawingml/2006/picture">
                <pic:pic>
                  <pic:nvPicPr>
                    <pic:cNvPr id="588" name="Image 588"/>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sz w:val="20"/>
        </w:rPr>
      </w:r>
      <w:r>
        <w:rPr>
          <w:rFonts w:ascii="Times New Roman"/>
          <w:color w:val="231F20"/>
          <w:sz w:val="20"/>
        </w:rPr>
        <w:t> </w:t>
      </w:r>
      <w:r>
        <w:rPr>
          <w:color w:val="231F20"/>
          <w:sz w:val="20"/>
        </w:rPr>
        <w:t>Warning, </w:t>
      </w:r>
      <w:r>
        <w:rPr>
          <w:color w:val="231F20"/>
          <w:spacing w:val="16"/>
          <w:sz w:val="20"/>
        </w:rPr>
        <w:drawing>
          <wp:inline distT="0" distB="0" distL="0" distR="0">
            <wp:extent cx="57150" cy="57150"/>
            <wp:effectExtent l="0" t="0" r="0" b="0"/>
            <wp:docPr id="589" name="Image 589"/>
            <wp:cNvGraphicFramePr>
              <a:graphicFrameLocks/>
            </wp:cNvGraphicFramePr>
            <a:graphic>
              <a:graphicData uri="http://schemas.openxmlformats.org/drawingml/2006/picture">
                <pic:pic>
                  <pic:nvPicPr>
                    <pic:cNvPr id="589" name="Image 589"/>
                    <pic:cNvPicPr/>
                  </pic:nvPicPr>
                  <pic:blipFill>
                    <a:blip r:embed="rId96" cstate="print"/>
                    <a:stretch>
                      <a:fillRect/>
                    </a:stretch>
                  </pic:blipFill>
                  <pic:spPr>
                    <a:xfrm>
                      <a:off x="0" y="0"/>
                      <a:ext cx="57150" cy="57150"/>
                    </a:xfrm>
                    <a:prstGeom prst="rect">
                      <a:avLst/>
                    </a:prstGeom>
                  </pic:spPr>
                </pic:pic>
              </a:graphicData>
            </a:graphic>
          </wp:inline>
        </w:drawing>
      </w:r>
      <w:r>
        <w:rPr>
          <w:color w:val="231F20"/>
          <w:spacing w:val="16"/>
          <w:sz w:val="20"/>
        </w:rPr>
      </w:r>
      <w:r>
        <w:rPr>
          <w:rFonts w:ascii="Times New Roman"/>
          <w:color w:val="231F20"/>
          <w:sz w:val="20"/>
        </w:rPr>
        <w:t> </w:t>
      </w:r>
      <w:r>
        <w:rPr>
          <w:color w:val="231F20"/>
          <w:sz w:val="20"/>
        </w:rPr>
        <w:t>Harmless, </w:t>
      </w:r>
      <w:r>
        <w:rPr>
          <w:color w:val="231F20"/>
          <w:spacing w:val="16"/>
          <w:sz w:val="20"/>
        </w:rPr>
        <w:drawing>
          <wp:inline distT="0" distB="0" distL="0" distR="0">
            <wp:extent cx="57150" cy="57150"/>
            <wp:effectExtent l="0" t="0" r="0" b="0"/>
            <wp:docPr id="590" name="Image 590"/>
            <wp:cNvGraphicFramePr>
              <a:graphicFrameLocks/>
            </wp:cNvGraphicFramePr>
            <a:graphic>
              <a:graphicData uri="http://schemas.openxmlformats.org/drawingml/2006/picture">
                <pic:pic>
                  <pic:nvPicPr>
                    <pic:cNvPr id="590" name="Image 590"/>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sz w:val="20"/>
        </w:rPr>
      </w:r>
      <w:r>
        <w:rPr>
          <w:rFonts w:ascii="Times New Roman"/>
          <w:color w:val="231F20"/>
          <w:sz w:val="20"/>
        </w:rPr>
        <w:t> </w:t>
      </w:r>
      <w:r>
        <w:rPr>
          <w:color w:val="231F20"/>
          <w:sz w:val="20"/>
        </w:rPr>
        <w:t>Informational, or</w:t>
      </w:r>
    </w:p>
    <w:p>
      <w:pPr>
        <w:pStyle w:val="BodyText"/>
        <w:spacing w:line="213" w:lineRule="auto"/>
        <w:ind w:left="3004" w:right="385"/>
      </w:pPr>
      <w:r>
        <w:rPr/>
        <w:drawing>
          <wp:inline distT="0" distB="0" distL="0" distR="0">
            <wp:extent cx="57150" cy="57150"/>
            <wp:effectExtent l="0" t="0" r="0" b="0"/>
            <wp:docPr id="591" name="Image 591"/>
            <wp:cNvGraphicFramePr>
              <a:graphicFrameLocks/>
            </wp:cNvGraphicFramePr>
            <a:graphic>
              <a:graphicData uri="http://schemas.openxmlformats.org/drawingml/2006/picture">
                <pic:pic>
                  <pic:nvPicPr>
                    <pic:cNvPr id="591" name="Image 591"/>
                    <pic:cNvPicPr/>
                  </pic:nvPicPr>
                  <pic:blipFill>
                    <a:blip r:embed="rId97" cstate="print"/>
                    <a:stretch>
                      <a:fillRect/>
                    </a:stretch>
                  </pic:blipFill>
                  <pic:spPr>
                    <a:xfrm>
                      <a:off x="0" y="0"/>
                      <a:ext cx="57150" cy="57150"/>
                    </a:xfrm>
                    <a:prstGeom prst="rect">
                      <a:avLst/>
                    </a:prstGeom>
                  </pic:spPr>
                </pic:pic>
              </a:graphicData>
            </a:graphic>
          </wp:inline>
        </w:drawing>
      </w:r>
      <w:r>
        <w:rPr/>
      </w:r>
      <w:r>
        <w:rPr>
          <w:rFonts w:ascii="Times New Roman"/>
        </w:rPr>
        <w:t> </w:t>
      </w:r>
      <w:r>
        <w:rPr>
          <w:color w:val="231F20"/>
        </w:rPr>
        <w:t>Unknown) to open a flyover listing of the situation that caused the event. The Navigator shows one event indicator for an item. If more than one situation is true, the event indicator with the highest severity is displayed. Entries in the event flyover list are grouped by severity. Each event reports the situation name, the computer where the event occurred, the two-letter code of the monitoring agent (such as LX for the Linux OS agent), the </w:t>
      </w:r>
      <w:r>
        <w:rPr>
          <w:color w:val="231F20"/>
        </w:rPr>
        <w:t>event timestamp, and the display item if one was specified. As well, if any of the following changes have occurred, a situation status icon displays at the far </w:t>
      </w:r>
      <w:r>
        <w:rPr>
          <w:color w:val="231F20"/>
          <w:spacing w:val="-2"/>
        </w:rPr>
        <w:t>right:</w:t>
      </w:r>
    </w:p>
    <w:p>
      <w:pPr>
        <w:pStyle w:val="BodyText"/>
        <w:spacing w:line="213" w:lineRule="auto"/>
        <w:ind w:left="3014" w:right="3707"/>
      </w:pPr>
      <w:r>
        <w:rPr>
          <w:position w:val="-1"/>
        </w:rPr>
        <w:drawing>
          <wp:inline distT="0" distB="0" distL="0" distR="0">
            <wp:extent cx="95250" cy="95250"/>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110"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The event has been acknowledged. </w:t>
      </w:r>
      <w:r>
        <w:rPr>
          <w:color w:val="231F20"/>
          <w:position w:val="-1"/>
        </w:rPr>
        <w:drawing>
          <wp:inline distT="0" distB="0" distL="0" distR="0">
            <wp:extent cx="95250" cy="95250"/>
            <wp:effectExtent l="0" t="0" r="0" b="0"/>
            <wp:docPr id="593" name="Image 593"/>
            <wp:cNvGraphicFramePr>
              <a:graphicFrameLocks/>
            </wp:cNvGraphicFramePr>
            <a:graphic>
              <a:graphicData uri="http://schemas.openxmlformats.org/drawingml/2006/picture">
                <pic:pic>
                  <pic:nvPicPr>
                    <pic:cNvPr id="593" name="Image 593"/>
                    <pic:cNvPicPr/>
                  </pic:nvPicPr>
                  <pic:blipFill>
                    <a:blip r:embed="rId111"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spacing w:val="48"/>
        </w:rPr>
        <w:t> </w:t>
      </w:r>
      <w:r>
        <w:rPr>
          <w:color w:val="231F20"/>
        </w:rPr>
        <w:t>The</w:t>
      </w:r>
      <w:r>
        <w:rPr>
          <w:color w:val="231F20"/>
          <w:spacing w:val="6"/>
        </w:rPr>
        <w:t> </w:t>
      </w:r>
      <w:r>
        <w:rPr>
          <w:color w:val="231F20"/>
        </w:rPr>
        <w:t>acknowledgement</w:t>
      </w:r>
      <w:r>
        <w:rPr>
          <w:color w:val="231F20"/>
          <w:spacing w:val="6"/>
        </w:rPr>
        <w:t> </w:t>
      </w:r>
      <w:r>
        <w:rPr>
          <w:color w:val="231F20"/>
        </w:rPr>
        <w:t>has</w:t>
      </w:r>
      <w:r>
        <w:rPr>
          <w:color w:val="231F20"/>
          <w:spacing w:val="6"/>
        </w:rPr>
        <w:t> </w:t>
      </w:r>
      <w:r>
        <w:rPr>
          <w:color w:val="231F20"/>
        </w:rPr>
        <w:t>expired.</w:t>
      </w:r>
    </w:p>
    <w:p>
      <w:pPr>
        <w:pStyle w:val="BodyText"/>
        <w:spacing w:line="213" w:lineRule="auto"/>
        <w:ind w:left="3004" w:right="545" w:firstLine="10"/>
      </w:pPr>
      <w:r>
        <w:rPr>
          <w:position w:val="-1"/>
        </w:rPr>
        <w:drawing>
          <wp:inline distT="0" distB="0" distL="0" distR="0">
            <wp:extent cx="95250" cy="95250"/>
            <wp:effectExtent l="0" t="0" r="0" b="0"/>
            <wp:docPr id="594" name="Image 594"/>
            <wp:cNvGraphicFramePr>
              <a:graphicFrameLocks/>
            </wp:cNvGraphicFramePr>
            <a:graphic>
              <a:graphicData uri="http://schemas.openxmlformats.org/drawingml/2006/picture">
                <pic:pic>
                  <pic:nvPicPr>
                    <pic:cNvPr id="594" name="Image 594"/>
                    <pic:cNvPicPr/>
                  </pic:nvPicPr>
                  <pic:blipFill>
                    <a:blip r:embed="rId112"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The acknowledgement was removed before it had expired and </w:t>
      </w:r>
      <w:r>
        <w:rPr>
          <w:color w:val="231F20"/>
        </w:rPr>
        <w:t>the situation is still true.</w:t>
      </w:r>
    </w:p>
    <w:p>
      <w:pPr>
        <w:pStyle w:val="BodyText"/>
        <w:spacing w:line="213" w:lineRule="auto"/>
        <w:ind w:left="3004" w:right="385" w:firstLine="10"/>
      </w:pPr>
      <w:r>
        <w:rPr>
          <w:position w:val="-1"/>
        </w:rPr>
        <w:drawing>
          <wp:inline distT="0" distB="0" distL="0" distR="0">
            <wp:extent cx="95250" cy="95250"/>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113"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The situation is not functioning properly and you will not be able to </w:t>
      </w:r>
      <w:r>
        <w:rPr>
          <w:color w:val="231F20"/>
        </w:rPr>
        <w:t>open</w:t>
      </w:r>
      <w:r>
        <w:rPr>
          <w:color w:val="231F20"/>
          <w:spacing w:val="40"/>
        </w:rPr>
        <w:t> </w:t>
      </w:r>
      <w:r>
        <w:rPr>
          <w:color w:val="231F20"/>
        </w:rPr>
        <w:t>its event results workspace.</w:t>
      </w:r>
    </w:p>
    <w:p>
      <w:pPr>
        <w:pStyle w:val="BodyText"/>
        <w:spacing w:line="213" w:lineRule="auto"/>
        <w:ind w:left="3004" w:firstLine="10"/>
      </w:pPr>
      <w:r>
        <w:rPr>
          <w:position w:val="-1"/>
        </w:rPr>
        <w:drawing>
          <wp:inline distT="0" distB="0" distL="0" distR="0">
            <wp:extent cx="95250" cy="95250"/>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38"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The situation has been stopped and you will not be able to open its event</w:t>
      </w:r>
      <w:r>
        <w:rPr>
          <w:color w:val="231F20"/>
          <w:spacing w:val="40"/>
        </w:rPr>
        <w:t> </w:t>
      </w:r>
      <w:r>
        <w:rPr>
          <w:color w:val="231F20"/>
        </w:rPr>
        <w:t>results workspace.</w:t>
      </w:r>
    </w:p>
    <w:p>
      <w:pPr>
        <w:pStyle w:val="ListParagraph"/>
        <w:numPr>
          <w:ilvl w:val="0"/>
          <w:numId w:val="20"/>
        </w:numPr>
        <w:tabs>
          <w:tab w:pos="3004" w:val="left" w:leader="none"/>
        </w:tabs>
        <w:spacing w:line="213" w:lineRule="auto" w:before="47" w:after="0"/>
        <w:ind w:left="3004" w:right="725" w:hanging="316"/>
        <w:jc w:val="left"/>
        <w:rPr>
          <w:sz w:val="20"/>
        </w:rPr>
      </w:pPr>
      <w:r>
        <w:rPr>
          <w:color w:val="231F20"/>
          <w:sz w:val="20"/>
        </w:rPr>
        <w:t>In the flyover list, click </w:t>
      </w:r>
      <w:r>
        <w:rPr>
          <w:color w:val="231F20"/>
          <w:spacing w:val="15"/>
          <w:position w:val="-1"/>
          <w:sz w:val="20"/>
        </w:rPr>
        <w:drawing>
          <wp:inline distT="0" distB="0" distL="0" distR="0">
            <wp:extent cx="101600" cy="101600"/>
            <wp:effectExtent l="0" t="0" r="0" b="0"/>
            <wp:docPr id="597" name="Image 597"/>
            <wp:cNvGraphicFramePr>
              <a:graphicFrameLocks/>
            </wp:cNvGraphicFramePr>
            <a:graphic>
              <a:graphicData uri="http://schemas.openxmlformats.org/drawingml/2006/picture">
                <pic:pic>
                  <pic:nvPicPr>
                    <pic:cNvPr id="597" name="Image 597"/>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next to the situation to open its event results </w:t>
      </w:r>
      <w:r>
        <w:rPr>
          <w:color w:val="231F20"/>
          <w:spacing w:val="-2"/>
          <w:sz w:val="20"/>
        </w:rPr>
        <w:t>workspace.</w:t>
      </w:r>
    </w:p>
    <w:p>
      <w:pPr>
        <w:pStyle w:val="BodyText"/>
        <w:spacing w:before="35"/>
        <w:ind w:left="2472"/>
      </w:pPr>
      <w:r>
        <w:rPr>
          <w:rFonts w:ascii="Futura MdCn BT"/>
          <w:color w:val="231F20"/>
        </w:rPr>
        <w:t>v</w:t>
      </w:r>
      <w:r>
        <w:rPr>
          <w:rFonts w:ascii="Futura MdCn BT"/>
          <w:color w:val="231F20"/>
          <w:spacing w:val="79"/>
          <w:w w:val="150"/>
        </w:rPr>
        <w:t> </w:t>
      </w:r>
      <w:r>
        <w:rPr>
          <w:color w:val="231F20"/>
        </w:rPr>
        <w:t>Open</w:t>
      </w:r>
      <w:r>
        <w:rPr>
          <w:color w:val="231F20"/>
          <w:spacing w:val="11"/>
        </w:rPr>
        <w:t> </w:t>
      </w:r>
      <w:r>
        <w:rPr>
          <w:color w:val="231F20"/>
        </w:rPr>
        <w:t>the</w:t>
      </w:r>
      <w:r>
        <w:rPr>
          <w:color w:val="231F20"/>
          <w:spacing w:val="11"/>
        </w:rPr>
        <w:t> </w:t>
      </w:r>
      <w:r>
        <w:rPr>
          <w:color w:val="231F20"/>
        </w:rPr>
        <w:t>event</w:t>
      </w:r>
      <w:r>
        <w:rPr>
          <w:color w:val="231F20"/>
          <w:spacing w:val="11"/>
        </w:rPr>
        <w:t> </w:t>
      </w:r>
      <w:r>
        <w:rPr>
          <w:color w:val="231F20"/>
        </w:rPr>
        <w:t>results</w:t>
      </w:r>
      <w:r>
        <w:rPr>
          <w:color w:val="231F20"/>
          <w:spacing w:val="10"/>
        </w:rPr>
        <w:t> </w:t>
      </w:r>
      <w:r>
        <w:rPr>
          <w:color w:val="231F20"/>
        </w:rPr>
        <w:t>workspace</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event</w:t>
      </w:r>
      <w:r>
        <w:rPr>
          <w:color w:val="231F20"/>
          <w:spacing w:val="11"/>
        </w:rPr>
        <w:t> </w:t>
      </w:r>
      <w:r>
        <w:rPr>
          <w:color w:val="231F20"/>
        </w:rPr>
        <w:t>console</w:t>
      </w:r>
      <w:r>
        <w:rPr>
          <w:color w:val="231F20"/>
          <w:spacing w:val="11"/>
        </w:rPr>
        <w:t> </w:t>
      </w:r>
      <w:r>
        <w:rPr>
          <w:color w:val="231F20"/>
          <w:spacing w:val="-2"/>
        </w:rPr>
        <w:t>view:</w:t>
      </w:r>
    </w:p>
    <w:p>
      <w:pPr>
        <w:pStyle w:val="ListParagraph"/>
        <w:numPr>
          <w:ilvl w:val="0"/>
          <w:numId w:val="21"/>
        </w:numPr>
        <w:tabs>
          <w:tab w:pos="3003" w:val="left" w:leader="none"/>
        </w:tabs>
        <w:spacing w:line="240" w:lineRule="auto" w:before="30" w:after="0"/>
        <w:ind w:left="3003"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1"/>
          <w:sz w:val="20"/>
        </w:rPr>
        <w:t> </w:t>
      </w:r>
      <w:r>
        <w:rPr>
          <w:color w:val="231F20"/>
          <w:sz w:val="20"/>
        </w:rPr>
        <w:t>row</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pacing w:val="-2"/>
          <w:sz w:val="20"/>
        </w:rPr>
        <w:t>event.</w:t>
      </w:r>
    </w:p>
    <w:p>
      <w:pPr>
        <w:pStyle w:val="ListParagraph"/>
        <w:numPr>
          <w:ilvl w:val="0"/>
          <w:numId w:val="21"/>
        </w:numPr>
        <w:tabs>
          <w:tab w:pos="3003" w:val="left" w:leader="none"/>
        </w:tabs>
        <w:spacing w:line="240" w:lineRule="auto" w:before="29" w:after="0"/>
        <w:ind w:left="3003" w:right="0" w:hanging="315"/>
        <w:jc w:val="left"/>
        <w:rPr>
          <w:sz w:val="20"/>
        </w:rPr>
      </w:pPr>
      <w:r>
        <w:rPr>
          <w:color w:val="231F20"/>
          <w:sz w:val="20"/>
        </w:rPr>
        <w:t>Click</w:t>
      </w:r>
      <w:r>
        <w:rPr>
          <w:color w:val="231F20"/>
          <w:spacing w:val="9"/>
          <w:sz w:val="20"/>
        </w:rPr>
        <w:t> </w:t>
      </w:r>
      <w:r>
        <w:rPr>
          <w:rFonts w:ascii="Book Antiqua"/>
          <w:b/>
          <w:color w:val="231F20"/>
          <w:sz w:val="20"/>
        </w:rPr>
        <w:t>Situation</w:t>
      </w:r>
      <w:r>
        <w:rPr>
          <w:rFonts w:ascii="Book Antiqua"/>
          <w:b/>
          <w:color w:val="231F20"/>
          <w:spacing w:val="10"/>
          <w:sz w:val="20"/>
        </w:rPr>
        <w:t> </w:t>
      </w:r>
      <w:r>
        <w:rPr>
          <w:rFonts w:ascii="Book Antiqua"/>
          <w:b/>
          <w:color w:val="231F20"/>
          <w:sz w:val="20"/>
        </w:rPr>
        <w:t>Event</w:t>
      </w:r>
      <w:r>
        <w:rPr>
          <w:rFonts w:ascii="Book Antiqua"/>
          <w:b/>
          <w:color w:val="231F20"/>
          <w:spacing w:val="10"/>
          <w:sz w:val="20"/>
        </w:rPr>
        <w:t> </w:t>
      </w:r>
      <w:r>
        <w:rPr>
          <w:rFonts w:ascii="Book Antiqua"/>
          <w:b/>
          <w:color w:val="231F20"/>
          <w:spacing w:val="-2"/>
          <w:sz w:val="20"/>
        </w:rPr>
        <w:t>Results</w:t>
      </w:r>
      <w:r>
        <w:rPr>
          <w:color w:val="231F20"/>
          <w:spacing w:val="-2"/>
          <w:sz w:val="20"/>
        </w:rPr>
        <w:t>.</w:t>
      </w:r>
    </w:p>
    <w:p>
      <w:pPr>
        <w:pStyle w:val="Heading4"/>
        <w:spacing w:before="194"/>
        <w:ind w:left="2472"/>
      </w:pPr>
      <w:r>
        <w:rPr>
          <w:color w:val="231F20"/>
          <w:spacing w:val="-2"/>
        </w:rPr>
        <w:t>Results</w:t>
      </w:r>
    </w:p>
    <w:p>
      <w:pPr>
        <w:pStyle w:val="BodyText"/>
        <w:spacing w:line="213" w:lineRule="auto" w:before="241"/>
        <w:ind w:left="2472" w:right="545"/>
      </w:pPr>
      <w:r>
        <w:rPr>
          <w:color w:val="231F20"/>
        </w:rPr>
        <w:t>A new Navigator item is displayed below the one associated with the event </w:t>
      </w:r>
      <w:r>
        <w:rPr>
          <w:color w:val="231F20"/>
        </w:rPr>
        <w:t>and the event results workspace opens. The event results workspace contains four views to help you investigate the condition and determine what action to take </w:t>
      </w:r>
      <w:r>
        <w:rPr>
          <w:color w:val="231F20"/>
          <w:spacing w:val="-2"/>
        </w:rPr>
        <w:t>next:</w:t>
      </w:r>
    </w:p>
    <w:p>
      <w:pPr>
        <w:spacing w:after="0" w:line="213" w:lineRule="auto"/>
        <w:sectPr>
          <w:footerReference w:type="default" r:id="rId169"/>
          <w:footerReference w:type="even" r:id="rId170"/>
          <w:pgSz w:w="12240" w:h="15840"/>
          <w:pgMar w:header="0" w:footer="736" w:top="1180" w:bottom="920" w:left="1000" w:right="1060"/>
          <w:pgNumType w:start="53"/>
        </w:sectPr>
      </w:pPr>
    </w:p>
    <w:p>
      <w:pPr>
        <w:pStyle w:val="Heading6"/>
        <w:spacing w:before="83"/>
        <w:ind w:left="2242"/>
      </w:pPr>
      <w:r>
        <w:rPr>
          <w:b w:val="0"/>
          <w:position w:val="-1"/>
        </w:rPr>
        <w:drawing>
          <wp:inline distT="0" distB="0" distL="0" distR="0">
            <wp:extent cx="95250" cy="95250"/>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50"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3"/>
        </w:rPr>
        <w:t> </w:t>
      </w:r>
      <w:r>
        <w:rPr>
          <w:color w:val="231F20"/>
        </w:rPr>
        <w:t>Initial</w:t>
      </w:r>
      <w:r>
        <w:rPr>
          <w:color w:val="231F20"/>
          <w:spacing w:val="14"/>
        </w:rPr>
        <w:t> </w:t>
      </w:r>
      <w:r>
        <w:rPr>
          <w:color w:val="231F20"/>
        </w:rPr>
        <w:t>Situation</w:t>
      </w:r>
      <w:r>
        <w:rPr>
          <w:color w:val="231F20"/>
          <w:spacing w:val="14"/>
        </w:rPr>
        <w:t> </w:t>
      </w:r>
      <w:r>
        <w:rPr>
          <w:color w:val="231F20"/>
        </w:rPr>
        <w:t>Values</w:t>
      </w:r>
    </w:p>
    <w:p>
      <w:pPr>
        <w:pStyle w:val="BodyText"/>
        <w:spacing w:line="213" w:lineRule="auto" w:before="12"/>
        <w:ind w:left="2951" w:right="402"/>
      </w:pPr>
      <w:r>
        <w:rPr>
          <w:color w:val="231F20"/>
        </w:rPr>
        <w:t>The values are from the data sample that triggered the event. Move the mouse pointer over a highlighted value to see the situation formula. The value</w:t>
      </w:r>
      <w:r>
        <w:rPr>
          <w:color w:val="231F20"/>
          <w:spacing w:val="29"/>
        </w:rPr>
        <w:t> </w:t>
      </w:r>
      <w:r>
        <w:rPr>
          <w:color w:val="231F20"/>
        </w:rPr>
        <w:t>shows</w:t>
      </w:r>
      <w:r>
        <w:rPr>
          <w:color w:val="231F20"/>
          <w:spacing w:val="29"/>
        </w:rPr>
        <w:t> </w:t>
      </w:r>
      <w:r>
        <w:rPr>
          <w:color w:val="231F20"/>
        </w:rPr>
        <w:t>as</w:t>
      </w:r>
      <w:r>
        <w:rPr>
          <w:color w:val="231F20"/>
          <w:spacing w:val="29"/>
        </w:rPr>
        <w:t> </w:t>
      </w:r>
      <w:r>
        <w:rPr>
          <w:color w:val="231F20"/>
        </w:rPr>
        <w:t>"Unknown"</w:t>
      </w:r>
      <w:r>
        <w:rPr>
          <w:color w:val="231F20"/>
          <w:spacing w:val="29"/>
        </w:rPr>
        <w:t> </w:t>
      </w:r>
      <w:r>
        <w:rPr>
          <w:color w:val="231F20"/>
        </w:rPr>
        <w:t>and</w:t>
      </w:r>
      <w:r>
        <w:rPr>
          <w:color w:val="231F20"/>
          <w:spacing w:val="29"/>
        </w:rPr>
        <w:t> </w:t>
      </w:r>
      <w:r>
        <w:rPr>
          <w:color w:val="231F20"/>
        </w:rPr>
        <w:t>the</w:t>
      </w:r>
      <w:r>
        <w:rPr>
          <w:color w:val="231F20"/>
          <w:spacing w:val="29"/>
        </w:rPr>
        <w:t> </w:t>
      </w:r>
      <w:r>
        <w:rPr>
          <w:color w:val="231F20"/>
        </w:rPr>
        <w:t>formula</w:t>
      </w:r>
      <w:r>
        <w:rPr>
          <w:color w:val="231F20"/>
          <w:spacing w:val="29"/>
        </w:rPr>
        <w:t> </w:t>
      </w:r>
      <w:r>
        <w:rPr>
          <w:color w:val="231F20"/>
        </w:rPr>
        <w:t>does</w:t>
      </w:r>
      <w:r>
        <w:rPr>
          <w:color w:val="231F20"/>
          <w:spacing w:val="29"/>
        </w:rPr>
        <w:t> </w:t>
      </w:r>
      <w:r>
        <w:rPr>
          <w:color w:val="231F20"/>
        </w:rPr>
        <w:t>not</w:t>
      </w:r>
      <w:r>
        <w:rPr>
          <w:color w:val="231F20"/>
          <w:spacing w:val="29"/>
        </w:rPr>
        <w:t> </w:t>
      </w:r>
      <w:r>
        <w:rPr>
          <w:color w:val="231F20"/>
        </w:rPr>
        <w:t>display</w:t>
      </w:r>
      <w:r>
        <w:rPr>
          <w:color w:val="231F20"/>
          <w:spacing w:val="29"/>
        </w:rPr>
        <w:t> </w:t>
      </w:r>
      <w:r>
        <w:rPr>
          <w:color w:val="231F20"/>
        </w:rPr>
        <w:t>if</w:t>
      </w:r>
      <w:r>
        <w:rPr>
          <w:color w:val="231F20"/>
          <w:spacing w:val="29"/>
        </w:rPr>
        <w:t> </w:t>
      </w:r>
      <w:r>
        <w:rPr>
          <w:color w:val="231F20"/>
        </w:rPr>
        <w:t>the situation expression uses a group function: CHANGE, PCTCHANGE, </w:t>
      </w:r>
      <w:r>
        <w:rPr>
          <w:color w:val="231F20"/>
        </w:rPr>
        <w:t>AVG, COUNT, MIN, MAX or SUM.</w:t>
      </w:r>
    </w:p>
    <w:p>
      <w:pPr>
        <w:pStyle w:val="Heading6"/>
        <w:spacing w:before="115"/>
        <w:ind w:left="2242"/>
      </w:pPr>
      <w:r>
        <w:rPr>
          <w:b w:val="0"/>
          <w:position w:val="-1"/>
        </w:rPr>
        <w:drawing>
          <wp:inline distT="0" distB="0" distL="0" distR="0">
            <wp:extent cx="95250" cy="95250"/>
            <wp:effectExtent l="0" t="0" r="0" b="0"/>
            <wp:docPr id="599" name="Image 599"/>
            <wp:cNvGraphicFramePr>
              <a:graphicFrameLocks/>
            </wp:cNvGraphicFramePr>
            <a:graphic>
              <a:graphicData uri="http://schemas.openxmlformats.org/drawingml/2006/picture">
                <pic:pic>
                  <pic:nvPicPr>
                    <pic:cNvPr id="599" name="Image 599"/>
                    <pic:cNvPicPr/>
                  </pic:nvPicPr>
                  <pic:blipFill>
                    <a:blip r:embed="rId50"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3"/>
        </w:rPr>
        <w:t> </w:t>
      </w:r>
      <w:r>
        <w:rPr>
          <w:color w:val="231F20"/>
        </w:rPr>
        <w:t>Current</w:t>
      </w:r>
      <w:r>
        <w:rPr>
          <w:color w:val="231F20"/>
          <w:spacing w:val="13"/>
        </w:rPr>
        <w:t> </w:t>
      </w:r>
      <w:r>
        <w:rPr>
          <w:color w:val="231F20"/>
        </w:rPr>
        <w:t>Situation</w:t>
      </w:r>
      <w:r>
        <w:rPr>
          <w:color w:val="231F20"/>
          <w:spacing w:val="13"/>
        </w:rPr>
        <w:t> </w:t>
      </w:r>
      <w:r>
        <w:rPr>
          <w:color w:val="231F20"/>
        </w:rPr>
        <w:t>Values</w:t>
      </w:r>
    </w:p>
    <w:p>
      <w:pPr>
        <w:pStyle w:val="BodyText"/>
        <w:spacing w:line="213" w:lineRule="auto" w:before="11"/>
        <w:ind w:left="2951" w:right="545"/>
      </w:pPr>
      <w:r>
        <w:rPr>
          <w:color w:val="231F20"/>
        </w:rPr>
        <w:t>The values are from a new data sample that was taken after you selected</w:t>
      </w:r>
      <w:r>
        <w:rPr>
          <w:color w:val="231F20"/>
          <w:spacing w:val="40"/>
        </w:rPr>
        <w:t> </w:t>
      </w:r>
      <w:r>
        <w:rPr>
          <w:color w:val="231F20"/>
        </w:rPr>
        <w:t>the event results workspace. If the situation is still true, you will see the same cell highlighting as is shown in the Initial Situation Values view. If</w:t>
      </w:r>
      <w:r>
        <w:rPr>
          <w:color w:val="231F20"/>
          <w:spacing w:val="40"/>
        </w:rPr>
        <w:t> </w:t>
      </w:r>
      <w:r>
        <w:rPr>
          <w:color w:val="231F20"/>
        </w:rPr>
        <w:t>this is a pure event, you will see no data. This is because pure events are</w:t>
      </w:r>
      <w:r>
        <w:rPr>
          <w:color w:val="231F20"/>
          <w:spacing w:val="40"/>
        </w:rPr>
        <w:t> </w:t>
      </w:r>
      <w:r>
        <w:rPr>
          <w:color w:val="231F20"/>
        </w:rPr>
        <w:t>unsolicited notifications. Situations for pure events have no sampling interval, thus there is no constant metric that can be monitored for </w:t>
      </w:r>
      <w:r>
        <w:rPr>
          <w:color w:val="231F20"/>
        </w:rPr>
        <w:t>current </w:t>
      </w:r>
      <w:r>
        <w:rPr>
          <w:color w:val="231F20"/>
          <w:spacing w:val="-2"/>
        </w:rPr>
        <w:t>values.</w:t>
      </w:r>
    </w:p>
    <w:p>
      <w:pPr>
        <w:pStyle w:val="BodyText"/>
        <w:spacing w:line="213" w:lineRule="auto" w:before="115"/>
        <w:ind w:left="2951" w:right="545"/>
      </w:pPr>
      <w:r>
        <w:rPr>
          <w:color w:val="231F20"/>
        </w:rPr>
        <w:t>If the expression that is responsible for a situation event uses a group function, the situation event results workspace shows neither the </w:t>
      </w:r>
      <w:r>
        <w:rPr>
          <w:color w:val="231F20"/>
        </w:rPr>
        <w:t>attribute value threshold color nor the expression that should display when you hover over an initial situation value.</w:t>
      </w:r>
    </w:p>
    <w:p>
      <w:pPr>
        <w:pStyle w:val="Heading6"/>
        <w:spacing w:line="227" w:lineRule="exact" w:before="121"/>
        <w:ind w:left="2252"/>
      </w:pPr>
      <w:r>
        <w:rPr>
          <w:b w:val="0"/>
        </w:rPr>
        <w:drawing>
          <wp:inline distT="0" distB="0" distL="0" distR="0">
            <wp:extent cx="76200" cy="95250"/>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54" cstate="print"/>
                    <a:stretch>
                      <a:fillRect/>
                    </a:stretch>
                  </pic:blipFill>
                  <pic:spPr>
                    <a:xfrm>
                      <a:off x="0" y="0"/>
                      <a:ext cx="76200" cy="95250"/>
                    </a:xfrm>
                    <a:prstGeom prst="rect">
                      <a:avLst/>
                    </a:prstGeom>
                  </pic:spPr>
                </pic:pic>
              </a:graphicData>
            </a:graphic>
          </wp:inline>
        </w:drawing>
      </w:r>
      <w:r>
        <w:rPr>
          <w:b w:val="0"/>
        </w:rPr>
      </w:r>
      <w:r>
        <w:rPr>
          <w:rFonts w:ascii="Times New Roman"/>
          <w:b w:val="0"/>
          <w:spacing w:val="28"/>
          <w:position w:val="1"/>
        </w:rPr>
        <w:t> </w:t>
      </w:r>
      <w:r>
        <w:rPr>
          <w:color w:val="231F20"/>
          <w:position w:val="1"/>
        </w:rPr>
        <w:t>Command View</w:t>
      </w:r>
    </w:p>
    <w:p>
      <w:pPr>
        <w:pStyle w:val="BodyText"/>
        <w:spacing w:line="213" w:lineRule="auto" w:before="9"/>
        <w:ind w:left="2951" w:right="545"/>
      </w:pPr>
      <w:r>
        <w:rPr>
          <w:color w:val="231F20"/>
        </w:rPr>
        <w:t>Use the command view to send a take action command to an </w:t>
      </w:r>
      <w:r>
        <w:rPr>
          <w:color w:val="231F20"/>
        </w:rPr>
        <w:t>application started on the managed system of your choosing.</w:t>
      </w:r>
    </w:p>
    <w:p>
      <w:pPr>
        <w:pStyle w:val="Heading6"/>
        <w:ind w:left="2232"/>
      </w:pPr>
      <w:r>
        <w:rPr>
          <w:b w:val="0"/>
          <w:position w:val="-1"/>
        </w:rPr>
        <w:drawing>
          <wp:inline distT="0" distB="0" distL="0" distR="0">
            <wp:extent cx="101600" cy="101600"/>
            <wp:effectExtent l="0" t="0" r="0" b="0"/>
            <wp:docPr id="601" name="Image 601"/>
            <wp:cNvGraphicFramePr>
              <a:graphicFrameLocks/>
            </wp:cNvGraphicFramePr>
            <a:graphic>
              <a:graphicData uri="http://schemas.openxmlformats.org/drawingml/2006/picture">
                <pic:pic>
                  <pic:nvPicPr>
                    <pic:cNvPr id="601" name="Image 601"/>
                    <pic:cNvPicPr/>
                  </pic:nvPicPr>
                  <pic:blipFill>
                    <a:blip r:embed="rId9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rPr>
        <w:t> </w:t>
      </w:r>
      <w:r>
        <w:rPr>
          <w:color w:val="231F20"/>
        </w:rPr>
        <w:t>Expert</w:t>
      </w:r>
      <w:r>
        <w:rPr>
          <w:color w:val="231F20"/>
          <w:spacing w:val="17"/>
        </w:rPr>
        <w:t> </w:t>
      </w:r>
      <w:r>
        <w:rPr>
          <w:color w:val="231F20"/>
        </w:rPr>
        <w:t>Advice</w:t>
      </w:r>
    </w:p>
    <w:p>
      <w:pPr>
        <w:pStyle w:val="BodyText"/>
        <w:spacing w:line="213" w:lineRule="auto" w:before="11"/>
        <w:ind w:left="2951" w:right="545"/>
      </w:pPr>
      <w:r>
        <w:rPr>
          <w:color w:val="231F20"/>
        </w:rPr>
        <w:t>If the situation author wrote any expert advice, it is displayed here. </w:t>
      </w:r>
      <w:r>
        <w:rPr>
          <w:color w:val="231F20"/>
        </w:rPr>
        <w:t>This view opens to a web page if the advice is a URL reference.</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Compare the current situation values with the initial situation values that </w:t>
      </w:r>
      <w:r>
        <w:rPr>
          <w:color w:val="231F20"/>
        </w:rPr>
        <w:t>caused the event and read the advice for any explanation and possible solutions.</w:t>
      </w:r>
    </w:p>
    <w:p>
      <w:pPr>
        <w:pStyle w:val="BodyText"/>
        <w:spacing w:line="213" w:lineRule="auto" w:before="239"/>
        <w:ind w:left="2232" w:right="545"/>
      </w:pPr>
      <w:r>
        <w:rPr>
          <w:color w:val="231F20"/>
        </w:rPr>
        <w:t>You can right-click the </w:t>
      </w:r>
      <w:r>
        <w:rPr>
          <w:color w:val="231F20"/>
          <w:spacing w:val="15"/>
          <w:position w:val="-1"/>
        </w:rPr>
        <w:drawing>
          <wp:inline distT="0" distB="0" distL="0" distR="0">
            <wp:extent cx="101600" cy="95250"/>
            <wp:effectExtent l="0" t="0" r="0" b="0"/>
            <wp:docPr id="602" name="Image 602"/>
            <wp:cNvGraphicFramePr>
              <a:graphicFrameLocks/>
            </wp:cNvGraphicFramePr>
            <a:graphic>
              <a:graphicData uri="http://schemas.openxmlformats.org/drawingml/2006/picture">
                <pic:pic>
                  <pic:nvPicPr>
                    <pic:cNvPr id="602" name="Image 60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6"/>
        </w:rPr>
        <w:t> </w:t>
      </w:r>
      <w:r>
        <w:rPr>
          <w:color w:val="231F20"/>
        </w:rPr>
        <w:t>situation workspace Navigator item to open the pop-up menu. The menu includes functions for responding to the event:</w:t>
      </w:r>
    </w:p>
    <w:p>
      <w:pPr>
        <w:pStyle w:val="Heading6"/>
        <w:ind w:left="2242"/>
      </w:pPr>
      <w:r>
        <w:rPr>
          <w:b w:val="0"/>
          <w:position w:val="-1"/>
        </w:rPr>
        <w:drawing>
          <wp:inline distT="0" distB="0" distL="0" distR="0">
            <wp:extent cx="95250" cy="101600"/>
            <wp:effectExtent l="0" t="0" r="0" b="0"/>
            <wp:docPr id="603" name="Image 603"/>
            <wp:cNvGraphicFramePr>
              <a:graphicFrameLocks/>
            </wp:cNvGraphicFramePr>
            <a:graphic>
              <a:graphicData uri="http://schemas.openxmlformats.org/drawingml/2006/picture">
                <pic:pic>
                  <pic:nvPicPr>
                    <pic:cNvPr id="603" name="Image 603"/>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Edit</w:t>
      </w:r>
      <w:r>
        <w:rPr>
          <w:color w:val="231F20"/>
          <w:spacing w:val="18"/>
        </w:rPr>
        <w:t> </w:t>
      </w:r>
      <w:r>
        <w:rPr>
          <w:color w:val="231F20"/>
        </w:rPr>
        <w:t>Situation</w:t>
      </w:r>
    </w:p>
    <w:p>
      <w:pPr>
        <w:pStyle w:val="BodyText"/>
        <w:spacing w:line="213" w:lineRule="auto" w:before="11"/>
        <w:ind w:left="2951" w:right="493"/>
      </w:pPr>
      <w:r>
        <w:rPr>
          <w:color w:val="231F20"/>
        </w:rPr>
        <w:t>Opens the Situation editor so you can see and edit the situation </w:t>
      </w:r>
      <w:r>
        <w:rPr>
          <w:color w:val="231F20"/>
        </w:rPr>
        <w:t>definition, distribution, expert advice, take action command, or until modifier.</w:t>
      </w:r>
    </w:p>
    <w:p>
      <w:pPr>
        <w:pStyle w:val="Heading6"/>
        <w:ind w:left="2242"/>
      </w:pPr>
      <w:r>
        <w:rPr>
          <w:b w:val="0"/>
          <w:position w:val="-1"/>
        </w:rPr>
        <w:drawing>
          <wp:inline distT="0" distB="0" distL="0" distR="0">
            <wp:extent cx="95250" cy="95250"/>
            <wp:effectExtent l="0" t="0" r="0" b="0"/>
            <wp:docPr id="604" name="Image 604"/>
            <wp:cNvGraphicFramePr>
              <a:graphicFrameLocks/>
            </wp:cNvGraphicFramePr>
            <a:graphic>
              <a:graphicData uri="http://schemas.openxmlformats.org/drawingml/2006/picture">
                <pic:pic>
                  <pic:nvPicPr>
                    <pic:cNvPr id="604" name="Image 604"/>
                    <pic:cNvPicPr/>
                  </pic:nvPicPr>
                  <pic:blipFill>
                    <a:blip r:embed="rId110"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rPr>
        <w:t> </w:t>
      </w:r>
      <w:r>
        <w:rPr>
          <w:color w:val="231F20"/>
        </w:rPr>
        <w:t>Acknowledge</w:t>
      </w:r>
    </w:p>
    <w:p>
      <w:pPr>
        <w:pStyle w:val="BodyText"/>
        <w:spacing w:line="213" w:lineRule="auto" w:before="12"/>
        <w:ind w:left="2951" w:right="545"/>
      </w:pPr>
      <w:r>
        <w:rPr>
          <w:color w:val="231F20"/>
        </w:rPr>
        <w:t>Opens the Acknowledgement window so you can acknowledge that </w:t>
      </w:r>
      <w:r>
        <w:rPr>
          <w:color w:val="231F20"/>
        </w:rPr>
        <w:t>you are taking care of the event.</w:t>
      </w:r>
    </w:p>
    <w:p>
      <w:pPr>
        <w:pStyle w:val="Heading6"/>
        <w:ind w:left="2242"/>
      </w:pPr>
      <w:r>
        <w:rPr>
          <w:b w:val="0"/>
          <w:position w:val="-1"/>
        </w:rPr>
        <w:drawing>
          <wp:inline distT="0" distB="0" distL="0" distR="0">
            <wp:extent cx="95250" cy="95250"/>
            <wp:effectExtent l="0" t="0" r="0" b="0"/>
            <wp:docPr id="605" name="Image 605"/>
            <wp:cNvGraphicFramePr>
              <a:graphicFrameLocks/>
            </wp:cNvGraphicFramePr>
            <a:graphic>
              <a:graphicData uri="http://schemas.openxmlformats.org/drawingml/2006/picture">
                <pic:pic>
                  <pic:nvPicPr>
                    <pic:cNvPr id="605" name="Image 605"/>
                    <pic:cNvPicPr/>
                  </pic:nvPicPr>
                  <pic:blipFill>
                    <a:blip r:embed="rId168"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3"/>
        </w:rPr>
        <w:t> </w:t>
      </w:r>
      <w:r>
        <w:rPr>
          <w:color w:val="231F20"/>
        </w:rPr>
        <w:t>Close</w:t>
      </w:r>
      <w:r>
        <w:rPr>
          <w:color w:val="231F20"/>
          <w:spacing w:val="14"/>
        </w:rPr>
        <w:t> </w:t>
      </w:r>
      <w:r>
        <w:rPr>
          <w:color w:val="231F20"/>
        </w:rPr>
        <w:t>Situation</w:t>
      </w:r>
      <w:r>
        <w:rPr>
          <w:color w:val="231F20"/>
          <w:spacing w:val="14"/>
        </w:rPr>
        <w:t> </w:t>
      </w:r>
      <w:r>
        <w:rPr>
          <w:color w:val="231F20"/>
        </w:rPr>
        <w:t>Event</w:t>
      </w:r>
    </w:p>
    <w:p>
      <w:pPr>
        <w:pStyle w:val="BodyText"/>
        <w:spacing w:line="213" w:lineRule="auto" w:before="11"/>
        <w:ind w:left="2951" w:right="636"/>
      </w:pPr>
      <w:r>
        <w:rPr>
          <w:color w:val="231F20"/>
        </w:rPr>
        <w:t>If this is a pure event, you will see this option to close the event and</w:t>
      </w:r>
      <w:r>
        <w:rPr>
          <w:color w:val="231F20"/>
          <w:spacing w:val="40"/>
        </w:rPr>
        <w:t> </w:t>
      </w:r>
      <w:r>
        <w:rPr>
          <w:color w:val="231F20"/>
        </w:rPr>
        <w:t>remove the event indicator. If the condition goes from true to false and</w:t>
      </w:r>
      <w:r>
        <w:rPr>
          <w:color w:val="231F20"/>
          <w:spacing w:val="40"/>
        </w:rPr>
        <w:t> </w:t>
      </w:r>
      <w:r>
        <w:rPr>
          <w:color w:val="231F20"/>
        </w:rPr>
        <w:t>back to true again the next time the situation is evaluated, the indicator</w:t>
      </w:r>
      <w:r>
        <w:rPr>
          <w:color w:val="231F20"/>
          <w:spacing w:val="80"/>
        </w:rPr>
        <w:t> </w:t>
      </w:r>
      <w:r>
        <w:rPr>
          <w:color w:val="231F20"/>
        </w:rPr>
        <w:t>will reappear. If the condition remains true, the indicator is not </w:t>
      </w:r>
      <w:r>
        <w:rPr>
          <w:color w:val="231F20"/>
        </w:rPr>
        <w:t>displayed; you must restart the situation if you want to see the indicator.</w:t>
      </w:r>
    </w:p>
    <w:p>
      <w:pPr>
        <w:pStyle w:val="BodyText"/>
        <w:spacing w:line="243" w:lineRule="exact"/>
        <w:ind w:left="2951"/>
      </w:pPr>
      <w:r>
        <w:rPr>
          <w:color w:val="231F20"/>
        </w:rPr>
        <w:t>If</w:t>
      </w:r>
      <w:r>
        <w:rPr>
          <w:color w:val="231F20"/>
          <w:spacing w:val="8"/>
        </w:rPr>
        <w:t> </w:t>
      </w:r>
      <w:r>
        <w:rPr>
          <w:color w:val="231F20"/>
        </w:rPr>
        <w:t>you</w:t>
      </w:r>
      <w:r>
        <w:rPr>
          <w:color w:val="231F20"/>
          <w:spacing w:val="8"/>
        </w:rPr>
        <w:t> </w:t>
      </w:r>
      <w:r>
        <w:rPr>
          <w:color w:val="231F20"/>
        </w:rPr>
        <w:t>close</w:t>
      </w:r>
      <w:r>
        <w:rPr>
          <w:color w:val="231F20"/>
          <w:spacing w:val="8"/>
        </w:rPr>
        <w:t> </w:t>
      </w:r>
      <w:r>
        <w:rPr>
          <w:color w:val="231F20"/>
        </w:rPr>
        <w:t>an</w:t>
      </w:r>
      <w:r>
        <w:rPr>
          <w:color w:val="231F20"/>
          <w:spacing w:val="9"/>
        </w:rPr>
        <w:t> </w:t>
      </w:r>
      <w:r>
        <w:rPr>
          <w:color w:val="231F20"/>
        </w:rPr>
        <w:t>event</w:t>
      </w:r>
      <w:r>
        <w:rPr>
          <w:color w:val="231F20"/>
          <w:spacing w:val="8"/>
        </w:rPr>
        <w:t> </w:t>
      </w:r>
      <w:r>
        <w:rPr>
          <w:color w:val="231F20"/>
        </w:rPr>
        <w:t>manually,</w:t>
      </w:r>
      <w:r>
        <w:rPr>
          <w:color w:val="231F20"/>
          <w:spacing w:val="8"/>
        </w:rPr>
        <w:t> </w:t>
      </w:r>
      <w:r>
        <w:rPr>
          <w:color w:val="231F20"/>
        </w:rPr>
        <w:t>you</w:t>
      </w:r>
      <w:r>
        <w:rPr>
          <w:color w:val="231F20"/>
          <w:spacing w:val="9"/>
        </w:rPr>
        <w:t> </w:t>
      </w:r>
      <w:r>
        <w:rPr>
          <w:color w:val="231F20"/>
        </w:rPr>
        <w:t>cannot</w:t>
      </w:r>
      <w:r>
        <w:rPr>
          <w:color w:val="231F20"/>
          <w:spacing w:val="8"/>
        </w:rPr>
        <w:t> </w:t>
      </w:r>
      <w:r>
        <w:rPr>
          <w:color w:val="231F20"/>
        </w:rPr>
        <w:t>acknowledge</w:t>
      </w:r>
      <w:r>
        <w:rPr>
          <w:color w:val="231F20"/>
          <w:spacing w:val="8"/>
        </w:rPr>
        <w:t> </w:t>
      </w:r>
      <w:r>
        <w:rPr>
          <w:color w:val="231F20"/>
          <w:spacing w:val="-5"/>
        </w:rPr>
        <w:t>it.</w:t>
      </w:r>
    </w:p>
    <w:p>
      <w:pPr>
        <w:pStyle w:val="Heading6"/>
        <w:spacing w:before="111"/>
        <w:ind w:left="2242"/>
      </w:pPr>
      <w:r>
        <w:rPr>
          <w:b w:val="0"/>
          <w:position w:val="-1"/>
        </w:rPr>
        <w:drawing>
          <wp:inline distT="0" distB="0" distL="0" distR="0">
            <wp:extent cx="95250" cy="95250"/>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69"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3"/>
        </w:rPr>
        <w:t> </w:t>
      </w:r>
      <w:r>
        <w:rPr>
          <w:color w:val="231F20"/>
        </w:rPr>
        <w:t>Remove</w:t>
      </w:r>
      <w:r>
        <w:rPr>
          <w:color w:val="231F20"/>
          <w:spacing w:val="14"/>
        </w:rPr>
        <w:t> </w:t>
      </w:r>
      <w:r>
        <w:rPr>
          <w:color w:val="231F20"/>
        </w:rPr>
        <w:t>Event</w:t>
      </w:r>
      <w:r>
        <w:rPr>
          <w:color w:val="231F20"/>
          <w:spacing w:val="14"/>
        </w:rPr>
        <w:t> </w:t>
      </w:r>
      <w:r>
        <w:rPr>
          <w:color w:val="231F20"/>
        </w:rPr>
        <w:t>Item</w:t>
      </w:r>
    </w:p>
    <w:p>
      <w:pPr>
        <w:pStyle w:val="BodyText"/>
        <w:spacing w:line="213" w:lineRule="auto" w:before="12"/>
        <w:ind w:left="2951" w:right="636"/>
      </w:pPr>
      <w:r>
        <w:rPr>
          <w:color w:val="231F20"/>
        </w:rPr>
        <w:t>Removes the event item from the Navigator. To see it again, you </w:t>
      </w:r>
      <w:r>
        <w:rPr>
          <w:color w:val="231F20"/>
        </w:rPr>
        <w:t>must select the true situation from the event flyover list.</w:t>
      </w:r>
    </w:p>
    <w:p>
      <w:pPr>
        <w:pStyle w:val="BodyText"/>
        <w:spacing w:line="213" w:lineRule="auto" w:before="238"/>
        <w:ind w:left="2232" w:right="545"/>
      </w:pPr>
      <w:r>
        <w:rPr>
          <w:color w:val="231F20"/>
        </w:rPr>
        <w:t>User ID permissions for Events are Acknowledge and Close; and those for</w:t>
      </w:r>
      <w:r>
        <w:rPr>
          <w:color w:val="231F20"/>
          <w:spacing w:val="80"/>
        </w:rPr>
        <w:t> </w:t>
      </w:r>
      <w:r>
        <w:rPr>
          <w:color w:val="231F20"/>
        </w:rPr>
        <w:t>Situations include Start or Stop, View, and Modify. If any of these fails to appear in the pop-up menu, your user ID does not have permission for the function.</w:t>
      </w:r>
    </w:p>
    <w:p>
      <w:pPr>
        <w:spacing w:after="0" w:line="213" w:lineRule="auto"/>
        <w:sectPr>
          <w:pgSz w:w="12240" w:h="15840"/>
          <w:pgMar w:header="0" w:footer="736" w:top="1180" w:bottom="920" w:left="1000" w:right="1060"/>
        </w:sectPr>
      </w:pPr>
    </w:p>
    <w:p>
      <w:pPr>
        <w:pStyle w:val="BodyText"/>
        <w:spacing w:line="213" w:lineRule="auto" w:before="85"/>
        <w:ind w:left="2472" w:right="385"/>
      </w:pPr>
      <w:bookmarkStart w:name="_bookmark41" w:id="94"/>
      <w:bookmarkEnd w:id="94"/>
      <w:r>
        <w:rPr/>
      </w:r>
      <w:r>
        <w:rPr>
          <w:color w:val="231F20"/>
        </w:rPr>
        <w:t>If you have workspace author mode permission, you can also edit the </w:t>
      </w:r>
      <w:r>
        <w:rPr>
          <w:color w:val="231F20"/>
        </w:rPr>
        <w:t>workspace</w:t>
      </w:r>
      <w:r>
        <w:rPr>
          <w:color w:val="231F20"/>
          <w:spacing w:val="40"/>
        </w:rPr>
        <w:t> </w:t>
      </w:r>
      <w:r>
        <w:rPr>
          <w:color w:val="231F20"/>
        </w:rPr>
        <w:t>to add any views that are helpful for diagnosing an event for this particular situation. For example, if historical data is collected for an attribute group, you might want to create a plot chart and add a historical baseline to help to get a</w:t>
      </w:r>
      <w:r>
        <w:rPr>
          <w:color w:val="231F20"/>
          <w:spacing w:val="40"/>
        </w:rPr>
        <w:t> </w:t>
      </w:r>
      <w:r>
        <w:rPr>
          <w:color w:val="231F20"/>
        </w:rPr>
        <w:t>broader view of past and current values for trend analysis.</w:t>
      </w:r>
    </w:p>
    <w:p>
      <w:pPr>
        <w:pStyle w:val="BodyText"/>
        <w:spacing w:before="3"/>
        <w:rPr>
          <w:sz w:val="16"/>
        </w:rPr>
      </w:pPr>
      <w:r>
        <w:rPr/>
        <mc:AlternateContent>
          <mc:Choice Requires="wps">
            <w:drawing>
              <wp:anchor distT="0" distB="0" distL="0" distR="0" allowOverlap="1" layoutInCell="1" locked="0" behindDoc="1" simplePos="0" relativeHeight="487651328">
                <wp:simplePos x="0" y="0"/>
                <wp:positionH relativeFrom="page">
                  <wp:posOffset>912380</wp:posOffset>
                </wp:positionH>
                <wp:positionV relativeFrom="paragraph">
                  <wp:posOffset>154496</wp:posOffset>
                </wp:positionV>
                <wp:extent cx="6082665" cy="1270"/>
                <wp:effectExtent l="0" t="0" r="0" b="0"/>
                <wp:wrapTopAndBottom/>
                <wp:docPr id="607" name="Graphic 607"/>
                <wp:cNvGraphicFramePr>
                  <a:graphicFrameLocks/>
                </wp:cNvGraphicFramePr>
                <a:graphic>
                  <a:graphicData uri="http://schemas.microsoft.com/office/word/2010/wordprocessingShape">
                    <wps:wsp>
                      <wps:cNvPr id="607" name="Graphic 60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65112pt;width:478.95pt;height:.1pt;mso-position-horizontal-relative:page;mso-position-vertical-relative:paragraph;z-index:-15665152;mso-wrap-distance-left:0;mso-wrap-distance-right:0" id="docshape94"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Enterprise Status workspace" w:id="95"/>
      <w:bookmarkEnd w:id="95"/>
      <w:r>
        <w:rPr>
          <w:b w:val="0"/>
        </w:rPr>
      </w:r>
      <w:r>
        <w:rPr>
          <w:color w:val="231F20"/>
        </w:rPr>
        <w:t>Enterprise</w:t>
      </w:r>
      <w:r>
        <w:rPr>
          <w:color w:val="231F20"/>
          <w:spacing w:val="3"/>
        </w:rPr>
        <w:t> </w:t>
      </w:r>
      <w:r>
        <w:rPr>
          <w:color w:val="231F20"/>
        </w:rPr>
        <w:t>Status</w:t>
      </w:r>
      <w:r>
        <w:rPr>
          <w:color w:val="231F20"/>
          <w:spacing w:val="4"/>
        </w:rPr>
        <w:t> </w:t>
      </w:r>
      <w:r>
        <w:rPr>
          <w:color w:val="231F20"/>
          <w:spacing w:val="-2"/>
        </w:rPr>
        <w:t>workspace</w:t>
      </w:r>
    </w:p>
    <w:p>
      <w:pPr>
        <w:pStyle w:val="BodyText"/>
        <w:spacing w:line="213" w:lineRule="auto" w:before="138"/>
        <w:ind w:left="2472" w:right="545"/>
      </w:pPr>
      <w:r>
        <w:rPr>
          <w:color w:val="231F20"/>
        </w:rPr>
        <w:t>At the highest level of the Navigator Physical view is the </w:t>
      </w:r>
      <w:r>
        <w:rPr>
          <w:color w:val="231F20"/>
          <w:spacing w:val="15"/>
          <w:position w:val="-1"/>
        </w:rPr>
        <w:drawing>
          <wp:inline distT="0" distB="0" distL="0" distR="0">
            <wp:extent cx="95250" cy="101600"/>
            <wp:effectExtent l="0" t="0" r="0" b="0"/>
            <wp:docPr id="608" name="Image 608"/>
            <wp:cNvGraphicFramePr>
              <a:graphicFrameLocks/>
            </wp:cNvGraphicFramePr>
            <a:graphic>
              <a:graphicData uri="http://schemas.openxmlformats.org/drawingml/2006/picture">
                <pic:pic>
                  <pic:nvPicPr>
                    <pic:cNvPr id="608" name="Image 60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8"/>
        </w:rPr>
        <w:t> </w:t>
      </w:r>
      <w:r>
        <w:rPr>
          <w:color w:val="231F20"/>
        </w:rPr>
        <w:t>Enterprise item. The default workspace for the Enterprise is called Enterprise Status.</w:t>
      </w:r>
    </w:p>
    <w:p>
      <w:pPr>
        <w:pStyle w:val="BodyText"/>
        <w:spacing w:before="215"/>
        <w:ind w:left="2472"/>
      </w:pPr>
      <w:r>
        <w:rPr>
          <w:color w:val="231F20"/>
        </w:rPr>
        <w:t>The</w:t>
      </w:r>
      <w:r>
        <w:rPr>
          <w:color w:val="231F20"/>
          <w:spacing w:val="9"/>
        </w:rPr>
        <w:t> </w:t>
      </w:r>
      <w:r>
        <w:rPr>
          <w:color w:val="231F20"/>
        </w:rPr>
        <w:t>Enterprise</w:t>
      </w:r>
      <w:r>
        <w:rPr>
          <w:color w:val="231F20"/>
          <w:spacing w:val="10"/>
        </w:rPr>
        <w:t> </w:t>
      </w:r>
      <w:r>
        <w:rPr>
          <w:color w:val="231F20"/>
        </w:rPr>
        <w:t>Status</w:t>
      </w:r>
      <w:r>
        <w:rPr>
          <w:color w:val="231F20"/>
          <w:spacing w:val="9"/>
        </w:rPr>
        <w:t> </w:t>
      </w:r>
      <w:r>
        <w:rPr>
          <w:color w:val="231F20"/>
        </w:rPr>
        <w:t>workspace</w:t>
      </w:r>
      <w:r>
        <w:rPr>
          <w:color w:val="231F20"/>
          <w:spacing w:val="10"/>
        </w:rPr>
        <w:t> </w:t>
      </w:r>
      <w:r>
        <w:rPr>
          <w:color w:val="231F20"/>
        </w:rPr>
        <w:t>contains</w:t>
      </w:r>
      <w:r>
        <w:rPr>
          <w:color w:val="231F20"/>
          <w:spacing w:val="9"/>
        </w:rPr>
        <w:t> </w:t>
      </w:r>
      <w:r>
        <w:rPr>
          <w:color w:val="231F20"/>
        </w:rPr>
        <w:t>four</w:t>
      </w:r>
      <w:r>
        <w:rPr>
          <w:color w:val="231F20"/>
          <w:spacing w:val="10"/>
        </w:rPr>
        <w:t> </w:t>
      </w:r>
      <w:r>
        <w:rPr>
          <w:color w:val="231F20"/>
          <w:spacing w:val="-2"/>
        </w:rPr>
        <w:t>views:</w:t>
      </w:r>
    </w:p>
    <w:p>
      <w:pPr>
        <w:pStyle w:val="Heading4"/>
        <w:spacing w:before="194"/>
        <w:ind w:left="2472"/>
      </w:pPr>
      <w:r>
        <w:rPr>
          <w:color w:val="231F20"/>
        </w:rPr>
        <w:t>Situation</w:t>
      </w:r>
      <w:r>
        <w:rPr>
          <w:color w:val="231F20"/>
          <w:spacing w:val="4"/>
        </w:rPr>
        <w:t> </w:t>
      </w:r>
      <w:r>
        <w:rPr>
          <w:color w:val="231F20"/>
        </w:rPr>
        <w:t>Event</w:t>
      </w:r>
      <w:r>
        <w:rPr>
          <w:color w:val="231F20"/>
          <w:spacing w:val="5"/>
        </w:rPr>
        <w:t> </w:t>
      </w:r>
      <w:r>
        <w:rPr>
          <w:color w:val="231F20"/>
          <w:spacing w:val="-2"/>
        </w:rPr>
        <w:t>Console</w:t>
      </w:r>
    </w:p>
    <w:p>
      <w:pPr>
        <w:pStyle w:val="BodyText"/>
        <w:spacing w:line="213" w:lineRule="auto" w:before="242"/>
        <w:ind w:left="2472" w:right="258"/>
      </w:pPr>
      <w:r>
        <w:rPr>
          <w:color w:val="231F20"/>
        </w:rPr>
        <w:t>The situation event console inserts a row when the status of a situation changes: Open (including expired and reopened events), Problem, and Acknowledged. The Owner column shows who acknowledged the event, and you can acknowledge </w:t>
      </w:r>
      <w:r>
        <w:rPr>
          <w:color w:val="231F20"/>
        </w:rPr>
        <w:t>an event from the pop-up menu. Link indicators in this view and in the My Acknowledged</w:t>
      </w:r>
      <w:r>
        <w:rPr>
          <w:color w:val="231F20"/>
          <w:spacing w:val="29"/>
        </w:rPr>
        <w:t> </w:t>
      </w:r>
      <w:r>
        <w:rPr>
          <w:color w:val="231F20"/>
        </w:rPr>
        <w:t>Events</w:t>
      </w:r>
      <w:r>
        <w:rPr>
          <w:color w:val="231F20"/>
          <w:spacing w:val="29"/>
        </w:rPr>
        <w:t> </w:t>
      </w:r>
      <w:r>
        <w:rPr>
          <w:color w:val="231F20"/>
        </w:rPr>
        <w:t>view</w:t>
      </w:r>
      <w:r>
        <w:rPr>
          <w:color w:val="231F20"/>
          <w:spacing w:val="29"/>
        </w:rPr>
        <w:t> </w:t>
      </w:r>
      <w:r>
        <w:rPr>
          <w:color w:val="231F20"/>
        </w:rPr>
        <w:t>open</w:t>
      </w:r>
      <w:r>
        <w:rPr>
          <w:color w:val="231F20"/>
          <w:spacing w:val="29"/>
        </w:rPr>
        <w:t> </w:t>
      </w:r>
      <w:r>
        <w:rPr>
          <w:color w:val="231F20"/>
        </w:rPr>
        <w:t>the</w:t>
      </w:r>
      <w:r>
        <w:rPr>
          <w:color w:val="231F20"/>
          <w:spacing w:val="29"/>
        </w:rPr>
        <w:t> </w:t>
      </w:r>
      <w:hyperlink w:history="true" w:anchor="_bookmark42">
        <w:r>
          <w:rPr>
            <w:color w:val="231F20"/>
          </w:rPr>
          <w:t>“Event</w:t>
        </w:r>
        <w:r>
          <w:rPr>
            <w:color w:val="231F20"/>
            <w:spacing w:val="29"/>
          </w:rPr>
          <w:t> </w:t>
        </w:r>
        <w:r>
          <w:rPr>
            <w:color w:val="231F20"/>
          </w:rPr>
          <w:t>Details</w:t>
        </w:r>
        <w:r>
          <w:rPr>
            <w:color w:val="231F20"/>
            <w:spacing w:val="29"/>
          </w:rPr>
          <w:t> </w:t>
        </w:r>
        <w:r>
          <w:rPr>
            <w:color w:val="231F20"/>
          </w:rPr>
          <w:t>workspace”</w:t>
        </w:r>
        <w:r>
          <w:rPr>
            <w:color w:val="231F20"/>
            <w:spacing w:val="29"/>
          </w:rPr>
          <w:t> </w:t>
        </w:r>
        <w:r>
          <w:rPr>
            <w:color w:val="231F20"/>
          </w:rPr>
          <w:t>on</w:t>
        </w:r>
        <w:r>
          <w:rPr>
            <w:color w:val="231F20"/>
            <w:spacing w:val="29"/>
          </w:rPr>
          <w:t> </w:t>
        </w:r>
        <w:r>
          <w:rPr>
            <w:color w:val="231F20"/>
          </w:rPr>
          <w:t>page</w:t>
        </w:r>
        <w:r>
          <w:rPr>
            <w:color w:val="231F20"/>
            <w:spacing w:val="29"/>
          </w:rPr>
          <w:t> </w:t>
        </w:r>
        <w:r>
          <w:rPr>
            <w:color w:val="231F20"/>
          </w:rPr>
          <w:t>56</w:t>
        </w:r>
      </w:hyperlink>
      <w:r>
        <w:rPr>
          <w:color w:val="231F20"/>
          <w:spacing w:val="29"/>
        </w:rPr>
        <w:t> </w:t>
      </w:r>
      <w:r>
        <w:rPr>
          <w:color w:val="231F20"/>
        </w:rPr>
        <w:t>or you can right-click a </w:t>
      </w:r>
      <w:r>
        <w:rPr>
          <w:color w:val="231F20"/>
          <w:spacing w:val="15"/>
          <w:position w:val="-1"/>
        </w:rPr>
        <w:drawing>
          <wp:inline distT="0" distB="0" distL="0" distR="0">
            <wp:extent cx="101600" cy="101600"/>
            <wp:effectExtent l="0" t="0" r="0" b="0"/>
            <wp:docPr id="609" name="Image 609"/>
            <wp:cNvGraphicFramePr>
              <a:graphicFrameLocks/>
            </wp:cNvGraphicFramePr>
            <a:graphic>
              <a:graphicData uri="http://schemas.openxmlformats.org/drawingml/2006/picture">
                <pic:pic>
                  <pic:nvPicPr>
                    <pic:cNvPr id="609" name="Image 609"/>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hAnsi="Times New Roman"/>
          <w:color w:val="231F20"/>
          <w:spacing w:val="-16"/>
        </w:rPr>
        <w:t> </w:t>
      </w:r>
      <w:r>
        <w:rPr>
          <w:color w:val="231F20"/>
        </w:rPr>
        <w:t>link indicator and select another of the linked workspaces.</w:t>
      </w:r>
    </w:p>
    <w:p>
      <w:pPr>
        <w:pStyle w:val="Heading4"/>
        <w:spacing w:before="197"/>
        <w:ind w:left="2472"/>
      </w:pPr>
      <w:r>
        <w:rPr>
          <w:color w:val="231F20"/>
        </w:rPr>
        <w:t>My</w:t>
      </w:r>
      <w:r>
        <w:rPr>
          <w:color w:val="231F20"/>
          <w:spacing w:val="-6"/>
        </w:rPr>
        <w:t> </w:t>
      </w:r>
      <w:r>
        <w:rPr>
          <w:color w:val="231F20"/>
        </w:rPr>
        <w:t>Acknowledged</w:t>
      </w:r>
      <w:r>
        <w:rPr>
          <w:color w:val="231F20"/>
          <w:spacing w:val="2"/>
        </w:rPr>
        <w:t> </w:t>
      </w:r>
      <w:r>
        <w:rPr>
          <w:color w:val="231F20"/>
          <w:spacing w:val="-2"/>
        </w:rPr>
        <w:t>Events</w:t>
      </w:r>
    </w:p>
    <w:p>
      <w:pPr>
        <w:pStyle w:val="BodyText"/>
        <w:spacing w:line="213" w:lineRule="auto" w:before="241"/>
        <w:ind w:left="2472" w:right="671"/>
        <w:jc w:val="both"/>
      </w:pPr>
      <w:r>
        <w:rPr>
          <w:color w:val="231F20"/>
        </w:rPr>
        <w:t>The My Acknowledged Events table view displays the events assigned to the current user. This view shows both open and closed events. Closed events </w:t>
      </w:r>
      <w:r>
        <w:rPr>
          <w:color w:val="231F20"/>
        </w:rPr>
        <w:t>are displayed to enable you to access the notes and actions taken against them.</w:t>
      </w:r>
    </w:p>
    <w:p>
      <w:pPr>
        <w:pStyle w:val="BodyText"/>
        <w:spacing w:line="213" w:lineRule="auto" w:before="237"/>
        <w:ind w:left="2472" w:right="202"/>
      </w:pPr>
      <w:r>
        <w:rPr>
          <w:color w:val="231F20"/>
          <w:w w:val="105"/>
        </w:rPr>
        <w:t>For</w:t>
      </w:r>
      <w:r>
        <w:rPr>
          <w:color w:val="231F20"/>
          <w:spacing w:val="-10"/>
          <w:w w:val="105"/>
        </w:rPr>
        <w:t> </w:t>
      </w:r>
      <w:r>
        <w:rPr>
          <w:color w:val="231F20"/>
          <w:w w:val="105"/>
        </w:rPr>
        <w:t>each</w:t>
      </w:r>
      <w:r>
        <w:rPr>
          <w:color w:val="231F20"/>
          <w:spacing w:val="-10"/>
          <w:w w:val="105"/>
        </w:rPr>
        <w:t> </w:t>
      </w:r>
      <w:r>
        <w:rPr>
          <w:color w:val="231F20"/>
          <w:w w:val="105"/>
        </w:rPr>
        <w:t>event</w:t>
      </w:r>
      <w:r>
        <w:rPr>
          <w:color w:val="231F20"/>
          <w:spacing w:val="-9"/>
          <w:w w:val="105"/>
        </w:rPr>
        <w:t> </w:t>
      </w:r>
      <w:r>
        <w:rPr>
          <w:color w:val="231F20"/>
          <w:w w:val="105"/>
        </w:rPr>
        <w:t>record</w:t>
      </w:r>
      <w:r>
        <w:rPr>
          <w:color w:val="231F20"/>
          <w:spacing w:val="-7"/>
          <w:w w:val="105"/>
        </w:rPr>
        <w:t> </w:t>
      </w:r>
      <w:r>
        <w:rPr>
          <w:color w:val="231F20"/>
          <w:w w:val="105"/>
        </w:rPr>
        <w:t>listed,</w:t>
      </w:r>
      <w:r>
        <w:rPr>
          <w:color w:val="231F20"/>
          <w:spacing w:val="-7"/>
          <w:w w:val="105"/>
        </w:rPr>
        <w:t> </w:t>
      </w:r>
      <w:r>
        <w:rPr>
          <w:color w:val="231F20"/>
          <w:w w:val="105"/>
        </w:rPr>
        <w:t>you</w:t>
      </w:r>
      <w:r>
        <w:rPr>
          <w:color w:val="231F20"/>
          <w:spacing w:val="-7"/>
          <w:w w:val="105"/>
        </w:rPr>
        <w:t> </w:t>
      </w:r>
      <w:r>
        <w:rPr>
          <w:color w:val="231F20"/>
          <w:w w:val="105"/>
        </w:rPr>
        <w:t>can</w:t>
      </w:r>
      <w:r>
        <w:rPr>
          <w:color w:val="231F20"/>
          <w:spacing w:val="-7"/>
          <w:w w:val="105"/>
        </w:rPr>
        <w:t> </w:t>
      </w:r>
      <w:r>
        <w:rPr>
          <w:color w:val="231F20"/>
          <w:w w:val="105"/>
        </w:rPr>
        <w:t>click</w:t>
      </w:r>
      <w:r>
        <w:rPr>
          <w:color w:val="231F20"/>
          <w:spacing w:val="-7"/>
          <w:w w:val="105"/>
        </w:rPr>
        <w:t> </w:t>
      </w:r>
      <w:r>
        <w:rPr>
          <w:color w:val="231F20"/>
          <w:w w:val="105"/>
        </w:rPr>
        <w:t>the</w:t>
      </w:r>
      <w:r>
        <w:rPr>
          <w:color w:val="231F20"/>
          <w:spacing w:val="-7"/>
          <w:w w:val="105"/>
        </w:rPr>
        <w:t> </w:t>
      </w:r>
      <w:r>
        <w:rPr>
          <w:color w:val="231F20"/>
          <w:spacing w:val="15"/>
          <w:position w:val="-1"/>
        </w:rPr>
        <w:drawing>
          <wp:inline distT="0" distB="0" distL="0" distR="0">
            <wp:extent cx="101600" cy="101600"/>
            <wp:effectExtent l="0" t="0" r="0" b="0"/>
            <wp:docPr id="610" name="Image 610"/>
            <wp:cNvGraphicFramePr>
              <a:graphicFrameLocks/>
            </wp:cNvGraphicFramePr>
            <a:graphic>
              <a:graphicData uri="http://schemas.openxmlformats.org/drawingml/2006/picture">
                <pic:pic>
                  <pic:nvPicPr>
                    <pic:cNvPr id="610" name="Image 610"/>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hAnsi="Times New Roman"/>
          <w:color w:val="231F20"/>
          <w:spacing w:val="-16"/>
        </w:rPr>
        <w:t> </w:t>
      </w:r>
      <w:r>
        <w:rPr>
          <w:color w:val="231F20"/>
          <w:w w:val="105"/>
        </w:rPr>
        <w:t>link</w:t>
      </w:r>
      <w:r>
        <w:rPr>
          <w:color w:val="231F20"/>
          <w:spacing w:val="-7"/>
          <w:w w:val="105"/>
        </w:rPr>
        <w:t> </w:t>
      </w:r>
      <w:r>
        <w:rPr>
          <w:color w:val="231F20"/>
          <w:w w:val="105"/>
        </w:rPr>
        <w:t>indicator</w:t>
      </w:r>
      <w:r>
        <w:rPr>
          <w:color w:val="231F20"/>
          <w:spacing w:val="-7"/>
          <w:w w:val="105"/>
        </w:rPr>
        <w:t> </w:t>
      </w:r>
      <w:r>
        <w:rPr>
          <w:color w:val="231F20"/>
          <w:w w:val="105"/>
        </w:rPr>
        <w:t>at</w:t>
      </w:r>
      <w:r>
        <w:rPr>
          <w:color w:val="231F20"/>
          <w:spacing w:val="-7"/>
          <w:w w:val="105"/>
        </w:rPr>
        <w:t> </w:t>
      </w:r>
      <w:r>
        <w:rPr>
          <w:color w:val="231F20"/>
          <w:w w:val="105"/>
        </w:rPr>
        <w:t>the</w:t>
      </w:r>
      <w:r>
        <w:rPr>
          <w:color w:val="231F20"/>
          <w:spacing w:val="-7"/>
          <w:w w:val="105"/>
        </w:rPr>
        <w:t> </w:t>
      </w:r>
      <w:r>
        <w:rPr>
          <w:color w:val="231F20"/>
          <w:w w:val="105"/>
        </w:rPr>
        <w:t>beginning</w:t>
      </w:r>
      <w:r>
        <w:rPr>
          <w:color w:val="231F20"/>
          <w:spacing w:val="-7"/>
          <w:w w:val="105"/>
        </w:rPr>
        <w:t> </w:t>
      </w:r>
      <w:r>
        <w:rPr>
          <w:color w:val="231F20"/>
          <w:w w:val="105"/>
        </w:rPr>
        <w:t>of the event row to open the </w:t>
      </w:r>
      <w:hyperlink w:history="true" w:anchor="_bookmark42">
        <w:r>
          <w:rPr>
            <w:color w:val="231F20"/>
            <w:w w:val="105"/>
          </w:rPr>
          <w:t>“Event Details workspace” on page 56</w:t>
        </w:r>
      </w:hyperlink>
      <w:r>
        <w:rPr>
          <w:color w:val="231F20"/>
          <w:w w:val="105"/>
        </w:rPr>
        <w:t> with similar events</w:t>
      </w:r>
      <w:r>
        <w:rPr>
          <w:color w:val="231F20"/>
          <w:spacing w:val="-10"/>
          <w:w w:val="105"/>
        </w:rPr>
        <w:t> </w:t>
      </w:r>
      <w:r>
        <w:rPr>
          <w:color w:val="231F20"/>
          <w:w w:val="105"/>
        </w:rPr>
        <w:t>based</w:t>
      </w:r>
      <w:r>
        <w:rPr>
          <w:color w:val="231F20"/>
          <w:spacing w:val="-10"/>
          <w:w w:val="105"/>
        </w:rPr>
        <w:t> </w:t>
      </w:r>
      <w:r>
        <w:rPr>
          <w:color w:val="231F20"/>
          <w:w w:val="105"/>
        </w:rPr>
        <w:t>on</w:t>
      </w:r>
      <w:r>
        <w:rPr>
          <w:color w:val="231F20"/>
          <w:spacing w:val="-9"/>
          <w:w w:val="105"/>
        </w:rPr>
        <w:t> </w:t>
      </w:r>
      <w:r>
        <w:rPr>
          <w:color w:val="231F20"/>
          <w:w w:val="105"/>
        </w:rPr>
        <w:t>the</w:t>
      </w:r>
      <w:r>
        <w:rPr>
          <w:color w:val="231F20"/>
          <w:spacing w:val="-10"/>
          <w:w w:val="105"/>
        </w:rPr>
        <w:t> </w:t>
      </w:r>
      <w:r>
        <w:rPr>
          <w:color w:val="231F20"/>
          <w:w w:val="105"/>
        </w:rPr>
        <w:t>situation</w:t>
      </w:r>
      <w:r>
        <w:rPr>
          <w:color w:val="231F20"/>
          <w:spacing w:val="-9"/>
          <w:w w:val="105"/>
        </w:rPr>
        <w:t> </w:t>
      </w:r>
      <w:r>
        <w:rPr>
          <w:color w:val="231F20"/>
          <w:w w:val="105"/>
        </w:rPr>
        <w:t>name;</w:t>
      </w:r>
      <w:r>
        <w:rPr>
          <w:color w:val="231F20"/>
          <w:spacing w:val="-10"/>
          <w:w w:val="105"/>
        </w:rPr>
        <w:t> </w:t>
      </w:r>
      <w:r>
        <w:rPr>
          <w:color w:val="231F20"/>
          <w:w w:val="105"/>
        </w:rPr>
        <w:t>or</w:t>
      </w:r>
      <w:r>
        <w:rPr>
          <w:color w:val="231F20"/>
          <w:spacing w:val="-10"/>
          <w:w w:val="105"/>
        </w:rPr>
        <w:t> </w:t>
      </w:r>
      <w:r>
        <w:rPr>
          <w:color w:val="231F20"/>
          <w:w w:val="105"/>
        </w:rPr>
        <w:t>you</w:t>
      </w:r>
      <w:r>
        <w:rPr>
          <w:color w:val="231F20"/>
          <w:spacing w:val="-9"/>
          <w:w w:val="105"/>
        </w:rPr>
        <w:t> </w:t>
      </w:r>
      <w:r>
        <w:rPr>
          <w:color w:val="231F20"/>
          <w:w w:val="105"/>
        </w:rPr>
        <w:t>can</w:t>
      </w:r>
      <w:r>
        <w:rPr>
          <w:color w:val="231F20"/>
          <w:spacing w:val="-10"/>
          <w:w w:val="105"/>
        </w:rPr>
        <w:t> </w:t>
      </w:r>
      <w:r>
        <w:rPr>
          <w:color w:val="231F20"/>
          <w:w w:val="105"/>
        </w:rPr>
        <w:t>right-click</w:t>
      </w:r>
      <w:r>
        <w:rPr>
          <w:color w:val="231F20"/>
          <w:spacing w:val="-9"/>
          <w:w w:val="105"/>
        </w:rPr>
        <w:t> </w:t>
      </w:r>
      <w:r>
        <w:rPr>
          <w:color w:val="231F20"/>
          <w:w w:val="105"/>
        </w:rPr>
        <w:t>the</w:t>
      </w:r>
      <w:r>
        <w:rPr>
          <w:color w:val="231F20"/>
          <w:spacing w:val="-10"/>
          <w:w w:val="105"/>
        </w:rPr>
        <w:t> </w:t>
      </w:r>
      <w:r>
        <w:rPr>
          <w:color w:val="231F20"/>
          <w:w w:val="105"/>
        </w:rPr>
        <w:t>link</w:t>
      </w:r>
      <w:r>
        <w:rPr>
          <w:color w:val="231F20"/>
          <w:spacing w:val="-10"/>
          <w:w w:val="105"/>
        </w:rPr>
        <w:t> </w:t>
      </w:r>
      <w:r>
        <w:rPr>
          <w:color w:val="231F20"/>
          <w:w w:val="105"/>
        </w:rPr>
        <w:t>indicator</w:t>
      </w:r>
      <w:r>
        <w:rPr>
          <w:color w:val="231F20"/>
          <w:spacing w:val="-9"/>
          <w:w w:val="105"/>
        </w:rPr>
        <w:t> </w:t>
      </w:r>
      <w:r>
        <w:rPr>
          <w:color w:val="231F20"/>
          <w:w w:val="105"/>
        </w:rPr>
        <w:t>to</w:t>
      </w:r>
      <w:r>
        <w:rPr>
          <w:color w:val="231F20"/>
          <w:spacing w:val="-10"/>
          <w:w w:val="105"/>
        </w:rPr>
        <w:t> </w:t>
      </w:r>
      <w:r>
        <w:rPr>
          <w:color w:val="231F20"/>
          <w:w w:val="105"/>
        </w:rPr>
        <w:t>see </w:t>
      </w:r>
      <w:r>
        <w:rPr>
          <w:color w:val="231F20"/>
        </w:rPr>
        <w:t>the other Event Details workspaces. The Event Details workspace shows any </w:t>
      </w:r>
      <w:r>
        <w:rPr>
          <w:color w:val="231F20"/>
        </w:rPr>
        <w:t>notes and</w:t>
      </w:r>
      <w:r>
        <w:rPr>
          <w:color w:val="231F20"/>
          <w:spacing w:val="18"/>
        </w:rPr>
        <w:t> </w:t>
      </w:r>
      <w:r>
        <w:rPr>
          <w:color w:val="231F20"/>
        </w:rPr>
        <w:t>attachments</w:t>
      </w:r>
      <w:r>
        <w:rPr>
          <w:color w:val="231F20"/>
          <w:spacing w:val="18"/>
        </w:rPr>
        <w:t> </w:t>
      </w:r>
      <w:r>
        <w:rPr>
          <w:color w:val="231F20"/>
        </w:rPr>
        <w:t>for</w:t>
      </w:r>
      <w:r>
        <w:rPr>
          <w:color w:val="231F20"/>
          <w:spacing w:val="18"/>
        </w:rPr>
        <w:t> </w:t>
      </w:r>
      <w:r>
        <w:rPr>
          <w:color w:val="231F20"/>
        </w:rPr>
        <w:t>the</w:t>
      </w:r>
      <w:r>
        <w:rPr>
          <w:color w:val="231F20"/>
          <w:spacing w:val="18"/>
        </w:rPr>
        <w:t> </w:t>
      </w:r>
      <w:r>
        <w:rPr>
          <w:color w:val="231F20"/>
        </w:rPr>
        <w:t>acknowledged</w:t>
      </w:r>
      <w:r>
        <w:rPr>
          <w:color w:val="231F20"/>
          <w:spacing w:val="18"/>
        </w:rPr>
        <w:t> </w:t>
      </w:r>
      <w:r>
        <w:rPr>
          <w:color w:val="231F20"/>
        </w:rPr>
        <w:t>event,</w:t>
      </w:r>
      <w:r>
        <w:rPr>
          <w:color w:val="231F20"/>
          <w:spacing w:val="18"/>
        </w:rPr>
        <w:t> </w:t>
      </w:r>
      <w:r>
        <w:rPr>
          <w:color w:val="231F20"/>
        </w:rPr>
        <w:t>along</w:t>
      </w:r>
      <w:r>
        <w:rPr>
          <w:color w:val="231F20"/>
          <w:spacing w:val="18"/>
        </w:rPr>
        <w:t> </w:t>
      </w:r>
      <w:r>
        <w:rPr>
          <w:color w:val="231F20"/>
        </w:rPr>
        <w:t>with</w:t>
      </w:r>
      <w:r>
        <w:rPr>
          <w:color w:val="231F20"/>
          <w:spacing w:val="18"/>
        </w:rPr>
        <w:t> </w:t>
      </w:r>
      <w:r>
        <w:rPr>
          <w:color w:val="231F20"/>
        </w:rPr>
        <w:t>other</w:t>
      </w:r>
      <w:r>
        <w:rPr>
          <w:color w:val="231F20"/>
          <w:spacing w:val="18"/>
        </w:rPr>
        <w:t> </w:t>
      </w:r>
      <w:r>
        <w:rPr>
          <w:color w:val="231F20"/>
        </w:rPr>
        <w:t>related</w:t>
      </w:r>
      <w:r>
        <w:rPr>
          <w:color w:val="231F20"/>
          <w:spacing w:val="18"/>
        </w:rPr>
        <w:t> </w:t>
      </w:r>
      <w:r>
        <w:rPr>
          <w:color w:val="231F20"/>
        </w:rPr>
        <w:t>events</w:t>
      </w:r>
      <w:r>
        <w:rPr>
          <w:color w:val="231F20"/>
          <w:spacing w:val="18"/>
        </w:rPr>
        <w:t> </w:t>
      </w:r>
      <w:r>
        <w:rPr>
          <w:color w:val="231F20"/>
        </w:rPr>
        <w:t>and </w:t>
      </w:r>
      <w:r>
        <w:rPr>
          <w:color w:val="231F20"/>
          <w:w w:val="105"/>
        </w:rPr>
        <w:t>a</w:t>
      </w:r>
      <w:r>
        <w:rPr>
          <w:color w:val="231F20"/>
          <w:spacing w:val="-4"/>
          <w:w w:val="105"/>
        </w:rPr>
        <w:t> </w:t>
      </w:r>
      <w:r>
        <w:rPr>
          <w:color w:val="231F20"/>
          <w:w w:val="105"/>
        </w:rPr>
        <w:t>link</w:t>
      </w:r>
      <w:r>
        <w:rPr>
          <w:color w:val="231F20"/>
          <w:spacing w:val="-4"/>
          <w:w w:val="105"/>
        </w:rPr>
        <w:t> </w:t>
      </w:r>
      <w:r>
        <w:rPr>
          <w:color w:val="231F20"/>
          <w:w w:val="105"/>
        </w:rPr>
        <w:t>to</w:t>
      </w:r>
      <w:r>
        <w:rPr>
          <w:color w:val="231F20"/>
          <w:spacing w:val="-4"/>
          <w:w w:val="105"/>
        </w:rPr>
        <w:t> </w:t>
      </w:r>
      <w:r>
        <w:rPr>
          <w:color w:val="231F20"/>
          <w:w w:val="105"/>
        </w:rPr>
        <w:t>the</w:t>
      </w:r>
      <w:r>
        <w:rPr>
          <w:color w:val="231F20"/>
          <w:spacing w:val="-4"/>
          <w:w w:val="105"/>
        </w:rPr>
        <w:t> </w:t>
      </w:r>
      <w:hyperlink r:id="rId171">
        <w:r>
          <w:rPr>
            <w:color w:val="231F20"/>
            <w:w w:val="105"/>
          </w:rPr>
          <w:t>IBM</w:t>
        </w:r>
        <w:r>
          <w:rPr>
            <w:color w:val="231F20"/>
            <w:spacing w:val="-4"/>
            <w:w w:val="105"/>
          </w:rPr>
          <w:t> </w:t>
        </w:r>
        <w:r>
          <w:rPr>
            <w:color w:val="231F20"/>
            <w:w w:val="105"/>
          </w:rPr>
          <w:t>Integrated</w:t>
        </w:r>
        <w:r>
          <w:rPr>
            <w:color w:val="231F20"/>
            <w:spacing w:val="-4"/>
            <w:w w:val="105"/>
          </w:rPr>
          <w:t> </w:t>
        </w:r>
        <w:r>
          <w:rPr>
            <w:color w:val="231F20"/>
            <w:w w:val="105"/>
          </w:rPr>
          <w:t>Service</w:t>
        </w:r>
        <w:r>
          <w:rPr>
            <w:color w:val="231F20"/>
            <w:spacing w:val="-4"/>
            <w:w w:val="105"/>
          </w:rPr>
          <w:t> </w:t>
        </w:r>
        <w:r>
          <w:rPr>
            <w:color w:val="231F20"/>
            <w:w w:val="105"/>
          </w:rPr>
          <w:t>Management</w:t>
        </w:r>
        <w:r>
          <w:rPr>
            <w:color w:val="231F20"/>
            <w:spacing w:val="-4"/>
            <w:w w:val="105"/>
          </w:rPr>
          <w:t> </w:t>
        </w:r>
        <w:r>
          <w:rPr>
            <w:color w:val="231F20"/>
            <w:w w:val="105"/>
          </w:rPr>
          <w:t>Library</w:t>
        </w:r>
      </w:hyperlink>
      <w:r>
        <w:rPr>
          <w:color w:val="231F20"/>
          <w:spacing w:val="-4"/>
          <w:w w:val="105"/>
        </w:rPr>
        <w:t> </w:t>
      </w:r>
      <w:hyperlink r:id="rId172">
        <w:r>
          <w:rPr>
            <w:color w:val="231F20"/>
            <w:w w:val="105"/>
          </w:rPr>
          <w:t>(http://www.ibm.com/</w:t>
        </w:r>
      </w:hyperlink>
      <w:r>
        <w:rPr>
          <w:color w:val="231F20"/>
          <w:w w:val="105"/>
        </w:rPr>
        <w:t> software/brandcatalog/ismlibrary) where you can find analytical tools for </w:t>
      </w:r>
      <w:r>
        <w:rPr>
          <w:color w:val="231F20"/>
          <w:spacing w:val="-2"/>
          <w:w w:val="105"/>
        </w:rPr>
        <w:t>situations.</w:t>
      </w:r>
    </w:p>
    <w:p>
      <w:pPr>
        <w:pStyle w:val="BodyText"/>
        <w:spacing w:line="213" w:lineRule="auto" w:before="235"/>
        <w:ind w:left="2472" w:right="461"/>
      </w:pPr>
      <w:r>
        <w:rPr>
          <w:color w:val="231F20"/>
        </w:rPr>
        <w:t>If the event is from an incident management agent (such as </w:t>
      </w:r>
      <w:hyperlink r:id="rId173">
        <w:r>
          <w:rPr>
            <w:color w:val="231F20"/>
          </w:rPr>
          <w:t>IBM Information</w:t>
        </w:r>
      </w:hyperlink>
      <w:r>
        <w:rPr>
          <w:color w:val="231F20"/>
        </w:rPr>
        <w:t> </w:t>
      </w:r>
      <w:hyperlink r:id="rId173">
        <w:r>
          <w:rPr>
            <w:color w:val="231F20"/>
          </w:rPr>
          <w:t>Management),</w:t>
        </w:r>
      </w:hyperlink>
      <w:r>
        <w:rPr>
          <w:color w:val="231F20"/>
        </w:rPr>
        <w:t> you will also see a Reference ID column and, when you open </w:t>
      </w:r>
      <w:r>
        <w:rPr>
          <w:color w:val="231F20"/>
        </w:rPr>
        <w:t>the pop-up menu to select a linked workspace, a link to the Incident Details </w:t>
      </w:r>
      <w:r>
        <w:rPr>
          <w:color w:val="231F20"/>
          <w:spacing w:val="-2"/>
        </w:rPr>
        <w:t>workspace.</w:t>
      </w:r>
    </w:p>
    <w:p>
      <w:pPr>
        <w:pStyle w:val="Heading4"/>
        <w:spacing w:before="198"/>
        <w:ind w:left="2472"/>
      </w:pPr>
      <w:r>
        <w:rPr>
          <w:color w:val="231F20"/>
        </w:rPr>
        <w:t>Message</w:t>
      </w:r>
      <w:r>
        <w:rPr>
          <w:color w:val="231F20"/>
          <w:spacing w:val="2"/>
        </w:rPr>
        <w:t> </w:t>
      </w:r>
      <w:r>
        <w:rPr>
          <w:color w:val="231F20"/>
          <w:spacing w:val="-5"/>
        </w:rPr>
        <w:t>Log</w:t>
      </w:r>
    </w:p>
    <w:p>
      <w:pPr>
        <w:spacing w:line="213" w:lineRule="auto" w:before="241"/>
        <w:ind w:left="2472" w:right="0" w:firstLine="0"/>
        <w:jc w:val="left"/>
        <w:rPr>
          <w:sz w:val="20"/>
        </w:rPr>
      </w:pPr>
      <w:r>
        <w:rPr>
          <w:color w:val="231F20"/>
          <w:sz w:val="20"/>
        </w:rPr>
        <w:t>The message log view displays a row for every situation in the monitored network whose status changes to any of the following: </w:t>
      </w:r>
      <w:r>
        <w:rPr>
          <w:rFonts w:ascii="Book Antiqua"/>
          <w:i/>
          <w:color w:val="231F20"/>
          <w:sz w:val="20"/>
        </w:rPr>
        <w:t>Open</w:t>
      </w:r>
      <w:r>
        <w:rPr>
          <w:color w:val="231F20"/>
          <w:sz w:val="20"/>
        </w:rPr>
        <w:t>, </w:t>
      </w:r>
      <w:r>
        <w:rPr>
          <w:rFonts w:ascii="Book Antiqua"/>
          <w:i/>
          <w:color w:val="231F20"/>
          <w:sz w:val="20"/>
        </w:rPr>
        <w:t>Closed</w:t>
      </w:r>
      <w:r>
        <w:rPr>
          <w:color w:val="231F20"/>
          <w:sz w:val="20"/>
        </w:rPr>
        <w:t>, </w:t>
      </w:r>
      <w:r>
        <w:rPr>
          <w:rFonts w:ascii="Book Antiqua"/>
          <w:i/>
          <w:color w:val="231F20"/>
          <w:sz w:val="20"/>
        </w:rPr>
        <w:t>Stopped</w:t>
      </w:r>
      <w:r>
        <w:rPr>
          <w:color w:val="231F20"/>
          <w:sz w:val="20"/>
        </w:rPr>
        <w:t>, </w:t>
      </w:r>
      <w:r>
        <w:rPr>
          <w:rFonts w:ascii="Book Antiqua"/>
          <w:i/>
          <w:color w:val="231F20"/>
          <w:sz w:val="20"/>
        </w:rPr>
        <w:t>Problem</w:t>
      </w:r>
      <w:r>
        <w:rPr>
          <w:color w:val="231F20"/>
          <w:sz w:val="20"/>
        </w:rPr>
        <w:t>, </w:t>
      </w:r>
      <w:r>
        <w:rPr>
          <w:rFonts w:ascii="Book Antiqua"/>
          <w:i/>
          <w:color w:val="231F20"/>
          <w:sz w:val="20"/>
        </w:rPr>
        <w:t>Acknowledged</w:t>
      </w:r>
      <w:r>
        <w:rPr>
          <w:color w:val="231F20"/>
          <w:sz w:val="20"/>
        </w:rPr>
        <w:t>, </w:t>
      </w:r>
      <w:r>
        <w:rPr>
          <w:rFonts w:ascii="Book Antiqua"/>
          <w:i/>
          <w:color w:val="231F20"/>
          <w:sz w:val="20"/>
        </w:rPr>
        <w:t>Expired</w:t>
      </w:r>
      <w:r>
        <w:rPr>
          <w:color w:val="231F20"/>
          <w:sz w:val="20"/>
        </w:rPr>
        <w:t>, or </w:t>
      </w:r>
      <w:r>
        <w:rPr>
          <w:rFonts w:ascii="Book Antiqua"/>
          <w:i/>
          <w:color w:val="231F20"/>
          <w:sz w:val="20"/>
        </w:rPr>
        <w:t>Reopened</w:t>
      </w:r>
      <w:r>
        <w:rPr>
          <w:color w:val="231F20"/>
          <w:sz w:val="20"/>
        </w:rPr>
        <w:t>.</w:t>
      </w:r>
    </w:p>
    <w:p>
      <w:pPr>
        <w:pStyle w:val="Heading4"/>
        <w:spacing w:before="199"/>
        <w:ind w:left="2472"/>
      </w:pPr>
      <w:r>
        <w:rPr>
          <w:color w:val="231F20"/>
        </w:rPr>
        <w:t>Open</w:t>
      </w:r>
      <w:r>
        <w:rPr>
          <w:color w:val="231F20"/>
          <w:spacing w:val="7"/>
        </w:rPr>
        <w:t> </w:t>
      </w:r>
      <w:r>
        <w:rPr>
          <w:color w:val="231F20"/>
        </w:rPr>
        <w:t>Situations</w:t>
      </w:r>
      <w:r>
        <w:rPr>
          <w:color w:val="231F20"/>
          <w:spacing w:val="7"/>
        </w:rPr>
        <w:t> </w:t>
      </w:r>
      <w:r>
        <w:rPr>
          <w:color w:val="231F20"/>
        </w:rPr>
        <w:t>Counts</w:t>
      </w:r>
      <w:r>
        <w:rPr>
          <w:color w:val="231F20"/>
          <w:spacing w:val="7"/>
        </w:rPr>
        <w:t> </w:t>
      </w:r>
      <w:r>
        <w:rPr>
          <w:color w:val="231F20"/>
        </w:rPr>
        <w:t>-</w:t>
      </w:r>
      <w:r>
        <w:rPr>
          <w:color w:val="231F20"/>
          <w:spacing w:val="8"/>
        </w:rPr>
        <w:t> </w:t>
      </w:r>
      <w:r>
        <w:rPr>
          <w:color w:val="231F20"/>
        </w:rPr>
        <w:t>Last</w:t>
      </w:r>
      <w:r>
        <w:rPr>
          <w:color w:val="231F20"/>
          <w:spacing w:val="7"/>
        </w:rPr>
        <w:t> </w:t>
      </w:r>
      <w:r>
        <w:rPr>
          <w:color w:val="231F20"/>
        </w:rPr>
        <w:t>24</w:t>
      </w:r>
      <w:r>
        <w:rPr>
          <w:color w:val="231F20"/>
          <w:spacing w:val="7"/>
        </w:rPr>
        <w:t> </w:t>
      </w:r>
      <w:r>
        <w:rPr>
          <w:color w:val="231F20"/>
          <w:spacing w:val="-2"/>
        </w:rPr>
        <w:t>Hours</w:t>
      </w:r>
    </w:p>
    <w:p>
      <w:pPr>
        <w:pStyle w:val="BodyText"/>
        <w:spacing w:line="213" w:lineRule="auto" w:before="242"/>
        <w:ind w:left="2472" w:right="545"/>
      </w:pPr>
      <w:r>
        <w:rPr>
          <w:color w:val="231F20"/>
        </w:rPr>
        <w:t>The Open Situations Counts - Last 24 Hours is a chart view which displays a </w:t>
      </w:r>
      <w:r>
        <w:rPr>
          <w:color w:val="231F20"/>
        </w:rPr>
        <w:t>bar</w:t>
      </w:r>
      <w:r>
        <w:rPr>
          <w:color w:val="231F20"/>
          <w:spacing w:val="40"/>
        </w:rPr>
        <w:t> </w:t>
      </w:r>
      <w:r>
        <w:rPr>
          <w:color w:val="231F20"/>
        </w:rPr>
        <w:t>for every situation in the monitored network that has become true in the past 24 hours. The bar size indicates the number of times a situation event has been opened during this time.</w:t>
      </w:r>
    </w:p>
    <w:p>
      <w:pPr>
        <w:spacing w:after="0" w:line="213" w:lineRule="auto"/>
        <w:sectPr>
          <w:pgSz w:w="12240" w:h="15840"/>
          <w:pgMar w:header="0" w:footer="736" w:top="1180" w:bottom="920" w:left="1000" w:right="1060"/>
        </w:sectPr>
      </w:pPr>
    </w:p>
    <w:p>
      <w:pPr>
        <w:pStyle w:val="Heading4"/>
        <w:spacing w:before="86"/>
      </w:pPr>
      <w:bookmarkStart w:name="_bookmark42" w:id="96"/>
      <w:bookmarkEnd w:id="96"/>
      <w:r>
        <w:rPr>
          <w:b w:val="0"/>
        </w:rPr>
      </w:r>
      <w:r>
        <w:rPr>
          <w:color w:val="231F20"/>
        </w:rPr>
        <w:t>More</w:t>
      </w:r>
      <w:r>
        <w:rPr>
          <w:color w:val="231F20"/>
          <w:spacing w:val="2"/>
        </w:rPr>
        <w:t> </w:t>
      </w:r>
      <w:r>
        <w:rPr>
          <w:color w:val="231F20"/>
        </w:rPr>
        <w:t>predefined</w:t>
      </w:r>
      <w:r>
        <w:rPr>
          <w:color w:val="231F20"/>
          <w:spacing w:val="4"/>
        </w:rPr>
        <w:t> </w:t>
      </w:r>
      <w:r>
        <w:rPr>
          <w:color w:val="231F20"/>
          <w:spacing w:val="-2"/>
        </w:rPr>
        <w:t>workspaces</w:t>
      </w:r>
    </w:p>
    <w:p>
      <w:pPr>
        <w:pStyle w:val="BodyText"/>
        <w:spacing w:line="213" w:lineRule="auto" w:before="242"/>
        <w:ind w:left="2232" w:right="493"/>
      </w:pPr>
      <w:r>
        <w:rPr>
          <w:color w:val="231F20"/>
        </w:rPr>
        <w:t>More predefined workspaces for the Enterprise Navigator item are accessible through the </w:t>
      </w:r>
      <w:r>
        <w:rPr>
          <w:color w:val="231F20"/>
          <w:spacing w:val="16"/>
          <w:position w:val="-1"/>
        </w:rPr>
        <w:drawing>
          <wp:inline distT="0" distB="0" distL="0" distR="0">
            <wp:extent cx="101600" cy="101600"/>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Workspace Gallery</w:t>
      </w:r>
      <w:r>
        <w:rPr>
          <w:color w:val="231F20"/>
        </w:rPr>
        <w:t>, or by selecting the </w:t>
      </w:r>
      <w:r>
        <w:rPr>
          <w:rFonts w:ascii="Book Antiqua"/>
          <w:b/>
          <w:color w:val="231F20"/>
        </w:rPr>
        <w:t>Workspaces </w:t>
      </w:r>
      <w:r>
        <w:rPr>
          <w:color w:val="231F20"/>
        </w:rPr>
        <w:t>menu option. In addition, your monitoring product might have workspaces at the Enterprise level. Consult your product help for more information.</w:t>
      </w:r>
    </w:p>
    <w:p>
      <w:pPr>
        <w:pStyle w:val="BodyText"/>
        <w:spacing w:before="4"/>
        <w:rPr>
          <w:sz w:val="16"/>
        </w:rPr>
      </w:pPr>
      <w:r>
        <w:rPr/>
        <mc:AlternateContent>
          <mc:Choice Requires="wps">
            <w:drawing>
              <wp:anchor distT="0" distB="0" distL="0" distR="0" allowOverlap="1" layoutInCell="1" locked="0" behindDoc="1" simplePos="0" relativeHeight="487651840">
                <wp:simplePos x="0" y="0"/>
                <wp:positionH relativeFrom="page">
                  <wp:posOffset>760323</wp:posOffset>
                </wp:positionH>
                <wp:positionV relativeFrom="paragraph">
                  <wp:posOffset>154895</wp:posOffset>
                </wp:positionV>
                <wp:extent cx="6082665" cy="1270"/>
                <wp:effectExtent l="0" t="0" r="0" b="0"/>
                <wp:wrapTopAndBottom/>
                <wp:docPr id="612" name="Graphic 612"/>
                <wp:cNvGraphicFramePr>
                  <a:graphicFrameLocks/>
                </wp:cNvGraphicFramePr>
                <a:graphic>
                  <a:graphicData uri="http://schemas.microsoft.com/office/word/2010/wordprocessingShape">
                    <wps:wsp>
                      <wps:cNvPr id="612" name="Graphic 61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96461pt;width:478.95pt;height:.1pt;mso-position-horizontal-relative:page;mso-position-vertical-relative:paragraph;z-index:-15664640;mso-wrap-distance-left:0;mso-wrap-distance-right:0" id="docshape95" coordorigin="1197,244" coordsize="9579,0" path="m1197,244l10776,244e" filled="false" stroked="true" strokeweight=".499pt" strokecolor="#231f20">
                <v:path arrowok="t"/>
                <v:stroke dashstyle="solid"/>
                <w10:wrap type="topAndBottom"/>
              </v:shape>
            </w:pict>
          </mc:Fallback>
        </mc:AlternateContent>
      </w:r>
    </w:p>
    <w:p>
      <w:pPr>
        <w:pStyle w:val="Heading3"/>
        <w:ind w:left="0" w:right="6673"/>
        <w:jc w:val="right"/>
      </w:pPr>
      <w:r>
        <w:rPr>
          <w:color w:val="231F20"/>
        </w:rPr>
        <w:t>Event</w:t>
      </w:r>
      <w:r>
        <w:rPr>
          <w:color w:val="231F20"/>
          <w:spacing w:val="6"/>
        </w:rPr>
        <w:t> </w:t>
      </w:r>
      <w:r>
        <w:rPr>
          <w:color w:val="231F20"/>
        </w:rPr>
        <w:t>Details</w:t>
      </w:r>
      <w:r>
        <w:rPr>
          <w:color w:val="231F20"/>
          <w:spacing w:val="7"/>
        </w:rPr>
        <w:t> </w:t>
      </w:r>
      <w:r>
        <w:rPr>
          <w:color w:val="231F20"/>
          <w:spacing w:val="-2"/>
        </w:rPr>
        <w:t>workspace</w:t>
      </w:r>
    </w:p>
    <w:p>
      <w:pPr>
        <w:pStyle w:val="BodyText"/>
        <w:spacing w:line="213" w:lineRule="auto" w:before="138"/>
        <w:ind w:left="2232" w:right="545"/>
      </w:pPr>
      <w:r>
        <w:rPr>
          <w:color w:val="231F20"/>
        </w:rPr>
        <w:t>The Enterprise Status workspace (default for the Enterprise Navigator item)</w:t>
      </w:r>
      <w:r>
        <w:rPr>
          <w:color w:val="231F20"/>
          <w:spacing w:val="40"/>
        </w:rPr>
        <w:t> </w:t>
      </w:r>
      <w:r>
        <w:rPr>
          <w:color w:val="231F20"/>
        </w:rPr>
        <w:t>includes the Situation Event Console and My Acknowledged Events views, each </w:t>
      </w:r>
      <w:r>
        <w:rPr>
          <w:color w:val="231F20"/>
        </w:rPr>
        <w:t>of which has links to the Event Details workspace. The Event Details workspace provides detailed information about the event row and has four views.</w:t>
      </w:r>
    </w:p>
    <w:p>
      <w:pPr>
        <w:pStyle w:val="Heading4"/>
        <w:spacing w:before="199"/>
      </w:pPr>
      <w:r>
        <w:rPr>
          <w:color w:val="231F20"/>
        </w:rPr>
        <w:t>Selected</w:t>
      </w:r>
      <w:r>
        <w:rPr>
          <w:color w:val="231F20"/>
          <w:spacing w:val="3"/>
        </w:rPr>
        <w:t> </w:t>
      </w:r>
      <w:r>
        <w:rPr>
          <w:color w:val="231F20"/>
          <w:spacing w:val="-2"/>
        </w:rPr>
        <w:t>Event</w:t>
      </w:r>
    </w:p>
    <w:p>
      <w:pPr>
        <w:pStyle w:val="BodyText"/>
        <w:spacing w:line="213" w:lineRule="auto" w:before="241"/>
        <w:ind w:left="2232" w:right="636"/>
      </w:pPr>
      <w:r>
        <w:rPr>
          <w:color w:val="231F20"/>
        </w:rPr>
        <w:t>The Selected Event view provides reference information about the event. You can click the </w:t>
      </w:r>
      <w:r>
        <w:rPr>
          <w:color w:val="231F20"/>
          <w:spacing w:val="16"/>
          <w:position w:val="-1"/>
        </w:rPr>
        <w:drawing>
          <wp:inline distT="0" distB="0" distL="0" distR="0">
            <wp:extent cx="101600" cy="101600"/>
            <wp:effectExtent l="0" t="0" r="0" b="0"/>
            <wp:docPr id="613" name="Image 613"/>
            <wp:cNvGraphicFramePr>
              <a:graphicFrameLocks/>
            </wp:cNvGraphicFramePr>
            <a:graphic>
              <a:graphicData uri="http://schemas.openxmlformats.org/drawingml/2006/picture">
                <pic:pic>
                  <pic:nvPicPr>
                    <pic:cNvPr id="613" name="Image 61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link indicator to see the other two Event Details workspaces, then</w:t>
      </w:r>
      <w:r>
        <w:rPr>
          <w:color w:val="231F20"/>
          <w:spacing w:val="40"/>
        </w:rPr>
        <w:t> </w:t>
      </w:r>
      <w:r>
        <w:rPr>
          <w:color w:val="231F20"/>
        </w:rPr>
        <w:t>select one to open it.</w:t>
      </w:r>
    </w:p>
    <w:p>
      <w:pPr>
        <w:pStyle w:val="Heading4"/>
        <w:spacing w:before="199"/>
      </w:pPr>
      <w:r>
        <w:rPr>
          <w:color w:val="231F20"/>
        </w:rPr>
        <w:t>Similar</w:t>
      </w:r>
      <w:r>
        <w:rPr>
          <w:color w:val="231F20"/>
          <w:spacing w:val="5"/>
        </w:rPr>
        <w:t> </w:t>
      </w:r>
      <w:r>
        <w:rPr>
          <w:color w:val="231F20"/>
        </w:rPr>
        <w:t>Events</w:t>
      </w:r>
      <w:r>
        <w:rPr>
          <w:color w:val="231F20"/>
          <w:spacing w:val="5"/>
        </w:rPr>
        <w:t> </w:t>
      </w:r>
      <w:r>
        <w:rPr>
          <w:color w:val="231F20"/>
          <w:spacing w:val="-4"/>
        </w:rPr>
        <w:t>by...</w:t>
      </w:r>
    </w:p>
    <w:p>
      <w:pPr>
        <w:pStyle w:val="BodyText"/>
        <w:spacing w:line="213" w:lineRule="auto" w:before="242"/>
        <w:ind w:left="2232" w:right="636"/>
      </w:pPr>
      <w:r>
        <w:rPr>
          <w:color w:val="231F20"/>
        </w:rPr>
        <w:t>This is the view that distinguishes each type of Event Details workspace. The</w:t>
      </w:r>
      <w:r>
        <w:rPr>
          <w:color w:val="231F20"/>
          <w:spacing w:val="80"/>
        </w:rPr>
        <w:t> </w:t>
      </w:r>
      <w:r>
        <w:rPr>
          <w:color w:val="231F20"/>
        </w:rPr>
        <w:t>events will be similar by situation name, by source, or by resource. This view enables you to identify event patterns to help diagnose the root cause, whether </w:t>
      </w:r>
      <w:r>
        <w:rPr>
          <w:color w:val="231F20"/>
        </w:rPr>
        <w:t>by condition, by managed system or by the specific resource being monitored.</w:t>
      </w:r>
    </w:p>
    <w:p>
      <w:pPr>
        <w:pStyle w:val="Heading6"/>
        <w:spacing w:before="115"/>
        <w:ind w:left="2232"/>
      </w:pPr>
      <w:r>
        <w:rPr>
          <w:color w:val="231F20"/>
        </w:rPr>
        <w:t>Similar</w:t>
      </w:r>
      <w:r>
        <w:rPr>
          <w:color w:val="231F20"/>
          <w:spacing w:val="10"/>
        </w:rPr>
        <w:t> </w:t>
      </w:r>
      <w:r>
        <w:rPr>
          <w:color w:val="231F20"/>
        </w:rPr>
        <w:t>Events</w:t>
      </w:r>
      <w:r>
        <w:rPr>
          <w:color w:val="231F20"/>
          <w:spacing w:val="10"/>
        </w:rPr>
        <w:t> </w:t>
      </w:r>
      <w:r>
        <w:rPr>
          <w:color w:val="231F20"/>
        </w:rPr>
        <w:t>by</w:t>
      </w:r>
      <w:r>
        <w:rPr>
          <w:color w:val="231F20"/>
          <w:spacing w:val="10"/>
        </w:rPr>
        <w:t> </w:t>
      </w:r>
      <w:r>
        <w:rPr>
          <w:color w:val="231F20"/>
        </w:rPr>
        <w:t>Situation</w:t>
      </w:r>
      <w:r>
        <w:rPr>
          <w:color w:val="231F20"/>
          <w:spacing w:val="10"/>
        </w:rPr>
        <w:t> </w:t>
      </w:r>
      <w:r>
        <w:rPr>
          <w:color w:val="231F20"/>
          <w:spacing w:val="-4"/>
        </w:rPr>
        <w:t>Name</w:t>
      </w:r>
    </w:p>
    <w:p>
      <w:pPr>
        <w:pStyle w:val="BodyText"/>
        <w:spacing w:line="213" w:lineRule="auto" w:before="12"/>
        <w:ind w:left="2951" w:right="545"/>
      </w:pPr>
      <w:r>
        <w:rPr>
          <w:color w:val="231F20"/>
        </w:rPr>
        <w:t>This view lists all the events for the same situation. Such events would occur when the situation is true on more than one managed system or </w:t>
      </w:r>
      <w:r>
        <w:rPr>
          <w:color w:val="231F20"/>
        </w:rPr>
        <w:t>the situation is true on the same managed system more than once (a display item was defined in the Advanced Situation options window).</w:t>
      </w:r>
    </w:p>
    <w:p>
      <w:pPr>
        <w:pStyle w:val="Heading6"/>
        <w:spacing w:before="116"/>
        <w:ind w:left="2232"/>
      </w:pPr>
      <w:r>
        <w:rPr>
          <w:color w:val="231F20"/>
        </w:rPr>
        <w:t>Similar</w:t>
      </w:r>
      <w:r>
        <w:rPr>
          <w:color w:val="231F20"/>
          <w:spacing w:val="10"/>
        </w:rPr>
        <w:t> </w:t>
      </w:r>
      <w:r>
        <w:rPr>
          <w:color w:val="231F20"/>
        </w:rPr>
        <w:t>Events</w:t>
      </w:r>
      <w:r>
        <w:rPr>
          <w:color w:val="231F20"/>
          <w:spacing w:val="11"/>
        </w:rPr>
        <w:t> </w:t>
      </w:r>
      <w:r>
        <w:rPr>
          <w:color w:val="231F20"/>
        </w:rPr>
        <w:t>by</w:t>
      </w:r>
      <w:r>
        <w:rPr>
          <w:color w:val="231F20"/>
          <w:spacing w:val="11"/>
        </w:rPr>
        <w:t> </w:t>
      </w:r>
      <w:r>
        <w:rPr>
          <w:color w:val="231F20"/>
          <w:spacing w:val="-2"/>
        </w:rPr>
        <w:t>Source</w:t>
      </w:r>
    </w:p>
    <w:p>
      <w:pPr>
        <w:pStyle w:val="BodyText"/>
        <w:spacing w:line="213" w:lineRule="auto" w:before="11"/>
        <w:ind w:left="2951" w:right="636"/>
      </w:pPr>
      <w:r>
        <w:rPr>
          <w:color w:val="231F20"/>
        </w:rPr>
        <w:t>This view list all the events from the same managed system as the </w:t>
      </w:r>
      <w:r>
        <w:rPr>
          <w:color w:val="231F20"/>
        </w:rPr>
        <w:t>event you are viewing.</w:t>
      </w:r>
    </w:p>
    <w:p>
      <w:pPr>
        <w:pStyle w:val="Heading6"/>
        <w:ind w:left="2232"/>
      </w:pPr>
      <w:r>
        <w:rPr>
          <w:color w:val="231F20"/>
        </w:rPr>
        <w:t>Similar</w:t>
      </w:r>
      <w:r>
        <w:rPr>
          <w:color w:val="231F20"/>
          <w:spacing w:val="10"/>
        </w:rPr>
        <w:t> </w:t>
      </w:r>
      <w:r>
        <w:rPr>
          <w:color w:val="231F20"/>
        </w:rPr>
        <w:t>Events</w:t>
      </w:r>
      <w:r>
        <w:rPr>
          <w:color w:val="231F20"/>
          <w:spacing w:val="11"/>
        </w:rPr>
        <w:t> </w:t>
      </w:r>
      <w:r>
        <w:rPr>
          <w:color w:val="231F20"/>
        </w:rPr>
        <w:t>by</w:t>
      </w:r>
      <w:r>
        <w:rPr>
          <w:color w:val="231F20"/>
          <w:spacing w:val="11"/>
        </w:rPr>
        <w:t> </w:t>
      </w:r>
      <w:r>
        <w:rPr>
          <w:color w:val="231F20"/>
          <w:spacing w:val="-2"/>
        </w:rPr>
        <w:t>Resource</w:t>
      </w:r>
    </w:p>
    <w:p>
      <w:pPr>
        <w:pStyle w:val="BodyText"/>
        <w:spacing w:line="213" w:lineRule="auto" w:before="11"/>
        <w:ind w:left="2951" w:right="545"/>
      </w:pPr>
      <w:r>
        <w:rPr>
          <w:color w:val="231F20"/>
        </w:rPr>
        <w:t>This view displays all the events for situations that were defined with </w:t>
      </w:r>
      <w:r>
        <w:rPr>
          <w:color w:val="231F20"/>
        </w:rPr>
        <w:t>the same attribute group as the one used for this situation.</w:t>
      </w:r>
    </w:p>
    <w:p>
      <w:pPr>
        <w:pStyle w:val="Heading4"/>
      </w:pPr>
      <w:r>
        <w:rPr>
          <w:color w:val="231F20"/>
        </w:rPr>
        <w:t>Event</w:t>
      </w:r>
      <w:r>
        <w:rPr>
          <w:color w:val="231F20"/>
          <w:spacing w:val="6"/>
        </w:rPr>
        <w:t> </w:t>
      </w:r>
      <w:r>
        <w:rPr>
          <w:color w:val="231F20"/>
          <w:spacing w:val="-2"/>
        </w:rPr>
        <w:t>Notes</w:t>
      </w:r>
    </w:p>
    <w:p>
      <w:pPr>
        <w:pStyle w:val="BodyText"/>
        <w:spacing w:line="213" w:lineRule="auto" w:before="241"/>
        <w:ind w:left="2232" w:right="385"/>
      </w:pPr>
      <w:r>
        <w:rPr>
          <w:color w:val="231F20"/>
        </w:rPr>
        <w:t>The Event Notesdisplays any notes and files that have been applied to the event acknowledgement. You can access any attached file by clicking the Attachment hypertext</w:t>
      </w:r>
      <w:r>
        <w:rPr>
          <w:color w:val="231F20"/>
          <w:spacing w:val="26"/>
        </w:rPr>
        <w:t> </w:t>
      </w:r>
      <w:r>
        <w:rPr>
          <w:color w:val="231F20"/>
        </w:rPr>
        <w:t>link.</w:t>
      </w:r>
      <w:r>
        <w:rPr>
          <w:color w:val="231F20"/>
          <w:spacing w:val="26"/>
        </w:rPr>
        <w:t> </w:t>
      </w:r>
      <w:r>
        <w:rPr>
          <w:color w:val="231F20"/>
        </w:rPr>
        <w:t>The</w:t>
      </w:r>
      <w:r>
        <w:rPr>
          <w:color w:val="231F20"/>
          <w:spacing w:val="26"/>
        </w:rPr>
        <w:t> </w:t>
      </w:r>
      <w:r>
        <w:rPr>
          <w:color w:val="231F20"/>
        </w:rPr>
        <w:t>file</w:t>
      </w:r>
      <w:r>
        <w:rPr>
          <w:color w:val="231F20"/>
          <w:spacing w:val="26"/>
        </w:rPr>
        <w:t> </w:t>
      </w:r>
      <w:r>
        <w:rPr>
          <w:color w:val="231F20"/>
        </w:rPr>
        <w:t>is</w:t>
      </w:r>
      <w:r>
        <w:rPr>
          <w:color w:val="231F20"/>
          <w:spacing w:val="26"/>
        </w:rPr>
        <w:t> </w:t>
      </w:r>
      <w:r>
        <w:rPr>
          <w:color w:val="231F20"/>
        </w:rPr>
        <w:t>launched</w:t>
      </w:r>
      <w:r>
        <w:rPr>
          <w:color w:val="231F20"/>
          <w:spacing w:val="26"/>
        </w:rPr>
        <w:t> </w:t>
      </w:r>
      <w:r>
        <w:rPr>
          <w:color w:val="231F20"/>
        </w:rPr>
        <w:t>in</w:t>
      </w:r>
      <w:r>
        <w:rPr>
          <w:color w:val="231F20"/>
          <w:spacing w:val="26"/>
        </w:rPr>
        <w:t> </w:t>
      </w:r>
      <w:r>
        <w:rPr>
          <w:color w:val="231F20"/>
        </w:rPr>
        <w:t>your</w:t>
      </w:r>
      <w:r>
        <w:rPr>
          <w:color w:val="231F20"/>
          <w:spacing w:val="26"/>
        </w:rPr>
        <w:t> </w:t>
      </w:r>
      <w:r>
        <w:rPr>
          <w:color w:val="231F20"/>
        </w:rPr>
        <w:t>default</w:t>
      </w:r>
      <w:r>
        <w:rPr>
          <w:color w:val="231F20"/>
          <w:spacing w:val="26"/>
        </w:rPr>
        <w:t> </w:t>
      </w:r>
      <w:r>
        <w:rPr>
          <w:color w:val="231F20"/>
        </w:rPr>
        <w:t>browser</w:t>
      </w:r>
      <w:r>
        <w:rPr>
          <w:color w:val="231F20"/>
          <w:spacing w:val="26"/>
        </w:rPr>
        <w:t> </w:t>
      </w:r>
      <w:r>
        <w:rPr>
          <w:color w:val="231F20"/>
        </w:rPr>
        <w:t>or</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default viewer configured for the file's MIME type. You can print the notes for an event by clicking</w:t>
      </w:r>
      <w:r>
        <w:rPr>
          <w:color w:val="231F20"/>
          <w:spacing w:val="16"/>
        </w:rPr>
        <w:t> </w:t>
      </w:r>
      <w:r>
        <w:rPr>
          <w:color w:val="231F20"/>
          <w:spacing w:val="16"/>
          <w:position w:val="-1"/>
        </w:rPr>
        <w:drawing>
          <wp:inline distT="0" distB="0" distL="0" distR="0">
            <wp:extent cx="101600" cy="101600"/>
            <wp:effectExtent l="0" t="0" r="0" b="0"/>
            <wp:docPr id="614" name="Image 614"/>
            <wp:cNvGraphicFramePr>
              <a:graphicFrameLocks/>
            </wp:cNvGraphicFramePr>
            <a:graphic>
              <a:graphicData uri="http://schemas.openxmlformats.org/drawingml/2006/picture">
                <pic:pic>
                  <pic:nvPicPr>
                    <pic:cNvPr id="614" name="Image 614"/>
                    <pic:cNvPicPr/>
                  </pic:nvPicPr>
                  <pic:blipFill>
                    <a:blip r:embed="rId161"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Print</w:t>
      </w:r>
      <w:r>
        <w:rPr>
          <w:color w:val="231F20"/>
        </w:rPr>
        <w:t>.</w:t>
      </w:r>
      <w:r>
        <w:rPr>
          <w:color w:val="231F20"/>
          <w:spacing w:val="17"/>
        </w:rPr>
        <w:t> </w:t>
      </w:r>
      <w:r>
        <w:rPr>
          <w:color w:val="231F20"/>
        </w:rPr>
        <w:t>If</w:t>
      </w:r>
      <w:r>
        <w:rPr>
          <w:color w:val="231F20"/>
          <w:spacing w:val="17"/>
        </w:rPr>
        <w:t> </w:t>
      </w:r>
      <w:r>
        <w:rPr>
          <w:color w:val="231F20"/>
        </w:rPr>
        <w:t>you</w:t>
      </w:r>
      <w:r>
        <w:rPr>
          <w:color w:val="231F20"/>
          <w:spacing w:val="17"/>
        </w:rPr>
        <w:t> </w:t>
      </w:r>
      <w:r>
        <w:rPr>
          <w:color w:val="231F20"/>
        </w:rPr>
        <w:t>want</w:t>
      </w:r>
      <w:r>
        <w:rPr>
          <w:color w:val="231F20"/>
          <w:spacing w:val="17"/>
        </w:rPr>
        <w:t> </w:t>
      </w:r>
      <w:r>
        <w:rPr>
          <w:color w:val="231F20"/>
        </w:rPr>
        <w:t>to</w:t>
      </w:r>
      <w:r>
        <w:rPr>
          <w:color w:val="231F20"/>
          <w:spacing w:val="17"/>
        </w:rPr>
        <w:t> </w:t>
      </w:r>
      <w:r>
        <w:rPr>
          <w:color w:val="231F20"/>
        </w:rPr>
        <w:t>update</w:t>
      </w:r>
      <w:r>
        <w:rPr>
          <w:color w:val="231F20"/>
          <w:spacing w:val="17"/>
        </w:rPr>
        <w:t> </w:t>
      </w:r>
      <w:r>
        <w:rPr>
          <w:color w:val="231F20"/>
        </w:rPr>
        <w:t>the</w:t>
      </w:r>
      <w:r>
        <w:rPr>
          <w:color w:val="231F20"/>
          <w:spacing w:val="17"/>
        </w:rPr>
        <w:t> </w:t>
      </w:r>
      <w:r>
        <w:rPr>
          <w:color w:val="231F20"/>
        </w:rPr>
        <w:t>notes</w:t>
      </w:r>
      <w:r>
        <w:rPr>
          <w:color w:val="231F20"/>
          <w:spacing w:val="17"/>
        </w:rPr>
        <w:t> </w:t>
      </w:r>
      <w:r>
        <w:rPr>
          <w:color w:val="231F20"/>
        </w:rPr>
        <w:t>for</w:t>
      </w:r>
      <w:r>
        <w:rPr>
          <w:color w:val="231F20"/>
          <w:spacing w:val="17"/>
        </w:rPr>
        <w:t> </w:t>
      </w:r>
      <w:r>
        <w:rPr>
          <w:color w:val="231F20"/>
        </w:rPr>
        <w:t>an</w:t>
      </w:r>
      <w:r>
        <w:rPr>
          <w:color w:val="231F20"/>
          <w:spacing w:val="17"/>
        </w:rPr>
        <w:t> </w:t>
      </w:r>
      <w:r>
        <w:rPr>
          <w:color w:val="231F20"/>
        </w:rPr>
        <w:t>event,</w:t>
      </w:r>
      <w:r>
        <w:rPr>
          <w:color w:val="231F20"/>
          <w:spacing w:val="17"/>
        </w:rPr>
        <w:t> </w:t>
      </w:r>
      <w:r>
        <w:rPr>
          <w:color w:val="231F20"/>
        </w:rPr>
        <w:t>right-click</w:t>
      </w:r>
      <w:r>
        <w:rPr>
          <w:color w:val="231F20"/>
          <w:spacing w:val="17"/>
        </w:rPr>
        <w:t> </w:t>
      </w:r>
      <w:r>
        <w:rPr>
          <w:color w:val="231F20"/>
        </w:rPr>
        <w:t>the</w:t>
      </w:r>
      <w:r>
        <w:rPr>
          <w:color w:val="231F20"/>
          <w:spacing w:val="17"/>
        </w:rPr>
        <w:t> </w:t>
      </w:r>
      <w:r>
        <w:rPr>
          <w:color w:val="231F20"/>
        </w:rPr>
        <w:t>event in</w:t>
      </w:r>
      <w:r>
        <w:rPr>
          <w:color w:val="231F20"/>
          <w:spacing w:val="17"/>
        </w:rPr>
        <w:t> </w:t>
      </w:r>
      <w:r>
        <w:rPr>
          <w:color w:val="231F20"/>
        </w:rPr>
        <w:t>the</w:t>
      </w:r>
      <w:r>
        <w:rPr>
          <w:color w:val="231F20"/>
          <w:spacing w:val="17"/>
        </w:rPr>
        <w:t> </w:t>
      </w:r>
      <w:r>
        <w:rPr>
          <w:color w:val="231F20"/>
        </w:rPr>
        <w:t>Selected</w:t>
      </w:r>
      <w:r>
        <w:rPr>
          <w:color w:val="231F20"/>
          <w:spacing w:val="17"/>
        </w:rPr>
        <w:t> </w:t>
      </w:r>
      <w:r>
        <w:rPr>
          <w:color w:val="231F20"/>
        </w:rPr>
        <w:t>Event</w:t>
      </w:r>
      <w:r>
        <w:rPr>
          <w:color w:val="231F20"/>
          <w:spacing w:val="17"/>
        </w:rPr>
        <w:t> </w:t>
      </w:r>
      <w:r>
        <w:rPr>
          <w:color w:val="231F20"/>
        </w:rPr>
        <w:t>view</w:t>
      </w:r>
      <w:r>
        <w:rPr>
          <w:color w:val="231F20"/>
          <w:spacing w:val="17"/>
        </w:rPr>
        <w:t> </w:t>
      </w:r>
      <w:r>
        <w:rPr>
          <w:color w:val="231F20"/>
        </w:rPr>
        <w:t>and</w:t>
      </w:r>
      <w:r>
        <w:rPr>
          <w:color w:val="231F20"/>
          <w:spacing w:val="17"/>
        </w:rPr>
        <w:t> </w:t>
      </w:r>
      <w:r>
        <w:rPr>
          <w:color w:val="231F20"/>
        </w:rPr>
        <w:t>click</w:t>
      </w:r>
      <w:r>
        <w:rPr>
          <w:color w:val="231F20"/>
          <w:spacing w:val="36"/>
        </w:rPr>
        <w:t> </w:t>
      </w:r>
      <w:r>
        <w:rPr>
          <w:color w:val="231F20"/>
          <w:spacing w:val="-15"/>
          <w:position w:val="-1"/>
        </w:rPr>
        <w:drawing>
          <wp:inline distT="0" distB="0" distL="0" distR="0">
            <wp:extent cx="82550" cy="101600"/>
            <wp:effectExtent l="0" t="0" r="0" b="0"/>
            <wp:docPr id="615" name="Image 615"/>
            <wp:cNvGraphicFramePr>
              <a:graphicFrameLocks/>
            </wp:cNvGraphicFramePr>
            <a:graphic>
              <a:graphicData uri="http://schemas.openxmlformats.org/drawingml/2006/picture">
                <pic:pic>
                  <pic:nvPicPr>
                    <pic:cNvPr id="615" name="Image 615"/>
                    <pic:cNvPicPr/>
                  </pic:nvPicPr>
                  <pic:blipFill>
                    <a:blip r:embed="rId49"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25"/>
        </w:rPr>
        <w:t> </w:t>
      </w:r>
      <w:r>
        <w:rPr>
          <w:rFonts w:ascii="Book Antiqua"/>
          <w:b/>
          <w:color w:val="231F20"/>
        </w:rPr>
        <w:t>Event</w:t>
      </w:r>
      <w:r>
        <w:rPr>
          <w:rFonts w:ascii="Book Antiqua"/>
          <w:b/>
          <w:color w:val="231F20"/>
          <w:spacing w:val="17"/>
        </w:rPr>
        <w:t> </w:t>
      </w:r>
      <w:r>
        <w:rPr>
          <w:rFonts w:ascii="Book Antiqua"/>
          <w:b/>
          <w:color w:val="231F20"/>
        </w:rPr>
        <w:t>Notes</w:t>
      </w:r>
      <w:r>
        <w:rPr>
          <w:color w:val="231F20"/>
        </w:rPr>
        <w:t>.</w:t>
      </w:r>
      <w:r>
        <w:rPr>
          <w:color w:val="231F20"/>
          <w:spacing w:val="17"/>
        </w:rPr>
        <w:t> </w:t>
      </w:r>
      <w:r>
        <w:rPr>
          <w:color w:val="231F20"/>
        </w:rPr>
        <w:t>Click</w:t>
      </w:r>
      <w:r>
        <w:rPr>
          <w:color w:val="231F20"/>
          <w:spacing w:val="27"/>
        </w:rPr>
        <w:t> </w:t>
      </w:r>
      <w:r>
        <w:rPr>
          <w:color w:val="231F20"/>
          <w:spacing w:val="-24"/>
          <w:position w:val="-1"/>
        </w:rPr>
        <w:drawing>
          <wp:inline distT="0" distB="0" distL="0" distR="0">
            <wp:extent cx="95250" cy="101600"/>
            <wp:effectExtent l="0" t="0" r="0" b="0"/>
            <wp:docPr id="616" name="Image 616"/>
            <wp:cNvGraphicFramePr>
              <a:graphicFrameLocks/>
            </wp:cNvGraphicFramePr>
            <a:graphic>
              <a:graphicData uri="http://schemas.openxmlformats.org/drawingml/2006/picture">
                <pic:pic>
                  <pic:nvPicPr>
                    <pic:cNvPr id="616" name="Image 616"/>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to</w:t>
      </w:r>
      <w:r>
        <w:rPr>
          <w:color w:val="231F20"/>
          <w:spacing w:val="17"/>
        </w:rPr>
        <w:t> </w:t>
      </w:r>
      <w:r>
        <w:rPr>
          <w:color w:val="231F20"/>
        </w:rPr>
        <w:t>view</w:t>
      </w:r>
      <w:r>
        <w:rPr>
          <w:color w:val="231F20"/>
          <w:spacing w:val="17"/>
        </w:rPr>
        <w:t> </w:t>
      </w:r>
      <w:r>
        <w:rPr>
          <w:color w:val="231F20"/>
        </w:rPr>
        <w:t>the</w:t>
      </w:r>
      <w:r>
        <w:rPr>
          <w:color w:val="231F20"/>
          <w:spacing w:val="17"/>
        </w:rPr>
        <w:t> </w:t>
      </w:r>
      <w:r>
        <w:rPr>
          <w:color w:val="231F20"/>
        </w:rPr>
        <w:t>updates.</w:t>
      </w:r>
    </w:p>
    <w:p>
      <w:pPr>
        <w:pStyle w:val="Heading4"/>
        <w:spacing w:before="198"/>
        <w:ind w:left="0" w:right="6592"/>
        <w:jc w:val="right"/>
      </w:pPr>
      <w:r>
        <w:rPr>
          <w:color w:val="231F20"/>
        </w:rPr>
        <w:t>Event</w:t>
      </w:r>
      <w:r>
        <w:rPr>
          <w:color w:val="231F20"/>
          <w:spacing w:val="6"/>
        </w:rPr>
        <w:t> </w:t>
      </w:r>
      <w:r>
        <w:rPr>
          <w:color w:val="231F20"/>
          <w:spacing w:val="-2"/>
        </w:rPr>
        <w:t>Tools</w:t>
      </w:r>
    </w:p>
    <w:p>
      <w:pPr>
        <w:pStyle w:val="BodyText"/>
        <w:spacing w:line="213" w:lineRule="auto" w:before="241"/>
        <w:ind w:left="2232" w:right="545"/>
      </w:pPr>
      <w:r>
        <w:rPr>
          <w:color w:val="231F20"/>
        </w:rPr>
        <w:t>The Event Tools browser view provides links to additional resources for managing events. There are downloadable tools, some of which can be used to troubleshoot any problems you have with events. For example, this view provides a link to the Log and Trace Analyzer, which you can use as part of an autonomic event management solution. This view also provides a link to the </w:t>
      </w:r>
      <w:hyperlink r:id="rId171">
        <w:r>
          <w:rPr>
            <w:color w:val="231F20"/>
          </w:rPr>
          <w:t>IBM Integrated </w:t>
        </w:r>
        <w:r>
          <w:rPr>
            <w:color w:val="231F20"/>
          </w:rPr>
          <w:t>Service</w:t>
        </w:r>
      </w:hyperlink>
    </w:p>
    <w:p>
      <w:pPr>
        <w:spacing w:after="0" w:line="213" w:lineRule="auto"/>
        <w:sectPr>
          <w:pgSz w:w="12240" w:h="15840"/>
          <w:pgMar w:header="0" w:footer="736" w:top="1140" w:bottom="920" w:left="1000" w:right="1060"/>
        </w:sectPr>
      </w:pPr>
    </w:p>
    <w:p>
      <w:pPr>
        <w:pStyle w:val="BodyText"/>
        <w:spacing w:line="213" w:lineRule="auto" w:before="85"/>
        <w:ind w:left="2472" w:right="274"/>
      </w:pPr>
      <w:bookmarkStart w:name="_bookmark43" w:id="97"/>
      <w:bookmarkEnd w:id="97"/>
      <w:r>
        <w:rPr/>
      </w:r>
      <w:hyperlink r:id="rId171">
        <w:r>
          <w:rPr>
            <w:color w:val="231F20"/>
          </w:rPr>
          <w:t>Management Library</w:t>
        </w:r>
      </w:hyperlink>
      <w:r>
        <w:rPr>
          <w:color w:val="231F20"/>
        </w:rPr>
        <w:t> </w:t>
      </w:r>
      <w:hyperlink r:id="rId174">
        <w:r>
          <w:rPr>
            <w:color w:val="231F20"/>
          </w:rPr>
          <w:t>(http://www.ibm.com/software/brandcatalog/ismlibrary)</w:t>
        </w:r>
      </w:hyperlink>
      <w:r>
        <w:rPr>
          <w:color w:val="231F20"/>
          <w:spacing w:val="80"/>
        </w:rPr>
        <w:t> </w:t>
      </w:r>
      <w:r>
        <w:rPr>
          <w:color w:val="231F20"/>
        </w:rPr>
        <w:t>website, from where you can access additional problem determination </w:t>
      </w:r>
      <w:r>
        <w:rPr>
          <w:color w:val="231F20"/>
        </w:rPr>
        <w:t>information and tools.</w:t>
      </w:r>
    </w:p>
    <w:p>
      <w:pPr>
        <w:pStyle w:val="BodyText"/>
        <w:spacing w:before="4"/>
        <w:rPr>
          <w:sz w:val="16"/>
        </w:rPr>
      </w:pPr>
      <w:r>
        <w:rPr/>
        <mc:AlternateContent>
          <mc:Choice Requires="wps">
            <w:drawing>
              <wp:anchor distT="0" distB="0" distL="0" distR="0" allowOverlap="1" layoutInCell="1" locked="0" behindDoc="1" simplePos="0" relativeHeight="487652352">
                <wp:simplePos x="0" y="0"/>
                <wp:positionH relativeFrom="page">
                  <wp:posOffset>912380</wp:posOffset>
                </wp:positionH>
                <wp:positionV relativeFrom="paragraph">
                  <wp:posOffset>155352</wp:posOffset>
                </wp:positionV>
                <wp:extent cx="6082665" cy="1270"/>
                <wp:effectExtent l="0" t="0" r="0" b="0"/>
                <wp:wrapTopAndBottom/>
                <wp:docPr id="617" name="Graphic 617"/>
                <wp:cNvGraphicFramePr>
                  <a:graphicFrameLocks/>
                </wp:cNvGraphicFramePr>
                <a:graphic>
                  <a:graphicData uri="http://schemas.microsoft.com/office/word/2010/wordprocessingShape">
                    <wps:wsp>
                      <wps:cNvPr id="617" name="Graphic 61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2467pt;width:478.95pt;height:.1pt;mso-position-horizontal-relative:page;mso-position-vertical-relative:paragraph;z-index:-15664128;mso-wrap-distance-left:0;mso-wrap-distance-right:0" id="docshape96"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Acknowledging an event" w:id="98"/>
      <w:bookmarkEnd w:id="98"/>
      <w:r>
        <w:rPr>
          <w:b w:val="0"/>
        </w:rPr>
      </w:r>
      <w:r>
        <w:rPr>
          <w:color w:val="231F20"/>
        </w:rPr>
        <w:t>Acknowledging</w:t>
      </w:r>
      <w:r>
        <w:rPr>
          <w:color w:val="231F20"/>
          <w:spacing w:val="3"/>
        </w:rPr>
        <w:t> </w:t>
      </w:r>
      <w:r>
        <w:rPr>
          <w:color w:val="231F20"/>
        </w:rPr>
        <w:t>an</w:t>
      </w:r>
      <w:r>
        <w:rPr>
          <w:color w:val="231F20"/>
          <w:spacing w:val="3"/>
        </w:rPr>
        <w:t> </w:t>
      </w:r>
      <w:r>
        <w:rPr>
          <w:color w:val="231F20"/>
          <w:spacing w:val="-2"/>
        </w:rPr>
        <w:t>event</w:t>
      </w:r>
    </w:p>
    <w:p>
      <w:pPr>
        <w:pStyle w:val="BodyText"/>
        <w:spacing w:line="213" w:lineRule="auto" w:before="138"/>
        <w:ind w:left="2472" w:right="258"/>
      </w:pPr>
      <w:r>
        <w:rPr>
          <w:color w:val="231F20"/>
        </w:rPr>
        <w:t>When an event is opened for a true situation, you can acknowledge it. This </w:t>
      </w:r>
      <w:r>
        <w:rPr>
          <w:color w:val="231F20"/>
        </w:rPr>
        <w:t>notifies other users that you have taken ownership of the problem related to the event and are working on it. The acknowledgement window records the time of the acknowledgement and the ID of the user.</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9"/>
        </w:rPr>
        <w:t> </w:t>
      </w:r>
      <w:r>
        <w:rPr>
          <w:color w:val="231F20"/>
        </w:rPr>
        <w:t>user</w:t>
      </w:r>
      <w:r>
        <w:rPr>
          <w:color w:val="231F20"/>
          <w:spacing w:val="10"/>
        </w:rPr>
        <w:t> </w:t>
      </w:r>
      <w:r>
        <w:rPr>
          <w:color w:val="231F20"/>
        </w:rPr>
        <w:t>ID</w:t>
      </w:r>
      <w:r>
        <w:rPr>
          <w:color w:val="231F20"/>
          <w:spacing w:val="9"/>
        </w:rPr>
        <w:t> </w:t>
      </w:r>
      <w:r>
        <w:rPr>
          <w:color w:val="231F20"/>
        </w:rPr>
        <w:t>must</w:t>
      </w:r>
      <w:r>
        <w:rPr>
          <w:color w:val="231F20"/>
          <w:spacing w:val="10"/>
        </w:rPr>
        <w:t> </w:t>
      </w:r>
      <w:r>
        <w:rPr>
          <w:color w:val="231F20"/>
        </w:rPr>
        <w:t>have</w:t>
      </w:r>
      <w:r>
        <w:rPr>
          <w:color w:val="231F20"/>
          <w:spacing w:val="3"/>
        </w:rPr>
        <w:t> </w:t>
      </w:r>
      <w:r>
        <w:rPr>
          <w:color w:val="231F20"/>
        </w:rPr>
        <w:t>Acknowledge</w:t>
      </w:r>
      <w:r>
        <w:rPr>
          <w:color w:val="231F20"/>
          <w:spacing w:val="9"/>
        </w:rPr>
        <w:t> </w:t>
      </w:r>
      <w:r>
        <w:rPr>
          <w:color w:val="231F20"/>
        </w:rPr>
        <w:t>permission</w:t>
      </w:r>
      <w:r>
        <w:rPr>
          <w:color w:val="231F20"/>
          <w:spacing w:val="10"/>
        </w:rPr>
        <w:t> </w:t>
      </w:r>
      <w:r>
        <w:rPr>
          <w:color w:val="231F20"/>
        </w:rPr>
        <w:t>for</w:t>
      </w:r>
      <w:r>
        <w:rPr>
          <w:color w:val="231F20"/>
          <w:spacing w:val="10"/>
        </w:rPr>
        <w:t> </w:t>
      </w:r>
      <w:r>
        <w:rPr>
          <w:color w:val="231F20"/>
        </w:rPr>
        <w:t>Events</w:t>
      </w:r>
      <w:r>
        <w:rPr>
          <w:color w:val="231F20"/>
          <w:spacing w:val="9"/>
        </w:rPr>
        <w:t> </w:t>
      </w:r>
      <w:r>
        <w:rPr>
          <w:color w:val="231F20"/>
        </w:rPr>
        <w:t>to</w:t>
      </w:r>
      <w:r>
        <w:rPr>
          <w:color w:val="231F20"/>
          <w:spacing w:val="10"/>
        </w:rPr>
        <w:t> </w:t>
      </w:r>
      <w:r>
        <w:rPr>
          <w:color w:val="231F20"/>
        </w:rPr>
        <w:t>use</w:t>
      </w:r>
      <w:r>
        <w:rPr>
          <w:color w:val="231F20"/>
          <w:spacing w:val="9"/>
        </w:rPr>
        <w:t> </w:t>
      </w:r>
      <w:r>
        <w:rPr>
          <w:color w:val="231F20"/>
        </w:rPr>
        <w:t>this</w:t>
      </w:r>
      <w:r>
        <w:rPr>
          <w:color w:val="231F20"/>
          <w:spacing w:val="10"/>
        </w:rPr>
        <w:t> </w:t>
      </w:r>
      <w:r>
        <w:rPr>
          <w:color w:val="231F20"/>
          <w:spacing w:val="-2"/>
        </w:rPr>
        <w:t>function.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pPr>
      <w:r>
        <w:rPr>
          <w:color w:val="231F20"/>
        </w:rPr>
        <w:t>Acknowledgements enable users who are monitoring events to communicate </w:t>
      </w:r>
      <w:r>
        <w:rPr>
          <w:color w:val="231F20"/>
        </w:rPr>
        <w:t>their working status. Follow these steps to acknowledge an open event or one whose acknowledgement has expired or been canceled before the event has been closed.</w:t>
      </w:r>
    </w:p>
    <w:p>
      <w:pPr>
        <w:pStyle w:val="Heading4"/>
        <w:spacing w:before="199"/>
        <w:ind w:left="2472"/>
      </w:pPr>
      <w:r>
        <w:rPr>
          <w:color w:val="231F20"/>
          <w:spacing w:val="-2"/>
        </w:rPr>
        <w:t>Procedure</w:t>
      </w:r>
    </w:p>
    <w:p>
      <w:pPr>
        <w:pStyle w:val="ListParagraph"/>
        <w:numPr>
          <w:ilvl w:val="0"/>
          <w:numId w:val="22"/>
        </w:numPr>
        <w:tabs>
          <w:tab w:pos="2787" w:val="left" w:leader="none"/>
        </w:tabs>
        <w:spacing w:line="240" w:lineRule="auto" w:before="39" w:after="0"/>
        <w:ind w:left="2787" w:right="0" w:hanging="315"/>
        <w:jc w:val="both"/>
        <w:rPr>
          <w:sz w:val="20"/>
        </w:rPr>
      </w:pP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pStyle w:val="BodyText"/>
        <w:spacing w:line="213" w:lineRule="auto" w:before="53"/>
        <w:ind w:left="3004" w:right="168" w:hanging="216"/>
        <w:jc w:val="both"/>
      </w:pPr>
      <w:r>
        <w:rPr>
          <w:rFonts w:ascii="Futura MdCn BT"/>
          <w:color w:val="231F20"/>
        </w:rPr>
        <w:t>v</w:t>
      </w:r>
      <w:r>
        <w:rPr>
          <w:rFonts w:ascii="Futura MdCn BT"/>
          <w:color w:val="231F20"/>
          <w:spacing w:val="80"/>
          <w:w w:val="150"/>
        </w:rPr>
        <w:t> </w:t>
      </w:r>
      <w:r>
        <w:rPr>
          <w:color w:val="231F20"/>
        </w:rPr>
        <w:t>Move</w:t>
      </w:r>
      <w:r>
        <w:rPr>
          <w:color w:val="231F20"/>
          <w:spacing w:val="16"/>
        </w:rPr>
        <w:t> </w:t>
      </w:r>
      <w:r>
        <w:rPr>
          <w:color w:val="231F20"/>
        </w:rPr>
        <w:t>the</w:t>
      </w:r>
      <w:r>
        <w:rPr>
          <w:color w:val="231F20"/>
          <w:spacing w:val="16"/>
        </w:rPr>
        <w:t> </w:t>
      </w:r>
      <w:r>
        <w:rPr>
          <w:color w:val="231F20"/>
        </w:rPr>
        <w:t>mouse</w:t>
      </w:r>
      <w:r>
        <w:rPr>
          <w:color w:val="231F20"/>
          <w:spacing w:val="16"/>
        </w:rPr>
        <w:t> </w:t>
      </w:r>
      <w:r>
        <w:rPr>
          <w:color w:val="231F20"/>
        </w:rPr>
        <w:t>over</w:t>
      </w:r>
      <w:r>
        <w:rPr>
          <w:color w:val="231F20"/>
          <w:spacing w:val="16"/>
        </w:rPr>
        <w:t> </w:t>
      </w:r>
      <w:r>
        <w:rPr>
          <w:color w:val="231F20"/>
        </w:rPr>
        <w:t>an</w:t>
      </w:r>
      <w:r>
        <w:rPr>
          <w:color w:val="231F20"/>
          <w:spacing w:val="16"/>
        </w:rPr>
        <w:t> </w:t>
      </w:r>
      <w:r>
        <w:rPr>
          <w:color w:val="231F20"/>
        </w:rPr>
        <w:t>event</w:t>
      </w:r>
      <w:r>
        <w:rPr>
          <w:color w:val="231F20"/>
          <w:spacing w:val="16"/>
        </w:rPr>
        <w:t> </w:t>
      </w:r>
      <w:r>
        <w:rPr>
          <w:color w:val="231F20"/>
        </w:rPr>
        <w:t>indicator</w:t>
      </w:r>
      <w:r>
        <w:rPr>
          <w:color w:val="231F20"/>
          <w:spacing w:val="16"/>
        </w:rPr>
        <w:t> </w:t>
      </w:r>
      <w:r>
        <w:rPr>
          <w:color w:val="231F20"/>
        </w:rPr>
        <w:t>(such</w:t>
      </w:r>
      <w:r>
        <w:rPr>
          <w:color w:val="231F20"/>
          <w:spacing w:val="16"/>
        </w:rPr>
        <w:t> </w:t>
      </w:r>
      <w:r>
        <w:rPr>
          <w:color w:val="231F20"/>
        </w:rPr>
        <w:t>as</w:t>
      </w:r>
      <w:r>
        <w:rPr>
          <w:color w:val="231F20"/>
          <w:spacing w:val="15"/>
        </w:rPr>
        <w:t> </w:t>
      </w:r>
      <w:r>
        <w:rPr>
          <w:color w:val="231F20"/>
          <w:spacing w:val="15"/>
        </w:rPr>
        <w:drawing>
          <wp:inline distT="0" distB="0" distL="0" distR="0">
            <wp:extent cx="57150" cy="57150"/>
            <wp:effectExtent l="0" t="0" r="0" b="0"/>
            <wp:docPr id="618" name="Image 618"/>
            <wp:cNvGraphicFramePr>
              <a:graphicFrameLocks/>
            </wp:cNvGraphicFramePr>
            <a:graphic>
              <a:graphicData uri="http://schemas.openxmlformats.org/drawingml/2006/picture">
                <pic:pic>
                  <pic:nvPicPr>
                    <pic:cNvPr id="618" name="Image 618"/>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6"/>
        </w:rPr>
        <w:t> </w:t>
      </w:r>
      <w:r>
        <w:rPr>
          <w:color w:val="231F20"/>
        </w:rPr>
        <w:t>,</w:t>
      </w:r>
      <w:r>
        <w:rPr>
          <w:color w:val="231F20"/>
          <w:spacing w:val="16"/>
        </w:rPr>
        <w:t> </w:t>
      </w:r>
      <w:r>
        <w:rPr>
          <w:color w:val="231F20"/>
          <w:spacing w:val="16"/>
        </w:rPr>
        <w:drawing>
          <wp:inline distT="0" distB="0" distL="0" distR="0">
            <wp:extent cx="57150" cy="57150"/>
            <wp:effectExtent l="0" t="0" r="0" b="0"/>
            <wp:docPr id="619" name="Image 619"/>
            <wp:cNvGraphicFramePr>
              <a:graphicFrameLocks/>
            </wp:cNvGraphicFramePr>
            <a:graphic>
              <a:graphicData uri="http://schemas.openxmlformats.org/drawingml/2006/picture">
                <pic:pic>
                  <pic:nvPicPr>
                    <pic:cNvPr id="619" name="Image 619"/>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7"/>
        </w:rPr>
        <w:t> </w:t>
      </w:r>
      <w:r>
        <w:rPr>
          <w:color w:val="231F20"/>
        </w:rPr>
        <w:t>,</w:t>
      </w:r>
      <w:r>
        <w:rPr>
          <w:color w:val="231F20"/>
          <w:spacing w:val="16"/>
        </w:rPr>
        <w:t> </w:t>
      </w:r>
      <w:r>
        <w:rPr>
          <w:color w:val="231F20"/>
        </w:rPr>
        <w:t>or</w:t>
      </w:r>
      <w:r>
        <w:rPr>
          <w:color w:val="231F20"/>
          <w:spacing w:val="16"/>
        </w:rPr>
        <w:t> </w:t>
      </w:r>
      <w:r>
        <w:rPr>
          <w:color w:val="231F20"/>
          <w:spacing w:val="16"/>
        </w:rPr>
        <w:drawing>
          <wp:inline distT="0" distB="0" distL="0" distR="0">
            <wp:extent cx="57150" cy="57150"/>
            <wp:effectExtent l="0" t="0" r="0" b="0"/>
            <wp:docPr id="620" name="Image 620"/>
            <wp:cNvGraphicFramePr>
              <a:graphicFrameLocks/>
            </wp:cNvGraphicFramePr>
            <a:graphic>
              <a:graphicData uri="http://schemas.openxmlformats.org/drawingml/2006/picture">
                <pic:pic>
                  <pic:nvPicPr>
                    <pic:cNvPr id="620" name="Image 620"/>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60"/>
        </w:rPr>
        <w:t> </w:t>
      </w:r>
      <w:r>
        <w:rPr>
          <w:color w:val="231F20"/>
        </w:rPr>
        <w:t>in</w:t>
      </w:r>
      <w:r>
        <w:rPr>
          <w:color w:val="231F20"/>
          <w:spacing w:val="16"/>
        </w:rPr>
        <w:t> </w:t>
      </w:r>
      <w:r>
        <w:rPr>
          <w:color w:val="231F20"/>
        </w:rPr>
        <w:t>the</w:t>
      </w:r>
      <w:r>
        <w:rPr>
          <w:color w:val="231F20"/>
          <w:spacing w:val="16"/>
        </w:rPr>
        <w:t> </w:t>
      </w:r>
      <w:r>
        <w:rPr>
          <w:color w:val="231F20"/>
        </w:rPr>
        <w:t>Navigator to open the flyover list of open events, then right-click the event you want to </w:t>
      </w:r>
      <w:r>
        <w:rPr>
          <w:color w:val="231F20"/>
          <w:spacing w:val="-2"/>
        </w:rPr>
        <w:t>acknowledge.</w:t>
      </w:r>
    </w:p>
    <w:p>
      <w:pPr>
        <w:pStyle w:val="BodyText"/>
        <w:spacing w:line="213" w:lineRule="auto" w:before="57"/>
        <w:ind w:left="3004" w:right="206" w:hanging="216"/>
        <w:jc w:val="both"/>
      </w:pPr>
      <w:r>
        <w:rPr>
          <w:rFonts w:ascii="Futura MdCn BT"/>
          <w:color w:val="231F20"/>
        </w:rPr>
        <w:t>v</w:t>
      </w:r>
      <w:r>
        <w:rPr>
          <w:rFonts w:ascii="Futura MdCn BT"/>
          <w:color w:val="231F20"/>
          <w:spacing w:val="80"/>
        </w:rPr>
        <w:t> </w:t>
      </w:r>
      <w:r>
        <w:rPr>
          <w:color w:val="231F20"/>
        </w:rPr>
        <w:t>If you have opened the event results workspace, right-click the </w:t>
      </w:r>
      <w:r>
        <w:rPr>
          <w:color w:val="231F20"/>
          <w:spacing w:val="14"/>
          <w:position w:val="-1"/>
        </w:rPr>
        <w:drawing>
          <wp:inline distT="0" distB="0" distL="0" distR="0">
            <wp:extent cx="101600" cy="95250"/>
            <wp:effectExtent l="0" t="0" r="0" b="0"/>
            <wp:docPr id="621" name="Image 621"/>
            <wp:cNvGraphicFramePr>
              <a:graphicFrameLocks/>
            </wp:cNvGraphicFramePr>
            <a:graphic>
              <a:graphicData uri="http://schemas.openxmlformats.org/drawingml/2006/picture">
                <pic:pic>
                  <pic:nvPicPr>
                    <pic:cNvPr id="621" name="Image 621"/>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event item</w:t>
      </w:r>
      <w:r>
        <w:rPr>
          <w:color w:val="231F20"/>
          <w:spacing w:val="40"/>
        </w:rPr>
        <w:t> </w:t>
      </w:r>
      <w:r>
        <w:rPr>
          <w:color w:val="231F20"/>
        </w:rPr>
        <w:t>in the Navigator.</w:t>
      </w:r>
    </w:p>
    <w:p>
      <w:pPr>
        <w:pStyle w:val="BodyText"/>
        <w:spacing w:before="36"/>
        <w:ind w:left="2788"/>
        <w:jc w:val="both"/>
      </w:pPr>
      <w:r>
        <w:rPr>
          <w:rFonts w:ascii="Futura MdCn BT"/>
          <w:color w:val="231F20"/>
        </w:rPr>
        <w:t>v</w:t>
      </w:r>
      <w:r>
        <w:rPr>
          <w:rFonts w:ascii="Futura MdCn BT"/>
          <w:color w:val="231F20"/>
          <w:spacing w:val="78"/>
          <w:w w:val="150"/>
        </w:rPr>
        <w:t> </w:t>
      </w:r>
      <w:r>
        <w:rPr>
          <w:color w:val="231F20"/>
        </w:rPr>
        <w:t>In</w:t>
      </w:r>
      <w:r>
        <w:rPr>
          <w:color w:val="231F20"/>
          <w:spacing w:val="11"/>
        </w:rPr>
        <w:t> </w:t>
      </w:r>
      <w:r>
        <w:rPr>
          <w:color w:val="231F20"/>
        </w:rPr>
        <w:t>the</w:t>
      </w:r>
      <w:r>
        <w:rPr>
          <w:color w:val="231F20"/>
          <w:spacing w:val="10"/>
        </w:rPr>
        <w:t> </w:t>
      </w:r>
      <w:r>
        <w:rPr>
          <w:color w:val="231F20"/>
        </w:rPr>
        <w:t>event</w:t>
      </w:r>
      <w:r>
        <w:rPr>
          <w:color w:val="231F20"/>
          <w:spacing w:val="11"/>
        </w:rPr>
        <w:t> </w:t>
      </w:r>
      <w:r>
        <w:rPr>
          <w:color w:val="231F20"/>
        </w:rPr>
        <w:t>console</w:t>
      </w:r>
      <w:r>
        <w:rPr>
          <w:color w:val="231F20"/>
          <w:spacing w:val="10"/>
        </w:rPr>
        <w:t> </w:t>
      </w:r>
      <w:r>
        <w:rPr>
          <w:color w:val="231F20"/>
        </w:rPr>
        <w:t>view,</w:t>
      </w:r>
      <w:r>
        <w:rPr>
          <w:color w:val="231F20"/>
          <w:spacing w:val="11"/>
        </w:rPr>
        <w:t> </w:t>
      </w:r>
      <w:r>
        <w:rPr>
          <w:color w:val="231F20"/>
        </w:rPr>
        <w:t>right-click</w:t>
      </w:r>
      <w:r>
        <w:rPr>
          <w:color w:val="231F20"/>
          <w:spacing w:val="11"/>
        </w:rPr>
        <w:t> </w:t>
      </w:r>
      <w:r>
        <w:rPr>
          <w:color w:val="231F20"/>
        </w:rPr>
        <w:t>a</w:t>
      </w:r>
      <w:r>
        <w:rPr>
          <w:color w:val="231F20"/>
          <w:spacing w:val="10"/>
        </w:rPr>
        <w:t> </w:t>
      </w:r>
      <w:r>
        <w:rPr>
          <w:color w:val="231F20"/>
          <w:spacing w:val="-4"/>
        </w:rPr>
        <w:t>row.</w:t>
      </w:r>
    </w:p>
    <w:p>
      <w:pPr>
        <w:pStyle w:val="ListParagraph"/>
        <w:numPr>
          <w:ilvl w:val="0"/>
          <w:numId w:val="22"/>
        </w:numPr>
        <w:tabs>
          <w:tab w:pos="2786" w:val="left" w:leader="none"/>
          <w:tab w:pos="2788" w:val="left" w:leader="none"/>
        </w:tabs>
        <w:spacing w:line="213" w:lineRule="auto" w:before="52" w:after="0"/>
        <w:ind w:left="2788" w:right="409" w:hanging="317"/>
        <w:jc w:val="left"/>
        <w:rPr>
          <w:sz w:val="20"/>
        </w:rPr>
      </w:pPr>
      <w:r>
        <w:rPr>
          <w:color w:val="231F20"/>
          <w:sz w:val="20"/>
        </w:rPr>
        <w:t>Point to </w:t>
      </w:r>
      <w:r>
        <w:rPr>
          <w:rFonts w:ascii="Book Antiqua" w:hAnsi="Book Antiqua"/>
          <w:b/>
          <w:color w:val="231F20"/>
          <w:sz w:val="20"/>
        </w:rPr>
        <w:t>Acknowledge Event </w:t>
      </w:r>
      <w:r>
        <w:rPr>
          <w:color w:val="231F20"/>
          <w:sz w:val="20"/>
        </w:rPr>
        <w:t>and click either </w:t>
      </w:r>
      <w:r>
        <w:rPr>
          <w:color w:val="231F20"/>
          <w:spacing w:val="-25"/>
          <w:position w:val="-1"/>
          <w:sz w:val="20"/>
        </w:rPr>
        <w:drawing>
          <wp:inline distT="0" distB="0" distL="0" distR="0">
            <wp:extent cx="95250" cy="95250"/>
            <wp:effectExtent l="0" t="0" r="0" b="0"/>
            <wp:docPr id="622" name="Image 622"/>
            <wp:cNvGraphicFramePr>
              <a:graphicFrameLocks/>
            </wp:cNvGraphicFramePr>
            <a:graphic>
              <a:graphicData uri="http://schemas.openxmlformats.org/drawingml/2006/picture">
                <pic:pic>
                  <pic:nvPicPr>
                    <pic:cNvPr id="622" name="Image 622"/>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hAnsi="Times New Roman"/>
          <w:color w:val="231F20"/>
          <w:spacing w:val="80"/>
          <w:sz w:val="20"/>
        </w:rPr>
        <w:t> </w:t>
      </w:r>
      <w:r>
        <w:rPr>
          <w:rFonts w:ascii="Book Antiqua" w:hAnsi="Book Antiqua"/>
          <w:b/>
          <w:color w:val="231F20"/>
          <w:sz w:val="20"/>
        </w:rPr>
        <w:t>Quick Acknowledge</w:t>
      </w:r>
      <w:r>
        <w:rPr>
          <w:color w:val="231F20"/>
          <w:sz w:val="20"/>
        </w:rPr>
        <w:t>, to acknowledge the event with the default settings, or </w:t>
      </w:r>
      <w:r>
        <w:rPr>
          <w:color w:val="231F20"/>
          <w:spacing w:val="-25"/>
          <w:position w:val="-1"/>
          <w:sz w:val="20"/>
        </w:rPr>
        <w:drawing>
          <wp:inline distT="0" distB="0" distL="0" distR="0">
            <wp:extent cx="95250" cy="95250"/>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hAnsi="Times New Roman"/>
          <w:color w:val="231F20"/>
          <w:spacing w:val="77"/>
          <w:sz w:val="20"/>
        </w:rPr>
        <w:t> </w:t>
      </w:r>
      <w:r>
        <w:rPr>
          <w:rFonts w:ascii="Book Antiqua" w:hAnsi="Book Antiqua"/>
          <w:b/>
          <w:color w:val="231F20"/>
          <w:sz w:val="20"/>
        </w:rPr>
        <w:t>Acknowledge </w:t>
      </w:r>
      <w:r>
        <w:rPr>
          <w:color w:val="231F20"/>
          <w:sz w:val="20"/>
        </w:rPr>
        <w:t>to </w:t>
      </w:r>
      <w:r>
        <w:rPr>
          <w:color w:val="231F20"/>
          <w:sz w:val="20"/>
        </w:rPr>
        <w:t>open the Acknowledge window. A quick acknowledgement creates an acknowledgement with no expiration and inserts a time stamp, your user ID, and the statement, “Event quick acknowledged, ownership assigned” in the Notes field.</w:t>
      </w:r>
    </w:p>
    <w:p>
      <w:pPr>
        <w:pStyle w:val="ListParagraph"/>
        <w:numPr>
          <w:ilvl w:val="0"/>
          <w:numId w:val="22"/>
        </w:numPr>
        <w:tabs>
          <w:tab w:pos="2787" w:val="left" w:leader="none"/>
        </w:tabs>
        <w:spacing w:line="240" w:lineRule="auto" w:before="33" w:after="0"/>
        <w:ind w:left="2787" w:right="0" w:hanging="315"/>
        <w:jc w:val="left"/>
        <w:rPr>
          <w:sz w:val="20"/>
        </w:rPr>
      </w:pPr>
      <w:r>
        <w:rPr>
          <w:color w:val="231F20"/>
          <w:sz w:val="20"/>
        </w:rPr>
        <w:t>If</w:t>
      </w:r>
      <w:r>
        <w:rPr>
          <w:color w:val="231F20"/>
          <w:spacing w:val="12"/>
          <w:sz w:val="20"/>
        </w:rPr>
        <w:t> </w:t>
      </w:r>
      <w:r>
        <w:rPr>
          <w:color w:val="231F20"/>
          <w:sz w:val="20"/>
        </w:rPr>
        <w:t>you</w:t>
      </w:r>
      <w:r>
        <w:rPr>
          <w:color w:val="231F20"/>
          <w:spacing w:val="12"/>
          <w:sz w:val="20"/>
        </w:rPr>
        <w:t> </w:t>
      </w:r>
      <w:r>
        <w:rPr>
          <w:color w:val="231F20"/>
          <w:sz w:val="20"/>
        </w:rPr>
        <w:t>selected</w:t>
      </w:r>
      <w:r>
        <w:rPr>
          <w:color w:val="231F20"/>
          <w:spacing w:val="21"/>
          <w:sz w:val="20"/>
        </w:rPr>
        <w:t> </w:t>
      </w:r>
      <w:r>
        <w:rPr>
          <w:color w:val="231F20"/>
          <w:spacing w:val="-24"/>
          <w:position w:val="-1"/>
          <w:sz w:val="20"/>
        </w:rPr>
        <w:drawing>
          <wp:inline distT="0" distB="0" distL="0" distR="0">
            <wp:extent cx="95250" cy="95250"/>
            <wp:effectExtent l="0" t="0" r="0" b="0"/>
            <wp:docPr id="624" name="Image 624"/>
            <wp:cNvGraphicFramePr>
              <a:graphicFrameLocks/>
            </wp:cNvGraphicFramePr>
            <a:graphic>
              <a:graphicData uri="http://schemas.openxmlformats.org/drawingml/2006/picture">
                <pic:pic>
                  <pic:nvPicPr>
                    <pic:cNvPr id="624" name="Image 624"/>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6"/>
          <w:w w:val="150"/>
          <w:sz w:val="20"/>
        </w:rPr>
        <w:t> </w:t>
      </w:r>
      <w:r>
        <w:rPr>
          <w:rFonts w:ascii="Book Antiqua"/>
          <w:b/>
          <w:color w:val="231F20"/>
          <w:sz w:val="20"/>
        </w:rPr>
        <w:t>Acknowledge</w:t>
      </w:r>
      <w:r>
        <w:rPr>
          <w:rFonts w:ascii="Book Antiqua"/>
          <w:b/>
          <w:color w:val="231F20"/>
          <w:spacing w:val="12"/>
          <w:sz w:val="20"/>
        </w:rPr>
        <w:t> </w:t>
      </w:r>
      <w:r>
        <w:rPr>
          <w:color w:val="231F20"/>
          <w:sz w:val="20"/>
        </w:rPr>
        <w:t>in</w:t>
      </w:r>
      <w:r>
        <w:rPr>
          <w:color w:val="231F20"/>
          <w:spacing w:val="12"/>
          <w:sz w:val="20"/>
        </w:rPr>
        <w:t> </w:t>
      </w:r>
      <w:r>
        <w:rPr>
          <w:color w:val="231F20"/>
          <w:sz w:val="20"/>
        </w:rPr>
        <w:t>the</w:t>
      </w:r>
      <w:r>
        <w:rPr>
          <w:color w:val="231F20"/>
          <w:spacing w:val="13"/>
          <w:sz w:val="20"/>
        </w:rPr>
        <w:t> </w:t>
      </w:r>
      <w:r>
        <w:rPr>
          <w:color w:val="231F20"/>
          <w:sz w:val="20"/>
        </w:rPr>
        <w:t>previous</w:t>
      </w:r>
      <w:r>
        <w:rPr>
          <w:color w:val="231F20"/>
          <w:spacing w:val="12"/>
          <w:sz w:val="20"/>
        </w:rPr>
        <w:t> </w:t>
      </w:r>
      <w:r>
        <w:rPr>
          <w:color w:val="231F20"/>
          <w:sz w:val="20"/>
        </w:rPr>
        <w:t>step,</w:t>
      </w:r>
      <w:r>
        <w:rPr>
          <w:color w:val="231F20"/>
          <w:spacing w:val="12"/>
          <w:sz w:val="20"/>
        </w:rPr>
        <w:t> </w:t>
      </w:r>
      <w:r>
        <w:rPr>
          <w:color w:val="231F20"/>
          <w:sz w:val="20"/>
        </w:rPr>
        <w:t>do</w:t>
      </w:r>
      <w:r>
        <w:rPr>
          <w:color w:val="231F20"/>
          <w:spacing w:val="12"/>
          <w:sz w:val="20"/>
        </w:rPr>
        <w:t> </w:t>
      </w:r>
      <w:r>
        <w:rPr>
          <w:color w:val="231F20"/>
          <w:sz w:val="20"/>
        </w:rPr>
        <w:t>any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pacing w:val="-2"/>
          <w:sz w:val="20"/>
        </w:rPr>
        <w:t>following:</w:t>
      </w:r>
    </w:p>
    <w:p>
      <w:pPr>
        <w:pStyle w:val="BodyText"/>
        <w:spacing w:line="213" w:lineRule="auto" w:before="53"/>
        <w:ind w:left="3004" w:right="493" w:hanging="216"/>
      </w:pPr>
      <w:r>
        <w:rPr>
          <w:rFonts w:ascii="Futura MdCn BT"/>
          <w:color w:val="231F20"/>
        </w:rPr>
        <w:t>v</w:t>
      </w:r>
      <w:r>
        <w:rPr>
          <w:rFonts w:ascii="Futura MdCn BT"/>
          <w:color w:val="231F20"/>
          <w:spacing w:val="80"/>
        </w:rPr>
        <w:t> </w:t>
      </w:r>
      <w:r>
        <w:rPr>
          <w:color w:val="231F20"/>
        </w:rPr>
        <w:t>Adjust the </w:t>
      </w:r>
      <w:r>
        <w:rPr>
          <w:rFonts w:ascii="Book Antiqua"/>
          <w:b/>
          <w:color w:val="231F20"/>
        </w:rPr>
        <w:t>Expiration </w:t>
      </w:r>
      <w:r>
        <w:rPr>
          <w:color w:val="231F20"/>
        </w:rPr>
        <w:t>settings for the time when the acknowledgement should expire. If you select </w:t>
      </w:r>
      <w:r>
        <w:rPr>
          <w:color w:val="231F20"/>
          <w:spacing w:val="15"/>
        </w:rPr>
        <w:drawing>
          <wp:inline distT="0" distB="0" distL="0" distR="0">
            <wp:extent cx="88900" cy="82550"/>
            <wp:effectExtent l="0" t="0" r="0" b="0"/>
            <wp:docPr id="625" name="Image 625"/>
            <wp:cNvGraphicFramePr>
              <a:graphicFrameLocks/>
            </wp:cNvGraphicFramePr>
            <a:graphic>
              <a:graphicData uri="http://schemas.openxmlformats.org/drawingml/2006/picture">
                <pic:pic>
                  <pic:nvPicPr>
                    <pic:cNvPr id="625" name="Image 62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6"/>
        </w:rPr>
        <w:t> </w:t>
      </w:r>
      <w:r>
        <w:rPr>
          <w:rFonts w:ascii="Book Antiqua"/>
          <w:b/>
          <w:color w:val="231F20"/>
        </w:rPr>
        <w:t>Expire at a specific time</w:t>
      </w:r>
      <w:r>
        <w:rPr>
          <w:color w:val="231F20"/>
        </w:rPr>
        <w:t>, click the </w:t>
      </w:r>
      <w:r>
        <w:rPr>
          <w:color w:val="231F20"/>
          <w:spacing w:val="15"/>
          <w:position w:val="-1"/>
        </w:rPr>
        <w:drawing>
          <wp:inline distT="0" distB="0" distL="0" distR="0">
            <wp:extent cx="101600" cy="101600"/>
            <wp:effectExtent l="0" t="0" r="0" b="0"/>
            <wp:docPr id="626" name="Image 626"/>
            <wp:cNvGraphicFramePr>
              <a:graphicFrameLocks/>
            </wp:cNvGraphicFramePr>
            <a:graphic>
              <a:graphicData uri="http://schemas.openxmlformats.org/drawingml/2006/picture">
                <pic:pic>
                  <pic:nvPicPr>
                    <pic:cNvPr id="626" name="Image 62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 box, adjust the year, month, or time, then click the expiration date to close the calendar. Select </w:t>
      </w:r>
      <w:r>
        <w:rPr>
          <w:color w:val="231F20"/>
          <w:spacing w:val="16"/>
        </w:rPr>
        <w:drawing>
          <wp:inline distT="0" distB="0" distL="0" distR="0">
            <wp:extent cx="82550" cy="82550"/>
            <wp:effectExtent l="0" t="0" r="0" b="0"/>
            <wp:docPr id="627" name="Image 627"/>
            <wp:cNvGraphicFramePr>
              <a:graphicFrameLocks/>
            </wp:cNvGraphicFramePr>
            <a:graphic>
              <a:graphicData uri="http://schemas.openxmlformats.org/drawingml/2006/picture">
                <pic:pic>
                  <pic:nvPicPr>
                    <pic:cNvPr id="627" name="Image 62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Use Server time </w:t>
      </w:r>
      <w:r>
        <w:rPr>
          <w:color w:val="231F20"/>
        </w:rPr>
        <w:t>to use the time zone of the Tivoli Enterprise Monitoring Server to which the monitoring agent is connected.</w:t>
      </w:r>
    </w:p>
    <w:p>
      <w:pPr>
        <w:pStyle w:val="BodyText"/>
        <w:spacing w:line="213" w:lineRule="auto" w:before="56"/>
        <w:ind w:left="3004" w:right="258" w:hanging="216"/>
      </w:pPr>
      <w:r>
        <w:rPr>
          <w:rFonts w:ascii="Futura MdCn BT" w:hAnsi="Futura MdCn BT"/>
          <w:color w:val="231F20"/>
        </w:rPr>
        <w:t>v</w:t>
      </w:r>
      <w:r>
        <w:rPr>
          <w:rFonts w:ascii="Futura MdCn BT" w:hAnsi="Futura MdCn BT"/>
          <w:color w:val="231F20"/>
          <w:spacing w:val="80"/>
        </w:rPr>
        <w:t> </w:t>
      </w:r>
      <w:r>
        <w:rPr>
          <w:color w:val="231F20"/>
        </w:rPr>
        <w:t>Write notes about the event in the </w:t>
      </w:r>
      <w:r>
        <w:rPr>
          <w:rFonts w:ascii="Book Antiqua" w:hAnsi="Book Antiqua"/>
          <w:b/>
          <w:color w:val="231F20"/>
        </w:rPr>
        <w:t>Add Notes </w:t>
      </w:r>
      <w:r>
        <w:rPr>
          <w:color w:val="231F20"/>
        </w:rPr>
        <w:t>text box. After you click </w:t>
      </w:r>
      <w:r>
        <w:rPr>
          <w:rFonts w:ascii="Book Antiqua" w:hAnsi="Book Antiqua"/>
          <w:b/>
          <w:color w:val="231F20"/>
        </w:rPr>
        <w:t>Apply</w:t>
      </w:r>
      <w:r>
        <w:rPr>
          <w:rFonts w:ascii="Book Antiqua" w:hAnsi="Book Antiqua"/>
          <w:b/>
          <w:color w:val="231F20"/>
          <w:spacing w:val="40"/>
        </w:rPr>
        <w:t> </w:t>
      </w:r>
      <w:r>
        <w:rPr>
          <w:color w:val="231F20"/>
        </w:rPr>
        <w:t>or </w:t>
      </w:r>
      <w:r>
        <w:rPr>
          <w:rFonts w:ascii="Book Antiqua" w:hAnsi="Book Antiqua"/>
          <w:b/>
          <w:color w:val="231F20"/>
        </w:rPr>
        <w:t>OK</w:t>
      </w:r>
      <w:r>
        <w:rPr>
          <w:color w:val="231F20"/>
        </w:rPr>
        <w:t>, the text will be moved to the </w:t>
      </w:r>
      <w:r>
        <w:rPr>
          <w:rFonts w:ascii="Book Antiqua" w:hAnsi="Book Antiqua"/>
          <w:b/>
          <w:color w:val="231F20"/>
        </w:rPr>
        <w:t>Notes </w:t>
      </w:r>
      <w:r>
        <w:rPr>
          <w:color w:val="231F20"/>
        </w:rPr>
        <w:t>area and preceded with a time</w:t>
      </w:r>
      <w:r>
        <w:rPr>
          <w:color w:val="231F20"/>
          <w:spacing w:val="40"/>
        </w:rPr>
        <w:t> </w:t>
      </w:r>
      <w:r>
        <w:rPr>
          <w:color w:val="231F20"/>
        </w:rPr>
        <w:t>stamp, your user ID, and the statement, “Event quick acknowledged, ownership assigned”.</w:t>
      </w:r>
    </w:p>
    <w:p>
      <w:pPr>
        <w:spacing w:line="252" w:lineRule="exact" w:before="39"/>
        <w:ind w:left="2788" w:right="0" w:firstLine="0"/>
        <w:jc w:val="left"/>
        <w:rPr>
          <w:rFonts w:ascii="Book Antiqua"/>
          <w:b/>
          <w:sz w:val="20"/>
        </w:rPr>
      </w:pPr>
      <w:r>
        <w:rPr>
          <w:rFonts w:ascii="Futura MdCn BT"/>
          <w:color w:val="231F20"/>
          <w:sz w:val="20"/>
        </w:rPr>
        <w:t>v</w:t>
      </w:r>
      <w:r>
        <w:rPr>
          <w:rFonts w:ascii="Futura MdCn BT"/>
          <w:color w:val="231F20"/>
          <w:spacing w:val="30"/>
          <w:sz w:val="20"/>
        </w:rPr>
        <w:t>  </w:t>
      </w:r>
      <w:r>
        <w:rPr>
          <w:color w:val="231F20"/>
          <w:sz w:val="20"/>
        </w:rPr>
        <w:t>Attach</w:t>
      </w:r>
      <w:r>
        <w:rPr>
          <w:color w:val="231F20"/>
          <w:spacing w:val="14"/>
          <w:sz w:val="20"/>
        </w:rPr>
        <w:t> </w:t>
      </w:r>
      <w:r>
        <w:rPr>
          <w:color w:val="231F20"/>
          <w:sz w:val="20"/>
        </w:rPr>
        <w:t>a</w:t>
      </w:r>
      <w:r>
        <w:rPr>
          <w:color w:val="231F20"/>
          <w:spacing w:val="13"/>
          <w:sz w:val="20"/>
        </w:rPr>
        <w:t> </w:t>
      </w:r>
      <w:r>
        <w:rPr>
          <w:color w:val="231F20"/>
          <w:sz w:val="20"/>
        </w:rPr>
        <w:t>file</w:t>
      </w:r>
      <w:r>
        <w:rPr>
          <w:color w:val="231F20"/>
          <w:spacing w:val="13"/>
          <w:sz w:val="20"/>
        </w:rPr>
        <w:t> </w:t>
      </w:r>
      <w:r>
        <w:rPr>
          <w:color w:val="231F20"/>
          <w:sz w:val="20"/>
        </w:rPr>
        <w:t>that</w:t>
      </w:r>
      <w:r>
        <w:rPr>
          <w:color w:val="231F20"/>
          <w:spacing w:val="13"/>
          <w:sz w:val="20"/>
        </w:rPr>
        <w:t> </w:t>
      </w:r>
      <w:r>
        <w:rPr>
          <w:color w:val="231F20"/>
          <w:sz w:val="20"/>
        </w:rPr>
        <w:t>is</w:t>
      </w:r>
      <w:r>
        <w:rPr>
          <w:color w:val="231F20"/>
          <w:spacing w:val="13"/>
          <w:sz w:val="20"/>
        </w:rPr>
        <w:t> </w:t>
      </w:r>
      <w:r>
        <w:rPr>
          <w:color w:val="231F20"/>
          <w:sz w:val="20"/>
        </w:rPr>
        <w:t>applicable</w:t>
      </w:r>
      <w:r>
        <w:rPr>
          <w:color w:val="231F20"/>
          <w:spacing w:val="13"/>
          <w:sz w:val="20"/>
        </w:rPr>
        <w:t> </w:t>
      </w:r>
      <w:r>
        <w:rPr>
          <w:color w:val="231F20"/>
          <w:sz w:val="20"/>
        </w:rPr>
        <w:t>to</w:t>
      </w:r>
      <w:r>
        <w:rPr>
          <w:color w:val="231F20"/>
          <w:spacing w:val="13"/>
          <w:sz w:val="20"/>
        </w:rPr>
        <w:t> </w:t>
      </w:r>
      <w:r>
        <w:rPr>
          <w:color w:val="231F20"/>
          <w:sz w:val="20"/>
        </w:rPr>
        <w:t>the</w:t>
      </w:r>
      <w:r>
        <w:rPr>
          <w:color w:val="231F20"/>
          <w:spacing w:val="13"/>
          <w:sz w:val="20"/>
        </w:rPr>
        <w:t> </w:t>
      </w:r>
      <w:r>
        <w:rPr>
          <w:color w:val="231F20"/>
          <w:sz w:val="20"/>
        </w:rPr>
        <w:t>event</w:t>
      </w:r>
      <w:r>
        <w:rPr>
          <w:color w:val="231F20"/>
          <w:spacing w:val="14"/>
          <w:sz w:val="20"/>
        </w:rPr>
        <w:t> </w:t>
      </w:r>
      <w:r>
        <w:rPr>
          <w:color w:val="231F20"/>
          <w:sz w:val="20"/>
        </w:rPr>
        <w:t>by</w:t>
      </w:r>
      <w:r>
        <w:rPr>
          <w:color w:val="231F20"/>
          <w:spacing w:val="13"/>
          <w:sz w:val="20"/>
        </w:rPr>
        <w:t> </w:t>
      </w:r>
      <w:r>
        <w:rPr>
          <w:color w:val="231F20"/>
          <w:sz w:val="20"/>
        </w:rPr>
        <w:t>clicking</w:t>
      </w:r>
      <w:r>
        <w:rPr>
          <w:color w:val="231F20"/>
          <w:spacing w:val="21"/>
          <w:sz w:val="20"/>
        </w:rPr>
        <w:t> </w:t>
      </w:r>
      <w:r>
        <w:rPr>
          <w:color w:val="231F20"/>
          <w:spacing w:val="-25"/>
          <w:sz w:val="20"/>
        </w:rPr>
        <w:drawing>
          <wp:inline distT="0" distB="0" distL="0" distR="0">
            <wp:extent cx="82550" cy="76200"/>
            <wp:effectExtent l="0" t="0" r="0" b="0"/>
            <wp:docPr id="628" name="Image 628"/>
            <wp:cNvGraphicFramePr>
              <a:graphicFrameLocks/>
            </wp:cNvGraphicFramePr>
            <a:graphic>
              <a:graphicData uri="http://schemas.openxmlformats.org/drawingml/2006/picture">
                <pic:pic>
                  <pic:nvPicPr>
                    <pic:cNvPr id="628" name="Image 628"/>
                    <pic:cNvPicPr/>
                  </pic:nvPicPr>
                  <pic:blipFill>
                    <a:blip r:embed="rId175" cstate="print"/>
                    <a:stretch>
                      <a:fillRect/>
                    </a:stretch>
                  </pic:blipFill>
                  <pic:spPr>
                    <a:xfrm>
                      <a:off x="0" y="0"/>
                      <a:ext cx="82550" cy="76200"/>
                    </a:xfrm>
                    <a:prstGeom prst="rect">
                      <a:avLst/>
                    </a:prstGeom>
                  </pic:spPr>
                </pic:pic>
              </a:graphicData>
            </a:graphic>
          </wp:inline>
        </w:drawing>
      </w:r>
      <w:r>
        <w:rPr>
          <w:color w:val="231F20"/>
          <w:spacing w:val="-25"/>
          <w:sz w:val="20"/>
        </w:rPr>
      </w:r>
      <w:r>
        <w:rPr>
          <w:rFonts w:ascii="Times New Roman"/>
          <w:color w:val="231F20"/>
          <w:spacing w:val="40"/>
          <w:sz w:val="20"/>
        </w:rPr>
        <w:t> </w:t>
      </w:r>
      <w:r>
        <w:rPr>
          <w:rFonts w:ascii="Book Antiqua"/>
          <w:b/>
          <w:color w:val="231F20"/>
          <w:sz w:val="20"/>
        </w:rPr>
        <w:t>Add</w:t>
      </w:r>
      <w:r>
        <w:rPr>
          <w:rFonts w:ascii="Book Antiqua"/>
          <w:b/>
          <w:color w:val="231F20"/>
          <w:spacing w:val="13"/>
          <w:sz w:val="20"/>
        </w:rPr>
        <w:t> </w:t>
      </w:r>
      <w:r>
        <w:rPr>
          <w:rFonts w:ascii="Book Antiqua"/>
          <w:b/>
          <w:color w:val="231F20"/>
          <w:sz w:val="20"/>
        </w:rPr>
        <w:t>an</w:t>
      </w:r>
      <w:r>
        <w:rPr>
          <w:rFonts w:ascii="Book Antiqua"/>
          <w:b/>
          <w:color w:val="231F20"/>
          <w:spacing w:val="14"/>
          <w:sz w:val="20"/>
        </w:rPr>
        <w:t> </w:t>
      </w:r>
      <w:r>
        <w:rPr>
          <w:rFonts w:ascii="Book Antiqua"/>
          <w:b/>
          <w:color w:val="231F20"/>
          <w:spacing w:val="-2"/>
          <w:sz w:val="20"/>
        </w:rPr>
        <w:t>attachment</w:t>
      </w:r>
    </w:p>
    <w:p>
      <w:pPr>
        <w:pStyle w:val="BodyText"/>
        <w:spacing w:line="252" w:lineRule="exact"/>
        <w:ind w:left="3004"/>
      </w:pPr>
      <w:r>
        <w:rPr>
          <w:color w:val="231F20"/>
        </w:rPr>
        <w:t>and</w:t>
      </w:r>
      <w:r>
        <w:rPr>
          <w:color w:val="231F20"/>
          <w:spacing w:val="11"/>
        </w:rPr>
        <w:t> </w:t>
      </w:r>
      <w:r>
        <w:rPr>
          <w:color w:val="231F20"/>
        </w:rPr>
        <w:t>selecting</w:t>
      </w:r>
      <w:r>
        <w:rPr>
          <w:color w:val="231F20"/>
          <w:spacing w:val="11"/>
        </w:rPr>
        <w:t> </w:t>
      </w:r>
      <w:r>
        <w:rPr>
          <w:color w:val="231F20"/>
        </w:rPr>
        <w:t>the</w:t>
      </w:r>
      <w:r>
        <w:rPr>
          <w:color w:val="231F20"/>
          <w:spacing w:val="12"/>
        </w:rPr>
        <w:t> </w:t>
      </w:r>
      <w:r>
        <w:rPr>
          <w:color w:val="231F20"/>
          <w:spacing w:val="-2"/>
        </w:rPr>
        <w:t>file.</w:t>
      </w:r>
    </w:p>
    <w:p>
      <w:pPr>
        <w:pStyle w:val="BodyText"/>
        <w:spacing w:line="213" w:lineRule="auto" w:before="53"/>
        <w:ind w:left="3004" w:right="242" w:hanging="216"/>
      </w:pPr>
      <w:r>
        <w:rPr>
          <w:rFonts w:ascii="Futura MdCn BT"/>
          <w:color w:val="231F20"/>
        </w:rPr>
        <w:t>v</w:t>
      </w:r>
      <w:r>
        <w:rPr>
          <w:rFonts w:ascii="Futura MdCn BT"/>
          <w:color w:val="231F20"/>
          <w:spacing w:val="80"/>
        </w:rPr>
        <w:t> </w:t>
      </w:r>
      <w:r>
        <w:rPr>
          <w:color w:val="231F20"/>
        </w:rPr>
        <w:t>If your environment includes an incident management agent, such as </w:t>
      </w:r>
      <w:hyperlink r:id="rId173">
        <w:r>
          <w:rPr>
            <w:color w:val="231F20"/>
          </w:rPr>
          <w:t>IBM</w:t>
        </w:r>
      </w:hyperlink>
      <w:r>
        <w:rPr>
          <w:color w:val="231F20"/>
        </w:rPr>
        <w:t> </w:t>
      </w:r>
      <w:hyperlink r:id="rId173">
        <w:r>
          <w:rPr>
            <w:color w:val="231F20"/>
          </w:rPr>
          <w:t>Information Management,</w:t>
        </w:r>
      </w:hyperlink>
      <w:r>
        <w:rPr>
          <w:color w:val="231F20"/>
        </w:rPr>
        <w:t> and the event corresponds to an incident, enter </w:t>
      </w:r>
      <w:r>
        <w:rPr>
          <w:color w:val="231F20"/>
        </w:rPr>
        <w:t>the</w:t>
      </w:r>
      <w:r>
        <w:rPr>
          <w:color w:val="231F20"/>
        </w:rPr>
        <w:t> incident identifier in the </w:t>
      </w:r>
      <w:r>
        <w:rPr>
          <w:rFonts w:ascii="Book Antiqua"/>
          <w:b/>
          <w:color w:val="231F20"/>
        </w:rPr>
        <w:t>Reference ID </w:t>
      </w:r>
      <w:r>
        <w:rPr>
          <w:color w:val="231F20"/>
        </w:rPr>
        <w:t>field, up to 32 characters.</w:t>
      </w:r>
    </w:p>
    <w:p>
      <w:pPr>
        <w:pStyle w:val="ListParagraph"/>
        <w:numPr>
          <w:ilvl w:val="0"/>
          <w:numId w:val="22"/>
        </w:numPr>
        <w:tabs>
          <w:tab w:pos="2788" w:val="left" w:leader="none"/>
        </w:tabs>
        <w:spacing w:line="213" w:lineRule="auto" w:before="58" w:after="0"/>
        <w:ind w:left="2788" w:right="236" w:hanging="316"/>
        <w:jc w:val="left"/>
        <w:rPr>
          <w:sz w:val="20"/>
        </w:rPr>
      </w:pPr>
      <w:r>
        <w:rPr>
          <w:color w:val="231F20"/>
          <w:sz w:val="20"/>
        </w:rPr>
        <w:t>When you are finished, save your notes and settings by clicking </w:t>
      </w:r>
      <w:r>
        <w:rPr>
          <w:rFonts w:ascii="Book Antiqua"/>
          <w:b/>
          <w:color w:val="231F20"/>
          <w:sz w:val="20"/>
        </w:rPr>
        <w:t>Apply </w:t>
      </w:r>
      <w:r>
        <w:rPr>
          <w:color w:val="231F20"/>
          <w:sz w:val="20"/>
        </w:rPr>
        <w:t>to keep the Acknowledgement window open or </w:t>
      </w:r>
      <w:r>
        <w:rPr>
          <w:rFonts w:ascii="Book Antiqua"/>
          <w:b/>
          <w:color w:val="231F20"/>
          <w:sz w:val="20"/>
        </w:rPr>
        <w:t>OK </w:t>
      </w:r>
      <w:r>
        <w:rPr>
          <w:color w:val="231F20"/>
          <w:sz w:val="20"/>
        </w:rPr>
        <w:t>to close the window.</w:t>
      </w:r>
    </w:p>
    <w:p>
      <w:pPr>
        <w:spacing w:after="0" w:line="213" w:lineRule="auto"/>
        <w:jc w:val="left"/>
        <w:rPr>
          <w:sz w:val="20"/>
        </w:rPr>
        <w:sectPr>
          <w:pgSz w:w="12240" w:h="15840"/>
          <w:pgMar w:header="0" w:footer="736" w:top="1180" w:bottom="920" w:left="1000" w:right="1060"/>
        </w:sectPr>
      </w:pPr>
    </w:p>
    <w:p>
      <w:pPr>
        <w:pStyle w:val="Heading4"/>
        <w:spacing w:before="86"/>
      </w:pPr>
      <w:bookmarkStart w:name="_bookmark44" w:id="99"/>
      <w:bookmarkEnd w:id="99"/>
      <w:r>
        <w:rPr>
          <w:b w:val="0"/>
        </w:rPr>
      </w:r>
      <w:r>
        <w:rPr>
          <w:color w:val="231F20"/>
          <w:spacing w:val="-2"/>
        </w:rPr>
        <w:t>Results</w:t>
      </w:r>
    </w:p>
    <w:p>
      <w:pPr>
        <w:pStyle w:val="BodyText"/>
        <w:spacing w:line="213" w:lineRule="auto" w:before="242"/>
        <w:ind w:left="2232" w:right="545"/>
      </w:pPr>
      <w:r>
        <w:rPr>
          <w:color w:val="231F20"/>
        </w:rPr>
        <w:t>Any notes just written and attachments added are displayed in the </w:t>
      </w:r>
      <w:r>
        <w:rPr>
          <w:rFonts w:ascii="Book Antiqua"/>
          <w:b/>
          <w:color w:val="231F20"/>
        </w:rPr>
        <w:t>Notes </w:t>
      </w:r>
      <w:r>
        <w:rPr>
          <w:color w:val="231F20"/>
        </w:rPr>
        <w:t>area, including the date and time each note was added, the user ID of the author, and</w:t>
      </w:r>
      <w:r>
        <w:rPr>
          <w:color w:val="231F20"/>
          <w:spacing w:val="40"/>
        </w:rPr>
        <w:t> </w:t>
      </w:r>
      <w:r>
        <w:rPr>
          <w:color w:val="231F20"/>
        </w:rPr>
        <w:t>hypertext links to the attachments.</w:t>
      </w:r>
    </w:p>
    <w:p>
      <w:pPr>
        <w:pStyle w:val="Heading4"/>
        <w:spacing w:before="199"/>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484"/>
      </w:pPr>
      <w:r>
        <w:rPr>
          <w:color w:val="231F20"/>
        </w:rPr>
        <w:t>The</w:t>
      </w:r>
      <w:r>
        <w:rPr>
          <w:color w:val="231F20"/>
          <w:spacing w:val="28"/>
        </w:rPr>
        <w:t> </w:t>
      </w:r>
      <w:r>
        <w:rPr>
          <w:color w:val="231F20"/>
        </w:rPr>
        <w:t>acknowledged</w:t>
      </w:r>
      <w:r>
        <w:rPr>
          <w:color w:val="231F20"/>
          <w:spacing w:val="28"/>
        </w:rPr>
        <w:t> </w:t>
      </w:r>
      <w:r>
        <w:rPr>
          <w:color w:val="231F20"/>
        </w:rPr>
        <w:t>status</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event</w:t>
      </w:r>
      <w:r>
        <w:rPr>
          <w:color w:val="231F20"/>
          <w:spacing w:val="28"/>
        </w:rPr>
        <w:t> </w:t>
      </w:r>
      <w:r>
        <w:rPr>
          <w:color w:val="231F20"/>
        </w:rPr>
        <w:t>is</w:t>
      </w:r>
      <w:r>
        <w:rPr>
          <w:color w:val="231F20"/>
          <w:spacing w:val="28"/>
        </w:rPr>
        <w:t> </w:t>
      </w:r>
      <w:r>
        <w:rPr>
          <w:color w:val="231F20"/>
        </w:rPr>
        <w:t>indicated</w:t>
      </w:r>
      <w:r>
        <w:rPr>
          <w:color w:val="231F20"/>
          <w:spacing w:val="28"/>
        </w:rPr>
        <w:t> </w:t>
      </w:r>
      <w:r>
        <w:rPr>
          <w:color w:val="231F20"/>
        </w:rPr>
        <w:t>by</w:t>
      </w:r>
      <w:r>
        <w:rPr>
          <w:color w:val="231F20"/>
          <w:spacing w:val="28"/>
        </w:rPr>
        <w:t> </w:t>
      </w:r>
      <w:r>
        <w:rPr>
          <w:color w:val="231F20"/>
        </w:rPr>
        <w:t>the</w:t>
      </w:r>
      <w:r>
        <w:rPr>
          <w:color w:val="231F20"/>
          <w:spacing w:val="38"/>
        </w:rPr>
        <w:t> </w:t>
      </w:r>
      <w:r>
        <w:rPr>
          <w:color w:val="231F20"/>
          <w:spacing w:val="-25"/>
          <w:position w:val="-1"/>
        </w:rPr>
        <w:drawing>
          <wp:inline distT="0" distB="0" distL="0" distR="0">
            <wp:extent cx="95250" cy="95250"/>
            <wp:effectExtent l="0" t="0" r="0" b="0"/>
            <wp:docPr id="629" name="Image 629"/>
            <wp:cNvGraphicFramePr>
              <a:graphicFrameLocks/>
            </wp:cNvGraphicFramePr>
            <a:graphic>
              <a:graphicData uri="http://schemas.openxmlformats.org/drawingml/2006/picture">
                <pic:pic>
                  <pic:nvPicPr>
                    <pic:cNvPr id="629" name="Image 629"/>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Acknowledgement icon</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event</w:t>
      </w:r>
      <w:r>
        <w:rPr>
          <w:color w:val="231F20"/>
          <w:spacing w:val="28"/>
        </w:rPr>
        <w:t> </w:t>
      </w:r>
      <w:r>
        <w:rPr>
          <w:color w:val="231F20"/>
        </w:rPr>
        <w:t>flyover</w:t>
      </w:r>
      <w:r>
        <w:rPr>
          <w:color w:val="231F20"/>
          <w:spacing w:val="28"/>
        </w:rPr>
        <w:t> </w:t>
      </w:r>
      <w:r>
        <w:rPr>
          <w:color w:val="231F20"/>
        </w:rPr>
        <w:t>list.</w:t>
      </w:r>
      <w:r>
        <w:rPr>
          <w:color w:val="231F20"/>
          <w:spacing w:val="28"/>
        </w:rPr>
        <w:t> </w:t>
      </w:r>
      <w:r>
        <w:rPr>
          <w:color w:val="231F20"/>
        </w:rPr>
        <w:t>The</w:t>
      </w:r>
      <w:r>
        <w:rPr>
          <w:color w:val="231F20"/>
          <w:spacing w:val="28"/>
        </w:rPr>
        <w:t> </w:t>
      </w:r>
      <w:r>
        <w:rPr>
          <w:color w:val="231F20"/>
        </w:rPr>
        <w:t>message</w:t>
      </w:r>
      <w:r>
        <w:rPr>
          <w:color w:val="231F20"/>
          <w:spacing w:val="28"/>
        </w:rPr>
        <w:t> </w:t>
      </w:r>
      <w:r>
        <w:rPr>
          <w:color w:val="231F20"/>
        </w:rPr>
        <w:t>log,</w:t>
      </w:r>
      <w:r>
        <w:rPr>
          <w:color w:val="231F20"/>
          <w:spacing w:val="28"/>
        </w:rPr>
        <w:t> </w:t>
      </w:r>
      <w:r>
        <w:rPr>
          <w:color w:val="231F20"/>
        </w:rPr>
        <w:t>situation</w:t>
      </w:r>
      <w:r>
        <w:rPr>
          <w:color w:val="231F20"/>
          <w:spacing w:val="28"/>
        </w:rPr>
        <w:t> </w:t>
      </w:r>
      <w:r>
        <w:rPr>
          <w:color w:val="231F20"/>
        </w:rPr>
        <w:t>event</w:t>
      </w:r>
      <w:r>
        <w:rPr>
          <w:color w:val="231F20"/>
          <w:spacing w:val="28"/>
        </w:rPr>
        <w:t> </w:t>
      </w:r>
      <w:r>
        <w:rPr>
          <w:color w:val="231F20"/>
        </w:rPr>
        <w:t>console,</w:t>
      </w:r>
      <w:r>
        <w:rPr>
          <w:color w:val="231F20"/>
          <w:spacing w:val="28"/>
        </w:rPr>
        <w:t> </w:t>
      </w:r>
      <w:r>
        <w:rPr>
          <w:color w:val="231F20"/>
        </w:rPr>
        <w:t>and common event console views also show "Acknowledged" in the Status column. When the event is closed, the acknowledgement is removed. If you want to review the</w:t>
      </w:r>
      <w:r>
        <w:rPr>
          <w:color w:val="231F20"/>
          <w:spacing w:val="22"/>
        </w:rPr>
        <w:t> </w:t>
      </w:r>
      <w:r>
        <w:rPr>
          <w:color w:val="231F20"/>
        </w:rPr>
        <w:t>acknowledgement</w:t>
      </w:r>
      <w:r>
        <w:rPr>
          <w:color w:val="231F20"/>
          <w:spacing w:val="22"/>
        </w:rPr>
        <w:t> </w:t>
      </w:r>
      <w:r>
        <w:rPr>
          <w:color w:val="231F20"/>
        </w:rPr>
        <w:t>after</w:t>
      </w:r>
      <w:r>
        <w:rPr>
          <w:color w:val="231F20"/>
          <w:spacing w:val="22"/>
        </w:rPr>
        <w:t> </w:t>
      </w:r>
      <w:r>
        <w:rPr>
          <w:color w:val="231F20"/>
        </w:rPr>
        <w:t>it</w:t>
      </w:r>
      <w:r>
        <w:rPr>
          <w:color w:val="231F20"/>
          <w:spacing w:val="22"/>
        </w:rPr>
        <w:t> </w:t>
      </w:r>
      <w:r>
        <w:rPr>
          <w:color w:val="231F20"/>
        </w:rPr>
        <w:t>has</w:t>
      </w:r>
      <w:r>
        <w:rPr>
          <w:color w:val="231F20"/>
          <w:spacing w:val="22"/>
        </w:rPr>
        <w:t> </w:t>
      </w:r>
      <w:r>
        <w:rPr>
          <w:color w:val="231F20"/>
        </w:rPr>
        <w:t>been</w:t>
      </w:r>
      <w:r>
        <w:rPr>
          <w:color w:val="231F20"/>
          <w:spacing w:val="22"/>
        </w:rPr>
        <w:t> </w:t>
      </w:r>
      <w:r>
        <w:rPr>
          <w:color w:val="231F20"/>
        </w:rPr>
        <w:t>closed,</w:t>
      </w:r>
      <w:r>
        <w:rPr>
          <w:color w:val="231F20"/>
          <w:spacing w:val="22"/>
        </w:rPr>
        <w:t> </w:t>
      </w:r>
      <w:r>
        <w:rPr>
          <w:color w:val="231F20"/>
        </w:rPr>
        <w:t>you</w:t>
      </w:r>
      <w:r>
        <w:rPr>
          <w:color w:val="231F20"/>
          <w:spacing w:val="22"/>
        </w:rPr>
        <w:t> </w:t>
      </w:r>
      <w:r>
        <w:rPr>
          <w:color w:val="231F20"/>
        </w:rPr>
        <w:t>can</w:t>
      </w:r>
      <w:r>
        <w:rPr>
          <w:color w:val="231F20"/>
          <w:spacing w:val="22"/>
        </w:rPr>
        <w:t> </w:t>
      </w:r>
      <w:r>
        <w:rPr>
          <w:color w:val="231F20"/>
        </w:rPr>
        <w:t>access</w:t>
      </w:r>
      <w:r>
        <w:rPr>
          <w:color w:val="231F20"/>
          <w:spacing w:val="22"/>
        </w:rPr>
        <w:t> </w:t>
      </w:r>
      <w:r>
        <w:rPr>
          <w:color w:val="231F20"/>
        </w:rPr>
        <w:t>it</w:t>
      </w:r>
      <w:r>
        <w:rPr>
          <w:color w:val="231F20"/>
          <w:spacing w:val="22"/>
        </w:rPr>
        <w:t> </w:t>
      </w:r>
      <w:r>
        <w:rPr>
          <w:color w:val="231F20"/>
        </w:rPr>
        <w:t>through</w:t>
      </w:r>
      <w:r>
        <w:rPr>
          <w:color w:val="231F20"/>
          <w:spacing w:val="22"/>
        </w:rPr>
        <w:t> </w:t>
      </w:r>
      <w:r>
        <w:rPr>
          <w:color w:val="231F20"/>
        </w:rPr>
        <w:t>the</w:t>
      </w:r>
      <w:r>
        <w:rPr>
          <w:color w:val="231F20"/>
          <w:spacing w:val="22"/>
        </w:rPr>
        <w:t> </w:t>
      </w:r>
      <w:r>
        <w:rPr>
          <w:color w:val="231F20"/>
        </w:rPr>
        <w:t>view of the Enterprise Status workspace. If the acknowledgement expires before the</w:t>
      </w:r>
      <w:r>
        <w:rPr>
          <w:color w:val="231F20"/>
          <w:spacing w:val="80"/>
        </w:rPr>
        <w:t> </w:t>
      </w:r>
      <w:r>
        <w:rPr>
          <w:color w:val="231F20"/>
        </w:rPr>
        <w:t>event has been closed, the event status changes to</w:t>
      </w:r>
      <w:r>
        <w:rPr>
          <w:color w:val="231F20"/>
          <w:spacing w:val="40"/>
        </w:rPr>
        <w:t> </w:t>
      </w:r>
      <w:r>
        <w:rPr>
          <w:color w:val="231F20"/>
          <w:spacing w:val="-25"/>
          <w:position w:val="-1"/>
        </w:rPr>
        <w:drawing>
          <wp:inline distT="0" distB="0" distL="0" distR="0">
            <wp:extent cx="95250" cy="95250"/>
            <wp:effectExtent l="0" t="0" r="0" b="0"/>
            <wp:docPr id="630" name="Image 630"/>
            <wp:cNvGraphicFramePr>
              <a:graphicFrameLocks/>
            </wp:cNvGraphicFramePr>
            <a:graphic>
              <a:graphicData uri="http://schemas.openxmlformats.org/drawingml/2006/picture">
                <pic:pic>
                  <pic:nvPicPr>
                    <pic:cNvPr id="630" name="Image 630"/>
                    <pic:cNvPicPr/>
                  </pic:nvPicPr>
                  <pic:blipFill>
                    <a:blip r:embed="rId112"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Reopened.</w:t>
      </w:r>
    </w:p>
    <w:p>
      <w:pPr>
        <w:pStyle w:val="Heading3"/>
        <w:spacing w:before="214"/>
        <w:ind w:left="1334"/>
      </w:pPr>
      <w:bookmarkStart w:name="Acknowledgement status" w:id="100"/>
      <w:bookmarkEnd w:id="100"/>
      <w:r>
        <w:rPr>
          <w:b w:val="0"/>
        </w:rPr>
      </w:r>
      <w:r>
        <w:rPr>
          <w:color w:val="231F20"/>
        </w:rPr>
        <w:t>Acknowledgement</w:t>
      </w:r>
      <w:r>
        <w:rPr>
          <w:color w:val="231F20"/>
          <w:spacing w:val="-10"/>
        </w:rPr>
        <w:t> </w:t>
      </w:r>
      <w:r>
        <w:rPr>
          <w:color w:val="231F20"/>
          <w:spacing w:val="-2"/>
        </w:rPr>
        <w:t>status</w:t>
      </w:r>
    </w:p>
    <w:p>
      <w:pPr>
        <w:pStyle w:val="BodyText"/>
        <w:spacing w:line="213" w:lineRule="auto" w:before="58"/>
        <w:ind w:left="2232" w:right="545"/>
      </w:pPr>
      <w:r>
        <w:rPr>
          <w:color w:val="231F20"/>
        </w:rPr>
        <w:t>After you acknowledge an event, its status changes to </w:t>
      </w:r>
      <w:r>
        <w:rPr>
          <w:color w:val="231F20"/>
          <w:spacing w:val="-25"/>
          <w:position w:val="-1"/>
        </w:rPr>
        <w:drawing>
          <wp:inline distT="0" distB="0" distL="0" distR="0">
            <wp:extent cx="95250" cy="95249"/>
            <wp:effectExtent l="0" t="0" r="0" b="0"/>
            <wp:docPr id="631" name="Image 631"/>
            <wp:cNvGraphicFramePr>
              <a:graphicFrameLocks/>
            </wp:cNvGraphicFramePr>
            <a:graphic>
              <a:graphicData uri="http://schemas.openxmlformats.org/drawingml/2006/picture">
                <pic:pic>
                  <pic:nvPicPr>
                    <pic:cNvPr id="631" name="Image 631"/>
                    <pic:cNvPicPr/>
                  </pic:nvPicPr>
                  <pic:blipFill>
                    <a:blip r:embed="rId110" cstate="print"/>
                    <a:stretch>
                      <a:fillRect/>
                    </a:stretch>
                  </pic:blipFill>
                  <pic:spPr>
                    <a:xfrm>
                      <a:off x="0" y="0"/>
                      <a:ext cx="95250" cy="95249"/>
                    </a:xfrm>
                    <a:prstGeom prst="rect">
                      <a:avLst/>
                    </a:prstGeom>
                  </pic:spPr>
                </pic:pic>
              </a:graphicData>
            </a:graphic>
          </wp:inline>
        </w:drawing>
      </w:r>
      <w:r>
        <w:rPr>
          <w:color w:val="231F20"/>
          <w:spacing w:val="-25"/>
          <w:position w:val="-1"/>
        </w:rPr>
      </w:r>
      <w:r>
        <w:rPr>
          <w:rFonts w:ascii="Times New Roman"/>
          <w:color w:val="231F20"/>
          <w:spacing w:val="40"/>
        </w:rPr>
        <w:t> </w:t>
      </w:r>
      <w:r>
        <w:rPr>
          <w:color w:val="231F20"/>
        </w:rPr>
        <w:t>Acknowledged and </w:t>
      </w:r>
      <w:r>
        <w:rPr>
          <w:color w:val="231F20"/>
        </w:rPr>
        <w:t>is displayed in several places.</w:t>
      </w:r>
    </w:p>
    <w:p>
      <w:pPr>
        <w:pStyle w:val="BodyText"/>
        <w:spacing w:line="213" w:lineRule="auto" w:before="59"/>
        <w:ind w:left="2448" w:right="493" w:hanging="216"/>
      </w:pPr>
      <w:r>
        <w:rPr>
          <w:rFonts w:ascii="Futura MdCn BT"/>
          <w:color w:val="231F20"/>
        </w:rPr>
        <w:t>v</w:t>
      </w:r>
      <w:r>
        <w:rPr>
          <w:rFonts w:ascii="Futura MdCn BT"/>
          <w:color w:val="231F20"/>
          <w:spacing w:val="80"/>
        </w:rPr>
        <w:t> </w:t>
      </w:r>
      <w:r>
        <w:rPr>
          <w:color w:val="231F20"/>
        </w:rPr>
        <w:t>Navigator item for the event (which is displayed when you open the </w:t>
      </w:r>
      <w:r>
        <w:rPr>
          <w:color w:val="231F20"/>
        </w:rPr>
        <w:t>Situation</w:t>
      </w:r>
      <w:r>
        <w:rPr>
          <w:color w:val="231F20"/>
        </w:rPr>
        <w:t> Event Results workspace)</w:t>
      </w:r>
    </w:p>
    <w:p>
      <w:pPr>
        <w:pStyle w:val="BodyText"/>
        <w:spacing w:before="35"/>
        <w:ind w:left="2232"/>
      </w:pPr>
      <w:r>
        <w:rPr>
          <w:rFonts w:ascii="Futura MdCn BT"/>
          <w:color w:val="231F20"/>
        </w:rPr>
        <w:t>v</w:t>
      </w:r>
      <w:r>
        <w:rPr>
          <w:rFonts w:ascii="Futura MdCn BT"/>
          <w:color w:val="231F20"/>
          <w:spacing w:val="32"/>
        </w:rPr>
        <w:t>  </w:t>
      </w:r>
      <w:r>
        <w:rPr>
          <w:color w:val="231F20"/>
        </w:rPr>
        <w:t>Situation</w:t>
      </w:r>
      <w:r>
        <w:rPr>
          <w:color w:val="231F20"/>
          <w:spacing w:val="14"/>
        </w:rPr>
        <w:t> </w:t>
      </w:r>
      <w:r>
        <w:rPr>
          <w:color w:val="231F20"/>
        </w:rPr>
        <w:t>flyover</w:t>
      </w:r>
      <w:r>
        <w:rPr>
          <w:color w:val="231F20"/>
          <w:spacing w:val="13"/>
        </w:rPr>
        <w:t> </w:t>
      </w:r>
      <w:r>
        <w:rPr>
          <w:color w:val="231F20"/>
        </w:rPr>
        <w:t>list</w:t>
      </w:r>
      <w:r>
        <w:rPr>
          <w:color w:val="231F20"/>
          <w:spacing w:val="13"/>
        </w:rPr>
        <w:t> </w:t>
      </w:r>
      <w:r>
        <w:rPr>
          <w:color w:val="231F20"/>
        </w:rPr>
        <w:t>at</w:t>
      </w:r>
      <w:r>
        <w:rPr>
          <w:color w:val="231F20"/>
          <w:spacing w:val="13"/>
        </w:rPr>
        <w:t> </w:t>
      </w:r>
      <w:r>
        <w:rPr>
          <w:color w:val="231F20"/>
        </w:rPr>
        <w:t>the</w:t>
      </w:r>
      <w:r>
        <w:rPr>
          <w:color w:val="231F20"/>
          <w:spacing w:val="13"/>
        </w:rPr>
        <w:t> </w:t>
      </w:r>
      <w:r>
        <w:rPr>
          <w:color w:val="231F20"/>
        </w:rPr>
        <w:t>end</w:t>
      </w:r>
      <w:r>
        <w:rPr>
          <w:color w:val="231F20"/>
          <w:spacing w:val="13"/>
        </w:rPr>
        <w:t> </w:t>
      </w:r>
      <w:r>
        <w:rPr>
          <w:color w:val="231F20"/>
        </w:rPr>
        <w:t>of</w:t>
      </w:r>
      <w:r>
        <w:rPr>
          <w:color w:val="231F20"/>
          <w:spacing w:val="14"/>
        </w:rPr>
        <w:t> </w:t>
      </w:r>
      <w:r>
        <w:rPr>
          <w:color w:val="231F20"/>
        </w:rPr>
        <w:t>the</w:t>
      </w:r>
      <w:r>
        <w:rPr>
          <w:color w:val="231F20"/>
          <w:spacing w:val="13"/>
        </w:rPr>
        <w:t> </w:t>
      </w:r>
      <w:r>
        <w:rPr>
          <w:color w:val="231F20"/>
          <w:spacing w:val="-5"/>
        </w:rPr>
        <w:t>row</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Status column of the message log view, situation event console view, and in the Enterprise Status workspace view named My Acknowledged Events.</w:t>
      </w:r>
    </w:p>
    <w:p>
      <w:pPr>
        <w:pStyle w:val="BodyText"/>
        <w:spacing w:before="215"/>
        <w:ind w:left="2232"/>
      </w:pPr>
      <w:r>
        <w:rPr>
          <w:color w:val="231F20"/>
        </w:rPr>
        <w:t>The</w:t>
      </w:r>
      <w:r>
        <w:rPr>
          <w:color w:val="231F20"/>
          <w:spacing w:val="4"/>
        </w:rPr>
        <w:t> </w:t>
      </w:r>
      <w:r>
        <w:rPr>
          <w:color w:val="231F20"/>
        </w:rPr>
        <w:t>Acknowledged</w:t>
      </w:r>
      <w:r>
        <w:rPr>
          <w:color w:val="231F20"/>
          <w:spacing w:val="11"/>
        </w:rPr>
        <w:t> </w:t>
      </w:r>
      <w:r>
        <w:rPr>
          <w:color w:val="231F20"/>
        </w:rPr>
        <w:t>status</w:t>
      </w:r>
      <w:r>
        <w:rPr>
          <w:color w:val="231F20"/>
          <w:spacing w:val="10"/>
        </w:rPr>
        <w:t> </w:t>
      </w:r>
      <w:r>
        <w:rPr>
          <w:color w:val="231F20"/>
        </w:rPr>
        <w:t>changes</w:t>
      </w:r>
      <w:r>
        <w:rPr>
          <w:color w:val="231F20"/>
          <w:spacing w:val="11"/>
        </w:rPr>
        <w:t> </w:t>
      </w:r>
      <w:r>
        <w:rPr>
          <w:color w:val="231F20"/>
        </w:rPr>
        <w:t>to</w:t>
      </w:r>
      <w:r>
        <w:rPr>
          <w:color w:val="231F20"/>
          <w:spacing w:val="11"/>
        </w:rPr>
        <w:t> </w:t>
      </w:r>
      <w:r>
        <w:rPr>
          <w:color w:val="231F20"/>
        </w:rPr>
        <w:t>Closed</w:t>
      </w:r>
      <w:r>
        <w:rPr>
          <w:color w:val="231F20"/>
          <w:spacing w:val="11"/>
        </w:rPr>
        <w:t> </w:t>
      </w:r>
      <w:r>
        <w:rPr>
          <w:color w:val="231F20"/>
        </w:rPr>
        <w:t>when</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rPr>
        <w:t>is</w:t>
      </w:r>
      <w:r>
        <w:rPr>
          <w:color w:val="231F20"/>
          <w:spacing w:val="11"/>
        </w:rPr>
        <w:t> </w:t>
      </w:r>
      <w:r>
        <w:rPr>
          <w:color w:val="231F20"/>
        </w:rPr>
        <w:t>no</w:t>
      </w:r>
      <w:r>
        <w:rPr>
          <w:color w:val="231F20"/>
          <w:spacing w:val="11"/>
        </w:rPr>
        <w:t> </w:t>
      </w:r>
      <w:r>
        <w:rPr>
          <w:color w:val="231F20"/>
        </w:rPr>
        <w:t>longer</w:t>
      </w:r>
      <w:r>
        <w:rPr>
          <w:color w:val="231F20"/>
          <w:spacing w:val="11"/>
        </w:rPr>
        <w:t> </w:t>
      </w:r>
      <w:r>
        <w:rPr>
          <w:color w:val="231F20"/>
          <w:spacing w:val="-2"/>
        </w:rPr>
        <w:t>true.</w:t>
      </w:r>
    </w:p>
    <w:p>
      <w:pPr>
        <w:pStyle w:val="BodyText"/>
        <w:spacing w:line="213" w:lineRule="auto" w:before="232"/>
        <w:ind w:left="2232" w:right="545"/>
      </w:pPr>
      <w:r>
        <w:rPr>
          <w:color w:val="231F20"/>
        </w:rPr>
        <w:t>If the situation is still true when the acknowledgement expires, the status will change to </w:t>
      </w:r>
      <w:r>
        <w:rPr>
          <w:color w:val="231F20"/>
          <w:spacing w:val="-24"/>
          <w:position w:val="-1"/>
        </w:rPr>
        <w:drawing>
          <wp:inline distT="0" distB="0" distL="0" distR="0">
            <wp:extent cx="95250" cy="95250"/>
            <wp:effectExtent l="0" t="0" r="0" b="0"/>
            <wp:docPr id="632" name="Image 632"/>
            <wp:cNvGraphicFramePr>
              <a:graphicFrameLocks/>
            </wp:cNvGraphicFramePr>
            <a:graphic>
              <a:graphicData uri="http://schemas.openxmlformats.org/drawingml/2006/picture">
                <pic:pic>
                  <pic:nvPicPr>
                    <pic:cNvPr id="632" name="Image 632"/>
                    <pic:cNvPicPr/>
                  </pic:nvPicPr>
                  <pic:blipFill>
                    <a:blip r:embed="rId11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8"/>
        </w:rPr>
        <w:t> </w:t>
      </w:r>
      <w:r>
        <w:rPr>
          <w:color w:val="231F20"/>
        </w:rPr>
        <w:t>Expired. If the situation is still true and you cancel your </w:t>
      </w:r>
      <w:r>
        <w:rPr>
          <w:color w:val="231F20"/>
        </w:rPr>
        <w:t>ownership (remove acknowledgement) the status will change to </w:t>
      </w:r>
      <w:r>
        <w:rPr>
          <w:color w:val="231F20"/>
          <w:spacing w:val="-25"/>
          <w:position w:val="-1"/>
        </w:rPr>
        <w:drawing>
          <wp:inline distT="0" distB="0" distL="0" distR="0">
            <wp:extent cx="95250" cy="95250"/>
            <wp:effectExtent l="0" t="0" r="0" b="0"/>
            <wp:docPr id="633" name="Image 633"/>
            <wp:cNvGraphicFramePr>
              <a:graphicFrameLocks/>
            </wp:cNvGraphicFramePr>
            <a:graphic>
              <a:graphicData uri="http://schemas.openxmlformats.org/drawingml/2006/picture">
                <pic:pic>
                  <pic:nvPicPr>
                    <pic:cNvPr id="633" name="Image 633"/>
                    <pic:cNvPicPr/>
                  </pic:nvPicPr>
                  <pic:blipFill>
                    <a:blip r:embed="rId112"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Reopened.</w:t>
      </w:r>
    </w:p>
    <w:p>
      <w:pPr>
        <w:pStyle w:val="BodyText"/>
        <w:spacing w:line="213" w:lineRule="auto" w:before="237"/>
        <w:ind w:left="2232" w:right="545"/>
      </w:pPr>
      <w:r>
        <w:rPr>
          <w:color w:val="231F20"/>
        </w:rPr>
        <w:t>Although you can acknowledge a pure event, the acknowledgement does not </w:t>
      </w:r>
      <w:r>
        <w:rPr>
          <w:color w:val="231F20"/>
        </w:rPr>
        <w:t>stop the arrival of more pure events.</w:t>
      </w:r>
    </w:p>
    <w:p>
      <w:pPr>
        <w:pStyle w:val="BodyText"/>
        <w:spacing w:before="36"/>
        <w:ind w:left="2532"/>
      </w:pPr>
      <w:r>
        <w:rPr>
          <w:position w:val="-1"/>
        </w:rPr>
        <w:drawing>
          <wp:inline distT="0" distB="0" distL="0" distR="0">
            <wp:extent cx="95250" cy="101600"/>
            <wp:effectExtent l="0" t="0" r="0" b="0"/>
            <wp:docPr id="634" name="Image 634"/>
            <wp:cNvGraphicFramePr>
              <a:graphicFrameLocks/>
            </wp:cNvGraphicFramePr>
            <a:graphic>
              <a:graphicData uri="http://schemas.openxmlformats.org/drawingml/2006/picture">
                <pic:pic>
                  <pic:nvPicPr>
                    <pic:cNvPr id="634" name="Image 634"/>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color w:val="231F20"/>
        </w:rPr>
        <w:t>Enterprise</w:t>
      </w:r>
    </w:p>
    <w:p>
      <w:pPr>
        <w:pStyle w:val="BodyText"/>
        <w:spacing w:line="266" w:lineRule="auto" w:before="29"/>
        <w:ind w:left="3197" w:right="5508" w:hanging="200"/>
      </w:pPr>
      <w:r>
        <w:rPr>
          <w:position w:val="-1"/>
        </w:rPr>
        <w:drawing>
          <wp:inline distT="0" distB="0" distL="0" distR="0">
            <wp:extent cx="101600" cy="95250"/>
            <wp:effectExtent l="0" t="0" r="0" b="0"/>
            <wp:docPr id="635" name="Image 635"/>
            <wp:cNvGraphicFramePr>
              <a:graphicFrameLocks/>
            </wp:cNvGraphicFramePr>
            <a:graphic>
              <a:graphicData uri="http://schemas.openxmlformats.org/drawingml/2006/picture">
                <pic:pic>
                  <pic:nvPicPr>
                    <pic:cNvPr id="635" name="Image 635"/>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rPr>
        <w:t> </w:t>
      </w:r>
      <w:r>
        <w:rPr>
          <w:color w:val="231F20"/>
        </w:rPr>
        <w:t>UNIX Systems</w:t>
      </w:r>
      <w:r>
        <w:rPr>
          <w:color w:val="231F20"/>
          <w:spacing w:val="40"/>
        </w:rPr>
        <w:t> </w:t>
      </w:r>
      <w:r>
        <w:rPr>
          <w:color w:val="231F20"/>
          <w:position w:val="-1"/>
        </w:rPr>
        <w:drawing>
          <wp:inline distT="0" distB="0" distL="0" distR="0">
            <wp:extent cx="101600" cy="95250"/>
            <wp:effectExtent l="0" t="0" r="0" b="0"/>
            <wp:docPr id="636" name="Image 636"/>
            <wp:cNvGraphicFramePr>
              <a:graphicFrameLocks/>
            </wp:cNvGraphicFramePr>
            <a:graphic>
              <a:graphicData uri="http://schemas.openxmlformats.org/drawingml/2006/picture">
                <pic:pic>
                  <pic:nvPicPr>
                    <pic:cNvPr id="636" name="Image 636"/>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25"/>
        </w:rPr>
        <w:t> </w:t>
      </w:r>
      <w:r>
        <w:rPr>
          <w:color w:val="231F20"/>
        </w:rPr>
        <w:t>BigComputer</w:t>
      </w:r>
    </w:p>
    <w:p>
      <w:pPr>
        <w:pStyle w:val="BodyText"/>
        <w:spacing w:line="269" w:lineRule="exact"/>
        <w:ind w:left="3406"/>
      </w:pPr>
      <w:r>
        <w:rPr>
          <w:position w:val="-1"/>
        </w:rPr>
        <w:drawing>
          <wp:inline distT="0" distB="0" distL="0" distR="0">
            <wp:extent cx="95250" cy="95250"/>
            <wp:effectExtent l="0" t="0" r="0" b="0"/>
            <wp:docPr id="637" name="Image 637"/>
            <wp:cNvGraphicFramePr>
              <a:graphicFrameLocks/>
            </wp:cNvGraphicFramePr>
            <a:graphic>
              <a:graphicData uri="http://schemas.openxmlformats.org/drawingml/2006/picture">
                <pic:pic>
                  <pic:nvPicPr>
                    <pic:cNvPr id="637" name="Image 637"/>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rPr>
        <w:t> </w:t>
      </w:r>
      <w:r>
        <w:rPr>
          <w:color w:val="231F20"/>
        </w:rPr>
        <w:t>Oracle</w:t>
      </w:r>
    </w:p>
    <w:p>
      <w:pPr>
        <w:pStyle w:val="BodyText"/>
        <w:spacing w:before="30"/>
        <w:ind w:left="3606"/>
      </w:pPr>
      <w:r>
        <w:rPr>
          <w:position w:val="-1"/>
        </w:rPr>
        <w:drawing>
          <wp:inline distT="0" distB="0" distL="0" distR="0">
            <wp:extent cx="88900" cy="101600"/>
            <wp:effectExtent l="0" t="0" r="0" b="0"/>
            <wp:docPr id="638" name="Image 638"/>
            <wp:cNvGraphicFramePr>
              <a:graphicFrameLocks/>
            </wp:cNvGraphicFramePr>
            <a:graphic>
              <a:graphicData uri="http://schemas.openxmlformats.org/drawingml/2006/picture">
                <pic:pic>
                  <pic:nvPicPr>
                    <pic:cNvPr id="638" name="Image 63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80"/>
        </w:rPr>
        <w:t> </w:t>
      </w:r>
      <w:r>
        <w:rPr>
          <w:color w:val="231F20"/>
        </w:rPr>
        <w:t>Cache Totals</w:t>
      </w:r>
    </w:p>
    <w:p>
      <w:pPr>
        <w:pStyle w:val="BodyText"/>
        <w:spacing w:line="266" w:lineRule="auto" w:before="29"/>
        <w:ind w:left="3636" w:right="3150" w:firstLine="169"/>
      </w:pPr>
      <w:r>
        <w:rPr>
          <w:position w:val="-1"/>
        </w:rPr>
        <w:drawing>
          <wp:inline distT="0" distB="0" distL="0" distR="0">
            <wp:extent cx="95250" cy="95250"/>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110"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24"/>
        </w:rPr>
        <w:t> </w:t>
      </w:r>
      <w:r>
        <w:rPr>
          <w:color w:val="231F20"/>
        </w:rPr>
        <w:t>Oracle_Library_Reloads_Pct_Crit </w:t>
      </w:r>
      <w:r>
        <w:rPr>
          <w:color w:val="231F20"/>
          <w:position w:val="2"/>
        </w:rPr>
        <w:drawing>
          <wp:inline distT="0" distB="0" distL="0" distR="0">
            <wp:extent cx="31750" cy="44450"/>
            <wp:effectExtent l="0" t="0" r="0" b="0"/>
            <wp:docPr id="640" name="Image 640"/>
            <wp:cNvGraphicFramePr>
              <a:graphicFrameLocks/>
            </wp:cNvGraphicFramePr>
            <a:graphic>
              <a:graphicData uri="http://schemas.openxmlformats.org/drawingml/2006/picture">
                <pic:pic>
                  <pic:nvPicPr>
                    <pic:cNvPr id="640" name="Image 640"/>
                    <pic:cNvPicPr/>
                  </pic:nvPicPr>
                  <pic:blipFill>
                    <a:blip r:embed="rId115" cstate="print"/>
                    <a:stretch>
                      <a:fillRect/>
                    </a:stretch>
                  </pic:blipFill>
                  <pic:spPr>
                    <a:xfrm>
                      <a:off x="0" y="0"/>
                      <a:ext cx="31750" cy="44450"/>
                    </a:xfrm>
                    <a:prstGeom prst="rect">
                      <a:avLst/>
                    </a:prstGeom>
                  </pic:spPr>
                </pic:pic>
              </a:graphicData>
            </a:graphic>
          </wp:inline>
        </w:drawing>
      </w:r>
      <w:r>
        <w:rPr>
          <w:color w:val="231F20"/>
          <w:position w:val="2"/>
        </w:rPr>
      </w:r>
      <w:r>
        <w:rPr>
          <w:rFonts w:ascii="Times New Roman"/>
          <w:color w:val="231F20"/>
          <w:spacing w:val="80"/>
        </w:rPr>
        <w:t> </w:t>
      </w:r>
      <w:r>
        <w:rPr>
          <w:color w:val="231F20"/>
        </w:rPr>
        <w:t>More...</w:t>
      </w:r>
    </w:p>
    <w:p>
      <w:pPr>
        <w:pStyle w:val="BodyText"/>
        <w:spacing w:line="269" w:lineRule="exact"/>
        <w:ind w:left="3436"/>
      </w:pPr>
      <w:r>
        <w:rPr>
          <w:position w:val="2"/>
        </w:rPr>
        <w:drawing>
          <wp:inline distT="0" distB="0" distL="0" distR="0">
            <wp:extent cx="31750" cy="44450"/>
            <wp:effectExtent l="0" t="0" r="0" b="0"/>
            <wp:docPr id="641" name="Image 641"/>
            <wp:cNvGraphicFramePr>
              <a:graphicFrameLocks/>
            </wp:cNvGraphicFramePr>
            <a:graphic>
              <a:graphicData uri="http://schemas.openxmlformats.org/drawingml/2006/picture">
                <pic:pic>
                  <pic:nvPicPr>
                    <pic:cNvPr id="641" name="Image 641"/>
                    <pic:cNvPicPr/>
                  </pic:nvPicPr>
                  <pic:blipFill>
                    <a:blip r:embed="rId115" cstate="print"/>
                    <a:stretch>
                      <a:fillRect/>
                    </a:stretch>
                  </pic:blipFill>
                  <pic:spPr>
                    <a:xfrm>
                      <a:off x="0" y="0"/>
                      <a:ext cx="31750" cy="44450"/>
                    </a:xfrm>
                    <a:prstGeom prst="rect">
                      <a:avLst/>
                    </a:prstGeom>
                  </pic:spPr>
                </pic:pic>
              </a:graphicData>
            </a:graphic>
          </wp:inline>
        </w:drawing>
      </w:r>
      <w:r>
        <w:rPr>
          <w:position w:val="2"/>
        </w:rPr>
      </w:r>
      <w:r>
        <w:rPr>
          <w:rFonts w:ascii="Times New Roman"/>
          <w:spacing w:val="80"/>
        </w:rPr>
        <w:t> </w:t>
      </w:r>
      <w:r>
        <w:rPr>
          <w:color w:val="231F20"/>
        </w:rPr>
        <w:t>More...</w:t>
      </w:r>
    </w:p>
    <w:p>
      <w:pPr>
        <w:pStyle w:val="BodyText"/>
        <w:spacing w:before="30"/>
        <w:ind w:left="3237"/>
      </w:pPr>
      <w:r>
        <w:rPr>
          <w:position w:val="2"/>
        </w:rPr>
        <w:drawing>
          <wp:inline distT="0" distB="0" distL="0" distR="0">
            <wp:extent cx="31750" cy="44450"/>
            <wp:effectExtent l="0" t="0" r="0" b="0"/>
            <wp:docPr id="642" name="Image 642"/>
            <wp:cNvGraphicFramePr>
              <a:graphicFrameLocks/>
            </wp:cNvGraphicFramePr>
            <a:graphic>
              <a:graphicData uri="http://schemas.openxmlformats.org/drawingml/2006/picture">
                <pic:pic>
                  <pic:nvPicPr>
                    <pic:cNvPr id="642" name="Image 642"/>
                    <pic:cNvPicPr/>
                  </pic:nvPicPr>
                  <pic:blipFill>
                    <a:blip r:embed="rId115" cstate="print"/>
                    <a:stretch>
                      <a:fillRect/>
                    </a:stretch>
                  </pic:blipFill>
                  <pic:spPr>
                    <a:xfrm>
                      <a:off x="0" y="0"/>
                      <a:ext cx="31750" cy="44450"/>
                    </a:xfrm>
                    <a:prstGeom prst="rect">
                      <a:avLst/>
                    </a:prstGeom>
                  </pic:spPr>
                </pic:pic>
              </a:graphicData>
            </a:graphic>
          </wp:inline>
        </w:drawing>
      </w:r>
      <w:r>
        <w:rPr>
          <w:position w:val="2"/>
        </w:rPr>
      </w:r>
      <w:r>
        <w:rPr>
          <w:rFonts w:ascii="Times New Roman"/>
          <w:spacing w:val="116"/>
        </w:rPr>
        <w:t> </w:t>
      </w:r>
      <w:bookmarkStart w:name="Reviewing the acknowledgement and adding" w:id="101"/>
      <w:bookmarkEnd w:id="101"/>
      <w:r>
        <w:rPr>
          <w:rFonts w:ascii="Times New Roman"/>
          <w:spacing w:val="16"/>
        </w:rPr>
      </w:r>
      <w:r>
        <w:rPr>
          <w:color w:val="231F20"/>
        </w:rPr>
        <w:t>More...</w:t>
      </w:r>
    </w:p>
    <w:p>
      <w:pPr>
        <w:pStyle w:val="Heading3"/>
        <w:spacing w:before="211"/>
        <w:ind w:left="1334"/>
      </w:pPr>
      <w:r>
        <w:rPr>
          <w:color w:val="231F20"/>
        </w:rPr>
        <w:t>Reviewing</w:t>
      </w:r>
      <w:r>
        <w:rPr>
          <w:color w:val="231F20"/>
          <w:spacing w:val="3"/>
        </w:rPr>
        <w:t> </w:t>
      </w:r>
      <w:r>
        <w:rPr>
          <w:color w:val="231F20"/>
        </w:rPr>
        <w:t>the</w:t>
      </w:r>
      <w:r>
        <w:rPr>
          <w:color w:val="231F20"/>
          <w:spacing w:val="4"/>
        </w:rPr>
        <w:t> </w:t>
      </w:r>
      <w:r>
        <w:rPr>
          <w:color w:val="231F20"/>
        </w:rPr>
        <w:t>acknowledgement</w:t>
      </w:r>
      <w:r>
        <w:rPr>
          <w:color w:val="231F20"/>
          <w:spacing w:val="4"/>
        </w:rPr>
        <w:t> </w:t>
      </w:r>
      <w:r>
        <w:rPr>
          <w:color w:val="231F20"/>
        </w:rPr>
        <w:t>and</w:t>
      </w:r>
      <w:r>
        <w:rPr>
          <w:color w:val="231F20"/>
          <w:spacing w:val="3"/>
        </w:rPr>
        <w:t> </w:t>
      </w:r>
      <w:r>
        <w:rPr>
          <w:color w:val="231F20"/>
        </w:rPr>
        <w:t>adding</w:t>
      </w:r>
      <w:r>
        <w:rPr>
          <w:color w:val="231F20"/>
          <w:spacing w:val="4"/>
        </w:rPr>
        <w:t> </w:t>
      </w:r>
      <w:r>
        <w:rPr>
          <w:color w:val="231F20"/>
          <w:spacing w:val="-2"/>
        </w:rPr>
        <w:t>notes</w:t>
      </w:r>
    </w:p>
    <w:p>
      <w:pPr>
        <w:pStyle w:val="Heading4"/>
        <w:spacing w:before="20"/>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36"/>
      </w:pPr>
      <w:r>
        <w:rPr>
          <w:color w:val="231F20"/>
        </w:rPr>
        <w:t>The Acknowledgement feature includes a window for adding notes about the</w:t>
      </w:r>
      <w:r>
        <w:rPr>
          <w:color w:val="231F20"/>
          <w:spacing w:val="80"/>
        </w:rPr>
        <w:t> </w:t>
      </w:r>
      <w:r>
        <w:rPr>
          <w:color w:val="231F20"/>
        </w:rPr>
        <w:t>event and for attaching files. You can review all the notes that have been written during the lifetime of an open event, including notes that were added before the acknowledgement expired and those that are added automatically when an acknowledgement is removed. And you can append notes and attachments at </w:t>
      </w:r>
      <w:r>
        <w:rPr>
          <w:color w:val="231F20"/>
        </w:rPr>
        <w:t>any </w:t>
      </w:r>
      <w:r>
        <w:rPr>
          <w:color w:val="231F20"/>
          <w:spacing w:val="-2"/>
        </w:rPr>
        <w:t>time.</w:t>
      </w:r>
    </w:p>
    <w:p>
      <w:pPr>
        <w:spacing w:after="0" w:line="213" w:lineRule="auto"/>
        <w:sectPr>
          <w:pgSz w:w="12240" w:h="15840"/>
          <w:pgMar w:header="0" w:footer="736" w:top="1140" w:bottom="920" w:left="1000" w:right="1060"/>
        </w:sectPr>
      </w:pPr>
    </w:p>
    <w:p>
      <w:pPr>
        <w:pStyle w:val="Heading4"/>
        <w:spacing w:before="86"/>
        <w:ind w:left="2472"/>
      </w:pPr>
      <w:bookmarkStart w:name="_bookmark45" w:id="102"/>
      <w:bookmarkEnd w:id="102"/>
      <w:r>
        <w:rPr>
          <w:b w:val="0"/>
        </w:rPr>
      </w:r>
      <w:r>
        <w:rPr>
          <w:color w:val="231F20"/>
          <w:spacing w:val="-2"/>
        </w:rPr>
        <w:t>Procedure</w:t>
      </w:r>
    </w:p>
    <w:p>
      <w:pPr>
        <w:pStyle w:val="ListParagraph"/>
        <w:numPr>
          <w:ilvl w:val="0"/>
          <w:numId w:val="23"/>
        </w:numPr>
        <w:tabs>
          <w:tab w:pos="2787" w:val="left" w:leader="none"/>
        </w:tabs>
        <w:spacing w:line="240" w:lineRule="auto" w:before="39" w:after="0"/>
        <w:ind w:left="2787" w:right="0" w:hanging="315"/>
        <w:jc w:val="left"/>
        <w:rPr>
          <w:sz w:val="20"/>
        </w:rPr>
      </w:pP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pStyle w:val="BodyText"/>
        <w:spacing w:line="213" w:lineRule="auto" w:before="53"/>
        <w:ind w:left="3004" w:right="493" w:hanging="216"/>
      </w:pPr>
      <w:r>
        <w:rPr>
          <w:rFonts w:ascii="Futura MdCn BT"/>
          <w:color w:val="231F20"/>
        </w:rPr>
        <w:t>v</w:t>
      </w:r>
      <w:r>
        <w:rPr>
          <w:rFonts w:ascii="Futura MdCn BT"/>
          <w:color w:val="231F20"/>
          <w:spacing w:val="80"/>
        </w:rPr>
        <w:t> </w:t>
      </w:r>
      <w:r>
        <w:rPr>
          <w:color w:val="231F20"/>
        </w:rPr>
        <w:t>Move the mouse pointer over an event indicator (such as </w:t>
      </w:r>
      <w:r>
        <w:rPr>
          <w:color w:val="231F20"/>
          <w:spacing w:val="15"/>
        </w:rPr>
        <w:drawing>
          <wp:inline distT="0" distB="0" distL="0" distR="0">
            <wp:extent cx="57150" cy="57150"/>
            <wp:effectExtent l="0" t="0" r="0" b="0"/>
            <wp:docPr id="643" name="Image 643"/>
            <wp:cNvGraphicFramePr>
              <a:graphicFrameLocks/>
            </wp:cNvGraphicFramePr>
            <a:graphic>
              <a:graphicData uri="http://schemas.openxmlformats.org/drawingml/2006/picture">
                <pic:pic>
                  <pic:nvPicPr>
                    <pic:cNvPr id="643" name="Image 643"/>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40"/>
        </w:rPr>
        <w:t> </w:t>
      </w:r>
      <w:r>
        <w:rPr>
          <w:color w:val="231F20"/>
        </w:rPr>
        <w:t>or </w:t>
      </w:r>
      <w:r>
        <w:rPr>
          <w:color w:val="231F20"/>
          <w:spacing w:val="16"/>
        </w:rPr>
        <w:drawing>
          <wp:inline distT="0" distB="0" distL="0" distR="0">
            <wp:extent cx="57150" cy="57150"/>
            <wp:effectExtent l="0" t="0" r="0" b="0"/>
            <wp:docPr id="644" name="Image 644"/>
            <wp:cNvGraphicFramePr>
              <a:graphicFrameLocks/>
            </wp:cNvGraphicFramePr>
            <a:graphic>
              <a:graphicData uri="http://schemas.openxmlformats.org/drawingml/2006/picture">
                <pic:pic>
                  <pic:nvPicPr>
                    <pic:cNvPr id="644" name="Image 644"/>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2"/>
        </w:rPr>
        <w:t> </w:t>
      </w:r>
      <w:r>
        <w:rPr>
          <w:color w:val="231F20"/>
        </w:rPr>
        <w:t>) in the</w:t>
      </w:r>
      <w:r>
        <w:rPr>
          <w:color w:val="231F20"/>
          <w:spacing w:val="40"/>
        </w:rPr>
        <w:t> </w:t>
      </w:r>
      <w:r>
        <w:rPr>
          <w:color w:val="231F20"/>
        </w:rPr>
        <w:t>Navigator view to open the flyover list of open events, then right-click </w:t>
      </w:r>
      <w:r>
        <w:rPr>
          <w:color w:val="231F20"/>
        </w:rPr>
        <w:t>the</w:t>
      </w:r>
      <w:r>
        <w:rPr>
          <w:color w:val="231F20"/>
        </w:rPr>
        <w:t> acknowledged event.</w:t>
      </w:r>
    </w:p>
    <w:p>
      <w:pPr>
        <w:pStyle w:val="BodyText"/>
        <w:spacing w:line="213" w:lineRule="auto" w:before="57"/>
        <w:ind w:left="3004" w:right="385" w:hanging="216"/>
      </w:pPr>
      <w:r>
        <w:rPr>
          <w:rFonts w:ascii="Futura MdCn BT"/>
          <w:color w:val="231F20"/>
        </w:rPr>
        <w:t>v</w:t>
      </w:r>
      <w:r>
        <w:rPr>
          <w:rFonts w:ascii="Futura MdCn BT"/>
          <w:color w:val="231F20"/>
          <w:spacing w:val="80"/>
        </w:rPr>
        <w:t> </w:t>
      </w:r>
      <w:r>
        <w:rPr>
          <w:color w:val="231F20"/>
        </w:rPr>
        <w:t>If you have opened the event results workspace, right-click the</w:t>
      </w:r>
      <w:r>
        <w:rPr>
          <w:color w:val="231F20"/>
          <w:spacing w:val="22"/>
        </w:rPr>
        <w:t> </w:t>
      </w:r>
      <w:r>
        <w:rPr>
          <w:color w:val="231F20"/>
          <w:spacing w:val="24"/>
          <w:position w:val="-1"/>
        </w:rPr>
        <w:drawing>
          <wp:inline distT="0" distB="0" distL="0" distR="0">
            <wp:extent cx="95250" cy="95250"/>
            <wp:effectExtent l="0" t="0" r="0" b="0"/>
            <wp:docPr id="645" name="Image 645"/>
            <wp:cNvGraphicFramePr>
              <a:graphicFrameLocks/>
            </wp:cNvGraphicFramePr>
            <a:graphic>
              <a:graphicData uri="http://schemas.openxmlformats.org/drawingml/2006/picture">
                <pic:pic>
                  <pic:nvPicPr>
                    <pic:cNvPr id="645" name="Image 645"/>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rPr>
        <w:t> </w:t>
      </w:r>
      <w:r>
        <w:rPr>
          <w:color w:val="231F20"/>
        </w:rPr>
        <w:t>event item</w:t>
      </w:r>
      <w:r>
        <w:rPr>
          <w:color w:val="231F20"/>
          <w:spacing w:val="80"/>
        </w:rPr>
        <w:t> </w:t>
      </w:r>
      <w:r>
        <w:rPr>
          <w:color w:val="231F20"/>
        </w:rPr>
        <w:t>in the Navigator.</w:t>
      </w:r>
    </w:p>
    <w:p>
      <w:pPr>
        <w:pStyle w:val="BodyText"/>
        <w:spacing w:line="213" w:lineRule="auto" w:before="59"/>
        <w:ind w:left="3004" w:right="385" w:hanging="216"/>
      </w:pPr>
      <w:r>
        <w:rPr>
          <w:rFonts w:ascii="Futura MdCn BT"/>
          <w:color w:val="231F20"/>
        </w:rPr>
        <w:t>v</w:t>
      </w:r>
      <w:r>
        <w:rPr>
          <w:rFonts w:ascii="Futura MdCn BT"/>
          <w:color w:val="231F20"/>
          <w:spacing w:val="80"/>
        </w:rPr>
        <w:t> </w:t>
      </w:r>
      <w:r>
        <w:rPr>
          <w:color w:val="231F20"/>
        </w:rPr>
        <w:t>In the situation event console view, right-click a row where the Status </w:t>
      </w:r>
      <w:r>
        <w:rPr>
          <w:color w:val="231F20"/>
        </w:rPr>
        <w:t>shows</w:t>
      </w:r>
      <w:r>
        <w:rPr>
          <w:color w:val="231F20"/>
        </w:rPr>
        <w:t> as Acknowledged.</w:t>
      </w:r>
    </w:p>
    <w:p>
      <w:pPr>
        <w:pStyle w:val="BodyText"/>
        <w:spacing w:line="213" w:lineRule="auto" w:before="58"/>
        <w:ind w:left="3004" w:right="493" w:hanging="216"/>
      </w:pPr>
      <w:r>
        <w:rPr>
          <w:rFonts w:ascii="Futura MdCn BT"/>
          <w:color w:val="231F20"/>
        </w:rPr>
        <w:t>v</w:t>
      </w:r>
      <w:r>
        <w:rPr>
          <w:rFonts w:ascii="Futura MdCn BT"/>
          <w:color w:val="231F20"/>
          <w:spacing w:val="80"/>
        </w:rPr>
        <w:t> </w:t>
      </w:r>
      <w:r>
        <w:rPr>
          <w:color w:val="231F20"/>
        </w:rPr>
        <w:t>In the Enterprise Status workspace, right-click a row in the </w:t>
      </w:r>
      <w:r>
        <w:rPr>
          <w:color w:val="231F20"/>
        </w:rPr>
        <w:t>My</w:t>
      </w:r>
      <w:r>
        <w:rPr>
          <w:color w:val="231F20"/>
        </w:rPr>
        <w:t> Acknowledged Events view.</w:t>
      </w:r>
    </w:p>
    <w:p>
      <w:pPr>
        <w:pStyle w:val="ListParagraph"/>
        <w:numPr>
          <w:ilvl w:val="0"/>
          <w:numId w:val="23"/>
        </w:numPr>
        <w:tabs>
          <w:tab w:pos="2787" w:val="left" w:leader="none"/>
        </w:tabs>
        <w:spacing w:line="240" w:lineRule="auto" w:before="36" w:after="0"/>
        <w:ind w:left="2787" w:right="0" w:hanging="315"/>
        <w:jc w:val="left"/>
        <w:rPr>
          <w:rFonts w:ascii="Book Antiqua"/>
          <w:b/>
          <w:sz w:val="20"/>
        </w:rPr>
      </w:pPr>
      <w:r>
        <w:rPr>
          <w:color w:val="231F20"/>
          <w:sz w:val="20"/>
        </w:rPr>
        <w:t>Click</w:t>
      </w:r>
      <w:r>
        <w:rPr>
          <w:color w:val="231F20"/>
          <w:spacing w:val="33"/>
          <w:sz w:val="20"/>
        </w:rPr>
        <w:t> </w:t>
      </w:r>
      <w:r>
        <w:rPr>
          <w:color w:val="231F20"/>
          <w:spacing w:val="-14"/>
          <w:position w:val="-1"/>
          <w:sz w:val="20"/>
        </w:rPr>
        <w:drawing>
          <wp:inline distT="0" distB="0" distL="0" distR="0">
            <wp:extent cx="82550" cy="101600"/>
            <wp:effectExtent l="0" t="0" r="0" b="0"/>
            <wp:docPr id="646" name="Image 646"/>
            <wp:cNvGraphicFramePr>
              <a:graphicFrameLocks/>
            </wp:cNvGraphicFramePr>
            <a:graphic>
              <a:graphicData uri="http://schemas.openxmlformats.org/drawingml/2006/picture">
                <pic:pic>
                  <pic:nvPicPr>
                    <pic:cNvPr id="646" name="Image 646"/>
                    <pic:cNvPicPr/>
                  </pic:nvPicPr>
                  <pic:blipFill>
                    <a:blip r:embed="rId49"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59"/>
          <w:w w:val="150"/>
          <w:sz w:val="20"/>
        </w:rPr>
        <w:t> </w:t>
      </w:r>
      <w:r>
        <w:rPr>
          <w:rFonts w:ascii="Book Antiqua"/>
          <w:b/>
          <w:color w:val="231F20"/>
          <w:sz w:val="20"/>
        </w:rPr>
        <w:t>Event</w:t>
      </w:r>
      <w:r>
        <w:rPr>
          <w:rFonts w:ascii="Book Antiqua"/>
          <w:b/>
          <w:color w:val="231F20"/>
          <w:spacing w:val="14"/>
          <w:sz w:val="20"/>
        </w:rPr>
        <w:t> </w:t>
      </w:r>
      <w:r>
        <w:rPr>
          <w:rFonts w:ascii="Book Antiqua"/>
          <w:b/>
          <w:color w:val="231F20"/>
          <w:spacing w:val="-2"/>
          <w:sz w:val="20"/>
        </w:rPr>
        <w:t>Notes</w:t>
      </w:r>
    </w:p>
    <w:p>
      <w:pPr>
        <w:pStyle w:val="Heading4"/>
        <w:spacing w:before="194"/>
        <w:ind w:left="2472"/>
      </w:pPr>
      <w:r>
        <w:rPr>
          <w:color w:val="231F20"/>
          <w:spacing w:val="-2"/>
        </w:rPr>
        <w:t>Results</w:t>
      </w:r>
    </w:p>
    <w:p>
      <w:pPr>
        <w:pStyle w:val="BodyText"/>
        <w:spacing w:line="213" w:lineRule="auto" w:before="241"/>
        <w:ind w:left="2472" w:right="493"/>
      </w:pPr>
      <w:r>
        <w:rPr>
          <w:color w:val="231F20"/>
        </w:rPr>
        <w:t>The Event Notes window opens for you to review and add notes for this </w:t>
      </w:r>
      <w:r>
        <w:rPr>
          <w:color w:val="231F20"/>
        </w:rPr>
        <w:t>event. You can also attach files.</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379"/>
      </w:pPr>
      <w:r>
        <w:rPr>
          <w:color w:val="231F20"/>
        </w:rPr>
        <w:t>You can open the window to review the notes and open attachments for the event</w:t>
      </w:r>
      <w:r>
        <w:rPr>
          <w:color w:val="231F20"/>
          <w:spacing w:val="40"/>
        </w:rPr>
        <w:t> </w:t>
      </w:r>
      <w:r>
        <w:rPr>
          <w:color w:val="231F20"/>
        </w:rPr>
        <w:t>at any time, event after the event has been closed.</w:t>
      </w:r>
    </w:p>
    <w:p>
      <w:pPr>
        <w:pStyle w:val="Heading3"/>
        <w:spacing w:before="217"/>
        <w:ind w:left="1574"/>
      </w:pPr>
      <w:bookmarkStart w:name="Adding notes to an acknowledged event" w:id="103"/>
      <w:bookmarkEnd w:id="103"/>
      <w:r>
        <w:rPr>
          <w:b w:val="0"/>
        </w:rPr>
      </w:r>
      <w:r>
        <w:rPr>
          <w:color w:val="231F20"/>
        </w:rPr>
        <w:t>Adding</w:t>
      </w:r>
      <w:r>
        <w:rPr>
          <w:color w:val="231F20"/>
          <w:spacing w:val="6"/>
        </w:rPr>
        <w:t> </w:t>
      </w:r>
      <w:r>
        <w:rPr>
          <w:color w:val="231F20"/>
        </w:rPr>
        <w:t>notes</w:t>
      </w:r>
      <w:r>
        <w:rPr>
          <w:color w:val="231F20"/>
          <w:spacing w:val="7"/>
        </w:rPr>
        <w:t> </w:t>
      </w:r>
      <w:r>
        <w:rPr>
          <w:color w:val="231F20"/>
        </w:rPr>
        <w:t>to</w:t>
      </w:r>
      <w:r>
        <w:rPr>
          <w:color w:val="231F20"/>
          <w:spacing w:val="6"/>
        </w:rPr>
        <w:t> </w:t>
      </w:r>
      <w:r>
        <w:rPr>
          <w:color w:val="231F20"/>
        </w:rPr>
        <w:t>an</w:t>
      </w:r>
      <w:r>
        <w:rPr>
          <w:color w:val="231F20"/>
          <w:spacing w:val="7"/>
        </w:rPr>
        <w:t> </w:t>
      </w:r>
      <w:r>
        <w:rPr>
          <w:color w:val="231F20"/>
        </w:rPr>
        <w:t>acknowledged</w:t>
      </w:r>
      <w:r>
        <w:rPr>
          <w:color w:val="231F20"/>
          <w:spacing w:val="6"/>
        </w:rPr>
        <w:t> </w:t>
      </w:r>
      <w:r>
        <w:rPr>
          <w:color w:val="231F20"/>
          <w:spacing w:val="-4"/>
        </w:rPr>
        <w:t>event</w:t>
      </w:r>
    </w:p>
    <w:p>
      <w:pPr>
        <w:pStyle w:val="Heading4"/>
        <w:spacing w:before="20"/>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74"/>
      </w:pPr>
      <w:r>
        <w:rPr>
          <w:color w:val="231F20"/>
        </w:rPr>
        <w:t>You can add notes when you acknowledge an event or after an acknowledgement has been created (but not to events that are in the Open or Closed state) by you or</w:t>
      </w:r>
      <w:r>
        <w:rPr>
          <w:color w:val="231F20"/>
          <w:spacing w:val="40"/>
        </w:rPr>
        <w:t> </w:t>
      </w:r>
      <w:r>
        <w:rPr>
          <w:color w:val="231F20"/>
        </w:rPr>
        <w:t>another</w:t>
      </w:r>
      <w:r>
        <w:rPr>
          <w:color w:val="231F20"/>
          <w:spacing w:val="26"/>
        </w:rPr>
        <w:t> </w:t>
      </w:r>
      <w:r>
        <w:rPr>
          <w:color w:val="231F20"/>
        </w:rPr>
        <w:t>user.</w:t>
      </w:r>
      <w:r>
        <w:rPr>
          <w:color w:val="231F20"/>
          <w:spacing w:val="26"/>
        </w:rPr>
        <w:t> </w:t>
      </w:r>
      <w:r>
        <w:rPr>
          <w:rFonts w:ascii="Book Antiqua"/>
          <w:b/>
          <w:color w:val="231F20"/>
        </w:rPr>
        <w:t>Notes</w:t>
      </w:r>
      <w:r>
        <w:rPr>
          <w:rFonts w:ascii="Book Antiqua"/>
          <w:b/>
          <w:color w:val="231F20"/>
          <w:spacing w:val="26"/>
        </w:rPr>
        <w:t> </w:t>
      </w:r>
      <w:r>
        <w:rPr>
          <w:color w:val="231F20"/>
        </w:rPr>
        <w:t>enable</w:t>
      </w:r>
      <w:r>
        <w:rPr>
          <w:color w:val="231F20"/>
          <w:spacing w:val="26"/>
        </w:rPr>
        <w:t> </w:t>
      </w:r>
      <w:r>
        <w:rPr>
          <w:color w:val="231F20"/>
        </w:rPr>
        <w:t>you</w:t>
      </w:r>
      <w:r>
        <w:rPr>
          <w:color w:val="231F20"/>
          <w:spacing w:val="26"/>
        </w:rPr>
        <w:t> </w:t>
      </w:r>
      <w:r>
        <w:rPr>
          <w:color w:val="231F20"/>
        </w:rPr>
        <w:t>to</w:t>
      </w:r>
      <w:r>
        <w:rPr>
          <w:color w:val="231F20"/>
          <w:spacing w:val="26"/>
        </w:rPr>
        <w:t> </w:t>
      </w:r>
      <w:r>
        <w:rPr>
          <w:color w:val="231F20"/>
        </w:rPr>
        <w:t>communicate</w:t>
      </w:r>
      <w:r>
        <w:rPr>
          <w:color w:val="231F20"/>
          <w:spacing w:val="26"/>
        </w:rPr>
        <w:t> </w:t>
      </w:r>
      <w:r>
        <w:rPr>
          <w:color w:val="231F20"/>
        </w:rPr>
        <w:t>what</w:t>
      </w:r>
      <w:r>
        <w:rPr>
          <w:color w:val="231F20"/>
          <w:spacing w:val="26"/>
        </w:rPr>
        <w:t> </w:t>
      </w:r>
      <w:r>
        <w:rPr>
          <w:color w:val="231F20"/>
        </w:rPr>
        <w:t>steps</w:t>
      </w:r>
      <w:r>
        <w:rPr>
          <w:color w:val="231F20"/>
          <w:spacing w:val="26"/>
        </w:rPr>
        <w:t> </w:t>
      </w:r>
      <w:r>
        <w:rPr>
          <w:color w:val="231F20"/>
        </w:rPr>
        <w:t>you</w:t>
      </w:r>
      <w:r>
        <w:rPr>
          <w:color w:val="231F20"/>
          <w:spacing w:val="26"/>
        </w:rPr>
        <w:t> </w:t>
      </w:r>
      <w:r>
        <w:rPr>
          <w:color w:val="231F20"/>
        </w:rPr>
        <w:t>have</w:t>
      </w:r>
      <w:r>
        <w:rPr>
          <w:color w:val="231F20"/>
          <w:spacing w:val="26"/>
        </w:rPr>
        <w:t> </w:t>
      </w:r>
      <w:r>
        <w:rPr>
          <w:color w:val="231F20"/>
        </w:rPr>
        <w:t>taken</w:t>
      </w:r>
      <w:r>
        <w:rPr>
          <w:color w:val="231F20"/>
          <w:spacing w:val="26"/>
        </w:rPr>
        <w:t> </w:t>
      </w:r>
      <w:r>
        <w:rPr>
          <w:color w:val="231F20"/>
        </w:rPr>
        <w:t>thus far</w:t>
      </w:r>
      <w:r>
        <w:rPr>
          <w:color w:val="231F20"/>
          <w:spacing w:val="25"/>
        </w:rPr>
        <w:t> </w:t>
      </w:r>
      <w:r>
        <w:rPr>
          <w:color w:val="231F20"/>
        </w:rPr>
        <w:t>to</w:t>
      </w:r>
      <w:r>
        <w:rPr>
          <w:color w:val="231F20"/>
          <w:spacing w:val="25"/>
        </w:rPr>
        <w:t> </w:t>
      </w:r>
      <w:r>
        <w:rPr>
          <w:color w:val="231F20"/>
        </w:rPr>
        <w:t>resolve</w:t>
      </w:r>
      <w:r>
        <w:rPr>
          <w:color w:val="231F20"/>
          <w:spacing w:val="25"/>
        </w:rPr>
        <w:t> </w:t>
      </w:r>
      <w:r>
        <w:rPr>
          <w:color w:val="231F20"/>
        </w:rPr>
        <w:t>the</w:t>
      </w:r>
      <w:r>
        <w:rPr>
          <w:color w:val="231F20"/>
          <w:spacing w:val="25"/>
        </w:rPr>
        <w:t> </w:t>
      </w:r>
      <w:r>
        <w:rPr>
          <w:color w:val="231F20"/>
        </w:rPr>
        <w:t>event</w:t>
      </w:r>
      <w:r>
        <w:rPr>
          <w:color w:val="231F20"/>
          <w:spacing w:val="25"/>
        </w:rPr>
        <w:t> </w:t>
      </w:r>
      <w:r>
        <w:rPr>
          <w:color w:val="231F20"/>
        </w:rPr>
        <w:t>or</w:t>
      </w:r>
      <w:r>
        <w:rPr>
          <w:color w:val="231F20"/>
          <w:spacing w:val="25"/>
        </w:rPr>
        <w:t> </w:t>
      </w:r>
      <w:r>
        <w:rPr>
          <w:color w:val="231F20"/>
        </w:rPr>
        <w:t>to</w:t>
      </w:r>
      <w:r>
        <w:rPr>
          <w:color w:val="231F20"/>
          <w:spacing w:val="25"/>
        </w:rPr>
        <w:t> </w:t>
      </w:r>
      <w:r>
        <w:rPr>
          <w:color w:val="231F20"/>
        </w:rPr>
        <w:t>provide</w:t>
      </w:r>
      <w:r>
        <w:rPr>
          <w:color w:val="231F20"/>
          <w:spacing w:val="25"/>
        </w:rPr>
        <w:t> </w:t>
      </w:r>
      <w:r>
        <w:rPr>
          <w:color w:val="231F20"/>
        </w:rPr>
        <w:t>details</w:t>
      </w:r>
      <w:r>
        <w:rPr>
          <w:color w:val="231F20"/>
          <w:spacing w:val="25"/>
        </w:rPr>
        <w:t> </w:t>
      </w:r>
      <w:r>
        <w:rPr>
          <w:color w:val="231F20"/>
        </w:rPr>
        <w:t>on</w:t>
      </w:r>
      <w:r>
        <w:rPr>
          <w:color w:val="231F20"/>
          <w:spacing w:val="25"/>
        </w:rPr>
        <w:t> </w:t>
      </w:r>
      <w:r>
        <w:rPr>
          <w:color w:val="231F20"/>
        </w:rPr>
        <w:t>the</w:t>
      </w:r>
      <w:r>
        <w:rPr>
          <w:color w:val="231F20"/>
          <w:spacing w:val="25"/>
        </w:rPr>
        <w:t> </w:t>
      </w:r>
      <w:r>
        <w:rPr>
          <w:color w:val="231F20"/>
        </w:rPr>
        <w:t>steps</w:t>
      </w:r>
      <w:r>
        <w:rPr>
          <w:color w:val="231F20"/>
          <w:spacing w:val="25"/>
        </w:rPr>
        <w:t> </w:t>
      </w:r>
      <w:r>
        <w:rPr>
          <w:color w:val="231F20"/>
        </w:rPr>
        <w:t>you</w:t>
      </w:r>
      <w:r>
        <w:rPr>
          <w:color w:val="231F20"/>
          <w:spacing w:val="25"/>
        </w:rPr>
        <w:t> </w:t>
      </w:r>
      <w:r>
        <w:rPr>
          <w:color w:val="231F20"/>
        </w:rPr>
        <w:t>believe</w:t>
      </w:r>
      <w:r>
        <w:rPr>
          <w:color w:val="231F20"/>
          <w:spacing w:val="25"/>
        </w:rPr>
        <w:t> </w:t>
      </w:r>
      <w:r>
        <w:rPr>
          <w:color w:val="231F20"/>
        </w:rPr>
        <w:t>must</w:t>
      </w:r>
      <w:r>
        <w:rPr>
          <w:color w:val="231F20"/>
          <w:spacing w:val="25"/>
        </w:rPr>
        <w:t> </w:t>
      </w:r>
      <w:r>
        <w:rPr>
          <w:color w:val="231F20"/>
        </w:rPr>
        <w:t>be </w:t>
      </w:r>
      <w:r>
        <w:rPr>
          <w:color w:val="231F20"/>
          <w:spacing w:val="-2"/>
        </w:rPr>
        <w:t>taken.</w:t>
      </w:r>
    </w:p>
    <w:p>
      <w:pPr>
        <w:pStyle w:val="Heading4"/>
        <w:spacing w:before="198"/>
        <w:ind w:left="2472"/>
      </w:pPr>
      <w:r>
        <w:rPr>
          <w:color w:val="231F20"/>
          <w:spacing w:val="-2"/>
        </w:rPr>
        <w:t>Procedure</w:t>
      </w:r>
    </w:p>
    <w:p>
      <w:pPr>
        <w:pStyle w:val="ListParagraph"/>
        <w:numPr>
          <w:ilvl w:val="0"/>
          <w:numId w:val="24"/>
        </w:numPr>
        <w:tabs>
          <w:tab w:pos="2787" w:val="left" w:leader="none"/>
        </w:tabs>
        <w:spacing w:line="240" w:lineRule="auto" w:before="39" w:after="0"/>
        <w:ind w:left="2787" w:right="0" w:hanging="315"/>
        <w:jc w:val="left"/>
        <w:rPr>
          <w:sz w:val="20"/>
        </w:rPr>
      </w:pP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pStyle w:val="BodyText"/>
        <w:spacing w:line="213" w:lineRule="auto" w:before="52"/>
        <w:ind w:left="3004" w:right="493" w:hanging="216"/>
      </w:pPr>
      <w:r>
        <w:rPr>
          <w:rFonts w:ascii="Futura MdCn BT"/>
          <w:color w:val="231F20"/>
        </w:rPr>
        <w:t>v</w:t>
      </w:r>
      <w:r>
        <w:rPr>
          <w:rFonts w:ascii="Futura MdCn BT"/>
          <w:color w:val="231F20"/>
          <w:spacing w:val="80"/>
        </w:rPr>
        <w:t> </w:t>
      </w:r>
      <w:r>
        <w:rPr>
          <w:color w:val="231F20"/>
        </w:rPr>
        <w:t>Move the mouse pointer over an event indicator (such as </w:t>
      </w:r>
      <w:r>
        <w:rPr>
          <w:color w:val="231F20"/>
          <w:spacing w:val="15"/>
        </w:rPr>
        <w:drawing>
          <wp:inline distT="0" distB="0" distL="0" distR="0">
            <wp:extent cx="57150" cy="57150"/>
            <wp:effectExtent l="0" t="0" r="0" b="0"/>
            <wp:docPr id="647" name="Image 647"/>
            <wp:cNvGraphicFramePr>
              <a:graphicFrameLocks/>
            </wp:cNvGraphicFramePr>
            <a:graphic>
              <a:graphicData uri="http://schemas.openxmlformats.org/drawingml/2006/picture">
                <pic:pic>
                  <pic:nvPicPr>
                    <pic:cNvPr id="647" name="Image 647"/>
                    <pic:cNvPicPr/>
                  </pic:nvPicPr>
                  <pic:blipFill>
                    <a:blip r:embed="rId71"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40"/>
        </w:rPr>
        <w:t> </w:t>
      </w:r>
      <w:r>
        <w:rPr>
          <w:color w:val="231F20"/>
        </w:rPr>
        <w:t>or </w:t>
      </w:r>
      <w:r>
        <w:rPr>
          <w:color w:val="231F20"/>
          <w:spacing w:val="16"/>
        </w:rPr>
        <w:drawing>
          <wp:inline distT="0" distB="0" distL="0" distR="0">
            <wp:extent cx="57150" cy="57150"/>
            <wp:effectExtent l="0" t="0" r="0" b="0"/>
            <wp:docPr id="648" name="Image 648"/>
            <wp:cNvGraphicFramePr>
              <a:graphicFrameLocks/>
            </wp:cNvGraphicFramePr>
            <a:graphic>
              <a:graphicData uri="http://schemas.openxmlformats.org/drawingml/2006/picture">
                <pic:pic>
                  <pic:nvPicPr>
                    <pic:cNvPr id="648" name="Image 648"/>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2"/>
        </w:rPr>
        <w:t> </w:t>
      </w:r>
      <w:r>
        <w:rPr>
          <w:color w:val="231F20"/>
        </w:rPr>
        <w:t>) in the</w:t>
      </w:r>
      <w:r>
        <w:rPr>
          <w:color w:val="231F20"/>
          <w:spacing w:val="40"/>
        </w:rPr>
        <w:t> </w:t>
      </w:r>
      <w:r>
        <w:rPr>
          <w:color w:val="231F20"/>
        </w:rPr>
        <w:t>Navigator view to open the flyover list of open events, then right-click </w:t>
      </w:r>
      <w:r>
        <w:rPr>
          <w:color w:val="231F20"/>
        </w:rPr>
        <w:t>the</w:t>
      </w:r>
      <w:r>
        <w:rPr>
          <w:color w:val="231F20"/>
        </w:rPr>
        <w:t> acknowledged event.</w:t>
      </w:r>
    </w:p>
    <w:p>
      <w:pPr>
        <w:pStyle w:val="BodyText"/>
        <w:spacing w:line="213" w:lineRule="auto" w:before="58"/>
        <w:ind w:left="3004" w:right="385" w:hanging="216"/>
      </w:pPr>
      <w:r>
        <w:rPr>
          <w:rFonts w:ascii="Futura MdCn BT"/>
          <w:color w:val="231F20"/>
        </w:rPr>
        <w:t>v</w:t>
      </w:r>
      <w:r>
        <w:rPr>
          <w:rFonts w:ascii="Futura MdCn BT"/>
          <w:color w:val="231F20"/>
          <w:spacing w:val="80"/>
        </w:rPr>
        <w:t> </w:t>
      </w:r>
      <w:r>
        <w:rPr>
          <w:color w:val="231F20"/>
        </w:rPr>
        <w:t>If you have opened the event results workspace, right-click the</w:t>
      </w:r>
      <w:r>
        <w:rPr>
          <w:color w:val="231F20"/>
          <w:spacing w:val="22"/>
        </w:rPr>
        <w:t> </w:t>
      </w:r>
      <w:r>
        <w:rPr>
          <w:color w:val="231F20"/>
          <w:spacing w:val="24"/>
          <w:position w:val="-1"/>
        </w:rPr>
        <w:drawing>
          <wp:inline distT="0" distB="0" distL="0" distR="0">
            <wp:extent cx="95250" cy="95250"/>
            <wp:effectExtent l="0" t="0" r="0" b="0"/>
            <wp:docPr id="649" name="Image 649"/>
            <wp:cNvGraphicFramePr>
              <a:graphicFrameLocks/>
            </wp:cNvGraphicFramePr>
            <a:graphic>
              <a:graphicData uri="http://schemas.openxmlformats.org/drawingml/2006/picture">
                <pic:pic>
                  <pic:nvPicPr>
                    <pic:cNvPr id="649" name="Image 649"/>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rPr>
        <w:t> </w:t>
      </w:r>
      <w:r>
        <w:rPr>
          <w:color w:val="231F20"/>
        </w:rPr>
        <w:t>event item</w:t>
      </w:r>
      <w:r>
        <w:rPr>
          <w:color w:val="231F20"/>
          <w:spacing w:val="80"/>
        </w:rPr>
        <w:t> </w:t>
      </w:r>
      <w:r>
        <w:rPr>
          <w:color w:val="231F20"/>
        </w:rPr>
        <w:t>in the Navigator.</w:t>
      </w:r>
    </w:p>
    <w:p>
      <w:pPr>
        <w:pStyle w:val="BodyText"/>
        <w:spacing w:line="213" w:lineRule="auto" w:before="59"/>
        <w:ind w:left="3004" w:right="385" w:hanging="216"/>
      </w:pPr>
      <w:r>
        <w:rPr>
          <w:rFonts w:ascii="Futura MdCn BT"/>
          <w:color w:val="231F20"/>
        </w:rPr>
        <w:t>v</w:t>
      </w:r>
      <w:r>
        <w:rPr>
          <w:rFonts w:ascii="Futura MdCn BT"/>
          <w:color w:val="231F20"/>
          <w:spacing w:val="80"/>
        </w:rPr>
        <w:t> </w:t>
      </w:r>
      <w:r>
        <w:rPr>
          <w:color w:val="231F20"/>
        </w:rPr>
        <w:t>In the situation event console view, right-click a row where the Status </w:t>
      </w:r>
      <w:r>
        <w:rPr>
          <w:color w:val="231F20"/>
        </w:rPr>
        <w:t>shows</w:t>
      </w:r>
      <w:r>
        <w:rPr>
          <w:color w:val="231F20"/>
        </w:rPr>
        <w:t> as Acknowledged.</w:t>
      </w:r>
    </w:p>
    <w:p>
      <w:pPr>
        <w:pStyle w:val="BodyText"/>
        <w:spacing w:line="213" w:lineRule="auto" w:before="58"/>
        <w:ind w:left="3004" w:right="493" w:hanging="216"/>
      </w:pPr>
      <w:r>
        <w:rPr>
          <w:rFonts w:ascii="Futura MdCn BT"/>
          <w:color w:val="231F20"/>
        </w:rPr>
        <w:t>v</w:t>
      </w:r>
      <w:r>
        <w:rPr>
          <w:rFonts w:ascii="Futura MdCn BT"/>
          <w:color w:val="231F20"/>
          <w:spacing w:val="80"/>
        </w:rPr>
        <w:t> </w:t>
      </w:r>
      <w:r>
        <w:rPr>
          <w:color w:val="231F20"/>
        </w:rPr>
        <w:t>In the Enterprise Status workspace, right-click a row in the </w:t>
      </w:r>
      <w:r>
        <w:rPr>
          <w:color w:val="231F20"/>
        </w:rPr>
        <w:t>My</w:t>
      </w:r>
      <w:r>
        <w:rPr>
          <w:color w:val="231F20"/>
        </w:rPr>
        <w:t> Acknowledged Events view.</w:t>
      </w:r>
    </w:p>
    <w:p>
      <w:pPr>
        <w:pStyle w:val="ListParagraph"/>
        <w:numPr>
          <w:ilvl w:val="0"/>
          <w:numId w:val="24"/>
        </w:numPr>
        <w:tabs>
          <w:tab w:pos="2786" w:val="left" w:leader="none"/>
          <w:tab w:pos="2788" w:val="left" w:leader="none"/>
        </w:tabs>
        <w:spacing w:line="213" w:lineRule="auto" w:before="59" w:after="0"/>
        <w:ind w:left="2788" w:right="395" w:hanging="317"/>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101600"/>
            <wp:effectExtent l="0" t="0" r="0" b="0"/>
            <wp:docPr id="650" name="Image 650"/>
            <wp:cNvGraphicFramePr>
              <a:graphicFrameLocks/>
            </wp:cNvGraphicFramePr>
            <a:graphic>
              <a:graphicData uri="http://schemas.openxmlformats.org/drawingml/2006/picture">
                <pic:pic>
                  <pic:nvPicPr>
                    <pic:cNvPr id="650" name="Image 650"/>
                    <pic:cNvPicPr/>
                  </pic:nvPicPr>
                  <pic:blipFill>
                    <a:blip r:embed="rId49"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rFonts w:ascii="Book Antiqua"/>
          <w:b/>
          <w:color w:val="231F20"/>
          <w:sz w:val="20"/>
        </w:rPr>
        <w:t>Event Notes</w:t>
      </w:r>
      <w:r>
        <w:rPr>
          <w:color w:val="231F20"/>
          <w:sz w:val="20"/>
        </w:rPr>
        <w:t>. The </w:t>
      </w:r>
      <w:r>
        <w:rPr>
          <w:rFonts w:ascii="Book Antiqua"/>
          <w:b/>
          <w:color w:val="231F20"/>
          <w:sz w:val="20"/>
        </w:rPr>
        <w:t>Event Notes </w:t>
      </w:r>
      <w:r>
        <w:rPr>
          <w:color w:val="231F20"/>
          <w:sz w:val="20"/>
        </w:rPr>
        <w:t>window opens for you to review </w:t>
      </w:r>
      <w:r>
        <w:rPr>
          <w:color w:val="231F20"/>
          <w:sz w:val="20"/>
        </w:rPr>
        <w:t>and add notes for this event. You can also attach files.</w:t>
      </w:r>
    </w:p>
    <w:p>
      <w:pPr>
        <w:pStyle w:val="Heading4"/>
        <w:ind w:left="2472"/>
      </w:pPr>
      <w:r>
        <w:rPr>
          <w:color w:val="231F20"/>
          <w:spacing w:val="-2"/>
        </w:rPr>
        <w:t>Results</w:t>
      </w:r>
    </w:p>
    <w:p>
      <w:pPr>
        <w:pStyle w:val="BodyText"/>
        <w:spacing w:line="213" w:lineRule="auto" w:before="241"/>
        <w:ind w:left="2472" w:right="493"/>
      </w:pPr>
      <w:r>
        <w:rPr>
          <w:color w:val="231F20"/>
        </w:rPr>
        <w:t>You can continue to open the window to review the notes and open </w:t>
      </w:r>
      <w:r>
        <w:rPr>
          <w:color w:val="231F20"/>
        </w:rPr>
        <w:t>attachments for the event at any time, event after the event has been closed. This is done</w:t>
      </w:r>
      <w:r>
        <w:rPr>
          <w:color w:val="231F20"/>
          <w:spacing w:val="40"/>
        </w:rPr>
        <w:t> </w:t>
      </w:r>
      <w:r>
        <w:rPr>
          <w:color w:val="231F20"/>
        </w:rPr>
        <w:t>through the pop-up menu of the view.</w:t>
      </w:r>
    </w:p>
    <w:p>
      <w:pPr>
        <w:spacing w:after="0" w:line="213" w:lineRule="auto"/>
        <w:sectPr>
          <w:pgSz w:w="12240" w:h="15840"/>
          <w:pgMar w:header="0" w:footer="736" w:top="1140" w:bottom="920" w:left="1000" w:right="1060"/>
        </w:sectPr>
      </w:pPr>
    </w:p>
    <w:p>
      <w:pPr>
        <w:pStyle w:val="Heading3"/>
        <w:spacing w:before="84"/>
        <w:ind w:left="1334"/>
      </w:pPr>
      <w:bookmarkStart w:name="_bookmark46" w:id="104"/>
      <w:bookmarkEnd w:id="104"/>
      <w:r>
        <w:rPr>
          <w:b w:val="0"/>
        </w:rPr>
      </w:r>
      <w:bookmarkStart w:name="Removing an acknowledgement" w:id="105"/>
      <w:bookmarkEnd w:id="105"/>
      <w:r>
        <w:rPr>
          <w:b w:val="0"/>
        </w:rPr>
      </w:r>
      <w:r>
        <w:rPr>
          <w:color w:val="231F20"/>
        </w:rPr>
        <w:t>Removing</w:t>
      </w:r>
      <w:r>
        <w:rPr>
          <w:color w:val="231F20"/>
          <w:spacing w:val="6"/>
        </w:rPr>
        <w:t> </w:t>
      </w:r>
      <w:r>
        <w:rPr>
          <w:color w:val="231F20"/>
        </w:rPr>
        <w:t>an</w:t>
      </w:r>
      <w:r>
        <w:rPr>
          <w:color w:val="231F20"/>
          <w:spacing w:val="7"/>
        </w:rPr>
        <w:t> </w:t>
      </w:r>
      <w:r>
        <w:rPr>
          <w:color w:val="231F20"/>
          <w:spacing w:val="-2"/>
        </w:rPr>
        <w:t>acknowledgement</w:t>
      </w:r>
    </w:p>
    <w:p>
      <w:pPr>
        <w:pStyle w:val="Heading4"/>
        <w:spacing w:before="20"/>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pPr>
      <w:r>
        <w:rPr>
          <w:color w:val="231F20"/>
        </w:rPr>
        <w:t>If you acknowledged a situation event and must release your ownership before </w:t>
      </w:r>
      <w:r>
        <w:rPr>
          <w:color w:val="231F20"/>
        </w:rPr>
        <w:t>the acknowledgement has expired or the event has closed, you can remove the acknowledgement from the event.</w:t>
      </w:r>
    </w:p>
    <w:p>
      <w:pPr>
        <w:pStyle w:val="Heading4"/>
        <w:spacing w:before="199"/>
      </w:pPr>
      <w:r>
        <w:rPr>
          <w:color w:val="231F20"/>
          <w:spacing w:val="-2"/>
        </w:rPr>
        <w:t>Procedure</w:t>
      </w:r>
    </w:p>
    <w:p>
      <w:pPr>
        <w:pStyle w:val="ListParagraph"/>
        <w:numPr>
          <w:ilvl w:val="0"/>
          <w:numId w:val="25"/>
        </w:numPr>
        <w:tabs>
          <w:tab w:pos="2547" w:val="left" w:leader="none"/>
        </w:tabs>
        <w:spacing w:line="240" w:lineRule="auto" w:before="39" w:after="0"/>
        <w:ind w:left="2547" w:right="0" w:hanging="315"/>
        <w:jc w:val="left"/>
        <w:rPr>
          <w:sz w:val="20"/>
        </w:rPr>
      </w:pP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pStyle w:val="BodyText"/>
        <w:spacing w:line="213" w:lineRule="auto" w:before="52"/>
        <w:ind w:left="2764" w:right="603" w:hanging="216"/>
      </w:pPr>
      <w:r>
        <w:rPr>
          <w:rFonts w:ascii="Futura MdCn BT"/>
          <w:color w:val="231F20"/>
        </w:rPr>
        <w:t>v</w:t>
      </w:r>
      <w:r>
        <w:rPr>
          <w:rFonts w:ascii="Futura MdCn BT"/>
          <w:color w:val="231F20"/>
          <w:spacing w:val="80"/>
        </w:rPr>
        <w:t> </w:t>
      </w:r>
      <w:r>
        <w:rPr>
          <w:color w:val="231F20"/>
        </w:rPr>
        <w:t>Move the mouse over an event indicator (such as </w:t>
      </w:r>
      <w:r>
        <w:rPr>
          <w:color w:val="231F20"/>
          <w:spacing w:val="15"/>
        </w:rPr>
        <w:drawing>
          <wp:inline distT="0" distB="0" distL="0" distR="0">
            <wp:extent cx="57150" cy="57150"/>
            <wp:effectExtent l="0" t="0" r="0" b="0"/>
            <wp:docPr id="651" name="Image 651"/>
            <wp:cNvGraphicFramePr>
              <a:graphicFrameLocks/>
            </wp:cNvGraphicFramePr>
            <a:graphic>
              <a:graphicData uri="http://schemas.openxmlformats.org/drawingml/2006/picture">
                <pic:pic>
                  <pic:nvPicPr>
                    <pic:cNvPr id="651" name="Image 651"/>
                    <pic:cNvPicPr/>
                  </pic:nvPicPr>
                  <pic:blipFill>
                    <a:blip r:embed="rId72" cstate="print"/>
                    <a:stretch>
                      <a:fillRect/>
                    </a:stretch>
                  </pic:blipFill>
                  <pic:spPr>
                    <a:xfrm>
                      <a:off x="0" y="0"/>
                      <a:ext cx="57150" cy="57150"/>
                    </a:xfrm>
                    <a:prstGeom prst="rect">
                      <a:avLst/>
                    </a:prstGeom>
                  </pic:spPr>
                </pic:pic>
              </a:graphicData>
            </a:graphic>
          </wp:inline>
        </w:drawing>
      </w:r>
      <w:r>
        <w:rPr>
          <w:color w:val="231F20"/>
          <w:spacing w:val="15"/>
        </w:rPr>
      </w:r>
      <w:r>
        <w:rPr>
          <w:rFonts w:ascii="Times New Roman"/>
          <w:color w:val="231F20"/>
          <w:spacing w:val="40"/>
        </w:rPr>
        <w:t> </w:t>
      </w:r>
      <w:r>
        <w:rPr>
          <w:color w:val="231F20"/>
        </w:rPr>
        <w:t>or </w:t>
      </w:r>
      <w:r>
        <w:rPr>
          <w:color w:val="231F20"/>
          <w:spacing w:val="16"/>
        </w:rPr>
        <w:drawing>
          <wp:inline distT="0" distB="0" distL="0" distR="0">
            <wp:extent cx="57150" cy="57150"/>
            <wp:effectExtent l="0" t="0" r="0" b="0"/>
            <wp:docPr id="652" name="Image 652"/>
            <wp:cNvGraphicFramePr>
              <a:graphicFrameLocks/>
            </wp:cNvGraphicFramePr>
            <a:graphic>
              <a:graphicData uri="http://schemas.openxmlformats.org/drawingml/2006/picture">
                <pic:pic>
                  <pic:nvPicPr>
                    <pic:cNvPr id="652" name="Image 652"/>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spacing w:val="-8"/>
        </w:rPr>
        <w:t> </w:t>
      </w:r>
      <w:r>
        <w:rPr>
          <w:color w:val="231F20"/>
        </w:rPr>
        <w:t>) in the Navigator</w:t>
      </w:r>
      <w:r>
        <w:rPr>
          <w:color w:val="231F20"/>
          <w:spacing w:val="40"/>
        </w:rPr>
        <w:t> </w:t>
      </w:r>
      <w:r>
        <w:rPr>
          <w:color w:val="231F20"/>
        </w:rPr>
        <w:t>view to open the flyover list of open events, then right-click the acknowledged event.</w:t>
      </w:r>
    </w:p>
    <w:p>
      <w:pPr>
        <w:pStyle w:val="BodyText"/>
        <w:spacing w:line="213" w:lineRule="auto" w:before="58"/>
        <w:ind w:left="2764" w:right="636" w:hanging="216"/>
      </w:pPr>
      <w:r>
        <w:rPr>
          <w:rFonts w:ascii="Futura MdCn BT"/>
          <w:color w:val="231F20"/>
        </w:rPr>
        <w:t>v</w:t>
      </w:r>
      <w:r>
        <w:rPr>
          <w:rFonts w:ascii="Futura MdCn BT"/>
          <w:color w:val="231F20"/>
          <w:spacing w:val="80"/>
        </w:rPr>
        <w:t> </w:t>
      </w:r>
      <w:r>
        <w:rPr>
          <w:color w:val="231F20"/>
        </w:rPr>
        <w:t>If you have opened the event results workspace, right-click </w:t>
      </w:r>
      <w:r>
        <w:rPr>
          <w:color w:val="231F20"/>
        </w:rPr>
        <w:t>the</w:t>
      </w:r>
      <w:r>
        <w:rPr>
          <w:color w:val="231F20"/>
        </w:rPr>
        <w:t> acknowledged </w:t>
      </w:r>
      <w:r>
        <w:rPr>
          <w:color w:val="231F20"/>
          <w:spacing w:val="-24"/>
          <w:position w:val="-1"/>
        </w:rPr>
        <w:drawing>
          <wp:inline distT="0" distB="0" distL="0" distR="0">
            <wp:extent cx="95250" cy="95250"/>
            <wp:effectExtent l="0" t="0" r="0" b="0"/>
            <wp:docPr id="653" name="Image 653"/>
            <wp:cNvGraphicFramePr>
              <a:graphicFrameLocks/>
            </wp:cNvGraphicFramePr>
            <a:graphic>
              <a:graphicData uri="http://schemas.openxmlformats.org/drawingml/2006/picture">
                <pic:pic>
                  <pic:nvPicPr>
                    <pic:cNvPr id="653" name="Image 653"/>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event item in the Navigator.</w:t>
      </w:r>
    </w:p>
    <w:p>
      <w:pPr>
        <w:pStyle w:val="BodyText"/>
        <w:spacing w:line="213" w:lineRule="auto" w:before="59"/>
        <w:ind w:left="2764" w:right="493" w:hanging="216"/>
      </w:pPr>
      <w:r>
        <w:rPr>
          <w:rFonts w:ascii="Futura MdCn BT"/>
          <w:color w:val="231F20"/>
        </w:rPr>
        <w:t>v</w:t>
      </w:r>
      <w:r>
        <w:rPr>
          <w:rFonts w:ascii="Futura MdCn BT"/>
          <w:color w:val="231F20"/>
          <w:spacing w:val="80"/>
        </w:rPr>
        <w:t> </w:t>
      </w:r>
      <w:r>
        <w:rPr>
          <w:color w:val="231F20"/>
        </w:rPr>
        <w:t>In the situation event console view, right-click a row where the status is </w:t>
      </w:r>
      <w:r>
        <w:rPr>
          <w:color w:val="231F20"/>
          <w:spacing w:val="-2"/>
        </w:rPr>
        <w:t>Acknowledged.</w:t>
      </w:r>
    </w:p>
    <w:p>
      <w:pPr>
        <w:pStyle w:val="BodyText"/>
        <w:spacing w:line="213" w:lineRule="auto" w:before="58"/>
        <w:ind w:left="2764" w:right="636" w:hanging="216"/>
      </w:pPr>
      <w:r>
        <w:rPr>
          <w:rFonts w:ascii="Futura MdCn BT"/>
          <w:color w:val="231F20"/>
        </w:rPr>
        <w:t>v</w:t>
      </w:r>
      <w:r>
        <w:rPr>
          <w:rFonts w:ascii="Futura MdCn BT"/>
          <w:color w:val="231F20"/>
          <w:spacing w:val="80"/>
        </w:rPr>
        <w:t> </w:t>
      </w:r>
      <w:r>
        <w:rPr>
          <w:color w:val="231F20"/>
        </w:rPr>
        <w:t>In the Enterprise Status workspace, right-click a row in the </w:t>
      </w:r>
      <w:r>
        <w:rPr>
          <w:color w:val="231F20"/>
        </w:rPr>
        <w:t>My</w:t>
      </w:r>
      <w:r>
        <w:rPr>
          <w:color w:val="231F20"/>
        </w:rPr>
        <w:t> Acknowledged Events view.</w:t>
      </w:r>
    </w:p>
    <w:p>
      <w:pPr>
        <w:pStyle w:val="ListParagraph"/>
        <w:numPr>
          <w:ilvl w:val="0"/>
          <w:numId w:val="25"/>
        </w:numPr>
        <w:tabs>
          <w:tab w:pos="2548" w:val="left" w:leader="none"/>
        </w:tabs>
        <w:spacing w:line="213" w:lineRule="auto" w:before="59" w:after="0"/>
        <w:ind w:left="2548" w:right="541" w:hanging="316"/>
        <w:jc w:val="left"/>
        <w:rPr>
          <w:sz w:val="20"/>
        </w:rPr>
      </w:pPr>
      <w:r>
        <w:rPr>
          <w:color w:val="231F20"/>
          <w:sz w:val="20"/>
        </w:rPr>
        <w:t>Click </w:t>
      </w:r>
      <w:r>
        <w:rPr>
          <w:rFonts w:ascii="Book Antiqua"/>
          <w:b/>
          <w:color w:val="231F20"/>
          <w:sz w:val="20"/>
        </w:rPr>
        <w:t>Acknowledge Event </w:t>
      </w:r>
      <w:r>
        <w:rPr>
          <w:color w:val="231F20"/>
          <w:sz w:val="20"/>
        </w:rPr>
        <w:t>&gt; </w:t>
      </w:r>
      <w:r>
        <w:rPr>
          <w:color w:val="231F20"/>
          <w:spacing w:val="15"/>
          <w:position w:val="-3"/>
          <w:sz w:val="20"/>
        </w:rPr>
        <w:drawing>
          <wp:inline distT="0" distB="0" distL="0" distR="0">
            <wp:extent cx="114300" cy="95250"/>
            <wp:effectExtent l="0" t="0" r="0" b="0"/>
            <wp:docPr id="654" name="Image 654"/>
            <wp:cNvGraphicFramePr>
              <a:graphicFrameLocks/>
            </wp:cNvGraphicFramePr>
            <a:graphic>
              <a:graphicData uri="http://schemas.openxmlformats.org/drawingml/2006/picture">
                <pic:pic>
                  <pic:nvPicPr>
                    <pic:cNvPr id="654" name="Image 654"/>
                    <pic:cNvPicPr/>
                  </pic:nvPicPr>
                  <pic:blipFill>
                    <a:blip r:embed="rId176" cstate="print"/>
                    <a:stretch>
                      <a:fillRect/>
                    </a:stretch>
                  </pic:blipFill>
                  <pic:spPr>
                    <a:xfrm>
                      <a:off x="0" y="0"/>
                      <a:ext cx="114300" cy="95250"/>
                    </a:xfrm>
                    <a:prstGeom prst="rect">
                      <a:avLst/>
                    </a:prstGeom>
                  </pic:spPr>
                </pic:pic>
              </a:graphicData>
            </a:graphic>
          </wp:inline>
        </w:drawing>
      </w:r>
      <w:r>
        <w:rPr>
          <w:color w:val="231F20"/>
          <w:spacing w:val="15"/>
          <w:position w:val="-3"/>
          <w:sz w:val="20"/>
        </w:rPr>
      </w:r>
      <w:r>
        <w:rPr>
          <w:rFonts w:ascii="Times New Roman"/>
          <w:color w:val="231F20"/>
          <w:spacing w:val="40"/>
          <w:sz w:val="20"/>
        </w:rPr>
        <w:t> </w:t>
      </w:r>
      <w:r>
        <w:rPr>
          <w:rFonts w:ascii="Book Antiqua"/>
          <w:b/>
          <w:color w:val="231F20"/>
          <w:sz w:val="20"/>
        </w:rPr>
        <w:t>Remove Acknowledgement</w:t>
      </w:r>
      <w:r>
        <w:rPr>
          <w:color w:val="231F20"/>
          <w:sz w:val="20"/>
        </w:rPr>
        <w:t>. Removing the acknowledgement changes the event status to Reopened and removes the </w:t>
      </w:r>
      <w:r>
        <w:rPr>
          <w:color w:val="231F20"/>
          <w:sz w:val="20"/>
        </w:rPr>
        <w:t>user ID from the Owner column.</w:t>
      </w:r>
    </w:p>
    <w:p>
      <w:pPr>
        <w:pStyle w:val="BodyText"/>
        <w:spacing w:line="213" w:lineRule="auto" w:before="57"/>
        <w:ind w:left="2548" w:right="700"/>
      </w:pPr>
      <w:r>
        <w:rPr>
          <w:color w:val="231F20"/>
        </w:rPr>
        <w:t>A time stamp and user information is attached to the event as a note, along with an audit note signifying that the acknowledgement was removed.</w:t>
      </w:r>
    </w:p>
    <w:p>
      <w:pPr>
        <w:pStyle w:val="BodyText"/>
        <w:spacing w:before="6"/>
        <w:rPr>
          <w:sz w:val="16"/>
        </w:rPr>
      </w:pPr>
      <w:r>
        <w:rPr/>
        <mc:AlternateContent>
          <mc:Choice Requires="wps">
            <w:drawing>
              <wp:anchor distT="0" distB="0" distL="0" distR="0" allowOverlap="1" layoutInCell="1" locked="0" behindDoc="1" simplePos="0" relativeHeight="487652864">
                <wp:simplePos x="0" y="0"/>
                <wp:positionH relativeFrom="page">
                  <wp:posOffset>760323</wp:posOffset>
                </wp:positionH>
                <wp:positionV relativeFrom="paragraph">
                  <wp:posOffset>156279</wp:posOffset>
                </wp:positionV>
                <wp:extent cx="6082665" cy="1270"/>
                <wp:effectExtent l="0" t="0" r="0" b="0"/>
                <wp:wrapTopAndBottom/>
                <wp:docPr id="655" name="Graphic 655"/>
                <wp:cNvGraphicFramePr>
                  <a:graphicFrameLocks/>
                </wp:cNvGraphicFramePr>
                <a:graphic>
                  <a:graphicData uri="http://schemas.microsoft.com/office/word/2010/wordprocessingShape">
                    <wps:wsp>
                      <wps:cNvPr id="655" name="Graphic 65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5478pt;width:478.95pt;height:.1pt;mso-position-horizontal-relative:page;mso-position-vertical-relative:paragraph;z-index:-15663616;mso-wrap-distance-left:0;mso-wrap-distance-right:0" id="docshape97"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Closing a situation event" w:id="106"/>
      <w:bookmarkEnd w:id="106"/>
      <w:r>
        <w:rPr>
          <w:b w:val="0"/>
        </w:rPr>
      </w:r>
      <w:r>
        <w:rPr>
          <w:color w:val="231F20"/>
        </w:rPr>
        <w:t>Closing</w:t>
      </w:r>
      <w:r>
        <w:rPr>
          <w:color w:val="231F20"/>
          <w:spacing w:val="7"/>
        </w:rPr>
        <w:t> </w:t>
      </w:r>
      <w:r>
        <w:rPr>
          <w:color w:val="231F20"/>
        </w:rPr>
        <w:t>a</w:t>
      </w:r>
      <w:r>
        <w:rPr>
          <w:color w:val="231F20"/>
          <w:spacing w:val="7"/>
        </w:rPr>
        <w:t> </w:t>
      </w:r>
      <w:r>
        <w:rPr>
          <w:color w:val="231F20"/>
        </w:rPr>
        <w:t>situation</w:t>
      </w:r>
      <w:r>
        <w:rPr>
          <w:color w:val="231F20"/>
          <w:spacing w:val="7"/>
        </w:rPr>
        <w:t> </w:t>
      </w:r>
      <w:r>
        <w:rPr>
          <w:color w:val="231F20"/>
          <w:spacing w:val="-2"/>
        </w:rPr>
        <w:t>event</w:t>
      </w:r>
    </w:p>
    <w:p>
      <w:pPr>
        <w:pStyle w:val="BodyText"/>
        <w:spacing w:line="213" w:lineRule="auto" w:before="138"/>
        <w:ind w:left="2232" w:right="545"/>
      </w:pPr>
      <w:r>
        <w:rPr>
          <w:color w:val="231F20"/>
        </w:rPr>
        <w:t>When the condition of a situation is met, the situation becomes true and an event indicator is displayed over the system name and all related items in the Navigator. For pure events, you can turn off the indicator by closing the event. The situation continues to run but the indicator disappears until another pure event takes place.</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In closing an event, you also have the opportunity to add notes and attachments to explain</w:t>
      </w:r>
      <w:r>
        <w:rPr>
          <w:color w:val="231F20"/>
          <w:spacing w:val="26"/>
        </w:rPr>
        <w:t> </w:t>
      </w:r>
      <w:r>
        <w:rPr>
          <w:color w:val="231F20"/>
        </w:rPr>
        <w:t>what</w:t>
      </w:r>
      <w:r>
        <w:rPr>
          <w:color w:val="231F20"/>
          <w:spacing w:val="26"/>
        </w:rPr>
        <w:t> </w:t>
      </w:r>
      <w:r>
        <w:rPr>
          <w:color w:val="231F20"/>
        </w:rPr>
        <w:t>action</w:t>
      </w:r>
      <w:r>
        <w:rPr>
          <w:color w:val="231F20"/>
          <w:spacing w:val="26"/>
        </w:rPr>
        <w:t> </w:t>
      </w:r>
      <w:r>
        <w:rPr>
          <w:color w:val="231F20"/>
        </w:rPr>
        <w:t>you</w:t>
      </w:r>
      <w:r>
        <w:rPr>
          <w:color w:val="231F20"/>
          <w:spacing w:val="26"/>
        </w:rPr>
        <w:t> </w:t>
      </w:r>
      <w:r>
        <w:rPr>
          <w:color w:val="231F20"/>
        </w:rPr>
        <w:t>took</w:t>
      </w:r>
      <w:r>
        <w:rPr>
          <w:color w:val="231F20"/>
          <w:spacing w:val="26"/>
        </w:rPr>
        <w:t> </w:t>
      </w:r>
      <w:r>
        <w:rPr>
          <w:color w:val="231F20"/>
        </w:rPr>
        <w:t>to</w:t>
      </w:r>
      <w:r>
        <w:rPr>
          <w:color w:val="231F20"/>
          <w:spacing w:val="26"/>
        </w:rPr>
        <w:t> </w:t>
      </w:r>
      <w:r>
        <w:rPr>
          <w:color w:val="231F20"/>
        </w:rPr>
        <w:t>resolve</w:t>
      </w:r>
      <w:r>
        <w:rPr>
          <w:color w:val="231F20"/>
          <w:spacing w:val="26"/>
        </w:rPr>
        <w:t> </w:t>
      </w:r>
      <w:r>
        <w:rPr>
          <w:color w:val="231F20"/>
        </w:rPr>
        <w:t>it.</w:t>
      </w:r>
      <w:r>
        <w:rPr>
          <w:color w:val="231F20"/>
          <w:spacing w:val="26"/>
        </w:rPr>
        <w:t> </w:t>
      </w:r>
      <w:r>
        <w:rPr>
          <w:color w:val="231F20"/>
        </w:rPr>
        <w:t>This</w:t>
      </w:r>
      <w:r>
        <w:rPr>
          <w:color w:val="231F20"/>
          <w:spacing w:val="26"/>
        </w:rPr>
        <w:t> </w:t>
      </w:r>
      <w:r>
        <w:rPr>
          <w:color w:val="231F20"/>
        </w:rPr>
        <w:t>can</w:t>
      </w:r>
      <w:r>
        <w:rPr>
          <w:color w:val="231F20"/>
          <w:spacing w:val="26"/>
        </w:rPr>
        <w:t> </w:t>
      </w:r>
      <w:r>
        <w:rPr>
          <w:color w:val="231F20"/>
        </w:rPr>
        <w:t>be</w:t>
      </w:r>
      <w:r>
        <w:rPr>
          <w:color w:val="231F20"/>
          <w:spacing w:val="26"/>
        </w:rPr>
        <w:t> </w:t>
      </w:r>
      <w:r>
        <w:rPr>
          <w:color w:val="231F20"/>
        </w:rPr>
        <w:t>helpful</w:t>
      </w:r>
      <w:r>
        <w:rPr>
          <w:color w:val="231F20"/>
          <w:spacing w:val="26"/>
        </w:rPr>
        <w:t> </w:t>
      </w:r>
      <w:r>
        <w:rPr>
          <w:color w:val="231F20"/>
        </w:rPr>
        <w:t>should</w:t>
      </w:r>
      <w:r>
        <w:rPr>
          <w:color w:val="231F20"/>
          <w:spacing w:val="26"/>
        </w:rPr>
        <w:t> </w:t>
      </w:r>
      <w:r>
        <w:rPr>
          <w:color w:val="231F20"/>
        </w:rPr>
        <w:t>a</w:t>
      </w:r>
      <w:r>
        <w:rPr>
          <w:color w:val="231F20"/>
          <w:spacing w:val="26"/>
        </w:rPr>
        <w:t> </w:t>
      </w:r>
      <w:r>
        <w:rPr>
          <w:color w:val="231F20"/>
        </w:rPr>
        <w:t>similar event occur in the future. If the event was not previously assigned to an owner, the user who closes it is assigned as the owner.</w:t>
      </w:r>
    </w:p>
    <w:p>
      <w:pPr>
        <w:pStyle w:val="BodyText"/>
        <w:spacing w:before="214"/>
        <w:ind w:left="2232"/>
      </w:pPr>
      <w:r>
        <w:rPr>
          <w:color w:val="231F20"/>
        </w:rPr>
        <w:t>To</w:t>
      </w:r>
      <w:r>
        <w:rPr>
          <w:color w:val="231F20"/>
          <w:spacing w:val="10"/>
        </w:rPr>
        <w:t> </w:t>
      </w:r>
      <w:r>
        <w:rPr>
          <w:color w:val="231F20"/>
        </w:rPr>
        <w:t>use</w:t>
      </w:r>
      <w:r>
        <w:rPr>
          <w:color w:val="231F20"/>
          <w:spacing w:val="10"/>
        </w:rPr>
        <w:t> </w:t>
      </w:r>
      <w:r>
        <w:rPr>
          <w:color w:val="231F20"/>
        </w:rPr>
        <w:t>this</w:t>
      </w:r>
      <w:r>
        <w:rPr>
          <w:color w:val="231F20"/>
          <w:spacing w:val="10"/>
        </w:rPr>
        <w:t> </w:t>
      </w:r>
      <w:r>
        <w:rPr>
          <w:color w:val="231F20"/>
        </w:rPr>
        <w:t>function,</w:t>
      </w:r>
      <w:r>
        <w:rPr>
          <w:color w:val="231F20"/>
          <w:spacing w:val="10"/>
        </w:rPr>
        <w:t> </w:t>
      </w:r>
      <w:r>
        <w:rPr>
          <w:color w:val="231F20"/>
        </w:rPr>
        <w:t>your</w:t>
      </w:r>
      <w:r>
        <w:rPr>
          <w:color w:val="231F20"/>
          <w:spacing w:val="10"/>
        </w:rPr>
        <w:t> </w:t>
      </w:r>
      <w:r>
        <w:rPr>
          <w:color w:val="231F20"/>
        </w:rPr>
        <w:t>user</w:t>
      </w:r>
      <w:r>
        <w:rPr>
          <w:color w:val="231F20"/>
          <w:spacing w:val="10"/>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10"/>
        </w:rPr>
        <w:t> </w:t>
      </w:r>
      <w:r>
        <w:rPr>
          <w:color w:val="231F20"/>
        </w:rPr>
        <w:t>Close</w:t>
      </w:r>
      <w:r>
        <w:rPr>
          <w:color w:val="231F20"/>
          <w:spacing w:val="10"/>
        </w:rPr>
        <w:t> </w:t>
      </w:r>
      <w:r>
        <w:rPr>
          <w:color w:val="231F20"/>
        </w:rPr>
        <w:t>permission</w:t>
      </w:r>
      <w:r>
        <w:rPr>
          <w:color w:val="231F20"/>
          <w:spacing w:val="10"/>
        </w:rPr>
        <w:t> </w:t>
      </w:r>
      <w:r>
        <w:rPr>
          <w:color w:val="231F20"/>
        </w:rPr>
        <w:t>for</w:t>
      </w:r>
      <w:r>
        <w:rPr>
          <w:color w:val="231F20"/>
          <w:spacing w:val="10"/>
        </w:rPr>
        <w:t> </w:t>
      </w:r>
      <w:r>
        <w:rPr>
          <w:color w:val="231F20"/>
          <w:spacing w:val="-2"/>
        </w:rPr>
        <w:t>Events.</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03"/>
      </w:pPr>
      <w:r>
        <w:rPr>
          <w:color w:val="231F20"/>
        </w:rPr>
        <w:t>Pure events are indicated in the </w:t>
      </w:r>
      <w:r>
        <w:rPr>
          <w:rFonts w:ascii="Book Antiqua"/>
          <w:b/>
          <w:color w:val="231F20"/>
        </w:rPr>
        <w:t>Type </w:t>
      </w:r>
      <w:r>
        <w:rPr>
          <w:color w:val="231F20"/>
        </w:rPr>
        <w:t>column of the message log view and</w:t>
      </w:r>
      <w:r>
        <w:rPr>
          <w:color w:val="231F20"/>
          <w:spacing w:val="80"/>
        </w:rPr>
        <w:t> </w:t>
      </w:r>
      <w:r>
        <w:rPr>
          <w:color w:val="231F20"/>
        </w:rPr>
        <w:t>situation event console view. As well as closing pure events, you can also close events of sampled attributes if the situation has been stopped or deleted. Close </w:t>
      </w:r>
      <w:r>
        <w:rPr>
          <w:color w:val="231F20"/>
        </w:rPr>
        <w:t>an event from any of the following locations:</w:t>
      </w:r>
    </w:p>
    <w:p>
      <w:pPr>
        <w:pStyle w:val="Heading4"/>
        <w:spacing w:before="199"/>
      </w:pPr>
      <w:r>
        <w:rPr>
          <w:color w:val="231F20"/>
          <w:spacing w:val="-2"/>
        </w:rPr>
        <w:t>Procedure</w:t>
      </w:r>
    </w:p>
    <w:p>
      <w:pPr>
        <w:pStyle w:val="BodyText"/>
        <w:spacing w:line="213" w:lineRule="auto" w:before="61"/>
        <w:ind w:left="2448" w:right="700" w:hanging="216"/>
      </w:pPr>
      <w:r>
        <w:rPr>
          <w:rFonts w:ascii="Futura MdCn BT"/>
          <w:color w:val="231F20"/>
        </w:rPr>
        <w:t>v</w:t>
      </w:r>
      <w:r>
        <w:rPr>
          <w:rFonts w:ascii="Futura MdCn BT"/>
          <w:color w:val="231F20"/>
          <w:spacing w:val="80"/>
        </w:rPr>
        <w:t> </w:t>
      </w:r>
      <w:r>
        <w:rPr>
          <w:rFonts w:ascii="Book Antiqua"/>
          <w:b/>
          <w:color w:val="231F20"/>
        </w:rPr>
        <w:t>Situation flyover list: </w:t>
      </w:r>
      <w:r>
        <w:rPr>
          <w:color w:val="231F20"/>
        </w:rPr>
        <w:t>From the event flyover list, do the following to close a</w:t>
      </w:r>
      <w:r>
        <w:rPr>
          <w:color w:val="231F20"/>
          <w:spacing w:val="40"/>
        </w:rPr>
        <w:t> </w:t>
      </w:r>
      <w:r>
        <w:rPr>
          <w:color w:val="231F20"/>
        </w:rPr>
        <w:t>pure event or one whose situation has been stopped or deleted:</w:t>
      </w:r>
    </w:p>
    <w:p>
      <w:pPr>
        <w:pStyle w:val="ListParagraph"/>
        <w:numPr>
          <w:ilvl w:val="0"/>
          <w:numId w:val="26"/>
        </w:numPr>
        <w:tabs>
          <w:tab w:pos="2764" w:val="left" w:leader="none"/>
        </w:tabs>
        <w:spacing w:line="213" w:lineRule="auto" w:before="59" w:after="0"/>
        <w:ind w:left="2764" w:right="487" w:hanging="316"/>
        <w:jc w:val="left"/>
        <w:rPr>
          <w:sz w:val="20"/>
        </w:rPr>
      </w:pPr>
      <w:r>
        <w:rPr>
          <w:color w:val="231F20"/>
          <w:sz w:val="20"/>
        </w:rPr>
        <w:t>In the Navigator, move the mouse pointer over the event indicator to open a flyover listing of the true situations.</w:t>
      </w:r>
    </w:p>
    <w:p>
      <w:pPr>
        <w:spacing w:after="0" w:line="213" w:lineRule="auto"/>
        <w:jc w:val="left"/>
        <w:rPr>
          <w:sz w:val="20"/>
        </w:rPr>
        <w:sectPr>
          <w:pgSz w:w="12240" w:h="15840"/>
          <w:pgMar w:header="0" w:footer="736" w:top="1160" w:bottom="920" w:left="1000" w:right="1060"/>
        </w:sectPr>
      </w:pPr>
    </w:p>
    <w:p>
      <w:pPr>
        <w:pStyle w:val="ListParagraph"/>
        <w:numPr>
          <w:ilvl w:val="0"/>
          <w:numId w:val="26"/>
        </w:numPr>
        <w:tabs>
          <w:tab w:pos="3004" w:val="left" w:leader="none"/>
        </w:tabs>
        <w:spacing w:line="213" w:lineRule="auto" w:before="85" w:after="0"/>
        <w:ind w:left="3004" w:right="276" w:hanging="316"/>
        <w:jc w:val="left"/>
        <w:rPr>
          <w:sz w:val="20"/>
        </w:rPr>
      </w:pPr>
      <w:bookmarkStart w:name="_bookmark47" w:id="107"/>
      <w:bookmarkEnd w:id="107"/>
      <w:r>
        <w:rPr/>
      </w:r>
      <w:r>
        <w:rPr>
          <w:color w:val="231F20"/>
          <w:sz w:val="20"/>
        </w:rPr>
        <w:t>In the flyover list, right-click the situation whose pure event you want to</w:t>
      </w:r>
      <w:r>
        <w:rPr>
          <w:color w:val="231F20"/>
          <w:spacing w:val="80"/>
          <w:sz w:val="20"/>
        </w:rPr>
        <w:t> </w:t>
      </w:r>
      <w:r>
        <w:rPr>
          <w:color w:val="231F20"/>
          <w:sz w:val="20"/>
        </w:rPr>
        <w:t>close or the situation that has been stopped or deleted and whose event </w:t>
      </w:r>
      <w:r>
        <w:rPr>
          <w:color w:val="231F20"/>
          <w:sz w:val="20"/>
        </w:rPr>
        <w:t>you want to close.</w:t>
      </w:r>
    </w:p>
    <w:p>
      <w:pPr>
        <w:pStyle w:val="Heading6"/>
        <w:numPr>
          <w:ilvl w:val="0"/>
          <w:numId w:val="26"/>
        </w:numPr>
        <w:tabs>
          <w:tab w:pos="3004" w:val="left" w:leader="none"/>
        </w:tabs>
        <w:spacing w:line="213" w:lineRule="auto" w:before="57" w:after="0"/>
        <w:ind w:left="3004" w:right="943" w:hanging="316"/>
        <w:jc w:val="left"/>
        <w:rPr>
          <w:rFonts w:ascii="Palatino Linotype" w:hAnsi="Palatino Linotype"/>
          <w:b w:val="0"/>
        </w:rPr>
      </w:pPr>
      <w:r>
        <w:rPr>
          <w:rFonts w:ascii="Palatino Linotype" w:hAnsi="Palatino Linotype"/>
          <w:b w:val="0"/>
          <w:color w:val="231F20"/>
        </w:rPr>
        <w:t>Click</w:t>
      </w:r>
      <w:r>
        <w:rPr>
          <w:rFonts w:ascii="Palatino Linotype" w:hAnsi="Palatino Linotype"/>
          <w:b w:val="0"/>
          <w:color w:val="231F20"/>
          <w:spacing w:val="-7"/>
        </w:rPr>
        <w:t> </w:t>
      </w:r>
      <w:r>
        <w:rPr>
          <w:color w:val="231F20"/>
        </w:rPr>
        <w:t>Close Event </w:t>
      </w:r>
      <w:r>
        <w:rPr>
          <w:rFonts w:ascii="Arial" w:hAnsi="Arial"/>
          <w:b w:val="0"/>
          <w:color w:val="231F20"/>
          <w:w w:val="90"/>
        </w:rPr>
        <w:t>→</w:t>
      </w:r>
      <w:r>
        <w:rPr>
          <w:rFonts w:ascii="Arial" w:hAnsi="Arial"/>
          <w:b w:val="0"/>
          <w:color w:val="231F20"/>
          <w:spacing w:val="7"/>
          <w:w w:val="90"/>
        </w:rPr>
        <w:t> </w:t>
      </w:r>
      <w:r>
        <w:rPr>
          <w:rFonts w:ascii="Arial" w:hAnsi="Arial"/>
          <w:b w:val="0"/>
          <w:color w:val="231F20"/>
          <w:spacing w:val="20"/>
          <w:position w:val="-1"/>
        </w:rPr>
        <w:drawing>
          <wp:inline distT="0" distB="0" distL="0" distR="0">
            <wp:extent cx="95250" cy="95250"/>
            <wp:effectExtent l="0" t="0" r="0" b="0"/>
            <wp:docPr id="656" name="Image 656"/>
            <wp:cNvGraphicFramePr>
              <a:graphicFrameLocks/>
            </wp:cNvGraphicFramePr>
            <a:graphic>
              <a:graphicData uri="http://schemas.openxmlformats.org/drawingml/2006/picture">
                <pic:pic>
                  <pic:nvPicPr>
                    <pic:cNvPr id="656" name="Image 656"/>
                    <pic:cNvPicPr/>
                  </pic:nvPicPr>
                  <pic:blipFill>
                    <a:blip r:embed="rId168" cstate="print"/>
                    <a:stretch>
                      <a:fillRect/>
                    </a:stretch>
                  </pic:blipFill>
                  <pic:spPr>
                    <a:xfrm>
                      <a:off x="0" y="0"/>
                      <a:ext cx="95250" cy="95250"/>
                    </a:xfrm>
                    <a:prstGeom prst="rect">
                      <a:avLst/>
                    </a:prstGeom>
                  </pic:spPr>
                </pic:pic>
              </a:graphicData>
            </a:graphic>
          </wp:inline>
        </w:drawing>
      </w:r>
      <w:r>
        <w:rPr>
          <w:rFonts w:ascii="Arial" w:hAnsi="Arial"/>
          <w:b w:val="0"/>
          <w:color w:val="231F20"/>
          <w:spacing w:val="20"/>
          <w:position w:val="-1"/>
        </w:rPr>
      </w:r>
      <w:r>
        <w:rPr>
          <w:rFonts w:ascii="Times New Roman" w:hAnsi="Times New Roman"/>
          <w:b w:val="0"/>
          <w:color w:val="231F20"/>
          <w:spacing w:val="-21"/>
        </w:rPr>
        <w:t> </w:t>
      </w:r>
      <w:r>
        <w:rPr>
          <w:color w:val="231F20"/>
        </w:rPr>
        <w:t>Close Situation Event </w:t>
      </w:r>
      <w:r>
        <w:rPr>
          <w:rFonts w:ascii="Palatino Linotype" w:hAnsi="Palatino Linotype"/>
          <w:b w:val="0"/>
          <w:color w:val="231F20"/>
        </w:rPr>
        <w:t>or </w:t>
      </w:r>
      <w:r>
        <w:rPr>
          <w:color w:val="231F20"/>
        </w:rPr>
        <w:t>Close Event </w:t>
      </w:r>
      <w:r>
        <w:rPr>
          <w:rFonts w:ascii="Arial" w:hAnsi="Arial"/>
          <w:b w:val="0"/>
          <w:color w:val="231F20"/>
          <w:w w:val="90"/>
        </w:rPr>
        <w:t>→</w:t>
      </w:r>
      <w:r>
        <w:rPr>
          <w:rFonts w:ascii="Arial" w:hAnsi="Arial"/>
          <w:b w:val="0"/>
          <w:color w:val="231F20"/>
          <w:spacing w:val="-1"/>
          <w:w w:val="90"/>
        </w:rPr>
        <w:t> </w:t>
      </w:r>
      <w:r>
        <w:rPr>
          <w:color w:val="231F20"/>
        </w:rPr>
        <w:t>Close Situation Event with Notes</w:t>
      </w:r>
      <w:r>
        <w:rPr>
          <w:rFonts w:ascii="Palatino Linotype" w:hAnsi="Palatino Linotype"/>
          <w:b w:val="0"/>
          <w:color w:val="231F20"/>
        </w:rPr>
        <w:t>.</w:t>
      </w:r>
    </w:p>
    <w:p>
      <w:pPr>
        <w:spacing w:line="213" w:lineRule="auto" w:before="59"/>
        <w:ind w:left="2688" w:right="493" w:hanging="216"/>
        <w:jc w:val="left"/>
        <w:rPr>
          <w:sz w:val="20"/>
        </w:rPr>
      </w:pPr>
      <w:r>
        <w:rPr>
          <w:rFonts w:ascii="Futura MdCn BT"/>
          <w:color w:val="231F20"/>
          <w:sz w:val="20"/>
        </w:rPr>
        <w:t>v</w:t>
      </w:r>
      <w:r>
        <w:rPr>
          <w:rFonts w:ascii="Futura MdCn BT"/>
          <w:color w:val="231F20"/>
          <w:spacing w:val="80"/>
          <w:sz w:val="20"/>
        </w:rPr>
        <w:t> </w:t>
      </w:r>
      <w:r>
        <w:rPr>
          <w:rFonts w:ascii="Book Antiqua"/>
          <w:b/>
          <w:color w:val="231F20"/>
          <w:sz w:val="20"/>
        </w:rPr>
        <w:t>Event Navigator item: </w:t>
      </w:r>
      <w:r>
        <w:rPr>
          <w:color w:val="231F20"/>
          <w:sz w:val="20"/>
        </w:rPr>
        <w:t>From the Navigator item for an event, do the </w:t>
      </w:r>
      <w:r>
        <w:rPr>
          <w:color w:val="231F20"/>
          <w:sz w:val="20"/>
        </w:rPr>
        <w:t>following</w:t>
      </w:r>
      <w:r>
        <w:rPr>
          <w:color w:val="231F20"/>
          <w:spacing w:val="40"/>
          <w:sz w:val="20"/>
        </w:rPr>
        <w:t> </w:t>
      </w:r>
      <w:r>
        <w:rPr>
          <w:color w:val="231F20"/>
          <w:sz w:val="20"/>
        </w:rPr>
        <w:t>to close a pure event:</w:t>
      </w:r>
    </w:p>
    <w:p>
      <w:pPr>
        <w:pStyle w:val="ListParagraph"/>
        <w:numPr>
          <w:ilvl w:val="0"/>
          <w:numId w:val="27"/>
        </w:numPr>
        <w:tabs>
          <w:tab w:pos="3004" w:val="left" w:leader="none"/>
          <w:tab w:pos="3070" w:val="left" w:leader="none"/>
        </w:tabs>
        <w:spacing w:line="213" w:lineRule="auto" w:before="59" w:after="0"/>
        <w:ind w:left="3004" w:right="192" w:hanging="316"/>
        <w:jc w:val="left"/>
        <w:rPr>
          <w:sz w:val="20"/>
        </w:rPr>
      </w:pPr>
      <w:r>
        <w:rPr>
          <w:rFonts w:ascii="Arial"/>
          <w:color w:val="231F20"/>
          <w:sz w:val="20"/>
        </w:rPr>
        <w:tab/>
      </w:r>
      <w:r>
        <w:rPr>
          <w:color w:val="231F20"/>
          <w:sz w:val="20"/>
        </w:rPr>
        <w:t>In the Navigator, move the mouse over the event indicator to open a </w:t>
      </w:r>
      <w:r>
        <w:rPr>
          <w:color w:val="231F20"/>
          <w:sz w:val="20"/>
        </w:rPr>
        <w:t>flyover listing of the true situations.</w:t>
      </w:r>
    </w:p>
    <w:p>
      <w:pPr>
        <w:pStyle w:val="ListParagraph"/>
        <w:numPr>
          <w:ilvl w:val="0"/>
          <w:numId w:val="27"/>
        </w:numPr>
        <w:tabs>
          <w:tab w:pos="3004" w:val="left" w:leader="none"/>
          <w:tab w:pos="3070" w:val="left" w:leader="none"/>
        </w:tabs>
        <w:spacing w:line="213" w:lineRule="auto" w:before="58" w:after="0"/>
        <w:ind w:left="3004" w:right="173" w:hanging="316"/>
        <w:jc w:val="left"/>
        <w:rPr>
          <w:sz w:val="20"/>
        </w:rPr>
      </w:pPr>
      <w:r>
        <w:rPr>
          <w:rFonts w:ascii="Arial"/>
          <w:color w:val="231F20"/>
          <w:sz w:val="20"/>
        </w:rPr>
        <w:tab/>
      </w:r>
      <w:r>
        <w:rPr>
          <w:color w:val="231F20"/>
          <w:sz w:val="20"/>
        </w:rPr>
        <w:t>In the flyover list, click a situation name to open its event results </w:t>
      </w:r>
      <w:r>
        <w:rPr>
          <w:color w:val="231F20"/>
          <w:sz w:val="20"/>
        </w:rPr>
        <w:t>workspace. The Navigator focus moves to the event location and shows the situation</w:t>
      </w:r>
      <w:r>
        <w:rPr>
          <w:color w:val="231F20"/>
          <w:spacing w:val="40"/>
          <w:sz w:val="20"/>
        </w:rPr>
        <w:t> </w:t>
      </w:r>
      <w:r>
        <w:rPr>
          <w:color w:val="231F20"/>
          <w:sz w:val="20"/>
        </w:rPr>
        <w:t>name, and its event results workspace opens.</w:t>
      </w:r>
    </w:p>
    <w:p>
      <w:pPr>
        <w:pStyle w:val="ListParagraph"/>
        <w:numPr>
          <w:ilvl w:val="0"/>
          <w:numId w:val="27"/>
        </w:numPr>
        <w:tabs>
          <w:tab w:pos="3003" w:val="left" w:leader="none"/>
        </w:tabs>
        <w:spacing w:line="255" w:lineRule="exact" w:before="35" w:after="0"/>
        <w:ind w:left="3003" w:right="0" w:hanging="315"/>
        <w:jc w:val="left"/>
        <w:rPr>
          <w:rFonts w:ascii="Arial" w:hAnsi="Arial"/>
          <w:sz w:val="20"/>
        </w:rPr>
      </w:pPr>
      <w:r>
        <w:rPr>
          <w:color w:val="231F20"/>
          <w:sz w:val="20"/>
        </w:rPr>
        <w:t>In</w:t>
      </w:r>
      <w:r>
        <w:rPr>
          <w:color w:val="231F20"/>
          <w:spacing w:val="7"/>
          <w:sz w:val="20"/>
        </w:rPr>
        <w:t> </w:t>
      </w:r>
      <w:r>
        <w:rPr>
          <w:color w:val="231F20"/>
          <w:sz w:val="20"/>
        </w:rPr>
        <w:t>the</w:t>
      </w:r>
      <w:r>
        <w:rPr>
          <w:color w:val="231F20"/>
          <w:spacing w:val="10"/>
          <w:sz w:val="20"/>
        </w:rPr>
        <w:t> </w:t>
      </w:r>
      <w:r>
        <w:rPr>
          <w:color w:val="231F20"/>
          <w:sz w:val="20"/>
        </w:rPr>
        <w:t>Navigator,</w:t>
      </w:r>
      <w:r>
        <w:rPr>
          <w:color w:val="231F20"/>
          <w:spacing w:val="10"/>
          <w:sz w:val="20"/>
        </w:rPr>
        <w:t> </w:t>
      </w:r>
      <w:r>
        <w:rPr>
          <w:color w:val="231F20"/>
          <w:sz w:val="20"/>
        </w:rPr>
        <w:t>right-click</w:t>
      </w:r>
      <w:r>
        <w:rPr>
          <w:color w:val="231F20"/>
          <w:spacing w:val="10"/>
          <w:sz w:val="20"/>
        </w:rPr>
        <w:t> </w:t>
      </w:r>
      <w:r>
        <w:rPr>
          <w:color w:val="231F20"/>
          <w:sz w:val="20"/>
        </w:rPr>
        <w:t>the</w:t>
      </w:r>
      <w:r>
        <w:rPr>
          <w:color w:val="231F20"/>
          <w:spacing w:val="9"/>
          <w:sz w:val="20"/>
        </w:rPr>
        <w:t> </w:t>
      </w:r>
      <w:r>
        <w:rPr>
          <w:color w:val="231F20"/>
          <w:spacing w:val="15"/>
          <w:position w:val="-1"/>
          <w:sz w:val="20"/>
        </w:rPr>
        <w:drawing>
          <wp:inline distT="0" distB="0" distL="0" distR="0">
            <wp:extent cx="101600" cy="95250"/>
            <wp:effectExtent l="0" t="0" r="0" b="0"/>
            <wp:docPr id="657" name="Image 657"/>
            <wp:cNvGraphicFramePr>
              <a:graphicFrameLocks/>
            </wp:cNvGraphicFramePr>
            <a:graphic>
              <a:graphicData uri="http://schemas.openxmlformats.org/drawingml/2006/picture">
                <pic:pic>
                  <pic:nvPicPr>
                    <pic:cNvPr id="657" name="Image 657"/>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hAnsi="Times New Roman"/>
          <w:color w:val="231F20"/>
          <w:spacing w:val="-16"/>
          <w:sz w:val="20"/>
        </w:rPr>
        <w:t> </w:t>
      </w:r>
      <w:r>
        <w:rPr>
          <w:color w:val="231F20"/>
          <w:sz w:val="20"/>
        </w:rPr>
        <w:t>event</w:t>
      </w:r>
      <w:r>
        <w:rPr>
          <w:color w:val="231F20"/>
          <w:spacing w:val="10"/>
          <w:sz w:val="20"/>
        </w:rPr>
        <w:t> </w:t>
      </w:r>
      <w:r>
        <w:rPr>
          <w:color w:val="231F20"/>
          <w:sz w:val="20"/>
        </w:rPr>
        <w:t>item</w:t>
      </w:r>
      <w:r>
        <w:rPr>
          <w:color w:val="231F20"/>
          <w:spacing w:val="10"/>
          <w:sz w:val="20"/>
        </w:rPr>
        <w:t> </w:t>
      </w:r>
      <w:r>
        <w:rPr>
          <w:color w:val="231F20"/>
          <w:sz w:val="20"/>
        </w:rPr>
        <w:t>and</w:t>
      </w:r>
      <w:r>
        <w:rPr>
          <w:color w:val="231F20"/>
          <w:spacing w:val="11"/>
          <w:sz w:val="20"/>
        </w:rPr>
        <w:t> </w:t>
      </w:r>
      <w:r>
        <w:rPr>
          <w:color w:val="231F20"/>
          <w:sz w:val="20"/>
        </w:rPr>
        <w:t>click</w:t>
      </w:r>
      <w:r>
        <w:rPr>
          <w:color w:val="231F20"/>
          <w:spacing w:val="10"/>
          <w:sz w:val="20"/>
        </w:rPr>
        <w:t> </w:t>
      </w:r>
      <w:r>
        <w:rPr>
          <w:rFonts w:ascii="Book Antiqua" w:hAnsi="Book Antiqua"/>
          <w:b/>
          <w:color w:val="231F20"/>
          <w:sz w:val="20"/>
        </w:rPr>
        <w:t>Close</w:t>
      </w:r>
      <w:r>
        <w:rPr>
          <w:rFonts w:ascii="Book Antiqua" w:hAnsi="Book Antiqua"/>
          <w:b/>
          <w:color w:val="231F20"/>
          <w:spacing w:val="10"/>
          <w:sz w:val="20"/>
        </w:rPr>
        <w:t> </w:t>
      </w:r>
      <w:r>
        <w:rPr>
          <w:rFonts w:ascii="Book Antiqua" w:hAnsi="Book Antiqua"/>
          <w:b/>
          <w:color w:val="231F20"/>
          <w:sz w:val="20"/>
        </w:rPr>
        <w:t>Event</w:t>
      </w:r>
      <w:r>
        <w:rPr>
          <w:rFonts w:ascii="Book Antiqua" w:hAnsi="Book Antiqua"/>
          <w:b/>
          <w:color w:val="231F20"/>
          <w:spacing w:val="10"/>
          <w:sz w:val="20"/>
        </w:rPr>
        <w:t> </w:t>
      </w:r>
      <w:r>
        <w:rPr>
          <w:rFonts w:ascii="Arial" w:hAnsi="Arial"/>
          <w:color w:val="231F20"/>
          <w:spacing w:val="-10"/>
          <w:w w:val="90"/>
          <w:sz w:val="20"/>
        </w:rPr>
        <w:t>→</w:t>
      </w:r>
    </w:p>
    <w:p>
      <w:pPr>
        <w:pStyle w:val="Heading6"/>
        <w:spacing w:line="255" w:lineRule="exact" w:before="0"/>
        <w:ind w:left="3014"/>
        <w:rPr>
          <w:rFonts w:ascii="Palatino Linotype" w:hAnsi="Palatino Linotype"/>
          <w:b w:val="0"/>
        </w:rPr>
      </w:pPr>
      <w:r>
        <w:rPr>
          <w:b w:val="0"/>
          <w:position w:val="-1"/>
        </w:rPr>
        <w:drawing>
          <wp:inline distT="0" distB="0" distL="0" distR="0">
            <wp:extent cx="95250" cy="95250"/>
            <wp:effectExtent l="0" t="0" r="0" b="0"/>
            <wp:docPr id="658" name="Image 658"/>
            <wp:cNvGraphicFramePr>
              <a:graphicFrameLocks/>
            </wp:cNvGraphicFramePr>
            <a:graphic>
              <a:graphicData uri="http://schemas.openxmlformats.org/drawingml/2006/picture">
                <pic:pic>
                  <pic:nvPicPr>
                    <pic:cNvPr id="658" name="Image 658"/>
                    <pic:cNvPicPr/>
                  </pic:nvPicPr>
                  <pic:blipFill>
                    <a:blip r:embed="rId168" cstate="print"/>
                    <a:stretch>
                      <a:fillRect/>
                    </a:stretch>
                  </pic:blipFill>
                  <pic:spPr>
                    <a:xfrm>
                      <a:off x="0" y="0"/>
                      <a:ext cx="95250" cy="95250"/>
                    </a:xfrm>
                    <a:prstGeom prst="rect">
                      <a:avLst/>
                    </a:prstGeom>
                  </pic:spPr>
                </pic:pic>
              </a:graphicData>
            </a:graphic>
          </wp:inline>
        </w:drawing>
      </w:r>
      <w:r>
        <w:rPr>
          <w:b w:val="0"/>
          <w:position w:val="-1"/>
        </w:rPr>
      </w:r>
      <w:r>
        <w:rPr>
          <w:rFonts w:ascii="Times New Roman" w:hAnsi="Times New Roman"/>
          <w:b w:val="0"/>
          <w:spacing w:val="-10"/>
        </w:rPr>
        <w:t> </w:t>
      </w:r>
      <w:r>
        <w:rPr>
          <w:color w:val="231F20"/>
        </w:rPr>
        <w:t>Close</w:t>
      </w:r>
      <w:r>
        <w:rPr>
          <w:color w:val="231F20"/>
          <w:spacing w:val="5"/>
        </w:rPr>
        <w:t> </w:t>
      </w:r>
      <w:r>
        <w:rPr>
          <w:color w:val="231F20"/>
        </w:rPr>
        <w:t>Situation</w:t>
      </w:r>
      <w:r>
        <w:rPr>
          <w:color w:val="231F20"/>
          <w:spacing w:val="5"/>
        </w:rPr>
        <w:t> </w:t>
      </w:r>
      <w:r>
        <w:rPr>
          <w:color w:val="231F20"/>
        </w:rPr>
        <w:t>Event</w:t>
      </w:r>
      <w:r>
        <w:rPr>
          <w:color w:val="231F20"/>
          <w:spacing w:val="5"/>
        </w:rPr>
        <w:t> </w:t>
      </w:r>
      <w:r>
        <w:rPr>
          <w:rFonts w:ascii="Palatino Linotype" w:hAnsi="Palatino Linotype"/>
          <w:b w:val="0"/>
          <w:color w:val="231F20"/>
        </w:rPr>
        <w:t>or</w:t>
      </w:r>
      <w:r>
        <w:rPr>
          <w:rFonts w:ascii="Palatino Linotype" w:hAnsi="Palatino Linotype"/>
          <w:b w:val="0"/>
          <w:color w:val="231F20"/>
          <w:spacing w:val="5"/>
        </w:rPr>
        <w:t> </w:t>
      </w:r>
      <w:r>
        <w:rPr>
          <w:color w:val="231F20"/>
        </w:rPr>
        <w:t>Close</w:t>
      </w:r>
      <w:r>
        <w:rPr>
          <w:color w:val="231F20"/>
          <w:spacing w:val="5"/>
        </w:rPr>
        <w:t> </w:t>
      </w:r>
      <w:r>
        <w:rPr>
          <w:color w:val="231F20"/>
        </w:rPr>
        <w:t>Event</w:t>
      </w:r>
      <w:r>
        <w:rPr>
          <w:color w:val="231F20"/>
          <w:spacing w:val="5"/>
        </w:rPr>
        <w:t> </w:t>
      </w:r>
      <w:r>
        <w:rPr>
          <w:rFonts w:ascii="Arial" w:hAnsi="Arial"/>
          <w:b w:val="0"/>
          <w:color w:val="231F20"/>
          <w:w w:val="90"/>
        </w:rPr>
        <w:t>→</w:t>
      </w:r>
      <w:r>
        <w:rPr>
          <w:rFonts w:ascii="Arial" w:hAnsi="Arial"/>
          <w:b w:val="0"/>
          <w:color w:val="231F20"/>
          <w:spacing w:val="-1"/>
        </w:rPr>
        <w:t> </w:t>
      </w:r>
      <w:r>
        <w:rPr>
          <w:color w:val="231F20"/>
        </w:rPr>
        <w:t>Close</w:t>
      </w:r>
      <w:r>
        <w:rPr>
          <w:color w:val="231F20"/>
          <w:spacing w:val="5"/>
        </w:rPr>
        <w:t> </w:t>
      </w:r>
      <w:r>
        <w:rPr>
          <w:color w:val="231F20"/>
        </w:rPr>
        <w:t>Situation</w:t>
      </w:r>
      <w:r>
        <w:rPr>
          <w:color w:val="231F20"/>
          <w:spacing w:val="5"/>
        </w:rPr>
        <w:t> </w:t>
      </w:r>
      <w:r>
        <w:rPr>
          <w:color w:val="231F20"/>
        </w:rPr>
        <w:t>Event</w:t>
      </w:r>
      <w:r>
        <w:rPr>
          <w:color w:val="231F20"/>
          <w:spacing w:val="5"/>
        </w:rPr>
        <w:t> </w:t>
      </w:r>
      <w:r>
        <w:rPr>
          <w:color w:val="231F20"/>
        </w:rPr>
        <w:t>with</w:t>
      </w:r>
      <w:r>
        <w:rPr>
          <w:color w:val="231F20"/>
          <w:spacing w:val="5"/>
        </w:rPr>
        <w:t> </w:t>
      </w:r>
      <w:r>
        <w:rPr>
          <w:color w:val="231F20"/>
        </w:rPr>
        <w:t>Notes</w:t>
      </w:r>
      <w:r>
        <w:rPr>
          <w:rFonts w:ascii="Palatino Linotype" w:hAnsi="Palatino Linotype"/>
          <w:b w:val="0"/>
          <w:color w:val="231F20"/>
        </w:rPr>
        <w:t>.</w:t>
      </w:r>
    </w:p>
    <w:p>
      <w:pPr>
        <w:pStyle w:val="BodyText"/>
        <w:spacing w:line="213" w:lineRule="auto" w:before="52"/>
        <w:ind w:left="2688" w:right="493" w:hanging="216"/>
      </w:pPr>
      <w:r>
        <w:rPr>
          <w:rFonts w:ascii="Futura MdCn BT"/>
          <w:color w:val="231F20"/>
        </w:rPr>
        <w:t>v</w:t>
      </w:r>
      <w:r>
        <w:rPr>
          <w:rFonts w:ascii="Futura MdCn BT"/>
          <w:color w:val="231F20"/>
          <w:spacing w:val="80"/>
        </w:rPr>
        <w:t> </w:t>
      </w:r>
      <w:r>
        <w:rPr>
          <w:rFonts w:ascii="Book Antiqua"/>
          <w:b/>
          <w:color w:val="231F20"/>
        </w:rPr>
        <w:t>Situation event console view: </w:t>
      </w:r>
      <w:r>
        <w:rPr>
          <w:color w:val="231F20"/>
        </w:rPr>
        <w:t>From the situation event console view, do the following to close a pure event or one whose situation has been </w:t>
      </w:r>
      <w:r>
        <w:rPr>
          <w:color w:val="231F20"/>
          <w:spacing w:val="24"/>
          <w:position w:val="-1"/>
        </w:rPr>
        <w:drawing>
          <wp:inline distT="0" distB="0" distL="0" distR="0">
            <wp:extent cx="95250" cy="95250"/>
            <wp:effectExtent l="0" t="0" r="0" b="0"/>
            <wp:docPr id="659" name="Image 659"/>
            <wp:cNvGraphicFramePr>
              <a:graphicFrameLocks/>
            </wp:cNvGraphicFramePr>
            <a:graphic>
              <a:graphicData uri="http://schemas.openxmlformats.org/drawingml/2006/picture">
                <pic:pic>
                  <pic:nvPicPr>
                    <pic:cNvPr id="659" name="Image 659"/>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rPr>
        <w:t> </w:t>
      </w:r>
      <w:r>
        <w:rPr>
          <w:color w:val="231F20"/>
        </w:rPr>
        <w:t>stopped or</w:t>
      </w:r>
      <w:r>
        <w:rPr>
          <w:color w:val="231F20"/>
          <w:spacing w:val="40"/>
        </w:rPr>
        <w:t> </w:t>
      </w:r>
      <w:r>
        <w:rPr>
          <w:color w:val="231F20"/>
          <w:spacing w:val="-2"/>
        </w:rPr>
        <w:t>deleted:</w:t>
      </w:r>
    </w:p>
    <w:p>
      <w:pPr>
        <w:pStyle w:val="ListParagraph"/>
        <w:numPr>
          <w:ilvl w:val="0"/>
          <w:numId w:val="28"/>
        </w:numPr>
        <w:tabs>
          <w:tab w:pos="3004" w:val="left" w:leader="none"/>
        </w:tabs>
        <w:spacing w:line="213" w:lineRule="auto" w:before="58" w:after="0"/>
        <w:ind w:left="3004" w:right="226" w:hanging="316"/>
        <w:jc w:val="left"/>
        <w:rPr>
          <w:sz w:val="20"/>
        </w:rPr>
      </w:pPr>
      <w:r>
        <w:rPr>
          <w:color w:val="231F20"/>
          <w:sz w:val="20"/>
        </w:rPr>
        <w:t>In the workspace where the situation event console view displays, </w:t>
      </w:r>
      <w:r>
        <w:rPr>
          <w:color w:val="231F20"/>
          <w:sz w:val="20"/>
        </w:rPr>
        <w:t>right-click the</w:t>
      </w:r>
      <w:r>
        <w:rPr>
          <w:color w:val="231F20"/>
          <w:spacing w:val="22"/>
          <w:sz w:val="20"/>
        </w:rPr>
        <w:t> </w:t>
      </w:r>
      <w:r>
        <w:rPr>
          <w:color w:val="231F20"/>
          <w:sz w:val="20"/>
        </w:rPr>
        <w:t>pure</w:t>
      </w:r>
      <w:r>
        <w:rPr>
          <w:color w:val="231F20"/>
          <w:spacing w:val="22"/>
          <w:sz w:val="20"/>
        </w:rPr>
        <w:t> </w:t>
      </w:r>
      <w:r>
        <w:rPr>
          <w:color w:val="231F20"/>
          <w:sz w:val="20"/>
        </w:rPr>
        <w:t>event</w:t>
      </w:r>
      <w:r>
        <w:rPr>
          <w:color w:val="231F20"/>
          <w:spacing w:val="22"/>
          <w:sz w:val="20"/>
        </w:rPr>
        <w:t> </w:t>
      </w:r>
      <w:r>
        <w:rPr>
          <w:color w:val="231F20"/>
          <w:sz w:val="20"/>
        </w:rPr>
        <w:t>(or</w:t>
      </w:r>
      <w:r>
        <w:rPr>
          <w:color w:val="231F20"/>
          <w:spacing w:val="22"/>
          <w:sz w:val="20"/>
        </w:rPr>
        <w:t> </w:t>
      </w:r>
      <w:r>
        <w:rPr>
          <w:color w:val="231F20"/>
          <w:sz w:val="20"/>
        </w:rPr>
        <w:t>the</w:t>
      </w:r>
      <w:r>
        <w:rPr>
          <w:color w:val="231F20"/>
          <w:spacing w:val="22"/>
          <w:sz w:val="20"/>
        </w:rPr>
        <w:t> </w:t>
      </w:r>
      <w:r>
        <w:rPr>
          <w:color w:val="231F20"/>
          <w:sz w:val="20"/>
        </w:rPr>
        <w:t>situation</w:t>
      </w:r>
      <w:r>
        <w:rPr>
          <w:color w:val="231F20"/>
          <w:spacing w:val="22"/>
          <w:sz w:val="20"/>
        </w:rPr>
        <w:t> </w:t>
      </w:r>
      <w:r>
        <w:rPr>
          <w:color w:val="231F20"/>
          <w:sz w:val="20"/>
        </w:rPr>
        <w:t>that</w:t>
      </w:r>
      <w:r>
        <w:rPr>
          <w:color w:val="231F20"/>
          <w:spacing w:val="22"/>
          <w:sz w:val="20"/>
        </w:rPr>
        <w:t> </w:t>
      </w:r>
      <w:r>
        <w:rPr>
          <w:color w:val="231F20"/>
          <w:sz w:val="20"/>
        </w:rPr>
        <w:t>has</w:t>
      </w:r>
      <w:r>
        <w:rPr>
          <w:color w:val="231F20"/>
          <w:spacing w:val="22"/>
          <w:sz w:val="20"/>
        </w:rPr>
        <w:t> </w:t>
      </w:r>
      <w:r>
        <w:rPr>
          <w:color w:val="231F20"/>
          <w:sz w:val="20"/>
        </w:rPr>
        <w:t>been</w:t>
      </w:r>
      <w:r>
        <w:rPr>
          <w:color w:val="231F20"/>
          <w:spacing w:val="22"/>
          <w:sz w:val="20"/>
        </w:rPr>
        <w:t> </w:t>
      </w:r>
      <w:r>
        <w:rPr>
          <w:color w:val="231F20"/>
          <w:sz w:val="20"/>
        </w:rPr>
        <w:t>stopped</w:t>
      </w:r>
      <w:r>
        <w:rPr>
          <w:color w:val="231F20"/>
          <w:spacing w:val="22"/>
          <w:sz w:val="20"/>
        </w:rPr>
        <w:t> </w:t>
      </w:r>
      <w:r>
        <w:rPr>
          <w:color w:val="231F20"/>
          <w:sz w:val="20"/>
        </w:rPr>
        <w:t>or</w:t>
      </w:r>
      <w:r>
        <w:rPr>
          <w:color w:val="231F20"/>
          <w:spacing w:val="22"/>
          <w:sz w:val="20"/>
        </w:rPr>
        <w:t> </w:t>
      </w:r>
      <w:r>
        <w:rPr>
          <w:color w:val="231F20"/>
          <w:sz w:val="20"/>
        </w:rPr>
        <w:t>deleted)</w:t>
      </w:r>
      <w:r>
        <w:rPr>
          <w:color w:val="231F20"/>
          <w:spacing w:val="22"/>
          <w:sz w:val="20"/>
        </w:rPr>
        <w:t> </w:t>
      </w:r>
      <w:r>
        <w:rPr>
          <w:color w:val="231F20"/>
          <w:sz w:val="20"/>
        </w:rPr>
        <w:t>you</w:t>
      </w:r>
      <w:r>
        <w:rPr>
          <w:color w:val="231F20"/>
          <w:spacing w:val="22"/>
          <w:sz w:val="20"/>
        </w:rPr>
        <w:t> </w:t>
      </w:r>
      <w:r>
        <w:rPr>
          <w:color w:val="231F20"/>
          <w:sz w:val="20"/>
        </w:rPr>
        <w:t>want to close. Pure events are indicated by</w:t>
      </w:r>
      <w:r>
        <w:rPr>
          <w:color w:val="231F20"/>
          <w:spacing w:val="40"/>
          <w:sz w:val="20"/>
        </w:rPr>
        <w:t> </w:t>
      </w:r>
      <w:r>
        <w:rPr>
          <w:color w:val="231F20"/>
          <w:spacing w:val="5"/>
          <w:sz w:val="20"/>
        </w:rPr>
        <w:drawing>
          <wp:inline distT="0" distB="0" distL="0" distR="0">
            <wp:extent cx="69850" cy="69850"/>
            <wp:effectExtent l="0" t="0" r="0" b="0"/>
            <wp:docPr id="660" name="Image 660"/>
            <wp:cNvGraphicFramePr>
              <a:graphicFrameLocks/>
            </wp:cNvGraphicFramePr>
            <a:graphic>
              <a:graphicData uri="http://schemas.openxmlformats.org/drawingml/2006/picture">
                <pic:pic>
                  <pic:nvPicPr>
                    <pic:cNvPr id="660" name="Image 660"/>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sz w:val="20"/>
        </w:rPr>
      </w:r>
      <w:r>
        <w:rPr>
          <w:rFonts w:ascii="Times New Roman"/>
          <w:color w:val="231F20"/>
          <w:spacing w:val="80"/>
          <w:sz w:val="20"/>
        </w:rPr>
        <w:t> </w:t>
      </w:r>
      <w:r>
        <w:rPr>
          <w:color w:val="231F20"/>
          <w:sz w:val="20"/>
        </w:rPr>
        <w:t>Expand in the first cell and </w:t>
      </w:r>
      <w:r>
        <w:rPr>
          <w:rFonts w:ascii="Book Antiqua"/>
          <w:i/>
          <w:color w:val="231F20"/>
          <w:sz w:val="20"/>
        </w:rPr>
        <w:t>Pure </w:t>
      </w:r>
      <w:r>
        <w:rPr>
          <w:color w:val="231F20"/>
          <w:sz w:val="20"/>
        </w:rPr>
        <w:t>in</w:t>
      </w:r>
      <w:r>
        <w:rPr>
          <w:color w:val="231F20"/>
          <w:spacing w:val="40"/>
          <w:sz w:val="20"/>
        </w:rPr>
        <w:t> </w:t>
      </w:r>
      <w:r>
        <w:rPr>
          <w:color w:val="231F20"/>
          <w:sz w:val="20"/>
        </w:rPr>
        <w:t>the </w:t>
      </w:r>
      <w:r>
        <w:rPr>
          <w:rFonts w:ascii="Book Antiqua"/>
          <w:b/>
          <w:color w:val="231F20"/>
          <w:sz w:val="20"/>
        </w:rPr>
        <w:t>Type </w:t>
      </w:r>
      <w:r>
        <w:rPr>
          <w:color w:val="231F20"/>
          <w:sz w:val="20"/>
        </w:rPr>
        <w:t>cell of the event row.</w:t>
      </w:r>
    </w:p>
    <w:p>
      <w:pPr>
        <w:pStyle w:val="ListParagraph"/>
        <w:numPr>
          <w:ilvl w:val="0"/>
          <w:numId w:val="28"/>
        </w:numPr>
        <w:tabs>
          <w:tab w:pos="3003" w:val="left" w:leader="none"/>
        </w:tabs>
        <w:spacing w:line="240" w:lineRule="auto" w:before="34" w:after="0"/>
        <w:ind w:left="3003" w:right="0" w:hanging="315"/>
        <w:jc w:val="left"/>
        <w:rPr>
          <w:sz w:val="20"/>
        </w:rPr>
      </w:pPr>
      <w:r>
        <w:rPr>
          <w:color w:val="231F20"/>
          <w:sz w:val="20"/>
        </w:rPr>
        <w: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pacing w:val="-2"/>
          <w:sz w:val="20"/>
        </w:rPr>
        <w:t>options:</w:t>
      </w:r>
    </w:p>
    <w:p>
      <w:pPr>
        <w:pStyle w:val="ListParagraph"/>
        <w:numPr>
          <w:ilvl w:val="1"/>
          <w:numId w:val="28"/>
        </w:numPr>
        <w:tabs>
          <w:tab w:pos="3252" w:val="left" w:leader="none"/>
        </w:tabs>
        <w:spacing w:line="240" w:lineRule="auto" w:before="30" w:after="0"/>
        <w:ind w:left="3252" w:right="0" w:hanging="248"/>
        <w:jc w:val="left"/>
        <w:rPr>
          <w:rFonts w:ascii="Book Antiqua" w:hAnsi="Book Antiqua"/>
          <w:b/>
          <w:sz w:val="20"/>
        </w:rPr>
      </w:pPr>
      <w:r>
        <w:rPr>
          <w:rFonts w:ascii="Book Antiqua" w:hAnsi="Book Antiqua"/>
          <w:b/>
          <w:color w:val="231F20"/>
          <w:sz w:val="20"/>
        </w:rPr>
        <w:t>Close</w:t>
      </w:r>
      <w:r>
        <w:rPr>
          <w:rFonts w:ascii="Book Antiqua" w:hAnsi="Book Antiqua"/>
          <w:b/>
          <w:color w:val="231F20"/>
          <w:spacing w:val="-8"/>
          <w:sz w:val="20"/>
        </w:rPr>
        <w:t> </w:t>
      </w:r>
      <w:r>
        <w:rPr>
          <w:rFonts w:ascii="Book Antiqua" w:hAnsi="Book Antiqua"/>
          <w:b/>
          <w:color w:val="231F20"/>
          <w:sz w:val="20"/>
        </w:rPr>
        <w:t>Event</w:t>
      </w:r>
      <w:r>
        <w:rPr>
          <w:rFonts w:ascii="Book Antiqua" w:hAnsi="Book Antiqua"/>
          <w:b/>
          <w:color w:val="231F20"/>
          <w:spacing w:val="-7"/>
          <w:sz w:val="20"/>
        </w:rPr>
        <w:t> </w:t>
      </w:r>
      <w:r>
        <w:rPr>
          <w:rFonts w:ascii="Arial" w:hAnsi="Arial"/>
          <w:color w:val="231F20"/>
          <w:w w:val="90"/>
          <w:sz w:val="20"/>
        </w:rPr>
        <w:t>→</w:t>
      </w:r>
      <w:r>
        <w:rPr>
          <w:rFonts w:ascii="Arial" w:hAnsi="Arial"/>
          <w:color w:val="231F20"/>
          <w:spacing w:val="4"/>
          <w:w w:val="90"/>
          <w:sz w:val="20"/>
        </w:rPr>
        <w:t> </w:t>
      </w:r>
      <w:r>
        <w:rPr>
          <w:rFonts w:ascii="Arial" w:hAnsi="Arial"/>
          <w:color w:val="231F20"/>
          <w:spacing w:val="20"/>
          <w:position w:val="-1"/>
          <w:sz w:val="20"/>
        </w:rPr>
        <w:drawing>
          <wp:inline distT="0" distB="0" distL="0" distR="0">
            <wp:extent cx="95250" cy="95250"/>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168" cstate="print"/>
                    <a:stretch>
                      <a:fillRect/>
                    </a:stretch>
                  </pic:blipFill>
                  <pic:spPr>
                    <a:xfrm>
                      <a:off x="0" y="0"/>
                      <a:ext cx="95250" cy="95250"/>
                    </a:xfrm>
                    <a:prstGeom prst="rect">
                      <a:avLst/>
                    </a:prstGeom>
                  </pic:spPr>
                </pic:pic>
              </a:graphicData>
            </a:graphic>
          </wp:inline>
        </w:drawing>
      </w:r>
      <w:r>
        <w:rPr>
          <w:rFonts w:ascii="Arial" w:hAnsi="Arial"/>
          <w:color w:val="231F20"/>
          <w:spacing w:val="20"/>
          <w:position w:val="-1"/>
          <w:sz w:val="20"/>
        </w:rPr>
      </w:r>
      <w:r>
        <w:rPr>
          <w:rFonts w:ascii="Times New Roman" w:hAnsi="Times New Roman"/>
          <w:color w:val="231F20"/>
          <w:spacing w:val="-21"/>
          <w:sz w:val="20"/>
        </w:rPr>
        <w:t> </w:t>
      </w:r>
      <w:r>
        <w:rPr>
          <w:rFonts w:ascii="Book Antiqua" w:hAnsi="Book Antiqua"/>
          <w:b/>
          <w:color w:val="231F20"/>
          <w:sz w:val="20"/>
        </w:rPr>
        <w:t>Close</w:t>
      </w:r>
      <w:r>
        <w:rPr>
          <w:rFonts w:ascii="Book Antiqua" w:hAnsi="Book Antiqua"/>
          <w:b/>
          <w:color w:val="231F20"/>
          <w:spacing w:val="-3"/>
          <w:sz w:val="20"/>
        </w:rPr>
        <w:t> </w:t>
      </w:r>
      <w:r>
        <w:rPr>
          <w:rFonts w:ascii="Book Antiqua" w:hAnsi="Book Antiqua"/>
          <w:b/>
          <w:color w:val="231F20"/>
          <w:sz w:val="20"/>
        </w:rPr>
        <w:t>Situation</w:t>
      </w:r>
      <w:r>
        <w:rPr>
          <w:rFonts w:ascii="Book Antiqua" w:hAnsi="Book Antiqua"/>
          <w:b/>
          <w:color w:val="231F20"/>
          <w:spacing w:val="-3"/>
          <w:sz w:val="20"/>
        </w:rPr>
        <w:t> </w:t>
      </w:r>
      <w:r>
        <w:rPr>
          <w:rFonts w:ascii="Book Antiqua" w:hAnsi="Book Antiqua"/>
          <w:b/>
          <w:color w:val="231F20"/>
          <w:spacing w:val="-2"/>
          <w:sz w:val="20"/>
        </w:rPr>
        <w:t>Event</w:t>
      </w:r>
    </w:p>
    <w:p>
      <w:pPr>
        <w:pStyle w:val="ListParagraph"/>
        <w:numPr>
          <w:ilvl w:val="1"/>
          <w:numId w:val="28"/>
        </w:numPr>
        <w:tabs>
          <w:tab w:pos="3252" w:val="left" w:leader="none"/>
        </w:tabs>
        <w:spacing w:line="240" w:lineRule="auto" w:before="29" w:after="0"/>
        <w:ind w:left="3252" w:right="0" w:hanging="248"/>
        <w:jc w:val="left"/>
        <w:rPr>
          <w:rFonts w:ascii="Book Antiqua" w:hAnsi="Book Antiqua"/>
          <w:b/>
          <w:sz w:val="20"/>
        </w:rPr>
      </w:pPr>
      <w:r>
        <w:rPr>
          <w:rFonts w:ascii="Book Antiqua" w:hAnsi="Book Antiqua"/>
          <w:b/>
          <w:color w:val="231F20"/>
          <w:sz w:val="20"/>
        </w:rPr>
        <w:t>Close</w:t>
      </w:r>
      <w:r>
        <w:rPr>
          <w:rFonts w:ascii="Book Antiqua" w:hAnsi="Book Antiqua"/>
          <w:b/>
          <w:color w:val="231F20"/>
          <w:spacing w:val="-1"/>
          <w:sz w:val="20"/>
        </w:rPr>
        <w:t> </w:t>
      </w:r>
      <w:r>
        <w:rPr>
          <w:rFonts w:ascii="Book Antiqua" w:hAnsi="Book Antiqua"/>
          <w:b/>
          <w:color w:val="231F20"/>
          <w:sz w:val="20"/>
        </w:rPr>
        <w:t>Event </w:t>
      </w:r>
      <w:r>
        <w:rPr>
          <w:rFonts w:ascii="Arial" w:hAnsi="Arial"/>
          <w:color w:val="231F20"/>
          <w:w w:val="90"/>
          <w:sz w:val="20"/>
        </w:rPr>
        <w:t>→</w:t>
      </w:r>
      <w:r>
        <w:rPr>
          <w:rFonts w:ascii="Arial" w:hAnsi="Arial"/>
          <w:color w:val="231F20"/>
          <w:spacing w:val="-1"/>
          <w:w w:val="90"/>
          <w:sz w:val="20"/>
        </w:rPr>
        <w:t> </w:t>
      </w:r>
      <w:r>
        <w:rPr>
          <w:rFonts w:ascii="Book Antiqua" w:hAnsi="Book Antiqua"/>
          <w:b/>
          <w:color w:val="231F20"/>
          <w:sz w:val="20"/>
        </w:rPr>
        <w:t>Close</w:t>
      </w:r>
      <w:r>
        <w:rPr>
          <w:rFonts w:ascii="Book Antiqua" w:hAnsi="Book Antiqua"/>
          <w:b/>
          <w:color w:val="231F20"/>
          <w:spacing w:val="-1"/>
          <w:sz w:val="20"/>
        </w:rPr>
        <w:t> </w:t>
      </w:r>
      <w:r>
        <w:rPr>
          <w:rFonts w:ascii="Book Antiqua" w:hAnsi="Book Antiqua"/>
          <w:b/>
          <w:color w:val="231F20"/>
          <w:sz w:val="20"/>
        </w:rPr>
        <w:t>Situation Event</w:t>
      </w:r>
      <w:r>
        <w:rPr>
          <w:rFonts w:ascii="Book Antiqua" w:hAnsi="Book Antiqua"/>
          <w:b/>
          <w:color w:val="231F20"/>
          <w:spacing w:val="-1"/>
          <w:sz w:val="20"/>
        </w:rPr>
        <w:t> </w:t>
      </w:r>
      <w:r>
        <w:rPr>
          <w:rFonts w:ascii="Book Antiqua" w:hAnsi="Book Antiqua"/>
          <w:b/>
          <w:color w:val="231F20"/>
          <w:sz w:val="20"/>
        </w:rPr>
        <w:t>with </w:t>
      </w:r>
      <w:r>
        <w:rPr>
          <w:rFonts w:ascii="Book Antiqua" w:hAnsi="Book Antiqua"/>
          <w:b/>
          <w:color w:val="231F20"/>
          <w:spacing w:val="-2"/>
          <w:sz w:val="20"/>
        </w:rPr>
        <w:t>Notes</w:t>
      </w:r>
    </w:p>
    <w:p>
      <w:pPr>
        <w:pStyle w:val="Heading4"/>
        <w:spacing w:before="194"/>
        <w:ind w:left="2472"/>
      </w:pPr>
      <w:r>
        <w:rPr>
          <w:color w:val="231F20"/>
          <w:spacing w:val="-2"/>
        </w:rPr>
        <w:t>Results</w:t>
      </w:r>
    </w:p>
    <w:p>
      <w:pPr>
        <w:pStyle w:val="BodyText"/>
        <w:spacing w:before="218"/>
        <w:ind w:left="2472"/>
      </w:pPr>
      <w:r>
        <w:rPr>
          <w:color w:val="231F20"/>
        </w:rPr>
        <w:t>The</w:t>
      </w:r>
      <w:r>
        <w:rPr>
          <w:color w:val="231F20"/>
          <w:spacing w:val="9"/>
        </w:rPr>
        <w:t> </w:t>
      </w:r>
      <w:r>
        <w:rPr>
          <w:color w:val="231F20"/>
        </w:rPr>
        <w:t>indicator</w:t>
      </w:r>
      <w:r>
        <w:rPr>
          <w:color w:val="231F20"/>
          <w:spacing w:val="10"/>
        </w:rPr>
        <w:t> </w:t>
      </w:r>
      <w:r>
        <w:rPr>
          <w:color w:val="231F20"/>
        </w:rPr>
        <w:t>disappears</w:t>
      </w:r>
      <w:r>
        <w:rPr>
          <w:color w:val="231F20"/>
          <w:spacing w:val="9"/>
        </w:rPr>
        <w:t> </w:t>
      </w:r>
      <w:r>
        <w:rPr>
          <w:color w:val="231F20"/>
        </w:rPr>
        <w:t>until</w:t>
      </w:r>
      <w:r>
        <w:rPr>
          <w:color w:val="231F20"/>
          <w:spacing w:val="10"/>
        </w:rPr>
        <w:t> </w:t>
      </w:r>
      <w:r>
        <w:rPr>
          <w:color w:val="231F20"/>
        </w:rPr>
        <w:t>another</w:t>
      </w:r>
      <w:r>
        <w:rPr>
          <w:color w:val="231F20"/>
          <w:spacing w:val="9"/>
        </w:rPr>
        <w:t> </w:t>
      </w:r>
      <w:r>
        <w:rPr>
          <w:color w:val="231F20"/>
        </w:rPr>
        <w:t>pure</w:t>
      </w:r>
      <w:r>
        <w:rPr>
          <w:color w:val="231F20"/>
          <w:spacing w:val="10"/>
        </w:rPr>
        <w:t> </w:t>
      </w:r>
      <w:r>
        <w:rPr>
          <w:color w:val="231F20"/>
        </w:rPr>
        <w:t>event</w:t>
      </w:r>
      <w:r>
        <w:rPr>
          <w:color w:val="231F20"/>
          <w:spacing w:val="10"/>
        </w:rPr>
        <w:t> </w:t>
      </w:r>
      <w:r>
        <w:rPr>
          <w:color w:val="231F20"/>
          <w:spacing w:val="-2"/>
        </w:rPr>
        <w:t>arrives.</w:t>
      </w:r>
    </w:p>
    <w:p>
      <w:pPr>
        <w:pStyle w:val="Heading4"/>
        <w:spacing w:before="19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493"/>
      </w:pPr>
      <w:r>
        <w:rPr>
          <w:color w:val="231F20"/>
        </w:rPr>
        <w:t>Here are some notes about what you can and cannot do after an event has been</w:t>
      </w:r>
      <w:r>
        <w:rPr>
          <w:color w:val="231F20"/>
          <w:spacing w:val="40"/>
        </w:rPr>
        <w:t> </w:t>
      </w:r>
      <w:r>
        <w:rPr>
          <w:color w:val="231F20"/>
          <w:spacing w:val="-2"/>
        </w:rPr>
        <w:t>closed:</w:t>
      </w:r>
    </w:p>
    <w:p>
      <w:pPr>
        <w:pStyle w:val="BodyText"/>
        <w:tabs>
          <w:tab w:pos="2754" w:val="left" w:leader="none"/>
        </w:tabs>
        <w:spacing w:before="35"/>
        <w:ind w:left="2472"/>
      </w:pPr>
      <w:r>
        <w:rPr>
          <w:rFonts w:ascii="Futura MdCn BT"/>
          <w:color w:val="231F20"/>
          <w:spacing w:val="-10"/>
        </w:rPr>
        <w:t>v</w:t>
      </w:r>
      <w:r>
        <w:rPr>
          <w:rFonts w:ascii="Futura MdCn BT"/>
          <w:color w:val="231F20"/>
        </w:rPr>
        <w:tab/>
      </w:r>
      <w:r>
        <w:rPr>
          <w:color w:val="231F20"/>
        </w:rPr>
        <w:t>If</w:t>
      </w:r>
      <w:r>
        <w:rPr>
          <w:color w:val="231F20"/>
          <w:spacing w:val="11"/>
        </w:rPr>
        <w:t> </w:t>
      </w:r>
      <w:r>
        <w:rPr>
          <w:color w:val="231F20"/>
        </w:rPr>
        <w:t>you</w:t>
      </w:r>
      <w:r>
        <w:rPr>
          <w:color w:val="231F20"/>
          <w:spacing w:val="11"/>
        </w:rPr>
        <w:t> </w:t>
      </w:r>
      <w:r>
        <w:rPr>
          <w:color w:val="231F20"/>
        </w:rPr>
        <w:t>close</w:t>
      </w:r>
      <w:r>
        <w:rPr>
          <w:color w:val="231F20"/>
          <w:spacing w:val="11"/>
        </w:rPr>
        <w:t> </w:t>
      </w:r>
      <w:r>
        <w:rPr>
          <w:color w:val="231F20"/>
        </w:rPr>
        <w:t>an</w:t>
      </w:r>
      <w:r>
        <w:rPr>
          <w:color w:val="231F20"/>
          <w:spacing w:val="12"/>
        </w:rPr>
        <w:t> </w:t>
      </w:r>
      <w:r>
        <w:rPr>
          <w:color w:val="231F20"/>
        </w:rPr>
        <w:t>event,</w:t>
      </w:r>
      <w:r>
        <w:rPr>
          <w:color w:val="231F20"/>
          <w:spacing w:val="11"/>
        </w:rPr>
        <w:t> </w:t>
      </w:r>
      <w:r>
        <w:rPr>
          <w:color w:val="231F20"/>
        </w:rPr>
        <w:t>you</w:t>
      </w:r>
      <w:r>
        <w:rPr>
          <w:color w:val="231F20"/>
          <w:spacing w:val="11"/>
        </w:rPr>
        <w:t> </w:t>
      </w:r>
      <w:r>
        <w:rPr>
          <w:color w:val="231F20"/>
        </w:rPr>
        <w:t>cannot</w:t>
      </w:r>
      <w:r>
        <w:rPr>
          <w:color w:val="231F20"/>
          <w:spacing w:val="11"/>
        </w:rPr>
        <w:t> </w:t>
      </w:r>
      <w:r>
        <w:rPr>
          <w:color w:val="231F20"/>
        </w:rPr>
        <w:t>acknowledge</w:t>
      </w:r>
      <w:r>
        <w:rPr>
          <w:color w:val="231F20"/>
          <w:spacing w:val="12"/>
        </w:rPr>
        <w:t> </w:t>
      </w:r>
      <w:r>
        <w:rPr>
          <w:color w:val="231F20"/>
          <w:spacing w:val="-5"/>
        </w:rPr>
        <w:t>it.</w:t>
      </w:r>
    </w:p>
    <w:p>
      <w:pPr>
        <w:pStyle w:val="BodyText"/>
        <w:tabs>
          <w:tab w:pos="2751" w:val="left" w:leader="none"/>
        </w:tabs>
        <w:spacing w:line="213" w:lineRule="auto" w:before="53"/>
        <w:ind w:left="2688" w:right="603" w:hanging="216"/>
      </w:pPr>
      <w:r>
        <w:rPr>
          <w:rFonts w:ascii="Futura MdCn BT"/>
          <w:color w:val="231F20"/>
          <w:spacing w:val="-10"/>
        </w:rPr>
        <w:t>v</w:t>
      </w:r>
      <w:r>
        <w:rPr>
          <w:rFonts w:ascii="Futura MdCn BT"/>
          <w:color w:val="231F20"/>
        </w:rPr>
        <w:tab/>
        <w:tab/>
      </w:r>
      <w:r>
        <w:rPr>
          <w:color w:val="231F20"/>
        </w:rPr>
        <w:t>You can open the notes and any attachments for a closed event through </w:t>
      </w:r>
      <w:r>
        <w:rPr>
          <w:color w:val="231F20"/>
        </w:rPr>
        <w:t>the</w:t>
      </w:r>
      <w:r>
        <w:rPr>
          <w:color w:val="231F20"/>
        </w:rPr>
        <w:t> pop-up menu of the view.</w:t>
      </w:r>
    </w:p>
    <w:p>
      <w:pPr>
        <w:pStyle w:val="BodyText"/>
        <w:tabs>
          <w:tab w:pos="2754" w:val="left" w:leader="none"/>
        </w:tabs>
        <w:spacing w:line="213" w:lineRule="auto" w:before="58"/>
        <w:ind w:left="2688" w:right="379" w:hanging="216"/>
      </w:pPr>
      <w:r>
        <w:rPr>
          <w:rFonts w:ascii="Futura MdCn BT"/>
          <w:color w:val="231F20"/>
          <w:spacing w:val="-10"/>
        </w:rPr>
        <w:t>v</w:t>
      </w:r>
      <w:r>
        <w:rPr>
          <w:rFonts w:ascii="Futura MdCn BT"/>
          <w:color w:val="231F20"/>
        </w:rPr>
        <w:tab/>
        <w:tab/>
      </w:r>
      <w:r>
        <w:rPr>
          <w:color w:val="231F20"/>
        </w:rPr>
        <w:t>If you know you need to take an action that will trigger an event, such as</w:t>
      </w:r>
      <w:r>
        <w:rPr>
          <w:color w:val="231F20"/>
          <w:spacing w:val="40"/>
        </w:rPr>
        <w:t> </w:t>
      </w:r>
      <w:r>
        <w:rPr>
          <w:color w:val="231F20"/>
        </w:rPr>
        <w:t>stopping an application, but you do not want notification, you can take preemptive measures to stop an event from opening: You can stop the situation then restart it when you want it to begin running again; or, if you can schedule the time when you don't want the situation to run, you can add a time</w:t>
      </w:r>
      <w:r>
        <w:rPr>
          <w:color w:val="231F20"/>
          <w:spacing w:val="40"/>
        </w:rPr>
        <w:t> </w:t>
      </w:r>
      <w:r>
        <w:rPr>
          <w:color w:val="231F20"/>
        </w:rPr>
        <w:t>expression to the situation.</w:t>
      </w:r>
    </w:p>
    <w:p>
      <w:pPr>
        <w:pStyle w:val="BodyText"/>
        <w:spacing w:before="3"/>
        <w:rPr>
          <w:sz w:val="16"/>
        </w:rPr>
      </w:pPr>
      <w:r>
        <w:rPr/>
        <mc:AlternateContent>
          <mc:Choice Requires="wps">
            <w:drawing>
              <wp:anchor distT="0" distB="0" distL="0" distR="0" allowOverlap="1" layoutInCell="1" locked="0" behindDoc="1" simplePos="0" relativeHeight="487653376">
                <wp:simplePos x="0" y="0"/>
                <wp:positionH relativeFrom="page">
                  <wp:posOffset>912380</wp:posOffset>
                </wp:positionH>
                <wp:positionV relativeFrom="paragraph">
                  <wp:posOffset>154432</wp:posOffset>
                </wp:positionV>
                <wp:extent cx="6082665" cy="1270"/>
                <wp:effectExtent l="0" t="0" r="0" b="0"/>
                <wp:wrapTopAndBottom/>
                <wp:docPr id="662" name="Graphic 662"/>
                <wp:cNvGraphicFramePr>
                  <a:graphicFrameLocks/>
                </wp:cNvGraphicFramePr>
                <a:graphic>
                  <a:graphicData uri="http://schemas.microsoft.com/office/word/2010/wordprocessingShape">
                    <wps:wsp>
                      <wps:cNvPr id="662" name="Graphic 66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60024pt;width:478.95pt;height:.1pt;mso-position-horizontal-relative:page;mso-position-vertical-relative:paragraph;z-index:-15663104;mso-wrap-distance-left:0;mso-wrap-distance-right:0" id="docshape98"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Turning off the sound" w:id="108"/>
      <w:bookmarkEnd w:id="108"/>
      <w:r>
        <w:rPr>
          <w:b w:val="0"/>
        </w:rPr>
      </w:r>
      <w:r>
        <w:rPr>
          <w:color w:val="231F20"/>
        </w:rPr>
        <w:t>Turning</w:t>
      </w:r>
      <w:r>
        <w:rPr>
          <w:color w:val="231F20"/>
          <w:spacing w:val="1"/>
        </w:rPr>
        <w:t> </w:t>
      </w:r>
      <w:r>
        <w:rPr>
          <w:color w:val="231F20"/>
        </w:rPr>
        <w:t>off</w:t>
      </w:r>
      <w:r>
        <w:rPr>
          <w:color w:val="231F20"/>
          <w:spacing w:val="2"/>
        </w:rPr>
        <w:t> </w:t>
      </w:r>
      <w:r>
        <w:rPr>
          <w:color w:val="231F20"/>
        </w:rPr>
        <w:t>the</w:t>
      </w:r>
      <w:r>
        <w:rPr>
          <w:color w:val="231F20"/>
          <w:spacing w:val="2"/>
        </w:rPr>
        <w:t> </w:t>
      </w:r>
      <w:r>
        <w:rPr>
          <w:color w:val="231F20"/>
          <w:spacing w:val="-2"/>
        </w:rPr>
        <w:t>sound</w:t>
      </w:r>
    </w:p>
    <w:p>
      <w:pPr>
        <w:pStyle w:val="BodyText"/>
        <w:spacing w:line="213" w:lineRule="auto" w:before="138"/>
        <w:ind w:left="2472" w:right="545"/>
      </w:pPr>
      <w:r>
        <w:rPr>
          <w:color w:val="231F20"/>
        </w:rPr>
        <w:t>When an event is opened for a situation that has a WAV file assigned, the sound plays while the event is open.</w:t>
      </w:r>
    </w:p>
    <w:p>
      <w:pPr>
        <w:pStyle w:val="Heading4"/>
        <w:ind w:left="2472"/>
      </w:pPr>
      <w:r>
        <w:rPr>
          <w:color w:val="231F20"/>
          <w:spacing w:val="-2"/>
        </w:rPr>
        <w:t>Procedure</w:t>
      </w:r>
    </w:p>
    <w:p>
      <w:pPr>
        <w:spacing w:before="39"/>
        <w:ind w:left="2472" w:right="0" w:firstLine="0"/>
        <w:jc w:val="left"/>
        <w:rPr>
          <w:sz w:val="20"/>
        </w:rPr>
      </w:pPr>
      <w:r>
        <w:rPr>
          <w:rFonts w:ascii="Futura MdCn BT"/>
          <w:color w:val="231F20"/>
          <w:sz w:val="20"/>
        </w:rPr>
        <w:t>v</w:t>
      </w:r>
      <w:r>
        <w:rPr>
          <w:rFonts w:ascii="Futura MdCn BT"/>
          <w:color w:val="231F20"/>
          <w:spacing w:val="76"/>
          <w:w w:val="150"/>
          <w:sz w:val="20"/>
        </w:rPr>
        <w:t> </w:t>
      </w:r>
      <w:r>
        <w:rPr>
          <w:color w:val="231F20"/>
          <w:sz w:val="20"/>
        </w:rPr>
        <w:t>To</w:t>
      </w:r>
      <w:r>
        <w:rPr>
          <w:color w:val="231F20"/>
          <w:spacing w:val="10"/>
          <w:sz w:val="20"/>
        </w:rPr>
        <w:t> </w:t>
      </w:r>
      <w:r>
        <w:rPr>
          <w:color w:val="231F20"/>
          <w:sz w:val="20"/>
        </w:rPr>
        <w:t>turn</w:t>
      </w:r>
      <w:r>
        <w:rPr>
          <w:color w:val="231F20"/>
          <w:spacing w:val="9"/>
          <w:sz w:val="20"/>
        </w:rPr>
        <w:t> </w:t>
      </w:r>
      <w:r>
        <w:rPr>
          <w:color w:val="231F20"/>
          <w:sz w:val="20"/>
        </w:rPr>
        <w:t>the</w:t>
      </w:r>
      <w:r>
        <w:rPr>
          <w:color w:val="231F20"/>
          <w:spacing w:val="10"/>
          <w:sz w:val="20"/>
        </w:rPr>
        <w:t> </w:t>
      </w:r>
      <w:r>
        <w:rPr>
          <w:color w:val="231F20"/>
          <w:sz w:val="20"/>
        </w:rPr>
        <w:t>sound</w:t>
      </w:r>
      <w:r>
        <w:rPr>
          <w:color w:val="231F20"/>
          <w:spacing w:val="10"/>
          <w:sz w:val="20"/>
        </w:rPr>
        <w:t> </w:t>
      </w:r>
      <w:r>
        <w:rPr>
          <w:color w:val="231F20"/>
          <w:sz w:val="20"/>
        </w:rPr>
        <w:t>off,</w:t>
      </w:r>
      <w:r>
        <w:rPr>
          <w:color w:val="231F20"/>
          <w:spacing w:val="9"/>
          <w:sz w:val="20"/>
        </w:rPr>
        <w:t> </w:t>
      </w:r>
      <w:r>
        <w:rPr>
          <w:color w:val="231F20"/>
          <w:sz w:val="20"/>
        </w:rPr>
        <w:t>click</w:t>
      </w:r>
      <w:r>
        <w:rPr>
          <w:color w:val="231F20"/>
          <w:spacing w:val="27"/>
          <w:sz w:val="20"/>
        </w:rPr>
        <w:t> </w:t>
      </w:r>
      <w:r>
        <w:rPr>
          <w:color w:val="231F20"/>
          <w:spacing w:val="-15"/>
          <w:position w:val="-1"/>
          <w:sz w:val="20"/>
        </w:rPr>
        <w:drawing>
          <wp:inline distT="0" distB="0" distL="0" distR="0">
            <wp:extent cx="76200" cy="95250"/>
            <wp:effectExtent l="0" t="0" r="0" b="0"/>
            <wp:docPr id="663" name="Image 663"/>
            <wp:cNvGraphicFramePr>
              <a:graphicFrameLocks/>
            </wp:cNvGraphicFramePr>
            <a:graphic>
              <a:graphicData uri="http://schemas.openxmlformats.org/drawingml/2006/picture">
                <pic:pic>
                  <pic:nvPicPr>
                    <pic:cNvPr id="663" name="Image 663"/>
                    <pic:cNvPicPr/>
                  </pic:nvPicPr>
                  <pic:blipFill>
                    <a:blip r:embed="rId42" cstate="print"/>
                    <a:stretch>
                      <a:fillRect/>
                    </a:stretch>
                  </pic:blipFill>
                  <pic:spPr>
                    <a:xfrm>
                      <a:off x="0" y="0"/>
                      <a:ext cx="76200" cy="95250"/>
                    </a:xfrm>
                    <a:prstGeom prst="rect">
                      <a:avLst/>
                    </a:prstGeom>
                  </pic:spPr>
                </pic:pic>
              </a:graphicData>
            </a:graphic>
          </wp:inline>
        </w:drawing>
      </w:r>
      <w:r>
        <w:rPr>
          <w:color w:val="231F20"/>
          <w:spacing w:val="-15"/>
          <w:position w:val="-1"/>
          <w:sz w:val="20"/>
        </w:rPr>
      </w:r>
      <w:r>
        <w:rPr>
          <w:rFonts w:ascii="Times New Roman"/>
          <w:color w:val="231F20"/>
          <w:spacing w:val="61"/>
          <w:w w:val="150"/>
          <w:sz w:val="20"/>
        </w:rPr>
        <w:t> </w:t>
      </w:r>
      <w:r>
        <w:rPr>
          <w:rFonts w:ascii="Book Antiqua"/>
          <w:b/>
          <w:color w:val="231F20"/>
          <w:sz w:val="20"/>
        </w:rPr>
        <w:t>Turn</w:t>
      </w:r>
      <w:r>
        <w:rPr>
          <w:rFonts w:ascii="Book Antiqua"/>
          <w:b/>
          <w:color w:val="231F20"/>
          <w:spacing w:val="10"/>
          <w:sz w:val="20"/>
        </w:rPr>
        <w:t> </w:t>
      </w:r>
      <w:r>
        <w:rPr>
          <w:rFonts w:ascii="Book Antiqua"/>
          <w:b/>
          <w:color w:val="231F20"/>
          <w:sz w:val="20"/>
        </w:rPr>
        <w:t>Sound</w:t>
      </w:r>
      <w:r>
        <w:rPr>
          <w:rFonts w:ascii="Book Antiqua"/>
          <w:b/>
          <w:color w:val="231F20"/>
          <w:spacing w:val="9"/>
          <w:sz w:val="20"/>
        </w:rPr>
        <w:t> </w:t>
      </w:r>
      <w:r>
        <w:rPr>
          <w:rFonts w:ascii="Book Antiqua"/>
          <w:b/>
          <w:color w:val="231F20"/>
          <w:spacing w:val="-4"/>
          <w:sz w:val="20"/>
        </w:rPr>
        <w:t>OFF</w:t>
      </w:r>
      <w:r>
        <w:rPr>
          <w:color w:val="231F20"/>
          <w:spacing w:val="-4"/>
          <w:sz w:val="20"/>
        </w:rPr>
        <w:t>.</w:t>
      </w:r>
    </w:p>
    <w:p>
      <w:pPr>
        <w:spacing w:before="29"/>
        <w:ind w:left="2472" w:right="0" w:firstLine="0"/>
        <w:jc w:val="left"/>
        <w:rPr>
          <w:sz w:val="20"/>
        </w:rPr>
      </w:pPr>
      <w:r>
        <w:rPr>
          <w:rFonts w:ascii="Futura MdCn BT"/>
          <w:color w:val="231F20"/>
          <w:sz w:val="20"/>
        </w:rPr>
        <w:t>v</w:t>
      </w:r>
      <w:r>
        <w:rPr>
          <w:rFonts w:ascii="Futura MdCn BT"/>
          <w:color w:val="231F20"/>
          <w:spacing w:val="77"/>
          <w:w w:val="150"/>
          <w:sz w:val="20"/>
        </w:rPr>
        <w:t> </w:t>
      </w:r>
      <w:r>
        <w:rPr>
          <w:color w:val="231F20"/>
          <w:sz w:val="20"/>
        </w:rPr>
        <w:t>To</w:t>
      </w:r>
      <w:r>
        <w:rPr>
          <w:color w:val="231F20"/>
          <w:spacing w:val="10"/>
          <w:sz w:val="20"/>
        </w:rPr>
        <w:t> </w:t>
      </w:r>
      <w:r>
        <w:rPr>
          <w:color w:val="231F20"/>
          <w:sz w:val="20"/>
        </w:rPr>
        <w:t>turn</w:t>
      </w:r>
      <w:r>
        <w:rPr>
          <w:color w:val="231F20"/>
          <w:spacing w:val="10"/>
          <w:sz w:val="20"/>
        </w:rPr>
        <w:t> </w:t>
      </w:r>
      <w:r>
        <w:rPr>
          <w:color w:val="231F20"/>
          <w:sz w:val="20"/>
        </w:rPr>
        <w:t>the</w:t>
      </w:r>
      <w:r>
        <w:rPr>
          <w:color w:val="231F20"/>
          <w:spacing w:val="10"/>
          <w:sz w:val="20"/>
        </w:rPr>
        <w:t> </w:t>
      </w:r>
      <w:r>
        <w:rPr>
          <w:color w:val="231F20"/>
          <w:sz w:val="20"/>
        </w:rPr>
        <w:t>sound</w:t>
      </w:r>
      <w:r>
        <w:rPr>
          <w:color w:val="231F20"/>
          <w:spacing w:val="10"/>
          <w:sz w:val="20"/>
        </w:rPr>
        <w:t> </w:t>
      </w:r>
      <w:r>
        <w:rPr>
          <w:color w:val="231F20"/>
          <w:sz w:val="20"/>
        </w:rPr>
        <w:t>back</w:t>
      </w:r>
      <w:r>
        <w:rPr>
          <w:color w:val="231F20"/>
          <w:spacing w:val="10"/>
          <w:sz w:val="20"/>
        </w:rPr>
        <w:t> </w:t>
      </w:r>
      <w:r>
        <w:rPr>
          <w:color w:val="231F20"/>
          <w:sz w:val="20"/>
        </w:rPr>
        <w:t>on,</w:t>
      </w:r>
      <w:r>
        <w:rPr>
          <w:color w:val="231F20"/>
          <w:spacing w:val="10"/>
          <w:sz w:val="20"/>
        </w:rPr>
        <w:t> </w:t>
      </w:r>
      <w:r>
        <w:rPr>
          <w:color w:val="231F20"/>
          <w:sz w:val="20"/>
        </w:rPr>
        <w:t>click</w:t>
      </w:r>
      <w:r>
        <w:rPr>
          <w:color w:val="231F20"/>
          <w:spacing w:val="18"/>
          <w:sz w:val="20"/>
        </w:rPr>
        <w:t> </w:t>
      </w:r>
      <w:r>
        <w:rPr>
          <w:color w:val="231F20"/>
          <w:spacing w:val="-25"/>
          <w:position w:val="-1"/>
          <w:sz w:val="20"/>
        </w:rPr>
        <w:drawing>
          <wp:inline distT="0" distB="0" distL="0" distR="0">
            <wp:extent cx="95250" cy="95250"/>
            <wp:effectExtent l="0" t="0" r="0" b="0"/>
            <wp:docPr id="664" name="Image 664"/>
            <wp:cNvGraphicFramePr>
              <a:graphicFrameLocks/>
            </wp:cNvGraphicFramePr>
            <a:graphic>
              <a:graphicData uri="http://schemas.openxmlformats.org/drawingml/2006/picture">
                <pic:pic>
                  <pic:nvPicPr>
                    <pic:cNvPr id="664" name="Image 664"/>
                    <pic:cNvPicPr/>
                  </pic:nvPicPr>
                  <pic:blipFill>
                    <a:blip r:embed="rId4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77"/>
          <w:sz w:val="20"/>
        </w:rPr>
        <w:t> </w:t>
      </w:r>
      <w:r>
        <w:rPr>
          <w:rFonts w:ascii="Book Antiqua"/>
          <w:b/>
          <w:color w:val="231F20"/>
          <w:sz w:val="20"/>
        </w:rPr>
        <w:t>Turn</w:t>
      </w:r>
      <w:r>
        <w:rPr>
          <w:rFonts w:ascii="Book Antiqua"/>
          <w:b/>
          <w:color w:val="231F20"/>
          <w:spacing w:val="10"/>
          <w:sz w:val="20"/>
        </w:rPr>
        <w:t> </w:t>
      </w:r>
      <w:r>
        <w:rPr>
          <w:rFonts w:ascii="Book Antiqua"/>
          <w:b/>
          <w:color w:val="231F20"/>
          <w:sz w:val="20"/>
        </w:rPr>
        <w:t>Sound</w:t>
      </w:r>
      <w:r>
        <w:rPr>
          <w:rFonts w:ascii="Book Antiqua"/>
          <w:b/>
          <w:color w:val="231F20"/>
          <w:spacing w:val="10"/>
          <w:sz w:val="20"/>
        </w:rPr>
        <w:t> </w:t>
      </w:r>
      <w:r>
        <w:rPr>
          <w:rFonts w:ascii="Book Antiqua"/>
          <w:b/>
          <w:color w:val="231F20"/>
          <w:spacing w:val="-5"/>
          <w:sz w:val="20"/>
        </w:rPr>
        <w:t>ON</w:t>
      </w:r>
      <w:r>
        <w:rPr>
          <w:color w:val="231F20"/>
          <w:spacing w:val="-5"/>
          <w:sz w:val="20"/>
        </w:rPr>
        <w:t>.</w:t>
      </w:r>
    </w:p>
    <w:p>
      <w:pPr>
        <w:spacing w:after="0"/>
        <w:jc w:val="left"/>
        <w:rPr>
          <w:sz w:val="20"/>
        </w:rPr>
        <w:sectPr>
          <w:pgSz w:w="12240" w:h="15840"/>
          <w:pgMar w:header="0" w:footer="736" w:top="1180" w:bottom="920" w:left="1000" w:right="1060"/>
        </w:sectPr>
      </w:pPr>
    </w:p>
    <w:p>
      <w:pPr>
        <w:pStyle w:val="Heading4"/>
        <w:spacing w:before="86"/>
      </w:pPr>
      <w:bookmarkStart w:name="_bookmark48" w:id="109"/>
      <w:bookmarkEnd w:id="109"/>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636"/>
      </w:pPr>
      <w:r>
        <w:rPr>
          <w:color w:val="231F20"/>
        </w:rPr>
        <w:t>Use your Windows Sound and Audio Devices or Multimedia utility, </w:t>
      </w:r>
      <w:r>
        <w:rPr>
          <w:color w:val="231F20"/>
        </w:rPr>
        <w:t>accessible from the Control Panel, to adjust the volume of event sounds.</w:t>
      </w:r>
    </w:p>
    <w:p>
      <w:pPr>
        <w:pStyle w:val="BodyText"/>
        <w:spacing w:before="5"/>
        <w:rPr>
          <w:sz w:val="16"/>
        </w:rPr>
      </w:pPr>
      <w:r>
        <w:rPr/>
        <mc:AlternateContent>
          <mc:Choice Requires="wps">
            <w:drawing>
              <wp:anchor distT="0" distB="0" distL="0" distR="0" allowOverlap="1" layoutInCell="1" locked="0" behindDoc="1" simplePos="0" relativeHeight="487653888">
                <wp:simplePos x="0" y="0"/>
                <wp:positionH relativeFrom="page">
                  <wp:posOffset>760323</wp:posOffset>
                </wp:positionH>
                <wp:positionV relativeFrom="paragraph">
                  <wp:posOffset>155750</wp:posOffset>
                </wp:positionV>
                <wp:extent cx="6082665" cy="1270"/>
                <wp:effectExtent l="0" t="0" r="0" b="0"/>
                <wp:wrapTopAndBottom/>
                <wp:docPr id="665" name="Graphic 665"/>
                <wp:cNvGraphicFramePr>
                  <a:graphicFrameLocks/>
                </wp:cNvGraphicFramePr>
                <a:graphic>
                  <a:graphicData uri="http://schemas.microsoft.com/office/word/2010/wordprocessingShape">
                    <wps:wsp>
                      <wps:cNvPr id="665" name="Graphic 66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3817pt;width:478.95pt;height:.1pt;mso-position-horizontal-relative:page;mso-position-vertical-relative:paragraph;z-index:-15662592;mso-wrap-distance-left:0;mso-wrap-distance-right:0" id="docshape99"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Event reporting" w:id="110"/>
      <w:bookmarkEnd w:id="110"/>
      <w:r>
        <w:rPr>
          <w:b w:val="0"/>
        </w:rPr>
      </w:r>
      <w:r>
        <w:rPr>
          <w:color w:val="231F20"/>
        </w:rPr>
        <w:t>Event</w:t>
      </w:r>
      <w:r>
        <w:rPr>
          <w:color w:val="231F20"/>
          <w:spacing w:val="7"/>
        </w:rPr>
        <w:t> </w:t>
      </w:r>
      <w:r>
        <w:rPr>
          <w:color w:val="231F20"/>
          <w:spacing w:val="-2"/>
        </w:rPr>
        <w:t>reporting</w:t>
      </w:r>
    </w:p>
    <w:p>
      <w:pPr>
        <w:pStyle w:val="BodyText"/>
        <w:spacing w:line="213" w:lineRule="auto" w:before="138"/>
        <w:ind w:left="2232" w:right="1214"/>
        <w:jc w:val="both"/>
      </w:pPr>
      <w:r>
        <w:rPr>
          <w:color w:val="231F20"/>
        </w:rPr>
        <w:t>For situations that are associated with Navigator items, alert indicators </w:t>
      </w:r>
      <w:r>
        <w:rPr>
          <w:color w:val="231F20"/>
        </w:rPr>
        <w:t>are displayed whenever an event is opened. Several workspace views are also available for displaying situation and event status.</w:t>
      </w:r>
    </w:p>
    <w:p>
      <w:pPr>
        <w:pStyle w:val="BodyText"/>
        <w:spacing w:line="213" w:lineRule="auto" w:before="238"/>
        <w:ind w:left="2232" w:right="636"/>
      </w:pPr>
      <w:r>
        <w:rPr>
          <w:color w:val="231F20"/>
        </w:rPr>
        <w:t>Event views present alternatives to event indicators in the Navigator. Message </w:t>
      </w:r>
      <w:r>
        <w:rPr>
          <w:color w:val="231F20"/>
        </w:rPr>
        <w:t>log and situation event console views update automatically to show new events as</w:t>
      </w:r>
      <w:r>
        <w:rPr>
          <w:color w:val="231F20"/>
          <w:spacing w:val="80"/>
        </w:rPr>
        <w:t> </w:t>
      </w:r>
      <w:r>
        <w:rPr>
          <w:color w:val="231F20"/>
        </w:rPr>
        <w:t>they arrive and changes in event status as they occur. Graphic views give you a pictorial alternative to the Navigator for indicating alerts.</w:t>
      </w:r>
    </w:p>
    <w:p>
      <w:pPr>
        <w:pStyle w:val="Heading6"/>
        <w:spacing w:line="240" w:lineRule="auto" w:before="34"/>
        <w:ind w:left="2232"/>
        <w:jc w:val="both"/>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108">
        <w:r>
          <w:rPr>
            <w:color w:val="231F20"/>
          </w:rPr>
          <w:t>“Adding</w:t>
        </w:r>
        <w:r>
          <w:rPr>
            <w:color w:val="231F20"/>
            <w:spacing w:val="11"/>
          </w:rPr>
          <w:t> </w:t>
        </w:r>
        <w:r>
          <w:rPr>
            <w:color w:val="231F20"/>
          </w:rPr>
          <w:t>a</w:t>
        </w:r>
        <w:r>
          <w:rPr>
            <w:color w:val="231F20"/>
            <w:spacing w:val="11"/>
          </w:rPr>
          <w:t> </w:t>
        </w:r>
        <w:r>
          <w:rPr>
            <w:color w:val="231F20"/>
          </w:rPr>
          <w:t>graphic</w:t>
        </w:r>
        <w:r>
          <w:rPr>
            <w:color w:val="231F20"/>
            <w:spacing w:val="12"/>
          </w:rPr>
          <w:t> </w:t>
        </w:r>
        <w:r>
          <w:rPr>
            <w:color w:val="231F20"/>
          </w:rPr>
          <w:t>view”</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5"/>
          </w:rPr>
          <w:t>144</w:t>
        </w:r>
      </w:hyperlink>
    </w:p>
    <w:p>
      <w:pPr>
        <w:pStyle w:val="BodyText"/>
        <w:spacing w:line="213" w:lineRule="auto" w:before="8"/>
        <w:ind w:left="2232" w:right="545"/>
      </w:pPr>
      <w:r>
        <w:rPr>
          <w:color w:val="231F20"/>
        </w:rPr>
        <w:t>The graphic view provides a canvas for you to cover with icons that represent the Navigator items and that overlay the icons with alert indicators when events are opened. You might create, for example, a graphic view showing your company's floor plan or organization chart.</w:t>
      </w:r>
    </w:p>
    <w:p>
      <w:pPr>
        <w:pStyle w:val="BodyText"/>
        <w:spacing w:line="255" w:lineRule="exact" w:before="34"/>
        <w:ind w:left="2232"/>
      </w:pPr>
      <w:hyperlink w:history="true" w:anchor="_bookmark104">
        <w:r>
          <w:rPr>
            <w:color w:val="231F20"/>
          </w:rPr>
          <w:t>“Adding</w:t>
        </w:r>
        <w:r>
          <w:rPr>
            <w:color w:val="231F20"/>
            <w:spacing w:val="11"/>
          </w:rPr>
          <w:t> </w:t>
        </w:r>
        <w:r>
          <w:rPr>
            <w:color w:val="231F20"/>
          </w:rPr>
          <w:t>a</w:t>
        </w:r>
        <w:r>
          <w:rPr>
            <w:color w:val="231F20"/>
            <w:spacing w:val="12"/>
          </w:rPr>
          <w:t> </w:t>
        </w:r>
        <w:r>
          <w:rPr>
            <w:color w:val="231F20"/>
          </w:rPr>
          <w:t>message</w:t>
        </w:r>
        <w:r>
          <w:rPr>
            <w:color w:val="231F20"/>
            <w:spacing w:val="11"/>
          </w:rPr>
          <w:t> </w:t>
        </w:r>
        <w:r>
          <w:rPr>
            <w:color w:val="231F20"/>
          </w:rPr>
          <w:t>log</w:t>
        </w:r>
        <w:r>
          <w:rPr>
            <w:color w:val="231F20"/>
            <w:spacing w:val="12"/>
          </w:rPr>
          <w:t> </w:t>
        </w:r>
        <w:r>
          <w:rPr>
            <w:color w:val="231F20"/>
          </w:rPr>
          <w:t>view”</w:t>
        </w:r>
        <w:r>
          <w:rPr>
            <w:color w:val="231F20"/>
            <w:spacing w:val="11"/>
          </w:rPr>
          <w:t> </w:t>
        </w:r>
        <w:r>
          <w:rPr>
            <w:color w:val="231F20"/>
          </w:rPr>
          <w:t>on</w:t>
        </w:r>
        <w:r>
          <w:rPr>
            <w:color w:val="231F20"/>
            <w:spacing w:val="12"/>
          </w:rPr>
          <w:t> </w:t>
        </w:r>
        <w:r>
          <w:rPr>
            <w:color w:val="231F20"/>
          </w:rPr>
          <w:t>page</w:t>
        </w:r>
        <w:r>
          <w:rPr>
            <w:color w:val="231F20"/>
            <w:spacing w:val="12"/>
          </w:rPr>
          <w:t> </w:t>
        </w:r>
        <w:r>
          <w:rPr>
            <w:color w:val="231F20"/>
            <w:spacing w:val="-5"/>
          </w:rPr>
          <w:t>140</w:t>
        </w:r>
      </w:hyperlink>
    </w:p>
    <w:p>
      <w:pPr>
        <w:pStyle w:val="BodyText"/>
        <w:spacing w:line="213" w:lineRule="auto" w:before="8"/>
        <w:ind w:left="2232" w:right="545"/>
      </w:pPr>
      <w:r>
        <w:rPr>
          <w:color w:val="231F20"/>
        </w:rPr>
        <w:t>The message log gives you an overview of changes in situation status on </w:t>
      </w:r>
      <w:r>
        <w:rPr>
          <w:color w:val="231F20"/>
        </w:rPr>
        <w:t>your monitored network. You can add the view to any workspace.</w:t>
      </w:r>
    </w:p>
    <w:p>
      <w:pPr>
        <w:pStyle w:val="BodyText"/>
        <w:spacing w:line="255" w:lineRule="exact" w:before="36"/>
        <w:ind w:left="2232"/>
      </w:pPr>
      <w:hyperlink w:history="true" w:anchor="_bookmark113">
        <w:r>
          <w:rPr>
            <w:color w:val="231F20"/>
          </w:rPr>
          <w:t>“Adding</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event</w:t>
        </w:r>
        <w:r>
          <w:rPr>
            <w:color w:val="231F20"/>
            <w:spacing w:val="11"/>
          </w:rPr>
          <w:t> </w:t>
        </w:r>
        <w:r>
          <w:rPr>
            <w:color w:val="231F20"/>
          </w:rPr>
          <w:t>console</w:t>
        </w:r>
        <w:r>
          <w:rPr>
            <w:color w:val="231F20"/>
            <w:spacing w:val="11"/>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150</w:t>
        </w:r>
      </w:hyperlink>
    </w:p>
    <w:p>
      <w:pPr>
        <w:pStyle w:val="BodyText"/>
        <w:spacing w:line="213" w:lineRule="auto" w:before="8"/>
        <w:ind w:left="2232" w:right="636"/>
      </w:pPr>
      <w:r>
        <w:rPr>
          <w:color w:val="231F20"/>
        </w:rPr>
        <w:t>You can add a situation event console view to list each alert for situations associated with the current Navigator item and those it subsumes.</w:t>
      </w:r>
    </w:p>
    <w:p>
      <w:pPr>
        <w:pStyle w:val="BodyText"/>
        <w:spacing w:line="255" w:lineRule="exact" w:before="35"/>
        <w:ind w:left="2232"/>
      </w:pPr>
      <w:hyperlink w:history="true" w:anchor="_bookmark116">
        <w:r>
          <w:rPr>
            <w:color w:val="231F20"/>
          </w:rPr>
          <w:t>“Adding</w:t>
        </w:r>
        <w:r>
          <w:rPr>
            <w:color w:val="231F20"/>
            <w:spacing w:val="11"/>
          </w:rPr>
          <w:t> </w:t>
        </w:r>
        <w:r>
          <w:rPr>
            <w:color w:val="231F20"/>
          </w:rPr>
          <w:t>a</w:t>
        </w:r>
        <w:r>
          <w:rPr>
            <w:color w:val="231F20"/>
            <w:spacing w:val="11"/>
          </w:rPr>
          <w:t> </w:t>
        </w:r>
        <w:r>
          <w:rPr>
            <w:color w:val="231F20"/>
          </w:rPr>
          <w:t>common</w:t>
        </w:r>
        <w:r>
          <w:rPr>
            <w:color w:val="231F20"/>
            <w:spacing w:val="11"/>
          </w:rPr>
          <w:t> </w:t>
        </w:r>
        <w:r>
          <w:rPr>
            <w:color w:val="231F20"/>
          </w:rPr>
          <w:t>event</w:t>
        </w:r>
        <w:r>
          <w:rPr>
            <w:color w:val="231F20"/>
            <w:spacing w:val="11"/>
          </w:rPr>
          <w:t> </w:t>
        </w:r>
        <w:r>
          <w:rPr>
            <w:color w:val="231F20"/>
          </w:rPr>
          <w:t>console</w:t>
        </w:r>
        <w:r>
          <w:rPr>
            <w:color w:val="231F20"/>
            <w:spacing w:val="11"/>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156</w:t>
        </w:r>
      </w:hyperlink>
    </w:p>
    <w:p>
      <w:pPr>
        <w:pStyle w:val="BodyText"/>
        <w:spacing w:line="213" w:lineRule="auto" w:before="8"/>
        <w:ind w:left="2232" w:right="786"/>
        <w:jc w:val="both"/>
      </w:pPr>
      <w:r>
        <w:rPr>
          <w:color w:val="231F20"/>
        </w:rPr>
        <w:t>Add the common event console view to a workspace to get a single, integrated display of events from multiple event repositories, including Tivoli </w:t>
      </w:r>
      <w:r>
        <w:rPr>
          <w:color w:val="231F20"/>
        </w:rPr>
        <w:t>Monitoring, Tivoli Enterprise Console, and Tivoli Netcool/OMNIbus.</w:t>
      </w:r>
    </w:p>
    <w:p>
      <w:pPr>
        <w:pStyle w:val="BodyText"/>
        <w:spacing w:line="255" w:lineRule="exact" w:before="35"/>
        <w:ind w:left="2232"/>
        <w:jc w:val="both"/>
      </w:pPr>
      <w:hyperlink w:history="true" w:anchor="_bookmark119">
        <w:r>
          <w:rPr>
            <w:color w:val="231F20"/>
          </w:rPr>
          <w:t>“Adding</w:t>
        </w:r>
        <w:r>
          <w:rPr>
            <w:color w:val="231F20"/>
            <w:spacing w:val="9"/>
          </w:rPr>
          <w:t> </w:t>
        </w:r>
        <w:r>
          <w:rPr>
            <w:color w:val="231F20"/>
          </w:rPr>
          <w:t>a</w:t>
        </w:r>
        <w:r>
          <w:rPr>
            <w:color w:val="231F20"/>
            <w:spacing w:val="9"/>
          </w:rPr>
          <w:t> </w:t>
        </w:r>
        <w:r>
          <w:rPr>
            <w:color w:val="231F20"/>
          </w:rPr>
          <w:t>Tivoli</w:t>
        </w:r>
        <w:r>
          <w:rPr>
            <w:color w:val="231F20"/>
            <w:spacing w:val="10"/>
          </w:rPr>
          <w:t> </w:t>
        </w:r>
        <w:r>
          <w:rPr>
            <w:color w:val="231F20"/>
          </w:rPr>
          <w:t>Enterprise</w:t>
        </w:r>
        <w:r>
          <w:rPr>
            <w:color w:val="231F20"/>
            <w:spacing w:val="9"/>
          </w:rPr>
          <w:t> </w:t>
        </w:r>
        <w:r>
          <w:rPr>
            <w:color w:val="231F20"/>
          </w:rPr>
          <w:t>Console</w:t>
        </w:r>
        <w:r>
          <w:rPr>
            <w:color w:val="231F20"/>
            <w:spacing w:val="9"/>
          </w:rPr>
          <w:t> </w:t>
        </w:r>
        <w:r>
          <w:rPr>
            <w:color w:val="231F20"/>
          </w:rPr>
          <w:t>event</w:t>
        </w:r>
        <w:r>
          <w:rPr>
            <w:color w:val="231F20"/>
            <w:spacing w:val="10"/>
          </w:rPr>
          <w:t> </w:t>
        </w:r>
        <w:r>
          <w:rPr>
            <w:color w:val="231F20"/>
          </w:rPr>
          <w:t>viewer”</w:t>
        </w:r>
        <w:r>
          <w:rPr>
            <w:color w:val="231F20"/>
            <w:spacing w:val="9"/>
          </w:rPr>
          <w:t> </w:t>
        </w:r>
        <w:r>
          <w:rPr>
            <w:color w:val="231F20"/>
          </w:rPr>
          <w:t>on</w:t>
        </w:r>
        <w:r>
          <w:rPr>
            <w:color w:val="231F20"/>
            <w:spacing w:val="9"/>
          </w:rPr>
          <w:t> </w:t>
        </w:r>
        <w:r>
          <w:rPr>
            <w:color w:val="231F20"/>
          </w:rPr>
          <w:t>page</w:t>
        </w:r>
        <w:r>
          <w:rPr>
            <w:color w:val="231F20"/>
            <w:spacing w:val="10"/>
          </w:rPr>
          <w:t> </w:t>
        </w:r>
        <w:r>
          <w:rPr>
            <w:color w:val="231F20"/>
            <w:spacing w:val="-5"/>
          </w:rPr>
          <w:t>162</w:t>
        </w:r>
      </w:hyperlink>
    </w:p>
    <w:p>
      <w:pPr>
        <w:pStyle w:val="BodyText"/>
        <w:spacing w:line="213" w:lineRule="auto" w:before="8"/>
        <w:ind w:left="2232" w:right="493"/>
      </w:pPr>
      <w:r>
        <w:rPr>
          <w:color w:val="231F20"/>
        </w:rPr>
        <w:t>If your environment includes the Tivoli Enterprise Console, you can add it to </w:t>
      </w:r>
      <w:r>
        <w:rPr>
          <w:color w:val="231F20"/>
        </w:rPr>
        <w:t>any workspace to integrate alarms and events from network management operating systems and correlate them with other events.</w:t>
      </w:r>
    </w:p>
    <w:p>
      <w:pPr>
        <w:pStyle w:val="BodyText"/>
        <w:spacing w:line="255" w:lineRule="exact" w:before="34"/>
        <w:ind w:left="2232"/>
      </w:pPr>
      <w:hyperlink w:history="true" w:anchor="_bookmark107">
        <w:r>
          <w:rPr>
            <w:color w:val="231F20"/>
          </w:rPr>
          <w:t>“Adding</w:t>
        </w:r>
        <w:r>
          <w:rPr>
            <w:color w:val="231F20"/>
            <w:spacing w:val="10"/>
          </w:rPr>
          <w:t> </w:t>
        </w:r>
        <w:r>
          <w:rPr>
            <w:color w:val="231F20"/>
          </w:rPr>
          <w:t>a</w:t>
        </w:r>
        <w:r>
          <w:rPr>
            <w:color w:val="231F20"/>
            <w:spacing w:val="10"/>
          </w:rPr>
          <w:t> </w:t>
        </w:r>
        <w:r>
          <w:rPr>
            <w:color w:val="231F20"/>
          </w:rPr>
          <w:t>Universal</w:t>
        </w:r>
        <w:r>
          <w:rPr>
            <w:color w:val="231F20"/>
            <w:spacing w:val="11"/>
          </w:rPr>
          <w:t> </w:t>
        </w:r>
        <w:r>
          <w:rPr>
            <w:color w:val="231F20"/>
          </w:rPr>
          <w:t>Message</w:t>
        </w:r>
        <w:r>
          <w:rPr>
            <w:color w:val="231F20"/>
            <w:spacing w:val="10"/>
          </w:rPr>
          <w:t> </w:t>
        </w:r>
        <w:r>
          <w:rPr>
            <w:color w:val="231F20"/>
          </w:rPr>
          <w:t>Console</w:t>
        </w:r>
        <w:r>
          <w:rPr>
            <w:color w:val="231F20"/>
            <w:spacing w:val="11"/>
          </w:rPr>
          <w:t> </w:t>
        </w:r>
        <w:r>
          <w:rPr>
            <w:color w:val="231F20"/>
          </w:rPr>
          <w:t>view”</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5"/>
          </w:rPr>
          <w:t>143</w:t>
        </w:r>
      </w:hyperlink>
    </w:p>
    <w:p>
      <w:pPr>
        <w:pStyle w:val="BodyText"/>
        <w:spacing w:line="213" w:lineRule="auto" w:before="8"/>
        <w:ind w:left="2232" w:right="545"/>
      </w:pPr>
      <w:r>
        <w:rPr>
          <w:color w:val="231F20"/>
        </w:rPr>
        <w:t>Create a Universal Message Console view to see the messages produced at the hub Tivoli Enterprise Monitoring Server.</w:t>
      </w:r>
    </w:p>
    <w:p>
      <w:pPr>
        <w:spacing w:after="0" w:line="213" w:lineRule="auto"/>
        <w:sectPr>
          <w:pgSz w:w="12240" w:h="15840"/>
          <w:pgMar w:header="0" w:footer="736" w:top="1140" w:bottom="920" w:left="1000" w:right="1060"/>
        </w:sectPr>
      </w:pPr>
    </w:p>
    <w:p>
      <w:pPr>
        <w:pStyle w:val="BodyText"/>
        <w:spacing w:line="20" w:lineRule="exact"/>
        <w:ind w:left="436"/>
        <w:rPr>
          <w:sz w:val="2"/>
        </w:rPr>
      </w:pPr>
      <w:bookmarkStart w:name="_bookmark49" w:id="111"/>
      <w:bookmarkEnd w:id="111"/>
      <w:r>
        <w:rPr/>
      </w:r>
      <w:r>
        <w:rPr>
          <w:sz w:val="2"/>
        </w:rPr>
        <mc:AlternateContent>
          <mc:Choice Requires="wps">
            <w:drawing>
              <wp:inline distT="0" distB="0" distL="0" distR="0">
                <wp:extent cx="6082665" cy="25400"/>
                <wp:effectExtent l="19050" t="0" r="3810" b="3175"/>
                <wp:docPr id="669" name="Group 669"/>
                <wp:cNvGraphicFramePr>
                  <a:graphicFrameLocks/>
                </wp:cNvGraphicFramePr>
                <a:graphic>
                  <a:graphicData uri="http://schemas.microsoft.com/office/word/2010/wordprocessingGroup">
                    <wpg:wgp>
                      <wpg:cNvPr id="669" name="Group 669"/>
                      <wpg:cNvGrpSpPr/>
                      <wpg:grpSpPr>
                        <a:xfrm>
                          <a:off x="0" y="0"/>
                          <a:ext cx="6082665" cy="25400"/>
                          <a:chExt cx="6082665" cy="25400"/>
                        </a:xfrm>
                      </wpg:grpSpPr>
                      <wps:wsp>
                        <wps:cNvPr id="670" name="Graphic 670"/>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03"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5. Customizing workspaces" w:id="112"/>
      <w:bookmarkEnd w:id="112"/>
      <w:r>
        <w:rPr>
          <w:b w:val="0"/>
        </w:rPr>
      </w:r>
      <w:r>
        <w:rPr>
          <w:color w:val="231F20"/>
        </w:rPr>
        <w:t>Chapter</w:t>
      </w:r>
      <w:r>
        <w:rPr>
          <w:color w:val="231F20"/>
          <w:spacing w:val="-11"/>
        </w:rPr>
        <w:t> </w:t>
      </w:r>
      <w:r>
        <w:rPr>
          <w:color w:val="231F20"/>
        </w:rPr>
        <w:t>5.</w:t>
      </w:r>
      <w:r>
        <w:rPr>
          <w:color w:val="231F20"/>
          <w:spacing w:val="5"/>
        </w:rPr>
        <w:t> </w:t>
      </w:r>
      <w:r>
        <w:rPr>
          <w:color w:val="231F20"/>
        </w:rPr>
        <w:t>Customizing</w:t>
      </w:r>
      <w:r>
        <w:rPr>
          <w:color w:val="231F20"/>
          <w:spacing w:val="5"/>
        </w:rPr>
        <w:t> </w:t>
      </w:r>
      <w:r>
        <w:rPr>
          <w:color w:val="231F20"/>
          <w:spacing w:val="-2"/>
        </w:rPr>
        <w:t>workspaces</w:t>
      </w:r>
    </w:p>
    <w:p>
      <w:pPr>
        <w:pStyle w:val="BodyText"/>
        <w:spacing w:line="213" w:lineRule="auto" w:before="304"/>
        <w:ind w:left="2472" w:right="202"/>
      </w:pPr>
      <w:r>
        <w:rPr>
          <w:color w:val="231F20"/>
        </w:rPr>
        <w:t>Your</w:t>
      </w:r>
      <w:r>
        <w:rPr>
          <w:color w:val="231F20"/>
          <w:spacing w:val="25"/>
        </w:rPr>
        <w:t> </w:t>
      </w:r>
      <w:r>
        <w:rPr>
          <w:color w:val="231F20"/>
        </w:rPr>
        <w:t>Tivoli</w:t>
      </w:r>
      <w:r>
        <w:rPr>
          <w:color w:val="231F20"/>
          <w:spacing w:val="25"/>
        </w:rPr>
        <w:t> </w:t>
      </w:r>
      <w:r>
        <w:rPr>
          <w:color w:val="231F20"/>
        </w:rPr>
        <w:t>Enterprise</w:t>
      </w:r>
      <w:r>
        <w:rPr>
          <w:color w:val="231F20"/>
          <w:spacing w:val="25"/>
        </w:rPr>
        <w:t> </w:t>
      </w:r>
      <w:r>
        <w:rPr>
          <w:color w:val="231F20"/>
        </w:rPr>
        <w:t>Portal</w:t>
      </w:r>
      <w:r>
        <w:rPr>
          <w:color w:val="231F20"/>
          <w:spacing w:val="25"/>
        </w:rPr>
        <w:t> </w:t>
      </w:r>
      <w:r>
        <w:rPr>
          <w:color w:val="231F20"/>
        </w:rPr>
        <w:t>product</w:t>
      </w:r>
      <w:r>
        <w:rPr>
          <w:color w:val="231F20"/>
          <w:spacing w:val="25"/>
        </w:rPr>
        <w:t> </w:t>
      </w:r>
      <w:r>
        <w:rPr>
          <w:color w:val="231F20"/>
        </w:rPr>
        <w:t>comes</w:t>
      </w:r>
      <w:r>
        <w:rPr>
          <w:color w:val="231F20"/>
          <w:spacing w:val="25"/>
        </w:rPr>
        <w:t> </w:t>
      </w:r>
      <w:r>
        <w:rPr>
          <w:color w:val="231F20"/>
        </w:rPr>
        <w:t>with</w:t>
      </w:r>
      <w:r>
        <w:rPr>
          <w:color w:val="231F20"/>
          <w:spacing w:val="25"/>
        </w:rPr>
        <w:t> </w:t>
      </w:r>
      <w:r>
        <w:rPr>
          <w:color w:val="231F20"/>
        </w:rPr>
        <w:t>a</w:t>
      </w:r>
      <w:r>
        <w:rPr>
          <w:color w:val="231F20"/>
          <w:spacing w:val="25"/>
        </w:rPr>
        <w:t> </w:t>
      </w:r>
      <w:r>
        <w:rPr>
          <w:color w:val="231F20"/>
        </w:rPr>
        <w:t>set</w:t>
      </w:r>
      <w:r>
        <w:rPr>
          <w:color w:val="231F20"/>
          <w:spacing w:val="25"/>
        </w:rPr>
        <w:t> </w:t>
      </w:r>
      <w:r>
        <w:rPr>
          <w:color w:val="231F20"/>
        </w:rPr>
        <w:t>of</w:t>
      </w:r>
      <w:r>
        <w:rPr>
          <w:color w:val="231F20"/>
          <w:spacing w:val="25"/>
        </w:rPr>
        <w:t> </w:t>
      </w:r>
      <w:r>
        <w:rPr>
          <w:color w:val="231F20"/>
        </w:rPr>
        <w:t>predefined</w:t>
      </w:r>
      <w:r>
        <w:rPr>
          <w:color w:val="231F20"/>
          <w:spacing w:val="25"/>
        </w:rPr>
        <w:t> </w:t>
      </w:r>
      <w:r>
        <w:rPr>
          <w:color w:val="231F20"/>
        </w:rPr>
        <w:t>workspaces for every item in the Navigator Physical view. You can use these as a starting point for creating and customizing new workspaces to suit your environment.</w:t>
      </w:r>
    </w:p>
    <w:p>
      <w:pPr>
        <w:pStyle w:val="BodyText"/>
        <w:spacing w:before="5"/>
        <w:rPr>
          <w:sz w:val="16"/>
        </w:rPr>
      </w:pPr>
      <w:r>
        <w:rPr/>
        <mc:AlternateContent>
          <mc:Choice Requires="wps">
            <w:drawing>
              <wp:anchor distT="0" distB="0" distL="0" distR="0" allowOverlap="1" layoutInCell="1" locked="0" behindDoc="1" simplePos="0" relativeHeight="487654912">
                <wp:simplePos x="0" y="0"/>
                <wp:positionH relativeFrom="page">
                  <wp:posOffset>912380</wp:posOffset>
                </wp:positionH>
                <wp:positionV relativeFrom="paragraph">
                  <wp:posOffset>155715</wp:posOffset>
                </wp:positionV>
                <wp:extent cx="6082665" cy="1270"/>
                <wp:effectExtent l="0" t="0" r="0" b="0"/>
                <wp:wrapTopAndBottom/>
                <wp:docPr id="671" name="Graphic 671"/>
                <wp:cNvGraphicFramePr>
                  <a:graphicFrameLocks/>
                </wp:cNvGraphicFramePr>
                <a:graphic>
                  <a:graphicData uri="http://schemas.microsoft.com/office/word/2010/wordprocessingShape">
                    <wps:wsp>
                      <wps:cNvPr id="671" name="Graphic 671"/>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1092pt;width:478.95pt;height:.1pt;mso-position-horizontal-relative:page;mso-position-vertical-relative:paragraph;z-index:-15661568;mso-wrap-distance-left:0;mso-wrap-distance-right:0" id="docshape104"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Custom workspace options and guidelines" w:id="113"/>
      <w:bookmarkEnd w:id="113"/>
      <w:r>
        <w:rPr>
          <w:b w:val="0"/>
        </w:rPr>
      </w:r>
      <w:r>
        <w:rPr>
          <w:color w:val="231F20"/>
        </w:rPr>
        <w:t>Custom</w:t>
      </w:r>
      <w:r>
        <w:rPr>
          <w:color w:val="231F20"/>
          <w:spacing w:val="5"/>
        </w:rPr>
        <w:t> </w:t>
      </w:r>
      <w:r>
        <w:rPr>
          <w:color w:val="231F20"/>
        </w:rPr>
        <w:t>workspace</w:t>
      </w:r>
      <w:r>
        <w:rPr>
          <w:color w:val="231F20"/>
          <w:spacing w:val="5"/>
        </w:rPr>
        <w:t> </w:t>
      </w:r>
      <w:r>
        <w:rPr>
          <w:color w:val="231F20"/>
        </w:rPr>
        <w:t>options</w:t>
      </w:r>
      <w:r>
        <w:rPr>
          <w:color w:val="231F20"/>
          <w:spacing w:val="5"/>
        </w:rPr>
        <w:t> </w:t>
      </w:r>
      <w:r>
        <w:rPr>
          <w:color w:val="231F20"/>
        </w:rPr>
        <w:t>and</w:t>
      </w:r>
      <w:r>
        <w:rPr>
          <w:color w:val="231F20"/>
          <w:spacing w:val="5"/>
        </w:rPr>
        <w:t> </w:t>
      </w:r>
      <w:r>
        <w:rPr>
          <w:color w:val="231F20"/>
          <w:spacing w:val="-2"/>
        </w:rPr>
        <w:t>guidelines</w:t>
      </w:r>
    </w:p>
    <w:p>
      <w:pPr>
        <w:pStyle w:val="BodyText"/>
        <w:spacing w:line="213" w:lineRule="auto" w:before="138"/>
        <w:ind w:left="2472" w:right="202"/>
      </w:pPr>
      <w:r>
        <w:rPr>
          <w:color w:val="231F20"/>
        </w:rPr>
        <w:t>The</w:t>
      </w:r>
      <w:r>
        <w:rPr>
          <w:color w:val="231F20"/>
          <w:spacing w:val="12"/>
        </w:rPr>
        <w:t> </w:t>
      </w:r>
      <w:r>
        <w:rPr>
          <w:color w:val="231F20"/>
        </w:rPr>
        <w:t>Tivoli</w:t>
      </w:r>
      <w:r>
        <w:rPr>
          <w:color w:val="231F20"/>
          <w:spacing w:val="11"/>
        </w:rPr>
        <w:t> </w:t>
      </w:r>
      <w:r>
        <w:rPr>
          <w:color w:val="231F20"/>
        </w:rPr>
        <w:t>Enterprise</w:t>
      </w:r>
      <w:r>
        <w:rPr>
          <w:color w:val="231F20"/>
          <w:spacing w:val="12"/>
        </w:rPr>
        <w:t> </w:t>
      </w:r>
      <w:r>
        <w:rPr>
          <w:color w:val="231F20"/>
        </w:rPr>
        <w:t>Portal</w:t>
      </w:r>
      <w:r>
        <w:rPr>
          <w:color w:val="231F20"/>
          <w:spacing w:val="11"/>
        </w:rPr>
        <w:t> </w:t>
      </w:r>
      <w:r>
        <w:rPr>
          <w:color w:val="231F20"/>
        </w:rPr>
        <w:t>has</w:t>
      </w:r>
      <w:r>
        <w:rPr>
          <w:color w:val="231F20"/>
          <w:spacing w:val="12"/>
        </w:rPr>
        <w:t> </w:t>
      </w:r>
      <w:r>
        <w:rPr>
          <w:color w:val="231F20"/>
        </w:rPr>
        <w:t>over</w:t>
      </w:r>
      <w:r>
        <w:rPr>
          <w:color w:val="231F20"/>
          <w:spacing w:val="11"/>
        </w:rPr>
        <w:t> </w:t>
      </w:r>
      <w:r>
        <w:rPr>
          <w:color w:val="231F20"/>
        </w:rPr>
        <w:t>a</w:t>
      </w:r>
      <w:r>
        <w:rPr>
          <w:color w:val="231F20"/>
          <w:spacing w:val="12"/>
        </w:rPr>
        <w:t> </w:t>
      </w:r>
      <w:r>
        <w:rPr>
          <w:color w:val="231F20"/>
        </w:rPr>
        <w:t>dozen</w:t>
      </w:r>
      <w:r>
        <w:rPr>
          <w:color w:val="231F20"/>
          <w:spacing w:val="11"/>
        </w:rPr>
        <w:t> </w:t>
      </w:r>
      <w:r>
        <w:rPr>
          <w:color w:val="231F20"/>
        </w:rPr>
        <w:t>types</w:t>
      </w:r>
      <w:r>
        <w:rPr>
          <w:color w:val="231F20"/>
          <w:spacing w:val="12"/>
        </w:rPr>
        <w:t> </w:t>
      </w:r>
      <w:r>
        <w:rPr>
          <w:color w:val="231F20"/>
        </w:rPr>
        <w:t>of</w:t>
      </w:r>
      <w:r>
        <w:rPr>
          <w:color w:val="231F20"/>
          <w:spacing w:val="11"/>
        </w:rPr>
        <w:t> </w:t>
      </w:r>
      <w:r>
        <w:rPr>
          <w:color w:val="231F20"/>
        </w:rPr>
        <w:t>views</w:t>
      </w:r>
      <w:r>
        <w:rPr>
          <w:color w:val="231F20"/>
          <w:spacing w:val="12"/>
        </w:rPr>
        <w:t> </w:t>
      </w:r>
      <w:r>
        <w:rPr>
          <w:color w:val="231F20"/>
        </w:rPr>
        <w:t>that</w:t>
      </w:r>
      <w:r>
        <w:rPr>
          <w:color w:val="231F20"/>
          <w:spacing w:val="11"/>
        </w:rPr>
        <w:t> </w:t>
      </w:r>
      <w:r>
        <w:rPr>
          <w:color w:val="231F20"/>
        </w:rPr>
        <w:t>you</w:t>
      </w:r>
      <w:r>
        <w:rPr>
          <w:color w:val="231F20"/>
          <w:spacing w:val="12"/>
        </w:rPr>
        <w:t> </w:t>
      </w:r>
      <w:r>
        <w:rPr>
          <w:color w:val="231F20"/>
        </w:rPr>
        <w:t>can</w:t>
      </w:r>
      <w:r>
        <w:rPr>
          <w:color w:val="231F20"/>
          <w:spacing w:val="11"/>
        </w:rPr>
        <w:t> </w:t>
      </w:r>
      <w:r>
        <w:rPr>
          <w:color w:val="231F20"/>
        </w:rPr>
        <w:t>populate a workspace with. Over half of the views are query-based and have a number of embellishments that you can use to observe potential and existing threshold conditions and other metrics.</w:t>
      </w:r>
    </w:p>
    <w:p>
      <w:pPr>
        <w:pStyle w:val="Heading4"/>
        <w:spacing w:before="199"/>
        <w:ind w:left="2472"/>
      </w:pPr>
      <w:r>
        <w:rPr>
          <w:color w:val="231F20"/>
        </w:rPr>
        <w:t>Workspace</w:t>
      </w:r>
      <w:r>
        <w:rPr>
          <w:color w:val="231F20"/>
          <w:spacing w:val="-5"/>
        </w:rPr>
        <w:t> </w:t>
      </w:r>
      <w:r>
        <w:rPr>
          <w:color w:val="231F20"/>
          <w:spacing w:val="-2"/>
        </w:rPr>
        <w:t>changes</w:t>
      </w:r>
    </w:p>
    <w:p>
      <w:pPr>
        <w:pStyle w:val="BodyText"/>
        <w:spacing w:before="218"/>
        <w:ind w:left="2472"/>
      </w:pPr>
      <w:r>
        <w:rPr>
          <w:color w:val="231F20"/>
        </w:rPr>
        <w:t>You</w:t>
      </w:r>
      <w:r>
        <w:rPr>
          <w:color w:val="231F20"/>
          <w:spacing w:val="10"/>
        </w:rPr>
        <w:t> </w:t>
      </w:r>
      <w:r>
        <w:rPr>
          <w:color w:val="231F20"/>
        </w:rPr>
        <w:t>can</w:t>
      </w:r>
      <w:r>
        <w:rPr>
          <w:color w:val="231F20"/>
          <w:spacing w:val="10"/>
        </w:rPr>
        <w:t> </w:t>
      </w:r>
      <w:r>
        <w:rPr>
          <w:color w:val="231F20"/>
        </w:rPr>
        <w:t>make</w:t>
      </w:r>
      <w:r>
        <w:rPr>
          <w:color w:val="231F20"/>
          <w:spacing w:val="10"/>
        </w:rPr>
        <w:t> </w:t>
      </w:r>
      <w:r>
        <w:rPr>
          <w:color w:val="231F20"/>
        </w:rPr>
        <w:t>these</w:t>
      </w:r>
      <w:r>
        <w:rPr>
          <w:color w:val="231F20"/>
          <w:spacing w:val="11"/>
        </w:rPr>
        <w:t> </w:t>
      </w:r>
      <w:r>
        <w:rPr>
          <w:color w:val="231F20"/>
        </w:rPr>
        <w:t>types</w:t>
      </w:r>
      <w:r>
        <w:rPr>
          <w:color w:val="231F20"/>
          <w:spacing w:val="10"/>
        </w:rPr>
        <w:t> </w:t>
      </w:r>
      <w:r>
        <w:rPr>
          <w:color w:val="231F20"/>
        </w:rPr>
        <w:t>of</w:t>
      </w:r>
      <w:r>
        <w:rPr>
          <w:color w:val="231F20"/>
          <w:spacing w:val="10"/>
        </w:rPr>
        <w:t> </w:t>
      </w:r>
      <w:r>
        <w:rPr>
          <w:color w:val="231F20"/>
        </w:rPr>
        <w:t>changes</w:t>
      </w:r>
      <w:r>
        <w:rPr>
          <w:color w:val="231F20"/>
          <w:spacing w:val="10"/>
        </w:rPr>
        <w:t> </w:t>
      </w:r>
      <w:r>
        <w:rPr>
          <w:color w:val="231F20"/>
        </w:rPr>
        <w:t>to</w:t>
      </w:r>
      <w:r>
        <w:rPr>
          <w:color w:val="231F20"/>
          <w:spacing w:val="11"/>
        </w:rPr>
        <w:t> </w:t>
      </w:r>
      <w:r>
        <w:rPr>
          <w:color w:val="231F20"/>
        </w:rPr>
        <w:t>a</w:t>
      </w:r>
      <w:r>
        <w:rPr>
          <w:color w:val="231F20"/>
          <w:spacing w:val="10"/>
        </w:rPr>
        <w:t> </w:t>
      </w:r>
      <w:r>
        <w:rPr>
          <w:color w:val="231F20"/>
          <w:spacing w:val="-2"/>
        </w:rPr>
        <w:t>workspace:</w:t>
      </w:r>
    </w:p>
    <w:p>
      <w:pPr>
        <w:pStyle w:val="BodyText"/>
        <w:spacing w:before="30"/>
        <w:ind w:left="2472"/>
      </w:pPr>
      <w:r>
        <w:rPr>
          <w:rFonts w:ascii="Futura MdCn BT"/>
          <w:color w:val="231F20"/>
        </w:rPr>
        <w:t>v</w:t>
      </w:r>
      <w:r>
        <w:rPr>
          <w:rFonts w:ascii="Futura MdCn BT"/>
          <w:color w:val="231F20"/>
          <w:spacing w:val="31"/>
        </w:rPr>
        <w:t>  </w:t>
      </w:r>
      <w:r>
        <w:rPr>
          <w:color w:val="231F20"/>
        </w:rPr>
        <w:t>Split</w:t>
      </w:r>
      <w:r>
        <w:rPr>
          <w:color w:val="231F20"/>
          <w:spacing w:val="12"/>
        </w:rPr>
        <w:t> </w:t>
      </w:r>
      <w:r>
        <w:rPr>
          <w:color w:val="231F20"/>
        </w:rPr>
        <w:t>a</w:t>
      </w:r>
      <w:r>
        <w:rPr>
          <w:color w:val="231F20"/>
          <w:spacing w:val="12"/>
        </w:rPr>
        <w:t> </w:t>
      </w:r>
      <w:r>
        <w:rPr>
          <w:color w:val="231F20"/>
        </w:rPr>
        <w:t>view</w:t>
      </w:r>
      <w:r>
        <w:rPr>
          <w:color w:val="231F20"/>
          <w:spacing w:val="12"/>
        </w:rPr>
        <w:t> </w:t>
      </w:r>
      <w:r>
        <w:rPr>
          <w:color w:val="231F20"/>
        </w:rPr>
        <w:t>horizontally</w:t>
      </w:r>
      <w:r>
        <w:rPr>
          <w:color w:val="231F20"/>
          <w:spacing w:val="12"/>
        </w:rPr>
        <w:t> </w:t>
      </w:r>
      <w:r>
        <w:rPr>
          <w:color w:val="231F20"/>
        </w:rPr>
        <w:t>or</w:t>
      </w:r>
      <w:r>
        <w:rPr>
          <w:color w:val="231F20"/>
          <w:spacing w:val="12"/>
        </w:rPr>
        <w:t> </w:t>
      </w:r>
      <w:r>
        <w:rPr>
          <w:color w:val="231F20"/>
        </w:rPr>
        <w:t>vertically</w:t>
      </w:r>
      <w:r>
        <w:rPr>
          <w:color w:val="231F20"/>
          <w:spacing w:val="12"/>
        </w:rPr>
        <w:t> </w:t>
      </w:r>
      <w:r>
        <w:rPr>
          <w:color w:val="231F20"/>
        </w:rPr>
        <w:t>into</w:t>
      </w:r>
      <w:r>
        <w:rPr>
          <w:color w:val="231F20"/>
          <w:spacing w:val="12"/>
        </w:rPr>
        <w:t> </w:t>
      </w:r>
      <w:r>
        <w:rPr>
          <w:color w:val="231F20"/>
        </w:rPr>
        <w:t>two</w:t>
      </w:r>
      <w:r>
        <w:rPr>
          <w:color w:val="231F20"/>
          <w:spacing w:val="12"/>
        </w:rPr>
        <w:t> </w:t>
      </w:r>
      <w:r>
        <w:rPr>
          <w:color w:val="231F20"/>
        </w:rPr>
        <w:t>separate</w:t>
      </w:r>
      <w:r>
        <w:rPr>
          <w:color w:val="231F20"/>
          <w:spacing w:val="12"/>
        </w:rPr>
        <w:t> </w:t>
      </w:r>
      <w:r>
        <w:rPr>
          <w:color w:val="231F20"/>
          <w:spacing w:val="-2"/>
        </w:rPr>
        <w:t>views.</w:t>
      </w:r>
    </w:p>
    <w:p>
      <w:pPr>
        <w:pStyle w:val="BodyText"/>
        <w:spacing w:before="29"/>
        <w:ind w:left="2472"/>
      </w:pPr>
      <w:r>
        <w:rPr>
          <w:rFonts w:ascii="Futura MdCn BT"/>
          <w:color w:val="231F20"/>
        </w:rPr>
        <w:t>v</w:t>
      </w:r>
      <w:r>
        <w:rPr>
          <w:rFonts w:ascii="Futura MdCn BT"/>
          <w:color w:val="231F20"/>
          <w:spacing w:val="30"/>
        </w:rPr>
        <w:t>  </w:t>
      </w:r>
      <w:r>
        <w:rPr>
          <w:color w:val="231F20"/>
        </w:rPr>
        <w:t>Change</w:t>
      </w:r>
      <w:r>
        <w:rPr>
          <w:color w:val="231F20"/>
          <w:spacing w:val="12"/>
        </w:rPr>
        <w:t> </w:t>
      </w:r>
      <w:r>
        <w:rPr>
          <w:color w:val="231F20"/>
        </w:rPr>
        <w:t>the</w:t>
      </w:r>
      <w:r>
        <w:rPr>
          <w:color w:val="231F20"/>
          <w:spacing w:val="11"/>
        </w:rPr>
        <w:t> </w:t>
      </w:r>
      <w:r>
        <w:rPr>
          <w:color w:val="231F20"/>
        </w:rPr>
        <w:t>dimensions</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views</w:t>
      </w:r>
      <w:r>
        <w:rPr>
          <w:color w:val="231F20"/>
          <w:spacing w:val="11"/>
        </w:rPr>
        <w:t> </w:t>
      </w:r>
      <w:r>
        <w:rPr>
          <w:color w:val="231F20"/>
        </w:rPr>
        <w:t>by</w:t>
      </w:r>
      <w:r>
        <w:rPr>
          <w:color w:val="231F20"/>
          <w:spacing w:val="11"/>
        </w:rPr>
        <w:t> </w:t>
      </w:r>
      <w:r>
        <w:rPr>
          <w:color w:val="231F20"/>
        </w:rPr>
        <w:t>dragging</w:t>
      </w:r>
      <w:r>
        <w:rPr>
          <w:color w:val="231F20"/>
          <w:spacing w:val="12"/>
        </w:rPr>
        <w:t> </w:t>
      </w:r>
      <w:r>
        <w:rPr>
          <w:color w:val="231F20"/>
        </w:rPr>
        <w:t>the</w:t>
      </w:r>
      <w:r>
        <w:rPr>
          <w:color w:val="231F20"/>
          <w:spacing w:val="11"/>
        </w:rPr>
        <w:t> </w:t>
      </w:r>
      <w:r>
        <w:rPr>
          <w:color w:val="231F20"/>
        </w:rPr>
        <w:t>borders</w:t>
      </w:r>
      <w:r>
        <w:rPr>
          <w:color w:val="231F20"/>
          <w:spacing w:val="12"/>
        </w:rPr>
        <w:t> </w:t>
      </w:r>
      <w:r>
        <w:rPr>
          <w:color w:val="231F20"/>
        </w:rPr>
        <w:t>between</w:t>
      </w:r>
      <w:r>
        <w:rPr>
          <w:color w:val="231F20"/>
          <w:spacing w:val="11"/>
        </w:rPr>
        <w:t> </w:t>
      </w:r>
      <w:r>
        <w:rPr>
          <w:color w:val="231F20"/>
          <w:spacing w:val="-2"/>
        </w:rPr>
        <w:t>them.</w:t>
      </w:r>
    </w:p>
    <w:p>
      <w:pPr>
        <w:pStyle w:val="BodyText"/>
        <w:spacing w:line="213" w:lineRule="auto" w:before="53"/>
        <w:ind w:left="2688" w:right="493" w:hanging="216"/>
      </w:pPr>
      <w:r>
        <w:rPr>
          <w:rFonts w:ascii="Futura MdCn BT"/>
          <w:color w:val="231F20"/>
        </w:rPr>
        <w:t>v</w:t>
      </w:r>
      <w:r>
        <w:rPr>
          <w:rFonts w:ascii="Futura MdCn BT"/>
          <w:color w:val="231F20"/>
          <w:spacing w:val="80"/>
        </w:rPr>
        <w:t> </w:t>
      </w:r>
      <w:r>
        <w:rPr>
          <w:color w:val="231F20"/>
        </w:rPr>
        <w:t>Rearrange views by clicking a view's title bar and dragging it another </w:t>
      </w:r>
      <w:r>
        <w:rPr>
          <w:color w:val="231F20"/>
        </w:rPr>
        <w:t>view</w:t>
      </w:r>
      <w:r>
        <w:rPr>
          <w:color w:val="231F20"/>
        </w:rPr>
        <w:t> space. When you release the mouse button, the views switch position.</w:t>
      </w:r>
    </w:p>
    <w:p>
      <w:pPr>
        <w:pStyle w:val="BodyText"/>
        <w:spacing w:line="213" w:lineRule="auto" w:before="58"/>
        <w:ind w:left="2688" w:right="1104" w:hanging="216"/>
      </w:pPr>
      <w:r>
        <w:rPr>
          <w:rFonts w:ascii="Futura MdCn BT"/>
          <w:color w:val="231F20"/>
        </w:rPr>
        <w:t>v</w:t>
      </w:r>
      <w:r>
        <w:rPr>
          <w:rFonts w:ascii="Futura MdCn BT"/>
          <w:color w:val="231F20"/>
          <w:spacing w:val="80"/>
        </w:rPr>
        <w:t> </w:t>
      </w:r>
      <w:r>
        <w:rPr>
          <w:color w:val="231F20"/>
        </w:rPr>
        <w:t>Maximize the view and, if you like, save the workspace while it is </w:t>
      </w:r>
      <w:r>
        <w:rPr>
          <w:color w:val="231F20"/>
        </w:rPr>
        <w:t>still</w:t>
      </w:r>
      <w:r>
        <w:rPr>
          <w:color w:val="231F20"/>
          <w:spacing w:val="40"/>
        </w:rPr>
        <w:t> </w:t>
      </w:r>
      <w:r>
        <w:rPr>
          <w:color w:val="231F20"/>
          <w:spacing w:val="-2"/>
        </w:rPr>
        <w:t>full-screen.</w:t>
      </w:r>
    </w:p>
    <w:p>
      <w:pPr>
        <w:pStyle w:val="BodyText"/>
        <w:spacing w:before="36"/>
        <w:ind w:left="2472"/>
      </w:pPr>
      <w:r>
        <w:rPr>
          <w:rFonts w:ascii="Futura MdCn BT"/>
          <w:color w:val="231F20"/>
        </w:rPr>
        <w:t>v</w:t>
      </w:r>
      <w:r>
        <w:rPr>
          <w:rFonts w:ascii="Futura MdCn BT"/>
          <w:color w:val="231F20"/>
          <w:spacing w:val="31"/>
        </w:rPr>
        <w:t>  </w:t>
      </w:r>
      <w:r>
        <w:rPr>
          <w:color w:val="231F20"/>
        </w:rPr>
        <w:t>Change</w:t>
      </w:r>
      <w:r>
        <w:rPr>
          <w:color w:val="231F20"/>
          <w:spacing w:val="14"/>
        </w:rPr>
        <w:t> </w:t>
      </w:r>
      <w:r>
        <w:rPr>
          <w:color w:val="231F20"/>
        </w:rPr>
        <w:t>a</w:t>
      </w:r>
      <w:r>
        <w:rPr>
          <w:color w:val="231F20"/>
          <w:spacing w:val="12"/>
        </w:rPr>
        <w:t> </w:t>
      </w:r>
      <w:r>
        <w:rPr>
          <w:color w:val="231F20"/>
        </w:rPr>
        <w:t>view</w:t>
      </w:r>
      <w:r>
        <w:rPr>
          <w:color w:val="231F20"/>
          <w:spacing w:val="13"/>
        </w:rPr>
        <w:t> </w:t>
      </w:r>
      <w:r>
        <w:rPr>
          <w:color w:val="231F20"/>
        </w:rPr>
        <w:t>to</w:t>
      </w:r>
      <w:r>
        <w:rPr>
          <w:color w:val="231F20"/>
          <w:spacing w:val="12"/>
        </w:rPr>
        <w:t> </w:t>
      </w:r>
      <w:r>
        <w:rPr>
          <w:color w:val="231F20"/>
        </w:rPr>
        <w:t>a</w:t>
      </w:r>
      <w:r>
        <w:rPr>
          <w:color w:val="231F20"/>
          <w:spacing w:val="13"/>
        </w:rPr>
        <w:t> </w:t>
      </w:r>
      <w:r>
        <w:rPr>
          <w:color w:val="231F20"/>
        </w:rPr>
        <w:t>different</w:t>
      </w:r>
      <w:r>
        <w:rPr>
          <w:color w:val="231F20"/>
          <w:spacing w:val="12"/>
        </w:rPr>
        <w:t> </w:t>
      </w:r>
      <w:r>
        <w:rPr>
          <w:color w:val="231F20"/>
        </w:rPr>
        <w:t>type,</w:t>
      </w:r>
      <w:r>
        <w:rPr>
          <w:color w:val="231F20"/>
          <w:spacing w:val="13"/>
        </w:rPr>
        <w:t> </w:t>
      </w:r>
      <w:r>
        <w:rPr>
          <w:color w:val="231F20"/>
        </w:rPr>
        <w:t>such</w:t>
      </w:r>
      <w:r>
        <w:rPr>
          <w:color w:val="231F20"/>
          <w:spacing w:val="12"/>
        </w:rPr>
        <w:t> </w:t>
      </w:r>
      <w:r>
        <w:rPr>
          <w:color w:val="231F20"/>
        </w:rPr>
        <w:t>as</w:t>
      </w:r>
      <w:r>
        <w:rPr>
          <w:color w:val="231F20"/>
          <w:spacing w:val="13"/>
        </w:rPr>
        <w:t> </w:t>
      </w:r>
      <w:r>
        <w:rPr>
          <w:color w:val="231F20"/>
        </w:rPr>
        <w:t>from</w:t>
      </w:r>
      <w:r>
        <w:rPr>
          <w:color w:val="231F20"/>
          <w:spacing w:val="12"/>
        </w:rPr>
        <w:t> </w:t>
      </w:r>
      <w:r>
        <w:rPr>
          <w:color w:val="231F20"/>
        </w:rPr>
        <w:t>a</w:t>
      </w:r>
      <w:r>
        <w:rPr>
          <w:color w:val="231F20"/>
          <w:spacing w:val="13"/>
        </w:rPr>
        <w:t> </w:t>
      </w:r>
      <w:r>
        <w:rPr>
          <w:color w:val="231F20"/>
        </w:rPr>
        <w:t>pie</w:t>
      </w:r>
      <w:r>
        <w:rPr>
          <w:color w:val="231F20"/>
          <w:spacing w:val="12"/>
        </w:rPr>
        <w:t> </w:t>
      </w:r>
      <w:r>
        <w:rPr>
          <w:color w:val="231F20"/>
        </w:rPr>
        <w:t>chart</w:t>
      </w:r>
      <w:r>
        <w:rPr>
          <w:color w:val="231F20"/>
          <w:spacing w:val="13"/>
        </w:rPr>
        <w:t> </w:t>
      </w:r>
      <w:r>
        <w:rPr>
          <w:color w:val="231F20"/>
        </w:rPr>
        <w:t>to</w:t>
      </w:r>
      <w:r>
        <w:rPr>
          <w:color w:val="231F20"/>
          <w:spacing w:val="12"/>
        </w:rPr>
        <w:t> </w:t>
      </w:r>
      <w:r>
        <w:rPr>
          <w:color w:val="231F20"/>
        </w:rPr>
        <w:t>a</w:t>
      </w:r>
      <w:r>
        <w:rPr>
          <w:color w:val="231F20"/>
          <w:spacing w:val="13"/>
        </w:rPr>
        <w:t> </w:t>
      </w:r>
      <w:r>
        <w:rPr>
          <w:color w:val="231F20"/>
          <w:spacing w:val="-2"/>
        </w:rPr>
        <w:t>gauge.</w:t>
      </w:r>
    </w:p>
    <w:p>
      <w:pPr>
        <w:pStyle w:val="BodyText"/>
        <w:spacing w:before="29"/>
        <w:ind w:left="2472"/>
      </w:pPr>
      <w:r>
        <w:rPr>
          <w:rFonts w:ascii="Futura MdCn BT"/>
          <w:color w:val="231F20"/>
        </w:rPr>
        <w:t>v</w:t>
      </w:r>
      <w:r>
        <w:rPr>
          <w:rFonts w:ascii="Futura MdCn BT"/>
          <w:color w:val="231F20"/>
          <w:spacing w:val="30"/>
        </w:rPr>
        <w:t>  </w:t>
      </w:r>
      <w:r>
        <w:rPr>
          <w:color w:val="231F20"/>
        </w:rPr>
        <w:t>Edit</w:t>
      </w:r>
      <w:r>
        <w:rPr>
          <w:color w:val="231F20"/>
          <w:spacing w:val="13"/>
        </w:rPr>
        <w:t> </w:t>
      </w:r>
      <w:r>
        <w:rPr>
          <w:color w:val="231F20"/>
        </w:rPr>
        <w:t>the</w:t>
      </w:r>
      <w:r>
        <w:rPr>
          <w:color w:val="231F20"/>
          <w:spacing w:val="12"/>
        </w:rPr>
        <w:t> </w:t>
      </w:r>
      <w:r>
        <w:rPr>
          <w:color w:val="231F20"/>
        </w:rPr>
        <w:t>workspace</w:t>
      </w:r>
      <w:r>
        <w:rPr>
          <w:color w:val="231F20"/>
          <w:spacing w:val="12"/>
        </w:rPr>
        <w:t> </w:t>
      </w:r>
      <w:r>
        <w:rPr>
          <w:color w:val="231F20"/>
          <w:spacing w:val="16"/>
          <w:position w:val="-1"/>
        </w:rPr>
        <w:drawing>
          <wp:inline distT="0" distB="0" distL="0" distR="0">
            <wp:extent cx="101600" cy="95250"/>
            <wp:effectExtent l="0" t="0" r="0" b="0"/>
            <wp:docPr id="672" name="Image 672"/>
            <wp:cNvGraphicFramePr>
              <a:graphicFrameLocks/>
            </wp:cNvGraphicFramePr>
            <a:graphic>
              <a:graphicData uri="http://schemas.openxmlformats.org/drawingml/2006/picture">
                <pic:pic>
                  <pic:nvPicPr>
                    <pic:cNvPr id="672" name="Image 672"/>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properties,</w:t>
      </w:r>
      <w:r>
        <w:rPr>
          <w:color w:val="231F20"/>
          <w:spacing w:val="12"/>
        </w:rPr>
        <w:t> </w:t>
      </w:r>
      <w:r>
        <w:rPr>
          <w:color w:val="231F20"/>
        </w:rPr>
        <w:t>such</w:t>
      </w:r>
      <w:r>
        <w:rPr>
          <w:color w:val="231F20"/>
          <w:spacing w:val="12"/>
        </w:rPr>
        <w:t> </w:t>
      </w:r>
      <w:r>
        <w:rPr>
          <w:color w:val="231F20"/>
        </w:rPr>
        <w:t>as</w:t>
      </w:r>
      <w:r>
        <w:rPr>
          <w:color w:val="231F20"/>
          <w:spacing w:val="13"/>
        </w:rPr>
        <w:t> </w:t>
      </w:r>
      <w:r>
        <w:rPr>
          <w:color w:val="231F20"/>
        </w:rPr>
        <w:t>to</w:t>
      </w:r>
      <w:r>
        <w:rPr>
          <w:color w:val="231F20"/>
          <w:spacing w:val="12"/>
        </w:rPr>
        <w:t> </w:t>
      </w:r>
      <w:r>
        <w:rPr>
          <w:color w:val="231F20"/>
        </w:rPr>
        <w:t>make</w:t>
      </w:r>
      <w:r>
        <w:rPr>
          <w:color w:val="231F20"/>
          <w:spacing w:val="12"/>
        </w:rPr>
        <w:t> </w:t>
      </w:r>
      <w:r>
        <w:rPr>
          <w:color w:val="231F20"/>
        </w:rPr>
        <w:t>it</w:t>
      </w:r>
      <w:r>
        <w:rPr>
          <w:color w:val="231F20"/>
          <w:spacing w:val="12"/>
        </w:rPr>
        <w:t> </w:t>
      </w:r>
      <w:r>
        <w:rPr>
          <w:color w:val="231F20"/>
        </w:rPr>
        <w:t>the</w:t>
      </w:r>
      <w:r>
        <w:rPr>
          <w:color w:val="231F20"/>
          <w:spacing w:val="12"/>
        </w:rPr>
        <w:t> </w:t>
      </w:r>
      <w:r>
        <w:rPr>
          <w:color w:val="231F20"/>
        </w:rPr>
        <w:t>default</w:t>
      </w:r>
      <w:r>
        <w:rPr>
          <w:color w:val="231F20"/>
          <w:spacing w:val="13"/>
        </w:rPr>
        <w:t> </w:t>
      </w:r>
      <w:r>
        <w:rPr>
          <w:color w:val="231F20"/>
          <w:spacing w:val="-2"/>
        </w:rPr>
        <w:t>workspace.</w:t>
      </w:r>
    </w:p>
    <w:p>
      <w:pPr>
        <w:pStyle w:val="BodyText"/>
        <w:spacing w:line="213" w:lineRule="auto" w:before="53"/>
        <w:ind w:left="2688" w:right="274" w:hanging="216"/>
      </w:pPr>
      <w:r>
        <w:rPr>
          <w:rFonts w:ascii="Futura MdCn BT"/>
          <w:color w:val="231F20"/>
        </w:rPr>
        <w:t>v</w:t>
      </w:r>
      <w:r>
        <w:rPr>
          <w:rFonts w:ascii="Futura MdCn BT"/>
          <w:color w:val="231F20"/>
          <w:spacing w:val="80"/>
        </w:rPr>
        <w:t> </w:t>
      </w:r>
      <w:r>
        <w:rPr>
          <w:color w:val="231F20"/>
        </w:rPr>
        <w:t>Edit the</w:t>
      </w:r>
      <w:r>
        <w:rPr>
          <w:color w:val="231F20"/>
          <w:spacing w:val="40"/>
        </w:rPr>
        <w:t> </w:t>
      </w:r>
      <w:r>
        <w:rPr>
          <w:color w:val="231F20"/>
          <w:spacing w:val="6"/>
          <w:position w:val="1"/>
        </w:rPr>
        <w:drawing>
          <wp:inline distT="0" distB="0" distL="0" distR="0">
            <wp:extent cx="57150" cy="57150"/>
            <wp:effectExtent l="0" t="0" r="0" b="0"/>
            <wp:docPr id="673" name="Image 673"/>
            <wp:cNvGraphicFramePr>
              <a:graphicFrameLocks/>
            </wp:cNvGraphicFramePr>
            <a:graphic>
              <a:graphicData uri="http://schemas.openxmlformats.org/drawingml/2006/picture">
                <pic:pic>
                  <pic:nvPicPr>
                    <pic:cNvPr id="673" name="Image 673"/>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rPr>
      </w:r>
      <w:r>
        <w:rPr>
          <w:rFonts w:ascii="Times New Roman"/>
          <w:color w:val="231F20"/>
          <w:spacing w:val="80"/>
        </w:rPr>
        <w:t> </w:t>
      </w:r>
      <w:r>
        <w:rPr>
          <w:color w:val="231F20"/>
        </w:rPr>
        <w:t>properties of the individual views to control their styles and, in table</w:t>
      </w:r>
      <w:r>
        <w:rPr>
          <w:color w:val="231F20"/>
          <w:spacing w:val="40"/>
        </w:rPr>
        <w:t> </w:t>
      </w:r>
      <w:r>
        <w:rPr>
          <w:color w:val="231F20"/>
        </w:rPr>
        <w:t>and chart views, what data they display.</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Build a link to another workspace so that you can jump to it from this one</w:t>
      </w:r>
      <w:r>
        <w:rPr>
          <w:color w:val="231F20"/>
          <w:spacing w:val="80"/>
        </w:rPr>
        <w:t> </w:t>
      </w:r>
      <w:r>
        <w:rPr>
          <w:color w:val="231F20"/>
          <w:spacing w:val="-2"/>
        </w:rPr>
        <w:t>quickly.</w:t>
      </w:r>
    </w:p>
    <w:p>
      <w:pPr>
        <w:pStyle w:val="BodyText"/>
        <w:spacing w:before="36"/>
        <w:ind w:left="2472"/>
      </w:pPr>
      <w:r>
        <w:rPr>
          <w:rFonts w:ascii="Futura MdCn BT"/>
          <w:color w:val="231F20"/>
        </w:rPr>
        <w:t>v</w:t>
      </w:r>
      <w:r>
        <w:rPr>
          <w:rFonts w:ascii="Futura MdCn BT"/>
          <w:color w:val="231F20"/>
          <w:spacing w:val="31"/>
        </w:rPr>
        <w:t>  </w:t>
      </w:r>
      <w:r>
        <w:rPr>
          <w:color w:val="231F20"/>
        </w:rPr>
        <w:t>Save</w:t>
      </w:r>
      <w:r>
        <w:rPr>
          <w:color w:val="231F20"/>
          <w:spacing w:val="13"/>
        </w:rPr>
        <w:t> </w:t>
      </w:r>
      <w:r>
        <w:rPr>
          <w:color w:val="231F20"/>
        </w:rPr>
        <w:t>a</w:t>
      </w:r>
      <w:r>
        <w:rPr>
          <w:color w:val="231F20"/>
          <w:spacing w:val="13"/>
        </w:rPr>
        <w:t> </w:t>
      </w:r>
      <w:r>
        <w:rPr>
          <w:color w:val="231F20"/>
        </w:rPr>
        <w:t>copy</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rPr>
        <w:t>current</w:t>
      </w:r>
      <w:r>
        <w:rPr>
          <w:color w:val="231F20"/>
          <w:spacing w:val="13"/>
        </w:rPr>
        <w:t> </w:t>
      </w:r>
      <w:r>
        <w:rPr>
          <w:color w:val="231F20"/>
        </w:rPr>
        <w:t>workspace</w:t>
      </w:r>
      <w:r>
        <w:rPr>
          <w:color w:val="231F20"/>
          <w:spacing w:val="12"/>
        </w:rPr>
        <w:t> </w:t>
      </w:r>
      <w:r>
        <w:rPr>
          <w:color w:val="231F20"/>
        </w:rPr>
        <w:t>and</w:t>
      </w:r>
      <w:r>
        <w:rPr>
          <w:color w:val="231F20"/>
          <w:spacing w:val="13"/>
        </w:rPr>
        <w:t> </w:t>
      </w:r>
      <w:r>
        <w:rPr>
          <w:color w:val="231F20"/>
        </w:rPr>
        <w:t>edit</w:t>
      </w:r>
      <w:r>
        <w:rPr>
          <w:color w:val="231F20"/>
          <w:spacing w:val="12"/>
        </w:rPr>
        <w:t> </w:t>
      </w:r>
      <w:r>
        <w:rPr>
          <w:color w:val="231F20"/>
        </w:rPr>
        <w:t>the</w:t>
      </w:r>
      <w:r>
        <w:rPr>
          <w:color w:val="231F20"/>
          <w:spacing w:val="12"/>
        </w:rPr>
        <w:t> </w:t>
      </w:r>
      <w:r>
        <w:rPr>
          <w:color w:val="231F20"/>
          <w:spacing w:val="-2"/>
        </w:rPr>
        <w:t>copy.</w:t>
      </w:r>
    </w:p>
    <w:p>
      <w:pPr>
        <w:pStyle w:val="BodyText"/>
        <w:spacing w:line="213" w:lineRule="auto" w:before="232"/>
        <w:ind w:left="2472" w:right="385"/>
      </w:pPr>
      <w:r>
        <w:rPr>
          <w:color w:val="231F20"/>
        </w:rPr>
        <w:t>Any changes you make to a workspace are available only to you; no one else will</w:t>
      </w:r>
      <w:r>
        <w:rPr>
          <w:color w:val="231F20"/>
          <w:spacing w:val="40"/>
        </w:rPr>
        <w:t> </w:t>
      </w:r>
      <w:r>
        <w:rPr>
          <w:color w:val="231F20"/>
        </w:rPr>
        <w:t>see your changes. The exception is with workspaces that were updated by an administrator while in workspace administration mode, where the changes to </w:t>
      </w:r>
      <w:r>
        <w:rPr>
          <w:color w:val="231F20"/>
        </w:rPr>
        <w:t>that workspace are shared with all users who log on to the same portal server.</w:t>
      </w:r>
    </w:p>
    <w:p>
      <w:pPr>
        <w:pStyle w:val="BodyText"/>
        <w:spacing w:line="213" w:lineRule="auto" w:before="237"/>
        <w:ind w:left="2472" w:right="274"/>
      </w:pPr>
      <w:r>
        <w:rPr>
          <w:color w:val="231F20"/>
        </w:rPr>
        <w:t>Predefined workspaces are protected from editing. You must use </w:t>
      </w:r>
      <w:r>
        <w:rPr>
          <w:rFonts w:ascii="Book Antiqua"/>
          <w:b/>
          <w:color w:val="231F20"/>
        </w:rPr>
        <w:t>File &gt; Save As </w:t>
      </w:r>
      <w:r>
        <w:rPr>
          <w:color w:val="231F20"/>
        </w:rPr>
        <w:t>to create your own copy for customization.</w:t>
      </w:r>
    </w:p>
    <w:p>
      <w:pPr>
        <w:pStyle w:val="Heading4"/>
        <w:ind w:left="2472"/>
      </w:pPr>
      <w:r>
        <w:rPr>
          <w:color w:val="231F20"/>
        </w:rPr>
        <w:t>Design</w:t>
      </w:r>
      <w:r>
        <w:rPr>
          <w:color w:val="231F20"/>
          <w:spacing w:val="3"/>
        </w:rPr>
        <w:t> </w:t>
      </w:r>
      <w:r>
        <w:rPr>
          <w:color w:val="231F20"/>
          <w:spacing w:val="-2"/>
        </w:rPr>
        <w:t>guidelines</w:t>
      </w:r>
    </w:p>
    <w:p>
      <w:pPr>
        <w:pStyle w:val="BodyText"/>
        <w:spacing w:before="218"/>
        <w:ind w:left="2472"/>
      </w:pPr>
      <w:r>
        <w:rPr>
          <w:color w:val="231F20"/>
        </w:rPr>
        <w:t>These</w:t>
      </w:r>
      <w:r>
        <w:rPr>
          <w:color w:val="231F20"/>
          <w:spacing w:val="11"/>
        </w:rPr>
        <w:t> </w:t>
      </w:r>
      <w:r>
        <w:rPr>
          <w:color w:val="231F20"/>
        </w:rPr>
        <w:t>are</w:t>
      </w:r>
      <w:r>
        <w:rPr>
          <w:color w:val="231F20"/>
          <w:spacing w:val="11"/>
        </w:rPr>
        <w:t> </w:t>
      </w:r>
      <w:r>
        <w:rPr>
          <w:color w:val="231F20"/>
        </w:rPr>
        <w:t>the</w:t>
      </w:r>
      <w:r>
        <w:rPr>
          <w:color w:val="231F20"/>
          <w:spacing w:val="12"/>
        </w:rPr>
        <w:t> </w:t>
      </w:r>
      <w:r>
        <w:rPr>
          <w:color w:val="231F20"/>
        </w:rPr>
        <w:t>changes</w:t>
      </w:r>
      <w:r>
        <w:rPr>
          <w:color w:val="231F20"/>
          <w:spacing w:val="11"/>
        </w:rPr>
        <w:t> </w:t>
      </w:r>
      <w:r>
        <w:rPr>
          <w:color w:val="231F20"/>
        </w:rPr>
        <w:t>you</w:t>
      </w:r>
      <w:r>
        <w:rPr>
          <w:color w:val="231F20"/>
          <w:spacing w:val="11"/>
        </w:rPr>
        <w:t> </w:t>
      </w:r>
      <w:r>
        <w:rPr>
          <w:color w:val="231F20"/>
        </w:rPr>
        <w:t>can</w:t>
      </w:r>
      <w:r>
        <w:rPr>
          <w:color w:val="231F20"/>
          <w:spacing w:val="12"/>
        </w:rPr>
        <w:t> </w:t>
      </w:r>
      <w:r>
        <w:rPr>
          <w:color w:val="231F20"/>
        </w:rPr>
        <w:t>make</w:t>
      </w:r>
      <w:r>
        <w:rPr>
          <w:color w:val="231F20"/>
          <w:spacing w:val="11"/>
        </w:rPr>
        <w:t> </w:t>
      </w:r>
      <w:r>
        <w:rPr>
          <w:color w:val="231F20"/>
        </w:rPr>
        <w:t>to</w:t>
      </w:r>
      <w:r>
        <w:rPr>
          <w:color w:val="231F20"/>
          <w:spacing w:val="11"/>
        </w:rPr>
        <w:t> </w:t>
      </w:r>
      <w:r>
        <w:rPr>
          <w:color w:val="231F20"/>
        </w:rPr>
        <w:t>a</w:t>
      </w:r>
      <w:r>
        <w:rPr>
          <w:color w:val="231F20"/>
          <w:spacing w:val="12"/>
        </w:rPr>
        <w:t> </w:t>
      </w:r>
      <w:r>
        <w:rPr>
          <w:color w:val="231F20"/>
        </w:rPr>
        <w:t>workspace</w:t>
      </w:r>
      <w:r>
        <w:rPr>
          <w:color w:val="231F20"/>
          <w:spacing w:val="11"/>
        </w:rPr>
        <w:t> </w:t>
      </w:r>
      <w:r>
        <w:rPr>
          <w:color w:val="231F20"/>
        </w:rPr>
        <w:t>that</w:t>
      </w:r>
      <w:r>
        <w:rPr>
          <w:color w:val="231F20"/>
          <w:spacing w:val="12"/>
        </w:rPr>
        <w:t> </w:t>
      </w:r>
      <w:r>
        <w:rPr>
          <w:color w:val="231F20"/>
        </w:rPr>
        <w:t>are</w:t>
      </w:r>
      <w:r>
        <w:rPr>
          <w:color w:val="231F20"/>
          <w:spacing w:val="11"/>
        </w:rPr>
        <w:t> </w:t>
      </w:r>
      <w:r>
        <w:rPr>
          <w:color w:val="231F20"/>
        </w:rPr>
        <w:t>saved</w:t>
      </w:r>
      <w:r>
        <w:rPr>
          <w:color w:val="231F20"/>
          <w:spacing w:val="11"/>
        </w:rPr>
        <w:t> </w:t>
      </w:r>
      <w:r>
        <w:rPr>
          <w:color w:val="231F20"/>
        </w:rPr>
        <w:t>with</w:t>
      </w:r>
      <w:r>
        <w:rPr>
          <w:color w:val="231F20"/>
          <w:spacing w:val="12"/>
        </w:rPr>
        <w:t> </w:t>
      </w:r>
      <w:r>
        <w:rPr>
          <w:color w:val="231F20"/>
          <w:spacing w:val="-5"/>
        </w:rPr>
        <w:t>it:</w:t>
      </w:r>
    </w:p>
    <w:p>
      <w:pPr>
        <w:pStyle w:val="BodyText"/>
        <w:spacing w:before="29"/>
        <w:ind w:left="2472"/>
      </w:pPr>
      <w:r>
        <w:rPr>
          <w:rFonts w:ascii="Futura MdCn BT"/>
          <w:color w:val="231F20"/>
        </w:rPr>
        <w:t>v</w:t>
      </w:r>
      <w:r>
        <w:rPr>
          <w:rFonts w:ascii="Futura MdCn BT"/>
          <w:color w:val="231F20"/>
          <w:spacing w:val="32"/>
        </w:rPr>
        <w:t>  </w:t>
      </w:r>
      <w:r>
        <w:rPr>
          <w:color w:val="231F20"/>
        </w:rPr>
        <w:t>Display</w:t>
      </w:r>
      <w:r>
        <w:rPr>
          <w:color w:val="231F20"/>
          <w:spacing w:val="15"/>
        </w:rPr>
        <w:t> </w:t>
      </w:r>
      <w:r>
        <w:rPr>
          <w:color w:val="231F20"/>
        </w:rPr>
        <w:t>a</w:t>
      </w:r>
      <w:r>
        <w:rPr>
          <w:color w:val="231F20"/>
          <w:spacing w:val="14"/>
        </w:rPr>
        <w:t> </w:t>
      </w:r>
      <w:r>
        <w:rPr>
          <w:color w:val="231F20"/>
        </w:rPr>
        <w:t>view</w:t>
      </w:r>
      <w:r>
        <w:rPr>
          <w:color w:val="231F20"/>
          <w:spacing w:val="13"/>
        </w:rPr>
        <w:t> </w:t>
      </w:r>
      <w:r>
        <w:rPr>
          <w:color w:val="231F20"/>
        </w:rPr>
        <w:t>full</w:t>
      </w:r>
      <w:r>
        <w:rPr>
          <w:color w:val="231F20"/>
          <w:spacing w:val="14"/>
        </w:rPr>
        <w:t> </w:t>
      </w:r>
      <w:r>
        <w:rPr>
          <w:color w:val="231F20"/>
          <w:spacing w:val="-2"/>
        </w:rPr>
        <w:t>screen.</w:t>
      </w:r>
    </w:p>
    <w:p>
      <w:pPr>
        <w:pStyle w:val="BodyText"/>
        <w:spacing w:before="30"/>
        <w:ind w:left="2472"/>
      </w:pPr>
      <w:r>
        <w:rPr>
          <w:rFonts w:ascii="Futura MdCn BT"/>
          <w:color w:val="231F20"/>
        </w:rPr>
        <w:t>v</w:t>
      </w:r>
      <w:r>
        <w:rPr>
          <w:rFonts w:ascii="Futura MdCn BT"/>
          <w:color w:val="231F20"/>
          <w:spacing w:val="32"/>
        </w:rPr>
        <w:t>  </w:t>
      </w:r>
      <w:r>
        <w:rPr>
          <w:color w:val="231F20"/>
        </w:rPr>
        <w:t>Resize</w:t>
      </w:r>
      <w:r>
        <w:rPr>
          <w:color w:val="231F20"/>
          <w:spacing w:val="12"/>
        </w:rPr>
        <w:t> </w:t>
      </w:r>
      <w:r>
        <w:rPr>
          <w:color w:val="231F20"/>
        </w:rPr>
        <w:t>views</w:t>
      </w:r>
      <w:r>
        <w:rPr>
          <w:color w:val="231F20"/>
          <w:spacing w:val="13"/>
        </w:rPr>
        <w:t> </w:t>
      </w:r>
      <w:r>
        <w:rPr>
          <w:color w:val="231F20"/>
        </w:rPr>
        <w:t>by</w:t>
      </w:r>
      <w:r>
        <w:rPr>
          <w:color w:val="231F20"/>
          <w:spacing w:val="13"/>
        </w:rPr>
        <w:t> </w:t>
      </w:r>
      <w:r>
        <w:rPr>
          <w:color w:val="231F20"/>
        </w:rPr>
        <w:t>dragging</w:t>
      </w:r>
      <w:r>
        <w:rPr>
          <w:color w:val="231F20"/>
          <w:spacing w:val="12"/>
        </w:rPr>
        <w:t> </w:t>
      </w:r>
      <w:r>
        <w:rPr>
          <w:color w:val="231F20"/>
        </w:rPr>
        <w:t>the</w:t>
      </w:r>
      <w:r>
        <w:rPr>
          <w:color w:val="231F20"/>
          <w:spacing w:val="13"/>
        </w:rPr>
        <w:t> </w:t>
      </w:r>
      <w:r>
        <w:rPr>
          <w:color w:val="231F20"/>
          <w:spacing w:val="-2"/>
        </w:rPr>
        <w:t>borders.</w:t>
      </w:r>
    </w:p>
    <w:p>
      <w:pPr>
        <w:pStyle w:val="BodyText"/>
        <w:spacing w:line="213" w:lineRule="auto" w:before="52"/>
        <w:ind w:left="2688" w:right="545" w:hanging="216"/>
      </w:pPr>
      <w:r>
        <w:rPr>
          <w:rFonts w:ascii="Futura MdCn BT"/>
          <w:color w:val="231F20"/>
        </w:rPr>
        <w:t>v</w:t>
      </w:r>
      <w:r>
        <w:rPr>
          <w:rFonts w:ascii="Futura MdCn BT"/>
          <w:color w:val="231F20"/>
          <w:spacing w:val="80"/>
        </w:rPr>
        <w:t> </w:t>
      </w:r>
      <w:r>
        <w:rPr>
          <w:color w:val="231F20"/>
        </w:rPr>
        <w:t>Swap location with another view by dragging by its title bar to the </w:t>
      </w:r>
      <w:r>
        <w:rPr>
          <w:color w:val="231F20"/>
        </w:rPr>
        <w:t>new</w:t>
      </w:r>
      <w:r>
        <w:rPr>
          <w:color w:val="231F20"/>
          <w:spacing w:val="40"/>
        </w:rPr>
        <w:t> </w:t>
      </w:r>
      <w:r>
        <w:rPr>
          <w:color w:val="231F20"/>
          <w:spacing w:val="-2"/>
        </w:rPr>
        <w:t>position.</w:t>
      </w:r>
    </w:p>
    <w:p>
      <w:pPr>
        <w:pStyle w:val="BodyText"/>
        <w:spacing w:before="36"/>
        <w:ind w:left="2472"/>
      </w:pPr>
      <w:r>
        <w:rPr>
          <w:rFonts w:ascii="Futura MdCn BT"/>
          <w:color w:val="231F20"/>
        </w:rPr>
        <w:t>v</w:t>
      </w:r>
      <w:r>
        <w:rPr>
          <w:rFonts w:ascii="Futura MdCn BT"/>
          <w:color w:val="231F20"/>
          <w:spacing w:val="73"/>
          <w:w w:val="150"/>
        </w:rPr>
        <w:t> </w:t>
      </w:r>
      <w:r>
        <w:rPr>
          <w:color w:val="231F20"/>
        </w:rPr>
        <w:t>Workspace</w:t>
      </w:r>
      <w:r>
        <w:rPr>
          <w:color w:val="231F20"/>
          <w:spacing w:val="8"/>
        </w:rPr>
        <w:t> </w:t>
      </w:r>
      <w:r>
        <w:rPr>
          <w:color w:val="231F20"/>
        </w:rPr>
        <w:t>link</w:t>
      </w:r>
      <w:r>
        <w:rPr>
          <w:color w:val="231F20"/>
          <w:spacing w:val="9"/>
        </w:rPr>
        <w:t> </w:t>
      </w:r>
      <w:r>
        <w:rPr>
          <w:color w:val="231F20"/>
          <w:spacing w:val="-2"/>
        </w:rPr>
        <w:t>definitions.</w:t>
      </w:r>
    </w:p>
    <w:p>
      <w:pPr>
        <w:pStyle w:val="BodyText"/>
        <w:spacing w:line="213" w:lineRule="auto" w:before="52"/>
        <w:ind w:left="2688" w:right="379" w:hanging="216"/>
      </w:pPr>
      <w:r>
        <w:rPr>
          <w:rFonts w:ascii="Futura MdCn BT"/>
          <w:color w:val="231F20"/>
        </w:rPr>
        <w:t>v</w:t>
      </w:r>
      <w:r>
        <w:rPr>
          <w:rFonts w:ascii="Futura MdCn BT"/>
          <w:color w:val="231F20"/>
          <w:spacing w:val="80"/>
        </w:rPr>
        <w:t> </w:t>
      </w:r>
      <w:r>
        <w:rPr>
          <w:color w:val="231F20"/>
        </w:rPr>
        <w:t>Arrange the order of workspaces in the workspace gallery. This gets saved </w:t>
      </w:r>
      <w:r>
        <w:rPr>
          <w:color w:val="231F20"/>
        </w:rPr>
        <w:t>with</w:t>
      </w:r>
      <w:r>
        <w:rPr>
          <w:color w:val="231F20"/>
        </w:rPr>
        <w:t> all workspaces for a Navigator item.</w:t>
      </w:r>
    </w:p>
    <w:p>
      <w:pPr>
        <w:spacing w:after="0" w:line="213" w:lineRule="auto"/>
        <w:sectPr>
          <w:footerReference w:type="default" r:id="rId177"/>
          <w:footerReference w:type="even" r:id="rId178"/>
          <w:pgSz w:w="12240" w:h="15840"/>
          <w:pgMar w:header="0" w:footer="736" w:top="1300" w:bottom="920" w:left="1000" w:right="1060"/>
          <w:pgNumType w:start="63"/>
        </w:sectPr>
      </w:pPr>
    </w:p>
    <w:p>
      <w:pPr>
        <w:pStyle w:val="BodyText"/>
        <w:spacing w:before="62"/>
        <w:ind w:left="2232"/>
      </w:pPr>
      <w:bookmarkStart w:name="_bookmark50" w:id="114"/>
      <w:bookmarkEnd w:id="114"/>
      <w:r>
        <w:rPr/>
      </w:r>
      <w:r>
        <w:rPr>
          <w:color w:val="231F20"/>
        </w:rPr>
        <w:t>Here</w:t>
      </w:r>
      <w:r>
        <w:rPr>
          <w:color w:val="231F20"/>
          <w:spacing w:val="8"/>
        </w:rPr>
        <w:t> </w:t>
      </w:r>
      <w:r>
        <w:rPr>
          <w:color w:val="231F20"/>
        </w:rPr>
        <w:t>are</w:t>
      </w:r>
      <w:r>
        <w:rPr>
          <w:color w:val="231F20"/>
          <w:spacing w:val="11"/>
        </w:rPr>
        <w:t> </w:t>
      </w:r>
      <w:r>
        <w:rPr>
          <w:color w:val="231F20"/>
        </w:rPr>
        <w:t>some</w:t>
      </w:r>
      <w:r>
        <w:rPr>
          <w:color w:val="231F20"/>
          <w:spacing w:val="11"/>
        </w:rPr>
        <w:t> </w:t>
      </w:r>
      <w:r>
        <w:rPr>
          <w:color w:val="231F20"/>
        </w:rPr>
        <w:t>guidelines</w:t>
      </w:r>
      <w:r>
        <w:rPr>
          <w:color w:val="231F20"/>
          <w:spacing w:val="11"/>
        </w:rPr>
        <w:t> </w:t>
      </w:r>
      <w:r>
        <w:rPr>
          <w:color w:val="231F20"/>
        </w:rPr>
        <w:t>to</w:t>
      </w:r>
      <w:r>
        <w:rPr>
          <w:color w:val="231F20"/>
          <w:spacing w:val="10"/>
        </w:rPr>
        <w:t> </w:t>
      </w:r>
      <w:r>
        <w:rPr>
          <w:color w:val="231F20"/>
        </w:rPr>
        <w:t>help</w:t>
      </w:r>
      <w:r>
        <w:rPr>
          <w:color w:val="231F20"/>
          <w:spacing w:val="11"/>
        </w:rPr>
        <w:t> </w:t>
      </w:r>
      <w:r>
        <w:rPr>
          <w:color w:val="231F20"/>
        </w:rPr>
        <w:t>you</w:t>
      </w:r>
      <w:r>
        <w:rPr>
          <w:color w:val="231F20"/>
          <w:spacing w:val="11"/>
        </w:rPr>
        <w:t> </w:t>
      </w:r>
      <w:r>
        <w:rPr>
          <w:color w:val="231F20"/>
        </w:rPr>
        <w:t>plan</w:t>
      </w:r>
      <w:r>
        <w:rPr>
          <w:color w:val="231F20"/>
          <w:spacing w:val="11"/>
        </w:rPr>
        <w:t> </w:t>
      </w:r>
      <w:r>
        <w:rPr>
          <w:color w:val="231F20"/>
          <w:spacing w:val="-2"/>
        </w:rPr>
        <w:t>workspaces:</w:t>
      </w:r>
    </w:p>
    <w:p>
      <w:pPr>
        <w:pStyle w:val="BodyText"/>
        <w:spacing w:line="213" w:lineRule="auto" w:before="52"/>
        <w:ind w:left="2448" w:right="700" w:hanging="216"/>
      </w:pPr>
      <w:r>
        <w:rPr>
          <w:rFonts w:ascii="Futura MdCn BT"/>
          <w:color w:val="231F20"/>
        </w:rPr>
        <w:t>v</w:t>
      </w:r>
      <w:r>
        <w:rPr>
          <w:rFonts w:ascii="Futura MdCn BT"/>
          <w:color w:val="231F20"/>
          <w:spacing w:val="80"/>
        </w:rPr>
        <w:t> </w:t>
      </w:r>
      <w:r>
        <w:rPr>
          <w:color w:val="231F20"/>
        </w:rPr>
        <w:t>Tailor the content of a workspace to the Navigator level: Workspaces at the top</w:t>
      </w:r>
      <w:r>
        <w:rPr>
          <w:color w:val="231F20"/>
          <w:spacing w:val="40"/>
        </w:rPr>
        <w:t> </w:t>
      </w:r>
      <w:r>
        <w:rPr>
          <w:color w:val="231F20"/>
        </w:rPr>
        <w:t>of the hierarchy can show summary information; those at lower levels can provide more in-depth information.</w:t>
      </w:r>
    </w:p>
    <w:p>
      <w:pPr>
        <w:pStyle w:val="BodyText"/>
        <w:spacing w:before="35"/>
        <w:ind w:left="2232"/>
      </w:pPr>
      <w:r>
        <w:rPr>
          <w:rFonts w:ascii="Futura MdCn BT"/>
          <w:color w:val="231F20"/>
        </w:rPr>
        <w:t>v</w:t>
      </w:r>
      <w:r>
        <w:rPr>
          <w:rFonts w:ascii="Futura MdCn BT"/>
          <w:color w:val="231F20"/>
          <w:spacing w:val="79"/>
          <w:w w:val="150"/>
        </w:rPr>
        <w:t> </w:t>
      </w:r>
      <w:r>
        <w:rPr>
          <w:color w:val="231F20"/>
        </w:rPr>
        <w:t>Provide</w:t>
      </w:r>
      <w:r>
        <w:rPr>
          <w:color w:val="231F20"/>
          <w:spacing w:val="11"/>
        </w:rPr>
        <w:t> </w:t>
      </w:r>
      <w:r>
        <w:rPr>
          <w:color w:val="231F20"/>
        </w:rPr>
        <w:t>summary</w:t>
      </w:r>
      <w:r>
        <w:rPr>
          <w:color w:val="231F20"/>
          <w:spacing w:val="12"/>
        </w:rPr>
        <w:t> </w:t>
      </w:r>
      <w:r>
        <w:rPr>
          <w:color w:val="231F20"/>
        </w:rPr>
        <w:t>information</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agent</w:t>
      </w:r>
      <w:r>
        <w:rPr>
          <w:color w:val="231F20"/>
          <w:spacing w:val="11"/>
        </w:rPr>
        <w:t> </w:t>
      </w:r>
      <w:r>
        <w:rPr>
          <w:color w:val="231F20"/>
        </w:rPr>
        <w:t>level</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Navigator</w:t>
      </w:r>
      <w:r>
        <w:rPr>
          <w:color w:val="231F20"/>
          <w:spacing w:val="12"/>
        </w:rPr>
        <w:t> </w:t>
      </w:r>
      <w:r>
        <w:rPr>
          <w:color w:val="231F20"/>
        </w:rPr>
        <w:t>Physical</w:t>
      </w:r>
      <w:r>
        <w:rPr>
          <w:color w:val="231F20"/>
          <w:spacing w:val="11"/>
        </w:rPr>
        <w:t> </w:t>
      </w:r>
      <w:r>
        <w:rPr>
          <w:color w:val="231F20"/>
          <w:spacing w:val="-2"/>
        </w:rPr>
        <w:t>view.</w:t>
      </w:r>
    </w:p>
    <w:p>
      <w:pPr>
        <w:pStyle w:val="BodyText"/>
        <w:spacing w:line="213" w:lineRule="auto" w:before="53"/>
        <w:ind w:left="2448" w:right="603" w:hanging="216"/>
      </w:pPr>
      <w:r>
        <w:rPr>
          <w:rFonts w:ascii="Futura MdCn BT"/>
          <w:color w:val="231F20"/>
        </w:rPr>
        <w:t>v</w:t>
      </w:r>
      <w:r>
        <w:rPr>
          <w:rFonts w:ascii="Futura MdCn BT"/>
          <w:color w:val="231F20"/>
          <w:spacing w:val="80"/>
        </w:rPr>
        <w:t> </w:t>
      </w:r>
      <w:r>
        <w:rPr>
          <w:color w:val="231F20"/>
        </w:rPr>
        <w:t>Use custom queries that pre-filter the data used in a table or chart to ensure</w:t>
      </w:r>
      <w:r>
        <w:rPr>
          <w:color w:val="231F20"/>
          <w:spacing w:val="40"/>
        </w:rPr>
        <w:t> </w:t>
      </w:r>
      <w:r>
        <w:rPr>
          <w:color w:val="231F20"/>
        </w:rPr>
        <w:t>fastest data retrieval and that you see no extraneous data. And use as few different queries as possible in one workspace.</w:t>
      </w:r>
    </w:p>
    <w:p>
      <w:pPr>
        <w:pStyle w:val="BodyText"/>
        <w:spacing w:line="213" w:lineRule="auto" w:before="57"/>
        <w:ind w:left="2448" w:right="493" w:hanging="216"/>
      </w:pPr>
      <w:r>
        <w:rPr>
          <w:rFonts w:ascii="Futura MdCn BT"/>
          <w:color w:val="231F20"/>
        </w:rPr>
        <w:t>v</w:t>
      </w:r>
      <w:r>
        <w:rPr>
          <w:rFonts w:ascii="Futura MdCn BT"/>
          <w:color w:val="231F20"/>
          <w:spacing w:val="80"/>
        </w:rPr>
        <w:t> </w:t>
      </w:r>
      <w:r>
        <w:rPr>
          <w:color w:val="231F20"/>
        </w:rPr>
        <w:t>Design for a specific monitor resolution. If you are creating in workspace administration mode for multiple users, use 1024 x 768, which is the </w:t>
      </w:r>
      <w:r>
        <w:rPr>
          <w:color w:val="231F20"/>
        </w:rPr>
        <w:t>lowest</w:t>
      </w:r>
      <w:r>
        <w:rPr>
          <w:color w:val="231F20"/>
        </w:rPr>
        <w:t> resolution on which the Tivoli Enterprise Portal can run.</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Do not crowd too much information in one workspace. Instead, have </w:t>
      </w:r>
      <w:r>
        <w:rPr>
          <w:color w:val="231F20"/>
        </w:rPr>
        <w:t>multiple</w:t>
      </w:r>
      <w:r>
        <w:rPr>
          <w:color w:val="231F20"/>
        </w:rPr>
        <w:t> workspaces at one level or links from one workspace to the next.</w:t>
      </w:r>
    </w:p>
    <w:p>
      <w:pPr>
        <w:pStyle w:val="BodyText"/>
        <w:spacing w:line="213" w:lineRule="auto" w:before="59"/>
        <w:ind w:left="2448" w:right="421" w:hanging="216"/>
      </w:pPr>
      <w:r>
        <w:rPr>
          <w:rFonts w:ascii="Futura MdCn BT"/>
          <w:color w:val="231F20"/>
        </w:rPr>
        <w:t>v</w:t>
      </w:r>
      <w:r>
        <w:rPr>
          <w:rFonts w:ascii="Futura MdCn BT"/>
          <w:color w:val="231F20"/>
          <w:spacing w:val="80"/>
        </w:rPr>
        <w:t> </w:t>
      </w:r>
      <w:r>
        <w:rPr>
          <w:color w:val="231F20"/>
        </w:rPr>
        <w:t>For table views with many columns, arrange them so the important ones are visible. Consider removing some columns by pre-filtering (Properties - Query) </w:t>
      </w:r>
      <w:r>
        <w:rPr>
          <w:color w:val="231F20"/>
        </w:rPr>
        <w:t>or</w:t>
      </w:r>
      <w:r>
        <w:rPr>
          <w:color w:val="231F20"/>
        </w:rPr>
        <w:t> post-filtering (Properties - Filters).</w:t>
      </w:r>
    </w:p>
    <w:p>
      <w:pPr>
        <w:pStyle w:val="BodyText"/>
        <w:spacing w:line="213" w:lineRule="auto" w:before="58"/>
        <w:ind w:left="2448" w:right="700" w:hanging="216"/>
      </w:pPr>
      <w:r>
        <w:rPr>
          <w:rFonts w:ascii="Futura MdCn BT"/>
          <w:color w:val="231F20"/>
        </w:rPr>
        <w:t>v</w:t>
      </w:r>
      <w:r>
        <w:rPr>
          <w:rFonts w:ascii="Futura MdCn BT"/>
          <w:color w:val="231F20"/>
          <w:spacing w:val="80"/>
        </w:rPr>
        <w:t> </w:t>
      </w:r>
      <w:r>
        <w:rPr>
          <w:color w:val="231F20"/>
        </w:rPr>
        <w:t>Consider combining tables with charts in a workspace for the most </w:t>
      </w:r>
      <w:r>
        <w:rPr>
          <w:color w:val="231F20"/>
        </w:rPr>
        <w:t>effective</w:t>
      </w:r>
      <w:r>
        <w:rPr>
          <w:color w:val="231F20"/>
        </w:rPr>
        <w:t> style layout.</w:t>
      </w:r>
    </w:p>
    <w:p>
      <w:pPr>
        <w:pStyle w:val="Heading4"/>
        <w:spacing w:before="199"/>
      </w:pPr>
      <w:r>
        <w:rPr>
          <w:color w:val="231F20"/>
          <w:spacing w:val="-4"/>
        </w:rPr>
        <w:t>Tips</w:t>
      </w:r>
    </w:p>
    <w:p>
      <w:pPr>
        <w:pStyle w:val="BodyText"/>
        <w:spacing w:line="213" w:lineRule="auto" w:before="62"/>
        <w:ind w:left="2448" w:right="603" w:hanging="216"/>
      </w:pPr>
      <w:r>
        <w:rPr>
          <w:rFonts w:ascii="Futura MdCn BT"/>
          <w:color w:val="231F20"/>
        </w:rPr>
        <w:t>v</w:t>
      </w:r>
      <w:r>
        <w:rPr>
          <w:rFonts w:ascii="Futura MdCn BT"/>
          <w:color w:val="231F20"/>
          <w:spacing w:val="80"/>
        </w:rPr>
        <w:t> </w:t>
      </w:r>
      <w:r>
        <w:rPr>
          <w:color w:val="231F20"/>
        </w:rPr>
        <w:t>If you edit a predefined workspace or one created in administration mode, </w:t>
      </w:r>
      <w:r>
        <w:rPr>
          <w:color w:val="231F20"/>
        </w:rPr>
        <w:t>you</w:t>
      </w:r>
      <w:r>
        <w:rPr>
          <w:color w:val="231F20"/>
        </w:rPr>
        <w:t> can restore the original through </w:t>
      </w:r>
      <w:r>
        <w:rPr>
          <w:rFonts w:ascii="Book Antiqua"/>
          <w:b/>
          <w:color w:val="231F20"/>
        </w:rPr>
        <w:t>File &gt; Restore Original Workspace</w:t>
      </w:r>
      <w:r>
        <w:rPr>
          <w:color w:val="231F20"/>
        </w:rPr>
        <w:t>. The customized version is overwritten by the original. If you want to keep both the customized workspace and the original, save the customized workspace with a new name before restoring the original.</w:t>
      </w:r>
    </w:p>
    <w:p>
      <w:pPr>
        <w:pStyle w:val="BodyText"/>
        <w:spacing w:line="213" w:lineRule="auto" w:before="57"/>
        <w:ind w:left="2448" w:right="493" w:hanging="216"/>
      </w:pPr>
      <w:r>
        <w:rPr>
          <w:rFonts w:ascii="Futura MdCn BT"/>
          <w:color w:val="231F20"/>
        </w:rPr>
        <w:t>v</w:t>
      </w:r>
      <w:r>
        <w:rPr>
          <w:rFonts w:ascii="Futura MdCn BT"/>
          <w:color w:val="231F20"/>
          <w:spacing w:val="80"/>
        </w:rPr>
        <w:t> </w:t>
      </w:r>
      <w:r>
        <w:rPr>
          <w:color w:val="231F20"/>
        </w:rPr>
        <w:t>The managed systems available for reporting are those assigned to the </w:t>
      </w:r>
      <w:r>
        <w:rPr>
          <w:color w:val="231F20"/>
        </w:rPr>
        <w:t>Navigator</w:t>
      </w:r>
      <w:r>
        <w:rPr>
          <w:color w:val="231F20"/>
        </w:rPr>
        <w:t> item. If you are not sure which are assigned, select the Navigator item,</w:t>
      </w:r>
    </w:p>
    <w:p>
      <w:pPr>
        <w:spacing w:line="245" w:lineRule="exact" w:before="0"/>
        <w:ind w:left="2448" w:right="0" w:firstLine="0"/>
        <w:jc w:val="left"/>
        <w:rPr>
          <w:sz w:val="20"/>
        </w:rPr>
      </w:pPr>
      <w:r>
        <w:rPr>
          <w:color w:val="231F20"/>
          <w:sz w:val="20"/>
        </w:rPr>
        <w:t>right-click</w:t>
      </w:r>
      <w:r>
        <w:rPr>
          <w:color w:val="231F20"/>
          <w:spacing w:val="12"/>
          <w:sz w:val="20"/>
        </w:rPr>
        <w:t> </w:t>
      </w:r>
      <w:r>
        <w:rPr>
          <w:color w:val="231F20"/>
          <w:sz w:val="20"/>
        </w:rPr>
        <w:t>the</w:t>
      </w:r>
      <w:r>
        <w:rPr>
          <w:color w:val="231F20"/>
          <w:spacing w:val="12"/>
          <w:sz w:val="20"/>
        </w:rPr>
        <w:t> </w:t>
      </w:r>
      <w:r>
        <w:rPr>
          <w:color w:val="231F20"/>
          <w:sz w:val="20"/>
        </w:rPr>
        <w:t>item,</w:t>
      </w:r>
      <w:r>
        <w:rPr>
          <w:color w:val="231F20"/>
          <w:spacing w:val="13"/>
          <w:sz w:val="20"/>
        </w:rPr>
        <w:t> </w:t>
      </w:r>
      <w:r>
        <w:rPr>
          <w:color w:val="231F20"/>
          <w:sz w:val="20"/>
        </w:rPr>
        <w:t>and</w:t>
      </w:r>
      <w:r>
        <w:rPr>
          <w:color w:val="231F20"/>
          <w:spacing w:val="12"/>
          <w:sz w:val="20"/>
        </w:rPr>
        <w:t> </w:t>
      </w:r>
      <w:r>
        <w:rPr>
          <w:color w:val="231F20"/>
          <w:sz w:val="20"/>
        </w:rPr>
        <w:t>click</w:t>
      </w:r>
      <w:r>
        <w:rPr>
          <w:color w:val="231F20"/>
          <w:spacing w:val="11"/>
          <w:sz w:val="20"/>
        </w:rPr>
        <w:t> </w:t>
      </w:r>
      <w:r>
        <w:rPr>
          <w:color w:val="231F20"/>
          <w:spacing w:val="15"/>
          <w:position w:val="-1"/>
          <w:sz w:val="20"/>
        </w:rPr>
        <w:drawing>
          <wp:inline distT="0" distB="0" distL="0" distR="0">
            <wp:extent cx="101600" cy="95250"/>
            <wp:effectExtent l="0" t="0" r="0" b="0"/>
            <wp:docPr id="674" name="Image 674"/>
            <wp:cNvGraphicFramePr>
              <a:graphicFrameLocks/>
            </wp:cNvGraphicFramePr>
            <a:graphic>
              <a:graphicData uri="http://schemas.openxmlformats.org/drawingml/2006/picture">
                <pic:pic>
                  <pic:nvPicPr>
                    <pic:cNvPr id="674" name="Image 674"/>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5"/>
          <w:sz w:val="20"/>
        </w:rPr>
        <w:t> </w:t>
      </w:r>
      <w:r>
        <w:rPr>
          <w:rFonts w:ascii="Book Antiqua"/>
          <w:b/>
          <w:color w:val="231F20"/>
          <w:spacing w:val="-2"/>
          <w:sz w:val="20"/>
        </w:rPr>
        <w:t>Properties</w:t>
      </w:r>
      <w:r>
        <w:rPr>
          <w:color w:val="231F20"/>
          <w:spacing w:val="-2"/>
          <w:sz w:val="20"/>
        </w:rPr>
        <w:t>.</w:t>
      </w:r>
    </w:p>
    <w:p>
      <w:pPr>
        <w:pStyle w:val="BodyText"/>
        <w:spacing w:before="29"/>
        <w:ind w:left="2232"/>
      </w:pPr>
      <w:r>
        <w:rPr>
          <w:rFonts w:ascii="Futura MdCn BT"/>
          <w:color w:val="231F20"/>
        </w:rPr>
        <w:t>v</w:t>
      </w:r>
      <w:r>
        <w:rPr>
          <w:rFonts w:ascii="Futura MdCn BT"/>
          <w:color w:val="231F20"/>
          <w:spacing w:val="31"/>
        </w:rPr>
        <w:t>  </w:t>
      </w:r>
      <w:r>
        <w:rPr>
          <w:color w:val="231F20"/>
        </w:rPr>
        <w:t>The</w:t>
      </w:r>
      <w:r>
        <w:rPr>
          <w:color w:val="231F20"/>
          <w:spacing w:val="14"/>
        </w:rPr>
        <w:t> </w:t>
      </w:r>
      <w:r>
        <w:rPr>
          <w:color w:val="231F20"/>
        </w:rPr>
        <w:t>CLI</w:t>
      </w:r>
      <w:r>
        <w:rPr>
          <w:color w:val="231F20"/>
          <w:spacing w:val="13"/>
        </w:rPr>
        <w:t> </w:t>
      </w:r>
      <w:r>
        <w:rPr>
          <w:color w:val="231F20"/>
        </w:rPr>
        <w:t>has</w:t>
      </w:r>
      <w:r>
        <w:rPr>
          <w:color w:val="231F20"/>
          <w:spacing w:val="13"/>
        </w:rPr>
        <w:t> </w:t>
      </w:r>
      <w:r>
        <w:rPr>
          <w:color w:val="231F20"/>
        </w:rPr>
        <w:t>several</w:t>
      </w:r>
      <w:r>
        <w:rPr>
          <w:color w:val="231F20"/>
          <w:spacing w:val="12"/>
        </w:rPr>
        <w:t> </w:t>
      </w:r>
      <w:r>
        <w:rPr>
          <w:color w:val="231F20"/>
        </w:rPr>
        <w:t>tacmds</w:t>
      </w:r>
      <w:r>
        <w:rPr>
          <w:color w:val="231F20"/>
          <w:spacing w:val="13"/>
        </w:rPr>
        <w:t> </w:t>
      </w:r>
      <w:r>
        <w:rPr>
          <w:color w:val="231F20"/>
        </w:rPr>
        <w:t>specific</w:t>
      </w:r>
      <w:r>
        <w:rPr>
          <w:color w:val="231F20"/>
          <w:spacing w:val="13"/>
        </w:rPr>
        <w:t> </w:t>
      </w:r>
      <w:r>
        <w:rPr>
          <w:color w:val="231F20"/>
        </w:rPr>
        <w:t>to</w:t>
      </w:r>
      <w:r>
        <w:rPr>
          <w:color w:val="231F20"/>
          <w:spacing w:val="12"/>
        </w:rPr>
        <w:t> </w:t>
      </w:r>
      <w:r>
        <w:rPr>
          <w:color w:val="231F20"/>
          <w:spacing w:val="-2"/>
        </w:rPr>
        <w:t>workspaces:</w:t>
      </w:r>
    </w:p>
    <w:p>
      <w:pPr>
        <w:pStyle w:val="BodyText"/>
        <w:spacing w:line="213" w:lineRule="auto" w:before="53"/>
        <w:ind w:left="2748" w:right="545"/>
      </w:pPr>
      <w:r>
        <w:rPr>
          <w:rFonts w:ascii="Book Antiqua"/>
          <w:b/>
          <w:color w:val="231F20"/>
        </w:rPr>
        <w:t>deleteWorkspace </w:t>
      </w:r>
      <w:r>
        <w:rPr>
          <w:color w:val="231F20"/>
        </w:rPr>
        <w:t>to delete a workspace by its objectid from the </w:t>
      </w:r>
      <w:r>
        <w:rPr>
          <w:color w:val="231F20"/>
        </w:rPr>
        <w:t>Tivoli Enterprise Portal Server</w:t>
      </w:r>
    </w:p>
    <w:p>
      <w:pPr>
        <w:pStyle w:val="BodyText"/>
        <w:spacing w:line="213" w:lineRule="auto" w:before="58"/>
        <w:ind w:left="2748" w:right="545"/>
      </w:pPr>
      <w:r>
        <w:rPr>
          <w:rFonts w:ascii="Book Antiqua"/>
          <w:b/>
          <w:color w:val="231F20"/>
        </w:rPr>
        <w:t>listWorkspaces </w:t>
      </w:r>
      <w:r>
        <w:rPr>
          <w:color w:val="231F20"/>
        </w:rPr>
        <w:t>to list all of the workspaces, including objectid, on the </w:t>
      </w:r>
      <w:r>
        <w:rPr>
          <w:color w:val="231F20"/>
        </w:rPr>
        <w:t>portal </w:t>
      </w:r>
      <w:r>
        <w:rPr>
          <w:color w:val="231F20"/>
          <w:spacing w:val="-2"/>
        </w:rPr>
        <w:t>server</w:t>
      </w:r>
    </w:p>
    <w:p>
      <w:pPr>
        <w:spacing w:line="213" w:lineRule="auto" w:before="59"/>
        <w:ind w:left="2748" w:right="603" w:firstLine="0"/>
        <w:jc w:val="left"/>
        <w:rPr>
          <w:sz w:val="20"/>
        </w:rPr>
      </w:pPr>
      <w:r>
        <w:rPr>
          <w:rFonts w:ascii="Book Antiqua"/>
          <w:b/>
          <w:color w:val="231F20"/>
          <w:sz w:val="20"/>
        </w:rPr>
        <w:t>exportWorkspaces </w:t>
      </w:r>
      <w:r>
        <w:rPr>
          <w:color w:val="231F20"/>
          <w:sz w:val="20"/>
        </w:rPr>
        <w:t>to export one or more portal workspace definitions to </w:t>
      </w:r>
      <w:r>
        <w:rPr>
          <w:color w:val="231F20"/>
          <w:sz w:val="20"/>
        </w:rPr>
        <w:t>a </w:t>
      </w:r>
      <w:r>
        <w:rPr>
          <w:color w:val="231F20"/>
          <w:spacing w:val="-4"/>
          <w:sz w:val="20"/>
        </w:rPr>
        <w:t>file</w:t>
      </w:r>
    </w:p>
    <w:p>
      <w:pPr>
        <w:pStyle w:val="BodyText"/>
        <w:spacing w:line="213" w:lineRule="auto" w:before="58"/>
        <w:ind w:left="2748" w:right="493"/>
      </w:pPr>
      <w:r>
        <w:rPr>
          <w:rFonts w:ascii="Book Antiqua"/>
          <w:b/>
          <w:color w:val="231F20"/>
        </w:rPr>
        <w:t>importWorkspaces </w:t>
      </w:r>
      <w:r>
        <w:rPr>
          <w:color w:val="231F20"/>
        </w:rPr>
        <w:t>to import the workspaces definitions in a file into </w:t>
      </w:r>
      <w:r>
        <w:rPr>
          <w:color w:val="231F20"/>
        </w:rPr>
        <w:t>the portal server</w:t>
      </w:r>
    </w:p>
    <w:p>
      <w:pPr>
        <w:pStyle w:val="Heading4"/>
      </w:pPr>
      <w:r>
        <w:rPr>
          <w:color w:val="231F20"/>
        </w:rPr>
        <w:t>Workspace</w:t>
      </w:r>
      <w:r>
        <w:rPr>
          <w:color w:val="231F20"/>
          <w:spacing w:val="-6"/>
        </w:rPr>
        <w:t> </w:t>
      </w:r>
      <w:r>
        <w:rPr>
          <w:color w:val="231F20"/>
        </w:rPr>
        <w:t>Author</w:t>
      </w:r>
      <w:r>
        <w:rPr>
          <w:color w:val="231F20"/>
          <w:spacing w:val="2"/>
        </w:rPr>
        <w:t> </w:t>
      </w:r>
      <w:r>
        <w:rPr>
          <w:color w:val="231F20"/>
        </w:rPr>
        <w:t>Mode</w:t>
      </w:r>
      <w:r>
        <w:rPr>
          <w:color w:val="231F20"/>
          <w:spacing w:val="2"/>
        </w:rPr>
        <w:t> </w:t>
      </w:r>
      <w:r>
        <w:rPr>
          <w:color w:val="231F20"/>
          <w:spacing w:val="-2"/>
        </w:rPr>
        <w:t>permission</w:t>
      </w:r>
    </w:p>
    <w:p>
      <w:pPr>
        <w:pStyle w:val="BodyText"/>
        <w:spacing w:line="213" w:lineRule="auto" w:before="241"/>
        <w:ind w:left="2232" w:right="545"/>
      </w:pPr>
      <w:r>
        <w:rPr>
          <w:color w:val="231F20"/>
        </w:rPr>
        <w:t>Your user ID requires Workspace Author Mode permission to create and maintain workspaces, including links. If the main toolbar is disabled (except Refresh, Back, Forward and Stop), as well as the split and remove buttons on the view title bar, you do not have this permission.</w:t>
      </w:r>
    </w:p>
    <w:p>
      <w:pPr>
        <w:pStyle w:val="BodyText"/>
        <w:spacing w:before="4"/>
        <w:rPr>
          <w:sz w:val="16"/>
        </w:rPr>
      </w:pPr>
      <w:r>
        <w:rPr/>
        <mc:AlternateContent>
          <mc:Choice Requires="wps">
            <w:drawing>
              <wp:anchor distT="0" distB="0" distL="0" distR="0" allowOverlap="1" layoutInCell="1" locked="0" behindDoc="1" simplePos="0" relativeHeight="487655424">
                <wp:simplePos x="0" y="0"/>
                <wp:positionH relativeFrom="page">
                  <wp:posOffset>760323</wp:posOffset>
                </wp:positionH>
                <wp:positionV relativeFrom="paragraph">
                  <wp:posOffset>155374</wp:posOffset>
                </wp:positionV>
                <wp:extent cx="6082665" cy="1270"/>
                <wp:effectExtent l="0" t="0" r="0" b="0"/>
                <wp:wrapTopAndBottom/>
                <wp:docPr id="675" name="Graphic 675"/>
                <wp:cNvGraphicFramePr>
                  <a:graphicFrameLocks/>
                </wp:cNvGraphicFramePr>
                <a:graphic>
                  <a:graphicData uri="http://schemas.microsoft.com/office/word/2010/wordprocessingShape">
                    <wps:wsp>
                      <wps:cNvPr id="675" name="Graphic 67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34216pt;width:478.95pt;height:.1pt;mso-position-horizontal-relative:page;mso-position-vertical-relative:paragraph;z-index:-15661056;mso-wrap-distance-left:0;mso-wrap-distance-right:0" id="docshape105"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Tutorial: Defining a workspace" w:id="115"/>
      <w:bookmarkEnd w:id="115"/>
      <w:r>
        <w:rPr>
          <w:b w:val="0"/>
        </w:rPr>
      </w:r>
      <w:r>
        <w:rPr>
          <w:color w:val="231F20"/>
        </w:rPr>
        <w:t>Tutorial: Defining a </w:t>
      </w:r>
      <w:r>
        <w:rPr>
          <w:color w:val="231F20"/>
          <w:spacing w:val="-2"/>
        </w:rPr>
        <w:t>workspace</w:t>
      </w:r>
    </w:p>
    <w:p>
      <w:pPr>
        <w:pStyle w:val="BodyText"/>
        <w:spacing w:before="115"/>
        <w:ind w:left="2232"/>
      </w:pPr>
      <w:r>
        <w:rPr>
          <w:color w:val="231F20"/>
        </w:rPr>
        <w:t>Use</w:t>
      </w:r>
      <w:r>
        <w:rPr>
          <w:color w:val="231F20"/>
          <w:spacing w:val="11"/>
        </w:rPr>
        <w:t> </w:t>
      </w:r>
      <w:r>
        <w:rPr>
          <w:color w:val="231F20"/>
        </w:rPr>
        <w:t>the</w:t>
      </w:r>
      <w:r>
        <w:rPr>
          <w:color w:val="231F20"/>
          <w:spacing w:val="12"/>
        </w:rPr>
        <w:t> </w:t>
      </w:r>
      <w:r>
        <w:rPr>
          <w:color w:val="231F20"/>
        </w:rPr>
        <w:t>tutorial</w:t>
      </w:r>
      <w:r>
        <w:rPr>
          <w:color w:val="231F20"/>
          <w:spacing w:val="11"/>
        </w:rPr>
        <w:t> </w:t>
      </w:r>
      <w:r>
        <w:rPr>
          <w:color w:val="231F20"/>
        </w:rPr>
        <w:t>to</w:t>
      </w:r>
      <w:r>
        <w:rPr>
          <w:color w:val="231F20"/>
          <w:spacing w:val="12"/>
        </w:rPr>
        <w:t> </w:t>
      </w:r>
      <w:r>
        <w:rPr>
          <w:color w:val="231F20"/>
        </w:rPr>
        <w:t>get</w:t>
      </w:r>
      <w:r>
        <w:rPr>
          <w:color w:val="231F20"/>
          <w:spacing w:val="11"/>
        </w:rPr>
        <w:t> </w:t>
      </w:r>
      <w:r>
        <w:rPr>
          <w:color w:val="231F20"/>
        </w:rPr>
        <w:t>hands</w:t>
      </w:r>
      <w:r>
        <w:rPr>
          <w:color w:val="231F20"/>
          <w:spacing w:val="12"/>
        </w:rPr>
        <w:t> </w:t>
      </w:r>
      <w:r>
        <w:rPr>
          <w:color w:val="231F20"/>
        </w:rPr>
        <w:t>on</w:t>
      </w:r>
      <w:r>
        <w:rPr>
          <w:color w:val="231F20"/>
          <w:spacing w:val="12"/>
        </w:rPr>
        <w:t> </w:t>
      </w:r>
      <w:r>
        <w:rPr>
          <w:color w:val="231F20"/>
        </w:rPr>
        <w:t>practice</w:t>
      </w:r>
      <w:r>
        <w:rPr>
          <w:color w:val="231F20"/>
          <w:spacing w:val="11"/>
        </w:rPr>
        <w:t> </w:t>
      </w:r>
      <w:r>
        <w:rPr>
          <w:color w:val="231F20"/>
        </w:rPr>
        <w:t>and</w:t>
      </w:r>
      <w:r>
        <w:rPr>
          <w:color w:val="231F20"/>
          <w:spacing w:val="12"/>
        </w:rPr>
        <w:t> </w:t>
      </w:r>
      <w:r>
        <w:rPr>
          <w:color w:val="231F20"/>
        </w:rPr>
        <w:t>experience</w:t>
      </w:r>
      <w:r>
        <w:rPr>
          <w:color w:val="231F20"/>
          <w:spacing w:val="11"/>
        </w:rPr>
        <w:t> </w:t>
      </w:r>
      <w:r>
        <w:rPr>
          <w:color w:val="231F20"/>
        </w:rPr>
        <w:t>defining</w:t>
      </w:r>
      <w:r>
        <w:rPr>
          <w:color w:val="231F20"/>
          <w:spacing w:val="12"/>
        </w:rPr>
        <w:t> </w:t>
      </w:r>
      <w:r>
        <w:rPr>
          <w:color w:val="231F20"/>
        </w:rPr>
        <w:t>a</w:t>
      </w:r>
      <w:r>
        <w:rPr>
          <w:color w:val="231F20"/>
          <w:spacing w:val="11"/>
        </w:rPr>
        <w:t> </w:t>
      </w:r>
      <w:r>
        <w:rPr>
          <w:color w:val="231F20"/>
          <w:spacing w:val="-2"/>
        </w:rPr>
        <w:t>workspace.</w:t>
      </w:r>
    </w:p>
    <w:p>
      <w:pPr>
        <w:pStyle w:val="BodyText"/>
        <w:spacing w:line="213" w:lineRule="auto" w:before="232"/>
        <w:ind w:left="2232" w:right="803"/>
        <w:jc w:val="both"/>
      </w:pPr>
      <w:r>
        <w:rPr>
          <w:color w:val="231F20"/>
        </w:rPr>
        <w:t>In the following exercises you will add new views to an undefined workspace, tailor them with the Properties editor, save the workspace, and, finally, edit the workspace properties.</w:t>
      </w:r>
    </w:p>
    <w:p>
      <w:pPr>
        <w:spacing w:after="0" w:line="213" w:lineRule="auto"/>
        <w:jc w:val="both"/>
        <w:sectPr>
          <w:pgSz w:w="12240" w:h="15840"/>
          <w:pgMar w:header="0" w:footer="736" w:top="1180" w:bottom="920" w:left="1000" w:right="1060"/>
        </w:sectPr>
      </w:pPr>
    </w:p>
    <w:p>
      <w:pPr>
        <w:pStyle w:val="BodyText"/>
        <w:spacing w:line="213" w:lineRule="auto" w:before="85"/>
        <w:ind w:left="2472" w:right="274"/>
      </w:pPr>
      <w:bookmarkStart w:name="_bookmark51" w:id="116"/>
      <w:bookmarkEnd w:id="116"/>
      <w:r>
        <w:rPr/>
      </w:r>
      <w:r>
        <w:rPr>
          <w:color w:val="231F20"/>
        </w:rPr>
        <w:t>If the split view and view tools are disabled (dimmed), your user ID does not </w:t>
      </w:r>
      <w:r>
        <w:rPr>
          <w:color w:val="231F20"/>
        </w:rPr>
        <w:t>have</w:t>
      </w:r>
      <w:r>
        <w:rPr>
          <w:color w:val="231F20"/>
          <w:spacing w:val="40"/>
        </w:rPr>
        <w:t> </w:t>
      </w:r>
      <w:r>
        <w:rPr>
          <w:color w:val="231F20"/>
        </w:rPr>
        <w:t>Workspace Author Mode permission and you will not be able to complete this</w:t>
      </w:r>
      <w:r>
        <w:rPr>
          <w:color w:val="231F20"/>
          <w:spacing w:val="40"/>
        </w:rPr>
        <w:t> </w:t>
      </w:r>
      <w:r>
        <w:rPr>
          <w:color w:val="231F20"/>
          <w:spacing w:val="-2"/>
        </w:rPr>
        <w:t>lesson.</w:t>
      </w:r>
    </w:p>
    <w:p>
      <w:pPr>
        <w:pStyle w:val="Heading4"/>
        <w:spacing w:before="199"/>
        <w:ind w:left="2472"/>
      </w:pPr>
      <w:r>
        <w:rPr>
          <w:color w:val="231F20"/>
        </w:rPr>
        <w:t>Split</w:t>
      </w:r>
      <w:r>
        <w:rPr>
          <w:color w:val="231F20"/>
          <w:spacing w:val="9"/>
        </w:rPr>
        <w:t> </w:t>
      </w:r>
      <w:r>
        <w:rPr>
          <w:color w:val="231F20"/>
        </w:rPr>
        <w:t>a</w:t>
      </w:r>
      <w:r>
        <w:rPr>
          <w:color w:val="231F20"/>
          <w:spacing w:val="10"/>
        </w:rPr>
        <w:t> </w:t>
      </w:r>
      <w:r>
        <w:rPr>
          <w:color w:val="231F20"/>
          <w:spacing w:val="-4"/>
        </w:rPr>
        <w:t>view</w:t>
      </w:r>
    </w:p>
    <w:p>
      <w:pPr>
        <w:pStyle w:val="ListParagraph"/>
        <w:numPr>
          <w:ilvl w:val="0"/>
          <w:numId w:val="29"/>
        </w:numPr>
        <w:tabs>
          <w:tab w:pos="2787" w:val="left" w:leader="none"/>
        </w:tabs>
        <w:spacing w:line="240" w:lineRule="auto" w:before="38" w:after="0"/>
        <w:ind w:left="2787" w:right="0" w:hanging="315"/>
        <w:jc w:val="left"/>
        <w:rPr>
          <w:sz w:val="20"/>
        </w:rPr>
      </w:pPr>
      <w:r>
        <w:rPr>
          <w:color w:val="231F20"/>
          <w:sz w:val="20"/>
        </w:rPr>
        <w:t>Open</w:t>
      </w:r>
      <w:r>
        <w:rPr>
          <w:color w:val="231F20"/>
          <w:spacing w:val="10"/>
          <w:sz w:val="20"/>
        </w:rPr>
        <w:t> </w:t>
      </w:r>
      <w:r>
        <w:rPr>
          <w:color w:val="231F20"/>
          <w:sz w:val="20"/>
        </w:rPr>
        <w:t>an</w:t>
      </w:r>
      <w:r>
        <w:rPr>
          <w:color w:val="231F20"/>
          <w:spacing w:val="11"/>
          <w:sz w:val="20"/>
        </w:rPr>
        <w:t> </w:t>
      </w:r>
      <w:r>
        <w:rPr>
          <w:color w:val="231F20"/>
          <w:sz w:val="20"/>
        </w:rPr>
        <w:t>undefined</w:t>
      </w:r>
      <w:r>
        <w:rPr>
          <w:color w:val="231F20"/>
          <w:spacing w:val="10"/>
          <w:sz w:val="20"/>
        </w:rPr>
        <w:t> </w:t>
      </w:r>
      <w:r>
        <w:rPr>
          <w:color w:val="231F20"/>
          <w:spacing w:val="-2"/>
          <w:sz w:val="20"/>
        </w:rPr>
        <w:t>workspace.</w:t>
      </w:r>
    </w:p>
    <w:p>
      <w:pPr>
        <w:pStyle w:val="BodyText"/>
        <w:spacing w:line="213" w:lineRule="auto" w:before="53"/>
        <w:ind w:left="2788" w:right="319"/>
      </w:pPr>
      <w:r>
        <w:rPr>
          <w:color w:val="231F20"/>
        </w:rPr>
        <w:t>An undefined workspace is one that has not been provided with your</w:t>
      </w:r>
      <w:r>
        <w:rPr>
          <w:color w:val="231F20"/>
          <w:spacing w:val="80"/>
        </w:rPr>
        <w:t> </w:t>
      </w:r>
      <w:r>
        <w:rPr>
          <w:color w:val="231F20"/>
        </w:rPr>
        <w:t>monitored application or defined by you or an administrator. You can find undefined workspaces initially at the system level (computer or image name is displayed) of the Navigator Physical view, and, if you have custom Navigator views, wherever you have created child Navigator items. A workspace that </w:t>
      </w:r>
      <w:r>
        <w:rPr>
          <w:color w:val="231F20"/>
        </w:rPr>
        <w:t>has not been defined yet will have a browser view with links to this lesson and</w:t>
      </w:r>
      <w:r>
        <w:rPr>
          <w:color w:val="231F20"/>
          <w:spacing w:val="80"/>
        </w:rPr>
        <w:t> </w:t>
      </w:r>
      <w:r>
        <w:rPr>
          <w:color w:val="231F20"/>
        </w:rPr>
        <w:t>other relevant topics, and it will have a notepad view.</w:t>
      </w:r>
    </w:p>
    <w:p>
      <w:pPr>
        <w:pStyle w:val="ListParagraph"/>
        <w:numPr>
          <w:ilvl w:val="0"/>
          <w:numId w:val="29"/>
        </w:numPr>
        <w:tabs>
          <w:tab w:pos="2787" w:val="left" w:leader="none"/>
        </w:tabs>
        <w:spacing w:line="240" w:lineRule="auto" w:before="32" w:after="0"/>
        <w:ind w:left="2787" w:right="0" w:hanging="315"/>
        <w:jc w:val="left"/>
        <w:rPr>
          <w:sz w:val="20"/>
        </w:rPr>
      </w:pP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notepad</w:t>
      </w:r>
      <w:r>
        <w:rPr>
          <w:color w:val="231F20"/>
          <w:spacing w:val="9"/>
          <w:sz w:val="20"/>
        </w:rPr>
        <w:t> </w:t>
      </w:r>
      <w:r>
        <w:rPr>
          <w:color w:val="231F20"/>
          <w:sz w:val="20"/>
        </w:rPr>
        <w:t>view,</w:t>
      </w:r>
      <w:r>
        <w:rPr>
          <w:color w:val="231F20"/>
          <w:spacing w:val="10"/>
          <w:sz w:val="20"/>
        </w:rPr>
        <w:t> </w:t>
      </w:r>
      <w:r>
        <w:rPr>
          <w:color w:val="231F20"/>
          <w:sz w:val="20"/>
        </w:rPr>
        <w:t>click</w:t>
      </w:r>
      <w:r>
        <w:rPr>
          <w:color w:val="231F20"/>
          <w:spacing w:val="27"/>
          <w:sz w:val="20"/>
        </w:rPr>
        <w:t> </w:t>
      </w:r>
      <w:r>
        <w:rPr>
          <w:color w:val="231F20"/>
          <w:spacing w:val="-15"/>
          <w:position w:val="-1"/>
          <w:sz w:val="20"/>
        </w:rPr>
        <w:drawing>
          <wp:inline distT="0" distB="0" distL="0" distR="0">
            <wp:extent cx="88900" cy="88900"/>
            <wp:effectExtent l="0" t="0" r="0" b="0"/>
            <wp:docPr id="678" name="Image 678"/>
            <wp:cNvGraphicFramePr>
              <a:graphicFrameLocks/>
            </wp:cNvGraphicFramePr>
            <a:graphic>
              <a:graphicData uri="http://schemas.openxmlformats.org/drawingml/2006/picture">
                <pic:pic>
                  <pic:nvPicPr>
                    <pic:cNvPr id="678" name="Image 678"/>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67"/>
          <w:sz w:val="20"/>
        </w:rPr>
        <w:t> </w:t>
      </w:r>
      <w:r>
        <w:rPr>
          <w:rFonts w:ascii="Book Antiqua"/>
          <w:b/>
          <w:color w:val="231F20"/>
          <w:sz w:val="20"/>
        </w:rPr>
        <w:t>Split</w:t>
      </w:r>
      <w:r>
        <w:rPr>
          <w:rFonts w:ascii="Book Antiqua"/>
          <w:b/>
          <w:color w:val="231F20"/>
          <w:spacing w:val="10"/>
          <w:sz w:val="20"/>
        </w:rPr>
        <w:t> </w:t>
      </w:r>
      <w:r>
        <w:rPr>
          <w:rFonts w:ascii="Book Antiqua"/>
          <w:b/>
          <w:color w:val="231F20"/>
          <w:sz w:val="20"/>
        </w:rPr>
        <w:t>Vertically</w:t>
      </w:r>
      <w:r>
        <w:rPr>
          <w:rFonts w:ascii="Book Antiqua"/>
          <w:b/>
          <w:color w:val="231F20"/>
          <w:spacing w:val="9"/>
          <w:sz w:val="20"/>
        </w:rPr>
        <w:t> </w:t>
      </w:r>
      <w:r>
        <w:rPr>
          <w:color w:val="231F20"/>
          <w:sz w:val="20"/>
        </w:rPr>
        <w:t>to</w:t>
      </w:r>
      <w:r>
        <w:rPr>
          <w:color w:val="231F20"/>
          <w:spacing w:val="10"/>
          <w:sz w:val="20"/>
        </w:rPr>
        <w:t> </w:t>
      </w:r>
      <w:r>
        <w:rPr>
          <w:color w:val="231F20"/>
          <w:sz w:val="20"/>
        </w:rPr>
        <w:t>split</w:t>
      </w:r>
      <w:r>
        <w:rPr>
          <w:color w:val="231F20"/>
          <w:spacing w:val="10"/>
          <w:sz w:val="20"/>
        </w:rPr>
        <w:t> </w:t>
      </w:r>
      <w:r>
        <w:rPr>
          <w:color w:val="231F20"/>
          <w:sz w:val="20"/>
        </w:rPr>
        <w:t>it</w:t>
      </w:r>
      <w:r>
        <w:rPr>
          <w:color w:val="231F20"/>
          <w:spacing w:val="9"/>
          <w:sz w:val="20"/>
        </w:rPr>
        <w:t> </w:t>
      </w:r>
      <w:r>
        <w:rPr>
          <w:color w:val="231F20"/>
          <w:sz w:val="20"/>
        </w:rPr>
        <w:t>into</w:t>
      </w:r>
      <w:r>
        <w:rPr>
          <w:color w:val="231F20"/>
          <w:spacing w:val="10"/>
          <w:sz w:val="20"/>
        </w:rPr>
        <w:t> </w:t>
      </w:r>
      <w:r>
        <w:rPr>
          <w:color w:val="231F20"/>
          <w:sz w:val="20"/>
        </w:rPr>
        <w:t>two</w:t>
      </w:r>
      <w:r>
        <w:rPr>
          <w:color w:val="231F20"/>
          <w:spacing w:val="10"/>
          <w:sz w:val="20"/>
        </w:rPr>
        <w:t> </w:t>
      </w:r>
      <w:r>
        <w:rPr>
          <w:color w:val="231F20"/>
          <w:sz w:val="20"/>
        </w:rPr>
        <w:t>separate</w:t>
      </w:r>
      <w:r>
        <w:rPr>
          <w:color w:val="231F20"/>
          <w:spacing w:val="9"/>
          <w:sz w:val="20"/>
        </w:rPr>
        <w:t> </w:t>
      </w:r>
      <w:r>
        <w:rPr>
          <w:color w:val="231F20"/>
          <w:spacing w:val="-2"/>
          <w:sz w:val="20"/>
        </w:rPr>
        <w:t>views.</w:t>
      </w:r>
    </w:p>
    <w:p>
      <w:pPr>
        <w:pStyle w:val="BodyText"/>
        <w:spacing w:line="213" w:lineRule="auto" w:before="53"/>
        <w:ind w:left="2788" w:right="258"/>
      </w:pPr>
      <w:r>
        <w:rPr>
          <w:color w:val="231F20"/>
        </w:rPr>
        <w:t>The</w:t>
      </w:r>
      <w:r>
        <w:rPr>
          <w:color w:val="231F20"/>
          <w:spacing w:val="25"/>
        </w:rPr>
        <w:t> </w:t>
      </w:r>
      <w:r>
        <w:rPr>
          <w:color w:val="231F20"/>
        </w:rPr>
        <w:t>notepad</w:t>
      </w:r>
      <w:r>
        <w:rPr>
          <w:color w:val="231F20"/>
          <w:spacing w:val="25"/>
        </w:rPr>
        <w:t> </w:t>
      </w:r>
      <w:r>
        <w:rPr>
          <w:color w:val="231F20"/>
        </w:rPr>
        <w:t>view</w:t>
      </w:r>
      <w:r>
        <w:rPr>
          <w:color w:val="231F20"/>
          <w:spacing w:val="25"/>
        </w:rPr>
        <w:t> </w:t>
      </w:r>
      <w:r>
        <w:rPr>
          <w:color w:val="231F20"/>
        </w:rPr>
        <w:t>splits</w:t>
      </w:r>
      <w:r>
        <w:rPr>
          <w:color w:val="231F20"/>
          <w:spacing w:val="25"/>
        </w:rPr>
        <w:t> </w:t>
      </w:r>
      <w:r>
        <w:rPr>
          <w:color w:val="231F20"/>
        </w:rPr>
        <w:t>in</w:t>
      </w:r>
      <w:r>
        <w:rPr>
          <w:color w:val="231F20"/>
          <w:spacing w:val="25"/>
        </w:rPr>
        <w:t> </w:t>
      </w:r>
      <w:r>
        <w:rPr>
          <w:color w:val="231F20"/>
        </w:rPr>
        <w:t>half</w:t>
      </w:r>
      <w:r>
        <w:rPr>
          <w:color w:val="231F20"/>
          <w:spacing w:val="25"/>
        </w:rPr>
        <w:t> </w:t>
      </w:r>
      <w:r>
        <w:rPr>
          <w:color w:val="231F20"/>
        </w:rPr>
        <w:t>vertically,</w:t>
      </w:r>
      <w:r>
        <w:rPr>
          <w:color w:val="231F20"/>
          <w:spacing w:val="25"/>
        </w:rPr>
        <w:t> </w:t>
      </w:r>
      <w:r>
        <w:rPr>
          <w:color w:val="231F20"/>
        </w:rPr>
        <w:t>with</w:t>
      </w:r>
      <w:r>
        <w:rPr>
          <w:color w:val="231F20"/>
          <w:spacing w:val="25"/>
        </w:rPr>
        <w:t> </w:t>
      </w:r>
      <w:r>
        <w:rPr>
          <w:color w:val="231F20"/>
        </w:rPr>
        <w:t>a</w:t>
      </w:r>
      <w:r>
        <w:rPr>
          <w:color w:val="231F20"/>
          <w:spacing w:val="25"/>
        </w:rPr>
        <w:t> </w:t>
      </w:r>
      <w:r>
        <w:rPr>
          <w:color w:val="231F20"/>
        </w:rPr>
        <w:t>duplicate</w:t>
      </w:r>
      <w:r>
        <w:rPr>
          <w:color w:val="231F20"/>
          <w:spacing w:val="25"/>
        </w:rPr>
        <w:t> </w:t>
      </w:r>
      <w:r>
        <w:rPr>
          <w:color w:val="231F20"/>
        </w:rPr>
        <w:t>copy</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new view space. Notice that every view in the workspace, including the Navigator, has</w:t>
      </w:r>
      <w:r>
        <w:rPr>
          <w:color w:val="231F20"/>
          <w:spacing w:val="29"/>
        </w:rPr>
        <w:t> </w:t>
      </w:r>
      <w:r>
        <w:rPr>
          <w:color w:val="231F20"/>
          <w:spacing w:val="-14"/>
          <w:position w:val="-1"/>
        </w:rPr>
        <w:drawing>
          <wp:inline distT="0" distB="0" distL="0" distR="0">
            <wp:extent cx="88900" cy="88900"/>
            <wp:effectExtent l="0" t="0" r="0" b="0"/>
            <wp:docPr id="679" name="Image 679"/>
            <wp:cNvGraphicFramePr>
              <a:graphicFrameLocks/>
            </wp:cNvGraphicFramePr>
            <a:graphic>
              <a:graphicData uri="http://schemas.openxmlformats.org/drawingml/2006/picture">
                <pic:pic>
                  <pic:nvPicPr>
                    <pic:cNvPr id="679" name="Image 679"/>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69"/>
        </w:rPr>
        <w:t> </w:t>
      </w:r>
      <w:r>
        <w:rPr>
          <w:color w:val="231F20"/>
        </w:rPr>
        <w:t>and</w:t>
      </w:r>
      <w:r>
        <w:rPr>
          <w:color w:val="231F20"/>
          <w:spacing w:val="29"/>
        </w:rPr>
        <w:t> </w:t>
      </w:r>
      <w:r>
        <w:rPr>
          <w:color w:val="231F20"/>
          <w:spacing w:val="-14"/>
          <w:position w:val="-1"/>
        </w:rPr>
        <w:drawing>
          <wp:inline distT="0" distB="0" distL="0" distR="0">
            <wp:extent cx="88900" cy="88900"/>
            <wp:effectExtent l="0" t="0" r="0" b="0"/>
            <wp:docPr id="680" name="Image 680"/>
            <wp:cNvGraphicFramePr>
              <a:graphicFrameLocks/>
            </wp:cNvGraphicFramePr>
            <a:graphic>
              <a:graphicData uri="http://schemas.openxmlformats.org/drawingml/2006/picture">
                <pic:pic>
                  <pic:nvPicPr>
                    <pic:cNvPr id="680" name="Image 680"/>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69"/>
        </w:rPr>
        <w:t> </w:t>
      </w:r>
      <w:r>
        <w:rPr>
          <w:color w:val="231F20"/>
        </w:rPr>
        <w:t>tools, as well as</w:t>
      </w:r>
      <w:r>
        <w:rPr>
          <w:color w:val="231F20"/>
          <w:spacing w:val="20"/>
        </w:rPr>
        <w:t> </w:t>
      </w:r>
      <w:r>
        <w:rPr>
          <w:color w:val="231F20"/>
          <w:spacing w:val="-24"/>
          <w:position w:val="-1"/>
        </w:rPr>
        <w:drawing>
          <wp:inline distT="0" distB="0" distL="0" distR="0">
            <wp:extent cx="95250" cy="95250"/>
            <wp:effectExtent l="0" t="0" r="0" b="0"/>
            <wp:docPr id="681" name="Image 681"/>
            <wp:cNvGraphicFramePr>
              <a:graphicFrameLocks/>
            </wp:cNvGraphicFramePr>
            <a:graphic>
              <a:graphicData uri="http://schemas.openxmlformats.org/drawingml/2006/picture">
                <pic:pic>
                  <pic:nvPicPr>
                    <pic:cNvPr id="681" name="Image 681"/>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9"/>
        </w:rPr>
        <w:t> </w:t>
      </w:r>
      <w:r>
        <w:rPr>
          <w:color w:val="231F20"/>
        </w:rPr>
        <w:t>(except the Navigator) to delete the view </w:t>
      </w:r>
      <w:r>
        <w:rPr>
          <w:color w:val="231F20"/>
        </w:rPr>
        <w:t>and expand the adjoining view to fill the space.</w:t>
      </w:r>
    </w:p>
    <w:p>
      <w:pPr>
        <w:pStyle w:val="Heading4"/>
        <w:spacing w:before="198"/>
        <w:ind w:left="2472"/>
      </w:pPr>
      <w:r>
        <w:rPr>
          <w:color w:val="231F20"/>
        </w:rPr>
        <w:t>Change</w:t>
      </w:r>
      <w:r>
        <w:rPr>
          <w:color w:val="231F20"/>
          <w:spacing w:val="7"/>
        </w:rPr>
        <w:t> </w:t>
      </w:r>
      <w:r>
        <w:rPr>
          <w:color w:val="231F20"/>
        </w:rPr>
        <w:t>the</w:t>
      </w:r>
      <w:r>
        <w:rPr>
          <w:color w:val="231F20"/>
          <w:spacing w:val="7"/>
        </w:rPr>
        <w:t> </w:t>
      </w:r>
      <w:r>
        <w:rPr>
          <w:color w:val="231F20"/>
        </w:rPr>
        <w:t>view</w:t>
      </w:r>
      <w:r>
        <w:rPr>
          <w:color w:val="231F20"/>
          <w:spacing w:val="7"/>
        </w:rPr>
        <w:t> </w:t>
      </w:r>
      <w:r>
        <w:rPr>
          <w:color w:val="231F20"/>
          <w:spacing w:val="-4"/>
        </w:rPr>
        <w:t>type</w:t>
      </w:r>
    </w:p>
    <w:p>
      <w:pPr>
        <w:pStyle w:val="BodyText"/>
        <w:spacing w:before="218"/>
        <w:ind w:left="2472"/>
      </w:pPr>
      <w:r>
        <w:rPr>
          <w:color w:val="231F20"/>
        </w:rPr>
        <w:t>Change</w:t>
      </w:r>
      <w:r>
        <w:rPr>
          <w:color w:val="231F20"/>
          <w:spacing w:val="12"/>
        </w:rPr>
        <w:t> </w:t>
      </w:r>
      <w:r>
        <w:rPr>
          <w:color w:val="231F20"/>
        </w:rPr>
        <w:t>the</w:t>
      </w:r>
      <w:r>
        <w:rPr>
          <w:color w:val="231F20"/>
          <w:spacing w:val="12"/>
        </w:rPr>
        <w:t> </w:t>
      </w:r>
      <w:r>
        <w:rPr>
          <w:color w:val="231F20"/>
        </w:rPr>
        <w:t>new</w:t>
      </w:r>
      <w:r>
        <w:rPr>
          <w:color w:val="231F20"/>
          <w:spacing w:val="13"/>
        </w:rPr>
        <w:t> </w:t>
      </w:r>
      <w:r>
        <w:rPr>
          <w:color w:val="231F20"/>
        </w:rPr>
        <w:t>view</w:t>
      </w:r>
      <w:r>
        <w:rPr>
          <w:color w:val="231F20"/>
          <w:spacing w:val="12"/>
        </w:rPr>
        <w:t> </w:t>
      </w:r>
      <w:r>
        <w:rPr>
          <w:color w:val="231F20"/>
        </w:rPr>
        <w:t>to</w:t>
      </w:r>
      <w:r>
        <w:rPr>
          <w:color w:val="231F20"/>
          <w:spacing w:val="13"/>
        </w:rPr>
        <w:t> </w:t>
      </w:r>
      <w:r>
        <w:rPr>
          <w:color w:val="231F20"/>
        </w:rPr>
        <w:t>a</w:t>
      </w:r>
      <w:r>
        <w:rPr>
          <w:color w:val="231F20"/>
          <w:spacing w:val="12"/>
        </w:rPr>
        <w:t> </w:t>
      </w:r>
      <w:r>
        <w:rPr>
          <w:color w:val="231F20"/>
        </w:rPr>
        <w:t>table</w:t>
      </w:r>
      <w:r>
        <w:rPr>
          <w:color w:val="231F20"/>
          <w:spacing w:val="13"/>
        </w:rPr>
        <w:t> </w:t>
      </w:r>
      <w:r>
        <w:rPr>
          <w:color w:val="231F20"/>
          <w:spacing w:val="-2"/>
        </w:rPr>
        <w:t>view:</w:t>
      </w:r>
    </w:p>
    <w:p>
      <w:pPr>
        <w:pStyle w:val="ListParagraph"/>
        <w:numPr>
          <w:ilvl w:val="0"/>
          <w:numId w:val="30"/>
        </w:numPr>
        <w:tabs>
          <w:tab w:pos="2854" w:val="left" w:leader="none"/>
        </w:tabs>
        <w:spacing w:line="240" w:lineRule="auto" w:before="30" w:after="0"/>
        <w:ind w:left="2854" w:right="0" w:hanging="382"/>
        <w:jc w:val="left"/>
        <w:rPr>
          <w:sz w:val="20"/>
        </w:rPr>
      </w:pPr>
      <w:r>
        <w:rPr>
          <w:color w:val="231F20"/>
          <w:sz w:val="20"/>
        </w:rPr>
        <w:t>Click</w:t>
      </w:r>
      <w:r>
        <w:rPr>
          <w:color w:val="231F20"/>
          <w:spacing w:val="23"/>
          <w:sz w:val="20"/>
        </w:rPr>
        <w:t> </w:t>
      </w:r>
      <w:r>
        <w:rPr>
          <w:color w:val="231F20"/>
          <w:spacing w:val="-24"/>
          <w:position w:val="-1"/>
          <w:sz w:val="20"/>
        </w:rPr>
        <w:drawing>
          <wp:inline distT="0" distB="0" distL="0" distR="0">
            <wp:extent cx="95250" cy="95250"/>
            <wp:effectExtent l="0" t="0" r="0" b="0"/>
            <wp:docPr id="682" name="Image 682"/>
            <wp:cNvGraphicFramePr>
              <a:graphicFrameLocks/>
            </wp:cNvGraphicFramePr>
            <a:graphic>
              <a:graphicData uri="http://schemas.openxmlformats.org/drawingml/2006/picture">
                <pic:pic>
                  <pic:nvPicPr>
                    <pic:cNvPr id="682" name="Image 682"/>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1"/>
          <w:sz w:val="20"/>
        </w:rPr>
        <w:t> </w:t>
      </w:r>
      <w:r>
        <w:rPr>
          <w:rFonts w:ascii="Book Antiqua"/>
          <w:b/>
          <w:color w:val="231F20"/>
          <w:spacing w:val="-2"/>
          <w:sz w:val="20"/>
        </w:rPr>
        <w:t>Table</w:t>
      </w:r>
      <w:r>
        <w:rPr>
          <w:color w:val="231F20"/>
          <w:spacing w:val="-2"/>
          <w:sz w:val="20"/>
        </w:rPr>
        <w:t>.</w:t>
      </w:r>
    </w:p>
    <w:p>
      <w:pPr>
        <w:pStyle w:val="ListParagraph"/>
        <w:numPr>
          <w:ilvl w:val="0"/>
          <w:numId w:val="30"/>
        </w:numPr>
        <w:tabs>
          <w:tab w:pos="2854" w:val="left" w:leader="none"/>
        </w:tabs>
        <w:spacing w:line="240" w:lineRule="auto" w:before="29" w:after="0"/>
        <w:ind w:left="2854" w:right="0" w:hanging="382"/>
        <w:jc w:val="left"/>
        <w:rPr>
          <w:sz w:val="20"/>
        </w:rPr>
      </w:pPr>
      <w:r>
        <w:rPr>
          <w:color w:val="231F20"/>
          <w:sz w:val="20"/>
        </w:rPr>
        <w:t>Click</w:t>
      </w:r>
      <w:r>
        <w:rPr>
          <w:color w:val="231F20"/>
          <w:spacing w:val="9"/>
          <w:sz w:val="20"/>
        </w:rPr>
        <w:t> </w:t>
      </w:r>
      <w:r>
        <w:rPr>
          <w:color w:val="231F20"/>
          <w:sz w:val="20"/>
        </w:rPr>
        <w:t>inside</w:t>
      </w:r>
      <w:r>
        <w:rPr>
          <w:color w:val="231F20"/>
          <w:spacing w:val="11"/>
          <w:sz w:val="20"/>
        </w:rPr>
        <w:t> </w:t>
      </w:r>
      <w:r>
        <w:rPr>
          <w:color w:val="231F20"/>
          <w:sz w:val="20"/>
        </w:rPr>
        <w:t>the</w:t>
      </w:r>
      <w:r>
        <w:rPr>
          <w:color w:val="231F20"/>
          <w:spacing w:val="11"/>
          <w:sz w:val="20"/>
        </w:rPr>
        <w:t> </w:t>
      </w:r>
      <w:r>
        <w:rPr>
          <w:color w:val="231F20"/>
          <w:sz w:val="20"/>
        </w:rPr>
        <w:t>notepad</w:t>
      </w:r>
      <w:r>
        <w:rPr>
          <w:color w:val="231F20"/>
          <w:spacing w:val="11"/>
          <w:sz w:val="20"/>
        </w:rPr>
        <w:t> </w:t>
      </w:r>
      <w:r>
        <w:rPr>
          <w:color w:val="231F20"/>
          <w:spacing w:val="-4"/>
          <w:sz w:val="20"/>
        </w:rPr>
        <w:t>view.</w:t>
      </w:r>
    </w:p>
    <w:p>
      <w:pPr>
        <w:pStyle w:val="BodyText"/>
        <w:spacing w:line="213" w:lineRule="auto" w:before="53"/>
        <w:ind w:left="2788" w:right="274"/>
      </w:pPr>
      <w:r>
        <w:rPr>
          <w:color w:val="231F20"/>
        </w:rPr>
        <w:t>As</w:t>
      </w:r>
      <w:r>
        <w:rPr>
          <w:color w:val="231F20"/>
          <w:spacing w:val="28"/>
        </w:rPr>
        <w:t> </w:t>
      </w:r>
      <w:r>
        <w:rPr>
          <w:color w:val="231F20"/>
        </w:rPr>
        <w:t>you</w:t>
      </w:r>
      <w:r>
        <w:rPr>
          <w:color w:val="231F20"/>
          <w:spacing w:val="28"/>
        </w:rPr>
        <w:t> </w:t>
      </w:r>
      <w:r>
        <w:rPr>
          <w:color w:val="231F20"/>
        </w:rPr>
        <w:t>move</w:t>
      </w:r>
      <w:r>
        <w:rPr>
          <w:color w:val="231F20"/>
          <w:spacing w:val="28"/>
        </w:rPr>
        <w:t> </w:t>
      </w:r>
      <w:r>
        <w:rPr>
          <w:color w:val="231F20"/>
        </w:rPr>
        <w:t>inside</w:t>
      </w:r>
      <w:r>
        <w:rPr>
          <w:color w:val="231F20"/>
          <w:spacing w:val="28"/>
        </w:rPr>
        <w:t> </w:t>
      </w:r>
      <w:r>
        <w:rPr>
          <w:color w:val="231F20"/>
        </w:rPr>
        <w:t>the</w:t>
      </w:r>
      <w:r>
        <w:rPr>
          <w:color w:val="231F20"/>
          <w:spacing w:val="28"/>
        </w:rPr>
        <w:t> </w:t>
      </w:r>
      <w:r>
        <w:rPr>
          <w:color w:val="231F20"/>
        </w:rPr>
        <w:t>workspace</w:t>
      </w:r>
      <w:r>
        <w:rPr>
          <w:color w:val="231F20"/>
          <w:spacing w:val="28"/>
        </w:rPr>
        <w:t> </w:t>
      </w:r>
      <w:r>
        <w:rPr>
          <w:color w:val="231F20"/>
        </w:rPr>
        <w:t>the</w:t>
      </w:r>
      <w:r>
        <w:rPr>
          <w:color w:val="231F20"/>
          <w:spacing w:val="28"/>
        </w:rPr>
        <w:t> </w:t>
      </w:r>
      <w:r>
        <w:rPr>
          <w:color w:val="231F20"/>
        </w:rPr>
        <w:t>mouse</w:t>
      </w:r>
      <w:r>
        <w:rPr>
          <w:color w:val="231F20"/>
          <w:spacing w:val="28"/>
        </w:rPr>
        <w:t> </w:t>
      </w:r>
      <w:r>
        <w:rPr>
          <w:color w:val="231F20"/>
        </w:rPr>
        <w:t>pointer</w:t>
      </w:r>
      <w:r>
        <w:rPr>
          <w:color w:val="231F20"/>
          <w:spacing w:val="28"/>
        </w:rPr>
        <w:t> </w:t>
      </w:r>
      <w:r>
        <w:rPr>
          <w:color w:val="231F20"/>
        </w:rPr>
        <w:t>changes</w:t>
      </w:r>
      <w:r>
        <w:rPr>
          <w:color w:val="231F20"/>
          <w:spacing w:val="28"/>
        </w:rPr>
        <w:t> </w:t>
      </w:r>
      <w:r>
        <w:rPr>
          <w:color w:val="231F20"/>
        </w:rPr>
        <w:t>to</w:t>
      </w:r>
      <w:r>
        <w:rPr>
          <w:color w:val="231F20"/>
          <w:spacing w:val="28"/>
        </w:rPr>
        <w:t> </w:t>
      </w:r>
      <w:r>
        <w:rPr>
          <w:color w:val="231F20"/>
        </w:rPr>
        <w:t>the</w:t>
      </w:r>
      <w:r>
        <w:rPr>
          <w:color w:val="231F20"/>
          <w:spacing w:val="28"/>
        </w:rPr>
        <w:t> </w:t>
      </w:r>
      <w:r>
        <w:rPr>
          <w:color w:val="231F20"/>
        </w:rPr>
        <w:t>table view icon (Linux shows a hand icon). After you click, the new table view</w:t>
      </w:r>
      <w:r>
        <w:rPr>
          <w:color w:val="231F20"/>
          <w:spacing w:val="40"/>
        </w:rPr>
        <w:t> </w:t>
      </w:r>
      <w:r>
        <w:rPr>
          <w:color w:val="231F20"/>
        </w:rPr>
        <w:t>replaces the notepad view. Because a query has never been associated with this view, no data is displayed in the table. You will need to select a query from the Properties editor.</w:t>
      </w:r>
    </w:p>
    <w:p>
      <w:pPr>
        <w:pStyle w:val="ListParagraph"/>
        <w:numPr>
          <w:ilvl w:val="0"/>
          <w:numId w:val="30"/>
        </w:numPr>
        <w:tabs>
          <w:tab w:pos="2854" w:val="left" w:leader="none"/>
        </w:tabs>
        <w:spacing w:line="240" w:lineRule="auto" w:before="33" w:after="0"/>
        <w:ind w:left="2854" w:right="0" w:hanging="382"/>
        <w:jc w:val="left"/>
        <w:rPr>
          <w:sz w:val="20"/>
        </w:rPr>
      </w:pPr>
      <w:r>
        <w:rPr>
          <w:color w:val="231F20"/>
          <w:sz w:val="20"/>
        </w:rPr>
        <w:t>When</w:t>
      </w:r>
      <w:r>
        <w:rPr>
          <w:color w:val="231F20"/>
          <w:spacing w:val="10"/>
          <w:sz w:val="20"/>
        </w:rPr>
        <w:t> </w:t>
      </w:r>
      <w:r>
        <w:rPr>
          <w:color w:val="231F20"/>
          <w:sz w:val="20"/>
        </w:rPr>
        <w:t>a</w:t>
      </w:r>
      <w:r>
        <w:rPr>
          <w:color w:val="231F20"/>
          <w:spacing w:val="10"/>
          <w:sz w:val="20"/>
        </w:rPr>
        <w:t> </w:t>
      </w:r>
      <w:r>
        <w:rPr>
          <w:color w:val="231F20"/>
          <w:sz w:val="20"/>
        </w:rPr>
        <w:t>message</w:t>
      </w:r>
      <w:r>
        <w:rPr>
          <w:color w:val="231F20"/>
          <w:spacing w:val="10"/>
          <w:sz w:val="20"/>
        </w:rPr>
        <w:t> </w:t>
      </w:r>
      <w:r>
        <w:rPr>
          <w:color w:val="231F20"/>
          <w:sz w:val="20"/>
        </w:rPr>
        <w:t>asks</w:t>
      </w:r>
      <w:r>
        <w:rPr>
          <w:color w:val="231F20"/>
          <w:spacing w:val="10"/>
          <w:sz w:val="20"/>
        </w:rPr>
        <w:t> </w:t>
      </w:r>
      <w:r>
        <w:rPr>
          <w:color w:val="231F20"/>
          <w:sz w:val="20"/>
        </w:rPr>
        <w:t>you</w:t>
      </w:r>
      <w:r>
        <w:rPr>
          <w:color w:val="231F20"/>
          <w:spacing w:val="11"/>
          <w:sz w:val="20"/>
        </w:rPr>
        <w:t> </w:t>
      </w:r>
      <w:r>
        <w:rPr>
          <w:color w:val="231F20"/>
          <w:sz w:val="20"/>
        </w:rPr>
        <w:t>to</w:t>
      </w:r>
      <w:r>
        <w:rPr>
          <w:color w:val="231F20"/>
          <w:spacing w:val="10"/>
          <w:sz w:val="20"/>
        </w:rPr>
        <w:t> </w:t>
      </w:r>
      <w:r>
        <w:rPr>
          <w:color w:val="231F20"/>
          <w:sz w:val="20"/>
        </w:rPr>
        <w:t>assign</w:t>
      </w:r>
      <w:r>
        <w:rPr>
          <w:color w:val="231F20"/>
          <w:spacing w:val="10"/>
          <w:sz w:val="20"/>
        </w:rPr>
        <w:t> </w:t>
      </w:r>
      <w:r>
        <w:rPr>
          <w:color w:val="231F20"/>
          <w:sz w:val="20"/>
        </w:rPr>
        <w:t>the</w:t>
      </w:r>
      <w:r>
        <w:rPr>
          <w:color w:val="231F20"/>
          <w:spacing w:val="10"/>
          <w:sz w:val="20"/>
        </w:rPr>
        <w:t> </w:t>
      </w:r>
      <w:r>
        <w:rPr>
          <w:color w:val="231F20"/>
          <w:sz w:val="20"/>
        </w:rPr>
        <w:t>query</w:t>
      </w:r>
      <w:r>
        <w:rPr>
          <w:color w:val="231F20"/>
          <w:spacing w:val="10"/>
          <w:sz w:val="20"/>
        </w:rPr>
        <w:t> </w:t>
      </w:r>
      <w:r>
        <w:rPr>
          <w:color w:val="231F20"/>
          <w:sz w:val="20"/>
        </w:rPr>
        <w:t>now,</w:t>
      </w:r>
      <w:r>
        <w:rPr>
          <w:color w:val="231F20"/>
          <w:spacing w:val="11"/>
          <w:sz w:val="20"/>
        </w:rPr>
        <w:t> </w:t>
      </w:r>
      <w:r>
        <w:rPr>
          <w:color w:val="231F20"/>
          <w:sz w:val="20"/>
        </w:rPr>
        <w:t>click</w:t>
      </w:r>
      <w:r>
        <w:rPr>
          <w:color w:val="231F20"/>
          <w:spacing w:val="10"/>
          <w:sz w:val="20"/>
        </w:rPr>
        <w:t> </w:t>
      </w:r>
      <w:r>
        <w:rPr>
          <w:rFonts w:ascii="Book Antiqua"/>
          <w:b/>
          <w:color w:val="231F20"/>
          <w:spacing w:val="-5"/>
          <w:sz w:val="20"/>
        </w:rPr>
        <w:t>No</w:t>
      </w:r>
      <w:r>
        <w:rPr>
          <w:color w:val="231F20"/>
          <w:spacing w:val="-5"/>
          <w:sz w:val="20"/>
        </w:rPr>
        <w:t>.</w:t>
      </w:r>
    </w:p>
    <w:p>
      <w:pPr>
        <w:pStyle w:val="BodyText"/>
        <w:spacing w:before="209"/>
        <w:ind w:left="2472"/>
      </w:pPr>
      <w:r>
        <w:rPr>
          <w:color w:val="231F20"/>
        </w:rPr>
        <w:t>Now</w:t>
      </w:r>
      <w:r>
        <w:rPr>
          <w:color w:val="231F20"/>
          <w:spacing w:val="11"/>
        </w:rPr>
        <w:t> </w:t>
      </w:r>
      <w:r>
        <w:rPr>
          <w:color w:val="231F20"/>
        </w:rPr>
        <w:t>add</w:t>
      </w:r>
      <w:r>
        <w:rPr>
          <w:color w:val="231F20"/>
          <w:spacing w:val="12"/>
        </w:rPr>
        <w:t> </w:t>
      </w:r>
      <w:r>
        <w:rPr>
          <w:color w:val="231F20"/>
        </w:rPr>
        <w:t>a</w:t>
      </w:r>
      <w:r>
        <w:rPr>
          <w:color w:val="231F20"/>
          <w:spacing w:val="12"/>
        </w:rPr>
        <w:t> </w:t>
      </w:r>
      <w:r>
        <w:rPr>
          <w:color w:val="231F20"/>
        </w:rPr>
        <w:t>message</w:t>
      </w:r>
      <w:r>
        <w:rPr>
          <w:color w:val="231F20"/>
          <w:spacing w:val="12"/>
        </w:rPr>
        <w:t> </w:t>
      </w:r>
      <w:r>
        <w:rPr>
          <w:color w:val="231F20"/>
        </w:rPr>
        <w:t>log</w:t>
      </w:r>
      <w:r>
        <w:rPr>
          <w:color w:val="231F20"/>
          <w:spacing w:val="11"/>
        </w:rPr>
        <w:t> </w:t>
      </w:r>
      <w:r>
        <w:rPr>
          <w:color w:val="231F20"/>
        </w:rPr>
        <w:t>view</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original</w:t>
      </w:r>
      <w:r>
        <w:rPr>
          <w:color w:val="231F20"/>
          <w:spacing w:val="12"/>
        </w:rPr>
        <w:t> </w:t>
      </w:r>
      <w:r>
        <w:rPr>
          <w:color w:val="231F20"/>
        </w:rPr>
        <w:t>notepad</w:t>
      </w:r>
      <w:r>
        <w:rPr>
          <w:color w:val="231F20"/>
          <w:spacing w:val="11"/>
        </w:rPr>
        <w:t> </w:t>
      </w:r>
      <w:r>
        <w:rPr>
          <w:color w:val="231F20"/>
          <w:spacing w:val="-2"/>
        </w:rPr>
        <w:t>view:</w:t>
      </w:r>
    </w:p>
    <w:p>
      <w:pPr>
        <w:pStyle w:val="ListParagraph"/>
        <w:numPr>
          <w:ilvl w:val="0"/>
          <w:numId w:val="31"/>
        </w:numPr>
        <w:tabs>
          <w:tab w:pos="2854" w:val="left" w:leader="none"/>
        </w:tabs>
        <w:spacing w:line="240" w:lineRule="auto" w:before="30" w:after="0"/>
        <w:ind w:left="2854" w:right="0" w:hanging="382"/>
        <w:jc w:val="left"/>
        <w:rPr>
          <w:sz w:val="20"/>
        </w:rPr>
      </w:pPr>
      <w:r>
        <w:rPr>
          <w:color w:val="231F20"/>
          <w:sz w:val="20"/>
        </w:rPr>
        <w:t>Click</w:t>
      </w:r>
      <w:r>
        <w:rPr>
          <w:color w:val="231F20"/>
          <w:spacing w:val="8"/>
          <w:sz w:val="20"/>
        </w:rPr>
        <w:t> </w:t>
      </w:r>
      <w:r>
        <w:rPr>
          <w:color w:val="231F20"/>
          <w:spacing w:val="16"/>
          <w:position w:val="-1"/>
          <w:sz w:val="20"/>
        </w:rPr>
        <w:drawing>
          <wp:inline distT="0" distB="0" distL="0" distR="0">
            <wp:extent cx="101600" cy="101600"/>
            <wp:effectExtent l="0" t="0" r="0" b="0"/>
            <wp:docPr id="683" name="Image 683"/>
            <wp:cNvGraphicFramePr>
              <a:graphicFrameLocks/>
            </wp:cNvGraphicFramePr>
            <a:graphic>
              <a:graphicData uri="http://schemas.openxmlformats.org/drawingml/2006/picture">
                <pic:pic>
                  <pic:nvPicPr>
                    <pic:cNvPr id="683" name="Image 683"/>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Message</w:t>
      </w:r>
      <w:r>
        <w:rPr>
          <w:rFonts w:ascii="Book Antiqua"/>
          <w:b/>
          <w:color w:val="231F20"/>
          <w:spacing w:val="11"/>
          <w:sz w:val="20"/>
        </w:rPr>
        <w:t> </w:t>
      </w:r>
      <w:r>
        <w:rPr>
          <w:rFonts w:ascii="Book Antiqua"/>
          <w:b/>
          <w:color w:val="231F20"/>
          <w:spacing w:val="-4"/>
          <w:sz w:val="20"/>
        </w:rPr>
        <w:t>Log</w:t>
      </w:r>
      <w:r>
        <w:rPr>
          <w:color w:val="231F20"/>
          <w:spacing w:val="-4"/>
          <w:sz w:val="20"/>
        </w:rPr>
        <w:t>.</w:t>
      </w:r>
    </w:p>
    <w:p>
      <w:pPr>
        <w:pStyle w:val="ListParagraph"/>
        <w:numPr>
          <w:ilvl w:val="0"/>
          <w:numId w:val="31"/>
        </w:numPr>
        <w:tabs>
          <w:tab w:pos="2854" w:val="left" w:leader="none"/>
        </w:tabs>
        <w:spacing w:line="240" w:lineRule="auto" w:before="29" w:after="0"/>
        <w:ind w:left="2854" w:right="0" w:hanging="382"/>
        <w:jc w:val="left"/>
        <w:rPr>
          <w:sz w:val="20"/>
        </w:rPr>
      </w:pPr>
      <w:r>
        <w:rPr>
          <w:color w:val="231F20"/>
          <w:sz w:val="20"/>
        </w:rPr>
        <w:t>Click</w:t>
      </w:r>
      <w:r>
        <w:rPr>
          <w:color w:val="231F20"/>
          <w:spacing w:val="9"/>
          <w:sz w:val="20"/>
        </w:rPr>
        <w:t> </w:t>
      </w:r>
      <w:r>
        <w:rPr>
          <w:color w:val="231F20"/>
          <w:sz w:val="20"/>
        </w:rPr>
        <w:t>inside</w:t>
      </w:r>
      <w:r>
        <w:rPr>
          <w:color w:val="231F20"/>
          <w:spacing w:val="11"/>
          <w:sz w:val="20"/>
        </w:rPr>
        <w:t> </w:t>
      </w:r>
      <w:r>
        <w:rPr>
          <w:color w:val="231F20"/>
          <w:sz w:val="20"/>
        </w:rPr>
        <w:t>the</w:t>
      </w:r>
      <w:r>
        <w:rPr>
          <w:color w:val="231F20"/>
          <w:spacing w:val="11"/>
          <w:sz w:val="20"/>
        </w:rPr>
        <w:t> </w:t>
      </w:r>
      <w:r>
        <w:rPr>
          <w:color w:val="231F20"/>
          <w:sz w:val="20"/>
        </w:rPr>
        <w:t>notepad</w:t>
      </w:r>
      <w:r>
        <w:rPr>
          <w:color w:val="231F20"/>
          <w:spacing w:val="11"/>
          <w:sz w:val="20"/>
        </w:rPr>
        <w:t> </w:t>
      </w:r>
      <w:r>
        <w:rPr>
          <w:color w:val="231F20"/>
          <w:spacing w:val="-4"/>
          <w:sz w:val="20"/>
        </w:rPr>
        <w:t>view.</w:t>
      </w:r>
    </w:p>
    <w:p>
      <w:pPr>
        <w:pStyle w:val="BodyText"/>
        <w:spacing w:before="30"/>
        <w:ind w:left="2788"/>
        <w:jc w:val="both"/>
      </w:pPr>
      <w:r>
        <w:rPr>
          <w:color w:val="231F20"/>
        </w:rPr>
        <w:t>The</w:t>
      </w:r>
      <w:r>
        <w:rPr>
          <w:color w:val="231F20"/>
          <w:spacing w:val="10"/>
        </w:rPr>
        <w:t> </w:t>
      </w:r>
      <w:r>
        <w:rPr>
          <w:color w:val="231F20"/>
        </w:rPr>
        <w:t>message</w:t>
      </w:r>
      <w:r>
        <w:rPr>
          <w:color w:val="231F20"/>
          <w:spacing w:val="10"/>
        </w:rPr>
        <w:t> </w:t>
      </w:r>
      <w:r>
        <w:rPr>
          <w:color w:val="231F20"/>
        </w:rPr>
        <w:t>log</w:t>
      </w:r>
      <w:r>
        <w:rPr>
          <w:color w:val="231F20"/>
          <w:spacing w:val="10"/>
        </w:rPr>
        <w:t> </w:t>
      </w:r>
      <w:r>
        <w:rPr>
          <w:color w:val="231F20"/>
        </w:rPr>
        <w:t>replaces</w:t>
      </w:r>
      <w:r>
        <w:rPr>
          <w:color w:val="231F20"/>
          <w:spacing w:val="10"/>
        </w:rPr>
        <w:t> </w:t>
      </w:r>
      <w:r>
        <w:rPr>
          <w:color w:val="231F20"/>
        </w:rPr>
        <w:t>the</w:t>
      </w:r>
      <w:r>
        <w:rPr>
          <w:color w:val="231F20"/>
          <w:spacing w:val="10"/>
        </w:rPr>
        <w:t> </w:t>
      </w:r>
      <w:r>
        <w:rPr>
          <w:color w:val="231F20"/>
        </w:rPr>
        <w:t>notepad</w:t>
      </w:r>
      <w:r>
        <w:rPr>
          <w:color w:val="231F20"/>
          <w:spacing w:val="11"/>
        </w:rPr>
        <w:t> </w:t>
      </w:r>
      <w:r>
        <w:rPr>
          <w:color w:val="231F20"/>
          <w:spacing w:val="-2"/>
        </w:rPr>
        <w:t>view.</w:t>
      </w:r>
    </w:p>
    <w:p>
      <w:pPr>
        <w:pStyle w:val="BodyText"/>
        <w:spacing w:line="213" w:lineRule="auto" w:before="232"/>
        <w:ind w:left="2472" w:right="274"/>
      </w:pPr>
      <w:r>
        <w:rPr>
          <w:rFonts w:ascii="Book Antiqua"/>
          <w:b/>
          <w:color w:val="231F20"/>
        </w:rPr>
        <w:t>Tip: </w:t>
      </w:r>
      <w:r>
        <w:rPr>
          <w:color w:val="231F20"/>
        </w:rPr>
        <w:t>If you select the wrong view or change your mind about the view you chose,</w:t>
      </w:r>
      <w:r>
        <w:rPr>
          <w:color w:val="231F20"/>
          <w:spacing w:val="40"/>
        </w:rPr>
        <w:t> </w:t>
      </w:r>
      <w:r>
        <w:rPr>
          <w:color w:val="231F20"/>
        </w:rPr>
        <w:t>press Escape or click somewhere in the toolbar.</w:t>
      </w:r>
    </w:p>
    <w:p>
      <w:pPr>
        <w:pStyle w:val="Heading4"/>
        <w:ind w:left="2472"/>
      </w:pPr>
      <w:r>
        <w:rPr>
          <w:color w:val="231F20"/>
        </w:rPr>
        <w:t>Swap</w:t>
      </w:r>
      <w:r>
        <w:rPr>
          <w:color w:val="231F20"/>
          <w:spacing w:val="6"/>
        </w:rPr>
        <w:t> </w:t>
      </w:r>
      <w:r>
        <w:rPr>
          <w:color w:val="231F20"/>
          <w:spacing w:val="-2"/>
        </w:rPr>
        <w:t>views</w:t>
      </w:r>
    </w:p>
    <w:p>
      <w:pPr>
        <w:pStyle w:val="BodyText"/>
        <w:spacing w:line="213" w:lineRule="auto" w:before="241"/>
        <w:ind w:left="2472" w:right="286"/>
        <w:jc w:val="both"/>
      </w:pPr>
      <w:r>
        <w:rPr>
          <w:color w:val="231F20"/>
        </w:rPr>
        <w:t>You can easily move a view to a new position by dragging it by its title bar to the view space it should occupy. When you release the mouse button, the views swap </w:t>
      </w:r>
      <w:r>
        <w:rPr>
          <w:color w:val="231F20"/>
          <w:spacing w:val="-2"/>
        </w:rPr>
        <w:t>position.</w:t>
      </w:r>
    </w:p>
    <w:p>
      <w:pPr>
        <w:pStyle w:val="ListParagraph"/>
        <w:numPr>
          <w:ilvl w:val="0"/>
          <w:numId w:val="32"/>
        </w:numPr>
        <w:tabs>
          <w:tab w:pos="2853" w:val="left" w:leader="none"/>
        </w:tabs>
        <w:spacing w:line="240" w:lineRule="auto" w:before="35" w:after="0"/>
        <w:ind w:left="2853" w:right="0" w:hanging="381"/>
        <w:jc w:val="both"/>
        <w:rPr>
          <w:sz w:val="20"/>
        </w:rPr>
      </w:pPr>
      <w:r>
        <w:rPr>
          <w:color w:val="231F20"/>
          <w:sz w:val="20"/>
        </w:rPr>
        <w:t>Point</w:t>
      </w:r>
      <w:r>
        <w:rPr>
          <w:color w:val="231F20"/>
          <w:spacing w:val="11"/>
          <w:sz w:val="20"/>
        </w:rPr>
        <w:t> </w:t>
      </w:r>
      <w:r>
        <w:rPr>
          <w:color w:val="231F20"/>
          <w:sz w:val="20"/>
        </w:rPr>
        <w:t>to</w:t>
      </w:r>
      <w:r>
        <w:rPr>
          <w:color w:val="231F20"/>
          <w:spacing w:val="12"/>
          <w:sz w:val="20"/>
        </w:rPr>
        <w:t> </w:t>
      </w:r>
      <w:r>
        <w:rPr>
          <w:color w:val="231F20"/>
          <w:sz w:val="20"/>
        </w:rPr>
        <w:t>the</w:t>
      </w:r>
      <w:r>
        <w:rPr>
          <w:color w:val="231F20"/>
          <w:spacing w:val="12"/>
          <w:sz w:val="20"/>
        </w:rPr>
        <w:t> </w:t>
      </w:r>
      <w:r>
        <w:rPr>
          <w:color w:val="231F20"/>
          <w:sz w:val="20"/>
        </w:rPr>
        <w:t>message</w:t>
      </w:r>
      <w:r>
        <w:rPr>
          <w:color w:val="231F20"/>
          <w:spacing w:val="12"/>
          <w:sz w:val="20"/>
        </w:rPr>
        <w:t> </w:t>
      </w:r>
      <w:r>
        <w:rPr>
          <w:color w:val="231F20"/>
          <w:sz w:val="20"/>
        </w:rPr>
        <w:t>log</w:t>
      </w:r>
      <w:r>
        <w:rPr>
          <w:color w:val="231F20"/>
          <w:spacing w:val="12"/>
          <w:sz w:val="20"/>
        </w:rPr>
        <w:t> </w:t>
      </w:r>
      <w:r>
        <w:rPr>
          <w:color w:val="231F20"/>
          <w:sz w:val="20"/>
        </w:rPr>
        <w:t>view's</w:t>
      </w:r>
      <w:r>
        <w:rPr>
          <w:color w:val="231F20"/>
          <w:spacing w:val="12"/>
          <w:sz w:val="20"/>
        </w:rPr>
        <w:t> </w:t>
      </w:r>
      <w:r>
        <w:rPr>
          <w:color w:val="231F20"/>
          <w:sz w:val="20"/>
        </w:rPr>
        <w:t>title</w:t>
      </w:r>
      <w:r>
        <w:rPr>
          <w:color w:val="231F20"/>
          <w:spacing w:val="12"/>
          <w:sz w:val="20"/>
        </w:rPr>
        <w:t> </w:t>
      </w:r>
      <w:r>
        <w:rPr>
          <w:color w:val="231F20"/>
          <w:spacing w:val="-4"/>
          <w:sz w:val="20"/>
        </w:rPr>
        <w:t>bar.</w:t>
      </w:r>
    </w:p>
    <w:p>
      <w:pPr>
        <w:pStyle w:val="ListParagraph"/>
        <w:numPr>
          <w:ilvl w:val="0"/>
          <w:numId w:val="32"/>
        </w:numPr>
        <w:tabs>
          <w:tab w:pos="2853" w:val="left" w:leader="none"/>
        </w:tabs>
        <w:spacing w:line="240" w:lineRule="auto" w:before="30" w:after="0"/>
        <w:ind w:left="2853" w:right="0" w:hanging="381"/>
        <w:jc w:val="both"/>
        <w:rPr>
          <w:sz w:val="20"/>
        </w:rPr>
      </w:pPr>
      <w:r>
        <w:rPr>
          <w:color w:val="231F20"/>
          <w:sz w:val="20"/>
        </w:rPr>
        <w:t>Click</w:t>
      </w:r>
      <w:r>
        <w:rPr>
          <w:color w:val="231F20"/>
          <w:spacing w:val="12"/>
          <w:sz w:val="20"/>
        </w:rPr>
        <w:t> </w:t>
      </w:r>
      <w:r>
        <w:rPr>
          <w:color w:val="231F20"/>
          <w:sz w:val="20"/>
        </w:rPr>
        <w:t>and</w:t>
      </w:r>
      <w:r>
        <w:rPr>
          <w:color w:val="231F20"/>
          <w:spacing w:val="13"/>
          <w:sz w:val="20"/>
        </w:rPr>
        <w:t> </w:t>
      </w:r>
      <w:r>
        <w:rPr>
          <w:color w:val="231F20"/>
          <w:sz w:val="20"/>
        </w:rPr>
        <w:t>drag</w:t>
      </w:r>
      <w:r>
        <w:rPr>
          <w:color w:val="231F20"/>
          <w:spacing w:val="13"/>
          <w:sz w:val="20"/>
        </w:rPr>
        <w:t> </w:t>
      </w:r>
      <w:r>
        <w:rPr>
          <w:color w:val="231F20"/>
          <w:sz w:val="20"/>
        </w:rPr>
        <w:t>it</w:t>
      </w:r>
      <w:r>
        <w:rPr>
          <w:color w:val="231F20"/>
          <w:spacing w:val="13"/>
          <w:sz w:val="20"/>
        </w:rPr>
        <w:t> </w:t>
      </w:r>
      <w:r>
        <w:rPr>
          <w:color w:val="231F20"/>
          <w:sz w:val="20"/>
        </w:rPr>
        <w:t>to</w:t>
      </w:r>
      <w:r>
        <w:rPr>
          <w:color w:val="231F20"/>
          <w:spacing w:val="13"/>
          <w:sz w:val="20"/>
        </w:rPr>
        <w:t> </w:t>
      </w:r>
      <w:r>
        <w:rPr>
          <w:color w:val="231F20"/>
          <w:sz w:val="20"/>
        </w:rPr>
        <w:t>the</w:t>
      </w:r>
      <w:r>
        <w:rPr>
          <w:color w:val="231F20"/>
          <w:spacing w:val="13"/>
          <w:sz w:val="20"/>
        </w:rPr>
        <w:t> </w:t>
      </w:r>
      <w:r>
        <w:rPr>
          <w:color w:val="231F20"/>
          <w:sz w:val="20"/>
        </w:rPr>
        <w:t>table</w:t>
      </w:r>
      <w:r>
        <w:rPr>
          <w:color w:val="231F20"/>
          <w:spacing w:val="12"/>
          <w:sz w:val="20"/>
        </w:rPr>
        <w:t> </w:t>
      </w:r>
      <w:r>
        <w:rPr>
          <w:color w:val="231F20"/>
          <w:spacing w:val="-4"/>
          <w:sz w:val="20"/>
        </w:rPr>
        <w:t>view.</w:t>
      </w:r>
    </w:p>
    <w:p>
      <w:pPr>
        <w:pStyle w:val="BodyText"/>
        <w:spacing w:before="29"/>
        <w:ind w:left="2788"/>
        <w:jc w:val="both"/>
      </w:pPr>
      <w:r>
        <w:rPr>
          <w:color w:val="231F20"/>
        </w:rPr>
        <w:t>As</w:t>
      </w:r>
      <w:r>
        <w:rPr>
          <w:color w:val="231F20"/>
          <w:spacing w:val="8"/>
        </w:rPr>
        <w:t> </w:t>
      </w:r>
      <w:r>
        <w:rPr>
          <w:color w:val="231F20"/>
        </w:rPr>
        <w:t>you</w:t>
      </w:r>
      <w:r>
        <w:rPr>
          <w:color w:val="231F20"/>
          <w:spacing w:val="9"/>
        </w:rPr>
        <w:t> </w:t>
      </w:r>
      <w:r>
        <w:rPr>
          <w:color w:val="231F20"/>
        </w:rPr>
        <w:t>drag</w:t>
      </w:r>
      <w:r>
        <w:rPr>
          <w:color w:val="231F20"/>
          <w:spacing w:val="9"/>
        </w:rPr>
        <w:t> </w:t>
      </w:r>
      <w:r>
        <w:rPr>
          <w:color w:val="231F20"/>
        </w:rPr>
        <w:t>the</w:t>
      </w:r>
      <w:r>
        <w:rPr>
          <w:color w:val="231F20"/>
          <w:spacing w:val="9"/>
        </w:rPr>
        <w:t> </w:t>
      </w:r>
      <w:r>
        <w:rPr>
          <w:color w:val="231F20"/>
        </w:rPr>
        <w:t>view,</w:t>
      </w:r>
      <w:r>
        <w:rPr>
          <w:color w:val="231F20"/>
          <w:spacing w:val="9"/>
        </w:rPr>
        <w:t> </w:t>
      </w:r>
      <w:r>
        <w:rPr>
          <w:color w:val="231F20"/>
        </w:rPr>
        <w:t>it</w:t>
      </w:r>
      <w:r>
        <w:rPr>
          <w:color w:val="231F20"/>
          <w:spacing w:val="9"/>
        </w:rPr>
        <w:t> </w:t>
      </w:r>
      <w:r>
        <w:rPr>
          <w:color w:val="231F20"/>
        </w:rPr>
        <w:t>appears</w:t>
      </w:r>
      <w:r>
        <w:rPr>
          <w:color w:val="231F20"/>
          <w:spacing w:val="9"/>
        </w:rPr>
        <w:t> </w:t>
      </w:r>
      <w:r>
        <w:rPr>
          <w:color w:val="231F20"/>
        </w:rPr>
        <w:t>semi-</w:t>
      </w:r>
      <w:r>
        <w:rPr>
          <w:color w:val="231F20"/>
          <w:spacing w:val="-2"/>
        </w:rPr>
        <w:t>transparent.</w:t>
      </w:r>
    </w:p>
    <w:p>
      <w:pPr>
        <w:pStyle w:val="Heading4"/>
        <w:spacing w:before="194"/>
        <w:ind w:left="2472"/>
      </w:pPr>
      <w:r>
        <w:rPr>
          <w:color w:val="231F20"/>
        </w:rPr>
        <w:t>Edit</w:t>
      </w:r>
      <w:r>
        <w:rPr>
          <w:color w:val="231F20"/>
          <w:spacing w:val="8"/>
        </w:rPr>
        <w:t> </w:t>
      </w:r>
      <w:r>
        <w:rPr>
          <w:color w:val="231F20"/>
        </w:rPr>
        <w:t>view</w:t>
      </w:r>
      <w:r>
        <w:rPr>
          <w:color w:val="231F20"/>
          <w:spacing w:val="8"/>
        </w:rPr>
        <w:t> </w:t>
      </w:r>
      <w:r>
        <w:rPr>
          <w:color w:val="231F20"/>
          <w:spacing w:val="-2"/>
        </w:rPr>
        <w:t>properties</w:t>
      </w:r>
    </w:p>
    <w:p>
      <w:pPr>
        <w:pStyle w:val="BodyText"/>
        <w:spacing w:before="218"/>
        <w:ind w:left="2472"/>
      </w:pPr>
      <w:r>
        <w:rPr>
          <w:color w:val="231F20"/>
        </w:rPr>
        <w:t>Edit</w:t>
      </w:r>
      <w:r>
        <w:rPr>
          <w:color w:val="231F20"/>
          <w:spacing w:val="11"/>
        </w:rPr>
        <w:t> </w:t>
      </w:r>
      <w:r>
        <w:rPr>
          <w:color w:val="231F20"/>
        </w:rPr>
        <w:t>the</w:t>
      </w:r>
      <w:r>
        <w:rPr>
          <w:color w:val="231F20"/>
          <w:spacing w:val="11"/>
        </w:rPr>
        <w:t> </w:t>
      </w:r>
      <w:r>
        <w:rPr>
          <w:color w:val="231F20"/>
        </w:rPr>
        <w:t>properties</w:t>
      </w:r>
      <w:r>
        <w:rPr>
          <w:color w:val="231F20"/>
          <w:spacing w:val="12"/>
        </w:rPr>
        <w:t> </w:t>
      </w:r>
      <w:r>
        <w:rPr>
          <w:color w:val="231F20"/>
        </w:rPr>
        <w:t>for</w:t>
      </w:r>
      <w:r>
        <w:rPr>
          <w:color w:val="231F20"/>
          <w:spacing w:val="11"/>
        </w:rPr>
        <w:t> </w:t>
      </w:r>
      <w:r>
        <w:rPr>
          <w:color w:val="231F20"/>
        </w:rPr>
        <w:t>the</w:t>
      </w:r>
      <w:r>
        <w:rPr>
          <w:color w:val="231F20"/>
          <w:spacing w:val="12"/>
        </w:rPr>
        <w:t> </w:t>
      </w:r>
      <w:r>
        <w:rPr>
          <w:color w:val="231F20"/>
        </w:rPr>
        <w:t>table</w:t>
      </w:r>
      <w:r>
        <w:rPr>
          <w:color w:val="231F20"/>
          <w:spacing w:val="11"/>
        </w:rPr>
        <w:t> </w:t>
      </w:r>
      <w:r>
        <w:rPr>
          <w:color w:val="231F20"/>
        </w:rPr>
        <w:t>view</w:t>
      </w:r>
      <w:r>
        <w:rPr>
          <w:color w:val="231F20"/>
          <w:spacing w:val="12"/>
        </w:rPr>
        <w:t> </w:t>
      </w:r>
      <w:r>
        <w:rPr>
          <w:color w:val="231F20"/>
        </w:rPr>
        <w:t>to</w:t>
      </w:r>
      <w:r>
        <w:rPr>
          <w:color w:val="231F20"/>
          <w:spacing w:val="11"/>
        </w:rPr>
        <w:t> </w:t>
      </w:r>
      <w:r>
        <w:rPr>
          <w:color w:val="231F20"/>
        </w:rPr>
        <w:t>select</w:t>
      </w:r>
      <w:r>
        <w:rPr>
          <w:color w:val="231F20"/>
          <w:spacing w:val="12"/>
        </w:rPr>
        <w:t> </w:t>
      </w:r>
      <w:r>
        <w:rPr>
          <w:color w:val="231F20"/>
        </w:rPr>
        <w:t>what</w:t>
      </w:r>
      <w:r>
        <w:rPr>
          <w:color w:val="231F20"/>
          <w:spacing w:val="11"/>
        </w:rPr>
        <w:t> </w:t>
      </w:r>
      <w:r>
        <w:rPr>
          <w:color w:val="231F20"/>
        </w:rPr>
        <w:t>data</w:t>
      </w:r>
      <w:r>
        <w:rPr>
          <w:color w:val="231F20"/>
          <w:spacing w:val="11"/>
        </w:rPr>
        <w:t> </w:t>
      </w:r>
      <w:r>
        <w:rPr>
          <w:color w:val="231F20"/>
        </w:rPr>
        <w:t>should</w:t>
      </w:r>
      <w:r>
        <w:rPr>
          <w:color w:val="231F20"/>
          <w:spacing w:val="12"/>
        </w:rPr>
        <w:t> </w:t>
      </w:r>
      <w:r>
        <w:rPr>
          <w:color w:val="231F20"/>
          <w:spacing w:val="-2"/>
        </w:rPr>
        <w:t>display.</w:t>
      </w:r>
    </w:p>
    <w:p>
      <w:pPr>
        <w:pStyle w:val="ListParagraph"/>
        <w:numPr>
          <w:ilvl w:val="1"/>
          <w:numId w:val="32"/>
        </w:numPr>
        <w:tabs>
          <w:tab w:pos="2965" w:val="left" w:leader="none"/>
        </w:tabs>
        <w:spacing w:line="240" w:lineRule="auto" w:before="30" w:after="0"/>
        <w:ind w:left="2965" w:right="0" w:hanging="382"/>
        <w:jc w:val="left"/>
        <w:rPr>
          <w:sz w:val="20"/>
        </w:rPr>
      </w:pP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table</w:t>
      </w:r>
      <w:r>
        <w:rPr>
          <w:color w:val="231F20"/>
          <w:spacing w:val="12"/>
          <w:sz w:val="20"/>
        </w:rPr>
        <w:t> </w:t>
      </w:r>
      <w:r>
        <w:rPr>
          <w:color w:val="231F20"/>
          <w:sz w:val="20"/>
        </w:rPr>
        <w:t>view</w:t>
      </w:r>
      <w:r>
        <w:rPr>
          <w:color w:val="231F20"/>
          <w:spacing w:val="12"/>
          <w:sz w:val="20"/>
        </w:rPr>
        <w:t> </w:t>
      </w:r>
      <w:r>
        <w:rPr>
          <w:color w:val="231F20"/>
          <w:sz w:val="20"/>
        </w:rPr>
        <w:t>title</w:t>
      </w:r>
      <w:r>
        <w:rPr>
          <w:color w:val="231F20"/>
          <w:spacing w:val="12"/>
          <w:sz w:val="20"/>
        </w:rPr>
        <w:t> </w:t>
      </w:r>
      <w:r>
        <w:rPr>
          <w:color w:val="231F20"/>
          <w:sz w:val="20"/>
        </w:rPr>
        <w:t>bar,</w:t>
      </w:r>
      <w:r>
        <w:rPr>
          <w:color w:val="231F20"/>
          <w:spacing w:val="12"/>
          <w:sz w:val="20"/>
        </w:rPr>
        <w:t> </w:t>
      </w:r>
      <w:r>
        <w:rPr>
          <w:color w:val="231F20"/>
          <w:sz w:val="20"/>
        </w:rPr>
        <w:t>click</w:t>
      </w:r>
      <w:r>
        <w:rPr>
          <w:color w:val="231F20"/>
          <w:spacing w:val="49"/>
          <w:sz w:val="20"/>
        </w:rPr>
        <w:t> </w:t>
      </w:r>
      <w:r>
        <w:rPr>
          <w:color w:val="231F20"/>
          <w:spacing w:val="5"/>
          <w:position w:val="1"/>
          <w:sz w:val="20"/>
        </w:rPr>
        <w:drawing>
          <wp:inline distT="0" distB="0" distL="0" distR="0">
            <wp:extent cx="57150" cy="57150"/>
            <wp:effectExtent l="0" t="0" r="0" b="0"/>
            <wp:docPr id="684" name="Image 684"/>
            <wp:cNvGraphicFramePr>
              <a:graphicFrameLocks/>
            </wp:cNvGraphicFramePr>
            <a:graphic>
              <a:graphicData uri="http://schemas.openxmlformats.org/drawingml/2006/picture">
                <pic:pic>
                  <pic:nvPicPr>
                    <pic:cNvPr id="684" name="Image 684"/>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56"/>
          <w:w w:val="150"/>
          <w:sz w:val="20"/>
        </w:rPr>
        <w:t> </w:t>
      </w:r>
      <w:r>
        <w:rPr>
          <w:rFonts w:ascii="Book Antiqua"/>
          <w:b/>
          <w:color w:val="231F20"/>
          <w:spacing w:val="-2"/>
          <w:sz w:val="20"/>
        </w:rPr>
        <w:t>Properties</w:t>
      </w:r>
      <w:r>
        <w:rPr>
          <w:color w:val="231F20"/>
          <w:spacing w:val="-2"/>
          <w:sz w:val="20"/>
        </w:rPr>
        <w:t>.</w:t>
      </w:r>
    </w:p>
    <w:p>
      <w:pPr>
        <w:spacing w:after="0" w:line="240" w:lineRule="auto"/>
        <w:jc w:val="left"/>
        <w:rPr>
          <w:sz w:val="20"/>
        </w:rPr>
        <w:sectPr>
          <w:footerReference w:type="default" r:id="rId179"/>
          <w:footerReference w:type="even" r:id="rId180"/>
          <w:pgSz w:w="12240" w:h="15840"/>
          <w:pgMar w:header="0" w:footer="736" w:top="1180" w:bottom="920" w:left="1000" w:right="1060"/>
          <w:pgNumType w:start="65"/>
        </w:sectPr>
      </w:pPr>
    </w:p>
    <w:p>
      <w:pPr>
        <w:pStyle w:val="ListParagraph"/>
        <w:numPr>
          <w:ilvl w:val="1"/>
          <w:numId w:val="32"/>
        </w:numPr>
        <w:tabs>
          <w:tab w:pos="2726" w:val="left" w:leader="none"/>
        </w:tabs>
        <w:spacing w:line="240" w:lineRule="auto" w:before="62" w:after="0"/>
        <w:ind w:left="2726" w:right="0" w:hanging="383"/>
        <w:jc w:val="left"/>
        <w:rPr>
          <w:sz w:val="20"/>
        </w:rPr>
      </w:pPr>
      <w:r>
        <w:rPr>
          <w:color w:val="231F20"/>
          <w:sz w:val="20"/>
        </w:rPr>
        <w:t>In</w:t>
      </w:r>
      <w:r>
        <w:rPr>
          <w:color w:val="231F20"/>
          <w:spacing w:val="13"/>
          <w:sz w:val="20"/>
        </w:rPr>
        <w:t> </w:t>
      </w:r>
      <w:r>
        <w:rPr>
          <w:color w:val="231F20"/>
          <w:sz w:val="20"/>
        </w:rPr>
        <w:t>the</w:t>
      </w:r>
      <w:r>
        <w:rPr>
          <w:color w:val="231F20"/>
          <w:spacing w:val="13"/>
          <w:sz w:val="20"/>
        </w:rPr>
        <w:t> </w:t>
      </w:r>
      <w:r>
        <w:rPr>
          <w:rFonts w:ascii="Book Antiqua"/>
          <w:b/>
          <w:color w:val="231F20"/>
          <w:sz w:val="20"/>
        </w:rPr>
        <w:t>Query</w:t>
      </w:r>
      <w:r>
        <w:rPr>
          <w:rFonts w:ascii="Book Antiqua"/>
          <w:b/>
          <w:color w:val="231F20"/>
          <w:spacing w:val="13"/>
          <w:sz w:val="20"/>
        </w:rPr>
        <w:t> </w:t>
      </w:r>
      <w:r>
        <w:rPr>
          <w:color w:val="231F20"/>
          <w:sz w:val="20"/>
        </w:rPr>
        <w:t>tab,</w:t>
      </w:r>
      <w:r>
        <w:rPr>
          <w:color w:val="231F20"/>
          <w:spacing w:val="22"/>
          <w:sz w:val="20"/>
        </w:rPr>
        <w:t> </w:t>
      </w:r>
      <w:r>
        <w:rPr>
          <w:color w:val="231F20"/>
          <w:spacing w:val="-25"/>
          <w:position w:val="-1"/>
          <w:sz w:val="20"/>
        </w:rPr>
        <w:drawing>
          <wp:inline distT="0" distB="0" distL="0" distR="0">
            <wp:extent cx="95250" cy="101600"/>
            <wp:effectExtent l="0" t="0" r="0" b="0"/>
            <wp:docPr id="685" name="Image 685"/>
            <wp:cNvGraphicFramePr>
              <a:graphicFrameLocks/>
            </wp:cNvGraphicFramePr>
            <a:graphic>
              <a:graphicData uri="http://schemas.openxmlformats.org/drawingml/2006/picture">
                <pic:pic>
                  <pic:nvPicPr>
                    <pic:cNvPr id="685" name="Image 685"/>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59"/>
          <w:w w:val="150"/>
          <w:sz w:val="20"/>
        </w:rPr>
        <w:t> </w:t>
      </w:r>
      <w:r>
        <w:rPr>
          <w:rFonts w:ascii="Book Antiqua"/>
          <w:b/>
          <w:color w:val="231F20"/>
          <w:sz w:val="20"/>
        </w:rPr>
        <w:t>Click</w:t>
      </w:r>
      <w:r>
        <w:rPr>
          <w:rFonts w:ascii="Book Antiqua"/>
          <w:b/>
          <w:color w:val="231F20"/>
          <w:spacing w:val="13"/>
          <w:sz w:val="20"/>
        </w:rPr>
        <w:t> </w:t>
      </w:r>
      <w:r>
        <w:rPr>
          <w:rFonts w:ascii="Book Antiqua"/>
          <w:b/>
          <w:color w:val="231F20"/>
          <w:sz w:val="20"/>
        </w:rPr>
        <w:t>here</w:t>
      </w:r>
      <w:r>
        <w:rPr>
          <w:rFonts w:ascii="Book Antiqua"/>
          <w:b/>
          <w:color w:val="231F20"/>
          <w:spacing w:val="14"/>
          <w:sz w:val="20"/>
        </w:rPr>
        <w:t> </w:t>
      </w:r>
      <w:r>
        <w:rPr>
          <w:rFonts w:ascii="Book Antiqua"/>
          <w:b/>
          <w:color w:val="231F20"/>
          <w:sz w:val="20"/>
        </w:rPr>
        <w:t>to</w:t>
      </w:r>
      <w:r>
        <w:rPr>
          <w:rFonts w:ascii="Book Antiqua"/>
          <w:b/>
          <w:color w:val="231F20"/>
          <w:spacing w:val="13"/>
          <w:sz w:val="20"/>
        </w:rPr>
        <w:t> </w:t>
      </w:r>
      <w:r>
        <w:rPr>
          <w:rFonts w:ascii="Book Antiqua"/>
          <w:b/>
          <w:color w:val="231F20"/>
          <w:sz w:val="20"/>
        </w:rPr>
        <w:t>assign</w:t>
      </w:r>
      <w:r>
        <w:rPr>
          <w:rFonts w:ascii="Book Antiqua"/>
          <w:b/>
          <w:color w:val="231F20"/>
          <w:spacing w:val="13"/>
          <w:sz w:val="20"/>
        </w:rPr>
        <w:t> </w:t>
      </w:r>
      <w:r>
        <w:rPr>
          <w:rFonts w:ascii="Book Antiqua"/>
          <w:b/>
          <w:color w:val="231F20"/>
          <w:sz w:val="20"/>
        </w:rPr>
        <w:t>a</w:t>
      </w:r>
      <w:r>
        <w:rPr>
          <w:rFonts w:ascii="Book Antiqua"/>
          <w:b/>
          <w:color w:val="231F20"/>
          <w:spacing w:val="13"/>
          <w:sz w:val="20"/>
        </w:rPr>
        <w:t> </w:t>
      </w:r>
      <w:r>
        <w:rPr>
          <w:rFonts w:ascii="Book Antiqua"/>
          <w:b/>
          <w:color w:val="231F20"/>
          <w:spacing w:val="-2"/>
          <w:sz w:val="20"/>
        </w:rPr>
        <w:t>query</w:t>
      </w:r>
      <w:r>
        <w:rPr>
          <w:color w:val="231F20"/>
          <w:spacing w:val="-2"/>
          <w:sz w:val="20"/>
        </w:rPr>
        <w:t>.</w:t>
      </w:r>
    </w:p>
    <w:p>
      <w:pPr>
        <w:pStyle w:val="BodyText"/>
        <w:spacing w:line="213" w:lineRule="auto" w:before="52"/>
        <w:ind w:left="2659"/>
      </w:pPr>
      <w:r>
        <w:rPr>
          <w:color w:val="231F20"/>
        </w:rPr>
        <w:t>Queries determine from which attribute group to draw data. The Select </w:t>
      </w:r>
      <w:r>
        <w:rPr>
          <w:color w:val="231F20"/>
        </w:rPr>
        <w:t>Query window opens.</w:t>
      </w:r>
    </w:p>
    <w:p>
      <w:pPr>
        <w:pStyle w:val="ListParagraph"/>
        <w:numPr>
          <w:ilvl w:val="1"/>
          <w:numId w:val="32"/>
        </w:numPr>
        <w:tabs>
          <w:tab w:pos="2659" w:val="left" w:leader="none"/>
          <w:tab w:pos="2726" w:val="left" w:leader="none"/>
        </w:tabs>
        <w:spacing w:line="213" w:lineRule="auto" w:before="59" w:after="0"/>
        <w:ind w:left="2659" w:right="663" w:hanging="317"/>
        <w:jc w:val="left"/>
        <w:rPr>
          <w:sz w:val="20"/>
        </w:rPr>
      </w:pPr>
      <w:r>
        <w:rPr>
          <w:rFonts w:ascii="Arial"/>
          <w:color w:val="231F20"/>
          <w:sz w:val="20"/>
        </w:rPr>
        <w:tab/>
      </w:r>
      <w:r>
        <w:rPr>
          <w:color w:val="231F20"/>
          <w:sz w:val="20"/>
        </w:rPr>
        <w:t>In the Query tree, expand the </w:t>
      </w:r>
      <w:r>
        <w:rPr>
          <w:rFonts w:ascii="Book Antiqua"/>
          <w:b/>
          <w:color w:val="231F20"/>
          <w:sz w:val="20"/>
        </w:rPr>
        <w:t>Tivoli Enterprise Monitoring Server </w:t>
      </w:r>
      <w:r>
        <w:rPr>
          <w:color w:val="231F20"/>
          <w:sz w:val="20"/>
        </w:rPr>
        <w:t>branch, then </w:t>
      </w:r>
      <w:r>
        <w:rPr>
          <w:rFonts w:ascii="Book Antiqua"/>
          <w:b/>
          <w:color w:val="231F20"/>
          <w:sz w:val="20"/>
        </w:rPr>
        <w:t>Managed System</w:t>
      </w:r>
      <w:r>
        <w:rPr>
          <w:color w:val="231F20"/>
          <w:sz w:val="20"/>
        </w:rPr>
        <w:t>.</w:t>
      </w:r>
    </w:p>
    <w:p>
      <w:pPr>
        <w:pStyle w:val="ListParagraph"/>
        <w:numPr>
          <w:ilvl w:val="1"/>
          <w:numId w:val="32"/>
        </w:numPr>
        <w:tabs>
          <w:tab w:pos="2659" w:val="left" w:leader="none"/>
          <w:tab w:pos="2726" w:val="left" w:leader="none"/>
        </w:tabs>
        <w:spacing w:line="266" w:lineRule="auto" w:before="35" w:after="0"/>
        <w:ind w:left="2659" w:right="2207" w:hanging="317"/>
        <w:jc w:val="left"/>
        <w:rPr>
          <w:sz w:val="20"/>
        </w:rPr>
      </w:pPr>
      <w:r>
        <w:rPr>
          <w:rFonts w:ascii="Arial"/>
          <w:color w:val="231F20"/>
          <w:sz w:val="20"/>
        </w:rPr>
        <w:tab/>
      </w:r>
      <w:r>
        <w:rPr>
          <w:color w:val="231F20"/>
          <w:sz w:val="20"/>
        </w:rPr>
        <w:t>Select </w:t>
      </w:r>
      <w:r>
        <w:rPr>
          <w:color w:val="231F20"/>
          <w:spacing w:val="-24"/>
          <w:position w:val="-1"/>
          <w:sz w:val="20"/>
        </w:rPr>
        <w:drawing>
          <wp:inline distT="0" distB="0" distL="0" distR="0">
            <wp:extent cx="95250" cy="101600"/>
            <wp:effectExtent l="0" t="0" r="0" b="0"/>
            <wp:docPr id="686" name="Image 686"/>
            <wp:cNvGraphicFramePr>
              <a:graphicFrameLocks/>
            </wp:cNvGraphicFramePr>
            <a:graphic>
              <a:graphicData uri="http://schemas.openxmlformats.org/drawingml/2006/picture">
                <pic:pic>
                  <pic:nvPicPr>
                    <pic:cNvPr id="686" name="Image 686"/>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3"/>
          <w:sz w:val="20"/>
        </w:rPr>
        <w:t> </w:t>
      </w:r>
      <w:r>
        <w:rPr>
          <w:rFonts w:ascii="Book Antiqua"/>
          <w:b/>
          <w:color w:val="231F20"/>
          <w:sz w:val="20"/>
        </w:rPr>
        <w:t>Current Managed Systems Status </w:t>
      </w:r>
      <w:r>
        <w:rPr>
          <w:color w:val="231F20"/>
          <w:sz w:val="20"/>
        </w:rPr>
        <w:t>and click </w:t>
      </w:r>
      <w:r>
        <w:rPr>
          <w:rFonts w:ascii="Book Antiqua"/>
          <w:b/>
          <w:color w:val="231F20"/>
          <w:sz w:val="20"/>
        </w:rPr>
        <w:t>OK</w:t>
      </w:r>
      <w:r>
        <w:rPr>
          <w:color w:val="231F20"/>
          <w:sz w:val="20"/>
        </w:rPr>
        <w:t>. Back in the </w:t>
      </w:r>
      <w:r>
        <w:rPr>
          <w:rFonts w:ascii="Book Antiqua"/>
          <w:b/>
          <w:color w:val="231F20"/>
          <w:sz w:val="20"/>
        </w:rPr>
        <w:t>Query </w:t>
      </w:r>
      <w:r>
        <w:rPr>
          <w:color w:val="231F20"/>
          <w:sz w:val="20"/>
        </w:rPr>
        <w:t>tab, you can see a preview of the table.</w:t>
      </w:r>
    </w:p>
    <w:p>
      <w:pPr>
        <w:pStyle w:val="ListParagraph"/>
        <w:numPr>
          <w:ilvl w:val="1"/>
          <w:numId w:val="32"/>
        </w:numPr>
        <w:tabs>
          <w:tab w:pos="2726" w:val="left" w:leader="none"/>
        </w:tabs>
        <w:spacing w:line="254" w:lineRule="exact" w:before="0" w:after="0"/>
        <w:ind w:left="2726" w:right="0" w:hanging="383"/>
        <w:jc w:val="left"/>
        <w:rPr>
          <w:sz w:val="20"/>
        </w:rPr>
      </w:pPr>
      <w:r>
        <w:rPr>
          <w:color w:val="231F20"/>
          <w:sz w:val="20"/>
        </w:rPr>
        <w:t>Click</w:t>
      </w:r>
      <w:r>
        <w:rPr>
          <w:color w:val="231F20"/>
          <w:spacing w:val="12"/>
          <w:sz w:val="20"/>
        </w:rPr>
        <w:t> </w:t>
      </w:r>
      <w:r>
        <w:rPr>
          <w:color w:val="231F20"/>
          <w:sz w:val="20"/>
        </w:rPr>
        <w:t>the</w:t>
      </w:r>
      <w:r>
        <w:rPr>
          <w:color w:val="231F20"/>
          <w:spacing w:val="22"/>
          <w:sz w:val="20"/>
        </w:rPr>
        <w:t> </w:t>
      </w:r>
      <w:r>
        <w:rPr>
          <w:color w:val="231F20"/>
          <w:spacing w:val="-24"/>
          <w:position w:val="-1"/>
          <w:sz w:val="20"/>
        </w:rPr>
        <w:drawing>
          <wp:inline distT="0" distB="0" distL="0" distR="0">
            <wp:extent cx="95250" cy="101600"/>
            <wp:effectExtent l="0" t="0" r="0" b="0"/>
            <wp:docPr id="687" name="Image 687"/>
            <wp:cNvGraphicFramePr>
              <a:graphicFrameLocks/>
            </wp:cNvGraphicFramePr>
            <a:graphic>
              <a:graphicData uri="http://schemas.openxmlformats.org/drawingml/2006/picture">
                <pic:pic>
                  <pic:nvPicPr>
                    <pic:cNvPr id="687" name="Image 687"/>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7"/>
          <w:w w:val="150"/>
          <w:sz w:val="20"/>
        </w:rPr>
        <w:t> </w:t>
      </w:r>
      <w:r>
        <w:rPr>
          <w:rFonts w:ascii="Book Antiqua"/>
          <w:b/>
          <w:color w:val="231F20"/>
          <w:sz w:val="20"/>
        </w:rPr>
        <w:t>Filters</w:t>
      </w:r>
      <w:r>
        <w:rPr>
          <w:rFonts w:ascii="Book Antiqua"/>
          <w:b/>
          <w:color w:val="231F20"/>
          <w:spacing w:val="12"/>
          <w:sz w:val="20"/>
        </w:rPr>
        <w:t> </w:t>
      </w:r>
      <w:r>
        <w:rPr>
          <w:color w:val="231F20"/>
          <w:sz w:val="20"/>
        </w:rPr>
        <w:t>tab</w:t>
      </w:r>
      <w:r>
        <w:rPr>
          <w:color w:val="231F20"/>
          <w:spacing w:val="13"/>
          <w:sz w:val="20"/>
        </w:rPr>
        <w:t> </w:t>
      </w:r>
      <w:r>
        <w:rPr>
          <w:color w:val="231F20"/>
          <w:sz w:val="20"/>
        </w:rPr>
        <w:t>and</w:t>
      </w:r>
      <w:r>
        <w:rPr>
          <w:color w:val="231F20"/>
          <w:spacing w:val="12"/>
          <w:sz w:val="20"/>
        </w:rPr>
        <w:t> </w:t>
      </w:r>
      <w:r>
        <w:rPr>
          <w:color w:val="231F20"/>
          <w:sz w:val="20"/>
        </w:rPr>
        <w:t>clear</w:t>
      </w:r>
      <w:r>
        <w:rPr>
          <w:color w:val="231F20"/>
          <w:spacing w:val="13"/>
          <w:sz w:val="20"/>
        </w:rPr>
        <w:t> </w:t>
      </w:r>
      <w:r>
        <w:rPr>
          <w:color w:val="231F20"/>
          <w:sz w:val="20"/>
        </w:rPr>
        <w:t>the</w:t>
      </w:r>
      <w:r>
        <w:rPr>
          <w:color w:val="231F20"/>
          <w:spacing w:val="12"/>
          <w:sz w:val="20"/>
        </w:rPr>
        <w:t> </w:t>
      </w:r>
      <w:r>
        <w:rPr>
          <w:color w:val="231F20"/>
          <w:sz w:val="20"/>
        </w:rPr>
        <w:t>boxes</w:t>
      </w:r>
      <w:r>
        <w:rPr>
          <w:color w:val="231F20"/>
          <w:spacing w:val="13"/>
          <w:sz w:val="20"/>
        </w:rPr>
        <w:t> </w:t>
      </w:r>
      <w:r>
        <w:rPr>
          <w:color w:val="231F20"/>
          <w:sz w:val="20"/>
        </w:rPr>
        <w:t>for</w:t>
      </w:r>
      <w:r>
        <w:rPr>
          <w:color w:val="231F20"/>
          <w:spacing w:val="12"/>
          <w:sz w:val="20"/>
        </w:rPr>
        <w:t> </w:t>
      </w:r>
      <w:r>
        <w:rPr>
          <w:color w:val="231F20"/>
          <w:sz w:val="20"/>
        </w:rPr>
        <w:t>these</w:t>
      </w:r>
      <w:r>
        <w:rPr>
          <w:color w:val="231F20"/>
          <w:spacing w:val="13"/>
          <w:sz w:val="20"/>
        </w:rPr>
        <w:t> </w:t>
      </w:r>
      <w:r>
        <w:rPr>
          <w:color w:val="231F20"/>
          <w:sz w:val="20"/>
        </w:rPr>
        <w:t>columns</w:t>
      </w:r>
      <w:r>
        <w:rPr>
          <w:color w:val="231F20"/>
          <w:spacing w:val="13"/>
          <w:sz w:val="20"/>
        </w:rPr>
        <w:t> </w:t>
      </w:r>
      <w:r>
        <w:rPr>
          <w:color w:val="231F20"/>
          <w:spacing w:val="-2"/>
          <w:sz w:val="20"/>
        </w:rPr>
        <w:t>(attributes):</w:t>
      </w:r>
    </w:p>
    <w:p>
      <w:pPr>
        <w:pStyle w:val="Heading6"/>
        <w:spacing w:line="255" w:lineRule="exact" w:before="0"/>
        <w:ind w:left="2659"/>
        <w:rPr>
          <w:rFonts w:ascii="Palatino Linotype"/>
          <w:b w:val="0"/>
        </w:rPr>
      </w:pPr>
      <w:r>
        <w:rPr>
          <w:color w:val="231F20"/>
        </w:rPr>
        <w:t>HostAddress</w:t>
      </w:r>
      <w:r>
        <w:rPr>
          <w:rFonts w:ascii="Palatino Linotype"/>
          <w:b w:val="0"/>
          <w:color w:val="231F20"/>
        </w:rPr>
        <w:t>,</w:t>
      </w:r>
      <w:r>
        <w:rPr>
          <w:rFonts w:ascii="Palatino Linotype"/>
          <w:b w:val="0"/>
          <w:color w:val="231F20"/>
          <w:spacing w:val="5"/>
        </w:rPr>
        <w:t> </w:t>
      </w:r>
      <w:r>
        <w:rPr>
          <w:color w:val="231F20"/>
        </w:rPr>
        <w:t>Affinities</w:t>
      </w:r>
      <w:r>
        <w:rPr>
          <w:rFonts w:ascii="Palatino Linotype"/>
          <w:b w:val="0"/>
          <w:color w:val="231F20"/>
        </w:rPr>
        <w:t>,</w:t>
      </w:r>
      <w:r>
        <w:rPr>
          <w:rFonts w:ascii="Palatino Linotype"/>
          <w:b w:val="0"/>
          <w:color w:val="231F20"/>
          <w:spacing w:val="6"/>
        </w:rPr>
        <w:t> </w:t>
      </w:r>
      <w:r>
        <w:rPr>
          <w:color w:val="231F20"/>
        </w:rPr>
        <w:t>Host</w:t>
      </w:r>
      <w:r>
        <w:rPr>
          <w:color w:val="231F20"/>
          <w:spacing w:val="6"/>
        </w:rPr>
        <w:t> </w:t>
      </w:r>
      <w:r>
        <w:rPr>
          <w:color w:val="231F20"/>
          <w:spacing w:val="-2"/>
        </w:rPr>
        <w:t>Info</w:t>
      </w:r>
      <w:r>
        <w:rPr>
          <w:rFonts w:ascii="Palatino Linotype"/>
          <w:b w:val="0"/>
          <w:color w:val="231F20"/>
          <w:spacing w:val="-2"/>
        </w:rPr>
        <w:t>.</w:t>
      </w:r>
    </w:p>
    <w:p>
      <w:pPr>
        <w:pStyle w:val="BodyText"/>
        <w:spacing w:line="213" w:lineRule="auto" w:before="53"/>
        <w:ind w:left="2659" w:right="636"/>
      </w:pPr>
      <w:r>
        <w:rPr>
          <w:color w:val="231F20"/>
        </w:rPr>
        <w:t>Filters is where you specify the attributes to include in the table and, if you like, show only those values that fall within a range.</w:t>
      </w:r>
    </w:p>
    <w:p>
      <w:pPr>
        <w:pStyle w:val="ListParagraph"/>
        <w:numPr>
          <w:ilvl w:val="1"/>
          <w:numId w:val="32"/>
        </w:numPr>
        <w:tabs>
          <w:tab w:pos="2726" w:val="left" w:leader="none"/>
        </w:tabs>
        <w:spacing w:line="240" w:lineRule="auto" w:before="35" w:after="0"/>
        <w:ind w:left="2726" w:right="0" w:hanging="383"/>
        <w:jc w:val="left"/>
        <w:rPr>
          <w:sz w:val="20"/>
        </w:rPr>
      </w:pPr>
      <w:r>
        <w:rPr>
          <w:color w:val="231F20"/>
          <w:sz w:val="20"/>
        </w:rPr>
        <w:t>Click</w:t>
      </w:r>
      <w:r>
        <w:rPr>
          <w:color w:val="231F20"/>
          <w:spacing w:val="9"/>
          <w:sz w:val="20"/>
        </w:rPr>
        <w:t> </w:t>
      </w:r>
      <w:r>
        <w:rPr>
          <w:rFonts w:ascii="Book Antiqua"/>
          <w:b/>
          <w:color w:val="231F20"/>
          <w:sz w:val="20"/>
        </w:rPr>
        <w:t>Test</w:t>
      </w:r>
      <w:r>
        <w:rPr>
          <w:rFonts w:ascii="Book Antiqua"/>
          <w:b/>
          <w:color w:val="231F20"/>
          <w:spacing w:val="9"/>
          <w:sz w:val="20"/>
        </w:rPr>
        <w:t> </w:t>
      </w:r>
      <w:r>
        <w:rPr>
          <w:color w:val="231F20"/>
          <w:sz w:val="20"/>
        </w:rPr>
        <w:t>to</w:t>
      </w:r>
      <w:r>
        <w:rPr>
          <w:color w:val="231F20"/>
          <w:spacing w:val="9"/>
          <w:sz w:val="20"/>
        </w:rPr>
        <w:t> </w:t>
      </w:r>
      <w:r>
        <w:rPr>
          <w:color w:val="231F20"/>
          <w:sz w:val="20"/>
        </w:rPr>
        <w:t>see</w:t>
      </w:r>
      <w:r>
        <w:rPr>
          <w:color w:val="231F20"/>
          <w:spacing w:val="9"/>
          <w:sz w:val="20"/>
        </w:rPr>
        <w:t> </w:t>
      </w:r>
      <w:r>
        <w:rPr>
          <w:color w:val="231F20"/>
          <w:sz w:val="20"/>
        </w:rPr>
        <w:t>a</w:t>
      </w:r>
      <w:r>
        <w:rPr>
          <w:color w:val="231F20"/>
          <w:spacing w:val="10"/>
          <w:sz w:val="20"/>
        </w:rPr>
        <w:t> </w:t>
      </w:r>
      <w:r>
        <w:rPr>
          <w:color w:val="231F20"/>
          <w:sz w:val="20"/>
        </w:rPr>
        <w:t>preview</w:t>
      </w:r>
      <w:r>
        <w:rPr>
          <w:color w:val="231F20"/>
          <w:spacing w:val="9"/>
          <w:sz w:val="20"/>
        </w:rPr>
        <w:t> </w:t>
      </w:r>
      <w:r>
        <w:rPr>
          <w:color w:val="231F20"/>
          <w:sz w:val="20"/>
        </w:rPr>
        <w:t>of</w:t>
      </w:r>
      <w:r>
        <w:rPr>
          <w:color w:val="231F20"/>
          <w:spacing w:val="9"/>
          <w:sz w:val="20"/>
        </w:rPr>
        <w:t> </w:t>
      </w:r>
      <w:r>
        <w:rPr>
          <w:color w:val="231F20"/>
          <w:sz w:val="20"/>
        </w:rPr>
        <w:t>your</w:t>
      </w:r>
      <w:r>
        <w:rPr>
          <w:color w:val="231F20"/>
          <w:spacing w:val="9"/>
          <w:sz w:val="20"/>
        </w:rPr>
        <w:t> </w:t>
      </w:r>
      <w:r>
        <w:rPr>
          <w:color w:val="231F20"/>
          <w:spacing w:val="-2"/>
          <w:sz w:val="20"/>
        </w:rPr>
        <w:t>changes.</w:t>
      </w:r>
    </w:p>
    <w:p>
      <w:pPr>
        <w:pStyle w:val="ListParagraph"/>
        <w:numPr>
          <w:ilvl w:val="1"/>
          <w:numId w:val="32"/>
        </w:numPr>
        <w:tabs>
          <w:tab w:pos="2726" w:val="left" w:leader="none"/>
        </w:tabs>
        <w:spacing w:line="240" w:lineRule="auto" w:before="30" w:after="0"/>
        <w:ind w:left="2726" w:right="0" w:hanging="383"/>
        <w:jc w:val="left"/>
        <w:rPr>
          <w:sz w:val="20"/>
        </w:rPr>
      </w:pPr>
      <w:r>
        <w:rPr>
          <w:color w:val="231F20"/>
          <w:sz w:val="20"/>
        </w:rPr>
        <w:t>Click</w:t>
      </w:r>
      <w:r>
        <w:rPr>
          <w:color w:val="231F20"/>
          <w:spacing w:val="12"/>
          <w:sz w:val="20"/>
        </w:rPr>
        <w:t> </w:t>
      </w:r>
      <w:r>
        <w:rPr>
          <w:color w:val="231F20"/>
          <w:sz w:val="20"/>
        </w:rPr>
        <w:t>the</w:t>
      </w:r>
      <w:r>
        <w:rPr>
          <w:color w:val="231F20"/>
          <w:spacing w:val="22"/>
          <w:sz w:val="20"/>
        </w:rPr>
        <w:t> </w:t>
      </w:r>
      <w:r>
        <w:rPr>
          <w:color w:val="231F20"/>
          <w:spacing w:val="-24"/>
          <w:position w:val="-1"/>
          <w:sz w:val="20"/>
        </w:rPr>
        <w:drawing>
          <wp:inline distT="0" distB="0" distL="0" distR="0">
            <wp:extent cx="88900" cy="95250"/>
            <wp:effectExtent l="0" t="0" r="0" b="0"/>
            <wp:docPr id="688" name="Image 688"/>
            <wp:cNvGraphicFramePr>
              <a:graphicFrameLocks/>
            </wp:cNvGraphicFramePr>
            <a:graphic>
              <a:graphicData uri="http://schemas.openxmlformats.org/drawingml/2006/picture">
                <pic:pic>
                  <pic:nvPicPr>
                    <pic:cNvPr id="688" name="Image 688"/>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sz w:val="20"/>
        </w:rPr>
      </w:r>
      <w:r>
        <w:rPr>
          <w:rFonts w:ascii="Times New Roman"/>
          <w:color w:val="231F20"/>
          <w:spacing w:val="29"/>
          <w:sz w:val="20"/>
        </w:rPr>
        <w:t> </w:t>
      </w:r>
      <w:r>
        <w:rPr>
          <w:rFonts w:ascii="Book Antiqua"/>
          <w:b/>
          <w:color w:val="231F20"/>
          <w:sz w:val="20"/>
        </w:rPr>
        <w:t>Thresholds</w:t>
      </w:r>
      <w:r>
        <w:rPr>
          <w:rFonts w:ascii="Book Antiqua"/>
          <w:b/>
          <w:color w:val="231F20"/>
          <w:spacing w:val="12"/>
          <w:sz w:val="20"/>
        </w:rPr>
        <w:t> </w:t>
      </w:r>
      <w:r>
        <w:rPr>
          <w:color w:val="231F20"/>
          <w:sz w:val="20"/>
        </w:rPr>
        <w:t>tab</w:t>
      </w:r>
      <w:r>
        <w:rPr>
          <w:color w:val="231F20"/>
          <w:spacing w:val="13"/>
          <w:sz w:val="20"/>
        </w:rPr>
        <w:t> </w:t>
      </w:r>
      <w:r>
        <w:rPr>
          <w:color w:val="231F20"/>
          <w:sz w:val="20"/>
        </w:rPr>
        <w:t>to</w:t>
      </w:r>
      <w:r>
        <w:rPr>
          <w:color w:val="231F20"/>
          <w:spacing w:val="12"/>
          <w:sz w:val="20"/>
        </w:rPr>
        <w:t> </w:t>
      </w:r>
      <w:r>
        <w:rPr>
          <w:color w:val="231F20"/>
          <w:sz w:val="20"/>
        </w:rPr>
        <w:t>specify</w:t>
      </w:r>
      <w:r>
        <w:rPr>
          <w:color w:val="231F20"/>
          <w:spacing w:val="13"/>
          <w:sz w:val="20"/>
        </w:rPr>
        <w:t> </w:t>
      </w:r>
      <w:r>
        <w:rPr>
          <w:color w:val="231F20"/>
          <w:sz w:val="20"/>
        </w:rPr>
        <w:t>a</w:t>
      </w:r>
      <w:r>
        <w:rPr>
          <w:color w:val="231F20"/>
          <w:spacing w:val="12"/>
          <w:sz w:val="20"/>
        </w:rPr>
        <w:t> </w:t>
      </w:r>
      <w:r>
        <w:rPr>
          <w:color w:val="231F20"/>
          <w:spacing w:val="-2"/>
          <w:sz w:val="20"/>
        </w:rPr>
        <w:t>threshold.</w:t>
      </w:r>
    </w:p>
    <w:p>
      <w:pPr>
        <w:pStyle w:val="ListParagraph"/>
        <w:numPr>
          <w:ilvl w:val="1"/>
          <w:numId w:val="32"/>
        </w:numPr>
        <w:tabs>
          <w:tab w:pos="2726" w:val="left" w:leader="none"/>
        </w:tabs>
        <w:spacing w:line="240" w:lineRule="auto" w:before="29" w:after="0"/>
        <w:ind w:left="2726" w:right="0" w:hanging="383"/>
        <w:jc w:val="left"/>
        <w:rPr>
          <w:sz w:val="20"/>
        </w:rPr>
      </w:pPr>
      <w:r>
        <w:rPr>
          <w:color w:val="231F20"/>
          <w:sz w:val="20"/>
        </w:rPr>
        <w:t>In</w:t>
      </w:r>
      <w:r>
        <w:rPr>
          <w:color w:val="231F20"/>
          <w:spacing w:val="12"/>
          <w:sz w:val="20"/>
        </w:rPr>
        <w:t> </w:t>
      </w:r>
      <w:r>
        <w:rPr>
          <w:color w:val="231F20"/>
          <w:sz w:val="20"/>
        </w:rPr>
        <w:t>row</w:t>
      </w:r>
      <w:r>
        <w:rPr>
          <w:color w:val="231F20"/>
          <w:spacing w:val="12"/>
          <w:sz w:val="20"/>
        </w:rPr>
        <w:t> </w:t>
      </w:r>
      <w:r>
        <w:rPr>
          <w:color w:val="231F20"/>
          <w:sz w:val="20"/>
        </w:rPr>
        <w:t>1,</w:t>
      </w:r>
      <w:r>
        <w:rPr>
          <w:color w:val="231F20"/>
          <w:spacing w:val="12"/>
          <w:sz w:val="20"/>
        </w:rPr>
        <w:t> </w:t>
      </w:r>
      <w:r>
        <w:rPr>
          <w:color w:val="231F20"/>
          <w:sz w:val="20"/>
        </w:rPr>
        <w:t>click</w:t>
      </w:r>
      <w:r>
        <w:rPr>
          <w:color w:val="231F20"/>
          <w:spacing w:val="12"/>
          <w:sz w:val="20"/>
        </w:rPr>
        <w:t> </w:t>
      </w:r>
      <w:r>
        <w:rPr>
          <w:color w:val="231F20"/>
          <w:sz w:val="20"/>
        </w:rPr>
        <w:t>the</w:t>
      </w:r>
      <w:r>
        <w:rPr>
          <w:color w:val="231F20"/>
          <w:spacing w:val="12"/>
          <w:sz w:val="20"/>
        </w:rPr>
        <w:t> </w:t>
      </w:r>
      <w:r>
        <w:rPr>
          <w:color w:val="231F20"/>
          <w:sz w:val="20"/>
        </w:rPr>
        <w:t>colored</w:t>
      </w:r>
      <w:r>
        <w:rPr>
          <w:color w:val="231F20"/>
          <w:spacing w:val="12"/>
          <w:sz w:val="20"/>
        </w:rPr>
        <w:t> </w:t>
      </w:r>
      <w:r>
        <w:rPr>
          <w:color w:val="231F20"/>
          <w:sz w:val="20"/>
        </w:rPr>
        <w:t>column</w:t>
      </w:r>
      <w:r>
        <w:rPr>
          <w:color w:val="231F20"/>
          <w:spacing w:val="13"/>
          <w:sz w:val="20"/>
        </w:rPr>
        <w:t> </w:t>
      </w:r>
      <w:r>
        <w:rPr>
          <w:color w:val="231F20"/>
          <w:sz w:val="20"/>
        </w:rPr>
        <w:t>and</w:t>
      </w:r>
      <w:r>
        <w:rPr>
          <w:color w:val="231F20"/>
          <w:spacing w:val="12"/>
          <w:sz w:val="20"/>
        </w:rPr>
        <w:t> </w:t>
      </w:r>
      <w:r>
        <w:rPr>
          <w:color w:val="231F20"/>
          <w:sz w:val="20"/>
        </w:rPr>
        <w:t>select</w:t>
      </w:r>
      <w:r>
        <w:rPr>
          <w:color w:val="231F20"/>
          <w:spacing w:val="20"/>
          <w:sz w:val="20"/>
        </w:rPr>
        <w:t> </w:t>
      </w:r>
      <w:r>
        <w:rPr>
          <w:color w:val="231F20"/>
          <w:spacing w:val="-25"/>
          <w:position w:val="-1"/>
          <w:sz w:val="20"/>
        </w:rPr>
        <w:drawing>
          <wp:inline distT="0" distB="0" distL="0" distR="0">
            <wp:extent cx="95250" cy="95250"/>
            <wp:effectExtent l="0" t="0" r="0" b="0"/>
            <wp:docPr id="689" name="Image 689"/>
            <wp:cNvGraphicFramePr>
              <a:graphicFrameLocks/>
            </wp:cNvGraphicFramePr>
            <a:graphic>
              <a:graphicData uri="http://schemas.openxmlformats.org/drawingml/2006/picture">
                <pic:pic>
                  <pic:nvPicPr>
                    <pic:cNvPr id="689" name="Image 689"/>
                    <pic:cNvPicPr/>
                  </pic:nvPicPr>
                  <pic:blipFill>
                    <a:blip r:embed="rId126"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57"/>
          <w:w w:val="150"/>
          <w:sz w:val="20"/>
        </w:rPr>
        <w:t> </w:t>
      </w:r>
      <w:r>
        <w:rPr>
          <w:rFonts w:ascii="Book Antiqua"/>
          <w:b/>
          <w:color w:val="231F20"/>
          <w:spacing w:val="-2"/>
          <w:sz w:val="20"/>
        </w:rPr>
        <w:t>Informational</w:t>
      </w:r>
      <w:r>
        <w:rPr>
          <w:color w:val="231F20"/>
          <w:spacing w:val="-2"/>
          <w:sz w:val="20"/>
        </w:rPr>
        <w:t>.</w:t>
      </w:r>
    </w:p>
    <w:p>
      <w:pPr>
        <w:pStyle w:val="BodyText"/>
        <w:spacing w:line="213" w:lineRule="auto" w:before="53"/>
        <w:ind w:left="2659" w:right="545"/>
      </w:pPr>
      <w:r>
        <w:rPr>
          <w:color w:val="231F20"/>
        </w:rPr>
        <w:t>This will be the background color of the cell when the threshold </w:t>
      </w:r>
      <w:r>
        <w:rPr>
          <w:color w:val="231F20"/>
        </w:rPr>
        <w:t>expression becomes true.</w:t>
      </w:r>
    </w:p>
    <w:p>
      <w:pPr>
        <w:pStyle w:val="ListParagraph"/>
        <w:numPr>
          <w:ilvl w:val="1"/>
          <w:numId w:val="32"/>
        </w:numPr>
        <w:tabs>
          <w:tab w:pos="2659" w:val="left" w:leader="none"/>
          <w:tab w:pos="2726" w:val="left" w:leader="none"/>
        </w:tabs>
        <w:spacing w:line="213" w:lineRule="auto" w:before="58" w:after="0"/>
        <w:ind w:left="2659" w:right="719" w:hanging="316"/>
        <w:jc w:val="left"/>
        <w:rPr>
          <w:sz w:val="20"/>
        </w:rPr>
      </w:pPr>
      <w:r>
        <w:rPr>
          <w:rFonts w:ascii="Arial"/>
          <w:color w:val="231F20"/>
          <w:sz w:val="20"/>
        </w:rPr>
        <w:tab/>
      </w:r>
      <w:r>
        <w:rPr>
          <w:color w:val="231F20"/>
          <w:sz w:val="20"/>
        </w:rPr>
        <w:t>In row 1, click the Status cell, then the </w:t>
      </w:r>
      <w:r>
        <w:rPr>
          <w:color w:val="231F20"/>
          <w:spacing w:val="15"/>
          <w:position w:val="-1"/>
          <w:sz w:val="20"/>
        </w:rPr>
        <w:drawing>
          <wp:inline distT="0" distB="0" distL="0" distR="0">
            <wp:extent cx="101600" cy="101600"/>
            <wp:effectExtent l="0" t="0" r="0" b="0"/>
            <wp:docPr id="690" name="Image 690"/>
            <wp:cNvGraphicFramePr>
              <a:graphicFrameLocks/>
            </wp:cNvGraphicFramePr>
            <a:graphic>
              <a:graphicData uri="http://schemas.openxmlformats.org/drawingml/2006/picture">
                <pic:pic>
                  <pic:nvPicPr>
                    <pic:cNvPr id="690" name="Image 69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arrow, and select OFFLINE from the list.</w:t>
      </w:r>
    </w:p>
    <w:p>
      <w:pPr>
        <w:pStyle w:val="BodyText"/>
        <w:spacing w:before="36"/>
        <w:ind w:left="2659"/>
      </w:pPr>
      <w:r>
        <w:rPr>
          <w:color w:val="231F20"/>
        </w:rPr>
        <w:t>Any</w:t>
      </w:r>
      <w:r>
        <w:rPr>
          <w:color w:val="231F20"/>
          <w:spacing w:val="9"/>
        </w:rPr>
        <w:t> </w:t>
      </w:r>
      <w:r>
        <w:rPr>
          <w:color w:val="231F20"/>
        </w:rPr>
        <w:t>managed</w:t>
      </w:r>
      <w:r>
        <w:rPr>
          <w:color w:val="231F20"/>
          <w:spacing w:val="10"/>
        </w:rPr>
        <w:t> </w:t>
      </w:r>
      <w:r>
        <w:rPr>
          <w:color w:val="231F20"/>
        </w:rPr>
        <w:t>systems</w:t>
      </w:r>
      <w:r>
        <w:rPr>
          <w:color w:val="231F20"/>
          <w:spacing w:val="9"/>
        </w:rPr>
        <w:t> </w:t>
      </w:r>
      <w:r>
        <w:rPr>
          <w:color w:val="231F20"/>
        </w:rPr>
        <w:t>that</w:t>
      </w:r>
      <w:r>
        <w:rPr>
          <w:color w:val="231F20"/>
          <w:spacing w:val="10"/>
        </w:rPr>
        <w:t> </w:t>
      </w:r>
      <w:r>
        <w:rPr>
          <w:color w:val="231F20"/>
        </w:rPr>
        <w:t>are</w:t>
      </w:r>
      <w:r>
        <w:rPr>
          <w:color w:val="231F20"/>
          <w:spacing w:val="9"/>
        </w:rPr>
        <w:t> </w:t>
      </w:r>
      <w:r>
        <w:rPr>
          <w:color w:val="231F20"/>
        </w:rPr>
        <w:t>offline</w:t>
      </w:r>
      <w:r>
        <w:rPr>
          <w:color w:val="231F20"/>
          <w:spacing w:val="10"/>
        </w:rPr>
        <w:t> </w:t>
      </w:r>
      <w:r>
        <w:rPr>
          <w:color w:val="231F20"/>
        </w:rPr>
        <w:t>will</w:t>
      </w:r>
      <w:r>
        <w:rPr>
          <w:color w:val="231F20"/>
          <w:spacing w:val="9"/>
        </w:rPr>
        <w:t> </w:t>
      </w:r>
      <w:r>
        <w:rPr>
          <w:color w:val="231F20"/>
        </w:rPr>
        <w:t>have</w:t>
      </w:r>
      <w:r>
        <w:rPr>
          <w:color w:val="231F20"/>
          <w:spacing w:val="10"/>
        </w:rPr>
        <w:t> </w:t>
      </w:r>
      <w:r>
        <w:rPr>
          <w:color w:val="231F20"/>
        </w:rPr>
        <w:t>this</w:t>
      </w:r>
      <w:r>
        <w:rPr>
          <w:color w:val="231F20"/>
          <w:spacing w:val="9"/>
        </w:rPr>
        <w:t> </w:t>
      </w:r>
      <w:r>
        <w:rPr>
          <w:color w:val="231F20"/>
        </w:rPr>
        <w:t>background</w:t>
      </w:r>
      <w:r>
        <w:rPr>
          <w:color w:val="231F20"/>
          <w:spacing w:val="10"/>
        </w:rPr>
        <w:t> </w:t>
      </w:r>
      <w:r>
        <w:rPr>
          <w:color w:val="231F20"/>
          <w:spacing w:val="-2"/>
        </w:rPr>
        <w:t>color.</w:t>
      </w:r>
    </w:p>
    <w:p>
      <w:pPr>
        <w:pStyle w:val="ListParagraph"/>
        <w:numPr>
          <w:ilvl w:val="1"/>
          <w:numId w:val="32"/>
        </w:numPr>
        <w:tabs>
          <w:tab w:pos="2726" w:val="left" w:leader="none"/>
        </w:tabs>
        <w:spacing w:line="240" w:lineRule="auto" w:before="29" w:after="0"/>
        <w:ind w:left="2726" w:right="0" w:hanging="494"/>
        <w:jc w:val="left"/>
        <w:rPr>
          <w:sz w:val="20"/>
        </w:rPr>
      </w:pPr>
      <w:r>
        <w:rPr>
          <w:color w:val="231F20"/>
          <w:sz w:val="20"/>
        </w:rPr>
        <w:t>Click</w:t>
      </w:r>
      <w:r>
        <w:rPr>
          <w:color w:val="231F20"/>
          <w:spacing w:val="12"/>
          <w:sz w:val="20"/>
        </w:rPr>
        <w:t> </w:t>
      </w:r>
      <w:r>
        <w:rPr>
          <w:color w:val="231F20"/>
          <w:sz w:val="20"/>
        </w:rPr>
        <w:t>the</w:t>
      </w:r>
      <w:r>
        <w:rPr>
          <w:color w:val="231F20"/>
          <w:spacing w:val="22"/>
          <w:sz w:val="20"/>
        </w:rPr>
        <w:t> </w:t>
      </w:r>
      <w:r>
        <w:rPr>
          <w:color w:val="231F20"/>
          <w:spacing w:val="-24"/>
          <w:position w:val="-1"/>
          <w:sz w:val="20"/>
        </w:rPr>
        <w:drawing>
          <wp:inline distT="0" distB="0" distL="0" distR="0">
            <wp:extent cx="95250" cy="95250"/>
            <wp:effectExtent l="0" t="0" r="0" b="0"/>
            <wp:docPr id="691" name="Image 691"/>
            <wp:cNvGraphicFramePr>
              <a:graphicFrameLocks/>
            </wp:cNvGraphicFramePr>
            <a:graphic>
              <a:graphicData uri="http://schemas.openxmlformats.org/drawingml/2006/picture">
                <pic:pic>
                  <pic:nvPicPr>
                    <pic:cNvPr id="691" name="Image 691"/>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Style</w:t>
      </w:r>
      <w:r>
        <w:rPr>
          <w:rFonts w:ascii="Book Antiqua"/>
          <w:b/>
          <w:color w:val="231F20"/>
          <w:spacing w:val="12"/>
          <w:sz w:val="20"/>
        </w:rPr>
        <w:t> </w:t>
      </w:r>
      <w:r>
        <w:rPr>
          <w:color w:val="231F20"/>
          <w:sz w:val="20"/>
        </w:rPr>
        <w:t>tab</w:t>
      </w:r>
      <w:r>
        <w:rPr>
          <w:color w:val="231F20"/>
          <w:spacing w:val="13"/>
          <w:sz w:val="20"/>
        </w:rPr>
        <w:t> </w:t>
      </w:r>
      <w:r>
        <w:rPr>
          <w:color w:val="231F20"/>
          <w:sz w:val="20"/>
        </w:rPr>
        <w:t>to</w:t>
      </w:r>
      <w:r>
        <w:rPr>
          <w:color w:val="231F20"/>
          <w:spacing w:val="13"/>
          <w:sz w:val="20"/>
        </w:rPr>
        <w:t> </w:t>
      </w:r>
      <w:r>
        <w:rPr>
          <w:color w:val="231F20"/>
          <w:sz w:val="20"/>
        </w:rPr>
        <w:t>change</w:t>
      </w:r>
      <w:r>
        <w:rPr>
          <w:color w:val="231F20"/>
          <w:spacing w:val="12"/>
          <w:sz w:val="20"/>
        </w:rPr>
        <w:t> </w:t>
      </w:r>
      <w:r>
        <w:rPr>
          <w:color w:val="231F20"/>
          <w:sz w:val="20"/>
        </w:rPr>
        <w:t>the</w:t>
      </w:r>
      <w:r>
        <w:rPr>
          <w:color w:val="231F20"/>
          <w:spacing w:val="13"/>
          <w:sz w:val="20"/>
        </w:rPr>
        <w:t> </w:t>
      </w:r>
      <w:r>
        <w:rPr>
          <w:color w:val="231F20"/>
          <w:sz w:val="20"/>
        </w:rPr>
        <w:t>appearance</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pacing w:val="-2"/>
          <w:sz w:val="20"/>
        </w:rPr>
        <w:t>table.</w:t>
      </w:r>
    </w:p>
    <w:p>
      <w:pPr>
        <w:pStyle w:val="ListParagraph"/>
        <w:numPr>
          <w:ilvl w:val="1"/>
          <w:numId w:val="32"/>
        </w:numPr>
        <w:tabs>
          <w:tab w:pos="2644" w:val="left" w:leader="none"/>
          <w:tab w:pos="2711" w:val="left" w:leader="none"/>
        </w:tabs>
        <w:spacing w:line="213" w:lineRule="auto" w:before="53" w:after="0"/>
        <w:ind w:left="2644" w:right="1492" w:hanging="413"/>
        <w:jc w:val="left"/>
        <w:rPr>
          <w:sz w:val="20"/>
        </w:rPr>
      </w:pPr>
      <w:r>
        <w:rPr>
          <w:rFonts w:ascii="Arial"/>
          <w:color w:val="231F20"/>
          <w:sz w:val="20"/>
        </w:rPr>
        <w:tab/>
      </w:r>
      <w:r>
        <w:rPr>
          <w:color w:val="231F20"/>
          <w:w w:val="105"/>
          <w:sz w:val="20"/>
        </w:rPr>
        <w:t>In</w:t>
      </w:r>
      <w:r>
        <w:rPr>
          <w:color w:val="231F20"/>
          <w:spacing w:val="-2"/>
          <w:w w:val="105"/>
          <w:sz w:val="20"/>
        </w:rPr>
        <w:t> </w:t>
      </w:r>
      <w:r>
        <w:rPr>
          <w:color w:val="231F20"/>
          <w:w w:val="105"/>
          <w:sz w:val="20"/>
        </w:rPr>
        <w:t>the</w:t>
      </w:r>
      <w:r>
        <w:rPr>
          <w:color w:val="231F20"/>
          <w:spacing w:val="-2"/>
          <w:w w:val="105"/>
          <w:sz w:val="20"/>
        </w:rPr>
        <w:t> </w:t>
      </w:r>
      <w:r>
        <w:rPr>
          <w:rFonts w:ascii="Book Antiqua"/>
          <w:b/>
          <w:color w:val="231F20"/>
          <w:w w:val="105"/>
          <w:sz w:val="20"/>
        </w:rPr>
        <w:t>Header</w:t>
      </w:r>
      <w:r>
        <w:rPr>
          <w:color w:val="231F20"/>
          <w:w w:val="105"/>
          <w:sz w:val="20"/>
        </w:rPr>
        <w:t>,</w:t>
      </w:r>
      <w:r>
        <w:rPr>
          <w:color w:val="231F20"/>
          <w:spacing w:val="-2"/>
          <w:w w:val="105"/>
          <w:sz w:val="20"/>
        </w:rPr>
        <w:t> </w:t>
      </w:r>
      <w:r>
        <w:rPr>
          <w:color w:val="231F20"/>
          <w:w w:val="105"/>
          <w:sz w:val="20"/>
        </w:rPr>
        <w:t>type</w:t>
      </w:r>
      <w:r>
        <w:rPr>
          <w:color w:val="231F20"/>
          <w:spacing w:val="-2"/>
          <w:w w:val="105"/>
          <w:sz w:val="20"/>
        </w:rPr>
        <w:t> </w:t>
      </w:r>
      <w:r>
        <w:rPr>
          <w:color w:val="231F20"/>
          <w:w w:val="105"/>
          <w:sz w:val="20"/>
        </w:rPr>
        <w:t>the</w:t>
      </w:r>
      <w:r>
        <w:rPr>
          <w:color w:val="231F20"/>
          <w:spacing w:val="-2"/>
          <w:w w:val="105"/>
          <w:sz w:val="20"/>
        </w:rPr>
        <w:t> </w:t>
      </w:r>
      <w:r>
        <w:rPr>
          <w:color w:val="231F20"/>
          <w:w w:val="105"/>
          <w:sz w:val="20"/>
        </w:rPr>
        <w:t>following</w:t>
      </w:r>
      <w:r>
        <w:rPr>
          <w:color w:val="231F20"/>
          <w:spacing w:val="-2"/>
          <w:w w:val="105"/>
          <w:sz w:val="20"/>
        </w:rPr>
        <w:t> </w:t>
      </w:r>
      <w:r>
        <w:rPr>
          <w:color w:val="231F20"/>
          <w:w w:val="105"/>
          <w:sz w:val="20"/>
        </w:rPr>
        <w:t>title</w:t>
      </w:r>
      <w:r>
        <w:rPr>
          <w:color w:val="231F20"/>
          <w:spacing w:val="-2"/>
          <w:w w:val="105"/>
          <w:sz w:val="20"/>
        </w:rPr>
        <w:t> </w:t>
      </w:r>
      <w:r>
        <w:rPr>
          <w:color w:val="231F20"/>
          <w:w w:val="105"/>
          <w:sz w:val="20"/>
        </w:rPr>
        <w:t>in</w:t>
      </w:r>
      <w:r>
        <w:rPr>
          <w:color w:val="231F20"/>
          <w:spacing w:val="-2"/>
          <w:w w:val="105"/>
          <w:sz w:val="20"/>
        </w:rPr>
        <w:t> </w:t>
      </w:r>
      <w:r>
        <w:rPr>
          <w:color w:val="231F20"/>
          <w:w w:val="105"/>
          <w:sz w:val="20"/>
        </w:rPr>
        <w:t>the</w:t>
      </w:r>
      <w:r>
        <w:rPr>
          <w:color w:val="231F20"/>
          <w:spacing w:val="-2"/>
          <w:w w:val="105"/>
          <w:sz w:val="20"/>
        </w:rPr>
        <w:t> </w:t>
      </w:r>
      <w:r>
        <w:rPr>
          <w:color w:val="231F20"/>
          <w:w w:val="105"/>
          <w:sz w:val="20"/>
        </w:rPr>
        <w:t>Title</w:t>
      </w:r>
      <w:r>
        <w:rPr>
          <w:color w:val="231F20"/>
          <w:spacing w:val="-2"/>
          <w:w w:val="105"/>
          <w:sz w:val="20"/>
        </w:rPr>
        <w:t> </w:t>
      </w:r>
      <w:r>
        <w:rPr>
          <w:color w:val="231F20"/>
          <w:w w:val="105"/>
          <w:sz w:val="20"/>
        </w:rPr>
        <w:t>text</w:t>
      </w:r>
      <w:r>
        <w:rPr>
          <w:color w:val="231F20"/>
          <w:spacing w:val="-2"/>
          <w:w w:val="105"/>
          <w:sz w:val="20"/>
        </w:rPr>
        <w:t> </w:t>
      </w:r>
      <w:r>
        <w:rPr>
          <w:color w:val="231F20"/>
          <w:w w:val="105"/>
          <w:sz w:val="20"/>
        </w:rPr>
        <w:t>box:</w:t>
      </w:r>
      <w:r>
        <w:rPr>
          <w:color w:val="231F20"/>
          <w:spacing w:val="-2"/>
          <w:w w:val="105"/>
          <w:sz w:val="20"/>
        </w:rPr>
        <w:t> </w:t>
      </w:r>
      <w:r>
        <w:rPr>
          <w:rFonts w:ascii="Arial"/>
          <w:color w:val="231F20"/>
          <w:w w:val="105"/>
          <w:sz w:val="20"/>
        </w:rPr>
        <w:t>Tivoli Enterprise</w:t>
      </w:r>
      <w:r>
        <w:rPr>
          <w:rFonts w:ascii="Arial"/>
          <w:color w:val="231F20"/>
          <w:spacing w:val="40"/>
          <w:w w:val="105"/>
          <w:sz w:val="20"/>
        </w:rPr>
        <w:t> </w:t>
      </w:r>
      <w:r>
        <w:rPr>
          <w:rFonts w:ascii="Arial"/>
          <w:color w:val="231F20"/>
          <w:w w:val="105"/>
          <w:sz w:val="20"/>
        </w:rPr>
        <w:t>Monitoring</w:t>
      </w:r>
      <w:r>
        <w:rPr>
          <w:rFonts w:ascii="Arial"/>
          <w:color w:val="231F20"/>
          <w:spacing w:val="40"/>
          <w:w w:val="105"/>
          <w:sz w:val="20"/>
        </w:rPr>
        <w:t> </w:t>
      </w:r>
      <w:r>
        <w:rPr>
          <w:rFonts w:ascii="Arial"/>
          <w:color w:val="231F20"/>
          <w:w w:val="105"/>
          <w:sz w:val="20"/>
        </w:rPr>
        <w:t>Agent</w:t>
      </w:r>
      <w:r>
        <w:rPr>
          <w:rFonts w:ascii="Arial"/>
          <w:color w:val="231F20"/>
          <w:spacing w:val="40"/>
          <w:w w:val="105"/>
          <w:sz w:val="20"/>
        </w:rPr>
        <w:t> </w:t>
      </w:r>
      <w:r>
        <w:rPr>
          <w:rFonts w:ascii="Arial"/>
          <w:color w:val="231F20"/>
          <w:w w:val="105"/>
          <w:sz w:val="20"/>
        </w:rPr>
        <w:t>Status</w:t>
      </w:r>
      <w:r>
        <w:rPr>
          <w:color w:val="231F20"/>
          <w:w w:val="105"/>
          <w:sz w:val="20"/>
        </w:rPr>
        <w:t>.</w:t>
      </w:r>
    </w:p>
    <w:p>
      <w:pPr>
        <w:pStyle w:val="ListParagraph"/>
        <w:numPr>
          <w:ilvl w:val="1"/>
          <w:numId w:val="32"/>
        </w:numPr>
        <w:tabs>
          <w:tab w:pos="2726" w:val="left" w:leader="none"/>
        </w:tabs>
        <w:spacing w:line="240" w:lineRule="auto" w:before="35" w:after="0"/>
        <w:ind w:left="2726" w:right="0" w:hanging="494"/>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Heading4"/>
        <w:spacing w:before="194"/>
      </w:pPr>
      <w:r>
        <w:rPr>
          <w:color w:val="231F20"/>
        </w:rPr>
        <w:t>Save</w:t>
      </w:r>
      <w:r>
        <w:rPr>
          <w:color w:val="231F20"/>
          <w:spacing w:val="9"/>
        </w:rPr>
        <w:t> </w:t>
      </w:r>
      <w:r>
        <w:rPr>
          <w:color w:val="231F20"/>
        </w:rPr>
        <w:t>a</w:t>
      </w:r>
      <w:r>
        <w:rPr>
          <w:color w:val="231F20"/>
          <w:spacing w:val="9"/>
        </w:rPr>
        <w:t> </w:t>
      </w:r>
      <w:r>
        <w:rPr>
          <w:color w:val="231F20"/>
        </w:rPr>
        <w:t>new</w:t>
      </w:r>
      <w:r>
        <w:rPr>
          <w:color w:val="231F20"/>
          <w:spacing w:val="9"/>
        </w:rPr>
        <w:t> </w:t>
      </w:r>
      <w:r>
        <w:rPr>
          <w:color w:val="231F20"/>
          <w:spacing w:val="-2"/>
        </w:rPr>
        <w:t>workspace</w:t>
      </w:r>
    </w:p>
    <w:p>
      <w:pPr>
        <w:pStyle w:val="BodyText"/>
        <w:spacing w:before="218"/>
        <w:ind w:left="2232"/>
      </w:pPr>
      <w:r>
        <w:rPr>
          <w:color w:val="231F20"/>
        </w:rPr>
        <w:t>A new</w:t>
      </w:r>
      <w:r>
        <w:rPr>
          <w:color w:val="231F20"/>
          <w:spacing w:val="10"/>
        </w:rPr>
        <w:t> </w:t>
      </w:r>
      <w:r>
        <w:rPr>
          <w:color w:val="231F20"/>
        </w:rPr>
        <w:t>workspace</w:t>
      </w:r>
      <w:r>
        <w:rPr>
          <w:color w:val="231F20"/>
          <w:spacing w:val="10"/>
        </w:rPr>
        <w:t> </w:t>
      </w:r>
      <w:r>
        <w:rPr>
          <w:color w:val="231F20"/>
        </w:rPr>
        <w:t>can</w:t>
      </w:r>
      <w:r>
        <w:rPr>
          <w:color w:val="231F20"/>
          <w:spacing w:val="11"/>
        </w:rPr>
        <w:t> </w:t>
      </w:r>
      <w:r>
        <w:rPr>
          <w:color w:val="231F20"/>
        </w:rPr>
        <w:t>be</w:t>
      </w:r>
      <w:r>
        <w:rPr>
          <w:color w:val="231F20"/>
          <w:spacing w:val="10"/>
        </w:rPr>
        <w:t> </w:t>
      </w:r>
      <w:r>
        <w:rPr>
          <w:color w:val="231F20"/>
        </w:rPr>
        <w:t>saved</w:t>
      </w:r>
      <w:r>
        <w:rPr>
          <w:color w:val="231F20"/>
          <w:spacing w:val="10"/>
        </w:rPr>
        <w:t> </w:t>
      </w:r>
      <w:r>
        <w:rPr>
          <w:color w:val="231F20"/>
        </w:rPr>
        <w:t>by</w:t>
      </w:r>
      <w:r>
        <w:rPr>
          <w:color w:val="231F20"/>
          <w:spacing w:val="11"/>
        </w:rPr>
        <w:t> </w:t>
      </w:r>
      <w:r>
        <w:rPr>
          <w:color w:val="231F20"/>
        </w:rPr>
        <w:t>following</w:t>
      </w:r>
      <w:r>
        <w:rPr>
          <w:color w:val="231F20"/>
          <w:spacing w:val="10"/>
        </w:rPr>
        <w:t> </w:t>
      </w:r>
      <w:r>
        <w:rPr>
          <w:color w:val="231F20"/>
        </w:rPr>
        <w:t>the</w:t>
      </w:r>
      <w:r>
        <w:rPr>
          <w:color w:val="231F20"/>
          <w:spacing w:val="10"/>
        </w:rPr>
        <w:t> </w:t>
      </w:r>
      <w:r>
        <w:rPr>
          <w:color w:val="231F20"/>
        </w:rPr>
        <w:t>procedure</w:t>
      </w:r>
      <w:r>
        <w:rPr>
          <w:color w:val="231F20"/>
          <w:spacing w:val="11"/>
        </w:rPr>
        <w:t> </w:t>
      </w:r>
      <w:r>
        <w:rPr>
          <w:color w:val="231F20"/>
          <w:spacing w:val="-2"/>
        </w:rPr>
        <w:t>below:</w:t>
      </w:r>
    </w:p>
    <w:p>
      <w:pPr>
        <w:pStyle w:val="ListParagraph"/>
        <w:numPr>
          <w:ilvl w:val="0"/>
          <w:numId w:val="33"/>
        </w:numPr>
        <w:tabs>
          <w:tab w:pos="2615" w:val="left" w:leader="none"/>
        </w:tabs>
        <w:spacing w:line="240" w:lineRule="auto" w:before="30" w:after="0"/>
        <w:ind w:left="2615" w:right="0" w:hanging="383"/>
        <w:jc w:val="left"/>
        <w:rPr>
          <w:sz w:val="20"/>
        </w:rPr>
      </w:pPr>
      <w:r>
        <w:rPr>
          <w:color w:val="231F20"/>
          <w:sz w:val="20"/>
        </w:rPr>
        <w:t>Select</w:t>
      </w:r>
      <w:r>
        <w:rPr>
          <w:color w:val="231F20"/>
          <w:spacing w:val="8"/>
          <w:sz w:val="20"/>
        </w:rPr>
        <w:t> </w:t>
      </w:r>
      <w:r>
        <w:rPr>
          <w:rFonts w:ascii="Book Antiqua"/>
          <w:b/>
          <w:color w:val="231F20"/>
          <w:sz w:val="20"/>
        </w:rPr>
        <w:t>Save</w:t>
      </w:r>
      <w:r>
        <w:rPr>
          <w:rFonts w:ascii="Book Antiqua"/>
          <w:b/>
          <w:color w:val="231F20"/>
          <w:spacing w:val="9"/>
          <w:sz w:val="20"/>
        </w:rPr>
        <w:t> </w:t>
      </w:r>
      <w:r>
        <w:rPr>
          <w:rFonts w:ascii="Book Antiqua"/>
          <w:b/>
          <w:color w:val="231F20"/>
          <w:sz w:val="20"/>
        </w:rPr>
        <w:t>Workspace</w:t>
      </w:r>
      <w:r>
        <w:rPr>
          <w:rFonts w:ascii="Book Antiqua"/>
          <w:b/>
          <w:color w:val="231F20"/>
          <w:spacing w:val="8"/>
          <w:sz w:val="20"/>
        </w:rPr>
        <w:t> </w:t>
      </w:r>
      <w:r>
        <w:rPr>
          <w:rFonts w:ascii="Book Antiqua"/>
          <w:b/>
          <w:color w:val="231F20"/>
          <w:sz w:val="20"/>
        </w:rPr>
        <w:t>As</w:t>
      </w:r>
      <w:r>
        <w:rPr>
          <w:rFonts w:ascii="Book Antiqua"/>
          <w:b/>
          <w:color w:val="231F20"/>
          <w:spacing w:val="9"/>
          <w:sz w:val="20"/>
        </w:rPr>
        <w:t> </w:t>
      </w:r>
      <w:r>
        <w:rPr>
          <w:color w:val="231F20"/>
          <w:sz w:val="20"/>
        </w:rPr>
        <w:t>from</w:t>
      </w:r>
      <w:r>
        <w:rPr>
          <w:color w:val="231F20"/>
          <w:spacing w:val="9"/>
          <w:sz w:val="20"/>
        </w:rPr>
        <w:t> </w:t>
      </w:r>
      <w:r>
        <w:rPr>
          <w:color w:val="231F20"/>
          <w:sz w:val="20"/>
        </w:rPr>
        <w:t>the</w:t>
      </w:r>
      <w:r>
        <w:rPr>
          <w:color w:val="231F20"/>
          <w:spacing w:val="8"/>
          <w:sz w:val="20"/>
        </w:rPr>
        <w:t> </w:t>
      </w:r>
      <w:r>
        <w:rPr>
          <w:rFonts w:ascii="Book Antiqua"/>
          <w:b/>
          <w:color w:val="231F20"/>
          <w:sz w:val="20"/>
        </w:rPr>
        <w:t>File</w:t>
      </w:r>
      <w:r>
        <w:rPr>
          <w:rFonts w:ascii="Book Antiqua"/>
          <w:b/>
          <w:color w:val="231F20"/>
          <w:spacing w:val="9"/>
          <w:sz w:val="20"/>
        </w:rPr>
        <w:t> </w:t>
      </w:r>
      <w:r>
        <w:rPr>
          <w:color w:val="231F20"/>
          <w:spacing w:val="-2"/>
          <w:sz w:val="20"/>
        </w:rPr>
        <w:t>menu.</w:t>
      </w:r>
    </w:p>
    <w:p>
      <w:pPr>
        <w:pStyle w:val="BodyText"/>
        <w:spacing w:line="213" w:lineRule="auto" w:before="52"/>
        <w:ind w:left="2548" w:right="763"/>
      </w:pPr>
      <w:r>
        <w:rPr>
          <w:color w:val="231F20"/>
        </w:rPr>
        <w:t>If you are running Tivoli Enterprise Portal in browser mode, be sure to select its File menu and not browser's File menu.</w:t>
      </w:r>
    </w:p>
    <w:p>
      <w:pPr>
        <w:pStyle w:val="ListParagraph"/>
        <w:numPr>
          <w:ilvl w:val="0"/>
          <w:numId w:val="33"/>
        </w:numPr>
        <w:tabs>
          <w:tab w:pos="2620" w:val="left" w:leader="none"/>
        </w:tabs>
        <w:spacing w:line="240" w:lineRule="auto" w:before="36" w:after="0"/>
        <w:ind w:left="2620" w:right="0" w:hanging="388"/>
        <w:jc w:val="left"/>
        <w:rPr>
          <w:sz w:val="20"/>
        </w:rPr>
      </w:pPr>
      <w:r>
        <w:rPr>
          <w:color w:val="231F20"/>
          <w:spacing w:val="-4"/>
          <w:sz w:val="20"/>
        </w:rPr>
        <w:t>Type</w:t>
      </w:r>
      <w:r>
        <w:rPr>
          <w:color w:val="231F20"/>
          <w:spacing w:val="1"/>
          <w:sz w:val="20"/>
        </w:rPr>
        <w:t> </w:t>
      </w:r>
      <w:r>
        <w:rPr>
          <w:rFonts w:ascii="Arial"/>
          <w:color w:val="231F20"/>
          <w:spacing w:val="-4"/>
          <w:sz w:val="20"/>
        </w:rPr>
        <w:t>My Workspace </w:t>
      </w:r>
      <w:r>
        <w:rPr>
          <w:color w:val="231F20"/>
          <w:spacing w:val="-4"/>
          <w:sz w:val="20"/>
        </w:rPr>
        <w:t>in</w:t>
      </w:r>
      <w:r>
        <w:rPr>
          <w:color w:val="231F20"/>
          <w:spacing w:val="1"/>
          <w:sz w:val="20"/>
        </w:rPr>
        <w:t> </w:t>
      </w:r>
      <w:r>
        <w:rPr>
          <w:color w:val="231F20"/>
          <w:spacing w:val="-4"/>
          <w:sz w:val="20"/>
        </w:rPr>
        <w:t>the</w:t>
      </w:r>
      <w:r>
        <w:rPr>
          <w:color w:val="231F20"/>
          <w:spacing w:val="2"/>
          <w:sz w:val="20"/>
        </w:rPr>
        <w:t> </w:t>
      </w:r>
      <w:r>
        <w:rPr>
          <w:rFonts w:ascii="Book Antiqua"/>
          <w:b/>
          <w:color w:val="231F20"/>
          <w:spacing w:val="-4"/>
          <w:sz w:val="20"/>
        </w:rPr>
        <w:t>Name</w:t>
      </w:r>
      <w:r>
        <w:rPr>
          <w:rFonts w:ascii="Book Antiqua"/>
          <w:b/>
          <w:color w:val="231F20"/>
          <w:spacing w:val="2"/>
          <w:sz w:val="20"/>
        </w:rPr>
        <w:t> </w:t>
      </w:r>
      <w:r>
        <w:rPr>
          <w:color w:val="231F20"/>
          <w:spacing w:val="-4"/>
          <w:sz w:val="20"/>
        </w:rPr>
        <w:t>field.</w:t>
      </w:r>
    </w:p>
    <w:p>
      <w:pPr>
        <w:pStyle w:val="Heading6"/>
        <w:numPr>
          <w:ilvl w:val="0"/>
          <w:numId w:val="33"/>
        </w:numPr>
        <w:tabs>
          <w:tab w:pos="2615" w:val="left" w:leader="none"/>
        </w:tabs>
        <w:spacing w:line="240" w:lineRule="auto" w:before="29" w:after="0"/>
        <w:ind w:left="2615" w:right="0" w:hanging="383"/>
        <w:jc w:val="left"/>
        <w:rPr>
          <w:rFonts w:ascii="Palatino Linotype"/>
          <w:b w:val="0"/>
        </w:rPr>
      </w:pPr>
      <w:r>
        <w:rPr>
          <w:rFonts w:ascii="Palatino Linotype"/>
          <w:b w:val="0"/>
          <w:color w:val="231F20"/>
        </w:rPr>
        <w:t>Select</w:t>
      </w:r>
      <w:r>
        <w:rPr>
          <w:rFonts w:ascii="Palatino Linotype"/>
          <w:b w:val="0"/>
          <w:color w:val="231F20"/>
          <w:spacing w:val="10"/>
        </w:rPr>
        <w:t> </w:t>
      </w:r>
      <w:r>
        <w:rPr>
          <w:color w:val="231F20"/>
        </w:rPr>
        <w:t>Assign</w:t>
      </w:r>
      <w:r>
        <w:rPr>
          <w:color w:val="231F20"/>
          <w:spacing w:val="11"/>
        </w:rPr>
        <w:t> </w:t>
      </w:r>
      <w:r>
        <w:rPr>
          <w:color w:val="231F20"/>
        </w:rPr>
        <w:t>as</w:t>
      </w:r>
      <w:r>
        <w:rPr>
          <w:color w:val="231F20"/>
          <w:spacing w:val="11"/>
        </w:rPr>
        <w:t> </w:t>
      </w:r>
      <w:r>
        <w:rPr>
          <w:color w:val="231F20"/>
        </w:rPr>
        <w:t>default</w:t>
      </w:r>
      <w:r>
        <w:rPr>
          <w:color w:val="231F20"/>
          <w:spacing w:val="11"/>
        </w:rPr>
        <w:t> </w:t>
      </w:r>
      <w:r>
        <w:rPr>
          <w:color w:val="231F20"/>
        </w:rPr>
        <w:t>for</w:t>
      </w:r>
      <w:r>
        <w:rPr>
          <w:color w:val="231F20"/>
          <w:spacing w:val="11"/>
        </w:rPr>
        <w:t> </w:t>
      </w:r>
      <w:r>
        <w:rPr>
          <w:color w:val="231F20"/>
        </w:rPr>
        <w:t>this</w:t>
      </w:r>
      <w:r>
        <w:rPr>
          <w:color w:val="231F20"/>
          <w:spacing w:val="11"/>
        </w:rPr>
        <w:t> </w:t>
      </w:r>
      <w:r>
        <w:rPr>
          <w:color w:val="231F20"/>
        </w:rPr>
        <w:t>Navigator</w:t>
      </w:r>
      <w:r>
        <w:rPr>
          <w:color w:val="231F20"/>
          <w:spacing w:val="11"/>
        </w:rPr>
        <w:t> </w:t>
      </w:r>
      <w:r>
        <w:rPr>
          <w:color w:val="231F20"/>
          <w:spacing w:val="-2"/>
        </w:rPr>
        <w:t>Item</w:t>
      </w:r>
      <w:r>
        <w:rPr>
          <w:rFonts w:ascii="Palatino Linotype"/>
          <w:b w:val="0"/>
          <w:color w:val="231F20"/>
          <w:spacing w:val="-2"/>
        </w:rPr>
        <w:t>.</w:t>
      </w:r>
    </w:p>
    <w:p>
      <w:pPr>
        <w:pStyle w:val="ListParagraph"/>
        <w:numPr>
          <w:ilvl w:val="0"/>
          <w:numId w:val="33"/>
        </w:numPr>
        <w:tabs>
          <w:tab w:pos="2615" w:val="left" w:leader="none"/>
        </w:tabs>
        <w:spacing w:line="240" w:lineRule="auto" w:before="30" w:after="0"/>
        <w:ind w:left="2615" w:right="0" w:hanging="383"/>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ListParagraph"/>
        <w:numPr>
          <w:ilvl w:val="0"/>
          <w:numId w:val="33"/>
        </w:numPr>
        <w:tabs>
          <w:tab w:pos="2618" w:val="left" w:leader="none"/>
        </w:tabs>
        <w:spacing w:line="240" w:lineRule="auto" w:before="29" w:after="0"/>
        <w:ind w:left="2618" w:right="0" w:hanging="386"/>
        <w:jc w:val="left"/>
        <w:rPr>
          <w:sz w:val="20"/>
        </w:rPr>
      </w:pPr>
      <w:r>
        <w:rPr>
          <w:color w:val="231F20"/>
          <w:spacing w:val="-2"/>
          <w:sz w:val="20"/>
        </w:rPr>
        <w:t>Take</w:t>
      </w:r>
      <w:r>
        <w:rPr>
          <w:color w:val="231F20"/>
          <w:spacing w:val="3"/>
          <w:sz w:val="20"/>
        </w:rPr>
        <w:t> </w:t>
      </w:r>
      <w:r>
        <w:rPr>
          <w:color w:val="231F20"/>
          <w:spacing w:val="-2"/>
          <w:sz w:val="20"/>
        </w:rPr>
        <w:t>note</w:t>
      </w:r>
      <w:r>
        <w:rPr>
          <w:color w:val="231F20"/>
          <w:spacing w:val="4"/>
          <w:sz w:val="20"/>
        </w:rPr>
        <w:t> </w:t>
      </w:r>
      <w:r>
        <w:rPr>
          <w:color w:val="231F20"/>
          <w:spacing w:val="-2"/>
          <w:sz w:val="20"/>
        </w:rPr>
        <w:t>of</w:t>
      </w:r>
      <w:r>
        <w:rPr>
          <w:color w:val="231F20"/>
          <w:spacing w:val="4"/>
          <w:sz w:val="20"/>
        </w:rPr>
        <w:t> </w:t>
      </w:r>
      <w:r>
        <w:rPr>
          <w:color w:val="231F20"/>
          <w:spacing w:val="-2"/>
          <w:sz w:val="20"/>
        </w:rPr>
        <w:t>which</w:t>
      </w:r>
      <w:r>
        <w:rPr>
          <w:color w:val="231F20"/>
          <w:spacing w:val="4"/>
          <w:sz w:val="20"/>
        </w:rPr>
        <w:t> </w:t>
      </w:r>
      <w:r>
        <w:rPr>
          <w:color w:val="231F20"/>
          <w:spacing w:val="-2"/>
          <w:sz w:val="20"/>
        </w:rPr>
        <w:t>Navigator</w:t>
      </w:r>
      <w:r>
        <w:rPr>
          <w:color w:val="231F20"/>
          <w:spacing w:val="4"/>
          <w:sz w:val="20"/>
        </w:rPr>
        <w:t> </w:t>
      </w:r>
      <w:r>
        <w:rPr>
          <w:color w:val="231F20"/>
          <w:spacing w:val="-2"/>
          <w:sz w:val="20"/>
        </w:rPr>
        <w:t>item</w:t>
      </w:r>
      <w:r>
        <w:rPr>
          <w:color w:val="231F20"/>
          <w:spacing w:val="4"/>
          <w:sz w:val="20"/>
        </w:rPr>
        <w:t> </w:t>
      </w:r>
      <w:r>
        <w:rPr>
          <w:rFonts w:ascii="Arial"/>
          <w:color w:val="231F20"/>
          <w:spacing w:val="-2"/>
          <w:sz w:val="20"/>
        </w:rPr>
        <w:t>My</w:t>
      </w:r>
      <w:r>
        <w:rPr>
          <w:rFonts w:ascii="Arial"/>
          <w:color w:val="231F20"/>
          <w:spacing w:val="-1"/>
          <w:sz w:val="20"/>
        </w:rPr>
        <w:t> </w:t>
      </w:r>
      <w:r>
        <w:rPr>
          <w:rFonts w:ascii="Arial"/>
          <w:color w:val="231F20"/>
          <w:spacing w:val="-2"/>
          <w:sz w:val="20"/>
        </w:rPr>
        <w:t>Workspace</w:t>
      </w:r>
      <w:r>
        <w:rPr>
          <w:color w:val="231F20"/>
          <w:spacing w:val="-2"/>
          <w:sz w:val="20"/>
        </w:rPr>
        <w:t>is</w:t>
      </w:r>
      <w:r>
        <w:rPr>
          <w:color w:val="231F20"/>
          <w:spacing w:val="4"/>
          <w:sz w:val="20"/>
        </w:rPr>
        <w:t> </w:t>
      </w:r>
      <w:r>
        <w:rPr>
          <w:color w:val="231F20"/>
          <w:spacing w:val="-2"/>
          <w:sz w:val="20"/>
        </w:rPr>
        <w:t>associated</w:t>
      </w:r>
      <w:r>
        <w:rPr>
          <w:color w:val="231F20"/>
          <w:spacing w:val="4"/>
          <w:sz w:val="20"/>
        </w:rPr>
        <w:t> </w:t>
      </w:r>
      <w:r>
        <w:rPr>
          <w:color w:val="231F20"/>
          <w:spacing w:val="-2"/>
          <w:sz w:val="20"/>
        </w:rPr>
        <w:t>with.</w:t>
      </w:r>
    </w:p>
    <w:p>
      <w:pPr>
        <w:pStyle w:val="ListParagraph"/>
        <w:numPr>
          <w:ilvl w:val="0"/>
          <w:numId w:val="33"/>
        </w:numPr>
        <w:tabs>
          <w:tab w:pos="2548" w:val="left" w:leader="none"/>
          <w:tab w:pos="2615" w:val="left" w:leader="none"/>
        </w:tabs>
        <w:spacing w:line="213" w:lineRule="auto" w:before="53" w:after="0"/>
        <w:ind w:left="2548" w:right="736" w:hanging="316"/>
        <w:jc w:val="left"/>
        <w:rPr>
          <w:sz w:val="20"/>
        </w:rPr>
      </w:pPr>
      <w:r>
        <w:rPr>
          <w:rFonts w:ascii="Arial"/>
          <w:color w:val="231F20"/>
          <w:sz w:val="20"/>
        </w:rPr>
        <w:tab/>
      </w:r>
      <w:r>
        <w:rPr>
          <w:color w:val="231F20"/>
          <w:sz w:val="20"/>
        </w:rPr>
        <w:t>Now test your workspace by opening another workspace, then clicking </w:t>
      </w:r>
      <w:r>
        <w:rPr>
          <w:color w:val="231F20"/>
          <w:sz w:val="20"/>
        </w:rPr>
        <w:t>this Navigator item again.</w:t>
      </w:r>
    </w:p>
    <w:p>
      <w:pPr>
        <w:pStyle w:val="Heading4"/>
      </w:pPr>
      <w:r>
        <w:rPr>
          <w:color w:val="231F20"/>
        </w:rPr>
        <w:t>Edit</w:t>
      </w:r>
      <w:r>
        <w:rPr>
          <w:color w:val="231F20"/>
          <w:spacing w:val="4"/>
        </w:rPr>
        <w:t> </w:t>
      </w:r>
      <w:r>
        <w:rPr>
          <w:color w:val="231F20"/>
        </w:rPr>
        <w:t>workspace</w:t>
      </w:r>
      <w:r>
        <w:rPr>
          <w:color w:val="231F20"/>
          <w:spacing w:val="5"/>
        </w:rPr>
        <w:t> </w:t>
      </w:r>
      <w:r>
        <w:rPr>
          <w:color w:val="231F20"/>
          <w:spacing w:val="-2"/>
        </w:rPr>
        <w:t>properties</w:t>
      </w:r>
    </w:p>
    <w:p>
      <w:pPr>
        <w:pStyle w:val="BodyText"/>
        <w:spacing w:before="218"/>
        <w:ind w:left="2232"/>
      </w:pPr>
      <w:r>
        <w:rPr>
          <w:color w:val="231F20"/>
        </w:rPr>
        <w:t>The</w:t>
      </w:r>
      <w:r>
        <w:rPr>
          <w:color w:val="231F20"/>
          <w:spacing w:val="9"/>
        </w:rPr>
        <w:t> </w:t>
      </w:r>
      <w:r>
        <w:rPr>
          <w:color w:val="231F20"/>
        </w:rPr>
        <w:t>workspace</w:t>
      </w:r>
      <w:r>
        <w:rPr>
          <w:color w:val="231F20"/>
          <w:spacing w:val="10"/>
        </w:rPr>
        <w:t> </w:t>
      </w:r>
      <w:r>
        <w:rPr>
          <w:color w:val="231F20"/>
        </w:rPr>
        <w:t>properties</w:t>
      </w:r>
      <w:r>
        <w:rPr>
          <w:color w:val="231F20"/>
          <w:spacing w:val="10"/>
        </w:rPr>
        <w:t> </w:t>
      </w:r>
      <w:r>
        <w:rPr>
          <w:color w:val="231F20"/>
        </w:rPr>
        <w:t>can</w:t>
      </w:r>
      <w:r>
        <w:rPr>
          <w:color w:val="231F20"/>
          <w:spacing w:val="10"/>
        </w:rPr>
        <w:t> </w:t>
      </w:r>
      <w:r>
        <w:rPr>
          <w:color w:val="231F20"/>
        </w:rPr>
        <w:t>be</w:t>
      </w:r>
      <w:r>
        <w:rPr>
          <w:color w:val="231F20"/>
          <w:spacing w:val="10"/>
        </w:rPr>
        <w:t> </w:t>
      </w:r>
      <w:r>
        <w:rPr>
          <w:color w:val="231F20"/>
        </w:rPr>
        <w:t>edited</w:t>
      </w:r>
      <w:r>
        <w:rPr>
          <w:color w:val="231F20"/>
          <w:spacing w:val="10"/>
        </w:rPr>
        <w:t> </w:t>
      </w:r>
      <w:r>
        <w:rPr>
          <w:color w:val="231F20"/>
        </w:rPr>
        <w:t>by</w:t>
      </w:r>
      <w:r>
        <w:rPr>
          <w:color w:val="231F20"/>
          <w:spacing w:val="10"/>
        </w:rPr>
        <w:t> </w:t>
      </w:r>
      <w:r>
        <w:rPr>
          <w:color w:val="231F20"/>
        </w:rPr>
        <w:t>completing</w:t>
      </w:r>
      <w:r>
        <w:rPr>
          <w:color w:val="231F20"/>
          <w:spacing w:val="10"/>
        </w:rPr>
        <w:t> </w:t>
      </w:r>
      <w:r>
        <w:rPr>
          <w:color w:val="231F20"/>
        </w:rPr>
        <w:t>the</w:t>
      </w:r>
      <w:r>
        <w:rPr>
          <w:color w:val="231F20"/>
          <w:spacing w:val="10"/>
        </w:rPr>
        <w:t> </w:t>
      </w:r>
      <w:r>
        <w:rPr>
          <w:color w:val="231F20"/>
        </w:rPr>
        <w:t>following</w:t>
      </w:r>
      <w:r>
        <w:rPr>
          <w:color w:val="231F20"/>
          <w:spacing w:val="10"/>
        </w:rPr>
        <w:t> </w:t>
      </w:r>
      <w:r>
        <w:rPr>
          <w:color w:val="231F20"/>
          <w:spacing w:val="-2"/>
        </w:rPr>
        <w:t>procedure:</w:t>
      </w:r>
    </w:p>
    <w:p>
      <w:pPr>
        <w:pStyle w:val="ListParagraph"/>
        <w:numPr>
          <w:ilvl w:val="0"/>
          <w:numId w:val="34"/>
        </w:numPr>
        <w:tabs>
          <w:tab w:pos="2615" w:val="left" w:leader="none"/>
        </w:tabs>
        <w:spacing w:line="240" w:lineRule="auto" w:before="30" w:after="0"/>
        <w:ind w:left="2615" w:right="0" w:hanging="383"/>
        <w:jc w:val="left"/>
        <w:rPr>
          <w:sz w:val="20"/>
        </w:rPr>
      </w:pPr>
      <w:r>
        <w:rPr>
          <w:color w:val="231F20"/>
          <w:sz w:val="20"/>
        </w:rPr>
        <w:t>With</w:t>
      </w:r>
      <w:r>
        <w:rPr>
          <w:color w:val="231F20"/>
          <w:spacing w:val="7"/>
          <w:sz w:val="20"/>
        </w:rPr>
        <w:t> </w:t>
      </w:r>
      <w:r>
        <w:rPr>
          <w:color w:val="231F20"/>
          <w:sz w:val="20"/>
        </w:rPr>
        <w:t>My</w:t>
      </w:r>
      <w:r>
        <w:rPr>
          <w:color w:val="231F20"/>
          <w:spacing w:val="7"/>
          <w:sz w:val="20"/>
        </w:rPr>
        <w:t> </w:t>
      </w:r>
      <w:r>
        <w:rPr>
          <w:color w:val="231F20"/>
          <w:sz w:val="20"/>
        </w:rPr>
        <w:t>Workspace</w:t>
      </w:r>
      <w:r>
        <w:rPr>
          <w:color w:val="231F20"/>
          <w:spacing w:val="8"/>
          <w:sz w:val="20"/>
        </w:rPr>
        <w:t> </w:t>
      </w:r>
      <w:r>
        <w:rPr>
          <w:color w:val="231F20"/>
          <w:sz w:val="20"/>
        </w:rPr>
        <w:t>open,</w:t>
      </w:r>
      <w:r>
        <w:rPr>
          <w:color w:val="231F20"/>
          <w:spacing w:val="7"/>
          <w:sz w:val="20"/>
        </w:rPr>
        <w:t> </w:t>
      </w:r>
      <w:r>
        <w:rPr>
          <w:color w:val="231F20"/>
          <w:sz w:val="20"/>
        </w:rPr>
        <w:t>click</w:t>
      </w:r>
      <w:r>
        <w:rPr>
          <w:color w:val="231F20"/>
          <w:spacing w:val="6"/>
          <w:sz w:val="20"/>
        </w:rPr>
        <w:t> </w:t>
      </w:r>
      <w:r>
        <w:rPr>
          <w:color w:val="231F20"/>
          <w:spacing w:val="15"/>
          <w:position w:val="-1"/>
          <w:sz w:val="20"/>
        </w:rPr>
        <w:drawing>
          <wp:inline distT="0" distB="0" distL="0" distR="0">
            <wp:extent cx="101600" cy="95250"/>
            <wp:effectExtent l="0" t="0" r="0" b="0"/>
            <wp:docPr id="692" name="Image 692"/>
            <wp:cNvGraphicFramePr>
              <a:graphicFrameLocks/>
            </wp:cNvGraphicFramePr>
            <a:graphic>
              <a:graphicData uri="http://schemas.openxmlformats.org/drawingml/2006/picture">
                <pic:pic>
                  <pic:nvPicPr>
                    <pic:cNvPr id="692" name="Image 692"/>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37"/>
          <w:sz w:val="20"/>
        </w:rPr>
        <w:t> </w:t>
      </w:r>
      <w:r>
        <w:rPr>
          <w:color w:val="231F20"/>
          <w:spacing w:val="-2"/>
          <w:sz w:val="20"/>
        </w:rPr>
        <w:t>Properties.</w:t>
      </w:r>
    </w:p>
    <w:p>
      <w:pPr>
        <w:pStyle w:val="BodyText"/>
        <w:spacing w:line="213" w:lineRule="auto" w:before="52"/>
        <w:ind w:left="2548" w:right="493"/>
      </w:pPr>
      <w:r>
        <w:rPr>
          <w:color w:val="231F20"/>
        </w:rPr>
        <w:t>When you open the Properties editor for a workspace from the toolbar as opposed to the pop-up menu, the properties for the workspace display.</w:t>
      </w:r>
    </w:p>
    <w:p>
      <w:pPr>
        <w:pStyle w:val="Heading6"/>
        <w:numPr>
          <w:ilvl w:val="0"/>
          <w:numId w:val="34"/>
        </w:numPr>
        <w:tabs>
          <w:tab w:pos="2615" w:val="left" w:leader="none"/>
        </w:tabs>
        <w:spacing w:line="240" w:lineRule="auto" w:before="36" w:after="0"/>
        <w:ind w:left="2615" w:right="0" w:hanging="383"/>
        <w:jc w:val="left"/>
        <w:rPr>
          <w:rFonts w:ascii="Palatino Linotype"/>
          <w:b w:val="0"/>
        </w:rPr>
      </w:pPr>
      <w:r>
        <w:rPr>
          <w:rFonts w:ascii="Palatino Linotype"/>
          <w:b w:val="0"/>
          <w:color w:val="231F20"/>
        </w:rPr>
        <w:t>Clear</w:t>
      </w:r>
      <w:r>
        <w:rPr>
          <w:rFonts w:ascii="Palatino Linotype"/>
          <w:b w:val="0"/>
          <w:color w:val="231F20"/>
          <w:spacing w:val="11"/>
        </w:rPr>
        <w:t> </w:t>
      </w:r>
      <w:r>
        <w:rPr>
          <w:color w:val="231F20"/>
        </w:rPr>
        <w:t>Assign</w:t>
      </w:r>
      <w:r>
        <w:rPr>
          <w:color w:val="231F20"/>
          <w:spacing w:val="11"/>
        </w:rPr>
        <w:t> </w:t>
      </w:r>
      <w:r>
        <w:rPr>
          <w:color w:val="231F20"/>
        </w:rPr>
        <w:t>as</w:t>
      </w:r>
      <w:r>
        <w:rPr>
          <w:color w:val="231F20"/>
          <w:spacing w:val="11"/>
        </w:rPr>
        <w:t> </w:t>
      </w:r>
      <w:r>
        <w:rPr>
          <w:color w:val="231F20"/>
        </w:rPr>
        <w:t>default</w:t>
      </w:r>
      <w:r>
        <w:rPr>
          <w:color w:val="231F20"/>
          <w:spacing w:val="11"/>
        </w:rPr>
        <w:t> </w:t>
      </w:r>
      <w:r>
        <w:rPr>
          <w:color w:val="231F20"/>
        </w:rPr>
        <w:t>for</w:t>
      </w:r>
      <w:r>
        <w:rPr>
          <w:color w:val="231F20"/>
          <w:spacing w:val="11"/>
        </w:rPr>
        <w:t> </w:t>
      </w:r>
      <w:r>
        <w:rPr>
          <w:color w:val="231F20"/>
        </w:rPr>
        <w:t>this</w:t>
      </w:r>
      <w:r>
        <w:rPr>
          <w:color w:val="231F20"/>
          <w:spacing w:val="11"/>
        </w:rPr>
        <w:t> </w:t>
      </w:r>
      <w:r>
        <w:rPr>
          <w:color w:val="231F20"/>
        </w:rPr>
        <w:t>Navigator</w:t>
      </w:r>
      <w:r>
        <w:rPr>
          <w:color w:val="231F20"/>
          <w:spacing w:val="11"/>
        </w:rPr>
        <w:t> </w:t>
      </w:r>
      <w:r>
        <w:rPr>
          <w:color w:val="231F20"/>
          <w:spacing w:val="-2"/>
        </w:rPr>
        <w:t>Item</w:t>
      </w:r>
      <w:r>
        <w:rPr>
          <w:rFonts w:ascii="Palatino Linotype"/>
          <w:b w:val="0"/>
          <w:color w:val="231F20"/>
          <w:spacing w:val="-2"/>
        </w:rPr>
        <w:t>.</w:t>
      </w:r>
    </w:p>
    <w:p>
      <w:pPr>
        <w:pStyle w:val="ListParagraph"/>
        <w:numPr>
          <w:ilvl w:val="0"/>
          <w:numId w:val="34"/>
        </w:numPr>
        <w:tabs>
          <w:tab w:pos="2615" w:val="left" w:leader="none"/>
        </w:tabs>
        <w:spacing w:line="240" w:lineRule="auto" w:before="29" w:after="0"/>
        <w:ind w:left="2615" w:right="0" w:hanging="383"/>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ListParagraph"/>
        <w:numPr>
          <w:ilvl w:val="0"/>
          <w:numId w:val="34"/>
        </w:numPr>
        <w:tabs>
          <w:tab w:pos="2615" w:val="left" w:leader="none"/>
        </w:tabs>
        <w:spacing w:line="240" w:lineRule="auto" w:before="30" w:after="0"/>
        <w:ind w:left="2615" w:right="0" w:hanging="383"/>
        <w:jc w:val="left"/>
        <w:rPr>
          <w:sz w:val="20"/>
        </w:rPr>
      </w:pPr>
      <w:r>
        <w:rPr>
          <w:color w:val="231F20"/>
          <w:sz w:val="20"/>
        </w:rPr>
        <w:t>Click</w:t>
      </w:r>
      <w:r>
        <w:rPr>
          <w:color w:val="231F20"/>
          <w:spacing w:val="23"/>
          <w:sz w:val="20"/>
        </w:rPr>
        <w:t> </w:t>
      </w:r>
      <w:r>
        <w:rPr>
          <w:color w:val="231F20"/>
          <w:spacing w:val="-24"/>
          <w:position w:val="-1"/>
          <w:sz w:val="20"/>
        </w:rPr>
        <w:drawing>
          <wp:inline distT="0" distB="0" distL="0" distR="0">
            <wp:extent cx="95250" cy="95250"/>
            <wp:effectExtent l="0" t="0" r="0" b="0"/>
            <wp:docPr id="693" name="Image 693"/>
            <wp:cNvGraphicFramePr>
              <a:graphicFrameLocks/>
            </wp:cNvGraphicFramePr>
            <a:graphic>
              <a:graphicData uri="http://schemas.openxmlformats.org/drawingml/2006/picture">
                <pic:pic>
                  <pic:nvPicPr>
                    <pic:cNvPr id="693" name="Image 693"/>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1"/>
          <w:sz w:val="20"/>
        </w:rPr>
        <w:t> </w:t>
      </w:r>
      <w:r>
        <w:rPr>
          <w:rFonts w:ascii="Book Antiqua"/>
          <w:b/>
          <w:color w:val="231F20"/>
          <w:spacing w:val="-2"/>
          <w:sz w:val="20"/>
        </w:rPr>
        <w:t>Save</w:t>
      </w:r>
      <w:r>
        <w:rPr>
          <w:color w:val="231F20"/>
          <w:spacing w:val="-2"/>
          <w:sz w:val="20"/>
        </w:rPr>
        <w:t>.</w:t>
      </w:r>
    </w:p>
    <w:p>
      <w:pPr>
        <w:pStyle w:val="ListParagraph"/>
        <w:numPr>
          <w:ilvl w:val="0"/>
          <w:numId w:val="34"/>
        </w:numPr>
        <w:tabs>
          <w:tab w:pos="2548" w:val="left" w:leader="none"/>
          <w:tab w:pos="2615" w:val="left" w:leader="none"/>
        </w:tabs>
        <w:spacing w:line="213" w:lineRule="auto" w:before="52" w:after="0"/>
        <w:ind w:left="2548" w:right="1260" w:hanging="316"/>
        <w:jc w:val="left"/>
        <w:rPr>
          <w:sz w:val="20"/>
        </w:rPr>
      </w:pPr>
      <w:r>
        <w:rPr>
          <w:rFonts w:ascii="Arial"/>
          <w:color w:val="231F20"/>
          <w:sz w:val="20"/>
        </w:rPr>
        <w:tab/>
      </w:r>
      <w:r>
        <w:rPr>
          <w:color w:val="231F20"/>
          <w:sz w:val="20"/>
        </w:rPr>
        <w:t>Test the new setting by opening another workspace, then clicking </w:t>
      </w:r>
      <w:r>
        <w:rPr>
          <w:color w:val="231F20"/>
          <w:sz w:val="20"/>
        </w:rPr>
        <w:t>this Navigator item again.</w:t>
      </w:r>
    </w:p>
    <w:p>
      <w:pPr>
        <w:spacing w:after="0" w:line="213" w:lineRule="auto"/>
        <w:jc w:val="left"/>
        <w:rPr>
          <w:sz w:val="20"/>
        </w:rPr>
        <w:sectPr>
          <w:pgSz w:w="12240" w:h="15840"/>
          <w:pgMar w:header="0" w:footer="736" w:top="1180" w:bottom="920" w:left="1000" w:right="1060"/>
        </w:sectPr>
      </w:pPr>
    </w:p>
    <w:p>
      <w:pPr>
        <w:pStyle w:val="BodyText"/>
        <w:spacing w:line="213" w:lineRule="auto" w:before="85"/>
        <w:ind w:left="2788" w:right="545"/>
      </w:pPr>
      <w:bookmarkStart w:name="_bookmark53" w:id="117"/>
      <w:bookmarkEnd w:id="117"/>
      <w:r>
        <w:rPr/>
      </w:r>
      <w:r>
        <w:rPr>
          <w:color w:val="231F20"/>
        </w:rPr>
        <w:t>My Workspace does not display. Instead, you see the original </w:t>
      </w:r>
      <w:r>
        <w:rPr>
          <w:color w:val="231F20"/>
        </w:rPr>
        <w:t>undefined workspace, which is the default workspace for this Navigator item.</w:t>
      </w:r>
    </w:p>
    <w:p>
      <w:pPr>
        <w:pStyle w:val="ListParagraph"/>
        <w:numPr>
          <w:ilvl w:val="0"/>
          <w:numId w:val="34"/>
        </w:numPr>
        <w:tabs>
          <w:tab w:pos="2788" w:val="left" w:leader="none"/>
          <w:tab w:pos="2854" w:val="left" w:leader="none"/>
        </w:tabs>
        <w:spacing w:line="213" w:lineRule="auto" w:before="58" w:after="0"/>
        <w:ind w:left="2788" w:right="379" w:hanging="316"/>
        <w:jc w:val="left"/>
        <w:rPr>
          <w:sz w:val="20"/>
        </w:rPr>
      </w:pPr>
      <w:r>
        <w:rPr>
          <w:rFonts w:ascii="Arial" w:hAnsi="Arial"/>
          <w:color w:val="231F20"/>
          <w:sz w:val="20"/>
        </w:rPr>
        <w:tab/>
      </w:r>
      <w:r>
        <w:rPr>
          <w:color w:val="231F20"/>
          <w:sz w:val="20"/>
        </w:rPr>
        <w:t>To open My Workspace, right-click the Navigator item, click </w:t>
      </w:r>
      <w:r>
        <w:rPr>
          <w:rFonts w:ascii="Book Antiqua" w:hAnsi="Book Antiqua"/>
          <w:b/>
          <w:color w:val="231F20"/>
          <w:sz w:val="20"/>
        </w:rPr>
        <w:t>Workspace</w:t>
      </w:r>
      <w:r>
        <w:rPr>
          <w:color w:val="231F20"/>
          <w:sz w:val="20"/>
        </w:rPr>
        <w:t>, </w:t>
      </w:r>
      <w:r>
        <w:rPr>
          <w:color w:val="231F20"/>
          <w:sz w:val="20"/>
        </w:rPr>
        <w:t>and select “My Workspace” from the list.</w:t>
      </w:r>
    </w:p>
    <w:p>
      <w:pPr>
        <w:pStyle w:val="Heading4"/>
        <w:ind w:left="2472"/>
      </w:pPr>
      <w:r>
        <w:rPr>
          <w:color w:val="231F20"/>
        </w:rPr>
        <w:t>Opening</w:t>
      </w:r>
      <w:r>
        <w:rPr>
          <w:color w:val="231F20"/>
          <w:spacing w:val="7"/>
        </w:rPr>
        <w:t> </w:t>
      </w:r>
      <w:r>
        <w:rPr>
          <w:color w:val="231F20"/>
        </w:rPr>
        <w:t>a</w:t>
      </w:r>
      <w:r>
        <w:rPr>
          <w:color w:val="231F20"/>
          <w:spacing w:val="8"/>
        </w:rPr>
        <w:t> </w:t>
      </w:r>
      <w:r>
        <w:rPr>
          <w:color w:val="231F20"/>
        </w:rPr>
        <w:t>new</w:t>
      </w:r>
      <w:r>
        <w:rPr>
          <w:color w:val="231F20"/>
          <w:spacing w:val="8"/>
        </w:rPr>
        <w:t> </w:t>
      </w:r>
      <w:r>
        <w:rPr>
          <w:color w:val="231F20"/>
          <w:spacing w:val="-2"/>
        </w:rPr>
        <w:t>window</w:t>
      </w:r>
    </w:p>
    <w:p>
      <w:pPr>
        <w:pStyle w:val="BodyText"/>
        <w:spacing w:before="218"/>
        <w:ind w:left="2472"/>
      </w:pPr>
      <w:r>
        <w:rPr>
          <w:color w:val="231F20"/>
        </w:rPr>
        <w:t>Open</w:t>
      </w:r>
      <w:r>
        <w:rPr>
          <w:color w:val="231F20"/>
          <w:spacing w:val="12"/>
        </w:rPr>
        <w:t> </w:t>
      </w:r>
      <w:r>
        <w:rPr>
          <w:color w:val="231F20"/>
        </w:rPr>
        <w:t>a</w:t>
      </w:r>
      <w:r>
        <w:rPr>
          <w:color w:val="231F20"/>
          <w:spacing w:val="13"/>
        </w:rPr>
        <w:t> </w:t>
      </w:r>
      <w:r>
        <w:rPr>
          <w:color w:val="231F20"/>
        </w:rPr>
        <w:t>new</w:t>
      </w:r>
      <w:r>
        <w:rPr>
          <w:color w:val="231F20"/>
          <w:spacing w:val="13"/>
        </w:rPr>
        <w:t> </w:t>
      </w:r>
      <w:r>
        <w:rPr>
          <w:color w:val="231F20"/>
          <w:spacing w:val="-2"/>
        </w:rPr>
        <w:t>window.</w:t>
      </w:r>
    </w:p>
    <w:p>
      <w:pPr>
        <w:pStyle w:val="ListParagraph"/>
        <w:numPr>
          <w:ilvl w:val="0"/>
          <w:numId w:val="35"/>
        </w:numPr>
        <w:tabs>
          <w:tab w:pos="2787" w:val="left" w:leader="none"/>
        </w:tabs>
        <w:spacing w:line="240" w:lineRule="auto" w:before="30" w:after="0"/>
        <w:ind w:left="2787" w:right="0" w:hanging="315"/>
        <w:jc w:val="left"/>
        <w:rPr>
          <w:sz w:val="20"/>
        </w:rPr>
      </w:pPr>
      <w:r>
        <w:rPr>
          <w:color w:val="231F20"/>
          <w:sz w:val="20"/>
        </w:rPr>
        <w:t>In</w:t>
      </w:r>
      <w:r>
        <w:rPr>
          <w:color w:val="231F20"/>
          <w:spacing w:val="10"/>
          <w:sz w:val="20"/>
        </w:rPr>
        <w:t> </w:t>
      </w:r>
      <w:r>
        <w:rPr>
          <w:color w:val="231F20"/>
          <w:sz w:val="20"/>
        </w:rPr>
        <w:t>desktop</w:t>
      </w:r>
      <w:r>
        <w:rPr>
          <w:color w:val="231F20"/>
          <w:spacing w:val="10"/>
          <w:sz w:val="20"/>
        </w:rPr>
        <w:t> </w:t>
      </w:r>
      <w:r>
        <w:rPr>
          <w:color w:val="231F20"/>
          <w:sz w:val="20"/>
        </w:rPr>
        <w:t>mode,</w:t>
      </w:r>
      <w:r>
        <w:rPr>
          <w:color w:val="231F20"/>
          <w:spacing w:val="11"/>
          <w:sz w:val="20"/>
        </w:rPr>
        <w:t> </w:t>
      </w:r>
      <w:r>
        <w:rPr>
          <w:color w:val="231F20"/>
          <w:sz w:val="20"/>
        </w:rPr>
        <w:t>click</w:t>
      </w:r>
      <w:r>
        <w:rPr>
          <w:color w:val="231F20"/>
          <w:spacing w:val="10"/>
          <w:sz w:val="20"/>
        </w:rPr>
        <w:t> </w:t>
      </w:r>
      <w:r>
        <w:rPr>
          <w:color w:val="231F20"/>
          <w:sz w:val="20"/>
        </w:rPr>
        <w:t>new</w:t>
      </w:r>
      <w:r>
        <w:rPr>
          <w:color w:val="231F20"/>
          <w:spacing w:val="10"/>
          <w:sz w:val="20"/>
        </w:rPr>
        <w:t> </w:t>
      </w:r>
      <w:r>
        <w:rPr>
          <w:color w:val="231F20"/>
          <w:sz w:val="20"/>
        </w:rPr>
        <w:t>windowNew</w:t>
      </w:r>
      <w:r>
        <w:rPr>
          <w:color w:val="231F20"/>
          <w:spacing w:val="11"/>
          <w:sz w:val="20"/>
        </w:rPr>
        <w:t> </w:t>
      </w:r>
      <w:r>
        <w:rPr>
          <w:color w:val="231F20"/>
          <w:spacing w:val="-2"/>
          <w:sz w:val="20"/>
        </w:rPr>
        <w:t>Window.</w:t>
      </w:r>
    </w:p>
    <w:p>
      <w:pPr>
        <w:pStyle w:val="BodyText"/>
        <w:spacing w:line="213" w:lineRule="auto" w:before="52"/>
        <w:ind w:left="2788" w:right="274"/>
      </w:pPr>
      <w:r>
        <w:rPr>
          <w:color w:val="231F20"/>
        </w:rPr>
        <w:t>The new window is a duplicate of the original. Any previously visited workspaces are retained from the parent window; use Go back and Go forward to revisit them. Further navigation to other workspaces in either window, however, is independent of the other window.</w:t>
      </w:r>
    </w:p>
    <w:p>
      <w:pPr>
        <w:pStyle w:val="BodyText"/>
        <w:spacing w:line="213" w:lineRule="auto" w:before="237"/>
        <w:ind w:left="2472" w:right="385"/>
      </w:pPr>
      <w:r>
        <w:rPr>
          <w:color w:val="231F20"/>
        </w:rPr>
        <w:t>Note that you can close duplicate windows (click File &gt; Close) or the original; </w:t>
      </w:r>
      <w:r>
        <w:rPr>
          <w:color w:val="231F20"/>
        </w:rPr>
        <w:t>the</w:t>
      </w:r>
      <w:r>
        <w:rPr>
          <w:color w:val="231F20"/>
          <w:spacing w:val="40"/>
        </w:rPr>
        <w:t> </w:t>
      </w:r>
      <w:r>
        <w:rPr>
          <w:color w:val="231F20"/>
        </w:rPr>
        <w:t>work session remains active as long as one window is open.</w:t>
      </w:r>
    </w:p>
    <w:p>
      <w:pPr>
        <w:pStyle w:val="BodyText"/>
        <w:spacing w:line="213" w:lineRule="auto" w:before="238"/>
        <w:ind w:left="2472" w:right="258"/>
      </w:pPr>
      <w:r>
        <w:rPr>
          <w:rFonts w:ascii="Book Antiqua"/>
          <w:b/>
          <w:color w:val="231F20"/>
        </w:rPr>
        <w:t>Note:</w:t>
      </w:r>
      <w:r>
        <w:rPr>
          <w:rFonts w:ascii="Book Antiqua"/>
          <w:b/>
          <w:color w:val="231F20"/>
          <w:spacing w:val="40"/>
        </w:rPr>
        <w:t> </w:t>
      </w:r>
      <w:r>
        <w:rPr>
          <w:color w:val="231F20"/>
        </w:rPr>
        <w:t>To view two workspaces at the same time, create a new window. Any</w:t>
      </w:r>
      <w:r>
        <w:rPr>
          <w:color w:val="231F20"/>
          <w:spacing w:val="80"/>
        </w:rPr>
        <w:t> </w:t>
      </w:r>
      <w:r>
        <w:rPr>
          <w:color w:val="231F20"/>
        </w:rPr>
        <w:t>changes you make in this or the other window (or windows, if you open more) are</w:t>
      </w:r>
      <w:r>
        <w:rPr>
          <w:color w:val="231F20"/>
          <w:spacing w:val="40"/>
        </w:rPr>
        <w:t> </w:t>
      </w:r>
      <w:r>
        <w:rPr>
          <w:color w:val="231F20"/>
        </w:rPr>
        <w:t>saved with the application.</w:t>
      </w:r>
    </w:p>
    <w:p>
      <w:pPr>
        <w:pStyle w:val="BodyText"/>
        <w:spacing w:line="213" w:lineRule="auto" w:before="238"/>
        <w:ind w:left="2472" w:right="545"/>
      </w:pPr>
      <w:r>
        <w:rPr>
          <w:rFonts w:ascii="Book Antiqua"/>
          <w:b/>
          <w:color w:val="231F20"/>
        </w:rPr>
        <w:t>Tip: </w:t>
      </w:r>
      <w:r>
        <w:rPr>
          <w:color w:val="231F20"/>
        </w:rPr>
        <w:t>You can set the properties of a workspace to open in a new window automatically whenever it is selected. If you are running the Tivoli Enterprise Portal in browser mode from a browser that is enabled for tabs, the </w:t>
      </w:r>
      <w:r>
        <w:rPr>
          <w:color w:val="231F20"/>
        </w:rPr>
        <w:t>workspace opens in a new tabbed page.</w:t>
      </w:r>
    </w:p>
    <w:p>
      <w:pPr>
        <w:pStyle w:val="Heading4"/>
        <w:spacing w:before="198"/>
        <w:ind w:left="2472"/>
      </w:pPr>
      <w:r>
        <w:rPr>
          <w:color w:val="231F20"/>
          <w:spacing w:val="-2"/>
        </w:rPr>
        <w:t>Conclusion</w:t>
      </w:r>
    </w:p>
    <w:p>
      <w:pPr>
        <w:pStyle w:val="BodyText"/>
        <w:spacing w:line="213" w:lineRule="auto" w:before="241"/>
        <w:ind w:left="2472"/>
      </w:pPr>
      <w:r>
        <w:rPr>
          <w:color w:val="231F20"/>
        </w:rPr>
        <w:t>In this lesson you learned some of the techniques used to define and </w:t>
      </w:r>
      <w:r>
        <w:rPr>
          <w:color w:val="231F20"/>
        </w:rPr>
        <w:t>customize </w:t>
      </w:r>
      <w:r>
        <w:rPr>
          <w:color w:val="231F20"/>
          <w:spacing w:val="-2"/>
        </w:rPr>
        <w:t>workspaces:</w:t>
      </w:r>
    </w:p>
    <w:p>
      <w:pPr>
        <w:pStyle w:val="BodyText"/>
        <w:spacing w:before="36"/>
        <w:ind w:left="2472"/>
      </w:pPr>
      <w:r>
        <w:rPr>
          <w:rFonts w:ascii="Futura MdCn BT"/>
          <w:color w:val="231F20"/>
        </w:rPr>
        <w:t>v</w:t>
      </w:r>
      <w:r>
        <w:rPr>
          <w:rFonts w:ascii="Futura MdCn BT"/>
          <w:color w:val="231F20"/>
          <w:spacing w:val="34"/>
        </w:rPr>
        <w:t>  </w:t>
      </w:r>
      <w:r>
        <w:rPr>
          <w:color w:val="231F20"/>
        </w:rPr>
        <w:t>Split</w:t>
      </w:r>
      <w:r>
        <w:rPr>
          <w:color w:val="231F20"/>
          <w:spacing w:val="15"/>
        </w:rPr>
        <w:t> </w:t>
      </w:r>
      <w:r>
        <w:rPr>
          <w:color w:val="231F20"/>
        </w:rPr>
        <w:t>a</w:t>
      </w:r>
      <w:r>
        <w:rPr>
          <w:color w:val="231F20"/>
          <w:spacing w:val="15"/>
        </w:rPr>
        <w:t> </w:t>
      </w:r>
      <w:r>
        <w:rPr>
          <w:color w:val="231F20"/>
          <w:spacing w:val="-2"/>
        </w:rPr>
        <w:t>view.</w:t>
      </w:r>
    </w:p>
    <w:p>
      <w:pPr>
        <w:pStyle w:val="BodyText"/>
        <w:spacing w:before="29"/>
        <w:ind w:left="2472"/>
      </w:pPr>
      <w:r>
        <w:rPr>
          <w:rFonts w:ascii="Futura MdCn BT"/>
          <w:color w:val="231F20"/>
        </w:rPr>
        <w:t>v</w:t>
      </w:r>
      <w:r>
        <w:rPr>
          <w:rFonts w:ascii="Futura MdCn BT"/>
          <w:color w:val="231F20"/>
          <w:spacing w:val="30"/>
        </w:rPr>
        <w:t>  </w:t>
      </w:r>
      <w:r>
        <w:rPr>
          <w:color w:val="231F20"/>
        </w:rPr>
        <w:t>Change</w:t>
      </w:r>
      <w:r>
        <w:rPr>
          <w:color w:val="231F20"/>
          <w:spacing w:val="13"/>
        </w:rPr>
        <w:t> </w:t>
      </w:r>
      <w:r>
        <w:rPr>
          <w:color w:val="231F20"/>
        </w:rPr>
        <w:t>to</w:t>
      </w:r>
      <w:r>
        <w:rPr>
          <w:color w:val="231F20"/>
          <w:spacing w:val="11"/>
        </w:rPr>
        <w:t> </w:t>
      </w:r>
      <w:r>
        <w:rPr>
          <w:color w:val="231F20"/>
        </w:rPr>
        <w:t>a</w:t>
      </w:r>
      <w:r>
        <w:rPr>
          <w:color w:val="231F20"/>
          <w:spacing w:val="12"/>
        </w:rPr>
        <w:t> </w:t>
      </w:r>
      <w:r>
        <w:rPr>
          <w:color w:val="231F20"/>
        </w:rPr>
        <w:t>different</w:t>
      </w:r>
      <w:r>
        <w:rPr>
          <w:color w:val="231F20"/>
          <w:spacing w:val="11"/>
        </w:rPr>
        <w:t> </w:t>
      </w:r>
      <w:r>
        <w:rPr>
          <w:color w:val="231F20"/>
        </w:rPr>
        <w:t>view:</w:t>
      </w:r>
      <w:r>
        <w:rPr>
          <w:color w:val="231F20"/>
          <w:spacing w:val="12"/>
        </w:rPr>
        <w:t> </w:t>
      </w:r>
      <w:r>
        <w:rPr>
          <w:color w:val="231F20"/>
        </w:rPr>
        <w:t>table</w:t>
      </w:r>
      <w:r>
        <w:rPr>
          <w:color w:val="231F20"/>
          <w:spacing w:val="12"/>
        </w:rPr>
        <w:t> </w:t>
      </w:r>
      <w:r>
        <w:rPr>
          <w:color w:val="231F20"/>
        </w:rPr>
        <w:t>and</w:t>
      </w:r>
      <w:r>
        <w:rPr>
          <w:color w:val="231F20"/>
          <w:spacing w:val="11"/>
        </w:rPr>
        <w:t> </w:t>
      </w:r>
      <w:r>
        <w:rPr>
          <w:color w:val="231F20"/>
        </w:rPr>
        <w:t>message</w:t>
      </w:r>
      <w:r>
        <w:rPr>
          <w:color w:val="231F20"/>
          <w:spacing w:val="12"/>
        </w:rPr>
        <w:t> </w:t>
      </w:r>
      <w:r>
        <w:rPr>
          <w:color w:val="231F20"/>
          <w:spacing w:val="-4"/>
        </w:rPr>
        <w:t>log.</w:t>
      </w:r>
    </w:p>
    <w:p>
      <w:pPr>
        <w:pStyle w:val="BodyText"/>
        <w:spacing w:before="30"/>
        <w:ind w:left="2472"/>
      </w:pPr>
      <w:r>
        <w:rPr>
          <w:rFonts w:ascii="Futura MdCn BT"/>
          <w:color w:val="231F20"/>
        </w:rPr>
        <w:t>v</w:t>
      </w:r>
      <w:r>
        <w:rPr>
          <w:rFonts w:ascii="Futura MdCn BT"/>
          <w:color w:val="231F20"/>
          <w:spacing w:val="31"/>
        </w:rPr>
        <w:t>  </w:t>
      </w:r>
      <w:r>
        <w:rPr>
          <w:color w:val="231F20"/>
        </w:rPr>
        <w:t>Swapping</w:t>
      </w:r>
      <w:r>
        <w:rPr>
          <w:color w:val="231F20"/>
          <w:spacing w:val="13"/>
        </w:rPr>
        <w:t> </w:t>
      </w:r>
      <w:r>
        <w:rPr>
          <w:color w:val="231F20"/>
        </w:rPr>
        <w:t>views</w:t>
      </w:r>
      <w:r>
        <w:rPr>
          <w:color w:val="231F20"/>
          <w:spacing w:val="12"/>
        </w:rPr>
        <w:t> </w:t>
      </w:r>
      <w:r>
        <w:rPr>
          <w:color w:val="231F20"/>
        </w:rPr>
        <w:t>by</w:t>
      </w:r>
      <w:r>
        <w:rPr>
          <w:color w:val="231F20"/>
          <w:spacing w:val="12"/>
        </w:rPr>
        <w:t> </w:t>
      </w:r>
      <w:r>
        <w:rPr>
          <w:color w:val="231F20"/>
        </w:rPr>
        <w:t>dragging</w:t>
      </w:r>
      <w:r>
        <w:rPr>
          <w:color w:val="231F20"/>
          <w:spacing w:val="12"/>
        </w:rPr>
        <w:t> </w:t>
      </w:r>
      <w:r>
        <w:rPr>
          <w:color w:val="231F20"/>
        </w:rPr>
        <w:t>one</w:t>
      </w:r>
      <w:r>
        <w:rPr>
          <w:color w:val="231F20"/>
          <w:spacing w:val="13"/>
        </w:rPr>
        <w:t> </w:t>
      </w:r>
      <w:r>
        <w:rPr>
          <w:color w:val="231F20"/>
        </w:rPr>
        <w:t>view</w:t>
      </w:r>
      <w:r>
        <w:rPr>
          <w:color w:val="231F20"/>
          <w:spacing w:val="12"/>
        </w:rPr>
        <w:t> </w:t>
      </w:r>
      <w:r>
        <w:rPr>
          <w:color w:val="231F20"/>
        </w:rPr>
        <w:t>over</w:t>
      </w:r>
      <w:r>
        <w:rPr>
          <w:color w:val="231F20"/>
          <w:spacing w:val="12"/>
        </w:rPr>
        <w:t> </w:t>
      </w:r>
      <w:r>
        <w:rPr>
          <w:color w:val="231F20"/>
        </w:rPr>
        <w:t>the</w:t>
      </w:r>
      <w:r>
        <w:rPr>
          <w:color w:val="231F20"/>
          <w:spacing w:val="12"/>
        </w:rPr>
        <w:t> </w:t>
      </w:r>
      <w:r>
        <w:rPr>
          <w:color w:val="231F20"/>
          <w:spacing w:val="-2"/>
        </w:rPr>
        <w:t>other.</w:t>
      </w:r>
    </w:p>
    <w:p>
      <w:pPr>
        <w:pStyle w:val="BodyText"/>
        <w:spacing w:line="213" w:lineRule="auto" w:before="52"/>
        <w:ind w:left="2688" w:right="274" w:hanging="216"/>
      </w:pPr>
      <w:r>
        <w:rPr>
          <w:rFonts w:ascii="Futura MdCn BT"/>
          <w:color w:val="231F20"/>
        </w:rPr>
        <w:t>v</w:t>
      </w:r>
      <w:r>
        <w:rPr>
          <w:rFonts w:ascii="Futura MdCn BT"/>
          <w:color w:val="231F20"/>
          <w:spacing w:val="80"/>
          <w:w w:val="150"/>
        </w:rPr>
        <w:t> </w:t>
      </w:r>
      <w:r>
        <w:rPr>
          <w:color w:val="231F20"/>
        </w:rPr>
        <w:t>Edit</w:t>
      </w:r>
      <w:r>
        <w:rPr>
          <w:color w:val="231F20"/>
          <w:spacing w:val="13"/>
        </w:rPr>
        <w:t> </w:t>
      </w:r>
      <w:r>
        <w:rPr>
          <w:color w:val="231F20"/>
        </w:rPr>
        <w:t>the</w:t>
      </w:r>
      <w:r>
        <w:rPr>
          <w:color w:val="231F20"/>
          <w:spacing w:val="13"/>
        </w:rPr>
        <w:t> </w:t>
      </w:r>
      <w:r>
        <w:rPr>
          <w:color w:val="231F20"/>
        </w:rPr>
        <w:t>properties</w:t>
      </w:r>
      <w:r>
        <w:rPr>
          <w:color w:val="231F20"/>
          <w:spacing w:val="13"/>
        </w:rPr>
        <w:t> </w:t>
      </w:r>
      <w:r>
        <w:rPr>
          <w:color w:val="231F20"/>
        </w:rPr>
        <w:t>for</w:t>
      </w:r>
      <w:r>
        <w:rPr>
          <w:color w:val="231F20"/>
          <w:spacing w:val="13"/>
        </w:rPr>
        <w:t> </w:t>
      </w:r>
      <w:r>
        <w:rPr>
          <w:color w:val="231F20"/>
        </w:rPr>
        <w:t>a</w:t>
      </w:r>
      <w:r>
        <w:rPr>
          <w:color w:val="231F20"/>
          <w:spacing w:val="13"/>
        </w:rPr>
        <w:t> </w:t>
      </w:r>
      <w:r>
        <w:rPr>
          <w:color w:val="231F20"/>
        </w:rPr>
        <w:t>view:</w:t>
      </w:r>
      <w:r>
        <w:rPr>
          <w:color w:val="231F20"/>
          <w:spacing w:val="13"/>
        </w:rPr>
        <w:t> </w:t>
      </w:r>
      <w:r>
        <w:rPr>
          <w:color w:val="231F20"/>
        </w:rPr>
        <w:t>Select</w:t>
      </w:r>
      <w:r>
        <w:rPr>
          <w:color w:val="231F20"/>
          <w:spacing w:val="13"/>
        </w:rPr>
        <w:t> </w:t>
      </w:r>
      <w:r>
        <w:rPr>
          <w:color w:val="231F20"/>
        </w:rPr>
        <w:t>a</w:t>
      </w:r>
      <w:r>
        <w:rPr>
          <w:color w:val="231F20"/>
          <w:spacing w:val="13"/>
        </w:rPr>
        <w:t> </w:t>
      </w:r>
      <w:r>
        <w:rPr>
          <w:color w:val="231F20"/>
        </w:rPr>
        <w:t>query</w:t>
      </w:r>
      <w:r>
        <w:rPr>
          <w:color w:val="231F20"/>
          <w:spacing w:val="13"/>
        </w:rPr>
        <w:t> </w:t>
      </w:r>
      <w:r>
        <w:rPr>
          <w:color w:val="231F20"/>
        </w:rPr>
        <w:t>for</w:t>
      </w:r>
      <w:r>
        <w:rPr>
          <w:color w:val="231F20"/>
          <w:spacing w:val="13"/>
        </w:rPr>
        <w:t> </w:t>
      </w:r>
      <w:r>
        <w:rPr>
          <w:color w:val="231F20"/>
        </w:rPr>
        <w:t>the</w:t>
      </w:r>
      <w:r>
        <w:rPr>
          <w:color w:val="231F20"/>
          <w:spacing w:val="13"/>
        </w:rPr>
        <w:t> </w:t>
      </w:r>
      <w:r>
        <w:rPr>
          <w:color w:val="231F20"/>
        </w:rPr>
        <w:t>table,</w:t>
      </w:r>
      <w:r>
        <w:rPr>
          <w:color w:val="231F20"/>
          <w:spacing w:val="13"/>
        </w:rPr>
        <w:t> </w:t>
      </w:r>
      <w:r>
        <w:rPr>
          <w:color w:val="231F20"/>
        </w:rPr>
        <w:t>then</w:t>
      </w:r>
      <w:r>
        <w:rPr>
          <w:color w:val="231F20"/>
          <w:spacing w:val="13"/>
        </w:rPr>
        <w:t> </w:t>
      </w:r>
      <w:r>
        <w:rPr>
          <w:color w:val="231F20"/>
        </w:rPr>
        <w:t>filter</w:t>
      </w:r>
      <w:r>
        <w:rPr>
          <w:color w:val="231F20"/>
          <w:spacing w:val="13"/>
        </w:rPr>
        <w:t> </w:t>
      </w:r>
      <w:r>
        <w:rPr>
          <w:color w:val="231F20"/>
        </w:rPr>
        <w:t>it</w:t>
      </w:r>
      <w:r>
        <w:rPr>
          <w:color w:val="231F20"/>
          <w:spacing w:val="13"/>
        </w:rPr>
        <w:t> </w:t>
      </w:r>
      <w:r>
        <w:rPr>
          <w:color w:val="231F20"/>
        </w:rPr>
        <w:t>and</w:t>
      </w:r>
      <w:r>
        <w:rPr>
          <w:color w:val="231F20"/>
          <w:spacing w:val="13"/>
        </w:rPr>
        <w:t> </w:t>
      </w:r>
      <w:r>
        <w:rPr>
          <w:color w:val="231F20"/>
        </w:rPr>
        <w:t>add a threshold and title.</w:t>
      </w:r>
    </w:p>
    <w:p>
      <w:pPr>
        <w:pStyle w:val="BodyText"/>
        <w:spacing w:line="213" w:lineRule="auto" w:before="59"/>
        <w:ind w:left="2688" w:right="493" w:hanging="216"/>
      </w:pPr>
      <w:r>
        <w:rPr>
          <w:rFonts w:ascii="Futura MdCn BT"/>
          <w:color w:val="231F20"/>
        </w:rPr>
        <w:t>v</w:t>
      </w:r>
      <w:r>
        <w:rPr>
          <w:rFonts w:ascii="Futura MdCn BT"/>
          <w:color w:val="231F20"/>
          <w:spacing w:val="80"/>
        </w:rPr>
        <w:t> </w:t>
      </w:r>
      <w:r>
        <w:rPr>
          <w:color w:val="231F20"/>
        </w:rPr>
        <w:t>Save the workspace, making the new workspace the default for the </w:t>
      </w:r>
      <w:r>
        <w:rPr>
          <w:color w:val="231F20"/>
        </w:rPr>
        <w:t>Navigator</w:t>
      </w:r>
      <w:r>
        <w:rPr>
          <w:color w:val="231F20"/>
        </w:rPr>
        <w:t> </w:t>
      </w:r>
      <w:r>
        <w:rPr>
          <w:color w:val="231F20"/>
          <w:spacing w:val="-2"/>
        </w:rPr>
        <w:t>item.</w:t>
      </w:r>
    </w:p>
    <w:p>
      <w:pPr>
        <w:pStyle w:val="BodyText"/>
        <w:spacing w:before="35"/>
        <w:ind w:left="2472"/>
      </w:pPr>
      <w:r>
        <w:rPr>
          <w:rFonts w:ascii="Futura MdCn BT"/>
          <w:color w:val="231F20"/>
        </w:rPr>
        <w:t>v</w:t>
      </w:r>
      <w:r>
        <w:rPr>
          <w:rFonts w:ascii="Futura MdCn BT"/>
          <w:color w:val="231F20"/>
          <w:spacing w:val="30"/>
        </w:rPr>
        <w:t>  </w:t>
      </w:r>
      <w:r>
        <w:rPr>
          <w:color w:val="231F20"/>
        </w:rPr>
        <w:t>Edit</w:t>
      </w:r>
      <w:r>
        <w:rPr>
          <w:color w:val="231F20"/>
          <w:spacing w:val="12"/>
        </w:rPr>
        <w:t> </w:t>
      </w:r>
      <w:r>
        <w:rPr>
          <w:color w:val="231F20"/>
        </w:rPr>
        <w:t>the</w:t>
      </w:r>
      <w:r>
        <w:rPr>
          <w:color w:val="231F20"/>
          <w:spacing w:val="12"/>
        </w:rPr>
        <w:t> </w:t>
      </w:r>
      <w:r>
        <w:rPr>
          <w:color w:val="231F20"/>
        </w:rPr>
        <w:t>properties</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workspace</w:t>
      </w:r>
      <w:r>
        <w:rPr>
          <w:color w:val="231F20"/>
          <w:spacing w:val="12"/>
        </w:rPr>
        <w:t> </w:t>
      </w:r>
      <w:r>
        <w:rPr>
          <w:color w:val="231F20"/>
        </w:rPr>
        <w:t>to</w:t>
      </w:r>
      <w:r>
        <w:rPr>
          <w:color w:val="231F20"/>
          <w:spacing w:val="11"/>
        </w:rPr>
        <w:t> </w:t>
      </w:r>
      <w:r>
        <w:rPr>
          <w:color w:val="231F20"/>
        </w:rPr>
        <w:t>remove</w:t>
      </w:r>
      <w:r>
        <w:rPr>
          <w:color w:val="231F20"/>
          <w:spacing w:val="12"/>
        </w:rPr>
        <w:t> </w:t>
      </w:r>
      <w:r>
        <w:rPr>
          <w:color w:val="231F20"/>
        </w:rPr>
        <w:t>the</w:t>
      </w:r>
      <w:r>
        <w:rPr>
          <w:color w:val="231F20"/>
          <w:spacing w:val="11"/>
        </w:rPr>
        <w:t> </w:t>
      </w:r>
      <w:r>
        <w:rPr>
          <w:color w:val="231F20"/>
        </w:rPr>
        <w:t>default</w:t>
      </w:r>
      <w:r>
        <w:rPr>
          <w:color w:val="231F20"/>
          <w:spacing w:val="12"/>
        </w:rPr>
        <w:t> </w:t>
      </w:r>
      <w:r>
        <w:rPr>
          <w:color w:val="231F20"/>
          <w:spacing w:val="-2"/>
        </w:rPr>
        <w:t>status.</w:t>
      </w:r>
    </w:p>
    <w:p>
      <w:pPr>
        <w:pStyle w:val="BodyText"/>
        <w:rPr>
          <w:sz w:val="16"/>
        </w:rPr>
      </w:pPr>
      <w:r>
        <w:rPr/>
        <mc:AlternateContent>
          <mc:Choice Requires="wps">
            <w:drawing>
              <wp:anchor distT="0" distB="0" distL="0" distR="0" allowOverlap="1" layoutInCell="1" locked="0" behindDoc="1" simplePos="0" relativeHeight="487655936">
                <wp:simplePos x="0" y="0"/>
                <wp:positionH relativeFrom="page">
                  <wp:posOffset>912380</wp:posOffset>
                </wp:positionH>
                <wp:positionV relativeFrom="paragraph">
                  <wp:posOffset>152501</wp:posOffset>
                </wp:positionV>
                <wp:extent cx="6082665" cy="1270"/>
                <wp:effectExtent l="0" t="0" r="0" b="0"/>
                <wp:wrapTopAndBottom/>
                <wp:docPr id="694" name="Graphic 694"/>
                <wp:cNvGraphicFramePr>
                  <a:graphicFrameLocks/>
                </wp:cNvGraphicFramePr>
                <a:graphic>
                  <a:graphicData uri="http://schemas.microsoft.com/office/word/2010/wordprocessingShape">
                    <wps:wsp>
                      <wps:cNvPr id="694" name="Graphic 69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0799pt;width:478.95pt;height:.1pt;mso-position-horizontal-relative:page;mso-position-vertical-relative:paragraph;z-index:-15660544;mso-wrap-distance-left:0;mso-wrap-distance-right:0" id="docshape108"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Starting workspace administration mode" w:id="118"/>
      <w:bookmarkEnd w:id="118"/>
      <w:r>
        <w:rPr>
          <w:b w:val="0"/>
        </w:rPr>
      </w:r>
      <w:r>
        <w:rPr>
          <w:color w:val="231F20"/>
        </w:rPr>
        <w:t>Starting workspace administration </w:t>
      </w:r>
      <w:bookmarkStart w:name="_bookmark52" w:id="119"/>
      <w:bookmarkEnd w:id="119"/>
      <w:r>
        <w:rPr>
          <w:color w:val="231F20"/>
          <w:spacing w:val="-4"/>
        </w:rPr>
        <w:t>mode</w:t>
      </w:r>
    </w:p>
    <w:p>
      <w:pPr>
        <w:pStyle w:val="BodyText"/>
        <w:spacing w:line="213" w:lineRule="auto" w:before="138"/>
        <w:ind w:left="2472" w:right="258"/>
      </w:pPr>
      <w:r>
        <w:rPr>
          <w:color w:val="231F20"/>
        </w:rPr>
        <w:t>Typically, workspaces you create are saved with your user ID and no other users can</w:t>
      </w:r>
      <w:r>
        <w:rPr>
          <w:color w:val="231F20"/>
          <w:spacing w:val="25"/>
        </w:rPr>
        <w:t> </w:t>
      </w:r>
      <w:r>
        <w:rPr>
          <w:color w:val="231F20"/>
        </w:rPr>
        <w:t>see</w:t>
      </w:r>
      <w:r>
        <w:rPr>
          <w:color w:val="231F20"/>
          <w:spacing w:val="25"/>
        </w:rPr>
        <w:t> </w:t>
      </w:r>
      <w:r>
        <w:rPr>
          <w:color w:val="231F20"/>
        </w:rPr>
        <w:t>them.</w:t>
      </w:r>
      <w:r>
        <w:rPr>
          <w:color w:val="231F20"/>
          <w:spacing w:val="21"/>
        </w:rPr>
        <w:t> </w:t>
      </w:r>
      <w:r>
        <w:rPr>
          <w:color w:val="231F20"/>
        </w:rPr>
        <w:t>You</w:t>
      </w:r>
      <w:r>
        <w:rPr>
          <w:color w:val="231F20"/>
          <w:spacing w:val="25"/>
        </w:rPr>
        <w:t> </w:t>
      </w:r>
      <w:r>
        <w:rPr>
          <w:color w:val="231F20"/>
        </w:rPr>
        <w:t>can</w:t>
      </w:r>
      <w:r>
        <w:rPr>
          <w:color w:val="231F20"/>
          <w:spacing w:val="25"/>
        </w:rPr>
        <w:t> </w:t>
      </w:r>
      <w:r>
        <w:rPr>
          <w:color w:val="231F20"/>
        </w:rPr>
        <w:t>turn</w:t>
      </w:r>
      <w:r>
        <w:rPr>
          <w:color w:val="231F20"/>
          <w:spacing w:val="25"/>
        </w:rPr>
        <w:t> </w:t>
      </w:r>
      <w:r>
        <w:rPr>
          <w:color w:val="231F20"/>
        </w:rPr>
        <w:t>on</w:t>
      </w:r>
      <w:r>
        <w:rPr>
          <w:color w:val="231F20"/>
          <w:spacing w:val="25"/>
        </w:rPr>
        <w:t> </w:t>
      </w:r>
      <w:r>
        <w:rPr>
          <w:color w:val="231F20"/>
        </w:rPr>
        <w:t>administration</w:t>
      </w:r>
      <w:r>
        <w:rPr>
          <w:color w:val="231F20"/>
          <w:spacing w:val="25"/>
        </w:rPr>
        <w:t> </w:t>
      </w:r>
      <w:r>
        <w:rPr>
          <w:color w:val="231F20"/>
        </w:rPr>
        <w:t>mode</w:t>
      </w:r>
      <w:r>
        <w:rPr>
          <w:color w:val="231F20"/>
          <w:spacing w:val="25"/>
        </w:rPr>
        <w:t> </w:t>
      </w:r>
      <w:r>
        <w:rPr>
          <w:color w:val="231F20"/>
        </w:rPr>
        <w:t>so</w:t>
      </w:r>
      <w:r>
        <w:rPr>
          <w:color w:val="231F20"/>
          <w:spacing w:val="25"/>
        </w:rPr>
        <w:t> </w:t>
      </w:r>
      <w:r>
        <w:rPr>
          <w:color w:val="231F20"/>
        </w:rPr>
        <w:t>that</w:t>
      </w:r>
      <w:r>
        <w:rPr>
          <w:color w:val="231F20"/>
          <w:spacing w:val="25"/>
        </w:rPr>
        <w:t> </w:t>
      </w:r>
      <w:r>
        <w:rPr>
          <w:color w:val="231F20"/>
        </w:rPr>
        <w:t>all</w:t>
      </w:r>
      <w:r>
        <w:rPr>
          <w:color w:val="231F20"/>
          <w:spacing w:val="25"/>
        </w:rPr>
        <w:t> </w:t>
      </w:r>
      <w:r>
        <w:rPr>
          <w:color w:val="231F20"/>
        </w:rPr>
        <w:t>workspaces</w:t>
      </w:r>
      <w:r>
        <w:rPr>
          <w:color w:val="231F20"/>
          <w:spacing w:val="25"/>
        </w:rPr>
        <w:t> </w:t>
      </w:r>
      <w:r>
        <w:rPr>
          <w:color w:val="231F20"/>
        </w:rPr>
        <w:t>you edit and save while in this mode are shared with all users who log on to the same</w:t>
      </w:r>
      <w:r>
        <w:rPr>
          <w:color w:val="231F20"/>
          <w:spacing w:val="80"/>
        </w:rPr>
        <w:t> </w:t>
      </w:r>
      <w:r>
        <w:rPr>
          <w:color w:val="231F20"/>
        </w:rPr>
        <w:t>Tivoli Enterprise Portal Server.</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92"/>
      </w:pPr>
      <w:r>
        <w:rPr>
          <w:color w:val="231F20"/>
        </w:rPr>
        <w:t>In workspace administration mode, the changes you make to link definitions,</w:t>
      </w:r>
      <w:r>
        <w:rPr>
          <w:color w:val="231F20"/>
          <w:spacing w:val="80"/>
        </w:rPr>
        <w:t> </w:t>
      </w:r>
      <w:r>
        <w:rPr>
          <w:color w:val="231F20"/>
        </w:rPr>
        <w:t>launch application definitions, and terminal emulator scripts are also shared with other users. If users edit a shared workspace, the edited workspace becomes their personal copy. Any changes made to that workspace in administrator mode will </w:t>
      </w:r>
      <w:r>
        <w:rPr>
          <w:color w:val="231F20"/>
        </w:rPr>
        <w:t>no longer</w:t>
      </w:r>
      <w:r>
        <w:rPr>
          <w:color w:val="231F20"/>
          <w:spacing w:val="26"/>
        </w:rPr>
        <w:t> </w:t>
      </w:r>
      <w:r>
        <w:rPr>
          <w:color w:val="231F20"/>
        </w:rPr>
        <w:t>be</w:t>
      </w:r>
      <w:r>
        <w:rPr>
          <w:color w:val="231F20"/>
          <w:spacing w:val="26"/>
        </w:rPr>
        <w:t> </w:t>
      </w:r>
      <w:r>
        <w:rPr>
          <w:color w:val="231F20"/>
        </w:rPr>
        <w:t>received</w:t>
      </w:r>
      <w:r>
        <w:rPr>
          <w:color w:val="231F20"/>
          <w:spacing w:val="26"/>
        </w:rPr>
        <w:t> </w:t>
      </w:r>
      <w:r>
        <w:rPr>
          <w:color w:val="231F20"/>
        </w:rPr>
        <w:t>by</w:t>
      </w:r>
      <w:r>
        <w:rPr>
          <w:color w:val="231F20"/>
          <w:spacing w:val="26"/>
        </w:rPr>
        <w:t> </w:t>
      </w:r>
      <w:r>
        <w:rPr>
          <w:color w:val="231F20"/>
        </w:rPr>
        <w:t>the</w:t>
      </w:r>
      <w:r>
        <w:rPr>
          <w:color w:val="231F20"/>
          <w:spacing w:val="26"/>
        </w:rPr>
        <w:t> </w:t>
      </w:r>
      <w:r>
        <w:rPr>
          <w:color w:val="231F20"/>
        </w:rPr>
        <w:t>user. All</w:t>
      </w:r>
      <w:r>
        <w:rPr>
          <w:color w:val="231F20"/>
          <w:spacing w:val="26"/>
        </w:rPr>
        <w:t> </w:t>
      </w:r>
      <w:r>
        <w:rPr>
          <w:color w:val="231F20"/>
        </w:rPr>
        <w:t>other</w:t>
      </w:r>
      <w:r>
        <w:rPr>
          <w:color w:val="231F20"/>
          <w:spacing w:val="26"/>
        </w:rPr>
        <w:t> </w:t>
      </w:r>
      <w:r>
        <w:rPr>
          <w:color w:val="231F20"/>
        </w:rPr>
        <w:t>users,</w:t>
      </w:r>
      <w:r>
        <w:rPr>
          <w:color w:val="231F20"/>
          <w:spacing w:val="26"/>
        </w:rPr>
        <w:t> </w:t>
      </w:r>
      <w:r>
        <w:rPr>
          <w:color w:val="231F20"/>
        </w:rPr>
        <w:t>including</w:t>
      </w:r>
      <w:r>
        <w:rPr>
          <w:color w:val="231F20"/>
          <w:spacing w:val="26"/>
        </w:rPr>
        <w:t> </w:t>
      </w:r>
      <w:r>
        <w:rPr>
          <w:color w:val="231F20"/>
        </w:rPr>
        <w:t>the</w:t>
      </w:r>
      <w:r>
        <w:rPr>
          <w:color w:val="231F20"/>
          <w:spacing w:val="26"/>
        </w:rPr>
        <w:t> </w:t>
      </w:r>
      <w:r>
        <w:rPr>
          <w:color w:val="231F20"/>
        </w:rPr>
        <w:t>administrator, continue to use the shared (global) version.</w:t>
      </w:r>
    </w:p>
    <w:p>
      <w:pPr>
        <w:spacing w:after="0" w:line="213" w:lineRule="auto"/>
        <w:sectPr>
          <w:pgSz w:w="12240" w:h="15840"/>
          <w:pgMar w:header="0" w:footer="736" w:top="1180" w:bottom="920" w:left="1000" w:right="1060"/>
        </w:sectPr>
      </w:pPr>
    </w:p>
    <w:p>
      <w:pPr>
        <w:pStyle w:val="BodyText"/>
        <w:spacing w:line="213" w:lineRule="auto" w:before="85"/>
        <w:ind w:left="2232" w:right="385"/>
      </w:pPr>
      <w:bookmarkStart w:name="_bookmark54" w:id="120"/>
      <w:bookmarkEnd w:id="120"/>
      <w:r>
        <w:rPr/>
      </w:r>
      <w:r>
        <w:rPr>
          <w:color w:val="231F20"/>
        </w:rPr>
        <w:t>To use this function, your user ID must be SYSADMIN or created from that administrator ID and have View and Administration Mode Eligible permissions </w:t>
      </w:r>
      <w:r>
        <w:rPr>
          <w:color w:val="231F20"/>
        </w:rPr>
        <w:t>for User Administration.</w:t>
      </w:r>
    </w:p>
    <w:p>
      <w:pPr>
        <w:pStyle w:val="Heading4"/>
        <w:spacing w:before="199"/>
      </w:pPr>
      <w:r>
        <w:rPr>
          <w:color w:val="231F20"/>
          <w:spacing w:val="-2"/>
        </w:rPr>
        <w:t>Procedure</w:t>
      </w:r>
    </w:p>
    <w:p>
      <w:pPr>
        <w:pStyle w:val="ListParagraph"/>
        <w:numPr>
          <w:ilvl w:val="0"/>
          <w:numId w:val="36"/>
        </w:numPr>
        <w:tabs>
          <w:tab w:pos="2547" w:val="left" w:leader="none"/>
        </w:tabs>
        <w:spacing w:line="240" w:lineRule="auto" w:before="38" w:after="0"/>
        <w:ind w:left="2547" w:right="0" w:hanging="315"/>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101600"/>
            <wp:effectExtent l="0" t="0" r="0" b="0"/>
            <wp:docPr id="695" name="Image 695"/>
            <wp:cNvGraphicFramePr>
              <a:graphicFrameLocks/>
            </wp:cNvGraphicFramePr>
            <a:graphic>
              <a:graphicData uri="http://schemas.openxmlformats.org/drawingml/2006/picture">
                <pic:pic>
                  <pic:nvPicPr>
                    <pic:cNvPr id="695" name="Image 695"/>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56"/>
          <w:w w:val="150"/>
          <w:sz w:val="20"/>
        </w:rPr>
        <w:t> </w:t>
      </w:r>
      <w:r>
        <w:rPr>
          <w:rFonts w:ascii="Book Antiqua"/>
          <w:b/>
          <w:color w:val="231F20"/>
          <w:sz w:val="20"/>
        </w:rPr>
        <w:t>Administer</w:t>
      </w:r>
      <w:r>
        <w:rPr>
          <w:rFonts w:ascii="Book Antiqua"/>
          <w:b/>
          <w:color w:val="231F20"/>
          <w:spacing w:val="12"/>
          <w:sz w:val="20"/>
        </w:rPr>
        <w:t> </w:t>
      </w:r>
      <w:r>
        <w:rPr>
          <w:rFonts w:ascii="Book Antiqua"/>
          <w:b/>
          <w:color w:val="231F20"/>
          <w:sz w:val="20"/>
        </w:rPr>
        <w:t>Users</w:t>
      </w:r>
      <w:r>
        <w:rPr>
          <w:rFonts w:ascii="Book Antiqua"/>
          <w:b/>
          <w:color w:val="231F20"/>
          <w:spacing w:val="12"/>
          <w:sz w:val="20"/>
        </w:rPr>
        <w:t> </w:t>
      </w:r>
      <w:r>
        <w:rPr>
          <w:color w:val="231F20"/>
          <w:sz w:val="20"/>
        </w:rPr>
        <w:t>to</w:t>
      </w:r>
      <w:r>
        <w:rPr>
          <w:color w:val="231F20"/>
          <w:spacing w:val="12"/>
          <w:sz w:val="20"/>
        </w:rPr>
        <w:t> </w:t>
      </w:r>
      <w:r>
        <w:rPr>
          <w:color w:val="231F20"/>
          <w:sz w:val="20"/>
        </w:rPr>
        <w:t>open</w:t>
      </w:r>
      <w:r>
        <w:rPr>
          <w:color w:val="231F20"/>
          <w:spacing w:val="13"/>
          <w:sz w:val="20"/>
        </w:rPr>
        <w:t> </w:t>
      </w:r>
      <w:r>
        <w:rPr>
          <w:color w:val="231F20"/>
          <w:sz w:val="20"/>
        </w:rPr>
        <w:t>the</w:t>
      </w:r>
      <w:r>
        <w:rPr>
          <w:color w:val="231F20"/>
          <w:spacing w:val="12"/>
          <w:sz w:val="20"/>
        </w:rPr>
        <w:t> </w:t>
      </w:r>
      <w:r>
        <w:rPr>
          <w:color w:val="231F20"/>
          <w:sz w:val="20"/>
        </w:rPr>
        <w:t>profiles</w:t>
      </w:r>
      <w:r>
        <w:rPr>
          <w:color w:val="231F20"/>
          <w:spacing w:val="12"/>
          <w:sz w:val="20"/>
        </w:rPr>
        <w:t> </w:t>
      </w:r>
      <w:r>
        <w:rPr>
          <w:color w:val="231F20"/>
          <w:sz w:val="20"/>
        </w:rPr>
        <w:t>for</w:t>
      </w:r>
      <w:r>
        <w:rPr>
          <w:color w:val="231F20"/>
          <w:spacing w:val="12"/>
          <w:sz w:val="20"/>
        </w:rPr>
        <w:t> </w:t>
      </w:r>
      <w:r>
        <w:rPr>
          <w:color w:val="231F20"/>
          <w:sz w:val="20"/>
        </w:rPr>
        <w:t>all</w:t>
      </w:r>
      <w:r>
        <w:rPr>
          <w:color w:val="231F20"/>
          <w:spacing w:val="12"/>
          <w:sz w:val="20"/>
        </w:rPr>
        <w:t> </w:t>
      </w:r>
      <w:r>
        <w:rPr>
          <w:color w:val="231F20"/>
          <w:sz w:val="20"/>
        </w:rPr>
        <w:t>users</w:t>
      </w:r>
      <w:r>
        <w:rPr>
          <w:color w:val="231F20"/>
          <w:spacing w:val="12"/>
          <w:sz w:val="20"/>
        </w:rPr>
        <w:t> </w:t>
      </w:r>
      <w:r>
        <w:rPr>
          <w:color w:val="231F20"/>
          <w:sz w:val="20"/>
        </w:rPr>
        <w:t>and</w:t>
      </w:r>
      <w:r>
        <w:rPr>
          <w:color w:val="231F20"/>
          <w:spacing w:val="12"/>
          <w:sz w:val="20"/>
        </w:rPr>
        <w:t> </w:t>
      </w:r>
      <w:r>
        <w:rPr>
          <w:color w:val="231F20"/>
          <w:sz w:val="20"/>
        </w:rPr>
        <w:t>user</w:t>
      </w:r>
      <w:r>
        <w:rPr>
          <w:color w:val="231F20"/>
          <w:spacing w:val="12"/>
          <w:sz w:val="20"/>
        </w:rPr>
        <w:t> </w:t>
      </w:r>
      <w:r>
        <w:rPr>
          <w:color w:val="231F20"/>
          <w:spacing w:val="-2"/>
          <w:sz w:val="20"/>
        </w:rPr>
        <w:t>groups.</w:t>
      </w:r>
    </w:p>
    <w:p>
      <w:pPr>
        <w:pStyle w:val="ListParagraph"/>
        <w:numPr>
          <w:ilvl w:val="0"/>
          <w:numId w:val="36"/>
        </w:numPr>
        <w:tabs>
          <w:tab w:pos="2547" w:val="left" w:leader="none"/>
        </w:tabs>
        <w:spacing w:line="240" w:lineRule="auto" w:before="30" w:after="0"/>
        <w:ind w:left="2547" w:right="0" w:hanging="315"/>
        <w:jc w:val="left"/>
        <w:rPr>
          <w:sz w:val="20"/>
        </w:rPr>
      </w:pPr>
      <w:r>
        <w:rPr>
          <w:color w:val="231F20"/>
          <w:sz w:val="20"/>
        </w:rPr>
        <w:t>In</w:t>
      </w:r>
      <w:r>
        <w:rPr>
          <w:color w:val="231F20"/>
          <w:spacing w:val="13"/>
          <w:sz w:val="20"/>
        </w:rPr>
        <w:t> </w:t>
      </w:r>
      <w:r>
        <w:rPr>
          <w:color w:val="231F20"/>
          <w:sz w:val="20"/>
        </w:rPr>
        <w:t>the</w:t>
      </w:r>
      <w:r>
        <w:rPr>
          <w:color w:val="231F20"/>
          <w:spacing w:val="32"/>
          <w:sz w:val="20"/>
        </w:rPr>
        <w:t> </w:t>
      </w:r>
      <w:r>
        <w:rPr>
          <w:color w:val="231F20"/>
          <w:spacing w:val="-14"/>
          <w:position w:val="-1"/>
          <w:sz w:val="20"/>
        </w:rPr>
        <w:drawing>
          <wp:inline distT="0" distB="0" distL="0" distR="0">
            <wp:extent cx="82550" cy="101600"/>
            <wp:effectExtent l="0" t="0" r="0" b="0"/>
            <wp:docPr id="696" name="Image 696"/>
            <wp:cNvGraphicFramePr>
              <a:graphicFrameLocks/>
            </wp:cNvGraphicFramePr>
            <a:graphic>
              <a:graphicData uri="http://schemas.openxmlformats.org/drawingml/2006/picture">
                <pic:pic>
                  <pic:nvPicPr>
                    <pic:cNvPr id="696" name="Image 696"/>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9"/>
          <w:sz w:val="20"/>
        </w:rPr>
        <w:t> </w:t>
      </w:r>
      <w:r>
        <w:rPr>
          <w:rFonts w:ascii="Book Antiqua"/>
          <w:b/>
          <w:color w:val="231F20"/>
          <w:sz w:val="20"/>
        </w:rPr>
        <w:t>Users</w:t>
      </w:r>
      <w:r>
        <w:rPr>
          <w:rFonts w:ascii="Book Antiqua"/>
          <w:b/>
          <w:color w:val="231F20"/>
          <w:spacing w:val="13"/>
          <w:sz w:val="20"/>
        </w:rPr>
        <w:t> </w:t>
      </w:r>
      <w:r>
        <w:rPr>
          <w:color w:val="231F20"/>
          <w:sz w:val="20"/>
        </w:rPr>
        <w:t>list,</w:t>
      </w:r>
      <w:r>
        <w:rPr>
          <w:color w:val="231F20"/>
          <w:spacing w:val="13"/>
          <w:sz w:val="20"/>
        </w:rPr>
        <w:t> </w:t>
      </w:r>
      <w:r>
        <w:rPr>
          <w:color w:val="231F20"/>
          <w:sz w:val="20"/>
        </w:rPr>
        <w:t>click</w:t>
      </w:r>
      <w:r>
        <w:rPr>
          <w:color w:val="231F20"/>
          <w:spacing w:val="14"/>
          <w:sz w:val="20"/>
        </w:rPr>
        <w:t> </w:t>
      </w:r>
      <w:r>
        <w:rPr>
          <w:color w:val="231F20"/>
          <w:sz w:val="20"/>
        </w:rPr>
        <w:t>your</w:t>
      </w:r>
      <w:r>
        <w:rPr>
          <w:color w:val="231F20"/>
          <w:spacing w:val="13"/>
          <w:sz w:val="20"/>
        </w:rPr>
        <w:t> </w:t>
      </w:r>
      <w:r>
        <w:rPr>
          <w:color w:val="231F20"/>
          <w:sz w:val="20"/>
        </w:rPr>
        <w:t>user</w:t>
      </w:r>
      <w:r>
        <w:rPr>
          <w:color w:val="231F20"/>
          <w:spacing w:val="13"/>
          <w:sz w:val="20"/>
        </w:rPr>
        <w:t> </w:t>
      </w:r>
      <w:r>
        <w:rPr>
          <w:color w:val="231F20"/>
          <w:spacing w:val="-5"/>
          <w:sz w:val="20"/>
        </w:rPr>
        <w:t>ID.</w:t>
      </w:r>
    </w:p>
    <w:p>
      <w:pPr>
        <w:pStyle w:val="ListParagraph"/>
        <w:numPr>
          <w:ilvl w:val="0"/>
          <w:numId w:val="36"/>
        </w:numPr>
        <w:tabs>
          <w:tab w:pos="2547" w:val="left" w:leader="none"/>
        </w:tabs>
        <w:spacing w:line="255" w:lineRule="exact" w:before="29" w:after="0"/>
        <w:ind w:left="2547" w:right="0" w:hanging="315"/>
        <w:jc w:val="left"/>
        <w:rPr>
          <w:sz w:val="20"/>
        </w:rPr>
      </w:pPr>
      <w:r>
        <w:rPr>
          <w:color w:val="231F20"/>
          <w:sz w:val="20"/>
        </w:rPr>
        <w:t>In</w:t>
      </w:r>
      <w:r>
        <w:rPr>
          <w:color w:val="231F20"/>
          <w:spacing w:val="10"/>
          <w:sz w:val="20"/>
        </w:rPr>
        <w:t> </w:t>
      </w:r>
      <w:r>
        <w:rPr>
          <w:color w:val="231F20"/>
          <w:sz w:val="20"/>
        </w:rPr>
        <w:t>the</w:t>
      </w:r>
      <w:r>
        <w:rPr>
          <w:color w:val="231F20"/>
          <w:spacing w:val="21"/>
          <w:sz w:val="20"/>
        </w:rPr>
        <w:t> </w:t>
      </w:r>
      <w:r>
        <w:rPr>
          <w:color w:val="231F20"/>
          <w:spacing w:val="-24"/>
          <w:position w:val="-1"/>
          <w:sz w:val="20"/>
        </w:rPr>
        <w:drawing>
          <wp:inline distT="0" distB="0" distL="0" distR="0">
            <wp:extent cx="95250" cy="101600"/>
            <wp:effectExtent l="0" t="0" r="0" b="0"/>
            <wp:docPr id="697" name="Image 697"/>
            <wp:cNvGraphicFramePr>
              <a:graphicFrameLocks/>
            </wp:cNvGraphicFramePr>
            <a:graphic>
              <a:graphicData uri="http://schemas.openxmlformats.org/drawingml/2006/picture">
                <pic:pic>
                  <pic:nvPicPr>
                    <pic:cNvPr id="697" name="Image 697"/>
                    <pic:cNvPicPr/>
                  </pic:nvPicPr>
                  <pic:blipFill>
                    <a:blip r:embed="rId181"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rFonts w:ascii="Book Antiqua"/>
          <w:b/>
          <w:color w:val="231F20"/>
          <w:sz w:val="20"/>
        </w:rPr>
        <w:t>Permissions</w:t>
      </w:r>
      <w:r>
        <w:rPr>
          <w:rFonts w:ascii="Book Antiqua"/>
          <w:b/>
          <w:color w:val="231F20"/>
          <w:spacing w:val="11"/>
          <w:sz w:val="20"/>
        </w:rPr>
        <w:t> </w:t>
      </w:r>
      <w:r>
        <w:rPr>
          <w:color w:val="231F20"/>
          <w:sz w:val="20"/>
        </w:rPr>
        <w:t>tab,</w:t>
      </w:r>
      <w:r>
        <w:rPr>
          <w:color w:val="231F20"/>
          <w:spacing w:val="11"/>
          <w:sz w:val="20"/>
        </w:rPr>
        <w:t> </w:t>
      </w:r>
      <w:r>
        <w:rPr>
          <w:color w:val="231F20"/>
          <w:sz w:val="20"/>
        </w:rPr>
        <w:t>scroll</w:t>
      </w:r>
      <w:r>
        <w:rPr>
          <w:color w:val="231F20"/>
          <w:spacing w:val="11"/>
          <w:sz w:val="20"/>
        </w:rPr>
        <w:t> </w:t>
      </w:r>
      <w:r>
        <w:rPr>
          <w:color w:val="231F20"/>
          <w:sz w:val="20"/>
        </w:rPr>
        <w:t>down</w:t>
      </w:r>
      <w:r>
        <w:rPr>
          <w:color w:val="231F20"/>
          <w:spacing w:val="11"/>
          <w:sz w:val="20"/>
        </w:rPr>
        <w:t> </w:t>
      </w:r>
      <w:r>
        <w:rPr>
          <w:color w:val="231F20"/>
          <w:sz w:val="20"/>
        </w:rPr>
        <w:t>the</w:t>
      </w:r>
      <w:r>
        <w:rPr>
          <w:color w:val="231F20"/>
          <w:spacing w:val="4"/>
          <w:sz w:val="20"/>
        </w:rPr>
        <w:t> </w:t>
      </w:r>
      <w:r>
        <w:rPr>
          <w:color w:val="231F20"/>
          <w:sz w:val="20"/>
        </w:rPr>
        <w:t>Authorities</w:t>
      </w:r>
      <w:r>
        <w:rPr>
          <w:color w:val="231F20"/>
          <w:spacing w:val="11"/>
          <w:sz w:val="20"/>
        </w:rPr>
        <w:t> </w:t>
      </w:r>
      <w:r>
        <w:rPr>
          <w:color w:val="231F20"/>
          <w:sz w:val="20"/>
        </w:rPr>
        <w:t>tree</w:t>
      </w:r>
      <w:r>
        <w:rPr>
          <w:color w:val="231F20"/>
          <w:spacing w:val="11"/>
          <w:sz w:val="20"/>
        </w:rPr>
        <w:t> </w:t>
      </w:r>
      <w:r>
        <w:rPr>
          <w:color w:val="231F20"/>
          <w:sz w:val="20"/>
        </w:rPr>
        <w:t>and</w:t>
      </w:r>
      <w:r>
        <w:rPr>
          <w:color w:val="231F20"/>
          <w:spacing w:val="11"/>
          <w:sz w:val="20"/>
        </w:rPr>
        <w:t> </w:t>
      </w:r>
      <w:r>
        <w:rPr>
          <w:color w:val="231F20"/>
          <w:spacing w:val="-2"/>
          <w:sz w:val="20"/>
        </w:rPr>
        <w:t>click</w:t>
      </w:r>
    </w:p>
    <w:p>
      <w:pPr>
        <w:pStyle w:val="Heading6"/>
        <w:spacing w:line="255" w:lineRule="exact" w:before="0"/>
        <w:ind w:left="2568"/>
        <w:rPr>
          <w:rFonts w:ascii="Palatino Linotype"/>
          <w:b w:val="0"/>
        </w:rPr>
      </w:pPr>
      <w:r>
        <w:rPr>
          <w:b w:val="0"/>
          <w:position w:val="-1"/>
        </w:rPr>
        <w:drawing>
          <wp:inline distT="0" distB="0" distL="0" distR="0">
            <wp:extent cx="82550" cy="101600"/>
            <wp:effectExtent l="0" t="0" r="0" b="0"/>
            <wp:docPr id="698" name="Image 698"/>
            <wp:cNvGraphicFramePr>
              <a:graphicFrameLocks/>
            </wp:cNvGraphicFramePr>
            <a:graphic>
              <a:graphicData uri="http://schemas.openxmlformats.org/drawingml/2006/picture">
                <pic:pic>
                  <pic:nvPicPr>
                    <pic:cNvPr id="698" name="Image 698"/>
                    <pic:cNvPicPr/>
                  </pic:nvPicPr>
                  <pic:blipFill>
                    <a:blip r:embed="rId32" cstate="print"/>
                    <a:stretch>
                      <a:fillRect/>
                    </a:stretch>
                  </pic:blipFill>
                  <pic:spPr>
                    <a:xfrm>
                      <a:off x="0" y="0"/>
                      <a:ext cx="82550" cy="101600"/>
                    </a:xfrm>
                    <a:prstGeom prst="rect">
                      <a:avLst/>
                    </a:prstGeom>
                  </pic:spPr>
                </pic:pic>
              </a:graphicData>
            </a:graphic>
          </wp:inline>
        </w:drawing>
      </w:r>
      <w:r>
        <w:rPr>
          <w:b w:val="0"/>
          <w:position w:val="-1"/>
        </w:rPr>
      </w:r>
      <w:r>
        <w:rPr>
          <w:rFonts w:ascii="Times New Roman"/>
          <w:b w:val="0"/>
        </w:rPr>
        <w:t> </w:t>
      </w:r>
      <w:r>
        <w:rPr>
          <w:color w:val="231F20"/>
          <w:spacing w:val="-2"/>
        </w:rPr>
        <w:t>Workspace</w:t>
      </w:r>
      <w:r>
        <w:rPr>
          <w:color w:val="231F20"/>
          <w:spacing w:val="22"/>
        </w:rPr>
        <w:t> </w:t>
      </w:r>
      <w:r>
        <w:rPr>
          <w:color w:val="231F20"/>
        </w:rPr>
        <w:t>Administration</w:t>
      </w:r>
      <w:r>
        <w:rPr>
          <w:rFonts w:ascii="Palatino Linotype"/>
          <w:b w:val="0"/>
          <w:color w:val="231F20"/>
        </w:rPr>
        <w:t>.</w:t>
      </w:r>
    </w:p>
    <w:p>
      <w:pPr>
        <w:pStyle w:val="ListParagraph"/>
        <w:numPr>
          <w:ilvl w:val="0"/>
          <w:numId w:val="36"/>
        </w:numPr>
        <w:tabs>
          <w:tab w:pos="2548" w:val="left" w:leader="none"/>
        </w:tabs>
        <w:spacing w:line="208" w:lineRule="auto" w:before="62" w:after="0"/>
        <w:ind w:left="2548" w:right="561" w:hanging="316"/>
        <w:jc w:val="left"/>
        <w:rPr>
          <w:sz w:val="20"/>
        </w:rPr>
      </w:pPr>
      <w:r>
        <w:rPr>
          <w:color w:val="231F20"/>
          <w:sz w:val="20"/>
        </w:rPr>
        <w:t>Enable </w:t>
      </w:r>
      <w:r>
        <w:rPr>
          <w:color w:val="231F20"/>
          <w:spacing w:val="16"/>
          <w:sz w:val="20"/>
        </w:rPr>
        <w:drawing>
          <wp:inline distT="0" distB="0" distL="0" distR="0">
            <wp:extent cx="82550" cy="82550"/>
            <wp:effectExtent l="0" t="0" r="0" b="0"/>
            <wp:docPr id="699" name="Image 699"/>
            <wp:cNvGraphicFramePr>
              <a:graphicFrameLocks/>
            </wp:cNvGraphicFramePr>
            <a:graphic>
              <a:graphicData uri="http://schemas.openxmlformats.org/drawingml/2006/picture">
                <pic:pic>
                  <pic:nvPicPr>
                    <pic:cNvPr id="699" name="Image 69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Workspace Administration Mode</w:t>
      </w:r>
      <w:r>
        <w:rPr>
          <w:color w:val="231F20"/>
          <w:sz w:val="20"/>
        </w:rPr>
        <w:t>. (Clearing the check box turns off workspace administration mode.)</w:t>
      </w:r>
    </w:p>
    <w:p>
      <w:pPr>
        <w:pStyle w:val="ListParagraph"/>
        <w:numPr>
          <w:ilvl w:val="0"/>
          <w:numId w:val="36"/>
        </w:numPr>
        <w:tabs>
          <w:tab w:pos="2547" w:val="left" w:leader="none"/>
        </w:tabs>
        <w:spacing w:line="240" w:lineRule="auto" w:before="37" w:after="0"/>
        <w:ind w:left="2547" w:right="0" w:hanging="315"/>
        <w:jc w:val="left"/>
        <w:rPr>
          <w:sz w:val="20"/>
        </w:rPr>
      </w:pPr>
      <w:r>
        <w:rPr>
          <w:color w:val="231F20"/>
          <w:sz w:val="20"/>
        </w:rPr>
        <w:t>To</w:t>
      </w:r>
      <w:r>
        <w:rPr>
          <w:color w:val="231F20"/>
          <w:spacing w:val="10"/>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z w:val="20"/>
        </w:rPr>
        <w:t>changes,</w:t>
      </w:r>
      <w:r>
        <w:rPr>
          <w:color w:val="231F20"/>
          <w:spacing w:val="11"/>
          <w:sz w:val="20"/>
        </w:rPr>
        <w:t> </w:t>
      </w:r>
      <w:r>
        <w:rPr>
          <w:color w:val="231F20"/>
          <w:sz w:val="20"/>
        </w:rPr>
        <w:t>click</w:t>
      </w:r>
      <w:r>
        <w:rPr>
          <w:color w:val="231F20"/>
          <w:spacing w:val="10"/>
          <w:sz w:val="20"/>
        </w:rPr>
        <w:t> </w:t>
      </w:r>
      <w:r>
        <w:rPr>
          <w:rFonts w:ascii="Book Antiqua"/>
          <w:b/>
          <w:color w:val="231F20"/>
          <w:sz w:val="20"/>
        </w:rPr>
        <w:t>Apply</w:t>
      </w:r>
      <w:r>
        <w:rPr>
          <w:rFonts w:ascii="Book Antiqua"/>
          <w:b/>
          <w:color w:val="231F20"/>
          <w:spacing w:val="11"/>
          <w:sz w:val="20"/>
        </w:rPr>
        <w:t> </w:t>
      </w:r>
      <w:r>
        <w:rPr>
          <w:color w:val="231F20"/>
          <w:sz w:val="20"/>
        </w:rPr>
        <w:t>to</w:t>
      </w:r>
      <w:r>
        <w:rPr>
          <w:color w:val="231F20"/>
          <w:spacing w:val="11"/>
          <w:sz w:val="20"/>
        </w:rPr>
        <w:t> </w:t>
      </w:r>
      <w:r>
        <w:rPr>
          <w:color w:val="231F20"/>
          <w:sz w:val="20"/>
        </w:rPr>
        <w:t>keep</w:t>
      </w:r>
      <w:r>
        <w:rPr>
          <w:color w:val="231F20"/>
          <w:spacing w:val="11"/>
          <w:sz w:val="20"/>
        </w:rPr>
        <w:t> </w:t>
      </w:r>
      <w:r>
        <w:rPr>
          <w:color w:val="231F20"/>
          <w:sz w:val="20"/>
        </w:rPr>
        <w:t>the</w:t>
      </w:r>
      <w:r>
        <w:rPr>
          <w:color w:val="231F20"/>
          <w:spacing w:val="10"/>
          <w:sz w:val="20"/>
        </w:rPr>
        <w:t> </w:t>
      </w:r>
      <w:r>
        <w:rPr>
          <w:color w:val="231F20"/>
          <w:sz w:val="20"/>
        </w:rPr>
        <w:t>window</w:t>
      </w:r>
      <w:r>
        <w:rPr>
          <w:color w:val="231F20"/>
          <w:spacing w:val="11"/>
          <w:sz w:val="20"/>
        </w:rPr>
        <w:t> </w:t>
      </w:r>
      <w:r>
        <w:rPr>
          <w:color w:val="231F20"/>
          <w:sz w:val="20"/>
        </w:rPr>
        <w:t>open</w:t>
      </w:r>
      <w:r>
        <w:rPr>
          <w:color w:val="231F20"/>
          <w:spacing w:val="11"/>
          <w:sz w:val="20"/>
        </w:rPr>
        <w:t> </w:t>
      </w:r>
      <w:r>
        <w:rPr>
          <w:color w:val="231F20"/>
          <w:sz w:val="20"/>
        </w:rPr>
        <w:t>or</w:t>
      </w:r>
      <w:r>
        <w:rPr>
          <w:color w:val="231F20"/>
          <w:spacing w:val="11"/>
          <w:sz w:val="20"/>
        </w:rPr>
        <w:t> </w:t>
      </w:r>
      <w:r>
        <w:rPr>
          <w:rFonts w:ascii="Book Antiqua"/>
          <w:b/>
          <w:color w:val="231F20"/>
          <w:sz w:val="20"/>
        </w:rPr>
        <w:t>OK</w:t>
      </w:r>
      <w:r>
        <w:rPr>
          <w:rFonts w:ascii="Book Antiqua"/>
          <w:b/>
          <w:color w:val="231F20"/>
          <w:spacing w:val="10"/>
          <w:sz w:val="20"/>
        </w:rPr>
        <w:t> </w:t>
      </w:r>
      <w:r>
        <w:rPr>
          <w:color w:val="231F20"/>
          <w:sz w:val="20"/>
        </w:rPr>
        <w:t>to</w:t>
      </w:r>
      <w:r>
        <w:rPr>
          <w:color w:val="231F20"/>
          <w:spacing w:val="11"/>
          <w:sz w:val="20"/>
        </w:rPr>
        <w:t> </w:t>
      </w:r>
      <w:r>
        <w:rPr>
          <w:color w:val="231F20"/>
          <w:sz w:val="20"/>
        </w:rPr>
        <w:t>close</w:t>
      </w:r>
      <w:r>
        <w:rPr>
          <w:color w:val="231F20"/>
          <w:spacing w:val="11"/>
          <w:sz w:val="20"/>
        </w:rPr>
        <w:t> </w:t>
      </w:r>
      <w:r>
        <w:rPr>
          <w:color w:val="231F20"/>
          <w:spacing w:val="-5"/>
          <w:sz w:val="20"/>
        </w:rPr>
        <w:t>it.</w:t>
      </w:r>
    </w:p>
    <w:p>
      <w:pPr>
        <w:pStyle w:val="Heading4"/>
        <w:spacing w:before="194"/>
      </w:pPr>
      <w:r>
        <w:rPr>
          <w:color w:val="231F20"/>
          <w:spacing w:val="-2"/>
        </w:rPr>
        <w:t>Results</w:t>
      </w:r>
    </w:p>
    <w:p>
      <w:pPr>
        <w:pStyle w:val="BodyText"/>
        <w:spacing w:line="213" w:lineRule="auto" w:before="241"/>
        <w:ind w:left="2232" w:right="511"/>
      </w:pPr>
      <w:r>
        <w:rPr>
          <w:color w:val="231F20"/>
        </w:rPr>
        <w:t>The title bar and status bar display </w:t>
      </w:r>
      <w:r>
        <w:rPr>
          <w:rFonts w:ascii="Book Antiqua"/>
          <w:b/>
          <w:color w:val="231F20"/>
        </w:rPr>
        <w:t>*ADMIN MODE* </w:t>
      </w:r>
      <w:r>
        <w:rPr>
          <w:color w:val="231F20"/>
        </w:rPr>
        <w:t>after the user name to</w:t>
      </w:r>
      <w:r>
        <w:rPr>
          <w:color w:val="231F20"/>
          <w:spacing w:val="80"/>
        </w:rPr>
        <w:t> </w:t>
      </w:r>
      <w:r>
        <w:rPr>
          <w:color w:val="231F20"/>
        </w:rPr>
        <w:t>indicate that your user ID is in workspace administration mode. Any changes that you make to workspaces (including the workspace gallery), link definitions, </w:t>
      </w:r>
      <w:r>
        <w:rPr>
          <w:color w:val="231F20"/>
        </w:rPr>
        <w:t>launch application definitions, and terminal emulator scripts while in workspace administration mode will be shared with other users connected to the same portal server as soon as you save your changes. Likewise, these changes cannot be</w:t>
      </w:r>
      <w:r>
        <w:rPr>
          <w:color w:val="231F20"/>
          <w:spacing w:val="80"/>
        </w:rPr>
        <w:t> </w:t>
      </w:r>
      <w:r>
        <w:rPr>
          <w:color w:val="231F20"/>
        </w:rPr>
        <w:t>removed except from within workspace administration mode.</w:t>
      </w:r>
    </w:p>
    <w:p>
      <w:pPr>
        <w:pStyle w:val="BodyText"/>
        <w:spacing w:line="213" w:lineRule="auto" w:before="235"/>
        <w:ind w:left="2232" w:right="493"/>
      </w:pPr>
      <w:r>
        <w:rPr>
          <w:color w:val="231F20"/>
        </w:rPr>
        <w:t>In workspace administration mode, you can access all workspace definitions associated with a particular Navigator item including those that are marked as </w:t>
      </w:r>
      <w:r>
        <w:rPr>
          <w:color w:val="231F20"/>
          <w:spacing w:val="15"/>
        </w:rPr>
        <w:drawing>
          <wp:inline distT="0" distB="0" distL="0" distR="0">
            <wp:extent cx="82550" cy="82550"/>
            <wp:effectExtent l="0" t="0" r="0" b="0"/>
            <wp:docPr id="700" name="Image 700"/>
            <wp:cNvGraphicFramePr>
              <a:graphicFrameLocks/>
            </wp:cNvGraphicFramePr>
            <a:graphic>
              <a:graphicData uri="http://schemas.openxmlformats.org/drawingml/2006/picture">
                <pic:pic>
                  <pic:nvPicPr>
                    <pic:cNvPr id="700" name="Image 70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5"/>
        </w:rPr>
        <w:t> </w:t>
      </w:r>
      <w:r>
        <w:rPr>
          <w:rFonts w:ascii="Book Antiqua"/>
          <w:b/>
          <w:color w:val="231F20"/>
        </w:rPr>
        <w:t>Only selectable as the target of a Workspace Link</w:t>
      </w:r>
      <w:r>
        <w:rPr>
          <w:color w:val="231F20"/>
        </w:rPr>
        <w:t>. This enables you to modify the target workspaces directly without having to first traverse the link. If a target workspace is dependent on information from the source workspace, you will get display</w:t>
      </w:r>
      <w:r>
        <w:rPr>
          <w:color w:val="231F20"/>
          <w:spacing w:val="28"/>
        </w:rPr>
        <w:t> </w:t>
      </w:r>
      <w:r>
        <w:rPr>
          <w:color w:val="231F20"/>
        </w:rPr>
        <w:t>errors</w:t>
      </w:r>
      <w:r>
        <w:rPr>
          <w:color w:val="231F20"/>
          <w:spacing w:val="28"/>
        </w:rPr>
        <w:t> </w:t>
      </w:r>
      <w:r>
        <w:rPr>
          <w:color w:val="231F20"/>
        </w:rPr>
        <w:t>when</w:t>
      </w:r>
      <w:r>
        <w:rPr>
          <w:color w:val="231F20"/>
          <w:spacing w:val="28"/>
        </w:rPr>
        <w:t> </w:t>
      </w:r>
      <w:r>
        <w:rPr>
          <w:color w:val="231F20"/>
        </w:rPr>
        <w:t>you</w:t>
      </w:r>
      <w:r>
        <w:rPr>
          <w:color w:val="231F20"/>
          <w:spacing w:val="28"/>
        </w:rPr>
        <w:t> </w:t>
      </w:r>
      <w:r>
        <w:rPr>
          <w:color w:val="231F20"/>
        </w:rPr>
        <w:t>open</w:t>
      </w:r>
      <w:r>
        <w:rPr>
          <w:color w:val="231F20"/>
          <w:spacing w:val="28"/>
        </w:rPr>
        <w:t> </w:t>
      </w:r>
      <w:r>
        <w:rPr>
          <w:color w:val="231F20"/>
        </w:rPr>
        <w:t>the</w:t>
      </w:r>
      <w:r>
        <w:rPr>
          <w:color w:val="231F20"/>
          <w:spacing w:val="28"/>
        </w:rPr>
        <w:t> </w:t>
      </w:r>
      <w:r>
        <w:rPr>
          <w:color w:val="231F20"/>
        </w:rPr>
        <w:t>workspace</w:t>
      </w:r>
      <w:r>
        <w:rPr>
          <w:color w:val="231F20"/>
          <w:spacing w:val="28"/>
        </w:rPr>
        <w:t> </w:t>
      </w:r>
      <w:r>
        <w:rPr>
          <w:color w:val="231F20"/>
        </w:rPr>
        <w:t>through</w:t>
      </w:r>
      <w:r>
        <w:rPr>
          <w:color w:val="231F20"/>
          <w:spacing w:val="28"/>
        </w:rPr>
        <w:t> </w:t>
      </w:r>
      <w:r>
        <w:rPr>
          <w:color w:val="231F20"/>
        </w:rPr>
        <w:t>the</w:t>
      </w:r>
      <w:r>
        <w:rPr>
          <w:color w:val="231F20"/>
          <w:spacing w:val="28"/>
        </w:rPr>
        <w:t> </w:t>
      </w:r>
      <w:r>
        <w:rPr>
          <w:rFonts w:ascii="Book Antiqua"/>
          <w:b/>
          <w:color w:val="231F20"/>
        </w:rPr>
        <w:t>Workspace</w:t>
      </w:r>
      <w:r>
        <w:rPr>
          <w:rFonts w:ascii="Book Antiqua"/>
          <w:b/>
          <w:color w:val="231F20"/>
          <w:spacing w:val="28"/>
        </w:rPr>
        <w:t> </w:t>
      </w:r>
      <w:r>
        <w:rPr>
          <w:rFonts w:ascii="Book Antiqua"/>
          <w:b/>
          <w:color w:val="231F20"/>
        </w:rPr>
        <w:t>gallery</w:t>
      </w:r>
      <w:r>
        <w:rPr>
          <w:rFonts w:ascii="Book Antiqua"/>
          <w:b/>
          <w:color w:val="231F20"/>
        </w:rPr>
        <w:t> </w:t>
      </w:r>
      <w:r>
        <w:rPr>
          <w:color w:val="231F20"/>
        </w:rPr>
        <w:t>rather than the </w:t>
      </w:r>
      <w:r>
        <w:rPr>
          <w:rFonts w:ascii="Book Antiqua"/>
          <w:b/>
          <w:color w:val="231F20"/>
        </w:rPr>
        <w:t>Link To </w:t>
      </w:r>
      <w:r>
        <w:rPr>
          <w:color w:val="231F20"/>
        </w:rPr>
        <w:t>list.</w:t>
      </w:r>
    </w:p>
    <w:p>
      <w:pPr>
        <w:pStyle w:val="BodyText"/>
        <w:spacing w:line="213" w:lineRule="auto" w:before="235"/>
        <w:ind w:left="2232" w:right="545"/>
      </w:pPr>
      <w:r>
        <w:rPr>
          <w:color w:val="231F20"/>
        </w:rPr>
        <w:t>Private workspaces that were created by a user outside of workspace</w:t>
      </w:r>
      <w:r>
        <w:rPr>
          <w:color w:val="231F20"/>
          <w:spacing w:val="80"/>
        </w:rPr>
        <w:t> </w:t>
      </w:r>
      <w:r>
        <w:rPr>
          <w:color w:val="231F20"/>
        </w:rPr>
        <w:t>administration mode cannot be seen while in administration mode, even if you </w:t>
      </w:r>
      <w:r>
        <w:rPr>
          <w:color w:val="231F20"/>
        </w:rPr>
        <w:t>are that user. For example, if you created private workspace "My charts", you will not see "My charts" in the list of available workspaces while you have workspace administration mode turned on.</w:t>
      </w:r>
    </w:p>
    <w:p>
      <w:pPr>
        <w:pStyle w:val="Heading4"/>
        <w:spacing w:before="198"/>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1" w:lineRule="auto" w:before="248"/>
        <w:ind w:left="2232" w:right="488"/>
      </w:pPr>
      <w:r>
        <w:rPr>
          <w:color w:val="231F20"/>
        </w:rPr>
        <w:t>When editing a workspace in administration mode, select </w:t>
      </w:r>
      <w:r>
        <w:rPr>
          <w:color w:val="231F20"/>
          <w:spacing w:val="15"/>
        </w:rPr>
        <w:drawing>
          <wp:inline distT="0" distB="0" distL="0" distR="0">
            <wp:extent cx="82550" cy="82550"/>
            <wp:effectExtent l="0" t="0" r="0" b="0"/>
            <wp:docPr id="701" name="Image 701"/>
            <wp:cNvGraphicFramePr>
              <a:graphicFrameLocks/>
            </wp:cNvGraphicFramePr>
            <a:graphic>
              <a:graphicData uri="http://schemas.openxmlformats.org/drawingml/2006/picture">
                <pic:pic>
                  <pic:nvPicPr>
                    <pic:cNvPr id="701" name="Image 70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Do not allow modifications </w:t>
      </w:r>
      <w:r>
        <w:rPr>
          <w:color w:val="231F20"/>
        </w:rPr>
        <w:t>in the workspace properties. Otherwise, if a user edits that</w:t>
      </w:r>
      <w:r>
        <w:rPr>
          <w:color w:val="231F20"/>
          <w:spacing w:val="40"/>
        </w:rPr>
        <w:t> </w:t>
      </w:r>
      <w:r>
        <w:rPr>
          <w:color w:val="231F20"/>
        </w:rPr>
        <w:t>workspace, you no longer control the workspace and cannot override their </w:t>
      </w:r>
      <w:r>
        <w:rPr>
          <w:color w:val="231F20"/>
        </w:rPr>
        <w:t>changes with any changes you make.</w:t>
      </w:r>
    </w:p>
    <w:p>
      <w:pPr>
        <w:pStyle w:val="BodyText"/>
        <w:spacing w:line="213" w:lineRule="auto" w:before="241"/>
        <w:ind w:left="2232"/>
      </w:pPr>
      <w:r>
        <w:rPr>
          <w:color w:val="231F20"/>
        </w:rPr>
        <w:t>When you are finished configuring workspaces for all users, turn off </w:t>
      </w:r>
      <w:r>
        <w:rPr>
          <w:color w:val="231F20"/>
        </w:rPr>
        <w:t>workspace administration mode by repeating these steps and clearing the </w:t>
      </w:r>
      <w:r>
        <w:rPr>
          <w:rFonts w:ascii="Book Antiqua"/>
          <w:b/>
          <w:color w:val="231F20"/>
        </w:rPr>
        <w:t>Workspace Administration Mode </w:t>
      </w:r>
      <w:r>
        <w:rPr>
          <w:color w:val="231F20"/>
        </w:rPr>
        <w:t>check box.</w:t>
      </w:r>
    </w:p>
    <w:p>
      <w:pPr>
        <w:pStyle w:val="BodyText"/>
        <w:spacing w:before="4"/>
        <w:rPr>
          <w:sz w:val="16"/>
        </w:rPr>
      </w:pPr>
      <w:r>
        <w:rPr/>
        <mc:AlternateContent>
          <mc:Choice Requires="wps">
            <w:drawing>
              <wp:anchor distT="0" distB="0" distL="0" distR="0" allowOverlap="1" layoutInCell="1" locked="0" behindDoc="1" simplePos="0" relativeHeight="487656448">
                <wp:simplePos x="0" y="0"/>
                <wp:positionH relativeFrom="page">
                  <wp:posOffset>760323</wp:posOffset>
                </wp:positionH>
                <wp:positionV relativeFrom="paragraph">
                  <wp:posOffset>155294</wp:posOffset>
                </wp:positionV>
                <wp:extent cx="6082665" cy="1270"/>
                <wp:effectExtent l="0" t="0" r="0" b="0"/>
                <wp:wrapTopAndBottom/>
                <wp:docPr id="702" name="Graphic 702"/>
                <wp:cNvGraphicFramePr>
                  <a:graphicFrameLocks/>
                </wp:cNvGraphicFramePr>
                <a:graphic>
                  <a:graphicData uri="http://schemas.microsoft.com/office/word/2010/wordprocessingShape">
                    <wps:wsp>
                      <wps:cNvPr id="702" name="Graphic 70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27948pt;width:478.95pt;height:.1pt;mso-position-horizontal-relative:page;mso-position-vertical-relative:paragraph;z-index:-15660032;mso-wrap-distance-left:0;mso-wrap-distance-right:0" id="docshape109"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Workspace properties" w:id="121"/>
      <w:bookmarkEnd w:id="121"/>
      <w:r>
        <w:rPr>
          <w:b w:val="0"/>
        </w:rPr>
      </w:r>
      <w:r>
        <w:rPr>
          <w:color w:val="231F20"/>
        </w:rPr>
        <w:t>Workspace</w:t>
      </w:r>
      <w:r>
        <w:rPr>
          <w:color w:val="231F20"/>
          <w:spacing w:val="-5"/>
        </w:rPr>
        <w:t> </w:t>
      </w:r>
      <w:r>
        <w:rPr>
          <w:color w:val="231F20"/>
          <w:spacing w:val="-2"/>
        </w:rPr>
        <w:t>properties</w:t>
      </w:r>
    </w:p>
    <w:p>
      <w:pPr>
        <w:pStyle w:val="BodyText"/>
        <w:spacing w:line="213" w:lineRule="auto" w:before="138"/>
        <w:ind w:left="2232"/>
      </w:pPr>
      <w:r>
        <w:rPr>
          <w:color w:val="231F20"/>
        </w:rPr>
        <w:t>Every workspace has a name and general characteristics defined in the </w:t>
      </w:r>
      <w:r>
        <w:rPr>
          <w:color w:val="231F20"/>
        </w:rPr>
        <w:t>workspace </w:t>
      </w:r>
      <w:r>
        <w:rPr>
          <w:color w:val="231F20"/>
          <w:spacing w:val="-2"/>
        </w:rPr>
        <w:t>properties.</w:t>
      </w:r>
    </w:p>
    <w:p>
      <w:pPr>
        <w:spacing w:after="0" w:line="213" w:lineRule="auto"/>
        <w:sectPr>
          <w:pgSz w:w="12240" w:h="15840"/>
          <w:pgMar w:header="0" w:footer="736" w:top="1180" w:bottom="920" w:left="1000" w:right="1060"/>
        </w:sectPr>
      </w:pPr>
    </w:p>
    <w:p>
      <w:pPr>
        <w:pStyle w:val="BodyText"/>
        <w:spacing w:line="213" w:lineRule="auto" w:before="85"/>
        <w:ind w:left="2472" w:right="385"/>
      </w:pPr>
      <w:bookmarkStart w:name="_bookmark55" w:id="122"/>
      <w:bookmarkEnd w:id="122"/>
      <w:r>
        <w:rPr/>
      </w:r>
      <w:r>
        <w:rPr>
          <w:color w:val="231F20"/>
        </w:rPr>
        <w:t>When you save a new workspace with </w:t>
      </w:r>
      <w:r>
        <w:rPr>
          <w:rFonts w:ascii="Book Antiqua" w:hAnsi="Book Antiqua"/>
          <w:b/>
          <w:color w:val="231F20"/>
        </w:rPr>
        <w:t>File </w:t>
      </w:r>
      <w:r>
        <w:rPr>
          <w:rFonts w:ascii="Arial" w:hAnsi="Arial"/>
          <w:b/>
          <w:color w:val="231F20"/>
          <w:w w:val="90"/>
        </w:rPr>
        <w:t>→ </w:t>
      </w:r>
      <w:r>
        <w:rPr>
          <w:rFonts w:ascii="Book Antiqua" w:hAnsi="Book Antiqua"/>
          <w:b/>
          <w:color w:val="231F20"/>
        </w:rPr>
        <w:t>Save Workspace As</w:t>
      </w:r>
      <w:r>
        <w:rPr>
          <w:color w:val="231F20"/>
        </w:rPr>
        <w:t>, click </w:t>
      </w:r>
      <w:r>
        <w:rPr>
          <w:color w:val="231F20"/>
          <w:spacing w:val="15"/>
          <w:position w:val="-1"/>
        </w:rPr>
        <w:drawing>
          <wp:inline distT="0" distB="0" distL="0" distR="0">
            <wp:extent cx="101600" cy="95250"/>
            <wp:effectExtent l="0" t="0" r="0" b="0"/>
            <wp:docPr id="703" name="Image 703"/>
            <wp:cNvGraphicFramePr>
              <a:graphicFrameLocks/>
            </wp:cNvGraphicFramePr>
            <a:graphic>
              <a:graphicData uri="http://schemas.openxmlformats.org/drawingml/2006/picture">
                <pic:pic>
                  <pic:nvPicPr>
                    <pic:cNvPr id="703" name="Image 703"/>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hAnsi="Times New Roman"/>
          <w:color w:val="231F20"/>
          <w:spacing w:val="15"/>
          <w:position w:val="-1"/>
        </w:rPr>
        <w:t> </w:t>
      </w:r>
      <w:r>
        <w:rPr>
          <w:rFonts w:ascii="Book Antiqua" w:hAnsi="Book Antiqua"/>
          <w:b/>
          <w:color w:val="231F20"/>
        </w:rPr>
        <w:t>Properties</w:t>
      </w:r>
      <w:r>
        <w:rPr>
          <w:color w:val="231F20"/>
        </w:rPr>
        <w:t>, or, if the Properties editor is already open, click the top item in the tree</w:t>
      </w:r>
      <w:r>
        <w:rPr>
          <w:color w:val="231F20"/>
          <w:spacing w:val="40"/>
        </w:rPr>
        <w:t> </w:t>
      </w:r>
      <w:r>
        <w:rPr>
          <w:color w:val="231F20"/>
        </w:rPr>
        <w:t>to see the workspace properties.</w:t>
      </w:r>
    </w:p>
    <w:p>
      <w:pPr>
        <w:pStyle w:val="Heading6"/>
        <w:spacing w:line="240" w:lineRule="auto" w:before="116"/>
      </w:pPr>
      <w:r>
        <w:rPr>
          <w:color w:val="231F20"/>
          <w:spacing w:val="-2"/>
        </w:rPr>
        <w:t>Workspace</w:t>
      </w:r>
      <w:r>
        <w:rPr>
          <w:color w:val="231F20"/>
          <w:spacing w:val="8"/>
        </w:rPr>
        <w:t> </w:t>
      </w:r>
      <w:r>
        <w:rPr>
          <w:color w:val="231F20"/>
          <w:spacing w:val="-2"/>
        </w:rPr>
        <w:t>Identity</w:t>
      </w:r>
    </w:p>
    <w:p>
      <w:pPr>
        <w:pStyle w:val="BodyText"/>
        <w:spacing w:line="213" w:lineRule="auto" w:before="119"/>
        <w:ind w:left="3909" w:right="258" w:hanging="719"/>
      </w:pPr>
      <w:r>
        <w:rPr>
          <w:rFonts w:ascii="Book Antiqua" w:hAnsi="Book Antiqua"/>
          <w:b/>
          <w:color w:val="231F20"/>
        </w:rPr>
        <w:t>Name</w:t>
      </w:r>
      <w:r>
        <w:rPr>
          <w:rFonts w:ascii="Book Antiqua" w:hAnsi="Book Antiqua"/>
          <w:b/>
          <w:color w:val="231F20"/>
          <w:spacing w:val="80"/>
        </w:rPr>
        <w:t> </w:t>
      </w:r>
      <w:r>
        <w:rPr>
          <w:color w:val="231F20"/>
        </w:rPr>
        <w:t>The title of the workspace. The workspace name is displayed in </w:t>
      </w:r>
      <w:r>
        <w:rPr>
          <w:color w:val="231F20"/>
        </w:rPr>
        <w:t>the title bar or browser mode banner, in the </w:t>
      </w:r>
      <w:r>
        <w:rPr>
          <w:rFonts w:ascii="Book Antiqua" w:hAnsi="Book Antiqua"/>
          <w:b/>
          <w:color w:val="231F20"/>
        </w:rPr>
        <w:t>View </w:t>
      </w:r>
      <w:r>
        <w:rPr>
          <w:rFonts w:ascii="Arial" w:hAnsi="Arial"/>
          <w:b/>
          <w:color w:val="231F20"/>
          <w:w w:val="90"/>
        </w:rPr>
        <w:t>→ </w:t>
      </w:r>
      <w:r>
        <w:rPr>
          <w:rFonts w:ascii="Book Antiqua" w:hAnsi="Book Antiqua"/>
          <w:b/>
          <w:color w:val="231F20"/>
        </w:rPr>
        <w:t>Workspace </w:t>
      </w:r>
      <w:r>
        <w:rPr>
          <w:color w:val="231F20"/>
        </w:rPr>
        <w:t>list, or in the </w:t>
      </w:r>
      <w:r>
        <w:rPr>
          <w:rFonts w:ascii="Book Antiqua" w:hAnsi="Book Antiqua"/>
          <w:b/>
          <w:color w:val="231F20"/>
        </w:rPr>
        <w:t>Link To </w:t>
      </w:r>
      <w:r>
        <w:rPr>
          <w:color w:val="231F20"/>
        </w:rPr>
        <w:t>list menu, depending on how you have set the workspace options (see below). Do not use an &amp; ampersand or # pound sign in the title.</w:t>
      </w:r>
    </w:p>
    <w:p>
      <w:pPr>
        <w:pStyle w:val="Heading6"/>
        <w:spacing w:before="116"/>
        <w:ind w:left="3190"/>
      </w:pPr>
      <w:r>
        <w:rPr>
          <w:color w:val="231F20"/>
          <w:spacing w:val="-2"/>
        </w:rPr>
        <w:t>Description</w:t>
      </w:r>
    </w:p>
    <w:p>
      <w:pPr>
        <w:pStyle w:val="BodyText"/>
        <w:spacing w:line="213" w:lineRule="auto" w:before="11"/>
        <w:ind w:left="3909"/>
      </w:pPr>
      <w:r>
        <w:rPr>
          <w:color w:val="231F20"/>
        </w:rPr>
        <w:t>Optional. The description can be a full text description of </w:t>
      </w:r>
      <w:r>
        <w:rPr>
          <w:color w:val="231F20"/>
        </w:rPr>
        <w:t>the </w:t>
      </w:r>
      <w:r>
        <w:rPr>
          <w:color w:val="231F20"/>
          <w:spacing w:val="-2"/>
        </w:rPr>
        <w:t>workspace.</w:t>
      </w:r>
    </w:p>
    <w:p>
      <w:pPr>
        <w:pStyle w:val="Heading6"/>
        <w:spacing w:line="240" w:lineRule="auto"/>
      </w:pPr>
      <w:r>
        <w:rPr>
          <w:color w:val="231F20"/>
          <w:spacing w:val="-2"/>
        </w:rPr>
        <w:t>Workspace</w:t>
      </w:r>
      <w:r>
        <w:rPr>
          <w:color w:val="231F20"/>
          <w:spacing w:val="8"/>
        </w:rPr>
        <w:t> </w:t>
      </w:r>
      <w:r>
        <w:rPr>
          <w:color w:val="231F20"/>
          <w:spacing w:val="-2"/>
        </w:rPr>
        <w:t>Options</w:t>
      </w:r>
    </w:p>
    <w:p>
      <w:pPr>
        <w:spacing w:line="227" w:lineRule="exact" w:before="123"/>
        <w:ind w:left="3190" w:right="0" w:firstLine="0"/>
        <w:jc w:val="left"/>
        <w:rPr>
          <w:rFonts w:ascii="Book Antiqua"/>
          <w:b/>
          <w:sz w:val="20"/>
        </w:rPr>
      </w:pPr>
      <w:r>
        <w:rPr/>
        <w:drawing>
          <wp:inline distT="0" distB="0" distL="0" distR="0">
            <wp:extent cx="82550" cy="82550"/>
            <wp:effectExtent l="0" t="0" r="0" b="0"/>
            <wp:docPr id="704" name="Image 704"/>
            <wp:cNvGraphicFramePr>
              <a:graphicFrameLocks/>
            </wp:cNvGraphicFramePr>
            <a:graphic>
              <a:graphicData uri="http://schemas.openxmlformats.org/drawingml/2006/picture">
                <pic:pic>
                  <pic:nvPicPr>
                    <pic:cNvPr id="704" name="Image 704"/>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80"/>
          <w:sz w:val="20"/>
        </w:rPr>
        <w:t> </w:t>
      </w:r>
      <w:r>
        <w:rPr>
          <w:rFonts w:ascii="Book Antiqua"/>
          <w:b/>
          <w:color w:val="231F20"/>
          <w:sz w:val="20"/>
        </w:rPr>
        <w:t>Assign</w:t>
      </w:r>
      <w:r>
        <w:rPr>
          <w:rFonts w:ascii="Book Antiqua"/>
          <w:b/>
          <w:color w:val="231F20"/>
          <w:spacing w:val="23"/>
          <w:sz w:val="20"/>
        </w:rPr>
        <w:t> </w:t>
      </w:r>
      <w:r>
        <w:rPr>
          <w:rFonts w:ascii="Book Antiqua"/>
          <w:b/>
          <w:color w:val="231F20"/>
          <w:sz w:val="20"/>
        </w:rPr>
        <w:t>as</w:t>
      </w:r>
      <w:r>
        <w:rPr>
          <w:rFonts w:ascii="Book Antiqua"/>
          <w:b/>
          <w:color w:val="231F20"/>
          <w:spacing w:val="23"/>
          <w:sz w:val="20"/>
        </w:rPr>
        <w:t> </w:t>
      </w:r>
      <w:r>
        <w:rPr>
          <w:rFonts w:ascii="Book Antiqua"/>
          <w:b/>
          <w:color w:val="231F20"/>
          <w:sz w:val="20"/>
        </w:rPr>
        <w:t>default</w:t>
      </w:r>
      <w:r>
        <w:rPr>
          <w:rFonts w:ascii="Book Antiqua"/>
          <w:b/>
          <w:color w:val="231F20"/>
          <w:spacing w:val="23"/>
          <w:sz w:val="20"/>
        </w:rPr>
        <w:t> </w:t>
      </w:r>
      <w:r>
        <w:rPr>
          <w:rFonts w:ascii="Book Antiqua"/>
          <w:b/>
          <w:color w:val="231F20"/>
          <w:sz w:val="20"/>
        </w:rPr>
        <w:t>for</w:t>
      </w:r>
      <w:r>
        <w:rPr>
          <w:rFonts w:ascii="Book Antiqua"/>
          <w:b/>
          <w:color w:val="231F20"/>
          <w:spacing w:val="23"/>
          <w:sz w:val="20"/>
        </w:rPr>
        <w:t> </w:t>
      </w:r>
      <w:r>
        <w:rPr>
          <w:rFonts w:ascii="Book Antiqua"/>
          <w:b/>
          <w:color w:val="231F20"/>
          <w:sz w:val="20"/>
        </w:rPr>
        <w:t>this</w:t>
      </w:r>
      <w:r>
        <w:rPr>
          <w:rFonts w:ascii="Book Antiqua"/>
          <w:b/>
          <w:color w:val="231F20"/>
          <w:spacing w:val="23"/>
          <w:sz w:val="20"/>
        </w:rPr>
        <w:t> </w:t>
      </w:r>
      <w:r>
        <w:rPr>
          <w:rFonts w:ascii="Book Antiqua"/>
          <w:b/>
          <w:color w:val="231F20"/>
          <w:sz w:val="20"/>
        </w:rPr>
        <w:t>Navigator</w:t>
      </w:r>
      <w:r>
        <w:rPr>
          <w:rFonts w:ascii="Book Antiqua"/>
          <w:b/>
          <w:color w:val="231F20"/>
          <w:spacing w:val="23"/>
          <w:sz w:val="20"/>
        </w:rPr>
        <w:t> </w:t>
      </w:r>
      <w:r>
        <w:rPr>
          <w:rFonts w:ascii="Book Antiqua"/>
          <w:b/>
          <w:color w:val="231F20"/>
          <w:sz w:val="20"/>
        </w:rPr>
        <w:t>Item</w:t>
      </w:r>
    </w:p>
    <w:p>
      <w:pPr>
        <w:pStyle w:val="BodyText"/>
        <w:spacing w:line="213" w:lineRule="auto" w:before="9"/>
        <w:ind w:left="3909" w:right="385"/>
      </w:pPr>
      <w:r>
        <w:rPr>
          <w:color w:val="231F20"/>
        </w:rPr>
        <w:t>Makes this workspace the default for the Navigator item (the </w:t>
      </w:r>
      <w:r>
        <w:rPr>
          <w:color w:val="231F20"/>
        </w:rPr>
        <w:t>one that opens when you click the Navigator item).</w:t>
      </w:r>
    </w:p>
    <w:p>
      <w:pPr>
        <w:pStyle w:val="Heading6"/>
        <w:spacing w:line="227" w:lineRule="exact" w:before="122"/>
        <w:ind w:left="3190"/>
      </w:pPr>
      <w:r>
        <w:rPr>
          <w:b w:val="0"/>
        </w:rPr>
        <w:drawing>
          <wp:inline distT="0" distB="0" distL="0" distR="0">
            <wp:extent cx="82550" cy="82550"/>
            <wp:effectExtent l="0" t="0" r="0" b="0"/>
            <wp:docPr id="705" name="Image 705"/>
            <wp:cNvGraphicFramePr>
              <a:graphicFrameLocks/>
            </wp:cNvGraphicFramePr>
            <a:graphic>
              <a:graphicData uri="http://schemas.openxmlformats.org/drawingml/2006/picture">
                <pic:pic>
                  <pic:nvPicPr>
                    <pic:cNvPr id="705" name="Image 705"/>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Assign</w:t>
      </w:r>
      <w:r>
        <w:rPr>
          <w:color w:val="231F20"/>
          <w:spacing w:val="30"/>
        </w:rPr>
        <w:t> </w:t>
      </w:r>
      <w:r>
        <w:rPr>
          <w:color w:val="231F20"/>
        </w:rPr>
        <w:t>as</w:t>
      </w:r>
      <w:r>
        <w:rPr>
          <w:color w:val="231F20"/>
          <w:spacing w:val="30"/>
        </w:rPr>
        <w:t> </w:t>
      </w:r>
      <w:r>
        <w:rPr>
          <w:color w:val="231F20"/>
        </w:rPr>
        <w:t>Home</w:t>
      </w:r>
      <w:r>
        <w:rPr>
          <w:color w:val="231F20"/>
          <w:spacing w:val="30"/>
        </w:rPr>
        <w:t> </w:t>
      </w:r>
      <w:r>
        <w:rPr>
          <w:color w:val="231F20"/>
        </w:rPr>
        <w:t>Workspace</w:t>
      </w:r>
    </w:p>
    <w:p>
      <w:pPr>
        <w:pStyle w:val="BodyText"/>
        <w:spacing w:line="213" w:lineRule="auto" w:before="9"/>
        <w:ind w:left="3909" w:right="545"/>
      </w:pPr>
      <w:r>
        <w:rPr>
          <w:color w:val="231F20"/>
        </w:rPr>
        <w:t>Specifies this as the workspace that opens whenever you </w:t>
      </w:r>
      <w:r>
        <w:rPr>
          <w:color w:val="231F20"/>
        </w:rPr>
        <w:t>start Tivoli Enterprise Portal, much like your browser home page.</w:t>
      </w:r>
    </w:p>
    <w:p>
      <w:pPr>
        <w:pStyle w:val="Heading6"/>
        <w:spacing w:line="227" w:lineRule="exact" w:before="122"/>
        <w:ind w:left="3190"/>
      </w:pPr>
      <w:r>
        <w:rPr>
          <w:b w:val="0"/>
        </w:rPr>
        <w:drawing>
          <wp:inline distT="0" distB="0" distL="0" distR="0">
            <wp:extent cx="82550" cy="82550"/>
            <wp:effectExtent l="0" t="0" r="0" b="0"/>
            <wp:docPr id="706" name="Image 706"/>
            <wp:cNvGraphicFramePr>
              <a:graphicFrameLocks/>
            </wp:cNvGraphicFramePr>
            <a:graphic>
              <a:graphicData uri="http://schemas.openxmlformats.org/drawingml/2006/picture">
                <pic:pic>
                  <pic:nvPicPr>
                    <pic:cNvPr id="706" name="Image 706"/>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Do</w:t>
      </w:r>
      <w:r>
        <w:rPr>
          <w:color w:val="231F20"/>
          <w:spacing w:val="31"/>
        </w:rPr>
        <w:t> </w:t>
      </w:r>
      <w:r>
        <w:rPr>
          <w:color w:val="231F20"/>
        </w:rPr>
        <w:t>not</w:t>
      </w:r>
      <w:r>
        <w:rPr>
          <w:color w:val="231F20"/>
          <w:spacing w:val="31"/>
        </w:rPr>
        <w:t> </w:t>
      </w:r>
      <w:r>
        <w:rPr>
          <w:color w:val="231F20"/>
        </w:rPr>
        <w:t>allow</w:t>
      </w:r>
      <w:r>
        <w:rPr>
          <w:color w:val="231F20"/>
          <w:spacing w:val="31"/>
        </w:rPr>
        <w:t> </w:t>
      </w:r>
      <w:r>
        <w:rPr>
          <w:color w:val="231F20"/>
        </w:rPr>
        <w:t>modifications</w:t>
      </w:r>
    </w:p>
    <w:p>
      <w:pPr>
        <w:pStyle w:val="BodyText"/>
        <w:spacing w:line="213" w:lineRule="auto" w:before="9"/>
        <w:ind w:left="3909" w:right="202"/>
      </w:pPr>
      <w:r>
        <w:rPr>
          <w:color w:val="231F20"/>
        </w:rPr>
        <w:t>Protects the workspace from permanent changes and must be selected when you are editing in Workspace administration mode. Users who have access to this workspace can change it </w:t>
      </w:r>
      <w:r>
        <w:rPr>
          <w:color w:val="231F20"/>
        </w:rPr>
        <w:t>temporarily, but if they attempt to</w:t>
      </w:r>
      <w:r>
        <w:rPr>
          <w:color w:val="231F20"/>
          <w:spacing w:val="37"/>
        </w:rPr>
        <w:t> </w:t>
      </w:r>
      <w:r>
        <w:rPr>
          <w:color w:val="231F20"/>
          <w:spacing w:val="-25"/>
          <w:position w:val="-1"/>
        </w:rPr>
        <w:drawing>
          <wp:inline distT="0" distB="0" distL="0" distR="0">
            <wp:extent cx="95250" cy="95250"/>
            <wp:effectExtent l="0" t="0" r="0" b="0"/>
            <wp:docPr id="707" name="Image 707"/>
            <wp:cNvGraphicFramePr>
              <a:graphicFrameLocks/>
            </wp:cNvGraphicFramePr>
            <a:graphic>
              <a:graphicData uri="http://schemas.openxmlformats.org/drawingml/2006/picture">
                <pic:pic>
                  <pic:nvPicPr>
                    <pic:cNvPr id="707" name="Image 707"/>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save, the Save Workspace As window opens</w:t>
      </w:r>
      <w:r>
        <w:rPr>
          <w:color w:val="231F20"/>
          <w:spacing w:val="27"/>
        </w:rPr>
        <w:t> </w:t>
      </w:r>
      <w:r>
        <w:rPr>
          <w:color w:val="231F20"/>
        </w:rPr>
        <w:t>so</w:t>
      </w:r>
      <w:r>
        <w:rPr>
          <w:color w:val="231F20"/>
          <w:spacing w:val="27"/>
        </w:rPr>
        <w:t> </w:t>
      </w:r>
      <w:r>
        <w:rPr>
          <w:color w:val="231F20"/>
        </w:rPr>
        <w:t>that</w:t>
      </w:r>
      <w:r>
        <w:rPr>
          <w:color w:val="231F20"/>
          <w:spacing w:val="27"/>
        </w:rPr>
        <w:t> </w:t>
      </w:r>
      <w:r>
        <w:rPr>
          <w:color w:val="231F20"/>
        </w:rPr>
        <w:t>it</w:t>
      </w:r>
      <w:r>
        <w:rPr>
          <w:color w:val="231F20"/>
          <w:spacing w:val="27"/>
        </w:rPr>
        <w:t> </w:t>
      </w:r>
      <w:r>
        <w:rPr>
          <w:color w:val="231F20"/>
        </w:rPr>
        <w:t>is</w:t>
      </w:r>
      <w:r>
        <w:rPr>
          <w:color w:val="231F20"/>
          <w:spacing w:val="27"/>
        </w:rPr>
        <w:t> </w:t>
      </w:r>
      <w:r>
        <w:rPr>
          <w:color w:val="231F20"/>
        </w:rPr>
        <w:t>saved</w:t>
      </w:r>
      <w:r>
        <w:rPr>
          <w:color w:val="231F20"/>
          <w:spacing w:val="27"/>
        </w:rPr>
        <w:t> </w:t>
      </w:r>
      <w:r>
        <w:rPr>
          <w:color w:val="231F20"/>
        </w:rPr>
        <w:t>as</w:t>
      </w:r>
      <w:r>
        <w:rPr>
          <w:color w:val="231F20"/>
          <w:spacing w:val="27"/>
        </w:rPr>
        <w:t> </w:t>
      </w:r>
      <w:r>
        <w:rPr>
          <w:color w:val="231F20"/>
        </w:rPr>
        <w:t>a</w:t>
      </w:r>
      <w:r>
        <w:rPr>
          <w:color w:val="231F20"/>
          <w:spacing w:val="27"/>
        </w:rPr>
        <w:t> </w:t>
      </w:r>
      <w:r>
        <w:rPr>
          <w:color w:val="231F20"/>
        </w:rPr>
        <w:t>new</w:t>
      </w:r>
      <w:r>
        <w:rPr>
          <w:color w:val="231F20"/>
          <w:spacing w:val="27"/>
        </w:rPr>
        <w:t> </w:t>
      </w:r>
      <w:r>
        <w:rPr>
          <w:color w:val="231F20"/>
        </w:rPr>
        <w:t>workspace</w:t>
      </w:r>
      <w:r>
        <w:rPr>
          <w:color w:val="231F20"/>
          <w:spacing w:val="27"/>
        </w:rPr>
        <w:t> </w:t>
      </w:r>
      <w:r>
        <w:rPr>
          <w:color w:val="231F20"/>
        </w:rPr>
        <w:t>with</w:t>
      </w:r>
      <w:r>
        <w:rPr>
          <w:color w:val="231F20"/>
          <w:spacing w:val="27"/>
        </w:rPr>
        <w:t> </w:t>
      </w:r>
      <w:r>
        <w:rPr>
          <w:color w:val="231F20"/>
        </w:rPr>
        <w:t>a</w:t>
      </w:r>
      <w:r>
        <w:rPr>
          <w:color w:val="231F20"/>
          <w:spacing w:val="27"/>
        </w:rPr>
        <w:t> </w:t>
      </w:r>
      <w:r>
        <w:rPr>
          <w:color w:val="231F20"/>
        </w:rPr>
        <w:t>different name. Also, when this item is enabled you cannot delete the </w:t>
      </w:r>
      <w:r>
        <w:rPr>
          <w:color w:val="231F20"/>
          <w:spacing w:val="-2"/>
        </w:rPr>
        <w:t>workspace.</w:t>
      </w:r>
    </w:p>
    <w:p>
      <w:pPr>
        <w:pStyle w:val="Heading6"/>
        <w:spacing w:line="227" w:lineRule="exact" w:before="119"/>
        <w:ind w:left="3190"/>
      </w:pPr>
      <w:r>
        <w:rPr>
          <w:b w:val="0"/>
        </w:rPr>
        <w:drawing>
          <wp:inline distT="0" distB="0" distL="0" distR="0">
            <wp:extent cx="82550" cy="82550"/>
            <wp:effectExtent l="0" t="0" r="0" b="0"/>
            <wp:docPr id="708" name="Image 708"/>
            <wp:cNvGraphicFramePr>
              <a:graphicFrameLocks/>
            </wp:cNvGraphicFramePr>
            <a:graphic>
              <a:graphicData uri="http://schemas.openxmlformats.org/drawingml/2006/picture">
                <pic:pic>
                  <pic:nvPicPr>
                    <pic:cNvPr id="708" name="Image 708"/>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Only</w:t>
      </w:r>
      <w:r>
        <w:rPr>
          <w:color w:val="231F20"/>
          <w:spacing w:val="19"/>
        </w:rPr>
        <w:t> </w:t>
      </w:r>
      <w:r>
        <w:rPr>
          <w:color w:val="231F20"/>
        </w:rPr>
        <w:t>selectable</w:t>
      </w:r>
      <w:r>
        <w:rPr>
          <w:color w:val="231F20"/>
          <w:spacing w:val="19"/>
        </w:rPr>
        <w:t> </w:t>
      </w:r>
      <w:r>
        <w:rPr>
          <w:color w:val="231F20"/>
        </w:rPr>
        <w:t>as</w:t>
      </w:r>
      <w:r>
        <w:rPr>
          <w:color w:val="231F20"/>
          <w:spacing w:val="19"/>
        </w:rPr>
        <w:t> </w:t>
      </w:r>
      <w:r>
        <w:rPr>
          <w:color w:val="231F20"/>
        </w:rPr>
        <w:t>the</w:t>
      </w:r>
      <w:r>
        <w:rPr>
          <w:color w:val="231F20"/>
          <w:spacing w:val="19"/>
        </w:rPr>
        <w:t> </w:t>
      </w:r>
      <w:r>
        <w:rPr>
          <w:color w:val="231F20"/>
        </w:rPr>
        <w:t>target</w:t>
      </w:r>
      <w:r>
        <w:rPr>
          <w:color w:val="231F20"/>
          <w:spacing w:val="19"/>
        </w:rPr>
        <w:t> </w:t>
      </w:r>
      <w:r>
        <w:rPr>
          <w:color w:val="231F20"/>
        </w:rPr>
        <w:t>of</w:t>
      </w:r>
      <w:r>
        <w:rPr>
          <w:color w:val="231F20"/>
          <w:spacing w:val="19"/>
        </w:rPr>
        <w:t> </w:t>
      </w:r>
      <w:r>
        <w:rPr>
          <w:color w:val="231F20"/>
        </w:rPr>
        <w:t>a</w:t>
      </w:r>
      <w:r>
        <w:rPr>
          <w:color w:val="231F20"/>
          <w:spacing w:val="19"/>
        </w:rPr>
        <w:t> </w:t>
      </w:r>
      <w:r>
        <w:rPr>
          <w:color w:val="231F20"/>
        </w:rPr>
        <w:t>Workspace</w:t>
      </w:r>
      <w:r>
        <w:rPr>
          <w:color w:val="231F20"/>
          <w:spacing w:val="19"/>
        </w:rPr>
        <w:t> </w:t>
      </w:r>
      <w:r>
        <w:rPr>
          <w:color w:val="231F20"/>
        </w:rPr>
        <w:t>Link</w:t>
      </w:r>
    </w:p>
    <w:p>
      <w:pPr>
        <w:pStyle w:val="BodyText"/>
        <w:spacing w:line="213" w:lineRule="auto" w:before="9"/>
        <w:ind w:left="3909" w:right="385"/>
      </w:pPr>
      <w:r>
        <w:rPr>
          <w:color w:val="231F20"/>
        </w:rPr>
        <w:t>Marks the workspace as hidden except when it is a possible </w:t>
      </w:r>
      <w:r>
        <w:rPr>
          <w:color w:val="231F20"/>
        </w:rPr>
        <w:t>Link To destination. The workspace does not display in the list of available workspaces for a Navigator item.</w:t>
      </w:r>
    </w:p>
    <w:p>
      <w:pPr>
        <w:pStyle w:val="Heading6"/>
        <w:spacing w:line="227" w:lineRule="exact" w:before="121"/>
        <w:ind w:left="3190"/>
      </w:pPr>
      <w:r>
        <w:rPr>
          <w:b w:val="0"/>
        </w:rPr>
        <w:drawing>
          <wp:inline distT="0" distB="0" distL="0" distR="0">
            <wp:extent cx="82550" cy="82550"/>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Always</w:t>
      </w:r>
      <w:r>
        <w:rPr>
          <w:color w:val="231F20"/>
          <w:spacing w:val="24"/>
        </w:rPr>
        <w:t> </w:t>
      </w:r>
      <w:r>
        <w:rPr>
          <w:color w:val="231F20"/>
        </w:rPr>
        <w:t>open</w:t>
      </w:r>
      <w:r>
        <w:rPr>
          <w:color w:val="231F20"/>
          <w:spacing w:val="24"/>
        </w:rPr>
        <w:t> </w:t>
      </w:r>
      <w:r>
        <w:rPr>
          <w:color w:val="231F20"/>
        </w:rPr>
        <w:t>workspace</w:t>
      </w:r>
      <w:r>
        <w:rPr>
          <w:color w:val="231F20"/>
          <w:spacing w:val="24"/>
        </w:rPr>
        <w:t> </w:t>
      </w:r>
      <w:r>
        <w:rPr>
          <w:color w:val="231F20"/>
        </w:rPr>
        <w:t>in</w:t>
      </w:r>
      <w:r>
        <w:rPr>
          <w:color w:val="231F20"/>
          <w:spacing w:val="24"/>
        </w:rPr>
        <w:t> </w:t>
      </w:r>
      <w:r>
        <w:rPr>
          <w:color w:val="231F20"/>
        </w:rPr>
        <w:t>new</w:t>
      </w:r>
      <w:r>
        <w:rPr>
          <w:color w:val="231F20"/>
          <w:spacing w:val="24"/>
        </w:rPr>
        <w:t> </w:t>
      </w:r>
      <w:r>
        <w:rPr>
          <w:color w:val="231F20"/>
        </w:rPr>
        <w:t>window</w:t>
      </w:r>
    </w:p>
    <w:p>
      <w:pPr>
        <w:pStyle w:val="BodyText"/>
        <w:spacing w:line="213" w:lineRule="auto" w:before="9"/>
        <w:ind w:left="3909"/>
      </w:pPr>
      <w:r>
        <w:rPr>
          <w:color w:val="231F20"/>
        </w:rPr>
        <w:t>When enabled, this option causes the workspace to open in a </w:t>
      </w:r>
      <w:r>
        <w:rPr>
          <w:color w:val="231F20"/>
        </w:rPr>
        <w:t>new window, or in a new tab if your browser supports tabbed pages.</w:t>
      </w:r>
    </w:p>
    <w:p>
      <w:pPr>
        <w:pStyle w:val="BodyText"/>
        <w:spacing w:before="5"/>
        <w:rPr>
          <w:sz w:val="16"/>
        </w:rPr>
      </w:pPr>
      <w:r>
        <w:rPr/>
        <mc:AlternateContent>
          <mc:Choice Requires="wps">
            <w:drawing>
              <wp:anchor distT="0" distB="0" distL="0" distR="0" allowOverlap="1" layoutInCell="1" locked="0" behindDoc="1" simplePos="0" relativeHeight="487656960">
                <wp:simplePos x="0" y="0"/>
                <wp:positionH relativeFrom="page">
                  <wp:posOffset>912380</wp:posOffset>
                </wp:positionH>
                <wp:positionV relativeFrom="paragraph">
                  <wp:posOffset>155995</wp:posOffset>
                </wp:positionV>
                <wp:extent cx="6082665" cy="1270"/>
                <wp:effectExtent l="0" t="0" r="0" b="0"/>
                <wp:wrapTopAndBottom/>
                <wp:docPr id="710" name="Graphic 710"/>
                <wp:cNvGraphicFramePr>
                  <a:graphicFrameLocks/>
                </wp:cNvGraphicFramePr>
                <a:graphic>
                  <a:graphicData uri="http://schemas.microsoft.com/office/word/2010/wordprocessingShape">
                    <wps:wsp>
                      <wps:cNvPr id="710" name="Graphic 71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83104pt;width:478.95pt;height:.1pt;mso-position-horizontal-relative:page;mso-position-vertical-relative:paragraph;z-index:-15659520;mso-wrap-distance-left:0;mso-wrap-distance-right:0" id="docshape110"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Creating a new workspace" w:id="123"/>
      <w:bookmarkEnd w:id="123"/>
      <w:r>
        <w:rPr>
          <w:b w:val="0"/>
        </w:rPr>
      </w:r>
      <w:r>
        <w:rPr>
          <w:color w:val="231F20"/>
        </w:rPr>
        <w:t>Creating</w:t>
      </w:r>
      <w:r>
        <w:rPr>
          <w:color w:val="231F20"/>
          <w:spacing w:val="8"/>
        </w:rPr>
        <w:t> </w:t>
      </w:r>
      <w:r>
        <w:rPr>
          <w:color w:val="231F20"/>
        </w:rPr>
        <w:t>a</w:t>
      </w:r>
      <w:r>
        <w:rPr>
          <w:color w:val="231F20"/>
          <w:spacing w:val="9"/>
        </w:rPr>
        <w:t> </w:t>
      </w:r>
      <w:r>
        <w:rPr>
          <w:color w:val="231F20"/>
        </w:rPr>
        <w:t>new</w:t>
      </w:r>
      <w:r>
        <w:rPr>
          <w:color w:val="231F20"/>
          <w:spacing w:val="9"/>
        </w:rPr>
        <w:t> </w:t>
      </w:r>
      <w:r>
        <w:rPr>
          <w:color w:val="231F20"/>
          <w:spacing w:val="-2"/>
        </w:rPr>
        <w:t>workspace</w:t>
      </w:r>
    </w:p>
    <w:p>
      <w:pPr>
        <w:pStyle w:val="BodyText"/>
        <w:spacing w:line="213" w:lineRule="auto" w:before="138"/>
        <w:ind w:left="2472" w:right="258"/>
      </w:pPr>
      <w:r>
        <w:rPr>
          <w:color w:val="231F20"/>
        </w:rPr>
        <w:t>You can create a new workspace from any existing workspace. The new </w:t>
      </w:r>
      <w:r>
        <w:rPr>
          <w:color w:val="231F20"/>
        </w:rPr>
        <w:t>workspace</w:t>
      </w:r>
      <w:r>
        <w:rPr>
          <w:color w:val="231F20"/>
          <w:spacing w:val="40"/>
        </w:rPr>
        <w:t> </w:t>
      </w:r>
      <w:r>
        <w:rPr>
          <w:color w:val="231F20"/>
        </w:rPr>
        <w:t>is</w:t>
      </w:r>
      <w:r>
        <w:rPr>
          <w:color w:val="231F20"/>
          <w:spacing w:val="25"/>
        </w:rPr>
        <w:t> </w:t>
      </w:r>
      <w:r>
        <w:rPr>
          <w:color w:val="231F20"/>
        </w:rPr>
        <w:t>associated</w:t>
      </w:r>
      <w:r>
        <w:rPr>
          <w:color w:val="231F20"/>
          <w:spacing w:val="25"/>
        </w:rPr>
        <w:t> </w:t>
      </w:r>
      <w:r>
        <w:rPr>
          <w:color w:val="231F20"/>
        </w:rPr>
        <w:t>with</w:t>
      </w:r>
      <w:r>
        <w:rPr>
          <w:color w:val="231F20"/>
          <w:spacing w:val="25"/>
        </w:rPr>
        <w:t> </w:t>
      </w:r>
      <w:r>
        <w:rPr>
          <w:color w:val="231F20"/>
        </w:rPr>
        <w:t>the</w:t>
      </w:r>
      <w:r>
        <w:rPr>
          <w:color w:val="231F20"/>
          <w:spacing w:val="25"/>
        </w:rPr>
        <w:t> </w:t>
      </w:r>
      <w:r>
        <w:rPr>
          <w:color w:val="231F20"/>
        </w:rPr>
        <w:t>same</w:t>
      </w:r>
      <w:r>
        <w:rPr>
          <w:color w:val="231F20"/>
          <w:spacing w:val="25"/>
        </w:rPr>
        <w:t> </w:t>
      </w:r>
      <w:r>
        <w:rPr>
          <w:color w:val="231F20"/>
        </w:rPr>
        <w:t>Navigator</w:t>
      </w:r>
      <w:r>
        <w:rPr>
          <w:color w:val="231F20"/>
          <w:spacing w:val="25"/>
        </w:rPr>
        <w:t> </w:t>
      </w:r>
      <w:r>
        <w:rPr>
          <w:color w:val="231F20"/>
        </w:rPr>
        <w:t>item</w:t>
      </w:r>
      <w:r>
        <w:rPr>
          <w:color w:val="231F20"/>
          <w:spacing w:val="25"/>
        </w:rPr>
        <w:t> </w:t>
      </w:r>
      <w:r>
        <w:rPr>
          <w:color w:val="231F20"/>
        </w:rPr>
        <w:t>as</w:t>
      </w:r>
      <w:r>
        <w:rPr>
          <w:color w:val="231F20"/>
          <w:spacing w:val="25"/>
        </w:rPr>
        <w:t> </w:t>
      </w:r>
      <w:r>
        <w:rPr>
          <w:color w:val="231F20"/>
        </w:rPr>
        <w:t>the</w:t>
      </w:r>
      <w:r>
        <w:rPr>
          <w:color w:val="231F20"/>
          <w:spacing w:val="25"/>
        </w:rPr>
        <w:t> </w:t>
      </w:r>
      <w:r>
        <w:rPr>
          <w:color w:val="231F20"/>
        </w:rPr>
        <w:t>original</w:t>
      </w:r>
      <w:r>
        <w:rPr>
          <w:color w:val="231F20"/>
          <w:spacing w:val="25"/>
        </w:rPr>
        <w:t> </w:t>
      </w:r>
      <w:r>
        <w:rPr>
          <w:color w:val="231F20"/>
        </w:rPr>
        <w:t>workspace.</w:t>
      </w:r>
      <w:r>
        <w:rPr>
          <w:color w:val="231F20"/>
          <w:spacing w:val="40"/>
        </w:rPr>
        <w:t> </w:t>
      </w:r>
      <w:r>
        <w:rPr>
          <w:color w:val="231F20"/>
          <w:spacing w:val="-15"/>
          <w:position w:val="-1"/>
        </w:rPr>
        <w:drawing>
          <wp:inline distT="0" distB="0" distL="0" distR="0">
            <wp:extent cx="82550" cy="101600"/>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80"/>
        </w:rPr>
        <w:t> </w:t>
      </w:r>
      <w:r>
        <w:rPr>
          <w:color w:val="231F20"/>
        </w:rPr>
        <w:t>You cannot save a new workspace if your user ID does not have Workspace Author</w:t>
      </w:r>
      <w:r>
        <w:rPr>
          <w:color w:val="231F20"/>
          <w:spacing w:val="40"/>
        </w:rPr>
        <w:t> </w:t>
      </w:r>
      <w:r>
        <w:rPr>
          <w:color w:val="231F20"/>
        </w:rPr>
        <w:t>Mode permission.</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To</w:t>
      </w:r>
      <w:r>
        <w:rPr>
          <w:color w:val="231F20"/>
          <w:spacing w:val="7"/>
        </w:rPr>
        <w:t> </w:t>
      </w:r>
      <w:r>
        <w:rPr>
          <w:color w:val="231F20"/>
        </w:rPr>
        <w:t>create</w:t>
      </w:r>
      <w:r>
        <w:rPr>
          <w:color w:val="231F20"/>
          <w:spacing w:val="7"/>
        </w:rPr>
        <w:t> </w:t>
      </w:r>
      <w:r>
        <w:rPr>
          <w:color w:val="231F20"/>
        </w:rPr>
        <w:t>a</w:t>
      </w:r>
      <w:r>
        <w:rPr>
          <w:color w:val="231F20"/>
          <w:spacing w:val="7"/>
        </w:rPr>
        <w:t> </w:t>
      </w:r>
      <w:r>
        <w:rPr>
          <w:color w:val="231F20"/>
        </w:rPr>
        <w:t>new</w:t>
      </w:r>
      <w:r>
        <w:rPr>
          <w:color w:val="231F20"/>
          <w:spacing w:val="7"/>
        </w:rPr>
        <w:t> </w:t>
      </w:r>
      <w:r>
        <w:rPr>
          <w:color w:val="231F20"/>
          <w:spacing w:val="-2"/>
        </w:rPr>
        <w:t>workspace:</w:t>
      </w:r>
    </w:p>
    <w:p>
      <w:pPr>
        <w:pStyle w:val="Heading4"/>
        <w:spacing w:before="194"/>
        <w:ind w:left="2472"/>
      </w:pPr>
      <w:r>
        <w:rPr>
          <w:color w:val="231F20"/>
          <w:spacing w:val="-2"/>
        </w:rPr>
        <w:t>Procedure</w:t>
      </w:r>
    </w:p>
    <w:p>
      <w:pPr>
        <w:pStyle w:val="ListParagraph"/>
        <w:numPr>
          <w:ilvl w:val="0"/>
          <w:numId w:val="37"/>
        </w:numPr>
        <w:tabs>
          <w:tab w:pos="2788" w:val="left" w:leader="none"/>
          <w:tab w:pos="2854" w:val="left" w:leader="none"/>
        </w:tabs>
        <w:spacing w:line="213" w:lineRule="auto" w:before="62" w:after="0"/>
        <w:ind w:left="2788" w:right="979" w:hanging="316"/>
        <w:jc w:val="left"/>
        <w:rPr>
          <w:sz w:val="20"/>
        </w:rPr>
      </w:pPr>
      <w:r>
        <w:rPr>
          <w:rFonts w:ascii="Arial"/>
          <w:color w:val="231F20"/>
          <w:sz w:val="20"/>
        </w:rPr>
        <w:tab/>
      </w:r>
      <w:r>
        <w:rPr>
          <w:color w:val="231F20"/>
          <w:sz w:val="20"/>
        </w:rPr>
        <w:t>Open a workspace at the Navigator level for which you want the </w:t>
      </w:r>
      <w:r>
        <w:rPr>
          <w:color w:val="231F20"/>
          <w:sz w:val="20"/>
        </w:rPr>
        <w:t>new workspace to be available.</w:t>
      </w:r>
    </w:p>
    <w:p>
      <w:pPr>
        <w:pStyle w:val="ListParagraph"/>
        <w:numPr>
          <w:ilvl w:val="0"/>
          <w:numId w:val="37"/>
        </w:numPr>
        <w:tabs>
          <w:tab w:pos="2854" w:val="left" w:leader="none"/>
        </w:tabs>
        <w:spacing w:line="240" w:lineRule="auto" w:before="35" w:after="0"/>
        <w:ind w:left="2854" w:right="0" w:hanging="382"/>
        <w:jc w:val="left"/>
        <w:rPr>
          <w:sz w:val="20"/>
        </w:rPr>
      </w:pPr>
      <w:r>
        <w:rPr>
          <w:color w:val="231F20"/>
          <w:sz w:val="20"/>
        </w:rPr>
        <w:t>Click</w:t>
      </w:r>
      <w:r>
        <w:rPr>
          <w:color w:val="231F20"/>
          <w:spacing w:val="9"/>
          <w:sz w:val="20"/>
        </w:rPr>
        <w:t> </w:t>
      </w:r>
      <w:r>
        <w:rPr>
          <w:rFonts w:ascii="Book Antiqua"/>
          <w:b/>
          <w:color w:val="231F20"/>
          <w:sz w:val="20"/>
        </w:rPr>
        <w:t>Save</w:t>
      </w:r>
      <w:r>
        <w:rPr>
          <w:rFonts w:ascii="Book Antiqua"/>
          <w:b/>
          <w:color w:val="231F20"/>
          <w:spacing w:val="10"/>
          <w:sz w:val="20"/>
        </w:rPr>
        <w:t> </w:t>
      </w:r>
      <w:r>
        <w:rPr>
          <w:rFonts w:ascii="Book Antiqua"/>
          <w:b/>
          <w:color w:val="231F20"/>
          <w:sz w:val="20"/>
        </w:rPr>
        <w:t>Workspace</w:t>
      </w:r>
      <w:r>
        <w:rPr>
          <w:rFonts w:ascii="Book Antiqua"/>
          <w:b/>
          <w:color w:val="231F20"/>
          <w:spacing w:val="9"/>
          <w:sz w:val="20"/>
        </w:rPr>
        <w:t> </w:t>
      </w:r>
      <w:r>
        <w:rPr>
          <w:rFonts w:ascii="Book Antiqua"/>
          <w:b/>
          <w:color w:val="231F20"/>
          <w:sz w:val="20"/>
        </w:rPr>
        <w:t>As</w:t>
      </w:r>
      <w:r>
        <w:rPr>
          <w:rFonts w:ascii="Book Antiqua"/>
          <w:b/>
          <w:color w:val="231F20"/>
          <w:spacing w:val="10"/>
          <w:sz w:val="20"/>
        </w:rPr>
        <w:t> </w:t>
      </w:r>
      <w:r>
        <w:rPr>
          <w:color w:val="231F20"/>
          <w:sz w:val="20"/>
        </w:rPr>
        <w:t>in</w:t>
      </w:r>
      <w:r>
        <w:rPr>
          <w:color w:val="231F20"/>
          <w:spacing w:val="10"/>
          <w:sz w:val="20"/>
        </w:rPr>
        <w:t> </w:t>
      </w:r>
      <w:r>
        <w:rPr>
          <w:color w:val="231F20"/>
          <w:sz w:val="20"/>
        </w:rPr>
        <w:t>the</w:t>
      </w:r>
      <w:r>
        <w:rPr>
          <w:color w:val="231F20"/>
          <w:spacing w:val="9"/>
          <w:sz w:val="20"/>
        </w:rPr>
        <w:t> </w:t>
      </w:r>
      <w:r>
        <w:rPr>
          <w:rFonts w:ascii="Book Antiqua"/>
          <w:b/>
          <w:color w:val="231F20"/>
          <w:sz w:val="20"/>
        </w:rPr>
        <w:t>File</w:t>
      </w:r>
      <w:r>
        <w:rPr>
          <w:rFonts w:ascii="Book Antiqua"/>
          <w:b/>
          <w:color w:val="231F20"/>
          <w:spacing w:val="10"/>
          <w:sz w:val="20"/>
        </w:rPr>
        <w:t> </w:t>
      </w:r>
      <w:r>
        <w:rPr>
          <w:color w:val="231F20"/>
          <w:spacing w:val="-2"/>
          <w:sz w:val="20"/>
        </w:rPr>
        <w:t>menu.</w:t>
      </w:r>
    </w:p>
    <w:p>
      <w:pPr>
        <w:spacing w:after="0" w:line="240" w:lineRule="auto"/>
        <w:jc w:val="left"/>
        <w:rPr>
          <w:sz w:val="20"/>
        </w:rPr>
        <w:sectPr>
          <w:pgSz w:w="12240" w:h="15840"/>
          <w:pgMar w:header="0" w:footer="736" w:top="1180" w:bottom="920" w:left="1000" w:right="1060"/>
        </w:sectPr>
      </w:pPr>
    </w:p>
    <w:p>
      <w:pPr>
        <w:pStyle w:val="ListParagraph"/>
        <w:numPr>
          <w:ilvl w:val="0"/>
          <w:numId w:val="37"/>
        </w:numPr>
        <w:tabs>
          <w:tab w:pos="2548" w:val="left" w:leader="none"/>
        </w:tabs>
        <w:spacing w:line="213" w:lineRule="auto" w:before="85" w:after="0"/>
        <w:ind w:left="2548" w:right="828" w:hanging="316"/>
        <w:jc w:val="left"/>
        <w:rPr>
          <w:sz w:val="20"/>
        </w:rPr>
      </w:pPr>
      <w:bookmarkStart w:name="_bookmark56" w:id="124"/>
      <w:bookmarkEnd w:id="124"/>
      <w:r>
        <w:rPr/>
      </w:r>
      <w:r>
        <w:rPr>
          <w:color w:val="231F20"/>
          <w:sz w:val="20"/>
        </w:rPr>
        <w:t>Type a name for the new workspace. The workspace is saved with the </w:t>
      </w:r>
      <w:r>
        <w:rPr>
          <w:color w:val="231F20"/>
          <w:sz w:val="20"/>
        </w:rPr>
        <w:t>new name and the original left unchanged.</w:t>
      </w:r>
    </w:p>
    <w:p>
      <w:pPr>
        <w:pStyle w:val="ListParagraph"/>
        <w:numPr>
          <w:ilvl w:val="0"/>
          <w:numId w:val="37"/>
        </w:numPr>
        <w:tabs>
          <w:tab w:pos="2547" w:val="left" w:leader="none"/>
        </w:tabs>
        <w:spacing w:line="240" w:lineRule="auto" w:before="35" w:after="0"/>
        <w:ind w:left="2547" w:right="0" w:hanging="315"/>
        <w:jc w:val="left"/>
        <w:rPr>
          <w:sz w:val="20"/>
        </w:rPr>
      </w:pPr>
      <w:r>
        <w:rPr>
          <w:color w:val="231F20"/>
          <w:sz w:val="20"/>
        </w:rPr>
        <w:t>Do</w:t>
      </w:r>
      <w:r>
        <w:rPr>
          <w:color w:val="231F20"/>
          <w:spacing w:val="11"/>
          <w:sz w:val="20"/>
        </w:rPr>
        <w:t> </w:t>
      </w:r>
      <w:r>
        <w:rPr>
          <w:color w:val="231F20"/>
          <w:sz w:val="20"/>
        </w:rPr>
        <w:t>any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to</w:t>
      </w:r>
      <w:r>
        <w:rPr>
          <w:color w:val="231F20"/>
          <w:spacing w:val="12"/>
          <w:sz w:val="20"/>
        </w:rPr>
        <w:t> </w:t>
      </w:r>
      <w:r>
        <w:rPr>
          <w:color w:val="231F20"/>
          <w:sz w:val="20"/>
        </w:rPr>
        <w:t>customize</w:t>
      </w:r>
      <w:r>
        <w:rPr>
          <w:color w:val="231F20"/>
          <w:spacing w:val="12"/>
          <w:sz w:val="20"/>
        </w:rPr>
        <w:t> </w:t>
      </w:r>
      <w:r>
        <w:rPr>
          <w:color w:val="231F20"/>
          <w:sz w:val="20"/>
        </w:rPr>
        <w:t>the</w:t>
      </w:r>
      <w:r>
        <w:rPr>
          <w:color w:val="231F20"/>
          <w:spacing w:val="12"/>
          <w:sz w:val="20"/>
        </w:rPr>
        <w:t> </w:t>
      </w:r>
      <w:r>
        <w:rPr>
          <w:color w:val="231F20"/>
          <w:spacing w:val="-2"/>
          <w:sz w:val="20"/>
        </w:rPr>
        <w:t>workspace:</w:t>
      </w:r>
    </w:p>
    <w:p>
      <w:pPr>
        <w:pStyle w:val="BodyText"/>
        <w:spacing w:before="30"/>
        <w:ind w:left="2548"/>
      </w:pPr>
      <w:r>
        <w:rPr>
          <w:rFonts w:ascii="Futura MdCn BT"/>
          <w:color w:val="231F20"/>
        </w:rPr>
        <w:t>v</w:t>
      </w:r>
      <w:r>
        <w:rPr>
          <w:rFonts w:ascii="Futura MdCn BT"/>
          <w:color w:val="231F20"/>
          <w:spacing w:val="31"/>
        </w:rPr>
        <w:t>  </w:t>
      </w:r>
      <w:r>
        <w:rPr>
          <w:color w:val="231F20"/>
        </w:rPr>
        <w:t>Add</w:t>
      </w:r>
      <w:r>
        <w:rPr>
          <w:color w:val="231F20"/>
          <w:spacing w:val="13"/>
        </w:rPr>
        <w:t> </w:t>
      </w:r>
      <w:r>
        <w:rPr>
          <w:color w:val="231F20"/>
        </w:rPr>
        <w:t>a</w:t>
      </w:r>
      <w:r>
        <w:rPr>
          <w:color w:val="231F20"/>
          <w:spacing w:val="13"/>
        </w:rPr>
        <w:t> </w:t>
      </w:r>
      <w:r>
        <w:rPr>
          <w:color w:val="231F20"/>
        </w:rPr>
        <w:t>new</w:t>
      </w:r>
      <w:r>
        <w:rPr>
          <w:color w:val="231F20"/>
          <w:spacing w:val="12"/>
        </w:rPr>
        <w:t> </w:t>
      </w:r>
      <w:r>
        <w:rPr>
          <w:color w:val="231F20"/>
        </w:rPr>
        <w:t>view</w:t>
      </w:r>
      <w:r>
        <w:rPr>
          <w:color w:val="231F20"/>
          <w:spacing w:val="13"/>
        </w:rPr>
        <w:t> </w:t>
      </w:r>
      <w:r>
        <w:rPr>
          <w:color w:val="231F20"/>
        </w:rPr>
        <w:t>by</w:t>
      </w:r>
      <w:r>
        <w:rPr>
          <w:color w:val="231F20"/>
          <w:spacing w:val="12"/>
        </w:rPr>
        <w:t> </w:t>
      </w:r>
      <w:r>
        <w:rPr>
          <w:color w:val="231F20"/>
        </w:rPr>
        <w:t>splitting</w:t>
      </w:r>
      <w:r>
        <w:rPr>
          <w:color w:val="231F20"/>
          <w:spacing w:val="13"/>
        </w:rPr>
        <w:t> </w:t>
      </w:r>
      <w:r>
        <w:rPr>
          <w:color w:val="231F20"/>
        </w:rPr>
        <w:t>an</w:t>
      </w:r>
      <w:r>
        <w:rPr>
          <w:color w:val="231F20"/>
          <w:spacing w:val="12"/>
        </w:rPr>
        <w:t> </w:t>
      </w:r>
      <w:r>
        <w:rPr>
          <w:color w:val="231F20"/>
        </w:rPr>
        <w:t>existing</w:t>
      </w:r>
      <w:r>
        <w:rPr>
          <w:color w:val="231F20"/>
          <w:spacing w:val="13"/>
        </w:rPr>
        <w:t> </w:t>
      </w:r>
      <w:r>
        <w:rPr>
          <w:color w:val="231F20"/>
        </w:rPr>
        <w:t>view</w:t>
      </w:r>
      <w:r>
        <w:rPr>
          <w:color w:val="231F20"/>
          <w:spacing w:val="12"/>
        </w:rPr>
        <w:t> </w:t>
      </w:r>
      <w:r>
        <w:rPr>
          <w:color w:val="231F20"/>
        </w:rPr>
        <w:t>into</w:t>
      </w:r>
      <w:r>
        <w:rPr>
          <w:color w:val="231F20"/>
          <w:spacing w:val="13"/>
        </w:rPr>
        <w:t> </w:t>
      </w:r>
      <w:r>
        <w:rPr>
          <w:color w:val="231F20"/>
        </w:rPr>
        <w:t>two</w:t>
      </w:r>
      <w:r>
        <w:rPr>
          <w:color w:val="231F20"/>
          <w:spacing w:val="12"/>
        </w:rPr>
        <w:t> </w:t>
      </w:r>
      <w:r>
        <w:rPr>
          <w:color w:val="231F20"/>
        </w:rPr>
        <w:t>separate</w:t>
      </w:r>
      <w:r>
        <w:rPr>
          <w:color w:val="231F20"/>
          <w:spacing w:val="12"/>
        </w:rPr>
        <w:t> </w:t>
      </w:r>
      <w:r>
        <w:rPr>
          <w:color w:val="231F20"/>
          <w:spacing w:val="-2"/>
        </w:rPr>
        <w:t>views.</w:t>
      </w:r>
    </w:p>
    <w:p>
      <w:pPr>
        <w:pStyle w:val="BodyText"/>
        <w:spacing w:before="29"/>
        <w:ind w:left="2548"/>
      </w:pPr>
      <w:r>
        <w:rPr>
          <w:rFonts w:ascii="Futura MdCn BT"/>
          <w:color w:val="231F20"/>
        </w:rPr>
        <w:t>v</w:t>
      </w:r>
      <w:r>
        <w:rPr>
          <w:rFonts w:ascii="Futura MdCn BT"/>
          <w:color w:val="231F20"/>
          <w:spacing w:val="30"/>
        </w:rPr>
        <w:t>  </w:t>
      </w:r>
      <w:r>
        <w:rPr>
          <w:color w:val="231F20"/>
        </w:rPr>
        <w:t>Change</w:t>
      </w:r>
      <w:r>
        <w:rPr>
          <w:color w:val="231F20"/>
          <w:spacing w:val="12"/>
        </w:rPr>
        <w:t> </w:t>
      </w:r>
      <w:r>
        <w:rPr>
          <w:color w:val="231F20"/>
        </w:rPr>
        <w:t>the</w:t>
      </w:r>
      <w:r>
        <w:rPr>
          <w:color w:val="231F20"/>
          <w:spacing w:val="11"/>
        </w:rPr>
        <w:t> </w:t>
      </w:r>
      <w:r>
        <w:rPr>
          <w:color w:val="231F20"/>
        </w:rPr>
        <w:t>dimensions</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views</w:t>
      </w:r>
      <w:r>
        <w:rPr>
          <w:color w:val="231F20"/>
          <w:spacing w:val="11"/>
        </w:rPr>
        <w:t> </w:t>
      </w:r>
      <w:r>
        <w:rPr>
          <w:color w:val="231F20"/>
        </w:rPr>
        <w:t>by</w:t>
      </w:r>
      <w:r>
        <w:rPr>
          <w:color w:val="231F20"/>
          <w:spacing w:val="11"/>
        </w:rPr>
        <w:t> </w:t>
      </w:r>
      <w:r>
        <w:rPr>
          <w:color w:val="231F20"/>
        </w:rPr>
        <w:t>dragging</w:t>
      </w:r>
      <w:r>
        <w:rPr>
          <w:color w:val="231F20"/>
          <w:spacing w:val="12"/>
        </w:rPr>
        <w:t> </w:t>
      </w:r>
      <w:r>
        <w:rPr>
          <w:color w:val="231F20"/>
        </w:rPr>
        <w:t>the</w:t>
      </w:r>
      <w:r>
        <w:rPr>
          <w:color w:val="231F20"/>
          <w:spacing w:val="11"/>
        </w:rPr>
        <w:t> </w:t>
      </w:r>
      <w:r>
        <w:rPr>
          <w:color w:val="231F20"/>
        </w:rPr>
        <w:t>borders</w:t>
      </w:r>
      <w:r>
        <w:rPr>
          <w:color w:val="231F20"/>
          <w:spacing w:val="12"/>
        </w:rPr>
        <w:t> </w:t>
      </w:r>
      <w:r>
        <w:rPr>
          <w:color w:val="231F20"/>
        </w:rPr>
        <w:t>between</w:t>
      </w:r>
      <w:r>
        <w:rPr>
          <w:color w:val="231F20"/>
          <w:spacing w:val="11"/>
        </w:rPr>
        <w:t> </w:t>
      </w:r>
      <w:r>
        <w:rPr>
          <w:color w:val="231F20"/>
          <w:spacing w:val="-2"/>
        </w:rPr>
        <w:t>them.</w:t>
      </w:r>
    </w:p>
    <w:p>
      <w:pPr>
        <w:pStyle w:val="BodyText"/>
        <w:spacing w:line="213" w:lineRule="auto" w:before="53"/>
        <w:ind w:left="2764" w:right="545" w:hanging="216"/>
      </w:pPr>
      <w:r>
        <w:rPr>
          <w:rFonts w:ascii="Futura MdCn BT"/>
          <w:color w:val="231F20"/>
        </w:rPr>
        <w:t>v</w:t>
      </w:r>
      <w:r>
        <w:rPr>
          <w:rFonts w:ascii="Futura MdCn BT"/>
          <w:color w:val="231F20"/>
          <w:spacing w:val="80"/>
        </w:rPr>
        <w:t> </w:t>
      </w:r>
      <w:r>
        <w:rPr>
          <w:color w:val="231F20"/>
        </w:rPr>
        <w:t>Change a view to a different type, such as from a notepad view to a browser</w:t>
      </w:r>
      <w:r>
        <w:rPr>
          <w:color w:val="231F20"/>
          <w:spacing w:val="40"/>
        </w:rPr>
        <w:t> </w:t>
      </w:r>
      <w:r>
        <w:rPr>
          <w:color w:val="231F20"/>
          <w:spacing w:val="-2"/>
        </w:rPr>
        <w:t>view.</w:t>
      </w:r>
    </w:p>
    <w:p>
      <w:pPr>
        <w:pStyle w:val="BodyText"/>
        <w:spacing w:line="213" w:lineRule="auto" w:before="58"/>
        <w:ind w:left="2764" w:right="493" w:hanging="216"/>
      </w:pPr>
      <w:r>
        <w:rPr>
          <w:rFonts w:ascii="Futura MdCn BT"/>
          <w:color w:val="231F20"/>
        </w:rPr>
        <w:t>v</w:t>
      </w:r>
      <w:r>
        <w:rPr>
          <w:rFonts w:ascii="Futura MdCn BT"/>
          <w:color w:val="231F20"/>
          <w:spacing w:val="80"/>
        </w:rPr>
        <w:t> </w:t>
      </w:r>
      <w:r>
        <w:rPr>
          <w:color w:val="231F20"/>
        </w:rPr>
        <w:t>Rearrange views by clicking a view's title bar and dragging it another </w:t>
      </w:r>
      <w:r>
        <w:rPr>
          <w:color w:val="231F20"/>
        </w:rPr>
        <w:t>view</w:t>
      </w:r>
      <w:r>
        <w:rPr>
          <w:color w:val="231F20"/>
        </w:rPr>
        <w:t> space. When you release the mouse button, the views switch position.</w:t>
      </w:r>
    </w:p>
    <w:p>
      <w:pPr>
        <w:pStyle w:val="BodyText"/>
        <w:spacing w:line="213" w:lineRule="auto" w:before="59"/>
        <w:ind w:left="2764" w:right="1104" w:hanging="216"/>
      </w:pPr>
      <w:r>
        <w:rPr>
          <w:rFonts w:ascii="Futura MdCn BT"/>
          <w:color w:val="231F20"/>
        </w:rPr>
        <w:t>v</w:t>
      </w:r>
      <w:r>
        <w:rPr>
          <w:rFonts w:ascii="Futura MdCn BT"/>
          <w:color w:val="231F20"/>
          <w:spacing w:val="80"/>
        </w:rPr>
        <w:t> </w:t>
      </w:r>
      <w:r>
        <w:rPr>
          <w:color w:val="231F20"/>
        </w:rPr>
        <w:t>Edit the general </w:t>
      </w:r>
      <w:r>
        <w:rPr>
          <w:color w:val="231F20"/>
          <w:spacing w:val="16"/>
          <w:position w:val="-1"/>
        </w:rPr>
        <w:drawing>
          <wp:inline distT="0" distB="0" distL="0" distR="0">
            <wp:extent cx="101600" cy="95250"/>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Properties of the workspace, such as making it the default workspace.</w:t>
      </w:r>
    </w:p>
    <w:p>
      <w:pPr>
        <w:pStyle w:val="BodyText"/>
        <w:spacing w:line="213" w:lineRule="auto" w:before="58"/>
        <w:ind w:left="2764" w:right="493" w:hanging="216"/>
      </w:pPr>
      <w:r>
        <w:rPr>
          <w:rFonts w:ascii="Futura MdCn BT"/>
          <w:color w:val="231F20"/>
        </w:rPr>
        <w:t>v</w:t>
      </w:r>
      <w:r>
        <w:rPr>
          <w:rFonts w:ascii="Futura MdCn BT"/>
          <w:color w:val="231F20"/>
          <w:spacing w:val="80"/>
        </w:rPr>
        <w:t> </w:t>
      </w:r>
      <w:r>
        <w:rPr>
          <w:color w:val="231F20"/>
        </w:rPr>
        <w:t>Edit the</w:t>
      </w:r>
      <w:r>
        <w:rPr>
          <w:color w:val="231F20"/>
          <w:spacing w:val="40"/>
        </w:rPr>
        <w:t> </w:t>
      </w:r>
      <w:r>
        <w:rPr>
          <w:color w:val="231F20"/>
          <w:spacing w:val="6"/>
          <w:position w:val="1"/>
        </w:rPr>
        <w:drawing>
          <wp:inline distT="0" distB="0" distL="0" distR="0">
            <wp:extent cx="57150" cy="57150"/>
            <wp:effectExtent l="0" t="0" r="0" b="0"/>
            <wp:docPr id="713" name="Image 713"/>
            <wp:cNvGraphicFramePr>
              <a:graphicFrameLocks/>
            </wp:cNvGraphicFramePr>
            <a:graphic>
              <a:graphicData uri="http://schemas.openxmlformats.org/drawingml/2006/picture">
                <pic:pic>
                  <pic:nvPicPr>
                    <pic:cNvPr id="713" name="Image 713"/>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rPr>
      </w:r>
      <w:r>
        <w:rPr>
          <w:rFonts w:ascii="Times New Roman"/>
          <w:color w:val="231F20"/>
          <w:spacing w:val="80"/>
        </w:rPr>
        <w:t> </w:t>
      </w:r>
      <w:r>
        <w:rPr>
          <w:color w:val="231F20"/>
        </w:rPr>
        <w:t>Properties of the individual views to control what data to display</w:t>
      </w:r>
      <w:r>
        <w:rPr>
          <w:color w:val="231F20"/>
          <w:spacing w:val="40"/>
        </w:rPr>
        <w:t> </w:t>
      </w:r>
      <w:r>
        <w:rPr>
          <w:color w:val="231F20"/>
        </w:rPr>
        <w:t>and the styling.</w:t>
      </w:r>
    </w:p>
    <w:p>
      <w:pPr>
        <w:pStyle w:val="BodyText"/>
        <w:spacing w:line="213" w:lineRule="auto" w:before="59"/>
        <w:ind w:left="2764" w:right="1104" w:hanging="216"/>
      </w:pPr>
      <w:r>
        <w:rPr>
          <w:rFonts w:ascii="Futura MdCn BT"/>
          <w:color w:val="231F20"/>
        </w:rPr>
        <w:t>v</w:t>
      </w:r>
      <w:r>
        <w:rPr>
          <w:rFonts w:ascii="Futura MdCn BT"/>
          <w:color w:val="231F20"/>
          <w:spacing w:val="80"/>
        </w:rPr>
        <w:t> </w:t>
      </w:r>
      <w:r>
        <w:rPr>
          <w:color w:val="231F20"/>
        </w:rPr>
        <w:t>Build a link to another workspace so that you can link to the </w:t>
      </w:r>
      <w:r>
        <w:rPr>
          <w:color w:val="231F20"/>
        </w:rPr>
        <w:t>other</w:t>
      </w:r>
      <w:r>
        <w:rPr>
          <w:color w:val="231F20"/>
          <w:spacing w:val="40"/>
        </w:rPr>
        <w:t> </w:t>
      </w:r>
      <w:r>
        <w:rPr>
          <w:color w:val="231F20"/>
        </w:rPr>
        <w:t>workspace from this one at any time.</w:t>
      </w:r>
    </w:p>
    <w:p>
      <w:pPr>
        <w:pStyle w:val="ListParagraph"/>
        <w:numPr>
          <w:ilvl w:val="0"/>
          <w:numId w:val="37"/>
        </w:numPr>
        <w:tabs>
          <w:tab w:pos="2548" w:val="left" w:leader="none"/>
        </w:tabs>
        <w:spacing w:line="213" w:lineRule="auto" w:before="58" w:after="0"/>
        <w:ind w:left="2548" w:right="561" w:hanging="316"/>
        <w:jc w:val="left"/>
        <w:rPr>
          <w:sz w:val="20"/>
        </w:rPr>
      </w:pPr>
      <w:r>
        <w:rPr>
          <w:color w:val="231F20"/>
          <w:sz w:val="20"/>
        </w:rPr>
        <w:t>When you are finished editing a workspace, click </w:t>
      </w:r>
      <w:r>
        <w:rPr>
          <w:color w:val="231F20"/>
          <w:spacing w:val="-25"/>
          <w:position w:val="-1"/>
          <w:sz w:val="20"/>
        </w:rPr>
        <w:drawing>
          <wp:inline distT="0" distB="0" distL="0" distR="0">
            <wp:extent cx="95250" cy="95250"/>
            <wp:effectExtent l="0" t="0" r="0" b="0"/>
            <wp:docPr id="714" name="Image 714"/>
            <wp:cNvGraphicFramePr>
              <a:graphicFrameLocks/>
            </wp:cNvGraphicFramePr>
            <a:graphic>
              <a:graphicData uri="http://schemas.openxmlformats.org/drawingml/2006/picture">
                <pic:pic>
                  <pic:nvPicPr>
                    <pic:cNvPr id="714" name="Image 714"/>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Save</w:t>
      </w:r>
      <w:r>
        <w:rPr>
          <w:color w:val="231F20"/>
          <w:sz w:val="20"/>
        </w:rPr>
        <w:t>. The saved workspace is associated with your Tivoli Enterprise Portal user ID. Users </w:t>
      </w:r>
      <w:r>
        <w:rPr>
          <w:color w:val="231F20"/>
          <w:sz w:val="20"/>
        </w:rPr>
        <w:t>with</w:t>
      </w:r>
      <w:r>
        <w:rPr>
          <w:color w:val="231F20"/>
          <w:spacing w:val="80"/>
          <w:sz w:val="20"/>
        </w:rPr>
        <w:t> </w:t>
      </w:r>
      <w:r>
        <w:rPr>
          <w:color w:val="231F20"/>
          <w:sz w:val="20"/>
        </w:rPr>
        <w:t>a different ID will not see your changes.</w:t>
      </w:r>
    </w:p>
    <w:p>
      <w:pPr>
        <w:pStyle w:val="BodyText"/>
        <w:spacing w:line="213" w:lineRule="auto" w:before="58"/>
        <w:ind w:left="2548" w:right="545"/>
      </w:pPr>
      <w:r>
        <w:rPr>
          <w:color w:val="231F20"/>
        </w:rPr>
        <w:t>The workspace is available to all systems with items of the same affinity. For example, if you create a new workspace for your Windows agent then all systems with that monitoring agent will be able to open the new workspace.</w:t>
      </w:r>
    </w:p>
    <w:p>
      <w:pPr>
        <w:pStyle w:val="BodyText"/>
        <w:spacing w:before="5"/>
        <w:rPr>
          <w:sz w:val="16"/>
        </w:rPr>
      </w:pPr>
      <w:r>
        <w:rPr/>
        <mc:AlternateContent>
          <mc:Choice Requires="wps">
            <w:drawing>
              <wp:anchor distT="0" distB="0" distL="0" distR="0" allowOverlap="1" layoutInCell="1" locked="0" behindDoc="1" simplePos="0" relativeHeight="487657472">
                <wp:simplePos x="0" y="0"/>
                <wp:positionH relativeFrom="page">
                  <wp:posOffset>760323</wp:posOffset>
                </wp:positionH>
                <wp:positionV relativeFrom="paragraph">
                  <wp:posOffset>155678</wp:posOffset>
                </wp:positionV>
                <wp:extent cx="6082665" cy="1270"/>
                <wp:effectExtent l="0" t="0" r="0" b="0"/>
                <wp:wrapTopAndBottom/>
                <wp:docPr id="715" name="Graphic 715"/>
                <wp:cNvGraphicFramePr>
                  <a:graphicFrameLocks/>
                </wp:cNvGraphicFramePr>
                <a:graphic>
                  <a:graphicData uri="http://schemas.microsoft.com/office/word/2010/wordprocessingShape">
                    <wps:wsp>
                      <wps:cNvPr id="715" name="Graphic 71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58168pt;width:478.95pt;height:.1pt;mso-position-horizontal-relative:page;mso-position-vertical-relative:paragraph;z-index:-15659008;mso-wrap-distance-left:0;mso-wrap-distance-right:0" id="docshape111"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Saving a workspace" w:id="125"/>
      <w:bookmarkEnd w:id="125"/>
      <w:r>
        <w:rPr>
          <w:b w:val="0"/>
        </w:rPr>
      </w:r>
      <w:r>
        <w:rPr>
          <w:color w:val="231F20"/>
        </w:rPr>
        <w:t>Saving</w:t>
      </w:r>
      <w:r>
        <w:rPr>
          <w:color w:val="231F20"/>
          <w:spacing w:val="9"/>
        </w:rPr>
        <w:t> </w:t>
      </w:r>
      <w:r>
        <w:rPr>
          <w:color w:val="231F20"/>
        </w:rPr>
        <w:t>a</w:t>
      </w:r>
      <w:r>
        <w:rPr>
          <w:color w:val="231F20"/>
          <w:spacing w:val="10"/>
        </w:rPr>
        <w:t> </w:t>
      </w:r>
      <w:r>
        <w:rPr>
          <w:color w:val="231F20"/>
          <w:spacing w:val="-2"/>
        </w:rPr>
        <w:t>workspace</w:t>
      </w:r>
    </w:p>
    <w:p>
      <w:pPr>
        <w:pStyle w:val="BodyText"/>
        <w:spacing w:line="213" w:lineRule="auto" w:before="138"/>
        <w:ind w:left="2232"/>
      </w:pPr>
      <w:r>
        <w:rPr>
          <w:color w:val="231F20"/>
        </w:rPr>
        <w:t>You must save a workspace to maintain the changes you make to the </w:t>
      </w:r>
      <w:r>
        <w:rPr>
          <w:color w:val="231F20"/>
        </w:rPr>
        <w:t>workspace properties; otherwise, the changes you have made are lost.</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Your user ID requires Workspace Author Mode permission to create and maintain workspaces, including links. If the main toolbar is disabled (except Refresh, Back, Forward and Stop), as well as the split and remove buttons on the view title bar, you do not have this permission.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38"/>
        <w:jc w:val="both"/>
      </w:pPr>
      <w:r>
        <w:rPr>
          <w:color w:val="231F20"/>
        </w:rPr>
        <w:t>Whatever changes you make to the workspace properties, such as adding a </w:t>
      </w:r>
      <w:r>
        <w:rPr>
          <w:color w:val="231F20"/>
        </w:rPr>
        <w:t>view or defining a link, are only temporary. They will be lost when you open another workspace or exit Tivoli Enterprise Portal unless you save the workspace.</w:t>
      </w:r>
    </w:p>
    <w:p>
      <w:pPr>
        <w:pStyle w:val="BodyText"/>
        <w:spacing w:line="213" w:lineRule="auto" w:before="238"/>
        <w:ind w:left="2232" w:right="636"/>
      </w:pPr>
      <w:r>
        <w:rPr>
          <w:color w:val="231F20"/>
        </w:rPr>
        <w:t>The saved workspace is associated with your Tivoli Enterprise Portal user ID.</w:t>
      </w:r>
      <w:r>
        <w:rPr>
          <w:color w:val="231F20"/>
          <w:spacing w:val="80"/>
        </w:rPr>
        <w:t> </w:t>
      </w:r>
      <w:r>
        <w:rPr>
          <w:color w:val="231F20"/>
        </w:rPr>
        <w:t>Users with a different ID will not see your changes unless you were in workspace administration mode when you authored them.</w:t>
      </w:r>
    </w:p>
    <w:p>
      <w:pPr>
        <w:pStyle w:val="Heading4"/>
        <w:spacing w:before="199"/>
      </w:pPr>
      <w:r>
        <w:rPr>
          <w:color w:val="231F20"/>
          <w:spacing w:val="-2"/>
        </w:rPr>
        <w:t>Procedure</w:t>
      </w:r>
    </w:p>
    <w:p>
      <w:pPr>
        <w:pStyle w:val="BodyText"/>
        <w:spacing w:before="38"/>
        <w:ind w:left="2232"/>
      </w:pPr>
      <w:r>
        <w:rPr>
          <w:rFonts w:ascii="Futura MdCn BT"/>
          <w:color w:val="231F20"/>
        </w:rPr>
        <w:t>v</w:t>
      </w:r>
      <w:r>
        <w:rPr>
          <w:rFonts w:ascii="Futura MdCn BT"/>
          <w:color w:val="231F20"/>
          <w:spacing w:val="78"/>
          <w:w w:val="150"/>
        </w:rPr>
        <w:t> </w:t>
      </w:r>
      <w:r>
        <w:rPr>
          <w:color w:val="231F20"/>
        </w:rPr>
        <w:t>To</w:t>
      </w:r>
      <w:r>
        <w:rPr>
          <w:color w:val="231F20"/>
          <w:spacing w:val="10"/>
        </w:rPr>
        <w:t> </w:t>
      </w:r>
      <w:r>
        <w:rPr>
          <w:color w:val="231F20"/>
        </w:rPr>
        <w:t>save</w:t>
      </w:r>
      <w:r>
        <w:rPr>
          <w:color w:val="231F20"/>
          <w:spacing w:val="11"/>
        </w:rPr>
        <w:t> </w:t>
      </w:r>
      <w:r>
        <w:rPr>
          <w:color w:val="231F20"/>
        </w:rPr>
        <w:t>the</w:t>
      </w:r>
      <w:r>
        <w:rPr>
          <w:color w:val="231F20"/>
          <w:spacing w:val="10"/>
        </w:rPr>
        <w:t> </w:t>
      </w:r>
      <w:r>
        <w:rPr>
          <w:color w:val="231F20"/>
        </w:rPr>
        <w:t>current</w:t>
      </w:r>
      <w:r>
        <w:rPr>
          <w:color w:val="231F20"/>
          <w:spacing w:val="11"/>
        </w:rPr>
        <w:t> </w:t>
      </w:r>
      <w:r>
        <w:rPr>
          <w:color w:val="231F20"/>
        </w:rPr>
        <w:t>workspace,</w:t>
      </w:r>
      <w:r>
        <w:rPr>
          <w:color w:val="231F20"/>
          <w:spacing w:val="10"/>
        </w:rPr>
        <w:t> </w:t>
      </w:r>
      <w:r>
        <w:rPr>
          <w:color w:val="231F20"/>
        </w:rPr>
        <w:t>click</w:t>
      </w:r>
      <w:r>
        <w:rPr>
          <w:color w:val="231F20"/>
          <w:spacing w:val="19"/>
        </w:rPr>
        <w:t> </w:t>
      </w:r>
      <w:r>
        <w:rPr>
          <w:color w:val="231F20"/>
          <w:spacing w:val="-25"/>
          <w:position w:val="-1"/>
        </w:rPr>
        <w:drawing>
          <wp:inline distT="0" distB="0" distL="0" distR="0">
            <wp:extent cx="95250" cy="95250"/>
            <wp:effectExtent l="0" t="0" r="0" b="0"/>
            <wp:docPr id="716" name="Image 716"/>
            <wp:cNvGraphicFramePr>
              <a:graphicFrameLocks/>
            </wp:cNvGraphicFramePr>
            <a:graphic>
              <a:graphicData uri="http://schemas.openxmlformats.org/drawingml/2006/picture">
                <pic:pic>
                  <pic:nvPicPr>
                    <pic:cNvPr id="716" name="Image 716"/>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18"/>
        </w:rPr>
        <w:t> </w:t>
      </w:r>
      <w:r>
        <w:rPr>
          <w:rFonts w:ascii="Book Antiqua"/>
          <w:b/>
          <w:color w:val="231F20"/>
          <w:spacing w:val="-2"/>
        </w:rPr>
        <w:t>Save</w:t>
      </w:r>
      <w:r>
        <w:rPr>
          <w:color w:val="231F20"/>
          <w:spacing w:val="-2"/>
        </w:rPr>
        <w:t>.</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To save the current workspace as a new workspace and leave the original unchanged,</w:t>
      </w:r>
      <w:r>
        <w:rPr>
          <w:color w:val="231F20"/>
          <w:spacing w:val="28"/>
        </w:rPr>
        <w:t> </w:t>
      </w:r>
      <w:r>
        <w:rPr>
          <w:color w:val="231F20"/>
        </w:rPr>
        <w:t>click</w:t>
      </w:r>
      <w:r>
        <w:rPr>
          <w:color w:val="231F20"/>
          <w:spacing w:val="28"/>
        </w:rPr>
        <w:t> </w:t>
      </w:r>
      <w:r>
        <w:rPr>
          <w:rFonts w:ascii="Book Antiqua"/>
          <w:b/>
          <w:color w:val="231F20"/>
        </w:rPr>
        <w:t>File</w:t>
      </w:r>
      <w:r>
        <w:rPr>
          <w:rFonts w:ascii="Book Antiqua"/>
          <w:b/>
          <w:color w:val="231F20"/>
          <w:spacing w:val="28"/>
        </w:rPr>
        <w:t> </w:t>
      </w:r>
      <w:r>
        <w:rPr>
          <w:color w:val="231F20"/>
        </w:rPr>
        <w:t>&gt;</w:t>
      </w:r>
      <w:r>
        <w:rPr>
          <w:color w:val="231F20"/>
          <w:spacing w:val="28"/>
        </w:rPr>
        <w:t> </w:t>
      </w:r>
      <w:r>
        <w:rPr>
          <w:rFonts w:ascii="Book Antiqua"/>
          <w:b/>
          <w:color w:val="231F20"/>
        </w:rPr>
        <w:t>Save</w:t>
      </w:r>
      <w:r>
        <w:rPr>
          <w:rFonts w:ascii="Book Antiqua"/>
          <w:b/>
          <w:color w:val="231F20"/>
          <w:spacing w:val="28"/>
        </w:rPr>
        <w:t> </w:t>
      </w:r>
      <w:r>
        <w:rPr>
          <w:rFonts w:ascii="Book Antiqua"/>
          <w:b/>
          <w:color w:val="231F20"/>
        </w:rPr>
        <w:t>Workspace</w:t>
      </w:r>
      <w:r>
        <w:rPr>
          <w:rFonts w:ascii="Book Antiqua"/>
          <w:b/>
          <w:color w:val="231F20"/>
          <w:spacing w:val="28"/>
        </w:rPr>
        <w:t> </w:t>
      </w:r>
      <w:r>
        <w:rPr>
          <w:rFonts w:ascii="Book Antiqua"/>
          <w:b/>
          <w:color w:val="231F20"/>
        </w:rPr>
        <w:t>As</w:t>
      </w:r>
      <w:r>
        <w:rPr>
          <w:color w:val="231F20"/>
        </w:rPr>
        <w:t>,</w:t>
      </w:r>
      <w:r>
        <w:rPr>
          <w:color w:val="231F20"/>
          <w:spacing w:val="28"/>
        </w:rPr>
        <w:t> </w:t>
      </w:r>
      <w:r>
        <w:rPr>
          <w:color w:val="231F20"/>
        </w:rPr>
        <w:t>type</w:t>
      </w:r>
      <w:r>
        <w:rPr>
          <w:color w:val="231F20"/>
          <w:spacing w:val="28"/>
        </w:rPr>
        <w:t> </w:t>
      </w:r>
      <w:r>
        <w:rPr>
          <w:color w:val="231F20"/>
        </w:rPr>
        <w:t>a</w:t>
      </w:r>
      <w:r>
        <w:rPr>
          <w:color w:val="231F20"/>
          <w:spacing w:val="28"/>
        </w:rPr>
        <w:t> </w:t>
      </w:r>
      <w:r>
        <w:rPr>
          <w:color w:val="231F20"/>
        </w:rPr>
        <w:t>name</w:t>
      </w:r>
      <w:r>
        <w:rPr>
          <w:color w:val="231F20"/>
          <w:spacing w:val="28"/>
        </w:rPr>
        <w:t> </w:t>
      </w:r>
      <w:r>
        <w:rPr>
          <w:color w:val="231F20"/>
        </w:rPr>
        <w:t>for</w:t>
      </w:r>
      <w:r>
        <w:rPr>
          <w:color w:val="231F20"/>
          <w:spacing w:val="28"/>
        </w:rPr>
        <w:t> </w:t>
      </w:r>
      <w:r>
        <w:rPr>
          <w:color w:val="231F20"/>
        </w:rPr>
        <w:t>the</w:t>
      </w:r>
      <w:r>
        <w:rPr>
          <w:color w:val="231F20"/>
          <w:spacing w:val="28"/>
        </w:rPr>
        <w:t> </w:t>
      </w:r>
      <w:r>
        <w:rPr>
          <w:color w:val="231F20"/>
        </w:rPr>
        <w:t>new workspace,</w:t>
      </w:r>
      <w:r>
        <w:rPr>
          <w:color w:val="231F20"/>
          <w:spacing w:val="26"/>
        </w:rPr>
        <w:t> </w:t>
      </w:r>
      <w:r>
        <w:rPr>
          <w:color w:val="231F20"/>
        </w:rPr>
        <w:t>check</w:t>
      </w:r>
      <w:r>
        <w:rPr>
          <w:color w:val="231F20"/>
          <w:spacing w:val="26"/>
        </w:rPr>
        <w:t> </w:t>
      </w:r>
      <w:r>
        <w:rPr>
          <w:color w:val="231F20"/>
        </w:rPr>
        <w:t>any</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workspace</w:t>
      </w:r>
      <w:r>
        <w:rPr>
          <w:color w:val="231F20"/>
          <w:spacing w:val="26"/>
        </w:rPr>
        <w:t> </w:t>
      </w:r>
      <w:r>
        <w:rPr>
          <w:color w:val="231F20"/>
        </w:rPr>
        <w:t>options</w:t>
      </w:r>
      <w:r>
        <w:rPr>
          <w:color w:val="231F20"/>
          <w:spacing w:val="26"/>
        </w:rPr>
        <w:t> </w:t>
      </w:r>
      <w:r>
        <w:rPr>
          <w:color w:val="231F20"/>
        </w:rPr>
        <w:t>that</w:t>
      </w:r>
      <w:r>
        <w:rPr>
          <w:color w:val="231F20"/>
          <w:spacing w:val="26"/>
        </w:rPr>
        <w:t> </w:t>
      </w:r>
      <w:r>
        <w:rPr>
          <w:color w:val="231F20"/>
        </w:rPr>
        <w:t>you</w:t>
      </w:r>
      <w:r>
        <w:rPr>
          <w:color w:val="231F20"/>
          <w:spacing w:val="26"/>
        </w:rPr>
        <w:t> </w:t>
      </w:r>
      <w:r>
        <w:rPr>
          <w:color w:val="231F20"/>
        </w:rPr>
        <w:t>want</w:t>
      </w:r>
      <w:r>
        <w:rPr>
          <w:color w:val="231F20"/>
          <w:spacing w:val="26"/>
        </w:rPr>
        <w:t> </w:t>
      </w:r>
      <w:r>
        <w:rPr>
          <w:color w:val="231F20"/>
        </w:rPr>
        <w:t>to</w:t>
      </w:r>
      <w:r>
        <w:rPr>
          <w:color w:val="231F20"/>
          <w:spacing w:val="26"/>
        </w:rPr>
        <w:t> </w:t>
      </w:r>
      <w:r>
        <w:rPr>
          <w:color w:val="231F20"/>
        </w:rPr>
        <w:t>apply,</w:t>
      </w:r>
      <w:r>
        <w:rPr>
          <w:color w:val="231F20"/>
          <w:spacing w:val="26"/>
        </w:rPr>
        <w:t> </w:t>
      </w:r>
      <w:r>
        <w:rPr>
          <w:color w:val="231F20"/>
        </w:rPr>
        <w:t>and click </w:t>
      </w:r>
      <w:r>
        <w:rPr>
          <w:rFonts w:ascii="Book Antiqua"/>
          <w:b/>
          <w:color w:val="231F20"/>
        </w:rPr>
        <w:t>OK</w:t>
      </w:r>
      <w:r>
        <w:rPr>
          <w:color w:val="231F20"/>
        </w:rPr>
        <w:t>. The workspace is saved with the name and options you specify, and is available to all systems with items of the same type. For example, if you create a</w:t>
      </w:r>
      <w:r>
        <w:rPr>
          <w:color w:val="231F20"/>
          <w:spacing w:val="40"/>
        </w:rPr>
        <w:t> </w:t>
      </w:r>
      <w:r>
        <w:rPr>
          <w:color w:val="231F20"/>
        </w:rPr>
        <w:t>new workspace for your Windows agent then all systems with that monitoring agent will be able to open the new workspace.</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436"/>
        <w:rPr>
          <w:sz w:val="2"/>
        </w:rPr>
      </w:pPr>
      <w:bookmarkStart w:name="_bookmark57" w:id="126"/>
      <w:bookmarkEnd w:id="126"/>
      <w:r>
        <w:rPr/>
      </w:r>
      <w:r>
        <w:rPr>
          <w:sz w:val="2"/>
        </w:rPr>
        <mc:AlternateContent>
          <mc:Choice Requires="wps">
            <w:drawing>
              <wp:inline distT="0" distB="0" distL="0" distR="0">
                <wp:extent cx="6082665" cy="6350"/>
                <wp:effectExtent l="9525" t="0" r="0" b="3175"/>
                <wp:docPr id="717" name="Group 717"/>
                <wp:cNvGraphicFramePr>
                  <a:graphicFrameLocks/>
                </wp:cNvGraphicFramePr>
                <a:graphic>
                  <a:graphicData uri="http://schemas.microsoft.com/office/word/2010/wordprocessingGroup">
                    <wpg:wgp>
                      <wpg:cNvPr id="717" name="Group 717"/>
                      <wpg:cNvGrpSpPr/>
                      <wpg:grpSpPr>
                        <a:xfrm>
                          <a:off x="0" y="0"/>
                          <a:ext cx="6082665" cy="6350"/>
                          <a:chExt cx="6082665" cy="6350"/>
                        </a:xfrm>
                      </wpg:grpSpPr>
                      <wps:wsp>
                        <wps:cNvPr id="718" name="Graphic 718"/>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112" coordorigin="0,0" coordsize="9579,10">
                <v:line style="position:absolute" from="0,5" to="9579,5" stroked="true" strokeweight=".499pt" strokecolor="#231f20">
                  <v:stroke dashstyle="solid"/>
                </v:line>
              </v:group>
            </w:pict>
          </mc:Fallback>
        </mc:AlternateContent>
      </w:r>
      <w:r>
        <w:rPr>
          <w:sz w:val="2"/>
        </w:rPr>
      </w:r>
    </w:p>
    <w:p>
      <w:pPr>
        <w:pStyle w:val="Heading3"/>
        <w:spacing w:before="12"/>
      </w:pPr>
      <w:bookmarkStart w:name="Editing a workspace" w:id="127"/>
      <w:bookmarkEnd w:id="127"/>
      <w:r>
        <w:rPr>
          <w:b w:val="0"/>
        </w:rPr>
      </w:r>
      <w:r>
        <w:rPr>
          <w:color w:val="231F20"/>
        </w:rPr>
        <w:t>Editing</w:t>
      </w:r>
      <w:r>
        <w:rPr>
          <w:color w:val="231F20"/>
          <w:spacing w:val="9"/>
        </w:rPr>
        <w:t> </w:t>
      </w:r>
      <w:r>
        <w:rPr>
          <w:color w:val="231F20"/>
        </w:rPr>
        <w:t>a</w:t>
      </w:r>
      <w:r>
        <w:rPr>
          <w:color w:val="231F20"/>
          <w:spacing w:val="9"/>
        </w:rPr>
        <w:t> </w:t>
      </w:r>
      <w:r>
        <w:rPr>
          <w:color w:val="231F20"/>
          <w:spacing w:val="-2"/>
        </w:rPr>
        <w:t>workspace</w:t>
      </w:r>
    </w:p>
    <w:p>
      <w:pPr>
        <w:pStyle w:val="BodyText"/>
        <w:spacing w:line="213" w:lineRule="auto" w:before="138"/>
        <w:ind w:left="2472" w:right="385"/>
      </w:pPr>
      <w:r>
        <w:rPr>
          <w:color w:val="231F20"/>
        </w:rPr>
        <w:t>Use the Properties editor to change the general characteristics of a workspace </w:t>
      </w:r>
      <w:r>
        <w:rPr>
          <w:color w:val="231F20"/>
        </w:rPr>
        <w:t>and to edit the style and content of any of its views. You can delete or restore the</w:t>
      </w:r>
      <w:r>
        <w:rPr>
          <w:color w:val="231F20"/>
          <w:spacing w:val="40"/>
        </w:rPr>
        <w:t> </w:t>
      </w:r>
      <w:r>
        <w:rPr>
          <w:color w:val="231F20"/>
        </w:rPr>
        <w:t>original version of an edited workspace through the File menu.</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To</w:t>
      </w:r>
      <w:r>
        <w:rPr>
          <w:color w:val="231F20"/>
          <w:spacing w:val="8"/>
        </w:rPr>
        <w:t> </w:t>
      </w:r>
      <w:r>
        <w:rPr>
          <w:color w:val="231F20"/>
        </w:rPr>
        <w:t>edit</w:t>
      </w:r>
      <w:r>
        <w:rPr>
          <w:color w:val="231F20"/>
          <w:spacing w:val="7"/>
        </w:rPr>
        <w:t> </w:t>
      </w:r>
      <w:r>
        <w:rPr>
          <w:color w:val="231F20"/>
        </w:rPr>
        <w:t>a</w:t>
      </w:r>
      <w:r>
        <w:rPr>
          <w:color w:val="231F20"/>
          <w:spacing w:val="8"/>
        </w:rPr>
        <w:t> </w:t>
      </w:r>
      <w:r>
        <w:rPr>
          <w:color w:val="231F20"/>
        </w:rPr>
        <w:t>workspace,</w:t>
      </w:r>
      <w:r>
        <w:rPr>
          <w:color w:val="231F20"/>
          <w:spacing w:val="8"/>
        </w:rPr>
        <w:t> </w:t>
      </w:r>
      <w:r>
        <w:rPr>
          <w:color w:val="231F20"/>
        </w:rPr>
        <w:t>your</w:t>
      </w:r>
      <w:r>
        <w:rPr>
          <w:color w:val="231F20"/>
          <w:spacing w:val="8"/>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8"/>
        </w:rPr>
        <w:t> </w:t>
      </w:r>
      <w:r>
        <w:rPr>
          <w:color w:val="231F20"/>
          <w:spacing w:val="-2"/>
        </w:rPr>
        <w:t>permission.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To</w:t>
      </w:r>
      <w:r>
        <w:rPr>
          <w:color w:val="231F20"/>
          <w:spacing w:val="7"/>
        </w:rPr>
        <w:t> </w:t>
      </w:r>
      <w:r>
        <w:rPr>
          <w:color w:val="231F20"/>
        </w:rPr>
        <w:t>edit</w:t>
      </w:r>
      <w:r>
        <w:rPr>
          <w:color w:val="231F20"/>
          <w:spacing w:val="7"/>
        </w:rPr>
        <w:t> </w:t>
      </w:r>
      <w:r>
        <w:rPr>
          <w:color w:val="231F20"/>
        </w:rPr>
        <w:t>a</w:t>
      </w:r>
      <w:r>
        <w:rPr>
          <w:color w:val="231F20"/>
          <w:spacing w:val="8"/>
        </w:rPr>
        <w:t> </w:t>
      </w:r>
      <w:r>
        <w:rPr>
          <w:color w:val="231F20"/>
          <w:spacing w:val="-2"/>
        </w:rPr>
        <w:t>workspace:</w:t>
      </w:r>
    </w:p>
    <w:p>
      <w:pPr>
        <w:pStyle w:val="Heading4"/>
        <w:spacing w:before="194"/>
        <w:ind w:left="2472"/>
      </w:pPr>
      <w:r>
        <w:rPr>
          <w:color w:val="231F20"/>
          <w:spacing w:val="-2"/>
        </w:rPr>
        <w:t>Procedure</w:t>
      </w:r>
    </w:p>
    <w:p>
      <w:pPr>
        <w:pStyle w:val="ListParagraph"/>
        <w:numPr>
          <w:ilvl w:val="0"/>
          <w:numId w:val="38"/>
        </w:numPr>
        <w:tabs>
          <w:tab w:pos="2788" w:val="left" w:leader="none"/>
        </w:tabs>
        <w:spacing w:line="213" w:lineRule="auto" w:before="62" w:after="0"/>
        <w:ind w:left="2788" w:right="920" w:hanging="316"/>
        <w:jc w:val="both"/>
        <w:rPr>
          <w:sz w:val="20"/>
        </w:rPr>
      </w:pPr>
      <w:r>
        <w:rPr>
          <w:color w:val="231F20"/>
          <w:sz w:val="20"/>
        </w:rPr>
        <w:t>Open the workspace that you want to edit, then click </w:t>
      </w:r>
      <w:r>
        <w:rPr>
          <w:color w:val="231F20"/>
          <w:spacing w:val="15"/>
          <w:position w:val="-1"/>
          <w:sz w:val="20"/>
        </w:rPr>
        <w:drawing>
          <wp:inline distT="0" distB="0" distL="0" distR="0">
            <wp:extent cx="101600" cy="95250"/>
            <wp:effectExtent l="0" t="0" r="0" b="0"/>
            <wp:docPr id="719" name="Image 719"/>
            <wp:cNvGraphicFramePr>
              <a:graphicFrameLocks/>
            </wp:cNvGraphicFramePr>
            <a:graphic>
              <a:graphicData uri="http://schemas.openxmlformats.org/drawingml/2006/picture">
                <pic:pic>
                  <pic:nvPicPr>
                    <pic:cNvPr id="719" name="Image 719"/>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3"/>
          <w:sz w:val="20"/>
        </w:rPr>
        <w:t> </w:t>
      </w:r>
      <w:r>
        <w:rPr>
          <w:rFonts w:ascii="Book Antiqua"/>
          <w:b/>
          <w:color w:val="231F20"/>
          <w:sz w:val="20"/>
        </w:rPr>
        <w:t>Properties</w:t>
      </w:r>
      <w:r>
        <w:rPr>
          <w:color w:val="231F20"/>
          <w:sz w:val="20"/>
        </w:rPr>
        <w:t>. The Properties editor opens. The tree on the left shows the workspace </w:t>
      </w:r>
      <w:r>
        <w:rPr>
          <w:color w:val="231F20"/>
          <w:sz w:val="20"/>
        </w:rPr>
        <w:t>name selected, with the workspace properties on the right.</w:t>
      </w:r>
    </w:p>
    <w:p>
      <w:pPr>
        <w:pStyle w:val="ListParagraph"/>
        <w:numPr>
          <w:ilvl w:val="0"/>
          <w:numId w:val="38"/>
        </w:numPr>
        <w:tabs>
          <w:tab w:pos="2788" w:val="left" w:leader="none"/>
        </w:tabs>
        <w:spacing w:line="213" w:lineRule="auto" w:before="58" w:after="0"/>
        <w:ind w:left="2788" w:right="178" w:hanging="316"/>
        <w:jc w:val="left"/>
        <w:rPr>
          <w:sz w:val="20"/>
        </w:rPr>
      </w:pPr>
      <w:r>
        <w:rPr>
          <w:color w:val="231F20"/>
          <w:sz w:val="20"/>
        </w:rPr>
        <w:t>Make any changes to the </w:t>
      </w:r>
      <w:r>
        <w:rPr>
          <w:rFonts w:ascii="Book Antiqua"/>
          <w:b/>
          <w:color w:val="231F20"/>
          <w:sz w:val="20"/>
        </w:rPr>
        <w:t>Workspace Identity </w:t>
      </w:r>
      <w:r>
        <w:rPr>
          <w:color w:val="231F20"/>
          <w:sz w:val="20"/>
        </w:rPr>
        <w:t>and </w:t>
      </w:r>
      <w:r>
        <w:rPr>
          <w:rFonts w:ascii="Book Antiqua"/>
          <w:b/>
          <w:color w:val="231F20"/>
          <w:sz w:val="20"/>
        </w:rPr>
        <w:t>Workspace Options</w:t>
      </w:r>
      <w:r>
        <w:rPr>
          <w:color w:val="231F20"/>
          <w:sz w:val="20"/>
        </w:rPr>
        <w:t>. You can always return to the general workspace properties by clicking the name of the workspace at the top of the Properties tree.</w:t>
      </w:r>
    </w:p>
    <w:p>
      <w:pPr>
        <w:pStyle w:val="ListParagraph"/>
        <w:numPr>
          <w:ilvl w:val="0"/>
          <w:numId w:val="38"/>
        </w:numPr>
        <w:tabs>
          <w:tab w:pos="2788" w:val="left" w:leader="none"/>
        </w:tabs>
        <w:spacing w:line="213" w:lineRule="auto" w:before="58" w:after="0"/>
        <w:ind w:left="2788" w:right="191" w:hanging="316"/>
        <w:jc w:val="left"/>
        <w:rPr>
          <w:sz w:val="20"/>
        </w:rPr>
      </w:pPr>
      <w:r>
        <w:rPr>
          <w:color w:val="231F20"/>
          <w:sz w:val="20"/>
        </w:rPr>
        <w:t>If you want to edit the properties for a particular view, select the view from the Properties tree.</w:t>
      </w:r>
    </w:p>
    <w:p>
      <w:pPr>
        <w:pStyle w:val="ListParagraph"/>
        <w:numPr>
          <w:ilvl w:val="0"/>
          <w:numId w:val="38"/>
        </w:numPr>
        <w:tabs>
          <w:tab w:pos="2787" w:val="left" w:leader="none"/>
        </w:tabs>
        <w:spacing w:line="240" w:lineRule="auto" w:before="35" w:after="0"/>
        <w:ind w:left="2787" w:right="0" w:hanging="315"/>
        <w:jc w:val="left"/>
        <w:rPr>
          <w:sz w:val="20"/>
        </w:rPr>
      </w:pPr>
      <w:r>
        <w:rPr>
          <w:color w:val="231F20"/>
          <w:sz w:val="20"/>
        </w:rPr>
        <w:t>When</w:t>
      </w:r>
      <w:r>
        <w:rPr>
          <w:color w:val="231F20"/>
          <w:spacing w:val="10"/>
          <w:sz w:val="20"/>
        </w:rPr>
        <w:t> </w:t>
      </w:r>
      <w:r>
        <w:rPr>
          <w:color w:val="231F20"/>
          <w:sz w:val="20"/>
        </w:rPr>
        <w:t>you</w:t>
      </w:r>
      <w:r>
        <w:rPr>
          <w:color w:val="231F20"/>
          <w:spacing w:val="10"/>
          <w:sz w:val="20"/>
        </w:rPr>
        <w:t> </w:t>
      </w:r>
      <w:r>
        <w:rPr>
          <w:color w:val="231F20"/>
          <w:sz w:val="20"/>
        </w:rPr>
        <w:t>are</w:t>
      </w:r>
      <w:r>
        <w:rPr>
          <w:color w:val="231F20"/>
          <w:spacing w:val="10"/>
          <w:sz w:val="20"/>
        </w:rPr>
        <w:t> </w:t>
      </w:r>
      <w:r>
        <w:rPr>
          <w:color w:val="231F20"/>
          <w:sz w:val="20"/>
        </w:rPr>
        <w:t>finished</w:t>
      </w:r>
      <w:r>
        <w:rPr>
          <w:color w:val="231F20"/>
          <w:spacing w:val="10"/>
          <w:sz w:val="20"/>
        </w:rPr>
        <w:t> </w:t>
      </w:r>
      <w:r>
        <w:rPr>
          <w:color w:val="231F20"/>
          <w:sz w:val="20"/>
        </w:rPr>
        <w:t>editing</w:t>
      </w:r>
      <w:r>
        <w:rPr>
          <w:color w:val="231F20"/>
          <w:spacing w:val="10"/>
          <w:sz w:val="20"/>
        </w:rPr>
        <w:t> </w:t>
      </w:r>
      <w:r>
        <w:rPr>
          <w:color w:val="231F20"/>
          <w:sz w:val="20"/>
        </w:rPr>
        <w:t>the</w:t>
      </w:r>
      <w:r>
        <w:rPr>
          <w:color w:val="231F20"/>
          <w:spacing w:val="10"/>
          <w:sz w:val="20"/>
        </w:rPr>
        <w:t> </w:t>
      </w:r>
      <w:r>
        <w:rPr>
          <w:color w:val="231F20"/>
          <w:sz w:val="20"/>
        </w:rPr>
        <w:t>workspace</w:t>
      </w:r>
      <w:r>
        <w:rPr>
          <w:color w:val="231F20"/>
          <w:spacing w:val="10"/>
          <w:sz w:val="20"/>
        </w:rPr>
        <w:t> </w:t>
      </w:r>
      <w:r>
        <w:rPr>
          <w:color w:val="231F20"/>
          <w:sz w:val="20"/>
        </w:rPr>
        <w:t>or</w:t>
      </w:r>
      <w:r>
        <w:rPr>
          <w:color w:val="231F20"/>
          <w:spacing w:val="10"/>
          <w:sz w:val="20"/>
        </w:rPr>
        <w:t> </w:t>
      </w:r>
      <w:r>
        <w:rPr>
          <w:color w:val="231F20"/>
          <w:sz w:val="20"/>
        </w:rPr>
        <w:t>view,</w:t>
      </w:r>
      <w:r>
        <w:rPr>
          <w:color w:val="231F20"/>
          <w:spacing w:val="10"/>
          <w:sz w:val="20"/>
        </w:rPr>
        <w:t> </w:t>
      </w:r>
      <w:r>
        <w:rPr>
          <w:color w:val="231F20"/>
          <w:sz w:val="20"/>
        </w:rPr>
        <w:t>do</w:t>
      </w:r>
      <w:r>
        <w:rPr>
          <w:color w:val="231F20"/>
          <w:spacing w:val="10"/>
          <w:sz w:val="20"/>
        </w:rPr>
        <w:t> </w:t>
      </w:r>
      <w:r>
        <w:rPr>
          <w:color w:val="231F20"/>
          <w:sz w:val="20"/>
        </w:rPr>
        <w:t>one</w:t>
      </w:r>
      <w:r>
        <w:rPr>
          <w:color w:val="231F20"/>
          <w:spacing w:val="10"/>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pacing w:val="-2"/>
          <w:sz w:val="20"/>
        </w:rPr>
        <w:t>following:</w:t>
      </w:r>
    </w:p>
    <w:p>
      <w:pPr>
        <w:pStyle w:val="BodyText"/>
        <w:spacing w:line="213" w:lineRule="auto" w:before="53"/>
        <w:ind w:left="3004" w:hanging="216"/>
      </w:pPr>
      <w:r>
        <w:rPr>
          <w:rFonts w:ascii="Futura MdCn BT"/>
          <w:color w:val="231F20"/>
        </w:rPr>
        <w:t>v</w:t>
      </w:r>
      <w:r>
        <w:rPr>
          <w:rFonts w:ascii="Futura MdCn BT"/>
          <w:color w:val="231F20"/>
          <w:spacing w:val="80"/>
        </w:rPr>
        <w:t> </w:t>
      </w:r>
      <w:r>
        <w:rPr>
          <w:color w:val="231F20"/>
        </w:rPr>
        <w:t>Click </w:t>
      </w:r>
      <w:r>
        <w:rPr>
          <w:rFonts w:ascii="Book Antiqua"/>
          <w:b/>
          <w:color w:val="231F20"/>
        </w:rPr>
        <w:t>Apply </w:t>
      </w:r>
      <w:r>
        <w:rPr>
          <w:color w:val="231F20"/>
        </w:rPr>
        <w:t>to save your changes, then select another view to edit from </w:t>
      </w:r>
      <w:r>
        <w:rPr>
          <w:color w:val="231F20"/>
        </w:rPr>
        <w:t>the</w:t>
      </w:r>
      <w:r>
        <w:rPr>
          <w:color w:val="231F20"/>
          <w:spacing w:val="40"/>
        </w:rPr>
        <w:t> </w:t>
      </w:r>
      <w:r>
        <w:rPr>
          <w:color w:val="231F20"/>
        </w:rPr>
        <w:t>Properties tree.</w:t>
      </w:r>
    </w:p>
    <w:p>
      <w:pPr>
        <w:pStyle w:val="BodyText"/>
        <w:spacing w:before="35"/>
        <w:ind w:left="2788"/>
      </w:pPr>
      <w:r>
        <w:rPr>
          <w:rFonts w:ascii="Futura MdCn BT"/>
          <w:color w:val="231F20"/>
        </w:rPr>
        <w:t>v</w:t>
      </w:r>
      <w:r>
        <w:rPr>
          <w:rFonts w:ascii="Futura MdCn BT"/>
          <w:color w:val="231F20"/>
          <w:spacing w:val="31"/>
        </w:rPr>
        <w:t>  </w:t>
      </w:r>
      <w:r>
        <w:rPr>
          <w:color w:val="231F20"/>
        </w:rPr>
        <w:t>Click</w:t>
      </w:r>
      <w:r>
        <w:rPr>
          <w:color w:val="231F20"/>
          <w:spacing w:val="12"/>
        </w:rPr>
        <w:t> </w:t>
      </w:r>
      <w:r>
        <w:rPr>
          <w:rFonts w:ascii="Book Antiqua"/>
          <w:b/>
          <w:color w:val="231F20"/>
        </w:rPr>
        <w:t>OK</w:t>
      </w:r>
      <w:r>
        <w:rPr>
          <w:rFonts w:ascii="Book Antiqua"/>
          <w:b/>
          <w:color w:val="231F20"/>
          <w:spacing w:val="12"/>
        </w:rPr>
        <w:t> </w:t>
      </w:r>
      <w:r>
        <w:rPr>
          <w:color w:val="231F20"/>
        </w:rPr>
        <w:t>to</w:t>
      </w:r>
      <w:r>
        <w:rPr>
          <w:color w:val="231F20"/>
          <w:spacing w:val="12"/>
        </w:rPr>
        <w:t> </w:t>
      </w:r>
      <w:r>
        <w:rPr>
          <w:color w:val="231F20"/>
        </w:rPr>
        <w:t>save</w:t>
      </w:r>
      <w:r>
        <w:rPr>
          <w:color w:val="231F20"/>
          <w:spacing w:val="12"/>
        </w:rPr>
        <w:t> </w:t>
      </w:r>
      <w:r>
        <w:rPr>
          <w:color w:val="231F20"/>
        </w:rPr>
        <w:t>your</w:t>
      </w:r>
      <w:r>
        <w:rPr>
          <w:color w:val="231F20"/>
          <w:spacing w:val="12"/>
        </w:rPr>
        <w:t> </w:t>
      </w:r>
      <w:r>
        <w:rPr>
          <w:color w:val="231F20"/>
        </w:rPr>
        <w:t>changes</w:t>
      </w:r>
      <w:r>
        <w:rPr>
          <w:color w:val="231F20"/>
          <w:spacing w:val="12"/>
        </w:rPr>
        <w:t> </w:t>
      </w:r>
      <w:r>
        <w:rPr>
          <w:color w:val="231F20"/>
        </w:rPr>
        <w:t>and</w:t>
      </w:r>
      <w:r>
        <w:rPr>
          <w:color w:val="231F20"/>
          <w:spacing w:val="12"/>
        </w:rPr>
        <w:t> </w:t>
      </w:r>
      <w:r>
        <w:rPr>
          <w:color w:val="231F20"/>
        </w:rPr>
        <w:t>close</w:t>
      </w:r>
      <w:r>
        <w:rPr>
          <w:color w:val="231F20"/>
          <w:spacing w:val="12"/>
        </w:rPr>
        <w:t> </w:t>
      </w:r>
      <w:r>
        <w:rPr>
          <w:color w:val="231F20"/>
        </w:rPr>
        <w:t>the</w:t>
      </w:r>
      <w:r>
        <w:rPr>
          <w:color w:val="231F20"/>
          <w:spacing w:val="12"/>
        </w:rPr>
        <w:t> </w:t>
      </w:r>
      <w:r>
        <w:rPr>
          <w:color w:val="231F20"/>
        </w:rPr>
        <w:t>Properties</w:t>
      </w:r>
      <w:r>
        <w:rPr>
          <w:color w:val="231F20"/>
          <w:spacing w:val="13"/>
        </w:rPr>
        <w:t> </w:t>
      </w:r>
      <w:r>
        <w:rPr>
          <w:color w:val="231F20"/>
          <w:spacing w:val="-2"/>
        </w:rPr>
        <w:t>editor.</w:t>
      </w:r>
    </w:p>
    <w:p>
      <w:pPr>
        <w:pStyle w:val="ListParagraph"/>
        <w:numPr>
          <w:ilvl w:val="0"/>
          <w:numId w:val="38"/>
        </w:numPr>
        <w:tabs>
          <w:tab w:pos="2788" w:val="left" w:leader="none"/>
        </w:tabs>
        <w:spacing w:line="213" w:lineRule="auto" w:before="53" w:after="0"/>
        <w:ind w:left="2788" w:right="296" w:hanging="316"/>
        <w:jc w:val="left"/>
        <w:rPr>
          <w:sz w:val="20"/>
        </w:rPr>
      </w:pPr>
      <w:r>
        <w:rPr>
          <w:color w:val="231F20"/>
          <w:sz w:val="20"/>
        </w:rPr>
        <w:t>If you want to keep the changes you made for future work sessions, do one of</w:t>
      </w:r>
      <w:r>
        <w:rPr>
          <w:color w:val="231F20"/>
          <w:spacing w:val="40"/>
          <w:sz w:val="20"/>
        </w:rPr>
        <w:t> </w:t>
      </w:r>
      <w:r>
        <w:rPr>
          <w:color w:val="231F20"/>
          <w:sz w:val="20"/>
        </w:rPr>
        <w:t>the following:</w:t>
      </w:r>
    </w:p>
    <w:p>
      <w:pPr>
        <w:pStyle w:val="BodyText"/>
        <w:spacing w:line="213" w:lineRule="auto" w:before="58"/>
        <w:ind w:left="3004" w:right="385" w:hanging="216"/>
      </w:pPr>
      <w:r>
        <w:rPr>
          <w:rFonts w:ascii="Futura MdCn BT"/>
          <w:color w:val="231F20"/>
        </w:rPr>
        <w:t>v</w:t>
      </w:r>
      <w:r>
        <w:rPr>
          <w:rFonts w:ascii="Futura MdCn BT"/>
          <w:color w:val="231F20"/>
          <w:spacing w:val="80"/>
        </w:rPr>
        <w:t> </w:t>
      </w:r>
      <w:r>
        <w:rPr>
          <w:color w:val="231F20"/>
        </w:rPr>
        <w:t>Click</w:t>
      </w:r>
      <w:r>
        <w:rPr>
          <w:color w:val="231F20"/>
          <w:spacing w:val="20"/>
        </w:rPr>
        <w:t> </w:t>
      </w:r>
      <w:r>
        <w:rPr>
          <w:color w:val="231F20"/>
          <w:spacing w:val="-24"/>
          <w:position w:val="-1"/>
        </w:rPr>
        <w:drawing>
          <wp:inline distT="0" distB="0" distL="0" distR="0">
            <wp:extent cx="95250" cy="95250"/>
            <wp:effectExtent l="0" t="0" r="0" b="0"/>
            <wp:docPr id="720" name="Image 720"/>
            <wp:cNvGraphicFramePr>
              <a:graphicFrameLocks/>
            </wp:cNvGraphicFramePr>
            <a:graphic>
              <a:graphicData uri="http://schemas.openxmlformats.org/drawingml/2006/picture">
                <pic:pic>
                  <pic:nvPicPr>
                    <pic:cNvPr id="720" name="Image 720"/>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7"/>
        </w:rPr>
        <w:t> </w:t>
      </w:r>
      <w:r>
        <w:rPr>
          <w:rFonts w:ascii="Book Antiqua"/>
          <w:b/>
          <w:color w:val="231F20"/>
        </w:rPr>
        <w:t>Save </w:t>
      </w:r>
      <w:r>
        <w:rPr>
          <w:color w:val="231F20"/>
        </w:rPr>
        <w:t>to update the workspace properties with the changes you </w:t>
      </w:r>
      <w:r>
        <w:rPr>
          <w:color w:val="231F20"/>
        </w:rPr>
        <w:t>just</w:t>
      </w:r>
      <w:r>
        <w:rPr>
          <w:color w:val="231F20"/>
        </w:rPr>
        <w:t> </w:t>
      </w:r>
      <w:r>
        <w:rPr>
          <w:color w:val="231F20"/>
          <w:spacing w:val="-2"/>
        </w:rPr>
        <w:t>made.</w:t>
      </w:r>
    </w:p>
    <w:p>
      <w:pPr>
        <w:spacing w:line="213" w:lineRule="auto" w:before="59"/>
        <w:ind w:left="300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Click </w:t>
      </w:r>
      <w:r>
        <w:rPr>
          <w:rFonts w:ascii="Book Antiqua"/>
          <w:b/>
          <w:color w:val="231F20"/>
          <w:sz w:val="20"/>
        </w:rPr>
        <w:t>File </w:t>
      </w:r>
      <w:r>
        <w:rPr>
          <w:color w:val="231F20"/>
          <w:sz w:val="20"/>
        </w:rPr>
        <w:t>&gt; </w:t>
      </w:r>
      <w:r>
        <w:rPr>
          <w:rFonts w:ascii="Book Antiqua"/>
          <w:b/>
          <w:color w:val="231F20"/>
          <w:sz w:val="20"/>
        </w:rPr>
        <w:t>Save Workspace As </w:t>
      </w:r>
      <w:r>
        <w:rPr>
          <w:color w:val="231F20"/>
          <w:sz w:val="20"/>
        </w:rPr>
        <w:t>to save this as a new workspace and leave</w:t>
      </w:r>
      <w:r>
        <w:rPr>
          <w:color w:val="231F20"/>
          <w:spacing w:val="40"/>
          <w:sz w:val="20"/>
        </w:rPr>
        <w:t> </w:t>
      </w:r>
      <w:r>
        <w:rPr>
          <w:color w:val="231F20"/>
          <w:sz w:val="20"/>
        </w:rPr>
        <w:t>the original workspace unchanged.</w:t>
      </w:r>
    </w:p>
    <w:p>
      <w:pPr>
        <w:pStyle w:val="Heading4"/>
        <w:ind w:left="2472"/>
      </w:pPr>
      <w:r>
        <w:rPr>
          <w:color w:val="231F20"/>
          <w:spacing w:val="-2"/>
        </w:rPr>
        <w:t>Results</w:t>
      </w:r>
    </w:p>
    <w:p>
      <w:pPr>
        <w:pStyle w:val="BodyText"/>
        <w:spacing w:line="213" w:lineRule="auto" w:before="241"/>
        <w:ind w:left="2472" w:right="258"/>
      </w:pPr>
      <w:r>
        <w:rPr>
          <w:color w:val="231F20"/>
        </w:rPr>
        <w:t>Changes</w:t>
      </w:r>
      <w:r>
        <w:rPr>
          <w:color w:val="231F20"/>
          <w:spacing w:val="26"/>
        </w:rPr>
        <w:t> </w:t>
      </w:r>
      <w:r>
        <w:rPr>
          <w:color w:val="231F20"/>
        </w:rPr>
        <w:t>you</w:t>
      </w:r>
      <w:r>
        <w:rPr>
          <w:color w:val="231F20"/>
          <w:spacing w:val="26"/>
        </w:rPr>
        <w:t> </w:t>
      </w:r>
      <w:r>
        <w:rPr>
          <w:color w:val="231F20"/>
        </w:rPr>
        <w:t>make</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workspace</w:t>
      </w:r>
      <w:r>
        <w:rPr>
          <w:color w:val="231F20"/>
          <w:spacing w:val="26"/>
        </w:rPr>
        <w:t> </w:t>
      </w:r>
      <w:r>
        <w:rPr>
          <w:color w:val="231F20"/>
        </w:rPr>
        <w:t>are</w:t>
      </w:r>
      <w:r>
        <w:rPr>
          <w:color w:val="231F20"/>
          <w:spacing w:val="26"/>
        </w:rPr>
        <w:t> </w:t>
      </w:r>
      <w:r>
        <w:rPr>
          <w:color w:val="231F20"/>
        </w:rPr>
        <w:t>available</w:t>
      </w:r>
      <w:r>
        <w:rPr>
          <w:color w:val="231F20"/>
          <w:spacing w:val="26"/>
        </w:rPr>
        <w:t> </w:t>
      </w:r>
      <w:r>
        <w:rPr>
          <w:color w:val="231F20"/>
        </w:rPr>
        <w:t>only</w:t>
      </w:r>
      <w:r>
        <w:rPr>
          <w:color w:val="231F20"/>
          <w:spacing w:val="26"/>
        </w:rPr>
        <w:t> </w:t>
      </w:r>
      <w:r>
        <w:rPr>
          <w:color w:val="231F20"/>
        </w:rPr>
        <w:t>to</w:t>
      </w:r>
      <w:r>
        <w:rPr>
          <w:color w:val="231F20"/>
          <w:spacing w:val="26"/>
        </w:rPr>
        <w:t> </w:t>
      </w:r>
      <w:r>
        <w:rPr>
          <w:color w:val="231F20"/>
        </w:rPr>
        <w:t>your</w:t>
      </w:r>
      <w:r>
        <w:rPr>
          <w:color w:val="231F20"/>
          <w:spacing w:val="26"/>
        </w:rPr>
        <w:t> </w:t>
      </w:r>
      <w:r>
        <w:rPr>
          <w:color w:val="231F20"/>
        </w:rPr>
        <w:t>user</w:t>
      </w:r>
      <w:r>
        <w:rPr>
          <w:color w:val="231F20"/>
          <w:spacing w:val="26"/>
        </w:rPr>
        <w:t> </w:t>
      </w:r>
      <w:r>
        <w:rPr>
          <w:color w:val="231F20"/>
        </w:rPr>
        <w:t>ID;</w:t>
      </w:r>
      <w:r>
        <w:rPr>
          <w:color w:val="231F20"/>
          <w:spacing w:val="26"/>
        </w:rPr>
        <w:t> </w:t>
      </w:r>
      <w:r>
        <w:rPr>
          <w:color w:val="231F20"/>
        </w:rPr>
        <w:t>no</w:t>
      </w:r>
      <w:r>
        <w:rPr>
          <w:color w:val="231F20"/>
          <w:spacing w:val="26"/>
        </w:rPr>
        <w:t> </w:t>
      </w:r>
      <w:r>
        <w:rPr>
          <w:color w:val="231F20"/>
        </w:rPr>
        <w:t>other users will see your changes. The exception is when you are in workspace administration mode, where any workspace customization you do will be </w:t>
      </w:r>
      <w:r>
        <w:rPr>
          <w:color w:val="231F20"/>
        </w:rPr>
        <w:t>available to all users.</w:t>
      </w:r>
    </w:p>
    <w:p>
      <w:pPr>
        <w:pStyle w:val="BodyText"/>
        <w:spacing w:before="4"/>
        <w:rPr>
          <w:sz w:val="16"/>
        </w:rPr>
      </w:pPr>
      <w:r>
        <w:rPr/>
        <mc:AlternateContent>
          <mc:Choice Requires="wps">
            <w:drawing>
              <wp:anchor distT="0" distB="0" distL="0" distR="0" allowOverlap="1" layoutInCell="1" locked="0" behindDoc="1" simplePos="0" relativeHeight="487658496">
                <wp:simplePos x="0" y="0"/>
                <wp:positionH relativeFrom="page">
                  <wp:posOffset>912380</wp:posOffset>
                </wp:positionH>
                <wp:positionV relativeFrom="paragraph">
                  <wp:posOffset>155136</wp:posOffset>
                </wp:positionV>
                <wp:extent cx="6082665" cy="1270"/>
                <wp:effectExtent l="0" t="0" r="0" b="0"/>
                <wp:wrapTopAndBottom/>
                <wp:docPr id="721" name="Graphic 721"/>
                <wp:cNvGraphicFramePr>
                  <a:graphicFrameLocks/>
                </wp:cNvGraphicFramePr>
                <a:graphic>
                  <a:graphicData uri="http://schemas.microsoft.com/office/word/2010/wordprocessingShape">
                    <wps:wsp>
                      <wps:cNvPr id="721" name="Graphic 721"/>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15442pt;width:478.95pt;height:.1pt;mso-position-horizontal-relative:page;mso-position-vertical-relative:paragraph;z-index:-15657984;mso-wrap-distance-left:0;mso-wrap-distance-right:0" id="docshape113"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Renaming a workspace" w:id="128"/>
      <w:bookmarkEnd w:id="128"/>
      <w:r>
        <w:rPr>
          <w:b w:val="0"/>
        </w:rPr>
      </w:r>
      <w:r>
        <w:rPr>
          <w:color w:val="231F20"/>
        </w:rPr>
        <w:t>Renaming</w:t>
      </w:r>
      <w:r>
        <w:rPr>
          <w:color w:val="231F20"/>
          <w:spacing w:val="7"/>
        </w:rPr>
        <w:t> </w:t>
      </w:r>
      <w:r>
        <w:rPr>
          <w:color w:val="231F20"/>
        </w:rPr>
        <w:t>a</w:t>
      </w:r>
      <w:r>
        <w:rPr>
          <w:color w:val="231F20"/>
          <w:spacing w:val="7"/>
        </w:rPr>
        <w:t> </w:t>
      </w:r>
      <w:r>
        <w:rPr>
          <w:color w:val="231F20"/>
          <w:spacing w:val="-2"/>
        </w:rPr>
        <w:t>workspace</w:t>
      </w:r>
    </w:p>
    <w:p>
      <w:pPr>
        <w:pStyle w:val="BodyText"/>
        <w:spacing w:before="115"/>
        <w:ind w:left="2472"/>
      </w:pPr>
      <w:r>
        <w:rPr>
          <w:color w:val="231F20"/>
        </w:rPr>
        <w:t>You</w:t>
      </w:r>
      <w:r>
        <w:rPr>
          <w:color w:val="231F20"/>
          <w:spacing w:val="9"/>
        </w:rPr>
        <w:t> </w:t>
      </w:r>
      <w:r>
        <w:rPr>
          <w:color w:val="231F20"/>
        </w:rPr>
        <w:t>can</w:t>
      </w:r>
      <w:r>
        <w:rPr>
          <w:color w:val="231F20"/>
          <w:spacing w:val="9"/>
        </w:rPr>
        <w:t> </w:t>
      </w:r>
      <w:r>
        <w:rPr>
          <w:color w:val="231F20"/>
        </w:rPr>
        <w:t>rename</w:t>
      </w:r>
      <w:r>
        <w:rPr>
          <w:color w:val="231F20"/>
          <w:spacing w:val="9"/>
        </w:rPr>
        <w:t> </w:t>
      </w:r>
      <w:r>
        <w:rPr>
          <w:color w:val="231F20"/>
        </w:rPr>
        <w:t>a</w:t>
      </w:r>
      <w:r>
        <w:rPr>
          <w:color w:val="231F20"/>
          <w:spacing w:val="9"/>
        </w:rPr>
        <w:t> </w:t>
      </w:r>
      <w:r>
        <w:rPr>
          <w:color w:val="231F20"/>
        </w:rPr>
        <w:t>workspace</w:t>
      </w:r>
      <w:r>
        <w:rPr>
          <w:color w:val="231F20"/>
          <w:spacing w:val="9"/>
        </w:rPr>
        <w:t> </w:t>
      </w:r>
      <w:r>
        <w:rPr>
          <w:color w:val="231F20"/>
        </w:rPr>
        <w:t>to</w:t>
      </w:r>
      <w:r>
        <w:rPr>
          <w:color w:val="231F20"/>
          <w:spacing w:val="10"/>
        </w:rPr>
        <w:t> </w:t>
      </w:r>
      <w:r>
        <w:rPr>
          <w:color w:val="231F20"/>
        </w:rPr>
        <w:t>better</w:t>
      </w:r>
      <w:r>
        <w:rPr>
          <w:color w:val="231F20"/>
          <w:spacing w:val="9"/>
        </w:rPr>
        <w:t> </w:t>
      </w:r>
      <w:r>
        <w:rPr>
          <w:color w:val="231F20"/>
        </w:rPr>
        <w:t>suit</w:t>
      </w:r>
      <w:r>
        <w:rPr>
          <w:color w:val="231F20"/>
          <w:spacing w:val="9"/>
        </w:rPr>
        <w:t> </w:t>
      </w:r>
      <w:r>
        <w:rPr>
          <w:color w:val="231F20"/>
        </w:rPr>
        <w:t>your</w:t>
      </w:r>
      <w:r>
        <w:rPr>
          <w:color w:val="231F20"/>
          <w:spacing w:val="9"/>
        </w:rPr>
        <w:t> </w:t>
      </w:r>
      <w:r>
        <w:rPr>
          <w:color w:val="231F20"/>
          <w:spacing w:val="-2"/>
        </w:rPr>
        <w:t>environment.</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Use</w:t>
      </w:r>
      <w:r>
        <w:rPr>
          <w:color w:val="231F20"/>
          <w:spacing w:val="11"/>
        </w:rPr>
        <w:t> </w:t>
      </w:r>
      <w:r>
        <w:rPr>
          <w:color w:val="231F20"/>
        </w:rPr>
        <w:t>the</w:t>
      </w:r>
      <w:r>
        <w:rPr>
          <w:color w:val="231F20"/>
          <w:spacing w:val="11"/>
        </w:rPr>
        <w:t> </w:t>
      </w:r>
      <w:r>
        <w:rPr>
          <w:color w:val="231F20"/>
        </w:rPr>
        <w:t>following</w:t>
      </w:r>
      <w:r>
        <w:rPr>
          <w:color w:val="231F20"/>
          <w:spacing w:val="12"/>
        </w:rPr>
        <w:t> </w:t>
      </w:r>
      <w:r>
        <w:rPr>
          <w:color w:val="231F20"/>
        </w:rPr>
        <w:t>steps</w:t>
      </w:r>
      <w:r>
        <w:rPr>
          <w:color w:val="231F20"/>
          <w:spacing w:val="11"/>
        </w:rPr>
        <w:t> </w:t>
      </w:r>
      <w:r>
        <w:rPr>
          <w:color w:val="231F20"/>
        </w:rPr>
        <w:t>to</w:t>
      </w:r>
      <w:r>
        <w:rPr>
          <w:color w:val="231F20"/>
          <w:spacing w:val="11"/>
        </w:rPr>
        <w:t> </w:t>
      </w:r>
      <w:r>
        <w:rPr>
          <w:color w:val="231F20"/>
        </w:rPr>
        <w:t>rename</w:t>
      </w:r>
      <w:r>
        <w:rPr>
          <w:color w:val="231F20"/>
          <w:spacing w:val="12"/>
        </w:rPr>
        <w:t> </w:t>
      </w:r>
      <w:r>
        <w:rPr>
          <w:color w:val="231F20"/>
        </w:rPr>
        <w:t>a</w:t>
      </w:r>
      <w:r>
        <w:rPr>
          <w:color w:val="231F20"/>
          <w:spacing w:val="11"/>
        </w:rPr>
        <w:t> </w:t>
      </w:r>
      <w:r>
        <w:rPr>
          <w:color w:val="231F20"/>
          <w:spacing w:val="-2"/>
        </w:rPr>
        <w:t>workspace:</w:t>
      </w:r>
    </w:p>
    <w:p>
      <w:pPr>
        <w:pStyle w:val="Heading4"/>
        <w:spacing w:before="194"/>
        <w:ind w:left="2472"/>
      </w:pPr>
      <w:r>
        <w:rPr>
          <w:color w:val="231F20"/>
          <w:spacing w:val="-2"/>
        </w:rPr>
        <w:t>Procedure</w:t>
      </w:r>
    </w:p>
    <w:p>
      <w:pPr>
        <w:pStyle w:val="ListParagraph"/>
        <w:numPr>
          <w:ilvl w:val="0"/>
          <w:numId w:val="39"/>
        </w:numPr>
        <w:tabs>
          <w:tab w:pos="2787" w:val="left" w:leader="none"/>
        </w:tabs>
        <w:spacing w:line="240" w:lineRule="auto" w:before="39" w:after="0"/>
        <w:ind w:left="2787" w:right="0" w:hanging="315"/>
        <w:jc w:val="left"/>
        <w:rPr>
          <w:sz w:val="20"/>
        </w:rPr>
      </w:pPr>
      <w:r>
        <w:rPr>
          <w:color w:val="231F20"/>
          <w:sz w:val="20"/>
        </w:rPr>
        <w:t>Open</w:t>
      </w:r>
      <w:r>
        <w:rPr>
          <w:color w:val="231F20"/>
          <w:spacing w:val="11"/>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whose</w:t>
      </w:r>
      <w:r>
        <w:rPr>
          <w:color w:val="231F20"/>
          <w:spacing w:val="12"/>
          <w:sz w:val="20"/>
        </w:rPr>
        <w:t> </w:t>
      </w:r>
      <w:r>
        <w:rPr>
          <w:color w:val="231F20"/>
          <w:sz w:val="20"/>
        </w:rPr>
        <w:t>name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pacing w:val="-2"/>
          <w:sz w:val="20"/>
        </w:rPr>
        <w:t>change.</w:t>
      </w:r>
    </w:p>
    <w:p>
      <w:pPr>
        <w:spacing w:after="0" w:line="240" w:lineRule="auto"/>
        <w:jc w:val="left"/>
        <w:rPr>
          <w:sz w:val="20"/>
        </w:rPr>
        <w:sectPr>
          <w:pgSz w:w="12240" w:h="15840"/>
          <w:pgMar w:header="0" w:footer="736" w:top="1220" w:bottom="920" w:left="1000" w:right="1060"/>
        </w:sectPr>
      </w:pPr>
    </w:p>
    <w:p>
      <w:pPr>
        <w:pStyle w:val="ListParagraph"/>
        <w:numPr>
          <w:ilvl w:val="0"/>
          <w:numId w:val="39"/>
        </w:numPr>
        <w:tabs>
          <w:tab w:pos="2548" w:val="left" w:leader="none"/>
        </w:tabs>
        <w:spacing w:line="213" w:lineRule="auto" w:before="85" w:after="0"/>
        <w:ind w:left="2548" w:right="725" w:hanging="316"/>
        <w:jc w:val="left"/>
        <w:rPr>
          <w:sz w:val="20"/>
        </w:rPr>
      </w:pPr>
      <w:bookmarkStart w:name="_bookmark58" w:id="129"/>
      <w:bookmarkEnd w:id="129"/>
      <w:r>
        <w:rPr/>
      </w:r>
      <w:r>
        <w:rPr>
          <w:color w:val="231F20"/>
          <w:sz w:val="20"/>
        </w:rPr>
        <w:t>Click </w:t>
      </w:r>
      <w:r>
        <w:rPr>
          <w:color w:val="231F20"/>
          <w:spacing w:val="16"/>
          <w:position w:val="-1"/>
          <w:sz w:val="20"/>
        </w:rPr>
        <w:drawing>
          <wp:inline distT="0" distB="0" distL="0" distR="0">
            <wp:extent cx="101600" cy="95250"/>
            <wp:effectExtent l="0" t="0" r="0" b="0"/>
            <wp:docPr id="722" name="Image 722"/>
            <wp:cNvGraphicFramePr>
              <a:graphicFrameLocks/>
            </wp:cNvGraphicFramePr>
            <a:graphic>
              <a:graphicData uri="http://schemas.openxmlformats.org/drawingml/2006/picture">
                <pic:pic>
                  <pic:nvPicPr>
                    <pic:cNvPr id="722" name="Image 722"/>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Properties</w:t>
      </w:r>
      <w:r>
        <w:rPr>
          <w:color w:val="231F20"/>
          <w:sz w:val="20"/>
        </w:rPr>
        <w:t>. You can also open the Workspace properties from within the Properties editor by selecting the first item in the tree, which is the Navigator item to which the workspace belongs.</w:t>
      </w:r>
    </w:p>
    <w:p>
      <w:pPr>
        <w:pStyle w:val="ListParagraph"/>
        <w:numPr>
          <w:ilvl w:val="0"/>
          <w:numId w:val="39"/>
        </w:numPr>
        <w:tabs>
          <w:tab w:pos="2547" w:val="left" w:leader="none"/>
        </w:tabs>
        <w:spacing w:line="240" w:lineRule="auto" w:before="34" w:after="0"/>
        <w:ind w:left="2547" w:right="0" w:hanging="315"/>
        <w:jc w:val="left"/>
        <w:rPr>
          <w:sz w:val="20"/>
        </w:rPr>
      </w:pPr>
      <w:r>
        <w:rPr>
          <w:color w:val="231F20"/>
          <w:sz w:val="20"/>
        </w:rPr>
        <w:t>Edit</w:t>
      </w:r>
      <w:r>
        <w:rPr>
          <w:color w:val="231F20"/>
          <w:spacing w:val="12"/>
          <w:sz w:val="20"/>
        </w:rPr>
        <w:t> </w:t>
      </w:r>
      <w:r>
        <w:rPr>
          <w:color w:val="231F20"/>
          <w:sz w:val="20"/>
        </w:rPr>
        <w:t>the</w:t>
      </w:r>
      <w:r>
        <w:rPr>
          <w:color w:val="231F20"/>
          <w:spacing w:val="13"/>
          <w:sz w:val="20"/>
        </w:rPr>
        <w:t> </w:t>
      </w:r>
      <w:r>
        <w:rPr>
          <w:color w:val="231F20"/>
          <w:sz w:val="20"/>
        </w:rPr>
        <w:t>title</w:t>
      </w:r>
      <w:r>
        <w:rPr>
          <w:color w:val="231F20"/>
          <w:spacing w:val="13"/>
          <w:sz w:val="20"/>
        </w:rPr>
        <w:t> </w:t>
      </w:r>
      <w:r>
        <w:rPr>
          <w:color w:val="231F20"/>
          <w:sz w:val="20"/>
        </w:rPr>
        <w:t>in</w:t>
      </w:r>
      <w:r>
        <w:rPr>
          <w:color w:val="231F20"/>
          <w:spacing w:val="12"/>
          <w:sz w:val="20"/>
        </w:rPr>
        <w:t> </w:t>
      </w:r>
      <w:r>
        <w:rPr>
          <w:color w:val="231F20"/>
          <w:sz w:val="20"/>
        </w:rPr>
        <w:t>the</w:t>
      </w:r>
      <w:r>
        <w:rPr>
          <w:color w:val="231F20"/>
          <w:spacing w:val="13"/>
          <w:sz w:val="20"/>
        </w:rPr>
        <w:t> </w:t>
      </w:r>
      <w:r>
        <w:rPr>
          <w:rFonts w:ascii="Book Antiqua"/>
          <w:b/>
          <w:color w:val="231F20"/>
          <w:sz w:val="20"/>
        </w:rPr>
        <w:t>Name</w:t>
      </w:r>
      <w:r>
        <w:rPr>
          <w:rFonts w:ascii="Book Antiqua"/>
          <w:b/>
          <w:color w:val="231F20"/>
          <w:spacing w:val="13"/>
          <w:sz w:val="20"/>
        </w:rPr>
        <w:t> </w:t>
      </w:r>
      <w:r>
        <w:rPr>
          <w:color w:val="231F20"/>
          <w:sz w:val="20"/>
        </w:rPr>
        <w:t>text</w:t>
      </w:r>
      <w:r>
        <w:rPr>
          <w:color w:val="231F20"/>
          <w:spacing w:val="12"/>
          <w:sz w:val="20"/>
        </w:rPr>
        <w:t> </w:t>
      </w:r>
      <w:r>
        <w:rPr>
          <w:color w:val="231F20"/>
          <w:spacing w:val="-4"/>
          <w:sz w:val="20"/>
        </w:rPr>
        <w:t>box.</w:t>
      </w:r>
    </w:p>
    <w:p>
      <w:pPr>
        <w:pStyle w:val="BodyText"/>
        <w:rPr>
          <w:sz w:val="16"/>
        </w:rPr>
      </w:pPr>
      <w:r>
        <w:rPr/>
        <mc:AlternateContent>
          <mc:Choice Requires="wps">
            <w:drawing>
              <wp:anchor distT="0" distB="0" distL="0" distR="0" allowOverlap="1" layoutInCell="1" locked="0" behindDoc="1" simplePos="0" relativeHeight="487659008">
                <wp:simplePos x="0" y="0"/>
                <wp:positionH relativeFrom="page">
                  <wp:posOffset>760323</wp:posOffset>
                </wp:positionH>
                <wp:positionV relativeFrom="paragraph">
                  <wp:posOffset>152504</wp:posOffset>
                </wp:positionV>
                <wp:extent cx="6082665" cy="1270"/>
                <wp:effectExtent l="0" t="0" r="0" b="0"/>
                <wp:wrapTopAndBottom/>
                <wp:docPr id="723" name="Graphic 723"/>
                <wp:cNvGraphicFramePr>
                  <a:graphicFrameLocks/>
                </wp:cNvGraphicFramePr>
                <a:graphic>
                  <a:graphicData uri="http://schemas.microsoft.com/office/word/2010/wordprocessingShape">
                    <wps:wsp>
                      <wps:cNvPr id="723" name="Graphic 723"/>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008256pt;width:478.95pt;height:.1pt;mso-position-horizontal-relative:page;mso-position-vertical-relative:paragraph;z-index:-15657472;mso-wrap-distance-left:0;mso-wrap-distance-right:0" id="docshape114"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Deleting or restoring a workspace" w:id="130"/>
      <w:bookmarkEnd w:id="130"/>
      <w:r>
        <w:rPr>
          <w:b w:val="0"/>
        </w:rPr>
      </w:r>
      <w:r>
        <w:rPr>
          <w:color w:val="231F20"/>
        </w:rPr>
        <w:t>Deleting</w:t>
      </w:r>
      <w:r>
        <w:rPr>
          <w:color w:val="231F20"/>
          <w:spacing w:val="8"/>
        </w:rPr>
        <w:t> </w:t>
      </w:r>
      <w:r>
        <w:rPr>
          <w:color w:val="231F20"/>
        </w:rPr>
        <w:t>or</w:t>
      </w:r>
      <w:r>
        <w:rPr>
          <w:color w:val="231F20"/>
          <w:spacing w:val="8"/>
        </w:rPr>
        <w:t> </w:t>
      </w:r>
      <w:r>
        <w:rPr>
          <w:color w:val="231F20"/>
        </w:rPr>
        <w:t>restoring</w:t>
      </w:r>
      <w:r>
        <w:rPr>
          <w:color w:val="231F20"/>
          <w:spacing w:val="8"/>
        </w:rPr>
        <w:t> </w:t>
      </w:r>
      <w:r>
        <w:rPr>
          <w:color w:val="231F20"/>
        </w:rPr>
        <w:t>a</w:t>
      </w:r>
      <w:r>
        <w:rPr>
          <w:color w:val="231F20"/>
          <w:spacing w:val="8"/>
        </w:rPr>
        <w:t> </w:t>
      </w:r>
      <w:r>
        <w:rPr>
          <w:color w:val="231F20"/>
          <w:spacing w:val="-2"/>
        </w:rPr>
        <w:t>workspace</w:t>
      </w:r>
    </w:p>
    <w:p>
      <w:pPr>
        <w:pStyle w:val="BodyText"/>
        <w:spacing w:line="213" w:lineRule="auto" w:before="138"/>
        <w:ind w:left="2232" w:right="493"/>
      </w:pPr>
      <w:r>
        <w:rPr>
          <w:color w:val="231F20"/>
        </w:rPr>
        <w:t>You can delete a workspace of your creation and restore the original version of a predefined workspace or one created by the administrator.</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93" w:firstLine="20"/>
      </w:pPr>
      <w:r>
        <w:rPr>
          <w:position w:val="-1"/>
        </w:rPr>
        <w:drawing>
          <wp:inline distT="0" distB="0" distL="0" distR="0">
            <wp:extent cx="82550" cy="101600"/>
            <wp:effectExtent l="0" t="0" r="0" b="0"/>
            <wp:docPr id="724" name="Image 724"/>
            <wp:cNvGraphicFramePr>
              <a:graphicFrameLocks/>
            </wp:cNvGraphicFramePr>
            <a:graphic>
              <a:graphicData uri="http://schemas.openxmlformats.org/drawingml/2006/picture">
                <pic:pic>
                  <pic:nvPicPr>
                    <pic:cNvPr id="724" name="Image 724"/>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delete or restore a workspace, your user ID must have Workspace Author Mode permission.</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545"/>
      </w:pPr>
      <w:r>
        <w:rPr>
          <w:color w:val="231F20"/>
        </w:rPr>
        <w:t>Tivoli Enterprise Portal features enable you to create and edit your own workspaces. You can also edit predefined workspaces and those created by the system administrator (unless they are protected).</w:t>
      </w:r>
    </w:p>
    <w:p>
      <w:pPr>
        <w:pStyle w:val="Heading3"/>
        <w:spacing w:before="216"/>
        <w:ind w:left="0" w:right="4620"/>
        <w:jc w:val="center"/>
      </w:pPr>
      <w:bookmarkStart w:name="Deleting a workspace" w:id="131"/>
      <w:bookmarkEnd w:id="131"/>
      <w:r>
        <w:rPr>
          <w:b w:val="0"/>
        </w:rPr>
      </w:r>
      <w:r>
        <w:rPr>
          <w:color w:val="231F20"/>
        </w:rPr>
        <w:t>Deleting</w:t>
      </w:r>
      <w:r>
        <w:rPr>
          <w:color w:val="231F20"/>
          <w:spacing w:val="8"/>
        </w:rPr>
        <w:t> </w:t>
      </w:r>
      <w:r>
        <w:rPr>
          <w:color w:val="231F20"/>
        </w:rPr>
        <w:t>a</w:t>
      </w:r>
      <w:r>
        <w:rPr>
          <w:color w:val="231F20"/>
          <w:spacing w:val="9"/>
        </w:rPr>
        <w:t> </w:t>
      </w:r>
      <w:r>
        <w:rPr>
          <w:color w:val="231F20"/>
          <w:spacing w:val="-2"/>
        </w:rPr>
        <w:t>workspace</w:t>
      </w:r>
    </w:p>
    <w:p>
      <w:pPr>
        <w:pStyle w:val="Heading4"/>
        <w:spacing w:before="20"/>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Use</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steps</w:t>
      </w:r>
      <w:r>
        <w:rPr>
          <w:color w:val="231F20"/>
          <w:spacing w:val="12"/>
        </w:rPr>
        <w:t> </w:t>
      </w:r>
      <w:r>
        <w:rPr>
          <w:color w:val="231F20"/>
        </w:rPr>
        <w:t>to</w:t>
      </w:r>
      <w:r>
        <w:rPr>
          <w:color w:val="231F20"/>
          <w:spacing w:val="12"/>
        </w:rPr>
        <w:t> </w:t>
      </w:r>
      <w:r>
        <w:rPr>
          <w:color w:val="231F20"/>
        </w:rPr>
        <w:t>delete</w:t>
      </w:r>
      <w:r>
        <w:rPr>
          <w:color w:val="231F20"/>
          <w:spacing w:val="12"/>
        </w:rPr>
        <w:t> </w:t>
      </w:r>
      <w:r>
        <w:rPr>
          <w:color w:val="231F20"/>
        </w:rPr>
        <w:t>a</w:t>
      </w:r>
      <w:r>
        <w:rPr>
          <w:color w:val="231F20"/>
          <w:spacing w:val="12"/>
        </w:rPr>
        <w:t> </w:t>
      </w:r>
      <w:r>
        <w:rPr>
          <w:color w:val="231F20"/>
          <w:spacing w:val="-2"/>
        </w:rPr>
        <w:t>workspace:</w:t>
      </w:r>
    </w:p>
    <w:p>
      <w:pPr>
        <w:pStyle w:val="Heading4"/>
        <w:spacing w:before="194"/>
        <w:ind w:left="0" w:right="4527"/>
        <w:jc w:val="center"/>
      </w:pPr>
      <w:r>
        <w:rPr>
          <w:color w:val="231F20"/>
          <w:spacing w:val="-2"/>
        </w:rPr>
        <w:t>Procedure</w:t>
      </w:r>
    </w:p>
    <w:p>
      <w:pPr>
        <w:pStyle w:val="ListParagraph"/>
        <w:numPr>
          <w:ilvl w:val="0"/>
          <w:numId w:val="40"/>
        </w:numPr>
        <w:tabs>
          <w:tab w:pos="2548" w:val="left" w:leader="none"/>
        </w:tabs>
        <w:spacing w:line="213" w:lineRule="auto" w:before="62" w:after="0"/>
        <w:ind w:left="2548" w:right="1115" w:hanging="316"/>
        <w:jc w:val="left"/>
        <w:rPr>
          <w:sz w:val="20"/>
        </w:rPr>
      </w:pPr>
      <w:r>
        <w:rPr>
          <w:color w:val="231F20"/>
          <w:sz w:val="20"/>
        </w:rPr>
        <w:t>Open the workspace you want to delete. You cannot delete predefined workspaces. As well, you cannot delete workspaces that were created </w:t>
      </w:r>
      <w:r>
        <w:rPr>
          <w:color w:val="231F20"/>
          <w:sz w:val="20"/>
        </w:rPr>
        <w:t>in workspace administration mode unless you are currently in workspace administration mode.</w:t>
      </w:r>
    </w:p>
    <w:p>
      <w:pPr>
        <w:pStyle w:val="ListParagraph"/>
        <w:numPr>
          <w:ilvl w:val="0"/>
          <w:numId w:val="40"/>
        </w:numPr>
        <w:tabs>
          <w:tab w:pos="2548" w:val="left" w:leader="none"/>
        </w:tabs>
        <w:spacing w:line="213" w:lineRule="auto" w:before="57" w:after="0"/>
        <w:ind w:left="2548" w:right="790" w:hanging="316"/>
        <w:jc w:val="left"/>
        <w:rPr>
          <w:sz w:val="20"/>
        </w:rPr>
      </w:pPr>
      <w:r>
        <w:rPr>
          <w:color w:val="231F20"/>
          <w:sz w:val="20"/>
        </w:rPr>
        <w:t>Click </w:t>
      </w:r>
      <w:r>
        <w:rPr>
          <w:rFonts w:ascii="Book Antiqua"/>
          <w:b/>
          <w:color w:val="231F20"/>
          <w:sz w:val="20"/>
        </w:rPr>
        <w:t>File &gt; Delete Workspace</w:t>
      </w:r>
      <w:r>
        <w:rPr>
          <w:color w:val="231F20"/>
          <w:sz w:val="20"/>
        </w:rPr>
        <w:t>. This item is disabled if the workspace is predefined, was created in administration mode and your user ID is not currently in workspace administration mode, or if the workspace </w:t>
      </w:r>
      <w:r>
        <w:rPr>
          <w:color w:val="231F20"/>
          <w:sz w:val="20"/>
        </w:rPr>
        <w:t>properties item Do Not Allow Modifications is selected.</w:t>
      </w:r>
    </w:p>
    <w:p>
      <w:pPr>
        <w:pStyle w:val="BodyText"/>
        <w:spacing w:line="213" w:lineRule="auto" w:before="237"/>
        <w:ind w:left="2548"/>
      </w:pPr>
      <w:r>
        <w:rPr>
          <w:rFonts w:ascii="Book Antiqua"/>
          <w:b/>
          <w:color w:val="231F20"/>
        </w:rPr>
        <w:t>Note:</w:t>
      </w:r>
      <w:r>
        <w:rPr>
          <w:rFonts w:ascii="Book Antiqua"/>
          <w:b/>
          <w:color w:val="231F20"/>
          <w:spacing w:val="40"/>
        </w:rPr>
        <w:t> </w:t>
      </w:r>
      <w:r>
        <w:rPr>
          <w:color w:val="231F20"/>
        </w:rPr>
        <w:t>When you delete a workspace, all link definitions that reference it will be deleted also.</w:t>
      </w:r>
    </w:p>
    <w:p>
      <w:pPr>
        <w:pStyle w:val="ListParagraph"/>
        <w:numPr>
          <w:ilvl w:val="0"/>
          <w:numId w:val="40"/>
        </w:numPr>
        <w:tabs>
          <w:tab w:pos="2548" w:val="left" w:leader="none"/>
        </w:tabs>
        <w:spacing w:line="213" w:lineRule="auto" w:before="58" w:after="0"/>
        <w:ind w:left="2548" w:right="864" w:hanging="316"/>
        <w:jc w:val="left"/>
        <w:rPr>
          <w:sz w:val="20"/>
        </w:rPr>
      </w:pPr>
      <w:r>
        <w:rPr>
          <w:color w:val="231F20"/>
          <w:sz w:val="20"/>
        </w:rPr>
        <w:t>When a confirmation message is displayed, click </w:t>
      </w:r>
      <w:r>
        <w:rPr>
          <w:rFonts w:ascii="Book Antiqua"/>
          <w:b/>
          <w:color w:val="231F20"/>
          <w:sz w:val="20"/>
        </w:rPr>
        <w:t>Yes </w:t>
      </w:r>
      <w:r>
        <w:rPr>
          <w:color w:val="231F20"/>
          <w:sz w:val="20"/>
        </w:rPr>
        <w:t>to delete the current workspace or </w:t>
      </w:r>
      <w:r>
        <w:rPr>
          <w:rFonts w:ascii="Book Antiqua"/>
          <w:b/>
          <w:color w:val="231F20"/>
          <w:sz w:val="20"/>
        </w:rPr>
        <w:t>No </w:t>
      </w:r>
      <w:r>
        <w:rPr>
          <w:color w:val="231F20"/>
          <w:sz w:val="20"/>
        </w:rPr>
        <w:t>if you change your mind. The default workspace for </w:t>
      </w:r>
      <w:r>
        <w:rPr>
          <w:color w:val="231F20"/>
          <w:sz w:val="20"/>
        </w:rPr>
        <w:t>that </w:t>
      </w:r>
      <w:bookmarkStart w:name="Restoring the original workspace" w:id="132"/>
      <w:bookmarkEnd w:id="132"/>
      <w:r>
        <w:rPr>
          <w:color w:val="231F20"/>
          <w:sz w:val="20"/>
        </w:rPr>
        <w:t>Navigator</w:t>
      </w:r>
      <w:r>
        <w:rPr>
          <w:color w:val="231F20"/>
          <w:sz w:val="20"/>
        </w:rPr>
        <w:t> item displays.</w:t>
      </w:r>
    </w:p>
    <w:p>
      <w:pPr>
        <w:pStyle w:val="Heading3"/>
        <w:spacing w:before="217"/>
        <w:ind w:left="1334"/>
      </w:pPr>
      <w:r>
        <w:rPr>
          <w:color w:val="231F20"/>
        </w:rPr>
        <w:t>Restoring</w:t>
      </w:r>
      <w:r>
        <w:rPr>
          <w:color w:val="231F20"/>
          <w:spacing w:val="5"/>
        </w:rPr>
        <w:t> </w:t>
      </w:r>
      <w:r>
        <w:rPr>
          <w:color w:val="231F20"/>
        </w:rPr>
        <w:t>the</w:t>
      </w:r>
      <w:r>
        <w:rPr>
          <w:color w:val="231F20"/>
          <w:spacing w:val="6"/>
        </w:rPr>
        <w:t> </w:t>
      </w:r>
      <w:r>
        <w:rPr>
          <w:color w:val="231F20"/>
        </w:rPr>
        <w:t>original</w:t>
      </w:r>
      <w:r>
        <w:rPr>
          <w:color w:val="231F20"/>
          <w:spacing w:val="6"/>
        </w:rPr>
        <w:t> </w:t>
      </w:r>
      <w:r>
        <w:rPr>
          <w:color w:val="231F20"/>
          <w:spacing w:val="-2"/>
        </w:rPr>
        <w:t>workspace</w:t>
      </w:r>
    </w:p>
    <w:p>
      <w:pPr>
        <w:pStyle w:val="Heading4"/>
        <w:spacing w:before="20"/>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If you have edited a predefined workspace or one created in administration </w:t>
      </w:r>
      <w:r>
        <w:rPr>
          <w:color w:val="231F20"/>
        </w:rPr>
        <w:t>mode, you can always restore the original version. To restore the original workspace, complete the following procedure:</w:t>
      </w:r>
    </w:p>
    <w:p>
      <w:pPr>
        <w:pStyle w:val="Heading4"/>
        <w:spacing w:before="199"/>
        <w:ind w:left="0" w:right="4527"/>
        <w:jc w:val="center"/>
      </w:pPr>
      <w:r>
        <w:rPr>
          <w:color w:val="231F20"/>
          <w:spacing w:val="-2"/>
        </w:rPr>
        <w:t>Procedure</w:t>
      </w:r>
    </w:p>
    <w:p>
      <w:pPr>
        <w:pStyle w:val="ListParagraph"/>
        <w:numPr>
          <w:ilvl w:val="0"/>
          <w:numId w:val="41"/>
        </w:numPr>
        <w:tabs>
          <w:tab w:pos="2548" w:val="left" w:leader="none"/>
        </w:tabs>
        <w:spacing w:line="213" w:lineRule="auto" w:before="62" w:after="0"/>
        <w:ind w:left="2548" w:right="585" w:hanging="316"/>
        <w:jc w:val="both"/>
        <w:rPr>
          <w:sz w:val="20"/>
        </w:rPr>
      </w:pPr>
      <w:r>
        <w:rPr>
          <w:color w:val="231F20"/>
          <w:sz w:val="20"/>
        </w:rPr>
        <w:t>Open the predefined or administration-mode-created workspace you want to restore. If you want to retain the original and edited versions as two separate workspaces, select Save As from the File menu and give the workspace a </w:t>
      </w:r>
      <w:r>
        <w:rPr>
          <w:color w:val="231F20"/>
          <w:sz w:val="20"/>
        </w:rPr>
        <w:t>new name, then repeat this step.</w:t>
      </w:r>
    </w:p>
    <w:p>
      <w:pPr>
        <w:spacing w:after="0" w:line="213" w:lineRule="auto"/>
        <w:jc w:val="both"/>
        <w:rPr>
          <w:sz w:val="20"/>
        </w:rPr>
        <w:sectPr>
          <w:pgSz w:w="12240" w:h="15840"/>
          <w:pgMar w:header="0" w:footer="736" w:top="1180" w:bottom="920" w:left="1000" w:right="1060"/>
        </w:sectPr>
      </w:pPr>
    </w:p>
    <w:p>
      <w:pPr>
        <w:pStyle w:val="ListParagraph"/>
        <w:numPr>
          <w:ilvl w:val="0"/>
          <w:numId w:val="41"/>
        </w:numPr>
        <w:tabs>
          <w:tab w:pos="2788" w:val="left" w:leader="none"/>
        </w:tabs>
        <w:spacing w:line="213" w:lineRule="auto" w:before="85" w:after="0"/>
        <w:ind w:left="2788" w:right="179" w:hanging="316"/>
        <w:jc w:val="left"/>
        <w:rPr>
          <w:sz w:val="20"/>
        </w:rPr>
      </w:pPr>
      <w:bookmarkStart w:name="_bookmark59" w:id="133"/>
      <w:bookmarkEnd w:id="133"/>
      <w:r>
        <w:rPr/>
      </w:r>
      <w:r>
        <w:rPr>
          <w:color w:val="231F20"/>
          <w:sz w:val="20"/>
        </w:rPr>
        <w:t>Click </w:t>
      </w:r>
      <w:r>
        <w:rPr>
          <w:rFonts w:ascii="Book Antiqua"/>
          <w:b/>
          <w:color w:val="231F20"/>
          <w:sz w:val="20"/>
        </w:rPr>
        <w:t>File &gt; Restore Original Workspace</w:t>
      </w:r>
      <w:r>
        <w:rPr>
          <w:color w:val="231F20"/>
          <w:sz w:val="20"/>
        </w:rPr>
        <w:t>. This item is disabled if the original predefined or administrator-created workspace is already displaying or if this </w:t>
      </w:r>
      <w:r>
        <w:rPr>
          <w:color w:val="231F20"/>
          <w:sz w:val="20"/>
        </w:rPr>
        <w:t>is</w:t>
      </w:r>
      <w:r>
        <w:rPr>
          <w:color w:val="231F20"/>
          <w:spacing w:val="40"/>
          <w:sz w:val="20"/>
        </w:rPr>
        <w:t> </w:t>
      </w:r>
      <w:r>
        <w:rPr>
          <w:color w:val="231F20"/>
          <w:sz w:val="20"/>
        </w:rPr>
        <w:t>a workspace created with your user ID.</w:t>
      </w:r>
    </w:p>
    <w:p>
      <w:pPr>
        <w:pStyle w:val="ListParagraph"/>
        <w:numPr>
          <w:ilvl w:val="0"/>
          <w:numId w:val="41"/>
        </w:numPr>
        <w:tabs>
          <w:tab w:pos="2788" w:val="left" w:leader="none"/>
        </w:tabs>
        <w:spacing w:line="213" w:lineRule="auto" w:before="57" w:after="0"/>
        <w:ind w:left="2788" w:right="628" w:hanging="316"/>
        <w:jc w:val="left"/>
        <w:rPr>
          <w:sz w:val="20"/>
        </w:rPr>
      </w:pPr>
      <w:r>
        <w:rPr>
          <w:color w:val="231F20"/>
          <w:sz w:val="20"/>
        </w:rPr>
        <w:t>When a confirmation message is displayed, click </w:t>
      </w:r>
      <w:r>
        <w:rPr>
          <w:rFonts w:ascii="Book Antiqua"/>
          <w:b/>
          <w:color w:val="231F20"/>
          <w:sz w:val="20"/>
        </w:rPr>
        <w:t>Yes </w:t>
      </w:r>
      <w:r>
        <w:rPr>
          <w:color w:val="231F20"/>
          <w:sz w:val="20"/>
        </w:rPr>
        <w:t>to restore the </w:t>
      </w:r>
      <w:r>
        <w:rPr>
          <w:color w:val="231F20"/>
          <w:sz w:val="20"/>
        </w:rPr>
        <w:t>original workspace or </w:t>
      </w:r>
      <w:r>
        <w:rPr>
          <w:rFonts w:ascii="Book Antiqua"/>
          <w:b/>
          <w:color w:val="231F20"/>
          <w:sz w:val="20"/>
        </w:rPr>
        <w:t>No </w:t>
      </w:r>
      <w:r>
        <w:rPr>
          <w:color w:val="231F20"/>
          <w:sz w:val="20"/>
        </w:rPr>
        <w:t>if you change your mind. The workspace reverts to its original state.</w:t>
      </w:r>
    </w:p>
    <w:p>
      <w:pPr>
        <w:pStyle w:val="BodyText"/>
        <w:spacing w:before="5"/>
        <w:rPr>
          <w:sz w:val="16"/>
        </w:rPr>
      </w:pPr>
      <w:r>
        <w:rPr/>
        <mc:AlternateContent>
          <mc:Choice Requires="wps">
            <w:drawing>
              <wp:anchor distT="0" distB="0" distL="0" distR="0" allowOverlap="1" layoutInCell="1" locked="0" behindDoc="1" simplePos="0" relativeHeight="487659520">
                <wp:simplePos x="0" y="0"/>
                <wp:positionH relativeFrom="page">
                  <wp:posOffset>912380</wp:posOffset>
                </wp:positionH>
                <wp:positionV relativeFrom="paragraph">
                  <wp:posOffset>155891</wp:posOffset>
                </wp:positionV>
                <wp:extent cx="6082665" cy="1270"/>
                <wp:effectExtent l="0" t="0" r="0" b="0"/>
                <wp:wrapTopAndBottom/>
                <wp:docPr id="725" name="Graphic 725"/>
                <wp:cNvGraphicFramePr>
                  <a:graphicFrameLocks/>
                </wp:cNvGraphicFramePr>
                <a:graphic>
                  <a:graphicData uri="http://schemas.microsoft.com/office/word/2010/wordprocessingShape">
                    <wps:wsp>
                      <wps:cNvPr id="725" name="Graphic 725"/>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74934pt;width:478.95pt;height:.1pt;mso-position-horizontal-relative:page;mso-position-vertical-relative:paragraph;z-index:-15656960;mso-wrap-distance-left:0;mso-wrap-distance-right:0" id="docshape115"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Defining links between workspaces" w:id="134"/>
      <w:bookmarkEnd w:id="134"/>
      <w:r>
        <w:rPr>
          <w:b w:val="0"/>
        </w:rPr>
      </w:r>
      <w:r>
        <w:rPr>
          <w:color w:val="231F20"/>
        </w:rPr>
        <w:t>Defining</w:t>
      </w:r>
      <w:r>
        <w:rPr>
          <w:color w:val="231F20"/>
          <w:spacing w:val="5"/>
        </w:rPr>
        <w:t> </w:t>
      </w:r>
      <w:r>
        <w:rPr>
          <w:color w:val="231F20"/>
        </w:rPr>
        <w:t>links</w:t>
      </w:r>
      <w:r>
        <w:rPr>
          <w:color w:val="231F20"/>
          <w:spacing w:val="5"/>
        </w:rPr>
        <w:t> </w:t>
      </w:r>
      <w:r>
        <w:rPr>
          <w:color w:val="231F20"/>
        </w:rPr>
        <w:t>between</w:t>
      </w:r>
      <w:r>
        <w:rPr>
          <w:color w:val="231F20"/>
          <w:spacing w:val="6"/>
        </w:rPr>
        <w:t> </w:t>
      </w:r>
      <w:r>
        <w:rPr>
          <w:color w:val="231F20"/>
          <w:spacing w:val="-2"/>
        </w:rPr>
        <w:t>workspaces</w:t>
      </w:r>
    </w:p>
    <w:p>
      <w:pPr>
        <w:pStyle w:val="BodyText"/>
        <w:spacing w:line="213" w:lineRule="auto" w:before="138"/>
        <w:ind w:left="2472"/>
      </w:pPr>
      <w:r>
        <w:rPr>
          <w:color w:val="231F20"/>
        </w:rPr>
        <w:t>The Tivoli Enterprise Portal enables you to define a link from one workspace </w:t>
      </w:r>
      <w:r>
        <w:rPr>
          <w:color w:val="231F20"/>
        </w:rPr>
        <w:t>to another. Then you can quickly jump to a related workspace or a sequence of workspaces that you like to frequently review.</w:t>
      </w:r>
    </w:p>
    <w:p>
      <w:pPr>
        <w:pStyle w:val="BodyText"/>
        <w:spacing w:line="213" w:lineRule="auto" w:before="238"/>
        <w:ind w:left="2472" w:right="385"/>
      </w:pPr>
      <w:r>
        <w:rPr>
          <w:color w:val="231F20"/>
        </w:rPr>
        <w:t>You can define a link from a Navigator item, or from a table, chart, graphic view within a workspace. A link from a workspace or graphic view provides a </w:t>
      </w:r>
      <w:r>
        <w:rPr>
          <w:color w:val="231F20"/>
        </w:rPr>
        <w:t>shortcut from one workspace to another, as does a link from a table row (or chart data series). Links from a table row are different in that they can use data from one or</w:t>
      </w:r>
      <w:r>
        <w:rPr>
          <w:color w:val="231F20"/>
          <w:spacing w:val="40"/>
        </w:rPr>
        <w:t> </w:t>
      </w:r>
      <w:r>
        <w:rPr>
          <w:color w:val="231F20"/>
        </w:rPr>
        <w:t>more values in the row to locate and filter the target workspace.</w:t>
      </w:r>
    </w:p>
    <w:p>
      <w:pPr>
        <w:pStyle w:val="BodyText"/>
        <w:spacing w:line="213" w:lineRule="auto" w:before="236"/>
        <w:ind w:left="2472"/>
      </w:pPr>
      <w:r>
        <w:rPr>
          <w:color w:val="231F20"/>
        </w:rPr>
        <w:t>Your user ID requires Workspace Author Mode permission to create and </w:t>
      </w:r>
      <w:r>
        <w:rPr>
          <w:color w:val="231F20"/>
        </w:rPr>
        <w:t>maintain workspaces, including links. If the view tools are disabled, you do not have this </w:t>
      </w:r>
      <w:r>
        <w:rPr>
          <w:color w:val="231F20"/>
          <w:spacing w:val="-2"/>
        </w:rPr>
        <w:t>permission.</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472"/>
      </w:pPr>
      <w:hyperlink w:history="true" w:anchor="_bookmark30">
        <w:r>
          <w:rPr>
            <w:color w:val="231F20"/>
          </w:rPr>
          <w:t>“Linking</w:t>
        </w:r>
        <w:r>
          <w:rPr>
            <w:color w:val="231F20"/>
            <w:spacing w:val="11"/>
          </w:rPr>
          <w:t> </w:t>
        </w:r>
        <w:r>
          <w:rPr>
            <w:color w:val="231F20"/>
          </w:rPr>
          <w:t>to</w:t>
        </w:r>
        <w:r>
          <w:rPr>
            <w:color w:val="231F20"/>
            <w:spacing w:val="11"/>
          </w:rPr>
          <w:t> </w:t>
        </w:r>
        <w:r>
          <w:rPr>
            <w:color w:val="231F20"/>
          </w:rPr>
          <w:t>a</w:t>
        </w:r>
        <w:r>
          <w:rPr>
            <w:color w:val="231F20"/>
            <w:spacing w:val="12"/>
          </w:rPr>
          <w:t> </w:t>
        </w:r>
        <w:r>
          <w:rPr>
            <w:color w:val="231F20"/>
          </w:rPr>
          <w:t>workspace”</w:t>
        </w:r>
        <w:r>
          <w:rPr>
            <w:color w:val="231F20"/>
            <w:spacing w:val="11"/>
          </w:rPr>
          <w:t> </w:t>
        </w:r>
        <w:r>
          <w:rPr>
            <w:color w:val="231F20"/>
          </w:rPr>
          <w:t>on</w:t>
        </w:r>
        <w:r>
          <w:rPr>
            <w:color w:val="231F20"/>
            <w:spacing w:val="11"/>
          </w:rPr>
          <w:t> </w:t>
        </w:r>
        <w:r>
          <w:rPr>
            <w:color w:val="231F20"/>
          </w:rPr>
          <w:t>page</w:t>
        </w:r>
        <w:r>
          <w:rPr>
            <w:color w:val="231F20"/>
            <w:spacing w:val="12"/>
          </w:rPr>
          <w:t> </w:t>
        </w:r>
        <w:r>
          <w:rPr>
            <w:color w:val="231F20"/>
            <w:spacing w:val="-5"/>
          </w:rPr>
          <w:t>40</w:t>
        </w:r>
      </w:hyperlink>
    </w:p>
    <w:p>
      <w:pPr>
        <w:pStyle w:val="BodyText"/>
        <w:spacing w:line="213" w:lineRule="auto" w:before="8"/>
        <w:ind w:left="2472"/>
      </w:pPr>
      <w:r>
        <w:rPr>
          <w:color w:val="231F20"/>
        </w:rPr>
        <w:t>Use these steps to link to a workspace that has been targeted from the current Navigator item or view.</w:t>
      </w:r>
    </w:p>
    <w:p>
      <w:pPr>
        <w:pStyle w:val="Heading3"/>
        <w:spacing w:before="217"/>
        <w:ind w:left="1574"/>
      </w:pPr>
      <w:bookmarkStart w:name="Creating a new link" w:id="135"/>
      <w:bookmarkEnd w:id="135"/>
      <w:r>
        <w:rPr>
          <w:b w:val="0"/>
        </w:rPr>
      </w:r>
      <w:r>
        <w:rPr>
          <w:color w:val="231F20"/>
        </w:rPr>
        <w:t>Creating</w:t>
      </w:r>
      <w:r>
        <w:rPr>
          <w:color w:val="231F20"/>
          <w:spacing w:val="8"/>
        </w:rPr>
        <w:t> </w:t>
      </w:r>
      <w:r>
        <w:rPr>
          <w:color w:val="231F20"/>
        </w:rPr>
        <w:t>a</w:t>
      </w:r>
      <w:r>
        <w:rPr>
          <w:color w:val="231F20"/>
          <w:spacing w:val="9"/>
        </w:rPr>
        <w:t> </w:t>
      </w:r>
      <w:r>
        <w:rPr>
          <w:color w:val="231F20"/>
        </w:rPr>
        <w:t>new</w:t>
      </w:r>
      <w:r>
        <w:rPr>
          <w:color w:val="231F20"/>
          <w:spacing w:val="9"/>
        </w:rPr>
        <w:t> </w:t>
      </w:r>
      <w:r>
        <w:rPr>
          <w:color w:val="231F20"/>
          <w:spacing w:val="-4"/>
        </w:rPr>
        <w:t>link</w:t>
      </w:r>
    </w:p>
    <w:p>
      <w:pPr>
        <w:pStyle w:val="BodyText"/>
        <w:spacing w:line="255" w:lineRule="exact" w:before="35"/>
        <w:ind w:left="2472"/>
      </w:pPr>
      <w:r>
        <w:rPr>
          <w:color w:val="231F20"/>
        </w:rPr>
        <w:t>Use</w:t>
      </w:r>
      <w:r>
        <w:rPr>
          <w:color w:val="231F20"/>
          <w:spacing w:val="9"/>
        </w:rPr>
        <w:t> </w:t>
      </w:r>
      <w:r>
        <w:rPr>
          <w:color w:val="231F20"/>
        </w:rPr>
        <w:t>the</w:t>
      </w:r>
      <w:r>
        <w:rPr>
          <w:color w:val="231F20"/>
          <w:spacing w:val="10"/>
        </w:rPr>
        <w:t> </w:t>
      </w:r>
      <w:r>
        <w:rPr>
          <w:color w:val="231F20"/>
        </w:rPr>
        <w:t>link</w:t>
      </w:r>
      <w:r>
        <w:rPr>
          <w:color w:val="231F20"/>
          <w:spacing w:val="10"/>
        </w:rPr>
        <w:t> </w:t>
      </w:r>
      <w:r>
        <w:rPr>
          <w:color w:val="231F20"/>
        </w:rPr>
        <w:t>wizard</w:t>
      </w:r>
      <w:r>
        <w:rPr>
          <w:color w:val="231F20"/>
          <w:spacing w:val="10"/>
        </w:rPr>
        <w:t> </w:t>
      </w:r>
      <w:r>
        <w:rPr>
          <w:color w:val="231F20"/>
        </w:rPr>
        <w:t>to</w:t>
      </w:r>
      <w:r>
        <w:rPr>
          <w:color w:val="231F20"/>
          <w:spacing w:val="10"/>
        </w:rPr>
        <w:t> </w:t>
      </w:r>
      <w:r>
        <w:rPr>
          <w:color w:val="231F20"/>
        </w:rPr>
        <w:t>define</w:t>
      </w:r>
      <w:r>
        <w:rPr>
          <w:color w:val="231F20"/>
          <w:spacing w:val="10"/>
        </w:rPr>
        <w:t> </w:t>
      </w:r>
      <w:r>
        <w:rPr>
          <w:color w:val="231F20"/>
        </w:rPr>
        <w:t>a</w:t>
      </w:r>
      <w:r>
        <w:rPr>
          <w:color w:val="231F20"/>
          <w:spacing w:val="10"/>
        </w:rPr>
        <w:t> </w:t>
      </w:r>
      <w:r>
        <w:rPr>
          <w:color w:val="231F20"/>
        </w:rPr>
        <w:t>link</w:t>
      </w:r>
      <w:r>
        <w:rPr>
          <w:color w:val="231F20"/>
          <w:spacing w:val="10"/>
        </w:rPr>
        <w:t> </w:t>
      </w:r>
      <w:r>
        <w:rPr>
          <w:color w:val="231F20"/>
        </w:rPr>
        <w:t>from</w:t>
      </w:r>
      <w:r>
        <w:rPr>
          <w:color w:val="231F20"/>
          <w:spacing w:val="10"/>
        </w:rPr>
        <w:t> </w:t>
      </w:r>
      <w:r>
        <w:rPr>
          <w:color w:val="231F20"/>
        </w:rPr>
        <w:t>a</w:t>
      </w:r>
      <w:r>
        <w:rPr>
          <w:color w:val="231F20"/>
          <w:spacing w:val="10"/>
        </w:rPr>
        <w:t> </w:t>
      </w:r>
      <w:r>
        <w:rPr>
          <w:color w:val="231F20"/>
        </w:rPr>
        <w:t>Navigator</w:t>
      </w:r>
      <w:r>
        <w:rPr>
          <w:color w:val="231F20"/>
          <w:spacing w:val="10"/>
        </w:rPr>
        <w:t> </w:t>
      </w:r>
      <w:r>
        <w:rPr>
          <w:color w:val="231F20"/>
        </w:rPr>
        <w:t>item,</w:t>
      </w:r>
      <w:r>
        <w:rPr>
          <w:color w:val="231F20"/>
          <w:spacing w:val="10"/>
        </w:rPr>
        <w:t> </w:t>
      </w:r>
      <w:r>
        <w:rPr>
          <w:color w:val="231F20"/>
        </w:rPr>
        <w:t>graphic</w:t>
      </w:r>
      <w:r>
        <w:rPr>
          <w:color w:val="231F20"/>
          <w:spacing w:val="10"/>
        </w:rPr>
        <w:t> </w:t>
      </w:r>
      <w:r>
        <w:rPr>
          <w:color w:val="231F20"/>
        </w:rPr>
        <w:t>view,</w:t>
      </w:r>
      <w:r>
        <w:rPr>
          <w:color w:val="231F20"/>
          <w:spacing w:val="10"/>
        </w:rPr>
        <w:t> </w:t>
      </w:r>
      <w:r>
        <w:rPr>
          <w:color w:val="231F20"/>
          <w:spacing w:val="-5"/>
        </w:rPr>
        <w:t>or</w:t>
      </w:r>
    </w:p>
    <w:p>
      <w:pPr>
        <w:pStyle w:val="BodyText"/>
        <w:spacing w:line="255" w:lineRule="exact"/>
        <w:ind w:left="2472"/>
      </w:pPr>
      <w:r>
        <w:rPr>
          <w:color w:val="231F20"/>
        </w:rPr>
        <w:t>query-based</w:t>
      </w:r>
      <w:r>
        <w:rPr>
          <w:color w:val="231F20"/>
          <w:spacing w:val="10"/>
        </w:rPr>
        <w:t> </w:t>
      </w:r>
      <w:r>
        <w:rPr>
          <w:color w:val="231F20"/>
        </w:rPr>
        <w:t>view</w:t>
      </w:r>
      <w:r>
        <w:rPr>
          <w:color w:val="231F20"/>
          <w:spacing w:val="11"/>
        </w:rPr>
        <w:t> </w:t>
      </w:r>
      <w:r>
        <w:rPr>
          <w:color w:val="231F20"/>
        </w:rPr>
        <w:t>that</w:t>
      </w:r>
      <w:r>
        <w:rPr>
          <w:color w:val="231F20"/>
          <w:spacing w:val="11"/>
        </w:rPr>
        <w:t> </w:t>
      </w:r>
      <w:r>
        <w:rPr>
          <w:color w:val="231F20"/>
        </w:rPr>
        <w:t>opens</w:t>
      </w:r>
      <w:r>
        <w:rPr>
          <w:color w:val="231F20"/>
          <w:spacing w:val="11"/>
        </w:rPr>
        <w:t> </w:t>
      </w:r>
      <w:r>
        <w:rPr>
          <w:color w:val="231F20"/>
        </w:rPr>
        <w:t>the</w:t>
      </w:r>
      <w:r>
        <w:rPr>
          <w:color w:val="231F20"/>
          <w:spacing w:val="10"/>
        </w:rPr>
        <w:t> </w:t>
      </w:r>
      <w:r>
        <w:rPr>
          <w:color w:val="231F20"/>
        </w:rPr>
        <w:t>targeted</w:t>
      </w:r>
      <w:r>
        <w:rPr>
          <w:color w:val="231F20"/>
          <w:spacing w:val="11"/>
        </w:rPr>
        <w:t> </w:t>
      </w:r>
      <w:r>
        <w:rPr>
          <w:color w:val="231F20"/>
        </w:rPr>
        <w:t>workspace</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same</w:t>
      </w:r>
      <w:r>
        <w:rPr>
          <w:color w:val="231F20"/>
          <w:spacing w:val="10"/>
        </w:rPr>
        <w:t> </w:t>
      </w:r>
      <w:r>
        <w:rPr>
          <w:color w:val="231F20"/>
        </w:rPr>
        <w:t>or</w:t>
      </w:r>
      <w:r>
        <w:rPr>
          <w:color w:val="231F20"/>
          <w:spacing w:val="11"/>
        </w:rPr>
        <w:t> </w:t>
      </w:r>
      <w:r>
        <w:rPr>
          <w:color w:val="231F20"/>
        </w:rPr>
        <w:t>new</w:t>
      </w:r>
      <w:r>
        <w:rPr>
          <w:color w:val="231F20"/>
          <w:spacing w:val="11"/>
        </w:rPr>
        <w:t> </w:t>
      </w:r>
      <w:r>
        <w:rPr>
          <w:color w:val="231F20"/>
          <w:spacing w:val="-2"/>
        </w:rPr>
        <w:t>windows.</w:t>
      </w:r>
    </w:p>
    <w:p>
      <w:pPr>
        <w:pStyle w:val="Heading4"/>
        <w:spacing w:before="19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472" w:right="379"/>
      </w:pPr>
      <w:r>
        <w:rPr>
          <w:color w:val="231F20"/>
        </w:rPr>
        <w:t>The workspace link feature in the Tivoli Enterprise Portal enables you to create simple links or advanced links. A simple link can originate from a Navigator </w:t>
      </w:r>
      <w:r>
        <w:rPr>
          <w:color w:val="231F20"/>
        </w:rPr>
        <w:t>item or from a data series in a chart or table. Context information is passed from the</w:t>
      </w:r>
      <w:r>
        <w:rPr>
          <w:color w:val="231F20"/>
          <w:spacing w:val="40"/>
        </w:rPr>
        <w:t> </w:t>
      </w:r>
      <w:r>
        <w:rPr>
          <w:color w:val="231F20"/>
        </w:rPr>
        <w:t>source workspace to determine which target workspace to open.</w:t>
      </w:r>
    </w:p>
    <w:p>
      <w:pPr>
        <w:pStyle w:val="Heading4"/>
        <w:spacing w:before="198"/>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Complete</w:t>
      </w:r>
      <w:r>
        <w:rPr>
          <w:color w:val="231F20"/>
          <w:spacing w:val="10"/>
        </w:rPr>
        <w:t> </w:t>
      </w:r>
      <w:r>
        <w:rPr>
          <w:color w:val="231F20"/>
        </w:rPr>
        <w:t>these</w:t>
      </w:r>
      <w:r>
        <w:rPr>
          <w:color w:val="231F20"/>
          <w:spacing w:val="11"/>
        </w:rPr>
        <w:t> </w:t>
      </w:r>
      <w:r>
        <w:rPr>
          <w:color w:val="231F20"/>
        </w:rPr>
        <w:t>steps</w:t>
      </w:r>
      <w:r>
        <w:rPr>
          <w:color w:val="231F20"/>
          <w:spacing w:val="10"/>
        </w:rPr>
        <w:t> </w:t>
      </w:r>
      <w:r>
        <w:rPr>
          <w:color w:val="231F20"/>
        </w:rPr>
        <w:t>to</w:t>
      </w:r>
      <w:r>
        <w:rPr>
          <w:color w:val="231F20"/>
          <w:spacing w:val="11"/>
        </w:rPr>
        <w:t> </w:t>
      </w:r>
      <w:r>
        <w:rPr>
          <w:color w:val="231F20"/>
        </w:rPr>
        <w:t>create</w:t>
      </w:r>
      <w:r>
        <w:rPr>
          <w:color w:val="231F20"/>
          <w:spacing w:val="11"/>
        </w:rPr>
        <w:t> </w:t>
      </w:r>
      <w:r>
        <w:rPr>
          <w:color w:val="231F20"/>
        </w:rPr>
        <w:t>a</w:t>
      </w:r>
      <w:r>
        <w:rPr>
          <w:color w:val="231F20"/>
          <w:spacing w:val="10"/>
        </w:rPr>
        <w:t> </w:t>
      </w:r>
      <w:r>
        <w:rPr>
          <w:color w:val="231F20"/>
        </w:rPr>
        <w:t>new</w:t>
      </w:r>
      <w:r>
        <w:rPr>
          <w:color w:val="231F20"/>
          <w:spacing w:val="11"/>
        </w:rPr>
        <w:t> </w:t>
      </w:r>
      <w:r>
        <w:rPr>
          <w:color w:val="231F20"/>
        </w:rPr>
        <w:t>workspace</w:t>
      </w:r>
      <w:r>
        <w:rPr>
          <w:color w:val="231F20"/>
          <w:spacing w:val="10"/>
        </w:rPr>
        <w:t> </w:t>
      </w:r>
      <w:r>
        <w:rPr>
          <w:color w:val="231F20"/>
          <w:spacing w:val="-2"/>
        </w:rPr>
        <w:t>link.</w:t>
      </w:r>
    </w:p>
    <w:p>
      <w:pPr>
        <w:pStyle w:val="Heading4"/>
        <w:spacing w:before="194"/>
        <w:ind w:left="2472"/>
      </w:pPr>
      <w:r>
        <w:rPr>
          <w:color w:val="231F20"/>
          <w:spacing w:val="-2"/>
        </w:rPr>
        <w:t>Procedure</w:t>
      </w:r>
    </w:p>
    <w:p>
      <w:pPr>
        <w:pStyle w:val="ListParagraph"/>
        <w:numPr>
          <w:ilvl w:val="0"/>
          <w:numId w:val="42"/>
        </w:numPr>
        <w:tabs>
          <w:tab w:pos="2787" w:val="left" w:leader="none"/>
        </w:tabs>
        <w:spacing w:line="240" w:lineRule="auto" w:before="39" w:after="0"/>
        <w:ind w:left="2787" w:right="0" w:hanging="315"/>
        <w:jc w:val="left"/>
        <w:rPr>
          <w:sz w:val="20"/>
        </w:rPr>
      </w:pPr>
      <w:r>
        <w:rPr>
          <w:color w:val="231F20"/>
          <w:sz w:val="20"/>
        </w:rPr>
        <w:t>Create</w:t>
      </w:r>
      <w:r>
        <w:rPr>
          <w:color w:val="231F20"/>
          <w:spacing w:val="11"/>
          <w:sz w:val="20"/>
        </w:rPr>
        <w:t> </w:t>
      </w:r>
      <w:r>
        <w:rPr>
          <w:color w:val="231F20"/>
          <w:sz w:val="20"/>
        </w:rPr>
        <w:t>a</w:t>
      </w:r>
      <w:r>
        <w:rPr>
          <w:color w:val="231F20"/>
          <w:spacing w:val="11"/>
          <w:sz w:val="20"/>
        </w:rPr>
        <w:t> </w:t>
      </w:r>
      <w:r>
        <w:rPr>
          <w:color w:val="231F20"/>
          <w:sz w:val="20"/>
        </w:rPr>
        <w:t>new</w:t>
      </w:r>
      <w:r>
        <w:rPr>
          <w:color w:val="231F20"/>
          <w:spacing w:val="11"/>
          <w:sz w:val="20"/>
        </w:rPr>
        <w:t> </w:t>
      </w:r>
      <w:r>
        <w:rPr>
          <w:color w:val="231F20"/>
          <w:spacing w:val="-2"/>
          <w:sz w:val="20"/>
        </w:rPr>
        <w:t>link:</w:t>
      </w:r>
    </w:p>
    <w:p>
      <w:pPr>
        <w:pStyle w:val="ListParagraph"/>
        <w:numPr>
          <w:ilvl w:val="1"/>
          <w:numId w:val="42"/>
        </w:numPr>
        <w:tabs>
          <w:tab w:pos="3103" w:val="left" w:leader="none"/>
        </w:tabs>
        <w:spacing w:line="240" w:lineRule="auto" w:before="29" w:after="0"/>
        <w:ind w:left="3103" w:right="0" w:hanging="315"/>
        <w:jc w:val="left"/>
        <w:rPr>
          <w:sz w:val="20"/>
        </w:rPr>
      </w:pPr>
      <w:r>
        <w:rPr>
          <w:color w:val="231F20"/>
          <w:sz w:val="20"/>
        </w:rPr>
        <w:t>Open</w:t>
      </w:r>
      <w:r>
        <w:rPr>
          <w:color w:val="231F20"/>
          <w:spacing w:val="10"/>
          <w:sz w:val="20"/>
        </w:rPr>
        <w:t> </w:t>
      </w:r>
      <w:r>
        <w:rPr>
          <w:color w:val="231F20"/>
          <w:sz w:val="20"/>
        </w:rPr>
        <w:t>the</w:t>
      </w:r>
      <w:r>
        <w:rPr>
          <w:color w:val="231F20"/>
          <w:spacing w:val="10"/>
          <w:sz w:val="20"/>
        </w:rPr>
        <w:t> </w:t>
      </w:r>
      <w:r>
        <w:rPr>
          <w:color w:val="231F20"/>
          <w:sz w:val="20"/>
        </w:rPr>
        <w:t>source</w:t>
      </w:r>
      <w:r>
        <w:rPr>
          <w:color w:val="231F20"/>
          <w:spacing w:val="10"/>
          <w:sz w:val="20"/>
        </w:rPr>
        <w:t> </w:t>
      </w:r>
      <w:r>
        <w:rPr>
          <w:color w:val="231F20"/>
          <w:spacing w:val="-2"/>
          <w:sz w:val="20"/>
        </w:rPr>
        <w:t>workspace.</w:t>
      </w:r>
    </w:p>
    <w:p>
      <w:pPr>
        <w:pStyle w:val="ListParagraph"/>
        <w:numPr>
          <w:ilvl w:val="1"/>
          <w:numId w:val="42"/>
        </w:numPr>
        <w:tabs>
          <w:tab w:pos="3104" w:val="left" w:leader="none"/>
        </w:tabs>
        <w:spacing w:line="213" w:lineRule="auto" w:before="53" w:after="0"/>
        <w:ind w:left="3104" w:right="1487" w:hanging="316"/>
        <w:jc w:val="left"/>
        <w:rPr>
          <w:sz w:val="20"/>
        </w:rPr>
      </w:pPr>
      <w:r>
        <w:rPr>
          <w:color w:val="231F20"/>
          <w:sz w:val="20"/>
        </w:rPr>
        <w:t>Right-click one of the following possible link source </w:t>
      </w:r>
      <w:r>
        <w:rPr>
          <w:color w:val="231F20"/>
          <w:sz w:val="20"/>
        </w:rPr>
        <w:t>locations: The highlighted Navigator item for this workspace</w:t>
      </w:r>
    </w:p>
    <w:p>
      <w:pPr>
        <w:pStyle w:val="BodyText"/>
        <w:spacing w:line="230" w:lineRule="exact"/>
        <w:ind w:left="3104"/>
      </w:pPr>
      <w:r>
        <w:rPr>
          <w:color w:val="231F20"/>
        </w:rPr>
        <w:t>An</w:t>
      </w:r>
      <w:r>
        <w:rPr>
          <w:color w:val="231F20"/>
          <w:spacing w:val="12"/>
        </w:rPr>
        <w:t> </w:t>
      </w:r>
      <w:r>
        <w:rPr>
          <w:color w:val="231F20"/>
        </w:rPr>
        <w:t>icon</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graphic</w:t>
      </w:r>
      <w:r>
        <w:rPr>
          <w:color w:val="231F20"/>
          <w:spacing w:val="13"/>
        </w:rPr>
        <w:t> </w:t>
      </w:r>
      <w:r>
        <w:rPr>
          <w:color w:val="231F20"/>
          <w:spacing w:val="-4"/>
        </w:rPr>
        <w:t>view</w:t>
      </w:r>
    </w:p>
    <w:p>
      <w:pPr>
        <w:pStyle w:val="BodyText"/>
        <w:spacing w:line="213" w:lineRule="auto" w:before="8"/>
        <w:ind w:left="3104" w:right="1504"/>
      </w:pPr>
      <w:r>
        <w:rPr>
          <w:color w:val="231F20"/>
        </w:rPr>
        <w:t>An object in a Tivoli Management Services Infrastructure </w:t>
      </w:r>
      <w:r>
        <w:rPr>
          <w:color w:val="231F20"/>
        </w:rPr>
        <w:t>view A row in a table view or situation event console view</w:t>
      </w:r>
    </w:p>
    <w:p>
      <w:pPr>
        <w:pStyle w:val="BodyText"/>
        <w:spacing w:line="245" w:lineRule="exact"/>
        <w:ind w:left="3104"/>
      </w:pPr>
      <w:r>
        <w:rPr>
          <w:color w:val="231F20"/>
        </w:rPr>
        <w:t>A</w:t>
      </w:r>
      <w:r>
        <w:rPr>
          <w:color w:val="231F20"/>
          <w:spacing w:val="2"/>
        </w:rPr>
        <w:t> </w:t>
      </w:r>
      <w:r>
        <w:rPr>
          <w:color w:val="231F20"/>
        </w:rPr>
        <w:t>data</w:t>
      </w:r>
      <w:r>
        <w:rPr>
          <w:color w:val="231F20"/>
          <w:spacing w:val="13"/>
        </w:rPr>
        <w:t> </w:t>
      </w:r>
      <w:r>
        <w:rPr>
          <w:color w:val="231F20"/>
        </w:rPr>
        <w:t>point</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chart</w:t>
      </w:r>
      <w:r>
        <w:rPr>
          <w:color w:val="231F20"/>
          <w:spacing w:val="13"/>
        </w:rPr>
        <w:t> </w:t>
      </w:r>
      <w:r>
        <w:rPr>
          <w:color w:val="231F20"/>
          <w:spacing w:val="-4"/>
        </w:rPr>
        <w:t>view</w:t>
      </w:r>
    </w:p>
    <w:p>
      <w:pPr>
        <w:pStyle w:val="ListParagraph"/>
        <w:numPr>
          <w:ilvl w:val="1"/>
          <w:numId w:val="42"/>
        </w:numPr>
        <w:tabs>
          <w:tab w:pos="3091" w:val="left" w:leader="none"/>
        </w:tabs>
        <w:spacing w:line="240" w:lineRule="auto" w:before="29" w:after="0"/>
        <w:ind w:left="3091" w:right="0" w:hanging="303"/>
        <w:jc w:val="left"/>
        <w:rPr>
          <w:sz w:val="20"/>
        </w:rPr>
      </w:pPr>
      <w:r>
        <w:rPr>
          <w:color w:val="231F20"/>
          <w:sz w:val="20"/>
        </w:rPr>
        <w:t>Click</w:t>
      </w:r>
      <w:r>
        <w:rPr>
          <w:color w:val="231F20"/>
          <w:spacing w:val="5"/>
          <w:sz w:val="20"/>
        </w:rPr>
        <w:t> </w:t>
      </w:r>
      <w:r>
        <w:rPr>
          <w:rFonts w:ascii="Book Antiqua"/>
          <w:b/>
          <w:color w:val="231F20"/>
          <w:sz w:val="20"/>
        </w:rPr>
        <w:t>Link</w:t>
      </w:r>
      <w:r>
        <w:rPr>
          <w:rFonts w:ascii="Book Antiqua"/>
          <w:b/>
          <w:color w:val="231F20"/>
          <w:spacing w:val="8"/>
          <w:sz w:val="20"/>
        </w:rPr>
        <w:t> </w:t>
      </w:r>
      <w:r>
        <w:rPr>
          <w:rFonts w:ascii="Book Antiqua"/>
          <w:b/>
          <w:color w:val="231F20"/>
          <w:sz w:val="20"/>
        </w:rPr>
        <w:t>To</w:t>
      </w:r>
      <w:r>
        <w:rPr>
          <w:rFonts w:ascii="Book Antiqua"/>
          <w:b/>
          <w:color w:val="231F20"/>
          <w:spacing w:val="9"/>
          <w:sz w:val="20"/>
        </w:rPr>
        <w:t> </w:t>
      </w:r>
      <w:r>
        <w:rPr>
          <w:rFonts w:ascii="Book Antiqua"/>
          <w:b/>
          <w:color w:val="231F20"/>
          <w:sz w:val="20"/>
        </w:rPr>
        <w:t>&gt;</w:t>
      </w:r>
      <w:r>
        <w:rPr>
          <w:rFonts w:ascii="Book Antiqua"/>
          <w:b/>
          <w:color w:val="231F20"/>
          <w:spacing w:val="9"/>
          <w:sz w:val="20"/>
        </w:rPr>
        <w:t> </w:t>
      </w:r>
      <w:r>
        <w:rPr>
          <w:rFonts w:ascii="Book Antiqua"/>
          <w:b/>
          <w:color w:val="231F20"/>
          <w:spacing w:val="16"/>
          <w:position w:val="-1"/>
          <w:sz w:val="20"/>
        </w:rPr>
        <w:drawing>
          <wp:inline distT="0" distB="0" distL="0" distR="0">
            <wp:extent cx="101600" cy="101600"/>
            <wp:effectExtent l="0" t="0" r="0" b="0"/>
            <wp:docPr id="726" name="Image 726"/>
            <wp:cNvGraphicFramePr>
              <a:graphicFrameLocks/>
            </wp:cNvGraphicFramePr>
            <a:graphic>
              <a:graphicData uri="http://schemas.openxmlformats.org/drawingml/2006/picture">
                <pic:pic>
                  <pic:nvPicPr>
                    <pic:cNvPr id="726" name="Image 726"/>
                    <pic:cNvPicPr/>
                  </pic:nvPicPr>
                  <pic:blipFill>
                    <a:blip r:embed="rId79"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17"/>
          <w:sz w:val="20"/>
        </w:rPr>
        <w:t> </w:t>
      </w:r>
      <w:r>
        <w:rPr>
          <w:rFonts w:ascii="Book Antiqua"/>
          <w:b/>
          <w:color w:val="231F20"/>
          <w:sz w:val="20"/>
        </w:rPr>
        <w:t>Link</w:t>
      </w:r>
      <w:r>
        <w:rPr>
          <w:rFonts w:ascii="Book Antiqua"/>
          <w:b/>
          <w:color w:val="231F20"/>
          <w:spacing w:val="9"/>
          <w:sz w:val="20"/>
        </w:rPr>
        <w:t> </w:t>
      </w:r>
      <w:r>
        <w:rPr>
          <w:rFonts w:ascii="Book Antiqua"/>
          <w:b/>
          <w:color w:val="231F20"/>
          <w:spacing w:val="-2"/>
          <w:sz w:val="20"/>
        </w:rPr>
        <w:t>Wizard</w:t>
      </w:r>
      <w:r>
        <w:rPr>
          <w:color w:val="231F20"/>
          <w:spacing w:val="-2"/>
          <w:sz w:val="20"/>
        </w:rPr>
        <w:t>.</w:t>
      </w:r>
    </w:p>
    <w:p>
      <w:pPr>
        <w:pStyle w:val="ListParagraph"/>
        <w:numPr>
          <w:ilvl w:val="1"/>
          <w:numId w:val="42"/>
        </w:numPr>
        <w:tabs>
          <w:tab w:pos="3103" w:val="left" w:leader="none"/>
        </w:tabs>
        <w:spacing w:line="240" w:lineRule="auto" w:before="35" w:after="0"/>
        <w:ind w:left="3103" w:right="0" w:hanging="315"/>
        <w:jc w:val="left"/>
        <w:rPr>
          <w:sz w:val="20"/>
        </w:rPr>
      </w:pPr>
      <w:r>
        <w:rPr>
          <w:color w:val="231F20"/>
          <w:sz w:val="20"/>
        </w:rPr>
        <w:t>Select</w:t>
      </w:r>
      <w:r>
        <w:rPr>
          <w:color w:val="231F20"/>
          <w:spacing w:val="12"/>
          <w:sz w:val="20"/>
        </w:rPr>
        <w:t> </w:t>
      </w:r>
      <w:r>
        <w:rPr>
          <w:color w:val="231F20"/>
          <w:spacing w:val="16"/>
          <w:sz w:val="20"/>
        </w:rPr>
        <w:drawing>
          <wp:inline distT="0" distB="0" distL="0" distR="0">
            <wp:extent cx="88900" cy="82550"/>
            <wp:effectExtent l="0" t="0" r="0" b="0"/>
            <wp:docPr id="727" name="Image 727"/>
            <wp:cNvGraphicFramePr>
              <a:graphicFrameLocks/>
            </wp:cNvGraphicFramePr>
            <a:graphic>
              <a:graphicData uri="http://schemas.openxmlformats.org/drawingml/2006/picture">
                <pic:pic>
                  <pic:nvPicPr>
                    <pic:cNvPr id="727" name="Image 727"/>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44"/>
          <w:sz w:val="20"/>
        </w:rPr>
        <w:t> </w:t>
      </w:r>
      <w:r>
        <w:rPr>
          <w:color w:val="231F20"/>
          <w:sz w:val="20"/>
        </w:rPr>
        <w:t>Create</w:t>
      </w:r>
      <w:r>
        <w:rPr>
          <w:color w:val="231F20"/>
          <w:spacing w:val="13"/>
          <w:sz w:val="20"/>
        </w:rPr>
        <w:t> </w:t>
      </w:r>
      <w:r>
        <w:rPr>
          <w:color w:val="231F20"/>
          <w:sz w:val="20"/>
        </w:rPr>
        <w:t>a</w:t>
      </w:r>
      <w:r>
        <w:rPr>
          <w:color w:val="231F20"/>
          <w:spacing w:val="12"/>
          <w:sz w:val="20"/>
        </w:rPr>
        <w:t> </w:t>
      </w:r>
      <w:r>
        <w:rPr>
          <w:color w:val="231F20"/>
          <w:sz w:val="20"/>
        </w:rPr>
        <w:t>new</w:t>
      </w:r>
      <w:r>
        <w:rPr>
          <w:color w:val="231F20"/>
          <w:spacing w:val="13"/>
          <w:sz w:val="20"/>
        </w:rPr>
        <w:t> </w:t>
      </w:r>
      <w:r>
        <w:rPr>
          <w:color w:val="231F20"/>
          <w:sz w:val="20"/>
        </w:rPr>
        <w:t>link</w:t>
      </w:r>
      <w:r>
        <w:rPr>
          <w:color w:val="231F20"/>
          <w:spacing w:val="12"/>
          <w:sz w:val="20"/>
        </w:rPr>
        <w:t> </w:t>
      </w:r>
      <w:r>
        <w:rPr>
          <w:color w:val="231F20"/>
          <w:sz w:val="20"/>
        </w:rPr>
        <w:t>and</w:t>
      </w:r>
      <w:r>
        <w:rPr>
          <w:color w:val="231F20"/>
          <w:spacing w:val="13"/>
          <w:sz w:val="20"/>
        </w:rPr>
        <w:t> </w:t>
      </w:r>
      <w:r>
        <w:rPr>
          <w:color w:val="231F20"/>
          <w:sz w:val="20"/>
        </w:rPr>
        <w:t>click</w:t>
      </w:r>
      <w:r>
        <w:rPr>
          <w:color w:val="231F20"/>
          <w:spacing w:val="12"/>
          <w:sz w:val="20"/>
        </w:rPr>
        <w:t> </w:t>
      </w:r>
      <w:r>
        <w:rPr>
          <w:rFonts w:ascii="Book Antiqua"/>
          <w:b/>
          <w:color w:val="231F20"/>
          <w:spacing w:val="-2"/>
          <w:sz w:val="20"/>
        </w:rPr>
        <w:t>Next&gt;</w:t>
      </w:r>
      <w:r>
        <w:rPr>
          <w:color w:val="231F20"/>
          <w:spacing w:val="-2"/>
          <w:sz w:val="20"/>
        </w:rPr>
        <w:t>.</w:t>
      </w:r>
    </w:p>
    <w:p>
      <w:pPr>
        <w:spacing w:after="0" w:line="240" w:lineRule="auto"/>
        <w:jc w:val="left"/>
        <w:rPr>
          <w:sz w:val="20"/>
        </w:rPr>
        <w:sectPr>
          <w:pgSz w:w="12240" w:h="15840"/>
          <w:pgMar w:header="0" w:footer="736" w:top="1180" w:bottom="920" w:left="1000" w:right="1060"/>
        </w:sectPr>
      </w:pPr>
    </w:p>
    <w:p>
      <w:pPr>
        <w:pStyle w:val="ListParagraph"/>
        <w:numPr>
          <w:ilvl w:val="1"/>
          <w:numId w:val="42"/>
        </w:numPr>
        <w:tabs>
          <w:tab w:pos="2863" w:val="left" w:leader="none"/>
        </w:tabs>
        <w:spacing w:line="240" w:lineRule="auto" w:before="62" w:after="0"/>
        <w:ind w:left="2863" w:right="0" w:hanging="315"/>
        <w:jc w:val="left"/>
        <w:rPr>
          <w:sz w:val="20"/>
        </w:rPr>
      </w:pPr>
      <w:r>
        <w:rPr>
          <w:color w:val="231F20"/>
          <w:sz w:val="20"/>
        </w:rPr>
        <w:t>Type</w:t>
      </w:r>
      <w:r>
        <w:rPr>
          <w:color w:val="231F20"/>
          <w:spacing w:val="9"/>
          <w:sz w:val="20"/>
        </w:rPr>
        <w:t> </w:t>
      </w:r>
      <w:r>
        <w:rPr>
          <w:color w:val="231F20"/>
          <w:sz w:val="20"/>
        </w:rPr>
        <w:t>a</w:t>
      </w:r>
      <w:r>
        <w:rPr>
          <w:color w:val="231F20"/>
          <w:spacing w:val="10"/>
          <w:sz w:val="20"/>
        </w:rPr>
        <w:t> </w:t>
      </w:r>
      <w:r>
        <w:rPr>
          <w:rFonts w:ascii="Book Antiqua"/>
          <w:b/>
          <w:color w:val="231F20"/>
          <w:sz w:val="20"/>
        </w:rPr>
        <w:t>Name</w:t>
      </w:r>
      <w:r>
        <w:rPr>
          <w:rFonts w:ascii="Book Antiqua"/>
          <w:b/>
          <w:color w:val="231F20"/>
          <w:spacing w:val="10"/>
          <w:sz w:val="20"/>
        </w:rPr>
        <w:t> </w:t>
      </w:r>
      <w:r>
        <w:rPr>
          <w:color w:val="231F20"/>
          <w:sz w:val="20"/>
        </w:rPr>
        <w:t>and</w:t>
      </w:r>
      <w:r>
        <w:rPr>
          <w:color w:val="231F20"/>
          <w:spacing w:val="10"/>
          <w:sz w:val="20"/>
        </w:rPr>
        <w:t> </w:t>
      </w:r>
      <w:r>
        <w:rPr>
          <w:rFonts w:ascii="Book Antiqua"/>
          <w:b/>
          <w:color w:val="231F20"/>
          <w:sz w:val="20"/>
        </w:rPr>
        <w:t>Description</w:t>
      </w:r>
      <w:r>
        <w:rPr>
          <w:rFonts w:ascii="Book Antiqua"/>
          <w:b/>
          <w:color w:val="231F20"/>
          <w:spacing w:val="10"/>
          <w:sz w:val="20"/>
        </w:rPr>
        <w:t> </w:t>
      </w:r>
      <w:r>
        <w:rPr>
          <w:color w:val="231F20"/>
          <w:sz w:val="20"/>
        </w:rPr>
        <w:t>to</w:t>
      </w:r>
      <w:r>
        <w:rPr>
          <w:color w:val="231F20"/>
          <w:spacing w:val="10"/>
          <w:sz w:val="20"/>
        </w:rPr>
        <w:t> </w:t>
      </w:r>
      <w:r>
        <w:rPr>
          <w:color w:val="231F20"/>
          <w:sz w:val="20"/>
        </w:rPr>
        <w:t>identify</w:t>
      </w:r>
      <w:r>
        <w:rPr>
          <w:color w:val="231F20"/>
          <w:spacing w:val="10"/>
          <w:sz w:val="20"/>
        </w:rPr>
        <w:t> </w:t>
      </w:r>
      <w:r>
        <w:rPr>
          <w:color w:val="231F20"/>
          <w:sz w:val="20"/>
        </w:rPr>
        <w:t>the</w:t>
      </w:r>
      <w:r>
        <w:rPr>
          <w:color w:val="231F20"/>
          <w:spacing w:val="10"/>
          <w:sz w:val="20"/>
        </w:rPr>
        <w:t> </w:t>
      </w:r>
      <w:r>
        <w:rPr>
          <w:color w:val="231F20"/>
          <w:sz w:val="20"/>
        </w:rPr>
        <w:t>link,</w:t>
      </w:r>
      <w:r>
        <w:rPr>
          <w:color w:val="231F20"/>
          <w:spacing w:val="10"/>
          <w:sz w:val="20"/>
        </w:rPr>
        <w:t> </w:t>
      </w:r>
      <w:r>
        <w:rPr>
          <w:color w:val="231F20"/>
          <w:sz w:val="20"/>
        </w:rPr>
        <w:t>then</w:t>
      </w:r>
      <w:r>
        <w:rPr>
          <w:color w:val="231F20"/>
          <w:spacing w:val="10"/>
          <w:sz w:val="20"/>
        </w:rPr>
        <w:t> </w:t>
      </w:r>
      <w:r>
        <w:rPr>
          <w:color w:val="231F20"/>
          <w:sz w:val="20"/>
        </w:rPr>
        <w:t>click</w:t>
      </w:r>
      <w:r>
        <w:rPr>
          <w:color w:val="231F20"/>
          <w:spacing w:val="10"/>
          <w:sz w:val="20"/>
        </w:rPr>
        <w:t> </w:t>
      </w:r>
      <w:r>
        <w:rPr>
          <w:rFonts w:ascii="Book Antiqua"/>
          <w:b/>
          <w:color w:val="231F20"/>
          <w:spacing w:val="-2"/>
          <w:sz w:val="20"/>
        </w:rPr>
        <w:t>Next</w:t>
      </w:r>
      <w:r>
        <w:rPr>
          <w:color w:val="231F20"/>
          <w:spacing w:val="-2"/>
          <w:sz w:val="20"/>
        </w:rPr>
        <w:t>.</w:t>
      </w:r>
    </w:p>
    <w:p>
      <w:pPr>
        <w:pStyle w:val="ListParagraph"/>
        <w:numPr>
          <w:ilvl w:val="0"/>
          <w:numId w:val="42"/>
        </w:numPr>
        <w:tabs>
          <w:tab w:pos="2547" w:val="left" w:leader="none"/>
        </w:tabs>
        <w:spacing w:line="240" w:lineRule="auto" w:before="29" w:after="0"/>
        <w:ind w:left="2547" w:right="0" w:hanging="315"/>
        <w:jc w:val="left"/>
        <w:rPr>
          <w:sz w:val="20"/>
        </w:rPr>
      </w:pPr>
      <w:r>
        <w:rPr>
          <w:color w:val="231F20"/>
          <w:sz w:val="20"/>
        </w:rPr>
        <w:t>Select</w:t>
      </w:r>
      <w:r>
        <w:rPr>
          <w:color w:val="231F20"/>
          <w:spacing w:val="12"/>
          <w:sz w:val="20"/>
        </w:rPr>
        <w:t> </w:t>
      </w:r>
      <w:r>
        <w:rPr>
          <w:color w:val="231F20"/>
          <w:sz w:val="20"/>
        </w:rPr>
        <w:t>the</w:t>
      </w:r>
      <w:r>
        <w:rPr>
          <w:color w:val="231F20"/>
          <w:spacing w:val="12"/>
          <w:sz w:val="20"/>
        </w:rPr>
        <w:t> </w:t>
      </w:r>
      <w:r>
        <w:rPr>
          <w:color w:val="231F20"/>
          <w:sz w:val="20"/>
        </w:rPr>
        <w:t>link</w:t>
      </w:r>
      <w:r>
        <w:rPr>
          <w:color w:val="231F20"/>
          <w:spacing w:val="12"/>
          <w:sz w:val="20"/>
        </w:rPr>
        <w:t> </w:t>
      </w:r>
      <w:r>
        <w:rPr>
          <w:color w:val="231F20"/>
          <w:sz w:val="20"/>
        </w:rPr>
        <w:t>type</w:t>
      </w:r>
      <w:r>
        <w:rPr>
          <w:color w:val="231F20"/>
          <w:spacing w:val="13"/>
          <w:sz w:val="20"/>
        </w:rPr>
        <w:t> </w:t>
      </w:r>
      <w:r>
        <w:rPr>
          <w:color w:val="231F20"/>
          <w:sz w:val="20"/>
        </w:rPr>
        <w:t>and</w:t>
      </w:r>
      <w:r>
        <w:rPr>
          <w:color w:val="231F20"/>
          <w:spacing w:val="12"/>
          <w:sz w:val="20"/>
        </w:rPr>
        <w:t> </w:t>
      </w:r>
      <w:r>
        <w:rPr>
          <w:color w:val="231F20"/>
          <w:spacing w:val="-2"/>
          <w:sz w:val="20"/>
        </w:rPr>
        <w:t>target:</w:t>
      </w:r>
    </w:p>
    <w:p>
      <w:pPr>
        <w:pStyle w:val="ListParagraph"/>
        <w:numPr>
          <w:ilvl w:val="1"/>
          <w:numId w:val="42"/>
        </w:numPr>
        <w:tabs>
          <w:tab w:pos="2864" w:val="left" w:leader="none"/>
        </w:tabs>
        <w:spacing w:line="213" w:lineRule="auto" w:before="53" w:after="0"/>
        <w:ind w:left="2864" w:right="462" w:hanging="316"/>
        <w:jc w:val="left"/>
        <w:rPr>
          <w:sz w:val="20"/>
        </w:rPr>
      </w:pPr>
      <w:r>
        <w:rPr>
          <w:color w:val="231F20"/>
          <w:sz w:val="20"/>
        </w:rPr>
        <w:t>Select one of the following link types and click </w:t>
      </w:r>
      <w:r>
        <w:rPr>
          <w:rFonts w:ascii="Book Antiqua"/>
          <w:b/>
          <w:color w:val="231F20"/>
          <w:sz w:val="20"/>
        </w:rPr>
        <w:t>Next </w:t>
      </w:r>
      <w:r>
        <w:rPr>
          <w:color w:val="231F20"/>
          <w:sz w:val="20"/>
        </w:rPr>
        <w:t>to open the Workspace Link Wizard - Target Workspace window.</w:t>
      </w:r>
    </w:p>
    <w:p>
      <w:pPr>
        <w:pStyle w:val="Heading6"/>
        <w:spacing w:line="227" w:lineRule="exact" w:before="122"/>
        <w:ind w:left="2864"/>
      </w:pPr>
      <w:r>
        <w:rPr>
          <w:b w:val="0"/>
        </w:rPr>
        <w:drawing>
          <wp:inline distT="0" distB="0" distL="0" distR="0">
            <wp:extent cx="88900" cy="82550"/>
            <wp:effectExtent l="0" t="0" r="0" b="0"/>
            <wp:docPr id="728" name="Image 728"/>
            <wp:cNvGraphicFramePr>
              <a:graphicFrameLocks/>
            </wp:cNvGraphicFramePr>
            <a:graphic>
              <a:graphicData uri="http://schemas.openxmlformats.org/drawingml/2006/picture">
                <pic:pic>
                  <pic:nvPicPr>
                    <pic:cNvPr id="728" name="Image 728"/>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Dynamic</w:t>
      </w:r>
    </w:p>
    <w:p>
      <w:pPr>
        <w:pStyle w:val="BodyText"/>
        <w:spacing w:line="213" w:lineRule="auto" w:before="9"/>
        <w:ind w:left="3583" w:right="545"/>
      </w:pPr>
      <w:r>
        <w:rPr>
          <w:color w:val="231F20"/>
        </w:rPr>
        <w:t>The dynamic link method offers flexibility in your choice of workspace targets. A dynamic link is similar to a relative link and, with some link definitions, behaves in the same way. What is different is that the path to the target workspace uses a system identifier passed by the source query-based view. The identifier </w:t>
      </w:r>
      <w:r>
        <w:rPr>
          <w:color w:val="231F20"/>
        </w:rPr>
        <w:t>can be managed system name, IP address, host name, Systems Management Facilities ID, or Product Code.</w:t>
      </w:r>
    </w:p>
    <w:p>
      <w:pPr>
        <w:pStyle w:val="Heading6"/>
        <w:spacing w:line="227" w:lineRule="exact" w:before="118"/>
        <w:ind w:left="2864"/>
      </w:pPr>
      <w:r>
        <w:rPr>
          <w:b w:val="0"/>
        </w:rPr>
        <w:drawing>
          <wp:inline distT="0" distB="0" distL="0" distR="0">
            <wp:extent cx="88900" cy="82550"/>
            <wp:effectExtent l="0" t="0" r="0" b="0"/>
            <wp:docPr id="729" name="Image 729"/>
            <wp:cNvGraphicFramePr>
              <a:graphicFrameLocks/>
            </wp:cNvGraphicFramePr>
            <a:graphic>
              <a:graphicData uri="http://schemas.openxmlformats.org/drawingml/2006/picture">
                <pic:pic>
                  <pic:nvPicPr>
                    <pic:cNvPr id="729" name="Image 729"/>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Absolute</w:t>
      </w:r>
    </w:p>
    <w:p>
      <w:pPr>
        <w:spacing w:line="213" w:lineRule="auto" w:before="9"/>
        <w:ind w:left="3583" w:right="636" w:firstLine="0"/>
        <w:jc w:val="left"/>
        <w:rPr>
          <w:sz w:val="20"/>
        </w:rPr>
      </w:pPr>
      <w:r>
        <w:rPr>
          <w:color w:val="231F20"/>
          <w:sz w:val="20"/>
        </w:rPr>
        <w:t>An absolute link stores the managed system name of the chosen target, and goes only there. For example, if you target the </w:t>
      </w:r>
      <w:r>
        <w:rPr>
          <w:rFonts w:ascii="Book Antiqua"/>
          <w:b/>
          <w:color w:val="231F20"/>
          <w:sz w:val="20"/>
        </w:rPr>
        <w:t>Databases Information </w:t>
      </w:r>
      <w:r>
        <w:rPr>
          <w:color w:val="231F20"/>
          <w:sz w:val="20"/>
        </w:rPr>
        <w:t>workspace on the </w:t>
      </w:r>
      <w:r>
        <w:rPr>
          <w:rFonts w:ascii="Book Antiqua"/>
          <w:b/>
          <w:color w:val="231F20"/>
          <w:sz w:val="20"/>
        </w:rPr>
        <w:t>MS SQL Server </w:t>
      </w:r>
      <w:r>
        <w:rPr>
          <w:color w:val="231F20"/>
          <w:sz w:val="20"/>
        </w:rPr>
        <w:t>branch for the </w:t>
      </w:r>
      <w:r>
        <w:rPr>
          <w:rFonts w:ascii="Book Antiqua"/>
          <w:b/>
          <w:color w:val="231F20"/>
          <w:sz w:val="20"/>
        </w:rPr>
        <w:t>Paris </w:t>
      </w:r>
      <w:r>
        <w:rPr>
          <w:color w:val="231F20"/>
          <w:sz w:val="20"/>
        </w:rPr>
        <w:t>computer, that is the workspace that will open. The </w:t>
      </w:r>
      <w:r>
        <w:rPr>
          <w:rFonts w:ascii="Book Antiqua"/>
          <w:b/>
          <w:color w:val="231F20"/>
          <w:sz w:val="20"/>
        </w:rPr>
        <w:t>Database Information </w:t>
      </w:r>
      <w:r>
        <w:rPr>
          <w:color w:val="231F20"/>
          <w:sz w:val="20"/>
        </w:rPr>
        <w:t>workspace for the </w:t>
      </w:r>
      <w:r>
        <w:rPr>
          <w:rFonts w:ascii="Book Antiqua"/>
          <w:b/>
          <w:color w:val="231F20"/>
          <w:sz w:val="20"/>
        </w:rPr>
        <w:t>Geneva </w:t>
      </w:r>
      <w:r>
        <w:rPr>
          <w:color w:val="231F20"/>
          <w:sz w:val="20"/>
        </w:rPr>
        <w:t>computer is not </w:t>
      </w:r>
      <w:r>
        <w:rPr>
          <w:color w:val="231F20"/>
          <w:spacing w:val="-2"/>
          <w:sz w:val="20"/>
        </w:rPr>
        <w:t>considered.</w:t>
      </w:r>
    </w:p>
    <w:p>
      <w:pPr>
        <w:pStyle w:val="Heading6"/>
        <w:spacing w:line="240" w:lineRule="auto" w:before="120"/>
        <w:ind w:left="2864"/>
      </w:pPr>
      <w:r>
        <w:rPr>
          <w:b w:val="0"/>
        </w:rPr>
        <w:drawing>
          <wp:inline distT="0" distB="0" distL="0" distR="0">
            <wp:extent cx="88900" cy="82550"/>
            <wp:effectExtent l="0" t="0" r="0" b="0"/>
            <wp:docPr id="730" name="Image 730"/>
            <wp:cNvGraphicFramePr>
              <a:graphicFrameLocks/>
            </wp:cNvGraphicFramePr>
            <a:graphic>
              <a:graphicData uri="http://schemas.openxmlformats.org/drawingml/2006/picture">
                <pic:pic>
                  <pic:nvPicPr>
                    <pic:cNvPr id="730" name="Image 730"/>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Relative</w:t>
      </w:r>
    </w:p>
    <w:p>
      <w:pPr>
        <w:pStyle w:val="BodyText"/>
        <w:spacing w:line="213" w:lineRule="auto" w:before="114"/>
        <w:ind w:left="3583" w:right="459"/>
      </w:pPr>
      <w:r>
        <w:rPr>
          <w:color w:val="231F20"/>
        </w:rPr>
        <w:t>A relative link stores the </w:t>
      </w:r>
      <w:r>
        <w:rPr>
          <w:rFonts w:ascii="Book Antiqua"/>
          <w:i/>
          <w:color w:val="231F20"/>
        </w:rPr>
        <w:t>type </w:t>
      </w:r>
      <w:r>
        <w:rPr>
          <w:color w:val="231F20"/>
        </w:rPr>
        <w:t>of source workspace and target workspace. The resulting link is available from any workspace that</w:t>
      </w:r>
      <w:r>
        <w:rPr>
          <w:color w:val="231F20"/>
          <w:spacing w:val="80"/>
        </w:rPr>
        <w:t> </w:t>
      </w:r>
      <w:r>
        <w:rPr>
          <w:color w:val="231F20"/>
        </w:rPr>
        <w:t>is</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type.</w:t>
      </w:r>
      <w:r>
        <w:rPr>
          <w:color w:val="231F20"/>
          <w:spacing w:val="26"/>
        </w:rPr>
        <w:t> </w:t>
      </w:r>
      <w:r>
        <w:rPr>
          <w:color w:val="231F20"/>
        </w:rPr>
        <w:t>If</w:t>
      </w:r>
      <w:r>
        <w:rPr>
          <w:color w:val="231F20"/>
          <w:spacing w:val="26"/>
        </w:rPr>
        <w:t> </w:t>
      </w:r>
      <w:r>
        <w:rPr>
          <w:color w:val="231F20"/>
        </w:rPr>
        <w:t>more</w:t>
      </w:r>
      <w:r>
        <w:rPr>
          <w:color w:val="231F20"/>
          <w:spacing w:val="26"/>
        </w:rPr>
        <w:t> </w:t>
      </w:r>
      <w:r>
        <w:rPr>
          <w:color w:val="231F20"/>
        </w:rPr>
        <w:t>than</w:t>
      </w:r>
      <w:r>
        <w:rPr>
          <w:color w:val="231F20"/>
          <w:spacing w:val="26"/>
        </w:rPr>
        <w:t> </w:t>
      </w:r>
      <w:r>
        <w:rPr>
          <w:color w:val="231F20"/>
        </w:rPr>
        <w:t>one</w:t>
      </w:r>
      <w:r>
        <w:rPr>
          <w:color w:val="231F20"/>
          <w:spacing w:val="26"/>
        </w:rPr>
        <w:t> </w:t>
      </w:r>
      <w:r>
        <w:rPr>
          <w:color w:val="231F20"/>
        </w:rPr>
        <w:t>workspace</w:t>
      </w:r>
      <w:r>
        <w:rPr>
          <w:color w:val="231F20"/>
          <w:spacing w:val="26"/>
        </w:rPr>
        <w:t> </w:t>
      </w:r>
      <w:r>
        <w:rPr>
          <w:color w:val="231F20"/>
        </w:rPr>
        <w:t>fits</w:t>
      </w:r>
      <w:r>
        <w:rPr>
          <w:color w:val="231F20"/>
          <w:spacing w:val="26"/>
        </w:rPr>
        <w:t> </w:t>
      </w:r>
      <w:r>
        <w:rPr>
          <w:color w:val="231F20"/>
        </w:rPr>
        <w:t>the</w:t>
      </w:r>
      <w:r>
        <w:rPr>
          <w:color w:val="231F20"/>
          <w:spacing w:val="26"/>
        </w:rPr>
        <w:t> </w:t>
      </w:r>
      <w:r>
        <w:rPr>
          <w:color w:val="231F20"/>
        </w:rPr>
        <w:t>definition of the target, you are presented with a list of workspaces to choose from. For example, a link built from the Paris computer's </w:t>
      </w:r>
      <w:r>
        <w:rPr>
          <w:rFonts w:ascii="Book Antiqua"/>
          <w:b/>
          <w:color w:val="231F20"/>
        </w:rPr>
        <w:t>Windows OS </w:t>
      </w:r>
      <w:r>
        <w:rPr>
          <w:color w:val="231F20"/>
        </w:rPr>
        <w:t>workspace to its </w:t>
      </w:r>
      <w:r>
        <w:rPr>
          <w:rFonts w:ascii="Book Antiqua"/>
          <w:b/>
          <w:color w:val="231F20"/>
        </w:rPr>
        <w:t>Memory </w:t>
      </w:r>
      <w:r>
        <w:rPr>
          <w:color w:val="231F20"/>
        </w:rPr>
        <w:t>workspace will also be available </w:t>
      </w:r>
      <w:r>
        <w:rPr>
          <w:color w:val="231F20"/>
        </w:rPr>
        <w:t>from the Geneva computer's </w:t>
      </w:r>
      <w:r>
        <w:rPr>
          <w:rFonts w:ascii="Book Antiqua"/>
          <w:b/>
          <w:color w:val="231F20"/>
        </w:rPr>
        <w:t>Windows OS </w:t>
      </w:r>
      <w:r>
        <w:rPr>
          <w:color w:val="231F20"/>
        </w:rPr>
        <w:t>workspace and link to its </w:t>
      </w:r>
      <w:r>
        <w:rPr>
          <w:rFonts w:ascii="Book Antiqua"/>
          <w:b/>
          <w:color w:val="231F20"/>
        </w:rPr>
        <w:t>Memory </w:t>
      </w:r>
      <w:r>
        <w:rPr>
          <w:color w:val="231F20"/>
        </w:rPr>
        <w:t>workspace.If you are linking between Navigator views, relative linking is not recommended. Instead, use the absolute or dynamic method for links to the Navigator Logical view and other custom Navigator views.</w:t>
      </w:r>
    </w:p>
    <w:p>
      <w:pPr>
        <w:pStyle w:val="ListParagraph"/>
        <w:numPr>
          <w:ilvl w:val="1"/>
          <w:numId w:val="42"/>
        </w:numPr>
        <w:tabs>
          <w:tab w:pos="2864" w:val="left" w:leader="none"/>
        </w:tabs>
        <w:spacing w:line="213" w:lineRule="auto" w:before="53" w:after="0"/>
        <w:ind w:left="2864" w:right="760" w:hanging="316"/>
        <w:jc w:val="left"/>
        <w:rPr>
          <w:sz w:val="20"/>
        </w:rPr>
      </w:pPr>
      <w:r>
        <w:rPr>
          <w:color w:val="231F20"/>
          <w:sz w:val="20"/>
        </w:rPr>
        <w:t>If you are targeting a workspace in a different Navigator view, select the view from the </w:t>
      </w:r>
      <w:r>
        <w:rPr>
          <w:rFonts w:ascii="Book Antiqua"/>
          <w:b/>
          <w:color w:val="231F20"/>
          <w:sz w:val="20"/>
        </w:rPr>
        <w:t>Navigator View </w:t>
      </w:r>
      <w:r>
        <w:rPr>
          <w:rFonts w:ascii="Book Antiqua"/>
          <w:b/>
          <w:color w:val="231F20"/>
          <w:spacing w:val="15"/>
          <w:position w:val="-1"/>
          <w:sz w:val="20"/>
        </w:rPr>
        <w:drawing>
          <wp:inline distT="0" distB="0" distL="0" distR="0">
            <wp:extent cx="101600" cy="101600"/>
            <wp:effectExtent l="0" t="0" r="0" b="0"/>
            <wp:docPr id="731" name="Image 731"/>
            <wp:cNvGraphicFramePr>
              <a:graphicFrameLocks/>
            </wp:cNvGraphicFramePr>
            <a:graphic>
              <a:graphicData uri="http://schemas.openxmlformats.org/drawingml/2006/picture">
                <pic:pic>
                  <pic:nvPicPr>
                    <pic:cNvPr id="731" name="Image 731"/>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15"/>
          <w:sz w:val="20"/>
        </w:rPr>
        <w:t> </w:t>
      </w:r>
      <w:r>
        <w:rPr>
          <w:color w:val="231F20"/>
          <w:sz w:val="20"/>
        </w:rPr>
        <w:t>list.</w:t>
      </w:r>
    </w:p>
    <w:p>
      <w:pPr>
        <w:pStyle w:val="ListParagraph"/>
        <w:numPr>
          <w:ilvl w:val="1"/>
          <w:numId w:val="42"/>
        </w:numPr>
        <w:tabs>
          <w:tab w:pos="2851" w:val="left" w:leader="none"/>
          <w:tab w:pos="2853" w:val="left" w:leader="none"/>
        </w:tabs>
        <w:spacing w:line="213" w:lineRule="auto" w:before="58" w:after="0"/>
        <w:ind w:left="2853" w:right="401" w:hanging="305"/>
        <w:jc w:val="left"/>
        <w:rPr>
          <w:sz w:val="20"/>
        </w:rPr>
      </w:pPr>
      <w:r>
        <w:rPr>
          <w:color w:val="231F20"/>
          <w:sz w:val="20"/>
        </w:rPr>
        <w:t>In the </w:t>
      </w:r>
      <w:r>
        <w:rPr>
          <w:rFonts w:ascii="Book Antiqua"/>
          <w:b/>
          <w:color w:val="231F20"/>
          <w:sz w:val="20"/>
        </w:rPr>
        <w:t>Navigator </w:t>
      </w:r>
      <w:r>
        <w:rPr>
          <w:color w:val="231F20"/>
          <w:sz w:val="20"/>
        </w:rPr>
        <w:t>tree, expand the branches and select the Navigator item for the</w:t>
      </w:r>
      <w:r>
        <w:rPr>
          <w:color w:val="231F20"/>
          <w:spacing w:val="27"/>
          <w:sz w:val="20"/>
        </w:rPr>
        <w:t> </w:t>
      </w:r>
      <w:r>
        <w:rPr>
          <w:color w:val="231F20"/>
          <w:sz w:val="20"/>
        </w:rPr>
        <w:t>workspace</w:t>
      </w:r>
      <w:r>
        <w:rPr>
          <w:color w:val="231F20"/>
          <w:spacing w:val="27"/>
          <w:sz w:val="20"/>
        </w:rPr>
        <w:t> </w:t>
      </w:r>
      <w:r>
        <w:rPr>
          <w:color w:val="231F20"/>
          <w:sz w:val="20"/>
        </w:rPr>
        <w:t>you</w:t>
      </w:r>
      <w:r>
        <w:rPr>
          <w:color w:val="231F20"/>
          <w:spacing w:val="27"/>
          <w:sz w:val="20"/>
        </w:rPr>
        <w:t> </w:t>
      </w:r>
      <w:r>
        <w:rPr>
          <w:color w:val="231F20"/>
          <w:sz w:val="20"/>
        </w:rPr>
        <w:t>want</w:t>
      </w:r>
      <w:r>
        <w:rPr>
          <w:color w:val="231F20"/>
          <w:spacing w:val="27"/>
          <w:sz w:val="20"/>
        </w:rPr>
        <w:t> </w:t>
      </w:r>
      <w:r>
        <w:rPr>
          <w:color w:val="231F20"/>
          <w:sz w:val="20"/>
        </w:rPr>
        <w:t>to</w:t>
      </w:r>
      <w:r>
        <w:rPr>
          <w:color w:val="231F20"/>
          <w:spacing w:val="27"/>
          <w:sz w:val="20"/>
        </w:rPr>
        <w:t> </w:t>
      </w:r>
      <w:r>
        <w:rPr>
          <w:color w:val="231F20"/>
          <w:sz w:val="20"/>
        </w:rPr>
        <w:t>target.</w:t>
      </w:r>
      <w:r>
        <w:rPr>
          <w:color w:val="231F20"/>
          <w:spacing w:val="27"/>
          <w:sz w:val="20"/>
        </w:rPr>
        <w:t> </w:t>
      </w:r>
      <w:r>
        <w:rPr>
          <w:color w:val="231F20"/>
          <w:sz w:val="20"/>
        </w:rPr>
        <w:t>The</w:t>
      </w:r>
      <w:r>
        <w:rPr>
          <w:color w:val="231F20"/>
          <w:spacing w:val="27"/>
          <w:sz w:val="20"/>
        </w:rPr>
        <w:t> </w:t>
      </w:r>
      <w:r>
        <w:rPr>
          <w:color w:val="231F20"/>
          <w:sz w:val="20"/>
        </w:rPr>
        <w:t>Navigator</w:t>
      </w:r>
      <w:r>
        <w:rPr>
          <w:color w:val="231F20"/>
          <w:spacing w:val="27"/>
          <w:sz w:val="20"/>
        </w:rPr>
        <w:t> </w:t>
      </w:r>
      <w:r>
        <w:rPr>
          <w:color w:val="231F20"/>
          <w:sz w:val="20"/>
        </w:rPr>
        <w:t>view</w:t>
      </w:r>
      <w:r>
        <w:rPr>
          <w:color w:val="231F20"/>
          <w:spacing w:val="27"/>
          <w:sz w:val="20"/>
        </w:rPr>
        <w:t> </w:t>
      </w:r>
      <w:r>
        <w:rPr>
          <w:color w:val="231F20"/>
          <w:sz w:val="20"/>
        </w:rPr>
        <w:t>is</w:t>
      </w:r>
      <w:r>
        <w:rPr>
          <w:color w:val="231F20"/>
          <w:spacing w:val="27"/>
          <w:sz w:val="20"/>
        </w:rPr>
        <w:t> </w:t>
      </w:r>
      <w:r>
        <w:rPr>
          <w:color w:val="231F20"/>
          <w:sz w:val="20"/>
        </w:rPr>
        <w:t>presented</w:t>
      </w:r>
      <w:r>
        <w:rPr>
          <w:color w:val="231F20"/>
          <w:spacing w:val="27"/>
          <w:sz w:val="20"/>
        </w:rPr>
        <w:t> </w:t>
      </w:r>
      <w:r>
        <w:rPr>
          <w:color w:val="231F20"/>
          <w:sz w:val="20"/>
        </w:rPr>
        <w:t>in</w:t>
      </w:r>
      <w:r>
        <w:rPr>
          <w:color w:val="231F20"/>
          <w:spacing w:val="27"/>
          <w:sz w:val="20"/>
        </w:rPr>
        <w:t> </w:t>
      </w:r>
      <w:r>
        <w:rPr>
          <w:color w:val="231F20"/>
          <w:sz w:val="20"/>
        </w:rPr>
        <w:t>the left frame. As you open branches and select Navigator items, the right</w:t>
      </w:r>
    </w:p>
    <w:p>
      <w:pPr>
        <w:pStyle w:val="BodyText"/>
        <w:spacing w:line="213" w:lineRule="auto"/>
        <w:ind w:left="2853" w:right="545"/>
      </w:pPr>
      <w:r>
        <w:rPr>
          <w:color w:val="231F20"/>
        </w:rPr>
        <w:t>frame show their workspaces. With an absolute link, the path you select </w:t>
      </w:r>
      <w:r>
        <w:rPr>
          <w:color w:val="231F20"/>
        </w:rPr>
        <w:t>to the target is interpreted as an exact match, whereas, with a relative or dynamic link the path is interpreted as the pattern to follow from the link source to the target workspace.</w:t>
      </w:r>
    </w:p>
    <w:p>
      <w:pPr>
        <w:pStyle w:val="ListParagraph"/>
        <w:numPr>
          <w:ilvl w:val="1"/>
          <w:numId w:val="42"/>
        </w:numPr>
        <w:tabs>
          <w:tab w:pos="2864" w:val="left" w:leader="none"/>
        </w:tabs>
        <w:spacing w:line="213" w:lineRule="auto" w:before="55" w:after="0"/>
        <w:ind w:left="2864" w:right="884" w:hanging="316"/>
        <w:jc w:val="left"/>
        <w:rPr>
          <w:sz w:val="20"/>
        </w:rPr>
      </w:pPr>
      <w:r>
        <w:rPr>
          <w:color w:val="231F20"/>
          <w:sz w:val="20"/>
        </w:rPr>
        <w:t>In the </w:t>
      </w:r>
      <w:r>
        <w:rPr>
          <w:rFonts w:ascii="Book Antiqua"/>
          <w:b/>
          <w:color w:val="231F20"/>
          <w:sz w:val="20"/>
        </w:rPr>
        <w:t>Workspace </w:t>
      </w:r>
      <w:r>
        <w:rPr>
          <w:color w:val="231F20"/>
          <w:sz w:val="20"/>
        </w:rPr>
        <w:t>pane, select the workspace to target; or, if this is a dynamic link and you want to more generally classify the link, select</w:t>
      </w:r>
      <w:r>
        <w:rPr>
          <w:color w:val="231F20"/>
          <w:sz w:val="20"/>
        </w:rPr>
        <w:t> </w:t>
      </w:r>
      <w:r>
        <w:rPr>
          <w:color w:val="231F20"/>
          <w:spacing w:val="14"/>
          <w:sz w:val="20"/>
        </w:rPr>
        <w:drawing>
          <wp:inline distT="0" distB="0" distL="0" distR="0">
            <wp:extent cx="82550" cy="82550"/>
            <wp:effectExtent l="0" t="0" r="0" b="0"/>
            <wp:docPr id="732" name="Image 732"/>
            <wp:cNvGraphicFramePr>
              <a:graphicFrameLocks/>
            </wp:cNvGraphicFramePr>
            <a:graphic>
              <a:graphicData uri="http://schemas.openxmlformats.org/drawingml/2006/picture">
                <pic:pic>
                  <pic:nvPicPr>
                    <pic:cNvPr id="732" name="Image 73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4"/>
          <w:sz w:val="20"/>
        </w:rPr>
      </w:r>
      <w:r>
        <w:rPr>
          <w:rFonts w:ascii="Times New Roman"/>
          <w:color w:val="231F20"/>
          <w:spacing w:val="14"/>
          <w:sz w:val="20"/>
        </w:rPr>
        <w:t> </w:t>
      </w:r>
      <w:r>
        <w:rPr>
          <w:rFonts w:ascii="Book Antiqua"/>
          <w:b/>
          <w:color w:val="231F20"/>
          <w:sz w:val="20"/>
        </w:rPr>
        <w:t>This link does not target a specific workspace</w:t>
      </w:r>
      <w:r>
        <w:rPr>
          <w:color w:val="231F20"/>
          <w:sz w:val="20"/>
        </w:rPr>
        <w:t>.</w:t>
      </w:r>
    </w:p>
    <w:p>
      <w:pPr>
        <w:pStyle w:val="ListParagraph"/>
        <w:numPr>
          <w:ilvl w:val="1"/>
          <w:numId w:val="42"/>
        </w:numPr>
        <w:tabs>
          <w:tab w:pos="2864" w:val="left" w:leader="none"/>
        </w:tabs>
        <w:spacing w:line="213" w:lineRule="auto" w:before="58" w:after="0"/>
        <w:ind w:left="2864" w:right="402" w:hanging="316"/>
        <w:jc w:val="left"/>
        <w:rPr>
          <w:sz w:val="20"/>
        </w:rPr>
      </w:pPr>
      <w:r>
        <w:rPr>
          <w:color w:val="231F20"/>
          <w:sz w:val="20"/>
        </w:rPr>
        <w:t>If you would like the workspace to open in a new window instead of replacing the current workspace, select </w:t>
      </w:r>
      <w:r>
        <w:rPr>
          <w:color w:val="231F20"/>
          <w:spacing w:val="15"/>
          <w:sz w:val="20"/>
        </w:rPr>
        <w:drawing>
          <wp:inline distT="0" distB="0" distL="0" distR="0">
            <wp:extent cx="82550" cy="82550"/>
            <wp:effectExtent l="0" t="0" r="0" b="0"/>
            <wp:docPr id="733" name="Image 733"/>
            <wp:cNvGraphicFramePr>
              <a:graphicFrameLocks/>
            </wp:cNvGraphicFramePr>
            <a:graphic>
              <a:graphicData uri="http://schemas.openxmlformats.org/drawingml/2006/picture">
                <pic:pic>
                  <pic:nvPicPr>
                    <pic:cNvPr id="733" name="Image 73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Always open target workspace in new window</w:t>
      </w:r>
      <w:r>
        <w:rPr>
          <w:color w:val="231F20"/>
          <w:sz w:val="20"/>
        </w:rPr>
        <w:t>. If you are running the browser client and your browser supports tabbed pages, the workspace will open in a new tab.</w:t>
      </w:r>
    </w:p>
    <w:p>
      <w:pPr>
        <w:pStyle w:val="ListParagraph"/>
        <w:numPr>
          <w:ilvl w:val="1"/>
          <w:numId w:val="42"/>
        </w:numPr>
        <w:tabs>
          <w:tab w:pos="2807" w:val="left" w:leader="none"/>
          <w:tab w:pos="2809" w:val="left" w:leader="none"/>
        </w:tabs>
        <w:spacing w:line="213" w:lineRule="auto" w:before="57" w:after="0"/>
        <w:ind w:left="2809" w:right="919" w:hanging="261"/>
        <w:jc w:val="left"/>
        <w:rPr>
          <w:sz w:val="20"/>
        </w:rPr>
      </w:pPr>
      <w:r>
        <w:rPr>
          <w:color w:val="231F20"/>
          <w:sz w:val="20"/>
        </w:rPr>
        <w:t>Click </w:t>
      </w:r>
      <w:r>
        <w:rPr>
          <w:rFonts w:ascii="Book Antiqua"/>
          <w:b/>
          <w:color w:val="231F20"/>
          <w:sz w:val="20"/>
        </w:rPr>
        <w:t>Next </w:t>
      </w:r>
      <w:r>
        <w:rPr>
          <w:color w:val="231F20"/>
          <w:sz w:val="20"/>
        </w:rPr>
        <w:t>or, if this is an absolute or relative link and you are finished defining the link target, click </w:t>
      </w:r>
      <w:r>
        <w:rPr>
          <w:rFonts w:ascii="Book Antiqua"/>
          <w:b/>
          <w:color w:val="231F20"/>
          <w:sz w:val="20"/>
        </w:rPr>
        <w:t>Next </w:t>
      </w:r>
      <w:r>
        <w:rPr>
          <w:color w:val="231F20"/>
          <w:sz w:val="20"/>
        </w:rPr>
        <w:t>twice to see the the summary.</w:t>
      </w:r>
    </w:p>
    <w:p>
      <w:pPr>
        <w:pStyle w:val="ListParagraph"/>
        <w:numPr>
          <w:ilvl w:val="0"/>
          <w:numId w:val="42"/>
        </w:numPr>
        <w:tabs>
          <w:tab w:pos="2548" w:val="left" w:leader="none"/>
        </w:tabs>
        <w:spacing w:line="213" w:lineRule="auto" w:before="59" w:after="0"/>
        <w:ind w:left="2548" w:right="541" w:hanging="316"/>
        <w:jc w:val="left"/>
        <w:rPr>
          <w:sz w:val="20"/>
        </w:rPr>
      </w:pPr>
      <w:r>
        <w:rPr>
          <w:color w:val="231F20"/>
          <w:sz w:val="20"/>
        </w:rPr>
        <w:t>If this is an absolute or relative link and you want to refine the link definition,</w:t>
      </w:r>
      <w:r>
        <w:rPr>
          <w:color w:val="231F20"/>
          <w:spacing w:val="40"/>
          <w:sz w:val="20"/>
        </w:rPr>
        <w:t> </w:t>
      </w:r>
      <w:r>
        <w:rPr>
          <w:color w:val="231F20"/>
          <w:sz w:val="20"/>
        </w:rPr>
        <w:t>click </w:t>
      </w:r>
      <w:r>
        <w:rPr>
          <w:rFonts w:ascii="Book Antiqua"/>
          <w:b/>
          <w:color w:val="231F20"/>
          <w:sz w:val="20"/>
        </w:rPr>
        <w:t>Next </w:t>
      </w:r>
      <w:r>
        <w:rPr>
          <w:color w:val="231F20"/>
          <w:sz w:val="20"/>
        </w:rPr>
        <w:t>and add the expressions.</w:t>
      </w:r>
    </w:p>
    <w:p>
      <w:pPr>
        <w:spacing w:after="0" w:line="213" w:lineRule="auto"/>
        <w:jc w:val="left"/>
        <w:rPr>
          <w:sz w:val="20"/>
        </w:rPr>
        <w:sectPr>
          <w:pgSz w:w="12240" w:h="15840"/>
          <w:pgMar w:header="0" w:footer="736" w:top="1180" w:bottom="920" w:left="1000" w:right="1060"/>
        </w:sectPr>
      </w:pPr>
    </w:p>
    <w:p>
      <w:pPr>
        <w:pStyle w:val="ListParagraph"/>
        <w:numPr>
          <w:ilvl w:val="0"/>
          <w:numId w:val="42"/>
        </w:numPr>
        <w:tabs>
          <w:tab w:pos="2788" w:val="left" w:leader="none"/>
        </w:tabs>
        <w:spacing w:line="213" w:lineRule="auto" w:before="85" w:after="0"/>
        <w:ind w:left="2788" w:right="695" w:hanging="316"/>
        <w:jc w:val="left"/>
        <w:rPr>
          <w:sz w:val="20"/>
        </w:rPr>
      </w:pPr>
      <w:r>
        <w:rPr>
          <w:color w:val="231F20"/>
          <w:sz w:val="20"/>
        </w:rPr>
        <w:t>If this is a dynamic link, the Target Filters window is displayed for you to select the type of identifier for the target and specify the value to use:</w:t>
      </w:r>
    </w:p>
    <w:p>
      <w:pPr>
        <w:pStyle w:val="ListParagraph"/>
        <w:numPr>
          <w:ilvl w:val="1"/>
          <w:numId w:val="42"/>
        </w:numPr>
        <w:tabs>
          <w:tab w:pos="3104" w:val="left" w:leader="none"/>
        </w:tabs>
        <w:spacing w:line="213" w:lineRule="auto" w:before="58" w:after="0"/>
        <w:ind w:left="3104" w:right="195" w:hanging="316"/>
        <w:jc w:val="left"/>
        <w:rPr>
          <w:sz w:val="20"/>
        </w:rPr>
      </w:pPr>
      <w:r>
        <w:rPr>
          <w:color w:val="231F20"/>
          <w:sz w:val="20"/>
        </w:rPr>
        <w:t>Click the identifier to use: Managed system name, Hostname (distributed systems only), IP address (distributed systems only), or SMFID </w:t>
      </w:r>
      <w:r>
        <w:rPr>
          <w:color w:val="231F20"/>
          <w:sz w:val="20"/>
        </w:rPr>
        <w:t>(z/OS-based systems only) If you are not sure which one to choose, click </w:t>
      </w:r>
      <w:r>
        <w:rPr>
          <w:rFonts w:ascii="Book Antiqua"/>
          <w:b/>
          <w:color w:val="231F20"/>
          <w:sz w:val="20"/>
        </w:rPr>
        <w:t>Managed</w:t>
      </w:r>
      <w:r>
        <w:rPr>
          <w:rFonts w:ascii="Book Antiqua"/>
          <w:b/>
          <w:color w:val="231F20"/>
          <w:spacing w:val="80"/>
          <w:sz w:val="20"/>
        </w:rPr>
        <w:t> </w:t>
      </w:r>
      <w:r>
        <w:rPr>
          <w:rFonts w:ascii="Book Antiqua"/>
          <w:b/>
          <w:color w:val="231F20"/>
          <w:sz w:val="20"/>
        </w:rPr>
        <w:t>System name</w:t>
      </w:r>
      <w:r>
        <w:rPr>
          <w:color w:val="231F20"/>
          <w:sz w:val="20"/>
        </w:rPr>
        <w:t>.</w:t>
      </w:r>
    </w:p>
    <w:p>
      <w:pPr>
        <w:pStyle w:val="ListParagraph"/>
        <w:numPr>
          <w:ilvl w:val="1"/>
          <w:numId w:val="42"/>
        </w:numPr>
        <w:tabs>
          <w:tab w:pos="3104" w:val="left" w:leader="none"/>
        </w:tabs>
        <w:spacing w:line="213" w:lineRule="auto" w:before="57" w:after="0"/>
        <w:ind w:left="3104" w:right="260" w:hanging="316"/>
        <w:jc w:val="left"/>
        <w:rPr>
          <w:sz w:val="20"/>
        </w:rPr>
      </w:pPr>
      <w:r>
        <w:rPr>
          <w:color w:val="231F20"/>
          <w:sz w:val="20"/>
        </w:rPr>
        <w:t>Click </w:t>
      </w:r>
      <w:r>
        <w:rPr>
          <w:rFonts w:ascii="Book Antiqua"/>
          <w:b/>
          <w:color w:val="231F20"/>
          <w:sz w:val="20"/>
        </w:rPr>
        <w:t>Modify Expression </w:t>
      </w:r>
      <w:r>
        <w:rPr>
          <w:color w:val="231F20"/>
          <w:sz w:val="20"/>
        </w:rPr>
        <w:t>to open the Expression Editor, then click </w:t>
      </w:r>
      <w:r>
        <w:rPr>
          <w:rFonts w:ascii="Book Antiqua"/>
          <w:b/>
          <w:color w:val="231F20"/>
          <w:sz w:val="20"/>
        </w:rPr>
        <w:t>Symbol</w:t>
      </w:r>
      <w:r>
        <w:rPr>
          <w:color w:val="231F20"/>
          <w:sz w:val="20"/>
        </w:rPr>
        <w:t>. The</w:t>
      </w:r>
      <w:r>
        <w:rPr>
          <w:color w:val="231F20"/>
          <w:spacing w:val="27"/>
          <w:sz w:val="20"/>
        </w:rPr>
        <w:t> </w:t>
      </w:r>
      <w:r>
        <w:rPr>
          <w:color w:val="231F20"/>
          <w:sz w:val="20"/>
        </w:rPr>
        <w:t>list</w:t>
      </w:r>
      <w:r>
        <w:rPr>
          <w:color w:val="231F20"/>
          <w:spacing w:val="27"/>
          <w:sz w:val="20"/>
        </w:rPr>
        <w:t> </w:t>
      </w:r>
      <w:r>
        <w:rPr>
          <w:color w:val="231F20"/>
          <w:sz w:val="20"/>
        </w:rPr>
        <w:t>is</w:t>
      </w:r>
      <w:r>
        <w:rPr>
          <w:color w:val="231F20"/>
          <w:spacing w:val="27"/>
          <w:sz w:val="20"/>
        </w:rPr>
        <w:t> </w:t>
      </w:r>
      <w:r>
        <w:rPr>
          <w:color w:val="231F20"/>
          <w:sz w:val="20"/>
        </w:rPr>
        <w:t>a</w:t>
      </w:r>
      <w:r>
        <w:rPr>
          <w:color w:val="231F20"/>
          <w:spacing w:val="27"/>
          <w:sz w:val="20"/>
        </w:rPr>
        <w:t> </w:t>
      </w:r>
      <w:r>
        <w:rPr>
          <w:color w:val="231F20"/>
          <w:sz w:val="20"/>
        </w:rPr>
        <w:t>reverse</w:t>
      </w:r>
      <w:r>
        <w:rPr>
          <w:color w:val="231F20"/>
          <w:spacing w:val="27"/>
          <w:sz w:val="20"/>
        </w:rPr>
        <w:t> </w:t>
      </w:r>
      <w:r>
        <w:rPr>
          <w:color w:val="231F20"/>
          <w:sz w:val="20"/>
        </w:rPr>
        <w:t>hierarchy</w:t>
      </w:r>
      <w:r>
        <w:rPr>
          <w:color w:val="231F20"/>
          <w:spacing w:val="27"/>
          <w:sz w:val="20"/>
        </w:rPr>
        <w:t> </w:t>
      </w:r>
      <w:r>
        <w:rPr>
          <w:color w:val="231F20"/>
          <w:sz w:val="20"/>
        </w:rPr>
        <w:t>of</w:t>
      </w:r>
      <w:r>
        <w:rPr>
          <w:color w:val="231F20"/>
          <w:spacing w:val="27"/>
          <w:sz w:val="20"/>
        </w:rPr>
        <w:t> </w:t>
      </w:r>
      <w:r>
        <w:rPr>
          <w:color w:val="231F20"/>
          <w:sz w:val="20"/>
        </w:rPr>
        <w:t>available</w:t>
      </w:r>
      <w:r>
        <w:rPr>
          <w:color w:val="231F20"/>
          <w:spacing w:val="15"/>
          <w:sz w:val="20"/>
        </w:rPr>
        <w:t> </w:t>
      </w:r>
      <w:r>
        <w:rPr>
          <w:color w:val="231F20"/>
          <w:spacing w:val="15"/>
          <w:sz w:val="20"/>
        </w:rPr>
        <w:drawing>
          <wp:inline distT="0" distB="0" distL="0" distR="0">
            <wp:extent cx="63500" cy="63500"/>
            <wp:effectExtent l="0" t="0" r="0" b="0"/>
            <wp:docPr id="734" name="Image 734"/>
            <wp:cNvGraphicFramePr>
              <a:graphicFrameLocks/>
            </wp:cNvGraphicFramePr>
            <a:graphic>
              <a:graphicData uri="http://schemas.openxmlformats.org/drawingml/2006/picture">
                <pic:pic>
                  <pic:nvPicPr>
                    <pic:cNvPr id="734" name="Image 734"/>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5"/>
          <w:sz w:val="20"/>
        </w:rPr>
      </w:r>
      <w:r>
        <w:rPr>
          <w:rFonts w:ascii="Times New Roman"/>
          <w:color w:val="231F20"/>
          <w:spacing w:val="-10"/>
          <w:sz w:val="20"/>
        </w:rPr>
        <w:t> </w:t>
      </w:r>
      <w:r>
        <w:rPr>
          <w:color w:val="231F20"/>
          <w:sz w:val="20"/>
        </w:rPr>
        <w:t>symbols</w:t>
      </w:r>
      <w:r>
        <w:rPr>
          <w:color w:val="231F20"/>
          <w:spacing w:val="27"/>
          <w:sz w:val="20"/>
        </w:rPr>
        <w:t> </w:t>
      </w:r>
      <w:r>
        <w:rPr>
          <w:color w:val="231F20"/>
          <w:sz w:val="20"/>
        </w:rPr>
        <w:t>starting</w:t>
      </w:r>
      <w:r>
        <w:rPr>
          <w:color w:val="231F20"/>
          <w:spacing w:val="27"/>
          <w:sz w:val="20"/>
        </w:rPr>
        <w:t> </w:t>
      </w:r>
      <w:r>
        <w:rPr>
          <w:color w:val="231F20"/>
          <w:sz w:val="20"/>
        </w:rPr>
        <w:t>from</w:t>
      </w:r>
      <w:r>
        <w:rPr>
          <w:color w:val="231F20"/>
          <w:spacing w:val="27"/>
          <w:sz w:val="20"/>
        </w:rPr>
        <w:t> </w:t>
      </w:r>
      <w:r>
        <w:rPr>
          <w:color w:val="231F20"/>
          <w:sz w:val="20"/>
        </w:rPr>
        <w:t>the source context and the current Navigator item and ending at the root Navigator item.</w:t>
      </w:r>
    </w:p>
    <w:p>
      <w:pPr>
        <w:pStyle w:val="ListParagraph"/>
        <w:numPr>
          <w:ilvl w:val="1"/>
          <w:numId w:val="42"/>
        </w:numPr>
        <w:tabs>
          <w:tab w:pos="3091" w:val="left" w:leader="none"/>
          <w:tab w:pos="3093" w:val="left" w:leader="none"/>
        </w:tabs>
        <w:spacing w:line="213" w:lineRule="auto" w:before="58" w:after="0"/>
        <w:ind w:left="3093" w:right="207" w:hanging="305"/>
        <w:jc w:val="left"/>
        <w:rPr>
          <w:sz w:val="20"/>
        </w:rPr>
      </w:pPr>
      <w:r>
        <w:rPr>
          <w:color w:val="231F20"/>
          <w:sz w:val="20"/>
        </w:rPr>
        <w:t>Select a </w:t>
      </w:r>
      <w:r>
        <w:rPr>
          <w:color w:val="231F20"/>
          <w:spacing w:val="16"/>
          <w:sz w:val="20"/>
        </w:rPr>
        <w:drawing>
          <wp:inline distT="0" distB="0" distL="0" distR="0">
            <wp:extent cx="63500" cy="63500"/>
            <wp:effectExtent l="0" t="0" r="0" b="0"/>
            <wp:docPr id="735" name="Image 735"/>
            <wp:cNvGraphicFramePr>
              <a:graphicFrameLocks/>
            </wp:cNvGraphicFramePr>
            <a:graphic>
              <a:graphicData uri="http://schemas.openxmlformats.org/drawingml/2006/picture">
                <pic:pic>
                  <pic:nvPicPr>
                    <pic:cNvPr id="735" name="Image 735"/>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6"/>
          <w:sz w:val="20"/>
        </w:rPr>
      </w:r>
      <w:r>
        <w:rPr>
          <w:rFonts w:ascii="Times New Roman"/>
          <w:color w:val="231F20"/>
          <w:spacing w:val="-12"/>
          <w:sz w:val="20"/>
        </w:rPr>
        <w:t> </w:t>
      </w:r>
      <w:r>
        <w:rPr>
          <w:color w:val="231F20"/>
          <w:sz w:val="20"/>
        </w:rPr>
        <w:t>symbol that provides the value for the system identifier. For example, </w:t>
      </w:r>
      <w:r>
        <w:rPr>
          <w:rFonts w:ascii="Book Antiqua"/>
          <w:b/>
          <w:color w:val="231F20"/>
          <w:sz w:val="20"/>
        </w:rPr>
        <w:t>Server Name </w:t>
      </w:r>
      <w:r>
        <w:rPr>
          <w:color w:val="231F20"/>
          <w:sz w:val="20"/>
        </w:rPr>
        <w:t>will provide the value needed for </w:t>
      </w:r>
      <w:r>
        <w:rPr>
          <w:rFonts w:ascii="Book Antiqua"/>
          <w:b/>
          <w:color w:val="231F20"/>
          <w:sz w:val="20"/>
        </w:rPr>
        <w:t>Managed system name </w:t>
      </w:r>
      <w:r>
        <w:rPr>
          <w:color w:val="231F20"/>
          <w:sz w:val="20"/>
        </w:rPr>
        <w:t>when the link is launched. You might need to open different </w:t>
      </w:r>
      <w:r>
        <w:rPr>
          <w:color w:val="231F20"/>
          <w:sz w:val="20"/>
        </w:rPr>
        <w:t>branches to locate a symbol for the type of target filter chosen.</w:t>
      </w:r>
    </w:p>
    <w:p>
      <w:pPr>
        <w:pStyle w:val="BodyText"/>
        <w:spacing w:line="213" w:lineRule="auto"/>
        <w:ind w:left="3292" w:right="5533" w:hanging="190"/>
      </w:pPr>
      <w:r>
        <w:rPr>
          <w:position w:val="-1"/>
        </w:rPr>
        <w:drawing>
          <wp:inline distT="0" distB="0" distL="0" distR="0">
            <wp:extent cx="95250" cy="95250"/>
            <wp:effectExtent l="0" t="0" r="0" b="0"/>
            <wp:docPr id="736" name="Image 736"/>
            <wp:cNvGraphicFramePr>
              <a:graphicFrameLocks/>
            </wp:cNvGraphicFramePr>
            <a:graphic>
              <a:graphicData uri="http://schemas.openxmlformats.org/drawingml/2006/picture">
                <pic:pic>
                  <pic:nvPicPr>
                    <pic:cNvPr id="736" name="Image 736"/>
                    <pic:cNvPicPr/>
                  </pic:nvPicPr>
                  <pic:blipFill>
                    <a:blip r:embed="rId50"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Selected </w:t>
      </w:r>
      <w:r>
        <w:rPr>
          <w:color w:val="231F20"/>
        </w:rPr>
        <w:t>Row </w:t>
      </w:r>
      <w:r>
        <w:rPr>
          <w:color w:val="231F20"/>
          <w:position w:val="-1"/>
        </w:rPr>
        <w:drawing>
          <wp:inline distT="0" distB="0" distL="0" distR="0">
            <wp:extent cx="101600" cy="95250"/>
            <wp:effectExtent l="0" t="0" r="0" b="0"/>
            <wp:docPr id="737" name="Image 737"/>
            <wp:cNvGraphicFramePr>
              <a:graphicFrameLocks/>
            </wp:cNvGraphicFramePr>
            <a:graphic>
              <a:graphicData uri="http://schemas.openxmlformats.org/drawingml/2006/picture">
                <pic:pic>
                  <pic:nvPicPr>
                    <pic:cNvPr id="737" name="Image 737"/>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rPr>
        <w:t> </w:t>
      </w:r>
      <w:r>
        <w:rPr>
          <w:color w:val="231F20"/>
        </w:rPr>
        <w:t>Attributes</w:t>
      </w:r>
    </w:p>
    <w:p>
      <w:pPr>
        <w:pStyle w:val="BodyText"/>
        <w:spacing w:line="230" w:lineRule="exact"/>
        <w:ind w:left="3492"/>
      </w:pPr>
      <w:r>
        <w:rPr/>
        <w:drawing>
          <wp:inline distT="0" distB="0" distL="0" distR="0">
            <wp:extent cx="63500" cy="63500"/>
            <wp:effectExtent l="0" t="0" r="0" b="0"/>
            <wp:docPr id="738" name="Image 738"/>
            <wp:cNvGraphicFramePr>
              <a:graphicFrameLocks/>
            </wp:cNvGraphicFramePr>
            <a:graphic>
              <a:graphicData uri="http://schemas.openxmlformats.org/drawingml/2006/picture">
                <pic:pic>
                  <pic:nvPicPr>
                    <pic:cNvPr id="738" name="Image 738"/>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w:t>
      </w:r>
      <w:r>
        <w:rPr>
          <w:color w:val="231F20"/>
          <w:spacing w:val="40"/>
        </w:rPr>
        <w:t> </w:t>
      </w:r>
      <w:r>
        <w:rPr>
          <w:color w:val="231F20"/>
        </w:rPr>
        <w:t>Usage</w:t>
      </w:r>
    </w:p>
    <w:p>
      <w:pPr>
        <w:pStyle w:val="BodyText"/>
        <w:spacing w:line="239" w:lineRule="exact"/>
        <w:ind w:left="3691"/>
      </w:pPr>
      <w:r>
        <w:rPr/>
        <w:drawing>
          <wp:inline distT="0" distB="0" distL="0" distR="0">
            <wp:extent cx="63500" cy="63500"/>
            <wp:effectExtent l="0" t="0" r="0" b="0"/>
            <wp:docPr id="739" name="Image 739"/>
            <wp:cNvGraphicFramePr>
              <a:graphicFrameLocks/>
            </wp:cNvGraphicFramePr>
            <a:graphic>
              <a:graphicData uri="http://schemas.openxmlformats.org/drawingml/2006/picture">
                <pic:pic>
                  <pic:nvPicPr>
                    <pic:cNvPr id="739" name="Image 739"/>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2"/>
        </w:rPr>
        <w:t> </w:t>
      </w:r>
      <w:r>
        <w:rPr>
          <w:color w:val="231F20"/>
        </w:rPr>
        <w:t>Current</w:t>
      </w:r>
      <w:r>
        <w:rPr>
          <w:color w:val="231F20"/>
          <w:spacing w:val="14"/>
        </w:rPr>
        <w:t> </w:t>
      </w:r>
      <w:r>
        <w:rPr>
          <w:color w:val="231F20"/>
        </w:rPr>
        <w:t>Size</w:t>
      </w:r>
    </w:p>
    <w:p>
      <w:pPr>
        <w:pStyle w:val="BodyText"/>
        <w:spacing w:line="255" w:lineRule="exact"/>
        <w:ind w:left="3891"/>
      </w:pPr>
      <w:r>
        <w:rPr/>
        <w:drawing>
          <wp:inline distT="0" distB="0" distL="0" distR="0">
            <wp:extent cx="63500" cy="63500"/>
            <wp:effectExtent l="0" t="0" r="0" b="0"/>
            <wp:docPr id="740" name="Image 740"/>
            <wp:cNvGraphicFramePr>
              <a:graphicFrameLocks/>
            </wp:cNvGraphicFramePr>
            <a:graphic>
              <a:graphicData uri="http://schemas.openxmlformats.org/drawingml/2006/picture">
                <pic:pic>
                  <pic:nvPicPr>
                    <pic:cNvPr id="740" name="Image 740"/>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rPr>
        <w:t> </w:t>
      </w:r>
      <w:r>
        <w:rPr>
          <w:color w:val="231F20"/>
        </w:rPr>
        <w:t>Server</w:t>
      </w:r>
      <w:r>
        <w:rPr>
          <w:color w:val="231F20"/>
          <w:spacing w:val="17"/>
        </w:rPr>
        <w:t> </w:t>
      </w:r>
      <w:r>
        <w:rPr>
          <w:color w:val="231F20"/>
        </w:rPr>
        <w:t>Name</w:t>
      </w:r>
    </w:p>
    <w:p>
      <w:pPr>
        <w:pStyle w:val="ListParagraph"/>
        <w:numPr>
          <w:ilvl w:val="1"/>
          <w:numId w:val="42"/>
        </w:numPr>
        <w:tabs>
          <w:tab w:pos="3103" w:val="left" w:leader="none"/>
        </w:tabs>
        <w:spacing w:line="255" w:lineRule="exact" w:before="26" w:after="0"/>
        <w:ind w:left="3103" w:right="0" w:hanging="315"/>
        <w:jc w:val="left"/>
        <w:rPr>
          <w:sz w:val="20"/>
        </w:rPr>
      </w:pPr>
      <w:r>
        <w:rPr>
          <w:color w:val="231F20"/>
          <w:sz w:val="20"/>
        </w:rPr>
        <w:t>Click</w:t>
      </w:r>
      <w:r>
        <w:rPr>
          <w:color w:val="231F20"/>
          <w:spacing w:val="11"/>
          <w:sz w:val="20"/>
        </w:rPr>
        <w:t> </w:t>
      </w:r>
      <w:r>
        <w:rPr>
          <w:rFonts w:ascii="Book Antiqua"/>
          <w:b/>
          <w:color w:val="231F20"/>
          <w:sz w:val="20"/>
        </w:rPr>
        <w:t>OK</w:t>
      </w:r>
      <w:r>
        <w:rPr>
          <w:rFonts w:ascii="Book Antiqua"/>
          <w:b/>
          <w:color w:val="231F20"/>
          <w:spacing w:val="11"/>
          <w:sz w:val="20"/>
        </w:rPr>
        <w:t> </w:t>
      </w:r>
      <w:r>
        <w:rPr>
          <w:color w:val="231F20"/>
          <w:sz w:val="20"/>
        </w:rPr>
        <w:t>add</w:t>
      </w:r>
      <w:r>
        <w:rPr>
          <w:color w:val="231F20"/>
          <w:spacing w:val="11"/>
          <w:sz w:val="20"/>
        </w:rPr>
        <w:t> </w:t>
      </w:r>
      <w:r>
        <w:rPr>
          <w:color w:val="231F20"/>
          <w:sz w:val="20"/>
        </w:rPr>
        <w:t>the</w:t>
      </w:r>
      <w:r>
        <w:rPr>
          <w:color w:val="231F20"/>
          <w:spacing w:val="11"/>
          <w:sz w:val="20"/>
        </w:rPr>
        <w:t> </w:t>
      </w:r>
      <w:r>
        <w:rPr>
          <w:color w:val="231F20"/>
          <w:sz w:val="20"/>
        </w:rPr>
        <w:t>detailed</w:t>
      </w:r>
      <w:r>
        <w:rPr>
          <w:color w:val="231F20"/>
          <w:spacing w:val="12"/>
          <w:sz w:val="20"/>
        </w:rPr>
        <w:t> </w:t>
      </w:r>
      <w:r>
        <w:rPr>
          <w:color w:val="231F20"/>
          <w:sz w:val="20"/>
        </w:rPr>
        <w:t>name</w:t>
      </w:r>
      <w:r>
        <w:rPr>
          <w:color w:val="231F20"/>
          <w:spacing w:val="11"/>
          <w:sz w:val="20"/>
        </w:rPr>
        <w:t> </w:t>
      </w:r>
      <w:r>
        <w:rPr>
          <w:color w:val="231F20"/>
          <w:sz w:val="20"/>
        </w:rPr>
        <w:t>for</w:t>
      </w:r>
      <w:r>
        <w:rPr>
          <w:color w:val="231F20"/>
          <w:spacing w:val="11"/>
          <w:sz w:val="20"/>
        </w:rPr>
        <w:t> </w:t>
      </w:r>
      <w:r>
        <w:rPr>
          <w:color w:val="231F20"/>
          <w:sz w:val="20"/>
        </w:rPr>
        <w:t>the</w:t>
      </w:r>
      <w:r>
        <w:rPr>
          <w:color w:val="231F20"/>
          <w:spacing w:val="11"/>
          <w:sz w:val="20"/>
        </w:rPr>
        <w:t> </w:t>
      </w:r>
      <w:r>
        <w:rPr>
          <w:color w:val="231F20"/>
          <w:sz w:val="20"/>
        </w:rPr>
        <w:t>attribute</w:t>
      </w:r>
      <w:r>
        <w:rPr>
          <w:color w:val="231F20"/>
          <w:spacing w:val="12"/>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Expression</w:t>
      </w:r>
      <w:r>
        <w:rPr>
          <w:color w:val="231F20"/>
          <w:spacing w:val="11"/>
          <w:sz w:val="20"/>
        </w:rPr>
        <w:t> </w:t>
      </w:r>
      <w:r>
        <w:rPr>
          <w:color w:val="231F20"/>
          <w:spacing w:val="-2"/>
          <w:sz w:val="20"/>
        </w:rPr>
        <w:t>Editor.</w:t>
      </w:r>
    </w:p>
    <w:p>
      <w:pPr>
        <w:pStyle w:val="BodyText"/>
        <w:spacing w:line="255" w:lineRule="exact"/>
        <w:ind w:left="3104"/>
      </w:pPr>
      <w:r>
        <w:rPr>
          <w:color w:val="231F20"/>
          <w:spacing w:val="-2"/>
        </w:rPr>
        <w:t>$kfw.TableRow:ATTRIBUTE.NTLOGINFO.ORIGINNODE$</w:t>
      </w:r>
    </w:p>
    <w:p>
      <w:pPr>
        <w:pStyle w:val="ListParagraph"/>
        <w:numPr>
          <w:ilvl w:val="1"/>
          <w:numId w:val="42"/>
        </w:numPr>
        <w:tabs>
          <w:tab w:pos="3104" w:val="left" w:leader="none"/>
        </w:tabs>
        <w:spacing w:line="213" w:lineRule="auto" w:before="53" w:after="0"/>
        <w:ind w:left="3104" w:right="172" w:hanging="316"/>
        <w:jc w:val="left"/>
        <w:rPr>
          <w:sz w:val="20"/>
        </w:rPr>
      </w:pPr>
      <w:r>
        <w:rPr>
          <w:color w:val="231F20"/>
          <w:sz w:val="20"/>
        </w:rPr>
        <w:t>Click</w:t>
      </w:r>
      <w:r>
        <w:rPr>
          <w:color w:val="231F20"/>
          <w:spacing w:val="25"/>
          <w:sz w:val="20"/>
        </w:rPr>
        <w:t> </w:t>
      </w:r>
      <w:r>
        <w:rPr>
          <w:rFonts w:ascii="Book Antiqua"/>
          <w:b/>
          <w:color w:val="231F20"/>
          <w:sz w:val="20"/>
        </w:rPr>
        <w:t>Evaluate</w:t>
      </w:r>
      <w:r>
        <w:rPr>
          <w:rFonts w:ascii="Book Antiqua"/>
          <w:b/>
          <w:color w:val="231F20"/>
          <w:spacing w:val="25"/>
          <w:sz w:val="20"/>
        </w:rPr>
        <w:t> </w:t>
      </w:r>
      <w:r>
        <w:rPr>
          <w:color w:val="231F20"/>
          <w:sz w:val="20"/>
        </w:rPr>
        <w:t>to</w:t>
      </w:r>
      <w:r>
        <w:rPr>
          <w:color w:val="231F20"/>
          <w:spacing w:val="25"/>
          <w:sz w:val="20"/>
        </w:rPr>
        <w:t> </w:t>
      </w:r>
      <w:r>
        <w:rPr>
          <w:color w:val="231F20"/>
          <w:sz w:val="20"/>
        </w:rPr>
        <w:t>verify</w:t>
      </w:r>
      <w:r>
        <w:rPr>
          <w:color w:val="231F20"/>
          <w:spacing w:val="25"/>
          <w:sz w:val="20"/>
        </w:rPr>
        <w:t> </w:t>
      </w:r>
      <w:r>
        <w:rPr>
          <w:color w:val="231F20"/>
          <w:sz w:val="20"/>
        </w:rPr>
        <w:t>that</w:t>
      </w:r>
      <w:r>
        <w:rPr>
          <w:color w:val="231F20"/>
          <w:spacing w:val="25"/>
          <w:sz w:val="20"/>
        </w:rPr>
        <w:t> </w:t>
      </w:r>
      <w:r>
        <w:rPr>
          <w:color w:val="231F20"/>
          <w:sz w:val="20"/>
        </w:rPr>
        <w:t>the</w:t>
      </w:r>
      <w:r>
        <w:rPr>
          <w:color w:val="231F20"/>
          <w:spacing w:val="25"/>
          <w:sz w:val="20"/>
        </w:rPr>
        <w:t> </w:t>
      </w:r>
      <w:r>
        <w:rPr>
          <w:color w:val="231F20"/>
          <w:sz w:val="20"/>
        </w:rPr>
        <w:t>variable</w:t>
      </w:r>
      <w:r>
        <w:rPr>
          <w:color w:val="231F20"/>
          <w:spacing w:val="25"/>
          <w:sz w:val="20"/>
        </w:rPr>
        <w:t> </w:t>
      </w:r>
      <w:r>
        <w:rPr>
          <w:color w:val="231F20"/>
          <w:sz w:val="20"/>
        </w:rPr>
        <w:t>resolves</w:t>
      </w:r>
      <w:r>
        <w:rPr>
          <w:color w:val="231F20"/>
          <w:spacing w:val="25"/>
          <w:sz w:val="20"/>
        </w:rPr>
        <w:t> </w:t>
      </w:r>
      <w:r>
        <w:rPr>
          <w:color w:val="231F20"/>
          <w:sz w:val="20"/>
        </w:rPr>
        <w:t>correctly.</w:t>
      </w:r>
      <w:r>
        <w:rPr>
          <w:color w:val="231F20"/>
          <w:spacing w:val="25"/>
          <w:sz w:val="20"/>
        </w:rPr>
        <w:t> </w:t>
      </w:r>
      <w:r>
        <w:rPr>
          <w:color w:val="231F20"/>
          <w:sz w:val="20"/>
        </w:rPr>
        <w:t>The</w:t>
      </w:r>
      <w:r>
        <w:rPr>
          <w:color w:val="231F20"/>
          <w:spacing w:val="25"/>
          <w:sz w:val="20"/>
        </w:rPr>
        <w:t> </w:t>
      </w:r>
      <w:r>
        <w:rPr>
          <w:color w:val="231F20"/>
          <w:sz w:val="20"/>
        </w:rPr>
        <w:t>Value shown</w:t>
      </w:r>
      <w:r>
        <w:rPr>
          <w:color w:val="231F20"/>
          <w:spacing w:val="24"/>
          <w:sz w:val="20"/>
        </w:rPr>
        <w:t> </w:t>
      </w:r>
      <w:r>
        <w:rPr>
          <w:color w:val="231F20"/>
          <w:sz w:val="20"/>
        </w:rPr>
        <w:t>must</w:t>
      </w:r>
      <w:r>
        <w:rPr>
          <w:color w:val="231F20"/>
          <w:spacing w:val="24"/>
          <w:sz w:val="20"/>
        </w:rPr>
        <w:t> </w:t>
      </w:r>
      <w:r>
        <w:rPr>
          <w:color w:val="231F20"/>
          <w:sz w:val="20"/>
        </w:rPr>
        <w:t>be</w:t>
      </w:r>
      <w:r>
        <w:rPr>
          <w:color w:val="231F20"/>
          <w:spacing w:val="24"/>
          <w:sz w:val="20"/>
        </w:rPr>
        <w:t> </w:t>
      </w:r>
      <w:r>
        <w:rPr>
          <w:color w:val="231F20"/>
          <w:sz w:val="20"/>
        </w:rPr>
        <w:t>valid</w:t>
      </w:r>
      <w:r>
        <w:rPr>
          <w:color w:val="231F20"/>
          <w:spacing w:val="24"/>
          <w:sz w:val="20"/>
        </w:rPr>
        <w:t> </w:t>
      </w:r>
      <w:r>
        <w:rPr>
          <w:color w:val="231F20"/>
          <w:sz w:val="20"/>
        </w:rPr>
        <w:t>for</w:t>
      </w:r>
      <w:r>
        <w:rPr>
          <w:color w:val="231F20"/>
          <w:spacing w:val="24"/>
          <w:sz w:val="20"/>
        </w:rPr>
        <w:t> </w:t>
      </w:r>
      <w:r>
        <w:rPr>
          <w:color w:val="231F20"/>
          <w:sz w:val="20"/>
        </w:rPr>
        <w:t>the</w:t>
      </w:r>
      <w:r>
        <w:rPr>
          <w:color w:val="231F20"/>
          <w:spacing w:val="24"/>
          <w:sz w:val="20"/>
        </w:rPr>
        <w:t> </w:t>
      </w:r>
      <w:r>
        <w:rPr>
          <w:color w:val="231F20"/>
          <w:sz w:val="20"/>
        </w:rPr>
        <w:t>identifier</w:t>
      </w:r>
      <w:r>
        <w:rPr>
          <w:color w:val="231F20"/>
          <w:spacing w:val="24"/>
          <w:sz w:val="20"/>
        </w:rPr>
        <w:t> </w:t>
      </w:r>
      <w:r>
        <w:rPr>
          <w:color w:val="231F20"/>
          <w:sz w:val="20"/>
        </w:rPr>
        <w:t>type</w:t>
      </w:r>
      <w:r>
        <w:rPr>
          <w:color w:val="231F20"/>
          <w:spacing w:val="24"/>
          <w:sz w:val="20"/>
        </w:rPr>
        <w:t> </w:t>
      </w:r>
      <w:r>
        <w:rPr>
          <w:color w:val="231F20"/>
          <w:sz w:val="20"/>
        </w:rPr>
        <w:t>you</w:t>
      </w:r>
      <w:r>
        <w:rPr>
          <w:color w:val="231F20"/>
          <w:spacing w:val="24"/>
          <w:sz w:val="20"/>
        </w:rPr>
        <w:t> </w:t>
      </w:r>
      <w:r>
        <w:rPr>
          <w:color w:val="231F20"/>
          <w:sz w:val="20"/>
        </w:rPr>
        <w:t>specified.</w:t>
      </w:r>
      <w:r>
        <w:rPr>
          <w:color w:val="231F20"/>
          <w:spacing w:val="24"/>
          <w:sz w:val="20"/>
        </w:rPr>
        <w:t> </w:t>
      </w:r>
      <w:r>
        <w:rPr>
          <w:color w:val="231F20"/>
          <w:sz w:val="20"/>
        </w:rPr>
        <w:t>For</w:t>
      </w:r>
      <w:r>
        <w:rPr>
          <w:color w:val="231F20"/>
          <w:spacing w:val="24"/>
          <w:sz w:val="20"/>
        </w:rPr>
        <w:t> </w:t>
      </w:r>
      <w:r>
        <w:rPr>
          <w:color w:val="231F20"/>
          <w:sz w:val="20"/>
        </w:rPr>
        <w:t>example,</w:t>
      </w:r>
      <w:r>
        <w:rPr>
          <w:color w:val="231F20"/>
          <w:spacing w:val="24"/>
          <w:sz w:val="20"/>
        </w:rPr>
        <w:t> </w:t>
      </w:r>
      <w:r>
        <w:rPr>
          <w:color w:val="231F20"/>
          <w:sz w:val="20"/>
        </w:rPr>
        <w:t>for</w:t>
      </w:r>
      <w:r>
        <w:rPr>
          <w:color w:val="231F20"/>
          <w:sz w:val="20"/>
        </w:rPr>
        <w:t> a computer named TIVOLIUSER, Primary:TIVOLIUSER:NT is a valid Windows OS managed system name and TIVOLIUSER is a valid host name.</w:t>
      </w:r>
    </w:p>
    <w:p>
      <w:pPr>
        <w:pStyle w:val="ListParagraph"/>
        <w:numPr>
          <w:ilvl w:val="1"/>
          <w:numId w:val="42"/>
        </w:numPr>
        <w:tabs>
          <w:tab w:pos="3046" w:val="left" w:leader="none"/>
          <w:tab w:pos="3048" w:val="left" w:leader="none"/>
        </w:tabs>
        <w:spacing w:line="213" w:lineRule="auto" w:before="57" w:after="0"/>
        <w:ind w:left="3048" w:right="349" w:hanging="261"/>
        <w:jc w:val="left"/>
        <w:rPr>
          <w:sz w:val="20"/>
        </w:rPr>
      </w:pPr>
      <w:r>
        <w:rPr>
          <w:color w:val="231F20"/>
          <w:sz w:val="20"/>
        </w:rPr>
        <w:t>If no value is displayed or you get a syntax error or a value that does not</w:t>
      </w:r>
      <w:r>
        <w:rPr>
          <w:color w:val="231F20"/>
          <w:spacing w:val="40"/>
          <w:sz w:val="20"/>
        </w:rPr>
        <w:t> </w:t>
      </w:r>
      <w:r>
        <w:rPr>
          <w:color w:val="231F20"/>
          <w:sz w:val="20"/>
        </w:rPr>
        <w:t>identify the system, click </w:t>
      </w:r>
      <w:r>
        <w:rPr>
          <w:rFonts w:ascii="Book Antiqua"/>
          <w:b/>
          <w:color w:val="231F20"/>
          <w:sz w:val="20"/>
        </w:rPr>
        <w:t>Clear </w:t>
      </w:r>
      <w:r>
        <w:rPr>
          <w:color w:val="231F20"/>
          <w:sz w:val="20"/>
        </w:rPr>
        <w:t>and select a different symbol or try </w:t>
      </w:r>
      <w:r>
        <w:rPr>
          <w:color w:val="231F20"/>
          <w:sz w:val="20"/>
        </w:rPr>
        <w:t>another </w:t>
      </w:r>
      <w:r>
        <w:rPr>
          <w:color w:val="231F20"/>
          <w:spacing w:val="-2"/>
          <w:sz w:val="20"/>
        </w:rPr>
        <w:t>identifier.</w:t>
      </w:r>
    </w:p>
    <w:p>
      <w:pPr>
        <w:pStyle w:val="ListParagraph"/>
        <w:numPr>
          <w:ilvl w:val="1"/>
          <w:numId w:val="42"/>
        </w:numPr>
        <w:tabs>
          <w:tab w:pos="3104" w:val="left" w:leader="none"/>
        </w:tabs>
        <w:spacing w:line="213" w:lineRule="auto" w:before="58" w:after="0"/>
        <w:ind w:left="3104" w:right="335" w:hanging="316"/>
        <w:jc w:val="left"/>
        <w:rPr>
          <w:sz w:val="20"/>
        </w:rPr>
      </w:pPr>
      <w:r>
        <w:rPr>
          <w:color w:val="231F20"/>
          <w:sz w:val="20"/>
        </w:rPr>
        <w:t>In addition to </w:t>
      </w:r>
      <w:r>
        <w:rPr>
          <w:rFonts w:ascii="Book Antiqua"/>
          <w:b/>
          <w:color w:val="231F20"/>
          <w:sz w:val="20"/>
        </w:rPr>
        <w:t>Symbol</w:t>
      </w:r>
      <w:r>
        <w:rPr>
          <w:color w:val="231F20"/>
          <w:sz w:val="20"/>
        </w:rPr>
        <w:t>, you can click </w:t>
      </w:r>
      <w:r>
        <w:rPr>
          <w:rFonts w:ascii="Book Antiqua"/>
          <w:b/>
          <w:color w:val="231F20"/>
          <w:sz w:val="20"/>
        </w:rPr>
        <w:t>Operator </w:t>
      </w:r>
      <w:r>
        <w:rPr>
          <w:color w:val="231F20"/>
          <w:sz w:val="20"/>
        </w:rPr>
        <w:t>and </w:t>
      </w:r>
      <w:r>
        <w:rPr>
          <w:rFonts w:ascii="Book Antiqua"/>
          <w:b/>
          <w:color w:val="231F20"/>
          <w:sz w:val="20"/>
        </w:rPr>
        <w:t>Function </w:t>
      </w:r>
      <w:r>
        <w:rPr>
          <w:color w:val="231F20"/>
          <w:sz w:val="20"/>
        </w:rPr>
        <w:t>to find and select other elements to complete the expression. When you are finished with the expression, click </w:t>
      </w:r>
      <w:r>
        <w:rPr>
          <w:rFonts w:ascii="Book Antiqua"/>
          <w:b/>
          <w:color w:val="231F20"/>
          <w:sz w:val="20"/>
        </w:rPr>
        <w:t>OK </w:t>
      </w:r>
      <w:r>
        <w:rPr>
          <w:color w:val="231F20"/>
          <w:sz w:val="20"/>
        </w:rPr>
        <w:t>to insert the expression in the current target filter row. Note that expressions can evaluate to patterns using the </w:t>
      </w:r>
      <w:r>
        <w:rPr>
          <w:color w:val="231F20"/>
          <w:sz w:val="20"/>
        </w:rPr>
        <w:t>asterisk (*) and question mark (?) wildcard characters. This allows for pattern matching filters.</w:t>
      </w:r>
    </w:p>
    <w:p>
      <w:pPr>
        <w:pStyle w:val="ListParagraph"/>
        <w:numPr>
          <w:ilvl w:val="1"/>
          <w:numId w:val="42"/>
        </w:numPr>
        <w:tabs>
          <w:tab w:pos="3104" w:val="left" w:leader="none"/>
        </w:tabs>
        <w:spacing w:line="213" w:lineRule="auto" w:before="56" w:after="0"/>
        <w:ind w:left="3104" w:right="214" w:hanging="316"/>
        <w:jc w:val="left"/>
        <w:rPr>
          <w:sz w:val="20"/>
        </w:rPr>
      </w:pPr>
      <w:r>
        <w:rPr>
          <w:color w:val="231F20"/>
          <w:sz w:val="20"/>
        </w:rPr>
        <w:t>If the target workspace was updated or is new for the latest version of your monitoring product and your environment has a mix of versions, you can disable </w:t>
      </w:r>
      <w:r>
        <w:rPr>
          <w:color w:val="231F20"/>
          <w:spacing w:val="16"/>
          <w:sz w:val="20"/>
        </w:rPr>
        <w:drawing>
          <wp:inline distT="0" distB="0" distL="0" distR="0">
            <wp:extent cx="82550" cy="82550"/>
            <wp:effectExtent l="0" t="0" r="0" b="0"/>
            <wp:docPr id="741" name="Image 741"/>
            <wp:cNvGraphicFramePr>
              <a:graphicFrameLocks/>
            </wp:cNvGraphicFramePr>
            <a:graphic>
              <a:graphicData uri="http://schemas.openxmlformats.org/drawingml/2006/picture">
                <pic:pic>
                  <pic:nvPicPr>
                    <pic:cNvPr id="741" name="Image 74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Allow this link to target any version of the target workspace </w:t>
      </w:r>
      <w:r>
        <w:rPr>
          <w:color w:val="231F20"/>
          <w:sz w:val="20"/>
        </w:rPr>
        <w:t>or leave it enabled:</w:t>
      </w:r>
    </w:p>
    <w:p>
      <w:pPr>
        <w:pStyle w:val="BodyText"/>
        <w:spacing w:line="211" w:lineRule="auto" w:before="4"/>
        <w:ind w:left="3104" w:right="201"/>
      </w:pPr>
      <w:r>
        <w:rPr/>
        <w:drawing>
          <wp:inline distT="0" distB="0" distL="0" distR="0">
            <wp:extent cx="82550" cy="82550"/>
            <wp:effectExtent l="0" t="0" r="0" b="0"/>
            <wp:docPr id="742" name="Image 742"/>
            <wp:cNvGraphicFramePr>
              <a:graphicFrameLocks/>
            </wp:cNvGraphicFramePr>
            <a:graphic>
              <a:graphicData uri="http://schemas.openxmlformats.org/drawingml/2006/picture">
                <pic:pic>
                  <pic:nvPicPr>
                    <pic:cNvPr id="742" name="Image 742"/>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color w:val="231F20"/>
        </w:rPr>
        <w:t>Enabled</w:t>
      </w:r>
      <w:r>
        <w:rPr>
          <w:color w:val="231F20"/>
          <w:spacing w:val="27"/>
        </w:rPr>
        <w:t> </w:t>
      </w:r>
      <w:r>
        <w:rPr>
          <w:color w:val="231F20"/>
        </w:rPr>
        <w:t>is</w:t>
      </w:r>
      <w:r>
        <w:rPr>
          <w:color w:val="231F20"/>
          <w:spacing w:val="27"/>
        </w:rPr>
        <w:t> </w:t>
      </w:r>
      <w:r>
        <w:rPr>
          <w:color w:val="231F20"/>
        </w:rPr>
        <w:t>the</w:t>
      </w:r>
      <w:r>
        <w:rPr>
          <w:color w:val="231F20"/>
          <w:spacing w:val="27"/>
        </w:rPr>
        <w:t> </w:t>
      </w:r>
      <w:r>
        <w:rPr>
          <w:color w:val="231F20"/>
        </w:rPr>
        <w:t>default</w:t>
      </w:r>
      <w:r>
        <w:rPr>
          <w:color w:val="231F20"/>
          <w:spacing w:val="27"/>
        </w:rPr>
        <w:t> </w:t>
      </w:r>
      <w:r>
        <w:rPr>
          <w:color w:val="231F20"/>
        </w:rPr>
        <w:t>setting.</w:t>
      </w:r>
      <w:r>
        <w:rPr>
          <w:color w:val="231F20"/>
          <w:spacing w:val="27"/>
        </w:rPr>
        <w:t> </w:t>
      </w:r>
      <w:r>
        <w:rPr>
          <w:color w:val="231F20"/>
        </w:rPr>
        <w:t>The</w:t>
      </w:r>
      <w:r>
        <w:rPr>
          <w:color w:val="231F20"/>
          <w:spacing w:val="27"/>
        </w:rPr>
        <w:t> </w:t>
      </w:r>
      <w:r>
        <w:rPr>
          <w:color w:val="231F20"/>
        </w:rPr>
        <w:t>target</w:t>
      </w:r>
      <w:r>
        <w:rPr>
          <w:color w:val="231F20"/>
          <w:spacing w:val="27"/>
        </w:rPr>
        <w:t> </w:t>
      </w:r>
      <w:r>
        <w:rPr>
          <w:color w:val="231F20"/>
        </w:rPr>
        <w:t>workspace</w:t>
      </w:r>
      <w:r>
        <w:rPr>
          <w:color w:val="231F20"/>
          <w:spacing w:val="27"/>
        </w:rPr>
        <w:t> </w:t>
      </w:r>
      <w:r>
        <w:rPr>
          <w:color w:val="231F20"/>
        </w:rPr>
        <w:t>can</w:t>
      </w:r>
      <w:r>
        <w:rPr>
          <w:color w:val="231F20"/>
          <w:spacing w:val="27"/>
        </w:rPr>
        <w:t> </w:t>
      </w:r>
      <w:r>
        <w:rPr>
          <w:color w:val="231F20"/>
        </w:rPr>
        <w:t>be</w:t>
      </w:r>
      <w:r>
        <w:rPr>
          <w:color w:val="231F20"/>
          <w:spacing w:val="27"/>
        </w:rPr>
        <w:t> </w:t>
      </w:r>
      <w:r>
        <w:rPr>
          <w:color w:val="231F20"/>
        </w:rPr>
        <w:t>chosen</w:t>
      </w:r>
      <w:r>
        <w:rPr>
          <w:color w:val="231F20"/>
          <w:spacing w:val="27"/>
        </w:rPr>
        <w:t> </w:t>
      </w:r>
      <w:r>
        <w:rPr>
          <w:color w:val="231F20"/>
        </w:rPr>
        <w:t>for any version of the monitoring agent. If the query for a view specifies attributes that are available only in the newer version and the target workspace is for an older version of the monitoring agent, no values will </w:t>
      </w:r>
      <w:r>
        <w:rPr>
          <w:color w:val="231F20"/>
        </w:rPr>
        <w:t>be returned</w:t>
      </w:r>
      <w:r>
        <w:rPr>
          <w:color w:val="231F20"/>
          <w:spacing w:val="21"/>
        </w:rPr>
        <w:t> </w:t>
      </w:r>
      <w:r>
        <w:rPr>
          <w:color w:val="231F20"/>
        </w:rPr>
        <w:t>for</w:t>
      </w:r>
      <w:r>
        <w:rPr>
          <w:color w:val="231F20"/>
          <w:spacing w:val="21"/>
        </w:rPr>
        <w:t> </w:t>
      </w:r>
      <w:r>
        <w:rPr>
          <w:color w:val="231F20"/>
        </w:rPr>
        <w:t>those</w:t>
      </w:r>
      <w:r>
        <w:rPr>
          <w:color w:val="231F20"/>
          <w:spacing w:val="21"/>
        </w:rPr>
        <w:t> </w:t>
      </w:r>
      <w:r>
        <w:rPr>
          <w:color w:val="231F20"/>
        </w:rPr>
        <w:t>attributes.</w:t>
      </w:r>
      <w:r>
        <w:rPr>
          <w:color w:val="231F20"/>
          <w:spacing w:val="15"/>
        </w:rPr>
        <w:t> </w:t>
      </w:r>
      <w:r>
        <w:rPr>
          <w:color w:val="231F20"/>
          <w:spacing w:val="15"/>
        </w:rPr>
        <w:drawing>
          <wp:inline distT="0" distB="0" distL="0" distR="0">
            <wp:extent cx="82550" cy="82550"/>
            <wp:effectExtent l="0" t="0" r="0" b="0"/>
            <wp:docPr id="743" name="Image 743"/>
            <wp:cNvGraphicFramePr>
              <a:graphicFrameLocks/>
            </wp:cNvGraphicFramePr>
            <a:graphic>
              <a:graphicData uri="http://schemas.openxmlformats.org/drawingml/2006/picture">
                <pic:pic>
                  <pic:nvPicPr>
                    <pic:cNvPr id="743" name="Image 743"/>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69"/>
        </w:rPr>
        <w:t> </w:t>
      </w:r>
      <w:r>
        <w:rPr>
          <w:color w:val="231F20"/>
        </w:rPr>
        <w:t>Disable</w:t>
      </w:r>
      <w:r>
        <w:rPr>
          <w:color w:val="231F20"/>
          <w:spacing w:val="21"/>
        </w:rPr>
        <w:t> </w:t>
      </w:r>
      <w:r>
        <w:rPr>
          <w:color w:val="231F20"/>
        </w:rPr>
        <w:t>the</w:t>
      </w:r>
      <w:r>
        <w:rPr>
          <w:color w:val="231F20"/>
          <w:spacing w:val="21"/>
        </w:rPr>
        <w:t> </w:t>
      </w:r>
      <w:r>
        <w:rPr>
          <w:color w:val="231F20"/>
        </w:rPr>
        <w:t>option</w:t>
      </w:r>
      <w:r>
        <w:rPr>
          <w:color w:val="231F20"/>
          <w:spacing w:val="21"/>
        </w:rPr>
        <w:t> </w:t>
      </w:r>
      <w:r>
        <w:rPr>
          <w:color w:val="231F20"/>
        </w:rPr>
        <w:t>if</w:t>
      </w:r>
      <w:r>
        <w:rPr>
          <w:color w:val="231F20"/>
          <w:spacing w:val="21"/>
        </w:rPr>
        <w:t> </w:t>
      </w:r>
      <w:r>
        <w:rPr>
          <w:color w:val="231F20"/>
        </w:rPr>
        <w:t>you</w:t>
      </w:r>
      <w:r>
        <w:rPr>
          <w:color w:val="231F20"/>
          <w:spacing w:val="21"/>
        </w:rPr>
        <w:t> </w:t>
      </w:r>
      <w:r>
        <w:rPr>
          <w:color w:val="231F20"/>
        </w:rPr>
        <w:t>want</w:t>
      </w:r>
      <w:r>
        <w:rPr>
          <w:color w:val="231F20"/>
          <w:spacing w:val="21"/>
        </w:rPr>
        <w:t> </w:t>
      </w:r>
      <w:r>
        <w:rPr>
          <w:color w:val="231F20"/>
        </w:rPr>
        <w:t>the</w:t>
      </w:r>
      <w:r>
        <w:rPr>
          <w:color w:val="231F20"/>
          <w:spacing w:val="21"/>
        </w:rPr>
        <w:t> </w:t>
      </w:r>
      <w:r>
        <w:rPr>
          <w:color w:val="231F20"/>
        </w:rPr>
        <w:t>link</w:t>
      </w:r>
      <w:r>
        <w:rPr>
          <w:color w:val="231F20"/>
          <w:spacing w:val="21"/>
        </w:rPr>
        <w:t> </w:t>
      </w:r>
      <w:r>
        <w:rPr>
          <w:color w:val="231F20"/>
        </w:rPr>
        <w:t>not to be offered for target workspaces on earlier versions of the monitoring </w:t>
      </w:r>
      <w:r>
        <w:rPr>
          <w:color w:val="231F20"/>
          <w:spacing w:val="-2"/>
        </w:rPr>
        <w:t>agent.</w:t>
      </w:r>
    </w:p>
    <w:p>
      <w:pPr>
        <w:pStyle w:val="ListParagraph"/>
        <w:numPr>
          <w:ilvl w:val="1"/>
          <w:numId w:val="42"/>
        </w:numPr>
        <w:tabs>
          <w:tab w:pos="3035" w:val="left" w:leader="none"/>
          <w:tab w:pos="3037" w:val="left" w:leader="none"/>
        </w:tabs>
        <w:spacing w:line="213" w:lineRule="auto" w:before="67" w:after="0"/>
        <w:ind w:left="3037" w:right="291" w:hanging="250"/>
        <w:jc w:val="left"/>
        <w:rPr>
          <w:sz w:val="20"/>
        </w:rPr>
      </w:pPr>
      <w:r>
        <w:rPr>
          <w:color w:val="231F20"/>
          <w:sz w:val="20"/>
        </w:rPr>
        <w:t>Click </w:t>
      </w:r>
      <w:r>
        <w:rPr>
          <w:rFonts w:ascii="Book Antiqua"/>
          <w:b/>
          <w:color w:val="231F20"/>
          <w:sz w:val="20"/>
        </w:rPr>
        <w:t>Next </w:t>
      </w:r>
      <w:r>
        <w:rPr>
          <w:color w:val="231F20"/>
          <w:sz w:val="20"/>
        </w:rPr>
        <w:t>and refine the link definition; or click </w:t>
      </w:r>
      <w:r>
        <w:rPr>
          <w:rFonts w:ascii="Book Antiqua"/>
          <w:b/>
          <w:color w:val="231F20"/>
          <w:sz w:val="20"/>
        </w:rPr>
        <w:t>Next </w:t>
      </w:r>
      <w:r>
        <w:rPr>
          <w:color w:val="231F20"/>
          <w:sz w:val="20"/>
        </w:rPr>
        <w:t>twice and review the </w:t>
      </w:r>
      <w:r>
        <w:rPr>
          <w:color w:val="231F20"/>
          <w:spacing w:val="-2"/>
          <w:sz w:val="20"/>
        </w:rPr>
        <w:t>summary.</w:t>
      </w:r>
    </w:p>
    <w:p>
      <w:pPr>
        <w:pStyle w:val="ListParagraph"/>
        <w:numPr>
          <w:ilvl w:val="0"/>
          <w:numId w:val="42"/>
        </w:numPr>
        <w:tabs>
          <w:tab w:pos="2788" w:val="left" w:leader="none"/>
        </w:tabs>
        <w:spacing w:line="213" w:lineRule="auto" w:before="59" w:after="0"/>
        <w:ind w:left="2788" w:right="247" w:hanging="316"/>
        <w:jc w:val="left"/>
        <w:rPr>
          <w:sz w:val="20"/>
        </w:rPr>
      </w:pPr>
      <w:r>
        <w:rPr>
          <w:color w:val="231F20"/>
          <w:sz w:val="20"/>
        </w:rPr>
        <w:t>In the Workspace Link Wizard - Summary page, review the summary, then</w:t>
      </w:r>
      <w:r>
        <w:rPr>
          <w:color w:val="231F20"/>
          <w:spacing w:val="80"/>
          <w:sz w:val="20"/>
        </w:rPr>
        <w:t> </w:t>
      </w:r>
      <w:r>
        <w:rPr>
          <w:color w:val="231F20"/>
          <w:sz w:val="20"/>
        </w:rPr>
        <w:t>click </w:t>
      </w:r>
      <w:r>
        <w:rPr>
          <w:rFonts w:ascii="Book Antiqua"/>
          <w:b/>
          <w:color w:val="231F20"/>
          <w:sz w:val="20"/>
        </w:rPr>
        <w:t>Finish </w:t>
      </w:r>
      <w:r>
        <w:rPr>
          <w:color w:val="231F20"/>
          <w:sz w:val="20"/>
        </w:rPr>
        <w:t>to save the link definition, </w:t>
      </w:r>
      <w:r>
        <w:rPr>
          <w:rFonts w:ascii="Book Antiqua"/>
          <w:b/>
          <w:color w:val="231F20"/>
          <w:sz w:val="20"/>
        </w:rPr>
        <w:t>Back </w:t>
      </w:r>
      <w:r>
        <w:rPr>
          <w:color w:val="231F20"/>
          <w:sz w:val="20"/>
        </w:rPr>
        <w:t>to return to a previous window to make additional changes, or </w:t>
      </w:r>
      <w:r>
        <w:rPr>
          <w:rFonts w:ascii="Book Antiqua"/>
          <w:b/>
          <w:color w:val="231F20"/>
          <w:sz w:val="20"/>
        </w:rPr>
        <w:t>Cancel </w:t>
      </w:r>
      <w:r>
        <w:rPr>
          <w:color w:val="231F20"/>
          <w:sz w:val="20"/>
        </w:rPr>
        <w:t>to close the Link Wizard without saving your changes.</w:t>
      </w:r>
    </w:p>
    <w:p>
      <w:pPr>
        <w:spacing w:after="0" w:line="213" w:lineRule="auto"/>
        <w:jc w:val="left"/>
        <w:rPr>
          <w:sz w:val="20"/>
        </w:rPr>
        <w:sectPr>
          <w:pgSz w:w="12240" w:h="15840"/>
          <w:pgMar w:header="0" w:footer="736" w:top="1180" w:bottom="920" w:left="1000" w:right="1060"/>
        </w:sectPr>
      </w:pPr>
    </w:p>
    <w:p>
      <w:pPr>
        <w:pStyle w:val="Heading4"/>
        <w:spacing w:before="86"/>
      </w:pPr>
      <w:bookmarkStart w:name="_bookmark60" w:id="136"/>
      <w:bookmarkEnd w:id="136"/>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493"/>
      </w:pPr>
      <w:r>
        <w:rPr>
          <w:color w:val="231F20"/>
        </w:rPr>
        <w:t>If the target workspace is dependent on information that is passed from the source workspace (users will get an error message if they attempt to open the workspace from</w:t>
      </w:r>
      <w:r>
        <w:rPr>
          <w:color w:val="231F20"/>
          <w:spacing w:val="27"/>
        </w:rPr>
        <w:t> </w:t>
      </w:r>
      <w:r>
        <w:rPr>
          <w:color w:val="231F20"/>
        </w:rPr>
        <w:t>the</w:t>
      </w:r>
      <w:r>
        <w:rPr>
          <w:color w:val="231F20"/>
          <w:spacing w:val="27"/>
        </w:rPr>
        <w:t> </w:t>
      </w:r>
      <w:r>
        <w:rPr>
          <w:color w:val="231F20"/>
        </w:rPr>
        <w:t>list</w:t>
      </w:r>
      <w:r>
        <w:rPr>
          <w:color w:val="231F20"/>
          <w:spacing w:val="27"/>
        </w:rPr>
        <w:t> </w:t>
      </w:r>
      <w:r>
        <w:rPr>
          <w:color w:val="231F20"/>
        </w:rPr>
        <w:t>of</w:t>
      </w:r>
      <w:r>
        <w:rPr>
          <w:color w:val="231F20"/>
          <w:spacing w:val="27"/>
        </w:rPr>
        <w:t> </w:t>
      </w:r>
      <w:r>
        <w:rPr>
          <w:color w:val="231F20"/>
        </w:rPr>
        <w:t>available</w:t>
      </w:r>
      <w:r>
        <w:rPr>
          <w:color w:val="231F20"/>
          <w:spacing w:val="27"/>
        </w:rPr>
        <w:t> </w:t>
      </w:r>
      <w:r>
        <w:rPr>
          <w:color w:val="231F20"/>
        </w:rPr>
        <w:t>workspace),</w:t>
      </w:r>
      <w:r>
        <w:rPr>
          <w:color w:val="231F20"/>
          <w:spacing w:val="27"/>
        </w:rPr>
        <w:t> </w:t>
      </w:r>
      <w:r>
        <w:rPr>
          <w:color w:val="231F20"/>
        </w:rPr>
        <w:t>then</w:t>
      </w:r>
      <w:r>
        <w:rPr>
          <w:color w:val="231F20"/>
          <w:spacing w:val="27"/>
        </w:rPr>
        <w:t> </w:t>
      </w:r>
      <w:r>
        <w:rPr>
          <w:color w:val="231F20"/>
        </w:rPr>
        <w:t>edit</w:t>
      </w:r>
      <w:r>
        <w:rPr>
          <w:color w:val="231F20"/>
          <w:spacing w:val="27"/>
        </w:rPr>
        <w:t> </w:t>
      </w:r>
      <w:r>
        <w:rPr>
          <w:color w:val="231F20"/>
        </w:rPr>
        <w:t>the</w:t>
      </w:r>
      <w:r>
        <w:rPr>
          <w:color w:val="231F20"/>
          <w:spacing w:val="27"/>
        </w:rPr>
        <w:t> </w:t>
      </w:r>
      <w:r>
        <w:rPr>
          <w:color w:val="231F20"/>
        </w:rPr>
        <w:t>workspace</w:t>
      </w:r>
      <w:r>
        <w:rPr>
          <w:color w:val="231F20"/>
          <w:spacing w:val="27"/>
        </w:rPr>
        <w:t> </w:t>
      </w:r>
      <w:r>
        <w:rPr>
          <w:color w:val="231F20"/>
        </w:rPr>
        <w:t>properties</w:t>
      </w:r>
      <w:r>
        <w:rPr>
          <w:color w:val="231F20"/>
          <w:spacing w:val="27"/>
        </w:rPr>
        <w:t> </w:t>
      </w:r>
      <w:r>
        <w:rPr>
          <w:color w:val="231F20"/>
        </w:rPr>
        <w:t>to</w:t>
      </w:r>
      <w:r>
        <w:rPr>
          <w:color w:val="231F20"/>
          <w:spacing w:val="27"/>
        </w:rPr>
        <w:t> </w:t>
      </w:r>
      <w:r>
        <w:rPr>
          <w:color w:val="231F20"/>
        </w:rPr>
        <w:t>hide the workspace unless it is targeted by a link definition.</w:t>
      </w:r>
    </w:p>
    <w:p>
      <w:pPr>
        <w:pStyle w:val="Heading3"/>
        <w:spacing w:before="215"/>
        <w:ind w:left="0" w:right="6783"/>
        <w:jc w:val="right"/>
      </w:pPr>
      <w:bookmarkStart w:name="Testing the link" w:id="137"/>
      <w:bookmarkEnd w:id="137"/>
      <w:r>
        <w:rPr>
          <w:b w:val="0"/>
        </w:rPr>
      </w:r>
      <w:r>
        <w:rPr>
          <w:color w:val="231F20"/>
        </w:rPr>
        <w:t>Testing</w:t>
      </w:r>
      <w:r>
        <w:rPr>
          <w:color w:val="231F20"/>
          <w:spacing w:val="-3"/>
        </w:rPr>
        <w:t> </w:t>
      </w:r>
      <w:r>
        <w:rPr>
          <w:color w:val="231F20"/>
        </w:rPr>
        <w:t>the</w:t>
      </w:r>
      <w:r>
        <w:rPr>
          <w:color w:val="231F20"/>
          <w:spacing w:val="-3"/>
        </w:rPr>
        <w:t> </w:t>
      </w:r>
      <w:r>
        <w:rPr>
          <w:color w:val="231F20"/>
          <w:spacing w:val="-4"/>
        </w:rPr>
        <w:t>link</w:t>
      </w:r>
    </w:p>
    <w:p>
      <w:pPr>
        <w:pStyle w:val="BodyText"/>
        <w:spacing w:before="36"/>
        <w:ind w:left="2232"/>
      </w:pPr>
      <w:r>
        <w:rPr>
          <w:color w:val="231F20"/>
        </w:rPr>
        <w:t>You</w:t>
      </w:r>
      <w:r>
        <w:rPr>
          <w:color w:val="231F20"/>
          <w:spacing w:val="10"/>
        </w:rPr>
        <w:t> </w:t>
      </w:r>
      <w:r>
        <w:rPr>
          <w:color w:val="231F20"/>
        </w:rPr>
        <w:t>can</w:t>
      </w:r>
      <w:r>
        <w:rPr>
          <w:color w:val="231F20"/>
          <w:spacing w:val="10"/>
        </w:rPr>
        <w:t> </w:t>
      </w:r>
      <w:r>
        <w:rPr>
          <w:color w:val="231F20"/>
        </w:rPr>
        <w:t>test</w:t>
      </w:r>
      <w:r>
        <w:rPr>
          <w:color w:val="231F20"/>
          <w:spacing w:val="10"/>
        </w:rPr>
        <w:t> </w:t>
      </w:r>
      <w:r>
        <w:rPr>
          <w:color w:val="231F20"/>
        </w:rPr>
        <w:t>the</w:t>
      </w:r>
      <w:r>
        <w:rPr>
          <w:color w:val="231F20"/>
          <w:spacing w:val="10"/>
        </w:rPr>
        <w:t> </w:t>
      </w:r>
      <w:r>
        <w:rPr>
          <w:color w:val="231F20"/>
        </w:rPr>
        <w:t>link</w:t>
      </w:r>
      <w:r>
        <w:rPr>
          <w:color w:val="231F20"/>
          <w:spacing w:val="11"/>
        </w:rPr>
        <w:t> </w:t>
      </w:r>
      <w:r>
        <w:rPr>
          <w:color w:val="231F20"/>
        </w:rPr>
        <w:t>you</w:t>
      </w:r>
      <w:r>
        <w:rPr>
          <w:color w:val="231F20"/>
          <w:spacing w:val="10"/>
        </w:rPr>
        <w:t> </w:t>
      </w:r>
      <w:r>
        <w:rPr>
          <w:color w:val="231F20"/>
        </w:rPr>
        <w:t>have</w:t>
      </w:r>
      <w:r>
        <w:rPr>
          <w:color w:val="231F20"/>
          <w:spacing w:val="10"/>
        </w:rPr>
        <w:t> </w:t>
      </w:r>
      <w:r>
        <w:rPr>
          <w:color w:val="231F20"/>
        </w:rPr>
        <w:t>created</w:t>
      </w:r>
      <w:r>
        <w:rPr>
          <w:color w:val="231F20"/>
          <w:spacing w:val="10"/>
        </w:rPr>
        <w:t> </w:t>
      </w:r>
      <w:r>
        <w:rPr>
          <w:color w:val="231F20"/>
        </w:rPr>
        <w:t>to</w:t>
      </w:r>
      <w:r>
        <w:rPr>
          <w:color w:val="231F20"/>
          <w:spacing w:val="11"/>
        </w:rPr>
        <w:t> </w:t>
      </w:r>
      <w:r>
        <w:rPr>
          <w:color w:val="231F20"/>
        </w:rPr>
        <w:t>ensure</w:t>
      </w:r>
      <w:r>
        <w:rPr>
          <w:color w:val="231F20"/>
          <w:spacing w:val="10"/>
        </w:rPr>
        <w:t> </w:t>
      </w:r>
      <w:r>
        <w:rPr>
          <w:color w:val="231F20"/>
        </w:rPr>
        <w:t>that</w:t>
      </w:r>
      <w:r>
        <w:rPr>
          <w:color w:val="231F20"/>
          <w:spacing w:val="10"/>
        </w:rPr>
        <w:t> </w:t>
      </w:r>
      <w:r>
        <w:rPr>
          <w:color w:val="231F20"/>
        </w:rPr>
        <w:t>it</w:t>
      </w:r>
      <w:r>
        <w:rPr>
          <w:color w:val="231F20"/>
          <w:spacing w:val="10"/>
        </w:rPr>
        <w:t> </w:t>
      </w:r>
      <w:r>
        <w:rPr>
          <w:color w:val="231F20"/>
        </w:rPr>
        <w:t>works</w:t>
      </w:r>
      <w:r>
        <w:rPr>
          <w:color w:val="231F20"/>
          <w:spacing w:val="10"/>
        </w:rPr>
        <w:t> </w:t>
      </w:r>
      <w:r>
        <w:rPr>
          <w:color w:val="231F20"/>
          <w:spacing w:val="-2"/>
        </w:rPr>
        <w:t>correctly.</w:t>
      </w:r>
    </w:p>
    <w:p>
      <w:pPr>
        <w:pStyle w:val="Heading4"/>
        <w:spacing w:before="193"/>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232"/>
      </w:pPr>
      <w:r>
        <w:rPr>
          <w:color w:val="231F20"/>
        </w:rPr>
        <w:t>To</w:t>
      </w:r>
      <w:r>
        <w:rPr>
          <w:color w:val="231F20"/>
          <w:spacing w:val="9"/>
        </w:rPr>
        <w:t> </w:t>
      </w:r>
      <w:r>
        <w:rPr>
          <w:color w:val="231F20"/>
        </w:rPr>
        <w:t>test</w:t>
      </w:r>
      <w:r>
        <w:rPr>
          <w:color w:val="231F20"/>
          <w:spacing w:val="10"/>
        </w:rPr>
        <w:t> </w:t>
      </w:r>
      <w:r>
        <w:rPr>
          <w:color w:val="231F20"/>
        </w:rPr>
        <w:t>a</w:t>
      </w:r>
      <w:r>
        <w:rPr>
          <w:color w:val="231F20"/>
          <w:spacing w:val="10"/>
        </w:rPr>
        <w:t> </w:t>
      </w:r>
      <w:r>
        <w:rPr>
          <w:color w:val="231F20"/>
        </w:rPr>
        <w:t>link</w:t>
      </w:r>
      <w:r>
        <w:rPr>
          <w:color w:val="231F20"/>
          <w:spacing w:val="10"/>
        </w:rPr>
        <w:t> </w:t>
      </w:r>
      <w:r>
        <w:rPr>
          <w:color w:val="231F20"/>
        </w:rPr>
        <w:t>you</w:t>
      </w:r>
      <w:r>
        <w:rPr>
          <w:color w:val="231F20"/>
          <w:spacing w:val="10"/>
        </w:rPr>
        <w:t> </w:t>
      </w:r>
      <w:r>
        <w:rPr>
          <w:color w:val="231F20"/>
        </w:rPr>
        <w:t>have</w:t>
      </w:r>
      <w:r>
        <w:rPr>
          <w:color w:val="231F20"/>
          <w:spacing w:val="10"/>
        </w:rPr>
        <w:t> </w:t>
      </w:r>
      <w:r>
        <w:rPr>
          <w:color w:val="231F20"/>
          <w:spacing w:val="-2"/>
        </w:rPr>
        <w:t>created:</w:t>
      </w:r>
    </w:p>
    <w:p>
      <w:pPr>
        <w:pStyle w:val="Heading4"/>
        <w:spacing w:before="194"/>
        <w:ind w:left="0" w:right="6760"/>
        <w:jc w:val="right"/>
      </w:pPr>
      <w:r>
        <w:rPr>
          <w:color w:val="231F20"/>
          <w:spacing w:val="-2"/>
        </w:rPr>
        <w:t>Procedure</w:t>
      </w:r>
    </w:p>
    <w:p>
      <w:pPr>
        <w:pStyle w:val="ListParagraph"/>
        <w:numPr>
          <w:ilvl w:val="0"/>
          <w:numId w:val="43"/>
        </w:numPr>
        <w:tabs>
          <w:tab w:pos="2547" w:val="left" w:leader="none"/>
        </w:tabs>
        <w:spacing w:line="240" w:lineRule="auto" w:before="38"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source</w:t>
      </w:r>
      <w:r>
        <w:rPr>
          <w:color w:val="231F20"/>
          <w:spacing w:val="10"/>
          <w:sz w:val="20"/>
        </w:rPr>
        <w:t> </w:t>
      </w:r>
      <w:r>
        <w:rPr>
          <w:color w:val="231F20"/>
          <w:sz w:val="20"/>
        </w:rPr>
        <w:t>workspace,</w:t>
      </w:r>
      <w:r>
        <w:rPr>
          <w:color w:val="231F20"/>
          <w:spacing w:val="9"/>
          <w:sz w:val="20"/>
        </w:rPr>
        <w:t> </w:t>
      </w:r>
      <w:r>
        <w:rPr>
          <w:color w:val="231F20"/>
          <w:sz w:val="20"/>
        </w:rPr>
        <w:t>right-click</w:t>
      </w:r>
      <w:r>
        <w:rPr>
          <w:color w:val="231F20"/>
          <w:spacing w:val="10"/>
          <w:sz w:val="20"/>
        </w:rPr>
        <w:t> </w:t>
      </w:r>
      <w:r>
        <w:rPr>
          <w:color w:val="231F20"/>
          <w:sz w:val="20"/>
        </w:rPr>
        <w:t>the</w:t>
      </w:r>
      <w:r>
        <w:rPr>
          <w:color w:val="231F20"/>
          <w:spacing w:val="10"/>
          <w:sz w:val="20"/>
        </w:rPr>
        <w:t> </w:t>
      </w:r>
      <w:r>
        <w:rPr>
          <w:color w:val="231F20"/>
          <w:sz w:val="20"/>
        </w:rPr>
        <w:t>location</w:t>
      </w:r>
      <w:r>
        <w:rPr>
          <w:color w:val="231F20"/>
          <w:spacing w:val="9"/>
          <w:sz w:val="20"/>
        </w:rPr>
        <w:t> </w:t>
      </w:r>
      <w:r>
        <w:rPr>
          <w:color w:val="231F20"/>
          <w:sz w:val="20"/>
        </w:rPr>
        <w:t>where</w:t>
      </w:r>
      <w:r>
        <w:rPr>
          <w:color w:val="231F20"/>
          <w:spacing w:val="10"/>
          <w:sz w:val="20"/>
        </w:rPr>
        <w:t> </w:t>
      </w:r>
      <w:r>
        <w:rPr>
          <w:color w:val="231F20"/>
          <w:sz w:val="20"/>
        </w:rPr>
        <w:t>you</w:t>
      </w:r>
      <w:r>
        <w:rPr>
          <w:color w:val="231F20"/>
          <w:spacing w:val="10"/>
          <w:sz w:val="20"/>
        </w:rPr>
        <w:t> </w:t>
      </w:r>
      <w:r>
        <w:rPr>
          <w:color w:val="231F20"/>
          <w:sz w:val="20"/>
        </w:rPr>
        <w:t>created</w:t>
      </w:r>
      <w:r>
        <w:rPr>
          <w:color w:val="231F20"/>
          <w:spacing w:val="9"/>
          <w:sz w:val="20"/>
        </w:rPr>
        <w:t> </w:t>
      </w:r>
      <w:r>
        <w:rPr>
          <w:color w:val="231F20"/>
          <w:sz w:val="20"/>
        </w:rPr>
        <w:t>the</w:t>
      </w:r>
      <w:r>
        <w:rPr>
          <w:color w:val="231F20"/>
          <w:spacing w:val="10"/>
          <w:sz w:val="20"/>
        </w:rPr>
        <w:t> </w:t>
      </w:r>
      <w:r>
        <w:rPr>
          <w:color w:val="231F20"/>
          <w:spacing w:val="-2"/>
          <w:sz w:val="20"/>
        </w:rPr>
        <w:t>link.</w:t>
      </w:r>
    </w:p>
    <w:p>
      <w:pPr>
        <w:pStyle w:val="ListParagraph"/>
        <w:numPr>
          <w:ilvl w:val="0"/>
          <w:numId w:val="43"/>
        </w:numPr>
        <w:tabs>
          <w:tab w:pos="2548" w:val="left" w:leader="none"/>
        </w:tabs>
        <w:spacing w:line="213" w:lineRule="auto" w:before="53" w:after="0"/>
        <w:ind w:left="2548" w:right="428" w:hanging="316"/>
        <w:jc w:val="left"/>
        <w:rPr>
          <w:sz w:val="20"/>
        </w:rPr>
      </w:pPr>
      <w:r>
        <w:rPr>
          <w:color w:val="231F20"/>
          <w:sz w:val="20"/>
        </w:rPr>
        <w:t>Click </w:t>
      </w:r>
      <w:r>
        <w:rPr>
          <w:rFonts w:ascii="Book Antiqua"/>
          <w:b/>
          <w:color w:val="231F20"/>
          <w:sz w:val="20"/>
        </w:rPr>
        <w:t>Link To </w:t>
      </w:r>
      <w:r>
        <w:rPr>
          <w:color w:val="231F20"/>
          <w:sz w:val="20"/>
        </w:rPr>
        <w:t>and select the link from the </w:t>
      </w:r>
      <w:r>
        <w:rPr>
          <w:color w:val="231F20"/>
          <w:spacing w:val="15"/>
          <w:position w:val="-1"/>
          <w:sz w:val="20"/>
        </w:rPr>
        <w:drawing>
          <wp:inline distT="0" distB="0" distL="0" distR="0">
            <wp:extent cx="101600" cy="101600"/>
            <wp:effectExtent l="0" t="0" r="0" b="0"/>
            <wp:docPr id="744" name="Image 744"/>
            <wp:cNvGraphicFramePr>
              <a:graphicFrameLocks/>
            </wp:cNvGraphicFramePr>
            <a:graphic>
              <a:graphicData uri="http://schemas.openxmlformats.org/drawingml/2006/picture">
                <pic:pic>
                  <pic:nvPicPr>
                    <pic:cNvPr id="744" name="Image 744"/>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The value of the symbols specified in the link definition are used to select the target workspace and filter</w:t>
      </w:r>
      <w:r>
        <w:rPr>
          <w:color w:val="231F20"/>
          <w:spacing w:val="40"/>
          <w:sz w:val="20"/>
        </w:rPr>
        <w:t> </w:t>
      </w:r>
      <w:r>
        <w:rPr>
          <w:color w:val="231F20"/>
          <w:sz w:val="20"/>
        </w:rPr>
        <w:t>its content. An example is a link from a row in a view that includes the </w:t>
      </w:r>
      <w:r>
        <w:rPr>
          <w:rFonts w:ascii="Book Antiqua"/>
          <w:b/>
          <w:color w:val="231F20"/>
          <w:sz w:val="20"/>
        </w:rPr>
        <w:t>Process</w:t>
      </w:r>
      <w:r>
        <w:rPr>
          <w:rFonts w:ascii="Book Antiqua"/>
          <w:b/>
          <w:color w:val="231F20"/>
          <w:spacing w:val="40"/>
          <w:sz w:val="20"/>
        </w:rPr>
        <w:t> </w:t>
      </w:r>
      <w:r>
        <w:rPr>
          <w:rFonts w:ascii="Book Antiqua"/>
          <w:b/>
          <w:color w:val="231F20"/>
          <w:sz w:val="20"/>
        </w:rPr>
        <w:t>Name</w:t>
      </w:r>
      <w:r>
        <w:rPr>
          <w:color w:val="231F20"/>
          <w:sz w:val="20"/>
        </w:rPr>
        <w:t>, and the value of Process Name is passed to the target workspace. The view whose symbol was targeted will show information about that particular </w:t>
      </w:r>
      <w:r>
        <w:rPr>
          <w:color w:val="231F20"/>
          <w:spacing w:val="-2"/>
          <w:sz w:val="20"/>
        </w:rPr>
        <w:t>process.</w:t>
      </w:r>
    </w:p>
    <w:p>
      <w:pPr>
        <w:pStyle w:val="ListParagraph"/>
        <w:numPr>
          <w:ilvl w:val="0"/>
          <w:numId w:val="43"/>
        </w:numPr>
        <w:tabs>
          <w:tab w:pos="2548" w:val="left" w:leader="none"/>
        </w:tabs>
        <w:spacing w:line="213" w:lineRule="auto" w:before="56" w:after="0"/>
        <w:ind w:left="2548" w:right="833" w:hanging="316"/>
        <w:jc w:val="left"/>
        <w:rPr>
          <w:sz w:val="20"/>
        </w:rPr>
      </w:pPr>
      <w:r>
        <w:rPr>
          <w:color w:val="231F20"/>
          <w:sz w:val="20"/>
        </w:rPr>
        <w:t>If the target workspace does not display what you expected or a Target not found message is displayed, edit the link.</w:t>
      </w:r>
    </w:p>
    <w:p>
      <w:pPr>
        <w:pStyle w:val="BodyText"/>
        <w:spacing w:line="213" w:lineRule="auto" w:before="238"/>
        <w:ind w:left="2548" w:right="545"/>
      </w:pPr>
      <w:r>
        <w:rPr>
          <w:rFonts w:ascii="Book Antiqua"/>
          <w:b/>
          <w:color w:val="231F20"/>
        </w:rPr>
        <w:t>Tip:</w:t>
      </w:r>
      <w:r>
        <w:rPr>
          <w:rFonts w:ascii="Book Antiqua"/>
          <w:b/>
          <w:color w:val="231F20"/>
          <w:spacing w:val="40"/>
        </w:rPr>
        <w:t> </w:t>
      </w:r>
      <w:r>
        <w:rPr>
          <w:color w:val="231F20"/>
        </w:rPr>
        <w:t>If you were prompted to select the target workspace but wanted the link definition to be specific so you would not have to choose from a list, do one of</w:t>
      </w:r>
      <w:r>
        <w:rPr>
          <w:color w:val="231F20"/>
          <w:spacing w:val="40"/>
        </w:rPr>
        <w:t> </w:t>
      </w:r>
      <w:r>
        <w:rPr>
          <w:color w:val="231F20"/>
        </w:rPr>
        <w:t>two things: If you had chosen Relative as the link type, define a new link and</w:t>
      </w:r>
      <w:r>
        <w:rPr>
          <w:color w:val="231F20"/>
          <w:spacing w:val="40"/>
        </w:rPr>
        <w:t> </w:t>
      </w:r>
      <w:r>
        <w:rPr>
          <w:color w:val="231F20"/>
        </w:rPr>
        <w:t>select a link type of Absolute; or make it Dynamic and supply the expression </w:t>
      </w:r>
      <w:r>
        <w:rPr>
          <w:color w:val="231F20"/>
        </w:rPr>
        <w:t>in the target filter to target the specific workspace.</w:t>
      </w:r>
    </w:p>
    <w:p>
      <w:pPr>
        <w:pStyle w:val="Heading3"/>
        <w:spacing w:before="215"/>
        <w:ind w:left="1334"/>
      </w:pPr>
      <w:bookmarkStart w:name="Editing a link definition" w:id="138"/>
      <w:bookmarkEnd w:id="138"/>
      <w:r>
        <w:rPr>
          <w:b w:val="0"/>
        </w:rPr>
      </w:r>
      <w:r>
        <w:rPr>
          <w:color w:val="231F20"/>
        </w:rPr>
        <w:t>Editing</w:t>
      </w:r>
      <w:r>
        <w:rPr>
          <w:color w:val="231F20"/>
          <w:spacing w:val="9"/>
        </w:rPr>
        <w:t> </w:t>
      </w:r>
      <w:r>
        <w:rPr>
          <w:color w:val="231F20"/>
        </w:rPr>
        <w:t>a</w:t>
      </w:r>
      <w:r>
        <w:rPr>
          <w:color w:val="231F20"/>
          <w:spacing w:val="10"/>
        </w:rPr>
        <w:t> </w:t>
      </w:r>
      <w:r>
        <w:rPr>
          <w:color w:val="231F20"/>
        </w:rPr>
        <w:t>link</w:t>
      </w:r>
      <w:r>
        <w:rPr>
          <w:color w:val="231F20"/>
          <w:spacing w:val="10"/>
        </w:rPr>
        <w:t> </w:t>
      </w:r>
      <w:r>
        <w:rPr>
          <w:color w:val="231F20"/>
          <w:spacing w:val="-2"/>
        </w:rPr>
        <w:t>definition</w:t>
      </w:r>
    </w:p>
    <w:p>
      <w:pPr>
        <w:pStyle w:val="BodyText"/>
        <w:spacing w:before="35"/>
        <w:ind w:left="2232"/>
      </w:pPr>
      <w:r>
        <w:rPr>
          <w:color w:val="231F20"/>
        </w:rPr>
        <w:t>You</w:t>
      </w:r>
      <w:r>
        <w:rPr>
          <w:color w:val="231F20"/>
          <w:spacing w:val="10"/>
        </w:rPr>
        <w:t> </w:t>
      </w:r>
      <w:r>
        <w:rPr>
          <w:color w:val="231F20"/>
        </w:rPr>
        <w:t>can</w:t>
      </w:r>
      <w:r>
        <w:rPr>
          <w:color w:val="231F20"/>
          <w:spacing w:val="11"/>
        </w:rPr>
        <w:t> </w:t>
      </w:r>
      <w:r>
        <w:rPr>
          <w:color w:val="231F20"/>
        </w:rPr>
        <w:t>edit</w:t>
      </w:r>
      <w:r>
        <w:rPr>
          <w:color w:val="231F20"/>
          <w:spacing w:val="10"/>
        </w:rPr>
        <w:t> </w:t>
      </w:r>
      <w:r>
        <w:rPr>
          <w:color w:val="231F20"/>
        </w:rPr>
        <w:t>a</w:t>
      </w:r>
      <w:r>
        <w:rPr>
          <w:color w:val="231F20"/>
          <w:spacing w:val="11"/>
        </w:rPr>
        <w:t> </w:t>
      </w:r>
      <w:r>
        <w:rPr>
          <w:color w:val="231F20"/>
        </w:rPr>
        <w:t>link</w:t>
      </w:r>
      <w:r>
        <w:rPr>
          <w:color w:val="231F20"/>
          <w:spacing w:val="10"/>
        </w:rPr>
        <w:t> </w:t>
      </w:r>
      <w:r>
        <w:rPr>
          <w:color w:val="231F20"/>
        </w:rPr>
        <w:t>definition</w:t>
      </w:r>
      <w:r>
        <w:rPr>
          <w:color w:val="231F20"/>
          <w:spacing w:val="11"/>
        </w:rPr>
        <w:t> </w:t>
      </w:r>
      <w:r>
        <w:rPr>
          <w:color w:val="231F20"/>
        </w:rPr>
        <w:t>after</w:t>
      </w:r>
      <w:r>
        <w:rPr>
          <w:color w:val="231F20"/>
          <w:spacing w:val="10"/>
        </w:rPr>
        <w:t> </w:t>
      </w:r>
      <w:r>
        <w:rPr>
          <w:color w:val="231F20"/>
        </w:rPr>
        <w:t>it</w:t>
      </w:r>
      <w:r>
        <w:rPr>
          <w:color w:val="231F20"/>
          <w:spacing w:val="11"/>
        </w:rPr>
        <w:t> </w:t>
      </w:r>
      <w:r>
        <w:rPr>
          <w:color w:val="231F20"/>
        </w:rPr>
        <w:t>has</w:t>
      </w:r>
      <w:r>
        <w:rPr>
          <w:color w:val="231F20"/>
          <w:spacing w:val="10"/>
        </w:rPr>
        <w:t> </w:t>
      </w:r>
      <w:r>
        <w:rPr>
          <w:color w:val="231F20"/>
        </w:rPr>
        <w:t>been</w:t>
      </w:r>
      <w:r>
        <w:rPr>
          <w:color w:val="231F20"/>
          <w:spacing w:val="11"/>
        </w:rPr>
        <w:t> </w:t>
      </w:r>
      <w:r>
        <w:rPr>
          <w:color w:val="231F20"/>
          <w:spacing w:val="-2"/>
        </w:rPr>
        <w:t>created.</w:t>
      </w:r>
    </w:p>
    <w:p>
      <w:pPr>
        <w:pStyle w:val="Heading4"/>
        <w:spacing w:before="194"/>
        <w:ind w:left="0" w:right="6760"/>
        <w:jc w:val="right"/>
      </w:pPr>
      <w:r>
        <w:rPr>
          <w:color w:val="231F20"/>
          <w:spacing w:val="-2"/>
        </w:rPr>
        <w:t>Procedure</w:t>
      </w:r>
    </w:p>
    <w:p>
      <w:pPr>
        <w:pStyle w:val="ListParagraph"/>
        <w:numPr>
          <w:ilvl w:val="0"/>
          <w:numId w:val="44"/>
        </w:numPr>
        <w:tabs>
          <w:tab w:pos="2547" w:val="left" w:leader="none"/>
        </w:tabs>
        <w:spacing w:line="240" w:lineRule="auto" w:before="38" w:after="0"/>
        <w:ind w:left="2547" w:right="0" w:hanging="315"/>
        <w:jc w:val="left"/>
        <w:rPr>
          <w:sz w:val="20"/>
        </w:rPr>
      </w:pPr>
      <w:r>
        <w:rPr>
          <w:color w:val="231F20"/>
          <w:sz w:val="20"/>
        </w:rPr>
        <w:t>Open</w:t>
      </w:r>
      <w:r>
        <w:rPr>
          <w:color w:val="231F20"/>
          <w:spacing w:val="9"/>
          <w:sz w:val="20"/>
        </w:rPr>
        <w:t> </w:t>
      </w:r>
      <w:r>
        <w:rPr>
          <w:color w:val="231F20"/>
          <w:sz w:val="20"/>
        </w:rPr>
        <w:t>the</w:t>
      </w:r>
      <w:r>
        <w:rPr>
          <w:color w:val="231F20"/>
          <w:spacing w:val="9"/>
          <w:sz w:val="20"/>
        </w:rPr>
        <w:t> </w:t>
      </w:r>
      <w:r>
        <w:rPr>
          <w:color w:val="231F20"/>
          <w:sz w:val="20"/>
        </w:rPr>
        <w:t>workspace</w:t>
      </w:r>
      <w:r>
        <w:rPr>
          <w:color w:val="231F20"/>
          <w:spacing w:val="10"/>
          <w:sz w:val="20"/>
        </w:rPr>
        <w:t> </w:t>
      </w:r>
      <w:r>
        <w:rPr>
          <w:color w:val="231F20"/>
          <w:sz w:val="20"/>
        </w:rPr>
        <w:t>where</w:t>
      </w:r>
      <w:r>
        <w:rPr>
          <w:color w:val="231F20"/>
          <w:spacing w:val="9"/>
          <w:sz w:val="20"/>
        </w:rPr>
        <w:t> </w:t>
      </w:r>
      <w:r>
        <w:rPr>
          <w:color w:val="231F20"/>
          <w:sz w:val="20"/>
        </w:rPr>
        <w:t>the</w:t>
      </w:r>
      <w:r>
        <w:rPr>
          <w:color w:val="231F20"/>
          <w:spacing w:val="10"/>
          <w:sz w:val="20"/>
        </w:rPr>
        <w:t> </w:t>
      </w:r>
      <w:r>
        <w:rPr>
          <w:color w:val="231F20"/>
          <w:sz w:val="20"/>
        </w:rPr>
        <w:t>link</w:t>
      </w:r>
      <w:r>
        <w:rPr>
          <w:color w:val="231F20"/>
          <w:spacing w:val="9"/>
          <w:sz w:val="20"/>
        </w:rPr>
        <w:t> </w:t>
      </w:r>
      <w:r>
        <w:rPr>
          <w:color w:val="231F20"/>
          <w:sz w:val="20"/>
        </w:rPr>
        <w:t>originates</w:t>
      </w:r>
      <w:r>
        <w:rPr>
          <w:color w:val="231F20"/>
          <w:spacing w:val="10"/>
          <w:sz w:val="20"/>
        </w:rPr>
        <w:t> </w:t>
      </w:r>
      <w:r>
        <w:rPr>
          <w:color w:val="231F20"/>
          <w:sz w:val="20"/>
        </w:rPr>
        <w:t>(source</w:t>
      </w:r>
      <w:r>
        <w:rPr>
          <w:color w:val="231F20"/>
          <w:spacing w:val="9"/>
          <w:sz w:val="20"/>
        </w:rPr>
        <w:t> </w:t>
      </w:r>
      <w:r>
        <w:rPr>
          <w:color w:val="231F20"/>
          <w:spacing w:val="-2"/>
          <w:sz w:val="20"/>
        </w:rPr>
        <w:t>workspace).</w:t>
      </w:r>
    </w:p>
    <w:p>
      <w:pPr>
        <w:pStyle w:val="ListParagraph"/>
        <w:numPr>
          <w:ilvl w:val="0"/>
          <w:numId w:val="44"/>
        </w:numPr>
        <w:tabs>
          <w:tab w:pos="2547" w:val="left" w:leader="none"/>
        </w:tabs>
        <w:spacing w:line="240" w:lineRule="auto" w:before="30" w:after="0"/>
        <w:ind w:left="2547"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2"/>
          <w:sz w:val="20"/>
        </w:rPr>
        <w:t> </w:t>
      </w:r>
      <w:r>
        <w:rPr>
          <w:color w:val="231F20"/>
          <w:sz w:val="20"/>
        </w:rPr>
        <w:t>link</w:t>
      </w:r>
      <w:r>
        <w:rPr>
          <w:color w:val="231F20"/>
          <w:spacing w:val="11"/>
          <w:sz w:val="20"/>
        </w:rPr>
        <w:t> </w:t>
      </w:r>
      <w:r>
        <w:rPr>
          <w:color w:val="231F20"/>
          <w:sz w:val="20"/>
        </w:rPr>
        <w:t>origination</w:t>
      </w:r>
      <w:r>
        <w:rPr>
          <w:color w:val="231F20"/>
          <w:spacing w:val="12"/>
          <w:sz w:val="20"/>
        </w:rPr>
        <w:t> </w:t>
      </w:r>
      <w:r>
        <w:rPr>
          <w:color w:val="231F20"/>
          <w:sz w:val="20"/>
        </w:rPr>
        <w:t>point,</w:t>
      </w:r>
      <w:r>
        <w:rPr>
          <w:color w:val="231F20"/>
          <w:spacing w:val="11"/>
          <w:sz w:val="20"/>
        </w:rPr>
        <w:t> </w:t>
      </w:r>
      <w:r>
        <w:rPr>
          <w:color w:val="231F20"/>
          <w:sz w:val="20"/>
        </w:rPr>
        <w:t>which</w:t>
      </w:r>
      <w:r>
        <w:rPr>
          <w:color w:val="231F20"/>
          <w:spacing w:val="12"/>
          <w:sz w:val="20"/>
        </w:rPr>
        <w:t> </w:t>
      </w:r>
      <w:r>
        <w:rPr>
          <w:color w:val="231F20"/>
          <w:sz w:val="20"/>
        </w:rPr>
        <w:t>can</w:t>
      </w:r>
      <w:r>
        <w:rPr>
          <w:color w:val="231F20"/>
          <w:spacing w:val="11"/>
          <w:sz w:val="20"/>
        </w:rPr>
        <w:t> </w:t>
      </w:r>
      <w:r>
        <w:rPr>
          <w:color w:val="231F20"/>
          <w:sz w:val="20"/>
        </w:rPr>
        <w:t>be</w:t>
      </w:r>
      <w:r>
        <w:rPr>
          <w:color w:val="231F20"/>
          <w:spacing w:val="12"/>
          <w:sz w:val="20"/>
        </w:rPr>
        <w:t> </w:t>
      </w:r>
      <w:r>
        <w:rPr>
          <w:color w:val="231F20"/>
          <w:sz w:val="20"/>
        </w:rPr>
        <w:t>one</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before="29"/>
        <w:ind w:left="2548"/>
      </w:pPr>
      <w:r>
        <w:rPr>
          <w:rFonts w:ascii="Futura MdCn BT"/>
          <w:color w:val="231F20"/>
        </w:rPr>
        <w:t>v</w:t>
      </w:r>
      <w:r>
        <w:rPr>
          <w:rFonts w:ascii="Futura MdCn BT"/>
          <w:color w:val="231F20"/>
          <w:spacing w:val="31"/>
        </w:rPr>
        <w:t>  </w:t>
      </w:r>
      <w:r>
        <w:rPr>
          <w:color w:val="231F20"/>
        </w:rPr>
        <w:t>The</w:t>
      </w:r>
      <w:r>
        <w:rPr>
          <w:color w:val="231F20"/>
          <w:spacing w:val="12"/>
        </w:rPr>
        <w:t> </w:t>
      </w:r>
      <w:r>
        <w:rPr>
          <w:color w:val="231F20"/>
        </w:rPr>
        <w:t>highlighted</w:t>
      </w:r>
      <w:r>
        <w:rPr>
          <w:color w:val="231F20"/>
          <w:spacing w:val="12"/>
        </w:rPr>
        <w:t> </w:t>
      </w:r>
      <w:r>
        <w:rPr>
          <w:color w:val="231F20"/>
        </w:rPr>
        <w:t>Navigator</w:t>
      </w:r>
      <w:r>
        <w:rPr>
          <w:color w:val="231F20"/>
          <w:spacing w:val="12"/>
        </w:rPr>
        <w:t> </w:t>
      </w:r>
      <w:r>
        <w:rPr>
          <w:color w:val="231F20"/>
        </w:rPr>
        <w:t>item</w:t>
      </w:r>
      <w:r>
        <w:rPr>
          <w:color w:val="231F20"/>
          <w:spacing w:val="12"/>
        </w:rPr>
        <w:t> </w:t>
      </w:r>
      <w:r>
        <w:rPr>
          <w:color w:val="231F20"/>
        </w:rPr>
        <w:t>for</w:t>
      </w:r>
      <w:r>
        <w:rPr>
          <w:color w:val="231F20"/>
          <w:spacing w:val="12"/>
        </w:rPr>
        <w:t> </w:t>
      </w:r>
      <w:r>
        <w:rPr>
          <w:color w:val="231F20"/>
        </w:rPr>
        <w:t>this</w:t>
      </w:r>
      <w:r>
        <w:rPr>
          <w:color w:val="231F20"/>
          <w:spacing w:val="13"/>
        </w:rPr>
        <w:t> </w:t>
      </w:r>
      <w:r>
        <w:rPr>
          <w:color w:val="231F20"/>
          <w:spacing w:val="-2"/>
        </w:rPr>
        <w:t>workspace</w:t>
      </w:r>
    </w:p>
    <w:p>
      <w:pPr>
        <w:pStyle w:val="BodyText"/>
        <w:spacing w:before="30"/>
        <w:ind w:left="2548"/>
      </w:pPr>
      <w:r>
        <w:rPr>
          <w:rFonts w:ascii="Futura MdCn BT"/>
          <w:color w:val="231F20"/>
        </w:rPr>
        <w:t>v</w:t>
      </w:r>
      <w:r>
        <w:rPr>
          <w:rFonts w:ascii="Futura MdCn BT"/>
          <w:color w:val="231F20"/>
          <w:spacing w:val="32"/>
        </w:rPr>
        <w:t>  </w:t>
      </w:r>
      <w:r>
        <w:rPr>
          <w:color w:val="231F20"/>
        </w:rPr>
        <w:t>An</w:t>
      </w:r>
      <w:r>
        <w:rPr>
          <w:color w:val="231F20"/>
          <w:spacing w:val="15"/>
        </w:rPr>
        <w:t> </w:t>
      </w:r>
      <w:r>
        <w:rPr>
          <w:color w:val="231F20"/>
        </w:rPr>
        <w:t>icon</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graphic</w:t>
      </w:r>
      <w:r>
        <w:rPr>
          <w:color w:val="231F20"/>
          <w:spacing w:val="13"/>
        </w:rPr>
        <w:t> </w:t>
      </w:r>
      <w:r>
        <w:rPr>
          <w:color w:val="231F20"/>
          <w:spacing w:val="-4"/>
        </w:rPr>
        <w:t>view</w:t>
      </w:r>
    </w:p>
    <w:p>
      <w:pPr>
        <w:pStyle w:val="BodyText"/>
        <w:spacing w:before="29"/>
        <w:ind w:left="2548"/>
      </w:pPr>
      <w:r>
        <w:rPr>
          <w:rFonts w:ascii="Futura MdCn BT"/>
          <w:color w:val="231F20"/>
        </w:rPr>
        <w:t>v</w:t>
      </w:r>
      <w:r>
        <w:rPr>
          <w:rFonts w:ascii="Futura MdCn BT"/>
          <w:color w:val="231F20"/>
          <w:spacing w:val="32"/>
        </w:rPr>
        <w:t>  </w:t>
      </w:r>
      <w:r>
        <w:rPr>
          <w:color w:val="231F20"/>
        </w:rPr>
        <w:t>A</w:t>
      </w:r>
      <w:r>
        <w:rPr>
          <w:color w:val="231F20"/>
          <w:spacing w:val="4"/>
        </w:rPr>
        <w:t> </w:t>
      </w:r>
      <w:r>
        <w:rPr>
          <w:color w:val="231F20"/>
        </w:rPr>
        <w:t>row</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table</w:t>
      </w:r>
      <w:r>
        <w:rPr>
          <w:color w:val="231F20"/>
          <w:spacing w:val="13"/>
        </w:rPr>
        <w:t> </w:t>
      </w:r>
      <w:r>
        <w:rPr>
          <w:color w:val="231F20"/>
          <w:spacing w:val="-4"/>
        </w:rPr>
        <w:t>view</w:t>
      </w:r>
    </w:p>
    <w:p>
      <w:pPr>
        <w:pStyle w:val="BodyText"/>
        <w:spacing w:before="30"/>
        <w:ind w:left="2548"/>
      </w:pPr>
      <w:r>
        <w:rPr>
          <w:rFonts w:ascii="Futura MdCn BT"/>
          <w:color w:val="231F20"/>
        </w:rPr>
        <w:t>v</w:t>
      </w:r>
      <w:r>
        <w:rPr>
          <w:rFonts w:ascii="Futura MdCn BT"/>
          <w:color w:val="231F20"/>
          <w:spacing w:val="31"/>
        </w:rPr>
        <w:t>  </w:t>
      </w:r>
      <w:r>
        <w:rPr>
          <w:color w:val="231F20"/>
        </w:rPr>
        <w:t>A</w:t>
      </w:r>
      <w:r>
        <w:rPr>
          <w:color w:val="231F20"/>
          <w:spacing w:val="3"/>
        </w:rPr>
        <w:t> </w:t>
      </w:r>
      <w:r>
        <w:rPr>
          <w:color w:val="231F20"/>
        </w:rPr>
        <w:t>row</w:t>
      </w:r>
      <w:r>
        <w:rPr>
          <w:color w:val="231F20"/>
          <w:spacing w:val="12"/>
        </w:rPr>
        <w:t> </w:t>
      </w:r>
      <w:r>
        <w:rPr>
          <w:color w:val="231F20"/>
        </w:rPr>
        <w:t>in</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event</w:t>
      </w:r>
      <w:r>
        <w:rPr>
          <w:color w:val="231F20"/>
          <w:spacing w:val="13"/>
        </w:rPr>
        <w:t> </w:t>
      </w:r>
      <w:r>
        <w:rPr>
          <w:color w:val="231F20"/>
        </w:rPr>
        <w:t>console</w:t>
      </w:r>
      <w:r>
        <w:rPr>
          <w:color w:val="231F20"/>
          <w:spacing w:val="12"/>
        </w:rPr>
        <w:t> </w:t>
      </w:r>
      <w:r>
        <w:rPr>
          <w:color w:val="231F20"/>
          <w:spacing w:val="-4"/>
        </w:rPr>
        <w:t>view</w:t>
      </w:r>
    </w:p>
    <w:p>
      <w:pPr>
        <w:pStyle w:val="BodyText"/>
        <w:spacing w:before="29"/>
        <w:ind w:left="2548"/>
      </w:pPr>
      <w:r>
        <w:rPr>
          <w:rFonts w:ascii="Futura MdCn BT"/>
          <w:color w:val="231F20"/>
        </w:rPr>
        <w:t>v</w:t>
      </w:r>
      <w:r>
        <w:rPr>
          <w:rFonts w:ascii="Futura MdCn BT"/>
          <w:color w:val="231F20"/>
          <w:spacing w:val="33"/>
        </w:rPr>
        <w:t>  </w:t>
      </w:r>
      <w:r>
        <w:rPr>
          <w:color w:val="231F20"/>
        </w:rPr>
        <w:t>A</w:t>
      </w:r>
      <w:r>
        <w:rPr>
          <w:color w:val="231F20"/>
          <w:spacing w:val="4"/>
        </w:rPr>
        <w:t> </w:t>
      </w:r>
      <w:r>
        <w:rPr>
          <w:color w:val="231F20"/>
        </w:rPr>
        <w:t>bar</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bar</w:t>
      </w:r>
      <w:r>
        <w:rPr>
          <w:color w:val="231F20"/>
          <w:spacing w:val="14"/>
        </w:rPr>
        <w:t> </w:t>
      </w:r>
      <w:r>
        <w:rPr>
          <w:color w:val="231F20"/>
        </w:rPr>
        <w:t>chart</w:t>
      </w:r>
      <w:r>
        <w:rPr>
          <w:color w:val="231F20"/>
          <w:spacing w:val="14"/>
        </w:rPr>
        <w:t> </w:t>
      </w:r>
      <w:r>
        <w:rPr>
          <w:color w:val="231F20"/>
          <w:spacing w:val="-4"/>
        </w:rPr>
        <w:t>view</w:t>
      </w:r>
    </w:p>
    <w:p>
      <w:pPr>
        <w:pStyle w:val="BodyText"/>
        <w:spacing w:before="30"/>
        <w:ind w:left="2548"/>
      </w:pPr>
      <w:r>
        <w:rPr>
          <w:rFonts w:ascii="Futura MdCn BT"/>
          <w:color w:val="231F20"/>
        </w:rPr>
        <w:t>v</w:t>
      </w:r>
      <w:r>
        <w:rPr>
          <w:rFonts w:ascii="Futura MdCn BT"/>
          <w:color w:val="231F20"/>
          <w:spacing w:val="33"/>
        </w:rPr>
        <w:t>  </w:t>
      </w:r>
      <w:r>
        <w:rPr>
          <w:color w:val="231F20"/>
        </w:rPr>
        <w:t>A</w:t>
      </w:r>
      <w:r>
        <w:rPr>
          <w:color w:val="231F20"/>
          <w:spacing w:val="3"/>
        </w:rPr>
        <w:t> </w:t>
      </w:r>
      <w:r>
        <w:rPr>
          <w:color w:val="231F20"/>
        </w:rPr>
        <w:t>slice</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pie</w:t>
      </w:r>
      <w:r>
        <w:rPr>
          <w:color w:val="231F20"/>
          <w:spacing w:val="14"/>
        </w:rPr>
        <w:t> </w:t>
      </w:r>
      <w:r>
        <w:rPr>
          <w:color w:val="231F20"/>
        </w:rPr>
        <w:t>chart</w:t>
      </w:r>
      <w:r>
        <w:rPr>
          <w:color w:val="231F20"/>
          <w:spacing w:val="14"/>
        </w:rPr>
        <w:t> </w:t>
      </w:r>
      <w:r>
        <w:rPr>
          <w:color w:val="231F20"/>
          <w:spacing w:val="-4"/>
        </w:rPr>
        <w:t>view</w:t>
      </w:r>
    </w:p>
    <w:p>
      <w:pPr>
        <w:pStyle w:val="BodyText"/>
        <w:spacing w:before="29"/>
        <w:ind w:left="2548"/>
      </w:pPr>
      <w:r>
        <w:rPr>
          <w:rFonts w:ascii="Futura MdCn BT"/>
          <w:color w:val="231F20"/>
        </w:rPr>
        <w:t>v</w:t>
      </w:r>
      <w:r>
        <w:rPr>
          <w:rFonts w:ascii="Futura MdCn BT"/>
          <w:color w:val="231F20"/>
          <w:spacing w:val="33"/>
        </w:rPr>
        <w:t>  </w:t>
      </w:r>
      <w:r>
        <w:rPr>
          <w:color w:val="231F20"/>
        </w:rPr>
        <w:t>A</w:t>
      </w:r>
      <w:r>
        <w:rPr>
          <w:color w:val="231F20"/>
          <w:spacing w:val="3"/>
        </w:rPr>
        <w:t> </w:t>
      </w:r>
      <w:r>
        <w:rPr>
          <w:color w:val="231F20"/>
        </w:rPr>
        <w:t>point</w:t>
      </w:r>
      <w:r>
        <w:rPr>
          <w:color w:val="231F20"/>
          <w:spacing w:val="13"/>
        </w:rPr>
        <w:t> </w:t>
      </w:r>
      <w:r>
        <w:rPr>
          <w:color w:val="231F20"/>
        </w:rPr>
        <w:t>in</w:t>
      </w:r>
      <w:r>
        <w:rPr>
          <w:color w:val="231F20"/>
          <w:spacing w:val="14"/>
        </w:rPr>
        <w:t> </w:t>
      </w:r>
      <w:r>
        <w:rPr>
          <w:color w:val="231F20"/>
        </w:rPr>
        <w:t>the</w:t>
      </w:r>
      <w:r>
        <w:rPr>
          <w:color w:val="231F20"/>
          <w:spacing w:val="14"/>
        </w:rPr>
        <w:t> </w:t>
      </w:r>
      <w:r>
        <w:rPr>
          <w:color w:val="231F20"/>
        </w:rPr>
        <w:t>plot</w:t>
      </w:r>
      <w:r>
        <w:rPr>
          <w:color w:val="231F20"/>
          <w:spacing w:val="13"/>
        </w:rPr>
        <w:t> </w:t>
      </w:r>
      <w:r>
        <w:rPr>
          <w:color w:val="231F20"/>
        </w:rPr>
        <w:t>chart</w:t>
      </w:r>
      <w:r>
        <w:rPr>
          <w:color w:val="231F20"/>
          <w:spacing w:val="14"/>
        </w:rPr>
        <w:t> </w:t>
      </w:r>
      <w:r>
        <w:rPr>
          <w:color w:val="231F20"/>
          <w:spacing w:val="-4"/>
        </w:rPr>
        <w:t>view</w:t>
      </w:r>
    </w:p>
    <w:p>
      <w:pPr>
        <w:pStyle w:val="ListParagraph"/>
        <w:numPr>
          <w:ilvl w:val="0"/>
          <w:numId w:val="44"/>
        </w:numPr>
        <w:tabs>
          <w:tab w:pos="2547" w:val="left" w:leader="none"/>
        </w:tabs>
        <w:spacing w:line="240" w:lineRule="auto" w:before="30" w:after="0"/>
        <w:ind w:left="2547" w:right="0" w:hanging="315"/>
        <w:jc w:val="left"/>
        <w:rPr>
          <w:sz w:val="20"/>
        </w:rPr>
      </w:pPr>
      <w:r>
        <w:rPr>
          <w:color w:val="231F20"/>
          <w:sz w:val="20"/>
        </w:rPr>
        <w:t>Click</w:t>
      </w:r>
      <w:r>
        <w:rPr>
          <w:color w:val="231F20"/>
          <w:spacing w:val="9"/>
          <w:sz w:val="20"/>
        </w:rPr>
        <w:t> </w:t>
      </w:r>
      <w:r>
        <w:rPr>
          <w:rFonts w:ascii="Book Antiqua"/>
          <w:b/>
          <w:color w:val="231F20"/>
          <w:sz w:val="20"/>
        </w:rPr>
        <w:t>Link</w:t>
      </w:r>
      <w:r>
        <w:rPr>
          <w:rFonts w:ascii="Book Antiqua"/>
          <w:b/>
          <w:color w:val="231F20"/>
          <w:spacing w:val="10"/>
          <w:sz w:val="20"/>
        </w:rPr>
        <w:t> </w:t>
      </w:r>
      <w:r>
        <w:rPr>
          <w:rFonts w:ascii="Book Antiqua"/>
          <w:b/>
          <w:color w:val="231F20"/>
          <w:sz w:val="20"/>
        </w:rPr>
        <w:t>To</w:t>
      </w:r>
      <w:r>
        <w:rPr>
          <w:rFonts w:ascii="Book Antiqua"/>
          <w:b/>
          <w:color w:val="231F20"/>
          <w:spacing w:val="10"/>
          <w:sz w:val="20"/>
        </w:rPr>
        <w:t> </w:t>
      </w:r>
      <w:r>
        <w:rPr>
          <w:rFonts w:ascii="Book Antiqua"/>
          <w:b/>
          <w:color w:val="231F20"/>
          <w:sz w:val="20"/>
        </w:rPr>
        <w:t>&gt;</w:t>
      </w:r>
      <w:r>
        <w:rPr>
          <w:rFonts w:ascii="Book Antiqua"/>
          <w:b/>
          <w:color w:val="231F20"/>
          <w:spacing w:val="10"/>
          <w:sz w:val="20"/>
        </w:rPr>
        <w:t> </w:t>
      </w:r>
      <w:r>
        <w:rPr>
          <w:rFonts w:ascii="Book Antiqua"/>
          <w:b/>
          <w:color w:val="231F20"/>
          <w:spacing w:val="16"/>
          <w:position w:val="-1"/>
          <w:sz w:val="20"/>
        </w:rPr>
        <w:drawing>
          <wp:inline distT="0" distB="0" distL="0" distR="0">
            <wp:extent cx="101600" cy="101600"/>
            <wp:effectExtent l="0" t="0" r="0" b="0"/>
            <wp:docPr id="745" name="Image 745"/>
            <wp:cNvGraphicFramePr>
              <a:graphicFrameLocks/>
            </wp:cNvGraphicFramePr>
            <a:graphic>
              <a:graphicData uri="http://schemas.openxmlformats.org/drawingml/2006/picture">
                <pic:pic>
                  <pic:nvPicPr>
                    <pic:cNvPr id="745" name="Image 745"/>
                    <pic:cNvPicPr/>
                  </pic:nvPicPr>
                  <pic:blipFill>
                    <a:blip r:embed="rId79"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40"/>
          <w:sz w:val="20"/>
        </w:rPr>
        <w:t> </w:t>
      </w:r>
      <w:r>
        <w:rPr>
          <w:rFonts w:ascii="Book Antiqua"/>
          <w:b/>
          <w:color w:val="231F20"/>
          <w:sz w:val="20"/>
        </w:rPr>
        <w:t>Link</w:t>
      </w:r>
      <w:r>
        <w:rPr>
          <w:rFonts w:ascii="Book Antiqua"/>
          <w:b/>
          <w:color w:val="231F20"/>
          <w:spacing w:val="10"/>
          <w:sz w:val="20"/>
        </w:rPr>
        <w:t> </w:t>
      </w:r>
      <w:r>
        <w:rPr>
          <w:rFonts w:ascii="Book Antiqua"/>
          <w:b/>
          <w:color w:val="231F20"/>
          <w:spacing w:val="-2"/>
          <w:sz w:val="20"/>
        </w:rPr>
        <w:t>Wizard</w:t>
      </w:r>
      <w:r>
        <w:rPr>
          <w:color w:val="231F20"/>
          <w:spacing w:val="-2"/>
          <w:sz w:val="20"/>
        </w:rPr>
        <w:t>.</w:t>
      </w:r>
    </w:p>
    <w:p>
      <w:pPr>
        <w:pStyle w:val="ListParagraph"/>
        <w:numPr>
          <w:ilvl w:val="0"/>
          <w:numId w:val="44"/>
        </w:numPr>
        <w:tabs>
          <w:tab w:pos="2548" w:val="left" w:leader="none"/>
        </w:tabs>
        <w:spacing w:line="208" w:lineRule="auto" w:before="62" w:after="0"/>
        <w:ind w:left="2548" w:right="766" w:hanging="316"/>
        <w:jc w:val="both"/>
        <w:rPr>
          <w:sz w:val="20"/>
        </w:rPr>
      </w:pPr>
      <w:r>
        <w:rPr>
          <w:color w:val="231F20"/>
          <w:sz w:val="20"/>
        </w:rPr>
        <w:t>In the Workspace Link Wizard - Welcome page, select </w:t>
      </w:r>
      <w:r>
        <w:rPr>
          <w:color w:val="231F20"/>
          <w:spacing w:val="15"/>
          <w:sz w:val="20"/>
        </w:rPr>
        <w:drawing>
          <wp:inline distT="0" distB="0" distL="0" distR="0">
            <wp:extent cx="88900" cy="82550"/>
            <wp:effectExtent l="0" t="0" r="0" b="0"/>
            <wp:docPr id="746" name="Image 746"/>
            <wp:cNvGraphicFramePr>
              <a:graphicFrameLocks/>
            </wp:cNvGraphicFramePr>
            <a:graphic>
              <a:graphicData uri="http://schemas.openxmlformats.org/drawingml/2006/picture">
                <pic:pic>
                  <pic:nvPicPr>
                    <pic:cNvPr id="746" name="Image 74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3"/>
          <w:sz w:val="20"/>
        </w:rPr>
        <w:t> </w:t>
      </w:r>
      <w:r>
        <w:rPr>
          <w:rFonts w:ascii="Book Antiqua"/>
          <w:b/>
          <w:color w:val="231F20"/>
          <w:sz w:val="20"/>
        </w:rPr>
        <w:t>Modify an existing link </w:t>
      </w:r>
      <w:r>
        <w:rPr>
          <w:color w:val="231F20"/>
          <w:sz w:val="20"/>
        </w:rPr>
        <w:t>and click </w:t>
      </w:r>
      <w:r>
        <w:rPr>
          <w:rFonts w:ascii="Book Antiqua"/>
          <w:b/>
          <w:color w:val="231F20"/>
          <w:sz w:val="20"/>
        </w:rPr>
        <w:t>Next&gt;</w:t>
      </w:r>
      <w:r>
        <w:rPr>
          <w:color w:val="231F20"/>
          <w:sz w:val="20"/>
        </w:rPr>
        <w:t>.</w:t>
      </w:r>
    </w:p>
    <w:p>
      <w:pPr>
        <w:pStyle w:val="ListParagraph"/>
        <w:numPr>
          <w:ilvl w:val="0"/>
          <w:numId w:val="44"/>
        </w:numPr>
        <w:tabs>
          <w:tab w:pos="2548" w:val="left" w:leader="none"/>
        </w:tabs>
        <w:spacing w:line="213" w:lineRule="auto" w:before="60" w:after="0"/>
        <w:ind w:left="2548" w:right="704" w:hanging="316"/>
        <w:jc w:val="both"/>
        <w:rPr>
          <w:sz w:val="20"/>
        </w:rPr>
      </w:pPr>
      <w:r>
        <w:rPr>
          <w:color w:val="231F20"/>
          <w:sz w:val="20"/>
        </w:rPr>
        <w:t>In the Workspace Link Wizard - Link to Modify page, select the name of the link to edit, then click </w:t>
      </w:r>
      <w:r>
        <w:rPr>
          <w:rFonts w:ascii="Book Antiqua"/>
          <w:b/>
          <w:color w:val="231F20"/>
          <w:sz w:val="20"/>
        </w:rPr>
        <w:t>Next&gt;</w:t>
      </w:r>
      <w:r>
        <w:rPr>
          <w:color w:val="231F20"/>
          <w:sz w:val="20"/>
        </w:rPr>
        <w:t>. Before clicking </w:t>
      </w:r>
      <w:r>
        <w:rPr>
          <w:rFonts w:ascii="Book Antiqua"/>
          <w:b/>
          <w:color w:val="231F20"/>
          <w:sz w:val="20"/>
        </w:rPr>
        <w:t>Next</w:t>
      </w:r>
      <w:r>
        <w:rPr>
          <w:color w:val="231F20"/>
          <w:sz w:val="20"/>
        </w:rPr>
        <w:t>, you can clear the </w:t>
      </w:r>
      <w:r>
        <w:rPr>
          <w:color w:val="231F20"/>
          <w:spacing w:val="15"/>
          <w:sz w:val="20"/>
        </w:rPr>
        <w:drawing>
          <wp:inline distT="0" distB="0" distL="0" distR="0">
            <wp:extent cx="82550" cy="82550"/>
            <wp:effectExtent l="0" t="0" r="0" b="0"/>
            <wp:docPr id="747" name="Image 747"/>
            <wp:cNvGraphicFramePr>
              <a:graphicFrameLocks/>
            </wp:cNvGraphicFramePr>
            <a:graphic>
              <a:graphicData uri="http://schemas.openxmlformats.org/drawingml/2006/picture">
                <pic:pic>
                  <pic:nvPicPr>
                    <pic:cNvPr id="747" name="Image 74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6"/>
          <w:sz w:val="20"/>
        </w:rPr>
        <w:t> </w:t>
      </w:r>
      <w:r>
        <w:rPr>
          <w:rFonts w:ascii="Book Antiqua"/>
          <w:b/>
          <w:color w:val="231F20"/>
          <w:sz w:val="20"/>
        </w:rPr>
        <w:t>Hide links that are not available for the select view </w:t>
      </w:r>
      <w:r>
        <w:rPr>
          <w:color w:val="231F20"/>
          <w:sz w:val="20"/>
        </w:rPr>
        <w:t>check box to see all the links for this workspace.</w:t>
      </w:r>
    </w:p>
    <w:p>
      <w:pPr>
        <w:spacing w:after="0" w:line="213" w:lineRule="auto"/>
        <w:jc w:val="both"/>
        <w:rPr>
          <w:sz w:val="20"/>
        </w:rPr>
        <w:sectPr>
          <w:pgSz w:w="12240" w:h="15840"/>
          <w:pgMar w:header="0" w:footer="736" w:top="1140" w:bottom="920" w:left="1000" w:right="1060"/>
        </w:sectPr>
      </w:pPr>
    </w:p>
    <w:p>
      <w:pPr>
        <w:pStyle w:val="ListParagraph"/>
        <w:numPr>
          <w:ilvl w:val="0"/>
          <w:numId w:val="44"/>
        </w:numPr>
        <w:tabs>
          <w:tab w:pos="2787" w:val="left" w:leader="none"/>
        </w:tabs>
        <w:spacing w:line="240" w:lineRule="auto" w:before="62" w:after="0"/>
        <w:ind w:left="2787" w:right="0" w:hanging="315"/>
        <w:jc w:val="left"/>
        <w:rPr>
          <w:sz w:val="20"/>
        </w:rPr>
      </w:pPr>
      <w:bookmarkStart w:name="_bookmark61" w:id="139"/>
      <w:bookmarkEnd w:id="139"/>
      <w:r>
        <w:rPr/>
      </w:r>
      <w:r>
        <w:rPr>
          <w:color w:val="231F20"/>
          <w:sz w:val="20"/>
        </w:rPr>
        <w:t>Edit</w:t>
      </w:r>
      <w:r>
        <w:rPr>
          <w:color w:val="231F20"/>
          <w:spacing w:val="11"/>
          <w:sz w:val="20"/>
        </w:rPr>
        <w:t> </w:t>
      </w:r>
      <w:r>
        <w:rPr>
          <w:color w:val="231F20"/>
          <w:sz w:val="20"/>
        </w:rPr>
        <w:t>the</w:t>
      </w:r>
      <w:r>
        <w:rPr>
          <w:color w:val="231F20"/>
          <w:spacing w:val="12"/>
          <w:sz w:val="20"/>
        </w:rPr>
        <w:t> </w:t>
      </w:r>
      <w:r>
        <w:rPr>
          <w:color w:val="231F20"/>
          <w:sz w:val="20"/>
        </w:rPr>
        <w:t>name</w:t>
      </w:r>
      <w:r>
        <w:rPr>
          <w:color w:val="231F20"/>
          <w:spacing w:val="12"/>
          <w:sz w:val="20"/>
        </w:rPr>
        <w:t> </w:t>
      </w:r>
      <w:r>
        <w:rPr>
          <w:color w:val="231F20"/>
          <w:sz w:val="20"/>
        </w:rPr>
        <w:t>or</w:t>
      </w:r>
      <w:r>
        <w:rPr>
          <w:color w:val="231F20"/>
          <w:spacing w:val="12"/>
          <w:sz w:val="20"/>
        </w:rPr>
        <w:t> </w:t>
      </w:r>
      <w:r>
        <w:rPr>
          <w:color w:val="231F20"/>
          <w:sz w:val="20"/>
        </w:rPr>
        <w:t>description,</w:t>
      </w:r>
      <w:r>
        <w:rPr>
          <w:color w:val="231F20"/>
          <w:spacing w:val="12"/>
          <w:sz w:val="20"/>
        </w:rPr>
        <w:t> </w:t>
      </w:r>
      <w:r>
        <w:rPr>
          <w:color w:val="231F20"/>
          <w:sz w:val="20"/>
        </w:rPr>
        <w:t>then</w:t>
      </w:r>
      <w:r>
        <w:rPr>
          <w:color w:val="231F20"/>
          <w:spacing w:val="11"/>
          <w:sz w:val="20"/>
        </w:rPr>
        <w:t> </w:t>
      </w:r>
      <w:r>
        <w:rPr>
          <w:color w:val="231F20"/>
          <w:sz w:val="20"/>
        </w:rPr>
        <w:t>click</w:t>
      </w:r>
      <w:r>
        <w:rPr>
          <w:color w:val="231F20"/>
          <w:spacing w:val="12"/>
          <w:sz w:val="20"/>
        </w:rPr>
        <w:t> </w:t>
      </w:r>
      <w:r>
        <w:rPr>
          <w:rFonts w:ascii="Book Antiqua"/>
          <w:b/>
          <w:color w:val="231F20"/>
          <w:sz w:val="20"/>
        </w:rPr>
        <w:t>Next&gt;</w:t>
      </w:r>
      <w:r>
        <w:rPr>
          <w:rFonts w:ascii="Book Antiqua"/>
          <w:b/>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the</w:t>
      </w:r>
      <w:r>
        <w:rPr>
          <w:color w:val="231F20"/>
          <w:spacing w:val="11"/>
          <w:sz w:val="20"/>
        </w:rPr>
        <w:t> </w:t>
      </w:r>
      <w:r>
        <w:rPr>
          <w:color w:val="231F20"/>
          <w:sz w:val="20"/>
        </w:rPr>
        <w:t>Link</w:t>
      </w:r>
      <w:r>
        <w:rPr>
          <w:color w:val="231F20"/>
          <w:spacing w:val="12"/>
          <w:sz w:val="20"/>
        </w:rPr>
        <w:t> </w:t>
      </w:r>
      <w:r>
        <w:rPr>
          <w:color w:val="231F20"/>
          <w:spacing w:val="-2"/>
          <w:sz w:val="20"/>
        </w:rPr>
        <w:t>editor.</w:t>
      </w:r>
    </w:p>
    <w:p>
      <w:pPr>
        <w:pStyle w:val="ListParagraph"/>
        <w:numPr>
          <w:ilvl w:val="0"/>
          <w:numId w:val="44"/>
        </w:numPr>
        <w:tabs>
          <w:tab w:pos="2787" w:val="left" w:leader="none"/>
        </w:tabs>
        <w:spacing w:line="240" w:lineRule="auto" w:before="29" w:after="0"/>
        <w:ind w:left="2787" w:right="0" w:hanging="315"/>
        <w:jc w:val="left"/>
        <w:rPr>
          <w:sz w:val="20"/>
        </w:rPr>
      </w:pPr>
      <w:r>
        <w:rPr>
          <w:color w:val="231F20"/>
          <w:sz w:val="20"/>
        </w:rPr>
        <w:t>Edit</w:t>
      </w:r>
      <w:r>
        <w:rPr>
          <w:color w:val="231F20"/>
          <w:spacing w:val="12"/>
          <w:sz w:val="20"/>
        </w:rPr>
        <w:t> </w:t>
      </w:r>
      <w:r>
        <w:rPr>
          <w:color w:val="231F20"/>
          <w:sz w:val="20"/>
        </w:rPr>
        <w:t>the</w:t>
      </w:r>
      <w:r>
        <w:rPr>
          <w:color w:val="231F20"/>
          <w:spacing w:val="13"/>
          <w:sz w:val="20"/>
        </w:rPr>
        <w:t> </w:t>
      </w:r>
      <w:r>
        <w:rPr>
          <w:color w:val="231F20"/>
          <w:spacing w:val="-2"/>
          <w:sz w:val="20"/>
        </w:rPr>
        <w:t>link.</w:t>
      </w:r>
    </w:p>
    <w:p>
      <w:pPr>
        <w:pStyle w:val="ListParagraph"/>
        <w:numPr>
          <w:ilvl w:val="0"/>
          <w:numId w:val="44"/>
        </w:numPr>
        <w:tabs>
          <w:tab w:pos="2787" w:val="left" w:leader="none"/>
        </w:tabs>
        <w:spacing w:line="240" w:lineRule="auto" w:before="30" w:after="0"/>
        <w:ind w:left="2787" w:right="0" w:hanging="315"/>
        <w:jc w:val="left"/>
        <w:rPr>
          <w:sz w:val="20"/>
        </w:rPr>
      </w:pPr>
      <w:r>
        <w:rPr>
          <w:color w:val="231F20"/>
          <w:sz w:val="20"/>
        </w:rPr>
        <w:t>Click</w:t>
      </w:r>
      <w:r>
        <w:rPr>
          <w:color w:val="231F20"/>
          <w:spacing w:val="11"/>
          <w:sz w:val="20"/>
        </w:rPr>
        <w:t> </w:t>
      </w:r>
      <w:r>
        <w:rPr>
          <w:rFonts w:ascii="Book Antiqua"/>
          <w:b/>
          <w:color w:val="231F20"/>
          <w:sz w:val="20"/>
        </w:rPr>
        <w:t>Next</w:t>
      </w:r>
      <w:r>
        <w:rPr>
          <w:rFonts w:ascii="Book Antiqua"/>
          <w:b/>
          <w:color w:val="231F20"/>
          <w:spacing w:val="11"/>
          <w:sz w:val="20"/>
        </w:rPr>
        <w:t> </w:t>
      </w:r>
      <w:r>
        <w:rPr>
          <w:color w:val="231F20"/>
          <w:sz w:val="20"/>
        </w:rPr>
        <w:t>until</w:t>
      </w:r>
      <w:r>
        <w:rPr>
          <w:color w:val="231F20"/>
          <w:spacing w:val="11"/>
          <w:sz w:val="20"/>
        </w:rPr>
        <w:t> </w:t>
      </w:r>
      <w:r>
        <w:rPr>
          <w:color w:val="231F20"/>
          <w:sz w:val="20"/>
        </w:rPr>
        <w:t>you</w:t>
      </w:r>
      <w:r>
        <w:rPr>
          <w:color w:val="231F20"/>
          <w:spacing w:val="11"/>
          <w:sz w:val="20"/>
        </w:rPr>
        <w:t> </w:t>
      </w:r>
      <w:r>
        <w:rPr>
          <w:color w:val="231F20"/>
          <w:sz w:val="20"/>
        </w:rPr>
        <w:t>reach</w:t>
      </w:r>
      <w:r>
        <w:rPr>
          <w:color w:val="231F20"/>
          <w:spacing w:val="11"/>
          <w:sz w:val="20"/>
        </w:rPr>
        <w:t> </w:t>
      </w:r>
      <w:r>
        <w:rPr>
          <w:color w:val="231F20"/>
          <w:sz w:val="20"/>
        </w:rPr>
        <w:t>the</w:t>
      </w:r>
      <w:r>
        <w:rPr>
          <w:color w:val="231F20"/>
          <w:spacing w:val="11"/>
          <w:sz w:val="20"/>
        </w:rPr>
        <w:t> </w:t>
      </w:r>
      <w:r>
        <w:rPr>
          <w:color w:val="231F20"/>
          <w:sz w:val="20"/>
        </w:rPr>
        <w:t>summary</w:t>
      </w:r>
      <w:r>
        <w:rPr>
          <w:color w:val="231F20"/>
          <w:spacing w:val="11"/>
          <w:sz w:val="20"/>
        </w:rPr>
        <w:t> </w:t>
      </w:r>
      <w:r>
        <w:rPr>
          <w:color w:val="231F20"/>
          <w:sz w:val="20"/>
        </w:rPr>
        <w:t>page,</w:t>
      </w:r>
      <w:r>
        <w:rPr>
          <w:color w:val="231F20"/>
          <w:spacing w:val="11"/>
          <w:sz w:val="20"/>
        </w:rPr>
        <w:t> </w:t>
      </w:r>
      <w:r>
        <w:rPr>
          <w:color w:val="231F20"/>
          <w:sz w:val="20"/>
        </w:rPr>
        <w:t>then</w:t>
      </w:r>
      <w:r>
        <w:rPr>
          <w:color w:val="231F20"/>
          <w:spacing w:val="11"/>
          <w:sz w:val="20"/>
        </w:rPr>
        <w:t> </w:t>
      </w:r>
      <w:r>
        <w:rPr>
          <w:color w:val="231F20"/>
          <w:sz w:val="20"/>
        </w:rPr>
        <w:t>click</w:t>
      </w:r>
      <w:r>
        <w:rPr>
          <w:color w:val="231F20"/>
          <w:spacing w:val="11"/>
          <w:sz w:val="20"/>
        </w:rPr>
        <w:t> </w:t>
      </w:r>
      <w:r>
        <w:rPr>
          <w:rFonts w:ascii="Book Antiqua"/>
          <w:b/>
          <w:color w:val="231F20"/>
          <w:spacing w:val="-2"/>
          <w:sz w:val="20"/>
        </w:rPr>
        <w:t>Finish</w:t>
      </w:r>
      <w:r>
        <w:rPr>
          <w:color w:val="231F20"/>
          <w:spacing w:val="-2"/>
          <w:sz w:val="20"/>
        </w:rPr>
        <w:t>.</w:t>
      </w:r>
    </w:p>
    <w:p>
      <w:pPr>
        <w:pStyle w:val="Heading3"/>
        <w:spacing w:before="211"/>
        <w:ind w:left="1574"/>
      </w:pPr>
      <w:bookmarkStart w:name="Deleting a link definition" w:id="140"/>
      <w:bookmarkEnd w:id="140"/>
      <w:r>
        <w:rPr>
          <w:b w:val="0"/>
        </w:rPr>
      </w:r>
      <w:r>
        <w:rPr>
          <w:color w:val="231F20"/>
        </w:rPr>
        <w:t>Deleting</w:t>
      </w:r>
      <w:r>
        <w:rPr>
          <w:color w:val="231F20"/>
          <w:spacing w:val="9"/>
        </w:rPr>
        <w:t> </w:t>
      </w:r>
      <w:r>
        <w:rPr>
          <w:color w:val="231F20"/>
        </w:rPr>
        <w:t>a</w:t>
      </w:r>
      <w:r>
        <w:rPr>
          <w:color w:val="231F20"/>
          <w:spacing w:val="9"/>
        </w:rPr>
        <w:t> </w:t>
      </w:r>
      <w:r>
        <w:rPr>
          <w:color w:val="231F20"/>
        </w:rPr>
        <w:t>link</w:t>
      </w:r>
      <w:r>
        <w:rPr>
          <w:color w:val="231F20"/>
          <w:spacing w:val="9"/>
        </w:rPr>
        <w:t> </w:t>
      </w:r>
      <w:r>
        <w:rPr>
          <w:color w:val="231F20"/>
          <w:spacing w:val="-2"/>
        </w:rPr>
        <w:t>definition</w:t>
      </w:r>
    </w:p>
    <w:p>
      <w:pPr>
        <w:pStyle w:val="BodyText"/>
        <w:spacing w:before="35"/>
        <w:ind w:left="2472"/>
      </w:pPr>
      <w:r>
        <w:rPr>
          <w:color w:val="231F20"/>
        </w:rPr>
        <w:t>You</w:t>
      </w:r>
      <w:r>
        <w:rPr>
          <w:color w:val="231F20"/>
          <w:spacing w:val="10"/>
        </w:rPr>
        <w:t> </w:t>
      </w:r>
      <w:r>
        <w:rPr>
          <w:color w:val="231F20"/>
        </w:rPr>
        <w:t>can</w:t>
      </w:r>
      <w:r>
        <w:rPr>
          <w:color w:val="231F20"/>
          <w:spacing w:val="11"/>
        </w:rPr>
        <w:t> </w:t>
      </w:r>
      <w:r>
        <w:rPr>
          <w:color w:val="231F20"/>
        </w:rPr>
        <w:t>delete</w:t>
      </w:r>
      <w:r>
        <w:rPr>
          <w:color w:val="231F20"/>
          <w:spacing w:val="10"/>
        </w:rPr>
        <w:t> </w:t>
      </w:r>
      <w:r>
        <w:rPr>
          <w:color w:val="231F20"/>
        </w:rPr>
        <w:t>a</w:t>
      </w:r>
      <w:r>
        <w:rPr>
          <w:color w:val="231F20"/>
          <w:spacing w:val="11"/>
        </w:rPr>
        <w:t> </w:t>
      </w:r>
      <w:r>
        <w:rPr>
          <w:color w:val="231F20"/>
        </w:rPr>
        <w:t>link</w:t>
      </w:r>
      <w:r>
        <w:rPr>
          <w:color w:val="231F20"/>
          <w:spacing w:val="10"/>
        </w:rPr>
        <w:t> </w:t>
      </w:r>
      <w:r>
        <w:rPr>
          <w:color w:val="231F20"/>
        </w:rPr>
        <w:t>definition</w:t>
      </w:r>
      <w:r>
        <w:rPr>
          <w:color w:val="231F20"/>
          <w:spacing w:val="11"/>
        </w:rPr>
        <w:t> </w:t>
      </w:r>
      <w:r>
        <w:rPr>
          <w:color w:val="231F20"/>
        </w:rPr>
        <w:t>when</w:t>
      </w:r>
      <w:r>
        <w:rPr>
          <w:color w:val="231F20"/>
          <w:spacing w:val="11"/>
        </w:rPr>
        <w:t> </w:t>
      </w:r>
      <w:r>
        <w:rPr>
          <w:color w:val="231F20"/>
        </w:rPr>
        <w:t>it</w:t>
      </w:r>
      <w:r>
        <w:rPr>
          <w:color w:val="231F20"/>
          <w:spacing w:val="10"/>
        </w:rPr>
        <w:t> </w:t>
      </w:r>
      <w:r>
        <w:rPr>
          <w:color w:val="231F20"/>
        </w:rPr>
        <w:t>is</w:t>
      </w:r>
      <w:r>
        <w:rPr>
          <w:color w:val="231F20"/>
          <w:spacing w:val="11"/>
        </w:rPr>
        <w:t> </w:t>
      </w:r>
      <w:r>
        <w:rPr>
          <w:color w:val="231F20"/>
        </w:rPr>
        <w:t>no</w:t>
      </w:r>
      <w:r>
        <w:rPr>
          <w:color w:val="231F20"/>
          <w:spacing w:val="10"/>
        </w:rPr>
        <w:t> </w:t>
      </w:r>
      <w:r>
        <w:rPr>
          <w:color w:val="231F20"/>
        </w:rPr>
        <w:t>longer</w:t>
      </w:r>
      <w:r>
        <w:rPr>
          <w:color w:val="231F20"/>
          <w:spacing w:val="11"/>
        </w:rPr>
        <w:t> </w:t>
      </w:r>
      <w:r>
        <w:rPr>
          <w:color w:val="231F20"/>
          <w:spacing w:val="-2"/>
        </w:rPr>
        <w:t>useful.</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Follow</w:t>
      </w:r>
      <w:r>
        <w:rPr>
          <w:color w:val="231F20"/>
          <w:spacing w:val="10"/>
        </w:rPr>
        <w:t> </w:t>
      </w:r>
      <w:r>
        <w:rPr>
          <w:color w:val="231F20"/>
        </w:rPr>
        <w:t>these</w:t>
      </w:r>
      <w:r>
        <w:rPr>
          <w:color w:val="231F20"/>
          <w:spacing w:val="11"/>
        </w:rPr>
        <w:t> </w:t>
      </w:r>
      <w:r>
        <w:rPr>
          <w:color w:val="231F20"/>
        </w:rPr>
        <w:t>steps</w:t>
      </w:r>
      <w:r>
        <w:rPr>
          <w:color w:val="231F20"/>
          <w:spacing w:val="10"/>
        </w:rPr>
        <w:t> </w:t>
      </w:r>
      <w:r>
        <w:rPr>
          <w:color w:val="231F20"/>
        </w:rPr>
        <w:t>to</w:t>
      </w:r>
      <w:r>
        <w:rPr>
          <w:color w:val="231F20"/>
          <w:spacing w:val="11"/>
        </w:rPr>
        <w:t> </w:t>
      </w:r>
      <w:r>
        <w:rPr>
          <w:color w:val="231F20"/>
        </w:rPr>
        <w:t>permanently</w:t>
      </w:r>
      <w:r>
        <w:rPr>
          <w:color w:val="231F20"/>
          <w:spacing w:val="10"/>
        </w:rPr>
        <w:t> </w:t>
      </w:r>
      <w:r>
        <w:rPr>
          <w:color w:val="231F20"/>
        </w:rPr>
        <w:t>remove</w:t>
      </w:r>
      <w:r>
        <w:rPr>
          <w:color w:val="231F20"/>
          <w:spacing w:val="11"/>
        </w:rPr>
        <w:t> </w:t>
      </w:r>
      <w:r>
        <w:rPr>
          <w:color w:val="231F20"/>
        </w:rPr>
        <w:t>a</w:t>
      </w:r>
      <w:r>
        <w:rPr>
          <w:color w:val="231F20"/>
          <w:spacing w:val="10"/>
        </w:rPr>
        <w:t> </w:t>
      </w:r>
      <w:r>
        <w:rPr>
          <w:color w:val="231F20"/>
        </w:rPr>
        <w:t>link</w:t>
      </w:r>
      <w:r>
        <w:rPr>
          <w:color w:val="231F20"/>
          <w:spacing w:val="11"/>
        </w:rPr>
        <w:t> </w:t>
      </w:r>
      <w:r>
        <w:rPr>
          <w:color w:val="231F20"/>
          <w:spacing w:val="-2"/>
        </w:rPr>
        <w:t>definition.</w:t>
      </w:r>
    </w:p>
    <w:p>
      <w:pPr>
        <w:pStyle w:val="Heading4"/>
        <w:spacing w:before="194"/>
        <w:ind w:left="2472"/>
      </w:pPr>
      <w:r>
        <w:rPr>
          <w:color w:val="231F20"/>
          <w:spacing w:val="-2"/>
        </w:rPr>
        <w:t>Procedure</w:t>
      </w:r>
    </w:p>
    <w:p>
      <w:pPr>
        <w:pStyle w:val="ListParagraph"/>
        <w:numPr>
          <w:ilvl w:val="0"/>
          <w:numId w:val="45"/>
        </w:numPr>
        <w:tabs>
          <w:tab w:pos="2787" w:val="left" w:leader="none"/>
        </w:tabs>
        <w:spacing w:line="240" w:lineRule="auto" w:before="38" w:after="0"/>
        <w:ind w:left="2787" w:right="0" w:hanging="315"/>
        <w:jc w:val="left"/>
        <w:rPr>
          <w:sz w:val="20"/>
        </w:rPr>
      </w:pPr>
      <w:r>
        <w:rPr>
          <w:color w:val="231F20"/>
          <w:sz w:val="20"/>
        </w:rPr>
        <w:t>Open</w:t>
      </w:r>
      <w:r>
        <w:rPr>
          <w:color w:val="231F20"/>
          <w:spacing w:val="10"/>
          <w:sz w:val="20"/>
        </w:rPr>
        <w:t> </w:t>
      </w:r>
      <w:r>
        <w:rPr>
          <w:color w:val="231F20"/>
          <w:sz w:val="20"/>
        </w:rPr>
        <w:t>the</w:t>
      </w:r>
      <w:r>
        <w:rPr>
          <w:color w:val="231F20"/>
          <w:spacing w:val="10"/>
          <w:sz w:val="20"/>
        </w:rPr>
        <w:t> </w:t>
      </w:r>
      <w:r>
        <w:rPr>
          <w:color w:val="231F20"/>
          <w:sz w:val="20"/>
        </w:rPr>
        <w:t>source</w:t>
      </w:r>
      <w:r>
        <w:rPr>
          <w:color w:val="231F20"/>
          <w:spacing w:val="10"/>
          <w:sz w:val="20"/>
        </w:rPr>
        <w:t> </w:t>
      </w:r>
      <w:r>
        <w:rPr>
          <w:color w:val="231F20"/>
          <w:spacing w:val="-2"/>
          <w:sz w:val="20"/>
        </w:rPr>
        <w:t>workspace.</w:t>
      </w:r>
    </w:p>
    <w:p>
      <w:pPr>
        <w:pStyle w:val="ListParagraph"/>
        <w:numPr>
          <w:ilvl w:val="0"/>
          <w:numId w:val="45"/>
        </w:numPr>
        <w:tabs>
          <w:tab w:pos="2787" w:val="left" w:leader="none"/>
        </w:tabs>
        <w:spacing w:line="240" w:lineRule="auto" w:before="30" w:after="0"/>
        <w:ind w:left="2787"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2"/>
          <w:sz w:val="20"/>
        </w:rPr>
        <w:t> </w:t>
      </w:r>
      <w:r>
        <w:rPr>
          <w:color w:val="231F20"/>
          <w:sz w:val="20"/>
        </w:rPr>
        <w:t>link</w:t>
      </w:r>
      <w:r>
        <w:rPr>
          <w:color w:val="231F20"/>
          <w:spacing w:val="11"/>
          <w:sz w:val="20"/>
        </w:rPr>
        <w:t> </w:t>
      </w:r>
      <w:r>
        <w:rPr>
          <w:color w:val="231F20"/>
          <w:sz w:val="20"/>
        </w:rPr>
        <w:t>origination</w:t>
      </w:r>
      <w:r>
        <w:rPr>
          <w:color w:val="231F20"/>
          <w:spacing w:val="12"/>
          <w:sz w:val="20"/>
        </w:rPr>
        <w:t> </w:t>
      </w:r>
      <w:r>
        <w:rPr>
          <w:color w:val="231F20"/>
          <w:sz w:val="20"/>
        </w:rPr>
        <w:t>point,</w:t>
      </w:r>
      <w:r>
        <w:rPr>
          <w:color w:val="231F20"/>
          <w:spacing w:val="11"/>
          <w:sz w:val="20"/>
        </w:rPr>
        <w:t> </w:t>
      </w:r>
      <w:r>
        <w:rPr>
          <w:color w:val="231F20"/>
          <w:sz w:val="20"/>
        </w:rPr>
        <w:t>which</w:t>
      </w:r>
      <w:r>
        <w:rPr>
          <w:color w:val="231F20"/>
          <w:spacing w:val="12"/>
          <w:sz w:val="20"/>
        </w:rPr>
        <w:t> </w:t>
      </w:r>
      <w:r>
        <w:rPr>
          <w:color w:val="231F20"/>
          <w:sz w:val="20"/>
        </w:rPr>
        <w:t>can</w:t>
      </w:r>
      <w:r>
        <w:rPr>
          <w:color w:val="231F20"/>
          <w:spacing w:val="11"/>
          <w:sz w:val="20"/>
        </w:rPr>
        <w:t> </w:t>
      </w:r>
      <w:r>
        <w:rPr>
          <w:color w:val="231F20"/>
          <w:sz w:val="20"/>
        </w:rPr>
        <w:t>be</w:t>
      </w:r>
      <w:r>
        <w:rPr>
          <w:color w:val="231F20"/>
          <w:spacing w:val="12"/>
          <w:sz w:val="20"/>
        </w:rPr>
        <w:t> </w:t>
      </w:r>
      <w:r>
        <w:rPr>
          <w:color w:val="231F20"/>
          <w:sz w:val="20"/>
        </w:rPr>
        <w:t>one</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before="30"/>
        <w:ind w:left="2788"/>
      </w:pPr>
      <w:r>
        <w:rPr>
          <w:rFonts w:ascii="Futura MdCn BT"/>
          <w:color w:val="231F20"/>
        </w:rPr>
        <w:t>v</w:t>
      </w:r>
      <w:r>
        <w:rPr>
          <w:rFonts w:ascii="Futura MdCn BT"/>
          <w:color w:val="231F20"/>
          <w:spacing w:val="31"/>
        </w:rPr>
        <w:t>  </w:t>
      </w:r>
      <w:r>
        <w:rPr>
          <w:color w:val="231F20"/>
        </w:rPr>
        <w:t>The</w:t>
      </w:r>
      <w:r>
        <w:rPr>
          <w:color w:val="231F20"/>
          <w:spacing w:val="12"/>
        </w:rPr>
        <w:t> </w:t>
      </w:r>
      <w:r>
        <w:rPr>
          <w:color w:val="231F20"/>
        </w:rPr>
        <w:t>highlighted</w:t>
      </w:r>
      <w:r>
        <w:rPr>
          <w:color w:val="231F20"/>
          <w:spacing w:val="12"/>
        </w:rPr>
        <w:t> </w:t>
      </w:r>
      <w:r>
        <w:rPr>
          <w:color w:val="231F20"/>
        </w:rPr>
        <w:t>Navigator</w:t>
      </w:r>
      <w:r>
        <w:rPr>
          <w:color w:val="231F20"/>
          <w:spacing w:val="12"/>
        </w:rPr>
        <w:t> </w:t>
      </w:r>
      <w:r>
        <w:rPr>
          <w:color w:val="231F20"/>
        </w:rPr>
        <w:t>item</w:t>
      </w:r>
      <w:r>
        <w:rPr>
          <w:color w:val="231F20"/>
          <w:spacing w:val="12"/>
        </w:rPr>
        <w:t> </w:t>
      </w:r>
      <w:r>
        <w:rPr>
          <w:color w:val="231F20"/>
        </w:rPr>
        <w:t>for</w:t>
      </w:r>
      <w:r>
        <w:rPr>
          <w:color w:val="231F20"/>
          <w:spacing w:val="12"/>
        </w:rPr>
        <w:t> </w:t>
      </w:r>
      <w:r>
        <w:rPr>
          <w:color w:val="231F20"/>
        </w:rPr>
        <w:t>this</w:t>
      </w:r>
      <w:r>
        <w:rPr>
          <w:color w:val="231F20"/>
          <w:spacing w:val="13"/>
        </w:rPr>
        <w:t> </w:t>
      </w:r>
      <w:r>
        <w:rPr>
          <w:color w:val="231F20"/>
          <w:spacing w:val="-2"/>
        </w:rPr>
        <w:t>workspace</w:t>
      </w:r>
    </w:p>
    <w:p>
      <w:pPr>
        <w:pStyle w:val="BodyText"/>
        <w:spacing w:before="29"/>
        <w:ind w:left="2788"/>
      </w:pPr>
      <w:r>
        <w:rPr>
          <w:rFonts w:ascii="Futura MdCn BT"/>
          <w:color w:val="231F20"/>
        </w:rPr>
        <w:t>v</w:t>
      </w:r>
      <w:r>
        <w:rPr>
          <w:rFonts w:ascii="Futura MdCn BT"/>
          <w:color w:val="231F20"/>
          <w:spacing w:val="33"/>
        </w:rPr>
        <w:t>  </w:t>
      </w:r>
      <w:r>
        <w:rPr>
          <w:color w:val="231F20"/>
        </w:rPr>
        <w:t>An</w:t>
      </w:r>
      <w:r>
        <w:rPr>
          <w:color w:val="231F20"/>
          <w:spacing w:val="14"/>
        </w:rPr>
        <w:t> </w:t>
      </w:r>
      <w:r>
        <w:rPr>
          <w:color w:val="231F20"/>
        </w:rPr>
        <w:t>icon</w:t>
      </w:r>
      <w:r>
        <w:rPr>
          <w:color w:val="231F20"/>
          <w:spacing w:val="14"/>
        </w:rPr>
        <w:t> </w:t>
      </w:r>
      <w:r>
        <w:rPr>
          <w:color w:val="231F20"/>
        </w:rPr>
        <w:t>in</w:t>
      </w:r>
      <w:r>
        <w:rPr>
          <w:color w:val="231F20"/>
          <w:spacing w:val="13"/>
        </w:rPr>
        <w:t> </w:t>
      </w:r>
      <w:r>
        <w:rPr>
          <w:color w:val="231F20"/>
        </w:rPr>
        <w:t>a</w:t>
      </w:r>
      <w:r>
        <w:rPr>
          <w:color w:val="231F20"/>
          <w:spacing w:val="14"/>
        </w:rPr>
        <w:t> </w:t>
      </w:r>
      <w:r>
        <w:rPr>
          <w:color w:val="231F20"/>
        </w:rPr>
        <w:t>graphic</w:t>
      </w:r>
      <w:r>
        <w:rPr>
          <w:color w:val="231F20"/>
          <w:spacing w:val="14"/>
        </w:rPr>
        <w:t> </w:t>
      </w:r>
      <w:r>
        <w:rPr>
          <w:color w:val="231F20"/>
          <w:spacing w:val="-4"/>
        </w:rPr>
        <w:t>view</w:t>
      </w:r>
    </w:p>
    <w:p>
      <w:pPr>
        <w:pStyle w:val="BodyText"/>
        <w:spacing w:before="30"/>
        <w:ind w:left="2788"/>
      </w:pPr>
      <w:r>
        <w:rPr>
          <w:rFonts w:ascii="Futura MdCn BT"/>
          <w:color w:val="231F20"/>
        </w:rPr>
        <w:t>v</w:t>
      </w:r>
      <w:r>
        <w:rPr>
          <w:rFonts w:ascii="Futura MdCn BT"/>
          <w:color w:val="231F20"/>
          <w:spacing w:val="31"/>
        </w:rPr>
        <w:t>  </w:t>
      </w:r>
      <w:r>
        <w:rPr>
          <w:color w:val="231F20"/>
        </w:rPr>
        <w:t>An</w:t>
      </w:r>
      <w:r>
        <w:rPr>
          <w:color w:val="231F20"/>
          <w:spacing w:val="12"/>
        </w:rPr>
        <w:t> </w:t>
      </w:r>
      <w:r>
        <w:rPr>
          <w:color w:val="231F20"/>
        </w:rPr>
        <w:t>object</w:t>
      </w:r>
      <w:r>
        <w:rPr>
          <w:color w:val="231F20"/>
          <w:spacing w:val="12"/>
        </w:rPr>
        <w:t> </w:t>
      </w:r>
      <w:r>
        <w:rPr>
          <w:color w:val="231F20"/>
        </w:rPr>
        <w:t>in</w:t>
      </w:r>
      <w:r>
        <w:rPr>
          <w:color w:val="231F20"/>
          <w:spacing w:val="12"/>
        </w:rPr>
        <w:t> </w:t>
      </w:r>
      <w:r>
        <w:rPr>
          <w:color w:val="231F20"/>
        </w:rPr>
        <w:t>a</w:t>
      </w:r>
      <w:r>
        <w:rPr>
          <w:color w:val="231F20"/>
          <w:spacing w:val="12"/>
        </w:rPr>
        <w:t> </w:t>
      </w:r>
      <w:r>
        <w:rPr>
          <w:color w:val="231F20"/>
        </w:rPr>
        <w:t>TMS</w:t>
      </w:r>
      <w:r>
        <w:rPr>
          <w:color w:val="231F20"/>
          <w:spacing w:val="12"/>
        </w:rPr>
        <w:t> </w:t>
      </w:r>
      <w:r>
        <w:rPr>
          <w:color w:val="231F20"/>
        </w:rPr>
        <w:t>Infrastructure</w:t>
      </w:r>
      <w:r>
        <w:rPr>
          <w:color w:val="231F20"/>
          <w:spacing w:val="12"/>
        </w:rPr>
        <w:t> </w:t>
      </w:r>
      <w:r>
        <w:rPr>
          <w:color w:val="231F20"/>
          <w:spacing w:val="-4"/>
        </w:rPr>
        <w:t>view</w:t>
      </w:r>
    </w:p>
    <w:p>
      <w:pPr>
        <w:pStyle w:val="BodyText"/>
        <w:spacing w:before="29"/>
        <w:ind w:left="2788"/>
      </w:pPr>
      <w:r>
        <w:rPr>
          <w:rFonts w:ascii="Futura MdCn BT"/>
          <w:color w:val="231F20"/>
        </w:rPr>
        <w:t>v</w:t>
      </w:r>
      <w:r>
        <w:rPr>
          <w:rFonts w:ascii="Futura MdCn BT"/>
          <w:color w:val="231F20"/>
          <w:spacing w:val="31"/>
        </w:rPr>
        <w:t>  </w:t>
      </w:r>
      <w:r>
        <w:rPr>
          <w:color w:val="231F20"/>
        </w:rPr>
        <w:t>A</w:t>
      </w:r>
      <w:r>
        <w:rPr>
          <w:color w:val="231F20"/>
          <w:spacing w:val="3"/>
        </w:rPr>
        <w:t> </w:t>
      </w:r>
      <w:r>
        <w:rPr>
          <w:color w:val="231F20"/>
        </w:rPr>
        <w:t>row</w:t>
      </w:r>
      <w:r>
        <w:rPr>
          <w:color w:val="231F20"/>
          <w:spacing w:val="13"/>
        </w:rPr>
        <w:t> </w:t>
      </w:r>
      <w:r>
        <w:rPr>
          <w:color w:val="231F20"/>
        </w:rPr>
        <w:t>in</w:t>
      </w:r>
      <w:r>
        <w:rPr>
          <w:color w:val="231F20"/>
          <w:spacing w:val="12"/>
        </w:rPr>
        <w:t> </w:t>
      </w:r>
      <w:r>
        <w:rPr>
          <w:color w:val="231F20"/>
        </w:rPr>
        <w:t>a</w:t>
      </w:r>
      <w:r>
        <w:rPr>
          <w:color w:val="231F20"/>
          <w:spacing w:val="13"/>
        </w:rPr>
        <w:t> </w:t>
      </w:r>
      <w:r>
        <w:rPr>
          <w:color w:val="231F20"/>
        </w:rPr>
        <w:t>table</w:t>
      </w:r>
      <w:r>
        <w:rPr>
          <w:color w:val="231F20"/>
          <w:spacing w:val="13"/>
        </w:rPr>
        <w:t> </w:t>
      </w:r>
      <w:r>
        <w:rPr>
          <w:color w:val="231F20"/>
        </w:rPr>
        <w:t>view</w:t>
      </w:r>
      <w:r>
        <w:rPr>
          <w:color w:val="231F20"/>
          <w:spacing w:val="12"/>
        </w:rPr>
        <w:t> </w:t>
      </w:r>
      <w:r>
        <w:rPr>
          <w:color w:val="231F20"/>
        </w:rPr>
        <w:t>or</w:t>
      </w:r>
      <w:r>
        <w:rPr>
          <w:color w:val="231F20"/>
          <w:spacing w:val="13"/>
        </w:rPr>
        <w:t> </w:t>
      </w:r>
      <w:r>
        <w:rPr>
          <w:color w:val="231F20"/>
        </w:rPr>
        <w:t>situation</w:t>
      </w:r>
      <w:r>
        <w:rPr>
          <w:color w:val="231F20"/>
          <w:spacing w:val="12"/>
        </w:rPr>
        <w:t> </w:t>
      </w:r>
      <w:r>
        <w:rPr>
          <w:color w:val="231F20"/>
        </w:rPr>
        <w:t>event</w:t>
      </w:r>
      <w:r>
        <w:rPr>
          <w:color w:val="231F20"/>
          <w:spacing w:val="13"/>
        </w:rPr>
        <w:t> </w:t>
      </w:r>
      <w:r>
        <w:rPr>
          <w:color w:val="231F20"/>
        </w:rPr>
        <w:t>console</w:t>
      </w:r>
      <w:r>
        <w:rPr>
          <w:color w:val="231F20"/>
          <w:spacing w:val="12"/>
        </w:rPr>
        <w:t> </w:t>
      </w:r>
      <w:r>
        <w:rPr>
          <w:color w:val="231F20"/>
          <w:spacing w:val="-4"/>
        </w:rPr>
        <w:t>view</w:t>
      </w:r>
    </w:p>
    <w:p>
      <w:pPr>
        <w:pStyle w:val="BodyText"/>
        <w:spacing w:before="30"/>
        <w:ind w:left="2788"/>
      </w:pPr>
      <w:r>
        <w:rPr>
          <w:rFonts w:ascii="Futura MdCn BT"/>
          <w:color w:val="231F20"/>
        </w:rPr>
        <w:t>v</w:t>
      </w:r>
      <w:r>
        <w:rPr>
          <w:rFonts w:ascii="Futura MdCn BT"/>
          <w:color w:val="231F20"/>
          <w:spacing w:val="33"/>
        </w:rPr>
        <w:t>  </w:t>
      </w:r>
      <w:r>
        <w:rPr>
          <w:color w:val="231F20"/>
        </w:rPr>
        <w:t>A</w:t>
      </w:r>
      <w:r>
        <w:rPr>
          <w:color w:val="231F20"/>
          <w:spacing w:val="4"/>
        </w:rPr>
        <w:t> </w:t>
      </w:r>
      <w:r>
        <w:rPr>
          <w:color w:val="231F20"/>
        </w:rPr>
        <w:t>bar</w:t>
      </w:r>
      <w:r>
        <w:rPr>
          <w:color w:val="231F20"/>
          <w:spacing w:val="15"/>
        </w:rPr>
        <w:t> </w:t>
      </w:r>
      <w:r>
        <w:rPr>
          <w:color w:val="231F20"/>
        </w:rPr>
        <w:t>in</w:t>
      </w:r>
      <w:r>
        <w:rPr>
          <w:color w:val="231F20"/>
          <w:spacing w:val="14"/>
        </w:rPr>
        <w:t> </w:t>
      </w:r>
      <w:r>
        <w:rPr>
          <w:color w:val="231F20"/>
        </w:rPr>
        <w:t>a</w:t>
      </w:r>
      <w:r>
        <w:rPr>
          <w:color w:val="231F20"/>
          <w:spacing w:val="14"/>
        </w:rPr>
        <w:t> </w:t>
      </w:r>
      <w:r>
        <w:rPr>
          <w:color w:val="231F20"/>
        </w:rPr>
        <w:t>bar</w:t>
      </w:r>
      <w:r>
        <w:rPr>
          <w:color w:val="231F20"/>
          <w:spacing w:val="14"/>
        </w:rPr>
        <w:t> </w:t>
      </w:r>
      <w:r>
        <w:rPr>
          <w:color w:val="231F20"/>
        </w:rPr>
        <w:t>chart</w:t>
      </w:r>
      <w:r>
        <w:rPr>
          <w:color w:val="231F20"/>
          <w:spacing w:val="14"/>
        </w:rPr>
        <w:t> </w:t>
      </w:r>
      <w:r>
        <w:rPr>
          <w:color w:val="231F20"/>
          <w:spacing w:val="-4"/>
        </w:rPr>
        <w:t>view</w:t>
      </w:r>
    </w:p>
    <w:p>
      <w:pPr>
        <w:pStyle w:val="BodyText"/>
        <w:spacing w:before="29"/>
        <w:ind w:left="2788"/>
      </w:pPr>
      <w:r>
        <w:rPr>
          <w:rFonts w:ascii="Futura MdCn BT"/>
          <w:color w:val="231F20"/>
        </w:rPr>
        <w:t>v</w:t>
      </w:r>
      <w:r>
        <w:rPr>
          <w:rFonts w:ascii="Futura MdCn BT"/>
          <w:color w:val="231F20"/>
          <w:spacing w:val="33"/>
        </w:rPr>
        <w:t>  </w:t>
      </w:r>
      <w:r>
        <w:rPr>
          <w:color w:val="231F20"/>
        </w:rPr>
        <w:t>A</w:t>
      </w:r>
      <w:r>
        <w:rPr>
          <w:color w:val="231F20"/>
          <w:spacing w:val="4"/>
        </w:rPr>
        <w:t> </w:t>
      </w:r>
      <w:r>
        <w:rPr>
          <w:color w:val="231F20"/>
        </w:rPr>
        <w:t>slice</w:t>
      </w:r>
      <w:r>
        <w:rPr>
          <w:color w:val="231F20"/>
          <w:spacing w:val="14"/>
        </w:rPr>
        <w:t> </w:t>
      </w:r>
      <w:r>
        <w:rPr>
          <w:color w:val="231F20"/>
        </w:rPr>
        <w:t>in</w:t>
      </w:r>
      <w:r>
        <w:rPr>
          <w:color w:val="231F20"/>
          <w:spacing w:val="14"/>
        </w:rPr>
        <w:t> </w:t>
      </w:r>
      <w:r>
        <w:rPr>
          <w:color w:val="231F20"/>
        </w:rPr>
        <w:t>a</w:t>
      </w:r>
      <w:r>
        <w:rPr>
          <w:color w:val="231F20"/>
          <w:spacing w:val="14"/>
        </w:rPr>
        <w:t> </w:t>
      </w:r>
      <w:r>
        <w:rPr>
          <w:color w:val="231F20"/>
        </w:rPr>
        <w:t>pie</w:t>
      </w:r>
      <w:r>
        <w:rPr>
          <w:color w:val="231F20"/>
          <w:spacing w:val="14"/>
        </w:rPr>
        <w:t> </w:t>
      </w:r>
      <w:r>
        <w:rPr>
          <w:color w:val="231F20"/>
        </w:rPr>
        <w:t>chart</w:t>
      </w:r>
      <w:r>
        <w:rPr>
          <w:color w:val="231F20"/>
          <w:spacing w:val="15"/>
        </w:rPr>
        <w:t> </w:t>
      </w:r>
      <w:r>
        <w:rPr>
          <w:color w:val="231F20"/>
          <w:spacing w:val="-4"/>
        </w:rPr>
        <w:t>view</w:t>
      </w:r>
    </w:p>
    <w:p>
      <w:pPr>
        <w:pStyle w:val="BodyText"/>
        <w:spacing w:before="30"/>
        <w:ind w:left="2788"/>
      </w:pPr>
      <w:r>
        <w:rPr>
          <w:rFonts w:ascii="Futura MdCn BT"/>
          <w:color w:val="231F20"/>
        </w:rPr>
        <w:t>v</w:t>
      </w:r>
      <w:r>
        <w:rPr>
          <w:rFonts w:ascii="Futura MdCn BT"/>
          <w:color w:val="231F20"/>
          <w:spacing w:val="33"/>
        </w:rPr>
        <w:t>  </w:t>
      </w:r>
      <w:r>
        <w:rPr>
          <w:color w:val="231F20"/>
        </w:rPr>
        <w:t>A</w:t>
      </w:r>
      <w:r>
        <w:rPr>
          <w:color w:val="231F20"/>
          <w:spacing w:val="3"/>
        </w:rPr>
        <w:t> </w:t>
      </w:r>
      <w:r>
        <w:rPr>
          <w:color w:val="231F20"/>
        </w:rPr>
        <w:t>point</w:t>
      </w:r>
      <w:r>
        <w:rPr>
          <w:color w:val="231F20"/>
          <w:spacing w:val="14"/>
        </w:rPr>
        <w:t> </w:t>
      </w:r>
      <w:r>
        <w:rPr>
          <w:color w:val="231F20"/>
        </w:rPr>
        <w:t>in</w:t>
      </w:r>
      <w:r>
        <w:rPr>
          <w:color w:val="231F20"/>
          <w:spacing w:val="14"/>
        </w:rPr>
        <w:t> </w:t>
      </w:r>
      <w:r>
        <w:rPr>
          <w:color w:val="231F20"/>
        </w:rPr>
        <w:t>a</w:t>
      </w:r>
      <w:r>
        <w:rPr>
          <w:color w:val="231F20"/>
          <w:spacing w:val="14"/>
        </w:rPr>
        <w:t> </w:t>
      </w:r>
      <w:r>
        <w:rPr>
          <w:color w:val="231F20"/>
        </w:rPr>
        <w:t>plot</w:t>
      </w:r>
      <w:r>
        <w:rPr>
          <w:color w:val="231F20"/>
          <w:spacing w:val="14"/>
        </w:rPr>
        <w:t> </w:t>
      </w:r>
      <w:r>
        <w:rPr>
          <w:color w:val="231F20"/>
        </w:rPr>
        <w:t>chart</w:t>
      </w:r>
      <w:r>
        <w:rPr>
          <w:color w:val="231F20"/>
          <w:spacing w:val="14"/>
        </w:rPr>
        <w:t> </w:t>
      </w:r>
      <w:r>
        <w:rPr>
          <w:color w:val="231F20"/>
          <w:spacing w:val="-4"/>
        </w:rPr>
        <w:t>view</w:t>
      </w:r>
    </w:p>
    <w:p>
      <w:pPr>
        <w:pStyle w:val="ListParagraph"/>
        <w:numPr>
          <w:ilvl w:val="0"/>
          <w:numId w:val="45"/>
        </w:numPr>
        <w:tabs>
          <w:tab w:pos="2787" w:val="left" w:leader="none"/>
        </w:tabs>
        <w:spacing w:line="240" w:lineRule="auto" w:before="29" w:after="0"/>
        <w:ind w:left="2787" w:right="0" w:hanging="315"/>
        <w:jc w:val="left"/>
        <w:rPr>
          <w:sz w:val="20"/>
        </w:rPr>
      </w:pPr>
      <w:r>
        <w:rPr>
          <w:color w:val="231F20"/>
          <w:sz w:val="20"/>
        </w:rPr>
        <w:t>Click</w:t>
      </w:r>
      <w:r>
        <w:rPr>
          <w:color w:val="231F20"/>
          <w:spacing w:val="5"/>
          <w:sz w:val="20"/>
        </w:rPr>
        <w:t> </w:t>
      </w:r>
      <w:r>
        <w:rPr>
          <w:rFonts w:ascii="Book Antiqua"/>
          <w:b/>
          <w:color w:val="231F20"/>
          <w:sz w:val="20"/>
        </w:rPr>
        <w:t>Link</w:t>
      </w:r>
      <w:r>
        <w:rPr>
          <w:rFonts w:ascii="Book Antiqua"/>
          <w:b/>
          <w:color w:val="231F20"/>
          <w:spacing w:val="8"/>
          <w:sz w:val="20"/>
        </w:rPr>
        <w:t> </w:t>
      </w:r>
      <w:r>
        <w:rPr>
          <w:rFonts w:ascii="Book Antiqua"/>
          <w:b/>
          <w:color w:val="231F20"/>
          <w:sz w:val="20"/>
        </w:rPr>
        <w:t>To</w:t>
      </w:r>
      <w:r>
        <w:rPr>
          <w:rFonts w:ascii="Book Antiqua"/>
          <w:b/>
          <w:color w:val="231F20"/>
          <w:spacing w:val="9"/>
          <w:sz w:val="20"/>
        </w:rPr>
        <w:t> </w:t>
      </w:r>
      <w:r>
        <w:rPr>
          <w:rFonts w:ascii="Book Antiqua"/>
          <w:b/>
          <w:color w:val="231F20"/>
          <w:sz w:val="20"/>
        </w:rPr>
        <w:t>&gt;</w:t>
      </w:r>
      <w:r>
        <w:rPr>
          <w:rFonts w:ascii="Book Antiqua"/>
          <w:b/>
          <w:color w:val="231F20"/>
          <w:spacing w:val="9"/>
          <w:sz w:val="20"/>
        </w:rPr>
        <w:t> </w:t>
      </w:r>
      <w:r>
        <w:rPr>
          <w:rFonts w:ascii="Book Antiqua"/>
          <w:b/>
          <w:color w:val="231F20"/>
          <w:spacing w:val="16"/>
          <w:position w:val="-1"/>
          <w:sz w:val="20"/>
        </w:rPr>
        <w:drawing>
          <wp:inline distT="0" distB="0" distL="0" distR="0">
            <wp:extent cx="101600" cy="101600"/>
            <wp:effectExtent l="0" t="0" r="0" b="0"/>
            <wp:docPr id="748" name="Image 748"/>
            <wp:cNvGraphicFramePr>
              <a:graphicFrameLocks/>
            </wp:cNvGraphicFramePr>
            <a:graphic>
              <a:graphicData uri="http://schemas.openxmlformats.org/drawingml/2006/picture">
                <pic:pic>
                  <pic:nvPicPr>
                    <pic:cNvPr id="748" name="Image 748"/>
                    <pic:cNvPicPr/>
                  </pic:nvPicPr>
                  <pic:blipFill>
                    <a:blip r:embed="rId79"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17"/>
          <w:sz w:val="20"/>
        </w:rPr>
        <w:t> </w:t>
      </w:r>
      <w:r>
        <w:rPr>
          <w:rFonts w:ascii="Book Antiqua"/>
          <w:b/>
          <w:color w:val="231F20"/>
          <w:sz w:val="20"/>
        </w:rPr>
        <w:t>Link</w:t>
      </w:r>
      <w:r>
        <w:rPr>
          <w:rFonts w:ascii="Book Antiqua"/>
          <w:b/>
          <w:color w:val="231F20"/>
          <w:spacing w:val="9"/>
          <w:sz w:val="20"/>
        </w:rPr>
        <w:t> </w:t>
      </w:r>
      <w:r>
        <w:rPr>
          <w:rFonts w:ascii="Book Antiqua"/>
          <w:b/>
          <w:color w:val="231F20"/>
          <w:spacing w:val="-2"/>
          <w:sz w:val="20"/>
        </w:rPr>
        <w:t>Wizard</w:t>
      </w:r>
      <w:r>
        <w:rPr>
          <w:color w:val="231F20"/>
          <w:spacing w:val="-2"/>
          <w:sz w:val="20"/>
        </w:rPr>
        <w:t>.</w:t>
      </w:r>
    </w:p>
    <w:p>
      <w:pPr>
        <w:pStyle w:val="ListParagraph"/>
        <w:numPr>
          <w:ilvl w:val="0"/>
          <w:numId w:val="45"/>
        </w:numPr>
        <w:tabs>
          <w:tab w:pos="2787" w:val="left" w:leader="none"/>
        </w:tabs>
        <w:spacing w:line="240" w:lineRule="auto" w:before="35" w:after="0"/>
        <w:ind w:left="2787" w:right="0" w:hanging="315"/>
        <w:jc w:val="left"/>
        <w:rPr>
          <w:sz w:val="20"/>
        </w:rPr>
      </w:pPr>
      <w:r>
        <w:rPr>
          <w:color w:val="231F20"/>
          <w:sz w:val="20"/>
        </w:rPr>
        <w:t>Select</w:t>
      </w:r>
      <w:r>
        <w:rPr>
          <w:color w:val="231F20"/>
          <w:spacing w:val="9"/>
          <w:sz w:val="20"/>
        </w:rPr>
        <w:t> </w:t>
      </w:r>
      <w:r>
        <w:rPr>
          <w:color w:val="231F20"/>
          <w:spacing w:val="16"/>
          <w:sz w:val="20"/>
        </w:rPr>
        <w:drawing>
          <wp:inline distT="0" distB="0" distL="0" distR="0">
            <wp:extent cx="88900" cy="82550"/>
            <wp:effectExtent l="0" t="0" r="0" b="0"/>
            <wp:docPr id="749" name="Image 749"/>
            <wp:cNvGraphicFramePr>
              <a:graphicFrameLocks/>
            </wp:cNvGraphicFramePr>
            <a:graphic>
              <a:graphicData uri="http://schemas.openxmlformats.org/drawingml/2006/picture">
                <pic:pic>
                  <pic:nvPicPr>
                    <pic:cNvPr id="749" name="Image 749"/>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7"/>
          <w:sz w:val="20"/>
        </w:rPr>
        <w:t> </w:t>
      </w:r>
      <w:r>
        <w:rPr>
          <w:rFonts w:ascii="Book Antiqua"/>
          <w:b/>
          <w:color w:val="231F20"/>
          <w:sz w:val="20"/>
        </w:rPr>
        <w:t>Delete</w:t>
      </w:r>
      <w:r>
        <w:rPr>
          <w:rFonts w:ascii="Book Antiqua"/>
          <w:b/>
          <w:color w:val="231F20"/>
          <w:spacing w:val="12"/>
          <w:sz w:val="20"/>
        </w:rPr>
        <w:t> </w:t>
      </w:r>
      <w:r>
        <w:rPr>
          <w:rFonts w:ascii="Book Antiqua"/>
          <w:b/>
          <w:color w:val="231F20"/>
          <w:sz w:val="20"/>
        </w:rPr>
        <w:t>one</w:t>
      </w:r>
      <w:r>
        <w:rPr>
          <w:rFonts w:ascii="Book Antiqua"/>
          <w:b/>
          <w:color w:val="231F20"/>
          <w:spacing w:val="12"/>
          <w:sz w:val="20"/>
        </w:rPr>
        <w:t> </w:t>
      </w:r>
      <w:r>
        <w:rPr>
          <w:rFonts w:ascii="Book Antiqua"/>
          <w:b/>
          <w:color w:val="231F20"/>
          <w:sz w:val="20"/>
        </w:rPr>
        <w:t>or</w:t>
      </w:r>
      <w:r>
        <w:rPr>
          <w:rFonts w:ascii="Book Antiqua"/>
          <w:b/>
          <w:color w:val="231F20"/>
          <w:spacing w:val="11"/>
          <w:sz w:val="20"/>
        </w:rPr>
        <w:t> </w:t>
      </w:r>
      <w:r>
        <w:rPr>
          <w:rFonts w:ascii="Book Antiqua"/>
          <w:b/>
          <w:color w:val="231F20"/>
          <w:sz w:val="20"/>
        </w:rPr>
        <w:t>more</w:t>
      </w:r>
      <w:r>
        <w:rPr>
          <w:rFonts w:ascii="Book Antiqua"/>
          <w:b/>
          <w:color w:val="231F20"/>
          <w:spacing w:val="12"/>
          <w:sz w:val="20"/>
        </w:rPr>
        <w:t> </w:t>
      </w:r>
      <w:r>
        <w:rPr>
          <w:rFonts w:ascii="Book Antiqua"/>
          <w:b/>
          <w:color w:val="231F20"/>
          <w:sz w:val="20"/>
        </w:rPr>
        <w:t>existing</w:t>
      </w:r>
      <w:r>
        <w:rPr>
          <w:rFonts w:ascii="Book Antiqua"/>
          <w:b/>
          <w:color w:val="231F20"/>
          <w:spacing w:val="12"/>
          <w:sz w:val="20"/>
        </w:rPr>
        <w:t> </w:t>
      </w:r>
      <w:r>
        <w:rPr>
          <w:rFonts w:ascii="Book Antiqua"/>
          <w:b/>
          <w:color w:val="231F20"/>
          <w:sz w:val="20"/>
        </w:rPr>
        <w:t>links</w:t>
      </w:r>
      <w:r>
        <w:rPr>
          <w:rFonts w:ascii="Book Antiqua"/>
          <w:b/>
          <w:color w:val="231F20"/>
          <w:spacing w:val="12"/>
          <w:sz w:val="20"/>
        </w:rPr>
        <w:t> </w:t>
      </w:r>
      <w:r>
        <w:rPr>
          <w:color w:val="231F20"/>
          <w:sz w:val="20"/>
        </w:rPr>
        <w:t>and</w:t>
      </w:r>
      <w:r>
        <w:rPr>
          <w:color w:val="231F20"/>
          <w:spacing w:val="11"/>
          <w:sz w:val="20"/>
        </w:rPr>
        <w:t> </w:t>
      </w:r>
      <w:r>
        <w:rPr>
          <w:color w:val="231F20"/>
          <w:sz w:val="20"/>
        </w:rPr>
        <w:t>click</w:t>
      </w:r>
      <w:r>
        <w:rPr>
          <w:color w:val="231F20"/>
          <w:spacing w:val="12"/>
          <w:sz w:val="20"/>
        </w:rPr>
        <w:t> </w:t>
      </w:r>
      <w:r>
        <w:rPr>
          <w:rFonts w:ascii="Book Antiqua"/>
          <w:b/>
          <w:color w:val="231F20"/>
          <w:spacing w:val="-2"/>
          <w:sz w:val="20"/>
        </w:rPr>
        <w:t>Next</w:t>
      </w:r>
      <w:r>
        <w:rPr>
          <w:color w:val="231F20"/>
          <w:spacing w:val="-2"/>
          <w:sz w:val="20"/>
        </w:rPr>
        <w:t>.</w:t>
      </w:r>
    </w:p>
    <w:p>
      <w:pPr>
        <w:pStyle w:val="ListParagraph"/>
        <w:numPr>
          <w:ilvl w:val="0"/>
          <w:numId w:val="45"/>
        </w:numPr>
        <w:tabs>
          <w:tab w:pos="2788" w:val="left" w:leader="none"/>
        </w:tabs>
        <w:spacing w:line="213" w:lineRule="auto" w:before="47" w:after="0"/>
        <w:ind w:left="2788" w:right="194" w:hanging="316"/>
        <w:jc w:val="left"/>
        <w:rPr>
          <w:sz w:val="20"/>
        </w:rPr>
      </w:pPr>
      <w:r>
        <w:rPr>
          <w:color w:val="231F20"/>
          <w:sz w:val="20"/>
        </w:rPr>
        <w:t>Select the name of the link to delete. You can select additional links with Ctrl+Click</w:t>
      </w:r>
      <w:r>
        <w:rPr>
          <w:color w:val="231F20"/>
          <w:spacing w:val="15"/>
          <w:sz w:val="20"/>
        </w:rPr>
        <w:t> </w:t>
      </w:r>
      <w:r>
        <w:rPr>
          <w:color w:val="231F20"/>
          <w:sz w:val="20"/>
        </w:rPr>
        <w:t>or</w:t>
      </w:r>
      <w:r>
        <w:rPr>
          <w:color w:val="231F20"/>
          <w:spacing w:val="15"/>
          <w:sz w:val="20"/>
        </w:rPr>
        <w:t> </w:t>
      </w:r>
      <w:r>
        <w:rPr>
          <w:color w:val="231F20"/>
          <w:sz w:val="20"/>
        </w:rPr>
        <w:t>select</w:t>
      </w:r>
      <w:r>
        <w:rPr>
          <w:color w:val="231F20"/>
          <w:spacing w:val="15"/>
          <w:sz w:val="20"/>
        </w:rPr>
        <w:t> </w:t>
      </w:r>
      <w:r>
        <w:rPr>
          <w:color w:val="231F20"/>
          <w:sz w:val="20"/>
        </w:rPr>
        <w:t>all</w:t>
      </w:r>
      <w:r>
        <w:rPr>
          <w:color w:val="231F20"/>
          <w:spacing w:val="15"/>
          <w:sz w:val="20"/>
        </w:rPr>
        <w:t> </w:t>
      </w:r>
      <w:r>
        <w:rPr>
          <w:color w:val="231F20"/>
          <w:sz w:val="20"/>
        </w:rPr>
        <w:t>links</w:t>
      </w:r>
      <w:r>
        <w:rPr>
          <w:color w:val="231F20"/>
          <w:spacing w:val="15"/>
          <w:sz w:val="20"/>
        </w:rPr>
        <w:t> </w:t>
      </w:r>
      <w:r>
        <w:rPr>
          <w:color w:val="231F20"/>
          <w:sz w:val="20"/>
        </w:rPr>
        <w:t>from</w:t>
      </w:r>
      <w:r>
        <w:rPr>
          <w:color w:val="231F20"/>
          <w:spacing w:val="15"/>
          <w:sz w:val="20"/>
        </w:rPr>
        <w:t> </w:t>
      </w:r>
      <w:r>
        <w:rPr>
          <w:color w:val="231F20"/>
          <w:sz w:val="20"/>
        </w:rPr>
        <w:t>the</w:t>
      </w:r>
      <w:r>
        <w:rPr>
          <w:color w:val="231F20"/>
          <w:spacing w:val="15"/>
          <w:sz w:val="20"/>
        </w:rPr>
        <w:t> </w:t>
      </w:r>
      <w:r>
        <w:rPr>
          <w:color w:val="231F20"/>
          <w:sz w:val="20"/>
        </w:rPr>
        <w:t>first</w:t>
      </w:r>
      <w:r>
        <w:rPr>
          <w:color w:val="231F20"/>
          <w:spacing w:val="15"/>
          <w:sz w:val="20"/>
        </w:rPr>
        <w:t> </w:t>
      </w:r>
      <w:r>
        <w:rPr>
          <w:color w:val="231F20"/>
          <w:sz w:val="20"/>
        </w:rPr>
        <w:t>selection</w:t>
      </w:r>
      <w:r>
        <w:rPr>
          <w:color w:val="231F20"/>
          <w:spacing w:val="15"/>
          <w:sz w:val="20"/>
        </w:rPr>
        <w:t> </w:t>
      </w:r>
      <w:r>
        <w:rPr>
          <w:color w:val="231F20"/>
          <w:sz w:val="20"/>
        </w:rPr>
        <w:t>to</w:t>
      </w:r>
      <w:r>
        <w:rPr>
          <w:color w:val="231F20"/>
          <w:spacing w:val="15"/>
          <w:sz w:val="20"/>
        </w:rPr>
        <w:t> </w:t>
      </w:r>
      <w:r>
        <w:rPr>
          <w:color w:val="231F20"/>
          <w:sz w:val="20"/>
        </w:rPr>
        <w:t>this</w:t>
      </w:r>
      <w:r>
        <w:rPr>
          <w:color w:val="231F20"/>
          <w:spacing w:val="15"/>
          <w:sz w:val="20"/>
        </w:rPr>
        <w:t> </w:t>
      </w:r>
      <w:r>
        <w:rPr>
          <w:color w:val="231F20"/>
          <w:sz w:val="20"/>
        </w:rPr>
        <w:t>one</w:t>
      </w:r>
      <w:r>
        <w:rPr>
          <w:color w:val="231F20"/>
          <w:spacing w:val="15"/>
          <w:sz w:val="20"/>
        </w:rPr>
        <w:t> </w:t>
      </w:r>
      <w:r>
        <w:rPr>
          <w:color w:val="231F20"/>
          <w:sz w:val="20"/>
        </w:rPr>
        <w:t>with</w:t>
      </w:r>
      <w:r>
        <w:rPr>
          <w:color w:val="231F20"/>
          <w:spacing w:val="15"/>
          <w:sz w:val="20"/>
        </w:rPr>
        <w:t> </w:t>
      </w:r>
      <w:r>
        <w:rPr>
          <w:color w:val="231F20"/>
          <w:sz w:val="20"/>
        </w:rPr>
        <w:t>Shift+Click.</w:t>
      </w:r>
    </w:p>
    <w:p>
      <w:pPr>
        <w:pStyle w:val="ListParagraph"/>
        <w:numPr>
          <w:ilvl w:val="0"/>
          <w:numId w:val="45"/>
        </w:numPr>
        <w:tabs>
          <w:tab w:pos="2787" w:val="left" w:leader="none"/>
        </w:tabs>
        <w:spacing w:line="240" w:lineRule="auto" w:before="36" w:after="0"/>
        <w:ind w:left="2787" w:right="0" w:hanging="315"/>
        <w:jc w:val="left"/>
        <w:rPr>
          <w:rFonts w:ascii="Book Antiqua"/>
          <w:b/>
          <w:sz w:val="20"/>
        </w:rPr>
      </w:pPr>
      <w:r>
        <w:rPr>
          <w:color w:val="231F20"/>
          <w:sz w:val="20"/>
        </w:rPr>
        <w:t>Click</w:t>
      </w:r>
      <w:r>
        <w:rPr>
          <w:color w:val="231F20"/>
          <w:spacing w:val="11"/>
          <w:sz w:val="20"/>
        </w:rPr>
        <w:t> </w:t>
      </w:r>
      <w:r>
        <w:rPr>
          <w:rFonts w:ascii="Book Antiqua"/>
          <w:b/>
          <w:color w:val="231F20"/>
          <w:sz w:val="20"/>
        </w:rPr>
        <w:t>Next</w:t>
      </w:r>
      <w:r>
        <w:rPr>
          <w:rFonts w:ascii="Book Antiqua"/>
          <w:b/>
          <w:color w:val="231F20"/>
          <w:spacing w:val="11"/>
          <w:sz w:val="20"/>
        </w:rPr>
        <w:t> </w:t>
      </w:r>
      <w:r>
        <w:rPr>
          <w:color w:val="231F20"/>
          <w:sz w:val="20"/>
        </w:rPr>
        <w:t>until</w:t>
      </w:r>
      <w:r>
        <w:rPr>
          <w:color w:val="231F20"/>
          <w:spacing w:val="11"/>
          <w:sz w:val="20"/>
        </w:rPr>
        <w:t> </w:t>
      </w:r>
      <w:r>
        <w:rPr>
          <w:color w:val="231F20"/>
          <w:sz w:val="20"/>
        </w:rPr>
        <w:t>you</w:t>
      </w:r>
      <w:r>
        <w:rPr>
          <w:color w:val="231F20"/>
          <w:spacing w:val="11"/>
          <w:sz w:val="20"/>
        </w:rPr>
        <w:t> </w:t>
      </w:r>
      <w:r>
        <w:rPr>
          <w:color w:val="231F20"/>
          <w:sz w:val="20"/>
        </w:rPr>
        <w:t>reach</w:t>
      </w:r>
      <w:r>
        <w:rPr>
          <w:color w:val="231F20"/>
          <w:spacing w:val="11"/>
          <w:sz w:val="20"/>
        </w:rPr>
        <w:t> </w:t>
      </w:r>
      <w:r>
        <w:rPr>
          <w:color w:val="231F20"/>
          <w:sz w:val="20"/>
        </w:rPr>
        <w:t>the</w:t>
      </w:r>
      <w:r>
        <w:rPr>
          <w:color w:val="231F20"/>
          <w:spacing w:val="11"/>
          <w:sz w:val="20"/>
        </w:rPr>
        <w:t> </w:t>
      </w:r>
      <w:r>
        <w:rPr>
          <w:color w:val="231F20"/>
          <w:sz w:val="20"/>
        </w:rPr>
        <w:t>summary</w:t>
      </w:r>
      <w:r>
        <w:rPr>
          <w:color w:val="231F20"/>
          <w:spacing w:val="11"/>
          <w:sz w:val="20"/>
        </w:rPr>
        <w:t> </w:t>
      </w:r>
      <w:r>
        <w:rPr>
          <w:color w:val="231F20"/>
          <w:sz w:val="20"/>
        </w:rPr>
        <w:t>page,</w:t>
      </w:r>
      <w:r>
        <w:rPr>
          <w:color w:val="231F20"/>
          <w:spacing w:val="11"/>
          <w:sz w:val="20"/>
        </w:rPr>
        <w:t> </w:t>
      </w:r>
      <w:r>
        <w:rPr>
          <w:color w:val="231F20"/>
          <w:sz w:val="20"/>
        </w:rPr>
        <w:t>then</w:t>
      </w:r>
      <w:r>
        <w:rPr>
          <w:color w:val="231F20"/>
          <w:spacing w:val="11"/>
          <w:sz w:val="20"/>
        </w:rPr>
        <w:t> </w:t>
      </w:r>
      <w:r>
        <w:rPr>
          <w:color w:val="231F20"/>
          <w:sz w:val="20"/>
        </w:rPr>
        <w:t>click</w:t>
      </w:r>
      <w:r>
        <w:rPr>
          <w:color w:val="231F20"/>
          <w:spacing w:val="11"/>
          <w:sz w:val="20"/>
        </w:rPr>
        <w:t> </w:t>
      </w:r>
      <w:r>
        <w:rPr>
          <w:rFonts w:ascii="Book Antiqua"/>
          <w:b/>
          <w:color w:val="231F20"/>
          <w:spacing w:val="-2"/>
          <w:sz w:val="20"/>
        </w:rPr>
        <w:t>Finish</w:t>
      </w:r>
    </w:p>
    <w:p>
      <w:pPr>
        <w:pStyle w:val="BodyText"/>
        <w:spacing w:line="213" w:lineRule="auto" w:before="232"/>
        <w:ind w:left="2788" w:right="385"/>
      </w:pPr>
      <w:r>
        <w:rPr>
          <w:rFonts w:ascii="Book Antiqua"/>
          <w:b/>
          <w:color w:val="231F20"/>
        </w:rPr>
        <w:t>Note:</w:t>
      </w:r>
      <w:r>
        <w:rPr>
          <w:rFonts w:ascii="Book Antiqua"/>
          <w:b/>
          <w:color w:val="231F20"/>
          <w:spacing w:val="40"/>
        </w:rPr>
        <w:t> </w:t>
      </w:r>
      <w:r>
        <w:rPr>
          <w:color w:val="231F20"/>
        </w:rPr>
        <w:t>When you delete a workspace, all link definitions that originate from </w:t>
      </w:r>
      <w:r>
        <w:rPr>
          <w:color w:val="231F20"/>
        </w:rPr>
        <w:t>it will be deleted also. This is also true for any absolute links that target this </w:t>
      </w:r>
      <w:bookmarkStart w:name="Adding or editing a link anchor" w:id="141"/>
      <w:bookmarkEnd w:id="141"/>
      <w:r>
        <w:rPr>
          <w:color w:val="231F20"/>
          <w:spacing w:val="-2"/>
        </w:rPr>
        <w:t>workspace.</w:t>
      </w:r>
    </w:p>
    <w:p>
      <w:pPr>
        <w:pStyle w:val="Heading3"/>
        <w:spacing w:before="216"/>
        <w:ind w:left="1574"/>
      </w:pPr>
      <w:r>
        <w:rPr>
          <w:color w:val="231F20"/>
        </w:rPr>
        <w:t>Adding</w:t>
      </w:r>
      <w:r>
        <w:rPr>
          <w:color w:val="231F20"/>
          <w:spacing w:val="9"/>
        </w:rPr>
        <w:t> </w:t>
      </w:r>
      <w:r>
        <w:rPr>
          <w:color w:val="231F20"/>
        </w:rPr>
        <w:t>or</w:t>
      </w:r>
      <w:r>
        <w:rPr>
          <w:color w:val="231F20"/>
          <w:spacing w:val="9"/>
        </w:rPr>
        <w:t> </w:t>
      </w:r>
      <w:r>
        <w:rPr>
          <w:color w:val="231F20"/>
        </w:rPr>
        <w:t>editing</w:t>
      </w:r>
      <w:r>
        <w:rPr>
          <w:color w:val="231F20"/>
          <w:spacing w:val="10"/>
        </w:rPr>
        <w:t> </w:t>
      </w:r>
      <w:r>
        <w:rPr>
          <w:color w:val="231F20"/>
        </w:rPr>
        <w:t>a</w:t>
      </w:r>
      <w:r>
        <w:rPr>
          <w:color w:val="231F20"/>
          <w:spacing w:val="9"/>
        </w:rPr>
        <w:t> </w:t>
      </w:r>
      <w:r>
        <w:rPr>
          <w:color w:val="231F20"/>
        </w:rPr>
        <w:t>link</w:t>
      </w:r>
      <w:r>
        <w:rPr>
          <w:color w:val="231F20"/>
          <w:spacing w:val="10"/>
        </w:rPr>
        <w:t> </w:t>
      </w:r>
      <w:r>
        <w:rPr>
          <w:color w:val="231F20"/>
          <w:spacing w:val="-2"/>
        </w:rPr>
        <w:t>anchor</w:t>
      </w:r>
    </w:p>
    <w:p>
      <w:pPr>
        <w:pStyle w:val="BodyText"/>
        <w:spacing w:line="213" w:lineRule="auto" w:before="59"/>
        <w:ind w:left="2472" w:right="493"/>
      </w:pPr>
      <w:r>
        <w:rPr>
          <w:color w:val="231F20"/>
        </w:rPr>
        <w:t>You can add or edit a link anchor by using the Link Anchor Properties editor to hide the link indicator, disable it for table rows that do not meet the link criteria, and to assign a different default link or no default link.</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466"/>
        <w:jc w:val="both"/>
      </w:pPr>
      <w:r>
        <w:rPr>
          <w:color w:val="231F20"/>
        </w:rPr>
        <w:t>When you have a link that originates from a table row or a graphic view icon, </w:t>
      </w:r>
      <w:r>
        <w:rPr>
          <w:color w:val="231F20"/>
        </w:rPr>
        <w:t>a link indicator is displayed: Click </w:t>
      </w:r>
      <w:r>
        <w:rPr>
          <w:color w:val="231F20"/>
          <w:spacing w:val="15"/>
          <w:position w:val="-1"/>
        </w:rPr>
        <w:drawing>
          <wp:inline distT="0" distB="0" distL="0" distR="0">
            <wp:extent cx="101600" cy="101600"/>
            <wp:effectExtent l="0" t="0" r="0" b="0"/>
            <wp:docPr id="750" name="Image 750"/>
            <wp:cNvGraphicFramePr>
              <a:graphicFrameLocks/>
            </wp:cNvGraphicFramePr>
            <a:graphic>
              <a:graphicData uri="http://schemas.openxmlformats.org/drawingml/2006/picture">
                <pic:pic>
                  <pic:nvPicPr>
                    <pic:cNvPr id="750" name="Image 750"/>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to open the default link or to see and select from a list of possible links.</w:t>
      </w:r>
    </w:p>
    <w:p>
      <w:pPr>
        <w:pStyle w:val="Heading4"/>
        <w:spacing w:before="199"/>
        <w:ind w:left="2472"/>
      </w:pPr>
      <w:r>
        <w:rPr>
          <w:color w:val="231F20"/>
          <w:spacing w:val="-2"/>
        </w:rPr>
        <w:t>Procedure</w:t>
      </w:r>
    </w:p>
    <w:p>
      <w:pPr>
        <w:pStyle w:val="ListParagraph"/>
        <w:numPr>
          <w:ilvl w:val="0"/>
          <w:numId w:val="46"/>
        </w:numPr>
        <w:tabs>
          <w:tab w:pos="2787" w:val="left" w:leader="none"/>
        </w:tabs>
        <w:spacing w:line="240" w:lineRule="auto" w:before="39" w:after="0"/>
        <w:ind w:left="2787" w:right="0" w:hanging="315"/>
        <w:jc w:val="left"/>
        <w:rPr>
          <w:sz w:val="20"/>
        </w:rPr>
      </w:pPr>
      <w:r>
        <w:rPr>
          <w:color w:val="231F20"/>
          <w:sz w:val="20"/>
        </w:rPr>
        <w:t>Open</w:t>
      </w:r>
      <w:r>
        <w:rPr>
          <w:color w:val="231F20"/>
          <w:spacing w:val="9"/>
          <w:sz w:val="20"/>
        </w:rPr>
        <w:t> </w:t>
      </w:r>
      <w:r>
        <w:rPr>
          <w:color w:val="231F20"/>
          <w:sz w:val="20"/>
        </w:rPr>
        <w:t>the</w:t>
      </w:r>
      <w:r>
        <w:rPr>
          <w:color w:val="231F20"/>
          <w:spacing w:val="9"/>
          <w:sz w:val="20"/>
        </w:rPr>
        <w:t> </w:t>
      </w:r>
      <w:r>
        <w:rPr>
          <w:color w:val="231F20"/>
          <w:sz w:val="20"/>
        </w:rPr>
        <w:t>workspace</w:t>
      </w:r>
      <w:r>
        <w:rPr>
          <w:color w:val="231F20"/>
          <w:spacing w:val="10"/>
          <w:sz w:val="20"/>
        </w:rPr>
        <w:t> </w:t>
      </w:r>
      <w:r>
        <w:rPr>
          <w:color w:val="231F20"/>
          <w:sz w:val="20"/>
        </w:rPr>
        <w:t>where</w:t>
      </w:r>
      <w:r>
        <w:rPr>
          <w:color w:val="231F20"/>
          <w:spacing w:val="9"/>
          <w:sz w:val="20"/>
        </w:rPr>
        <w:t> </w:t>
      </w:r>
      <w:r>
        <w:rPr>
          <w:color w:val="231F20"/>
          <w:sz w:val="20"/>
        </w:rPr>
        <w:t>the</w:t>
      </w:r>
      <w:r>
        <w:rPr>
          <w:color w:val="231F20"/>
          <w:spacing w:val="10"/>
          <w:sz w:val="20"/>
        </w:rPr>
        <w:t> </w:t>
      </w:r>
      <w:r>
        <w:rPr>
          <w:color w:val="231F20"/>
          <w:sz w:val="20"/>
        </w:rPr>
        <w:t>link</w:t>
      </w:r>
      <w:r>
        <w:rPr>
          <w:color w:val="231F20"/>
          <w:spacing w:val="9"/>
          <w:sz w:val="20"/>
        </w:rPr>
        <w:t> </w:t>
      </w:r>
      <w:r>
        <w:rPr>
          <w:color w:val="231F20"/>
          <w:sz w:val="20"/>
        </w:rPr>
        <w:t>originates</w:t>
      </w:r>
      <w:r>
        <w:rPr>
          <w:color w:val="231F20"/>
          <w:spacing w:val="10"/>
          <w:sz w:val="20"/>
        </w:rPr>
        <w:t> </w:t>
      </w:r>
      <w:r>
        <w:rPr>
          <w:color w:val="231F20"/>
          <w:sz w:val="20"/>
        </w:rPr>
        <w:t>(source</w:t>
      </w:r>
      <w:r>
        <w:rPr>
          <w:color w:val="231F20"/>
          <w:spacing w:val="9"/>
          <w:sz w:val="20"/>
        </w:rPr>
        <w:t> </w:t>
      </w:r>
      <w:r>
        <w:rPr>
          <w:color w:val="231F20"/>
          <w:spacing w:val="-2"/>
          <w:sz w:val="20"/>
        </w:rPr>
        <w:t>workspace).</w:t>
      </w:r>
    </w:p>
    <w:p>
      <w:pPr>
        <w:pStyle w:val="ListParagraph"/>
        <w:numPr>
          <w:ilvl w:val="0"/>
          <w:numId w:val="46"/>
        </w:numPr>
        <w:tabs>
          <w:tab w:pos="2787" w:val="left" w:leader="none"/>
        </w:tabs>
        <w:spacing w:line="240" w:lineRule="auto" w:before="29" w:after="0"/>
        <w:ind w:left="2787" w:right="0" w:hanging="315"/>
        <w:jc w:val="left"/>
        <w:rPr>
          <w:sz w:val="20"/>
        </w:rPr>
      </w:pPr>
      <w:r>
        <w:rPr>
          <w:color w:val="231F20"/>
          <w:sz w:val="20"/>
        </w:rPr>
        <w:t>Right-click</w:t>
      </w:r>
      <w:r>
        <w:rPr>
          <w:color w:val="231F20"/>
          <w:spacing w:val="10"/>
          <w:sz w:val="20"/>
        </w:rPr>
        <w:t> </w:t>
      </w:r>
      <w:r>
        <w:rPr>
          <w:color w:val="231F20"/>
          <w:sz w:val="20"/>
        </w:rPr>
        <w:t>a</w:t>
      </w:r>
      <w:r>
        <w:rPr>
          <w:color w:val="231F20"/>
          <w:spacing w:val="11"/>
          <w:sz w:val="20"/>
        </w:rPr>
        <w:t> </w:t>
      </w:r>
      <w:r>
        <w:rPr>
          <w:color w:val="231F20"/>
          <w:sz w:val="20"/>
        </w:rPr>
        <w:t>table</w:t>
      </w:r>
      <w:r>
        <w:rPr>
          <w:color w:val="231F20"/>
          <w:spacing w:val="11"/>
          <w:sz w:val="20"/>
        </w:rPr>
        <w:t> </w:t>
      </w:r>
      <w:r>
        <w:rPr>
          <w:color w:val="231F20"/>
          <w:sz w:val="20"/>
        </w:rPr>
        <w:t>row</w:t>
      </w:r>
      <w:r>
        <w:rPr>
          <w:color w:val="231F20"/>
          <w:spacing w:val="11"/>
          <w:sz w:val="20"/>
        </w:rPr>
        <w:t> </w:t>
      </w:r>
      <w:r>
        <w:rPr>
          <w:color w:val="231F20"/>
          <w:sz w:val="20"/>
        </w:rPr>
        <w:t>or</w:t>
      </w:r>
      <w:r>
        <w:rPr>
          <w:color w:val="231F20"/>
          <w:spacing w:val="11"/>
          <w:sz w:val="20"/>
        </w:rPr>
        <w:t> </w:t>
      </w:r>
      <w:r>
        <w:rPr>
          <w:color w:val="231F20"/>
          <w:sz w:val="20"/>
        </w:rPr>
        <w:t>the</w:t>
      </w:r>
      <w:r>
        <w:rPr>
          <w:color w:val="231F20"/>
          <w:spacing w:val="11"/>
          <w:sz w:val="20"/>
        </w:rPr>
        <w:t> </w:t>
      </w:r>
      <w:r>
        <w:rPr>
          <w:color w:val="231F20"/>
          <w:sz w:val="20"/>
        </w:rPr>
        <w:t>graphic</w:t>
      </w:r>
      <w:r>
        <w:rPr>
          <w:color w:val="231F20"/>
          <w:spacing w:val="11"/>
          <w:sz w:val="20"/>
        </w:rPr>
        <w:t> </w:t>
      </w:r>
      <w:r>
        <w:rPr>
          <w:color w:val="231F20"/>
          <w:sz w:val="20"/>
        </w:rPr>
        <w:t>view</w:t>
      </w:r>
      <w:r>
        <w:rPr>
          <w:color w:val="231F20"/>
          <w:spacing w:val="10"/>
          <w:sz w:val="20"/>
        </w:rPr>
        <w:t> </w:t>
      </w:r>
      <w:r>
        <w:rPr>
          <w:color w:val="231F20"/>
          <w:sz w:val="20"/>
        </w:rPr>
        <w:t>icon</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originated</w:t>
      </w:r>
      <w:r>
        <w:rPr>
          <w:color w:val="231F20"/>
          <w:spacing w:val="11"/>
          <w:sz w:val="20"/>
        </w:rPr>
        <w:t> </w:t>
      </w:r>
      <w:r>
        <w:rPr>
          <w:color w:val="231F20"/>
          <w:sz w:val="20"/>
        </w:rPr>
        <w:t>the</w:t>
      </w:r>
      <w:r>
        <w:rPr>
          <w:color w:val="231F20"/>
          <w:spacing w:val="11"/>
          <w:sz w:val="20"/>
        </w:rPr>
        <w:t> </w:t>
      </w:r>
      <w:r>
        <w:rPr>
          <w:color w:val="231F20"/>
          <w:spacing w:val="-2"/>
          <w:sz w:val="20"/>
        </w:rPr>
        <w:t>link.</w:t>
      </w:r>
    </w:p>
    <w:p>
      <w:pPr>
        <w:pStyle w:val="ListParagraph"/>
        <w:numPr>
          <w:ilvl w:val="0"/>
          <w:numId w:val="46"/>
        </w:numPr>
        <w:tabs>
          <w:tab w:pos="2787" w:val="left" w:leader="none"/>
        </w:tabs>
        <w:spacing w:line="240" w:lineRule="auto" w:before="30" w:after="0"/>
        <w:ind w:left="2787" w:right="0" w:hanging="315"/>
        <w:jc w:val="left"/>
        <w:rPr>
          <w:sz w:val="20"/>
        </w:rPr>
      </w:pPr>
      <w:r>
        <w:rPr>
          <w:color w:val="231F20"/>
          <w:sz w:val="20"/>
        </w:rPr>
        <w:t>Click</w:t>
      </w:r>
      <w:r>
        <w:rPr>
          <w:color w:val="231F20"/>
          <w:spacing w:val="13"/>
          <w:sz w:val="20"/>
        </w:rPr>
        <w:t> </w:t>
      </w:r>
      <w:r>
        <w:rPr>
          <w:color w:val="231F20"/>
          <w:spacing w:val="16"/>
          <w:position w:val="-1"/>
          <w:sz w:val="20"/>
        </w:rPr>
        <w:drawing>
          <wp:inline distT="0" distB="0" distL="0" distR="0">
            <wp:extent cx="101600" cy="101600"/>
            <wp:effectExtent l="0" t="0" r="0" b="0"/>
            <wp:docPr id="751" name="Image 751"/>
            <wp:cNvGraphicFramePr>
              <a:graphicFrameLocks/>
            </wp:cNvGraphicFramePr>
            <a:graphic>
              <a:graphicData uri="http://schemas.openxmlformats.org/drawingml/2006/picture">
                <pic:pic>
                  <pic:nvPicPr>
                    <pic:cNvPr id="751" name="Image 751"/>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5"/>
          <w:sz w:val="20"/>
        </w:rPr>
        <w:t> </w:t>
      </w:r>
      <w:r>
        <w:rPr>
          <w:rFonts w:ascii="Book Antiqua"/>
          <w:b/>
          <w:color w:val="231F20"/>
          <w:sz w:val="20"/>
        </w:rPr>
        <w:t>Link</w:t>
      </w:r>
      <w:r>
        <w:rPr>
          <w:rFonts w:ascii="Book Antiqua"/>
          <w:b/>
          <w:color w:val="231F20"/>
          <w:spacing w:val="14"/>
          <w:sz w:val="20"/>
        </w:rPr>
        <w:t> </w:t>
      </w:r>
      <w:r>
        <w:rPr>
          <w:rFonts w:ascii="Book Antiqua"/>
          <w:b/>
          <w:color w:val="231F20"/>
          <w:spacing w:val="-2"/>
          <w:sz w:val="20"/>
        </w:rPr>
        <w:t>Anchor</w:t>
      </w:r>
      <w:r>
        <w:rPr>
          <w:color w:val="231F20"/>
          <w:spacing w:val="-2"/>
          <w:sz w:val="20"/>
        </w:rPr>
        <w:t>.</w:t>
      </w:r>
    </w:p>
    <w:p>
      <w:pPr>
        <w:pStyle w:val="ListParagraph"/>
        <w:numPr>
          <w:ilvl w:val="0"/>
          <w:numId w:val="46"/>
        </w:numPr>
        <w:tabs>
          <w:tab w:pos="2788" w:val="left" w:leader="none"/>
        </w:tabs>
        <w:spacing w:line="213" w:lineRule="auto" w:before="52" w:after="0"/>
        <w:ind w:left="2788" w:right="164" w:hanging="316"/>
        <w:jc w:val="left"/>
        <w:rPr>
          <w:sz w:val="20"/>
        </w:rPr>
      </w:pPr>
      <w:r>
        <w:rPr>
          <w:color w:val="231F20"/>
          <w:sz w:val="20"/>
        </w:rPr>
        <w:t>In the Link Anchor Properties editor, select a default link from the list or select </w:t>
      </w:r>
      <w:r>
        <w:rPr>
          <w:rFonts w:ascii="Book Antiqua"/>
          <w:b/>
          <w:color w:val="231F20"/>
          <w:sz w:val="20"/>
        </w:rPr>
        <w:t>(No Default)</w:t>
      </w:r>
      <w:r>
        <w:rPr>
          <w:color w:val="231F20"/>
          <w:sz w:val="20"/>
        </w:rPr>
        <w:t>. When you select the option to show the link indicator (next </w:t>
      </w:r>
      <w:r>
        <w:rPr>
          <w:color w:val="231F20"/>
          <w:sz w:val="20"/>
        </w:rPr>
        <w:t>step), you</w:t>
      </w:r>
      <w:r>
        <w:rPr>
          <w:color w:val="231F20"/>
          <w:spacing w:val="23"/>
          <w:sz w:val="20"/>
        </w:rPr>
        <w:t> </w:t>
      </w:r>
      <w:r>
        <w:rPr>
          <w:color w:val="231F20"/>
          <w:sz w:val="20"/>
        </w:rPr>
        <w:t>can</w:t>
      </w:r>
      <w:r>
        <w:rPr>
          <w:color w:val="231F20"/>
          <w:spacing w:val="23"/>
          <w:sz w:val="20"/>
        </w:rPr>
        <w:t> </w:t>
      </w:r>
      <w:r>
        <w:rPr>
          <w:color w:val="231F20"/>
          <w:sz w:val="20"/>
        </w:rPr>
        <w:t>click</w:t>
      </w:r>
      <w:r>
        <w:rPr>
          <w:color w:val="231F20"/>
          <w:spacing w:val="23"/>
          <w:sz w:val="20"/>
        </w:rPr>
        <w:t> </w:t>
      </w:r>
      <w:r>
        <w:rPr>
          <w:color w:val="231F20"/>
          <w:sz w:val="20"/>
        </w:rPr>
        <w:t>the</w:t>
      </w:r>
      <w:r>
        <w:rPr>
          <w:color w:val="231F20"/>
          <w:spacing w:val="23"/>
          <w:sz w:val="20"/>
        </w:rPr>
        <w:t> </w:t>
      </w:r>
      <w:r>
        <w:rPr>
          <w:color w:val="231F20"/>
          <w:sz w:val="20"/>
        </w:rPr>
        <w:t>indicator</w:t>
      </w:r>
      <w:r>
        <w:rPr>
          <w:color w:val="231F20"/>
          <w:spacing w:val="23"/>
          <w:sz w:val="20"/>
        </w:rPr>
        <w:t> </w:t>
      </w:r>
      <w:r>
        <w:rPr>
          <w:color w:val="231F20"/>
          <w:sz w:val="20"/>
        </w:rPr>
        <w:t>to</w:t>
      </w:r>
      <w:r>
        <w:rPr>
          <w:color w:val="231F20"/>
          <w:spacing w:val="23"/>
          <w:sz w:val="20"/>
        </w:rPr>
        <w:t> </w:t>
      </w:r>
      <w:r>
        <w:rPr>
          <w:color w:val="231F20"/>
          <w:sz w:val="20"/>
        </w:rPr>
        <w:t>go</w:t>
      </w:r>
      <w:r>
        <w:rPr>
          <w:color w:val="231F20"/>
          <w:spacing w:val="23"/>
          <w:sz w:val="20"/>
        </w:rPr>
        <w:t> </w:t>
      </w:r>
      <w:r>
        <w:rPr>
          <w:color w:val="231F20"/>
          <w:sz w:val="20"/>
        </w:rPr>
        <w:t>directly</w:t>
      </w:r>
      <w:r>
        <w:rPr>
          <w:color w:val="231F20"/>
          <w:spacing w:val="23"/>
          <w:sz w:val="20"/>
        </w:rPr>
        <w:t> </w:t>
      </w:r>
      <w:r>
        <w:rPr>
          <w:color w:val="231F20"/>
          <w:sz w:val="20"/>
        </w:rPr>
        <w:t>to</w:t>
      </w:r>
      <w:r>
        <w:rPr>
          <w:color w:val="231F20"/>
          <w:spacing w:val="23"/>
          <w:sz w:val="20"/>
        </w:rPr>
        <w:t> </w:t>
      </w:r>
      <w:r>
        <w:rPr>
          <w:color w:val="231F20"/>
          <w:sz w:val="20"/>
        </w:rPr>
        <w:t>the</w:t>
      </w:r>
      <w:r>
        <w:rPr>
          <w:color w:val="231F20"/>
          <w:spacing w:val="23"/>
          <w:sz w:val="20"/>
        </w:rPr>
        <w:t> </w:t>
      </w:r>
      <w:r>
        <w:rPr>
          <w:color w:val="231F20"/>
          <w:sz w:val="20"/>
        </w:rPr>
        <w:t>default</w:t>
      </w:r>
      <w:r>
        <w:rPr>
          <w:color w:val="231F20"/>
          <w:spacing w:val="23"/>
          <w:sz w:val="20"/>
        </w:rPr>
        <w:t> </w:t>
      </w:r>
      <w:r>
        <w:rPr>
          <w:color w:val="231F20"/>
          <w:sz w:val="20"/>
        </w:rPr>
        <w:t>linked</w:t>
      </w:r>
      <w:r>
        <w:rPr>
          <w:color w:val="231F20"/>
          <w:spacing w:val="23"/>
          <w:sz w:val="20"/>
        </w:rPr>
        <w:t> </w:t>
      </w:r>
      <w:r>
        <w:rPr>
          <w:color w:val="231F20"/>
          <w:sz w:val="20"/>
        </w:rPr>
        <w:t>workspace</w:t>
      </w:r>
      <w:r>
        <w:rPr>
          <w:color w:val="231F20"/>
          <w:spacing w:val="23"/>
          <w:sz w:val="20"/>
        </w:rPr>
        <w:t> </w:t>
      </w:r>
      <w:r>
        <w:rPr>
          <w:color w:val="231F20"/>
          <w:sz w:val="20"/>
        </w:rPr>
        <w:t>or,</w:t>
      </w:r>
      <w:r>
        <w:rPr>
          <w:color w:val="231F20"/>
          <w:spacing w:val="23"/>
          <w:sz w:val="20"/>
        </w:rPr>
        <w:t> </w:t>
      </w:r>
      <w:r>
        <w:rPr>
          <w:color w:val="231F20"/>
          <w:sz w:val="20"/>
        </w:rPr>
        <w:t>if no</w:t>
      </w:r>
      <w:r>
        <w:rPr>
          <w:color w:val="231F20"/>
          <w:spacing w:val="26"/>
          <w:sz w:val="20"/>
        </w:rPr>
        <w:t> </w:t>
      </w:r>
      <w:r>
        <w:rPr>
          <w:color w:val="231F20"/>
          <w:sz w:val="20"/>
        </w:rPr>
        <w:t>default</w:t>
      </w:r>
      <w:r>
        <w:rPr>
          <w:color w:val="231F20"/>
          <w:spacing w:val="26"/>
          <w:sz w:val="20"/>
        </w:rPr>
        <w:t> </w:t>
      </w:r>
      <w:r>
        <w:rPr>
          <w:color w:val="231F20"/>
          <w:sz w:val="20"/>
        </w:rPr>
        <w:t>link</w:t>
      </w:r>
      <w:r>
        <w:rPr>
          <w:color w:val="231F20"/>
          <w:spacing w:val="26"/>
          <w:sz w:val="20"/>
        </w:rPr>
        <w:t> </w:t>
      </w:r>
      <w:r>
        <w:rPr>
          <w:color w:val="231F20"/>
          <w:sz w:val="20"/>
        </w:rPr>
        <w:t>was</w:t>
      </w:r>
      <w:r>
        <w:rPr>
          <w:color w:val="231F20"/>
          <w:spacing w:val="26"/>
          <w:sz w:val="20"/>
        </w:rPr>
        <w:t> </w:t>
      </w:r>
      <w:r>
        <w:rPr>
          <w:color w:val="231F20"/>
          <w:sz w:val="20"/>
        </w:rPr>
        <w:t>assigned,</w:t>
      </w:r>
      <w:r>
        <w:rPr>
          <w:color w:val="231F20"/>
          <w:spacing w:val="26"/>
          <w:sz w:val="20"/>
        </w:rPr>
        <w:t> </w:t>
      </w:r>
      <w:r>
        <w:rPr>
          <w:color w:val="231F20"/>
          <w:sz w:val="20"/>
        </w:rPr>
        <w:t>to</w:t>
      </w:r>
      <w:r>
        <w:rPr>
          <w:color w:val="231F20"/>
          <w:spacing w:val="26"/>
          <w:sz w:val="20"/>
        </w:rPr>
        <w:t> </w:t>
      </w:r>
      <w:r>
        <w:rPr>
          <w:color w:val="231F20"/>
          <w:sz w:val="20"/>
        </w:rPr>
        <w:t>see</w:t>
      </w:r>
      <w:r>
        <w:rPr>
          <w:color w:val="231F20"/>
          <w:spacing w:val="26"/>
          <w:sz w:val="20"/>
        </w:rPr>
        <w:t> </w:t>
      </w:r>
      <w:r>
        <w:rPr>
          <w:color w:val="231F20"/>
          <w:sz w:val="20"/>
        </w:rPr>
        <w:t>and</w:t>
      </w:r>
      <w:r>
        <w:rPr>
          <w:color w:val="231F20"/>
          <w:spacing w:val="26"/>
          <w:sz w:val="20"/>
        </w:rPr>
        <w:t> </w:t>
      </w:r>
      <w:r>
        <w:rPr>
          <w:color w:val="231F20"/>
          <w:sz w:val="20"/>
        </w:rPr>
        <w:t>select</w:t>
      </w:r>
      <w:r>
        <w:rPr>
          <w:color w:val="231F20"/>
          <w:spacing w:val="26"/>
          <w:sz w:val="20"/>
        </w:rPr>
        <w:t> </w:t>
      </w:r>
      <w:r>
        <w:rPr>
          <w:color w:val="231F20"/>
          <w:sz w:val="20"/>
        </w:rPr>
        <w:t>from</w:t>
      </w:r>
      <w:r>
        <w:rPr>
          <w:color w:val="231F20"/>
          <w:spacing w:val="26"/>
          <w:sz w:val="20"/>
        </w:rPr>
        <w:t> </w:t>
      </w:r>
      <w:r>
        <w:rPr>
          <w:color w:val="231F20"/>
          <w:sz w:val="20"/>
        </w:rPr>
        <w:t>the</w:t>
      </w:r>
      <w:r>
        <w:rPr>
          <w:color w:val="231F20"/>
          <w:spacing w:val="26"/>
          <w:sz w:val="20"/>
        </w:rPr>
        <w:t> </w:t>
      </w:r>
      <w:r>
        <w:rPr>
          <w:color w:val="231F20"/>
          <w:sz w:val="20"/>
        </w:rPr>
        <w:t>list</w:t>
      </w:r>
      <w:r>
        <w:rPr>
          <w:color w:val="231F20"/>
          <w:spacing w:val="26"/>
          <w:sz w:val="20"/>
        </w:rPr>
        <w:t> </w:t>
      </w:r>
      <w:r>
        <w:rPr>
          <w:color w:val="231F20"/>
          <w:sz w:val="20"/>
        </w:rPr>
        <w:t>of</w:t>
      </w:r>
      <w:r>
        <w:rPr>
          <w:color w:val="231F20"/>
          <w:spacing w:val="26"/>
          <w:sz w:val="20"/>
        </w:rPr>
        <w:t> </w:t>
      </w:r>
      <w:r>
        <w:rPr>
          <w:color w:val="231F20"/>
          <w:sz w:val="20"/>
        </w:rPr>
        <w:t>available</w:t>
      </w:r>
      <w:r>
        <w:rPr>
          <w:color w:val="231F20"/>
          <w:spacing w:val="26"/>
          <w:sz w:val="20"/>
        </w:rPr>
        <w:t> </w:t>
      </w:r>
      <w:r>
        <w:rPr>
          <w:color w:val="231F20"/>
          <w:sz w:val="20"/>
        </w:rPr>
        <w:t>links.</w:t>
      </w:r>
    </w:p>
    <w:p>
      <w:pPr>
        <w:spacing w:after="0" w:line="213" w:lineRule="auto"/>
        <w:jc w:val="left"/>
        <w:rPr>
          <w:sz w:val="20"/>
        </w:rPr>
        <w:sectPr>
          <w:pgSz w:w="12240" w:h="15840"/>
          <w:pgMar w:header="0" w:footer="736" w:top="1180" w:bottom="920" w:left="1000" w:right="1060"/>
        </w:sectPr>
      </w:pPr>
    </w:p>
    <w:p>
      <w:pPr>
        <w:pStyle w:val="ListParagraph"/>
        <w:numPr>
          <w:ilvl w:val="0"/>
          <w:numId w:val="46"/>
        </w:numPr>
        <w:tabs>
          <w:tab w:pos="2548" w:val="left" w:leader="none"/>
        </w:tabs>
        <w:spacing w:line="213" w:lineRule="auto" w:before="85" w:after="0"/>
        <w:ind w:left="2548" w:right="714" w:hanging="316"/>
        <w:jc w:val="left"/>
        <w:rPr>
          <w:sz w:val="20"/>
        </w:rPr>
      </w:pPr>
      <w:bookmarkStart w:name="_bookmark62" w:id="142"/>
      <w:bookmarkEnd w:id="142"/>
      <w:r>
        <w:rPr/>
      </w:r>
      <w:r>
        <w:rPr>
          <w:color w:val="231F20"/>
          <w:sz w:val="20"/>
        </w:rPr>
        <w:t>Clear </w:t>
      </w:r>
      <w:r>
        <w:rPr>
          <w:color w:val="231F20"/>
          <w:spacing w:val="16"/>
          <w:sz w:val="20"/>
        </w:rPr>
        <w:drawing>
          <wp:inline distT="0" distB="0" distL="0" distR="0">
            <wp:extent cx="82550" cy="82550"/>
            <wp:effectExtent l="0" t="0" r="0" b="0"/>
            <wp:docPr id="752" name="Image 752"/>
            <wp:cNvGraphicFramePr>
              <a:graphicFrameLocks/>
            </wp:cNvGraphicFramePr>
            <a:graphic>
              <a:graphicData uri="http://schemas.openxmlformats.org/drawingml/2006/picture">
                <pic:pic>
                  <pic:nvPicPr>
                    <pic:cNvPr id="752" name="Image 75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Show Link Indicator </w:t>
      </w:r>
      <w:r>
        <w:rPr>
          <w:color w:val="231F20"/>
          <w:sz w:val="20"/>
        </w:rPr>
        <w:t>if you want no </w:t>
      </w:r>
      <w:r>
        <w:rPr>
          <w:color w:val="231F20"/>
          <w:spacing w:val="15"/>
          <w:position w:val="-1"/>
          <w:sz w:val="20"/>
        </w:rPr>
        <w:drawing>
          <wp:inline distT="0" distB="0" distL="0" distR="0">
            <wp:extent cx="101600" cy="101600"/>
            <wp:effectExtent l="0" t="0" r="0" b="0"/>
            <wp:docPr id="753" name="Image 753"/>
            <wp:cNvGraphicFramePr>
              <a:graphicFrameLocks/>
            </wp:cNvGraphicFramePr>
            <a:graphic>
              <a:graphicData uri="http://schemas.openxmlformats.org/drawingml/2006/picture">
                <pic:pic>
                  <pic:nvPicPr>
                    <pic:cNvPr id="753" name="Image 75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link indicator in the first column of the table or overlaying the graphic view icon. If you disable the indicator, users can still link to the target workspace by right-clicking a </w:t>
      </w:r>
      <w:r>
        <w:rPr>
          <w:color w:val="231F20"/>
          <w:sz w:val="20"/>
        </w:rPr>
        <w:t>table row or the linked graphic view icon.</w:t>
      </w:r>
    </w:p>
    <w:p>
      <w:pPr>
        <w:pStyle w:val="ListParagraph"/>
        <w:numPr>
          <w:ilvl w:val="0"/>
          <w:numId w:val="46"/>
        </w:numPr>
        <w:tabs>
          <w:tab w:pos="2548" w:val="left" w:leader="none"/>
        </w:tabs>
        <w:spacing w:line="211" w:lineRule="auto" w:before="64" w:after="0"/>
        <w:ind w:left="2548" w:right="403" w:hanging="316"/>
        <w:jc w:val="left"/>
        <w:rPr>
          <w:sz w:val="20"/>
        </w:rPr>
      </w:pPr>
      <w:r>
        <w:rPr>
          <w:color w:val="231F20"/>
          <w:sz w:val="20"/>
        </w:rPr>
        <w:t>Clear </w:t>
      </w:r>
      <w:r>
        <w:rPr>
          <w:color w:val="231F20"/>
          <w:spacing w:val="16"/>
          <w:sz w:val="20"/>
        </w:rPr>
        <w:drawing>
          <wp:inline distT="0" distB="0" distL="0" distR="0">
            <wp:extent cx="82550" cy="82550"/>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Link Indicator Always Enabled </w:t>
      </w:r>
      <w:r>
        <w:rPr>
          <w:color w:val="231F20"/>
          <w:sz w:val="20"/>
        </w:rPr>
        <w:t>only if this is an advanced link from a</w:t>
      </w:r>
      <w:r>
        <w:rPr>
          <w:color w:val="231F20"/>
          <w:spacing w:val="40"/>
          <w:sz w:val="20"/>
        </w:rPr>
        <w:t> </w:t>
      </w:r>
      <w:r>
        <w:rPr>
          <w:color w:val="231F20"/>
          <w:sz w:val="20"/>
        </w:rPr>
        <w:t>table, with filtering, and you want to enable the indicator only for rows where</w:t>
      </w:r>
      <w:r>
        <w:rPr>
          <w:color w:val="231F20"/>
          <w:spacing w:val="80"/>
          <w:sz w:val="20"/>
        </w:rPr>
        <w:t> </w:t>
      </w:r>
      <w:r>
        <w:rPr>
          <w:color w:val="231F20"/>
          <w:sz w:val="20"/>
        </w:rPr>
        <w:t>the</w:t>
      </w:r>
      <w:r>
        <w:rPr>
          <w:color w:val="231F20"/>
          <w:spacing w:val="25"/>
          <w:sz w:val="20"/>
        </w:rPr>
        <w:t> </w:t>
      </w:r>
      <w:r>
        <w:rPr>
          <w:color w:val="231F20"/>
          <w:sz w:val="20"/>
        </w:rPr>
        <w:t>link</w:t>
      </w:r>
      <w:r>
        <w:rPr>
          <w:color w:val="231F20"/>
          <w:spacing w:val="25"/>
          <w:sz w:val="20"/>
        </w:rPr>
        <w:t> </w:t>
      </w:r>
      <w:r>
        <w:rPr>
          <w:color w:val="231F20"/>
          <w:sz w:val="20"/>
        </w:rPr>
        <w:t>is</w:t>
      </w:r>
      <w:r>
        <w:rPr>
          <w:color w:val="231F20"/>
          <w:spacing w:val="25"/>
          <w:sz w:val="20"/>
        </w:rPr>
        <w:t> </w:t>
      </w:r>
      <w:r>
        <w:rPr>
          <w:color w:val="231F20"/>
          <w:sz w:val="20"/>
        </w:rPr>
        <w:t>available.</w:t>
      </w:r>
      <w:r>
        <w:rPr>
          <w:color w:val="231F20"/>
          <w:spacing w:val="17"/>
          <w:sz w:val="20"/>
        </w:rPr>
        <w:t> </w:t>
      </w:r>
      <w:r>
        <w:rPr>
          <w:color w:val="231F20"/>
          <w:sz w:val="20"/>
        </w:rPr>
        <w:t>An</w:t>
      </w:r>
      <w:r>
        <w:rPr>
          <w:color w:val="231F20"/>
          <w:spacing w:val="25"/>
          <w:sz w:val="20"/>
        </w:rPr>
        <w:t> </w:t>
      </w:r>
      <w:r>
        <w:rPr>
          <w:color w:val="231F20"/>
          <w:sz w:val="20"/>
        </w:rPr>
        <w:t>example</w:t>
      </w:r>
      <w:r>
        <w:rPr>
          <w:color w:val="231F20"/>
          <w:spacing w:val="25"/>
          <w:sz w:val="20"/>
        </w:rPr>
        <w:t> </w:t>
      </w:r>
      <w:r>
        <w:rPr>
          <w:color w:val="231F20"/>
          <w:sz w:val="20"/>
        </w:rPr>
        <w:t>would</w:t>
      </w:r>
      <w:r>
        <w:rPr>
          <w:color w:val="231F20"/>
          <w:spacing w:val="25"/>
          <w:sz w:val="20"/>
        </w:rPr>
        <w:t> </w:t>
      </w:r>
      <w:r>
        <w:rPr>
          <w:color w:val="231F20"/>
          <w:sz w:val="20"/>
        </w:rPr>
        <w:t>be</w:t>
      </w:r>
      <w:r>
        <w:rPr>
          <w:color w:val="231F20"/>
          <w:spacing w:val="25"/>
          <w:sz w:val="20"/>
        </w:rPr>
        <w:t> </w:t>
      </w:r>
      <w:r>
        <w:rPr>
          <w:color w:val="231F20"/>
          <w:sz w:val="20"/>
        </w:rPr>
        <w:t>a</w:t>
      </w:r>
      <w:r>
        <w:rPr>
          <w:color w:val="231F20"/>
          <w:spacing w:val="25"/>
          <w:sz w:val="20"/>
        </w:rPr>
        <w:t> </w:t>
      </w:r>
      <w:r>
        <w:rPr>
          <w:color w:val="231F20"/>
          <w:sz w:val="20"/>
        </w:rPr>
        <w:t>link</w:t>
      </w:r>
      <w:r>
        <w:rPr>
          <w:color w:val="231F20"/>
          <w:spacing w:val="25"/>
          <w:sz w:val="20"/>
        </w:rPr>
        <w:t> </w:t>
      </w:r>
      <w:r>
        <w:rPr>
          <w:color w:val="231F20"/>
          <w:sz w:val="20"/>
        </w:rPr>
        <w:t>that</w:t>
      </w:r>
      <w:r>
        <w:rPr>
          <w:color w:val="231F20"/>
          <w:spacing w:val="25"/>
          <w:sz w:val="20"/>
        </w:rPr>
        <w:t> </w:t>
      </w:r>
      <w:r>
        <w:rPr>
          <w:color w:val="231F20"/>
          <w:sz w:val="20"/>
        </w:rPr>
        <w:t>is</w:t>
      </w:r>
      <w:r>
        <w:rPr>
          <w:color w:val="231F20"/>
          <w:spacing w:val="25"/>
          <w:sz w:val="20"/>
        </w:rPr>
        <w:t> </w:t>
      </w:r>
      <w:r>
        <w:rPr>
          <w:color w:val="231F20"/>
          <w:sz w:val="20"/>
        </w:rPr>
        <w:t>not</w:t>
      </w:r>
      <w:r>
        <w:rPr>
          <w:color w:val="231F20"/>
          <w:spacing w:val="25"/>
          <w:sz w:val="20"/>
        </w:rPr>
        <w:t> </w:t>
      </w:r>
      <w:r>
        <w:rPr>
          <w:color w:val="231F20"/>
          <w:sz w:val="20"/>
        </w:rPr>
        <w:t>available</w:t>
      </w:r>
      <w:r>
        <w:rPr>
          <w:color w:val="231F20"/>
          <w:spacing w:val="25"/>
          <w:sz w:val="20"/>
        </w:rPr>
        <w:t> </w:t>
      </w:r>
      <w:r>
        <w:rPr>
          <w:color w:val="231F20"/>
          <w:sz w:val="20"/>
        </w:rPr>
        <w:t>for</w:t>
      </w:r>
      <w:r>
        <w:rPr>
          <w:color w:val="231F20"/>
          <w:spacing w:val="25"/>
          <w:sz w:val="20"/>
        </w:rPr>
        <w:t> </w:t>
      </w:r>
      <w:r>
        <w:rPr>
          <w:color w:val="231F20"/>
          <w:sz w:val="20"/>
        </w:rPr>
        <w:t>the </w:t>
      </w:r>
      <w:r>
        <w:rPr>
          <w:rFonts w:ascii="Book Antiqua"/>
          <w:i/>
          <w:color w:val="231F20"/>
          <w:sz w:val="20"/>
        </w:rPr>
        <w:t>Idle </w:t>
      </w:r>
      <w:r>
        <w:rPr>
          <w:color w:val="231F20"/>
          <w:sz w:val="20"/>
        </w:rPr>
        <w:t>process. The link indicator in this row would be </w:t>
      </w:r>
      <w:r>
        <w:rPr>
          <w:color w:val="231F20"/>
          <w:spacing w:val="15"/>
          <w:position w:val="-1"/>
          <w:sz w:val="20"/>
        </w:rPr>
        <w:drawing>
          <wp:inline distT="0" distB="0" distL="0" distR="0">
            <wp:extent cx="101600" cy="101600"/>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183"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4"/>
          <w:sz w:val="20"/>
        </w:rPr>
        <w:t> </w:t>
      </w:r>
      <w:r>
        <w:rPr>
          <w:color w:val="231F20"/>
          <w:sz w:val="20"/>
        </w:rPr>
        <w:t>dimmed to show that it was disabled.</w:t>
      </w:r>
    </w:p>
    <w:p>
      <w:pPr>
        <w:pStyle w:val="ListParagraph"/>
        <w:numPr>
          <w:ilvl w:val="0"/>
          <w:numId w:val="46"/>
        </w:numPr>
        <w:tabs>
          <w:tab w:pos="2548" w:val="left" w:leader="none"/>
        </w:tabs>
        <w:spacing w:line="213" w:lineRule="auto" w:before="63" w:after="0"/>
        <w:ind w:left="2548" w:right="610" w:hanging="316"/>
        <w:jc w:val="left"/>
        <w:rPr>
          <w:sz w:val="20"/>
        </w:rPr>
      </w:pPr>
      <w:r>
        <w:rPr>
          <w:color w:val="231F20"/>
          <w:sz w:val="20"/>
        </w:rPr>
        <w:t>Click </w:t>
      </w:r>
      <w:r>
        <w:rPr>
          <w:rFonts w:ascii="Book Antiqua"/>
          <w:b/>
          <w:color w:val="231F20"/>
          <w:sz w:val="20"/>
        </w:rPr>
        <w:t>OK </w:t>
      </w:r>
      <w:r>
        <w:rPr>
          <w:color w:val="231F20"/>
          <w:sz w:val="20"/>
        </w:rPr>
        <w:t>to close the window, then click </w:t>
      </w:r>
      <w:r>
        <w:rPr>
          <w:color w:val="231F20"/>
          <w:spacing w:val="-25"/>
          <w:position w:val="-1"/>
          <w:sz w:val="20"/>
        </w:rPr>
        <w:drawing>
          <wp:inline distT="0" distB="0" distL="0" distR="0">
            <wp:extent cx="95250" cy="95250"/>
            <wp:effectExtent l="0" t="0" r="0" b="0"/>
            <wp:docPr id="756" name="Image 756"/>
            <wp:cNvGraphicFramePr>
              <a:graphicFrameLocks/>
            </wp:cNvGraphicFramePr>
            <a:graphic>
              <a:graphicData uri="http://schemas.openxmlformats.org/drawingml/2006/picture">
                <pic:pic>
                  <pic:nvPicPr>
                    <pic:cNvPr id="756" name="Image 756"/>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78"/>
          <w:sz w:val="20"/>
        </w:rPr>
        <w:t> </w:t>
      </w:r>
      <w:r>
        <w:rPr>
          <w:rFonts w:ascii="Book Antiqua"/>
          <w:b/>
          <w:color w:val="231F20"/>
          <w:sz w:val="20"/>
        </w:rPr>
        <w:t>Save </w:t>
      </w:r>
      <w:r>
        <w:rPr>
          <w:color w:val="231F20"/>
          <w:sz w:val="20"/>
        </w:rPr>
        <w:t>to save your changes to </w:t>
      </w:r>
      <w:r>
        <w:rPr>
          <w:color w:val="231F20"/>
          <w:sz w:val="20"/>
        </w:rPr>
        <w:t>the </w:t>
      </w:r>
      <w:r>
        <w:rPr>
          <w:color w:val="231F20"/>
          <w:spacing w:val="-2"/>
          <w:sz w:val="20"/>
        </w:rPr>
        <w:t>workspace.</w:t>
      </w:r>
    </w:p>
    <w:p>
      <w:pPr>
        <w:pStyle w:val="Heading3"/>
        <w:spacing w:before="217"/>
        <w:ind w:left="1334"/>
      </w:pPr>
      <w:bookmarkStart w:name="Link examples" w:id="143"/>
      <w:bookmarkEnd w:id="143"/>
      <w:r>
        <w:rPr>
          <w:b w:val="0"/>
        </w:rPr>
      </w:r>
      <w:r>
        <w:rPr>
          <w:color w:val="231F20"/>
        </w:rPr>
        <w:t>Link</w:t>
      </w:r>
      <w:r>
        <w:rPr>
          <w:color w:val="231F20"/>
          <w:spacing w:val="9"/>
        </w:rPr>
        <w:t> </w:t>
      </w:r>
      <w:r>
        <w:rPr>
          <w:color w:val="231F20"/>
          <w:spacing w:val="-2"/>
        </w:rPr>
        <w:t>examples</w:t>
      </w:r>
    </w:p>
    <w:p>
      <w:pPr>
        <w:pStyle w:val="BodyText"/>
        <w:spacing w:line="213" w:lineRule="auto" w:before="58"/>
        <w:ind w:left="2232"/>
      </w:pPr>
      <w:r>
        <w:rPr>
          <w:color w:val="231F20"/>
        </w:rPr>
        <w:t>Review these link examples for ideas on how to use the Link Wizard to build links</w:t>
      </w:r>
      <w:r>
        <w:rPr>
          <w:color w:val="231F20"/>
          <w:spacing w:val="40"/>
        </w:rPr>
        <w:t> </w:t>
      </w:r>
      <w:r>
        <w:rPr>
          <w:color w:val="231F20"/>
        </w:rPr>
        <w:t>between workspaces.</w:t>
      </w:r>
    </w:p>
    <w:p>
      <w:pPr>
        <w:pStyle w:val="BodyText"/>
        <w:spacing w:line="213" w:lineRule="auto" w:before="238"/>
        <w:ind w:left="2232" w:right="470"/>
      </w:pPr>
      <w:r>
        <w:rPr>
          <w:color w:val="231F20"/>
        </w:rPr>
        <w:t>The graphic shows where you can start the Link Wizard to define a link, and from where you can then launch the link to the workspace that was targeted by the link</w:t>
      </w:r>
      <w:r>
        <w:rPr>
          <w:color w:val="231F20"/>
          <w:spacing w:val="40"/>
        </w:rPr>
        <w:t> </w:t>
      </w:r>
      <w:r>
        <w:rPr>
          <w:color w:val="231F20"/>
        </w:rPr>
        <w:t>definition. The mouse icons show how the link is launched: click a link anchor; or</w:t>
      </w:r>
      <w:r>
        <w:rPr>
          <w:color w:val="231F20"/>
          <w:spacing w:val="40"/>
        </w:rPr>
        <w:t> </w:t>
      </w:r>
      <w:r>
        <w:rPr>
          <w:color w:val="231F20"/>
        </w:rPr>
        <w:t>right-click a Navigator item or chart view data item. A link that originates from a Navigator item or graphic view is often a simple link to the target workspace, whereas a link from a table row or chart point might be to a workspace with more</w:t>
      </w:r>
      <w:r>
        <w:rPr>
          <w:color w:val="231F20"/>
          <w:spacing w:val="40"/>
        </w:rPr>
        <w:t> </w:t>
      </w:r>
      <w:r>
        <w:rPr>
          <w:color w:val="231F20"/>
        </w:rPr>
        <w:t>details about that row. Notice that the link anchors showing in the table view and graphic view appear automatically when you define a link from these views.</w:t>
      </w:r>
    </w:p>
    <w:p>
      <w:pPr>
        <w:pStyle w:val="BodyText"/>
        <w:spacing w:before="5"/>
        <w:rPr>
          <w:sz w:val="13"/>
        </w:rPr>
      </w:pPr>
      <w:r>
        <w:rPr/>
        <w:drawing>
          <wp:anchor distT="0" distB="0" distL="0" distR="0" allowOverlap="1" layoutInCell="1" locked="0" behindDoc="1" simplePos="0" relativeHeight="487660032">
            <wp:simplePos x="0" y="0"/>
            <wp:positionH relativeFrom="page">
              <wp:posOffset>2052863</wp:posOffset>
            </wp:positionH>
            <wp:positionV relativeFrom="paragraph">
              <wp:posOffset>129959</wp:posOffset>
            </wp:positionV>
            <wp:extent cx="2654807" cy="2112359"/>
            <wp:effectExtent l="0" t="0" r="0" b="0"/>
            <wp:wrapTopAndBottom/>
            <wp:docPr id="757" name="Image 757"/>
            <wp:cNvGraphicFramePr>
              <a:graphicFrameLocks/>
            </wp:cNvGraphicFramePr>
            <a:graphic>
              <a:graphicData uri="http://schemas.openxmlformats.org/drawingml/2006/picture">
                <pic:pic>
                  <pic:nvPicPr>
                    <pic:cNvPr id="757" name="Image 757"/>
                    <pic:cNvPicPr/>
                  </pic:nvPicPr>
                  <pic:blipFill>
                    <a:blip r:embed="rId184" cstate="print"/>
                    <a:stretch>
                      <a:fillRect/>
                    </a:stretch>
                  </pic:blipFill>
                  <pic:spPr>
                    <a:xfrm>
                      <a:off x="0" y="0"/>
                      <a:ext cx="2654807" cy="2112359"/>
                    </a:xfrm>
                    <a:prstGeom prst="rect">
                      <a:avLst/>
                    </a:prstGeom>
                  </pic:spPr>
                </pic:pic>
              </a:graphicData>
            </a:graphic>
          </wp:anchor>
        </w:drawing>
      </w:r>
    </w:p>
    <w:p>
      <w:pPr>
        <w:pStyle w:val="BodyText"/>
        <w:spacing w:before="27"/>
      </w:pPr>
    </w:p>
    <w:p>
      <w:pPr>
        <w:pStyle w:val="Heading4"/>
        <w:spacing w:before="0"/>
      </w:pPr>
      <w:r>
        <w:rPr>
          <w:color w:val="231F20"/>
        </w:rPr>
        <w:t>Dynamic</w:t>
      </w:r>
      <w:r>
        <w:rPr>
          <w:color w:val="231F20"/>
          <w:spacing w:val="1"/>
        </w:rPr>
        <w:t> </w:t>
      </w:r>
      <w:r>
        <w:rPr>
          <w:color w:val="231F20"/>
          <w:spacing w:val="-2"/>
        </w:rPr>
        <w:t>linking</w:t>
      </w:r>
    </w:p>
    <w:p>
      <w:pPr>
        <w:pStyle w:val="BodyText"/>
        <w:spacing w:line="213" w:lineRule="auto" w:before="241"/>
        <w:ind w:left="2232" w:right="545"/>
      </w:pPr>
      <w:r>
        <w:rPr>
          <w:color w:val="231F20"/>
        </w:rPr>
        <w:t>The</w:t>
      </w:r>
      <w:r>
        <w:rPr>
          <w:color w:val="231F20"/>
          <w:spacing w:val="27"/>
        </w:rPr>
        <w:t> </w:t>
      </w:r>
      <w:r>
        <w:rPr>
          <w:color w:val="231F20"/>
        </w:rPr>
        <w:t>dynamic</w:t>
      </w:r>
      <w:r>
        <w:rPr>
          <w:color w:val="231F20"/>
          <w:spacing w:val="27"/>
        </w:rPr>
        <w:t> </w:t>
      </w:r>
      <w:r>
        <w:rPr>
          <w:color w:val="231F20"/>
        </w:rPr>
        <w:t>link</w:t>
      </w:r>
      <w:r>
        <w:rPr>
          <w:color w:val="231F20"/>
          <w:spacing w:val="27"/>
        </w:rPr>
        <w:t> </w:t>
      </w:r>
      <w:r>
        <w:rPr>
          <w:color w:val="231F20"/>
        </w:rPr>
        <w:t>type</w:t>
      </w:r>
      <w:r>
        <w:rPr>
          <w:color w:val="231F20"/>
          <w:spacing w:val="27"/>
        </w:rPr>
        <w:t> </w:t>
      </w:r>
      <w:r>
        <w:rPr>
          <w:color w:val="231F20"/>
        </w:rPr>
        <w:t>has</w:t>
      </w:r>
      <w:r>
        <w:rPr>
          <w:color w:val="231F20"/>
          <w:spacing w:val="27"/>
        </w:rPr>
        <w:t> </w:t>
      </w:r>
      <w:r>
        <w:rPr>
          <w:color w:val="231F20"/>
        </w:rPr>
        <w:t>you</w:t>
      </w:r>
      <w:r>
        <w:rPr>
          <w:color w:val="231F20"/>
          <w:spacing w:val="27"/>
        </w:rPr>
        <w:t> </w:t>
      </w:r>
      <w:r>
        <w:rPr>
          <w:color w:val="231F20"/>
        </w:rPr>
        <w:t>specify</w:t>
      </w:r>
      <w:r>
        <w:rPr>
          <w:color w:val="231F20"/>
          <w:spacing w:val="27"/>
        </w:rPr>
        <w:t> </w:t>
      </w:r>
      <w:r>
        <w:rPr>
          <w:color w:val="231F20"/>
        </w:rPr>
        <w:t>an</w:t>
      </w:r>
      <w:r>
        <w:rPr>
          <w:color w:val="231F20"/>
          <w:spacing w:val="27"/>
        </w:rPr>
        <w:t> </w:t>
      </w:r>
      <w:r>
        <w:rPr>
          <w:color w:val="231F20"/>
        </w:rPr>
        <w:t>identifier</w:t>
      </w:r>
      <w:r>
        <w:rPr>
          <w:color w:val="231F20"/>
          <w:spacing w:val="27"/>
        </w:rPr>
        <w:t> </w:t>
      </w:r>
      <w:r>
        <w:rPr>
          <w:color w:val="231F20"/>
        </w:rPr>
        <w:t>for</w:t>
      </w:r>
      <w:r>
        <w:rPr>
          <w:color w:val="231F20"/>
          <w:spacing w:val="27"/>
        </w:rPr>
        <w:t> </w:t>
      </w:r>
      <w:r>
        <w:rPr>
          <w:color w:val="231F20"/>
        </w:rPr>
        <w:t>the</w:t>
      </w:r>
      <w:r>
        <w:rPr>
          <w:color w:val="231F20"/>
          <w:spacing w:val="27"/>
        </w:rPr>
        <w:t> </w:t>
      </w:r>
      <w:r>
        <w:rPr>
          <w:color w:val="231F20"/>
        </w:rPr>
        <w:t>target</w:t>
      </w:r>
      <w:r>
        <w:rPr>
          <w:color w:val="231F20"/>
          <w:spacing w:val="27"/>
        </w:rPr>
        <w:t> </w:t>
      </w:r>
      <w:r>
        <w:rPr>
          <w:color w:val="231F20"/>
        </w:rPr>
        <w:t>workspace. When the source is a table row or chart point, you can often select a symbol for an</w:t>
      </w:r>
      <w:r>
        <w:rPr>
          <w:color w:val="231F20"/>
          <w:spacing w:val="80"/>
        </w:rPr>
        <w:t> </w:t>
      </w:r>
      <w:r>
        <w:rPr>
          <w:color w:val="231F20"/>
        </w:rPr>
        <w:t>attribute that identifies the managed system.</w:t>
      </w:r>
    </w:p>
    <w:p>
      <w:pPr>
        <w:pStyle w:val="Heading6"/>
        <w:ind w:left="2232"/>
      </w:pPr>
      <w:r>
        <w:rPr>
          <w:color w:val="231F20"/>
          <w:spacing w:val="-2"/>
        </w:rPr>
        <w:t>Target</w:t>
      </w:r>
      <w:r>
        <w:rPr>
          <w:color w:val="231F20"/>
          <w:spacing w:val="-1"/>
        </w:rPr>
        <w:t> </w:t>
      </w:r>
      <w:r>
        <w:rPr>
          <w:color w:val="231F20"/>
          <w:spacing w:val="-2"/>
        </w:rPr>
        <w:t>Filter:</w:t>
      </w:r>
    </w:p>
    <w:p>
      <w:pPr>
        <w:pStyle w:val="BodyText"/>
        <w:spacing w:line="258" w:lineRule="exact"/>
        <w:ind w:left="2951"/>
      </w:pPr>
      <w:r>
        <w:rPr>
          <w:color w:val="231F20"/>
        </w:rPr>
        <w:t>Managed</w:t>
      </w:r>
      <w:r>
        <w:rPr>
          <w:color w:val="231F20"/>
          <w:spacing w:val="8"/>
        </w:rPr>
        <w:t> </w:t>
      </w:r>
      <w:r>
        <w:rPr>
          <w:color w:val="231F20"/>
        </w:rPr>
        <w:t>system</w:t>
      </w:r>
      <w:r>
        <w:rPr>
          <w:color w:val="231F20"/>
          <w:spacing w:val="9"/>
        </w:rPr>
        <w:t> </w:t>
      </w:r>
      <w:r>
        <w:rPr>
          <w:color w:val="231F20"/>
          <w:spacing w:val="-4"/>
        </w:rPr>
        <w:t>name</w:t>
      </w:r>
    </w:p>
    <w:p>
      <w:pPr>
        <w:pStyle w:val="Heading6"/>
        <w:spacing w:before="111"/>
        <w:ind w:left="2232"/>
      </w:pPr>
      <w:r>
        <w:rPr>
          <w:color w:val="231F20"/>
          <w:spacing w:val="-2"/>
        </w:rPr>
        <w:t>Expression:</w:t>
      </w:r>
    </w:p>
    <w:p>
      <w:pPr>
        <w:pStyle w:val="BodyText"/>
        <w:spacing w:line="258" w:lineRule="exact"/>
        <w:ind w:left="2951"/>
      </w:pPr>
      <w:r>
        <w:rPr>
          <w:color w:val="231F20"/>
          <w:spacing w:val="-2"/>
        </w:rPr>
        <w:t>$EventConsoleRow:ATTRIBUTE.ISITSTSH.ORIGINNODE$</w:t>
      </w:r>
    </w:p>
    <w:p>
      <w:pPr>
        <w:pStyle w:val="Heading6"/>
        <w:spacing w:line="240" w:lineRule="auto" w:before="111"/>
        <w:ind w:left="2232"/>
      </w:pPr>
      <w:r>
        <w:rPr>
          <w:color w:val="231F20"/>
          <w:spacing w:val="-2"/>
        </w:rPr>
        <w:t>Symbol:</w:t>
      </w:r>
    </w:p>
    <w:p>
      <w:pPr>
        <w:pStyle w:val="BodyText"/>
        <w:spacing w:line="232" w:lineRule="exact"/>
        <w:ind w:left="2951"/>
      </w:pPr>
      <w:r>
        <w:rPr>
          <w:position w:val="-1"/>
        </w:rPr>
        <w:drawing>
          <wp:inline distT="0" distB="0" distL="0" distR="0">
            <wp:extent cx="101600" cy="95250"/>
            <wp:effectExtent l="0" t="0" r="0" b="0"/>
            <wp:docPr id="758" name="Image 758"/>
            <wp:cNvGraphicFramePr>
              <a:graphicFrameLocks/>
            </wp:cNvGraphicFramePr>
            <a:graphic>
              <a:graphicData uri="http://schemas.openxmlformats.org/drawingml/2006/picture">
                <pic:pic>
                  <pic:nvPicPr>
                    <pic:cNvPr id="758" name="Image 758"/>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Values</w:t>
      </w:r>
    </w:p>
    <w:p>
      <w:pPr>
        <w:pStyle w:val="BodyText"/>
        <w:spacing w:line="239" w:lineRule="exact"/>
        <w:ind w:left="3450"/>
      </w:pPr>
      <w:r>
        <w:rPr>
          <w:position w:val="-1"/>
        </w:rPr>
        <w:drawing>
          <wp:inline distT="0" distB="0" distL="0" distR="0">
            <wp:extent cx="101600" cy="95250"/>
            <wp:effectExtent l="0" t="0" r="0" b="0"/>
            <wp:docPr id="759" name="Image 759"/>
            <wp:cNvGraphicFramePr>
              <a:graphicFrameLocks/>
            </wp:cNvGraphicFramePr>
            <a:graphic>
              <a:graphicData uri="http://schemas.openxmlformats.org/drawingml/2006/picture">
                <pic:pic>
                  <pic:nvPicPr>
                    <pic:cNvPr id="759" name="Image 759"/>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Link</w:t>
      </w:r>
    </w:p>
    <w:p>
      <w:pPr>
        <w:pStyle w:val="BodyText"/>
        <w:spacing w:line="255" w:lineRule="exact"/>
        <w:ind w:left="3450"/>
      </w:pPr>
      <w:r>
        <w:rPr>
          <w:position w:val="-1"/>
        </w:rPr>
        <w:drawing>
          <wp:inline distT="0" distB="0" distL="0" distR="0">
            <wp:extent cx="101600" cy="95250"/>
            <wp:effectExtent l="0" t="0" r="0" b="0"/>
            <wp:docPr id="760" name="Image 760"/>
            <wp:cNvGraphicFramePr>
              <a:graphicFrameLocks/>
            </wp:cNvGraphicFramePr>
            <a:graphic>
              <a:graphicData uri="http://schemas.openxmlformats.org/drawingml/2006/picture">
                <pic:pic>
                  <pic:nvPicPr>
                    <pic:cNvPr id="760" name="Image 760"/>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Selected Row</w:t>
      </w:r>
    </w:p>
    <w:p>
      <w:pPr>
        <w:spacing w:after="0" w:line="255" w:lineRule="exact"/>
        <w:sectPr>
          <w:pgSz w:w="12240" w:h="15840"/>
          <w:pgMar w:header="0" w:footer="736" w:top="1180" w:bottom="920" w:left="1000" w:right="1060"/>
        </w:sectPr>
      </w:pPr>
    </w:p>
    <w:p>
      <w:pPr>
        <w:pStyle w:val="BodyText"/>
        <w:spacing w:line="255" w:lineRule="exact" w:before="62"/>
        <w:ind w:right="833"/>
        <w:jc w:val="center"/>
      </w:pPr>
      <w:r>
        <w:rPr>
          <w:position w:val="-1"/>
        </w:rPr>
        <w:drawing>
          <wp:inline distT="0" distB="0" distL="0" distR="0">
            <wp:extent cx="101600" cy="95250"/>
            <wp:effectExtent l="0" t="0" r="0" b="0"/>
            <wp:docPr id="761" name="Image 761"/>
            <wp:cNvGraphicFramePr>
              <a:graphicFrameLocks/>
            </wp:cNvGraphicFramePr>
            <a:graphic>
              <a:graphicData uri="http://schemas.openxmlformats.org/drawingml/2006/picture">
                <pic:pic>
                  <pic:nvPicPr>
                    <pic:cNvPr id="761" name="Image 76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Attributes</w:t>
      </w:r>
    </w:p>
    <w:p>
      <w:pPr>
        <w:pStyle w:val="BodyText"/>
        <w:spacing w:line="239" w:lineRule="exact"/>
        <w:ind w:left="4687"/>
      </w:pPr>
      <w:r>
        <w:rPr/>
        <w:drawing>
          <wp:inline distT="0" distB="0" distL="0" distR="0">
            <wp:extent cx="63500" cy="63500"/>
            <wp:effectExtent l="0" t="0" r="0" b="0"/>
            <wp:docPr id="762" name="Image 762"/>
            <wp:cNvGraphicFramePr>
              <a:graphicFrameLocks/>
            </wp:cNvGraphicFramePr>
            <a:graphic>
              <a:graphicData uri="http://schemas.openxmlformats.org/drawingml/2006/picture">
                <pic:pic>
                  <pic:nvPicPr>
                    <pic:cNvPr id="762" name="Image 762"/>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Age</w:t>
      </w:r>
    </w:p>
    <w:p>
      <w:pPr>
        <w:pStyle w:val="BodyText"/>
        <w:spacing w:line="239" w:lineRule="exact"/>
        <w:ind w:left="4687"/>
      </w:pPr>
      <w:r>
        <w:rPr/>
        <w:drawing>
          <wp:inline distT="0" distB="0" distL="0" distR="0">
            <wp:extent cx="63500" cy="63500"/>
            <wp:effectExtent l="0" t="0" r="0" b="0"/>
            <wp:docPr id="763" name="Image 763"/>
            <wp:cNvGraphicFramePr>
              <a:graphicFrameLocks/>
            </wp:cNvGraphicFramePr>
            <a:graphic>
              <a:graphicData uri="http://schemas.openxmlformats.org/drawingml/2006/picture">
                <pic:pic>
                  <pic:nvPicPr>
                    <pic:cNvPr id="763" name="Image 763"/>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Display Item</w:t>
      </w:r>
    </w:p>
    <w:p>
      <w:pPr>
        <w:pStyle w:val="BodyText"/>
        <w:spacing w:line="213" w:lineRule="auto" w:before="7"/>
        <w:ind w:left="4687" w:right="3594"/>
      </w:pPr>
      <w:r>
        <w:rPr/>
        <w:drawing>
          <wp:inline distT="0" distB="0" distL="0" distR="0">
            <wp:extent cx="63500" cy="63500"/>
            <wp:effectExtent l="0" t="0" r="0" b="0"/>
            <wp:docPr id="764" name="Image 764"/>
            <wp:cNvGraphicFramePr>
              <a:graphicFrameLocks/>
            </wp:cNvGraphicFramePr>
            <a:graphic>
              <a:graphicData uri="http://schemas.openxmlformats.org/drawingml/2006/picture">
                <pic:pic>
                  <pic:nvPicPr>
                    <pic:cNvPr id="764" name="Image 764"/>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33"/>
        </w:rPr>
        <w:t> </w:t>
      </w:r>
      <w:r>
        <w:rPr>
          <w:color w:val="231F20"/>
        </w:rPr>
        <w:t>Global</w:t>
      </w:r>
      <w:r>
        <w:rPr>
          <w:color w:val="231F20"/>
          <w:spacing w:val="-3"/>
        </w:rPr>
        <w:t> </w:t>
      </w:r>
      <w:r>
        <w:rPr>
          <w:color w:val="231F20"/>
        </w:rPr>
        <w:t>Timestamp </w:t>
      </w:r>
      <w:r>
        <w:rPr>
          <w:color w:val="231F20"/>
        </w:rPr>
        <w:drawing>
          <wp:inline distT="0" distB="0" distL="0" distR="0">
            <wp:extent cx="63500" cy="63500"/>
            <wp:effectExtent l="0" t="0" r="0" b="0"/>
            <wp:docPr id="765" name="Image 765"/>
            <wp:cNvGraphicFramePr>
              <a:graphicFrameLocks/>
            </wp:cNvGraphicFramePr>
            <a:graphic>
              <a:graphicData uri="http://schemas.openxmlformats.org/drawingml/2006/picture">
                <pic:pic>
                  <pic:nvPicPr>
                    <pic:cNvPr id="765" name="Image 765"/>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rPr>
      </w:r>
      <w:r>
        <w:rPr>
          <w:rFonts w:ascii="Times New Roman"/>
          <w:color w:val="231F20"/>
          <w:spacing w:val="40"/>
        </w:rPr>
        <w:t> </w:t>
      </w:r>
      <w:r>
        <w:rPr>
          <w:color w:val="231F20"/>
        </w:rPr>
        <w:t>Impact</w:t>
      </w:r>
    </w:p>
    <w:p>
      <w:pPr>
        <w:pStyle w:val="BodyText"/>
        <w:spacing w:line="230" w:lineRule="exact"/>
        <w:ind w:left="4687"/>
      </w:pPr>
      <w:r>
        <w:rPr/>
        <w:drawing>
          <wp:inline distT="0" distB="0" distL="0" distR="0">
            <wp:extent cx="63500" cy="63500"/>
            <wp:effectExtent l="0" t="0" r="0" b="0"/>
            <wp:docPr id="766" name="Image 766"/>
            <wp:cNvGraphicFramePr>
              <a:graphicFrameLocks/>
            </wp:cNvGraphicFramePr>
            <a:graphic>
              <a:graphicData uri="http://schemas.openxmlformats.org/drawingml/2006/picture">
                <pic:pic>
                  <pic:nvPicPr>
                    <pic:cNvPr id="766" name="Image 766"/>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Node</w:t>
      </w:r>
    </w:p>
    <w:p>
      <w:pPr>
        <w:pStyle w:val="BodyText"/>
        <w:spacing w:line="213" w:lineRule="auto" w:before="8"/>
        <w:ind w:left="4687" w:right="4099"/>
      </w:pPr>
      <w:r>
        <w:rPr/>
        <w:drawing>
          <wp:inline distT="0" distB="0" distL="0" distR="0">
            <wp:extent cx="63500" cy="63500"/>
            <wp:effectExtent l="0" t="0" r="0" b="0"/>
            <wp:docPr id="767" name="Image 767"/>
            <wp:cNvGraphicFramePr>
              <a:graphicFrameLocks/>
            </wp:cNvGraphicFramePr>
            <a:graphic>
              <a:graphicData uri="http://schemas.openxmlformats.org/drawingml/2006/picture">
                <pic:pic>
                  <pic:nvPicPr>
                    <pic:cNvPr id="767" name="Image 767"/>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Origin </w:t>
      </w:r>
      <w:r>
        <w:rPr>
          <w:color w:val="231F20"/>
        </w:rPr>
        <w:t>Node </w:t>
      </w:r>
      <w:r>
        <w:rPr>
          <w:color w:val="231F20"/>
        </w:rPr>
        <w:drawing>
          <wp:inline distT="0" distB="0" distL="0" distR="0">
            <wp:extent cx="63500" cy="63500"/>
            <wp:effectExtent l="0" t="0" r="0" b="0"/>
            <wp:docPr id="768" name="Image 768"/>
            <wp:cNvGraphicFramePr>
              <a:graphicFrameLocks/>
            </wp:cNvGraphicFramePr>
            <a:graphic>
              <a:graphicData uri="http://schemas.openxmlformats.org/drawingml/2006/picture">
                <pic:pic>
                  <pic:nvPicPr>
                    <pic:cNvPr id="768" name="Image 768"/>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rPr>
      </w:r>
      <w:r>
        <w:rPr>
          <w:rFonts w:ascii="Times New Roman"/>
          <w:color w:val="231F20"/>
          <w:spacing w:val="40"/>
        </w:rPr>
        <w:t> </w:t>
      </w:r>
      <w:r>
        <w:rPr>
          <w:color w:val="231F20"/>
        </w:rPr>
        <w:t>Severity</w:t>
      </w:r>
    </w:p>
    <w:p>
      <w:pPr>
        <w:pStyle w:val="BodyText"/>
        <w:spacing w:line="240" w:lineRule="exact"/>
        <w:ind w:left="4687"/>
      </w:pPr>
      <w:r>
        <w:rPr/>
        <w:drawing>
          <wp:inline distT="0" distB="0" distL="0" distR="0">
            <wp:extent cx="63500" cy="63500"/>
            <wp:effectExtent l="0" t="0" r="0" b="0"/>
            <wp:docPr id="769" name="Image 769"/>
            <wp:cNvGraphicFramePr>
              <a:graphicFrameLocks/>
            </wp:cNvGraphicFramePr>
            <a:graphic>
              <a:graphicData uri="http://schemas.openxmlformats.org/drawingml/2006/picture">
                <pic:pic>
                  <pic:nvPicPr>
                    <pic:cNvPr id="769" name="Image 769"/>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Status</w:t>
      </w:r>
    </w:p>
    <w:p>
      <w:pPr>
        <w:pStyle w:val="BodyText"/>
        <w:spacing w:line="230" w:lineRule="exact"/>
        <w:ind w:left="4088"/>
      </w:pPr>
      <w:r>
        <w:rPr/>
        <w:drawing>
          <wp:inline distT="0" distB="0" distL="0" distR="0">
            <wp:extent cx="63500" cy="63500"/>
            <wp:effectExtent l="0" t="0" r="0" b="0"/>
            <wp:docPr id="770" name="Image 770"/>
            <wp:cNvGraphicFramePr>
              <a:graphicFrameLocks/>
            </wp:cNvGraphicFramePr>
            <a:graphic>
              <a:graphicData uri="http://schemas.openxmlformats.org/drawingml/2006/picture">
                <pic:pic>
                  <pic:nvPicPr>
                    <pic:cNvPr id="770" name="Image 770"/>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rPr>
        <w:t> </w:t>
      </w:r>
      <w:r>
        <w:rPr>
          <w:color w:val="231F20"/>
        </w:rPr>
        <w:t>Id</w:t>
      </w:r>
    </w:p>
    <w:p>
      <w:pPr>
        <w:pStyle w:val="BodyText"/>
        <w:spacing w:line="213" w:lineRule="auto" w:before="8"/>
        <w:ind w:left="4088" w:right="5295"/>
      </w:pPr>
      <w:r>
        <w:rPr/>
        <w:drawing>
          <wp:inline distT="0" distB="0" distL="0" distR="0">
            <wp:extent cx="63500" cy="63500"/>
            <wp:effectExtent l="0" t="0" r="0" b="0"/>
            <wp:docPr id="771" name="Image 771"/>
            <wp:cNvGraphicFramePr>
              <a:graphicFrameLocks/>
            </wp:cNvGraphicFramePr>
            <a:graphic>
              <a:graphicData uri="http://schemas.openxmlformats.org/drawingml/2006/picture">
                <pic:pic>
                  <pic:nvPicPr>
                    <pic:cNvPr id="771" name="Image 771"/>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28"/>
        </w:rPr>
        <w:t> </w:t>
      </w:r>
      <w:r>
        <w:rPr>
          <w:color w:val="231F20"/>
        </w:rPr>
        <w:t>Name </w:t>
      </w:r>
      <w:r>
        <w:rPr>
          <w:color w:val="231F20"/>
        </w:rPr>
        <w:drawing>
          <wp:inline distT="0" distB="0" distL="0" distR="0">
            <wp:extent cx="63500" cy="63500"/>
            <wp:effectExtent l="0" t="0" r="0" b="0"/>
            <wp:docPr id="772" name="Image 772"/>
            <wp:cNvGraphicFramePr>
              <a:graphicFrameLocks/>
            </wp:cNvGraphicFramePr>
            <a:graphic>
              <a:graphicData uri="http://schemas.openxmlformats.org/drawingml/2006/picture">
                <pic:pic>
                  <pic:nvPicPr>
                    <pic:cNvPr id="772" name="Image 772"/>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rPr>
      </w:r>
      <w:r>
        <w:rPr>
          <w:rFonts w:ascii="Times New Roman"/>
          <w:color w:val="231F20"/>
          <w:spacing w:val="40"/>
        </w:rPr>
        <w:t> </w:t>
      </w:r>
      <w:r>
        <w:rPr>
          <w:color w:val="231F20"/>
        </w:rPr>
        <w:t>Type</w:t>
      </w:r>
    </w:p>
    <w:p>
      <w:pPr>
        <w:pStyle w:val="BodyText"/>
        <w:spacing w:line="213" w:lineRule="auto"/>
        <w:ind w:left="3699" w:right="3985"/>
      </w:pPr>
      <w:r>
        <w:rPr>
          <w:position w:val="-1"/>
        </w:rPr>
        <w:drawing>
          <wp:inline distT="0" distB="0" distL="0" distR="0">
            <wp:extent cx="95250" cy="95250"/>
            <wp:effectExtent l="0" t="0" r="0" b="0"/>
            <wp:docPr id="773" name="Image 773"/>
            <wp:cNvGraphicFramePr>
              <a:graphicFrameLocks/>
            </wp:cNvGraphicFramePr>
            <a:graphic>
              <a:graphicData uri="http://schemas.openxmlformats.org/drawingml/2006/picture">
                <pic:pic>
                  <pic:nvPicPr>
                    <pic:cNvPr id="773" name="Image 773"/>
                    <pic:cNvPicPr/>
                  </pic:nvPicPr>
                  <pic:blipFill>
                    <a:blip r:embed="rId58"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Situation Event </w:t>
      </w:r>
      <w:r>
        <w:rPr>
          <w:color w:val="231F20"/>
        </w:rPr>
        <w:t>Console </w:t>
      </w:r>
      <w:r>
        <w:rPr>
          <w:color w:val="231F20"/>
          <w:position w:val="-1"/>
        </w:rPr>
        <w:drawing>
          <wp:inline distT="0" distB="0" distL="0" distR="0">
            <wp:extent cx="95250" cy="101600"/>
            <wp:effectExtent l="0" t="0" r="0" b="0"/>
            <wp:docPr id="774" name="Image 774"/>
            <wp:cNvGraphicFramePr>
              <a:graphicFrameLocks/>
            </wp:cNvGraphicFramePr>
            <a:graphic>
              <a:graphicData uri="http://schemas.openxmlformats.org/drawingml/2006/picture">
                <pic:pic>
                  <pic:nvPicPr>
                    <pic:cNvPr id="774" name="Image 774"/>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Query</w:t>
      </w:r>
    </w:p>
    <w:p>
      <w:pPr>
        <w:pStyle w:val="BodyText"/>
        <w:spacing w:line="213" w:lineRule="auto"/>
        <w:ind w:left="3689" w:right="5128" w:firstLine="10"/>
      </w:pPr>
      <w:r>
        <w:rPr>
          <w:position w:val="-1"/>
        </w:rPr>
        <w:drawing>
          <wp:inline distT="0" distB="0" distL="0" distR="0">
            <wp:extent cx="95250" cy="95250"/>
            <wp:effectExtent l="0" t="0" r="0" b="0"/>
            <wp:docPr id="775" name="Image 775"/>
            <wp:cNvGraphicFramePr>
              <a:graphicFrameLocks/>
            </wp:cNvGraphicFramePr>
            <a:graphic>
              <a:graphicData uri="http://schemas.openxmlformats.org/drawingml/2006/picture">
                <pic:pic>
                  <pic:nvPicPr>
                    <pic:cNvPr id="775" name="Image 775"/>
                    <pic:cNvPicPr/>
                  </pic:nvPicPr>
                  <pic:blipFill>
                    <a:blip r:embed="rId139"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24"/>
        </w:rPr>
        <w:t> </w:t>
      </w:r>
      <w:r>
        <w:rPr>
          <w:color w:val="231F20"/>
        </w:rPr>
        <w:t>Workspace </w:t>
      </w:r>
      <w:r>
        <w:rPr>
          <w:color w:val="231F20"/>
          <w:position w:val="-1"/>
        </w:rPr>
        <w:drawing>
          <wp:inline distT="0" distB="0" distL="0" distR="0">
            <wp:extent cx="101600" cy="95250"/>
            <wp:effectExtent l="0" t="0" r="0" b="0"/>
            <wp:docPr id="776" name="Image 776"/>
            <wp:cNvGraphicFramePr>
              <a:graphicFrameLocks/>
            </wp:cNvGraphicFramePr>
            <a:graphic>
              <a:graphicData uri="http://schemas.openxmlformats.org/drawingml/2006/picture">
                <pic:pic>
                  <pic:nvPicPr>
                    <pic:cNvPr id="776" name="Image 776"/>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Node</w:t>
      </w:r>
    </w:p>
    <w:p>
      <w:pPr>
        <w:pStyle w:val="BodyText"/>
        <w:spacing w:line="213" w:lineRule="auto"/>
        <w:ind w:left="3689" w:right="5533"/>
      </w:pPr>
      <w:r>
        <w:rPr>
          <w:position w:val="-1"/>
        </w:rPr>
        <w:drawing>
          <wp:inline distT="0" distB="0" distL="0" distR="0">
            <wp:extent cx="101600" cy="95250"/>
            <wp:effectExtent l="0" t="0" r="0" b="0"/>
            <wp:docPr id="777" name="Image 777"/>
            <wp:cNvGraphicFramePr>
              <a:graphicFrameLocks/>
            </wp:cNvGraphicFramePr>
            <a:graphic>
              <a:graphicData uri="http://schemas.openxmlformats.org/drawingml/2006/picture">
                <pic:pic>
                  <pic:nvPicPr>
                    <pic:cNvPr id="777" name="Image 777"/>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27"/>
        </w:rPr>
        <w:t> </w:t>
      </w:r>
      <w:r>
        <w:rPr>
          <w:color w:val="231F20"/>
        </w:rPr>
        <w:t>System </w:t>
      </w:r>
      <w:r>
        <w:rPr>
          <w:color w:val="231F20"/>
          <w:position w:val="-1"/>
        </w:rPr>
        <w:drawing>
          <wp:inline distT="0" distB="0" distL="0" distR="0">
            <wp:extent cx="95250" cy="101600"/>
            <wp:effectExtent l="0" t="0" r="0" b="0"/>
            <wp:docPr id="778" name="Image 778"/>
            <wp:cNvGraphicFramePr>
              <a:graphicFrameLocks/>
            </wp:cNvGraphicFramePr>
            <a:graphic>
              <a:graphicData uri="http://schemas.openxmlformats.org/drawingml/2006/picture">
                <pic:pic>
                  <pic:nvPicPr>
                    <pic:cNvPr id="778" name="Image 77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Root</w:t>
      </w:r>
    </w:p>
    <w:p>
      <w:pPr>
        <w:pStyle w:val="BodyText"/>
        <w:spacing w:line="245" w:lineRule="exact"/>
        <w:ind w:left="3689"/>
      </w:pPr>
      <w:r>
        <w:rPr>
          <w:position w:val="-1"/>
        </w:rPr>
        <w:drawing>
          <wp:inline distT="0" distB="0" distL="0" distR="0">
            <wp:extent cx="95250" cy="101600"/>
            <wp:effectExtent l="0" t="0" r="0" b="0"/>
            <wp:docPr id="779" name="Image 779"/>
            <wp:cNvGraphicFramePr>
              <a:graphicFrameLocks/>
            </wp:cNvGraphicFramePr>
            <a:graphic>
              <a:graphicData uri="http://schemas.openxmlformats.org/drawingml/2006/picture">
                <pic:pic>
                  <pic:nvPicPr>
                    <pic:cNvPr id="779" name="Image 779"/>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80"/>
        </w:rPr>
        <w:t> </w:t>
      </w:r>
      <w:r>
        <w:rPr>
          <w:color w:val="231F20"/>
        </w:rPr>
        <w:t>Global Symbols</w:t>
      </w:r>
    </w:p>
    <w:p>
      <w:pPr>
        <w:pStyle w:val="BodyText"/>
        <w:spacing w:line="213" w:lineRule="auto" w:before="228"/>
        <w:ind w:left="2472" w:right="392"/>
        <w:jc w:val="both"/>
      </w:pPr>
      <w:r>
        <w:rPr>
          <w:color w:val="231F20"/>
        </w:rPr>
        <w:t>When you cannot find a symbol for the managed system, consider using </w:t>
      </w:r>
      <w:r>
        <w:rPr>
          <w:color w:val="231F20"/>
        </w:rPr>
        <w:t>another identifier. In the example here, the link source is a Navigator item and the target filter chosen is either the Hostname or IP address.</w:t>
      </w:r>
    </w:p>
    <w:p>
      <w:pPr>
        <w:pStyle w:val="BodyText"/>
        <w:rPr>
          <w:sz w:val="15"/>
        </w:rPr>
      </w:pPr>
    </w:p>
    <w:p>
      <w:pPr>
        <w:spacing w:after="0"/>
        <w:rPr>
          <w:sz w:val="15"/>
        </w:rPr>
        <w:sectPr>
          <w:pgSz w:w="12240" w:h="15840"/>
          <w:pgMar w:header="0" w:footer="736" w:top="1180" w:bottom="920" w:left="1000" w:right="1060"/>
        </w:sectPr>
      </w:pPr>
    </w:p>
    <w:p>
      <w:pPr>
        <w:spacing w:line="208" w:lineRule="exact" w:before="97"/>
        <w:ind w:left="2472" w:right="0" w:firstLine="0"/>
        <w:jc w:val="left"/>
        <w:rPr>
          <w:rFonts w:ascii="Book Antiqua"/>
          <w:b/>
          <w:sz w:val="18"/>
        </w:rPr>
      </w:pPr>
      <w:r>
        <w:rPr>
          <w:rFonts w:ascii="Book Antiqua"/>
          <w:b/>
          <w:color w:val="231F20"/>
          <w:spacing w:val="-2"/>
          <w:sz w:val="18"/>
        </w:rPr>
        <w:t>Target</w:t>
      </w:r>
      <w:r>
        <w:rPr>
          <w:rFonts w:ascii="Book Antiqua"/>
          <w:b/>
          <w:color w:val="231F20"/>
          <w:sz w:val="18"/>
        </w:rPr>
        <w:t> </w:t>
      </w:r>
      <w:r>
        <w:rPr>
          <w:rFonts w:ascii="Book Antiqua"/>
          <w:b/>
          <w:color w:val="231F20"/>
          <w:spacing w:val="-2"/>
          <w:sz w:val="18"/>
        </w:rPr>
        <w:t>Filter:</w:t>
      </w:r>
    </w:p>
    <w:p>
      <w:pPr>
        <w:spacing w:line="234" w:lineRule="exact" w:before="0"/>
        <w:ind w:left="3190" w:right="0" w:firstLine="0"/>
        <w:jc w:val="left"/>
        <w:rPr>
          <w:sz w:val="18"/>
        </w:rPr>
      </w:pPr>
      <w:r>
        <w:rPr>
          <w:color w:val="231F20"/>
          <w:spacing w:val="-2"/>
          <w:sz w:val="18"/>
        </w:rPr>
        <w:t>Hostname</w:t>
      </w:r>
    </w:p>
    <w:p>
      <w:pPr>
        <w:spacing w:line="208" w:lineRule="exact" w:before="116"/>
        <w:ind w:left="2472" w:right="0" w:firstLine="0"/>
        <w:jc w:val="left"/>
        <w:rPr>
          <w:rFonts w:ascii="Book Antiqua"/>
          <w:b/>
          <w:sz w:val="18"/>
        </w:rPr>
      </w:pPr>
      <w:r>
        <w:rPr>
          <w:rFonts w:ascii="Book Antiqua"/>
          <w:b/>
          <w:color w:val="231F20"/>
          <w:spacing w:val="-2"/>
          <w:sz w:val="18"/>
        </w:rPr>
        <w:t>Expression:</w:t>
      </w:r>
    </w:p>
    <w:p>
      <w:pPr>
        <w:spacing w:line="234" w:lineRule="exact" w:before="0"/>
        <w:ind w:left="0" w:right="1348" w:firstLine="0"/>
        <w:jc w:val="right"/>
        <w:rPr>
          <w:sz w:val="18"/>
        </w:rPr>
      </w:pPr>
      <w:r>
        <w:rPr>
          <w:color w:val="231F20"/>
          <w:spacing w:val="-2"/>
          <w:sz w:val="18"/>
        </w:rPr>
        <w:t>$NODE:-1022$</w:t>
      </w:r>
    </w:p>
    <w:p>
      <w:pPr>
        <w:spacing w:line="208" w:lineRule="exact" w:before="117"/>
        <w:ind w:left="2472" w:right="0" w:firstLine="0"/>
        <w:jc w:val="left"/>
        <w:rPr>
          <w:rFonts w:ascii="Book Antiqua"/>
          <w:b/>
          <w:sz w:val="18"/>
        </w:rPr>
      </w:pPr>
      <w:r>
        <w:rPr>
          <w:rFonts w:ascii="Book Antiqua"/>
          <w:b/>
          <w:color w:val="231F20"/>
          <w:spacing w:val="-2"/>
          <w:sz w:val="18"/>
        </w:rPr>
        <w:t>Symbol:</w:t>
      </w:r>
    </w:p>
    <w:p>
      <w:pPr>
        <w:spacing w:line="234" w:lineRule="exact" w:before="0"/>
        <w:ind w:left="3190" w:right="0" w:firstLine="0"/>
        <w:jc w:val="left"/>
        <w:rPr>
          <w:sz w:val="18"/>
        </w:rPr>
      </w:pPr>
      <w:r>
        <w:rPr>
          <w:position w:val="-3"/>
        </w:rPr>
        <w:drawing>
          <wp:inline distT="0" distB="0" distL="0" distR="0">
            <wp:extent cx="101600" cy="95250"/>
            <wp:effectExtent l="0" t="0" r="0" b="0"/>
            <wp:docPr id="780" name="Image 780"/>
            <wp:cNvGraphicFramePr>
              <a:graphicFrameLocks/>
            </wp:cNvGraphicFramePr>
            <a:graphic>
              <a:graphicData uri="http://schemas.openxmlformats.org/drawingml/2006/picture">
                <pic:pic>
                  <pic:nvPicPr>
                    <pic:cNvPr id="780" name="Image 780"/>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Values</w:t>
      </w:r>
    </w:p>
    <w:p>
      <w:pPr>
        <w:spacing w:before="96"/>
        <w:ind w:left="3639" w:right="0" w:firstLine="0"/>
        <w:jc w:val="left"/>
        <w:rPr>
          <w:sz w:val="18"/>
        </w:rPr>
      </w:pPr>
      <w:r>
        <w:rPr>
          <w:position w:val="-3"/>
        </w:rPr>
        <w:drawing>
          <wp:inline distT="0" distB="0" distL="0" distR="0">
            <wp:extent cx="101600" cy="95250"/>
            <wp:effectExtent l="0" t="0" r="0" b="0"/>
            <wp:docPr id="781" name="Image 781"/>
            <wp:cNvGraphicFramePr>
              <a:graphicFrameLocks/>
            </wp:cNvGraphicFramePr>
            <a:graphic>
              <a:graphicData uri="http://schemas.openxmlformats.org/drawingml/2006/picture">
                <pic:pic>
                  <pic:nvPicPr>
                    <pic:cNvPr id="781" name="Image 781"/>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Link</w:t>
      </w:r>
    </w:p>
    <w:p>
      <w:pPr>
        <w:spacing w:line="216" w:lineRule="auto" w:before="177"/>
        <w:ind w:left="4088" w:right="562" w:hanging="449"/>
        <w:jc w:val="left"/>
        <w:rPr>
          <w:sz w:val="18"/>
        </w:rPr>
      </w:pPr>
      <w:r>
        <w:rPr/>
        <w:drawing>
          <wp:inline distT="0" distB="0" distL="0" distR="0">
            <wp:extent cx="127000" cy="127000"/>
            <wp:effectExtent l="0" t="0" r="0" b="0"/>
            <wp:docPr id="782" name="Image 782"/>
            <wp:cNvGraphicFramePr>
              <a:graphicFrameLocks/>
            </wp:cNvGraphicFramePr>
            <a:graphic>
              <a:graphicData uri="http://schemas.openxmlformats.org/drawingml/2006/picture">
                <pic:pic>
                  <pic:nvPicPr>
                    <pic:cNvPr id="782" name="Image 782"/>
                    <pic:cNvPicPr/>
                  </pic:nvPicPr>
                  <pic:blipFill>
                    <a:blip r:embed="rId185" cstate="print"/>
                    <a:stretch>
                      <a:fillRect/>
                    </a:stretch>
                  </pic:blipFill>
                  <pic:spPr>
                    <a:xfrm>
                      <a:off x="0" y="0"/>
                      <a:ext cx="127000" cy="127000"/>
                    </a:xfrm>
                    <a:prstGeom prst="rect">
                      <a:avLst/>
                    </a:prstGeom>
                  </pic:spPr>
                </pic:pic>
              </a:graphicData>
            </a:graphic>
          </wp:inline>
        </w:drawing>
      </w:r>
      <w:r>
        <w:rPr/>
      </w:r>
      <w:r>
        <w:rPr>
          <w:rFonts w:ascii="Times New Roman"/>
          <w:spacing w:val="27"/>
          <w:position w:val="2"/>
          <w:sz w:val="20"/>
        </w:rPr>
        <w:t> </w:t>
      </w:r>
      <w:r>
        <w:rPr>
          <w:color w:val="231F20"/>
          <w:position w:val="2"/>
          <w:sz w:val="18"/>
        </w:rPr>
        <w:t>Tree</w:t>
      </w:r>
      <w:r>
        <w:rPr>
          <w:color w:val="231F20"/>
          <w:spacing w:val="-1"/>
          <w:position w:val="2"/>
          <w:sz w:val="18"/>
        </w:rPr>
        <w:t> </w:t>
      </w:r>
      <w:r>
        <w:rPr>
          <w:color w:val="231F20"/>
          <w:position w:val="2"/>
          <w:sz w:val="18"/>
        </w:rPr>
        <w:t>-</w:t>
      </w:r>
      <w:r>
        <w:rPr>
          <w:color w:val="231F20"/>
          <w:spacing w:val="-1"/>
          <w:position w:val="2"/>
          <w:sz w:val="18"/>
        </w:rPr>
        <w:t> </w:t>
      </w:r>
      <w:r>
        <w:rPr>
          <w:color w:val="231F20"/>
          <w:position w:val="2"/>
          <w:sz w:val="18"/>
        </w:rPr>
        <w:t>Physical </w:t>
      </w:r>
      <w:r>
        <w:rPr>
          <w:color w:val="231F20"/>
          <w:sz w:val="18"/>
        </w:rPr>
        <w:drawing>
          <wp:inline distT="0" distB="0" distL="0" distR="0">
            <wp:extent cx="63500" cy="63500"/>
            <wp:effectExtent l="0" t="0" r="0" b="0"/>
            <wp:docPr id="783" name="Image 783"/>
            <wp:cNvGraphicFramePr>
              <a:graphicFrameLocks/>
            </wp:cNvGraphicFramePr>
            <a:graphic>
              <a:graphicData uri="http://schemas.openxmlformats.org/drawingml/2006/picture">
                <pic:pic>
                  <pic:nvPicPr>
                    <pic:cNvPr id="783" name="Image 783"/>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Id</w:t>
      </w:r>
    </w:p>
    <w:p>
      <w:pPr>
        <w:spacing w:line="216" w:lineRule="auto" w:before="0"/>
        <w:ind w:left="4088" w:right="905" w:firstLine="0"/>
        <w:jc w:val="left"/>
        <w:rPr>
          <w:sz w:val="18"/>
        </w:rPr>
      </w:pPr>
      <w:r>
        <w:rPr/>
        <w:drawing>
          <wp:inline distT="0" distB="0" distL="0" distR="0">
            <wp:extent cx="63500" cy="63500"/>
            <wp:effectExtent l="0" t="0" r="0" b="0"/>
            <wp:docPr id="784" name="Image 784"/>
            <wp:cNvGraphicFramePr>
              <a:graphicFrameLocks/>
            </wp:cNvGraphicFramePr>
            <a:graphic>
              <a:graphicData uri="http://schemas.openxmlformats.org/drawingml/2006/picture">
                <pic:pic>
                  <pic:nvPicPr>
                    <pic:cNvPr id="784" name="Image 784"/>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17"/>
          <w:sz w:val="20"/>
        </w:rPr>
        <w:t> </w:t>
      </w:r>
      <w:r>
        <w:rPr>
          <w:color w:val="231F20"/>
          <w:sz w:val="18"/>
        </w:rPr>
        <w:t>Name </w:t>
      </w:r>
      <w:r>
        <w:rPr>
          <w:color w:val="231F20"/>
          <w:sz w:val="18"/>
        </w:rPr>
        <w:drawing>
          <wp:inline distT="0" distB="0" distL="0" distR="0">
            <wp:extent cx="63500" cy="63500"/>
            <wp:effectExtent l="0" t="0" r="0" b="0"/>
            <wp:docPr id="785" name="Image 785"/>
            <wp:cNvGraphicFramePr>
              <a:graphicFrameLocks/>
            </wp:cNvGraphicFramePr>
            <a:graphic>
              <a:graphicData uri="http://schemas.openxmlformats.org/drawingml/2006/picture">
                <pic:pic>
                  <pic:nvPicPr>
                    <pic:cNvPr id="785" name="Image 785"/>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Type</w:t>
      </w:r>
    </w:p>
    <w:p>
      <w:pPr>
        <w:spacing w:before="103"/>
        <w:ind w:left="3649" w:right="0" w:firstLine="0"/>
        <w:jc w:val="left"/>
        <w:rPr>
          <w:sz w:val="18"/>
        </w:rPr>
      </w:pPr>
      <w:r>
        <w:rPr>
          <w:position w:val="-3"/>
        </w:rPr>
        <w:drawing>
          <wp:inline distT="0" distB="0" distL="0" distR="0">
            <wp:extent cx="95250" cy="101600"/>
            <wp:effectExtent l="0" t="0" r="0" b="0"/>
            <wp:docPr id="786" name="Image 786"/>
            <wp:cNvGraphicFramePr>
              <a:graphicFrameLocks/>
            </wp:cNvGraphicFramePr>
            <a:graphic>
              <a:graphicData uri="http://schemas.openxmlformats.org/drawingml/2006/picture">
                <pic:pic>
                  <pic:nvPicPr>
                    <pic:cNvPr id="786" name="Image 786"/>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Query</w:t>
      </w:r>
    </w:p>
    <w:p>
      <w:pPr>
        <w:spacing w:before="96"/>
        <w:ind w:left="3649" w:right="0" w:firstLine="0"/>
        <w:jc w:val="left"/>
        <w:rPr>
          <w:sz w:val="18"/>
        </w:rPr>
      </w:pPr>
      <w:r>
        <w:rPr>
          <w:position w:val="-3"/>
        </w:rPr>
        <w:drawing>
          <wp:inline distT="0" distB="0" distL="0" distR="0">
            <wp:extent cx="95250" cy="95250"/>
            <wp:effectExtent l="0" t="0" r="0" b="0"/>
            <wp:docPr id="787" name="Image 787"/>
            <wp:cNvGraphicFramePr>
              <a:graphicFrameLocks/>
            </wp:cNvGraphicFramePr>
            <a:graphic>
              <a:graphicData uri="http://schemas.openxmlformats.org/drawingml/2006/picture">
                <pic:pic>
                  <pic:nvPicPr>
                    <pic:cNvPr id="787" name="Image 787"/>
                    <pic:cNvPicPr/>
                  </pic:nvPicPr>
                  <pic:blipFill>
                    <a:blip r:embed="rId13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Workspace</w:t>
      </w:r>
    </w:p>
    <w:p>
      <w:pPr>
        <w:spacing w:line="331" w:lineRule="auto" w:before="156"/>
        <w:ind w:left="3649" w:right="562" w:hanging="10"/>
        <w:jc w:val="left"/>
        <w:rPr>
          <w:sz w:val="18"/>
        </w:rPr>
      </w:pPr>
      <w:r>
        <w:rPr/>
        <w:drawing>
          <wp:inline distT="0" distB="0" distL="0" distR="0">
            <wp:extent cx="127000" cy="127000"/>
            <wp:effectExtent l="0" t="0" r="0" b="0"/>
            <wp:docPr id="788" name="Image 788"/>
            <wp:cNvGraphicFramePr>
              <a:graphicFrameLocks/>
            </wp:cNvGraphicFramePr>
            <a:graphic>
              <a:graphicData uri="http://schemas.openxmlformats.org/drawingml/2006/picture">
                <pic:pic>
                  <pic:nvPicPr>
                    <pic:cNvPr id="788" name="Image 788"/>
                    <pic:cNvPicPr/>
                  </pic:nvPicPr>
                  <pic:blipFill>
                    <a:blip r:embed="rId185" cstate="print"/>
                    <a:stretch>
                      <a:fillRect/>
                    </a:stretch>
                  </pic:blipFill>
                  <pic:spPr>
                    <a:xfrm>
                      <a:off x="0" y="0"/>
                      <a:ext cx="127000" cy="127000"/>
                    </a:xfrm>
                    <a:prstGeom prst="rect">
                      <a:avLst/>
                    </a:prstGeom>
                  </pic:spPr>
                </pic:pic>
              </a:graphicData>
            </a:graphic>
          </wp:inline>
        </w:drawing>
      </w:r>
      <w:r>
        <w:rPr/>
      </w:r>
      <w:r>
        <w:rPr>
          <w:rFonts w:ascii="Times New Roman"/>
          <w:spacing w:val="27"/>
          <w:position w:val="2"/>
          <w:sz w:val="20"/>
        </w:rPr>
        <w:t> </w:t>
      </w:r>
      <w:r>
        <w:rPr>
          <w:color w:val="231F20"/>
          <w:position w:val="2"/>
          <w:sz w:val="18"/>
        </w:rPr>
        <w:t>Tree</w:t>
      </w:r>
      <w:r>
        <w:rPr>
          <w:color w:val="231F20"/>
          <w:spacing w:val="-1"/>
          <w:position w:val="2"/>
          <w:sz w:val="18"/>
        </w:rPr>
        <w:t> </w:t>
      </w:r>
      <w:r>
        <w:rPr>
          <w:color w:val="231F20"/>
          <w:position w:val="2"/>
          <w:sz w:val="18"/>
        </w:rPr>
        <w:t>-</w:t>
      </w:r>
      <w:r>
        <w:rPr>
          <w:color w:val="231F20"/>
          <w:spacing w:val="-1"/>
          <w:position w:val="2"/>
          <w:sz w:val="18"/>
        </w:rPr>
        <w:t> </w:t>
      </w:r>
      <w:r>
        <w:rPr>
          <w:color w:val="231F20"/>
          <w:position w:val="2"/>
          <w:sz w:val="18"/>
        </w:rPr>
        <w:t>Physical </w:t>
      </w:r>
      <w:r>
        <w:rPr>
          <w:color w:val="231F20"/>
          <w:position w:val="-3"/>
          <w:sz w:val="18"/>
        </w:rPr>
        <w:drawing>
          <wp:inline distT="0" distB="0" distL="0" distR="0">
            <wp:extent cx="95250" cy="101600"/>
            <wp:effectExtent l="0" t="0" r="0" b="0"/>
            <wp:docPr id="789" name="Image 789"/>
            <wp:cNvGraphicFramePr>
              <a:graphicFrameLocks/>
            </wp:cNvGraphicFramePr>
            <a:graphic>
              <a:graphicData uri="http://schemas.openxmlformats.org/drawingml/2006/picture">
                <pic:pic>
                  <pic:nvPicPr>
                    <pic:cNvPr id="789" name="Image 78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position w:val="-3"/>
          <w:sz w:val="18"/>
        </w:rPr>
      </w:r>
      <w:r>
        <w:rPr>
          <w:rFonts w:ascii="Times New Roman"/>
          <w:color w:val="231F20"/>
          <w:spacing w:val="40"/>
          <w:sz w:val="18"/>
        </w:rPr>
        <w:t> </w:t>
      </w:r>
      <w:r>
        <w:rPr>
          <w:color w:val="231F20"/>
          <w:sz w:val="18"/>
        </w:rPr>
        <w:t>Query</w:t>
      </w:r>
    </w:p>
    <w:p>
      <w:pPr>
        <w:spacing w:before="9"/>
        <w:ind w:left="3649" w:right="0" w:firstLine="0"/>
        <w:jc w:val="left"/>
        <w:rPr>
          <w:sz w:val="18"/>
        </w:rPr>
      </w:pPr>
      <w:r>
        <w:rPr>
          <w:position w:val="-3"/>
        </w:rPr>
        <w:drawing>
          <wp:inline distT="0" distB="0" distL="0" distR="0">
            <wp:extent cx="95250" cy="95250"/>
            <wp:effectExtent l="0" t="0" r="0" b="0"/>
            <wp:docPr id="790" name="Image 790"/>
            <wp:cNvGraphicFramePr>
              <a:graphicFrameLocks/>
            </wp:cNvGraphicFramePr>
            <a:graphic>
              <a:graphicData uri="http://schemas.openxmlformats.org/drawingml/2006/picture">
                <pic:pic>
                  <pic:nvPicPr>
                    <pic:cNvPr id="790" name="Image 790"/>
                    <pic:cNvPicPr/>
                  </pic:nvPicPr>
                  <pic:blipFill>
                    <a:blip r:embed="rId13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Workspace</w:t>
      </w:r>
    </w:p>
    <w:p>
      <w:pPr>
        <w:spacing w:line="231" w:lineRule="exact" w:before="96"/>
        <w:ind w:left="3639" w:right="0" w:firstLine="0"/>
        <w:jc w:val="left"/>
        <w:rPr>
          <w:sz w:val="18"/>
        </w:rPr>
      </w:pPr>
      <w:r>
        <w:rPr>
          <w:position w:val="-3"/>
        </w:rPr>
        <w:drawing>
          <wp:inline distT="0" distB="0" distL="0" distR="0">
            <wp:extent cx="101600" cy="95250"/>
            <wp:effectExtent l="0" t="0" r="0" b="0"/>
            <wp:docPr id="791" name="Image 791"/>
            <wp:cNvGraphicFramePr>
              <a:graphicFrameLocks/>
            </wp:cNvGraphicFramePr>
            <a:graphic>
              <a:graphicData uri="http://schemas.openxmlformats.org/drawingml/2006/picture">
                <pic:pic>
                  <pic:nvPicPr>
                    <pic:cNvPr id="791" name="Image 791"/>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Node</w:t>
      </w:r>
    </w:p>
    <w:p>
      <w:pPr>
        <w:spacing w:line="220" w:lineRule="exact" w:before="0"/>
        <w:ind w:left="0" w:right="1258" w:firstLine="0"/>
        <w:jc w:val="right"/>
        <w:rPr>
          <w:sz w:val="18"/>
        </w:rPr>
      </w:pPr>
      <w:r>
        <w:rPr/>
        <w:drawing>
          <wp:inline distT="0" distB="0" distL="0" distR="0">
            <wp:extent cx="63500" cy="63500"/>
            <wp:effectExtent l="0" t="0" r="0" b="0"/>
            <wp:docPr id="792" name="Image 792"/>
            <wp:cNvGraphicFramePr>
              <a:graphicFrameLocks/>
            </wp:cNvGraphicFramePr>
            <a:graphic>
              <a:graphicData uri="http://schemas.openxmlformats.org/drawingml/2006/picture">
                <pic:pic>
                  <pic:nvPicPr>
                    <pic:cNvPr id="792" name="Image 792"/>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Id</w:t>
      </w:r>
    </w:p>
    <w:p>
      <w:pPr>
        <w:spacing w:line="220" w:lineRule="exact" w:before="0"/>
        <w:ind w:left="4088" w:right="0" w:firstLine="0"/>
        <w:jc w:val="left"/>
        <w:rPr>
          <w:sz w:val="18"/>
        </w:rPr>
      </w:pPr>
      <w:r>
        <w:rPr/>
        <w:drawing>
          <wp:inline distT="0" distB="0" distL="0" distR="0">
            <wp:extent cx="63500" cy="63500"/>
            <wp:effectExtent l="0" t="0" r="0" b="0"/>
            <wp:docPr id="793" name="Image 793"/>
            <wp:cNvGraphicFramePr>
              <a:graphicFrameLocks/>
            </wp:cNvGraphicFramePr>
            <a:graphic>
              <a:graphicData uri="http://schemas.openxmlformats.org/drawingml/2006/picture">
                <pic:pic>
                  <pic:nvPicPr>
                    <pic:cNvPr id="793" name="Image 793"/>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Name</w:t>
      </w:r>
    </w:p>
    <w:p>
      <w:pPr>
        <w:spacing w:line="216" w:lineRule="auto" w:before="7"/>
        <w:ind w:left="4088" w:right="0" w:firstLine="0"/>
        <w:jc w:val="left"/>
        <w:rPr>
          <w:sz w:val="18"/>
        </w:rPr>
      </w:pPr>
      <w:r>
        <w:rPr/>
        <w:drawing>
          <wp:inline distT="0" distB="0" distL="0" distR="0">
            <wp:extent cx="63500" cy="63500"/>
            <wp:effectExtent l="0" t="0" r="0" b="0"/>
            <wp:docPr id="794" name="Image 794"/>
            <wp:cNvGraphicFramePr>
              <a:graphicFrameLocks/>
            </wp:cNvGraphicFramePr>
            <a:graphic>
              <a:graphicData uri="http://schemas.openxmlformats.org/drawingml/2006/picture">
                <pic:pic>
                  <pic:nvPicPr>
                    <pic:cNvPr id="794" name="Image 794"/>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24"/>
          <w:sz w:val="20"/>
        </w:rPr>
        <w:t> </w:t>
      </w:r>
      <w:r>
        <w:rPr>
          <w:color w:val="231F20"/>
          <w:sz w:val="18"/>
        </w:rPr>
        <w:t>Network</w:t>
      </w:r>
      <w:r>
        <w:rPr>
          <w:color w:val="231F20"/>
          <w:spacing w:val="-7"/>
          <w:sz w:val="18"/>
        </w:rPr>
        <w:t> </w:t>
      </w:r>
      <w:r>
        <w:rPr>
          <w:color w:val="231F20"/>
          <w:sz w:val="18"/>
        </w:rPr>
        <w:t>Address </w:t>
      </w:r>
      <w:r>
        <w:rPr>
          <w:color w:val="231F20"/>
          <w:sz w:val="18"/>
        </w:rPr>
        <w:drawing>
          <wp:inline distT="0" distB="0" distL="0" distR="0">
            <wp:extent cx="63500" cy="63500"/>
            <wp:effectExtent l="0" t="0" r="0" b="0"/>
            <wp:docPr id="795" name="Image 795"/>
            <wp:cNvGraphicFramePr>
              <a:graphicFrameLocks/>
            </wp:cNvGraphicFramePr>
            <a:graphic>
              <a:graphicData uri="http://schemas.openxmlformats.org/drawingml/2006/picture">
                <pic:pic>
                  <pic:nvPicPr>
                    <pic:cNvPr id="795" name="Image 795"/>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Type</w:t>
      </w:r>
    </w:p>
    <w:p>
      <w:pPr>
        <w:spacing w:line="336" w:lineRule="auto" w:before="103"/>
        <w:ind w:left="3639" w:right="1154" w:firstLine="0"/>
        <w:jc w:val="left"/>
        <w:rPr>
          <w:sz w:val="18"/>
        </w:rPr>
      </w:pPr>
      <w:r>
        <w:rPr>
          <w:position w:val="-3"/>
        </w:rPr>
        <w:drawing>
          <wp:inline distT="0" distB="0" distL="0" distR="0">
            <wp:extent cx="101600" cy="95250"/>
            <wp:effectExtent l="0" t="0" r="0" b="0"/>
            <wp:docPr id="796" name="Image 796"/>
            <wp:cNvGraphicFramePr>
              <a:graphicFrameLocks/>
            </wp:cNvGraphicFramePr>
            <a:graphic>
              <a:graphicData uri="http://schemas.openxmlformats.org/drawingml/2006/picture">
                <pic:pic>
                  <pic:nvPicPr>
                    <pic:cNvPr id="796" name="Image 796"/>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17"/>
          <w:sz w:val="20"/>
        </w:rPr>
        <w:t> </w:t>
      </w:r>
      <w:r>
        <w:rPr>
          <w:color w:val="231F20"/>
          <w:sz w:val="18"/>
        </w:rPr>
        <w:t>System </w:t>
      </w:r>
      <w:r>
        <w:rPr>
          <w:color w:val="231F20"/>
          <w:position w:val="-3"/>
          <w:sz w:val="18"/>
        </w:rPr>
        <w:drawing>
          <wp:inline distT="0" distB="0" distL="0" distR="0">
            <wp:extent cx="95250" cy="101600"/>
            <wp:effectExtent l="0" t="0" r="0" b="0"/>
            <wp:docPr id="797" name="Image 797"/>
            <wp:cNvGraphicFramePr>
              <a:graphicFrameLocks/>
            </wp:cNvGraphicFramePr>
            <a:graphic>
              <a:graphicData uri="http://schemas.openxmlformats.org/drawingml/2006/picture">
                <pic:pic>
                  <pic:nvPicPr>
                    <pic:cNvPr id="797" name="Image 797"/>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position w:val="-3"/>
          <w:sz w:val="18"/>
        </w:rPr>
      </w:r>
      <w:r>
        <w:rPr>
          <w:rFonts w:ascii="Times New Roman"/>
          <w:color w:val="231F20"/>
          <w:spacing w:val="40"/>
          <w:sz w:val="18"/>
        </w:rPr>
        <w:t> </w:t>
      </w:r>
      <w:r>
        <w:rPr>
          <w:color w:val="231F20"/>
          <w:sz w:val="18"/>
        </w:rPr>
        <w:t>Root</w:t>
      </w:r>
    </w:p>
    <w:p>
      <w:pPr>
        <w:spacing w:line="241" w:lineRule="exact" w:before="0"/>
        <w:ind w:left="3639" w:right="0" w:firstLine="0"/>
        <w:jc w:val="left"/>
        <w:rPr>
          <w:sz w:val="18"/>
        </w:rPr>
      </w:pPr>
      <w:r>
        <w:rPr>
          <w:position w:val="-3"/>
        </w:rPr>
        <w:drawing>
          <wp:inline distT="0" distB="0" distL="0" distR="0">
            <wp:extent cx="95250" cy="101600"/>
            <wp:effectExtent l="0" t="0" r="0" b="0"/>
            <wp:docPr id="798" name="Image 798"/>
            <wp:cNvGraphicFramePr>
              <a:graphicFrameLocks/>
            </wp:cNvGraphicFramePr>
            <a:graphic>
              <a:graphicData uri="http://schemas.openxmlformats.org/drawingml/2006/picture">
                <pic:pic>
                  <pic:nvPicPr>
                    <pic:cNvPr id="798" name="Image 798"/>
                    <pic:cNvPicPr/>
                  </pic:nvPicPr>
                  <pic:blipFill>
                    <a:blip r:embed="rId70"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Global Systems</w:t>
      </w:r>
    </w:p>
    <w:p>
      <w:pPr>
        <w:spacing w:line="208" w:lineRule="exact" w:before="97"/>
        <w:ind w:left="539" w:right="0" w:firstLine="0"/>
        <w:jc w:val="left"/>
        <w:rPr>
          <w:rFonts w:ascii="Book Antiqua"/>
          <w:b/>
          <w:sz w:val="18"/>
        </w:rPr>
      </w:pPr>
      <w:r>
        <w:rPr/>
        <w:br w:type="column"/>
      </w:r>
      <w:r>
        <w:rPr>
          <w:rFonts w:ascii="Book Antiqua"/>
          <w:b/>
          <w:color w:val="231F20"/>
          <w:spacing w:val="-2"/>
          <w:sz w:val="18"/>
        </w:rPr>
        <w:t>Target</w:t>
      </w:r>
      <w:r>
        <w:rPr>
          <w:rFonts w:ascii="Book Antiqua"/>
          <w:b/>
          <w:color w:val="231F20"/>
          <w:sz w:val="18"/>
        </w:rPr>
        <w:t> </w:t>
      </w:r>
      <w:r>
        <w:rPr>
          <w:rFonts w:ascii="Book Antiqua"/>
          <w:b/>
          <w:color w:val="231F20"/>
          <w:spacing w:val="-2"/>
          <w:sz w:val="18"/>
        </w:rPr>
        <w:t>Filter:</w:t>
      </w:r>
    </w:p>
    <w:p>
      <w:pPr>
        <w:spacing w:line="234" w:lineRule="exact" w:before="0"/>
        <w:ind w:left="0" w:right="1056" w:firstLine="0"/>
        <w:jc w:val="center"/>
        <w:rPr>
          <w:sz w:val="18"/>
        </w:rPr>
      </w:pPr>
      <w:r>
        <w:rPr>
          <w:color w:val="231F20"/>
          <w:sz w:val="18"/>
        </w:rPr>
        <w:t>IP</w:t>
      </w:r>
      <w:r>
        <w:rPr>
          <w:color w:val="231F20"/>
          <w:spacing w:val="9"/>
          <w:sz w:val="18"/>
        </w:rPr>
        <w:t> </w:t>
      </w:r>
      <w:r>
        <w:rPr>
          <w:color w:val="231F20"/>
          <w:spacing w:val="-2"/>
          <w:sz w:val="18"/>
        </w:rPr>
        <w:t>address</w:t>
      </w:r>
    </w:p>
    <w:p>
      <w:pPr>
        <w:spacing w:line="208" w:lineRule="exact" w:before="116"/>
        <w:ind w:left="539" w:right="0" w:firstLine="0"/>
        <w:jc w:val="left"/>
        <w:rPr>
          <w:rFonts w:ascii="Book Antiqua"/>
          <w:b/>
          <w:sz w:val="18"/>
        </w:rPr>
      </w:pPr>
      <w:r>
        <w:rPr>
          <w:rFonts w:ascii="Book Antiqua"/>
          <w:b/>
          <w:color w:val="231F20"/>
          <w:spacing w:val="-2"/>
          <w:sz w:val="18"/>
        </w:rPr>
        <w:t>Expression:</w:t>
      </w:r>
    </w:p>
    <w:p>
      <w:pPr>
        <w:spacing w:line="234" w:lineRule="exact" w:before="0"/>
        <w:ind w:left="0" w:right="1973" w:firstLine="0"/>
        <w:jc w:val="right"/>
        <w:rPr>
          <w:sz w:val="18"/>
        </w:rPr>
      </w:pPr>
      <w:r>
        <w:rPr>
          <w:color w:val="231F20"/>
          <w:spacing w:val="-2"/>
          <w:sz w:val="18"/>
        </w:rPr>
        <w:t>$NODE:-1022$</w:t>
      </w:r>
    </w:p>
    <w:p>
      <w:pPr>
        <w:spacing w:line="208" w:lineRule="exact" w:before="117"/>
        <w:ind w:left="539" w:right="0" w:firstLine="0"/>
        <w:jc w:val="left"/>
        <w:rPr>
          <w:rFonts w:ascii="Book Antiqua"/>
          <w:b/>
          <w:sz w:val="18"/>
        </w:rPr>
      </w:pPr>
      <w:r>
        <w:rPr>
          <w:rFonts w:ascii="Book Antiqua"/>
          <w:b/>
          <w:color w:val="231F20"/>
          <w:spacing w:val="-2"/>
          <w:sz w:val="18"/>
        </w:rPr>
        <w:t>Symbol:</w:t>
      </w:r>
    </w:p>
    <w:p>
      <w:pPr>
        <w:spacing w:line="234" w:lineRule="exact" w:before="0"/>
        <w:ind w:left="0" w:right="1107" w:firstLine="0"/>
        <w:jc w:val="center"/>
        <w:rPr>
          <w:sz w:val="18"/>
        </w:rPr>
      </w:pPr>
      <w:r>
        <w:rPr>
          <w:position w:val="-3"/>
        </w:rPr>
        <w:drawing>
          <wp:inline distT="0" distB="0" distL="0" distR="0">
            <wp:extent cx="101600" cy="95250"/>
            <wp:effectExtent l="0" t="0" r="0" b="0"/>
            <wp:docPr id="799" name="Image 799"/>
            <wp:cNvGraphicFramePr>
              <a:graphicFrameLocks/>
            </wp:cNvGraphicFramePr>
            <a:graphic>
              <a:graphicData uri="http://schemas.openxmlformats.org/drawingml/2006/picture">
                <pic:pic>
                  <pic:nvPicPr>
                    <pic:cNvPr id="799" name="Image 799"/>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Values</w:t>
      </w:r>
    </w:p>
    <w:p>
      <w:pPr>
        <w:spacing w:before="96"/>
        <w:ind w:left="1707" w:right="0" w:firstLine="0"/>
        <w:jc w:val="left"/>
        <w:rPr>
          <w:sz w:val="18"/>
        </w:rPr>
      </w:pPr>
      <w:r>
        <w:rPr>
          <w:position w:val="-3"/>
        </w:rPr>
        <w:drawing>
          <wp:inline distT="0" distB="0" distL="0" distR="0">
            <wp:extent cx="101600" cy="95250"/>
            <wp:effectExtent l="0" t="0" r="0" b="0"/>
            <wp:docPr id="800" name="Image 800"/>
            <wp:cNvGraphicFramePr>
              <a:graphicFrameLocks/>
            </wp:cNvGraphicFramePr>
            <a:graphic>
              <a:graphicData uri="http://schemas.openxmlformats.org/drawingml/2006/picture">
                <pic:pic>
                  <pic:nvPicPr>
                    <pic:cNvPr id="800" name="Image 800"/>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Link</w:t>
      </w:r>
    </w:p>
    <w:p>
      <w:pPr>
        <w:spacing w:line="216" w:lineRule="auto" w:before="177"/>
        <w:ind w:left="2156" w:right="1187" w:hanging="449"/>
        <w:jc w:val="left"/>
        <w:rPr>
          <w:sz w:val="18"/>
        </w:rPr>
      </w:pPr>
      <w:r>
        <w:rPr/>
        <w:drawing>
          <wp:inline distT="0" distB="0" distL="0" distR="0">
            <wp:extent cx="127000" cy="127000"/>
            <wp:effectExtent l="0" t="0" r="0" b="0"/>
            <wp:docPr id="801" name="Image 801"/>
            <wp:cNvGraphicFramePr>
              <a:graphicFrameLocks/>
            </wp:cNvGraphicFramePr>
            <a:graphic>
              <a:graphicData uri="http://schemas.openxmlformats.org/drawingml/2006/picture">
                <pic:pic>
                  <pic:nvPicPr>
                    <pic:cNvPr id="801" name="Image 801"/>
                    <pic:cNvPicPr/>
                  </pic:nvPicPr>
                  <pic:blipFill>
                    <a:blip r:embed="rId185" cstate="print"/>
                    <a:stretch>
                      <a:fillRect/>
                    </a:stretch>
                  </pic:blipFill>
                  <pic:spPr>
                    <a:xfrm>
                      <a:off x="0" y="0"/>
                      <a:ext cx="127000" cy="127000"/>
                    </a:xfrm>
                    <a:prstGeom prst="rect">
                      <a:avLst/>
                    </a:prstGeom>
                  </pic:spPr>
                </pic:pic>
              </a:graphicData>
            </a:graphic>
          </wp:inline>
        </w:drawing>
      </w:r>
      <w:r>
        <w:rPr/>
      </w:r>
      <w:r>
        <w:rPr>
          <w:rFonts w:ascii="Times New Roman"/>
          <w:spacing w:val="26"/>
          <w:position w:val="2"/>
          <w:sz w:val="20"/>
        </w:rPr>
        <w:t> </w:t>
      </w:r>
      <w:r>
        <w:rPr>
          <w:color w:val="231F20"/>
          <w:position w:val="2"/>
          <w:sz w:val="18"/>
        </w:rPr>
        <w:t>Tree</w:t>
      </w:r>
      <w:r>
        <w:rPr>
          <w:color w:val="231F20"/>
          <w:spacing w:val="-2"/>
          <w:position w:val="2"/>
          <w:sz w:val="18"/>
        </w:rPr>
        <w:t> </w:t>
      </w:r>
      <w:r>
        <w:rPr>
          <w:color w:val="231F20"/>
          <w:position w:val="2"/>
          <w:sz w:val="18"/>
        </w:rPr>
        <w:t>-</w:t>
      </w:r>
      <w:r>
        <w:rPr>
          <w:color w:val="231F20"/>
          <w:spacing w:val="-2"/>
          <w:position w:val="2"/>
          <w:sz w:val="18"/>
        </w:rPr>
        <w:t> </w:t>
      </w:r>
      <w:r>
        <w:rPr>
          <w:color w:val="231F20"/>
          <w:position w:val="2"/>
          <w:sz w:val="18"/>
        </w:rPr>
        <w:t>Physical </w:t>
      </w:r>
      <w:r>
        <w:rPr>
          <w:color w:val="231F20"/>
          <w:sz w:val="18"/>
        </w:rPr>
        <w:drawing>
          <wp:inline distT="0" distB="0" distL="0" distR="0">
            <wp:extent cx="63500" cy="63500"/>
            <wp:effectExtent l="0" t="0" r="0" b="0"/>
            <wp:docPr id="802" name="Image 802"/>
            <wp:cNvGraphicFramePr>
              <a:graphicFrameLocks/>
            </wp:cNvGraphicFramePr>
            <a:graphic>
              <a:graphicData uri="http://schemas.openxmlformats.org/drawingml/2006/picture">
                <pic:pic>
                  <pic:nvPicPr>
                    <pic:cNvPr id="802" name="Image 802"/>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Id</w:t>
      </w:r>
    </w:p>
    <w:p>
      <w:pPr>
        <w:spacing w:line="216" w:lineRule="auto" w:before="0"/>
        <w:ind w:left="2156" w:right="1527" w:firstLine="0"/>
        <w:jc w:val="left"/>
        <w:rPr>
          <w:sz w:val="18"/>
        </w:rPr>
      </w:pPr>
      <w:r>
        <w:rPr/>
        <w:drawing>
          <wp:inline distT="0" distB="0" distL="0" distR="0">
            <wp:extent cx="63500" cy="63500"/>
            <wp:effectExtent l="0" t="0" r="0" b="0"/>
            <wp:docPr id="803" name="Image 803"/>
            <wp:cNvGraphicFramePr>
              <a:graphicFrameLocks/>
            </wp:cNvGraphicFramePr>
            <a:graphic>
              <a:graphicData uri="http://schemas.openxmlformats.org/drawingml/2006/picture">
                <pic:pic>
                  <pic:nvPicPr>
                    <pic:cNvPr id="803" name="Image 803"/>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17"/>
          <w:sz w:val="20"/>
        </w:rPr>
        <w:t> </w:t>
      </w:r>
      <w:r>
        <w:rPr>
          <w:color w:val="231F20"/>
          <w:sz w:val="18"/>
        </w:rPr>
        <w:t>Name </w:t>
      </w:r>
      <w:r>
        <w:rPr>
          <w:color w:val="231F20"/>
          <w:sz w:val="18"/>
        </w:rPr>
        <w:drawing>
          <wp:inline distT="0" distB="0" distL="0" distR="0">
            <wp:extent cx="63500" cy="63500"/>
            <wp:effectExtent l="0" t="0" r="0" b="0"/>
            <wp:docPr id="804" name="Image 804"/>
            <wp:cNvGraphicFramePr>
              <a:graphicFrameLocks/>
            </wp:cNvGraphicFramePr>
            <a:graphic>
              <a:graphicData uri="http://schemas.openxmlformats.org/drawingml/2006/picture">
                <pic:pic>
                  <pic:nvPicPr>
                    <pic:cNvPr id="804" name="Image 804"/>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Type</w:t>
      </w:r>
    </w:p>
    <w:p>
      <w:pPr>
        <w:spacing w:before="103"/>
        <w:ind w:left="1717" w:right="0" w:firstLine="0"/>
        <w:jc w:val="left"/>
        <w:rPr>
          <w:sz w:val="18"/>
        </w:rPr>
      </w:pPr>
      <w:r>
        <w:rPr>
          <w:position w:val="-3"/>
        </w:rPr>
        <w:drawing>
          <wp:inline distT="0" distB="0" distL="0" distR="0">
            <wp:extent cx="95250" cy="101600"/>
            <wp:effectExtent l="0" t="0" r="0" b="0"/>
            <wp:docPr id="805" name="Image 805"/>
            <wp:cNvGraphicFramePr>
              <a:graphicFrameLocks/>
            </wp:cNvGraphicFramePr>
            <a:graphic>
              <a:graphicData uri="http://schemas.openxmlformats.org/drawingml/2006/picture">
                <pic:pic>
                  <pic:nvPicPr>
                    <pic:cNvPr id="805" name="Image 805"/>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Query</w:t>
      </w:r>
    </w:p>
    <w:p>
      <w:pPr>
        <w:spacing w:before="96"/>
        <w:ind w:left="1717" w:right="0" w:firstLine="0"/>
        <w:jc w:val="left"/>
        <w:rPr>
          <w:sz w:val="18"/>
        </w:rPr>
      </w:pPr>
      <w:r>
        <w:rPr>
          <w:position w:val="-3"/>
        </w:rPr>
        <w:drawing>
          <wp:inline distT="0" distB="0" distL="0" distR="0">
            <wp:extent cx="95250" cy="95250"/>
            <wp:effectExtent l="0" t="0" r="0" b="0"/>
            <wp:docPr id="806" name="Image 806"/>
            <wp:cNvGraphicFramePr>
              <a:graphicFrameLocks/>
            </wp:cNvGraphicFramePr>
            <a:graphic>
              <a:graphicData uri="http://schemas.openxmlformats.org/drawingml/2006/picture">
                <pic:pic>
                  <pic:nvPicPr>
                    <pic:cNvPr id="806" name="Image 806"/>
                    <pic:cNvPicPr/>
                  </pic:nvPicPr>
                  <pic:blipFill>
                    <a:blip r:embed="rId13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Workspace</w:t>
      </w:r>
    </w:p>
    <w:p>
      <w:pPr>
        <w:spacing w:line="331" w:lineRule="auto" w:before="156"/>
        <w:ind w:left="1717" w:right="1137" w:hanging="10"/>
        <w:jc w:val="left"/>
        <w:rPr>
          <w:sz w:val="18"/>
        </w:rPr>
      </w:pPr>
      <w:r>
        <w:rPr/>
        <w:drawing>
          <wp:inline distT="0" distB="0" distL="0" distR="0">
            <wp:extent cx="127000" cy="127000"/>
            <wp:effectExtent l="0" t="0" r="0" b="0"/>
            <wp:docPr id="807" name="Image 807"/>
            <wp:cNvGraphicFramePr>
              <a:graphicFrameLocks/>
            </wp:cNvGraphicFramePr>
            <a:graphic>
              <a:graphicData uri="http://schemas.openxmlformats.org/drawingml/2006/picture">
                <pic:pic>
                  <pic:nvPicPr>
                    <pic:cNvPr id="807" name="Image 807"/>
                    <pic:cNvPicPr/>
                  </pic:nvPicPr>
                  <pic:blipFill>
                    <a:blip r:embed="rId185" cstate="print"/>
                    <a:stretch>
                      <a:fillRect/>
                    </a:stretch>
                  </pic:blipFill>
                  <pic:spPr>
                    <a:xfrm>
                      <a:off x="0" y="0"/>
                      <a:ext cx="127000" cy="127000"/>
                    </a:xfrm>
                    <a:prstGeom prst="rect">
                      <a:avLst/>
                    </a:prstGeom>
                  </pic:spPr>
                </pic:pic>
              </a:graphicData>
            </a:graphic>
          </wp:inline>
        </w:drawing>
      </w:r>
      <w:r>
        <w:rPr/>
      </w:r>
      <w:r>
        <w:rPr>
          <w:rFonts w:ascii="Times New Roman"/>
          <w:spacing w:val="26"/>
          <w:position w:val="2"/>
          <w:sz w:val="20"/>
        </w:rPr>
        <w:t> </w:t>
      </w:r>
      <w:r>
        <w:rPr>
          <w:color w:val="231F20"/>
          <w:position w:val="2"/>
          <w:sz w:val="18"/>
        </w:rPr>
        <w:t>Tree</w:t>
      </w:r>
      <w:r>
        <w:rPr>
          <w:color w:val="231F20"/>
          <w:spacing w:val="-2"/>
          <w:position w:val="2"/>
          <w:sz w:val="18"/>
        </w:rPr>
        <w:t> </w:t>
      </w:r>
      <w:r>
        <w:rPr>
          <w:color w:val="231F20"/>
          <w:position w:val="2"/>
          <w:sz w:val="18"/>
        </w:rPr>
        <w:t>-</w:t>
      </w:r>
      <w:r>
        <w:rPr>
          <w:color w:val="231F20"/>
          <w:spacing w:val="-2"/>
          <w:position w:val="2"/>
          <w:sz w:val="18"/>
        </w:rPr>
        <w:t> </w:t>
      </w:r>
      <w:r>
        <w:rPr>
          <w:color w:val="231F20"/>
          <w:position w:val="2"/>
          <w:sz w:val="18"/>
        </w:rPr>
        <w:t>Physical </w:t>
      </w:r>
      <w:r>
        <w:rPr>
          <w:color w:val="231F20"/>
          <w:position w:val="-3"/>
          <w:sz w:val="18"/>
        </w:rPr>
        <w:drawing>
          <wp:inline distT="0" distB="0" distL="0" distR="0">
            <wp:extent cx="95250" cy="101600"/>
            <wp:effectExtent l="0" t="0" r="0" b="0"/>
            <wp:docPr id="808" name="Image 808"/>
            <wp:cNvGraphicFramePr>
              <a:graphicFrameLocks/>
            </wp:cNvGraphicFramePr>
            <a:graphic>
              <a:graphicData uri="http://schemas.openxmlformats.org/drawingml/2006/picture">
                <pic:pic>
                  <pic:nvPicPr>
                    <pic:cNvPr id="808" name="Image 808"/>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position w:val="-3"/>
          <w:sz w:val="18"/>
        </w:rPr>
      </w:r>
      <w:r>
        <w:rPr>
          <w:rFonts w:ascii="Times New Roman"/>
          <w:color w:val="231F20"/>
          <w:spacing w:val="40"/>
          <w:sz w:val="18"/>
        </w:rPr>
        <w:t> </w:t>
      </w:r>
      <w:r>
        <w:rPr>
          <w:color w:val="231F20"/>
          <w:sz w:val="18"/>
        </w:rPr>
        <w:t>Query</w:t>
      </w:r>
    </w:p>
    <w:p>
      <w:pPr>
        <w:spacing w:before="9"/>
        <w:ind w:left="1717" w:right="0" w:firstLine="0"/>
        <w:jc w:val="left"/>
        <w:rPr>
          <w:sz w:val="18"/>
        </w:rPr>
      </w:pPr>
      <w:r>
        <w:rPr>
          <w:position w:val="-3"/>
        </w:rPr>
        <w:drawing>
          <wp:inline distT="0" distB="0" distL="0" distR="0">
            <wp:extent cx="95250" cy="95250"/>
            <wp:effectExtent l="0" t="0" r="0" b="0"/>
            <wp:docPr id="809" name="Image 809"/>
            <wp:cNvGraphicFramePr>
              <a:graphicFrameLocks/>
            </wp:cNvGraphicFramePr>
            <a:graphic>
              <a:graphicData uri="http://schemas.openxmlformats.org/drawingml/2006/picture">
                <pic:pic>
                  <pic:nvPicPr>
                    <pic:cNvPr id="809" name="Image 809"/>
                    <pic:cNvPicPr/>
                  </pic:nvPicPr>
                  <pic:blipFill>
                    <a:blip r:embed="rId13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Workspace</w:t>
      </w:r>
    </w:p>
    <w:p>
      <w:pPr>
        <w:spacing w:line="231" w:lineRule="exact" w:before="96"/>
        <w:ind w:left="1707" w:right="0" w:firstLine="0"/>
        <w:jc w:val="left"/>
        <w:rPr>
          <w:sz w:val="18"/>
        </w:rPr>
      </w:pPr>
      <w:r>
        <w:rPr>
          <w:position w:val="-3"/>
        </w:rPr>
        <w:drawing>
          <wp:inline distT="0" distB="0" distL="0" distR="0">
            <wp:extent cx="101600" cy="95250"/>
            <wp:effectExtent l="0" t="0" r="0" b="0"/>
            <wp:docPr id="810" name="Image 810"/>
            <wp:cNvGraphicFramePr>
              <a:graphicFrameLocks/>
            </wp:cNvGraphicFramePr>
            <a:graphic>
              <a:graphicData uri="http://schemas.openxmlformats.org/drawingml/2006/picture">
                <pic:pic>
                  <pic:nvPicPr>
                    <pic:cNvPr id="810" name="Image 810"/>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color w:val="231F20"/>
          <w:sz w:val="18"/>
        </w:rPr>
        <w:t>Node</w:t>
      </w:r>
    </w:p>
    <w:p>
      <w:pPr>
        <w:spacing w:line="220" w:lineRule="exact" w:before="0"/>
        <w:ind w:left="0" w:right="1883" w:firstLine="0"/>
        <w:jc w:val="right"/>
        <w:rPr>
          <w:sz w:val="18"/>
        </w:rPr>
      </w:pPr>
      <w:r>
        <w:rPr/>
        <w:drawing>
          <wp:inline distT="0" distB="0" distL="0" distR="0">
            <wp:extent cx="63500" cy="63500"/>
            <wp:effectExtent l="0" t="0" r="0" b="0"/>
            <wp:docPr id="811" name="Image 811"/>
            <wp:cNvGraphicFramePr>
              <a:graphicFrameLocks/>
            </wp:cNvGraphicFramePr>
            <a:graphic>
              <a:graphicData uri="http://schemas.openxmlformats.org/drawingml/2006/picture">
                <pic:pic>
                  <pic:nvPicPr>
                    <pic:cNvPr id="811" name="Image 811"/>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Id</w:t>
      </w:r>
    </w:p>
    <w:p>
      <w:pPr>
        <w:spacing w:line="220" w:lineRule="exact" w:before="0"/>
        <w:ind w:left="2156" w:right="0" w:firstLine="0"/>
        <w:jc w:val="left"/>
        <w:rPr>
          <w:sz w:val="18"/>
        </w:rPr>
      </w:pPr>
      <w:r>
        <w:rPr/>
        <w:drawing>
          <wp:inline distT="0" distB="0" distL="0" distR="0">
            <wp:extent cx="63500" cy="63500"/>
            <wp:effectExtent l="0" t="0" r="0" b="0"/>
            <wp:docPr id="812" name="Image 812"/>
            <wp:cNvGraphicFramePr>
              <a:graphicFrameLocks/>
            </wp:cNvGraphicFramePr>
            <a:graphic>
              <a:graphicData uri="http://schemas.openxmlformats.org/drawingml/2006/picture">
                <pic:pic>
                  <pic:nvPicPr>
                    <pic:cNvPr id="812" name="Image 812"/>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Name</w:t>
      </w:r>
    </w:p>
    <w:p>
      <w:pPr>
        <w:spacing w:line="216" w:lineRule="auto" w:before="7"/>
        <w:ind w:left="2156" w:right="583" w:firstLine="0"/>
        <w:jc w:val="left"/>
        <w:rPr>
          <w:sz w:val="18"/>
        </w:rPr>
      </w:pPr>
      <w:r>
        <w:rPr/>
        <w:drawing>
          <wp:inline distT="0" distB="0" distL="0" distR="0">
            <wp:extent cx="63500" cy="63500"/>
            <wp:effectExtent l="0" t="0" r="0" b="0"/>
            <wp:docPr id="813" name="Image 813"/>
            <wp:cNvGraphicFramePr>
              <a:graphicFrameLocks/>
            </wp:cNvGraphicFramePr>
            <a:graphic>
              <a:graphicData uri="http://schemas.openxmlformats.org/drawingml/2006/picture">
                <pic:pic>
                  <pic:nvPicPr>
                    <pic:cNvPr id="813" name="Image 813"/>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24"/>
          <w:sz w:val="20"/>
        </w:rPr>
        <w:t> </w:t>
      </w:r>
      <w:r>
        <w:rPr>
          <w:color w:val="231F20"/>
          <w:sz w:val="18"/>
        </w:rPr>
        <w:t>Network</w:t>
      </w:r>
      <w:r>
        <w:rPr>
          <w:color w:val="231F20"/>
          <w:spacing w:val="-7"/>
          <w:sz w:val="18"/>
        </w:rPr>
        <w:t> </w:t>
      </w:r>
      <w:r>
        <w:rPr>
          <w:color w:val="231F20"/>
          <w:sz w:val="18"/>
        </w:rPr>
        <w:t>Address </w:t>
      </w:r>
      <w:r>
        <w:rPr>
          <w:color w:val="231F20"/>
          <w:sz w:val="18"/>
        </w:rPr>
        <w:drawing>
          <wp:inline distT="0" distB="0" distL="0" distR="0">
            <wp:extent cx="63500" cy="63500"/>
            <wp:effectExtent l="0" t="0" r="0" b="0"/>
            <wp:docPr id="814" name="Image 814"/>
            <wp:cNvGraphicFramePr>
              <a:graphicFrameLocks/>
            </wp:cNvGraphicFramePr>
            <a:graphic>
              <a:graphicData uri="http://schemas.openxmlformats.org/drawingml/2006/picture">
                <pic:pic>
                  <pic:nvPicPr>
                    <pic:cNvPr id="814" name="Image 814"/>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z w:val="18"/>
        </w:rPr>
      </w:r>
      <w:r>
        <w:rPr>
          <w:rFonts w:ascii="Times New Roman"/>
          <w:color w:val="231F20"/>
          <w:spacing w:val="40"/>
          <w:sz w:val="18"/>
        </w:rPr>
        <w:t> </w:t>
      </w:r>
      <w:r>
        <w:rPr>
          <w:color w:val="231F20"/>
          <w:sz w:val="18"/>
        </w:rPr>
        <w:t>Type</w:t>
      </w:r>
    </w:p>
    <w:p>
      <w:pPr>
        <w:spacing w:line="336" w:lineRule="auto" w:before="103"/>
        <w:ind w:left="1707" w:right="1776" w:firstLine="0"/>
        <w:jc w:val="left"/>
        <w:rPr>
          <w:sz w:val="18"/>
        </w:rPr>
      </w:pPr>
      <w:r>
        <w:rPr>
          <w:position w:val="-3"/>
        </w:rPr>
        <w:drawing>
          <wp:inline distT="0" distB="0" distL="0" distR="0">
            <wp:extent cx="101600" cy="95250"/>
            <wp:effectExtent l="0" t="0" r="0" b="0"/>
            <wp:docPr id="815" name="Image 815"/>
            <wp:cNvGraphicFramePr>
              <a:graphicFrameLocks/>
            </wp:cNvGraphicFramePr>
            <a:graphic>
              <a:graphicData uri="http://schemas.openxmlformats.org/drawingml/2006/picture">
                <pic:pic>
                  <pic:nvPicPr>
                    <pic:cNvPr id="815" name="Image 815"/>
                    <pic:cNvPicPr/>
                  </pic:nvPicPr>
                  <pic:blipFill>
                    <a:blip r:embed="rId90"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17"/>
          <w:sz w:val="20"/>
        </w:rPr>
        <w:t> </w:t>
      </w:r>
      <w:r>
        <w:rPr>
          <w:color w:val="231F20"/>
          <w:sz w:val="18"/>
        </w:rPr>
        <w:t>System </w:t>
      </w:r>
      <w:r>
        <w:rPr>
          <w:color w:val="231F20"/>
          <w:position w:val="-3"/>
          <w:sz w:val="18"/>
        </w:rPr>
        <w:drawing>
          <wp:inline distT="0" distB="0" distL="0" distR="0">
            <wp:extent cx="95250" cy="101600"/>
            <wp:effectExtent l="0" t="0" r="0" b="0"/>
            <wp:docPr id="816" name="Image 816"/>
            <wp:cNvGraphicFramePr>
              <a:graphicFrameLocks/>
            </wp:cNvGraphicFramePr>
            <a:graphic>
              <a:graphicData uri="http://schemas.openxmlformats.org/drawingml/2006/picture">
                <pic:pic>
                  <pic:nvPicPr>
                    <pic:cNvPr id="816" name="Image 816"/>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position w:val="-3"/>
          <w:sz w:val="18"/>
        </w:rPr>
      </w:r>
      <w:r>
        <w:rPr>
          <w:rFonts w:ascii="Times New Roman"/>
          <w:color w:val="231F20"/>
          <w:spacing w:val="40"/>
          <w:sz w:val="18"/>
        </w:rPr>
        <w:t> </w:t>
      </w:r>
      <w:r>
        <w:rPr>
          <w:color w:val="231F20"/>
          <w:sz w:val="18"/>
        </w:rPr>
        <w:t>Root</w:t>
      </w:r>
    </w:p>
    <w:p>
      <w:pPr>
        <w:spacing w:line="241" w:lineRule="exact" w:before="0"/>
        <w:ind w:left="1707" w:right="0" w:firstLine="0"/>
        <w:jc w:val="left"/>
        <w:rPr>
          <w:sz w:val="18"/>
        </w:rPr>
      </w:pPr>
      <w:r>
        <w:rPr>
          <w:position w:val="-3"/>
        </w:rPr>
        <w:drawing>
          <wp:inline distT="0" distB="0" distL="0" distR="0">
            <wp:extent cx="95250" cy="101600"/>
            <wp:effectExtent l="0" t="0" r="0" b="0"/>
            <wp:docPr id="817" name="Image 817"/>
            <wp:cNvGraphicFramePr>
              <a:graphicFrameLocks/>
            </wp:cNvGraphicFramePr>
            <a:graphic>
              <a:graphicData uri="http://schemas.openxmlformats.org/drawingml/2006/picture">
                <pic:pic>
                  <pic:nvPicPr>
                    <pic:cNvPr id="817" name="Image 817"/>
                    <pic:cNvPicPr/>
                  </pic:nvPicPr>
                  <pic:blipFill>
                    <a:blip r:embed="rId70"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Global Systems</w:t>
      </w:r>
    </w:p>
    <w:p>
      <w:pPr>
        <w:spacing w:after="0" w:line="241" w:lineRule="exact"/>
        <w:jc w:val="left"/>
        <w:rPr>
          <w:sz w:val="18"/>
        </w:rPr>
        <w:sectPr>
          <w:type w:val="continuous"/>
          <w:pgSz w:w="12240" w:h="15840"/>
          <w:pgMar w:header="0" w:footer="736" w:top="0" w:bottom="4660" w:left="1000" w:right="1060"/>
          <w:cols w:num="2" w:equalWidth="0">
            <w:col w:w="5725" w:space="40"/>
            <w:col w:w="4415"/>
          </w:cols>
        </w:sectPr>
      </w:pPr>
    </w:p>
    <w:p>
      <w:pPr>
        <w:pStyle w:val="Heading4"/>
        <w:spacing w:before="86"/>
      </w:pPr>
      <w:r>
        <w:rPr>
          <w:color w:val="231F20"/>
        </w:rPr>
        <w:t>Relative</w:t>
      </w:r>
      <w:r>
        <w:rPr>
          <w:color w:val="231F20"/>
          <w:spacing w:val="6"/>
        </w:rPr>
        <w:t> </w:t>
      </w:r>
      <w:r>
        <w:rPr>
          <w:color w:val="231F20"/>
        </w:rPr>
        <w:t>link</w:t>
      </w:r>
      <w:r>
        <w:rPr>
          <w:color w:val="231F20"/>
          <w:spacing w:val="7"/>
        </w:rPr>
        <w:t> </w:t>
      </w:r>
      <w:r>
        <w:rPr>
          <w:color w:val="231F20"/>
        </w:rPr>
        <w:t>from</w:t>
      </w:r>
      <w:r>
        <w:rPr>
          <w:color w:val="231F20"/>
          <w:spacing w:val="7"/>
        </w:rPr>
        <w:t> </w:t>
      </w:r>
      <w:r>
        <w:rPr>
          <w:color w:val="231F20"/>
        </w:rPr>
        <w:t>a</w:t>
      </w:r>
      <w:r>
        <w:rPr>
          <w:color w:val="231F20"/>
          <w:spacing w:val="7"/>
        </w:rPr>
        <w:t> </w:t>
      </w:r>
      <w:r>
        <w:rPr>
          <w:color w:val="231F20"/>
        </w:rPr>
        <w:t>Navigator</w:t>
      </w:r>
      <w:r>
        <w:rPr>
          <w:color w:val="231F20"/>
          <w:spacing w:val="6"/>
        </w:rPr>
        <w:t> </w:t>
      </w:r>
      <w:r>
        <w:rPr>
          <w:color w:val="231F20"/>
          <w:spacing w:val="-4"/>
        </w:rPr>
        <w:t>item</w:t>
      </w:r>
    </w:p>
    <w:p>
      <w:pPr>
        <w:pStyle w:val="BodyText"/>
        <w:spacing w:line="213" w:lineRule="auto" w:before="242"/>
        <w:ind w:left="2232" w:right="636"/>
      </w:pPr>
      <w:r>
        <w:rPr>
          <w:color w:val="231F20"/>
        </w:rPr>
        <w:t>You can link from a workspace at the </w:t>
      </w:r>
      <w:r>
        <w:rPr>
          <w:color w:val="231F20"/>
          <w:spacing w:val="15"/>
          <w:position w:val="-1"/>
        </w:rPr>
        <w:drawing>
          <wp:inline distT="0" distB="0" distL="0" distR="0">
            <wp:extent cx="101600" cy="95250"/>
            <wp:effectExtent l="0" t="0" r="0" b="0"/>
            <wp:docPr id="818" name="Image 818"/>
            <wp:cNvGraphicFramePr>
              <a:graphicFrameLocks/>
            </wp:cNvGraphicFramePr>
            <a:graphic>
              <a:graphicData uri="http://schemas.openxmlformats.org/drawingml/2006/picture">
                <pic:pic>
                  <pic:nvPicPr>
                    <pic:cNvPr id="818" name="Image 818"/>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2"/>
        </w:rPr>
        <w:t> </w:t>
      </w:r>
      <w:r>
        <w:rPr>
          <w:color w:val="231F20"/>
        </w:rPr>
        <w:t>system level of the Navigator to a workspace at the </w:t>
      </w:r>
      <w:r>
        <w:rPr>
          <w:color w:val="231F20"/>
          <w:spacing w:val="16"/>
          <w:position w:val="-1"/>
        </w:rPr>
        <w:drawing>
          <wp:inline distT="0" distB="0" distL="0" distR="0">
            <wp:extent cx="101600" cy="95250"/>
            <wp:effectExtent l="0" t="0" r="0" b="0"/>
            <wp:docPr id="819" name="Image 819"/>
            <wp:cNvGraphicFramePr>
              <a:graphicFrameLocks/>
            </wp:cNvGraphicFramePr>
            <a:graphic>
              <a:graphicData uri="http://schemas.openxmlformats.org/drawingml/2006/picture">
                <pic:pic>
                  <pic:nvPicPr>
                    <pic:cNvPr id="819" name="Image 819"/>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platform level. Because it is relative, the link is available from</w:t>
      </w:r>
      <w:r>
        <w:rPr>
          <w:color w:val="231F20"/>
          <w:spacing w:val="40"/>
        </w:rPr>
        <w:t> </w:t>
      </w:r>
      <w:r>
        <w:rPr>
          <w:color w:val="231F20"/>
        </w:rPr>
        <w:t>any system level Navigator item (NODE1, NODE2, NODE3) to the parent</w:t>
      </w:r>
      <w:r>
        <w:rPr>
          <w:color w:val="231F20"/>
          <w:spacing w:val="80"/>
        </w:rPr>
        <w:t> </w:t>
      </w:r>
      <w:r>
        <w:rPr>
          <w:color w:val="231F20"/>
        </w:rPr>
        <w:t>Windows Systems workspace. In an environment with many Windows systems being monitored, this link enables a quick jump from the expanded branch to the parent workspace.</w:t>
      </w:r>
    </w:p>
    <w:p>
      <w:pPr>
        <w:pStyle w:val="BodyText"/>
        <w:spacing w:line="255" w:lineRule="exact" w:before="212"/>
        <w:ind w:right="4521"/>
        <w:jc w:val="center"/>
      </w:pPr>
      <w:r>
        <w:rPr>
          <w:position w:val="-1"/>
        </w:rPr>
        <w:drawing>
          <wp:inline distT="0" distB="0" distL="0" distR="0">
            <wp:extent cx="95250" cy="101600"/>
            <wp:effectExtent l="0" t="0" r="0" b="0"/>
            <wp:docPr id="820" name="Image 820"/>
            <wp:cNvGraphicFramePr>
              <a:graphicFrameLocks/>
            </wp:cNvGraphicFramePr>
            <a:graphic>
              <a:graphicData uri="http://schemas.openxmlformats.org/drawingml/2006/picture">
                <pic:pic>
                  <pic:nvPicPr>
                    <pic:cNvPr id="820" name="Image 820"/>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13" w:lineRule="auto" w:before="8"/>
        <w:ind w:left="2691" w:right="5497"/>
        <w:jc w:val="center"/>
      </w:pPr>
      <w:r>
        <w:rPr>
          <w:position w:val="-1"/>
        </w:rPr>
        <w:drawing>
          <wp:inline distT="0" distB="0" distL="0" distR="0">
            <wp:extent cx="101600" cy="95250"/>
            <wp:effectExtent l="0" t="0" r="0" b="0"/>
            <wp:docPr id="821" name="Image 821"/>
            <wp:cNvGraphicFramePr>
              <a:graphicFrameLocks/>
            </wp:cNvGraphicFramePr>
            <a:graphic>
              <a:graphicData uri="http://schemas.openxmlformats.org/drawingml/2006/picture">
                <pic:pic>
                  <pic:nvPicPr>
                    <pic:cNvPr id="821" name="Image 82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3"/>
        </w:rPr>
        <w:t> </w:t>
      </w:r>
      <w:r>
        <w:rPr>
          <w:color w:val="231F20"/>
        </w:rPr>
        <w:t>Systems </w:t>
      </w:r>
      <w:r>
        <w:rPr>
          <w:color w:val="231F20"/>
          <w:position w:val="-1"/>
        </w:rPr>
        <w:drawing>
          <wp:inline distT="0" distB="0" distL="0" distR="0">
            <wp:extent cx="101600" cy="95250"/>
            <wp:effectExtent l="0" t="0" r="0" b="0"/>
            <wp:docPr id="822" name="Image 822"/>
            <wp:cNvGraphicFramePr>
              <a:graphicFrameLocks/>
            </wp:cNvGraphicFramePr>
            <a:graphic>
              <a:graphicData uri="http://schemas.openxmlformats.org/drawingml/2006/picture">
                <pic:pic>
                  <pic:nvPicPr>
                    <pic:cNvPr id="822" name="Image 822"/>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NODE1</w:t>
      </w:r>
    </w:p>
    <w:p>
      <w:pPr>
        <w:pStyle w:val="BodyText"/>
        <w:spacing w:line="213" w:lineRule="auto"/>
        <w:ind w:left="3190" w:right="5932"/>
        <w:jc w:val="center"/>
      </w:pPr>
      <w:r>
        <w:rPr>
          <w:position w:val="-1"/>
        </w:rPr>
        <w:drawing>
          <wp:inline distT="0" distB="0" distL="0" distR="0">
            <wp:extent cx="101600" cy="95250"/>
            <wp:effectExtent l="0" t="0" r="0" b="0"/>
            <wp:docPr id="823" name="Image 823"/>
            <wp:cNvGraphicFramePr>
              <a:graphicFrameLocks/>
            </wp:cNvGraphicFramePr>
            <a:graphic>
              <a:graphicData uri="http://schemas.openxmlformats.org/drawingml/2006/picture">
                <pic:pic>
                  <pic:nvPicPr>
                    <pic:cNvPr id="823" name="Image 823"/>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27"/>
        </w:rPr>
        <w:t> </w:t>
      </w:r>
      <w:r>
        <w:rPr>
          <w:color w:val="231F20"/>
        </w:rPr>
        <w:t>NODE2 </w:t>
      </w:r>
      <w:r>
        <w:rPr>
          <w:color w:val="231F20"/>
          <w:position w:val="-1"/>
        </w:rPr>
        <w:drawing>
          <wp:inline distT="0" distB="0" distL="0" distR="0">
            <wp:extent cx="101600" cy="95250"/>
            <wp:effectExtent l="0" t="0" r="0" b="0"/>
            <wp:docPr id="824" name="Image 824"/>
            <wp:cNvGraphicFramePr>
              <a:graphicFrameLocks/>
            </wp:cNvGraphicFramePr>
            <a:graphic>
              <a:graphicData uri="http://schemas.openxmlformats.org/drawingml/2006/picture">
                <pic:pic>
                  <pic:nvPicPr>
                    <pic:cNvPr id="824" name="Image 824"/>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27"/>
        </w:rPr>
        <w:t> </w:t>
      </w:r>
      <w:r>
        <w:rPr>
          <w:color w:val="231F20"/>
        </w:rPr>
        <w:t>NODE3</w:t>
      </w:r>
    </w:p>
    <w:p>
      <w:pPr>
        <w:pStyle w:val="Heading6"/>
        <w:spacing w:before="116"/>
        <w:ind w:left="2232"/>
      </w:pPr>
      <w:r>
        <w:rPr>
          <w:color w:val="231F20"/>
        </w:rPr>
        <w:t>Source</w:t>
      </w:r>
      <w:r>
        <w:rPr>
          <w:color w:val="231F20"/>
          <w:spacing w:val="9"/>
        </w:rPr>
        <w:t> </w:t>
      </w:r>
      <w:r>
        <w:rPr>
          <w:color w:val="231F20"/>
          <w:spacing w:val="-2"/>
        </w:rPr>
        <w:t>point:</w:t>
      </w:r>
    </w:p>
    <w:p>
      <w:pPr>
        <w:pStyle w:val="BodyText"/>
        <w:spacing w:line="258" w:lineRule="exact"/>
        <w:ind w:left="2951"/>
      </w:pPr>
      <w:r>
        <w:rPr>
          <w:color w:val="231F20"/>
        </w:rPr>
        <w:t>Any</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NODE</w:t>
      </w:r>
      <w:r>
        <w:rPr>
          <w:color w:val="231F20"/>
          <w:spacing w:val="12"/>
        </w:rPr>
        <w:t> </w:t>
      </w:r>
      <w:r>
        <w:rPr>
          <w:color w:val="231F20"/>
        </w:rPr>
        <w:t>Navigator</w:t>
      </w:r>
      <w:r>
        <w:rPr>
          <w:color w:val="231F20"/>
          <w:spacing w:val="11"/>
        </w:rPr>
        <w:t> </w:t>
      </w:r>
      <w:r>
        <w:rPr>
          <w:color w:val="231F20"/>
          <w:spacing w:val="-2"/>
        </w:rPr>
        <w:t>items</w:t>
      </w:r>
    </w:p>
    <w:p>
      <w:pPr>
        <w:pStyle w:val="Heading6"/>
        <w:spacing w:before="111"/>
        <w:ind w:left="2232"/>
      </w:pPr>
      <w:r>
        <w:rPr>
          <w:color w:val="231F20"/>
        </w:rPr>
        <w:t>Link</w:t>
      </w:r>
      <w:r>
        <w:rPr>
          <w:color w:val="231F20"/>
          <w:spacing w:val="11"/>
        </w:rPr>
        <w:t> </w:t>
      </w:r>
      <w:r>
        <w:rPr>
          <w:color w:val="231F20"/>
          <w:spacing w:val="-4"/>
        </w:rPr>
        <w:t>Type:</w:t>
      </w:r>
    </w:p>
    <w:p>
      <w:pPr>
        <w:pStyle w:val="BodyText"/>
        <w:spacing w:line="258" w:lineRule="exact"/>
        <w:ind w:left="2951"/>
      </w:pPr>
      <w:r>
        <w:rPr>
          <w:color w:val="231F20"/>
          <w:spacing w:val="-2"/>
        </w:rPr>
        <w:t>Relative</w:t>
      </w:r>
    </w:p>
    <w:p>
      <w:pPr>
        <w:pStyle w:val="Heading6"/>
        <w:spacing w:before="111"/>
        <w:ind w:left="2232"/>
      </w:pPr>
      <w:r>
        <w:rPr>
          <w:color w:val="231F20"/>
          <w:spacing w:val="-2"/>
        </w:rPr>
        <w:t>Target</w:t>
      </w:r>
      <w:r>
        <w:rPr>
          <w:color w:val="231F20"/>
          <w:spacing w:val="-1"/>
        </w:rPr>
        <w:t> </w:t>
      </w:r>
      <w:r>
        <w:rPr>
          <w:color w:val="231F20"/>
          <w:spacing w:val="-2"/>
        </w:rPr>
        <w:t>Workspace:</w:t>
      </w:r>
    </w:p>
    <w:p>
      <w:pPr>
        <w:pStyle w:val="BodyText"/>
        <w:spacing w:line="258" w:lineRule="exact"/>
        <w:ind w:left="2951"/>
      </w:pPr>
      <w:r>
        <w:rPr>
          <w:position w:val="-1"/>
        </w:rPr>
        <w:drawing>
          <wp:inline distT="0" distB="0" distL="0" distR="0">
            <wp:extent cx="101600" cy="95250"/>
            <wp:effectExtent l="0" t="0" r="0" b="0"/>
            <wp:docPr id="825" name="Image 825"/>
            <wp:cNvGraphicFramePr>
              <a:graphicFrameLocks/>
            </wp:cNvGraphicFramePr>
            <a:graphic>
              <a:graphicData uri="http://schemas.openxmlformats.org/drawingml/2006/picture">
                <pic:pic>
                  <pic:nvPicPr>
                    <pic:cNvPr id="825" name="Image 82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79"/>
        </w:rPr>
        <w:t> </w:t>
      </w:r>
      <w:r>
        <w:rPr>
          <w:color w:val="231F20"/>
        </w:rPr>
        <w:t>Windows</w:t>
      </w:r>
      <w:r>
        <w:rPr>
          <w:color w:val="231F20"/>
          <w:spacing w:val="24"/>
        </w:rPr>
        <w:t> </w:t>
      </w:r>
      <w:r>
        <w:rPr>
          <w:color w:val="231F20"/>
        </w:rPr>
        <w:t>Systems</w:t>
      </w:r>
      <w:r>
        <w:rPr>
          <w:color w:val="231F20"/>
          <w:spacing w:val="24"/>
        </w:rPr>
        <w:t> </w:t>
      </w:r>
      <w:r>
        <w:rPr>
          <w:color w:val="231F20"/>
        </w:rPr>
        <w:t>&gt;</w:t>
      </w:r>
      <w:r>
        <w:rPr>
          <w:color w:val="231F20"/>
          <w:spacing w:val="24"/>
        </w:rPr>
        <w:t> </w:t>
      </w:r>
      <w:r>
        <w:rPr>
          <w:color w:val="231F20"/>
        </w:rPr>
        <w:t>Windows</w:t>
      </w:r>
      <w:r>
        <w:rPr>
          <w:color w:val="231F20"/>
          <w:spacing w:val="24"/>
        </w:rPr>
        <w:t> </w:t>
      </w:r>
      <w:r>
        <w:rPr>
          <w:color w:val="231F20"/>
        </w:rPr>
        <w:t>Systems</w:t>
      </w:r>
    </w:p>
    <w:p>
      <w:pPr>
        <w:pStyle w:val="Heading6"/>
        <w:spacing w:before="111"/>
        <w:ind w:left="2232"/>
      </w:pPr>
      <w:r>
        <w:rPr>
          <w:color w:val="231F20"/>
          <w:spacing w:val="-2"/>
        </w:rPr>
        <w:t>Parameters:</w:t>
      </w:r>
    </w:p>
    <w:p>
      <w:pPr>
        <w:pStyle w:val="BodyText"/>
        <w:spacing w:line="213" w:lineRule="auto" w:before="12"/>
        <w:ind w:left="2951" w:right="545"/>
      </w:pPr>
      <w:r>
        <w:rPr>
          <w:color w:val="231F20"/>
        </w:rPr>
        <w:t>The expression is built automatically from the source context and </w:t>
      </w:r>
      <w:r>
        <w:rPr>
          <w:color w:val="231F20"/>
        </w:rPr>
        <w:t>the workspace that was selected as the target.</w:t>
      </w:r>
    </w:p>
    <w:p>
      <w:pPr>
        <w:pStyle w:val="BodyText"/>
        <w:spacing w:before="35"/>
        <w:ind w:left="2951"/>
      </w:pPr>
      <w:r>
        <w:rPr>
          <w:rFonts w:ascii="Futura MdCn BT"/>
          <w:color w:val="231F20"/>
        </w:rPr>
        <w:t>v</w:t>
      </w:r>
      <w:r>
        <w:rPr>
          <w:rFonts w:ascii="Futura MdCn BT"/>
          <w:color w:val="231F20"/>
          <w:spacing w:val="35"/>
        </w:rPr>
        <w:t>  </w:t>
      </w:r>
      <w:r>
        <w:rPr>
          <w:rFonts w:ascii="Futura MdCn BT"/>
          <w:color w:val="231F20"/>
          <w:spacing w:val="-5"/>
        </w:rPr>
        <w:drawing>
          <wp:inline distT="0" distB="0" distL="0" distR="0">
            <wp:extent cx="63500" cy="63500"/>
            <wp:effectExtent l="0" t="0" r="0" b="0"/>
            <wp:docPr id="826" name="Image 826"/>
            <wp:cNvGraphicFramePr>
              <a:graphicFrameLocks/>
            </wp:cNvGraphicFramePr>
            <a:graphic>
              <a:graphicData uri="http://schemas.openxmlformats.org/drawingml/2006/picture">
                <pic:pic>
                  <pic:nvPicPr>
                    <pic:cNvPr id="826" name="Image 826"/>
                    <pic:cNvPicPr/>
                  </pic:nvPicPr>
                  <pic:blipFill>
                    <a:blip r:embed="rId138" cstate="print"/>
                    <a:stretch>
                      <a:fillRect/>
                    </a:stretch>
                  </pic:blipFill>
                  <pic:spPr>
                    <a:xfrm>
                      <a:off x="0" y="0"/>
                      <a:ext cx="63500" cy="63500"/>
                    </a:xfrm>
                    <a:prstGeom prst="rect">
                      <a:avLst/>
                    </a:prstGeom>
                  </pic:spPr>
                </pic:pic>
              </a:graphicData>
            </a:graphic>
          </wp:inline>
        </w:drawing>
      </w:r>
      <w:r>
        <w:rPr>
          <w:rFonts w:ascii="Futura MdCn BT"/>
          <w:color w:val="231F20"/>
          <w:spacing w:val="-5"/>
        </w:rPr>
      </w:r>
      <w:r>
        <w:rPr>
          <w:rFonts w:ascii="Times New Roman"/>
          <w:color w:val="231F20"/>
          <w:spacing w:val="72"/>
        </w:rPr>
        <w:t> </w:t>
      </w:r>
      <w:r>
        <w:rPr>
          <w:color w:val="231F20"/>
          <w:spacing w:val="-2"/>
        </w:rPr>
        <w:t>contextIsAvailable:</w:t>
      </w:r>
    </w:p>
    <w:p>
      <w:pPr>
        <w:pStyle w:val="BodyText"/>
        <w:spacing w:line="255" w:lineRule="exact" w:before="30"/>
        <w:ind w:left="2951"/>
      </w:pPr>
      <w:r>
        <w:rPr>
          <w:rFonts w:ascii="Futura MdCn BT"/>
          <w:color w:val="231F20"/>
        </w:rPr>
        <w:t>v</w:t>
      </w:r>
      <w:r>
        <w:rPr>
          <w:rFonts w:ascii="Futura MdCn BT"/>
          <w:color w:val="231F20"/>
          <w:spacing w:val="65"/>
        </w:rPr>
        <w:t> </w:t>
      </w:r>
      <w:r>
        <w:rPr>
          <w:color w:val="231F20"/>
        </w:rPr>
        <w:t>$kfw.TreeAdapter:-1021A$</w:t>
      </w:r>
      <w:r>
        <w:rPr>
          <w:color w:val="231F20"/>
          <w:spacing w:val="-4"/>
        </w:rPr>
        <w:t> </w:t>
      </w:r>
      <w:r>
        <w:rPr>
          <w:color w:val="231F20"/>
          <w:spacing w:val="-5"/>
        </w:rPr>
        <w:t>==</w:t>
      </w:r>
    </w:p>
    <w:p>
      <w:pPr>
        <w:pStyle w:val="BodyText"/>
        <w:spacing w:line="239" w:lineRule="exact"/>
        <w:ind w:left="3167"/>
      </w:pPr>
      <w:r>
        <w:rPr>
          <w:color w:val="231F20"/>
          <w:spacing w:val="-2"/>
        </w:rPr>
        <w:t>$kfw.LinkSymbolsGroup:PBASED.SOURCE_CONTEXT.0.-1021A$</w:t>
      </w:r>
      <w:r>
        <w:rPr>
          <w:color w:val="231F20"/>
          <w:spacing w:val="24"/>
        </w:rPr>
        <w:t> </w:t>
      </w:r>
      <w:r>
        <w:rPr>
          <w:color w:val="231F20"/>
          <w:spacing w:val="-5"/>
        </w:rPr>
        <w:t>&amp;&amp;</w:t>
      </w:r>
    </w:p>
    <w:p>
      <w:pPr>
        <w:pStyle w:val="BodyText"/>
        <w:spacing w:line="255" w:lineRule="exact"/>
        <w:ind w:left="3167"/>
      </w:pPr>
      <w:r>
        <w:rPr>
          <w:color w:val="231F20"/>
          <w:spacing w:val="-2"/>
        </w:rPr>
        <w:t>$kfw.Context:-5000$</w:t>
      </w:r>
      <w:r>
        <w:rPr>
          <w:color w:val="231F20"/>
          <w:spacing w:val="16"/>
        </w:rPr>
        <w:t> </w:t>
      </w:r>
      <w:r>
        <w:rPr>
          <w:color w:val="231F20"/>
          <w:spacing w:val="-5"/>
        </w:rPr>
        <w:t>&amp;&amp;</w:t>
      </w:r>
    </w:p>
    <w:p>
      <w:pPr>
        <w:pStyle w:val="BodyText"/>
        <w:tabs>
          <w:tab w:pos="3233" w:val="left" w:leader="none"/>
        </w:tabs>
        <w:spacing w:line="255" w:lineRule="exact" w:before="29"/>
        <w:ind w:left="2951"/>
      </w:pPr>
      <w:r>
        <w:rPr>
          <w:rFonts w:ascii="Futura MdCn BT"/>
          <w:color w:val="231F20"/>
          <w:spacing w:val="-10"/>
        </w:rPr>
        <w:t>v</w:t>
      </w:r>
      <w:r>
        <w:rPr>
          <w:rFonts w:ascii="Futura MdCn BT"/>
          <w:color w:val="231F20"/>
        </w:rPr>
        <w:tab/>
      </w:r>
      <w:r>
        <w:rPr>
          <w:color w:val="231F20"/>
          <w:spacing w:val="-2"/>
        </w:rPr>
        <w:t>$kfw.TreeAdapter:-1021A$</w:t>
      </w:r>
      <w:r>
        <w:rPr>
          <w:color w:val="231F20"/>
          <w:spacing w:val="-1"/>
        </w:rPr>
        <w:t> </w:t>
      </w:r>
      <w:r>
        <w:rPr>
          <w:color w:val="231F20"/>
          <w:spacing w:val="-5"/>
        </w:rPr>
        <w:t>==</w:t>
      </w:r>
    </w:p>
    <w:p>
      <w:pPr>
        <w:pStyle w:val="BodyText"/>
        <w:spacing w:line="239" w:lineRule="exact"/>
        <w:ind w:left="3167"/>
      </w:pPr>
      <w:r>
        <w:rPr>
          <w:color w:val="231F20"/>
          <w:spacing w:val="-2"/>
        </w:rPr>
        <w:t>$kfw.LinkSymbolsGroup:PBASED.SOURCE_CONTEXT.3.-1021A$</w:t>
      </w:r>
      <w:r>
        <w:rPr>
          <w:color w:val="231F20"/>
          <w:spacing w:val="24"/>
        </w:rPr>
        <w:t> </w:t>
      </w:r>
      <w:r>
        <w:rPr>
          <w:color w:val="231F20"/>
          <w:spacing w:val="-5"/>
        </w:rPr>
        <w:t>&amp;&amp;</w:t>
      </w:r>
    </w:p>
    <w:p>
      <w:pPr>
        <w:pStyle w:val="BodyText"/>
        <w:spacing w:line="255" w:lineRule="exact"/>
        <w:ind w:right="2057"/>
        <w:jc w:val="center"/>
      </w:pPr>
      <w:r>
        <w:rPr>
          <w:color w:val="231F20"/>
          <w:spacing w:val="-4"/>
        </w:rPr>
        <w:t>$kfw.Context:-</w:t>
      </w:r>
      <w:r>
        <w:rPr>
          <w:color w:val="231F20"/>
          <w:spacing w:val="-2"/>
        </w:rPr>
        <w:t>5000$</w:t>
      </w:r>
    </w:p>
    <w:p>
      <w:pPr>
        <w:pStyle w:val="BodyText"/>
        <w:tabs>
          <w:tab w:pos="282" w:val="left" w:leader="none"/>
        </w:tabs>
        <w:spacing w:before="30"/>
        <w:ind w:right="2083"/>
        <w:jc w:val="center"/>
      </w:pPr>
      <w:r>
        <w:rPr>
          <w:rFonts w:ascii="Futura MdCn BT"/>
          <w:color w:val="231F20"/>
          <w:spacing w:val="-10"/>
        </w:rPr>
        <w:t>v</w:t>
      </w:r>
      <w:r>
        <w:rPr>
          <w:rFonts w:ascii="Futura MdCn BT"/>
          <w:color w:val="231F20"/>
        </w:rPr>
        <w:tab/>
      </w:r>
      <w:r>
        <w:rPr>
          <w:rFonts w:ascii="Futura MdCn BT"/>
          <w:color w:val="231F20"/>
        </w:rPr>
        <w:drawing>
          <wp:inline distT="0" distB="0" distL="0" distR="0">
            <wp:extent cx="63500" cy="63500"/>
            <wp:effectExtent l="0" t="0" r="0" b="0"/>
            <wp:docPr id="827" name="Image 827"/>
            <wp:cNvGraphicFramePr>
              <a:graphicFrameLocks/>
            </wp:cNvGraphicFramePr>
            <a:graphic>
              <a:graphicData uri="http://schemas.openxmlformats.org/drawingml/2006/picture">
                <pic:pic>
                  <pic:nvPicPr>
                    <pic:cNvPr id="827" name="Image 827"/>
                    <pic:cNvPicPr/>
                  </pic:nvPicPr>
                  <pic:blipFill>
                    <a:blip r:embed="rId138" cstate="print"/>
                    <a:stretch>
                      <a:fillRect/>
                    </a:stretch>
                  </pic:blipFill>
                  <pic:spPr>
                    <a:xfrm>
                      <a:off x="0" y="0"/>
                      <a:ext cx="63500" cy="63500"/>
                    </a:xfrm>
                    <a:prstGeom prst="rect">
                      <a:avLst/>
                    </a:prstGeom>
                  </pic:spPr>
                </pic:pic>
              </a:graphicData>
            </a:graphic>
          </wp:inline>
        </w:drawing>
      </w:r>
      <w:r>
        <w:rPr>
          <w:rFonts w:ascii="Futura MdCn BT"/>
          <w:color w:val="231F20"/>
        </w:rPr>
      </w:r>
      <w:r>
        <w:rPr>
          <w:rFonts w:ascii="Times New Roman"/>
          <w:color w:val="231F20"/>
          <w:spacing w:val="40"/>
        </w:rPr>
        <w:t> </w:t>
      </w:r>
      <w:r>
        <w:rPr>
          <w:color w:val="231F20"/>
        </w:rPr>
        <w:t>linkIsEnabled: true</w:t>
      </w:r>
    </w:p>
    <w:p>
      <w:pPr>
        <w:pStyle w:val="Heading4"/>
        <w:spacing w:before="194"/>
      </w:pPr>
      <w:r>
        <w:rPr>
          <w:color w:val="231F20"/>
        </w:rPr>
        <w:t>linkIsEnabled</w:t>
      </w:r>
      <w:r>
        <w:rPr>
          <w:color w:val="231F20"/>
          <w:spacing w:val="1"/>
        </w:rPr>
        <w:t> </w:t>
      </w:r>
      <w:r>
        <w:rPr>
          <w:color w:val="231F20"/>
        </w:rPr>
        <w:t>usage</w:t>
      </w:r>
      <w:r>
        <w:rPr>
          <w:color w:val="231F20"/>
          <w:spacing w:val="2"/>
        </w:rPr>
        <w:t> </w:t>
      </w:r>
      <w:r>
        <w:rPr>
          <w:color w:val="231F20"/>
          <w:spacing w:val="-2"/>
        </w:rPr>
        <w:t>example</w:t>
      </w:r>
    </w:p>
    <w:p>
      <w:pPr>
        <w:pStyle w:val="BodyText"/>
        <w:spacing w:line="213" w:lineRule="auto" w:before="241"/>
        <w:ind w:left="2232" w:right="636"/>
      </w:pPr>
      <w:r>
        <w:rPr>
          <w:color w:val="231F20"/>
        </w:rPr>
        <w:t>Follow along with these steps to see how a link to the System workspace was</w:t>
      </w:r>
      <w:r>
        <w:rPr>
          <w:color w:val="231F20"/>
          <w:spacing w:val="40"/>
        </w:rPr>
        <w:t> </w:t>
      </w:r>
      <w:r>
        <w:rPr>
          <w:color w:val="231F20"/>
        </w:rPr>
        <w:t>created using the </w:t>
      </w:r>
      <w:r>
        <w:rPr>
          <w:color w:val="231F20"/>
          <w:spacing w:val="16"/>
        </w:rPr>
        <w:drawing>
          <wp:inline distT="0" distB="0" distL="0" distR="0">
            <wp:extent cx="63500" cy="63500"/>
            <wp:effectExtent l="0" t="0" r="0" b="0"/>
            <wp:docPr id="828" name="Image 828"/>
            <wp:cNvGraphicFramePr>
              <a:graphicFrameLocks/>
            </wp:cNvGraphicFramePr>
            <a:graphic>
              <a:graphicData uri="http://schemas.openxmlformats.org/drawingml/2006/picture">
                <pic:pic>
                  <pic:nvPicPr>
                    <pic:cNvPr id="828" name="Image 828"/>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linkIsEnabled </w:t>
      </w:r>
      <w:r>
        <w:rPr>
          <w:color w:val="231F20"/>
        </w:rPr>
        <w:t>symbol. This example tests the value of the Product cell in the selected row to determine whether or not to offer the link on</w:t>
      </w:r>
      <w:r>
        <w:rPr>
          <w:color w:val="231F20"/>
          <w:spacing w:val="40"/>
        </w:rPr>
        <w:t> </w:t>
      </w:r>
      <w:r>
        <w:rPr>
          <w:color w:val="231F20"/>
        </w:rPr>
        <w:t>that row.</w:t>
      </w:r>
    </w:p>
    <w:p>
      <w:pPr>
        <w:pStyle w:val="ListParagraph"/>
        <w:numPr>
          <w:ilvl w:val="1"/>
          <w:numId w:val="46"/>
        </w:numPr>
        <w:tabs>
          <w:tab w:pos="2659" w:val="left" w:leader="none"/>
        </w:tabs>
        <w:spacing w:line="213" w:lineRule="auto" w:before="57" w:after="0"/>
        <w:ind w:left="2659" w:right="554" w:hanging="316"/>
        <w:jc w:val="left"/>
        <w:rPr>
          <w:sz w:val="20"/>
        </w:rPr>
      </w:pPr>
      <w:r>
        <w:rPr>
          <w:color w:val="231F20"/>
          <w:sz w:val="20"/>
        </w:rPr>
        <w:t>Open the Managed System Status workspace in the Navigator Physical </w:t>
      </w:r>
      <w:r>
        <w:rPr>
          <w:color w:val="231F20"/>
          <w:sz w:val="20"/>
        </w:rPr>
        <w:t>view: Click </w:t>
      </w:r>
      <w:r>
        <w:rPr>
          <w:color w:val="231F20"/>
          <w:spacing w:val="16"/>
          <w:position w:val="-1"/>
          <w:sz w:val="20"/>
        </w:rPr>
        <w:drawing>
          <wp:inline distT="0" distB="0" distL="0" distR="0">
            <wp:extent cx="95250" cy="101600"/>
            <wp:effectExtent l="0" t="0" r="0" b="0"/>
            <wp:docPr id="829" name="Image 829"/>
            <wp:cNvGraphicFramePr>
              <a:graphicFrameLocks/>
            </wp:cNvGraphicFramePr>
            <a:graphic>
              <a:graphicData uri="http://schemas.openxmlformats.org/drawingml/2006/picture">
                <pic:pic>
                  <pic:nvPicPr>
                    <pic:cNvPr id="829" name="Image 82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rFonts w:ascii="Book Antiqua"/>
          <w:b/>
          <w:color w:val="231F20"/>
          <w:sz w:val="20"/>
        </w:rPr>
        <w:t>Enterprise </w:t>
      </w:r>
      <w:r>
        <w:rPr>
          <w:color w:val="231F20"/>
          <w:sz w:val="20"/>
        </w:rPr>
        <w:t>to open the default workspace; right-click </w:t>
      </w:r>
      <w:r>
        <w:rPr>
          <w:color w:val="231F20"/>
          <w:spacing w:val="15"/>
          <w:position w:val="-1"/>
          <w:sz w:val="20"/>
        </w:rPr>
        <w:drawing>
          <wp:inline distT="0" distB="0" distL="0" distR="0">
            <wp:extent cx="95250" cy="101600"/>
            <wp:effectExtent l="0" t="0" r="0" b="0"/>
            <wp:docPr id="830" name="Image 830"/>
            <wp:cNvGraphicFramePr>
              <a:graphicFrameLocks/>
            </wp:cNvGraphicFramePr>
            <a:graphic>
              <a:graphicData uri="http://schemas.openxmlformats.org/drawingml/2006/picture">
                <pic:pic>
                  <pic:nvPicPr>
                    <pic:cNvPr id="830" name="Image 830"/>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Enterprise </w:t>
      </w:r>
      <w:r>
        <w:rPr>
          <w:color w:val="231F20"/>
          <w:sz w:val="20"/>
        </w:rPr>
        <w:t>and click </w:t>
      </w:r>
      <w:r>
        <w:rPr>
          <w:rFonts w:ascii="Book Antiqua"/>
          <w:b/>
          <w:color w:val="231F20"/>
          <w:sz w:val="20"/>
        </w:rPr>
        <w:t>Workspace &gt; Managed System Status</w:t>
      </w:r>
      <w:r>
        <w:rPr>
          <w:color w:val="231F20"/>
          <w:sz w:val="20"/>
        </w:rPr>
        <w:t>.</w:t>
      </w:r>
    </w:p>
    <w:p>
      <w:pPr>
        <w:pStyle w:val="ListParagraph"/>
        <w:numPr>
          <w:ilvl w:val="1"/>
          <w:numId w:val="46"/>
        </w:numPr>
        <w:tabs>
          <w:tab w:pos="2657" w:val="left" w:leader="none"/>
          <w:tab w:pos="2659" w:val="left" w:leader="none"/>
        </w:tabs>
        <w:spacing w:line="213" w:lineRule="auto" w:before="58" w:after="0"/>
        <w:ind w:left="2659" w:right="842" w:hanging="317"/>
        <w:jc w:val="left"/>
        <w:rPr>
          <w:sz w:val="20"/>
        </w:rPr>
      </w:pPr>
      <w:r>
        <w:rPr/>
        <w:drawing>
          <wp:anchor distT="0" distB="0" distL="0" distR="0" allowOverlap="1" layoutInCell="1" locked="0" behindDoc="0" simplePos="0" relativeHeight="15801344">
            <wp:simplePos x="0" y="0"/>
            <wp:positionH relativeFrom="page">
              <wp:posOffset>6562007</wp:posOffset>
            </wp:positionH>
            <wp:positionV relativeFrom="paragraph">
              <wp:posOffset>69891</wp:posOffset>
            </wp:positionV>
            <wp:extent cx="101600" cy="101600"/>
            <wp:effectExtent l="0" t="0" r="0" b="0"/>
            <wp:wrapNone/>
            <wp:docPr id="831" name="Image 831"/>
            <wp:cNvGraphicFramePr>
              <a:graphicFrameLocks/>
            </wp:cNvGraphicFramePr>
            <a:graphic>
              <a:graphicData uri="http://schemas.openxmlformats.org/drawingml/2006/picture">
                <pic:pic>
                  <pic:nvPicPr>
                    <pic:cNvPr id="831" name="Image 831"/>
                    <pic:cNvPicPr/>
                  </pic:nvPicPr>
                  <pic:blipFill>
                    <a:blip r:embed="rId79" cstate="print"/>
                    <a:stretch>
                      <a:fillRect/>
                    </a:stretch>
                  </pic:blipFill>
                  <pic:spPr>
                    <a:xfrm>
                      <a:off x="0" y="0"/>
                      <a:ext cx="101600" cy="101600"/>
                    </a:xfrm>
                    <a:prstGeom prst="rect">
                      <a:avLst/>
                    </a:prstGeom>
                  </pic:spPr>
                </pic:pic>
              </a:graphicData>
            </a:graphic>
          </wp:anchor>
        </w:drawing>
      </w:r>
      <w:r>
        <w:rPr>
          <w:color w:val="231F20"/>
          <w:sz w:val="20"/>
        </w:rPr>
        <w:t>Right-click a row in the Managed System Status table and click </w:t>
      </w:r>
      <w:r>
        <w:rPr>
          <w:rFonts w:ascii="Book Antiqua"/>
          <w:b/>
          <w:color w:val="231F20"/>
          <w:sz w:val="20"/>
        </w:rPr>
        <w:t>Link To &gt; Link Wizard</w:t>
      </w:r>
      <w:r>
        <w:rPr>
          <w:color w:val="231F20"/>
          <w:sz w:val="20"/>
        </w:rPr>
        <w:t>.</w:t>
      </w:r>
    </w:p>
    <w:p>
      <w:pPr>
        <w:pStyle w:val="ListParagraph"/>
        <w:numPr>
          <w:ilvl w:val="1"/>
          <w:numId w:val="46"/>
        </w:numPr>
        <w:tabs>
          <w:tab w:pos="2659" w:val="left" w:leader="none"/>
        </w:tabs>
        <w:spacing w:line="213" w:lineRule="auto" w:before="58" w:after="0"/>
        <w:ind w:left="2659" w:right="513" w:hanging="316"/>
        <w:jc w:val="left"/>
        <w:rPr>
          <w:sz w:val="20"/>
        </w:rPr>
      </w:pPr>
      <w:r>
        <w:rPr>
          <w:color w:val="231F20"/>
          <w:sz w:val="20"/>
        </w:rPr>
        <w:t>Create a new link, name it </w:t>
      </w:r>
      <w:r>
        <w:rPr>
          <w:rFonts w:ascii="Arial"/>
          <w:color w:val="231F20"/>
          <w:sz w:val="20"/>
        </w:rPr>
        <w:t>System Details</w:t>
      </w:r>
      <w:r>
        <w:rPr>
          <w:color w:val="231F20"/>
          <w:sz w:val="20"/>
        </w:rPr>
        <w:t>, select a link type of </w:t>
      </w:r>
      <w:r>
        <w:rPr>
          <w:rFonts w:ascii="Book Antiqua"/>
          <w:b/>
          <w:color w:val="231F20"/>
          <w:sz w:val="20"/>
        </w:rPr>
        <w:t>Relative</w:t>
      </w:r>
      <w:r>
        <w:rPr>
          <w:color w:val="231F20"/>
          <w:sz w:val="20"/>
        </w:rPr>
        <w:t>, and</w:t>
      </w:r>
      <w:r>
        <w:rPr>
          <w:color w:val="231F20"/>
          <w:spacing w:val="80"/>
          <w:sz w:val="20"/>
        </w:rPr>
        <w:t> </w:t>
      </w:r>
      <w:r>
        <w:rPr>
          <w:color w:val="231F20"/>
          <w:sz w:val="20"/>
        </w:rPr>
        <w:t>target the </w:t>
      </w:r>
      <w:r>
        <w:rPr>
          <w:color w:val="231F20"/>
          <w:spacing w:val="16"/>
          <w:position w:val="-1"/>
          <w:sz w:val="20"/>
        </w:rPr>
        <w:drawing>
          <wp:inline distT="0" distB="0" distL="0" distR="0">
            <wp:extent cx="101600" cy="95250"/>
            <wp:effectExtent l="0" t="0" r="0" b="0"/>
            <wp:docPr id="832" name="Image 832"/>
            <wp:cNvGraphicFramePr>
              <a:graphicFrameLocks/>
            </wp:cNvGraphicFramePr>
            <a:graphic>
              <a:graphicData uri="http://schemas.openxmlformats.org/drawingml/2006/picture">
                <pic:pic>
                  <pic:nvPicPr>
                    <pic:cNvPr id="832" name="Image 832"/>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2"/>
          <w:sz w:val="20"/>
        </w:rPr>
        <w:t> </w:t>
      </w:r>
      <w:r>
        <w:rPr>
          <w:color w:val="231F20"/>
          <w:sz w:val="20"/>
        </w:rPr>
        <w:t>Windows Systems workspace.</w:t>
      </w:r>
    </w:p>
    <w:p>
      <w:pPr>
        <w:pStyle w:val="ListParagraph"/>
        <w:numPr>
          <w:ilvl w:val="1"/>
          <w:numId w:val="46"/>
        </w:numPr>
        <w:tabs>
          <w:tab w:pos="2658" w:val="left" w:leader="none"/>
        </w:tabs>
        <w:spacing w:line="240" w:lineRule="auto" w:before="36" w:after="0"/>
        <w:ind w:left="2658" w:right="0" w:hanging="315"/>
        <w:jc w:val="left"/>
        <w:rPr>
          <w:sz w:val="20"/>
        </w:rPr>
      </w:pPr>
      <w:r>
        <w:rPr>
          <w:color w:val="231F20"/>
          <w:sz w:val="20"/>
        </w:rPr>
        <w:t>Click</w:t>
      </w:r>
      <w:r>
        <w:rPr>
          <w:color w:val="231F20"/>
          <w:spacing w:val="8"/>
          <w:sz w:val="20"/>
        </w:rPr>
        <w:t> </w:t>
      </w:r>
      <w:r>
        <w:rPr>
          <w:rFonts w:ascii="Book Antiqua"/>
          <w:b/>
          <w:color w:val="231F20"/>
          <w:sz w:val="20"/>
        </w:rPr>
        <w:t>Next</w:t>
      </w:r>
      <w:r>
        <w:rPr>
          <w:rFonts w:ascii="Book Antiqua"/>
          <w:b/>
          <w:color w:val="231F20"/>
          <w:spacing w:val="9"/>
          <w:sz w:val="20"/>
        </w:rPr>
        <w:t> </w:t>
      </w:r>
      <w:r>
        <w:rPr>
          <w:color w:val="231F20"/>
          <w:sz w:val="20"/>
        </w:rPr>
        <w:t>to</w:t>
      </w:r>
      <w:r>
        <w:rPr>
          <w:color w:val="231F20"/>
          <w:spacing w:val="9"/>
          <w:sz w:val="20"/>
        </w:rPr>
        <w:t> </w:t>
      </w:r>
      <w:r>
        <w:rPr>
          <w:color w:val="231F20"/>
          <w:sz w:val="20"/>
        </w:rPr>
        <w:t>go</w:t>
      </w:r>
      <w:r>
        <w:rPr>
          <w:color w:val="231F20"/>
          <w:spacing w:val="8"/>
          <w:sz w:val="20"/>
        </w:rPr>
        <w:t> </w:t>
      </w:r>
      <w:r>
        <w:rPr>
          <w:color w:val="231F20"/>
          <w:sz w:val="20"/>
        </w:rPr>
        <w:t>to</w:t>
      </w:r>
      <w:r>
        <w:rPr>
          <w:color w:val="231F20"/>
          <w:spacing w:val="9"/>
          <w:sz w:val="20"/>
        </w:rPr>
        <w:t> </w:t>
      </w:r>
      <w:r>
        <w:rPr>
          <w:color w:val="231F20"/>
          <w:sz w:val="20"/>
        </w:rPr>
        <w:t>the</w:t>
      </w:r>
      <w:r>
        <w:rPr>
          <w:color w:val="231F20"/>
          <w:spacing w:val="9"/>
          <w:sz w:val="20"/>
        </w:rPr>
        <w:t> </w:t>
      </w:r>
      <w:r>
        <w:rPr>
          <w:color w:val="231F20"/>
          <w:sz w:val="20"/>
        </w:rPr>
        <w:t>Workspace</w:t>
      </w:r>
      <w:r>
        <w:rPr>
          <w:color w:val="231F20"/>
          <w:spacing w:val="9"/>
          <w:sz w:val="20"/>
        </w:rPr>
        <w:t> </w:t>
      </w:r>
      <w:r>
        <w:rPr>
          <w:color w:val="231F20"/>
          <w:sz w:val="20"/>
        </w:rPr>
        <w:t>Link</w:t>
      </w:r>
      <w:r>
        <w:rPr>
          <w:color w:val="231F20"/>
          <w:spacing w:val="8"/>
          <w:sz w:val="20"/>
        </w:rPr>
        <w:t> </w:t>
      </w:r>
      <w:r>
        <w:rPr>
          <w:color w:val="231F20"/>
          <w:sz w:val="20"/>
        </w:rPr>
        <w:t>Wizard</w:t>
      </w:r>
      <w:r>
        <w:rPr>
          <w:color w:val="231F20"/>
          <w:spacing w:val="9"/>
          <w:sz w:val="20"/>
        </w:rPr>
        <w:t> </w:t>
      </w:r>
      <w:r>
        <w:rPr>
          <w:color w:val="231F20"/>
          <w:sz w:val="20"/>
        </w:rPr>
        <w:t>-</w:t>
      </w:r>
      <w:r>
        <w:rPr>
          <w:color w:val="231F20"/>
          <w:spacing w:val="9"/>
          <w:sz w:val="20"/>
        </w:rPr>
        <w:t> </w:t>
      </w:r>
      <w:r>
        <w:rPr>
          <w:color w:val="231F20"/>
          <w:spacing w:val="-2"/>
          <w:sz w:val="20"/>
        </w:rPr>
        <w:t>Parameters.</w:t>
      </w:r>
    </w:p>
    <w:p>
      <w:pPr>
        <w:pStyle w:val="ListParagraph"/>
        <w:numPr>
          <w:ilvl w:val="1"/>
          <w:numId w:val="46"/>
        </w:numPr>
        <w:tabs>
          <w:tab w:pos="2658" w:val="left" w:leader="none"/>
        </w:tabs>
        <w:spacing w:line="240" w:lineRule="auto" w:before="29" w:after="0"/>
        <w:ind w:left="2658" w:right="0" w:hanging="315"/>
        <w:jc w:val="left"/>
        <w:rPr>
          <w:sz w:val="20"/>
        </w:rPr>
      </w:pPr>
      <w:r>
        <w:rPr>
          <w:color w:val="231F20"/>
          <w:sz w:val="20"/>
        </w:rPr>
        <w:t>Click</w:t>
      </w:r>
      <w:r>
        <w:rPr>
          <w:color w:val="231F20"/>
          <w:spacing w:val="7"/>
          <w:sz w:val="20"/>
        </w:rPr>
        <w:t> </w:t>
      </w:r>
      <w:r>
        <w:rPr>
          <w:color w:val="231F20"/>
          <w:spacing w:val="16"/>
          <w:sz w:val="20"/>
        </w:rPr>
        <w:drawing>
          <wp:inline distT="0" distB="0" distL="0" distR="0">
            <wp:extent cx="63500" cy="63500"/>
            <wp:effectExtent l="0" t="0" r="0" b="0"/>
            <wp:docPr id="833" name="Image 833"/>
            <wp:cNvGraphicFramePr>
              <a:graphicFrameLocks/>
            </wp:cNvGraphicFramePr>
            <a:graphic>
              <a:graphicData uri="http://schemas.openxmlformats.org/drawingml/2006/picture">
                <pic:pic>
                  <pic:nvPicPr>
                    <pic:cNvPr id="833" name="Image 833"/>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6"/>
          <w:sz w:val="20"/>
        </w:rPr>
      </w:r>
      <w:r>
        <w:rPr>
          <w:rFonts w:ascii="Times New Roman"/>
          <w:color w:val="231F20"/>
          <w:spacing w:val="36"/>
          <w:sz w:val="20"/>
        </w:rPr>
        <w:t> </w:t>
      </w:r>
      <w:r>
        <w:rPr>
          <w:rFonts w:ascii="Book Antiqua"/>
          <w:b/>
          <w:color w:val="231F20"/>
          <w:sz w:val="20"/>
        </w:rPr>
        <w:t>thelinkIsEnabled</w:t>
      </w:r>
      <w:r>
        <w:rPr>
          <w:rFonts w:ascii="Book Antiqua"/>
          <w:b/>
          <w:color w:val="231F20"/>
          <w:spacing w:val="7"/>
          <w:sz w:val="20"/>
        </w:rPr>
        <w:t> </w:t>
      </w:r>
      <w:r>
        <w:rPr>
          <w:color w:val="231F20"/>
          <w:sz w:val="20"/>
        </w:rPr>
        <w:t>row.</w:t>
      </w:r>
      <w:r>
        <w:rPr>
          <w:color w:val="231F20"/>
          <w:spacing w:val="7"/>
          <w:sz w:val="20"/>
        </w:rPr>
        <w:t> </w:t>
      </w:r>
      <w:r>
        <w:rPr>
          <w:color w:val="231F20"/>
          <w:sz w:val="20"/>
        </w:rPr>
        <w:t>The</w:t>
      </w:r>
      <w:r>
        <w:rPr>
          <w:color w:val="231F20"/>
          <w:spacing w:val="7"/>
          <w:sz w:val="20"/>
        </w:rPr>
        <w:t> </w:t>
      </w:r>
      <w:r>
        <w:rPr>
          <w:color w:val="231F20"/>
          <w:sz w:val="20"/>
        </w:rPr>
        <w:t>Expression</w:t>
      </w:r>
      <w:r>
        <w:rPr>
          <w:color w:val="231F20"/>
          <w:spacing w:val="7"/>
          <w:sz w:val="20"/>
        </w:rPr>
        <w:t> </w:t>
      </w:r>
      <w:r>
        <w:rPr>
          <w:color w:val="231F20"/>
          <w:sz w:val="20"/>
        </w:rPr>
        <w:t>box</w:t>
      </w:r>
      <w:r>
        <w:rPr>
          <w:color w:val="231F20"/>
          <w:spacing w:val="7"/>
          <w:sz w:val="20"/>
        </w:rPr>
        <w:t> </w:t>
      </w:r>
      <w:r>
        <w:rPr>
          <w:color w:val="231F20"/>
          <w:sz w:val="20"/>
        </w:rPr>
        <w:t>reads</w:t>
      </w:r>
      <w:r>
        <w:rPr>
          <w:color w:val="231F20"/>
          <w:spacing w:val="7"/>
          <w:sz w:val="20"/>
        </w:rPr>
        <w:t> </w:t>
      </w:r>
      <w:r>
        <w:rPr>
          <w:rFonts w:ascii="Arial"/>
          <w:color w:val="231F20"/>
          <w:spacing w:val="-2"/>
          <w:sz w:val="20"/>
        </w:rPr>
        <w:t>true</w:t>
      </w:r>
      <w:r>
        <w:rPr>
          <w:color w:val="231F20"/>
          <w:spacing w:val="-2"/>
          <w:sz w:val="20"/>
        </w:rPr>
        <w:t>.</w:t>
      </w:r>
    </w:p>
    <w:p>
      <w:pPr>
        <w:pStyle w:val="ListParagraph"/>
        <w:numPr>
          <w:ilvl w:val="1"/>
          <w:numId w:val="46"/>
        </w:numPr>
        <w:tabs>
          <w:tab w:pos="2658" w:val="left" w:leader="none"/>
        </w:tabs>
        <w:spacing w:line="240" w:lineRule="auto" w:before="30" w:after="0"/>
        <w:ind w:left="2658" w:right="0" w:hanging="315"/>
        <w:jc w:val="left"/>
        <w:rPr>
          <w:sz w:val="20"/>
        </w:rPr>
      </w:pPr>
      <w:r>
        <w:rPr>
          <w:color w:val="231F20"/>
          <w:sz w:val="20"/>
        </w:rPr>
        <w:t>Click</w:t>
      </w:r>
      <w:r>
        <w:rPr>
          <w:color w:val="231F20"/>
          <w:spacing w:val="10"/>
          <w:sz w:val="20"/>
        </w:rPr>
        <w:t> </w:t>
      </w:r>
      <w:r>
        <w:rPr>
          <w:rFonts w:ascii="Book Antiqua"/>
          <w:b/>
          <w:color w:val="231F20"/>
          <w:sz w:val="20"/>
        </w:rPr>
        <w:t>Modify</w:t>
      </w:r>
      <w:r>
        <w:rPr>
          <w:rFonts w:ascii="Book Antiqua"/>
          <w:b/>
          <w:color w:val="231F20"/>
          <w:spacing w:val="10"/>
          <w:sz w:val="20"/>
        </w:rPr>
        <w:t> </w:t>
      </w:r>
      <w:r>
        <w:rPr>
          <w:rFonts w:ascii="Book Antiqua"/>
          <w:b/>
          <w:color w:val="231F20"/>
          <w:spacing w:val="-2"/>
          <w:sz w:val="20"/>
        </w:rPr>
        <w:t>Expression</w:t>
      </w:r>
      <w:r>
        <w:rPr>
          <w:color w:val="231F20"/>
          <w:spacing w:val="-2"/>
          <w:sz w:val="20"/>
        </w:rPr>
        <w:t>.</w:t>
      </w:r>
    </w:p>
    <w:p>
      <w:pPr>
        <w:pStyle w:val="ListParagraph"/>
        <w:numPr>
          <w:ilvl w:val="1"/>
          <w:numId w:val="46"/>
        </w:numPr>
        <w:tabs>
          <w:tab w:pos="2658" w:val="left" w:leader="none"/>
        </w:tabs>
        <w:spacing w:line="240" w:lineRule="auto" w:before="29" w:after="0"/>
        <w:ind w:left="2658" w:right="0" w:hanging="315"/>
        <w:jc w:val="left"/>
        <w:rPr>
          <w:sz w:val="20"/>
        </w:rPr>
      </w:pPr>
      <w:r>
        <w:rPr>
          <w:color w:val="231F20"/>
          <w:sz w:val="20"/>
        </w:rPr>
        <w:t>In</w:t>
      </w:r>
      <w:r>
        <w:rPr>
          <w:color w:val="231F20"/>
          <w:spacing w:val="9"/>
          <w:sz w:val="20"/>
        </w:rPr>
        <w:t> </w:t>
      </w:r>
      <w:r>
        <w:rPr>
          <w:color w:val="231F20"/>
          <w:sz w:val="20"/>
        </w:rPr>
        <w:t>the</w:t>
      </w:r>
      <w:r>
        <w:rPr>
          <w:color w:val="231F20"/>
          <w:spacing w:val="9"/>
          <w:sz w:val="20"/>
        </w:rPr>
        <w:t> </w:t>
      </w:r>
      <w:r>
        <w:rPr>
          <w:color w:val="231F20"/>
          <w:sz w:val="20"/>
        </w:rPr>
        <w:t>Expression</w:t>
      </w:r>
      <w:r>
        <w:rPr>
          <w:color w:val="231F20"/>
          <w:spacing w:val="9"/>
          <w:sz w:val="20"/>
        </w:rPr>
        <w:t> </w:t>
      </w:r>
      <w:r>
        <w:rPr>
          <w:color w:val="231F20"/>
          <w:sz w:val="20"/>
        </w:rPr>
        <w:t>Editor,</w:t>
      </w:r>
      <w:r>
        <w:rPr>
          <w:color w:val="231F20"/>
          <w:spacing w:val="10"/>
          <w:sz w:val="20"/>
        </w:rPr>
        <w:t> </w:t>
      </w:r>
      <w:r>
        <w:rPr>
          <w:color w:val="231F20"/>
          <w:sz w:val="20"/>
        </w:rPr>
        <w:t>click</w:t>
      </w:r>
      <w:r>
        <w:rPr>
          <w:color w:val="231F20"/>
          <w:spacing w:val="9"/>
          <w:sz w:val="20"/>
        </w:rPr>
        <w:t> </w:t>
      </w:r>
      <w:r>
        <w:rPr>
          <w:rFonts w:ascii="Book Antiqua"/>
          <w:b/>
          <w:color w:val="231F20"/>
          <w:sz w:val="20"/>
        </w:rPr>
        <w:t>Clear</w:t>
      </w:r>
      <w:r>
        <w:rPr>
          <w:color w:val="231F20"/>
          <w:sz w:val="20"/>
        </w:rPr>
        <w:t>,</w:t>
      </w:r>
      <w:r>
        <w:rPr>
          <w:color w:val="231F20"/>
          <w:spacing w:val="9"/>
          <w:sz w:val="20"/>
        </w:rPr>
        <w:t> </w:t>
      </w:r>
      <w:r>
        <w:rPr>
          <w:color w:val="231F20"/>
          <w:sz w:val="20"/>
        </w:rPr>
        <w:t>and</w:t>
      </w:r>
      <w:r>
        <w:rPr>
          <w:color w:val="231F20"/>
          <w:spacing w:val="10"/>
          <w:sz w:val="20"/>
        </w:rPr>
        <w:t> </w:t>
      </w:r>
      <w:r>
        <w:rPr>
          <w:color w:val="231F20"/>
          <w:sz w:val="20"/>
        </w:rPr>
        <w:t>then</w:t>
      </w:r>
      <w:r>
        <w:rPr>
          <w:color w:val="231F20"/>
          <w:spacing w:val="9"/>
          <w:sz w:val="20"/>
        </w:rPr>
        <w:t> </w:t>
      </w:r>
      <w:r>
        <w:rPr>
          <w:color w:val="231F20"/>
          <w:sz w:val="20"/>
        </w:rPr>
        <w:t>click</w:t>
      </w:r>
      <w:r>
        <w:rPr>
          <w:color w:val="231F20"/>
          <w:spacing w:val="9"/>
          <w:sz w:val="20"/>
        </w:rPr>
        <w:t> </w:t>
      </w:r>
      <w:r>
        <w:rPr>
          <w:rFonts w:ascii="Book Antiqua"/>
          <w:b/>
          <w:color w:val="231F20"/>
          <w:spacing w:val="-2"/>
          <w:sz w:val="20"/>
        </w:rPr>
        <w:t>Symbol</w:t>
      </w:r>
      <w:r>
        <w:rPr>
          <w:color w:val="231F20"/>
          <w:spacing w:val="-2"/>
          <w:sz w:val="20"/>
        </w:rPr>
        <w:t>.</w:t>
      </w:r>
    </w:p>
    <w:p>
      <w:pPr>
        <w:pStyle w:val="ListParagraph"/>
        <w:numPr>
          <w:ilvl w:val="1"/>
          <w:numId w:val="46"/>
        </w:numPr>
        <w:tabs>
          <w:tab w:pos="2657" w:val="left" w:leader="none"/>
          <w:tab w:pos="2659" w:val="left" w:leader="none"/>
        </w:tabs>
        <w:spacing w:line="213" w:lineRule="auto" w:before="53" w:after="0"/>
        <w:ind w:left="2659" w:right="1334" w:hanging="317"/>
        <w:jc w:val="left"/>
        <w:rPr>
          <w:sz w:val="20"/>
        </w:rPr>
      </w:pPr>
      <w:r>
        <w:rPr>
          <w:color w:val="231F20"/>
          <w:sz w:val="20"/>
        </w:rPr>
        <w:t>In the </w:t>
      </w:r>
      <w:r>
        <w:rPr>
          <w:rFonts w:ascii="Book Antiqua"/>
          <w:b/>
          <w:color w:val="231F20"/>
          <w:sz w:val="20"/>
        </w:rPr>
        <w:t>Symbols </w:t>
      </w:r>
      <w:r>
        <w:rPr>
          <w:color w:val="231F20"/>
          <w:sz w:val="20"/>
        </w:rPr>
        <w:t>list, select </w:t>
      </w:r>
      <w:r>
        <w:rPr>
          <w:color w:val="231F20"/>
          <w:spacing w:val="15"/>
          <w:sz w:val="20"/>
        </w:rPr>
        <w:drawing>
          <wp:inline distT="0" distB="0" distL="0" distR="0">
            <wp:extent cx="63500" cy="63500"/>
            <wp:effectExtent l="0" t="0" r="0" b="0"/>
            <wp:docPr id="834" name="Image 834"/>
            <wp:cNvGraphicFramePr>
              <a:graphicFrameLocks/>
            </wp:cNvGraphicFramePr>
            <a:graphic>
              <a:graphicData uri="http://schemas.openxmlformats.org/drawingml/2006/picture">
                <pic:pic>
                  <pic:nvPicPr>
                    <pic:cNvPr id="834" name="Image 834"/>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5"/>
          <w:sz w:val="20"/>
        </w:rPr>
      </w:r>
      <w:r>
        <w:rPr>
          <w:rFonts w:ascii="Times New Roman"/>
          <w:color w:val="231F20"/>
          <w:spacing w:val="-16"/>
          <w:sz w:val="20"/>
        </w:rPr>
        <w:t> </w:t>
      </w:r>
      <w:r>
        <w:rPr>
          <w:rFonts w:ascii="Book Antiqua"/>
          <w:b/>
          <w:color w:val="231F20"/>
          <w:sz w:val="20"/>
        </w:rPr>
        <w:t>Product </w:t>
      </w:r>
      <w:r>
        <w:rPr>
          <w:color w:val="231F20"/>
          <w:sz w:val="20"/>
        </w:rPr>
        <w:t>and click </w:t>
      </w:r>
      <w:r>
        <w:rPr>
          <w:rFonts w:ascii="Book Antiqua"/>
          <w:b/>
          <w:color w:val="231F20"/>
          <w:sz w:val="20"/>
        </w:rPr>
        <w:t>OK</w:t>
      </w:r>
      <w:r>
        <w:rPr>
          <w:color w:val="231F20"/>
          <w:sz w:val="20"/>
        </w:rPr>
        <w:t>. The expression is </w:t>
      </w:r>
      <w:r>
        <w:rPr>
          <w:color w:val="231F20"/>
          <w:w w:val="90"/>
          <w:sz w:val="20"/>
        </w:rPr>
        <w:t>displayed as </w:t>
      </w:r>
      <w:r>
        <w:rPr>
          <w:rFonts w:ascii="Arial"/>
          <w:color w:val="231F20"/>
          <w:w w:val="90"/>
          <w:sz w:val="20"/>
        </w:rPr>
        <w:t>$kfw.INODESTS:ATTRIBUTE.INODESTS.PRODUCT$</w:t>
      </w:r>
      <w:r>
        <w:rPr>
          <w:color w:val="231F20"/>
          <w:w w:val="90"/>
          <w:sz w:val="20"/>
        </w:rPr>
        <w:t>.</w:t>
      </w:r>
    </w:p>
    <w:p>
      <w:pPr>
        <w:spacing w:after="0" w:line="213" w:lineRule="auto"/>
        <w:jc w:val="left"/>
        <w:rPr>
          <w:sz w:val="20"/>
        </w:rPr>
        <w:sectPr>
          <w:pgSz w:w="12240" w:h="15840"/>
          <w:pgMar w:header="0" w:footer="736" w:top="1140" w:bottom="920" w:left="1000" w:right="1060"/>
        </w:sectPr>
      </w:pPr>
    </w:p>
    <w:p>
      <w:pPr>
        <w:pStyle w:val="ListParagraph"/>
        <w:numPr>
          <w:ilvl w:val="1"/>
          <w:numId w:val="46"/>
        </w:numPr>
        <w:tabs>
          <w:tab w:pos="2898" w:val="left" w:leader="none"/>
        </w:tabs>
        <w:spacing w:line="240" w:lineRule="auto" w:before="62" w:after="0"/>
        <w:ind w:left="2898" w:right="0" w:hanging="315"/>
        <w:jc w:val="left"/>
        <w:rPr>
          <w:sz w:val="20"/>
        </w:rPr>
      </w:pPr>
      <w:r>
        <w:rPr>
          <w:color w:val="231F20"/>
          <w:sz w:val="20"/>
        </w:rPr>
        <w:t>Click</w:t>
      </w:r>
      <w:r>
        <w:rPr>
          <w:color w:val="231F20"/>
          <w:spacing w:val="15"/>
          <w:sz w:val="20"/>
        </w:rPr>
        <w:t> </w:t>
      </w:r>
      <w:r>
        <w:rPr>
          <w:rFonts w:ascii="Book Antiqua"/>
          <w:b/>
          <w:color w:val="231F20"/>
          <w:sz w:val="20"/>
        </w:rPr>
        <w:t>Operator</w:t>
      </w:r>
      <w:r>
        <w:rPr>
          <w:color w:val="231F20"/>
          <w:sz w:val="20"/>
        </w:rPr>
        <w:t>,</w:t>
      </w:r>
      <w:r>
        <w:rPr>
          <w:color w:val="231F20"/>
          <w:spacing w:val="16"/>
          <w:sz w:val="20"/>
        </w:rPr>
        <w:t> </w:t>
      </w:r>
      <w:r>
        <w:rPr>
          <w:color w:val="231F20"/>
          <w:sz w:val="20"/>
        </w:rPr>
        <w:t>select</w:t>
      </w:r>
      <w:r>
        <w:rPr>
          <w:color w:val="231F20"/>
          <w:spacing w:val="15"/>
          <w:sz w:val="20"/>
        </w:rPr>
        <w:t> </w:t>
      </w:r>
      <w:r>
        <w:rPr>
          <w:color w:val="231F20"/>
          <w:spacing w:val="15"/>
          <w:sz w:val="20"/>
        </w:rPr>
        <w:drawing>
          <wp:inline distT="0" distB="0" distL="0" distR="0">
            <wp:extent cx="63500" cy="63500"/>
            <wp:effectExtent l="0" t="0" r="0" b="0"/>
            <wp:docPr id="835" name="Image 835"/>
            <wp:cNvGraphicFramePr>
              <a:graphicFrameLocks/>
            </wp:cNvGraphicFramePr>
            <a:graphic>
              <a:graphicData uri="http://schemas.openxmlformats.org/drawingml/2006/picture">
                <pic:pic>
                  <pic:nvPicPr>
                    <pic:cNvPr id="835" name="Image 835"/>
                    <pic:cNvPicPr/>
                  </pic:nvPicPr>
                  <pic:blipFill>
                    <a:blip r:embed="rId186" cstate="print"/>
                    <a:stretch>
                      <a:fillRect/>
                    </a:stretch>
                  </pic:blipFill>
                  <pic:spPr>
                    <a:xfrm>
                      <a:off x="0" y="0"/>
                      <a:ext cx="63500" cy="63500"/>
                    </a:xfrm>
                    <a:prstGeom prst="rect">
                      <a:avLst/>
                    </a:prstGeom>
                  </pic:spPr>
                </pic:pic>
              </a:graphicData>
            </a:graphic>
          </wp:inline>
        </w:drawing>
      </w:r>
      <w:r>
        <w:rPr>
          <w:color w:val="231F20"/>
          <w:spacing w:val="15"/>
          <w:sz w:val="20"/>
        </w:rPr>
      </w:r>
      <w:r>
        <w:rPr>
          <w:rFonts w:ascii="Times New Roman"/>
          <w:color w:val="231F20"/>
          <w:spacing w:val="51"/>
          <w:sz w:val="20"/>
        </w:rPr>
        <w:t> </w:t>
      </w:r>
      <w:r>
        <w:rPr>
          <w:rFonts w:ascii="Book Antiqua"/>
          <w:b/>
          <w:color w:val="231F20"/>
          <w:sz w:val="20"/>
        </w:rPr>
        <w:t>Equal</w:t>
      </w:r>
      <w:r>
        <w:rPr>
          <w:rFonts w:ascii="Book Antiqua"/>
          <w:b/>
          <w:color w:val="231F20"/>
          <w:spacing w:val="16"/>
          <w:sz w:val="20"/>
        </w:rPr>
        <w:t> </w:t>
      </w:r>
      <w:r>
        <w:rPr>
          <w:color w:val="231F20"/>
          <w:sz w:val="20"/>
        </w:rPr>
        <w:t>and</w:t>
      </w:r>
      <w:r>
        <w:rPr>
          <w:color w:val="231F20"/>
          <w:spacing w:val="16"/>
          <w:sz w:val="20"/>
        </w:rPr>
        <w:t> </w:t>
      </w:r>
      <w:r>
        <w:rPr>
          <w:color w:val="231F20"/>
          <w:sz w:val="20"/>
        </w:rPr>
        <w:t>click</w:t>
      </w:r>
      <w:r>
        <w:rPr>
          <w:color w:val="231F20"/>
          <w:spacing w:val="16"/>
          <w:sz w:val="20"/>
        </w:rPr>
        <w:t> </w:t>
      </w:r>
      <w:r>
        <w:rPr>
          <w:rFonts w:ascii="Book Antiqua"/>
          <w:b/>
          <w:color w:val="231F20"/>
          <w:sz w:val="20"/>
        </w:rPr>
        <w:t>OK</w:t>
      </w:r>
      <w:r>
        <w:rPr>
          <w:rFonts w:ascii="Book Antiqua"/>
          <w:b/>
          <w:color w:val="231F20"/>
          <w:spacing w:val="16"/>
          <w:sz w:val="20"/>
        </w:rPr>
        <w:t> </w:t>
      </w:r>
      <w:r>
        <w:rPr>
          <w:color w:val="231F20"/>
          <w:sz w:val="20"/>
        </w:rPr>
        <w:t>to</w:t>
      </w:r>
      <w:r>
        <w:rPr>
          <w:color w:val="231F20"/>
          <w:spacing w:val="15"/>
          <w:sz w:val="20"/>
        </w:rPr>
        <w:t> </w:t>
      </w:r>
      <w:r>
        <w:rPr>
          <w:color w:val="231F20"/>
          <w:sz w:val="20"/>
        </w:rPr>
        <w:t>see</w:t>
      </w:r>
      <w:r>
        <w:rPr>
          <w:color w:val="231F20"/>
          <w:spacing w:val="16"/>
          <w:sz w:val="20"/>
        </w:rPr>
        <w:t> </w:t>
      </w:r>
      <w:r>
        <w:rPr>
          <w:color w:val="231F20"/>
          <w:sz w:val="20"/>
        </w:rPr>
        <w:t>the</w:t>
      </w:r>
      <w:r>
        <w:rPr>
          <w:color w:val="231F20"/>
          <w:spacing w:val="16"/>
          <w:sz w:val="20"/>
        </w:rPr>
        <w:t> </w:t>
      </w:r>
      <w:r>
        <w:rPr>
          <w:color w:val="231F20"/>
          <w:sz w:val="20"/>
        </w:rPr>
        <w:t>==</w:t>
      </w:r>
      <w:r>
        <w:rPr>
          <w:color w:val="231F20"/>
          <w:spacing w:val="16"/>
          <w:sz w:val="20"/>
        </w:rPr>
        <w:t> </w:t>
      </w:r>
      <w:r>
        <w:rPr>
          <w:color w:val="231F20"/>
          <w:spacing w:val="-2"/>
          <w:sz w:val="20"/>
        </w:rPr>
        <w:t>operator.</w:t>
      </w:r>
    </w:p>
    <w:p>
      <w:pPr>
        <w:pStyle w:val="ListParagraph"/>
        <w:numPr>
          <w:ilvl w:val="1"/>
          <w:numId w:val="46"/>
        </w:numPr>
        <w:tabs>
          <w:tab w:pos="2899" w:val="left" w:leader="none"/>
        </w:tabs>
        <w:spacing w:line="255" w:lineRule="exact" w:before="29" w:after="0"/>
        <w:ind w:left="2899" w:right="0" w:hanging="427"/>
        <w:jc w:val="left"/>
        <w:rPr>
          <w:sz w:val="20"/>
        </w:rPr>
      </w:pPr>
      <w:r>
        <w:rPr>
          <w:color w:val="231F20"/>
          <w:sz w:val="20"/>
        </w:rPr>
        <w:t>Type</w:t>
      </w:r>
      <w:r>
        <w:rPr>
          <w:color w:val="231F20"/>
          <w:spacing w:val="9"/>
          <w:sz w:val="20"/>
        </w:rPr>
        <w:t> </w:t>
      </w:r>
      <w:r>
        <w:rPr>
          <w:color w:val="231F20"/>
          <w:sz w:val="20"/>
        </w:rPr>
        <w:t>"NT"</w:t>
      </w:r>
      <w:r>
        <w:rPr>
          <w:color w:val="231F20"/>
          <w:spacing w:val="10"/>
          <w:sz w:val="20"/>
        </w:rPr>
        <w:t> </w:t>
      </w:r>
      <w:r>
        <w:rPr>
          <w:color w:val="231F20"/>
          <w:sz w:val="20"/>
        </w:rPr>
        <w:t>at</w:t>
      </w:r>
      <w:r>
        <w:rPr>
          <w:color w:val="231F20"/>
          <w:spacing w:val="10"/>
          <w:sz w:val="20"/>
        </w:rPr>
        <w:t> </w:t>
      </w:r>
      <w:r>
        <w:rPr>
          <w:color w:val="231F20"/>
          <w:sz w:val="20"/>
        </w:rPr>
        <w:t>the</w:t>
      </w:r>
      <w:r>
        <w:rPr>
          <w:color w:val="231F20"/>
          <w:spacing w:val="10"/>
          <w:sz w:val="20"/>
        </w:rPr>
        <w:t> </w:t>
      </w:r>
      <w:r>
        <w:rPr>
          <w:color w:val="231F20"/>
          <w:sz w:val="20"/>
        </w:rPr>
        <w:t>end</w:t>
      </w:r>
      <w:r>
        <w:rPr>
          <w:color w:val="231F20"/>
          <w:spacing w:val="9"/>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z w:val="20"/>
        </w:rPr>
        <w:t>expression,</w:t>
      </w:r>
      <w:r>
        <w:rPr>
          <w:color w:val="231F20"/>
          <w:spacing w:val="10"/>
          <w:sz w:val="20"/>
        </w:rPr>
        <w:t> </w:t>
      </w:r>
      <w:r>
        <w:rPr>
          <w:color w:val="231F20"/>
          <w:sz w:val="20"/>
        </w:rPr>
        <w:t>which</w:t>
      </w:r>
      <w:r>
        <w:rPr>
          <w:color w:val="231F20"/>
          <w:spacing w:val="9"/>
          <w:sz w:val="20"/>
        </w:rPr>
        <w:t> </w:t>
      </w:r>
      <w:r>
        <w:rPr>
          <w:color w:val="231F20"/>
          <w:sz w:val="20"/>
        </w:rPr>
        <w:t>should</w:t>
      </w:r>
      <w:r>
        <w:rPr>
          <w:color w:val="231F20"/>
          <w:spacing w:val="10"/>
          <w:sz w:val="20"/>
        </w:rPr>
        <w:t> </w:t>
      </w:r>
      <w:r>
        <w:rPr>
          <w:color w:val="231F20"/>
          <w:sz w:val="20"/>
        </w:rPr>
        <w:t>then</w:t>
      </w:r>
      <w:r>
        <w:rPr>
          <w:color w:val="231F20"/>
          <w:spacing w:val="10"/>
          <w:sz w:val="20"/>
        </w:rPr>
        <w:t> </w:t>
      </w:r>
      <w:r>
        <w:rPr>
          <w:color w:val="231F20"/>
          <w:spacing w:val="-2"/>
          <w:sz w:val="20"/>
        </w:rPr>
        <w:t>read,</w:t>
      </w:r>
    </w:p>
    <w:p>
      <w:pPr>
        <w:pStyle w:val="BodyText"/>
        <w:spacing w:line="255" w:lineRule="exact"/>
        <w:ind w:left="2899"/>
      </w:pPr>
      <w:r>
        <w:rPr>
          <w:rFonts w:ascii="Arial"/>
          <w:color w:val="231F20"/>
          <w:w w:val="80"/>
        </w:rPr>
        <w:t>$kfw.INODESTS:ATTRIBUTE.INODESTS.PRODUCT$</w:t>
      </w:r>
      <w:r>
        <w:rPr>
          <w:rFonts w:ascii="Arial"/>
          <w:color w:val="231F20"/>
          <w:spacing w:val="33"/>
        </w:rPr>
        <w:t>  </w:t>
      </w:r>
      <w:r>
        <w:rPr>
          <w:rFonts w:ascii="Arial"/>
          <w:color w:val="231F20"/>
          <w:w w:val="80"/>
        </w:rPr>
        <w:t>==</w:t>
      </w:r>
      <w:r>
        <w:rPr>
          <w:rFonts w:ascii="Arial"/>
          <w:color w:val="231F20"/>
          <w:spacing w:val="33"/>
        </w:rPr>
        <w:t>  </w:t>
      </w:r>
      <w:r>
        <w:rPr>
          <w:rFonts w:ascii="Arial"/>
          <w:color w:val="231F20"/>
          <w:spacing w:val="-2"/>
          <w:w w:val="80"/>
        </w:rPr>
        <w:t>"NT"</w:t>
      </w:r>
      <w:r>
        <w:rPr>
          <w:color w:val="231F20"/>
          <w:spacing w:val="-2"/>
          <w:w w:val="80"/>
        </w:rPr>
        <w:t>.</w:t>
      </w:r>
    </w:p>
    <w:p>
      <w:pPr>
        <w:pStyle w:val="ListParagraph"/>
        <w:numPr>
          <w:ilvl w:val="1"/>
          <w:numId w:val="46"/>
        </w:numPr>
        <w:tabs>
          <w:tab w:pos="2882" w:val="left" w:leader="none"/>
          <w:tab w:pos="2884" w:val="left" w:leader="none"/>
        </w:tabs>
        <w:spacing w:line="213" w:lineRule="auto" w:before="53" w:after="0"/>
        <w:ind w:left="2884" w:right="378" w:hanging="413"/>
        <w:jc w:val="left"/>
        <w:rPr>
          <w:sz w:val="20"/>
        </w:rPr>
      </w:pPr>
      <w:r>
        <w:rPr>
          <w:color w:val="231F20"/>
          <w:sz w:val="20"/>
        </w:rPr>
        <w:t>Click </w:t>
      </w:r>
      <w:r>
        <w:rPr>
          <w:rFonts w:ascii="Book Antiqua"/>
          <w:b/>
          <w:color w:val="231F20"/>
          <w:sz w:val="20"/>
        </w:rPr>
        <w:t>Evaluate</w:t>
      </w:r>
      <w:r>
        <w:rPr>
          <w:color w:val="231F20"/>
          <w:sz w:val="20"/>
        </w:rPr>
        <w:t>. If the row from where you started the Link Wizard has </w:t>
      </w:r>
      <w:r>
        <w:rPr>
          <w:rFonts w:ascii="Arial"/>
          <w:color w:val="231F20"/>
          <w:sz w:val="20"/>
        </w:rPr>
        <w:t>NT </w:t>
      </w:r>
      <w:r>
        <w:rPr>
          <w:color w:val="231F20"/>
          <w:sz w:val="20"/>
        </w:rPr>
        <w:t>in the</w:t>
      </w:r>
      <w:r>
        <w:rPr>
          <w:color w:val="231F20"/>
          <w:spacing w:val="40"/>
          <w:sz w:val="20"/>
        </w:rPr>
        <w:t> </w:t>
      </w:r>
      <w:r>
        <w:rPr>
          <w:color w:val="231F20"/>
          <w:sz w:val="20"/>
        </w:rPr>
        <w:t>Product</w:t>
      </w:r>
      <w:r>
        <w:rPr>
          <w:color w:val="231F20"/>
          <w:spacing w:val="40"/>
          <w:sz w:val="20"/>
        </w:rPr>
        <w:t> </w:t>
      </w:r>
      <w:r>
        <w:rPr>
          <w:color w:val="231F20"/>
          <w:sz w:val="20"/>
        </w:rPr>
        <w:t>column,</w:t>
      </w:r>
      <w:r>
        <w:rPr>
          <w:color w:val="231F20"/>
          <w:spacing w:val="40"/>
          <w:sz w:val="20"/>
        </w:rPr>
        <w:t> </w:t>
      </w:r>
      <w:r>
        <w:rPr>
          <w:color w:val="231F20"/>
          <w:sz w:val="20"/>
        </w:rPr>
        <w:t>the</w:t>
      </w:r>
      <w:r>
        <w:rPr>
          <w:color w:val="231F20"/>
          <w:spacing w:val="40"/>
          <w:sz w:val="20"/>
        </w:rPr>
        <w:t> </w:t>
      </w:r>
      <w:r>
        <w:rPr>
          <w:color w:val="231F20"/>
          <w:sz w:val="20"/>
        </w:rPr>
        <w:t>test</w:t>
      </w:r>
      <w:r>
        <w:rPr>
          <w:color w:val="231F20"/>
          <w:spacing w:val="40"/>
          <w:sz w:val="20"/>
        </w:rPr>
        <w:t> </w:t>
      </w:r>
      <w:r>
        <w:rPr>
          <w:color w:val="231F20"/>
          <w:sz w:val="20"/>
        </w:rPr>
        <w:t>will</w:t>
      </w:r>
      <w:r>
        <w:rPr>
          <w:color w:val="231F20"/>
          <w:spacing w:val="40"/>
          <w:sz w:val="20"/>
        </w:rPr>
        <w:t> </w:t>
      </w:r>
      <w:r>
        <w:rPr>
          <w:color w:val="231F20"/>
          <w:sz w:val="20"/>
        </w:rPr>
        <w:t>be</w:t>
      </w:r>
      <w:r>
        <w:rPr>
          <w:rFonts w:ascii="Arial"/>
          <w:color w:val="231F20"/>
          <w:sz w:val="20"/>
        </w:rPr>
        <w:t>true</w:t>
      </w:r>
      <w:r>
        <w:rPr>
          <w:color w:val="231F20"/>
          <w:sz w:val="20"/>
        </w:rPr>
        <w:t>;</w:t>
      </w:r>
      <w:r>
        <w:rPr>
          <w:color w:val="231F20"/>
          <w:spacing w:val="40"/>
          <w:sz w:val="20"/>
        </w:rPr>
        <w:t> </w:t>
      </w:r>
      <w:r>
        <w:rPr>
          <w:color w:val="231F20"/>
          <w:sz w:val="20"/>
        </w:rPr>
        <w:t>otherwise,</w:t>
      </w:r>
      <w:r>
        <w:rPr>
          <w:color w:val="231F20"/>
          <w:spacing w:val="40"/>
          <w:sz w:val="20"/>
        </w:rPr>
        <w:t> </w:t>
      </w:r>
      <w:r>
        <w:rPr>
          <w:color w:val="231F20"/>
          <w:sz w:val="20"/>
        </w:rPr>
        <w:t>it</w:t>
      </w:r>
      <w:r>
        <w:rPr>
          <w:color w:val="231F20"/>
          <w:spacing w:val="40"/>
          <w:sz w:val="20"/>
        </w:rPr>
        <w:t> </w:t>
      </w:r>
      <w:r>
        <w:rPr>
          <w:color w:val="231F20"/>
          <w:sz w:val="20"/>
        </w:rPr>
        <w:t>will</w:t>
      </w:r>
      <w:r>
        <w:rPr>
          <w:color w:val="231F20"/>
          <w:spacing w:val="40"/>
          <w:sz w:val="20"/>
        </w:rPr>
        <w:t> </w:t>
      </w:r>
      <w:r>
        <w:rPr>
          <w:color w:val="231F20"/>
          <w:sz w:val="20"/>
        </w:rPr>
        <w:t>be</w:t>
      </w:r>
      <w:r>
        <w:rPr>
          <w:color w:val="231F20"/>
          <w:spacing w:val="40"/>
          <w:sz w:val="20"/>
        </w:rPr>
        <w:t> </w:t>
      </w:r>
      <w:r>
        <w:rPr>
          <w:rFonts w:ascii="Arial"/>
          <w:color w:val="231F20"/>
          <w:sz w:val="20"/>
        </w:rPr>
        <w:t>false</w:t>
      </w:r>
      <w:r>
        <w:rPr>
          <w:color w:val="231F20"/>
          <w:sz w:val="20"/>
        </w:rPr>
        <w:t>.</w:t>
      </w:r>
    </w:p>
    <w:p>
      <w:pPr>
        <w:pStyle w:val="ListParagraph"/>
        <w:numPr>
          <w:ilvl w:val="1"/>
          <w:numId w:val="46"/>
        </w:numPr>
        <w:tabs>
          <w:tab w:pos="2899" w:val="left" w:leader="none"/>
        </w:tabs>
        <w:spacing w:line="240" w:lineRule="auto" w:before="35" w:after="0"/>
        <w:ind w:left="2899" w:right="0" w:hanging="427"/>
        <w:jc w:val="left"/>
        <w:rPr>
          <w:sz w:val="20"/>
        </w:rPr>
      </w:pPr>
      <w:r>
        <w:rPr>
          <w:color w:val="231F20"/>
          <w:sz w:val="20"/>
        </w:rPr>
        <w:t>Click</w:t>
      </w:r>
      <w:r>
        <w:rPr>
          <w:color w:val="231F20"/>
          <w:spacing w:val="11"/>
          <w:sz w:val="20"/>
        </w:rPr>
        <w:t> </w:t>
      </w:r>
      <w:r>
        <w:rPr>
          <w:rFonts w:ascii="Book Antiqua"/>
          <w:b/>
          <w:color w:val="231F20"/>
          <w:spacing w:val="-2"/>
          <w:sz w:val="20"/>
        </w:rPr>
        <w:t>Finish</w:t>
      </w:r>
      <w:r>
        <w:rPr>
          <w:color w:val="231F20"/>
          <w:spacing w:val="-2"/>
          <w:sz w:val="20"/>
        </w:rPr>
        <w:t>.</w:t>
      </w:r>
    </w:p>
    <w:p>
      <w:pPr>
        <w:pStyle w:val="BodyText"/>
        <w:spacing w:line="216" w:lineRule="auto" w:before="230"/>
        <w:ind w:left="2472" w:right="357"/>
        <w:jc w:val="both"/>
      </w:pPr>
      <w:r>
        <w:rPr>
          <w:color w:val="231F20"/>
        </w:rPr>
        <w:t>Click the </w:t>
      </w:r>
      <w:r>
        <w:rPr>
          <w:color w:val="231F20"/>
          <w:spacing w:val="16"/>
          <w:position w:val="-1"/>
        </w:rPr>
        <w:drawing>
          <wp:inline distT="0" distB="0" distL="0" distR="0">
            <wp:extent cx="101600" cy="101600"/>
            <wp:effectExtent l="0" t="0" r="0" b="0"/>
            <wp:docPr id="836" name="Image 836"/>
            <wp:cNvGraphicFramePr>
              <a:graphicFrameLocks/>
            </wp:cNvGraphicFramePr>
            <a:graphic>
              <a:graphicData uri="http://schemas.openxmlformats.org/drawingml/2006/picture">
                <pic:pic>
                  <pic:nvPicPr>
                    <pic:cNvPr id="836" name="Image 836"/>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link indicator in one of the NT rows to open the Services workspace</w:t>
      </w:r>
      <w:r>
        <w:rPr>
          <w:color w:val="231F20"/>
          <w:spacing w:val="40"/>
        </w:rPr>
        <w:t> </w:t>
      </w:r>
      <w:r>
        <w:rPr>
          <w:color w:val="231F20"/>
        </w:rPr>
        <w:t>for that monitoring agent. Note that you can disable the link indicator for </w:t>
      </w:r>
      <w:r>
        <w:rPr>
          <w:color w:val="231F20"/>
        </w:rPr>
        <w:t>invalid rows by clearing </w:t>
      </w:r>
      <w:r>
        <w:rPr>
          <w:color w:val="231F20"/>
          <w:spacing w:val="16"/>
        </w:rPr>
        <w:drawing>
          <wp:inline distT="0" distB="0" distL="0" distR="0">
            <wp:extent cx="82549" cy="82550"/>
            <wp:effectExtent l="0" t="0" r="0" b="0"/>
            <wp:docPr id="837" name="Image 837"/>
            <wp:cNvGraphicFramePr>
              <a:graphicFrameLocks/>
            </wp:cNvGraphicFramePr>
            <a:graphic>
              <a:graphicData uri="http://schemas.openxmlformats.org/drawingml/2006/picture">
                <pic:pic>
                  <pic:nvPicPr>
                    <pic:cNvPr id="837" name="Image 837"/>
                    <pic:cNvPicPr/>
                  </pic:nvPicPr>
                  <pic:blipFill>
                    <a:blip r:embed="rId120" cstate="print"/>
                    <a:stretch>
                      <a:fillRect/>
                    </a:stretch>
                  </pic:blipFill>
                  <pic:spPr>
                    <a:xfrm>
                      <a:off x="0" y="0"/>
                      <a:ext cx="82549" cy="82550"/>
                    </a:xfrm>
                    <a:prstGeom prst="rect">
                      <a:avLst/>
                    </a:prstGeom>
                  </pic:spPr>
                </pic:pic>
              </a:graphicData>
            </a:graphic>
          </wp:inline>
        </w:drawing>
      </w:r>
      <w:r>
        <w:rPr>
          <w:color w:val="231F20"/>
          <w:spacing w:val="16"/>
        </w:rPr>
      </w:r>
      <w:r>
        <w:rPr>
          <w:rFonts w:ascii="Times New Roman"/>
          <w:color w:val="231F20"/>
          <w:spacing w:val="7"/>
        </w:rPr>
        <w:t> </w:t>
      </w:r>
      <w:r>
        <w:rPr>
          <w:rFonts w:ascii="Book Antiqua"/>
          <w:b/>
          <w:color w:val="231F20"/>
        </w:rPr>
        <w:t>Link Indicator Always Enabled</w:t>
      </w:r>
      <w:r>
        <w:rPr>
          <w:color w:val="231F20"/>
        </w:rPr>
        <w:t>.</w:t>
      </w:r>
    </w:p>
    <w:p>
      <w:pPr>
        <w:pStyle w:val="Heading4"/>
        <w:spacing w:before="193"/>
        <w:ind w:left="2472"/>
        <w:jc w:val="both"/>
      </w:pPr>
      <w:r>
        <w:rPr>
          <w:color w:val="231F20"/>
        </w:rPr>
        <w:t>Text</w:t>
      </w:r>
      <w:r>
        <w:rPr>
          <w:color w:val="231F20"/>
          <w:spacing w:val="3"/>
        </w:rPr>
        <w:t> </w:t>
      </w:r>
      <w:r>
        <w:rPr>
          <w:color w:val="231F20"/>
        </w:rPr>
        <w:t>in</w:t>
      </w:r>
      <w:r>
        <w:rPr>
          <w:color w:val="231F20"/>
          <w:spacing w:val="3"/>
        </w:rPr>
        <w:t> </w:t>
      </w:r>
      <w:r>
        <w:rPr>
          <w:color w:val="231F20"/>
        </w:rPr>
        <w:t>link</w:t>
      </w:r>
      <w:r>
        <w:rPr>
          <w:color w:val="231F20"/>
          <w:spacing w:val="3"/>
        </w:rPr>
        <w:t> </w:t>
      </w:r>
      <w:r>
        <w:rPr>
          <w:color w:val="231F20"/>
          <w:spacing w:val="-2"/>
        </w:rPr>
        <w:t>expressions</w:t>
      </w:r>
    </w:p>
    <w:p>
      <w:pPr>
        <w:pStyle w:val="BodyText"/>
        <w:spacing w:line="213" w:lineRule="auto" w:before="242"/>
        <w:ind w:left="2472" w:right="385"/>
      </w:pPr>
      <w:r>
        <w:rPr>
          <w:color w:val="231F20"/>
        </w:rPr>
        <w:t>You can add text and spaces to the link expression by enclosing them in " double quotes and joining to any other functions with a + plus sign. Here are some</w:t>
      </w:r>
      <w:r>
        <w:rPr>
          <w:color w:val="231F20"/>
          <w:spacing w:val="40"/>
        </w:rPr>
        <w:t> </w:t>
      </w:r>
      <w:r>
        <w:rPr>
          <w:color w:val="231F20"/>
          <w:spacing w:val="-2"/>
        </w:rPr>
        <w:t>examples.</w:t>
      </w:r>
    </w:p>
    <w:p>
      <w:pPr>
        <w:pStyle w:val="BodyText"/>
        <w:spacing w:before="7" w:after="1"/>
        <w:rPr>
          <w:sz w:val="12"/>
        </w:r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6344"/>
        <w:gridCol w:w="3224"/>
      </w:tblGrid>
      <w:tr>
        <w:trPr>
          <w:trHeight w:val="274" w:hRule="atLeast"/>
        </w:trPr>
        <w:tc>
          <w:tcPr>
            <w:tcW w:w="6344" w:type="dxa"/>
          </w:tcPr>
          <w:p>
            <w:pPr>
              <w:pStyle w:val="TableParagraph"/>
              <w:spacing w:before="10"/>
              <w:ind w:left="44"/>
              <w:rPr>
                <w:rFonts w:ascii="Book Antiqua"/>
                <w:b/>
                <w:sz w:val="18"/>
              </w:rPr>
            </w:pPr>
            <w:r>
              <w:rPr>
                <w:rFonts w:ascii="Book Antiqua"/>
                <w:b/>
                <w:color w:val="231F20"/>
                <w:sz w:val="18"/>
              </w:rPr>
              <w:t>Link</w:t>
            </w:r>
            <w:r>
              <w:rPr>
                <w:rFonts w:ascii="Book Antiqua"/>
                <w:b/>
                <w:color w:val="231F20"/>
                <w:spacing w:val="10"/>
                <w:sz w:val="18"/>
              </w:rPr>
              <w:t> </w:t>
            </w:r>
            <w:r>
              <w:rPr>
                <w:rFonts w:ascii="Book Antiqua"/>
                <w:b/>
                <w:color w:val="231F20"/>
                <w:spacing w:val="-2"/>
                <w:sz w:val="18"/>
              </w:rPr>
              <w:t>expression</w:t>
            </w:r>
          </w:p>
        </w:tc>
        <w:tc>
          <w:tcPr>
            <w:tcW w:w="3224" w:type="dxa"/>
          </w:tcPr>
          <w:p>
            <w:pPr>
              <w:pStyle w:val="TableParagraph"/>
              <w:spacing w:before="10"/>
              <w:ind w:left="60"/>
              <w:rPr>
                <w:rFonts w:ascii="Book Antiqua"/>
                <w:b/>
                <w:sz w:val="18"/>
              </w:rPr>
            </w:pPr>
            <w:r>
              <w:rPr>
                <w:rFonts w:ascii="Book Antiqua"/>
                <w:b/>
                <w:color w:val="231F20"/>
                <w:sz w:val="18"/>
              </w:rPr>
              <w:t>Resolves</w:t>
            </w:r>
            <w:r>
              <w:rPr>
                <w:rFonts w:ascii="Book Antiqua"/>
                <w:b/>
                <w:color w:val="231F20"/>
                <w:spacing w:val="6"/>
                <w:sz w:val="18"/>
              </w:rPr>
              <w:t> </w:t>
            </w:r>
            <w:r>
              <w:rPr>
                <w:rFonts w:ascii="Book Antiqua"/>
                <w:b/>
                <w:color w:val="231F20"/>
                <w:spacing w:val="-5"/>
                <w:sz w:val="18"/>
              </w:rPr>
              <w:t>to</w:t>
            </w:r>
          </w:p>
        </w:tc>
      </w:tr>
      <w:tr>
        <w:trPr>
          <w:trHeight w:val="309" w:hRule="atLeast"/>
        </w:trPr>
        <w:tc>
          <w:tcPr>
            <w:tcW w:w="6344" w:type="dxa"/>
          </w:tcPr>
          <w:p>
            <w:pPr>
              <w:pStyle w:val="TableParagraph"/>
              <w:spacing w:before="45"/>
              <w:ind w:left="44"/>
              <w:rPr>
                <w:rFonts w:ascii="Arial"/>
                <w:sz w:val="18"/>
              </w:rPr>
            </w:pPr>
            <w:r>
              <w:rPr>
                <w:rFonts w:ascii="Arial"/>
                <w:color w:val="231F20"/>
                <w:w w:val="85"/>
                <w:sz w:val="18"/>
              </w:rPr>
              <w:t>$kfw.LinkSymbolsGroup:PBASED.SOURCE_CONTEXT.2.-</w:t>
            </w:r>
            <w:r>
              <w:rPr>
                <w:rFonts w:ascii="Arial"/>
                <w:color w:val="231F20"/>
                <w:spacing w:val="-2"/>
                <w:sz w:val="18"/>
              </w:rPr>
              <w:t>1022$</w:t>
            </w:r>
          </w:p>
        </w:tc>
        <w:tc>
          <w:tcPr>
            <w:tcW w:w="3224" w:type="dxa"/>
          </w:tcPr>
          <w:p>
            <w:pPr>
              <w:pStyle w:val="TableParagraph"/>
              <w:spacing w:before="45"/>
              <w:ind w:left="60"/>
              <w:rPr>
                <w:rFonts w:ascii="Arial"/>
                <w:sz w:val="18"/>
              </w:rPr>
            </w:pPr>
            <w:r>
              <w:rPr>
                <w:rFonts w:ascii="Arial"/>
                <w:color w:val="231F20"/>
                <w:w w:val="90"/>
                <w:sz w:val="18"/>
              </w:rPr>
              <w:t>Windows</w:t>
            </w:r>
            <w:r>
              <w:rPr>
                <w:rFonts w:ascii="Arial"/>
                <w:color w:val="231F20"/>
                <w:spacing w:val="9"/>
                <w:sz w:val="18"/>
              </w:rPr>
              <w:t> </w:t>
            </w:r>
            <w:r>
              <w:rPr>
                <w:rFonts w:ascii="Arial"/>
                <w:color w:val="231F20"/>
                <w:spacing w:val="-2"/>
                <w:sz w:val="18"/>
              </w:rPr>
              <w:t>Systems</w:t>
            </w:r>
          </w:p>
        </w:tc>
      </w:tr>
      <w:tr>
        <w:trPr>
          <w:trHeight w:val="309" w:hRule="atLeast"/>
        </w:trPr>
        <w:tc>
          <w:tcPr>
            <w:tcW w:w="6344" w:type="dxa"/>
          </w:tcPr>
          <w:p>
            <w:pPr>
              <w:pStyle w:val="TableParagraph"/>
              <w:ind w:left="44"/>
              <w:rPr>
                <w:rFonts w:ascii="Arial"/>
                <w:sz w:val="18"/>
              </w:rPr>
            </w:pPr>
            <w:r>
              <w:rPr>
                <w:color w:val="231F20"/>
                <w:w w:val="85"/>
                <w:sz w:val="18"/>
              </w:rPr>
              <w:t>"My"</w:t>
            </w:r>
            <w:r>
              <w:rPr>
                <w:color w:val="231F20"/>
                <w:spacing w:val="77"/>
                <w:w w:val="150"/>
                <w:sz w:val="18"/>
              </w:rPr>
              <w:t>  </w:t>
            </w:r>
            <w:r>
              <w:rPr>
                <w:color w:val="231F20"/>
                <w:w w:val="85"/>
                <w:sz w:val="18"/>
              </w:rPr>
              <w:t>+</w:t>
            </w:r>
            <w:r>
              <w:rPr>
                <w:rFonts w:ascii="Arial"/>
                <w:color w:val="231F20"/>
                <w:w w:val="85"/>
                <w:sz w:val="18"/>
              </w:rPr>
              <w:t>$kfw.LinkSymbolsGroup:PBASED.SOURCE_CONTEXT.2.-</w:t>
            </w:r>
            <w:r>
              <w:rPr>
                <w:rFonts w:ascii="Arial"/>
                <w:color w:val="231F20"/>
                <w:spacing w:val="-2"/>
                <w:w w:val="85"/>
                <w:sz w:val="18"/>
              </w:rPr>
              <w:t>1022$</w:t>
            </w:r>
          </w:p>
        </w:tc>
        <w:tc>
          <w:tcPr>
            <w:tcW w:w="3224" w:type="dxa"/>
          </w:tcPr>
          <w:p>
            <w:pPr>
              <w:pStyle w:val="TableParagraph"/>
              <w:ind w:left="60"/>
              <w:rPr>
                <w:rFonts w:ascii="Arial"/>
                <w:sz w:val="18"/>
              </w:rPr>
            </w:pPr>
            <w:r>
              <w:rPr>
                <w:color w:val="231F20"/>
                <w:w w:val="90"/>
                <w:sz w:val="18"/>
              </w:rPr>
              <w:t>My</w:t>
            </w:r>
            <w:r>
              <w:rPr>
                <w:color w:val="231F20"/>
                <w:spacing w:val="26"/>
                <w:sz w:val="18"/>
              </w:rPr>
              <w:t> </w:t>
            </w:r>
            <w:r>
              <w:rPr>
                <w:rFonts w:ascii="Arial"/>
                <w:color w:val="231F20"/>
                <w:w w:val="90"/>
                <w:sz w:val="18"/>
              </w:rPr>
              <w:t>Windows</w:t>
            </w:r>
            <w:r>
              <w:rPr>
                <w:rFonts w:ascii="Arial"/>
                <w:color w:val="231F20"/>
                <w:spacing w:val="22"/>
                <w:sz w:val="18"/>
              </w:rPr>
              <w:t> </w:t>
            </w:r>
            <w:r>
              <w:rPr>
                <w:rFonts w:ascii="Arial"/>
                <w:color w:val="231F20"/>
                <w:spacing w:val="-2"/>
                <w:w w:val="90"/>
                <w:sz w:val="18"/>
              </w:rPr>
              <w:t>Systems</w:t>
            </w:r>
          </w:p>
        </w:tc>
      </w:tr>
      <w:tr>
        <w:trPr>
          <w:trHeight w:val="309" w:hRule="atLeast"/>
        </w:trPr>
        <w:tc>
          <w:tcPr>
            <w:tcW w:w="6344" w:type="dxa"/>
          </w:tcPr>
          <w:p>
            <w:pPr>
              <w:pStyle w:val="TableParagraph"/>
              <w:ind w:left="44"/>
              <w:rPr>
                <w:sz w:val="18"/>
              </w:rPr>
            </w:pPr>
            <w:r>
              <w:rPr>
                <w:color w:val="231F20"/>
                <w:w w:val="90"/>
                <w:sz w:val="18"/>
              </w:rPr>
              <w:t>"My</w:t>
            </w:r>
            <w:r>
              <w:rPr>
                <w:color w:val="231F20"/>
                <w:spacing w:val="9"/>
                <w:sz w:val="18"/>
              </w:rPr>
              <w:t> </w:t>
            </w:r>
            <w:r>
              <w:rPr>
                <w:color w:val="231F20"/>
                <w:w w:val="90"/>
                <w:sz w:val="18"/>
              </w:rPr>
              <w:t>"+</w:t>
            </w:r>
            <w:r>
              <w:rPr>
                <w:rFonts w:ascii="Arial"/>
                <w:color w:val="231F20"/>
                <w:w w:val="90"/>
                <w:sz w:val="18"/>
              </w:rPr>
              <w:t>$kfw.LinkSymbolsGroup:PBASED.SOURCE_CONTEXT.2.-1022$</w:t>
            </w:r>
            <w:r>
              <w:rPr>
                <w:rFonts w:ascii="Arial"/>
                <w:color w:val="231F20"/>
                <w:spacing w:val="4"/>
                <w:sz w:val="18"/>
              </w:rPr>
              <w:t> </w:t>
            </w:r>
            <w:r>
              <w:rPr>
                <w:color w:val="231F20"/>
                <w:w w:val="90"/>
                <w:sz w:val="18"/>
              </w:rPr>
              <w:t>+</w:t>
            </w:r>
            <w:r>
              <w:rPr>
                <w:color w:val="231F20"/>
                <w:spacing w:val="9"/>
                <w:sz w:val="18"/>
              </w:rPr>
              <w:t> </w:t>
            </w:r>
            <w:r>
              <w:rPr>
                <w:color w:val="231F20"/>
                <w:spacing w:val="-2"/>
                <w:w w:val="90"/>
                <w:sz w:val="18"/>
              </w:rPr>
              <w:t>"Now"</w:t>
            </w:r>
          </w:p>
        </w:tc>
        <w:tc>
          <w:tcPr>
            <w:tcW w:w="3224" w:type="dxa"/>
          </w:tcPr>
          <w:p>
            <w:pPr>
              <w:pStyle w:val="TableParagraph"/>
              <w:ind w:left="60"/>
              <w:rPr>
                <w:sz w:val="18"/>
              </w:rPr>
            </w:pPr>
            <w:r>
              <w:rPr>
                <w:color w:val="231F20"/>
                <w:w w:val="90"/>
                <w:sz w:val="18"/>
              </w:rPr>
              <w:t>My</w:t>
            </w:r>
            <w:r>
              <w:rPr>
                <w:color w:val="231F20"/>
                <w:spacing w:val="24"/>
                <w:sz w:val="18"/>
              </w:rPr>
              <w:t> </w:t>
            </w:r>
            <w:r>
              <w:rPr>
                <w:rFonts w:ascii="Arial"/>
                <w:color w:val="231F20"/>
                <w:w w:val="90"/>
                <w:sz w:val="18"/>
              </w:rPr>
              <w:t>Windows</w:t>
            </w:r>
            <w:r>
              <w:rPr>
                <w:rFonts w:ascii="Arial"/>
                <w:color w:val="231F20"/>
                <w:spacing w:val="20"/>
                <w:sz w:val="18"/>
              </w:rPr>
              <w:t> </w:t>
            </w:r>
            <w:r>
              <w:rPr>
                <w:rFonts w:ascii="Arial"/>
                <w:color w:val="231F20"/>
                <w:w w:val="90"/>
                <w:sz w:val="18"/>
              </w:rPr>
              <w:t>Systems</w:t>
            </w:r>
            <w:r>
              <w:rPr>
                <w:rFonts w:ascii="Arial"/>
                <w:color w:val="231F20"/>
                <w:spacing w:val="20"/>
                <w:sz w:val="18"/>
              </w:rPr>
              <w:t> </w:t>
            </w:r>
            <w:r>
              <w:rPr>
                <w:color w:val="231F20"/>
                <w:spacing w:val="-5"/>
                <w:w w:val="90"/>
                <w:sz w:val="18"/>
              </w:rPr>
              <w:t>Now</w:t>
            </w:r>
          </w:p>
        </w:tc>
      </w:tr>
      <w:tr>
        <w:trPr>
          <w:trHeight w:val="533" w:hRule="atLeast"/>
        </w:trPr>
        <w:tc>
          <w:tcPr>
            <w:tcW w:w="6344" w:type="dxa"/>
          </w:tcPr>
          <w:p>
            <w:pPr>
              <w:pStyle w:val="TableParagraph"/>
              <w:spacing w:line="216" w:lineRule="auto" w:before="44"/>
              <w:ind w:left="44" w:right="129"/>
              <w:rPr>
                <w:sz w:val="18"/>
              </w:rPr>
            </w:pPr>
            <w:r>
              <w:rPr>
                <w:rFonts w:ascii="Arial"/>
                <w:color w:val="231F20"/>
                <w:w w:val="90"/>
                <w:sz w:val="18"/>
              </w:rPr>
              <w:t>$kfw.LinkSymbolsGroup:PBASED.SOURCE_CONTEXT.2.-1022$ </w:t>
            </w:r>
            <w:r>
              <w:rPr>
                <w:color w:val="231F20"/>
                <w:w w:val="90"/>
                <w:sz w:val="18"/>
              </w:rPr>
              <w:t>+" in </w:t>
            </w:r>
            <w:r>
              <w:rPr>
                <w:color w:val="231F20"/>
                <w:w w:val="90"/>
                <w:sz w:val="18"/>
              </w:rPr>
              <w:t>the </w:t>
            </w:r>
            <w:r>
              <w:rPr>
                <w:color w:val="231F20"/>
                <w:sz w:val="18"/>
              </w:rPr>
              <w:t>Navigator </w:t>
            </w:r>
            <w:r>
              <w:rPr>
                <w:rFonts w:ascii="Arial"/>
                <w:color w:val="231F20"/>
                <w:sz w:val="18"/>
              </w:rPr>
              <w:t>"+$kfw.TreeAdapter:-1022$ </w:t>
            </w:r>
            <w:r>
              <w:rPr>
                <w:color w:val="231F20"/>
                <w:sz w:val="18"/>
              </w:rPr>
              <w:t>+" view"</w:t>
            </w:r>
          </w:p>
        </w:tc>
        <w:tc>
          <w:tcPr>
            <w:tcW w:w="3224" w:type="dxa"/>
          </w:tcPr>
          <w:p>
            <w:pPr>
              <w:pStyle w:val="TableParagraph"/>
              <w:spacing w:line="231" w:lineRule="exact"/>
              <w:ind w:left="60"/>
              <w:rPr>
                <w:sz w:val="18"/>
              </w:rPr>
            </w:pPr>
            <w:r>
              <w:rPr>
                <w:rFonts w:ascii="Arial"/>
                <w:color w:val="231F20"/>
                <w:spacing w:val="-4"/>
                <w:sz w:val="18"/>
              </w:rPr>
              <w:t>Windows</w:t>
            </w:r>
            <w:r>
              <w:rPr>
                <w:rFonts w:ascii="Arial"/>
                <w:color w:val="231F20"/>
                <w:spacing w:val="-7"/>
                <w:sz w:val="18"/>
              </w:rPr>
              <w:t> </w:t>
            </w:r>
            <w:r>
              <w:rPr>
                <w:rFonts w:ascii="Arial"/>
                <w:color w:val="231F20"/>
                <w:spacing w:val="-4"/>
                <w:sz w:val="18"/>
              </w:rPr>
              <w:t>Systems</w:t>
            </w:r>
            <w:r>
              <w:rPr>
                <w:rFonts w:ascii="Arial"/>
                <w:color w:val="231F20"/>
                <w:spacing w:val="-6"/>
                <w:sz w:val="18"/>
              </w:rPr>
              <w:t> </w:t>
            </w:r>
            <w:r>
              <w:rPr>
                <w:color w:val="231F20"/>
                <w:spacing w:val="-4"/>
                <w:sz w:val="18"/>
              </w:rPr>
              <w:t>in</w:t>
            </w:r>
            <w:r>
              <w:rPr>
                <w:color w:val="231F20"/>
                <w:spacing w:val="-1"/>
                <w:sz w:val="18"/>
              </w:rPr>
              <w:t> </w:t>
            </w:r>
            <w:r>
              <w:rPr>
                <w:color w:val="231F20"/>
                <w:spacing w:val="-4"/>
                <w:sz w:val="18"/>
              </w:rPr>
              <w:t>the</w:t>
            </w:r>
            <w:r>
              <w:rPr>
                <w:color w:val="231F20"/>
                <w:spacing w:val="-1"/>
                <w:sz w:val="18"/>
              </w:rPr>
              <w:t> </w:t>
            </w:r>
            <w:r>
              <w:rPr>
                <w:color w:val="231F20"/>
                <w:spacing w:val="-4"/>
                <w:sz w:val="18"/>
              </w:rPr>
              <w:t>Navigator</w:t>
            </w:r>
          </w:p>
          <w:p>
            <w:pPr>
              <w:pStyle w:val="TableParagraph"/>
              <w:spacing w:line="231" w:lineRule="exact" w:before="0"/>
              <w:ind w:left="60"/>
              <w:rPr>
                <w:sz w:val="18"/>
              </w:rPr>
            </w:pPr>
            <w:r>
              <w:rPr>
                <w:rFonts w:ascii="Arial"/>
                <w:color w:val="231F20"/>
                <w:w w:val="105"/>
                <w:sz w:val="18"/>
              </w:rPr>
              <w:t>Physical</w:t>
            </w:r>
            <w:r>
              <w:rPr>
                <w:rFonts w:ascii="Arial"/>
                <w:color w:val="231F20"/>
                <w:spacing w:val="19"/>
                <w:w w:val="105"/>
                <w:sz w:val="18"/>
              </w:rPr>
              <w:t> </w:t>
            </w:r>
            <w:r>
              <w:rPr>
                <w:color w:val="231F20"/>
                <w:spacing w:val="-4"/>
                <w:w w:val="105"/>
                <w:sz w:val="18"/>
              </w:rPr>
              <w:t>view</w:t>
            </w:r>
          </w:p>
        </w:tc>
      </w:tr>
    </w:tbl>
    <w:p>
      <w:pPr>
        <w:pStyle w:val="BodyText"/>
        <w:spacing w:before="100"/>
      </w:pPr>
    </w:p>
    <w:p>
      <w:pPr>
        <w:pStyle w:val="Heading4"/>
        <w:spacing w:before="0"/>
        <w:ind w:left="2472"/>
      </w:pPr>
      <w:r>
        <w:rPr>
          <w:color w:val="231F20"/>
        </w:rPr>
        <w:t>Symbols</w:t>
      </w:r>
      <w:r>
        <w:rPr>
          <w:color w:val="231F20"/>
          <w:spacing w:val="6"/>
        </w:rPr>
        <w:t> </w:t>
      </w:r>
      <w:r>
        <w:rPr>
          <w:color w:val="231F20"/>
        </w:rPr>
        <w:t>in</w:t>
      </w:r>
      <w:r>
        <w:rPr>
          <w:color w:val="231F20"/>
          <w:spacing w:val="7"/>
        </w:rPr>
        <w:t> </w:t>
      </w:r>
      <w:r>
        <w:rPr>
          <w:color w:val="231F20"/>
          <w:spacing w:val="-4"/>
        </w:rPr>
        <w:t>text</w:t>
      </w:r>
    </w:p>
    <w:p>
      <w:pPr>
        <w:pStyle w:val="BodyText"/>
        <w:spacing w:line="213" w:lineRule="auto" w:before="242"/>
        <w:ind w:left="2472" w:right="379"/>
      </w:pPr>
      <w:r>
        <w:rPr>
          <w:color w:val="231F20"/>
        </w:rPr>
        <w:t>You can reference a variable (symbol) in a table or chart view header or footer, or</w:t>
      </w:r>
      <w:r>
        <w:rPr>
          <w:color w:val="231F20"/>
          <w:spacing w:val="80"/>
          <w:w w:val="150"/>
        </w:rPr>
        <w:t> </w:t>
      </w:r>
      <w:r>
        <w:rPr>
          <w:color w:val="231F20"/>
        </w:rPr>
        <w:t>in a notepad view, and have it resolve to a value when you link to the </w:t>
      </w:r>
      <w:r>
        <w:rPr>
          <w:color w:val="231F20"/>
        </w:rPr>
        <w:t>workspace. The symbol value is defined in the link wizard customization page.</w:t>
      </w:r>
    </w:p>
    <w:p>
      <w:pPr>
        <w:pStyle w:val="Heading3"/>
        <w:spacing w:before="216"/>
        <w:ind w:left="1574"/>
      </w:pPr>
      <w:r>
        <w:rPr>
          <w:color w:val="231F20"/>
        </w:rPr>
        <w:t>Link</w:t>
      </w:r>
      <w:r>
        <w:rPr>
          <w:color w:val="231F20"/>
          <w:spacing w:val="7"/>
        </w:rPr>
        <w:t> </w:t>
      </w:r>
      <w:r>
        <w:rPr>
          <w:color w:val="231F20"/>
        </w:rPr>
        <w:t>anchor</w:t>
      </w:r>
      <w:r>
        <w:rPr>
          <w:color w:val="231F20"/>
          <w:spacing w:val="7"/>
        </w:rPr>
        <w:t> </w:t>
      </w:r>
      <w:r>
        <w:rPr>
          <w:color w:val="231F20"/>
          <w:spacing w:val="-2"/>
        </w:rPr>
        <w:t>properties</w:t>
      </w:r>
    </w:p>
    <w:p>
      <w:pPr>
        <w:pStyle w:val="BodyText"/>
        <w:spacing w:line="213" w:lineRule="auto" w:before="58"/>
        <w:ind w:left="2472" w:right="385"/>
      </w:pPr>
      <w:r>
        <w:rPr>
          <w:color w:val="231F20"/>
        </w:rPr>
        <w:t>The link anchor properties enable you to show a visual indicator on tables </w:t>
      </w:r>
      <w:r>
        <w:rPr>
          <w:color w:val="231F20"/>
        </w:rPr>
        <w:t>where customized links have been defined, and to establish a default link that opens when the user clicks the indicator.</w:t>
      </w:r>
    </w:p>
    <w:p>
      <w:pPr>
        <w:pStyle w:val="Heading6"/>
      </w:pPr>
      <w:r>
        <w:rPr>
          <w:color w:val="231F20"/>
        </w:rPr>
        <w:t>Default</w:t>
      </w:r>
      <w:r>
        <w:rPr>
          <w:color w:val="231F20"/>
          <w:spacing w:val="9"/>
        </w:rPr>
        <w:t> </w:t>
      </w:r>
      <w:r>
        <w:rPr>
          <w:color w:val="231F20"/>
          <w:spacing w:val="-4"/>
        </w:rPr>
        <w:t>Link</w:t>
      </w:r>
    </w:p>
    <w:p>
      <w:pPr>
        <w:pStyle w:val="BodyText"/>
        <w:spacing w:line="213" w:lineRule="auto" w:before="11"/>
        <w:ind w:left="3190" w:right="258"/>
      </w:pPr>
      <w:r>
        <w:rPr>
          <w:color w:val="231F20"/>
        </w:rPr>
        <w:t>When</w:t>
      </w:r>
      <w:r>
        <w:rPr>
          <w:color w:val="231F20"/>
          <w:spacing w:val="26"/>
        </w:rPr>
        <w:t> </w:t>
      </w:r>
      <w:r>
        <w:rPr>
          <w:color w:val="231F20"/>
        </w:rPr>
        <w:t>you</w:t>
      </w:r>
      <w:r>
        <w:rPr>
          <w:color w:val="231F20"/>
          <w:spacing w:val="26"/>
        </w:rPr>
        <w:t> </w:t>
      </w:r>
      <w:r>
        <w:rPr>
          <w:color w:val="231F20"/>
        </w:rPr>
        <w:t>select</w:t>
      </w:r>
      <w:r>
        <w:rPr>
          <w:color w:val="231F20"/>
          <w:spacing w:val="26"/>
        </w:rPr>
        <w:t> </w:t>
      </w:r>
      <w:r>
        <w:rPr>
          <w:color w:val="231F20"/>
        </w:rPr>
        <w:t>the</w:t>
      </w:r>
      <w:r>
        <w:rPr>
          <w:color w:val="231F20"/>
          <w:spacing w:val="26"/>
        </w:rPr>
        <w:t> </w:t>
      </w:r>
      <w:r>
        <w:rPr>
          <w:color w:val="231F20"/>
        </w:rPr>
        <w:t>option</w:t>
      </w:r>
      <w:r>
        <w:rPr>
          <w:color w:val="231F20"/>
          <w:spacing w:val="26"/>
        </w:rPr>
        <w:t> </w:t>
      </w:r>
      <w:r>
        <w:rPr>
          <w:color w:val="231F20"/>
        </w:rPr>
        <w:t>to</w:t>
      </w:r>
      <w:r>
        <w:rPr>
          <w:color w:val="231F20"/>
          <w:spacing w:val="26"/>
        </w:rPr>
        <w:t> </w:t>
      </w:r>
      <w:r>
        <w:rPr>
          <w:color w:val="231F20"/>
        </w:rPr>
        <w:t>show</w:t>
      </w:r>
      <w:r>
        <w:rPr>
          <w:color w:val="231F20"/>
          <w:spacing w:val="26"/>
        </w:rPr>
        <w:t> </w:t>
      </w:r>
      <w:r>
        <w:rPr>
          <w:color w:val="231F20"/>
        </w:rPr>
        <w:t>the</w:t>
      </w:r>
      <w:r>
        <w:rPr>
          <w:color w:val="231F20"/>
          <w:spacing w:val="26"/>
        </w:rPr>
        <w:t> </w:t>
      </w:r>
      <w:r>
        <w:rPr>
          <w:color w:val="231F20"/>
        </w:rPr>
        <w:t>link</w:t>
      </w:r>
      <w:r>
        <w:rPr>
          <w:color w:val="231F20"/>
          <w:spacing w:val="26"/>
        </w:rPr>
        <w:t> </w:t>
      </w:r>
      <w:r>
        <w:rPr>
          <w:color w:val="231F20"/>
        </w:rPr>
        <w:t>indicator,</w:t>
      </w:r>
      <w:r>
        <w:rPr>
          <w:color w:val="231F20"/>
          <w:spacing w:val="26"/>
        </w:rPr>
        <w:t> </w:t>
      </w:r>
      <w:r>
        <w:rPr>
          <w:color w:val="231F20"/>
        </w:rPr>
        <w:t>the</w:t>
      </w:r>
      <w:r>
        <w:rPr>
          <w:color w:val="231F20"/>
          <w:spacing w:val="26"/>
        </w:rPr>
        <w:t> </w:t>
      </w:r>
      <w:r>
        <w:rPr>
          <w:color w:val="231F20"/>
        </w:rPr>
        <w:t>user</w:t>
      </w:r>
      <w:r>
        <w:rPr>
          <w:color w:val="231F20"/>
          <w:spacing w:val="26"/>
        </w:rPr>
        <w:t> </w:t>
      </w:r>
      <w:r>
        <w:rPr>
          <w:color w:val="231F20"/>
        </w:rPr>
        <w:t>can</w:t>
      </w:r>
      <w:r>
        <w:rPr>
          <w:color w:val="231F20"/>
          <w:spacing w:val="26"/>
        </w:rPr>
        <w:t> </w:t>
      </w:r>
      <w:r>
        <w:rPr>
          <w:color w:val="231F20"/>
        </w:rPr>
        <w:t>click the </w:t>
      </w:r>
      <w:r>
        <w:rPr>
          <w:color w:val="231F20"/>
          <w:spacing w:val="16"/>
          <w:position w:val="-1"/>
        </w:rPr>
        <w:drawing>
          <wp:inline distT="0" distB="0" distL="0" distR="0">
            <wp:extent cx="101600" cy="101600"/>
            <wp:effectExtent l="0" t="0" r="0" b="0"/>
            <wp:docPr id="838" name="Image 838"/>
            <wp:cNvGraphicFramePr>
              <a:graphicFrameLocks/>
            </wp:cNvGraphicFramePr>
            <a:graphic>
              <a:graphicData uri="http://schemas.openxmlformats.org/drawingml/2006/picture">
                <pic:pic>
                  <pic:nvPicPr>
                    <pic:cNvPr id="838" name="Image 838"/>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link indicator to go directly to the default linked workspace or, if no default link was assigned, to see and select from the list of available linked workspaces. Select from the list of target workspaces or select </w:t>
      </w:r>
      <w:r>
        <w:rPr>
          <w:rFonts w:ascii="Book Antiqua"/>
          <w:b/>
          <w:color w:val="231F20"/>
        </w:rPr>
        <w:t>(No </w:t>
      </w:r>
      <w:r>
        <w:rPr>
          <w:rFonts w:ascii="Book Antiqua"/>
          <w:b/>
          <w:color w:val="231F20"/>
        </w:rPr>
        <w:t>Default) </w:t>
      </w:r>
      <w:r>
        <w:rPr>
          <w:color w:val="231F20"/>
        </w:rPr>
        <w:t>to have no default link.</w:t>
      </w:r>
    </w:p>
    <w:p>
      <w:pPr>
        <w:pStyle w:val="Heading6"/>
        <w:spacing w:line="240" w:lineRule="auto" w:before="115"/>
      </w:pPr>
      <w:r>
        <w:rPr>
          <w:color w:val="231F20"/>
          <w:spacing w:val="-2"/>
        </w:rPr>
        <w:t>Options</w:t>
      </w:r>
    </w:p>
    <w:p>
      <w:pPr>
        <w:pStyle w:val="BodyText"/>
        <w:spacing w:line="213" w:lineRule="auto" w:before="5"/>
        <w:ind w:left="3190" w:right="258"/>
      </w:pPr>
      <w:r>
        <w:rPr/>
        <w:drawing>
          <wp:inline distT="0" distB="0" distL="0" distR="0">
            <wp:extent cx="82550" cy="82550"/>
            <wp:effectExtent l="0" t="0" r="0" b="0"/>
            <wp:docPr id="839" name="Image 839"/>
            <wp:cNvGraphicFramePr>
              <a:graphicFrameLocks/>
            </wp:cNvGraphicFramePr>
            <a:graphic>
              <a:graphicData uri="http://schemas.openxmlformats.org/drawingml/2006/picture">
                <pic:pic>
                  <pic:nvPicPr>
                    <pic:cNvPr id="839" name="Image 839"/>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Show Link Indicator </w:t>
      </w:r>
      <w:r>
        <w:rPr>
          <w:color w:val="231F20"/>
        </w:rPr>
        <w:t>adds a new first column to the table, within </w:t>
      </w:r>
      <w:r>
        <w:rPr>
          <w:color w:val="231F20"/>
        </w:rPr>
        <w:t>each row;</w:t>
      </w:r>
      <w:r>
        <w:rPr>
          <w:color w:val="231F20"/>
          <w:spacing w:val="26"/>
        </w:rPr>
        <w:t> </w:t>
      </w:r>
      <w:r>
        <w:rPr>
          <w:color w:val="231F20"/>
        </w:rPr>
        <w:t>or</w:t>
      </w:r>
      <w:r>
        <w:rPr>
          <w:color w:val="231F20"/>
          <w:spacing w:val="26"/>
        </w:rPr>
        <w:t> </w:t>
      </w:r>
      <w:r>
        <w:rPr>
          <w:color w:val="231F20"/>
        </w:rPr>
        <w:t>it</w:t>
      </w:r>
      <w:r>
        <w:rPr>
          <w:color w:val="231F20"/>
          <w:spacing w:val="26"/>
        </w:rPr>
        <w:t> </w:t>
      </w:r>
      <w:r>
        <w:rPr>
          <w:color w:val="231F20"/>
        </w:rPr>
        <w:t>overlays</w:t>
      </w:r>
      <w:r>
        <w:rPr>
          <w:color w:val="231F20"/>
          <w:spacing w:val="26"/>
        </w:rPr>
        <w:t> </w:t>
      </w:r>
      <w:r>
        <w:rPr>
          <w:color w:val="231F20"/>
        </w:rPr>
        <w:t>the</w:t>
      </w:r>
      <w:r>
        <w:rPr>
          <w:color w:val="231F20"/>
          <w:spacing w:val="26"/>
        </w:rPr>
        <w:t> </w:t>
      </w:r>
      <w:r>
        <w:rPr>
          <w:color w:val="231F20"/>
        </w:rPr>
        <w:t>Navigator</w:t>
      </w:r>
      <w:r>
        <w:rPr>
          <w:color w:val="231F20"/>
          <w:spacing w:val="26"/>
        </w:rPr>
        <w:t> </w:t>
      </w:r>
      <w:r>
        <w:rPr>
          <w:color w:val="231F20"/>
        </w:rPr>
        <w:t>item</w:t>
      </w:r>
      <w:r>
        <w:rPr>
          <w:color w:val="231F20"/>
          <w:spacing w:val="26"/>
        </w:rPr>
        <w:t> </w:t>
      </w:r>
      <w:r>
        <w:rPr>
          <w:color w:val="231F20"/>
        </w:rPr>
        <w:t>icon</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graphic</w:t>
      </w:r>
      <w:r>
        <w:rPr>
          <w:color w:val="231F20"/>
          <w:spacing w:val="26"/>
        </w:rPr>
        <w:t> </w:t>
      </w:r>
      <w:r>
        <w:rPr>
          <w:color w:val="231F20"/>
        </w:rPr>
        <w:t>view</w:t>
      </w:r>
      <w:r>
        <w:rPr>
          <w:color w:val="231F20"/>
          <w:spacing w:val="26"/>
        </w:rPr>
        <w:t> </w:t>
      </w:r>
      <w:r>
        <w:rPr>
          <w:color w:val="231F20"/>
        </w:rPr>
        <w:t>with </w:t>
      </w:r>
      <w:r>
        <w:rPr>
          <w:color w:val="231F20"/>
          <w:spacing w:val="14"/>
        </w:rPr>
        <w:drawing>
          <wp:inline distT="0" distB="0" distL="0" distR="0">
            <wp:extent cx="82550" cy="82550"/>
            <wp:effectExtent l="0" t="0" r="0" b="0"/>
            <wp:docPr id="840" name="Image 840"/>
            <wp:cNvGraphicFramePr>
              <a:graphicFrameLocks/>
            </wp:cNvGraphicFramePr>
            <a:graphic>
              <a:graphicData uri="http://schemas.openxmlformats.org/drawingml/2006/picture">
                <pic:pic>
                  <pic:nvPicPr>
                    <pic:cNvPr id="840" name="Image 84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4"/>
        </w:rPr>
      </w:r>
      <w:r>
        <w:rPr>
          <w:rFonts w:ascii="Times New Roman"/>
          <w:color w:val="231F20"/>
          <w:spacing w:val="2"/>
        </w:rPr>
        <w:t> </w:t>
      </w:r>
      <w:r>
        <w:rPr>
          <w:color w:val="231F20"/>
        </w:rPr>
        <w:t>.</w:t>
      </w:r>
    </w:p>
    <w:p>
      <w:pPr>
        <w:pStyle w:val="BodyText"/>
        <w:spacing w:line="240" w:lineRule="exact"/>
        <w:ind w:left="3190"/>
      </w:pPr>
      <w:r>
        <w:rPr>
          <w:color w:val="231F20"/>
        </w:rPr>
        <w:t>Clear</w:t>
      </w:r>
      <w:r>
        <w:rPr>
          <w:color w:val="231F20"/>
          <w:spacing w:val="12"/>
        </w:rPr>
        <w:t> </w:t>
      </w:r>
      <w:r>
        <w:rPr>
          <w:color w:val="231F20"/>
        </w:rPr>
        <w:t>this</w:t>
      </w:r>
      <w:r>
        <w:rPr>
          <w:color w:val="231F20"/>
          <w:spacing w:val="12"/>
        </w:rPr>
        <w:t> </w:t>
      </w:r>
      <w:r>
        <w:rPr>
          <w:color w:val="231F20"/>
        </w:rPr>
        <w:t>option</w:t>
      </w:r>
      <w:r>
        <w:rPr>
          <w:color w:val="231F20"/>
          <w:spacing w:val="12"/>
        </w:rPr>
        <w:t> </w:t>
      </w:r>
      <w:r>
        <w:rPr>
          <w:color w:val="231F20"/>
        </w:rPr>
        <w:t>if</w:t>
      </w:r>
      <w:r>
        <w:rPr>
          <w:color w:val="231F20"/>
          <w:spacing w:val="12"/>
        </w:rPr>
        <w:t> </w:t>
      </w:r>
      <w:r>
        <w:rPr>
          <w:color w:val="231F20"/>
        </w:rPr>
        <w:t>you</w:t>
      </w:r>
      <w:r>
        <w:rPr>
          <w:color w:val="231F20"/>
          <w:spacing w:val="12"/>
        </w:rPr>
        <w:t> </w:t>
      </w:r>
      <w:r>
        <w:rPr>
          <w:color w:val="231F20"/>
        </w:rPr>
        <w:t>want</w:t>
      </w:r>
      <w:r>
        <w:rPr>
          <w:color w:val="231F20"/>
          <w:spacing w:val="12"/>
        </w:rPr>
        <w:t> </w:t>
      </w:r>
      <w:r>
        <w:rPr>
          <w:color w:val="231F20"/>
        </w:rPr>
        <w:t>no</w:t>
      </w:r>
      <w:r>
        <w:rPr>
          <w:color w:val="231F20"/>
          <w:spacing w:val="12"/>
        </w:rPr>
        <w:t> </w:t>
      </w:r>
      <w:r>
        <w:rPr>
          <w:color w:val="231F20"/>
        </w:rPr>
        <w:t>link</w:t>
      </w:r>
      <w:r>
        <w:rPr>
          <w:color w:val="231F20"/>
          <w:spacing w:val="13"/>
        </w:rPr>
        <w:t> </w:t>
      </w:r>
      <w:r>
        <w:rPr>
          <w:color w:val="231F20"/>
        </w:rPr>
        <w:t>indicator</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table</w:t>
      </w:r>
      <w:r>
        <w:rPr>
          <w:color w:val="231F20"/>
          <w:spacing w:val="12"/>
        </w:rPr>
        <w:t> </w:t>
      </w:r>
      <w:r>
        <w:rPr>
          <w:color w:val="231F20"/>
        </w:rPr>
        <w:t>or</w:t>
      </w:r>
      <w:r>
        <w:rPr>
          <w:color w:val="231F20"/>
          <w:spacing w:val="12"/>
        </w:rPr>
        <w:t> </w:t>
      </w:r>
      <w:r>
        <w:rPr>
          <w:color w:val="231F20"/>
        </w:rPr>
        <w:t>graphic</w:t>
      </w:r>
      <w:r>
        <w:rPr>
          <w:color w:val="231F20"/>
          <w:spacing w:val="12"/>
        </w:rPr>
        <w:t> </w:t>
      </w:r>
      <w:r>
        <w:rPr>
          <w:color w:val="231F20"/>
          <w:spacing w:val="-2"/>
        </w:rPr>
        <w:t>view.</w:t>
      </w:r>
    </w:p>
    <w:p>
      <w:pPr>
        <w:pStyle w:val="BodyText"/>
        <w:spacing w:line="211" w:lineRule="auto" w:before="119"/>
        <w:ind w:left="3190" w:right="185"/>
      </w:pPr>
      <w:r>
        <w:rPr/>
        <w:drawing>
          <wp:inline distT="0" distB="0" distL="0" distR="0">
            <wp:extent cx="82550" cy="82550"/>
            <wp:effectExtent l="0" t="0" r="0" b="0"/>
            <wp:docPr id="841" name="Image 841"/>
            <wp:cNvGraphicFramePr>
              <a:graphicFrameLocks/>
            </wp:cNvGraphicFramePr>
            <a:graphic>
              <a:graphicData uri="http://schemas.openxmlformats.org/drawingml/2006/picture">
                <pic:pic>
                  <pic:nvPicPr>
                    <pic:cNvPr id="841" name="Image 841"/>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rFonts w:ascii="Book Antiqua"/>
          <w:b/>
          <w:color w:val="231F20"/>
        </w:rPr>
        <w:t>Link</w:t>
      </w:r>
      <w:r>
        <w:rPr>
          <w:rFonts w:ascii="Book Antiqua"/>
          <w:b/>
          <w:color w:val="231F20"/>
          <w:spacing w:val="27"/>
        </w:rPr>
        <w:t> </w:t>
      </w:r>
      <w:r>
        <w:rPr>
          <w:rFonts w:ascii="Book Antiqua"/>
          <w:b/>
          <w:color w:val="231F20"/>
        </w:rPr>
        <w:t>Indicator</w:t>
      </w:r>
      <w:r>
        <w:rPr>
          <w:rFonts w:ascii="Book Antiqua"/>
          <w:b/>
          <w:color w:val="231F20"/>
          <w:spacing w:val="27"/>
        </w:rPr>
        <w:t> </w:t>
      </w:r>
      <w:r>
        <w:rPr>
          <w:rFonts w:ascii="Book Antiqua"/>
          <w:b/>
          <w:color w:val="231F20"/>
        </w:rPr>
        <w:t>Always</w:t>
      </w:r>
      <w:r>
        <w:rPr>
          <w:rFonts w:ascii="Book Antiqua"/>
          <w:b/>
          <w:color w:val="231F20"/>
          <w:spacing w:val="27"/>
        </w:rPr>
        <w:t> </w:t>
      </w:r>
      <w:r>
        <w:rPr>
          <w:rFonts w:ascii="Book Antiqua"/>
          <w:b/>
          <w:color w:val="231F20"/>
        </w:rPr>
        <w:t>Enabled</w:t>
      </w:r>
      <w:r>
        <w:rPr>
          <w:rFonts w:ascii="Book Antiqua"/>
          <w:b/>
          <w:color w:val="231F20"/>
          <w:spacing w:val="27"/>
        </w:rPr>
        <w:t> </w:t>
      </w:r>
      <w:r>
        <w:rPr>
          <w:color w:val="231F20"/>
        </w:rPr>
        <w:t>shows</w:t>
      </w:r>
      <w:r>
        <w:rPr>
          <w:color w:val="231F20"/>
          <w:spacing w:val="27"/>
        </w:rPr>
        <w:t> </w:t>
      </w:r>
      <w:r>
        <w:rPr>
          <w:color w:val="231F20"/>
        </w:rPr>
        <w:t>the</w:t>
      </w:r>
      <w:r>
        <w:rPr>
          <w:color w:val="231F20"/>
          <w:spacing w:val="27"/>
        </w:rPr>
        <w:t> </w:t>
      </w:r>
      <w:r>
        <w:rPr>
          <w:color w:val="231F20"/>
        </w:rPr>
        <w:t>links</w:t>
      </w:r>
      <w:r>
        <w:rPr>
          <w:color w:val="231F20"/>
          <w:spacing w:val="27"/>
        </w:rPr>
        <w:t> </w:t>
      </w:r>
      <w:r>
        <w:rPr>
          <w:color w:val="231F20"/>
        </w:rPr>
        <w:t>in</w:t>
      </w:r>
      <w:r>
        <w:rPr>
          <w:color w:val="231F20"/>
          <w:spacing w:val="27"/>
        </w:rPr>
        <w:t> </w:t>
      </w:r>
      <w:r>
        <w:rPr>
          <w:color w:val="231F20"/>
        </w:rPr>
        <w:t>every</w:t>
      </w:r>
      <w:r>
        <w:rPr>
          <w:color w:val="231F20"/>
          <w:spacing w:val="27"/>
        </w:rPr>
        <w:t> </w:t>
      </w:r>
      <w:r>
        <w:rPr>
          <w:color w:val="231F20"/>
        </w:rPr>
        <w:t>row</w:t>
      </w:r>
      <w:r>
        <w:rPr>
          <w:color w:val="231F20"/>
          <w:spacing w:val="27"/>
        </w:rPr>
        <w:t> </w:t>
      </w:r>
      <w:r>
        <w:rPr>
          <w:color w:val="231F20"/>
        </w:rPr>
        <w:t>of</w:t>
      </w:r>
      <w:r>
        <w:rPr>
          <w:color w:val="231F20"/>
          <w:spacing w:val="27"/>
        </w:rPr>
        <w:t> </w:t>
      </w:r>
      <w:r>
        <w:rPr>
          <w:color w:val="231F20"/>
        </w:rPr>
        <w:t>the table</w:t>
      </w:r>
      <w:r>
        <w:rPr>
          <w:color w:val="231F20"/>
          <w:spacing w:val="22"/>
        </w:rPr>
        <w:t> </w:t>
      </w:r>
      <w:r>
        <w:rPr>
          <w:color w:val="231F20"/>
        </w:rPr>
        <w:t>or</w:t>
      </w:r>
      <w:r>
        <w:rPr>
          <w:color w:val="231F20"/>
          <w:spacing w:val="22"/>
        </w:rPr>
        <w:t> </w:t>
      </w:r>
      <w:r>
        <w:rPr>
          <w:color w:val="231F20"/>
        </w:rPr>
        <w:t>over</w:t>
      </w:r>
      <w:r>
        <w:rPr>
          <w:color w:val="231F20"/>
          <w:spacing w:val="22"/>
        </w:rPr>
        <w:t> </w:t>
      </w:r>
      <w:r>
        <w:rPr>
          <w:color w:val="231F20"/>
        </w:rPr>
        <w:t>every</w:t>
      </w:r>
      <w:r>
        <w:rPr>
          <w:color w:val="231F20"/>
          <w:spacing w:val="22"/>
        </w:rPr>
        <w:t> </w:t>
      </w:r>
      <w:r>
        <w:rPr>
          <w:color w:val="231F20"/>
        </w:rPr>
        <w:t>linked</w:t>
      </w:r>
      <w:r>
        <w:rPr>
          <w:color w:val="231F20"/>
          <w:spacing w:val="22"/>
        </w:rPr>
        <w:t> </w:t>
      </w:r>
      <w:r>
        <w:rPr>
          <w:color w:val="231F20"/>
        </w:rPr>
        <w:t>Navigator</w:t>
      </w:r>
      <w:r>
        <w:rPr>
          <w:color w:val="231F20"/>
          <w:spacing w:val="22"/>
        </w:rPr>
        <w:t> </w:t>
      </w:r>
      <w:r>
        <w:rPr>
          <w:color w:val="231F20"/>
        </w:rPr>
        <w:t>item</w:t>
      </w:r>
      <w:r>
        <w:rPr>
          <w:color w:val="231F20"/>
          <w:spacing w:val="22"/>
        </w:rPr>
        <w:t> </w:t>
      </w:r>
      <w:r>
        <w:rPr>
          <w:color w:val="231F20"/>
        </w:rPr>
        <w:t>icon</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graphic</w:t>
      </w:r>
      <w:r>
        <w:rPr>
          <w:color w:val="231F20"/>
          <w:spacing w:val="22"/>
        </w:rPr>
        <w:t> </w:t>
      </w:r>
      <w:r>
        <w:rPr>
          <w:color w:val="231F20"/>
        </w:rPr>
        <w:t>view,</w:t>
      </w:r>
      <w:r>
        <w:rPr>
          <w:color w:val="231F20"/>
          <w:spacing w:val="22"/>
        </w:rPr>
        <w:t> </w:t>
      </w:r>
      <w:r>
        <w:rPr>
          <w:color w:val="231F20"/>
        </w:rPr>
        <w:t>which is normally what you want. Some links, however, are conditional, based on the</w:t>
      </w:r>
      <w:r>
        <w:rPr>
          <w:color w:val="231F20"/>
          <w:spacing w:val="27"/>
        </w:rPr>
        <w:t> </w:t>
      </w:r>
      <w:r>
        <w:rPr>
          <w:color w:val="231F20"/>
        </w:rPr>
        <w:t>value</w:t>
      </w:r>
      <w:r>
        <w:rPr>
          <w:color w:val="231F20"/>
          <w:spacing w:val="27"/>
        </w:rPr>
        <w:t> </w:t>
      </w:r>
      <w:r>
        <w:rPr>
          <w:color w:val="231F20"/>
        </w:rPr>
        <w:t>of</w:t>
      </w:r>
      <w:r>
        <w:rPr>
          <w:color w:val="231F20"/>
          <w:spacing w:val="27"/>
        </w:rPr>
        <w:t> </w:t>
      </w:r>
      <w:r>
        <w:rPr>
          <w:color w:val="231F20"/>
        </w:rPr>
        <w:t>a</w:t>
      </w:r>
      <w:r>
        <w:rPr>
          <w:color w:val="231F20"/>
          <w:spacing w:val="27"/>
        </w:rPr>
        <w:t> </w:t>
      </w:r>
      <w:r>
        <w:rPr>
          <w:color w:val="231F20"/>
        </w:rPr>
        <w:t>particular</w:t>
      </w:r>
      <w:r>
        <w:rPr>
          <w:color w:val="231F20"/>
          <w:spacing w:val="27"/>
        </w:rPr>
        <w:t> </w:t>
      </w:r>
      <w:r>
        <w:rPr>
          <w:color w:val="231F20"/>
        </w:rPr>
        <w:t>cell</w:t>
      </w:r>
      <w:r>
        <w:rPr>
          <w:color w:val="231F20"/>
          <w:spacing w:val="27"/>
        </w:rPr>
        <w:t> </w:t>
      </w:r>
      <w:r>
        <w:rPr>
          <w:color w:val="231F20"/>
        </w:rPr>
        <w:t>(or</w:t>
      </w:r>
      <w:r>
        <w:rPr>
          <w:color w:val="231F20"/>
          <w:spacing w:val="27"/>
        </w:rPr>
        <w:t> </w:t>
      </w:r>
      <w:r>
        <w:rPr>
          <w:color w:val="231F20"/>
        </w:rPr>
        <w:t>a</w:t>
      </w:r>
      <w:r>
        <w:rPr>
          <w:color w:val="231F20"/>
          <w:spacing w:val="27"/>
        </w:rPr>
        <w:t> </w:t>
      </w:r>
      <w:r>
        <w:rPr>
          <w:color w:val="231F20"/>
        </w:rPr>
        <w:t>derived</w:t>
      </w:r>
      <w:r>
        <w:rPr>
          <w:color w:val="231F20"/>
          <w:spacing w:val="27"/>
        </w:rPr>
        <w:t> </w:t>
      </w:r>
      <w:r>
        <w:rPr>
          <w:color w:val="231F20"/>
        </w:rPr>
        <w:t>value).</w:t>
      </w:r>
      <w:r>
        <w:rPr>
          <w:color w:val="231F20"/>
          <w:spacing w:val="27"/>
        </w:rPr>
        <w:t> </w:t>
      </w:r>
      <w:r>
        <w:rPr>
          <w:color w:val="231F20"/>
        </w:rPr>
        <w:t>For</w:t>
      </w:r>
      <w:r>
        <w:rPr>
          <w:color w:val="231F20"/>
          <w:spacing w:val="27"/>
        </w:rPr>
        <w:t> </w:t>
      </w:r>
      <w:r>
        <w:rPr>
          <w:color w:val="231F20"/>
        </w:rPr>
        <w:t>example,</w:t>
      </w:r>
      <w:r>
        <w:rPr>
          <w:color w:val="231F20"/>
          <w:spacing w:val="27"/>
        </w:rPr>
        <w:t> </w:t>
      </w:r>
      <w:r>
        <w:rPr>
          <w:color w:val="231F20"/>
        </w:rPr>
        <w:t>a</w:t>
      </w:r>
      <w:r>
        <w:rPr>
          <w:color w:val="231F20"/>
          <w:spacing w:val="27"/>
        </w:rPr>
        <w:t> </w:t>
      </w:r>
      <w:r>
        <w:rPr>
          <w:color w:val="231F20"/>
        </w:rPr>
        <w:t>link</w:t>
      </w:r>
      <w:r>
        <w:rPr>
          <w:color w:val="231F20"/>
        </w:rPr>
        <w:t> might</w:t>
      </w:r>
      <w:r>
        <w:rPr>
          <w:color w:val="231F20"/>
          <w:spacing w:val="26"/>
        </w:rPr>
        <w:t> </w:t>
      </w:r>
      <w:r>
        <w:rPr>
          <w:color w:val="231F20"/>
        </w:rPr>
        <w:t>be</w:t>
      </w:r>
      <w:r>
        <w:rPr>
          <w:color w:val="231F20"/>
          <w:spacing w:val="26"/>
        </w:rPr>
        <w:t> </w:t>
      </w:r>
      <w:r>
        <w:rPr>
          <w:color w:val="231F20"/>
        </w:rPr>
        <w:t>defined</w:t>
      </w:r>
      <w:r>
        <w:rPr>
          <w:color w:val="231F20"/>
          <w:spacing w:val="26"/>
        </w:rPr>
        <w:t> </w:t>
      </w:r>
      <w:r>
        <w:rPr>
          <w:color w:val="231F20"/>
        </w:rPr>
        <w:t>to</w:t>
      </w:r>
      <w:r>
        <w:rPr>
          <w:color w:val="231F20"/>
          <w:spacing w:val="26"/>
        </w:rPr>
        <w:t> </w:t>
      </w:r>
      <w:r>
        <w:rPr>
          <w:color w:val="231F20"/>
        </w:rPr>
        <w:t>work</w:t>
      </w:r>
      <w:r>
        <w:rPr>
          <w:color w:val="231F20"/>
          <w:spacing w:val="26"/>
        </w:rPr>
        <w:t> </w:t>
      </w:r>
      <w:r>
        <w:rPr>
          <w:color w:val="231F20"/>
        </w:rPr>
        <w:t>only</w:t>
      </w:r>
      <w:r>
        <w:rPr>
          <w:color w:val="231F20"/>
          <w:spacing w:val="26"/>
        </w:rPr>
        <w:t> </w:t>
      </w:r>
      <w:r>
        <w:rPr>
          <w:color w:val="231F20"/>
        </w:rPr>
        <w:t>on</w:t>
      </w:r>
      <w:r>
        <w:rPr>
          <w:color w:val="231F20"/>
          <w:spacing w:val="26"/>
        </w:rPr>
        <w:t> </w:t>
      </w:r>
      <w:r>
        <w:rPr>
          <w:color w:val="231F20"/>
        </w:rPr>
        <w:t>rows</w:t>
      </w:r>
      <w:r>
        <w:rPr>
          <w:color w:val="231F20"/>
          <w:spacing w:val="26"/>
        </w:rPr>
        <w:t> </w:t>
      </w:r>
      <w:r>
        <w:rPr>
          <w:color w:val="231F20"/>
        </w:rPr>
        <w:t>that</w:t>
      </w:r>
      <w:r>
        <w:rPr>
          <w:color w:val="231F20"/>
          <w:spacing w:val="26"/>
        </w:rPr>
        <w:t> </w:t>
      </w:r>
      <w:r>
        <w:rPr>
          <w:color w:val="231F20"/>
        </w:rPr>
        <w:t>have</w:t>
      </w:r>
      <w:r>
        <w:rPr>
          <w:color w:val="231F20"/>
          <w:spacing w:val="26"/>
        </w:rPr>
        <w:t> </w:t>
      </w:r>
      <w:r>
        <w:rPr>
          <w:color w:val="231F20"/>
        </w:rPr>
        <w:t>a</w:t>
      </w:r>
      <w:r>
        <w:rPr>
          <w:color w:val="231F20"/>
          <w:spacing w:val="26"/>
        </w:rPr>
        <w:t> </w:t>
      </w:r>
      <w:r>
        <w:rPr>
          <w:color w:val="231F20"/>
        </w:rPr>
        <w:t>thread</w:t>
      </w:r>
      <w:r>
        <w:rPr>
          <w:color w:val="231F20"/>
          <w:spacing w:val="26"/>
        </w:rPr>
        <w:t> </w:t>
      </w:r>
      <w:r>
        <w:rPr>
          <w:color w:val="231F20"/>
        </w:rPr>
        <w:t>count</w:t>
      </w:r>
      <w:r>
        <w:rPr>
          <w:color w:val="231F20"/>
          <w:spacing w:val="26"/>
        </w:rPr>
        <w:t> </w:t>
      </w:r>
      <w:r>
        <w:rPr>
          <w:color w:val="231F20"/>
        </w:rPr>
        <w:t>value over 30. You would clear this option to have the link indicator display only on the rows where the thread count is over 30. The advantage of this</w:t>
      </w:r>
    </w:p>
    <w:p>
      <w:pPr>
        <w:spacing w:after="0" w:line="211" w:lineRule="auto"/>
        <w:sectPr>
          <w:pgSz w:w="12240" w:h="15840"/>
          <w:pgMar w:header="0" w:footer="736" w:top="1180" w:bottom="920" w:left="1000" w:right="1060"/>
        </w:sectPr>
      </w:pPr>
    </w:p>
    <w:p>
      <w:pPr>
        <w:pStyle w:val="BodyText"/>
        <w:spacing w:line="213" w:lineRule="auto" w:before="85"/>
        <w:ind w:left="2951" w:right="700"/>
      </w:pPr>
      <w:r>
        <w:rPr>
          <w:color w:val="231F20"/>
        </w:rPr>
        <w:t>option is it guides the user to the valid link rows; the disadvantage is </w:t>
      </w:r>
      <w:r>
        <w:rPr>
          <w:color w:val="231F20"/>
        </w:rPr>
        <w:t>that</w:t>
      </w:r>
      <w:r>
        <w:rPr>
          <w:color w:val="231F20"/>
          <w:spacing w:val="80"/>
          <w:w w:val="150"/>
        </w:rPr>
        <w:t> </w:t>
      </w:r>
      <w:r>
        <w:rPr>
          <w:color w:val="231F20"/>
        </w:rPr>
        <w:t>it takes more time for the table to render.</w:t>
      </w:r>
    </w:p>
    <w:p>
      <w:pPr>
        <w:spacing w:after="0" w:line="213" w:lineRule="auto"/>
        <w:sectPr>
          <w:pgSz w:w="12240" w:h="15840"/>
          <w:pgMar w:header="0" w:footer="736" w:top="1180" w:bottom="920" w:left="1000" w:right="1060"/>
        </w:sectPr>
      </w:pPr>
    </w:p>
    <w:p>
      <w:pPr>
        <w:pStyle w:val="BodyText"/>
        <w:spacing w:line="20" w:lineRule="exact"/>
        <w:ind w:left="436"/>
        <w:rPr>
          <w:sz w:val="2"/>
        </w:rPr>
      </w:pPr>
      <w:bookmarkStart w:name="_bookmark63" w:id="144"/>
      <w:bookmarkEnd w:id="144"/>
      <w:r>
        <w:rPr/>
      </w:r>
      <w:r>
        <w:rPr>
          <w:sz w:val="2"/>
        </w:rPr>
        <mc:AlternateContent>
          <mc:Choice Requires="wps">
            <w:drawing>
              <wp:inline distT="0" distB="0" distL="0" distR="0">
                <wp:extent cx="6082665" cy="25400"/>
                <wp:effectExtent l="19050" t="0" r="3810" b="3175"/>
                <wp:docPr id="845" name="Group 845"/>
                <wp:cNvGraphicFramePr>
                  <a:graphicFrameLocks/>
                </wp:cNvGraphicFramePr>
                <a:graphic>
                  <a:graphicData uri="http://schemas.microsoft.com/office/word/2010/wordprocessingGroup">
                    <wpg:wgp>
                      <wpg:cNvPr id="845" name="Group 845"/>
                      <wpg:cNvGrpSpPr/>
                      <wpg:grpSpPr>
                        <a:xfrm>
                          <a:off x="0" y="0"/>
                          <a:ext cx="6082665" cy="25400"/>
                          <a:chExt cx="6082665" cy="25400"/>
                        </a:xfrm>
                      </wpg:grpSpPr>
                      <wps:wsp>
                        <wps:cNvPr id="846" name="Graphic 84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19"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6. Customizing workspace views" w:id="145"/>
      <w:bookmarkEnd w:id="145"/>
      <w:r>
        <w:rPr>
          <w:b w:val="0"/>
        </w:rPr>
      </w:r>
      <w:r>
        <w:rPr>
          <w:color w:val="231F20"/>
        </w:rPr>
        <w:t>Chapter</w:t>
      </w:r>
      <w:r>
        <w:rPr>
          <w:color w:val="231F20"/>
          <w:spacing w:val="-12"/>
        </w:rPr>
        <w:t> </w:t>
      </w:r>
      <w:r>
        <w:rPr>
          <w:color w:val="231F20"/>
        </w:rPr>
        <w:t>6.</w:t>
      </w:r>
      <w:r>
        <w:rPr>
          <w:color w:val="231F20"/>
          <w:spacing w:val="3"/>
        </w:rPr>
        <w:t> </w:t>
      </w:r>
      <w:r>
        <w:rPr>
          <w:color w:val="231F20"/>
        </w:rPr>
        <w:t>Customizing</w:t>
      </w:r>
      <w:r>
        <w:rPr>
          <w:color w:val="231F20"/>
          <w:spacing w:val="4"/>
        </w:rPr>
        <w:t> </w:t>
      </w:r>
      <w:r>
        <w:rPr>
          <w:color w:val="231F20"/>
        </w:rPr>
        <w:t>workspace</w:t>
      </w:r>
      <w:r>
        <w:rPr>
          <w:color w:val="231F20"/>
          <w:spacing w:val="4"/>
        </w:rPr>
        <w:t> </w:t>
      </w:r>
      <w:r>
        <w:rPr>
          <w:color w:val="231F20"/>
          <w:spacing w:val="-2"/>
        </w:rPr>
        <w:t>views</w:t>
      </w:r>
    </w:p>
    <w:p>
      <w:pPr>
        <w:pStyle w:val="BodyText"/>
        <w:spacing w:before="281"/>
        <w:ind w:left="2472"/>
      </w:pPr>
      <w:r>
        <w:rPr>
          <w:color w:val="231F20"/>
        </w:rPr>
        <w:t>Tivoli</w:t>
      </w:r>
      <w:r>
        <w:rPr>
          <w:color w:val="231F20"/>
          <w:spacing w:val="8"/>
        </w:rPr>
        <w:t> </w:t>
      </w:r>
      <w:r>
        <w:rPr>
          <w:color w:val="231F20"/>
        </w:rPr>
        <w:t>Enterprise</w:t>
      </w:r>
      <w:r>
        <w:rPr>
          <w:color w:val="231F20"/>
          <w:spacing w:val="8"/>
        </w:rPr>
        <w:t> </w:t>
      </w:r>
      <w:r>
        <w:rPr>
          <w:color w:val="231F20"/>
        </w:rPr>
        <w:t>Portal</w:t>
      </w:r>
      <w:r>
        <w:rPr>
          <w:color w:val="231F20"/>
          <w:spacing w:val="8"/>
        </w:rPr>
        <w:t> </w:t>
      </w:r>
      <w:r>
        <w:rPr>
          <w:color w:val="231F20"/>
        </w:rPr>
        <w:t>workspaces</w:t>
      </w:r>
      <w:r>
        <w:rPr>
          <w:color w:val="231F20"/>
          <w:spacing w:val="8"/>
        </w:rPr>
        <w:t> </w:t>
      </w:r>
      <w:r>
        <w:rPr>
          <w:color w:val="231F20"/>
        </w:rPr>
        <w:t>can</w:t>
      </w:r>
      <w:r>
        <w:rPr>
          <w:color w:val="231F20"/>
          <w:spacing w:val="8"/>
        </w:rPr>
        <w:t> </w:t>
      </w:r>
      <w:r>
        <w:rPr>
          <w:color w:val="231F20"/>
        </w:rPr>
        <w:t>be</w:t>
      </w:r>
      <w:r>
        <w:rPr>
          <w:color w:val="231F20"/>
          <w:spacing w:val="8"/>
        </w:rPr>
        <w:t> </w:t>
      </w:r>
      <w:r>
        <w:rPr>
          <w:color w:val="231F20"/>
        </w:rPr>
        <w:t>customized</w:t>
      </w:r>
      <w:r>
        <w:rPr>
          <w:color w:val="231F20"/>
          <w:spacing w:val="8"/>
        </w:rPr>
        <w:t> </w:t>
      </w:r>
      <w:r>
        <w:rPr>
          <w:color w:val="231F20"/>
        </w:rPr>
        <w:t>to</w:t>
      </w:r>
      <w:r>
        <w:rPr>
          <w:color w:val="231F20"/>
          <w:spacing w:val="9"/>
        </w:rPr>
        <w:t> </w:t>
      </w:r>
      <w:r>
        <w:rPr>
          <w:color w:val="231F20"/>
        </w:rPr>
        <w:t>show</w:t>
      </w:r>
      <w:r>
        <w:rPr>
          <w:color w:val="231F20"/>
          <w:spacing w:val="8"/>
        </w:rPr>
        <w:t> </w:t>
      </w:r>
      <w:r>
        <w:rPr>
          <w:color w:val="231F20"/>
        </w:rPr>
        <w:t>different</w:t>
      </w:r>
      <w:r>
        <w:rPr>
          <w:color w:val="231F20"/>
          <w:spacing w:val="8"/>
        </w:rPr>
        <w:t> </w:t>
      </w:r>
      <w:r>
        <w:rPr>
          <w:color w:val="231F20"/>
          <w:spacing w:val="-2"/>
        </w:rPr>
        <w:t>views.</w:t>
      </w:r>
    </w:p>
    <w:p>
      <w:pPr>
        <w:pStyle w:val="BodyText"/>
        <w:spacing w:line="213" w:lineRule="auto" w:before="232"/>
        <w:ind w:left="2472" w:right="385"/>
      </w:pPr>
      <w:r>
        <w:rPr>
          <w:color w:val="231F20"/>
        </w:rPr>
        <w:t>The Tivoli Enterprise Portal workspaces can be composed of more than a dozen different views. There are query-based views for displaying the attribute values gathered by monitoring agents, event views for displaying events and their </w:t>
      </w:r>
      <w:r>
        <w:rPr>
          <w:color w:val="231F20"/>
        </w:rPr>
        <w:t>status, and a number of special purpose views.</w:t>
      </w:r>
    </w:p>
    <w:p>
      <w:pPr>
        <w:pStyle w:val="BodyText"/>
        <w:spacing w:before="4"/>
        <w:rPr>
          <w:sz w:val="16"/>
        </w:rPr>
      </w:pPr>
      <w:r>
        <w:rPr/>
        <mc:AlternateContent>
          <mc:Choice Requires="wps">
            <w:drawing>
              <wp:anchor distT="0" distB="0" distL="0" distR="0" allowOverlap="1" layoutInCell="1" locked="0" behindDoc="1" simplePos="0" relativeHeight="487661568">
                <wp:simplePos x="0" y="0"/>
                <wp:positionH relativeFrom="page">
                  <wp:posOffset>912380</wp:posOffset>
                </wp:positionH>
                <wp:positionV relativeFrom="paragraph">
                  <wp:posOffset>155368</wp:posOffset>
                </wp:positionV>
                <wp:extent cx="6082665" cy="1270"/>
                <wp:effectExtent l="0" t="0" r="0" b="0"/>
                <wp:wrapTopAndBottom/>
                <wp:docPr id="847" name="Graphic 847"/>
                <wp:cNvGraphicFramePr>
                  <a:graphicFrameLocks/>
                </wp:cNvGraphicFramePr>
                <a:graphic>
                  <a:graphicData uri="http://schemas.microsoft.com/office/word/2010/wordprocessingShape">
                    <wps:wsp>
                      <wps:cNvPr id="847" name="Graphic 84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3703pt;width:478.95pt;height:.1pt;mso-position-horizontal-relative:page;mso-position-vertical-relative:paragraph;z-index:-15654912;mso-wrap-distance-left:0;mso-wrap-distance-right:0" id="docshape120"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Creating a new view" w:id="146"/>
      <w:bookmarkEnd w:id="146"/>
      <w:r>
        <w:rPr>
          <w:b w:val="0"/>
        </w:rPr>
      </w:r>
      <w:r>
        <w:rPr>
          <w:color w:val="231F20"/>
        </w:rPr>
        <w:t>Creating</w:t>
      </w:r>
      <w:r>
        <w:rPr>
          <w:color w:val="231F20"/>
          <w:spacing w:val="8"/>
        </w:rPr>
        <w:t> </w:t>
      </w:r>
      <w:r>
        <w:rPr>
          <w:color w:val="231F20"/>
        </w:rPr>
        <w:t>a</w:t>
      </w:r>
      <w:r>
        <w:rPr>
          <w:color w:val="231F20"/>
          <w:spacing w:val="9"/>
        </w:rPr>
        <w:t> </w:t>
      </w:r>
      <w:r>
        <w:rPr>
          <w:color w:val="231F20"/>
        </w:rPr>
        <w:t>new</w:t>
      </w:r>
      <w:r>
        <w:rPr>
          <w:color w:val="231F20"/>
          <w:spacing w:val="9"/>
        </w:rPr>
        <w:t> </w:t>
      </w:r>
      <w:r>
        <w:rPr>
          <w:color w:val="231F20"/>
          <w:spacing w:val="-4"/>
        </w:rPr>
        <w:t>view</w:t>
      </w:r>
    </w:p>
    <w:p>
      <w:pPr>
        <w:pStyle w:val="BodyText"/>
        <w:spacing w:line="213" w:lineRule="auto" w:before="138"/>
        <w:ind w:left="2472" w:right="258"/>
      </w:pPr>
      <w:r>
        <w:rPr>
          <w:color w:val="231F20"/>
        </w:rPr>
        <w:t>Create a new view to customize a workspace to show the reports and other information that give you a comprehensive view of your environment or </w:t>
      </w:r>
      <w:r>
        <w:rPr>
          <w:color w:val="231F20"/>
        </w:rPr>
        <w:t>particular aspects of it.</w:t>
      </w:r>
    </w:p>
    <w:p>
      <w:pPr>
        <w:pStyle w:val="BodyText"/>
        <w:spacing w:line="213" w:lineRule="auto" w:before="238"/>
        <w:ind w:left="2472" w:right="385"/>
      </w:pPr>
      <w:r>
        <w:rPr>
          <w:color w:val="231F20"/>
        </w:rPr>
        <w:t>You can add as many views to a workspace as you can easily see within the</w:t>
      </w:r>
      <w:r>
        <w:rPr>
          <w:color w:val="231F20"/>
          <w:spacing w:val="80"/>
        </w:rPr>
        <w:t> </w:t>
      </w:r>
      <w:r>
        <w:rPr>
          <w:color w:val="231F20"/>
        </w:rPr>
        <w:t>confines of the window. Creating a new view is a matter of dividing one view into two and editing one of them.</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2472"/>
      </w:pPr>
      <w:r>
        <w:rPr>
          <w:color w:val="231F20"/>
          <w:spacing w:val="-2"/>
        </w:rPr>
        <w:t>Procedure</w:t>
      </w:r>
    </w:p>
    <w:p>
      <w:pPr>
        <w:pStyle w:val="ListParagraph"/>
        <w:numPr>
          <w:ilvl w:val="0"/>
          <w:numId w:val="47"/>
        </w:numPr>
        <w:tabs>
          <w:tab w:pos="2787" w:val="left" w:leader="none"/>
        </w:tabs>
        <w:spacing w:line="240" w:lineRule="auto" w:before="39" w:after="0"/>
        <w:ind w:left="278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47"/>
        </w:numPr>
        <w:tabs>
          <w:tab w:pos="2788" w:val="left" w:leader="none"/>
        </w:tabs>
        <w:spacing w:line="213" w:lineRule="auto" w:before="52" w:after="0"/>
        <w:ind w:left="2788" w:right="612" w:hanging="316"/>
        <w:jc w:val="left"/>
        <w:rPr>
          <w:sz w:val="20"/>
        </w:rPr>
      </w:pPr>
      <w:r>
        <w:rPr>
          <w:color w:val="231F20"/>
          <w:sz w:val="20"/>
        </w:rPr>
        <w:t>If you want the view to occupy a new space, click</w:t>
      </w:r>
      <w:r>
        <w:rPr>
          <w:color w:val="231F20"/>
          <w:spacing w:val="32"/>
          <w:sz w:val="20"/>
        </w:rPr>
        <w:t> </w:t>
      </w:r>
      <w:r>
        <w:rPr>
          <w:color w:val="231F20"/>
          <w:spacing w:val="-15"/>
          <w:position w:val="-1"/>
          <w:sz w:val="20"/>
        </w:rPr>
        <w:drawing>
          <wp:inline distT="0" distB="0" distL="0" distR="0">
            <wp:extent cx="88900" cy="88900"/>
            <wp:effectExtent l="0" t="0" r="0" b="0"/>
            <wp:docPr id="848" name="Image 848"/>
            <wp:cNvGraphicFramePr>
              <a:graphicFrameLocks/>
            </wp:cNvGraphicFramePr>
            <a:graphic>
              <a:graphicData uri="http://schemas.openxmlformats.org/drawingml/2006/picture">
                <pic:pic>
                  <pic:nvPicPr>
                    <pic:cNvPr id="848" name="Image 848"/>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5"/>
          <w:sz w:val="20"/>
        </w:rPr>
        <w:t> </w:t>
      </w:r>
      <w:r>
        <w:rPr>
          <w:rFonts w:ascii="Book Antiqua"/>
          <w:b/>
          <w:color w:val="231F20"/>
          <w:sz w:val="20"/>
        </w:rPr>
        <w:t>Split Vertically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849" name="Image 849"/>
            <wp:cNvGraphicFramePr>
              <a:graphicFrameLocks/>
            </wp:cNvGraphicFramePr>
            <a:graphic>
              <a:graphicData uri="http://schemas.openxmlformats.org/drawingml/2006/picture">
                <pic:pic>
                  <pic:nvPicPr>
                    <pic:cNvPr id="849" name="Image 849"/>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position w:val="-1"/>
          <w:sz w:val="20"/>
        </w:rPr>
        <w:t> </w:t>
      </w:r>
      <w:r>
        <w:rPr>
          <w:rFonts w:ascii="Book Antiqua"/>
          <w:b/>
          <w:color w:val="231F20"/>
          <w:sz w:val="20"/>
        </w:rPr>
        <w:t>Split Horizontally </w:t>
      </w:r>
      <w:r>
        <w:rPr>
          <w:color w:val="231F20"/>
          <w:sz w:val="20"/>
        </w:rPr>
        <w:t>in an existing view. The pane divides and a duplicate </w:t>
      </w:r>
      <w:r>
        <w:rPr>
          <w:color w:val="231F20"/>
          <w:sz w:val="20"/>
        </w:rPr>
        <w:t>is created. If you split the Navigator, the new view is empty. If you want to replace a view with a different type of view, skip this step.</w:t>
      </w:r>
    </w:p>
    <w:p>
      <w:pPr>
        <w:pStyle w:val="ListParagraph"/>
        <w:numPr>
          <w:ilvl w:val="0"/>
          <w:numId w:val="47"/>
        </w:numPr>
        <w:tabs>
          <w:tab w:pos="2787" w:val="left" w:leader="none"/>
        </w:tabs>
        <w:spacing w:line="255" w:lineRule="exact" w:before="34" w:after="0"/>
        <w:ind w:left="2787" w:right="0" w:hanging="315"/>
        <w:jc w:val="left"/>
        <w:rPr>
          <w:rFonts w:ascii="Times New Roman"/>
          <w:sz w:val="20"/>
        </w:rPr>
      </w:pPr>
      <w:r>
        <w:rPr/>
        <mc:AlternateContent>
          <mc:Choice Requires="wps">
            <w:drawing>
              <wp:anchor distT="0" distB="0" distL="0" distR="0" allowOverlap="1" layoutInCell="1" locked="0" behindDoc="0" simplePos="0" relativeHeight="15802880">
                <wp:simplePos x="0" y="0"/>
                <wp:positionH relativeFrom="page">
                  <wp:posOffset>5895986</wp:posOffset>
                </wp:positionH>
                <wp:positionV relativeFrom="paragraph">
                  <wp:posOffset>69542</wp:posOffset>
                </wp:positionV>
                <wp:extent cx="228600" cy="101600"/>
                <wp:effectExtent l="0" t="0" r="0" b="0"/>
                <wp:wrapNone/>
                <wp:docPr id="850" name="Group 850"/>
                <wp:cNvGraphicFramePr>
                  <a:graphicFrameLocks/>
                </wp:cNvGraphicFramePr>
                <a:graphic>
                  <a:graphicData uri="http://schemas.microsoft.com/office/word/2010/wordprocessingGroup">
                    <wpg:wgp>
                      <wpg:cNvPr id="850" name="Group 850"/>
                      <wpg:cNvGrpSpPr/>
                      <wpg:grpSpPr>
                        <a:xfrm>
                          <a:off x="0" y="0"/>
                          <a:ext cx="228600" cy="101600"/>
                          <a:chExt cx="228600" cy="101600"/>
                        </a:xfrm>
                      </wpg:grpSpPr>
                      <pic:pic>
                        <pic:nvPicPr>
                          <pic:cNvPr id="851" name="Image 851"/>
                          <pic:cNvPicPr/>
                        </pic:nvPicPr>
                        <pic:blipFill>
                          <a:blip r:embed="rId47" cstate="print"/>
                          <a:stretch>
                            <a:fillRect/>
                          </a:stretch>
                        </pic:blipFill>
                        <pic:spPr>
                          <a:xfrm>
                            <a:off x="0" y="6350"/>
                            <a:ext cx="95250" cy="95250"/>
                          </a:xfrm>
                          <a:prstGeom prst="rect">
                            <a:avLst/>
                          </a:prstGeom>
                        </pic:spPr>
                      </pic:pic>
                      <pic:pic>
                        <pic:nvPicPr>
                          <pic:cNvPr id="852" name="Image 852"/>
                          <pic:cNvPicPr/>
                        </pic:nvPicPr>
                        <pic:blipFill>
                          <a:blip r:embed="rId48" cstate="print"/>
                          <a:stretch>
                            <a:fillRect/>
                          </a:stretch>
                        </pic:blipFill>
                        <pic:spPr>
                          <a:xfrm>
                            <a:off x="126705" y="0"/>
                            <a:ext cx="101600" cy="101600"/>
                          </a:xfrm>
                          <a:prstGeom prst="rect">
                            <a:avLst/>
                          </a:prstGeom>
                        </pic:spPr>
                      </pic:pic>
                    </wpg:wgp>
                  </a:graphicData>
                </a:graphic>
              </wp:anchor>
            </w:drawing>
          </mc:Choice>
          <mc:Fallback>
            <w:pict>
              <v:group style="position:absolute;margin-left:464.250885pt;margin-top:5.475811pt;width:18pt;height:8pt;mso-position-horizontal-relative:page;mso-position-vertical-relative:paragraph;z-index:15802880" id="docshapegroup121" coordorigin="9285,110" coordsize="360,160">
                <v:shape style="position:absolute;left:9285;top:119;width:150;height:150" type="#_x0000_t75" id="docshape122" stroked="false">
                  <v:imagedata r:id="rId47" o:title=""/>
                </v:shape>
                <v:shape style="position:absolute;left:9484;top:109;width:160;height:160" type="#_x0000_t75" id="docshape123" stroked="false">
                  <v:imagedata r:id="rId48" o:title=""/>
                </v:shape>
                <w10:wrap type="none"/>
              </v:group>
            </w:pict>
          </mc:Fallback>
        </mc:AlternateContent>
      </w:r>
      <w:r>
        <w:rPr/>
        <w:drawing>
          <wp:anchor distT="0" distB="0" distL="0" distR="0" allowOverlap="1" layoutInCell="1" locked="0" behindDoc="0" simplePos="0" relativeHeight="15803392">
            <wp:simplePos x="0" y="0"/>
            <wp:positionH relativeFrom="page">
              <wp:posOffset>6210640</wp:posOffset>
            </wp:positionH>
            <wp:positionV relativeFrom="paragraph">
              <wp:posOffset>69542</wp:posOffset>
            </wp:positionV>
            <wp:extent cx="82550" cy="101600"/>
            <wp:effectExtent l="0" t="0" r="0" b="0"/>
            <wp:wrapNone/>
            <wp:docPr id="853" name="Image 853"/>
            <wp:cNvGraphicFramePr>
              <a:graphicFrameLocks/>
            </wp:cNvGraphicFramePr>
            <a:graphic>
              <a:graphicData uri="http://schemas.openxmlformats.org/drawingml/2006/picture">
                <pic:pic>
                  <pic:nvPicPr>
                    <pic:cNvPr id="853" name="Image 853"/>
                    <pic:cNvPicPr/>
                  </pic:nvPicPr>
                  <pic:blipFill>
                    <a:blip r:embed="rId49" cstate="print"/>
                    <a:stretch>
                      <a:fillRect/>
                    </a:stretch>
                  </pic:blipFill>
                  <pic:spPr>
                    <a:xfrm>
                      <a:off x="0" y="0"/>
                      <a:ext cx="82550" cy="101600"/>
                    </a:xfrm>
                    <a:prstGeom prst="rect">
                      <a:avLst/>
                    </a:prstGeom>
                  </pic:spPr>
                </pic:pic>
              </a:graphicData>
            </a:graphic>
          </wp:anchor>
        </w:drawing>
      </w:r>
      <w:r>
        <w:rPr/>
        <w:drawing>
          <wp:anchor distT="0" distB="0" distL="0" distR="0" allowOverlap="1" layoutInCell="1" locked="0" behindDoc="0" simplePos="0" relativeHeight="15803904">
            <wp:simplePos x="0" y="0"/>
            <wp:positionH relativeFrom="page">
              <wp:posOffset>6373187</wp:posOffset>
            </wp:positionH>
            <wp:positionV relativeFrom="paragraph">
              <wp:posOffset>69542</wp:posOffset>
            </wp:positionV>
            <wp:extent cx="101600" cy="101600"/>
            <wp:effectExtent l="0" t="0" r="0" b="0"/>
            <wp:wrapNone/>
            <wp:docPr id="854" name="Image 854"/>
            <wp:cNvGraphicFramePr>
              <a:graphicFrameLocks/>
            </wp:cNvGraphicFramePr>
            <a:graphic>
              <a:graphicData uri="http://schemas.openxmlformats.org/drawingml/2006/picture">
                <pic:pic>
                  <pic:nvPicPr>
                    <pic:cNvPr id="854" name="Image 854"/>
                    <pic:cNvPicPr/>
                  </pic:nvPicPr>
                  <pic:blipFill>
                    <a:blip r:embed="rId51" cstate="print"/>
                    <a:stretch>
                      <a:fillRect/>
                    </a:stretch>
                  </pic:blipFill>
                  <pic:spPr>
                    <a:xfrm>
                      <a:off x="0" y="0"/>
                      <a:ext cx="101600" cy="101600"/>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6548435</wp:posOffset>
            </wp:positionH>
            <wp:positionV relativeFrom="paragraph">
              <wp:posOffset>69542</wp:posOffset>
            </wp:positionV>
            <wp:extent cx="101600" cy="101600"/>
            <wp:effectExtent l="0" t="0" r="0" b="0"/>
            <wp:wrapNone/>
            <wp:docPr id="855" name="Image 855"/>
            <wp:cNvGraphicFramePr>
              <a:graphicFrameLocks/>
            </wp:cNvGraphicFramePr>
            <a:graphic>
              <a:graphicData uri="http://schemas.openxmlformats.org/drawingml/2006/picture">
                <pic:pic>
                  <pic:nvPicPr>
                    <pic:cNvPr id="855" name="Image 855"/>
                    <pic:cNvPicPr/>
                  </pic:nvPicPr>
                  <pic:blipFill>
                    <a:blip r:embed="rId52" cstate="print"/>
                    <a:stretch>
                      <a:fillRect/>
                    </a:stretch>
                  </pic:blipFill>
                  <pic:spPr>
                    <a:xfrm>
                      <a:off x="0" y="0"/>
                      <a:ext cx="101600" cy="101600"/>
                    </a:xfrm>
                    <a:prstGeom prst="rect">
                      <a:avLst/>
                    </a:prstGeom>
                  </pic:spPr>
                </pic:pic>
              </a:graphicData>
            </a:graphic>
          </wp:anchor>
        </w:drawing>
      </w:r>
      <w:r>
        <w:rPr/>
        <mc:AlternateContent>
          <mc:Choice Requires="wps">
            <w:drawing>
              <wp:anchor distT="0" distB="0" distL="0" distR="0" allowOverlap="1" layoutInCell="1" locked="0" behindDoc="0" simplePos="0" relativeHeight="15804928">
                <wp:simplePos x="0" y="0"/>
                <wp:positionH relativeFrom="page">
                  <wp:posOffset>6730034</wp:posOffset>
                </wp:positionH>
                <wp:positionV relativeFrom="paragraph">
                  <wp:posOffset>75892</wp:posOffset>
                </wp:positionV>
                <wp:extent cx="228600" cy="95250"/>
                <wp:effectExtent l="0" t="0" r="0" b="0"/>
                <wp:wrapNone/>
                <wp:docPr id="856" name="Group 856"/>
                <wp:cNvGraphicFramePr>
                  <a:graphicFrameLocks/>
                </wp:cNvGraphicFramePr>
                <a:graphic>
                  <a:graphicData uri="http://schemas.microsoft.com/office/word/2010/wordprocessingGroup">
                    <wpg:wgp>
                      <wpg:cNvPr id="856" name="Group 856"/>
                      <wpg:cNvGrpSpPr/>
                      <wpg:grpSpPr>
                        <a:xfrm>
                          <a:off x="0" y="0"/>
                          <a:ext cx="228600" cy="95250"/>
                          <a:chExt cx="228600" cy="95250"/>
                        </a:xfrm>
                      </wpg:grpSpPr>
                      <pic:pic>
                        <pic:nvPicPr>
                          <pic:cNvPr id="857" name="Image 857"/>
                          <pic:cNvPicPr/>
                        </pic:nvPicPr>
                        <pic:blipFill>
                          <a:blip r:embed="rId53" cstate="print"/>
                          <a:stretch>
                            <a:fillRect/>
                          </a:stretch>
                        </pic:blipFill>
                        <pic:spPr>
                          <a:xfrm>
                            <a:off x="0" y="0"/>
                            <a:ext cx="95250" cy="95250"/>
                          </a:xfrm>
                          <a:prstGeom prst="rect">
                            <a:avLst/>
                          </a:prstGeom>
                        </pic:spPr>
                      </pic:pic>
                      <pic:pic>
                        <pic:nvPicPr>
                          <pic:cNvPr id="858" name="Image 858"/>
                          <pic:cNvPicPr/>
                        </pic:nvPicPr>
                        <pic:blipFill>
                          <a:blip r:embed="rId55" cstate="print"/>
                          <a:stretch>
                            <a:fillRect/>
                          </a:stretch>
                        </pic:blipFill>
                        <pic:spPr>
                          <a:xfrm>
                            <a:off x="133055" y="0"/>
                            <a:ext cx="95250" cy="88900"/>
                          </a:xfrm>
                          <a:prstGeom prst="rect">
                            <a:avLst/>
                          </a:prstGeom>
                        </pic:spPr>
                      </pic:pic>
                    </wpg:wgp>
                  </a:graphicData>
                </a:graphic>
              </wp:anchor>
            </w:drawing>
          </mc:Choice>
          <mc:Fallback>
            <w:pict>
              <v:group style="position:absolute;margin-left:529.924011pt;margin-top:5.975811pt;width:18pt;height:7.5pt;mso-position-horizontal-relative:page;mso-position-vertical-relative:paragraph;z-index:15804928" id="docshapegroup124" coordorigin="10598,120" coordsize="360,150">
                <v:shape style="position:absolute;left:10598;top:119;width:150;height:150" type="#_x0000_t75" id="docshape125" stroked="false">
                  <v:imagedata r:id="rId53" o:title=""/>
                </v:shape>
                <v:shape style="position:absolute;left:10808;top:119;width:150;height:140" type="#_x0000_t75" id="docshape126" stroked="false">
                  <v:imagedata r:id="rId55" o:title=""/>
                </v:shape>
                <w10:wrap type="none"/>
              </v:group>
            </w:pict>
          </mc:Fallback>
        </mc:AlternateContent>
      </w:r>
      <w:r>
        <w:rPr>
          <w:color w:val="231F20"/>
          <w:sz w:val="20"/>
        </w:rPr>
        <w:t>Click</w:t>
      </w:r>
      <w:r>
        <w:rPr>
          <w:color w:val="231F20"/>
          <w:spacing w:val="24"/>
          <w:sz w:val="20"/>
        </w:rPr>
        <w:t> </w:t>
      </w:r>
      <w:r>
        <w:rPr>
          <w:color w:val="231F20"/>
          <w:sz w:val="20"/>
        </w:rPr>
        <w:t>the</w:t>
      </w:r>
      <w:r>
        <w:rPr>
          <w:color w:val="231F20"/>
          <w:spacing w:val="24"/>
          <w:sz w:val="20"/>
        </w:rPr>
        <w:t> </w:t>
      </w:r>
      <w:r>
        <w:rPr>
          <w:color w:val="231F20"/>
          <w:sz w:val="20"/>
        </w:rPr>
        <w:t>tool</w:t>
      </w:r>
      <w:r>
        <w:rPr>
          <w:color w:val="231F20"/>
          <w:spacing w:val="24"/>
          <w:sz w:val="20"/>
        </w:rPr>
        <w:t> </w:t>
      </w:r>
      <w:r>
        <w:rPr>
          <w:color w:val="231F20"/>
          <w:sz w:val="20"/>
        </w:rPr>
        <w:t>for</w:t>
      </w:r>
      <w:r>
        <w:rPr>
          <w:color w:val="231F20"/>
          <w:spacing w:val="24"/>
          <w:sz w:val="20"/>
        </w:rPr>
        <w:t> </w:t>
      </w:r>
      <w:r>
        <w:rPr>
          <w:color w:val="231F20"/>
          <w:sz w:val="20"/>
        </w:rPr>
        <w:t>the</w:t>
      </w:r>
      <w:r>
        <w:rPr>
          <w:color w:val="231F20"/>
          <w:spacing w:val="24"/>
          <w:sz w:val="20"/>
        </w:rPr>
        <w:t> </w:t>
      </w:r>
      <w:r>
        <w:rPr>
          <w:color w:val="231F20"/>
          <w:sz w:val="20"/>
        </w:rPr>
        <w:t>type</w:t>
      </w:r>
      <w:r>
        <w:rPr>
          <w:color w:val="231F20"/>
          <w:spacing w:val="24"/>
          <w:sz w:val="20"/>
        </w:rPr>
        <w:t> </w:t>
      </w:r>
      <w:r>
        <w:rPr>
          <w:color w:val="231F20"/>
          <w:sz w:val="20"/>
        </w:rPr>
        <w:t>of</w:t>
      </w:r>
      <w:r>
        <w:rPr>
          <w:color w:val="231F20"/>
          <w:spacing w:val="24"/>
          <w:sz w:val="20"/>
        </w:rPr>
        <w:t> </w:t>
      </w:r>
      <w:r>
        <w:rPr>
          <w:color w:val="231F20"/>
          <w:sz w:val="20"/>
        </w:rPr>
        <w:t>view</w:t>
      </w:r>
      <w:r>
        <w:rPr>
          <w:color w:val="231F20"/>
          <w:spacing w:val="24"/>
          <w:sz w:val="20"/>
        </w:rPr>
        <w:t> </w:t>
      </w:r>
      <w:r>
        <w:rPr>
          <w:color w:val="231F20"/>
          <w:sz w:val="20"/>
        </w:rPr>
        <w:t>you</w:t>
      </w:r>
      <w:r>
        <w:rPr>
          <w:color w:val="231F20"/>
          <w:spacing w:val="24"/>
          <w:sz w:val="20"/>
        </w:rPr>
        <w:t> </w:t>
      </w:r>
      <w:r>
        <w:rPr>
          <w:color w:val="231F20"/>
          <w:sz w:val="20"/>
        </w:rPr>
        <w:t>want:</w:t>
      </w:r>
      <w:r>
        <w:rPr>
          <w:color w:val="231F20"/>
          <w:spacing w:val="34"/>
          <w:sz w:val="20"/>
        </w:rPr>
        <w:t> </w:t>
      </w:r>
      <w:r>
        <w:rPr>
          <w:color w:val="231F20"/>
          <w:spacing w:val="-25"/>
          <w:position w:val="-1"/>
          <w:sz w:val="20"/>
        </w:rPr>
        <w:drawing>
          <wp:inline distT="0" distB="0" distL="0" distR="0">
            <wp:extent cx="95250" cy="95250"/>
            <wp:effectExtent l="0" t="0" r="0" b="0"/>
            <wp:docPr id="859" name="Image 859"/>
            <wp:cNvGraphicFramePr>
              <a:graphicFrameLocks/>
            </wp:cNvGraphicFramePr>
            <a:graphic>
              <a:graphicData uri="http://schemas.openxmlformats.org/drawingml/2006/picture">
                <pic:pic>
                  <pic:nvPicPr>
                    <pic:cNvPr id="859" name="Image 859"/>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position w:val="-1"/>
          <w:sz w:val="20"/>
        </w:rPr>
        <w:t> </w:t>
      </w:r>
      <w:r>
        <w:rPr>
          <w:rFonts w:ascii="Times New Roman"/>
          <w:color w:val="231F20"/>
          <w:position w:val="-1"/>
          <w:sz w:val="20"/>
        </w:rPr>
        <w:drawing>
          <wp:inline distT="0" distB="0" distL="0" distR="0">
            <wp:extent cx="95250" cy="95250"/>
            <wp:effectExtent l="0" t="0" r="0" b="0"/>
            <wp:docPr id="860" name="Image 860"/>
            <wp:cNvGraphicFramePr>
              <a:graphicFrameLocks/>
            </wp:cNvGraphicFramePr>
            <a:graphic>
              <a:graphicData uri="http://schemas.openxmlformats.org/drawingml/2006/picture">
                <pic:pic>
                  <pic:nvPicPr>
                    <pic:cNvPr id="860" name="Image 860"/>
                    <pic:cNvPicPr/>
                  </pic:nvPicPr>
                  <pic:blipFill>
                    <a:blip r:embed="rId43" cstate="print"/>
                    <a:stretch>
                      <a:fillRect/>
                    </a:stretch>
                  </pic:blipFill>
                  <pic:spPr>
                    <a:xfrm>
                      <a:off x="0" y="0"/>
                      <a:ext cx="95250" cy="95250"/>
                    </a:xfrm>
                    <a:prstGeom prst="rect">
                      <a:avLst/>
                    </a:prstGeom>
                  </pic:spPr>
                </pic:pic>
              </a:graphicData>
            </a:graphic>
          </wp:inline>
        </w:drawing>
      </w:r>
      <w:r>
        <w:rPr>
          <w:rFonts w:ascii="Times New Roman"/>
          <w:color w:val="231F20"/>
          <w:position w:val="-1"/>
          <w:sz w:val="20"/>
        </w:rPr>
      </w:r>
      <w:r>
        <w:rPr>
          <w:rFonts w:ascii="Times New Roman"/>
          <w:color w:val="231F20"/>
          <w:spacing w:val="80"/>
          <w:position w:val="-1"/>
          <w:sz w:val="20"/>
        </w:rPr>
        <w:t> </w:t>
      </w:r>
      <w:r>
        <w:rPr>
          <w:rFonts w:ascii="Times New Roman"/>
          <w:color w:val="231F20"/>
          <w:spacing w:val="-25"/>
          <w:position w:val="-1"/>
          <w:sz w:val="20"/>
        </w:rPr>
        <w:drawing>
          <wp:inline distT="0" distB="0" distL="0" distR="0">
            <wp:extent cx="95250" cy="101600"/>
            <wp:effectExtent l="0" t="0" r="0" b="0"/>
            <wp:docPr id="861" name="Image 861"/>
            <wp:cNvGraphicFramePr>
              <a:graphicFrameLocks/>
            </wp:cNvGraphicFramePr>
            <a:graphic>
              <a:graphicData uri="http://schemas.openxmlformats.org/drawingml/2006/picture">
                <pic:pic>
                  <pic:nvPicPr>
                    <pic:cNvPr id="861" name="Image 861"/>
                    <pic:cNvPicPr/>
                  </pic:nvPicPr>
                  <pic:blipFill>
                    <a:blip r:embed="rId44" cstate="print"/>
                    <a:stretch>
                      <a:fillRect/>
                    </a:stretch>
                  </pic:blipFill>
                  <pic:spPr>
                    <a:xfrm>
                      <a:off x="0" y="0"/>
                      <a:ext cx="95250" cy="101600"/>
                    </a:xfrm>
                    <a:prstGeom prst="rect">
                      <a:avLst/>
                    </a:prstGeom>
                  </pic:spPr>
                </pic:pic>
              </a:graphicData>
            </a:graphic>
          </wp:inline>
        </w:drawing>
      </w:r>
      <w:r>
        <w:rPr>
          <w:rFonts w:ascii="Times New Roman"/>
          <w:color w:val="231F20"/>
          <w:spacing w:val="-25"/>
          <w:position w:val="-1"/>
          <w:sz w:val="20"/>
        </w:rPr>
      </w:r>
      <w:r>
        <w:rPr>
          <w:rFonts w:ascii="Times New Roman"/>
          <w:color w:val="231F20"/>
          <w:spacing w:val="80"/>
          <w:position w:val="-1"/>
          <w:sz w:val="20"/>
        </w:rPr>
        <w:t> </w:t>
      </w:r>
      <w:r>
        <w:rPr>
          <w:rFonts w:ascii="Times New Roman"/>
          <w:color w:val="231F20"/>
          <w:spacing w:val="-10"/>
          <w:position w:val="-1"/>
          <w:sz w:val="20"/>
        </w:rPr>
        <w:drawing>
          <wp:inline distT="0" distB="0" distL="0" distR="0">
            <wp:extent cx="101600" cy="95250"/>
            <wp:effectExtent l="0" t="0" r="0" b="0"/>
            <wp:docPr id="862" name="Image 862"/>
            <wp:cNvGraphicFramePr>
              <a:graphicFrameLocks/>
            </wp:cNvGraphicFramePr>
            <a:graphic>
              <a:graphicData uri="http://schemas.openxmlformats.org/drawingml/2006/picture">
                <pic:pic>
                  <pic:nvPicPr>
                    <pic:cNvPr id="862" name="Image 862"/>
                    <pic:cNvPicPr/>
                  </pic:nvPicPr>
                  <pic:blipFill>
                    <a:blip r:embed="rId45" cstate="print"/>
                    <a:stretch>
                      <a:fillRect/>
                    </a:stretch>
                  </pic:blipFill>
                  <pic:spPr>
                    <a:xfrm>
                      <a:off x="0" y="0"/>
                      <a:ext cx="101600" cy="95250"/>
                    </a:xfrm>
                    <a:prstGeom prst="rect">
                      <a:avLst/>
                    </a:prstGeom>
                  </pic:spPr>
                </pic:pic>
              </a:graphicData>
            </a:graphic>
          </wp:inline>
        </w:drawing>
      </w:r>
      <w:r>
        <w:rPr>
          <w:rFonts w:ascii="Times New Roman"/>
          <w:color w:val="231F20"/>
          <w:spacing w:val="-10"/>
          <w:position w:val="-1"/>
          <w:sz w:val="20"/>
        </w:rPr>
      </w:r>
      <w:r>
        <w:rPr>
          <w:rFonts w:ascii="Times New Roman"/>
          <w:color w:val="231F20"/>
          <w:spacing w:val="80"/>
          <w:position w:val="-1"/>
          <w:sz w:val="20"/>
        </w:rPr>
        <w:t> </w:t>
      </w:r>
      <w:r>
        <w:rPr>
          <w:rFonts w:ascii="Times New Roman"/>
          <w:color w:val="231F20"/>
          <w:spacing w:val="-5"/>
          <w:position w:val="-1"/>
          <w:sz w:val="20"/>
        </w:rPr>
        <w:drawing>
          <wp:inline distT="0" distB="0" distL="0" distR="0">
            <wp:extent cx="101600" cy="95250"/>
            <wp:effectExtent l="0" t="0" r="0" b="0"/>
            <wp:docPr id="863" name="Image 863"/>
            <wp:cNvGraphicFramePr>
              <a:graphicFrameLocks/>
            </wp:cNvGraphicFramePr>
            <a:graphic>
              <a:graphicData uri="http://schemas.openxmlformats.org/drawingml/2006/picture">
                <pic:pic>
                  <pic:nvPicPr>
                    <pic:cNvPr id="863" name="Image 863"/>
                    <pic:cNvPicPr/>
                  </pic:nvPicPr>
                  <pic:blipFill>
                    <a:blip r:embed="rId46" cstate="print"/>
                    <a:stretch>
                      <a:fillRect/>
                    </a:stretch>
                  </pic:blipFill>
                  <pic:spPr>
                    <a:xfrm>
                      <a:off x="0" y="0"/>
                      <a:ext cx="101600" cy="95250"/>
                    </a:xfrm>
                    <a:prstGeom prst="rect">
                      <a:avLst/>
                    </a:prstGeom>
                  </pic:spPr>
                </pic:pic>
              </a:graphicData>
            </a:graphic>
          </wp:inline>
        </w:drawing>
      </w:r>
      <w:r>
        <w:rPr>
          <w:rFonts w:ascii="Times New Roman"/>
          <w:color w:val="231F20"/>
          <w:spacing w:val="-5"/>
          <w:position w:val="-1"/>
          <w:sz w:val="20"/>
        </w:rPr>
      </w:r>
    </w:p>
    <w:p>
      <w:pPr>
        <w:pStyle w:val="BodyText"/>
        <w:spacing w:line="213" w:lineRule="auto" w:before="8"/>
        <w:ind w:left="2788" w:right="545" w:firstLine="10"/>
      </w:pPr>
      <w:r>
        <w:rPr>
          <w:position w:val="-1"/>
        </w:rPr>
        <w:drawing>
          <wp:inline distT="0" distB="0" distL="0" distR="0">
            <wp:extent cx="95250" cy="95250"/>
            <wp:effectExtent l="0" t="0" r="0" b="0"/>
            <wp:docPr id="864" name="Image 864"/>
            <wp:cNvGraphicFramePr>
              <a:graphicFrameLocks/>
            </wp:cNvGraphicFramePr>
            <a:graphic>
              <a:graphicData uri="http://schemas.openxmlformats.org/drawingml/2006/picture">
                <pic:pic>
                  <pic:nvPicPr>
                    <pic:cNvPr id="864" name="Image 864"/>
                    <pic:cNvPicPr/>
                  </pic:nvPicPr>
                  <pic:blipFill>
                    <a:blip r:embed="rId5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80"/>
          <w:position w:val="0"/>
        </w:rPr>
        <w:t> </w:t>
      </w:r>
      <w:r>
        <w:rPr>
          <w:rFonts w:ascii="Times New Roman"/>
          <w:spacing w:val="-25"/>
          <w:position w:val="0"/>
        </w:rPr>
        <w:drawing>
          <wp:inline distT="0" distB="0" distL="0" distR="0">
            <wp:extent cx="95250" cy="88900"/>
            <wp:effectExtent l="0" t="0" r="0" b="0"/>
            <wp:docPr id="865" name="Image 865"/>
            <wp:cNvGraphicFramePr>
              <a:graphicFrameLocks/>
            </wp:cNvGraphicFramePr>
            <a:graphic>
              <a:graphicData uri="http://schemas.openxmlformats.org/drawingml/2006/picture">
                <pic:pic>
                  <pic:nvPicPr>
                    <pic:cNvPr id="865" name="Image 865"/>
                    <pic:cNvPicPr/>
                  </pic:nvPicPr>
                  <pic:blipFill>
                    <a:blip r:embed="rId57" cstate="print"/>
                    <a:stretch>
                      <a:fillRect/>
                    </a:stretch>
                  </pic:blipFill>
                  <pic:spPr>
                    <a:xfrm>
                      <a:off x="0" y="0"/>
                      <a:ext cx="95250" cy="88900"/>
                    </a:xfrm>
                    <a:prstGeom prst="rect">
                      <a:avLst/>
                    </a:prstGeom>
                  </pic:spPr>
                </pic:pic>
              </a:graphicData>
            </a:graphic>
          </wp:inline>
        </w:drawing>
      </w:r>
      <w:r>
        <w:rPr>
          <w:rFonts w:ascii="Times New Roman"/>
          <w:spacing w:val="-25"/>
          <w:position w:val="0"/>
        </w:rPr>
      </w:r>
      <w:r>
        <w:rPr>
          <w:rFonts w:ascii="Times New Roman"/>
          <w:spacing w:val="80"/>
          <w:position w:val="-1"/>
        </w:rPr>
        <w:t> </w:t>
      </w:r>
      <w:r>
        <w:rPr>
          <w:rFonts w:ascii="Times New Roman"/>
          <w:position w:val="-1"/>
        </w:rPr>
        <w:drawing>
          <wp:inline distT="0" distB="0" distL="0" distR="0">
            <wp:extent cx="95250" cy="95250"/>
            <wp:effectExtent l="0" t="0" r="0" b="0"/>
            <wp:docPr id="866" name="Image 866"/>
            <wp:cNvGraphicFramePr>
              <a:graphicFrameLocks/>
            </wp:cNvGraphicFramePr>
            <a:graphic>
              <a:graphicData uri="http://schemas.openxmlformats.org/drawingml/2006/picture">
                <pic:pic>
                  <pic:nvPicPr>
                    <pic:cNvPr id="866" name="Image 866"/>
                    <pic:cNvPicPr/>
                  </pic:nvPicPr>
                  <pic:blipFill>
                    <a:blip r:embed="rId58" cstate="print"/>
                    <a:stretch>
                      <a:fillRect/>
                    </a:stretch>
                  </pic:blipFill>
                  <pic:spPr>
                    <a:xfrm>
                      <a:off x="0" y="0"/>
                      <a:ext cx="95250" cy="95250"/>
                    </a:xfrm>
                    <a:prstGeom prst="rect">
                      <a:avLst/>
                    </a:prstGeom>
                  </pic:spPr>
                </pic:pic>
              </a:graphicData>
            </a:graphic>
          </wp:inline>
        </w:drawing>
      </w:r>
      <w:r>
        <w:rPr>
          <w:rFonts w:ascii="Times New Roman"/>
          <w:position w:val="-1"/>
        </w:rPr>
      </w:r>
      <w:r>
        <w:rPr>
          <w:rFonts w:ascii="Times New Roman"/>
          <w:spacing w:val="40"/>
          <w:position w:val="-1"/>
        </w:rPr>
        <w:t> </w:t>
      </w:r>
      <w:r>
        <w:rPr>
          <w:rFonts w:ascii="Times New Roman"/>
          <w:spacing w:val="15"/>
          <w:position w:val="-1"/>
        </w:rPr>
        <w:drawing>
          <wp:inline distT="0" distB="0" distL="0" distR="0">
            <wp:extent cx="101600" cy="101600"/>
            <wp:effectExtent l="0" t="0" r="0" b="0"/>
            <wp:docPr id="867" name="Image 867"/>
            <wp:cNvGraphicFramePr>
              <a:graphicFrameLocks/>
            </wp:cNvGraphicFramePr>
            <a:graphic>
              <a:graphicData uri="http://schemas.openxmlformats.org/drawingml/2006/picture">
                <pic:pic>
                  <pic:nvPicPr>
                    <pic:cNvPr id="867" name="Image 867"/>
                    <pic:cNvPicPr/>
                  </pic:nvPicPr>
                  <pic:blipFill>
                    <a:blip r:embed="rId59" cstate="print"/>
                    <a:stretch>
                      <a:fillRect/>
                    </a:stretch>
                  </pic:blipFill>
                  <pic:spPr>
                    <a:xfrm>
                      <a:off x="0" y="0"/>
                      <a:ext cx="101600" cy="101600"/>
                    </a:xfrm>
                    <a:prstGeom prst="rect">
                      <a:avLst/>
                    </a:prstGeom>
                  </pic:spPr>
                </pic:pic>
              </a:graphicData>
            </a:graphic>
          </wp:inline>
        </w:drawing>
      </w:r>
      <w:r>
        <w:rPr>
          <w:rFonts w:ascii="Times New Roman"/>
          <w:spacing w:val="15"/>
          <w:position w:val="-1"/>
        </w:rPr>
      </w:r>
      <w:r>
        <w:rPr>
          <w:rFonts w:ascii="Times New Roman"/>
          <w:spacing w:val="40"/>
          <w:position w:val="0"/>
        </w:rPr>
        <w:t> </w:t>
      </w:r>
      <w:r>
        <w:rPr>
          <w:rFonts w:ascii="Times New Roman"/>
          <w:spacing w:val="-15"/>
          <w:position w:val="0"/>
        </w:rPr>
        <w:drawing>
          <wp:inline distT="0" distB="0" distL="0" distR="0">
            <wp:extent cx="95250" cy="95250"/>
            <wp:effectExtent l="0" t="0" r="0" b="0"/>
            <wp:docPr id="868" name="Image 868"/>
            <wp:cNvGraphicFramePr>
              <a:graphicFrameLocks/>
            </wp:cNvGraphicFramePr>
            <a:graphic>
              <a:graphicData uri="http://schemas.openxmlformats.org/drawingml/2006/picture">
                <pic:pic>
                  <pic:nvPicPr>
                    <pic:cNvPr id="868" name="Image 868"/>
                    <pic:cNvPicPr/>
                  </pic:nvPicPr>
                  <pic:blipFill>
                    <a:blip r:embed="rId60" cstate="print"/>
                    <a:stretch>
                      <a:fillRect/>
                    </a:stretch>
                  </pic:blipFill>
                  <pic:spPr>
                    <a:xfrm>
                      <a:off x="0" y="0"/>
                      <a:ext cx="95250" cy="95250"/>
                    </a:xfrm>
                    <a:prstGeom prst="rect">
                      <a:avLst/>
                    </a:prstGeom>
                  </pic:spPr>
                </pic:pic>
              </a:graphicData>
            </a:graphic>
          </wp:inline>
        </w:drawing>
      </w:r>
      <w:r>
        <w:rPr>
          <w:rFonts w:ascii="Times New Roman"/>
          <w:spacing w:val="-15"/>
          <w:position w:val="0"/>
        </w:rPr>
      </w:r>
      <w:r>
        <w:rPr>
          <w:rFonts w:ascii="Times New Roman"/>
          <w:spacing w:val="32"/>
        </w:rPr>
        <w:t> </w:t>
      </w:r>
      <w:r>
        <w:rPr>
          <w:color w:val="231F20"/>
        </w:rPr>
        <w:t>.</w:t>
      </w:r>
      <w:r>
        <w:rPr>
          <w:color w:val="231F20"/>
          <w:spacing w:val="23"/>
        </w:rPr>
        <w:t> </w:t>
      </w:r>
      <w:r>
        <w:rPr>
          <w:color w:val="231F20"/>
        </w:rPr>
        <w:t>The</w:t>
      </w:r>
      <w:r>
        <w:rPr>
          <w:color w:val="231F20"/>
          <w:spacing w:val="23"/>
        </w:rPr>
        <w:t> </w:t>
      </w:r>
      <w:r>
        <w:rPr>
          <w:color w:val="231F20"/>
        </w:rPr>
        <w:t>mouse</w:t>
      </w:r>
      <w:r>
        <w:rPr>
          <w:color w:val="231F20"/>
          <w:spacing w:val="23"/>
        </w:rPr>
        <w:t> </w:t>
      </w:r>
      <w:r>
        <w:rPr>
          <w:color w:val="231F20"/>
        </w:rPr>
        <w:t>pointer</w:t>
      </w:r>
      <w:r>
        <w:rPr>
          <w:color w:val="231F20"/>
          <w:spacing w:val="23"/>
        </w:rPr>
        <w:t> </w:t>
      </w:r>
      <w:r>
        <w:rPr>
          <w:color w:val="231F20"/>
        </w:rPr>
        <w:t>changes</w:t>
      </w:r>
      <w:r>
        <w:rPr>
          <w:color w:val="231F20"/>
          <w:spacing w:val="23"/>
        </w:rPr>
        <w:t> </w:t>
      </w:r>
      <w:r>
        <w:rPr>
          <w:color w:val="231F20"/>
        </w:rPr>
        <w:t>to</w:t>
      </w:r>
      <w:r>
        <w:rPr>
          <w:color w:val="231F20"/>
          <w:spacing w:val="23"/>
        </w:rPr>
        <w:t> </w:t>
      </w:r>
      <w:r>
        <w:rPr>
          <w:color w:val="231F20"/>
        </w:rPr>
        <w:t>the</w:t>
      </w:r>
      <w:r>
        <w:rPr>
          <w:color w:val="231F20"/>
          <w:spacing w:val="23"/>
        </w:rPr>
        <w:t> </w:t>
      </w:r>
      <w:r>
        <w:rPr>
          <w:color w:val="231F20"/>
        </w:rPr>
        <w:t>view</w:t>
      </w:r>
      <w:r>
        <w:rPr>
          <w:color w:val="231F20"/>
          <w:spacing w:val="23"/>
        </w:rPr>
        <w:t> </w:t>
      </w:r>
      <w:r>
        <w:rPr>
          <w:color w:val="231F20"/>
        </w:rPr>
        <w:t>icon</w:t>
      </w:r>
      <w:r>
        <w:rPr>
          <w:color w:val="231F20"/>
          <w:spacing w:val="23"/>
        </w:rPr>
        <w:t> </w:t>
      </w:r>
      <w:r>
        <w:rPr>
          <w:color w:val="231F20"/>
        </w:rPr>
        <w:t>(hand</w:t>
      </w:r>
      <w:r>
        <w:rPr>
          <w:color w:val="231F20"/>
          <w:spacing w:val="23"/>
        </w:rPr>
        <w:t> </w:t>
      </w:r>
      <w:r>
        <w:rPr>
          <w:color w:val="231F20"/>
        </w:rPr>
        <w:t>icon</w:t>
      </w:r>
      <w:r>
        <w:rPr>
          <w:color w:val="231F20"/>
          <w:spacing w:val="23"/>
        </w:rPr>
        <w:t> </w:t>
      </w:r>
      <w:r>
        <w:rPr>
          <w:color w:val="231F20"/>
        </w:rPr>
        <w:t>on Linux). If you get the wrong icon or decide not to add the view, press Escape</w:t>
      </w:r>
      <w:r>
        <w:rPr>
          <w:color w:val="231F20"/>
          <w:spacing w:val="40"/>
        </w:rPr>
        <w:t> </w:t>
      </w:r>
      <w:r>
        <w:rPr>
          <w:color w:val="231F20"/>
        </w:rPr>
        <w:t>or click somewhere in the toolbar.</w:t>
      </w:r>
    </w:p>
    <w:p>
      <w:pPr>
        <w:pStyle w:val="ListParagraph"/>
        <w:numPr>
          <w:ilvl w:val="0"/>
          <w:numId w:val="47"/>
        </w:numPr>
        <w:tabs>
          <w:tab w:pos="2788" w:val="left" w:leader="none"/>
        </w:tabs>
        <w:spacing w:line="213" w:lineRule="auto" w:before="58" w:after="0"/>
        <w:ind w:left="2788" w:right="562" w:hanging="316"/>
        <w:jc w:val="both"/>
        <w:rPr>
          <w:sz w:val="20"/>
        </w:rPr>
      </w:pPr>
      <w:r>
        <w:rPr>
          <w:color w:val="231F20"/>
          <w:sz w:val="20"/>
        </w:rPr>
        <w:t>Click inside the space to adopt the new view. If this is a table or chart view and no query has been chosen, or the query is inappropriate for the type </w:t>
      </w:r>
      <w:r>
        <w:rPr>
          <w:color w:val="231F20"/>
          <w:sz w:val="20"/>
        </w:rPr>
        <w:t>of chart, no data is displayed. You might be prompted to assign a query.</w:t>
      </w:r>
    </w:p>
    <w:p>
      <w:pPr>
        <w:pStyle w:val="ListParagraph"/>
        <w:numPr>
          <w:ilvl w:val="0"/>
          <w:numId w:val="47"/>
        </w:numPr>
        <w:tabs>
          <w:tab w:pos="2787" w:val="left" w:leader="none"/>
        </w:tabs>
        <w:spacing w:line="240" w:lineRule="auto" w:before="35" w:after="0"/>
        <w:ind w:left="2787" w:right="0" w:hanging="315"/>
        <w:jc w:val="both"/>
        <w:rPr>
          <w:sz w:val="20"/>
        </w:rPr>
      </w:pPr>
      <w:r>
        <w:rPr>
          <w:color w:val="231F20"/>
          <w:sz w:val="20"/>
        </w:rPr>
        <w:t>Some</w:t>
      </w:r>
      <w:r>
        <w:rPr>
          <w:color w:val="231F20"/>
          <w:spacing w:val="7"/>
          <w:sz w:val="20"/>
        </w:rPr>
        <w:t> </w:t>
      </w:r>
      <w:r>
        <w:rPr>
          <w:color w:val="231F20"/>
          <w:sz w:val="20"/>
        </w:rPr>
        <w:t>views</w:t>
      </w:r>
      <w:r>
        <w:rPr>
          <w:color w:val="231F20"/>
          <w:spacing w:val="8"/>
          <w:sz w:val="20"/>
        </w:rPr>
        <w:t> </w:t>
      </w:r>
      <w:r>
        <w:rPr>
          <w:color w:val="231F20"/>
          <w:sz w:val="20"/>
        </w:rPr>
        <w:t>require</w:t>
      </w:r>
      <w:r>
        <w:rPr>
          <w:color w:val="231F20"/>
          <w:spacing w:val="8"/>
          <w:sz w:val="20"/>
        </w:rPr>
        <w:t> </w:t>
      </w:r>
      <w:r>
        <w:rPr>
          <w:color w:val="231F20"/>
          <w:sz w:val="20"/>
        </w:rPr>
        <w:t>more</w:t>
      </w:r>
      <w:r>
        <w:rPr>
          <w:color w:val="231F20"/>
          <w:spacing w:val="7"/>
          <w:sz w:val="20"/>
        </w:rPr>
        <w:t> </w:t>
      </w:r>
      <w:r>
        <w:rPr>
          <w:color w:val="231F20"/>
          <w:spacing w:val="-2"/>
          <w:sz w:val="20"/>
        </w:rPr>
        <w:t>information:</w:t>
      </w:r>
    </w:p>
    <w:p>
      <w:pPr>
        <w:pStyle w:val="BodyText"/>
        <w:spacing w:line="213" w:lineRule="auto" w:before="52"/>
        <w:ind w:left="3004" w:right="385" w:hanging="216"/>
      </w:pPr>
      <w:r>
        <w:rPr>
          <w:rFonts w:ascii="Futura MdCn BT"/>
          <w:color w:val="231F20"/>
        </w:rPr>
        <w:t>v</w:t>
      </w:r>
      <w:r>
        <w:rPr>
          <w:rFonts w:ascii="Futura MdCn BT"/>
          <w:color w:val="231F20"/>
          <w:spacing w:val="80"/>
        </w:rPr>
        <w:t> </w:t>
      </w:r>
      <w:r>
        <w:rPr>
          <w:color w:val="231F20"/>
        </w:rPr>
        <w:t>If the Select Attribute window opens, you replaced a table view with a </w:t>
      </w:r>
      <w:r>
        <w:rPr>
          <w:color w:val="231F20"/>
        </w:rPr>
        <w:t>chart</w:t>
      </w:r>
      <w:r>
        <w:rPr>
          <w:color w:val="231F20"/>
        </w:rPr>
        <w:t> view, which can show only numeric attributes. Select an attribute (use Ctrl+Click or Shift+Click to select more), then click </w:t>
      </w:r>
      <w:r>
        <w:rPr>
          <w:rFonts w:ascii="Book Antiqua"/>
          <w:b/>
          <w:color w:val="231F20"/>
        </w:rPr>
        <w:t>OK</w:t>
      </w:r>
      <w:r>
        <w:rPr>
          <w:color w:val="231F20"/>
        </w:rPr>
        <w:t>.</w:t>
      </w:r>
    </w:p>
    <w:p>
      <w:pPr>
        <w:pStyle w:val="BodyText"/>
        <w:spacing w:line="213" w:lineRule="auto" w:before="58"/>
        <w:ind w:left="3004" w:right="493" w:hanging="216"/>
      </w:pPr>
      <w:r>
        <w:rPr>
          <w:rFonts w:ascii="Futura MdCn BT"/>
          <w:color w:val="231F20"/>
        </w:rPr>
        <w:t>v</w:t>
      </w:r>
      <w:r>
        <w:rPr>
          <w:rFonts w:ascii="Futura MdCn BT"/>
          <w:color w:val="231F20"/>
          <w:spacing w:val="80"/>
        </w:rPr>
        <w:t> </w:t>
      </w:r>
      <w:r>
        <w:rPr>
          <w:color w:val="231F20"/>
        </w:rPr>
        <w:t>If you are adding a terminal view, enter the host name and port number in</w:t>
      </w:r>
      <w:r>
        <w:rPr>
          <w:color w:val="231F20"/>
          <w:spacing w:val="40"/>
        </w:rPr>
        <w:t> </w:t>
      </w:r>
      <w:r>
        <w:rPr>
          <w:color w:val="231F20"/>
        </w:rPr>
        <w:t>the Terminal Emulator Configuration window.</w:t>
      </w:r>
    </w:p>
    <w:p>
      <w:pPr>
        <w:pStyle w:val="ListParagraph"/>
        <w:numPr>
          <w:ilvl w:val="0"/>
          <w:numId w:val="47"/>
        </w:numPr>
        <w:tabs>
          <w:tab w:pos="2788" w:val="left" w:leader="none"/>
        </w:tabs>
        <w:spacing w:line="213" w:lineRule="auto" w:before="59" w:after="0"/>
        <w:ind w:left="2788" w:right="323" w:hanging="316"/>
        <w:jc w:val="left"/>
        <w:rPr>
          <w:sz w:val="20"/>
        </w:rPr>
      </w:pPr>
      <w:r>
        <w:rPr>
          <w:color w:val="231F20"/>
          <w:sz w:val="20"/>
        </w:rPr>
        <w:t>Select</w:t>
      </w:r>
      <w:r>
        <w:rPr>
          <w:color w:val="231F20"/>
          <w:spacing w:val="40"/>
          <w:sz w:val="20"/>
        </w:rPr>
        <w:t> </w:t>
      </w:r>
      <w:r>
        <w:rPr>
          <w:color w:val="231F20"/>
          <w:spacing w:val="6"/>
          <w:position w:val="1"/>
          <w:sz w:val="20"/>
        </w:rPr>
        <w:drawing>
          <wp:inline distT="0" distB="0" distL="0" distR="0">
            <wp:extent cx="57150" cy="57150"/>
            <wp:effectExtent l="0" t="0" r="0" b="0"/>
            <wp:docPr id="869" name="Image 869"/>
            <wp:cNvGraphicFramePr>
              <a:graphicFrameLocks/>
            </wp:cNvGraphicFramePr>
            <a:graphic>
              <a:graphicData uri="http://schemas.openxmlformats.org/drawingml/2006/picture">
                <pic:pic>
                  <pic:nvPicPr>
                    <pic:cNvPr id="869" name="Image 869"/>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color w:val="231F20"/>
          <w:spacing w:val="6"/>
          <w:sz w:val="20"/>
        </w:rPr>
        <w:t> </w:t>
      </w:r>
      <w:r>
        <w:rPr>
          <w:rFonts w:ascii="Book Antiqua"/>
          <w:b/>
          <w:color w:val="231F20"/>
          <w:sz w:val="20"/>
        </w:rPr>
        <w:t>Edit properties </w:t>
      </w:r>
      <w:r>
        <w:rPr>
          <w:color w:val="231F20"/>
          <w:sz w:val="20"/>
        </w:rPr>
        <w:t>to open the Properties editor to change the content or format. The tabs displayed depend on the type of view. The Tivoli Enterprise Console event viewer and the take action view have no associated properties.</w:t>
      </w:r>
    </w:p>
    <w:p>
      <w:pPr>
        <w:pStyle w:val="ListParagraph"/>
        <w:numPr>
          <w:ilvl w:val="0"/>
          <w:numId w:val="47"/>
        </w:numPr>
        <w:tabs>
          <w:tab w:pos="2788" w:val="left" w:leader="none"/>
        </w:tabs>
        <w:spacing w:line="213" w:lineRule="auto" w:before="58" w:after="0"/>
        <w:ind w:left="2788" w:right="163" w:hanging="316"/>
        <w:jc w:val="left"/>
        <w:rPr>
          <w:sz w:val="20"/>
        </w:rPr>
      </w:pPr>
      <w:r>
        <w:rPr>
          <w:color w:val="231F20"/>
          <w:sz w:val="20"/>
        </w:rPr>
        <w:t>As you edit the properties, click </w:t>
      </w:r>
      <w:r>
        <w:rPr>
          <w:rFonts w:ascii="Book Antiqua"/>
          <w:b/>
          <w:color w:val="231F20"/>
          <w:sz w:val="20"/>
        </w:rPr>
        <w:t>Test </w:t>
      </w:r>
      <w:r>
        <w:rPr>
          <w:color w:val="231F20"/>
          <w:sz w:val="20"/>
        </w:rPr>
        <w:t>to see your changes in the </w:t>
      </w:r>
      <w:r>
        <w:rPr>
          <w:rFonts w:ascii="Book Antiqua"/>
          <w:b/>
          <w:color w:val="231F20"/>
          <w:sz w:val="20"/>
        </w:rPr>
        <w:t>Preview </w:t>
      </w:r>
      <w:r>
        <w:rPr>
          <w:color w:val="231F20"/>
          <w:sz w:val="20"/>
        </w:rPr>
        <w:t>area at the top of the window, </w:t>
      </w:r>
      <w:r>
        <w:rPr>
          <w:rFonts w:ascii="Book Antiqua"/>
          <w:b/>
          <w:color w:val="231F20"/>
          <w:sz w:val="20"/>
        </w:rPr>
        <w:t>Apply </w:t>
      </w:r>
      <w:r>
        <w:rPr>
          <w:color w:val="231F20"/>
          <w:sz w:val="20"/>
        </w:rPr>
        <w:t>to save your changes and keep the window open for selecting another view to edit, or </w:t>
      </w:r>
      <w:r>
        <w:rPr>
          <w:rFonts w:ascii="Book Antiqua"/>
          <w:b/>
          <w:color w:val="231F20"/>
          <w:sz w:val="20"/>
        </w:rPr>
        <w:t>OK </w:t>
      </w:r>
      <w:r>
        <w:rPr>
          <w:color w:val="231F20"/>
          <w:sz w:val="20"/>
        </w:rPr>
        <w:t>to save your changes and close the</w:t>
      </w:r>
      <w:r>
        <w:rPr>
          <w:color w:val="231F20"/>
          <w:spacing w:val="40"/>
          <w:sz w:val="20"/>
        </w:rPr>
        <w:t> </w:t>
      </w:r>
      <w:r>
        <w:rPr>
          <w:color w:val="231F20"/>
          <w:spacing w:val="-2"/>
          <w:sz w:val="20"/>
        </w:rPr>
        <w:t>window.</w:t>
      </w:r>
    </w:p>
    <w:p>
      <w:pPr>
        <w:spacing w:after="0" w:line="213" w:lineRule="auto"/>
        <w:jc w:val="left"/>
        <w:rPr>
          <w:sz w:val="20"/>
        </w:rPr>
        <w:sectPr>
          <w:footerReference w:type="default" r:id="rId187"/>
          <w:footerReference w:type="even" r:id="rId188"/>
          <w:pgSz w:w="12240" w:h="15840"/>
          <w:pgMar w:header="0" w:footer="736" w:top="1300" w:bottom="920" w:left="1000" w:right="1060"/>
          <w:pgNumType w:start="83"/>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20"/>
        <w:rPr>
          <w:sz w:val="28"/>
        </w:rPr>
      </w:pPr>
    </w:p>
    <w:p>
      <w:pPr>
        <w:pStyle w:val="Heading3"/>
        <w:spacing w:before="0"/>
        <w:ind w:left="197"/>
      </w:pPr>
      <w:bookmarkStart w:name="_bookmark64" w:id="147"/>
      <w:bookmarkEnd w:id="147"/>
      <w:r>
        <w:rPr>
          <w:b w:val="0"/>
        </w:rPr>
      </w:r>
      <w:bookmarkStart w:name="Editing a view" w:id="148"/>
      <w:bookmarkEnd w:id="148"/>
      <w:r>
        <w:rPr>
          <w:b w:val="0"/>
        </w:rPr>
      </w:r>
      <w:r>
        <w:rPr>
          <w:color w:val="231F20"/>
        </w:rPr>
        <w:t>Editing</w:t>
      </w:r>
      <w:r>
        <w:rPr>
          <w:color w:val="231F20"/>
          <w:spacing w:val="9"/>
        </w:rPr>
        <w:t> </w:t>
      </w:r>
      <w:r>
        <w:rPr>
          <w:color w:val="231F20"/>
        </w:rPr>
        <w:t>a</w:t>
      </w:r>
      <w:r>
        <w:rPr>
          <w:color w:val="231F20"/>
          <w:spacing w:val="9"/>
        </w:rPr>
        <w:t> </w:t>
      </w:r>
      <w:r>
        <w:rPr>
          <w:color w:val="231F20"/>
          <w:spacing w:val="-4"/>
        </w:rPr>
        <w:t>view</w:t>
      </w:r>
    </w:p>
    <w:p>
      <w:pPr>
        <w:pStyle w:val="BodyText"/>
        <w:spacing w:line="213" w:lineRule="auto" w:before="85"/>
        <w:ind w:left="417" w:right="544"/>
      </w:pPr>
      <w:r>
        <w:rPr/>
        <w:br w:type="column"/>
      </w:r>
      <w:r>
        <w:rPr>
          <w:rFonts w:ascii="Book Antiqua"/>
          <w:b/>
          <w:color w:val="231F20"/>
        </w:rPr>
        <w:t>Attention:</w:t>
      </w:r>
      <w:r>
        <w:rPr>
          <w:rFonts w:ascii="Book Antiqua"/>
          <w:b/>
          <w:color w:val="231F20"/>
          <w:spacing w:val="80"/>
          <w:w w:val="150"/>
        </w:rPr>
        <w:t> </w:t>
      </w:r>
      <w:r>
        <w:rPr>
          <w:color w:val="231F20"/>
        </w:rPr>
        <w:t>The </w:t>
      </w:r>
      <w:r>
        <w:rPr>
          <w:rFonts w:ascii="Book Antiqua"/>
          <w:b/>
          <w:color w:val="231F20"/>
        </w:rPr>
        <w:t>Preview </w:t>
      </w:r>
      <w:r>
        <w:rPr>
          <w:color w:val="231F20"/>
        </w:rPr>
        <w:t>area is showing a sample of what your view will look</w:t>
      </w:r>
      <w:r>
        <w:rPr>
          <w:color w:val="231F20"/>
          <w:spacing w:val="40"/>
        </w:rPr>
        <w:t> </w:t>
      </w:r>
      <w:r>
        <w:rPr>
          <w:color w:val="231F20"/>
        </w:rPr>
        <w:t>like in the associated workspace. This area is restricted by space constraints </w:t>
      </w:r>
      <w:r>
        <w:rPr>
          <w:color w:val="231F20"/>
        </w:rPr>
        <w:t>and some labels, identifiers, and other view-level adornments might be hidden, truncated, or partially rendered. Your view will be rendered correctly when applied to the associated workspace where space constraints are not a concern.</w:t>
      </w:r>
    </w:p>
    <w:p>
      <w:pPr>
        <w:pStyle w:val="ListParagraph"/>
        <w:numPr>
          <w:ilvl w:val="0"/>
          <w:numId w:val="47"/>
        </w:numPr>
        <w:tabs>
          <w:tab w:pos="417" w:val="left" w:leader="none"/>
        </w:tabs>
        <w:spacing w:line="213" w:lineRule="auto" w:before="56" w:after="0"/>
        <w:ind w:left="417" w:right="759" w:hanging="316"/>
        <w:jc w:val="left"/>
        <w:rPr>
          <w:sz w:val="20"/>
        </w:rPr>
      </w:pPr>
      <w:r>
        <w:rPr>
          <w:color w:val="231F20"/>
          <w:sz w:val="20"/>
        </w:rPr>
        <w:t>If you want to keep the view in this workspace for future work sessions, do one of the following:</w:t>
      </w:r>
    </w:p>
    <w:p>
      <w:pPr>
        <w:pStyle w:val="BodyText"/>
        <w:spacing w:before="36"/>
        <w:ind w:left="417"/>
      </w:pPr>
      <w:r>
        <w:rPr>
          <w:rFonts w:ascii="Futura MdCn BT"/>
          <w:color w:val="231F20"/>
        </w:rPr>
        <w:t>v</w:t>
      </w:r>
      <w:r>
        <w:rPr>
          <w:rFonts w:ascii="Futura MdCn BT"/>
          <w:color w:val="231F20"/>
          <w:spacing w:val="31"/>
        </w:rPr>
        <w:t>  </w:t>
      </w:r>
      <w:r>
        <w:rPr>
          <w:color w:val="231F20"/>
        </w:rPr>
        <w:t>Click</w:t>
      </w:r>
      <w:r>
        <w:rPr>
          <w:color w:val="231F20"/>
          <w:spacing w:val="22"/>
        </w:rPr>
        <w:t> </w:t>
      </w:r>
      <w:r>
        <w:rPr>
          <w:color w:val="231F20"/>
          <w:spacing w:val="-24"/>
          <w:position w:val="-1"/>
        </w:rPr>
        <w:drawing>
          <wp:inline distT="0" distB="0" distL="0" distR="0">
            <wp:extent cx="95250" cy="95250"/>
            <wp:effectExtent l="0" t="0" r="0" b="0"/>
            <wp:docPr id="870" name="Image 870"/>
            <wp:cNvGraphicFramePr>
              <a:graphicFrameLocks/>
            </wp:cNvGraphicFramePr>
            <a:graphic>
              <a:graphicData uri="http://schemas.openxmlformats.org/drawingml/2006/picture">
                <pic:pic>
                  <pic:nvPicPr>
                    <pic:cNvPr id="870" name="Image 870"/>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Save</w:t>
      </w:r>
      <w:r>
        <w:rPr>
          <w:rFonts w:ascii="Book Antiqua"/>
          <w:b/>
          <w:color w:val="231F20"/>
          <w:spacing w:val="12"/>
        </w:rPr>
        <w:t> </w:t>
      </w:r>
      <w:r>
        <w:rPr>
          <w:color w:val="231F20"/>
        </w:rPr>
        <w:t>to</w:t>
      </w:r>
      <w:r>
        <w:rPr>
          <w:color w:val="231F20"/>
          <w:spacing w:val="12"/>
        </w:rPr>
        <w:t> </w:t>
      </w:r>
      <w:r>
        <w:rPr>
          <w:color w:val="231F20"/>
        </w:rPr>
        <w:t>update</w:t>
      </w:r>
      <w:r>
        <w:rPr>
          <w:color w:val="231F20"/>
          <w:spacing w:val="13"/>
        </w:rPr>
        <w:t> </w:t>
      </w:r>
      <w:r>
        <w:rPr>
          <w:color w:val="231F20"/>
        </w:rPr>
        <w:t>the</w:t>
      </w:r>
      <w:r>
        <w:rPr>
          <w:color w:val="231F20"/>
          <w:spacing w:val="12"/>
        </w:rPr>
        <w:t> </w:t>
      </w:r>
      <w:r>
        <w:rPr>
          <w:color w:val="231F20"/>
        </w:rPr>
        <w:t>workspace</w:t>
      </w:r>
      <w:r>
        <w:rPr>
          <w:color w:val="231F20"/>
          <w:spacing w:val="12"/>
        </w:rPr>
        <w:t> </w:t>
      </w:r>
      <w:r>
        <w:rPr>
          <w:color w:val="231F20"/>
        </w:rPr>
        <w:t>properties</w:t>
      </w:r>
      <w:r>
        <w:rPr>
          <w:color w:val="231F20"/>
          <w:spacing w:val="12"/>
        </w:rPr>
        <w:t> </w:t>
      </w:r>
      <w:r>
        <w:rPr>
          <w:color w:val="231F20"/>
        </w:rPr>
        <w:t>with</w:t>
      </w:r>
      <w:r>
        <w:rPr>
          <w:color w:val="231F20"/>
          <w:spacing w:val="12"/>
        </w:rPr>
        <w:t> </w:t>
      </w:r>
      <w:r>
        <w:rPr>
          <w:color w:val="231F20"/>
        </w:rPr>
        <w:t>the</w:t>
      </w:r>
      <w:r>
        <w:rPr>
          <w:color w:val="231F20"/>
          <w:spacing w:val="12"/>
        </w:rPr>
        <w:t> </w:t>
      </w:r>
      <w:r>
        <w:rPr>
          <w:color w:val="231F20"/>
        </w:rPr>
        <w:t>new</w:t>
      </w:r>
      <w:r>
        <w:rPr>
          <w:color w:val="231F20"/>
          <w:spacing w:val="12"/>
        </w:rPr>
        <w:t> </w:t>
      </w:r>
      <w:r>
        <w:rPr>
          <w:color w:val="231F20"/>
          <w:spacing w:val="-2"/>
        </w:rPr>
        <w:t>view.</w:t>
      </w:r>
    </w:p>
    <w:p>
      <w:pPr>
        <w:pStyle w:val="BodyText"/>
        <w:spacing w:line="213" w:lineRule="auto" w:before="52"/>
        <w:ind w:left="633" w:right="544" w:hanging="216"/>
      </w:pPr>
      <w:r>
        <w:rPr>
          <w:rFonts w:ascii="Futura MdCn BT"/>
          <w:color w:val="231F20"/>
        </w:rPr>
        <w:t>v</w:t>
      </w:r>
      <w:r>
        <w:rPr>
          <w:rFonts w:ascii="Futura MdCn BT"/>
          <w:color w:val="231F20"/>
          <w:spacing w:val="80"/>
        </w:rPr>
        <w:t> </w:t>
      </w:r>
      <w:r>
        <w:rPr>
          <w:color w:val="231F20"/>
        </w:rPr>
        <w:t>Select </w:t>
      </w:r>
      <w:r>
        <w:rPr>
          <w:rFonts w:ascii="Book Antiqua"/>
          <w:b/>
          <w:color w:val="231F20"/>
        </w:rPr>
        <w:t>Save Workspace As </w:t>
      </w:r>
      <w:r>
        <w:rPr>
          <w:color w:val="231F20"/>
        </w:rPr>
        <w:t>from the </w:t>
      </w:r>
      <w:r>
        <w:rPr>
          <w:rFonts w:ascii="Book Antiqua"/>
          <w:b/>
          <w:color w:val="231F20"/>
        </w:rPr>
        <w:t>File </w:t>
      </w:r>
      <w:r>
        <w:rPr>
          <w:color w:val="231F20"/>
        </w:rPr>
        <w:t>menu to save this as a new workspace and leave the original workspace as it was.</w:t>
      </w:r>
    </w:p>
    <w:p>
      <w:pPr>
        <w:pStyle w:val="BodyText"/>
        <w:spacing w:line="213" w:lineRule="auto" w:before="238"/>
        <w:ind w:left="417" w:right="407"/>
      </w:pPr>
      <w:r>
        <w:rPr/>
        <mc:AlternateContent>
          <mc:Choice Requires="wps">
            <w:drawing>
              <wp:anchor distT="0" distB="0" distL="0" distR="0" allowOverlap="1" layoutInCell="1" locked="0" behindDoc="0" simplePos="0" relativeHeight="15805440">
                <wp:simplePos x="0" y="0"/>
                <wp:positionH relativeFrom="page">
                  <wp:posOffset>760323</wp:posOffset>
                </wp:positionH>
                <wp:positionV relativeFrom="paragraph">
                  <wp:posOffset>1372631</wp:posOffset>
                </wp:positionV>
                <wp:extent cx="6082665" cy="1270"/>
                <wp:effectExtent l="0" t="0" r="0" b="0"/>
                <wp:wrapNone/>
                <wp:docPr id="871" name="Graphic 871"/>
                <wp:cNvGraphicFramePr>
                  <a:graphicFrameLocks/>
                </wp:cNvGraphicFramePr>
                <a:graphic>
                  <a:graphicData uri="http://schemas.microsoft.com/office/word/2010/wordprocessingShape">
                    <wps:wsp>
                      <wps:cNvPr id="871" name="Graphic 87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440" from="59.868pt,108.081192pt" to="538.809pt,108.081192pt" stroked="true" strokeweight=".499pt" strokecolor="#231f20">
                <v:stroke dashstyle="solid"/>
                <w10:wrap type="none"/>
              </v:line>
            </w:pict>
          </mc:Fallback>
        </mc:AlternateContent>
      </w:r>
      <w:r>
        <w:rPr>
          <w:rFonts w:ascii="Book Antiqua"/>
          <w:b/>
          <w:color w:val="231F20"/>
        </w:rPr>
        <w:t>Note:</w:t>
      </w:r>
      <w:r>
        <w:rPr>
          <w:rFonts w:ascii="Book Antiqua"/>
          <w:b/>
          <w:color w:val="231F20"/>
          <w:spacing w:val="40"/>
        </w:rPr>
        <w:t> </w:t>
      </w:r>
      <w:r>
        <w:rPr>
          <w:color w:val="231F20"/>
        </w:rPr>
        <w:t>If no information appears in a table or chart, it might be because no data</w:t>
      </w:r>
      <w:r>
        <w:rPr>
          <w:color w:val="231F20"/>
          <w:spacing w:val="40"/>
        </w:rPr>
        <w:t> </w:t>
      </w:r>
      <w:r>
        <w:rPr>
          <w:color w:val="231F20"/>
        </w:rPr>
        <w:t>samplings meet the query or filter criteria. Regardless of the managed systems assigned to a query, a gauge chart (circular or linear) can show data from only one managed system. If you are using the query in a workspace where </w:t>
      </w:r>
      <w:r>
        <w:rPr>
          <w:color w:val="231F20"/>
        </w:rPr>
        <w:t>multiple systems</w:t>
      </w:r>
      <w:r>
        <w:rPr>
          <w:color w:val="231F20"/>
          <w:spacing w:val="28"/>
        </w:rPr>
        <w:t> </w:t>
      </w:r>
      <w:r>
        <w:rPr>
          <w:color w:val="231F20"/>
        </w:rPr>
        <w:t>are</w:t>
      </w:r>
      <w:r>
        <w:rPr>
          <w:color w:val="231F20"/>
          <w:spacing w:val="28"/>
        </w:rPr>
        <w:t> </w:t>
      </w:r>
      <w:r>
        <w:rPr>
          <w:color w:val="231F20"/>
        </w:rPr>
        <w:t>applicable</w:t>
      </w:r>
      <w:r>
        <w:rPr>
          <w:color w:val="231F20"/>
          <w:spacing w:val="28"/>
        </w:rPr>
        <w:t> </w:t>
      </w:r>
      <w:r>
        <w:rPr>
          <w:color w:val="231F20"/>
        </w:rPr>
        <w:t>(at</w:t>
      </w:r>
      <w:r>
        <w:rPr>
          <w:color w:val="231F20"/>
          <w:spacing w:val="28"/>
        </w:rPr>
        <w:t> </w:t>
      </w:r>
      <w:r>
        <w:rPr>
          <w:color w:val="231F20"/>
        </w:rPr>
        <w:t>the</w:t>
      </w:r>
      <w:r>
        <w:rPr>
          <w:color w:val="231F20"/>
          <w:spacing w:val="28"/>
        </w:rPr>
        <w:t> </w:t>
      </w:r>
      <w:r>
        <w:rPr>
          <w:color w:val="231F20"/>
        </w:rPr>
        <w:t>platform</w:t>
      </w:r>
      <w:r>
        <w:rPr>
          <w:color w:val="231F20"/>
          <w:spacing w:val="28"/>
        </w:rPr>
        <w:t> </w:t>
      </w:r>
      <w:r>
        <w:rPr>
          <w:color w:val="231F20"/>
        </w:rPr>
        <w:t>level</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Navigator</w:t>
      </w:r>
      <w:r>
        <w:rPr>
          <w:color w:val="231F20"/>
          <w:spacing w:val="28"/>
        </w:rPr>
        <w:t> </w:t>
      </w:r>
      <w:r>
        <w:rPr>
          <w:color w:val="231F20"/>
        </w:rPr>
        <w:t>physical</w:t>
      </w:r>
      <w:r>
        <w:rPr>
          <w:color w:val="231F20"/>
          <w:spacing w:val="28"/>
        </w:rPr>
        <w:t> </w:t>
      </w:r>
      <w:r>
        <w:rPr>
          <w:color w:val="231F20"/>
        </w:rPr>
        <w:t>view), the</w:t>
      </w:r>
      <w:r>
        <w:rPr>
          <w:color w:val="231F20"/>
          <w:spacing w:val="26"/>
        </w:rPr>
        <w:t> </w:t>
      </w:r>
      <w:r>
        <w:rPr>
          <w:color w:val="231F20"/>
        </w:rPr>
        <w:t>data</w:t>
      </w:r>
      <w:r>
        <w:rPr>
          <w:color w:val="231F20"/>
          <w:spacing w:val="26"/>
        </w:rPr>
        <w:t> </w:t>
      </w:r>
      <w:r>
        <w:rPr>
          <w:color w:val="231F20"/>
        </w:rPr>
        <w:t>shown</w:t>
      </w:r>
      <w:r>
        <w:rPr>
          <w:color w:val="231F20"/>
          <w:spacing w:val="26"/>
        </w:rPr>
        <w:t> </w:t>
      </w:r>
      <w:r>
        <w:rPr>
          <w:color w:val="231F20"/>
        </w:rPr>
        <w:t>will</w:t>
      </w:r>
      <w:r>
        <w:rPr>
          <w:color w:val="231F20"/>
          <w:spacing w:val="26"/>
        </w:rPr>
        <w:t> </w:t>
      </w:r>
      <w:r>
        <w:rPr>
          <w:color w:val="231F20"/>
        </w:rPr>
        <w:t>be</w:t>
      </w:r>
      <w:r>
        <w:rPr>
          <w:color w:val="231F20"/>
          <w:spacing w:val="26"/>
        </w:rPr>
        <w:t> </w:t>
      </w:r>
      <w:r>
        <w:rPr>
          <w:color w:val="231F20"/>
        </w:rPr>
        <w:t>from</w:t>
      </w:r>
      <w:r>
        <w:rPr>
          <w:color w:val="231F20"/>
          <w:spacing w:val="26"/>
        </w:rPr>
        <w:t> </w:t>
      </w:r>
      <w:r>
        <w:rPr>
          <w:color w:val="231F20"/>
        </w:rPr>
        <w:t>the</w:t>
      </w:r>
      <w:r>
        <w:rPr>
          <w:color w:val="231F20"/>
          <w:spacing w:val="26"/>
        </w:rPr>
        <w:t> </w:t>
      </w:r>
      <w:r>
        <w:rPr>
          <w:color w:val="231F20"/>
        </w:rPr>
        <w:t>first</w:t>
      </w:r>
      <w:r>
        <w:rPr>
          <w:color w:val="231F20"/>
          <w:spacing w:val="26"/>
        </w:rPr>
        <w:t> </w:t>
      </w:r>
      <w:r>
        <w:rPr>
          <w:color w:val="231F20"/>
        </w:rPr>
        <w:t>managed</w:t>
      </w:r>
      <w:r>
        <w:rPr>
          <w:color w:val="231F20"/>
          <w:spacing w:val="26"/>
        </w:rPr>
        <w:t> </w:t>
      </w:r>
      <w:r>
        <w:rPr>
          <w:color w:val="231F20"/>
        </w:rPr>
        <w:t>system</w:t>
      </w:r>
      <w:r>
        <w:rPr>
          <w:color w:val="231F20"/>
          <w:spacing w:val="26"/>
        </w:rPr>
        <w:t> </w:t>
      </w:r>
      <w:r>
        <w:rPr>
          <w:color w:val="231F20"/>
        </w:rPr>
        <w:t>in</w:t>
      </w:r>
      <w:r>
        <w:rPr>
          <w:color w:val="231F20"/>
          <w:spacing w:val="26"/>
        </w:rPr>
        <w:t> </w:t>
      </w:r>
      <w:r>
        <w:rPr>
          <w:color w:val="231F20"/>
        </w:rPr>
        <w:t>the</w:t>
      </w:r>
      <w:r>
        <w:rPr>
          <w:color w:val="231F20"/>
          <w:spacing w:val="18"/>
        </w:rPr>
        <w:t> </w:t>
      </w:r>
      <w:r>
        <w:rPr>
          <w:color w:val="231F20"/>
        </w:rPr>
        <w:t>Assigned</w:t>
      </w:r>
      <w:r>
        <w:rPr>
          <w:color w:val="231F20"/>
          <w:spacing w:val="26"/>
        </w:rPr>
        <w:t> </w:t>
      </w:r>
      <w:r>
        <w:rPr>
          <w:color w:val="231F20"/>
        </w:rPr>
        <w:t>list</w:t>
      </w:r>
      <w:r>
        <w:rPr>
          <w:color w:val="231F20"/>
          <w:spacing w:val="26"/>
        </w:rPr>
        <w:t> </w:t>
      </w:r>
      <w:r>
        <w:rPr>
          <w:color w:val="231F20"/>
        </w:rPr>
        <w:t>of the Query Results Source tab.</w:t>
      </w:r>
    </w:p>
    <w:p>
      <w:pPr>
        <w:pStyle w:val="BodyText"/>
      </w:pPr>
    </w:p>
    <w:p>
      <w:pPr>
        <w:pStyle w:val="BodyText"/>
        <w:spacing w:before="194"/>
      </w:pPr>
    </w:p>
    <w:p>
      <w:pPr>
        <w:pStyle w:val="BodyText"/>
        <w:spacing w:line="213" w:lineRule="auto"/>
        <w:ind w:left="101" w:right="544"/>
      </w:pPr>
      <w:r>
        <w:rPr>
          <w:color w:val="231F20"/>
        </w:rPr>
        <w:t>You can change the style or other aspects of a view through the Properties editor. The Properties editor is associated with the current workspace.</w:t>
      </w:r>
    </w:p>
    <w:p>
      <w:pPr>
        <w:pStyle w:val="Heading4"/>
        <w:ind w:left="101"/>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101"/>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101"/>
      </w:pPr>
      <w:r>
        <w:rPr>
          <w:color w:val="231F20"/>
          <w:spacing w:val="-2"/>
        </w:rPr>
        <w:t>Procedure</w:t>
      </w:r>
    </w:p>
    <w:p>
      <w:pPr>
        <w:pStyle w:val="ListParagraph"/>
        <w:numPr>
          <w:ilvl w:val="0"/>
          <w:numId w:val="48"/>
        </w:numPr>
        <w:tabs>
          <w:tab w:pos="417" w:val="left" w:leader="none"/>
        </w:tabs>
        <w:spacing w:line="213" w:lineRule="auto" w:before="62" w:after="0"/>
        <w:ind w:left="417" w:right="939" w:hanging="316"/>
        <w:jc w:val="left"/>
        <w:rPr>
          <w:sz w:val="20"/>
        </w:rPr>
      </w:pPr>
      <w:r>
        <w:rPr>
          <w:color w:val="231F20"/>
          <w:sz w:val="20"/>
        </w:rPr>
        <w:t>In the view title bar, click</w:t>
      </w:r>
      <w:r>
        <w:rPr>
          <w:color w:val="231F20"/>
          <w:spacing w:val="40"/>
          <w:sz w:val="20"/>
        </w:rPr>
        <w:t> </w:t>
      </w:r>
      <w:r>
        <w:rPr>
          <w:color w:val="231F20"/>
          <w:spacing w:val="5"/>
          <w:position w:val="1"/>
          <w:sz w:val="20"/>
        </w:rPr>
        <w:drawing>
          <wp:inline distT="0" distB="0" distL="0" distR="0">
            <wp:extent cx="57150" cy="57150"/>
            <wp:effectExtent l="0" t="0" r="0" b="0"/>
            <wp:docPr id="872" name="Image 872"/>
            <wp:cNvGraphicFramePr>
              <a:graphicFrameLocks/>
            </wp:cNvGraphicFramePr>
            <a:graphic>
              <a:graphicData uri="http://schemas.openxmlformats.org/drawingml/2006/picture">
                <pic:pic>
                  <pic:nvPicPr>
                    <pic:cNvPr id="872" name="Image 872"/>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80"/>
          <w:sz w:val="20"/>
        </w:rPr>
        <w:t> </w:t>
      </w:r>
      <w:r>
        <w:rPr>
          <w:rFonts w:ascii="Book Antiqua"/>
          <w:b/>
          <w:color w:val="231F20"/>
          <w:sz w:val="20"/>
        </w:rPr>
        <w:t>Edit properties</w:t>
      </w:r>
      <w:r>
        <w:rPr>
          <w:color w:val="231F20"/>
          <w:sz w:val="20"/>
        </w:rPr>
        <w:t>. The Properties editor for the workspace opens and displays the properties of the selected view.</w:t>
      </w:r>
    </w:p>
    <w:p>
      <w:pPr>
        <w:pStyle w:val="ListParagraph"/>
        <w:numPr>
          <w:ilvl w:val="0"/>
          <w:numId w:val="48"/>
        </w:numPr>
        <w:tabs>
          <w:tab w:pos="416" w:val="left" w:leader="none"/>
        </w:tabs>
        <w:spacing w:line="240" w:lineRule="auto" w:before="35" w:after="0"/>
        <w:ind w:left="416" w:right="0" w:hanging="315"/>
        <w:jc w:val="left"/>
        <w:rPr>
          <w:sz w:val="20"/>
        </w:rPr>
      </w:pPr>
      <w:r>
        <w:rPr>
          <w:color w:val="231F20"/>
          <w:sz w:val="20"/>
        </w:rPr>
        <w:t>Edit</w:t>
      </w:r>
      <w:r>
        <w:rPr>
          <w:color w:val="231F20"/>
          <w:spacing w:val="10"/>
          <w:sz w:val="20"/>
        </w:rPr>
        <w:t> </w:t>
      </w:r>
      <w:r>
        <w:rPr>
          <w:color w:val="231F20"/>
          <w:sz w:val="20"/>
        </w:rPr>
        <w:t>the</w:t>
      </w:r>
      <w:r>
        <w:rPr>
          <w:color w:val="231F20"/>
          <w:spacing w:val="10"/>
          <w:sz w:val="20"/>
        </w:rPr>
        <w:t> </w:t>
      </w:r>
      <w:r>
        <w:rPr>
          <w:color w:val="231F20"/>
          <w:sz w:val="20"/>
        </w:rPr>
        <w:t>view</w:t>
      </w:r>
      <w:r>
        <w:rPr>
          <w:color w:val="231F20"/>
          <w:spacing w:val="10"/>
          <w:sz w:val="20"/>
        </w:rPr>
        <w:t> </w:t>
      </w:r>
      <w:r>
        <w:rPr>
          <w:color w:val="231F20"/>
          <w:sz w:val="20"/>
        </w:rPr>
        <w:t>properties</w:t>
      </w:r>
      <w:r>
        <w:rPr>
          <w:color w:val="231F20"/>
          <w:spacing w:val="11"/>
          <w:sz w:val="20"/>
        </w:rPr>
        <w:t> </w:t>
      </w:r>
      <w:r>
        <w:rPr>
          <w:color w:val="231F20"/>
          <w:sz w:val="20"/>
        </w:rPr>
        <w:t>using</w:t>
      </w:r>
      <w:r>
        <w:rPr>
          <w:color w:val="231F20"/>
          <w:spacing w:val="10"/>
          <w:sz w:val="20"/>
        </w:rPr>
        <w:t> </w:t>
      </w:r>
      <w:r>
        <w:rPr>
          <w:color w:val="231F20"/>
          <w:sz w:val="20"/>
        </w:rPr>
        <w:t>the</w:t>
      </w:r>
      <w:r>
        <w:rPr>
          <w:color w:val="231F20"/>
          <w:spacing w:val="10"/>
          <w:sz w:val="20"/>
        </w:rPr>
        <w:t> </w:t>
      </w:r>
      <w:r>
        <w:rPr>
          <w:color w:val="231F20"/>
          <w:sz w:val="20"/>
        </w:rPr>
        <w:t>following</w:t>
      </w:r>
      <w:r>
        <w:rPr>
          <w:color w:val="231F20"/>
          <w:spacing w:val="10"/>
          <w:sz w:val="20"/>
        </w:rPr>
        <w:t> </w:t>
      </w:r>
      <w:r>
        <w:rPr>
          <w:color w:val="231F20"/>
          <w:spacing w:val="-2"/>
          <w:sz w:val="20"/>
        </w:rPr>
        <w:t>tabs:</w:t>
      </w:r>
    </w:p>
    <w:p>
      <w:pPr>
        <w:spacing w:after="0" w:line="240" w:lineRule="auto"/>
        <w:jc w:val="left"/>
        <w:rPr>
          <w:sz w:val="20"/>
        </w:rPr>
        <w:sectPr>
          <w:pgSz w:w="12240" w:h="15840"/>
          <w:pgMar w:header="0" w:footer="736" w:top="1180" w:bottom="920" w:left="1000" w:right="1060"/>
          <w:cols w:num="2" w:equalWidth="0">
            <w:col w:w="2092" w:space="40"/>
            <w:col w:w="8048"/>
          </w:cols>
        </w:sectPr>
      </w:pPr>
    </w:p>
    <w:p>
      <w:pPr>
        <w:pStyle w:val="BodyText"/>
        <w:spacing w:before="3"/>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Option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748" w:hRule="atLeast"/>
        </w:trPr>
        <w:tc>
          <w:tcPr>
            <w:tcW w:w="3767" w:type="dxa"/>
          </w:tcPr>
          <w:p>
            <w:pPr>
              <w:pStyle w:val="TableParagraph"/>
              <w:ind w:left="54"/>
              <w:rPr>
                <w:sz w:val="18"/>
              </w:rPr>
            </w:pPr>
            <w:r>
              <w:rPr>
                <w:position w:val="-3"/>
              </w:rPr>
              <w:drawing>
                <wp:inline distT="0" distB="0" distL="0" distR="0">
                  <wp:extent cx="95250" cy="101600"/>
                  <wp:effectExtent l="0" t="0" r="0" b="0"/>
                  <wp:docPr id="873" name="Image 873"/>
                  <wp:cNvGraphicFramePr>
                    <a:graphicFrameLocks/>
                  </wp:cNvGraphicFramePr>
                  <a:graphic>
                    <a:graphicData uri="http://schemas.openxmlformats.org/drawingml/2006/picture">
                      <pic:pic>
                        <pic:nvPicPr>
                          <pic:cNvPr id="873" name="Image 873"/>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Query</w:t>
            </w:r>
          </w:p>
        </w:tc>
        <w:tc>
          <w:tcPr>
            <w:tcW w:w="3767" w:type="dxa"/>
          </w:tcPr>
          <w:p>
            <w:pPr>
              <w:pStyle w:val="TableParagraph"/>
              <w:spacing w:line="216" w:lineRule="auto" w:before="44"/>
              <w:ind w:right="195" w:hanging="1"/>
              <w:rPr>
                <w:sz w:val="18"/>
              </w:rPr>
            </w:pPr>
            <w:r>
              <w:rPr>
                <w:color w:val="231F20"/>
                <w:sz w:val="18"/>
              </w:rPr>
              <w:t>Specifies what data must go in the chart </w:t>
            </w:r>
            <w:r>
              <w:rPr>
                <w:color w:val="231F20"/>
                <w:sz w:val="18"/>
              </w:rPr>
              <w:t>or table or table-based topology view. See </w:t>
            </w:r>
            <w:hyperlink w:history="true" w:anchor="_bookmark69">
              <w:r>
                <w:rPr>
                  <w:color w:val="231F20"/>
                  <w:sz w:val="18"/>
                </w:rPr>
                <w:t>“Query” on page 90.</w:t>
              </w:r>
            </w:hyperlink>
          </w:p>
        </w:tc>
      </w:tr>
      <w:tr>
        <w:trPr>
          <w:trHeight w:val="748" w:hRule="atLeast"/>
        </w:trPr>
        <w:tc>
          <w:tcPr>
            <w:tcW w:w="3767" w:type="dxa"/>
          </w:tcPr>
          <w:p>
            <w:pPr>
              <w:pStyle w:val="TableParagraph"/>
              <w:ind w:left="54"/>
              <w:rPr>
                <w:sz w:val="18"/>
              </w:rPr>
            </w:pPr>
            <w:r>
              <w:rPr>
                <w:position w:val="-3"/>
              </w:rPr>
              <w:drawing>
                <wp:inline distT="0" distB="0" distL="0" distR="0">
                  <wp:extent cx="95250" cy="101600"/>
                  <wp:effectExtent l="0" t="0" r="0" b="0"/>
                  <wp:docPr id="874" name="Image 874"/>
                  <wp:cNvGraphicFramePr>
                    <a:graphicFrameLocks/>
                  </wp:cNvGraphicFramePr>
                  <a:graphic>
                    <a:graphicData uri="http://schemas.openxmlformats.org/drawingml/2006/picture">
                      <pic:pic>
                        <pic:nvPicPr>
                          <pic:cNvPr id="874" name="Image 874"/>
                          <pic:cNvPicPr/>
                        </pic:nvPicPr>
                        <pic:blipFill>
                          <a:blip r:embed="rId88"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Filters</w:t>
            </w:r>
          </w:p>
        </w:tc>
        <w:tc>
          <w:tcPr>
            <w:tcW w:w="3767" w:type="dxa"/>
          </w:tcPr>
          <w:p>
            <w:pPr>
              <w:pStyle w:val="TableParagraph"/>
              <w:spacing w:line="216" w:lineRule="auto" w:before="44"/>
              <w:ind w:right="195" w:hanging="1"/>
              <w:rPr>
                <w:sz w:val="18"/>
              </w:rPr>
            </w:pPr>
            <w:r>
              <w:rPr>
                <w:color w:val="231F20"/>
                <w:sz w:val="18"/>
              </w:rPr>
              <w:t>Refines the query-based view by filtering out unwanted data from the chart or </w:t>
            </w:r>
            <w:r>
              <w:rPr>
                <w:color w:val="231F20"/>
                <w:sz w:val="18"/>
              </w:rPr>
              <w:t>table. See </w:t>
            </w:r>
            <w:hyperlink w:history="true" w:anchor="_bookmark70">
              <w:r>
                <w:rPr>
                  <w:color w:val="231F20"/>
                  <w:sz w:val="18"/>
                </w:rPr>
                <w:t>“Filters” on page 91.</w:t>
              </w:r>
            </w:hyperlink>
          </w:p>
        </w:tc>
      </w:tr>
      <w:tr>
        <w:trPr>
          <w:trHeight w:val="748" w:hRule="atLeast"/>
        </w:trPr>
        <w:tc>
          <w:tcPr>
            <w:tcW w:w="3767" w:type="dxa"/>
          </w:tcPr>
          <w:p>
            <w:pPr>
              <w:pStyle w:val="TableParagraph"/>
              <w:ind w:left="54"/>
              <w:rPr>
                <w:sz w:val="18"/>
              </w:rPr>
            </w:pPr>
            <w:r>
              <w:rPr>
                <w:position w:val="-3"/>
              </w:rPr>
              <w:drawing>
                <wp:inline distT="0" distB="0" distL="0" distR="0">
                  <wp:extent cx="88900" cy="95250"/>
                  <wp:effectExtent l="0" t="0" r="0" b="0"/>
                  <wp:docPr id="875" name="Image 875"/>
                  <wp:cNvGraphicFramePr>
                    <a:graphicFrameLocks/>
                  </wp:cNvGraphicFramePr>
                  <a:graphic>
                    <a:graphicData uri="http://schemas.openxmlformats.org/drawingml/2006/picture">
                      <pic:pic>
                        <pic:nvPicPr>
                          <pic:cNvPr id="875" name="Image 875"/>
                          <pic:cNvPicPr/>
                        </pic:nvPicPr>
                        <pic:blipFill>
                          <a:blip r:embed="rId102" cstate="print"/>
                          <a:stretch>
                            <a:fillRect/>
                          </a:stretch>
                        </pic:blipFill>
                        <pic:spPr>
                          <a:xfrm>
                            <a:off x="0" y="0"/>
                            <a:ext cx="88900" cy="95250"/>
                          </a:xfrm>
                          <a:prstGeom prst="rect">
                            <a:avLst/>
                          </a:prstGeom>
                        </pic:spPr>
                      </pic:pic>
                    </a:graphicData>
                  </a:graphic>
                </wp:inline>
              </w:drawing>
            </w:r>
            <w:r>
              <w:rPr>
                <w:position w:val="-3"/>
              </w:rPr>
            </w:r>
            <w:r>
              <w:rPr>
                <w:rFonts w:ascii="Times New Roman"/>
                <w:spacing w:val="40"/>
                <w:sz w:val="20"/>
              </w:rPr>
              <w:t> </w:t>
            </w:r>
            <w:r>
              <w:rPr>
                <w:color w:val="231F20"/>
                <w:sz w:val="18"/>
              </w:rPr>
              <w:t>Thresholds</w:t>
            </w:r>
          </w:p>
        </w:tc>
        <w:tc>
          <w:tcPr>
            <w:tcW w:w="3767" w:type="dxa"/>
          </w:tcPr>
          <w:p>
            <w:pPr>
              <w:pStyle w:val="TableParagraph"/>
              <w:spacing w:line="216" w:lineRule="auto" w:before="44"/>
              <w:ind w:right="195" w:hanging="1"/>
              <w:rPr>
                <w:sz w:val="18"/>
              </w:rPr>
            </w:pPr>
            <w:r>
              <w:rPr>
                <w:color w:val="231F20"/>
                <w:sz w:val="18"/>
              </w:rPr>
              <w:t>Establishes threshold values and </w:t>
            </w:r>
            <w:r>
              <w:rPr>
                <w:color w:val="231F20"/>
                <w:sz w:val="18"/>
              </w:rPr>
              <w:t>color indicators for the table view. See </w:t>
            </w:r>
            <w:hyperlink w:history="true" w:anchor="_bookmark71">
              <w:r>
                <w:rPr>
                  <w:color w:val="231F20"/>
                  <w:sz w:val="18"/>
                </w:rPr>
                <w:t>“Thresholds” on page 93.</w:t>
              </w:r>
            </w:hyperlink>
          </w:p>
        </w:tc>
      </w:tr>
      <w:tr>
        <w:trPr>
          <w:trHeight w:val="748" w:hRule="atLeast"/>
        </w:trPr>
        <w:tc>
          <w:tcPr>
            <w:tcW w:w="3767" w:type="dxa"/>
          </w:tcPr>
          <w:p>
            <w:pPr>
              <w:pStyle w:val="TableParagraph"/>
              <w:ind w:left="44"/>
              <w:rPr>
                <w:sz w:val="18"/>
              </w:rPr>
            </w:pPr>
            <w:r>
              <w:rPr>
                <w:position w:val="-3"/>
              </w:rPr>
              <w:drawing>
                <wp:inline distT="0" distB="0" distL="0" distR="0">
                  <wp:extent cx="101600" cy="101600"/>
                  <wp:effectExtent l="0" t="0" r="0" b="0"/>
                  <wp:docPr id="876" name="Image 876"/>
                  <wp:cNvGraphicFramePr>
                    <a:graphicFrameLocks/>
                  </wp:cNvGraphicFramePr>
                  <a:graphic>
                    <a:graphicData uri="http://schemas.openxmlformats.org/drawingml/2006/picture">
                      <pic:pic>
                        <pic:nvPicPr>
                          <pic:cNvPr id="876" name="Image 876"/>
                          <pic:cNvPicPr/>
                        </pic:nvPicPr>
                        <pic:blipFill>
                          <a:blip r:embed="rId51"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color w:val="231F20"/>
                <w:sz w:val="18"/>
              </w:rPr>
              <w:t>Configuration</w:t>
            </w:r>
          </w:p>
        </w:tc>
        <w:tc>
          <w:tcPr>
            <w:tcW w:w="3767" w:type="dxa"/>
          </w:tcPr>
          <w:p>
            <w:pPr>
              <w:pStyle w:val="TableParagraph"/>
              <w:spacing w:line="216" w:lineRule="auto" w:before="44"/>
              <w:ind w:right="195" w:hanging="1"/>
              <w:rPr>
                <w:sz w:val="18"/>
              </w:rPr>
            </w:pPr>
            <w:r>
              <w:rPr>
                <w:color w:val="231F20"/>
                <w:sz w:val="18"/>
              </w:rPr>
              <w:t>Specifies the script to run or the connection to make whenever you open the terminal view. See </w:t>
            </w:r>
            <w:hyperlink w:history="true" w:anchor="_bookmark72">
              <w:r>
                <w:rPr>
                  <w:color w:val="231F20"/>
                  <w:sz w:val="18"/>
                </w:rPr>
                <w:t>“Configuration” on page 94.</w:t>
              </w:r>
            </w:hyperlink>
          </w:p>
        </w:tc>
      </w:tr>
      <w:tr>
        <w:trPr>
          <w:trHeight w:val="533" w:hRule="atLeast"/>
        </w:trPr>
        <w:tc>
          <w:tcPr>
            <w:tcW w:w="3767" w:type="dxa"/>
          </w:tcPr>
          <w:p>
            <w:pPr>
              <w:pStyle w:val="TableParagraph"/>
              <w:ind w:left="54"/>
              <w:rPr>
                <w:sz w:val="18"/>
              </w:rPr>
            </w:pPr>
            <w:r>
              <w:rPr>
                <w:position w:val="-3"/>
              </w:rPr>
              <w:drawing>
                <wp:inline distT="0" distB="0" distL="0" distR="0">
                  <wp:extent cx="95250" cy="95250"/>
                  <wp:effectExtent l="0" t="0" r="0" b="0"/>
                  <wp:docPr id="877" name="Image 877"/>
                  <wp:cNvGraphicFramePr>
                    <a:graphicFrameLocks/>
                  </wp:cNvGraphicFramePr>
                  <a:graphic>
                    <a:graphicData uri="http://schemas.openxmlformats.org/drawingml/2006/picture">
                      <pic:pic>
                        <pic:nvPicPr>
                          <pic:cNvPr id="877" name="Image 877"/>
                          <pic:cNvPicPr/>
                        </pic:nvPicPr>
                        <pic:blipFill>
                          <a:blip r:embed="rId10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Style</w:t>
            </w:r>
          </w:p>
        </w:tc>
        <w:tc>
          <w:tcPr>
            <w:tcW w:w="3767" w:type="dxa"/>
          </w:tcPr>
          <w:p>
            <w:pPr>
              <w:pStyle w:val="TableParagraph"/>
              <w:spacing w:line="216" w:lineRule="auto" w:before="44"/>
              <w:ind w:right="195" w:hanging="1"/>
              <w:rPr>
                <w:sz w:val="18"/>
              </w:rPr>
            </w:pPr>
            <w:r>
              <w:rPr>
                <w:color w:val="231F20"/>
                <w:sz w:val="18"/>
              </w:rPr>
              <w:t>Changes the appearance of the view. </w:t>
            </w:r>
            <w:r>
              <w:rPr>
                <w:color w:val="231F20"/>
                <w:sz w:val="18"/>
              </w:rPr>
              <w:t>See </w:t>
            </w:r>
            <w:hyperlink w:history="true" w:anchor="_bookmark72">
              <w:r>
                <w:rPr>
                  <w:color w:val="231F20"/>
                  <w:sz w:val="18"/>
                </w:rPr>
                <w:t>“Style” on page 94.</w:t>
              </w:r>
            </w:hyperlink>
          </w:p>
        </w:tc>
      </w:tr>
    </w:tbl>
    <w:p>
      <w:pPr>
        <w:pStyle w:val="BodyText"/>
        <w:spacing w:before="71"/>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0" w:right="2817"/>
              <w:jc w:val="center"/>
              <w:rPr>
                <w:rFonts w:ascii="Book Antiqua"/>
                <w:b/>
                <w:sz w:val="18"/>
              </w:rPr>
            </w:pPr>
            <w:r>
              <w:rPr>
                <w:rFonts w:ascii="Book Antiqua"/>
                <w:b/>
                <w:color w:val="231F20"/>
                <w:sz w:val="18"/>
              </w:rPr>
              <w:t>View</w:t>
            </w:r>
            <w:r>
              <w:rPr>
                <w:rFonts w:ascii="Book Antiqua"/>
                <w:b/>
                <w:color w:val="231F20"/>
                <w:spacing w:val="-1"/>
                <w:sz w:val="18"/>
              </w:rPr>
              <w:t> </w:t>
            </w:r>
            <w:r>
              <w:rPr>
                <w:rFonts w:ascii="Book Antiqua"/>
                <w:b/>
                <w:color w:val="231F20"/>
                <w:spacing w:val="-4"/>
                <w:sz w:val="18"/>
              </w:rPr>
              <w:t>type</w:t>
            </w:r>
          </w:p>
        </w:tc>
        <w:tc>
          <w:tcPr>
            <w:tcW w:w="3767" w:type="dxa"/>
          </w:tcPr>
          <w:p>
            <w:pPr>
              <w:pStyle w:val="TableParagraph"/>
              <w:spacing w:before="10"/>
              <w:rPr>
                <w:rFonts w:ascii="Book Antiqua"/>
                <w:b/>
                <w:sz w:val="18"/>
              </w:rPr>
            </w:pPr>
            <w:r>
              <w:rPr>
                <w:rFonts w:ascii="Book Antiqua"/>
                <w:b/>
                <w:color w:val="231F20"/>
                <w:sz w:val="18"/>
              </w:rPr>
              <w:t>Available</w:t>
            </w:r>
            <w:r>
              <w:rPr>
                <w:rFonts w:ascii="Book Antiqua"/>
                <w:b/>
                <w:color w:val="231F20"/>
                <w:spacing w:val="-1"/>
                <w:sz w:val="18"/>
              </w:rPr>
              <w:t> </w:t>
            </w:r>
            <w:r>
              <w:rPr>
                <w:rFonts w:ascii="Book Antiqua"/>
                <w:b/>
                <w:color w:val="231F20"/>
                <w:sz w:val="18"/>
              </w:rPr>
              <w:t>Properties</w:t>
            </w:r>
            <w:r>
              <w:rPr>
                <w:rFonts w:ascii="Book Antiqua"/>
                <w:b/>
                <w:color w:val="231F20"/>
                <w:spacing w:val="-1"/>
                <w:sz w:val="18"/>
              </w:rPr>
              <w:t> </w:t>
            </w:r>
            <w:r>
              <w:rPr>
                <w:rFonts w:ascii="Book Antiqua"/>
                <w:b/>
                <w:color w:val="231F20"/>
                <w:spacing w:val="-4"/>
                <w:sz w:val="18"/>
              </w:rPr>
              <w:t>tabs</w:t>
            </w:r>
          </w:p>
        </w:tc>
      </w:tr>
      <w:tr>
        <w:trPr>
          <w:trHeight w:val="314" w:hRule="atLeast"/>
        </w:trPr>
        <w:tc>
          <w:tcPr>
            <w:tcW w:w="3767" w:type="dxa"/>
          </w:tcPr>
          <w:p>
            <w:pPr>
              <w:pStyle w:val="TableParagraph"/>
              <w:ind w:left="0" w:right="3029"/>
              <w:jc w:val="center"/>
              <w:rPr>
                <w:sz w:val="18"/>
              </w:rPr>
            </w:pPr>
            <w:r>
              <w:rPr>
                <w:position w:val="-3"/>
              </w:rPr>
              <w:drawing>
                <wp:inline distT="0" distB="0" distL="0" distR="0">
                  <wp:extent cx="95250" cy="95250"/>
                  <wp:effectExtent l="0" t="0" r="0" b="0"/>
                  <wp:docPr id="878" name="Image 878"/>
                  <wp:cNvGraphicFramePr>
                    <a:graphicFrameLocks/>
                  </wp:cNvGraphicFramePr>
                  <a:graphic>
                    <a:graphicData uri="http://schemas.openxmlformats.org/drawingml/2006/picture">
                      <pic:pic>
                        <pic:nvPicPr>
                          <pic:cNvPr id="878" name="Image 878"/>
                          <pic:cNvPicPr/>
                        </pic:nvPicPr>
                        <pic:blipFill>
                          <a:blip r:embed="rId5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Table</w:t>
            </w:r>
          </w:p>
        </w:tc>
        <w:tc>
          <w:tcPr>
            <w:tcW w:w="3767" w:type="dxa"/>
          </w:tcPr>
          <w:p>
            <w:pPr>
              <w:pStyle w:val="TableParagraph"/>
              <w:rPr>
                <w:sz w:val="18"/>
              </w:rPr>
            </w:pPr>
            <w:r>
              <w:rPr>
                <w:color w:val="231F20"/>
                <w:sz w:val="18"/>
              </w:rPr>
              <w:t>Query,</w:t>
            </w:r>
            <w:r>
              <w:rPr>
                <w:color w:val="231F20"/>
                <w:spacing w:val="-1"/>
                <w:sz w:val="18"/>
              </w:rPr>
              <w:t> </w:t>
            </w:r>
            <w:r>
              <w:rPr>
                <w:color w:val="231F20"/>
                <w:sz w:val="18"/>
              </w:rPr>
              <w:t>Filters,</w:t>
            </w:r>
            <w:r>
              <w:rPr>
                <w:color w:val="231F20"/>
                <w:spacing w:val="-1"/>
                <w:sz w:val="18"/>
              </w:rPr>
              <w:t> </w:t>
            </w:r>
            <w:r>
              <w:rPr>
                <w:color w:val="231F20"/>
                <w:sz w:val="18"/>
              </w:rPr>
              <w:t>Thresholds,</w:t>
            </w:r>
            <w:r>
              <w:rPr>
                <w:color w:val="231F20"/>
                <w:spacing w:val="-1"/>
                <w:sz w:val="18"/>
              </w:rPr>
              <w:t> </w:t>
            </w:r>
            <w:r>
              <w:rPr>
                <w:color w:val="231F20"/>
                <w:spacing w:val="-4"/>
                <w:sz w:val="18"/>
              </w:rPr>
              <w:t>Style</w:t>
            </w:r>
          </w:p>
        </w:tc>
      </w:tr>
    </w:tbl>
    <w:p>
      <w:pPr>
        <w:spacing w:after="0"/>
        <w:rPr>
          <w:sz w:val="18"/>
        </w:rPr>
        <w:sectPr>
          <w:type w:val="continuous"/>
          <w:pgSz w:w="12240" w:h="15840"/>
          <w:pgMar w:header="0" w:footer="736" w:top="0" w:bottom="466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z w:val="18"/>
              </w:rPr>
              <w:t>View</w:t>
            </w:r>
            <w:r>
              <w:rPr>
                <w:rFonts w:ascii="Book Antiqua"/>
                <w:b/>
                <w:color w:val="231F20"/>
                <w:spacing w:val="-1"/>
                <w:sz w:val="18"/>
              </w:rPr>
              <w:t> </w:t>
            </w:r>
            <w:r>
              <w:rPr>
                <w:rFonts w:ascii="Book Antiqua"/>
                <w:b/>
                <w:color w:val="231F20"/>
                <w:spacing w:val="-4"/>
                <w:sz w:val="18"/>
              </w:rPr>
              <w:t>type</w:t>
            </w:r>
          </w:p>
        </w:tc>
        <w:tc>
          <w:tcPr>
            <w:tcW w:w="3767" w:type="dxa"/>
          </w:tcPr>
          <w:p>
            <w:pPr>
              <w:pStyle w:val="TableParagraph"/>
              <w:spacing w:before="10"/>
              <w:rPr>
                <w:rFonts w:ascii="Book Antiqua"/>
                <w:b/>
                <w:sz w:val="18"/>
              </w:rPr>
            </w:pPr>
            <w:r>
              <w:rPr>
                <w:rFonts w:ascii="Book Antiqua"/>
                <w:b/>
                <w:color w:val="231F20"/>
                <w:sz w:val="18"/>
              </w:rPr>
              <w:t>Available</w:t>
            </w:r>
            <w:r>
              <w:rPr>
                <w:rFonts w:ascii="Book Antiqua"/>
                <w:b/>
                <w:color w:val="231F20"/>
                <w:spacing w:val="-1"/>
                <w:sz w:val="18"/>
              </w:rPr>
              <w:t> </w:t>
            </w:r>
            <w:r>
              <w:rPr>
                <w:rFonts w:ascii="Book Antiqua"/>
                <w:b/>
                <w:color w:val="231F20"/>
                <w:sz w:val="18"/>
              </w:rPr>
              <w:t>Properties</w:t>
            </w:r>
            <w:r>
              <w:rPr>
                <w:rFonts w:ascii="Book Antiqua"/>
                <w:b/>
                <w:color w:val="231F20"/>
                <w:spacing w:val="-1"/>
                <w:sz w:val="18"/>
              </w:rPr>
              <w:t> </w:t>
            </w:r>
            <w:r>
              <w:rPr>
                <w:rFonts w:ascii="Book Antiqua"/>
                <w:b/>
                <w:color w:val="231F20"/>
                <w:spacing w:val="-4"/>
                <w:sz w:val="18"/>
              </w:rPr>
              <w:t>tabs</w:t>
            </w:r>
          </w:p>
        </w:tc>
      </w:tr>
      <w:tr>
        <w:trPr>
          <w:trHeight w:val="528" w:hRule="atLeast"/>
        </w:trPr>
        <w:tc>
          <w:tcPr>
            <w:tcW w:w="3767" w:type="dxa"/>
          </w:tcPr>
          <w:p>
            <w:pPr>
              <w:pStyle w:val="TableParagraph"/>
              <w:tabs>
                <w:tab w:pos="1437" w:val="left" w:leader="none"/>
                <w:tab w:pos="1545" w:val="left" w:leader="none"/>
              </w:tabs>
              <w:spacing w:line="216" w:lineRule="auto" w:before="44"/>
              <w:ind w:left="44" w:right="424"/>
              <w:rPr>
                <w:sz w:val="18"/>
              </w:rPr>
            </w:pPr>
            <w:r>
              <w:rPr/>
              <mc:AlternateContent>
                <mc:Choice Requires="wps">
                  <w:drawing>
                    <wp:anchor distT="0" distB="0" distL="0" distR="0" allowOverlap="1" layoutInCell="1" locked="0" behindDoc="1" simplePos="0" relativeHeight="473202176">
                      <wp:simplePos x="0" y="0"/>
                      <wp:positionH relativeFrom="column">
                        <wp:posOffset>789066</wp:posOffset>
                      </wp:positionH>
                      <wp:positionV relativeFrom="paragraph">
                        <wp:posOffset>59673</wp:posOffset>
                      </wp:positionV>
                      <wp:extent cx="164465" cy="241300"/>
                      <wp:effectExtent l="0" t="0" r="0" b="0"/>
                      <wp:wrapNone/>
                      <wp:docPr id="881" name="Group 881"/>
                      <wp:cNvGraphicFramePr>
                        <a:graphicFrameLocks/>
                      </wp:cNvGraphicFramePr>
                      <a:graphic>
                        <a:graphicData uri="http://schemas.microsoft.com/office/word/2010/wordprocessingGroup">
                          <wpg:wgp>
                            <wpg:cNvPr id="881" name="Group 881"/>
                            <wpg:cNvGrpSpPr/>
                            <wpg:grpSpPr>
                              <a:xfrm>
                                <a:off x="0" y="0"/>
                                <a:ext cx="164465" cy="241300"/>
                                <a:chExt cx="164465" cy="241300"/>
                              </a:xfrm>
                            </wpg:grpSpPr>
                            <pic:pic>
                              <pic:nvPicPr>
                                <pic:cNvPr id="882" name="Image 882"/>
                                <pic:cNvPicPr/>
                              </pic:nvPicPr>
                              <pic:blipFill>
                                <a:blip r:embed="rId44" cstate="print"/>
                                <a:stretch>
                                  <a:fillRect/>
                                </a:stretch>
                              </pic:blipFill>
                              <pic:spPr>
                                <a:xfrm>
                                  <a:off x="0" y="0"/>
                                  <a:ext cx="95250" cy="101600"/>
                                </a:xfrm>
                                <a:prstGeom prst="rect">
                                  <a:avLst/>
                                </a:prstGeom>
                              </pic:spPr>
                            </pic:pic>
                            <pic:pic>
                              <pic:nvPicPr>
                                <pic:cNvPr id="883" name="Image 883"/>
                                <pic:cNvPicPr/>
                              </pic:nvPicPr>
                              <pic:blipFill>
                                <a:blip r:embed="rId48" cstate="print"/>
                                <a:stretch>
                                  <a:fillRect/>
                                </a:stretch>
                              </pic:blipFill>
                              <pic:spPr>
                                <a:xfrm>
                                  <a:off x="62626" y="139355"/>
                                  <a:ext cx="101600" cy="101600"/>
                                </a:xfrm>
                                <a:prstGeom prst="rect">
                                  <a:avLst/>
                                </a:prstGeom>
                              </pic:spPr>
                            </pic:pic>
                          </wpg:wgp>
                        </a:graphicData>
                      </a:graphic>
                    </wp:anchor>
                  </w:drawing>
                </mc:Choice>
                <mc:Fallback>
                  <w:pict>
                    <v:group style="position:absolute;margin-left:62.131199pt;margin-top:4.698734pt;width:12.95pt;height:19pt;mso-position-horizontal-relative:column;mso-position-vertical-relative:paragraph;z-index:-30114304" id="docshapegroup129" coordorigin="1243,94" coordsize="259,380">
                      <v:shape style="position:absolute;left:1242;top:93;width:150;height:160" type="#_x0000_t75" id="docshape130" stroked="false">
                        <v:imagedata r:id="rId44" o:title=""/>
                      </v:shape>
                      <v:shape style="position:absolute;left:1341;top:313;width:160;height:160" type="#_x0000_t75" id="docshape131" stroked="false">
                        <v:imagedata r:id="rId48" o:title=""/>
                      </v:shape>
                      <w10:wrap type="none"/>
                    </v:group>
                  </w:pict>
                </mc:Fallback>
              </mc:AlternateContent>
            </w:r>
            <w:r>
              <w:rPr>
                <w:color w:val="231F20"/>
                <w:sz w:val="18"/>
              </w:rPr>
              <w:t>Charts:</w:t>
            </w:r>
            <w:r>
              <w:rPr>
                <w:color w:val="231F20"/>
                <w:spacing w:val="40"/>
                <w:sz w:val="18"/>
              </w:rPr>
              <w:t> </w:t>
            </w:r>
            <w:r>
              <w:rPr>
                <w:color w:val="231F20"/>
                <w:spacing w:val="-21"/>
                <w:position w:val="-3"/>
                <w:sz w:val="18"/>
              </w:rPr>
              <w:drawing>
                <wp:inline distT="0" distB="0" distL="0" distR="0">
                  <wp:extent cx="95250" cy="95250"/>
                  <wp:effectExtent l="0" t="0" r="0" b="0"/>
                  <wp:docPr id="884" name="Image 884"/>
                  <wp:cNvGraphicFramePr>
                    <a:graphicFrameLocks/>
                  </wp:cNvGraphicFramePr>
                  <a:graphic>
                    <a:graphicData uri="http://schemas.openxmlformats.org/drawingml/2006/picture">
                      <pic:pic>
                        <pic:nvPicPr>
                          <pic:cNvPr id="884" name="Image 884"/>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color w:val="231F20"/>
                <w:sz w:val="18"/>
              </w:rPr>
              <w:t>Pie,</w:t>
              <w:tab/>
              <w:t>Bar, </w:t>
            </w:r>
            <w:r>
              <w:rPr>
                <w:color w:val="231F20"/>
                <w:spacing w:val="14"/>
                <w:position w:val="-3"/>
                <w:sz w:val="18"/>
              </w:rPr>
              <w:drawing>
                <wp:inline distT="0" distB="0" distL="0" distR="0">
                  <wp:extent cx="101600" cy="95250"/>
                  <wp:effectExtent l="0" t="0" r="0" b="0"/>
                  <wp:docPr id="885" name="Image 885"/>
                  <wp:cNvGraphicFramePr>
                    <a:graphicFrameLocks/>
                  </wp:cNvGraphicFramePr>
                  <a:graphic>
                    <a:graphicData uri="http://schemas.openxmlformats.org/drawingml/2006/picture">
                      <pic:pic>
                        <pic:nvPicPr>
                          <pic:cNvPr id="885" name="Image 885"/>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4"/>
                <w:position w:val="-3"/>
                <w:sz w:val="18"/>
              </w:rPr>
            </w:r>
            <w:r>
              <w:rPr>
                <w:rFonts w:ascii="Times New Roman"/>
                <w:color w:val="231F20"/>
                <w:spacing w:val="-15"/>
                <w:sz w:val="18"/>
              </w:rPr>
              <w:t> </w:t>
            </w:r>
            <w:r>
              <w:rPr>
                <w:color w:val="231F20"/>
                <w:sz w:val="18"/>
              </w:rPr>
              <w:t>Plot, </w:t>
            </w:r>
            <w:r>
              <w:rPr>
                <w:color w:val="231F20"/>
                <w:spacing w:val="14"/>
                <w:position w:val="-3"/>
                <w:sz w:val="18"/>
              </w:rPr>
              <w:drawing>
                <wp:inline distT="0" distB="0" distL="0" distR="0">
                  <wp:extent cx="101600" cy="95250"/>
                  <wp:effectExtent l="0" t="0" r="0" b="0"/>
                  <wp:docPr id="886" name="Image 886"/>
                  <wp:cNvGraphicFramePr>
                    <a:graphicFrameLocks/>
                  </wp:cNvGraphicFramePr>
                  <a:graphic>
                    <a:graphicData uri="http://schemas.openxmlformats.org/drawingml/2006/picture">
                      <pic:pic>
                        <pic:nvPicPr>
                          <pic:cNvPr id="886" name="Image 886"/>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4"/>
                <w:position w:val="-3"/>
                <w:sz w:val="18"/>
              </w:rPr>
            </w:r>
            <w:r>
              <w:rPr>
                <w:rFonts w:ascii="Times New Roman"/>
                <w:color w:val="231F20"/>
                <w:spacing w:val="14"/>
                <w:sz w:val="18"/>
              </w:rPr>
              <w:t> </w:t>
            </w:r>
            <w:r>
              <w:rPr>
                <w:color w:val="231F20"/>
                <w:sz w:val="18"/>
              </w:rPr>
              <w:t>Area,</w:t>
            </w:r>
            <w:r>
              <w:rPr>
                <w:color w:val="231F20"/>
                <w:spacing w:val="18"/>
                <w:sz w:val="18"/>
              </w:rPr>
              <w:t> </w:t>
            </w:r>
            <w:r>
              <w:rPr>
                <w:color w:val="231F20"/>
                <w:spacing w:val="-21"/>
                <w:position w:val="-3"/>
                <w:sz w:val="18"/>
              </w:rPr>
              <w:drawing>
                <wp:inline distT="0" distB="0" distL="0" distR="0">
                  <wp:extent cx="95250" cy="95250"/>
                  <wp:effectExtent l="0" t="0" r="0" b="0"/>
                  <wp:docPr id="887" name="Image 887"/>
                  <wp:cNvGraphicFramePr>
                    <a:graphicFrameLocks/>
                  </wp:cNvGraphicFramePr>
                  <a:graphic>
                    <a:graphicData uri="http://schemas.openxmlformats.org/drawingml/2006/picture">
                      <pic:pic>
                        <pic:nvPicPr>
                          <pic:cNvPr id="887" name="Image 887"/>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position w:val="-3"/>
                <w:sz w:val="18"/>
              </w:rPr>
              <w:t> </w:t>
            </w:r>
            <w:r>
              <w:rPr>
                <w:color w:val="231F20"/>
                <w:sz w:val="18"/>
              </w:rPr>
              <w:t>Circular gauge,</w:t>
              <w:tab/>
              <w:tab/>
              <w:t>Linear gauge</w:t>
            </w:r>
          </w:p>
        </w:tc>
        <w:tc>
          <w:tcPr>
            <w:tcW w:w="3767" w:type="dxa"/>
          </w:tcPr>
          <w:p>
            <w:pPr>
              <w:pStyle w:val="TableParagraph"/>
              <w:rPr>
                <w:sz w:val="18"/>
              </w:rPr>
            </w:pPr>
            <w:r>
              <w:rPr>
                <w:color w:val="231F20"/>
                <w:sz w:val="18"/>
              </w:rPr>
              <w:t>Query,</w:t>
            </w:r>
            <w:r>
              <w:rPr>
                <w:color w:val="231F20"/>
                <w:spacing w:val="-2"/>
                <w:sz w:val="18"/>
              </w:rPr>
              <w:t> </w:t>
            </w:r>
            <w:r>
              <w:rPr>
                <w:color w:val="231F20"/>
                <w:sz w:val="18"/>
              </w:rPr>
              <w:t>Filters,</w:t>
            </w:r>
            <w:r>
              <w:rPr>
                <w:color w:val="231F20"/>
                <w:spacing w:val="-1"/>
                <w:sz w:val="18"/>
              </w:rPr>
              <w:t> </w:t>
            </w:r>
            <w:r>
              <w:rPr>
                <w:color w:val="231F20"/>
                <w:spacing w:val="-2"/>
                <w:sz w:val="18"/>
              </w:rPr>
              <w:t>Style</w:t>
            </w:r>
          </w:p>
        </w:tc>
      </w:tr>
      <w:tr>
        <w:trPr>
          <w:trHeight w:val="309" w:hRule="atLeast"/>
        </w:trPr>
        <w:tc>
          <w:tcPr>
            <w:tcW w:w="3767" w:type="dxa"/>
          </w:tcPr>
          <w:p>
            <w:pPr>
              <w:pStyle w:val="TableParagraph"/>
              <w:ind w:left="64"/>
              <w:rPr>
                <w:sz w:val="18"/>
              </w:rPr>
            </w:pPr>
            <w:r>
              <w:rPr>
                <w:position w:val="-3"/>
              </w:rPr>
              <w:drawing>
                <wp:inline distT="0" distB="0" distL="0" distR="0">
                  <wp:extent cx="82550" cy="101600"/>
                  <wp:effectExtent l="0" t="0" r="0" b="0"/>
                  <wp:docPr id="888" name="Image 888"/>
                  <wp:cNvGraphicFramePr>
                    <a:graphicFrameLocks/>
                  </wp:cNvGraphicFramePr>
                  <a:graphic>
                    <a:graphicData uri="http://schemas.openxmlformats.org/drawingml/2006/picture">
                      <pic:pic>
                        <pic:nvPicPr>
                          <pic:cNvPr id="888" name="Image 888"/>
                          <pic:cNvPicPr/>
                        </pic:nvPicPr>
                        <pic:blipFill>
                          <a:blip r:embed="rId49" cstate="print"/>
                          <a:stretch>
                            <a:fillRect/>
                          </a:stretch>
                        </pic:blipFill>
                        <pic:spPr>
                          <a:xfrm>
                            <a:off x="0" y="0"/>
                            <a:ext cx="82550" cy="101600"/>
                          </a:xfrm>
                          <a:prstGeom prst="rect">
                            <a:avLst/>
                          </a:prstGeom>
                        </pic:spPr>
                      </pic:pic>
                    </a:graphicData>
                  </a:graphic>
                </wp:inline>
              </w:drawing>
            </w:r>
            <w:r>
              <w:rPr>
                <w:position w:val="-3"/>
              </w:rPr>
            </w:r>
            <w:r>
              <w:rPr>
                <w:rFonts w:ascii="Times New Roman"/>
                <w:spacing w:val="40"/>
                <w:sz w:val="20"/>
              </w:rPr>
              <w:t> </w:t>
            </w:r>
            <w:r>
              <w:rPr>
                <w:color w:val="231F20"/>
                <w:sz w:val="18"/>
              </w:rPr>
              <w:t>Notepad</w:t>
            </w:r>
          </w:p>
        </w:tc>
        <w:tc>
          <w:tcPr>
            <w:tcW w:w="3767" w:type="dxa"/>
          </w:tcPr>
          <w:p>
            <w:pPr>
              <w:pStyle w:val="TableParagraph"/>
              <w:rPr>
                <w:sz w:val="18"/>
              </w:rPr>
            </w:pPr>
            <w:r>
              <w:rPr>
                <w:color w:val="231F20"/>
                <w:spacing w:val="-2"/>
                <w:sz w:val="18"/>
              </w:rPr>
              <w:t>Style</w:t>
            </w:r>
          </w:p>
        </w:tc>
      </w:tr>
      <w:tr>
        <w:trPr>
          <w:trHeight w:val="309" w:hRule="atLeast"/>
        </w:trPr>
        <w:tc>
          <w:tcPr>
            <w:tcW w:w="3767" w:type="dxa"/>
          </w:tcPr>
          <w:p>
            <w:pPr>
              <w:pStyle w:val="TableParagraph"/>
              <w:ind w:left="44"/>
              <w:rPr>
                <w:sz w:val="18"/>
              </w:rPr>
            </w:pPr>
            <w:r>
              <w:rPr>
                <w:position w:val="-3"/>
              </w:rPr>
              <w:drawing>
                <wp:inline distT="0" distB="0" distL="0" distR="0">
                  <wp:extent cx="101600" cy="101600"/>
                  <wp:effectExtent l="0" t="0" r="0" b="0"/>
                  <wp:docPr id="889" name="Image 889"/>
                  <wp:cNvGraphicFramePr>
                    <a:graphicFrameLocks/>
                  </wp:cNvGraphicFramePr>
                  <a:graphic>
                    <a:graphicData uri="http://schemas.openxmlformats.org/drawingml/2006/picture">
                      <pic:pic>
                        <pic:nvPicPr>
                          <pic:cNvPr id="889" name="Image 889"/>
                          <pic:cNvPicPr/>
                        </pic:nvPicPr>
                        <pic:blipFill>
                          <a:blip r:embed="rId51"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color w:val="231F20"/>
                <w:sz w:val="18"/>
              </w:rPr>
              <w:t>Message log</w:t>
            </w:r>
          </w:p>
        </w:tc>
        <w:tc>
          <w:tcPr>
            <w:tcW w:w="3767" w:type="dxa"/>
          </w:tcPr>
          <w:p>
            <w:pPr>
              <w:pStyle w:val="TableParagraph"/>
              <w:rPr>
                <w:sz w:val="18"/>
              </w:rPr>
            </w:pPr>
            <w:r>
              <w:rPr>
                <w:color w:val="231F20"/>
                <w:sz w:val="18"/>
              </w:rPr>
              <w:t>Filters,</w:t>
            </w:r>
            <w:r>
              <w:rPr>
                <w:color w:val="231F20"/>
                <w:spacing w:val="4"/>
                <w:sz w:val="18"/>
              </w:rPr>
              <w:t> </w:t>
            </w:r>
            <w:r>
              <w:rPr>
                <w:color w:val="231F20"/>
                <w:sz w:val="18"/>
              </w:rPr>
              <w:t>Thresholds,</w:t>
            </w:r>
            <w:r>
              <w:rPr>
                <w:color w:val="231F20"/>
                <w:spacing w:val="5"/>
                <w:sz w:val="18"/>
              </w:rPr>
              <w:t> </w:t>
            </w:r>
            <w:r>
              <w:rPr>
                <w:color w:val="231F20"/>
                <w:spacing w:val="-2"/>
                <w:sz w:val="18"/>
              </w:rPr>
              <w:t>Style</w:t>
            </w:r>
          </w:p>
        </w:tc>
      </w:tr>
      <w:tr>
        <w:trPr>
          <w:trHeight w:val="309" w:hRule="atLeast"/>
        </w:trPr>
        <w:tc>
          <w:tcPr>
            <w:tcW w:w="3767" w:type="dxa"/>
          </w:tcPr>
          <w:p>
            <w:pPr>
              <w:pStyle w:val="TableParagraph"/>
              <w:ind w:left="44"/>
              <w:rPr>
                <w:sz w:val="18"/>
              </w:rPr>
            </w:pPr>
            <w:r>
              <w:rPr>
                <w:position w:val="-3"/>
              </w:rPr>
              <w:drawing>
                <wp:inline distT="0" distB="0" distL="0" distR="0">
                  <wp:extent cx="101600" cy="101600"/>
                  <wp:effectExtent l="0" t="0" r="0" b="0"/>
                  <wp:docPr id="890" name="Image 890"/>
                  <wp:cNvGraphicFramePr>
                    <a:graphicFrameLocks/>
                  </wp:cNvGraphicFramePr>
                  <a:graphic>
                    <a:graphicData uri="http://schemas.openxmlformats.org/drawingml/2006/picture">
                      <pic:pic>
                        <pic:nvPicPr>
                          <pic:cNvPr id="890" name="Image 890"/>
                          <pic:cNvPicPr/>
                        </pic:nvPicPr>
                        <pic:blipFill>
                          <a:blip r:embed="rId52"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color w:val="231F20"/>
                <w:sz w:val="18"/>
              </w:rPr>
              <w:t>Universal</w:t>
            </w:r>
            <w:r>
              <w:rPr>
                <w:color w:val="231F20"/>
                <w:spacing w:val="27"/>
                <w:sz w:val="18"/>
              </w:rPr>
              <w:t> </w:t>
            </w:r>
            <w:r>
              <w:rPr>
                <w:color w:val="231F20"/>
                <w:sz w:val="18"/>
              </w:rPr>
              <w:t>message</w:t>
            </w:r>
            <w:r>
              <w:rPr>
                <w:color w:val="231F20"/>
                <w:spacing w:val="27"/>
                <w:sz w:val="18"/>
              </w:rPr>
              <w:t> </w:t>
            </w:r>
            <w:r>
              <w:rPr>
                <w:color w:val="231F20"/>
                <w:sz w:val="18"/>
              </w:rPr>
              <w:t>console</w:t>
            </w:r>
          </w:p>
        </w:tc>
        <w:tc>
          <w:tcPr>
            <w:tcW w:w="3767" w:type="dxa"/>
          </w:tcPr>
          <w:p>
            <w:pPr>
              <w:pStyle w:val="TableParagraph"/>
              <w:rPr>
                <w:sz w:val="18"/>
              </w:rPr>
            </w:pPr>
            <w:r>
              <w:rPr>
                <w:color w:val="231F20"/>
                <w:sz w:val="18"/>
              </w:rPr>
              <w:t>Filters,</w:t>
            </w:r>
            <w:r>
              <w:rPr>
                <w:color w:val="231F20"/>
                <w:spacing w:val="4"/>
                <w:sz w:val="18"/>
              </w:rPr>
              <w:t> </w:t>
            </w:r>
            <w:r>
              <w:rPr>
                <w:color w:val="231F20"/>
                <w:sz w:val="18"/>
              </w:rPr>
              <w:t>Thresholds,</w:t>
            </w:r>
            <w:r>
              <w:rPr>
                <w:color w:val="231F20"/>
                <w:spacing w:val="5"/>
                <w:sz w:val="18"/>
              </w:rPr>
              <w:t> </w:t>
            </w:r>
            <w:r>
              <w:rPr>
                <w:color w:val="231F20"/>
                <w:spacing w:val="-2"/>
                <w:sz w:val="18"/>
              </w:rPr>
              <w:t>Style</w:t>
            </w:r>
          </w:p>
        </w:tc>
      </w:tr>
      <w:tr>
        <w:trPr>
          <w:trHeight w:val="309" w:hRule="atLeast"/>
        </w:trPr>
        <w:tc>
          <w:tcPr>
            <w:tcW w:w="3767" w:type="dxa"/>
          </w:tcPr>
          <w:p>
            <w:pPr>
              <w:pStyle w:val="TableParagraph"/>
              <w:ind w:left="54"/>
              <w:rPr>
                <w:sz w:val="18"/>
              </w:rPr>
            </w:pPr>
            <w:r>
              <w:rPr>
                <w:position w:val="-3"/>
              </w:rPr>
              <w:drawing>
                <wp:inline distT="0" distB="0" distL="0" distR="0">
                  <wp:extent cx="95250" cy="95250"/>
                  <wp:effectExtent l="0" t="0" r="0" b="0"/>
                  <wp:docPr id="891" name="Image 891"/>
                  <wp:cNvGraphicFramePr>
                    <a:graphicFrameLocks/>
                  </wp:cNvGraphicFramePr>
                  <a:graphic>
                    <a:graphicData uri="http://schemas.openxmlformats.org/drawingml/2006/picture">
                      <pic:pic>
                        <pic:nvPicPr>
                          <pic:cNvPr id="891" name="Image 891"/>
                          <pic:cNvPicPr/>
                        </pic:nvPicPr>
                        <pic:blipFill>
                          <a:blip r:embed="rId5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Graphic</w:t>
            </w:r>
          </w:p>
        </w:tc>
        <w:tc>
          <w:tcPr>
            <w:tcW w:w="3767" w:type="dxa"/>
          </w:tcPr>
          <w:p>
            <w:pPr>
              <w:pStyle w:val="TableParagraph"/>
              <w:rPr>
                <w:sz w:val="18"/>
              </w:rPr>
            </w:pPr>
            <w:r>
              <w:rPr>
                <w:color w:val="231F20"/>
                <w:spacing w:val="-2"/>
                <w:sz w:val="18"/>
              </w:rPr>
              <w:t>Style</w:t>
            </w:r>
          </w:p>
        </w:tc>
      </w:tr>
      <w:tr>
        <w:trPr>
          <w:trHeight w:val="309" w:hRule="atLeast"/>
        </w:trPr>
        <w:tc>
          <w:tcPr>
            <w:tcW w:w="3767" w:type="dxa"/>
          </w:tcPr>
          <w:p>
            <w:pPr>
              <w:pStyle w:val="TableParagraph"/>
              <w:ind w:left="54"/>
              <w:rPr>
                <w:sz w:val="18"/>
              </w:rPr>
            </w:pPr>
            <w:r>
              <w:rPr>
                <w:position w:val="-2"/>
              </w:rPr>
              <w:drawing>
                <wp:inline distT="0" distB="0" distL="0" distR="0">
                  <wp:extent cx="95250" cy="88900"/>
                  <wp:effectExtent l="0" t="0" r="0" b="0"/>
                  <wp:docPr id="892" name="Image 892"/>
                  <wp:cNvGraphicFramePr>
                    <a:graphicFrameLocks/>
                  </wp:cNvGraphicFramePr>
                  <a:graphic>
                    <a:graphicData uri="http://schemas.openxmlformats.org/drawingml/2006/picture">
                      <pic:pic>
                        <pic:nvPicPr>
                          <pic:cNvPr id="892" name="Image 892"/>
                          <pic:cNvPicPr/>
                        </pic:nvPicPr>
                        <pic:blipFill>
                          <a:blip r:embed="rId55" cstate="print"/>
                          <a:stretch>
                            <a:fillRect/>
                          </a:stretch>
                        </pic:blipFill>
                        <pic:spPr>
                          <a:xfrm>
                            <a:off x="0" y="0"/>
                            <a:ext cx="95250" cy="88900"/>
                          </a:xfrm>
                          <a:prstGeom prst="rect">
                            <a:avLst/>
                          </a:prstGeom>
                        </pic:spPr>
                      </pic:pic>
                    </a:graphicData>
                  </a:graphic>
                </wp:inline>
              </w:drawing>
            </w:r>
            <w:r>
              <w:rPr>
                <w:position w:val="-2"/>
              </w:rPr>
            </w:r>
            <w:r>
              <w:rPr>
                <w:rFonts w:ascii="Times New Roman"/>
                <w:spacing w:val="40"/>
                <w:sz w:val="20"/>
              </w:rPr>
              <w:t> </w:t>
            </w:r>
            <w:r>
              <w:rPr>
                <w:color w:val="231F20"/>
                <w:sz w:val="18"/>
              </w:rPr>
              <w:t>Terminal</w:t>
            </w:r>
          </w:p>
        </w:tc>
        <w:tc>
          <w:tcPr>
            <w:tcW w:w="3767" w:type="dxa"/>
          </w:tcPr>
          <w:p>
            <w:pPr>
              <w:pStyle w:val="TableParagraph"/>
              <w:rPr>
                <w:sz w:val="18"/>
              </w:rPr>
            </w:pPr>
            <w:r>
              <w:rPr>
                <w:color w:val="231F20"/>
                <w:sz w:val="18"/>
              </w:rPr>
              <w:t>Query,</w:t>
            </w:r>
            <w:r>
              <w:rPr>
                <w:color w:val="231F20"/>
                <w:spacing w:val="-5"/>
                <w:sz w:val="18"/>
              </w:rPr>
              <w:t> </w:t>
            </w:r>
            <w:r>
              <w:rPr>
                <w:color w:val="231F20"/>
                <w:sz w:val="18"/>
              </w:rPr>
              <w:t>Configuration,</w:t>
            </w:r>
            <w:r>
              <w:rPr>
                <w:color w:val="231F20"/>
                <w:spacing w:val="-5"/>
                <w:sz w:val="18"/>
              </w:rPr>
              <w:t> </w:t>
            </w:r>
            <w:r>
              <w:rPr>
                <w:color w:val="231F20"/>
                <w:spacing w:val="-2"/>
                <w:sz w:val="18"/>
              </w:rPr>
              <w:t>Style</w:t>
            </w:r>
          </w:p>
        </w:tc>
      </w:tr>
      <w:tr>
        <w:trPr>
          <w:trHeight w:val="309" w:hRule="atLeast"/>
        </w:trPr>
        <w:tc>
          <w:tcPr>
            <w:tcW w:w="3767" w:type="dxa"/>
          </w:tcPr>
          <w:p>
            <w:pPr>
              <w:pStyle w:val="TableParagraph"/>
              <w:ind w:left="54"/>
              <w:rPr>
                <w:sz w:val="18"/>
              </w:rPr>
            </w:pPr>
            <w:r>
              <w:rPr>
                <w:position w:val="-3"/>
              </w:rPr>
              <w:drawing>
                <wp:inline distT="0" distB="0" distL="0" distR="0">
                  <wp:extent cx="95250" cy="95250"/>
                  <wp:effectExtent l="0" t="0" r="0" b="0"/>
                  <wp:docPr id="893" name="Image 893"/>
                  <wp:cNvGraphicFramePr>
                    <a:graphicFrameLocks/>
                  </wp:cNvGraphicFramePr>
                  <a:graphic>
                    <a:graphicData uri="http://schemas.openxmlformats.org/drawingml/2006/picture">
                      <pic:pic>
                        <pic:nvPicPr>
                          <pic:cNvPr id="893" name="Image 893"/>
                          <pic:cNvPicPr/>
                        </pic:nvPicPr>
                        <pic:blipFill>
                          <a:blip r:embed="rId5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Browser</w:t>
            </w:r>
          </w:p>
        </w:tc>
        <w:tc>
          <w:tcPr>
            <w:tcW w:w="3767" w:type="dxa"/>
          </w:tcPr>
          <w:p>
            <w:pPr>
              <w:pStyle w:val="TableParagraph"/>
              <w:rPr>
                <w:sz w:val="18"/>
              </w:rPr>
            </w:pPr>
            <w:r>
              <w:rPr>
                <w:color w:val="231F20"/>
                <w:spacing w:val="-2"/>
                <w:sz w:val="18"/>
              </w:rPr>
              <w:t>Style</w:t>
            </w:r>
          </w:p>
        </w:tc>
      </w:tr>
      <w:tr>
        <w:trPr>
          <w:trHeight w:val="309" w:hRule="atLeast"/>
        </w:trPr>
        <w:tc>
          <w:tcPr>
            <w:tcW w:w="3767" w:type="dxa"/>
          </w:tcPr>
          <w:p>
            <w:pPr>
              <w:pStyle w:val="TableParagraph"/>
              <w:ind w:left="54"/>
              <w:rPr>
                <w:sz w:val="18"/>
              </w:rPr>
            </w:pPr>
            <w:r>
              <w:rPr>
                <w:position w:val="-2"/>
              </w:rPr>
              <w:drawing>
                <wp:inline distT="0" distB="0" distL="0" distR="0">
                  <wp:extent cx="95250" cy="88900"/>
                  <wp:effectExtent l="0" t="0" r="0" b="0"/>
                  <wp:docPr id="894" name="Image 894"/>
                  <wp:cNvGraphicFramePr>
                    <a:graphicFrameLocks/>
                  </wp:cNvGraphicFramePr>
                  <a:graphic>
                    <a:graphicData uri="http://schemas.openxmlformats.org/drawingml/2006/picture">
                      <pic:pic>
                        <pic:nvPicPr>
                          <pic:cNvPr id="894" name="Image 894"/>
                          <pic:cNvPicPr/>
                        </pic:nvPicPr>
                        <pic:blipFill>
                          <a:blip r:embed="rId57" cstate="print"/>
                          <a:stretch>
                            <a:fillRect/>
                          </a:stretch>
                        </pic:blipFill>
                        <pic:spPr>
                          <a:xfrm>
                            <a:off x="0" y="0"/>
                            <a:ext cx="95250" cy="88900"/>
                          </a:xfrm>
                          <a:prstGeom prst="rect">
                            <a:avLst/>
                          </a:prstGeom>
                        </pic:spPr>
                      </pic:pic>
                    </a:graphicData>
                  </a:graphic>
                </wp:inline>
              </w:drawing>
            </w:r>
            <w:r>
              <w:rPr>
                <w:position w:val="-2"/>
              </w:rPr>
            </w:r>
            <w:r>
              <w:rPr>
                <w:rFonts w:ascii="Times New Roman"/>
                <w:spacing w:val="40"/>
                <w:sz w:val="20"/>
              </w:rPr>
              <w:t> </w:t>
            </w:r>
            <w:r>
              <w:rPr>
                <w:color w:val="231F20"/>
                <w:sz w:val="18"/>
              </w:rPr>
              <w:t>Topology</w:t>
            </w:r>
          </w:p>
        </w:tc>
        <w:tc>
          <w:tcPr>
            <w:tcW w:w="3767" w:type="dxa"/>
          </w:tcPr>
          <w:p>
            <w:pPr>
              <w:pStyle w:val="TableParagraph"/>
              <w:rPr>
                <w:sz w:val="18"/>
              </w:rPr>
            </w:pPr>
            <w:r>
              <w:rPr>
                <w:color w:val="231F20"/>
                <w:spacing w:val="-2"/>
                <w:sz w:val="18"/>
              </w:rPr>
              <w:t>Style</w:t>
            </w:r>
          </w:p>
        </w:tc>
      </w:tr>
      <w:tr>
        <w:trPr>
          <w:trHeight w:val="309" w:hRule="atLeast"/>
        </w:trPr>
        <w:tc>
          <w:tcPr>
            <w:tcW w:w="3767" w:type="dxa"/>
          </w:tcPr>
          <w:p>
            <w:pPr>
              <w:pStyle w:val="TableParagraph"/>
              <w:ind w:left="54"/>
              <w:rPr>
                <w:sz w:val="18"/>
              </w:rPr>
            </w:pPr>
            <w:r>
              <w:rPr>
                <w:position w:val="-3"/>
              </w:rPr>
              <w:drawing>
                <wp:inline distT="0" distB="0" distL="0" distR="0">
                  <wp:extent cx="95250" cy="95250"/>
                  <wp:effectExtent l="0" t="0" r="0" b="0"/>
                  <wp:docPr id="895" name="Image 895"/>
                  <wp:cNvGraphicFramePr>
                    <a:graphicFrameLocks/>
                  </wp:cNvGraphicFramePr>
                  <a:graphic>
                    <a:graphicData uri="http://schemas.openxmlformats.org/drawingml/2006/picture">
                      <pic:pic>
                        <pic:nvPicPr>
                          <pic:cNvPr id="895" name="Image 895"/>
                          <pic:cNvPicPr/>
                        </pic:nvPicPr>
                        <pic:blipFill>
                          <a:blip r:embed="rId5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Situation</w:t>
            </w:r>
            <w:r>
              <w:rPr>
                <w:color w:val="231F20"/>
                <w:spacing w:val="27"/>
                <w:sz w:val="18"/>
              </w:rPr>
              <w:t> </w:t>
            </w:r>
            <w:r>
              <w:rPr>
                <w:color w:val="231F20"/>
                <w:sz w:val="18"/>
              </w:rPr>
              <w:t>event</w:t>
            </w:r>
            <w:r>
              <w:rPr>
                <w:color w:val="231F20"/>
                <w:spacing w:val="27"/>
                <w:sz w:val="18"/>
              </w:rPr>
              <w:t> </w:t>
            </w:r>
            <w:r>
              <w:rPr>
                <w:color w:val="231F20"/>
                <w:sz w:val="18"/>
              </w:rPr>
              <w:t>console</w:t>
            </w:r>
          </w:p>
        </w:tc>
        <w:tc>
          <w:tcPr>
            <w:tcW w:w="3767" w:type="dxa"/>
          </w:tcPr>
          <w:p>
            <w:pPr>
              <w:pStyle w:val="TableParagraph"/>
              <w:rPr>
                <w:sz w:val="18"/>
              </w:rPr>
            </w:pPr>
            <w:r>
              <w:rPr>
                <w:color w:val="231F20"/>
                <w:sz w:val="18"/>
              </w:rPr>
              <w:t>Filters,</w:t>
            </w:r>
            <w:r>
              <w:rPr>
                <w:color w:val="231F20"/>
                <w:spacing w:val="4"/>
                <w:sz w:val="18"/>
              </w:rPr>
              <w:t> </w:t>
            </w:r>
            <w:r>
              <w:rPr>
                <w:color w:val="231F20"/>
                <w:sz w:val="18"/>
              </w:rPr>
              <w:t>Thresholds,</w:t>
            </w:r>
            <w:r>
              <w:rPr>
                <w:color w:val="231F20"/>
                <w:spacing w:val="5"/>
                <w:sz w:val="18"/>
              </w:rPr>
              <w:t> </w:t>
            </w:r>
            <w:r>
              <w:rPr>
                <w:color w:val="231F20"/>
                <w:spacing w:val="-2"/>
                <w:sz w:val="18"/>
              </w:rPr>
              <w:t>Style</w:t>
            </w:r>
          </w:p>
        </w:tc>
      </w:tr>
      <w:tr>
        <w:trPr>
          <w:trHeight w:val="314" w:hRule="atLeast"/>
        </w:trPr>
        <w:tc>
          <w:tcPr>
            <w:tcW w:w="3767" w:type="dxa"/>
          </w:tcPr>
          <w:p>
            <w:pPr>
              <w:pStyle w:val="TableParagraph"/>
              <w:ind w:left="44"/>
              <w:rPr>
                <w:sz w:val="18"/>
              </w:rPr>
            </w:pPr>
            <w:r>
              <w:rPr>
                <w:position w:val="-3"/>
              </w:rPr>
              <w:drawing>
                <wp:inline distT="0" distB="0" distL="0" distR="0">
                  <wp:extent cx="101600" cy="101600"/>
                  <wp:effectExtent l="0" t="0" r="0" b="0"/>
                  <wp:docPr id="896" name="Image 896"/>
                  <wp:cNvGraphicFramePr>
                    <a:graphicFrameLocks/>
                  </wp:cNvGraphicFramePr>
                  <a:graphic>
                    <a:graphicData uri="http://schemas.openxmlformats.org/drawingml/2006/picture">
                      <pic:pic>
                        <pic:nvPicPr>
                          <pic:cNvPr id="896" name="Image 896"/>
                          <pic:cNvPicPr/>
                        </pic:nvPicPr>
                        <pic:blipFill>
                          <a:blip r:embed="rId59"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color w:val="231F20"/>
                <w:sz w:val="18"/>
              </w:rPr>
              <w:t>Common</w:t>
            </w:r>
            <w:r>
              <w:rPr>
                <w:color w:val="231F20"/>
                <w:spacing w:val="27"/>
                <w:sz w:val="18"/>
              </w:rPr>
              <w:t> </w:t>
            </w:r>
            <w:r>
              <w:rPr>
                <w:color w:val="231F20"/>
                <w:sz w:val="18"/>
              </w:rPr>
              <w:t>Event</w:t>
            </w:r>
            <w:r>
              <w:rPr>
                <w:color w:val="231F20"/>
                <w:spacing w:val="27"/>
                <w:sz w:val="18"/>
              </w:rPr>
              <w:t> </w:t>
            </w:r>
            <w:r>
              <w:rPr>
                <w:color w:val="231F20"/>
                <w:sz w:val="18"/>
              </w:rPr>
              <w:t>Console</w:t>
            </w:r>
          </w:p>
        </w:tc>
        <w:tc>
          <w:tcPr>
            <w:tcW w:w="3767" w:type="dxa"/>
          </w:tcPr>
          <w:p>
            <w:pPr>
              <w:pStyle w:val="TableParagraph"/>
              <w:rPr>
                <w:sz w:val="18"/>
              </w:rPr>
            </w:pPr>
            <w:r>
              <w:rPr>
                <w:color w:val="231F20"/>
                <w:sz w:val="18"/>
              </w:rPr>
              <w:t>Filters,</w:t>
            </w:r>
            <w:r>
              <w:rPr>
                <w:color w:val="231F20"/>
                <w:spacing w:val="4"/>
                <w:sz w:val="18"/>
              </w:rPr>
              <w:t> </w:t>
            </w:r>
            <w:r>
              <w:rPr>
                <w:color w:val="231F20"/>
                <w:sz w:val="18"/>
              </w:rPr>
              <w:t>Thresholds,</w:t>
            </w:r>
            <w:r>
              <w:rPr>
                <w:color w:val="231F20"/>
                <w:spacing w:val="5"/>
                <w:sz w:val="18"/>
              </w:rPr>
              <w:t> </w:t>
            </w:r>
            <w:r>
              <w:rPr>
                <w:color w:val="231F20"/>
                <w:spacing w:val="-2"/>
                <w:sz w:val="18"/>
              </w:rPr>
              <w:t>Style</w:t>
            </w:r>
          </w:p>
        </w:tc>
      </w:tr>
    </w:tbl>
    <w:p>
      <w:pPr>
        <w:pStyle w:val="BodyText"/>
        <w:spacing w:line="194" w:lineRule="auto" w:before="190"/>
        <w:ind w:left="2788" w:right="258"/>
      </w:pPr>
      <w:bookmarkStart w:name="_bookmark65" w:id="149"/>
      <w:bookmarkEnd w:id="149"/>
      <w:r>
        <w:rPr/>
      </w:r>
      <w:r>
        <w:rPr>
          <w:color w:val="231F20"/>
        </w:rPr>
        <w:t>While editing the properties, click </w:t>
      </w:r>
      <w:r>
        <w:rPr>
          <w:rFonts w:ascii="Book Antiqua"/>
          <w:b/>
          <w:color w:val="231F20"/>
        </w:rPr>
        <w:t>Test </w:t>
      </w:r>
      <w:r>
        <w:rPr>
          <w:color w:val="231F20"/>
        </w:rPr>
        <w:t>to see your changes in the </w:t>
      </w:r>
      <w:r>
        <w:rPr>
          <w:rFonts w:ascii="Book Antiqua"/>
          <w:b/>
          <w:color w:val="231F20"/>
        </w:rPr>
        <w:t>Preview </w:t>
      </w:r>
      <w:r>
        <w:rPr>
          <w:color w:val="231F20"/>
        </w:rPr>
        <w:t>area at the top of the window.</w:t>
      </w:r>
    </w:p>
    <w:p>
      <w:pPr>
        <w:pStyle w:val="BodyText"/>
        <w:spacing w:line="213" w:lineRule="auto" w:before="60"/>
        <w:ind w:left="2788" w:right="258"/>
      </w:pPr>
      <w:r>
        <w:rPr>
          <w:rFonts w:ascii="Book Antiqua"/>
          <w:b/>
          <w:color w:val="231F20"/>
        </w:rPr>
        <w:t>Attention:</w:t>
      </w:r>
      <w:r>
        <w:rPr>
          <w:rFonts w:ascii="Book Antiqua"/>
          <w:b/>
          <w:color w:val="231F20"/>
          <w:spacing w:val="80"/>
          <w:w w:val="150"/>
        </w:rPr>
        <w:t> </w:t>
      </w:r>
      <w:r>
        <w:rPr>
          <w:color w:val="231F20"/>
        </w:rPr>
        <w:t>The </w:t>
      </w:r>
      <w:r>
        <w:rPr>
          <w:rFonts w:ascii="Book Antiqua"/>
          <w:b/>
          <w:color w:val="231F20"/>
        </w:rPr>
        <w:t>Preview </w:t>
      </w:r>
      <w:r>
        <w:rPr>
          <w:color w:val="231F20"/>
        </w:rPr>
        <w:t>area is showing a sample of what your view will look</w:t>
      </w:r>
      <w:r>
        <w:rPr>
          <w:color w:val="231F20"/>
          <w:spacing w:val="40"/>
        </w:rPr>
        <w:t> </w:t>
      </w:r>
      <w:r>
        <w:rPr>
          <w:color w:val="231F20"/>
        </w:rPr>
        <w:t>like in the associated workspace. This area is restricted by space constraints </w:t>
      </w:r>
      <w:r>
        <w:rPr>
          <w:color w:val="231F20"/>
        </w:rPr>
        <w:t>and some labels, identifiers, and other view-level adornments might be hidden, truncated, or partially rendered. Your view will be rendered correctly when applied to the associated workspace where space constraints are not a concern.</w:t>
      </w:r>
    </w:p>
    <w:p>
      <w:pPr>
        <w:pStyle w:val="BodyText"/>
        <w:spacing w:line="213" w:lineRule="auto" w:before="56"/>
        <w:ind w:left="2788" w:right="385"/>
      </w:pPr>
      <w:r>
        <w:rPr>
          <w:color w:val="231F20"/>
        </w:rPr>
        <w:t>In the Filters and Thresholds tabs, if you need to add or remove rows or clear</w:t>
      </w:r>
      <w:r>
        <w:rPr>
          <w:color w:val="231F20"/>
          <w:spacing w:val="40"/>
        </w:rPr>
        <w:t> </w:t>
      </w:r>
      <w:r>
        <w:rPr>
          <w:color w:val="231F20"/>
        </w:rPr>
        <w:t>cell contents, right-click and select one of the pop-up menu options.</w:t>
      </w:r>
    </w:p>
    <w:p>
      <w:pPr>
        <w:pStyle w:val="ListParagraph"/>
        <w:numPr>
          <w:ilvl w:val="0"/>
          <w:numId w:val="48"/>
        </w:numPr>
        <w:tabs>
          <w:tab w:pos="2788" w:val="left" w:leader="none"/>
        </w:tabs>
        <w:spacing w:line="213" w:lineRule="auto" w:before="59" w:after="0"/>
        <w:ind w:left="2788" w:right="181" w:hanging="316"/>
        <w:jc w:val="both"/>
        <w:rPr>
          <w:sz w:val="20"/>
        </w:rPr>
      </w:pPr>
      <w:r>
        <w:rPr>
          <w:color w:val="231F20"/>
          <w:sz w:val="20"/>
        </w:rPr>
        <w:t>When you are finished editing the view, click </w:t>
      </w:r>
      <w:r>
        <w:rPr>
          <w:rFonts w:ascii="Book Antiqua"/>
          <w:b/>
          <w:color w:val="231F20"/>
          <w:sz w:val="20"/>
        </w:rPr>
        <w:t>Apply </w:t>
      </w:r>
      <w:r>
        <w:rPr>
          <w:color w:val="231F20"/>
          <w:sz w:val="20"/>
        </w:rPr>
        <w:t>to save your changes, then select another view to edit from the Properties tree; -OR- click </w:t>
      </w:r>
      <w:r>
        <w:rPr>
          <w:rFonts w:ascii="Book Antiqua"/>
          <w:b/>
          <w:color w:val="231F20"/>
          <w:sz w:val="20"/>
        </w:rPr>
        <w:t>OK </w:t>
      </w:r>
      <w:r>
        <w:rPr>
          <w:color w:val="231F20"/>
          <w:sz w:val="20"/>
        </w:rPr>
        <w:t>to save your changes and close the window.</w:t>
      </w:r>
    </w:p>
    <w:p>
      <w:pPr>
        <w:pStyle w:val="ListParagraph"/>
        <w:numPr>
          <w:ilvl w:val="0"/>
          <w:numId w:val="48"/>
        </w:numPr>
        <w:tabs>
          <w:tab w:pos="2787" w:val="left" w:leader="none"/>
        </w:tabs>
        <w:spacing w:line="240" w:lineRule="auto" w:before="34" w:after="0"/>
        <w:ind w:left="2787" w:right="0" w:hanging="315"/>
        <w:jc w:val="both"/>
        <w:rPr>
          <w:sz w:val="20"/>
        </w:rPr>
      </w:pPr>
      <w:r>
        <w:rPr>
          <w:color w:val="231F20"/>
          <w:sz w:val="20"/>
        </w:rPr>
        <w:t>To</w:t>
      </w:r>
      <w:r>
        <w:rPr>
          <w:color w:val="231F20"/>
          <w:spacing w:val="10"/>
          <w:sz w:val="20"/>
        </w:rPr>
        <w:t> </w:t>
      </w:r>
      <w:r>
        <w:rPr>
          <w:color w:val="231F20"/>
          <w:sz w:val="20"/>
        </w:rPr>
        <w:t>keep</w:t>
      </w:r>
      <w:r>
        <w:rPr>
          <w:color w:val="231F20"/>
          <w:spacing w:val="10"/>
          <w:sz w:val="20"/>
        </w:rPr>
        <w:t> </w:t>
      </w:r>
      <w:r>
        <w:rPr>
          <w:color w:val="231F20"/>
          <w:sz w:val="20"/>
        </w:rPr>
        <w:t>your</w:t>
      </w:r>
      <w:r>
        <w:rPr>
          <w:color w:val="231F20"/>
          <w:spacing w:val="10"/>
          <w:sz w:val="20"/>
        </w:rPr>
        <w:t> </w:t>
      </w:r>
      <w:r>
        <w:rPr>
          <w:color w:val="231F20"/>
          <w:sz w:val="20"/>
        </w:rPr>
        <w:t>changes,</w:t>
      </w:r>
      <w:r>
        <w:rPr>
          <w:color w:val="231F20"/>
          <w:spacing w:val="10"/>
          <w:sz w:val="20"/>
        </w:rPr>
        <w:t> </w:t>
      </w:r>
      <w:r>
        <w:rPr>
          <w:color w:val="231F20"/>
          <w:sz w:val="20"/>
        </w:rPr>
        <w:t>do</w:t>
      </w:r>
      <w:r>
        <w:rPr>
          <w:color w:val="231F20"/>
          <w:spacing w:val="10"/>
          <w:sz w:val="20"/>
        </w:rPr>
        <w:t> </w:t>
      </w:r>
      <w:r>
        <w:rPr>
          <w:color w:val="231F20"/>
          <w:sz w:val="20"/>
        </w:rPr>
        <w:t>one</w:t>
      </w:r>
      <w:r>
        <w:rPr>
          <w:color w:val="231F20"/>
          <w:spacing w:val="10"/>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pacing w:val="-2"/>
          <w:sz w:val="20"/>
        </w:rPr>
        <w:t>following:</w:t>
      </w:r>
    </w:p>
    <w:p>
      <w:pPr>
        <w:pStyle w:val="BodyText"/>
        <w:spacing w:line="213" w:lineRule="auto" w:before="53"/>
        <w:ind w:left="3004" w:right="385" w:hanging="216"/>
      </w:pPr>
      <w:r>
        <w:rPr>
          <w:rFonts w:ascii="Futura MdCn BT"/>
          <w:color w:val="231F20"/>
        </w:rPr>
        <w:t>v</w:t>
      </w:r>
      <w:r>
        <w:rPr>
          <w:rFonts w:ascii="Futura MdCn BT"/>
          <w:color w:val="231F20"/>
          <w:spacing w:val="80"/>
        </w:rPr>
        <w:t> </w:t>
      </w:r>
      <w:r>
        <w:rPr>
          <w:color w:val="231F20"/>
        </w:rPr>
        <w:t>Click</w:t>
      </w:r>
      <w:r>
        <w:rPr>
          <w:color w:val="231F20"/>
          <w:spacing w:val="20"/>
        </w:rPr>
        <w:t> </w:t>
      </w:r>
      <w:r>
        <w:rPr>
          <w:color w:val="231F20"/>
          <w:spacing w:val="-24"/>
          <w:position w:val="-1"/>
        </w:rPr>
        <w:drawing>
          <wp:inline distT="0" distB="0" distL="0" distR="0">
            <wp:extent cx="95250" cy="95250"/>
            <wp:effectExtent l="0" t="0" r="0" b="0"/>
            <wp:docPr id="897" name="Image 897"/>
            <wp:cNvGraphicFramePr>
              <a:graphicFrameLocks/>
            </wp:cNvGraphicFramePr>
            <a:graphic>
              <a:graphicData uri="http://schemas.openxmlformats.org/drawingml/2006/picture">
                <pic:pic>
                  <pic:nvPicPr>
                    <pic:cNvPr id="897" name="Image 897"/>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7"/>
        </w:rPr>
        <w:t> </w:t>
      </w:r>
      <w:r>
        <w:rPr>
          <w:rFonts w:ascii="Book Antiqua"/>
          <w:b/>
          <w:color w:val="231F20"/>
        </w:rPr>
        <w:t>Save </w:t>
      </w:r>
      <w:r>
        <w:rPr>
          <w:color w:val="231F20"/>
        </w:rPr>
        <w:t>to update the workspace properties with the changes you </w:t>
      </w:r>
      <w:r>
        <w:rPr>
          <w:color w:val="231F20"/>
        </w:rPr>
        <w:t>just</w:t>
      </w:r>
      <w:r>
        <w:rPr>
          <w:color w:val="231F20"/>
        </w:rPr>
        <w:t> </w:t>
      </w:r>
      <w:r>
        <w:rPr>
          <w:color w:val="231F20"/>
          <w:spacing w:val="-2"/>
        </w:rPr>
        <w:t>made.</w:t>
      </w:r>
    </w:p>
    <w:p>
      <w:pPr>
        <w:pStyle w:val="BodyText"/>
        <w:spacing w:line="213" w:lineRule="auto" w:before="59"/>
        <w:ind w:left="3004" w:right="545" w:hanging="216"/>
      </w:pPr>
      <w:r>
        <w:rPr>
          <w:rFonts w:ascii="Futura MdCn BT"/>
          <w:color w:val="231F20"/>
        </w:rPr>
        <w:t>v</w:t>
      </w:r>
      <w:r>
        <w:rPr>
          <w:rFonts w:ascii="Futura MdCn BT"/>
          <w:color w:val="231F20"/>
          <w:spacing w:val="80"/>
        </w:rPr>
        <w:t> </w:t>
      </w:r>
      <w:r>
        <w:rPr>
          <w:color w:val="231F20"/>
        </w:rPr>
        <w:t>Select </w:t>
      </w:r>
      <w:r>
        <w:rPr>
          <w:rFonts w:ascii="Book Antiqua"/>
          <w:b/>
          <w:color w:val="231F20"/>
        </w:rPr>
        <w:t>Save Workspace As </w:t>
      </w:r>
      <w:r>
        <w:rPr>
          <w:color w:val="231F20"/>
        </w:rPr>
        <w:t>from the </w:t>
      </w:r>
      <w:r>
        <w:rPr>
          <w:rFonts w:ascii="Book Antiqua"/>
          <w:b/>
          <w:color w:val="231F20"/>
        </w:rPr>
        <w:t>File </w:t>
      </w:r>
      <w:r>
        <w:rPr>
          <w:color w:val="231F20"/>
        </w:rPr>
        <w:t>menu to save this as a </w:t>
      </w:r>
      <w:r>
        <w:rPr>
          <w:color w:val="231F20"/>
        </w:rPr>
        <w:t>new</w:t>
      </w:r>
      <w:r>
        <w:rPr>
          <w:color w:val="231F20"/>
        </w:rPr>
        <w:t> workspace and leave the original workspace unchanged.</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385"/>
      </w:pPr>
      <w:r>
        <w:rPr>
          <w:color w:val="231F20"/>
        </w:rPr>
        <w:t>You can also resize a view by dragging the borders, and swap locations with another view by dragging it by its title bar to the new position. You cannot move views that are part of a workspace that is protected from editing, which applies </w:t>
      </w:r>
      <w:r>
        <w:rPr>
          <w:color w:val="231F20"/>
        </w:rPr>
        <w:t>to predefined workspaces.</w:t>
      </w:r>
    </w:p>
    <w:p>
      <w:pPr>
        <w:pStyle w:val="BodyText"/>
        <w:spacing w:before="4"/>
        <w:rPr>
          <w:sz w:val="16"/>
        </w:rPr>
      </w:pPr>
      <w:r>
        <w:rPr/>
        <mc:AlternateContent>
          <mc:Choice Requires="wps">
            <w:drawing>
              <wp:anchor distT="0" distB="0" distL="0" distR="0" allowOverlap="1" layoutInCell="1" locked="0" behindDoc="1" simplePos="0" relativeHeight="487665152">
                <wp:simplePos x="0" y="0"/>
                <wp:positionH relativeFrom="page">
                  <wp:posOffset>912380</wp:posOffset>
                </wp:positionH>
                <wp:positionV relativeFrom="paragraph">
                  <wp:posOffset>154914</wp:posOffset>
                </wp:positionV>
                <wp:extent cx="6082665" cy="1270"/>
                <wp:effectExtent l="0" t="0" r="0" b="0"/>
                <wp:wrapTopAndBottom/>
                <wp:docPr id="898" name="Graphic 898"/>
                <wp:cNvGraphicFramePr>
                  <a:graphicFrameLocks/>
                </wp:cNvGraphicFramePr>
                <a:graphic>
                  <a:graphicData uri="http://schemas.microsoft.com/office/word/2010/wordprocessingShape">
                    <wps:wsp>
                      <wps:cNvPr id="898" name="Graphic 89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98pt;width:478.95pt;height:.1pt;mso-position-horizontal-relative:page;mso-position-vertical-relative:paragraph;z-index:-15651328;mso-wrap-distance-left:0;mso-wrap-distance-right:0" id="docshape132"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Query-based views" w:id="150"/>
      <w:bookmarkEnd w:id="150"/>
      <w:r>
        <w:rPr>
          <w:b w:val="0"/>
        </w:rPr>
      </w:r>
      <w:r>
        <w:rPr>
          <w:color w:val="231F20"/>
        </w:rPr>
        <w:t>Query-based</w:t>
      </w:r>
      <w:r>
        <w:rPr>
          <w:color w:val="231F20"/>
          <w:spacing w:val="-3"/>
        </w:rPr>
        <w:t> </w:t>
      </w:r>
      <w:r>
        <w:rPr>
          <w:color w:val="231F20"/>
          <w:spacing w:val="-2"/>
        </w:rPr>
        <w:t>views</w:t>
      </w:r>
    </w:p>
    <w:p>
      <w:pPr>
        <w:pStyle w:val="BodyText"/>
        <w:spacing w:line="213" w:lineRule="auto" w:before="138"/>
        <w:ind w:left="2472" w:right="292"/>
      </w:pPr>
      <w:r>
        <w:rPr>
          <w:color w:val="231F20"/>
        </w:rPr>
        <w:t>Query-based views are the table view, chart views, and </w:t>
      </w:r>
      <w:r>
        <w:rPr>
          <w:rFonts w:ascii="Book Antiqua"/>
          <w:i/>
          <w:color w:val="231F20"/>
        </w:rPr>
        <w:t>relational table-based</w:t>
      </w:r>
      <w:r>
        <w:rPr>
          <w:rFonts w:ascii="Book Antiqua"/>
          <w:i/>
          <w:color w:val="231F20"/>
          <w:spacing w:val="40"/>
        </w:rPr>
        <w:t> </w:t>
      </w:r>
      <w:r>
        <w:rPr>
          <w:color w:val="231F20"/>
        </w:rPr>
        <w:t>topology view. They are distinguished from other workspace views by their </w:t>
      </w:r>
      <w:r>
        <w:rPr>
          <w:color w:val="231F20"/>
        </w:rPr>
        <w:t>ability to show monitoring data from agents and from external JDBC or ODBC data</w:t>
      </w:r>
      <w:r>
        <w:rPr>
          <w:color w:val="231F20"/>
          <w:spacing w:val="40"/>
        </w:rPr>
        <w:t> </w:t>
      </w:r>
      <w:r>
        <w:rPr>
          <w:color w:val="231F20"/>
        </w:rPr>
        <w:t>sources for which you have written SQL statements. Use these views for</w:t>
      </w:r>
    </w:p>
    <w:p>
      <w:pPr>
        <w:pStyle w:val="BodyText"/>
        <w:spacing w:line="244" w:lineRule="exact"/>
        <w:ind w:left="2472"/>
      </w:pPr>
      <w:r>
        <w:rPr>
          <w:color w:val="231F20"/>
        </w:rPr>
        <w:t>on-demand</w:t>
      </w:r>
      <w:r>
        <w:rPr>
          <w:color w:val="231F20"/>
          <w:spacing w:val="9"/>
        </w:rPr>
        <w:t> </w:t>
      </w:r>
      <w:r>
        <w:rPr>
          <w:color w:val="231F20"/>
        </w:rPr>
        <w:t>reporting</w:t>
      </w:r>
      <w:r>
        <w:rPr>
          <w:color w:val="231F20"/>
          <w:spacing w:val="9"/>
        </w:rPr>
        <w:t> </w:t>
      </w:r>
      <w:r>
        <w:rPr>
          <w:color w:val="231F20"/>
        </w:rPr>
        <w:t>of</w:t>
      </w:r>
      <w:r>
        <w:rPr>
          <w:color w:val="231F20"/>
          <w:spacing w:val="9"/>
        </w:rPr>
        <w:t> </w:t>
      </w:r>
      <w:r>
        <w:rPr>
          <w:color w:val="231F20"/>
        </w:rPr>
        <w:t>current</w:t>
      </w:r>
      <w:r>
        <w:rPr>
          <w:color w:val="231F20"/>
          <w:spacing w:val="9"/>
        </w:rPr>
        <w:t> </w:t>
      </w:r>
      <w:r>
        <w:rPr>
          <w:color w:val="231F20"/>
        </w:rPr>
        <w:t>and</w:t>
      </w:r>
      <w:r>
        <w:rPr>
          <w:color w:val="231F20"/>
          <w:spacing w:val="9"/>
        </w:rPr>
        <w:t> </w:t>
      </w:r>
      <w:r>
        <w:rPr>
          <w:color w:val="231F20"/>
        </w:rPr>
        <w:t>past</w:t>
      </w:r>
      <w:r>
        <w:rPr>
          <w:color w:val="231F20"/>
          <w:spacing w:val="9"/>
        </w:rPr>
        <w:t> </w:t>
      </w:r>
      <w:r>
        <w:rPr>
          <w:color w:val="231F20"/>
        </w:rPr>
        <w:t>(historical)</w:t>
      </w:r>
      <w:r>
        <w:rPr>
          <w:color w:val="231F20"/>
          <w:spacing w:val="9"/>
        </w:rPr>
        <w:t> </w:t>
      </w:r>
      <w:r>
        <w:rPr>
          <w:color w:val="231F20"/>
        </w:rPr>
        <w:t>data</w:t>
      </w:r>
      <w:r>
        <w:rPr>
          <w:color w:val="231F20"/>
          <w:spacing w:val="9"/>
        </w:rPr>
        <w:t> </w:t>
      </w:r>
      <w:r>
        <w:rPr>
          <w:color w:val="231F20"/>
          <w:spacing w:val="-2"/>
        </w:rPr>
        <w:t>samplings.</w:t>
      </w:r>
    </w:p>
    <w:p>
      <w:pPr>
        <w:pStyle w:val="BodyText"/>
        <w:spacing w:line="213" w:lineRule="auto" w:before="233"/>
        <w:ind w:left="2472" w:right="258"/>
      </w:pPr>
      <w:r>
        <w:rPr>
          <w:color w:val="231F20"/>
        </w:rPr>
        <w:t>The predefined workspaces for your product include chart and table views. These views are the first step to getting something meaningful from the data being collected. When you understand what values and states are causing problems, </w:t>
      </w:r>
      <w:r>
        <w:rPr>
          <w:color w:val="231F20"/>
        </w:rPr>
        <w:t>you</w:t>
      </w:r>
    </w:p>
    <w:p>
      <w:pPr>
        <w:spacing w:after="0" w:line="213" w:lineRule="auto"/>
        <w:sectPr>
          <w:footerReference w:type="default" r:id="rId189"/>
          <w:footerReference w:type="even" r:id="rId190"/>
          <w:pgSz w:w="12240" w:h="15840"/>
          <w:pgMar w:header="0" w:footer="736" w:top="1300" w:bottom="920" w:left="1000" w:right="1060"/>
          <w:pgNumType w:start="85"/>
        </w:sectPr>
      </w:pPr>
    </w:p>
    <w:p>
      <w:pPr>
        <w:pStyle w:val="BodyText"/>
        <w:spacing w:line="213" w:lineRule="auto" w:before="85"/>
        <w:ind w:left="2232" w:right="545"/>
      </w:pPr>
      <w:bookmarkStart w:name="_bookmark66" w:id="151"/>
      <w:bookmarkEnd w:id="151"/>
      <w:r>
        <w:rPr/>
      </w:r>
      <w:r>
        <w:rPr>
          <w:color w:val="231F20"/>
        </w:rPr>
        <w:t>can refine your views to show what is important. Additionally, the topology </w:t>
      </w:r>
      <w:r>
        <w:rPr>
          <w:color w:val="231F20"/>
        </w:rPr>
        <w:t>view can express the relationships between attributes as connected objects when the topology source is relational table-based.</w:t>
      </w:r>
    </w:p>
    <w:p>
      <w:pPr>
        <w:pStyle w:val="BodyText"/>
        <w:tabs>
          <w:tab w:pos="2966" w:val="left" w:leader="none"/>
        </w:tabs>
        <w:spacing w:line="213" w:lineRule="auto" w:before="139"/>
        <w:ind w:left="2951" w:right="545" w:hanging="719"/>
      </w:pPr>
      <w:r>
        <w:rPr>
          <w:rFonts w:ascii="Book Antiqua"/>
          <w:b/>
          <w:color w:val="231F20"/>
          <w:spacing w:val="-2"/>
          <w:position w:val="8"/>
        </w:rPr>
        <w:t>Table</w:t>
      </w:r>
      <w:r>
        <w:rPr>
          <w:rFonts w:ascii="Book Antiqua"/>
          <w:b/>
          <w:color w:val="231F20"/>
          <w:position w:val="8"/>
        </w:rPr>
        <w:tab/>
        <w:tab/>
      </w:r>
      <w:r>
        <w:rPr>
          <w:rFonts w:ascii="Book Antiqua"/>
          <w:b/>
          <w:color w:val="231F20"/>
          <w:position w:val="-1"/>
        </w:rPr>
        <w:drawing>
          <wp:inline distT="0" distB="0" distL="0" distR="0">
            <wp:extent cx="142875" cy="142875"/>
            <wp:effectExtent l="0" t="0" r="0" b="0"/>
            <wp:docPr id="899" name="Image 899"/>
            <wp:cNvGraphicFramePr>
              <a:graphicFrameLocks/>
            </wp:cNvGraphicFramePr>
            <a:graphic>
              <a:graphicData uri="http://schemas.openxmlformats.org/drawingml/2006/picture">
                <pic:pic>
                  <pic:nvPicPr>
                    <pic:cNvPr id="899" name="Image 899"/>
                    <pic:cNvPicPr/>
                  </pic:nvPicPr>
                  <pic:blipFill>
                    <a:blip r:embed="rId50" cstate="print"/>
                    <a:stretch>
                      <a:fillRect/>
                    </a:stretch>
                  </pic:blipFill>
                  <pic:spPr>
                    <a:xfrm>
                      <a:off x="0" y="0"/>
                      <a:ext cx="142875" cy="142875"/>
                    </a:xfrm>
                    <a:prstGeom prst="rect">
                      <a:avLst/>
                    </a:prstGeom>
                  </pic:spPr>
                </pic:pic>
              </a:graphicData>
            </a:graphic>
          </wp:inline>
        </w:drawing>
      </w:r>
      <w:r>
        <w:rPr>
          <w:rFonts w:ascii="Book Antiqua"/>
          <w:b/>
          <w:color w:val="231F20"/>
          <w:position w:val="-1"/>
        </w:rPr>
      </w:r>
      <w:r>
        <w:rPr>
          <w:rFonts w:ascii="Times New Roman"/>
          <w:color w:val="231F20"/>
          <w:spacing w:val="40"/>
        </w:rPr>
        <w:t> </w:t>
      </w:r>
      <w:r>
        <w:rPr>
          <w:color w:val="231F20"/>
        </w:rPr>
        <w:t>A table</w:t>
      </w:r>
      <w:r>
        <w:rPr>
          <w:color w:val="231F20"/>
          <w:spacing w:val="25"/>
        </w:rPr>
        <w:t> </w:t>
      </w:r>
      <w:r>
        <w:rPr>
          <w:color w:val="231F20"/>
        </w:rPr>
        <w:t>shows</w:t>
      </w:r>
      <w:r>
        <w:rPr>
          <w:color w:val="231F20"/>
          <w:spacing w:val="25"/>
        </w:rPr>
        <w:t> </w:t>
      </w:r>
      <w:r>
        <w:rPr>
          <w:color w:val="231F20"/>
        </w:rPr>
        <w:t>a</w:t>
      </w:r>
      <w:r>
        <w:rPr>
          <w:color w:val="231F20"/>
          <w:spacing w:val="25"/>
        </w:rPr>
        <w:t> </w:t>
      </w:r>
      <w:r>
        <w:rPr>
          <w:color w:val="231F20"/>
        </w:rPr>
        <w:t>column</w:t>
      </w:r>
      <w:r>
        <w:rPr>
          <w:color w:val="231F20"/>
          <w:spacing w:val="25"/>
        </w:rPr>
        <w:t> </w:t>
      </w:r>
      <w:r>
        <w:rPr>
          <w:color w:val="231F20"/>
        </w:rPr>
        <w:t>for</w:t>
      </w:r>
      <w:r>
        <w:rPr>
          <w:color w:val="231F20"/>
          <w:spacing w:val="25"/>
        </w:rPr>
        <w:t> </w:t>
      </w:r>
      <w:r>
        <w:rPr>
          <w:color w:val="231F20"/>
        </w:rPr>
        <w:t>each</w:t>
      </w:r>
      <w:r>
        <w:rPr>
          <w:color w:val="231F20"/>
          <w:spacing w:val="25"/>
        </w:rPr>
        <w:t> </w:t>
      </w:r>
      <w:r>
        <w:rPr>
          <w:color w:val="231F20"/>
        </w:rPr>
        <w:t>attribute</w:t>
      </w:r>
      <w:r>
        <w:rPr>
          <w:color w:val="231F20"/>
          <w:spacing w:val="25"/>
        </w:rPr>
        <w:t> </w:t>
      </w:r>
      <w:r>
        <w:rPr>
          <w:color w:val="231F20"/>
        </w:rPr>
        <w:t>and</w:t>
      </w:r>
      <w:r>
        <w:rPr>
          <w:color w:val="231F20"/>
          <w:spacing w:val="25"/>
        </w:rPr>
        <w:t> </w:t>
      </w:r>
      <w:r>
        <w:rPr>
          <w:color w:val="231F20"/>
        </w:rPr>
        <w:t>one</w:t>
      </w:r>
      <w:r>
        <w:rPr>
          <w:color w:val="231F20"/>
          <w:spacing w:val="25"/>
        </w:rPr>
        <w:t> </w:t>
      </w:r>
      <w:r>
        <w:rPr>
          <w:color w:val="231F20"/>
        </w:rPr>
        <w:t>or</w:t>
      </w:r>
      <w:r>
        <w:rPr>
          <w:color w:val="231F20"/>
          <w:spacing w:val="25"/>
        </w:rPr>
        <w:t> </w:t>
      </w:r>
      <w:r>
        <w:rPr>
          <w:color w:val="231F20"/>
        </w:rPr>
        <w:t>more</w:t>
      </w:r>
      <w:r>
        <w:rPr>
          <w:color w:val="231F20"/>
          <w:spacing w:val="25"/>
        </w:rPr>
        <w:t> </w:t>
      </w:r>
      <w:r>
        <w:rPr>
          <w:color w:val="231F20"/>
        </w:rPr>
        <w:t>rows</w:t>
      </w:r>
      <w:r>
        <w:rPr>
          <w:color w:val="231F20"/>
          <w:spacing w:val="25"/>
        </w:rPr>
        <w:t> </w:t>
      </w:r>
      <w:r>
        <w:rPr>
          <w:color w:val="231F20"/>
        </w:rPr>
        <w:t>of data. You can also get table views to show data samplings over a period of time. The attribute group queried by the view must be either a historical attribute group or have been configured for historical data collection, in</w:t>
      </w:r>
    </w:p>
    <w:p>
      <w:pPr>
        <w:pStyle w:val="BodyText"/>
        <w:spacing w:line="213" w:lineRule="auto" w:before="77"/>
        <w:ind w:left="2951" w:right="1104"/>
      </w:pPr>
      <w:r>
        <w:rPr>
          <w:color w:val="231F20"/>
        </w:rPr>
        <w:t>which case you will see a</w:t>
      </w:r>
      <w:r>
        <w:rPr>
          <w:color w:val="231F20"/>
          <w:spacing w:val="24"/>
        </w:rPr>
        <w:t> </w:t>
      </w:r>
      <w:r>
        <w:rPr>
          <w:color w:val="231F20"/>
          <w:spacing w:val="-20"/>
          <w:position w:val="-1"/>
        </w:rPr>
        <w:drawing>
          <wp:inline distT="0" distB="0" distL="0" distR="0">
            <wp:extent cx="142875" cy="142875"/>
            <wp:effectExtent l="0" t="0" r="0" b="0"/>
            <wp:docPr id="900" name="Image 900"/>
            <wp:cNvGraphicFramePr>
              <a:graphicFrameLocks/>
            </wp:cNvGraphicFramePr>
            <a:graphic>
              <a:graphicData uri="http://schemas.openxmlformats.org/drawingml/2006/picture">
                <pic:pic>
                  <pic:nvPicPr>
                    <pic:cNvPr id="900" name="Image 900"/>
                    <pic:cNvPicPr/>
                  </pic:nvPicPr>
                  <pic:blipFill>
                    <a:blip r:embed="rId61" cstate="print"/>
                    <a:stretch>
                      <a:fillRect/>
                    </a:stretch>
                  </pic:blipFill>
                  <pic:spPr>
                    <a:xfrm>
                      <a:off x="0" y="0"/>
                      <a:ext cx="142875" cy="142875"/>
                    </a:xfrm>
                    <a:prstGeom prst="rect">
                      <a:avLst/>
                    </a:prstGeom>
                  </pic:spPr>
                </pic:pic>
              </a:graphicData>
            </a:graphic>
          </wp:inline>
        </w:drawing>
      </w:r>
      <w:r>
        <w:rPr>
          <w:color w:val="231F20"/>
          <w:spacing w:val="-20"/>
          <w:position w:val="-1"/>
        </w:rPr>
      </w:r>
      <w:r>
        <w:rPr>
          <w:rFonts w:ascii="Times New Roman"/>
          <w:color w:val="231F20"/>
          <w:spacing w:val="40"/>
        </w:rPr>
        <w:t> </w:t>
      </w:r>
      <w:r>
        <w:rPr>
          <w:color w:val="231F20"/>
        </w:rPr>
        <w:t>Time Span tool in the view toolbar </w:t>
      </w:r>
      <w:r>
        <w:rPr>
          <w:color w:val="231F20"/>
        </w:rPr>
        <w:t>for setting the time period.</w:t>
      </w:r>
    </w:p>
    <w:p>
      <w:pPr>
        <w:pStyle w:val="BodyText"/>
        <w:tabs>
          <w:tab w:pos="2961" w:val="left" w:leader="none"/>
        </w:tabs>
        <w:spacing w:line="213" w:lineRule="auto" w:before="119"/>
        <w:ind w:left="2951" w:right="545" w:hanging="719"/>
      </w:pPr>
      <w:r>
        <w:rPr>
          <w:rFonts w:ascii="Book Antiqua"/>
          <w:b/>
          <w:color w:val="231F20"/>
          <w:spacing w:val="-2"/>
        </w:rPr>
        <w:t>Chart</w:t>
      </w:r>
      <w:r>
        <w:rPr>
          <w:rFonts w:ascii="Book Antiqua"/>
          <w:b/>
          <w:color w:val="231F20"/>
        </w:rPr>
        <w:tab/>
        <w:tab/>
      </w:r>
      <w:r>
        <w:rPr>
          <w:rFonts w:ascii="Book Antiqua"/>
          <w:b/>
          <w:color w:val="231F20"/>
          <w:position w:val="-1"/>
        </w:rPr>
        <w:drawing>
          <wp:inline distT="0" distB="0" distL="0" distR="0">
            <wp:extent cx="95250" cy="95250"/>
            <wp:effectExtent l="0" t="0" r="0" b="0"/>
            <wp:docPr id="901" name="Image 901"/>
            <wp:cNvGraphicFramePr>
              <a:graphicFrameLocks/>
            </wp:cNvGraphicFramePr>
            <a:graphic>
              <a:graphicData uri="http://schemas.openxmlformats.org/drawingml/2006/picture">
                <pic:pic>
                  <pic:nvPicPr>
                    <pic:cNvPr id="901" name="Image 901"/>
                    <pic:cNvPicPr/>
                  </pic:nvPicPr>
                  <pic:blipFill>
                    <a:blip r:embed="rId43" cstate="print"/>
                    <a:stretch>
                      <a:fillRect/>
                    </a:stretch>
                  </pic:blipFill>
                  <pic:spPr>
                    <a:xfrm>
                      <a:off x="0" y="0"/>
                      <a:ext cx="95250" cy="95250"/>
                    </a:xfrm>
                    <a:prstGeom prst="rect">
                      <a:avLst/>
                    </a:prstGeom>
                  </pic:spPr>
                </pic:pic>
              </a:graphicData>
            </a:graphic>
          </wp:inline>
        </w:drawing>
      </w:r>
      <w:r>
        <w:rPr>
          <w:rFonts w:ascii="Book Antiqua"/>
          <w:b/>
          <w:color w:val="231F20"/>
          <w:position w:val="-1"/>
        </w:rPr>
      </w:r>
      <w:r>
        <w:rPr>
          <w:rFonts w:ascii="Times New Roman"/>
          <w:color w:val="231F20"/>
          <w:spacing w:val="40"/>
        </w:rPr>
        <w:t> </w:t>
      </w:r>
      <w:r>
        <w:rPr>
          <w:color w:val="231F20"/>
        </w:rPr>
        <w:t>A pie chart has a slice for every data point in a single data series (row).</w:t>
      </w:r>
      <w:r>
        <w:rPr>
          <w:color w:val="231F20"/>
          <w:spacing w:val="40"/>
        </w:rPr>
        <w:t> </w:t>
      </w:r>
      <w:r>
        <w:rPr>
          <w:color w:val="231F20"/>
        </w:rPr>
        <w:t>Pie charts best show the proportional value of related attributes to a </w:t>
      </w:r>
      <w:r>
        <w:rPr>
          <w:color w:val="231F20"/>
        </w:rPr>
        <w:t>whole, such as the percentage attributes that show how memory is being used.</w:t>
      </w:r>
    </w:p>
    <w:p>
      <w:pPr>
        <w:pStyle w:val="BodyText"/>
        <w:spacing w:line="213" w:lineRule="auto" w:before="117"/>
        <w:ind w:left="2951" w:right="456" w:firstLine="10"/>
        <w:jc w:val="both"/>
      </w:pPr>
      <w:r>
        <w:rPr>
          <w:position w:val="-1"/>
        </w:rPr>
        <w:drawing>
          <wp:inline distT="0" distB="0" distL="0" distR="0">
            <wp:extent cx="95250" cy="101600"/>
            <wp:effectExtent l="0" t="0" r="0" b="0"/>
            <wp:docPr id="902" name="Image 902"/>
            <wp:cNvGraphicFramePr>
              <a:graphicFrameLocks/>
            </wp:cNvGraphicFramePr>
            <a:graphic>
              <a:graphicData uri="http://schemas.openxmlformats.org/drawingml/2006/picture">
                <pic:pic>
                  <pic:nvPicPr>
                    <pic:cNvPr id="902" name="Image 902"/>
                    <pic:cNvPicPr/>
                  </pic:nvPicPr>
                  <pic:blipFill>
                    <a:blip r:embed="rId44"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A bar chart displays a bar for each data point. Bar charts are best </w:t>
      </w:r>
      <w:r>
        <w:rPr>
          <w:color w:val="231F20"/>
        </w:rPr>
        <w:t>suited for comparing values among related attributes. The stacking bar chart best shows multiple values for the same attribute.</w:t>
      </w:r>
    </w:p>
    <w:p>
      <w:pPr>
        <w:pStyle w:val="BodyText"/>
        <w:spacing w:line="213" w:lineRule="auto" w:before="118"/>
        <w:ind w:left="2951" w:right="636"/>
      </w:pPr>
      <w:r>
        <w:rPr>
          <w:position w:val="-1"/>
        </w:rPr>
        <w:drawing>
          <wp:inline distT="0" distB="0" distL="0" distR="0">
            <wp:extent cx="101600" cy="95249"/>
            <wp:effectExtent l="0" t="0" r="0" b="0"/>
            <wp:docPr id="903" name="Image 903"/>
            <wp:cNvGraphicFramePr>
              <a:graphicFrameLocks/>
            </wp:cNvGraphicFramePr>
            <a:graphic>
              <a:graphicData uri="http://schemas.openxmlformats.org/drawingml/2006/picture">
                <pic:pic>
                  <pic:nvPicPr>
                    <pic:cNvPr id="903" name="Image 903"/>
                    <pic:cNvPicPr/>
                  </pic:nvPicPr>
                  <pic:blipFill>
                    <a:blip r:embed="rId45" cstate="print"/>
                    <a:stretch>
                      <a:fillRect/>
                    </a:stretch>
                  </pic:blipFill>
                  <pic:spPr>
                    <a:xfrm>
                      <a:off x="0" y="0"/>
                      <a:ext cx="101600" cy="95249"/>
                    </a:xfrm>
                    <a:prstGeom prst="rect">
                      <a:avLst/>
                    </a:prstGeom>
                  </pic:spPr>
                </pic:pic>
              </a:graphicData>
            </a:graphic>
          </wp:inline>
        </w:drawing>
      </w:r>
      <w:r>
        <w:rPr>
          <w:position w:val="-1"/>
        </w:rPr>
      </w:r>
      <w:r>
        <w:rPr>
          <w:rFonts w:ascii="Times New Roman"/>
          <w:spacing w:val="40"/>
        </w:rPr>
        <w:t> </w:t>
      </w:r>
      <w:r>
        <w:rPr>
          <w:color w:val="231F20"/>
        </w:rPr>
        <w:t>A plot chart shows changes over a period of time by drawing a continuous line from one data point to the next, one data point for each data sampling and one line for each attribute selected. The plot chart </w:t>
      </w:r>
      <w:r>
        <w:rPr>
          <w:color w:val="231F20"/>
        </w:rPr>
        <w:t>best shows trends over time and among related attributes.</w:t>
      </w:r>
    </w:p>
    <w:p>
      <w:pPr>
        <w:pStyle w:val="BodyText"/>
        <w:spacing w:line="213" w:lineRule="auto" w:before="117"/>
        <w:ind w:left="2951" w:right="545"/>
      </w:pPr>
      <w:r>
        <w:rPr>
          <w:position w:val="-1"/>
        </w:rPr>
        <w:drawing>
          <wp:inline distT="0" distB="0" distL="0" distR="0">
            <wp:extent cx="101600" cy="95250"/>
            <wp:effectExtent l="0" t="0" r="0" b="0"/>
            <wp:docPr id="904" name="Image 904"/>
            <wp:cNvGraphicFramePr>
              <a:graphicFrameLocks/>
            </wp:cNvGraphicFramePr>
            <a:graphic>
              <a:graphicData uri="http://schemas.openxmlformats.org/drawingml/2006/picture">
                <pic:pic>
                  <pic:nvPicPr>
                    <pic:cNvPr id="904" name="Image 904"/>
                    <pic:cNvPicPr/>
                  </pic:nvPicPr>
                  <pic:blipFill>
                    <a:blip r:embed="rId46"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An area chart is almost identical to a plot chart except that the </w:t>
      </w:r>
      <w:r>
        <w:rPr>
          <w:color w:val="231F20"/>
        </w:rPr>
        <w:t>area between the axis and each plot line is filled with color or a pattern.</w:t>
      </w:r>
    </w:p>
    <w:p>
      <w:pPr>
        <w:pStyle w:val="BodyText"/>
        <w:spacing w:line="213" w:lineRule="auto" w:before="198"/>
        <w:ind w:left="2951" w:right="545" w:firstLine="15"/>
      </w:pPr>
      <w:r>
        <w:rPr>
          <w:position w:val="-1"/>
        </w:rPr>
        <w:drawing>
          <wp:inline distT="0" distB="0" distL="0" distR="0">
            <wp:extent cx="142875" cy="142875"/>
            <wp:effectExtent l="0" t="0" r="0" b="0"/>
            <wp:docPr id="905" name="Image 905"/>
            <wp:cNvGraphicFramePr>
              <a:graphicFrameLocks/>
            </wp:cNvGraphicFramePr>
            <a:graphic>
              <a:graphicData uri="http://schemas.openxmlformats.org/drawingml/2006/picture">
                <pic:pic>
                  <pic:nvPicPr>
                    <pic:cNvPr id="905" name="Image 905"/>
                    <pic:cNvPicPr/>
                  </pic:nvPicPr>
                  <pic:blipFill>
                    <a:blip r:embed="rId47"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40"/>
        </w:rPr>
        <w:t> </w:t>
      </w:r>
      <w:r>
        <w:rPr>
          <w:color w:val="231F20"/>
        </w:rPr>
        <w:t>A circular gauge chart shows the proportional amount of a data </w:t>
      </w:r>
      <w:r>
        <w:rPr>
          <w:color w:val="231F20"/>
        </w:rPr>
        <w:t>series, one gauge for each attribute chosen. This type of chart is well suited for showing individual elements that change frequently, such as percentage user time.</w:t>
      </w:r>
    </w:p>
    <w:p>
      <w:pPr>
        <w:pStyle w:val="BodyText"/>
        <w:spacing w:line="213" w:lineRule="auto" w:before="117"/>
        <w:ind w:left="2951" w:right="545"/>
      </w:pPr>
      <w:r>
        <w:rPr>
          <w:position w:val="-1"/>
        </w:rPr>
        <w:drawing>
          <wp:inline distT="0" distB="0" distL="0" distR="0">
            <wp:extent cx="101600" cy="101600"/>
            <wp:effectExtent l="0" t="0" r="0" b="0"/>
            <wp:docPr id="906" name="Image 906"/>
            <wp:cNvGraphicFramePr>
              <a:graphicFrameLocks/>
            </wp:cNvGraphicFramePr>
            <a:graphic>
              <a:graphicData uri="http://schemas.openxmlformats.org/drawingml/2006/picture">
                <pic:pic>
                  <pic:nvPicPr>
                    <pic:cNvPr id="906" name="Image 906"/>
                    <pic:cNvPicPr/>
                  </pic:nvPicPr>
                  <pic:blipFill>
                    <a:blip r:embed="rId48"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A linear gauge chart shows the collective value of every item in a </w:t>
      </w:r>
      <w:r>
        <w:rPr>
          <w:color w:val="231F20"/>
        </w:rPr>
        <w:t>single data series, one gauge for each attribute chosen. This type of chart is well suited for showing cumulative values.</w:t>
      </w:r>
    </w:p>
    <w:p>
      <w:pPr>
        <w:pStyle w:val="Heading6"/>
        <w:spacing w:line="240" w:lineRule="auto"/>
        <w:ind w:left="2232"/>
      </w:pPr>
      <w:r>
        <w:rPr>
          <w:color w:val="231F20"/>
          <w:spacing w:val="-2"/>
        </w:rPr>
        <w:t>Topology</w:t>
      </w:r>
    </w:p>
    <w:p>
      <w:pPr>
        <w:pStyle w:val="BodyText"/>
        <w:spacing w:line="211" w:lineRule="auto" w:before="8"/>
        <w:ind w:left="2951" w:right="636" w:firstLine="10"/>
      </w:pPr>
      <w:r>
        <w:rPr/>
        <w:drawing>
          <wp:inline distT="0" distB="0" distL="0" distR="0">
            <wp:extent cx="95250" cy="88900"/>
            <wp:effectExtent l="0" t="0" r="0" b="0"/>
            <wp:docPr id="907" name="Image 907"/>
            <wp:cNvGraphicFramePr>
              <a:graphicFrameLocks/>
            </wp:cNvGraphicFramePr>
            <a:graphic>
              <a:graphicData uri="http://schemas.openxmlformats.org/drawingml/2006/picture">
                <pic:pic>
                  <pic:nvPicPr>
                    <pic:cNvPr id="907" name="Image 907"/>
                    <pic:cNvPicPr/>
                  </pic:nvPicPr>
                  <pic:blipFill>
                    <a:blip r:embed="rId57" cstate="print"/>
                    <a:stretch>
                      <a:fillRect/>
                    </a:stretch>
                  </pic:blipFill>
                  <pic:spPr>
                    <a:xfrm>
                      <a:off x="0" y="0"/>
                      <a:ext cx="95250" cy="88900"/>
                    </a:xfrm>
                    <a:prstGeom prst="rect">
                      <a:avLst/>
                    </a:prstGeom>
                  </pic:spPr>
                </pic:pic>
              </a:graphicData>
            </a:graphic>
          </wp:inline>
        </w:drawing>
      </w:r>
      <w:r>
        <w:rPr/>
      </w:r>
      <w:r>
        <w:rPr>
          <w:rFonts w:ascii="Times New Roman"/>
          <w:spacing w:val="40"/>
          <w:position w:val="1"/>
        </w:rPr>
        <w:t> </w:t>
      </w:r>
      <w:r>
        <w:rPr>
          <w:color w:val="231F20"/>
          <w:position w:val="1"/>
        </w:rPr>
        <w:t>A Topology view shows the arrangement of monitored components </w:t>
      </w:r>
      <w:r>
        <w:rPr>
          <w:color w:val="231F20"/>
        </w:rPr>
        <w:t>associated with its Navigator item. It is considered a query-based view when it has been created as a relational table-based topology view, </w:t>
      </w:r>
      <w:r>
        <w:rPr>
          <w:color w:val="231F20"/>
        </w:rPr>
        <w:t>which is appropriate for attributes that can show the relationship to other </w:t>
      </w:r>
      <w:bookmarkStart w:name="Selecting a query for a view" w:id="152"/>
      <w:bookmarkEnd w:id="152"/>
      <w:r>
        <w:rPr>
          <w:color w:val="231F20"/>
        </w:rPr>
        <w:t>attributes</w:t>
      </w:r>
      <w:r>
        <w:rPr>
          <w:color w:val="231F20"/>
        </w:rPr>
        <w:t> in their group as connected objects.</w:t>
      </w:r>
    </w:p>
    <w:p>
      <w:pPr>
        <w:pStyle w:val="Heading3"/>
        <w:spacing w:before="220"/>
        <w:ind w:left="0" w:right="3751"/>
        <w:jc w:val="center"/>
      </w:pPr>
      <w:r>
        <w:rPr>
          <w:color w:val="231F20"/>
        </w:rPr>
        <w:t>Selecting</w:t>
      </w:r>
      <w:r>
        <w:rPr>
          <w:color w:val="231F20"/>
          <w:spacing w:val="9"/>
        </w:rPr>
        <w:t> </w:t>
      </w:r>
      <w:r>
        <w:rPr>
          <w:color w:val="231F20"/>
        </w:rPr>
        <w:t>a</w:t>
      </w:r>
      <w:r>
        <w:rPr>
          <w:color w:val="231F20"/>
          <w:spacing w:val="10"/>
        </w:rPr>
        <w:t> </w:t>
      </w:r>
      <w:r>
        <w:rPr>
          <w:color w:val="231F20"/>
        </w:rPr>
        <w:t>query</w:t>
      </w:r>
      <w:r>
        <w:rPr>
          <w:color w:val="231F20"/>
          <w:spacing w:val="9"/>
        </w:rPr>
        <w:t> </w:t>
      </w:r>
      <w:r>
        <w:rPr>
          <w:color w:val="231F20"/>
        </w:rPr>
        <w:t>for</w:t>
      </w:r>
      <w:r>
        <w:rPr>
          <w:color w:val="231F20"/>
          <w:spacing w:val="10"/>
        </w:rPr>
        <w:t> </w:t>
      </w:r>
      <w:r>
        <w:rPr>
          <w:color w:val="231F20"/>
        </w:rPr>
        <w:t>a</w:t>
      </w:r>
      <w:r>
        <w:rPr>
          <w:color w:val="231F20"/>
          <w:spacing w:val="10"/>
        </w:rPr>
        <w:t> </w:t>
      </w:r>
      <w:r>
        <w:rPr>
          <w:color w:val="231F20"/>
          <w:spacing w:val="-4"/>
        </w:rPr>
        <w:t>view</w:t>
      </w:r>
    </w:p>
    <w:p>
      <w:pPr>
        <w:pStyle w:val="BodyText"/>
        <w:spacing w:line="213" w:lineRule="auto" w:before="58"/>
        <w:ind w:left="2232" w:right="493"/>
      </w:pPr>
      <w:r>
        <w:rPr>
          <w:color w:val="231F20"/>
        </w:rPr>
        <w:t>Query-based views – chart, table or relational table-based topology – must have </w:t>
      </w:r>
      <w:r>
        <w:rPr>
          <w:color w:val="231F20"/>
        </w:rPr>
        <w:t>a query assigned to specify the data to retrieve.</w:t>
      </w:r>
    </w:p>
    <w:p>
      <w:pPr>
        <w:pStyle w:val="Heading4"/>
        <w:ind w:left="0" w:right="3730"/>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If you do not see the Queries tool, your user ID does not have View or Modify</w:t>
      </w:r>
      <w:r>
        <w:rPr>
          <w:color w:val="231F20"/>
          <w:spacing w:val="40"/>
        </w:rPr>
        <w:t> </w:t>
      </w:r>
      <w:r>
        <w:rPr>
          <w:color w:val="231F20"/>
        </w:rPr>
        <w:t>Query permissions. If you can see the tool but it is disabled, your user ID does not</w:t>
      </w:r>
      <w:r>
        <w:rPr>
          <w:color w:val="231F20"/>
          <w:spacing w:val="40"/>
        </w:rPr>
        <w:t> </w:t>
      </w:r>
      <w:r>
        <w:rPr>
          <w:color w:val="231F20"/>
        </w:rPr>
        <w:t>have Workspace Author Mode permission.</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If a newly created chart, table or relational table-based topology view has no query assigned to it, you must select one. If the view shows data, but you want to show</w:t>
      </w:r>
      <w:r>
        <w:rPr>
          <w:color w:val="231F20"/>
          <w:spacing w:val="40"/>
        </w:rPr>
        <w:t> </w:t>
      </w:r>
      <w:r>
        <w:rPr>
          <w:color w:val="231F20"/>
        </w:rPr>
        <w:t>different attributes, change the query.</w:t>
      </w:r>
    </w:p>
    <w:p>
      <w:pPr>
        <w:spacing w:after="0" w:line="213" w:lineRule="auto"/>
        <w:sectPr>
          <w:pgSz w:w="12240" w:h="15840"/>
          <w:pgMar w:header="0" w:footer="736" w:top="1180" w:bottom="920" w:left="1000" w:right="1060"/>
        </w:sectPr>
      </w:pPr>
    </w:p>
    <w:p>
      <w:pPr>
        <w:pStyle w:val="Heading4"/>
        <w:spacing w:before="86"/>
        <w:ind w:left="2472"/>
      </w:pPr>
      <w:r>
        <w:rPr>
          <w:color w:val="231F20"/>
          <w:spacing w:val="-2"/>
        </w:rPr>
        <w:t>Procedure</w:t>
      </w:r>
    </w:p>
    <w:p>
      <w:pPr>
        <w:pStyle w:val="ListParagraph"/>
        <w:numPr>
          <w:ilvl w:val="0"/>
          <w:numId w:val="49"/>
        </w:numPr>
        <w:tabs>
          <w:tab w:pos="2788" w:val="left" w:leader="none"/>
        </w:tabs>
        <w:spacing w:line="213" w:lineRule="auto" w:before="62" w:after="0"/>
        <w:ind w:left="2788" w:right="699" w:hanging="316"/>
        <w:jc w:val="left"/>
        <w:rPr>
          <w:sz w:val="20"/>
        </w:rPr>
      </w:pPr>
      <w:r>
        <w:rPr>
          <w:color w:val="231F20"/>
          <w:sz w:val="20"/>
        </w:rPr>
        <w:t>In the view title bar, click</w:t>
      </w:r>
      <w:r>
        <w:rPr>
          <w:color w:val="231F20"/>
          <w:spacing w:val="40"/>
          <w:sz w:val="20"/>
        </w:rPr>
        <w:t> </w:t>
      </w:r>
      <w:r>
        <w:rPr>
          <w:color w:val="231F20"/>
          <w:spacing w:val="5"/>
          <w:position w:val="1"/>
          <w:sz w:val="20"/>
        </w:rPr>
        <w:drawing>
          <wp:inline distT="0" distB="0" distL="0" distR="0">
            <wp:extent cx="57150" cy="57150"/>
            <wp:effectExtent l="0" t="0" r="0" b="0"/>
            <wp:docPr id="908" name="Image 908"/>
            <wp:cNvGraphicFramePr>
              <a:graphicFrameLocks/>
            </wp:cNvGraphicFramePr>
            <a:graphic>
              <a:graphicData uri="http://schemas.openxmlformats.org/drawingml/2006/picture">
                <pic:pic>
                  <pic:nvPicPr>
                    <pic:cNvPr id="908" name="Image 908"/>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80"/>
          <w:sz w:val="20"/>
        </w:rPr>
        <w:t> </w:t>
      </w:r>
      <w:r>
        <w:rPr>
          <w:rFonts w:ascii="Book Antiqua"/>
          <w:b/>
          <w:color w:val="231F20"/>
          <w:sz w:val="20"/>
        </w:rPr>
        <w:t>Edit properties</w:t>
      </w:r>
      <w:r>
        <w:rPr>
          <w:color w:val="231F20"/>
          <w:sz w:val="20"/>
        </w:rPr>
        <w:t>. The Properties editor for the workspace opens and displays the properties of the selected view.</w:t>
      </w:r>
    </w:p>
    <w:p>
      <w:pPr>
        <w:pStyle w:val="ListParagraph"/>
        <w:numPr>
          <w:ilvl w:val="0"/>
          <w:numId w:val="49"/>
        </w:numPr>
        <w:tabs>
          <w:tab w:pos="2788" w:val="left" w:leader="none"/>
        </w:tabs>
        <w:spacing w:line="213" w:lineRule="auto" w:before="59" w:after="0"/>
        <w:ind w:left="2788" w:right="757" w:hanging="316"/>
        <w:jc w:val="left"/>
        <w:rPr>
          <w:sz w:val="20"/>
        </w:rPr>
      </w:pPr>
      <w:r>
        <w:rPr>
          <w:color w:val="231F20"/>
          <w:sz w:val="20"/>
        </w:rPr>
        <w:t>In the </w:t>
      </w:r>
      <w:r>
        <w:rPr>
          <w:rFonts w:ascii="Book Antiqua"/>
          <w:b/>
          <w:color w:val="231F20"/>
          <w:sz w:val="20"/>
        </w:rPr>
        <w:t>Query </w:t>
      </w:r>
      <w:r>
        <w:rPr>
          <w:color w:val="231F20"/>
          <w:sz w:val="20"/>
        </w:rPr>
        <w:t>tab, click </w:t>
      </w:r>
      <w:r>
        <w:rPr>
          <w:color w:val="231F20"/>
          <w:spacing w:val="-25"/>
          <w:position w:val="-1"/>
          <w:sz w:val="20"/>
        </w:rPr>
        <w:drawing>
          <wp:inline distT="0" distB="0" distL="0" distR="0">
            <wp:extent cx="95250" cy="101600"/>
            <wp:effectExtent l="0" t="0" r="0" b="0"/>
            <wp:docPr id="909" name="Image 909"/>
            <wp:cNvGraphicFramePr>
              <a:graphicFrameLocks/>
            </wp:cNvGraphicFramePr>
            <a:graphic>
              <a:graphicData uri="http://schemas.openxmlformats.org/drawingml/2006/picture">
                <pic:pic>
                  <pic:nvPicPr>
                    <pic:cNvPr id="909" name="Image 90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9"/>
          <w:sz w:val="20"/>
        </w:rPr>
        <w:t> </w:t>
      </w:r>
      <w:r>
        <w:rPr>
          <w:rFonts w:ascii="Book Antiqua"/>
          <w:b/>
          <w:color w:val="231F20"/>
          <w:sz w:val="20"/>
        </w:rPr>
        <w:t>Click here to assign a query </w:t>
      </w:r>
      <w:r>
        <w:rPr>
          <w:color w:val="231F20"/>
          <w:sz w:val="20"/>
        </w:rPr>
        <w:t>to open the </w:t>
      </w:r>
      <w:r>
        <w:rPr>
          <w:color w:val="231F20"/>
          <w:sz w:val="20"/>
        </w:rPr>
        <w:t>Query editor. The Query editor shows a tree on the left organized by Tivoli monitoring product and then by attribute group.</w:t>
      </w:r>
    </w:p>
    <w:p>
      <w:pPr>
        <w:pStyle w:val="ListParagraph"/>
        <w:numPr>
          <w:ilvl w:val="0"/>
          <w:numId w:val="49"/>
        </w:numPr>
        <w:tabs>
          <w:tab w:pos="2788" w:val="left" w:leader="none"/>
        </w:tabs>
        <w:spacing w:line="213" w:lineRule="auto" w:before="57" w:after="0"/>
        <w:ind w:left="2788" w:right="424" w:hanging="316"/>
        <w:jc w:val="left"/>
        <w:rPr>
          <w:sz w:val="20"/>
        </w:rPr>
      </w:pPr>
      <w:r>
        <w:rPr>
          <w:color w:val="231F20"/>
          <w:sz w:val="20"/>
        </w:rPr>
        <w:t>Click</w:t>
      </w:r>
      <w:r>
        <w:rPr>
          <w:color w:val="231F20"/>
          <w:spacing w:val="40"/>
          <w:sz w:val="20"/>
        </w:rPr>
        <w:t> </w:t>
      </w:r>
      <w:r>
        <w:rPr>
          <w:color w:val="231F20"/>
          <w:spacing w:val="6"/>
          <w:sz w:val="20"/>
        </w:rPr>
        <w:drawing>
          <wp:inline distT="0" distB="0" distL="0" distR="0">
            <wp:extent cx="69850" cy="69850"/>
            <wp:effectExtent l="0" t="0" r="0" b="0"/>
            <wp:docPr id="910" name="Image 910"/>
            <wp:cNvGraphicFramePr>
              <a:graphicFrameLocks/>
            </wp:cNvGraphicFramePr>
            <a:graphic>
              <a:graphicData uri="http://schemas.openxmlformats.org/drawingml/2006/picture">
                <pic:pic>
                  <pic:nvPicPr>
                    <pic:cNvPr id="910" name="Image 910"/>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80"/>
          <w:sz w:val="20"/>
        </w:rPr>
        <w:t> </w:t>
      </w:r>
      <w:r>
        <w:rPr>
          <w:color w:val="231F20"/>
          <w:sz w:val="20"/>
        </w:rPr>
        <w:t>to expand the</w:t>
      </w:r>
      <w:r>
        <w:rPr>
          <w:color w:val="231F20"/>
          <w:spacing w:val="19"/>
          <w:sz w:val="20"/>
        </w:rPr>
        <w:t> </w:t>
      </w:r>
      <w:r>
        <w:rPr>
          <w:color w:val="231F20"/>
          <w:spacing w:val="-24"/>
          <w:position w:val="-1"/>
          <w:sz w:val="20"/>
        </w:rPr>
        <w:drawing>
          <wp:inline distT="0" distB="0" distL="0" distR="0">
            <wp:extent cx="95250" cy="95250"/>
            <wp:effectExtent l="0" t="0" r="0" b="0"/>
            <wp:docPr id="911" name="Image 911"/>
            <wp:cNvGraphicFramePr>
              <a:graphicFrameLocks/>
            </wp:cNvGraphicFramePr>
            <a:graphic>
              <a:graphicData uri="http://schemas.openxmlformats.org/drawingml/2006/picture">
                <pic:pic>
                  <pic:nvPicPr>
                    <pic:cNvPr id="911" name="Image 911"/>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6"/>
          <w:sz w:val="20"/>
        </w:rPr>
        <w:t> </w:t>
      </w:r>
      <w:r>
        <w:rPr>
          <w:color w:val="231F20"/>
          <w:sz w:val="20"/>
        </w:rPr>
        <w:t>Monitoring agents and</w:t>
      </w:r>
      <w:r>
        <w:rPr>
          <w:color w:val="231F20"/>
          <w:spacing w:val="18"/>
          <w:sz w:val="20"/>
        </w:rPr>
        <w:t> </w:t>
      </w:r>
      <w:r>
        <w:rPr>
          <w:color w:val="231F20"/>
          <w:spacing w:val="-25"/>
          <w:position w:val="-1"/>
          <w:sz w:val="20"/>
        </w:rPr>
        <w:drawing>
          <wp:inline distT="0" distB="0" distL="0" distR="0">
            <wp:extent cx="88900" cy="101600"/>
            <wp:effectExtent l="0" t="0" r="0" b="0"/>
            <wp:docPr id="912" name="Image 912"/>
            <wp:cNvGraphicFramePr>
              <a:graphicFrameLocks/>
            </wp:cNvGraphicFramePr>
            <a:graphic>
              <a:graphicData uri="http://schemas.openxmlformats.org/drawingml/2006/picture">
                <pic:pic>
                  <pic:nvPicPr>
                    <pic:cNvPr id="912" name="Image 91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26"/>
          <w:sz w:val="20"/>
        </w:rPr>
        <w:t> </w:t>
      </w:r>
      <w:r>
        <w:rPr>
          <w:color w:val="231F20"/>
          <w:sz w:val="20"/>
        </w:rPr>
        <w:t>attribute group folders </w:t>
      </w:r>
      <w:r>
        <w:rPr>
          <w:color w:val="231F20"/>
          <w:sz w:val="20"/>
        </w:rPr>
        <w:t>to see the queries.</w:t>
      </w:r>
    </w:p>
    <w:p>
      <w:pPr>
        <w:pStyle w:val="ListParagraph"/>
        <w:numPr>
          <w:ilvl w:val="0"/>
          <w:numId w:val="49"/>
        </w:numPr>
        <w:tabs>
          <w:tab w:pos="2786" w:val="left" w:leader="none"/>
          <w:tab w:pos="2788" w:val="left" w:leader="none"/>
        </w:tabs>
        <w:spacing w:line="213" w:lineRule="auto" w:before="59" w:after="0"/>
        <w:ind w:left="2788" w:right="220" w:hanging="317"/>
        <w:jc w:val="left"/>
        <w:rPr>
          <w:sz w:val="20"/>
        </w:rPr>
      </w:pPr>
      <w:r>
        <w:rPr>
          <w:color w:val="231F20"/>
          <w:sz w:val="20"/>
        </w:rPr>
        <w:t>Select</w:t>
      </w:r>
      <w:r>
        <w:rPr>
          <w:color w:val="231F20"/>
          <w:spacing w:val="27"/>
          <w:sz w:val="20"/>
        </w:rPr>
        <w:t> </w:t>
      </w:r>
      <w:r>
        <w:rPr>
          <w:color w:val="231F20"/>
          <w:sz w:val="20"/>
        </w:rPr>
        <w:t>a</w:t>
      </w:r>
      <w:r>
        <w:rPr>
          <w:color w:val="231F20"/>
          <w:spacing w:val="38"/>
          <w:sz w:val="20"/>
        </w:rPr>
        <w:t> </w:t>
      </w:r>
      <w:r>
        <w:rPr>
          <w:color w:val="231F20"/>
          <w:spacing w:val="-24"/>
          <w:position w:val="-1"/>
          <w:sz w:val="20"/>
        </w:rPr>
        <w:drawing>
          <wp:inline distT="0" distB="0" distL="0" distR="0">
            <wp:extent cx="95250" cy="101600"/>
            <wp:effectExtent l="0" t="0" r="0" b="0"/>
            <wp:docPr id="913" name="Image 913"/>
            <wp:cNvGraphicFramePr>
              <a:graphicFrameLocks/>
            </wp:cNvGraphicFramePr>
            <a:graphic>
              <a:graphicData uri="http://schemas.openxmlformats.org/drawingml/2006/picture">
                <pic:pic>
                  <pic:nvPicPr>
                    <pic:cNvPr id="913" name="Image 913"/>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35"/>
          <w:sz w:val="20"/>
        </w:rPr>
        <w:t> </w:t>
      </w:r>
      <w:r>
        <w:rPr>
          <w:color w:val="231F20"/>
          <w:sz w:val="20"/>
        </w:rPr>
        <w:t>Query</w:t>
      </w:r>
      <w:r>
        <w:rPr>
          <w:color w:val="231F20"/>
          <w:spacing w:val="27"/>
          <w:sz w:val="20"/>
        </w:rPr>
        <w:t> </w:t>
      </w:r>
      <w:r>
        <w:rPr>
          <w:color w:val="231F20"/>
          <w:sz w:val="20"/>
        </w:rPr>
        <w:t>title</w:t>
      </w:r>
      <w:r>
        <w:rPr>
          <w:color w:val="231F20"/>
          <w:spacing w:val="27"/>
          <w:sz w:val="20"/>
        </w:rPr>
        <w:t> </w:t>
      </w:r>
      <w:r>
        <w:rPr>
          <w:color w:val="231F20"/>
          <w:sz w:val="20"/>
        </w:rPr>
        <w:t>to</w:t>
      </w:r>
      <w:r>
        <w:rPr>
          <w:color w:val="231F20"/>
          <w:spacing w:val="27"/>
          <w:sz w:val="20"/>
        </w:rPr>
        <w:t> </w:t>
      </w:r>
      <w:r>
        <w:rPr>
          <w:color w:val="231F20"/>
          <w:sz w:val="20"/>
        </w:rPr>
        <w:t>see</w:t>
      </w:r>
      <w:r>
        <w:rPr>
          <w:color w:val="231F20"/>
          <w:spacing w:val="27"/>
          <w:sz w:val="20"/>
        </w:rPr>
        <w:t> </w:t>
      </w:r>
      <w:r>
        <w:rPr>
          <w:color w:val="231F20"/>
          <w:sz w:val="20"/>
        </w:rPr>
        <w:t>its</w:t>
      </w:r>
      <w:r>
        <w:rPr>
          <w:color w:val="231F20"/>
          <w:spacing w:val="27"/>
          <w:sz w:val="20"/>
        </w:rPr>
        <w:t> </w:t>
      </w:r>
      <w:r>
        <w:rPr>
          <w:color w:val="231F20"/>
          <w:sz w:val="20"/>
        </w:rPr>
        <w:t>description.</w:t>
      </w:r>
      <w:r>
        <w:rPr>
          <w:color w:val="231F20"/>
          <w:spacing w:val="27"/>
          <w:sz w:val="20"/>
        </w:rPr>
        <w:t> </w:t>
      </w:r>
      <w:r>
        <w:rPr>
          <w:color w:val="231F20"/>
          <w:sz w:val="20"/>
        </w:rPr>
        <w:t>The</w:t>
      </w:r>
      <w:r>
        <w:rPr>
          <w:color w:val="231F20"/>
          <w:spacing w:val="27"/>
          <w:sz w:val="20"/>
        </w:rPr>
        <w:t> </w:t>
      </w:r>
      <w:r>
        <w:rPr>
          <w:color w:val="231F20"/>
          <w:sz w:val="20"/>
        </w:rPr>
        <w:t>query</w:t>
      </w:r>
      <w:r>
        <w:rPr>
          <w:color w:val="231F20"/>
          <w:spacing w:val="27"/>
          <w:sz w:val="20"/>
        </w:rPr>
        <w:t> </w:t>
      </w:r>
      <w:r>
        <w:rPr>
          <w:color w:val="231F20"/>
          <w:sz w:val="20"/>
        </w:rPr>
        <w:t>description,</w:t>
      </w:r>
      <w:r>
        <w:rPr>
          <w:color w:val="231F20"/>
          <w:spacing w:val="27"/>
          <w:sz w:val="20"/>
        </w:rPr>
        <w:t> </w:t>
      </w:r>
      <w:r>
        <w:rPr>
          <w:color w:val="231F20"/>
          <w:sz w:val="20"/>
        </w:rPr>
        <w:t>edit</w:t>
      </w:r>
      <w:r>
        <w:rPr>
          <w:color w:val="231F20"/>
          <w:spacing w:val="27"/>
          <w:sz w:val="20"/>
        </w:rPr>
        <w:t> </w:t>
      </w:r>
      <w:r>
        <w:rPr>
          <w:color w:val="231F20"/>
          <w:sz w:val="20"/>
        </w:rPr>
        <w:t>date, and specification are displayed in the right frame. The selected options </w:t>
      </w:r>
      <w:r>
        <w:rPr>
          <w:color w:val="231F20"/>
          <w:sz w:val="20"/>
        </w:rPr>
        <w:t>indicate which attributes from the group are included in the query. The cells in the numbered rows show any filter criteria for the query.</w:t>
      </w:r>
    </w:p>
    <w:p>
      <w:pPr>
        <w:pStyle w:val="ListParagraph"/>
        <w:numPr>
          <w:ilvl w:val="0"/>
          <w:numId w:val="49"/>
        </w:numPr>
        <w:tabs>
          <w:tab w:pos="2788" w:val="left" w:leader="none"/>
        </w:tabs>
        <w:spacing w:line="213" w:lineRule="auto" w:before="57" w:after="0"/>
        <w:ind w:left="2788" w:right="372" w:hanging="316"/>
        <w:jc w:val="left"/>
        <w:rPr>
          <w:sz w:val="20"/>
        </w:rPr>
      </w:pPr>
      <w:r>
        <w:rPr>
          <w:color w:val="231F20"/>
          <w:sz w:val="20"/>
        </w:rPr>
        <w:t>Optional for Tivoli monitoring product queries: To apply the query to </w:t>
      </w:r>
      <w:r>
        <w:rPr>
          <w:color w:val="231F20"/>
          <w:sz w:val="20"/>
        </w:rPr>
        <w:t>specific managed systems rather than all managed systems of this type, do the </w:t>
      </w:r>
      <w:r>
        <w:rPr>
          <w:color w:val="231F20"/>
          <w:spacing w:val="-2"/>
          <w:sz w:val="20"/>
        </w:rPr>
        <w:t>following:</w:t>
      </w:r>
    </w:p>
    <w:p>
      <w:pPr>
        <w:pStyle w:val="ListParagraph"/>
        <w:numPr>
          <w:ilvl w:val="1"/>
          <w:numId w:val="49"/>
        </w:numPr>
        <w:tabs>
          <w:tab w:pos="3103" w:val="left" w:leader="none"/>
        </w:tabs>
        <w:spacing w:line="240" w:lineRule="auto" w:before="35" w:after="0"/>
        <w:ind w:left="3103" w:right="0" w:hanging="315"/>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b/>
          <w:color w:val="231F20"/>
          <w:sz w:val="20"/>
        </w:rPr>
        <w:t>Query</w:t>
      </w:r>
      <w:r>
        <w:rPr>
          <w:rFonts w:ascii="Book Antiqua"/>
          <w:b/>
          <w:color w:val="231F20"/>
          <w:spacing w:val="11"/>
          <w:sz w:val="20"/>
        </w:rPr>
        <w:t> </w:t>
      </w:r>
      <w:r>
        <w:rPr>
          <w:rFonts w:ascii="Book Antiqua"/>
          <w:b/>
          <w:color w:val="231F20"/>
          <w:sz w:val="20"/>
        </w:rPr>
        <w:t>Results</w:t>
      </w:r>
      <w:r>
        <w:rPr>
          <w:rFonts w:ascii="Book Antiqua"/>
          <w:b/>
          <w:color w:val="231F20"/>
          <w:spacing w:val="11"/>
          <w:sz w:val="20"/>
        </w:rPr>
        <w:t> </w:t>
      </w:r>
      <w:r>
        <w:rPr>
          <w:rFonts w:ascii="Book Antiqua"/>
          <w:b/>
          <w:color w:val="231F20"/>
          <w:sz w:val="20"/>
        </w:rPr>
        <w:t>Source</w:t>
      </w:r>
      <w:r>
        <w:rPr>
          <w:rFonts w:ascii="Book Antiqua"/>
          <w:b/>
          <w:color w:val="231F20"/>
          <w:spacing w:val="10"/>
          <w:sz w:val="20"/>
        </w:rPr>
        <w:t> </w:t>
      </w:r>
      <w:r>
        <w:rPr>
          <w:color w:val="231F20"/>
          <w:spacing w:val="-4"/>
          <w:sz w:val="20"/>
        </w:rPr>
        <w:t>tab.</w:t>
      </w:r>
    </w:p>
    <w:p>
      <w:pPr>
        <w:pStyle w:val="ListParagraph"/>
        <w:numPr>
          <w:ilvl w:val="1"/>
          <w:numId w:val="49"/>
        </w:numPr>
        <w:tabs>
          <w:tab w:pos="3103" w:val="left" w:leader="none"/>
        </w:tabs>
        <w:spacing w:line="240" w:lineRule="auto" w:before="34" w:after="0"/>
        <w:ind w:left="3103" w:right="0" w:hanging="315"/>
        <w:jc w:val="left"/>
        <w:rPr>
          <w:sz w:val="20"/>
        </w:rPr>
      </w:pPr>
      <w:r>
        <w:rPr>
          <w:color w:val="231F20"/>
          <w:sz w:val="20"/>
        </w:rPr>
        <w:t>Select</w:t>
      </w:r>
      <w:r>
        <w:rPr>
          <w:color w:val="231F20"/>
          <w:spacing w:val="12"/>
          <w:sz w:val="20"/>
        </w:rPr>
        <w:t> </w:t>
      </w:r>
      <w:r>
        <w:rPr>
          <w:color w:val="231F20"/>
          <w:spacing w:val="16"/>
          <w:sz w:val="20"/>
        </w:rPr>
        <w:drawing>
          <wp:inline distT="0" distB="0" distL="0" distR="0">
            <wp:extent cx="88900" cy="82549"/>
            <wp:effectExtent l="0" t="0" r="0" b="0"/>
            <wp:docPr id="914" name="Image 914"/>
            <wp:cNvGraphicFramePr>
              <a:graphicFrameLocks/>
            </wp:cNvGraphicFramePr>
            <a:graphic>
              <a:graphicData uri="http://schemas.openxmlformats.org/drawingml/2006/picture">
                <pic:pic>
                  <pic:nvPicPr>
                    <pic:cNvPr id="914" name="Image 914"/>
                    <pic:cNvPicPr/>
                  </pic:nvPicPr>
                  <pic:blipFill>
                    <a:blip r:embed="rId140" cstate="print"/>
                    <a:stretch>
                      <a:fillRect/>
                    </a:stretch>
                  </pic:blipFill>
                  <pic:spPr>
                    <a:xfrm>
                      <a:off x="0" y="0"/>
                      <a:ext cx="88900" cy="82549"/>
                    </a:xfrm>
                    <a:prstGeom prst="rect">
                      <a:avLst/>
                    </a:prstGeom>
                  </pic:spPr>
                </pic:pic>
              </a:graphicData>
            </a:graphic>
          </wp:inline>
        </w:drawing>
      </w:r>
      <w:r>
        <w:rPr>
          <w:color w:val="231F20"/>
          <w:spacing w:val="16"/>
          <w:sz w:val="20"/>
        </w:rPr>
      </w:r>
      <w:r>
        <w:rPr>
          <w:rFonts w:ascii="Times New Roman"/>
          <w:color w:val="231F20"/>
          <w:spacing w:val="45"/>
          <w:sz w:val="20"/>
        </w:rPr>
        <w:t> </w:t>
      </w:r>
      <w:r>
        <w:rPr>
          <w:rFonts w:ascii="Book Antiqua"/>
          <w:b/>
          <w:color w:val="231F20"/>
          <w:sz w:val="20"/>
        </w:rPr>
        <w:t>Let</w:t>
      </w:r>
      <w:r>
        <w:rPr>
          <w:rFonts w:ascii="Book Antiqua"/>
          <w:b/>
          <w:color w:val="231F20"/>
          <w:spacing w:val="13"/>
          <w:sz w:val="20"/>
        </w:rPr>
        <w:t> </w:t>
      </w:r>
      <w:r>
        <w:rPr>
          <w:rFonts w:ascii="Book Antiqua"/>
          <w:b/>
          <w:color w:val="231F20"/>
          <w:sz w:val="20"/>
        </w:rPr>
        <w:t>user</w:t>
      </w:r>
      <w:r>
        <w:rPr>
          <w:rFonts w:ascii="Book Antiqua"/>
          <w:b/>
          <w:color w:val="231F20"/>
          <w:spacing w:val="13"/>
          <w:sz w:val="20"/>
        </w:rPr>
        <w:t> </w:t>
      </w:r>
      <w:r>
        <w:rPr>
          <w:rFonts w:ascii="Book Antiqua"/>
          <w:b/>
          <w:color w:val="231F20"/>
          <w:sz w:val="20"/>
        </w:rPr>
        <w:t>assign</w:t>
      </w:r>
      <w:r>
        <w:rPr>
          <w:rFonts w:ascii="Book Antiqua"/>
          <w:b/>
          <w:color w:val="231F20"/>
          <w:spacing w:val="13"/>
          <w:sz w:val="20"/>
        </w:rPr>
        <w:t> </w:t>
      </w:r>
      <w:r>
        <w:rPr>
          <w:rFonts w:ascii="Book Antiqua"/>
          <w:b/>
          <w:color w:val="231F20"/>
          <w:spacing w:val="-2"/>
          <w:sz w:val="20"/>
        </w:rPr>
        <w:t>explicitly</w:t>
      </w:r>
      <w:r>
        <w:rPr>
          <w:color w:val="231F20"/>
          <w:spacing w:val="-2"/>
          <w:sz w:val="20"/>
        </w:rPr>
        <w:t>.</w:t>
      </w:r>
    </w:p>
    <w:p>
      <w:pPr>
        <w:pStyle w:val="ListParagraph"/>
        <w:numPr>
          <w:ilvl w:val="1"/>
          <w:numId w:val="49"/>
        </w:numPr>
        <w:tabs>
          <w:tab w:pos="3091" w:val="left" w:leader="none"/>
        </w:tabs>
        <w:spacing w:line="240" w:lineRule="auto" w:before="25" w:after="0"/>
        <w:ind w:left="3091" w:right="0" w:hanging="303"/>
        <w:jc w:val="left"/>
        <w:rPr>
          <w:sz w:val="20"/>
        </w:rPr>
      </w:pPr>
      <w:r>
        <w:rPr>
          <w:color w:val="231F20"/>
          <w:sz w:val="20"/>
        </w:rPr>
        <w:t>Remove</w:t>
      </w:r>
      <w:r>
        <w:rPr>
          <w:color w:val="231F20"/>
          <w:spacing w:val="11"/>
          <w:sz w:val="20"/>
        </w:rPr>
        <w:t> </w:t>
      </w:r>
      <w:r>
        <w:rPr>
          <w:color w:val="231F20"/>
          <w:sz w:val="20"/>
        </w:rPr>
        <w:t>from</w:t>
      </w:r>
      <w:r>
        <w:rPr>
          <w:color w:val="231F20"/>
          <w:spacing w:val="11"/>
          <w:sz w:val="20"/>
        </w:rPr>
        <w:t> </w:t>
      </w:r>
      <w:r>
        <w:rPr>
          <w:color w:val="231F20"/>
          <w:sz w:val="20"/>
        </w:rPr>
        <w:t>the</w:t>
      </w:r>
      <w:r>
        <w:rPr>
          <w:color w:val="231F20"/>
          <w:spacing w:val="5"/>
          <w:sz w:val="20"/>
        </w:rPr>
        <w:t> </w:t>
      </w:r>
      <w:r>
        <w:rPr>
          <w:color w:val="231F20"/>
          <w:sz w:val="20"/>
        </w:rPr>
        <w:t>Assigned</w:t>
      </w:r>
      <w:r>
        <w:rPr>
          <w:color w:val="231F20"/>
          <w:spacing w:val="12"/>
          <w:sz w:val="20"/>
        </w:rPr>
        <w:t> </w:t>
      </w:r>
      <w:r>
        <w:rPr>
          <w:color w:val="231F20"/>
          <w:sz w:val="20"/>
        </w:rPr>
        <w:t>list</w:t>
      </w:r>
      <w:r>
        <w:rPr>
          <w:color w:val="231F20"/>
          <w:spacing w:val="11"/>
          <w:sz w:val="20"/>
        </w:rPr>
        <w:t> </w:t>
      </w:r>
      <w:r>
        <w:rPr>
          <w:color w:val="231F20"/>
          <w:sz w:val="20"/>
        </w:rPr>
        <w:t>those</w:t>
      </w:r>
      <w:r>
        <w:rPr>
          <w:color w:val="231F20"/>
          <w:spacing w:val="12"/>
          <w:sz w:val="20"/>
        </w:rPr>
        <w:t> </w:t>
      </w:r>
      <w:r>
        <w:rPr>
          <w:color w:val="231F20"/>
          <w:sz w:val="20"/>
        </w:rPr>
        <w:t>systems</w:t>
      </w:r>
      <w:r>
        <w:rPr>
          <w:color w:val="231F20"/>
          <w:spacing w:val="11"/>
          <w:sz w:val="20"/>
        </w:rPr>
        <w:t> </w:t>
      </w:r>
      <w:r>
        <w:rPr>
          <w:color w:val="231F20"/>
          <w:sz w:val="20"/>
        </w:rPr>
        <w:t>you</w:t>
      </w:r>
      <w:r>
        <w:rPr>
          <w:color w:val="231F20"/>
          <w:spacing w:val="12"/>
          <w:sz w:val="20"/>
        </w:rPr>
        <w:t> </w:t>
      </w:r>
      <w:r>
        <w:rPr>
          <w:color w:val="231F20"/>
          <w:sz w:val="20"/>
        </w:rPr>
        <w:t>do</w:t>
      </w:r>
      <w:r>
        <w:rPr>
          <w:color w:val="231F20"/>
          <w:spacing w:val="11"/>
          <w:sz w:val="20"/>
        </w:rPr>
        <w:t> </w:t>
      </w:r>
      <w:r>
        <w:rPr>
          <w:color w:val="231F20"/>
          <w:sz w:val="20"/>
        </w:rPr>
        <w:t>not</w:t>
      </w:r>
      <w:r>
        <w:rPr>
          <w:color w:val="231F20"/>
          <w:spacing w:val="11"/>
          <w:sz w:val="20"/>
        </w:rPr>
        <w:t> </w:t>
      </w:r>
      <w:r>
        <w:rPr>
          <w:color w:val="231F20"/>
          <w:sz w:val="20"/>
        </w:rPr>
        <w:t>want</w:t>
      </w:r>
      <w:r>
        <w:rPr>
          <w:color w:val="231F20"/>
          <w:spacing w:val="12"/>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pacing w:val="-2"/>
          <w:sz w:val="20"/>
        </w:rPr>
        <w:t>view.</w:t>
      </w:r>
    </w:p>
    <w:p>
      <w:pPr>
        <w:pStyle w:val="ListParagraph"/>
        <w:numPr>
          <w:ilvl w:val="0"/>
          <w:numId w:val="49"/>
        </w:numPr>
        <w:tabs>
          <w:tab w:pos="2787" w:val="left" w:leader="none"/>
        </w:tabs>
        <w:spacing w:line="240" w:lineRule="auto" w:before="29" w:after="0"/>
        <w:ind w:left="2787" w:right="0" w:hanging="315"/>
        <w:jc w:val="left"/>
        <w:rPr>
          <w:sz w:val="20"/>
        </w:rPr>
      </w:pPr>
      <w:r>
        <w:rPr>
          <w:color w:val="231F20"/>
          <w:sz w:val="20"/>
        </w:rPr>
        <w:t>Click</w:t>
      </w:r>
      <w:r>
        <w:rPr>
          <w:color w:val="231F20"/>
          <w:spacing w:val="11"/>
          <w:sz w:val="20"/>
        </w:rPr>
        <w:t> </w:t>
      </w:r>
      <w:r>
        <w:rPr>
          <w:rFonts w:ascii="Book Antiqua"/>
          <w:b/>
          <w:color w:val="231F20"/>
          <w:sz w:val="20"/>
        </w:rPr>
        <w:t>OK</w:t>
      </w:r>
      <w:r>
        <w:rPr>
          <w:rFonts w:ascii="Book Antiqua"/>
          <w:b/>
          <w:color w:val="231F20"/>
          <w:spacing w:val="11"/>
          <w:sz w:val="20"/>
        </w:rPr>
        <w:t> </w:t>
      </w:r>
      <w:r>
        <w:rPr>
          <w:color w:val="231F20"/>
          <w:sz w:val="20"/>
        </w:rPr>
        <w:t>to</w:t>
      </w:r>
      <w:r>
        <w:rPr>
          <w:color w:val="231F20"/>
          <w:spacing w:val="11"/>
          <w:sz w:val="20"/>
        </w:rPr>
        <w:t> </w:t>
      </w:r>
      <w:r>
        <w:rPr>
          <w:color w:val="231F20"/>
          <w:sz w:val="20"/>
        </w:rPr>
        <w:t>select</w:t>
      </w:r>
      <w:r>
        <w:rPr>
          <w:color w:val="231F20"/>
          <w:spacing w:val="11"/>
          <w:sz w:val="20"/>
        </w:rPr>
        <w:t> </w:t>
      </w:r>
      <w:r>
        <w:rPr>
          <w:color w:val="231F20"/>
          <w:sz w:val="20"/>
        </w:rPr>
        <w:t>the</w:t>
      </w:r>
      <w:r>
        <w:rPr>
          <w:color w:val="231F20"/>
          <w:spacing w:val="11"/>
          <w:sz w:val="20"/>
        </w:rPr>
        <w:t> </w:t>
      </w:r>
      <w:r>
        <w:rPr>
          <w:color w:val="231F20"/>
          <w:sz w:val="20"/>
        </w:rPr>
        <w:t>query</w:t>
      </w:r>
      <w:r>
        <w:rPr>
          <w:color w:val="231F20"/>
          <w:spacing w:val="12"/>
          <w:sz w:val="20"/>
        </w:rPr>
        <w:t> </w:t>
      </w:r>
      <w:r>
        <w:rPr>
          <w:color w:val="231F20"/>
          <w:sz w:val="20"/>
        </w:rPr>
        <w:t>and</w:t>
      </w:r>
      <w:r>
        <w:rPr>
          <w:color w:val="231F20"/>
          <w:spacing w:val="11"/>
          <w:sz w:val="20"/>
        </w:rPr>
        <w:t> </w:t>
      </w:r>
      <w:r>
        <w:rPr>
          <w:color w:val="231F20"/>
          <w:sz w:val="20"/>
        </w:rPr>
        <w:t>return</w:t>
      </w:r>
      <w:r>
        <w:rPr>
          <w:color w:val="231F20"/>
          <w:spacing w:val="11"/>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Properties</w:t>
      </w:r>
      <w:r>
        <w:rPr>
          <w:color w:val="231F20"/>
          <w:spacing w:val="12"/>
          <w:sz w:val="20"/>
        </w:rPr>
        <w:t> </w:t>
      </w:r>
      <w:r>
        <w:rPr>
          <w:color w:val="231F20"/>
          <w:spacing w:val="-2"/>
          <w:sz w:val="20"/>
        </w:rPr>
        <w:t>editor.</w:t>
      </w:r>
    </w:p>
    <w:p>
      <w:pPr>
        <w:pStyle w:val="Heading4"/>
        <w:spacing w:before="194"/>
        <w:ind w:left="2472"/>
      </w:pPr>
      <w:r>
        <w:rPr>
          <w:color w:val="231F20"/>
          <w:spacing w:val="-2"/>
        </w:rPr>
        <w:t>Results</w:t>
      </w:r>
    </w:p>
    <w:p>
      <w:pPr>
        <w:pStyle w:val="BodyText"/>
        <w:spacing w:line="213" w:lineRule="auto" w:before="242"/>
        <w:ind w:left="2472" w:right="385"/>
      </w:pPr>
      <w:r>
        <w:rPr>
          <w:color w:val="231F20"/>
        </w:rPr>
        <w:t>The Description and Formula areas of the Query tab show the name, </w:t>
      </w:r>
      <w:r>
        <w:rPr>
          <w:color w:val="231F20"/>
        </w:rPr>
        <w:t>description, and formula of the query that you selected; the </w:t>
      </w:r>
      <w:r>
        <w:rPr>
          <w:rFonts w:ascii="Book Antiqua"/>
          <w:b/>
          <w:color w:val="231F20"/>
        </w:rPr>
        <w:t>Preview </w:t>
      </w:r>
      <w:r>
        <w:rPr>
          <w:color w:val="231F20"/>
        </w:rPr>
        <w:t>area shows how the rendered view will look when the query is applied.</w:t>
      </w:r>
    </w:p>
    <w:p>
      <w:pPr>
        <w:pStyle w:val="BodyText"/>
        <w:spacing w:line="213" w:lineRule="auto" w:before="237"/>
        <w:ind w:left="2472" w:right="545"/>
      </w:pPr>
      <w:r>
        <w:rPr>
          <w:rFonts w:ascii="Book Antiqua"/>
          <w:b/>
          <w:color w:val="231F20"/>
        </w:rPr>
        <w:t>Attention:</w:t>
      </w:r>
      <w:r>
        <w:rPr>
          <w:rFonts w:ascii="Book Antiqua"/>
          <w:b/>
          <w:color w:val="231F20"/>
          <w:spacing w:val="80"/>
          <w:w w:val="150"/>
        </w:rPr>
        <w:t> </w:t>
      </w:r>
      <w:r>
        <w:rPr>
          <w:color w:val="231F20"/>
        </w:rPr>
        <w:t>The </w:t>
      </w:r>
      <w:r>
        <w:rPr>
          <w:rFonts w:ascii="Book Antiqua"/>
          <w:b/>
          <w:color w:val="231F20"/>
        </w:rPr>
        <w:t>Preview </w:t>
      </w:r>
      <w:r>
        <w:rPr>
          <w:color w:val="231F20"/>
        </w:rPr>
        <w:t>area is showing a sample of what your view will look</w:t>
      </w:r>
      <w:r>
        <w:rPr>
          <w:color w:val="231F20"/>
          <w:spacing w:val="40"/>
        </w:rPr>
        <w:t> </w:t>
      </w:r>
      <w:r>
        <w:rPr>
          <w:color w:val="231F20"/>
        </w:rPr>
        <w:t>like in the associated workspace. This area is restricted by space constraints </w:t>
      </w:r>
      <w:r>
        <w:rPr>
          <w:color w:val="231F20"/>
        </w:rPr>
        <w:t>and some labels, identifiers, and other view-level adornments might be hidden, truncated, or partially rendered. Your view will be rendered correctly when applied to the associated workspace where space constraints are not a concern.</w:t>
      </w:r>
    </w:p>
    <w:p>
      <w:pPr>
        <w:pStyle w:val="Heading4"/>
        <w:spacing w:before="198"/>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333"/>
        <w:jc w:val="both"/>
      </w:pPr>
      <w:r>
        <w:rPr>
          <w:color w:val="231F20"/>
        </w:rPr>
        <w:t>Make any other adjustments to the view properties. After you click </w:t>
      </w:r>
      <w:r>
        <w:rPr>
          <w:rFonts w:ascii="Book Antiqua"/>
          <w:b/>
          <w:color w:val="231F20"/>
        </w:rPr>
        <w:t>Apply </w:t>
      </w:r>
      <w:r>
        <w:rPr>
          <w:color w:val="231F20"/>
        </w:rPr>
        <w:t>or </w:t>
      </w:r>
      <w:r>
        <w:rPr>
          <w:rFonts w:ascii="Book Antiqua"/>
          <w:b/>
          <w:color w:val="231F20"/>
        </w:rPr>
        <w:t>OK</w:t>
      </w:r>
      <w:r>
        <w:rPr>
          <w:rFonts w:ascii="Book Antiqua"/>
          <w:b/>
          <w:color w:val="231F20"/>
          <w:spacing w:val="40"/>
        </w:rPr>
        <w:t> </w:t>
      </w:r>
      <w:r>
        <w:rPr>
          <w:color w:val="231F20"/>
        </w:rPr>
        <w:t>in the Properties editor, the query is applied to the view and the results shown in the workspace.</w:t>
      </w:r>
    </w:p>
    <w:p>
      <w:pPr>
        <w:pStyle w:val="BodyText"/>
        <w:spacing w:line="213" w:lineRule="auto" w:before="238"/>
        <w:ind w:left="2472" w:right="493"/>
      </w:pPr>
      <w:r>
        <w:rPr>
          <w:color w:val="231F20"/>
        </w:rPr>
        <w:t>If you chose a custom SQL query and it includes a variable in the statement, you</w:t>
      </w:r>
      <w:r>
        <w:rPr>
          <w:color w:val="231F20"/>
          <w:spacing w:val="40"/>
        </w:rPr>
        <w:t> </w:t>
      </w:r>
      <w:r>
        <w:rPr>
          <w:color w:val="231F20"/>
        </w:rPr>
        <w:t>are prompted to enter a value after you click </w:t>
      </w:r>
      <w:r>
        <w:rPr>
          <w:rFonts w:ascii="Book Antiqua"/>
          <w:b/>
          <w:color w:val="231F20"/>
        </w:rPr>
        <w:t>Apply </w:t>
      </w:r>
      <w:r>
        <w:rPr>
          <w:color w:val="231F20"/>
        </w:rPr>
        <w:t>or </w:t>
      </w:r>
      <w:r>
        <w:rPr>
          <w:rFonts w:ascii="Book Antiqua"/>
          <w:b/>
          <w:color w:val="231F20"/>
        </w:rPr>
        <w:t>OK</w:t>
      </w:r>
      <w:r>
        <w:rPr>
          <w:color w:val="231F20"/>
        </w:rPr>
        <w:t>. The value filters the</w:t>
      </w:r>
      <w:r>
        <w:rPr>
          <w:color w:val="231F20"/>
          <w:spacing w:val="40"/>
        </w:rPr>
        <w:t> </w:t>
      </w:r>
      <w:r>
        <w:rPr>
          <w:color w:val="231F20"/>
        </w:rPr>
        <w:t>data that is displayed in the view, but is temporary and cannot be saved with </w:t>
      </w:r>
      <w:r>
        <w:rPr>
          <w:color w:val="231F20"/>
        </w:rPr>
        <w:t>the </w:t>
      </w:r>
      <w:r>
        <w:rPr>
          <w:color w:val="231F20"/>
          <w:spacing w:val="-2"/>
        </w:rPr>
        <w:t>workspace.</w:t>
      </w:r>
    </w:p>
    <w:p>
      <w:pPr>
        <w:pStyle w:val="BodyText"/>
        <w:spacing w:line="213" w:lineRule="auto" w:before="236"/>
        <w:ind w:left="2472" w:right="385"/>
      </w:pPr>
      <w:r>
        <w:rPr>
          <w:color w:val="231F20"/>
        </w:rPr>
        <w:t>Regardless of the managed systems assigned to a Navigator item, a gauge chart</w:t>
      </w:r>
      <w:r>
        <w:rPr>
          <w:color w:val="231F20"/>
          <w:spacing w:val="80"/>
        </w:rPr>
        <w:t> </w:t>
      </w:r>
      <w:r>
        <w:rPr>
          <w:color w:val="231F20"/>
        </w:rPr>
        <w:t>can show data from only one managed system. If you are using the query in a</w:t>
      </w:r>
      <w:r>
        <w:rPr>
          <w:color w:val="231F20"/>
          <w:spacing w:val="40"/>
        </w:rPr>
        <w:t> </w:t>
      </w:r>
      <w:r>
        <w:rPr>
          <w:color w:val="231F20"/>
        </w:rPr>
        <w:t>workspace where multiple managed systems are applicable (at the platform level</w:t>
      </w:r>
      <w:r>
        <w:rPr>
          <w:color w:val="231F20"/>
          <w:spacing w:val="40"/>
        </w:rPr>
        <w:t> </w:t>
      </w:r>
      <w:r>
        <w:rPr>
          <w:color w:val="231F20"/>
        </w:rPr>
        <w:t>of the Navigator Physical view), the data shown is from the first managed </w:t>
      </w:r>
      <w:r>
        <w:rPr>
          <w:color w:val="231F20"/>
        </w:rPr>
        <w:t>system</w:t>
      </w:r>
      <w:r>
        <w:rPr>
          <w:color w:val="231F20"/>
          <w:spacing w:val="40"/>
        </w:rPr>
        <w:t> </w:t>
      </w:r>
      <w:r>
        <w:rPr>
          <w:color w:val="231F20"/>
        </w:rPr>
        <w:t>in the Assigned list.</w:t>
      </w:r>
    </w:p>
    <w:p>
      <w:pPr>
        <w:pStyle w:val="BodyText"/>
        <w:spacing w:line="213" w:lineRule="auto" w:before="236"/>
        <w:ind w:left="2472" w:right="385"/>
      </w:pPr>
      <w:r>
        <w:rPr>
          <w:rFonts w:ascii="Book Antiqua"/>
          <w:b/>
          <w:color w:val="231F20"/>
        </w:rPr>
        <w:t>Note:</w:t>
      </w:r>
      <w:r>
        <w:rPr>
          <w:rFonts w:ascii="Book Antiqua"/>
          <w:b/>
          <w:color w:val="231F20"/>
          <w:spacing w:val="40"/>
        </w:rPr>
        <w:t> </w:t>
      </w:r>
      <w:r>
        <w:rPr>
          <w:color w:val="231F20"/>
        </w:rPr>
        <w:t>If</w:t>
      </w:r>
      <w:r>
        <w:rPr>
          <w:color w:val="231F20"/>
          <w:spacing w:val="24"/>
        </w:rPr>
        <w:t> </w:t>
      </w:r>
      <w:r>
        <w:rPr>
          <w:color w:val="231F20"/>
        </w:rPr>
        <w:t>you</w:t>
      </w:r>
      <w:r>
        <w:rPr>
          <w:color w:val="231F20"/>
          <w:spacing w:val="24"/>
        </w:rPr>
        <w:t> </w:t>
      </w:r>
      <w:r>
        <w:rPr>
          <w:color w:val="231F20"/>
        </w:rPr>
        <w:t>change</w:t>
      </w:r>
      <w:r>
        <w:rPr>
          <w:color w:val="231F20"/>
          <w:spacing w:val="24"/>
        </w:rPr>
        <w:t> </w:t>
      </w:r>
      <w:r>
        <w:rPr>
          <w:color w:val="231F20"/>
        </w:rPr>
        <w:t>the</w:t>
      </w:r>
      <w:r>
        <w:rPr>
          <w:color w:val="231F20"/>
          <w:spacing w:val="24"/>
        </w:rPr>
        <w:t> </w:t>
      </w:r>
      <w:r>
        <w:rPr>
          <w:color w:val="231F20"/>
        </w:rPr>
        <w:t>query</w:t>
      </w:r>
      <w:r>
        <w:rPr>
          <w:color w:val="231F20"/>
          <w:spacing w:val="24"/>
        </w:rPr>
        <w:t> </w:t>
      </w:r>
      <w:r>
        <w:rPr>
          <w:color w:val="231F20"/>
        </w:rPr>
        <w:t>for</w:t>
      </w:r>
      <w:r>
        <w:rPr>
          <w:color w:val="231F20"/>
          <w:spacing w:val="24"/>
        </w:rPr>
        <w:t> </w:t>
      </w:r>
      <w:r>
        <w:rPr>
          <w:color w:val="231F20"/>
        </w:rPr>
        <w:t>an</w:t>
      </w:r>
      <w:r>
        <w:rPr>
          <w:color w:val="231F20"/>
          <w:spacing w:val="24"/>
        </w:rPr>
        <w:t> </w:t>
      </w:r>
      <w:r>
        <w:rPr>
          <w:color w:val="231F20"/>
        </w:rPr>
        <w:t>existing</w:t>
      </w:r>
      <w:r>
        <w:rPr>
          <w:color w:val="231F20"/>
          <w:spacing w:val="24"/>
        </w:rPr>
        <w:t> </w:t>
      </w:r>
      <w:r>
        <w:rPr>
          <w:color w:val="231F20"/>
        </w:rPr>
        <w:t>chart</w:t>
      </w:r>
      <w:r>
        <w:rPr>
          <w:color w:val="231F20"/>
          <w:spacing w:val="24"/>
        </w:rPr>
        <w:t> </w:t>
      </w:r>
      <w:r>
        <w:rPr>
          <w:color w:val="231F20"/>
        </w:rPr>
        <w:t>or</w:t>
      </w:r>
      <w:r>
        <w:rPr>
          <w:color w:val="231F20"/>
          <w:spacing w:val="24"/>
        </w:rPr>
        <w:t> </w:t>
      </w:r>
      <w:r>
        <w:rPr>
          <w:color w:val="231F20"/>
        </w:rPr>
        <w:t>gauge</w:t>
      </w:r>
      <w:r>
        <w:rPr>
          <w:color w:val="231F20"/>
          <w:spacing w:val="24"/>
        </w:rPr>
        <w:t> </w:t>
      </w:r>
      <w:r>
        <w:rPr>
          <w:color w:val="231F20"/>
        </w:rPr>
        <w:t>view,</w:t>
      </w:r>
      <w:r>
        <w:rPr>
          <w:color w:val="231F20"/>
          <w:spacing w:val="24"/>
        </w:rPr>
        <w:t> </w:t>
      </w:r>
      <w:r>
        <w:rPr>
          <w:color w:val="231F20"/>
        </w:rPr>
        <w:t>you</w:t>
      </w:r>
      <w:r>
        <w:rPr>
          <w:color w:val="231F20"/>
          <w:spacing w:val="24"/>
        </w:rPr>
        <w:t> </w:t>
      </w:r>
      <w:r>
        <w:rPr>
          <w:color w:val="231F20"/>
        </w:rPr>
        <w:t>must ensure that you select which columns you want to chart using the </w:t>
      </w:r>
      <w:r>
        <w:rPr>
          <w:rFonts w:ascii="Book Antiqua"/>
          <w:b/>
          <w:color w:val="231F20"/>
        </w:rPr>
        <w:t>Filter </w:t>
      </w:r>
      <w:r>
        <w:rPr>
          <w:color w:val="231F20"/>
        </w:rPr>
        <w:t>tab in </w:t>
      </w:r>
      <w:r>
        <w:rPr>
          <w:color w:val="231F20"/>
        </w:rPr>
        <w:t>the</w:t>
      </w:r>
      <w:r>
        <w:rPr>
          <w:color w:val="231F20"/>
          <w:spacing w:val="40"/>
        </w:rPr>
        <w:t> </w:t>
      </w:r>
      <w:r>
        <w:rPr>
          <w:color w:val="231F20"/>
        </w:rPr>
        <w:t>view's </w:t>
      </w:r>
      <w:r>
        <w:rPr>
          <w:rFonts w:ascii="Book Antiqua"/>
          <w:b/>
          <w:color w:val="231F20"/>
        </w:rPr>
        <w:t>Properties </w:t>
      </w:r>
      <w:r>
        <w:rPr>
          <w:color w:val="231F20"/>
        </w:rPr>
        <w:t>dialog. By default, no columns are selected for charting.</w:t>
      </w:r>
    </w:p>
    <w:p>
      <w:pPr>
        <w:spacing w:after="0" w:line="213" w:lineRule="auto"/>
        <w:sectPr>
          <w:pgSz w:w="12240" w:h="15840"/>
          <w:pgMar w:header="0" w:footer="736" w:top="1140" w:bottom="920" w:left="1000" w:right="1060"/>
        </w:sectPr>
      </w:pPr>
    </w:p>
    <w:p>
      <w:pPr>
        <w:pStyle w:val="Heading3"/>
        <w:spacing w:before="84"/>
        <w:ind w:left="1334"/>
      </w:pPr>
      <w:bookmarkStart w:name="_bookmark67" w:id="153"/>
      <w:bookmarkEnd w:id="153"/>
      <w:r>
        <w:rPr>
          <w:b w:val="0"/>
        </w:rPr>
      </w:r>
      <w:bookmarkStart w:name="Filtering a query-based view" w:id="154"/>
      <w:bookmarkEnd w:id="154"/>
      <w:r>
        <w:rPr>
          <w:b w:val="0"/>
        </w:rPr>
      </w:r>
      <w:r>
        <w:rPr>
          <w:color w:val="231F20"/>
        </w:rPr>
        <w:t>Filtering</w:t>
      </w:r>
      <w:r>
        <w:rPr>
          <w:color w:val="231F20"/>
          <w:spacing w:val="5"/>
        </w:rPr>
        <w:t> </w:t>
      </w:r>
      <w:r>
        <w:rPr>
          <w:color w:val="231F20"/>
        </w:rPr>
        <w:t>a</w:t>
      </w:r>
      <w:r>
        <w:rPr>
          <w:color w:val="231F20"/>
          <w:spacing w:val="5"/>
        </w:rPr>
        <w:t> </w:t>
      </w:r>
      <w:r>
        <w:rPr>
          <w:color w:val="231F20"/>
        </w:rPr>
        <w:t>query-based</w:t>
      </w:r>
      <w:r>
        <w:rPr>
          <w:color w:val="231F20"/>
          <w:spacing w:val="5"/>
        </w:rPr>
        <w:t> </w:t>
      </w:r>
      <w:r>
        <w:rPr>
          <w:color w:val="231F20"/>
          <w:spacing w:val="-4"/>
        </w:rPr>
        <w:t>view</w:t>
      </w:r>
    </w:p>
    <w:p>
      <w:pPr>
        <w:pStyle w:val="BodyText"/>
        <w:spacing w:line="213" w:lineRule="auto" w:before="58"/>
        <w:ind w:left="2232" w:right="700"/>
      </w:pPr>
      <w:r>
        <w:rPr>
          <w:color w:val="231F20"/>
        </w:rPr>
        <w:t>You can filter the information displayed on the view to show specific </w:t>
      </w:r>
      <w:r>
        <w:rPr>
          <w:color w:val="231F20"/>
        </w:rPr>
        <w:t>attributes and rows of data.</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1" w:lineRule="auto" w:before="242"/>
        <w:ind w:left="2232" w:right="493"/>
      </w:pPr>
      <w:r>
        <w:rPr>
          <w:color w:val="231F20"/>
        </w:rPr>
        <w:t>Use</w:t>
      </w:r>
      <w:r>
        <w:rPr>
          <w:color w:val="231F20"/>
          <w:spacing w:val="25"/>
        </w:rPr>
        <w:t> </w:t>
      </w:r>
      <w:r>
        <w:rPr>
          <w:color w:val="231F20"/>
        </w:rPr>
        <w:t>the</w:t>
      </w:r>
      <w:r>
        <w:rPr>
          <w:color w:val="231F20"/>
          <w:spacing w:val="39"/>
        </w:rPr>
        <w:t> </w:t>
      </w:r>
      <w:r>
        <w:rPr>
          <w:color w:val="231F20"/>
          <w:spacing w:val="-22"/>
          <w:position w:val="-5"/>
        </w:rPr>
        <w:drawing>
          <wp:inline distT="0" distB="0" distL="0" distR="0">
            <wp:extent cx="119062" cy="127000"/>
            <wp:effectExtent l="0" t="0" r="0" b="0"/>
            <wp:docPr id="915" name="Image 915"/>
            <wp:cNvGraphicFramePr>
              <a:graphicFrameLocks/>
            </wp:cNvGraphicFramePr>
            <a:graphic>
              <a:graphicData uri="http://schemas.openxmlformats.org/drawingml/2006/picture">
                <pic:pic>
                  <pic:nvPicPr>
                    <pic:cNvPr id="915" name="Image 915"/>
                    <pic:cNvPicPr/>
                  </pic:nvPicPr>
                  <pic:blipFill>
                    <a:blip r:embed="rId88" cstate="print"/>
                    <a:stretch>
                      <a:fillRect/>
                    </a:stretch>
                  </pic:blipFill>
                  <pic:spPr>
                    <a:xfrm>
                      <a:off x="0" y="0"/>
                      <a:ext cx="119062" cy="127000"/>
                    </a:xfrm>
                    <a:prstGeom prst="rect">
                      <a:avLst/>
                    </a:prstGeom>
                  </pic:spPr>
                </pic:pic>
              </a:graphicData>
            </a:graphic>
          </wp:inline>
        </w:drawing>
      </w:r>
      <w:r>
        <w:rPr>
          <w:color w:val="231F20"/>
          <w:spacing w:val="-22"/>
          <w:position w:val="-5"/>
        </w:rPr>
      </w:r>
      <w:r>
        <w:rPr>
          <w:rFonts w:ascii="Times New Roman"/>
          <w:color w:val="231F20"/>
          <w:spacing w:val="80"/>
        </w:rPr>
        <w:t> </w:t>
      </w:r>
      <w:r>
        <w:rPr>
          <w:rFonts w:ascii="Book Antiqua"/>
          <w:b/>
          <w:color w:val="231F20"/>
        </w:rPr>
        <w:t>Filters</w:t>
      </w:r>
      <w:r>
        <w:rPr>
          <w:rFonts w:ascii="Book Antiqua"/>
          <w:b/>
          <w:color w:val="231F20"/>
          <w:spacing w:val="25"/>
        </w:rPr>
        <w:t> </w:t>
      </w:r>
      <w:r>
        <w:rPr>
          <w:color w:val="231F20"/>
        </w:rPr>
        <w:t>tab</w:t>
      </w:r>
      <w:r>
        <w:rPr>
          <w:color w:val="231F20"/>
          <w:spacing w:val="25"/>
        </w:rPr>
        <w:t> </w:t>
      </w:r>
      <w:r>
        <w:rPr>
          <w:color w:val="231F20"/>
        </w:rPr>
        <w:t>to</w:t>
      </w:r>
      <w:r>
        <w:rPr>
          <w:color w:val="231F20"/>
          <w:spacing w:val="25"/>
        </w:rPr>
        <w:t> </w:t>
      </w:r>
      <w:r>
        <w:rPr>
          <w:color w:val="231F20"/>
        </w:rPr>
        <w:t>control</w:t>
      </w:r>
      <w:r>
        <w:rPr>
          <w:color w:val="231F20"/>
          <w:spacing w:val="25"/>
        </w:rPr>
        <w:t> </w:t>
      </w:r>
      <w:r>
        <w:rPr>
          <w:color w:val="231F20"/>
        </w:rPr>
        <w:t>the</w:t>
      </w:r>
      <w:r>
        <w:rPr>
          <w:color w:val="231F20"/>
          <w:spacing w:val="25"/>
        </w:rPr>
        <w:t> </w:t>
      </w:r>
      <w:r>
        <w:rPr>
          <w:color w:val="231F20"/>
        </w:rPr>
        <w:t>display</w:t>
      </w:r>
      <w:r>
        <w:rPr>
          <w:color w:val="231F20"/>
          <w:spacing w:val="25"/>
        </w:rPr>
        <w:t> </w:t>
      </w:r>
      <w:r>
        <w:rPr>
          <w:color w:val="231F20"/>
        </w:rPr>
        <w:t>to</w:t>
      </w:r>
      <w:r>
        <w:rPr>
          <w:color w:val="231F20"/>
          <w:spacing w:val="25"/>
        </w:rPr>
        <w:t> </w:t>
      </w:r>
      <w:r>
        <w:rPr>
          <w:color w:val="231F20"/>
        </w:rPr>
        <w:t>show</w:t>
      </w:r>
      <w:r>
        <w:rPr>
          <w:color w:val="231F20"/>
          <w:spacing w:val="25"/>
        </w:rPr>
        <w:t> </w:t>
      </w:r>
      <w:r>
        <w:rPr>
          <w:color w:val="231F20"/>
        </w:rPr>
        <w:t>only</w:t>
      </w:r>
      <w:r>
        <w:rPr>
          <w:color w:val="231F20"/>
          <w:spacing w:val="25"/>
        </w:rPr>
        <w:t> </w:t>
      </w:r>
      <w:r>
        <w:rPr>
          <w:color w:val="231F20"/>
        </w:rPr>
        <w:t>those</w:t>
      </w:r>
      <w:r>
        <w:rPr>
          <w:color w:val="231F20"/>
          <w:spacing w:val="25"/>
        </w:rPr>
        <w:t> </w:t>
      </w:r>
      <w:r>
        <w:rPr>
          <w:color w:val="231F20"/>
        </w:rPr>
        <w:t>attributes</w:t>
      </w:r>
      <w:r>
        <w:rPr>
          <w:color w:val="231F20"/>
          <w:spacing w:val="25"/>
        </w:rPr>
        <w:t> </w:t>
      </w:r>
      <w:r>
        <w:rPr>
          <w:color w:val="231F20"/>
        </w:rPr>
        <w:t>and rows of data that are of interest to you. Using this method, you can easily see and</w:t>
      </w:r>
      <w:r>
        <w:rPr>
          <w:color w:val="231F20"/>
          <w:spacing w:val="40"/>
        </w:rPr>
        <w:t> </w:t>
      </w:r>
      <w:r>
        <w:rPr>
          <w:color w:val="231F20"/>
        </w:rPr>
        <w:t>compare the relevant information in a small viewing area.</w:t>
      </w:r>
    </w:p>
    <w:p>
      <w:pPr>
        <w:pStyle w:val="BodyText"/>
        <w:spacing w:line="213" w:lineRule="auto" w:before="240"/>
        <w:ind w:left="2232" w:right="545"/>
      </w:pPr>
      <w:r>
        <w:rPr>
          <w:color w:val="231F20"/>
        </w:rPr>
        <w:t>If you are filtering a view that returns so many rows that response time is compromised, consider using a query to apply a pre-filter that reduces the </w:t>
      </w:r>
      <w:r>
        <w:rPr>
          <w:color w:val="231F20"/>
        </w:rPr>
        <w:t>amount of data to retrieve.</w:t>
      </w:r>
    </w:p>
    <w:p>
      <w:pPr>
        <w:pStyle w:val="Heading4"/>
        <w:spacing w:before="199"/>
      </w:pPr>
      <w:r>
        <w:rPr>
          <w:color w:val="231F20"/>
          <w:spacing w:val="-2"/>
        </w:rPr>
        <w:t>Procedure</w:t>
      </w:r>
    </w:p>
    <w:p>
      <w:pPr>
        <w:pStyle w:val="ListParagraph"/>
        <w:numPr>
          <w:ilvl w:val="0"/>
          <w:numId w:val="50"/>
        </w:numPr>
        <w:tabs>
          <w:tab w:pos="2548" w:val="left" w:leader="none"/>
          <w:tab w:pos="2613" w:val="left" w:leader="none"/>
        </w:tabs>
        <w:spacing w:line="213" w:lineRule="auto" w:before="61" w:after="0"/>
        <w:ind w:left="2548" w:right="1136" w:hanging="316"/>
        <w:jc w:val="both"/>
        <w:rPr>
          <w:sz w:val="20"/>
        </w:rPr>
      </w:pPr>
      <w:r>
        <w:rPr>
          <w:color w:val="231F20"/>
          <w:sz w:val="20"/>
        </w:rPr>
        <w:tab/>
        <w:t>If the Properties editor is not open, right-click the table view and select Properties from the pop-up menu.</w:t>
      </w:r>
    </w:p>
    <w:p>
      <w:pPr>
        <w:pStyle w:val="ListParagraph"/>
        <w:numPr>
          <w:ilvl w:val="0"/>
          <w:numId w:val="50"/>
        </w:numPr>
        <w:tabs>
          <w:tab w:pos="2613" w:val="left" w:leader="none"/>
        </w:tabs>
        <w:spacing w:line="240" w:lineRule="auto" w:before="36" w:after="0"/>
        <w:ind w:left="2613" w:right="0" w:hanging="381"/>
        <w:jc w:val="both"/>
        <w:rPr>
          <w:sz w:val="20"/>
        </w:rPr>
      </w:pPr>
      <w:r>
        <w:rPr>
          <w:color w:val="231F20"/>
          <w:sz w:val="20"/>
        </w:rPr>
        <w:t>Click</w:t>
      </w:r>
      <w:r>
        <w:rPr>
          <w:color w:val="231F20"/>
          <w:spacing w:val="12"/>
          <w:sz w:val="20"/>
        </w:rPr>
        <w:t> </w:t>
      </w:r>
      <w:r>
        <w:rPr>
          <w:color w:val="231F20"/>
          <w:sz w:val="20"/>
        </w:rPr>
        <w:t>the</w:t>
      </w:r>
      <w:r>
        <w:rPr>
          <w:color w:val="231F20"/>
          <w:spacing w:val="25"/>
          <w:sz w:val="20"/>
        </w:rPr>
        <w:t> </w:t>
      </w:r>
      <w:r>
        <w:rPr>
          <w:color w:val="231F20"/>
          <w:spacing w:val="-22"/>
          <w:position w:val="-5"/>
          <w:sz w:val="20"/>
        </w:rPr>
        <w:drawing>
          <wp:inline distT="0" distB="0" distL="0" distR="0">
            <wp:extent cx="119062" cy="127000"/>
            <wp:effectExtent l="0" t="0" r="0" b="0"/>
            <wp:docPr id="916" name="Image 916"/>
            <wp:cNvGraphicFramePr>
              <a:graphicFrameLocks/>
            </wp:cNvGraphicFramePr>
            <a:graphic>
              <a:graphicData uri="http://schemas.openxmlformats.org/drawingml/2006/picture">
                <pic:pic>
                  <pic:nvPicPr>
                    <pic:cNvPr id="916" name="Image 916"/>
                    <pic:cNvPicPr/>
                  </pic:nvPicPr>
                  <pic:blipFill>
                    <a:blip r:embed="rId88" cstate="print"/>
                    <a:stretch>
                      <a:fillRect/>
                    </a:stretch>
                  </pic:blipFill>
                  <pic:spPr>
                    <a:xfrm>
                      <a:off x="0" y="0"/>
                      <a:ext cx="119062" cy="127000"/>
                    </a:xfrm>
                    <a:prstGeom prst="rect">
                      <a:avLst/>
                    </a:prstGeom>
                  </pic:spPr>
                </pic:pic>
              </a:graphicData>
            </a:graphic>
          </wp:inline>
        </w:drawing>
      </w:r>
      <w:r>
        <w:rPr>
          <w:color w:val="231F20"/>
          <w:spacing w:val="-22"/>
          <w:position w:val="-5"/>
          <w:sz w:val="20"/>
        </w:rPr>
      </w:r>
      <w:r>
        <w:rPr>
          <w:rFonts w:ascii="Times New Roman"/>
          <w:color w:val="231F20"/>
          <w:spacing w:val="17"/>
          <w:sz w:val="20"/>
        </w:rPr>
        <w:t> </w:t>
      </w:r>
      <w:r>
        <w:rPr>
          <w:rFonts w:ascii="Book Antiqua"/>
          <w:b/>
          <w:color w:val="231F20"/>
          <w:sz w:val="20"/>
        </w:rPr>
        <w:t>Filters</w:t>
      </w:r>
      <w:r>
        <w:rPr>
          <w:rFonts w:ascii="Book Antiqua"/>
          <w:b/>
          <w:color w:val="231F20"/>
          <w:spacing w:val="13"/>
          <w:sz w:val="20"/>
        </w:rPr>
        <w:t> </w:t>
      </w:r>
      <w:r>
        <w:rPr>
          <w:color w:val="231F20"/>
          <w:spacing w:val="-4"/>
          <w:sz w:val="20"/>
        </w:rPr>
        <w:t>tab.</w:t>
      </w:r>
    </w:p>
    <w:p>
      <w:pPr>
        <w:pStyle w:val="ListParagraph"/>
        <w:numPr>
          <w:ilvl w:val="0"/>
          <w:numId w:val="50"/>
        </w:numPr>
        <w:tabs>
          <w:tab w:pos="2548" w:val="left" w:leader="none"/>
        </w:tabs>
        <w:spacing w:line="213" w:lineRule="auto" w:before="47" w:after="0"/>
        <w:ind w:left="2548" w:right="535" w:hanging="316"/>
        <w:jc w:val="both"/>
        <w:rPr>
          <w:sz w:val="20"/>
        </w:rPr>
      </w:pPr>
      <w:r>
        <w:rPr>
          <w:color w:val="231F20"/>
          <w:sz w:val="20"/>
        </w:rPr>
        <w:t>Select a </w:t>
      </w:r>
      <w:r>
        <w:rPr>
          <w:color w:val="231F20"/>
          <w:spacing w:val="16"/>
          <w:position w:val="-3"/>
          <w:sz w:val="20"/>
        </w:rPr>
        <w:drawing>
          <wp:inline distT="0" distB="0" distL="0" distR="0">
            <wp:extent cx="106135" cy="106135"/>
            <wp:effectExtent l="0" t="0" r="0" b="0"/>
            <wp:docPr id="917" name="Image 917"/>
            <wp:cNvGraphicFramePr>
              <a:graphicFrameLocks/>
            </wp:cNvGraphicFramePr>
            <a:graphic>
              <a:graphicData uri="http://schemas.openxmlformats.org/drawingml/2006/picture">
                <pic:pic>
                  <pic:nvPicPr>
                    <pic:cNvPr id="917" name="Image 917"/>
                    <pic:cNvPicPr/>
                  </pic:nvPicPr>
                  <pic:blipFill>
                    <a:blip r:embed="rId87" cstate="print"/>
                    <a:stretch>
                      <a:fillRect/>
                    </a:stretch>
                  </pic:blipFill>
                  <pic:spPr>
                    <a:xfrm>
                      <a:off x="0" y="0"/>
                      <a:ext cx="106135" cy="106135"/>
                    </a:xfrm>
                    <a:prstGeom prst="rect">
                      <a:avLst/>
                    </a:prstGeom>
                  </pic:spPr>
                </pic:pic>
              </a:graphicData>
            </a:graphic>
          </wp:inline>
        </w:drawing>
      </w:r>
      <w:r>
        <w:rPr>
          <w:color w:val="231F20"/>
          <w:spacing w:val="16"/>
          <w:position w:val="-3"/>
          <w:sz w:val="20"/>
        </w:rPr>
      </w:r>
      <w:r>
        <w:rPr>
          <w:rFonts w:ascii="Times New Roman"/>
          <w:color w:val="231F20"/>
          <w:spacing w:val="16"/>
          <w:sz w:val="20"/>
        </w:rPr>
        <w:t> </w:t>
      </w:r>
      <w:r>
        <w:rPr>
          <w:color w:val="231F20"/>
          <w:sz w:val="20"/>
        </w:rPr>
        <w:t>check box beneath a column heading to include the attribute in the view; clear a </w:t>
      </w:r>
      <w:r>
        <w:rPr>
          <w:color w:val="231F20"/>
          <w:spacing w:val="16"/>
          <w:position w:val="-3"/>
          <w:sz w:val="20"/>
        </w:rPr>
        <w:drawing>
          <wp:inline distT="0" distB="0" distL="0" distR="0">
            <wp:extent cx="106135" cy="106135"/>
            <wp:effectExtent l="0" t="0" r="0" b="0"/>
            <wp:docPr id="918" name="Image 918"/>
            <wp:cNvGraphicFramePr>
              <a:graphicFrameLocks/>
            </wp:cNvGraphicFramePr>
            <a:graphic>
              <a:graphicData uri="http://schemas.openxmlformats.org/drawingml/2006/picture">
                <pic:pic>
                  <pic:nvPicPr>
                    <pic:cNvPr id="918" name="Image 918"/>
                    <pic:cNvPicPr/>
                  </pic:nvPicPr>
                  <pic:blipFill>
                    <a:blip r:embed="rId120" cstate="print"/>
                    <a:stretch>
                      <a:fillRect/>
                    </a:stretch>
                  </pic:blipFill>
                  <pic:spPr>
                    <a:xfrm>
                      <a:off x="0" y="0"/>
                      <a:ext cx="106135" cy="106135"/>
                    </a:xfrm>
                    <a:prstGeom prst="rect">
                      <a:avLst/>
                    </a:prstGeom>
                  </pic:spPr>
                </pic:pic>
              </a:graphicData>
            </a:graphic>
          </wp:inline>
        </w:drawing>
      </w:r>
      <w:r>
        <w:rPr>
          <w:color w:val="231F20"/>
          <w:spacing w:val="16"/>
          <w:position w:val="-3"/>
          <w:sz w:val="20"/>
        </w:rPr>
      </w:r>
      <w:r>
        <w:rPr>
          <w:rFonts w:ascii="Times New Roman"/>
          <w:color w:val="231F20"/>
          <w:spacing w:val="40"/>
          <w:sz w:val="20"/>
        </w:rPr>
        <w:t> </w:t>
      </w:r>
      <w:r>
        <w:rPr>
          <w:color w:val="231F20"/>
          <w:sz w:val="20"/>
        </w:rPr>
        <w:t>check box to exclude it. If you clear a check box, you can still add a filter expression for that attribute (next step).</w:t>
      </w:r>
    </w:p>
    <w:p>
      <w:pPr>
        <w:pStyle w:val="ListParagraph"/>
        <w:numPr>
          <w:ilvl w:val="0"/>
          <w:numId w:val="50"/>
        </w:numPr>
        <w:tabs>
          <w:tab w:pos="2548" w:val="left" w:leader="none"/>
        </w:tabs>
        <w:spacing w:line="213" w:lineRule="auto" w:before="58" w:after="0"/>
        <w:ind w:left="2548" w:right="1057" w:hanging="316"/>
        <w:jc w:val="both"/>
        <w:rPr>
          <w:sz w:val="20"/>
        </w:rPr>
      </w:pPr>
      <w:r>
        <w:rPr>
          <w:color w:val="231F20"/>
          <w:sz w:val="20"/>
        </w:rPr>
        <w:t>If the attributes report multiple rows of data and you want to limit what displays, enter a filter expression:</w:t>
      </w:r>
    </w:p>
    <w:p>
      <w:pPr>
        <w:pStyle w:val="BodyText"/>
        <w:spacing w:line="213" w:lineRule="auto" w:before="59"/>
        <w:ind w:left="2764" w:right="839" w:hanging="216"/>
        <w:jc w:val="both"/>
      </w:pPr>
      <w:r>
        <w:rPr>
          <w:rFonts w:ascii="Futura MdCn BT"/>
          <w:color w:val="231F20"/>
        </w:rPr>
        <w:t>v</w:t>
      </w:r>
      <w:r>
        <w:rPr>
          <w:rFonts w:ascii="Futura MdCn BT"/>
          <w:color w:val="231F20"/>
          <w:spacing w:val="80"/>
        </w:rPr>
        <w:t> </w:t>
      </w:r>
      <w:r>
        <w:rPr>
          <w:color w:val="231F20"/>
        </w:rPr>
        <w:t>Click a cell under a column to activate the editor and formula bar. Then click inside one of the fields to:</w:t>
      </w:r>
    </w:p>
    <w:p>
      <w:pPr>
        <w:spacing w:line="213" w:lineRule="auto" w:before="58"/>
        <w:ind w:left="2764" w:right="0" w:firstLine="0"/>
        <w:jc w:val="left"/>
        <w:rPr>
          <w:sz w:val="20"/>
        </w:rPr>
      </w:pPr>
      <w:r>
        <w:rPr>
          <w:position w:val="-1"/>
        </w:rPr>
        <w:drawing>
          <wp:inline distT="0" distB="0" distL="0" distR="0">
            <wp:extent cx="152400" cy="101600"/>
            <wp:effectExtent l="0" t="0" r="0" b="0"/>
            <wp:docPr id="919" name="Image 919"/>
            <wp:cNvGraphicFramePr>
              <a:graphicFrameLocks/>
            </wp:cNvGraphicFramePr>
            <a:graphic>
              <a:graphicData uri="http://schemas.openxmlformats.org/drawingml/2006/picture">
                <pic:pic>
                  <pic:nvPicPr>
                    <pic:cNvPr id="919" name="Image 919"/>
                    <pic:cNvPicPr/>
                  </pic:nvPicPr>
                  <pic:blipFill>
                    <a:blip r:embed="rId191" cstate="print"/>
                    <a:stretch>
                      <a:fillRect/>
                    </a:stretch>
                  </pic:blipFill>
                  <pic:spPr>
                    <a:xfrm>
                      <a:off x="0" y="0"/>
                      <a:ext cx="152400" cy="101600"/>
                    </a:xfrm>
                    <a:prstGeom prst="rect">
                      <a:avLst/>
                    </a:prstGeom>
                  </pic:spPr>
                </pic:pic>
              </a:graphicData>
            </a:graphic>
          </wp:inline>
        </w:drawing>
      </w:r>
      <w:r>
        <w:rPr>
          <w:position w:val="-1"/>
        </w:rPr>
      </w:r>
      <w:r>
        <w:rPr>
          <w:rFonts w:ascii="Times New Roman"/>
          <w:spacing w:val="40"/>
          <w:sz w:val="20"/>
        </w:rPr>
        <w:t> </w:t>
      </w:r>
      <w:r>
        <w:rPr>
          <w:color w:val="231F20"/>
          <w:sz w:val="20"/>
        </w:rPr>
        <w:t>change the function from the default </w:t>
      </w:r>
      <w:r>
        <w:rPr>
          <w:rFonts w:ascii="Book Antiqua"/>
          <w:b/>
          <w:color w:val="231F20"/>
          <w:sz w:val="20"/>
        </w:rPr>
        <w:t>Value of expression </w:t>
      </w:r>
      <w:r>
        <w:rPr>
          <w:color w:val="231F20"/>
          <w:sz w:val="20"/>
        </w:rPr>
        <w:t>(or </w:t>
      </w:r>
      <w:r>
        <w:rPr>
          <w:rFonts w:ascii="Book Antiqua"/>
          <w:b/>
          <w:color w:val="231F20"/>
          <w:sz w:val="20"/>
        </w:rPr>
        <w:t>Compare date/time </w:t>
      </w:r>
      <w:r>
        <w:rPr>
          <w:color w:val="231F20"/>
          <w:sz w:val="20"/>
        </w:rPr>
        <w:t>for time attributes) to another function.</w:t>
      </w:r>
    </w:p>
    <w:p>
      <w:pPr>
        <w:pStyle w:val="BodyText"/>
        <w:spacing w:line="208" w:lineRule="auto" w:before="62"/>
        <w:ind w:left="2764" w:right="636" w:firstLine="10"/>
      </w:pPr>
      <w:r>
        <w:rPr>
          <w:position w:val="-5"/>
        </w:rPr>
        <w:drawing>
          <wp:inline distT="0" distB="0" distL="0" distR="0">
            <wp:extent cx="114300" cy="114300"/>
            <wp:effectExtent l="0" t="0" r="0" b="0"/>
            <wp:docPr id="920" name="Image 920"/>
            <wp:cNvGraphicFramePr>
              <a:graphicFrameLocks/>
            </wp:cNvGraphicFramePr>
            <a:graphic>
              <a:graphicData uri="http://schemas.openxmlformats.org/drawingml/2006/picture">
                <pic:pic>
                  <pic:nvPicPr>
                    <pic:cNvPr id="920" name="Image 920"/>
                    <pic:cNvPicPr/>
                  </pic:nvPicPr>
                  <pic:blipFill>
                    <a:blip r:embed="rId124" cstate="print"/>
                    <a:stretch>
                      <a:fillRect/>
                    </a:stretch>
                  </pic:blipFill>
                  <pic:spPr>
                    <a:xfrm>
                      <a:off x="0" y="0"/>
                      <a:ext cx="114300" cy="114300"/>
                    </a:xfrm>
                    <a:prstGeom prst="rect">
                      <a:avLst/>
                    </a:prstGeom>
                  </pic:spPr>
                </pic:pic>
              </a:graphicData>
            </a:graphic>
          </wp:inline>
        </w:drawing>
      </w:r>
      <w:r>
        <w:rPr>
          <w:position w:val="-5"/>
        </w:rPr>
      </w:r>
      <w:r>
        <w:rPr>
          <w:rFonts w:ascii="Times New Roman"/>
          <w:spacing w:val="40"/>
        </w:rPr>
        <w:t> </w:t>
      </w:r>
      <w:r>
        <w:rPr>
          <w:color w:val="231F20"/>
        </w:rPr>
        <w:t>change the relational operator from the default Equal to Not </w:t>
      </w:r>
      <w:r>
        <w:rPr>
          <w:color w:val="231F20"/>
        </w:rPr>
        <w:t>equal, Greater than, Greater than or equal, Less than, or Less than or equal.</w:t>
      </w:r>
    </w:p>
    <w:p>
      <w:pPr>
        <w:pStyle w:val="BodyText"/>
        <w:spacing w:line="211" w:lineRule="auto" w:before="68"/>
        <w:ind w:left="2764" w:right="636"/>
      </w:pPr>
      <w:r>
        <w:rPr/>
        <w:drawing>
          <wp:inline distT="0" distB="0" distL="0" distR="0">
            <wp:extent cx="158750" cy="82550"/>
            <wp:effectExtent l="0" t="0" r="0" b="0"/>
            <wp:docPr id="921" name="Image 921"/>
            <wp:cNvGraphicFramePr>
              <a:graphicFrameLocks/>
            </wp:cNvGraphicFramePr>
            <a:graphic>
              <a:graphicData uri="http://schemas.openxmlformats.org/drawingml/2006/picture">
                <pic:pic>
                  <pic:nvPicPr>
                    <pic:cNvPr id="921" name="Image 921"/>
                    <pic:cNvPicPr/>
                  </pic:nvPicPr>
                  <pic:blipFill>
                    <a:blip r:embed="rId192" cstate="print"/>
                    <a:stretch>
                      <a:fillRect/>
                    </a:stretch>
                  </pic:blipFill>
                  <pic:spPr>
                    <a:xfrm>
                      <a:off x="0" y="0"/>
                      <a:ext cx="158750" cy="82550"/>
                    </a:xfrm>
                    <a:prstGeom prst="rect">
                      <a:avLst/>
                    </a:prstGeom>
                  </pic:spPr>
                </pic:pic>
              </a:graphicData>
            </a:graphic>
          </wp:inline>
        </w:drawing>
      </w:r>
      <w:r>
        <w:rPr/>
      </w:r>
      <w:r>
        <w:rPr>
          <w:rFonts w:ascii="Times New Roman"/>
          <w:spacing w:val="40"/>
        </w:rPr>
        <w:t> </w:t>
      </w:r>
      <w:r>
        <w:rPr>
          <w:color w:val="231F20"/>
        </w:rPr>
        <w:t>enter the value to be compared with the values arriving from the managed system. Enumerated attribute values, such as </w:t>
      </w:r>
      <w:r>
        <w:rPr>
          <w:rFonts w:ascii="Book Antiqua"/>
          <w:i/>
          <w:color w:val="231F20"/>
        </w:rPr>
        <w:t>online </w:t>
      </w:r>
      <w:r>
        <w:rPr>
          <w:color w:val="231F20"/>
        </w:rPr>
        <w:t>or </w:t>
      </w:r>
      <w:r>
        <w:rPr>
          <w:rFonts w:ascii="Book Antiqua"/>
          <w:i/>
          <w:color w:val="231F20"/>
        </w:rPr>
        <w:t>offline</w:t>
      </w:r>
      <w:r>
        <w:rPr>
          <w:color w:val="231F20"/>
        </w:rPr>
        <w:t>, </w:t>
      </w:r>
      <w:r>
        <w:rPr>
          <w:color w:val="231F20"/>
        </w:rPr>
        <w:t>will have a list of possible choices.</w:t>
      </w:r>
    </w:p>
    <w:p>
      <w:pPr>
        <w:pStyle w:val="ListParagraph"/>
        <w:numPr>
          <w:ilvl w:val="0"/>
          <w:numId w:val="50"/>
        </w:numPr>
        <w:tabs>
          <w:tab w:pos="2548" w:val="left" w:leader="none"/>
        </w:tabs>
        <w:spacing w:line="213" w:lineRule="auto" w:before="59" w:after="0"/>
        <w:ind w:left="2548" w:right="532" w:hanging="316"/>
        <w:jc w:val="left"/>
        <w:rPr>
          <w:sz w:val="20"/>
        </w:rPr>
      </w:pPr>
      <w:r>
        <w:rPr>
          <w:color w:val="231F20"/>
          <w:sz w:val="20"/>
        </w:rPr>
        <w:t>Repeat steps 3 and 4 if the filter criteria involves multiple columns or </w:t>
      </w:r>
      <w:r>
        <w:rPr>
          <w:color w:val="231F20"/>
          <w:sz w:val="20"/>
        </w:rPr>
        <w:t>multiple </w:t>
      </w:r>
      <w:r>
        <w:rPr>
          <w:color w:val="231F20"/>
          <w:spacing w:val="-2"/>
          <w:sz w:val="20"/>
        </w:rPr>
        <w:t>rows:</w:t>
      </w:r>
    </w:p>
    <w:p>
      <w:pPr>
        <w:pStyle w:val="BodyText"/>
        <w:spacing w:line="213" w:lineRule="auto" w:before="59"/>
        <w:ind w:left="2764" w:right="493" w:hanging="216"/>
        <w:rPr>
          <w:rFonts w:ascii="Arial"/>
        </w:rPr>
      </w:pPr>
      <w:r>
        <w:rPr>
          <w:rFonts w:ascii="Futura MdCn BT"/>
          <w:color w:val="231F20"/>
        </w:rPr>
        <w:t>v</w:t>
      </w:r>
      <w:r>
        <w:rPr>
          <w:rFonts w:ascii="Futura MdCn BT"/>
          <w:color w:val="231F20"/>
          <w:spacing w:val="80"/>
        </w:rPr>
        <w:t> </w:t>
      </w:r>
      <w:r>
        <w:rPr>
          <w:color w:val="231F20"/>
        </w:rPr>
        <w:t>Expressions entered in the same row have an AND relationship. In the example below, a row will be written when the Process Name includes </w:t>
      </w:r>
      <w:r>
        <w:rPr>
          <w:rFonts w:ascii="Arial"/>
          <w:color w:val="231F20"/>
        </w:rPr>
        <w:t>java</w:t>
      </w:r>
    </w:p>
    <w:p>
      <w:pPr>
        <w:pStyle w:val="BodyText"/>
        <w:spacing w:line="213" w:lineRule="auto"/>
        <w:ind w:left="2764" w:right="545"/>
      </w:pPr>
      <w:r>
        <w:rPr>
          <w:color w:val="231F20"/>
        </w:rPr>
        <w:t>-AND- user time exceeds </w:t>
      </w:r>
      <w:r>
        <w:rPr>
          <w:rFonts w:ascii="Arial"/>
          <w:color w:val="231F20"/>
        </w:rPr>
        <w:t>5%</w:t>
      </w:r>
      <w:r>
        <w:rPr>
          <w:color w:val="231F20"/>
        </w:rPr>
        <w:t>. (Scan for string within a string equals java </w:t>
      </w:r>
      <w:r>
        <w:rPr>
          <w:color w:val="231F20"/>
        </w:rPr>
        <w:t>for Process Name AND % User Time &lt; 5.)</w:t>
      </w:r>
    </w:p>
    <w:p>
      <w:pPr>
        <w:pStyle w:val="BodyText"/>
        <w:spacing w:before="7"/>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88"/>
        <w:gridCol w:w="3404"/>
        <w:gridCol w:w="3540"/>
      </w:tblGrid>
      <w:tr>
        <w:trPr>
          <w:trHeight w:val="274" w:hRule="atLeast"/>
        </w:trPr>
        <w:tc>
          <w:tcPr>
            <w:tcW w:w="588" w:type="dxa"/>
          </w:tcPr>
          <w:p>
            <w:pPr>
              <w:pStyle w:val="TableParagraph"/>
              <w:spacing w:before="0"/>
              <w:ind w:left="0"/>
              <w:rPr>
                <w:rFonts w:ascii="Times New Roman"/>
                <w:sz w:val="18"/>
              </w:rPr>
            </w:pPr>
          </w:p>
        </w:tc>
        <w:tc>
          <w:tcPr>
            <w:tcW w:w="3404" w:type="dxa"/>
          </w:tcPr>
          <w:p>
            <w:pPr>
              <w:pStyle w:val="TableParagraph"/>
              <w:spacing w:before="10"/>
              <w:ind w:left="0" w:right="2114"/>
              <w:jc w:val="center"/>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3540" w:type="dxa"/>
          </w:tcPr>
          <w:p>
            <w:pPr>
              <w:pStyle w:val="TableParagraph"/>
              <w:spacing w:before="10"/>
              <w:ind w:left="60"/>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09" w:hRule="atLeast"/>
        </w:trPr>
        <w:tc>
          <w:tcPr>
            <w:tcW w:w="588" w:type="dxa"/>
          </w:tcPr>
          <w:p>
            <w:pPr>
              <w:pStyle w:val="TableParagraph"/>
              <w:ind w:left="44"/>
              <w:rPr>
                <w:sz w:val="18"/>
              </w:rPr>
            </w:pPr>
            <w:r>
              <w:rPr>
                <w:color w:val="231F20"/>
                <w:spacing w:val="-10"/>
                <w:sz w:val="18"/>
              </w:rPr>
              <w:t>1</w:t>
            </w:r>
          </w:p>
        </w:tc>
        <w:tc>
          <w:tcPr>
            <w:tcW w:w="3404" w:type="dxa"/>
          </w:tcPr>
          <w:p>
            <w:pPr>
              <w:pStyle w:val="TableParagraph"/>
              <w:spacing w:before="12"/>
              <w:ind w:left="0"/>
              <w:rPr>
                <w:sz w:val="7"/>
              </w:rPr>
            </w:pPr>
          </w:p>
          <w:p>
            <w:pPr>
              <w:pStyle w:val="TableParagraph"/>
              <w:spacing w:line="167" w:lineRule="exact" w:before="0"/>
              <w:ind w:left="60"/>
              <w:rPr>
                <w:sz w:val="16"/>
              </w:rPr>
            </w:pPr>
            <w:r>
              <w:rPr>
                <w:position w:val="-2"/>
                <w:sz w:val="16"/>
              </w:rPr>
              <w:drawing>
                <wp:inline distT="0" distB="0" distL="0" distR="0">
                  <wp:extent cx="106489" cy="106489"/>
                  <wp:effectExtent l="0" t="0" r="0" b="0"/>
                  <wp:docPr id="922" name="Image 922"/>
                  <wp:cNvGraphicFramePr>
                    <a:graphicFrameLocks/>
                  </wp:cNvGraphicFramePr>
                  <a:graphic>
                    <a:graphicData uri="http://schemas.openxmlformats.org/drawingml/2006/picture">
                      <pic:pic>
                        <pic:nvPicPr>
                          <pic:cNvPr id="922" name="Image 922"/>
                          <pic:cNvPicPr/>
                        </pic:nvPicPr>
                        <pic:blipFill>
                          <a:blip r:embed="rId87" cstate="print"/>
                          <a:stretch>
                            <a:fillRect/>
                          </a:stretch>
                        </pic:blipFill>
                        <pic:spPr>
                          <a:xfrm>
                            <a:off x="0" y="0"/>
                            <a:ext cx="106489" cy="106489"/>
                          </a:xfrm>
                          <a:prstGeom prst="rect">
                            <a:avLst/>
                          </a:prstGeom>
                        </pic:spPr>
                      </pic:pic>
                    </a:graphicData>
                  </a:graphic>
                </wp:inline>
              </w:drawing>
            </w:r>
            <w:r>
              <w:rPr>
                <w:position w:val="-2"/>
                <w:sz w:val="16"/>
              </w:rPr>
            </w:r>
          </w:p>
        </w:tc>
        <w:tc>
          <w:tcPr>
            <w:tcW w:w="3540" w:type="dxa"/>
          </w:tcPr>
          <w:p>
            <w:pPr>
              <w:pStyle w:val="TableParagraph"/>
              <w:spacing w:before="12"/>
              <w:ind w:left="0"/>
              <w:rPr>
                <w:sz w:val="7"/>
              </w:rPr>
            </w:pPr>
          </w:p>
          <w:p>
            <w:pPr>
              <w:pStyle w:val="TableParagraph"/>
              <w:spacing w:line="167" w:lineRule="exact" w:before="0"/>
              <w:ind w:left="60"/>
              <w:rPr>
                <w:sz w:val="16"/>
              </w:rPr>
            </w:pPr>
            <w:r>
              <w:rPr>
                <w:position w:val="-2"/>
                <w:sz w:val="16"/>
              </w:rPr>
              <w:drawing>
                <wp:inline distT="0" distB="0" distL="0" distR="0">
                  <wp:extent cx="106489" cy="106489"/>
                  <wp:effectExtent l="0" t="0" r="0" b="0"/>
                  <wp:docPr id="923" name="Image 923"/>
                  <wp:cNvGraphicFramePr>
                    <a:graphicFrameLocks/>
                  </wp:cNvGraphicFramePr>
                  <a:graphic>
                    <a:graphicData uri="http://schemas.openxmlformats.org/drawingml/2006/picture">
                      <pic:pic>
                        <pic:nvPicPr>
                          <pic:cNvPr id="923" name="Image 923"/>
                          <pic:cNvPicPr/>
                        </pic:nvPicPr>
                        <pic:blipFill>
                          <a:blip r:embed="rId87" cstate="print"/>
                          <a:stretch>
                            <a:fillRect/>
                          </a:stretch>
                        </pic:blipFill>
                        <pic:spPr>
                          <a:xfrm>
                            <a:off x="0" y="0"/>
                            <a:ext cx="106489" cy="106489"/>
                          </a:xfrm>
                          <a:prstGeom prst="rect">
                            <a:avLst/>
                          </a:prstGeom>
                        </pic:spPr>
                      </pic:pic>
                    </a:graphicData>
                  </a:graphic>
                </wp:inline>
              </w:drawing>
            </w:r>
            <w:r>
              <w:rPr>
                <w:position w:val="-2"/>
                <w:sz w:val="16"/>
              </w:rPr>
            </w:r>
          </w:p>
        </w:tc>
      </w:tr>
      <w:tr>
        <w:trPr>
          <w:trHeight w:val="309" w:hRule="atLeast"/>
        </w:trPr>
        <w:tc>
          <w:tcPr>
            <w:tcW w:w="588" w:type="dxa"/>
          </w:tcPr>
          <w:p>
            <w:pPr>
              <w:pStyle w:val="TableParagraph"/>
              <w:ind w:left="44"/>
              <w:rPr>
                <w:sz w:val="18"/>
              </w:rPr>
            </w:pPr>
            <w:r>
              <w:rPr>
                <w:color w:val="231F20"/>
                <w:spacing w:val="-10"/>
                <w:sz w:val="18"/>
              </w:rPr>
              <w:t>2</w:t>
            </w:r>
          </w:p>
        </w:tc>
        <w:tc>
          <w:tcPr>
            <w:tcW w:w="3404" w:type="dxa"/>
          </w:tcPr>
          <w:p>
            <w:pPr>
              <w:pStyle w:val="TableParagraph"/>
              <w:ind w:left="0" w:right="2393"/>
              <w:jc w:val="center"/>
              <w:rPr>
                <w:sz w:val="18"/>
              </w:rPr>
            </w:pPr>
            <w:r>
              <w:rPr/>
              <w:drawing>
                <wp:inline distT="0" distB="0" distL="0" distR="0">
                  <wp:extent cx="63500" cy="63500"/>
                  <wp:effectExtent l="0" t="0" r="0" b="0"/>
                  <wp:docPr id="924" name="Image 924"/>
                  <wp:cNvGraphicFramePr>
                    <a:graphicFrameLocks/>
                  </wp:cNvGraphicFramePr>
                  <a:graphic>
                    <a:graphicData uri="http://schemas.openxmlformats.org/drawingml/2006/picture">
                      <pic:pic>
                        <pic:nvPicPr>
                          <pic:cNvPr id="924" name="Image 924"/>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31"/>
                <w:w w:val="110"/>
                <w:sz w:val="18"/>
              </w:rPr>
              <w:t> </w:t>
            </w:r>
            <w:r>
              <w:rPr>
                <w:color w:val="231F20"/>
                <w:w w:val="110"/>
                <w:sz w:val="18"/>
              </w:rPr>
              <w:t>'java'</w:t>
            </w:r>
          </w:p>
        </w:tc>
        <w:tc>
          <w:tcPr>
            <w:tcW w:w="3540" w:type="dxa"/>
          </w:tcPr>
          <w:p>
            <w:pPr>
              <w:pStyle w:val="TableParagraph"/>
              <w:ind w:left="60"/>
              <w:rPr>
                <w:sz w:val="18"/>
              </w:rPr>
            </w:pPr>
            <w:r>
              <w:rPr>
                <w:color w:val="231F20"/>
                <w:spacing w:val="-5"/>
                <w:w w:val="110"/>
                <w:sz w:val="18"/>
              </w:rPr>
              <w:t>&gt;5</w:t>
            </w:r>
          </w:p>
        </w:tc>
      </w:tr>
      <w:tr>
        <w:trPr>
          <w:trHeight w:val="314" w:hRule="atLeast"/>
        </w:trPr>
        <w:tc>
          <w:tcPr>
            <w:tcW w:w="588" w:type="dxa"/>
          </w:tcPr>
          <w:p>
            <w:pPr>
              <w:pStyle w:val="TableParagraph"/>
              <w:ind w:left="44"/>
              <w:rPr>
                <w:sz w:val="18"/>
              </w:rPr>
            </w:pPr>
            <w:r>
              <w:rPr>
                <w:color w:val="231F20"/>
                <w:spacing w:val="-10"/>
                <w:sz w:val="18"/>
              </w:rPr>
              <w:t>3</w:t>
            </w:r>
          </w:p>
        </w:tc>
        <w:tc>
          <w:tcPr>
            <w:tcW w:w="3404" w:type="dxa"/>
          </w:tcPr>
          <w:p>
            <w:pPr>
              <w:pStyle w:val="TableParagraph"/>
              <w:spacing w:before="0"/>
              <w:ind w:left="0"/>
              <w:rPr>
                <w:rFonts w:ascii="Times New Roman"/>
                <w:sz w:val="18"/>
              </w:rPr>
            </w:pPr>
          </w:p>
        </w:tc>
        <w:tc>
          <w:tcPr>
            <w:tcW w:w="3540" w:type="dxa"/>
          </w:tcPr>
          <w:p>
            <w:pPr>
              <w:pStyle w:val="TableParagraph"/>
              <w:spacing w:before="0"/>
              <w:ind w:left="0"/>
              <w:rPr>
                <w:rFonts w:ascii="Times New Roman"/>
                <w:sz w:val="18"/>
              </w:rPr>
            </w:pPr>
          </w:p>
        </w:tc>
      </w:tr>
    </w:tbl>
    <w:p>
      <w:pPr>
        <w:pStyle w:val="BodyText"/>
        <w:spacing w:line="213" w:lineRule="auto" w:before="228"/>
        <w:ind w:left="2764" w:right="544" w:hanging="216"/>
      </w:pPr>
      <w:r>
        <w:rPr>
          <w:rFonts w:ascii="Futura MdCn BT"/>
          <w:color w:val="231F20"/>
        </w:rPr>
        <w:t>v</w:t>
      </w:r>
      <w:r>
        <w:rPr>
          <w:rFonts w:ascii="Futura MdCn BT"/>
          <w:color w:val="231F20"/>
          <w:spacing w:val="80"/>
        </w:rPr>
        <w:t> </w:t>
      </w:r>
      <w:r>
        <w:rPr>
          <w:color w:val="231F20"/>
        </w:rPr>
        <w:t>Expressions in different rows have an OR relationship. In the example below,</w:t>
      </w:r>
      <w:r>
        <w:rPr>
          <w:color w:val="231F20"/>
          <w:spacing w:val="80"/>
        </w:rPr>
        <w:t> </w:t>
      </w:r>
      <w:r>
        <w:rPr>
          <w:color w:val="231F20"/>
        </w:rPr>
        <w:t>a row will be written when the value of Process Name is either </w:t>
      </w:r>
      <w:r>
        <w:rPr>
          <w:rFonts w:ascii="Book Antiqua"/>
          <w:i/>
          <w:color w:val="231F20"/>
        </w:rPr>
        <w:t>System </w:t>
      </w:r>
      <w:r>
        <w:rPr>
          <w:color w:val="231F20"/>
        </w:rPr>
        <w:t>or </w:t>
      </w:r>
      <w:r>
        <w:rPr>
          <w:rFonts w:ascii="Book Antiqua"/>
          <w:i/>
          <w:color w:val="231F20"/>
          <w:spacing w:val="-2"/>
        </w:rPr>
        <w:t>Services</w:t>
      </w:r>
      <w:r>
        <w:rPr>
          <w:color w:val="231F20"/>
          <w:spacing w:val="-2"/>
        </w:rPr>
        <w:t>.</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88"/>
        <w:gridCol w:w="3404"/>
        <w:gridCol w:w="3540"/>
      </w:tblGrid>
      <w:tr>
        <w:trPr>
          <w:trHeight w:val="274" w:hRule="atLeast"/>
        </w:trPr>
        <w:tc>
          <w:tcPr>
            <w:tcW w:w="588" w:type="dxa"/>
          </w:tcPr>
          <w:p>
            <w:pPr>
              <w:pStyle w:val="TableParagraph"/>
              <w:spacing w:before="0"/>
              <w:ind w:left="0"/>
              <w:rPr>
                <w:rFonts w:ascii="Times New Roman"/>
                <w:sz w:val="18"/>
              </w:rPr>
            </w:pPr>
          </w:p>
        </w:tc>
        <w:tc>
          <w:tcPr>
            <w:tcW w:w="3404" w:type="dxa"/>
          </w:tcPr>
          <w:p>
            <w:pPr>
              <w:pStyle w:val="TableParagraph"/>
              <w:spacing w:before="10"/>
              <w:ind w:left="60"/>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3540" w:type="dxa"/>
          </w:tcPr>
          <w:p>
            <w:pPr>
              <w:pStyle w:val="TableParagraph"/>
              <w:spacing w:before="10"/>
              <w:ind w:left="60"/>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09" w:hRule="atLeast"/>
        </w:trPr>
        <w:tc>
          <w:tcPr>
            <w:tcW w:w="588" w:type="dxa"/>
          </w:tcPr>
          <w:p>
            <w:pPr>
              <w:pStyle w:val="TableParagraph"/>
              <w:ind w:left="44"/>
              <w:rPr>
                <w:sz w:val="18"/>
              </w:rPr>
            </w:pPr>
            <w:r>
              <w:rPr>
                <w:color w:val="231F20"/>
                <w:spacing w:val="-10"/>
                <w:sz w:val="18"/>
              </w:rPr>
              <w:t>1</w:t>
            </w:r>
          </w:p>
        </w:tc>
        <w:tc>
          <w:tcPr>
            <w:tcW w:w="3404" w:type="dxa"/>
          </w:tcPr>
          <w:p>
            <w:pPr>
              <w:pStyle w:val="TableParagraph"/>
              <w:spacing w:before="12" w:after="1"/>
              <w:ind w:left="0"/>
              <w:rPr>
                <w:sz w:val="7"/>
              </w:rPr>
            </w:pPr>
          </w:p>
          <w:p>
            <w:pPr>
              <w:pStyle w:val="TableParagraph"/>
              <w:spacing w:line="167" w:lineRule="exact" w:before="0"/>
              <w:ind w:left="60"/>
              <w:rPr>
                <w:sz w:val="16"/>
              </w:rPr>
            </w:pPr>
            <w:r>
              <w:rPr>
                <w:position w:val="-2"/>
                <w:sz w:val="16"/>
              </w:rPr>
              <w:drawing>
                <wp:inline distT="0" distB="0" distL="0" distR="0">
                  <wp:extent cx="106489" cy="106489"/>
                  <wp:effectExtent l="0" t="0" r="0" b="0"/>
                  <wp:docPr id="925" name="Image 925"/>
                  <wp:cNvGraphicFramePr>
                    <a:graphicFrameLocks/>
                  </wp:cNvGraphicFramePr>
                  <a:graphic>
                    <a:graphicData uri="http://schemas.openxmlformats.org/drawingml/2006/picture">
                      <pic:pic>
                        <pic:nvPicPr>
                          <pic:cNvPr id="925" name="Image 925"/>
                          <pic:cNvPicPr/>
                        </pic:nvPicPr>
                        <pic:blipFill>
                          <a:blip r:embed="rId87" cstate="print"/>
                          <a:stretch>
                            <a:fillRect/>
                          </a:stretch>
                        </pic:blipFill>
                        <pic:spPr>
                          <a:xfrm>
                            <a:off x="0" y="0"/>
                            <a:ext cx="106489" cy="106489"/>
                          </a:xfrm>
                          <a:prstGeom prst="rect">
                            <a:avLst/>
                          </a:prstGeom>
                        </pic:spPr>
                      </pic:pic>
                    </a:graphicData>
                  </a:graphic>
                </wp:inline>
              </w:drawing>
            </w:r>
            <w:r>
              <w:rPr>
                <w:position w:val="-2"/>
                <w:sz w:val="16"/>
              </w:rPr>
            </w:r>
          </w:p>
        </w:tc>
        <w:tc>
          <w:tcPr>
            <w:tcW w:w="3540" w:type="dxa"/>
          </w:tcPr>
          <w:p>
            <w:pPr>
              <w:pStyle w:val="TableParagraph"/>
              <w:spacing w:before="12" w:after="1"/>
              <w:ind w:left="0"/>
              <w:rPr>
                <w:sz w:val="7"/>
              </w:rPr>
            </w:pPr>
          </w:p>
          <w:p>
            <w:pPr>
              <w:pStyle w:val="TableParagraph"/>
              <w:spacing w:line="167" w:lineRule="exact" w:before="0"/>
              <w:ind w:left="60"/>
              <w:rPr>
                <w:sz w:val="16"/>
              </w:rPr>
            </w:pPr>
            <w:r>
              <w:rPr>
                <w:position w:val="-2"/>
                <w:sz w:val="16"/>
              </w:rPr>
              <w:drawing>
                <wp:inline distT="0" distB="0" distL="0" distR="0">
                  <wp:extent cx="106489" cy="106489"/>
                  <wp:effectExtent l="0" t="0" r="0" b="0"/>
                  <wp:docPr id="926" name="Image 926"/>
                  <wp:cNvGraphicFramePr>
                    <a:graphicFrameLocks/>
                  </wp:cNvGraphicFramePr>
                  <a:graphic>
                    <a:graphicData uri="http://schemas.openxmlformats.org/drawingml/2006/picture">
                      <pic:pic>
                        <pic:nvPicPr>
                          <pic:cNvPr id="926" name="Image 926"/>
                          <pic:cNvPicPr/>
                        </pic:nvPicPr>
                        <pic:blipFill>
                          <a:blip r:embed="rId87" cstate="print"/>
                          <a:stretch>
                            <a:fillRect/>
                          </a:stretch>
                        </pic:blipFill>
                        <pic:spPr>
                          <a:xfrm>
                            <a:off x="0" y="0"/>
                            <a:ext cx="106489" cy="106489"/>
                          </a:xfrm>
                          <a:prstGeom prst="rect">
                            <a:avLst/>
                          </a:prstGeom>
                        </pic:spPr>
                      </pic:pic>
                    </a:graphicData>
                  </a:graphic>
                </wp:inline>
              </w:drawing>
            </w:r>
            <w:r>
              <w:rPr>
                <w:position w:val="-2"/>
                <w:sz w:val="16"/>
              </w:rPr>
            </w:r>
          </w:p>
        </w:tc>
      </w:tr>
      <w:tr>
        <w:trPr>
          <w:trHeight w:val="314" w:hRule="atLeast"/>
        </w:trPr>
        <w:tc>
          <w:tcPr>
            <w:tcW w:w="588" w:type="dxa"/>
          </w:tcPr>
          <w:p>
            <w:pPr>
              <w:pStyle w:val="TableParagraph"/>
              <w:ind w:left="44"/>
              <w:rPr>
                <w:sz w:val="18"/>
              </w:rPr>
            </w:pPr>
            <w:r>
              <w:rPr>
                <w:color w:val="231F20"/>
                <w:spacing w:val="-10"/>
                <w:sz w:val="18"/>
              </w:rPr>
              <w:t>2</w:t>
            </w:r>
          </w:p>
        </w:tc>
        <w:tc>
          <w:tcPr>
            <w:tcW w:w="3404" w:type="dxa"/>
          </w:tcPr>
          <w:p>
            <w:pPr>
              <w:pStyle w:val="TableParagraph"/>
              <w:ind w:left="60"/>
              <w:rPr>
                <w:sz w:val="18"/>
              </w:rPr>
            </w:pPr>
            <w:r>
              <w:rPr>
                <w:color w:val="231F20"/>
                <w:w w:val="105"/>
                <w:sz w:val="18"/>
              </w:rPr>
              <w:t>==</w:t>
            </w:r>
            <w:r>
              <w:rPr>
                <w:color w:val="231F20"/>
                <w:spacing w:val="38"/>
                <w:w w:val="105"/>
                <w:sz w:val="18"/>
              </w:rPr>
              <w:t> </w:t>
            </w:r>
            <w:r>
              <w:rPr>
                <w:color w:val="231F20"/>
                <w:spacing w:val="-2"/>
                <w:w w:val="105"/>
                <w:sz w:val="18"/>
              </w:rPr>
              <w:t>'System'</w:t>
            </w:r>
          </w:p>
        </w:tc>
        <w:tc>
          <w:tcPr>
            <w:tcW w:w="3540" w:type="dxa"/>
          </w:tcPr>
          <w:p>
            <w:pPr>
              <w:pStyle w:val="TableParagraph"/>
              <w:spacing w:before="0"/>
              <w:ind w:left="0"/>
              <w:rPr>
                <w:rFonts w:ascii="Times New Roman"/>
                <w:sz w:val="18"/>
              </w:rPr>
            </w:pPr>
          </w:p>
        </w:tc>
      </w:tr>
    </w:tbl>
    <w:p>
      <w:pPr>
        <w:spacing w:after="0"/>
        <w:rPr>
          <w:rFonts w:ascii="Times New Roman"/>
          <w:sz w:val="18"/>
        </w:rPr>
        <w:sectPr>
          <w:pgSz w:w="12240" w:h="15840"/>
          <w:pgMar w:header="0" w:footer="736" w:top="1160" w:bottom="1136"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88"/>
        <w:gridCol w:w="3404"/>
        <w:gridCol w:w="3540"/>
      </w:tblGrid>
      <w:tr>
        <w:trPr>
          <w:trHeight w:val="274" w:hRule="atLeast"/>
        </w:trPr>
        <w:tc>
          <w:tcPr>
            <w:tcW w:w="588" w:type="dxa"/>
          </w:tcPr>
          <w:p>
            <w:pPr>
              <w:pStyle w:val="TableParagraph"/>
              <w:spacing w:before="0"/>
              <w:ind w:left="0"/>
              <w:rPr>
                <w:rFonts w:ascii="Times New Roman"/>
                <w:sz w:val="18"/>
              </w:rPr>
            </w:pPr>
          </w:p>
        </w:tc>
        <w:tc>
          <w:tcPr>
            <w:tcW w:w="3404" w:type="dxa"/>
          </w:tcPr>
          <w:p>
            <w:pPr>
              <w:pStyle w:val="TableParagraph"/>
              <w:spacing w:before="10"/>
              <w:ind w:left="60"/>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3540" w:type="dxa"/>
          </w:tcPr>
          <w:p>
            <w:pPr>
              <w:pStyle w:val="TableParagraph"/>
              <w:spacing w:before="10"/>
              <w:ind w:left="60"/>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14" w:hRule="atLeast"/>
        </w:trPr>
        <w:tc>
          <w:tcPr>
            <w:tcW w:w="588" w:type="dxa"/>
          </w:tcPr>
          <w:p>
            <w:pPr>
              <w:pStyle w:val="TableParagraph"/>
              <w:ind w:left="44"/>
              <w:rPr>
                <w:sz w:val="18"/>
              </w:rPr>
            </w:pPr>
            <w:r>
              <w:rPr>
                <w:color w:val="231F20"/>
                <w:spacing w:val="-10"/>
                <w:sz w:val="18"/>
              </w:rPr>
              <w:t>3</w:t>
            </w:r>
          </w:p>
        </w:tc>
        <w:tc>
          <w:tcPr>
            <w:tcW w:w="3404" w:type="dxa"/>
          </w:tcPr>
          <w:p>
            <w:pPr>
              <w:pStyle w:val="TableParagraph"/>
              <w:ind w:left="60"/>
              <w:rPr>
                <w:sz w:val="18"/>
              </w:rPr>
            </w:pPr>
            <w:r>
              <w:rPr>
                <w:color w:val="231F20"/>
                <w:w w:val="105"/>
                <w:sz w:val="18"/>
              </w:rPr>
              <w:t>==</w:t>
            </w:r>
            <w:r>
              <w:rPr>
                <w:color w:val="231F20"/>
                <w:spacing w:val="38"/>
                <w:w w:val="105"/>
                <w:sz w:val="18"/>
              </w:rPr>
              <w:t> </w:t>
            </w:r>
            <w:r>
              <w:rPr>
                <w:color w:val="231F20"/>
                <w:spacing w:val="-2"/>
                <w:w w:val="105"/>
                <w:sz w:val="18"/>
              </w:rPr>
              <w:t>'Services'</w:t>
            </w:r>
          </w:p>
        </w:tc>
        <w:tc>
          <w:tcPr>
            <w:tcW w:w="3540" w:type="dxa"/>
          </w:tcPr>
          <w:p>
            <w:pPr>
              <w:pStyle w:val="TableParagraph"/>
              <w:spacing w:before="0"/>
              <w:ind w:left="0"/>
              <w:rPr>
                <w:rFonts w:ascii="Times New Roman"/>
                <w:sz w:val="18"/>
              </w:rPr>
            </w:pPr>
          </w:p>
        </w:tc>
      </w:tr>
    </w:tbl>
    <w:p>
      <w:pPr>
        <w:pStyle w:val="ListParagraph"/>
        <w:numPr>
          <w:ilvl w:val="0"/>
          <w:numId w:val="50"/>
        </w:numPr>
        <w:tabs>
          <w:tab w:pos="2787" w:val="left" w:leader="none"/>
        </w:tabs>
        <w:spacing w:line="240" w:lineRule="auto" w:before="221" w:after="0"/>
        <w:ind w:left="2787" w:right="0" w:hanging="315"/>
        <w:jc w:val="left"/>
        <w:rPr>
          <w:sz w:val="20"/>
        </w:rPr>
      </w:pPr>
      <w:bookmarkStart w:name="_bookmark68" w:id="155"/>
      <w:bookmarkEnd w:id="155"/>
      <w:r>
        <w:rPr/>
      </w: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pStyle w:val="BodyText"/>
        <w:spacing w:line="213" w:lineRule="auto" w:before="53"/>
        <w:ind w:left="3004" w:hanging="216"/>
      </w:pPr>
      <w:r>
        <w:rPr>
          <w:rFonts w:ascii="Futura MdCn BT"/>
          <w:color w:val="231F20"/>
        </w:rPr>
        <w:t>v</w:t>
      </w:r>
      <w:r>
        <w:rPr>
          <w:rFonts w:ascii="Futura MdCn BT"/>
          <w:color w:val="231F20"/>
          <w:spacing w:val="80"/>
        </w:rPr>
        <w:t> </w:t>
      </w:r>
      <w:r>
        <w:rPr>
          <w:color w:val="231F20"/>
        </w:rPr>
        <w:t>Add icons or background colors to a table view when thresholds have </w:t>
      </w:r>
      <w:r>
        <w:rPr>
          <w:color w:val="231F20"/>
        </w:rPr>
        <w:t>been</w:t>
      </w:r>
      <w:r>
        <w:rPr>
          <w:color w:val="231F20"/>
        </w:rPr>
        <w:t> </w:t>
      </w:r>
      <w:r>
        <w:rPr>
          <w:color w:val="231F20"/>
          <w:spacing w:val="-2"/>
        </w:rPr>
        <w:t>reached.</w:t>
      </w:r>
    </w:p>
    <w:p>
      <w:pPr>
        <w:pStyle w:val="BodyText"/>
        <w:spacing w:before="36"/>
        <w:ind w:left="2788"/>
      </w:pPr>
      <w:r>
        <w:rPr>
          <w:rFonts w:ascii="Futura MdCn BT"/>
          <w:color w:val="231F20"/>
        </w:rPr>
        <w:t>v</w:t>
      </w:r>
      <w:r>
        <w:rPr>
          <w:rFonts w:ascii="Futura MdCn BT"/>
          <w:color w:val="231F20"/>
          <w:spacing w:val="32"/>
        </w:rPr>
        <w:t>  </w:t>
      </w:r>
      <w:r>
        <w:rPr>
          <w:color w:val="231F20"/>
        </w:rPr>
        <w:t>Change</w:t>
      </w:r>
      <w:r>
        <w:rPr>
          <w:color w:val="231F20"/>
          <w:spacing w:val="13"/>
        </w:rPr>
        <w:t> </w:t>
      </w:r>
      <w:r>
        <w:rPr>
          <w:color w:val="231F20"/>
        </w:rPr>
        <w:t>the</w:t>
      </w:r>
      <w:r>
        <w:rPr>
          <w:color w:val="231F20"/>
          <w:spacing w:val="13"/>
        </w:rPr>
        <w:t> </w:t>
      </w:r>
      <w:r>
        <w:rPr>
          <w:color w:val="231F20"/>
        </w:rPr>
        <w:t>title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view</w:t>
      </w:r>
      <w:r>
        <w:rPr>
          <w:color w:val="231F20"/>
          <w:spacing w:val="13"/>
        </w:rPr>
        <w:t> </w:t>
      </w:r>
      <w:r>
        <w:rPr>
          <w:color w:val="231F20"/>
        </w:rPr>
        <w:t>or</w:t>
      </w:r>
      <w:r>
        <w:rPr>
          <w:color w:val="231F20"/>
          <w:spacing w:val="13"/>
        </w:rPr>
        <w:t> </w:t>
      </w:r>
      <w:r>
        <w:rPr>
          <w:color w:val="231F20"/>
        </w:rPr>
        <w:t>apply</w:t>
      </w:r>
      <w:r>
        <w:rPr>
          <w:color w:val="231F20"/>
          <w:spacing w:val="13"/>
        </w:rPr>
        <w:t> </w:t>
      </w:r>
      <w:r>
        <w:rPr>
          <w:color w:val="231F20"/>
        </w:rPr>
        <w:t>other</w:t>
      </w:r>
      <w:r>
        <w:rPr>
          <w:color w:val="231F20"/>
          <w:spacing w:val="13"/>
        </w:rPr>
        <w:t> </w:t>
      </w:r>
      <w:r>
        <w:rPr>
          <w:color w:val="231F20"/>
          <w:spacing w:val="-2"/>
        </w:rPr>
        <w:t>styling.</w:t>
      </w:r>
    </w:p>
    <w:p>
      <w:pPr>
        <w:pStyle w:val="BodyText"/>
        <w:spacing w:line="213" w:lineRule="auto" w:before="52"/>
        <w:ind w:left="3004" w:right="274" w:hanging="216"/>
      </w:pPr>
      <w:r>
        <w:rPr>
          <w:rFonts w:ascii="Futura MdCn BT"/>
          <w:color w:val="231F20"/>
        </w:rPr>
        <w:t>v</w:t>
      </w:r>
      <w:r>
        <w:rPr>
          <w:rFonts w:ascii="Futura MdCn BT"/>
          <w:color w:val="231F20"/>
          <w:spacing w:val="80"/>
        </w:rPr>
        <w:t> </w:t>
      </w:r>
      <w:r>
        <w:rPr>
          <w:color w:val="231F20"/>
        </w:rPr>
        <w:t>Apply advanced filtering to show only the first (highest value) or last </w:t>
      </w:r>
      <w:r>
        <w:rPr>
          <w:color w:val="231F20"/>
        </w:rPr>
        <w:t>(lowest</w:t>
      </w:r>
      <w:r>
        <w:rPr>
          <w:color w:val="231F20"/>
        </w:rPr>
        <w:t> value) data rows, such as the first 25 rows.</w:t>
      </w:r>
    </w:p>
    <w:p>
      <w:pPr>
        <w:pStyle w:val="BodyText"/>
        <w:spacing w:line="213" w:lineRule="auto" w:before="59"/>
        <w:ind w:left="3004" w:right="274" w:hanging="216"/>
      </w:pPr>
      <w:r>
        <w:rPr>
          <w:rFonts w:ascii="Futura MdCn BT"/>
          <w:color w:val="231F20"/>
        </w:rPr>
        <w:t>v</w:t>
      </w:r>
      <w:r>
        <w:rPr>
          <w:rFonts w:ascii="Futura MdCn BT"/>
          <w:color w:val="231F20"/>
          <w:spacing w:val="80"/>
        </w:rPr>
        <w:t> </w:t>
      </w:r>
      <w:r>
        <w:rPr>
          <w:color w:val="231F20"/>
        </w:rPr>
        <w:t>To edit the properties of another view in this workspace, click </w:t>
      </w:r>
      <w:r>
        <w:rPr>
          <w:rFonts w:ascii="Book Antiqua"/>
          <w:b/>
          <w:color w:val="231F20"/>
        </w:rPr>
        <w:t>Apply </w:t>
      </w:r>
      <w:r>
        <w:rPr>
          <w:color w:val="231F20"/>
        </w:rPr>
        <w:t>to save your changes, then select the next view from the Properties tree.</w:t>
      </w:r>
    </w:p>
    <w:p>
      <w:pPr>
        <w:pStyle w:val="BodyText"/>
        <w:spacing w:before="35"/>
        <w:ind w:left="2788"/>
      </w:pPr>
      <w:r>
        <w:rPr>
          <w:rFonts w:ascii="Futura MdCn BT"/>
          <w:color w:val="231F20"/>
        </w:rPr>
        <w:t>v</w:t>
      </w:r>
      <w:r>
        <w:rPr>
          <w:rFonts w:ascii="Futura MdCn BT"/>
          <w:color w:val="231F20"/>
          <w:spacing w:val="74"/>
          <w:w w:val="150"/>
        </w:rPr>
        <w:t> </w:t>
      </w:r>
      <w:r>
        <w:rPr>
          <w:color w:val="231F20"/>
        </w:rPr>
        <w:t>To</w:t>
      </w:r>
      <w:r>
        <w:rPr>
          <w:color w:val="231F20"/>
          <w:spacing w:val="9"/>
        </w:rPr>
        <w:t> </w:t>
      </w:r>
      <w:r>
        <w:rPr>
          <w:color w:val="231F20"/>
        </w:rPr>
        <w:t>apply</w:t>
      </w:r>
      <w:r>
        <w:rPr>
          <w:color w:val="231F20"/>
          <w:spacing w:val="9"/>
        </w:rPr>
        <w:t> </w:t>
      </w:r>
      <w:r>
        <w:rPr>
          <w:color w:val="231F20"/>
        </w:rPr>
        <w:t>your</w:t>
      </w:r>
      <w:r>
        <w:rPr>
          <w:color w:val="231F20"/>
          <w:spacing w:val="9"/>
        </w:rPr>
        <w:t> </w:t>
      </w:r>
      <w:r>
        <w:rPr>
          <w:color w:val="231F20"/>
        </w:rPr>
        <w:t>changes</w:t>
      </w:r>
      <w:r>
        <w:rPr>
          <w:color w:val="231F20"/>
          <w:spacing w:val="9"/>
        </w:rPr>
        <w:t> </w:t>
      </w:r>
      <w:r>
        <w:rPr>
          <w:color w:val="231F20"/>
        </w:rPr>
        <w:t>and</w:t>
      </w:r>
      <w:r>
        <w:rPr>
          <w:color w:val="231F20"/>
          <w:spacing w:val="9"/>
        </w:rPr>
        <w:t> </w:t>
      </w:r>
      <w:r>
        <w:rPr>
          <w:color w:val="231F20"/>
        </w:rPr>
        <w:t>close</w:t>
      </w:r>
      <w:r>
        <w:rPr>
          <w:color w:val="231F20"/>
          <w:spacing w:val="9"/>
        </w:rPr>
        <w:t> </w:t>
      </w:r>
      <w:r>
        <w:rPr>
          <w:color w:val="231F20"/>
        </w:rPr>
        <w:t>the</w:t>
      </w:r>
      <w:r>
        <w:rPr>
          <w:color w:val="231F20"/>
          <w:spacing w:val="9"/>
        </w:rPr>
        <w:t> </w:t>
      </w:r>
      <w:r>
        <w:rPr>
          <w:color w:val="231F20"/>
        </w:rPr>
        <w:t>Properties</w:t>
      </w:r>
      <w:r>
        <w:rPr>
          <w:color w:val="231F20"/>
          <w:spacing w:val="9"/>
        </w:rPr>
        <w:t> </w:t>
      </w:r>
      <w:r>
        <w:rPr>
          <w:color w:val="231F20"/>
        </w:rPr>
        <w:t>editor,</w:t>
      </w:r>
      <w:r>
        <w:rPr>
          <w:color w:val="231F20"/>
          <w:spacing w:val="9"/>
        </w:rPr>
        <w:t> </w:t>
      </w:r>
      <w:r>
        <w:rPr>
          <w:color w:val="231F20"/>
        </w:rPr>
        <w:t>click</w:t>
      </w:r>
      <w:r>
        <w:rPr>
          <w:color w:val="231F20"/>
          <w:spacing w:val="9"/>
        </w:rPr>
        <w:t> </w:t>
      </w:r>
      <w:r>
        <w:rPr>
          <w:rFonts w:ascii="Book Antiqua"/>
          <w:b/>
          <w:color w:val="231F20"/>
          <w:spacing w:val="-5"/>
        </w:rPr>
        <w:t>OK</w:t>
      </w:r>
      <w:r>
        <w:rPr>
          <w:color w:val="231F20"/>
          <w:spacing w:val="-5"/>
        </w:rPr>
        <w:t>.</w:t>
      </w:r>
    </w:p>
    <w:p>
      <w:pPr>
        <w:pStyle w:val="Heading3"/>
        <w:spacing w:before="211"/>
        <w:ind w:left="1574"/>
      </w:pPr>
      <w:bookmarkStart w:name="Properties editor" w:id="156"/>
      <w:bookmarkEnd w:id="156"/>
      <w:r>
        <w:rPr>
          <w:b w:val="0"/>
        </w:rPr>
      </w:r>
      <w:r>
        <w:rPr>
          <w:color w:val="231F20"/>
        </w:rPr>
        <w:t>Properties</w:t>
      </w:r>
      <w:r>
        <w:rPr>
          <w:color w:val="231F20"/>
          <w:spacing w:val="1"/>
        </w:rPr>
        <w:t> </w:t>
      </w:r>
      <w:r>
        <w:rPr>
          <w:color w:val="231F20"/>
          <w:spacing w:val="-2"/>
        </w:rPr>
        <w:t>editor</w:t>
      </w:r>
    </w:p>
    <w:p>
      <w:pPr>
        <w:pStyle w:val="BodyText"/>
        <w:spacing w:line="213" w:lineRule="auto" w:before="59"/>
        <w:ind w:left="2472" w:right="292"/>
      </w:pPr>
      <w:r>
        <w:rPr>
          <w:color w:val="231F20"/>
        </w:rPr>
        <w:t>Use the properties editor to change the general properties of the workspace and to customize the appearance and behavior of the views in that workspace. Every workspace has general properties and an additional set of properties for each </w:t>
      </w:r>
      <w:r>
        <w:rPr>
          <w:color w:val="231F20"/>
        </w:rPr>
        <w:t>view</w:t>
      </w:r>
      <w:r>
        <w:rPr>
          <w:color w:val="231F20"/>
          <w:spacing w:val="80"/>
        </w:rPr>
        <w:t> </w:t>
      </w:r>
      <w:r>
        <w:rPr>
          <w:color w:val="231F20"/>
        </w:rPr>
        <w:t>it contains.</w:t>
      </w:r>
    </w:p>
    <w:p>
      <w:pPr>
        <w:pStyle w:val="BodyText"/>
        <w:spacing w:line="213" w:lineRule="auto" w:before="236"/>
        <w:ind w:left="2472" w:right="385"/>
      </w:pPr>
      <w:r>
        <w:rPr>
          <w:color w:val="231F20"/>
        </w:rPr>
        <w:t>Clicking </w:t>
      </w:r>
      <w:r>
        <w:rPr>
          <w:color w:val="231F20"/>
          <w:spacing w:val="16"/>
          <w:position w:val="-1"/>
        </w:rPr>
        <w:drawing>
          <wp:inline distT="0" distB="0" distL="0" distR="0">
            <wp:extent cx="101600" cy="95250"/>
            <wp:effectExtent l="0" t="0" r="0" b="0"/>
            <wp:docPr id="927" name="Image 927"/>
            <wp:cNvGraphicFramePr>
              <a:graphicFrameLocks/>
            </wp:cNvGraphicFramePr>
            <a:graphic>
              <a:graphicData uri="http://schemas.openxmlformats.org/drawingml/2006/picture">
                <pic:pic>
                  <pic:nvPicPr>
                    <pic:cNvPr id="927" name="Image 927"/>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Properties </w:t>
      </w:r>
      <w:r>
        <w:rPr>
          <w:color w:val="231F20"/>
        </w:rPr>
        <w:t>in the main toolbar or</w:t>
      </w:r>
      <w:r>
        <w:rPr>
          <w:color w:val="231F20"/>
          <w:spacing w:val="40"/>
        </w:rPr>
        <w:t> </w:t>
      </w:r>
      <w:r>
        <w:rPr>
          <w:color w:val="231F20"/>
          <w:spacing w:val="5"/>
          <w:position w:val="1"/>
        </w:rPr>
        <w:drawing>
          <wp:inline distT="0" distB="0" distL="0" distR="0">
            <wp:extent cx="57150" cy="57150"/>
            <wp:effectExtent l="0" t="0" r="0" b="0"/>
            <wp:docPr id="928" name="Image 928"/>
            <wp:cNvGraphicFramePr>
              <a:graphicFrameLocks/>
            </wp:cNvGraphicFramePr>
            <a:graphic>
              <a:graphicData uri="http://schemas.openxmlformats.org/drawingml/2006/picture">
                <pic:pic>
                  <pic:nvPicPr>
                    <pic:cNvPr id="928" name="Image 928"/>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 view's title bar opens the Properties editor. The Properties tree shows the name of the workspace at the top of the hierarchy, followed by a Views folder, then folders for every type of view in the workspace. Appearing to the right of the tree are the</w:t>
      </w:r>
      <w:r>
        <w:rPr>
          <w:color w:val="231F20"/>
          <w:spacing w:val="40"/>
        </w:rPr>
        <w:t> </w:t>
      </w:r>
      <w:r>
        <w:rPr>
          <w:color w:val="231F20"/>
        </w:rPr>
        <w:t>workspace properties or view properties, depending on which is selected in the</w:t>
      </w:r>
      <w:r>
        <w:rPr>
          <w:color w:val="231F20"/>
          <w:spacing w:val="40"/>
        </w:rPr>
        <w:t> </w:t>
      </w:r>
      <w:bookmarkStart w:name="Workspace properties" w:id="157"/>
      <w:bookmarkEnd w:id="157"/>
      <w:r>
        <w:rPr>
          <w:color w:val="231F20"/>
          <w:spacing w:val="-2"/>
        </w:rPr>
        <w:t>t</w:t>
      </w:r>
      <w:r>
        <w:rPr>
          <w:color w:val="231F20"/>
          <w:spacing w:val="-2"/>
        </w:rPr>
        <w:t>ree.</w:t>
      </w:r>
    </w:p>
    <w:p>
      <w:pPr>
        <w:pStyle w:val="Heading4"/>
        <w:spacing w:line="273" w:lineRule="exact" w:before="163"/>
        <w:ind w:left="2472"/>
      </w:pPr>
      <w:r>
        <w:rPr>
          <w:color w:val="231F20"/>
        </w:rPr>
        <w:t>Workspace</w:t>
      </w:r>
      <w:r>
        <w:rPr>
          <w:color w:val="231F20"/>
          <w:spacing w:val="-5"/>
        </w:rPr>
        <w:t> </w:t>
      </w:r>
      <w:r>
        <w:rPr>
          <w:color w:val="231F20"/>
          <w:spacing w:val="-2"/>
        </w:rPr>
        <w:t>properties</w:t>
      </w:r>
    </w:p>
    <w:p>
      <w:pPr>
        <w:pStyle w:val="BodyText"/>
        <w:spacing w:line="213" w:lineRule="auto" w:before="19"/>
        <w:ind w:left="2472" w:right="274"/>
      </w:pPr>
      <w:r>
        <w:rPr>
          <w:color w:val="231F20"/>
        </w:rPr>
        <w:t>Every workspace has a name and general characteristics defined in the </w:t>
      </w:r>
      <w:r>
        <w:rPr>
          <w:color w:val="231F20"/>
        </w:rPr>
        <w:t>workspace </w:t>
      </w:r>
      <w:r>
        <w:rPr>
          <w:color w:val="231F20"/>
          <w:spacing w:val="-2"/>
        </w:rPr>
        <w:t>properties.</w:t>
      </w:r>
    </w:p>
    <w:p>
      <w:pPr>
        <w:pStyle w:val="BodyText"/>
        <w:spacing w:line="213" w:lineRule="auto" w:before="239"/>
        <w:ind w:left="2472" w:right="385"/>
      </w:pPr>
      <w:r>
        <w:rPr>
          <w:color w:val="231F20"/>
        </w:rPr>
        <w:t>When you save a new workspace with </w:t>
      </w:r>
      <w:r>
        <w:rPr>
          <w:rFonts w:ascii="Book Antiqua" w:hAnsi="Book Antiqua"/>
          <w:b/>
          <w:color w:val="231F20"/>
        </w:rPr>
        <w:t>File </w:t>
      </w:r>
      <w:r>
        <w:rPr>
          <w:rFonts w:ascii="Arial" w:hAnsi="Arial"/>
          <w:b/>
          <w:color w:val="231F20"/>
          <w:w w:val="90"/>
        </w:rPr>
        <w:t>→ </w:t>
      </w:r>
      <w:r>
        <w:rPr>
          <w:rFonts w:ascii="Book Antiqua" w:hAnsi="Book Antiqua"/>
          <w:b/>
          <w:color w:val="231F20"/>
        </w:rPr>
        <w:t>Save Workspace As</w:t>
      </w:r>
      <w:r>
        <w:rPr>
          <w:color w:val="231F20"/>
        </w:rPr>
        <w:t>, click </w:t>
      </w:r>
      <w:r>
        <w:rPr>
          <w:color w:val="231F20"/>
          <w:spacing w:val="15"/>
          <w:position w:val="-1"/>
        </w:rPr>
        <w:drawing>
          <wp:inline distT="0" distB="0" distL="0" distR="0">
            <wp:extent cx="101600" cy="95250"/>
            <wp:effectExtent l="0" t="0" r="0" b="0"/>
            <wp:docPr id="929" name="Image 929"/>
            <wp:cNvGraphicFramePr>
              <a:graphicFrameLocks/>
            </wp:cNvGraphicFramePr>
            <a:graphic>
              <a:graphicData uri="http://schemas.openxmlformats.org/drawingml/2006/picture">
                <pic:pic>
                  <pic:nvPicPr>
                    <pic:cNvPr id="929" name="Image 929"/>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hAnsi="Times New Roman"/>
          <w:color w:val="231F20"/>
          <w:spacing w:val="15"/>
          <w:position w:val="-1"/>
        </w:rPr>
        <w:t> </w:t>
      </w:r>
      <w:r>
        <w:rPr>
          <w:rFonts w:ascii="Book Antiqua" w:hAnsi="Book Antiqua"/>
          <w:b/>
          <w:color w:val="231F20"/>
        </w:rPr>
        <w:t>Properties</w:t>
      </w:r>
      <w:r>
        <w:rPr>
          <w:color w:val="231F20"/>
        </w:rPr>
        <w:t>, or, if the Properties editor is already open, click the top item in the tree</w:t>
      </w:r>
      <w:r>
        <w:rPr>
          <w:color w:val="231F20"/>
          <w:spacing w:val="40"/>
        </w:rPr>
        <w:t> </w:t>
      </w:r>
      <w:r>
        <w:rPr>
          <w:color w:val="231F20"/>
        </w:rPr>
        <w:t>to see the workspace properties.</w:t>
      </w:r>
    </w:p>
    <w:p>
      <w:pPr>
        <w:pStyle w:val="Heading6"/>
        <w:spacing w:line="240" w:lineRule="auto" w:before="116"/>
      </w:pPr>
      <w:r>
        <w:rPr>
          <w:color w:val="231F20"/>
          <w:spacing w:val="-2"/>
        </w:rPr>
        <w:t>Workspace</w:t>
      </w:r>
      <w:r>
        <w:rPr>
          <w:color w:val="231F20"/>
          <w:spacing w:val="8"/>
        </w:rPr>
        <w:t> </w:t>
      </w:r>
      <w:r>
        <w:rPr>
          <w:color w:val="231F20"/>
          <w:spacing w:val="-2"/>
        </w:rPr>
        <w:t>Identity</w:t>
      </w:r>
    </w:p>
    <w:p>
      <w:pPr>
        <w:pStyle w:val="BodyText"/>
        <w:spacing w:line="213" w:lineRule="auto" w:before="119"/>
        <w:ind w:left="3909" w:right="258" w:hanging="719"/>
      </w:pPr>
      <w:r>
        <w:rPr>
          <w:rFonts w:ascii="Book Antiqua" w:hAnsi="Book Antiqua"/>
          <w:b/>
          <w:color w:val="231F20"/>
        </w:rPr>
        <w:t>Name</w:t>
      </w:r>
      <w:r>
        <w:rPr>
          <w:rFonts w:ascii="Book Antiqua" w:hAnsi="Book Antiqua"/>
          <w:b/>
          <w:color w:val="231F20"/>
          <w:spacing w:val="80"/>
        </w:rPr>
        <w:t> </w:t>
      </w:r>
      <w:r>
        <w:rPr>
          <w:color w:val="231F20"/>
        </w:rPr>
        <w:t>The title of the workspace. The workspace name is displayed in </w:t>
      </w:r>
      <w:r>
        <w:rPr>
          <w:color w:val="231F20"/>
        </w:rPr>
        <w:t>the title bar or browser mode banner, in the </w:t>
      </w:r>
      <w:r>
        <w:rPr>
          <w:rFonts w:ascii="Book Antiqua" w:hAnsi="Book Antiqua"/>
          <w:b/>
          <w:color w:val="231F20"/>
        </w:rPr>
        <w:t>View </w:t>
      </w:r>
      <w:r>
        <w:rPr>
          <w:rFonts w:ascii="Arial" w:hAnsi="Arial"/>
          <w:b/>
          <w:color w:val="231F20"/>
          <w:w w:val="90"/>
        </w:rPr>
        <w:t>→ </w:t>
      </w:r>
      <w:r>
        <w:rPr>
          <w:rFonts w:ascii="Book Antiqua" w:hAnsi="Book Antiqua"/>
          <w:b/>
          <w:color w:val="231F20"/>
        </w:rPr>
        <w:t>Workspace </w:t>
      </w:r>
      <w:r>
        <w:rPr>
          <w:color w:val="231F20"/>
        </w:rPr>
        <w:t>list, or in the </w:t>
      </w:r>
      <w:r>
        <w:rPr>
          <w:rFonts w:ascii="Book Antiqua" w:hAnsi="Book Antiqua"/>
          <w:b/>
          <w:color w:val="231F20"/>
        </w:rPr>
        <w:t>Link To </w:t>
      </w:r>
      <w:r>
        <w:rPr>
          <w:color w:val="231F20"/>
        </w:rPr>
        <w:t>list menu, depending on how you have set the workspace options (see below). Do not use an &amp; ampersand or # pound sign in the title.</w:t>
      </w:r>
    </w:p>
    <w:p>
      <w:pPr>
        <w:pStyle w:val="Heading6"/>
        <w:spacing w:before="116"/>
        <w:ind w:left="3190"/>
      </w:pPr>
      <w:r>
        <w:rPr>
          <w:color w:val="231F20"/>
          <w:spacing w:val="-2"/>
        </w:rPr>
        <w:t>Description</w:t>
      </w:r>
    </w:p>
    <w:p>
      <w:pPr>
        <w:pStyle w:val="BodyText"/>
        <w:spacing w:line="213" w:lineRule="auto" w:before="11"/>
        <w:ind w:left="3909"/>
      </w:pPr>
      <w:r>
        <w:rPr>
          <w:color w:val="231F20"/>
        </w:rPr>
        <w:t>Optional. The description can be a full text description of </w:t>
      </w:r>
      <w:r>
        <w:rPr>
          <w:color w:val="231F20"/>
        </w:rPr>
        <w:t>the </w:t>
      </w:r>
      <w:r>
        <w:rPr>
          <w:color w:val="231F20"/>
          <w:spacing w:val="-2"/>
        </w:rPr>
        <w:t>workspace.</w:t>
      </w:r>
    </w:p>
    <w:p>
      <w:pPr>
        <w:pStyle w:val="Heading6"/>
        <w:spacing w:line="240" w:lineRule="auto"/>
      </w:pPr>
      <w:r>
        <w:rPr>
          <w:color w:val="231F20"/>
          <w:spacing w:val="-2"/>
        </w:rPr>
        <w:t>Workspace</w:t>
      </w:r>
      <w:r>
        <w:rPr>
          <w:color w:val="231F20"/>
          <w:spacing w:val="8"/>
        </w:rPr>
        <w:t> </w:t>
      </w:r>
      <w:r>
        <w:rPr>
          <w:color w:val="231F20"/>
          <w:spacing w:val="-2"/>
        </w:rPr>
        <w:t>Options</w:t>
      </w:r>
    </w:p>
    <w:p>
      <w:pPr>
        <w:spacing w:line="227" w:lineRule="exact" w:before="123"/>
        <w:ind w:left="3190" w:right="0" w:firstLine="0"/>
        <w:jc w:val="left"/>
        <w:rPr>
          <w:rFonts w:ascii="Book Antiqua"/>
          <w:b/>
          <w:sz w:val="20"/>
        </w:rPr>
      </w:pPr>
      <w:r>
        <w:rPr/>
        <w:drawing>
          <wp:inline distT="0" distB="0" distL="0" distR="0">
            <wp:extent cx="82550" cy="82550"/>
            <wp:effectExtent l="0" t="0" r="0" b="0"/>
            <wp:docPr id="930" name="Image 930"/>
            <wp:cNvGraphicFramePr>
              <a:graphicFrameLocks/>
            </wp:cNvGraphicFramePr>
            <a:graphic>
              <a:graphicData uri="http://schemas.openxmlformats.org/drawingml/2006/picture">
                <pic:pic>
                  <pic:nvPicPr>
                    <pic:cNvPr id="930" name="Image 93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80"/>
          <w:sz w:val="20"/>
        </w:rPr>
        <w:t> </w:t>
      </w:r>
      <w:r>
        <w:rPr>
          <w:rFonts w:ascii="Book Antiqua"/>
          <w:b/>
          <w:color w:val="231F20"/>
          <w:sz w:val="20"/>
        </w:rPr>
        <w:t>Assign</w:t>
      </w:r>
      <w:r>
        <w:rPr>
          <w:rFonts w:ascii="Book Antiqua"/>
          <w:b/>
          <w:color w:val="231F20"/>
          <w:spacing w:val="23"/>
          <w:sz w:val="20"/>
        </w:rPr>
        <w:t> </w:t>
      </w:r>
      <w:r>
        <w:rPr>
          <w:rFonts w:ascii="Book Antiqua"/>
          <w:b/>
          <w:color w:val="231F20"/>
          <w:sz w:val="20"/>
        </w:rPr>
        <w:t>as</w:t>
      </w:r>
      <w:r>
        <w:rPr>
          <w:rFonts w:ascii="Book Antiqua"/>
          <w:b/>
          <w:color w:val="231F20"/>
          <w:spacing w:val="23"/>
          <w:sz w:val="20"/>
        </w:rPr>
        <w:t> </w:t>
      </w:r>
      <w:r>
        <w:rPr>
          <w:rFonts w:ascii="Book Antiqua"/>
          <w:b/>
          <w:color w:val="231F20"/>
          <w:sz w:val="20"/>
        </w:rPr>
        <w:t>default</w:t>
      </w:r>
      <w:r>
        <w:rPr>
          <w:rFonts w:ascii="Book Antiqua"/>
          <w:b/>
          <w:color w:val="231F20"/>
          <w:spacing w:val="23"/>
          <w:sz w:val="20"/>
        </w:rPr>
        <w:t> </w:t>
      </w:r>
      <w:r>
        <w:rPr>
          <w:rFonts w:ascii="Book Antiqua"/>
          <w:b/>
          <w:color w:val="231F20"/>
          <w:sz w:val="20"/>
        </w:rPr>
        <w:t>for</w:t>
      </w:r>
      <w:r>
        <w:rPr>
          <w:rFonts w:ascii="Book Antiqua"/>
          <w:b/>
          <w:color w:val="231F20"/>
          <w:spacing w:val="23"/>
          <w:sz w:val="20"/>
        </w:rPr>
        <w:t> </w:t>
      </w:r>
      <w:r>
        <w:rPr>
          <w:rFonts w:ascii="Book Antiqua"/>
          <w:b/>
          <w:color w:val="231F20"/>
          <w:sz w:val="20"/>
        </w:rPr>
        <w:t>this</w:t>
      </w:r>
      <w:r>
        <w:rPr>
          <w:rFonts w:ascii="Book Antiqua"/>
          <w:b/>
          <w:color w:val="231F20"/>
          <w:spacing w:val="23"/>
          <w:sz w:val="20"/>
        </w:rPr>
        <w:t> </w:t>
      </w:r>
      <w:r>
        <w:rPr>
          <w:rFonts w:ascii="Book Antiqua"/>
          <w:b/>
          <w:color w:val="231F20"/>
          <w:sz w:val="20"/>
        </w:rPr>
        <w:t>Navigator</w:t>
      </w:r>
      <w:r>
        <w:rPr>
          <w:rFonts w:ascii="Book Antiqua"/>
          <w:b/>
          <w:color w:val="231F20"/>
          <w:spacing w:val="23"/>
          <w:sz w:val="20"/>
        </w:rPr>
        <w:t> </w:t>
      </w:r>
      <w:r>
        <w:rPr>
          <w:rFonts w:ascii="Book Antiqua"/>
          <w:b/>
          <w:color w:val="231F20"/>
          <w:sz w:val="20"/>
        </w:rPr>
        <w:t>Item</w:t>
      </w:r>
    </w:p>
    <w:p>
      <w:pPr>
        <w:pStyle w:val="BodyText"/>
        <w:spacing w:line="213" w:lineRule="auto" w:before="9"/>
        <w:ind w:left="3909" w:right="385"/>
      </w:pPr>
      <w:r>
        <w:rPr>
          <w:color w:val="231F20"/>
        </w:rPr>
        <w:t>Makes this workspace the default for the Navigator item (the </w:t>
      </w:r>
      <w:r>
        <w:rPr>
          <w:color w:val="231F20"/>
        </w:rPr>
        <w:t>one that opens when you click the Navigator item).</w:t>
      </w:r>
    </w:p>
    <w:p>
      <w:pPr>
        <w:pStyle w:val="Heading6"/>
        <w:spacing w:line="227" w:lineRule="exact" w:before="122"/>
        <w:ind w:left="3190"/>
      </w:pPr>
      <w:r>
        <w:rPr>
          <w:b w:val="0"/>
        </w:rPr>
        <w:drawing>
          <wp:inline distT="0" distB="0" distL="0" distR="0">
            <wp:extent cx="82550" cy="82550"/>
            <wp:effectExtent l="0" t="0" r="0" b="0"/>
            <wp:docPr id="931" name="Image 931"/>
            <wp:cNvGraphicFramePr>
              <a:graphicFrameLocks/>
            </wp:cNvGraphicFramePr>
            <a:graphic>
              <a:graphicData uri="http://schemas.openxmlformats.org/drawingml/2006/picture">
                <pic:pic>
                  <pic:nvPicPr>
                    <pic:cNvPr id="931" name="Image 931"/>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Assign</w:t>
      </w:r>
      <w:r>
        <w:rPr>
          <w:color w:val="231F20"/>
          <w:spacing w:val="30"/>
        </w:rPr>
        <w:t> </w:t>
      </w:r>
      <w:r>
        <w:rPr>
          <w:color w:val="231F20"/>
        </w:rPr>
        <w:t>as</w:t>
      </w:r>
      <w:r>
        <w:rPr>
          <w:color w:val="231F20"/>
          <w:spacing w:val="30"/>
        </w:rPr>
        <w:t> </w:t>
      </w:r>
      <w:r>
        <w:rPr>
          <w:color w:val="231F20"/>
        </w:rPr>
        <w:t>Home</w:t>
      </w:r>
      <w:r>
        <w:rPr>
          <w:color w:val="231F20"/>
          <w:spacing w:val="30"/>
        </w:rPr>
        <w:t> </w:t>
      </w:r>
      <w:r>
        <w:rPr>
          <w:color w:val="231F20"/>
        </w:rPr>
        <w:t>Workspace</w:t>
      </w:r>
    </w:p>
    <w:p>
      <w:pPr>
        <w:pStyle w:val="BodyText"/>
        <w:spacing w:line="213" w:lineRule="auto" w:before="9"/>
        <w:ind w:left="3909" w:right="545"/>
      </w:pPr>
      <w:r>
        <w:rPr>
          <w:color w:val="231F20"/>
        </w:rPr>
        <w:t>Specifies this as the workspace that opens whenever you </w:t>
      </w:r>
      <w:r>
        <w:rPr>
          <w:color w:val="231F20"/>
        </w:rPr>
        <w:t>start Tivoli Enterprise Portal, much like your browser home page.</w:t>
      </w:r>
    </w:p>
    <w:p>
      <w:pPr>
        <w:spacing w:after="0" w:line="213" w:lineRule="auto"/>
        <w:sectPr>
          <w:type w:val="continuous"/>
          <w:pgSz w:w="12240" w:h="15840"/>
          <w:pgMar w:header="0" w:footer="736" w:top="1300" w:bottom="920" w:left="1000" w:right="1060"/>
        </w:sectPr>
      </w:pPr>
    </w:p>
    <w:p>
      <w:pPr>
        <w:pStyle w:val="Heading6"/>
        <w:spacing w:line="227" w:lineRule="exact" w:before="88"/>
        <w:ind w:left="2951"/>
      </w:pPr>
      <w:bookmarkStart w:name="_bookmark69" w:id="158"/>
      <w:bookmarkEnd w:id="158"/>
      <w:r>
        <w:rPr>
          <w:b w:val="0"/>
        </w:rPr>
      </w:r>
      <w:r>
        <w:rPr>
          <w:b w:val="0"/>
        </w:rPr>
        <w:drawing>
          <wp:inline distT="0" distB="0" distL="0" distR="0">
            <wp:extent cx="82550" cy="82550"/>
            <wp:effectExtent l="0" t="0" r="0" b="0"/>
            <wp:docPr id="932" name="Image 932"/>
            <wp:cNvGraphicFramePr>
              <a:graphicFrameLocks/>
            </wp:cNvGraphicFramePr>
            <a:graphic>
              <a:graphicData uri="http://schemas.openxmlformats.org/drawingml/2006/picture">
                <pic:pic>
                  <pic:nvPicPr>
                    <pic:cNvPr id="932" name="Image 932"/>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Do</w:t>
      </w:r>
      <w:r>
        <w:rPr>
          <w:color w:val="231F20"/>
          <w:spacing w:val="31"/>
        </w:rPr>
        <w:t> </w:t>
      </w:r>
      <w:r>
        <w:rPr>
          <w:color w:val="231F20"/>
        </w:rPr>
        <w:t>not</w:t>
      </w:r>
      <w:r>
        <w:rPr>
          <w:color w:val="231F20"/>
          <w:spacing w:val="31"/>
        </w:rPr>
        <w:t> </w:t>
      </w:r>
      <w:r>
        <w:rPr>
          <w:color w:val="231F20"/>
        </w:rPr>
        <w:t>allow</w:t>
      </w:r>
      <w:r>
        <w:rPr>
          <w:color w:val="231F20"/>
          <w:spacing w:val="31"/>
        </w:rPr>
        <w:t> </w:t>
      </w:r>
      <w:r>
        <w:rPr>
          <w:color w:val="231F20"/>
        </w:rPr>
        <w:t>modifications</w:t>
      </w:r>
    </w:p>
    <w:p>
      <w:pPr>
        <w:pStyle w:val="BodyText"/>
        <w:spacing w:line="213" w:lineRule="auto" w:before="9"/>
        <w:ind w:left="3669" w:right="488"/>
      </w:pPr>
      <w:r>
        <w:rPr>
          <w:color w:val="231F20"/>
        </w:rPr>
        <w:t>Protects the workspace from permanent changes and must be selected when you are editing in Workspace administration mode. Users who have access to this workspace can change it </w:t>
      </w:r>
      <w:r>
        <w:rPr>
          <w:color w:val="231F20"/>
        </w:rPr>
        <w:t>temporarily, but if they attempt to</w:t>
      </w:r>
      <w:r>
        <w:rPr>
          <w:color w:val="231F20"/>
          <w:spacing w:val="37"/>
        </w:rPr>
        <w:t> </w:t>
      </w:r>
      <w:r>
        <w:rPr>
          <w:color w:val="231F20"/>
          <w:spacing w:val="-25"/>
          <w:position w:val="-1"/>
        </w:rPr>
        <w:drawing>
          <wp:inline distT="0" distB="0" distL="0" distR="0">
            <wp:extent cx="95250" cy="95250"/>
            <wp:effectExtent l="0" t="0" r="0" b="0"/>
            <wp:docPr id="933" name="Image 933"/>
            <wp:cNvGraphicFramePr>
              <a:graphicFrameLocks/>
            </wp:cNvGraphicFramePr>
            <a:graphic>
              <a:graphicData uri="http://schemas.openxmlformats.org/drawingml/2006/picture">
                <pic:pic>
                  <pic:nvPicPr>
                    <pic:cNvPr id="933" name="Image 933"/>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save, the Save Workspace As window opens</w:t>
      </w:r>
      <w:r>
        <w:rPr>
          <w:color w:val="231F20"/>
          <w:spacing w:val="27"/>
        </w:rPr>
        <w:t> </w:t>
      </w:r>
      <w:r>
        <w:rPr>
          <w:color w:val="231F20"/>
        </w:rPr>
        <w:t>so</w:t>
      </w:r>
      <w:r>
        <w:rPr>
          <w:color w:val="231F20"/>
          <w:spacing w:val="27"/>
        </w:rPr>
        <w:t> </w:t>
      </w:r>
      <w:r>
        <w:rPr>
          <w:color w:val="231F20"/>
        </w:rPr>
        <w:t>that</w:t>
      </w:r>
      <w:r>
        <w:rPr>
          <w:color w:val="231F20"/>
          <w:spacing w:val="27"/>
        </w:rPr>
        <w:t> </w:t>
      </w:r>
      <w:r>
        <w:rPr>
          <w:color w:val="231F20"/>
        </w:rPr>
        <w:t>it</w:t>
      </w:r>
      <w:r>
        <w:rPr>
          <w:color w:val="231F20"/>
          <w:spacing w:val="27"/>
        </w:rPr>
        <w:t> </w:t>
      </w:r>
      <w:r>
        <w:rPr>
          <w:color w:val="231F20"/>
        </w:rPr>
        <w:t>is</w:t>
      </w:r>
      <w:r>
        <w:rPr>
          <w:color w:val="231F20"/>
          <w:spacing w:val="27"/>
        </w:rPr>
        <w:t> </w:t>
      </w:r>
      <w:r>
        <w:rPr>
          <w:color w:val="231F20"/>
        </w:rPr>
        <w:t>saved</w:t>
      </w:r>
      <w:r>
        <w:rPr>
          <w:color w:val="231F20"/>
          <w:spacing w:val="27"/>
        </w:rPr>
        <w:t> </w:t>
      </w:r>
      <w:r>
        <w:rPr>
          <w:color w:val="231F20"/>
        </w:rPr>
        <w:t>as</w:t>
      </w:r>
      <w:r>
        <w:rPr>
          <w:color w:val="231F20"/>
          <w:spacing w:val="27"/>
        </w:rPr>
        <w:t> </w:t>
      </w:r>
      <w:r>
        <w:rPr>
          <w:color w:val="231F20"/>
        </w:rPr>
        <w:t>a</w:t>
      </w:r>
      <w:r>
        <w:rPr>
          <w:color w:val="231F20"/>
          <w:spacing w:val="27"/>
        </w:rPr>
        <w:t> </w:t>
      </w:r>
      <w:r>
        <w:rPr>
          <w:color w:val="231F20"/>
        </w:rPr>
        <w:t>new</w:t>
      </w:r>
      <w:r>
        <w:rPr>
          <w:color w:val="231F20"/>
          <w:spacing w:val="27"/>
        </w:rPr>
        <w:t> </w:t>
      </w:r>
      <w:r>
        <w:rPr>
          <w:color w:val="231F20"/>
        </w:rPr>
        <w:t>workspace</w:t>
      </w:r>
      <w:r>
        <w:rPr>
          <w:color w:val="231F20"/>
          <w:spacing w:val="27"/>
        </w:rPr>
        <w:t> </w:t>
      </w:r>
      <w:r>
        <w:rPr>
          <w:color w:val="231F20"/>
        </w:rPr>
        <w:t>with</w:t>
      </w:r>
      <w:r>
        <w:rPr>
          <w:color w:val="231F20"/>
          <w:spacing w:val="27"/>
        </w:rPr>
        <w:t> </w:t>
      </w:r>
      <w:r>
        <w:rPr>
          <w:color w:val="231F20"/>
        </w:rPr>
        <w:t>a</w:t>
      </w:r>
      <w:r>
        <w:rPr>
          <w:color w:val="231F20"/>
          <w:spacing w:val="27"/>
        </w:rPr>
        <w:t> </w:t>
      </w:r>
      <w:r>
        <w:rPr>
          <w:color w:val="231F20"/>
        </w:rPr>
        <w:t>different name. Also, when this item is enabled you cannot delete the </w:t>
      </w:r>
      <w:r>
        <w:rPr>
          <w:color w:val="231F20"/>
          <w:spacing w:val="-2"/>
        </w:rPr>
        <w:t>workspace.</w:t>
      </w:r>
    </w:p>
    <w:p>
      <w:pPr>
        <w:pStyle w:val="Heading6"/>
        <w:spacing w:line="227" w:lineRule="exact" w:before="119"/>
        <w:ind w:left="2951"/>
      </w:pPr>
      <w:r>
        <w:rPr>
          <w:b w:val="0"/>
        </w:rPr>
        <w:drawing>
          <wp:inline distT="0" distB="0" distL="0" distR="0">
            <wp:extent cx="82550" cy="82550"/>
            <wp:effectExtent l="0" t="0" r="0" b="0"/>
            <wp:docPr id="934" name="Image 934"/>
            <wp:cNvGraphicFramePr>
              <a:graphicFrameLocks/>
            </wp:cNvGraphicFramePr>
            <a:graphic>
              <a:graphicData uri="http://schemas.openxmlformats.org/drawingml/2006/picture">
                <pic:pic>
                  <pic:nvPicPr>
                    <pic:cNvPr id="934" name="Image 934"/>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Only</w:t>
      </w:r>
      <w:r>
        <w:rPr>
          <w:color w:val="231F20"/>
          <w:spacing w:val="19"/>
        </w:rPr>
        <w:t> </w:t>
      </w:r>
      <w:r>
        <w:rPr>
          <w:color w:val="231F20"/>
        </w:rPr>
        <w:t>selectable</w:t>
      </w:r>
      <w:r>
        <w:rPr>
          <w:color w:val="231F20"/>
          <w:spacing w:val="19"/>
        </w:rPr>
        <w:t> </w:t>
      </w:r>
      <w:r>
        <w:rPr>
          <w:color w:val="231F20"/>
        </w:rPr>
        <w:t>as</w:t>
      </w:r>
      <w:r>
        <w:rPr>
          <w:color w:val="231F20"/>
          <w:spacing w:val="19"/>
        </w:rPr>
        <w:t> </w:t>
      </w:r>
      <w:r>
        <w:rPr>
          <w:color w:val="231F20"/>
        </w:rPr>
        <w:t>the</w:t>
      </w:r>
      <w:r>
        <w:rPr>
          <w:color w:val="231F20"/>
          <w:spacing w:val="19"/>
        </w:rPr>
        <w:t> </w:t>
      </w:r>
      <w:r>
        <w:rPr>
          <w:color w:val="231F20"/>
        </w:rPr>
        <w:t>target</w:t>
      </w:r>
      <w:r>
        <w:rPr>
          <w:color w:val="231F20"/>
          <w:spacing w:val="19"/>
        </w:rPr>
        <w:t> </w:t>
      </w:r>
      <w:r>
        <w:rPr>
          <w:color w:val="231F20"/>
        </w:rPr>
        <w:t>of</w:t>
      </w:r>
      <w:r>
        <w:rPr>
          <w:color w:val="231F20"/>
          <w:spacing w:val="19"/>
        </w:rPr>
        <w:t> </w:t>
      </w:r>
      <w:r>
        <w:rPr>
          <w:color w:val="231F20"/>
        </w:rPr>
        <w:t>a</w:t>
      </w:r>
      <w:r>
        <w:rPr>
          <w:color w:val="231F20"/>
          <w:spacing w:val="19"/>
        </w:rPr>
        <w:t> </w:t>
      </w:r>
      <w:r>
        <w:rPr>
          <w:color w:val="231F20"/>
        </w:rPr>
        <w:t>Workspace</w:t>
      </w:r>
      <w:r>
        <w:rPr>
          <w:color w:val="231F20"/>
          <w:spacing w:val="19"/>
        </w:rPr>
        <w:t> </w:t>
      </w:r>
      <w:r>
        <w:rPr>
          <w:color w:val="231F20"/>
        </w:rPr>
        <w:t>Link</w:t>
      </w:r>
    </w:p>
    <w:p>
      <w:pPr>
        <w:pStyle w:val="BodyText"/>
        <w:spacing w:line="213" w:lineRule="auto" w:before="9"/>
        <w:ind w:left="3669" w:right="603"/>
      </w:pPr>
      <w:r>
        <w:rPr>
          <w:color w:val="231F20"/>
        </w:rPr>
        <w:t>Marks the workspace as hidden except when it is a possible </w:t>
      </w:r>
      <w:r>
        <w:rPr>
          <w:color w:val="231F20"/>
        </w:rPr>
        <w:t>Link To destination. The workspace does not display in the list of available workspaces for a Navigator item.</w:t>
      </w:r>
    </w:p>
    <w:p>
      <w:pPr>
        <w:pStyle w:val="Heading6"/>
        <w:spacing w:line="227" w:lineRule="exact" w:before="121"/>
        <w:ind w:left="2951"/>
      </w:pPr>
      <w:r>
        <w:rPr>
          <w:b w:val="0"/>
        </w:rPr>
        <w:drawing>
          <wp:inline distT="0" distB="0" distL="0" distR="0">
            <wp:extent cx="82550" cy="82550"/>
            <wp:effectExtent l="0" t="0" r="0" b="0"/>
            <wp:docPr id="935" name="Image 935"/>
            <wp:cNvGraphicFramePr>
              <a:graphicFrameLocks/>
            </wp:cNvGraphicFramePr>
            <a:graphic>
              <a:graphicData uri="http://schemas.openxmlformats.org/drawingml/2006/picture">
                <pic:pic>
                  <pic:nvPicPr>
                    <pic:cNvPr id="935" name="Image 935"/>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Always</w:t>
      </w:r>
      <w:r>
        <w:rPr>
          <w:color w:val="231F20"/>
          <w:spacing w:val="24"/>
        </w:rPr>
        <w:t> </w:t>
      </w:r>
      <w:r>
        <w:rPr>
          <w:color w:val="231F20"/>
        </w:rPr>
        <w:t>open</w:t>
      </w:r>
      <w:r>
        <w:rPr>
          <w:color w:val="231F20"/>
          <w:spacing w:val="24"/>
        </w:rPr>
        <w:t> </w:t>
      </w:r>
      <w:r>
        <w:rPr>
          <w:color w:val="231F20"/>
        </w:rPr>
        <w:t>workspace</w:t>
      </w:r>
      <w:r>
        <w:rPr>
          <w:color w:val="231F20"/>
          <w:spacing w:val="24"/>
        </w:rPr>
        <w:t> </w:t>
      </w:r>
      <w:r>
        <w:rPr>
          <w:color w:val="231F20"/>
        </w:rPr>
        <w:t>in</w:t>
      </w:r>
      <w:r>
        <w:rPr>
          <w:color w:val="231F20"/>
          <w:spacing w:val="24"/>
        </w:rPr>
        <w:t> </w:t>
      </w:r>
      <w:r>
        <w:rPr>
          <w:color w:val="231F20"/>
        </w:rPr>
        <w:t>new</w:t>
      </w:r>
      <w:r>
        <w:rPr>
          <w:color w:val="231F20"/>
          <w:spacing w:val="24"/>
        </w:rPr>
        <w:t> </w:t>
      </w:r>
      <w:r>
        <w:rPr>
          <w:color w:val="231F20"/>
        </w:rPr>
        <w:t>window</w:t>
      </w:r>
    </w:p>
    <w:p>
      <w:pPr>
        <w:pStyle w:val="BodyText"/>
        <w:spacing w:line="213" w:lineRule="auto" w:before="9"/>
        <w:ind w:left="3669"/>
      </w:pPr>
      <w:r>
        <w:rPr>
          <w:color w:val="231F20"/>
        </w:rPr>
        <w:t>When enabled, this option causes the workspace to open in a </w:t>
      </w:r>
      <w:r>
        <w:rPr>
          <w:color w:val="231F20"/>
        </w:rPr>
        <w:t>new </w:t>
      </w:r>
      <w:bookmarkStart w:name="View properties" w:id="159"/>
      <w:bookmarkEnd w:id="159"/>
      <w:r>
        <w:rPr>
          <w:color w:val="231F20"/>
        </w:rPr>
        <w:t>windo</w:t>
      </w:r>
      <w:r>
        <w:rPr>
          <w:color w:val="231F20"/>
        </w:rPr>
        <w:t>w, or in a new tab if your browser supports tabbed pages.</w:t>
      </w:r>
    </w:p>
    <w:p>
      <w:pPr>
        <w:pStyle w:val="Heading4"/>
        <w:spacing w:line="273" w:lineRule="exact" w:before="165"/>
      </w:pPr>
      <w:r>
        <w:rPr>
          <w:color w:val="231F20"/>
        </w:rPr>
        <w:t>View</w:t>
      </w:r>
      <w:r>
        <w:rPr>
          <w:color w:val="231F20"/>
          <w:spacing w:val="2"/>
        </w:rPr>
        <w:t> </w:t>
      </w:r>
      <w:r>
        <w:rPr>
          <w:color w:val="231F20"/>
          <w:spacing w:val="-2"/>
        </w:rPr>
        <w:t>properties</w:t>
      </w:r>
    </w:p>
    <w:p>
      <w:pPr>
        <w:pStyle w:val="BodyText"/>
        <w:spacing w:line="267" w:lineRule="exact"/>
        <w:ind w:left="2232"/>
      </w:pPr>
      <w:r>
        <w:rPr>
          <w:color w:val="231F20"/>
        </w:rPr>
        <w:t>Edit</w:t>
      </w:r>
      <w:r>
        <w:rPr>
          <w:color w:val="231F20"/>
          <w:spacing w:val="10"/>
        </w:rPr>
        <w:t> </w:t>
      </w:r>
      <w:r>
        <w:rPr>
          <w:color w:val="231F20"/>
        </w:rPr>
        <w:t>the</w:t>
      </w:r>
      <w:r>
        <w:rPr>
          <w:color w:val="231F20"/>
          <w:spacing w:val="11"/>
        </w:rPr>
        <w:t> </w:t>
      </w:r>
      <w:r>
        <w:rPr>
          <w:color w:val="231F20"/>
        </w:rPr>
        <w:t>properties</w:t>
      </w:r>
      <w:r>
        <w:rPr>
          <w:color w:val="231F20"/>
          <w:spacing w:val="11"/>
        </w:rPr>
        <w:t> </w:t>
      </w:r>
      <w:r>
        <w:rPr>
          <w:color w:val="231F20"/>
        </w:rPr>
        <w:t>of</w:t>
      </w:r>
      <w:r>
        <w:rPr>
          <w:color w:val="231F20"/>
          <w:spacing w:val="10"/>
        </w:rPr>
        <w:t> </w:t>
      </w:r>
      <w:r>
        <w:rPr>
          <w:color w:val="231F20"/>
        </w:rPr>
        <w:t>a</w:t>
      </w:r>
      <w:r>
        <w:rPr>
          <w:color w:val="231F20"/>
          <w:spacing w:val="11"/>
        </w:rPr>
        <w:t> </w:t>
      </w:r>
      <w:r>
        <w:rPr>
          <w:color w:val="231F20"/>
        </w:rPr>
        <w:t>workspace</w:t>
      </w:r>
      <w:r>
        <w:rPr>
          <w:color w:val="231F20"/>
          <w:spacing w:val="11"/>
        </w:rPr>
        <w:t> </w:t>
      </w:r>
      <w:r>
        <w:rPr>
          <w:color w:val="231F20"/>
        </w:rPr>
        <w:t>view</w:t>
      </w:r>
      <w:r>
        <w:rPr>
          <w:color w:val="231F20"/>
          <w:spacing w:val="10"/>
        </w:rPr>
        <w:t> </w:t>
      </w:r>
      <w:r>
        <w:rPr>
          <w:color w:val="231F20"/>
        </w:rPr>
        <w:t>to</w:t>
      </w:r>
      <w:r>
        <w:rPr>
          <w:color w:val="231F20"/>
          <w:spacing w:val="11"/>
        </w:rPr>
        <w:t> </w:t>
      </w:r>
      <w:r>
        <w:rPr>
          <w:color w:val="231F20"/>
        </w:rPr>
        <w:t>control</w:t>
      </w:r>
      <w:r>
        <w:rPr>
          <w:color w:val="231F20"/>
          <w:spacing w:val="11"/>
        </w:rPr>
        <w:t> </w:t>
      </w:r>
      <w:r>
        <w:rPr>
          <w:color w:val="231F20"/>
        </w:rPr>
        <w:t>its</w:t>
      </w:r>
      <w:r>
        <w:rPr>
          <w:color w:val="231F20"/>
          <w:spacing w:val="10"/>
        </w:rPr>
        <w:t> </w:t>
      </w:r>
      <w:r>
        <w:rPr>
          <w:color w:val="231F20"/>
        </w:rPr>
        <w:t>appearance</w:t>
      </w:r>
      <w:r>
        <w:rPr>
          <w:color w:val="231F20"/>
          <w:spacing w:val="11"/>
        </w:rPr>
        <w:t> </w:t>
      </w:r>
      <w:r>
        <w:rPr>
          <w:color w:val="231F20"/>
        </w:rPr>
        <w:t>and</w:t>
      </w:r>
      <w:r>
        <w:rPr>
          <w:color w:val="231F20"/>
          <w:spacing w:val="11"/>
        </w:rPr>
        <w:t> </w:t>
      </w:r>
      <w:r>
        <w:rPr>
          <w:color w:val="231F20"/>
          <w:spacing w:val="-2"/>
        </w:rPr>
        <w:t>behavior.</w:t>
      </w:r>
    </w:p>
    <w:p>
      <w:pPr>
        <w:pStyle w:val="BodyText"/>
        <w:spacing w:line="213" w:lineRule="auto" w:before="232"/>
        <w:ind w:left="2232" w:right="545"/>
      </w:pPr>
      <w:r>
        <w:rPr>
          <w:color w:val="231F20"/>
        </w:rPr>
        <w:t>The view properties are displayed when you click</w:t>
      </w:r>
      <w:r>
        <w:rPr>
          <w:color w:val="231F20"/>
          <w:spacing w:val="40"/>
        </w:rPr>
        <w:t> </w:t>
      </w:r>
      <w:r>
        <w:rPr>
          <w:color w:val="231F20"/>
          <w:spacing w:val="5"/>
          <w:position w:val="1"/>
        </w:rPr>
        <w:drawing>
          <wp:inline distT="0" distB="0" distL="0" distR="0">
            <wp:extent cx="57150" cy="57150"/>
            <wp:effectExtent l="0" t="0" r="0" b="0"/>
            <wp:docPr id="936" name="Image 936"/>
            <wp:cNvGraphicFramePr>
              <a:graphicFrameLocks/>
            </wp:cNvGraphicFramePr>
            <a:graphic>
              <a:graphicData uri="http://schemas.openxmlformats.org/drawingml/2006/picture">
                <pic:pic>
                  <pic:nvPicPr>
                    <pic:cNvPr id="936" name="Image 936"/>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 view's title bar or when you click the view in the </w:t>
      </w:r>
      <w:r>
        <w:rPr>
          <w:rFonts w:ascii="Book Antiqua"/>
          <w:b/>
          <w:color w:val="231F20"/>
        </w:rPr>
        <w:t>Properties </w:t>
      </w:r>
      <w:r>
        <w:rPr>
          <w:color w:val="231F20"/>
        </w:rPr>
        <w:t>tree in the left pane of the</w:t>
      </w:r>
      <w:r>
        <w:rPr>
          <w:color w:val="231F20"/>
          <w:spacing w:val="80"/>
        </w:rPr>
        <w:t> </w:t>
      </w:r>
      <w:r>
        <w:rPr>
          <w:color w:val="231F20"/>
        </w:rPr>
        <w:t>Properties editor. The view properties open in the right frame with one or more of these tabs, depending on the view type, such as the </w:t>
      </w:r>
      <w:r>
        <w:rPr>
          <w:color w:val="231F20"/>
          <w:spacing w:val="-25"/>
          <w:position w:val="-1"/>
        </w:rPr>
        <w:drawing>
          <wp:inline distT="0" distB="0" distL="0" distR="0">
            <wp:extent cx="88900" cy="95250"/>
            <wp:effectExtent l="0" t="0" r="0" b="0"/>
            <wp:docPr id="937" name="Image 937"/>
            <wp:cNvGraphicFramePr>
              <a:graphicFrameLocks/>
            </wp:cNvGraphicFramePr>
            <a:graphic>
              <a:graphicData uri="http://schemas.openxmlformats.org/drawingml/2006/picture">
                <pic:pic>
                  <pic:nvPicPr>
                    <pic:cNvPr id="937" name="Image 937"/>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rPr>
      </w:r>
      <w:r>
        <w:rPr>
          <w:rFonts w:ascii="Times New Roman"/>
          <w:color w:val="231F20"/>
          <w:spacing w:val="28"/>
        </w:rPr>
        <w:t> </w:t>
      </w:r>
      <w:r>
        <w:rPr>
          <w:rFonts w:ascii="Book Antiqua"/>
          <w:b/>
          <w:color w:val="231F20"/>
        </w:rPr>
        <w:t>Thresholds </w:t>
      </w:r>
      <w:r>
        <w:rPr>
          <w:color w:val="231F20"/>
        </w:rPr>
        <w:t>tab for the </w:t>
      </w:r>
      <w:r>
        <w:rPr>
          <w:color w:val="231F20"/>
        </w:rPr>
        <w:t>table </w:t>
      </w:r>
      <w:r>
        <w:rPr>
          <w:color w:val="231F20"/>
          <w:spacing w:val="-2"/>
        </w:rPr>
        <w:t>view.</w:t>
      </w:r>
    </w:p>
    <w:p>
      <w:pPr>
        <w:pStyle w:val="BodyText"/>
        <w:spacing w:line="213" w:lineRule="auto" w:before="236"/>
        <w:ind w:left="2232" w:right="545"/>
      </w:pPr>
      <w:r>
        <w:rPr>
          <w:rFonts w:ascii="Book Antiqua"/>
          <w:b/>
          <w:color w:val="231F20"/>
        </w:rPr>
        <w:t>Preview </w:t>
      </w:r>
      <w:r>
        <w:rPr>
          <w:color w:val="231F20"/>
        </w:rPr>
        <w:t>is a sample of the view before you selected it in the Properties editor. It</w:t>
      </w:r>
      <w:r>
        <w:rPr>
          <w:color w:val="231F20"/>
          <w:spacing w:val="40"/>
        </w:rPr>
        <w:t> </w:t>
      </w:r>
      <w:r>
        <w:rPr>
          <w:color w:val="231F20"/>
        </w:rPr>
        <w:t>gives you a preview of how the view will look when you save (with </w:t>
      </w:r>
      <w:r>
        <w:rPr>
          <w:rFonts w:ascii="Book Antiqua"/>
          <w:b/>
          <w:color w:val="231F20"/>
        </w:rPr>
        <w:t>Apply </w:t>
      </w:r>
      <w:r>
        <w:rPr>
          <w:color w:val="231F20"/>
        </w:rPr>
        <w:t>or </w:t>
      </w:r>
      <w:r>
        <w:rPr>
          <w:rFonts w:ascii="Book Antiqua"/>
          <w:b/>
          <w:color w:val="231F20"/>
        </w:rPr>
        <w:t>OK</w:t>
      </w:r>
      <w:r>
        <w:rPr>
          <w:color w:val="231F20"/>
        </w:rPr>
        <w:t>)</w:t>
      </w:r>
      <w:r>
        <w:rPr>
          <w:color w:val="231F20"/>
          <w:spacing w:val="40"/>
        </w:rPr>
        <w:t> </w:t>
      </w:r>
      <w:r>
        <w:rPr>
          <w:color w:val="231F20"/>
        </w:rPr>
        <w:t>your changes. Preview is typically used with query-based views whenever you</w:t>
      </w:r>
      <w:r>
        <w:rPr>
          <w:color w:val="231F20"/>
          <w:spacing w:val="80"/>
        </w:rPr>
        <w:t> </w:t>
      </w:r>
      <w:r>
        <w:rPr>
          <w:color w:val="231F20"/>
        </w:rPr>
        <w:t>select a different query or edit the query, define a filter or threshold, or modify the </w:t>
      </w:r>
      <w:r>
        <w:rPr>
          <w:color w:val="231F20"/>
          <w:spacing w:val="-2"/>
        </w:rPr>
        <w:t>style.</w:t>
      </w:r>
    </w:p>
    <w:p>
      <w:pPr>
        <w:pStyle w:val="BodyText"/>
        <w:spacing w:line="213" w:lineRule="auto" w:before="237"/>
        <w:ind w:left="2232" w:right="763"/>
      </w:pPr>
      <w:r>
        <w:rPr>
          <w:rFonts w:ascii="Book Antiqua"/>
          <w:b/>
          <w:color w:val="231F20"/>
        </w:rPr>
        <w:t>Attention:</w:t>
      </w:r>
      <w:r>
        <w:rPr>
          <w:rFonts w:ascii="Book Antiqua"/>
          <w:b/>
          <w:color w:val="231F20"/>
          <w:spacing w:val="80"/>
          <w:w w:val="150"/>
        </w:rPr>
        <w:t> </w:t>
      </w:r>
      <w:r>
        <w:rPr>
          <w:color w:val="231F20"/>
        </w:rPr>
        <w:t>The </w:t>
      </w:r>
      <w:r>
        <w:rPr>
          <w:rFonts w:ascii="Book Antiqua"/>
          <w:b/>
          <w:color w:val="231F20"/>
        </w:rPr>
        <w:t>Preview </w:t>
      </w:r>
      <w:r>
        <w:rPr>
          <w:color w:val="231F20"/>
        </w:rPr>
        <w:t>area is showing a sample of what your view will look</w:t>
      </w:r>
      <w:r>
        <w:rPr>
          <w:color w:val="231F20"/>
          <w:spacing w:val="40"/>
        </w:rPr>
        <w:t> </w:t>
      </w:r>
      <w:r>
        <w:rPr>
          <w:color w:val="231F20"/>
        </w:rPr>
        <w:t>like in the associated workspace. This area is restricted by space constraints </w:t>
      </w:r>
      <w:r>
        <w:rPr>
          <w:color w:val="231F20"/>
        </w:rPr>
        <w:t>and some labels, identifiers, and other view-level adornments might be hidden, truncated, or partially rendered. Your view will be rendered correctly when applied to the associated workspace where space constraints are not a concern.</w:t>
      </w:r>
    </w:p>
    <w:p>
      <w:pPr>
        <w:pStyle w:val="BodyText"/>
        <w:spacing w:line="213" w:lineRule="auto" w:before="236"/>
        <w:ind w:left="2232" w:right="763"/>
      </w:pPr>
      <w:r>
        <w:rPr>
          <w:color w:val="231F20"/>
        </w:rPr>
        <w:t>The editor has buttons to </w:t>
      </w:r>
      <w:r>
        <w:rPr>
          <w:rFonts w:ascii="Book Antiqua"/>
          <w:b/>
          <w:color w:val="231F20"/>
        </w:rPr>
        <w:t>Test </w:t>
      </w:r>
      <w:r>
        <w:rPr>
          <w:color w:val="231F20"/>
        </w:rPr>
        <w:t>your changes in the Preview area to see how they will look, </w:t>
      </w:r>
      <w:r>
        <w:rPr>
          <w:rFonts w:ascii="Book Antiqua"/>
          <w:b/>
          <w:color w:val="231F20"/>
        </w:rPr>
        <w:t>Apply </w:t>
      </w:r>
      <w:r>
        <w:rPr>
          <w:color w:val="231F20"/>
        </w:rPr>
        <w:t>your changes to the view to save them now, and exit with (</w:t>
      </w:r>
      <w:r>
        <w:rPr>
          <w:rFonts w:ascii="Book Antiqua"/>
          <w:b/>
          <w:color w:val="231F20"/>
        </w:rPr>
        <w:t>OK</w:t>
      </w:r>
      <w:r>
        <w:rPr>
          <w:color w:val="231F20"/>
        </w:rPr>
        <w:t>)</w:t>
      </w:r>
      <w:r>
        <w:rPr>
          <w:color w:val="231F20"/>
          <w:spacing w:val="40"/>
        </w:rPr>
        <w:t> </w:t>
      </w:r>
      <w:r>
        <w:rPr>
          <w:color w:val="231F20"/>
        </w:rPr>
        <w:t>or without (</w:t>
      </w:r>
      <w:r>
        <w:rPr>
          <w:rFonts w:ascii="Book Antiqua"/>
          <w:b/>
          <w:color w:val="231F20"/>
        </w:rPr>
        <w:t>Cancel</w:t>
      </w:r>
      <w:r>
        <w:rPr>
          <w:color w:val="231F20"/>
        </w:rPr>
        <w:t>) saving your changes. If you plan to edit more than one view while in the Properties editor, click </w:t>
      </w:r>
      <w:r>
        <w:rPr>
          <w:rFonts w:ascii="Book Antiqua"/>
          <w:b/>
          <w:color w:val="231F20"/>
        </w:rPr>
        <w:t>Apply </w:t>
      </w:r>
      <w:r>
        <w:rPr>
          <w:color w:val="231F20"/>
        </w:rPr>
        <w:t>to save your changes to the first view before editing the next.</w:t>
      </w:r>
    </w:p>
    <w:p>
      <w:pPr>
        <w:pStyle w:val="Heading6"/>
        <w:spacing w:line="240" w:lineRule="auto" w:before="215"/>
        <w:ind w:left="2232"/>
      </w:pPr>
      <w:r>
        <w:rPr>
          <w:color w:val="231F20"/>
          <w:spacing w:val="-2"/>
        </w:rPr>
        <w:t>Query:</w:t>
      </w:r>
    </w:p>
    <w:p>
      <w:pPr>
        <w:pStyle w:val="BodyText"/>
        <w:spacing w:line="213" w:lineRule="auto" w:before="239"/>
        <w:ind w:left="2232" w:right="493"/>
      </w:pPr>
      <w:r>
        <w:rPr>
          <w:color w:val="231F20"/>
        </w:rPr>
        <w:t>A query specifies the attribute values to display in the table view, chart </w:t>
      </w:r>
      <w:r>
        <w:rPr>
          <w:color w:val="231F20"/>
        </w:rPr>
        <w:t>views, relational table-based topology view, and, optionally, the terminal view.</w:t>
      </w:r>
    </w:p>
    <w:p>
      <w:pPr>
        <w:pStyle w:val="BodyText"/>
        <w:spacing w:line="213" w:lineRule="auto" w:before="238"/>
        <w:ind w:left="2232" w:right="545"/>
      </w:pPr>
      <w:r>
        <w:rPr>
          <w:color w:val="231F20"/>
        </w:rPr>
        <w:t>As well as queries of attributes from your managed systems, you can write SQL queries for an ODBC-compliant database. After the data is retrieved, you can </w:t>
      </w:r>
      <w:r>
        <w:rPr>
          <w:color w:val="231F20"/>
        </w:rPr>
        <w:t>filter out any unwanted data from the view.</w:t>
      </w:r>
    </w:p>
    <w:p>
      <w:pPr>
        <w:pStyle w:val="BodyText"/>
        <w:spacing w:line="213" w:lineRule="auto" w:before="237"/>
        <w:ind w:left="2232" w:right="545"/>
      </w:pPr>
      <w:r>
        <w:rPr>
          <w:color w:val="231F20"/>
        </w:rPr>
        <w:t>Multiple</w:t>
      </w:r>
      <w:r>
        <w:rPr>
          <w:color w:val="231F20"/>
          <w:spacing w:val="26"/>
        </w:rPr>
        <w:t> </w:t>
      </w:r>
      <w:r>
        <w:rPr>
          <w:color w:val="231F20"/>
        </w:rPr>
        <w:t>views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workspace</w:t>
      </w:r>
      <w:r>
        <w:rPr>
          <w:color w:val="231F20"/>
          <w:spacing w:val="26"/>
        </w:rPr>
        <w:t> </w:t>
      </w:r>
      <w:r>
        <w:rPr>
          <w:color w:val="231F20"/>
        </w:rPr>
        <w:t>can</w:t>
      </w:r>
      <w:r>
        <w:rPr>
          <w:color w:val="231F20"/>
          <w:spacing w:val="26"/>
        </w:rPr>
        <w:t> </w:t>
      </w:r>
      <w:r>
        <w:rPr>
          <w:color w:val="231F20"/>
        </w:rPr>
        <w:t>use</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data</w:t>
      </w:r>
      <w:r>
        <w:rPr>
          <w:color w:val="231F20"/>
          <w:spacing w:val="26"/>
        </w:rPr>
        <w:t> </w:t>
      </w:r>
      <w:r>
        <w:rPr>
          <w:color w:val="231F20"/>
        </w:rPr>
        <w:t>retrieved</w:t>
      </w:r>
      <w:r>
        <w:rPr>
          <w:color w:val="231F20"/>
          <w:spacing w:val="26"/>
        </w:rPr>
        <w:t> </w:t>
      </w:r>
      <w:r>
        <w:rPr>
          <w:color w:val="231F20"/>
        </w:rPr>
        <w:t>by</w:t>
      </w:r>
      <w:r>
        <w:rPr>
          <w:color w:val="231F20"/>
          <w:spacing w:val="26"/>
        </w:rPr>
        <w:t> </w:t>
      </w:r>
      <w:r>
        <w:rPr>
          <w:color w:val="231F20"/>
        </w:rPr>
        <w:t>the query,</w:t>
      </w:r>
      <w:r>
        <w:rPr>
          <w:color w:val="231F20"/>
          <w:spacing w:val="24"/>
        </w:rPr>
        <w:t> </w:t>
      </w:r>
      <w:r>
        <w:rPr>
          <w:color w:val="231F20"/>
        </w:rPr>
        <w:t>use</w:t>
      </w:r>
      <w:r>
        <w:rPr>
          <w:color w:val="231F20"/>
          <w:spacing w:val="24"/>
        </w:rPr>
        <w:t> </w:t>
      </w:r>
      <w:r>
        <w:rPr>
          <w:color w:val="231F20"/>
        </w:rPr>
        <w:t>their</w:t>
      </w:r>
      <w:r>
        <w:rPr>
          <w:color w:val="231F20"/>
          <w:spacing w:val="24"/>
        </w:rPr>
        <w:t> </w:t>
      </w:r>
      <w:r>
        <w:rPr>
          <w:color w:val="231F20"/>
        </w:rPr>
        <w:t>style</w:t>
      </w:r>
      <w:r>
        <w:rPr>
          <w:color w:val="231F20"/>
          <w:spacing w:val="24"/>
        </w:rPr>
        <w:t> </w:t>
      </w:r>
      <w:r>
        <w:rPr>
          <w:color w:val="231F20"/>
        </w:rPr>
        <w:t>to</w:t>
      </w:r>
      <w:r>
        <w:rPr>
          <w:color w:val="231F20"/>
          <w:spacing w:val="24"/>
        </w:rPr>
        <w:t> </w:t>
      </w:r>
      <w:r>
        <w:rPr>
          <w:color w:val="231F20"/>
        </w:rPr>
        <w:t>format</w:t>
      </w:r>
      <w:r>
        <w:rPr>
          <w:color w:val="231F20"/>
          <w:spacing w:val="24"/>
        </w:rPr>
        <w:t> </w:t>
      </w:r>
      <w:r>
        <w:rPr>
          <w:color w:val="231F20"/>
        </w:rPr>
        <w:t>the</w:t>
      </w:r>
      <w:r>
        <w:rPr>
          <w:color w:val="231F20"/>
          <w:spacing w:val="24"/>
        </w:rPr>
        <w:t> </w:t>
      </w:r>
      <w:r>
        <w:rPr>
          <w:color w:val="231F20"/>
        </w:rPr>
        <w:t>data,</w:t>
      </w:r>
      <w:r>
        <w:rPr>
          <w:color w:val="231F20"/>
          <w:spacing w:val="24"/>
        </w:rPr>
        <w:t> </w:t>
      </w:r>
      <w:r>
        <w:rPr>
          <w:color w:val="231F20"/>
        </w:rPr>
        <w:t>and</w:t>
      </w:r>
      <w:r>
        <w:rPr>
          <w:color w:val="231F20"/>
          <w:spacing w:val="24"/>
        </w:rPr>
        <w:t> </w:t>
      </w:r>
      <w:r>
        <w:rPr>
          <w:color w:val="231F20"/>
        </w:rPr>
        <w:t>filters</w:t>
      </w:r>
      <w:r>
        <w:rPr>
          <w:color w:val="231F20"/>
          <w:spacing w:val="24"/>
        </w:rPr>
        <w:t> </w:t>
      </w:r>
      <w:r>
        <w:rPr>
          <w:color w:val="231F20"/>
        </w:rPr>
        <w:t>to</w:t>
      </w:r>
      <w:r>
        <w:rPr>
          <w:color w:val="231F20"/>
          <w:spacing w:val="24"/>
        </w:rPr>
        <w:t> </w:t>
      </w:r>
      <w:r>
        <w:rPr>
          <w:color w:val="231F20"/>
        </w:rPr>
        <w:t>control</w:t>
      </w:r>
      <w:r>
        <w:rPr>
          <w:color w:val="231F20"/>
          <w:spacing w:val="24"/>
        </w:rPr>
        <w:t> </w:t>
      </w:r>
      <w:r>
        <w:rPr>
          <w:color w:val="231F20"/>
        </w:rPr>
        <w:t>what</w:t>
      </w:r>
      <w:r>
        <w:rPr>
          <w:color w:val="231F20"/>
          <w:spacing w:val="24"/>
        </w:rPr>
        <w:t> </w:t>
      </w:r>
      <w:r>
        <w:rPr>
          <w:color w:val="231F20"/>
        </w:rPr>
        <w:t>is</w:t>
      </w:r>
      <w:r>
        <w:rPr>
          <w:color w:val="231F20"/>
          <w:spacing w:val="24"/>
        </w:rPr>
        <w:t> </w:t>
      </w:r>
      <w:r>
        <w:rPr>
          <w:color w:val="231F20"/>
        </w:rPr>
        <w:t>shown.</w:t>
      </w:r>
      <w:r>
        <w:rPr>
          <w:color w:val="231F20"/>
        </w:rPr>
        <w:t> Using the same query for multiple views in a workspace conserves resources at the</w:t>
      </w:r>
    </w:p>
    <w:p>
      <w:pPr>
        <w:spacing w:after="0" w:line="213" w:lineRule="auto"/>
        <w:sectPr>
          <w:pgSz w:w="12240" w:h="15840"/>
          <w:pgMar w:header="0" w:footer="736" w:top="1180" w:bottom="920" w:left="1000" w:right="1060"/>
        </w:sectPr>
      </w:pPr>
    </w:p>
    <w:p>
      <w:pPr>
        <w:pStyle w:val="BodyText"/>
        <w:spacing w:line="213" w:lineRule="auto" w:before="85"/>
        <w:ind w:left="2472" w:right="274"/>
      </w:pPr>
      <w:bookmarkStart w:name="_bookmark70" w:id="160"/>
      <w:bookmarkEnd w:id="160"/>
      <w:r>
        <w:rPr/>
      </w:r>
      <w:r>
        <w:rPr>
          <w:color w:val="231F20"/>
        </w:rPr>
        <w:t>portal server and the monitoring server. Also, using a query that includes only </w:t>
      </w:r>
      <w:r>
        <w:rPr>
          <w:color w:val="231F20"/>
        </w:rPr>
        <w:t>the attributes you want to see in a view saves resources.</w:t>
      </w:r>
    </w:p>
    <w:p>
      <w:pPr>
        <w:pStyle w:val="BodyText"/>
        <w:spacing w:line="213" w:lineRule="auto" w:before="238"/>
        <w:ind w:left="2472" w:right="385"/>
      </w:pPr>
      <w:r>
        <w:rPr>
          <w:color w:val="231F20"/>
        </w:rPr>
        <w:t>These views have a </w:t>
      </w:r>
      <w:r>
        <w:rPr>
          <w:rFonts w:ascii="Book Antiqua"/>
          <w:b/>
          <w:color w:val="231F20"/>
        </w:rPr>
        <w:t>Query </w:t>
      </w:r>
      <w:r>
        <w:rPr>
          <w:color w:val="231F20"/>
        </w:rPr>
        <w:t>tab where you can select what attribute group and, when there are multiple queries for the same group, which attributes to </w:t>
      </w:r>
      <w:r>
        <w:rPr>
          <w:color w:val="231F20"/>
        </w:rPr>
        <w:t>populate the view with.</w:t>
      </w:r>
    </w:p>
    <w:p>
      <w:pPr>
        <w:pStyle w:val="Heading6"/>
        <w:spacing w:line="240" w:lineRule="auto" w:before="116"/>
        <w:ind w:left="2482"/>
      </w:pPr>
      <w:r>
        <w:rPr>
          <w:b w:val="0"/>
          <w:position w:val="-1"/>
        </w:rPr>
        <w:drawing>
          <wp:inline distT="0" distB="0" distL="0" distR="0">
            <wp:extent cx="95250" cy="101600"/>
            <wp:effectExtent l="0" t="0" r="0" b="0"/>
            <wp:docPr id="938" name="Image 938"/>
            <wp:cNvGraphicFramePr>
              <a:graphicFrameLocks/>
            </wp:cNvGraphicFramePr>
            <a:graphic>
              <a:graphicData uri="http://schemas.openxmlformats.org/drawingml/2006/picture">
                <pic:pic>
                  <pic:nvPicPr>
                    <pic:cNvPr id="938" name="Image 938"/>
                    <pic:cNvPicPr/>
                  </pic:nvPicPr>
                  <pic:blipFill>
                    <a:blip r:embed="rId33"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3"/>
        </w:rPr>
        <w:t> </w:t>
      </w:r>
      <w:r>
        <w:rPr>
          <w:color w:val="231F20"/>
        </w:rPr>
        <w:t>Click</w:t>
      </w:r>
      <w:r>
        <w:rPr>
          <w:color w:val="231F20"/>
          <w:spacing w:val="14"/>
        </w:rPr>
        <w:t> </w:t>
      </w:r>
      <w:r>
        <w:rPr>
          <w:color w:val="231F20"/>
        </w:rPr>
        <w:t>here</w:t>
      </w:r>
      <w:r>
        <w:rPr>
          <w:color w:val="231F20"/>
          <w:spacing w:val="14"/>
        </w:rPr>
        <w:t> </w:t>
      </w:r>
      <w:r>
        <w:rPr>
          <w:color w:val="231F20"/>
        </w:rPr>
        <w:t>to</w:t>
      </w:r>
      <w:r>
        <w:rPr>
          <w:color w:val="231F20"/>
          <w:spacing w:val="14"/>
        </w:rPr>
        <w:t> </w:t>
      </w:r>
      <w:r>
        <w:rPr>
          <w:color w:val="231F20"/>
        </w:rPr>
        <w:t>assign</w:t>
      </w:r>
      <w:r>
        <w:rPr>
          <w:color w:val="231F20"/>
          <w:spacing w:val="14"/>
        </w:rPr>
        <w:t> </w:t>
      </w:r>
      <w:r>
        <w:rPr>
          <w:color w:val="231F20"/>
        </w:rPr>
        <w:t>a</w:t>
      </w:r>
      <w:r>
        <w:rPr>
          <w:color w:val="231F20"/>
          <w:spacing w:val="14"/>
        </w:rPr>
        <w:t> </w:t>
      </w:r>
      <w:r>
        <w:rPr>
          <w:color w:val="231F20"/>
        </w:rPr>
        <w:t>query.</w:t>
      </w:r>
    </w:p>
    <w:p>
      <w:pPr>
        <w:pStyle w:val="BodyText"/>
        <w:spacing w:line="213" w:lineRule="auto" w:before="120"/>
        <w:ind w:left="3190" w:right="274"/>
      </w:pPr>
      <w:r>
        <w:rPr>
          <w:color w:val="231F20"/>
        </w:rPr>
        <w:t>Opens the Query editor so you can select an existing query or create a new one. The queries available depend on where the workspace is in relation to the Navigator hierarchy. The exception is Tivoli Enterprise Monitoring Server: these are queries of the common attributes, which are available for</w:t>
      </w:r>
      <w:r>
        <w:rPr>
          <w:color w:val="231F20"/>
          <w:spacing w:val="80"/>
        </w:rPr>
        <w:t> </w:t>
      </w:r>
      <w:r>
        <w:rPr>
          <w:color w:val="231F20"/>
        </w:rPr>
        <w:t>all workspaces.</w:t>
      </w:r>
    </w:p>
    <w:p>
      <w:pPr>
        <w:pStyle w:val="Heading6"/>
        <w:spacing w:line="240" w:lineRule="auto" w:before="115"/>
      </w:pPr>
      <w:r>
        <w:rPr>
          <w:color w:val="231F20"/>
          <w:spacing w:val="-2"/>
        </w:rPr>
        <w:t>Description</w:t>
      </w:r>
    </w:p>
    <w:p>
      <w:pPr>
        <w:spacing w:before="96"/>
        <w:ind w:left="3190" w:right="0" w:firstLine="0"/>
        <w:jc w:val="left"/>
        <w:rPr>
          <w:sz w:val="20"/>
        </w:rPr>
      </w:pPr>
      <w:r>
        <w:rPr>
          <w:rFonts w:ascii="Book Antiqua"/>
          <w:b/>
          <w:color w:val="231F20"/>
          <w:sz w:val="20"/>
        </w:rPr>
        <w:t>Name</w:t>
      </w:r>
      <w:r>
        <w:rPr>
          <w:rFonts w:ascii="Book Antiqua"/>
          <w:b/>
          <w:color w:val="231F20"/>
          <w:spacing w:val="12"/>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pacing w:val="-2"/>
          <w:sz w:val="20"/>
        </w:rPr>
        <w:t>query.</w:t>
      </w:r>
    </w:p>
    <w:p>
      <w:pPr>
        <w:spacing w:before="89"/>
        <w:ind w:left="3190" w:right="0" w:firstLine="0"/>
        <w:jc w:val="left"/>
        <w:rPr>
          <w:sz w:val="20"/>
        </w:rPr>
      </w:pPr>
      <w:r>
        <w:rPr>
          <w:rFonts w:ascii="Book Antiqua"/>
          <w:b/>
          <w:color w:val="231F20"/>
          <w:sz w:val="20"/>
        </w:rPr>
        <w:t>Description</w:t>
      </w:r>
      <w:r>
        <w:rPr>
          <w:rFonts w:ascii="Book Antiqua"/>
          <w:b/>
          <w:color w:val="231F20"/>
          <w:spacing w:val="10"/>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pacing w:val="-2"/>
          <w:sz w:val="20"/>
        </w:rPr>
        <w:t>query.</w:t>
      </w:r>
    </w:p>
    <w:p>
      <w:pPr>
        <w:pStyle w:val="Heading6"/>
        <w:spacing w:line="240" w:lineRule="auto" w:before="112"/>
      </w:pPr>
      <w:r>
        <w:rPr>
          <w:color w:val="231F20"/>
          <w:spacing w:val="-2"/>
        </w:rPr>
        <w:t>Formula</w:t>
      </w:r>
    </w:p>
    <w:p>
      <w:pPr>
        <w:pStyle w:val="BodyText"/>
        <w:spacing w:line="213" w:lineRule="auto" w:before="119"/>
        <w:ind w:left="3190" w:right="385"/>
      </w:pPr>
      <w:r>
        <w:rPr>
          <w:color w:val="231F20"/>
        </w:rPr>
        <w:t>Shows the formula for the query. Note that any column function added </w:t>
      </w:r>
      <w:r>
        <w:rPr>
          <w:color w:val="231F20"/>
        </w:rPr>
        <w:t>to the query is not displayed here.</w:t>
      </w:r>
    </w:p>
    <w:p>
      <w:pPr>
        <w:pStyle w:val="Heading6"/>
        <w:spacing w:line="240" w:lineRule="auto"/>
      </w:pPr>
      <w:r>
        <w:rPr>
          <w:color w:val="231F20"/>
        </w:rPr>
        <w:t>View-level</w:t>
      </w:r>
      <w:r>
        <w:rPr>
          <w:color w:val="231F20"/>
          <w:spacing w:val="3"/>
        </w:rPr>
        <w:t> </w:t>
      </w:r>
      <w:r>
        <w:rPr>
          <w:color w:val="231F20"/>
        </w:rPr>
        <w:t>Page</w:t>
      </w:r>
      <w:r>
        <w:rPr>
          <w:color w:val="231F20"/>
          <w:spacing w:val="3"/>
        </w:rPr>
        <w:t> </w:t>
      </w:r>
      <w:r>
        <w:rPr>
          <w:color w:val="231F20"/>
          <w:spacing w:val="-4"/>
        </w:rPr>
        <w:t>Size</w:t>
      </w:r>
    </w:p>
    <w:p>
      <w:pPr>
        <w:pStyle w:val="BodyText"/>
        <w:spacing w:line="213" w:lineRule="auto" w:before="119"/>
        <w:ind w:left="3190" w:right="244"/>
      </w:pPr>
      <w:r>
        <w:rPr>
          <w:color w:val="231F20"/>
        </w:rPr>
        <w:t>Controls</w:t>
      </w:r>
      <w:r>
        <w:rPr>
          <w:color w:val="231F20"/>
          <w:spacing w:val="27"/>
        </w:rPr>
        <w:t> </w:t>
      </w:r>
      <w:r>
        <w:rPr>
          <w:color w:val="231F20"/>
        </w:rPr>
        <w:t>the</w:t>
      </w:r>
      <w:r>
        <w:rPr>
          <w:color w:val="231F20"/>
          <w:spacing w:val="27"/>
        </w:rPr>
        <w:t> </w:t>
      </w:r>
      <w:r>
        <w:rPr>
          <w:color w:val="231F20"/>
        </w:rPr>
        <w:t>page-break</w:t>
      </w:r>
      <w:r>
        <w:rPr>
          <w:color w:val="231F20"/>
          <w:spacing w:val="27"/>
        </w:rPr>
        <w:t> </w:t>
      </w:r>
      <w:r>
        <w:rPr>
          <w:color w:val="231F20"/>
        </w:rPr>
        <w:t>size</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table,</w:t>
      </w:r>
      <w:r>
        <w:rPr>
          <w:color w:val="231F20"/>
          <w:spacing w:val="27"/>
        </w:rPr>
        <w:t> </w:t>
      </w:r>
      <w:r>
        <w:rPr>
          <w:color w:val="231F20"/>
        </w:rPr>
        <w:t>message</w:t>
      </w:r>
      <w:r>
        <w:rPr>
          <w:color w:val="231F20"/>
          <w:spacing w:val="27"/>
        </w:rPr>
        <w:t> </w:t>
      </w:r>
      <w:r>
        <w:rPr>
          <w:color w:val="231F20"/>
        </w:rPr>
        <w:t>log,</w:t>
      </w:r>
      <w:r>
        <w:rPr>
          <w:color w:val="231F20"/>
          <w:spacing w:val="27"/>
        </w:rPr>
        <w:t> </w:t>
      </w:r>
      <w:r>
        <w:rPr>
          <w:color w:val="231F20"/>
        </w:rPr>
        <w:t>pie</w:t>
      </w:r>
      <w:r>
        <w:rPr>
          <w:color w:val="231F20"/>
          <w:spacing w:val="27"/>
        </w:rPr>
        <w:t> </w:t>
      </w:r>
      <w:r>
        <w:rPr>
          <w:color w:val="231F20"/>
        </w:rPr>
        <w:t>chart</w:t>
      </w:r>
      <w:r>
        <w:rPr>
          <w:color w:val="231F20"/>
          <w:spacing w:val="27"/>
        </w:rPr>
        <w:t> </w:t>
      </w:r>
      <w:r>
        <w:rPr>
          <w:color w:val="231F20"/>
        </w:rPr>
        <w:t>or</w:t>
      </w:r>
      <w:r>
        <w:rPr>
          <w:color w:val="231F20"/>
          <w:spacing w:val="27"/>
        </w:rPr>
        <w:t> </w:t>
      </w:r>
      <w:r>
        <w:rPr>
          <w:color w:val="231F20"/>
        </w:rPr>
        <w:t>bar chart view. For example, a pie chart gives you one pie for each row of data returned, so 50 rows will give you 50 pies in the view. By limiting the page size</w:t>
      </w:r>
      <w:r>
        <w:rPr>
          <w:color w:val="231F20"/>
          <w:spacing w:val="24"/>
        </w:rPr>
        <w:t> </w:t>
      </w:r>
      <w:r>
        <w:rPr>
          <w:color w:val="231F20"/>
        </w:rPr>
        <w:t>to</w:t>
      </w:r>
      <w:r>
        <w:rPr>
          <w:color w:val="231F20"/>
          <w:spacing w:val="24"/>
        </w:rPr>
        <w:t> </w:t>
      </w:r>
      <w:r>
        <w:rPr>
          <w:color w:val="231F20"/>
        </w:rPr>
        <w:t>three</w:t>
      </w:r>
      <w:r>
        <w:rPr>
          <w:color w:val="231F20"/>
          <w:spacing w:val="24"/>
        </w:rPr>
        <w:t> </w:t>
      </w:r>
      <w:r>
        <w:rPr>
          <w:color w:val="231F20"/>
        </w:rPr>
        <w:t>rows,</w:t>
      </w:r>
      <w:r>
        <w:rPr>
          <w:color w:val="231F20"/>
          <w:spacing w:val="24"/>
        </w:rPr>
        <w:t> </w:t>
      </w:r>
      <w:r>
        <w:rPr>
          <w:color w:val="231F20"/>
        </w:rPr>
        <w:t>you</w:t>
      </w:r>
      <w:r>
        <w:rPr>
          <w:color w:val="231F20"/>
          <w:spacing w:val="24"/>
        </w:rPr>
        <w:t> </w:t>
      </w:r>
      <w:r>
        <w:rPr>
          <w:color w:val="231F20"/>
        </w:rPr>
        <w:t>can</w:t>
      </w:r>
      <w:r>
        <w:rPr>
          <w:color w:val="231F20"/>
          <w:spacing w:val="24"/>
        </w:rPr>
        <w:t> </w:t>
      </w:r>
      <w:r>
        <w:rPr>
          <w:color w:val="231F20"/>
        </w:rPr>
        <w:t>have</w:t>
      </w:r>
      <w:r>
        <w:rPr>
          <w:color w:val="231F20"/>
          <w:spacing w:val="24"/>
        </w:rPr>
        <w:t> </w:t>
      </w:r>
      <w:r>
        <w:rPr>
          <w:color w:val="231F20"/>
        </w:rPr>
        <w:t>three</w:t>
      </w:r>
      <w:r>
        <w:rPr>
          <w:color w:val="231F20"/>
          <w:spacing w:val="24"/>
        </w:rPr>
        <w:t> </w:t>
      </w:r>
      <w:r>
        <w:rPr>
          <w:color w:val="231F20"/>
        </w:rPr>
        <w:t>pies</w:t>
      </w:r>
      <w:r>
        <w:rPr>
          <w:color w:val="231F20"/>
          <w:spacing w:val="24"/>
        </w:rPr>
        <w:t> </w:t>
      </w:r>
      <w:r>
        <w:rPr>
          <w:color w:val="231F20"/>
        </w:rPr>
        <w:t>on</w:t>
      </w:r>
      <w:r>
        <w:rPr>
          <w:color w:val="231F20"/>
          <w:spacing w:val="24"/>
        </w:rPr>
        <w:t> </w:t>
      </w:r>
      <w:r>
        <w:rPr>
          <w:color w:val="231F20"/>
        </w:rPr>
        <w:t>a</w:t>
      </w:r>
      <w:r>
        <w:rPr>
          <w:color w:val="231F20"/>
          <w:spacing w:val="24"/>
        </w:rPr>
        <w:t> </w:t>
      </w:r>
      <w:r>
        <w:rPr>
          <w:color w:val="231F20"/>
        </w:rPr>
        <w:t>page,</w:t>
      </w:r>
      <w:r>
        <w:rPr>
          <w:color w:val="231F20"/>
          <w:spacing w:val="24"/>
        </w:rPr>
        <w:t> </w:t>
      </w:r>
      <w:r>
        <w:rPr>
          <w:color w:val="231F20"/>
        </w:rPr>
        <w:t>using</w:t>
      </w:r>
      <w:r>
        <w:rPr>
          <w:color w:val="231F20"/>
          <w:spacing w:val="15"/>
        </w:rPr>
        <w:t> </w:t>
      </w:r>
      <w:r>
        <w:rPr>
          <w:color w:val="231F20"/>
          <w:spacing w:val="15"/>
        </w:rPr>
        <w:drawing>
          <wp:inline distT="0" distB="0" distL="0" distR="0">
            <wp:extent cx="82550" cy="82550"/>
            <wp:effectExtent l="0" t="0" r="0" b="0"/>
            <wp:docPr id="939" name="Image 939"/>
            <wp:cNvGraphicFramePr>
              <a:graphicFrameLocks/>
            </wp:cNvGraphicFramePr>
            <a:graphic>
              <a:graphicData uri="http://schemas.openxmlformats.org/drawingml/2006/picture">
                <pic:pic>
                  <pic:nvPicPr>
                    <pic:cNvPr id="939" name="Image 939"/>
                    <pic:cNvPicPr/>
                  </pic:nvPicPr>
                  <pic:blipFill>
                    <a:blip r:embed="rId15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74"/>
        </w:rPr>
        <w:t> </w:t>
      </w:r>
      <w:r>
        <w:rPr>
          <w:color w:val="231F20"/>
        </w:rPr>
        <w:t>to</w:t>
      </w:r>
      <w:r>
        <w:rPr>
          <w:color w:val="231F20"/>
          <w:spacing w:val="24"/>
        </w:rPr>
        <w:t> </w:t>
      </w:r>
      <w:r>
        <w:rPr>
          <w:color w:val="231F20"/>
        </w:rPr>
        <w:t>turn</w:t>
      </w:r>
      <w:r>
        <w:rPr>
          <w:color w:val="231F20"/>
          <w:spacing w:val="24"/>
        </w:rPr>
        <w:t> </w:t>
      </w:r>
      <w:r>
        <w:rPr>
          <w:color w:val="231F20"/>
        </w:rPr>
        <w:t>to the next page. The smaller page size speeds up data retrieval to the workspace because only one page is retrieved at a time rather than the</w:t>
      </w:r>
      <w:r>
        <w:rPr>
          <w:color w:val="231F20"/>
          <w:spacing w:val="80"/>
          <w:w w:val="150"/>
        </w:rPr>
        <w:t> </w:t>
      </w:r>
      <w:r>
        <w:rPr>
          <w:color w:val="231F20"/>
        </w:rPr>
        <w:t>entire row set.</w:t>
      </w:r>
    </w:p>
    <w:p>
      <w:pPr>
        <w:spacing w:before="217"/>
        <w:ind w:left="2472" w:right="0" w:firstLine="0"/>
        <w:jc w:val="left"/>
        <w:rPr>
          <w:sz w:val="20"/>
        </w:rPr>
      </w:pPr>
      <w:r>
        <w:rPr/>
        <w:drawing>
          <wp:inline distT="0" distB="0" distL="0" distR="0">
            <wp:extent cx="88900" cy="82550"/>
            <wp:effectExtent l="0" t="0" r="0" b="0"/>
            <wp:docPr id="940" name="Image 940"/>
            <wp:cNvGraphicFramePr>
              <a:graphicFrameLocks/>
            </wp:cNvGraphicFramePr>
            <a:graphic>
              <a:graphicData uri="http://schemas.openxmlformats.org/drawingml/2006/picture">
                <pic:pic>
                  <pic:nvPicPr>
                    <pic:cNvPr id="940" name="Image 940"/>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2"/>
          <w:sz w:val="20"/>
        </w:rPr>
        <w:t> </w:t>
      </w:r>
      <w:r>
        <w:rPr>
          <w:rFonts w:ascii="Book Antiqua"/>
          <w:b/>
          <w:color w:val="231F20"/>
          <w:sz w:val="20"/>
        </w:rPr>
        <w:t>Use</w:t>
      </w:r>
      <w:r>
        <w:rPr>
          <w:rFonts w:ascii="Book Antiqua"/>
          <w:b/>
          <w:color w:val="231F20"/>
          <w:spacing w:val="19"/>
          <w:sz w:val="20"/>
        </w:rPr>
        <w:t> </w:t>
      </w:r>
      <w:r>
        <w:rPr>
          <w:rFonts w:ascii="Book Antiqua"/>
          <w:b/>
          <w:color w:val="231F20"/>
          <w:sz w:val="20"/>
        </w:rPr>
        <w:t>default</w:t>
      </w:r>
      <w:r>
        <w:rPr>
          <w:rFonts w:ascii="Book Antiqua"/>
          <w:b/>
          <w:color w:val="231F20"/>
          <w:spacing w:val="19"/>
          <w:sz w:val="20"/>
        </w:rPr>
        <w:t> </w:t>
      </w:r>
      <w:r>
        <w:rPr>
          <w:color w:val="231F20"/>
          <w:sz w:val="20"/>
        </w:rPr>
        <w:t>retrieves</w:t>
      </w:r>
      <w:r>
        <w:rPr>
          <w:color w:val="231F20"/>
          <w:spacing w:val="19"/>
          <w:sz w:val="20"/>
        </w:rPr>
        <w:t> </w:t>
      </w:r>
      <w:r>
        <w:rPr>
          <w:color w:val="231F20"/>
          <w:sz w:val="20"/>
        </w:rPr>
        <w:t>100</w:t>
      </w:r>
      <w:r>
        <w:rPr>
          <w:color w:val="231F20"/>
          <w:spacing w:val="19"/>
          <w:sz w:val="20"/>
        </w:rPr>
        <w:t> </w:t>
      </w:r>
      <w:r>
        <w:rPr>
          <w:color w:val="231F20"/>
          <w:sz w:val="20"/>
        </w:rPr>
        <w:t>rows</w:t>
      </w:r>
      <w:r>
        <w:rPr>
          <w:color w:val="231F20"/>
          <w:spacing w:val="19"/>
          <w:sz w:val="20"/>
        </w:rPr>
        <w:t> </w:t>
      </w:r>
      <w:r>
        <w:rPr>
          <w:color w:val="231F20"/>
          <w:sz w:val="20"/>
        </w:rPr>
        <w:t>of</w:t>
      </w:r>
      <w:r>
        <w:rPr>
          <w:color w:val="231F20"/>
          <w:spacing w:val="19"/>
          <w:sz w:val="20"/>
        </w:rPr>
        <w:t> </w:t>
      </w:r>
      <w:r>
        <w:rPr>
          <w:color w:val="231F20"/>
          <w:sz w:val="20"/>
        </w:rPr>
        <w:t>data</w:t>
      </w:r>
      <w:r>
        <w:rPr>
          <w:color w:val="231F20"/>
          <w:spacing w:val="19"/>
          <w:sz w:val="20"/>
        </w:rPr>
        <w:t> </w:t>
      </w:r>
      <w:r>
        <w:rPr>
          <w:color w:val="231F20"/>
          <w:sz w:val="20"/>
        </w:rPr>
        <w:t>per</w:t>
      </w:r>
      <w:r>
        <w:rPr>
          <w:color w:val="231F20"/>
          <w:spacing w:val="19"/>
          <w:sz w:val="20"/>
        </w:rPr>
        <w:t> </w:t>
      </w:r>
      <w:r>
        <w:rPr>
          <w:color w:val="231F20"/>
          <w:sz w:val="20"/>
        </w:rPr>
        <w:t>page.</w:t>
      </w:r>
    </w:p>
    <w:p>
      <w:pPr>
        <w:pStyle w:val="BodyText"/>
        <w:spacing w:line="208" w:lineRule="auto" w:before="236"/>
        <w:ind w:left="2472" w:right="385"/>
      </w:pPr>
      <w:r>
        <w:rPr/>
        <w:drawing>
          <wp:inline distT="0" distB="0" distL="0" distR="0">
            <wp:extent cx="88900" cy="82550"/>
            <wp:effectExtent l="0" t="0" r="0" b="0"/>
            <wp:docPr id="941" name="Image 941"/>
            <wp:cNvGraphicFramePr>
              <a:graphicFrameLocks/>
            </wp:cNvGraphicFramePr>
            <a:graphic>
              <a:graphicData uri="http://schemas.openxmlformats.org/drawingml/2006/picture">
                <pic:pic>
                  <pic:nvPicPr>
                    <pic:cNvPr id="941" name="Image 941"/>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Return all rows </w:t>
      </w:r>
      <w:r>
        <w:rPr>
          <w:color w:val="231F20"/>
        </w:rPr>
        <w:t>retrieves the entire row set to the view at one time. If there are</w:t>
      </w:r>
      <w:r>
        <w:rPr>
          <w:color w:val="231F20"/>
          <w:spacing w:val="40"/>
        </w:rPr>
        <w:t> </w:t>
      </w:r>
      <w:r>
        <w:rPr>
          <w:color w:val="231F20"/>
        </w:rPr>
        <w:t>many rows, the view might take some time to display.</w:t>
      </w:r>
    </w:p>
    <w:p>
      <w:pPr>
        <w:pStyle w:val="BodyText"/>
        <w:spacing w:line="211" w:lineRule="auto" w:before="247"/>
        <w:ind w:left="2472" w:right="176"/>
        <w:jc w:val="both"/>
      </w:pPr>
      <w:r>
        <w:rPr/>
        <w:drawing>
          <wp:inline distT="0" distB="0" distL="0" distR="0">
            <wp:extent cx="88900" cy="82550"/>
            <wp:effectExtent l="0" t="0" r="0" b="0"/>
            <wp:docPr id="942" name="Image 942"/>
            <wp:cNvGraphicFramePr>
              <a:graphicFrameLocks/>
            </wp:cNvGraphicFramePr>
            <a:graphic>
              <a:graphicData uri="http://schemas.openxmlformats.org/drawingml/2006/picture">
                <pic:pic>
                  <pic:nvPicPr>
                    <pic:cNvPr id="942" name="Image 942"/>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68"/>
        </w:rPr>
        <w:t> </w:t>
      </w:r>
      <w:r>
        <w:rPr>
          <w:rFonts w:ascii="Book Antiqua"/>
          <w:b/>
          <w:color w:val="231F20"/>
        </w:rPr>
        <w:t>Number</w:t>
      </w:r>
      <w:r>
        <w:rPr>
          <w:rFonts w:ascii="Book Antiqua"/>
          <w:b/>
          <w:color w:val="231F20"/>
          <w:spacing w:val="17"/>
        </w:rPr>
        <w:t> </w:t>
      </w:r>
      <w:r>
        <w:rPr>
          <w:rFonts w:ascii="Book Antiqua"/>
          <w:b/>
          <w:color w:val="231F20"/>
        </w:rPr>
        <w:t>of</w:t>
      </w:r>
      <w:r>
        <w:rPr>
          <w:rFonts w:ascii="Book Antiqua"/>
          <w:b/>
          <w:color w:val="231F20"/>
          <w:spacing w:val="17"/>
        </w:rPr>
        <w:t> </w:t>
      </w:r>
      <w:r>
        <w:rPr>
          <w:rFonts w:ascii="Book Antiqua"/>
          <w:b/>
          <w:color w:val="231F20"/>
        </w:rPr>
        <w:t>rows</w:t>
      </w:r>
      <w:r>
        <w:rPr>
          <w:rFonts w:ascii="Book Antiqua"/>
          <w:b/>
          <w:color w:val="231F20"/>
          <w:spacing w:val="17"/>
        </w:rPr>
        <w:t> </w:t>
      </w:r>
      <w:r>
        <w:rPr>
          <w:rFonts w:ascii="Book Antiqua"/>
          <w:b/>
          <w:color w:val="231F20"/>
        </w:rPr>
        <w:t>to</w:t>
      </w:r>
      <w:r>
        <w:rPr>
          <w:rFonts w:ascii="Book Antiqua"/>
          <w:b/>
          <w:color w:val="231F20"/>
          <w:spacing w:val="17"/>
        </w:rPr>
        <w:t> </w:t>
      </w:r>
      <w:r>
        <w:rPr>
          <w:rFonts w:ascii="Book Antiqua"/>
          <w:b/>
          <w:color w:val="231F20"/>
        </w:rPr>
        <w:t>return</w:t>
      </w:r>
      <w:r>
        <w:rPr>
          <w:rFonts w:ascii="Book Antiqua"/>
          <w:b/>
          <w:color w:val="231F20"/>
          <w:spacing w:val="15"/>
        </w:rPr>
        <w:t> </w:t>
      </w:r>
      <w:r>
        <w:rPr>
          <w:rFonts w:ascii="Book Antiqua"/>
          <w:b/>
          <w:color w:val="231F20"/>
          <w:spacing w:val="15"/>
        </w:rPr>
        <w:drawing>
          <wp:inline distT="0" distB="0" distL="0" distR="0">
            <wp:extent cx="158750" cy="82550"/>
            <wp:effectExtent l="0" t="0" r="0" b="0"/>
            <wp:docPr id="943" name="Image 943"/>
            <wp:cNvGraphicFramePr>
              <a:graphicFrameLocks/>
            </wp:cNvGraphicFramePr>
            <a:graphic>
              <a:graphicData uri="http://schemas.openxmlformats.org/drawingml/2006/picture">
                <pic:pic>
                  <pic:nvPicPr>
                    <pic:cNvPr id="943" name="Image 943"/>
                    <pic:cNvPicPr/>
                  </pic:nvPicPr>
                  <pic:blipFill>
                    <a:blip r:embed="rId192" cstate="print"/>
                    <a:stretch>
                      <a:fillRect/>
                    </a:stretch>
                  </pic:blipFill>
                  <pic:spPr>
                    <a:xfrm>
                      <a:off x="0" y="0"/>
                      <a:ext cx="158750" cy="82550"/>
                    </a:xfrm>
                    <a:prstGeom prst="rect">
                      <a:avLst/>
                    </a:prstGeom>
                  </pic:spPr>
                </pic:pic>
              </a:graphicData>
            </a:graphic>
          </wp:inline>
        </w:drawing>
      </w:r>
      <w:r>
        <w:rPr>
          <w:rFonts w:ascii="Book Antiqua"/>
          <w:b/>
          <w:color w:val="231F20"/>
          <w:spacing w:val="15"/>
        </w:rPr>
      </w:r>
      <w:r>
        <w:rPr>
          <w:rFonts w:ascii="Times New Roman"/>
          <w:color w:val="231F20"/>
          <w:spacing w:val="40"/>
        </w:rPr>
        <w:t> </w:t>
      </w:r>
      <w:r>
        <w:rPr>
          <w:color w:val="231F20"/>
        </w:rPr>
        <w:t>enables</w:t>
      </w:r>
      <w:r>
        <w:rPr>
          <w:color w:val="231F20"/>
          <w:spacing w:val="17"/>
        </w:rPr>
        <w:t> </w:t>
      </w:r>
      <w:r>
        <w:rPr>
          <w:color w:val="231F20"/>
        </w:rPr>
        <w:t>you</w:t>
      </w:r>
      <w:r>
        <w:rPr>
          <w:color w:val="231F20"/>
          <w:spacing w:val="17"/>
        </w:rPr>
        <w:t> </w:t>
      </w:r>
      <w:r>
        <w:rPr>
          <w:color w:val="231F20"/>
        </w:rPr>
        <w:t>to</w:t>
      </w:r>
      <w:r>
        <w:rPr>
          <w:color w:val="231F20"/>
          <w:spacing w:val="17"/>
        </w:rPr>
        <w:t> </w:t>
      </w:r>
      <w:r>
        <w:rPr>
          <w:color w:val="231F20"/>
        </w:rPr>
        <w:t>specify</w:t>
      </w:r>
      <w:r>
        <w:rPr>
          <w:color w:val="231F20"/>
          <w:spacing w:val="17"/>
        </w:rPr>
        <w:t> </w:t>
      </w:r>
      <w:r>
        <w:rPr>
          <w:color w:val="231F20"/>
        </w:rPr>
        <w:t>the</w:t>
      </w:r>
      <w:r>
        <w:rPr>
          <w:color w:val="231F20"/>
          <w:spacing w:val="17"/>
        </w:rPr>
        <w:t> </w:t>
      </w:r>
      <w:r>
        <w:rPr>
          <w:color w:val="231F20"/>
        </w:rPr>
        <w:t>exact</w:t>
      </w:r>
      <w:r>
        <w:rPr>
          <w:color w:val="231F20"/>
          <w:spacing w:val="17"/>
        </w:rPr>
        <w:t> </w:t>
      </w:r>
      <w:r>
        <w:rPr>
          <w:color w:val="231F20"/>
        </w:rPr>
        <w:t>number</w:t>
      </w:r>
      <w:r>
        <w:rPr>
          <w:color w:val="231F20"/>
          <w:spacing w:val="17"/>
        </w:rPr>
        <w:t> </w:t>
      </w:r>
      <w:r>
        <w:rPr>
          <w:color w:val="231F20"/>
        </w:rPr>
        <w:t>of</w:t>
      </w:r>
      <w:r>
        <w:rPr>
          <w:color w:val="231F20"/>
          <w:spacing w:val="17"/>
        </w:rPr>
        <w:t> </w:t>
      </w:r>
      <w:r>
        <w:rPr>
          <w:color w:val="231F20"/>
        </w:rPr>
        <w:t>rows to apply to a page. Keep the number to a size than can be retrieved in a reasonable period of time.</w:t>
      </w:r>
    </w:p>
    <w:p>
      <w:pPr>
        <w:pStyle w:val="Heading6"/>
        <w:spacing w:line="240" w:lineRule="auto" w:before="218"/>
      </w:pPr>
      <w:r>
        <w:rPr>
          <w:color w:val="231F20"/>
          <w:spacing w:val="-2"/>
        </w:rPr>
        <w:t>Filters:</w:t>
      </w:r>
    </w:p>
    <w:p>
      <w:pPr>
        <w:pStyle w:val="BodyText"/>
        <w:spacing w:line="213" w:lineRule="auto" w:before="239"/>
        <w:ind w:left="2472" w:right="493"/>
      </w:pPr>
      <w:r>
        <w:rPr>
          <w:color w:val="231F20"/>
        </w:rPr>
        <w:t>Chart, table, message log and event console views have a Filters tab so you </w:t>
      </w:r>
      <w:r>
        <w:rPr>
          <w:color w:val="231F20"/>
        </w:rPr>
        <w:t>can select which attributes and what data to show.</w:t>
      </w:r>
    </w:p>
    <w:p>
      <w:pPr>
        <w:pStyle w:val="BodyText"/>
        <w:spacing w:line="213" w:lineRule="auto" w:before="238"/>
        <w:ind w:left="2472" w:right="488"/>
      </w:pPr>
      <w:r>
        <w:rPr>
          <w:color w:val="231F20"/>
        </w:rPr>
        <w:t>Note that you can also use a query to filter the data. The difference is that the</w:t>
      </w:r>
      <w:r>
        <w:rPr>
          <w:color w:val="231F20"/>
          <w:spacing w:val="80"/>
          <w:w w:val="150"/>
        </w:rPr>
        <w:t> </w:t>
      </w:r>
      <w:r>
        <w:rPr>
          <w:color w:val="231F20"/>
        </w:rPr>
        <w:t>query filters the data before it is retrieved and the view filters the data after it has</w:t>
      </w:r>
      <w:r>
        <w:rPr>
          <w:color w:val="231F20"/>
          <w:spacing w:val="40"/>
        </w:rPr>
        <w:t> </w:t>
      </w:r>
      <w:r>
        <w:rPr>
          <w:color w:val="231F20"/>
        </w:rPr>
        <w:t>been retrieved.</w:t>
      </w:r>
    </w:p>
    <w:p>
      <w:pPr>
        <w:pStyle w:val="Heading6"/>
        <w:spacing w:line="240" w:lineRule="auto" w:before="116"/>
      </w:pPr>
      <w:r>
        <w:rPr>
          <w:color w:val="231F20"/>
          <w:spacing w:val="-2"/>
        </w:rPr>
        <w:t>Filters</w:t>
      </w:r>
    </w:p>
    <w:p>
      <w:pPr>
        <w:pStyle w:val="BodyText"/>
        <w:spacing w:line="213" w:lineRule="auto" w:before="120"/>
        <w:ind w:left="3190" w:right="274"/>
      </w:pPr>
      <w:r>
        <w:rPr>
          <w:color w:val="231F20"/>
        </w:rPr>
        <w:t>All attributes associated with the query are displayed as column </w:t>
      </w:r>
      <w:r>
        <w:rPr>
          <w:color w:val="231F20"/>
        </w:rPr>
        <w:t>headings. Use the check boxes to add or remove attributes in the view, and use the editor to add filters.</w:t>
      </w:r>
    </w:p>
    <w:p>
      <w:pPr>
        <w:spacing w:after="0" w:line="213" w:lineRule="auto"/>
        <w:sectPr>
          <w:pgSz w:w="12240" w:h="15840"/>
          <w:pgMar w:header="0" w:footer="736" w:top="1180" w:bottom="920" w:left="1000" w:right="1060"/>
        </w:sectPr>
      </w:pPr>
    </w:p>
    <w:p>
      <w:pPr>
        <w:pStyle w:val="BodyText"/>
        <w:spacing w:line="211" w:lineRule="auto" w:before="92"/>
        <w:ind w:left="2951" w:right="565"/>
        <w:jc w:val="both"/>
      </w:pPr>
      <w:r>
        <w:rPr/>
        <w:drawing>
          <wp:inline distT="0" distB="0" distL="0" distR="0">
            <wp:extent cx="82550" cy="82550"/>
            <wp:effectExtent l="0" t="0" r="0" b="0"/>
            <wp:docPr id="944" name="Image 944"/>
            <wp:cNvGraphicFramePr>
              <a:graphicFrameLocks/>
            </wp:cNvGraphicFramePr>
            <a:graphic>
              <a:graphicData uri="http://schemas.openxmlformats.org/drawingml/2006/picture">
                <pic:pic>
                  <pic:nvPicPr>
                    <pic:cNvPr id="944" name="Image 944"/>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color w:val="231F20"/>
        </w:rPr>
        <w:t>Select the check box beneath a column heading to include the attribute</w:t>
      </w:r>
      <w:r>
        <w:rPr>
          <w:color w:val="231F20"/>
          <w:spacing w:val="40"/>
        </w:rPr>
        <w:t> </w:t>
      </w:r>
      <w:r>
        <w:rPr>
          <w:color w:val="231F20"/>
        </w:rPr>
        <w:t>in the view; or clear the box to exclude it. Even if an attribute is </w:t>
      </w:r>
      <w:r>
        <w:rPr>
          <w:color w:val="231F20"/>
        </w:rPr>
        <w:t>excluded from the view, you can still write a filter expression for it.</w:t>
      </w:r>
    </w:p>
    <w:p>
      <w:pPr>
        <w:pStyle w:val="BodyText"/>
        <w:spacing w:line="218" w:lineRule="auto" w:before="114"/>
        <w:ind w:left="2951" w:right="756"/>
        <w:jc w:val="both"/>
      </w:pPr>
      <w:r>
        <w:rPr>
          <w:color w:val="231F20"/>
        </w:rPr>
        <w:t>Chart views can filter on numeric attributes only; the check box for </w:t>
      </w:r>
      <w:r>
        <w:rPr>
          <w:color w:val="231F20"/>
        </w:rPr>
        <w:t>text and timestamp attributes is disabled </w:t>
      </w:r>
      <w:r>
        <w:rPr>
          <w:color w:val="231F20"/>
          <w:spacing w:val="15"/>
        </w:rPr>
        <w:drawing>
          <wp:inline distT="0" distB="0" distL="0" distR="0">
            <wp:extent cx="76200" cy="82550"/>
            <wp:effectExtent l="0" t="0" r="0" b="0"/>
            <wp:docPr id="945" name="Image 945"/>
            <wp:cNvGraphicFramePr>
              <a:graphicFrameLocks/>
            </wp:cNvGraphicFramePr>
            <a:graphic>
              <a:graphicData uri="http://schemas.openxmlformats.org/drawingml/2006/picture">
                <pic:pic>
                  <pic:nvPicPr>
                    <pic:cNvPr id="945" name="Image 945"/>
                    <pic:cNvPicPr/>
                  </pic:nvPicPr>
                  <pic:blipFill>
                    <a:blip r:embed="rId193" cstate="print"/>
                    <a:stretch>
                      <a:fillRect/>
                    </a:stretch>
                  </pic:blipFill>
                  <pic:spPr>
                    <a:xfrm>
                      <a:off x="0" y="0"/>
                      <a:ext cx="76200" cy="82550"/>
                    </a:xfrm>
                    <a:prstGeom prst="rect">
                      <a:avLst/>
                    </a:prstGeom>
                  </pic:spPr>
                </pic:pic>
              </a:graphicData>
            </a:graphic>
          </wp:inline>
        </w:drawing>
      </w:r>
      <w:r>
        <w:rPr>
          <w:color w:val="231F20"/>
          <w:spacing w:val="15"/>
        </w:rPr>
      </w:r>
      <w:r>
        <w:rPr>
          <w:rFonts w:ascii="Times New Roman"/>
          <w:color w:val="231F20"/>
          <w:spacing w:val="40"/>
        </w:rPr>
        <w:t> </w:t>
      </w:r>
      <w:r>
        <w:rPr>
          <w:color w:val="231F20"/>
        </w:rPr>
        <w:t>.</w:t>
      </w:r>
    </w:p>
    <w:p>
      <w:pPr>
        <w:pStyle w:val="BodyText"/>
        <w:spacing w:line="213" w:lineRule="auto" w:before="112"/>
        <w:ind w:left="2951" w:right="835"/>
        <w:jc w:val="both"/>
      </w:pPr>
      <w:r>
        <w:rPr>
          <w:color w:val="231F20"/>
        </w:rPr>
        <w:t>Click a cell under a column to activate the editor and formula bar. </w:t>
      </w:r>
      <w:r>
        <w:rPr>
          <w:color w:val="231F20"/>
        </w:rPr>
        <w:t>The active cell has three fields </w:t>
      </w:r>
      <w:r>
        <w:rPr>
          <w:color w:val="231F20"/>
          <w:spacing w:val="16"/>
          <w:position w:val="-1"/>
        </w:rPr>
        <w:drawing>
          <wp:inline distT="0" distB="0" distL="0" distR="0">
            <wp:extent cx="558800" cy="101600"/>
            <wp:effectExtent l="0" t="0" r="0" b="0"/>
            <wp:docPr id="946" name="Image 946"/>
            <wp:cNvGraphicFramePr>
              <a:graphicFrameLocks/>
            </wp:cNvGraphicFramePr>
            <a:graphic>
              <a:graphicData uri="http://schemas.openxmlformats.org/drawingml/2006/picture">
                <pic:pic>
                  <pic:nvPicPr>
                    <pic:cNvPr id="946" name="Image 946"/>
                    <pic:cNvPicPr/>
                  </pic:nvPicPr>
                  <pic:blipFill>
                    <a:blip r:embed="rId194" cstate="print"/>
                    <a:stretch>
                      <a:fillRect/>
                    </a:stretch>
                  </pic:blipFill>
                  <pic:spPr>
                    <a:xfrm>
                      <a:off x="0" y="0"/>
                      <a:ext cx="558800" cy="101600"/>
                    </a:xfrm>
                    <a:prstGeom prst="rect">
                      <a:avLst/>
                    </a:prstGeom>
                  </pic:spPr>
                </pic:pic>
              </a:graphicData>
            </a:graphic>
          </wp:inline>
        </w:drawing>
      </w:r>
      <w:r>
        <w:rPr>
          <w:color w:val="231F20"/>
          <w:spacing w:val="16"/>
          <w:position w:val="-1"/>
        </w:rPr>
      </w:r>
      <w:r>
        <w:rPr>
          <w:rFonts w:ascii="Times New Roman"/>
          <w:color w:val="231F20"/>
          <w:spacing w:val="-6"/>
        </w:rPr>
        <w:t> </w:t>
      </w:r>
      <w:r>
        <w:rPr>
          <w:color w:val="231F20"/>
        </w:rPr>
        <w:t>:</w:t>
      </w:r>
    </w:p>
    <w:p>
      <w:pPr>
        <w:tabs>
          <w:tab w:pos="3243" w:val="left" w:leader="none"/>
        </w:tabs>
        <w:spacing w:line="211" w:lineRule="auto" w:before="60"/>
        <w:ind w:left="3167" w:right="545" w:hanging="216"/>
        <w:jc w:val="left"/>
        <w:rPr>
          <w:sz w:val="20"/>
        </w:rPr>
      </w:pPr>
      <w:r>
        <w:rPr>
          <w:rFonts w:ascii="Futura MdCn BT"/>
          <w:color w:val="231F20"/>
          <w:spacing w:val="-10"/>
          <w:sz w:val="20"/>
        </w:rPr>
        <w:t>v</w:t>
      </w:r>
      <w:r>
        <w:rPr>
          <w:rFonts w:ascii="Futura MdCn BT"/>
          <w:color w:val="231F20"/>
          <w:sz w:val="20"/>
        </w:rPr>
        <w:tab/>
        <w:tab/>
      </w:r>
      <w:r>
        <w:rPr>
          <w:rFonts w:ascii="Futura MdCn BT"/>
          <w:color w:val="231F20"/>
          <w:position w:val="-5"/>
          <w:sz w:val="20"/>
        </w:rPr>
        <w:drawing>
          <wp:inline distT="0" distB="0" distL="0" distR="0">
            <wp:extent cx="101600" cy="114300"/>
            <wp:effectExtent l="0" t="0" r="0" b="0"/>
            <wp:docPr id="947" name="Image 947"/>
            <wp:cNvGraphicFramePr>
              <a:graphicFrameLocks/>
            </wp:cNvGraphicFramePr>
            <a:graphic>
              <a:graphicData uri="http://schemas.openxmlformats.org/drawingml/2006/picture">
                <pic:pic>
                  <pic:nvPicPr>
                    <pic:cNvPr id="947" name="Image 947"/>
                    <pic:cNvPicPr/>
                  </pic:nvPicPr>
                  <pic:blipFill>
                    <a:blip r:embed="rId157" cstate="print"/>
                    <a:stretch>
                      <a:fillRect/>
                    </a:stretch>
                  </pic:blipFill>
                  <pic:spPr>
                    <a:xfrm>
                      <a:off x="0" y="0"/>
                      <a:ext cx="101600" cy="114300"/>
                    </a:xfrm>
                    <a:prstGeom prst="rect">
                      <a:avLst/>
                    </a:prstGeom>
                  </pic:spPr>
                </pic:pic>
              </a:graphicData>
            </a:graphic>
          </wp:inline>
        </w:drawing>
      </w:r>
      <w:r>
        <w:rPr>
          <w:rFonts w:ascii="Futura MdCn BT"/>
          <w:color w:val="231F20"/>
          <w:position w:val="-5"/>
          <w:sz w:val="20"/>
        </w:rPr>
      </w:r>
      <w:r>
        <w:rPr>
          <w:rFonts w:ascii="Times New Roman"/>
          <w:color w:val="231F20"/>
          <w:spacing w:val="40"/>
          <w:sz w:val="20"/>
        </w:rPr>
        <w:t> </w:t>
      </w:r>
      <w:r>
        <w:rPr>
          <w:color w:val="231F20"/>
          <w:sz w:val="20"/>
        </w:rPr>
        <w:t>Function shows the function chosen for the attribute, which is set to </w:t>
      </w:r>
      <w:r>
        <w:rPr>
          <w:rFonts w:ascii="Book Antiqua"/>
          <w:i/>
          <w:color w:val="231F20"/>
          <w:sz w:val="20"/>
        </w:rPr>
        <w:t>Value of expression </w:t>
      </w:r>
      <w:r>
        <w:rPr>
          <w:color w:val="231F20"/>
          <w:sz w:val="20"/>
        </w:rPr>
        <w:t>by default. Click the button to open and select from a list of possible functions, which vary depending on the type of </w:t>
      </w:r>
      <w:r>
        <w:rPr>
          <w:color w:val="231F20"/>
          <w:sz w:val="20"/>
        </w:rPr>
        <w:t>attribute.</w:t>
      </w:r>
      <w:r>
        <w:rPr>
          <w:color w:val="231F20"/>
          <w:sz w:val="20"/>
        </w:rPr>
        <w:t> For example, the available functions for text are </w:t>
      </w:r>
      <w:r>
        <w:rPr>
          <w:rFonts w:ascii="Book Antiqua"/>
          <w:i/>
          <w:color w:val="231F20"/>
          <w:sz w:val="20"/>
        </w:rPr>
        <w:t>Scan for string within a</w:t>
      </w:r>
      <w:r>
        <w:rPr>
          <w:rFonts w:ascii="Book Antiqua"/>
          <w:i/>
          <w:color w:val="231F20"/>
          <w:sz w:val="20"/>
        </w:rPr>
        <w:t> string </w:t>
      </w:r>
      <w:r>
        <w:rPr>
          <w:color w:val="231F20"/>
          <w:sz w:val="20"/>
        </w:rPr>
        <w:t>, </w:t>
      </w:r>
      <w:r>
        <w:rPr>
          <w:rFonts w:ascii="Book Antiqua"/>
          <w:i/>
          <w:color w:val="231F20"/>
          <w:sz w:val="20"/>
        </w:rPr>
        <w:t>Return a subset of the string </w:t>
      </w:r>
      <w:r>
        <w:rPr>
          <w:color w:val="231F20"/>
          <w:sz w:val="20"/>
        </w:rPr>
        <w:t>, and </w:t>
      </w:r>
      <w:r>
        <w:rPr>
          <w:rFonts w:ascii="Book Antiqua"/>
          <w:i/>
          <w:color w:val="231F20"/>
          <w:sz w:val="20"/>
        </w:rPr>
        <w:t>Value of expression </w:t>
      </w:r>
      <w:r>
        <w:rPr>
          <w:color w:val="231F20"/>
          <w:sz w:val="20"/>
        </w:rPr>
        <w:t>. Numeric attributes have </w:t>
      </w:r>
      <w:r>
        <w:rPr>
          <w:rFonts w:ascii="Book Antiqua"/>
          <w:i/>
          <w:color w:val="231F20"/>
          <w:sz w:val="20"/>
        </w:rPr>
        <w:t>See if a value is within a range </w:t>
      </w:r>
      <w:r>
        <w:rPr>
          <w:color w:val="231F20"/>
          <w:sz w:val="20"/>
        </w:rPr>
        <w:t>, which checks if the value</w:t>
      </w:r>
      <w:r>
        <w:rPr>
          <w:color w:val="231F20"/>
          <w:spacing w:val="40"/>
          <w:sz w:val="20"/>
        </w:rPr>
        <w:t> </w:t>
      </w:r>
      <w:r>
        <w:rPr>
          <w:color w:val="231F20"/>
          <w:sz w:val="20"/>
        </w:rPr>
        <w:t>falls within the range you specify.</w:t>
      </w:r>
    </w:p>
    <w:p>
      <w:pPr>
        <w:pStyle w:val="BodyText"/>
        <w:tabs>
          <w:tab w:pos="3243" w:val="left" w:leader="none"/>
        </w:tabs>
        <w:spacing w:line="211" w:lineRule="auto" w:before="69"/>
        <w:ind w:left="3167" w:right="636" w:hanging="216"/>
      </w:pPr>
      <w:r>
        <w:rPr>
          <w:rFonts w:ascii="Futura MdCn BT"/>
          <w:color w:val="231F20"/>
          <w:spacing w:val="-10"/>
        </w:rPr>
        <w:t>v</w:t>
      </w:r>
      <w:r>
        <w:rPr>
          <w:rFonts w:ascii="Futura MdCn BT"/>
          <w:color w:val="231F20"/>
        </w:rPr>
        <w:tab/>
        <w:tab/>
      </w:r>
      <w:r>
        <w:rPr>
          <w:rFonts w:ascii="Futura MdCn BT"/>
          <w:color w:val="231F20"/>
          <w:position w:val="-5"/>
        </w:rPr>
        <w:drawing>
          <wp:inline distT="0" distB="0" distL="0" distR="0">
            <wp:extent cx="114300" cy="114300"/>
            <wp:effectExtent l="0" t="0" r="0" b="0"/>
            <wp:docPr id="948" name="Image 948"/>
            <wp:cNvGraphicFramePr>
              <a:graphicFrameLocks/>
            </wp:cNvGraphicFramePr>
            <a:graphic>
              <a:graphicData uri="http://schemas.openxmlformats.org/drawingml/2006/picture">
                <pic:pic>
                  <pic:nvPicPr>
                    <pic:cNvPr id="948" name="Image 948"/>
                    <pic:cNvPicPr/>
                  </pic:nvPicPr>
                  <pic:blipFill>
                    <a:blip r:embed="rId124" cstate="print"/>
                    <a:stretch>
                      <a:fillRect/>
                    </a:stretch>
                  </pic:blipFill>
                  <pic:spPr>
                    <a:xfrm>
                      <a:off x="0" y="0"/>
                      <a:ext cx="114300" cy="114300"/>
                    </a:xfrm>
                    <a:prstGeom prst="rect">
                      <a:avLst/>
                    </a:prstGeom>
                  </pic:spPr>
                </pic:pic>
              </a:graphicData>
            </a:graphic>
          </wp:inline>
        </w:drawing>
      </w:r>
      <w:r>
        <w:rPr>
          <w:rFonts w:ascii="Futura MdCn BT"/>
          <w:color w:val="231F20"/>
          <w:position w:val="-5"/>
        </w:rPr>
      </w:r>
      <w:r>
        <w:rPr>
          <w:rFonts w:ascii="Times New Roman"/>
          <w:color w:val="231F20"/>
          <w:spacing w:val="40"/>
        </w:rPr>
        <w:t> </w:t>
      </w:r>
      <w:r>
        <w:rPr>
          <w:color w:val="231F20"/>
        </w:rPr>
        <w:t>Operator shows the relational operator, which is == Equal by</w:t>
      </w:r>
      <w:r>
        <w:rPr>
          <w:color w:val="231F20"/>
          <w:spacing w:val="40"/>
        </w:rPr>
        <w:t> </w:t>
      </w:r>
      <w:r>
        <w:rPr>
          <w:color w:val="231F20"/>
        </w:rPr>
        <w:t>default. Click the button to open and select from a list of operators: </w:t>
      </w:r>
      <w:r>
        <w:rPr>
          <w:color w:val="231F20"/>
        </w:rPr>
        <w:t>==</w:t>
      </w:r>
      <w:r>
        <w:rPr>
          <w:color w:val="231F20"/>
          <w:spacing w:val="40"/>
        </w:rPr>
        <w:t> </w:t>
      </w:r>
      <w:r>
        <w:rPr>
          <w:color w:val="231F20"/>
        </w:rPr>
        <w:t>Equal, != Not equal. &gt; Greater than, &gt;= Greater than or equal, &lt; Less</w:t>
      </w:r>
      <w:r>
        <w:rPr>
          <w:color w:val="231F20"/>
          <w:spacing w:val="80"/>
          <w:w w:val="150"/>
        </w:rPr>
        <w:t> </w:t>
      </w:r>
      <w:r>
        <w:rPr>
          <w:color w:val="231F20"/>
        </w:rPr>
        <w:t>than, and &lt;= Less than or equal.</w:t>
      </w:r>
    </w:p>
    <w:p>
      <w:pPr>
        <w:pStyle w:val="BodyText"/>
        <w:tabs>
          <w:tab w:pos="3233" w:val="left" w:leader="none"/>
        </w:tabs>
        <w:spacing w:line="211" w:lineRule="auto" w:before="69"/>
        <w:ind w:left="3167" w:right="545" w:hanging="216"/>
      </w:pPr>
      <w:r>
        <w:rPr>
          <w:rFonts w:ascii="Futura MdCn BT" w:hAnsi="Futura MdCn BT"/>
          <w:color w:val="231F20"/>
          <w:spacing w:val="-10"/>
        </w:rPr>
        <w:t>v</w:t>
      </w:r>
      <w:r>
        <w:rPr>
          <w:rFonts w:ascii="Futura MdCn BT" w:hAnsi="Futura MdCn BT"/>
          <w:color w:val="231F20"/>
        </w:rPr>
        <w:tab/>
        <w:tab/>
      </w:r>
      <w:r>
        <w:rPr>
          <w:rFonts w:ascii="Futura MdCn BT" w:hAnsi="Futura MdCn BT"/>
          <w:color w:val="231F20"/>
        </w:rPr>
        <w:drawing>
          <wp:inline distT="0" distB="0" distL="0" distR="0">
            <wp:extent cx="158750" cy="82550"/>
            <wp:effectExtent l="0" t="0" r="0" b="0"/>
            <wp:docPr id="949" name="Image 949"/>
            <wp:cNvGraphicFramePr>
              <a:graphicFrameLocks/>
            </wp:cNvGraphicFramePr>
            <a:graphic>
              <a:graphicData uri="http://schemas.openxmlformats.org/drawingml/2006/picture">
                <pic:pic>
                  <pic:nvPicPr>
                    <pic:cNvPr id="949" name="Image 949"/>
                    <pic:cNvPicPr/>
                  </pic:nvPicPr>
                  <pic:blipFill>
                    <a:blip r:embed="rId192" cstate="print"/>
                    <a:stretch>
                      <a:fillRect/>
                    </a:stretch>
                  </pic:blipFill>
                  <pic:spPr>
                    <a:xfrm>
                      <a:off x="0" y="0"/>
                      <a:ext cx="158750" cy="82550"/>
                    </a:xfrm>
                    <a:prstGeom prst="rect">
                      <a:avLst/>
                    </a:prstGeom>
                  </pic:spPr>
                </pic:pic>
              </a:graphicData>
            </a:graphic>
          </wp:inline>
        </w:drawing>
      </w:r>
      <w:r>
        <w:rPr>
          <w:rFonts w:ascii="Futura MdCn BT" w:hAnsi="Futura MdCn BT"/>
          <w:color w:val="231F20"/>
        </w:rPr>
      </w:r>
      <w:r>
        <w:rPr>
          <w:rFonts w:ascii="Times New Roman" w:hAnsi="Times New Roman"/>
          <w:color w:val="231F20"/>
          <w:spacing w:val="40"/>
        </w:rPr>
        <w:t> </w:t>
      </w:r>
      <w:r>
        <w:rPr>
          <w:color w:val="231F20"/>
        </w:rPr>
        <w:t>Text box shows the value of the attribute to be compared with the values arriving from the agent. Click inside the cell to edit the value. </w:t>
      </w:r>
      <w:r>
        <w:rPr>
          <w:color w:val="231F20"/>
        </w:rPr>
        <w:t>For</w:t>
      </w:r>
      <w:r>
        <w:rPr>
          <w:color w:val="231F20"/>
        </w:rPr>
        <w:t> enumerated attribute values, such as “online” or “offline,” you see a list box to click for the possible choices.</w:t>
      </w:r>
    </w:p>
    <w:p>
      <w:pPr>
        <w:pStyle w:val="BodyText"/>
        <w:spacing w:before="97"/>
        <w:ind w:left="2951"/>
      </w:pPr>
      <w:r>
        <w:rPr>
          <w:color w:val="231F20"/>
        </w:rPr>
        <w:t>You</w:t>
      </w:r>
      <w:r>
        <w:rPr>
          <w:color w:val="231F20"/>
          <w:spacing w:val="8"/>
        </w:rPr>
        <w:t> </w:t>
      </w:r>
      <w:r>
        <w:rPr>
          <w:color w:val="231F20"/>
        </w:rPr>
        <w:t>can</w:t>
      </w:r>
      <w:r>
        <w:rPr>
          <w:color w:val="231F20"/>
          <w:spacing w:val="9"/>
        </w:rPr>
        <w:t> </w:t>
      </w:r>
      <w:r>
        <w:rPr>
          <w:color w:val="231F20"/>
        </w:rPr>
        <w:t>specify</w:t>
      </w:r>
      <w:r>
        <w:rPr>
          <w:color w:val="231F20"/>
          <w:spacing w:val="9"/>
        </w:rPr>
        <w:t> </w:t>
      </w:r>
      <w:r>
        <w:rPr>
          <w:color w:val="231F20"/>
        </w:rPr>
        <w:t>many</w:t>
      </w:r>
      <w:r>
        <w:rPr>
          <w:color w:val="231F20"/>
          <w:spacing w:val="8"/>
        </w:rPr>
        <w:t> </w:t>
      </w:r>
      <w:r>
        <w:rPr>
          <w:color w:val="231F20"/>
        </w:rPr>
        <w:t>expressions</w:t>
      </w:r>
      <w:r>
        <w:rPr>
          <w:color w:val="231F20"/>
          <w:spacing w:val="9"/>
        </w:rPr>
        <w:t> </w:t>
      </w:r>
      <w:r>
        <w:rPr>
          <w:color w:val="231F20"/>
        </w:rPr>
        <w:t>to</w:t>
      </w:r>
      <w:r>
        <w:rPr>
          <w:color w:val="231F20"/>
          <w:spacing w:val="9"/>
        </w:rPr>
        <w:t> </w:t>
      </w:r>
      <w:r>
        <w:rPr>
          <w:color w:val="231F20"/>
        </w:rPr>
        <w:t>form</w:t>
      </w:r>
      <w:r>
        <w:rPr>
          <w:color w:val="231F20"/>
          <w:spacing w:val="8"/>
        </w:rPr>
        <w:t> </w:t>
      </w:r>
      <w:r>
        <w:rPr>
          <w:color w:val="231F20"/>
        </w:rPr>
        <w:t>a</w:t>
      </w:r>
      <w:r>
        <w:rPr>
          <w:color w:val="231F20"/>
          <w:spacing w:val="9"/>
        </w:rPr>
        <w:t> </w:t>
      </w:r>
      <w:r>
        <w:rPr>
          <w:color w:val="231F20"/>
          <w:spacing w:val="-2"/>
        </w:rPr>
        <w:t>filter:</w:t>
      </w:r>
    </w:p>
    <w:p>
      <w:pPr>
        <w:pStyle w:val="BodyText"/>
        <w:spacing w:line="213" w:lineRule="auto" w:before="113"/>
        <w:ind w:left="2951" w:right="636"/>
      </w:pPr>
      <w:r>
        <w:rPr>
          <w:color w:val="231F20"/>
        </w:rPr>
        <w:t>Expressions in the same row have an AND relationship; expressions in different rows have an OR relationship. The example shows both: A row will be written to the chart or table if the process name includes “java” AND the processor time is more than 30% OR the user time is more than </w:t>
      </w:r>
      <w:r>
        <w:rPr>
          <w:color w:val="231F20"/>
          <w:spacing w:val="-4"/>
        </w:rPr>
        <w:t>20%.</w:t>
      </w:r>
    </w:p>
    <w:p>
      <w:pPr>
        <w:pStyle w:val="BodyText"/>
        <w:spacing w:before="6"/>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27"/>
        <w:gridCol w:w="2374"/>
        <w:gridCol w:w="2374"/>
        <w:gridCol w:w="2359"/>
      </w:tblGrid>
      <w:tr>
        <w:trPr>
          <w:trHeight w:val="274" w:hRule="atLeast"/>
        </w:trPr>
        <w:tc>
          <w:tcPr>
            <w:tcW w:w="427" w:type="dxa"/>
          </w:tcPr>
          <w:p>
            <w:pPr>
              <w:pStyle w:val="TableParagraph"/>
              <w:spacing w:before="0"/>
              <w:ind w:left="0"/>
              <w:rPr>
                <w:rFonts w:ascii="Times New Roman"/>
                <w:sz w:val="18"/>
              </w:rPr>
            </w:pPr>
          </w:p>
        </w:tc>
        <w:tc>
          <w:tcPr>
            <w:tcW w:w="2374" w:type="dxa"/>
          </w:tcPr>
          <w:p>
            <w:pPr>
              <w:pStyle w:val="TableParagraph"/>
              <w:spacing w:before="10"/>
              <w:ind w:left="608"/>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2374" w:type="dxa"/>
          </w:tcPr>
          <w:p>
            <w:pPr>
              <w:pStyle w:val="TableParagraph"/>
              <w:spacing w:before="10"/>
              <w:ind w:left="448"/>
              <w:rPr>
                <w:rFonts w:ascii="Book Antiqua"/>
                <w:b/>
                <w:sz w:val="18"/>
              </w:rPr>
            </w:pPr>
            <w:r>
              <w:rPr>
                <w:rFonts w:ascii="Book Antiqua"/>
                <w:b/>
                <w:color w:val="231F20"/>
                <w:sz w:val="18"/>
              </w:rPr>
              <w:t>%</w:t>
            </w:r>
            <w:r>
              <w:rPr>
                <w:rFonts w:ascii="Book Antiqua"/>
                <w:b/>
                <w:color w:val="231F20"/>
                <w:spacing w:val="9"/>
                <w:sz w:val="18"/>
              </w:rPr>
              <w:t> </w:t>
            </w:r>
            <w:r>
              <w:rPr>
                <w:rFonts w:ascii="Book Antiqua"/>
                <w:b/>
                <w:color w:val="231F20"/>
                <w:sz w:val="18"/>
              </w:rPr>
              <w:t>Processor</w:t>
            </w:r>
            <w:r>
              <w:rPr>
                <w:rFonts w:ascii="Book Antiqua"/>
                <w:b/>
                <w:color w:val="231F20"/>
                <w:spacing w:val="9"/>
                <w:sz w:val="18"/>
              </w:rPr>
              <w:t> </w:t>
            </w:r>
            <w:r>
              <w:rPr>
                <w:rFonts w:ascii="Book Antiqua"/>
                <w:b/>
                <w:color w:val="231F20"/>
                <w:spacing w:val="-4"/>
                <w:sz w:val="18"/>
              </w:rPr>
              <w:t>Time</w:t>
            </w:r>
          </w:p>
        </w:tc>
        <w:tc>
          <w:tcPr>
            <w:tcW w:w="2359" w:type="dxa"/>
          </w:tcPr>
          <w:p>
            <w:pPr>
              <w:pStyle w:val="TableParagraph"/>
              <w:spacing w:before="10"/>
              <w:ind w:left="647"/>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09" w:hRule="atLeast"/>
        </w:trPr>
        <w:tc>
          <w:tcPr>
            <w:tcW w:w="427" w:type="dxa"/>
          </w:tcPr>
          <w:p>
            <w:pPr>
              <w:pStyle w:val="TableParagraph"/>
              <w:ind w:left="44"/>
              <w:rPr>
                <w:sz w:val="18"/>
              </w:rPr>
            </w:pPr>
            <w:r>
              <w:rPr>
                <w:color w:val="231F20"/>
                <w:spacing w:val="-10"/>
                <w:sz w:val="18"/>
              </w:rPr>
              <w:t>1</w:t>
            </w:r>
          </w:p>
        </w:tc>
        <w:tc>
          <w:tcPr>
            <w:tcW w:w="2374" w:type="dxa"/>
          </w:tcPr>
          <w:p>
            <w:pPr>
              <w:pStyle w:val="TableParagraph"/>
              <w:spacing w:before="10"/>
              <w:ind w:left="0"/>
              <w:rPr>
                <w:sz w:val="7"/>
              </w:rPr>
            </w:pPr>
          </w:p>
          <w:p>
            <w:pPr>
              <w:pStyle w:val="TableParagraph"/>
              <w:spacing w:line="130" w:lineRule="exact" w:before="0"/>
              <w:ind w:left="1094"/>
              <w:rPr>
                <w:sz w:val="13"/>
              </w:rPr>
            </w:pPr>
            <w:r>
              <w:rPr>
                <w:position w:val="-2"/>
                <w:sz w:val="13"/>
              </w:rPr>
              <w:drawing>
                <wp:inline distT="0" distB="0" distL="0" distR="0">
                  <wp:extent cx="82962" cy="82962"/>
                  <wp:effectExtent l="0" t="0" r="0" b="0"/>
                  <wp:docPr id="950" name="Image 950"/>
                  <wp:cNvGraphicFramePr>
                    <a:graphicFrameLocks/>
                  </wp:cNvGraphicFramePr>
                  <a:graphic>
                    <a:graphicData uri="http://schemas.openxmlformats.org/drawingml/2006/picture">
                      <pic:pic>
                        <pic:nvPicPr>
                          <pic:cNvPr id="950" name="Image 950"/>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2374" w:type="dxa"/>
          </w:tcPr>
          <w:p>
            <w:pPr>
              <w:pStyle w:val="TableParagraph"/>
              <w:spacing w:before="10"/>
              <w:ind w:left="0"/>
              <w:rPr>
                <w:sz w:val="7"/>
              </w:rPr>
            </w:pPr>
          </w:p>
          <w:p>
            <w:pPr>
              <w:pStyle w:val="TableParagraph"/>
              <w:spacing w:line="130" w:lineRule="exact" w:before="0"/>
              <w:ind w:left="1094"/>
              <w:rPr>
                <w:sz w:val="13"/>
              </w:rPr>
            </w:pPr>
            <w:r>
              <w:rPr>
                <w:position w:val="-2"/>
                <w:sz w:val="13"/>
              </w:rPr>
              <w:drawing>
                <wp:inline distT="0" distB="0" distL="0" distR="0">
                  <wp:extent cx="82962" cy="82962"/>
                  <wp:effectExtent l="0" t="0" r="0" b="0"/>
                  <wp:docPr id="951" name="Image 951"/>
                  <wp:cNvGraphicFramePr>
                    <a:graphicFrameLocks/>
                  </wp:cNvGraphicFramePr>
                  <a:graphic>
                    <a:graphicData uri="http://schemas.openxmlformats.org/drawingml/2006/picture">
                      <pic:pic>
                        <pic:nvPicPr>
                          <pic:cNvPr id="951" name="Image 951"/>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2359" w:type="dxa"/>
          </w:tcPr>
          <w:p>
            <w:pPr>
              <w:pStyle w:val="TableParagraph"/>
              <w:spacing w:before="10"/>
              <w:ind w:left="0"/>
              <w:rPr>
                <w:sz w:val="7"/>
              </w:rPr>
            </w:pPr>
          </w:p>
          <w:p>
            <w:pPr>
              <w:pStyle w:val="TableParagraph"/>
              <w:spacing w:line="130" w:lineRule="exact" w:before="0"/>
              <w:ind w:left="1094"/>
              <w:rPr>
                <w:sz w:val="13"/>
              </w:rPr>
            </w:pPr>
            <w:r>
              <w:rPr>
                <w:position w:val="-2"/>
                <w:sz w:val="13"/>
              </w:rPr>
              <w:drawing>
                <wp:inline distT="0" distB="0" distL="0" distR="0">
                  <wp:extent cx="82962" cy="82962"/>
                  <wp:effectExtent l="0" t="0" r="0" b="0"/>
                  <wp:docPr id="952" name="Image 952"/>
                  <wp:cNvGraphicFramePr>
                    <a:graphicFrameLocks/>
                  </wp:cNvGraphicFramePr>
                  <a:graphic>
                    <a:graphicData uri="http://schemas.openxmlformats.org/drawingml/2006/picture">
                      <pic:pic>
                        <pic:nvPicPr>
                          <pic:cNvPr id="952" name="Image 952"/>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r>
      <w:tr>
        <w:trPr>
          <w:trHeight w:val="309" w:hRule="atLeast"/>
        </w:trPr>
        <w:tc>
          <w:tcPr>
            <w:tcW w:w="427" w:type="dxa"/>
          </w:tcPr>
          <w:p>
            <w:pPr>
              <w:pStyle w:val="TableParagraph"/>
              <w:ind w:left="44"/>
              <w:rPr>
                <w:sz w:val="18"/>
              </w:rPr>
            </w:pPr>
            <w:r>
              <w:rPr>
                <w:color w:val="231F20"/>
                <w:spacing w:val="-10"/>
                <w:sz w:val="18"/>
              </w:rPr>
              <w:t>2</w:t>
            </w:r>
          </w:p>
        </w:tc>
        <w:tc>
          <w:tcPr>
            <w:tcW w:w="2374" w:type="dxa"/>
          </w:tcPr>
          <w:p>
            <w:pPr>
              <w:pStyle w:val="TableParagraph"/>
              <w:rPr>
                <w:sz w:val="18"/>
              </w:rPr>
            </w:pPr>
            <w:r>
              <w:rPr/>
              <w:drawing>
                <wp:inline distT="0" distB="0" distL="0" distR="0">
                  <wp:extent cx="63500" cy="63500"/>
                  <wp:effectExtent l="0" t="0" r="0" b="0"/>
                  <wp:docPr id="953" name="Image 953"/>
                  <wp:cNvGraphicFramePr>
                    <a:graphicFrameLocks/>
                  </wp:cNvGraphicFramePr>
                  <a:graphic>
                    <a:graphicData uri="http://schemas.openxmlformats.org/drawingml/2006/picture">
                      <pic:pic>
                        <pic:nvPicPr>
                          <pic:cNvPr id="953" name="Image 953"/>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'java'</w:t>
            </w:r>
          </w:p>
        </w:tc>
        <w:tc>
          <w:tcPr>
            <w:tcW w:w="2374"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30</w:t>
            </w:r>
          </w:p>
        </w:tc>
        <w:tc>
          <w:tcPr>
            <w:tcW w:w="2359" w:type="dxa"/>
          </w:tcPr>
          <w:p>
            <w:pPr>
              <w:pStyle w:val="TableParagraph"/>
              <w:spacing w:before="0"/>
              <w:ind w:left="0"/>
              <w:rPr>
                <w:rFonts w:ascii="Times New Roman"/>
                <w:sz w:val="18"/>
              </w:rPr>
            </w:pPr>
          </w:p>
        </w:tc>
      </w:tr>
      <w:tr>
        <w:trPr>
          <w:trHeight w:val="314" w:hRule="atLeast"/>
        </w:trPr>
        <w:tc>
          <w:tcPr>
            <w:tcW w:w="427" w:type="dxa"/>
          </w:tcPr>
          <w:p>
            <w:pPr>
              <w:pStyle w:val="TableParagraph"/>
              <w:ind w:left="44"/>
              <w:rPr>
                <w:sz w:val="18"/>
              </w:rPr>
            </w:pPr>
            <w:r>
              <w:rPr>
                <w:color w:val="231F20"/>
                <w:spacing w:val="-10"/>
                <w:sz w:val="18"/>
              </w:rPr>
              <w:t>3</w:t>
            </w:r>
          </w:p>
        </w:tc>
        <w:tc>
          <w:tcPr>
            <w:tcW w:w="2374" w:type="dxa"/>
          </w:tcPr>
          <w:p>
            <w:pPr>
              <w:pStyle w:val="TableParagraph"/>
              <w:rPr>
                <w:sz w:val="18"/>
              </w:rPr>
            </w:pPr>
            <w:r>
              <w:rPr/>
              <w:drawing>
                <wp:inline distT="0" distB="0" distL="0" distR="0">
                  <wp:extent cx="63500" cy="63500"/>
                  <wp:effectExtent l="0" t="0" r="0" b="0"/>
                  <wp:docPr id="954" name="Image 954"/>
                  <wp:cNvGraphicFramePr>
                    <a:graphicFrameLocks/>
                  </wp:cNvGraphicFramePr>
                  <a:graphic>
                    <a:graphicData uri="http://schemas.openxmlformats.org/drawingml/2006/picture">
                      <pic:pic>
                        <pic:nvPicPr>
                          <pic:cNvPr id="954" name="Image 954"/>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'java'</w:t>
            </w:r>
          </w:p>
        </w:tc>
        <w:tc>
          <w:tcPr>
            <w:tcW w:w="2374" w:type="dxa"/>
          </w:tcPr>
          <w:p>
            <w:pPr>
              <w:pStyle w:val="TableParagraph"/>
              <w:spacing w:before="0"/>
              <w:ind w:left="0"/>
              <w:rPr>
                <w:rFonts w:ascii="Times New Roman"/>
                <w:sz w:val="18"/>
              </w:rPr>
            </w:pPr>
          </w:p>
        </w:tc>
        <w:tc>
          <w:tcPr>
            <w:tcW w:w="2359"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20</w:t>
            </w:r>
          </w:p>
        </w:tc>
      </w:tr>
    </w:tbl>
    <w:p>
      <w:pPr>
        <w:pStyle w:val="BodyText"/>
        <w:spacing w:before="265"/>
        <w:ind w:left="2951"/>
      </w:pPr>
      <w:r>
        <w:rPr>
          <w:position w:val="-1"/>
        </w:rPr>
        <w:drawing>
          <wp:inline distT="0" distB="0" distL="0" distR="0">
            <wp:extent cx="101600" cy="101600"/>
            <wp:effectExtent l="0" t="0" r="0" b="0"/>
            <wp:docPr id="955" name="Image 955"/>
            <wp:cNvGraphicFramePr>
              <a:graphicFrameLocks/>
            </wp:cNvGraphicFramePr>
            <a:graphic>
              <a:graphicData uri="http://schemas.openxmlformats.org/drawingml/2006/picture">
                <pic:pic>
                  <pic:nvPicPr>
                    <pic:cNvPr id="955" name="Image 955"/>
                    <pic:cNvPicPr/>
                  </pic:nvPicPr>
                  <pic:blipFill>
                    <a:blip r:embed="rId195"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
        </w:rPr>
        <w:t> </w:t>
      </w:r>
      <w:r>
        <w:rPr>
          <w:color w:val="231F20"/>
        </w:rPr>
        <w:t>Show</w:t>
      </w:r>
      <w:r>
        <w:rPr>
          <w:color w:val="231F20"/>
          <w:spacing w:val="12"/>
        </w:rPr>
        <w:t> </w:t>
      </w:r>
      <w:r>
        <w:rPr>
          <w:color w:val="231F20"/>
        </w:rPr>
        <w:t>Formula</w:t>
      </w:r>
      <w:r>
        <w:rPr>
          <w:color w:val="231F20"/>
          <w:spacing w:val="12"/>
        </w:rPr>
        <w:t> </w:t>
      </w:r>
      <w:r>
        <w:rPr>
          <w:color w:val="231F20"/>
        </w:rPr>
        <w:t>opens</w:t>
      </w:r>
      <w:r>
        <w:rPr>
          <w:color w:val="231F20"/>
          <w:spacing w:val="12"/>
        </w:rPr>
        <w:t> </w:t>
      </w:r>
      <w:r>
        <w:rPr>
          <w:color w:val="231F20"/>
        </w:rPr>
        <w:t>a</w:t>
      </w:r>
      <w:r>
        <w:rPr>
          <w:color w:val="231F20"/>
          <w:spacing w:val="12"/>
        </w:rPr>
        <w:t> </w:t>
      </w:r>
      <w:r>
        <w:rPr>
          <w:color w:val="231F20"/>
        </w:rPr>
        <w:t>graphical</w:t>
      </w:r>
      <w:r>
        <w:rPr>
          <w:color w:val="231F20"/>
          <w:spacing w:val="12"/>
        </w:rPr>
        <w:t> </w:t>
      </w:r>
      <w:r>
        <w:rPr>
          <w:color w:val="231F20"/>
        </w:rPr>
        <w:t>view</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filter.</w:t>
      </w:r>
    </w:p>
    <w:p>
      <w:pPr>
        <w:pStyle w:val="Heading6"/>
        <w:spacing w:line="240" w:lineRule="auto" w:before="111"/>
        <w:ind w:left="2232"/>
      </w:pPr>
      <w:r>
        <w:rPr>
          <w:color w:val="231F20"/>
        </w:rPr>
        <w:t>Data</w:t>
      </w:r>
      <w:r>
        <w:rPr>
          <w:color w:val="231F20"/>
          <w:spacing w:val="11"/>
        </w:rPr>
        <w:t> </w:t>
      </w:r>
      <w:r>
        <w:rPr>
          <w:color w:val="231F20"/>
          <w:spacing w:val="-2"/>
        </w:rPr>
        <w:t>Snapshot</w:t>
      </w:r>
    </w:p>
    <w:p>
      <w:pPr>
        <w:pStyle w:val="BodyText"/>
        <w:spacing w:line="213" w:lineRule="auto" w:before="119"/>
        <w:ind w:left="2951" w:right="545"/>
      </w:pPr>
      <w:r>
        <w:rPr>
          <w:color w:val="231F20"/>
        </w:rPr>
        <w:t>Shows the attributes returned from the query and a sampling of </w:t>
      </w:r>
      <w:r>
        <w:rPr>
          <w:color w:val="231F20"/>
        </w:rPr>
        <w:t>their </w:t>
      </w:r>
      <w:r>
        <w:rPr>
          <w:color w:val="231F20"/>
          <w:spacing w:val="-2"/>
        </w:rPr>
        <w:t>values.</w:t>
      </w:r>
    </w:p>
    <w:p>
      <w:pPr>
        <w:pStyle w:val="Heading6"/>
        <w:spacing w:before="118"/>
        <w:ind w:left="2232"/>
      </w:pPr>
      <w:r>
        <w:rPr>
          <w:color w:val="231F20"/>
        </w:rPr>
        <w:t>Set</w:t>
      </w:r>
      <w:r>
        <w:rPr>
          <w:color w:val="231F20"/>
          <w:spacing w:val="10"/>
        </w:rPr>
        <w:t> </w:t>
      </w:r>
      <w:r>
        <w:rPr>
          <w:color w:val="231F20"/>
        </w:rPr>
        <w:t>advanced</w:t>
      </w:r>
      <w:r>
        <w:rPr>
          <w:color w:val="231F20"/>
          <w:spacing w:val="10"/>
        </w:rPr>
        <w:t> </w:t>
      </w:r>
      <w:r>
        <w:rPr>
          <w:color w:val="231F20"/>
          <w:spacing w:val="-2"/>
        </w:rPr>
        <w:t>filters</w:t>
      </w:r>
    </w:p>
    <w:p>
      <w:pPr>
        <w:pStyle w:val="BodyText"/>
        <w:spacing w:line="213" w:lineRule="auto" w:before="11"/>
        <w:ind w:left="2951" w:right="545"/>
      </w:pPr>
      <w:r>
        <w:rPr>
          <w:color w:val="231F20"/>
        </w:rPr>
        <w:t>Opens the Advanced Filters window for setting a sort order for </w:t>
      </w:r>
      <w:r>
        <w:rPr>
          <w:color w:val="231F20"/>
        </w:rPr>
        <w:t>the retrieved values and the highest or lowest values to return.</w:t>
      </w:r>
    </w:p>
    <w:p>
      <w:pPr>
        <w:pStyle w:val="BodyText"/>
        <w:spacing w:line="213" w:lineRule="auto" w:before="238"/>
        <w:ind w:left="2232" w:right="425"/>
      </w:pPr>
      <w:r>
        <w:rPr>
          <w:rFonts w:ascii="Book Antiqua"/>
          <w:b/>
          <w:color w:val="231F20"/>
        </w:rPr>
        <w:t>Tip:</w:t>
      </w:r>
      <w:r>
        <w:rPr>
          <w:rFonts w:ascii="Book Antiqua"/>
          <w:b/>
          <w:color w:val="231F20"/>
          <w:spacing w:val="40"/>
        </w:rPr>
        <w:t> </w:t>
      </w:r>
      <w:r>
        <w:rPr>
          <w:color w:val="231F20"/>
        </w:rPr>
        <w:t>When filtering is established through the </w:t>
      </w:r>
      <w:r>
        <w:rPr>
          <w:rFonts w:ascii="Book Antiqua"/>
          <w:b/>
          <w:color w:val="231F20"/>
        </w:rPr>
        <w:t>Filters </w:t>
      </w:r>
      <w:r>
        <w:rPr>
          <w:color w:val="231F20"/>
        </w:rPr>
        <w:t>tab, the filtering occurs after</w:t>
      </w:r>
      <w:r>
        <w:rPr>
          <w:color w:val="231F20"/>
          <w:spacing w:val="40"/>
        </w:rPr>
        <w:t> </w:t>
      </w:r>
      <w:r>
        <w:rPr>
          <w:color w:val="231F20"/>
        </w:rPr>
        <w:t>the data is retrieved from the managed system. If many rows are returned, it might take</w:t>
      </w:r>
      <w:r>
        <w:rPr>
          <w:color w:val="231F20"/>
          <w:spacing w:val="18"/>
        </w:rPr>
        <w:t> </w:t>
      </w:r>
      <w:r>
        <w:rPr>
          <w:color w:val="231F20"/>
        </w:rPr>
        <w:t>some</w:t>
      </w:r>
      <w:r>
        <w:rPr>
          <w:color w:val="231F20"/>
          <w:spacing w:val="18"/>
        </w:rPr>
        <w:t> </w:t>
      </w:r>
      <w:r>
        <w:rPr>
          <w:color w:val="231F20"/>
        </w:rPr>
        <w:t>time</w:t>
      </w:r>
      <w:r>
        <w:rPr>
          <w:color w:val="231F20"/>
          <w:spacing w:val="18"/>
        </w:rPr>
        <w:t> </w:t>
      </w:r>
      <w:r>
        <w:rPr>
          <w:color w:val="231F20"/>
        </w:rPr>
        <w:t>to</w:t>
      </w:r>
      <w:r>
        <w:rPr>
          <w:color w:val="231F20"/>
          <w:spacing w:val="18"/>
        </w:rPr>
        <w:t> </w:t>
      </w:r>
      <w:r>
        <w:rPr>
          <w:color w:val="231F20"/>
        </w:rPr>
        <w:t>retrieve</w:t>
      </w:r>
      <w:r>
        <w:rPr>
          <w:color w:val="231F20"/>
          <w:spacing w:val="18"/>
        </w:rPr>
        <w:t> </w:t>
      </w:r>
      <w:r>
        <w:rPr>
          <w:color w:val="231F20"/>
        </w:rPr>
        <w:t>all</w:t>
      </w:r>
      <w:r>
        <w:rPr>
          <w:color w:val="231F20"/>
          <w:spacing w:val="18"/>
        </w:rPr>
        <w:t> </w:t>
      </w:r>
      <w:r>
        <w:rPr>
          <w:color w:val="231F20"/>
        </w:rPr>
        <w:t>of</w:t>
      </w:r>
      <w:r>
        <w:rPr>
          <w:color w:val="231F20"/>
          <w:spacing w:val="18"/>
        </w:rPr>
        <w:t> </w:t>
      </w:r>
      <w:r>
        <w:rPr>
          <w:color w:val="231F20"/>
        </w:rPr>
        <w:t>them</w:t>
      </w:r>
      <w:r>
        <w:rPr>
          <w:color w:val="231F20"/>
          <w:spacing w:val="18"/>
        </w:rPr>
        <w:t> </w:t>
      </w:r>
      <w:r>
        <w:rPr>
          <w:color w:val="231F20"/>
        </w:rPr>
        <w:t>and</w:t>
      </w:r>
      <w:r>
        <w:rPr>
          <w:color w:val="231F20"/>
          <w:spacing w:val="18"/>
        </w:rPr>
        <w:t> </w:t>
      </w:r>
      <w:r>
        <w:rPr>
          <w:color w:val="231F20"/>
        </w:rPr>
        <w:t>complete</w:t>
      </w:r>
      <w:r>
        <w:rPr>
          <w:color w:val="231F20"/>
          <w:spacing w:val="18"/>
        </w:rPr>
        <w:t> </w:t>
      </w:r>
      <w:r>
        <w:rPr>
          <w:color w:val="231F20"/>
        </w:rPr>
        <w:t>the</w:t>
      </w:r>
      <w:r>
        <w:rPr>
          <w:color w:val="231F20"/>
          <w:spacing w:val="18"/>
        </w:rPr>
        <w:t> </w:t>
      </w:r>
      <w:r>
        <w:rPr>
          <w:color w:val="231F20"/>
        </w:rPr>
        <w:t>filtering</w:t>
      </w:r>
      <w:r>
        <w:rPr>
          <w:color w:val="231F20"/>
          <w:spacing w:val="18"/>
        </w:rPr>
        <w:t> </w:t>
      </w:r>
      <w:r>
        <w:rPr>
          <w:color w:val="231F20"/>
        </w:rPr>
        <w:t>task.</w:t>
      </w:r>
      <w:r>
        <w:rPr>
          <w:color w:val="231F20"/>
          <w:spacing w:val="18"/>
        </w:rPr>
        <w:t> </w:t>
      </w:r>
      <w:r>
        <w:rPr>
          <w:color w:val="231F20"/>
        </w:rPr>
        <w:t>If</w:t>
      </w:r>
      <w:r>
        <w:rPr>
          <w:color w:val="231F20"/>
          <w:spacing w:val="18"/>
        </w:rPr>
        <w:t> </w:t>
      </w:r>
      <w:r>
        <w:rPr>
          <w:color w:val="231F20"/>
        </w:rPr>
        <w:t>you</w:t>
      </w:r>
      <w:r>
        <w:rPr>
          <w:color w:val="231F20"/>
          <w:spacing w:val="18"/>
        </w:rPr>
        <w:t> </w:t>
      </w:r>
      <w:r>
        <w:rPr>
          <w:color w:val="231F20"/>
        </w:rPr>
        <w:t>create a query that filters the data, then assign that query to the view, the filtering is done</w:t>
      </w:r>
      <w:r>
        <w:rPr>
          <w:color w:val="231F20"/>
          <w:spacing w:val="80"/>
        </w:rPr>
        <w:t> </w:t>
      </w:r>
      <w:r>
        <w:rPr>
          <w:color w:val="231F20"/>
        </w:rPr>
        <w:t>at the portal server, which improves performance time.</w:t>
      </w:r>
    </w:p>
    <w:p>
      <w:pPr>
        <w:spacing w:after="0" w:line="213" w:lineRule="auto"/>
        <w:sectPr>
          <w:pgSz w:w="12240" w:h="15840"/>
          <w:pgMar w:header="0" w:footer="736" w:top="1180" w:bottom="920" w:left="1000" w:right="1060"/>
        </w:sectPr>
      </w:pPr>
    </w:p>
    <w:p>
      <w:pPr>
        <w:pStyle w:val="Heading6"/>
        <w:spacing w:line="240" w:lineRule="auto" w:before="83"/>
      </w:pPr>
      <w:bookmarkStart w:name="_bookmark71" w:id="161"/>
      <w:bookmarkEnd w:id="161"/>
      <w:r>
        <w:rPr>
          <w:b w:val="0"/>
        </w:rPr>
      </w:r>
      <w:r>
        <w:rPr>
          <w:color w:val="231F20"/>
          <w:spacing w:val="-2"/>
        </w:rPr>
        <w:t>Thresholds:</w:t>
      </w:r>
    </w:p>
    <w:p>
      <w:pPr>
        <w:pStyle w:val="BodyText"/>
        <w:spacing w:line="213" w:lineRule="auto" w:before="239"/>
        <w:ind w:left="2472"/>
      </w:pPr>
      <w:r>
        <w:rPr>
          <w:color w:val="231F20"/>
        </w:rPr>
        <w:t>The properties for table views include the Thresholds tab for defining the values </w:t>
      </w:r>
      <w:r>
        <w:rPr>
          <w:color w:val="231F20"/>
        </w:rPr>
        <w:t>or value ranges for coloring table cells </w:t>
      </w:r>
      <w:r>
        <w:rPr>
          <w:color w:val="231F20"/>
          <w:spacing w:val="15"/>
          <w:position w:val="-3"/>
        </w:rPr>
        <w:drawing>
          <wp:inline distT="0" distB="0" distL="0" distR="0">
            <wp:extent cx="279400" cy="107950"/>
            <wp:effectExtent l="0" t="0" r="0" b="0"/>
            <wp:docPr id="956" name="Image 956"/>
            <wp:cNvGraphicFramePr>
              <a:graphicFrameLocks/>
            </wp:cNvGraphicFramePr>
            <a:graphic>
              <a:graphicData uri="http://schemas.openxmlformats.org/drawingml/2006/picture">
                <pic:pic>
                  <pic:nvPicPr>
                    <pic:cNvPr id="956" name="Image 956"/>
                    <pic:cNvPicPr/>
                  </pic:nvPicPr>
                  <pic:blipFill>
                    <a:blip r:embed="rId196" cstate="print"/>
                    <a:stretch>
                      <a:fillRect/>
                    </a:stretch>
                  </pic:blipFill>
                  <pic:spPr>
                    <a:xfrm>
                      <a:off x="0" y="0"/>
                      <a:ext cx="279400" cy="107950"/>
                    </a:xfrm>
                    <a:prstGeom prst="rect">
                      <a:avLst/>
                    </a:prstGeom>
                  </pic:spPr>
                </pic:pic>
              </a:graphicData>
            </a:graphic>
          </wp:inline>
        </w:drawing>
      </w:r>
      <w:r>
        <w:rPr>
          <w:color w:val="231F20"/>
          <w:spacing w:val="15"/>
          <w:position w:val="-3"/>
        </w:rPr>
      </w:r>
      <w:r>
        <w:rPr>
          <w:rFonts w:ascii="Times New Roman"/>
          <w:color w:val="231F20"/>
          <w:spacing w:val="40"/>
        </w:rPr>
        <w:t> </w:t>
      </w:r>
      <w:r>
        <w:rPr>
          <w:color w:val="231F20"/>
        </w:rPr>
        <w:t>or applying a severity icon </w:t>
      </w:r>
      <w:r>
        <w:rPr>
          <w:color w:val="231F20"/>
          <w:spacing w:val="15"/>
          <w:position w:val="-3"/>
        </w:rPr>
        <w:drawing>
          <wp:inline distT="0" distB="0" distL="0" distR="0">
            <wp:extent cx="336550" cy="107950"/>
            <wp:effectExtent l="0" t="0" r="0" b="0"/>
            <wp:docPr id="957" name="Image 957"/>
            <wp:cNvGraphicFramePr>
              <a:graphicFrameLocks/>
            </wp:cNvGraphicFramePr>
            <a:graphic>
              <a:graphicData uri="http://schemas.openxmlformats.org/drawingml/2006/picture">
                <pic:pic>
                  <pic:nvPicPr>
                    <pic:cNvPr id="957" name="Image 957"/>
                    <pic:cNvPicPr/>
                  </pic:nvPicPr>
                  <pic:blipFill>
                    <a:blip r:embed="rId197" cstate="print"/>
                    <a:stretch>
                      <a:fillRect/>
                    </a:stretch>
                  </pic:blipFill>
                  <pic:spPr>
                    <a:xfrm>
                      <a:off x="0" y="0"/>
                      <a:ext cx="336550" cy="107950"/>
                    </a:xfrm>
                    <a:prstGeom prst="rect">
                      <a:avLst/>
                    </a:prstGeom>
                  </pic:spPr>
                </pic:pic>
              </a:graphicData>
            </a:graphic>
          </wp:inline>
        </w:drawing>
      </w:r>
      <w:r>
        <w:rPr>
          <w:color w:val="231F20"/>
          <w:spacing w:val="15"/>
          <w:position w:val="-3"/>
        </w:rPr>
      </w:r>
      <w:r>
        <w:rPr>
          <w:rFonts w:ascii="Times New Roman"/>
          <w:color w:val="231F20"/>
        </w:rPr>
        <w:t> </w:t>
      </w:r>
      <w:r>
        <w:rPr>
          <w:color w:val="231F20"/>
        </w:rPr>
        <w:t>.</w:t>
      </w:r>
    </w:p>
    <w:p>
      <w:pPr>
        <w:pStyle w:val="BodyText"/>
        <w:spacing w:line="213" w:lineRule="auto" w:before="239"/>
        <w:ind w:left="2472" w:right="385"/>
      </w:pPr>
      <w:r>
        <w:rPr>
          <w:color w:val="231F20"/>
        </w:rPr>
        <w:t>In addition to the severity for threshold cells, you can sort the table by the </w:t>
      </w:r>
      <w:r>
        <w:rPr>
          <w:color w:val="231F20"/>
        </w:rPr>
        <w:t>severity</w:t>
      </w:r>
      <w:r>
        <w:rPr>
          <w:color w:val="231F20"/>
          <w:spacing w:val="40"/>
        </w:rPr>
        <w:t> </w:t>
      </w:r>
      <w:r>
        <w:rPr>
          <w:color w:val="231F20"/>
        </w:rPr>
        <w:t>level of a column, and you can move the mouse pointer over a cell to see the</w:t>
      </w:r>
      <w:r>
        <w:rPr>
          <w:color w:val="231F20"/>
          <w:spacing w:val="40"/>
        </w:rPr>
        <w:t> </w:t>
      </w:r>
      <w:r>
        <w:rPr>
          <w:color w:val="231F20"/>
        </w:rPr>
        <w:t>threshold criteria.</w:t>
      </w:r>
    </w:p>
    <w:p>
      <w:pPr>
        <w:pStyle w:val="Heading6"/>
        <w:spacing w:line="240" w:lineRule="auto" w:before="116"/>
      </w:pPr>
      <w:r>
        <w:rPr>
          <w:color w:val="231F20"/>
          <w:spacing w:val="-2"/>
        </w:rPr>
        <w:t>Thresholds</w:t>
      </w:r>
    </w:p>
    <w:p>
      <w:pPr>
        <w:pStyle w:val="BodyText"/>
        <w:spacing w:line="213" w:lineRule="auto" w:before="119"/>
        <w:ind w:left="3190" w:right="385"/>
      </w:pPr>
      <w:r>
        <w:rPr>
          <w:color w:val="231F20"/>
        </w:rPr>
        <w:t>The threshold editor shows the attributes for the query as column</w:t>
      </w:r>
      <w:r>
        <w:rPr>
          <w:color w:val="231F20"/>
          <w:spacing w:val="40"/>
        </w:rPr>
        <w:t> </w:t>
      </w:r>
      <w:r>
        <w:rPr>
          <w:color w:val="231F20"/>
        </w:rPr>
        <w:t>headings. The cells in the first two columns are for selecting a severity indicator: The Use Icons </w:t>
      </w:r>
      <w:r>
        <w:rPr>
          <w:color w:val="231F20"/>
          <w:spacing w:val="15"/>
        </w:rPr>
        <w:drawing>
          <wp:inline distT="0" distB="0" distL="0" distR="0">
            <wp:extent cx="82550" cy="82550"/>
            <wp:effectExtent l="0" t="0" r="0" b="0"/>
            <wp:docPr id="958" name="Image 958"/>
            <wp:cNvGraphicFramePr>
              <a:graphicFrameLocks/>
            </wp:cNvGraphicFramePr>
            <a:graphic>
              <a:graphicData uri="http://schemas.openxmlformats.org/drawingml/2006/picture">
                <pic:pic>
                  <pic:nvPicPr>
                    <pic:cNvPr id="958" name="Image 95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color w:val="231F20"/>
        </w:rPr>
        <w:t>check box, when selected, will apply the icon that is selected in the next (Threshold) column to the threshold cell when the expression in this row is true. The Threshold column lists the possible </w:t>
      </w:r>
      <w:r>
        <w:rPr>
          <w:color w:val="231F20"/>
          <w:spacing w:val="-2"/>
        </w:rPr>
        <w:t>severities.</w:t>
      </w:r>
    </w:p>
    <w:p>
      <w:pPr>
        <w:pStyle w:val="BodyText"/>
        <w:spacing w:line="213" w:lineRule="auto" w:before="116"/>
        <w:ind w:left="3190" w:right="292"/>
      </w:pPr>
      <w:r>
        <w:rPr>
          <w:color w:val="231F20"/>
        </w:rPr>
        <w:t>The</w:t>
      </w:r>
      <w:r>
        <w:rPr>
          <w:color w:val="231F20"/>
          <w:spacing w:val="28"/>
        </w:rPr>
        <w:t> </w:t>
      </w:r>
      <w:r>
        <w:rPr>
          <w:color w:val="231F20"/>
        </w:rPr>
        <w:t>threshold</w:t>
      </w:r>
      <w:r>
        <w:rPr>
          <w:color w:val="231F20"/>
          <w:spacing w:val="28"/>
        </w:rPr>
        <w:t> </w:t>
      </w:r>
      <w:r>
        <w:rPr>
          <w:color w:val="231F20"/>
        </w:rPr>
        <w:t>expression</w:t>
      </w:r>
      <w:r>
        <w:rPr>
          <w:color w:val="231F20"/>
          <w:spacing w:val="28"/>
        </w:rPr>
        <w:t> </w:t>
      </w:r>
      <w:r>
        <w:rPr>
          <w:color w:val="231F20"/>
        </w:rPr>
        <w:t>for</w:t>
      </w:r>
      <w:r>
        <w:rPr>
          <w:color w:val="231F20"/>
          <w:spacing w:val="28"/>
        </w:rPr>
        <w:t> </w:t>
      </w:r>
      <w:r>
        <w:rPr>
          <w:color w:val="231F20"/>
        </w:rPr>
        <w:t>the</w:t>
      </w:r>
      <w:r>
        <w:rPr>
          <w:color w:val="231F20"/>
          <w:spacing w:val="28"/>
        </w:rPr>
        <w:t> </w:t>
      </w:r>
      <w:r>
        <w:rPr>
          <w:color w:val="231F20"/>
        </w:rPr>
        <w:t>chosen</w:t>
      </w:r>
      <w:r>
        <w:rPr>
          <w:color w:val="231F20"/>
          <w:spacing w:val="28"/>
        </w:rPr>
        <w:t> </w:t>
      </w:r>
      <w:r>
        <w:rPr>
          <w:color w:val="231F20"/>
        </w:rPr>
        <w:t>severity</w:t>
      </w:r>
      <w:r>
        <w:rPr>
          <w:color w:val="231F20"/>
          <w:spacing w:val="28"/>
        </w:rPr>
        <w:t> </w:t>
      </w:r>
      <w:r>
        <w:rPr>
          <w:color w:val="231F20"/>
        </w:rPr>
        <w:t>is</w:t>
      </w:r>
      <w:r>
        <w:rPr>
          <w:color w:val="231F20"/>
          <w:spacing w:val="28"/>
        </w:rPr>
        <w:t> </w:t>
      </w:r>
      <w:r>
        <w:rPr>
          <w:color w:val="231F20"/>
        </w:rPr>
        <w:t>written</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same row. Clicking a cell activathanks. tes the formula editor and the formula</w:t>
      </w:r>
      <w:r>
        <w:rPr>
          <w:color w:val="231F20"/>
          <w:spacing w:val="80"/>
        </w:rPr>
        <w:t> </w:t>
      </w:r>
      <w:r>
        <w:rPr>
          <w:color w:val="231F20"/>
        </w:rPr>
        <w:t>bar. The active cell has three fields for completing the threshold expression </w:t>
      </w:r>
      <w:r>
        <w:rPr>
          <w:color w:val="231F20"/>
          <w:position w:val="-1"/>
        </w:rPr>
        <w:drawing>
          <wp:inline distT="0" distB="0" distL="0" distR="0">
            <wp:extent cx="558800" cy="101600"/>
            <wp:effectExtent l="0" t="0" r="0" b="0"/>
            <wp:docPr id="959" name="Image 959"/>
            <wp:cNvGraphicFramePr>
              <a:graphicFrameLocks/>
            </wp:cNvGraphicFramePr>
            <a:graphic>
              <a:graphicData uri="http://schemas.openxmlformats.org/drawingml/2006/picture">
                <pic:pic>
                  <pic:nvPicPr>
                    <pic:cNvPr id="959" name="Image 959"/>
                    <pic:cNvPicPr/>
                  </pic:nvPicPr>
                  <pic:blipFill>
                    <a:blip r:embed="rId194" cstate="print"/>
                    <a:stretch>
                      <a:fillRect/>
                    </a:stretch>
                  </pic:blipFill>
                  <pic:spPr>
                    <a:xfrm>
                      <a:off x="0" y="0"/>
                      <a:ext cx="558800" cy="101600"/>
                    </a:xfrm>
                    <a:prstGeom prst="rect">
                      <a:avLst/>
                    </a:prstGeom>
                  </pic:spPr>
                </pic:pic>
              </a:graphicData>
            </a:graphic>
          </wp:inline>
        </w:drawing>
      </w:r>
      <w:r>
        <w:rPr>
          <w:color w:val="231F20"/>
          <w:position w:val="-1"/>
        </w:rPr>
      </w:r>
      <w:r>
        <w:rPr>
          <w:rFonts w:ascii="Times New Roman"/>
          <w:color w:val="231F20"/>
        </w:rPr>
        <w:t> </w:t>
      </w:r>
      <w:r>
        <w:rPr>
          <w:color w:val="231F20"/>
        </w:rPr>
        <w:t>:</w:t>
      </w:r>
    </w:p>
    <w:p>
      <w:pPr>
        <w:tabs>
          <w:tab w:pos="3482" w:val="left" w:leader="none"/>
        </w:tabs>
        <w:spacing w:line="211" w:lineRule="auto" w:before="59"/>
        <w:ind w:left="3406" w:right="258" w:hanging="216"/>
        <w:jc w:val="left"/>
        <w:rPr>
          <w:sz w:val="20"/>
        </w:rPr>
      </w:pPr>
      <w:r>
        <w:rPr>
          <w:rFonts w:ascii="Futura MdCn BT"/>
          <w:color w:val="231F20"/>
          <w:spacing w:val="-10"/>
          <w:sz w:val="20"/>
        </w:rPr>
        <w:t>v</w:t>
      </w:r>
      <w:r>
        <w:rPr>
          <w:rFonts w:ascii="Futura MdCn BT"/>
          <w:color w:val="231F20"/>
          <w:sz w:val="20"/>
        </w:rPr>
        <w:tab/>
        <w:tab/>
      </w:r>
      <w:r>
        <w:rPr>
          <w:rFonts w:ascii="Futura MdCn BT"/>
          <w:color w:val="231F20"/>
          <w:position w:val="-5"/>
          <w:sz w:val="20"/>
        </w:rPr>
        <w:drawing>
          <wp:inline distT="0" distB="0" distL="0" distR="0">
            <wp:extent cx="101600" cy="114300"/>
            <wp:effectExtent l="0" t="0" r="0" b="0"/>
            <wp:docPr id="960" name="Image 960"/>
            <wp:cNvGraphicFramePr>
              <a:graphicFrameLocks/>
            </wp:cNvGraphicFramePr>
            <a:graphic>
              <a:graphicData uri="http://schemas.openxmlformats.org/drawingml/2006/picture">
                <pic:pic>
                  <pic:nvPicPr>
                    <pic:cNvPr id="960" name="Image 960"/>
                    <pic:cNvPicPr/>
                  </pic:nvPicPr>
                  <pic:blipFill>
                    <a:blip r:embed="rId157" cstate="print"/>
                    <a:stretch>
                      <a:fillRect/>
                    </a:stretch>
                  </pic:blipFill>
                  <pic:spPr>
                    <a:xfrm>
                      <a:off x="0" y="0"/>
                      <a:ext cx="101600" cy="114300"/>
                    </a:xfrm>
                    <a:prstGeom prst="rect">
                      <a:avLst/>
                    </a:prstGeom>
                  </pic:spPr>
                </pic:pic>
              </a:graphicData>
            </a:graphic>
          </wp:inline>
        </w:drawing>
      </w:r>
      <w:r>
        <w:rPr>
          <w:rFonts w:ascii="Futura MdCn BT"/>
          <w:color w:val="231F20"/>
          <w:position w:val="-5"/>
          <w:sz w:val="20"/>
        </w:rPr>
      </w:r>
      <w:r>
        <w:rPr>
          <w:rFonts w:ascii="Times New Roman"/>
          <w:color w:val="231F20"/>
          <w:spacing w:val="40"/>
          <w:sz w:val="20"/>
        </w:rPr>
        <w:t> </w:t>
      </w:r>
      <w:r>
        <w:rPr>
          <w:color w:val="231F20"/>
          <w:sz w:val="20"/>
        </w:rPr>
        <w:t>Function shows the function chosen for the attribute, which is set to </w:t>
      </w:r>
      <w:r>
        <w:rPr>
          <w:rFonts w:ascii="Book Antiqua"/>
          <w:i/>
          <w:color w:val="231F20"/>
          <w:sz w:val="20"/>
        </w:rPr>
        <w:t>Value of expression </w:t>
      </w:r>
      <w:r>
        <w:rPr>
          <w:color w:val="231F20"/>
          <w:sz w:val="20"/>
        </w:rPr>
        <w:t>by default. Click the button to open and select from a list of possible functions, which vary depending on the type of </w:t>
      </w:r>
      <w:r>
        <w:rPr>
          <w:color w:val="231F20"/>
          <w:sz w:val="20"/>
        </w:rPr>
        <w:t>attribute.</w:t>
      </w:r>
      <w:r>
        <w:rPr>
          <w:color w:val="231F20"/>
          <w:sz w:val="20"/>
        </w:rPr>
        <w:t> For example, the available functions for text are </w:t>
      </w:r>
      <w:r>
        <w:rPr>
          <w:rFonts w:ascii="Book Antiqua"/>
          <w:i/>
          <w:color w:val="231F20"/>
          <w:sz w:val="20"/>
        </w:rPr>
        <w:t>Scan for string within a</w:t>
      </w:r>
      <w:r>
        <w:rPr>
          <w:rFonts w:ascii="Book Antiqua"/>
          <w:i/>
          <w:color w:val="231F20"/>
          <w:sz w:val="20"/>
        </w:rPr>
        <w:t> string </w:t>
      </w:r>
      <w:r>
        <w:rPr>
          <w:color w:val="231F20"/>
          <w:sz w:val="20"/>
        </w:rPr>
        <w:t>, </w:t>
      </w:r>
      <w:r>
        <w:rPr>
          <w:rFonts w:ascii="Book Antiqua"/>
          <w:i/>
          <w:color w:val="231F20"/>
          <w:sz w:val="20"/>
        </w:rPr>
        <w:t>Return a subset of the string </w:t>
      </w:r>
      <w:r>
        <w:rPr>
          <w:color w:val="231F20"/>
          <w:sz w:val="20"/>
        </w:rPr>
        <w:t>, and </w:t>
      </w:r>
      <w:r>
        <w:rPr>
          <w:rFonts w:ascii="Book Antiqua"/>
          <w:i/>
          <w:color w:val="231F20"/>
          <w:sz w:val="20"/>
        </w:rPr>
        <w:t>Value of expression </w:t>
      </w:r>
      <w:r>
        <w:rPr>
          <w:color w:val="231F20"/>
          <w:sz w:val="20"/>
        </w:rPr>
        <w:t>. Numeric attributes have </w:t>
      </w:r>
      <w:r>
        <w:rPr>
          <w:rFonts w:ascii="Book Antiqua"/>
          <w:i/>
          <w:color w:val="231F20"/>
          <w:sz w:val="20"/>
        </w:rPr>
        <w:t>See if a value is within a range </w:t>
      </w:r>
      <w:r>
        <w:rPr>
          <w:color w:val="231F20"/>
          <w:sz w:val="20"/>
        </w:rPr>
        <w:t>, which checks if the value</w:t>
      </w:r>
      <w:r>
        <w:rPr>
          <w:color w:val="231F20"/>
          <w:spacing w:val="40"/>
          <w:sz w:val="20"/>
        </w:rPr>
        <w:t> </w:t>
      </w:r>
      <w:r>
        <w:rPr>
          <w:color w:val="231F20"/>
          <w:sz w:val="20"/>
        </w:rPr>
        <w:t>falls within the range you specify.</w:t>
      </w:r>
    </w:p>
    <w:p>
      <w:pPr>
        <w:pStyle w:val="BodyText"/>
        <w:tabs>
          <w:tab w:pos="3482" w:val="left" w:leader="none"/>
        </w:tabs>
        <w:spacing w:line="211" w:lineRule="auto" w:before="69"/>
        <w:ind w:left="3406" w:right="493" w:hanging="216"/>
      </w:pPr>
      <w:r>
        <w:rPr>
          <w:rFonts w:ascii="Futura MdCn BT"/>
          <w:color w:val="231F20"/>
          <w:spacing w:val="-10"/>
        </w:rPr>
        <w:t>v</w:t>
      </w:r>
      <w:r>
        <w:rPr>
          <w:rFonts w:ascii="Futura MdCn BT"/>
          <w:color w:val="231F20"/>
        </w:rPr>
        <w:tab/>
        <w:tab/>
      </w:r>
      <w:r>
        <w:rPr>
          <w:rFonts w:ascii="Futura MdCn BT"/>
          <w:color w:val="231F20"/>
          <w:position w:val="-5"/>
        </w:rPr>
        <w:drawing>
          <wp:inline distT="0" distB="0" distL="0" distR="0">
            <wp:extent cx="114300" cy="114300"/>
            <wp:effectExtent l="0" t="0" r="0" b="0"/>
            <wp:docPr id="961" name="Image 961"/>
            <wp:cNvGraphicFramePr>
              <a:graphicFrameLocks/>
            </wp:cNvGraphicFramePr>
            <a:graphic>
              <a:graphicData uri="http://schemas.openxmlformats.org/drawingml/2006/picture">
                <pic:pic>
                  <pic:nvPicPr>
                    <pic:cNvPr id="961" name="Image 961"/>
                    <pic:cNvPicPr/>
                  </pic:nvPicPr>
                  <pic:blipFill>
                    <a:blip r:embed="rId124" cstate="print"/>
                    <a:stretch>
                      <a:fillRect/>
                    </a:stretch>
                  </pic:blipFill>
                  <pic:spPr>
                    <a:xfrm>
                      <a:off x="0" y="0"/>
                      <a:ext cx="114300" cy="114300"/>
                    </a:xfrm>
                    <a:prstGeom prst="rect">
                      <a:avLst/>
                    </a:prstGeom>
                  </pic:spPr>
                </pic:pic>
              </a:graphicData>
            </a:graphic>
          </wp:inline>
        </w:drawing>
      </w:r>
      <w:r>
        <w:rPr>
          <w:rFonts w:ascii="Futura MdCn BT"/>
          <w:color w:val="231F20"/>
          <w:position w:val="-5"/>
        </w:rPr>
      </w:r>
      <w:r>
        <w:rPr>
          <w:rFonts w:ascii="Times New Roman"/>
          <w:color w:val="231F20"/>
          <w:spacing w:val="40"/>
        </w:rPr>
        <w:t> </w:t>
      </w:r>
      <w:r>
        <w:rPr>
          <w:color w:val="231F20"/>
        </w:rPr>
        <w:t>Operator shows the relational operator, which is == Equal by</w:t>
      </w:r>
      <w:r>
        <w:rPr>
          <w:color w:val="231F20"/>
          <w:spacing w:val="40"/>
        </w:rPr>
        <w:t> </w:t>
      </w:r>
      <w:r>
        <w:rPr>
          <w:color w:val="231F20"/>
        </w:rPr>
        <w:t>default. Click the button to open and select from a list of operators: </w:t>
      </w:r>
      <w:r>
        <w:rPr>
          <w:color w:val="231F20"/>
        </w:rPr>
        <w:t>==</w:t>
      </w:r>
      <w:r>
        <w:rPr>
          <w:color w:val="231F20"/>
          <w:spacing w:val="40"/>
        </w:rPr>
        <w:t> </w:t>
      </w:r>
      <w:r>
        <w:rPr>
          <w:color w:val="231F20"/>
        </w:rPr>
        <w:t>Equal, != Not equal. &gt; Greater than, &gt;= Greater than or equal, &lt; Less</w:t>
      </w:r>
      <w:r>
        <w:rPr>
          <w:color w:val="231F20"/>
          <w:spacing w:val="80"/>
          <w:w w:val="150"/>
        </w:rPr>
        <w:t> </w:t>
      </w:r>
      <w:r>
        <w:rPr>
          <w:color w:val="231F20"/>
        </w:rPr>
        <w:t>than, and &lt;= Less than or equal.</w:t>
      </w:r>
    </w:p>
    <w:p>
      <w:pPr>
        <w:pStyle w:val="BodyText"/>
        <w:tabs>
          <w:tab w:pos="3472" w:val="left" w:leader="none"/>
        </w:tabs>
        <w:spacing w:line="211" w:lineRule="auto" w:before="68"/>
        <w:ind w:left="3406" w:right="274" w:hanging="216"/>
      </w:pPr>
      <w:r>
        <w:rPr>
          <w:rFonts w:ascii="Futura MdCn BT" w:hAnsi="Futura MdCn BT"/>
          <w:color w:val="231F20"/>
          <w:spacing w:val="-10"/>
        </w:rPr>
        <w:t>v</w:t>
      </w:r>
      <w:r>
        <w:rPr>
          <w:rFonts w:ascii="Futura MdCn BT" w:hAnsi="Futura MdCn BT"/>
          <w:color w:val="231F20"/>
        </w:rPr>
        <w:tab/>
        <w:tab/>
      </w:r>
      <w:r>
        <w:rPr>
          <w:rFonts w:ascii="Futura MdCn BT" w:hAnsi="Futura MdCn BT"/>
          <w:color w:val="231F20"/>
        </w:rPr>
        <w:drawing>
          <wp:inline distT="0" distB="0" distL="0" distR="0">
            <wp:extent cx="158750" cy="82550"/>
            <wp:effectExtent l="0" t="0" r="0" b="0"/>
            <wp:docPr id="962" name="Image 962"/>
            <wp:cNvGraphicFramePr>
              <a:graphicFrameLocks/>
            </wp:cNvGraphicFramePr>
            <a:graphic>
              <a:graphicData uri="http://schemas.openxmlformats.org/drawingml/2006/picture">
                <pic:pic>
                  <pic:nvPicPr>
                    <pic:cNvPr id="962" name="Image 962"/>
                    <pic:cNvPicPr/>
                  </pic:nvPicPr>
                  <pic:blipFill>
                    <a:blip r:embed="rId192" cstate="print"/>
                    <a:stretch>
                      <a:fillRect/>
                    </a:stretch>
                  </pic:blipFill>
                  <pic:spPr>
                    <a:xfrm>
                      <a:off x="0" y="0"/>
                      <a:ext cx="158750" cy="82550"/>
                    </a:xfrm>
                    <a:prstGeom prst="rect">
                      <a:avLst/>
                    </a:prstGeom>
                  </pic:spPr>
                </pic:pic>
              </a:graphicData>
            </a:graphic>
          </wp:inline>
        </w:drawing>
      </w:r>
      <w:r>
        <w:rPr>
          <w:rFonts w:ascii="Futura MdCn BT" w:hAnsi="Futura MdCn BT"/>
          <w:color w:val="231F20"/>
        </w:rPr>
      </w:r>
      <w:r>
        <w:rPr>
          <w:rFonts w:ascii="Times New Roman" w:hAnsi="Times New Roman"/>
          <w:color w:val="231F20"/>
          <w:spacing w:val="40"/>
        </w:rPr>
        <w:t> </w:t>
      </w:r>
      <w:r>
        <w:rPr>
          <w:color w:val="231F20"/>
        </w:rPr>
        <w:t>Text box shows the value of the attribute to be compared with the values</w:t>
      </w:r>
      <w:r>
        <w:rPr>
          <w:color w:val="231F20"/>
          <w:spacing w:val="29"/>
        </w:rPr>
        <w:t> </w:t>
      </w:r>
      <w:r>
        <w:rPr>
          <w:color w:val="231F20"/>
        </w:rPr>
        <w:t>arriving</w:t>
      </w:r>
      <w:r>
        <w:rPr>
          <w:color w:val="231F20"/>
          <w:spacing w:val="29"/>
        </w:rPr>
        <w:t> </w:t>
      </w:r>
      <w:r>
        <w:rPr>
          <w:color w:val="231F20"/>
        </w:rPr>
        <w:t>from</w:t>
      </w:r>
      <w:r>
        <w:rPr>
          <w:color w:val="231F20"/>
          <w:spacing w:val="29"/>
        </w:rPr>
        <w:t> </w:t>
      </w:r>
      <w:r>
        <w:rPr>
          <w:color w:val="231F20"/>
        </w:rPr>
        <w:t>the</w:t>
      </w:r>
      <w:r>
        <w:rPr>
          <w:color w:val="231F20"/>
          <w:spacing w:val="29"/>
        </w:rPr>
        <w:t> </w:t>
      </w:r>
      <w:r>
        <w:rPr>
          <w:color w:val="231F20"/>
        </w:rPr>
        <w:t>managed</w:t>
      </w:r>
      <w:r>
        <w:rPr>
          <w:color w:val="231F20"/>
          <w:spacing w:val="29"/>
        </w:rPr>
        <w:t> </w:t>
      </w:r>
      <w:r>
        <w:rPr>
          <w:color w:val="231F20"/>
        </w:rPr>
        <w:t>system.</w:t>
      </w:r>
      <w:r>
        <w:rPr>
          <w:color w:val="231F20"/>
          <w:spacing w:val="29"/>
        </w:rPr>
        <w:t> </w:t>
      </w:r>
      <w:r>
        <w:rPr>
          <w:color w:val="231F20"/>
        </w:rPr>
        <w:t>Click</w:t>
      </w:r>
      <w:r>
        <w:rPr>
          <w:color w:val="231F20"/>
          <w:spacing w:val="29"/>
        </w:rPr>
        <w:t> </w:t>
      </w:r>
      <w:r>
        <w:rPr>
          <w:color w:val="231F20"/>
        </w:rPr>
        <w:t>inside</w:t>
      </w:r>
      <w:r>
        <w:rPr>
          <w:color w:val="231F20"/>
          <w:spacing w:val="29"/>
        </w:rPr>
        <w:t> </w:t>
      </w:r>
      <w:r>
        <w:rPr>
          <w:color w:val="231F20"/>
        </w:rPr>
        <w:t>the</w:t>
      </w:r>
      <w:r>
        <w:rPr>
          <w:color w:val="231F20"/>
          <w:spacing w:val="29"/>
        </w:rPr>
        <w:t> </w:t>
      </w:r>
      <w:r>
        <w:rPr>
          <w:color w:val="231F20"/>
        </w:rPr>
        <w:t>cell</w:t>
      </w:r>
      <w:r>
        <w:rPr>
          <w:color w:val="231F20"/>
          <w:spacing w:val="29"/>
        </w:rPr>
        <w:t> </w:t>
      </w:r>
      <w:r>
        <w:rPr>
          <w:color w:val="231F20"/>
        </w:rPr>
        <w:t>to</w:t>
      </w:r>
      <w:r>
        <w:rPr>
          <w:color w:val="231F20"/>
          <w:spacing w:val="29"/>
        </w:rPr>
        <w:t> </w:t>
      </w:r>
      <w:r>
        <w:rPr>
          <w:color w:val="231F20"/>
        </w:rPr>
        <w:t>edit the value. For enumerated attribute values, such as “online” or </w:t>
      </w:r>
      <w:r>
        <w:rPr>
          <w:color w:val="231F20"/>
        </w:rPr>
        <w:t>“offline,”</w:t>
      </w:r>
      <w:r>
        <w:rPr>
          <w:color w:val="231F20"/>
        </w:rPr>
        <w:t> you see a list box to click for the possible choices.</w:t>
      </w:r>
    </w:p>
    <w:p>
      <w:pPr>
        <w:pStyle w:val="BodyText"/>
        <w:spacing w:line="213" w:lineRule="auto" w:before="241"/>
        <w:ind w:left="3190" w:right="292"/>
      </w:pPr>
      <w:r>
        <w:rPr>
          <w:rFonts w:ascii="Book Antiqua"/>
          <w:b/>
          <w:color w:val="231F20"/>
        </w:rPr>
        <w:t>Note:</w:t>
      </w:r>
      <w:r>
        <w:rPr>
          <w:rFonts w:ascii="Book Antiqua"/>
          <w:b/>
          <w:color w:val="231F20"/>
          <w:spacing w:val="40"/>
        </w:rPr>
        <w:t> </w:t>
      </w:r>
      <w:r>
        <w:rPr>
          <w:color w:val="231F20"/>
        </w:rPr>
        <w:t>For complex expressions, such as when you need to repeat an attribute</w:t>
      </w:r>
      <w:r>
        <w:rPr>
          <w:color w:val="231F20"/>
          <w:spacing w:val="21"/>
        </w:rPr>
        <w:t> </w:t>
      </w:r>
      <w:r>
        <w:rPr>
          <w:color w:val="231F20"/>
        </w:rPr>
        <w:t>name,</w:t>
      </w:r>
      <w:r>
        <w:rPr>
          <w:color w:val="231F20"/>
          <w:spacing w:val="21"/>
        </w:rPr>
        <w:t> </w:t>
      </w:r>
      <w:r>
        <w:rPr>
          <w:color w:val="231F20"/>
        </w:rPr>
        <w:t>you</w:t>
      </w:r>
      <w:r>
        <w:rPr>
          <w:color w:val="231F20"/>
          <w:spacing w:val="21"/>
        </w:rPr>
        <w:t> </w:t>
      </w:r>
      <w:r>
        <w:rPr>
          <w:color w:val="231F20"/>
        </w:rPr>
        <w:t>can</w:t>
      </w:r>
      <w:r>
        <w:rPr>
          <w:color w:val="231F20"/>
          <w:spacing w:val="21"/>
        </w:rPr>
        <w:t> </w:t>
      </w:r>
      <w:r>
        <w:rPr>
          <w:color w:val="231F20"/>
        </w:rPr>
        <w:t>double-click</w:t>
      </w:r>
      <w:r>
        <w:rPr>
          <w:color w:val="231F20"/>
          <w:spacing w:val="21"/>
        </w:rPr>
        <w:t> </w:t>
      </w:r>
      <w:r>
        <w:rPr>
          <w:color w:val="231F20"/>
        </w:rPr>
        <w:t>in</w:t>
      </w:r>
      <w:r>
        <w:rPr>
          <w:color w:val="231F20"/>
          <w:spacing w:val="21"/>
        </w:rPr>
        <w:t> </w:t>
      </w:r>
      <w:r>
        <w:rPr>
          <w:color w:val="231F20"/>
        </w:rPr>
        <w:t>a</w:t>
      </w:r>
      <w:r>
        <w:rPr>
          <w:color w:val="231F20"/>
          <w:spacing w:val="21"/>
        </w:rPr>
        <w:t> </w:t>
      </w:r>
      <w:r>
        <w:rPr>
          <w:color w:val="231F20"/>
        </w:rPr>
        <w:t>value</w:t>
      </w:r>
      <w:r>
        <w:rPr>
          <w:color w:val="231F20"/>
          <w:spacing w:val="21"/>
        </w:rPr>
        <w:t> </w:t>
      </w:r>
      <w:r>
        <w:rPr>
          <w:color w:val="231F20"/>
        </w:rPr>
        <w:t>text</w:t>
      </w:r>
      <w:r>
        <w:rPr>
          <w:color w:val="231F20"/>
          <w:spacing w:val="21"/>
        </w:rPr>
        <w:t> </w:t>
      </w:r>
      <w:r>
        <w:rPr>
          <w:color w:val="231F20"/>
        </w:rPr>
        <w:t>box</w:t>
      </w:r>
      <w:r>
        <w:rPr>
          <w:color w:val="231F20"/>
          <w:spacing w:val="21"/>
        </w:rPr>
        <w:t> </w:t>
      </w:r>
      <w:r>
        <w:rPr>
          <w:color w:val="231F20"/>
        </w:rPr>
        <w:t>to</w:t>
      </w:r>
      <w:r>
        <w:rPr>
          <w:color w:val="231F20"/>
          <w:spacing w:val="21"/>
        </w:rPr>
        <w:t> </w:t>
      </w:r>
      <w:r>
        <w:rPr>
          <w:color w:val="231F20"/>
        </w:rPr>
        <w:t>see</w:t>
      </w:r>
      <w:r>
        <w:rPr>
          <w:color w:val="231F20"/>
          <w:spacing w:val="21"/>
        </w:rPr>
        <w:t> </w:t>
      </w:r>
      <w:r>
        <w:rPr>
          <w:color w:val="231F20"/>
        </w:rPr>
        <w:t>and</w:t>
      </w:r>
      <w:r>
        <w:rPr>
          <w:color w:val="231F20"/>
          <w:spacing w:val="21"/>
        </w:rPr>
        <w:t> </w:t>
      </w:r>
      <w:r>
        <w:rPr>
          <w:color w:val="231F20"/>
        </w:rPr>
        <w:t>select an available attribute from the Select Value window. Clear the box before double-clicking or the value will be inserted between existing text and </w:t>
      </w:r>
      <w:r>
        <w:rPr>
          <w:color w:val="231F20"/>
        </w:rPr>
        <w:t>the formula syntax will be incorrect.</w:t>
      </w:r>
    </w:p>
    <w:p>
      <w:pPr>
        <w:pStyle w:val="BodyText"/>
        <w:spacing w:before="93"/>
        <w:ind w:left="3190"/>
      </w:pPr>
      <w:r>
        <w:rPr>
          <w:color w:val="231F20"/>
        </w:rPr>
        <w:t>You</w:t>
      </w:r>
      <w:r>
        <w:rPr>
          <w:color w:val="231F20"/>
          <w:spacing w:val="7"/>
        </w:rPr>
        <w:t> </w:t>
      </w:r>
      <w:r>
        <w:rPr>
          <w:color w:val="231F20"/>
        </w:rPr>
        <w:t>can</w:t>
      </w:r>
      <w:r>
        <w:rPr>
          <w:color w:val="231F20"/>
          <w:spacing w:val="8"/>
        </w:rPr>
        <w:t> </w:t>
      </w:r>
      <w:r>
        <w:rPr>
          <w:color w:val="231F20"/>
        </w:rPr>
        <w:t>specify</w:t>
      </w:r>
      <w:r>
        <w:rPr>
          <w:color w:val="231F20"/>
          <w:spacing w:val="8"/>
        </w:rPr>
        <w:t> </w:t>
      </w:r>
      <w:r>
        <w:rPr>
          <w:color w:val="231F20"/>
        </w:rPr>
        <w:t>multiple</w:t>
      </w:r>
      <w:r>
        <w:rPr>
          <w:color w:val="231F20"/>
          <w:spacing w:val="8"/>
        </w:rPr>
        <w:t> </w:t>
      </w:r>
      <w:r>
        <w:rPr>
          <w:color w:val="231F20"/>
        </w:rPr>
        <w:t>threshold</w:t>
      </w:r>
      <w:r>
        <w:rPr>
          <w:color w:val="231F20"/>
          <w:spacing w:val="8"/>
        </w:rPr>
        <w:t> </w:t>
      </w:r>
      <w:r>
        <w:rPr>
          <w:color w:val="231F20"/>
        </w:rPr>
        <w:t>expressions</w:t>
      </w:r>
      <w:r>
        <w:rPr>
          <w:color w:val="231F20"/>
          <w:spacing w:val="8"/>
        </w:rPr>
        <w:t> </w:t>
      </w:r>
      <w:r>
        <w:rPr>
          <w:color w:val="231F20"/>
        </w:rPr>
        <w:t>to</w:t>
      </w:r>
      <w:r>
        <w:rPr>
          <w:color w:val="231F20"/>
          <w:spacing w:val="7"/>
        </w:rPr>
        <w:t> </w:t>
      </w:r>
      <w:r>
        <w:rPr>
          <w:color w:val="231F20"/>
        </w:rPr>
        <w:t>form</w:t>
      </w:r>
      <w:r>
        <w:rPr>
          <w:color w:val="231F20"/>
          <w:spacing w:val="8"/>
        </w:rPr>
        <w:t> </w:t>
      </w:r>
      <w:r>
        <w:rPr>
          <w:color w:val="231F20"/>
        </w:rPr>
        <w:t>a</w:t>
      </w:r>
      <w:r>
        <w:rPr>
          <w:color w:val="231F20"/>
          <w:spacing w:val="8"/>
        </w:rPr>
        <w:t> </w:t>
      </w:r>
      <w:r>
        <w:rPr>
          <w:color w:val="231F20"/>
          <w:spacing w:val="-2"/>
        </w:rPr>
        <w:t>filter:</w:t>
      </w:r>
    </w:p>
    <w:p>
      <w:pPr>
        <w:pStyle w:val="BodyText"/>
        <w:spacing w:line="213" w:lineRule="auto" w:before="53"/>
        <w:ind w:left="3406" w:right="598" w:hanging="216"/>
        <w:jc w:val="both"/>
      </w:pPr>
      <w:r>
        <w:rPr>
          <w:rFonts w:ascii="Futura MdCn BT"/>
          <w:color w:val="231F20"/>
        </w:rPr>
        <w:t>v</w:t>
      </w:r>
      <w:r>
        <w:rPr>
          <w:rFonts w:ascii="Futura MdCn BT"/>
          <w:color w:val="231F20"/>
          <w:spacing w:val="80"/>
        </w:rPr>
        <w:t> </w:t>
      </w:r>
      <w:r>
        <w:rPr>
          <w:color w:val="231F20"/>
        </w:rPr>
        <w:t>The threshold expressions you enter in the same row have an AND relationship. When a retrieved value satisfies all the expressions in </w:t>
      </w:r>
      <w:r>
        <w:rPr>
          <w:color w:val="231F20"/>
        </w:rPr>
        <w:t>a</w:t>
      </w:r>
      <w:r>
        <w:rPr>
          <w:color w:val="231F20"/>
        </w:rPr>
        <w:t> row, the cell background will be colored.</w:t>
      </w:r>
    </w:p>
    <w:p>
      <w:pPr>
        <w:pStyle w:val="BodyText"/>
        <w:tabs>
          <w:tab w:pos="3473" w:val="left" w:leader="none"/>
        </w:tabs>
        <w:spacing w:line="213" w:lineRule="auto" w:before="58"/>
        <w:ind w:left="3406" w:right="379" w:hanging="216"/>
      </w:pPr>
      <w:r>
        <w:rPr>
          <w:rFonts w:ascii="Futura MdCn BT"/>
          <w:color w:val="231F20"/>
          <w:spacing w:val="-10"/>
        </w:rPr>
        <w:t>v</w:t>
      </w:r>
      <w:r>
        <w:rPr>
          <w:rFonts w:ascii="Futura MdCn BT"/>
          <w:color w:val="231F20"/>
        </w:rPr>
        <w:tab/>
        <w:tab/>
      </w:r>
      <w:r>
        <w:rPr>
          <w:color w:val="231F20"/>
        </w:rPr>
        <w:t>The threshold expressions in each row are independent. If a retrieved value satisfies the conditions in more than one row, the cell background will show the color for the highest severity, the lowest being Unknown and highest being Fatal. Example:</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26"/>
        <w:gridCol w:w="1445"/>
        <w:gridCol w:w="1445"/>
        <w:gridCol w:w="1445"/>
        <w:gridCol w:w="1445"/>
        <w:gridCol w:w="1430"/>
      </w:tblGrid>
      <w:tr>
        <w:trPr>
          <w:trHeight w:val="274" w:hRule="atLeast"/>
        </w:trPr>
        <w:tc>
          <w:tcPr>
            <w:tcW w:w="326" w:type="dxa"/>
          </w:tcPr>
          <w:p>
            <w:pPr>
              <w:pStyle w:val="TableParagraph"/>
              <w:spacing w:before="0"/>
              <w:ind w:left="0"/>
              <w:rPr>
                <w:rFonts w:ascii="Times New Roman"/>
                <w:sz w:val="18"/>
              </w:rPr>
            </w:pPr>
          </w:p>
        </w:tc>
        <w:tc>
          <w:tcPr>
            <w:tcW w:w="1445" w:type="dxa"/>
          </w:tcPr>
          <w:p>
            <w:pPr>
              <w:pStyle w:val="TableParagraph"/>
              <w:spacing w:before="10"/>
              <w:rPr>
                <w:rFonts w:ascii="Book Antiqua"/>
                <w:b/>
                <w:sz w:val="18"/>
              </w:rPr>
            </w:pPr>
            <w:r>
              <w:rPr>
                <w:rFonts w:ascii="Book Antiqua"/>
                <w:b/>
                <w:color w:val="231F20"/>
                <w:sz w:val="18"/>
              </w:rPr>
              <w:t>Use</w:t>
            </w:r>
            <w:r>
              <w:rPr>
                <w:rFonts w:ascii="Book Antiqua"/>
                <w:b/>
                <w:color w:val="231F20"/>
                <w:spacing w:val="10"/>
                <w:sz w:val="18"/>
              </w:rPr>
              <w:t> </w:t>
            </w:r>
            <w:r>
              <w:rPr>
                <w:rFonts w:ascii="Book Antiqua"/>
                <w:b/>
                <w:color w:val="231F20"/>
                <w:spacing w:val="-2"/>
                <w:sz w:val="18"/>
              </w:rPr>
              <w:t>Icons</w:t>
            </w:r>
          </w:p>
        </w:tc>
        <w:tc>
          <w:tcPr>
            <w:tcW w:w="1445" w:type="dxa"/>
          </w:tcPr>
          <w:p>
            <w:pPr>
              <w:pStyle w:val="TableParagraph"/>
              <w:spacing w:before="0"/>
              <w:ind w:left="0"/>
              <w:rPr>
                <w:rFonts w:ascii="Times New Roman"/>
                <w:sz w:val="18"/>
              </w:rPr>
            </w:pPr>
          </w:p>
        </w:tc>
        <w:tc>
          <w:tcPr>
            <w:tcW w:w="1445" w:type="dxa"/>
          </w:tcPr>
          <w:p>
            <w:pPr>
              <w:pStyle w:val="TableParagraph"/>
              <w:spacing w:before="10"/>
              <w:ind w:left="58"/>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445" w:type="dxa"/>
          </w:tcPr>
          <w:p>
            <w:pPr>
              <w:pStyle w:val="TableParagraph"/>
              <w:spacing w:before="10"/>
              <w:ind w:left="58"/>
              <w:rPr>
                <w:rFonts w:ascii="Book Antiqua"/>
                <w:b/>
                <w:sz w:val="18"/>
              </w:rPr>
            </w:pPr>
            <w:r>
              <w:rPr>
                <w:rFonts w:ascii="Book Antiqua"/>
                <w:b/>
                <w:color w:val="231F20"/>
                <w:sz w:val="18"/>
              </w:rPr>
              <w:t>ID</w:t>
            </w:r>
            <w:r>
              <w:rPr>
                <w:rFonts w:ascii="Book Antiqua"/>
                <w:b/>
                <w:color w:val="231F20"/>
                <w:spacing w:val="11"/>
                <w:sz w:val="18"/>
              </w:rPr>
              <w:t> </w:t>
            </w:r>
            <w:r>
              <w:rPr>
                <w:rFonts w:ascii="Book Antiqua"/>
                <w:b/>
                <w:color w:val="231F20"/>
                <w:spacing w:val="-2"/>
                <w:sz w:val="18"/>
              </w:rPr>
              <w:t>Process</w:t>
            </w:r>
          </w:p>
        </w:tc>
        <w:tc>
          <w:tcPr>
            <w:tcW w:w="1430" w:type="dxa"/>
          </w:tcPr>
          <w:p>
            <w:pPr>
              <w:pStyle w:val="TableParagraph"/>
              <w:spacing w:before="10"/>
              <w:ind w:left="57"/>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09" w:hRule="atLeast"/>
        </w:trPr>
        <w:tc>
          <w:tcPr>
            <w:tcW w:w="326" w:type="dxa"/>
          </w:tcPr>
          <w:p>
            <w:pPr>
              <w:pStyle w:val="TableParagraph"/>
              <w:ind w:left="44"/>
              <w:rPr>
                <w:sz w:val="18"/>
              </w:rPr>
            </w:pPr>
            <w:r>
              <w:rPr>
                <w:color w:val="231F20"/>
                <w:spacing w:val="-10"/>
                <w:sz w:val="18"/>
              </w:rPr>
              <w:t>1</w:t>
            </w:r>
          </w:p>
        </w:tc>
        <w:tc>
          <w:tcPr>
            <w:tcW w:w="1445" w:type="dxa"/>
          </w:tcPr>
          <w:p>
            <w:pPr>
              <w:pStyle w:val="TableParagraph"/>
              <w:spacing w:before="10"/>
              <w:ind w:left="0"/>
              <w:rPr>
                <w:sz w:val="7"/>
              </w:rPr>
            </w:pPr>
          </w:p>
          <w:p>
            <w:pPr>
              <w:pStyle w:val="TableParagraph"/>
              <w:spacing w:line="130" w:lineRule="exact" w:before="0"/>
              <w:rPr>
                <w:sz w:val="13"/>
              </w:rPr>
            </w:pPr>
            <w:r>
              <w:rPr>
                <w:position w:val="-2"/>
                <w:sz w:val="13"/>
              </w:rPr>
              <w:drawing>
                <wp:inline distT="0" distB="0" distL="0" distR="0">
                  <wp:extent cx="82962" cy="82962"/>
                  <wp:effectExtent l="0" t="0" r="0" b="0"/>
                  <wp:docPr id="963" name="Image 963"/>
                  <wp:cNvGraphicFramePr>
                    <a:graphicFrameLocks/>
                  </wp:cNvGraphicFramePr>
                  <a:graphic>
                    <a:graphicData uri="http://schemas.openxmlformats.org/drawingml/2006/picture">
                      <pic:pic>
                        <pic:nvPicPr>
                          <pic:cNvPr id="963" name="Image 963"/>
                          <pic:cNvPicPr/>
                        </pic:nvPicPr>
                        <pic:blipFill>
                          <a:blip r:embed="rId120" cstate="print"/>
                          <a:stretch>
                            <a:fillRect/>
                          </a:stretch>
                        </pic:blipFill>
                        <pic:spPr>
                          <a:xfrm>
                            <a:off x="0" y="0"/>
                            <a:ext cx="82962" cy="82962"/>
                          </a:xfrm>
                          <a:prstGeom prst="rect">
                            <a:avLst/>
                          </a:prstGeom>
                        </pic:spPr>
                      </pic:pic>
                    </a:graphicData>
                  </a:graphic>
                </wp:inline>
              </w:drawing>
            </w:r>
            <w:r>
              <w:rPr>
                <w:position w:val="-2"/>
                <w:sz w:val="13"/>
              </w:rPr>
            </w:r>
          </w:p>
        </w:tc>
        <w:tc>
          <w:tcPr>
            <w:tcW w:w="1445" w:type="dxa"/>
          </w:tcPr>
          <w:p>
            <w:pPr>
              <w:pStyle w:val="TableParagraph"/>
              <w:ind w:left="69"/>
              <w:rPr>
                <w:sz w:val="18"/>
              </w:rPr>
            </w:pPr>
            <w:r>
              <w:rPr>
                <w:position w:val="-3"/>
              </w:rPr>
              <w:drawing>
                <wp:inline distT="0" distB="0" distL="0" distR="0">
                  <wp:extent cx="95250" cy="95250"/>
                  <wp:effectExtent l="0" t="0" r="0" b="0"/>
                  <wp:docPr id="964" name="Image 964"/>
                  <wp:cNvGraphicFramePr>
                    <a:graphicFrameLocks/>
                  </wp:cNvGraphicFramePr>
                  <a:graphic>
                    <a:graphicData uri="http://schemas.openxmlformats.org/drawingml/2006/picture">
                      <pic:pic>
                        <pic:nvPicPr>
                          <pic:cNvPr id="964" name="Image 964"/>
                          <pic:cNvPicPr/>
                        </pic:nvPicPr>
                        <pic:blipFill>
                          <a:blip r:embed="rId1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Critical</w:t>
            </w:r>
          </w:p>
        </w:tc>
        <w:tc>
          <w:tcPr>
            <w:tcW w:w="1445" w:type="dxa"/>
          </w:tcPr>
          <w:p>
            <w:pPr>
              <w:pStyle w:val="TableParagraph"/>
              <w:spacing w:before="0"/>
              <w:ind w:left="0"/>
              <w:rPr>
                <w:rFonts w:ascii="Times New Roman"/>
                <w:sz w:val="18"/>
              </w:rPr>
            </w:pPr>
          </w:p>
        </w:tc>
        <w:tc>
          <w:tcPr>
            <w:tcW w:w="1445" w:type="dxa"/>
          </w:tcPr>
          <w:p>
            <w:pPr>
              <w:pStyle w:val="TableParagraph"/>
              <w:spacing w:before="0"/>
              <w:ind w:left="0"/>
              <w:rPr>
                <w:rFonts w:ascii="Times New Roman"/>
                <w:sz w:val="18"/>
              </w:rPr>
            </w:pPr>
          </w:p>
        </w:tc>
        <w:tc>
          <w:tcPr>
            <w:tcW w:w="1430" w:type="dxa"/>
          </w:tcPr>
          <w:p>
            <w:pPr>
              <w:pStyle w:val="TableParagraph"/>
              <w:ind w:left="57"/>
              <w:rPr>
                <w:sz w:val="18"/>
              </w:rPr>
            </w:pPr>
            <w:r>
              <w:rPr>
                <w:color w:val="231F20"/>
                <w:w w:val="110"/>
                <w:sz w:val="18"/>
              </w:rPr>
              <w:t>&gt;</w:t>
            </w:r>
            <w:r>
              <w:rPr>
                <w:color w:val="231F20"/>
                <w:spacing w:val="18"/>
                <w:w w:val="110"/>
                <w:sz w:val="18"/>
              </w:rPr>
              <w:t> </w:t>
            </w:r>
            <w:r>
              <w:rPr>
                <w:color w:val="231F20"/>
                <w:spacing w:val="-7"/>
                <w:w w:val="110"/>
                <w:sz w:val="18"/>
              </w:rPr>
              <w:t>90</w:t>
            </w:r>
          </w:p>
        </w:tc>
      </w:tr>
      <w:tr>
        <w:trPr>
          <w:trHeight w:val="314" w:hRule="atLeast"/>
        </w:trPr>
        <w:tc>
          <w:tcPr>
            <w:tcW w:w="326" w:type="dxa"/>
          </w:tcPr>
          <w:p>
            <w:pPr>
              <w:pStyle w:val="TableParagraph"/>
              <w:ind w:left="44"/>
              <w:rPr>
                <w:sz w:val="18"/>
              </w:rPr>
            </w:pPr>
            <w:r>
              <w:rPr>
                <w:color w:val="231F20"/>
                <w:spacing w:val="-10"/>
                <w:sz w:val="18"/>
              </w:rPr>
              <w:t>2</w:t>
            </w:r>
          </w:p>
        </w:tc>
        <w:tc>
          <w:tcPr>
            <w:tcW w:w="1445" w:type="dxa"/>
          </w:tcPr>
          <w:p>
            <w:pPr>
              <w:pStyle w:val="TableParagraph"/>
              <w:spacing w:before="10"/>
              <w:ind w:left="0"/>
              <w:rPr>
                <w:sz w:val="7"/>
              </w:rPr>
            </w:pPr>
          </w:p>
          <w:p>
            <w:pPr>
              <w:pStyle w:val="TableParagraph"/>
              <w:spacing w:line="130" w:lineRule="exact" w:before="0"/>
              <w:rPr>
                <w:sz w:val="13"/>
              </w:rPr>
            </w:pPr>
            <w:r>
              <w:rPr>
                <w:position w:val="-2"/>
                <w:sz w:val="13"/>
              </w:rPr>
              <w:drawing>
                <wp:inline distT="0" distB="0" distL="0" distR="0">
                  <wp:extent cx="82962" cy="82962"/>
                  <wp:effectExtent l="0" t="0" r="0" b="0"/>
                  <wp:docPr id="965" name="Image 965"/>
                  <wp:cNvGraphicFramePr>
                    <a:graphicFrameLocks/>
                  </wp:cNvGraphicFramePr>
                  <a:graphic>
                    <a:graphicData uri="http://schemas.openxmlformats.org/drawingml/2006/picture">
                      <pic:pic>
                        <pic:nvPicPr>
                          <pic:cNvPr id="965" name="Image 965"/>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1445" w:type="dxa"/>
          </w:tcPr>
          <w:p>
            <w:pPr>
              <w:pStyle w:val="TableParagraph"/>
              <w:ind w:left="69"/>
              <w:rPr>
                <w:sz w:val="18"/>
              </w:rPr>
            </w:pPr>
            <w:r>
              <w:rPr>
                <w:position w:val="-3"/>
              </w:rPr>
              <w:drawing>
                <wp:inline distT="0" distB="0" distL="0" distR="0">
                  <wp:extent cx="95250" cy="95250"/>
                  <wp:effectExtent l="0" t="0" r="0" b="0"/>
                  <wp:docPr id="966" name="Image 966"/>
                  <wp:cNvGraphicFramePr>
                    <a:graphicFrameLocks/>
                  </wp:cNvGraphicFramePr>
                  <a:graphic>
                    <a:graphicData uri="http://schemas.openxmlformats.org/drawingml/2006/picture">
                      <pic:pic>
                        <pic:nvPicPr>
                          <pic:cNvPr id="966" name="Image 966"/>
                          <pic:cNvPicPr/>
                        </pic:nvPicPr>
                        <pic:blipFill>
                          <a:blip r:embed="rId164"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Minor</w:t>
            </w:r>
          </w:p>
        </w:tc>
        <w:tc>
          <w:tcPr>
            <w:tcW w:w="1445" w:type="dxa"/>
          </w:tcPr>
          <w:p>
            <w:pPr>
              <w:pStyle w:val="TableParagraph"/>
              <w:spacing w:before="0"/>
              <w:ind w:left="0"/>
              <w:rPr>
                <w:rFonts w:ascii="Times New Roman"/>
                <w:sz w:val="18"/>
              </w:rPr>
            </w:pPr>
          </w:p>
        </w:tc>
        <w:tc>
          <w:tcPr>
            <w:tcW w:w="1445" w:type="dxa"/>
          </w:tcPr>
          <w:p>
            <w:pPr>
              <w:pStyle w:val="TableParagraph"/>
              <w:spacing w:before="0"/>
              <w:ind w:left="0"/>
              <w:rPr>
                <w:rFonts w:ascii="Times New Roman"/>
                <w:sz w:val="18"/>
              </w:rPr>
            </w:pPr>
          </w:p>
        </w:tc>
        <w:tc>
          <w:tcPr>
            <w:tcW w:w="1430" w:type="dxa"/>
          </w:tcPr>
          <w:p>
            <w:pPr>
              <w:pStyle w:val="TableParagraph"/>
              <w:ind w:left="57"/>
              <w:rPr>
                <w:sz w:val="18"/>
              </w:rPr>
            </w:pPr>
            <w:r>
              <w:rPr>
                <w:color w:val="231F20"/>
                <w:w w:val="110"/>
                <w:sz w:val="18"/>
              </w:rPr>
              <w:t>&gt;</w:t>
            </w:r>
            <w:r>
              <w:rPr>
                <w:color w:val="231F20"/>
                <w:spacing w:val="18"/>
                <w:w w:val="110"/>
                <w:sz w:val="18"/>
              </w:rPr>
              <w:t> </w:t>
            </w:r>
            <w:r>
              <w:rPr>
                <w:color w:val="231F20"/>
                <w:spacing w:val="-7"/>
                <w:w w:val="110"/>
                <w:sz w:val="18"/>
              </w:rPr>
              <w:t>50</w:t>
            </w:r>
          </w:p>
        </w:tc>
      </w:tr>
    </w:tbl>
    <w:p>
      <w:pPr>
        <w:spacing w:after="0"/>
        <w:rPr>
          <w:sz w:val="18"/>
        </w:rPr>
        <w:sectPr>
          <w:pgSz w:w="12240" w:h="15840"/>
          <w:pgMar w:header="0" w:footer="736" w:top="1180" w:bottom="1056"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26"/>
        <w:gridCol w:w="1445"/>
        <w:gridCol w:w="1445"/>
        <w:gridCol w:w="1445"/>
        <w:gridCol w:w="1445"/>
        <w:gridCol w:w="1430"/>
      </w:tblGrid>
      <w:tr>
        <w:trPr>
          <w:trHeight w:val="274" w:hRule="atLeast"/>
        </w:trPr>
        <w:tc>
          <w:tcPr>
            <w:tcW w:w="326" w:type="dxa"/>
          </w:tcPr>
          <w:p>
            <w:pPr>
              <w:pStyle w:val="TableParagraph"/>
              <w:spacing w:before="0"/>
              <w:ind w:left="0"/>
              <w:rPr>
                <w:rFonts w:ascii="Times New Roman"/>
                <w:sz w:val="18"/>
              </w:rPr>
            </w:pPr>
          </w:p>
        </w:tc>
        <w:tc>
          <w:tcPr>
            <w:tcW w:w="1445" w:type="dxa"/>
          </w:tcPr>
          <w:p>
            <w:pPr>
              <w:pStyle w:val="TableParagraph"/>
              <w:spacing w:before="10"/>
              <w:rPr>
                <w:rFonts w:ascii="Book Antiqua"/>
                <w:b/>
                <w:sz w:val="18"/>
              </w:rPr>
            </w:pPr>
            <w:r>
              <w:rPr>
                <w:rFonts w:ascii="Book Antiqua"/>
                <w:b/>
                <w:color w:val="231F20"/>
                <w:sz w:val="18"/>
              </w:rPr>
              <w:t>Use</w:t>
            </w:r>
            <w:r>
              <w:rPr>
                <w:rFonts w:ascii="Book Antiqua"/>
                <w:b/>
                <w:color w:val="231F20"/>
                <w:spacing w:val="10"/>
                <w:sz w:val="18"/>
              </w:rPr>
              <w:t> </w:t>
            </w:r>
            <w:r>
              <w:rPr>
                <w:rFonts w:ascii="Book Antiqua"/>
                <w:b/>
                <w:color w:val="231F20"/>
                <w:spacing w:val="-2"/>
                <w:sz w:val="18"/>
              </w:rPr>
              <w:t>Icons</w:t>
            </w:r>
          </w:p>
        </w:tc>
        <w:tc>
          <w:tcPr>
            <w:tcW w:w="1445" w:type="dxa"/>
          </w:tcPr>
          <w:p>
            <w:pPr>
              <w:pStyle w:val="TableParagraph"/>
              <w:spacing w:before="0"/>
              <w:ind w:left="0"/>
              <w:rPr>
                <w:rFonts w:ascii="Times New Roman"/>
                <w:sz w:val="18"/>
              </w:rPr>
            </w:pPr>
          </w:p>
        </w:tc>
        <w:tc>
          <w:tcPr>
            <w:tcW w:w="1445" w:type="dxa"/>
          </w:tcPr>
          <w:p>
            <w:pPr>
              <w:pStyle w:val="TableParagraph"/>
              <w:spacing w:before="10"/>
              <w:ind w:left="0" w:right="158"/>
              <w:jc w:val="center"/>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445" w:type="dxa"/>
          </w:tcPr>
          <w:p>
            <w:pPr>
              <w:pStyle w:val="TableParagraph"/>
              <w:spacing w:before="10"/>
              <w:ind w:left="58"/>
              <w:rPr>
                <w:rFonts w:ascii="Book Antiqua"/>
                <w:b/>
                <w:sz w:val="18"/>
              </w:rPr>
            </w:pPr>
            <w:r>
              <w:rPr>
                <w:rFonts w:ascii="Book Antiqua"/>
                <w:b/>
                <w:color w:val="231F20"/>
                <w:sz w:val="18"/>
              </w:rPr>
              <w:t>ID</w:t>
            </w:r>
            <w:r>
              <w:rPr>
                <w:rFonts w:ascii="Book Antiqua"/>
                <w:b/>
                <w:color w:val="231F20"/>
                <w:spacing w:val="11"/>
                <w:sz w:val="18"/>
              </w:rPr>
              <w:t> </w:t>
            </w:r>
            <w:r>
              <w:rPr>
                <w:rFonts w:ascii="Book Antiqua"/>
                <w:b/>
                <w:color w:val="231F20"/>
                <w:spacing w:val="-2"/>
                <w:sz w:val="18"/>
              </w:rPr>
              <w:t>Process</w:t>
            </w:r>
          </w:p>
        </w:tc>
        <w:tc>
          <w:tcPr>
            <w:tcW w:w="1430" w:type="dxa"/>
          </w:tcPr>
          <w:p>
            <w:pPr>
              <w:pStyle w:val="TableParagraph"/>
              <w:spacing w:before="10"/>
              <w:ind w:left="57"/>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14" w:hRule="atLeast"/>
        </w:trPr>
        <w:tc>
          <w:tcPr>
            <w:tcW w:w="326" w:type="dxa"/>
          </w:tcPr>
          <w:p>
            <w:pPr>
              <w:pStyle w:val="TableParagraph"/>
              <w:ind w:left="44"/>
              <w:rPr>
                <w:sz w:val="18"/>
              </w:rPr>
            </w:pPr>
            <w:r>
              <w:rPr>
                <w:color w:val="231F20"/>
                <w:spacing w:val="-10"/>
                <w:sz w:val="18"/>
              </w:rPr>
              <w:t>3</w:t>
            </w:r>
          </w:p>
        </w:tc>
        <w:tc>
          <w:tcPr>
            <w:tcW w:w="1445" w:type="dxa"/>
          </w:tcPr>
          <w:p>
            <w:pPr>
              <w:pStyle w:val="TableParagraph"/>
              <w:spacing w:before="10"/>
              <w:ind w:left="0"/>
              <w:rPr>
                <w:sz w:val="7"/>
              </w:rPr>
            </w:pPr>
          </w:p>
          <w:p>
            <w:pPr>
              <w:pStyle w:val="TableParagraph"/>
              <w:spacing w:line="130" w:lineRule="exact" w:before="0"/>
              <w:rPr>
                <w:sz w:val="13"/>
              </w:rPr>
            </w:pPr>
            <w:bookmarkStart w:name="_bookmark72" w:id="162"/>
            <w:bookmarkEnd w:id="162"/>
            <w:r>
              <w:rPr/>
            </w:r>
            <w:r>
              <w:rPr>
                <w:position w:val="-2"/>
                <w:sz w:val="13"/>
              </w:rPr>
              <w:drawing>
                <wp:inline distT="0" distB="0" distL="0" distR="0">
                  <wp:extent cx="82962" cy="82962"/>
                  <wp:effectExtent l="0" t="0" r="0" b="0"/>
                  <wp:docPr id="967" name="Image 967"/>
                  <wp:cNvGraphicFramePr>
                    <a:graphicFrameLocks/>
                  </wp:cNvGraphicFramePr>
                  <a:graphic>
                    <a:graphicData uri="http://schemas.openxmlformats.org/drawingml/2006/picture">
                      <pic:pic>
                        <pic:nvPicPr>
                          <pic:cNvPr id="967" name="Image 967"/>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1445" w:type="dxa"/>
          </w:tcPr>
          <w:p>
            <w:pPr>
              <w:pStyle w:val="TableParagraph"/>
              <w:ind w:left="69"/>
              <w:rPr>
                <w:sz w:val="18"/>
              </w:rPr>
            </w:pPr>
            <w:r>
              <w:rPr>
                <w:position w:val="-3"/>
              </w:rPr>
              <w:drawing>
                <wp:inline distT="0" distB="0" distL="0" distR="0">
                  <wp:extent cx="95249" cy="95250"/>
                  <wp:effectExtent l="0" t="0" r="0" b="0"/>
                  <wp:docPr id="968" name="Image 968"/>
                  <wp:cNvGraphicFramePr>
                    <a:graphicFrameLocks/>
                  </wp:cNvGraphicFramePr>
                  <a:graphic>
                    <a:graphicData uri="http://schemas.openxmlformats.org/drawingml/2006/picture">
                      <pic:pic>
                        <pic:nvPicPr>
                          <pic:cNvPr id="968" name="Image 968"/>
                          <pic:cNvPicPr/>
                        </pic:nvPicPr>
                        <pic:blipFill>
                          <a:blip r:embed="rId165" cstate="print"/>
                          <a:stretch>
                            <a:fillRect/>
                          </a:stretch>
                        </pic:blipFill>
                        <pic:spPr>
                          <a:xfrm>
                            <a:off x="0" y="0"/>
                            <a:ext cx="95249" cy="95250"/>
                          </a:xfrm>
                          <a:prstGeom prst="rect">
                            <a:avLst/>
                          </a:prstGeom>
                        </pic:spPr>
                      </pic:pic>
                    </a:graphicData>
                  </a:graphic>
                </wp:inline>
              </w:drawing>
            </w:r>
            <w:r>
              <w:rPr>
                <w:position w:val="-3"/>
              </w:rPr>
            </w:r>
            <w:r>
              <w:rPr>
                <w:rFonts w:ascii="Times New Roman"/>
                <w:spacing w:val="40"/>
                <w:sz w:val="20"/>
              </w:rPr>
              <w:t> </w:t>
            </w:r>
            <w:r>
              <w:rPr>
                <w:color w:val="231F20"/>
                <w:sz w:val="18"/>
              </w:rPr>
              <w:t>Harmless</w:t>
            </w:r>
          </w:p>
        </w:tc>
        <w:tc>
          <w:tcPr>
            <w:tcW w:w="1445" w:type="dxa"/>
          </w:tcPr>
          <w:p>
            <w:pPr>
              <w:pStyle w:val="TableParagraph"/>
              <w:ind w:left="0" w:right="436"/>
              <w:jc w:val="center"/>
              <w:rPr>
                <w:sz w:val="18"/>
              </w:rPr>
            </w:pPr>
            <w:r>
              <w:rPr/>
              <w:drawing>
                <wp:inline distT="0" distB="0" distL="0" distR="0">
                  <wp:extent cx="63500" cy="63500"/>
                  <wp:effectExtent l="0" t="0" r="0" b="0"/>
                  <wp:docPr id="969" name="Image 969"/>
                  <wp:cNvGraphicFramePr>
                    <a:graphicFrameLocks/>
                  </wp:cNvGraphicFramePr>
                  <a:graphic>
                    <a:graphicData uri="http://schemas.openxmlformats.org/drawingml/2006/picture">
                      <pic:pic>
                        <pic:nvPicPr>
                          <pic:cNvPr id="969" name="Image 969"/>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30"/>
                <w:w w:val="110"/>
                <w:sz w:val="18"/>
              </w:rPr>
              <w:t> </w:t>
            </w:r>
            <w:r>
              <w:rPr>
                <w:color w:val="231F20"/>
                <w:w w:val="110"/>
                <w:sz w:val="18"/>
              </w:rPr>
              <w:t>'java'</w:t>
            </w:r>
          </w:p>
        </w:tc>
        <w:tc>
          <w:tcPr>
            <w:tcW w:w="1445" w:type="dxa"/>
          </w:tcPr>
          <w:p>
            <w:pPr>
              <w:pStyle w:val="TableParagraph"/>
              <w:spacing w:before="0"/>
              <w:ind w:left="0"/>
              <w:rPr>
                <w:rFonts w:ascii="Times New Roman"/>
                <w:sz w:val="18"/>
              </w:rPr>
            </w:pPr>
          </w:p>
        </w:tc>
        <w:tc>
          <w:tcPr>
            <w:tcW w:w="1430" w:type="dxa"/>
          </w:tcPr>
          <w:p>
            <w:pPr>
              <w:pStyle w:val="TableParagraph"/>
              <w:ind w:left="57"/>
              <w:rPr>
                <w:sz w:val="18"/>
              </w:rPr>
            </w:pPr>
            <w:r>
              <w:rPr>
                <w:color w:val="231F20"/>
                <w:w w:val="110"/>
                <w:sz w:val="18"/>
              </w:rPr>
              <w:t>&gt;</w:t>
            </w:r>
            <w:r>
              <w:rPr>
                <w:color w:val="231F20"/>
                <w:spacing w:val="18"/>
                <w:w w:val="110"/>
                <w:sz w:val="18"/>
              </w:rPr>
              <w:t> </w:t>
            </w:r>
            <w:r>
              <w:rPr>
                <w:color w:val="231F20"/>
                <w:spacing w:val="-10"/>
                <w:w w:val="110"/>
                <w:sz w:val="18"/>
              </w:rPr>
              <w:t>5</w:t>
            </w:r>
          </w:p>
        </w:tc>
      </w:tr>
    </w:tbl>
    <w:p>
      <w:pPr>
        <w:pStyle w:val="BodyText"/>
        <w:spacing w:before="11"/>
      </w:pPr>
    </w:p>
    <w:p>
      <w:pPr>
        <w:pStyle w:val="BodyText"/>
        <w:spacing w:before="1"/>
        <w:ind w:left="2951"/>
      </w:pPr>
      <w:r>
        <w:rPr>
          <w:position w:val="-1"/>
        </w:rPr>
        <w:drawing>
          <wp:inline distT="0" distB="0" distL="0" distR="0">
            <wp:extent cx="101600" cy="101600"/>
            <wp:effectExtent l="0" t="0" r="0" b="0"/>
            <wp:docPr id="970" name="Image 970"/>
            <wp:cNvGraphicFramePr>
              <a:graphicFrameLocks/>
            </wp:cNvGraphicFramePr>
            <a:graphic>
              <a:graphicData uri="http://schemas.openxmlformats.org/drawingml/2006/picture">
                <pic:pic>
                  <pic:nvPicPr>
                    <pic:cNvPr id="970" name="Image 970"/>
                    <pic:cNvPicPr/>
                  </pic:nvPicPr>
                  <pic:blipFill>
                    <a:blip r:embed="rId195"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
        </w:rPr>
        <w:t> </w:t>
      </w:r>
      <w:r>
        <w:rPr>
          <w:color w:val="231F20"/>
        </w:rPr>
        <w:t>Show</w:t>
      </w:r>
      <w:r>
        <w:rPr>
          <w:color w:val="231F20"/>
          <w:spacing w:val="12"/>
        </w:rPr>
        <w:t> </w:t>
      </w:r>
      <w:r>
        <w:rPr>
          <w:color w:val="231F20"/>
        </w:rPr>
        <w:t>Formula</w:t>
      </w:r>
      <w:r>
        <w:rPr>
          <w:color w:val="231F20"/>
          <w:spacing w:val="12"/>
        </w:rPr>
        <w:t> </w:t>
      </w:r>
      <w:r>
        <w:rPr>
          <w:color w:val="231F20"/>
        </w:rPr>
        <w:t>opens</w:t>
      </w:r>
      <w:r>
        <w:rPr>
          <w:color w:val="231F20"/>
          <w:spacing w:val="12"/>
        </w:rPr>
        <w:t> </w:t>
      </w:r>
      <w:r>
        <w:rPr>
          <w:color w:val="231F20"/>
        </w:rPr>
        <w:t>a</w:t>
      </w:r>
      <w:r>
        <w:rPr>
          <w:color w:val="231F20"/>
          <w:spacing w:val="12"/>
        </w:rPr>
        <w:t> </w:t>
      </w:r>
      <w:r>
        <w:rPr>
          <w:color w:val="231F20"/>
        </w:rPr>
        <w:t>graphical</w:t>
      </w:r>
      <w:r>
        <w:rPr>
          <w:color w:val="231F20"/>
          <w:spacing w:val="12"/>
        </w:rPr>
        <w:t> </w:t>
      </w:r>
      <w:r>
        <w:rPr>
          <w:color w:val="231F20"/>
        </w:rPr>
        <w:t>view</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thresholds.</w:t>
      </w:r>
    </w:p>
    <w:p>
      <w:pPr>
        <w:pStyle w:val="Heading6"/>
        <w:spacing w:line="240" w:lineRule="auto" w:before="111"/>
        <w:ind w:left="2232"/>
      </w:pPr>
      <w:r>
        <w:rPr>
          <w:color w:val="231F20"/>
        </w:rPr>
        <w:t>Data</w:t>
      </w:r>
      <w:r>
        <w:rPr>
          <w:color w:val="231F20"/>
          <w:spacing w:val="11"/>
        </w:rPr>
        <w:t> </w:t>
      </w:r>
      <w:r>
        <w:rPr>
          <w:color w:val="231F20"/>
          <w:spacing w:val="-2"/>
        </w:rPr>
        <w:t>Snapshot</w:t>
      </w:r>
    </w:p>
    <w:p>
      <w:pPr>
        <w:pStyle w:val="BodyText"/>
        <w:spacing w:line="213" w:lineRule="auto" w:before="119"/>
        <w:ind w:left="2951" w:right="545"/>
      </w:pPr>
      <w:r>
        <w:rPr>
          <w:color w:val="231F20"/>
        </w:rPr>
        <w:t>This shows the attributes returned from the query and a sampling of </w:t>
      </w:r>
      <w:r>
        <w:rPr>
          <w:color w:val="231F20"/>
        </w:rPr>
        <w:t>their </w:t>
      </w:r>
      <w:r>
        <w:rPr>
          <w:color w:val="231F20"/>
          <w:spacing w:val="-2"/>
        </w:rPr>
        <w:t>values.</w:t>
      </w:r>
    </w:p>
    <w:p>
      <w:pPr>
        <w:pStyle w:val="Heading6"/>
        <w:spacing w:line="240" w:lineRule="auto" w:before="217"/>
        <w:ind w:left="2232"/>
      </w:pPr>
      <w:r>
        <w:rPr>
          <w:color w:val="231F20"/>
          <w:spacing w:val="-2"/>
        </w:rPr>
        <w:t>Configuration:</w:t>
      </w:r>
    </w:p>
    <w:p>
      <w:pPr>
        <w:pStyle w:val="BodyText"/>
        <w:spacing w:line="213" w:lineRule="auto" w:before="239"/>
        <w:ind w:left="2232" w:right="511"/>
      </w:pPr>
      <w:r>
        <w:rPr>
          <w:color w:val="231F20"/>
        </w:rPr>
        <w:t>Use the Configuration tab of the Properties editor to edit the terminal view script</w:t>
      </w:r>
      <w:r>
        <w:rPr>
          <w:color w:val="231F20"/>
          <w:spacing w:val="80"/>
          <w:w w:val="150"/>
        </w:rPr>
        <w:t> </w:t>
      </w:r>
      <w:r>
        <w:rPr>
          <w:color w:val="231F20"/>
        </w:rPr>
        <w:t>or</w:t>
      </w:r>
      <w:r>
        <w:rPr>
          <w:color w:val="231F20"/>
          <w:spacing w:val="12"/>
        </w:rPr>
        <w:t> </w:t>
      </w:r>
      <w:r>
        <w:rPr>
          <w:color w:val="231F20"/>
        </w:rPr>
        <w:t>to</w:t>
      </w:r>
      <w:r>
        <w:rPr>
          <w:color w:val="231F20"/>
          <w:spacing w:val="12"/>
        </w:rPr>
        <w:t> </w:t>
      </w:r>
      <w:r>
        <w:rPr>
          <w:color w:val="231F20"/>
        </w:rPr>
        <w:t>specify</w:t>
      </w:r>
      <w:r>
        <w:rPr>
          <w:color w:val="231F20"/>
          <w:spacing w:val="12"/>
        </w:rPr>
        <w:t> </w:t>
      </w:r>
      <w:r>
        <w:rPr>
          <w:color w:val="231F20"/>
        </w:rPr>
        <w:t>a</w:t>
      </w:r>
      <w:r>
        <w:rPr>
          <w:color w:val="231F20"/>
          <w:spacing w:val="12"/>
        </w:rPr>
        <w:t> </w:t>
      </w:r>
      <w:r>
        <w:rPr>
          <w:color w:val="231F20"/>
        </w:rPr>
        <w:t>script</w:t>
      </w:r>
      <w:r>
        <w:rPr>
          <w:color w:val="231F20"/>
          <w:spacing w:val="12"/>
        </w:rPr>
        <w:t> </w:t>
      </w:r>
      <w:r>
        <w:rPr>
          <w:color w:val="231F20"/>
        </w:rPr>
        <w:t>to</w:t>
      </w:r>
      <w:r>
        <w:rPr>
          <w:color w:val="231F20"/>
          <w:spacing w:val="12"/>
        </w:rPr>
        <w:t> </w:t>
      </w:r>
      <w:r>
        <w:rPr>
          <w:color w:val="231F20"/>
        </w:rPr>
        <w:t>run</w:t>
      </w:r>
      <w:r>
        <w:rPr>
          <w:color w:val="231F20"/>
          <w:spacing w:val="12"/>
        </w:rPr>
        <w:t> </w:t>
      </w:r>
      <w:r>
        <w:rPr>
          <w:color w:val="231F20"/>
        </w:rPr>
        <w:t>whenever</w:t>
      </w:r>
      <w:r>
        <w:rPr>
          <w:color w:val="231F20"/>
          <w:spacing w:val="12"/>
        </w:rPr>
        <w:t> </w:t>
      </w:r>
      <w:r>
        <w:rPr>
          <w:color w:val="231F20"/>
        </w:rPr>
        <w:t>you</w:t>
      </w:r>
      <w:r>
        <w:rPr>
          <w:color w:val="231F20"/>
          <w:spacing w:val="12"/>
        </w:rPr>
        <w:t> </w:t>
      </w:r>
      <w:r>
        <w:rPr>
          <w:color w:val="231F20"/>
        </w:rPr>
        <w:t>start</w:t>
      </w:r>
      <w:r>
        <w:rPr>
          <w:color w:val="231F20"/>
          <w:spacing w:val="12"/>
        </w:rPr>
        <w:t> </w:t>
      </w:r>
      <w:r>
        <w:rPr>
          <w:color w:val="231F20"/>
        </w:rPr>
        <w:t>a</w:t>
      </w:r>
      <w:r>
        <w:rPr>
          <w:color w:val="231F20"/>
          <w:spacing w:val="12"/>
        </w:rPr>
        <w:t> </w:t>
      </w:r>
      <w:r>
        <w:rPr>
          <w:color w:val="231F20"/>
        </w:rPr>
        <w:t>terminal</w:t>
      </w:r>
      <w:r>
        <w:rPr>
          <w:color w:val="231F20"/>
          <w:spacing w:val="12"/>
        </w:rPr>
        <w:t> </w:t>
      </w:r>
      <w:r>
        <w:rPr>
          <w:color w:val="231F20"/>
        </w:rPr>
        <w:t>session</w:t>
      </w:r>
      <w:r>
        <w:rPr>
          <w:color w:val="231F20"/>
          <w:spacing w:val="12"/>
        </w:rPr>
        <w:t> </w:t>
      </w:r>
      <w:r>
        <w:rPr>
          <w:color w:val="231F20"/>
        </w:rPr>
        <w:t>in</w:t>
      </w:r>
      <w:r>
        <w:rPr>
          <w:color w:val="231F20"/>
          <w:spacing w:val="12"/>
        </w:rPr>
        <w:t> </w:t>
      </w:r>
      <w:r>
        <w:rPr>
          <w:color w:val="231F20"/>
        </w:rPr>
        <w:t>a</w:t>
      </w:r>
      <w:r>
        <w:rPr>
          <w:color w:val="231F20"/>
          <w:spacing w:val="12"/>
        </w:rPr>
        <w:t> </w:t>
      </w:r>
      <w:r>
        <w:rPr>
          <w:color w:val="231F20"/>
        </w:rPr>
        <w:t>workspace.</w:t>
      </w:r>
    </w:p>
    <w:p>
      <w:pPr>
        <w:pStyle w:val="BodyText"/>
        <w:spacing w:line="213" w:lineRule="auto" w:before="238"/>
        <w:ind w:left="2232" w:right="636"/>
      </w:pPr>
      <w:r>
        <w:rPr>
          <w:color w:val="231F20"/>
        </w:rPr>
        <w:t>The properties for the terminal view have a </w:t>
      </w:r>
      <w:r>
        <w:rPr>
          <w:rFonts w:ascii="Book Antiqua"/>
          <w:b/>
          <w:color w:val="231F20"/>
        </w:rPr>
        <w:t>Configuration </w:t>
      </w:r>
      <w:r>
        <w:rPr>
          <w:color w:val="231F20"/>
        </w:rPr>
        <w:t>tab so you can edit scripts, specify a script to run whenever you start a terminal session, and </w:t>
      </w:r>
      <w:r>
        <w:rPr>
          <w:color w:val="231F20"/>
        </w:rPr>
        <w:t>specify the host to connect to. Whenever you open the workspace, the script you specify will run automatically, and the host you specify will be connected automatically.</w:t>
      </w:r>
    </w:p>
    <w:p>
      <w:pPr>
        <w:pStyle w:val="Heading6"/>
        <w:spacing w:line="240" w:lineRule="auto" w:before="116"/>
        <w:ind w:left="2232"/>
      </w:pPr>
      <w:r>
        <w:rPr>
          <w:color w:val="231F20"/>
          <w:spacing w:val="-2"/>
        </w:rPr>
        <w:t>Configuration</w:t>
      </w:r>
    </w:p>
    <w:p>
      <w:pPr>
        <w:pStyle w:val="BodyText"/>
        <w:spacing w:line="213" w:lineRule="auto" w:before="119"/>
        <w:ind w:left="2951" w:right="545"/>
      </w:pPr>
      <w:r>
        <w:rPr>
          <w:color w:val="231F20"/>
        </w:rPr>
        <w:t>These options are the same as those given in the Emulator Scripts </w:t>
      </w:r>
      <w:r>
        <w:rPr>
          <w:color w:val="231F20"/>
        </w:rPr>
        <w:t>window that opens when you click the Manage Scripts tool in the terminal view.</w:t>
      </w:r>
    </w:p>
    <w:p>
      <w:pPr>
        <w:pStyle w:val="Heading6"/>
        <w:spacing w:line="240" w:lineRule="auto" w:before="118"/>
        <w:ind w:left="2232"/>
      </w:pPr>
      <w:r>
        <w:rPr>
          <w:color w:val="231F20"/>
          <w:spacing w:val="-2"/>
        </w:rPr>
        <w:t>Connection</w:t>
      </w:r>
    </w:p>
    <w:p>
      <w:pPr>
        <w:pStyle w:val="BodyText"/>
        <w:spacing w:line="213" w:lineRule="auto" w:before="119"/>
        <w:ind w:left="2951" w:right="545"/>
      </w:pPr>
      <w:r>
        <w:rPr>
          <w:color w:val="231F20"/>
        </w:rPr>
        <w:t>This is the same as the Terminal Emulator Configuration window that opens when you click the Connection tool in the terminal view, or add </w:t>
      </w:r>
      <w:r>
        <w:rPr>
          <w:color w:val="231F20"/>
        </w:rPr>
        <w:t>a terminal view.</w:t>
      </w:r>
    </w:p>
    <w:p>
      <w:pPr>
        <w:pStyle w:val="Heading6"/>
        <w:spacing w:line="240" w:lineRule="auto" w:before="116"/>
        <w:ind w:left="2232"/>
      </w:pPr>
      <w:r>
        <w:rPr>
          <w:color w:val="231F20"/>
        </w:rPr>
        <w:t>Disconnect</w:t>
      </w:r>
      <w:r>
        <w:rPr>
          <w:color w:val="231F20"/>
          <w:spacing w:val="5"/>
        </w:rPr>
        <w:t> </w:t>
      </w:r>
      <w:r>
        <w:rPr>
          <w:color w:val="231F20"/>
          <w:spacing w:val="-2"/>
        </w:rPr>
        <w:t>options</w:t>
      </w:r>
    </w:p>
    <w:p>
      <w:pPr>
        <w:pStyle w:val="BodyText"/>
        <w:spacing w:line="211" w:lineRule="auto" w:before="127"/>
        <w:ind w:left="2951" w:right="534"/>
        <w:jc w:val="both"/>
      </w:pPr>
      <w:r>
        <w:rPr/>
        <w:drawing>
          <wp:inline distT="0" distB="0" distL="0" distR="0">
            <wp:extent cx="88900" cy="82550"/>
            <wp:effectExtent l="0" t="0" r="0" b="0"/>
            <wp:docPr id="971" name="Image 971"/>
            <wp:cNvGraphicFramePr>
              <a:graphicFrameLocks/>
            </wp:cNvGraphicFramePr>
            <a:graphic>
              <a:graphicData uri="http://schemas.openxmlformats.org/drawingml/2006/picture">
                <pic:pic>
                  <pic:nvPicPr>
                    <pic:cNvPr id="971" name="Image 971"/>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Do not disconnect when leaving workspace </w:t>
      </w:r>
      <w:r>
        <w:rPr>
          <w:color w:val="231F20"/>
        </w:rPr>
        <w:t>keeps the session open as long as you are logged on to Tivoli Enterprise Portal, so you can return to this workspace and the session will be where you left it last.</w:t>
      </w:r>
    </w:p>
    <w:p>
      <w:pPr>
        <w:spacing w:line="208" w:lineRule="auto" w:before="128"/>
        <w:ind w:left="2951" w:right="487" w:firstLine="0"/>
        <w:jc w:val="both"/>
        <w:rPr>
          <w:sz w:val="20"/>
        </w:rPr>
      </w:pPr>
      <w:r>
        <w:rPr/>
        <w:drawing>
          <wp:inline distT="0" distB="0" distL="0" distR="0">
            <wp:extent cx="88900" cy="82550"/>
            <wp:effectExtent l="0" t="0" r="0" b="0"/>
            <wp:docPr id="972" name="Image 972"/>
            <wp:cNvGraphicFramePr>
              <a:graphicFrameLocks/>
            </wp:cNvGraphicFramePr>
            <a:graphic>
              <a:graphicData uri="http://schemas.openxmlformats.org/drawingml/2006/picture">
                <pic:pic>
                  <pic:nvPicPr>
                    <pic:cNvPr id="972" name="Image 972"/>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Disconnect after this many minutes: </w:t>
      </w:r>
      <w:r>
        <w:rPr>
          <w:rFonts w:ascii="Book Antiqua"/>
          <w:b/>
          <w:color w:val="231F20"/>
          <w:spacing w:val="16"/>
          <w:sz w:val="20"/>
        </w:rPr>
        <w:drawing>
          <wp:inline distT="0" distB="0" distL="0" distR="0">
            <wp:extent cx="158750" cy="82550"/>
            <wp:effectExtent l="0" t="0" r="0" b="0"/>
            <wp:docPr id="973" name="Image 973"/>
            <wp:cNvGraphicFramePr>
              <a:graphicFrameLocks/>
            </wp:cNvGraphicFramePr>
            <a:graphic>
              <a:graphicData uri="http://schemas.openxmlformats.org/drawingml/2006/picture">
                <pic:pic>
                  <pic:nvPicPr>
                    <pic:cNvPr id="973" name="Image 973"/>
                    <pic:cNvPicPr/>
                  </pic:nvPicPr>
                  <pic:blipFill>
                    <a:blip r:embed="rId192" cstate="print"/>
                    <a:stretch>
                      <a:fillRect/>
                    </a:stretch>
                  </pic:blipFill>
                  <pic:spPr>
                    <a:xfrm>
                      <a:off x="0" y="0"/>
                      <a:ext cx="158750" cy="82550"/>
                    </a:xfrm>
                    <a:prstGeom prst="rect">
                      <a:avLst/>
                    </a:prstGeom>
                  </pic:spPr>
                </pic:pic>
              </a:graphicData>
            </a:graphic>
          </wp:inline>
        </w:drawing>
      </w:r>
      <w:r>
        <w:rPr>
          <w:rFonts w:ascii="Book Antiqua"/>
          <w:b/>
          <w:color w:val="231F20"/>
          <w:spacing w:val="16"/>
          <w:sz w:val="20"/>
        </w:rPr>
      </w:r>
      <w:r>
        <w:rPr>
          <w:rFonts w:ascii="Times New Roman"/>
          <w:color w:val="231F20"/>
          <w:spacing w:val="16"/>
          <w:sz w:val="20"/>
        </w:rPr>
        <w:t> </w:t>
      </w:r>
      <w:r>
        <w:rPr>
          <w:color w:val="231F20"/>
          <w:sz w:val="20"/>
        </w:rPr>
        <w:t>will disconnect the works session</w:t>
      </w:r>
      <w:r>
        <w:rPr>
          <w:color w:val="231F20"/>
          <w:spacing w:val="10"/>
          <w:sz w:val="20"/>
        </w:rPr>
        <w:t> </w:t>
      </w:r>
      <w:r>
        <w:rPr>
          <w:color w:val="231F20"/>
          <w:sz w:val="20"/>
        </w:rPr>
        <w:t>the</w:t>
      </w:r>
      <w:r>
        <w:rPr>
          <w:color w:val="231F20"/>
          <w:spacing w:val="11"/>
          <w:sz w:val="20"/>
        </w:rPr>
        <w:t> </w:t>
      </w:r>
      <w:r>
        <w:rPr>
          <w:color w:val="231F20"/>
          <w:sz w:val="20"/>
        </w:rPr>
        <w:t>number</w:t>
      </w:r>
      <w:r>
        <w:rPr>
          <w:color w:val="231F20"/>
          <w:spacing w:val="11"/>
          <w:sz w:val="20"/>
        </w:rPr>
        <w:t> </w:t>
      </w:r>
      <w:r>
        <w:rPr>
          <w:color w:val="231F20"/>
          <w:sz w:val="20"/>
        </w:rPr>
        <w:t>of</w:t>
      </w:r>
      <w:r>
        <w:rPr>
          <w:color w:val="231F20"/>
          <w:spacing w:val="10"/>
          <w:sz w:val="20"/>
        </w:rPr>
        <w:t> </w:t>
      </w:r>
      <w:r>
        <w:rPr>
          <w:color w:val="231F20"/>
          <w:sz w:val="20"/>
        </w:rPr>
        <w:t>minutes</w:t>
      </w:r>
      <w:r>
        <w:rPr>
          <w:color w:val="231F20"/>
          <w:spacing w:val="11"/>
          <w:sz w:val="20"/>
        </w:rPr>
        <w:t> </w:t>
      </w:r>
      <w:r>
        <w:rPr>
          <w:color w:val="231F20"/>
          <w:sz w:val="20"/>
        </w:rPr>
        <w:t>entered</w:t>
      </w:r>
      <w:r>
        <w:rPr>
          <w:color w:val="231F20"/>
          <w:spacing w:val="11"/>
          <w:sz w:val="20"/>
        </w:rPr>
        <w:t> </w:t>
      </w:r>
      <w:r>
        <w:rPr>
          <w:color w:val="231F20"/>
          <w:sz w:val="20"/>
        </w:rPr>
        <w:t>here</w:t>
      </w:r>
      <w:r>
        <w:rPr>
          <w:color w:val="231F20"/>
          <w:spacing w:val="10"/>
          <w:sz w:val="20"/>
        </w:rPr>
        <w:t> </w:t>
      </w:r>
      <w:r>
        <w:rPr>
          <w:color w:val="231F20"/>
          <w:sz w:val="20"/>
        </w:rPr>
        <w:t>after</w:t>
      </w:r>
      <w:r>
        <w:rPr>
          <w:color w:val="231F20"/>
          <w:spacing w:val="11"/>
          <w:sz w:val="20"/>
        </w:rPr>
        <w:t> </w:t>
      </w:r>
      <w:r>
        <w:rPr>
          <w:color w:val="231F20"/>
          <w:sz w:val="20"/>
        </w:rPr>
        <w:t>you</w:t>
      </w:r>
      <w:r>
        <w:rPr>
          <w:color w:val="231F20"/>
          <w:spacing w:val="11"/>
          <w:sz w:val="20"/>
        </w:rPr>
        <w:t> </w:t>
      </w:r>
      <w:r>
        <w:rPr>
          <w:color w:val="231F20"/>
          <w:sz w:val="20"/>
        </w:rPr>
        <w:t>close</w:t>
      </w:r>
      <w:r>
        <w:rPr>
          <w:color w:val="231F20"/>
          <w:spacing w:val="11"/>
          <w:sz w:val="20"/>
        </w:rPr>
        <w:t> </w:t>
      </w:r>
      <w:r>
        <w:rPr>
          <w:color w:val="231F20"/>
          <w:sz w:val="20"/>
        </w:rPr>
        <w:t>the</w:t>
      </w:r>
      <w:r>
        <w:rPr>
          <w:color w:val="231F20"/>
          <w:spacing w:val="10"/>
          <w:sz w:val="20"/>
        </w:rPr>
        <w:t> </w:t>
      </w:r>
      <w:r>
        <w:rPr>
          <w:color w:val="231F20"/>
          <w:spacing w:val="-2"/>
          <w:sz w:val="20"/>
        </w:rPr>
        <w:t>workspace.</w:t>
      </w:r>
    </w:p>
    <w:p>
      <w:pPr>
        <w:pStyle w:val="Heading6"/>
        <w:spacing w:line="240" w:lineRule="auto" w:before="218"/>
        <w:ind w:left="2232"/>
      </w:pPr>
      <w:r>
        <w:rPr>
          <w:color w:val="231F20"/>
          <w:spacing w:val="-2"/>
        </w:rPr>
        <w:t>Style:</w:t>
      </w:r>
    </w:p>
    <w:p>
      <w:pPr>
        <w:pStyle w:val="BodyText"/>
        <w:spacing w:line="213" w:lineRule="auto" w:before="239"/>
        <w:ind w:left="2232" w:right="493"/>
      </w:pPr>
      <w:r>
        <w:rPr>
          <w:color w:val="231F20"/>
        </w:rPr>
        <w:t>Every view type except Tivoli Enterprise Console and Take Action has style properties that you can edit to affect the appearance and behavior of the view.</w:t>
      </w:r>
    </w:p>
    <w:p>
      <w:pPr>
        <w:pStyle w:val="BodyText"/>
        <w:spacing w:line="213" w:lineRule="auto" w:before="238"/>
        <w:ind w:left="2232" w:right="493" w:hanging="1"/>
      </w:pPr>
      <w:r>
        <w:rPr>
          <w:color w:val="231F20"/>
        </w:rPr>
        <w:t>The</w:t>
      </w:r>
      <w:r>
        <w:rPr>
          <w:color w:val="231F20"/>
          <w:spacing w:val="37"/>
        </w:rPr>
        <w:t> </w:t>
      </w:r>
      <w:r>
        <w:rPr>
          <w:color w:val="231F20"/>
          <w:spacing w:val="-24"/>
          <w:position w:val="-1"/>
        </w:rPr>
        <w:drawing>
          <wp:inline distT="0" distB="0" distL="0" distR="0">
            <wp:extent cx="95250" cy="95250"/>
            <wp:effectExtent l="0" t="0" r="0" b="0"/>
            <wp:docPr id="974" name="Image 974"/>
            <wp:cNvGraphicFramePr>
              <a:graphicFrameLocks/>
            </wp:cNvGraphicFramePr>
            <a:graphic>
              <a:graphicData uri="http://schemas.openxmlformats.org/drawingml/2006/picture">
                <pic:pic>
                  <pic:nvPicPr>
                    <pic:cNvPr id="974" name="Image 974"/>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4"/>
        </w:rPr>
        <w:t> </w:t>
      </w:r>
      <w:r>
        <w:rPr>
          <w:rFonts w:ascii="Book Antiqua"/>
          <w:b/>
          <w:color w:val="231F20"/>
        </w:rPr>
        <w:t>Style </w:t>
      </w:r>
      <w:r>
        <w:rPr>
          <w:color w:val="231F20"/>
        </w:rPr>
        <w:t>tab of the Properties editor has a thumbnail graphic with the style elements as clickable hot spots. When you click a hot spot, such as </w:t>
      </w:r>
      <w:r>
        <w:rPr>
          <w:rFonts w:ascii="Book Antiqua"/>
          <w:b/>
          <w:color w:val="231F20"/>
        </w:rPr>
        <w:t>Plot Area </w:t>
      </w:r>
      <w:r>
        <w:rPr>
          <w:color w:val="231F20"/>
        </w:rPr>
        <w:t>for a</w:t>
      </w:r>
      <w:r>
        <w:rPr>
          <w:color w:val="231F20"/>
          <w:spacing w:val="40"/>
        </w:rPr>
        <w:t> </w:t>
      </w:r>
      <w:r>
        <w:rPr>
          <w:color w:val="231F20"/>
        </w:rPr>
        <w:t>chart view, the style settings change.</w:t>
      </w:r>
    </w:p>
    <w:p>
      <w:pPr>
        <w:pStyle w:val="Heading6"/>
        <w:spacing w:line="240" w:lineRule="auto"/>
        <w:ind w:left="2232"/>
      </w:pPr>
      <w:r>
        <w:rPr>
          <w:color w:val="231F20"/>
          <w:spacing w:val="-2"/>
        </w:rPr>
        <w:t>Options</w:t>
      </w:r>
    </w:p>
    <w:p>
      <w:pPr>
        <w:pStyle w:val="BodyText"/>
        <w:spacing w:before="96"/>
        <w:ind w:left="2951"/>
      </w:pPr>
      <w:r>
        <w:rPr>
          <w:color w:val="231F20"/>
        </w:rPr>
        <w:t>These</w:t>
      </w:r>
      <w:r>
        <w:rPr>
          <w:color w:val="231F20"/>
          <w:spacing w:val="12"/>
        </w:rPr>
        <w:t> </w:t>
      </w:r>
      <w:r>
        <w:rPr>
          <w:color w:val="231F20"/>
        </w:rPr>
        <w:t>vary</w:t>
      </w:r>
      <w:r>
        <w:rPr>
          <w:color w:val="231F20"/>
          <w:spacing w:val="13"/>
        </w:rPr>
        <w:t> </w:t>
      </w:r>
      <w:r>
        <w:rPr>
          <w:color w:val="231F20"/>
        </w:rPr>
        <w:t>for</w:t>
      </w:r>
      <w:r>
        <w:rPr>
          <w:color w:val="231F20"/>
          <w:spacing w:val="12"/>
        </w:rPr>
        <w:t> </w:t>
      </w:r>
      <w:r>
        <w:rPr>
          <w:color w:val="231F20"/>
        </w:rPr>
        <w:t>the</w:t>
      </w:r>
      <w:r>
        <w:rPr>
          <w:color w:val="231F20"/>
          <w:spacing w:val="13"/>
        </w:rPr>
        <w:t> </w:t>
      </w:r>
      <w:r>
        <w:rPr>
          <w:color w:val="231F20"/>
        </w:rPr>
        <w:t>type</w:t>
      </w:r>
      <w:r>
        <w:rPr>
          <w:color w:val="231F20"/>
          <w:spacing w:val="13"/>
        </w:rPr>
        <w:t> </w:t>
      </w:r>
      <w:r>
        <w:rPr>
          <w:color w:val="231F20"/>
        </w:rPr>
        <w:t>of</w:t>
      </w:r>
      <w:r>
        <w:rPr>
          <w:color w:val="231F20"/>
          <w:spacing w:val="12"/>
        </w:rPr>
        <w:t> </w:t>
      </w:r>
      <w:r>
        <w:rPr>
          <w:color w:val="231F20"/>
          <w:spacing w:val="-2"/>
        </w:rPr>
        <w:t>view.</w:t>
      </w:r>
    </w:p>
    <w:p>
      <w:pPr>
        <w:spacing w:after="0"/>
        <w:sectPr>
          <w:type w:val="continuous"/>
          <w:pgSz w:w="12240" w:h="15840"/>
          <w:pgMar w:header="0" w:footer="736" w:top="1300" w:bottom="920" w:left="1000" w:right="1060"/>
        </w:sectPr>
      </w:pPr>
    </w:p>
    <w:p>
      <w:pPr>
        <w:pStyle w:val="Heading6"/>
        <w:spacing w:line="240" w:lineRule="auto" w:before="111"/>
        <w:ind w:left="0"/>
        <w:jc w:val="right"/>
      </w:pPr>
      <w:r>
        <w:rPr>
          <w:color w:val="231F20"/>
          <w:spacing w:val="-2"/>
        </w:rPr>
        <w:t>Title</w:t>
      </w:r>
    </w:p>
    <w:p>
      <w:pPr>
        <w:spacing w:line="240" w:lineRule="auto" w:before="230"/>
        <w:rPr>
          <w:rFonts w:ascii="Book Antiqua"/>
          <w:b/>
          <w:sz w:val="20"/>
        </w:rPr>
      </w:pPr>
      <w:r>
        <w:rPr/>
        <w:br w:type="column"/>
      </w:r>
      <w:r>
        <w:rPr>
          <w:rFonts w:ascii="Book Antiqua"/>
          <w:b/>
          <w:sz w:val="20"/>
        </w:rPr>
      </w:r>
    </w:p>
    <w:p>
      <w:pPr>
        <w:pStyle w:val="BodyText"/>
        <w:spacing w:line="213" w:lineRule="auto" w:before="1"/>
        <w:ind w:left="257" w:right="433"/>
      </w:pPr>
      <w:r>
        <w:rPr>
          <w:rFonts w:ascii="Book Antiqua"/>
          <w:b/>
          <w:color w:val="231F20"/>
        </w:rPr>
        <w:t>Text </w:t>
      </w:r>
      <w:r>
        <w:rPr>
          <w:color w:val="231F20"/>
        </w:rPr>
        <w:t>is the title that is displayed at the top of the table, chart, or specified element therein (such as the header). If this is a chart or table, you can </w:t>
      </w:r>
      <w:r>
        <w:rPr>
          <w:color w:val="231F20"/>
        </w:rPr>
        <w:t>also</w:t>
      </w:r>
      <w:r>
        <w:rPr>
          <w:color w:val="231F20"/>
          <w:spacing w:val="40"/>
        </w:rPr>
        <w:t> </w:t>
      </w:r>
      <w:r>
        <w:rPr>
          <w:color w:val="231F20"/>
        </w:rPr>
        <w:t>add</w:t>
      </w:r>
      <w:r>
        <w:rPr>
          <w:color w:val="231F20"/>
          <w:spacing w:val="26"/>
        </w:rPr>
        <w:t> </w:t>
      </w:r>
      <w:r>
        <w:rPr>
          <w:color w:val="231F20"/>
        </w:rPr>
        <w:t>an</w:t>
      </w:r>
      <w:r>
        <w:rPr>
          <w:color w:val="231F20"/>
          <w:spacing w:val="26"/>
        </w:rPr>
        <w:t> </w:t>
      </w:r>
      <w:r>
        <w:rPr>
          <w:color w:val="231F20"/>
        </w:rPr>
        <w:t>attribute</w:t>
      </w:r>
      <w:r>
        <w:rPr>
          <w:color w:val="231F20"/>
          <w:spacing w:val="26"/>
        </w:rPr>
        <w:t> </w:t>
      </w:r>
      <w:r>
        <w:rPr>
          <w:color w:val="231F20"/>
        </w:rPr>
        <w:t>symbol</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title</w:t>
      </w:r>
      <w:r>
        <w:rPr>
          <w:color w:val="231F20"/>
          <w:spacing w:val="26"/>
        </w:rPr>
        <w:t> </w:t>
      </w:r>
      <w:r>
        <w:rPr>
          <w:color w:val="231F20"/>
        </w:rPr>
        <w:t>that</w:t>
      </w:r>
      <w:r>
        <w:rPr>
          <w:color w:val="231F20"/>
          <w:spacing w:val="26"/>
        </w:rPr>
        <w:t> </w:t>
      </w:r>
      <w:r>
        <w:rPr>
          <w:color w:val="231F20"/>
        </w:rPr>
        <w:t>will</w:t>
      </w:r>
      <w:r>
        <w:rPr>
          <w:color w:val="231F20"/>
          <w:spacing w:val="26"/>
        </w:rPr>
        <w:t> </w:t>
      </w:r>
      <w:r>
        <w:rPr>
          <w:color w:val="231F20"/>
        </w:rPr>
        <w:t>be</w:t>
      </w:r>
      <w:r>
        <w:rPr>
          <w:color w:val="231F20"/>
          <w:spacing w:val="26"/>
        </w:rPr>
        <w:t> </w:t>
      </w:r>
      <w:r>
        <w:rPr>
          <w:color w:val="231F20"/>
        </w:rPr>
        <w:t>replaced</w:t>
      </w:r>
      <w:r>
        <w:rPr>
          <w:color w:val="231F20"/>
          <w:spacing w:val="26"/>
        </w:rPr>
        <w:t> </w:t>
      </w:r>
      <w:r>
        <w:rPr>
          <w:color w:val="231F20"/>
        </w:rPr>
        <w:t>by</w:t>
      </w:r>
      <w:r>
        <w:rPr>
          <w:color w:val="231F20"/>
          <w:spacing w:val="26"/>
        </w:rPr>
        <w:t> </w:t>
      </w:r>
      <w:r>
        <w:rPr>
          <w:color w:val="231F20"/>
        </w:rPr>
        <w:t>the</w:t>
      </w:r>
      <w:r>
        <w:rPr>
          <w:color w:val="231F20"/>
          <w:spacing w:val="26"/>
        </w:rPr>
        <w:t> </w:t>
      </w:r>
      <w:r>
        <w:rPr>
          <w:color w:val="231F20"/>
        </w:rPr>
        <w:t>value</w:t>
      </w:r>
      <w:r>
        <w:rPr>
          <w:color w:val="231F20"/>
          <w:spacing w:val="26"/>
        </w:rPr>
        <w:t> </w:t>
      </w:r>
      <w:r>
        <w:rPr>
          <w:color w:val="231F20"/>
        </w:rPr>
        <w:t>of that attribute when the view is displayed.</w:t>
      </w:r>
    </w:p>
    <w:p>
      <w:pPr>
        <w:spacing w:after="0" w:line="213" w:lineRule="auto"/>
        <w:sectPr>
          <w:type w:val="continuous"/>
          <w:pgSz w:w="12240" w:h="15840"/>
          <w:pgMar w:header="0" w:footer="736" w:top="0" w:bottom="4660" w:left="1000" w:right="1060"/>
          <w:cols w:num="2" w:equalWidth="0">
            <w:col w:w="2655" w:space="40"/>
            <w:col w:w="748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0"/>
      </w:pPr>
    </w:p>
    <w:p>
      <w:pPr>
        <w:pStyle w:val="Heading6"/>
        <w:spacing w:line="240" w:lineRule="auto" w:before="0"/>
        <w:ind w:left="0"/>
        <w:jc w:val="right"/>
      </w:pPr>
      <w:bookmarkStart w:name="_bookmark73" w:id="163"/>
      <w:bookmarkEnd w:id="163"/>
      <w:r>
        <w:rPr>
          <w:b w:val="0"/>
        </w:rPr>
      </w:r>
      <w:r>
        <w:rPr>
          <w:color w:val="231F20"/>
          <w:spacing w:val="-4"/>
        </w:rPr>
        <w:t>Text</w:t>
      </w:r>
    </w:p>
    <w:p>
      <w:pPr>
        <w:pStyle w:val="BodyText"/>
        <w:spacing w:line="213" w:lineRule="auto" w:before="85"/>
        <w:ind w:left="301" w:right="159"/>
      </w:pPr>
      <w:r>
        <w:rPr/>
        <w:br w:type="column"/>
      </w:r>
      <w:r>
        <w:rPr>
          <w:rFonts w:ascii="Book Antiqua"/>
          <w:b/>
          <w:color w:val="231F20"/>
        </w:rPr>
        <w:t>Note:</w:t>
      </w:r>
      <w:r>
        <w:rPr>
          <w:rFonts w:ascii="Book Antiqua"/>
          <w:b/>
          <w:color w:val="231F20"/>
          <w:spacing w:val="40"/>
        </w:rPr>
        <w:t> </w:t>
      </w:r>
      <w:r>
        <w:rPr>
          <w:color w:val="231F20"/>
        </w:rPr>
        <w:t>When the workspace is opened, the header and footer are </w:t>
      </w:r>
      <w:r>
        <w:rPr>
          <w:color w:val="231F20"/>
        </w:rPr>
        <w:t>evaluated for</w:t>
      </w:r>
      <w:r>
        <w:rPr>
          <w:color w:val="231F20"/>
          <w:spacing w:val="16"/>
        </w:rPr>
        <w:t> </w:t>
      </w:r>
      <w:r>
        <w:rPr>
          <w:color w:val="231F20"/>
        </w:rPr>
        <w:t>any</w:t>
      </w:r>
      <w:r>
        <w:rPr>
          <w:color w:val="231F20"/>
          <w:spacing w:val="16"/>
        </w:rPr>
        <w:t> </w:t>
      </w:r>
      <w:r>
        <w:rPr>
          <w:color w:val="231F20"/>
        </w:rPr>
        <w:t>expressions.</w:t>
      </w:r>
      <w:r>
        <w:rPr>
          <w:color w:val="231F20"/>
          <w:spacing w:val="16"/>
        </w:rPr>
        <w:t> </w:t>
      </w:r>
      <w:r>
        <w:rPr>
          <w:color w:val="231F20"/>
        </w:rPr>
        <w:t>If</w:t>
      </w:r>
      <w:r>
        <w:rPr>
          <w:color w:val="231F20"/>
          <w:spacing w:val="16"/>
        </w:rPr>
        <w:t> </w:t>
      </w:r>
      <w:r>
        <w:rPr>
          <w:color w:val="231F20"/>
        </w:rPr>
        <w:t>you</w:t>
      </w:r>
      <w:r>
        <w:rPr>
          <w:color w:val="231F20"/>
          <w:spacing w:val="17"/>
        </w:rPr>
        <w:t> </w:t>
      </w:r>
      <w:r>
        <w:rPr>
          <w:color w:val="231F20"/>
        </w:rPr>
        <w:t>happen</w:t>
      </w:r>
      <w:r>
        <w:rPr>
          <w:color w:val="231F20"/>
          <w:spacing w:val="16"/>
        </w:rPr>
        <w:t> </w:t>
      </w:r>
      <w:r>
        <w:rPr>
          <w:color w:val="231F20"/>
        </w:rPr>
        <w:t>to</w:t>
      </w:r>
      <w:r>
        <w:rPr>
          <w:color w:val="231F20"/>
          <w:spacing w:val="16"/>
        </w:rPr>
        <w:t> </w:t>
      </w:r>
      <w:r>
        <w:rPr>
          <w:color w:val="231F20"/>
        </w:rPr>
        <w:t>have</w:t>
      </w:r>
      <w:r>
        <w:rPr>
          <w:color w:val="231F20"/>
          <w:spacing w:val="16"/>
        </w:rPr>
        <w:t> </w:t>
      </w:r>
      <w:r>
        <w:rPr>
          <w:color w:val="231F20"/>
        </w:rPr>
        <w:t>a</w:t>
      </w:r>
      <w:r>
        <w:rPr>
          <w:color w:val="231F20"/>
          <w:spacing w:val="16"/>
        </w:rPr>
        <w:t> </w:t>
      </w:r>
      <w:r>
        <w:rPr>
          <w:color w:val="231F20"/>
        </w:rPr>
        <w:t>relational</w:t>
      </w:r>
      <w:r>
        <w:rPr>
          <w:color w:val="231F20"/>
          <w:spacing w:val="17"/>
        </w:rPr>
        <w:t> </w:t>
      </w:r>
      <w:r>
        <w:rPr>
          <w:color w:val="231F20"/>
        </w:rPr>
        <w:t>operator</w:t>
      </w:r>
      <w:r>
        <w:rPr>
          <w:color w:val="231F20"/>
          <w:spacing w:val="16"/>
        </w:rPr>
        <w:t> </w:t>
      </w:r>
      <w:r>
        <w:rPr>
          <w:color w:val="231F20"/>
        </w:rPr>
        <w:t>(==,</w:t>
      </w:r>
      <w:r>
        <w:rPr>
          <w:color w:val="231F20"/>
          <w:spacing w:val="16"/>
        </w:rPr>
        <w:t> </w:t>
      </w:r>
      <w:r>
        <w:rPr>
          <w:color w:val="231F20"/>
        </w:rPr>
        <w:t>!=,</w:t>
      </w:r>
      <w:r>
        <w:rPr>
          <w:color w:val="231F20"/>
          <w:spacing w:val="16"/>
        </w:rPr>
        <w:t> </w:t>
      </w:r>
      <w:r>
        <w:rPr>
          <w:color w:val="231F20"/>
          <w:spacing w:val="-5"/>
        </w:rPr>
        <w:t>&gt;,</w:t>
      </w:r>
    </w:p>
    <w:p>
      <w:pPr>
        <w:pStyle w:val="BodyText"/>
        <w:spacing w:line="213" w:lineRule="auto"/>
        <w:ind w:left="301" w:right="364"/>
      </w:pPr>
      <w:r>
        <w:rPr>
          <w:color w:val="231F20"/>
        </w:rPr>
        <w:t>&gt;=, &lt;, &lt;=) in the text, the operator will be replaced by TRUE or </w:t>
      </w:r>
      <w:r>
        <w:rPr>
          <w:color w:val="231F20"/>
        </w:rPr>
        <w:t>FALSE</w:t>
      </w:r>
      <w:r>
        <w:rPr>
          <w:color w:val="231F20"/>
          <w:spacing w:val="80"/>
        </w:rPr>
        <w:t> </w:t>
      </w:r>
      <w:r>
        <w:rPr>
          <w:color w:val="231F20"/>
        </w:rPr>
        <w:t>unless you enclose it in quotes.</w:t>
      </w:r>
    </w:p>
    <w:p>
      <w:pPr>
        <w:pStyle w:val="BodyText"/>
        <w:spacing w:before="94"/>
        <w:ind w:left="301"/>
      </w:pPr>
      <w:r>
        <w:rPr>
          <w:rFonts w:ascii="Book Antiqua"/>
          <w:b/>
          <w:color w:val="231F20"/>
        </w:rPr>
        <w:t>Font</w:t>
      </w:r>
      <w:r>
        <w:rPr>
          <w:rFonts w:ascii="Book Antiqua"/>
          <w:b/>
          <w:color w:val="231F20"/>
          <w:spacing w:val="12"/>
        </w:rPr>
        <w:t> </w:t>
      </w:r>
      <w:r>
        <w:rPr>
          <w:rFonts w:ascii="Book Antiqua"/>
          <w:b/>
          <w:color w:val="231F20"/>
        </w:rPr>
        <w:t>name</w:t>
      </w:r>
      <w:r>
        <w:rPr>
          <w:rFonts w:ascii="Book Antiqua"/>
          <w:b/>
          <w:color w:val="231F20"/>
          <w:spacing w:val="13"/>
        </w:rPr>
        <w:t> </w:t>
      </w:r>
      <w:r>
        <w:rPr>
          <w:color w:val="231F20"/>
        </w:rPr>
        <w:t>is</w:t>
      </w:r>
      <w:r>
        <w:rPr>
          <w:color w:val="231F20"/>
          <w:spacing w:val="13"/>
        </w:rPr>
        <w:t> </w:t>
      </w:r>
      <w:r>
        <w:rPr>
          <w:color w:val="231F20"/>
        </w:rPr>
        <w:t>the</w:t>
      </w:r>
      <w:r>
        <w:rPr>
          <w:color w:val="231F20"/>
          <w:spacing w:val="12"/>
        </w:rPr>
        <w:t> </w:t>
      </w:r>
      <w:r>
        <w:rPr>
          <w:color w:val="231F20"/>
        </w:rPr>
        <w:t>font</w:t>
      </w:r>
      <w:r>
        <w:rPr>
          <w:color w:val="231F20"/>
          <w:spacing w:val="13"/>
        </w:rPr>
        <w:t> </w:t>
      </w:r>
      <w:r>
        <w:rPr>
          <w:color w:val="231F20"/>
        </w:rPr>
        <w:t>in</w:t>
      </w:r>
      <w:r>
        <w:rPr>
          <w:color w:val="231F20"/>
          <w:spacing w:val="13"/>
        </w:rPr>
        <w:t> </w:t>
      </w:r>
      <w:r>
        <w:rPr>
          <w:color w:val="231F20"/>
        </w:rPr>
        <w:t>which</w:t>
      </w:r>
      <w:r>
        <w:rPr>
          <w:color w:val="231F20"/>
          <w:spacing w:val="13"/>
        </w:rPr>
        <w:t> </w:t>
      </w:r>
      <w:r>
        <w:rPr>
          <w:color w:val="231F20"/>
        </w:rPr>
        <w:t>the</w:t>
      </w:r>
      <w:r>
        <w:rPr>
          <w:color w:val="231F20"/>
          <w:spacing w:val="12"/>
        </w:rPr>
        <w:t> </w:t>
      </w:r>
      <w:r>
        <w:rPr>
          <w:color w:val="231F20"/>
        </w:rPr>
        <w:t>title</w:t>
      </w:r>
      <w:r>
        <w:rPr>
          <w:color w:val="231F20"/>
          <w:spacing w:val="13"/>
        </w:rPr>
        <w:t> </w:t>
      </w:r>
      <w:r>
        <w:rPr>
          <w:color w:val="231F20"/>
        </w:rPr>
        <w:t>will</w:t>
      </w:r>
      <w:r>
        <w:rPr>
          <w:color w:val="231F20"/>
          <w:spacing w:val="13"/>
        </w:rPr>
        <w:t> </w:t>
      </w:r>
      <w:r>
        <w:rPr>
          <w:color w:val="231F20"/>
        </w:rPr>
        <w:t>be</w:t>
      </w:r>
      <w:r>
        <w:rPr>
          <w:color w:val="231F20"/>
          <w:spacing w:val="13"/>
        </w:rPr>
        <w:t> </w:t>
      </w:r>
      <w:r>
        <w:rPr>
          <w:color w:val="231F20"/>
          <w:spacing w:val="-2"/>
        </w:rPr>
        <w:t>displayed.</w:t>
      </w:r>
    </w:p>
    <w:p>
      <w:pPr>
        <w:pStyle w:val="BodyText"/>
        <w:spacing w:before="89"/>
        <w:ind w:left="301"/>
      </w:pPr>
      <w:r>
        <w:rPr>
          <w:rFonts w:ascii="Book Antiqua"/>
          <w:b/>
          <w:color w:val="231F20"/>
        </w:rPr>
        <w:t>Size</w:t>
      </w:r>
      <w:r>
        <w:rPr>
          <w:rFonts w:ascii="Book Antiqua"/>
          <w:b/>
          <w:color w:val="231F20"/>
          <w:spacing w:val="13"/>
        </w:rPr>
        <w:t> </w:t>
      </w:r>
      <w:r>
        <w:rPr>
          <w:color w:val="231F20"/>
        </w:rPr>
        <w:t>is</w:t>
      </w:r>
      <w:r>
        <w:rPr>
          <w:color w:val="231F20"/>
          <w:spacing w:val="13"/>
        </w:rPr>
        <w:t> </w:t>
      </w:r>
      <w:r>
        <w:rPr>
          <w:color w:val="231F20"/>
        </w:rPr>
        <w:t>the</w:t>
      </w:r>
      <w:r>
        <w:rPr>
          <w:color w:val="231F20"/>
          <w:spacing w:val="13"/>
        </w:rPr>
        <w:t> </w:t>
      </w:r>
      <w:r>
        <w:rPr>
          <w:color w:val="231F20"/>
        </w:rPr>
        <w:t>font</w:t>
      </w:r>
      <w:r>
        <w:rPr>
          <w:color w:val="231F20"/>
          <w:spacing w:val="13"/>
        </w:rPr>
        <w:t> </w:t>
      </w:r>
      <w:r>
        <w:rPr>
          <w:color w:val="231F20"/>
        </w:rPr>
        <w:t>size</w:t>
      </w:r>
      <w:r>
        <w:rPr>
          <w:color w:val="231F20"/>
          <w:spacing w:val="14"/>
        </w:rPr>
        <w:t> </w:t>
      </w:r>
      <w:r>
        <w:rPr>
          <w:color w:val="231F20"/>
        </w:rPr>
        <w:t>in</w:t>
      </w:r>
      <w:r>
        <w:rPr>
          <w:color w:val="231F20"/>
          <w:spacing w:val="13"/>
        </w:rPr>
        <w:t> </w:t>
      </w:r>
      <w:r>
        <w:rPr>
          <w:color w:val="231F20"/>
          <w:spacing w:val="-2"/>
        </w:rPr>
        <w:t>points.</w:t>
      </w:r>
    </w:p>
    <w:p>
      <w:pPr>
        <w:pStyle w:val="BodyText"/>
        <w:spacing w:line="213" w:lineRule="auto" w:before="112"/>
        <w:ind w:left="301" w:right="159"/>
      </w:pPr>
      <w:r>
        <w:rPr>
          <w:rFonts w:ascii="Book Antiqua"/>
          <w:b/>
          <w:color w:val="231F20"/>
        </w:rPr>
        <w:t>Style </w:t>
      </w:r>
      <w:r>
        <w:rPr>
          <w:color w:val="231F20"/>
        </w:rPr>
        <w:t>is the format of the font. The choices vary depending on the font, </w:t>
      </w:r>
      <w:r>
        <w:rPr>
          <w:color w:val="231F20"/>
        </w:rPr>
        <w:t>but are usually Bold, Plain and Italic.</w:t>
      </w:r>
    </w:p>
    <w:p>
      <w:pPr>
        <w:pStyle w:val="BodyText"/>
        <w:spacing w:before="185"/>
      </w:pPr>
    </w:p>
    <w:p>
      <w:pPr>
        <w:pStyle w:val="BodyText"/>
        <w:ind w:left="301"/>
      </w:pPr>
      <w:r>
        <w:rPr>
          <w:rFonts w:ascii="Book Antiqua"/>
          <w:b/>
          <w:color w:val="231F20"/>
        </w:rPr>
        <w:t>Font</w:t>
      </w:r>
      <w:r>
        <w:rPr>
          <w:rFonts w:ascii="Book Antiqua"/>
          <w:b/>
          <w:color w:val="231F20"/>
          <w:spacing w:val="11"/>
        </w:rPr>
        <w:t> </w:t>
      </w:r>
      <w:r>
        <w:rPr>
          <w:color w:val="231F20"/>
        </w:rPr>
        <w:t>the</w:t>
      </w:r>
      <w:r>
        <w:rPr>
          <w:color w:val="231F20"/>
          <w:spacing w:val="12"/>
        </w:rPr>
        <w:t> </w:t>
      </w:r>
      <w:r>
        <w:rPr>
          <w:color w:val="231F20"/>
        </w:rPr>
        <w:t>title</w:t>
      </w:r>
      <w:r>
        <w:rPr>
          <w:color w:val="231F20"/>
          <w:spacing w:val="12"/>
        </w:rPr>
        <w:t> </w:t>
      </w:r>
      <w:r>
        <w:rPr>
          <w:color w:val="231F20"/>
        </w:rPr>
        <w:t>will</w:t>
      </w:r>
      <w:r>
        <w:rPr>
          <w:color w:val="231F20"/>
          <w:spacing w:val="12"/>
        </w:rPr>
        <w:t> </w:t>
      </w:r>
      <w:r>
        <w:rPr>
          <w:color w:val="231F20"/>
        </w:rPr>
        <w:t>be</w:t>
      </w:r>
      <w:r>
        <w:rPr>
          <w:color w:val="231F20"/>
          <w:spacing w:val="12"/>
        </w:rPr>
        <w:t> </w:t>
      </w:r>
      <w:r>
        <w:rPr>
          <w:color w:val="231F20"/>
        </w:rPr>
        <w:t>displayed</w:t>
      </w:r>
      <w:r>
        <w:rPr>
          <w:color w:val="231F20"/>
          <w:spacing w:val="12"/>
        </w:rPr>
        <w:t> </w:t>
      </w:r>
      <w:r>
        <w:rPr>
          <w:color w:val="231F20"/>
          <w:spacing w:val="-5"/>
        </w:rPr>
        <w:t>in.</w:t>
      </w:r>
    </w:p>
    <w:p>
      <w:pPr>
        <w:pStyle w:val="BodyText"/>
        <w:spacing w:before="90"/>
        <w:ind w:left="301"/>
      </w:pPr>
      <w:r>
        <w:rPr>
          <w:rFonts w:ascii="Book Antiqua"/>
          <w:b/>
          <w:color w:val="231F20"/>
        </w:rPr>
        <w:t>Size</w:t>
      </w:r>
      <w:r>
        <w:rPr>
          <w:rFonts w:ascii="Book Antiqua"/>
          <w:b/>
          <w:color w:val="231F20"/>
          <w:spacing w:val="13"/>
        </w:rPr>
        <w:t> </w:t>
      </w:r>
      <w:r>
        <w:rPr>
          <w:color w:val="231F20"/>
        </w:rPr>
        <w:t>is</w:t>
      </w:r>
      <w:r>
        <w:rPr>
          <w:color w:val="231F20"/>
          <w:spacing w:val="13"/>
        </w:rPr>
        <w:t> </w:t>
      </w:r>
      <w:r>
        <w:rPr>
          <w:color w:val="231F20"/>
        </w:rPr>
        <w:t>font</w:t>
      </w:r>
      <w:r>
        <w:rPr>
          <w:color w:val="231F20"/>
          <w:spacing w:val="13"/>
        </w:rPr>
        <w:t> </w:t>
      </w:r>
      <w:r>
        <w:rPr>
          <w:color w:val="231F20"/>
        </w:rPr>
        <w:t>size</w:t>
      </w:r>
      <w:r>
        <w:rPr>
          <w:color w:val="231F20"/>
          <w:spacing w:val="13"/>
        </w:rPr>
        <w:t> </w:t>
      </w:r>
      <w:r>
        <w:rPr>
          <w:color w:val="231F20"/>
        </w:rPr>
        <w:t>in</w:t>
      </w:r>
      <w:r>
        <w:rPr>
          <w:color w:val="231F20"/>
          <w:spacing w:val="13"/>
        </w:rPr>
        <w:t> </w:t>
      </w:r>
      <w:r>
        <w:rPr>
          <w:color w:val="231F20"/>
          <w:spacing w:val="-2"/>
        </w:rPr>
        <w:t>points.</w:t>
      </w:r>
    </w:p>
    <w:p>
      <w:pPr>
        <w:pStyle w:val="BodyText"/>
        <w:spacing w:line="213" w:lineRule="auto" w:before="112"/>
        <w:ind w:left="301" w:right="364"/>
      </w:pPr>
      <w:r>
        <w:rPr>
          <w:rFonts w:ascii="Book Antiqua"/>
          <w:b/>
          <w:color w:val="231F20"/>
        </w:rPr>
        <w:t>Style </w:t>
      </w:r>
      <w:r>
        <w:rPr>
          <w:color w:val="231F20"/>
        </w:rPr>
        <w:t>choices vary depending on the font, but are usually Bold, </w:t>
      </w:r>
      <w:r>
        <w:rPr>
          <w:color w:val="231F20"/>
        </w:rPr>
        <w:t>Normal and Italic.</w:t>
      </w:r>
    </w:p>
    <w:p>
      <w:pPr>
        <w:spacing w:after="0" w:line="213" w:lineRule="auto"/>
        <w:sectPr>
          <w:pgSz w:w="12240" w:h="15840"/>
          <w:pgMar w:header="0" w:footer="736" w:top="1180" w:bottom="920" w:left="1000" w:right="1060"/>
          <w:cols w:num="2" w:equalWidth="0">
            <w:col w:w="2850" w:space="40"/>
            <w:col w:w="7290"/>
          </w:cols>
        </w:sectPr>
      </w:pPr>
    </w:p>
    <w:p>
      <w:pPr>
        <w:pStyle w:val="Heading6"/>
        <w:spacing w:line="227" w:lineRule="exact" w:before="122"/>
      </w:pPr>
      <w:r>
        <w:rPr>
          <w:b w:val="0"/>
        </w:rPr>
        <w:drawing>
          <wp:inline distT="0" distB="0" distL="0" distR="0">
            <wp:extent cx="82550" cy="82550"/>
            <wp:effectExtent l="0" t="0" r="0" b="0"/>
            <wp:docPr id="975" name="Image 975"/>
            <wp:cNvGraphicFramePr>
              <a:graphicFrameLocks/>
            </wp:cNvGraphicFramePr>
            <a:graphic>
              <a:graphicData uri="http://schemas.openxmlformats.org/drawingml/2006/picture">
                <pic:pic>
                  <pic:nvPicPr>
                    <pic:cNvPr id="975" name="Image 975"/>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Use</w:t>
      </w:r>
      <w:r>
        <w:rPr>
          <w:color w:val="231F20"/>
          <w:spacing w:val="36"/>
        </w:rPr>
        <w:t> </w:t>
      </w:r>
      <w:r>
        <w:rPr>
          <w:color w:val="231F20"/>
        </w:rPr>
        <w:t>CSS</w:t>
      </w:r>
      <w:r>
        <w:rPr>
          <w:color w:val="231F20"/>
          <w:spacing w:val="36"/>
        </w:rPr>
        <w:t> </w:t>
      </w:r>
      <w:r>
        <w:rPr>
          <w:color w:val="231F20"/>
        </w:rPr>
        <w:t>values</w:t>
      </w:r>
    </w:p>
    <w:p>
      <w:pPr>
        <w:pStyle w:val="BodyText"/>
        <w:spacing w:line="213" w:lineRule="auto" w:before="9"/>
        <w:ind w:left="3190" w:right="274"/>
      </w:pPr>
      <w:r>
        <w:rPr>
          <w:color w:val="231F20"/>
        </w:rPr>
        <w:t>This is set to use the values of the workspace presentation cascading </w:t>
      </w:r>
      <w:r>
        <w:rPr>
          <w:color w:val="231F20"/>
        </w:rPr>
        <w:t>style sheet (</w:t>
      </w:r>
      <w:r>
        <w:rPr>
          <w:rFonts w:ascii="Arial"/>
          <w:color w:val="231F20"/>
        </w:rPr>
        <w:t>ws_pres.css</w:t>
      </w:r>
      <w:r>
        <w:rPr>
          <w:color w:val="231F20"/>
        </w:rPr>
        <w:t>) for the label text (header, footer, and chart legend).</w:t>
      </w:r>
    </w:p>
    <w:p>
      <w:pPr>
        <w:pStyle w:val="BodyText"/>
        <w:spacing w:line="213" w:lineRule="auto"/>
        <w:ind w:left="3190" w:right="212"/>
      </w:pPr>
      <w:r>
        <w:rPr>
          <w:color w:val="231F20"/>
        </w:rPr>
        <w:t>This option is useful for text in double-byte character set (DBCS) </w:t>
      </w:r>
      <w:r>
        <w:rPr>
          <w:color w:val="231F20"/>
        </w:rPr>
        <w:t>languages that are more legible with a different font styling than the defaults. The</w:t>
      </w:r>
      <w:r>
        <w:rPr>
          <w:color w:val="231F20"/>
          <w:spacing w:val="40"/>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administrator</w:t>
      </w:r>
      <w:r>
        <w:rPr>
          <w:color w:val="231F20"/>
          <w:spacing w:val="26"/>
        </w:rPr>
        <w:t> </w:t>
      </w:r>
      <w:r>
        <w:rPr>
          <w:color w:val="231F20"/>
        </w:rPr>
        <w:t>can</w:t>
      </w:r>
      <w:r>
        <w:rPr>
          <w:color w:val="231F20"/>
          <w:spacing w:val="26"/>
        </w:rPr>
        <w:t> </w:t>
      </w:r>
      <w:r>
        <w:rPr>
          <w:color w:val="231F20"/>
        </w:rPr>
        <w:t>edit</w:t>
      </w:r>
      <w:r>
        <w:rPr>
          <w:color w:val="231F20"/>
          <w:spacing w:val="26"/>
        </w:rPr>
        <w:t> </w:t>
      </w:r>
      <w:r>
        <w:rPr>
          <w:color w:val="231F20"/>
        </w:rPr>
        <w:t>the</w:t>
      </w:r>
      <w:r>
        <w:rPr>
          <w:color w:val="231F20"/>
          <w:spacing w:val="26"/>
        </w:rPr>
        <w:t> </w:t>
      </w:r>
      <w:r>
        <w:rPr>
          <w:rFonts w:ascii="Arial"/>
          <w:color w:val="231F20"/>
        </w:rPr>
        <w:t>ws_pres.css </w:t>
      </w:r>
      <w:r>
        <w:rPr>
          <w:color w:val="231F20"/>
        </w:rPr>
        <w:t>style</w:t>
      </w:r>
      <w:r>
        <w:rPr>
          <w:color w:val="231F20"/>
          <w:spacing w:val="26"/>
        </w:rPr>
        <w:t> </w:t>
      </w:r>
      <w:r>
        <w:rPr>
          <w:color w:val="231F20"/>
        </w:rPr>
        <w:t>sheet in</w:t>
      </w:r>
      <w:r>
        <w:rPr>
          <w:color w:val="231F20"/>
          <w:spacing w:val="80"/>
        </w:rPr>
        <w:t> </w:t>
      </w:r>
      <w:r>
        <w:rPr>
          <w:color w:val="231F20"/>
        </w:rPr>
        <w:t>the</w:t>
      </w:r>
      <w:r>
        <w:rPr>
          <w:color w:val="231F20"/>
          <w:spacing w:val="80"/>
        </w:rPr>
        <w:t> </w:t>
      </w:r>
      <w:r>
        <w:rPr>
          <w:rFonts w:ascii="Lucida Sans"/>
          <w:i/>
          <w:color w:val="231F20"/>
        </w:rPr>
        <w:t>Install_dir</w:t>
      </w:r>
      <w:r>
        <w:rPr>
          <w:rFonts w:ascii="Arial"/>
          <w:color w:val="231F20"/>
        </w:rPr>
        <w:t>\cnb</w:t>
      </w:r>
      <w:r>
        <w:rPr>
          <w:rFonts w:ascii="Arial"/>
          <w:color w:val="231F20"/>
          <w:spacing w:val="80"/>
        </w:rPr>
        <w:t> </w:t>
      </w:r>
      <w:r>
        <w:rPr>
          <w:rFonts w:ascii="Arial"/>
          <w:color w:val="231F20"/>
        </w:rPr>
        <w:t>(Windows);</w:t>
      </w:r>
      <w:r>
        <w:rPr>
          <w:rFonts w:ascii="Arial"/>
          <w:color w:val="231F20"/>
          <w:spacing w:val="80"/>
        </w:rPr>
        <w:t> </w:t>
      </w:r>
      <w:r>
        <w:rPr>
          <w:rFonts w:ascii="Arial"/>
          <w:color w:val="231F20"/>
        </w:rPr>
        <w:t>cw</w:t>
      </w:r>
      <w:r>
        <w:rPr>
          <w:rFonts w:ascii="Arial"/>
          <w:color w:val="231F20"/>
          <w:spacing w:val="80"/>
        </w:rPr>
        <w:t> </w:t>
      </w:r>
      <w:r>
        <w:rPr>
          <w:rFonts w:ascii="Arial"/>
          <w:color w:val="231F20"/>
        </w:rPr>
        <w:t>(Linux)\classes\candle\fw\ resources\styles </w:t>
      </w:r>
      <w:r>
        <w:rPr>
          <w:color w:val="231F20"/>
        </w:rPr>
        <w:t>directory on the computer where the Tivoli Enterprise</w:t>
      </w:r>
      <w:r>
        <w:rPr>
          <w:color w:val="231F20"/>
          <w:spacing w:val="40"/>
        </w:rPr>
        <w:t> </w:t>
      </w:r>
      <w:r>
        <w:rPr>
          <w:color w:val="231F20"/>
        </w:rPr>
        <w:t>Portal Server is installed, to establish a specific font style that will be used</w:t>
      </w:r>
      <w:r>
        <w:rPr>
          <w:color w:val="231F20"/>
          <w:spacing w:val="80"/>
        </w:rPr>
        <w:t> </w:t>
      </w:r>
      <w:r>
        <w:rPr>
          <w:color w:val="231F20"/>
        </w:rPr>
        <w:t>for</w:t>
      </w:r>
      <w:r>
        <w:rPr>
          <w:color w:val="231F20"/>
          <w:spacing w:val="29"/>
        </w:rPr>
        <w:t> </w:t>
      </w:r>
      <w:r>
        <w:rPr>
          <w:color w:val="231F20"/>
        </w:rPr>
        <w:t>all</w:t>
      </w:r>
      <w:r>
        <w:rPr>
          <w:color w:val="231F20"/>
          <w:spacing w:val="29"/>
        </w:rPr>
        <w:t> </w:t>
      </w:r>
      <w:r>
        <w:rPr>
          <w:color w:val="231F20"/>
        </w:rPr>
        <w:t>label</w:t>
      </w:r>
      <w:r>
        <w:rPr>
          <w:color w:val="231F20"/>
          <w:spacing w:val="29"/>
        </w:rPr>
        <w:t> </w:t>
      </w:r>
      <w:r>
        <w:rPr>
          <w:color w:val="231F20"/>
        </w:rPr>
        <w:t>text</w:t>
      </w:r>
      <w:r>
        <w:rPr>
          <w:color w:val="231F20"/>
          <w:spacing w:val="29"/>
        </w:rPr>
        <w:t> </w:t>
      </w:r>
      <w:r>
        <w:rPr>
          <w:color w:val="231F20"/>
        </w:rPr>
        <w:t>and</w:t>
      </w:r>
      <w:r>
        <w:rPr>
          <w:color w:val="231F20"/>
          <w:spacing w:val="29"/>
        </w:rPr>
        <w:t> </w:t>
      </w:r>
      <w:r>
        <w:rPr>
          <w:color w:val="231F20"/>
        </w:rPr>
        <w:t>that</w:t>
      </w:r>
      <w:r>
        <w:rPr>
          <w:color w:val="231F20"/>
          <w:spacing w:val="29"/>
        </w:rPr>
        <w:t> </w:t>
      </w:r>
      <w:r>
        <w:rPr>
          <w:color w:val="231F20"/>
        </w:rPr>
        <w:t>will</w:t>
      </w:r>
      <w:r>
        <w:rPr>
          <w:color w:val="231F20"/>
          <w:spacing w:val="29"/>
        </w:rPr>
        <w:t> </w:t>
      </w:r>
      <w:r>
        <w:rPr>
          <w:color w:val="231F20"/>
        </w:rPr>
        <w:t>not</w:t>
      </w:r>
      <w:r>
        <w:rPr>
          <w:color w:val="231F20"/>
          <w:spacing w:val="29"/>
        </w:rPr>
        <w:t> </w:t>
      </w:r>
      <w:r>
        <w:rPr>
          <w:color w:val="231F20"/>
        </w:rPr>
        <w:t>be</w:t>
      </w:r>
      <w:r>
        <w:rPr>
          <w:color w:val="231F20"/>
          <w:spacing w:val="29"/>
        </w:rPr>
        <w:t> </w:t>
      </w:r>
      <w:r>
        <w:rPr>
          <w:color w:val="231F20"/>
        </w:rPr>
        <w:t>overwritten</w:t>
      </w:r>
      <w:r>
        <w:rPr>
          <w:color w:val="231F20"/>
          <w:spacing w:val="29"/>
        </w:rPr>
        <w:t> </w:t>
      </w:r>
      <w:r>
        <w:rPr>
          <w:color w:val="231F20"/>
        </w:rPr>
        <w:t>whenever</w:t>
      </w:r>
      <w:r>
        <w:rPr>
          <w:color w:val="231F20"/>
          <w:spacing w:val="29"/>
        </w:rPr>
        <w:t> </w:t>
      </w:r>
      <w:r>
        <w:rPr>
          <w:color w:val="231F20"/>
        </w:rPr>
        <w:t>your installation is upgraded to a new release.</w:t>
      </w:r>
    </w:p>
    <w:p>
      <w:pPr>
        <w:pStyle w:val="BodyText"/>
        <w:spacing w:line="213" w:lineRule="auto" w:before="113"/>
        <w:ind w:left="3190" w:right="385"/>
      </w:pPr>
      <w:r>
        <w:rPr>
          <w:color w:val="231F20"/>
        </w:rPr>
        <w:t>Clear the check box if you want to use the font styling that is specified in</w:t>
      </w:r>
      <w:r>
        <w:rPr>
          <w:color w:val="231F20"/>
          <w:spacing w:val="40"/>
        </w:rPr>
        <w:t> </w:t>
      </w:r>
      <w:r>
        <w:rPr>
          <w:color w:val="231F20"/>
        </w:rPr>
        <w:t>the </w:t>
      </w:r>
      <w:r>
        <w:rPr>
          <w:rFonts w:ascii="Book Antiqua"/>
          <w:b/>
          <w:color w:val="231F20"/>
        </w:rPr>
        <w:t>Text style </w:t>
      </w:r>
      <w:r>
        <w:rPr>
          <w:color w:val="231F20"/>
        </w:rPr>
        <w:t>area.</w:t>
      </w:r>
    </w:p>
    <w:p>
      <w:pPr>
        <w:pStyle w:val="Heading6"/>
        <w:spacing w:line="227" w:lineRule="exact" w:before="122"/>
      </w:pPr>
      <w:r>
        <w:rPr>
          <w:b w:val="0"/>
        </w:rPr>
        <w:drawing>
          <wp:inline distT="0" distB="0" distL="0" distR="0">
            <wp:extent cx="82550" cy="82550"/>
            <wp:effectExtent l="0" t="0" r="0" b="0"/>
            <wp:docPr id="976" name="Image 976"/>
            <wp:cNvGraphicFramePr>
              <a:graphicFrameLocks/>
            </wp:cNvGraphicFramePr>
            <a:graphic>
              <a:graphicData uri="http://schemas.openxmlformats.org/drawingml/2006/picture">
                <pic:pic>
                  <pic:nvPicPr>
                    <pic:cNvPr id="976" name="Image 976"/>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Always</w:t>
      </w:r>
      <w:r>
        <w:rPr>
          <w:color w:val="231F20"/>
          <w:spacing w:val="34"/>
        </w:rPr>
        <w:t> </w:t>
      </w:r>
      <w:r>
        <w:rPr>
          <w:color w:val="231F20"/>
        </w:rPr>
        <w:t>connects</w:t>
      </w:r>
      <w:r>
        <w:rPr>
          <w:color w:val="231F20"/>
          <w:spacing w:val="34"/>
        </w:rPr>
        <w:t> </w:t>
      </w:r>
      <w:r>
        <w:rPr>
          <w:color w:val="231F20"/>
        </w:rPr>
        <w:t>points</w:t>
      </w:r>
    </w:p>
    <w:p>
      <w:pPr>
        <w:pStyle w:val="BodyText"/>
        <w:spacing w:line="213" w:lineRule="auto" w:before="9"/>
        <w:ind w:left="3190" w:right="493"/>
      </w:pPr>
      <w:r>
        <w:rPr>
          <w:color w:val="231F20"/>
        </w:rPr>
        <w:t>This option is only displayed for Plot Charts and is enabled by </w:t>
      </w:r>
      <w:r>
        <w:rPr>
          <w:color w:val="231F20"/>
        </w:rPr>
        <w:t>default. The plot points are connected with lines even when gaps in time are </w:t>
      </w:r>
      <w:r>
        <w:rPr>
          <w:color w:val="231F20"/>
          <w:spacing w:val="-2"/>
        </w:rPr>
        <w:t>present.</w:t>
      </w:r>
    </w:p>
    <w:p>
      <w:pPr>
        <w:pStyle w:val="Heading4"/>
        <w:spacing w:line="273" w:lineRule="exact" w:before="164"/>
        <w:ind w:left="2472"/>
      </w:pPr>
      <w:r>
        <w:rPr>
          <w:color w:val="231F20"/>
        </w:rPr>
        <w:t>Advanced</w:t>
      </w:r>
      <w:r>
        <w:rPr>
          <w:color w:val="231F20"/>
          <w:spacing w:val="1"/>
        </w:rPr>
        <w:t> </w:t>
      </w:r>
      <w:r>
        <w:rPr>
          <w:color w:val="231F20"/>
          <w:spacing w:val="-2"/>
        </w:rPr>
        <w:t>Filters</w:t>
      </w:r>
    </w:p>
    <w:p>
      <w:pPr>
        <w:pStyle w:val="BodyText"/>
        <w:spacing w:line="213" w:lineRule="auto" w:before="20"/>
        <w:ind w:left="2472" w:right="258"/>
      </w:pPr>
      <w:r>
        <w:rPr>
          <w:color w:val="231F20"/>
        </w:rPr>
        <w:t>The Filters tab of the Properties editor has a</w:t>
      </w:r>
      <w:r>
        <w:rPr>
          <w:color w:val="231F20"/>
          <w:spacing w:val="35"/>
        </w:rPr>
        <w:t> </w:t>
      </w:r>
      <w:r>
        <w:rPr>
          <w:color w:val="231F20"/>
          <w:spacing w:val="-25"/>
          <w:position w:val="-1"/>
        </w:rPr>
        <w:drawing>
          <wp:inline distT="0" distB="0" distL="0" distR="0">
            <wp:extent cx="95250" cy="101600"/>
            <wp:effectExtent l="0" t="0" r="0" b="0"/>
            <wp:docPr id="977" name="Image 977"/>
            <wp:cNvGraphicFramePr>
              <a:graphicFrameLocks/>
            </wp:cNvGraphicFramePr>
            <a:graphic>
              <a:graphicData uri="http://schemas.openxmlformats.org/drawingml/2006/picture">
                <pic:pic>
                  <pic:nvPicPr>
                    <pic:cNvPr id="977" name="Image 977"/>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Set advanced filters </w:t>
      </w:r>
      <w:r>
        <w:rPr>
          <w:color w:val="231F20"/>
        </w:rPr>
        <w:t>button that opens this window, where you can specify a sort order for the returned values and the highest or lowest values to return.</w:t>
      </w:r>
    </w:p>
    <w:p>
      <w:pPr>
        <w:pStyle w:val="Heading6"/>
        <w:spacing w:line="227" w:lineRule="exact" w:before="122"/>
      </w:pPr>
      <w:r>
        <w:rPr>
          <w:b w:val="0"/>
        </w:rPr>
        <w:drawing>
          <wp:inline distT="0" distB="0" distL="0" distR="0">
            <wp:extent cx="82550" cy="82550"/>
            <wp:effectExtent l="0" t="0" r="0" b="0"/>
            <wp:docPr id="978" name="Image 978"/>
            <wp:cNvGraphicFramePr>
              <a:graphicFrameLocks/>
            </wp:cNvGraphicFramePr>
            <a:graphic>
              <a:graphicData uri="http://schemas.openxmlformats.org/drawingml/2006/picture">
                <pic:pic>
                  <pic:nvPicPr>
                    <pic:cNvPr id="978" name="Image 978"/>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Enable</w:t>
      </w:r>
      <w:r>
        <w:rPr>
          <w:color w:val="231F20"/>
          <w:spacing w:val="34"/>
        </w:rPr>
        <w:t> </w:t>
      </w:r>
      <w:r>
        <w:rPr>
          <w:color w:val="231F20"/>
        </w:rPr>
        <w:t>First/Last</w:t>
      </w:r>
      <w:r>
        <w:rPr>
          <w:color w:val="231F20"/>
          <w:spacing w:val="34"/>
        </w:rPr>
        <w:t> </w:t>
      </w:r>
      <w:r>
        <w:rPr>
          <w:color w:val="231F20"/>
        </w:rPr>
        <w:t>Filter</w:t>
      </w:r>
    </w:p>
    <w:p>
      <w:pPr>
        <w:pStyle w:val="BodyText"/>
        <w:spacing w:line="213" w:lineRule="auto" w:before="8"/>
        <w:ind w:left="3190" w:right="385"/>
      </w:pPr>
      <w:r>
        <w:rPr>
          <w:color w:val="231F20"/>
        </w:rPr>
        <w:t>Select the check box to filter the view to show the first or last rows returned based on the value of the attribute specified in the </w:t>
      </w:r>
      <w:r>
        <w:rPr>
          <w:rFonts w:ascii="Book Antiqua"/>
          <w:b/>
          <w:color w:val="231F20"/>
        </w:rPr>
        <w:t>Sort by </w:t>
      </w:r>
      <w:r>
        <w:rPr>
          <w:color w:val="231F20"/>
        </w:rPr>
        <w:t>area.</w:t>
      </w:r>
    </w:p>
    <w:p>
      <w:pPr>
        <w:pStyle w:val="BodyText"/>
        <w:spacing w:line="213" w:lineRule="auto" w:before="119"/>
        <w:ind w:left="3190" w:right="278"/>
      </w:pPr>
      <w:r>
        <w:rPr>
          <w:color w:val="231F20"/>
        </w:rPr>
        <w:t>A first/last filter is different from the </w:t>
      </w:r>
      <w:r>
        <w:rPr>
          <w:rFonts w:ascii="Book Antiqua"/>
          <w:b/>
          <w:color w:val="231F20"/>
        </w:rPr>
        <w:t>First/Last Functions </w:t>
      </w:r>
      <w:r>
        <w:rPr>
          <w:color w:val="231F20"/>
        </w:rPr>
        <w:t>in the Advanced Query window because it applies the filter after the data has been </w:t>
      </w:r>
      <w:r>
        <w:rPr>
          <w:color w:val="231F20"/>
        </w:rPr>
        <w:t>returned (rather</w:t>
      </w:r>
      <w:r>
        <w:rPr>
          <w:color w:val="231F20"/>
          <w:spacing w:val="25"/>
        </w:rPr>
        <w:t> </w:t>
      </w:r>
      <w:r>
        <w:rPr>
          <w:color w:val="231F20"/>
        </w:rPr>
        <w:t>than</w:t>
      </w:r>
      <w:r>
        <w:rPr>
          <w:color w:val="231F20"/>
          <w:spacing w:val="25"/>
        </w:rPr>
        <w:t> </w:t>
      </w:r>
      <w:r>
        <w:rPr>
          <w:color w:val="231F20"/>
        </w:rPr>
        <w:t>as</w:t>
      </w:r>
      <w:r>
        <w:rPr>
          <w:color w:val="231F20"/>
          <w:spacing w:val="25"/>
        </w:rPr>
        <w:t> </w:t>
      </w:r>
      <w:r>
        <w:rPr>
          <w:color w:val="231F20"/>
        </w:rPr>
        <w:t>part</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query)</w:t>
      </w:r>
      <w:r>
        <w:rPr>
          <w:color w:val="231F20"/>
          <w:spacing w:val="25"/>
        </w:rPr>
        <w:t> </w:t>
      </w:r>
      <w:r>
        <w:rPr>
          <w:color w:val="231F20"/>
        </w:rPr>
        <w:t>so</w:t>
      </w:r>
      <w:r>
        <w:rPr>
          <w:color w:val="231F20"/>
          <w:spacing w:val="25"/>
        </w:rPr>
        <w:t> </w:t>
      </w:r>
      <w:r>
        <w:rPr>
          <w:color w:val="231F20"/>
        </w:rPr>
        <w:t>that</w:t>
      </w:r>
      <w:r>
        <w:rPr>
          <w:color w:val="231F20"/>
          <w:spacing w:val="25"/>
        </w:rPr>
        <w:t> </w:t>
      </w:r>
      <w:r>
        <w:rPr>
          <w:color w:val="231F20"/>
        </w:rPr>
        <w:t>all</w:t>
      </w:r>
      <w:r>
        <w:rPr>
          <w:color w:val="231F20"/>
          <w:spacing w:val="25"/>
        </w:rPr>
        <w:t> </w:t>
      </w:r>
      <w:r>
        <w:rPr>
          <w:color w:val="231F20"/>
        </w:rPr>
        <w:t>the</w:t>
      </w:r>
      <w:r>
        <w:rPr>
          <w:color w:val="231F20"/>
          <w:spacing w:val="25"/>
        </w:rPr>
        <w:t> </w:t>
      </w:r>
      <w:r>
        <w:rPr>
          <w:color w:val="231F20"/>
        </w:rPr>
        <w:t>rows</w:t>
      </w:r>
      <w:r>
        <w:rPr>
          <w:color w:val="231F20"/>
          <w:spacing w:val="25"/>
        </w:rPr>
        <w:t> </w:t>
      </w:r>
      <w:r>
        <w:rPr>
          <w:color w:val="231F20"/>
        </w:rPr>
        <w:t>that</w:t>
      </w:r>
      <w:r>
        <w:rPr>
          <w:color w:val="231F20"/>
          <w:spacing w:val="25"/>
        </w:rPr>
        <w:t> </w:t>
      </w:r>
      <w:r>
        <w:rPr>
          <w:color w:val="231F20"/>
        </w:rPr>
        <w:t>were</w:t>
      </w:r>
      <w:r>
        <w:rPr>
          <w:color w:val="231F20"/>
          <w:spacing w:val="25"/>
        </w:rPr>
        <w:t> </w:t>
      </w:r>
      <w:r>
        <w:rPr>
          <w:color w:val="231F20"/>
        </w:rPr>
        <w:t>returned are reviewed for inclusion in the view. For example, instead of the last 10 rows</w:t>
      </w:r>
      <w:r>
        <w:rPr>
          <w:color w:val="231F20"/>
          <w:spacing w:val="27"/>
        </w:rPr>
        <w:t> </w:t>
      </w:r>
      <w:r>
        <w:rPr>
          <w:color w:val="231F20"/>
        </w:rPr>
        <w:t>from</w:t>
      </w:r>
      <w:r>
        <w:rPr>
          <w:color w:val="231F20"/>
          <w:spacing w:val="27"/>
        </w:rPr>
        <w:t> </w:t>
      </w:r>
      <w:r>
        <w:rPr>
          <w:color w:val="231F20"/>
        </w:rPr>
        <w:t>each</w:t>
      </w:r>
      <w:r>
        <w:rPr>
          <w:color w:val="231F20"/>
          <w:spacing w:val="27"/>
        </w:rPr>
        <w:t> </w:t>
      </w:r>
      <w:r>
        <w:rPr>
          <w:color w:val="231F20"/>
        </w:rPr>
        <w:t>remote</w:t>
      </w:r>
      <w:r>
        <w:rPr>
          <w:color w:val="231F20"/>
          <w:spacing w:val="27"/>
        </w:rPr>
        <w:t> </w:t>
      </w:r>
      <w:r>
        <w:rPr>
          <w:color w:val="231F20"/>
        </w:rPr>
        <w:t>monitoring</w:t>
      </w:r>
      <w:r>
        <w:rPr>
          <w:color w:val="231F20"/>
          <w:spacing w:val="27"/>
        </w:rPr>
        <w:t> </w:t>
      </w:r>
      <w:r>
        <w:rPr>
          <w:color w:val="231F20"/>
        </w:rPr>
        <w:t>server</w:t>
      </w:r>
      <w:r>
        <w:rPr>
          <w:color w:val="231F20"/>
          <w:spacing w:val="27"/>
        </w:rPr>
        <w:t> </w:t>
      </w:r>
      <w:r>
        <w:rPr>
          <w:color w:val="231F20"/>
        </w:rPr>
        <w:t>in</w:t>
      </w:r>
      <w:r>
        <w:rPr>
          <w:color w:val="231F20"/>
          <w:spacing w:val="27"/>
        </w:rPr>
        <w:t> </w:t>
      </w:r>
      <w:r>
        <w:rPr>
          <w:color w:val="231F20"/>
        </w:rPr>
        <w:t>the</w:t>
      </w:r>
      <w:r>
        <w:rPr>
          <w:color w:val="231F20"/>
          <w:spacing w:val="27"/>
        </w:rPr>
        <w:t> </w:t>
      </w:r>
      <w:r>
        <w:rPr>
          <w:color w:val="231F20"/>
        </w:rPr>
        <w:t>view,</w:t>
      </w:r>
      <w:r>
        <w:rPr>
          <w:color w:val="231F20"/>
          <w:spacing w:val="27"/>
        </w:rPr>
        <w:t> </w:t>
      </w:r>
      <w:r>
        <w:rPr>
          <w:color w:val="231F20"/>
        </w:rPr>
        <w:t>which</w:t>
      </w:r>
      <w:r>
        <w:rPr>
          <w:color w:val="231F20"/>
          <w:spacing w:val="27"/>
        </w:rPr>
        <w:t> </w:t>
      </w:r>
      <w:r>
        <w:rPr>
          <w:color w:val="231F20"/>
        </w:rPr>
        <w:t>would display a total of 50 rows from five monitoring servers, the last 10 rows</w:t>
      </w:r>
      <w:r>
        <w:rPr>
          <w:color w:val="231F20"/>
          <w:spacing w:val="80"/>
        </w:rPr>
        <w:t> </w:t>
      </w:r>
      <w:r>
        <w:rPr>
          <w:color w:val="231F20"/>
        </w:rPr>
        <w:t>from all monitoring servers are shown.</w:t>
      </w:r>
    </w:p>
    <w:p>
      <w:pPr>
        <w:pStyle w:val="Heading5"/>
        <w:spacing w:before="215"/>
      </w:pPr>
      <w:r>
        <w:rPr>
          <w:color w:val="231F20"/>
        </w:rPr>
        <w:t>Sort</w:t>
      </w:r>
      <w:r>
        <w:rPr>
          <w:color w:val="231F20"/>
          <w:spacing w:val="6"/>
        </w:rPr>
        <w:t> </w:t>
      </w:r>
      <w:r>
        <w:rPr>
          <w:color w:val="231F20"/>
          <w:spacing w:val="-7"/>
        </w:rPr>
        <w:t>by</w:t>
      </w:r>
    </w:p>
    <w:p>
      <w:pPr>
        <w:pStyle w:val="BodyText"/>
        <w:spacing w:line="213" w:lineRule="auto" w:before="246"/>
        <w:ind w:left="2472" w:right="313"/>
      </w:pPr>
      <w:r>
        <w:rPr>
          <w:color w:val="231F20"/>
        </w:rPr>
        <w:t>Specify a column (from the </w:t>
      </w:r>
      <w:r>
        <w:rPr>
          <w:color w:val="231F20"/>
          <w:spacing w:val="15"/>
          <w:position w:val="-1"/>
        </w:rPr>
        <w:drawing>
          <wp:inline distT="0" distB="0" distL="0" distR="0">
            <wp:extent cx="101600" cy="101600"/>
            <wp:effectExtent l="0" t="0" r="0" b="0"/>
            <wp:docPr id="979" name="Image 979"/>
            <wp:cNvGraphicFramePr>
              <a:graphicFrameLocks/>
            </wp:cNvGraphicFramePr>
            <a:graphic>
              <a:graphicData uri="http://schemas.openxmlformats.org/drawingml/2006/picture">
                <pic:pic>
                  <pic:nvPicPr>
                    <pic:cNvPr id="979" name="Image 97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 to sort by when selecting the first or last rows</w:t>
      </w:r>
      <w:r>
        <w:rPr>
          <w:color w:val="231F20"/>
          <w:spacing w:val="40"/>
        </w:rPr>
        <w:t> </w:t>
      </w:r>
      <w:r>
        <w:rPr>
          <w:color w:val="231F20"/>
        </w:rPr>
        <w:t>and</w:t>
      </w:r>
      <w:r>
        <w:rPr>
          <w:color w:val="231F20"/>
          <w:spacing w:val="12"/>
        </w:rPr>
        <w:t> </w:t>
      </w:r>
      <w:r>
        <w:rPr>
          <w:color w:val="231F20"/>
        </w:rPr>
        <w:t>in</w:t>
      </w:r>
      <w:r>
        <w:rPr>
          <w:color w:val="231F20"/>
          <w:spacing w:val="12"/>
        </w:rPr>
        <w:t> </w:t>
      </w:r>
      <w:r>
        <w:rPr>
          <w:color w:val="231F20"/>
        </w:rPr>
        <w:t>which</w:t>
      </w:r>
      <w:r>
        <w:rPr>
          <w:color w:val="231F20"/>
          <w:spacing w:val="12"/>
        </w:rPr>
        <w:t> </w:t>
      </w:r>
      <w:r>
        <w:rPr>
          <w:color w:val="231F20"/>
        </w:rPr>
        <w:t>direction.</w:t>
      </w:r>
      <w:r>
        <w:rPr>
          <w:color w:val="231F20"/>
          <w:spacing w:val="12"/>
        </w:rPr>
        <w:t> </w:t>
      </w:r>
      <w:r>
        <w:rPr>
          <w:color w:val="231F20"/>
        </w:rPr>
        <w:t>This</w:t>
      </w:r>
      <w:r>
        <w:rPr>
          <w:color w:val="231F20"/>
          <w:spacing w:val="12"/>
        </w:rPr>
        <w:t> </w:t>
      </w:r>
      <w:r>
        <w:rPr>
          <w:color w:val="231F20"/>
        </w:rPr>
        <w:t>sort</w:t>
      </w:r>
      <w:r>
        <w:rPr>
          <w:color w:val="231F20"/>
          <w:spacing w:val="12"/>
        </w:rPr>
        <w:t> </w:t>
      </w:r>
      <w:r>
        <w:rPr>
          <w:color w:val="231F20"/>
        </w:rPr>
        <w:t>has</w:t>
      </w:r>
      <w:r>
        <w:rPr>
          <w:color w:val="231F20"/>
          <w:spacing w:val="12"/>
        </w:rPr>
        <w:t> </w:t>
      </w:r>
      <w:r>
        <w:rPr>
          <w:color w:val="231F20"/>
        </w:rPr>
        <w:t>to</w:t>
      </w:r>
      <w:r>
        <w:rPr>
          <w:color w:val="231F20"/>
          <w:spacing w:val="12"/>
        </w:rPr>
        <w:t> </w:t>
      </w:r>
      <w:r>
        <w:rPr>
          <w:color w:val="231F20"/>
        </w:rPr>
        <w:t>do</w:t>
      </w:r>
      <w:r>
        <w:rPr>
          <w:color w:val="231F20"/>
          <w:spacing w:val="12"/>
        </w:rPr>
        <w:t> </w:t>
      </w:r>
      <w:r>
        <w:rPr>
          <w:color w:val="231F20"/>
        </w:rPr>
        <w:t>only</w:t>
      </w:r>
      <w:r>
        <w:rPr>
          <w:color w:val="231F20"/>
          <w:spacing w:val="12"/>
        </w:rPr>
        <w:t> </w:t>
      </w:r>
      <w:r>
        <w:rPr>
          <w:color w:val="231F20"/>
        </w:rPr>
        <w:t>with</w:t>
      </w:r>
      <w:r>
        <w:rPr>
          <w:color w:val="231F20"/>
          <w:spacing w:val="12"/>
        </w:rPr>
        <w:t> </w:t>
      </w:r>
      <w:r>
        <w:rPr>
          <w:color w:val="231F20"/>
        </w:rPr>
        <w:t>sorting</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returned</w:t>
      </w:r>
      <w:r>
        <w:rPr>
          <w:color w:val="231F20"/>
          <w:spacing w:val="12"/>
        </w:rPr>
        <w:t> </w:t>
      </w:r>
      <w:r>
        <w:rPr>
          <w:color w:val="231F20"/>
        </w:rPr>
        <w:t>rows</w:t>
      </w:r>
    </w:p>
    <w:p>
      <w:pPr>
        <w:spacing w:after="0" w:line="213" w:lineRule="auto"/>
        <w:sectPr>
          <w:type w:val="continuous"/>
          <w:pgSz w:w="12240" w:h="15840"/>
          <w:pgMar w:header="0" w:footer="736" w:top="0" w:bottom="4660" w:left="1000" w:right="1060"/>
        </w:sectPr>
      </w:pPr>
    </w:p>
    <w:p>
      <w:pPr>
        <w:pStyle w:val="BodyText"/>
        <w:spacing w:line="213" w:lineRule="auto" w:before="85"/>
        <w:ind w:left="2232" w:right="603"/>
      </w:pPr>
      <w:r>
        <w:rPr>
          <w:color w:val="231F20"/>
        </w:rPr>
        <w:t>so that the first or last rows can be determined. It has no affect on any other sort</w:t>
      </w:r>
      <w:r>
        <w:rPr>
          <w:color w:val="231F20"/>
          <w:spacing w:val="80"/>
        </w:rPr>
        <w:t> </w:t>
      </w:r>
      <w:r>
        <w:rPr>
          <w:color w:val="231F20"/>
        </w:rPr>
        <w:t>that you might have specified for the view.</w:t>
      </w:r>
    </w:p>
    <w:p>
      <w:pPr>
        <w:pStyle w:val="Heading6"/>
        <w:spacing w:line="227" w:lineRule="exact" w:before="122"/>
        <w:ind w:left="2232"/>
      </w:pPr>
      <w:r>
        <w:rPr>
          <w:b w:val="0"/>
        </w:rPr>
        <w:drawing>
          <wp:inline distT="0" distB="0" distL="0" distR="0">
            <wp:extent cx="88900" cy="82550"/>
            <wp:effectExtent l="0" t="0" r="0" b="0"/>
            <wp:docPr id="980" name="Image 980"/>
            <wp:cNvGraphicFramePr>
              <a:graphicFrameLocks/>
            </wp:cNvGraphicFramePr>
            <a:graphic>
              <a:graphicData uri="http://schemas.openxmlformats.org/drawingml/2006/picture">
                <pic:pic>
                  <pic:nvPicPr>
                    <pic:cNvPr id="980" name="Image 980"/>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Ascending</w:t>
      </w:r>
    </w:p>
    <w:p>
      <w:pPr>
        <w:pStyle w:val="BodyText"/>
        <w:spacing w:line="213" w:lineRule="auto" w:before="9"/>
        <w:ind w:left="2951" w:right="545"/>
      </w:pPr>
      <w:r>
        <w:rPr>
          <w:color w:val="231F20"/>
        </w:rPr>
        <w:t>An ascending sort causes the attribute selection to be from the first </w:t>
      </w:r>
      <w:r>
        <w:rPr>
          <w:color w:val="231F20"/>
        </w:rPr>
        <w:t>rows </w:t>
      </w:r>
      <w:r>
        <w:rPr>
          <w:color w:val="231F20"/>
          <w:spacing w:val="-2"/>
        </w:rPr>
        <w:t>returned.</w:t>
      </w:r>
    </w:p>
    <w:p>
      <w:pPr>
        <w:pStyle w:val="Heading6"/>
        <w:spacing w:line="227" w:lineRule="exact" w:before="122"/>
        <w:ind w:left="2232"/>
      </w:pPr>
      <w:r>
        <w:rPr>
          <w:b w:val="0"/>
        </w:rPr>
        <w:drawing>
          <wp:inline distT="0" distB="0" distL="0" distR="0">
            <wp:extent cx="88900" cy="82550"/>
            <wp:effectExtent l="0" t="0" r="0" b="0"/>
            <wp:docPr id="981" name="Image 981"/>
            <wp:cNvGraphicFramePr>
              <a:graphicFrameLocks/>
            </wp:cNvGraphicFramePr>
            <a:graphic>
              <a:graphicData uri="http://schemas.openxmlformats.org/drawingml/2006/picture">
                <pic:pic>
                  <pic:nvPicPr>
                    <pic:cNvPr id="981" name="Image 981"/>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Descending</w:t>
      </w:r>
    </w:p>
    <w:p>
      <w:pPr>
        <w:pStyle w:val="BodyText"/>
        <w:spacing w:line="213" w:lineRule="auto" w:before="9"/>
        <w:ind w:left="2951" w:right="545"/>
      </w:pPr>
      <w:r>
        <w:rPr>
          <w:color w:val="231F20"/>
        </w:rPr>
        <w:t>A descending sort causes the attribute selection to be from the last </w:t>
      </w:r>
      <w:r>
        <w:rPr>
          <w:color w:val="231F20"/>
        </w:rPr>
        <w:t>rows </w:t>
      </w:r>
      <w:r>
        <w:rPr>
          <w:color w:val="231F20"/>
          <w:spacing w:val="-2"/>
        </w:rPr>
        <w:t>returned.</w:t>
      </w:r>
    </w:p>
    <w:p>
      <w:pPr>
        <w:pStyle w:val="Heading5"/>
        <w:ind w:left="2232"/>
      </w:pPr>
      <w:r>
        <w:rPr>
          <w:color w:val="231F20"/>
        </w:rPr>
        <w:t>First</w:t>
      </w:r>
      <w:r>
        <w:rPr>
          <w:color w:val="231F20"/>
          <w:spacing w:val="6"/>
        </w:rPr>
        <w:t> </w:t>
      </w:r>
      <w:r>
        <w:rPr>
          <w:color w:val="231F20"/>
          <w:spacing w:val="-4"/>
        </w:rPr>
        <w:t>Last</w:t>
      </w:r>
    </w:p>
    <w:p>
      <w:pPr>
        <w:pStyle w:val="BodyText"/>
        <w:spacing w:line="213" w:lineRule="auto" w:before="246"/>
        <w:ind w:left="2232" w:right="545"/>
      </w:pPr>
      <w:r>
        <w:rPr>
          <w:color w:val="231F20"/>
        </w:rPr>
        <w:t>Specify the number of rows to return and whether they should be from the first rows of the returned list or from the last rows.</w:t>
      </w:r>
    </w:p>
    <w:p>
      <w:pPr>
        <w:pStyle w:val="Heading6"/>
        <w:spacing w:line="238" w:lineRule="exact" w:before="122"/>
        <w:ind w:left="2232"/>
      </w:pPr>
      <w:r>
        <w:rPr>
          <w:b w:val="0"/>
        </w:rPr>
        <w:drawing>
          <wp:inline distT="0" distB="0" distL="0" distR="0">
            <wp:extent cx="88900" cy="82550"/>
            <wp:effectExtent l="0" t="0" r="0" b="0"/>
            <wp:docPr id="982" name="Image 982"/>
            <wp:cNvGraphicFramePr>
              <a:graphicFrameLocks/>
            </wp:cNvGraphicFramePr>
            <a:graphic>
              <a:graphicData uri="http://schemas.openxmlformats.org/drawingml/2006/picture">
                <pic:pic>
                  <pic:nvPicPr>
                    <pic:cNvPr id="982" name="Image 982"/>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First</w:t>
      </w:r>
    </w:p>
    <w:p>
      <w:pPr>
        <w:spacing w:after="0" w:line="238" w:lineRule="exact"/>
        <w:sectPr>
          <w:pgSz w:w="12240" w:h="15840"/>
          <w:pgMar w:header="0" w:footer="736" w:top="1180" w:bottom="1198" w:left="1000" w:right="1060"/>
        </w:sectPr>
      </w:pPr>
    </w:p>
    <w:p>
      <w:pPr>
        <w:pStyle w:val="BodyText"/>
        <w:spacing w:before="120"/>
        <w:rPr>
          <w:rFonts w:ascii="Book Antiqua"/>
          <w:b/>
        </w:rPr>
      </w:pPr>
    </w:p>
    <w:p>
      <w:pPr>
        <w:spacing w:before="0"/>
        <w:ind w:left="0" w:right="0" w:firstLine="0"/>
        <w:jc w:val="right"/>
        <w:rPr>
          <w:rFonts w:ascii="Book Antiqua"/>
          <w:b/>
          <w:sz w:val="20"/>
        </w:rPr>
      </w:pPr>
      <w:r>
        <w:rPr/>
        <w:drawing>
          <wp:inline distT="0" distB="0" distL="0" distR="0">
            <wp:extent cx="88900" cy="82550"/>
            <wp:effectExtent l="0" t="0" r="0" b="0"/>
            <wp:docPr id="983" name="Image 983"/>
            <wp:cNvGraphicFramePr>
              <a:graphicFrameLocks/>
            </wp:cNvGraphicFramePr>
            <a:graphic>
              <a:graphicData uri="http://schemas.openxmlformats.org/drawingml/2006/picture">
                <pic:pic>
                  <pic:nvPicPr>
                    <pic:cNvPr id="983" name="Image 983"/>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Last</w:t>
      </w:r>
    </w:p>
    <w:p>
      <w:pPr>
        <w:pStyle w:val="BodyText"/>
        <w:spacing w:line="245" w:lineRule="exact"/>
        <w:ind w:left="45"/>
      </w:pPr>
      <w:r>
        <w:rPr/>
        <w:br w:type="column"/>
      </w:r>
      <w:r>
        <w:rPr>
          <w:color w:val="231F20"/>
        </w:rPr>
        <w:t>This</w:t>
      </w:r>
      <w:r>
        <w:rPr>
          <w:color w:val="231F20"/>
          <w:spacing w:val="11"/>
        </w:rPr>
        <w:t> </w:t>
      </w:r>
      <w:r>
        <w:rPr>
          <w:color w:val="231F20"/>
        </w:rPr>
        <w:t>causes</w:t>
      </w:r>
      <w:r>
        <w:rPr>
          <w:color w:val="231F20"/>
          <w:spacing w:val="11"/>
        </w:rPr>
        <w:t> </w:t>
      </w:r>
      <w:r>
        <w:rPr>
          <w:color w:val="231F20"/>
        </w:rPr>
        <w:t>the</w:t>
      </w:r>
      <w:r>
        <w:rPr>
          <w:color w:val="231F20"/>
          <w:spacing w:val="11"/>
        </w:rPr>
        <w:t> </w:t>
      </w:r>
      <w:r>
        <w:rPr>
          <w:color w:val="231F20"/>
        </w:rPr>
        <w:t>attribute</w:t>
      </w:r>
      <w:r>
        <w:rPr>
          <w:color w:val="231F20"/>
          <w:spacing w:val="11"/>
        </w:rPr>
        <w:t> </w:t>
      </w:r>
      <w:r>
        <w:rPr>
          <w:color w:val="231F20"/>
        </w:rPr>
        <w:t>selection</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rPr>
        <w:t>first</w:t>
      </w:r>
      <w:r>
        <w:rPr>
          <w:color w:val="231F20"/>
          <w:spacing w:val="11"/>
        </w:rPr>
        <w:t> </w:t>
      </w:r>
      <w:r>
        <w:rPr>
          <w:color w:val="231F20"/>
        </w:rPr>
        <w:t>rows</w:t>
      </w:r>
      <w:r>
        <w:rPr>
          <w:color w:val="231F20"/>
          <w:spacing w:val="11"/>
        </w:rPr>
        <w:t> </w:t>
      </w:r>
      <w:r>
        <w:rPr>
          <w:color w:val="231F20"/>
          <w:spacing w:val="-2"/>
        </w:rPr>
        <w:t>returned.</w:t>
      </w:r>
    </w:p>
    <w:p>
      <w:pPr>
        <w:pStyle w:val="BodyText"/>
        <w:spacing w:before="59"/>
      </w:pPr>
    </w:p>
    <w:p>
      <w:pPr>
        <w:pStyle w:val="BodyText"/>
        <w:ind w:left="45"/>
      </w:pPr>
      <w:r>
        <w:rPr>
          <w:color w:val="231F20"/>
        </w:rPr>
        <w:t>This</w:t>
      </w:r>
      <w:r>
        <w:rPr>
          <w:color w:val="231F20"/>
          <w:spacing w:val="11"/>
        </w:rPr>
        <w:t> </w:t>
      </w:r>
      <w:r>
        <w:rPr>
          <w:color w:val="231F20"/>
        </w:rPr>
        <w:t>causes</w:t>
      </w:r>
      <w:r>
        <w:rPr>
          <w:color w:val="231F20"/>
          <w:spacing w:val="11"/>
        </w:rPr>
        <w:t> </w:t>
      </w:r>
      <w:r>
        <w:rPr>
          <w:color w:val="231F20"/>
        </w:rPr>
        <w:t>the</w:t>
      </w:r>
      <w:r>
        <w:rPr>
          <w:color w:val="231F20"/>
          <w:spacing w:val="11"/>
        </w:rPr>
        <w:t> </w:t>
      </w:r>
      <w:r>
        <w:rPr>
          <w:color w:val="231F20"/>
        </w:rPr>
        <w:t>attribute</w:t>
      </w:r>
      <w:r>
        <w:rPr>
          <w:color w:val="231F20"/>
          <w:spacing w:val="11"/>
        </w:rPr>
        <w:t> </w:t>
      </w:r>
      <w:r>
        <w:rPr>
          <w:color w:val="231F20"/>
        </w:rPr>
        <w:t>selection</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rPr>
        <w:t>last</w:t>
      </w:r>
      <w:r>
        <w:rPr>
          <w:color w:val="231F20"/>
          <w:spacing w:val="11"/>
        </w:rPr>
        <w:t> </w:t>
      </w:r>
      <w:r>
        <w:rPr>
          <w:color w:val="231F20"/>
        </w:rPr>
        <w:t>rows</w:t>
      </w:r>
      <w:r>
        <w:rPr>
          <w:color w:val="231F20"/>
          <w:spacing w:val="11"/>
        </w:rPr>
        <w:t> </w:t>
      </w:r>
      <w:r>
        <w:rPr>
          <w:color w:val="231F20"/>
          <w:spacing w:val="-2"/>
        </w:rPr>
        <w:t>returned.</w:t>
      </w:r>
    </w:p>
    <w:p>
      <w:pPr>
        <w:spacing w:after="0"/>
        <w:sectPr>
          <w:type w:val="continuous"/>
          <w:pgSz w:w="12240" w:h="15840"/>
          <w:pgMar w:header="0" w:footer="736" w:top="0" w:bottom="4660" w:left="1000" w:right="1060"/>
          <w:cols w:num="2" w:equalWidth="0">
            <w:col w:w="2866" w:space="40"/>
            <w:col w:w="7274"/>
          </w:cols>
        </w:sectPr>
      </w:pPr>
    </w:p>
    <w:p>
      <w:pPr>
        <w:pStyle w:val="Heading5"/>
        <w:spacing w:before="212"/>
        <w:ind w:left="2232"/>
      </w:pPr>
      <w:r>
        <w:rPr>
          <w:color w:val="231F20"/>
          <w:spacing w:val="-2"/>
        </w:rPr>
        <w:t>Example</w:t>
      </w:r>
    </w:p>
    <w:p>
      <w:pPr>
        <w:pStyle w:val="BodyText"/>
        <w:spacing w:line="216" w:lineRule="auto" w:before="244"/>
        <w:ind w:left="2232" w:right="491"/>
        <w:jc w:val="both"/>
      </w:pPr>
      <w:r>
        <w:rPr>
          <w:color w:val="231F20"/>
        </w:rPr>
        <w:t>This example is a table view that shows the results of selecting the top 5 processes</w:t>
      </w:r>
      <w:r>
        <w:rPr>
          <w:color w:val="231F20"/>
          <w:spacing w:val="80"/>
        </w:rPr>
        <w:t> </w:t>
      </w:r>
      <w:r>
        <w:rPr>
          <w:color w:val="231F20"/>
        </w:rPr>
        <w:t>in descending order, based on the Working Set attribute: Sort by </w:t>
      </w:r>
      <w:r>
        <w:rPr>
          <w:color w:val="231F20"/>
          <w:spacing w:val="15"/>
          <w:position w:val="-1"/>
        </w:rPr>
        <w:drawing>
          <wp:inline distT="0" distB="0" distL="0" distR="0">
            <wp:extent cx="101600" cy="101600"/>
            <wp:effectExtent l="0" t="0" r="0" b="0"/>
            <wp:docPr id="984" name="Image 984"/>
            <wp:cNvGraphicFramePr>
              <a:graphicFrameLocks/>
            </wp:cNvGraphicFramePr>
            <a:graphic>
              <a:graphicData uri="http://schemas.openxmlformats.org/drawingml/2006/picture">
                <pic:pic>
                  <pic:nvPicPr>
                    <pic:cNvPr id="984" name="Image 984"/>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Working Set </w:t>
      </w:r>
      <w:r>
        <w:rPr>
          <w:color w:val="231F20"/>
          <w:spacing w:val="16"/>
        </w:rPr>
        <w:drawing>
          <wp:inline distT="0" distB="0" distL="0" distR="0">
            <wp:extent cx="88900" cy="82550"/>
            <wp:effectExtent l="0" t="0" r="0" b="0"/>
            <wp:docPr id="985" name="Image 985"/>
            <wp:cNvGraphicFramePr>
              <a:graphicFrameLocks/>
            </wp:cNvGraphicFramePr>
            <a:graphic>
              <a:graphicData uri="http://schemas.openxmlformats.org/drawingml/2006/picture">
                <pic:pic>
                  <pic:nvPicPr>
                    <pic:cNvPr id="985" name="Image 98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Descending</w:t>
      </w:r>
      <w:r>
        <w:rPr>
          <w:color w:val="231F20"/>
        </w:rPr>
        <w:t>; </w:t>
      </w:r>
      <w:r>
        <w:rPr>
          <w:color w:val="231F20"/>
          <w:spacing w:val="16"/>
        </w:rPr>
        <w:drawing>
          <wp:inline distT="0" distB="0" distL="0" distR="0">
            <wp:extent cx="88900" cy="82550"/>
            <wp:effectExtent l="0" t="0" r="0" b="0"/>
            <wp:docPr id="986" name="Image 986"/>
            <wp:cNvGraphicFramePr>
              <a:graphicFrameLocks/>
            </wp:cNvGraphicFramePr>
            <a:graphic>
              <a:graphicData uri="http://schemas.openxmlformats.org/drawingml/2006/picture">
                <pic:pic>
                  <pic:nvPicPr>
                    <pic:cNvPr id="986" name="Image 98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First </w:t>
      </w:r>
      <w:r>
        <w:rPr>
          <w:color w:val="231F20"/>
        </w:rPr>
        <w:t>5.</w:t>
      </w:r>
    </w:p>
    <w:p>
      <w:pPr>
        <w:pStyle w:val="BodyText"/>
        <w:spacing w:before="2"/>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76"/>
        <w:gridCol w:w="1891"/>
        <w:gridCol w:w="1891"/>
        <w:gridCol w:w="1876"/>
      </w:tblGrid>
      <w:tr>
        <w:trPr>
          <w:trHeight w:val="274" w:hRule="atLeast"/>
        </w:trPr>
        <w:tc>
          <w:tcPr>
            <w:tcW w:w="1876" w:type="dxa"/>
          </w:tcPr>
          <w:p>
            <w:pPr>
              <w:pStyle w:val="TableParagraph"/>
              <w:spacing w:before="10"/>
              <w:ind w:left="44"/>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891" w:type="dxa"/>
          </w:tcPr>
          <w:p>
            <w:pPr>
              <w:pStyle w:val="TableParagraph"/>
              <w:spacing w:before="10"/>
              <w:rPr>
                <w:rFonts w:ascii="Book Antiqua"/>
                <w:b/>
                <w:sz w:val="18"/>
              </w:rPr>
            </w:pPr>
            <w:r>
              <w:rPr>
                <w:rFonts w:ascii="Book Antiqua"/>
                <w:b/>
                <w:color w:val="231F20"/>
                <w:sz w:val="18"/>
              </w:rPr>
              <w:t>Virtual</w:t>
            </w:r>
            <w:r>
              <w:rPr>
                <w:rFonts w:ascii="Book Antiqua"/>
                <w:b/>
                <w:color w:val="231F20"/>
                <w:spacing w:val="-2"/>
                <w:sz w:val="18"/>
              </w:rPr>
              <w:t> </w:t>
            </w:r>
            <w:r>
              <w:rPr>
                <w:rFonts w:ascii="Book Antiqua"/>
                <w:b/>
                <w:color w:val="231F20"/>
                <w:spacing w:val="-4"/>
                <w:sz w:val="18"/>
              </w:rPr>
              <w:t>Bytes</w:t>
            </w:r>
          </w:p>
        </w:tc>
        <w:tc>
          <w:tcPr>
            <w:tcW w:w="1891" w:type="dxa"/>
          </w:tcPr>
          <w:p>
            <w:pPr>
              <w:pStyle w:val="TableParagraph"/>
              <w:spacing w:before="10"/>
              <w:rPr>
                <w:rFonts w:ascii="Book Antiqua"/>
                <w:b/>
                <w:sz w:val="18"/>
              </w:rPr>
            </w:pPr>
            <w:r>
              <w:rPr>
                <w:rFonts w:ascii="Book Antiqua"/>
                <w:b/>
                <w:color w:val="231F20"/>
                <w:sz w:val="18"/>
              </w:rPr>
              <w:t>Page</w:t>
            </w:r>
            <w:r>
              <w:rPr>
                <w:rFonts w:ascii="Book Antiqua"/>
                <w:b/>
                <w:color w:val="231F20"/>
                <w:spacing w:val="8"/>
                <w:sz w:val="18"/>
              </w:rPr>
              <w:t> </w:t>
            </w:r>
            <w:r>
              <w:rPr>
                <w:rFonts w:ascii="Book Antiqua"/>
                <w:b/>
                <w:color w:val="231F20"/>
                <w:sz w:val="18"/>
              </w:rPr>
              <w:t>File</w:t>
            </w:r>
            <w:r>
              <w:rPr>
                <w:rFonts w:ascii="Book Antiqua"/>
                <w:b/>
                <w:color w:val="231F20"/>
                <w:spacing w:val="11"/>
                <w:sz w:val="18"/>
              </w:rPr>
              <w:t> </w:t>
            </w:r>
            <w:r>
              <w:rPr>
                <w:rFonts w:ascii="Book Antiqua"/>
                <w:b/>
                <w:color w:val="231F20"/>
                <w:spacing w:val="-2"/>
                <w:sz w:val="18"/>
              </w:rPr>
              <w:t>Bytes</w:t>
            </w:r>
          </w:p>
        </w:tc>
        <w:tc>
          <w:tcPr>
            <w:tcW w:w="1876" w:type="dxa"/>
          </w:tcPr>
          <w:p>
            <w:pPr>
              <w:pStyle w:val="TableParagraph"/>
              <w:spacing w:before="10"/>
              <w:rPr>
                <w:rFonts w:ascii="Book Antiqua"/>
                <w:b/>
                <w:sz w:val="18"/>
              </w:rPr>
            </w:pPr>
            <w:r>
              <w:rPr>
                <w:rFonts w:ascii="Book Antiqua"/>
                <w:b/>
                <w:color w:val="231F20"/>
                <w:spacing w:val="-2"/>
                <w:sz w:val="18"/>
              </w:rPr>
              <w:t>Working</w:t>
            </w:r>
            <w:r>
              <w:rPr>
                <w:rFonts w:ascii="Book Antiqua"/>
                <w:b/>
                <w:color w:val="231F20"/>
                <w:spacing w:val="6"/>
                <w:sz w:val="18"/>
              </w:rPr>
              <w:t> </w:t>
            </w:r>
            <w:r>
              <w:rPr>
                <w:rFonts w:ascii="Book Antiqua"/>
                <w:b/>
                <w:color w:val="231F20"/>
                <w:spacing w:val="-5"/>
                <w:sz w:val="18"/>
              </w:rPr>
              <w:t>Set</w:t>
            </w:r>
          </w:p>
        </w:tc>
      </w:tr>
      <w:tr>
        <w:trPr>
          <w:trHeight w:val="309" w:hRule="atLeast"/>
        </w:trPr>
        <w:tc>
          <w:tcPr>
            <w:tcW w:w="1876" w:type="dxa"/>
          </w:tcPr>
          <w:p>
            <w:pPr>
              <w:pStyle w:val="TableParagraph"/>
              <w:ind w:left="44"/>
              <w:rPr>
                <w:sz w:val="18"/>
              </w:rPr>
            </w:pPr>
            <w:r>
              <w:rPr>
                <w:color w:val="231F20"/>
                <w:spacing w:val="-4"/>
                <w:sz w:val="18"/>
              </w:rPr>
              <w:t>java</w:t>
            </w:r>
          </w:p>
        </w:tc>
        <w:tc>
          <w:tcPr>
            <w:tcW w:w="1891" w:type="dxa"/>
          </w:tcPr>
          <w:p>
            <w:pPr>
              <w:pStyle w:val="TableParagraph"/>
              <w:rPr>
                <w:sz w:val="18"/>
              </w:rPr>
            </w:pPr>
            <w:r>
              <w:rPr>
                <w:color w:val="231F20"/>
                <w:spacing w:val="-2"/>
                <w:sz w:val="18"/>
              </w:rPr>
              <w:t>411,787,264</w:t>
            </w:r>
          </w:p>
        </w:tc>
        <w:tc>
          <w:tcPr>
            <w:tcW w:w="1891" w:type="dxa"/>
          </w:tcPr>
          <w:p>
            <w:pPr>
              <w:pStyle w:val="TableParagraph"/>
              <w:rPr>
                <w:sz w:val="18"/>
              </w:rPr>
            </w:pPr>
            <w:r>
              <w:rPr>
                <w:color w:val="231F20"/>
                <w:spacing w:val="-2"/>
                <w:sz w:val="18"/>
              </w:rPr>
              <w:t>107,171,840</w:t>
            </w:r>
          </w:p>
        </w:tc>
        <w:tc>
          <w:tcPr>
            <w:tcW w:w="1876" w:type="dxa"/>
          </w:tcPr>
          <w:p>
            <w:pPr>
              <w:pStyle w:val="TableParagraph"/>
              <w:spacing w:before="48"/>
              <w:rPr>
                <w:rFonts w:ascii="Book Antiqua"/>
                <w:i/>
                <w:sz w:val="18"/>
              </w:rPr>
            </w:pPr>
            <w:r>
              <w:rPr>
                <w:rFonts w:ascii="Book Antiqua"/>
                <w:i/>
                <w:color w:val="231F20"/>
                <w:spacing w:val="-2"/>
                <w:sz w:val="18"/>
              </w:rPr>
              <w:t>132,677,632</w:t>
            </w:r>
          </w:p>
        </w:tc>
      </w:tr>
      <w:tr>
        <w:trPr>
          <w:trHeight w:val="309" w:hRule="atLeast"/>
        </w:trPr>
        <w:tc>
          <w:tcPr>
            <w:tcW w:w="1876" w:type="dxa"/>
          </w:tcPr>
          <w:p>
            <w:pPr>
              <w:pStyle w:val="TableParagraph"/>
              <w:ind w:left="44"/>
              <w:rPr>
                <w:sz w:val="18"/>
              </w:rPr>
            </w:pPr>
            <w:r>
              <w:rPr>
                <w:color w:val="231F20"/>
                <w:spacing w:val="-2"/>
                <w:sz w:val="18"/>
              </w:rPr>
              <w:t>javaw</w:t>
            </w:r>
          </w:p>
        </w:tc>
        <w:tc>
          <w:tcPr>
            <w:tcW w:w="1891" w:type="dxa"/>
          </w:tcPr>
          <w:p>
            <w:pPr>
              <w:pStyle w:val="TableParagraph"/>
              <w:rPr>
                <w:sz w:val="18"/>
              </w:rPr>
            </w:pPr>
            <w:r>
              <w:rPr>
                <w:color w:val="231F20"/>
                <w:spacing w:val="-2"/>
                <w:sz w:val="18"/>
              </w:rPr>
              <w:t>669,335,552</w:t>
            </w:r>
          </w:p>
        </w:tc>
        <w:tc>
          <w:tcPr>
            <w:tcW w:w="1891" w:type="dxa"/>
          </w:tcPr>
          <w:p>
            <w:pPr>
              <w:pStyle w:val="TableParagraph"/>
              <w:rPr>
                <w:sz w:val="18"/>
              </w:rPr>
            </w:pPr>
            <w:r>
              <w:rPr>
                <w:color w:val="231F20"/>
                <w:spacing w:val="-2"/>
                <w:sz w:val="18"/>
              </w:rPr>
              <w:t>56,926,208</w:t>
            </w:r>
          </w:p>
        </w:tc>
        <w:tc>
          <w:tcPr>
            <w:tcW w:w="1876" w:type="dxa"/>
          </w:tcPr>
          <w:p>
            <w:pPr>
              <w:pStyle w:val="TableParagraph"/>
              <w:spacing w:before="48"/>
              <w:rPr>
                <w:rFonts w:ascii="Book Antiqua"/>
                <w:i/>
                <w:sz w:val="18"/>
              </w:rPr>
            </w:pPr>
            <w:r>
              <w:rPr>
                <w:rFonts w:ascii="Book Antiqua"/>
                <w:i/>
                <w:color w:val="231F20"/>
                <w:spacing w:val="-2"/>
                <w:sz w:val="18"/>
              </w:rPr>
              <w:t>37,728,256</w:t>
            </w:r>
          </w:p>
        </w:tc>
      </w:tr>
      <w:tr>
        <w:trPr>
          <w:trHeight w:val="309" w:hRule="atLeast"/>
        </w:trPr>
        <w:tc>
          <w:tcPr>
            <w:tcW w:w="1876" w:type="dxa"/>
          </w:tcPr>
          <w:p>
            <w:pPr>
              <w:pStyle w:val="TableParagraph"/>
              <w:ind w:left="44"/>
              <w:rPr>
                <w:sz w:val="18"/>
              </w:rPr>
            </w:pPr>
            <w:r>
              <w:rPr>
                <w:color w:val="231F20"/>
                <w:spacing w:val="-2"/>
                <w:sz w:val="18"/>
              </w:rPr>
              <w:t>svchost</w:t>
            </w:r>
          </w:p>
        </w:tc>
        <w:tc>
          <w:tcPr>
            <w:tcW w:w="1891" w:type="dxa"/>
          </w:tcPr>
          <w:p>
            <w:pPr>
              <w:pStyle w:val="TableParagraph"/>
              <w:rPr>
                <w:sz w:val="18"/>
              </w:rPr>
            </w:pPr>
            <w:r>
              <w:rPr>
                <w:color w:val="231F20"/>
                <w:spacing w:val="-2"/>
                <w:sz w:val="18"/>
              </w:rPr>
              <w:t>137,080,832</w:t>
            </w:r>
          </w:p>
        </w:tc>
        <w:tc>
          <w:tcPr>
            <w:tcW w:w="1891" w:type="dxa"/>
          </w:tcPr>
          <w:p>
            <w:pPr>
              <w:pStyle w:val="TableParagraph"/>
              <w:rPr>
                <w:sz w:val="18"/>
              </w:rPr>
            </w:pPr>
            <w:r>
              <w:rPr>
                <w:color w:val="231F20"/>
                <w:spacing w:val="-2"/>
                <w:sz w:val="18"/>
              </w:rPr>
              <w:t>15,708,160</w:t>
            </w:r>
          </w:p>
        </w:tc>
        <w:tc>
          <w:tcPr>
            <w:tcW w:w="1876" w:type="dxa"/>
          </w:tcPr>
          <w:p>
            <w:pPr>
              <w:pStyle w:val="TableParagraph"/>
              <w:spacing w:before="48"/>
              <w:rPr>
                <w:rFonts w:ascii="Book Antiqua"/>
                <w:i/>
                <w:sz w:val="18"/>
              </w:rPr>
            </w:pPr>
            <w:r>
              <w:rPr>
                <w:rFonts w:ascii="Book Antiqua"/>
                <w:i/>
                <w:color w:val="231F20"/>
                <w:spacing w:val="-2"/>
                <w:sz w:val="18"/>
              </w:rPr>
              <w:t>15,097,856</w:t>
            </w:r>
          </w:p>
        </w:tc>
      </w:tr>
      <w:tr>
        <w:trPr>
          <w:trHeight w:val="309" w:hRule="atLeast"/>
        </w:trPr>
        <w:tc>
          <w:tcPr>
            <w:tcW w:w="1876" w:type="dxa"/>
          </w:tcPr>
          <w:p>
            <w:pPr>
              <w:pStyle w:val="TableParagraph"/>
              <w:ind w:left="44"/>
              <w:rPr>
                <w:sz w:val="18"/>
              </w:rPr>
            </w:pPr>
            <w:r>
              <w:rPr>
                <w:color w:val="231F20"/>
                <w:spacing w:val="-2"/>
                <w:sz w:val="18"/>
              </w:rPr>
              <w:t>kntcma</w:t>
            </w:r>
          </w:p>
        </w:tc>
        <w:tc>
          <w:tcPr>
            <w:tcW w:w="1891" w:type="dxa"/>
          </w:tcPr>
          <w:p>
            <w:pPr>
              <w:pStyle w:val="TableParagraph"/>
              <w:rPr>
                <w:sz w:val="18"/>
              </w:rPr>
            </w:pPr>
            <w:r>
              <w:rPr>
                <w:color w:val="231F20"/>
                <w:spacing w:val="-2"/>
                <w:sz w:val="18"/>
              </w:rPr>
              <w:t>103,129,088</w:t>
            </w:r>
          </w:p>
        </w:tc>
        <w:tc>
          <w:tcPr>
            <w:tcW w:w="1891" w:type="dxa"/>
          </w:tcPr>
          <w:p>
            <w:pPr>
              <w:pStyle w:val="TableParagraph"/>
              <w:rPr>
                <w:sz w:val="18"/>
              </w:rPr>
            </w:pPr>
            <w:r>
              <w:rPr>
                <w:color w:val="231F20"/>
                <w:spacing w:val="-2"/>
                <w:sz w:val="18"/>
              </w:rPr>
              <w:t>12,484,608</w:t>
            </w:r>
          </w:p>
        </w:tc>
        <w:tc>
          <w:tcPr>
            <w:tcW w:w="1876" w:type="dxa"/>
          </w:tcPr>
          <w:p>
            <w:pPr>
              <w:pStyle w:val="TableParagraph"/>
              <w:spacing w:before="48"/>
              <w:rPr>
                <w:rFonts w:ascii="Book Antiqua"/>
                <w:i/>
                <w:sz w:val="18"/>
              </w:rPr>
            </w:pPr>
            <w:r>
              <w:rPr>
                <w:rFonts w:ascii="Book Antiqua"/>
                <w:i/>
                <w:color w:val="231F20"/>
                <w:spacing w:val="-2"/>
                <w:sz w:val="18"/>
              </w:rPr>
              <w:t>9,277,440</w:t>
            </w:r>
          </w:p>
        </w:tc>
      </w:tr>
      <w:tr>
        <w:trPr>
          <w:trHeight w:val="314" w:hRule="atLeast"/>
        </w:trPr>
        <w:tc>
          <w:tcPr>
            <w:tcW w:w="1876" w:type="dxa"/>
          </w:tcPr>
          <w:p>
            <w:pPr>
              <w:pStyle w:val="TableParagraph"/>
              <w:ind w:left="44"/>
              <w:rPr>
                <w:sz w:val="18"/>
              </w:rPr>
            </w:pPr>
            <w:r>
              <w:rPr>
                <w:color w:val="231F20"/>
                <w:spacing w:val="-2"/>
                <w:sz w:val="18"/>
              </w:rPr>
              <w:t>winlogon</w:t>
            </w:r>
          </w:p>
        </w:tc>
        <w:tc>
          <w:tcPr>
            <w:tcW w:w="1891" w:type="dxa"/>
          </w:tcPr>
          <w:p>
            <w:pPr>
              <w:pStyle w:val="TableParagraph"/>
              <w:rPr>
                <w:sz w:val="18"/>
              </w:rPr>
            </w:pPr>
            <w:r>
              <w:rPr>
                <w:color w:val="231F20"/>
                <w:spacing w:val="-2"/>
                <w:sz w:val="18"/>
              </w:rPr>
              <w:t>63,881,216</w:t>
            </w:r>
          </w:p>
        </w:tc>
        <w:tc>
          <w:tcPr>
            <w:tcW w:w="1891" w:type="dxa"/>
          </w:tcPr>
          <w:p>
            <w:pPr>
              <w:pStyle w:val="TableParagraph"/>
              <w:rPr>
                <w:sz w:val="18"/>
              </w:rPr>
            </w:pPr>
            <w:r>
              <w:rPr>
                <w:color w:val="231F20"/>
                <w:spacing w:val="-2"/>
                <w:sz w:val="18"/>
              </w:rPr>
              <w:t>8,871,936</w:t>
            </w:r>
          </w:p>
        </w:tc>
        <w:tc>
          <w:tcPr>
            <w:tcW w:w="1876" w:type="dxa"/>
          </w:tcPr>
          <w:p>
            <w:pPr>
              <w:pStyle w:val="TableParagraph"/>
              <w:spacing w:before="48"/>
              <w:rPr>
                <w:rFonts w:ascii="Book Antiqua"/>
                <w:i/>
                <w:sz w:val="18"/>
              </w:rPr>
            </w:pPr>
            <w:r>
              <w:rPr>
                <w:rFonts w:ascii="Book Antiqua"/>
                <w:i/>
                <w:color w:val="231F20"/>
                <w:spacing w:val="-2"/>
                <w:sz w:val="18"/>
              </w:rPr>
              <w:t>7,200,768</w:t>
            </w:r>
          </w:p>
        </w:tc>
      </w:tr>
    </w:tbl>
    <w:p>
      <w:pPr>
        <w:pStyle w:val="BodyText"/>
        <w:spacing w:before="138"/>
      </w:pPr>
    </w:p>
    <w:p>
      <w:pPr>
        <w:pStyle w:val="BodyText"/>
        <w:spacing w:line="213" w:lineRule="auto"/>
        <w:ind w:left="2232" w:right="1104"/>
      </w:pPr>
      <w:r>
        <w:rPr>
          <w:color w:val="231F20"/>
        </w:rPr>
        <w:t>The original results of a custom Windows Process query are shown </w:t>
      </w:r>
      <w:r>
        <w:rPr>
          <w:color w:val="231F20"/>
        </w:rPr>
        <w:t>for </w:t>
      </w:r>
      <w:r>
        <w:rPr>
          <w:color w:val="231F20"/>
          <w:spacing w:val="-2"/>
        </w:rPr>
        <w:t>comparison.</w:t>
      </w:r>
    </w:p>
    <w:p>
      <w:pPr>
        <w:pStyle w:val="BodyText"/>
        <w:spacing w:before="9"/>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76"/>
        <w:gridCol w:w="1891"/>
        <w:gridCol w:w="1891"/>
        <w:gridCol w:w="1876"/>
      </w:tblGrid>
      <w:tr>
        <w:trPr>
          <w:trHeight w:val="274" w:hRule="atLeast"/>
        </w:trPr>
        <w:tc>
          <w:tcPr>
            <w:tcW w:w="1876" w:type="dxa"/>
          </w:tcPr>
          <w:p>
            <w:pPr>
              <w:pStyle w:val="TableParagraph"/>
              <w:spacing w:before="10"/>
              <w:ind w:left="44"/>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891" w:type="dxa"/>
          </w:tcPr>
          <w:p>
            <w:pPr>
              <w:pStyle w:val="TableParagraph"/>
              <w:spacing w:before="10"/>
              <w:rPr>
                <w:rFonts w:ascii="Book Antiqua"/>
                <w:b/>
                <w:sz w:val="18"/>
              </w:rPr>
            </w:pPr>
            <w:r>
              <w:rPr>
                <w:rFonts w:ascii="Book Antiqua"/>
                <w:b/>
                <w:color w:val="231F20"/>
                <w:sz w:val="18"/>
              </w:rPr>
              <w:t>Virtual</w:t>
            </w:r>
            <w:r>
              <w:rPr>
                <w:rFonts w:ascii="Book Antiqua"/>
                <w:b/>
                <w:color w:val="231F20"/>
                <w:spacing w:val="-2"/>
                <w:sz w:val="18"/>
              </w:rPr>
              <w:t> </w:t>
            </w:r>
            <w:r>
              <w:rPr>
                <w:rFonts w:ascii="Book Antiqua"/>
                <w:b/>
                <w:color w:val="231F20"/>
                <w:spacing w:val="-4"/>
                <w:sz w:val="18"/>
              </w:rPr>
              <w:t>Bytes</w:t>
            </w:r>
          </w:p>
        </w:tc>
        <w:tc>
          <w:tcPr>
            <w:tcW w:w="1891" w:type="dxa"/>
          </w:tcPr>
          <w:p>
            <w:pPr>
              <w:pStyle w:val="TableParagraph"/>
              <w:spacing w:before="10"/>
              <w:rPr>
                <w:rFonts w:ascii="Book Antiqua"/>
                <w:b/>
                <w:sz w:val="18"/>
              </w:rPr>
            </w:pPr>
            <w:r>
              <w:rPr>
                <w:rFonts w:ascii="Book Antiqua"/>
                <w:b/>
                <w:color w:val="231F20"/>
                <w:sz w:val="18"/>
              </w:rPr>
              <w:t>Page</w:t>
            </w:r>
            <w:r>
              <w:rPr>
                <w:rFonts w:ascii="Book Antiqua"/>
                <w:b/>
                <w:color w:val="231F20"/>
                <w:spacing w:val="8"/>
                <w:sz w:val="18"/>
              </w:rPr>
              <w:t> </w:t>
            </w:r>
            <w:r>
              <w:rPr>
                <w:rFonts w:ascii="Book Antiqua"/>
                <w:b/>
                <w:color w:val="231F20"/>
                <w:sz w:val="18"/>
              </w:rPr>
              <w:t>File</w:t>
            </w:r>
            <w:r>
              <w:rPr>
                <w:rFonts w:ascii="Book Antiqua"/>
                <w:b/>
                <w:color w:val="231F20"/>
                <w:spacing w:val="11"/>
                <w:sz w:val="18"/>
              </w:rPr>
              <w:t> </w:t>
            </w:r>
            <w:r>
              <w:rPr>
                <w:rFonts w:ascii="Book Antiqua"/>
                <w:b/>
                <w:color w:val="231F20"/>
                <w:spacing w:val="-2"/>
                <w:sz w:val="18"/>
              </w:rPr>
              <w:t>Bytes</w:t>
            </w:r>
          </w:p>
        </w:tc>
        <w:tc>
          <w:tcPr>
            <w:tcW w:w="1876" w:type="dxa"/>
          </w:tcPr>
          <w:p>
            <w:pPr>
              <w:pStyle w:val="TableParagraph"/>
              <w:spacing w:before="10"/>
              <w:rPr>
                <w:rFonts w:ascii="Book Antiqua"/>
                <w:b/>
                <w:sz w:val="18"/>
              </w:rPr>
            </w:pPr>
            <w:r>
              <w:rPr>
                <w:rFonts w:ascii="Book Antiqua"/>
                <w:b/>
                <w:color w:val="231F20"/>
                <w:spacing w:val="-2"/>
                <w:sz w:val="18"/>
              </w:rPr>
              <w:t>Working</w:t>
            </w:r>
            <w:r>
              <w:rPr>
                <w:rFonts w:ascii="Book Antiqua"/>
                <w:b/>
                <w:color w:val="231F20"/>
                <w:spacing w:val="6"/>
                <w:sz w:val="18"/>
              </w:rPr>
              <w:t> </w:t>
            </w:r>
            <w:r>
              <w:rPr>
                <w:rFonts w:ascii="Book Antiqua"/>
                <w:b/>
                <w:color w:val="231F20"/>
                <w:spacing w:val="-5"/>
                <w:sz w:val="18"/>
              </w:rPr>
              <w:t>Set</w:t>
            </w:r>
          </w:p>
        </w:tc>
      </w:tr>
      <w:tr>
        <w:trPr>
          <w:trHeight w:val="309" w:hRule="atLeast"/>
        </w:trPr>
        <w:tc>
          <w:tcPr>
            <w:tcW w:w="1876" w:type="dxa"/>
          </w:tcPr>
          <w:p>
            <w:pPr>
              <w:pStyle w:val="TableParagraph"/>
              <w:ind w:left="44"/>
              <w:rPr>
                <w:sz w:val="18"/>
              </w:rPr>
            </w:pPr>
            <w:r>
              <w:rPr>
                <w:color w:val="231F20"/>
                <w:spacing w:val="-4"/>
                <w:sz w:val="18"/>
              </w:rPr>
              <w:t>smss</w:t>
            </w:r>
          </w:p>
        </w:tc>
        <w:tc>
          <w:tcPr>
            <w:tcW w:w="1891" w:type="dxa"/>
          </w:tcPr>
          <w:p>
            <w:pPr>
              <w:pStyle w:val="TableParagraph"/>
              <w:rPr>
                <w:sz w:val="18"/>
              </w:rPr>
            </w:pPr>
            <w:r>
              <w:rPr>
                <w:color w:val="231F20"/>
                <w:spacing w:val="-2"/>
                <w:sz w:val="18"/>
              </w:rPr>
              <w:t>3,895,296</w:t>
            </w:r>
          </w:p>
        </w:tc>
        <w:tc>
          <w:tcPr>
            <w:tcW w:w="1891" w:type="dxa"/>
          </w:tcPr>
          <w:p>
            <w:pPr>
              <w:pStyle w:val="TableParagraph"/>
              <w:rPr>
                <w:sz w:val="18"/>
              </w:rPr>
            </w:pPr>
            <w:r>
              <w:rPr>
                <w:color w:val="231F20"/>
                <w:spacing w:val="-2"/>
                <w:sz w:val="18"/>
              </w:rPr>
              <w:t>184,320</w:t>
            </w:r>
          </w:p>
        </w:tc>
        <w:tc>
          <w:tcPr>
            <w:tcW w:w="1876" w:type="dxa"/>
          </w:tcPr>
          <w:p>
            <w:pPr>
              <w:pStyle w:val="TableParagraph"/>
              <w:rPr>
                <w:sz w:val="18"/>
              </w:rPr>
            </w:pPr>
            <w:r>
              <w:rPr>
                <w:color w:val="231F20"/>
                <w:spacing w:val="-2"/>
                <w:sz w:val="18"/>
              </w:rPr>
              <w:t>245,760</w:t>
            </w:r>
          </w:p>
        </w:tc>
      </w:tr>
      <w:tr>
        <w:trPr>
          <w:trHeight w:val="309" w:hRule="atLeast"/>
        </w:trPr>
        <w:tc>
          <w:tcPr>
            <w:tcW w:w="1876" w:type="dxa"/>
          </w:tcPr>
          <w:p>
            <w:pPr>
              <w:pStyle w:val="TableParagraph"/>
              <w:ind w:left="44"/>
              <w:rPr>
                <w:sz w:val="18"/>
              </w:rPr>
            </w:pPr>
            <w:r>
              <w:rPr>
                <w:color w:val="231F20"/>
                <w:spacing w:val="-2"/>
                <w:sz w:val="18"/>
              </w:rPr>
              <w:t>csrss</w:t>
            </w:r>
          </w:p>
        </w:tc>
        <w:tc>
          <w:tcPr>
            <w:tcW w:w="1891" w:type="dxa"/>
          </w:tcPr>
          <w:p>
            <w:pPr>
              <w:pStyle w:val="TableParagraph"/>
              <w:rPr>
                <w:sz w:val="18"/>
              </w:rPr>
            </w:pPr>
            <w:r>
              <w:rPr>
                <w:color w:val="231F20"/>
                <w:spacing w:val="-2"/>
                <w:sz w:val="18"/>
              </w:rPr>
              <w:t>29,405,184</w:t>
            </w:r>
          </w:p>
        </w:tc>
        <w:tc>
          <w:tcPr>
            <w:tcW w:w="1891" w:type="dxa"/>
          </w:tcPr>
          <w:p>
            <w:pPr>
              <w:pStyle w:val="TableParagraph"/>
              <w:rPr>
                <w:sz w:val="18"/>
              </w:rPr>
            </w:pPr>
            <w:r>
              <w:rPr>
                <w:color w:val="231F20"/>
                <w:spacing w:val="-2"/>
                <w:sz w:val="18"/>
              </w:rPr>
              <w:t>2,105,344</w:t>
            </w:r>
          </w:p>
        </w:tc>
        <w:tc>
          <w:tcPr>
            <w:tcW w:w="1876" w:type="dxa"/>
          </w:tcPr>
          <w:p>
            <w:pPr>
              <w:pStyle w:val="TableParagraph"/>
              <w:rPr>
                <w:sz w:val="18"/>
              </w:rPr>
            </w:pPr>
            <w:r>
              <w:rPr>
                <w:color w:val="231F20"/>
                <w:spacing w:val="-2"/>
                <w:sz w:val="18"/>
              </w:rPr>
              <w:t>2,318,336</w:t>
            </w:r>
          </w:p>
        </w:tc>
      </w:tr>
      <w:tr>
        <w:trPr>
          <w:trHeight w:val="309" w:hRule="atLeast"/>
        </w:trPr>
        <w:tc>
          <w:tcPr>
            <w:tcW w:w="1876" w:type="dxa"/>
          </w:tcPr>
          <w:p>
            <w:pPr>
              <w:pStyle w:val="TableParagraph"/>
              <w:ind w:left="44"/>
              <w:rPr>
                <w:sz w:val="18"/>
              </w:rPr>
            </w:pPr>
            <w:r>
              <w:rPr>
                <w:color w:val="231F20"/>
                <w:spacing w:val="-2"/>
                <w:sz w:val="18"/>
              </w:rPr>
              <w:t>winlogon</w:t>
            </w:r>
          </w:p>
        </w:tc>
        <w:tc>
          <w:tcPr>
            <w:tcW w:w="1891" w:type="dxa"/>
          </w:tcPr>
          <w:p>
            <w:pPr>
              <w:pStyle w:val="TableParagraph"/>
              <w:rPr>
                <w:sz w:val="18"/>
              </w:rPr>
            </w:pPr>
            <w:r>
              <w:rPr>
                <w:color w:val="231F20"/>
                <w:spacing w:val="-2"/>
                <w:sz w:val="18"/>
              </w:rPr>
              <w:t>63,881,216</w:t>
            </w:r>
          </w:p>
        </w:tc>
        <w:tc>
          <w:tcPr>
            <w:tcW w:w="1891" w:type="dxa"/>
          </w:tcPr>
          <w:p>
            <w:pPr>
              <w:pStyle w:val="TableParagraph"/>
              <w:rPr>
                <w:sz w:val="18"/>
              </w:rPr>
            </w:pPr>
            <w:r>
              <w:rPr>
                <w:color w:val="231F20"/>
                <w:spacing w:val="-2"/>
                <w:sz w:val="18"/>
              </w:rPr>
              <w:t>8,871,936</w:t>
            </w:r>
          </w:p>
        </w:tc>
        <w:tc>
          <w:tcPr>
            <w:tcW w:w="1876" w:type="dxa"/>
          </w:tcPr>
          <w:p>
            <w:pPr>
              <w:pStyle w:val="TableParagraph"/>
              <w:rPr>
                <w:sz w:val="18"/>
              </w:rPr>
            </w:pPr>
            <w:r>
              <w:rPr>
                <w:color w:val="231F20"/>
                <w:spacing w:val="-2"/>
                <w:sz w:val="18"/>
              </w:rPr>
              <w:t>7,200,768</w:t>
            </w:r>
          </w:p>
        </w:tc>
      </w:tr>
      <w:tr>
        <w:trPr>
          <w:trHeight w:val="309" w:hRule="atLeast"/>
        </w:trPr>
        <w:tc>
          <w:tcPr>
            <w:tcW w:w="1876" w:type="dxa"/>
          </w:tcPr>
          <w:p>
            <w:pPr>
              <w:pStyle w:val="TableParagraph"/>
              <w:ind w:left="44"/>
              <w:rPr>
                <w:sz w:val="18"/>
              </w:rPr>
            </w:pPr>
            <w:r>
              <w:rPr>
                <w:color w:val="231F20"/>
                <w:spacing w:val="-2"/>
                <w:sz w:val="18"/>
              </w:rPr>
              <w:t>services</w:t>
            </w:r>
          </w:p>
        </w:tc>
        <w:tc>
          <w:tcPr>
            <w:tcW w:w="1891" w:type="dxa"/>
          </w:tcPr>
          <w:p>
            <w:pPr>
              <w:pStyle w:val="TableParagraph"/>
              <w:rPr>
                <w:sz w:val="18"/>
              </w:rPr>
            </w:pPr>
            <w:r>
              <w:rPr>
                <w:color w:val="231F20"/>
                <w:spacing w:val="-2"/>
                <w:sz w:val="18"/>
              </w:rPr>
              <w:t>37,478,400</w:t>
            </w:r>
          </w:p>
        </w:tc>
        <w:tc>
          <w:tcPr>
            <w:tcW w:w="1891" w:type="dxa"/>
          </w:tcPr>
          <w:p>
            <w:pPr>
              <w:pStyle w:val="TableParagraph"/>
              <w:rPr>
                <w:sz w:val="18"/>
              </w:rPr>
            </w:pPr>
            <w:r>
              <w:rPr>
                <w:color w:val="231F20"/>
                <w:spacing w:val="-2"/>
                <w:sz w:val="18"/>
              </w:rPr>
              <w:t>2,117,632</w:t>
            </w:r>
          </w:p>
        </w:tc>
        <w:tc>
          <w:tcPr>
            <w:tcW w:w="1876" w:type="dxa"/>
          </w:tcPr>
          <w:p>
            <w:pPr>
              <w:pStyle w:val="TableParagraph"/>
              <w:rPr>
                <w:sz w:val="18"/>
              </w:rPr>
            </w:pPr>
            <w:r>
              <w:rPr>
                <w:color w:val="231F20"/>
                <w:spacing w:val="-2"/>
                <w:sz w:val="18"/>
              </w:rPr>
              <w:t>1,945,600</w:t>
            </w:r>
          </w:p>
        </w:tc>
      </w:tr>
      <w:tr>
        <w:trPr>
          <w:trHeight w:val="309" w:hRule="atLeast"/>
        </w:trPr>
        <w:tc>
          <w:tcPr>
            <w:tcW w:w="1876" w:type="dxa"/>
          </w:tcPr>
          <w:p>
            <w:pPr>
              <w:pStyle w:val="TableParagraph"/>
              <w:ind w:left="44"/>
              <w:rPr>
                <w:sz w:val="18"/>
              </w:rPr>
            </w:pPr>
            <w:r>
              <w:rPr>
                <w:color w:val="231F20"/>
                <w:spacing w:val="-2"/>
                <w:sz w:val="18"/>
              </w:rPr>
              <w:t>lsass</w:t>
            </w:r>
          </w:p>
        </w:tc>
        <w:tc>
          <w:tcPr>
            <w:tcW w:w="1891" w:type="dxa"/>
          </w:tcPr>
          <w:p>
            <w:pPr>
              <w:pStyle w:val="TableParagraph"/>
              <w:rPr>
                <w:sz w:val="18"/>
              </w:rPr>
            </w:pPr>
            <w:r>
              <w:rPr>
                <w:color w:val="231F20"/>
                <w:spacing w:val="-2"/>
                <w:sz w:val="18"/>
              </w:rPr>
              <w:t>42,614,784</w:t>
            </w:r>
          </w:p>
        </w:tc>
        <w:tc>
          <w:tcPr>
            <w:tcW w:w="1891" w:type="dxa"/>
          </w:tcPr>
          <w:p>
            <w:pPr>
              <w:pStyle w:val="TableParagraph"/>
              <w:rPr>
                <w:sz w:val="18"/>
              </w:rPr>
            </w:pPr>
            <w:r>
              <w:rPr>
                <w:color w:val="231F20"/>
                <w:spacing w:val="-2"/>
                <w:sz w:val="18"/>
              </w:rPr>
              <w:t>3,899,392</w:t>
            </w:r>
          </w:p>
        </w:tc>
        <w:tc>
          <w:tcPr>
            <w:tcW w:w="1876" w:type="dxa"/>
          </w:tcPr>
          <w:p>
            <w:pPr>
              <w:pStyle w:val="TableParagraph"/>
              <w:rPr>
                <w:sz w:val="18"/>
              </w:rPr>
            </w:pPr>
            <w:r>
              <w:rPr>
                <w:color w:val="231F20"/>
                <w:spacing w:val="-2"/>
                <w:sz w:val="18"/>
              </w:rPr>
              <w:t>2,277,376</w:t>
            </w:r>
          </w:p>
        </w:tc>
      </w:tr>
      <w:tr>
        <w:trPr>
          <w:trHeight w:val="309" w:hRule="atLeast"/>
        </w:trPr>
        <w:tc>
          <w:tcPr>
            <w:tcW w:w="1876" w:type="dxa"/>
          </w:tcPr>
          <w:p>
            <w:pPr>
              <w:pStyle w:val="TableParagraph"/>
              <w:ind w:left="44"/>
              <w:rPr>
                <w:sz w:val="18"/>
              </w:rPr>
            </w:pPr>
            <w:r>
              <w:rPr>
                <w:color w:val="231F20"/>
                <w:spacing w:val="-2"/>
                <w:sz w:val="18"/>
              </w:rPr>
              <w:t>svchost</w:t>
            </w:r>
          </w:p>
        </w:tc>
        <w:tc>
          <w:tcPr>
            <w:tcW w:w="1891" w:type="dxa"/>
          </w:tcPr>
          <w:p>
            <w:pPr>
              <w:pStyle w:val="TableParagraph"/>
              <w:rPr>
                <w:sz w:val="18"/>
              </w:rPr>
            </w:pPr>
            <w:r>
              <w:rPr>
                <w:color w:val="231F20"/>
                <w:spacing w:val="-2"/>
                <w:sz w:val="18"/>
              </w:rPr>
              <w:t>64,270,336</w:t>
            </w:r>
          </w:p>
        </w:tc>
        <w:tc>
          <w:tcPr>
            <w:tcW w:w="1891" w:type="dxa"/>
          </w:tcPr>
          <w:p>
            <w:pPr>
              <w:pStyle w:val="TableParagraph"/>
              <w:rPr>
                <w:sz w:val="18"/>
              </w:rPr>
            </w:pPr>
            <w:r>
              <w:rPr>
                <w:color w:val="231F20"/>
                <w:spacing w:val="-2"/>
                <w:sz w:val="18"/>
              </w:rPr>
              <w:t>2,916,352</w:t>
            </w:r>
          </w:p>
        </w:tc>
        <w:tc>
          <w:tcPr>
            <w:tcW w:w="1876" w:type="dxa"/>
          </w:tcPr>
          <w:p>
            <w:pPr>
              <w:pStyle w:val="TableParagraph"/>
              <w:rPr>
                <w:sz w:val="18"/>
              </w:rPr>
            </w:pPr>
            <w:r>
              <w:rPr>
                <w:color w:val="231F20"/>
                <w:spacing w:val="-2"/>
                <w:sz w:val="18"/>
              </w:rPr>
              <w:t>2,285,568</w:t>
            </w:r>
          </w:p>
        </w:tc>
      </w:tr>
      <w:tr>
        <w:trPr>
          <w:trHeight w:val="309" w:hRule="atLeast"/>
        </w:trPr>
        <w:tc>
          <w:tcPr>
            <w:tcW w:w="1876" w:type="dxa"/>
          </w:tcPr>
          <w:p>
            <w:pPr>
              <w:pStyle w:val="TableParagraph"/>
              <w:ind w:left="44"/>
              <w:rPr>
                <w:sz w:val="18"/>
              </w:rPr>
            </w:pPr>
            <w:r>
              <w:rPr>
                <w:color w:val="231F20"/>
                <w:spacing w:val="-2"/>
                <w:sz w:val="18"/>
              </w:rPr>
              <w:t>svchost</w:t>
            </w:r>
          </w:p>
        </w:tc>
        <w:tc>
          <w:tcPr>
            <w:tcW w:w="1891" w:type="dxa"/>
          </w:tcPr>
          <w:p>
            <w:pPr>
              <w:pStyle w:val="TableParagraph"/>
              <w:rPr>
                <w:sz w:val="18"/>
              </w:rPr>
            </w:pPr>
            <w:r>
              <w:rPr>
                <w:color w:val="231F20"/>
                <w:spacing w:val="-2"/>
                <w:sz w:val="18"/>
              </w:rPr>
              <w:t>137,080,832</w:t>
            </w:r>
          </w:p>
        </w:tc>
        <w:tc>
          <w:tcPr>
            <w:tcW w:w="1891" w:type="dxa"/>
          </w:tcPr>
          <w:p>
            <w:pPr>
              <w:pStyle w:val="TableParagraph"/>
              <w:rPr>
                <w:sz w:val="18"/>
              </w:rPr>
            </w:pPr>
            <w:r>
              <w:rPr>
                <w:color w:val="231F20"/>
                <w:spacing w:val="-2"/>
                <w:sz w:val="18"/>
              </w:rPr>
              <w:t>15,708,160</w:t>
            </w:r>
          </w:p>
        </w:tc>
        <w:tc>
          <w:tcPr>
            <w:tcW w:w="1876" w:type="dxa"/>
          </w:tcPr>
          <w:p>
            <w:pPr>
              <w:pStyle w:val="TableParagraph"/>
              <w:rPr>
                <w:sz w:val="18"/>
              </w:rPr>
            </w:pPr>
            <w:r>
              <w:rPr>
                <w:color w:val="231F20"/>
                <w:spacing w:val="-2"/>
                <w:sz w:val="18"/>
              </w:rPr>
              <w:t>15,097,856</w:t>
            </w:r>
          </w:p>
        </w:tc>
      </w:tr>
      <w:tr>
        <w:trPr>
          <w:trHeight w:val="309" w:hRule="atLeast"/>
        </w:trPr>
        <w:tc>
          <w:tcPr>
            <w:tcW w:w="1876" w:type="dxa"/>
          </w:tcPr>
          <w:p>
            <w:pPr>
              <w:pStyle w:val="TableParagraph"/>
              <w:ind w:left="44"/>
              <w:rPr>
                <w:sz w:val="18"/>
              </w:rPr>
            </w:pPr>
            <w:r>
              <w:rPr>
                <w:color w:val="231F20"/>
                <w:spacing w:val="-2"/>
                <w:sz w:val="18"/>
              </w:rPr>
              <w:t>svchost</w:t>
            </w:r>
          </w:p>
        </w:tc>
        <w:tc>
          <w:tcPr>
            <w:tcW w:w="1891" w:type="dxa"/>
          </w:tcPr>
          <w:p>
            <w:pPr>
              <w:pStyle w:val="TableParagraph"/>
              <w:rPr>
                <w:sz w:val="18"/>
              </w:rPr>
            </w:pPr>
            <w:r>
              <w:rPr>
                <w:color w:val="231F20"/>
                <w:spacing w:val="-2"/>
                <w:sz w:val="18"/>
              </w:rPr>
              <w:t>30,408,704</w:t>
            </w:r>
          </w:p>
        </w:tc>
        <w:tc>
          <w:tcPr>
            <w:tcW w:w="1891" w:type="dxa"/>
          </w:tcPr>
          <w:p>
            <w:pPr>
              <w:pStyle w:val="TableParagraph"/>
              <w:rPr>
                <w:sz w:val="18"/>
              </w:rPr>
            </w:pPr>
            <w:r>
              <w:rPr>
                <w:color w:val="231F20"/>
                <w:spacing w:val="-2"/>
                <w:sz w:val="18"/>
              </w:rPr>
              <w:t>1,323,008</w:t>
            </w:r>
          </w:p>
        </w:tc>
        <w:tc>
          <w:tcPr>
            <w:tcW w:w="1876" w:type="dxa"/>
          </w:tcPr>
          <w:p>
            <w:pPr>
              <w:pStyle w:val="TableParagraph"/>
              <w:rPr>
                <w:sz w:val="18"/>
              </w:rPr>
            </w:pPr>
            <w:r>
              <w:rPr>
                <w:color w:val="231F20"/>
                <w:spacing w:val="-2"/>
                <w:sz w:val="18"/>
              </w:rPr>
              <w:t>1,392,640</w:t>
            </w:r>
          </w:p>
        </w:tc>
      </w:tr>
      <w:tr>
        <w:trPr>
          <w:trHeight w:val="309" w:hRule="atLeast"/>
        </w:trPr>
        <w:tc>
          <w:tcPr>
            <w:tcW w:w="1876" w:type="dxa"/>
          </w:tcPr>
          <w:p>
            <w:pPr>
              <w:pStyle w:val="TableParagraph"/>
              <w:ind w:left="44"/>
              <w:rPr>
                <w:sz w:val="18"/>
              </w:rPr>
            </w:pPr>
            <w:r>
              <w:rPr>
                <w:color w:val="231F20"/>
                <w:spacing w:val="-2"/>
                <w:sz w:val="18"/>
              </w:rPr>
              <w:t>svchost</w:t>
            </w:r>
          </w:p>
        </w:tc>
        <w:tc>
          <w:tcPr>
            <w:tcW w:w="1891" w:type="dxa"/>
          </w:tcPr>
          <w:p>
            <w:pPr>
              <w:pStyle w:val="TableParagraph"/>
              <w:rPr>
                <w:sz w:val="18"/>
              </w:rPr>
            </w:pPr>
            <w:r>
              <w:rPr>
                <w:color w:val="231F20"/>
                <w:spacing w:val="-2"/>
                <w:sz w:val="18"/>
              </w:rPr>
              <w:t>37,830,656</w:t>
            </w:r>
          </w:p>
        </w:tc>
        <w:tc>
          <w:tcPr>
            <w:tcW w:w="1891" w:type="dxa"/>
          </w:tcPr>
          <w:p>
            <w:pPr>
              <w:pStyle w:val="TableParagraph"/>
              <w:rPr>
                <w:sz w:val="18"/>
              </w:rPr>
            </w:pPr>
            <w:r>
              <w:rPr>
                <w:color w:val="231F20"/>
                <w:spacing w:val="-2"/>
                <w:sz w:val="18"/>
              </w:rPr>
              <w:t>1,708,032</w:t>
            </w:r>
          </w:p>
        </w:tc>
        <w:tc>
          <w:tcPr>
            <w:tcW w:w="1876" w:type="dxa"/>
          </w:tcPr>
          <w:p>
            <w:pPr>
              <w:pStyle w:val="TableParagraph"/>
              <w:rPr>
                <w:sz w:val="18"/>
              </w:rPr>
            </w:pPr>
            <w:r>
              <w:rPr>
                <w:color w:val="231F20"/>
                <w:spacing w:val="-2"/>
                <w:sz w:val="18"/>
              </w:rPr>
              <w:t>1,642,496</w:t>
            </w:r>
          </w:p>
        </w:tc>
      </w:tr>
      <w:tr>
        <w:trPr>
          <w:trHeight w:val="309" w:hRule="atLeast"/>
        </w:trPr>
        <w:tc>
          <w:tcPr>
            <w:tcW w:w="1876" w:type="dxa"/>
          </w:tcPr>
          <w:p>
            <w:pPr>
              <w:pStyle w:val="TableParagraph"/>
              <w:ind w:left="44"/>
              <w:rPr>
                <w:sz w:val="18"/>
              </w:rPr>
            </w:pPr>
            <w:r>
              <w:rPr>
                <w:color w:val="231F20"/>
                <w:spacing w:val="-2"/>
                <w:sz w:val="18"/>
              </w:rPr>
              <w:t>spoolsv</w:t>
            </w:r>
          </w:p>
        </w:tc>
        <w:tc>
          <w:tcPr>
            <w:tcW w:w="1891" w:type="dxa"/>
          </w:tcPr>
          <w:p>
            <w:pPr>
              <w:pStyle w:val="TableParagraph"/>
              <w:rPr>
                <w:sz w:val="18"/>
              </w:rPr>
            </w:pPr>
            <w:r>
              <w:rPr>
                <w:color w:val="231F20"/>
                <w:spacing w:val="-2"/>
                <w:sz w:val="18"/>
              </w:rPr>
              <w:t>44,396,544</w:t>
            </w:r>
          </w:p>
        </w:tc>
        <w:tc>
          <w:tcPr>
            <w:tcW w:w="1891" w:type="dxa"/>
          </w:tcPr>
          <w:p>
            <w:pPr>
              <w:pStyle w:val="TableParagraph"/>
              <w:rPr>
                <w:sz w:val="18"/>
              </w:rPr>
            </w:pPr>
            <w:r>
              <w:rPr>
                <w:color w:val="231F20"/>
                <w:spacing w:val="-2"/>
                <w:sz w:val="18"/>
              </w:rPr>
              <w:t>3,563,520</w:t>
            </w:r>
          </w:p>
        </w:tc>
        <w:tc>
          <w:tcPr>
            <w:tcW w:w="1876" w:type="dxa"/>
          </w:tcPr>
          <w:p>
            <w:pPr>
              <w:pStyle w:val="TableParagraph"/>
              <w:rPr>
                <w:sz w:val="18"/>
              </w:rPr>
            </w:pPr>
            <w:r>
              <w:rPr>
                <w:color w:val="231F20"/>
                <w:spacing w:val="-2"/>
                <w:sz w:val="18"/>
              </w:rPr>
              <w:t>2,973,472</w:t>
            </w:r>
          </w:p>
        </w:tc>
      </w:tr>
      <w:tr>
        <w:trPr>
          <w:trHeight w:val="309" w:hRule="atLeast"/>
        </w:trPr>
        <w:tc>
          <w:tcPr>
            <w:tcW w:w="1876" w:type="dxa"/>
          </w:tcPr>
          <w:p>
            <w:pPr>
              <w:pStyle w:val="TableParagraph"/>
              <w:ind w:left="44"/>
              <w:rPr>
                <w:sz w:val="18"/>
              </w:rPr>
            </w:pPr>
            <w:r>
              <w:rPr>
                <w:color w:val="231F20"/>
                <w:spacing w:val="-2"/>
                <w:sz w:val="18"/>
              </w:rPr>
              <w:t>jservice</w:t>
            </w:r>
          </w:p>
        </w:tc>
        <w:tc>
          <w:tcPr>
            <w:tcW w:w="1891" w:type="dxa"/>
          </w:tcPr>
          <w:p>
            <w:pPr>
              <w:pStyle w:val="TableParagraph"/>
              <w:rPr>
                <w:sz w:val="18"/>
              </w:rPr>
            </w:pPr>
            <w:r>
              <w:rPr>
                <w:color w:val="231F20"/>
                <w:spacing w:val="-2"/>
                <w:sz w:val="18"/>
              </w:rPr>
              <w:t>621,842,432</w:t>
            </w:r>
          </w:p>
        </w:tc>
        <w:tc>
          <w:tcPr>
            <w:tcW w:w="1891" w:type="dxa"/>
          </w:tcPr>
          <w:p>
            <w:pPr>
              <w:pStyle w:val="TableParagraph"/>
              <w:rPr>
                <w:sz w:val="18"/>
              </w:rPr>
            </w:pPr>
            <w:r>
              <w:rPr>
                <w:color w:val="231F20"/>
                <w:spacing w:val="-2"/>
                <w:sz w:val="18"/>
              </w:rPr>
              <w:t>16,556,032</w:t>
            </w:r>
          </w:p>
        </w:tc>
        <w:tc>
          <w:tcPr>
            <w:tcW w:w="1876" w:type="dxa"/>
          </w:tcPr>
          <w:p>
            <w:pPr>
              <w:pStyle w:val="TableParagraph"/>
              <w:rPr>
                <w:sz w:val="18"/>
              </w:rPr>
            </w:pPr>
            <w:r>
              <w:rPr>
                <w:color w:val="231F20"/>
                <w:spacing w:val="-2"/>
                <w:sz w:val="18"/>
              </w:rPr>
              <w:t>4,227,072</w:t>
            </w:r>
          </w:p>
        </w:tc>
      </w:tr>
      <w:tr>
        <w:trPr>
          <w:trHeight w:val="314" w:hRule="atLeast"/>
        </w:trPr>
        <w:tc>
          <w:tcPr>
            <w:tcW w:w="1876" w:type="dxa"/>
          </w:tcPr>
          <w:p>
            <w:pPr>
              <w:pStyle w:val="TableParagraph"/>
              <w:ind w:left="44"/>
              <w:rPr>
                <w:sz w:val="18"/>
              </w:rPr>
            </w:pPr>
            <w:r>
              <w:rPr>
                <w:color w:val="231F20"/>
                <w:spacing w:val="-2"/>
                <w:sz w:val="18"/>
              </w:rPr>
              <w:t>ccEvtMgr</w:t>
            </w:r>
          </w:p>
        </w:tc>
        <w:tc>
          <w:tcPr>
            <w:tcW w:w="1891" w:type="dxa"/>
          </w:tcPr>
          <w:p>
            <w:pPr>
              <w:pStyle w:val="TableParagraph"/>
              <w:rPr>
                <w:sz w:val="18"/>
              </w:rPr>
            </w:pPr>
            <w:r>
              <w:rPr>
                <w:color w:val="231F20"/>
                <w:spacing w:val="-2"/>
                <w:sz w:val="18"/>
              </w:rPr>
              <w:t>42,061,824</w:t>
            </w:r>
          </w:p>
        </w:tc>
        <w:tc>
          <w:tcPr>
            <w:tcW w:w="1891" w:type="dxa"/>
          </w:tcPr>
          <w:p>
            <w:pPr>
              <w:pStyle w:val="TableParagraph"/>
              <w:rPr>
                <w:sz w:val="18"/>
              </w:rPr>
            </w:pPr>
            <w:r>
              <w:rPr>
                <w:color w:val="231F20"/>
                <w:spacing w:val="-2"/>
                <w:sz w:val="18"/>
              </w:rPr>
              <w:t>2,551,808</w:t>
            </w:r>
          </w:p>
        </w:tc>
        <w:tc>
          <w:tcPr>
            <w:tcW w:w="1876" w:type="dxa"/>
          </w:tcPr>
          <w:p>
            <w:pPr>
              <w:pStyle w:val="TableParagraph"/>
              <w:rPr>
                <w:sz w:val="18"/>
              </w:rPr>
            </w:pPr>
            <w:r>
              <w:rPr>
                <w:color w:val="231F20"/>
                <w:spacing w:val="-2"/>
                <w:sz w:val="18"/>
              </w:rPr>
              <w:t>438,272</w:t>
            </w:r>
          </w:p>
        </w:tc>
      </w:tr>
    </w:tbl>
    <w:p>
      <w:pPr>
        <w:spacing w:after="0"/>
        <w:rPr>
          <w:sz w:val="18"/>
        </w:rPr>
        <w:sectPr>
          <w:type w:val="continuous"/>
          <w:pgSz w:w="12240" w:h="15840"/>
          <w:pgMar w:header="0" w:footer="736" w:top="0" w:bottom="466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76"/>
        <w:gridCol w:w="1891"/>
        <w:gridCol w:w="1891"/>
        <w:gridCol w:w="1876"/>
      </w:tblGrid>
      <w:tr>
        <w:trPr>
          <w:trHeight w:val="274" w:hRule="atLeast"/>
        </w:trPr>
        <w:tc>
          <w:tcPr>
            <w:tcW w:w="1876" w:type="dxa"/>
          </w:tcPr>
          <w:p>
            <w:pPr>
              <w:pStyle w:val="TableParagraph"/>
              <w:spacing w:before="10"/>
              <w:ind w:left="44"/>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891" w:type="dxa"/>
          </w:tcPr>
          <w:p>
            <w:pPr>
              <w:pStyle w:val="TableParagraph"/>
              <w:spacing w:before="10"/>
              <w:rPr>
                <w:rFonts w:ascii="Book Antiqua"/>
                <w:b/>
                <w:sz w:val="18"/>
              </w:rPr>
            </w:pPr>
            <w:r>
              <w:rPr>
                <w:rFonts w:ascii="Book Antiqua"/>
                <w:b/>
                <w:color w:val="231F20"/>
                <w:sz w:val="18"/>
              </w:rPr>
              <w:t>Virtual</w:t>
            </w:r>
            <w:r>
              <w:rPr>
                <w:rFonts w:ascii="Book Antiqua"/>
                <w:b/>
                <w:color w:val="231F20"/>
                <w:spacing w:val="-2"/>
                <w:sz w:val="18"/>
              </w:rPr>
              <w:t> </w:t>
            </w:r>
            <w:r>
              <w:rPr>
                <w:rFonts w:ascii="Book Antiqua"/>
                <w:b/>
                <w:color w:val="231F20"/>
                <w:spacing w:val="-4"/>
                <w:sz w:val="18"/>
              </w:rPr>
              <w:t>Bytes</w:t>
            </w:r>
          </w:p>
        </w:tc>
        <w:tc>
          <w:tcPr>
            <w:tcW w:w="1891" w:type="dxa"/>
          </w:tcPr>
          <w:p>
            <w:pPr>
              <w:pStyle w:val="TableParagraph"/>
              <w:spacing w:before="10"/>
              <w:rPr>
                <w:rFonts w:ascii="Book Antiqua"/>
                <w:b/>
                <w:sz w:val="18"/>
              </w:rPr>
            </w:pPr>
            <w:r>
              <w:rPr>
                <w:rFonts w:ascii="Book Antiqua"/>
                <w:b/>
                <w:color w:val="231F20"/>
                <w:sz w:val="18"/>
              </w:rPr>
              <w:t>Page</w:t>
            </w:r>
            <w:r>
              <w:rPr>
                <w:rFonts w:ascii="Book Antiqua"/>
                <w:b/>
                <w:color w:val="231F20"/>
                <w:spacing w:val="8"/>
                <w:sz w:val="18"/>
              </w:rPr>
              <w:t> </w:t>
            </w:r>
            <w:r>
              <w:rPr>
                <w:rFonts w:ascii="Book Antiqua"/>
                <w:b/>
                <w:color w:val="231F20"/>
                <w:sz w:val="18"/>
              </w:rPr>
              <w:t>File</w:t>
            </w:r>
            <w:r>
              <w:rPr>
                <w:rFonts w:ascii="Book Antiqua"/>
                <w:b/>
                <w:color w:val="231F20"/>
                <w:spacing w:val="11"/>
                <w:sz w:val="18"/>
              </w:rPr>
              <w:t> </w:t>
            </w:r>
            <w:r>
              <w:rPr>
                <w:rFonts w:ascii="Book Antiqua"/>
                <w:b/>
                <w:color w:val="231F20"/>
                <w:spacing w:val="-2"/>
                <w:sz w:val="18"/>
              </w:rPr>
              <w:t>Bytes</w:t>
            </w:r>
          </w:p>
        </w:tc>
        <w:tc>
          <w:tcPr>
            <w:tcW w:w="1876" w:type="dxa"/>
          </w:tcPr>
          <w:p>
            <w:pPr>
              <w:pStyle w:val="TableParagraph"/>
              <w:spacing w:before="10"/>
              <w:rPr>
                <w:rFonts w:ascii="Book Antiqua"/>
                <w:b/>
                <w:sz w:val="18"/>
              </w:rPr>
            </w:pPr>
            <w:r>
              <w:rPr>
                <w:rFonts w:ascii="Book Antiqua"/>
                <w:b/>
                <w:color w:val="231F20"/>
                <w:spacing w:val="-2"/>
                <w:sz w:val="18"/>
              </w:rPr>
              <w:t>Working</w:t>
            </w:r>
            <w:r>
              <w:rPr>
                <w:rFonts w:ascii="Book Antiqua"/>
                <w:b/>
                <w:color w:val="231F20"/>
                <w:spacing w:val="6"/>
                <w:sz w:val="18"/>
              </w:rPr>
              <w:t> </w:t>
            </w:r>
            <w:r>
              <w:rPr>
                <w:rFonts w:ascii="Book Antiqua"/>
                <w:b/>
                <w:color w:val="231F20"/>
                <w:spacing w:val="-5"/>
                <w:sz w:val="18"/>
              </w:rPr>
              <w:t>Set</w:t>
            </w:r>
          </w:p>
        </w:tc>
      </w:tr>
      <w:tr>
        <w:trPr>
          <w:trHeight w:val="309" w:hRule="atLeast"/>
        </w:trPr>
        <w:tc>
          <w:tcPr>
            <w:tcW w:w="1876" w:type="dxa"/>
          </w:tcPr>
          <w:p>
            <w:pPr>
              <w:pStyle w:val="TableParagraph"/>
              <w:ind w:left="44"/>
              <w:rPr>
                <w:sz w:val="18"/>
              </w:rPr>
            </w:pPr>
            <w:r>
              <w:rPr>
                <w:color w:val="231F20"/>
                <w:spacing w:val="-2"/>
                <w:sz w:val="18"/>
              </w:rPr>
              <w:t>ccSetMgr</w:t>
            </w:r>
          </w:p>
        </w:tc>
        <w:tc>
          <w:tcPr>
            <w:tcW w:w="1891" w:type="dxa"/>
          </w:tcPr>
          <w:p>
            <w:pPr>
              <w:pStyle w:val="TableParagraph"/>
              <w:rPr>
                <w:sz w:val="18"/>
              </w:rPr>
            </w:pPr>
            <w:r>
              <w:rPr>
                <w:color w:val="231F20"/>
                <w:spacing w:val="-2"/>
                <w:sz w:val="18"/>
              </w:rPr>
              <w:t>33,665,024</w:t>
            </w:r>
          </w:p>
        </w:tc>
        <w:tc>
          <w:tcPr>
            <w:tcW w:w="1891" w:type="dxa"/>
          </w:tcPr>
          <w:p>
            <w:pPr>
              <w:pStyle w:val="TableParagraph"/>
              <w:rPr>
                <w:sz w:val="18"/>
              </w:rPr>
            </w:pPr>
            <w:r>
              <w:rPr>
                <w:color w:val="231F20"/>
                <w:spacing w:val="-2"/>
                <w:sz w:val="18"/>
              </w:rPr>
              <w:t>2,551,818</w:t>
            </w:r>
          </w:p>
        </w:tc>
        <w:tc>
          <w:tcPr>
            <w:tcW w:w="1876" w:type="dxa"/>
          </w:tcPr>
          <w:p>
            <w:pPr>
              <w:pStyle w:val="TableParagraph"/>
              <w:rPr>
                <w:sz w:val="18"/>
              </w:rPr>
            </w:pPr>
            <w:r>
              <w:rPr>
                <w:color w:val="231F20"/>
                <w:spacing w:val="-2"/>
                <w:sz w:val="18"/>
              </w:rPr>
              <w:t>704,512</w:t>
            </w:r>
          </w:p>
        </w:tc>
      </w:tr>
      <w:tr>
        <w:trPr>
          <w:trHeight w:val="309" w:hRule="atLeast"/>
        </w:trPr>
        <w:tc>
          <w:tcPr>
            <w:tcW w:w="1876" w:type="dxa"/>
          </w:tcPr>
          <w:p>
            <w:pPr>
              <w:pStyle w:val="TableParagraph"/>
              <w:ind w:left="44"/>
              <w:rPr>
                <w:sz w:val="18"/>
              </w:rPr>
            </w:pPr>
            <w:r>
              <w:rPr>
                <w:color w:val="231F20"/>
                <w:spacing w:val="-2"/>
                <w:sz w:val="18"/>
              </w:rPr>
              <w:t>c4ebreg</w:t>
            </w:r>
          </w:p>
        </w:tc>
        <w:tc>
          <w:tcPr>
            <w:tcW w:w="1891" w:type="dxa"/>
          </w:tcPr>
          <w:p>
            <w:pPr>
              <w:pStyle w:val="TableParagraph"/>
              <w:rPr>
                <w:sz w:val="18"/>
              </w:rPr>
            </w:pPr>
            <w:r>
              <w:rPr>
                <w:color w:val="231F20"/>
                <w:spacing w:val="-2"/>
                <w:sz w:val="18"/>
              </w:rPr>
              <w:t>43,421,696</w:t>
            </w:r>
          </w:p>
        </w:tc>
        <w:tc>
          <w:tcPr>
            <w:tcW w:w="1891" w:type="dxa"/>
          </w:tcPr>
          <w:p>
            <w:pPr>
              <w:pStyle w:val="TableParagraph"/>
              <w:rPr>
                <w:sz w:val="18"/>
              </w:rPr>
            </w:pPr>
            <w:r>
              <w:rPr>
                <w:color w:val="231F20"/>
                <w:spacing w:val="-2"/>
                <w:sz w:val="18"/>
              </w:rPr>
              <w:t>6,254,592</w:t>
            </w:r>
          </w:p>
        </w:tc>
        <w:tc>
          <w:tcPr>
            <w:tcW w:w="1876" w:type="dxa"/>
          </w:tcPr>
          <w:p>
            <w:pPr>
              <w:pStyle w:val="TableParagraph"/>
              <w:rPr>
                <w:sz w:val="18"/>
              </w:rPr>
            </w:pPr>
            <w:r>
              <w:rPr>
                <w:color w:val="231F20"/>
                <w:spacing w:val="-2"/>
                <w:sz w:val="18"/>
              </w:rPr>
              <w:t>2,592,768</w:t>
            </w:r>
          </w:p>
        </w:tc>
      </w:tr>
      <w:tr>
        <w:trPr>
          <w:trHeight w:val="309" w:hRule="atLeast"/>
        </w:trPr>
        <w:tc>
          <w:tcPr>
            <w:tcW w:w="1876" w:type="dxa"/>
          </w:tcPr>
          <w:p>
            <w:pPr>
              <w:pStyle w:val="TableParagraph"/>
              <w:ind w:left="44"/>
              <w:rPr>
                <w:sz w:val="18"/>
              </w:rPr>
            </w:pPr>
            <w:r>
              <w:rPr>
                <w:color w:val="231F20"/>
                <w:spacing w:val="-2"/>
                <w:sz w:val="18"/>
              </w:rPr>
              <w:t>issimsvc</w:t>
            </w:r>
          </w:p>
        </w:tc>
        <w:tc>
          <w:tcPr>
            <w:tcW w:w="1891" w:type="dxa"/>
          </w:tcPr>
          <w:p>
            <w:pPr>
              <w:pStyle w:val="TableParagraph"/>
              <w:rPr>
                <w:sz w:val="18"/>
              </w:rPr>
            </w:pPr>
            <w:r>
              <w:rPr>
                <w:color w:val="231F20"/>
                <w:spacing w:val="-2"/>
                <w:sz w:val="18"/>
              </w:rPr>
              <w:t>37,322,752</w:t>
            </w:r>
          </w:p>
        </w:tc>
        <w:tc>
          <w:tcPr>
            <w:tcW w:w="1891" w:type="dxa"/>
          </w:tcPr>
          <w:p>
            <w:pPr>
              <w:pStyle w:val="TableParagraph"/>
              <w:rPr>
                <w:sz w:val="18"/>
              </w:rPr>
            </w:pPr>
            <w:r>
              <w:rPr>
                <w:color w:val="231F20"/>
                <w:spacing w:val="-2"/>
                <w:sz w:val="18"/>
              </w:rPr>
              <w:t>5,443,584</w:t>
            </w:r>
          </w:p>
        </w:tc>
        <w:tc>
          <w:tcPr>
            <w:tcW w:w="1876" w:type="dxa"/>
          </w:tcPr>
          <w:p>
            <w:pPr>
              <w:pStyle w:val="TableParagraph"/>
              <w:rPr>
                <w:sz w:val="18"/>
              </w:rPr>
            </w:pPr>
            <w:r>
              <w:rPr>
                <w:color w:val="231F20"/>
                <w:spacing w:val="-2"/>
                <w:sz w:val="18"/>
              </w:rPr>
              <w:t>1,708,032</w:t>
            </w:r>
          </w:p>
        </w:tc>
      </w:tr>
      <w:tr>
        <w:trPr>
          <w:trHeight w:val="309" w:hRule="atLeast"/>
        </w:trPr>
        <w:tc>
          <w:tcPr>
            <w:tcW w:w="1876" w:type="dxa"/>
          </w:tcPr>
          <w:p>
            <w:pPr>
              <w:pStyle w:val="TableParagraph"/>
              <w:ind w:left="44"/>
              <w:rPr>
                <w:sz w:val="18"/>
              </w:rPr>
            </w:pPr>
            <w:r>
              <w:rPr>
                <w:color w:val="231F20"/>
                <w:spacing w:val="-2"/>
                <w:sz w:val="18"/>
              </w:rPr>
              <w:t>SavRoam</w:t>
            </w:r>
          </w:p>
        </w:tc>
        <w:tc>
          <w:tcPr>
            <w:tcW w:w="1891" w:type="dxa"/>
          </w:tcPr>
          <w:p>
            <w:pPr>
              <w:pStyle w:val="TableParagraph"/>
              <w:rPr>
                <w:sz w:val="18"/>
              </w:rPr>
            </w:pPr>
            <w:r>
              <w:rPr>
                <w:color w:val="231F20"/>
                <w:spacing w:val="-2"/>
                <w:sz w:val="18"/>
              </w:rPr>
              <w:t>35,893,248</w:t>
            </w:r>
          </w:p>
        </w:tc>
        <w:tc>
          <w:tcPr>
            <w:tcW w:w="1891" w:type="dxa"/>
          </w:tcPr>
          <w:p>
            <w:pPr>
              <w:pStyle w:val="TableParagraph"/>
              <w:rPr>
                <w:sz w:val="18"/>
              </w:rPr>
            </w:pPr>
            <w:r>
              <w:rPr>
                <w:color w:val="231F20"/>
                <w:spacing w:val="-2"/>
                <w:sz w:val="18"/>
              </w:rPr>
              <w:t>1,404,928</w:t>
            </w:r>
          </w:p>
        </w:tc>
        <w:tc>
          <w:tcPr>
            <w:tcW w:w="1876" w:type="dxa"/>
          </w:tcPr>
          <w:p>
            <w:pPr>
              <w:pStyle w:val="TableParagraph"/>
              <w:rPr>
                <w:sz w:val="18"/>
              </w:rPr>
            </w:pPr>
            <w:r>
              <w:rPr>
                <w:color w:val="231F20"/>
                <w:spacing w:val="-2"/>
                <w:sz w:val="18"/>
              </w:rPr>
              <w:t>1,028,096</w:t>
            </w:r>
          </w:p>
        </w:tc>
      </w:tr>
      <w:tr>
        <w:trPr>
          <w:trHeight w:val="309" w:hRule="atLeast"/>
        </w:trPr>
        <w:tc>
          <w:tcPr>
            <w:tcW w:w="1876" w:type="dxa"/>
          </w:tcPr>
          <w:p>
            <w:pPr>
              <w:pStyle w:val="TableParagraph"/>
              <w:ind w:left="44"/>
              <w:rPr>
                <w:sz w:val="18"/>
              </w:rPr>
            </w:pPr>
            <w:r>
              <w:rPr>
                <w:color w:val="231F20"/>
                <w:spacing w:val="-2"/>
                <w:sz w:val="18"/>
              </w:rPr>
              <w:t>javaw</w:t>
            </w:r>
          </w:p>
        </w:tc>
        <w:tc>
          <w:tcPr>
            <w:tcW w:w="1891" w:type="dxa"/>
          </w:tcPr>
          <w:p>
            <w:pPr>
              <w:pStyle w:val="TableParagraph"/>
              <w:rPr>
                <w:sz w:val="18"/>
              </w:rPr>
            </w:pPr>
            <w:r>
              <w:rPr>
                <w:color w:val="231F20"/>
                <w:spacing w:val="-2"/>
                <w:sz w:val="18"/>
              </w:rPr>
              <w:t>669,335,552</w:t>
            </w:r>
          </w:p>
        </w:tc>
        <w:tc>
          <w:tcPr>
            <w:tcW w:w="1891" w:type="dxa"/>
          </w:tcPr>
          <w:p>
            <w:pPr>
              <w:pStyle w:val="TableParagraph"/>
              <w:rPr>
                <w:sz w:val="18"/>
              </w:rPr>
            </w:pPr>
            <w:r>
              <w:rPr>
                <w:color w:val="231F20"/>
                <w:spacing w:val="-2"/>
                <w:sz w:val="18"/>
              </w:rPr>
              <w:t>56,926,208</w:t>
            </w:r>
          </w:p>
        </w:tc>
        <w:tc>
          <w:tcPr>
            <w:tcW w:w="1876" w:type="dxa"/>
          </w:tcPr>
          <w:p>
            <w:pPr>
              <w:pStyle w:val="TableParagraph"/>
              <w:rPr>
                <w:sz w:val="18"/>
              </w:rPr>
            </w:pPr>
            <w:r>
              <w:rPr>
                <w:color w:val="231F20"/>
                <w:spacing w:val="-2"/>
                <w:sz w:val="18"/>
              </w:rPr>
              <w:t>37,728,256</w:t>
            </w:r>
          </w:p>
        </w:tc>
      </w:tr>
      <w:tr>
        <w:trPr>
          <w:trHeight w:val="309" w:hRule="atLeast"/>
        </w:trPr>
        <w:tc>
          <w:tcPr>
            <w:tcW w:w="1876" w:type="dxa"/>
          </w:tcPr>
          <w:p>
            <w:pPr>
              <w:pStyle w:val="TableParagraph"/>
              <w:ind w:left="44"/>
              <w:rPr>
                <w:sz w:val="18"/>
              </w:rPr>
            </w:pPr>
            <w:r>
              <w:rPr>
                <w:color w:val="231F20"/>
                <w:spacing w:val="-4"/>
                <w:sz w:val="18"/>
              </w:rPr>
              <w:t>java</w:t>
            </w:r>
          </w:p>
        </w:tc>
        <w:tc>
          <w:tcPr>
            <w:tcW w:w="1891" w:type="dxa"/>
          </w:tcPr>
          <w:p>
            <w:pPr>
              <w:pStyle w:val="TableParagraph"/>
              <w:rPr>
                <w:sz w:val="18"/>
              </w:rPr>
            </w:pPr>
            <w:r>
              <w:rPr>
                <w:color w:val="231F20"/>
                <w:spacing w:val="-2"/>
                <w:sz w:val="18"/>
              </w:rPr>
              <w:t>411,787,264</w:t>
            </w:r>
          </w:p>
        </w:tc>
        <w:tc>
          <w:tcPr>
            <w:tcW w:w="1891" w:type="dxa"/>
          </w:tcPr>
          <w:p>
            <w:pPr>
              <w:pStyle w:val="TableParagraph"/>
              <w:rPr>
                <w:sz w:val="18"/>
              </w:rPr>
            </w:pPr>
            <w:r>
              <w:rPr>
                <w:color w:val="231F20"/>
                <w:spacing w:val="-2"/>
                <w:sz w:val="18"/>
              </w:rPr>
              <w:t>107,171,840</w:t>
            </w:r>
          </w:p>
        </w:tc>
        <w:tc>
          <w:tcPr>
            <w:tcW w:w="1876" w:type="dxa"/>
          </w:tcPr>
          <w:p>
            <w:pPr>
              <w:pStyle w:val="TableParagraph"/>
              <w:rPr>
                <w:sz w:val="18"/>
              </w:rPr>
            </w:pPr>
            <w:r>
              <w:rPr>
                <w:color w:val="231F20"/>
                <w:spacing w:val="-2"/>
                <w:sz w:val="18"/>
              </w:rPr>
              <w:t>132,677,632</w:t>
            </w:r>
          </w:p>
        </w:tc>
      </w:tr>
      <w:tr>
        <w:trPr>
          <w:trHeight w:val="309" w:hRule="atLeast"/>
        </w:trPr>
        <w:tc>
          <w:tcPr>
            <w:tcW w:w="1876" w:type="dxa"/>
          </w:tcPr>
          <w:p>
            <w:pPr>
              <w:pStyle w:val="TableParagraph"/>
              <w:ind w:left="44"/>
              <w:rPr>
                <w:sz w:val="18"/>
              </w:rPr>
            </w:pPr>
            <w:r>
              <w:rPr>
                <w:color w:val="231F20"/>
                <w:spacing w:val="-2"/>
                <w:sz w:val="18"/>
              </w:rPr>
              <w:t>khdxprto</w:t>
            </w:r>
          </w:p>
        </w:tc>
        <w:tc>
          <w:tcPr>
            <w:tcW w:w="1891" w:type="dxa"/>
          </w:tcPr>
          <w:p>
            <w:pPr>
              <w:pStyle w:val="TableParagraph"/>
              <w:rPr>
                <w:sz w:val="18"/>
              </w:rPr>
            </w:pPr>
            <w:r>
              <w:rPr>
                <w:color w:val="231F20"/>
                <w:spacing w:val="-2"/>
                <w:sz w:val="18"/>
              </w:rPr>
              <w:t>94,371,840</w:t>
            </w:r>
          </w:p>
        </w:tc>
        <w:tc>
          <w:tcPr>
            <w:tcW w:w="1891" w:type="dxa"/>
          </w:tcPr>
          <w:p>
            <w:pPr>
              <w:pStyle w:val="TableParagraph"/>
              <w:rPr>
                <w:sz w:val="18"/>
              </w:rPr>
            </w:pPr>
            <w:r>
              <w:rPr>
                <w:color w:val="231F20"/>
                <w:spacing w:val="-2"/>
                <w:sz w:val="18"/>
              </w:rPr>
              <w:t>11,431,936</w:t>
            </w:r>
          </w:p>
        </w:tc>
        <w:tc>
          <w:tcPr>
            <w:tcW w:w="1876" w:type="dxa"/>
          </w:tcPr>
          <w:p>
            <w:pPr>
              <w:pStyle w:val="TableParagraph"/>
              <w:rPr>
                <w:sz w:val="18"/>
              </w:rPr>
            </w:pPr>
            <w:r>
              <w:rPr>
                <w:color w:val="231F20"/>
                <w:spacing w:val="-2"/>
                <w:sz w:val="18"/>
              </w:rPr>
              <w:t>5,025,792</w:t>
            </w:r>
          </w:p>
        </w:tc>
      </w:tr>
      <w:tr>
        <w:trPr>
          <w:trHeight w:val="309" w:hRule="atLeast"/>
        </w:trPr>
        <w:tc>
          <w:tcPr>
            <w:tcW w:w="1876" w:type="dxa"/>
          </w:tcPr>
          <w:p>
            <w:pPr>
              <w:pStyle w:val="TableParagraph"/>
              <w:ind w:left="44"/>
              <w:rPr>
                <w:sz w:val="18"/>
              </w:rPr>
            </w:pPr>
            <w:r>
              <w:rPr>
                <w:color w:val="231F20"/>
                <w:spacing w:val="-2"/>
                <w:sz w:val="18"/>
              </w:rPr>
              <w:t>kntcma</w:t>
            </w:r>
          </w:p>
        </w:tc>
        <w:tc>
          <w:tcPr>
            <w:tcW w:w="1891" w:type="dxa"/>
          </w:tcPr>
          <w:p>
            <w:pPr>
              <w:pStyle w:val="TableParagraph"/>
              <w:rPr>
                <w:sz w:val="18"/>
              </w:rPr>
            </w:pPr>
            <w:r>
              <w:rPr>
                <w:color w:val="231F20"/>
                <w:spacing w:val="-2"/>
                <w:sz w:val="18"/>
              </w:rPr>
              <w:t>103,129,088</w:t>
            </w:r>
          </w:p>
        </w:tc>
        <w:tc>
          <w:tcPr>
            <w:tcW w:w="1891" w:type="dxa"/>
          </w:tcPr>
          <w:p>
            <w:pPr>
              <w:pStyle w:val="TableParagraph"/>
              <w:rPr>
                <w:sz w:val="18"/>
              </w:rPr>
            </w:pPr>
            <w:r>
              <w:rPr>
                <w:color w:val="231F20"/>
                <w:spacing w:val="-2"/>
                <w:sz w:val="18"/>
              </w:rPr>
              <w:t>12,484,608</w:t>
            </w:r>
          </w:p>
        </w:tc>
        <w:tc>
          <w:tcPr>
            <w:tcW w:w="1876" w:type="dxa"/>
          </w:tcPr>
          <w:p>
            <w:pPr>
              <w:pStyle w:val="TableParagraph"/>
              <w:rPr>
                <w:sz w:val="18"/>
              </w:rPr>
            </w:pPr>
            <w:r>
              <w:rPr>
                <w:color w:val="231F20"/>
                <w:spacing w:val="-2"/>
                <w:sz w:val="18"/>
              </w:rPr>
              <w:t>9,277,440</w:t>
            </w:r>
          </w:p>
        </w:tc>
      </w:tr>
      <w:tr>
        <w:trPr>
          <w:trHeight w:val="309" w:hRule="atLeast"/>
        </w:trPr>
        <w:tc>
          <w:tcPr>
            <w:tcW w:w="1876" w:type="dxa"/>
          </w:tcPr>
          <w:p>
            <w:pPr>
              <w:pStyle w:val="TableParagraph"/>
              <w:ind w:left="44"/>
              <w:rPr>
                <w:sz w:val="18"/>
              </w:rPr>
            </w:pPr>
            <w:r>
              <w:rPr>
                <w:color w:val="231F20"/>
                <w:spacing w:val="-2"/>
                <w:sz w:val="18"/>
              </w:rPr>
              <w:t>kuma620</w:t>
            </w:r>
          </w:p>
        </w:tc>
        <w:tc>
          <w:tcPr>
            <w:tcW w:w="1891" w:type="dxa"/>
          </w:tcPr>
          <w:p>
            <w:pPr>
              <w:pStyle w:val="TableParagraph"/>
              <w:rPr>
                <w:sz w:val="18"/>
              </w:rPr>
            </w:pPr>
            <w:r>
              <w:rPr>
                <w:color w:val="231F20"/>
                <w:spacing w:val="-2"/>
                <w:sz w:val="18"/>
              </w:rPr>
              <w:t>91,131,904</w:t>
            </w:r>
          </w:p>
        </w:tc>
        <w:tc>
          <w:tcPr>
            <w:tcW w:w="1891" w:type="dxa"/>
          </w:tcPr>
          <w:p>
            <w:pPr>
              <w:pStyle w:val="TableParagraph"/>
              <w:rPr>
                <w:sz w:val="18"/>
              </w:rPr>
            </w:pPr>
            <w:r>
              <w:rPr>
                <w:color w:val="231F20"/>
                <w:spacing w:val="-2"/>
                <w:sz w:val="18"/>
              </w:rPr>
              <w:t>9,035,776</w:t>
            </w:r>
          </w:p>
        </w:tc>
        <w:tc>
          <w:tcPr>
            <w:tcW w:w="1876" w:type="dxa"/>
          </w:tcPr>
          <w:p>
            <w:pPr>
              <w:pStyle w:val="TableParagraph"/>
              <w:rPr>
                <w:sz w:val="18"/>
              </w:rPr>
            </w:pPr>
            <w:r>
              <w:rPr>
                <w:color w:val="231F20"/>
                <w:spacing w:val="-2"/>
                <w:sz w:val="18"/>
              </w:rPr>
              <w:t>3,305,472</w:t>
            </w:r>
          </w:p>
        </w:tc>
      </w:tr>
      <w:tr>
        <w:trPr>
          <w:trHeight w:val="309" w:hRule="atLeast"/>
        </w:trPr>
        <w:tc>
          <w:tcPr>
            <w:tcW w:w="1876" w:type="dxa"/>
          </w:tcPr>
          <w:p>
            <w:pPr>
              <w:pStyle w:val="TableParagraph"/>
              <w:ind w:left="44"/>
              <w:rPr>
                <w:sz w:val="18"/>
              </w:rPr>
            </w:pPr>
            <w:r>
              <w:rPr>
                <w:color w:val="231F20"/>
                <w:spacing w:val="-2"/>
                <w:sz w:val="18"/>
              </w:rPr>
              <w:t>kinconfg</w:t>
            </w:r>
          </w:p>
        </w:tc>
        <w:tc>
          <w:tcPr>
            <w:tcW w:w="1891" w:type="dxa"/>
          </w:tcPr>
          <w:p>
            <w:pPr>
              <w:pStyle w:val="TableParagraph"/>
              <w:rPr>
                <w:sz w:val="18"/>
              </w:rPr>
            </w:pPr>
            <w:r>
              <w:rPr>
                <w:color w:val="231F20"/>
                <w:spacing w:val="-2"/>
                <w:sz w:val="18"/>
              </w:rPr>
              <w:t>49,127,424</w:t>
            </w:r>
          </w:p>
        </w:tc>
        <w:tc>
          <w:tcPr>
            <w:tcW w:w="1891" w:type="dxa"/>
          </w:tcPr>
          <w:p>
            <w:pPr>
              <w:pStyle w:val="TableParagraph"/>
              <w:rPr>
                <w:sz w:val="18"/>
              </w:rPr>
            </w:pPr>
            <w:r>
              <w:rPr>
                <w:color w:val="231F20"/>
                <w:spacing w:val="-2"/>
                <w:sz w:val="18"/>
              </w:rPr>
              <w:t>1,859,584</w:t>
            </w:r>
          </w:p>
        </w:tc>
        <w:tc>
          <w:tcPr>
            <w:tcW w:w="1876" w:type="dxa"/>
          </w:tcPr>
          <w:p>
            <w:pPr>
              <w:pStyle w:val="TableParagraph"/>
              <w:rPr>
                <w:sz w:val="18"/>
              </w:rPr>
            </w:pPr>
            <w:r>
              <w:rPr>
                <w:color w:val="231F20"/>
                <w:spacing w:val="-2"/>
                <w:sz w:val="18"/>
              </w:rPr>
              <w:t>2,908,160</w:t>
            </w:r>
          </w:p>
        </w:tc>
      </w:tr>
      <w:tr>
        <w:trPr>
          <w:trHeight w:val="314" w:hRule="atLeast"/>
        </w:trPr>
        <w:tc>
          <w:tcPr>
            <w:tcW w:w="1876" w:type="dxa"/>
          </w:tcPr>
          <w:p>
            <w:pPr>
              <w:pStyle w:val="TableParagraph"/>
              <w:ind w:left="44"/>
              <w:rPr>
                <w:sz w:val="18"/>
              </w:rPr>
            </w:pPr>
            <w:r>
              <w:rPr>
                <w:color w:val="231F20"/>
                <w:spacing w:val="-2"/>
                <w:sz w:val="18"/>
              </w:rPr>
              <w:t>logonui</w:t>
            </w:r>
          </w:p>
        </w:tc>
        <w:tc>
          <w:tcPr>
            <w:tcW w:w="1891" w:type="dxa"/>
          </w:tcPr>
          <w:p>
            <w:pPr>
              <w:pStyle w:val="TableParagraph"/>
              <w:rPr>
                <w:sz w:val="18"/>
              </w:rPr>
            </w:pPr>
            <w:r>
              <w:rPr>
                <w:color w:val="231F20"/>
                <w:spacing w:val="-2"/>
                <w:sz w:val="18"/>
              </w:rPr>
              <w:t>34,713,600</w:t>
            </w:r>
          </w:p>
        </w:tc>
        <w:tc>
          <w:tcPr>
            <w:tcW w:w="1891" w:type="dxa"/>
          </w:tcPr>
          <w:p>
            <w:pPr>
              <w:pStyle w:val="TableParagraph"/>
              <w:rPr>
                <w:sz w:val="18"/>
              </w:rPr>
            </w:pPr>
            <w:r>
              <w:rPr>
                <w:color w:val="231F20"/>
                <w:spacing w:val="-2"/>
                <w:sz w:val="18"/>
              </w:rPr>
              <w:t>2,875,392</w:t>
            </w:r>
          </w:p>
        </w:tc>
        <w:tc>
          <w:tcPr>
            <w:tcW w:w="1876" w:type="dxa"/>
          </w:tcPr>
          <w:p>
            <w:pPr>
              <w:pStyle w:val="TableParagraph"/>
              <w:rPr>
                <w:sz w:val="18"/>
              </w:rPr>
            </w:pPr>
            <w:r>
              <w:rPr>
                <w:color w:val="231F20"/>
                <w:spacing w:val="-2"/>
                <w:sz w:val="18"/>
              </w:rPr>
              <w:t>3,330,048</w:t>
            </w:r>
          </w:p>
        </w:tc>
      </w:tr>
    </w:tbl>
    <w:p>
      <w:pPr>
        <w:pStyle w:val="BodyText"/>
        <w:spacing w:before="164" w:after="1"/>
      </w:pPr>
    </w:p>
    <w:p>
      <w:pPr>
        <w:pStyle w:val="BodyText"/>
        <w:spacing w:line="20" w:lineRule="exact"/>
        <w:ind w:left="436"/>
        <w:rPr>
          <w:sz w:val="2"/>
        </w:rPr>
      </w:pPr>
      <w:bookmarkStart w:name="_bookmark74" w:id="164"/>
      <w:bookmarkEnd w:id="164"/>
      <w:r>
        <w:rPr/>
      </w:r>
      <w:r>
        <w:rPr>
          <w:sz w:val="2"/>
        </w:rPr>
        <mc:AlternateContent>
          <mc:Choice Requires="wps">
            <w:drawing>
              <wp:inline distT="0" distB="0" distL="0" distR="0">
                <wp:extent cx="6082665" cy="6350"/>
                <wp:effectExtent l="9525" t="0" r="0" b="3175"/>
                <wp:docPr id="987" name="Group 987"/>
                <wp:cNvGraphicFramePr>
                  <a:graphicFrameLocks/>
                </wp:cNvGraphicFramePr>
                <a:graphic>
                  <a:graphicData uri="http://schemas.microsoft.com/office/word/2010/wordprocessingGroup">
                    <wpg:wgp>
                      <wpg:cNvPr id="987" name="Group 987"/>
                      <wpg:cNvGrpSpPr/>
                      <wpg:grpSpPr>
                        <a:xfrm>
                          <a:off x="0" y="0"/>
                          <a:ext cx="6082665" cy="6350"/>
                          <a:chExt cx="6082665" cy="6350"/>
                        </a:xfrm>
                      </wpg:grpSpPr>
                      <wps:wsp>
                        <wps:cNvPr id="988" name="Graphic 988"/>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133" coordorigin="0,0" coordsize="9579,10">
                <v:line style="position:absolute" from="0,5" to="9579,5" stroked="true" strokeweight=".499pt" strokecolor="#231f20">
                  <v:stroke dashstyle="solid"/>
                </v:line>
              </v:group>
            </w:pict>
          </mc:Fallback>
        </mc:AlternateContent>
      </w:r>
      <w:r>
        <w:rPr>
          <w:sz w:val="2"/>
        </w:rPr>
      </w:r>
    </w:p>
    <w:p>
      <w:pPr>
        <w:spacing w:after="0" w:line="20" w:lineRule="exact"/>
        <w:rPr>
          <w:sz w:val="2"/>
        </w:rPr>
        <w:sectPr>
          <w:type w:val="continuous"/>
          <w:pgSz w:w="12240" w:h="15840"/>
          <w:pgMar w:header="0" w:footer="736" w:top="1300" w:bottom="920" w:left="1000" w:right="1060"/>
        </w:sectPr>
      </w:pPr>
    </w:p>
    <w:p>
      <w:pPr>
        <w:pStyle w:val="Heading3"/>
        <w:spacing w:before="11"/>
      </w:pPr>
      <w:bookmarkStart w:name="Table view" w:id="165"/>
      <w:bookmarkEnd w:id="165"/>
      <w:r>
        <w:rPr>
          <w:b w:val="0"/>
        </w:rPr>
      </w:r>
      <w:r>
        <w:rPr>
          <w:color w:val="231F20"/>
        </w:rPr>
        <w:t>Table</w:t>
      </w:r>
      <w:r>
        <w:rPr>
          <w:color w:val="231F20"/>
          <w:spacing w:val="-14"/>
        </w:rPr>
        <w:t> </w:t>
      </w:r>
      <w:r>
        <w:rPr>
          <w:color w:val="231F20"/>
          <w:spacing w:val="-4"/>
        </w:rPr>
        <w:t>view</w:t>
      </w:r>
    </w:p>
    <w:p>
      <w:pPr>
        <w:spacing w:line="240" w:lineRule="auto" w:before="0"/>
        <w:rPr>
          <w:rFonts w:ascii="Arial"/>
          <w:b/>
          <w:sz w:val="20"/>
        </w:rPr>
      </w:pPr>
      <w:r>
        <w:rPr/>
        <w:br w:type="column"/>
      </w:r>
      <w:r>
        <w:rPr>
          <w:rFonts w:ascii="Arial"/>
          <w:b/>
          <w:sz w:val="20"/>
        </w:rPr>
      </w:r>
    </w:p>
    <w:p>
      <w:pPr>
        <w:pStyle w:val="BodyText"/>
        <w:spacing w:before="11"/>
        <w:rPr>
          <w:rFonts w:ascii="Arial"/>
          <w:b/>
        </w:rPr>
      </w:pPr>
    </w:p>
    <w:p>
      <w:pPr>
        <w:pStyle w:val="BodyText"/>
        <w:spacing w:line="213" w:lineRule="auto"/>
        <w:ind w:left="436" w:right="370"/>
      </w:pPr>
      <w:r>
        <w:rPr>
          <w:color w:val="231F20"/>
        </w:rPr>
        <w:t>The table view is a query-based workspace view of data samples collected for an attribute group, or from an ODBC or JDBC data source when a custom SQL query has been written.</w:t>
      </w:r>
    </w:p>
    <w:p>
      <w:pPr>
        <w:pStyle w:val="BodyText"/>
        <w:spacing w:line="213" w:lineRule="auto" w:before="238"/>
        <w:ind w:left="436" w:right="370"/>
      </w:pPr>
      <w:r>
        <w:rPr>
          <w:color w:val="231F20"/>
        </w:rPr>
        <w:t>The</w:t>
      </w:r>
      <w:r>
        <w:rPr>
          <w:color w:val="231F20"/>
          <w:spacing w:val="36"/>
        </w:rPr>
        <w:t> </w:t>
      </w:r>
      <w:r>
        <w:rPr>
          <w:color w:val="231F20"/>
          <w:spacing w:val="-24"/>
          <w:position w:val="-1"/>
        </w:rPr>
        <w:drawing>
          <wp:inline distT="0" distB="0" distL="0" distR="0">
            <wp:extent cx="95250" cy="95250"/>
            <wp:effectExtent l="0" t="0" r="0" b="0"/>
            <wp:docPr id="989" name="Image 989"/>
            <wp:cNvGraphicFramePr>
              <a:graphicFrameLocks/>
            </wp:cNvGraphicFramePr>
            <a:graphic>
              <a:graphicData uri="http://schemas.openxmlformats.org/drawingml/2006/picture">
                <pic:pic>
                  <pic:nvPicPr>
                    <pic:cNvPr id="989" name="Image 989"/>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table view shows a column for each attribute and either a single row of</w:t>
      </w:r>
      <w:r>
        <w:rPr>
          <w:color w:val="231F20"/>
          <w:spacing w:val="40"/>
        </w:rPr>
        <w:t> </w:t>
      </w:r>
      <w:r>
        <w:rPr>
          <w:color w:val="231F20"/>
        </w:rPr>
        <w:t>data (for single-row attribute groups) or multiple rows (for multiple-row </w:t>
      </w:r>
      <w:r>
        <w:rPr>
          <w:color w:val="231F20"/>
        </w:rPr>
        <w:t>attribute groups or historical reporting). For example, the NT Process attribute group displays a row for every process, and NT Memory displays a single row of</w:t>
      </w:r>
      <w:r>
        <w:rPr>
          <w:color w:val="231F20"/>
          <w:spacing w:val="40"/>
        </w:rPr>
        <w:t> </w:t>
      </w:r>
      <w:r>
        <w:rPr>
          <w:color w:val="231F20"/>
        </w:rPr>
        <w:t>memory statistics for the agent's host.</w:t>
      </w:r>
    </w:p>
    <w:p>
      <w:pPr>
        <w:pStyle w:val="BodyText"/>
        <w:spacing w:line="213" w:lineRule="auto" w:before="236"/>
        <w:ind w:left="436" w:right="311"/>
        <w:jc w:val="both"/>
      </w:pPr>
      <w:r>
        <w:rPr>
          <w:color w:val="231F20"/>
        </w:rPr>
        <w:t>If historical data collection is configured and started for the attributes used by </w:t>
      </w:r>
      <w:r>
        <w:rPr>
          <w:color w:val="231F20"/>
        </w:rPr>
        <w:t>the query that retrieves data for the view, you can also view historical data by setting </w:t>
      </w:r>
      <w:bookmarkStart w:name="Adding a table view" w:id="166"/>
      <w:bookmarkEnd w:id="166"/>
      <w:r>
        <w:rPr>
          <w:color w:val="231F20"/>
        </w:rPr>
        <w:t>the</w:t>
      </w:r>
      <w:r>
        <w:rPr>
          <w:color w:val="231F20"/>
        </w:rPr>
        <w:t> time span for data to be viewed using the</w:t>
      </w:r>
      <w:r>
        <w:rPr>
          <w:color w:val="231F20"/>
          <w:spacing w:val="36"/>
        </w:rPr>
        <w:t> </w:t>
      </w:r>
      <w:r>
        <w:rPr>
          <w:color w:val="231F20"/>
          <w:spacing w:val="-25"/>
          <w:position w:val="-1"/>
        </w:rPr>
        <w:drawing>
          <wp:inline distT="0" distB="0" distL="0" distR="0">
            <wp:extent cx="95250" cy="95250"/>
            <wp:effectExtent l="0" t="0" r="0" b="0"/>
            <wp:docPr id="990" name="Image 990"/>
            <wp:cNvGraphicFramePr>
              <a:graphicFrameLocks/>
            </wp:cNvGraphicFramePr>
            <a:graphic>
              <a:graphicData uri="http://schemas.openxmlformats.org/drawingml/2006/picture">
                <pic:pic>
                  <pic:nvPicPr>
                    <pic:cNvPr id="990" name="Image 990"/>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35"/>
        </w:rPr>
        <w:t> </w:t>
      </w:r>
      <w:r>
        <w:rPr>
          <w:color w:val="231F20"/>
        </w:rPr>
        <w:t>Time span tool.</w:t>
      </w:r>
    </w:p>
    <w:p>
      <w:pPr>
        <w:spacing w:after="0" w:line="213" w:lineRule="auto"/>
        <w:jc w:val="both"/>
        <w:sectPr>
          <w:type w:val="continuous"/>
          <w:pgSz w:w="12240" w:h="15840"/>
          <w:pgMar w:header="0" w:footer="736" w:top="0" w:bottom="4660" w:left="1000" w:right="1060"/>
          <w:cols w:num="2" w:equalWidth="0">
            <w:col w:w="1885" w:space="150"/>
            <w:col w:w="8145"/>
          </w:cols>
        </w:sectPr>
      </w:pPr>
    </w:p>
    <w:p>
      <w:pPr>
        <w:pStyle w:val="Heading3"/>
        <w:spacing w:before="216"/>
        <w:ind w:left="1574"/>
      </w:pPr>
      <w:r>
        <w:rPr>
          <w:color w:val="231F20"/>
        </w:rPr>
        <w:t>Adding</w:t>
      </w:r>
      <w:r>
        <w:rPr>
          <w:color w:val="231F20"/>
          <w:spacing w:val="9"/>
        </w:rPr>
        <w:t> </w:t>
      </w:r>
      <w:r>
        <w:rPr>
          <w:color w:val="231F20"/>
        </w:rPr>
        <w:t>a</w:t>
      </w:r>
      <w:r>
        <w:rPr>
          <w:color w:val="231F20"/>
          <w:spacing w:val="9"/>
        </w:rPr>
        <w:t> </w:t>
      </w:r>
      <w:r>
        <w:rPr>
          <w:color w:val="231F20"/>
        </w:rPr>
        <w:t>table</w:t>
      </w:r>
      <w:r>
        <w:rPr>
          <w:color w:val="231F20"/>
          <w:spacing w:val="9"/>
        </w:rPr>
        <w:t> </w:t>
      </w:r>
      <w:r>
        <w:rPr>
          <w:color w:val="231F20"/>
          <w:spacing w:val="-4"/>
        </w:rPr>
        <w:t>view</w:t>
      </w:r>
    </w:p>
    <w:p>
      <w:pPr>
        <w:pStyle w:val="BodyText"/>
        <w:spacing w:line="213" w:lineRule="auto" w:before="59"/>
        <w:ind w:left="2472" w:right="545"/>
      </w:pPr>
      <w:r>
        <w:rPr>
          <w:color w:val="231F20"/>
        </w:rPr>
        <w:t>Use the table view to display data in the workspace. Data samplings from </w:t>
      </w:r>
      <w:r>
        <w:rPr>
          <w:color w:val="231F20"/>
        </w:rPr>
        <w:t>the attributes specified in the query are used to populate the view.</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9"/>
        <w:ind w:left="247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Take</w:t>
      </w:r>
      <w:r>
        <w:rPr>
          <w:color w:val="231F20"/>
          <w:spacing w:val="11"/>
        </w:rPr>
        <w:t> </w:t>
      </w:r>
      <w:r>
        <w:rPr>
          <w:color w:val="231F20"/>
        </w:rPr>
        <w:t>these</w:t>
      </w:r>
      <w:r>
        <w:rPr>
          <w:color w:val="231F20"/>
          <w:spacing w:val="11"/>
        </w:rPr>
        <w:t> </w:t>
      </w:r>
      <w:r>
        <w:rPr>
          <w:color w:val="231F20"/>
        </w:rPr>
        <w:t>steps</w:t>
      </w:r>
      <w:r>
        <w:rPr>
          <w:color w:val="231F20"/>
          <w:spacing w:val="11"/>
        </w:rPr>
        <w:t> </w:t>
      </w:r>
      <w:r>
        <w:rPr>
          <w:color w:val="231F20"/>
        </w:rPr>
        <w:t>to</w:t>
      </w:r>
      <w:r>
        <w:rPr>
          <w:color w:val="231F20"/>
          <w:spacing w:val="11"/>
        </w:rPr>
        <w:t> </w:t>
      </w:r>
      <w:r>
        <w:rPr>
          <w:color w:val="231F20"/>
        </w:rPr>
        <w:t>add</w:t>
      </w:r>
      <w:r>
        <w:rPr>
          <w:color w:val="231F20"/>
          <w:spacing w:val="11"/>
        </w:rPr>
        <w:t> </w:t>
      </w:r>
      <w:r>
        <w:rPr>
          <w:color w:val="231F20"/>
        </w:rPr>
        <w:t>a</w:t>
      </w:r>
      <w:r>
        <w:rPr>
          <w:color w:val="231F20"/>
          <w:spacing w:val="11"/>
        </w:rPr>
        <w:t> </w:t>
      </w:r>
      <w:r>
        <w:rPr>
          <w:color w:val="231F20"/>
        </w:rPr>
        <w:t>table</w:t>
      </w:r>
      <w:r>
        <w:rPr>
          <w:color w:val="231F20"/>
          <w:spacing w:val="11"/>
        </w:rPr>
        <w:t> </w:t>
      </w:r>
      <w:r>
        <w:rPr>
          <w:color w:val="231F20"/>
        </w:rPr>
        <w:t>view</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spacing w:val="-2"/>
        </w:rPr>
        <w:t>workspace:</w:t>
      </w:r>
    </w:p>
    <w:p>
      <w:pPr>
        <w:pStyle w:val="Heading4"/>
        <w:spacing w:before="194"/>
        <w:ind w:left="2472"/>
      </w:pPr>
      <w:r>
        <w:rPr>
          <w:color w:val="231F20"/>
          <w:spacing w:val="-2"/>
        </w:rPr>
        <w:t>Procedure</w:t>
      </w:r>
    </w:p>
    <w:p>
      <w:pPr>
        <w:pStyle w:val="ListParagraph"/>
        <w:numPr>
          <w:ilvl w:val="0"/>
          <w:numId w:val="51"/>
        </w:numPr>
        <w:tabs>
          <w:tab w:pos="2787" w:val="left" w:leader="none"/>
        </w:tabs>
        <w:spacing w:line="240" w:lineRule="auto" w:before="38" w:after="0"/>
        <w:ind w:left="278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51"/>
        </w:numPr>
        <w:tabs>
          <w:tab w:pos="2788" w:val="left" w:leader="none"/>
        </w:tabs>
        <w:spacing w:line="213" w:lineRule="auto" w:before="53" w:after="0"/>
        <w:ind w:left="2788" w:right="612" w:hanging="316"/>
        <w:jc w:val="left"/>
        <w:rPr>
          <w:sz w:val="20"/>
        </w:rPr>
      </w:pPr>
      <w:r>
        <w:rPr>
          <w:color w:val="231F20"/>
          <w:sz w:val="20"/>
        </w:rPr>
        <w:t>If you want the view to occupy a new space, click</w:t>
      </w:r>
      <w:r>
        <w:rPr>
          <w:color w:val="231F20"/>
          <w:spacing w:val="32"/>
          <w:sz w:val="20"/>
        </w:rPr>
        <w:t> </w:t>
      </w:r>
      <w:r>
        <w:rPr>
          <w:color w:val="231F20"/>
          <w:spacing w:val="-15"/>
          <w:position w:val="-1"/>
          <w:sz w:val="20"/>
        </w:rPr>
        <w:drawing>
          <wp:inline distT="0" distB="0" distL="0" distR="0">
            <wp:extent cx="88900" cy="88900"/>
            <wp:effectExtent l="0" t="0" r="0" b="0"/>
            <wp:docPr id="991" name="Image 991"/>
            <wp:cNvGraphicFramePr>
              <a:graphicFrameLocks/>
            </wp:cNvGraphicFramePr>
            <a:graphic>
              <a:graphicData uri="http://schemas.openxmlformats.org/drawingml/2006/picture">
                <pic:pic>
                  <pic:nvPicPr>
                    <pic:cNvPr id="991" name="Image 991"/>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5"/>
          <w:sz w:val="20"/>
        </w:rPr>
        <w:t> </w:t>
      </w:r>
      <w:r>
        <w:rPr>
          <w:rFonts w:ascii="Book Antiqua"/>
          <w:b/>
          <w:color w:val="231F20"/>
          <w:sz w:val="20"/>
        </w:rPr>
        <w:t>Split Vertically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992" name="Image 992"/>
            <wp:cNvGraphicFramePr>
              <a:graphicFrameLocks/>
            </wp:cNvGraphicFramePr>
            <a:graphic>
              <a:graphicData uri="http://schemas.openxmlformats.org/drawingml/2006/picture">
                <pic:pic>
                  <pic:nvPicPr>
                    <pic:cNvPr id="992" name="Image 992"/>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position w:val="-1"/>
          <w:sz w:val="20"/>
        </w:rPr>
        <w:t> </w:t>
      </w:r>
      <w:r>
        <w:rPr>
          <w:rFonts w:ascii="Book Antiqua"/>
          <w:b/>
          <w:color w:val="231F20"/>
          <w:sz w:val="20"/>
        </w:rPr>
        <w:t>Split Horizontally </w:t>
      </w:r>
      <w:r>
        <w:rPr>
          <w:color w:val="231F20"/>
          <w:sz w:val="20"/>
        </w:rPr>
        <w:t>in an existing view. The pane divides and a duplicate </w:t>
      </w:r>
      <w:r>
        <w:rPr>
          <w:color w:val="231F20"/>
          <w:sz w:val="20"/>
        </w:rPr>
        <w:t>is created. If you split the Navigator, the new view is empty. If you want to replace a view with a different type of view, skip this step.</w:t>
      </w:r>
    </w:p>
    <w:p>
      <w:pPr>
        <w:pStyle w:val="ListParagraph"/>
        <w:numPr>
          <w:ilvl w:val="0"/>
          <w:numId w:val="51"/>
        </w:numPr>
        <w:tabs>
          <w:tab w:pos="2788" w:val="left" w:leader="none"/>
        </w:tabs>
        <w:spacing w:line="213" w:lineRule="auto" w:before="57" w:after="0"/>
        <w:ind w:left="2788" w:right="396" w:hanging="316"/>
        <w:jc w:val="left"/>
        <w:rPr>
          <w:sz w:val="20"/>
        </w:rPr>
      </w:pPr>
      <w:r>
        <w:rPr>
          <w:color w:val="231F20"/>
          <w:sz w:val="20"/>
        </w:rPr>
        <w:t>Click</w:t>
      </w:r>
      <w:r>
        <w:rPr>
          <w:color w:val="231F20"/>
          <w:spacing w:val="36"/>
          <w:sz w:val="20"/>
        </w:rPr>
        <w:t> </w:t>
      </w:r>
      <w:r>
        <w:rPr>
          <w:color w:val="231F20"/>
          <w:spacing w:val="-24"/>
          <w:position w:val="-1"/>
          <w:sz w:val="20"/>
        </w:rPr>
        <w:drawing>
          <wp:inline distT="0" distB="0" distL="0" distR="0">
            <wp:extent cx="95250" cy="95250"/>
            <wp:effectExtent l="0" t="0" r="0" b="0"/>
            <wp:docPr id="993" name="Image 993"/>
            <wp:cNvGraphicFramePr>
              <a:graphicFrameLocks/>
            </wp:cNvGraphicFramePr>
            <a:graphic>
              <a:graphicData uri="http://schemas.openxmlformats.org/drawingml/2006/picture">
                <pic:pic>
                  <pic:nvPicPr>
                    <pic:cNvPr id="993" name="Image 993"/>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33"/>
          <w:sz w:val="20"/>
        </w:rPr>
        <w:t> </w:t>
      </w:r>
      <w:r>
        <w:rPr>
          <w:rFonts w:ascii="Book Antiqua"/>
          <w:b/>
          <w:color w:val="231F20"/>
          <w:sz w:val="20"/>
        </w:rPr>
        <w:t>Table</w:t>
      </w:r>
      <w:r>
        <w:rPr>
          <w:color w:val="231F20"/>
          <w:sz w:val="20"/>
        </w:rPr>
        <w:t>. The mouse pointer changes to the view icon (hand icon on Linux). If you get the wrong icon or decide not to add the view, press Escape</w:t>
      </w:r>
      <w:r>
        <w:rPr>
          <w:color w:val="231F20"/>
          <w:spacing w:val="40"/>
          <w:sz w:val="20"/>
        </w:rPr>
        <w:t> </w:t>
      </w:r>
      <w:r>
        <w:rPr>
          <w:color w:val="231F20"/>
          <w:sz w:val="20"/>
        </w:rPr>
        <w:t>or click somewhere in the toolbar.</w:t>
      </w:r>
    </w:p>
    <w:p>
      <w:pPr>
        <w:spacing w:after="0" w:line="213" w:lineRule="auto"/>
        <w:jc w:val="left"/>
        <w:rPr>
          <w:sz w:val="20"/>
        </w:rPr>
        <w:sectPr>
          <w:type w:val="continuous"/>
          <w:pgSz w:w="12240" w:h="15840"/>
          <w:pgMar w:header="0" w:footer="736" w:top="0" w:bottom="4660" w:left="1000" w:right="1060"/>
        </w:sectPr>
      </w:pPr>
    </w:p>
    <w:p>
      <w:pPr>
        <w:pStyle w:val="ListParagraph"/>
        <w:numPr>
          <w:ilvl w:val="0"/>
          <w:numId w:val="51"/>
        </w:numPr>
        <w:tabs>
          <w:tab w:pos="2548" w:val="left" w:leader="none"/>
        </w:tabs>
        <w:spacing w:line="213" w:lineRule="auto" w:before="85" w:after="0"/>
        <w:ind w:left="2548" w:right="672" w:hanging="316"/>
        <w:jc w:val="left"/>
        <w:rPr>
          <w:sz w:val="20"/>
        </w:rPr>
      </w:pPr>
      <w:bookmarkStart w:name="_bookmark75" w:id="167"/>
      <w:bookmarkEnd w:id="167"/>
      <w:r>
        <w:rPr/>
      </w:r>
      <w:r>
        <w:rPr>
          <w:color w:val="231F20"/>
          <w:sz w:val="20"/>
        </w:rPr>
        <w:t>Click inside the view where you want the table. If no data fills the table, you</w:t>
      </w:r>
      <w:r>
        <w:rPr>
          <w:color w:val="231F20"/>
          <w:spacing w:val="40"/>
          <w:sz w:val="20"/>
        </w:rPr>
        <w:t> </w:t>
      </w:r>
      <w:r>
        <w:rPr>
          <w:color w:val="231F20"/>
          <w:sz w:val="20"/>
        </w:rPr>
        <w:t>must choose a query for it.</w:t>
      </w:r>
    </w:p>
    <w:p>
      <w:pPr>
        <w:pStyle w:val="ListParagraph"/>
        <w:numPr>
          <w:ilvl w:val="0"/>
          <w:numId w:val="51"/>
        </w:numPr>
        <w:tabs>
          <w:tab w:pos="2546" w:val="left" w:leader="none"/>
          <w:tab w:pos="2548" w:val="left" w:leader="none"/>
        </w:tabs>
        <w:spacing w:line="213" w:lineRule="auto" w:before="58" w:after="0"/>
        <w:ind w:left="2548" w:right="724" w:hanging="317"/>
        <w:jc w:val="left"/>
        <w:rPr>
          <w:sz w:val="20"/>
        </w:rPr>
      </w:pPr>
      <w:r>
        <w:rPr>
          <w:color w:val="231F20"/>
          <w:sz w:val="20"/>
        </w:rPr>
        <w:t>If a message asks you to select a query now, click </w:t>
      </w:r>
      <w:r>
        <w:rPr>
          <w:rFonts w:ascii="Book Antiqua"/>
          <w:b/>
          <w:color w:val="231F20"/>
          <w:sz w:val="20"/>
        </w:rPr>
        <w:t>Yes </w:t>
      </w:r>
      <w:r>
        <w:rPr>
          <w:color w:val="231F20"/>
          <w:sz w:val="20"/>
        </w:rPr>
        <w:t>to open the Properties editor. Specify the data to include and the formatting of the table view:</w:t>
      </w:r>
    </w:p>
    <w:p>
      <w:pPr>
        <w:pStyle w:val="BodyText"/>
        <w:spacing w:before="9"/>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Option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528" w:hRule="atLeast"/>
        </w:trPr>
        <w:tc>
          <w:tcPr>
            <w:tcW w:w="3767" w:type="dxa"/>
          </w:tcPr>
          <w:p>
            <w:pPr>
              <w:pStyle w:val="TableParagraph"/>
              <w:ind w:left="54"/>
              <w:rPr>
                <w:sz w:val="18"/>
              </w:rPr>
            </w:pPr>
            <w:r>
              <w:rPr>
                <w:position w:val="-3"/>
              </w:rPr>
              <w:drawing>
                <wp:inline distT="0" distB="0" distL="0" distR="0">
                  <wp:extent cx="95250" cy="101600"/>
                  <wp:effectExtent l="0" t="0" r="0" b="0"/>
                  <wp:docPr id="994" name="Image 994"/>
                  <wp:cNvGraphicFramePr>
                    <a:graphicFrameLocks/>
                  </wp:cNvGraphicFramePr>
                  <a:graphic>
                    <a:graphicData uri="http://schemas.openxmlformats.org/drawingml/2006/picture">
                      <pic:pic>
                        <pic:nvPicPr>
                          <pic:cNvPr id="994" name="Image 994"/>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Query</w:t>
            </w:r>
          </w:p>
        </w:tc>
        <w:tc>
          <w:tcPr>
            <w:tcW w:w="3767" w:type="dxa"/>
          </w:tcPr>
          <w:p>
            <w:pPr>
              <w:pStyle w:val="TableParagraph"/>
              <w:spacing w:line="216" w:lineRule="auto" w:before="44"/>
              <w:ind w:right="195" w:hanging="1"/>
              <w:rPr>
                <w:sz w:val="18"/>
              </w:rPr>
            </w:pPr>
            <w:r>
              <w:rPr>
                <w:color w:val="231F20"/>
                <w:sz w:val="18"/>
              </w:rPr>
              <w:t>Select a query for the data to retrieve into the view. See </w:t>
            </w:r>
            <w:hyperlink w:history="true" w:anchor="_bookmark69">
              <w:r>
                <w:rPr>
                  <w:color w:val="231F20"/>
                  <w:sz w:val="18"/>
                </w:rPr>
                <w:t>“Query” on page 90.</w:t>
              </w:r>
            </w:hyperlink>
          </w:p>
        </w:tc>
      </w:tr>
      <w:tr>
        <w:trPr>
          <w:trHeight w:val="967" w:hRule="atLeast"/>
        </w:trPr>
        <w:tc>
          <w:tcPr>
            <w:tcW w:w="3767" w:type="dxa"/>
          </w:tcPr>
          <w:p>
            <w:pPr>
              <w:pStyle w:val="TableParagraph"/>
              <w:spacing w:before="45"/>
              <w:ind w:left="54"/>
              <w:rPr>
                <w:rFonts w:ascii="Book Antiqua"/>
                <w:b/>
                <w:sz w:val="18"/>
              </w:rPr>
            </w:pPr>
            <w:r>
              <w:rPr>
                <w:position w:val="-3"/>
              </w:rPr>
              <w:drawing>
                <wp:inline distT="0" distB="0" distL="0" distR="0">
                  <wp:extent cx="95250" cy="101600"/>
                  <wp:effectExtent l="0" t="0" r="0" b="0"/>
                  <wp:docPr id="995" name="Image 995"/>
                  <wp:cNvGraphicFramePr>
                    <a:graphicFrameLocks/>
                  </wp:cNvGraphicFramePr>
                  <a:graphic>
                    <a:graphicData uri="http://schemas.openxmlformats.org/drawingml/2006/picture">
                      <pic:pic>
                        <pic:nvPicPr>
                          <pic:cNvPr id="995" name="Image 995"/>
                          <pic:cNvPicPr/>
                        </pic:nvPicPr>
                        <pic:blipFill>
                          <a:blip r:embed="rId88"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Filters</w:t>
            </w:r>
          </w:p>
        </w:tc>
        <w:tc>
          <w:tcPr>
            <w:tcW w:w="3767" w:type="dxa"/>
          </w:tcPr>
          <w:p>
            <w:pPr>
              <w:pStyle w:val="TableParagraph"/>
              <w:spacing w:line="216" w:lineRule="auto" w:before="44"/>
              <w:ind w:right="188"/>
              <w:rPr>
                <w:sz w:val="18"/>
              </w:rPr>
            </w:pPr>
            <w:r>
              <w:rPr>
                <w:color w:val="231F20"/>
                <w:sz w:val="18"/>
              </w:rPr>
              <w:t>Specify the attributes whose values you want to exclude or include in the table </w:t>
            </w:r>
            <w:r>
              <w:rPr>
                <w:color w:val="231F20"/>
                <w:sz w:val="18"/>
              </w:rPr>
              <w:t>and, if you like, show only those values that fall within a range. See </w:t>
            </w:r>
            <w:hyperlink w:history="true" w:anchor="_bookmark70">
              <w:r>
                <w:rPr>
                  <w:color w:val="231F20"/>
                  <w:sz w:val="18"/>
                </w:rPr>
                <w:t>“Filters” on page 91.</w:t>
              </w:r>
            </w:hyperlink>
          </w:p>
        </w:tc>
      </w:tr>
      <w:tr>
        <w:trPr>
          <w:trHeight w:val="528" w:hRule="atLeast"/>
        </w:trPr>
        <w:tc>
          <w:tcPr>
            <w:tcW w:w="3767" w:type="dxa"/>
          </w:tcPr>
          <w:p>
            <w:pPr>
              <w:pStyle w:val="TableParagraph"/>
              <w:spacing w:before="45"/>
              <w:ind w:left="54"/>
              <w:rPr>
                <w:rFonts w:ascii="Book Antiqua"/>
                <w:b/>
                <w:sz w:val="18"/>
              </w:rPr>
            </w:pPr>
            <w:r>
              <w:rPr>
                <w:position w:val="-3"/>
              </w:rPr>
              <w:drawing>
                <wp:inline distT="0" distB="0" distL="0" distR="0">
                  <wp:extent cx="88900" cy="95250"/>
                  <wp:effectExtent l="0" t="0" r="0" b="0"/>
                  <wp:docPr id="996" name="Image 996"/>
                  <wp:cNvGraphicFramePr>
                    <a:graphicFrameLocks/>
                  </wp:cNvGraphicFramePr>
                  <a:graphic>
                    <a:graphicData uri="http://schemas.openxmlformats.org/drawingml/2006/picture">
                      <pic:pic>
                        <pic:nvPicPr>
                          <pic:cNvPr id="996" name="Image 996"/>
                          <pic:cNvPicPr/>
                        </pic:nvPicPr>
                        <pic:blipFill>
                          <a:blip r:embed="rId102" cstate="print"/>
                          <a:stretch>
                            <a:fillRect/>
                          </a:stretch>
                        </pic:blipFill>
                        <pic:spPr>
                          <a:xfrm>
                            <a:off x="0" y="0"/>
                            <a:ext cx="889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Thresholds</w:t>
            </w:r>
          </w:p>
        </w:tc>
        <w:tc>
          <w:tcPr>
            <w:tcW w:w="3767" w:type="dxa"/>
          </w:tcPr>
          <w:p>
            <w:pPr>
              <w:pStyle w:val="TableParagraph"/>
              <w:spacing w:line="216" w:lineRule="auto" w:before="44"/>
              <w:rPr>
                <w:sz w:val="18"/>
              </w:rPr>
            </w:pPr>
            <w:r>
              <w:rPr>
                <w:color w:val="231F20"/>
                <w:sz w:val="18"/>
              </w:rPr>
              <w:t>Highlight cells that fall outside a </w:t>
            </w:r>
            <w:r>
              <w:rPr>
                <w:color w:val="231F20"/>
                <w:sz w:val="18"/>
              </w:rPr>
              <w:t>threshold value. See </w:t>
            </w:r>
            <w:hyperlink w:history="true" w:anchor="_bookmark71">
              <w:r>
                <w:rPr>
                  <w:color w:val="231F20"/>
                  <w:sz w:val="18"/>
                </w:rPr>
                <w:t>“Thresholds” on page 93.</w:t>
              </w:r>
            </w:hyperlink>
          </w:p>
        </w:tc>
      </w:tr>
      <w:tr>
        <w:trPr>
          <w:trHeight w:val="533" w:hRule="atLeast"/>
        </w:trPr>
        <w:tc>
          <w:tcPr>
            <w:tcW w:w="3767" w:type="dxa"/>
          </w:tcPr>
          <w:p>
            <w:pPr>
              <w:pStyle w:val="TableParagraph"/>
              <w:spacing w:before="45"/>
              <w:ind w:left="54"/>
              <w:rPr>
                <w:rFonts w:ascii="Book Antiqua"/>
                <w:b/>
                <w:sz w:val="18"/>
              </w:rPr>
            </w:pPr>
            <w:r>
              <w:rPr>
                <w:position w:val="-3"/>
              </w:rPr>
              <w:drawing>
                <wp:inline distT="0" distB="0" distL="0" distR="0">
                  <wp:extent cx="95250" cy="95250"/>
                  <wp:effectExtent l="0" t="0" r="0" b="0"/>
                  <wp:docPr id="997" name="Image 997"/>
                  <wp:cNvGraphicFramePr>
                    <a:graphicFrameLocks/>
                  </wp:cNvGraphicFramePr>
                  <a:graphic>
                    <a:graphicData uri="http://schemas.openxmlformats.org/drawingml/2006/picture">
                      <pic:pic>
                        <pic:nvPicPr>
                          <pic:cNvPr id="997" name="Image 997"/>
                          <pic:cNvPicPr/>
                        </pic:nvPicPr>
                        <pic:blipFill>
                          <a:blip r:embed="rId10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Style</w:t>
            </w:r>
          </w:p>
        </w:tc>
        <w:tc>
          <w:tcPr>
            <w:tcW w:w="3767" w:type="dxa"/>
          </w:tcPr>
          <w:p>
            <w:pPr>
              <w:pStyle w:val="TableParagraph"/>
              <w:spacing w:line="216" w:lineRule="auto" w:before="44"/>
              <w:rPr>
                <w:sz w:val="18"/>
              </w:rPr>
            </w:pPr>
            <w:r>
              <w:rPr>
                <w:color w:val="231F20"/>
                <w:sz w:val="18"/>
              </w:rPr>
              <w:t>Change and enhance the appearance of </w:t>
            </w:r>
            <w:r>
              <w:rPr>
                <w:color w:val="231F20"/>
                <w:sz w:val="18"/>
              </w:rPr>
              <w:t>the table. See </w:t>
            </w:r>
            <w:hyperlink w:history="true" w:anchor="_bookmark72">
              <w:r>
                <w:rPr>
                  <w:color w:val="231F20"/>
                  <w:sz w:val="18"/>
                </w:rPr>
                <w:t>“Style” on page 94.</w:t>
              </w:r>
            </w:hyperlink>
          </w:p>
        </w:tc>
      </w:tr>
    </w:tbl>
    <w:p>
      <w:pPr>
        <w:pStyle w:val="BodyText"/>
        <w:spacing w:before="101"/>
      </w:pPr>
    </w:p>
    <w:p>
      <w:pPr>
        <w:pStyle w:val="Heading4"/>
        <w:spacing w:before="1"/>
      </w:pPr>
      <w:r>
        <w:rPr>
          <w:color w:val="231F20"/>
          <w:spacing w:val="-2"/>
        </w:rPr>
        <w:t>Results</w:t>
      </w:r>
    </w:p>
    <w:p>
      <w:pPr>
        <w:pStyle w:val="BodyText"/>
        <w:spacing w:line="213" w:lineRule="auto" w:before="241"/>
        <w:ind w:left="2232" w:right="545"/>
      </w:pPr>
      <w:r>
        <w:rPr>
          <w:color w:val="231F20"/>
        </w:rPr>
        <w:t>The query collects data samplings from the managed systems that are assigned </w:t>
      </w:r>
      <w:r>
        <w:rPr>
          <w:color w:val="231F20"/>
        </w:rPr>
        <w:t>to the Navigator item and populates the view with them.</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To see the assigned managed systems, right-click the current Navigator item </w:t>
      </w:r>
      <w:r>
        <w:rPr>
          <w:color w:val="231F20"/>
        </w:rPr>
        <w:t>and click</w:t>
      </w:r>
      <w:r>
        <w:rPr>
          <w:color w:val="231F20"/>
          <w:spacing w:val="16"/>
        </w:rPr>
        <w:t> </w:t>
      </w:r>
      <w:r>
        <w:rPr>
          <w:color w:val="231F20"/>
          <w:spacing w:val="16"/>
          <w:position w:val="-1"/>
        </w:rPr>
        <w:drawing>
          <wp:inline distT="0" distB="0" distL="0" distR="0">
            <wp:extent cx="101600" cy="95250"/>
            <wp:effectExtent l="0" t="0" r="0" b="0"/>
            <wp:docPr id="998" name="Image 998"/>
            <wp:cNvGraphicFramePr>
              <a:graphicFrameLocks/>
            </wp:cNvGraphicFramePr>
            <a:graphic>
              <a:graphicData uri="http://schemas.openxmlformats.org/drawingml/2006/picture">
                <pic:pic>
                  <pic:nvPicPr>
                    <pic:cNvPr id="998" name="Image 998"/>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2"/>
        </w:rPr>
        <w:t> </w:t>
      </w:r>
      <w:r>
        <w:rPr>
          <w:color w:val="231F20"/>
        </w:rPr>
        <w:t>Properties.</w:t>
      </w:r>
    </w:p>
    <w:p>
      <w:pPr>
        <w:pStyle w:val="BodyText"/>
        <w:spacing w:line="213" w:lineRule="auto" w:before="238"/>
        <w:ind w:left="2232" w:right="493"/>
      </w:pPr>
      <w:r>
        <w:rPr>
          <w:color w:val="231F20"/>
        </w:rPr>
        <w:t>If the attribute group specified in the query has historical data collection </w:t>
      </w:r>
      <w:r>
        <w:rPr>
          <w:color w:val="231F20"/>
        </w:rPr>
        <w:t>enabled, you can specify a time period to show.</w:t>
      </w:r>
    </w:p>
    <w:p>
      <w:pPr>
        <w:pStyle w:val="BodyText"/>
        <w:spacing w:line="255" w:lineRule="exact" w:before="215"/>
        <w:ind w:left="2232"/>
      </w:pPr>
      <w:r>
        <w:rPr>
          <w:color w:val="231F20"/>
        </w:rPr>
        <w:t>To</w:t>
      </w:r>
      <w:r>
        <w:rPr>
          <w:color w:val="231F20"/>
          <w:spacing w:val="9"/>
        </w:rPr>
        <w:t> </w:t>
      </w:r>
      <w:r>
        <w:rPr>
          <w:color w:val="231F20"/>
        </w:rPr>
        <w:t>keep</w:t>
      </w:r>
      <w:r>
        <w:rPr>
          <w:color w:val="231F20"/>
          <w:spacing w:val="10"/>
        </w:rPr>
        <w:t> </w:t>
      </w:r>
      <w:r>
        <w:rPr>
          <w:color w:val="231F20"/>
        </w:rPr>
        <w:t>the</w:t>
      </w:r>
      <w:r>
        <w:rPr>
          <w:color w:val="231F20"/>
          <w:spacing w:val="10"/>
        </w:rPr>
        <w:t> </w:t>
      </w:r>
      <w:r>
        <w:rPr>
          <w:color w:val="231F20"/>
        </w:rPr>
        <w:t>table</w:t>
      </w:r>
      <w:r>
        <w:rPr>
          <w:color w:val="231F20"/>
          <w:spacing w:val="10"/>
        </w:rPr>
        <w:t> </w:t>
      </w:r>
      <w:r>
        <w:rPr>
          <w:color w:val="231F20"/>
        </w:rPr>
        <w:t>view</w:t>
      </w:r>
      <w:r>
        <w:rPr>
          <w:color w:val="231F20"/>
          <w:spacing w:val="9"/>
        </w:rPr>
        <w:t> </w:t>
      </w:r>
      <w:r>
        <w:rPr>
          <w:color w:val="231F20"/>
        </w:rPr>
        <w:t>in</w:t>
      </w:r>
      <w:r>
        <w:rPr>
          <w:color w:val="231F20"/>
          <w:spacing w:val="10"/>
        </w:rPr>
        <w:t> </w:t>
      </w:r>
      <w:r>
        <w:rPr>
          <w:color w:val="231F20"/>
        </w:rPr>
        <w:t>this</w:t>
      </w:r>
      <w:r>
        <w:rPr>
          <w:color w:val="231F20"/>
          <w:spacing w:val="10"/>
        </w:rPr>
        <w:t> </w:t>
      </w:r>
      <w:r>
        <w:rPr>
          <w:color w:val="231F20"/>
        </w:rPr>
        <w:t>workspace</w:t>
      </w:r>
      <w:r>
        <w:rPr>
          <w:color w:val="231F20"/>
          <w:spacing w:val="10"/>
        </w:rPr>
        <w:t> </w:t>
      </w:r>
      <w:r>
        <w:rPr>
          <w:color w:val="231F20"/>
        </w:rPr>
        <w:t>for</w:t>
      </w:r>
      <w:r>
        <w:rPr>
          <w:color w:val="231F20"/>
          <w:spacing w:val="9"/>
        </w:rPr>
        <w:t> </w:t>
      </w:r>
      <w:r>
        <w:rPr>
          <w:color w:val="231F20"/>
        </w:rPr>
        <w:t>future</w:t>
      </w:r>
      <w:r>
        <w:rPr>
          <w:color w:val="231F20"/>
          <w:spacing w:val="10"/>
        </w:rPr>
        <w:t> </w:t>
      </w:r>
      <w:r>
        <w:rPr>
          <w:color w:val="231F20"/>
        </w:rPr>
        <w:t>work</w:t>
      </w:r>
      <w:r>
        <w:rPr>
          <w:color w:val="231F20"/>
          <w:spacing w:val="10"/>
        </w:rPr>
        <w:t> </w:t>
      </w:r>
      <w:r>
        <w:rPr>
          <w:color w:val="231F20"/>
        </w:rPr>
        <w:t>sessions,</w:t>
      </w:r>
      <w:r>
        <w:rPr>
          <w:color w:val="231F20"/>
          <w:spacing w:val="10"/>
        </w:rPr>
        <w:t> </w:t>
      </w:r>
      <w:r>
        <w:rPr>
          <w:color w:val="231F20"/>
        </w:rPr>
        <w:t>either</w:t>
      </w:r>
      <w:r>
        <w:rPr>
          <w:color w:val="231F20"/>
          <w:spacing w:val="10"/>
        </w:rPr>
        <w:t> </w:t>
      </w:r>
      <w:r>
        <w:rPr>
          <w:color w:val="231F20"/>
          <w:spacing w:val="-2"/>
        </w:rPr>
        <w:t>click</w:t>
      </w:r>
    </w:p>
    <w:p>
      <w:pPr>
        <w:pStyle w:val="BodyText"/>
        <w:spacing w:line="213" w:lineRule="auto" w:before="8"/>
        <w:ind w:left="2232" w:right="763" w:firstLine="10"/>
      </w:pPr>
      <w:r>
        <w:rPr>
          <w:position w:val="-1"/>
        </w:rPr>
        <w:drawing>
          <wp:inline distT="0" distB="0" distL="0" distR="0">
            <wp:extent cx="95250" cy="95250"/>
            <wp:effectExtent l="0" t="0" r="0" b="0"/>
            <wp:docPr id="999" name="Image 999"/>
            <wp:cNvGraphicFramePr>
              <a:graphicFrameLocks/>
            </wp:cNvGraphicFramePr>
            <a:graphic>
              <a:graphicData uri="http://schemas.openxmlformats.org/drawingml/2006/picture">
                <pic:pic>
                  <pic:nvPicPr>
                    <pic:cNvPr id="999" name="Image 999"/>
                    <pic:cNvPicPr/>
                  </pic:nvPicPr>
                  <pic:blipFill>
                    <a:blip r:embed="rId27" cstate="print"/>
                    <a:stretch>
                      <a:fillRect/>
                    </a:stretch>
                  </pic:blipFill>
                  <pic:spPr>
                    <a:xfrm>
                      <a:off x="0" y="0"/>
                      <a:ext cx="95250" cy="95250"/>
                    </a:xfrm>
                    <a:prstGeom prst="rect">
                      <a:avLst/>
                    </a:prstGeom>
                  </pic:spPr>
                </pic:pic>
              </a:graphicData>
            </a:graphic>
          </wp:inline>
        </w:drawing>
      </w:r>
      <w:r>
        <w:rPr>
          <w:position w:val="-1"/>
        </w:rPr>
      </w:r>
      <w:r>
        <w:rPr>
          <w:rFonts w:ascii="Times New Roman"/>
        </w:rPr>
        <w:t> </w:t>
      </w:r>
      <w:r>
        <w:rPr>
          <w:rFonts w:ascii="Book Antiqua"/>
          <w:b/>
          <w:color w:val="231F20"/>
        </w:rPr>
        <w:t>Save </w:t>
      </w:r>
      <w:r>
        <w:rPr>
          <w:color w:val="231F20"/>
        </w:rPr>
        <w:t>to update the workspace with the new view or click </w:t>
      </w:r>
      <w:r>
        <w:rPr>
          <w:rFonts w:ascii="Book Antiqua"/>
          <w:b/>
          <w:color w:val="231F20"/>
        </w:rPr>
        <w:t>File </w:t>
      </w:r>
      <w:r>
        <w:rPr>
          <w:color w:val="231F20"/>
        </w:rPr>
        <w:t>&gt; </w:t>
      </w:r>
      <w:r>
        <w:rPr>
          <w:rFonts w:ascii="Book Antiqua"/>
          <w:b/>
          <w:color w:val="231F20"/>
        </w:rPr>
        <w:t>Save</w:t>
      </w:r>
      <w:r>
        <w:rPr>
          <w:rFonts w:ascii="Book Antiqua"/>
          <w:b/>
          <w:color w:val="231F20"/>
          <w:spacing w:val="40"/>
        </w:rPr>
        <w:t> </w:t>
      </w:r>
      <w:r>
        <w:rPr>
          <w:rFonts w:ascii="Book Antiqua"/>
          <w:b/>
          <w:color w:val="231F20"/>
        </w:rPr>
        <w:t>Workspace As </w:t>
      </w:r>
      <w:r>
        <w:rPr>
          <w:color w:val="231F20"/>
        </w:rPr>
        <w:t>to save this as a new workspace and leave the original </w:t>
      </w:r>
      <w:r>
        <w:rPr>
          <w:color w:val="231F20"/>
        </w:rPr>
        <w:t>workspace </w:t>
      </w:r>
      <w:bookmarkStart w:name="Table view features" w:id="168"/>
      <w:bookmarkEnd w:id="168"/>
      <w:r>
        <w:rPr>
          <w:color w:val="231F20"/>
          <w:spacing w:val="-2"/>
        </w:rPr>
        <w:t>unchanged.</w:t>
      </w:r>
    </w:p>
    <w:p>
      <w:pPr>
        <w:pStyle w:val="Heading3"/>
        <w:spacing w:before="217"/>
        <w:ind w:left="1334"/>
      </w:pPr>
      <w:r>
        <w:rPr>
          <w:color w:val="231F20"/>
        </w:rPr>
        <w:t>Table</w:t>
      </w:r>
      <w:r>
        <w:rPr>
          <w:color w:val="231F20"/>
          <w:spacing w:val="-3"/>
        </w:rPr>
        <w:t> </w:t>
      </w:r>
      <w:r>
        <w:rPr>
          <w:color w:val="231F20"/>
        </w:rPr>
        <w:t>view</w:t>
      </w:r>
      <w:r>
        <w:rPr>
          <w:color w:val="231F20"/>
          <w:spacing w:val="-2"/>
        </w:rPr>
        <w:t> features</w:t>
      </w:r>
    </w:p>
    <w:p>
      <w:pPr>
        <w:pStyle w:val="BodyText"/>
        <w:spacing w:line="213" w:lineRule="auto" w:before="58"/>
        <w:ind w:left="2232" w:right="636"/>
      </w:pPr>
      <w:r>
        <w:rPr>
          <w:color w:val="231F20"/>
        </w:rPr>
        <w:t>The table view has features for refining the display to suit your needs. The table view features allow you to refine the display of your data. These features also apply to the message log and event console views.</w:t>
      </w:r>
    </w:p>
    <w:p>
      <w:pPr>
        <w:pStyle w:val="Heading6"/>
        <w:spacing w:before="116"/>
        <w:ind w:left="2232"/>
      </w:pPr>
      <w:r>
        <w:rPr>
          <w:color w:val="231F20"/>
        </w:rPr>
        <w:t>Column</w:t>
      </w:r>
      <w:r>
        <w:rPr>
          <w:color w:val="231F20"/>
          <w:spacing w:val="8"/>
        </w:rPr>
        <w:t> </w:t>
      </w:r>
      <w:r>
        <w:rPr>
          <w:color w:val="231F20"/>
          <w:spacing w:val="-2"/>
        </w:rPr>
        <w:t>descriptions</w:t>
      </w:r>
    </w:p>
    <w:p>
      <w:pPr>
        <w:pStyle w:val="BodyText"/>
        <w:spacing w:line="213" w:lineRule="auto" w:before="12"/>
        <w:ind w:left="2951" w:right="545"/>
      </w:pPr>
      <w:r>
        <w:rPr>
          <w:color w:val="231F20"/>
        </w:rPr>
        <w:t>Descriptions of the attributes for which data is reported are displayed </w:t>
      </w:r>
      <w:r>
        <w:rPr>
          <w:color w:val="231F20"/>
        </w:rPr>
        <w:t>as hover help when you move the mouse pointer over a column heading.</w:t>
      </w:r>
    </w:p>
    <w:p>
      <w:pPr>
        <w:pStyle w:val="Heading6"/>
        <w:ind w:left="2232"/>
      </w:pPr>
      <w:r>
        <w:rPr>
          <w:color w:val="231F20"/>
        </w:rPr>
        <w:t>Column</w:t>
      </w:r>
      <w:r>
        <w:rPr>
          <w:color w:val="231F20"/>
          <w:spacing w:val="8"/>
        </w:rPr>
        <w:t> </w:t>
      </w:r>
      <w:r>
        <w:rPr>
          <w:color w:val="231F20"/>
          <w:spacing w:val="-2"/>
        </w:rPr>
        <w:t>adjustments</w:t>
      </w:r>
    </w:p>
    <w:p>
      <w:pPr>
        <w:pStyle w:val="BodyText"/>
        <w:spacing w:line="258" w:lineRule="exact"/>
        <w:ind w:left="2951"/>
      </w:pPr>
      <w:r>
        <w:rPr>
          <w:color w:val="231F20"/>
        </w:rPr>
        <w:t>You</w:t>
      </w:r>
      <w:r>
        <w:rPr>
          <w:color w:val="231F20"/>
          <w:spacing w:val="8"/>
        </w:rPr>
        <w:t> </w:t>
      </w:r>
      <w:r>
        <w:rPr>
          <w:color w:val="231F20"/>
        </w:rPr>
        <w:t>can</w:t>
      </w:r>
      <w:r>
        <w:rPr>
          <w:color w:val="231F20"/>
          <w:spacing w:val="8"/>
        </w:rPr>
        <w:t> </w:t>
      </w:r>
      <w:r>
        <w:rPr>
          <w:color w:val="231F20"/>
        </w:rPr>
        <w:t>make</w:t>
      </w:r>
      <w:r>
        <w:rPr>
          <w:color w:val="231F20"/>
          <w:spacing w:val="8"/>
        </w:rPr>
        <w:t> </w:t>
      </w:r>
      <w:r>
        <w:rPr>
          <w:color w:val="231F20"/>
        </w:rPr>
        <w:t>the</w:t>
      </w:r>
      <w:r>
        <w:rPr>
          <w:color w:val="231F20"/>
          <w:spacing w:val="8"/>
        </w:rPr>
        <w:t> </w:t>
      </w:r>
      <w:r>
        <w:rPr>
          <w:color w:val="231F20"/>
        </w:rPr>
        <w:t>following</w:t>
      </w:r>
      <w:r>
        <w:rPr>
          <w:color w:val="231F20"/>
          <w:spacing w:val="9"/>
        </w:rPr>
        <w:t> </w:t>
      </w:r>
      <w:r>
        <w:rPr>
          <w:color w:val="231F20"/>
        </w:rPr>
        <w:t>adjustments</w:t>
      </w:r>
      <w:r>
        <w:rPr>
          <w:color w:val="231F20"/>
          <w:spacing w:val="8"/>
        </w:rPr>
        <w:t> </w:t>
      </w:r>
      <w:r>
        <w:rPr>
          <w:color w:val="231F20"/>
        </w:rPr>
        <w:t>to</w:t>
      </w:r>
      <w:r>
        <w:rPr>
          <w:color w:val="231F20"/>
          <w:spacing w:val="8"/>
        </w:rPr>
        <w:t> </w:t>
      </w:r>
      <w:r>
        <w:rPr>
          <w:color w:val="231F20"/>
          <w:spacing w:val="-2"/>
        </w:rPr>
        <w:t>columns:</w:t>
      </w:r>
    </w:p>
    <w:p>
      <w:pPr>
        <w:spacing w:before="89"/>
        <w:ind w:left="2951" w:right="0" w:firstLine="0"/>
        <w:jc w:val="left"/>
        <w:rPr>
          <w:sz w:val="20"/>
        </w:rPr>
      </w:pPr>
      <w:r>
        <w:rPr>
          <w:rFonts w:ascii="Book Antiqua"/>
          <w:b/>
          <w:color w:val="231F20"/>
          <w:sz w:val="20"/>
        </w:rPr>
        <w:t>Adjust</w:t>
      </w:r>
      <w:r>
        <w:rPr>
          <w:rFonts w:ascii="Book Antiqua"/>
          <w:b/>
          <w:color w:val="231F20"/>
          <w:spacing w:val="11"/>
          <w:sz w:val="20"/>
        </w:rPr>
        <w:t> </w:t>
      </w:r>
      <w:r>
        <w:rPr>
          <w:rFonts w:ascii="Book Antiqua"/>
          <w:b/>
          <w:color w:val="231F20"/>
          <w:sz w:val="20"/>
        </w:rPr>
        <w:t>column</w:t>
      </w:r>
      <w:r>
        <w:rPr>
          <w:rFonts w:ascii="Book Antiqua"/>
          <w:b/>
          <w:color w:val="231F20"/>
          <w:spacing w:val="11"/>
          <w:sz w:val="20"/>
        </w:rPr>
        <w:t> </w:t>
      </w:r>
      <w:r>
        <w:rPr>
          <w:rFonts w:ascii="Book Antiqua"/>
          <w:b/>
          <w:color w:val="231F20"/>
          <w:sz w:val="20"/>
        </w:rPr>
        <w:t>width</w:t>
      </w:r>
      <w:r>
        <w:rPr>
          <w:rFonts w:ascii="Book Antiqua"/>
          <w:b/>
          <w:color w:val="231F20"/>
          <w:spacing w:val="11"/>
          <w:sz w:val="20"/>
        </w:rPr>
        <w:t> </w:t>
      </w:r>
      <w:r>
        <w:rPr>
          <w:color w:val="231F20"/>
          <w:sz w:val="20"/>
        </w:rPr>
        <w:t>by</w:t>
      </w:r>
      <w:r>
        <w:rPr>
          <w:color w:val="231F20"/>
          <w:spacing w:val="11"/>
          <w:sz w:val="20"/>
        </w:rPr>
        <w:t> </w:t>
      </w:r>
      <w:r>
        <w:rPr>
          <w:color w:val="231F20"/>
          <w:sz w:val="20"/>
        </w:rPr>
        <w:t>dragging</w:t>
      </w:r>
      <w:r>
        <w:rPr>
          <w:color w:val="231F20"/>
          <w:spacing w:val="11"/>
          <w:sz w:val="20"/>
        </w:rPr>
        <w:t> </w:t>
      </w:r>
      <w:r>
        <w:rPr>
          <w:color w:val="231F20"/>
          <w:sz w:val="20"/>
        </w:rPr>
        <w:t>a</w:t>
      </w:r>
      <w:r>
        <w:rPr>
          <w:color w:val="231F20"/>
          <w:spacing w:val="11"/>
          <w:sz w:val="20"/>
        </w:rPr>
        <w:t> </w:t>
      </w:r>
      <w:r>
        <w:rPr>
          <w:color w:val="231F20"/>
          <w:sz w:val="20"/>
        </w:rPr>
        <w:t>border</w:t>
      </w:r>
      <w:r>
        <w:rPr>
          <w:color w:val="231F20"/>
          <w:spacing w:val="11"/>
          <w:sz w:val="20"/>
        </w:rPr>
        <w:t> </w:t>
      </w:r>
      <w:r>
        <w:rPr>
          <w:color w:val="231F20"/>
          <w:sz w:val="20"/>
        </w:rPr>
        <w:t>left</w:t>
      </w:r>
      <w:r>
        <w:rPr>
          <w:color w:val="231F20"/>
          <w:spacing w:val="11"/>
          <w:sz w:val="20"/>
        </w:rPr>
        <w:t> </w:t>
      </w:r>
      <w:r>
        <w:rPr>
          <w:color w:val="231F20"/>
          <w:sz w:val="20"/>
        </w:rPr>
        <w:t>or</w:t>
      </w:r>
      <w:r>
        <w:rPr>
          <w:color w:val="231F20"/>
          <w:spacing w:val="11"/>
          <w:sz w:val="20"/>
        </w:rPr>
        <w:t> </w:t>
      </w:r>
      <w:r>
        <w:rPr>
          <w:color w:val="231F20"/>
          <w:spacing w:val="-2"/>
          <w:sz w:val="20"/>
        </w:rPr>
        <w:t>right.</w:t>
      </w:r>
    </w:p>
    <w:p>
      <w:pPr>
        <w:pStyle w:val="BodyText"/>
        <w:spacing w:line="213" w:lineRule="auto" w:before="113"/>
        <w:ind w:left="2951" w:right="885"/>
      </w:pPr>
      <w:r>
        <w:rPr>
          <w:rFonts w:ascii="Book Antiqua"/>
          <w:b/>
          <w:color w:val="231F20"/>
        </w:rPr>
        <w:t>Lock a column </w:t>
      </w:r>
      <w:r>
        <w:rPr>
          <w:color w:val="231F20"/>
        </w:rPr>
        <w:t>by right-clicking in the column heading and selecting</w:t>
      </w:r>
      <w:r>
        <w:rPr>
          <w:color w:val="231F20"/>
          <w:spacing w:val="40"/>
        </w:rPr>
        <w:t> </w:t>
      </w:r>
      <w:r>
        <w:rPr>
          <w:color w:val="231F20"/>
          <w:position w:val="-5"/>
        </w:rPr>
        <w:drawing>
          <wp:inline distT="0" distB="0" distL="0" distR="0">
            <wp:extent cx="127000" cy="127000"/>
            <wp:effectExtent l="0" t="0" r="0" b="0"/>
            <wp:docPr id="1000" name="Image 1000"/>
            <wp:cNvGraphicFramePr>
              <a:graphicFrameLocks/>
            </wp:cNvGraphicFramePr>
            <a:graphic>
              <a:graphicData uri="http://schemas.openxmlformats.org/drawingml/2006/picture">
                <pic:pic>
                  <pic:nvPicPr>
                    <pic:cNvPr id="1000" name="Image 1000"/>
                    <pic:cNvPicPr/>
                  </pic:nvPicPr>
                  <pic:blipFill>
                    <a:blip r:embed="rId199" cstate="print"/>
                    <a:stretch>
                      <a:fillRect/>
                    </a:stretch>
                  </pic:blipFill>
                  <pic:spPr>
                    <a:xfrm>
                      <a:off x="0" y="0"/>
                      <a:ext cx="127000" cy="127000"/>
                    </a:xfrm>
                    <a:prstGeom prst="rect">
                      <a:avLst/>
                    </a:prstGeom>
                  </pic:spPr>
                </pic:pic>
              </a:graphicData>
            </a:graphic>
          </wp:inline>
        </w:drawing>
      </w:r>
      <w:r>
        <w:rPr>
          <w:color w:val="231F20"/>
          <w:position w:val="-5"/>
        </w:rPr>
      </w:r>
      <w:r>
        <w:rPr>
          <w:rFonts w:ascii="Times New Roman"/>
          <w:color w:val="231F20"/>
          <w:spacing w:val="-5"/>
        </w:rPr>
        <w:t> </w:t>
      </w:r>
      <w:r>
        <w:rPr>
          <w:color w:val="231F20"/>
        </w:rPr>
        <w:t>Lock</w:t>
      </w:r>
      <w:r>
        <w:rPr>
          <w:color w:val="231F20"/>
          <w:spacing w:val="12"/>
        </w:rPr>
        <w:t> </w:t>
      </w:r>
      <w:r>
        <w:rPr>
          <w:color w:val="231F20"/>
        </w:rPr>
        <w:t>this</w:t>
      </w:r>
      <w:r>
        <w:rPr>
          <w:color w:val="231F20"/>
          <w:spacing w:val="12"/>
        </w:rPr>
        <w:t> </w:t>
      </w:r>
      <w:r>
        <w:rPr>
          <w:color w:val="231F20"/>
        </w:rPr>
        <w:t>Column.</w:t>
      </w:r>
      <w:r>
        <w:rPr>
          <w:color w:val="231F20"/>
          <w:spacing w:val="12"/>
        </w:rPr>
        <w:t> </w:t>
      </w:r>
      <w:r>
        <w:rPr>
          <w:color w:val="231F20"/>
        </w:rPr>
        <w:t>The</w:t>
      </w:r>
      <w:r>
        <w:rPr>
          <w:color w:val="231F20"/>
          <w:spacing w:val="12"/>
        </w:rPr>
        <w:t> </w:t>
      </w:r>
      <w:r>
        <w:rPr>
          <w:color w:val="231F20"/>
        </w:rPr>
        <w:t>column</w:t>
      </w:r>
      <w:r>
        <w:rPr>
          <w:color w:val="231F20"/>
          <w:spacing w:val="12"/>
        </w:rPr>
        <w:t> </w:t>
      </w:r>
      <w:r>
        <w:rPr>
          <w:color w:val="231F20"/>
        </w:rPr>
        <w:t>and</w:t>
      </w:r>
      <w:r>
        <w:rPr>
          <w:color w:val="231F20"/>
          <w:spacing w:val="12"/>
        </w:rPr>
        <w:t> </w:t>
      </w:r>
      <w:r>
        <w:rPr>
          <w:color w:val="231F20"/>
        </w:rPr>
        <w:t>any</w:t>
      </w:r>
      <w:r>
        <w:rPr>
          <w:color w:val="231F20"/>
          <w:spacing w:val="12"/>
        </w:rPr>
        <w:t> </w:t>
      </w:r>
      <w:r>
        <w:rPr>
          <w:color w:val="231F20"/>
        </w:rPr>
        <w:t>columns</w:t>
      </w:r>
      <w:r>
        <w:rPr>
          <w:color w:val="231F20"/>
          <w:spacing w:val="12"/>
        </w:rPr>
        <w:t> </w:t>
      </w:r>
      <w:r>
        <w:rPr>
          <w:color w:val="231F20"/>
        </w:rPr>
        <w:t>to</w:t>
      </w:r>
      <w:r>
        <w:rPr>
          <w:color w:val="231F20"/>
          <w:spacing w:val="12"/>
        </w:rPr>
        <w:t> </w:t>
      </w:r>
      <w:r>
        <w:rPr>
          <w:color w:val="231F20"/>
        </w:rPr>
        <w:t>left</w:t>
      </w:r>
      <w:r>
        <w:rPr>
          <w:color w:val="231F20"/>
          <w:spacing w:val="12"/>
        </w:rPr>
        <w:t> </w:t>
      </w:r>
      <w:r>
        <w:rPr>
          <w:color w:val="231F20"/>
        </w:rPr>
        <w:t>are</w:t>
      </w:r>
      <w:r>
        <w:rPr>
          <w:color w:val="231F20"/>
          <w:spacing w:val="12"/>
        </w:rPr>
        <w:t> </w:t>
      </w:r>
      <w:r>
        <w:rPr>
          <w:color w:val="231F20"/>
        </w:rPr>
        <w:t>fixed</w:t>
      </w:r>
      <w:r>
        <w:rPr>
          <w:color w:val="231F20"/>
          <w:spacing w:val="12"/>
        </w:rPr>
        <w:t> </w:t>
      </w:r>
      <w:r>
        <w:rPr>
          <w:color w:val="231F20"/>
        </w:rPr>
        <w:t>in</w:t>
      </w:r>
    </w:p>
    <w:p>
      <w:pPr>
        <w:pStyle w:val="BodyText"/>
        <w:spacing w:line="213" w:lineRule="auto"/>
        <w:ind w:left="2951" w:right="545"/>
      </w:pPr>
      <w:r>
        <w:rPr>
          <w:color w:val="231F20"/>
        </w:rPr>
        <w:t>place as you scroll the table left or right. To unlock, right-click a </w:t>
      </w:r>
      <w:r>
        <w:rPr>
          <w:color w:val="231F20"/>
        </w:rPr>
        <w:t>column heading and select </w:t>
      </w:r>
      <w:r>
        <w:rPr>
          <w:color w:val="231F20"/>
          <w:spacing w:val="16"/>
          <w:position w:val="-1"/>
        </w:rPr>
        <w:drawing>
          <wp:inline distT="0" distB="0" distL="0" distR="0">
            <wp:extent cx="101600" cy="101600"/>
            <wp:effectExtent l="0" t="0" r="0" b="0"/>
            <wp:docPr id="1001" name="Image 1001"/>
            <wp:cNvGraphicFramePr>
              <a:graphicFrameLocks/>
            </wp:cNvGraphicFramePr>
            <a:graphic>
              <a:graphicData uri="http://schemas.openxmlformats.org/drawingml/2006/picture">
                <pic:pic>
                  <pic:nvPicPr>
                    <pic:cNvPr id="1001" name="Image 1001"/>
                    <pic:cNvPicPr/>
                  </pic:nvPicPr>
                  <pic:blipFill>
                    <a:blip r:embed="rId20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Unlock Table Columns.</w:t>
      </w:r>
    </w:p>
    <w:p>
      <w:pPr>
        <w:spacing w:line="213" w:lineRule="auto" w:before="112"/>
        <w:ind w:left="2951" w:right="603" w:firstLine="0"/>
        <w:jc w:val="left"/>
        <w:rPr>
          <w:sz w:val="20"/>
        </w:rPr>
      </w:pPr>
      <w:r>
        <w:rPr>
          <w:rFonts w:ascii="Book Antiqua"/>
          <w:b/>
          <w:color w:val="231F20"/>
          <w:sz w:val="20"/>
        </w:rPr>
        <w:t>Change column order </w:t>
      </w:r>
      <w:r>
        <w:rPr>
          <w:color w:val="231F20"/>
          <w:sz w:val="20"/>
        </w:rPr>
        <w:t>by dragging a column heading and dropping </w:t>
      </w:r>
      <w:r>
        <w:rPr>
          <w:color w:val="231F20"/>
          <w:sz w:val="20"/>
        </w:rPr>
        <w:t>to insert it between two columns.</w:t>
      </w:r>
    </w:p>
    <w:p>
      <w:pPr>
        <w:spacing w:after="0" w:line="213" w:lineRule="auto"/>
        <w:jc w:val="left"/>
        <w:rPr>
          <w:sz w:val="20"/>
        </w:rPr>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spacing w:before="51"/>
      </w:pPr>
    </w:p>
    <w:p>
      <w:pPr>
        <w:pStyle w:val="Heading6"/>
        <w:spacing w:line="240" w:lineRule="auto" w:before="0"/>
        <w:ind w:left="0"/>
        <w:jc w:val="right"/>
      </w:pPr>
      <w:bookmarkStart w:name="_bookmark76" w:id="169"/>
      <w:bookmarkEnd w:id="169"/>
      <w:r>
        <w:rPr>
          <w:b w:val="0"/>
        </w:rPr>
      </w:r>
      <w:r>
        <w:rPr>
          <w:b w:val="0"/>
          <w:position w:val="-1"/>
        </w:rPr>
        <w:drawing>
          <wp:inline distT="0" distB="0" distL="0" distR="0">
            <wp:extent cx="101600" cy="101600"/>
            <wp:effectExtent l="0" t="0" r="0" b="0"/>
            <wp:docPr id="1002" name="Image 1002"/>
            <wp:cNvGraphicFramePr>
              <a:graphicFrameLocks/>
            </wp:cNvGraphicFramePr>
            <a:graphic>
              <a:graphicData uri="http://schemas.openxmlformats.org/drawingml/2006/picture">
                <pic:pic>
                  <pic:nvPicPr>
                    <pic:cNvPr id="1002" name="Image 1002"/>
                    <pic:cNvPicPr/>
                  </pic:nvPicPr>
                  <pic:blipFill>
                    <a:blip r:embed="rId10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rPr>
        <w:t> </w:t>
      </w:r>
      <w:r>
        <w:rPr>
          <w:color w:val="231F20"/>
        </w:rPr>
        <w:t>Find</w:t>
      </w:r>
    </w:p>
    <w:p>
      <w:pPr>
        <w:pStyle w:val="BodyText"/>
        <w:spacing w:line="213" w:lineRule="auto" w:before="85"/>
        <w:ind w:left="47" w:right="276"/>
      </w:pPr>
      <w:r>
        <w:rPr/>
        <w:br w:type="column"/>
      </w:r>
      <w:r>
        <w:rPr>
          <w:rFonts w:ascii="Book Antiqua"/>
          <w:b/>
          <w:color w:val="231F20"/>
        </w:rPr>
        <w:t>Column sort </w:t>
      </w:r>
      <w:r>
        <w:rPr>
          <w:color w:val="231F20"/>
        </w:rPr>
        <w:t>by clicking a column heading to sort the table by that </w:t>
      </w:r>
      <w:r>
        <w:rPr>
          <w:color w:val="231F20"/>
        </w:rPr>
        <w:t>column</w:t>
      </w:r>
      <w:r>
        <w:rPr>
          <w:color w:val="231F20"/>
          <w:spacing w:val="40"/>
        </w:rPr>
        <w:t> </w:t>
      </w:r>
      <w:r>
        <w:rPr>
          <w:color w:val="231F20"/>
        </w:rPr>
        <w:t>in ascending order, clicking again for descending, and again to go back to</w:t>
      </w:r>
      <w:r>
        <w:rPr>
          <w:color w:val="231F20"/>
          <w:spacing w:val="40"/>
        </w:rPr>
        <w:t> </w:t>
      </w:r>
      <w:r>
        <w:rPr>
          <w:color w:val="231F20"/>
        </w:rPr>
        <w:t>the original arrangement. You can also build a query that specifies a sort order, which is necessary for multiple-page tables if you want all the rows sorted and not just those in the current page.</w:t>
      </w:r>
    </w:p>
    <w:p>
      <w:pPr>
        <w:pStyle w:val="BodyText"/>
        <w:spacing w:before="85"/>
      </w:pPr>
    </w:p>
    <w:p>
      <w:pPr>
        <w:pStyle w:val="BodyText"/>
        <w:spacing w:line="213" w:lineRule="auto" w:before="1"/>
        <w:ind w:left="47" w:right="276"/>
      </w:pPr>
      <w:r>
        <w:rPr>
          <w:color w:val="231F20"/>
        </w:rPr>
        <w:t>The Find function enables you to enter search criteria for the </w:t>
      </w:r>
      <w:r>
        <w:rPr>
          <w:color w:val="231F20"/>
        </w:rPr>
        <w:t>columns shown in the table.</w:t>
      </w:r>
    </w:p>
    <w:p>
      <w:pPr>
        <w:spacing w:after="0" w:line="213" w:lineRule="auto"/>
        <w:sectPr>
          <w:pgSz w:w="12240" w:h="15840"/>
          <w:pgMar w:header="0" w:footer="736" w:top="1180" w:bottom="920" w:left="1000" w:right="1060"/>
          <w:cols w:num="2" w:equalWidth="0">
            <w:col w:w="3104" w:space="40"/>
            <w:col w:w="7036"/>
          </w:cols>
        </w:sectPr>
      </w:pPr>
    </w:p>
    <w:p>
      <w:pPr>
        <w:pStyle w:val="Heading6"/>
      </w:pPr>
      <w:r>
        <w:rPr>
          <w:color w:val="231F20"/>
        </w:rPr>
        <w:t>Threshold</w:t>
      </w:r>
      <w:r>
        <w:rPr>
          <w:color w:val="231F20"/>
          <w:spacing w:val="6"/>
        </w:rPr>
        <w:t> </w:t>
      </w:r>
      <w:r>
        <w:rPr>
          <w:color w:val="231F20"/>
          <w:spacing w:val="-2"/>
        </w:rPr>
        <w:t>indicators</w:t>
      </w:r>
    </w:p>
    <w:p>
      <w:pPr>
        <w:pStyle w:val="BodyText"/>
        <w:spacing w:line="213" w:lineRule="auto" w:before="11"/>
        <w:ind w:left="3190" w:right="258"/>
      </w:pPr>
      <w:r>
        <w:rPr>
          <w:color w:val="231F20"/>
        </w:rPr>
        <w:t>Threshold cells have either a severity icon or a colored background to indicate</w:t>
      </w:r>
      <w:r>
        <w:rPr>
          <w:color w:val="231F20"/>
          <w:spacing w:val="32"/>
        </w:rPr>
        <w:t> </w:t>
      </w:r>
      <w:r>
        <w:rPr>
          <w:color w:val="231F20"/>
        </w:rPr>
        <w:t>values</w:t>
      </w:r>
      <w:r>
        <w:rPr>
          <w:color w:val="231F20"/>
          <w:spacing w:val="32"/>
        </w:rPr>
        <w:t> </w:t>
      </w:r>
      <w:r>
        <w:rPr>
          <w:color w:val="231F20"/>
        </w:rPr>
        <w:t>that</w:t>
      </w:r>
      <w:r>
        <w:rPr>
          <w:color w:val="231F20"/>
          <w:spacing w:val="32"/>
        </w:rPr>
        <w:t> </w:t>
      </w:r>
      <w:r>
        <w:rPr>
          <w:color w:val="231F20"/>
        </w:rPr>
        <w:t>meet</w:t>
      </w:r>
      <w:r>
        <w:rPr>
          <w:color w:val="231F20"/>
          <w:spacing w:val="32"/>
        </w:rPr>
        <w:t> </w:t>
      </w:r>
      <w:r>
        <w:rPr>
          <w:color w:val="231F20"/>
        </w:rPr>
        <w:t>the</w:t>
      </w:r>
      <w:r>
        <w:rPr>
          <w:color w:val="231F20"/>
          <w:spacing w:val="32"/>
        </w:rPr>
        <w:t> </w:t>
      </w:r>
      <w:r>
        <w:rPr>
          <w:color w:val="231F20"/>
        </w:rPr>
        <w:t>threshold</w:t>
      </w:r>
      <w:r>
        <w:rPr>
          <w:color w:val="231F20"/>
          <w:spacing w:val="32"/>
        </w:rPr>
        <w:t> </w:t>
      </w:r>
      <w:r>
        <w:rPr>
          <w:color w:val="231F20"/>
        </w:rPr>
        <w:t>criteria. A threshold</w:t>
      </w:r>
      <w:r>
        <w:rPr>
          <w:color w:val="231F20"/>
          <w:spacing w:val="32"/>
        </w:rPr>
        <w:t> </w:t>
      </w:r>
      <w:r>
        <w:rPr>
          <w:color w:val="231F20"/>
        </w:rPr>
        <w:t>column heading has an indicator, such as </w:t>
      </w:r>
      <w:r>
        <w:rPr>
          <w:color w:val="231F20"/>
          <w:spacing w:val="-25"/>
          <w:position w:val="-1"/>
        </w:rPr>
        <w:drawing>
          <wp:inline distT="0" distB="0" distL="0" distR="0">
            <wp:extent cx="95250" cy="95250"/>
            <wp:effectExtent l="0" t="0" r="0" b="0"/>
            <wp:docPr id="1003" name="Image 1003"/>
            <wp:cNvGraphicFramePr>
              <a:graphicFrameLocks/>
            </wp:cNvGraphicFramePr>
            <a:graphic>
              <a:graphicData uri="http://schemas.openxmlformats.org/drawingml/2006/picture">
                <pic:pic>
                  <pic:nvPicPr>
                    <pic:cNvPr id="1003" name="Image 1003"/>
                    <pic:cNvPicPr/>
                  </pic:nvPicPr>
                  <pic:blipFill>
                    <a:blip r:embed="rId16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Minor, that you can click to sort the column by the threshold value. If the column has multiple thresholds assigned, the highest level indicator is displayed. When threshold cells do not show in the viewable area, the scroll button is colored or has a severity icon to show where to click to see them.</w:t>
      </w:r>
    </w:p>
    <w:p>
      <w:pPr>
        <w:pStyle w:val="Heading6"/>
        <w:spacing w:before="114"/>
      </w:pPr>
      <w:r>
        <w:rPr>
          <w:color w:val="231F20"/>
        </w:rPr>
        <w:t>Link</w:t>
      </w:r>
      <w:r>
        <w:rPr>
          <w:color w:val="231F20"/>
          <w:spacing w:val="11"/>
        </w:rPr>
        <w:t> </w:t>
      </w:r>
      <w:r>
        <w:rPr>
          <w:color w:val="231F20"/>
          <w:spacing w:val="-2"/>
        </w:rPr>
        <w:t>indicators</w:t>
      </w:r>
    </w:p>
    <w:p>
      <w:pPr>
        <w:pStyle w:val="BodyText"/>
        <w:spacing w:line="213" w:lineRule="auto" w:before="11"/>
        <w:ind w:left="3190" w:right="292"/>
      </w:pPr>
      <w:r>
        <w:rPr>
          <w:position w:val="-1"/>
        </w:rPr>
        <w:drawing>
          <wp:inline distT="0" distB="0" distL="0" distR="0">
            <wp:extent cx="101600" cy="101600"/>
            <wp:effectExtent l="0" t="0" r="0" b="0"/>
            <wp:docPr id="1004" name="Image 1004"/>
            <wp:cNvGraphicFramePr>
              <a:graphicFrameLocks/>
            </wp:cNvGraphicFramePr>
            <a:graphic>
              <a:graphicData uri="http://schemas.openxmlformats.org/drawingml/2006/picture">
                <pic:pic>
                  <pic:nvPicPr>
                    <pic:cNvPr id="1004" name="Image 1004"/>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Link indicators appear to the left of a row if the table has a link filtered</w:t>
      </w:r>
      <w:r>
        <w:rPr>
          <w:color w:val="231F20"/>
          <w:spacing w:val="80"/>
        </w:rPr>
        <w:t> </w:t>
      </w:r>
      <w:r>
        <w:rPr>
          <w:color w:val="231F20"/>
        </w:rPr>
        <w:t>by</w:t>
      </w:r>
      <w:r>
        <w:rPr>
          <w:color w:val="231F20"/>
          <w:spacing w:val="26"/>
        </w:rPr>
        <w:t> </w:t>
      </w:r>
      <w:r>
        <w:rPr>
          <w:color w:val="231F20"/>
        </w:rPr>
        <w:t>one</w:t>
      </w:r>
      <w:r>
        <w:rPr>
          <w:color w:val="231F20"/>
          <w:spacing w:val="26"/>
        </w:rPr>
        <w:t> </w:t>
      </w:r>
      <w:r>
        <w:rPr>
          <w:color w:val="231F20"/>
        </w:rPr>
        <w:t>or</w:t>
      </w:r>
      <w:r>
        <w:rPr>
          <w:color w:val="231F20"/>
          <w:spacing w:val="26"/>
        </w:rPr>
        <w:t> </w:t>
      </w:r>
      <w:r>
        <w:rPr>
          <w:color w:val="231F20"/>
        </w:rPr>
        <w:t>more</w:t>
      </w:r>
      <w:r>
        <w:rPr>
          <w:color w:val="231F20"/>
          <w:spacing w:val="26"/>
        </w:rPr>
        <w:t> </w:t>
      </w:r>
      <w:r>
        <w:rPr>
          <w:color w:val="231F20"/>
        </w:rPr>
        <w:t>row</w:t>
      </w:r>
      <w:r>
        <w:rPr>
          <w:color w:val="231F20"/>
          <w:spacing w:val="26"/>
        </w:rPr>
        <w:t> </w:t>
      </w:r>
      <w:r>
        <w:rPr>
          <w:color w:val="231F20"/>
        </w:rPr>
        <w:t>values.</w:t>
      </w:r>
      <w:r>
        <w:rPr>
          <w:color w:val="231F20"/>
          <w:spacing w:val="26"/>
        </w:rPr>
        <w:t> </w:t>
      </w:r>
      <w:r>
        <w:rPr>
          <w:color w:val="231F20"/>
        </w:rPr>
        <w:t>Click</w:t>
      </w:r>
      <w:r>
        <w:rPr>
          <w:color w:val="231F20"/>
          <w:spacing w:val="26"/>
        </w:rPr>
        <w:t> </w:t>
      </w:r>
      <w:r>
        <w:rPr>
          <w:color w:val="231F20"/>
        </w:rPr>
        <w:t>the</w:t>
      </w:r>
      <w:r>
        <w:rPr>
          <w:color w:val="231F20"/>
          <w:spacing w:val="15"/>
        </w:rPr>
        <w:t> </w:t>
      </w:r>
      <w:r>
        <w:rPr>
          <w:color w:val="231F20"/>
          <w:spacing w:val="15"/>
          <w:position w:val="-1"/>
        </w:rPr>
        <w:drawing>
          <wp:inline distT="0" distB="0" distL="0" distR="0">
            <wp:extent cx="101600" cy="101600"/>
            <wp:effectExtent l="0" t="0" r="0" b="0"/>
            <wp:docPr id="1005" name="Image 1005"/>
            <wp:cNvGraphicFramePr>
              <a:graphicFrameLocks/>
            </wp:cNvGraphicFramePr>
            <a:graphic>
              <a:graphicData uri="http://schemas.openxmlformats.org/drawingml/2006/picture">
                <pic:pic>
                  <pic:nvPicPr>
                    <pic:cNvPr id="1005" name="Image 1005"/>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indicator</w:t>
      </w:r>
      <w:r>
        <w:rPr>
          <w:color w:val="231F20"/>
          <w:spacing w:val="26"/>
        </w:rPr>
        <w:t> </w:t>
      </w:r>
      <w:r>
        <w:rPr>
          <w:color w:val="231F20"/>
        </w:rPr>
        <w:t>to</w:t>
      </w:r>
      <w:r>
        <w:rPr>
          <w:color w:val="231F20"/>
          <w:spacing w:val="26"/>
        </w:rPr>
        <w:t> </w:t>
      </w:r>
      <w:r>
        <w:rPr>
          <w:color w:val="231F20"/>
        </w:rPr>
        <w:t>open</w:t>
      </w:r>
      <w:r>
        <w:rPr>
          <w:color w:val="231F20"/>
          <w:spacing w:val="26"/>
        </w:rPr>
        <w:t> </w:t>
      </w:r>
      <w:r>
        <w:rPr>
          <w:color w:val="231F20"/>
        </w:rPr>
        <w:t>the</w:t>
      </w:r>
      <w:r>
        <w:rPr>
          <w:color w:val="231F20"/>
          <w:spacing w:val="26"/>
        </w:rPr>
        <w:t> </w:t>
      </w:r>
      <w:r>
        <w:rPr>
          <w:color w:val="231F20"/>
        </w:rPr>
        <w:t>default linked workspace or, if no default link has been assigned, a list of </w:t>
      </w:r>
      <w:r>
        <w:rPr>
          <w:color w:val="231F20"/>
        </w:rPr>
        <w:t>available links. You can also right-click the indicator to get a list of available links or</w:t>
      </w:r>
      <w:r>
        <w:rPr>
          <w:color w:val="231F20"/>
          <w:spacing w:val="40"/>
        </w:rPr>
        <w:t> </w:t>
      </w:r>
      <w:r>
        <w:rPr>
          <w:color w:val="231F20"/>
        </w:rPr>
        <w:t>to open the link wizard to define a link.</w:t>
      </w:r>
    </w:p>
    <w:p>
      <w:pPr>
        <w:pStyle w:val="Heading6"/>
        <w:spacing w:line="232" w:lineRule="exact" w:before="115"/>
      </w:pPr>
      <w:r>
        <w:rPr>
          <w:color w:val="231F20"/>
        </w:rPr>
        <w:t>Multiple</w:t>
      </w:r>
      <w:r>
        <w:rPr>
          <w:color w:val="231F20"/>
          <w:spacing w:val="7"/>
        </w:rPr>
        <w:t> </w:t>
      </w:r>
      <w:r>
        <w:rPr>
          <w:color w:val="231F20"/>
          <w:spacing w:val="-2"/>
        </w:rPr>
        <w:t>pages</w:t>
      </w:r>
    </w:p>
    <w:p>
      <w:pPr>
        <w:pStyle w:val="BodyText"/>
        <w:spacing w:line="211" w:lineRule="auto" w:before="16"/>
        <w:ind w:left="3190" w:right="293"/>
      </w:pPr>
      <w:r>
        <w:rPr>
          <w:color w:val="231F20"/>
        </w:rPr>
        <w:t>Multiple pages, a page being 100 rows, are indicated by </w:t>
      </w:r>
      <w:r>
        <w:rPr>
          <w:color w:val="231F20"/>
          <w:spacing w:val="15"/>
        </w:rPr>
        <w:drawing>
          <wp:inline distT="0" distB="0" distL="0" distR="0">
            <wp:extent cx="82550" cy="82550"/>
            <wp:effectExtent l="0" t="0" r="0" b="0"/>
            <wp:docPr id="1006" name="Image 1006"/>
            <wp:cNvGraphicFramePr>
              <a:graphicFrameLocks/>
            </wp:cNvGraphicFramePr>
            <a:graphic>
              <a:graphicData uri="http://schemas.openxmlformats.org/drawingml/2006/picture">
                <pic:pic>
                  <pic:nvPicPr>
                    <pic:cNvPr id="1006" name="Image 1006"/>
                    <pic:cNvPicPr/>
                  </pic:nvPicPr>
                  <pic:blipFill>
                    <a:blip r:embed="rId151"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hAnsi="Times New Roman"/>
          <w:color w:val="231F20"/>
          <w:spacing w:val="40"/>
        </w:rPr>
        <w:t> </w:t>
      </w:r>
      <w:r>
        <w:rPr>
          <w:color w:val="231F20"/>
        </w:rPr>
        <w:t>and </w:t>
      </w:r>
      <w:r>
        <w:rPr>
          <w:color w:val="231F20"/>
          <w:spacing w:val="16"/>
        </w:rPr>
        <w:drawing>
          <wp:inline distT="0" distB="0" distL="0" distR="0">
            <wp:extent cx="82550" cy="82550"/>
            <wp:effectExtent l="0" t="0" r="0" b="0"/>
            <wp:docPr id="1007" name="Image 1007"/>
            <wp:cNvGraphicFramePr>
              <a:graphicFrameLocks/>
            </wp:cNvGraphicFramePr>
            <a:graphic>
              <a:graphicData uri="http://schemas.openxmlformats.org/drawingml/2006/picture">
                <pic:pic>
                  <pic:nvPicPr>
                    <pic:cNvPr id="1007" name="Image 1007"/>
                    <pic:cNvPicPr/>
                  </pic:nvPicPr>
                  <pic:blipFill>
                    <a:blip r:embed="rId15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hAnsi="Times New Roman"/>
          <w:color w:val="231F20"/>
          <w:spacing w:val="40"/>
        </w:rPr>
        <w:t> </w:t>
      </w:r>
      <w:r>
        <w:rPr>
          <w:color w:val="231F20"/>
        </w:rPr>
        <w:t>buttons</w:t>
      </w:r>
      <w:r>
        <w:rPr>
          <w:color w:val="231F20"/>
          <w:spacing w:val="40"/>
        </w:rPr>
        <w:t> </w:t>
      </w:r>
      <w:r>
        <w:rPr>
          <w:color w:val="231F20"/>
        </w:rPr>
        <w:t>on</w:t>
      </w:r>
      <w:r>
        <w:rPr>
          <w:color w:val="231F20"/>
          <w:spacing w:val="12"/>
        </w:rPr>
        <w:t> </w:t>
      </w:r>
      <w:r>
        <w:rPr>
          <w:color w:val="231F20"/>
        </w:rPr>
        <w:t>the</w:t>
      </w:r>
      <w:r>
        <w:rPr>
          <w:color w:val="231F20"/>
          <w:spacing w:val="12"/>
        </w:rPr>
        <w:t> </w:t>
      </w:r>
      <w:r>
        <w:rPr>
          <w:color w:val="231F20"/>
        </w:rPr>
        <w:t>scroll</w:t>
      </w:r>
      <w:r>
        <w:rPr>
          <w:color w:val="231F20"/>
          <w:spacing w:val="12"/>
        </w:rPr>
        <w:t> </w:t>
      </w:r>
      <w:r>
        <w:rPr>
          <w:color w:val="231F20"/>
        </w:rPr>
        <w:t>bar. A text</w:t>
      </w:r>
      <w:r>
        <w:rPr>
          <w:color w:val="231F20"/>
          <w:spacing w:val="12"/>
        </w:rPr>
        <w:t> </w:t>
      </w:r>
      <w:r>
        <w:rPr>
          <w:color w:val="231F20"/>
        </w:rPr>
        <w:t>box</w:t>
      </w:r>
      <w:r>
        <w:rPr>
          <w:color w:val="231F20"/>
          <w:spacing w:val="12"/>
        </w:rPr>
        <w:t> </w:t>
      </w:r>
      <w:r>
        <w:rPr>
          <w:color w:val="231F20"/>
        </w:rPr>
        <w:t>is</w:t>
      </w:r>
      <w:r>
        <w:rPr>
          <w:color w:val="231F20"/>
          <w:spacing w:val="12"/>
        </w:rPr>
        <w:t> </w:t>
      </w:r>
      <w:r>
        <w:rPr>
          <w:color w:val="231F20"/>
        </w:rPr>
        <w:t>displayed</w:t>
      </w:r>
      <w:r>
        <w:rPr>
          <w:color w:val="231F20"/>
          <w:spacing w:val="12"/>
        </w:rPr>
        <w:t> </w:t>
      </w:r>
      <w:r>
        <w:rPr>
          <w:color w:val="231F20"/>
        </w:rPr>
        <w:t>at</w:t>
      </w:r>
      <w:r>
        <w:rPr>
          <w:color w:val="231F20"/>
          <w:spacing w:val="12"/>
        </w:rPr>
        <w:t> </w:t>
      </w:r>
      <w:r>
        <w:rPr>
          <w:color w:val="231F20"/>
        </w:rPr>
        <w:t>the</w:t>
      </w:r>
      <w:r>
        <w:rPr>
          <w:color w:val="231F20"/>
          <w:spacing w:val="12"/>
        </w:rPr>
        <w:t> </w:t>
      </w:r>
      <w:r>
        <w:rPr>
          <w:color w:val="231F20"/>
        </w:rPr>
        <w:t>top</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table</w:t>
      </w:r>
      <w:r>
        <w:rPr>
          <w:color w:val="231F20"/>
          <w:spacing w:val="12"/>
        </w:rPr>
        <w:t> </w:t>
      </w:r>
      <w:r>
        <w:rPr>
          <w:color w:val="231F20"/>
        </w:rPr>
        <w:t>with</w:t>
      </w:r>
      <w:r>
        <w:rPr>
          <w:color w:val="231F20"/>
          <w:spacing w:val="12"/>
        </w:rPr>
        <w:t> </w:t>
      </w:r>
      <w:r>
        <w:rPr>
          <w:color w:val="231F20"/>
        </w:rPr>
        <w:t>“Page 1 of ”. You can type another number to go to that page. Replace 1 with a</w:t>
      </w:r>
      <w:r>
        <w:rPr>
          <w:color w:val="231F20"/>
          <w:spacing w:val="40"/>
        </w:rPr>
        <w:t> </w:t>
      </w:r>
      <w:r>
        <w:rPr>
          <w:color w:val="231F20"/>
        </w:rPr>
        <w:t>high number such as 99 and press </w:t>
      </w:r>
      <w:r>
        <w:rPr>
          <w:rFonts w:ascii="Book Antiqua" w:hAnsi="Book Antiqua"/>
          <w:b/>
          <w:color w:val="231F20"/>
        </w:rPr>
        <w:t>Enter </w:t>
      </w:r>
      <w:r>
        <w:rPr>
          <w:color w:val="231F20"/>
        </w:rPr>
        <w:t>to go to the last page and adjust</w:t>
      </w:r>
      <w:r>
        <w:rPr>
          <w:color w:val="231F20"/>
          <w:spacing w:val="40"/>
        </w:rPr>
        <w:t> </w:t>
      </w:r>
      <w:r>
        <w:rPr>
          <w:color w:val="231F20"/>
        </w:rPr>
        <w:t>the total number of pages displayed to the correct number.</w:t>
      </w:r>
    </w:p>
    <w:p>
      <w:pPr>
        <w:pStyle w:val="BodyText"/>
        <w:spacing w:line="213" w:lineRule="auto" w:before="123"/>
        <w:ind w:left="3190" w:right="379" w:hanging="1"/>
      </w:pPr>
      <w:r>
        <w:rPr>
          <w:color w:val="231F20"/>
        </w:rPr>
        <w:t>Click</w:t>
      </w:r>
      <w:r>
        <w:rPr>
          <w:color w:val="231F20"/>
          <w:spacing w:val="40"/>
        </w:rPr>
        <w:t> </w:t>
      </w:r>
      <w:r>
        <w:rPr>
          <w:color w:val="231F20"/>
          <w:spacing w:val="6"/>
          <w:position w:val="1"/>
        </w:rPr>
        <w:drawing>
          <wp:inline distT="0" distB="0" distL="0" distR="0">
            <wp:extent cx="57150" cy="57150"/>
            <wp:effectExtent l="0" t="0" r="0" b="0"/>
            <wp:docPr id="1008" name="Image 1008"/>
            <wp:cNvGraphicFramePr>
              <a:graphicFrameLocks/>
            </wp:cNvGraphicFramePr>
            <a:graphic>
              <a:graphicData uri="http://schemas.openxmlformats.org/drawingml/2006/picture">
                <pic:pic>
                  <pic:nvPicPr>
                    <pic:cNvPr id="1008" name="Image 1008"/>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rPr>
      </w:r>
      <w:r>
        <w:rPr>
          <w:rFonts w:ascii="Times New Roman"/>
          <w:color w:val="231F20"/>
          <w:spacing w:val="80"/>
        </w:rPr>
        <w:t> </w:t>
      </w:r>
      <w:r>
        <w:rPr>
          <w:color w:val="231F20"/>
        </w:rPr>
        <w:t>Edit Properties in the view title bar to open the Properties editor, and change the </w:t>
      </w:r>
      <w:r>
        <w:rPr>
          <w:rFonts w:ascii="Book Antiqua"/>
          <w:b/>
          <w:color w:val="231F20"/>
        </w:rPr>
        <w:t>Page size </w:t>
      </w:r>
      <w:r>
        <w:rPr>
          <w:color w:val="231F20"/>
        </w:rPr>
        <w:t>in the Query tab. A smaller page size speeds </w:t>
      </w:r>
      <w:r>
        <w:rPr>
          <w:color w:val="231F20"/>
        </w:rPr>
        <w:t>up data retrieval because only one page is retrieved at one time rather than</w:t>
      </w:r>
      <w:r>
        <w:rPr>
          <w:color w:val="231F20"/>
          <w:spacing w:val="80"/>
        </w:rPr>
        <w:t> </w:t>
      </w:r>
      <w:r>
        <w:rPr>
          <w:color w:val="231F20"/>
        </w:rPr>
        <w:t>the entire row set.</w:t>
      </w:r>
    </w:p>
    <w:p>
      <w:pPr>
        <w:pStyle w:val="Heading6"/>
        <w:spacing w:before="116"/>
      </w:pPr>
      <w:r>
        <w:rPr>
          <w:color w:val="231F20"/>
        </w:rPr>
        <w:t>Historical</w:t>
      </w:r>
      <w:r>
        <w:rPr>
          <w:color w:val="231F20"/>
          <w:spacing w:val="7"/>
        </w:rPr>
        <w:t> </w:t>
      </w:r>
      <w:r>
        <w:rPr>
          <w:color w:val="231F20"/>
          <w:spacing w:val="-2"/>
        </w:rPr>
        <w:t>reporting</w:t>
      </w:r>
    </w:p>
    <w:p>
      <w:pPr>
        <w:pStyle w:val="BodyText"/>
        <w:spacing w:line="213" w:lineRule="auto" w:before="11"/>
        <w:ind w:left="3190" w:right="545"/>
      </w:pPr>
      <w:r>
        <w:rPr>
          <w:color w:val="231F20"/>
        </w:rPr>
        <w:t>As well as seeing real-time data in the table view, you can have Tivoli Enterprise Portal log the data into history files so you can examine data over longer periods of time. The table view has a </w:t>
      </w:r>
      <w:r>
        <w:rPr>
          <w:color w:val="231F20"/>
          <w:spacing w:val="-25"/>
          <w:position w:val="-1"/>
        </w:rPr>
        <w:drawing>
          <wp:inline distT="0" distB="0" distL="0" distR="0">
            <wp:extent cx="95250" cy="95250"/>
            <wp:effectExtent l="0" t="0" r="0" b="0"/>
            <wp:docPr id="1009" name="Image 1009"/>
            <wp:cNvGraphicFramePr>
              <a:graphicFrameLocks/>
            </wp:cNvGraphicFramePr>
            <a:graphic>
              <a:graphicData uri="http://schemas.openxmlformats.org/drawingml/2006/picture">
                <pic:pic>
                  <pic:nvPicPr>
                    <pic:cNvPr id="1009" name="Image 1009"/>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9"/>
        </w:rPr>
        <w:t> </w:t>
      </w:r>
      <w:r>
        <w:rPr>
          <w:rFonts w:ascii="Book Antiqua"/>
          <w:b/>
          <w:color w:val="231F20"/>
        </w:rPr>
        <w:t>Time Span </w:t>
      </w:r>
      <w:r>
        <w:rPr>
          <w:color w:val="231F20"/>
        </w:rPr>
        <w:t>tool </w:t>
      </w:r>
      <w:r>
        <w:rPr>
          <w:color w:val="231F20"/>
        </w:rPr>
        <w:t>for setting a time period to report. The table retains data from previous </w:t>
      </w:r>
      <w:bookmarkStart w:name="Adding column thresholds" w:id="170"/>
      <w:bookmarkEnd w:id="170"/>
      <w:r>
        <w:rPr>
          <w:color w:val="231F20"/>
        </w:rPr>
        <w:t>r</w:t>
      </w:r>
      <w:r>
        <w:rPr>
          <w:color w:val="231F20"/>
        </w:rPr>
        <w:t>efreshes and appends newly arrived data to the view.</w:t>
      </w:r>
    </w:p>
    <w:p>
      <w:pPr>
        <w:pStyle w:val="Heading3"/>
        <w:spacing w:before="216"/>
        <w:ind w:left="0" w:right="3459"/>
        <w:jc w:val="center"/>
      </w:pPr>
      <w:r>
        <w:rPr>
          <w:color w:val="231F20"/>
        </w:rPr>
        <w:t>Adding</w:t>
      </w:r>
      <w:r>
        <w:rPr>
          <w:color w:val="231F20"/>
          <w:spacing w:val="5"/>
        </w:rPr>
        <w:t> </w:t>
      </w:r>
      <w:r>
        <w:rPr>
          <w:color w:val="231F20"/>
        </w:rPr>
        <w:t>column</w:t>
      </w:r>
      <w:r>
        <w:rPr>
          <w:color w:val="231F20"/>
          <w:spacing w:val="5"/>
        </w:rPr>
        <w:t> </w:t>
      </w:r>
      <w:r>
        <w:rPr>
          <w:color w:val="231F20"/>
          <w:spacing w:val="-2"/>
        </w:rPr>
        <w:t>thresholds</w:t>
      </w:r>
    </w:p>
    <w:p>
      <w:pPr>
        <w:pStyle w:val="BodyText"/>
        <w:spacing w:line="213" w:lineRule="auto" w:before="58"/>
        <w:ind w:left="2472" w:right="479"/>
        <w:jc w:val="both"/>
      </w:pPr>
      <w:r>
        <w:rPr>
          <w:color w:val="231F20"/>
        </w:rPr>
        <w:t>You can decorate a cell in the table view (including event console, message log, and universal message views) with a background color, severity icon, or </w:t>
      </w:r>
      <w:r>
        <w:rPr>
          <w:color w:val="231F20"/>
        </w:rPr>
        <w:t>custom icon when the value exceeds a given threshold.</w:t>
      </w:r>
    </w:p>
    <w:p>
      <w:pPr>
        <w:pStyle w:val="Heading4"/>
        <w:spacing w:before="199"/>
        <w:ind w:left="0" w:right="3477"/>
        <w:jc w:val="center"/>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58"/>
      </w:pPr>
      <w:r>
        <w:rPr>
          <w:color w:val="231F20"/>
        </w:rPr>
        <w:t>You can decorate a cell with a background color, severity icon, or custom icon by writing formula expressions that specify the threshold criteria and the indicators </w:t>
      </w:r>
      <w:r>
        <w:rPr>
          <w:color w:val="231F20"/>
        </w:rPr>
        <w:t>to use, such as </w:t>
      </w:r>
      <w:r>
        <w:rPr>
          <w:color w:val="231F20"/>
          <w:spacing w:val="16"/>
          <w:position w:val="-3"/>
        </w:rPr>
        <w:drawing>
          <wp:inline distT="0" distB="0" distL="0" distR="0">
            <wp:extent cx="336550" cy="107950"/>
            <wp:effectExtent l="0" t="0" r="0" b="0"/>
            <wp:docPr id="1010" name="Image 1010"/>
            <wp:cNvGraphicFramePr>
              <a:graphicFrameLocks/>
            </wp:cNvGraphicFramePr>
            <a:graphic>
              <a:graphicData uri="http://schemas.openxmlformats.org/drawingml/2006/picture">
                <pic:pic>
                  <pic:nvPicPr>
                    <pic:cNvPr id="1010" name="Image 1010"/>
                    <pic:cNvPicPr/>
                  </pic:nvPicPr>
                  <pic:blipFill>
                    <a:blip r:embed="rId201" cstate="print"/>
                    <a:stretch>
                      <a:fillRect/>
                    </a:stretch>
                  </pic:blipFill>
                  <pic:spPr>
                    <a:xfrm>
                      <a:off x="0" y="0"/>
                      <a:ext cx="336550" cy="107950"/>
                    </a:xfrm>
                    <a:prstGeom prst="rect">
                      <a:avLst/>
                    </a:prstGeom>
                  </pic:spPr>
                </pic:pic>
              </a:graphicData>
            </a:graphic>
          </wp:inline>
        </w:drawing>
      </w:r>
      <w:r>
        <w:rPr>
          <w:color w:val="231F20"/>
          <w:spacing w:val="16"/>
          <w:position w:val="-3"/>
        </w:rPr>
      </w:r>
      <w:r>
        <w:rPr>
          <w:rFonts w:ascii="Times New Roman"/>
          <w:color w:val="231F20"/>
          <w:spacing w:val="40"/>
        </w:rPr>
        <w:t> </w:t>
      </w:r>
      <w:r>
        <w:rPr>
          <w:color w:val="231F20"/>
        </w:rPr>
        <w:t>or </w:t>
      </w:r>
      <w:r>
        <w:rPr>
          <w:color w:val="231F20"/>
          <w:spacing w:val="16"/>
          <w:position w:val="-3"/>
        </w:rPr>
        <w:drawing>
          <wp:inline distT="0" distB="0" distL="0" distR="0">
            <wp:extent cx="279400" cy="107950"/>
            <wp:effectExtent l="0" t="0" r="0" b="0"/>
            <wp:docPr id="1011" name="Image 1011"/>
            <wp:cNvGraphicFramePr>
              <a:graphicFrameLocks/>
            </wp:cNvGraphicFramePr>
            <a:graphic>
              <a:graphicData uri="http://schemas.openxmlformats.org/drawingml/2006/picture">
                <pic:pic>
                  <pic:nvPicPr>
                    <pic:cNvPr id="1011" name="Image 1011"/>
                    <pic:cNvPicPr/>
                  </pic:nvPicPr>
                  <pic:blipFill>
                    <a:blip r:embed="rId202" cstate="print"/>
                    <a:stretch>
                      <a:fillRect/>
                    </a:stretch>
                  </pic:blipFill>
                  <pic:spPr>
                    <a:xfrm>
                      <a:off x="0" y="0"/>
                      <a:ext cx="279400" cy="107950"/>
                    </a:xfrm>
                    <a:prstGeom prst="rect">
                      <a:avLst/>
                    </a:prstGeom>
                  </pic:spPr>
                </pic:pic>
              </a:graphicData>
            </a:graphic>
          </wp:inline>
        </w:drawing>
      </w:r>
      <w:r>
        <w:rPr>
          <w:color w:val="231F20"/>
          <w:spacing w:val="16"/>
          <w:position w:val="-3"/>
        </w:rPr>
      </w:r>
      <w:r>
        <w:rPr>
          <w:rFonts w:ascii="Times New Roman"/>
          <w:color w:val="231F20"/>
          <w:spacing w:val="-6"/>
        </w:rPr>
        <w:t> </w:t>
      </w:r>
      <w:r>
        <w:rPr>
          <w:color w:val="231F20"/>
        </w:rPr>
        <w:t>.</w:t>
      </w:r>
    </w:p>
    <w:p>
      <w:pPr>
        <w:pStyle w:val="ListParagraph"/>
        <w:numPr>
          <w:ilvl w:val="0"/>
          <w:numId w:val="52"/>
        </w:numPr>
        <w:tabs>
          <w:tab w:pos="2788" w:val="left" w:leader="none"/>
          <w:tab w:pos="2854" w:val="left" w:leader="none"/>
        </w:tabs>
        <w:spacing w:line="213" w:lineRule="auto" w:before="58" w:after="0"/>
        <w:ind w:left="2788" w:right="433" w:hanging="316"/>
        <w:jc w:val="left"/>
        <w:rPr>
          <w:sz w:val="20"/>
        </w:rPr>
      </w:pPr>
      <w:r>
        <w:rPr>
          <w:rFonts w:ascii="Arial"/>
          <w:color w:val="231F20"/>
          <w:sz w:val="20"/>
        </w:rPr>
        <w:tab/>
      </w:r>
      <w:r>
        <w:rPr>
          <w:color w:val="231F20"/>
          <w:sz w:val="20"/>
        </w:rPr>
        <w:t>If the Properties editor is not open, click</w:t>
      </w:r>
      <w:r>
        <w:rPr>
          <w:color w:val="231F20"/>
          <w:spacing w:val="40"/>
          <w:sz w:val="20"/>
        </w:rPr>
        <w:t> </w:t>
      </w:r>
      <w:r>
        <w:rPr>
          <w:color w:val="231F20"/>
          <w:spacing w:val="5"/>
          <w:position w:val="1"/>
          <w:sz w:val="20"/>
        </w:rPr>
        <w:drawing>
          <wp:inline distT="0" distB="0" distL="0" distR="0">
            <wp:extent cx="57150" cy="57150"/>
            <wp:effectExtent l="0" t="0" r="0" b="0"/>
            <wp:docPr id="1012" name="Image 1012"/>
            <wp:cNvGraphicFramePr>
              <a:graphicFrameLocks/>
            </wp:cNvGraphicFramePr>
            <a:graphic>
              <a:graphicData uri="http://schemas.openxmlformats.org/drawingml/2006/picture">
                <pic:pic>
                  <pic:nvPicPr>
                    <pic:cNvPr id="1012" name="Image 1012"/>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80"/>
          <w:sz w:val="20"/>
        </w:rPr>
        <w:t> </w:t>
      </w:r>
      <w:r>
        <w:rPr>
          <w:color w:val="231F20"/>
          <w:sz w:val="20"/>
        </w:rPr>
        <w:t>Edit Properties in the table view title bar.</w:t>
      </w:r>
    </w:p>
    <w:p>
      <w:pPr>
        <w:pStyle w:val="ListParagraph"/>
        <w:numPr>
          <w:ilvl w:val="0"/>
          <w:numId w:val="52"/>
        </w:numPr>
        <w:tabs>
          <w:tab w:pos="2854" w:val="left" w:leader="none"/>
        </w:tabs>
        <w:spacing w:line="240" w:lineRule="auto" w:before="35" w:after="0"/>
        <w:ind w:left="2854" w:right="0" w:hanging="382"/>
        <w:jc w:val="left"/>
        <w:rPr>
          <w:sz w:val="20"/>
        </w:rPr>
      </w:pPr>
      <w:r>
        <w:rPr>
          <w:color w:val="231F20"/>
          <w:sz w:val="20"/>
        </w:rPr>
        <w:t>Click</w:t>
      </w:r>
      <w:r>
        <w:rPr>
          <w:color w:val="231F20"/>
          <w:spacing w:val="11"/>
          <w:sz w:val="20"/>
        </w:rPr>
        <w:t> </w:t>
      </w:r>
      <w:r>
        <w:rPr>
          <w:color w:val="231F20"/>
          <w:sz w:val="20"/>
        </w:rPr>
        <w:t>the</w:t>
      </w:r>
      <w:r>
        <w:rPr>
          <w:color w:val="231F20"/>
          <w:spacing w:val="22"/>
          <w:sz w:val="20"/>
        </w:rPr>
        <w:t> </w:t>
      </w:r>
      <w:r>
        <w:rPr>
          <w:color w:val="231F20"/>
          <w:spacing w:val="-24"/>
          <w:position w:val="-1"/>
          <w:sz w:val="20"/>
        </w:rPr>
        <w:drawing>
          <wp:inline distT="0" distB="0" distL="0" distR="0">
            <wp:extent cx="88900" cy="95250"/>
            <wp:effectExtent l="0" t="0" r="0" b="0"/>
            <wp:docPr id="1013" name="Image 1013"/>
            <wp:cNvGraphicFramePr>
              <a:graphicFrameLocks/>
            </wp:cNvGraphicFramePr>
            <a:graphic>
              <a:graphicData uri="http://schemas.openxmlformats.org/drawingml/2006/picture">
                <pic:pic>
                  <pic:nvPicPr>
                    <pic:cNvPr id="1013" name="Image 1013"/>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sz w:val="20"/>
        </w:rPr>
      </w:r>
      <w:r>
        <w:rPr>
          <w:rFonts w:ascii="Times New Roman"/>
          <w:color w:val="231F20"/>
          <w:spacing w:val="28"/>
          <w:sz w:val="20"/>
        </w:rPr>
        <w:t> </w:t>
      </w:r>
      <w:r>
        <w:rPr>
          <w:rFonts w:ascii="Book Antiqua"/>
          <w:b/>
          <w:color w:val="231F20"/>
          <w:sz w:val="20"/>
        </w:rPr>
        <w:t>Thresholds</w:t>
      </w:r>
      <w:r>
        <w:rPr>
          <w:rFonts w:ascii="Book Antiqua"/>
          <w:b/>
          <w:color w:val="231F20"/>
          <w:spacing w:val="12"/>
          <w:sz w:val="20"/>
        </w:rPr>
        <w:t> </w:t>
      </w:r>
      <w:r>
        <w:rPr>
          <w:color w:val="231F20"/>
          <w:spacing w:val="-4"/>
          <w:sz w:val="20"/>
        </w:rPr>
        <w:t>tab.</w:t>
      </w:r>
    </w:p>
    <w:p>
      <w:pPr>
        <w:spacing w:after="0" w:line="240" w:lineRule="auto"/>
        <w:jc w:val="left"/>
        <w:rPr>
          <w:sz w:val="20"/>
        </w:rPr>
        <w:sectPr>
          <w:type w:val="continuous"/>
          <w:pgSz w:w="12240" w:h="15840"/>
          <w:pgMar w:header="0" w:footer="736" w:top="0" w:bottom="4660" w:left="1000" w:right="1060"/>
        </w:sectPr>
      </w:pPr>
    </w:p>
    <w:p>
      <w:pPr>
        <w:pStyle w:val="ListParagraph"/>
        <w:numPr>
          <w:ilvl w:val="0"/>
          <w:numId w:val="52"/>
        </w:numPr>
        <w:tabs>
          <w:tab w:pos="2548" w:val="left" w:leader="none"/>
          <w:tab w:pos="2615" w:val="left" w:leader="none"/>
        </w:tabs>
        <w:spacing w:line="218" w:lineRule="auto" w:before="80" w:after="0"/>
        <w:ind w:left="2548" w:right="439" w:hanging="316"/>
        <w:jc w:val="left"/>
        <w:rPr>
          <w:sz w:val="20"/>
        </w:rPr>
      </w:pPr>
      <w:bookmarkStart w:name="_bookmark77" w:id="171"/>
      <w:bookmarkEnd w:id="171"/>
      <w:r>
        <w:rPr/>
      </w:r>
      <w:r>
        <w:rPr>
          <w:rFonts w:ascii="Arial"/>
          <w:color w:val="231F20"/>
          <w:sz w:val="20"/>
        </w:rPr>
        <w:tab/>
      </w:r>
      <w:r>
        <w:rPr>
          <w:color w:val="231F20"/>
          <w:sz w:val="20"/>
        </w:rPr>
        <w:t>If you want to place a severity icon in a threshold cell instead of a background</w:t>
      </w:r>
      <w:r>
        <w:rPr>
          <w:color w:val="231F20"/>
          <w:spacing w:val="40"/>
          <w:sz w:val="20"/>
        </w:rPr>
        <w:t> </w:t>
      </w:r>
      <w:r>
        <w:rPr>
          <w:color w:val="231F20"/>
          <w:sz w:val="20"/>
        </w:rPr>
        <w:t>color, select the </w:t>
      </w:r>
      <w:r>
        <w:rPr>
          <w:rFonts w:ascii="Book Antiqua"/>
          <w:b/>
          <w:color w:val="231F20"/>
          <w:sz w:val="20"/>
        </w:rPr>
        <w:t>Use Icons </w:t>
      </w:r>
      <w:r>
        <w:rPr>
          <w:rFonts w:ascii="Book Antiqua"/>
          <w:b/>
          <w:color w:val="231F20"/>
          <w:spacing w:val="15"/>
          <w:sz w:val="20"/>
        </w:rPr>
        <w:drawing>
          <wp:inline distT="0" distB="0" distL="0" distR="0">
            <wp:extent cx="82550" cy="82550"/>
            <wp:effectExtent l="0" t="0" r="0" b="0"/>
            <wp:docPr id="1014" name="Image 1014"/>
            <wp:cNvGraphicFramePr>
              <a:graphicFrameLocks/>
            </wp:cNvGraphicFramePr>
            <a:graphic>
              <a:graphicData uri="http://schemas.openxmlformats.org/drawingml/2006/picture">
                <pic:pic>
                  <pic:nvPicPr>
                    <pic:cNvPr id="1014" name="Image 1014"/>
                    <pic:cNvPicPr/>
                  </pic:nvPicPr>
                  <pic:blipFill>
                    <a:blip r:embed="rId87" cstate="print"/>
                    <a:stretch>
                      <a:fillRect/>
                    </a:stretch>
                  </pic:blipFill>
                  <pic:spPr>
                    <a:xfrm>
                      <a:off x="0" y="0"/>
                      <a:ext cx="82550" cy="82550"/>
                    </a:xfrm>
                    <a:prstGeom prst="rect">
                      <a:avLst/>
                    </a:prstGeom>
                  </pic:spPr>
                </pic:pic>
              </a:graphicData>
            </a:graphic>
          </wp:inline>
        </w:drawing>
      </w:r>
      <w:r>
        <w:rPr>
          <w:rFonts w:ascii="Book Antiqua"/>
          <w:b/>
          <w:color w:val="231F20"/>
          <w:spacing w:val="15"/>
          <w:sz w:val="20"/>
        </w:rPr>
      </w:r>
      <w:r>
        <w:rPr>
          <w:rFonts w:ascii="Times New Roman"/>
          <w:color w:val="231F20"/>
          <w:spacing w:val="40"/>
          <w:sz w:val="20"/>
        </w:rPr>
        <w:t> </w:t>
      </w:r>
      <w:r>
        <w:rPr>
          <w:color w:val="231F20"/>
          <w:sz w:val="20"/>
        </w:rPr>
        <w:t>check box.</w:t>
      </w:r>
    </w:p>
    <w:p>
      <w:pPr>
        <w:pStyle w:val="ListParagraph"/>
        <w:numPr>
          <w:ilvl w:val="0"/>
          <w:numId w:val="52"/>
        </w:numPr>
        <w:tabs>
          <w:tab w:pos="2548" w:val="left" w:leader="none"/>
          <w:tab w:pos="2615" w:val="left" w:leader="none"/>
        </w:tabs>
        <w:spacing w:line="213" w:lineRule="auto" w:before="52" w:after="0"/>
        <w:ind w:left="2548" w:right="941" w:hanging="316"/>
        <w:jc w:val="left"/>
        <w:rPr>
          <w:sz w:val="20"/>
        </w:rPr>
      </w:pPr>
      <w:r>
        <w:rPr>
          <w:rFonts w:ascii="Arial"/>
          <w:color w:val="231F20"/>
          <w:sz w:val="20"/>
        </w:rPr>
        <w:tab/>
      </w:r>
      <w:r>
        <w:rPr>
          <w:color w:val="231F20"/>
          <w:sz w:val="20"/>
        </w:rPr>
        <w:t>Click inside a cell in the Threshold </w:t>
      </w:r>
      <w:r>
        <w:rPr>
          <w:color w:val="231F20"/>
          <w:spacing w:val="-25"/>
          <w:position w:val="-1"/>
          <w:sz w:val="20"/>
        </w:rPr>
        <w:drawing>
          <wp:inline distT="0" distB="0" distL="0" distR="0">
            <wp:extent cx="95250" cy="95250"/>
            <wp:effectExtent l="0" t="0" r="0" b="0"/>
            <wp:docPr id="1015" name="Image 1015"/>
            <wp:cNvGraphicFramePr>
              <a:graphicFrameLocks/>
            </wp:cNvGraphicFramePr>
            <a:graphic>
              <a:graphicData uri="http://schemas.openxmlformats.org/drawingml/2006/picture">
                <pic:pic>
                  <pic:nvPicPr>
                    <pic:cNvPr id="1015" name="Image 1015"/>
                    <pic:cNvPicPr/>
                  </pic:nvPicPr>
                  <pic:blipFill>
                    <a:blip r:embed="rId198"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7"/>
          <w:sz w:val="20"/>
        </w:rPr>
        <w:t> </w:t>
      </w:r>
      <w:r>
        <w:rPr>
          <w:color w:val="231F20"/>
          <w:sz w:val="20"/>
        </w:rPr>
        <w:t>column (second column) to see </w:t>
      </w:r>
      <w:r>
        <w:rPr>
          <w:color w:val="231F20"/>
          <w:sz w:val="20"/>
        </w:rPr>
        <w:t>and select from the list of severities.</w:t>
      </w:r>
    </w:p>
    <w:p>
      <w:pPr>
        <w:pStyle w:val="BodyText"/>
        <w:spacing w:line="213" w:lineRule="auto" w:before="59"/>
        <w:ind w:left="2548" w:right="545"/>
      </w:pPr>
      <w:r>
        <w:rPr>
          <w:color w:val="231F20"/>
        </w:rPr>
        <w:t>The seven predefined severities, from Fatal to Unknown, display in the list. If</w:t>
      </w:r>
      <w:r>
        <w:rPr>
          <w:color w:val="231F20"/>
          <w:spacing w:val="40"/>
        </w:rPr>
        <w:t> </w:t>
      </w:r>
      <w:r>
        <w:rPr>
          <w:color w:val="231F20"/>
        </w:rPr>
        <w:t>you are selecting an icon, also shown are any custom severity icons that were added to the portal server. The icons are ordered by their severity, from highest to lowest.</w:t>
      </w:r>
    </w:p>
    <w:p>
      <w:pPr>
        <w:pStyle w:val="ListParagraph"/>
        <w:numPr>
          <w:ilvl w:val="0"/>
          <w:numId w:val="52"/>
        </w:numPr>
        <w:tabs>
          <w:tab w:pos="2548" w:val="left" w:leader="none"/>
          <w:tab w:pos="2615" w:val="left" w:leader="none"/>
        </w:tabs>
        <w:spacing w:line="213" w:lineRule="auto" w:before="57" w:after="0"/>
        <w:ind w:left="2548" w:right="547" w:hanging="316"/>
        <w:jc w:val="left"/>
        <w:rPr>
          <w:sz w:val="20"/>
        </w:rPr>
      </w:pPr>
      <w:r>
        <w:rPr>
          <w:rFonts w:ascii="Arial"/>
          <w:color w:val="231F20"/>
          <w:sz w:val="20"/>
        </w:rPr>
        <w:tab/>
      </w:r>
      <w:r>
        <w:rPr>
          <w:color w:val="231F20"/>
          <w:sz w:val="20"/>
        </w:rPr>
        <w:t>In the same row as the selected highlight, click in a column cell and write the</w:t>
      </w:r>
      <w:r>
        <w:rPr>
          <w:color w:val="231F20"/>
          <w:spacing w:val="40"/>
          <w:sz w:val="20"/>
        </w:rPr>
        <w:t> </w:t>
      </w:r>
      <w:r>
        <w:rPr>
          <w:color w:val="231F20"/>
          <w:sz w:val="20"/>
        </w:rPr>
        <w:t>threshold expression for that attribute. This activates the editor and formula</w:t>
      </w:r>
      <w:r>
        <w:rPr>
          <w:color w:val="231F20"/>
          <w:spacing w:val="40"/>
          <w:sz w:val="20"/>
        </w:rPr>
        <w:t> </w:t>
      </w:r>
      <w:r>
        <w:rPr>
          <w:color w:val="231F20"/>
          <w:spacing w:val="-4"/>
          <w:sz w:val="20"/>
        </w:rPr>
        <w:t>bar:</w:t>
      </w:r>
    </w:p>
    <w:p>
      <w:pPr>
        <w:spacing w:line="213" w:lineRule="auto" w:before="58"/>
        <w:ind w:left="2548" w:right="545" w:firstLine="0"/>
        <w:jc w:val="left"/>
        <w:rPr>
          <w:sz w:val="20"/>
        </w:rPr>
      </w:pPr>
      <w:r>
        <w:rPr>
          <w:color w:val="231F20"/>
          <w:sz w:val="20"/>
        </w:rPr>
        <w:t>Click </w:t>
      </w:r>
      <w:r>
        <w:rPr>
          <w:color w:val="231F20"/>
          <w:spacing w:val="16"/>
          <w:position w:val="-1"/>
          <w:sz w:val="20"/>
        </w:rPr>
        <w:drawing>
          <wp:inline distT="0" distB="0" distL="0" distR="0">
            <wp:extent cx="152400" cy="101600"/>
            <wp:effectExtent l="0" t="0" r="0" b="0"/>
            <wp:docPr id="1016" name="Image 1016"/>
            <wp:cNvGraphicFramePr>
              <a:graphicFrameLocks/>
            </wp:cNvGraphicFramePr>
            <a:graphic>
              <a:graphicData uri="http://schemas.openxmlformats.org/drawingml/2006/picture">
                <pic:pic>
                  <pic:nvPicPr>
                    <pic:cNvPr id="1016" name="Image 1016"/>
                    <pic:cNvPicPr/>
                  </pic:nvPicPr>
                  <pic:blipFill>
                    <a:blip r:embed="rId191" cstate="print"/>
                    <a:stretch>
                      <a:fillRect/>
                    </a:stretch>
                  </pic:blipFill>
                  <pic:spPr>
                    <a:xfrm>
                      <a:off x="0" y="0"/>
                      <a:ext cx="1524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if you want to change the function from the default </w:t>
      </w:r>
      <w:r>
        <w:rPr>
          <w:rFonts w:ascii="Book Antiqua"/>
          <w:b/>
          <w:color w:val="231F20"/>
          <w:sz w:val="20"/>
        </w:rPr>
        <w:t>Value of expression </w:t>
      </w:r>
      <w:r>
        <w:rPr>
          <w:color w:val="231F20"/>
          <w:sz w:val="20"/>
        </w:rPr>
        <w:t>(or </w:t>
      </w:r>
      <w:r>
        <w:rPr>
          <w:rFonts w:ascii="Book Antiqua"/>
          <w:b/>
          <w:color w:val="231F20"/>
          <w:sz w:val="20"/>
        </w:rPr>
        <w:t>Compare date/time </w:t>
      </w:r>
      <w:r>
        <w:rPr>
          <w:color w:val="231F20"/>
          <w:sz w:val="20"/>
        </w:rPr>
        <w:t>for time attributes) to another </w:t>
      </w:r>
      <w:r>
        <w:rPr>
          <w:color w:val="231F20"/>
          <w:sz w:val="20"/>
        </w:rPr>
        <w:t>function.</w:t>
      </w:r>
    </w:p>
    <w:p>
      <w:pPr>
        <w:pStyle w:val="BodyText"/>
        <w:spacing w:line="208" w:lineRule="auto" w:before="62"/>
        <w:ind w:left="2548" w:right="493" w:hanging="1"/>
      </w:pPr>
      <w:r>
        <w:rPr>
          <w:color w:val="231F20"/>
        </w:rPr>
        <w:t>Click</w:t>
      </w:r>
      <w:r>
        <w:rPr>
          <w:color w:val="231F20"/>
          <w:spacing w:val="20"/>
        </w:rPr>
        <w:t> </w:t>
      </w:r>
      <w:r>
        <w:rPr>
          <w:color w:val="231F20"/>
          <w:spacing w:val="-24"/>
          <w:position w:val="-5"/>
        </w:rPr>
        <w:drawing>
          <wp:inline distT="0" distB="0" distL="0" distR="0">
            <wp:extent cx="114300" cy="114300"/>
            <wp:effectExtent l="0" t="0" r="0" b="0"/>
            <wp:docPr id="1017" name="Image 1017"/>
            <wp:cNvGraphicFramePr>
              <a:graphicFrameLocks/>
            </wp:cNvGraphicFramePr>
            <a:graphic>
              <a:graphicData uri="http://schemas.openxmlformats.org/drawingml/2006/picture">
                <pic:pic>
                  <pic:nvPicPr>
                    <pic:cNvPr id="1017" name="Image 1017"/>
                    <pic:cNvPicPr/>
                  </pic:nvPicPr>
                  <pic:blipFill>
                    <a:blip r:embed="rId124" cstate="print"/>
                    <a:stretch>
                      <a:fillRect/>
                    </a:stretch>
                  </pic:blipFill>
                  <pic:spPr>
                    <a:xfrm>
                      <a:off x="0" y="0"/>
                      <a:ext cx="114300" cy="114300"/>
                    </a:xfrm>
                    <a:prstGeom prst="rect">
                      <a:avLst/>
                    </a:prstGeom>
                  </pic:spPr>
                </pic:pic>
              </a:graphicData>
            </a:graphic>
          </wp:inline>
        </w:drawing>
      </w:r>
      <w:r>
        <w:rPr>
          <w:color w:val="231F20"/>
          <w:spacing w:val="-24"/>
          <w:position w:val="-5"/>
        </w:rPr>
      </w:r>
      <w:r>
        <w:rPr>
          <w:rFonts w:ascii="Times New Roman"/>
          <w:color w:val="231F20"/>
          <w:spacing w:val="80"/>
        </w:rPr>
        <w:t> </w:t>
      </w:r>
      <w:r>
        <w:rPr>
          <w:color w:val="231F20"/>
        </w:rPr>
        <w:t>if you want to change the relational operator from Equal to Not </w:t>
      </w:r>
      <w:r>
        <w:rPr>
          <w:color w:val="231F20"/>
        </w:rPr>
        <w:t>equal or to any other operator in the list.</w:t>
      </w:r>
    </w:p>
    <w:p>
      <w:pPr>
        <w:pStyle w:val="BodyText"/>
        <w:spacing w:line="213" w:lineRule="auto" w:before="61"/>
        <w:ind w:left="2548" w:right="493"/>
      </w:pPr>
      <w:r>
        <w:rPr>
          <w:color w:val="231F20"/>
        </w:rPr>
        <w:t>Click inside the text box to enter the threshold value. Enumerated </w:t>
      </w:r>
      <w:r>
        <w:rPr>
          <w:color w:val="231F20"/>
        </w:rPr>
        <w:t>attribute values, such as </w:t>
      </w:r>
      <w:r>
        <w:rPr>
          <w:rFonts w:ascii="Book Antiqua"/>
          <w:i/>
          <w:color w:val="231F20"/>
        </w:rPr>
        <w:t>online </w:t>
      </w:r>
      <w:r>
        <w:rPr>
          <w:color w:val="231F20"/>
        </w:rPr>
        <w:t>or </w:t>
      </w:r>
      <w:r>
        <w:rPr>
          <w:rFonts w:ascii="Book Antiqua"/>
          <w:i/>
          <w:color w:val="231F20"/>
        </w:rPr>
        <w:t>offline</w:t>
      </w:r>
      <w:r>
        <w:rPr>
          <w:color w:val="231F20"/>
        </w:rPr>
        <w:t>, have a </w:t>
      </w:r>
      <w:r>
        <w:rPr>
          <w:color w:val="231F20"/>
          <w:spacing w:val="15"/>
          <w:position w:val="-1"/>
        </w:rPr>
        <w:drawing>
          <wp:inline distT="0" distB="0" distL="0" distR="0">
            <wp:extent cx="101600" cy="101599"/>
            <wp:effectExtent l="0" t="0" r="0" b="0"/>
            <wp:docPr id="1018" name="Image 1018"/>
            <wp:cNvGraphicFramePr>
              <a:graphicFrameLocks/>
            </wp:cNvGraphicFramePr>
            <a:graphic>
              <a:graphicData uri="http://schemas.openxmlformats.org/drawingml/2006/picture">
                <pic:pic>
                  <pic:nvPicPr>
                    <pic:cNvPr id="1018" name="Image 1018"/>
                    <pic:cNvPicPr/>
                  </pic:nvPicPr>
                  <pic:blipFill>
                    <a:blip r:embed="rId75" cstate="print"/>
                    <a:stretch>
                      <a:fillRect/>
                    </a:stretch>
                  </pic:blipFill>
                  <pic:spPr>
                    <a:xfrm>
                      <a:off x="0" y="0"/>
                      <a:ext cx="101600" cy="101599"/>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 of possible choices.</w:t>
      </w:r>
    </w:p>
    <w:p>
      <w:pPr>
        <w:pStyle w:val="ListParagraph"/>
        <w:numPr>
          <w:ilvl w:val="0"/>
          <w:numId w:val="52"/>
        </w:numPr>
        <w:tabs>
          <w:tab w:pos="2548" w:val="left" w:leader="none"/>
        </w:tabs>
        <w:spacing w:line="213" w:lineRule="auto" w:before="58" w:after="0"/>
        <w:ind w:left="2548" w:right="627" w:hanging="316"/>
        <w:jc w:val="left"/>
        <w:rPr>
          <w:sz w:val="20"/>
        </w:rPr>
      </w:pPr>
      <w:r>
        <w:rPr>
          <w:color w:val="231F20"/>
          <w:sz w:val="20"/>
        </w:rPr>
        <w:t>Click </w:t>
      </w:r>
      <w:r>
        <w:rPr>
          <w:rFonts w:ascii="Book Antiqua"/>
          <w:b/>
          <w:color w:val="231F20"/>
          <w:sz w:val="20"/>
        </w:rPr>
        <w:t>Test </w:t>
      </w:r>
      <w:r>
        <w:rPr>
          <w:color w:val="231F20"/>
          <w:sz w:val="20"/>
        </w:rPr>
        <w:t>to evaluate the threshold expression and to see in the Preview area how the results will be displayed.</w:t>
      </w:r>
    </w:p>
    <w:p>
      <w:pPr>
        <w:pStyle w:val="ListParagraph"/>
        <w:numPr>
          <w:ilvl w:val="0"/>
          <w:numId w:val="52"/>
        </w:numPr>
        <w:tabs>
          <w:tab w:pos="2548" w:val="left" w:leader="none"/>
          <w:tab w:pos="2615" w:val="left" w:leader="none"/>
        </w:tabs>
        <w:spacing w:line="213" w:lineRule="auto" w:before="59" w:after="0"/>
        <w:ind w:left="2548" w:right="1058" w:hanging="316"/>
        <w:jc w:val="left"/>
        <w:rPr>
          <w:sz w:val="20"/>
        </w:rPr>
      </w:pPr>
      <w:r>
        <w:rPr>
          <w:rFonts w:ascii="Arial"/>
          <w:color w:val="231F20"/>
          <w:sz w:val="20"/>
        </w:rPr>
        <w:tab/>
      </w:r>
      <w:r>
        <w:rPr>
          <w:color w:val="231F20"/>
          <w:sz w:val="20"/>
        </w:rPr>
        <w:t>Repeat steps 3 to 5 to add more threshold expressions to this or </w:t>
      </w:r>
      <w:r>
        <w:rPr>
          <w:color w:val="231F20"/>
          <w:sz w:val="20"/>
        </w:rPr>
        <w:t>another </w:t>
      </w:r>
      <w:r>
        <w:rPr>
          <w:color w:val="231F20"/>
          <w:spacing w:val="-2"/>
          <w:sz w:val="20"/>
        </w:rPr>
        <w:t>column:</w:t>
      </w:r>
    </w:p>
    <w:p>
      <w:pPr>
        <w:pStyle w:val="BodyText"/>
        <w:spacing w:line="213" w:lineRule="auto" w:before="58"/>
        <w:ind w:left="2548" w:right="493"/>
      </w:pPr>
      <w:r>
        <w:rPr>
          <w:color w:val="231F20"/>
        </w:rPr>
        <w:t>The threshold expressions entered in the same row have an AND </w:t>
      </w:r>
      <w:r>
        <w:rPr>
          <w:color w:val="231F20"/>
        </w:rPr>
        <w:t>relationship. When a retrieved value satisfies all the expressions in a row, the cell will be </w:t>
      </w:r>
      <w:r>
        <w:rPr>
          <w:color w:val="231F20"/>
          <w:spacing w:val="-2"/>
        </w:rPr>
        <w:t>highlighted.</w:t>
      </w:r>
    </w:p>
    <w:p>
      <w:pPr>
        <w:pStyle w:val="BodyText"/>
        <w:spacing w:line="213" w:lineRule="auto" w:before="58"/>
        <w:ind w:left="2548" w:right="545"/>
      </w:pPr>
      <w:r>
        <w:rPr>
          <w:color w:val="231F20"/>
        </w:rPr>
        <w:t>The threshold expressions in each row are independent; they have an OR relationship. If a retrieved value satisfies the conditions in more than one row, the cell will be highlighted with the highest severity.</w:t>
      </w:r>
    </w:p>
    <w:p>
      <w:pPr>
        <w:pStyle w:val="ListParagraph"/>
        <w:numPr>
          <w:ilvl w:val="0"/>
          <w:numId w:val="52"/>
        </w:numPr>
        <w:tabs>
          <w:tab w:pos="2547" w:val="left" w:leader="none"/>
        </w:tabs>
        <w:spacing w:line="255" w:lineRule="exact" w:before="35" w:after="0"/>
        <w:ind w:left="2547" w:right="0" w:hanging="315"/>
        <w:jc w:val="left"/>
        <w:rPr>
          <w:rFonts w:ascii="Book Antiqua"/>
          <w:b/>
          <w:sz w:val="20"/>
        </w:rPr>
      </w:pPr>
      <w:r>
        <w:rPr>
          <w:color w:val="231F20"/>
          <w:sz w:val="20"/>
        </w:rPr>
        <w:t>When</w:t>
      </w:r>
      <w:r>
        <w:rPr>
          <w:color w:val="231F20"/>
          <w:spacing w:val="10"/>
          <w:sz w:val="20"/>
        </w:rPr>
        <w:t> </w:t>
      </w:r>
      <w:r>
        <w:rPr>
          <w:color w:val="231F20"/>
          <w:sz w:val="20"/>
        </w:rPr>
        <w:t>the</w:t>
      </w:r>
      <w:r>
        <w:rPr>
          <w:color w:val="231F20"/>
          <w:spacing w:val="10"/>
          <w:sz w:val="20"/>
        </w:rPr>
        <w:t> </w:t>
      </w:r>
      <w:r>
        <w:rPr>
          <w:color w:val="231F20"/>
          <w:sz w:val="20"/>
        </w:rPr>
        <w:t>threshold</w:t>
      </w:r>
      <w:r>
        <w:rPr>
          <w:color w:val="231F20"/>
          <w:spacing w:val="11"/>
          <w:sz w:val="20"/>
        </w:rPr>
        <w:t> </w:t>
      </w:r>
      <w:r>
        <w:rPr>
          <w:color w:val="231F20"/>
          <w:sz w:val="20"/>
        </w:rPr>
        <w:t>formula</w:t>
      </w:r>
      <w:r>
        <w:rPr>
          <w:color w:val="231F20"/>
          <w:spacing w:val="10"/>
          <w:sz w:val="20"/>
        </w:rPr>
        <w:t> </w:t>
      </w:r>
      <w:r>
        <w:rPr>
          <w:color w:val="231F20"/>
          <w:sz w:val="20"/>
        </w:rPr>
        <w:t>is</w:t>
      </w:r>
      <w:r>
        <w:rPr>
          <w:color w:val="231F20"/>
          <w:spacing w:val="10"/>
          <w:sz w:val="20"/>
        </w:rPr>
        <w:t> </w:t>
      </w:r>
      <w:r>
        <w:rPr>
          <w:color w:val="231F20"/>
          <w:sz w:val="20"/>
        </w:rPr>
        <w:t>complete,</w:t>
      </w:r>
      <w:r>
        <w:rPr>
          <w:color w:val="231F20"/>
          <w:spacing w:val="11"/>
          <w:sz w:val="20"/>
        </w:rPr>
        <w:t> </w:t>
      </w:r>
      <w:r>
        <w:rPr>
          <w:color w:val="231F20"/>
          <w:sz w:val="20"/>
        </w:rPr>
        <w:t>save</w:t>
      </w:r>
      <w:r>
        <w:rPr>
          <w:color w:val="231F20"/>
          <w:spacing w:val="10"/>
          <w:sz w:val="20"/>
        </w:rPr>
        <w:t> </w:t>
      </w:r>
      <w:r>
        <w:rPr>
          <w:color w:val="231F20"/>
          <w:sz w:val="20"/>
        </w:rPr>
        <w:t>your</w:t>
      </w:r>
      <w:r>
        <w:rPr>
          <w:color w:val="231F20"/>
          <w:spacing w:val="10"/>
          <w:sz w:val="20"/>
        </w:rPr>
        <w:t> </w:t>
      </w:r>
      <w:r>
        <w:rPr>
          <w:color w:val="231F20"/>
          <w:sz w:val="20"/>
        </w:rPr>
        <w:t>changes</w:t>
      </w:r>
      <w:r>
        <w:rPr>
          <w:color w:val="231F20"/>
          <w:spacing w:val="11"/>
          <w:sz w:val="20"/>
        </w:rPr>
        <w:t> </w:t>
      </w:r>
      <w:r>
        <w:rPr>
          <w:color w:val="231F20"/>
          <w:sz w:val="20"/>
        </w:rPr>
        <w:t>by</w:t>
      </w:r>
      <w:r>
        <w:rPr>
          <w:color w:val="231F20"/>
          <w:spacing w:val="10"/>
          <w:sz w:val="20"/>
        </w:rPr>
        <w:t> </w:t>
      </w:r>
      <w:r>
        <w:rPr>
          <w:color w:val="231F20"/>
          <w:sz w:val="20"/>
        </w:rPr>
        <w:t>clicking</w:t>
      </w:r>
      <w:r>
        <w:rPr>
          <w:color w:val="231F20"/>
          <w:spacing w:val="10"/>
          <w:sz w:val="20"/>
        </w:rPr>
        <w:t> </w:t>
      </w:r>
      <w:r>
        <w:rPr>
          <w:rFonts w:ascii="Book Antiqua"/>
          <w:b/>
          <w:color w:val="231F20"/>
          <w:spacing w:val="-2"/>
          <w:sz w:val="20"/>
        </w:rPr>
        <w:t>Apply</w:t>
      </w:r>
    </w:p>
    <w:p>
      <w:pPr>
        <w:pStyle w:val="BodyText"/>
        <w:spacing w:line="255" w:lineRule="exact"/>
        <w:ind w:left="2548"/>
      </w:pPr>
      <w:r>
        <w:rPr>
          <w:color w:val="231F20"/>
        </w:rPr>
        <w:t>if</w:t>
      </w:r>
      <w:r>
        <w:rPr>
          <w:color w:val="231F20"/>
          <w:spacing w:val="12"/>
        </w:rPr>
        <w:t> </w:t>
      </w:r>
      <w:r>
        <w:rPr>
          <w:color w:val="231F20"/>
        </w:rPr>
        <w:t>you</w:t>
      </w:r>
      <w:r>
        <w:rPr>
          <w:color w:val="231F20"/>
          <w:spacing w:val="12"/>
        </w:rPr>
        <w:t> </w:t>
      </w:r>
      <w:r>
        <w:rPr>
          <w:color w:val="231F20"/>
        </w:rPr>
        <w:t>want</w:t>
      </w:r>
      <w:r>
        <w:rPr>
          <w:color w:val="231F20"/>
          <w:spacing w:val="12"/>
        </w:rPr>
        <w:t> </w:t>
      </w:r>
      <w:r>
        <w:rPr>
          <w:color w:val="231F20"/>
        </w:rPr>
        <w:t>to</w:t>
      </w:r>
      <w:r>
        <w:rPr>
          <w:color w:val="231F20"/>
          <w:spacing w:val="12"/>
        </w:rPr>
        <w:t> </w:t>
      </w:r>
      <w:r>
        <w:rPr>
          <w:color w:val="231F20"/>
        </w:rPr>
        <w:t>leave</w:t>
      </w:r>
      <w:r>
        <w:rPr>
          <w:color w:val="231F20"/>
          <w:spacing w:val="12"/>
        </w:rPr>
        <w:t> </w:t>
      </w:r>
      <w:r>
        <w:rPr>
          <w:color w:val="231F20"/>
        </w:rPr>
        <w:t>the</w:t>
      </w:r>
      <w:r>
        <w:rPr>
          <w:color w:val="231F20"/>
          <w:spacing w:val="12"/>
        </w:rPr>
        <w:t> </w:t>
      </w:r>
      <w:r>
        <w:rPr>
          <w:color w:val="231F20"/>
        </w:rPr>
        <w:t>Properties</w:t>
      </w:r>
      <w:r>
        <w:rPr>
          <w:color w:val="231F20"/>
          <w:spacing w:val="12"/>
        </w:rPr>
        <w:t> </w:t>
      </w:r>
      <w:r>
        <w:rPr>
          <w:color w:val="231F20"/>
        </w:rPr>
        <w:t>editor</w:t>
      </w:r>
      <w:r>
        <w:rPr>
          <w:color w:val="231F20"/>
          <w:spacing w:val="12"/>
        </w:rPr>
        <w:t> </w:t>
      </w:r>
      <w:r>
        <w:rPr>
          <w:color w:val="231F20"/>
        </w:rPr>
        <w:t>open</w:t>
      </w:r>
      <w:r>
        <w:rPr>
          <w:color w:val="231F20"/>
          <w:spacing w:val="12"/>
        </w:rPr>
        <w:t> </w:t>
      </w:r>
      <w:r>
        <w:rPr>
          <w:color w:val="231F20"/>
        </w:rPr>
        <w:t>or</w:t>
      </w:r>
      <w:r>
        <w:rPr>
          <w:color w:val="231F20"/>
          <w:spacing w:val="12"/>
        </w:rPr>
        <w:t> </w:t>
      </w:r>
      <w:r>
        <w:rPr>
          <w:rFonts w:ascii="Book Antiqua"/>
          <w:b/>
          <w:color w:val="231F20"/>
        </w:rPr>
        <w:t>OK</w:t>
      </w:r>
      <w:r>
        <w:rPr>
          <w:rFonts w:ascii="Book Antiqua"/>
          <w:b/>
          <w:color w:val="231F20"/>
          <w:spacing w:val="12"/>
        </w:rPr>
        <w:t> </w:t>
      </w:r>
      <w:r>
        <w:rPr>
          <w:color w:val="231F20"/>
        </w:rPr>
        <w:t>to</w:t>
      </w:r>
      <w:r>
        <w:rPr>
          <w:color w:val="231F20"/>
          <w:spacing w:val="12"/>
        </w:rPr>
        <w:t> </w:t>
      </w:r>
      <w:r>
        <w:rPr>
          <w:color w:val="231F20"/>
        </w:rPr>
        <w:t>close</w:t>
      </w:r>
      <w:r>
        <w:rPr>
          <w:color w:val="231F20"/>
          <w:spacing w:val="12"/>
        </w:rPr>
        <w:t> </w:t>
      </w:r>
      <w:r>
        <w:rPr>
          <w:color w:val="231F20"/>
        </w:rPr>
        <w:t>the</w:t>
      </w:r>
      <w:r>
        <w:rPr>
          <w:color w:val="231F20"/>
          <w:spacing w:val="12"/>
        </w:rPr>
        <w:t> </w:t>
      </w:r>
      <w:r>
        <w:rPr>
          <w:color w:val="231F20"/>
          <w:spacing w:val="-2"/>
        </w:rPr>
        <w:t>editor.</w:t>
      </w:r>
    </w:p>
    <w:p>
      <w:pPr>
        <w:pStyle w:val="Heading6"/>
        <w:spacing w:line="240" w:lineRule="auto" w:before="231"/>
        <w:ind w:left="2232"/>
      </w:pPr>
      <w:r>
        <w:rPr>
          <w:color w:val="231F20"/>
          <w:spacing w:val="-2"/>
        </w:rPr>
        <w:t>Note:</w:t>
      </w:r>
    </w:p>
    <w:p>
      <w:pPr>
        <w:pStyle w:val="ListParagraph"/>
        <w:numPr>
          <w:ilvl w:val="0"/>
          <w:numId w:val="53"/>
        </w:numPr>
        <w:tabs>
          <w:tab w:pos="2548" w:val="left" w:leader="none"/>
        </w:tabs>
        <w:spacing w:line="213" w:lineRule="auto" w:before="59" w:after="0"/>
        <w:ind w:left="2548" w:right="441" w:hanging="316"/>
        <w:jc w:val="both"/>
        <w:rPr>
          <w:sz w:val="20"/>
        </w:rPr>
      </w:pPr>
      <w:r>
        <w:rPr>
          <w:color w:val="231F20"/>
          <w:sz w:val="20"/>
        </w:rPr>
        <w:t>Values in the table that meet the threshold criteria are indicated by the severity background color or severity icon. You will notice a severity icon in the column heading of threshold cells. This is the highest threshold severity established for the column; click the icon to sort the view by severity.</w:t>
      </w:r>
    </w:p>
    <w:p>
      <w:pPr>
        <w:pStyle w:val="ListParagraph"/>
        <w:numPr>
          <w:ilvl w:val="0"/>
          <w:numId w:val="53"/>
        </w:numPr>
        <w:tabs>
          <w:tab w:pos="2548" w:val="left" w:leader="none"/>
        </w:tabs>
        <w:spacing w:line="213" w:lineRule="auto" w:before="58" w:after="0"/>
        <w:ind w:left="2548" w:right="440" w:hanging="316"/>
        <w:jc w:val="left"/>
        <w:rPr>
          <w:sz w:val="20"/>
        </w:rPr>
      </w:pPr>
      <w:r>
        <w:rPr>
          <w:color w:val="231F20"/>
          <w:sz w:val="20"/>
        </w:rPr>
        <w:t>The scroll buttons indicate threshold cells that are outside the visible area. For example,</w:t>
      </w:r>
      <w:r>
        <w:rPr>
          <w:color w:val="231F20"/>
          <w:spacing w:val="16"/>
          <w:sz w:val="20"/>
        </w:rPr>
        <w:t> </w:t>
      </w:r>
      <w:r>
        <w:rPr>
          <w:color w:val="231F20"/>
          <w:spacing w:val="16"/>
          <w:position w:val="-1"/>
          <w:sz w:val="20"/>
        </w:rPr>
        <w:drawing>
          <wp:inline distT="0" distB="0" distL="0" distR="0">
            <wp:extent cx="146050" cy="101599"/>
            <wp:effectExtent l="0" t="0" r="0" b="0"/>
            <wp:docPr id="1019" name="Image 1019"/>
            <wp:cNvGraphicFramePr>
              <a:graphicFrameLocks/>
            </wp:cNvGraphicFramePr>
            <a:graphic>
              <a:graphicData uri="http://schemas.openxmlformats.org/drawingml/2006/picture">
                <pic:pic>
                  <pic:nvPicPr>
                    <pic:cNvPr id="1019" name="Image 1019"/>
                    <pic:cNvPicPr/>
                  </pic:nvPicPr>
                  <pic:blipFill>
                    <a:blip r:embed="rId203" cstate="print"/>
                    <a:stretch>
                      <a:fillRect/>
                    </a:stretch>
                  </pic:blipFill>
                  <pic:spPr>
                    <a:xfrm>
                      <a:off x="0" y="0"/>
                      <a:ext cx="146050" cy="101599"/>
                    </a:xfrm>
                    <a:prstGeom prst="rect">
                      <a:avLst/>
                    </a:prstGeom>
                  </pic:spPr>
                </pic:pic>
              </a:graphicData>
            </a:graphic>
          </wp:inline>
        </w:drawing>
      </w:r>
      <w:r>
        <w:rPr>
          <w:color w:val="231F20"/>
          <w:spacing w:val="16"/>
          <w:position w:val="-1"/>
          <w:sz w:val="20"/>
        </w:rPr>
      </w:r>
      <w:r>
        <w:rPr>
          <w:rFonts w:ascii="Times New Roman"/>
          <w:color w:val="231F20"/>
          <w:spacing w:val="78"/>
          <w:sz w:val="20"/>
        </w:rPr>
        <w:t> </w:t>
      </w:r>
      <w:r>
        <w:rPr>
          <w:color w:val="231F20"/>
          <w:sz w:val="20"/>
        </w:rPr>
        <w:t>guides</w:t>
      </w:r>
      <w:r>
        <w:rPr>
          <w:color w:val="231F20"/>
          <w:spacing w:val="27"/>
          <w:sz w:val="20"/>
        </w:rPr>
        <w:t> </w:t>
      </w:r>
      <w:r>
        <w:rPr>
          <w:color w:val="231F20"/>
          <w:sz w:val="20"/>
        </w:rPr>
        <w:t>you</w:t>
      </w:r>
      <w:r>
        <w:rPr>
          <w:color w:val="231F20"/>
          <w:spacing w:val="27"/>
          <w:sz w:val="20"/>
        </w:rPr>
        <w:t> </w:t>
      </w:r>
      <w:r>
        <w:rPr>
          <w:color w:val="231F20"/>
          <w:sz w:val="20"/>
        </w:rPr>
        <w:t>to</w:t>
      </w:r>
      <w:r>
        <w:rPr>
          <w:color w:val="231F20"/>
          <w:spacing w:val="27"/>
          <w:sz w:val="20"/>
        </w:rPr>
        <w:t> </w:t>
      </w:r>
      <w:r>
        <w:rPr>
          <w:color w:val="231F20"/>
          <w:sz w:val="20"/>
        </w:rPr>
        <w:t>scroll</w:t>
      </w:r>
      <w:r>
        <w:rPr>
          <w:color w:val="231F20"/>
          <w:spacing w:val="27"/>
          <w:sz w:val="20"/>
        </w:rPr>
        <w:t> </w:t>
      </w:r>
      <w:r>
        <w:rPr>
          <w:color w:val="231F20"/>
          <w:sz w:val="20"/>
        </w:rPr>
        <w:t>right</w:t>
      </w:r>
      <w:r>
        <w:rPr>
          <w:color w:val="231F20"/>
          <w:spacing w:val="27"/>
          <w:sz w:val="20"/>
        </w:rPr>
        <w:t> </w:t>
      </w:r>
      <w:r>
        <w:rPr>
          <w:color w:val="231F20"/>
          <w:sz w:val="20"/>
        </w:rPr>
        <w:t>to</w:t>
      </w:r>
      <w:r>
        <w:rPr>
          <w:color w:val="231F20"/>
          <w:spacing w:val="27"/>
          <w:sz w:val="20"/>
        </w:rPr>
        <w:t> </w:t>
      </w:r>
      <w:r>
        <w:rPr>
          <w:color w:val="231F20"/>
          <w:sz w:val="20"/>
        </w:rPr>
        <w:t>see</w:t>
      </w:r>
      <w:r>
        <w:rPr>
          <w:color w:val="231F20"/>
          <w:spacing w:val="27"/>
          <w:sz w:val="20"/>
        </w:rPr>
        <w:t> </w:t>
      </w:r>
      <w:r>
        <w:rPr>
          <w:color w:val="231F20"/>
          <w:sz w:val="20"/>
        </w:rPr>
        <w:t>more</w:t>
      </w:r>
      <w:r>
        <w:rPr>
          <w:color w:val="231F20"/>
          <w:spacing w:val="27"/>
          <w:sz w:val="20"/>
        </w:rPr>
        <w:t> </w:t>
      </w:r>
      <w:r>
        <w:rPr>
          <w:color w:val="231F20"/>
          <w:sz w:val="20"/>
        </w:rPr>
        <w:t>informational</w:t>
      </w:r>
      <w:r>
        <w:rPr>
          <w:color w:val="231F20"/>
          <w:spacing w:val="27"/>
          <w:sz w:val="20"/>
        </w:rPr>
        <w:t> </w:t>
      </w:r>
      <w:r>
        <w:rPr>
          <w:color w:val="231F20"/>
          <w:sz w:val="20"/>
        </w:rPr>
        <w:t>threshold cells. Move the mouse pointer over a threshold cell to see the threshold </w:t>
      </w:r>
      <w:r>
        <w:rPr>
          <w:color w:val="231F20"/>
          <w:sz w:val="20"/>
        </w:rPr>
        <w:t>criteria.</w:t>
      </w:r>
    </w:p>
    <w:p>
      <w:pPr>
        <w:pStyle w:val="ListParagraph"/>
        <w:numPr>
          <w:ilvl w:val="0"/>
          <w:numId w:val="53"/>
        </w:numPr>
        <w:tabs>
          <w:tab w:pos="2548" w:val="left" w:leader="none"/>
        </w:tabs>
        <w:spacing w:line="213" w:lineRule="auto" w:before="57" w:after="0"/>
        <w:ind w:left="2548" w:right="686" w:hanging="316"/>
        <w:jc w:val="left"/>
        <w:rPr>
          <w:sz w:val="20"/>
        </w:rPr>
      </w:pPr>
      <w:r>
        <w:rPr>
          <w:color w:val="231F20"/>
          <w:sz w:val="20"/>
        </w:rPr>
        <w:t>In the event that multiple threshold expressions written for the same column become true at the same time, the severity with the highest value will be applied. If the same severity was applied (which is possible only if the icon was selected for one expression and its background color counterpart for the other), then the first row expression will determine the appearance. For example, if the icon was specified in row 2 of the formula editor and the </w:t>
      </w:r>
      <w:bookmarkStart w:name="Guidelines for threshold icons" w:id="172"/>
      <w:bookmarkEnd w:id="172"/>
      <w:r>
        <w:rPr>
          <w:color w:val="231F20"/>
          <w:sz w:val="20"/>
        </w:rPr>
        <w:t>backg</w:t>
      </w:r>
      <w:r>
        <w:rPr>
          <w:color w:val="231F20"/>
          <w:sz w:val="20"/>
        </w:rPr>
        <w:t>round color in row 3, then the icon will be used.</w:t>
      </w:r>
    </w:p>
    <w:p>
      <w:pPr>
        <w:pStyle w:val="Heading3"/>
        <w:spacing w:before="214"/>
        <w:ind w:left="1334"/>
      </w:pPr>
      <w:r>
        <w:rPr>
          <w:color w:val="231F20"/>
        </w:rPr>
        <w:t>Guidelines</w:t>
      </w:r>
      <w:r>
        <w:rPr>
          <w:color w:val="231F20"/>
          <w:spacing w:val="4"/>
        </w:rPr>
        <w:t> </w:t>
      </w:r>
      <w:r>
        <w:rPr>
          <w:color w:val="231F20"/>
        </w:rPr>
        <w:t>for</w:t>
      </w:r>
      <w:r>
        <w:rPr>
          <w:color w:val="231F20"/>
          <w:spacing w:val="5"/>
        </w:rPr>
        <w:t> </w:t>
      </w:r>
      <w:r>
        <w:rPr>
          <w:color w:val="231F20"/>
        </w:rPr>
        <w:t>threshold</w:t>
      </w:r>
      <w:r>
        <w:rPr>
          <w:color w:val="231F20"/>
          <w:spacing w:val="5"/>
        </w:rPr>
        <w:t> </w:t>
      </w:r>
      <w:r>
        <w:rPr>
          <w:color w:val="231F20"/>
          <w:spacing w:val="-2"/>
        </w:rPr>
        <w:t>icons</w:t>
      </w:r>
    </w:p>
    <w:p>
      <w:pPr>
        <w:pStyle w:val="BodyText"/>
        <w:spacing w:line="213" w:lineRule="auto" w:before="58"/>
        <w:ind w:left="2232" w:right="545"/>
      </w:pPr>
      <w:r>
        <w:rPr>
          <w:color w:val="231F20"/>
        </w:rPr>
        <w:t>There are already seven predefined severity icons that can be assigned to threshold cells, and you can add your own severity threshold icons to the portal server.</w:t>
      </w:r>
    </w:p>
    <w:p>
      <w:pPr>
        <w:pStyle w:val="BodyText"/>
        <w:spacing w:line="213" w:lineRule="auto" w:before="239"/>
        <w:ind w:left="2232" w:right="493"/>
      </w:pPr>
      <w:r>
        <w:rPr>
          <w:color w:val="231F20"/>
        </w:rPr>
        <w:t>When adding your own severity threshold icons to the portal server, observe </w:t>
      </w:r>
      <w:r>
        <w:rPr>
          <w:color w:val="231F20"/>
        </w:rPr>
        <w:t>these requirements and guidelines:</w:t>
      </w:r>
    </w:p>
    <w:p>
      <w:pPr>
        <w:spacing w:after="0" w:line="213" w:lineRule="auto"/>
        <w:sectPr>
          <w:pgSz w:w="12240" w:h="15840"/>
          <w:pgMar w:header="0" w:footer="736" w:top="1180" w:bottom="920" w:left="1000" w:right="1060"/>
        </w:sectPr>
      </w:pPr>
    </w:p>
    <w:p>
      <w:pPr>
        <w:pStyle w:val="BodyText"/>
        <w:spacing w:line="213" w:lineRule="auto" w:before="85"/>
        <w:ind w:left="2688" w:right="493" w:hanging="216"/>
      </w:pPr>
      <w:bookmarkStart w:name="_bookmark78" w:id="173"/>
      <w:bookmarkEnd w:id="173"/>
      <w:r>
        <w:rPr/>
      </w:r>
      <w:r>
        <w:rPr>
          <w:rFonts w:ascii="Futura MdCn BT"/>
          <w:color w:val="231F20"/>
        </w:rPr>
        <w:t>v</w:t>
      </w:r>
      <w:r>
        <w:rPr>
          <w:rFonts w:ascii="Futura MdCn BT"/>
          <w:color w:val="231F20"/>
          <w:spacing w:val="80"/>
        </w:rPr>
        <w:t> </w:t>
      </w:r>
      <w:r>
        <w:rPr>
          <w:color w:val="231F20"/>
        </w:rPr>
        <w:t>Use iconic images sized at 9 pixels by 9 pixels to match the size of the</w:t>
      </w:r>
      <w:r>
        <w:rPr>
          <w:color w:val="231F20"/>
          <w:spacing w:val="80"/>
        </w:rPr>
        <w:t> </w:t>
      </w:r>
      <w:r>
        <w:rPr>
          <w:color w:val="231F20"/>
        </w:rPr>
        <w:t>predefined severity icons. You can use larger images, but they will be clipped when applied to a scroll button.</w:t>
      </w:r>
    </w:p>
    <w:p>
      <w:pPr>
        <w:pStyle w:val="BodyText"/>
        <w:spacing w:line="213" w:lineRule="auto" w:before="57"/>
        <w:ind w:left="2688" w:right="274" w:hanging="216"/>
      </w:pPr>
      <w:r>
        <w:rPr>
          <w:rFonts w:ascii="Futura MdCn BT"/>
          <w:color w:val="231F20"/>
        </w:rPr>
        <w:t>v</w:t>
      </w:r>
      <w:r>
        <w:rPr>
          <w:rFonts w:ascii="Futura MdCn BT"/>
          <w:color w:val="231F20"/>
          <w:spacing w:val="80"/>
        </w:rPr>
        <w:t> </w:t>
      </w:r>
      <w:r>
        <w:rPr>
          <w:color w:val="231F20"/>
        </w:rPr>
        <w:t>Save the images in the GIF format. Nonlinear GIFs look best when saved with </w:t>
      </w:r>
      <w:r>
        <w:rPr>
          <w:color w:val="231F20"/>
        </w:rPr>
        <w:t>a</w:t>
      </w:r>
      <w:r>
        <w:rPr>
          <w:color w:val="231F20"/>
          <w:spacing w:val="40"/>
        </w:rPr>
        <w:t> </w:t>
      </w:r>
      <w:r>
        <w:rPr>
          <w:color w:val="231F20"/>
        </w:rPr>
        <w:t>transparent background.</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Include the severity value in the filename, immediately preceding the .gif extension (such as icon28.gif, serious_92.gif, or 999.gif). Valid values are </w:t>
      </w:r>
      <w:r>
        <w:rPr>
          <w:color w:val="231F20"/>
        </w:rPr>
        <w:t>greater</w:t>
      </w:r>
      <w:r>
        <w:rPr>
          <w:color w:val="231F20"/>
        </w:rPr>
        <w:t> than 0 and less than MAX_INT and must be unique. If a duplicate severity is</w:t>
      </w:r>
      <w:r>
        <w:rPr>
          <w:color w:val="231F20"/>
          <w:spacing w:val="40"/>
        </w:rPr>
        <w:t> </w:t>
      </w:r>
      <w:r>
        <w:rPr>
          <w:color w:val="231F20"/>
        </w:rPr>
        <w:t>found, the icon file will not be included in the list of possible icons that can be</w:t>
      </w:r>
      <w:r>
        <w:rPr>
          <w:color w:val="231F20"/>
          <w:spacing w:val="40"/>
        </w:rPr>
        <w:t> </w:t>
      </w:r>
      <w:r>
        <w:rPr>
          <w:color w:val="231F20"/>
        </w:rPr>
        <w:t>used for threshold cells. These are the severity values of the predefined icons:</w:t>
      </w:r>
    </w:p>
    <w:p>
      <w:pPr>
        <w:pStyle w:val="BodyText"/>
        <w:spacing w:before="33"/>
        <w:ind w:left="2987"/>
      </w:pPr>
      <w:r>
        <w:rPr/>
        <w:drawing>
          <wp:inline distT="0" distB="0" distL="0" distR="0">
            <wp:extent cx="57150" cy="57150"/>
            <wp:effectExtent l="0" t="0" r="0" b="0"/>
            <wp:docPr id="1020" name="Image 1020"/>
            <wp:cNvGraphicFramePr>
              <a:graphicFrameLocks/>
            </wp:cNvGraphicFramePr>
            <a:graphic>
              <a:graphicData uri="http://schemas.openxmlformats.org/drawingml/2006/picture">
                <pic:pic>
                  <pic:nvPicPr>
                    <pic:cNvPr id="1020" name="Image 1020"/>
                    <pic:cNvPicPr/>
                  </pic:nvPicPr>
                  <pic:blipFill>
                    <a:blip r:embed="rId94" cstate="print"/>
                    <a:stretch>
                      <a:fillRect/>
                    </a:stretch>
                  </pic:blipFill>
                  <pic:spPr>
                    <a:xfrm>
                      <a:off x="0" y="0"/>
                      <a:ext cx="57150" cy="57150"/>
                    </a:xfrm>
                    <a:prstGeom prst="rect">
                      <a:avLst/>
                    </a:prstGeom>
                  </pic:spPr>
                </pic:pic>
              </a:graphicData>
            </a:graphic>
          </wp:inline>
        </w:drawing>
      </w:r>
      <w:r>
        <w:rPr/>
      </w:r>
      <w:r>
        <w:rPr>
          <w:rFonts w:ascii="Times New Roman"/>
          <w:spacing w:val="80"/>
          <w:w w:val="105"/>
        </w:rPr>
        <w:t> </w:t>
      </w:r>
      <w:r>
        <w:rPr>
          <w:color w:val="231F20"/>
          <w:w w:val="105"/>
        </w:rPr>
        <w:t>Fatal = 100</w:t>
      </w:r>
    </w:p>
    <w:p>
      <w:pPr>
        <w:pStyle w:val="BodyText"/>
        <w:spacing w:before="30"/>
        <w:ind w:left="2987"/>
      </w:pPr>
      <w:r>
        <w:rPr/>
        <w:drawing>
          <wp:inline distT="0" distB="0" distL="0" distR="0">
            <wp:extent cx="57150" cy="57150"/>
            <wp:effectExtent l="0" t="0" r="0" b="0"/>
            <wp:docPr id="1021" name="Image 1021"/>
            <wp:cNvGraphicFramePr>
              <a:graphicFrameLocks/>
            </wp:cNvGraphicFramePr>
            <a:graphic>
              <a:graphicData uri="http://schemas.openxmlformats.org/drawingml/2006/picture">
                <pic:pic>
                  <pic:nvPicPr>
                    <pic:cNvPr id="1021" name="Image 1021"/>
                    <pic:cNvPicPr/>
                  </pic:nvPicPr>
                  <pic:blipFill>
                    <a:blip r:embed="rId71" cstate="print"/>
                    <a:stretch>
                      <a:fillRect/>
                    </a:stretch>
                  </pic:blipFill>
                  <pic:spPr>
                    <a:xfrm>
                      <a:off x="0" y="0"/>
                      <a:ext cx="57150" cy="57150"/>
                    </a:xfrm>
                    <a:prstGeom prst="rect">
                      <a:avLst/>
                    </a:prstGeom>
                  </pic:spPr>
                </pic:pic>
              </a:graphicData>
            </a:graphic>
          </wp:inline>
        </w:drawing>
      </w:r>
      <w:r>
        <w:rPr/>
      </w:r>
      <w:r>
        <w:rPr>
          <w:rFonts w:ascii="Times New Roman"/>
          <w:spacing w:val="80"/>
          <w:w w:val="105"/>
        </w:rPr>
        <w:t> </w:t>
      </w:r>
      <w:r>
        <w:rPr>
          <w:color w:val="231F20"/>
          <w:w w:val="105"/>
        </w:rPr>
        <w:t>Critical = 90</w:t>
      </w:r>
    </w:p>
    <w:p>
      <w:pPr>
        <w:pStyle w:val="BodyText"/>
        <w:spacing w:before="29"/>
        <w:ind w:left="2987"/>
      </w:pPr>
      <w:r>
        <w:rPr/>
        <w:drawing>
          <wp:inline distT="0" distB="0" distL="0" distR="0">
            <wp:extent cx="57150" cy="57150"/>
            <wp:effectExtent l="0" t="0" r="0" b="0"/>
            <wp:docPr id="1022" name="Image 1022"/>
            <wp:cNvGraphicFramePr>
              <a:graphicFrameLocks/>
            </wp:cNvGraphicFramePr>
            <a:graphic>
              <a:graphicData uri="http://schemas.openxmlformats.org/drawingml/2006/picture">
                <pic:pic>
                  <pic:nvPicPr>
                    <pic:cNvPr id="1022" name="Image 1022"/>
                    <pic:cNvPicPr/>
                  </pic:nvPicPr>
                  <pic:blipFill>
                    <a:blip r:embed="rId95" cstate="print"/>
                    <a:stretch>
                      <a:fillRect/>
                    </a:stretch>
                  </pic:blipFill>
                  <pic:spPr>
                    <a:xfrm>
                      <a:off x="0" y="0"/>
                      <a:ext cx="57150" cy="57150"/>
                    </a:xfrm>
                    <a:prstGeom prst="rect">
                      <a:avLst/>
                    </a:prstGeom>
                  </pic:spPr>
                </pic:pic>
              </a:graphicData>
            </a:graphic>
          </wp:inline>
        </w:drawing>
      </w:r>
      <w:r>
        <w:rPr/>
      </w:r>
      <w:r>
        <w:rPr>
          <w:rFonts w:ascii="Times New Roman"/>
          <w:spacing w:val="80"/>
          <w:w w:val="105"/>
        </w:rPr>
        <w:t> </w:t>
      </w:r>
      <w:r>
        <w:rPr>
          <w:color w:val="231F20"/>
          <w:w w:val="105"/>
        </w:rPr>
        <w:t>Minor = 40</w:t>
      </w:r>
    </w:p>
    <w:p>
      <w:pPr>
        <w:pStyle w:val="BodyText"/>
        <w:spacing w:before="30"/>
        <w:ind w:left="2987"/>
      </w:pPr>
      <w:r>
        <w:rPr/>
        <w:drawing>
          <wp:inline distT="0" distB="0" distL="0" distR="0">
            <wp:extent cx="57150" cy="57150"/>
            <wp:effectExtent l="0" t="0" r="0" b="0"/>
            <wp:docPr id="1023" name="Image 1023"/>
            <wp:cNvGraphicFramePr>
              <a:graphicFrameLocks/>
            </wp:cNvGraphicFramePr>
            <a:graphic>
              <a:graphicData uri="http://schemas.openxmlformats.org/drawingml/2006/picture">
                <pic:pic>
                  <pic:nvPicPr>
                    <pic:cNvPr id="1023" name="Image 1023"/>
                    <pic:cNvPicPr/>
                  </pic:nvPicPr>
                  <pic:blipFill>
                    <a:blip r:embed="rId72" cstate="print"/>
                    <a:stretch>
                      <a:fillRect/>
                    </a:stretch>
                  </pic:blipFill>
                  <pic:spPr>
                    <a:xfrm>
                      <a:off x="0" y="0"/>
                      <a:ext cx="57150" cy="57150"/>
                    </a:xfrm>
                    <a:prstGeom prst="rect">
                      <a:avLst/>
                    </a:prstGeom>
                  </pic:spPr>
                </pic:pic>
              </a:graphicData>
            </a:graphic>
          </wp:inline>
        </w:drawing>
      </w:r>
      <w:r>
        <w:rPr/>
      </w:r>
      <w:r>
        <w:rPr>
          <w:rFonts w:ascii="Times New Roman"/>
          <w:spacing w:val="40"/>
          <w:w w:val="105"/>
        </w:rPr>
        <w:t> </w:t>
      </w:r>
      <w:r>
        <w:rPr>
          <w:color w:val="231F20"/>
          <w:spacing w:val="-2"/>
          <w:w w:val="105"/>
        </w:rPr>
        <w:t>Warning = 30</w:t>
      </w:r>
    </w:p>
    <w:p>
      <w:pPr>
        <w:pStyle w:val="BodyText"/>
        <w:spacing w:before="29"/>
        <w:ind w:left="2987"/>
      </w:pPr>
      <w:r>
        <w:rPr/>
        <w:drawing>
          <wp:inline distT="0" distB="0" distL="0" distR="0">
            <wp:extent cx="57150" cy="57150"/>
            <wp:effectExtent l="0" t="0" r="0" b="0"/>
            <wp:docPr id="1024" name="Image 1024"/>
            <wp:cNvGraphicFramePr>
              <a:graphicFrameLocks/>
            </wp:cNvGraphicFramePr>
            <a:graphic>
              <a:graphicData uri="http://schemas.openxmlformats.org/drawingml/2006/picture">
                <pic:pic>
                  <pic:nvPicPr>
                    <pic:cNvPr id="1024" name="Image 1024"/>
                    <pic:cNvPicPr/>
                  </pic:nvPicPr>
                  <pic:blipFill>
                    <a:blip r:embed="rId96" cstate="print"/>
                    <a:stretch>
                      <a:fillRect/>
                    </a:stretch>
                  </pic:blipFill>
                  <pic:spPr>
                    <a:xfrm>
                      <a:off x="0" y="0"/>
                      <a:ext cx="57150" cy="57150"/>
                    </a:xfrm>
                    <a:prstGeom prst="rect">
                      <a:avLst/>
                    </a:prstGeom>
                  </pic:spPr>
                </pic:pic>
              </a:graphicData>
            </a:graphic>
          </wp:inline>
        </w:drawing>
      </w:r>
      <w:r>
        <w:rPr/>
      </w:r>
      <w:r>
        <w:rPr>
          <w:rFonts w:ascii="Times New Roman"/>
          <w:spacing w:val="40"/>
          <w:w w:val="105"/>
        </w:rPr>
        <w:t> </w:t>
      </w:r>
      <w:r>
        <w:rPr>
          <w:color w:val="231F20"/>
          <w:w w:val="105"/>
        </w:rPr>
        <w:t>Harmless = 27</w:t>
      </w:r>
    </w:p>
    <w:p>
      <w:pPr>
        <w:pStyle w:val="BodyText"/>
        <w:spacing w:before="30"/>
        <w:ind w:left="2987"/>
      </w:pPr>
      <w:r>
        <w:rPr/>
        <w:drawing>
          <wp:inline distT="0" distB="0" distL="0" distR="0">
            <wp:extent cx="57150" cy="57150"/>
            <wp:effectExtent l="0" t="0" r="0" b="0"/>
            <wp:docPr id="1025" name="Image 1025"/>
            <wp:cNvGraphicFramePr>
              <a:graphicFrameLocks/>
            </wp:cNvGraphicFramePr>
            <a:graphic>
              <a:graphicData uri="http://schemas.openxmlformats.org/drawingml/2006/picture">
                <pic:pic>
                  <pic:nvPicPr>
                    <pic:cNvPr id="1025" name="Image 1025"/>
                    <pic:cNvPicPr/>
                  </pic:nvPicPr>
                  <pic:blipFill>
                    <a:blip r:embed="rId73" cstate="print"/>
                    <a:stretch>
                      <a:fillRect/>
                    </a:stretch>
                  </pic:blipFill>
                  <pic:spPr>
                    <a:xfrm>
                      <a:off x="0" y="0"/>
                      <a:ext cx="57150" cy="57150"/>
                    </a:xfrm>
                    <a:prstGeom prst="rect">
                      <a:avLst/>
                    </a:prstGeom>
                  </pic:spPr>
                </pic:pic>
              </a:graphicData>
            </a:graphic>
          </wp:inline>
        </w:drawing>
      </w:r>
      <w:r>
        <w:rPr/>
      </w:r>
      <w:r>
        <w:rPr>
          <w:rFonts w:ascii="Times New Roman"/>
          <w:spacing w:val="80"/>
        </w:rPr>
        <w:t> </w:t>
      </w:r>
      <w:r>
        <w:rPr>
          <w:color w:val="231F20"/>
        </w:rPr>
        <w:t>Informational</w:t>
      </w:r>
      <w:r>
        <w:rPr>
          <w:color w:val="231F20"/>
          <w:spacing w:val="39"/>
        </w:rPr>
        <w:t> </w:t>
      </w:r>
      <w:r>
        <w:rPr>
          <w:color w:val="231F20"/>
        </w:rPr>
        <w:t>=</w:t>
      </w:r>
      <w:r>
        <w:rPr>
          <w:color w:val="231F20"/>
          <w:spacing w:val="39"/>
        </w:rPr>
        <w:t> </w:t>
      </w:r>
      <w:r>
        <w:rPr>
          <w:color w:val="231F20"/>
        </w:rPr>
        <w:t>25</w:t>
      </w:r>
    </w:p>
    <w:p>
      <w:pPr>
        <w:pStyle w:val="BodyText"/>
        <w:spacing w:before="29"/>
        <w:ind w:left="2987"/>
      </w:pPr>
      <w:r>
        <w:rPr/>
        <w:drawing>
          <wp:inline distT="0" distB="0" distL="0" distR="0">
            <wp:extent cx="57150" cy="57150"/>
            <wp:effectExtent l="0" t="0" r="0" b="0"/>
            <wp:docPr id="1026" name="Image 1026"/>
            <wp:cNvGraphicFramePr>
              <a:graphicFrameLocks/>
            </wp:cNvGraphicFramePr>
            <a:graphic>
              <a:graphicData uri="http://schemas.openxmlformats.org/drawingml/2006/picture">
                <pic:pic>
                  <pic:nvPicPr>
                    <pic:cNvPr id="1026" name="Image 1026"/>
                    <pic:cNvPicPr/>
                  </pic:nvPicPr>
                  <pic:blipFill>
                    <a:blip r:embed="rId97" cstate="print"/>
                    <a:stretch>
                      <a:fillRect/>
                    </a:stretch>
                  </pic:blipFill>
                  <pic:spPr>
                    <a:xfrm>
                      <a:off x="0" y="0"/>
                      <a:ext cx="57150" cy="57150"/>
                    </a:xfrm>
                    <a:prstGeom prst="rect">
                      <a:avLst/>
                    </a:prstGeom>
                  </pic:spPr>
                </pic:pic>
              </a:graphicData>
            </a:graphic>
          </wp:inline>
        </w:drawing>
      </w:r>
      <w:r>
        <w:rPr/>
      </w:r>
      <w:r>
        <w:rPr>
          <w:rFonts w:ascii="Times New Roman"/>
          <w:spacing w:val="40"/>
          <w:w w:val="105"/>
        </w:rPr>
        <w:t> </w:t>
      </w:r>
      <w:r>
        <w:rPr>
          <w:color w:val="231F20"/>
          <w:w w:val="105"/>
        </w:rPr>
        <w:t>Unknown = 15</w:t>
      </w:r>
    </w:p>
    <w:p>
      <w:pPr>
        <w:pStyle w:val="BodyText"/>
        <w:spacing w:line="213" w:lineRule="auto" w:before="53"/>
        <w:ind w:left="2688" w:right="274" w:hanging="216"/>
      </w:pPr>
      <w:r>
        <w:rPr>
          <w:rFonts w:ascii="Futura MdCn BT"/>
          <w:color w:val="231F20"/>
        </w:rPr>
        <w:t>v</w:t>
      </w:r>
      <w:r>
        <w:rPr>
          <w:rFonts w:ascii="Futura MdCn BT"/>
          <w:color w:val="231F20"/>
          <w:spacing w:val="80"/>
        </w:rPr>
        <w:t> </w:t>
      </w:r>
      <w:r>
        <w:rPr>
          <w:color w:val="231F20"/>
        </w:rPr>
        <w:t>Use only ASCII characters in the filename. Names that use characters outside </w:t>
      </w:r>
      <w:r>
        <w:rPr>
          <w:color w:val="231F20"/>
        </w:rPr>
        <w:t>the</w:t>
      </w:r>
      <w:r>
        <w:rPr>
          <w:color w:val="231F20"/>
        </w:rPr>
        <w:t> ASCII</w:t>
      </w:r>
      <w:r>
        <w:rPr>
          <w:color w:val="231F20"/>
          <w:spacing w:val="26"/>
        </w:rPr>
        <w:t> </w:t>
      </w:r>
      <w:r>
        <w:rPr>
          <w:color w:val="231F20"/>
        </w:rPr>
        <w:t>code</w:t>
      </w:r>
      <w:r>
        <w:rPr>
          <w:color w:val="231F20"/>
          <w:spacing w:val="26"/>
        </w:rPr>
        <w:t> </w:t>
      </w:r>
      <w:r>
        <w:rPr>
          <w:color w:val="231F20"/>
        </w:rPr>
        <w:t>range</w:t>
      </w:r>
      <w:r>
        <w:rPr>
          <w:color w:val="231F20"/>
          <w:spacing w:val="26"/>
        </w:rPr>
        <w:t> </w:t>
      </w:r>
      <w:r>
        <w:rPr>
          <w:color w:val="231F20"/>
        </w:rPr>
        <w:t>will</w:t>
      </w:r>
      <w:r>
        <w:rPr>
          <w:color w:val="231F20"/>
          <w:spacing w:val="26"/>
        </w:rPr>
        <w:t> </w:t>
      </w:r>
      <w:r>
        <w:rPr>
          <w:color w:val="231F20"/>
        </w:rPr>
        <w:t>not</w:t>
      </w:r>
      <w:r>
        <w:rPr>
          <w:color w:val="231F20"/>
          <w:spacing w:val="26"/>
        </w:rPr>
        <w:t> </w:t>
      </w:r>
      <w:r>
        <w:rPr>
          <w:color w:val="231F20"/>
        </w:rPr>
        <w:t>be</w:t>
      </w:r>
      <w:r>
        <w:rPr>
          <w:color w:val="231F20"/>
          <w:spacing w:val="26"/>
        </w:rPr>
        <w:t> </w:t>
      </w:r>
      <w:r>
        <w:rPr>
          <w:color w:val="231F20"/>
        </w:rPr>
        <w:t>displayed</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list</w:t>
      </w:r>
      <w:r>
        <w:rPr>
          <w:color w:val="231F20"/>
          <w:spacing w:val="26"/>
        </w:rPr>
        <w:t> </w:t>
      </w:r>
      <w:r>
        <w:rPr>
          <w:color w:val="231F20"/>
        </w:rPr>
        <w:t>of</w:t>
      </w:r>
      <w:r>
        <w:rPr>
          <w:color w:val="231F20"/>
          <w:spacing w:val="26"/>
        </w:rPr>
        <w:t> </w:t>
      </w:r>
      <w:r>
        <w:rPr>
          <w:color w:val="231F20"/>
        </w:rPr>
        <w:t>available</w:t>
      </w:r>
      <w:r>
        <w:rPr>
          <w:color w:val="231F20"/>
          <w:spacing w:val="26"/>
        </w:rPr>
        <w:t> </w:t>
      </w:r>
      <w:r>
        <w:rPr>
          <w:color w:val="231F20"/>
        </w:rPr>
        <w:t>files</w:t>
      </w:r>
      <w:r>
        <w:rPr>
          <w:color w:val="231F20"/>
          <w:spacing w:val="26"/>
        </w:rPr>
        <w:t> </w:t>
      </w:r>
      <w:r>
        <w:rPr>
          <w:color w:val="231F20"/>
        </w:rPr>
        <w:t>when</w:t>
      </w:r>
      <w:r>
        <w:rPr>
          <w:color w:val="231F20"/>
          <w:spacing w:val="26"/>
        </w:rPr>
        <w:t> </w:t>
      </w:r>
      <w:r>
        <w:rPr>
          <w:color w:val="231F20"/>
        </w:rPr>
        <w:t>the user browses to select one.</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On the computer where the Tivoli Enterprise Portal Server installed, place </w:t>
      </w:r>
      <w:r>
        <w:rPr>
          <w:color w:val="231F20"/>
        </w:rPr>
        <w:t>the</w:t>
      </w:r>
      <w:r>
        <w:rPr>
          <w:color w:val="231F20"/>
        </w:rPr>
        <w:t> GIF files in the user directory:</w:t>
      </w:r>
    </w:p>
    <w:p>
      <w:pPr>
        <w:pStyle w:val="BodyText"/>
        <w:tabs>
          <w:tab w:pos="5034" w:val="left" w:leader="none"/>
        </w:tabs>
        <w:spacing w:line="245" w:lineRule="exact"/>
        <w:ind w:left="3728"/>
        <w:rPr>
          <w:rFonts w:ascii="Arial"/>
        </w:rPr>
      </w:pPr>
      <w:r>
        <w:rPr/>
        <w:drawing>
          <wp:anchor distT="0" distB="0" distL="0" distR="0" allowOverlap="1" layoutInCell="1" locked="0" behindDoc="0" simplePos="0" relativeHeight="15807488">
            <wp:simplePos x="0" y="0"/>
            <wp:positionH relativeFrom="page">
              <wp:posOffset>2342015</wp:posOffset>
            </wp:positionH>
            <wp:positionV relativeFrom="paragraph">
              <wp:posOffset>32157</wp:posOffset>
            </wp:positionV>
            <wp:extent cx="581025" cy="123825"/>
            <wp:effectExtent l="0" t="0" r="0" b="0"/>
            <wp:wrapNone/>
            <wp:docPr id="1027" name="Image 1027"/>
            <wp:cNvGraphicFramePr>
              <a:graphicFrameLocks/>
            </wp:cNvGraphicFramePr>
            <a:graphic>
              <a:graphicData uri="http://schemas.openxmlformats.org/drawingml/2006/picture">
                <pic:pic>
                  <pic:nvPicPr>
                    <pic:cNvPr id="1027" name="Image 1027"/>
                    <pic:cNvPicPr/>
                  </pic:nvPicPr>
                  <pic:blipFill>
                    <a:blip r:embed="rId204" cstate="print"/>
                    <a:stretch>
                      <a:fillRect/>
                    </a:stretch>
                  </pic:blipFill>
                  <pic:spPr>
                    <a:xfrm>
                      <a:off x="0" y="0"/>
                      <a:ext cx="581025" cy="123825"/>
                    </a:xfrm>
                    <a:prstGeom prst="rect">
                      <a:avLst/>
                    </a:prstGeom>
                  </pic:spPr>
                </pic:pic>
              </a:graphicData>
            </a:graphic>
          </wp:anchor>
        </w:drawing>
      </w:r>
      <w:r>
        <w:rPr/>
        <w:drawing>
          <wp:anchor distT="0" distB="0" distL="0" distR="0" allowOverlap="1" layoutInCell="1" locked="0" behindDoc="1" simplePos="0" relativeHeight="473203712">
            <wp:simplePos x="0" y="0"/>
            <wp:positionH relativeFrom="page">
              <wp:posOffset>3171131</wp:posOffset>
            </wp:positionH>
            <wp:positionV relativeFrom="paragraph">
              <wp:posOffset>32157</wp:posOffset>
            </wp:positionV>
            <wp:extent cx="581025" cy="123825"/>
            <wp:effectExtent l="0" t="0" r="0" b="0"/>
            <wp:wrapNone/>
            <wp:docPr id="1028" name="Image 1028"/>
            <wp:cNvGraphicFramePr>
              <a:graphicFrameLocks/>
            </wp:cNvGraphicFramePr>
            <a:graphic>
              <a:graphicData uri="http://schemas.openxmlformats.org/drawingml/2006/picture">
                <pic:pic>
                  <pic:nvPicPr>
                    <pic:cNvPr id="1028" name="Image 1028"/>
                    <pic:cNvPicPr/>
                  </pic:nvPicPr>
                  <pic:blipFill>
                    <a:blip r:embed="rId205" cstate="print"/>
                    <a:stretch>
                      <a:fillRect/>
                    </a:stretch>
                  </pic:blipFill>
                  <pic:spPr>
                    <a:xfrm>
                      <a:off x="0" y="0"/>
                      <a:ext cx="581025" cy="123825"/>
                    </a:xfrm>
                    <a:prstGeom prst="rect">
                      <a:avLst/>
                    </a:prstGeom>
                  </pic:spPr>
                </pic:pic>
              </a:graphicData>
            </a:graphic>
          </wp:anchor>
        </w:drawing>
      </w:r>
      <w:r>
        <w:rPr>
          <w:color w:val="231F20"/>
          <w:spacing w:val="-5"/>
          <w:w w:val="110"/>
        </w:rPr>
        <w:t>or</w:t>
      </w:r>
      <w:r>
        <w:rPr>
          <w:color w:val="231F20"/>
        </w:rPr>
        <w:tab/>
      </w:r>
      <w:r>
        <w:rPr>
          <w:rFonts w:ascii="Arial"/>
          <w:color w:val="231F20"/>
          <w:spacing w:val="-2"/>
          <w:w w:val="110"/>
        </w:rPr>
        <w:t>&lt;itm_installdir&gt;/cw/classes/candle/fw/resources/</w:t>
      </w:r>
    </w:p>
    <w:p>
      <w:pPr>
        <w:pStyle w:val="BodyText"/>
        <w:spacing w:line="222" w:lineRule="exact"/>
        <w:ind w:left="2688"/>
        <w:rPr>
          <w:rFonts w:ascii="Arial"/>
        </w:rPr>
      </w:pPr>
      <w:r>
        <w:rPr>
          <w:rFonts w:ascii="Arial"/>
          <w:color w:val="231F20"/>
          <w:spacing w:val="-2"/>
          <w:w w:val="110"/>
        </w:rPr>
        <w:t>icons/user</w:t>
      </w:r>
    </w:p>
    <w:p>
      <w:pPr>
        <w:pStyle w:val="BodyText"/>
        <w:spacing w:before="9"/>
        <w:ind w:left="3750"/>
        <w:rPr>
          <w:rFonts w:ascii="Arial"/>
        </w:rPr>
      </w:pPr>
      <w:r>
        <w:rPr/>
        <w:drawing>
          <wp:anchor distT="0" distB="0" distL="0" distR="0" allowOverlap="1" layoutInCell="1" locked="0" behindDoc="0" simplePos="0" relativeHeight="15808512">
            <wp:simplePos x="0" y="0"/>
            <wp:positionH relativeFrom="page">
              <wp:posOffset>2342015</wp:posOffset>
            </wp:positionH>
            <wp:positionV relativeFrom="paragraph">
              <wp:posOffset>39341</wp:posOffset>
            </wp:positionV>
            <wp:extent cx="581025" cy="123825"/>
            <wp:effectExtent l="0" t="0" r="0" b="0"/>
            <wp:wrapNone/>
            <wp:docPr id="1029" name="Image 1029"/>
            <wp:cNvGraphicFramePr>
              <a:graphicFrameLocks/>
            </wp:cNvGraphicFramePr>
            <a:graphic>
              <a:graphicData uri="http://schemas.openxmlformats.org/drawingml/2006/picture">
                <pic:pic>
                  <pic:nvPicPr>
                    <pic:cNvPr id="1029" name="Image 1029"/>
                    <pic:cNvPicPr/>
                  </pic:nvPicPr>
                  <pic:blipFill>
                    <a:blip r:embed="rId206" cstate="print"/>
                    <a:stretch>
                      <a:fillRect/>
                    </a:stretch>
                  </pic:blipFill>
                  <pic:spPr>
                    <a:xfrm>
                      <a:off x="0" y="0"/>
                      <a:ext cx="581025" cy="123825"/>
                    </a:xfrm>
                    <a:prstGeom prst="rect">
                      <a:avLst/>
                    </a:prstGeom>
                  </pic:spPr>
                </pic:pic>
              </a:graphicData>
            </a:graphic>
          </wp:anchor>
        </w:drawing>
      </w:r>
      <w:r>
        <w:rPr>
          <w:rFonts w:ascii="Arial"/>
          <w:color w:val="231F20"/>
          <w:spacing w:val="-2"/>
          <w:w w:val="110"/>
        </w:rPr>
        <w:t>&lt;itm_installdir&gt;\cnb\classes\candle\fw\resources\icons\user</w:t>
      </w:r>
    </w:p>
    <w:p>
      <w:pPr>
        <w:spacing w:after="0"/>
        <w:rPr>
          <w:rFonts w:ascii="Arial"/>
        </w:rPr>
        <w:sectPr>
          <w:pgSz w:w="12240" w:h="15840"/>
          <w:pgMar w:header="0" w:footer="736" w:top="1180" w:bottom="1556" w:left="1000" w:right="1060"/>
        </w:sectPr>
      </w:pPr>
    </w:p>
    <w:p>
      <w:pPr>
        <w:pStyle w:val="BodyText"/>
        <w:rPr>
          <w:rFonts w:ascii="Arial"/>
          <w:sz w:val="28"/>
        </w:rPr>
      </w:pPr>
    </w:p>
    <w:p>
      <w:pPr>
        <w:pStyle w:val="BodyText"/>
        <w:rPr>
          <w:rFonts w:ascii="Arial"/>
          <w:sz w:val="28"/>
        </w:rPr>
      </w:pPr>
    </w:p>
    <w:p>
      <w:pPr>
        <w:pStyle w:val="BodyText"/>
        <w:spacing w:before="101"/>
        <w:rPr>
          <w:rFonts w:ascii="Arial"/>
          <w:sz w:val="28"/>
        </w:rPr>
      </w:pPr>
    </w:p>
    <w:p>
      <w:pPr>
        <w:pStyle w:val="Heading3"/>
        <w:spacing w:before="0"/>
      </w:pPr>
      <w:bookmarkStart w:name="Chart views" w:id="174"/>
      <w:bookmarkEnd w:id="174"/>
      <w:r>
        <w:rPr>
          <w:b w:val="0"/>
        </w:rPr>
      </w:r>
      <w:r>
        <w:rPr>
          <w:color w:val="231F20"/>
        </w:rPr>
        <w:t>Chart</w:t>
      </w:r>
      <w:r>
        <w:rPr>
          <w:color w:val="231F20"/>
          <w:spacing w:val="7"/>
        </w:rPr>
        <w:t> </w:t>
      </w:r>
      <w:r>
        <w:rPr>
          <w:color w:val="231F20"/>
          <w:spacing w:val="-4"/>
        </w:rPr>
        <w:t>views</w:t>
      </w:r>
    </w:p>
    <w:p>
      <w:pPr>
        <w:pStyle w:val="BodyText"/>
        <w:spacing w:line="213" w:lineRule="auto" w:before="70"/>
        <w:ind w:left="627" w:right="365" w:hanging="216"/>
      </w:pPr>
      <w:r>
        <w:rPr/>
        <w:br w:type="column"/>
      </w:r>
      <w:r>
        <w:rPr>
          <w:rFonts w:ascii="Futura MdCn BT"/>
          <w:color w:val="231F20"/>
        </w:rPr>
        <w:t>v</w:t>
      </w:r>
      <w:r>
        <w:rPr>
          <w:rFonts w:ascii="Futura MdCn BT"/>
          <w:color w:val="231F20"/>
          <w:spacing w:val="80"/>
        </w:rPr>
        <w:t> </w:t>
      </w:r>
      <w:r>
        <w:rPr>
          <w:color w:val="231F20"/>
        </w:rPr>
        <w:t>If users are logged on to the portal server, they will need to exit the portal and</w:t>
      </w:r>
      <w:r>
        <w:rPr>
          <w:color w:val="231F20"/>
          <w:spacing w:val="80"/>
        </w:rPr>
        <w:t> </w:t>
      </w:r>
      <w:r>
        <w:rPr>
          <w:color w:val="231F20"/>
        </w:rPr>
        <w:t>log on again before the icons will be available for inclusion in the threshold </w:t>
      </w:r>
      <w:r>
        <w:rPr>
          <w:color w:val="231F20"/>
          <w:spacing w:val="-2"/>
        </w:rPr>
        <w:t>criteria.</w:t>
      </w:r>
    </w:p>
    <w:p>
      <w:pPr>
        <w:pStyle w:val="BodyText"/>
      </w:pPr>
    </w:p>
    <w:p>
      <w:pPr>
        <w:pStyle w:val="BodyText"/>
        <w:spacing w:before="197"/>
      </w:pPr>
    </w:p>
    <w:p>
      <w:pPr>
        <w:pStyle w:val="BodyText"/>
        <w:spacing w:line="213" w:lineRule="auto"/>
        <w:ind w:left="411" w:right="229"/>
      </w:pPr>
      <w:r>
        <w:rPr/>
        <mc:AlternateContent>
          <mc:Choice Requires="wps">
            <w:drawing>
              <wp:anchor distT="0" distB="0" distL="0" distR="0" allowOverlap="1" layoutInCell="1" locked="0" behindDoc="0" simplePos="0" relativeHeight="15809024">
                <wp:simplePos x="0" y="0"/>
                <wp:positionH relativeFrom="page">
                  <wp:posOffset>912380</wp:posOffset>
                </wp:positionH>
                <wp:positionV relativeFrom="paragraph">
                  <wp:posOffset>-312007</wp:posOffset>
                </wp:positionV>
                <wp:extent cx="6082665" cy="1270"/>
                <wp:effectExtent l="0" t="0" r="0" b="0"/>
                <wp:wrapNone/>
                <wp:docPr id="1030" name="Graphic 1030"/>
                <wp:cNvGraphicFramePr>
                  <a:graphicFrameLocks/>
                </wp:cNvGraphicFramePr>
                <a:graphic>
                  <a:graphicData uri="http://schemas.microsoft.com/office/word/2010/wordprocessingShape">
                    <wps:wsp>
                      <wps:cNvPr id="1030" name="Graphic 103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71.841003pt,-24.567505pt" to="550.783003pt,-24.567505pt" stroked="true" strokeweight=".499pt" strokecolor="#231f20">
                <v:stroke dashstyle="solid"/>
                <w10:wrap type="none"/>
              </v:line>
            </w:pict>
          </mc:Fallback>
        </mc:AlternateContent>
      </w:r>
      <w:r>
        <w:rPr>
          <w:color w:val="231F20"/>
        </w:rPr>
        <w:t>Add one of the seven available chart views to a workspace to present data for managed systems in real time. When a query is assigned to a chart for an attribute</w:t>
      </w:r>
      <w:r>
        <w:rPr>
          <w:color w:val="231F20"/>
          <w:spacing w:val="40"/>
        </w:rPr>
        <w:t> </w:t>
      </w:r>
      <w:r>
        <w:rPr>
          <w:color w:val="231F20"/>
        </w:rPr>
        <w:t>group that has historical data collected, you can also display historical data.</w:t>
      </w:r>
    </w:p>
    <w:p>
      <w:pPr>
        <w:pStyle w:val="BodyText"/>
        <w:spacing w:before="214"/>
        <w:ind w:left="411"/>
      </w:pPr>
      <w:r>
        <w:rPr>
          <w:color w:val="231F20"/>
        </w:rPr>
        <w:t>Each</w:t>
      </w:r>
      <w:r>
        <w:rPr>
          <w:color w:val="231F20"/>
          <w:spacing w:val="12"/>
        </w:rPr>
        <w:t> </w:t>
      </w:r>
      <w:r>
        <w:rPr>
          <w:color w:val="231F20"/>
        </w:rPr>
        <w:t>type</w:t>
      </w:r>
      <w:r>
        <w:rPr>
          <w:color w:val="231F20"/>
          <w:spacing w:val="12"/>
        </w:rPr>
        <w:t> </w:t>
      </w:r>
      <w:r>
        <w:rPr>
          <w:color w:val="231F20"/>
        </w:rPr>
        <w:t>of</w:t>
      </w:r>
      <w:r>
        <w:rPr>
          <w:color w:val="231F20"/>
          <w:spacing w:val="12"/>
        </w:rPr>
        <w:t> </w:t>
      </w:r>
      <w:r>
        <w:rPr>
          <w:color w:val="231F20"/>
        </w:rPr>
        <w:t>chart</w:t>
      </w:r>
      <w:r>
        <w:rPr>
          <w:color w:val="231F20"/>
          <w:spacing w:val="13"/>
        </w:rPr>
        <w:t> </w:t>
      </w:r>
      <w:r>
        <w:rPr>
          <w:color w:val="231F20"/>
        </w:rPr>
        <w:t>is</w:t>
      </w:r>
      <w:r>
        <w:rPr>
          <w:color w:val="231F20"/>
          <w:spacing w:val="12"/>
        </w:rPr>
        <w:t> </w:t>
      </w:r>
      <w:r>
        <w:rPr>
          <w:color w:val="231F20"/>
        </w:rPr>
        <w:t>best</w:t>
      </w:r>
      <w:r>
        <w:rPr>
          <w:color w:val="231F20"/>
          <w:spacing w:val="12"/>
        </w:rPr>
        <w:t> </w:t>
      </w:r>
      <w:r>
        <w:rPr>
          <w:color w:val="231F20"/>
        </w:rPr>
        <w:t>suited</w:t>
      </w:r>
      <w:r>
        <w:rPr>
          <w:color w:val="231F20"/>
          <w:spacing w:val="12"/>
        </w:rPr>
        <w:t> </w:t>
      </w:r>
      <w:r>
        <w:rPr>
          <w:color w:val="231F20"/>
        </w:rPr>
        <w:t>to</w:t>
      </w:r>
      <w:r>
        <w:rPr>
          <w:color w:val="231F20"/>
          <w:spacing w:val="12"/>
        </w:rPr>
        <w:t> </w:t>
      </w:r>
      <w:r>
        <w:rPr>
          <w:color w:val="231F20"/>
        </w:rPr>
        <w:t>displaying</w:t>
      </w:r>
      <w:r>
        <w:rPr>
          <w:color w:val="231F20"/>
          <w:spacing w:val="13"/>
        </w:rPr>
        <w:t> </w:t>
      </w:r>
      <w:r>
        <w:rPr>
          <w:color w:val="231F20"/>
        </w:rPr>
        <w:t>a</w:t>
      </w:r>
      <w:r>
        <w:rPr>
          <w:color w:val="231F20"/>
          <w:spacing w:val="12"/>
        </w:rPr>
        <w:t> </w:t>
      </w:r>
      <w:r>
        <w:rPr>
          <w:color w:val="231F20"/>
        </w:rPr>
        <w:t>certain</w:t>
      </w:r>
      <w:r>
        <w:rPr>
          <w:color w:val="231F20"/>
          <w:spacing w:val="12"/>
        </w:rPr>
        <w:t> </w:t>
      </w:r>
      <w:r>
        <w:rPr>
          <w:color w:val="231F20"/>
        </w:rPr>
        <w:t>type</w:t>
      </w:r>
      <w:r>
        <w:rPr>
          <w:color w:val="231F20"/>
          <w:spacing w:val="12"/>
        </w:rPr>
        <w:t> </w:t>
      </w:r>
      <w:r>
        <w:rPr>
          <w:color w:val="231F20"/>
        </w:rPr>
        <w:t>of</w:t>
      </w:r>
      <w:r>
        <w:rPr>
          <w:color w:val="231F20"/>
          <w:spacing w:val="13"/>
        </w:rPr>
        <w:t> </w:t>
      </w:r>
      <w:r>
        <w:rPr>
          <w:color w:val="231F20"/>
          <w:spacing w:val="-2"/>
        </w:rPr>
        <w:t>data:</w:t>
      </w:r>
    </w:p>
    <w:p>
      <w:pPr>
        <w:spacing w:after="0"/>
        <w:sectPr>
          <w:type w:val="continuous"/>
          <w:pgSz w:w="12240" w:h="15840"/>
          <w:pgMar w:header="0" w:footer="736" w:top="0" w:bottom="4660" w:left="1000" w:right="1060"/>
          <w:cols w:num="2" w:equalWidth="0">
            <w:col w:w="2021" w:space="40"/>
            <w:col w:w="8119"/>
          </w:cols>
        </w:sectPr>
      </w:pP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246"/>
        <w:gridCol w:w="1261"/>
        <w:gridCol w:w="1261"/>
        <w:gridCol w:w="1261"/>
        <w:gridCol w:w="1261"/>
        <w:gridCol w:w="1246"/>
      </w:tblGrid>
      <w:tr>
        <w:trPr>
          <w:trHeight w:val="713" w:hRule="atLeast"/>
        </w:trPr>
        <w:tc>
          <w:tcPr>
            <w:tcW w:w="1246" w:type="dxa"/>
          </w:tcPr>
          <w:p>
            <w:pPr>
              <w:pStyle w:val="TableParagraph"/>
              <w:spacing w:before="206"/>
              <w:ind w:left="0"/>
              <w:rPr>
                <w:sz w:val="18"/>
              </w:rPr>
            </w:pPr>
          </w:p>
          <w:p>
            <w:pPr>
              <w:pStyle w:val="TableParagraph"/>
              <w:spacing w:before="0"/>
              <w:ind w:left="44"/>
              <w:rPr>
                <w:rFonts w:ascii="Book Antiqua"/>
                <w:b/>
                <w:sz w:val="18"/>
              </w:rPr>
            </w:pPr>
            <w:r>
              <w:rPr>
                <w:rFonts w:ascii="Book Antiqua"/>
                <w:b/>
                <w:color w:val="231F20"/>
                <w:sz w:val="18"/>
              </w:rPr>
              <w:t>Chart</w:t>
            </w:r>
            <w:r>
              <w:rPr>
                <w:rFonts w:ascii="Book Antiqua"/>
                <w:b/>
                <w:color w:val="231F20"/>
                <w:spacing w:val="9"/>
                <w:sz w:val="18"/>
              </w:rPr>
              <w:t> </w:t>
            </w:r>
            <w:r>
              <w:rPr>
                <w:rFonts w:ascii="Book Antiqua"/>
                <w:b/>
                <w:color w:val="231F20"/>
                <w:spacing w:val="-4"/>
                <w:sz w:val="18"/>
              </w:rPr>
              <w:t>type</w:t>
            </w:r>
          </w:p>
        </w:tc>
        <w:tc>
          <w:tcPr>
            <w:tcW w:w="1261" w:type="dxa"/>
          </w:tcPr>
          <w:p>
            <w:pPr>
              <w:pStyle w:val="TableParagraph"/>
              <w:spacing w:before="206"/>
              <w:ind w:left="0"/>
              <w:rPr>
                <w:sz w:val="18"/>
              </w:rPr>
            </w:pPr>
          </w:p>
          <w:p>
            <w:pPr>
              <w:pStyle w:val="TableParagraph"/>
              <w:spacing w:before="0"/>
              <w:rPr>
                <w:rFonts w:ascii="Book Antiqua"/>
                <w:b/>
                <w:sz w:val="18"/>
              </w:rPr>
            </w:pPr>
            <w:r>
              <w:rPr>
                <w:rFonts w:ascii="Book Antiqua"/>
                <w:b/>
                <w:color w:val="231F20"/>
                <w:sz w:val="18"/>
              </w:rPr>
              <w:t>Best</w:t>
            </w:r>
            <w:r>
              <w:rPr>
                <w:rFonts w:ascii="Book Antiqua"/>
                <w:b/>
                <w:color w:val="231F20"/>
                <w:spacing w:val="10"/>
                <w:sz w:val="18"/>
              </w:rPr>
              <w:t> </w:t>
            </w:r>
            <w:r>
              <w:rPr>
                <w:rFonts w:ascii="Book Antiqua"/>
                <w:b/>
                <w:color w:val="231F20"/>
                <w:spacing w:val="-2"/>
                <w:sz w:val="18"/>
              </w:rPr>
              <w:t>for...</w:t>
            </w:r>
          </w:p>
        </w:tc>
        <w:tc>
          <w:tcPr>
            <w:tcW w:w="1261" w:type="dxa"/>
          </w:tcPr>
          <w:p>
            <w:pPr>
              <w:pStyle w:val="TableParagraph"/>
              <w:spacing w:line="242" w:lineRule="auto" w:before="229"/>
              <w:rPr>
                <w:rFonts w:ascii="Book Antiqua"/>
                <w:b/>
                <w:sz w:val="18"/>
              </w:rPr>
            </w:pPr>
            <w:r>
              <w:rPr>
                <w:rFonts w:ascii="Book Antiqua"/>
                <w:b/>
                <w:color w:val="231F20"/>
                <w:spacing w:val="-2"/>
                <w:sz w:val="18"/>
              </w:rPr>
              <w:t>Multiple attributes</w:t>
            </w:r>
          </w:p>
        </w:tc>
        <w:tc>
          <w:tcPr>
            <w:tcW w:w="1261" w:type="dxa"/>
          </w:tcPr>
          <w:p>
            <w:pPr>
              <w:pStyle w:val="TableParagraph"/>
              <w:spacing w:line="242" w:lineRule="auto" w:before="229"/>
              <w:ind w:left="58" w:right="459"/>
              <w:rPr>
                <w:rFonts w:ascii="Book Antiqua"/>
                <w:b/>
                <w:sz w:val="18"/>
              </w:rPr>
            </w:pPr>
            <w:r>
              <w:rPr>
                <w:rFonts w:ascii="Book Antiqua"/>
                <w:b/>
                <w:color w:val="231F20"/>
                <w:spacing w:val="-2"/>
                <w:sz w:val="18"/>
              </w:rPr>
              <w:t>Multiple </w:t>
            </w:r>
            <w:r>
              <w:rPr>
                <w:rFonts w:ascii="Book Antiqua"/>
                <w:b/>
                <w:color w:val="231F20"/>
                <w:spacing w:val="-4"/>
                <w:sz w:val="18"/>
              </w:rPr>
              <w:t>rows</w:t>
            </w:r>
          </w:p>
        </w:tc>
        <w:tc>
          <w:tcPr>
            <w:tcW w:w="1261" w:type="dxa"/>
          </w:tcPr>
          <w:p>
            <w:pPr>
              <w:pStyle w:val="TableParagraph"/>
              <w:spacing w:line="242" w:lineRule="auto" w:before="10"/>
              <w:ind w:left="58" w:right="442"/>
              <w:jc w:val="both"/>
              <w:rPr>
                <w:rFonts w:ascii="Book Antiqua"/>
                <w:b/>
                <w:sz w:val="18"/>
              </w:rPr>
            </w:pPr>
            <w:r>
              <w:rPr>
                <w:rFonts w:ascii="Book Antiqua"/>
                <w:b/>
                <w:color w:val="231F20"/>
                <w:spacing w:val="-2"/>
                <w:sz w:val="18"/>
              </w:rPr>
              <w:t>Multiple managed systems</w:t>
            </w:r>
          </w:p>
        </w:tc>
        <w:tc>
          <w:tcPr>
            <w:tcW w:w="1246" w:type="dxa"/>
          </w:tcPr>
          <w:p>
            <w:pPr>
              <w:pStyle w:val="TableParagraph"/>
              <w:spacing w:before="206"/>
              <w:ind w:left="0"/>
              <w:rPr>
                <w:sz w:val="18"/>
              </w:rPr>
            </w:pPr>
          </w:p>
          <w:p>
            <w:pPr>
              <w:pStyle w:val="TableParagraph"/>
              <w:spacing w:before="0"/>
              <w:ind w:left="67"/>
              <w:rPr>
                <w:rFonts w:ascii="Book Antiqua"/>
                <w:b/>
                <w:sz w:val="18"/>
              </w:rPr>
            </w:pPr>
            <w:r>
              <w:rPr>
                <w:position w:val="-3"/>
              </w:rPr>
              <w:drawing>
                <wp:inline distT="0" distB="0" distL="0" distR="0">
                  <wp:extent cx="95250" cy="95250"/>
                  <wp:effectExtent l="0" t="0" r="0" b="0"/>
                  <wp:docPr id="1031" name="Image 1031"/>
                  <wp:cNvGraphicFramePr>
                    <a:graphicFrameLocks/>
                  </wp:cNvGraphicFramePr>
                  <a:graphic>
                    <a:graphicData uri="http://schemas.openxmlformats.org/drawingml/2006/picture">
                      <pic:pic>
                        <pic:nvPicPr>
                          <pic:cNvPr id="1031" name="Image 1031"/>
                          <pic:cNvPicPr/>
                        </pic:nvPicPr>
                        <pic:blipFill>
                          <a:blip r:embed="rId6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Time span</w:t>
            </w:r>
          </w:p>
        </w:tc>
      </w:tr>
      <w:tr>
        <w:trPr>
          <w:trHeight w:val="967" w:hRule="atLeast"/>
        </w:trPr>
        <w:tc>
          <w:tcPr>
            <w:tcW w:w="1246" w:type="dxa"/>
          </w:tcPr>
          <w:p>
            <w:pPr>
              <w:pStyle w:val="TableParagraph"/>
              <w:spacing w:before="9" w:after="1"/>
              <w:ind w:left="0"/>
              <w:rPr>
                <w:sz w:val="7"/>
              </w:rPr>
            </w:pPr>
          </w:p>
          <w:p>
            <w:pPr>
              <w:pStyle w:val="TableParagraph"/>
              <w:spacing w:line="150" w:lineRule="exact" w:before="0"/>
              <w:ind w:left="54"/>
              <w:rPr>
                <w:sz w:val="15"/>
              </w:rPr>
            </w:pPr>
            <w:r>
              <w:rPr>
                <w:position w:val="-2"/>
                <w:sz w:val="15"/>
              </w:rPr>
              <w:drawing>
                <wp:inline distT="0" distB="0" distL="0" distR="0">
                  <wp:extent cx="95726" cy="95726"/>
                  <wp:effectExtent l="0" t="0" r="0" b="0"/>
                  <wp:docPr id="1032" name="Image 1032"/>
                  <wp:cNvGraphicFramePr>
                    <a:graphicFrameLocks/>
                  </wp:cNvGraphicFramePr>
                  <a:graphic>
                    <a:graphicData uri="http://schemas.openxmlformats.org/drawingml/2006/picture">
                      <pic:pic>
                        <pic:nvPicPr>
                          <pic:cNvPr id="1032" name="Image 1032"/>
                          <pic:cNvPicPr/>
                        </pic:nvPicPr>
                        <pic:blipFill>
                          <a:blip r:embed="rId43" cstate="print"/>
                          <a:stretch>
                            <a:fillRect/>
                          </a:stretch>
                        </pic:blipFill>
                        <pic:spPr>
                          <a:xfrm>
                            <a:off x="0" y="0"/>
                            <a:ext cx="95726" cy="95726"/>
                          </a:xfrm>
                          <a:prstGeom prst="rect">
                            <a:avLst/>
                          </a:prstGeom>
                        </pic:spPr>
                      </pic:pic>
                    </a:graphicData>
                  </a:graphic>
                </wp:inline>
              </w:drawing>
            </w:r>
            <w:r>
              <w:rPr>
                <w:position w:val="-2"/>
                <w:sz w:val="15"/>
              </w:rPr>
            </w:r>
          </w:p>
        </w:tc>
        <w:tc>
          <w:tcPr>
            <w:tcW w:w="1261" w:type="dxa"/>
          </w:tcPr>
          <w:p>
            <w:pPr>
              <w:pStyle w:val="TableParagraph"/>
              <w:spacing w:line="216" w:lineRule="auto" w:before="44"/>
              <w:rPr>
                <w:sz w:val="18"/>
              </w:rPr>
            </w:pPr>
            <w:r>
              <w:rPr>
                <w:color w:val="231F20"/>
                <w:spacing w:val="-2"/>
                <w:sz w:val="18"/>
              </w:rPr>
              <w:t>Showing proportional </w:t>
            </w:r>
            <w:r>
              <w:rPr>
                <w:color w:val="231F20"/>
                <w:sz w:val="18"/>
              </w:rPr>
              <w:t>value to the </w:t>
            </w:r>
            <w:r>
              <w:rPr>
                <w:color w:val="231F20"/>
                <w:spacing w:val="-2"/>
                <w:sz w:val="18"/>
              </w:rPr>
              <w:t>whole</w:t>
            </w:r>
          </w:p>
        </w:tc>
        <w:tc>
          <w:tcPr>
            <w:tcW w:w="1261" w:type="dxa"/>
          </w:tcPr>
          <w:p>
            <w:pPr>
              <w:pStyle w:val="TableParagraph"/>
              <w:spacing w:line="216" w:lineRule="auto" w:before="44"/>
              <w:rPr>
                <w:sz w:val="18"/>
              </w:rPr>
            </w:pPr>
            <w:r>
              <w:rPr>
                <w:color w:val="231F20"/>
                <w:sz w:val="18"/>
              </w:rPr>
              <w:t>One</w:t>
            </w:r>
            <w:r>
              <w:rPr>
                <w:color w:val="231F20"/>
                <w:spacing w:val="-6"/>
                <w:sz w:val="18"/>
              </w:rPr>
              <w:t> </w:t>
            </w:r>
            <w:r>
              <w:rPr>
                <w:color w:val="231F20"/>
                <w:sz w:val="18"/>
              </w:rPr>
              <w:t>slice</w:t>
            </w:r>
            <w:r>
              <w:rPr>
                <w:color w:val="231F20"/>
                <w:spacing w:val="-6"/>
                <w:sz w:val="18"/>
              </w:rPr>
              <w:t> </w:t>
            </w:r>
            <w:r>
              <w:rPr>
                <w:color w:val="231F20"/>
                <w:sz w:val="18"/>
              </w:rPr>
              <w:t>per </w:t>
            </w:r>
            <w:r>
              <w:rPr>
                <w:color w:val="231F20"/>
                <w:spacing w:val="-2"/>
                <w:sz w:val="18"/>
              </w:rPr>
              <w:t>attribute</w:t>
            </w:r>
          </w:p>
        </w:tc>
        <w:tc>
          <w:tcPr>
            <w:tcW w:w="1261" w:type="dxa"/>
          </w:tcPr>
          <w:p>
            <w:pPr>
              <w:pStyle w:val="TableParagraph"/>
              <w:spacing w:line="216" w:lineRule="auto" w:before="44"/>
              <w:ind w:left="58"/>
              <w:rPr>
                <w:sz w:val="18"/>
              </w:rPr>
            </w:pPr>
            <w:r>
              <w:rPr>
                <w:color w:val="231F20"/>
                <w:sz w:val="18"/>
              </w:rPr>
              <w:t>One</w:t>
            </w:r>
            <w:r>
              <w:rPr>
                <w:color w:val="231F20"/>
                <w:spacing w:val="-5"/>
                <w:sz w:val="18"/>
              </w:rPr>
              <w:t> </w:t>
            </w:r>
            <w:r>
              <w:rPr>
                <w:color w:val="231F20"/>
                <w:sz w:val="18"/>
              </w:rPr>
              <w:t>pie</w:t>
            </w:r>
            <w:r>
              <w:rPr>
                <w:color w:val="231F20"/>
                <w:spacing w:val="-5"/>
                <w:sz w:val="18"/>
              </w:rPr>
              <w:t> </w:t>
            </w:r>
            <w:r>
              <w:rPr>
                <w:color w:val="231F20"/>
                <w:sz w:val="18"/>
              </w:rPr>
              <w:t>for each row</w:t>
            </w:r>
          </w:p>
        </w:tc>
        <w:tc>
          <w:tcPr>
            <w:tcW w:w="1261" w:type="dxa"/>
          </w:tcPr>
          <w:p>
            <w:pPr>
              <w:pStyle w:val="TableParagraph"/>
              <w:spacing w:line="216" w:lineRule="auto" w:before="44"/>
              <w:ind w:left="58" w:right="142"/>
              <w:rPr>
                <w:sz w:val="18"/>
              </w:rPr>
            </w:pPr>
            <w:r>
              <w:rPr>
                <w:color w:val="231F20"/>
                <w:sz w:val="18"/>
              </w:rPr>
              <w:t>One</w:t>
            </w:r>
            <w:r>
              <w:rPr>
                <w:color w:val="231F20"/>
                <w:spacing w:val="-5"/>
                <w:sz w:val="18"/>
              </w:rPr>
              <w:t> </w:t>
            </w:r>
            <w:r>
              <w:rPr>
                <w:color w:val="231F20"/>
                <w:sz w:val="18"/>
              </w:rPr>
              <w:t>pie</w:t>
            </w:r>
            <w:r>
              <w:rPr>
                <w:color w:val="231F20"/>
                <w:spacing w:val="-5"/>
                <w:sz w:val="18"/>
              </w:rPr>
              <w:t> </w:t>
            </w:r>
            <w:r>
              <w:rPr>
                <w:color w:val="231F20"/>
                <w:sz w:val="18"/>
              </w:rPr>
              <w:t>for </w:t>
            </w:r>
            <w:r>
              <w:rPr>
                <w:color w:val="231F20"/>
                <w:spacing w:val="-4"/>
                <w:sz w:val="18"/>
              </w:rPr>
              <w:t>each </w:t>
            </w:r>
            <w:r>
              <w:rPr>
                <w:color w:val="231F20"/>
                <w:spacing w:val="-2"/>
                <w:sz w:val="18"/>
              </w:rPr>
              <w:t>managed system</w:t>
            </w:r>
          </w:p>
        </w:tc>
        <w:tc>
          <w:tcPr>
            <w:tcW w:w="1246" w:type="dxa"/>
          </w:tcPr>
          <w:p>
            <w:pPr>
              <w:pStyle w:val="TableParagraph"/>
              <w:ind w:left="57"/>
              <w:rPr>
                <w:sz w:val="18"/>
              </w:rPr>
            </w:pPr>
            <w:r>
              <w:rPr>
                <w:color w:val="231F20"/>
                <w:spacing w:val="-5"/>
                <w:sz w:val="18"/>
              </w:rPr>
              <w:t>Yes</w:t>
            </w:r>
          </w:p>
        </w:tc>
      </w:tr>
      <w:tr>
        <w:trPr>
          <w:trHeight w:val="1411" w:hRule="atLeast"/>
        </w:trPr>
        <w:tc>
          <w:tcPr>
            <w:tcW w:w="1246" w:type="dxa"/>
          </w:tcPr>
          <w:p>
            <w:pPr>
              <w:pStyle w:val="TableParagraph"/>
              <w:spacing w:before="24"/>
              <w:ind w:left="309"/>
              <w:rPr>
                <w:sz w:val="11"/>
              </w:rPr>
            </w:pPr>
            <w:r>
              <w:rPr/>
              <mc:AlternateContent>
                <mc:Choice Requires="wps">
                  <w:drawing>
                    <wp:anchor distT="0" distB="0" distL="0" distR="0" allowOverlap="1" layoutInCell="1" locked="0" behindDoc="0" simplePos="0" relativeHeight="15809536">
                      <wp:simplePos x="0" y="0"/>
                      <wp:positionH relativeFrom="column">
                        <wp:posOffset>34866</wp:posOffset>
                      </wp:positionH>
                      <wp:positionV relativeFrom="paragraph">
                        <wp:posOffset>59832</wp:posOffset>
                      </wp:positionV>
                      <wp:extent cx="95250" cy="101600"/>
                      <wp:effectExtent l="0" t="0" r="0" b="0"/>
                      <wp:wrapNone/>
                      <wp:docPr id="1033" name="Group 1033"/>
                      <wp:cNvGraphicFramePr>
                        <a:graphicFrameLocks/>
                      </wp:cNvGraphicFramePr>
                      <a:graphic>
                        <a:graphicData uri="http://schemas.microsoft.com/office/word/2010/wordprocessingGroup">
                          <wpg:wgp>
                            <wpg:cNvPr id="1033" name="Group 1033"/>
                            <wpg:cNvGrpSpPr/>
                            <wpg:grpSpPr>
                              <a:xfrm>
                                <a:off x="0" y="0"/>
                                <a:ext cx="95250" cy="101600"/>
                                <a:chExt cx="95250" cy="101600"/>
                              </a:xfrm>
                            </wpg:grpSpPr>
                            <pic:pic>
                              <pic:nvPicPr>
                                <pic:cNvPr id="1034" name="Image 1034"/>
                                <pic:cNvPicPr/>
                              </pic:nvPicPr>
                              <pic:blipFill>
                                <a:blip r:embed="rId44" cstate="print"/>
                                <a:stretch>
                                  <a:fillRect/>
                                </a:stretch>
                              </pic:blipFill>
                              <pic:spPr>
                                <a:xfrm>
                                  <a:off x="0" y="0"/>
                                  <a:ext cx="95250" cy="101600"/>
                                </a:xfrm>
                                <a:prstGeom prst="rect">
                                  <a:avLst/>
                                </a:prstGeom>
                              </pic:spPr>
                            </pic:pic>
                          </wpg:wgp>
                        </a:graphicData>
                      </a:graphic>
                    </wp:anchor>
                  </w:drawing>
                </mc:Choice>
                <mc:Fallback>
                  <w:pict>
                    <v:group style="position:absolute;margin-left:2.7454pt;margin-top:4.711233pt;width:7.5pt;height:8pt;mso-position-horizontal-relative:column;mso-position-vertical-relative:paragraph;z-index:15809536" id="docshapegroup134" coordorigin="55,94" coordsize="150,160">
                      <v:shape style="position:absolute;left:54;top:94;width:150;height:160" type="#_x0000_t75" id="docshape135" stroked="false">
                        <v:imagedata r:id="rId44" o:title=""/>
                      </v:shape>
                      <w10:wrap type="none"/>
                    </v:group>
                  </w:pict>
                </mc:Fallback>
              </mc:AlternateContent>
            </w:r>
            <w:r>
              <w:rPr>
                <w:color w:val="231F20"/>
                <w:spacing w:val="-10"/>
                <w:sz w:val="11"/>
              </w:rPr>
              <w:t>1</w:t>
            </w:r>
          </w:p>
        </w:tc>
        <w:tc>
          <w:tcPr>
            <w:tcW w:w="1261" w:type="dxa"/>
          </w:tcPr>
          <w:p>
            <w:pPr>
              <w:pStyle w:val="TableParagraph"/>
              <w:spacing w:line="216" w:lineRule="auto" w:before="44"/>
              <w:rPr>
                <w:sz w:val="18"/>
              </w:rPr>
            </w:pPr>
            <w:r>
              <w:rPr>
                <w:color w:val="231F20"/>
                <w:spacing w:val="-2"/>
                <w:sz w:val="18"/>
              </w:rPr>
              <w:t>Comparing </w:t>
            </w:r>
            <w:r>
              <w:rPr>
                <w:color w:val="231F20"/>
                <w:sz w:val="18"/>
              </w:rPr>
              <w:t>values</w:t>
            </w:r>
            <w:r>
              <w:rPr>
                <w:color w:val="231F20"/>
                <w:spacing w:val="-7"/>
                <w:sz w:val="18"/>
              </w:rPr>
              <w:t> </w:t>
            </w:r>
            <w:r>
              <w:rPr>
                <w:color w:val="231F20"/>
                <w:sz w:val="18"/>
              </w:rPr>
              <w:t>among </w:t>
            </w:r>
            <w:r>
              <w:rPr>
                <w:color w:val="231F20"/>
                <w:spacing w:val="-2"/>
                <w:sz w:val="18"/>
              </w:rPr>
              <w:t>related attributes</w:t>
            </w:r>
          </w:p>
        </w:tc>
        <w:tc>
          <w:tcPr>
            <w:tcW w:w="1261" w:type="dxa"/>
          </w:tcPr>
          <w:p>
            <w:pPr>
              <w:pStyle w:val="TableParagraph"/>
              <w:spacing w:line="216" w:lineRule="auto" w:before="44"/>
              <w:rPr>
                <w:sz w:val="18"/>
              </w:rPr>
            </w:pPr>
            <w:r>
              <w:rPr>
                <w:color w:val="231F20"/>
                <w:sz w:val="18"/>
              </w:rPr>
              <w:t>One</w:t>
            </w:r>
            <w:r>
              <w:rPr>
                <w:color w:val="231F20"/>
                <w:spacing w:val="-5"/>
                <w:sz w:val="18"/>
              </w:rPr>
              <w:t> </w:t>
            </w:r>
            <w:r>
              <w:rPr>
                <w:color w:val="231F20"/>
                <w:sz w:val="18"/>
              </w:rPr>
              <w:t>bar</w:t>
            </w:r>
            <w:r>
              <w:rPr>
                <w:color w:val="231F20"/>
                <w:spacing w:val="-5"/>
                <w:sz w:val="18"/>
              </w:rPr>
              <w:t> </w:t>
            </w:r>
            <w:r>
              <w:rPr>
                <w:color w:val="231F20"/>
                <w:sz w:val="18"/>
              </w:rPr>
              <w:t>per </w:t>
            </w:r>
            <w:r>
              <w:rPr>
                <w:color w:val="231F20"/>
                <w:spacing w:val="-2"/>
                <w:sz w:val="18"/>
              </w:rPr>
              <w:t>attribute.</w:t>
            </w:r>
          </w:p>
          <w:p>
            <w:pPr>
              <w:pStyle w:val="TableParagraph"/>
              <w:spacing w:line="216" w:lineRule="auto" w:before="2"/>
              <w:rPr>
                <w:sz w:val="18"/>
              </w:rPr>
            </w:pPr>
            <w:r>
              <w:rPr>
                <w:color w:val="231F20"/>
                <w:sz w:val="18"/>
              </w:rPr>
              <w:t>Stacking</w:t>
            </w:r>
            <w:r>
              <w:rPr>
                <w:color w:val="231F20"/>
                <w:spacing w:val="-7"/>
                <w:sz w:val="18"/>
              </w:rPr>
              <w:t> </w:t>
            </w:r>
            <w:r>
              <w:rPr>
                <w:color w:val="231F20"/>
                <w:sz w:val="18"/>
              </w:rPr>
              <w:t>bars show one segment per </w:t>
            </w:r>
            <w:r>
              <w:rPr>
                <w:color w:val="231F20"/>
                <w:spacing w:val="-2"/>
                <w:sz w:val="18"/>
              </w:rPr>
              <w:t>attribute</w:t>
            </w:r>
          </w:p>
        </w:tc>
        <w:tc>
          <w:tcPr>
            <w:tcW w:w="1261" w:type="dxa"/>
          </w:tcPr>
          <w:p>
            <w:pPr>
              <w:pStyle w:val="TableParagraph"/>
              <w:spacing w:line="216" w:lineRule="auto" w:before="44"/>
              <w:ind w:left="58" w:right="107"/>
              <w:rPr>
                <w:sz w:val="18"/>
              </w:rPr>
            </w:pPr>
            <w:r>
              <w:rPr>
                <w:color w:val="231F20"/>
                <w:sz w:val="18"/>
              </w:rPr>
              <w:t>One set of bars for each </w:t>
            </w:r>
            <w:r>
              <w:rPr>
                <w:color w:val="231F20"/>
                <w:spacing w:val="-2"/>
                <w:sz w:val="18"/>
              </w:rPr>
              <w:t>row.</w:t>
            </w:r>
            <w:r>
              <w:rPr>
                <w:color w:val="231F20"/>
                <w:spacing w:val="-7"/>
                <w:sz w:val="18"/>
              </w:rPr>
              <w:t> </w:t>
            </w:r>
            <w:r>
              <w:rPr>
                <w:color w:val="231F20"/>
                <w:spacing w:val="-2"/>
                <w:sz w:val="18"/>
              </w:rPr>
              <w:t>Stacking </w:t>
            </w:r>
            <w:r>
              <w:rPr>
                <w:color w:val="231F20"/>
                <w:sz w:val="18"/>
              </w:rPr>
              <w:t>bars show one bar per </w:t>
            </w:r>
            <w:r>
              <w:rPr>
                <w:color w:val="231F20"/>
                <w:spacing w:val="-4"/>
                <w:sz w:val="18"/>
              </w:rPr>
              <w:t>row</w:t>
            </w:r>
          </w:p>
        </w:tc>
        <w:tc>
          <w:tcPr>
            <w:tcW w:w="1261" w:type="dxa"/>
          </w:tcPr>
          <w:p>
            <w:pPr>
              <w:pStyle w:val="TableParagraph"/>
              <w:spacing w:line="216" w:lineRule="auto" w:before="44"/>
              <w:ind w:left="58" w:right="142"/>
              <w:rPr>
                <w:sz w:val="18"/>
              </w:rPr>
            </w:pPr>
            <w:r>
              <w:rPr>
                <w:color w:val="231F20"/>
                <w:sz w:val="18"/>
              </w:rPr>
              <w:t>One set of bars</w:t>
            </w:r>
            <w:r>
              <w:rPr>
                <w:color w:val="231F20"/>
                <w:spacing w:val="-6"/>
                <w:sz w:val="18"/>
              </w:rPr>
              <w:t> </w:t>
            </w:r>
            <w:r>
              <w:rPr>
                <w:color w:val="231F20"/>
                <w:sz w:val="18"/>
              </w:rPr>
              <w:t>for</w:t>
            </w:r>
            <w:r>
              <w:rPr>
                <w:color w:val="231F20"/>
                <w:spacing w:val="-6"/>
                <w:sz w:val="18"/>
              </w:rPr>
              <w:t> </w:t>
            </w:r>
            <w:r>
              <w:rPr>
                <w:color w:val="231F20"/>
                <w:sz w:val="18"/>
              </w:rPr>
              <w:t>each </w:t>
            </w:r>
            <w:r>
              <w:rPr>
                <w:color w:val="231F20"/>
                <w:spacing w:val="-2"/>
                <w:sz w:val="18"/>
              </w:rPr>
              <w:t>managed system</w:t>
            </w:r>
          </w:p>
        </w:tc>
        <w:tc>
          <w:tcPr>
            <w:tcW w:w="1246" w:type="dxa"/>
          </w:tcPr>
          <w:p>
            <w:pPr>
              <w:pStyle w:val="TableParagraph"/>
              <w:ind w:left="57"/>
              <w:rPr>
                <w:sz w:val="18"/>
              </w:rPr>
            </w:pPr>
            <w:r>
              <w:rPr>
                <w:color w:val="231F20"/>
                <w:spacing w:val="-5"/>
                <w:sz w:val="18"/>
              </w:rPr>
              <w:t>Yes</w:t>
            </w:r>
          </w:p>
        </w:tc>
      </w:tr>
    </w:tbl>
    <w:p>
      <w:pPr>
        <w:spacing w:after="0"/>
        <w:rPr>
          <w:sz w:val="18"/>
        </w:rPr>
        <w:sectPr>
          <w:type w:val="continuous"/>
          <w:pgSz w:w="12240" w:h="15840"/>
          <w:pgMar w:header="0" w:footer="736" w:top="0" w:bottom="4660"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246"/>
        <w:gridCol w:w="1261"/>
        <w:gridCol w:w="1261"/>
        <w:gridCol w:w="1261"/>
        <w:gridCol w:w="1261"/>
        <w:gridCol w:w="1246"/>
      </w:tblGrid>
      <w:tr>
        <w:trPr>
          <w:trHeight w:val="713" w:hRule="atLeast"/>
        </w:trPr>
        <w:tc>
          <w:tcPr>
            <w:tcW w:w="1246" w:type="dxa"/>
          </w:tcPr>
          <w:p>
            <w:pPr>
              <w:pStyle w:val="TableParagraph"/>
              <w:spacing w:before="206"/>
              <w:ind w:left="0"/>
              <w:rPr>
                <w:sz w:val="18"/>
              </w:rPr>
            </w:pPr>
          </w:p>
          <w:p>
            <w:pPr>
              <w:pStyle w:val="TableParagraph"/>
              <w:spacing w:before="0"/>
              <w:ind w:left="44"/>
              <w:rPr>
                <w:rFonts w:ascii="Book Antiqua"/>
                <w:b/>
                <w:sz w:val="18"/>
              </w:rPr>
            </w:pPr>
            <w:r>
              <w:rPr>
                <w:rFonts w:ascii="Book Antiqua"/>
                <w:b/>
                <w:color w:val="231F20"/>
                <w:sz w:val="18"/>
              </w:rPr>
              <w:t>Chart</w:t>
            </w:r>
            <w:r>
              <w:rPr>
                <w:rFonts w:ascii="Book Antiqua"/>
                <w:b/>
                <w:color w:val="231F20"/>
                <w:spacing w:val="9"/>
                <w:sz w:val="18"/>
              </w:rPr>
              <w:t> </w:t>
            </w:r>
            <w:r>
              <w:rPr>
                <w:rFonts w:ascii="Book Antiqua"/>
                <w:b/>
                <w:color w:val="231F20"/>
                <w:spacing w:val="-4"/>
                <w:sz w:val="18"/>
              </w:rPr>
              <w:t>type</w:t>
            </w:r>
          </w:p>
        </w:tc>
        <w:tc>
          <w:tcPr>
            <w:tcW w:w="1261" w:type="dxa"/>
          </w:tcPr>
          <w:p>
            <w:pPr>
              <w:pStyle w:val="TableParagraph"/>
              <w:spacing w:before="206"/>
              <w:ind w:left="0"/>
              <w:rPr>
                <w:sz w:val="18"/>
              </w:rPr>
            </w:pPr>
          </w:p>
          <w:p>
            <w:pPr>
              <w:pStyle w:val="TableParagraph"/>
              <w:spacing w:before="0"/>
              <w:rPr>
                <w:rFonts w:ascii="Book Antiqua"/>
                <w:b/>
                <w:sz w:val="18"/>
              </w:rPr>
            </w:pPr>
            <w:r>
              <w:rPr>
                <w:rFonts w:ascii="Book Antiqua"/>
                <w:b/>
                <w:color w:val="231F20"/>
                <w:sz w:val="18"/>
              </w:rPr>
              <w:t>Best</w:t>
            </w:r>
            <w:r>
              <w:rPr>
                <w:rFonts w:ascii="Book Antiqua"/>
                <w:b/>
                <w:color w:val="231F20"/>
                <w:spacing w:val="10"/>
                <w:sz w:val="18"/>
              </w:rPr>
              <w:t> </w:t>
            </w:r>
            <w:r>
              <w:rPr>
                <w:rFonts w:ascii="Book Antiqua"/>
                <w:b/>
                <w:color w:val="231F20"/>
                <w:spacing w:val="-2"/>
                <w:sz w:val="18"/>
              </w:rPr>
              <w:t>for...</w:t>
            </w:r>
          </w:p>
        </w:tc>
        <w:tc>
          <w:tcPr>
            <w:tcW w:w="1261" w:type="dxa"/>
          </w:tcPr>
          <w:p>
            <w:pPr>
              <w:pStyle w:val="TableParagraph"/>
              <w:spacing w:line="242" w:lineRule="auto" w:before="229"/>
              <w:rPr>
                <w:rFonts w:ascii="Book Antiqua"/>
                <w:b/>
                <w:sz w:val="18"/>
              </w:rPr>
            </w:pPr>
            <w:r>
              <w:rPr>
                <w:rFonts w:ascii="Book Antiqua"/>
                <w:b/>
                <w:color w:val="231F20"/>
                <w:spacing w:val="-2"/>
                <w:sz w:val="18"/>
              </w:rPr>
              <w:t>Multiple attributes</w:t>
            </w:r>
          </w:p>
        </w:tc>
        <w:tc>
          <w:tcPr>
            <w:tcW w:w="1261" w:type="dxa"/>
          </w:tcPr>
          <w:p>
            <w:pPr>
              <w:pStyle w:val="TableParagraph"/>
              <w:spacing w:line="242" w:lineRule="auto" w:before="229"/>
              <w:ind w:left="58" w:right="459"/>
              <w:rPr>
                <w:rFonts w:ascii="Book Antiqua"/>
                <w:b/>
                <w:sz w:val="18"/>
              </w:rPr>
            </w:pPr>
            <w:r>
              <w:rPr>
                <w:rFonts w:ascii="Book Antiqua"/>
                <w:b/>
                <w:color w:val="231F20"/>
                <w:spacing w:val="-2"/>
                <w:sz w:val="18"/>
              </w:rPr>
              <w:t>Multiple </w:t>
            </w:r>
            <w:r>
              <w:rPr>
                <w:rFonts w:ascii="Book Antiqua"/>
                <w:b/>
                <w:color w:val="231F20"/>
                <w:spacing w:val="-4"/>
                <w:sz w:val="18"/>
              </w:rPr>
              <w:t>rows</w:t>
            </w:r>
          </w:p>
        </w:tc>
        <w:tc>
          <w:tcPr>
            <w:tcW w:w="1261" w:type="dxa"/>
          </w:tcPr>
          <w:p>
            <w:pPr>
              <w:pStyle w:val="TableParagraph"/>
              <w:spacing w:line="242" w:lineRule="auto" w:before="10"/>
              <w:ind w:left="58" w:right="442"/>
              <w:jc w:val="both"/>
              <w:rPr>
                <w:rFonts w:ascii="Book Antiqua"/>
                <w:b/>
                <w:sz w:val="18"/>
              </w:rPr>
            </w:pPr>
            <w:r>
              <w:rPr>
                <w:rFonts w:ascii="Book Antiqua"/>
                <w:b/>
                <w:color w:val="231F20"/>
                <w:spacing w:val="-2"/>
                <w:sz w:val="18"/>
              </w:rPr>
              <w:t>Multiple managed systems</w:t>
            </w:r>
          </w:p>
        </w:tc>
        <w:tc>
          <w:tcPr>
            <w:tcW w:w="1246" w:type="dxa"/>
          </w:tcPr>
          <w:p>
            <w:pPr>
              <w:pStyle w:val="TableParagraph"/>
              <w:spacing w:before="206"/>
              <w:ind w:left="0"/>
              <w:rPr>
                <w:sz w:val="18"/>
              </w:rPr>
            </w:pPr>
          </w:p>
          <w:p>
            <w:pPr>
              <w:pStyle w:val="TableParagraph"/>
              <w:spacing w:before="0"/>
              <w:ind w:left="67"/>
              <w:rPr>
                <w:rFonts w:ascii="Book Antiqua"/>
                <w:b/>
                <w:sz w:val="18"/>
              </w:rPr>
            </w:pPr>
            <w:r>
              <w:rPr>
                <w:position w:val="-3"/>
              </w:rPr>
              <w:drawing>
                <wp:inline distT="0" distB="0" distL="0" distR="0">
                  <wp:extent cx="95250" cy="95250"/>
                  <wp:effectExtent l="0" t="0" r="0" b="0"/>
                  <wp:docPr id="1035" name="Image 1035"/>
                  <wp:cNvGraphicFramePr>
                    <a:graphicFrameLocks/>
                  </wp:cNvGraphicFramePr>
                  <a:graphic>
                    <a:graphicData uri="http://schemas.openxmlformats.org/drawingml/2006/picture">
                      <pic:pic>
                        <pic:nvPicPr>
                          <pic:cNvPr id="1035" name="Image 1035"/>
                          <pic:cNvPicPr/>
                        </pic:nvPicPr>
                        <pic:blipFill>
                          <a:blip r:embed="rId6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Time span</w:t>
            </w:r>
          </w:p>
        </w:tc>
      </w:tr>
      <w:tr>
        <w:trPr>
          <w:trHeight w:val="1406" w:hRule="atLeast"/>
        </w:trPr>
        <w:tc>
          <w:tcPr>
            <w:tcW w:w="1246" w:type="dxa"/>
          </w:tcPr>
          <w:p>
            <w:pPr>
              <w:pStyle w:val="TableParagraph"/>
              <w:spacing w:before="24"/>
              <w:ind w:left="309"/>
              <w:rPr>
                <w:sz w:val="11"/>
              </w:rPr>
            </w:pPr>
            <w:r>
              <w:rPr/>
              <mc:AlternateContent>
                <mc:Choice Requires="wps">
                  <w:drawing>
                    <wp:anchor distT="0" distB="0" distL="0" distR="0" allowOverlap="1" layoutInCell="1" locked="0" behindDoc="0" simplePos="0" relativeHeight="15810048">
                      <wp:simplePos x="0" y="0"/>
                      <wp:positionH relativeFrom="column">
                        <wp:posOffset>28508</wp:posOffset>
                      </wp:positionH>
                      <wp:positionV relativeFrom="paragraph">
                        <wp:posOffset>66182</wp:posOffset>
                      </wp:positionV>
                      <wp:extent cx="101600" cy="95250"/>
                      <wp:effectExtent l="0" t="0" r="0" b="0"/>
                      <wp:wrapNone/>
                      <wp:docPr id="1036" name="Group 1036"/>
                      <wp:cNvGraphicFramePr>
                        <a:graphicFrameLocks/>
                      </wp:cNvGraphicFramePr>
                      <a:graphic>
                        <a:graphicData uri="http://schemas.microsoft.com/office/word/2010/wordprocessingGroup">
                          <wpg:wgp>
                            <wpg:cNvPr id="1036" name="Group 1036"/>
                            <wpg:cNvGrpSpPr/>
                            <wpg:grpSpPr>
                              <a:xfrm>
                                <a:off x="0" y="0"/>
                                <a:ext cx="101600" cy="95250"/>
                                <a:chExt cx="101600" cy="95250"/>
                              </a:xfrm>
                            </wpg:grpSpPr>
                            <pic:pic>
                              <pic:nvPicPr>
                                <pic:cNvPr id="1037" name="Image 1037"/>
                                <pic:cNvPicPr/>
                              </pic:nvPicPr>
                              <pic:blipFill>
                                <a:blip r:embed="rId45" cstate="print"/>
                                <a:stretch>
                                  <a:fillRect/>
                                </a:stretch>
                              </pic:blipFill>
                              <pic:spPr>
                                <a:xfrm>
                                  <a:off x="0" y="0"/>
                                  <a:ext cx="101600" cy="95250"/>
                                </a:xfrm>
                                <a:prstGeom prst="rect">
                                  <a:avLst/>
                                </a:prstGeom>
                              </pic:spPr>
                            </pic:pic>
                          </wpg:wgp>
                        </a:graphicData>
                      </a:graphic>
                    </wp:anchor>
                  </w:drawing>
                </mc:Choice>
                <mc:Fallback>
                  <w:pict>
                    <v:group style="position:absolute;margin-left:2.2448pt;margin-top:5.211246pt;width:8pt;height:7.5pt;mso-position-horizontal-relative:column;mso-position-vertical-relative:paragraph;z-index:15810048" id="docshapegroup136" coordorigin="45,104" coordsize="160,150">
                      <v:shape style="position:absolute;left:44;top:104;width:160;height:150" type="#_x0000_t75" id="docshape137" stroked="false">
                        <v:imagedata r:id="rId45" o:title=""/>
                      </v:shape>
                      <w10:wrap type="none"/>
                    </v:group>
                  </w:pict>
                </mc:Fallback>
              </mc:AlternateContent>
            </w:r>
            <w:r>
              <w:rPr>
                <w:color w:val="231F20"/>
                <w:spacing w:val="-10"/>
                <w:sz w:val="11"/>
              </w:rPr>
              <w:t>1</w:t>
            </w:r>
          </w:p>
        </w:tc>
        <w:tc>
          <w:tcPr>
            <w:tcW w:w="1261" w:type="dxa"/>
          </w:tcPr>
          <w:p>
            <w:pPr>
              <w:pStyle w:val="TableParagraph"/>
              <w:spacing w:line="216" w:lineRule="auto" w:before="44"/>
              <w:ind w:right="269"/>
              <w:rPr>
                <w:sz w:val="18"/>
              </w:rPr>
            </w:pPr>
            <w:r>
              <w:rPr>
                <w:color w:val="231F20"/>
                <w:spacing w:val="-2"/>
                <w:sz w:val="18"/>
              </w:rPr>
              <w:t>Showing </w:t>
            </w:r>
            <w:r>
              <w:rPr>
                <w:color w:val="231F20"/>
                <w:sz w:val="18"/>
              </w:rPr>
              <w:t>trends</w:t>
            </w:r>
            <w:r>
              <w:rPr>
                <w:color w:val="231F20"/>
                <w:spacing w:val="-7"/>
                <w:sz w:val="18"/>
              </w:rPr>
              <w:t> </w:t>
            </w:r>
            <w:r>
              <w:rPr>
                <w:color w:val="231F20"/>
                <w:sz w:val="18"/>
              </w:rPr>
              <w:t>over time and </w:t>
            </w:r>
            <w:r>
              <w:rPr>
                <w:color w:val="231F20"/>
                <w:spacing w:val="-2"/>
                <w:sz w:val="18"/>
              </w:rPr>
              <w:t>among related attributes</w:t>
            </w:r>
          </w:p>
        </w:tc>
        <w:tc>
          <w:tcPr>
            <w:tcW w:w="1261" w:type="dxa"/>
          </w:tcPr>
          <w:p>
            <w:pPr>
              <w:pStyle w:val="TableParagraph"/>
              <w:spacing w:line="216" w:lineRule="auto" w:before="44"/>
              <w:rPr>
                <w:sz w:val="18"/>
              </w:rPr>
            </w:pPr>
            <w:r>
              <w:rPr>
                <w:color w:val="231F20"/>
                <w:sz w:val="18"/>
              </w:rPr>
              <w:t>One line per attribute; one data</w:t>
            </w:r>
            <w:r>
              <w:rPr>
                <w:color w:val="231F20"/>
                <w:spacing w:val="-6"/>
                <w:sz w:val="18"/>
              </w:rPr>
              <w:t> </w:t>
            </w:r>
            <w:r>
              <w:rPr>
                <w:color w:val="231F20"/>
                <w:sz w:val="18"/>
              </w:rPr>
              <w:t>point</w:t>
            </w:r>
            <w:r>
              <w:rPr>
                <w:color w:val="231F20"/>
                <w:spacing w:val="-6"/>
                <w:sz w:val="18"/>
              </w:rPr>
              <w:t> </w:t>
            </w:r>
            <w:r>
              <w:rPr>
                <w:color w:val="231F20"/>
                <w:sz w:val="18"/>
              </w:rPr>
              <w:t>for each data </w:t>
            </w:r>
            <w:r>
              <w:rPr>
                <w:color w:val="231F20"/>
                <w:spacing w:val="-2"/>
                <w:sz w:val="18"/>
              </w:rPr>
              <w:t>sampling</w:t>
            </w:r>
          </w:p>
        </w:tc>
        <w:tc>
          <w:tcPr>
            <w:tcW w:w="1261" w:type="dxa"/>
          </w:tcPr>
          <w:p>
            <w:pPr>
              <w:pStyle w:val="TableParagraph"/>
              <w:ind w:left="58"/>
              <w:rPr>
                <w:sz w:val="18"/>
              </w:rPr>
            </w:pPr>
            <w:r>
              <w:rPr>
                <w:color w:val="231F20"/>
                <w:spacing w:val="-5"/>
                <w:sz w:val="18"/>
              </w:rPr>
              <w:t>Yes</w:t>
            </w:r>
          </w:p>
        </w:tc>
        <w:tc>
          <w:tcPr>
            <w:tcW w:w="1261" w:type="dxa"/>
          </w:tcPr>
          <w:p>
            <w:pPr>
              <w:pStyle w:val="TableParagraph"/>
              <w:ind w:left="58"/>
              <w:rPr>
                <w:sz w:val="18"/>
              </w:rPr>
            </w:pPr>
            <w:r>
              <w:rPr>
                <w:color w:val="231F20"/>
                <w:spacing w:val="-5"/>
                <w:sz w:val="18"/>
              </w:rPr>
              <w:t>Yes</w:t>
            </w:r>
          </w:p>
        </w:tc>
        <w:tc>
          <w:tcPr>
            <w:tcW w:w="1246" w:type="dxa"/>
          </w:tcPr>
          <w:p>
            <w:pPr>
              <w:pStyle w:val="TableParagraph"/>
              <w:ind w:left="57"/>
              <w:rPr>
                <w:sz w:val="18"/>
              </w:rPr>
            </w:pPr>
            <w:r>
              <w:rPr>
                <w:color w:val="231F20"/>
                <w:spacing w:val="-5"/>
                <w:sz w:val="18"/>
              </w:rPr>
              <w:t>Yes</w:t>
            </w:r>
          </w:p>
        </w:tc>
      </w:tr>
      <w:tr>
        <w:trPr>
          <w:trHeight w:val="1406" w:hRule="atLeast"/>
        </w:trPr>
        <w:tc>
          <w:tcPr>
            <w:tcW w:w="1246" w:type="dxa"/>
          </w:tcPr>
          <w:p>
            <w:pPr>
              <w:pStyle w:val="TableParagraph"/>
              <w:spacing w:before="24"/>
              <w:ind w:left="309"/>
              <w:rPr>
                <w:sz w:val="11"/>
              </w:rPr>
            </w:pPr>
            <w:r>
              <w:rPr/>
              <mc:AlternateContent>
                <mc:Choice Requires="wps">
                  <w:drawing>
                    <wp:anchor distT="0" distB="0" distL="0" distR="0" allowOverlap="1" layoutInCell="1" locked="0" behindDoc="0" simplePos="0" relativeHeight="15810560">
                      <wp:simplePos x="0" y="0"/>
                      <wp:positionH relativeFrom="column">
                        <wp:posOffset>28508</wp:posOffset>
                      </wp:positionH>
                      <wp:positionV relativeFrom="paragraph">
                        <wp:posOffset>66182</wp:posOffset>
                      </wp:positionV>
                      <wp:extent cx="101600" cy="95250"/>
                      <wp:effectExtent l="0" t="0" r="0" b="0"/>
                      <wp:wrapNone/>
                      <wp:docPr id="1038" name="Group 1038"/>
                      <wp:cNvGraphicFramePr>
                        <a:graphicFrameLocks/>
                      </wp:cNvGraphicFramePr>
                      <a:graphic>
                        <a:graphicData uri="http://schemas.microsoft.com/office/word/2010/wordprocessingGroup">
                          <wpg:wgp>
                            <wpg:cNvPr id="1038" name="Group 1038"/>
                            <wpg:cNvGrpSpPr/>
                            <wpg:grpSpPr>
                              <a:xfrm>
                                <a:off x="0" y="0"/>
                                <a:ext cx="101600" cy="95250"/>
                                <a:chExt cx="101600" cy="95250"/>
                              </a:xfrm>
                            </wpg:grpSpPr>
                            <pic:pic>
                              <pic:nvPicPr>
                                <pic:cNvPr id="1039" name="Image 1039"/>
                                <pic:cNvPicPr/>
                              </pic:nvPicPr>
                              <pic:blipFill>
                                <a:blip r:embed="rId46" cstate="print"/>
                                <a:stretch>
                                  <a:fillRect/>
                                </a:stretch>
                              </pic:blipFill>
                              <pic:spPr>
                                <a:xfrm>
                                  <a:off x="0" y="0"/>
                                  <a:ext cx="101600" cy="95250"/>
                                </a:xfrm>
                                <a:prstGeom prst="rect">
                                  <a:avLst/>
                                </a:prstGeom>
                              </pic:spPr>
                            </pic:pic>
                          </wpg:wgp>
                        </a:graphicData>
                      </a:graphic>
                    </wp:anchor>
                  </w:drawing>
                </mc:Choice>
                <mc:Fallback>
                  <w:pict>
                    <v:group style="position:absolute;margin-left:2.2448pt;margin-top:5.2112pt;width:8pt;height:7.5pt;mso-position-horizontal-relative:column;mso-position-vertical-relative:paragraph;z-index:15810560" id="docshapegroup138" coordorigin="45,104" coordsize="160,150">
                      <v:shape style="position:absolute;left:44;top:104;width:160;height:150" type="#_x0000_t75" id="docshape139" stroked="false">
                        <v:imagedata r:id="rId46" o:title=""/>
                      </v:shape>
                      <w10:wrap type="none"/>
                    </v:group>
                  </w:pict>
                </mc:Fallback>
              </mc:AlternateContent>
            </w:r>
            <w:r>
              <w:rPr>
                <w:color w:val="231F20"/>
                <w:spacing w:val="-10"/>
                <w:sz w:val="11"/>
              </w:rPr>
              <w:t>1</w:t>
            </w:r>
          </w:p>
        </w:tc>
        <w:tc>
          <w:tcPr>
            <w:tcW w:w="1261" w:type="dxa"/>
          </w:tcPr>
          <w:p>
            <w:pPr>
              <w:pStyle w:val="TableParagraph"/>
              <w:spacing w:line="216" w:lineRule="auto" w:before="44"/>
              <w:ind w:right="269"/>
              <w:rPr>
                <w:sz w:val="18"/>
              </w:rPr>
            </w:pPr>
            <w:r>
              <w:rPr>
                <w:color w:val="231F20"/>
                <w:spacing w:val="-2"/>
                <w:sz w:val="18"/>
              </w:rPr>
              <w:t>Showing </w:t>
            </w:r>
            <w:r>
              <w:rPr>
                <w:color w:val="231F20"/>
                <w:sz w:val="18"/>
              </w:rPr>
              <w:t>trends</w:t>
            </w:r>
            <w:r>
              <w:rPr>
                <w:color w:val="231F20"/>
                <w:spacing w:val="-7"/>
                <w:sz w:val="18"/>
              </w:rPr>
              <w:t> </w:t>
            </w:r>
            <w:r>
              <w:rPr>
                <w:color w:val="231F20"/>
                <w:sz w:val="18"/>
              </w:rPr>
              <w:t>over time and </w:t>
            </w:r>
            <w:r>
              <w:rPr>
                <w:color w:val="231F20"/>
                <w:spacing w:val="-2"/>
                <w:sz w:val="18"/>
              </w:rPr>
              <w:t>among related attributes</w:t>
            </w:r>
          </w:p>
        </w:tc>
        <w:tc>
          <w:tcPr>
            <w:tcW w:w="1261" w:type="dxa"/>
          </w:tcPr>
          <w:p>
            <w:pPr>
              <w:pStyle w:val="TableParagraph"/>
              <w:spacing w:line="216" w:lineRule="auto" w:before="44"/>
              <w:rPr>
                <w:sz w:val="18"/>
              </w:rPr>
            </w:pPr>
            <w:r>
              <w:rPr>
                <w:color w:val="231F20"/>
                <w:sz w:val="18"/>
              </w:rPr>
              <w:t>One line per attribute; one data</w:t>
            </w:r>
            <w:r>
              <w:rPr>
                <w:color w:val="231F20"/>
                <w:spacing w:val="-6"/>
                <w:sz w:val="18"/>
              </w:rPr>
              <w:t> </w:t>
            </w:r>
            <w:r>
              <w:rPr>
                <w:color w:val="231F20"/>
                <w:sz w:val="18"/>
              </w:rPr>
              <w:t>point</w:t>
            </w:r>
            <w:r>
              <w:rPr>
                <w:color w:val="231F20"/>
                <w:spacing w:val="-6"/>
                <w:sz w:val="18"/>
              </w:rPr>
              <w:t> </w:t>
            </w:r>
            <w:r>
              <w:rPr>
                <w:color w:val="231F20"/>
                <w:sz w:val="18"/>
              </w:rPr>
              <w:t>for each data </w:t>
            </w:r>
            <w:r>
              <w:rPr>
                <w:color w:val="231F20"/>
                <w:spacing w:val="-2"/>
                <w:sz w:val="18"/>
              </w:rPr>
              <w:t>sampling</w:t>
            </w:r>
          </w:p>
        </w:tc>
        <w:tc>
          <w:tcPr>
            <w:tcW w:w="1261" w:type="dxa"/>
          </w:tcPr>
          <w:p>
            <w:pPr>
              <w:pStyle w:val="TableParagraph"/>
              <w:ind w:left="58"/>
              <w:rPr>
                <w:sz w:val="18"/>
              </w:rPr>
            </w:pPr>
            <w:r>
              <w:rPr>
                <w:color w:val="231F20"/>
                <w:spacing w:val="-5"/>
                <w:sz w:val="18"/>
              </w:rPr>
              <w:t>Yes</w:t>
            </w:r>
          </w:p>
        </w:tc>
        <w:tc>
          <w:tcPr>
            <w:tcW w:w="1261" w:type="dxa"/>
          </w:tcPr>
          <w:p>
            <w:pPr>
              <w:pStyle w:val="TableParagraph"/>
              <w:ind w:left="58"/>
              <w:rPr>
                <w:sz w:val="18"/>
              </w:rPr>
            </w:pPr>
            <w:r>
              <w:rPr>
                <w:color w:val="231F20"/>
                <w:spacing w:val="-5"/>
                <w:sz w:val="18"/>
              </w:rPr>
              <w:t>Yes</w:t>
            </w:r>
          </w:p>
        </w:tc>
        <w:tc>
          <w:tcPr>
            <w:tcW w:w="1246" w:type="dxa"/>
          </w:tcPr>
          <w:p>
            <w:pPr>
              <w:pStyle w:val="TableParagraph"/>
              <w:ind w:left="57"/>
              <w:rPr>
                <w:sz w:val="18"/>
              </w:rPr>
            </w:pPr>
            <w:r>
              <w:rPr>
                <w:color w:val="231F20"/>
                <w:spacing w:val="-5"/>
                <w:sz w:val="18"/>
              </w:rPr>
              <w:t>Yes</w:t>
            </w:r>
          </w:p>
        </w:tc>
      </w:tr>
      <w:tr>
        <w:trPr>
          <w:trHeight w:val="1187" w:hRule="atLeast"/>
        </w:trPr>
        <w:tc>
          <w:tcPr>
            <w:tcW w:w="1246" w:type="dxa"/>
          </w:tcPr>
          <w:p>
            <w:pPr>
              <w:pStyle w:val="TableParagraph"/>
              <w:spacing w:before="9" w:after="1"/>
              <w:ind w:left="0"/>
              <w:rPr>
                <w:sz w:val="7"/>
              </w:rPr>
            </w:pPr>
          </w:p>
          <w:p>
            <w:pPr>
              <w:pStyle w:val="TableParagraph"/>
              <w:spacing w:line="150" w:lineRule="exact" w:before="0"/>
              <w:ind w:left="54"/>
              <w:rPr>
                <w:sz w:val="15"/>
              </w:rPr>
            </w:pPr>
            <w:bookmarkStart w:name="_bookmark79" w:id="175"/>
            <w:bookmarkEnd w:id="175"/>
            <w:r>
              <w:rPr/>
            </w:r>
            <w:r>
              <w:rPr>
                <w:position w:val="-2"/>
                <w:sz w:val="15"/>
              </w:rPr>
              <w:drawing>
                <wp:inline distT="0" distB="0" distL="0" distR="0">
                  <wp:extent cx="95726" cy="95726"/>
                  <wp:effectExtent l="0" t="0" r="0" b="0"/>
                  <wp:docPr id="1040" name="Image 1040"/>
                  <wp:cNvGraphicFramePr>
                    <a:graphicFrameLocks/>
                  </wp:cNvGraphicFramePr>
                  <a:graphic>
                    <a:graphicData uri="http://schemas.openxmlformats.org/drawingml/2006/picture">
                      <pic:pic>
                        <pic:nvPicPr>
                          <pic:cNvPr id="1040" name="Image 1040"/>
                          <pic:cNvPicPr/>
                        </pic:nvPicPr>
                        <pic:blipFill>
                          <a:blip r:embed="rId47" cstate="print"/>
                          <a:stretch>
                            <a:fillRect/>
                          </a:stretch>
                        </pic:blipFill>
                        <pic:spPr>
                          <a:xfrm>
                            <a:off x="0" y="0"/>
                            <a:ext cx="95726" cy="95726"/>
                          </a:xfrm>
                          <a:prstGeom prst="rect">
                            <a:avLst/>
                          </a:prstGeom>
                        </pic:spPr>
                      </pic:pic>
                    </a:graphicData>
                  </a:graphic>
                </wp:inline>
              </w:drawing>
            </w:r>
            <w:r>
              <w:rPr>
                <w:position w:val="-2"/>
                <w:sz w:val="15"/>
              </w:rPr>
            </w:r>
          </w:p>
        </w:tc>
        <w:tc>
          <w:tcPr>
            <w:tcW w:w="1261" w:type="dxa"/>
          </w:tcPr>
          <w:p>
            <w:pPr>
              <w:pStyle w:val="TableParagraph"/>
              <w:spacing w:line="216" w:lineRule="auto" w:before="44"/>
              <w:rPr>
                <w:sz w:val="18"/>
              </w:rPr>
            </w:pPr>
            <w:r>
              <w:rPr>
                <w:color w:val="231F20"/>
                <w:spacing w:val="-2"/>
                <w:sz w:val="18"/>
              </w:rPr>
              <w:t>Showing individual </w:t>
            </w:r>
            <w:r>
              <w:rPr>
                <w:color w:val="231F20"/>
                <w:sz w:val="18"/>
              </w:rPr>
              <w:t>elements</w:t>
            </w:r>
            <w:r>
              <w:rPr>
                <w:color w:val="231F20"/>
                <w:spacing w:val="-7"/>
                <w:sz w:val="18"/>
              </w:rPr>
              <w:t> </w:t>
            </w:r>
            <w:r>
              <w:rPr>
                <w:color w:val="231F20"/>
                <w:sz w:val="18"/>
              </w:rPr>
              <w:t>that </w:t>
            </w:r>
            <w:r>
              <w:rPr>
                <w:color w:val="231F20"/>
                <w:spacing w:val="-2"/>
                <w:sz w:val="18"/>
              </w:rPr>
              <w:t>change frequently</w:t>
            </w:r>
          </w:p>
        </w:tc>
        <w:tc>
          <w:tcPr>
            <w:tcW w:w="1261" w:type="dxa"/>
          </w:tcPr>
          <w:p>
            <w:pPr>
              <w:pStyle w:val="TableParagraph"/>
              <w:spacing w:line="216" w:lineRule="auto" w:before="44"/>
              <w:ind w:right="142"/>
              <w:rPr>
                <w:sz w:val="18"/>
              </w:rPr>
            </w:pPr>
            <w:r>
              <w:rPr>
                <w:color w:val="231F20"/>
                <w:sz w:val="18"/>
              </w:rPr>
              <w:t>One gauge per</w:t>
            </w:r>
            <w:r>
              <w:rPr>
                <w:color w:val="231F20"/>
                <w:spacing w:val="-7"/>
                <w:sz w:val="18"/>
              </w:rPr>
              <w:t> </w:t>
            </w:r>
            <w:r>
              <w:rPr>
                <w:color w:val="231F20"/>
                <w:sz w:val="18"/>
              </w:rPr>
              <w:t>attribute</w:t>
            </w:r>
          </w:p>
        </w:tc>
        <w:tc>
          <w:tcPr>
            <w:tcW w:w="1261" w:type="dxa"/>
          </w:tcPr>
          <w:p>
            <w:pPr>
              <w:pStyle w:val="TableParagraph"/>
              <w:ind w:left="58"/>
              <w:rPr>
                <w:sz w:val="18"/>
              </w:rPr>
            </w:pPr>
            <w:r>
              <w:rPr>
                <w:color w:val="231F20"/>
                <w:spacing w:val="-5"/>
                <w:sz w:val="18"/>
              </w:rPr>
              <w:t>No</w:t>
            </w:r>
          </w:p>
        </w:tc>
        <w:tc>
          <w:tcPr>
            <w:tcW w:w="1261" w:type="dxa"/>
          </w:tcPr>
          <w:p>
            <w:pPr>
              <w:pStyle w:val="TableParagraph"/>
              <w:ind w:left="58"/>
              <w:rPr>
                <w:sz w:val="18"/>
              </w:rPr>
            </w:pPr>
            <w:r>
              <w:rPr>
                <w:color w:val="231F20"/>
                <w:spacing w:val="-5"/>
                <w:sz w:val="18"/>
              </w:rPr>
              <w:t>No</w:t>
            </w:r>
          </w:p>
        </w:tc>
        <w:tc>
          <w:tcPr>
            <w:tcW w:w="1246" w:type="dxa"/>
          </w:tcPr>
          <w:p>
            <w:pPr>
              <w:pStyle w:val="TableParagraph"/>
              <w:ind w:left="57"/>
              <w:rPr>
                <w:sz w:val="18"/>
              </w:rPr>
            </w:pPr>
            <w:r>
              <w:rPr>
                <w:color w:val="231F20"/>
                <w:spacing w:val="-5"/>
                <w:sz w:val="18"/>
              </w:rPr>
              <w:t>No</w:t>
            </w:r>
          </w:p>
        </w:tc>
      </w:tr>
      <w:tr>
        <w:trPr>
          <w:trHeight w:val="748" w:hRule="atLeast"/>
        </w:trPr>
        <w:tc>
          <w:tcPr>
            <w:tcW w:w="1246" w:type="dxa"/>
          </w:tcPr>
          <w:p>
            <w:pPr>
              <w:pStyle w:val="TableParagraph"/>
              <w:spacing w:before="13"/>
              <w:ind w:left="0"/>
              <w:rPr>
                <w:sz w:val="6"/>
              </w:rPr>
            </w:pPr>
          </w:p>
          <w:p>
            <w:pPr>
              <w:pStyle w:val="TableParagraph"/>
              <w:spacing w:line="160" w:lineRule="exact" w:before="0"/>
              <w:ind w:left="44"/>
              <w:rPr>
                <w:sz w:val="16"/>
              </w:rPr>
            </w:pPr>
            <w:r>
              <w:rPr>
                <w:position w:val="-2"/>
                <w:sz w:val="16"/>
              </w:rPr>
              <w:drawing>
                <wp:inline distT="0" distB="0" distL="0" distR="0">
                  <wp:extent cx="102107" cy="102108"/>
                  <wp:effectExtent l="0" t="0" r="0" b="0"/>
                  <wp:docPr id="1041" name="Image 1041"/>
                  <wp:cNvGraphicFramePr>
                    <a:graphicFrameLocks/>
                  </wp:cNvGraphicFramePr>
                  <a:graphic>
                    <a:graphicData uri="http://schemas.openxmlformats.org/drawingml/2006/picture">
                      <pic:pic>
                        <pic:nvPicPr>
                          <pic:cNvPr id="1041" name="Image 1041"/>
                          <pic:cNvPicPr/>
                        </pic:nvPicPr>
                        <pic:blipFill>
                          <a:blip r:embed="rId48" cstate="print"/>
                          <a:stretch>
                            <a:fillRect/>
                          </a:stretch>
                        </pic:blipFill>
                        <pic:spPr>
                          <a:xfrm>
                            <a:off x="0" y="0"/>
                            <a:ext cx="102107" cy="102108"/>
                          </a:xfrm>
                          <a:prstGeom prst="rect">
                            <a:avLst/>
                          </a:prstGeom>
                        </pic:spPr>
                      </pic:pic>
                    </a:graphicData>
                  </a:graphic>
                </wp:inline>
              </w:drawing>
            </w:r>
            <w:r>
              <w:rPr>
                <w:position w:val="-2"/>
                <w:sz w:val="16"/>
              </w:rPr>
            </w:r>
          </w:p>
        </w:tc>
        <w:tc>
          <w:tcPr>
            <w:tcW w:w="1261" w:type="dxa"/>
          </w:tcPr>
          <w:p>
            <w:pPr>
              <w:pStyle w:val="TableParagraph"/>
              <w:spacing w:line="216" w:lineRule="auto" w:before="44"/>
              <w:rPr>
                <w:sz w:val="18"/>
              </w:rPr>
            </w:pPr>
            <w:r>
              <w:rPr>
                <w:color w:val="231F20"/>
                <w:spacing w:val="-2"/>
                <w:sz w:val="18"/>
              </w:rPr>
              <w:t>Showing cumulative values</w:t>
            </w:r>
          </w:p>
        </w:tc>
        <w:tc>
          <w:tcPr>
            <w:tcW w:w="1261" w:type="dxa"/>
          </w:tcPr>
          <w:p>
            <w:pPr>
              <w:pStyle w:val="TableParagraph"/>
              <w:spacing w:line="216" w:lineRule="auto" w:before="44"/>
              <w:ind w:right="142"/>
              <w:rPr>
                <w:sz w:val="18"/>
              </w:rPr>
            </w:pPr>
            <w:r>
              <w:rPr>
                <w:color w:val="231F20"/>
                <w:sz w:val="18"/>
              </w:rPr>
              <w:t>One gauge per</w:t>
            </w:r>
            <w:r>
              <w:rPr>
                <w:color w:val="231F20"/>
                <w:spacing w:val="-7"/>
                <w:sz w:val="18"/>
              </w:rPr>
              <w:t> </w:t>
            </w:r>
            <w:r>
              <w:rPr>
                <w:color w:val="231F20"/>
                <w:sz w:val="18"/>
              </w:rPr>
              <w:t>attribute</w:t>
            </w:r>
          </w:p>
        </w:tc>
        <w:tc>
          <w:tcPr>
            <w:tcW w:w="1261" w:type="dxa"/>
          </w:tcPr>
          <w:p>
            <w:pPr>
              <w:pStyle w:val="TableParagraph"/>
              <w:ind w:left="58"/>
              <w:rPr>
                <w:sz w:val="18"/>
              </w:rPr>
            </w:pPr>
            <w:r>
              <w:rPr>
                <w:color w:val="231F20"/>
                <w:spacing w:val="-5"/>
                <w:sz w:val="18"/>
              </w:rPr>
              <w:t>No</w:t>
            </w:r>
          </w:p>
        </w:tc>
        <w:tc>
          <w:tcPr>
            <w:tcW w:w="1261" w:type="dxa"/>
          </w:tcPr>
          <w:p>
            <w:pPr>
              <w:pStyle w:val="TableParagraph"/>
              <w:ind w:left="58"/>
              <w:rPr>
                <w:sz w:val="18"/>
              </w:rPr>
            </w:pPr>
            <w:r>
              <w:rPr>
                <w:color w:val="231F20"/>
                <w:spacing w:val="-5"/>
                <w:sz w:val="18"/>
              </w:rPr>
              <w:t>No</w:t>
            </w:r>
          </w:p>
        </w:tc>
        <w:tc>
          <w:tcPr>
            <w:tcW w:w="1246" w:type="dxa"/>
          </w:tcPr>
          <w:p>
            <w:pPr>
              <w:pStyle w:val="TableParagraph"/>
              <w:ind w:left="57"/>
              <w:rPr>
                <w:sz w:val="18"/>
              </w:rPr>
            </w:pPr>
            <w:r>
              <w:rPr>
                <w:color w:val="231F20"/>
                <w:spacing w:val="-5"/>
                <w:sz w:val="18"/>
              </w:rPr>
              <w:t>No</w:t>
            </w:r>
          </w:p>
        </w:tc>
      </w:tr>
      <w:tr>
        <w:trPr>
          <w:trHeight w:val="533" w:hRule="atLeast"/>
        </w:trPr>
        <w:tc>
          <w:tcPr>
            <w:tcW w:w="7536" w:type="dxa"/>
            <w:gridSpan w:val="6"/>
          </w:tcPr>
          <w:p>
            <w:pPr>
              <w:pStyle w:val="TableParagraph"/>
              <w:spacing w:line="216" w:lineRule="auto" w:before="44"/>
              <w:ind w:left="44" w:right="535"/>
              <w:rPr>
                <w:sz w:val="18"/>
              </w:rPr>
            </w:pPr>
            <w:r>
              <w:rPr>
                <w:color w:val="231F20"/>
                <w:sz w:val="18"/>
                <w:vertAlign w:val="superscript"/>
              </w:rPr>
              <w:t>1</w:t>
            </w:r>
            <w:r>
              <w:rPr>
                <w:color w:val="231F20"/>
                <w:sz w:val="18"/>
                <w:vertAlign w:val="baseline"/>
              </w:rPr>
              <w:t> This chart can also be used perform to baselining for predictive analysis. See </w:t>
            </w:r>
            <w:hyperlink w:history="true" w:anchor="_bookmark95">
              <w:r>
                <w:rPr>
                  <w:color w:val="231F20"/>
                  <w:sz w:val="18"/>
                  <w:vertAlign w:val="baseline"/>
                </w:rPr>
                <w:t>“Chart</w:t>
              </w:r>
            </w:hyperlink>
            <w:r>
              <w:rPr>
                <w:color w:val="231F20"/>
                <w:sz w:val="18"/>
                <w:vertAlign w:val="baseline"/>
              </w:rPr>
              <w:t> </w:t>
            </w:r>
            <w:hyperlink w:history="true" w:anchor="_bookmark95">
              <w:r>
                <w:rPr>
                  <w:color w:val="231F20"/>
                  <w:sz w:val="18"/>
                  <w:vertAlign w:val="baseline"/>
                </w:rPr>
                <w:t>baselines” on page 124</w:t>
              </w:r>
            </w:hyperlink>
            <w:r>
              <w:rPr>
                <w:color w:val="231F20"/>
                <w:sz w:val="18"/>
                <w:vertAlign w:val="baseline"/>
              </w:rPr>
              <w:t> for details.</w:t>
            </w:r>
          </w:p>
        </w:tc>
      </w:tr>
    </w:tbl>
    <w:p>
      <w:pPr>
        <w:pStyle w:val="BodyText"/>
        <w:spacing w:before="27"/>
        <w:rPr>
          <w:sz w:val="28"/>
        </w:rPr>
      </w:pPr>
    </w:p>
    <w:p>
      <w:pPr>
        <w:pStyle w:val="Heading3"/>
        <w:spacing w:before="0"/>
        <w:ind w:left="0" w:right="6049"/>
        <w:jc w:val="right"/>
      </w:pPr>
      <w:bookmarkStart w:name="Creating a new chart" w:id="176"/>
      <w:bookmarkEnd w:id="176"/>
      <w:r>
        <w:rPr>
          <w:b w:val="0"/>
        </w:rPr>
      </w:r>
      <w:r>
        <w:rPr>
          <w:color w:val="231F20"/>
        </w:rPr>
        <w:t>Creating</w:t>
      </w:r>
      <w:r>
        <w:rPr>
          <w:color w:val="231F20"/>
          <w:spacing w:val="8"/>
        </w:rPr>
        <w:t> </w:t>
      </w:r>
      <w:r>
        <w:rPr>
          <w:color w:val="231F20"/>
        </w:rPr>
        <w:t>a</w:t>
      </w:r>
      <w:r>
        <w:rPr>
          <w:color w:val="231F20"/>
          <w:spacing w:val="9"/>
        </w:rPr>
        <w:t> </w:t>
      </w:r>
      <w:r>
        <w:rPr>
          <w:color w:val="231F20"/>
        </w:rPr>
        <w:t>new</w:t>
      </w:r>
      <w:r>
        <w:rPr>
          <w:color w:val="231F20"/>
          <w:spacing w:val="9"/>
        </w:rPr>
        <w:t> </w:t>
      </w:r>
      <w:r>
        <w:rPr>
          <w:color w:val="231F20"/>
          <w:spacing w:val="-2"/>
        </w:rPr>
        <w:t>chart</w:t>
      </w:r>
    </w:p>
    <w:p>
      <w:pPr>
        <w:pStyle w:val="BodyText"/>
        <w:spacing w:line="213" w:lineRule="auto" w:before="59"/>
        <w:ind w:left="223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042" name="Image 1042"/>
            <wp:cNvGraphicFramePr>
              <a:graphicFrameLocks/>
            </wp:cNvGraphicFramePr>
            <a:graphic>
              <a:graphicData uri="http://schemas.openxmlformats.org/drawingml/2006/picture">
                <pic:pic>
                  <pic:nvPicPr>
                    <pic:cNvPr id="1042" name="Image 1042"/>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043" name="Image 1043"/>
            <wp:cNvGraphicFramePr>
              <a:graphicFrameLocks/>
            </wp:cNvGraphicFramePr>
            <a:graphic>
              <a:graphicData uri="http://schemas.openxmlformats.org/drawingml/2006/picture">
                <pic:pic>
                  <pic:nvPicPr>
                    <pic:cNvPr id="1043" name="Image 1043"/>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044" name="Image 1044"/>
            <wp:cNvGraphicFramePr>
              <a:graphicFrameLocks/>
            </wp:cNvGraphicFramePr>
            <a:graphic>
              <a:graphicData uri="http://schemas.openxmlformats.org/drawingml/2006/picture">
                <pic:pic>
                  <pic:nvPicPr>
                    <pic:cNvPr id="1044" name="Image 1044"/>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045" name="Image 1045"/>
            <wp:cNvGraphicFramePr>
              <a:graphicFrameLocks/>
            </wp:cNvGraphicFramePr>
            <a:graphic>
              <a:graphicData uri="http://schemas.openxmlformats.org/drawingml/2006/picture">
                <pic:pic>
                  <pic:nvPicPr>
                    <pic:cNvPr id="1045" name="Image 1045"/>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046" name="Image 1046"/>
            <wp:cNvGraphicFramePr>
              <a:graphicFrameLocks/>
            </wp:cNvGraphicFramePr>
            <a:graphic>
              <a:graphicData uri="http://schemas.openxmlformats.org/drawingml/2006/picture">
                <pic:pic>
                  <pic:nvPicPr>
                    <pic:cNvPr id="1046" name="Image 1046"/>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047" name="Image 1047"/>
            <wp:cNvGraphicFramePr>
              <a:graphicFrameLocks/>
            </wp:cNvGraphicFramePr>
            <a:graphic>
              <a:graphicData uri="http://schemas.openxmlformats.org/drawingml/2006/picture">
                <pic:pic>
                  <pic:nvPicPr>
                    <pic:cNvPr id="1047" name="Image 1047"/>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Heading4"/>
        <w:spacing w:before="199"/>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Consider the type of data that you are creating a chart for and select the chart type</w:t>
      </w:r>
      <w:r>
        <w:rPr>
          <w:color w:val="231F20"/>
          <w:spacing w:val="40"/>
        </w:rPr>
        <w:t> </w:t>
      </w:r>
      <w:r>
        <w:rPr>
          <w:color w:val="231F20"/>
        </w:rPr>
        <w:t>that best illustrates the data. For example, you might want a gauge chart to show individual attribute values that fluctuate frequently, or you might want a pie chart</w:t>
      </w:r>
      <w:r>
        <w:rPr>
          <w:color w:val="231F20"/>
          <w:spacing w:val="80"/>
        </w:rPr>
        <w:t> </w:t>
      </w:r>
      <w:r>
        <w:rPr>
          <w:color w:val="231F20"/>
        </w:rPr>
        <w:t>to show proportional values.</w:t>
      </w:r>
    </w:p>
    <w:p>
      <w:pPr>
        <w:pStyle w:val="BodyText"/>
        <w:spacing w:before="214"/>
        <w:ind w:left="223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9"/>
        </w:rPr>
        <w:t> </w:t>
      </w:r>
      <w:r>
        <w:rPr>
          <w:color w:val="231F20"/>
        </w:rPr>
        <w:t>these</w:t>
      </w:r>
      <w:r>
        <w:rPr>
          <w:color w:val="231F20"/>
          <w:spacing w:val="9"/>
        </w:rPr>
        <w:t> </w:t>
      </w:r>
      <w:r>
        <w:rPr>
          <w:color w:val="231F20"/>
        </w:rPr>
        <w:t>steps</w:t>
      </w:r>
      <w:r>
        <w:rPr>
          <w:color w:val="231F20"/>
          <w:spacing w:val="9"/>
        </w:rPr>
        <w:t> </w:t>
      </w:r>
      <w:r>
        <w:rPr>
          <w:color w:val="231F20"/>
        </w:rPr>
        <w:t>to</w:t>
      </w:r>
      <w:r>
        <w:rPr>
          <w:color w:val="231F20"/>
          <w:spacing w:val="9"/>
        </w:rPr>
        <w:t> </w:t>
      </w:r>
      <w:r>
        <w:rPr>
          <w:color w:val="231F20"/>
        </w:rPr>
        <w:t>create</w:t>
      </w:r>
      <w:r>
        <w:rPr>
          <w:color w:val="231F20"/>
          <w:spacing w:val="9"/>
        </w:rPr>
        <w:t> </w:t>
      </w:r>
      <w:r>
        <w:rPr>
          <w:color w:val="231F20"/>
        </w:rPr>
        <w:t>a</w:t>
      </w:r>
      <w:r>
        <w:rPr>
          <w:color w:val="231F20"/>
          <w:spacing w:val="9"/>
        </w:rPr>
        <w:t> </w:t>
      </w:r>
      <w:r>
        <w:rPr>
          <w:color w:val="231F20"/>
        </w:rPr>
        <w:t>chart</w:t>
      </w:r>
      <w:r>
        <w:rPr>
          <w:color w:val="231F20"/>
          <w:spacing w:val="9"/>
        </w:rPr>
        <w:t> </w:t>
      </w:r>
      <w:r>
        <w:rPr>
          <w:color w:val="231F20"/>
          <w:spacing w:val="-2"/>
        </w:rPr>
        <w:t>view:</w:t>
      </w:r>
    </w:p>
    <w:p>
      <w:pPr>
        <w:pStyle w:val="Heading4"/>
        <w:spacing w:before="194"/>
      </w:pPr>
      <w:r>
        <w:rPr>
          <w:color w:val="231F20"/>
          <w:spacing w:val="-2"/>
        </w:rPr>
        <w:t>Procedure</w:t>
      </w:r>
    </w:p>
    <w:p>
      <w:pPr>
        <w:pStyle w:val="ListParagraph"/>
        <w:numPr>
          <w:ilvl w:val="0"/>
          <w:numId w:val="54"/>
        </w:numPr>
        <w:tabs>
          <w:tab w:pos="2547" w:val="left" w:leader="none"/>
        </w:tabs>
        <w:spacing w:line="240" w:lineRule="auto" w:before="38" w:after="0"/>
        <w:ind w:left="254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54"/>
        </w:numPr>
        <w:tabs>
          <w:tab w:pos="2548" w:val="left" w:leader="none"/>
        </w:tabs>
        <w:spacing w:line="213" w:lineRule="auto" w:before="53" w:after="0"/>
        <w:ind w:left="2548" w:right="454" w:hanging="316"/>
        <w:jc w:val="left"/>
        <w:rPr>
          <w:sz w:val="20"/>
        </w:rPr>
      </w:pPr>
      <w:r>
        <w:rPr>
          <w:color w:val="231F20"/>
          <w:sz w:val="20"/>
        </w:rPr>
        <w:t>If</w:t>
      </w:r>
      <w:r>
        <w:rPr>
          <w:color w:val="231F20"/>
          <w:spacing w:val="23"/>
          <w:sz w:val="20"/>
        </w:rPr>
        <w:t> </w:t>
      </w:r>
      <w:r>
        <w:rPr>
          <w:color w:val="231F20"/>
          <w:sz w:val="20"/>
        </w:rPr>
        <w:t>you</w:t>
      </w:r>
      <w:r>
        <w:rPr>
          <w:color w:val="231F20"/>
          <w:spacing w:val="23"/>
          <w:sz w:val="20"/>
        </w:rPr>
        <w:t> </w:t>
      </w:r>
      <w:r>
        <w:rPr>
          <w:color w:val="231F20"/>
          <w:sz w:val="20"/>
        </w:rPr>
        <w:t>want</w:t>
      </w:r>
      <w:r>
        <w:rPr>
          <w:color w:val="231F20"/>
          <w:spacing w:val="23"/>
          <w:sz w:val="20"/>
        </w:rPr>
        <w:t> </w:t>
      </w:r>
      <w:r>
        <w:rPr>
          <w:color w:val="231F20"/>
          <w:sz w:val="20"/>
        </w:rPr>
        <w:t>the</w:t>
      </w:r>
      <w:r>
        <w:rPr>
          <w:color w:val="231F20"/>
          <w:spacing w:val="23"/>
          <w:sz w:val="20"/>
        </w:rPr>
        <w:t> </w:t>
      </w:r>
      <w:r>
        <w:rPr>
          <w:color w:val="231F20"/>
          <w:sz w:val="20"/>
        </w:rPr>
        <w:t>view</w:t>
      </w:r>
      <w:r>
        <w:rPr>
          <w:color w:val="231F20"/>
          <w:spacing w:val="23"/>
          <w:sz w:val="20"/>
        </w:rPr>
        <w:t> </w:t>
      </w:r>
      <w:r>
        <w:rPr>
          <w:color w:val="231F20"/>
          <w:sz w:val="20"/>
        </w:rPr>
        <w:t>to</w:t>
      </w:r>
      <w:r>
        <w:rPr>
          <w:color w:val="231F20"/>
          <w:spacing w:val="23"/>
          <w:sz w:val="20"/>
        </w:rPr>
        <w:t> </w:t>
      </w:r>
      <w:r>
        <w:rPr>
          <w:color w:val="231F20"/>
          <w:sz w:val="20"/>
        </w:rPr>
        <w:t>occupy</w:t>
      </w:r>
      <w:r>
        <w:rPr>
          <w:color w:val="231F20"/>
          <w:spacing w:val="23"/>
          <w:sz w:val="20"/>
        </w:rPr>
        <w:t> </w:t>
      </w:r>
      <w:r>
        <w:rPr>
          <w:color w:val="231F20"/>
          <w:sz w:val="20"/>
        </w:rPr>
        <w:t>a</w:t>
      </w:r>
      <w:r>
        <w:rPr>
          <w:color w:val="231F20"/>
          <w:spacing w:val="23"/>
          <w:sz w:val="20"/>
        </w:rPr>
        <w:t> </w:t>
      </w:r>
      <w:r>
        <w:rPr>
          <w:color w:val="231F20"/>
          <w:sz w:val="20"/>
        </w:rPr>
        <w:t>new</w:t>
      </w:r>
      <w:r>
        <w:rPr>
          <w:color w:val="231F20"/>
          <w:spacing w:val="23"/>
          <w:sz w:val="20"/>
        </w:rPr>
        <w:t> </w:t>
      </w:r>
      <w:r>
        <w:rPr>
          <w:color w:val="231F20"/>
          <w:sz w:val="20"/>
        </w:rPr>
        <w:t>space,</w:t>
      </w:r>
      <w:r>
        <w:rPr>
          <w:color w:val="231F20"/>
          <w:spacing w:val="23"/>
          <w:sz w:val="20"/>
        </w:rPr>
        <w:t> </w:t>
      </w:r>
      <w:r>
        <w:rPr>
          <w:color w:val="231F20"/>
          <w:sz w:val="20"/>
        </w:rPr>
        <w:t>click</w:t>
      </w:r>
      <w:r>
        <w:rPr>
          <w:color w:val="231F20"/>
          <w:spacing w:val="40"/>
          <w:sz w:val="20"/>
        </w:rPr>
        <w:t> </w:t>
      </w:r>
      <w:r>
        <w:rPr>
          <w:color w:val="231F20"/>
          <w:spacing w:val="-15"/>
          <w:position w:val="-1"/>
          <w:sz w:val="20"/>
        </w:rPr>
        <w:drawing>
          <wp:inline distT="0" distB="0" distL="0" distR="0">
            <wp:extent cx="88900" cy="88900"/>
            <wp:effectExtent l="0" t="0" r="0" b="0"/>
            <wp:docPr id="1048" name="Image 1048"/>
            <wp:cNvGraphicFramePr>
              <a:graphicFrameLocks/>
            </wp:cNvGraphicFramePr>
            <a:graphic>
              <a:graphicData uri="http://schemas.openxmlformats.org/drawingml/2006/picture">
                <pic:pic>
                  <pic:nvPicPr>
                    <pic:cNvPr id="1048" name="Image 1048"/>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rFonts w:ascii="Book Antiqua"/>
          <w:b/>
          <w:color w:val="231F20"/>
          <w:sz w:val="20"/>
        </w:rPr>
        <w:t>Split</w:t>
      </w:r>
      <w:r>
        <w:rPr>
          <w:rFonts w:ascii="Book Antiqua"/>
          <w:b/>
          <w:color w:val="231F20"/>
          <w:spacing w:val="23"/>
          <w:sz w:val="20"/>
        </w:rPr>
        <w:t> </w:t>
      </w:r>
      <w:r>
        <w:rPr>
          <w:rFonts w:ascii="Book Antiqua"/>
          <w:b/>
          <w:color w:val="231F20"/>
          <w:sz w:val="20"/>
        </w:rPr>
        <w:t>Vertically</w:t>
      </w:r>
      <w:r>
        <w:rPr>
          <w:rFonts w:ascii="Book Antiqua"/>
          <w:b/>
          <w:color w:val="231F20"/>
          <w:spacing w:val="23"/>
          <w:sz w:val="20"/>
        </w:rPr>
        <w:t> </w:t>
      </w:r>
      <w:r>
        <w:rPr>
          <w:color w:val="231F20"/>
          <w:sz w:val="20"/>
        </w:rPr>
        <w:t>or</w:t>
      </w:r>
      <w:r>
        <w:rPr>
          <w:color w:val="231F20"/>
          <w:spacing w:val="40"/>
          <w:sz w:val="20"/>
        </w:rPr>
        <w:t> </w:t>
      </w:r>
      <w:r>
        <w:rPr>
          <w:color w:val="231F20"/>
          <w:spacing w:val="-14"/>
          <w:position w:val="-1"/>
          <w:sz w:val="20"/>
        </w:rPr>
        <w:drawing>
          <wp:inline distT="0" distB="0" distL="0" distR="0">
            <wp:extent cx="88900" cy="88900"/>
            <wp:effectExtent l="0" t="0" r="0" b="0"/>
            <wp:docPr id="1049" name="Image 1049"/>
            <wp:cNvGraphicFramePr>
              <a:graphicFrameLocks/>
            </wp:cNvGraphicFramePr>
            <a:graphic>
              <a:graphicData uri="http://schemas.openxmlformats.org/drawingml/2006/picture">
                <pic:pic>
                  <pic:nvPicPr>
                    <pic:cNvPr id="1049" name="Image 1049"/>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position w:val="-1"/>
          <w:sz w:val="20"/>
        </w:rPr>
        <w:t> </w:t>
      </w:r>
      <w:r>
        <w:rPr>
          <w:rFonts w:ascii="Book Antiqua"/>
          <w:b/>
          <w:color w:val="231F20"/>
          <w:sz w:val="20"/>
        </w:rPr>
        <w:t>Split Horizontally </w:t>
      </w:r>
      <w:r>
        <w:rPr>
          <w:color w:val="231F20"/>
          <w:sz w:val="20"/>
        </w:rPr>
        <w:t>in an existing view. If you do not see the</w:t>
      </w:r>
      <w:r>
        <w:rPr>
          <w:color w:val="231F20"/>
          <w:spacing w:val="32"/>
          <w:sz w:val="20"/>
        </w:rPr>
        <w:t> </w:t>
      </w:r>
      <w:r>
        <w:rPr>
          <w:color w:val="231F20"/>
          <w:spacing w:val="-15"/>
          <w:position w:val="-1"/>
          <w:sz w:val="20"/>
        </w:rPr>
        <w:drawing>
          <wp:inline distT="0" distB="0" distL="0" distR="0">
            <wp:extent cx="88900" cy="88900"/>
            <wp:effectExtent l="0" t="0" r="0" b="0"/>
            <wp:docPr id="1050" name="Image 1050"/>
            <wp:cNvGraphicFramePr>
              <a:graphicFrameLocks/>
            </wp:cNvGraphicFramePr>
            <a:graphic>
              <a:graphicData uri="http://schemas.openxmlformats.org/drawingml/2006/picture">
                <pic:pic>
                  <pic:nvPicPr>
                    <pic:cNvPr id="1050" name="Image 1050"/>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6"/>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051" name="Image 1051"/>
            <wp:cNvGraphicFramePr>
              <a:graphicFrameLocks/>
            </wp:cNvGraphicFramePr>
            <a:graphic>
              <a:graphicData uri="http://schemas.openxmlformats.org/drawingml/2006/picture">
                <pic:pic>
                  <pic:nvPicPr>
                    <pic:cNvPr id="1051" name="Image 1051"/>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75"/>
          <w:sz w:val="20"/>
        </w:rPr>
        <w:t> </w:t>
      </w:r>
      <w:r>
        <w:rPr>
          <w:color w:val="231F20"/>
          <w:sz w:val="20"/>
        </w:rPr>
        <w:t>tools, the Split Pane Toolbar has been disabled. Select it from the View menu to enable it. You can also right-click inside a view and select</w:t>
      </w:r>
      <w:r>
        <w:rPr>
          <w:color w:val="231F20"/>
          <w:spacing w:val="32"/>
          <w:sz w:val="20"/>
        </w:rPr>
        <w:t> </w:t>
      </w:r>
      <w:r>
        <w:rPr>
          <w:color w:val="231F20"/>
          <w:spacing w:val="-15"/>
          <w:position w:val="-1"/>
          <w:sz w:val="20"/>
        </w:rPr>
        <w:drawing>
          <wp:inline distT="0" distB="0" distL="0" distR="0">
            <wp:extent cx="88900" cy="88900"/>
            <wp:effectExtent l="0" t="0" r="0" b="0"/>
            <wp:docPr id="1052" name="Image 1052"/>
            <wp:cNvGraphicFramePr>
              <a:graphicFrameLocks/>
            </wp:cNvGraphicFramePr>
            <a:graphic>
              <a:graphicData uri="http://schemas.openxmlformats.org/drawingml/2006/picture">
                <pic:pic>
                  <pic:nvPicPr>
                    <pic:cNvPr id="1052" name="Image 1052"/>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Split Vertically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053" name="Image 1053"/>
            <wp:cNvGraphicFramePr>
              <a:graphicFrameLocks/>
            </wp:cNvGraphicFramePr>
            <a:graphic>
              <a:graphicData uri="http://schemas.openxmlformats.org/drawingml/2006/picture">
                <pic:pic>
                  <pic:nvPicPr>
                    <pic:cNvPr id="1053" name="Image 1053"/>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rFonts w:ascii="Book Antiqua"/>
          <w:b/>
          <w:color w:val="231F20"/>
          <w:sz w:val="20"/>
        </w:rPr>
        <w:t>Split Horizontally</w:t>
      </w:r>
      <w:r>
        <w:rPr>
          <w:color w:val="231F20"/>
          <w:sz w:val="20"/>
        </w:rPr>
        <w:t>. The pane divides and a duplicate is created. If you split the Navigator, the new view is empty.</w:t>
      </w:r>
    </w:p>
    <w:p>
      <w:pPr>
        <w:pStyle w:val="ListParagraph"/>
        <w:numPr>
          <w:ilvl w:val="0"/>
          <w:numId w:val="54"/>
        </w:numPr>
        <w:tabs>
          <w:tab w:pos="2547" w:val="left" w:leader="none"/>
        </w:tabs>
        <w:spacing w:line="240" w:lineRule="auto" w:before="33" w:after="0"/>
        <w:ind w:left="2547" w:right="0" w:hanging="315"/>
        <w:jc w:val="left"/>
        <w:rPr>
          <w:sz w:val="20"/>
        </w:rPr>
      </w:pPr>
      <w:r>
        <w:rPr>
          <w:color w:val="231F20"/>
          <w:sz w:val="20"/>
        </w:rPr>
        <w:t>Click</w:t>
      </w:r>
      <w:r>
        <w:rPr>
          <w:color w:val="231F20"/>
          <w:spacing w:val="12"/>
          <w:sz w:val="20"/>
        </w:rPr>
        <w:t> </w:t>
      </w:r>
      <w:r>
        <w:rPr>
          <w:color w:val="231F20"/>
          <w:sz w:val="20"/>
        </w:rPr>
        <w:t>the</w:t>
      </w:r>
      <w:r>
        <w:rPr>
          <w:color w:val="231F20"/>
          <w:spacing w:val="13"/>
          <w:sz w:val="20"/>
        </w:rPr>
        <w:t> </w:t>
      </w:r>
      <w:r>
        <w:rPr>
          <w:color w:val="231F20"/>
          <w:sz w:val="20"/>
        </w:rPr>
        <w:t>tool</w:t>
      </w:r>
      <w:r>
        <w:rPr>
          <w:color w:val="231F20"/>
          <w:spacing w:val="13"/>
          <w:sz w:val="20"/>
        </w:rPr>
        <w:t> </w:t>
      </w:r>
      <w:r>
        <w:rPr>
          <w:color w:val="231F20"/>
          <w:sz w:val="20"/>
        </w:rPr>
        <w:t>for</w:t>
      </w:r>
      <w:r>
        <w:rPr>
          <w:color w:val="231F20"/>
          <w:spacing w:val="12"/>
          <w:sz w:val="20"/>
        </w:rPr>
        <w:t> </w:t>
      </w:r>
      <w:r>
        <w:rPr>
          <w:color w:val="231F20"/>
          <w:sz w:val="20"/>
        </w:rPr>
        <w:t>the</w:t>
      </w:r>
      <w:r>
        <w:rPr>
          <w:color w:val="231F20"/>
          <w:spacing w:val="13"/>
          <w:sz w:val="20"/>
        </w:rPr>
        <w:t> </w:t>
      </w:r>
      <w:r>
        <w:rPr>
          <w:color w:val="231F20"/>
          <w:sz w:val="20"/>
        </w:rPr>
        <w:t>type</w:t>
      </w:r>
      <w:r>
        <w:rPr>
          <w:color w:val="231F20"/>
          <w:spacing w:val="13"/>
          <w:sz w:val="20"/>
        </w:rPr>
        <w:t> </w:t>
      </w:r>
      <w:r>
        <w:rPr>
          <w:color w:val="231F20"/>
          <w:sz w:val="20"/>
        </w:rPr>
        <w:t>of</w:t>
      </w:r>
      <w:r>
        <w:rPr>
          <w:color w:val="231F20"/>
          <w:spacing w:val="12"/>
          <w:sz w:val="20"/>
        </w:rPr>
        <w:t> </w:t>
      </w:r>
      <w:r>
        <w:rPr>
          <w:color w:val="231F20"/>
          <w:sz w:val="20"/>
        </w:rPr>
        <w:t>chart</w:t>
      </w:r>
      <w:r>
        <w:rPr>
          <w:color w:val="231F20"/>
          <w:spacing w:val="13"/>
          <w:sz w:val="20"/>
        </w:rPr>
        <w:t> </w:t>
      </w:r>
      <w:r>
        <w:rPr>
          <w:color w:val="231F20"/>
          <w:sz w:val="20"/>
        </w:rPr>
        <w:t>you</w:t>
      </w:r>
      <w:r>
        <w:rPr>
          <w:color w:val="231F20"/>
          <w:spacing w:val="13"/>
          <w:sz w:val="20"/>
        </w:rPr>
        <w:t> </w:t>
      </w:r>
      <w:r>
        <w:rPr>
          <w:color w:val="231F20"/>
          <w:spacing w:val="-2"/>
          <w:sz w:val="20"/>
        </w:rPr>
        <w:t>want:</w:t>
      </w:r>
    </w:p>
    <w:p>
      <w:pPr>
        <w:spacing w:after="0" w:line="240" w:lineRule="auto"/>
        <w:jc w:val="left"/>
        <w:rPr>
          <w:sz w:val="20"/>
        </w:rPr>
        <w:sectPr>
          <w:type w:val="continuous"/>
          <w:pgSz w:w="12240" w:h="15840"/>
          <w:pgMar w:header="0" w:footer="736" w:top="1300" w:bottom="92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Option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1406" w:hRule="atLeast"/>
        </w:trPr>
        <w:tc>
          <w:tcPr>
            <w:tcW w:w="3767" w:type="dxa"/>
          </w:tcPr>
          <w:p>
            <w:pPr>
              <w:pStyle w:val="TableParagraph"/>
              <w:spacing w:before="9" w:after="1"/>
              <w:ind w:left="0"/>
              <w:rPr>
                <w:sz w:val="7"/>
              </w:rPr>
            </w:pPr>
          </w:p>
          <w:p>
            <w:pPr>
              <w:pStyle w:val="TableParagraph"/>
              <w:spacing w:line="150" w:lineRule="exact" w:before="0"/>
              <w:ind w:left="54"/>
              <w:rPr>
                <w:sz w:val="15"/>
              </w:rPr>
            </w:pPr>
            <w:r>
              <w:rPr>
                <w:position w:val="-2"/>
                <w:sz w:val="15"/>
              </w:rPr>
              <w:drawing>
                <wp:inline distT="0" distB="0" distL="0" distR="0">
                  <wp:extent cx="95726" cy="95726"/>
                  <wp:effectExtent l="0" t="0" r="0" b="0"/>
                  <wp:docPr id="1054" name="Image 1054"/>
                  <wp:cNvGraphicFramePr>
                    <a:graphicFrameLocks/>
                  </wp:cNvGraphicFramePr>
                  <a:graphic>
                    <a:graphicData uri="http://schemas.openxmlformats.org/drawingml/2006/picture">
                      <pic:pic>
                        <pic:nvPicPr>
                          <pic:cNvPr id="1054" name="Image 1054"/>
                          <pic:cNvPicPr/>
                        </pic:nvPicPr>
                        <pic:blipFill>
                          <a:blip r:embed="rId43" cstate="print"/>
                          <a:stretch>
                            <a:fillRect/>
                          </a:stretch>
                        </pic:blipFill>
                        <pic:spPr>
                          <a:xfrm>
                            <a:off x="0" y="0"/>
                            <a:ext cx="95726" cy="95726"/>
                          </a:xfrm>
                          <a:prstGeom prst="rect">
                            <a:avLst/>
                          </a:prstGeom>
                        </pic:spPr>
                      </pic:pic>
                    </a:graphicData>
                  </a:graphic>
                </wp:inline>
              </w:drawing>
            </w:r>
            <w:r>
              <w:rPr>
                <w:position w:val="-2"/>
                <w:sz w:val="15"/>
              </w:rPr>
            </w:r>
          </w:p>
        </w:tc>
        <w:tc>
          <w:tcPr>
            <w:tcW w:w="3767" w:type="dxa"/>
          </w:tcPr>
          <w:p>
            <w:pPr>
              <w:pStyle w:val="TableParagraph"/>
              <w:spacing w:line="216" w:lineRule="auto" w:before="44"/>
              <w:ind w:right="188"/>
              <w:rPr>
                <w:sz w:val="18"/>
              </w:rPr>
            </w:pPr>
            <w:r>
              <w:rPr>
                <w:color w:val="231F20"/>
                <w:sz w:val="18"/>
              </w:rPr>
              <w:t>Select the pie chart to show proportional values to the whole, one slice per </w:t>
            </w:r>
            <w:r>
              <w:rPr>
                <w:color w:val="231F20"/>
                <w:sz w:val="18"/>
              </w:rPr>
              <w:t>attribute, one pie for each row returned, and one pie for each managed system if the Navigator item has multiple managed systems </w:t>
            </w:r>
            <w:r>
              <w:rPr>
                <w:color w:val="231F20"/>
                <w:spacing w:val="-2"/>
                <w:sz w:val="18"/>
              </w:rPr>
              <w:t>assigned.</w:t>
            </w:r>
          </w:p>
        </w:tc>
      </w:tr>
      <w:tr>
        <w:trPr>
          <w:trHeight w:val="2723" w:hRule="atLeast"/>
        </w:trPr>
        <w:tc>
          <w:tcPr>
            <w:tcW w:w="3767" w:type="dxa"/>
          </w:tcPr>
          <w:p>
            <w:pPr>
              <w:pStyle w:val="TableParagraph"/>
              <w:spacing w:before="13"/>
              <w:ind w:left="0"/>
              <w:rPr>
                <w:sz w:val="6"/>
              </w:rPr>
            </w:pPr>
          </w:p>
          <w:p>
            <w:pPr>
              <w:pStyle w:val="TableParagraph"/>
              <w:spacing w:line="160" w:lineRule="exact" w:before="0"/>
              <w:ind w:left="54"/>
              <w:rPr>
                <w:sz w:val="16"/>
              </w:rPr>
            </w:pPr>
            <w:r>
              <w:rPr>
                <w:position w:val="-2"/>
                <w:sz w:val="16"/>
              </w:rPr>
              <w:drawing>
                <wp:inline distT="0" distB="0" distL="0" distR="0">
                  <wp:extent cx="95726" cy="102107"/>
                  <wp:effectExtent l="0" t="0" r="0" b="0"/>
                  <wp:docPr id="1055" name="Image 1055"/>
                  <wp:cNvGraphicFramePr>
                    <a:graphicFrameLocks/>
                  </wp:cNvGraphicFramePr>
                  <a:graphic>
                    <a:graphicData uri="http://schemas.openxmlformats.org/drawingml/2006/picture">
                      <pic:pic>
                        <pic:nvPicPr>
                          <pic:cNvPr id="1055" name="Image 1055"/>
                          <pic:cNvPicPr/>
                        </pic:nvPicPr>
                        <pic:blipFill>
                          <a:blip r:embed="rId44" cstate="print"/>
                          <a:stretch>
                            <a:fillRect/>
                          </a:stretch>
                        </pic:blipFill>
                        <pic:spPr>
                          <a:xfrm>
                            <a:off x="0" y="0"/>
                            <a:ext cx="95726" cy="102107"/>
                          </a:xfrm>
                          <a:prstGeom prst="rect">
                            <a:avLst/>
                          </a:prstGeom>
                        </pic:spPr>
                      </pic:pic>
                    </a:graphicData>
                  </a:graphic>
                </wp:inline>
              </w:drawing>
            </w:r>
            <w:r>
              <w:rPr>
                <w:position w:val="-2"/>
                <w:sz w:val="16"/>
              </w:rPr>
            </w:r>
          </w:p>
        </w:tc>
        <w:tc>
          <w:tcPr>
            <w:tcW w:w="3767" w:type="dxa"/>
          </w:tcPr>
          <w:p>
            <w:pPr>
              <w:pStyle w:val="TableParagraph"/>
              <w:spacing w:line="216" w:lineRule="auto" w:before="44"/>
              <w:ind w:right="188"/>
              <w:rPr>
                <w:sz w:val="18"/>
              </w:rPr>
            </w:pPr>
            <w:r>
              <w:rPr>
                <w:color w:val="231F20"/>
                <w:sz w:val="18"/>
              </w:rPr>
              <w:t>Select the bar chart for comparing values among related attributes, one bar per attribute or per segment if this is a </w:t>
            </w:r>
            <w:r>
              <w:rPr>
                <w:color w:val="231F20"/>
                <w:sz w:val="18"/>
              </w:rPr>
              <w:t>stacking bar chart, one set of bars for each row, and one set of bars for each managed system if the Navigator item has multiple managed systems assigned.</w:t>
            </w:r>
          </w:p>
          <w:p>
            <w:pPr>
              <w:pStyle w:val="TableParagraph"/>
              <w:spacing w:line="216" w:lineRule="auto" w:before="6"/>
              <w:ind w:right="129"/>
              <w:rPr>
                <w:sz w:val="18"/>
              </w:rPr>
            </w:pPr>
            <w:r>
              <w:rPr>
                <w:color w:val="231F20"/>
                <w:sz w:val="18"/>
              </w:rPr>
              <w:t>You can apply a monitored baseline of a situation's threshold criteria to a bar chart </w:t>
            </w:r>
            <w:r>
              <w:rPr>
                <w:color w:val="231F20"/>
                <w:sz w:val="18"/>
              </w:rPr>
              <w:t>to see how effective the situation is. See </w:t>
            </w:r>
            <w:hyperlink w:history="true" w:anchor="_bookmark95">
              <w:r>
                <w:rPr>
                  <w:color w:val="231F20"/>
                  <w:sz w:val="18"/>
                </w:rPr>
                <w:t>“Adding monitored baselines to a chart” on</w:t>
              </w:r>
            </w:hyperlink>
            <w:r>
              <w:rPr>
                <w:color w:val="231F20"/>
                <w:sz w:val="18"/>
              </w:rPr>
              <w:t> </w:t>
            </w:r>
            <w:hyperlink w:history="true" w:anchor="_bookmark95">
              <w:r>
                <w:rPr>
                  <w:color w:val="231F20"/>
                  <w:sz w:val="18"/>
                </w:rPr>
                <w:t>page 124.</w:t>
              </w:r>
            </w:hyperlink>
          </w:p>
        </w:tc>
      </w:tr>
      <w:tr>
        <w:trPr>
          <w:trHeight w:val="2064" w:hRule="atLeast"/>
        </w:trPr>
        <w:tc>
          <w:tcPr>
            <w:tcW w:w="3767" w:type="dxa"/>
          </w:tcPr>
          <w:p>
            <w:pPr>
              <w:pStyle w:val="TableParagraph"/>
              <w:spacing w:before="9" w:after="1"/>
              <w:ind w:left="0"/>
              <w:rPr>
                <w:sz w:val="7"/>
              </w:rPr>
            </w:pPr>
          </w:p>
          <w:p>
            <w:pPr>
              <w:pStyle w:val="TableParagraph"/>
              <w:spacing w:line="150" w:lineRule="exact" w:before="0"/>
              <w:ind w:left="44"/>
              <w:rPr>
                <w:sz w:val="15"/>
              </w:rPr>
            </w:pPr>
            <w:r>
              <w:rPr>
                <w:position w:val="-2"/>
                <w:sz w:val="15"/>
              </w:rPr>
              <w:drawing>
                <wp:inline distT="0" distB="0" distL="0" distR="0">
                  <wp:extent cx="102107" cy="95726"/>
                  <wp:effectExtent l="0" t="0" r="0" b="0"/>
                  <wp:docPr id="1056" name="Image 1056"/>
                  <wp:cNvGraphicFramePr>
                    <a:graphicFrameLocks/>
                  </wp:cNvGraphicFramePr>
                  <a:graphic>
                    <a:graphicData uri="http://schemas.openxmlformats.org/drawingml/2006/picture">
                      <pic:pic>
                        <pic:nvPicPr>
                          <pic:cNvPr id="1056" name="Image 1056"/>
                          <pic:cNvPicPr/>
                        </pic:nvPicPr>
                        <pic:blipFill>
                          <a:blip r:embed="rId45" cstate="print"/>
                          <a:stretch>
                            <a:fillRect/>
                          </a:stretch>
                        </pic:blipFill>
                        <pic:spPr>
                          <a:xfrm>
                            <a:off x="0" y="0"/>
                            <a:ext cx="102107" cy="95726"/>
                          </a:xfrm>
                          <a:prstGeom prst="rect">
                            <a:avLst/>
                          </a:prstGeom>
                        </pic:spPr>
                      </pic:pic>
                    </a:graphicData>
                  </a:graphic>
                </wp:inline>
              </w:drawing>
            </w:r>
            <w:r>
              <w:rPr>
                <w:position w:val="-2"/>
                <w:sz w:val="15"/>
              </w:rPr>
            </w:r>
          </w:p>
        </w:tc>
        <w:tc>
          <w:tcPr>
            <w:tcW w:w="3767" w:type="dxa"/>
          </w:tcPr>
          <w:p>
            <w:pPr>
              <w:pStyle w:val="TableParagraph"/>
              <w:spacing w:line="216" w:lineRule="auto" w:before="44"/>
              <w:ind w:right="129"/>
              <w:rPr>
                <w:sz w:val="18"/>
              </w:rPr>
            </w:pPr>
            <w:r>
              <w:rPr>
                <w:color w:val="231F20"/>
                <w:sz w:val="18"/>
              </w:rPr>
              <w:t>Select the plot chart for showing trends </w:t>
            </w:r>
            <w:r>
              <w:rPr>
                <w:color w:val="231F20"/>
                <w:sz w:val="18"/>
              </w:rPr>
              <w:t>over time and among related attributes, one line per attribute and one data point for each</w:t>
            </w:r>
            <w:r>
              <w:rPr>
                <w:color w:val="231F20"/>
                <w:spacing w:val="80"/>
                <w:sz w:val="18"/>
              </w:rPr>
              <w:t> </w:t>
            </w:r>
            <w:r>
              <w:rPr>
                <w:color w:val="231F20"/>
                <w:sz w:val="18"/>
              </w:rPr>
              <w:t>data sampling, with multiple rows and managed systems supported within a single </w:t>
            </w:r>
            <w:r>
              <w:rPr>
                <w:color w:val="231F20"/>
                <w:spacing w:val="-2"/>
                <w:sz w:val="18"/>
              </w:rPr>
              <w:t>chart.</w:t>
            </w:r>
          </w:p>
          <w:p>
            <w:pPr>
              <w:pStyle w:val="TableParagraph"/>
              <w:spacing w:line="216" w:lineRule="auto" w:before="6"/>
              <w:ind w:right="53"/>
              <w:jc w:val="both"/>
              <w:rPr>
                <w:sz w:val="18"/>
              </w:rPr>
            </w:pPr>
            <w:r>
              <w:rPr>
                <w:color w:val="231F20"/>
                <w:sz w:val="18"/>
              </w:rPr>
              <w:t>This chart can be used to perform any or all</w:t>
            </w:r>
            <w:r>
              <w:rPr>
                <w:color w:val="231F20"/>
                <w:spacing w:val="40"/>
                <w:sz w:val="18"/>
              </w:rPr>
              <w:t> </w:t>
            </w:r>
            <w:r>
              <w:rPr>
                <w:color w:val="231F20"/>
                <w:sz w:val="18"/>
              </w:rPr>
              <w:t>of the three baselining functions for </w:t>
            </w:r>
            <w:r>
              <w:rPr>
                <w:color w:val="231F20"/>
                <w:sz w:val="18"/>
              </w:rPr>
              <w:t>analysis. See </w:t>
            </w:r>
            <w:hyperlink w:history="true" w:anchor="_bookmark95">
              <w:r>
                <w:rPr>
                  <w:color w:val="231F20"/>
                  <w:sz w:val="18"/>
                </w:rPr>
                <w:t>“Chart baselines” on page 124.</w:t>
              </w:r>
            </w:hyperlink>
          </w:p>
        </w:tc>
      </w:tr>
      <w:tr>
        <w:trPr>
          <w:trHeight w:val="2942" w:hRule="atLeast"/>
        </w:trPr>
        <w:tc>
          <w:tcPr>
            <w:tcW w:w="3767" w:type="dxa"/>
          </w:tcPr>
          <w:p>
            <w:pPr>
              <w:pStyle w:val="TableParagraph"/>
              <w:spacing w:before="9" w:after="1"/>
              <w:ind w:left="0"/>
              <w:rPr>
                <w:sz w:val="7"/>
              </w:rPr>
            </w:pPr>
          </w:p>
          <w:p>
            <w:pPr>
              <w:pStyle w:val="TableParagraph"/>
              <w:spacing w:line="150" w:lineRule="exact" w:before="0"/>
              <w:ind w:left="44"/>
              <w:rPr>
                <w:sz w:val="15"/>
              </w:rPr>
            </w:pPr>
            <w:r>
              <w:rPr>
                <w:position w:val="-2"/>
                <w:sz w:val="15"/>
              </w:rPr>
              <w:drawing>
                <wp:inline distT="0" distB="0" distL="0" distR="0">
                  <wp:extent cx="102107" cy="95726"/>
                  <wp:effectExtent l="0" t="0" r="0" b="0"/>
                  <wp:docPr id="1057" name="Image 1057"/>
                  <wp:cNvGraphicFramePr>
                    <a:graphicFrameLocks/>
                  </wp:cNvGraphicFramePr>
                  <a:graphic>
                    <a:graphicData uri="http://schemas.openxmlformats.org/drawingml/2006/picture">
                      <pic:pic>
                        <pic:nvPicPr>
                          <pic:cNvPr id="1057" name="Image 1057"/>
                          <pic:cNvPicPr/>
                        </pic:nvPicPr>
                        <pic:blipFill>
                          <a:blip r:embed="rId46" cstate="print"/>
                          <a:stretch>
                            <a:fillRect/>
                          </a:stretch>
                        </pic:blipFill>
                        <pic:spPr>
                          <a:xfrm>
                            <a:off x="0" y="0"/>
                            <a:ext cx="102107" cy="95726"/>
                          </a:xfrm>
                          <a:prstGeom prst="rect">
                            <a:avLst/>
                          </a:prstGeom>
                        </pic:spPr>
                      </pic:pic>
                    </a:graphicData>
                  </a:graphic>
                </wp:inline>
              </w:drawing>
            </w:r>
            <w:r>
              <w:rPr>
                <w:position w:val="-2"/>
                <w:sz w:val="15"/>
              </w:rPr>
            </w:r>
          </w:p>
        </w:tc>
        <w:tc>
          <w:tcPr>
            <w:tcW w:w="3767" w:type="dxa"/>
          </w:tcPr>
          <w:p>
            <w:pPr>
              <w:pStyle w:val="TableParagraph"/>
              <w:spacing w:line="216" w:lineRule="auto" w:before="44"/>
              <w:ind w:right="113"/>
              <w:rPr>
                <w:sz w:val="18"/>
              </w:rPr>
            </w:pPr>
            <w:r>
              <w:rPr>
                <w:color w:val="231F20"/>
                <w:sz w:val="18"/>
              </w:rPr>
              <w:t>Select the area chart for showing trends </w:t>
            </w:r>
            <w:r>
              <w:rPr>
                <w:color w:val="231F20"/>
                <w:sz w:val="18"/>
              </w:rPr>
              <w:t>over time and among related attributes, one line per attribute and one data point for each</w:t>
            </w:r>
            <w:r>
              <w:rPr>
                <w:color w:val="231F20"/>
                <w:spacing w:val="80"/>
                <w:sz w:val="18"/>
              </w:rPr>
              <w:t> </w:t>
            </w:r>
            <w:r>
              <w:rPr>
                <w:color w:val="231F20"/>
                <w:sz w:val="18"/>
              </w:rPr>
              <w:t>data sampling, with multiple rows and managed systems supported within a single </w:t>
            </w:r>
            <w:r>
              <w:rPr>
                <w:color w:val="231F20"/>
                <w:spacing w:val="-2"/>
                <w:sz w:val="18"/>
              </w:rPr>
              <w:t>chart.</w:t>
            </w:r>
          </w:p>
          <w:p>
            <w:pPr>
              <w:pStyle w:val="TableParagraph"/>
              <w:spacing w:line="216" w:lineRule="auto" w:before="6"/>
              <w:ind w:right="59"/>
              <w:rPr>
                <w:sz w:val="18"/>
              </w:rPr>
            </w:pPr>
            <w:r>
              <w:rPr>
                <w:color w:val="231F20"/>
                <w:sz w:val="18"/>
              </w:rPr>
              <w:t>You can apply a monitored baseline of a situation's threshold criteria to a bar chart to see how effective the situation is, or apply statistical functions to a plotted attribute. </w:t>
            </w:r>
            <w:r>
              <w:rPr>
                <w:color w:val="231F20"/>
                <w:sz w:val="18"/>
              </w:rPr>
              <w:t>See </w:t>
            </w:r>
            <w:hyperlink w:history="true" w:anchor="_bookmark95">
              <w:r>
                <w:rPr>
                  <w:color w:val="231F20"/>
                  <w:sz w:val="18"/>
                </w:rPr>
                <w:t>“Adding monitored baselines to a chart” on</w:t>
              </w:r>
            </w:hyperlink>
            <w:r>
              <w:rPr>
                <w:color w:val="231F20"/>
                <w:sz w:val="18"/>
              </w:rPr>
              <w:t> </w:t>
            </w:r>
            <w:hyperlink w:history="true" w:anchor="_bookmark95">
              <w:r>
                <w:rPr>
                  <w:color w:val="231F20"/>
                  <w:sz w:val="18"/>
                </w:rPr>
                <w:t>page 124</w:t>
              </w:r>
            </w:hyperlink>
            <w:r>
              <w:rPr>
                <w:color w:val="231F20"/>
                <w:sz w:val="18"/>
              </w:rPr>
              <w:t> and </w:t>
            </w:r>
            <w:hyperlink w:history="true" w:anchor="_bookmark97">
              <w:r>
                <w:rPr>
                  <w:color w:val="231F20"/>
                  <w:sz w:val="18"/>
                </w:rPr>
                <w:t>“Adding statistical baselines to</w:t>
              </w:r>
            </w:hyperlink>
            <w:r>
              <w:rPr>
                <w:color w:val="231F20"/>
                <w:spacing w:val="40"/>
                <w:sz w:val="18"/>
              </w:rPr>
              <w:t> </w:t>
            </w:r>
            <w:hyperlink w:history="true" w:anchor="_bookmark97">
              <w:r>
                <w:rPr>
                  <w:color w:val="231F20"/>
                  <w:sz w:val="18"/>
                </w:rPr>
                <w:t>a chart” on page 128.</w:t>
              </w:r>
            </w:hyperlink>
          </w:p>
        </w:tc>
      </w:tr>
      <w:tr>
        <w:trPr>
          <w:trHeight w:val="1406" w:hRule="atLeast"/>
        </w:trPr>
        <w:tc>
          <w:tcPr>
            <w:tcW w:w="3767" w:type="dxa"/>
          </w:tcPr>
          <w:p>
            <w:pPr>
              <w:pStyle w:val="TableParagraph"/>
              <w:spacing w:before="10"/>
              <w:ind w:left="0"/>
              <w:rPr>
                <w:sz w:val="7"/>
              </w:rPr>
            </w:pPr>
          </w:p>
          <w:p>
            <w:pPr>
              <w:pStyle w:val="TableParagraph"/>
              <w:spacing w:line="150" w:lineRule="exact" w:before="0"/>
              <w:ind w:left="54"/>
              <w:rPr>
                <w:sz w:val="15"/>
              </w:rPr>
            </w:pPr>
            <w:r>
              <w:rPr>
                <w:position w:val="-2"/>
                <w:sz w:val="15"/>
              </w:rPr>
              <w:drawing>
                <wp:inline distT="0" distB="0" distL="0" distR="0">
                  <wp:extent cx="95726" cy="95726"/>
                  <wp:effectExtent l="0" t="0" r="0" b="0"/>
                  <wp:docPr id="1058" name="Image 1058"/>
                  <wp:cNvGraphicFramePr>
                    <a:graphicFrameLocks/>
                  </wp:cNvGraphicFramePr>
                  <a:graphic>
                    <a:graphicData uri="http://schemas.openxmlformats.org/drawingml/2006/picture">
                      <pic:pic>
                        <pic:nvPicPr>
                          <pic:cNvPr id="1058" name="Image 1058"/>
                          <pic:cNvPicPr/>
                        </pic:nvPicPr>
                        <pic:blipFill>
                          <a:blip r:embed="rId47" cstate="print"/>
                          <a:stretch>
                            <a:fillRect/>
                          </a:stretch>
                        </pic:blipFill>
                        <pic:spPr>
                          <a:xfrm>
                            <a:off x="0" y="0"/>
                            <a:ext cx="95726" cy="95726"/>
                          </a:xfrm>
                          <a:prstGeom prst="rect">
                            <a:avLst/>
                          </a:prstGeom>
                        </pic:spPr>
                      </pic:pic>
                    </a:graphicData>
                  </a:graphic>
                </wp:inline>
              </w:drawing>
            </w:r>
            <w:r>
              <w:rPr>
                <w:position w:val="-2"/>
                <w:sz w:val="15"/>
              </w:rPr>
            </w:r>
          </w:p>
        </w:tc>
        <w:tc>
          <w:tcPr>
            <w:tcW w:w="3767" w:type="dxa"/>
          </w:tcPr>
          <w:p>
            <w:pPr>
              <w:pStyle w:val="TableParagraph"/>
              <w:spacing w:line="216" w:lineRule="auto" w:before="44"/>
              <w:ind w:right="191"/>
              <w:jc w:val="both"/>
              <w:rPr>
                <w:sz w:val="18"/>
              </w:rPr>
            </w:pPr>
            <w:r>
              <w:rPr>
                <w:color w:val="231F20"/>
                <w:sz w:val="18"/>
              </w:rPr>
              <w:t>Select the circular gauge chart for showing individual</w:t>
            </w:r>
            <w:r>
              <w:rPr>
                <w:color w:val="231F20"/>
                <w:spacing w:val="-3"/>
                <w:sz w:val="18"/>
              </w:rPr>
              <w:t> </w:t>
            </w:r>
            <w:r>
              <w:rPr>
                <w:color w:val="231F20"/>
                <w:sz w:val="18"/>
              </w:rPr>
              <w:t>elements</w:t>
            </w:r>
            <w:r>
              <w:rPr>
                <w:color w:val="231F20"/>
                <w:spacing w:val="-3"/>
                <w:sz w:val="18"/>
              </w:rPr>
              <w:t> </w:t>
            </w:r>
            <w:r>
              <w:rPr>
                <w:color w:val="231F20"/>
                <w:sz w:val="18"/>
              </w:rPr>
              <w:t>that</w:t>
            </w:r>
            <w:r>
              <w:rPr>
                <w:color w:val="231F20"/>
                <w:spacing w:val="-3"/>
                <w:sz w:val="18"/>
              </w:rPr>
              <w:t> </w:t>
            </w:r>
            <w:r>
              <w:rPr>
                <w:color w:val="231F20"/>
                <w:sz w:val="18"/>
              </w:rPr>
              <w:t>change</w:t>
            </w:r>
            <w:r>
              <w:rPr>
                <w:color w:val="231F20"/>
                <w:spacing w:val="-3"/>
                <w:sz w:val="18"/>
              </w:rPr>
              <w:t> </w:t>
            </w:r>
            <w:r>
              <w:rPr>
                <w:color w:val="231F20"/>
                <w:sz w:val="18"/>
              </w:rPr>
              <w:t>frequently, with one gauge per attribute displayed.</w:t>
            </w:r>
          </w:p>
          <w:p>
            <w:pPr>
              <w:pStyle w:val="TableParagraph"/>
              <w:spacing w:line="216" w:lineRule="auto" w:before="3"/>
              <w:rPr>
                <w:sz w:val="18"/>
              </w:rPr>
            </w:pPr>
            <w:r>
              <w:rPr>
                <w:color w:val="231F20"/>
                <w:sz w:val="18"/>
              </w:rPr>
              <w:t>Neither multiple rows nor multiple </w:t>
            </w:r>
            <w:r>
              <w:rPr>
                <w:color w:val="231F20"/>
                <w:sz w:val="18"/>
              </w:rPr>
              <w:t>managed systems are supported for a single circular </w:t>
            </w:r>
            <w:r>
              <w:rPr>
                <w:color w:val="231F20"/>
                <w:spacing w:val="-2"/>
                <w:sz w:val="18"/>
              </w:rPr>
              <w:t>gauge.</w:t>
            </w:r>
          </w:p>
        </w:tc>
      </w:tr>
      <w:tr>
        <w:trPr>
          <w:trHeight w:val="972" w:hRule="atLeast"/>
        </w:trPr>
        <w:tc>
          <w:tcPr>
            <w:tcW w:w="3767" w:type="dxa"/>
          </w:tcPr>
          <w:p>
            <w:pPr>
              <w:pStyle w:val="TableParagraph"/>
              <w:spacing w:before="13"/>
              <w:ind w:left="0"/>
              <w:rPr>
                <w:sz w:val="6"/>
              </w:rPr>
            </w:pPr>
          </w:p>
          <w:p>
            <w:pPr>
              <w:pStyle w:val="TableParagraph"/>
              <w:spacing w:line="160" w:lineRule="exact" w:before="0"/>
              <w:ind w:left="44"/>
              <w:rPr>
                <w:sz w:val="16"/>
              </w:rPr>
            </w:pPr>
            <w:r>
              <w:rPr>
                <w:position w:val="-2"/>
                <w:sz w:val="16"/>
              </w:rPr>
              <w:drawing>
                <wp:inline distT="0" distB="0" distL="0" distR="0">
                  <wp:extent cx="102107" cy="102107"/>
                  <wp:effectExtent l="0" t="0" r="0" b="0"/>
                  <wp:docPr id="1059" name="Image 1059"/>
                  <wp:cNvGraphicFramePr>
                    <a:graphicFrameLocks/>
                  </wp:cNvGraphicFramePr>
                  <a:graphic>
                    <a:graphicData uri="http://schemas.openxmlformats.org/drawingml/2006/picture">
                      <pic:pic>
                        <pic:nvPicPr>
                          <pic:cNvPr id="1059" name="Image 1059"/>
                          <pic:cNvPicPr/>
                        </pic:nvPicPr>
                        <pic:blipFill>
                          <a:blip r:embed="rId48" cstate="print"/>
                          <a:stretch>
                            <a:fillRect/>
                          </a:stretch>
                        </pic:blipFill>
                        <pic:spPr>
                          <a:xfrm>
                            <a:off x="0" y="0"/>
                            <a:ext cx="102107" cy="102107"/>
                          </a:xfrm>
                          <a:prstGeom prst="rect">
                            <a:avLst/>
                          </a:prstGeom>
                        </pic:spPr>
                      </pic:pic>
                    </a:graphicData>
                  </a:graphic>
                </wp:inline>
              </w:drawing>
            </w:r>
            <w:r>
              <w:rPr>
                <w:position w:val="-2"/>
                <w:sz w:val="16"/>
              </w:rPr>
            </w:r>
          </w:p>
        </w:tc>
        <w:tc>
          <w:tcPr>
            <w:tcW w:w="3767" w:type="dxa"/>
          </w:tcPr>
          <w:p>
            <w:pPr>
              <w:pStyle w:val="TableParagraph"/>
              <w:spacing w:line="216" w:lineRule="auto" w:before="44"/>
              <w:ind w:right="188"/>
              <w:rPr>
                <w:sz w:val="18"/>
              </w:rPr>
            </w:pPr>
            <w:r>
              <w:rPr>
                <w:color w:val="231F20"/>
                <w:sz w:val="18"/>
              </w:rPr>
              <w:t>Select the linear gauge chart for showing cumulative values. Neither multiple </w:t>
            </w:r>
            <w:r>
              <w:rPr>
                <w:color w:val="231F20"/>
                <w:sz w:val="18"/>
              </w:rPr>
              <w:t>rows nor multiple managed systems are supported for a single linear gauge.</w:t>
            </w:r>
          </w:p>
        </w:tc>
      </w:tr>
    </w:tbl>
    <w:p>
      <w:pPr>
        <w:pStyle w:val="BodyText"/>
        <w:spacing w:line="194" w:lineRule="auto" w:before="190"/>
        <w:ind w:left="2788" w:right="246"/>
      </w:pPr>
      <w:r>
        <w:rPr>
          <w:color w:val="231F20"/>
        </w:rPr>
        <w:t>The</w:t>
      </w:r>
      <w:r>
        <w:rPr>
          <w:color w:val="231F20"/>
          <w:spacing w:val="26"/>
        </w:rPr>
        <w:t> </w:t>
      </w:r>
      <w:r>
        <w:rPr>
          <w:color w:val="231F20"/>
        </w:rPr>
        <w:t>mouse</w:t>
      </w:r>
      <w:r>
        <w:rPr>
          <w:color w:val="231F20"/>
          <w:spacing w:val="26"/>
        </w:rPr>
        <w:t> </w:t>
      </w:r>
      <w:r>
        <w:rPr>
          <w:color w:val="231F20"/>
        </w:rPr>
        <w:t>pointer</w:t>
      </w:r>
      <w:r>
        <w:rPr>
          <w:color w:val="231F20"/>
          <w:spacing w:val="26"/>
        </w:rPr>
        <w:t> </w:t>
      </w:r>
      <w:r>
        <w:rPr>
          <w:color w:val="231F20"/>
        </w:rPr>
        <w:t>changes</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view</w:t>
      </w:r>
      <w:r>
        <w:rPr>
          <w:color w:val="231F20"/>
          <w:spacing w:val="26"/>
        </w:rPr>
        <w:t> </w:t>
      </w:r>
      <w:r>
        <w:rPr>
          <w:color w:val="231F20"/>
        </w:rPr>
        <w:t>icon</w:t>
      </w:r>
      <w:r>
        <w:rPr>
          <w:color w:val="231F20"/>
          <w:spacing w:val="26"/>
        </w:rPr>
        <w:t> </w:t>
      </w:r>
      <w:r>
        <w:rPr>
          <w:color w:val="231F20"/>
        </w:rPr>
        <w:t>(hand</w:t>
      </w:r>
      <w:r>
        <w:rPr>
          <w:color w:val="231F20"/>
          <w:spacing w:val="26"/>
        </w:rPr>
        <w:t> </w:t>
      </w:r>
      <w:r>
        <w:rPr>
          <w:color w:val="231F20"/>
        </w:rPr>
        <w:t>icon</w:t>
      </w:r>
      <w:r>
        <w:rPr>
          <w:color w:val="231F20"/>
          <w:spacing w:val="26"/>
        </w:rPr>
        <w:t> </w:t>
      </w:r>
      <w:r>
        <w:rPr>
          <w:color w:val="231F20"/>
        </w:rPr>
        <w:t>on</w:t>
      </w:r>
      <w:r>
        <w:rPr>
          <w:color w:val="231F20"/>
          <w:spacing w:val="26"/>
        </w:rPr>
        <w:t> </w:t>
      </w:r>
      <w:r>
        <w:rPr>
          <w:color w:val="231F20"/>
        </w:rPr>
        <w:t>Linux).</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get the wrong icon or decide not to add the view, press Escape or click somewhere</w:t>
      </w:r>
      <w:r>
        <w:rPr>
          <w:color w:val="231F20"/>
          <w:spacing w:val="40"/>
        </w:rPr>
        <w:t> </w:t>
      </w:r>
      <w:r>
        <w:rPr>
          <w:color w:val="231F20"/>
        </w:rPr>
        <w:t>in the toolbar.</w:t>
      </w:r>
    </w:p>
    <w:p>
      <w:pPr>
        <w:pStyle w:val="ListParagraph"/>
        <w:numPr>
          <w:ilvl w:val="0"/>
          <w:numId w:val="54"/>
        </w:numPr>
        <w:tabs>
          <w:tab w:pos="2788" w:val="left" w:leader="none"/>
        </w:tabs>
        <w:spacing w:line="213" w:lineRule="auto" w:before="61" w:after="0"/>
        <w:ind w:left="2788" w:right="865" w:hanging="316"/>
        <w:jc w:val="left"/>
        <w:rPr>
          <w:sz w:val="20"/>
        </w:rPr>
      </w:pPr>
      <w:r>
        <w:rPr>
          <w:color w:val="231F20"/>
          <w:sz w:val="20"/>
        </w:rPr>
        <w:t>Click inside the space to adopt the new chart. Either the Select </w:t>
      </w:r>
      <w:r>
        <w:rPr>
          <w:color w:val="231F20"/>
          <w:sz w:val="20"/>
        </w:rPr>
        <w:t>Attribute window opens or a message asks if you want to assign a query.</w:t>
      </w:r>
    </w:p>
    <w:p>
      <w:pPr>
        <w:spacing w:after="0" w:line="213" w:lineRule="auto"/>
        <w:jc w:val="left"/>
        <w:rPr>
          <w:sz w:val="20"/>
        </w:rPr>
        <w:sectPr>
          <w:pgSz w:w="12240" w:h="15840"/>
          <w:pgMar w:header="0" w:footer="736" w:top="1300" w:bottom="920" w:left="1000" w:right="1060"/>
        </w:sectPr>
      </w:pPr>
    </w:p>
    <w:p>
      <w:pPr>
        <w:pStyle w:val="ListParagraph"/>
        <w:numPr>
          <w:ilvl w:val="0"/>
          <w:numId w:val="54"/>
        </w:numPr>
        <w:tabs>
          <w:tab w:pos="2548" w:val="left" w:leader="none"/>
        </w:tabs>
        <w:spacing w:line="213" w:lineRule="auto" w:before="85" w:after="0"/>
        <w:ind w:left="2548" w:right="414" w:hanging="316"/>
        <w:jc w:val="left"/>
        <w:rPr>
          <w:sz w:val="20"/>
        </w:rPr>
      </w:pPr>
      <w:r>
        <w:rPr>
          <w:color w:val="231F20"/>
          <w:sz w:val="20"/>
        </w:rPr>
        <w:t>If the Select Attribute window opens, select an attribute (use Ctrl+Click or Shift+Click to select more), then click </w:t>
      </w:r>
      <w:r>
        <w:rPr>
          <w:rFonts w:ascii="Book Antiqua"/>
          <w:b/>
          <w:color w:val="231F20"/>
          <w:sz w:val="20"/>
        </w:rPr>
        <w:t>OK</w:t>
      </w:r>
      <w:r>
        <w:rPr>
          <w:color w:val="231F20"/>
          <w:sz w:val="20"/>
        </w:rPr>
        <w:t>. This happens when the original </w:t>
      </w:r>
      <w:r>
        <w:rPr>
          <w:color w:val="231F20"/>
          <w:sz w:val="20"/>
        </w:rPr>
        <w:t>view already</w:t>
      </w:r>
      <w:r>
        <w:rPr>
          <w:color w:val="231F20"/>
          <w:spacing w:val="25"/>
          <w:sz w:val="20"/>
        </w:rPr>
        <w:t> </w:t>
      </w:r>
      <w:r>
        <w:rPr>
          <w:color w:val="231F20"/>
          <w:sz w:val="20"/>
        </w:rPr>
        <w:t>has</w:t>
      </w:r>
      <w:r>
        <w:rPr>
          <w:color w:val="231F20"/>
          <w:spacing w:val="25"/>
          <w:sz w:val="20"/>
        </w:rPr>
        <w:t> </w:t>
      </w:r>
      <w:r>
        <w:rPr>
          <w:color w:val="231F20"/>
          <w:sz w:val="20"/>
        </w:rPr>
        <w:t>a</w:t>
      </w:r>
      <w:r>
        <w:rPr>
          <w:color w:val="231F20"/>
          <w:spacing w:val="25"/>
          <w:sz w:val="20"/>
        </w:rPr>
        <w:t> </w:t>
      </w:r>
      <w:r>
        <w:rPr>
          <w:color w:val="231F20"/>
          <w:sz w:val="20"/>
        </w:rPr>
        <w:t>query</w:t>
      </w:r>
      <w:r>
        <w:rPr>
          <w:color w:val="231F20"/>
          <w:spacing w:val="25"/>
          <w:sz w:val="20"/>
        </w:rPr>
        <w:t> </w:t>
      </w:r>
      <w:r>
        <w:rPr>
          <w:color w:val="231F20"/>
          <w:sz w:val="20"/>
        </w:rPr>
        <w:t>assigned.</w:t>
      </w:r>
      <w:r>
        <w:rPr>
          <w:color w:val="231F20"/>
          <w:spacing w:val="25"/>
          <w:sz w:val="20"/>
        </w:rPr>
        <w:t> </w:t>
      </w:r>
      <w:r>
        <w:rPr>
          <w:color w:val="231F20"/>
          <w:sz w:val="20"/>
        </w:rPr>
        <w:t>If</w:t>
      </w:r>
      <w:r>
        <w:rPr>
          <w:color w:val="231F20"/>
          <w:spacing w:val="25"/>
          <w:sz w:val="20"/>
        </w:rPr>
        <w:t> </w:t>
      </w:r>
      <w:r>
        <w:rPr>
          <w:color w:val="231F20"/>
          <w:sz w:val="20"/>
        </w:rPr>
        <w:t>this</w:t>
      </w:r>
      <w:r>
        <w:rPr>
          <w:color w:val="231F20"/>
          <w:spacing w:val="25"/>
          <w:sz w:val="20"/>
        </w:rPr>
        <w:t> </w:t>
      </w:r>
      <w:r>
        <w:rPr>
          <w:color w:val="231F20"/>
          <w:sz w:val="20"/>
        </w:rPr>
        <w:t>is</w:t>
      </w:r>
      <w:r>
        <w:rPr>
          <w:color w:val="231F20"/>
          <w:spacing w:val="25"/>
          <w:sz w:val="20"/>
        </w:rPr>
        <w:t> </w:t>
      </w:r>
      <w:r>
        <w:rPr>
          <w:color w:val="231F20"/>
          <w:sz w:val="20"/>
        </w:rPr>
        <w:t>not</w:t>
      </w:r>
      <w:r>
        <w:rPr>
          <w:color w:val="231F20"/>
          <w:spacing w:val="25"/>
          <w:sz w:val="20"/>
        </w:rPr>
        <w:t> </w:t>
      </w:r>
      <w:r>
        <w:rPr>
          <w:color w:val="231F20"/>
          <w:sz w:val="20"/>
        </w:rPr>
        <w:t>the</w:t>
      </w:r>
      <w:r>
        <w:rPr>
          <w:color w:val="231F20"/>
          <w:spacing w:val="25"/>
          <w:sz w:val="20"/>
        </w:rPr>
        <w:t> </w:t>
      </w:r>
      <w:r>
        <w:rPr>
          <w:color w:val="231F20"/>
          <w:sz w:val="20"/>
        </w:rPr>
        <w:t>query</w:t>
      </w:r>
      <w:r>
        <w:rPr>
          <w:color w:val="231F20"/>
          <w:spacing w:val="25"/>
          <w:sz w:val="20"/>
        </w:rPr>
        <w:t> </w:t>
      </w:r>
      <w:r>
        <w:rPr>
          <w:color w:val="231F20"/>
          <w:sz w:val="20"/>
        </w:rPr>
        <w:t>that</w:t>
      </w:r>
      <w:r>
        <w:rPr>
          <w:color w:val="231F20"/>
          <w:spacing w:val="25"/>
          <w:sz w:val="20"/>
        </w:rPr>
        <w:t> </w:t>
      </w:r>
      <w:r>
        <w:rPr>
          <w:color w:val="231F20"/>
          <w:sz w:val="20"/>
        </w:rPr>
        <w:t>you</w:t>
      </w:r>
      <w:r>
        <w:rPr>
          <w:color w:val="231F20"/>
          <w:spacing w:val="25"/>
          <w:sz w:val="20"/>
        </w:rPr>
        <w:t> </w:t>
      </w:r>
      <w:r>
        <w:rPr>
          <w:color w:val="231F20"/>
          <w:sz w:val="20"/>
        </w:rPr>
        <w:t>want</w:t>
      </w:r>
      <w:r>
        <w:rPr>
          <w:color w:val="231F20"/>
          <w:spacing w:val="25"/>
          <w:sz w:val="20"/>
        </w:rPr>
        <w:t> </w:t>
      </w:r>
      <w:r>
        <w:rPr>
          <w:color w:val="231F20"/>
          <w:sz w:val="20"/>
        </w:rPr>
        <w:t>for</w:t>
      </w:r>
      <w:r>
        <w:rPr>
          <w:color w:val="231F20"/>
          <w:spacing w:val="25"/>
          <w:sz w:val="20"/>
        </w:rPr>
        <w:t> </w:t>
      </w:r>
      <w:r>
        <w:rPr>
          <w:color w:val="231F20"/>
          <w:sz w:val="20"/>
        </w:rPr>
        <w:t>the chart, select one of the numeric attributes to complete the operation, then continue to the next step.</w:t>
      </w:r>
    </w:p>
    <w:p>
      <w:pPr>
        <w:pStyle w:val="ListParagraph"/>
        <w:numPr>
          <w:ilvl w:val="0"/>
          <w:numId w:val="54"/>
        </w:numPr>
        <w:tabs>
          <w:tab w:pos="2548" w:val="left" w:leader="none"/>
        </w:tabs>
        <w:spacing w:line="213" w:lineRule="auto" w:before="56" w:after="0"/>
        <w:ind w:left="2548" w:right="751" w:hanging="316"/>
        <w:jc w:val="left"/>
        <w:rPr>
          <w:sz w:val="20"/>
        </w:rPr>
      </w:pPr>
      <w:r>
        <w:rPr>
          <w:color w:val="231F20"/>
          <w:sz w:val="20"/>
        </w:rPr>
        <w:t>If you are prompted to assign the query now, click </w:t>
      </w:r>
      <w:r>
        <w:rPr>
          <w:rFonts w:ascii="Book Antiqua"/>
          <w:b/>
          <w:color w:val="231F20"/>
          <w:sz w:val="20"/>
        </w:rPr>
        <w:t>Yes</w:t>
      </w:r>
      <w:r>
        <w:rPr>
          <w:color w:val="231F20"/>
          <w:sz w:val="20"/>
        </w:rPr>
        <w:t>, then choose a query and select the attributes to include:</w:t>
      </w:r>
    </w:p>
    <w:p>
      <w:pPr>
        <w:pStyle w:val="ListParagraph"/>
        <w:numPr>
          <w:ilvl w:val="1"/>
          <w:numId w:val="54"/>
        </w:numPr>
        <w:tabs>
          <w:tab w:pos="2864" w:val="left" w:leader="none"/>
        </w:tabs>
        <w:spacing w:line="213" w:lineRule="auto" w:before="59" w:after="0"/>
        <w:ind w:left="2864" w:right="681" w:hanging="316"/>
        <w:jc w:val="left"/>
        <w:rPr>
          <w:sz w:val="20"/>
        </w:rPr>
      </w:pPr>
      <w:r>
        <w:rPr>
          <w:color w:val="231F20"/>
          <w:sz w:val="20"/>
        </w:rPr>
        <w:t>In the </w:t>
      </w:r>
      <w:r>
        <w:rPr>
          <w:rFonts w:ascii="Book Antiqua"/>
          <w:b/>
          <w:color w:val="231F20"/>
          <w:sz w:val="20"/>
        </w:rPr>
        <w:t>Query </w:t>
      </w:r>
      <w:r>
        <w:rPr>
          <w:color w:val="231F20"/>
          <w:sz w:val="20"/>
        </w:rPr>
        <w:t>tab, click </w:t>
      </w:r>
      <w:r>
        <w:rPr>
          <w:color w:val="231F20"/>
          <w:spacing w:val="-25"/>
          <w:position w:val="-1"/>
          <w:sz w:val="20"/>
        </w:rPr>
        <w:drawing>
          <wp:inline distT="0" distB="0" distL="0" distR="0">
            <wp:extent cx="95250" cy="101600"/>
            <wp:effectExtent l="0" t="0" r="0" b="0"/>
            <wp:docPr id="1060" name="Image 1060"/>
            <wp:cNvGraphicFramePr>
              <a:graphicFrameLocks/>
            </wp:cNvGraphicFramePr>
            <a:graphic>
              <a:graphicData uri="http://schemas.openxmlformats.org/drawingml/2006/picture">
                <pic:pic>
                  <pic:nvPicPr>
                    <pic:cNvPr id="1060" name="Image 1060"/>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9"/>
          <w:sz w:val="20"/>
        </w:rPr>
        <w:t> </w:t>
      </w:r>
      <w:r>
        <w:rPr>
          <w:rFonts w:ascii="Book Antiqua"/>
          <w:b/>
          <w:color w:val="231F20"/>
          <w:sz w:val="20"/>
        </w:rPr>
        <w:t>Click here to assign a query </w:t>
      </w:r>
      <w:r>
        <w:rPr>
          <w:color w:val="231F20"/>
          <w:sz w:val="20"/>
        </w:rPr>
        <w:t>to open the </w:t>
      </w:r>
      <w:r>
        <w:rPr>
          <w:color w:val="231F20"/>
          <w:sz w:val="20"/>
        </w:rPr>
        <w:t>Query editor. The Query editor shows a tree on the left organized by Tivoli monitoring product and then by attribute group.</w:t>
      </w:r>
    </w:p>
    <w:p>
      <w:pPr>
        <w:pStyle w:val="ListParagraph"/>
        <w:numPr>
          <w:ilvl w:val="1"/>
          <w:numId w:val="54"/>
        </w:numPr>
        <w:tabs>
          <w:tab w:pos="2864" w:val="left" w:leader="none"/>
        </w:tabs>
        <w:spacing w:line="213" w:lineRule="auto" w:before="58" w:after="0"/>
        <w:ind w:left="2864" w:right="588" w:hanging="316"/>
        <w:jc w:val="left"/>
        <w:rPr>
          <w:sz w:val="20"/>
        </w:rPr>
      </w:pPr>
      <w:r>
        <w:rPr>
          <w:color w:val="231F20"/>
          <w:sz w:val="20"/>
        </w:rPr>
        <w:t>Click</w:t>
      </w:r>
      <w:r>
        <w:rPr>
          <w:color w:val="231F20"/>
          <w:spacing w:val="40"/>
          <w:sz w:val="20"/>
        </w:rPr>
        <w:t> </w:t>
      </w:r>
      <w:r>
        <w:rPr>
          <w:color w:val="231F20"/>
          <w:spacing w:val="6"/>
          <w:sz w:val="20"/>
        </w:rPr>
        <w:drawing>
          <wp:inline distT="0" distB="0" distL="0" distR="0">
            <wp:extent cx="69850" cy="69850"/>
            <wp:effectExtent l="0" t="0" r="0" b="0"/>
            <wp:docPr id="1061" name="Image 1061"/>
            <wp:cNvGraphicFramePr>
              <a:graphicFrameLocks/>
            </wp:cNvGraphicFramePr>
            <a:graphic>
              <a:graphicData uri="http://schemas.openxmlformats.org/drawingml/2006/picture">
                <pic:pic>
                  <pic:nvPicPr>
                    <pic:cNvPr id="1061" name="Image 106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80"/>
          <w:sz w:val="20"/>
        </w:rPr>
        <w:t> </w:t>
      </w:r>
      <w:r>
        <w:rPr>
          <w:color w:val="231F20"/>
          <w:sz w:val="20"/>
        </w:rPr>
        <w:t>to expand the</w:t>
      </w:r>
      <w:r>
        <w:rPr>
          <w:color w:val="231F20"/>
          <w:spacing w:val="19"/>
          <w:sz w:val="20"/>
        </w:rPr>
        <w:t> </w:t>
      </w:r>
      <w:r>
        <w:rPr>
          <w:color w:val="231F20"/>
          <w:spacing w:val="-24"/>
          <w:position w:val="-1"/>
          <w:sz w:val="20"/>
        </w:rPr>
        <w:drawing>
          <wp:inline distT="0" distB="0" distL="0" distR="0">
            <wp:extent cx="95250" cy="95250"/>
            <wp:effectExtent l="0" t="0" r="0" b="0"/>
            <wp:docPr id="1062" name="Image 1062"/>
            <wp:cNvGraphicFramePr>
              <a:graphicFrameLocks/>
            </wp:cNvGraphicFramePr>
            <a:graphic>
              <a:graphicData uri="http://schemas.openxmlformats.org/drawingml/2006/picture">
                <pic:pic>
                  <pic:nvPicPr>
                    <pic:cNvPr id="1062" name="Image 1062"/>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6"/>
          <w:sz w:val="20"/>
        </w:rPr>
        <w:t> </w:t>
      </w:r>
      <w:r>
        <w:rPr>
          <w:color w:val="231F20"/>
          <w:sz w:val="20"/>
        </w:rPr>
        <w:t>Monitoring agents and</w:t>
      </w:r>
      <w:r>
        <w:rPr>
          <w:color w:val="231F20"/>
          <w:spacing w:val="18"/>
          <w:sz w:val="20"/>
        </w:rPr>
        <w:t> </w:t>
      </w:r>
      <w:r>
        <w:rPr>
          <w:color w:val="231F20"/>
          <w:spacing w:val="-25"/>
          <w:position w:val="-1"/>
          <w:sz w:val="20"/>
        </w:rPr>
        <w:drawing>
          <wp:inline distT="0" distB="0" distL="0" distR="0">
            <wp:extent cx="88900" cy="101600"/>
            <wp:effectExtent l="0" t="0" r="0" b="0"/>
            <wp:docPr id="1063" name="Image 1063"/>
            <wp:cNvGraphicFramePr>
              <a:graphicFrameLocks/>
            </wp:cNvGraphicFramePr>
            <a:graphic>
              <a:graphicData uri="http://schemas.openxmlformats.org/drawingml/2006/picture">
                <pic:pic>
                  <pic:nvPicPr>
                    <pic:cNvPr id="1063" name="Image 1063"/>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26"/>
          <w:sz w:val="20"/>
        </w:rPr>
        <w:t> </w:t>
      </w:r>
      <w:r>
        <w:rPr>
          <w:color w:val="231F20"/>
          <w:sz w:val="20"/>
        </w:rPr>
        <w:t>attribute group </w:t>
      </w:r>
      <w:r>
        <w:rPr>
          <w:color w:val="231F20"/>
          <w:sz w:val="20"/>
        </w:rPr>
        <w:t>folders to see the queries.</w:t>
      </w:r>
    </w:p>
    <w:p>
      <w:pPr>
        <w:pStyle w:val="ListParagraph"/>
        <w:numPr>
          <w:ilvl w:val="1"/>
          <w:numId w:val="54"/>
        </w:numPr>
        <w:tabs>
          <w:tab w:pos="2851" w:val="left" w:leader="none"/>
          <w:tab w:pos="2853" w:val="left" w:leader="none"/>
        </w:tabs>
        <w:spacing w:line="213" w:lineRule="auto" w:before="58" w:after="0"/>
        <w:ind w:left="2853" w:right="429" w:hanging="305"/>
        <w:jc w:val="left"/>
        <w:rPr>
          <w:sz w:val="20"/>
        </w:rPr>
      </w:pPr>
      <w:r>
        <w:rPr>
          <w:color w:val="231F20"/>
          <w:sz w:val="20"/>
        </w:rPr>
        <w:t>Select a</w:t>
      </w:r>
      <w:r>
        <w:rPr>
          <w:color w:val="231F20"/>
          <w:spacing w:val="20"/>
          <w:sz w:val="20"/>
        </w:rPr>
        <w:t> </w:t>
      </w:r>
      <w:r>
        <w:rPr>
          <w:color w:val="231F20"/>
          <w:spacing w:val="-24"/>
          <w:position w:val="-1"/>
          <w:sz w:val="20"/>
        </w:rPr>
        <w:drawing>
          <wp:inline distT="0" distB="0" distL="0" distR="0">
            <wp:extent cx="95250" cy="101600"/>
            <wp:effectExtent l="0" t="0" r="0" b="0"/>
            <wp:docPr id="1064" name="Image 1064"/>
            <wp:cNvGraphicFramePr>
              <a:graphicFrameLocks/>
            </wp:cNvGraphicFramePr>
            <a:graphic>
              <a:graphicData uri="http://schemas.openxmlformats.org/drawingml/2006/picture">
                <pic:pic>
                  <pic:nvPicPr>
                    <pic:cNvPr id="1064" name="Image 1064"/>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color w:val="231F20"/>
          <w:sz w:val="20"/>
        </w:rPr>
        <w:t>Query title to see its description. The query description, edit </w:t>
      </w:r>
      <w:r>
        <w:rPr>
          <w:color w:val="231F20"/>
          <w:sz w:val="20"/>
        </w:rPr>
        <w:t>date, and specification are displayed in the right frame. The selected options indicate which attributes from the group are included in the query. The cells in the numbered rows show any filter criteria for the query.</w:t>
      </w:r>
    </w:p>
    <w:p>
      <w:pPr>
        <w:pStyle w:val="ListParagraph"/>
        <w:numPr>
          <w:ilvl w:val="1"/>
          <w:numId w:val="54"/>
        </w:numPr>
        <w:tabs>
          <w:tab w:pos="2864" w:val="left" w:leader="none"/>
        </w:tabs>
        <w:spacing w:line="213" w:lineRule="auto" w:before="57" w:after="0"/>
        <w:ind w:left="2864" w:right="707" w:hanging="316"/>
        <w:jc w:val="left"/>
        <w:rPr>
          <w:sz w:val="20"/>
        </w:rPr>
      </w:pPr>
      <w:r>
        <w:rPr>
          <w:color w:val="231F20"/>
          <w:sz w:val="20"/>
        </w:rPr>
        <w:t>Click </w:t>
      </w:r>
      <w:r>
        <w:rPr>
          <w:rFonts w:ascii="Book Antiqua"/>
          <w:b/>
          <w:color w:val="231F20"/>
          <w:sz w:val="20"/>
        </w:rPr>
        <w:t>OK </w:t>
      </w:r>
      <w:r>
        <w:rPr>
          <w:color w:val="231F20"/>
          <w:sz w:val="20"/>
        </w:rPr>
        <w:t>to select the query and return to the Properties editor. The Description and Formula areas of the Query tab show the name, description, and formula of the query that you selected; the Preview </w:t>
      </w:r>
      <w:r>
        <w:rPr>
          <w:color w:val="231F20"/>
          <w:sz w:val="20"/>
        </w:rPr>
        <w:t>area shows how the chart will look when the query is applied.</w:t>
      </w:r>
    </w:p>
    <w:p>
      <w:pPr>
        <w:pStyle w:val="ListParagraph"/>
        <w:numPr>
          <w:ilvl w:val="1"/>
          <w:numId w:val="54"/>
        </w:numPr>
        <w:tabs>
          <w:tab w:pos="2862" w:val="left" w:leader="none"/>
          <w:tab w:pos="2864" w:val="left" w:leader="none"/>
        </w:tabs>
        <w:spacing w:line="213" w:lineRule="auto" w:before="57" w:after="0"/>
        <w:ind w:left="2864" w:right="461" w:hanging="317"/>
        <w:jc w:val="left"/>
        <w:rPr>
          <w:sz w:val="20"/>
        </w:rPr>
      </w:pPr>
      <w:r>
        <w:rPr>
          <w:color w:val="231F20"/>
          <w:sz w:val="20"/>
        </w:rPr>
        <w:t>Click</w:t>
      </w:r>
      <w:r>
        <w:rPr>
          <w:color w:val="231F20"/>
          <w:spacing w:val="28"/>
          <w:sz w:val="20"/>
        </w:rPr>
        <w:t> </w:t>
      </w:r>
      <w:r>
        <w:rPr>
          <w:color w:val="231F20"/>
          <w:sz w:val="20"/>
        </w:rPr>
        <w:t>the</w:t>
      </w:r>
      <w:r>
        <w:rPr>
          <w:color w:val="231F20"/>
          <w:spacing w:val="28"/>
          <w:sz w:val="20"/>
        </w:rPr>
        <w:t> </w:t>
      </w:r>
      <w:r>
        <w:rPr>
          <w:rFonts w:ascii="Book Antiqua"/>
          <w:b/>
          <w:color w:val="231F20"/>
          <w:sz w:val="20"/>
        </w:rPr>
        <w:t>Filters</w:t>
      </w:r>
      <w:r>
        <w:rPr>
          <w:rFonts w:ascii="Book Antiqua"/>
          <w:b/>
          <w:color w:val="231F20"/>
          <w:spacing w:val="28"/>
          <w:sz w:val="20"/>
        </w:rPr>
        <w:t> </w:t>
      </w:r>
      <w:r>
        <w:rPr>
          <w:color w:val="231F20"/>
          <w:sz w:val="20"/>
        </w:rPr>
        <w:t>tab,</w:t>
      </w:r>
      <w:r>
        <w:rPr>
          <w:color w:val="231F20"/>
          <w:spacing w:val="28"/>
          <w:sz w:val="20"/>
        </w:rPr>
        <w:t> </w:t>
      </w:r>
      <w:r>
        <w:rPr>
          <w:color w:val="231F20"/>
          <w:sz w:val="20"/>
        </w:rPr>
        <w:t>select</w:t>
      </w:r>
      <w:r>
        <w:rPr>
          <w:color w:val="231F20"/>
          <w:spacing w:val="28"/>
          <w:sz w:val="20"/>
        </w:rPr>
        <w:t> </w:t>
      </w:r>
      <w:r>
        <w:rPr>
          <w:color w:val="231F20"/>
          <w:sz w:val="20"/>
        </w:rPr>
        <w:t>the</w:t>
      </w:r>
      <w:r>
        <w:rPr>
          <w:color w:val="231F20"/>
          <w:spacing w:val="28"/>
          <w:sz w:val="20"/>
        </w:rPr>
        <w:t> </w:t>
      </w:r>
      <w:r>
        <w:rPr>
          <w:color w:val="231F20"/>
          <w:sz w:val="20"/>
        </w:rPr>
        <w:t>check</w:t>
      </w:r>
      <w:r>
        <w:rPr>
          <w:color w:val="231F20"/>
          <w:spacing w:val="28"/>
          <w:sz w:val="20"/>
        </w:rPr>
        <w:t> </w:t>
      </w:r>
      <w:r>
        <w:rPr>
          <w:color w:val="231F20"/>
          <w:sz w:val="20"/>
        </w:rPr>
        <w:t>box</w:t>
      </w:r>
      <w:r>
        <w:rPr>
          <w:color w:val="231F20"/>
          <w:spacing w:val="28"/>
          <w:sz w:val="20"/>
        </w:rPr>
        <w:t> </w:t>
      </w:r>
      <w:r>
        <w:rPr>
          <w:color w:val="231F20"/>
          <w:sz w:val="20"/>
        </w:rPr>
        <w:t>under</w:t>
      </w:r>
      <w:r>
        <w:rPr>
          <w:color w:val="231F20"/>
          <w:spacing w:val="28"/>
          <w:sz w:val="20"/>
        </w:rPr>
        <w:t> </w:t>
      </w:r>
      <w:r>
        <w:rPr>
          <w:color w:val="231F20"/>
          <w:sz w:val="20"/>
        </w:rPr>
        <w:t>a</w:t>
      </w:r>
      <w:r>
        <w:rPr>
          <w:color w:val="231F20"/>
          <w:spacing w:val="28"/>
          <w:sz w:val="20"/>
        </w:rPr>
        <w:t> </w:t>
      </w:r>
      <w:r>
        <w:rPr>
          <w:color w:val="231F20"/>
          <w:sz w:val="20"/>
        </w:rPr>
        <w:t>column</w:t>
      </w:r>
      <w:r>
        <w:rPr>
          <w:color w:val="231F20"/>
          <w:spacing w:val="28"/>
          <w:sz w:val="20"/>
        </w:rPr>
        <w:t> </w:t>
      </w:r>
      <w:r>
        <w:rPr>
          <w:color w:val="231F20"/>
          <w:sz w:val="20"/>
        </w:rPr>
        <w:t>heading</w:t>
      </w:r>
      <w:r>
        <w:rPr>
          <w:color w:val="231F20"/>
          <w:spacing w:val="28"/>
          <w:sz w:val="20"/>
        </w:rPr>
        <w:t> </w:t>
      </w:r>
      <w:r>
        <w:rPr>
          <w:color w:val="231F20"/>
          <w:sz w:val="20"/>
        </w:rPr>
        <w:t>to include its value in the chart. Charts can show only numeric values (no </w:t>
      </w:r>
      <w:r>
        <w:rPr>
          <w:color w:val="231F20"/>
          <w:sz w:val="20"/>
        </w:rPr>
        <w:t>text</w:t>
      </w:r>
      <w:r>
        <w:rPr>
          <w:color w:val="231F20"/>
          <w:spacing w:val="40"/>
          <w:sz w:val="20"/>
        </w:rPr>
        <w:t> </w:t>
      </w:r>
      <w:r>
        <w:rPr>
          <w:color w:val="231F20"/>
          <w:sz w:val="20"/>
        </w:rPr>
        <w:t>or timestamp attributes); a disabled </w:t>
      </w:r>
      <w:r>
        <w:rPr>
          <w:color w:val="231F20"/>
          <w:spacing w:val="15"/>
          <w:sz w:val="20"/>
        </w:rPr>
        <w:drawing>
          <wp:inline distT="0" distB="0" distL="0" distR="0">
            <wp:extent cx="76200" cy="82550"/>
            <wp:effectExtent l="0" t="0" r="0" b="0"/>
            <wp:docPr id="1065" name="Image 1065"/>
            <wp:cNvGraphicFramePr>
              <a:graphicFrameLocks/>
            </wp:cNvGraphicFramePr>
            <a:graphic>
              <a:graphicData uri="http://schemas.openxmlformats.org/drawingml/2006/picture">
                <pic:pic>
                  <pic:nvPicPr>
                    <pic:cNvPr id="1065" name="Image 1065"/>
                    <pic:cNvPicPr/>
                  </pic:nvPicPr>
                  <pic:blipFill>
                    <a:blip r:embed="rId193" cstate="print"/>
                    <a:stretch>
                      <a:fillRect/>
                    </a:stretch>
                  </pic:blipFill>
                  <pic:spPr>
                    <a:xfrm>
                      <a:off x="0" y="0"/>
                      <a:ext cx="76200" cy="82550"/>
                    </a:xfrm>
                    <a:prstGeom prst="rect">
                      <a:avLst/>
                    </a:prstGeom>
                  </pic:spPr>
                </pic:pic>
              </a:graphicData>
            </a:graphic>
          </wp:inline>
        </w:drawing>
      </w:r>
      <w:r>
        <w:rPr>
          <w:color w:val="231F20"/>
          <w:spacing w:val="15"/>
          <w:sz w:val="20"/>
        </w:rPr>
      </w:r>
      <w:r>
        <w:rPr>
          <w:rFonts w:ascii="Times New Roman"/>
          <w:color w:val="231F20"/>
          <w:spacing w:val="15"/>
          <w:sz w:val="20"/>
        </w:rPr>
        <w:t> </w:t>
      </w:r>
      <w:r>
        <w:rPr>
          <w:color w:val="231F20"/>
          <w:sz w:val="20"/>
        </w:rPr>
        <w:t>check box means that the attribute cannot be plotted.</w:t>
      </w:r>
    </w:p>
    <w:p>
      <w:pPr>
        <w:pStyle w:val="BodyText"/>
        <w:spacing w:line="213" w:lineRule="auto" w:before="117"/>
        <w:ind w:left="2548" w:right="545"/>
      </w:pPr>
      <w:r>
        <w:rPr>
          <w:color w:val="231F20"/>
        </w:rPr>
        <w:t>As you edit the properties, click </w:t>
      </w:r>
      <w:r>
        <w:rPr>
          <w:rFonts w:ascii="Book Antiqua"/>
          <w:b/>
          <w:color w:val="231F20"/>
        </w:rPr>
        <w:t>Test </w:t>
      </w:r>
      <w:r>
        <w:rPr>
          <w:color w:val="231F20"/>
        </w:rPr>
        <w:t>to see your changes in the Preview area at the top of the window.</w:t>
      </w:r>
    </w:p>
    <w:p>
      <w:pPr>
        <w:pStyle w:val="ListParagraph"/>
        <w:numPr>
          <w:ilvl w:val="0"/>
          <w:numId w:val="54"/>
        </w:numPr>
        <w:tabs>
          <w:tab w:pos="2547" w:val="left" w:leader="none"/>
        </w:tabs>
        <w:spacing w:line="255" w:lineRule="exact" w:before="36" w:after="0"/>
        <w:ind w:left="2547" w:right="0" w:hanging="315"/>
        <w:jc w:val="left"/>
        <w:rPr>
          <w:rFonts w:ascii="Book Antiqua"/>
          <w:b/>
          <w:sz w:val="20"/>
        </w:rPr>
      </w:pPr>
      <w:r>
        <w:rPr>
          <w:color w:val="231F20"/>
          <w:sz w:val="20"/>
        </w:rPr>
        <w:t>Click</w:t>
      </w:r>
      <w:r>
        <w:rPr>
          <w:color w:val="231F20"/>
          <w:spacing w:val="11"/>
          <w:sz w:val="20"/>
        </w:rPr>
        <w:t> </w:t>
      </w:r>
      <w:r>
        <w:rPr>
          <w:rFonts w:ascii="Book Antiqua"/>
          <w:b/>
          <w:color w:val="231F20"/>
          <w:sz w:val="20"/>
        </w:rPr>
        <w:t>Apply</w:t>
      </w:r>
      <w:r>
        <w:rPr>
          <w:rFonts w:ascii="Book Antiqua"/>
          <w:b/>
          <w:color w:val="231F20"/>
          <w:spacing w:val="11"/>
          <w:sz w:val="20"/>
        </w:rPr>
        <w:t> </w:t>
      </w:r>
      <w:r>
        <w:rPr>
          <w:color w:val="231F20"/>
          <w:sz w:val="20"/>
        </w:rPr>
        <w:t>to</w:t>
      </w:r>
      <w:r>
        <w:rPr>
          <w:color w:val="231F20"/>
          <w:spacing w:val="11"/>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z w:val="20"/>
        </w:rPr>
        <w:t>changes</w:t>
      </w:r>
      <w:r>
        <w:rPr>
          <w:color w:val="231F20"/>
          <w:spacing w:val="11"/>
          <w:sz w:val="20"/>
        </w:rPr>
        <w:t> </w:t>
      </w:r>
      <w:r>
        <w:rPr>
          <w:color w:val="231F20"/>
          <w:sz w:val="20"/>
        </w:rPr>
        <w:t>and</w:t>
      </w:r>
      <w:r>
        <w:rPr>
          <w:color w:val="231F20"/>
          <w:spacing w:val="12"/>
          <w:sz w:val="20"/>
        </w:rPr>
        <w:t> </w:t>
      </w:r>
      <w:r>
        <w:rPr>
          <w:color w:val="231F20"/>
          <w:sz w:val="20"/>
        </w:rPr>
        <w:t>keep</w:t>
      </w:r>
      <w:r>
        <w:rPr>
          <w:color w:val="231F20"/>
          <w:spacing w:val="11"/>
          <w:sz w:val="20"/>
        </w:rPr>
        <w:t> </w:t>
      </w:r>
      <w:r>
        <w:rPr>
          <w:color w:val="231F20"/>
          <w:sz w:val="20"/>
        </w:rPr>
        <w:t>the</w:t>
      </w:r>
      <w:r>
        <w:rPr>
          <w:color w:val="231F20"/>
          <w:spacing w:val="11"/>
          <w:sz w:val="20"/>
        </w:rPr>
        <w:t> </w:t>
      </w:r>
      <w:r>
        <w:rPr>
          <w:color w:val="231F20"/>
          <w:sz w:val="20"/>
        </w:rPr>
        <w:t>Properties</w:t>
      </w:r>
      <w:r>
        <w:rPr>
          <w:color w:val="231F20"/>
          <w:spacing w:val="11"/>
          <w:sz w:val="20"/>
        </w:rPr>
        <w:t> </w:t>
      </w:r>
      <w:r>
        <w:rPr>
          <w:color w:val="231F20"/>
          <w:sz w:val="20"/>
        </w:rPr>
        <w:t>editor</w:t>
      </w:r>
      <w:r>
        <w:rPr>
          <w:color w:val="231F20"/>
          <w:spacing w:val="11"/>
          <w:sz w:val="20"/>
        </w:rPr>
        <w:t> </w:t>
      </w:r>
      <w:r>
        <w:rPr>
          <w:color w:val="231F20"/>
          <w:sz w:val="20"/>
        </w:rPr>
        <w:t>open,</w:t>
      </w:r>
      <w:r>
        <w:rPr>
          <w:color w:val="231F20"/>
          <w:spacing w:val="11"/>
          <w:sz w:val="20"/>
        </w:rPr>
        <w:t> </w:t>
      </w:r>
      <w:r>
        <w:rPr>
          <w:color w:val="231F20"/>
          <w:sz w:val="20"/>
        </w:rPr>
        <w:t>or</w:t>
      </w:r>
      <w:r>
        <w:rPr>
          <w:color w:val="231F20"/>
          <w:spacing w:val="12"/>
          <w:sz w:val="20"/>
        </w:rPr>
        <w:t> </w:t>
      </w:r>
      <w:r>
        <w:rPr>
          <w:rFonts w:ascii="Book Antiqua"/>
          <w:b/>
          <w:color w:val="231F20"/>
          <w:spacing w:val="-5"/>
          <w:sz w:val="20"/>
        </w:rPr>
        <w:t>OK</w:t>
      </w:r>
    </w:p>
    <w:p>
      <w:pPr>
        <w:pStyle w:val="BodyText"/>
        <w:spacing w:line="255" w:lineRule="exact"/>
        <w:ind w:left="2548"/>
      </w:pPr>
      <w:r>
        <w:rPr>
          <w:color w:val="231F20"/>
        </w:rPr>
        <w:t>to</w:t>
      </w:r>
      <w:r>
        <w:rPr>
          <w:color w:val="231F20"/>
          <w:spacing w:val="12"/>
        </w:rPr>
        <w:t> </w:t>
      </w:r>
      <w:r>
        <w:rPr>
          <w:color w:val="231F20"/>
        </w:rPr>
        <w:t>save</w:t>
      </w:r>
      <w:r>
        <w:rPr>
          <w:color w:val="231F20"/>
          <w:spacing w:val="12"/>
        </w:rPr>
        <w:t> </w:t>
      </w:r>
      <w:r>
        <w:rPr>
          <w:color w:val="231F20"/>
        </w:rPr>
        <w:t>your</w:t>
      </w:r>
      <w:r>
        <w:rPr>
          <w:color w:val="231F20"/>
          <w:spacing w:val="12"/>
        </w:rPr>
        <w:t> </w:t>
      </w:r>
      <w:r>
        <w:rPr>
          <w:color w:val="231F20"/>
        </w:rPr>
        <w:t>changes</w:t>
      </w:r>
      <w:r>
        <w:rPr>
          <w:color w:val="231F20"/>
          <w:spacing w:val="12"/>
        </w:rPr>
        <w:t> </w:t>
      </w:r>
      <w:r>
        <w:rPr>
          <w:color w:val="231F20"/>
        </w:rPr>
        <w:t>and</w:t>
      </w:r>
      <w:r>
        <w:rPr>
          <w:color w:val="231F20"/>
          <w:spacing w:val="12"/>
        </w:rPr>
        <w:t> </w:t>
      </w:r>
      <w:r>
        <w:rPr>
          <w:color w:val="231F20"/>
        </w:rPr>
        <w:t>close</w:t>
      </w:r>
      <w:r>
        <w:rPr>
          <w:color w:val="231F20"/>
          <w:spacing w:val="12"/>
        </w:rPr>
        <w:t> </w:t>
      </w:r>
      <w:r>
        <w:rPr>
          <w:color w:val="231F20"/>
        </w:rPr>
        <w:t>the</w:t>
      </w:r>
      <w:r>
        <w:rPr>
          <w:color w:val="231F20"/>
          <w:spacing w:val="12"/>
        </w:rPr>
        <w:t> </w:t>
      </w:r>
      <w:r>
        <w:rPr>
          <w:color w:val="231F20"/>
          <w:spacing w:val="-2"/>
        </w:rPr>
        <w:t>editor.</w:t>
      </w:r>
    </w:p>
    <w:p>
      <w:pPr>
        <w:pStyle w:val="ListParagraph"/>
        <w:numPr>
          <w:ilvl w:val="0"/>
          <w:numId w:val="54"/>
        </w:numPr>
        <w:tabs>
          <w:tab w:pos="2548" w:val="left" w:leader="none"/>
        </w:tabs>
        <w:spacing w:line="213" w:lineRule="auto" w:before="52" w:after="0"/>
        <w:ind w:left="2548" w:right="597" w:hanging="316"/>
        <w:jc w:val="left"/>
        <w:rPr>
          <w:sz w:val="20"/>
        </w:rPr>
      </w:pPr>
      <w:r>
        <w:rPr>
          <w:color w:val="231F20"/>
          <w:sz w:val="20"/>
        </w:rPr>
        <w:t>If you want to keep the view in this workspace for future work sessions, save the workspace or keep the original intact and create a new workspace:</w:t>
      </w:r>
    </w:p>
    <w:p>
      <w:pPr>
        <w:pStyle w:val="BodyText"/>
        <w:spacing w:before="36"/>
        <w:ind w:left="2548"/>
      </w:pPr>
      <w:r>
        <w:rPr>
          <w:rFonts w:ascii="Futura MdCn BT"/>
          <w:color w:val="231F20"/>
        </w:rPr>
        <w:t>v</w:t>
      </w:r>
      <w:r>
        <w:rPr>
          <w:rFonts w:ascii="Futura MdCn BT"/>
          <w:color w:val="231F20"/>
          <w:spacing w:val="31"/>
        </w:rPr>
        <w:t>  </w:t>
      </w:r>
      <w:r>
        <w:rPr>
          <w:color w:val="231F20"/>
        </w:rPr>
        <w:t>Click</w:t>
      </w:r>
      <w:r>
        <w:rPr>
          <w:color w:val="231F20"/>
          <w:spacing w:val="22"/>
        </w:rPr>
        <w:t> </w:t>
      </w:r>
      <w:r>
        <w:rPr>
          <w:color w:val="231F20"/>
          <w:spacing w:val="-24"/>
          <w:position w:val="-1"/>
        </w:rPr>
        <w:drawing>
          <wp:inline distT="0" distB="0" distL="0" distR="0">
            <wp:extent cx="95250" cy="95250"/>
            <wp:effectExtent l="0" t="0" r="0" b="0"/>
            <wp:docPr id="1066" name="Image 1066"/>
            <wp:cNvGraphicFramePr>
              <a:graphicFrameLocks/>
            </wp:cNvGraphicFramePr>
            <a:graphic>
              <a:graphicData uri="http://schemas.openxmlformats.org/drawingml/2006/picture">
                <pic:pic>
                  <pic:nvPicPr>
                    <pic:cNvPr id="1066" name="Image 1066"/>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Save</w:t>
      </w:r>
      <w:r>
        <w:rPr>
          <w:rFonts w:ascii="Book Antiqua"/>
          <w:b/>
          <w:color w:val="231F20"/>
          <w:spacing w:val="12"/>
        </w:rPr>
        <w:t> </w:t>
      </w:r>
      <w:r>
        <w:rPr>
          <w:color w:val="231F20"/>
        </w:rPr>
        <w:t>to</w:t>
      </w:r>
      <w:r>
        <w:rPr>
          <w:color w:val="231F20"/>
          <w:spacing w:val="12"/>
        </w:rPr>
        <w:t> </w:t>
      </w:r>
      <w:r>
        <w:rPr>
          <w:color w:val="231F20"/>
        </w:rPr>
        <w:t>update</w:t>
      </w:r>
      <w:r>
        <w:rPr>
          <w:color w:val="231F20"/>
          <w:spacing w:val="13"/>
        </w:rPr>
        <w:t> </w:t>
      </w:r>
      <w:r>
        <w:rPr>
          <w:color w:val="231F20"/>
        </w:rPr>
        <w:t>the</w:t>
      </w:r>
      <w:r>
        <w:rPr>
          <w:color w:val="231F20"/>
          <w:spacing w:val="12"/>
        </w:rPr>
        <w:t> </w:t>
      </w:r>
      <w:r>
        <w:rPr>
          <w:color w:val="231F20"/>
        </w:rPr>
        <w:t>workspace</w:t>
      </w:r>
      <w:r>
        <w:rPr>
          <w:color w:val="231F20"/>
          <w:spacing w:val="12"/>
        </w:rPr>
        <w:t> </w:t>
      </w:r>
      <w:r>
        <w:rPr>
          <w:color w:val="231F20"/>
        </w:rPr>
        <w:t>properties</w:t>
      </w:r>
      <w:r>
        <w:rPr>
          <w:color w:val="231F20"/>
          <w:spacing w:val="12"/>
        </w:rPr>
        <w:t> </w:t>
      </w:r>
      <w:r>
        <w:rPr>
          <w:color w:val="231F20"/>
        </w:rPr>
        <w:t>with</w:t>
      </w:r>
      <w:r>
        <w:rPr>
          <w:color w:val="231F20"/>
          <w:spacing w:val="12"/>
        </w:rPr>
        <w:t> </w:t>
      </w:r>
      <w:r>
        <w:rPr>
          <w:color w:val="231F20"/>
        </w:rPr>
        <w:t>the</w:t>
      </w:r>
      <w:r>
        <w:rPr>
          <w:color w:val="231F20"/>
          <w:spacing w:val="12"/>
        </w:rPr>
        <w:t> </w:t>
      </w:r>
      <w:r>
        <w:rPr>
          <w:color w:val="231F20"/>
        </w:rPr>
        <w:t>new</w:t>
      </w:r>
      <w:r>
        <w:rPr>
          <w:color w:val="231F20"/>
          <w:spacing w:val="12"/>
        </w:rPr>
        <w:t> </w:t>
      </w:r>
      <w:r>
        <w:rPr>
          <w:color w:val="231F20"/>
          <w:spacing w:val="-2"/>
        </w:rPr>
        <w:t>view.</w:t>
      </w:r>
    </w:p>
    <w:p>
      <w:pPr>
        <w:pStyle w:val="BodyText"/>
        <w:spacing w:line="213" w:lineRule="auto" w:before="52"/>
        <w:ind w:left="2764" w:right="603" w:hanging="216"/>
      </w:pPr>
      <w:r>
        <w:rPr>
          <w:rFonts w:ascii="Futura MdCn BT"/>
          <w:color w:val="231F20"/>
        </w:rPr>
        <w:t>v</w:t>
      </w:r>
      <w:r>
        <w:rPr>
          <w:rFonts w:ascii="Futura MdCn BT"/>
          <w:color w:val="231F20"/>
          <w:spacing w:val="80"/>
        </w:rPr>
        <w:t> </w:t>
      </w:r>
      <w:r>
        <w:rPr>
          <w:color w:val="231F20"/>
        </w:rPr>
        <w:t>Click </w:t>
      </w:r>
      <w:r>
        <w:rPr>
          <w:rFonts w:ascii="Book Antiqua"/>
          <w:b/>
          <w:color w:val="231F20"/>
        </w:rPr>
        <w:t>File </w:t>
      </w:r>
      <w:r>
        <w:rPr>
          <w:color w:val="231F20"/>
        </w:rPr>
        <w:t>&gt; </w:t>
      </w:r>
      <w:r>
        <w:rPr>
          <w:rFonts w:ascii="Book Antiqua"/>
          <w:b/>
          <w:color w:val="231F20"/>
        </w:rPr>
        <w:t>Save Workspace As </w:t>
      </w:r>
      <w:r>
        <w:rPr>
          <w:color w:val="231F20"/>
        </w:rPr>
        <w:t>to save this as a new workspace and leave</w:t>
      </w:r>
      <w:r>
        <w:rPr>
          <w:color w:val="231F20"/>
          <w:spacing w:val="40"/>
        </w:rPr>
        <w:t> </w:t>
      </w:r>
      <w:r>
        <w:rPr>
          <w:color w:val="231F20"/>
        </w:rPr>
        <w:t>the original workspace unchanged since the last time it was saved.</w:t>
      </w:r>
    </w:p>
    <w:p>
      <w:pPr>
        <w:pStyle w:val="Heading4"/>
      </w:pPr>
      <w:r>
        <w:rPr>
          <w:color w:val="231F20"/>
          <w:spacing w:val="-2"/>
        </w:rPr>
        <w:t>Results</w:t>
      </w:r>
    </w:p>
    <w:p>
      <w:pPr>
        <w:pStyle w:val="BodyText"/>
        <w:spacing w:line="213" w:lineRule="auto" w:before="242"/>
        <w:ind w:left="2232" w:right="927"/>
        <w:jc w:val="both"/>
      </w:pPr>
      <w:r>
        <w:rPr>
          <w:color w:val="231F20"/>
        </w:rPr>
        <w:t>Data samples from the attributes specified in the query and the Filters tab are plotted on the chart. If no information appears in a table or chart, it might be because no data samplings meet the query or filter criteria.</w:t>
      </w:r>
    </w:p>
    <w:p>
      <w:pPr>
        <w:pStyle w:val="BodyText"/>
        <w:spacing w:line="213" w:lineRule="auto" w:before="237"/>
        <w:ind w:left="2232" w:right="545"/>
      </w:pPr>
      <w:r>
        <w:rPr>
          <w:color w:val="231F20"/>
        </w:rPr>
        <w:t>If you created a gauge chart, it can show data from only one managed system regardless of the managed systems assigned to the Navigator item. If you are using the query in a workspace where multiple managed systems are applicable (at the platform level of the Navigator Physical view), the data shown is from the first managed system in the Assigned list.</w:t>
      </w:r>
    </w:p>
    <w:p>
      <w:pPr>
        <w:pStyle w:val="Heading4"/>
        <w:spacing w:before="198"/>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See the topic for the chart type you have chosen for a description of the chart's</w:t>
      </w:r>
      <w:r>
        <w:rPr>
          <w:color w:val="231F20"/>
          <w:spacing w:val="40"/>
        </w:rPr>
        <w:t> </w:t>
      </w:r>
      <w:r>
        <w:rPr>
          <w:color w:val="231F20"/>
        </w:rPr>
        <w:t>unique aspects and options, with links to styling options that are shared with other chart types.</w:t>
      </w:r>
    </w:p>
    <w:p>
      <w:pPr>
        <w:spacing w:after="0" w:line="213" w:lineRule="auto"/>
        <w:sectPr>
          <w:pgSz w:w="12240" w:h="15840"/>
          <w:pgMar w:header="0" w:footer="736" w:top="1180" w:bottom="920" w:left="1000" w:right="1060"/>
        </w:sectPr>
      </w:pPr>
    </w:p>
    <w:p>
      <w:pPr>
        <w:pStyle w:val="BodyText"/>
        <w:spacing w:line="213" w:lineRule="auto" w:before="85"/>
        <w:ind w:left="2472" w:right="274"/>
      </w:pPr>
      <w:bookmarkStart w:name="_bookmark80" w:id="177"/>
      <w:bookmarkEnd w:id="177"/>
      <w:r>
        <w:rPr/>
      </w:r>
      <w:r>
        <w:rPr>
          <w:color w:val="231F20"/>
        </w:rPr>
        <w:t>If you have historical collection configured for the queried attribute group, you </w:t>
      </w:r>
      <w:r>
        <w:rPr>
          <w:color w:val="231F20"/>
        </w:rPr>
        <w:t>can also display data from previous refreshes using </w:t>
      </w:r>
      <w:r>
        <w:rPr>
          <w:color w:val="231F20"/>
          <w:spacing w:val="-25"/>
          <w:position w:val="-1"/>
        </w:rPr>
        <w:drawing>
          <wp:inline distT="0" distB="0" distL="0" distR="0">
            <wp:extent cx="95250" cy="95250"/>
            <wp:effectExtent l="0" t="0" r="0" b="0"/>
            <wp:docPr id="1067" name="Image 1067"/>
            <wp:cNvGraphicFramePr>
              <a:graphicFrameLocks/>
            </wp:cNvGraphicFramePr>
            <a:graphic>
              <a:graphicData uri="http://schemas.openxmlformats.org/drawingml/2006/picture">
                <pic:pic>
                  <pic:nvPicPr>
                    <pic:cNvPr id="1067" name="Image 1067"/>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Time Span </w:t>
      </w:r>
      <w:r>
        <w:rPr>
          <w:color w:val="231F20"/>
        </w:rPr>
        <w:t>in the view toolbar. (Not available for gauge charts)</w:t>
      </w:r>
    </w:p>
    <w:p>
      <w:pPr>
        <w:pStyle w:val="BodyText"/>
        <w:spacing w:line="213" w:lineRule="auto" w:before="237"/>
        <w:ind w:left="2472" w:right="545"/>
      </w:pPr>
      <w:r>
        <w:rPr>
          <w:rFonts w:ascii="Book Antiqua"/>
          <w:b/>
          <w:color w:val="231F20"/>
        </w:rPr>
        <w:t>Tip:</w:t>
      </w:r>
      <w:r>
        <w:rPr>
          <w:rFonts w:ascii="Book Antiqua"/>
          <w:b/>
          <w:color w:val="231F20"/>
          <w:spacing w:val="40"/>
        </w:rPr>
        <w:t> </w:t>
      </w:r>
      <w:r>
        <w:rPr>
          <w:color w:val="231F20"/>
        </w:rPr>
        <w:t>If you want to use the same query for two charts, create the first view, then split the view to adopt the same query in the other chart, then apply a different</w:t>
      </w:r>
      <w:r>
        <w:rPr>
          <w:color w:val="231F20"/>
          <w:spacing w:val="40"/>
        </w:rPr>
        <w:t> </w:t>
      </w:r>
      <w:r>
        <w:rPr>
          <w:color w:val="231F20"/>
        </w:rPr>
        <w:t>chart type to the new view.</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472"/>
      </w:pPr>
      <w:hyperlink w:history="true" w:anchor="_bookmark80">
        <w:r>
          <w:rPr>
            <w:color w:val="231F20"/>
          </w:rPr>
          <w:t>“Pie</w:t>
        </w:r>
        <w:r>
          <w:rPr>
            <w:color w:val="231F20"/>
            <w:spacing w:val="12"/>
          </w:rPr>
          <w:t> </w:t>
        </w:r>
        <w:r>
          <w:rPr>
            <w:color w:val="231F20"/>
            <w:spacing w:val="-2"/>
          </w:rPr>
          <w:t>chart”</w:t>
        </w:r>
      </w:hyperlink>
    </w:p>
    <w:p>
      <w:pPr>
        <w:pStyle w:val="BodyText"/>
        <w:spacing w:line="213" w:lineRule="auto" w:before="8"/>
        <w:ind w:left="2472" w:right="202"/>
      </w:pPr>
      <w:r>
        <w:rPr>
          <w:color w:val="231F20"/>
        </w:rPr>
        <w:t>Add a pie chart to a workspace to show the proportional value of each attribute </w:t>
      </w:r>
      <w:r>
        <w:rPr>
          <w:color w:val="231F20"/>
        </w:rPr>
        <w:t>to</w:t>
      </w:r>
      <w:r>
        <w:rPr>
          <w:color w:val="231F20"/>
          <w:spacing w:val="40"/>
        </w:rPr>
        <w:t> </w:t>
      </w:r>
      <w:r>
        <w:rPr>
          <w:color w:val="231F20"/>
        </w:rPr>
        <w:t>the</w:t>
      </w:r>
      <w:r>
        <w:rPr>
          <w:color w:val="231F20"/>
          <w:spacing w:val="22"/>
        </w:rPr>
        <w:t> </w:t>
      </w:r>
      <w:r>
        <w:rPr>
          <w:color w:val="231F20"/>
        </w:rPr>
        <w:t>whole.</w:t>
      </w:r>
      <w:r>
        <w:rPr>
          <w:color w:val="231F20"/>
          <w:spacing w:val="22"/>
        </w:rPr>
        <w:t> </w:t>
      </w:r>
      <w:r>
        <w:rPr>
          <w:color w:val="231F20"/>
        </w:rPr>
        <w:t>Use</w:t>
      </w:r>
      <w:r>
        <w:rPr>
          <w:color w:val="231F20"/>
          <w:spacing w:val="22"/>
        </w:rPr>
        <w:t> </w:t>
      </w:r>
      <w:r>
        <w:rPr>
          <w:color w:val="231F20"/>
        </w:rPr>
        <w:t>the</w:t>
      </w:r>
      <w:r>
        <w:rPr>
          <w:color w:val="231F20"/>
          <w:spacing w:val="22"/>
        </w:rPr>
        <w:t> </w:t>
      </w:r>
      <w:r>
        <w:rPr>
          <w:color w:val="231F20"/>
        </w:rPr>
        <w:t>chart</w:t>
      </w:r>
      <w:r>
        <w:rPr>
          <w:color w:val="231F20"/>
          <w:spacing w:val="22"/>
        </w:rPr>
        <w:t> </w:t>
      </w:r>
      <w:r>
        <w:rPr>
          <w:color w:val="231F20"/>
        </w:rPr>
        <w:t>styling</w:t>
      </w:r>
      <w:r>
        <w:rPr>
          <w:color w:val="231F20"/>
          <w:spacing w:val="22"/>
        </w:rPr>
        <w:t> </w:t>
      </w:r>
      <w:r>
        <w:rPr>
          <w:color w:val="231F20"/>
        </w:rPr>
        <w:t>options</w:t>
      </w:r>
      <w:r>
        <w:rPr>
          <w:color w:val="231F20"/>
          <w:spacing w:val="22"/>
        </w:rPr>
        <w:t> </w:t>
      </w:r>
      <w:r>
        <w:rPr>
          <w:color w:val="231F20"/>
        </w:rPr>
        <w:t>that</w:t>
      </w:r>
      <w:r>
        <w:rPr>
          <w:color w:val="231F20"/>
          <w:spacing w:val="22"/>
        </w:rPr>
        <w:t> </w:t>
      </w:r>
      <w:r>
        <w:rPr>
          <w:color w:val="231F20"/>
        </w:rPr>
        <w:t>are</w:t>
      </w:r>
      <w:r>
        <w:rPr>
          <w:color w:val="231F20"/>
          <w:spacing w:val="22"/>
        </w:rPr>
        <w:t> </w:t>
      </w:r>
      <w:r>
        <w:rPr>
          <w:color w:val="231F20"/>
        </w:rPr>
        <w:t>available</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Properties</w:t>
      </w:r>
      <w:r>
        <w:rPr>
          <w:color w:val="231F20"/>
          <w:spacing w:val="22"/>
        </w:rPr>
        <w:t> </w:t>
      </w:r>
      <w:r>
        <w:rPr>
          <w:color w:val="231F20"/>
        </w:rPr>
        <w:t>editor to refine the appearance and to add options such as chart overlays.</w:t>
      </w:r>
    </w:p>
    <w:p>
      <w:pPr>
        <w:pStyle w:val="BodyText"/>
        <w:spacing w:line="255" w:lineRule="exact" w:before="35"/>
        <w:ind w:left="2472"/>
      </w:pPr>
      <w:hyperlink w:history="true" w:anchor="_bookmark81">
        <w:r>
          <w:rPr>
            <w:color w:val="231F20"/>
          </w:rPr>
          <w:t>“Bar</w:t>
        </w:r>
        <w:r>
          <w:rPr>
            <w:color w:val="231F20"/>
            <w:spacing w:val="12"/>
          </w:rPr>
          <w:t> </w:t>
        </w:r>
        <w:r>
          <w:rPr>
            <w:color w:val="231F20"/>
          </w:rPr>
          <w:t>chart”</w:t>
        </w:r>
        <w:r>
          <w:rPr>
            <w:color w:val="231F20"/>
            <w:spacing w:val="11"/>
          </w:rPr>
          <w:t> </w:t>
        </w:r>
        <w:r>
          <w:rPr>
            <w:color w:val="231F20"/>
          </w:rPr>
          <w:t>on</w:t>
        </w:r>
        <w:r>
          <w:rPr>
            <w:color w:val="231F20"/>
            <w:spacing w:val="12"/>
          </w:rPr>
          <w:t> </w:t>
        </w:r>
        <w:r>
          <w:rPr>
            <w:color w:val="231F20"/>
          </w:rPr>
          <w:t>page</w:t>
        </w:r>
        <w:r>
          <w:rPr>
            <w:color w:val="231F20"/>
            <w:spacing w:val="12"/>
          </w:rPr>
          <w:t> </w:t>
        </w:r>
        <w:r>
          <w:rPr>
            <w:color w:val="231F20"/>
            <w:spacing w:val="-5"/>
          </w:rPr>
          <w:t>107</w:t>
        </w:r>
      </w:hyperlink>
    </w:p>
    <w:p>
      <w:pPr>
        <w:pStyle w:val="BodyText"/>
        <w:spacing w:line="213" w:lineRule="auto" w:before="8"/>
        <w:ind w:left="2472" w:right="385"/>
      </w:pPr>
      <w:r>
        <w:rPr>
          <w:color w:val="231F20"/>
        </w:rPr>
        <w:t>Add a bar chart to a workspace to compare values among related attributes. The stacking bar chart best shows multiple values for the same attribute. Use the </w:t>
      </w:r>
      <w:r>
        <w:rPr>
          <w:color w:val="231F20"/>
        </w:rPr>
        <w:t>chart styling options that are available in the Properties editor to refine the appearance and to add options such as chart overlays.</w:t>
      </w:r>
    </w:p>
    <w:p>
      <w:pPr>
        <w:pStyle w:val="BodyText"/>
        <w:spacing w:line="255" w:lineRule="exact" w:before="34"/>
        <w:ind w:left="2472"/>
      </w:pPr>
      <w:hyperlink w:history="true" w:anchor="_bookmark82">
        <w:r>
          <w:rPr>
            <w:color w:val="231F20"/>
          </w:rPr>
          <w:t>“Plot</w:t>
        </w:r>
        <w:r>
          <w:rPr>
            <w:color w:val="231F20"/>
            <w:spacing w:val="11"/>
          </w:rPr>
          <w:t> </w:t>
        </w:r>
        <w:r>
          <w:rPr>
            <w:color w:val="231F20"/>
          </w:rPr>
          <w:t>chart”</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108</w:t>
        </w:r>
      </w:hyperlink>
    </w:p>
    <w:p>
      <w:pPr>
        <w:pStyle w:val="BodyText"/>
        <w:spacing w:line="213" w:lineRule="auto" w:before="8"/>
        <w:ind w:left="2472" w:right="488"/>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BodyText"/>
        <w:spacing w:line="255" w:lineRule="exact" w:before="35"/>
        <w:ind w:left="2472"/>
      </w:pPr>
      <w:hyperlink w:history="true" w:anchor="_bookmark83">
        <w:r>
          <w:rPr>
            <w:color w:val="231F20"/>
          </w:rPr>
          <w:t>“Area</w:t>
        </w:r>
        <w:r>
          <w:rPr>
            <w:color w:val="231F20"/>
            <w:spacing w:val="10"/>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0"/>
          </w:rPr>
          <w:t> </w:t>
        </w:r>
        <w:r>
          <w:rPr>
            <w:color w:val="231F20"/>
            <w:spacing w:val="-5"/>
          </w:rPr>
          <w:t>110</w:t>
        </w:r>
      </w:hyperlink>
    </w:p>
    <w:p>
      <w:pPr>
        <w:pStyle w:val="BodyText"/>
        <w:spacing w:line="213" w:lineRule="auto" w:before="8"/>
        <w:ind w:left="2472" w:right="258"/>
      </w:pPr>
      <w:r>
        <w:rPr>
          <w:color w:val="231F20"/>
        </w:rPr>
        <w:t>Use the area chart for showing trends over time among related attributes. The area chart</w:t>
      </w:r>
      <w:r>
        <w:rPr>
          <w:color w:val="231F20"/>
          <w:spacing w:val="24"/>
        </w:rPr>
        <w:t> </w:t>
      </w:r>
      <w:r>
        <w:rPr>
          <w:color w:val="231F20"/>
        </w:rPr>
        <w:t>is</w:t>
      </w:r>
      <w:r>
        <w:rPr>
          <w:color w:val="231F20"/>
          <w:spacing w:val="24"/>
        </w:rPr>
        <w:t> </w:t>
      </w:r>
      <w:r>
        <w:rPr>
          <w:color w:val="231F20"/>
        </w:rPr>
        <w:t>like</w:t>
      </w:r>
      <w:r>
        <w:rPr>
          <w:color w:val="231F20"/>
          <w:spacing w:val="24"/>
        </w:rPr>
        <w:t> </w:t>
      </w:r>
      <w:r>
        <w:rPr>
          <w:color w:val="231F20"/>
        </w:rPr>
        <w:t>the</w:t>
      </w:r>
      <w:r>
        <w:rPr>
          <w:color w:val="231F20"/>
          <w:spacing w:val="24"/>
        </w:rPr>
        <w:t> </w:t>
      </w:r>
      <w:r>
        <w:rPr>
          <w:color w:val="231F20"/>
        </w:rPr>
        <w:t>plot</w:t>
      </w:r>
      <w:r>
        <w:rPr>
          <w:color w:val="231F20"/>
          <w:spacing w:val="24"/>
        </w:rPr>
        <w:t> </w:t>
      </w:r>
      <w:r>
        <w:rPr>
          <w:color w:val="231F20"/>
        </w:rPr>
        <w:t>chart</w:t>
      </w:r>
      <w:r>
        <w:rPr>
          <w:color w:val="231F20"/>
          <w:spacing w:val="24"/>
        </w:rPr>
        <w:t> </w:t>
      </w:r>
      <w:r>
        <w:rPr>
          <w:color w:val="231F20"/>
        </w:rPr>
        <w:t>except</w:t>
      </w:r>
      <w:r>
        <w:rPr>
          <w:color w:val="231F20"/>
          <w:spacing w:val="24"/>
        </w:rPr>
        <w:t> </w:t>
      </w:r>
      <w:r>
        <w:rPr>
          <w:color w:val="231F20"/>
        </w:rPr>
        <w:t>that</w:t>
      </w:r>
      <w:r>
        <w:rPr>
          <w:color w:val="231F20"/>
          <w:spacing w:val="24"/>
        </w:rPr>
        <w:t> </w:t>
      </w:r>
      <w:r>
        <w:rPr>
          <w:color w:val="231F20"/>
        </w:rPr>
        <w:t>the</w:t>
      </w:r>
      <w:r>
        <w:rPr>
          <w:color w:val="231F20"/>
          <w:spacing w:val="24"/>
        </w:rPr>
        <w:t> </w:t>
      </w:r>
      <w:r>
        <w:rPr>
          <w:color w:val="231F20"/>
        </w:rPr>
        <w:t>area</w:t>
      </w:r>
      <w:r>
        <w:rPr>
          <w:color w:val="231F20"/>
          <w:spacing w:val="24"/>
        </w:rPr>
        <w:t> </w:t>
      </w:r>
      <w:r>
        <w:rPr>
          <w:color w:val="231F20"/>
        </w:rPr>
        <w:t>below</w:t>
      </w:r>
      <w:r>
        <w:rPr>
          <w:color w:val="231F20"/>
          <w:spacing w:val="24"/>
        </w:rPr>
        <w:t> </w:t>
      </w:r>
      <w:r>
        <w:rPr>
          <w:color w:val="231F20"/>
        </w:rPr>
        <w:t>the</w:t>
      </w:r>
      <w:r>
        <w:rPr>
          <w:color w:val="231F20"/>
          <w:spacing w:val="24"/>
        </w:rPr>
        <w:t> </w:t>
      </w:r>
      <w:r>
        <w:rPr>
          <w:color w:val="231F20"/>
        </w:rPr>
        <w:t>plotted</w:t>
      </w:r>
      <w:r>
        <w:rPr>
          <w:color w:val="231F20"/>
          <w:spacing w:val="24"/>
        </w:rPr>
        <w:t> </w:t>
      </w:r>
      <w:r>
        <w:rPr>
          <w:color w:val="231F20"/>
        </w:rPr>
        <w:t>line</w:t>
      </w:r>
      <w:r>
        <w:rPr>
          <w:color w:val="231F20"/>
          <w:spacing w:val="24"/>
        </w:rPr>
        <w:t> </w:t>
      </w:r>
      <w:r>
        <w:rPr>
          <w:color w:val="231F20"/>
        </w:rPr>
        <w:t>is</w:t>
      </w:r>
      <w:r>
        <w:rPr>
          <w:color w:val="231F20"/>
          <w:spacing w:val="24"/>
        </w:rPr>
        <w:t> </w:t>
      </w:r>
      <w:r>
        <w:rPr>
          <w:color w:val="231F20"/>
        </w:rPr>
        <w:t>filled</w:t>
      </w:r>
      <w:r>
        <w:rPr>
          <w:color w:val="231F20"/>
          <w:spacing w:val="24"/>
        </w:rPr>
        <w:t> </w:t>
      </w:r>
      <w:r>
        <w:rPr>
          <w:color w:val="231F20"/>
        </w:rPr>
        <w:t>in with color to indicate volume.</w:t>
      </w:r>
    </w:p>
    <w:p>
      <w:pPr>
        <w:pStyle w:val="BodyText"/>
        <w:spacing w:line="255" w:lineRule="exact" w:before="34"/>
        <w:ind w:left="2472"/>
      </w:pPr>
      <w:hyperlink w:history="true" w:anchor="_bookmark84">
        <w:r>
          <w:rPr>
            <w:color w:val="231F20"/>
          </w:rPr>
          <w:t>“Circular</w:t>
        </w:r>
        <w:r>
          <w:rPr>
            <w:color w:val="231F20"/>
            <w:spacing w:val="10"/>
          </w:rPr>
          <w:t> </w:t>
        </w:r>
        <w:r>
          <w:rPr>
            <w:color w:val="231F20"/>
          </w:rPr>
          <w:t>gauge</w:t>
        </w:r>
        <w:r>
          <w:rPr>
            <w:color w:val="231F20"/>
            <w:spacing w:val="10"/>
          </w:rPr>
          <w:t> </w:t>
        </w:r>
        <w:r>
          <w:rPr>
            <w:color w:val="231F20"/>
          </w:rPr>
          <w:t>chart”</w:t>
        </w:r>
        <w:r>
          <w:rPr>
            <w:color w:val="231F20"/>
            <w:spacing w:val="10"/>
          </w:rPr>
          <w:t> </w:t>
        </w:r>
        <w:r>
          <w:rPr>
            <w:color w:val="231F20"/>
          </w:rPr>
          <w:t>on</w:t>
        </w:r>
        <w:r>
          <w:rPr>
            <w:color w:val="231F20"/>
            <w:spacing w:val="10"/>
          </w:rPr>
          <w:t> </w:t>
        </w:r>
        <w:r>
          <w:rPr>
            <w:color w:val="231F20"/>
          </w:rPr>
          <w:t>page</w:t>
        </w:r>
        <w:r>
          <w:rPr>
            <w:color w:val="231F20"/>
            <w:spacing w:val="10"/>
          </w:rPr>
          <w:t> </w:t>
        </w:r>
        <w:r>
          <w:rPr>
            <w:color w:val="231F20"/>
            <w:spacing w:val="-5"/>
          </w:rPr>
          <w:t>112</w:t>
        </w:r>
      </w:hyperlink>
    </w:p>
    <w:p>
      <w:pPr>
        <w:pStyle w:val="BodyText"/>
        <w:spacing w:line="213" w:lineRule="auto" w:before="8"/>
        <w:ind w:left="2472" w:right="274"/>
      </w:pPr>
      <w:r>
        <w:rPr>
          <w:color w:val="231F20"/>
        </w:rPr>
        <w:t>Add</w:t>
      </w:r>
      <w:r>
        <w:rPr>
          <w:color w:val="231F20"/>
          <w:spacing w:val="27"/>
        </w:rPr>
        <w:t> </w:t>
      </w:r>
      <w:r>
        <w:rPr>
          <w:color w:val="231F20"/>
        </w:rPr>
        <w:t>a</w:t>
      </w:r>
      <w:r>
        <w:rPr>
          <w:color w:val="231F20"/>
          <w:spacing w:val="27"/>
        </w:rPr>
        <w:t> </w:t>
      </w:r>
      <w:r>
        <w:rPr>
          <w:color w:val="231F20"/>
        </w:rPr>
        <w:t>circular</w:t>
      </w:r>
      <w:r>
        <w:rPr>
          <w:color w:val="231F20"/>
          <w:spacing w:val="27"/>
        </w:rPr>
        <w:t> </w:t>
      </w:r>
      <w:r>
        <w:rPr>
          <w:color w:val="231F20"/>
        </w:rPr>
        <w:t>gauge</w:t>
      </w:r>
      <w:r>
        <w:rPr>
          <w:color w:val="231F20"/>
          <w:spacing w:val="27"/>
        </w:rPr>
        <w:t> </w:t>
      </w:r>
      <w:r>
        <w:rPr>
          <w:color w:val="231F20"/>
        </w:rPr>
        <w:t>chart</w:t>
      </w:r>
      <w:r>
        <w:rPr>
          <w:color w:val="231F20"/>
          <w:spacing w:val="27"/>
        </w:rPr>
        <w:t> </w:t>
      </w:r>
      <w:r>
        <w:rPr>
          <w:color w:val="231F20"/>
        </w:rPr>
        <w:t>to</w:t>
      </w:r>
      <w:r>
        <w:rPr>
          <w:color w:val="231F20"/>
          <w:spacing w:val="27"/>
        </w:rPr>
        <w:t> </w:t>
      </w:r>
      <w:r>
        <w:rPr>
          <w:color w:val="231F20"/>
        </w:rPr>
        <w:t>a</w:t>
      </w:r>
      <w:r>
        <w:rPr>
          <w:color w:val="231F20"/>
          <w:spacing w:val="27"/>
        </w:rPr>
        <w:t> </w:t>
      </w:r>
      <w:r>
        <w:rPr>
          <w:color w:val="231F20"/>
        </w:rPr>
        <w:t>workspace</w:t>
      </w:r>
      <w:r>
        <w:rPr>
          <w:color w:val="231F20"/>
          <w:spacing w:val="27"/>
        </w:rPr>
        <w:t> </w:t>
      </w:r>
      <w:r>
        <w:rPr>
          <w:color w:val="231F20"/>
        </w:rPr>
        <w:t>to</w:t>
      </w:r>
      <w:r>
        <w:rPr>
          <w:color w:val="231F20"/>
          <w:spacing w:val="27"/>
        </w:rPr>
        <w:t> </w:t>
      </w:r>
      <w:r>
        <w:rPr>
          <w:color w:val="231F20"/>
        </w:rPr>
        <w:t>show</w:t>
      </w:r>
      <w:r>
        <w:rPr>
          <w:color w:val="231F20"/>
          <w:spacing w:val="27"/>
        </w:rPr>
        <w:t> </w:t>
      </w:r>
      <w:r>
        <w:rPr>
          <w:color w:val="231F20"/>
        </w:rPr>
        <w:t>individual</w:t>
      </w:r>
      <w:r>
        <w:rPr>
          <w:color w:val="231F20"/>
          <w:spacing w:val="27"/>
        </w:rPr>
        <w:t> </w:t>
      </w:r>
      <w:r>
        <w:rPr>
          <w:color w:val="231F20"/>
        </w:rPr>
        <w:t>elements</w:t>
      </w:r>
      <w:r>
        <w:rPr>
          <w:color w:val="231F20"/>
          <w:spacing w:val="27"/>
        </w:rPr>
        <w:t> </w:t>
      </w:r>
      <w:r>
        <w:rPr>
          <w:color w:val="231F20"/>
        </w:rPr>
        <w:t>that change frequently. Use the chart styling options that are available in the Properties editor to refine the appearance and to add options.</w:t>
      </w:r>
    </w:p>
    <w:p>
      <w:pPr>
        <w:pStyle w:val="BodyText"/>
        <w:spacing w:line="255" w:lineRule="exact" w:before="35"/>
        <w:ind w:left="2472"/>
      </w:pPr>
      <w:hyperlink w:history="true" w:anchor="_bookmark85">
        <w:r>
          <w:rPr>
            <w:color w:val="231F20"/>
          </w:rPr>
          <w:t>“Linear</w:t>
        </w:r>
        <w:r>
          <w:rPr>
            <w:color w:val="231F20"/>
            <w:spacing w:val="11"/>
          </w:rPr>
          <w:t> </w:t>
        </w:r>
        <w:r>
          <w:rPr>
            <w:color w:val="231F20"/>
          </w:rPr>
          <w:t>gauge</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113</w:t>
        </w:r>
      </w:hyperlink>
    </w:p>
    <w:p>
      <w:pPr>
        <w:pStyle w:val="BodyText"/>
        <w:spacing w:line="213" w:lineRule="auto" w:before="8"/>
        <w:ind w:left="2472" w:right="287"/>
        <w:jc w:val="both"/>
      </w:pPr>
      <w:r>
        <w:rPr>
          <w:color w:val="231F20"/>
        </w:rPr>
        <w:t>Add a linear gauge chart to a workspace to show individual elements that </w:t>
      </w:r>
      <w:r>
        <w:rPr>
          <w:color w:val="231F20"/>
        </w:rPr>
        <w:t>change frequently. Use the chart styling options that are available in the Properties editor</w:t>
      </w:r>
      <w:r>
        <w:rPr>
          <w:color w:val="231F20"/>
          <w:spacing w:val="40"/>
        </w:rPr>
        <w:t> </w:t>
      </w:r>
      <w:r>
        <w:rPr>
          <w:color w:val="231F20"/>
        </w:rPr>
        <w:t>to refine the appearance and to add options.</w:t>
      </w:r>
    </w:p>
    <w:p>
      <w:pPr>
        <w:pStyle w:val="BodyText"/>
        <w:spacing w:line="255" w:lineRule="exact" w:before="35"/>
        <w:ind w:left="2472"/>
        <w:jc w:val="both"/>
      </w:pPr>
      <w:hyperlink w:history="true" w:anchor="_bookmark86">
        <w:r>
          <w:rPr>
            <w:color w:val="231F20"/>
          </w:rPr>
          <w:t>“Chart</w:t>
        </w:r>
        <w:r>
          <w:rPr>
            <w:color w:val="231F20"/>
            <w:spacing w:val="11"/>
          </w:rPr>
          <w:t> </w:t>
        </w:r>
        <w:r>
          <w:rPr>
            <w:color w:val="231F20"/>
          </w:rPr>
          <w:t>style”</w:t>
        </w:r>
        <w:r>
          <w:rPr>
            <w:color w:val="231F20"/>
            <w:spacing w:val="12"/>
          </w:rPr>
          <w:t> </w:t>
        </w:r>
        <w:r>
          <w:rPr>
            <w:color w:val="231F20"/>
          </w:rPr>
          <w:t>on</w:t>
        </w:r>
        <w:r>
          <w:rPr>
            <w:color w:val="231F20"/>
            <w:spacing w:val="11"/>
          </w:rPr>
          <w:t> </w:t>
        </w:r>
        <w:r>
          <w:rPr>
            <w:color w:val="231F20"/>
          </w:rPr>
          <w:t>page</w:t>
        </w:r>
        <w:r>
          <w:rPr>
            <w:color w:val="231F20"/>
            <w:spacing w:val="12"/>
          </w:rPr>
          <w:t> </w:t>
        </w:r>
        <w:r>
          <w:rPr>
            <w:color w:val="231F20"/>
            <w:spacing w:val="-5"/>
          </w:rPr>
          <w:t>115</w:t>
        </w:r>
      </w:hyperlink>
    </w:p>
    <w:p>
      <w:pPr>
        <w:pStyle w:val="BodyText"/>
        <w:spacing w:line="213" w:lineRule="auto" w:before="8"/>
        <w:ind w:left="2472" w:right="167"/>
      </w:pPr>
      <w:r>
        <w:rPr>
          <w:color w:val="231F20"/>
        </w:rPr>
        <w:t>The</w:t>
      </w:r>
      <w:r>
        <w:rPr>
          <w:color w:val="231F20"/>
          <w:spacing w:val="36"/>
        </w:rPr>
        <w:t> </w:t>
      </w:r>
      <w:r>
        <w:rPr>
          <w:color w:val="231F20"/>
          <w:spacing w:val="-24"/>
          <w:position w:val="-1"/>
        </w:rPr>
        <w:drawing>
          <wp:inline distT="0" distB="0" distL="0" distR="0">
            <wp:extent cx="95250" cy="95250"/>
            <wp:effectExtent l="0" t="0" r="0" b="0"/>
            <wp:docPr id="1068" name="Image 1068"/>
            <wp:cNvGraphicFramePr>
              <a:graphicFrameLocks/>
            </wp:cNvGraphicFramePr>
            <a:graphic>
              <a:graphicData uri="http://schemas.openxmlformats.org/drawingml/2006/picture">
                <pic:pic>
                  <pic:nvPicPr>
                    <pic:cNvPr id="1068" name="Image 1068"/>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3"/>
        </w:rPr>
        <w:t> </w:t>
      </w:r>
      <w:r>
        <w:rPr>
          <w:rFonts w:ascii="Book Antiqua"/>
          <w:b/>
          <w:color w:val="231F20"/>
        </w:rPr>
        <w:t>Style</w:t>
      </w:r>
      <w:r>
        <w:rPr>
          <w:rFonts w:ascii="Book Antiqua"/>
          <w:b/>
          <w:color w:val="231F20"/>
          <w:spacing w:val="25"/>
        </w:rPr>
        <w:t> </w:t>
      </w:r>
      <w:r>
        <w:rPr>
          <w:color w:val="231F20"/>
        </w:rPr>
        <w:t>tab</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Properties</w:t>
      </w:r>
      <w:r>
        <w:rPr>
          <w:color w:val="231F20"/>
          <w:spacing w:val="25"/>
        </w:rPr>
        <w:t> </w:t>
      </w:r>
      <w:r>
        <w:rPr>
          <w:color w:val="231F20"/>
        </w:rPr>
        <w:t>editor</w:t>
      </w:r>
      <w:r>
        <w:rPr>
          <w:color w:val="231F20"/>
          <w:spacing w:val="25"/>
        </w:rPr>
        <w:t> </w:t>
      </w:r>
      <w:r>
        <w:rPr>
          <w:color w:val="231F20"/>
        </w:rPr>
        <w:t>to</w:t>
      </w:r>
      <w:r>
        <w:rPr>
          <w:color w:val="231F20"/>
          <w:spacing w:val="25"/>
        </w:rPr>
        <w:t> </w:t>
      </w:r>
      <w:r>
        <w:rPr>
          <w:color w:val="231F20"/>
        </w:rPr>
        <w:t>refine</w:t>
      </w:r>
      <w:r>
        <w:rPr>
          <w:color w:val="231F20"/>
          <w:spacing w:val="25"/>
        </w:rPr>
        <w:t> </w:t>
      </w:r>
      <w:r>
        <w:rPr>
          <w:color w:val="231F20"/>
        </w:rPr>
        <w:t>the</w:t>
      </w:r>
      <w:r>
        <w:rPr>
          <w:color w:val="231F20"/>
          <w:spacing w:val="25"/>
        </w:rPr>
        <w:t> </w:t>
      </w:r>
      <w:r>
        <w:rPr>
          <w:color w:val="231F20"/>
        </w:rPr>
        <w:t>appearance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chart.</w:t>
      </w:r>
      <w:r>
        <w:rPr>
          <w:color w:val="231F20"/>
          <w:spacing w:val="25"/>
        </w:rPr>
        <w:t> </w:t>
      </w:r>
      <w:r>
        <w:rPr>
          <w:color w:val="231F20"/>
        </w:rPr>
        <w:t>For the bar, plot, and area charts, this is also where you can specify a line chart overlay</w:t>
      </w:r>
      <w:r>
        <w:rPr>
          <w:color w:val="231F20"/>
          <w:spacing w:val="40"/>
        </w:rPr>
        <w:t> </w:t>
      </w:r>
      <w:bookmarkStart w:name="Pie chart" w:id="178"/>
      <w:bookmarkEnd w:id="178"/>
      <w:r>
        <w:rPr>
          <w:color w:val="231F20"/>
        </w:rPr>
        <w:t>and</w:t>
      </w:r>
      <w:r>
        <w:rPr>
          <w:color w:val="231F20"/>
        </w:rPr>
        <w:t> threshold indicators.</w:t>
      </w:r>
    </w:p>
    <w:p>
      <w:pPr>
        <w:pStyle w:val="Heading3"/>
        <w:spacing w:before="216"/>
        <w:ind w:left="1574"/>
      </w:pPr>
      <w:r>
        <w:rPr>
          <w:color w:val="231F20"/>
        </w:rPr>
        <w:t>Pie</w:t>
      </w:r>
      <w:r>
        <w:rPr>
          <w:color w:val="231F20"/>
          <w:spacing w:val="10"/>
        </w:rPr>
        <w:t> </w:t>
      </w:r>
      <w:r>
        <w:rPr>
          <w:color w:val="231F20"/>
          <w:spacing w:val="-2"/>
        </w:rPr>
        <w:t>chart</w:t>
      </w:r>
    </w:p>
    <w:p>
      <w:pPr>
        <w:pStyle w:val="BodyText"/>
        <w:spacing w:line="213" w:lineRule="auto" w:before="58"/>
        <w:ind w:left="2472" w:right="202"/>
      </w:pPr>
      <w:r>
        <w:rPr>
          <w:color w:val="231F20"/>
        </w:rPr>
        <w:t>Add a pie chart to a workspace to show the proportional value of each attribute </w:t>
      </w:r>
      <w:r>
        <w:rPr>
          <w:color w:val="231F20"/>
        </w:rPr>
        <w:t>to</w:t>
      </w:r>
      <w:r>
        <w:rPr>
          <w:color w:val="231F20"/>
          <w:spacing w:val="40"/>
        </w:rPr>
        <w:t> </w:t>
      </w:r>
      <w:r>
        <w:rPr>
          <w:color w:val="231F20"/>
        </w:rPr>
        <w:t>the</w:t>
      </w:r>
      <w:r>
        <w:rPr>
          <w:color w:val="231F20"/>
          <w:spacing w:val="22"/>
        </w:rPr>
        <w:t> </w:t>
      </w:r>
      <w:r>
        <w:rPr>
          <w:color w:val="231F20"/>
        </w:rPr>
        <w:t>whole.</w:t>
      </w:r>
      <w:r>
        <w:rPr>
          <w:color w:val="231F20"/>
          <w:spacing w:val="22"/>
        </w:rPr>
        <w:t> </w:t>
      </w:r>
      <w:r>
        <w:rPr>
          <w:color w:val="231F20"/>
        </w:rPr>
        <w:t>Use</w:t>
      </w:r>
      <w:r>
        <w:rPr>
          <w:color w:val="231F20"/>
          <w:spacing w:val="22"/>
        </w:rPr>
        <w:t> </w:t>
      </w:r>
      <w:r>
        <w:rPr>
          <w:color w:val="231F20"/>
        </w:rPr>
        <w:t>the</w:t>
      </w:r>
      <w:r>
        <w:rPr>
          <w:color w:val="231F20"/>
          <w:spacing w:val="22"/>
        </w:rPr>
        <w:t> </w:t>
      </w:r>
      <w:r>
        <w:rPr>
          <w:color w:val="231F20"/>
        </w:rPr>
        <w:t>chart</w:t>
      </w:r>
      <w:r>
        <w:rPr>
          <w:color w:val="231F20"/>
          <w:spacing w:val="22"/>
        </w:rPr>
        <w:t> </w:t>
      </w:r>
      <w:r>
        <w:rPr>
          <w:color w:val="231F20"/>
        </w:rPr>
        <w:t>styling</w:t>
      </w:r>
      <w:r>
        <w:rPr>
          <w:color w:val="231F20"/>
          <w:spacing w:val="22"/>
        </w:rPr>
        <w:t> </w:t>
      </w:r>
      <w:r>
        <w:rPr>
          <w:color w:val="231F20"/>
        </w:rPr>
        <w:t>options</w:t>
      </w:r>
      <w:r>
        <w:rPr>
          <w:color w:val="231F20"/>
          <w:spacing w:val="22"/>
        </w:rPr>
        <w:t> </w:t>
      </w:r>
      <w:r>
        <w:rPr>
          <w:color w:val="231F20"/>
        </w:rPr>
        <w:t>that</w:t>
      </w:r>
      <w:r>
        <w:rPr>
          <w:color w:val="231F20"/>
          <w:spacing w:val="22"/>
        </w:rPr>
        <w:t> </w:t>
      </w:r>
      <w:r>
        <w:rPr>
          <w:color w:val="231F20"/>
        </w:rPr>
        <w:t>are</w:t>
      </w:r>
      <w:r>
        <w:rPr>
          <w:color w:val="231F20"/>
          <w:spacing w:val="22"/>
        </w:rPr>
        <w:t> </w:t>
      </w:r>
      <w:r>
        <w:rPr>
          <w:color w:val="231F20"/>
        </w:rPr>
        <w:t>available</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Properties</w:t>
      </w:r>
      <w:r>
        <w:rPr>
          <w:color w:val="231F20"/>
          <w:spacing w:val="22"/>
        </w:rPr>
        <w:t> </w:t>
      </w:r>
      <w:r>
        <w:rPr>
          <w:color w:val="231F20"/>
        </w:rPr>
        <w:t>editor to refine the appearance and to add options such as chart overlays.</w:t>
      </w:r>
    </w:p>
    <w:p>
      <w:pPr>
        <w:pStyle w:val="BodyText"/>
        <w:spacing w:line="213" w:lineRule="auto" w:before="238"/>
        <w:ind w:left="2472" w:right="263"/>
      </w:pPr>
      <w:r>
        <w:rPr>
          <w:color w:val="231F20"/>
        </w:rPr>
        <w:t>A pie chart has a slice for every data point in a single data series (row). If you</w:t>
      </w:r>
      <w:r>
        <w:rPr>
          <w:color w:val="231F20"/>
          <w:spacing w:val="40"/>
        </w:rPr>
        <w:t> </w:t>
      </w:r>
      <w:r>
        <w:rPr>
          <w:color w:val="231F20"/>
        </w:rPr>
        <w:t>specify attributes from a group that returns multiple rows, a pie is drawn for each row. Similarly, when the query is assigned to multiple managed systems, you get a pie for each managed system.</w:t>
      </w:r>
    </w:p>
    <w:p>
      <w:pPr>
        <w:pStyle w:val="BodyText"/>
        <w:spacing w:line="213" w:lineRule="auto" w:before="237"/>
        <w:ind w:left="2472" w:right="545"/>
      </w:pPr>
      <w:r>
        <w:rPr>
          <w:color w:val="231F20"/>
        </w:rPr>
        <w:t>You can tilt a pie chart by holding down the Alt key while dragging the </w:t>
      </w:r>
      <w:r>
        <w:rPr>
          <w:color w:val="231F20"/>
        </w:rPr>
        <w:t>mouse pointer up or down anywhere on its surface; adjust the height of the pie by holding down the Shift key while dragging the mouse pointer.</w:t>
      </w:r>
    </w:p>
    <w:p>
      <w:pPr>
        <w:spacing w:after="0" w:line="213" w:lineRule="auto"/>
        <w:sectPr>
          <w:pgSz w:w="12240" w:h="15840"/>
          <w:pgMar w:header="0" w:footer="736" w:top="1180" w:bottom="920" w:left="1000" w:right="1060"/>
        </w:sectPr>
      </w:pPr>
    </w:p>
    <w:p>
      <w:pPr>
        <w:pStyle w:val="BodyText"/>
        <w:spacing w:line="213" w:lineRule="auto" w:before="85"/>
        <w:ind w:left="2232" w:right="545"/>
      </w:pPr>
      <w:r>
        <w:rPr>
          <w:color w:val="231F20"/>
        </w:rPr>
        <w:t>After adding the chart, use the styling options in the Properties editor to refine </w:t>
      </w:r>
      <w:r>
        <w:rPr>
          <w:color w:val="231F20"/>
        </w:rPr>
        <w:t>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069" name="Image 1069"/>
            <wp:cNvGraphicFramePr>
              <a:graphicFrameLocks/>
            </wp:cNvGraphicFramePr>
            <a:graphic>
              <a:graphicData uri="http://schemas.openxmlformats.org/drawingml/2006/picture">
                <pic:pic>
                  <pic:nvPicPr>
                    <pic:cNvPr id="1069" name="Image 1069"/>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070" name="Image 1070"/>
            <wp:cNvGraphicFramePr>
              <a:graphicFrameLocks/>
            </wp:cNvGraphicFramePr>
            <a:graphic>
              <a:graphicData uri="http://schemas.openxmlformats.org/drawingml/2006/picture">
                <pic:pic>
                  <pic:nvPicPr>
                    <pic:cNvPr id="1070" name="Image 1070"/>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27"/>
      </w:pPr>
      <w:r>
        <w:rPr/>
        <w:drawing>
          <wp:anchor distT="0" distB="0" distL="0" distR="0" allowOverlap="1" layoutInCell="1" locked="0" behindDoc="1" simplePos="0" relativeHeight="487670272">
            <wp:simplePos x="0" y="0"/>
            <wp:positionH relativeFrom="page">
              <wp:posOffset>3367653</wp:posOffset>
            </wp:positionH>
            <wp:positionV relativeFrom="paragraph">
              <wp:posOffset>267289</wp:posOffset>
            </wp:positionV>
            <wp:extent cx="2163413" cy="753046"/>
            <wp:effectExtent l="0" t="0" r="0" b="0"/>
            <wp:wrapTopAndBottom/>
            <wp:docPr id="1071" name="Image 1071"/>
            <wp:cNvGraphicFramePr>
              <a:graphicFrameLocks/>
            </wp:cNvGraphicFramePr>
            <a:graphic>
              <a:graphicData uri="http://schemas.openxmlformats.org/drawingml/2006/picture">
                <pic:pic>
                  <pic:nvPicPr>
                    <pic:cNvPr id="1071" name="Image 1071"/>
                    <pic:cNvPicPr/>
                  </pic:nvPicPr>
                  <pic:blipFill>
                    <a:blip r:embed="rId207" cstate="print"/>
                    <a:stretch>
                      <a:fillRect/>
                    </a:stretch>
                  </pic:blipFill>
                  <pic:spPr>
                    <a:xfrm>
                      <a:off x="0" y="0"/>
                      <a:ext cx="2163413" cy="753046"/>
                    </a:xfrm>
                    <a:prstGeom prst="rect">
                      <a:avLst/>
                    </a:prstGeom>
                  </pic:spPr>
                </pic:pic>
              </a:graphicData>
            </a:graphic>
          </wp:anchor>
        </w:drawing>
      </w:r>
    </w:p>
    <w:p>
      <w:pPr>
        <w:pStyle w:val="Heading4"/>
        <w:spacing w:before="308"/>
      </w:pPr>
      <w:r>
        <w:rPr>
          <w:color w:val="231F20"/>
        </w:rPr>
        <w:t>Header</w:t>
      </w:r>
      <w:r>
        <w:rPr>
          <w:color w:val="231F20"/>
          <w:spacing w:val="4"/>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603" w:firstLine="10"/>
      </w:pPr>
      <w:r>
        <w:rPr>
          <w:position w:val="-1"/>
        </w:rPr>
        <w:drawing>
          <wp:inline distT="0" distB="0" distL="0" distR="0">
            <wp:extent cx="95250" cy="95250"/>
            <wp:effectExtent l="0" t="0" r="0" b="0"/>
            <wp:docPr id="1072" name="Image 1072"/>
            <wp:cNvGraphicFramePr>
              <a:graphicFrameLocks/>
            </wp:cNvGraphicFramePr>
            <a:graphic>
              <a:graphicData uri="http://schemas.openxmlformats.org/drawingml/2006/picture">
                <pic:pic>
                  <pic:nvPicPr>
                    <pic:cNvPr id="1072" name="Image 1072"/>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2"/>
        </w:rPr>
        <w:t> </w:t>
      </w:r>
      <w:r>
        <w:rPr>
          <w:rFonts w:ascii="Book Antiqua" w:hAnsi="Book Antiqua"/>
          <w:b/>
          <w:color w:val="231F20"/>
        </w:rPr>
        <w:t>Style </w:t>
      </w:r>
      <w:r>
        <w:rPr>
          <w:color w:val="231F20"/>
        </w:rPr>
        <w:t>tab to add a title to the view, which shows in the view title bar. You can also apply the title as a view header, add a border, and change the text style. The default name is </w:t>
      </w:r>
      <w:r>
        <w:rPr>
          <w:rFonts w:ascii="Book Antiqua" w:hAnsi="Book Antiqua"/>
          <w:b/>
          <w:color w:val="231F20"/>
        </w:rPr>
        <w:t>Pie Chart</w:t>
      </w:r>
      <w:r>
        <w:rPr>
          <w:color w:val="231F20"/>
        </w:rPr>
        <w:t>. See </w:t>
      </w:r>
      <w:hyperlink w:history="true" w:anchor="_bookmark86">
        <w:r>
          <w:rPr>
            <w:color w:val="231F20"/>
          </w:rPr>
          <w:t>“Header Label” on page 115.</w:t>
        </w:r>
      </w:hyperlink>
    </w:p>
    <w:p>
      <w:pPr>
        <w:pStyle w:val="Heading4"/>
        <w:spacing w:before="199"/>
      </w:pPr>
      <w:r>
        <w:rPr>
          <w:color w:val="231F20"/>
        </w:rPr>
        <w:t>Plot</w:t>
      </w:r>
      <w:r>
        <w:rPr>
          <w:color w:val="231F20"/>
          <w:spacing w:val="-1"/>
        </w:rPr>
        <w:t> </w:t>
      </w:r>
      <w:r>
        <w:rPr>
          <w:color w:val="231F20"/>
          <w:spacing w:val="-4"/>
        </w:rPr>
        <w:t>Area</w:t>
      </w:r>
    </w:p>
    <w:p>
      <w:pPr>
        <w:pStyle w:val="BodyText"/>
        <w:spacing w:line="213" w:lineRule="auto" w:before="241"/>
        <w:ind w:left="2232" w:right="1104"/>
      </w:pPr>
      <w:r>
        <w:rPr>
          <w:color w:val="231F20"/>
        </w:rPr>
        <w:t>Select the pie in the thumbnail graphic to open the Pie Chart tab with </w:t>
      </w:r>
      <w:r>
        <w:rPr>
          <w:color w:val="231F20"/>
        </w:rPr>
        <w:t>these </w:t>
      </w:r>
      <w:r>
        <w:rPr>
          <w:color w:val="231F20"/>
          <w:spacing w:val="-2"/>
        </w:rPr>
        <w:t>options:</w:t>
      </w:r>
    </w:p>
    <w:p>
      <w:pPr>
        <w:pStyle w:val="BodyText"/>
        <w:spacing w:line="213" w:lineRule="auto" w:before="118"/>
        <w:ind w:left="2951" w:right="545" w:hanging="719"/>
      </w:pPr>
      <w:r>
        <w:rPr>
          <w:rFonts w:ascii="Book Antiqua"/>
          <w:b/>
          <w:color w:val="231F20"/>
        </w:rPr>
        <w:t>Effect</w:t>
      </w:r>
      <w:r>
        <w:rPr>
          <w:rFonts w:ascii="Book Antiqua"/>
          <w:b/>
          <w:color w:val="231F20"/>
          <w:spacing w:val="80"/>
        </w:rPr>
        <w:t> </w:t>
      </w:r>
      <w:r>
        <w:rPr>
          <w:color w:val="231F20"/>
        </w:rPr>
        <w:t>The pie chart has a three-dimensional appearance by default, and you can</w:t>
      </w:r>
      <w:r>
        <w:rPr>
          <w:color w:val="231F20"/>
          <w:spacing w:val="40"/>
        </w:rPr>
        <w:t> </w:t>
      </w:r>
      <w:r>
        <w:rPr>
          <w:color w:val="231F20"/>
        </w:rPr>
        <w:t>flatten the appearance by switching to 2D.</w:t>
      </w:r>
    </w:p>
    <w:p>
      <w:pPr>
        <w:pStyle w:val="BodyText"/>
        <w:spacing w:line="235" w:lineRule="exact"/>
        <w:ind w:left="2951"/>
      </w:pPr>
      <w:r>
        <w:rPr/>
        <w:drawing>
          <wp:inline distT="0" distB="0" distL="0" distR="0">
            <wp:extent cx="88900" cy="82550"/>
            <wp:effectExtent l="0" t="0" r="0" b="0"/>
            <wp:docPr id="1073" name="Image 1073"/>
            <wp:cNvGraphicFramePr>
              <a:graphicFrameLocks/>
            </wp:cNvGraphicFramePr>
            <a:graphic>
              <a:graphicData uri="http://schemas.openxmlformats.org/drawingml/2006/picture">
                <pic:pic>
                  <pic:nvPicPr>
                    <pic:cNvPr id="1073" name="Image 1073"/>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77"/>
        </w:rPr>
        <w:t> </w:t>
      </w:r>
      <w:r>
        <w:rPr>
          <w:rFonts w:ascii="Book Antiqua"/>
          <w:b/>
          <w:color w:val="231F20"/>
        </w:rPr>
        <w:t>2D</w:t>
      </w:r>
      <w:r>
        <w:rPr>
          <w:rFonts w:ascii="Book Antiqua"/>
          <w:b/>
          <w:color w:val="231F20"/>
          <w:spacing w:val="22"/>
        </w:rPr>
        <w:t> </w:t>
      </w:r>
      <w:r>
        <w:rPr>
          <w:color w:val="231F20"/>
        </w:rPr>
        <w:t>to</w:t>
      </w:r>
      <w:r>
        <w:rPr>
          <w:color w:val="231F20"/>
          <w:spacing w:val="22"/>
        </w:rPr>
        <w:t> </w:t>
      </w:r>
      <w:r>
        <w:rPr>
          <w:color w:val="231F20"/>
        </w:rPr>
        <w:t>render</w:t>
      </w:r>
      <w:r>
        <w:rPr>
          <w:color w:val="231F20"/>
          <w:spacing w:val="22"/>
        </w:rPr>
        <w:t> </w:t>
      </w:r>
      <w:r>
        <w:rPr>
          <w:color w:val="231F20"/>
        </w:rPr>
        <w:t>a</w:t>
      </w:r>
      <w:r>
        <w:rPr>
          <w:color w:val="231F20"/>
          <w:spacing w:val="22"/>
        </w:rPr>
        <w:t> </w:t>
      </w:r>
      <w:r>
        <w:rPr>
          <w:color w:val="231F20"/>
        </w:rPr>
        <w:t>two-dimensional</w:t>
      </w:r>
      <w:r>
        <w:rPr>
          <w:color w:val="231F20"/>
          <w:spacing w:val="22"/>
        </w:rPr>
        <w:t> </w:t>
      </w:r>
      <w:r>
        <w:rPr>
          <w:color w:val="231F20"/>
        </w:rPr>
        <w:t>chart.</w:t>
      </w:r>
    </w:p>
    <w:p>
      <w:pPr>
        <w:pStyle w:val="BodyText"/>
        <w:spacing w:line="255" w:lineRule="exact"/>
        <w:ind w:left="2951"/>
      </w:pPr>
      <w:r>
        <w:rPr/>
        <w:drawing>
          <wp:inline distT="0" distB="0" distL="0" distR="0">
            <wp:extent cx="88900" cy="82550"/>
            <wp:effectExtent l="0" t="0" r="0" b="0"/>
            <wp:docPr id="1074" name="Image 1074"/>
            <wp:cNvGraphicFramePr>
              <a:graphicFrameLocks/>
            </wp:cNvGraphicFramePr>
            <a:graphic>
              <a:graphicData uri="http://schemas.openxmlformats.org/drawingml/2006/picture">
                <pic:pic>
                  <pic:nvPicPr>
                    <pic:cNvPr id="1074" name="Image 1074"/>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6"/>
        </w:rPr>
        <w:t> </w:t>
      </w:r>
      <w:r>
        <w:rPr>
          <w:rFonts w:ascii="Book Antiqua"/>
          <w:b/>
          <w:color w:val="231F20"/>
        </w:rPr>
        <w:t>3D</w:t>
      </w:r>
      <w:r>
        <w:rPr>
          <w:rFonts w:ascii="Book Antiqua"/>
          <w:b/>
          <w:color w:val="231F20"/>
          <w:spacing w:val="21"/>
        </w:rPr>
        <w:t> </w:t>
      </w:r>
      <w:r>
        <w:rPr>
          <w:color w:val="231F20"/>
        </w:rPr>
        <w:t>to</w:t>
      </w:r>
      <w:r>
        <w:rPr>
          <w:color w:val="231F20"/>
          <w:spacing w:val="21"/>
        </w:rPr>
        <w:t> </w:t>
      </w:r>
      <w:r>
        <w:rPr>
          <w:color w:val="231F20"/>
        </w:rPr>
        <w:t>render</w:t>
      </w:r>
      <w:r>
        <w:rPr>
          <w:color w:val="231F20"/>
          <w:spacing w:val="21"/>
        </w:rPr>
        <w:t> </w:t>
      </w:r>
      <w:r>
        <w:rPr>
          <w:color w:val="231F20"/>
        </w:rPr>
        <w:t>a</w:t>
      </w:r>
      <w:r>
        <w:rPr>
          <w:color w:val="231F20"/>
          <w:spacing w:val="21"/>
        </w:rPr>
        <w:t> </w:t>
      </w:r>
      <w:r>
        <w:rPr>
          <w:color w:val="231F20"/>
        </w:rPr>
        <w:t>three-dimensional</w:t>
      </w:r>
      <w:r>
        <w:rPr>
          <w:color w:val="231F20"/>
          <w:spacing w:val="21"/>
        </w:rPr>
        <w:t> </w:t>
      </w:r>
      <w:r>
        <w:rPr>
          <w:color w:val="231F20"/>
        </w:rPr>
        <w:t>chart.</w:t>
      </w:r>
    </w:p>
    <w:p>
      <w:pPr>
        <w:pStyle w:val="Heading6"/>
        <w:spacing w:before="107"/>
        <w:ind w:left="2232"/>
      </w:pPr>
      <w:r>
        <w:rPr>
          <w:color w:val="231F20"/>
        </w:rPr>
        <w:t>Pie</w:t>
      </w:r>
      <w:r>
        <w:rPr>
          <w:color w:val="231F20"/>
          <w:spacing w:val="12"/>
        </w:rPr>
        <w:t> </w:t>
      </w:r>
      <w:r>
        <w:rPr>
          <w:color w:val="231F20"/>
        </w:rPr>
        <w:t>Slice</w:t>
      </w:r>
      <w:r>
        <w:rPr>
          <w:color w:val="231F20"/>
          <w:spacing w:val="12"/>
        </w:rPr>
        <w:t> </w:t>
      </w:r>
      <w:r>
        <w:rPr>
          <w:color w:val="231F20"/>
          <w:spacing w:val="-2"/>
        </w:rPr>
        <w:t>Offsets</w:t>
      </w:r>
    </w:p>
    <w:p>
      <w:pPr>
        <w:pStyle w:val="BodyText"/>
        <w:spacing w:line="213" w:lineRule="auto" w:before="11"/>
        <w:ind w:left="2951" w:right="545"/>
      </w:pPr>
      <w:r>
        <w:rPr>
          <w:color w:val="231F20"/>
        </w:rPr>
        <w:t>You can specify that certain pie slices should be offset from the rest of the chart and labeled for emphasis.</w:t>
      </w:r>
    </w:p>
    <w:p>
      <w:pPr>
        <w:pStyle w:val="BodyText"/>
        <w:spacing w:before="35"/>
        <w:ind w:left="2951"/>
      </w:pPr>
      <w:r>
        <w:rPr>
          <w:rFonts w:ascii="Futura MdCn BT"/>
          <w:color w:val="231F20"/>
        </w:rPr>
        <w:t>v</w:t>
      </w:r>
      <w:r>
        <w:rPr>
          <w:rFonts w:ascii="Futura MdCn BT"/>
          <w:color w:val="231F20"/>
          <w:spacing w:val="77"/>
          <w:w w:val="150"/>
        </w:rPr>
        <w:t> </w:t>
      </w:r>
      <w:r>
        <w:rPr>
          <w:color w:val="231F20"/>
        </w:rPr>
        <w:t>In</w:t>
      </w:r>
      <w:r>
        <w:rPr>
          <w:color w:val="231F20"/>
          <w:spacing w:val="10"/>
        </w:rPr>
        <w:t> </w:t>
      </w:r>
      <w:r>
        <w:rPr>
          <w:color w:val="231F20"/>
        </w:rPr>
        <w:t>the</w:t>
      </w:r>
      <w:r>
        <w:rPr>
          <w:color w:val="231F20"/>
          <w:spacing w:val="9"/>
        </w:rPr>
        <w:t> </w:t>
      </w:r>
      <w:r>
        <w:rPr>
          <w:rFonts w:ascii="Book Antiqua"/>
          <w:b/>
          <w:color w:val="231F20"/>
        </w:rPr>
        <w:t>Offset</w:t>
      </w:r>
      <w:r>
        <w:rPr>
          <w:rFonts w:ascii="Book Antiqua"/>
          <w:b/>
          <w:color w:val="231F20"/>
          <w:spacing w:val="10"/>
        </w:rPr>
        <w:t> </w:t>
      </w:r>
      <w:r>
        <w:rPr>
          <w:rFonts w:ascii="Book Antiqua"/>
          <w:b/>
          <w:color w:val="231F20"/>
        </w:rPr>
        <w:t>Value</w:t>
      </w:r>
      <w:r>
        <w:rPr>
          <w:rFonts w:ascii="Book Antiqua"/>
          <w:b/>
          <w:color w:val="231F20"/>
          <w:spacing w:val="10"/>
        </w:rPr>
        <w:t> </w:t>
      </w:r>
      <w:r>
        <w:rPr>
          <w:color w:val="231F20"/>
        </w:rPr>
        <w:t>field,</w:t>
      </w:r>
      <w:r>
        <w:rPr>
          <w:color w:val="231F20"/>
          <w:spacing w:val="10"/>
        </w:rPr>
        <w:t> </w:t>
      </w:r>
      <w:r>
        <w:rPr>
          <w:color w:val="231F20"/>
        </w:rPr>
        <w:t>specify</w:t>
      </w:r>
      <w:r>
        <w:rPr>
          <w:color w:val="231F20"/>
          <w:spacing w:val="10"/>
        </w:rPr>
        <w:t> </w:t>
      </w:r>
      <w:r>
        <w:rPr>
          <w:color w:val="231F20"/>
        </w:rPr>
        <w:t>the</w:t>
      </w:r>
      <w:r>
        <w:rPr>
          <w:color w:val="231F20"/>
          <w:spacing w:val="10"/>
        </w:rPr>
        <w:t> </w:t>
      </w:r>
      <w:r>
        <w:rPr>
          <w:color w:val="231F20"/>
        </w:rPr>
        <w:t>offset</w:t>
      </w:r>
      <w:r>
        <w:rPr>
          <w:color w:val="231F20"/>
          <w:spacing w:val="10"/>
        </w:rPr>
        <w:t> </w:t>
      </w:r>
      <w:r>
        <w:rPr>
          <w:color w:val="231F20"/>
        </w:rPr>
        <w:t>distance</w:t>
      </w:r>
      <w:r>
        <w:rPr>
          <w:color w:val="231F20"/>
          <w:spacing w:val="10"/>
        </w:rPr>
        <w:t> </w:t>
      </w:r>
      <w:r>
        <w:rPr>
          <w:color w:val="231F20"/>
        </w:rPr>
        <w:t>in</w:t>
      </w:r>
      <w:r>
        <w:rPr>
          <w:color w:val="231F20"/>
          <w:spacing w:val="10"/>
        </w:rPr>
        <w:t> </w:t>
      </w:r>
      <w:r>
        <w:rPr>
          <w:color w:val="231F20"/>
          <w:spacing w:val="-2"/>
        </w:rPr>
        <w:t>pixels.</w:t>
      </w:r>
    </w:p>
    <w:p>
      <w:pPr>
        <w:pStyle w:val="BodyText"/>
        <w:spacing w:line="213" w:lineRule="auto" w:before="53"/>
        <w:ind w:left="3167" w:right="636" w:hanging="216"/>
      </w:pPr>
      <w:r>
        <w:rPr>
          <w:rFonts w:ascii="Futura MdCn BT"/>
          <w:color w:val="231F20"/>
        </w:rPr>
        <w:t>v</w:t>
      </w:r>
      <w:r>
        <w:rPr>
          <w:rFonts w:ascii="Futura MdCn BT"/>
          <w:color w:val="231F20"/>
          <w:spacing w:val="80"/>
        </w:rPr>
        <w:t> </w:t>
      </w:r>
      <w:r>
        <w:rPr>
          <w:color w:val="231F20"/>
        </w:rPr>
        <w:t>Specify the pie slices you want to offset by selecting the </w:t>
      </w:r>
      <w:r>
        <w:rPr>
          <w:color w:val="231F20"/>
        </w:rPr>
        <w:t>appropriate</w:t>
      </w:r>
      <w:r>
        <w:rPr>
          <w:color w:val="231F20"/>
        </w:rPr>
        <w:t> check boxes.</w:t>
      </w:r>
    </w:p>
    <w:p>
      <w:pPr>
        <w:pStyle w:val="BodyText"/>
        <w:spacing w:line="213" w:lineRule="auto" w:before="59"/>
        <w:ind w:left="3167" w:right="545" w:hanging="216"/>
      </w:pPr>
      <w:r>
        <w:rPr>
          <w:rFonts w:ascii="Futura MdCn BT"/>
          <w:color w:val="231F20"/>
        </w:rPr>
        <w:t>v</w:t>
      </w:r>
      <w:r>
        <w:rPr>
          <w:rFonts w:ascii="Futura MdCn BT"/>
          <w:color w:val="231F20"/>
          <w:spacing w:val="80"/>
        </w:rPr>
        <w:t> </w:t>
      </w:r>
      <w:r>
        <w:rPr>
          <w:color w:val="231F20"/>
        </w:rPr>
        <w:t>Click the icon beside the name of a pie slice to open the Chart Label</w:t>
      </w:r>
      <w:r>
        <w:rPr>
          <w:color w:val="231F20"/>
          <w:spacing w:val="40"/>
        </w:rPr>
        <w:t> </w:t>
      </w:r>
      <w:r>
        <w:rPr>
          <w:color w:val="231F20"/>
        </w:rPr>
        <w:t>options window, from which you can control options affecting how </w:t>
      </w:r>
      <w:r>
        <w:rPr>
          <w:color w:val="231F20"/>
        </w:rPr>
        <w:t>the</w:t>
      </w:r>
      <w:r>
        <w:rPr>
          <w:color w:val="231F20"/>
        </w:rPr>
        <w:t> offset slices are labeled.</w:t>
      </w:r>
    </w:p>
    <w:p>
      <w:pPr>
        <w:pStyle w:val="Heading4"/>
        <w:spacing w:before="199"/>
      </w:pPr>
      <w:r>
        <w:rPr>
          <w:color w:val="231F20"/>
        </w:rPr>
        <w:t>Legend</w:t>
      </w:r>
      <w:r>
        <w:rPr>
          <w:color w:val="231F20"/>
          <w:spacing w:val="4"/>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493" w:firstLine="10"/>
      </w:pPr>
      <w:r>
        <w:rPr>
          <w:position w:val="-1"/>
        </w:rPr>
        <w:drawing>
          <wp:inline distT="0" distB="0" distL="0" distR="0">
            <wp:extent cx="95250" cy="95250"/>
            <wp:effectExtent l="0" t="0" r="0" b="0"/>
            <wp:docPr id="1075" name="Image 1075"/>
            <wp:cNvGraphicFramePr>
              <a:graphicFrameLocks/>
            </wp:cNvGraphicFramePr>
            <a:graphic>
              <a:graphicData uri="http://schemas.openxmlformats.org/drawingml/2006/picture">
                <pic:pic>
                  <pic:nvPicPr>
                    <pic:cNvPr id="1075" name="Image 1075"/>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control the display of the chart legend and its appearance, </w:t>
      </w:r>
      <w:r>
        <w:rPr>
          <w:color w:val="231F20"/>
        </w:rPr>
        <w:t>including the</w:t>
      </w:r>
      <w:r>
        <w:rPr>
          <w:color w:val="231F20"/>
          <w:spacing w:val="26"/>
        </w:rPr>
        <w:t> </w:t>
      </w:r>
      <w:r>
        <w:rPr>
          <w:color w:val="231F20"/>
        </w:rPr>
        <w:t>coloring</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data</w:t>
      </w:r>
      <w:r>
        <w:rPr>
          <w:color w:val="231F20"/>
          <w:spacing w:val="26"/>
        </w:rPr>
        <w:t> </w:t>
      </w:r>
      <w:r>
        <w:rPr>
          <w:color w:val="231F20"/>
        </w:rPr>
        <w:t>series:</w:t>
      </w:r>
      <w:r>
        <w:rPr>
          <w:color w:val="231F20"/>
          <w:spacing w:val="26"/>
        </w:rPr>
        <w:t> </w:t>
      </w:r>
      <w:r>
        <w:rPr>
          <w:color w:val="231F20"/>
        </w:rPr>
        <w:t>pie</w:t>
      </w:r>
      <w:r>
        <w:rPr>
          <w:color w:val="231F20"/>
          <w:spacing w:val="26"/>
        </w:rPr>
        <w:t> </w:t>
      </w:r>
      <w:r>
        <w:rPr>
          <w:color w:val="231F20"/>
        </w:rPr>
        <w:t>slices,</w:t>
      </w:r>
      <w:r>
        <w:rPr>
          <w:color w:val="231F20"/>
          <w:spacing w:val="26"/>
        </w:rPr>
        <w:t> </w:t>
      </w:r>
      <w:r>
        <w:rPr>
          <w:color w:val="231F20"/>
        </w:rPr>
        <w:t>bars,</w:t>
      </w:r>
      <w:r>
        <w:rPr>
          <w:color w:val="231F20"/>
          <w:spacing w:val="26"/>
        </w:rPr>
        <w:t> </w:t>
      </w:r>
      <w:r>
        <w:rPr>
          <w:color w:val="231F20"/>
        </w:rPr>
        <w:t>plot</w:t>
      </w:r>
      <w:r>
        <w:rPr>
          <w:color w:val="231F20"/>
          <w:spacing w:val="26"/>
        </w:rPr>
        <w:t> </w:t>
      </w:r>
      <w:r>
        <w:rPr>
          <w:color w:val="231F20"/>
        </w:rPr>
        <w:t>lines,</w:t>
      </w:r>
      <w:r>
        <w:rPr>
          <w:color w:val="231F20"/>
          <w:spacing w:val="26"/>
        </w:rPr>
        <w:t> </w:t>
      </w:r>
      <w:r>
        <w:rPr>
          <w:color w:val="231F20"/>
        </w:rPr>
        <w:t>and</w:t>
      </w:r>
      <w:r>
        <w:rPr>
          <w:color w:val="231F20"/>
          <w:spacing w:val="26"/>
        </w:rPr>
        <w:t> </w:t>
      </w:r>
      <w:r>
        <w:rPr>
          <w:color w:val="231F20"/>
        </w:rPr>
        <w:t>plot</w:t>
      </w:r>
      <w:r>
        <w:rPr>
          <w:color w:val="231F20"/>
          <w:spacing w:val="26"/>
        </w:rPr>
        <w:t> </w:t>
      </w:r>
      <w:r>
        <w:rPr>
          <w:color w:val="231F20"/>
        </w:rPr>
        <w:t>areas.</w:t>
      </w:r>
      <w:r>
        <w:rPr>
          <w:color w:val="231F20"/>
          <w:spacing w:val="26"/>
        </w:rPr>
        <w:t> </w:t>
      </w:r>
      <w:r>
        <w:rPr>
          <w:color w:val="231F20"/>
        </w:rPr>
        <w:t>See </w:t>
      </w:r>
      <w:hyperlink w:history="true" w:anchor="_bookmark92">
        <w:r>
          <w:rPr>
            <w:color w:val="231F20"/>
          </w:rPr>
          <w:t>“Legend Label” on page 121.</w:t>
        </w:r>
      </w:hyperlink>
    </w:p>
    <w:p>
      <w:pPr>
        <w:pStyle w:val="Heading4"/>
        <w:spacing w:before="199"/>
      </w:pPr>
      <w:r>
        <w:rPr>
          <w:color w:val="231F20"/>
        </w:rPr>
        <w:t>Category</w:t>
      </w:r>
      <w:r>
        <w:rPr>
          <w:color w:val="231F20"/>
          <w:spacing w:val="2"/>
        </w:rPr>
        <w:t> </w:t>
      </w:r>
      <w:r>
        <w:rPr>
          <w:color w:val="231F20"/>
          <w:spacing w:val="-2"/>
        </w:rPr>
        <w:t>Label</w:t>
      </w:r>
    </w:p>
    <w:p>
      <w:pPr>
        <w:pStyle w:val="BodyText"/>
        <w:spacing w:line="213" w:lineRule="auto" w:before="241"/>
        <w:ind w:left="2232" w:right="545"/>
      </w:pPr>
      <w:r>
        <w:rPr>
          <w:color w:val="231F20"/>
        </w:rPr>
        <w:t>Select the Category Label area of the thumbnail graphic to determine whether to display a label for the data series, one for each pie in the chart, and the attribute to</w:t>
      </w:r>
      <w:r>
        <w:rPr>
          <w:color w:val="231F20"/>
          <w:spacing w:val="80"/>
        </w:rPr>
        <w:t> </w:t>
      </w:r>
      <w:r>
        <w:rPr>
          <w:color w:val="231F20"/>
        </w:rPr>
        <w:t>use for the label.</w:t>
      </w:r>
    </w:p>
    <w:p>
      <w:pPr>
        <w:pStyle w:val="BodyText"/>
        <w:tabs>
          <w:tab w:pos="2951" w:val="left" w:leader="none"/>
        </w:tabs>
        <w:spacing w:line="213" w:lineRule="auto" w:before="118"/>
        <w:ind w:left="2951" w:right="603" w:hanging="719"/>
      </w:pPr>
      <w:r>
        <w:rPr>
          <w:rFonts w:ascii="Book Antiqua"/>
          <w:b/>
          <w:color w:val="231F20"/>
          <w:spacing w:val="-4"/>
        </w:rPr>
        <w:t>Text</w:t>
      </w:r>
      <w:r>
        <w:rPr>
          <w:rFonts w:ascii="Book Antiqua"/>
          <w:b/>
          <w:color w:val="231F20"/>
        </w:rPr>
        <w:tab/>
      </w:r>
      <w:r>
        <w:rPr>
          <w:color w:val="231F20"/>
        </w:rPr>
        <w:t>The </w:t>
      </w:r>
      <w:r>
        <w:rPr>
          <w:rFonts w:ascii="Book Antiqua"/>
          <w:b/>
          <w:color w:val="231F20"/>
        </w:rPr>
        <w:t>Text </w:t>
      </w:r>
      <w:r>
        <w:rPr>
          <w:color w:val="231F20"/>
        </w:rPr>
        <w:t>area determines the font to use, its size and whether any styling</w:t>
      </w:r>
      <w:r>
        <w:rPr>
          <w:color w:val="231F20"/>
          <w:spacing w:val="40"/>
        </w:rPr>
        <w:t> </w:t>
      </w:r>
      <w:r>
        <w:rPr>
          <w:color w:val="231F20"/>
        </w:rPr>
        <w:t>is</w:t>
      </w:r>
      <w:r>
        <w:rPr>
          <w:color w:val="231F20"/>
          <w:spacing w:val="26"/>
        </w:rPr>
        <w:t> </w:t>
      </w:r>
      <w:r>
        <w:rPr>
          <w:color w:val="231F20"/>
        </w:rPr>
        <w:t>applied.</w:t>
      </w:r>
      <w:r>
        <w:rPr>
          <w:color w:val="231F20"/>
          <w:spacing w:val="26"/>
        </w:rPr>
        <w:t> </w:t>
      </w:r>
      <w:r>
        <w:rPr>
          <w:color w:val="231F20"/>
        </w:rPr>
        <w:t>Select</w:t>
      </w:r>
      <w:r>
        <w:rPr>
          <w:color w:val="231F20"/>
          <w:spacing w:val="26"/>
        </w:rPr>
        <w:t> </w:t>
      </w:r>
      <w:r>
        <w:rPr>
          <w:color w:val="231F20"/>
        </w:rPr>
        <w:t>any</w:t>
      </w:r>
      <w:r>
        <w:rPr>
          <w:color w:val="231F20"/>
          <w:spacing w:val="26"/>
        </w:rPr>
        <w:t> </w:t>
      </w:r>
      <w:r>
        <w:rPr>
          <w:color w:val="231F20"/>
        </w:rPr>
        <w:t>changes</w:t>
      </w:r>
      <w:r>
        <w:rPr>
          <w:color w:val="231F20"/>
          <w:spacing w:val="26"/>
        </w:rPr>
        <w:t> </w:t>
      </w:r>
      <w:r>
        <w:rPr>
          <w:color w:val="231F20"/>
        </w:rPr>
        <w:t>from</w:t>
      </w:r>
      <w:r>
        <w:rPr>
          <w:color w:val="231F20"/>
          <w:spacing w:val="26"/>
        </w:rPr>
        <w:t> </w:t>
      </w:r>
      <w:r>
        <w:rPr>
          <w:color w:val="231F20"/>
        </w:rPr>
        <w:t>the </w:t>
      </w:r>
      <w:r>
        <w:rPr>
          <w:color w:val="231F20"/>
          <w:spacing w:val="15"/>
          <w:position w:val="-1"/>
        </w:rPr>
        <w:drawing>
          <wp:inline distT="0" distB="0" distL="0" distR="0">
            <wp:extent cx="101600" cy="101600"/>
            <wp:effectExtent l="0" t="0" r="0" b="0"/>
            <wp:docPr id="1076" name="Image 1076"/>
            <wp:cNvGraphicFramePr>
              <a:graphicFrameLocks/>
            </wp:cNvGraphicFramePr>
            <a:graphic>
              <a:graphicData uri="http://schemas.openxmlformats.org/drawingml/2006/picture">
                <pic:pic>
                  <pic:nvPicPr>
                    <pic:cNvPr id="1076" name="Image 107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r>
        <w:rPr>
          <w:color w:val="231F20"/>
          <w:spacing w:val="26"/>
        </w:rPr>
        <w:t> </w:t>
      </w:r>
      <w:r>
        <w:rPr>
          <w:color w:val="231F20"/>
        </w:rPr>
        <w:t>for</w:t>
      </w:r>
      <w:r>
        <w:rPr>
          <w:color w:val="231F20"/>
          <w:spacing w:val="26"/>
        </w:rPr>
        <w:t> </w:t>
      </w:r>
      <w:r>
        <w:rPr>
          <w:rFonts w:ascii="Book Antiqua"/>
          <w:b/>
          <w:color w:val="231F20"/>
        </w:rPr>
        <w:t>Font</w:t>
      </w:r>
      <w:r>
        <w:rPr>
          <w:color w:val="231F20"/>
        </w:rPr>
        <w:t>,</w:t>
      </w:r>
      <w:r>
        <w:rPr>
          <w:color w:val="231F20"/>
          <w:spacing w:val="26"/>
        </w:rPr>
        <w:t> </w:t>
      </w:r>
      <w:r>
        <w:rPr>
          <w:rFonts w:ascii="Book Antiqua"/>
          <w:b/>
          <w:color w:val="231F20"/>
        </w:rPr>
        <w:t>Size</w:t>
      </w:r>
      <w:r>
        <w:rPr>
          <w:color w:val="231F20"/>
        </w:rPr>
        <w:t>,</w:t>
      </w:r>
      <w:r>
        <w:rPr>
          <w:color w:val="231F20"/>
          <w:spacing w:val="26"/>
        </w:rPr>
        <w:t> </w:t>
      </w:r>
      <w:r>
        <w:rPr>
          <w:color w:val="231F20"/>
        </w:rPr>
        <w:t>or</w:t>
      </w:r>
      <w:r>
        <w:rPr>
          <w:color w:val="231F20"/>
          <w:spacing w:val="26"/>
        </w:rPr>
        <w:t> </w:t>
      </w:r>
      <w:r>
        <w:rPr>
          <w:rFonts w:ascii="Book Antiqua"/>
          <w:b/>
          <w:color w:val="231F20"/>
        </w:rPr>
        <w:t>Style</w:t>
      </w:r>
      <w:r>
        <w:rPr>
          <w:color w:val="231F20"/>
        </w:rPr>
        <w:t>.</w:t>
      </w:r>
    </w:p>
    <w:p>
      <w:pPr>
        <w:spacing w:after="0" w:line="213" w:lineRule="auto"/>
        <w:sectPr>
          <w:pgSz w:w="12240" w:h="15840"/>
          <w:pgMar w:header="0" w:footer="736" w:top="1180" w:bottom="920" w:left="1000" w:right="1060"/>
        </w:sectPr>
      </w:pPr>
    </w:p>
    <w:p>
      <w:pPr>
        <w:pStyle w:val="Heading6"/>
        <w:spacing w:before="83"/>
      </w:pPr>
      <w:bookmarkStart w:name="_bookmark81" w:id="179"/>
      <w:bookmarkEnd w:id="179"/>
      <w:r>
        <w:rPr>
          <w:b w:val="0"/>
        </w:rPr>
      </w:r>
      <w:r>
        <w:rPr>
          <w:color w:val="231F20"/>
          <w:spacing w:val="-2"/>
        </w:rPr>
        <w:t>Attribute</w:t>
      </w:r>
    </w:p>
    <w:p>
      <w:pPr>
        <w:pStyle w:val="BodyText"/>
        <w:spacing w:line="213" w:lineRule="auto" w:before="12"/>
        <w:ind w:left="3190" w:right="545"/>
      </w:pPr>
      <w:r>
        <w:rPr>
          <w:color w:val="231F20"/>
        </w:rPr>
        <w:t>You can either accept the Default Category Label for the chart type </w:t>
      </w:r>
      <w:r>
        <w:rPr>
          <w:color w:val="231F20"/>
        </w:rPr>
        <w:t>or select an attribute from the </w:t>
      </w:r>
      <w:r>
        <w:rPr>
          <w:color w:val="231F20"/>
          <w:spacing w:val="15"/>
          <w:position w:val="-1"/>
        </w:rPr>
        <w:drawing>
          <wp:inline distT="0" distB="0" distL="0" distR="0">
            <wp:extent cx="101600" cy="101600"/>
            <wp:effectExtent l="0" t="0" r="0" b="0"/>
            <wp:docPr id="1077" name="Image 1077"/>
            <wp:cNvGraphicFramePr>
              <a:graphicFrameLocks/>
            </wp:cNvGraphicFramePr>
            <a:graphic>
              <a:graphicData uri="http://schemas.openxmlformats.org/drawingml/2006/picture">
                <pic:pic>
                  <pic:nvPicPr>
                    <pic:cNvPr id="1077" name="Image 1077"/>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list.</w:t>
      </w:r>
    </w:p>
    <w:p>
      <w:pPr>
        <w:pStyle w:val="Heading4"/>
        <w:ind w:left="2472"/>
      </w:pPr>
      <w:r>
        <w:rPr>
          <w:color w:val="231F20"/>
        </w:rPr>
        <w:t>Footer</w:t>
      </w:r>
      <w:r>
        <w:rPr>
          <w:color w:val="231F20"/>
          <w:spacing w:val="5"/>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545" w:firstLine="10"/>
      </w:pPr>
      <w:r>
        <w:rPr>
          <w:position w:val="-1"/>
        </w:rPr>
        <w:drawing>
          <wp:inline distT="0" distB="0" distL="0" distR="0">
            <wp:extent cx="95250" cy="95250"/>
            <wp:effectExtent l="0" t="0" r="0" b="0"/>
            <wp:docPr id="1078" name="Image 1078"/>
            <wp:cNvGraphicFramePr>
              <a:graphicFrameLocks/>
            </wp:cNvGraphicFramePr>
            <a:graphic>
              <a:graphicData uri="http://schemas.openxmlformats.org/drawingml/2006/picture">
                <pic:pic>
                  <pic:nvPicPr>
                    <pic:cNvPr id="1078" name="Image 1078"/>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w:t>
        </w:r>
        <w:r>
          <w:rPr>
            <w:color w:val="231F20"/>
          </w:rPr>
          <w:t>page</w:t>
        </w:r>
      </w:hyperlink>
      <w:r>
        <w:rPr>
          <w:color w:val="231F20"/>
          <w:spacing w:val="40"/>
        </w:rPr>
        <w:t> </w:t>
      </w:r>
      <w:hyperlink w:history="true" w:anchor="_bookmark95">
        <w:r>
          <w:rPr>
            <w:color w:val="231F20"/>
            <w:spacing w:val="-4"/>
          </w:rPr>
          <w:t>124.</w:t>
        </w:r>
      </w:hyperlink>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8"/>
        <w:ind w:left="247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079" name="Image 1079"/>
            <wp:cNvGraphicFramePr>
              <a:graphicFrameLocks/>
            </wp:cNvGraphicFramePr>
            <a:graphic>
              <a:graphicData uri="http://schemas.openxmlformats.org/drawingml/2006/picture">
                <pic:pic>
                  <pic:nvPicPr>
                    <pic:cNvPr id="1079" name="Image 1079"/>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080" name="Image 1080"/>
            <wp:cNvGraphicFramePr>
              <a:graphicFrameLocks/>
            </wp:cNvGraphicFramePr>
            <a:graphic>
              <a:graphicData uri="http://schemas.openxmlformats.org/drawingml/2006/picture">
                <pic:pic>
                  <pic:nvPicPr>
                    <pic:cNvPr id="1080" name="Image 1080"/>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081" name="Image 1081"/>
            <wp:cNvGraphicFramePr>
              <a:graphicFrameLocks/>
            </wp:cNvGraphicFramePr>
            <a:graphic>
              <a:graphicData uri="http://schemas.openxmlformats.org/drawingml/2006/picture">
                <pic:pic>
                  <pic:nvPicPr>
                    <pic:cNvPr id="1081" name="Image 1081"/>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082" name="Image 1082"/>
            <wp:cNvGraphicFramePr>
              <a:graphicFrameLocks/>
            </wp:cNvGraphicFramePr>
            <a:graphic>
              <a:graphicData uri="http://schemas.openxmlformats.org/drawingml/2006/picture">
                <pic:pic>
                  <pic:nvPicPr>
                    <pic:cNvPr id="1082" name="Image 1082"/>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083" name="Image 1083"/>
            <wp:cNvGraphicFramePr>
              <a:graphicFrameLocks/>
            </wp:cNvGraphicFramePr>
            <a:graphic>
              <a:graphicData uri="http://schemas.openxmlformats.org/drawingml/2006/picture">
                <pic:pic>
                  <pic:nvPicPr>
                    <pic:cNvPr id="1083" name="Image 1083"/>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084" name="Image 1084"/>
            <wp:cNvGraphicFramePr>
              <a:graphicFrameLocks/>
            </wp:cNvGraphicFramePr>
            <a:graphic>
              <a:graphicData uri="http://schemas.openxmlformats.org/drawingml/2006/picture">
                <pic:pic>
                  <pic:nvPicPr>
                    <pic:cNvPr id="1084" name="Image 1084"/>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BodyText"/>
        <w:spacing w:line="255" w:lineRule="exact" w:before="34"/>
        <w:ind w:left="2472"/>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8"/>
        <w:ind w:left="2472" w:right="24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Heading3"/>
        <w:spacing w:before="217"/>
        <w:ind w:left="1574"/>
      </w:pPr>
      <w:bookmarkStart w:name="Bar chart" w:id="180"/>
      <w:bookmarkEnd w:id="180"/>
      <w:r>
        <w:rPr>
          <w:b w:val="0"/>
        </w:rPr>
      </w:r>
      <w:r>
        <w:rPr>
          <w:color w:val="231F20"/>
        </w:rPr>
        <w:t>Bar</w:t>
      </w:r>
      <w:r>
        <w:rPr>
          <w:color w:val="231F20"/>
          <w:spacing w:val="10"/>
        </w:rPr>
        <w:t> </w:t>
      </w:r>
      <w:r>
        <w:rPr>
          <w:color w:val="231F20"/>
          <w:spacing w:val="-2"/>
        </w:rPr>
        <w:t>chart</w:t>
      </w:r>
    </w:p>
    <w:p>
      <w:pPr>
        <w:pStyle w:val="BodyText"/>
        <w:spacing w:line="213" w:lineRule="auto" w:before="58"/>
        <w:ind w:left="2472" w:right="385"/>
      </w:pPr>
      <w:r>
        <w:rPr>
          <w:color w:val="231F20"/>
        </w:rPr>
        <w:t>Add a bar chart to a workspace to compare values among related attributes. The stacking bar chart best shows multiple values for the same attribute. Use the </w:t>
      </w:r>
      <w:r>
        <w:rPr>
          <w:color w:val="231F20"/>
        </w:rPr>
        <w:t>chart styling options that are available in the Properties editor to refine the appearance and to add options such as chart overlays.</w:t>
      </w:r>
    </w:p>
    <w:p>
      <w:pPr>
        <w:pStyle w:val="BodyText"/>
        <w:spacing w:line="213" w:lineRule="auto" w:before="237"/>
        <w:ind w:left="2472" w:right="258"/>
      </w:pPr>
      <w:r>
        <w:rPr>
          <w:color w:val="231F20"/>
        </w:rPr>
        <w:t>In the bar chart, the attributes are listed vertically with each attribute given its </w:t>
      </w:r>
      <w:r>
        <w:rPr>
          <w:color w:val="231F20"/>
        </w:rPr>
        <w:t>own bar, and values drawn horizontally. If you specify multiple-row attributes, a bar grouping is added for every row.</w:t>
      </w:r>
    </w:p>
    <w:p>
      <w:pPr>
        <w:pStyle w:val="BodyText"/>
        <w:spacing w:line="213" w:lineRule="auto" w:before="237"/>
        <w:ind w:left="2472" w:right="590"/>
        <w:jc w:val="both"/>
      </w:pPr>
      <w:r>
        <w:rPr>
          <w:color w:val="231F20"/>
        </w:rPr>
        <w:t>You can rotate a 3D bar chart by holding down the Alt key while dragging </w:t>
      </w:r>
      <w:r>
        <w:rPr>
          <w:color w:val="231F20"/>
        </w:rPr>
        <w:t>the mouse pointer anywhere on the chart; adjust the thickness of a bar by holding down the Shift key while dragging the mouse.</w:t>
      </w:r>
    </w:p>
    <w:p>
      <w:pPr>
        <w:pStyle w:val="BodyText"/>
        <w:spacing w:line="213" w:lineRule="auto" w:before="238"/>
        <w:ind w:left="2472" w:right="545"/>
      </w:pPr>
      <w:r>
        <w:rPr>
          <w:color w:val="231F20"/>
        </w:rPr>
        <w:t>If the bar chart has limited space for showing category labels, you see labels </w:t>
      </w:r>
      <w:r>
        <w:rPr>
          <w:color w:val="231F20"/>
        </w:rPr>
        <w:t>for every other bar, every third bar, or whatever is required to fit the space. Try</w:t>
      </w:r>
    </w:p>
    <w:p>
      <w:pPr>
        <w:pStyle w:val="BodyText"/>
        <w:spacing w:line="206" w:lineRule="auto" w:before="11"/>
        <w:ind w:left="2472" w:right="545" w:firstLine="30"/>
      </w:pPr>
      <w:r>
        <w:rPr>
          <w:position w:val="1"/>
        </w:rPr>
        <w:drawing>
          <wp:inline distT="0" distB="0" distL="0" distR="0">
            <wp:extent cx="69850" cy="69850"/>
            <wp:effectExtent l="0" t="0" r="0" b="0"/>
            <wp:docPr id="1085" name="Image 1085"/>
            <wp:cNvGraphicFramePr>
              <a:graphicFrameLocks/>
            </wp:cNvGraphicFramePr>
            <a:graphic>
              <a:graphicData uri="http://schemas.openxmlformats.org/drawingml/2006/picture">
                <pic:pic>
                  <pic:nvPicPr>
                    <pic:cNvPr id="1085" name="Image 1085"/>
                    <pic:cNvPicPr/>
                  </pic:nvPicPr>
                  <pic:blipFill>
                    <a:blip r:embed="rId67" cstate="print"/>
                    <a:stretch>
                      <a:fillRect/>
                    </a:stretch>
                  </pic:blipFill>
                  <pic:spPr>
                    <a:xfrm>
                      <a:off x="0" y="0"/>
                      <a:ext cx="69850" cy="69850"/>
                    </a:xfrm>
                    <a:prstGeom prst="rect">
                      <a:avLst/>
                    </a:prstGeom>
                  </pic:spPr>
                </pic:pic>
              </a:graphicData>
            </a:graphic>
          </wp:inline>
        </w:drawing>
      </w:r>
      <w:r>
        <w:rPr>
          <w:position w:val="1"/>
        </w:rPr>
      </w:r>
      <w:r>
        <w:rPr>
          <w:rFonts w:ascii="Times New Roman"/>
          <w:position w:val="1"/>
        </w:rPr>
        <w:t> </w:t>
      </w:r>
      <w:r>
        <w:rPr>
          <w:color w:val="231F20"/>
          <w:position w:val="1"/>
        </w:rPr>
        <w:t>maximizing the view to see all the labels and then</w:t>
      </w:r>
      <w:r>
        <w:rPr>
          <w:color w:val="231F20"/>
          <w:spacing w:val="29"/>
          <w:position w:val="1"/>
        </w:rPr>
        <w:t> </w:t>
      </w:r>
      <w:r>
        <w:rPr>
          <w:color w:val="231F20"/>
          <w:spacing w:val="-15"/>
        </w:rPr>
        <w:drawing>
          <wp:inline distT="0" distB="0" distL="0" distR="0">
            <wp:extent cx="82550" cy="82550"/>
            <wp:effectExtent l="0" t="0" r="0" b="0"/>
            <wp:docPr id="1086" name="Image 1086"/>
            <wp:cNvGraphicFramePr>
              <a:graphicFrameLocks/>
            </wp:cNvGraphicFramePr>
            <a:graphic>
              <a:graphicData uri="http://schemas.openxmlformats.org/drawingml/2006/picture">
                <pic:pic>
                  <pic:nvPicPr>
                    <pic:cNvPr id="1086" name="Image 1086"/>
                    <pic:cNvPicPr/>
                  </pic:nvPicPr>
                  <pic:blipFill>
                    <a:blip r:embed="rId68"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80"/>
          <w:position w:val="1"/>
        </w:rPr>
        <w:t> </w:t>
      </w:r>
      <w:r>
        <w:rPr>
          <w:color w:val="231F20"/>
          <w:position w:val="1"/>
        </w:rPr>
        <w:t>restore when you </w:t>
      </w:r>
      <w:r>
        <w:rPr>
          <w:color w:val="231F20"/>
          <w:position w:val="1"/>
        </w:rPr>
        <w:t>are </w:t>
      </w:r>
      <w:r>
        <w:rPr>
          <w:color w:val="231F20"/>
          <w:spacing w:val="-2"/>
        </w:rPr>
        <w:t>done.</w:t>
      </w:r>
    </w:p>
    <w:p>
      <w:pPr>
        <w:pStyle w:val="BodyText"/>
        <w:spacing w:line="213" w:lineRule="auto" w:before="242"/>
        <w:ind w:left="2472" w:right="292"/>
      </w:pPr>
      <w:r>
        <w:rPr>
          <w:color w:val="231F20"/>
        </w:rPr>
        <w:t>After adding the chart, use the styling options in the Properties editor to refine 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087" name="Image 1087"/>
            <wp:cNvGraphicFramePr>
              <a:graphicFrameLocks/>
            </wp:cNvGraphicFramePr>
            <a:graphic>
              <a:graphicData uri="http://schemas.openxmlformats.org/drawingml/2006/picture">
                <pic:pic>
                  <pic:nvPicPr>
                    <pic:cNvPr id="1087" name="Image 1087"/>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088" name="Image 1088"/>
            <wp:cNvGraphicFramePr>
              <a:graphicFrameLocks/>
            </wp:cNvGraphicFramePr>
            <a:graphic>
              <a:graphicData uri="http://schemas.openxmlformats.org/drawingml/2006/picture">
                <pic:pic>
                  <pic:nvPicPr>
                    <pic:cNvPr id="1088" name="Image 1088"/>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37"/>
      </w:pPr>
      <w:r>
        <w:rPr/>
        <w:drawing>
          <wp:anchor distT="0" distB="0" distL="0" distR="0" allowOverlap="1" layoutInCell="1" locked="0" behindDoc="1" simplePos="0" relativeHeight="487670784">
            <wp:simplePos x="0" y="0"/>
            <wp:positionH relativeFrom="page">
              <wp:posOffset>3532418</wp:posOffset>
            </wp:positionH>
            <wp:positionV relativeFrom="paragraph">
              <wp:posOffset>273577</wp:posOffset>
            </wp:positionV>
            <wp:extent cx="2150649" cy="746664"/>
            <wp:effectExtent l="0" t="0" r="0" b="0"/>
            <wp:wrapTopAndBottom/>
            <wp:docPr id="1089" name="Image 1089"/>
            <wp:cNvGraphicFramePr>
              <a:graphicFrameLocks/>
            </wp:cNvGraphicFramePr>
            <a:graphic>
              <a:graphicData uri="http://schemas.openxmlformats.org/drawingml/2006/picture">
                <pic:pic>
                  <pic:nvPicPr>
                    <pic:cNvPr id="1089" name="Image 1089"/>
                    <pic:cNvPicPr/>
                  </pic:nvPicPr>
                  <pic:blipFill>
                    <a:blip r:embed="rId208" cstate="print"/>
                    <a:stretch>
                      <a:fillRect/>
                    </a:stretch>
                  </pic:blipFill>
                  <pic:spPr>
                    <a:xfrm>
                      <a:off x="0" y="0"/>
                      <a:ext cx="2150649" cy="746664"/>
                    </a:xfrm>
                    <a:prstGeom prst="rect">
                      <a:avLst/>
                    </a:prstGeom>
                  </pic:spPr>
                </pic:pic>
              </a:graphicData>
            </a:graphic>
          </wp:anchor>
        </w:drawing>
      </w:r>
    </w:p>
    <w:p>
      <w:pPr>
        <w:pStyle w:val="Heading4"/>
        <w:spacing w:before="308"/>
        <w:ind w:left="2472"/>
      </w:pPr>
      <w:r>
        <w:rPr>
          <w:color w:val="231F20"/>
        </w:rPr>
        <w:t>Header</w:t>
      </w:r>
      <w:r>
        <w:rPr>
          <w:color w:val="231F20"/>
          <w:spacing w:val="4"/>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338" w:firstLine="10"/>
      </w:pPr>
      <w:r>
        <w:rPr>
          <w:position w:val="-1"/>
        </w:rPr>
        <w:drawing>
          <wp:inline distT="0" distB="0" distL="0" distR="0">
            <wp:extent cx="95250" cy="95250"/>
            <wp:effectExtent l="0" t="0" r="0" b="0"/>
            <wp:docPr id="1090" name="Image 1090"/>
            <wp:cNvGraphicFramePr>
              <a:graphicFrameLocks/>
            </wp:cNvGraphicFramePr>
            <a:graphic>
              <a:graphicData uri="http://schemas.openxmlformats.org/drawingml/2006/picture">
                <pic:pic>
                  <pic:nvPicPr>
                    <pic:cNvPr id="1090" name="Image 1090"/>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2"/>
        </w:rPr>
        <w:t> </w:t>
      </w:r>
      <w:r>
        <w:rPr>
          <w:rFonts w:ascii="Book Antiqua"/>
          <w:b/>
          <w:color w:val="231F20"/>
        </w:rPr>
        <w:t>Style </w:t>
      </w:r>
      <w:r>
        <w:rPr>
          <w:color w:val="231F20"/>
        </w:rPr>
        <w:t>tab to add a title to the view, which shows in the view title bar. You can also</w:t>
      </w:r>
      <w:r>
        <w:rPr>
          <w:color w:val="231F20"/>
          <w:spacing w:val="11"/>
        </w:rPr>
        <w:t> </w:t>
      </w:r>
      <w:r>
        <w:rPr>
          <w:color w:val="231F20"/>
        </w:rPr>
        <w:t>apply</w:t>
      </w:r>
      <w:r>
        <w:rPr>
          <w:color w:val="231F20"/>
          <w:spacing w:val="11"/>
        </w:rPr>
        <w:t> </w:t>
      </w:r>
      <w:r>
        <w:rPr>
          <w:color w:val="231F20"/>
        </w:rPr>
        <w:t>the</w:t>
      </w:r>
      <w:r>
        <w:rPr>
          <w:color w:val="231F20"/>
          <w:spacing w:val="11"/>
        </w:rPr>
        <w:t> </w:t>
      </w:r>
      <w:r>
        <w:rPr>
          <w:color w:val="231F20"/>
        </w:rPr>
        <w:t>title</w:t>
      </w:r>
      <w:r>
        <w:rPr>
          <w:color w:val="231F20"/>
          <w:spacing w:val="11"/>
        </w:rPr>
        <w:t> </w:t>
      </w:r>
      <w:r>
        <w:rPr>
          <w:color w:val="231F20"/>
        </w:rPr>
        <w:t>as</w:t>
      </w:r>
      <w:r>
        <w:rPr>
          <w:color w:val="231F20"/>
          <w:spacing w:val="11"/>
        </w:rPr>
        <w:t> </w:t>
      </w:r>
      <w:r>
        <w:rPr>
          <w:color w:val="231F20"/>
        </w:rPr>
        <w:t>a</w:t>
      </w:r>
      <w:r>
        <w:rPr>
          <w:color w:val="231F20"/>
          <w:spacing w:val="11"/>
        </w:rPr>
        <w:t> </w:t>
      </w:r>
      <w:r>
        <w:rPr>
          <w:color w:val="231F20"/>
        </w:rPr>
        <w:t>view</w:t>
      </w:r>
      <w:r>
        <w:rPr>
          <w:color w:val="231F20"/>
          <w:spacing w:val="11"/>
        </w:rPr>
        <w:t> </w:t>
      </w:r>
      <w:r>
        <w:rPr>
          <w:color w:val="231F20"/>
        </w:rPr>
        <w:t>header,</w:t>
      </w:r>
      <w:r>
        <w:rPr>
          <w:color w:val="231F20"/>
          <w:spacing w:val="11"/>
        </w:rPr>
        <w:t> </w:t>
      </w:r>
      <w:r>
        <w:rPr>
          <w:color w:val="231F20"/>
        </w:rPr>
        <w:t>add</w:t>
      </w:r>
      <w:r>
        <w:rPr>
          <w:color w:val="231F20"/>
          <w:spacing w:val="11"/>
        </w:rPr>
        <w:t> </w:t>
      </w:r>
      <w:r>
        <w:rPr>
          <w:color w:val="231F20"/>
        </w:rPr>
        <w:t>a</w:t>
      </w:r>
      <w:r>
        <w:rPr>
          <w:color w:val="231F20"/>
          <w:spacing w:val="11"/>
        </w:rPr>
        <w:t> </w:t>
      </w:r>
      <w:r>
        <w:rPr>
          <w:color w:val="231F20"/>
        </w:rPr>
        <w:t>border,</w:t>
      </w:r>
      <w:r>
        <w:rPr>
          <w:color w:val="231F20"/>
          <w:spacing w:val="11"/>
        </w:rPr>
        <w:t> </w:t>
      </w:r>
      <w:r>
        <w:rPr>
          <w:color w:val="231F20"/>
        </w:rPr>
        <w:t>and</w:t>
      </w:r>
      <w:r>
        <w:rPr>
          <w:color w:val="231F20"/>
          <w:spacing w:val="11"/>
        </w:rPr>
        <w:t> </w:t>
      </w:r>
      <w:r>
        <w:rPr>
          <w:color w:val="231F20"/>
        </w:rPr>
        <w:t>change</w:t>
      </w:r>
      <w:r>
        <w:rPr>
          <w:color w:val="231F20"/>
          <w:spacing w:val="11"/>
        </w:rPr>
        <w:t> </w:t>
      </w:r>
      <w:r>
        <w:rPr>
          <w:color w:val="231F20"/>
        </w:rPr>
        <w:t>the</w:t>
      </w:r>
      <w:r>
        <w:rPr>
          <w:color w:val="231F20"/>
          <w:spacing w:val="11"/>
        </w:rPr>
        <w:t> </w:t>
      </w:r>
      <w:r>
        <w:rPr>
          <w:color w:val="231F20"/>
        </w:rPr>
        <w:t>text</w:t>
      </w:r>
      <w:r>
        <w:rPr>
          <w:color w:val="231F20"/>
          <w:spacing w:val="11"/>
        </w:rPr>
        <w:t> </w:t>
      </w:r>
      <w:r>
        <w:rPr>
          <w:color w:val="231F20"/>
        </w:rPr>
        <w:t>style.</w:t>
      </w:r>
      <w:r>
        <w:rPr>
          <w:color w:val="231F20"/>
          <w:spacing w:val="11"/>
        </w:rPr>
        <w:t> </w:t>
      </w:r>
      <w:r>
        <w:rPr>
          <w:color w:val="231F20"/>
        </w:rPr>
        <w:t>The</w:t>
      </w:r>
    </w:p>
    <w:p>
      <w:pPr>
        <w:spacing w:after="0" w:line="213" w:lineRule="auto"/>
        <w:sectPr>
          <w:pgSz w:w="12240" w:h="15840"/>
          <w:pgMar w:header="0" w:footer="736" w:top="1180" w:bottom="920" w:left="1000" w:right="1060"/>
        </w:sectPr>
      </w:pPr>
    </w:p>
    <w:p>
      <w:pPr>
        <w:pStyle w:val="BodyText"/>
        <w:spacing w:before="62"/>
        <w:ind w:left="2232"/>
      </w:pPr>
      <w:bookmarkStart w:name="_bookmark82" w:id="181"/>
      <w:bookmarkEnd w:id="181"/>
      <w:r>
        <w:rPr/>
      </w:r>
      <w:r>
        <w:rPr>
          <w:color w:val="231F20"/>
        </w:rPr>
        <w:t>default</w:t>
      </w:r>
      <w:r>
        <w:rPr>
          <w:color w:val="231F20"/>
          <w:spacing w:val="11"/>
        </w:rPr>
        <w:t> </w:t>
      </w:r>
      <w:r>
        <w:rPr>
          <w:color w:val="231F20"/>
        </w:rPr>
        <w:t>name</w:t>
      </w:r>
      <w:r>
        <w:rPr>
          <w:color w:val="231F20"/>
          <w:spacing w:val="12"/>
        </w:rPr>
        <w:t> </w:t>
      </w:r>
      <w:r>
        <w:rPr>
          <w:color w:val="231F20"/>
        </w:rPr>
        <w:t>is</w:t>
      </w:r>
      <w:r>
        <w:rPr>
          <w:color w:val="231F20"/>
          <w:spacing w:val="11"/>
        </w:rPr>
        <w:t> </w:t>
      </w:r>
      <w:r>
        <w:rPr>
          <w:rFonts w:ascii="Book Antiqua" w:hAnsi="Book Antiqua"/>
          <w:b/>
          <w:color w:val="231F20"/>
        </w:rPr>
        <w:t>Pie</w:t>
      </w:r>
      <w:r>
        <w:rPr>
          <w:rFonts w:ascii="Book Antiqua" w:hAnsi="Book Antiqua"/>
          <w:b/>
          <w:color w:val="231F20"/>
          <w:spacing w:val="12"/>
        </w:rPr>
        <w:t> </w:t>
      </w:r>
      <w:r>
        <w:rPr>
          <w:rFonts w:ascii="Book Antiqua" w:hAnsi="Book Antiqua"/>
          <w:b/>
          <w:color w:val="231F20"/>
        </w:rPr>
        <w:t>Chart</w:t>
      </w:r>
      <w:r>
        <w:rPr>
          <w:color w:val="231F20"/>
        </w:rPr>
        <w:t>.</w:t>
      </w:r>
      <w:r>
        <w:rPr>
          <w:color w:val="231F20"/>
          <w:spacing w:val="11"/>
        </w:rPr>
        <w:t> </w:t>
      </w:r>
      <w:r>
        <w:rPr>
          <w:color w:val="231F20"/>
        </w:rPr>
        <w:t>See</w:t>
      </w:r>
      <w:r>
        <w:rPr>
          <w:color w:val="231F20"/>
          <w:spacing w:val="12"/>
        </w:rPr>
        <w:t> </w:t>
      </w:r>
      <w:hyperlink w:history="true" w:anchor="_bookmark86">
        <w:r>
          <w:rPr>
            <w:color w:val="231F20"/>
          </w:rPr>
          <w:t>“Header</w:t>
        </w:r>
        <w:r>
          <w:rPr>
            <w:color w:val="231F20"/>
            <w:spacing w:val="12"/>
          </w:rPr>
          <w:t> </w:t>
        </w:r>
        <w:r>
          <w:rPr>
            <w:color w:val="231F20"/>
          </w:rPr>
          <w:t>Label”</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4"/>
          </w:rPr>
          <w:t>115.</w:t>
        </w:r>
      </w:hyperlink>
    </w:p>
    <w:p>
      <w:pPr>
        <w:pStyle w:val="Heading4"/>
        <w:spacing w:before="193"/>
      </w:pPr>
      <w:r>
        <w:rPr>
          <w:color w:val="231F20"/>
        </w:rPr>
        <w:t>Plot</w:t>
      </w:r>
      <w:r>
        <w:rPr>
          <w:color w:val="231F20"/>
          <w:spacing w:val="-1"/>
        </w:rPr>
        <w:t> </w:t>
      </w:r>
      <w:r>
        <w:rPr>
          <w:color w:val="231F20"/>
          <w:spacing w:val="-4"/>
        </w:rPr>
        <w:t>Area</w:t>
      </w:r>
    </w:p>
    <w:p>
      <w:pPr>
        <w:pStyle w:val="BodyText"/>
        <w:spacing w:line="213" w:lineRule="auto" w:before="242"/>
        <w:ind w:left="2232"/>
      </w:pPr>
      <w:r>
        <w:rPr>
          <w:color w:val="231F20"/>
        </w:rPr>
        <w:t>Click the bars in the thumbnail graphic to open the plot area tabs: Bar Chart, Chart</w:t>
      </w:r>
      <w:r>
        <w:rPr>
          <w:color w:val="231F20"/>
          <w:spacing w:val="40"/>
        </w:rPr>
        <w:t> </w:t>
      </w:r>
      <w:r>
        <w:rPr>
          <w:color w:val="231F20"/>
        </w:rPr>
        <w:t>Thresholds, and Chart Markers. See </w:t>
      </w:r>
      <w:hyperlink w:history="true" w:anchor="_bookmark86">
        <w:r>
          <w:rPr>
            <w:color w:val="231F20"/>
          </w:rPr>
          <w:t>“Plot Area” on page 115.</w:t>
        </w:r>
      </w:hyperlink>
    </w:p>
    <w:p>
      <w:pPr>
        <w:pStyle w:val="Heading4"/>
      </w:pPr>
      <w:r>
        <w:rPr>
          <w:color w:val="231F20"/>
        </w:rPr>
        <w:t>Legend</w:t>
      </w:r>
      <w:r>
        <w:rPr>
          <w:color w:val="231F20"/>
          <w:spacing w:val="4"/>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493" w:firstLine="10"/>
      </w:pPr>
      <w:r>
        <w:rPr>
          <w:position w:val="-1"/>
        </w:rPr>
        <w:drawing>
          <wp:inline distT="0" distB="0" distL="0" distR="0">
            <wp:extent cx="95250" cy="95250"/>
            <wp:effectExtent l="0" t="0" r="0" b="0"/>
            <wp:docPr id="1091" name="Image 1091"/>
            <wp:cNvGraphicFramePr>
              <a:graphicFrameLocks/>
            </wp:cNvGraphicFramePr>
            <a:graphic>
              <a:graphicData uri="http://schemas.openxmlformats.org/drawingml/2006/picture">
                <pic:pic>
                  <pic:nvPicPr>
                    <pic:cNvPr id="1091" name="Image 1091"/>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control the display of the chart legend and its appearance, </w:t>
      </w:r>
      <w:r>
        <w:rPr>
          <w:color w:val="231F20"/>
        </w:rPr>
        <w:t>including the</w:t>
      </w:r>
      <w:r>
        <w:rPr>
          <w:color w:val="231F20"/>
          <w:spacing w:val="26"/>
        </w:rPr>
        <w:t> </w:t>
      </w:r>
      <w:r>
        <w:rPr>
          <w:color w:val="231F20"/>
        </w:rPr>
        <w:t>coloring</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data</w:t>
      </w:r>
      <w:r>
        <w:rPr>
          <w:color w:val="231F20"/>
          <w:spacing w:val="26"/>
        </w:rPr>
        <w:t> </w:t>
      </w:r>
      <w:r>
        <w:rPr>
          <w:color w:val="231F20"/>
        </w:rPr>
        <w:t>series:</w:t>
      </w:r>
      <w:r>
        <w:rPr>
          <w:color w:val="231F20"/>
          <w:spacing w:val="26"/>
        </w:rPr>
        <w:t> </w:t>
      </w:r>
      <w:r>
        <w:rPr>
          <w:color w:val="231F20"/>
        </w:rPr>
        <w:t>pie</w:t>
      </w:r>
      <w:r>
        <w:rPr>
          <w:color w:val="231F20"/>
          <w:spacing w:val="26"/>
        </w:rPr>
        <w:t> </w:t>
      </w:r>
      <w:r>
        <w:rPr>
          <w:color w:val="231F20"/>
        </w:rPr>
        <w:t>slices,</w:t>
      </w:r>
      <w:r>
        <w:rPr>
          <w:color w:val="231F20"/>
          <w:spacing w:val="26"/>
        </w:rPr>
        <w:t> </w:t>
      </w:r>
      <w:r>
        <w:rPr>
          <w:color w:val="231F20"/>
        </w:rPr>
        <w:t>bars,</w:t>
      </w:r>
      <w:r>
        <w:rPr>
          <w:color w:val="231F20"/>
          <w:spacing w:val="26"/>
        </w:rPr>
        <w:t> </w:t>
      </w:r>
      <w:r>
        <w:rPr>
          <w:color w:val="231F20"/>
        </w:rPr>
        <w:t>plot</w:t>
      </w:r>
      <w:r>
        <w:rPr>
          <w:color w:val="231F20"/>
          <w:spacing w:val="26"/>
        </w:rPr>
        <w:t> </w:t>
      </w:r>
      <w:r>
        <w:rPr>
          <w:color w:val="231F20"/>
        </w:rPr>
        <w:t>lines,</w:t>
      </w:r>
      <w:r>
        <w:rPr>
          <w:color w:val="231F20"/>
          <w:spacing w:val="26"/>
        </w:rPr>
        <w:t> </w:t>
      </w:r>
      <w:r>
        <w:rPr>
          <w:color w:val="231F20"/>
        </w:rPr>
        <w:t>and</w:t>
      </w:r>
      <w:r>
        <w:rPr>
          <w:color w:val="231F20"/>
          <w:spacing w:val="26"/>
        </w:rPr>
        <w:t> </w:t>
      </w:r>
      <w:r>
        <w:rPr>
          <w:color w:val="231F20"/>
        </w:rPr>
        <w:t>plot</w:t>
      </w:r>
      <w:r>
        <w:rPr>
          <w:color w:val="231F20"/>
          <w:spacing w:val="26"/>
        </w:rPr>
        <w:t> </w:t>
      </w:r>
      <w:r>
        <w:rPr>
          <w:color w:val="231F20"/>
        </w:rPr>
        <w:t>areas.</w:t>
      </w:r>
      <w:r>
        <w:rPr>
          <w:color w:val="231F20"/>
          <w:spacing w:val="26"/>
        </w:rPr>
        <w:t> </w:t>
      </w:r>
      <w:r>
        <w:rPr>
          <w:color w:val="231F20"/>
        </w:rPr>
        <w:t>See </w:t>
      </w:r>
      <w:hyperlink w:history="true" w:anchor="_bookmark92">
        <w:r>
          <w:rPr>
            <w:color w:val="231F20"/>
          </w:rPr>
          <w:t>“Legend Label” on page 121.</w:t>
        </w:r>
      </w:hyperlink>
    </w:p>
    <w:p>
      <w:pPr>
        <w:pStyle w:val="Heading4"/>
        <w:spacing w:before="199"/>
      </w:pPr>
      <w:r>
        <w:rPr>
          <w:color w:val="231F20"/>
        </w:rPr>
        <w:t>Value and</w:t>
      </w:r>
      <w:r>
        <w:rPr>
          <w:color w:val="231F20"/>
          <w:spacing w:val="1"/>
        </w:rPr>
        <w:t> </w:t>
      </w:r>
      <w:r>
        <w:rPr>
          <w:color w:val="231F20"/>
        </w:rPr>
        <w:t>Category</w:t>
      </w:r>
      <w:r>
        <w:rPr>
          <w:color w:val="231F20"/>
          <w:spacing w:val="-7"/>
        </w:rPr>
        <w:t> </w:t>
      </w:r>
      <w:r>
        <w:rPr>
          <w:color w:val="231F20"/>
          <w:spacing w:val="-4"/>
        </w:rPr>
        <w:t>Axes</w:t>
      </w:r>
    </w:p>
    <w:p>
      <w:pPr>
        <w:pStyle w:val="BodyText"/>
        <w:spacing w:line="213" w:lineRule="auto" w:before="241"/>
        <w:ind w:left="2232" w:right="385"/>
      </w:pPr>
      <w:r>
        <w:rPr>
          <w:color w:val="231F20"/>
        </w:rPr>
        <w:t>Edit the axis style properties to switch between vertical and horizontal orientation, and</w:t>
      </w:r>
      <w:r>
        <w:rPr>
          <w:color w:val="231F20"/>
          <w:spacing w:val="10"/>
        </w:rPr>
        <w:t> </w:t>
      </w:r>
      <w:r>
        <w:rPr>
          <w:color w:val="231F20"/>
        </w:rPr>
        <w:t>to</w:t>
      </w:r>
      <w:r>
        <w:rPr>
          <w:color w:val="231F20"/>
          <w:spacing w:val="10"/>
        </w:rPr>
        <w:t> </w:t>
      </w:r>
      <w:r>
        <w:rPr>
          <w:color w:val="231F20"/>
        </w:rPr>
        <w:t>add</w:t>
      </w:r>
      <w:r>
        <w:rPr>
          <w:color w:val="231F20"/>
          <w:spacing w:val="10"/>
        </w:rPr>
        <w:t> </w:t>
      </w:r>
      <w:r>
        <w:rPr>
          <w:color w:val="231F20"/>
        </w:rPr>
        <w:t>labels</w:t>
      </w:r>
      <w:r>
        <w:rPr>
          <w:color w:val="231F20"/>
          <w:spacing w:val="10"/>
        </w:rPr>
        <w:t> </w:t>
      </w:r>
      <w:r>
        <w:rPr>
          <w:color w:val="231F20"/>
        </w:rPr>
        <w:t>and</w:t>
      </w:r>
      <w:r>
        <w:rPr>
          <w:color w:val="231F20"/>
          <w:spacing w:val="10"/>
        </w:rPr>
        <w:t> </w:t>
      </w:r>
      <w:r>
        <w:rPr>
          <w:color w:val="231F20"/>
        </w:rPr>
        <w:t>styling</w:t>
      </w:r>
      <w:r>
        <w:rPr>
          <w:color w:val="231F20"/>
          <w:spacing w:val="10"/>
        </w:rPr>
        <w:t> </w:t>
      </w:r>
      <w:r>
        <w:rPr>
          <w:color w:val="231F20"/>
        </w:rPr>
        <w:t>options.</w:t>
      </w:r>
      <w:r>
        <w:rPr>
          <w:color w:val="231F20"/>
          <w:spacing w:val="10"/>
        </w:rPr>
        <w:t> </w:t>
      </w:r>
      <w:r>
        <w:rPr>
          <w:color w:val="231F20"/>
        </w:rPr>
        <w:t>See</w:t>
      </w:r>
      <w:r>
        <w:rPr>
          <w:color w:val="231F20"/>
          <w:spacing w:val="10"/>
        </w:rPr>
        <w:t> </w:t>
      </w:r>
      <w:hyperlink w:history="true" w:anchor="_bookmark93">
        <w:r>
          <w:rPr>
            <w:color w:val="231F20"/>
          </w:rPr>
          <w:t>“Value</w:t>
        </w:r>
        <w:r>
          <w:rPr>
            <w:color w:val="231F20"/>
            <w:spacing w:val="11"/>
          </w:rPr>
          <w:t> </w:t>
        </w:r>
        <w:r>
          <w:rPr>
            <w:color w:val="231F20"/>
          </w:rPr>
          <w:t>and</w:t>
        </w:r>
        <w:r>
          <w:rPr>
            <w:color w:val="231F20"/>
            <w:spacing w:val="10"/>
          </w:rPr>
          <w:t> </w:t>
        </w:r>
        <w:r>
          <w:rPr>
            <w:color w:val="231F20"/>
          </w:rPr>
          <w:t>Category</w:t>
        </w:r>
        <w:r>
          <w:rPr>
            <w:color w:val="231F20"/>
            <w:spacing w:val="3"/>
          </w:rPr>
          <w:t> </w:t>
        </w:r>
        <w:r>
          <w:rPr>
            <w:color w:val="231F20"/>
          </w:rPr>
          <w:t>Axes”</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4"/>
          </w:rPr>
          <w:t>123.</w:t>
        </w:r>
      </w:hyperlink>
    </w:p>
    <w:p>
      <w:pPr>
        <w:pStyle w:val="Heading4"/>
      </w:pPr>
      <w:r>
        <w:rPr>
          <w:color w:val="231F20"/>
        </w:rPr>
        <w:t>Footer</w:t>
      </w:r>
      <w:r>
        <w:rPr>
          <w:color w:val="231F20"/>
          <w:spacing w:val="5"/>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636" w:firstLine="10"/>
      </w:pPr>
      <w:r>
        <w:rPr>
          <w:position w:val="-1"/>
        </w:rPr>
        <w:drawing>
          <wp:inline distT="0" distB="0" distL="0" distR="0">
            <wp:extent cx="95250" cy="95250"/>
            <wp:effectExtent l="0" t="0" r="0" b="0"/>
            <wp:docPr id="1092" name="Image 1092"/>
            <wp:cNvGraphicFramePr>
              <a:graphicFrameLocks/>
            </wp:cNvGraphicFramePr>
            <a:graphic>
              <a:graphicData uri="http://schemas.openxmlformats.org/drawingml/2006/picture">
                <pic:pic>
                  <pic:nvPicPr>
                    <pic:cNvPr id="1092" name="Image 1092"/>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page</w:t>
        </w:r>
      </w:hyperlink>
      <w:r>
        <w:rPr>
          <w:color w:val="231F20"/>
          <w:spacing w:val="40"/>
        </w:rPr>
        <w:t> </w:t>
      </w:r>
      <w:hyperlink w:history="true" w:anchor="_bookmark95">
        <w:r>
          <w:rPr>
            <w:color w:val="231F20"/>
            <w:spacing w:val="-4"/>
          </w:rPr>
          <w:t>124.</w:t>
        </w:r>
      </w:hyperlink>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8"/>
        <w:ind w:left="223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093" name="Image 1093"/>
            <wp:cNvGraphicFramePr>
              <a:graphicFrameLocks/>
            </wp:cNvGraphicFramePr>
            <a:graphic>
              <a:graphicData uri="http://schemas.openxmlformats.org/drawingml/2006/picture">
                <pic:pic>
                  <pic:nvPicPr>
                    <pic:cNvPr id="1093" name="Image 1093"/>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094" name="Image 1094"/>
            <wp:cNvGraphicFramePr>
              <a:graphicFrameLocks/>
            </wp:cNvGraphicFramePr>
            <a:graphic>
              <a:graphicData uri="http://schemas.openxmlformats.org/drawingml/2006/picture">
                <pic:pic>
                  <pic:nvPicPr>
                    <pic:cNvPr id="1094" name="Image 1094"/>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095" name="Image 1095"/>
            <wp:cNvGraphicFramePr>
              <a:graphicFrameLocks/>
            </wp:cNvGraphicFramePr>
            <a:graphic>
              <a:graphicData uri="http://schemas.openxmlformats.org/drawingml/2006/picture">
                <pic:pic>
                  <pic:nvPicPr>
                    <pic:cNvPr id="1095" name="Image 1095"/>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096" name="Image 1096"/>
            <wp:cNvGraphicFramePr>
              <a:graphicFrameLocks/>
            </wp:cNvGraphicFramePr>
            <a:graphic>
              <a:graphicData uri="http://schemas.openxmlformats.org/drawingml/2006/picture">
                <pic:pic>
                  <pic:nvPicPr>
                    <pic:cNvPr id="1096" name="Image 1096"/>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097" name="Image 1097"/>
            <wp:cNvGraphicFramePr>
              <a:graphicFrameLocks/>
            </wp:cNvGraphicFramePr>
            <a:graphic>
              <a:graphicData uri="http://schemas.openxmlformats.org/drawingml/2006/picture">
                <pic:pic>
                  <pic:nvPicPr>
                    <pic:cNvPr id="1097" name="Image 1097"/>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098" name="Image 1098"/>
            <wp:cNvGraphicFramePr>
              <a:graphicFrameLocks/>
            </wp:cNvGraphicFramePr>
            <a:graphic>
              <a:graphicData uri="http://schemas.openxmlformats.org/drawingml/2006/picture">
                <pic:pic>
                  <pic:nvPicPr>
                    <pic:cNvPr id="1098" name="Image 1098"/>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BodyText"/>
        <w:spacing w:line="255" w:lineRule="exact" w:before="35"/>
        <w:ind w:left="2232"/>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7"/>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BodyText"/>
        <w:spacing w:line="255" w:lineRule="exact" w:before="35"/>
        <w:ind w:left="2232"/>
        <w:jc w:val="both"/>
      </w:pPr>
      <w:hyperlink w:history="true" w:anchor="_bookmark95">
        <w:r>
          <w:rPr>
            <w:color w:val="231F20"/>
          </w:rPr>
          <w:t>“Adding</w:t>
        </w:r>
        <w:r>
          <w:rPr>
            <w:color w:val="231F20"/>
            <w:spacing w:val="10"/>
          </w:rPr>
          <w:t> </w:t>
        </w:r>
        <w:r>
          <w:rPr>
            <w:color w:val="231F20"/>
          </w:rPr>
          <w:t>monitored</w:t>
        </w:r>
        <w:r>
          <w:rPr>
            <w:color w:val="231F20"/>
            <w:spacing w:val="11"/>
          </w:rPr>
          <w:t> </w:t>
        </w:r>
        <w:r>
          <w:rPr>
            <w:color w:val="231F20"/>
          </w:rPr>
          <w:t>baselines</w:t>
        </w:r>
        <w:r>
          <w:rPr>
            <w:color w:val="231F20"/>
            <w:spacing w:val="10"/>
          </w:rPr>
          <w:t> </w:t>
        </w:r>
        <w:r>
          <w:rPr>
            <w:color w:val="231F20"/>
          </w:rPr>
          <w:t>to</w:t>
        </w:r>
        <w:r>
          <w:rPr>
            <w:color w:val="231F20"/>
            <w:spacing w:val="11"/>
          </w:rPr>
          <w:t> </w:t>
        </w:r>
        <w:r>
          <w:rPr>
            <w:color w:val="231F20"/>
          </w:rPr>
          <w:t>a</w:t>
        </w:r>
        <w:r>
          <w:rPr>
            <w:color w:val="231F20"/>
            <w:spacing w:val="10"/>
          </w:rPr>
          <w:t> </w:t>
        </w:r>
        <w:r>
          <w:rPr>
            <w:color w:val="231F20"/>
          </w:rPr>
          <w:t>chart”</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124</w:t>
        </w:r>
      </w:hyperlink>
    </w:p>
    <w:p>
      <w:pPr>
        <w:pStyle w:val="BodyText"/>
        <w:spacing w:line="213" w:lineRule="auto" w:before="8"/>
        <w:ind w:left="2232" w:right="636"/>
      </w:pPr>
      <w:r>
        <w:rPr>
          <w:color w:val="231F20"/>
        </w:rPr>
        <w:t>Apply a monitored baseline of a situation's threshold criteria to a bar chart, plot chart, or area chart to see how effective the situation is in this environment. You can visually compare the current values in the chart with the situation and adjust </w:t>
      </w:r>
      <w:bookmarkStart w:name="Plot chart" w:id="182"/>
      <w:bookmarkEnd w:id="182"/>
      <w:r>
        <w:rPr>
          <w:color w:val="231F20"/>
        </w:rPr>
        <w:t>the</w:t>
      </w:r>
      <w:r>
        <w:rPr>
          <w:color w:val="231F20"/>
        </w:rPr>
        <w:t> thresholds as needed.</w:t>
      </w:r>
    </w:p>
    <w:p>
      <w:pPr>
        <w:pStyle w:val="Heading3"/>
        <w:spacing w:before="216"/>
        <w:ind w:left="1334"/>
      </w:pPr>
      <w:r>
        <w:rPr>
          <w:color w:val="231F20"/>
        </w:rPr>
        <w:t>Plot</w:t>
      </w:r>
      <w:r>
        <w:rPr>
          <w:color w:val="231F20"/>
          <w:spacing w:val="9"/>
        </w:rPr>
        <w:t> </w:t>
      </w:r>
      <w:r>
        <w:rPr>
          <w:color w:val="231F20"/>
          <w:spacing w:val="-2"/>
        </w:rPr>
        <w:t>chart</w:t>
      </w:r>
    </w:p>
    <w:p>
      <w:pPr>
        <w:pStyle w:val="BodyText"/>
        <w:spacing w:line="213" w:lineRule="auto" w:before="58"/>
        <w:ind w:left="2232" w:right="763"/>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BodyText"/>
        <w:spacing w:line="213" w:lineRule="auto" w:before="238"/>
        <w:ind w:left="2232" w:right="544"/>
      </w:pPr>
      <w:r>
        <w:rPr>
          <w:color w:val="231F20"/>
        </w:rPr>
        <w:t>A plot chart shows changes over a period of time by drawing a continuous line</w:t>
      </w:r>
      <w:r>
        <w:rPr>
          <w:color w:val="231F20"/>
          <w:spacing w:val="80"/>
        </w:rPr>
        <w:t> </w:t>
      </w:r>
      <w:r>
        <w:rPr>
          <w:color w:val="231F20"/>
        </w:rPr>
        <w:t>from</w:t>
      </w:r>
      <w:r>
        <w:rPr>
          <w:color w:val="231F20"/>
          <w:spacing w:val="25"/>
        </w:rPr>
        <w:t> </w:t>
      </w:r>
      <w:r>
        <w:rPr>
          <w:color w:val="231F20"/>
        </w:rPr>
        <w:t>one</w:t>
      </w:r>
      <w:r>
        <w:rPr>
          <w:color w:val="231F20"/>
          <w:spacing w:val="25"/>
        </w:rPr>
        <w:t> </w:t>
      </w:r>
      <w:r>
        <w:rPr>
          <w:color w:val="231F20"/>
        </w:rPr>
        <w:t>data</w:t>
      </w:r>
      <w:r>
        <w:rPr>
          <w:color w:val="231F20"/>
          <w:spacing w:val="25"/>
        </w:rPr>
        <w:t> </w:t>
      </w:r>
      <w:r>
        <w:rPr>
          <w:color w:val="231F20"/>
        </w:rPr>
        <w:t>point</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next,</w:t>
      </w:r>
      <w:r>
        <w:rPr>
          <w:color w:val="231F20"/>
          <w:spacing w:val="25"/>
        </w:rPr>
        <w:t> </w:t>
      </w:r>
      <w:r>
        <w:rPr>
          <w:color w:val="231F20"/>
        </w:rPr>
        <w:t>one</w:t>
      </w:r>
      <w:r>
        <w:rPr>
          <w:color w:val="231F20"/>
          <w:spacing w:val="25"/>
        </w:rPr>
        <w:t> </w:t>
      </w:r>
      <w:r>
        <w:rPr>
          <w:color w:val="231F20"/>
        </w:rPr>
        <w:t>data</w:t>
      </w:r>
      <w:r>
        <w:rPr>
          <w:color w:val="231F20"/>
          <w:spacing w:val="25"/>
        </w:rPr>
        <w:t> </w:t>
      </w:r>
      <w:r>
        <w:rPr>
          <w:color w:val="231F20"/>
        </w:rPr>
        <w:t>point</w:t>
      </w:r>
      <w:r>
        <w:rPr>
          <w:color w:val="231F20"/>
          <w:spacing w:val="25"/>
        </w:rPr>
        <w:t> </w:t>
      </w:r>
      <w:r>
        <w:rPr>
          <w:color w:val="231F20"/>
        </w:rPr>
        <w:t>for</w:t>
      </w:r>
      <w:r>
        <w:rPr>
          <w:color w:val="231F20"/>
          <w:spacing w:val="25"/>
        </w:rPr>
        <w:t> </w:t>
      </w:r>
      <w:r>
        <w:rPr>
          <w:color w:val="231F20"/>
        </w:rPr>
        <w:t>each</w:t>
      </w:r>
      <w:r>
        <w:rPr>
          <w:color w:val="231F20"/>
          <w:spacing w:val="25"/>
        </w:rPr>
        <w:t> </w:t>
      </w:r>
      <w:r>
        <w:rPr>
          <w:color w:val="231F20"/>
        </w:rPr>
        <w:t>data</w:t>
      </w:r>
      <w:r>
        <w:rPr>
          <w:color w:val="231F20"/>
          <w:spacing w:val="25"/>
        </w:rPr>
        <w:t> </w:t>
      </w:r>
      <w:r>
        <w:rPr>
          <w:color w:val="231F20"/>
        </w:rPr>
        <w:t>sampling</w:t>
      </w:r>
      <w:r>
        <w:rPr>
          <w:color w:val="231F20"/>
          <w:spacing w:val="25"/>
        </w:rPr>
        <w:t> </w:t>
      </w:r>
      <w:r>
        <w:rPr>
          <w:color w:val="231F20"/>
        </w:rPr>
        <w:t>and</w:t>
      </w:r>
      <w:r>
        <w:rPr>
          <w:color w:val="231F20"/>
          <w:spacing w:val="25"/>
        </w:rPr>
        <w:t> </w:t>
      </w:r>
      <w:r>
        <w:rPr>
          <w:color w:val="231F20"/>
        </w:rPr>
        <w:t>one line for each attribute selected. This type of chart is useful for showing trends over time and among related attributes.</w:t>
      </w:r>
    </w:p>
    <w:p>
      <w:pPr>
        <w:pStyle w:val="BodyText"/>
        <w:spacing w:line="213" w:lineRule="auto" w:before="236"/>
        <w:ind w:left="2232" w:right="379"/>
      </w:pPr>
      <w:r>
        <w:rPr>
          <w:color w:val="231F20"/>
        </w:rPr>
        <w:t>Each time you open the workspace or edit its properties, the plot chart starts anew. The</w:t>
      </w:r>
      <w:r>
        <w:rPr>
          <w:color w:val="231F20"/>
          <w:spacing w:val="25"/>
        </w:rPr>
        <w:t> </w:t>
      </w:r>
      <w:r>
        <w:rPr>
          <w:color w:val="231F20"/>
        </w:rPr>
        <w:t>first</w:t>
      </w:r>
      <w:r>
        <w:rPr>
          <w:color w:val="231F20"/>
          <w:spacing w:val="25"/>
        </w:rPr>
        <w:t> </w:t>
      </w:r>
      <w:r>
        <w:rPr>
          <w:color w:val="231F20"/>
        </w:rPr>
        <w:t>set</w:t>
      </w:r>
      <w:r>
        <w:rPr>
          <w:color w:val="231F20"/>
          <w:spacing w:val="25"/>
        </w:rPr>
        <w:t> </w:t>
      </w:r>
      <w:r>
        <w:rPr>
          <w:color w:val="231F20"/>
        </w:rPr>
        <w:t>of</w:t>
      </w:r>
      <w:r>
        <w:rPr>
          <w:color w:val="231F20"/>
          <w:spacing w:val="25"/>
        </w:rPr>
        <w:t> </w:t>
      </w:r>
      <w:r>
        <w:rPr>
          <w:color w:val="231F20"/>
        </w:rPr>
        <w:t>data</w:t>
      </w:r>
      <w:r>
        <w:rPr>
          <w:color w:val="231F20"/>
          <w:spacing w:val="25"/>
        </w:rPr>
        <w:t> </w:t>
      </w:r>
      <w:r>
        <w:rPr>
          <w:color w:val="231F20"/>
        </w:rPr>
        <w:t>points</w:t>
      </w:r>
      <w:r>
        <w:rPr>
          <w:color w:val="231F20"/>
          <w:spacing w:val="25"/>
        </w:rPr>
        <w:t> </w:t>
      </w:r>
      <w:r>
        <w:rPr>
          <w:color w:val="231F20"/>
        </w:rPr>
        <w:t>is</w:t>
      </w:r>
      <w:r>
        <w:rPr>
          <w:color w:val="231F20"/>
          <w:spacing w:val="25"/>
        </w:rPr>
        <w:t> </w:t>
      </w:r>
      <w:r>
        <w:rPr>
          <w:color w:val="231F20"/>
        </w:rPr>
        <w:t>plotted,</w:t>
      </w:r>
      <w:r>
        <w:rPr>
          <w:color w:val="231F20"/>
          <w:spacing w:val="25"/>
        </w:rPr>
        <w:t> </w:t>
      </w:r>
      <w:r>
        <w:rPr>
          <w:color w:val="231F20"/>
        </w:rPr>
        <w:t>the</w:t>
      </w:r>
      <w:r>
        <w:rPr>
          <w:color w:val="231F20"/>
          <w:spacing w:val="25"/>
        </w:rPr>
        <w:t> </w:t>
      </w:r>
      <w:r>
        <w:rPr>
          <w:color w:val="231F20"/>
        </w:rPr>
        <w:t>next</w:t>
      </w:r>
      <w:r>
        <w:rPr>
          <w:color w:val="231F20"/>
          <w:spacing w:val="25"/>
        </w:rPr>
        <w:t> </w:t>
      </w:r>
      <w:r>
        <w:rPr>
          <w:color w:val="231F20"/>
        </w:rPr>
        <w:t>set</w:t>
      </w:r>
      <w:r>
        <w:rPr>
          <w:color w:val="231F20"/>
          <w:spacing w:val="25"/>
        </w:rPr>
        <w:t> </w:t>
      </w:r>
      <w:r>
        <w:rPr>
          <w:color w:val="231F20"/>
        </w:rPr>
        <w:t>is</w:t>
      </w:r>
      <w:r>
        <w:rPr>
          <w:color w:val="231F20"/>
          <w:spacing w:val="25"/>
        </w:rPr>
        <w:t> </w:t>
      </w:r>
      <w:r>
        <w:rPr>
          <w:color w:val="231F20"/>
        </w:rPr>
        <w:t>plotted</w:t>
      </w:r>
      <w:r>
        <w:rPr>
          <w:color w:val="231F20"/>
          <w:spacing w:val="25"/>
        </w:rPr>
        <w:t> </w:t>
      </w:r>
      <w:r>
        <w:rPr>
          <w:color w:val="231F20"/>
        </w:rPr>
        <w:t>after</w:t>
      </w:r>
      <w:r>
        <w:rPr>
          <w:color w:val="231F20"/>
          <w:spacing w:val="25"/>
        </w:rPr>
        <w:t> </w:t>
      </w:r>
      <w:r>
        <w:rPr>
          <w:color w:val="231F20"/>
        </w:rPr>
        <w:t>the</w:t>
      </w:r>
      <w:r>
        <w:rPr>
          <w:color w:val="231F20"/>
          <w:spacing w:val="25"/>
        </w:rPr>
        <w:t> </w:t>
      </w:r>
      <w:r>
        <w:rPr>
          <w:color w:val="231F20"/>
        </w:rPr>
        <w:t>refresh interval, and a line is drawn from each previous plot point to the current one. If</w:t>
      </w:r>
      <w:r>
        <w:rPr>
          <w:color w:val="231F20"/>
          <w:spacing w:val="40"/>
        </w:rPr>
        <w:t> </w:t>
      </w:r>
      <w:r>
        <w:rPr>
          <w:color w:val="231F20"/>
        </w:rPr>
        <w:t>historical</w:t>
      </w:r>
      <w:r>
        <w:rPr>
          <w:color w:val="231F20"/>
          <w:spacing w:val="18"/>
        </w:rPr>
        <w:t> </w:t>
      </w:r>
      <w:r>
        <w:rPr>
          <w:color w:val="231F20"/>
        </w:rPr>
        <w:t>data</w:t>
      </w:r>
      <w:r>
        <w:rPr>
          <w:color w:val="231F20"/>
          <w:spacing w:val="18"/>
        </w:rPr>
        <w:t> </w:t>
      </w:r>
      <w:r>
        <w:rPr>
          <w:color w:val="231F20"/>
        </w:rPr>
        <w:t>is</w:t>
      </w:r>
      <w:r>
        <w:rPr>
          <w:color w:val="231F20"/>
          <w:spacing w:val="18"/>
        </w:rPr>
        <w:t> </w:t>
      </w:r>
      <w:r>
        <w:rPr>
          <w:color w:val="231F20"/>
        </w:rPr>
        <w:t>being</w:t>
      </w:r>
      <w:r>
        <w:rPr>
          <w:color w:val="231F20"/>
          <w:spacing w:val="18"/>
        </w:rPr>
        <w:t> </w:t>
      </w:r>
      <w:r>
        <w:rPr>
          <w:color w:val="231F20"/>
        </w:rPr>
        <w:t>collected</w:t>
      </w:r>
      <w:r>
        <w:rPr>
          <w:color w:val="231F20"/>
          <w:spacing w:val="18"/>
        </w:rPr>
        <w:t> </w:t>
      </w:r>
      <w:r>
        <w:rPr>
          <w:color w:val="231F20"/>
        </w:rPr>
        <w:t>and</w:t>
      </w:r>
      <w:r>
        <w:rPr>
          <w:color w:val="231F20"/>
          <w:spacing w:val="18"/>
        </w:rPr>
        <w:t> </w:t>
      </w:r>
      <w:r>
        <w:rPr>
          <w:color w:val="231F20"/>
        </w:rPr>
        <w:t>a</w:t>
      </w:r>
      <w:r>
        <w:rPr>
          <w:color w:val="231F20"/>
          <w:spacing w:val="18"/>
        </w:rPr>
        <w:t> </w:t>
      </w:r>
      <w:r>
        <w:rPr>
          <w:color w:val="231F20"/>
        </w:rPr>
        <w:t>time</w:t>
      </w:r>
      <w:r>
        <w:rPr>
          <w:color w:val="231F20"/>
          <w:spacing w:val="18"/>
        </w:rPr>
        <w:t> </w:t>
      </w:r>
      <w:r>
        <w:rPr>
          <w:color w:val="231F20"/>
        </w:rPr>
        <w:t>span</w:t>
      </w:r>
      <w:r>
        <w:rPr>
          <w:color w:val="231F20"/>
          <w:spacing w:val="18"/>
        </w:rPr>
        <w:t> </w:t>
      </w:r>
      <w:r>
        <w:rPr>
          <w:color w:val="231F20"/>
        </w:rPr>
        <w:t>has</w:t>
      </w:r>
      <w:r>
        <w:rPr>
          <w:color w:val="231F20"/>
          <w:spacing w:val="18"/>
        </w:rPr>
        <w:t> </w:t>
      </w:r>
      <w:r>
        <w:rPr>
          <w:color w:val="231F20"/>
        </w:rPr>
        <w:t>been</w:t>
      </w:r>
      <w:r>
        <w:rPr>
          <w:color w:val="231F20"/>
          <w:spacing w:val="18"/>
        </w:rPr>
        <w:t> </w:t>
      </w:r>
      <w:r>
        <w:rPr>
          <w:color w:val="231F20"/>
        </w:rPr>
        <w:t>specified,</w:t>
      </w:r>
      <w:r>
        <w:rPr>
          <w:color w:val="231F20"/>
          <w:spacing w:val="18"/>
        </w:rPr>
        <w:t> </w:t>
      </w:r>
      <w:r>
        <w:rPr>
          <w:color w:val="231F20"/>
        </w:rPr>
        <w:t>the</w:t>
      </w:r>
      <w:r>
        <w:rPr>
          <w:color w:val="231F20"/>
          <w:spacing w:val="18"/>
        </w:rPr>
        <w:t> </w:t>
      </w:r>
      <w:r>
        <w:rPr>
          <w:color w:val="231F20"/>
        </w:rPr>
        <w:t>plot</w:t>
      </w:r>
      <w:r>
        <w:rPr>
          <w:color w:val="231F20"/>
          <w:spacing w:val="18"/>
        </w:rPr>
        <w:t> </w:t>
      </w:r>
      <w:r>
        <w:rPr>
          <w:color w:val="231F20"/>
        </w:rPr>
        <w:t>chart</w:t>
      </w:r>
    </w:p>
    <w:p>
      <w:pPr>
        <w:spacing w:after="0" w:line="213" w:lineRule="auto"/>
        <w:sectPr>
          <w:pgSz w:w="12240" w:h="15840"/>
          <w:pgMar w:header="0" w:footer="736" w:top="1180" w:bottom="920" w:left="1000" w:right="1060"/>
        </w:sectPr>
      </w:pPr>
    </w:p>
    <w:p>
      <w:pPr>
        <w:pStyle w:val="BodyText"/>
        <w:spacing w:line="213" w:lineRule="auto" w:before="85"/>
        <w:ind w:left="2472" w:right="545"/>
      </w:pPr>
      <w:r>
        <w:rPr>
          <w:color w:val="231F20"/>
        </w:rPr>
        <w:t>is populated with the historical data (unless data collection was started only recently and historical data has not been gathered yet for the period </w:t>
      </w:r>
      <w:r>
        <w:rPr>
          <w:color w:val="231F20"/>
        </w:rPr>
        <w:t>specified).</w:t>
      </w:r>
    </w:p>
    <w:p>
      <w:pPr>
        <w:pStyle w:val="BodyText"/>
        <w:spacing w:line="213" w:lineRule="auto" w:before="238"/>
        <w:ind w:left="2472" w:right="258"/>
      </w:pPr>
      <w:r>
        <w:rPr>
          <w:color w:val="231F20"/>
        </w:rPr>
        <w:t>The redistribution and restarting of data collection can result in some gaps in the data if the collection interval is frequent, because collection is aligned with time boundaries. Time gaps in your data might affect your plotted points. In some </w:t>
      </w:r>
      <w:r>
        <w:rPr>
          <w:color w:val="231F20"/>
        </w:rPr>
        <w:t>cases lines might not be drawn to connect plotted points.</w:t>
      </w:r>
    </w:p>
    <w:p>
      <w:pPr>
        <w:pStyle w:val="BodyText"/>
        <w:spacing w:line="213" w:lineRule="auto" w:before="237"/>
        <w:ind w:left="2472" w:right="292"/>
      </w:pPr>
      <w:r>
        <w:rPr>
          <w:color w:val="231F20"/>
        </w:rPr>
        <w:t>After adding the chart, use the styling options in the Properties editor to refine 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099" name="Image 1099"/>
            <wp:cNvGraphicFramePr>
              <a:graphicFrameLocks/>
            </wp:cNvGraphicFramePr>
            <a:graphic>
              <a:graphicData uri="http://schemas.openxmlformats.org/drawingml/2006/picture">
                <pic:pic>
                  <pic:nvPicPr>
                    <pic:cNvPr id="1099" name="Image 1099"/>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100" name="Image 1100"/>
            <wp:cNvGraphicFramePr>
              <a:graphicFrameLocks/>
            </wp:cNvGraphicFramePr>
            <a:graphic>
              <a:graphicData uri="http://schemas.openxmlformats.org/drawingml/2006/picture">
                <pic:pic>
                  <pic:nvPicPr>
                    <pic:cNvPr id="1100" name="Image 1100"/>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27"/>
      </w:pPr>
      <w:r>
        <w:rPr/>
        <w:drawing>
          <wp:anchor distT="0" distB="0" distL="0" distR="0" allowOverlap="1" layoutInCell="1" locked="0" behindDoc="1" simplePos="0" relativeHeight="487671296">
            <wp:simplePos x="0" y="0"/>
            <wp:positionH relativeFrom="page">
              <wp:posOffset>3494318</wp:posOffset>
            </wp:positionH>
            <wp:positionV relativeFrom="paragraph">
              <wp:posOffset>267228</wp:posOffset>
            </wp:positionV>
            <wp:extent cx="2182558" cy="765810"/>
            <wp:effectExtent l="0" t="0" r="0" b="0"/>
            <wp:wrapTopAndBottom/>
            <wp:docPr id="1101" name="Image 1101"/>
            <wp:cNvGraphicFramePr>
              <a:graphicFrameLocks/>
            </wp:cNvGraphicFramePr>
            <a:graphic>
              <a:graphicData uri="http://schemas.openxmlformats.org/drawingml/2006/picture">
                <pic:pic>
                  <pic:nvPicPr>
                    <pic:cNvPr id="1101" name="Image 1101"/>
                    <pic:cNvPicPr/>
                  </pic:nvPicPr>
                  <pic:blipFill>
                    <a:blip r:embed="rId209" cstate="print"/>
                    <a:stretch>
                      <a:fillRect/>
                    </a:stretch>
                  </pic:blipFill>
                  <pic:spPr>
                    <a:xfrm>
                      <a:off x="0" y="0"/>
                      <a:ext cx="2182558" cy="765810"/>
                    </a:xfrm>
                    <a:prstGeom prst="rect">
                      <a:avLst/>
                    </a:prstGeom>
                  </pic:spPr>
                </pic:pic>
              </a:graphicData>
            </a:graphic>
          </wp:anchor>
        </w:drawing>
      </w:r>
    </w:p>
    <w:p>
      <w:pPr>
        <w:pStyle w:val="Heading4"/>
        <w:spacing w:before="287"/>
        <w:ind w:left="2472"/>
      </w:pPr>
      <w:r>
        <w:rPr>
          <w:color w:val="231F20"/>
        </w:rPr>
        <w:t>Header</w:t>
      </w:r>
      <w:r>
        <w:rPr>
          <w:color w:val="231F20"/>
          <w:spacing w:val="4"/>
        </w:rPr>
        <w:t> </w:t>
      </w:r>
      <w:r>
        <w:rPr>
          <w:color w:val="231F20"/>
          <w:spacing w:val="-2"/>
        </w:rPr>
        <w:t>Label</w:t>
      </w:r>
    </w:p>
    <w:p>
      <w:pPr>
        <w:pStyle w:val="BodyText"/>
        <w:spacing w:line="255" w:lineRule="exact" w:before="219"/>
        <w:ind w:left="247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7"/>
        <w:ind w:left="2472" w:right="385" w:firstLine="10"/>
      </w:pPr>
      <w:r>
        <w:rPr>
          <w:position w:val="-1"/>
        </w:rPr>
        <w:drawing>
          <wp:inline distT="0" distB="0" distL="0" distR="0">
            <wp:extent cx="95250" cy="95250"/>
            <wp:effectExtent l="0" t="0" r="0" b="0"/>
            <wp:docPr id="1102" name="Image 1102"/>
            <wp:cNvGraphicFramePr>
              <a:graphicFrameLocks/>
            </wp:cNvGraphicFramePr>
            <a:graphic>
              <a:graphicData uri="http://schemas.openxmlformats.org/drawingml/2006/picture">
                <pic:pic>
                  <pic:nvPicPr>
                    <pic:cNvPr id="1102" name="Image 1102"/>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2"/>
        </w:rPr>
        <w:t> </w:t>
      </w:r>
      <w:r>
        <w:rPr>
          <w:rFonts w:ascii="Book Antiqua" w:hAnsi="Book Antiqua"/>
          <w:b/>
          <w:color w:val="231F20"/>
        </w:rPr>
        <w:t>Style </w:t>
      </w:r>
      <w:r>
        <w:rPr>
          <w:color w:val="231F20"/>
        </w:rPr>
        <w:t>tab to add a title to the view, which shows in the view title bar. You can also apply the title as a view header, add a border, and change the text style. The default name is </w:t>
      </w:r>
      <w:r>
        <w:rPr>
          <w:rFonts w:ascii="Book Antiqua" w:hAnsi="Book Antiqua"/>
          <w:b/>
          <w:color w:val="231F20"/>
        </w:rPr>
        <w:t>Pie Chart</w:t>
      </w:r>
      <w:r>
        <w:rPr>
          <w:color w:val="231F20"/>
        </w:rPr>
        <w:t>. See </w:t>
      </w:r>
      <w:hyperlink w:history="true" w:anchor="_bookmark86">
        <w:r>
          <w:rPr>
            <w:color w:val="231F20"/>
          </w:rPr>
          <w:t>“Header Label” on page 115.</w:t>
        </w:r>
      </w:hyperlink>
    </w:p>
    <w:p>
      <w:pPr>
        <w:pStyle w:val="Heading4"/>
        <w:ind w:left="2472"/>
      </w:pPr>
      <w:r>
        <w:rPr>
          <w:color w:val="231F20"/>
        </w:rPr>
        <w:t>Plot</w:t>
      </w:r>
      <w:r>
        <w:rPr>
          <w:color w:val="231F20"/>
          <w:spacing w:val="-1"/>
        </w:rPr>
        <w:t> </w:t>
      </w:r>
      <w:r>
        <w:rPr>
          <w:color w:val="231F20"/>
          <w:spacing w:val="-4"/>
        </w:rPr>
        <w:t>Area</w:t>
      </w:r>
    </w:p>
    <w:p>
      <w:pPr>
        <w:pStyle w:val="BodyText"/>
        <w:spacing w:line="213" w:lineRule="auto" w:before="241"/>
        <w:ind w:left="2472"/>
      </w:pPr>
      <w:r>
        <w:rPr>
          <w:color w:val="231F20"/>
        </w:rPr>
        <w:t>Click the plot area in the thumbnail graphic to open these tabs: Plot Chart, Chart Thresholds, and Chart Markers. See </w:t>
      </w:r>
      <w:hyperlink w:history="true" w:anchor="_bookmark86">
        <w:r>
          <w:rPr>
            <w:color w:val="231F20"/>
          </w:rPr>
          <w:t>“Plot Area” on page 115.</w:t>
        </w:r>
      </w:hyperlink>
    </w:p>
    <w:p>
      <w:pPr>
        <w:pStyle w:val="Heading4"/>
        <w:ind w:left="2472"/>
      </w:pPr>
      <w:r>
        <w:rPr>
          <w:color w:val="231F20"/>
        </w:rPr>
        <w:t>Legend</w:t>
      </w:r>
      <w:r>
        <w:rPr>
          <w:color w:val="231F20"/>
          <w:spacing w:val="4"/>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274" w:firstLine="10"/>
      </w:pPr>
      <w:r>
        <w:rPr>
          <w:position w:val="-1"/>
        </w:rPr>
        <w:drawing>
          <wp:inline distT="0" distB="0" distL="0" distR="0">
            <wp:extent cx="95250" cy="95250"/>
            <wp:effectExtent l="0" t="0" r="0" b="0"/>
            <wp:docPr id="1103" name="Image 1103"/>
            <wp:cNvGraphicFramePr>
              <a:graphicFrameLocks/>
            </wp:cNvGraphicFramePr>
            <a:graphic>
              <a:graphicData uri="http://schemas.openxmlformats.org/drawingml/2006/picture">
                <pic:pic>
                  <pic:nvPicPr>
                    <pic:cNvPr id="1103" name="Image 1103"/>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control the display of the chart legend and its appearance, </w:t>
      </w:r>
      <w:r>
        <w:rPr>
          <w:color w:val="231F20"/>
        </w:rPr>
        <w:t>including the</w:t>
      </w:r>
      <w:r>
        <w:rPr>
          <w:color w:val="231F20"/>
          <w:spacing w:val="26"/>
        </w:rPr>
        <w:t> </w:t>
      </w:r>
      <w:r>
        <w:rPr>
          <w:color w:val="231F20"/>
        </w:rPr>
        <w:t>coloring</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data</w:t>
      </w:r>
      <w:r>
        <w:rPr>
          <w:color w:val="231F20"/>
          <w:spacing w:val="26"/>
        </w:rPr>
        <w:t> </w:t>
      </w:r>
      <w:r>
        <w:rPr>
          <w:color w:val="231F20"/>
        </w:rPr>
        <w:t>series:</w:t>
      </w:r>
      <w:r>
        <w:rPr>
          <w:color w:val="231F20"/>
          <w:spacing w:val="26"/>
        </w:rPr>
        <w:t> </w:t>
      </w:r>
      <w:r>
        <w:rPr>
          <w:color w:val="231F20"/>
        </w:rPr>
        <w:t>pie</w:t>
      </w:r>
      <w:r>
        <w:rPr>
          <w:color w:val="231F20"/>
          <w:spacing w:val="26"/>
        </w:rPr>
        <w:t> </w:t>
      </w:r>
      <w:r>
        <w:rPr>
          <w:color w:val="231F20"/>
        </w:rPr>
        <w:t>slices,</w:t>
      </w:r>
      <w:r>
        <w:rPr>
          <w:color w:val="231F20"/>
          <w:spacing w:val="26"/>
        </w:rPr>
        <w:t> </w:t>
      </w:r>
      <w:r>
        <w:rPr>
          <w:color w:val="231F20"/>
        </w:rPr>
        <w:t>bars,</w:t>
      </w:r>
      <w:r>
        <w:rPr>
          <w:color w:val="231F20"/>
          <w:spacing w:val="26"/>
        </w:rPr>
        <w:t> </w:t>
      </w:r>
      <w:r>
        <w:rPr>
          <w:color w:val="231F20"/>
        </w:rPr>
        <w:t>plot</w:t>
      </w:r>
      <w:r>
        <w:rPr>
          <w:color w:val="231F20"/>
          <w:spacing w:val="26"/>
        </w:rPr>
        <w:t> </w:t>
      </w:r>
      <w:r>
        <w:rPr>
          <w:color w:val="231F20"/>
        </w:rPr>
        <w:t>lines,</w:t>
      </w:r>
      <w:r>
        <w:rPr>
          <w:color w:val="231F20"/>
          <w:spacing w:val="26"/>
        </w:rPr>
        <w:t> </w:t>
      </w:r>
      <w:r>
        <w:rPr>
          <w:color w:val="231F20"/>
        </w:rPr>
        <w:t>and</w:t>
      </w:r>
      <w:r>
        <w:rPr>
          <w:color w:val="231F20"/>
          <w:spacing w:val="26"/>
        </w:rPr>
        <w:t> </w:t>
      </w:r>
      <w:r>
        <w:rPr>
          <w:color w:val="231F20"/>
        </w:rPr>
        <w:t>plot</w:t>
      </w:r>
      <w:r>
        <w:rPr>
          <w:color w:val="231F20"/>
          <w:spacing w:val="26"/>
        </w:rPr>
        <w:t> </w:t>
      </w:r>
      <w:r>
        <w:rPr>
          <w:color w:val="231F20"/>
        </w:rPr>
        <w:t>areas.</w:t>
      </w:r>
      <w:r>
        <w:rPr>
          <w:color w:val="231F20"/>
          <w:spacing w:val="26"/>
        </w:rPr>
        <w:t> </w:t>
      </w:r>
      <w:r>
        <w:rPr>
          <w:color w:val="231F20"/>
        </w:rPr>
        <w:t>See </w:t>
      </w:r>
      <w:hyperlink w:history="true" w:anchor="_bookmark92">
        <w:r>
          <w:rPr>
            <w:color w:val="231F20"/>
          </w:rPr>
          <w:t>“Legend Label” on page 121.</w:t>
        </w:r>
      </w:hyperlink>
    </w:p>
    <w:p>
      <w:pPr>
        <w:pStyle w:val="Heading4"/>
        <w:spacing w:before="199"/>
        <w:ind w:left="2472"/>
      </w:pPr>
      <w:r>
        <w:rPr>
          <w:color w:val="231F20"/>
        </w:rPr>
        <w:t>Value and</w:t>
      </w:r>
      <w:r>
        <w:rPr>
          <w:color w:val="231F20"/>
          <w:spacing w:val="1"/>
        </w:rPr>
        <w:t> </w:t>
      </w:r>
      <w:r>
        <w:rPr>
          <w:color w:val="231F20"/>
        </w:rPr>
        <w:t>Category</w:t>
      </w:r>
      <w:r>
        <w:rPr>
          <w:color w:val="231F20"/>
          <w:spacing w:val="-7"/>
        </w:rPr>
        <w:t> </w:t>
      </w:r>
      <w:r>
        <w:rPr>
          <w:color w:val="231F20"/>
          <w:spacing w:val="-4"/>
        </w:rPr>
        <w:t>Axes</w:t>
      </w:r>
    </w:p>
    <w:p>
      <w:pPr>
        <w:pStyle w:val="BodyText"/>
        <w:spacing w:line="213" w:lineRule="auto" w:before="241"/>
        <w:ind w:left="2472" w:right="202"/>
      </w:pPr>
      <w:r>
        <w:rPr>
          <w:color w:val="231F20"/>
        </w:rPr>
        <w:t>Edit the axis style properties to switch between vertical and horizontal orientation, and</w:t>
      </w:r>
      <w:r>
        <w:rPr>
          <w:color w:val="231F20"/>
          <w:spacing w:val="10"/>
        </w:rPr>
        <w:t> </w:t>
      </w:r>
      <w:r>
        <w:rPr>
          <w:color w:val="231F20"/>
        </w:rPr>
        <w:t>to</w:t>
      </w:r>
      <w:r>
        <w:rPr>
          <w:color w:val="231F20"/>
          <w:spacing w:val="10"/>
        </w:rPr>
        <w:t> </w:t>
      </w:r>
      <w:r>
        <w:rPr>
          <w:color w:val="231F20"/>
        </w:rPr>
        <w:t>add</w:t>
      </w:r>
      <w:r>
        <w:rPr>
          <w:color w:val="231F20"/>
          <w:spacing w:val="10"/>
        </w:rPr>
        <w:t> </w:t>
      </w:r>
      <w:r>
        <w:rPr>
          <w:color w:val="231F20"/>
        </w:rPr>
        <w:t>labels</w:t>
      </w:r>
      <w:r>
        <w:rPr>
          <w:color w:val="231F20"/>
          <w:spacing w:val="10"/>
        </w:rPr>
        <w:t> </w:t>
      </w:r>
      <w:r>
        <w:rPr>
          <w:color w:val="231F20"/>
        </w:rPr>
        <w:t>and</w:t>
      </w:r>
      <w:r>
        <w:rPr>
          <w:color w:val="231F20"/>
          <w:spacing w:val="10"/>
        </w:rPr>
        <w:t> </w:t>
      </w:r>
      <w:r>
        <w:rPr>
          <w:color w:val="231F20"/>
        </w:rPr>
        <w:t>styling</w:t>
      </w:r>
      <w:r>
        <w:rPr>
          <w:color w:val="231F20"/>
          <w:spacing w:val="10"/>
        </w:rPr>
        <w:t> </w:t>
      </w:r>
      <w:r>
        <w:rPr>
          <w:color w:val="231F20"/>
        </w:rPr>
        <w:t>options.</w:t>
      </w:r>
      <w:r>
        <w:rPr>
          <w:color w:val="231F20"/>
          <w:spacing w:val="10"/>
        </w:rPr>
        <w:t> </w:t>
      </w:r>
      <w:r>
        <w:rPr>
          <w:color w:val="231F20"/>
        </w:rPr>
        <w:t>See</w:t>
      </w:r>
      <w:r>
        <w:rPr>
          <w:color w:val="231F20"/>
          <w:spacing w:val="10"/>
        </w:rPr>
        <w:t> </w:t>
      </w:r>
      <w:hyperlink w:history="true" w:anchor="_bookmark93">
        <w:r>
          <w:rPr>
            <w:color w:val="231F20"/>
          </w:rPr>
          <w:t>“Value</w:t>
        </w:r>
        <w:r>
          <w:rPr>
            <w:color w:val="231F20"/>
            <w:spacing w:val="11"/>
          </w:rPr>
          <w:t> </w:t>
        </w:r>
        <w:r>
          <w:rPr>
            <w:color w:val="231F20"/>
          </w:rPr>
          <w:t>and</w:t>
        </w:r>
        <w:r>
          <w:rPr>
            <w:color w:val="231F20"/>
            <w:spacing w:val="10"/>
          </w:rPr>
          <w:t> </w:t>
        </w:r>
        <w:r>
          <w:rPr>
            <w:color w:val="231F20"/>
          </w:rPr>
          <w:t>Category</w:t>
        </w:r>
        <w:r>
          <w:rPr>
            <w:color w:val="231F20"/>
            <w:spacing w:val="3"/>
          </w:rPr>
          <w:t> </w:t>
        </w:r>
        <w:r>
          <w:rPr>
            <w:color w:val="231F20"/>
          </w:rPr>
          <w:t>Axes”</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4"/>
          </w:rPr>
          <w:t>123.</w:t>
        </w:r>
      </w:hyperlink>
    </w:p>
    <w:p>
      <w:pPr>
        <w:pStyle w:val="Heading4"/>
        <w:ind w:left="2472"/>
      </w:pPr>
      <w:r>
        <w:rPr>
          <w:color w:val="231F20"/>
        </w:rPr>
        <w:t>Footer</w:t>
      </w:r>
      <w:r>
        <w:rPr>
          <w:color w:val="231F20"/>
          <w:spacing w:val="5"/>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545" w:firstLine="10"/>
      </w:pPr>
      <w:r>
        <w:rPr>
          <w:position w:val="-1"/>
        </w:rPr>
        <w:drawing>
          <wp:inline distT="0" distB="0" distL="0" distR="0">
            <wp:extent cx="95250" cy="95250"/>
            <wp:effectExtent l="0" t="0" r="0" b="0"/>
            <wp:docPr id="1104" name="Image 1104"/>
            <wp:cNvGraphicFramePr>
              <a:graphicFrameLocks/>
            </wp:cNvGraphicFramePr>
            <a:graphic>
              <a:graphicData uri="http://schemas.openxmlformats.org/drawingml/2006/picture">
                <pic:pic>
                  <pic:nvPicPr>
                    <pic:cNvPr id="1104" name="Image 1104"/>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w:t>
        </w:r>
        <w:r>
          <w:rPr>
            <w:color w:val="231F20"/>
          </w:rPr>
          <w:t>page</w:t>
        </w:r>
      </w:hyperlink>
      <w:r>
        <w:rPr>
          <w:color w:val="231F20"/>
          <w:spacing w:val="40"/>
        </w:rPr>
        <w:t> </w:t>
      </w:r>
      <w:hyperlink w:history="true" w:anchor="_bookmark95">
        <w:r>
          <w:rPr>
            <w:color w:val="231F20"/>
            <w:spacing w:val="-4"/>
          </w:rPr>
          <w:t>124.</w:t>
        </w:r>
      </w:hyperlink>
    </w:p>
    <w:p>
      <w:pPr>
        <w:spacing w:after="0" w:line="213" w:lineRule="auto"/>
        <w:sectPr>
          <w:pgSz w:w="12240" w:h="15840"/>
          <w:pgMar w:header="0" w:footer="736" w:top="1180" w:bottom="920" w:left="1000" w:right="1060"/>
        </w:sectPr>
      </w:pPr>
    </w:p>
    <w:p>
      <w:pPr>
        <w:pStyle w:val="Heading6"/>
        <w:spacing w:line="240" w:lineRule="auto" w:before="62"/>
        <w:ind w:left="2232"/>
        <w:rPr>
          <w:rFonts w:ascii="Palatino Linotype"/>
          <w:b w:val="0"/>
        </w:rPr>
      </w:pPr>
      <w:bookmarkStart w:name="_bookmark83" w:id="183"/>
      <w:bookmarkEnd w:id="183"/>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8"/>
        <w:ind w:left="223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107" name="Image 1107"/>
            <wp:cNvGraphicFramePr>
              <a:graphicFrameLocks/>
            </wp:cNvGraphicFramePr>
            <a:graphic>
              <a:graphicData uri="http://schemas.openxmlformats.org/drawingml/2006/picture">
                <pic:pic>
                  <pic:nvPicPr>
                    <pic:cNvPr id="1107" name="Image 1107"/>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108" name="Image 1108"/>
            <wp:cNvGraphicFramePr>
              <a:graphicFrameLocks/>
            </wp:cNvGraphicFramePr>
            <a:graphic>
              <a:graphicData uri="http://schemas.openxmlformats.org/drawingml/2006/picture">
                <pic:pic>
                  <pic:nvPicPr>
                    <pic:cNvPr id="1108" name="Image 1108"/>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109" name="Image 1109"/>
            <wp:cNvGraphicFramePr>
              <a:graphicFrameLocks/>
            </wp:cNvGraphicFramePr>
            <a:graphic>
              <a:graphicData uri="http://schemas.openxmlformats.org/drawingml/2006/picture">
                <pic:pic>
                  <pic:nvPicPr>
                    <pic:cNvPr id="1109" name="Image 1109"/>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110" name="Image 1110"/>
            <wp:cNvGraphicFramePr>
              <a:graphicFrameLocks/>
            </wp:cNvGraphicFramePr>
            <a:graphic>
              <a:graphicData uri="http://schemas.openxmlformats.org/drawingml/2006/picture">
                <pic:pic>
                  <pic:nvPicPr>
                    <pic:cNvPr id="1110" name="Image 1110"/>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111" name="Image 1111"/>
            <wp:cNvGraphicFramePr>
              <a:graphicFrameLocks/>
            </wp:cNvGraphicFramePr>
            <a:graphic>
              <a:graphicData uri="http://schemas.openxmlformats.org/drawingml/2006/picture">
                <pic:pic>
                  <pic:nvPicPr>
                    <pic:cNvPr id="1111" name="Image 1111"/>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112" name="Image 1112"/>
            <wp:cNvGraphicFramePr>
              <a:graphicFrameLocks/>
            </wp:cNvGraphicFramePr>
            <a:graphic>
              <a:graphicData uri="http://schemas.openxmlformats.org/drawingml/2006/picture">
                <pic:pic>
                  <pic:nvPicPr>
                    <pic:cNvPr id="1112" name="Image 1112"/>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BodyText"/>
        <w:spacing w:line="255" w:lineRule="exact" w:before="35"/>
        <w:ind w:left="2232"/>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8"/>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BodyText"/>
        <w:spacing w:line="255" w:lineRule="exact" w:before="34"/>
        <w:ind w:left="2232"/>
        <w:jc w:val="both"/>
      </w:pPr>
      <w:hyperlink w:history="true" w:anchor="_bookmark95">
        <w:r>
          <w:rPr>
            <w:color w:val="231F20"/>
          </w:rPr>
          <w:t>“Adding</w:t>
        </w:r>
        <w:r>
          <w:rPr>
            <w:color w:val="231F20"/>
            <w:spacing w:val="10"/>
          </w:rPr>
          <w:t> </w:t>
        </w:r>
        <w:r>
          <w:rPr>
            <w:color w:val="231F20"/>
          </w:rPr>
          <w:t>monitored</w:t>
        </w:r>
        <w:r>
          <w:rPr>
            <w:color w:val="231F20"/>
            <w:spacing w:val="11"/>
          </w:rPr>
          <w:t> </w:t>
        </w:r>
        <w:r>
          <w:rPr>
            <w:color w:val="231F20"/>
          </w:rPr>
          <w:t>baselines</w:t>
        </w:r>
        <w:r>
          <w:rPr>
            <w:color w:val="231F20"/>
            <w:spacing w:val="10"/>
          </w:rPr>
          <w:t> </w:t>
        </w:r>
        <w:r>
          <w:rPr>
            <w:color w:val="231F20"/>
          </w:rPr>
          <w:t>to</w:t>
        </w:r>
        <w:r>
          <w:rPr>
            <w:color w:val="231F20"/>
            <w:spacing w:val="11"/>
          </w:rPr>
          <w:t> </w:t>
        </w:r>
        <w:r>
          <w:rPr>
            <w:color w:val="231F20"/>
          </w:rPr>
          <w:t>a</w:t>
        </w:r>
        <w:r>
          <w:rPr>
            <w:color w:val="231F20"/>
            <w:spacing w:val="10"/>
          </w:rPr>
          <w:t> </w:t>
        </w:r>
        <w:r>
          <w:rPr>
            <w:color w:val="231F20"/>
          </w:rPr>
          <w:t>chart”</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124</w:t>
        </w:r>
      </w:hyperlink>
    </w:p>
    <w:p>
      <w:pPr>
        <w:pStyle w:val="BodyText"/>
        <w:spacing w:line="213" w:lineRule="auto" w:before="8"/>
        <w:ind w:left="2232" w:right="636"/>
      </w:pPr>
      <w:r>
        <w:rPr>
          <w:color w:val="231F20"/>
        </w:rPr>
        <w:t>Apply a monitored baseline of a situation's threshold criteria to a bar chart, plot chart, or area chart to see how effective the situation is in this environment. You can visually compare the current values in the chart with the situation and adjust the thresholds as needed.</w:t>
      </w:r>
    </w:p>
    <w:p>
      <w:pPr>
        <w:pStyle w:val="BodyText"/>
        <w:spacing w:line="255" w:lineRule="exact" w:before="34"/>
        <w:ind w:left="2232"/>
      </w:pPr>
      <w:hyperlink w:history="true" w:anchor="_bookmark97">
        <w:r>
          <w:rPr>
            <w:color w:val="231F20"/>
          </w:rPr>
          <w:t>“Adding</w:t>
        </w:r>
        <w:r>
          <w:rPr>
            <w:color w:val="231F20"/>
            <w:spacing w:val="11"/>
          </w:rPr>
          <w:t> </w:t>
        </w:r>
        <w:r>
          <w:rPr>
            <w:color w:val="231F20"/>
          </w:rPr>
          <w:t>statistical</w:t>
        </w:r>
        <w:r>
          <w:rPr>
            <w:color w:val="231F20"/>
            <w:spacing w:val="11"/>
          </w:rPr>
          <w:t> </w:t>
        </w:r>
        <w:r>
          <w:rPr>
            <w:color w:val="231F20"/>
          </w:rPr>
          <w:t>baselines</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2"/>
          </w:rPr>
          <w:t> </w:t>
        </w:r>
        <w:r>
          <w:rPr>
            <w:color w:val="231F20"/>
            <w:spacing w:val="-5"/>
          </w:rPr>
          <w:t>128</w:t>
        </w:r>
      </w:hyperlink>
    </w:p>
    <w:p>
      <w:pPr>
        <w:pStyle w:val="BodyText"/>
        <w:spacing w:line="213" w:lineRule="auto" w:before="8"/>
        <w:ind w:left="2232" w:right="688"/>
        <w:jc w:val="both"/>
      </w:pPr>
      <w:r>
        <w:rPr>
          <w:color w:val="231F20"/>
        </w:rPr>
        <w:t>Use the statistical baseline function on a plot chart or area chart to apply any of these statistical functions to the selected attribute: Range between minimum </w:t>
      </w:r>
      <w:r>
        <w:rPr>
          <w:color w:val="231F20"/>
        </w:rPr>
        <w:t>and maximum, average, minimum, maximum, percentile, and mode.</w:t>
      </w:r>
    </w:p>
    <w:p>
      <w:pPr>
        <w:pStyle w:val="BodyText"/>
        <w:spacing w:line="255" w:lineRule="exact" w:before="35"/>
        <w:ind w:left="2232"/>
        <w:jc w:val="both"/>
      </w:pPr>
      <w:hyperlink w:history="true" w:anchor="_bookmark98">
        <w:r>
          <w:rPr>
            <w:color w:val="231F20"/>
          </w:rPr>
          <w:t>“Adding</w:t>
        </w:r>
        <w:r>
          <w:rPr>
            <w:color w:val="231F20"/>
            <w:spacing w:val="11"/>
          </w:rPr>
          <w:t> </w:t>
        </w:r>
        <w:r>
          <w:rPr>
            <w:color w:val="231F20"/>
          </w:rPr>
          <w:t>historical</w:t>
        </w:r>
        <w:r>
          <w:rPr>
            <w:color w:val="231F20"/>
            <w:spacing w:val="11"/>
          </w:rPr>
          <w:t> </w:t>
        </w:r>
        <w:r>
          <w:rPr>
            <w:color w:val="231F20"/>
          </w:rPr>
          <w:t>baselines</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rPr>
          <w:t>chart”</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5"/>
          </w:rPr>
          <w:t>130</w:t>
        </w:r>
      </w:hyperlink>
    </w:p>
    <w:p>
      <w:pPr>
        <w:pStyle w:val="BodyText"/>
        <w:spacing w:line="213" w:lineRule="auto" w:before="8"/>
        <w:ind w:left="2232" w:right="545"/>
      </w:pPr>
      <w:r>
        <w:rPr>
          <w:color w:val="231F20"/>
        </w:rPr>
        <w:t>Use the values from the current plot chart to identify daily trends in threshold conditions. You can then better anticipate problems by comparing current values with expected future values or with past values, and overlaying the chart with situation comparison criteria, one plotted line for each day specified.</w:t>
      </w:r>
    </w:p>
    <w:p>
      <w:pPr>
        <w:pStyle w:val="Heading3"/>
        <w:spacing w:before="216"/>
        <w:ind w:left="1334"/>
      </w:pPr>
      <w:bookmarkStart w:name="Area chart" w:id="184"/>
      <w:bookmarkEnd w:id="184"/>
      <w:r>
        <w:rPr>
          <w:b w:val="0"/>
        </w:rPr>
      </w:r>
      <w:r>
        <w:rPr>
          <w:color w:val="231F20"/>
        </w:rPr>
        <w:t>Area</w:t>
      </w:r>
      <w:r>
        <w:rPr>
          <w:color w:val="231F20"/>
          <w:spacing w:val="8"/>
        </w:rPr>
        <w:t> </w:t>
      </w:r>
      <w:r>
        <w:rPr>
          <w:color w:val="231F20"/>
          <w:spacing w:val="-2"/>
        </w:rPr>
        <w:t>chart</w:t>
      </w:r>
    </w:p>
    <w:p>
      <w:pPr>
        <w:pStyle w:val="BodyText"/>
        <w:spacing w:line="213" w:lineRule="auto" w:before="58"/>
        <w:ind w:left="2232" w:right="493"/>
      </w:pPr>
      <w:r>
        <w:rPr>
          <w:color w:val="231F20"/>
        </w:rPr>
        <w:t>Use the area chart for showing trends over time among related attributes. The area chart</w:t>
      </w:r>
      <w:r>
        <w:rPr>
          <w:color w:val="231F20"/>
          <w:spacing w:val="24"/>
        </w:rPr>
        <w:t> </w:t>
      </w:r>
      <w:r>
        <w:rPr>
          <w:color w:val="231F20"/>
        </w:rPr>
        <w:t>is</w:t>
      </w:r>
      <w:r>
        <w:rPr>
          <w:color w:val="231F20"/>
          <w:spacing w:val="24"/>
        </w:rPr>
        <w:t> </w:t>
      </w:r>
      <w:r>
        <w:rPr>
          <w:color w:val="231F20"/>
        </w:rPr>
        <w:t>like</w:t>
      </w:r>
      <w:r>
        <w:rPr>
          <w:color w:val="231F20"/>
          <w:spacing w:val="24"/>
        </w:rPr>
        <w:t> </w:t>
      </w:r>
      <w:r>
        <w:rPr>
          <w:color w:val="231F20"/>
        </w:rPr>
        <w:t>the</w:t>
      </w:r>
      <w:r>
        <w:rPr>
          <w:color w:val="231F20"/>
          <w:spacing w:val="24"/>
        </w:rPr>
        <w:t> </w:t>
      </w:r>
      <w:r>
        <w:rPr>
          <w:color w:val="231F20"/>
        </w:rPr>
        <w:t>plot</w:t>
      </w:r>
      <w:r>
        <w:rPr>
          <w:color w:val="231F20"/>
          <w:spacing w:val="24"/>
        </w:rPr>
        <w:t> </w:t>
      </w:r>
      <w:r>
        <w:rPr>
          <w:color w:val="231F20"/>
        </w:rPr>
        <w:t>chart</w:t>
      </w:r>
      <w:r>
        <w:rPr>
          <w:color w:val="231F20"/>
          <w:spacing w:val="24"/>
        </w:rPr>
        <w:t> </w:t>
      </w:r>
      <w:r>
        <w:rPr>
          <w:color w:val="231F20"/>
        </w:rPr>
        <w:t>except</w:t>
      </w:r>
      <w:r>
        <w:rPr>
          <w:color w:val="231F20"/>
          <w:spacing w:val="24"/>
        </w:rPr>
        <w:t> </w:t>
      </w:r>
      <w:r>
        <w:rPr>
          <w:color w:val="231F20"/>
        </w:rPr>
        <w:t>that</w:t>
      </w:r>
      <w:r>
        <w:rPr>
          <w:color w:val="231F20"/>
          <w:spacing w:val="24"/>
        </w:rPr>
        <w:t> </w:t>
      </w:r>
      <w:r>
        <w:rPr>
          <w:color w:val="231F20"/>
        </w:rPr>
        <w:t>the</w:t>
      </w:r>
      <w:r>
        <w:rPr>
          <w:color w:val="231F20"/>
          <w:spacing w:val="24"/>
        </w:rPr>
        <w:t> </w:t>
      </w:r>
      <w:r>
        <w:rPr>
          <w:color w:val="231F20"/>
        </w:rPr>
        <w:t>area</w:t>
      </w:r>
      <w:r>
        <w:rPr>
          <w:color w:val="231F20"/>
          <w:spacing w:val="24"/>
        </w:rPr>
        <w:t> </w:t>
      </w:r>
      <w:r>
        <w:rPr>
          <w:color w:val="231F20"/>
        </w:rPr>
        <w:t>below</w:t>
      </w:r>
      <w:r>
        <w:rPr>
          <w:color w:val="231F20"/>
          <w:spacing w:val="24"/>
        </w:rPr>
        <w:t> </w:t>
      </w:r>
      <w:r>
        <w:rPr>
          <w:color w:val="231F20"/>
        </w:rPr>
        <w:t>the</w:t>
      </w:r>
      <w:r>
        <w:rPr>
          <w:color w:val="231F20"/>
          <w:spacing w:val="24"/>
        </w:rPr>
        <w:t> </w:t>
      </w:r>
      <w:r>
        <w:rPr>
          <w:color w:val="231F20"/>
        </w:rPr>
        <w:t>plotted</w:t>
      </w:r>
      <w:r>
        <w:rPr>
          <w:color w:val="231F20"/>
          <w:spacing w:val="24"/>
        </w:rPr>
        <w:t> </w:t>
      </w:r>
      <w:r>
        <w:rPr>
          <w:color w:val="231F20"/>
        </w:rPr>
        <w:t>line</w:t>
      </w:r>
      <w:r>
        <w:rPr>
          <w:color w:val="231F20"/>
          <w:spacing w:val="24"/>
        </w:rPr>
        <w:t> </w:t>
      </w:r>
      <w:r>
        <w:rPr>
          <w:color w:val="231F20"/>
        </w:rPr>
        <w:t>is</w:t>
      </w:r>
      <w:r>
        <w:rPr>
          <w:color w:val="231F20"/>
          <w:spacing w:val="24"/>
        </w:rPr>
        <w:t> </w:t>
      </w:r>
      <w:r>
        <w:rPr>
          <w:color w:val="231F20"/>
        </w:rPr>
        <w:t>filled</w:t>
      </w:r>
      <w:r>
        <w:rPr>
          <w:color w:val="231F20"/>
          <w:spacing w:val="24"/>
        </w:rPr>
        <w:t> </w:t>
      </w:r>
      <w:r>
        <w:rPr>
          <w:color w:val="231F20"/>
        </w:rPr>
        <w:t>in with color to indicate volume.</w:t>
      </w:r>
    </w:p>
    <w:p>
      <w:pPr>
        <w:pStyle w:val="BodyText"/>
        <w:spacing w:line="213" w:lineRule="auto" w:before="237"/>
        <w:ind w:left="2232" w:right="488"/>
      </w:pPr>
      <w:r>
        <w:rPr>
          <w:color w:val="231F20"/>
        </w:rPr>
        <w:t>When multiple attributes are included, the first attribute is plotted as a line with color fill followed by the second attribute, and so on. A higher values obscures a lower value if the lower value was plotted first. If this happens, you can </w:t>
      </w:r>
      <w:r>
        <w:rPr>
          <w:color w:val="231F20"/>
        </w:rPr>
        <w:t>rearrange the</w:t>
      </w:r>
      <w:r>
        <w:rPr>
          <w:color w:val="231F20"/>
          <w:spacing w:val="21"/>
        </w:rPr>
        <w:t> </w:t>
      </w:r>
      <w:r>
        <w:rPr>
          <w:color w:val="231F20"/>
        </w:rPr>
        <w:t>attributes</w:t>
      </w:r>
      <w:r>
        <w:rPr>
          <w:color w:val="231F20"/>
          <w:spacing w:val="21"/>
        </w:rPr>
        <w:t> </w:t>
      </w:r>
      <w:r>
        <w:rPr>
          <w:color w:val="231F20"/>
        </w:rPr>
        <w:t>by</w:t>
      </w:r>
      <w:r>
        <w:rPr>
          <w:color w:val="231F20"/>
          <w:spacing w:val="21"/>
        </w:rPr>
        <w:t> </w:t>
      </w:r>
      <w:r>
        <w:rPr>
          <w:color w:val="231F20"/>
        </w:rPr>
        <w:t>dragging</w:t>
      </w:r>
      <w:r>
        <w:rPr>
          <w:color w:val="231F20"/>
          <w:spacing w:val="21"/>
        </w:rPr>
        <w:t> </w:t>
      </w:r>
      <w:r>
        <w:rPr>
          <w:color w:val="231F20"/>
        </w:rPr>
        <w:t>the</w:t>
      </w:r>
      <w:r>
        <w:rPr>
          <w:color w:val="231F20"/>
          <w:spacing w:val="21"/>
        </w:rPr>
        <w:t> </w:t>
      </w:r>
      <w:r>
        <w:rPr>
          <w:color w:val="231F20"/>
        </w:rPr>
        <w:t>column</w:t>
      </w:r>
      <w:r>
        <w:rPr>
          <w:color w:val="231F20"/>
          <w:spacing w:val="21"/>
        </w:rPr>
        <w:t> </w:t>
      </w:r>
      <w:r>
        <w:rPr>
          <w:color w:val="231F20"/>
        </w:rPr>
        <w:t>headings</w:t>
      </w:r>
      <w:r>
        <w:rPr>
          <w:color w:val="231F20"/>
          <w:spacing w:val="21"/>
        </w:rPr>
        <w:t> </w:t>
      </w:r>
      <w:r>
        <w:rPr>
          <w:color w:val="231F20"/>
        </w:rPr>
        <w:t>in</w:t>
      </w:r>
      <w:r>
        <w:rPr>
          <w:color w:val="231F20"/>
          <w:spacing w:val="21"/>
        </w:rPr>
        <w:t> </w:t>
      </w:r>
      <w:r>
        <w:rPr>
          <w:color w:val="231F20"/>
        </w:rPr>
        <w:t>the</w:t>
      </w:r>
      <w:r>
        <w:rPr>
          <w:color w:val="231F20"/>
          <w:spacing w:val="21"/>
        </w:rPr>
        <w:t> </w:t>
      </w:r>
      <w:r>
        <w:rPr>
          <w:color w:val="231F20"/>
        </w:rPr>
        <w:t>Filters</w:t>
      </w:r>
      <w:r>
        <w:rPr>
          <w:color w:val="231F20"/>
          <w:spacing w:val="21"/>
        </w:rPr>
        <w:t> </w:t>
      </w:r>
      <w:r>
        <w:rPr>
          <w:color w:val="231F20"/>
        </w:rPr>
        <w:t>tab</w:t>
      </w:r>
      <w:r>
        <w:rPr>
          <w:color w:val="231F20"/>
          <w:spacing w:val="21"/>
        </w:rPr>
        <w:t> </w:t>
      </w:r>
      <w:r>
        <w:rPr>
          <w:color w:val="231F20"/>
        </w:rPr>
        <w:t>to</w:t>
      </w:r>
      <w:r>
        <w:rPr>
          <w:color w:val="231F20"/>
          <w:spacing w:val="21"/>
        </w:rPr>
        <w:t> </w:t>
      </w:r>
      <w:r>
        <w:rPr>
          <w:color w:val="231F20"/>
        </w:rPr>
        <w:t>arrange</w:t>
      </w:r>
      <w:r>
        <w:rPr>
          <w:color w:val="231F20"/>
          <w:spacing w:val="21"/>
        </w:rPr>
        <w:t> </w:t>
      </w:r>
      <w:r>
        <w:rPr>
          <w:color w:val="231F20"/>
        </w:rPr>
        <w:t>them in descending order of value. You can also switch to a stacked area.</w:t>
      </w:r>
    </w:p>
    <w:p>
      <w:pPr>
        <w:pStyle w:val="BodyText"/>
        <w:spacing w:line="213" w:lineRule="auto" w:before="237"/>
        <w:ind w:left="2232" w:right="545"/>
      </w:pPr>
      <w:r>
        <w:rPr>
          <w:color w:val="231F20"/>
        </w:rPr>
        <w:t>After adding the chart, use the styling options in the Properties editor to refine </w:t>
      </w:r>
      <w:r>
        <w:rPr>
          <w:color w:val="231F20"/>
        </w:rPr>
        <w:t>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113" name="Image 1113"/>
            <wp:cNvGraphicFramePr>
              <a:graphicFrameLocks/>
            </wp:cNvGraphicFramePr>
            <a:graphic>
              <a:graphicData uri="http://schemas.openxmlformats.org/drawingml/2006/picture">
                <pic:pic>
                  <pic:nvPicPr>
                    <pic:cNvPr id="1113" name="Image 1113"/>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114" name="Image 1114"/>
            <wp:cNvGraphicFramePr>
              <a:graphicFrameLocks/>
            </wp:cNvGraphicFramePr>
            <a:graphic>
              <a:graphicData uri="http://schemas.openxmlformats.org/drawingml/2006/picture">
                <pic:pic>
                  <pic:nvPicPr>
                    <pic:cNvPr id="1114" name="Image 1114"/>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27"/>
      </w:pPr>
      <w:r>
        <w:rPr/>
        <w:drawing>
          <wp:anchor distT="0" distB="0" distL="0" distR="0" allowOverlap="1" layoutInCell="1" locked="0" behindDoc="1" simplePos="0" relativeHeight="487671808">
            <wp:simplePos x="0" y="0"/>
            <wp:positionH relativeFrom="page">
              <wp:posOffset>2059213</wp:posOffset>
            </wp:positionH>
            <wp:positionV relativeFrom="paragraph">
              <wp:posOffset>267243</wp:posOffset>
            </wp:positionV>
            <wp:extent cx="2182558" cy="765810"/>
            <wp:effectExtent l="0" t="0" r="0" b="0"/>
            <wp:wrapTopAndBottom/>
            <wp:docPr id="1115" name="Image 1115"/>
            <wp:cNvGraphicFramePr>
              <a:graphicFrameLocks/>
            </wp:cNvGraphicFramePr>
            <a:graphic>
              <a:graphicData uri="http://schemas.openxmlformats.org/drawingml/2006/picture">
                <pic:pic>
                  <pic:nvPicPr>
                    <pic:cNvPr id="1115" name="Image 1115"/>
                    <pic:cNvPicPr/>
                  </pic:nvPicPr>
                  <pic:blipFill>
                    <a:blip r:embed="rId212" cstate="print"/>
                    <a:stretch>
                      <a:fillRect/>
                    </a:stretch>
                  </pic:blipFill>
                  <pic:spPr>
                    <a:xfrm>
                      <a:off x="0" y="0"/>
                      <a:ext cx="2182558" cy="765810"/>
                    </a:xfrm>
                    <a:prstGeom prst="rect">
                      <a:avLst/>
                    </a:prstGeom>
                  </pic:spPr>
                </pic:pic>
              </a:graphicData>
            </a:graphic>
          </wp:anchor>
        </w:drawing>
      </w:r>
    </w:p>
    <w:p>
      <w:pPr>
        <w:pStyle w:val="Heading4"/>
        <w:spacing w:before="287"/>
      </w:pPr>
      <w:r>
        <w:rPr>
          <w:color w:val="231F20"/>
        </w:rPr>
        <w:t>Header</w:t>
      </w:r>
      <w:r>
        <w:rPr>
          <w:color w:val="231F20"/>
          <w:spacing w:val="4"/>
        </w:rPr>
        <w:t> </w:t>
      </w:r>
      <w:r>
        <w:rPr>
          <w:color w:val="231F20"/>
          <w:spacing w:val="-2"/>
        </w:rPr>
        <w:t>Label</w:t>
      </w:r>
    </w:p>
    <w:p>
      <w:pPr>
        <w:pStyle w:val="BodyText"/>
        <w:spacing w:line="255" w:lineRule="exact" w:before="219"/>
        <w:ind w:left="223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7"/>
        <w:ind w:left="2232" w:right="603" w:firstLine="10"/>
      </w:pPr>
      <w:r>
        <w:rPr>
          <w:position w:val="-1"/>
        </w:rPr>
        <w:drawing>
          <wp:inline distT="0" distB="0" distL="0" distR="0">
            <wp:extent cx="95250" cy="95250"/>
            <wp:effectExtent l="0" t="0" r="0" b="0"/>
            <wp:docPr id="1116" name="Image 1116"/>
            <wp:cNvGraphicFramePr>
              <a:graphicFrameLocks/>
            </wp:cNvGraphicFramePr>
            <a:graphic>
              <a:graphicData uri="http://schemas.openxmlformats.org/drawingml/2006/picture">
                <pic:pic>
                  <pic:nvPicPr>
                    <pic:cNvPr id="1116" name="Image 1116"/>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2"/>
        </w:rPr>
        <w:t> </w:t>
      </w:r>
      <w:r>
        <w:rPr>
          <w:rFonts w:ascii="Book Antiqua" w:hAnsi="Book Antiqua"/>
          <w:b/>
          <w:color w:val="231F20"/>
        </w:rPr>
        <w:t>Style </w:t>
      </w:r>
      <w:r>
        <w:rPr>
          <w:color w:val="231F20"/>
        </w:rPr>
        <w:t>tab to add a title to the view, which shows in the view title bar. You can also apply the title as a view header, add a border, and change the text style. The default name is </w:t>
      </w:r>
      <w:r>
        <w:rPr>
          <w:rFonts w:ascii="Book Antiqua" w:hAnsi="Book Antiqua"/>
          <w:b/>
          <w:color w:val="231F20"/>
        </w:rPr>
        <w:t>Pie Chart</w:t>
      </w:r>
      <w:r>
        <w:rPr>
          <w:color w:val="231F20"/>
        </w:rPr>
        <w:t>. See </w:t>
      </w:r>
      <w:hyperlink w:history="true" w:anchor="_bookmark86">
        <w:r>
          <w:rPr>
            <w:color w:val="231F20"/>
          </w:rPr>
          <w:t>“Header Label” on page 115.</w:t>
        </w:r>
      </w:hyperlink>
    </w:p>
    <w:p>
      <w:pPr>
        <w:spacing w:after="0" w:line="213" w:lineRule="auto"/>
        <w:sectPr>
          <w:footerReference w:type="even" r:id="rId210"/>
          <w:footerReference w:type="default" r:id="rId211"/>
          <w:pgSz w:w="12240" w:h="15840"/>
          <w:pgMar w:header="0" w:footer="736" w:top="1180" w:bottom="920" w:left="1000" w:right="1060"/>
          <w:pgNumType w:start="110"/>
        </w:sectPr>
      </w:pPr>
    </w:p>
    <w:p>
      <w:pPr>
        <w:pStyle w:val="Heading4"/>
        <w:spacing w:before="86"/>
        <w:ind w:left="2472"/>
      </w:pPr>
      <w:r>
        <w:rPr>
          <w:color w:val="231F20"/>
        </w:rPr>
        <w:t>Plot</w:t>
      </w:r>
      <w:r>
        <w:rPr>
          <w:color w:val="231F20"/>
          <w:spacing w:val="-1"/>
        </w:rPr>
        <w:t> </w:t>
      </w:r>
      <w:r>
        <w:rPr>
          <w:color w:val="231F20"/>
          <w:spacing w:val="-4"/>
        </w:rPr>
        <w:t>Area</w:t>
      </w:r>
    </w:p>
    <w:p>
      <w:pPr>
        <w:pStyle w:val="BodyText"/>
        <w:spacing w:line="213" w:lineRule="auto" w:before="242"/>
        <w:ind w:left="2472"/>
      </w:pPr>
      <w:r>
        <w:rPr>
          <w:color w:val="231F20"/>
        </w:rPr>
        <w:t>Click the plot area in the thumbnail graphic to open these tabs: Area Chart, </w:t>
      </w:r>
      <w:r>
        <w:rPr>
          <w:color w:val="231F20"/>
        </w:rPr>
        <w:t>Chart Thresholds, and Chart Markers. See </w:t>
      </w:r>
      <w:hyperlink w:history="true" w:anchor="_bookmark86">
        <w:r>
          <w:rPr>
            <w:color w:val="231F20"/>
          </w:rPr>
          <w:t>“Plot Area” on page 115.</w:t>
        </w:r>
      </w:hyperlink>
    </w:p>
    <w:p>
      <w:pPr>
        <w:pStyle w:val="BodyText"/>
        <w:spacing w:line="213" w:lineRule="auto" w:before="238"/>
        <w:ind w:left="2472" w:right="385"/>
      </w:pPr>
      <w:r>
        <w:rPr>
          <w:color w:val="231F20"/>
        </w:rPr>
        <w:t>The following screen captures are the same area chart showing </w:t>
      </w:r>
      <w:r>
        <w:rPr>
          <w:color w:val="231F20"/>
          <w:spacing w:val="15"/>
        </w:rPr>
        <w:drawing>
          <wp:inline distT="0" distB="0" distL="0" distR="0">
            <wp:extent cx="69850" cy="69850"/>
            <wp:effectExtent l="0" t="0" r="0" b="0"/>
            <wp:docPr id="1117" name="Image 1117"/>
            <wp:cNvGraphicFramePr>
              <a:graphicFrameLocks/>
            </wp:cNvGraphicFramePr>
            <a:graphic>
              <a:graphicData uri="http://schemas.openxmlformats.org/drawingml/2006/picture">
                <pic:pic>
                  <pic:nvPicPr>
                    <pic:cNvPr id="1117" name="Image 1117"/>
                    <pic:cNvPicPr/>
                  </pic:nvPicPr>
                  <pic:blipFill>
                    <a:blip r:embed="rId213" cstate="print"/>
                    <a:stretch>
                      <a:fillRect/>
                    </a:stretch>
                  </pic:blipFill>
                  <pic:spPr>
                    <a:xfrm>
                      <a:off x="0" y="0"/>
                      <a:ext cx="69850" cy="69850"/>
                    </a:xfrm>
                    <a:prstGeom prst="rect">
                      <a:avLst/>
                    </a:prstGeom>
                  </pic:spPr>
                </pic:pic>
              </a:graphicData>
            </a:graphic>
          </wp:inline>
        </w:drawing>
      </w:r>
      <w:r>
        <w:rPr>
          <w:color w:val="231F20"/>
          <w:spacing w:val="15"/>
        </w:rPr>
      </w:r>
      <w:r>
        <w:rPr>
          <w:rFonts w:ascii="Times New Roman" w:hAnsi="Times New Roman"/>
          <w:color w:val="231F20"/>
          <w:spacing w:val="1"/>
        </w:rPr>
        <w:t> </w:t>
      </w:r>
      <w:r>
        <w:rPr>
          <w:color w:val="231F20"/>
        </w:rPr>
        <w:t>% Processor</w:t>
      </w:r>
      <w:r>
        <w:rPr>
          <w:color w:val="231F20"/>
          <w:spacing w:val="80"/>
        </w:rPr>
        <w:t> </w:t>
      </w:r>
      <w:r>
        <w:rPr>
          <w:color w:val="231F20"/>
        </w:rPr>
        <w:t>Time, </w:t>
      </w:r>
      <w:r>
        <w:rPr>
          <w:color w:val="231F20"/>
          <w:spacing w:val="16"/>
        </w:rPr>
        <w:drawing>
          <wp:inline distT="0" distB="0" distL="0" distR="0">
            <wp:extent cx="69850" cy="69850"/>
            <wp:effectExtent l="0" t="0" r="0" b="0"/>
            <wp:docPr id="1118" name="Image 1118"/>
            <wp:cNvGraphicFramePr>
              <a:graphicFrameLocks/>
            </wp:cNvGraphicFramePr>
            <a:graphic>
              <a:graphicData uri="http://schemas.openxmlformats.org/drawingml/2006/picture">
                <pic:pic>
                  <pic:nvPicPr>
                    <pic:cNvPr id="1118" name="Image 1118"/>
                    <pic:cNvPicPr/>
                  </pic:nvPicPr>
                  <pic:blipFill>
                    <a:blip r:embed="rId214" cstate="print"/>
                    <a:stretch>
                      <a:fillRect/>
                    </a:stretch>
                  </pic:blipFill>
                  <pic:spPr>
                    <a:xfrm>
                      <a:off x="0" y="0"/>
                      <a:ext cx="69850" cy="69850"/>
                    </a:xfrm>
                    <a:prstGeom prst="rect">
                      <a:avLst/>
                    </a:prstGeom>
                  </pic:spPr>
                </pic:pic>
              </a:graphicData>
            </a:graphic>
          </wp:inline>
        </w:drawing>
      </w:r>
      <w:r>
        <w:rPr>
          <w:color w:val="231F20"/>
          <w:spacing w:val="16"/>
        </w:rPr>
      </w:r>
      <w:r>
        <w:rPr>
          <w:rFonts w:ascii="Times New Roman" w:hAnsi="Times New Roman"/>
          <w:color w:val="231F20"/>
          <w:spacing w:val="-5"/>
        </w:rPr>
        <w:t> </w:t>
      </w:r>
      <w:r>
        <w:rPr>
          <w:color w:val="231F20"/>
        </w:rPr>
        <w:t>% Privileged Time, and </w:t>
      </w:r>
      <w:r>
        <w:rPr>
          <w:color w:val="231F20"/>
          <w:spacing w:val="16"/>
        </w:rPr>
        <w:drawing>
          <wp:inline distT="0" distB="0" distL="0" distR="0">
            <wp:extent cx="69850" cy="69850"/>
            <wp:effectExtent l="0" t="0" r="0" b="0"/>
            <wp:docPr id="1119" name="Image 1119"/>
            <wp:cNvGraphicFramePr>
              <a:graphicFrameLocks/>
            </wp:cNvGraphicFramePr>
            <a:graphic>
              <a:graphicData uri="http://schemas.openxmlformats.org/drawingml/2006/picture">
                <pic:pic>
                  <pic:nvPicPr>
                    <pic:cNvPr id="1119" name="Image 1119"/>
                    <pic:cNvPicPr/>
                  </pic:nvPicPr>
                  <pic:blipFill>
                    <a:blip r:embed="rId215" cstate="print"/>
                    <a:stretch>
                      <a:fillRect/>
                    </a:stretch>
                  </pic:blipFill>
                  <pic:spPr>
                    <a:xfrm>
                      <a:off x="0" y="0"/>
                      <a:ext cx="69850" cy="69850"/>
                    </a:xfrm>
                    <a:prstGeom prst="rect">
                      <a:avLst/>
                    </a:prstGeom>
                  </pic:spPr>
                </pic:pic>
              </a:graphicData>
            </a:graphic>
          </wp:inline>
        </w:drawing>
      </w:r>
      <w:r>
        <w:rPr>
          <w:color w:val="231F20"/>
          <w:spacing w:val="16"/>
        </w:rPr>
      </w:r>
      <w:r>
        <w:rPr>
          <w:rFonts w:ascii="Times New Roman" w:hAnsi="Times New Roman"/>
          <w:color w:val="231F20"/>
          <w:spacing w:val="-5"/>
        </w:rPr>
        <w:t> </w:t>
      </w:r>
      <w:r>
        <w:rPr>
          <w:color w:val="231F20"/>
        </w:rPr>
        <w:t>% User Time. </w:t>
      </w:r>
      <w:r>
        <w:rPr>
          <w:color w:val="231F20"/>
          <w:spacing w:val="16"/>
          <w:position w:val="-1"/>
        </w:rPr>
        <w:drawing>
          <wp:inline distT="0" distB="0" distL="0" distR="0">
            <wp:extent cx="101600" cy="95250"/>
            <wp:effectExtent l="0" t="0" r="0" b="0"/>
            <wp:docPr id="1120" name="Image 1120"/>
            <wp:cNvGraphicFramePr>
              <a:graphicFrameLocks/>
            </wp:cNvGraphicFramePr>
            <a:graphic>
              <a:graphicData uri="http://schemas.openxmlformats.org/drawingml/2006/picture">
                <pic:pic>
                  <pic:nvPicPr>
                    <pic:cNvPr id="1120" name="Image 1120"/>
                    <pic:cNvPicPr/>
                  </pic:nvPicPr>
                  <pic:blipFill>
                    <a:blip r:embed="rId21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hAnsi="Times New Roman"/>
          <w:color w:val="231F20"/>
          <w:spacing w:val="40"/>
        </w:rPr>
        <w:t> </w:t>
      </w:r>
      <w:r>
        <w:rPr>
          <w:color w:val="231F20"/>
        </w:rPr>
        <w:t>is the initial rendering. The % Privileged Time value is almost completely obscured by the higher % User Time value. </w:t>
      </w:r>
      <w:r>
        <w:rPr>
          <w:color w:val="231F20"/>
          <w:spacing w:val="16"/>
          <w:position w:val="-1"/>
        </w:rPr>
        <w:drawing>
          <wp:inline distT="0" distB="0" distL="0" distR="0">
            <wp:extent cx="101600" cy="95250"/>
            <wp:effectExtent l="0" t="0" r="0" b="0"/>
            <wp:docPr id="1121" name="Image 1121"/>
            <wp:cNvGraphicFramePr>
              <a:graphicFrameLocks/>
            </wp:cNvGraphicFramePr>
            <a:graphic>
              <a:graphicData uri="http://schemas.openxmlformats.org/drawingml/2006/picture">
                <pic:pic>
                  <pic:nvPicPr>
                    <pic:cNvPr id="1121" name="Image 1121"/>
                    <pic:cNvPicPr/>
                  </pic:nvPicPr>
                  <pic:blipFill>
                    <a:blip r:embed="rId217"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hAnsi="Times New Roman"/>
          <w:color w:val="231F20"/>
          <w:spacing w:val="16"/>
        </w:rPr>
        <w:t> </w:t>
      </w:r>
      <w:r>
        <w:rPr>
          <w:color w:val="231F20"/>
        </w:rPr>
        <w:t>is the chart after moving the % Privileged Time column heading after %</w:t>
      </w:r>
      <w:r>
        <w:rPr>
          <w:color w:val="231F20"/>
          <w:spacing w:val="40"/>
        </w:rPr>
        <w:t> </w:t>
      </w:r>
      <w:r>
        <w:rPr>
          <w:color w:val="231F20"/>
        </w:rPr>
        <w:t>User Time in the Properties editor </w:t>
      </w:r>
      <w:r>
        <w:rPr>
          <w:rFonts w:ascii="Book Antiqua" w:hAnsi="Book Antiqua"/>
          <w:b/>
          <w:color w:val="231F20"/>
        </w:rPr>
        <w:t>Filters </w:t>
      </w:r>
      <w:r>
        <w:rPr>
          <w:color w:val="231F20"/>
        </w:rPr>
        <w:t>tab so that the highest value is plotted first, followed by the next highest value, and then the lowest value. Now all the</w:t>
      </w:r>
      <w:r>
        <w:rPr>
          <w:color w:val="231F20"/>
          <w:spacing w:val="40"/>
        </w:rPr>
        <w:t> </w:t>
      </w:r>
      <w:r>
        <w:rPr>
          <w:color w:val="231F20"/>
        </w:rPr>
        <w:t>values are revealed. </w:t>
      </w:r>
      <w:r>
        <w:rPr>
          <w:color w:val="231F20"/>
          <w:spacing w:val="16"/>
          <w:position w:val="-1"/>
        </w:rPr>
        <w:drawing>
          <wp:inline distT="0" distB="0" distL="0" distR="0">
            <wp:extent cx="101600" cy="95250"/>
            <wp:effectExtent l="0" t="0" r="0" b="0"/>
            <wp:docPr id="1122" name="Image 1122"/>
            <wp:cNvGraphicFramePr>
              <a:graphicFrameLocks/>
            </wp:cNvGraphicFramePr>
            <a:graphic>
              <a:graphicData uri="http://schemas.openxmlformats.org/drawingml/2006/picture">
                <pic:pic>
                  <pic:nvPicPr>
                    <pic:cNvPr id="1122" name="Image 1122"/>
                    <pic:cNvPicPr/>
                  </pic:nvPicPr>
                  <pic:blipFill>
                    <a:blip r:embed="rId21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hAnsi="Times New Roman"/>
          <w:color w:val="231F20"/>
          <w:spacing w:val="16"/>
        </w:rPr>
        <w:t> </w:t>
      </w:r>
      <w:r>
        <w:rPr>
          <w:color w:val="231F20"/>
        </w:rPr>
        <w:t>is the chart after changing </w:t>
      </w:r>
      <w:r>
        <w:rPr>
          <w:rFonts w:ascii="Book Antiqua" w:hAnsi="Book Antiqua"/>
          <w:b/>
          <w:color w:val="231F20"/>
        </w:rPr>
        <w:t>Type </w:t>
      </w:r>
      <w:r>
        <w:rPr>
          <w:color w:val="231F20"/>
        </w:rPr>
        <w:t>to “Stacking Area Chart”, whereby the values are stacked one upon the other.</w:t>
      </w:r>
    </w:p>
    <w:p>
      <w:pPr>
        <w:pStyle w:val="BodyText"/>
        <w:spacing w:before="9"/>
        <w:rPr>
          <w:sz w:val="19"/>
        </w:rPr>
      </w:pPr>
      <w:r>
        <w:rPr/>
        <mc:AlternateContent>
          <mc:Choice Requires="wps">
            <w:drawing>
              <wp:anchor distT="0" distB="0" distL="0" distR="0" allowOverlap="1" layoutInCell="1" locked="0" behindDoc="1" simplePos="0" relativeHeight="487672320">
                <wp:simplePos x="0" y="0"/>
                <wp:positionH relativeFrom="page">
                  <wp:posOffset>2204928</wp:posOffset>
                </wp:positionH>
                <wp:positionV relativeFrom="paragraph">
                  <wp:posOffset>184071</wp:posOffset>
                </wp:positionV>
                <wp:extent cx="1479550" cy="1835150"/>
                <wp:effectExtent l="0" t="0" r="0" b="0"/>
                <wp:wrapTopAndBottom/>
                <wp:docPr id="1123" name="Group 1123"/>
                <wp:cNvGraphicFramePr>
                  <a:graphicFrameLocks/>
                </wp:cNvGraphicFramePr>
                <a:graphic>
                  <a:graphicData uri="http://schemas.microsoft.com/office/word/2010/wordprocessingGroup">
                    <wpg:wgp>
                      <wpg:cNvPr id="1123" name="Group 1123"/>
                      <wpg:cNvGrpSpPr/>
                      <wpg:grpSpPr>
                        <a:xfrm>
                          <a:off x="0" y="0"/>
                          <a:ext cx="1479550" cy="1835150"/>
                          <a:chExt cx="1479550" cy="1835150"/>
                        </a:xfrm>
                      </wpg:grpSpPr>
                      <pic:pic>
                        <pic:nvPicPr>
                          <pic:cNvPr id="1124" name="Image 1124"/>
                          <pic:cNvPicPr/>
                        </pic:nvPicPr>
                        <pic:blipFill>
                          <a:blip r:embed="rId216" cstate="print"/>
                          <a:stretch>
                            <a:fillRect/>
                          </a:stretch>
                        </pic:blipFill>
                        <pic:spPr>
                          <a:xfrm>
                            <a:off x="0" y="1739900"/>
                            <a:ext cx="101600" cy="95250"/>
                          </a:xfrm>
                          <a:prstGeom prst="rect">
                            <a:avLst/>
                          </a:prstGeom>
                        </pic:spPr>
                      </pic:pic>
                      <pic:pic>
                        <pic:nvPicPr>
                          <pic:cNvPr id="1125" name="Image 1125"/>
                          <pic:cNvPicPr/>
                        </pic:nvPicPr>
                        <pic:blipFill>
                          <a:blip r:embed="rId219" cstate="print"/>
                          <a:stretch>
                            <a:fillRect/>
                          </a:stretch>
                        </pic:blipFill>
                        <pic:spPr>
                          <a:xfrm>
                            <a:off x="133055" y="0"/>
                            <a:ext cx="1346200" cy="1835150"/>
                          </a:xfrm>
                          <a:prstGeom prst="rect">
                            <a:avLst/>
                          </a:prstGeom>
                        </pic:spPr>
                      </pic:pic>
                    </wpg:wgp>
                  </a:graphicData>
                </a:graphic>
              </wp:anchor>
            </w:drawing>
          </mc:Choice>
          <mc:Fallback>
            <w:pict>
              <v:group style="position:absolute;margin-left:173.616394pt;margin-top:14.493794pt;width:116.5pt;height:144.5pt;mso-position-horizontal-relative:page;mso-position-vertical-relative:paragraph;z-index:-15644160;mso-wrap-distance-left:0;mso-wrap-distance-right:0" id="docshapegroup142" coordorigin="3472,290" coordsize="2330,2890">
                <v:shape style="position:absolute;left:3472;top:3029;width:160;height:150" type="#_x0000_t75" id="docshape143" stroked="false">
                  <v:imagedata r:id="rId216" o:title=""/>
                </v:shape>
                <v:shape style="position:absolute;left:3681;top:289;width:2120;height:2890" type="#_x0000_t75" id="docshape144" stroked="false">
                  <v:imagedata r:id="rId219" o:title=""/>
                </v:shape>
                <w10:wrap type="topAndBottom"/>
              </v:group>
            </w:pict>
          </mc:Fallback>
        </mc:AlternateContent>
      </w:r>
      <w:r>
        <w:rPr/>
        <mc:AlternateContent>
          <mc:Choice Requires="wps">
            <w:drawing>
              <wp:anchor distT="0" distB="0" distL="0" distR="0" allowOverlap="1" layoutInCell="1" locked="0" behindDoc="1" simplePos="0" relativeHeight="487672832">
                <wp:simplePos x="0" y="0"/>
                <wp:positionH relativeFrom="page">
                  <wp:posOffset>3755087</wp:posOffset>
                </wp:positionH>
                <wp:positionV relativeFrom="paragraph">
                  <wp:posOffset>184071</wp:posOffset>
                </wp:positionV>
                <wp:extent cx="1479550" cy="1835150"/>
                <wp:effectExtent l="0" t="0" r="0" b="0"/>
                <wp:wrapTopAndBottom/>
                <wp:docPr id="1126" name="Group 1126"/>
                <wp:cNvGraphicFramePr>
                  <a:graphicFrameLocks/>
                </wp:cNvGraphicFramePr>
                <a:graphic>
                  <a:graphicData uri="http://schemas.microsoft.com/office/word/2010/wordprocessingGroup">
                    <wpg:wgp>
                      <wpg:cNvPr id="1126" name="Group 1126"/>
                      <wpg:cNvGrpSpPr/>
                      <wpg:grpSpPr>
                        <a:xfrm>
                          <a:off x="0" y="0"/>
                          <a:ext cx="1479550" cy="1835150"/>
                          <a:chExt cx="1479550" cy="1835150"/>
                        </a:xfrm>
                      </wpg:grpSpPr>
                      <pic:pic>
                        <pic:nvPicPr>
                          <pic:cNvPr id="1127" name="Image 1127"/>
                          <pic:cNvPicPr/>
                        </pic:nvPicPr>
                        <pic:blipFill>
                          <a:blip r:embed="rId217" cstate="print"/>
                          <a:stretch>
                            <a:fillRect/>
                          </a:stretch>
                        </pic:blipFill>
                        <pic:spPr>
                          <a:xfrm>
                            <a:off x="0" y="1739900"/>
                            <a:ext cx="101600" cy="95250"/>
                          </a:xfrm>
                          <a:prstGeom prst="rect">
                            <a:avLst/>
                          </a:prstGeom>
                        </pic:spPr>
                      </pic:pic>
                      <pic:pic>
                        <pic:nvPicPr>
                          <pic:cNvPr id="1128" name="Image 1128"/>
                          <pic:cNvPicPr/>
                        </pic:nvPicPr>
                        <pic:blipFill>
                          <a:blip r:embed="rId220" cstate="print"/>
                          <a:stretch>
                            <a:fillRect/>
                          </a:stretch>
                        </pic:blipFill>
                        <pic:spPr>
                          <a:xfrm>
                            <a:off x="133056" y="0"/>
                            <a:ext cx="1346200" cy="1835150"/>
                          </a:xfrm>
                          <a:prstGeom prst="rect">
                            <a:avLst/>
                          </a:prstGeom>
                        </pic:spPr>
                      </pic:pic>
                    </wpg:wgp>
                  </a:graphicData>
                </a:graphic>
              </wp:anchor>
            </w:drawing>
          </mc:Choice>
          <mc:Fallback>
            <w:pict>
              <v:group style="position:absolute;margin-left:295.676208pt;margin-top:14.493794pt;width:116.5pt;height:144.5pt;mso-position-horizontal-relative:page;mso-position-vertical-relative:paragraph;z-index:-15643648;mso-wrap-distance-left:0;mso-wrap-distance-right:0" id="docshapegroup145" coordorigin="5914,290" coordsize="2330,2890">
                <v:shape style="position:absolute;left:5913;top:3029;width:160;height:150" type="#_x0000_t75" id="docshape146" stroked="false">
                  <v:imagedata r:id="rId217" o:title=""/>
                </v:shape>
                <v:shape style="position:absolute;left:6123;top:289;width:2120;height:2890" type="#_x0000_t75" id="docshape147" stroked="false">
                  <v:imagedata r:id="rId220" o:title=""/>
                </v:shape>
                <w10:wrap type="topAndBottom"/>
              </v:group>
            </w:pict>
          </mc:Fallback>
        </mc:AlternateContent>
      </w:r>
      <w:r>
        <w:rPr/>
        <mc:AlternateContent>
          <mc:Choice Requires="wps">
            <w:drawing>
              <wp:anchor distT="0" distB="0" distL="0" distR="0" allowOverlap="1" layoutInCell="1" locked="0" behindDoc="1" simplePos="0" relativeHeight="487673344">
                <wp:simplePos x="0" y="0"/>
                <wp:positionH relativeFrom="page">
                  <wp:posOffset>5305248</wp:posOffset>
                </wp:positionH>
                <wp:positionV relativeFrom="paragraph">
                  <wp:posOffset>184071</wp:posOffset>
                </wp:positionV>
                <wp:extent cx="1479550" cy="1835150"/>
                <wp:effectExtent l="0" t="0" r="0" b="0"/>
                <wp:wrapTopAndBottom/>
                <wp:docPr id="1129" name="Group 1129"/>
                <wp:cNvGraphicFramePr>
                  <a:graphicFrameLocks/>
                </wp:cNvGraphicFramePr>
                <a:graphic>
                  <a:graphicData uri="http://schemas.microsoft.com/office/word/2010/wordprocessingGroup">
                    <wpg:wgp>
                      <wpg:cNvPr id="1129" name="Group 1129"/>
                      <wpg:cNvGrpSpPr/>
                      <wpg:grpSpPr>
                        <a:xfrm>
                          <a:off x="0" y="0"/>
                          <a:ext cx="1479550" cy="1835150"/>
                          <a:chExt cx="1479550" cy="1835150"/>
                        </a:xfrm>
                      </wpg:grpSpPr>
                      <pic:pic>
                        <pic:nvPicPr>
                          <pic:cNvPr id="1130" name="Image 1130"/>
                          <pic:cNvPicPr/>
                        </pic:nvPicPr>
                        <pic:blipFill>
                          <a:blip r:embed="rId218" cstate="print"/>
                          <a:stretch>
                            <a:fillRect/>
                          </a:stretch>
                        </pic:blipFill>
                        <pic:spPr>
                          <a:xfrm>
                            <a:off x="0" y="1739900"/>
                            <a:ext cx="101600" cy="95250"/>
                          </a:xfrm>
                          <a:prstGeom prst="rect">
                            <a:avLst/>
                          </a:prstGeom>
                        </pic:spPr>
                      </pic:pic>
                      <pic:pic>
                        <pic:nvPicPr>
                          <pic:cNvPr id="1131" name="Image 1131"/>
                          <pic:cNvPicPr/>
                        </pic:nvPicPr>
                        <pic:blipFill>
                          <a:blip r:embed="rId221" cstate="print"/>
                          <a:stretch>
                            <a:fillRect/>
                          </a:stretch>
                        </pic:blipFill>
                        <pic:spPr>
                          <a:xfrm>
                            <a:off x="133055" y="0"/>
                            <a:ext cx="1346200" cy="1835150"/>
                          </a:xfrm>
                          <a:prstGeom prst="rect">
                            <a:avLst/>
                          </a:prstGeom>
                        </pic:spPr>
                      </pic:pic>
                    </wpg:wgp>
                  </a:graphicData>
                </a:graphic>
              </wp:anchor>
            </w:drawing>
          </mc:Choice>
          <mc:Fallback>
            <w:pict>
              <v:group style="position:absolute;margin-left:417.736115pt;margin-top:14.493794pt;width:116.5pt;height:144.5pt;mso-position-horizontal-relative:page;mso-position-vertical-relative:paragraph;z-index:-15643136;mso-wrap-distance-left:0;mso-wrap-distance-right:0" id="docshapegroup148" coordorigin="8355,290" coordsize="2330,2890">
                <v:shape style="position:absolute;left:8354;top:3029;width:160;height:150" type="#_x0000_t75" id="docshape149" stroked="false">
                  <v:imagedata r:id="rId218" o:title=""/>
                </v:shape>
                <v:shape style="position:absolute;left:8564;top:289;width:2120;height:2890" type="#_x0000_t75" id="docshape150" stroked="false">
                  <v:imagedata r:id="rId221" o:title=""/>
                </v:shape>
                <w10:wrap type="topAndBottom"/>
              </v:group>
            </w:pict>
          </mc:Fallback>
        </mc:AlternateContent>
      </w:r>
    </w:p>
    <w:p>
      <w:pPr>
        <w:pStyle w:val="Heading4"/>
        <w:spacing w:before="229"/>
        <w:ind w:left="2472"/>
      </w:pPr>
      <w:r>
        <w:rPr>
          <w:color w:val="231F20"/>
        </w:rPr>
        <w:t>Legend</w:t>
      </w:r>
      <w:r>
        <w:rPr>
          <w:color w:val="231F20"/>
          <w:spacing w:val="4"/>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274" w:firstLine="10"/>
      </w:pPr>
      <w:r>
        <w:rPr>
          <w:position w:val="-1"/>
        </w:rPr>
        <w:drawing>
          <wp:inline distT="0" distB="0" distL="0" distR="0">
            <wp:extent cx="95250" cy="95250"/>
            <wp:effectExtent l="0" t="0" r="0" b="0"/>
            <wp:docPr id="1132" name="Image 1132"/>
            <wp:cNvGraphicFramePr>
              <a:graphicFrameLocks/>
            </wp:cNvGraphicFramePr>
            <a:graphic>
              <a:graphicData uri="http://schemas.openxmlformats.org/drawingml/2006/picture">
                <pic:pic>
                  <pic:nvPicPr>
                    <pic:cNvPr id="1132" name="Image 1132"/>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control the display of the chart legend and its appearance, </w:t>
      </w:r>
      <w:r>
        <w:rPr>
          <w:color w:val="231F20"/>
        </w:rPr>
        <w:t>including the</w:t>
      </w:r>
      <w:r>
        <w:rPr>
          <w:color w:val="231F20"/>
          <w:spacing w:val="26"/>
        </w:rPr>
        <w:t> </w:t>
      </w:r>
      <w:r>
        <w:rPr>
          <w:color w:val="231F20"/>
        </w:rPr>
        <w:t>coloring</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data</w:t>
      </w:r>
      <w:r>
        <w:rPr>
          <w:color w:val="231F20"/>
          <w:spacing w:val="26"/>
        </w:rPr>
        <w:t> </w:t>
      </w:r>
      <w:r>
        <w:rPr>
          <w:color w:val="231F20"/>
        </w:rPr>
        <w:t>series:</w:t>
      </w:r>
      <w:r>
        <w:rPr>
          <w:color w:val="231F20"/>
          <w:spacing w:val="26"/>
        </w:rPr>
        <w:t> </w:t>
      </w:r>
      <w:r>
        <w:rPr>
          <w:color w:val="231F20"/>
        </w:rPr>
        <w:t>pie</w:t>
      </w:r>
      <w:r>
        <w:rPr>
          <w:color w:val="231F20"/>
          <w:spacing w:val="26"/>
        </w:rPr>
        <w:t> </w:t>
      </w:r>
      <w:r>
        <w:rPr>
          <w:color w:val="231F20"/>
        </w:rPr>
        <w:t>slices,</w:t>
      </w:r>
      <w:r>
        <w:rPr>
          <w:color w:val="231F20"/>
          <w:spacing w:val="26"/>
        </w:rPr>
        <w:t> </w:t>
      </w:r>
      <w:r>
        <w:rPr>
          <w:color w:val="231F20"/>
        </w:rPr>
        <w:t>bars,</w:t>
      </w:r>
      <w:r>
        <w:rPr>
          <w:color w:val="231F20"/>
          <w:spacing w:val="26"/>
        </w:rPr>
        <w:t> </w:t>
      </w:r>
      <w:r>
        <w:rPr>
          <w:color w:val="231F20"/>
        </w:rPr>
        <w:t>plot</w:t>
      </w:r>
      <w:r>
        <w:rPr>
          <w:color w:val="231F20"/>
          <w:spacing w:val="26"/>
        </w:rPr>
        <w:t> </w:t>
      </w:r>
      <w:r>
        <w:rPr>
          <w:color w:val="231F20"/>
        </w:rPr>
        <w:t>lines,</w:t>
      </w:r>
      <w:r>
        <w:rPr>
          <w:color w:val="231F20"/>
          <w:spacing w:val="26"/>
        </w:rPr>
        <w:t> </w:t>
      </w:r>
      <w:r>
        <w:rPr>
          <w:color w:val="231F20"/>
        </w:rPr>
        <w:t>and</w:t>
      </w:r>
      <w:r>
        <w:rPr>
          <w:color w:val="231F20"/>
          <w:spacing w:val="26"/>
        </w:rPr>
        <w:t> </w:t>
      </w:r>
      <w:r>
        <w:rPr>
          <w:color w:val="231F20"/>
        </w:rPr>
        <w:t>plot</w:t>
      </w:r>
      <w:r>
        <w:rPr>
          <w:color w:val="231F20"/>
          <w:spacing w:val="26"/>
        </w:rPr>
        <w:t> </w:t>
      </w:r>
      <w:r>
        <w:rPr>
          <w:color w:val="231F20"/>
        </w:rPr>
        <w:t>areas.</w:t>
      </w:r>
      <w:r>
        <w:rPr>
          <w:color w:val="231F20"/>
          <w:spacing w:val="26"/>
        </w:rPr>
        <w:t> </w:t>
      </w:r>
      <w:r>
        <w:rPr>
          <w:color w:val="231F20"/>
        </w:rPr>
        <w:t>See </w:t>
      </w:r>
      <w:hyperlink w:history="true" w:anchor="_bookmark92">
        <w:r>
          <w:rPr>
            <w:color w:val="231F20"/>
          </w:rPr>
          <w:t>“Legend Label” on page 121.</w:t>
        </w:r>
      </w:hyperlink>
    </w:p>
    <w:p>
      <w:pPr>
        <w:pStyle w:val="Heading4"/>
        <w:spacing w:before="199"/>
        <w:ind w:left="2472"/>
      </w:pPr>
      <w:r>
        <w:rPr>
          <w:color w:val="231F20"/>
        </w:rPr>
        <w:t>Value and</w:t>
      </w:r>
      <w:r>
        <w:rPr>
          <w:color w:val="231F20"/>
          <w:spacing w:val="1"/>
        </w:rPr>
        <w:t> </w:t>
      </w:r>
      <w:r>
        <w:rPr>
          <w:color w:val="231F20"/>
        </w:rPr>
        <w:t>Category</w:t>
      </w:r>
      <w:r>
        <w:rPr>
          <w:color w:val="231F20"/>
          <w:spacing w:val="-7"/>
        </w:rPr>
        <w:t> </w:t>
      </w:r>
      <w:r>
        <w:rPr>
          <w:color w:val="231F20"/>
          <w:spacing w:val="-4"/>
        </w:rPr>
        <w:t>Axes</w:t>
      </w:r>
    </w:p>
    <w:p>
      <w:pPr>
        <w:pStyle w:val="BodyText"/>
        <w:spacing w:line="213" w:lineRule="auto" w:before="241"/>
        <w:ind w:left="2472" w:right="202"/>
      </w:pPr>
      <w:r>
        <w:rPr>
          <w:color w:val="231F20"/>
        </w:rPr>
        <w:t>Edit the axis style properties to switch between vertical and horizontal orientation, and</w:t>
      </w:r>
      <w:r>
        <w:rPr>
          <w:color w:val="231F20"/>
          <w:spacing w:val="10"/>
        </w:rPr>
        <w:t> </w:t>
      </w:r>
      <w:r>
        <w:rPr>
          <w:color w:val="231F20"/>
        </w:rPr>
        <w:t>to</w:t>
      </w:r>
      <w:r>
        <w:rPr>
          <w:color w:val="231F20"/>
          <w:spacing w:val="10"/>
        </w:rPr>
        <w:t> </w:t>
      </w:r>
      <w:r>
        <w:rPr>
          <w:color w:val="231F20"/>
        </w:rPr>
        <w:t>add</w:t>
      </w:r>
      <w:r>
        <w:rPr>
          <w:color w:val="231F20"/>
          <w:spacing w:val="10"/>
        </w:rPr>
        <w:t> </w:t>
      </w:r>
      <w:r>
        <w:rPr>
          <w:color w:val="231F20"/>
        </w:rPr>
        <w:t>labels</w:t>
      </w:r>
      <w:r>
        <w:rPr>
          <w:color w:val="231F20"/>
          <w:spacing w:val="10"/>
        </w:rPr>
        <w:t> </w:t>
      </w:r>
      <w:r>
        <w:rPr>
          <w:color w:val="231F20"/>
        </w:rPr>
        <w:t>and</w:t>
      </w:r>
      <w:r>
        <w:rPr>
          <w:color w:val="231F20"/>
          <w:spacing w:val="10"/>
        </w:rPr>
        <w:t> </w:t>
      </w:r>
      <w:r>
        <w:rPr>
          <w:color w:val="231F20"/>
        </w:rPr>
        <w:t>styling</w:t>
      </w:r>
      <w:r>
        <w:rPr>
          <w:color w:val="231F20"/>
          <w:spacing w:val="10"/>
        </w:rPr>
        <w:t> </w:t>
      </w:r>
      <w:r>
        <w:rPr>
          <w:color w:val="231F20"/>
        </w:rPr>
        <w:t>options.</w:t>
      </w:r>
      <w:r>
        <w:rPr>
          <w:color w:val="231F20"/>
          <w:spacing w:val="10"/>
        </w:rPr>
        <w:t> </w:t>
      </w:r>
      <w:r>
        <w:rPr>
          <w:color w:val="231F20"/>
        </w:rPr>
        <w:t>See</w:t>
      </w:r>
      <w:r>
        <w:rPr>
          <w:color w:val="231F20"/>
          <w:spacing w:val="10"/>
        </w:rPr>
        <w:t> </w:t>
      </w:r>
      <w:hyperlink w:history="true" w:anchor="_bookmark93">
        <w:r>
          <w:rPr>
            <w:color w:val="231F20"/>
          </w:rPr>
          <w:t>“Value</w:t>
        </w:r>
        <w:r>
          <w:rPr>
            <w:color w:val="231F20"/>
            <w:spacing w:val="11"/>
          </w:rPr>
          <w:t> </w:t>
        </w:r>
        <w:r>
          <w:rPr>
            <w:color w:val="231F20"/>
          </w:rPr>
          <w:t>and</w:t>
        </w:r>
        <w:r>
          <w:rPr>
            <w:color w:val="231F20"/>
            <w:spacing w:val="10"/>
          </w:rPr>
          <w:t> </w:t>
        </w:r>
        <w:r>
          <w:rPr>
            <w:color w:val="231F20"/>
          </w:rPr>
          <w:t>Category</w:t>
        </w:r>
        <w:r>
          <w:rPr>
            <w:color w:val="231F20"/>
            <w:spacing w:val="3"/>
          </w:rPr>
          <w:t> </w:t>
        </w:r>
        <w:r>
          <w:rPr>
            <w:color w:val="231F20"/>
          </w:rPr>
          <w:t>Axes”</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4"/>
          </w:rPr>
          <w:t>123.</w:t>
        </w:r>
      </w:hyperlink>
    </w:p>
    <w:p>
      <w:pPr>
        <w:pStyle w:val="Heading4"/>
        <w:ind w:left="2472"/>
      </w:pPr>
      <w:r>
        <w:rPr>
          <w:color w:val="231F20"/>
        </w:rPr>
        <w:t>Footer</w:t>
      </w:r>
      <w:r>
        <w:rPr>
          <w:color w:val="231F20"/>
          <w:spacing w:val="5"/>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545" w:firstLine="10"/>
      </w:pPr>
      <w:r>
        <w:rPr>
          <w:position w:val="-1"/>
        </w:rPr>
        <w:drawing>
          <wp:inline distT="0" distB="0" distL="0" distR="0">
            <wp:extent cx="95250" cy="95250"/>
            <wp:effectExtent l="0" t="0" r="0" b="0"/>
            <wp:docPr id="1133" name="Image 1133"/>
            <wp:cNvGraphicFramePr>
              <a:graphicFrameLocks/>
            </wp:cNvGraphicFramePr>
            <a:graphic>
              <a:graphicData uri="http://schemas.openxmlformats.org/drawingml/2006/picture">
                <pic:pic>
                  <pic:nvPicPr>
                    <pic:cNvPr id="1133" name="Image 1133"/>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w:t>
        </w:r>
        <w:r>
          <w:rPr>
            <w:color w:val="231F20"/>
          </w:rPr>
          <w:t>page</w:t>
        </w:r>
      </w:hyperlink>
      <w:r>
        <w:rPr>
          <w:color w:val="231F20"/>
          <w:spacing w:val="40"/>
        </w:rPr>
        <w:t> </w:t>
      </w:r>
      <w:hyperlink w:history="true" w:anchor="_bookmark95">
        <w:r>
          <w:rPr>
            <w:color w:val="231F20"/>
            <w:spacing w:val="-4"/>
          </w:rPr>
          <w:t>124.</w:t>
        </w:r>
      </w:hyperlink>
    </w:p>
    <w:p>
      <w:pPr>
        <w:spacing w:after="0" w:line="213" w:lineRule="auto"/>
        <w:sectPr>
          <w:pgSz w:w="12240" w:h="15840"/>
          <w:pgMar w:header="0" w:footer="736" w:top="1140" w:bottom="920" w:left="1000" w:right="1060"/>
        </w:sectPr>
      </w:pPr>
    </w:p>
    <w:p>
      <w:pPr>
        <w:pStyle w:val="Heading6"/>
        <w:spacing w:line="240" w:lineRule="auto" w:before="62"/>
        <w:ind w:left="2232"/>
        <w:rPr>
          <w:rFonts w:ascii="Palatino Linotype"/>
          <w:b w:val="0"/>
        </w:rPr>
      </w:pPr>
      <w:bookmarkStart w:name="_bookmark84" w:id="185"/>
      <w:bookmarkEnd w:id="185"/>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8"/>
        <w:ind w:left="223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134" name="Image 1134"/>
            <wp:cNvGraphicFramePr>
              <a:graphicFrameLocks/>
            </wp:cNvGraphicFramePr>
            <a:graphic>
              <a:graphicData uri="http://schemas.openxmlformats.org/drawingml/2006/picture">
                <pic:pic>
                  <pic:nvPicPr>
                    <pic:cNvPr id="1134" name="Image 1134"/>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135" name="Image 1135"/>
            <wp:cNvGraphicFramePr>
              <a:graphicFrameLocks/>
            </wp:cNvGraphicFramePr>
            <a:graphic>
              <a:graphicData uri="http://schemas.openxmlformats.org/drawingml/2006/picture">
                <pic:pic>
                  <pic:nvPicPr>
                    <pic:cNvPr id="1135" name="Image 1135"/>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136" name="Image 1136"/>
            <wp:cNvGraphicFramePr>
              <a:graphicFrameLocks/>
            </wp:cNvGraphicFramePr>
            <a:graphic>
              <a:graphicData uri="http://schemas.openxmlformats.org/drawingml/2006/picture">
                <pic:pic>
                  <pic:nvPicPr>
                    <pic:cNvPr id="1136" name="Image 1136"/>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137" name="Image 1137"/>
            <wp:cNvGraphicFramePr>
              <a:graphicFrameLocks/>
            </wp:cNvGraphicFramePr>
            <a:graphic>
              <a:graphicData uri="http://schemas.openxmlformats.org/drawingml/2006/picture">
                <pic:pic>
                  <pic:nvPicPr>
                    <pic:cNvPr id="1137" name="Image 1137"/>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138" name="Image 1138"/>
            <wp:cNvGraphicFramePr>
              <a:graphicFrameLocks/>
            </wp:cNvGraphicFramePr>
            <a:graphic>
              <a:graphicData uri="http://schemas.openxmlformats.org/drawingml/2006/picture">
                <pic:pic>
                  <pic:nvPicPr>
                    <pic:cNvPr id="1138" name="Image 1138"/>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139" name="Image 1139"/>
            <wp:cNvGraphicFramePr>
              <a:graphicFrameLocks/>
            </wp:cNvGraphicFramePr>
            <a:graphic>
              <a:graphicData uri="http://schemas.openxmlformats.org/drawingml/2006/picture">
                <pic:pic>
                  <pic:nvPicPr>
                    <pic:cNvPr id="1139" name="Image 1139"/>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BodyText"/>
        <w:spacing w:line="255" w:lineRule="exact" w:before="35"/>
        <w:ind w:left="2232"/>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8"/>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BodyText"/>
        <w:spacing w:line="255" w:lineRule="exact" w:before="34"/>
        <w:ind w:left="2232"/>
        <w:jc w:val="both"/>
      </w:pPr>
      <w:hyperlink w:history="true" w:anchor="_bookmark95">
        <w:r>
          <w:rPr>
            <w:color w:val="231F20"/>
          </w:rPr>
          <w:t>“Adding</w:t>
        </w:r>
        <w:r>
          <w:rPr>
            <w:color w:val="231F20"/>
            <w:spacing w:val="10"/>
          </w:rPr>
          <w:t> </w:t>
        </w:r>
        <w:r>
          <w:rPr>
            <w:color w:val="231F20"/>
          </w:rPr>
          <w:t>monitored</w:t>
        </w:r>
        <w:r>
          <w:rPr>
            <w:color w:val="231F20"/>
            <w:spacing w:val="11"/>
          </w:rPr>
          <w:t> </w:t>
        </w:r>
        <w:r>
          <w:rPr>
            <w:color w:val="231F20"/>
          </w:rPr>
          <w:t>baselines</w:t>
        </w:r>
        <w:r>
          <w:rPr>
            <w:color w:val="231F20"/>
            <w:spacing w:val="10"/>
          </w:rPr>
          <w:t> </w:t>
        </w:r>
        <w:r>
          <w:rPr>
            <w:color w:val="231F20"/>
          </w:rPr>
          <w:t>to</w:t>
        </w:r>
        <w:r>
          <w:rPr>
            <w:color w:val="231F20"/>
            <w:spacing w:val="11"/>
          </w:rPr>
          <w:t> </w:t>
        </w:r>
        <w:r>
          <w:rPr>
            <w:color w:val="231F20"/>
          </w:rPr>
          <w:t>a</w:t>
        </w:r>
        <w:r>
          <w:rPr>
            <w:color w:val="231F20"/>
            <w:spacing w:val="10"/>
          </w:rPr>
          <w:t> </w:t>
        </w:r>
        <w:r>
          <w:rPr>
            <w:color w:val="231F20"/>
          </w:rPr>
          <w:t>chart”</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124</w:t>
        </w:r>
      </w:hyperlink>
    </w:p>
    <w:p>
      <w:pPr>
        <w:pStyle w:val="BodyText"/>
        <w:spacing w:line="213" w:lineRule="auto" w:before="8"/>
        <w:ind w:left="2232" w:right="636"/>
      </w:pPr>
      <w:r>
        <w:rPr>
          <w:color w:val="231F20"/>
        </w:rPr>
        <w:t>Apply a monitored baseline of a situation's threshold criteria to a bar chart, plot chart, or area chart to see how effective the situation is in this environment. You can visually compare the current values in the chart with the situation and adjust the thresholds as needed.</w:t>
      </w:r>
    </w:p>
    <w:p>
      <w:pPr>
        <w:pStyle w:val="BodyText"/>
        <w:spacing w:line="255" w:lineRule="exact" w:before="34"/>
        <w:ind w:left="2232"/>
      </w:pPr>
      <w:hyperlink w:history="true" w:anchor="_bookmark97">
        <w:r>
          <w:rPr>
            <w:color w:val="231F20"/>
          </w:rPr>
          <w:t>“Adding</w:t>
        </w:r>
        <w:r>
          <w:rPr>
            <w:color w:val="231F20"/>
            <w:spacing w:val="11"/>
          </w:rPr>
          <w:t> </w:t>
        </w:r>
        <w:r>
          <w:rPr>
            <w:color w:val="231F20"/>
          </w:rPr>
          <w:t>statistical</w:t>
        </w:r>
        <w:r>
          <w:rPr>
            <w:color w:val="231F20"/>
            <w:spacing w:val="11"/>
          </w:rPr>
          <w:t> </w:t>
        </w:r>
        <w:r>
          <w:rPr>
            <w:color w:val="231F20"/>
          </w:rPr>
          <w:t>baselines</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2"/>
          </w:rPr>
          <w:t> </w:t>
        </w:r>
        <w:r>
          <w:rPr>
            <w:color w:val="231F20"/>
            <w:spacing w:val="-5"/>
          </w:rPr>
          <w:t>128</w:t>
        </w:r>
      </w:hyperlink>
    </w:p>
    <w:p>
      <w:pPr>
        <w:pStyle w:val="BodyText"/>
        <w:spacing w:line="213" w:lineRule="auto" w:before="8"/>
        <w:ind w:left="2232" w:right="688"/>
        <w:jc w:val="both"/>
      </w:pPr>
      <w:r>
        <w:rPr>
          <w:color w:val="231F20"/>
        </w:rPr>
        <w:t>Use the statistical baseline function on a plot chart or area chart to apply any of these statistical functions to the selected attribute: Range between minimum </w:t>
      </w:r>
      <w:r>
        <w:rPr>
          <w:color w:val="231F20"/>
        </w:rPr>
        <w:t>and maximum, average, minimum, maximum, percentile, and mode.</w:t>
      </w:r>
    </w:p>
    <w:p>
      <w:pPr>
        <w:pStyle w:val="Heading3"/>
        <w:spacing w:before="217"/>
        <w:ind w:left="1334"/>
      </w:pPr>
      <w:bookmarkStart w:name="Circular gauge chart" w:id="186"/>
      <w:bookmarkEnd w:id="186"/>
      <w:r>
        <w:rPr>
          <w:b w:val="0"/>
        </w:rPr>
      </w:r>
      <w:r>
        <w:rPr>
          <w:color w:val="231F20"/>
        </w:rPr>
        <w:t>Circular</w:t>
      </w:r>
      <w:r>
        <w:rPr>
          <w:color w:val="231F20"/>
          <w:spacing w:val="5"/>
        </w:rPr>
        <w:t> </w:t>
      </w:r>
      <w:r>
        <w:rPr>
          <w:color w:val="231F20"/>
        </w:rPr>
        <w:t>gauge</w:t>
      </w:r>
      <w:r>
        <w:rPr>
          <w:color w:val="231F20"/>
          <w:spacing w:val="6"/>
        </w:rPr>
        <w:t> </w:t>
      </w:r>
      <w:r>
        <w:rPr>
          <w:color w:val="231F20"/>
          <w:spacing w:val="-2"/>
        </w:rPr>
        <w:t>chart</w:t>
      </w:r>
    </w:p>
    <w:p>
      <w:pPr>
        <w:pStyle w:val="BodyText"/>
        <w:spacing w:line="213" w:lineRule="auto" w:before="58"/>
        <w:ind w:left="2232" w:right="545"/>
      </w:pPr>
      <w:r>
        <w:rPr>
          <w:color w:val="231F20"/>
        </w:rPr>
        <w:t>Add</w:t>
      </w:r>
      <w:r>
        <w:rPr>
          <w:color w:val="231F20"/>
          <w:spacing w:val="27"/>
        </w:rPr>
        <w:t> </w:t>
      </w:r>
      <w:r>
        <w:rPr>
          <w:color w:val="231F20"/>
        </w:rPr>
        <w:t>a</w:t>
      </w:r>
      <w:r>
        <w:rPr>
          <w:color w:val="231F20"/>
          <w:spacing w:val="27"/>
        </w:rPr>
        <w:t> </w:t>
      </w:r>
      <w:r>
        <w:rPr>
          <w:color w:val="231F20"/>
        </w:rPr>
        <w:t>circular</w:t>
      </w:r>
      <w:r>
        <w:rPr>
          <w:color w:val="231F20"/>
          <w:spacing w:val="27"/>
        </w:rPr>
        <w:t> </w:t>
      </w:r>
      <w:r>
        <w:rPr>
          <w:color w:val="231F20"/>
        </w:rPr>
        <w:t>gauge</w:t>
      </w:r>
      <w:r>
        <w:rPr>
          <w:color w:val="231F20"/>
          <w:spacing w:val="27"/>
        </w:rPr>
        <w:t> </w:t>
      </w:r>
      <w:r>
        <w:rPr>
          <w:color w:val="231F20"/>
        </w:rPr>
        <w:t>chart</w:t>
      </w:r>
      <w:r>
        <w:rPr>
          <w:color w:val="231F20"/>
          <w:spacing w:val="27"/>
        </w:rPr>
        <w:t> </w:t>
      </w:r>
      <w:r>
        <w:rPr>
          <w:color w:val="231F20"/>
        </w:rPr>
        <w:t>to</w:t>
      </w:r>
      <w:r>
        <w:rPr>
          <w:color w:val="231F20"/>
          <w:spacing w:val="27"/>
        </w:rPr>
        <w:t> </w:t>
      </w:r>
      <w:r>
        <w:rPr>
          <w:color w:val="231F20"/>
        </w:rPr>
        <w:t>a</w:t>
      </w:r>
      <w:r>
        <w:rPr>
          <w:color w:val="231F20"/>
          <w:spacing w:val="27"/>
        </w:rPr>
        <w:t> </w:t>
      </w:r>
      <w:r>
        <w:rPr>
          <w:color w:val="231F20"/>
        </w:rPr>
        <w:t>workspace</w:t>
      </w:r>
      <w:r>
        <w:rPr>
          <w:color w:val="231F20"/>
          <w:spacing w:val="27"/>
        </w:rPr>
        <w:t> </w:t>
      </w:r>
      <w:r>
        <w:rPr>
          <w:color w:val="231F20"/>
        </w:rPr>
        <w:t>to</w:t>
      </w:r>
      <w:r>
        <w:rPr>
          <w:color w:val="231F20"/>
          <w:spacing w:val="27"/>
        </w:rPr>
        <w:t> </w:t>
      </w:r>
      <w:r>
        <w:rPr>
          <w:color w:val="231F20"/>
        </w:rPr>
        <w:t>show</w:t>
      </w:r>
      <w:r>
        <w:rPr>
          <w:color w:val="231F20"/>
          <w:spacing w:val="27"/>
        </w:rPr>
        <w:t> </w:t>
      </w:r>
      <w:r>
        <w:rPr>
          <w:color w:val="231F20"/>
        </w:rPr>
        <w:t>individual</w:t>
      </w:r>
      <w:r>
        <w:rPr>
          <w:color w:val="231F20"/>
          <w:spacing w:val="27"/>
        </w:rPr>
        <w:t> </w:t>
      </w:r>
      <w:r>
        <w:rPr>
          <w:color w:val="231F20"/>
        </w:rPr>
        <w:t>elements</w:t>
      </w:r>
      <w:r>
        <w:rPr>
          <w:color w:val="231F20"/>
          <w:spacing w:val="27"/>
        </w:rPr>
        <w:t> </w:t>
      </w:r>
      <w:r>
        <w:rPr>
          <w:color w:val="231F20"/>
        </w:rPr>
        <w:t>that change frequently. Use the chart styling options that are available in the Properties editor to refine the appearance and to add options.</w:t>
      </w:r>
    </w:p>
    <w:p>
      <w:pPr>
        <w:pStyle w:val="BodyText"/>
        <w:spacing w:line="213" w:lineRule="auto" w:before="237"/>
        <w:ind w:left="2232" w:right="988"/>
        <w:jc w:val="both"/>
      </w:pPr>
      <w:r>
        <w:rPr>
          <w:color w:val="231F20"/>
        </w:rPr>
        <w:t>The circular gauge chart shows the proportional amount of a data series, </w:t>
      </w:r>
      <w:r>
        <w:rPr>
          <w:color w:val="231F20"/>
        </w:rPr>
        <w:t>one gauge for each attribute chosen. This type of chart is well suited for showing individual elements that change frequently, such as percentage user time.</w:t>
      </w:r>
    </w:p>
    <w:p>
      <w:pPr>
        <w:pStyle w:val="BodyText"/>
        <w:spacing w:line="213" w:lineRule="auto" w:before="238"/>
        <w:ind w:left="2232" w:right="769"/>
        <w:jc w:val="both"/>
      </w:pPr>
      <w:r>
        <w:rPr>
          <w:color w:val="231F20"/>
        </w:rPr>
        <w:t>If the attribute displayed is from a multiple-row attribute group, only the value from the first row is charted. The circular gauge chart can show data from only one managed system.</w:t>
      </w:r>
    </w:p>
    <w:p>
      <w:pPr>
        <w:pStyle w:val="BodyText"/>
        <w:spacing w:line="213" w:lineRule="auto" w:before="237"/>
        <w:ind w:left="2232" w:right="545"/>
      </w:pPr>
      <w:r>
        <w:rPr>
          <w:color w:val="231F20"/>
        </w:rPr>
        <w:t>After adding the chart, use the styling options in the Properties editor to refine </w:t>
      </w:r>
      <w:r>
        <w:rPr>
          <w:color w:val="231F20"/>
        </w:rPr>
        <w:t>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140" name="Image 1140"/>
            <wp:cNvGraphicFramePr>
              <a:graphicFrameLocks/>
            </wp:cNvGraphicFramePr>
            <a:graphic>
              <a:graphicData uri="http://schemas.openxmlformats.org/drawingml/2006/picture">
                <pic:pic>
                  <pic:nvPicPr>
                    <pic:cNvPr id="1140" name="Image 1140"/>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141" name="Image 1141"/>
            <wp:cNvGraphicFramePr>
              <a:graphicFrameLocks/>
            </wp:cNvGraphicFramePr>
            <a:graphic>
              <a:graphicData uri="http://schemas.openxmlformats.org/drawingml/2006/picture">
                <pic:pic>
                  <pic:nvPicPr>
                    <pic:cNvPr id="1141" name="Image 1141"/>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37"/>
      </w:pPr>
      <w:r>
        <w:rPr/>
        <w:drawing>
          <wp:anchor distT="0" distB="0" distL="0" distR="0" allowOverlap="1" layoutInCell="1" locked="0" behindDoc="1" simplePos="0" relativeHeight="487673856">
            <wp:simplePos x="0" y="0"/>
            <wp:positionH relativeFrom="page">
              <wp:posOffset>3399403</wp:posOffset>
            </wp:positionH>
            <wp:positionV relativeFrom="paragraph">
              <wp:posOffset>274100</wp:posOffset>
            </wp:positionV>
            <wp:extent cx="2093214" cy="753046"/>
            <wp:effectExtent l="0" t="0" r="0" b="0"/>
            <wp:wrapTopAndBottom/>
            <wp:docPr id="1142" name="Image 1142"/>
            <wp:cNvGraphicFramePr>
              <a:graphicFrameLocks/>
            </wp:cNvGraphicFramePr>
            <a:graphic>
              <a:graphicData uri="http://schemas.openxmlformats.org/drawingml/2006/picture">
                <pic:pic>
                  <pic:nvPicPr>
                    <pic:cNvPr id="1142" name="Image 1142"/>
                    <pic:cNvPicPr/>
                  </pic:nvPicPr>
                  <pic:blipFill>
                    <a:blip r:embed="rId222" cstate="print"/>
                    <a:stretch>
                      <a:fillRect/>
                    </a:stretch>
                  </pic:blipFill>
                  <pic:spPr>
                    <a:xfrm>
                      <a:off x="0" y="0"/>
                      <a:ext cx="2093214" cy="753046"/>
                    </a:xfrm>
                    <a:prstGeom prst="rect">
                      <a:avLst/>
                    </a:prstGeom>
                  </pic:spPr>
                </pic:pic>
              </a:graphicData>
            </a:graphic>
          </wp:anchor>
        </w:drawing>
      </w:r>
    </w:p>
    <w:p>
      <w:pPr>
        <w:pStyle w:val="Heading4"/>
        <w:spacing w:before="298"/>
      </w:pPr>
      <w:r>
        <w:rPr>
          <w:color w:val="231F20"/>
        </w:rPr>
        <w:t>Header</w:t>
      </w:r>
      <w:r>
        <w:rPr>
          <w:color w:val="231F20"/>
          <w:spacing w:val="4"/>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603" w:firstLine="10"/>
      </w:pPr>
      <w:r>
        <w:rPr>
          <w:position w:val="-1"/>
        </w:rPr>
        <w:drawing>
          <wp:inline distT="0" distB="0" distL="0" distR="0">
            <wp:extent cx="95250" cy="95250"/>
            <wp:effectExtent l="0" t="0" r="0" b="0"/>
            <wp:docPr id="1143" name="Image 1143"/>
            <wp:cNvGraphicFramePr>
              <a:graphicFrameLocks/>
            </wp:cNvGraphicFramePr>
            <a:graphic>
              <a:graphicData uri="http://schemas.openxmlformats.org/drawingml/2006/picture">
                <pic:pic>
                  <pic:nvPicPr>
                    <pic:cNvPr id="1143" name="Image 1143"/>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2"/>
        </w:rPr>
        <w:t> </w:t>
      </w:r>
      <w:r>
        <w:rPr>
          <w:rFonts w:ascii="Book Antiqua" w:hAnsi="Book Antiqua"/>
          <w:b/>
          <w:color w:val="231F20"/>
        </w:rPr>
        <w:t>Style </w:t>
      </w:r>
      <w:r>
        <w:rPr>
          <w:color w:val="231F20"/>
        </w:rPr>
        <w:t>tab to add a title to the view, which shows in the view title bar. You can also apply the title as a view header, add a border, and change the text style. The default name is </w:t>
      </w:r>
      <w:r>
        <w:rPr>
          <w:rFonts w:ascii="Book Antiqua" w:hAnsi="Book Antiqua"/>
          <w:b/>
          <w:color w:val="231F20"/>
        </w:rPr>
        <w:t>Pie Chart</w:t>
      </w:r>
      <w:r>
        <w:rPr>
          <w:color w:val="231F20"/>
        </w:rPr>
        <w:t>. See </w:t>
      </w:r>
      <w:hyperlink w:history="true" w:anchor="_bookmark86">
        <w:r>
          <w:rPr>
            <w:color w:val="231F20"/>
          </w:rPr>
          <w:t>“Header Label” on page 115.</w:t>
        </w:r>
      </w:hyperlink>
    </w:p>
    <w:p>
      <w:pPr>
        <w:spacing w:after="0" w:line="213" w:lineRule="auto"/>
        <w:sectPr>
          <w:pgSz w:w="12240" w:h="15840"/>
          <w:pgMar w:header="0" w:footer="736" w:top="1180" w:bottom="920" w:left="1000" w:right="1060"/>
        </w:sectPr>
      </w:pPr>
    </w:p>
    <w:p>
      <w:pPr>
        <w:pStyle w:val="Heading4"/>
        <w:spacing w:before="86"/>
        <w:ind w:left="2472"/>
      </w:pPr>
      <w:bookmarkStart w:name="_bookmark85" w:id="187"/>
      <w:bookmarkEnd w:id="187"/>
      <w:r>
        <w:rPr>
          <w:b w:val="0"/>
        </w:rPr>
      </w:r>
      <w:r>
        <w:rPr>
          <w:color w:val="231F20"/>
        </w:rPr>
        <w:t>Plot</w:t>
      </w:r>
      <w:r>
        <w:rPr>
          <w:color w:val="231F20"/>
          <w:spacing w:val="-1"/>
        </w:rPr>
        <w:t> </w:t>
      </w:r>
      <w:r>
        <w:rPr>
          <w:color w:val="231F20"/>
          <w:spacing w:val="-4"/>
        </w:rPr>
        <w:t>Area</w:t>
      </w:r>
    </w:p>
    <w:p>
      <w:pPr>
        <w:pStyle w:val="BodyText"/>
        <w:spacing w:line="213" w:lineRule="auto" w:before="242"/>
        <w:ind w:left="2472"/>
      </w:pPr>
      <w:r>
        <w:rPr>
          <w:color w:val="231F20"/>
        </w:rPr>
        <w:t>Click the circular gauge in the thumbnail graphic to open these tabs: Scale, </w:t>
      </w:r>
      <w:r>
        <w:rPr>
          <w:color w:val="231F20"/>
        </w:rPr>
        <w:t>Center, Needle, Tick, and Range. See </w:t>
      </w:r>
      <w:hyperlink w:history="true" w:anchor="_bookmark86">
        <w:r>
          <w:rPr>
            <w:color w:val="231F20"/>
          </w:rPr>
          <w:t>“Plot Area” on page 115.</w:t>
        </w:r>
      </w:hyperlink>
    </w:p>
    <w:p>
      <w:pPr>
        <w:pStyle w:val="Heading4"/>
        <w:spacing w:before="199"/>
        <w:ind w:left="2472"/>
      </w:pPr>
      <w:r>
        <w:rPr>
          <w:color w:val="231F20"/>
        </w:rPr>
        <w:t>Legend</w:t>
      </w:r>
      <w:r>
        <w:rPr>
          <w:color w:val="231F20"/>
          <w:spacing w:val="4"/>
        </w:rPr>
        <w:t> </w:t>
      </w:r>
      <w:r>
        <w:rPr>
          <w:color w:val="231F20"/>
          <w:spacing w:val="-2"/>
        </w:rPr>
        <w:t>Label</w:t>
      </w:r>
    </w:p>
    <w:p>
      <w:pPr>
        <w:pStyle w:val="BodyText"/>
        <w:spacing w:line="213" w:lineRule="auto" w:before="242"/>
        <w:ind w:left="2472" w:right="385"/>
      </w:pPr>
      <w:r>
        <w:rPr>
          <w:color w:val="231F20"/>
        </w:rPr>
        <w:t>Use this tab to specify the colors and text associated with the data points and </w:t>
      </w:r>
      <w:r>
        <w:rPr>
          <w:color w:val="231F20"/>
        </w:rPr>
        <w:t>data</w:t>
      </w:r>
      <w:r>
        <w:rPr>
          <w:color w:val="231F20"/>
          <w:spacing w:val="40"/>
        </w:rPr>
        <w:t> </w:t>
      </w:r>
      <w:r>
        <w:rPr>
          <w:color w:val="231F20"/>
        </w:rPr>
        <w:t>series in the chart.</w:t>
      </w:r>
    </w:p>
    <w:p>
      <w:pPr>
        <w:pStyle w:val="Heading6"/>
      </w:pPr>
      <w:r>
        <w:rPr>
          <w:color w:val="231F20"/>
          <w:spacing w:val="-2"/>
        </w:rPr>
        <w:t>Legends</w:t>
      </w:r>
    </w:p>
    <w:p>
      <w:pPr>
        <w:pStyle w:val="BodyText"/>
        <w:spacing w:line="213" w:lineRule="auto" w:before="11"/>
        <w:ind w:left="3190" w:right="258"/>
      </w:pPr>
      <w:r>
        <w:rPr>
          <w:color w:val="231F20"/>
        </w:rPr>
        <w:t>Lists the attributes that are being plotted. Select an attribute from the list </w:t>
      </w:r>
      <w:r>
        <w:rPr>
          <w:color w:val="231F20"/>
        </w:rPr>
        <w:t>to see and change the legend text or the plot point (or series) color.</w:t>
      </w:r>
    </w:p>
    <w:p>
      <w:pPr>
        <w:pStyle w:val="BodyText"/>
        <w:tabs>
          <w:tab w:pos="3190" w:val="left" w:leader="none"/>
        </w:tabs>
        <w:spacing w:before="95"/>
        <w:ind w:left="2472"/>
      </w:pPr>
      <w:r>
        <w:rPr>
          <w:rFonts w:ascii="Book Antiqua"/>
          <w:b/>
          <w:color w:val="231F20"/>
          <w:spacing w:val="-4"/>
        </w:rPr>
        <w:t>Text</w:t>
      </w:r>
      <w:r>
        <w:rPr>
          <w:rFonts w:ascii="Book Antiqua"/>
          <w:b/>
          <w:color w:val="231F20"/>
        </w:rPr>
        <w:tab/>
      </w:r>
      <w:r>
        <w:rPr>
          <w:color w:val="231F20"/>
        </w:rPr>
        <w:t>The</w:t>
      </w:r>
      <w:r>
        <w:rPr>
          <w:color w:val="231F20"/>
          <w:spacing w:val="11"/>
        </w:rPr>
        <w:t> </w:t>
      </w:r>
      <w:r>
        <w:rPr>
          <w:color w:val="231F20"/>
        </w:rPr>
        <w:t>legend</w:t>
      </w:r>
      <w:r>
        <w:rPr>
          <w:color w:val="231F20"/>
          <w:spacing w:val="12"/>
        </w:rPr>
        <w:t> </w:t>
      </w:r>
      <w:r>
        <w:rPr>
          <w:color w:val="231F20"/>
        </w:rPr>
        <w:t>label</w:t>
      </w:r>
      <w:r>
        <w:rPr>
          <w:color w:val="231F20"/>
          <w:spacing w:val="12"/>
        </w:rPr>
        <w:t> </w:t>
      </w:r>
      <w:r>
        <w:rPr>
          <w:color w:val="231F20"/>
        </w:rPr>
        <w:t>text.</w:t>
      </w:r>
      <w:r>
        <w:rPr>
          <w:color w:val="231F20"/>
          <w:spacing w:val="12"/>
        </w:rPr>
        <w:t> </w:t>
      </w:r>
      <w:r>
        <w:rPr>
          <w:color w:val="231F20"/>
        </w:rPr>
        <w:t>By</w:t>
      </w:r>
      <w:r>
        <w:rPr>
          <w:color w:val="231F20"/>
          <w:spacing w:val="12"/>
        </w:rPr>
        <w:t> </w:t>
      </w:r>
      <w:r>
        <w:rPr>
          <w:color w:val="231F20"/>
        </w:rPr>
        <w:t>default,</w:t>
      </w:r>
      <w:r>
        <w:rPr>
          <w:color w:val="231F20"/>
          <w:spacing w:val="12"/>
        </w:rPr>
        <w:t> </w:t>
      </w:r>
      <w:r>
        <w:rPr>
          <w:color w:val="231F20"/>
        </w:rPr>
        <w:t>this</w:t>
      </w:r>
      <w:r>
        <w:rPr>
          <w:color w:val="231F20"/>
          <w:spacing w:val="11"/>
        </w:rPr>
        <w:t> </w:t>
      </w:r>
      <w:r>
        <w:rPr>
          <w:color w:val="231F20"/>
        </w:rPr>
        <w:t>is</w:t>
      </w:r>
      <w:r>
        <w:rPr>
          <w:color w:val="231F20"/>
          <w:spacing w:val="12"/>
        </w:rPr>
        <w:t> </w:t>
      </w:r>
      <w:r>
        <w:rPr>
          <w:color w:val="231F20"/>
        </w:rPr>
        <w:t>the</w:t>
      </w:r>
      <w:r>
        <w:rPr>
          <w:color w:val="231F20"/>
          <w:spacing w:val="12"/>
        </w:rPr>
        <w:t> </w:t>
      </w:r>
      <w:r>
        <w:rPr>
          <w:color w:val="231F20"/>
        </w:rPr>
        <w:t>attribute</w:t>
      </w:r>
      <w:r>
        <w:rPr>
          <w:color w:val="231F20"/>
          <w:spacing w:val="12"/>
        </w:rPr>
        <w:t> </w:t>
      </w:r>
      <w:r>
        <w:rPr>
          <w:color w:val="231F20"/>
          <w:spacing w:val="-2"/>
        </w:rPr>
        <w:t>name.</w:t>
      </w:r>
    </w:p>
    <w:p>
      <w:pPr>
        <w:pStyle w:val="Heading4"/>
        <w:spacing w:before="194"/>
        <w:ind w:left="2472"/>
      </w:pPr>
      <w:r>
        <w:rPr>
          <w:color w:val="231F20"/>
        </w:rPr>
        <w:t>Value</w:t>
      </w:r>
      <w:r>
        <w:rPr>
          <w:color w:val="231F20"/>
          <w:spacing w:val="-8"/>
        </w:rPr>
        <w:t> </w:t>
      </w:r>
      <w:r>
        <w:rPr>
          <w:color w:val="231F20"/>
          <w:spacing w:val="-2"/>
        </w:rPr>
        <w:t>Label</w:t>
      </w:r>
    </w:p>
    <w:p>
      <w:pPr>
        <w:pStyle w:val="BodyText"/>
        <w:spacing w:line="213" w:lineRule="auto" w:before="242"/>
        <w:ind w:left="2472" w:right="258"/>
      </w:pPr>
      <w:r>
        <w:rPr>
          <w:color w:val="231F20"/>
        </w:rPr>
        <w:t>Select the Value Label area of the gauge chart thumbnail graphic in the Properties editor</w:t>
      </w:r>
      <w:r>
        <w:rPr>
          <w:color w:val="231F20"/>
          <w:spacing w:val="26"/>
        </w:rPr>
        <w:t> </w:t>
      </w:r>
      <w:r>
        <w:rPr>
          <w:color w:val="231F20"/>
          <w:spacing w:val="-24"/>
          <w:position w:val="-1"/>
        </w:rPr>
        <w:drawing>
          <wp:inline distT="0" distB="0" distL="0" distR="0">
            <wp:extent cx="95250" cy="95250"/>
            <wp:effectExtent l="0" t="0" r="0" b="0"/>
            <wp:docPr id="1144" name="Image 1144"/>
            <wp:cNvGraphicFramePr>
              <a:graphicFrameLocks/>
            </wp:cNvGraphicFramePr>
            <a:graphic>
              <a:graphicData uri="http://schemas.openxmlformats.org/drawingml/2006/picture">
                <pic:pic>
                  <pic:nvPicPr>
                    <pic:cNvPr id="1144" name="Image 1144"/>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3"/>
        </w:rPr>
        <w:t> </w:t>
      </w:r>
      <w:r>
        <w:rPr>
          <w:rFonts w:ascii="Book Antiqua"/>
          <w:b/>
          <w:color w:val="231F20"/>
        </w:rPr>
        <w:t>Style</w:t>
      </w:r>
      <w:r>
        <w:rPr>
          <w:rFonts w:ascii="Book Antiqua"/>
          <w:b/>
          <w:color w:val="231F20"/>
          <w:spacing w:val="16"/>
        </w:rPr>
        <w:t> </w:t>
      </w:r>
      <w:r>
        <w:rPr>
          <w:color w:val="231F20"/>
        </w:rPr>
        <w:t>tab</w:t>
      </w:r>
      <w:r>
        <w:rPr>
          <w:color w:val="231F20"/>
          <w:spacing w:val="16"/>
        </w:rPr>
        <w:t> </w:t>
      </w:r>
      <w:r>
        <w:rPr>
          <w:color w:val="231F20"/>
        </w:rPr>
        <w:t>to</w:t>
      </w:r>
      <w:r>
        <w:rPr>
          <w:color w:val="231F20"/>
          <w:spacing w:val="16"/>
        </w:rPr>
        <w:t> </w:t>
      </w:r>
      <w:r>
        <w:rPr>
          <w:color w:val="231F20"/>
        </w:rPr>
        <w:t>show</w:t>
      </w:r>
      <w:r>
        <w:rPr>
          <w:color w:val="231F20"/>
          <w:spacing w:val="16"/>
        </w:rPr>
        <w:t> </w:t>
      </w:r>
      <w:r>
        <w:rPr>
          <w:color w:val="231F20"/>
        </w:rPr>
        <w:t>or</w:t>
      </w:r>
      <w:r>
        <w:rPr>
          <w:color w:val="231F20"/>
          <w:spacing w:val="16"/>
        </w:rPr>
        <w:t> </w:t>
      </w:r>
      <w:r>
        <w:rPr>
          <w:color w:val="231F20"/>
        </w:rPr>
        <w:t>hide</w:t>
      </w:r>
      <w:r>
        <w:rPr>
          <w:color w:val="231F20"/>
          <w:spacing w:val="16"/>
        </w:rPr>
        <w:t> </w:t>
      </w:r>
      <w:r>
        <w:rPr>
          <w:color w:val="231F20"/>
        </w:rPr>
        <w:t>the</w:t>
      </w:r>
      <w:r>
        <w:rPr>
          <w:color w:val="231F20"/>
          <w:spacing w:val="16"/>
        </w:rPr>
        <w:t> </w:t>
      </w:r>
      <w:r>
        <w:rPr>
          <w:color w:val="231F20"/>
        </w:rPr>
        <w:t>attribute's</w:t>
      </w:r>
      <w:r>
        <w:rPr>
          <w:color w:val="231F20"/>
          <w:spacing w:val="16"/>
        </w:rPr>
        <w:t> </w:t>
      </w:r>
      <w:r>
        <w:rPr>
          <w:color w:val="231F20"/>
        </w:rPr>
        <w:t>value</w:t>
      </w:r>
      <w:r>
        <w:rPr>
          <w:color w:val="231F20"/>
          <w:spacing w:val="16"/>
        </w:rPr>
        <w:t> </w:t>
      </w:r>
      <w:r>
        <w:rPr>
          <w:color w:val="231F20"/>
        </w:rPr>
        <w:t>at</w:t>
      </w:r>
      <w:r>
        <w:rPr>
          <w:color w:val="231F20"/>
          <w:spacing w:val="16"/>
        </w:rPr>
        <w:t> </w:t>
      </w:r>
      <w:r>
        <w:rPr>
          <w:color w:val="231F20"/>
        </w:rPr>
        <w:t>the</w:t>
      </w:r>
      <w:r>
        <w:rPr>
          <w:color w:val="231F20"/>
          <w:spacing w:val="16"/>
        </w:rPr>
        <w:t> </w:t>
      </w:r>
      <w:r>
        <w:rPr>
          <w:color w:val="231F20"/>
        </w:rPr>
        <w:t>bottom</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view or to edit the font.</w:t>
      </w:r>
    </w:p>
    <w:p>
      <w:pPr>
        <w:pStyle w:val="Heading6"/>
        <w:spacing w:line="227" w:lineRule="exact" w:before="121"/>
      </w:pPr>
      <w:r>
        <w:rPr>
          <w:b w:val="0"/>
        </w:rPr>
        <w:drawing>
          <wp:inline distT="0" distB="0" distL="0" distR="0">
            <wp:extent cx="82550" cy="82550"/>
            <wp:effectExtent l="0" t="0" r="0" b="0"/>
            <wp:docPr id="1145" name="Image 1145"/>
            <wp:cNvGraphicFramePr>
              <a:graphicFrameLocks/>
            </wp:cNvGraphicFramePr>
            <a:graphic>
              <a:graphicData uri="http://schemas.openxmlformats.org/drawingml/2006/picture">
                <pic:pic>
                  <pic:nvPicPr>
                    <pic:cNvPr id="1145" name="Image 1145"/>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Show</w:t>
      </w:r>
    </w:p>
    <w:p>
      <w:pPr>
        <w:pStyle w:val="BodyText"/>
        <w:spacing w:line="213" w:lineRule="auto" w:before="9"/>
        <w:ind w:left="3190" w:right="545"/>
      </w:pPr>
      <w:r>
        <w:rPr>
          <w:color w:val="231F20"/>
        </w:rPr>
        <w:t>Select the check box to display the value of the attribute at the bottom </w:t>
      </w:r>
      <w:r>
        <w:rPr>
          <w:color w:val="231F20"/>
        </w:rPr>
        <w:t>of the view.</w:t>
      </w:r>
    </w:p>
    <w:p>
      <w:pPr>
        <w:pStyle w:val="Heading6"/>
      </w:pPr>
      <w:r>
        <w:rPr>
          <w:color w:val="231F20"/>
          <w:spacing w:val="-2"/>
        </w:rPr>
        <w:t>Text</w:t>
      </w:r>
      <w:r>
        <w:rPr>
          <w:color w:val="231F20"/>
          <w:spacing w:val="-3"/>
        </w:rPr>
        <w:t> </w:t>
      </w:r>
      <w:r>
        <w:rPr>
          <w:color w:val="231F20"/>
          <w:spacing w:val="-2"/>
        </w:rPr>
        <w:t>style</w:t>
      </w:r>
    </w:p>
    <w:p>
      <w:pPr>
        <w:spacing w:line="218" w:lineRule="auto" w:before="7"/>
        <w:ind w:left="3190" w:right="0" w:firstLine="0"/>
        <w:jc w:val="left"/>
        <w:rPr>
          <w:sz w:val="20"/>
        </w:rPr>
      </w:pPr>
      <w:r>
        <w:rPr>
          <w:color w:val="231F20"/>
          <w:sz w:val="20"/>
        </w:rPr>
        <w:t>Select a different </w:t>
      </w:r>
      <w:r>
        <w:rPr>
          <w:rFonts w:ascii="Book Antiqua"/>
          <w:b/>
          <w:color w:val="231F20"/>
          <w:sz w:val="20"/>
        </w:rPr>
        <w:t>Font name </w:t>
      </w:r>
      <w:r>
        <w:rPr>
          <w:color w:val="231F20"/>
          <w:sz w:val="20"/>
        </w:rPr>
        <w:t>or font </w:t>
      </w:r>
      <w:r>
        <w:rPr>
          <w:rFonts w:ascii="Book Antiqua"/>
          <w:b/>
          <w:color w:val="231F20"/>
          <w:sz w:val="20"/>
        </w:rPr>
        <w:t>Size </w:t>
      </w:r>
      <w:r>
        <w:rPr>
          <w:color w:val="231F20"/>
          <w:sz w:val="20"/>
        </w:rPr>
        <w:t>from the </w:t>
      </w:r>
      <w:r>
        <w:rPr>
          <w:color w:val="231F20"/>
          <w:spacing w:val="15"/>
          <w:position w:val="-1"/>
          <w:sz w:val="20"/>
        </w:rPr>
        <w:drawing>
          <wp:inline distT="0" distB="0" distL="0" distR="0">
            <wp:extent cx="101600" cy="101600"/>
            <wp:effectExtent l="0" t="0" r="0" b="0"/>
            <wp:docPr id="1146" name="Image 1146"/>
            <wp:cNvGraphicFramePr>
              <a:graphicFrameLocks/>
            </wp:cNvGraphicFramePr>
            <a:graphic>
              <a:graphicData uri="http://schemas.openxmlformats.org/drawingml/2006/picture">
                <pic:pic>
                  <pic:nvPicPr>
                    <pic:cNvPr id="1146" name="Image 114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w:t>
      </w:r>
      <w:r>
        <w:rPr>
          <w:color w:val="231F20"/>
          <w:spacing w:val="16"/>
          <w:sz w:val="20"/>
        </w:rPr>
        <w:drawing>
          <wp:inline distT="0" distB="0" distL="0" distR="0">
            <wp:extent cx="82550" cy="82550"/>
            <wp:effectExtent l="0" t="0" r="0" b="0"/>
            <wp:docPr id="1147" name="Image 1147"/>
            <wp:cNvGraphicFramePr>
              <a:graphicFrameLocks/>
            </wp:cNvGraphicFramePr>
            <a:graphic>
              <a:graphicData uri="http://schemas.openxmlformats.org/drawingml/2006/picture">
                <pic:pic>
                  <pic:nvPicPr>
                    <pic:cNvPr id="1147" name="Image 114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8"/>
          <w:sz w:val="20"/>
        </w:rPr>
        <w:t> </w:t>
      </w:r>
      <w:r>
        <w:rPr>
          <w:rFonts w:ascii="Book Antiqua"/>
          <w:b/>
          <w:color w:val="231F20"/>
          <w:sz w:val="20"/>
        </w:rPr>
        <w:t>Bold </w:t>
      </w:r>
      <w:r>
        <w:rPr>
          <w:color w:val="231F20"/>
          <w:sz w:val="20"/>
        </w:rPr>
        <w:t>is used to</w:t>
      </w:r>
      <w:r>
        <w:rPr>
          <w:color w:val="231F20"/>
          <w:spacing w:val="40"/>
          <w:sz w:val="20"/>
        </w:rPr>
        <w:t> </w:t>
      </w:r>
      <w:r>
        <w:rPr>
          <w:color w:val="231F20"/>
          <w:sz w:val="20"/>
        </w:rPr>
        <w:t>boldface the value. </w:t>
      </w:r>
      <w:r>
        <w:rPr>
          <w:color w:val="231F20"/>
          <w:spacing w:val="16"/>
          <w:sz w:val="20"/>
        </w:rPr>
        <w:drawing>
          <wp:inline distT="0" distB="0" distL="0" distR="0">
            <wp:extent cx="82550" cy="82550"/>
            <wp:effectExtent l="0" t="0" r="0" b="0"/>
            <wp:docPr id="1148" name="Image 1148"/>
            <wp:cNvGraphicFramePr>
              <a:graphicFrameLocks/>
            </wp:cNvGraphicFramePr>
            <a:graphic>
              <a:graphicData uri="http://schemas.openxmlformats.org/drawingml/2006/picture">
                <pic:pic>
                  <pic:nvPicPr>
                    <pic:cNvPr id="1148" name="Image 1148"/>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Italic </w:t>
      </w:r>
      <w:r>
        <w:rPr>
          <w:color w:val="231F20"/>
          <w:sz w:val="20"/>
        </w:rPr>
        <w:t>is used to italicize the value.</w:t>
      </w:r>
    </w:p>
    <w:p>
      <w:pPr>
        <w:pStyle w:val="Heading4"/>
        <w:spacing w:before="194"/>
        <w:ind w:left="2472"/>
      </w:pPr>
      <w:r>
        <w:rPr>
          <w:color w:val="231F20"/>
        </w:rPr>
        <w:t>Footer</w:t>
      </w:r>
      <w:r>
        <w:rPr>
          <w:color w:val="231F20"/>
          <w:spacing w:val="5"/>
        </w:rPr>
        <w:t> </w:t>
      </w:r>
      <w:r>
        <w:rPr>
          <w:color w:val="231F20"/>
          <w:spacing w:val="-2"/>
        </w:rPr>
        <w:t>Label</w:t>
      </w:r>
    </w:p>
    <w:p>
      <w:pPr>
        <w:pStyle w:val="BodyText"/>
        <w:spacing w:line="255" w:lineRule="exact" w:before="218"/>
        <w:ind w:left="247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545" w:firstLine="10"/>
      </w:pPr>
      <w:r>
        <w:rPr>
          <w:position w:val="-1"/>
        </w:rPr>
        <w:drawing>
          <wp:inline distT="0" distB="0" distL="0" distR="0">
            <wp:extent cx="95250" cy="95250"/>
            <wp:effectExtent l="0" t="0" r="0" b="0"/>
            <wp:docPr id="1149" name="Image 1149"/>
            <wp:cNvGraphicFramePr>
              <a:graphicFrameLocks/>
            </wp:cNvGraphicFramePr>
            <a:graphic>
              <a:graphicData uri="http://schemas.openxmlformats.org/drawingml/2006/picture">
                <pic:pic>
                  <pic:nvPicPr>
                    <pic:cNvPr id="1149" name="Image 1149"/>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w:t>
        </w:r>
        <w:r>
          <w:rPr>
            <w:color w:val="231F20"/>
          </w:rPr>
          <w:t>page</w:t>
        </w:r>
      </w:hyperlink>
      <w:r>
        <w:rPr>
          <w:color w:val="231F20"/>
          <w:spacing w:val="40"/>
        </w:rPr>
        <w:t> </w:t>
      </w:r>
      <w:hyperlink w:history="true" w:anchor="_bookmark95">
        <w:r>
          <w:rPr>
            <w:color w:val="231F20"/>
            <w:spacing w:val="-4"/>
          </w:rPr>
          <w:t>124.</w:t>
        </w:r>
      </w:hyperlink>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7"/>
        <w:ind w:left="247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150" name="Image 1150"/>
            <wp:cNvGraphicFramePr>
              <a:graphicFrameLocks/>
            </wp:cNvGraphicFramePr>
            <a:graphic>
              <a:graphicData uri="http://schemas.openxmlformats.org/drawingml/2006/picture">
                <pic:pic>
                  <pic:nvPicPr>
                    <pic:cNvPr id="1150" name="Image 1150"/>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151" name="Image 1151"/>
            <wp:cNvGraphicFramePr>
              <a:graphicFrameLocks/>
            </wp:cNvGraphicFramePr>
            <a:graphic>
              <a:graphicData uri="http://schemas.openxmlformats.org/drawingml/2006/picture">
                <pic:pic>
                  <pic:nvPicPr>
                    <pic:cNvPr id="1151" name="Image 1151"/>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152" name="Image 1152"/>
            <wp:cNvGraphicFramePr>
              <a:graphicFrameLocks/>
            </wp:cNvGraphicFramePr>
            <a:graphic>
              <a:graphicData uri="http://schemas.openxmlformats.org/drawingml/2006/picture">
                <pic:pic>
                  <pic:nvPicPr>
                    <pic:cNvPr id="1152" name="Image 1152"/>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153" name="Image 1153"/>
            <wp:cNvGraphicFramePr>
              <a:graphicFrameLocks/>
            </wp:cNvGraphicFramePr>
            <a:graphic>
              <a:graphicData uri="http://schemas.openxmlformats.org/drawingml/2006/picture">
                <pic:pic>
                  <pic:nvPicPr>
                    <pic:cNvPr id="1153" name="Image 1153"/>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154" name="Image 1154"/>
            <wp:cNvGraphicFramePr>
              <a:graphicFrameLocks/>
            </wp:cNvGraphicFramePr>
            <a:graphic>
              <a:graphicData uri="http://schemas.openxmlformats.org/drawingml/2006/picture">
                <pic:pic>
                  <pic:nvPicPr>
                    <pic:cNvPr id="1154" name="Image 1154"/>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155" name="Image 1155"/>
            <wp:cNvGraphicFramePr>
              <a:graphicFrameLocks/>
            </wp:cNvGraphicFramePr>
            <a:graphic>
              <a:graphicData uri="http://schemas.openxmlformats.org/drawingml/2006/picture">
                <pic:pic>
                  <pic:nvPicPr>
                    <pic:cNvPr id="1155" name="Image 1155"/>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472"/>
      </w:pPr>
      <w:hyperlink w:history="true" w:anchor="_bookmark86">
        <w:r>
          <w:rPr>
            <w:color w:val="231F20"/>
          </w:rPr>
          <w:t>“Chart</w:t>
        </w:r>
        <w:r>
          <w:rPr>
            <w:color w:val="231F20"/>
            <w:spacing w:val="11"/>
          </w:rPr>
          <w:t> </w:t>
        </w:r>
        <w:r>
          <w:rPr>
            <w:color w:val="231F20"/>
          </w:rPr>
          <w:t>style”</w:t>
        </w:r>
        <w:r>
          <w:rPr>
            <w:color w:val="231F20"/>
            <w:spacing w:val="12"/>
          </w:rPr>
          <w:t> </w:t>
        </w:r>
        <w:r>
          <w:rPr>
            <w:color w:val="231F20"/>
          </w:rPr>
          <w:t>on</w:t>
        </w:r>
        <w:r>
          <w:rPr>
            <w:color w:val="231F20"/>
            <w:spacing w:val="11"/>
          </w:rPr>
          <w:t> </w:t>
        </w:r>
        <w:r>
          <w:rPr>
            <w:color w:val="231F20"/>
          </w:rPr>
          <w:t>page</w:t>
        </w:r>
        <w:r>
          <w:rPr>
            <w:color w:val="231F20"/>
            <w:spacing w:val="12"/>
          </w:rPr>
          <w:t> </w:t>
        </w:r>
        <w:r>
          <w:rPr>
            <w:color w:val="231F20"/>
            <w:spacing w:val="-5"/>
          </w:rPr>
          <w:t>115</w:t>
        </w:r>
      </w:hyperlink>
    </w:p>
    <w:p>
      <w:pPr>
        <w:pStyle w:val="BodyText"/>
        <w:spacing w:line="213" w:lineRule="auto" w:before="8"/>
        <w:ind w:left="2472" w:right="167"/>
      </w:pPr>
      <w:r>
        <w:rPr>
          <w:color w:val="231F20"/>
        </w:rPr>
        <w:t>The</w:t>
      </w:r>
      <w:r>
        <w:rPr>
          <w:color w:val="231F20"/>
          <w:spacing w:val="36"/>
        </w:rPr>
        <w:t> </w:t>
      </w:r>
      <w:r>
        <w:rPr>
          <w:color w:val="231F20"/>
          <w:spacing w:val="-24"/>
          <w:position w:val="-1"/>
        </w:rPr>
        <w:drawing>
          <wp:inline distT="0" distB="0" distL="0" distR="0">
            <wp:extent cx="95250" cy="95250"/>
            <wp:effectExtent l="0" t="0" r="0" b="0"/>
            <wp:docPr id="1156" name="Image 1156"/>
            <wp:cNvGraphicFramePr>
              <a:graphicFrameLocks/>
            </wp:cNvGraphicFramePr>
            <a:graphic>
              <a:graphicData uri="http://schemas.openxmlformats.org/drawingml/2006/picture">
                <pic:pic>
                  <pic:nvPicPr>
                    <pic:cNvPr id="1156" name="Image 1156"/>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3"/>
        </w:rPr>
        <w:t> </w:t>
      </w:r>
      <w:r>
        <w:rPr>
          <w:rFonts w:ascii="Book Antiqua"/>
          <w:b/>
          <w:color w:val="231F20"/>
        </w:rPr>
        <w:t>Style</w:t>
      </w:r>
      <w:r>
        <w:rPr>
          <w:rFonts w:ascii="Book Antiqua"/>
          <w:b/>
          <w:color w:val="231F20"/>
          <w:spacing w:val="25"/>
        </w:rPr>
        <w:t> </w:t>
      </w:r>
      <w:r>
        <w:rPr>
          <w:color w:val="231F20"/>
        </w:rPr>
        <w:t>tab</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Properties</w:t>
      </w:r>
      <w:r>
        <w:rPr>
          <w:color w:val="231F20"/>
          <w:spacing w:val="25"/>
        </w:rPr>
        <w:t> </w:t>
      </w:r>
      <w:r>
        <w:rPr>
          <w:color w:val="231F20"/>
        </w:rPr>
        <w:t>editor</w:t>
      </w:r>
      <w:r>
        <w:rPr>
          <w:color w:val="231F20"/>
          <w:spacing w:val="25"/>
        </w:rPr>
        <w:t> </w:t>
      </w:r>
      <w:r>
        <w:rPr>
          <w:color w:val="231F20"/>
        </w:rPr>
        <w:t>to</w:t>
      </w:r>
      <w:r>
        <w:rPr>
          <w:color w:val="231F20"/>
          <w:spacing w:val="25"/>
        </w:rPr>
        <w:t> </w:t>
      </w:r>
      <w:r>
        <w:rPr>
          <w:color w:val="231F20"/>
        </w:rPr>
        <w:t>refine</w:t>
      </w:r>
      <w:r>
        <w:rPr>
          <w:color w:val="231F20"/>
          <w:spacing w:val="25"/>
        </w:rPr>
        <w:t> </w:t>
      </w:r>
      <w:r>
        <w:rPr>
          <w:color w:val="231F20"/>
        </w:rPr>
        <w:t>the</w:t>
      </w:r>
      <w:r>
        <w:rPr>
          <w:color w:val="231F20"/>
          <w:spacing w:val="25"/>
        </w:rPr>
        <w:t> </w:t>
      </w:r>
      <w:r>
        <w:rPr>
          <w:color w:val="231F20"/>
        </w:rPr>
        <w:t>appearance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chart.</w:t>
      </w:r>
      <w:r>
        <w:rPr>
          <w:color w:val="231F20"/>
          <w:spacing w:val="25"/>
        </w:rPr>
        <w:t> </w:t>
      </w:r>
      <w:r>
        <w:rPr>
          <w:color w:val="231F20"/>
        </w:rPr>
        <w:t>For the bar, plot, and area charts, this is also where you can specify a line chart overlay</w:t>
      </w:r>
      <w:r>
        <w:rPr>
          <w:color w:val="231F20"/>
          <w:spacing w:val="40"/>
        </w:rPr>
        <w:t> </w:t>
      </w:r>
      <w:bookmarkStart w:name="Linear gauge chart" w:id="188"/>
      <w:bookmarkEnd w:id="188"/>
      <w:r>
        <w:rPr>
          <w:color w:val="231F20"/>
        </w:rPr>
        <w:t>and</w:t>
      </w:r>
      <w:r>
        <w:rPr>
          <w:color w:val="231F20"/>
        </w:rPr>
        <w:t> threshold indicators.</w:t>
      </w:r>
    </w:p>
    <w:p>
      <w:pPr>
        <w:pStyle w:val="Heading3"/>
        <w:spacing w:before="216"/>
        <w:ind w:left="1574"/>
      </w:pPr>
      <w:r>
        <w:rPr>
          <w:color w:val="231F20"/>
        </w:rPr>
        <w:t>Linear</w:t>
      </w:r>
      <w:r>
        <w:rPr>
          <w:color w:val="231F20"/>
          <w:spacing w:val="6"/>
        </w:rPr>
        <w:t> </w:t>
      </w:r>
      <w:r>
        <w:rPr>
          <w:color w:val="231F20"/>
        </w:rPr>
        <w:t>gauge</w:t>
      </w:r>
      <w:r>
        <w:rPr>
          <w:color w:val="231F20"/>
          <w:spacing w:val="7"/>
        </w:rPr>
        <w:t> </w:t>
      </w:r>
      <w:r>
        <w:rPr>
          <w:color w:val="231F20"/>
          <w:spacing w:val="-2"/>
        </w:rPr>
        <w:t>chart</w:t>
      </w:r>
    </w:p>
    <w:p>
      <w:pPr>
        <w:pStyle w:val="BodyText"/>
        <w:spacing w:line="213" w:lineRule="auto" w:before="58"/>
        <w:ind w:left="2472" w:right="287"/>
        <w:jc w:val="both"/>
      </w:pPr>
      <w:r>
        <w:rPr>
          <w:color w:val="231F20"/>
        </w:rPr>
        <w:t>Add a linear gauge chart to a workspace to show individual elements that </w:t>
      </w:r>
      <w:r>
        <w:rPr>
          <w:color w:val="231F20"/>
        </w:rPr>
        <w:t>change frequently. Use the chart styling options that are available in the Properties editor</w:t>
      </w:r>
      <w:r>
        <w:rPr>
          <w:color w:val="231F20"/>
          <w:spacing w:val="40"/>
        </w:rPr>
        <w:t> </w:t>
      </w:r>
      <w:r>
        <w:rPr>
          <w:color w:val="231F20"/>
        </w:rPr>
        <w:t>to refine the appearance and to add options.</w:t>
      </w:r>
    </w:p>
    <w:p>
      <w:pPr>
        <w:pStyle w:val="BodyText"/>
        <w:spacing w:line="213" w:lineRule="auto" w:before="238"/>
        <w:ind w:left="2472" w:right="545"/>
      </w:pPr>
      <w:r>
        <w:rPr>
          <w:color w:val="231F20"/>
        </w:rPr>
        <w:t>The linear gauge chart shows the collective value of every item in a single </w:t>
      </w:r>
      <w:r>
        <w:rPr>
          <w:color w:val="231F20"/>
        </w:rPr>
        <w:t>data series, one gauge for each attribute chosen.</w:t>
      </w:r>
    </w:p>
    <w:p>
      <w:pPr>
        <w:spacing w:after="0" w:line="213" w:lineRule="auto"/>
        <w:sectPr>
          <w:pgSz w:w="12240" w:h="15840"/>
          <w:pgMar w:header="0" w:footer="736" w:top="1140" w:bottom="920" w:left="1000" w:right="1060"/>
        </w:sectPr>
      </w:pPr>
    </w:p>
    <w:p>
      <w:pPr>
        <w:pStyle w:val="BodyText"/>
        <w:spacing w:line="213" w:lineRule="auto" w:before="85"/>
        <w:ind w:left="2232" w:right="545"/>
      </w:pPr>
      <w:r>
        <w:rPr>
          <w:color w:val="231F20"/>
        </w:rPr>
        <w:t>If the attribute displayed is from a multiple-row attribute group, only the value from the first row is charted. The linear gauge chart can show data from only </w:t>
      </w:r>
      <w:r>
        <w:rPr>
          <w:color w:val="231F20"/>
        </w:rPr>
        <w:t>one managed system.</w:t>
      </w:r>
    </w:p>
    <w:p>
      <w:pPr>
        <w:pStyle w:val="BodyText"/>
        <w:spacing w:line="213" w:lineRule="auto" w:before="237"/>
        <w:ind w:left="2232" w:right="545"/>
      </w:pPr>
      <w:r>
        <w:rPr>
          <w:color w:val="231F20"/>
        </w:rPr>
        <w:t>After adding the chart, use the styling options in the Properties editor to refine </w:t>
      </w:r>
      <w:r>
        <w:rPr>
          <w:color w:val="231F20"/>
        </w:rPr>
        <w:t>the appearance. If the Properties editor is not open, click</w:t>
      </w:r>
      <w:r>
        <w:rPr>
          <w:color w:val="231F20"/>
          <w:spacing w:val="40"/>
        </w:rPr>
        <w:t> </w:t>
      </w:r>
      <w:r>
        <w:rPr>
          <w:color w:val="231F20"/>
          <w:spacing w:val="5"/>
          <w:position w:val="1"/>
        </w:rPr>
        <w:drawing>
          <wp:inline distT="0" distB="0" distL="0" distR="0">
            <wp:extent cx="57150" cy="57150"/>
            <wp:effectExtent l="0" t="0" r="0" b="0"/>
            <wp:docPr id="1157" name="Image 1157"/>
            <wp:cNvGraphicFramePr>
              <a:graphicFrameLocks/>
            </wp:cNvGraphicFramePr>
            <a:graphic>
              <a:graphicData uri="http://schemas.openxmlformats.org/drawingml/2006/picture">
                <pic:pic>
                  <pic:nvPicPr>
                    <pic:cNvPr id="1157" name="Image 1157"/>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Edit properties </w:t>
      </w:r>
      <w:r>
        <w:rPr>
          <w:color w:val="231F20"/>
        </w:rPr>
        <w:t>in the</w:t>
      </w:r>
      <w:r>
        <w:rPr>
          <w:color w:val="231F20"/>
          <w:spacing w:val="80"/>
        </w:rPr>
        <w:t> </w:t>
      </w:r>
      <w:r>
        <w:rPr>
          <w:color w:val="231F20"/>
        </w:rPr>
        <w:t>view's title bar. The</w:t>
      </w:r>
      <w:r>
        <w:rPr>
          <w:color w:val="231F20"/>
          <w:spacing w:val="21"/>
        </w:rPr>
        <w:t> </w:t>
      </w:r>
      <w:r>
        <w:rPr>
          <w:color w:val="231F20"/>
          <w:spacing w:val="-24"/>
          <w:position w:val="-1"/>
        </w:rPr>
        <w:drawing>
          <wp:inline distT="0" distB="0" distL="0" distR="0">
            <wp:extent cx="95250" cy="95250"/>
            <wp:effectExtent l="0" t="0" r="0" b="0"/>
            <wp:docPr id="1158" name="Image 1158"/>
            <wp:cNvGraphicFramePr>
              <a:graphicFrameLocks/>
            </wp:cNvGraphicFramePr>
            <a:graphic>
              <a:graphicData uri="http://schemas.openxmlformats.org/drawingml/2006/picture">
                <pic:pic>
                  <pic:nvPicPr>
                    <pic:cNvPr id="1158" name="Image 1158"/>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shows a thumbnail graphic of the chart with areas that you click to edit the corresponding options.</w:t>
      </w:r>
    </w:p>
    <w:p>
      <w:pPr>
        <w:pStyle w:val="BodyText"/>
        <w:spacing w:before="127"/>
      </w:pPr>
      <w:r>
        <w:rPr/>
        <w:drawing>
          <wp:anchor distT="0" distB="0" distL="0" distR="0" allowOverlap="1" layoutInCell="1" locked="0" behindDoc="1" simplePos="0" relativeHeight="487674368">
            <wp:simplePos x="0" y="0"/>
            <wp:positionH relativeFrom="page">
              <wp:posOffset>3399403</wp:posOffset>
            </wp:positionH>
            <wp:positionV relativeFrom="paragraph">
              <wp:posOffset>267575</wp:posOffset>
            </wp:positionV>
            <wp:extent cx="2093214" cy="765809"/>
            <wp:effectExtent l="0" t="0" r="0" b="0"/>
            <wp:wrapTopAndBottom/>
            <wp:docPr id="1159" name="Image 1159"/>
            <wp:cNvGraphicFramePr>
              <a:graphicFrameLocks/>
            </wp:cNvGraphicFramePr>
            <a:graphic>
              <a:graphicData uri="http://schemas.openxmlformats.org/drawingml/2006/picture">
                <pic:pic>
                  <pic:nvPicPr>
                    <pic:cNvPr id="1159" name="Image 1159"/>
                    <pic:cNvPicPr/>
                  </pic:nvPicPr>
                  <pic:blipFill>
                    <a:blip r:embed="rId223" cstate="print"/>
                    <a:stretch>
                      <a:fillRect/>
                    </a:stretch>
                  </pic:blipFill>
                  <pic:spPr>
                    <a:xfrm>
                      <a:off x="0" y="0"/>
                      <a:ext cx="2093214" cy="765809"/>
                    </a:xfrm>
                    <a:prstGeom prst="rect">
                      <a:avLst/>
                    </a:prstGeom>
                  </pic:spPr>
                </pic:pic>
              </a:graphicData>
            </a:graphic>
          </wp:anchor>
        </w:drawing>
      </w:r>
    </w:p>
    <w:p>
      <w:pPr>
        <w:pStyle w:val="Heading4"/>
        <w:spacing w:before="287"/>
      </w:pPr>
      <w:r>
        <w:rPr>
          <w:color w:val="231F20"/>
        </w:rPr>
        <w:t>Header</w:t>
      </w:r>
      <w:r>
        <w:rPr>
          <w:color w:val="231F20"/>
          <w:spacing w:val="4"/>
        </w:rPr>
        <w:t> </w:t>
      </w:r>
      <w:r>
        <w:rPr>
          <w:color w:val="231F20"/>
          <w:spacing w:val="-2"/>
        </w:rPr>
        <w:t>Label</w:t>
      </w:r>
    </w:p>
    <w:p>
      <w:pPr>
        <w:pStyle w:val="BodyText"/>
        <w:spacing w:line="255" w:lineRule="exact" w:before="219"/>
        <w:ind w:left="223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7"/>
        <w:ind w:left="2232" w:right="603" w:firstLine="10"/>
      </w:pPr>
      <w:r>
        <w:rPr>
          <w:position w:val="-1"/>
        </w:rPr>
        <w:drawing>
          <wp:inline distT="0" distB="0" distL="0" distR="0">
            <wp:extent cx="95250" cy="95250"/>
            <wp:effectExtent l="0" t="0" r="0" b="0"/>
            <wp:docPr id="1160" name="Image 1160"/>
            <wp:cNvGraphicFramePr>
              <a:graphicFrameLocks/>
            </wp:cNvGraphicFramePr>
            <a:graphic>
              <a:graphicData uri="http://schemas.openxmlformats.org/drawingml/2006/picture">
                <pic:pic>
                  <pic:nvPicPr>
                    <pic:cNvPr id="1160" name="Image 1160"/>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2"/>
        </w:rPr>
        <w:t> </w:t>
      </w:r>
      <w:r>
        <w:rPr>
          <w:rFonts w:ascii="Book Antiqua" w:hAnsi="Book Antiqua"/>
          <w:b/>
          <w:color w:val="231F20"/>
        </w:rPr>
        <w:t>Style </w:t>
      </w:r>
      <w:r>
        <w:rPr>
          <w:color w:val="231F20"/>
        </w:rPr>
        <w:t>tab to add a title to the view, which shows in the view title bar. You can also apply the title as a view header, add a border, and change the text style. The default name is </w:t>
      </w:r>
      <w:r>
        <w:rPr>
          <w:rFonts w:ascii="Book Antiqua" w:hAnsi="Book Antiqua"/>
          <w:b/>
          <w:color w:val="231F20"/>
        </w:rPr>
        <w:t>Pie Chart</w:t>
      </w:r>
      <w:r>
        <w:rPr>
          <w:color w:val="231F20"/>
        </w:rPr>
        <w:t>. See </w:t>
      </w:r>
      <w:hyperlink w:history="true" w:anchor="_bookmark86">
        <w:r>
          <w:rPr>
            <w:color w:val="231F20"/>
          </w:rPr>
          <w:t>“Header Label” on page 115.</w:t>
        </w:r>
      </w:hyperlink>
    </w:p>
    <w:p>
      <w:pPr>
        <w:pStyle w:val="Heading4"/>
      </w:pPr>
      <w:r>
        <w:rPr>
          <w:color w:val="231F20"/>
        </w:rPr>
        <w:t>Plot</w:t>
      </w:r>
      <w:r>
        <w:rPr>
          <w:color w:val="231F20"/>
          <w:spacing w:val="-1"/>
        </w:rPr>
        <w:t> </w:t>
      </w:r>
      <w:r>
        <w:rPr>
          <w:color w:val="231F20"/>
          <w:spacing w:val="-4"/>
        </w:rPr>
        <w:t>Area</w:t>
      </w:r>
    </w:p>
    <w:p>
      <w:pPr>
        <w:pStyle w:val="BodyText"/>
        <w:spacing w:line="213" w:lineRule="auto" w:before="241"/>
        <w:ind w:left="2232" w:right="493"/>
      </w:pPr>
      <w:r>
        <w:rPr>
          <w:color w:val="231F20"/>
        </w:rPr>
        <w:t>Click the linear gauge in the thumbnail graphic to open these tabs: Scale, </w:t>
      </w:r>
      <w:r>
        <w:rPr>
          <w:color w:val="231F20"/>
        </w:rPr>
        <w:t>Needle, Tick, and Range. See </w:t>
      </w:r>
      <w:hyperlink w:history="true" w:anchor="_bookmark86">
        <w:r>
          <w:rPr>
            <w:color w:val="231F20"/>
          </w:rPr>
          <w:t>“Plot Area” on page 115.</w:t>
        </w:r>
      </w:hyperlink>
    </w:p>
    <w:p>
      <w:pPr>
        <w:pStyle w:val="Heading4"/>
      </w:pPr>
      <w:r>
        <w:rPr>
          <w:color w:val="231F20"/>
        </w:rPr>
        <w:t>Legend</w:t>
      </w:r>
      <w:r>
        <w:rPr>
          <w:color w:val="231F20"/>
          <w:spacing w:val="4"/>
        </w:rPr>
        <w:t> </w:t>
      </w:r>
      <w:r>
        <w:rPr>
          <w:color w:val="231F20"/>
          <w:spacing w:val="-2"/>
        </w:rPr>
        <w:t>Label</w:t>
      </w:r>
    </w:p>
    <w:p>
      <w:pPr>
        <w:pStyle w:val="BodyText"/>
        <w:spacing w:line="213" w:lineRule="auto" w:before="241"/>
        <w:ind w:left="2232" w:right="545"/>
      </w:pPr>
      <w:r>
        <w:rPr>
          <w:color w:val="231F20"/>
        </w:rPr>
        <w:t>Use this tab to specify the colors and text associated with the data points and data</w:t>
      </w:r>
      <w:r>
        <w:rPr>
          <w:color w:val="231F20"/>
          <w:spacing w:val="40"/>
        </w:rPr>
        <w:t> </w:t>
      </w:r>
      <w:r>
        <w:rPr>
          <w:color w:val="231F20"/>
        </w:rPr>
        <w:t>series in the chart.</w:t>
      </w:r>
    </w:p>
    <w:p>
      <w:pPr>
        <w:pStyle w:val="Heading6"/>
        <w:ind w:left="2232"/>
      </w:pPr>
      <w:r>
        <w:rPr>
          <w:color w:val="231F20"/>
          <w:spacing w:val="-2"/>
        </w:rPr>
        <w:t>Legends</w:t>
      </w:r>
    </w:p>
    <w:p>
      <w:pPr>
        <w:pStyle w:val="BodyText"/>
        <w:spacing w:line="213" w:lineRule="auto" w:before="11"/>
        <w:ind w:left="2951" w:right="545"/>
      </w:pPr>
      <w:r>
        <w:rPr>
          <w:color w:val="231F20"/>
        </w:rPr>
        <w:t>Lists the attributes that are being plotted. Select an attribute from the list </w:t>
      </w:r>
      <w:r>
        <w:rPr>
          <w:color w:val="231F20"/>
        </w:rPr>
        <w:t>to see and change the legend text or the plot point (or series) color.</w:t>
      </w:r>
    </w:p>
    <w:p>
      <w:pPr>
        <w:pStyle w:val="BodyText"/>
        <w:tabs>
          <w:tab w:pos="2951" w:val="left" w:leader="none"/>
        </w:tabs>
        <w:spacing w:before="96"/>
        <w:ind w:left="2232"/>
      </w:pPr>
      <w:r>
        <w:rPr>
          <w:rFonts w:ascii="Book Antiqua"/>
          <w:b/>
          <w:color w:val="231F20"/>
          <w:spacing w:val="-4"/>
        </w:rPr>
        <w:t>Text</w:t>
      </w:r>
      <w:r>
        <w:rPr>
          <w:rFonts w:ascii="Book Antiqua"/>
          <w:b/>
          <w:color w:val="231F20"/>
        </w:rPr>
        <w:tab/>
      </w:r>
      <w:r>
        <w:rPr>
          <w:color w:val="231F20"/>
        </w:rPr>
        <w:t>The</w:t>
      </w:r>
      <w:r>
        <w:rPr>
          <w:color w:val="231F20"/>
          <w:spacing w:val="11"/>
        </w:rPr>
        <w:t> </w:t>
      </w:r>
      <w:r>
        <w:rPr>
          <w:color w:val="231F20"/>
        </w:rPr>
        <w:t>legend</w:t>
      </w:r>
      <w:r>
        <w:rPr>
          <w:color w:val="231F20"/>
          <w:spacing w:val="12"/>
        </w:rPr>
        <w:t> </w:t>
      </w:r>
      <w:r>
        <w:rPr>
          <w:color w:val="231F20"/>
        </w:rPr>
        <w:t>label</w:t>
      </w:r>
      <w:r>
        <w:rPr>
          <w:color w:val="231F20"/>
          <w:spacing w:val="12"/>
        </w:rPr>
        <w:t> </w:t>
      </w:r>
      <w:r>
        <w:rPr>
          <w:color w:val="231F20"/>
        </w:rPr>
        <w:t>text.</w:t>
      </w:r>
      <w:r>
        <w:rPr>
          <w:color w:val="231F20"/>
          <w:spacing w:val="12"/>
        </w:rPr>
        <w:t> </w:t>
      </w:r>
      <w:r>
        <w:rPr>
          <w:color w:val="231F20"/>
        </w:rPr>
        <w:t>By</w:t>
      </w:r>
      <w:r>
        <w:rPr>
          <w:color w:val="231F20"/>
          <w:spacing w:val="12"/>
        </w:rPr>
        <w:t> </w:t>
      </w:r>
      <w:r>
        <w:rPr>
          <w:color w:val="231F20"/>
        </w:rPr>
        <w:t>default,</w:t>
      </w:r>
      <w:r>
        <w:rPr>
          <w:color w:val="231F20"/>
          <w:spacing w:val="12"/>
        </w:rPr>
        <w:t> </w:t>
      </w:r>
      <w:r>
        <w:rPr>
          <w:color w:val="231F20"/>
        </w:rPr>
        <w:t>this</w:t>
      </w:r>
      <w:r>
        <w:rPr>
          <w:color w:val="231F20"/>
          <w:spacing w:val="11"/>
        </w:rPr>
        <w:t> </w:t>
      </w:r>
      <w:r>
        <w:rPr>
          <w:color w:val="231F20"/>
        </w:rPr>
        <w:t>is</w:t>
      </w:r>
      <w:r>
        <w:rPr>
          <w:color w:val="231F20"/>
          <w:spacing w:val="12"/>
        </w:rPr>
        <w:t> </w:t>
      </w:r>
      <w:r>
        <w:rPr>
          <w:color w:val="231F20"/>
        </w:rPr>
        <w:t>the</w:t>
      </w:r>
      <w:r>
        <w:rPr>
          <w:color w:val="231F20"/>
          <w:spacing w:val="12"/>
        </w:rPr>
        <w:t> </w:t>
      </w:r>
      <w:r>
        <w:rPr>
          <w:color w:val="231F20"/>
        </w:rPr>
        <w:t>attribute</w:t>
      </w:r>
      <w:r>
        <w:rPr>
          <w:color w:val="231F20"/>
          <w:spacing w:val="12"/>
        </w:rPr>
        <w:t> </w:t>
      </w:r>
      <w:r>
        <w:rPr>
          <w:color w:val="231F20"/>
          <w:spacing w:val="-2"/>
        </w:rPr>
        <w:t>name.</w:t>
      </w:r>
    </w:p>
    <w:p>
      <w:pPr>
        <w:pStyle w:val="Heading4"/>
        <w:spacing w:before="194"/>
      </w:pPr>
      <w:r>
        <w:rPr>
          <w:color w:val="231F20"/>
        </w:rPr>
        <w:t>Value</w:t>
      </w:r>
      <w:r>
        <w:rPr>
          <w:color w:val="231F20"/>
          <w:spacing w:val="-8"/>
        </w:rPr>
        <w:t> </w:t>
      </w:r>
      <w:r>
        <w:rPr>
          <w:color w:val="231F20"/>
          <w:spacing w:val="-2"/>
        </w:rPr>
        <w:t>Label</w:t>
      </w:r>
    </w:p>
    <w:p>
      <w:pPr>
        <w:pStyle w:val="BodyText"/>
        <w:spacing w:line="213" w:lineRule="auto" w:before="241"/>
        <w:ind w:left="2232" w:right="545"/>
      </w:pPr>
      <w:r>
        <w:rPr>
          <w:color w:val="231F20"/>
        </w:rPr>
        <w:t>Select the Value Label area of the gauge chart thumbnail graphic in the Properties editor</w:t>
      </w:r>
      <w:r>
        <w:rPr>
          <w:color w:val="231F20"/>
          <w:spacing w:val="26"/>
        </w:rPr>
        <w:t> </w:t>
      </w:r>
      <w:r>
        <w:rPr>
          <w:color w:val="231F20"/>
          <w:spacing w:val="-24"/>
          <w:position w:val="-1"/>
        </w:rPr>
        <w:drawing>
          <wp:inline distT="0" distB="0" distL="0" distR="0">
            <wp:extent cx="95250" cy="95250"/>
            <wp:effectExtent l="0" t="0" r="0" b="0"/>
            <wp:docPr id="1161" name="Image 1161"/>
            <wp:cNvGraphicFramePr>
              <a:graphicFrameLocks/>
            </wp:cNvGraphicFramePr>
            <a:graphic>
              <a:graphicData uri="http://schemas.openxmlformats.org/drawingml/2006/picture">
                <pic:pic>
                  <pic:nvPicPr>
                    <pic:cNvPr id="1161" name="Image 1161"/>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3"/>
        </w:rPr>
        <w:t> </w:t>
      </w:r>
      <w:r>
        <w:rPr>
          <w:rFonts w:ascii="Book Antiqua"/>
          <w:b/>
          <w:color w:val="231F20"/>
        </w:rPr>
        <w:t>Style</w:t>
      </w:r>
      <w:r>
        <w:rPr>
          <w:rFonts w:ascii="Book Antiqua"/>
          <w:b/>
          <w:color w:val="231F20"/>
          <w:spacing w:val="16"/>
        </w:rPr>
        <w:t> </w:t>
      </w:r>
      <w:r>
        <w:rPr>
          <w:color w:val="231F20"/>
        </w:rPr>
        <w:t>tab</w:t>
      </w:r>
      <w:r>
        <w:rPr>
          <w:color w:val="231F20"/>
          <w:spacing w:val="16"/>
        </w:rPr>
        <w:t> </w:t>
      </w:r>
      <w:r>
        <w:rPr>
          <w:color w:val="231F20"/>
        </w:rPr>
        <w:t>to</w:t>
      </w:r>
      <w:r>
        <w:rPr>
          <w:color w:val="231F20"/>
          <w:spacing w:val="16"/>
        </w:rPr>
        <w:t> </w:t>
      </w:r>
      <w:r>
        <w:rPr>
          <w:color w:val="231F20"/>
        </w:rPr>
        <w:t>show</w:t>
      </w:r>
      <w:r>
        <w:rPr>
          <w:color w:val="231F20"/>
          <w:spacing w:val="16"/>
        </w:rPr>
        <w:t> </w:t>
      </w:r>
      <w:r>
        <w:rPr>
          <w:color w:val="231F20"/>
        </w:rPr>
        <w:t>or</w:t>
      </w:r>
      <w:r>
        <w:rPr>
          <w:color w:val="231F20"/>
          <w:spacing w:val="16"/>
        </w:rPr>
        <w:t> </w:t>
      </w:r>
      <w:r>
        <w:rPr>
          <w:color w:val="231F20"/>
        </w:rPr>
        <w:t>hide</w:t>
      </w:r>
      <w:r>
        <w:rPr>
          <w:color w:val="231F20"/>
          <w:spacing w:val="16"/>
        </w:rPr>
        <w:t> </w:t>
      </w:r>
      <w:r>
        <w:rPr>
          <w:color w:val="231F20"/>
        </w:rPr>
        <w:t>the</w:t>
      </w:r>
      <w:r>
        <w:rPr>
          <w:color w:val="231F20"/>
          <w:spacing w:val="16"/>
        </w:rPr>
        <w:t> </w:t>
      </w:r>
      <w:r>
        <w:rPr>
          <w:color w:val="231F20"/>
        </w:rPr>
        <w:t>attribute's</w:t>
      </w:r>
      <w:r>
        <w:rPr>
          <w:color w:val="231F20"/>
          <w:spacing w:val="16"/>
        </w:rPr>
        <w:t> </w:t>
      </w:r>
      <w:r>
        <w:rPr>
          <w:color w:val="231F20"/>
        </w:rPr>
        <w:t>value</w:t>
      </w:r>
      <w:r>
        <w:rPr>
          <w:color w:val="231F20"/>
          <w:spacing w:val="16"/>
        </w:rPr>
        <w:t> </w:t>
      </w:r>
      <w:r>
        <w:rPr>
          <w:color w:val="231F20"/>
        </w:rPr>
        <w:t>at</w:t>
      </w:r>
      <w:r>
        <w:rPr>
          <w:color w:val="231F20"/>
          <w:spacing w:val="16"/>
        </w:rPr>
        <w:t> </w:t>
      </w:r>
      <w:r>
        <w:rPr>
          <w:color w:val="231F20"/>
        </w:rPr>
        <w:t>the</w:t>
      </w:r>
      <w:r>
        <w:rPr>
          <w:color w:val="231F20"/>
          <w:spacing w:val="16"/>
        </w:rPr>
        <w:t> </w:t>
      </w:r>
      <w:r>
        <w:rPr>
          <w:color w:val="231F20"/>
        </w:rPr>
        <w:t>bottom</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view or to edit the font.</w:t>
      </w:r>
    </w:p>
    <w:p>
      <w:pPr>
        <w:pStyle w:val="Heading6"/>
        <w:spacing w:line="227" w:lineRule="exact" w:before="121"/>
        <w:ind w:left="2232"/>
      </w:pPr>
      <w:r>
        <w:rPr>
          <w:b w:val="0"/>
        </w:rPr>
        <w:drawing>
          <wp:inline distT="0" distB="0" distL="0" distR="0">
            <wp:extent cx="82550" cy="82550"/>
            <wp:effectExtent l="0" t="0" r="0" b="0"/>
            <wp:docPr id="1162" name="Image 1162"/>
            <wp:cNvGraphicFramePr>
              <a:graphicFrameLocks/>
            </wp:cNvGraphicFramePr>
            <a:graphic>
              <a:graphicData uri="http://schemas.openxmlformats.org/drawingml/2006/picture">
                <pic:pic>
                  <pic:nvPicPr>
                    <pic:cNvPr id="1162" name="Image 1162"/>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Show</w:t>
      </w:r>
    </w:p>
    <w:p>
      <w:pPr>
        <w:pStyle w:val="BodyText"/>
        <w:spacing w:line="213" w:lineRule="auto" w:before="9"/>
        <w:ind w:left="2951" w:right="636"/>
      </w:pPr>
      <w:r>
        <w:rPr>
          <w:color w:val="231F20"/>
        </w:rPr>
        <w:t>Select the check box to display the value of the attribute at the bottom </w:t>
      </w:r>
      <w:r>
        <w:rPr>
          <w:color w:val="231F20"/>
        </w:rPr>
        <w:t>of the view.</w:t>
      </w:r>
    </w:p>
    <w:p>
      <w:pPr>
        <w:pStyle w:val="Heading6"/>
        <w:ind w:left="2232"/>
      </w:pPr>
      <w:r>
        <w:rPr>
          <w:color w:val="231F20"/>
          <w:spacing w:val="-2"/>
        </w:rPr>
        <w:t>Text</w:t>
      </w:r>
      <w:r>
        <w:rPr>
          <w:color w:val="231F20"/>
          <w:spacing w:val="-3"/>
        </w:rPr>
        <w:t> </w:t>
      </w:r>
      <w:r>
        <w:rPr>
          <w:color w:val="231F20"/>
          <w:spacing w:val="-2"/>
        </w:rPr>
        <w:t>style</w:t>
      </w:r>
    </w:p>
    <w:p>
      <w:pPr>
        <w:spacing w:line="218" w:lineRule="auto" w:before="8"/>
        <w:ind w:left="2951" w:right="493" w:firstLine="0"/>
        <w:jc w:val="left"/>
        <w:rPr>
          <w:sz w:val="20"/>
        </w:rPr>
      </w:pPr>
      <w:r>
        <w:rPr>
          <w:color w:val="231F20"/>
          <w:sz w:val="20"/>
        </w:rPr>
        <w:t>Select a different </w:t>
      </w:r>
      <w:r>
        <w:rPr>
          <w:rFonts w:ascii="Book Antiqua"/>
          <w:b/>
          <w:color w:val="231F20"/>
          <w:sz w:val="20"/>
        </w:rPr>
        <w:t>Font name </w:t>
      </w:r>
      <w:r>
        <w:rPr>
          <w:color w:val="231F20"/>
          <w:sz w:val="20"/>
        </w:rPr>
        <w:t>or font </w:t>
      </w:r>
      <w:r>
        <w:rPr>
          <w:rFonts w:ascii="Book Antiqua"/>
          <w:b/>
          <w:color w:val="231F20"/>
          <w:sz w:val="20"/>
        </w:rPr>
        <w:t>Size </w:t>
      </w:r>
      <w:r>
        <w:rPr>
          <w:color w:val="231F20"/>
          <w:sz w:val="20"/>
        </w:rPr>
        <w:t>from the </w:t>
      </w:r>
      <w:r>
        <w:rPr>
          <w:color w:val="231F20"/>
          <w:spacing w:val="15"/>
          <w:position w:val="-1"/>
          <w:sz w:val="20"/>
        </w:rPr>
        <w:drawing>
          <wp:inline distT="0" distB="0" distL="0" distR="0">
            <wp:extent cx="101600" cy="101600"/>
            <wp:effectExtent l="0" t="0" r="0" b="0"/>
            <wp:docPr id="1163" name="Image 1163"/>
            <wp:cNvGraphicFramePr>
              <a:graphicFrameLocks/>
            </wp:cNvGraphicFramePr>
            <a:graphic>
              <a:graphicData uri="http://schemas.openxmlformats.org/drawingml/2006/picture">
                <pic:pic>
                  <pic:nvPicPr>
                    <pic:cNvPr id="1163" name="Image 116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w:t>
      </w:r>
      <w:r>
        <w:rPr>
          <w:color w:val="231F20"/>
          <w:spacing w:val="16"/>
          <w:sz w:val="20"/>
        </w:rPr>
        <w:drawing>
          <wp:inline distT="0" distB="0" distL="0" distR="0">
            <wp:extent cx="82550" cy="82550"/>
            <wp:effectExtent l="0" t="0" r="0" b="0"/>
            <wp:docPr id="1164" name="Image 1164"/>
            <wp:cNvGraphicFramePr>
              <a:graphicFrameLocks/>
            </wp:cNvGraphicFramePr>
            <a:graphic>
              <a:graphicData uri="http://schemas.openxmlformats.org/drawingml/2006/picture">
                <pic:pic>
                  <pic:nvPicPr>
                    <pic:cNvPr id="1164" name="Image 116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8"/>
          <w:sz w:val="20"/>
        </w:rPr>
        <w:t> </w:t>
      </w:r>
      <w:r>
        <w:rPr>
          <w:rFonts w:ascii="Book Antiqua"/>
          <w:b/>
          <w:color w:val="231F20"/>
          <w:sz w:val="20"/>
        </w:rPr>
        <w:t>Bold </w:t>
      </w:r>
      <w:r>
        <w:rPr>
          <w:color w:val="231F20"/>
          <w:sz w:val="20"/>
        </w:rPr>
        <w:t>is used to</w:t>
      </w:r>
      <w:r>
        <w:rPr>
          <w:color w:val="231F20"/>
          <w:spacing w:val="40"/>
          <w:sz w:val="20"/>
        </w:rPr>
        <w:t> </w:t>
      </w:r>
      <w:r>
        <w:rPr>
          <w:color w:val="231F20"/>
          <w:sz w:val="20"/>
        </w:rPr>
        <w:t>boldface the value. </w:t>
      </w:r>
      <w:r>
        <w:rPr>
          <w:color w:val="231F20"/>
          <w:spacing w:val="16"/>
          <w:sz w:val="20"/>
        </w:rPr>
        <w:drawing>
          <wp:inline distT="0" distB="0" distL="0" distR="0">
            <wp:extent cx="82550" cy="82550"/>
            <wp:effectExtent l="0" t="0" r="0" b="0"/>
            <wp:docPr id="1165" name="Image 1165"/>
            <wp:cNvGraphicFramePr>
              <a:graphicFrameLocks/>
            </wp:cNvGraphicFramePr>
            <a:graphic>
              <a:graphicData uri="http://schemas.openxmlformats.org/drawingml/2006/picture">
                <pic:pic>
                  <pic:nvPicPr>
                    <pic:cNvPr id="1165" name="Image 1165"/>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Italic </w:t>
      </w:r>
      <w:r>
        <w:rPr>
          <w:color w:val="231F20"/>
          <w:sz w:val="20"/>
        </w:rPr>
        <w:t>is used to italicize the value.</w:t>
      </w:r>
    </w:p>
    <w:p>
      <w:pPr>
        <w:pStyle w:val="Heading4"/>
        <w:spacing w:before="193"/>
      </w:pPr>
      <w:r>
        <w:rPr>
          <w:color w:val="231F20"/>
        </w:rPr>
        <w:t>Footer</w:t>
      </w:r>
      <w:r>
        <w:rPr>
          <w:color w:val="231F20"/>
          <w:spacing w:val="5"/>
        </w:rPr>
        <w:t> </w:t>
      </w:r>
      <w:r>
        <w:rPr>
          <w:color w:val="231F20"/>
          <w:spacing w:val="-2"/>
        </w:rPr>
        <w:t>Label</w:t>
      </w:r>
    </w:p>
    <w:p>
      <w:pPr>
        <w:pStyle w:val="BodyText"/>
        <w:spacing w:line="255" w:lineRule="exact" w:before="218"/>
        <w:ind w:left="2232"/>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232" w:right="636" w:firstLine="10"/>
      </w:pPr>
      <w:r>
        <w:rPr>
          <w:position w:val="-1"/>
        </w:rPr>
        <w:drawing>
          <wp:inline distT="0" distB="0" distL="0" distR="0">
            <wp:extent cx="95250" cy="95250"/>
            <wp:effectExtent l="0" t="0" r="0" b="0"/>
            <wp:docPr id="1166" name="Image 1166"/>
            <wp:cNvGraphicFramePr>
              <a:graphicFrameLocks/>
            </wp:cNvGraphicFramePr>
            <a:graphic>
              <a:graphicData uri="http://schemas.openxmlformats.org/drawingml/2006/picture">
                <pic:pic>
                  <pic:nvPicPr>
                    <pic:cNvPr id="1166" name="Image 1166"/>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
        </w:rPr>
        <w:t> </w:t>
      </w:r>
      <w:r>
        <w:rPr>
          <w:rFonts w:ascii="Book Antiqua" w:hAnsi="Book Antiqua"/>
          <w:b/>
          <w:color w:val="231F20"/>
        </w:rPr>
        <w:t>Style </w:t>
      </w:r>
      <w:r>
        <w:rPr>
          <w:color w:val="231F20"/>
        </w:rPr>
        <w:t>tab to add a label at the bottom of the view. See </w:t>
      </w:r>
      <w:hyperlink w:history="true" w:anchor="_bookmark95">
        <w:r>
          <w:rPr>
            <w:color w:val="231F20"/>
          </w:rPr>
          <w:t>“Footer Label” on page</w:t>
        </w:r>
      </w:hyperlink>
      <w:r>
        <w:rPr>
          <w:color w:val="231F20"/>
          <w:spacing w:val="40"/>
        </w:rPr>
        <w:t> </w:t>
      </w:r>
      <w:hyperlink w:history="true" w:anchor="_bookmark95">
        <w:r>
          <w:rPr>
            <w:color w:val="231F20"/>
            <w:spacing w:val="-4"/>
          </w:rPr>
          <w:t>124.</w:t>
        </w:r>
      </w:hyperlink>
    </w:p>
    <w:p>
      <w:pPr>
        <w:spacing w:after="0" w:line="213" w:lineRule="auto"/>
        <w:sectPr>
          <w:pgSz w:w="12240" w:h="15840"/>
          <w:pgMar w:header="0" w:footer="736" w:top="1180" w:bottom="920" w:left="1000" w:right="1060"/>
        </w:sectPr>
      </w:pPr>
    </w:p>
    <w:p>
      <w:pPr>
        <w:pStyle w:val="Heading6"/>
        <w:spacing w:line="240" w:lineRule="auto" w:before="62"/>
        <w:rPr>
          <w:rFonts w:ascii="Palatino Linotype"/>
          <w:b w:val="0"/>
        </w:rPr>
      </w:pPr>
      <w:bookmarkStart w:name="_bookmark86" w:id="189"/>
      <w:bookmarkEnd w:id="189"/>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472"/>
      </w:pPr>
      <w:hyperlink w:history="true" w:anchor="_bookmark79">
        <w:r>
          <w:rPr>
            <w:color w:val="231F20"/>
          </w:rPr>
          <w:t>“Creating</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102</w:t>
        </w:r>
      </w:hyperlink>
    </w:p>
    <w:p>
      <w:pPr>
        <w:pStyle w:val="BodyText"/>
        <w:spacing w:line="213" w:lineRule="auto" w:before="8"/>
        <w:ind w:left="2472" w:right="545"/>
      </w:pPr>
      <w:r>
        <w:rPr>
          <w:color w:val="231F20"/>
        </w:rPr>
        <w:t>Add a chart view to a workspace to better see trends and data spikes in sampled</w:t>
      </w:r>
      <w:r>
        <w:rPr>
          <w:color w:val="231F20"/>
          <w:spacing w:val="40"/>
        </w:rPr>
        <w:t> </w:t>
      </w:r>
      <w:r>
        <w:rPr>
          <w:color w:val="231F20"/>
        </w:rPr>
        <w:t>data. The chart types available are</w:t>
      </w:r>
      <w:r>
        <w:rPr>
          <w:color w:val="231F20"/>
          <w:spacing w:val="32"/>
        </w:rPr>
        <w:t> </w:t>
      </w:r>
      <w:r>
        <w:rPr>
          <w:color w:val="231F20"/>
          <w:spacing w:val="-25"/>
          <w:position w:val="-1"/>
        </w:rPr>
        <w:drawing>
          <wp:inline distT="0" distB="0" distL="0" distR="0">
            <wp:extent cx="95250" cy="95250"/>
            <wp:effectExtent l="0" t="0" r="0" b="0"/>
            <wp:docPr id="1167" name="Image 1167"/>
            <wp:cNvGraphicFramePr>
              <a:graphicFrameLocks/>
            </wp:cNvGraphicFramePr>
            <a:graphic>
              <a:graphicData uri="http://schemas.openxmlformats.org/drawingml/2006/picture">
                <pic:pic>
                  <pic:nvPicPr>
                    <pic:cNvPr id="1167" name="Image 1167"/>
                    <pic:cNvPicPr/>
                  </pic:nvPicPr>
                  <pic:blipFill>
                    <a:blip r:embed="rId4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Pie,</w:t>
      </w:r>
      <w:r>
        <w:rPr>
          <w:color w:val="231F20"/>
          <w:spacing w:val="33"/>
        </w:rPr>
        <w:t> </w:t>
      </w:r>
      <w:r>
        <w:rPr>
          <w:color w:val="231F20"/>
          <w:spacing w:val="-24"/>
          <w:position w:val="-1"/>
        </w:rPr>
        <w:drawing>
          <wp:inline distT="0" distB="0" distL="0" distR="0">
            <wp:extent cx="95250" cy="101600"/>
            <wp:effectExtent l="0" t="0" r="0" b="0"/>
            <wp:docPr id="1168" name="Image 1168"/>
            <wp:cNvGraphicFramePr>
              <a:graphicFrameLocks/>
            </wp:cNvGraphicFramePr>
            <a:graphic>
              <a:graphicData uri="http://schemas.openxmlformats.org/drawingml/2006/picture">
                <pic:pic>
                  <pic:nvPicPr>
                    <pic:cNvPr id="1168" name="Image 1168"/>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Bar, </w:t>
      </w:r>
      <w:r>
        <w:rPr>
          <w:color w:val="231F20"/>
          <w:spacing w:val="16"/>
          <w:position w:val="-1"/>
        </w:rPr>
        <w:drawing>
          <wp:inline distT="0" distB="0" distL="0" distR="0">
            <wp:extent cx="101600" cy="95250"/>
            <wp:effectExtent l="0" t="0" r="0" b="0"/>
            <wp:docPr id="1169" name="Image 1169"/>
            <wp:cNvGraphicFramePr>
              <a:graphicFrameLocks/>
            </wp:cNvGraphicFramePr>
            <a:graphic>
              <a:graphicData uri="http://schemas.openxmlformats.org/drawingml/2006/picture">
                <pic:pic>
                  <pic:nvPicPr>
                    <pic:cNvPr id="1169" name="Image 1169"/>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Plot, </w:t>
      </w:r>
      <w:r>
        <w:rPr>
          <w:color w:val="231F20"/>
          <w:spacing w:val="16"/>
          <w:position w:val="-1"/>
        </w:rPr>
        <w:drawing>
          <wp:inline distT="0" distB="0" distL="0" distR="0">
            <wp:extent cx="101600" cy="95250"/>
            <wp:effectExtent l="0" t="0" r="0" b="0"/>
            <wp:docPr id="1170" name="Image 1170"/>
            <wp:cNvGraphicFramePr>
              <a:graphicFrameLocks/>
            </wp:cNvGraphicFramePr>
            <a:graphic>
              <a:graphicData uri="http://schemas.openxmlformats.org/drawingml/2006/picture">
                <pic:pic>
                  <pic:nvPicPr>
                    <pic:cNvPr id="1170" name="Image 1170"/>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Area,</w:t>
      </w:r>
      <w:r>
        <w:rPr>
          <w:color w:val="231F20"/>
          <w:spacing w:val="33"/>
        </w:rPr>
        <w:t> </w:t>
      </w:r>
      <w:r>
        <w:rPr>
          <w:color w:val="231F20"/>
          <w:spacing w:val="-24"/>
          <w:position w:val="-1"/>
        </w:rPr>
        <w:drawing>
          <wp:inline distT="0" distB="0" distL="0" distR="0">
            <wp:extent cx="95250" cy="95250"/>
            <wp:effectExtent l="0" t="0" r="0" b="0"/>
            <wp:docPr id="1171" name="Image 1171"/>
            <wp:cNvGraphicFramePr>
              <a:graphicFrameLocks/>
            </wp:cNvGraphicFramePr>
            <a:graphic>
              <a:graphicData uri="http://schemas.openxmlformats.org/drawingml/2006/picture">
                <pic:pic>
                  <pic:nvPicPr>
                    <pic:cNvPr id="1171" name="Image 1171"/>
                    <pic:cNvPicPr/>
                  </pic:nvPicPr>
                  <pic:blipFill>
                    <a:blip r:embed="rId4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Circular gauge, and </w:t>
      </w:r>
      <w:r>
        <w:rPr>
          <w:color w:val="231F20"/>
          <w:spacing w:val="16"/>
          <w:position w:val="-1"/>
        </w:rPr>
        <w:drawing>
          <wp:inline distT="0" distB="0" distL="0" distR="0">
            <wp:extent cx="101600" cy="101600"/>
            <wp:effectExtent l="0" t="0" r="0" b="0"/>
            <wp:docPr id="1172" name="Image 1172"/>
            <wp:cNvGraphicFramePr>
              <a:graphicFrameLocks/>
            </wp:cNvGraphicFramePr>
            <a:graphic>
              <a:graphicData uri="http://schemas.openxmlformats.org/drawingml/2006/picture">
                <pic:pic>
                  <pic:nvPicPr>
                    <pic:cNvPr id="1172" name="Image 1172"/>
                    <pic:cNvPicPr/>
                  </pic:nvPicPr>
                  <pic:blipFill>
                    <a:blip r:embed="rId4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Linear gauge.</w:t>
      </w:r>
    </w:p>
    <w:p>
      <w:pPr>
        <w:pStyle w:val="Heading6"/>
        <w:spacing w:line="240" w:lineRule="auto" w:before="35"/>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472"/>
      </w:pPr>
      <w:hyperlink w:history="true" w:anchor="_bookmark86">
        <w:r>
          <w:rPr>
            <w:color w:val="231F20"/>
          </w:rPr>
          <w:t>“Chart</w:t>
        </w:r>
        <w:r>
          <w:rPr>
            <w:color w:val="231F20"/>
            <w:spacing w:val="9"/>
          </w:rPr>
          <w:t> </w:t>
        </w:r>
        <w:r>
          <w:rPr>
            <w:color w:val="231F20"/>
            <w:spacing w:val="-2"/>
          </w:rPr>
          <w:t>style”</w:t>
        </w:r>
      </w:hyperlink>
    </w:p>
    <w:p>
      <w:pPr>
        <w:pStyle w:val="BodyText"/>
        <w:spacing w:line="213" w:lineRule="auto" w:before="8"/>
        <w:ind w:left="2472" w:right="167"/>
      </w:pPr>
      <w:r>
        <w:rPr>
          <w:color w:val="231F20"/>
        </w:rPr>
        <w:t>The</w:t>
      </w:r>
      <w:r>
        <w:rPr>
          <w:color w:val="231F20"/>
          <w:spacing w:val="36"/>
        </w:rPr>
        <w:t> </w:t>
      </w:r>
      <w:r>
        <w:rPr>
          <w:color w:val="231F20"/>
          <w:spacing w:val="-24"/>
          <w:position w:val="-1"/>
        </w:rPr>
        <w:drawing>
          <wp:inline distT="0" distB="0" distL="0" distR="0">
            <wp:extent cx="95250" cy="95250"/>
            <wp:effectExtent l="0" t="0" r="0" b="0"/>
            <wp:docPr id="1173" name="Image 1173"/>
            <wp:cNvGraphicFramePr>
              <a:graphicFrameLocks/>
            </wp:cNvGraphicFramePr>
            <a:graphic>
              <a:graphicData uri="http://schemas.openxmlformats.org/drawingml/2006/picture">
                <pic:pic>
                  <pic:nvPicPr>
                    <pic:cNvPr id="1173" name="Image 1173"/>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3"/>
        </w:rPr>
        <w:t> </w:t>
      </w:r>
      <w:r>
        <w:rPr>
          <w:rFonts w:ascii="Book Antiqua"/>
          <w:b/>
          <w:color w:val="231F20"/>
        </w:rPr>
        <w:t>Style</w:t>
      </w:r>
      <w:r>
        <w:rPr>
          <w:rFonts w:ascii="Book Antiqua"/>
          <w:b/>
          <w:color w:val="231F20"/>
          <w:spacing w:val="25"/>
        </w:rPr>
        <w:t> </w:t>
      </w:r>
      <w:r>
        <w:rPr>
          <w:color w:val="231F20"/>
        </w:rPr>
        <w:t>tab</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Properties</w:t>
      </w:r>
      <w:r>
        <w:rPr>
          <w:color w:val="231F20"/>
          <w:spacing w:val="25"/>
        </w:rPr>
        <w:t> </w:t>
      </w:r>
      <w:r>
        <w:rPr>
          <w:color w:val="231F20"/>
        </w:rPr>
        <w:t>editor</w:t>
      </w:r>
      <w:r>
        <w:rPr>
          <w:color w:val="231F20"/>
          <w:spacing w:val="25"/>
        </w:rPr>
        <w:t> </w:t>
      </w:r>
      <w:r>
        <w:rPr>
          <w:color w:val="231F20"/>
        </w:rPr>
        <w:t>to</w:t>
      </w:r>
      <w:r>
        <w:rPr>
          <w:color w:val="231F20"/>
          <w:spacing w:val="25"/>
        </w:rPr>
        <w:t> </w:t>
      </w:r>
      <w:r>
        <w:rPr>
          <w:color w:val="231F20"/>
        </w:rPr>
        <w:t>refine</w:t>
      </w:r>
      <w:r>
        <w:rPr>
          <w:color w:val="231F20"/>
          <w:spacing w:val="25"/>
        </w:rPr>
        <w:t> </w:t>
      </w:r>
      <w:r>
        <w:rPr>
          <w:color w:val="231F20"/>
        </w:rPr>
        <w:t>the</w:t>
      </w:r>
      <w:r>
        <w:rPr>
          <w:color w:val="231F20"/>
          <w:spacing w:val="25"/>
        </w:rPr>
        <w:t> </w:t>
      </w:r>
      <w:r>
        <w:rPr>
          <w:color w:val="231F20"/>
        </w:rPr>
        <w:t>appearance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chart.</w:t>
      </w:r>
      <w:r>
        <w:rPr>
          <w:color w:val="231F20"/>
          <w:spacing w:val="25"/>
        </w:rPr>
        <w:t> </w:t>
      </w:r>
      <w:r>
        <w:rPr>
          <w:color w:val="231F20"/>
        </w:rPr>
        <w:t>For the bar, plot, and area charts, this is also where you can specify a line chart overlay</w:t>
      </w:r>
      <w:r>
        <w:rPr>
          <w:color w:val="231F20"/>
          <w:spacing w:val="40"/>
        </w:rPr>
        <w:t> </w:t>
      </w:r>
      <w:r>
        <w:rPr>
          <w:color w:val="231F20"/>
        </w:rPr>
        <w:t>and threshold indicators.</w:t>
      </w:r>
    </w:p>
    <w:p>
      <w:pPr>
        <w:pStyle w:val="Heading3"/>
        <w:spacing w:before="217"/>
        <w:ind w:left="1574"/>
      </w:pPr>
      <w:bookmarkStart w:name="Chart style" w:id="190"/>
      <w:bookmarkEnd w:id="190"/>
      <w:r>
        <w:rPr>
          <w:b w:val="0"/>
        </w:rPr>
      </w:r>
      <w:r>
        <w:rPr>
          <w:color w:val="231F20"/>
        </w:rPr>
        <w:t>Chart</w:t>
      </w:r>
      <w:r>
        <w:rPr>
          <w:color w:val="231F20"/>
          <w:spacing w:val="7"/>
        </w:rPr>
        <w:t> </w:t>
      </w:r>
      <w:r>
        <w:rPr>
          <w:color w:val="231F20"/>
          <w:spacing w:val="-2"/>
        </w:rPr>
        <w:t>style</w:t>
      </w:r>
    </w:p>
    <w:p>
      <w:pPr>
        <w:pStyle w:val="BodyText"/>
        <w:spacing w:line="213" w:lineRule="auto" w:before="58"/>
        <w:ind w:left="2472" w:right="167"/>
      </w:pPr>
      <w:r>
        <w:rPr>
          <w:color w:val="231F20"/>
        </w:rPr>
        <w:t>The</w:t>
      </w:r>
      <w:r>
        <w:rPr>
          <w:color w:val="231F20"/>
          <w:spacing w:val="36"/>
        </w:rPr>
        <w:t> </w:t>
      </w:r>
      <w:r>
        <w:rPr>
          <w:color w:val="231F20"/>
          <w:spacing w:val="-24"/>
          <w:position w:val="-1"/>
        </w:rPr>
        <w:drawing>
          <wp:inline distT="0" distB="0" distL="0" distR="0">
            <wp:extent cx="95250" cy="95250"/>
            <wp:effectExtent l="0" t="0" r="0" b="0"/>
            <wp:docPr id="1174" name="Image 1174"/>
            <wp:cNvGraphicFramePr>
              <a:graphicFrameLocks/>
            </wp:cNvGraphicFramePr>
            <a:graphic>
              <a:graphicData uri="http://schemas.openxmlformats.org/drawingml/2006/picture">
                <pic:pic>
                  <pic:nvPicPr>
                    <pic:cNvPr id="1174" name="Image 1174"/>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33"/>
        </w:rPr>
        <w:t> </w:t>
      </w:r>
      <w:r>
        <w:rPr>
          <w:rFonts w:ascii="Book Antiqua"/>
          <w:b/>
          <w:color w:val="231F20"/>
        </w:rPr>
        <w:t>Style</w:t>
      </w:r>
      <w:r>
        <w:rPr>
          <w:rFonts w:ascii="Book Antiqua"/>
          <w:b/>
          <w:color w:val="231F20"/>
          <w:spacing w:val="25"/>
        </w:rPr>
        <w:t> </w:t>
      </w:r>
      <w:r>
        <w:rPr>
          <w:color w:val="231F20"/>
        </w:rPr>
        <w:t>tab</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Properties</w:t>
      </w:r>
      <w:r>
        <w:rPr>
          <w:color w:val="231F20"/>
          <w:spacing w:val="25"/>
        </w:rPr>
        <w:t> </w:t>
      </w:r>
      <w:r>
        <w:rPr>
          <w:color w:val="231F20"/>
        </w:rPr>
        <w:t>editor</w:t>
      </w:r>
      <w:r>
        <w:rPr>
          <w:color w:val="231F20"/>
          <w:spacing w:val="25"/>
        </w:rPr>
        <w:t> </w:t>
      </w:r>
      <w:r>
        <w:rPr>
          <w:color w:val="231F20"/>
        </w:rPr>
        <w:t>to</w:t>
      </w:r>
      <w:r>
        <w:rPr>
          <w:color w:val="231F20"/>
          <w:spacing w:val="25"/>
        </w:rPr>
        <w:t> </w:t>
      </w:r>
      <w:r>
        <w:rPr>
          <w:color w:val="231F20"/>
        </w:rPr>
        <w:t>refine</w:t>
      </w:r>
      <w:r>
        <w:rPr>
          <w:color w:val="231F20"/>
          <w:spacing w:val="25"/>
        </w:rPr>
        <w:t> </w:t>
      </w:r>
      <w:r>
        <w:rPr>
          <w:color w:val="231F20"/>
        </w:rPr>
        <w:t>the</w:t>
      </w:r>
      <w:r>
        <w:rPr>
          <w:color w:val="231F20"/>
          <w:spacing w:val="25"/>
        </w:rPr>
        <w:t> </w:t>
      </w:r>
      <w:r>
        <w:rPr>
          <w:color w:val="231F20"/>
        </w:rPr>
        <w:t>appearance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chart.</w:t>
      </w:r>
      <w:r>
        <w:rPr>
          <w:color w:val="231F20"/>
          <w:spacing w:val="25"/>
        </w:rPr>
        <w:t> </w:t>
      </w:r>
      <w:r>
        <w:rPr>
          <w:color w:val="231F20"/>
        </w:rPr>
        <w:t>For the bar, plot, and area charts, this is also where you can specify a line chart overlay</w:t>
      </w:r>
      <w:r>
        <w:rPr>
          <w:color w:val="231F20"/>
          <w:spacing w:val="40"/>
        </w:rPr>
        <w:t> </w:t>
      </w:r>
      <w:bookmarkStart w:name="Header Label" w:id="191"/>
      <w:bookmarkEnd w:id="191"/>
      <w:r>
        <w:rPr>
          <w:color w:val="231F20"/>
        </w:rPr>
        <w:t>and</w:t>
      </w:r>
      <w:r>
        <w:rPr>
          <w:color w:val="231F20"/>
        </w:rPr>
        <w:t> threshold indicators.</w:t>
      </w:r>
    </w:p>
    <w:p>
      <w:pPr>
        <w:pStyle w:val="Heading4"/>
        <w:spacing w:line="273" w:lineRule="exact" w:before="164"/>
        <w:ind w:left="2472"/>
      </w:pPr>
      <w:r>
        <w:rPr>
          <w:color w:val="231F20"/>
        </w:rPr>
        <w:t>Header</w:t>
      </w:r>
      <w:r>
        <w:rPr>
          <w:color w:val="231F20"/>
          <w:spacing w:val="4"/>
        </w:rPr>
        <w:t> </w:t>
      </w:r>
      <w:r>
        <w:rPr>
          <w:color w:val="231F20"/>
          <w:spacing w:val="-2"/>
        </w:rPr>
        <w:t>Label</w:t>
      </w:r>
    </w:p>
    <w:p>
      <w:pPr>
        <w:pStyle w:val="BodyText"/>
        <w:spacing w:line="251" w:lineRule="exact"/>
        <w:ind w:left="2472"/>
      </w:pPr>
      <w:r>
        <w:rPr>
          <w:color w:val="231F20"/>
        </w:rPr>
        <w:t>Select</w:t>
      </w:r>
      <w:r>
        <w:rPr>
          <w:color w:val="231F20"/>
          <w:spacing w:val="10"/>
        </w:rPr>
        <w:t> </w:t>
      </w:r>
      <w:r>
        <w:rPr>
          <w:color w:val="231F20"/>
        </w:rPr>
        <w:t>the</w:t>
      </w:r>
      <w:r>
        <w:rPr>
          <w:color w:val="231F20"/>
          <w:spacing w:val="11"/>
        </w:rPr>
        <w:t> </w:t>
      </w:r>
      <w:r>
        <w:rPr>
          <w:color w:val="231F20"/>
        </w:rPr>
        <w:t>Header</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545" w:firstLine="10"/>
      </w:pPr>
      <w:r>
        <w:rPr>
          <w:position w:val="-1"/>
        </w:rPr>
        <w:drawing>
          <wp:inline distT="0" distB="0" distL="0" distR="0">
            <wp:extent cx="95250" cy="95250"/>
            <wp:effectExtent l="0" t="0" r="0" b="0"/>
            <wp:docPr id="1175" name="Image 1175"/>
            <wp:cNvGraphicFramePr>
              <a:graphicFrameLocks/>
            </wp:cNvGraphicFramePr>
            <a:graphic>
              <a:graphicData uri="http://schemas.openxmlformats.org/drawingml/2006/picture">
                <pic:pic>
                  <pic:nvPicPr>
                    <pic:cNvPr id="1175" name="Image 1175"/>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5"/>
        </w:rPr>
        <w:t> </w:t>
      </w:r>
      <w:r>
        <w:rPr>
          <w:rFonts w:ascii="Book Antiqua"/>
          <w:b/>
          <w:color w:val="231F20"/>
        </w:rPr>
        <w:t>Style </w:t>
      </w:r>
      <w:r>
        <w:rPr>
          <w:color w:val="231F20"/>
        </w:rPr>
        <w:t>tab to add a title to the view, which shows in the view title bar. You can also apply the title as a view header, add a border, and change the text style.</w:t>
      </w:r>
    </w:p>
    <w:p>
      <w:pPr>
        <w:pStyle w:val="Heading6"/>
        <w:spacing w:line="227" w:lineRule="exact" w:before="122"/>
      </w:pPr>
      <w:r>
        <w:rPr>
          <w:b w:val="0"/>
        </w:rPr>
        <w:drawing>
          <wp:inline distT="0" distB="0" distL="0" distR="0">
            <wp:extent cx="82550" cy="82550"/>
            <wp:effectExtent l="0" t="0" r="0" b="0"/>
            <wp:docPr id="1176" name="Image 1176"/>
            <wp:cNvGraphicFramePr>
              <a:graphicFrameLocks/>
            </wp:cNvGraphicFramePr>
            <a:graphic>
              <a:graphicData uri="http://schemas.openxmlformats.org/drawingml/2006/picture">
                <pic:pic>
                  <pic:nvPicPr>
                    <pic:cNvPr id="1176" name="Image 1176"/>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Show</w:t>
      </w:r>
    </w:p>
    <w:p>
      <w:pPr>
        <w:pStyle w:val="BodyText"/>
        <w:spacing w:line="256" w:lineRule="exact"/>
        <w:ind w:left="3190"/>
      </w:pPr>
      <w:r>
        <w:rPr>
          <w:color w:val="231F20"/>
        </w:rPr>
        <w:t>Select</w:t>
      </w:r>
      <w:r>
        <w:rPr>
          <w:color w:val="231F20"/>
          <w:spacing w:val="12"/>
        </w:rPr>
        <w:t> </w:t>
      </w:r>
      <w:r>
        <w:rPr>
          <w:color w:val="231F20"/>
        </w:rPr>
        <w:t>the</w:t>
      </w:r>
      <w:r>
        <w:rPr>
          <w:color w:val="231F20"/>
          <w:spacing w:val="13"/>
        </w:rPr>
        <w:t> </w:t>
      </w:r>
      <w:r>
        <w:rPr>
          <w:color w:val="231F20"/>
        </w:rPr>
        <w:t>check</w:t>
      </w:r>
      <w:r>
        <w:rPr>
          <w:color w:val="231F20"/>
          <w:spacing w:val="12"/>
        </w:rPr>
        <w:t> </w:t>
      </w:r>
      <w:r>
        <w:rPr>
          <w:color w:val="231F20"/>
        </w:rPr>
        <w:t>box</w:t>
      </w:r>
      <w:r>
        <w:rPr>
          <w:color w:val="231F20"/>
          <w:spacing w:val="13"/>
        </w:rPr>
        <w:t> </w:t>
      </w:r>
      <w:r>
        <w:rPr>
          <w:color w:val="231F20"/>
        </w:rPr>
        <w:t>to</w:t>
      </w:r>
      <w:r>
        <w:rPr>
          <w:color w:val="231F20"/>
          <w:spacing w:val="13"/>
        </w:rPr>
        <w:t> </w:t>
      </w:r>
      <w:r>
        <w:rPr>
          <w:color w:val="231F20"/>
        </w:rPr>
        <w:t>display</w:t>
      </w:r>
      <w:r>
        <w:rPr>
          <w:color w:val="231F20"/>
          <w:spacing w:val="12"/>
        </w:rPr>
        <w:t> </w:t>
      </w:r>
      <w:r>
        <w:rPr>
          <w:color w:val="231F20"/>
        </w:rPr>
        <w:t>the</w:t>
      </w:r>
      <w:r>
        <w:rPr>
          <w:color w:val="231F20"/>
          <w:spacing w:val="13"/>
        </w:rPr>
        <w:t> </w:t>
      </w:r>
      <w:r>
        <w:rPr>
          <w:color w:val="231F20"/>
        </w:rPr>
        <w:t>title</w:t>
      </w:r>
      <w:r>
        <w:rPr>
          <w:color w:val="231F20"/>
          <w:spacing w:val="13"/>
        </w:rPr>
        <w:t> </w:t>
      </w:r>
      <w:r>
        <w:rPr>
          <w:color w:val="231F20"/>
        </w:rPr>
        <w:t>as</w:t>
      </w:r>
      <w:r>
        <w:rPr>
          <w:color w:val="231F20"/>
          <w:spacing w:val="12"/>
        </w:rPr>
        <w:t> </w:t>
      </w:r>
      <w:r>
        <w:rPr>
          <w:color w:val="231F20"/>
        </w:rPr>
        <w:t>a</w:t>
      </w:r>
      <w:r>
        <w:rPr>
          <w:color w:val="231F20"/>
          <w:spacing w:val="13"/>
        </w:rPr>
        <w:t> </w:t>
      </w:r>
      <w:r>
        <w:rPr>
          <w:color w:val="231F20"/>
          <w:spacing w:val="-2"/>
        </w:rPr>
        <w:t>header.</w:t>
      </w:r>
    </w:p>
    <w:p>
      <w:pPr>
        <w:pStyle w:val="Heading6"/>
        <w:spacing w:line="227" w:lineRule="exact" w:before="116"/>
      </w:pPr>
      <w:r>
        <w:rPr>
          <w:b w:val="0"/>
        </w:rPr>
        <w:drawing>
          <wp:inline distT="0" distB="0" distL="0" distR="0">
            <wp:extent cx="82550" cy="82550"/>
            <wp:effectExtent l="0" t="0" r="0" b="0"/>
            <wp:docPr id="1177" name="Image 1177"/>
            <wp:cNvGraphicFramePr>
              <a:graphicFrameLocks/>
            </wp:cNvGraphicFramePr>
            <a:graphic>
              <a:graphicData uri="http://schemas.openxmlformats.org/drawingml/2006/picture">
                <pic:pic>
                  <pic:nvPicPr>
                    <pic:cNvPr id="1177" name="Image 1177"/>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Show Border</w:t>
      </w:r>
    </w:p>
    <w:p>
      <w:pPr>
        <w:pStyle w:val="BodyText"/>
        <w:spacing w:line="256" w:lineRule="exact"/>
        <w:ind w:left="3190"/>
      </w:pPr>
      <w:r>
        <w:rPr>
          <w:color w:val="231F20"/>
        </w:rPr>
        <w:t>Select</w:t>
      </w:r>
      <w:r>
        <w:rPr>
          <w:color w:val="231F20"/>
          <w:spacing w:val="11"/>
        </w:rPr>
        <w:t> </w:t>
      </w:r>
      <w:r>
        <w:rPr>
          <w:color w:val="231F20"/>
        </w:rPr>
        <w:t>the</w:t>
      </w:r>
      <w:r>
        <w:rPr>
          <w:color w:val="231F20"/>
          <w:spacing w:val="11"/>
        </w:rPr>
        <w:t> </w:t>
      </w:r>
      <w:r>
        <w:rPr>
          <w:color w:val="231F20"/>
        </w:rPr>
        <w:t>check</w:t>
      </w:r>
      <w:r>
        <w:rPr>
          <w:color w:val="231F20"/>
          <w:spacing w:val="11"/>
        </w:rPr>
        <w:t> </w:t>
      </w:r>
      <w:r>
        <w:rPr>
          <w:color w:val="231F20"/>
        </w:rPr>
        <w:t>box</w:t>
      </w:r>
      <w:r>
        <w:rPr>
          <w:color w:val="231F20"/>
          <w:spacing w:val="11"/>
        </w:rPr>
        <w:t> </w:t>
      </w:r>
      <w:r>
        <w:rPr>
          <w:color w:val="231F20"/>
        </w:rPr>
        <w:t>to</w:t>
      </w:r>
      <w:r>
        <w:rPr>
          <w:color w:val="231F20"/>
          <w:spacing w:val="11"/>
        </w:rPr>
        <w:t> </w:t>
      </w:r>
      <w:r>
        <w:rPr>
          <w:color w:val="231F20"/>
        </w:rPr>
        <w:t>display</w:t>
      </w:r>
      <w:r>
        <w:rPr>
          <w:color w:val="231F20"/>
          <w:spacing w:val="11"/>
        </w:rPr>
        <w:t> </w:t>
      </w:r>
      <w:r>
        <w:rPr>
          <w:color w:val="231F20"/>
        </w:rPr>
        <w:t>a</w:t>
      </w:r>
      <w:r>
        <w:rPr>
          <w:color w:val="231F20"/>
          <w:spacing w:val="11"/>
        </w:rPr>
        <w:t> </w:t>
      </w:r>
      <w:r>
        <w:rPr>
          <w:color w:val="231F20"/>
        </w:rPr>
        <w:t>border</w:t>
      </w:r>
      <w:r>
        <w:rPr>
          <w:color w:val="231F20"/>
          <w:spacing w:val="11"/>
        </w:rPr>
        <w:t> </w:t>
      </w:r>
      <w:r>
        <w:rPr>
          <w:color w:val="231F20"/>
        </w:rPr>
        <w:t>around</w:t>
      </w:r>
      <w:r>
        <w:rPr>
          <w:color w:val="231F20"/>
          <w:spacing w:val="11"/>
        </w:rPr>
        <w:t> </w:t>
      </w:r>
      <w:r>
        <w:rPr>
          <w:color w:val="231F20"/>
        </w:rPr>
        <w:t>the</w:t>
      </w:r>
      <w:r>
        <w:rPr>
          <w:color w:val="231F20"/>
          <w:spacing w:val="11"/>
        </w:rPr>
        <w:t> </w:t>
      </w:r>
      <w:r>
        <w:rPr>
          <w:color w:val="231F20"/>
        </w:rPr>
        <w:t>header</w:t>
      </w:r>
      <w:r>
        <w:rPr>
          <w:color w:val="231F20"/>
          <w:spacing w:val="11"/>
        </w:rPr>
        <w:t> </w:t>
      </w:r>
      <w:r>
        <w:rPr>
          <w:color w:val="231F20"/>
          <w:spacing w:val="-2"/>
        </w:rPr>
        <w:t>label.</w:t>
      </w:r>
    </w:p>
    <w:p>
      <w:pPr>
        <w:pStyle w:val="BodyText"/>
        <w:tabs>
          <w:tab w:pos="3190" w:val="left" w:leader="none"/>
        </w:tabs>
        <w:spacing w:line="218" w:lineRule="auto" w:before="109"/>
        <w:ind w:left="3190" w:right="274" w:hanging="719"/>
      </w:pPr>
      <w:r>
        <w:rPr>
          <w:rFonts w:ascii="Book Antiqua"/>
          <w:b/>
          <w:color w:val="231F20"/>
          <w:spacing w:val="-4"/>
        </w:rPr>
        <w:t>Text</w:t>
      </w:r>
      <w:r>
        <w:rPr>
          <w:rFonts w:ascii="Book Antiqua"/>
          <w:b/>
          <w:color w:val="231F20"/>
        </w:rPr>
        <w:tab/>
      </w:r>
      <w:r>
        <w:rPr>
          <w:color w:val="231F20"/>
        </w:rPr>
        <w:t>This text you enter here becomes the view title and is displayed in the </w:t>
      </w:r>
      <w:r>
        <w:rPr>
          <w:color w:val="231F20"/>
        </w:rPr>
        <w:t>title bar and, if you selected </w:t>
      </w:r>
      <w:r>
        <w:rPr>
          <w:color w:val="231F20"/>
          <w:spacing w:val="16"/>
        </w:rPr>
        <w:drawing>
          <wp:inline distT="0" distB="0" distL="0" distR="0">
            <wp:extent cx="82550" cy="82550"/>
            <wp:effectExtent l="0" t="0" r="0" b="0"/>
            <wp:docPr id="1178" name="Image 1178"/>
            <wp:cNvGraphicFramePr>
              <a:graphicFrameLocks/>
            </wp:cNvGraphicFramePr>
            <a:graphic>
              <a:graphicData uri="http://schemas.openxmlformats.org/drawingml/2006/picture">
                <pic:pic>
                  <pic:nvPicPr>
                    <pic:cNvPr id="1178" name="Image 117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3"/>
        </w:rPr>
        <w:t> </w:t>
      </w:r>
      <w:r>
        <w:rPr>
          <w:rFonts w:ascii="Book Antiqua"/>
          <w:b/>
          <w:color w:val="231F20"/>
        </w:rPr>
        <w:t>Show</w:t>
      </w:r>
      <w:r>
        <w:rPr>
          <w:color w:val="231F20"/>
        </w:rPr>
        <w:t>, in the header.</w:t>
      </w:r>
    </w:p>
    <w:p>
      <w:pPr>
        <w:pStyle w:val="Heading6"/>
        <w:spacing w:before="110"/>
      </w:pPr>
      <w:r>
        <w:rPr>
          <w:color w:val="231F20"/>
          <w:spacing w:val="-2"/>
        </w:rPr>
        <w:t>Text</w:t>
      </w:r>
      <w:r>
        <w:rPr>
          <w:color w:val="231F20"/>
          <w:spacing w:val="-3"/>
        </w:rPr>
        <w:t> </w:t>
      </w:r>
      <w:r>
        <w:rPr>
          <w:color w:val="231F20"/>
          <w:spacing w:val="-2"/>
        </w:rPr>
        <w:t>style</w:t>
      </w:r>
    </w:p>
    <w:p>
      <w:pPr>
        <w:spacing w:line="213" w:lineRule="auto" w:before="12"/>
        <w:ind w:left="3190" w:right="258" w:firstLine="0"/>
        <w:jc w:val="left"/>
        <w:rPr>
          <w:sz w:val="20"/>
        </w:rPr>
      </w:pPr>
      <w:r>
        <w:rPr>
          <w:color w:val="231F20"/>
          <w:sz w:val="20"/>
        </w:rPr>
        <w:t>Select</w:t>
      </w:r>
      <w:r>
        <w:rPr>
          <w:color w:val="231F20"/>
          <w:spacing w:val="25"/>
          <w:sz w:val="20"/>
        </w:rPr>
        <w:t> </w:t>
      </w:r>
      <w:r>
        <w:rPr>
          <w:color w:val="231F20"/>
          <w:sz w:val="20"/>
        </w:rPr>
        <w:t>a</w:t>
      </w:r>
      <w:r>
        <w:rPr>
          <w:color w:val="231F20"/>
          <w:spacing w:val="25"/>
          <w:sz w:val="20"/>
        </w:rPr>
        <w:t> </w:t>
      </w:r>
      <w:r>
        <w:rPr>
          <w:color w:val="231F20"/>
          <w:sz w:val="20"/>
        </w:rPr>
        <w:t>different</w:t>
      </w:r>
      <w:r>
        <w:rPr>
          <w:color w:val="231F20"/>
          <w:spacing w:val="25"/>
          <w:sz w:val="20"/>
        </w:rPr>
        <w:t> </w:t>
      </w:r>
      <w:r>
        <w:rPr>
          <w:rFonts w:ascii="Book Antiqua"/>
          <w:b/>
          <w:color w:val="231F20"/>
          <w:sz w:val="20"/>
        </w:rPr>
        <w:t>Font</w:t>
      </w:r>
      <w:r>
        <w:rPr>
          <w:rFonts w:ascii="Book Antiqua"/>
          <w:b/>
          <w:color w:val="231F20"/>
          <w:spacing w:val="25"/>
          <w:sz w:val="20"/>
        </w:rPr>
        <w:t> </w:t>
      </w:r>
      <w:r>
        <w:rPr>
          <w:rFonts w:ascii="Book Antiqua"/>
          <w:b/>
          <w:color w:val="231F20"/>
          <w:sz w:val="20"/>
        </w:rPr>
        <w:t>name</w:t>
      </w:r>
      <w:r>
        <w:rPr>
          <w:rFonts w:ascii="Book Antiqua"/>
          <w:b/>
          <w:color w:val="231F20"/>
          <w:spacing w:val="25"/>
          <w:sz w:val="20"/>
        </w:rPr>
        <w:t> </w:t>
      </w:r>
      <w:r>
        <w:rPr>
          <w:color w:val="231F20"/>
          <w:sz w:val="20"/>
        </w:rPr>
        <w:t>or</w:t>
      </w:r>
      <w:r>
        <w:rPr>
          <w:color w:val="231F20"/>
          <w:spacing w:val="25"/>
          <w:sz w:val="20"/>
        </w:rPr>
        <w:t> </w:t>
      </w:r>
      <w:r>
        <w:rPr>
          <w:color w:val="231F20"/>
          <w:sz w:val="20"/>
        </w:rPr>
        <w:t>font</w:t>
      </w:r>
      <w:r>
        <w:rPr>
          <w:color w:val="231F20"/>
          <w:spacing w:val="25"/>
          <w:sz w:val="20"/>
        </w:rPr>
        <w:t> </w:t>
      </w:r>
      <w:r>
        <w:rPr>
          <w:rFonts w:ascii="Book Antiqua"/>
          <w:b/>
          <w:color w:val="231F20"/>
          <w:sz w:val="20"/>
        </w:rPr>
        <w:t>Size</w:t>
      </w:r>
      <w:r>
        <w:rPr>
          <w:rFonts w:ascii="Book Antiqua"/>
          <w:b/>
          <w:color w:val="231F20"/>
          <w:spacing w:val="25"/>
          <w:sz w:val="20"/>
        </w:rPr>
        <w:t> </w:t>
      </w:r>
      <w:r>
        <w:rPr>
          <w:color w:val="231F20"/>
          <w:sz w:val="20"/>
        </w:rPr>
        <w:t>from</w:t>
      </w:r>
      <w:r>
        <w:rPr>
          <w:color w:val="231F20"/>
          <w:spacing w:val="25"/>
          <w:sz w:val="20"/>
        </w:rPr>
        <w:t> </w:t>
      </w:r>
      <w:r>
        <w:rPr>
          <w:color w:val="231F20"/>
          <w:sz w:val="20"/>
        </w:rPr>
        <w:t>the</w:t>
      </w:r>
      <w:r>
        <w:rPr>
          <w:color w:val="231F20"/>
          <w:spacing w:val="15"/>
          <w:sz w:val="20"/>
        </w:rPr>
        <w:t> </w:t>
      </w:r>
      <w:r>
        <w:rPr>
          <w:color w:val="231F20"/>
          <w:spacing w:val="15"/>
          <w:position w:val="-1"/>
          <w:sz w:val="20"/>
        </w:rPr>
        <w:drawing>
          <wp:inline distT="0" distB="0" distL="0" distR="0">
            <wp:extent cx="101600" cy="101600"/>
            <wp:effectExtent l="0" t="0" r="0" b="0"/>
            <wp:docPr id="1179" name="Image 1179"/>
            <wp:cNvGraphicFramePr>
              <a:graphicFrameLocks/>
            </wp:cNvGraphicFramePr>
            <a:graphic>
              <a:graphicData uri="http://schemas.openxmlformats.org/drawingml/2006/picture">
                <pic:pic>
                  <pic:nvPicPr>
                    <pic:cNvPr id="1179" name="Image 117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64"/>
          <w:sz w:val="20"/>
        </w:rPr>
        <w:t> </w:t>
      </w:r>
      <w:r>
        <w:rPr>
          <w:color w:val="231F20"/>
          <w:sz w:val="20"/>
        </w:rPr>
        <w:t>list.</w:t>
      </w:r>
      <w:r>
        <w:rPr>
          <w:color w:val="231F20"/>
          <w:spacing w:val="16"/>
          <w:sz w:val="20"/>
        </w:rPr>
        <w:t> </w:t>
      </w:r>
      <w:r>
        <w:rPr>
          <w:color w:val="231F20"/>
          <w:spacing w:val="16"/>
          <w:sz w:val="20"/>
        </w:rPr>
        <w:drawing>
          <wp:inline distT="0" distB="0" distL="0" distR="0">
            <wp:extent cx="82550" cy="82550"/>
            <wp:effectExtent l="0" t="0" r="0" b="0"/>
            <wp:docPr id="1180" name="Image 1180"/>
            <wp:cNvGraphicFramePr>
              <a:graphicFrameLocks/>
            </wp:cNvGraphicFramePr>
            <a:graphic>
              <a:graphicData uri="http://schemas.openxmlformats.org/drawingml/2006/picture">
                <pic:pic>
                  <pic:nvPicPr>
                    <pic:cNvPr id="1180" name="Image 118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1"/>
          <w:sz w:val="20"/>
        </w:rPr>
        <w:t> </w:t>
      </w:r>
      <w:r>
        <w:rPr>
          <w:rFonts w:ascii="Book Antiqua"/>
          <w:b/>
          <w:color w:val="231F20"/>
          <w:sz w:val="20"/>
        </w:rPr>
        <w:t>Bold</w:t>
      </w:r>
      <w:r>
        <w:rPr>
          <w:rFonts w:ascii="Book Antiqua"/>
          <w:b/>
          <w:color w:val="231F20"/>
          <w:spacing w:val="25"/>
          <w:sz w:val="20"/>
        </w:rPr>
        <w:t> </w:t>
      </w:r>
      <w:r>
        <w:rPr>
          <w:color w:val="231F20"/>
          <w:sz w:val="20"/>
        </w:rPr>
        <w:t>makes the header text boldface. </w:t>
      </w:r>
      <w:r>
        <w:rPr>
          <w:color w:val="231F20"/>
          <w:spacing w:val="16"/>
          <w:sz w:val="20"/>
        </w:rPr>
        <w:drawing>
          <wp:inline distT="0" distB="0" distL="0" distR="0">
            <wp:extent cx="82550" cy="82550"/>
            <wp:effectExtent l="0" t="0" r="0" b="0"/>
            <wp:docPr id="1181" name="Image 1181"/>
            <wp:cNvGraphicFramePr>
              <a:graphicFrameLocks/>
            </wp:cNvGraphicFramePr>
            <a:graphic>
              <a:graphicData uri="http://schemas.openxmlformats.org/drawingml/2006/picture">
                <pic:pic>
                  <pic:nvPicPr>
                    <pic:cNvPr id="1181" name="Image 118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Italic </w:t>
      </w:r>
      <w:r>
        <w:rPr>
          <w:color w:val="231F20"/>
          <w:sz w:val="20"/>
        </w:rPr>
        <w:t>makes the header text italicized. When </w:t>
      </w:r>
      <w:r>
        <w:rPr>
          <w:color w:val="231F20"/>
          <w:spacing w:val="15"/>
          <w:sz w:val="20"/>
        </w:rPr>
        <w:drawing>
          <wp:inline distT="0" distB="0" distL="0" distR="0">
            <wp:extent cx="82550" cy="82550"/>
            <wp:effectExtent l="0" t="0" r="0" b="0"/>
            <wp:docPr id="1182" name="Image 1182"/>
            <wp:cNvGraphicFramePr>
              <a:graphicFrameLocks/>
            </wp:cNvGraphicFramePr>
            <a:graphic>
              <a:graphicData uri="http://schemas.openxmlformats.org/drawingml/2006/picture">
                <pic:pic>
                  <pic:nvPicPr>
                    <pic:cNvPr id="1182" name="Image 118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15"/>
          <w:sz w:val="20"/>
        </w:rPr>
        <w:t> </w:t>
      </w:r>
      <w:r>
        <w:rPr>
          <w:rFonts w:ascii="Book Antiqua"/>
          <w:b/>
          <w:color w:val="231F20"/>
          <w:sz w:val="20"/>
        </w:rPr>
        <w:t>Use CSS values </w:t>
      </w:r>
      <w:r>
        <w:rPr>
          <w:color w:val="231F20"/>
          <w:sz w:val="20"/>
        </w:rPr>
        <w:t>is selected, this area is disabled.</w:t>
      </w:r>
    </w:p>
    <w:p>
      <w:pPr>
        <w:pStyle w:val="Heading6"/>
        <w:spacing w:line="227" w:lineRule="exact" w:before="121"/>
      </w:pPr>
      <w:r>
        <w:rPr>
          <w:b w:val="0"/>
        </w:rPr>
        <w:drawing>
          <wp:inline distT="0" distB="0" distL="0" distR="0">
            <wp:extent cx="82550" cy="82550"/>
            <wp:effectExtent l="0" t="0" r="0" b="0"/>
            <wp:docPr id="1183" name="Image 1183"/>
            <wp:cNvGraphicFramePr>
              <a:graphicFrameLocks/>
            </wp:cNvGraphicFramePr>
            <a:graphic>
              <a:graphicData uri="http://schemas.openxmlformats.org/drawingml/2006/picture">
                <pic:pic>
                  <pic:nvPicPr>
                    <pic:cNvPr id="1183" name="Image 1183"/>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Use</w:t>
      </w:r>
      <w:r>
        <w:rPr>
          <w:color w:val="231F20"/>
          <w:spacing w:val="36"/>
        </w:rPr>
        <w:t> </w:t>
      </w:r>
      <w:r>
        <w:rPr>
          <w:color w:val="231F20"/>
        </w:rPr>
        <w:t>CSS</w:t>
      </w:r>
      <w:r>
        <w:rPr>
          <w:color w:val="231F20"/>
          <w:spacing w:val="36"/>
        </w:rPr>
        <w:t> </w:t>
      </w:r>
      <w:r>
        <w:rPr>
          <w:color w:val="231F20"/>
        </w:rPr>
        <w:t>values</w:t>
      </w:r>
    </w:p>
    <w:p>
      <w:pPr>
        <w:pStyle w:val="BodyText"/>
        <w:spacing w:line="213" w:lineRule="auto" w:before="9"/>
        <w:ind w:left="3190" w:right="274"/>
      </w:pPr>
      <w:r>
        <w:rPr>
          <w:color w:val="231F20"/>
        </w:rPr>
        <w:t>This is set to use the values of the workspace presentation cascading </w:t>
      </w:r>
      <w:r>
        <w:rPr>
          <w:color w:val="231F20"/>
        </w:rPr>
        <w:t>style sheet (</w:t>
      </w:r>
      <w:r>
        <w:rPr>
          <w:rFonts w:ascii="Arial"/>
          <w:color w:val="231F20"/>
        </w:rPr>
        <w:t>ws_pres.css</w:t>
      </w:r>
      <w:r>
        <w:rPr>
          <w:color w:val="231F20"/>
        </w:rPr>
        <w:t>) for the label text (header, footer, and chart legend).</w:t>
      </w:r>
    </w:p>
    <w:p>
      <w:pPr>
        <w:pStyle w:val="BodyText"/>
        <w:spacing w:line="213" w:lineRule="auto"/>
        <w:ind w:left="3190" w:right="212"/>
      </w:pPr>
      <w:r>
        <w:rPr>
          <w:color w:val="231F20"/>
        </w:rPr>
        <w:t>This option is useful for text in double-byte character set (DBCS) </w:t>
      </w:r>
      <w:r>
        <w:rPr>
          <w:color w:val="231F20"/>
        </w:rPr>
        <w:t>languages that are more legible with a different font styling than the defaults. The</w:t>
      </w:r>
      <w:r>
        <w:rPr>
          <w:color w:val="231F20"/>
          <w:spacing w:val="40"/>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administrator</w:t>
      </w:r>
      <w:r>
        <w:rPr>
          <w:color w:val="231F20"/>
          <w:spacing w:val="26"/>
        </w:rPr>
        <w:t> </w:t>
      </w:r>
      <w:r>
        <w:rPr>
          <w:color w:val="231F20"/>
        </w:rPr>
        <w:t>can</w:t>
      </w:r>
      <w:r>
        <w:rPr>
          <w:color w:val="231F20"/>
          <w:spacing w:val="26"/>
        </w:rPr>
        <w:t> </w:t>
      </w:r>
      <w:r>
        <w:rPr>
          <w:color w:val="231F20"/>
        </w:rPr>
        <w:t>edit</w:t>
      </w:r>
      <w:r>
        <w:rPr>
          <w:color w:val="231F20"/>
          <w:spacing w:val="26"/>
        </w:rPr>
        <w:t> </w:t>
      </w:r>
      <w:r>
        <w:rPr>
          <w:color w:val="231F20"/>
        </w:rPr>
        <w:t>the</w:t>
      </w:r>
      <w:r>
        <w:rPr>
          <w:color w:val="231F20"/>
          <w:spacing w:val="26"/>
        </w:rPr>
        <w:t> </w:t>
      </w:r>
      <w:r>
        <w:rPr>
          <w:rFonts w:ascii="Arial"/>
          <w:color w:val="231F20"/>
        </w:rPr>
        <w:t>ws_pres.css </w:t>
      </w:r>
      <w:r>
        <w:rPr>
          <w:color w:val="231F20"/>
        </w:rPr>
        <w:t>style</w:t>
      </w:r>
      <w:r>
        <w:rPr>
          <w:color w:val="231F20"/>
          <w:spacing w:val="26"/>
        </w:rPr>
        <w:t> </w:t>
      </w:r>
      <w:r>
        <w:rPr>
          <w:color w:val="231F20"/>
        </w:rPr>
        <w:t>sheet in</w:t>
      </w:r>
      <w:r>
        <w:rPr>
          <w:color w:val="231F20"/>
          <w:spacing w:val="80"/>
        </w:rPr>
        <w:t> </w:t>
      </w:r>
      <w:r>
        <w:rPr>
          <w:color w:val="231F20"/>
        </w:rPr>
        <w:t>the</w:t>
      </w:r>
      <w:r>
        <w:rPr>
          <w:color w:val="231F20"/>
          <w:spacing w:val="80"/>
        </w:rPr>
        <w:t> </w:t>
      </w:r>
      <w:r>
        <w:rPr>
          <w:rFonts w:ascii="Lucida Sans"/>
          <w:i/>
          <w:color w:val="231F20"/>
        </w:rPr>
        <w:t>Install_dir</w:t>
      </w:r>
      <w:r>
        <w:rPr>
          <w:rFonts w:ascii="Arial"/>
          <w:color w:val="231F20"/>
        </w:rPr>
        <w:t>\cnb</w:t>
      </w:r>
      <w:r>
        <w:rPr>
          <w:rFonts w:ascii="Arial"/>
          <w:color w:val="231F20"/>
          <w:spacing w:val="80"/>
        </w:rPr>
        <w:t> </w:t>
      </w:r>
      <w:r>
        <w:rPr>
          <w:rFonts w:ascii="Arial"/>
          <w:color w:val="231F20"/>
        </w:rPr>
        <w:t>(Windows);</w:t>
      </w:r>
      <w:r>
        <w:rPr>
          <w:rFonts w:ascii="Arial"/>
          <w:color w:val="231F20"/>
          <w:spacing w:val="80"/>
        </w:rPr>
        <w:t> </w:t>
      </w:r>
      <w:r>
        <w:rPr>
          <w:rFonts w:ascii="Arial"/>
          <w:color w:val="231F20"/>
        </w:rPr>
        <w:t>cw</w:t>
      </w:r>
      <w:r>
        <w:rPr>
          <w:rFonts w:ascii="Arial"/>
          <w:color w:val="231F20"/>
          <w:spacing w:val="80"/>
        </w:rPr>
        <w:t> </w:t>
      </w:r>
      <w:r>
        <w:rPr>
          <w:rFonts w:ascii="Arial"/>
          <w:color w:val="231F20"/>
        </w:rPr>
        <w:t>(Linux)\classes\candle\fw\ resources\styles </w:t>
      </w:r>
      <w:r>
        <w:rPr>
          <w:color w:val="231F20"/>
        </w:rPr>
        <w:t>directory on the computer where the Tivoli Enterprise</w:t>
      </w:r>
      <w:r>
        <w:rPr>
          <w:color w:val="231F20"/>
          <w:spacing w:val="40"/>
        </w:rPr>
        <w:t> </w:t>
      </w:r>
      <w:r>
        <w:rPr>
          <w:color w:val="231F20"/>
        </w:rPr>
        <w:t>Portal Server is installed, to establish a specific font style that will be used</w:t>
      </w:r>
      <w:r>
        <w:rPr>
          <w:color w:val="231F20"/>
          <w:spacing w:val="80"/>
        </w:rPr>
        <w:t> </w:t>
      </w:r>
      <w:r>
        <w:rPr>
          <w:color w:val="231F20"/>
        </w:rPr>
        <w:t>for</w:t>
      </w:r>
      <w:r>
        <w:rPr>
          <w:color w:val="231F20"/>
          <w:spacing w:val="29"/>
        </w:rPr>
        <w:t> </w:t>
      </w:r>
      <w:r>
        <w:rPr>
          <w:color w:val="231F20"/>
        </w:rPr>
        <w:t>all</w:t>
      </w:r>
      <w:r>
        <w:rPr>
          <w:color w:val="231F20"/>
          <w:spacing w:val="29"/>
        </w:rPr>
        <w:t> </w:t>
      </w:r>
      <w:r>
        <w:rPr>
          <w:color w:val="231F20"/>
        </w:rPr>
        <w:t>label</w:t>
      </w:r>
      <w:r>
        <w:rPr>
          <w:color w:val="231F20"/>
          <w:spacing w:val="29"/>
        </w:rPr>
        <w:t> </w:t>
      </w:r>
      <w:r>
        <w:rPr>
          <w:color w:val="231F20"/>
        </w:rPr>
        <w:t>text</w:t>
      </w:r>
      <w:r>
        <w:rPr>
          <w:color w:val="231F20"/>
          <w:spacing w:val="29"/>
        </w:rPr>
        <w:t> </w:t>
      </w:r>
      <w:r>
        <w:rPr>
          <w:color w:val="231F20"/>
        </w:rPr>
        <w:t>and</w:t>
      </w:r>
      <w:r>
        <w:rPr>
          <w:color w:val="231F20"/>
          <w:spacing w:val="29"/>
        </w:rPr>
        <w:t> </w:t>
      </w:r>
      <w:r>
        <w:rPr>
          <w:color w:val="231F20"/>
        </w:rPr>
        <w:t>that</w:t>
      </w:r>
      <w:r>
        <w:rPr>
          <w:color w:val="231F20"/>
          <w:spacing w:val="29"/>
        </w:rPr>
        <w:t> </w:t>
      </w:r>
      <w:r>
        <w:rPr>
          <w:color w:val="231F20"/>
        </w:rPr>
        <w:t>will</w:t>
      </w:r>
      <w:r>
        <w:rPr>
          <w:color w:val="231F20"/>
          <w:spacing w:val="29"/>
        </w:rPr>
        <w:t> </w:t>
      </w:r>
      <w:r>
        <w:rPr>
          <w:color w:val="231F20"/>
        </w:rPr>
        <w:t>not</w:t>
      </w:r>
      <w:r>
        <w:rPr>
          <w:color w:val="231F20"/>
          <w:spacing w:val="29"/>
        </w:rPr>
        <w:t> </w:t>
      </w:r>
      <w:r>
        <w:rPr>
          <w:color w:val="231F20"/>
        </w:rPr>
        <w:t>be</w:t>
      </w:r>
      <w:r>
        <w:rPr>
          <w:color w:val="231F20"/>
          <w:spacing w:val="29"/>
        </w:rPr>
        <w:t> </w:t>
      </w:r>
      <w:r>
        <w:rPr>
          <w:color w:val="231F20"/>
        </w:rPr>
        <w:t>overwritten</w:t>
      </w:r>
      <w:r>
        <w:rPr>
          <w:color w:val="231F20"/>
          <w:spacing w:val="29"/>
        </w:rPr>
        <w:t> </w:t>
      </w:r>
      <w:r>
        <w:rPr>
          <w:color w:val="231F20"/>
        </w:rPr>
        <w:t>whenever</w:t>
      </w:r>
      <w:r>
        <w:rPr>
          <w:color w:val="231F20"/>
          <w:spacing w:val="29"/>
        </w:rPr>
        <w:t> </w:t>
      </w:r>
      <w:r>
        <w:rPr>
          <w:color w:val="231F20"/>
        </w:rPr>
        <w:t>your installation is upgraded to a new release.</w:t>
      </w:r>
    </w:p>
    <w:p>
      <w:pPr>
        <w:pStyle w:val="BodyText"/>
        <w:spacing w:line="213" w:lineRule="auto" w:before="113"/>
        <w:ind w:left="3190" w:right="385"/>
      </w:pPr>
      <w:r>
        <w:rPr>
          <w:color w:val="231F20"/>
        </w:rPr>
        <w:t>Clear the check box if you want to use the font styling that is specified in</w:t>
      </w:r>
      <w:r>
        <w:rPr>
          <w:color w:val="231F20"/>
          <w:spacing w:val="40"/>
        </w:rPr>
        <w:t> </w:t>
      </w:r>
      <w:bookmarkStart w:name="Plot Area" w:id="192"/>
      <w:bookmarkEnd w:id="192"/>
      <w:r>
        <w:rPr>
          <w:color w:val="231F20"/>
        </w:rPr>
        <w:t>the</w:t>
      </w:r>
      <w:r>
        <w:rPr>
          <w:color w:val="231F20"/>
        </w:rPr>
        <w:t> </w:t>
      </w:r>
      <w:r>
        <w:rPr>
          <w:rFonts w:ascii="Book Antiqua"/>
          <w:b/>
          <w:color w:val="231F20"/>
        </w:rPr>
        <w:t>Text style </w:t>
      </w:r>
      <w:r>
        <w:rPr>
          <w:color w:val="231F20"/>
        </w:rPr>
        <w:t>area.</w:t>
      </w:r>
    </w:p>
    <w:p>
      <w:pPr>
        <w:pStyle w:val="Heading4"/>
        <w:spacing w:line="273" w:lineRule="exact" w:before="165"/>
        <w:ind w:left="2472"/>
      </w:pPr>
      <w:r>
        <w:rPr>
          <w:color w:val="231F20"/>
        </w:rPr>
        <w:t>Plot</w:t>
      </w:r>
      <w:r>
        <w:rPr>
          <w:color w:val="231F20"/>
          <w:spacing w:val="-1"/>
        </w:rPr>
        <w:t> </w:t>
      </w:r>
      <w:r>
        <w:rPr>
          <w:color w:val="231F20"/>
          <w:spacing w:val="-4"/>
        </w:rPr>
        <w:t>Area</w:t>
      </w:r>
    </w:p>
    <w:p>
      <w:pPr>
        <w:pStyle w:val="BodyText"/>
        <w:spacing w:line="213" w:lineRule="auto" w:before="20"/>
        <w:ind w:left="2472" w:right="493"/>
      </w:pPr>
      <w:r>
        <w:rPr>
          <w:color w:val="231F20"/>
        </w:rPr>
        <w:t>The chart data is rendered in the plot area. The plot area has such styling options</w:t>
      </w:r>
      <w:r>
        <w:rPr>
          <w:color w:val="231F20"/>
          <w:spacing w:val="40"/>
        </w:rPr>
        <w:t> </w:t>
      </w:r>
      <w:r>
        <w:rPr>
          <w:color w:val="231F20"/>
        </w:rPr>
        <w:t>as stacking the data series and adding threshold indicators.</w:t>
      </w:r>
    </w:p>
    <w:p>
      <w:pPr>
        <w:pStyle w:val="BodyText"/>
        <w:spacing w:line="213" w:lineRule="auto" w:before="238"/>
        <w:ind w:left="2472" w:right="330"/>
      </w:pPr>
      <w:r>
        <w:rPr>
          <w:color w:val="231F20"/>
        </w:rPr>
        <w:t>The tabs that are displayed depend on the chart type: </w:t>
      </w:r>
      <w:hyperlink w:history="true" w:anchor="_bookmark87">
        <w:r>
          <w:rPr>
            <w:color w:val="231F20"/>
          </w:rPr>
          <w:t>“&lt;Chart type&gt; Chart” on</w:t>
        </w:r>
      </w:hyperlink>
      <w:r>
        <w:rPr>
          <w:color w:val="231F20"/>
          <w:spacing w:val="80"/>
        </w:rPr>
        <w:t> </w:t>
      </w:r>
      <w:hyperlink w:history="true" w:anchor="_bookmark87">
        <w:r>
          <w:rPr>
            <w:color w:val="231F20"/>
          </w:rPr>
          <w:t>page 116</w:t>
        </w:r>
      </w:hyperlink>
      <w:r>
        <w:rPr>
          <w:color w:val="231F20"/>
        </w:rPr>
        <w:t> for pie charts, bar charts, plot charts and area charts; </w:t>
      </w:r>
      <w:hyperlink w:history="true" w:anchor="_bookmark88">
        <w:r>
          <w:rPr>
            <w:color w:val="231F20"/>
          </w:rPr>
          <w:t>“Chart </w:t>
        </w:r>
        <w:r>
          <w:rPr>
            <w:color w:val="231F20"/>
          </w:rPr>
          <w:t>Thresholds”</w:t>
        </w:r>
      </w:hyperlink>
      <w:r>
        <w:rPr>
          <w:color w:val="231F20"/>
        </w:rPr>
        <w:t> </w:t>
      </w:r>
      <w:hyperlink w:history="true" w:anchor="_bookmark88">
        <w:r>
          <w:rPr>
            <w:color w:val="231F20"/>
          </w:rPr>
          <w:t>on</w:t>
        </w:r>
        <w:r>
          <w:rPr>
            <w:color w:val="231F20"/>
            <w:spacing w:val="10"/>
          </w:rPr>
          <w:t> </w:t>
        </w:r>
        <w:r>
          <w:rPr>
            <w:color w:val="231F20"/>
          </w:rPr>
          <w:t>page</w:t>
        </w:r>
        <w:r>
          <w:rPr>
            <w:color w:val="231F20"/>
            <w:spacing w:val="10"/>
          </w:rPr>
          <w:t> </w:t>
        </w:r>
        <w:r>
          <w:rPr>
            <w:color w:val="231F20"/>
          </w:rPr>
          <w:t>117</w:t>
        </w:r>
      </w:hyperlink>
      <w:r>
        <w:rPr>
          <w:color w:val="231F20"/>
          <w:spacing w:val="11"/>
        </w:rPr>
        <w:t> </w:t>
      </w:r>
      <w:r>
        <w:rPr>
          <w:color w:val="231F20"/>
        </w:rPr>
        <w:t>and</w:t>
      </w:r>
      <w:r>
        <w:rPr>
          <w:color w:val="231F20"/>
          <w:spacing w:val="10"/>
        </w:rPr>
        <w:t> </w:t>
      </w:r>
      <w:hyperlink w:history="true" w:anchor="_bookmark88">
        <w:r>
          <w:rPr>
            <w:color w:val="231F20"/>
          </w:rPr>
          <w:t>“Chart</w:t>
        </w:r>
        <w:r>
          <w:rPr>
            <w:color w:val="231F20"/>
            <w:spacing w:val="11"/>
          </w:rPr>
          <w:t> </w:t>
        </w:r>
        <w:r>
          <w:rPr>
            <w:color w:val="231F20"/>
          </w:rPr>
          <w:t>Markers”</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rPr>
          <w:t>117</w:t>
        </w:r>
      </w:hyperlink>
      <w:r>
        <w:rPr>
          <w:color w:val="231F20"/>
          <w:spacing w:val="11"/>
        </w:rPr>
        <w:t> </w:t>
      </w:r>
      <w:r>
        <w:rPr>
          <w:color w:val="231F20"/>
        </w:rPr>
        <w:t>for</w:t>
      </w:r>
      <w:r>
        <w:rPr>
          <w:color w:val="231F20"/>
          <w:spacing w:val="10"/>
        </w:rPr>
        <w:t> </w:t>
      </w:r>
      <w:r>
        <w:rPr>
          <w:color w:val="231F20"/>
        </w:rPr>
        <w:t>bar</w:t>
      </w:r>
      <w:r>
        <w:rPr>
          <w:color w:val="231F20"/>
          <w:spacing w:val="11"/>
        </w:rPr>
        <w:t> </w:t>
      </w:r>
      <w:r>
        <w:rPr>
          <w:color w:val="231F20"/>
        </w:rPr>
        <w:t>charts,</w:t>
      </w:r>
      <w:r>
        <w:rPr>
          <w:color w:val="231F20"/>
          <w:spacing w:val="10"/>
        </w:rPr>
        <w:t> </w:t>
      </w:r>
      <w:r>
        <w:rPr>
          <w:color w:val="231F20"/>
        </w:rPr>
        <w:t>plot</w:t>
      </w:r>
      <w:r>
        <w:rPr>
          <w:color w:val="231F20"/>
          <w:spacing w:val="11"/>
        </w:rPr>
        <w:t> </w:t>
      </w:r>
      <w:r>
        <w:rPr>
          <w:color w:val="231F20"/>
        </w:rPr>
        <w:t>charts,</w:t>
      </w:r>
      <w:r>
        <w:rPr>
          <w:color w:val="231F20"/>
          <w:spacing w:val="10"/>
        </w:rPr>
        <w:t> </w:t>
      </w:r>
      <w:r>
        <w:rPr>
          <w:color w:val="231F20"/>
        </w:rPr>
        <w:t>and</w:t>
      </w:r>
      <w:r>
        <w:rPr>
          <w:color w:val="231F20"/>
          <w:spacing w:val="11"/>
        </w:rPr>
        <w:t> </w:t>
      </w:r>
      <w:r>
        <w:rPr>
          <w:color w:val="231F20"/>
          <w:spacing w:val="-4"/>
        </w:rPr>
        <w:t>area</w:t>
      </w:r>
    </w:p>
    <w:p>
      <w:pPr>
        <w:spacing w:after="0" w:line="213" w:lineRule="auto"/>
        <w:sectPr>
          <w:pgSz w:w="12240" w:h="15840"/>
          <w:pgMar w:header="0" w:footer="736" w:top="1180" w:bottom="920" w:left="1000" w:right="1060"/>
        </w:sectPr>
      </w:pPr>
    </w:p>
    <w:p>
      <w:pPr>
        <w:pStyle w:val="BodyText"/>
        <w:spacing w:line="213" w:lineRule="auto" w:before="85"/>
        <w:ind w:left="2232" w:right="545"/>
      </w:pPr>
      <w:bookmarkStart w:name="_bookmark87" w:id="193"/>
      <w:bookmarkEnd w:id="193"/>
      <w:r>
        <w:rPr/>
      </w:r>
      <w:r>
        <w:rPr>
          <w:color w:val="231F20"/>
        </w:rPr>
        <w:t>charts; and </w:t>
      </w:r>
      <w:hyperlink w:history="true" w:anchor="_bookmark89">
        <w:r>
          <w:rPr>
            <w:color w:val="231F20"/>
          </w:rPr>
          <w:t>“Scale” on page 118,</w:t>
        </w:r>
      </w:hyperlink>
      <w:r>
        <w:rPr>
          <w:color w:val="231F20"/>
        </w:rPr>
        <w:t> </w:t>
      </w:r>
      <w:hyperlink w:history="true" w:anchor="_bookmark90">
        <w:r>
          <w:rPr>
            <w:color w:val="231F20"/>
          </w:rPr>
          <w:t>“Center” on page 119,</w:t>
        </w:r>
      </w:hyperlink>
      <w:r>
        <w:rPr>
          <w:color w:val="231F20"/>
        </w:rPr>
        <w:t> </w:t>
      </w:r>
      <w:hyperlink w:history="true" w:anchor="_bookmark90">
        <w:r>
          <w:rPr>
            <w:color w:val="231F20"/>
          </w:rPr>
          <w:t>“Needle” on page </w:t>
        </w:r>
        <w:r>
          <w:rPr>
            <w:color w:val="231F20"/>
          </w:rPr>
          <w:t>119,</w:t>
        </w:r>
      </w:hyperlink>
      <w:r>
        <w:rPr>
          <w:color w:val="231F20"/>
        </w:rPr>
        <w:t> </w:t>
      </w:r>
      <w:hyperlink w:history="true" w:anchor="_bookmark90">
        <w:r>
          <w:rPr>
            <w:color w:val="231F20"/>
          </w:rPr>
          <w:t>“Tick” on page 119,</w:t>
        </w:r>
      </w:hyperlink>
      <w:r>
        <w:rPr>
          <w:color w:val="231F20"/>
        </w:rPr>
        <w:t> and </w:t>
      </w:r>
      <w:hyperlink w:history="true" w:anchor="_bookmark90">
        <w:r>
          <w:rPr>
            <w:color w:val="231F20"/>
          </w:rPr>
          <w:t>“Range” on page 119</w:t>
        </w:r>
      </w:hyperlink>
      <w:r>
        <w:rPr>
          <w:color w:val="231F20"/>
        </w:rPr>
        <w:t> for gauge charts.</w:t>
      </w:r>
    </w:p>
    <w:p>
      <w:pPr>
        <w:pStyle w:val="Heading5"/>
        <w:ind w:left="2232"/>
      </w:pPr>
      <w:r>
        <w:rPr>
          <w:color w:val="231F20"/>
        </w:rPr>
        <w:t>&lt;Chart</w:t>
      </w:r>
      <w:r>
        <w:rPr>
          <w:color w:val="231F20"/>
          <w:spacing w:val="4"/>
        </w:rPr>
        <w:t> </w:t>
      </w:r>
      <w:r>
        <w:rPr>
          <w:color w:val="231F20"/>
        </w:rPr>
        <w:t>type&gt;</w:t>
      </w:r>
      <w:r>
        <w:rPr>
          <w:color w:val="231F20"/>
          <w:spacing w:val="5"/>
        </w:rPr>
        <w:t> </w:t>
      </w:r>
      <w:r>
        <w:rPr>
          <w:color w:val="231F20"/>
          <w:spacing w:val="-2"/>
        </w:rPr>
        <w:t>Chart</w:t>
      </w:r>
    </w:p>
    <w:p>
      <w:pPr>
        <w:pStyle w:val="BodyText"/>
        <w:spacing w:line="213" w:lineRule="auto" w:before="246"/>
        <w:ind w:left="2232" w:right="545"/>
      </w:pPr>
      <w:r>
        <w:rPr>
          <w:color w:val="231F20"/>
        </w:rPr>
        <w:t>Pie charts, bar charts, plot charts and area charts have this tab for effects that </w:t>
      </w:r>
      <w:r>
        <w:rPr>
          <w:color w:val="231F20"/>
        </w:rPr>
        <w:t>are unique to the chart.</w:t>
      </w:r>
    </w:p>
    <w:p>
      <w:pPr>
        <w:pStyle w:val="BodyText"/>
        <w:tabs>
          <w:tab w:pos="2951" w:val="left" w:leader="none"/>
        </w:tabs>
        <w:spacing w:line="213" w:lineRule="auto" w:before="118"/>
        <w:ind w:left="2951" w:right="493" w:hanging="719"/>
      </w:pPr>
      <w:r>
        <w:rPr>
          <w:rFonts w:ascii="Book Antiqua"/>
          <w:b/>
          <w:color w:val="231F20"/>
          <w:spacing w:val="-4"/>
        </w:rPr>
        <w:t>Type</w:t>
      </w:r>
      <w:r>
        <w:rPr>
          <w:rFonts w:ascii="Book Antiqua"/>
          <w:b/>
          <w:color w:val="231F20"/>
        </w:rPr>
        <w:tab/>
      </w:r>
      <w:r>
        <w:rPr>
          <w:color w:val="231F20"/>
        </w:rPr>
        <w:t>For bar charts and area charts, you can change the chart to a stacked </w:t>
      </w:r>
      <w:r>
        <w:rPr>
          <w:color w:val="231F20"/>
        </w:rPr>
        <w:t>chart, which shows cumulative values. The Stacking Bar Chart is useful for showing multiple values for the same (multi-row) attribute.</w:t>
      </w:r>
    </w:p>
    <w:p>
      <w:pPr>
        <w:pStyle w:val="BodyText"/>
        <w:spacing w:line="213" w:lineRule="auto" w:before="118"/>
        <w:ind w:left="2951" w:right="636" w:hanging="719"/>
      </w:pPr>
      <w:r>
        <w:rPr>
          <w:rFonts w:ascii="Book Antiqua"/>
          <w:b/>
          <w:color w:val="231F20"/>
        </w:rPr>
        <w:t>Effect</w:t>
      </w:r>
      <w:r>
        <w:rPr>
          <w:rFonts w:ascii="Book Antiqua"/>
          <w:b/>
          <w:color w:val="231F20"/>
          <w:spacing w:val="80"/>
        </w:rPr>
        <w:t> </w:t>
      </w:r>
      <w:r>
        <w:rPr>
          <w:color w:val="231F20"/>
        </w:rPr>
        <w:t>For bar charts and pie charts, the appearance is three-dimensional </w:t>
      </w:r>
      <w:r>
        <w:rPr>
          <w:color w:val="231F20"/>
        </w:rPr>
        <w:t>by default and you can flatten the appearance by switching to 2D:</w:t>
      </w:r>
    </w:p>
    <w:p>
      <w:pPr>
        <w:pStyle w:val="BodyText"/>
        <w:spacing w:before="100"/>
        <w:ind w:left="2951"/>
      </w:pPr>
      <w:r>
        <w:rPr/>
        <w:drawing>
          <wp:inline distT="0" distB="0" distL="0" distR="0">
            <wp:extent cx="88900" cy="82550"/>
            <wp:effectExtent l="0" t="0" r="0" b="0"/>
            <wp:docPr id="1184" name="Image 1184"/>
            <wp:cNvGraphicFramePr>
              <a:graphicFrameLocks/>
            </wp:cNvGraphicFramePr>
            <a:graphic>
              <a:graphicData uri="http://schemas.openxmlformats.org/drawingml/2006/picture">
                <pic:pic>
                  <pic:nvPicPr>
                    <pic:cNvPr id="1184" name="Image 1184"/>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77"/>
        </w:rPr>
        <w:t> </w:t>
      </w:r>
      <w:r>
        <w:rPr>
          <w:rFonts w:ascii="Book Antiqua"/>
          <w:b/>
          <w:color w:val="231F20"/>
        </w:rPr>
        <w:t>2D</w:t>
      </w:r>
      <w:r>
        <w:rPr>
          <w:rFonts w:ascii="Book Antiqua"/>
          <w:b/>
          <w:color w:val="231F20"/>
          <w:spacing w:val="22"/>
        </w:rPr>
        <w:t> </w:t>
      </w:r>
      <w:r>
        <w:rPr>
          <w:color w:val="231F20"/>
        </w:rPr>
        <w:t>to</w:t>
      </w:r>
      <w:r>
        <w:rPr>
          <w:color w:val="231F20"/>
          <w:spacing w:val="22"/>
        </w:rPr>
        <w:t> </w:t>
      </w:r>
      <w:r>
        <w:rPr>
          <w:color w:val="231F20"/>
        </w:rPr>
        <w:t>render</w:t>
      </w:r>
      <w:r>
        <w:rPr>
          <w:color w:val="231F20"/>
          <w:spacing w:val="22"/>
        </w:rPr>
        <w:t> </w:t>
      </w:r>
      <w:r>
        <w:rPr>
          <w:color w:val="231F20"/>
        </w:rPr>
        <w:t>a</w:t>
      </w:r>
      <w:r>
        <w:rPr>
          <w:color w:val="231F20"/>
          <w:spacing w:val="22"/>
        </w:rPr>
        <w:t> </w:t>
      </w:r>
      <w:r>
        <w:rPr>
          <w:color w:val="231F20"/>
        </w:rPr>
        <w:t>two-dimensional</w:t>
      </w:r>
      <w:r>
        <w:rPr>
          <w:color w:val="231F20"/>
          <w:spacing w:val="22"/>
        </w:rPr>
        <w:t> </w:t>
      </w:r>
      <w:r>
        <w:rPr>
          <w:color w:val="231F20"/>
        </w:rPr>
        <w:t>chart.</w:t>
      </w:r>
    </w:p>
    <w:p>
      <w:pPr>
        <w:pStyle w:val="BodyText"/>
        <w:spacing w:before="89"/>
        <w:ind w:left="2951"/>
      </w:pPr>
      <w:r>
        <w:rPr/>
        <w:drawing>
          <wp:inline distT="0" distB="0" distL="0" distR="0">
            <wp:extent cx="88900" cy="82550"/>
            <wp:effectExtent l="0" t="0" r="0" b="0"/>
            <wp:docPr id="1185" name="Image 1185"/>
            <wp:cNvGraphicFramePr>
              <a:graphicFrameLocks/>
            </wp:cNvGraphicFramePr>
            <a:graphic>
              <a:graphicData uri="http://schemas.openxmlformats.org/drawingml/2006/picture">
                <pic:pic>
                  <pic:nvPicPr>
                    <pic:cNvPr id="1185" name="Image 1185"/>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6"/>
        </w:rPr>
        <w:t> </w:t>
      </w:r>
      <w:r>
        <w:rPr>
          <w:rFonts w:ascii="Book Antiqua"/>
          <w:b/>
          <w:color w:val="231F20"/>
        </w:rPr>
        <w:t>3D</w:t>
      </w:r>
      <w:r>
        <w:rPr>
          <w:rFonts w:ascii="Book Antiqua"/>
          <w:b/>
          <w:color w:val="231F20"/>
          <w:spacing w:val="21"/>
        </w:rPr>
        <w:t> </w:t>
      </w:r>
      <w:r>
        <w:rPr>
          <w:color w:val="231F20"/>
        </w:rPr>
        <w:t>to</w:t>
      </w:r>
      <w:r>
        <w:rPr>
          <w:color w:val="231F20"/>
          <w:spacing w:val="21"/>
        </w:rPr>
        <w:t> </w:t>
      </w:r>
      <w:r>
        <w:rPr>
          <w:color w:val="231F20"/>
        </w:rPr>
        <w:t>render</w:t>
      </w:r>
      <w:r>
        <w:rPr>
          <w:color w:val="231F20"/>
          <w:spacing w:val="21"/>
        </w:rPr>
        <w:t> </w:t>
      </w:r>
      <w:r>
        <w:rPr>
          <w:color w:val="231F20"/>
        </w:rPr>
        <w:t>a</w:t>
      </w:r>
      <w:r>
        <w:rPr>
          <w:color w:val="231F20"/>
          <w:spacing w:val="21"/>
        </w:rPr>
        <w:t> </w:t>
      </w:r>
      <w:r>
        <w:rPr>
          <w:color w:val="231F20"/>
        </w:rPr>
        <w:t>three-dimensional</w:t>
      </w:r>
      <w:r>
        <w:rPr>
          <w:color w:val="231F20"/>
          <w:spacing w:val="21"/>
        </w:rPr>
        <w:t> </w:t>
      </w:r>
      <w:r>
        <w:rPr>
          <w:color w:val="231F20"/>
        </w:rPr>
        <w:t>chart.</w:t>
      </w:r>
    </w:p>
    <w:p>
      <w:pPr>
        <w:pStyle w:val="Heading6"/>
        <w:spacing w:line="232" w:lineRule="exact" w:before="107"/>
        <w:ind w:left="2232"/>
      </w:pPr>
      <w:r>
        <w:rPr>
          <w:color w:val="231F20"/>
        </w:rPr>
        <w:t>Select</w:t>
      </w:r>
      <w:r>
        <w:rPr>
          <w:color w:val="231F20"/>
          <w:spacing w:val="11"/>
        </w:rPr>
        <w:t> </w:t>
      </w:r>
      <w:r>
        <w:rPr>
          <w:color w:val="231F20"/>
        </w:rPr>
        <w:t>Plot</w:t>
      </w:r>
      <w:r>
        <w:rPr>
          <w:color w:val="231F20"/>
          <w:spacing w:val="11"/>
        </w:rPr>
        <w:t> </w:t>
      </w:r>
      <w:r>
        <w:rPr>
          <w:color w:val="231F20"/>
          <w:spacing w:val="-2"/>
        </w:rPr>
        <w:t>Points</w:t>
      </w:r>
    </w:p>
    <w:p>
      <w:pPr>
        <w:spacing w:line="211" w:lineRule="auto" w:before="16"/>
        <w:ind w:left="2951" w:right="543" w:firstLine="0"/>
        <w:jc w:val="left"/>
        <w:rPr>
          <w:sz w:val="20"/>
        </w:rPr>
      </w:pPr>
      <w:r>
        <w:rPr>
          <w:color w:val="231F20"/>
          <w:sz w:val="20"/>
        </w:rPr>
        <w:t>For</w:t>
      </w:r>
      <w:r>
        <w:rPr>
          <w:color w:val="231F20"/>
          <w:spacing w:val="26"/>
          <w:sz w:val="20"/>
        </w:rPr>
        <w:t> </w:t>
      </w:r>
      <w:r>
        <w:rPr>
          <w:color w:val="231F20"/>
          <w:sz w:val="20"/>
        </w:rPr>
        <w:t>plot</w:t>
      </w:r>
      <w:r>
        <w:rPr>
          <w:color w:val="231F20"/>
          <w:spacing w:val="26"/>
          <w:sz w:val="20"/>
        </w:rPr>
        <w:t> </w:t>
      </w:r>
      <w:r>
        <w:rPr>
          <w:color w:val="231F20"/>
          <w:sz w:val="20"/>
        </w:rPr>
        <w:t>charts,</w:t>
      </w:r>
      <w:r>
        <w:rPr>
          <w:color w:val="231F20"/>
          <w:spacing w:val="26"/>
          <w:sz w:val="20"/>
        </w:rPr>
        <w:t> </w:t>
      </w:r>
      <w:r>
        <w:rPr>
          <w:color w:val="231F20"/>
          <w:sz w:val="20"/>
        </w:rPr>
        <w:t>select</w:t>
      </w:r>
      <w:r>
        <w:rPr>
          <w:color w:val="231F20"/>
          <w:spacing w:val="15"/>
          <w:sz w:val="20"/>
        </w:rPr>
        <w:t> </w:t>
      </w:r>
      <w:r>
        <w:rPr>
          <w:color w:val="231F20"/>
          <w:spacing w:val="15"/>
          <w:sz w:val="20"/>
        </w:rPr>
        <w:drawing>
          <wp:inline distT="0" distB="0" distL="0" distR="0">
            <wp:extent cx="88900" cy="82550"/>
            <wp:effectExtent l="0" t="0" r="0" b="0"/>
            <wp:docPr id="1186" name="Image 1186"/>
            <wp:cNvGraphicFramePr>
              <a:graphicFrameLocks/>
            </wp:cNvGraphicFramePr>
            <a:graphic>
              <a:graphicData uri="http://schemas.openxmlformats.org/drawingml/2006/picture">
                <pic:pic>
                  <pic:nvPicPr>
                    <pic:cNvPr id="1186" name="Image 118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Attributes</w:t>
      </w:r>
      <w:r>
        <w:rPr>
          <w:rFonts w:ascii="Book Antiqua"/>
          <w:b/>
          <w:color w:val="231F20"/>
          <w:spacing w:val="26"/>
          <w:sz w:val="20"/>
        </w:rPr>
        <w:t> </w:t>
      </w:r>
      <w:r>
        <w:rPr>
          <w:rFonts w:ascii="Book Antiqua"/>
          <w:b/>
          <w:color w:val="231F20"/>
          <w:sz w:val="20"/>
        </w:rPr>
        <w:t>in</w:t>
      </w:r>
      <w:r>
        <w:rPr>
          <w:rFonts w:ascii="Book Antiqua"/>
          <w:b/>
          <w:color w:val="231F20"/>
          <w:spacing w:val="26"/>
          <w:sz w:val="20"/>
        </w:rPr>
        <w:t> </w:t>
      </w:r>
      <w:r>
        <w:rPr>
          <w:rFonts w:ascii="Book Antiqua"/>
          <w:b/>
          <w:color w:val="231F20"/>
          <w:sz w:val="20"/>
        </w:rPr>
        <w:t>first</w:t>
      </w:r>
      <w:r>
        <w:rPr>
          <w:rFonts w:ascii="Book Antiqua"/>
          <w:b/>
          <w:color w:val="231F20"/>
          <w:spacing w:val="26"/>
          <w:sz w:val="20"/>
        </w:rPr>
        <w:t> </w:t>
      </w:r>
      <w:r>
        <w:rPr>
          <w:rFonts w:ascii="Book Antiqua"/>
          <w:b/>
          <w:color w:val="231F20"/>
          <w:sz w:val="20"/>
        </w:rPr>
        <w:t>row</w:t>
      </w:r>
      <w:r>
        <w:rPr>
          <w:rFonts w:ascii="Book Antiqua"/>
          <w:b/>
          <w:color w:val="231F20"/>
          <w:spacing w:val="26"/>
          <w:sz w:val="20"/>
        </w:rPr>
        <w:t> </w:t>
      </w:r>
      <w:r>
        <w:rPr>
          <w:color w:val="231F20"/>
          <w:sz w:val="20"/>
        </w:rPr>
        <w:t>if</w:t>
      </w:r>
      <w:r>
        <w:rPr>
          <w:color w:val="231F20"/>
          <w:spacing w:val="26"/>
          <w:sz w:val="20"/>
        </w:rPr>
        <w:t> </w:t>
      </w:r>
      <w:r>
        <w:rPr>
          <w:color w:val="231F20"/>
          <w:sz w:val="20"/>
        </w:rPr>
        <w:t>you</w:t>
      </w:r>
      <w:r>
        <w:rPr>
          <w:color w:val="231F20"/>
          <w:spacing w:val="26"/>
          <w:sz w:val="20"/>
        </w:rPr>
        <w:t> </w:t>
      </w:r>
      <w:r>
        <w:rPr>
          <w:color w:val="231F20"/>
          <w:sz w:val="20"/>
        </w:rPr>
        <w:t>are</w:t>
      </w:r>
      <w:r>
        <w:rPr>
          <w:color w:val="231F20"/>
          <w:spacing w:val="26"/>
          <w:sz w:val="20"/>
        </w:rPr>
        <w:t> </w:t>
      </w:r>
      <w:r>
        <w:rPr>
          <w:color w:val="231F20"/>
          <w:sz w:val="20"/>
        </w:rPr>
        <w:t>plotting</w:t>
      </w:r>
      <w:r>
        <w:rPr>
          <w:color w:val="231F20"/>
          <w:spacing w:val="26"/>
          <w:sz w:val="20"/>
        </w:rPr>
        <w:t> </w:t>
      </w:r>
      <w:r>
        <w:rPr>
          <w:color w:val="231F20"/>
          <w:sz w:val="20"/>
        </w:rPr>
        <w:t>a single-row attribute group with the current data samples; or </w:t>
      </w:r>
      <w:r>
        <w:rPr>
          <w:color w:val="231F20"/>
          <w:spacing w:val="15"/>
          <w:sz w:val="20"/>
        </w:rPr>
        <w:drawing>
          <wp:inline distT="0" distB="0" distL="0" distR="0">
            <wp:extent cx="88900" cy="82550"/>
            <wp:effectExtent l="0" t="0" r="0" b="0"/>
            <wp:docPr id="1187" name="Image 1187"/>
            <wp:cNvGraphicFramePr>
              <a:graphicFrameLocks/>
            </wp:cNvGraphicFramePr>
            <a:graphic>
              <a:graphicData uri="http://schemas.openxmlformats.org/drawingml/2006/picture">
                <pic:pic>
                  <pic:nvPicPr>
                    <pic:cNvPr id="1187" name="Image 1187"/>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Attributes across multiple rows </w:t>
      </w:r>
      <w:r>
        <w:rPr>
          <w:color w:val="231F20"/>
          <w:sz w:val="20"/>
        </w:rPr>
        <w:t>if this is a multiple-row attribute group or you are plotting historical data.</w:t>
      </w:r>
    </w:p>
    <w:p>
      <w:pPr>
        <w:pStyle w:val="Heading6"/>
        <w:spacing w:before="119"/>
        <w:ind w:left="2232"/>
      </w:pPr>
      <w:r>
        <w:rPr>
          <w:color w:val="231F20"/>
        </w:rPr>
        <w:t>Plot</w:t>
      </w:r>
      <w:r>
        <w:rPr>
          <w:color w:val="231F20"/>
          <w:spacing w:val="12"/>
        </w:rPr>
        <w:t> </w:t>
      </w:r>
      <w:r>
        <w:rPr>
          <w:color w:val="231F20"/>
          <w:spacing w:val="-2"/>
        </w:rPr>
        <w:t>Duration</w:t>
      </w:r>
    </w:p>
    <w:p>
      <w:pPr>
        <w:pStyle w:val="BodyText"/>
        <w:spacing w:line="213" w:lineRule="auto" w:before="12"/>
        <w:ind w:left="2951" w:right="636"/>
      </w:pPr>
      <w:r>
        <w:rPr>
          <w:color w:val="231F20"/>
        </w:rPr>
        <w:t>For plot charts and area charts, the chart duration is set to one hour initially. After that, as new data samples arrive, the oldest plot points are removed to make room for the new. To change the duration from as little</w:t>
      </w:r>
      <w:r>
        <w:rPr>
          <w:color w:val="231F20"/>
          <w:spacing w:val="40"/>
        </w:rPr>
        <w:t> </w:t>
      </w:r>
      <w:r>
        <w:rPr>
          <w:color w:val="231F20"/>
        </w:rPr>
        <w:t>as five minutes to as much as 24 hours, either drag the slider bar or </w:t>
      </w:r>
      <w:r>
        <w:rPr>
          <w:color w:val="231F20"/>
        </w:rPr>
        <w:t>enter</w:t>
      </w:r>
      <w:r>
        <w:rPr>
          <w:color w:val="231F20"/>
          <w:spacing w:val="40"/>
        </w:rPr>
        <w:t> </w:t>
      </w:r>
      <w:r>
        <w:rPr>
          <w:color w:val="231F20"/>
        </w:rPr>
        <w:t>the time in the </w:t>
      </w:r>
      <w:r>
        <w:rPr>
          <w:rFonts w:ascii="Book Antiqua"/>
          <w:b/>
          <w:color w:val="231F20"/>
        </w:rPr>
        <w:t>Hours </w:t>
      </w:r>
      <w:r>
        <w:rPr>
          <w:color w:val="231F20"/>
        </w:rPr>
        <w:t>and </w:t>
      </w:r>
      <w:r>
        <w:rPr>
          <w:rFonts w:ascii="Book Antiqua"/>
          <w:b/>
          <w:color w:val="231F20"/>
        </w:rPr>
        <w:t>Minutes </w:t>
      </w:r>
      <w:r>
        <w:rPr>
          <w:color w:val="231F20"/>
        </w:rPr>
        <w:t>text boxes.</w:t>
      </w:r>
    </w:p>
    <w:p>
      <w:pPr>
        <w:pStyle w:val="BodyText"/>
        <w:spacing w:line="211" w:lineRule="auto" w:before="123"/>
        <w:ind w:left="2951" w:right="455" w:hanging="1"/>
      </w:pPr>
      <w:r>
        <w:rPr/>
        <w:drawing>
          <wp:inline distT="0" distB="0" distL="0" distR="0">
            <wp:extent cx="82550" cy="82550"/>
            <wp:effectExtent l="0" t="0" r="0" b="0"/>
            <wp:docPr id="1188" name="Image 1188"/>
            <wp:cNvGraphicFramePr>
              <a:graphicFrameLocks/>
            </wp:cNvGraphicFramePr>
            <a:graphic>
              <a:graphicData uri="http://schemas.openxmlformats.org/drawingml/2006/picture">
                <pic:pic>
                  <pic:nvPicPr>
                    <pic:cNvPr id="1188" name="Image 1188"/>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Included in axis bounds</w:t>
      </w:r>
      <w:r>
        <w:rPr>
          <w:color w:val="231F20"/>
        </w:rPr>
        <w:t>, when selected, takes into account the elapsed time when calculating the axis end time. The effect is that the chart</w:t>
      </w:r>
      <w:r>
        <w:rPr>
          <w:color w:val="231F20"/>
          <w:spacing w:val="40"/>
        </w:rPr>
        <w:t> </w:t>
      </w:r>
      <w:r>
        <w:rPr>
          <w:color w:val="231F20"/>
        </w:rPr>
        <w:t>rendering stops where the last data sample was plotted rather than stretch across the entire plot area. After the chart duration has been exceeded </w:t>
      </w:r>
      <w:r>
        <w:rPr>
          <w:color w:val="231F20"/>
        </w:rPr>
        <w:t>both types</w:t>
      </w:r>
      <w:r>
        <w:rPr>
          <w:color w:val="231F20"/>
          <w:spacing w:val="17"/>
        </w:rPr>
        <w:t> </w:t>
      </w:r>
      <w:r>
        <w:rPr>
          <w:color w:val="231F20"/>
        </w:rPr>
        <w:t>of</w:t>
      </w:r>
      <w:r>
        <w:rPr>
          <w:color w:val="231F20"/>
          <w:spacing w:val="17"/>
        </w:rPr>
        <w:t> </w:t>
      </w:r>
      <w:r>
        <w:rPr>
          <w:color w:val="231F20"/>
        </w:rPr>
        <w:t>charts</w:t>
      </w:r>
      <w:r>
        <w:rPr>
          <w:color w:val="231F20"/>
          <w:spacing w:val="17"/>
        </w:rPr>
        <w:t> </w:t>
      </w:r>
      <w:r>
        <w:rPr>
          <w:color w:val="231F20"/>
        </w:rPr>
        <w:t>look</w:t>
      </w:r>
      <w:r>
        <w:rPr>
          <w:color w:val="231F20"/>
          <w:spacing w:val="17"/>
        </w:rPr>
        <w:t> </w:t>
      </w:r>
      <w:r>
        <w:rPr>
          <w:color w:val="231F20"/>
        </w:rPr>
        <w:t>the</w:t>
      </w:r>
      <w:r>
        <w:rPr>
          <w:color w:val="231F20"/>
          <w:spacing w:val="17"/>
        </w:rPr>
        <w:t> </w:t>
      </w:r>
      <w:r>
        <w:rPr>
          <w:color w:val="231F20"/>
        </w:rPr>
        <w:t>same.The</w:t>
      </w:r>
      <w:r>
        <w:rPr>
          <w:color w:val="231F20"/>
          <w:spacing w:val="17"/>
        </w:rPr>
        <w:t> </w:t>
      </w:r>
      <w:r>
        <w:rPr>
          <w:color w:val="231F20"/>
        </w:rPr>
        <w:t>Chart</w:t>
      </w:r>
      <w:r>
        <w:rPr>
          <w:color w:val="231F20"/>
          <w:spacing w:val="17"/>
        </w:rPr>
        <w:t> </w:t>
      </w:r>
      <w:r>
        <w:rPr>
          <w:color w:val="231F20"/>
        </w:rPr>
        <w:t>Duration</w:t>
      </w:r>
      <w:r>
        <w:rPr>
          <w:color w:val="231F20"/>
          <w:spacing w:val="17"/>
        </w:rPr>
        <w:t> </w:t>
      </w:r>
      <w:r>
        <w:rPr>
          <w:color w:val="231F20"/>
        </w:rPr>
        <w:t>area</w:t>
      </w:r>
      <w:r>
        <w:rPr>
          <w:color w:val="231F20"/>
          <w:spacing w:val="17"/>
        </w:rPr>
        <w:t> </w:t>
      </w:r>
      <w:r>
        <w:rPr>
          <w:color w:val="231F20"/>
        </w:rPr>
        <w:t>is</w:t>
      </w:r>
      <w:r>
        <w:rPr>
          <w:color w:val="231F20"/>
          <w:spacing w:val="17"/>
        </w:rPr>
        <w:t> </w:t>
      </w:r>
      <w:r>
        <w:rPr>
          <w:color w:val="231F20"/>
        </w:rPr>
        <w:t>disabled</w:t>
      </w:r>
      <w:r>
        <w:rPr>
          <w:color w:val="231F20"/>
          <w:spacing w:val="17"/>
        </w:rPr>
        <w:t> </w:t>
      </w:r>
      <w:r>
        <w:rPr>
          <w:color w:val="231F20"/>
        </w:rPr>
        <w:t>if</w:t>
      </w:r>
      <w:r>
        <w:rPr>
          <w:color w:val="231F20"/>
          <w:spacing w:val="17"/>
        </w:rPr>
        <w:t> </w:t>
      </w:r>
      <w:r>
        <w:rPr>
          <w:color w:val="231F20"/>
        </w:rPr>
        <w:t>this</w:t>
      </w:r>
      <w:r>
        <w:rPr>
          <w:color w:val="231F20"/>
          <w:spacing w:val="17"/>
        </w:rPr>
        <w:t> </w:t>
      </w:r>
      <w:r>
        <w:rPr>
          <w:color w:val="231F20"/>
        </w:rPr>
        <w:t>is a historical chart.</w:t>
      </w:r>
    </w:p>
    <w:p>
      <w:pPr>
        <w:pStyle w:val="Heading6"/>
        <w:spacing w:before="124"/>
        <w:ind w:left="2232"/>
      </w:pPr>
      <w:r>
        <w:rPr>
          <w:color w:val="231F20"/>
        </w:rPr>
        <w:t>Refresh</w:t>
      </w:r>
      <w:r>
        <w:rPr>
          <w:color w:val="231F20"/>
          <w:spacing w:val="8"/>
        </w:rPr>
        <w:t> </w:t>
      </w:r>
      <w:r>
        <w:rPr>
          <w:color w:val="231F20"/>
          <w:spacing w:val="-4"/>
        </w:rPr>
        <w:t>Rate</w:t>
      </w:r>
    </w:p>
    <w:p>
      <w:pPr>
        <w:pStyle w:val="BodyText"/>
        <w:spacing w:line="213" w:lineRule="auto" w:before="11"/>
        <w:ind w:left="2951" w:right="502"/>
      </w:pPr>
      <w:r>
        <w:rPr>
          <w:color w:val="231F20"/>
        </w:rPr>
        <w:t>For plot charts and area charts, the refresh rate determines how often a</w:t>
      </w:r>
      <w:r>
        <w:rPr>
          <w:color w:val="231F20"/>
          <w:spacing w:val="80"/>
        </w:rPr>
        <w:t> </w:t>
      </w:r>
      <w:r>
        <w:rPr>
          <w:color w:val="231F20"/>
        </w:rPr>
        <w:t>data sample is taken at the agent and plotted on the chart. </w:t>
      </w:r>
      <w:r>
        <w:rPr>
          <w:color w:val="231F20"/>
          <w:spacing w:val="15"/>
        </w:rPr>
        <w:drawing>
          <wp:inline distT="0" distB="0" distL="0" distR="0">
            <wp:extent cx="88900" cy="82550"/>
            <wp:effectExtent l="0" t="0" r="0" b="0"/>
            <wp:docPr id="1189" name="Image 1189"/>
            <wp:cNvGraphicFramePr>
              <a:graphicFrameLocks/>
            </wp:cNvGraphicFramePr>
            <a:graphic>
              <a:graphicData uri="http://schemas.openxmlformats.org/drawingml/2006/picture">
                <pic:pic>
                  <pic:nvPicPr>
                    <pic:cNvPr id="1189" name="Image 1189"/>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hAnsi="Times New Roman"/>
          <w:color w:val="231F20"/>
          <w:spacing w:val="40"/>
        </w:rPr>
        <w:t> </w:t>
      </w:r>
      <w:r>
        <w:rPr>
          <w:rFonts w:ascii="Book Antiqua" w:hAnsi="Book Antiqua"/>
          <w:b/>
          <w:color w:val="231F20"/>
        </w:rPr>
        <w:t>Use Refresh Rate</w:t>
      </w:r>
      <w:r>
        <w:rPr>
          <w:rFonts w:ascii="Book Antiqua" w:hAnsi="Book Antiqua"/>
          <w:b/>
          <w:color w:val="231F20"/>
          <w:spacing w:val="26"/>
        </w:rPr>
        <w:t> </w:t>
      </w:r>
      <w:r>
        <w:rPr>
          <w:rFonts w:ascii="Book Antiqua" w:hAnsi="Book Antiqua"/>
          <w:b/>
          <w:color w:val="231F20"/>
        </w:rPr>
        <w:t>from</w:t>
      </w:r>
      <w:r>
        <w:rPr>
          <w:rFonts w:ascii="Book Antiqua" w:hAnsi="Book Antiqua"/>
          <w:b/>
          <w:color w:val="231F20"/>
          <w:spacing w:val="26"/>
        </w:rPr>
        <w:t> </w:t>
      </w:r>
      <w:r>
        <w:rPr>
          <w:rFonts w:ascii="Book Antiqua" w:hAnsi="Book Antiqua"/>
          <w:b/>
          <w:color w:val="231F20"/>
        </w:rPr>
        <w:t>Workspace</w:t>
      </w:r>
      <w:r>
        <w:rPr>
          <w:rFonts w:ascii="Book Antiqua" w:hAnsi="Book Antiqua"/>
          <w:b/>
          <w:color w:val="231F20"/>
          <w:spacing w:val="26"/>
        </w:rPr>
        <w:t> </w:t>
      </w:r>
      <w:r>
        <w:rPr>
          <w:color w:val="231F20"/>
        </w:rPr>
        <w:t>is</w:t>
      </w:r>
      <w:r>
        <w:rPr>
          <w:color w:val="231F20"/>
          <w:spacing w:val="26"/>
        </w:rPr>
        <w:t> </w:t>
      </w:r>
      <w:r>
        <w:rPr>
          <w:color w:val="231F20"/>
        </w:rPr>
        <w:t>the</w:t>
      </w:r>
      <w:r>
        <w:rPr>
          <w:color w:val="231F20"/>
          <w:spacing w:val="26"/>
        </w:rPr>
        <w:t> </w:t>
      </w:r>
      <w:r>
        <w:rPr>
          <w:color w:val="231F20"/>
        </w:rPr>
        <w:t>default</w:t>
      </w:r>
      <w:r>
        <w:rPr>
          <w:color w:val="231F20"/>
          <w:spacing w:val="26"/>
        </w:rPr>
        <w:t> </w:t>
      </w:r>
      <w:r>
        <w:rPr>
          <w:color w:val="231F20"/>
        </w:rPr>
        <w:t>selection.</w:t>
      </w:r>
      <w:r>
        <w:rPr>
          <w:color w:val="231F20"/>
          <w:spacing w:val="26"/>
        </w:rPr>
        <w:t> </w:t>
      </w:r>
      <w:r>
        <w:rPr>
          <w:color w:val="231F20"/>
        </w:rPr>
        <w:t>The</w:t>
      </w:r>
      <w:r>
        <w:rPr>
          <w:color w:val="231F20"/>
          <w:spacing w:val="26"/>
        </w:rPr>
        <w:t> </w:t>
      </w:r>
      <w:r>
        <w:rPr>
          <w:color w:val="231F20"/>
        </w:rPr>
        <w:t>refresh</w:t>
      </w:r>
      <w:r>
        <w:rPr>
          <w:color w:val="231F20"/>
          <w:spacing w:val="26"/>
        </w:rPr>
        <w:t> </w:t>
      </w:r>
      <w:r>
        <w:rPr>
          <w:color w:val="231F20"/>
        </w:rPr>
        <w:t>rate</w:t>
      </w:r>
      <w:r>
        <w:rPr>
          <w:color w:val="231F20"/>
          <w:spacing w:val="26"/>
        </w:rPr>
        <w:t> </w:t>
      </w:r>
      <w:r>
        <w:rPr>
          <w:color w:val="231F20"/>
        </w:rPr>
        <w:t>that</w:t>
      </w:r>
      <w:r>
        <w:rPr>
          <w:color w:val="231F20"/>
          <w:spacing w:val="26"/>
        </w:rPr>
        <w:t> </w:t>
      </w:r>
      <w:r>
        <w:rPr>
          <w:color w:val="231F20"/>
        </w:rPr>
        <w:t>is</w:t>
      </w:r>
      <w:r>
        <w:rPr>
          <w:color w:val="231F20"/>
          <w:spacing w:val="26"/>
        </w:rPr>
        <w:t> </w:t>
      </w:r>
      <w:r>
        <w:rPr>
          <w:color w:val="231F20"/>
        </w:rPr>
        <w:t>set for the workspace (View </w:t>
      </w:r>
      <w:r>
        <w:rPr>
          <w:rFonts w:ascii="Arial" w:hAnsi="Arial"/>
          <w:color w:val="231F20"/>
          <w:w w:val="90"/>
        </w:rPr>
        <w:t>→ </w:t>
      </w:r>
      <w:r>
        <w:rPr>
          <w:color w:val="231F20"/>
        </w:rPr>
        <w:t>Refresh Every) is applied to this chart as well. Select </w:t>
      </w:r>
      <w:r>
        <w:rPr>
          <w:color w:val="231F20"/>
          <w:spacing w:val="16"/>
        </w:rPr>
        <w:drawing>
          <wp:inline distT="0" distB="0" distL="0" distR="0">
            <wp:extent cx="88900" cy="82550"/>
            <wp:effectExtent l="0" t="0" r="0" b="0"/>
            <wp:docPr id="1190" name="Image 1190"/>
            <wp:cNvGraphicFramePr>
              <a:graphicFrameLocks/>
            </wp:cNvGraphicFramePr>
            <a:graphic>
              <a:graphicData uri="http://schemas.openxmlformats.org/drawingml/2006/picture">
                <pic:pic>
                  <pic:nvPicPr>
                    <pic:cNvPr id="1190" name="Image 1190"/>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hAnsi="Times New Roman"/>
          <w:color w:val="231F20"/>
          <w:spacing w:val="40"/>
        </w:rPr>
        <w:t> </w:t>
      </w:r>
      <w:r>
        <w:rPr>
          <w:rFonts w:ascii="Book Antiqua" w:hAnsi="Book Antiqua"/>
          <w:b/>
          <w:color w:val="231F20"/>
        </w:rPr>
        <w:t>Refresh Area Chart Every </w:t>
      </w:r>
      <w:r>
        <w:rPr>
          <w:color w:val="231F20"/>
        </w:rPr>
        <w:t>to specify a refresh rate for the chart</w:t>
      </w:r>
      <w:r>
        <w:rPr>
          <w:color w:val="231F20"/>
          <w:spacing w:val="40"/>
        </w:rPr>
        <w:t> </w:t>
      </w:r>
      <w:r>
        <w:rPr>
          <w:color w:val="231F20"/>
        </w:rPr>
        <w:t>that is independent of the workspace refresh rate. You can choose a value from 10 seconds to 60 minutes.</w:t>
      </w:r>
    </w:p>
    <w:p>
      <w:pPr>
        <w:pStyle w:val="Heading6"/>
        <w:spacing w:before="114"/>
        <w:ind w:left="2232"/>
      </w:pPr>
      <w:r>
        <w:rPr>
          <w:color w:val="231F20"/>
          <w:spacing w:val="-2"/>
        </w:rPr>
        <w:t>Overlay</w:t>
      </w:r>
    </w:p>
    <w:p>
      <w:pPr>
        <w:pStyle w:val="BodyText"/>
        <w:spacing w:line="213" w:lineRule="auto" w:before="11"/>
        <w:ind w:left="2951" w:right="636"/>
      </w:pPr>
      <w:r>
        <w:rPr>
          <w:color w:val="231F20"/>
        </w:rPr>
        <w:t>For bar charts, plot charts, and area charts, you can click </w:t>
      </w:r>
      <w:r>
        <w:rPr>
          <w:rFonts w:ascii="Book Antiqua" w:hAnsi="Book Antiqua"/>
          <w:b/>
          <w:color w:val="231F20"/>
        </w:rPr>
        <w:t>Add Overlay </w:t>
      </w:r>
      <w:r>
        <w:rPr>
          <w:color w:val="231F20"/>
        </w:rPr>
        <w:t>to open a window for overlaying the chart with a line chart. Here you can add other attributes from the view's query that are applied as plot points and connecting lines. See </w:t>
      </w:r>
      <w:hyperlink w:history="true" w:anchor="_bookmark91">
        <w:r>
          <w:rPr>
            <w:color w:val="231F20"/>
          </w:rPr>
          <w:t>“Add Overlay” on page 120.</w:t>
        </w:r>
      </w:hyperlink>
    </w:p>
    <w:p>
      <w:pPr>
        <w:spacing w:line="216" w:lineRule="auto" w:before="179"/>
        <w:ind w:left="2232" w:right="3867" w:firstLine="0"/>
        <w:jc w:val="left"/>
        <w:rPr>
          <w:sz w:val="18"/>
        </w:rPr>
      </w:pPr>
      <w:r>
        <w:rPr/>
        <w:drawing>
          <wp:anchor distT="0" distB="0" distL="0" distR="0" allowOverlap="1" layoutInCell="1" locked="0" behindDoc="0" simplePos="0" relativeHeight="15815680">
            <wp:simplePos x="0" y="0"/>
            <wp:positionH relativeFrom="page">
              <wp:posOffset>4777487</wp:posOffset>
            </wp:positionH>
            <wp:positionV relativeFrom="paragraph">
              <wp:posOffset>149919</wp:posOffset>
            </wp:positionV>
            <wp:extent cx="1511300" cy="958850"/>
            <wp:effectExtent l="0" t="0" r="0" b="0"/>
            <wp:wrapNone/>
            <wp:docPr id="1191" name="Image 1191"/>
            <wp:cNvGraphicFramePr>
              <a:graphicFrameLocks/>
            </wp:cNvGraphicFramePr>
            <a:graphic>
              <a:graphicData uri="http://schemas.openxmlformats.org/drawingml/2006/picture">
                <pic:pic>
                  <pic:nvPicPr>
                    <pic:cNvPr id="1191" name="Image 1191"/>
                    <pic:cNvPicPr/>
                  </pic:nvPicPr>
                  <pic:blipFill>
                    <a:blip r:embed="rId224" cstate="print"/>
                    <a:stretch>
                      <a:fillRect/>
                    </a:stretch>
                  </pic:blipFill>
                  <pic:spPr>
                    <a:xfrm>
                      <a:off x="0" y="0"/>
                      <a:ext cx="1511300" cy="958850"/>
                    </a:xfrm>
                    <a:prstGeom prst="rect">
                      <a:avLst/>
                    </a:prstGeom>
                  </pic:spPr>
                </pic:pic>
              </a:graphicData>
            </a:graphic>
          </wp:anchor>
        </w:drawing>
      </w:r>
      <w:r>
        <w:rPr>
          <w:color w:val="231F20"/>
          <w:sz w:val="18"/>
        </w:rPr>
        <w:t>Here</w:t>
      </w:r>
      <w:r>
        <w:rPr>
          <w:color w:val="231F20"/>
          <w:spacing w:val="28"/>
          <w:sz w:val="18"/>
        </w:rPr>
        <w:t> </w:t>
      </w:r>
      <w:r>
        <w:rPr>
          <w:color w:val="231F20"/>
          <w:sz w:val="18"/>
        </w:rPr>
        <w:t>is</w:t>
      </w:r>
      <w:r>
        <w:rPr>
          <w:color w:val="231F20"/>
          <w:spacing w:val="28"/>
          <w:sz w:val="18"/>
        </w:rPr>
        <w:t> </w:t>
      </w:r>
      <w:r>
        <w:rPr>
          <w:color w:val="231F20"/>
          <w:sz w:val="18"/>
        </w:rPr>
        <w:t>an</w:t>
      </w:r>
      <w:r>
        <w:rPr>
          <w:color w:val="231F20"/>
          <w:spacing w:val="28"/>
          <w:sz w:val="18"/>
        </w:rPr>
        <w:t> </w:t>
      </w:r>
      <w:r>
        <w:rPr>
          <w:color w:val="231F20"/>
          <w:sz w:val="18"/>
        </w:rPr>
        <w:t>example</w:t>
      </w:r>
      <w:r>
        <w:rPr>
          <w:color w:val="231F20"/>
          <w:spacing w:val="28"/>
          <w:sz w:val="18"/>
        </w:rPr>
        <w:t> </w:t>
      </w:r>
      <w:r>
        <w:rPr>
          <w:color w:val="231F20"/>
          <w:sz w:val="18"/>
        </w:rPr>
        <w:t>of</w:t>
      </w:r>
      <w:r>
        <w:rPr>
          <w:color w:val="231F20"/>
          <w:spacing w:val="28"/>
          <w:sz w:val="18"/>
        </w:rPr>
        <w:t> </w:t>
      </w:r>
      <w:r>
        <w:rPr>
          <w:color w:val="231F20"/>
          <w:sz w:val="18"/>
        </w:rPr>
        <w:t>a</w:t>
      </w:r>
      <w:r>
        <w:rPr>
          <w:color w:val="231F20"/>
          <w:spacing w:val="28"/>
          <w:sz w:val="18"/>
        </w:rPr>
        <w:t> </w:t>
      </w:r>
      <w:r>
        <w:rPr>
          <w:color w:val="231F20"/>
          <w:sz w:val="18"/>
        </w:rPr>
        <w:t>bar</w:t>
      </w:r>
      <w:r>
        <w:rPr>
          <w:color w:val="231F20"/>
          <w:spacing w:val="28"/>
          <w:sz w:val="18"/>
        </w:rPr>
        <w:t> </w:t>
      </w:r>
      <w:r>
        <w:rPr>
          <w:color w:val="231F20"/>
          <w:sz w:val="18"/>
        </w:rPr>
        <w:t>chart</w:t>
      </w:r>
      <w:r>
        <w:rPr>
          <w:color w:val="231F20"/>
          <w:spacing w:val="28"/>
          <w:sz w:val="18"/>
        </w:rPr>
        <w:t> </w:t>
      </w:r>
      <w:r>
        <w:rPr>
          <w:color w:val="231F20"/>
          <w:sz w:val="18"/>
        </w:rPr>
        <w:t>with</w:t>
      </w:r>
      <w:r>
        <w:rPr>
          <w:color w:val="231F20"/>
          <w:spacing w:val="28"/>
          <w:sz w:val="18"/>
        </w:rPr>
        <w:t> </w:t>
      </w:r>
      <w:r>
        <w:rPr>
          <w:color w:val="231F20"/>
          <w:sz w:val="18"/>
        </w:rPr>
        <w:t>overlay. The chart shows the </w:t>
      </w:r>
      <w:r>
        <w:rPr>
          <w:color w:val="231F20"/>
          <w:spacing w:val="14"/>
          <w:sz w:val="18"/>
        </w:rPr>
        <w:drawing>
          <wp:inline distT="0" distB="0" distL="0" distR="0">
            <wp:extent cx="69850" cy="69850"/>
            <wp:effectExtent l="0" t="0" r="0" b="0"/>
            <wp:docPr id="1192" name="Image 1192"/>
            <wp:cNvGraphicFramePr>
              <a:graphicFrameLocks/>
            </wp:cNvGraphicFramePr>
            <a:graphic>
              <a:graphicData uri="http://schemas.openxmlformats.org/drawingml/2006/picture">
                <pic:pic>
                  <pic:nvPicPr>
                    <pic:cNvPr id="1192" name="Image 1192"/>
                    <pic:cNvPicPr/>
                  </pic:nvPicPr>
                  <pic:blipFill>
                    <a:blip r:embed="rId225" cstate="print"/>
                    <a:stretch>
                      <a:fillRect/>
                    </a:stretch>
                  </pic:blipFill>
                  <pic:spPr>
                    <a:xfrm>
                      <a:off x="0" y="0"/>
                      <a:ext cx="69850" cy="69850"/>
                    </a:xfrm>
                    <a:prstGeom prst="rect">
                      <a:avLst/>
                    </a:prstGeom>
                  </pic:spPr>
                </pic:pic>
              </a:graphicData>
            </a:graphic>
          </wp:inline>
        </w:drawing>
      </w:r>
      <w:r>
        <w:rPr>
          <w:color w:val="231F20"/>
          <w:spacing w:val="14"/>
          <w:sz w:val="18"/>
        </w:rPr>
      </w:r>
      <w:r>
        <w:rPr>
          <w:rFonts w:ascii="Times New Roman"/>
          <w:color w:val="231F20"/>
          <w:spacing w:val="40"/>
          <w:sz w:val="18"/>
        </w:rPr>
        <w:t> </w:t>
      </w:r>
      <w:r>
        <w:rPr>
          <w:color w:val="231F20"/>
          <w:sz w:val="18"/>
        </w:rPr>
        <w:t>current size and </w:t>
      </w:r>
      <w:r>
        <w:rPr>
          <w:color w:val="231F20"/>
          <w:spacing w:val="14"/>
          <w:sz w:val="18"/>
        </w:rPr>
        <w:drawing>
          <wp:inline distT="0" distB="0" distL="0" distR="0">
            <wp:extent cx="69850" cy="69850"/>
            <wp:effectExtent l="0" t="0" r="0" b="0"/>
            <wp:docPr id="1193" name="Image 1193"/>
            <wp:cNvGraphicFramePr>
              <a:graphicFrameLocks/>
            </wp:cNvGraphicFramePr>
            <a:graphic>
              <a:graphicData uri="http://schemas.openxmlformats.org/drawingml/2006/picture">
                <pic:pic>
                  <pic:nvPicPr>
                    <pic:cNvPr id="1193" name="Image 1193"/>
                    <pic:cNvPicPr/>
                  </pic:nvPicPr>
                  <pic:blipFill>
                    <a:blip r:embed="rId226" cstate="print"/>
                    <a:stretch>
                      <a:fillRect/>
                    </a:stretch>
                  </pic:blipFill>
                  <pic:spPr>
                    <a:xfrm>
                      <a:off x="0" y="0"/>
                      <a:ext cx="69850" cy="69850"/>
                    </a:xfrm>
                    <a:prstGeom prst="rect">
                      <a:avLst/>
                    </a:prstGeom>
                  </pic:spPr>
                </pic:pic>
              </a:graphicData>
            </a:graphic>
          </wp:inline>
        </w:drawing>
      </w:r>
      <w:r>
        <w:rPr>
          <w:color w:val="231F20"/>
          <w:spacing w:val="14"/>
          <w:sz w:val="18"/>
        </w:rPr>
      </w:r>
      <w:r>
        <w:rPr>
          <w:rFonts w:ascii="Times New Roman"/>
          <w:color w:val="231F20"/>
          <w:spacing w:val="40"/>
          <w:sz w:val="18"/>
        </w:rPr>
        <w:t> </w:t>
      </w:r>
      <w:r>
        <w:rPr>
          <w:color w:val="231F20"/>
          <w:sz w:val="18"/>
        </w:rPr>
        <w:t>maximum size of three monitored logs:</w:t>
      </w:r>
      <w:r>
        <w:rPr>
          <w:color w:val="231F20"/>
          <w:spacing w:val="40"/>
          <w:sz w:val="18"/>
        </w:rPr>
        <w:t> </w:t>
      </w:r>
      <w:r>
        <w:rPr>
          <w:color w:val="231F20"/>
          <w:sz w:val="18"/>
        </w:rPr>
        <w:t>Application, Security, and System. The </w:t>
      </w:r>
      <w:r>
        <w:rPr>
          <w:color w:val="231F20"/>
          <w:spacing w:val="13"/>
          <w:sz w:val="18"/>
        </w:rPr>
        <w:drawing>
          <wp:inline distT="0" distB="0" distL="0" distR="0">
            <wp:extent cx="69850" cy="69850"/>
            <wp:effectExtent l="0" t="0" r="0" b="0"/>
            <wp:docPr id="1194" name="Image 1194"/>
            <wp:cNvGraphicFramePr>
              <a:graphicFrameLocks/>
            </wp:cNvGraphicFramePr>
            <a:graphic>
              <a:graphicData uri="http://schemas.openxmlformats.org/drawingml/2006/picture">
                <pic:pic>
                  <pic:nvPicPr>
                    <pic:cNvPr id="1194" name="Image 1194"/>
                    <pic:cNvPicPr/>
                  </pic:nvPicPr>
                  <pic:blipFill>
                    <a:blip r:embed="rId227" cstate="print"/>
                    <a:stretch>
                      <a:fillRect/>
                    </a:stretch>
                  </pic:blipFill>
                  <pic:spPr>
                    <a:xfrm>
                      <a:off x="0" y="0"/>
                      <a:ext cx="69850" cy="69850"/>
                    </a:xfrm>
                    <a:prstGeom prst="rect">
                      <a:avLst/>
                    </a:prstGeom>
                  </pic:spPr>
                </pic:pic>
              </a:graphicData>
            </a:graphic>
          </wp:inline>
        </w:drawing>
      </w:r>
      <w:r>
        <w:rPr>
          <w:color w:val="231F20"/>
          <w:spacing w:val="13"/>
          <w:sz w:val="18"/>
        </w:rPr>
      </w:r>
      <w:r>
        <w:rPr>
          <w:rFonts w:ascii="Times New Roman"/>
          <w:color w:val="231F20"/>
          <w:spacing w:val="13"/>
          <w:sz w:val="18"/>
        </w:rPr>
        <w:t> </w:t>
      </w:r>
      <w:r>
        <w:rPr>
          <w:color w:val="231F20"/>
          <w:sz w:val="18"/>
        </w:rPr>
        <w:t>percentage of the log used is plotted over the bars.</w:t>
      </w:r>
    </w:p>
    <w:p>
      <w:pPr>
        <w:spacing w:after="0" w:line="216" w:lineRule="auto"/>
        <w:jc w:val="left"/>
        <w:rPr>
          <w:sz w:val="18"/>
        </w:rPr>
        <w:sectPr>
          <w:pgSz w:w="12240" w:h="15840"/>
          <w:pgMar w:header="0" w:footer="736" w:top="1180" w:bottom="920" w:left="1000" w:right="1060"/>
        </w:sectPr>
      </w:pPr>
    </w:p>
    <w:p>
      <w:pPr>
        <w:pStyle w:val="Heading5"/>
        <w:spacing w:before="84"/>
      </w:pPr>
      <w:bookmarkStart w:name="_bookmark88" w:id="194"/>
      <w:bookmarkEnd w:id="194"/>
      <w:r>
        <w:rPr>
          <w:b w:val="0"/>
        </w:rPr>
      </w:r>
      <w:r>
        <w:rPr>
          <w:color w:val="231F20"/>
        </w:rPr>
        <w:t>Chart</w:t>
      </w:r>
      <w:r>
        <w:rPr>
          <w:color w:val="231F20"/>
          <w:spacing w:val="5"/>
        </w:rPr>
        <w:t> </w:t>
      </w:r>
      <w:r>
        <w:rPr>
          <w:color w:val="231F20"/>
          <w:spacing w:val="-2"/>
        </w:rPr>
        <w:t>Thresholds</w:t>
      </w:r>
    </w:p>
    <w:p>
      <w:pPr>
        <w:pStyle w:val="BodyText"/>
        <w:spacing w:line="213" w:lineRule="auto" w:before="246"/>
        <w:ind w:left="2472" w:right="545"/>
      </w:pPr>
      <w:r>
        <w:rPr>
          <w:color w:val="231F20"/>
        </w:rPr>
        <w:t>Bar charts, plot charts, and area charts have a Chart Thresholds tab that you can use to define a highlighted region representing a range of values on the chart.</w:t>
      </w:r>
    </w:p>
    <w:p>
      <w:pPr>
        <w:pStyle w:val="Heading6"/>
      </w:pPr>
      <w:r>
        <w:rPr>
          <w:color w:val="231F20"/>
          <w:spacing w:val="-2"/>
        </w:rPr>
        <w:t>Defined</w:t>
      </w:r>
    </w:p>
    <w:p>
      <w:pPr>
        <w:pStyle w:val="BodyText"/>
        <w:spacing w:line="213" w:lineRule="auto" w:before="11"/>
        <w:ind w:left="3190" w:right="258"/>
      </w:pPr>
      <w:r>
        <w:rPr>
          <w:color w:val="231F20"/>
        </w:rPr>
        <w:t>The list shows the threshold names that are currently defined for the chart. To create a new threshold, click </w:t>
      </w:r>
      <w:r>
        <w:rPr>
          <w:rFonts w:ascii="Book Antiqua"/>
          <w:b/>
          <w:color w:val="231F20"/>
        </w:rPr>
        <w:t>Create New </w:t>
      </w:r>
      <w:r>
        <w:rPr>
          <w:color w:val="231F20"/>
        </w:rPr>
        <w:t>and specify the name for the new threshold when prompted. You can then define the properties of the threshold in the </w:t>
      </w:r>
      <w:r>
        <w:rPr>
          <w:rFonts w:ascii="Book Antiqua"/>
          <w:b/>
          <w:color w:val="231F20"/>
        </w:rPr>
        <w:t>Threshold </w:t>
      </w:r>
      <w:r>
        <w:rPr>
          <w:color w:val="231F20"/>
        </w:rPr>
        <w:t>and </w:t>
      </w:r>
      <w:r>
        <w:rPr>
          <w:rFonts w:ascii="Book Antiqua"/>
          <w:b/>
          <w:color w:val="231F20"/>
        </w:rPr>
        <w:t>Fill Style </w:t>
      </w:r>
      <w:r>
        <w:rPr>
          <w:color w:val="231F20"/>
        </w:rPr>
        <w:t>fields. You can also rename or delete a threshold from the list.</w:t>
      </w:r>
    </w:p>
    <w:p>
      <w:pPr>
        <w:pStyle w:val="Heading6"/>
        <w:spacing w:before="115"/>
      </w:pPr>
      <w:r>
        <w:rPr>
          <w:color w:val="231F20"/>
          <w:spacing w:val="-2"/>
        </w:rPr>
        <w:t>Threshold</w:t>
      </w:r>
    </w:p>
    <w:p>
      <w:pPr>
        <w:pStyle w:val="BodyText"/>
        <w:spacing w:line="213" w:lineRule="auto" w:before="12"/>
        <w:ind w:left="3190" w:right="354"/>
        <w:jc w:val="both"/>
      </w:pPr>
      <w:r>
        <w:rPr>
          <w:color w:val="231F20"/>
        </w:rPr>
        <w:t>The fields in the </w:t>
      </w:r>
      <w:r>
        <w:rPr>
          <w:rFonts w:ascii="Book Antiqua"/>
          <w:b/>
          <w:color w:val="231F20"/>
        </w:rPr>
        <w:t>Threshold </w:t>
      </w:r>
      <w:r>
        <w:rPr>
          <w:color w:val="231F20"/>
        </w:rPr>
        <w:t>area of the Chart Thresholds tab define </w:t>
      </w:r>
      <w:r>
        <w:rPr>
          <w:color w:val="231F20"/>
        </w:rPr>
        <w:t>value highlighted by the selected marker, as well as the style of highlighting to </w:t>
      </w:r>
      <w:r>
        <w:rPr>
          <w:color w:val="231F20"/>
          <w:spacing w:val="-4"/>
        </w:rPr>
        <w:t>use:</w:t>
      </w:r>
    </w:p>
    <w:p>
      <w:pPr>
        <w:pStyle w:val="Heading6"/>
        <w:spacing w:line="227" w:lineRule="exact" w:before="121"/>
        <w:ind w:left="3190"/>
      </w:pPr>
      <w:r>
        <w:rPr>
          <w:b w:val="0"/>
        </w:rPr>
        <w:drawing>
          <wp:inline distT="0" distB="0" distL="0" distR="0">
            <wp:extent cx="82550" cy="82550"/>
            <wp:effectExtent l="0" t="0" r="0" b="0"/>
            <wp:docPr id="1195" name="Image 1195"/>
            <wp:cNvGraphicFramePr>
              <a:graphicFrameLocks/>
            </wp:cNvGraphicFramePr>
            <a:graphic>
              <a:graphicData uri="http://schemas.openxmlformats.org/drawingml/2006/picture">
                <pic:pic>
                  <pic:nvPicPr>
                    <pic:cNvPr id="1195" name="Image 1195"/>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Show Threshold</w:t>
      </w:r>
    </w:p>
    <w:p>
      <w:pPr>
        <w:pStyle w:val="BodyText"/>
        <w:spacing w:line="213" w:lineRule="auto" w:before="9"/>
        <w:ind w:left="3909" w:right="258"/>
      </w:pPr>
      <w:r>
        <w:rPr>
          <w:color w:val="231F20"/>
        </w:rPr>
        <w:t>The check box is selected to display the threshold on the chart. </w:t>
      </w:r>
      <w:r>
        <w:rPr>
          <w:color w:val="231F20"/>
        </w:rPr>
        <w:t>You can hide a defined threshold by deselecting the check box.</w:t>
      </w:r>
    </w:p>
    <w:p>
      <w:pPr>
        <w:pStyle w:val="Heading6"/>
        <w:ind w:left="3190"/>
      </w:pPr>
      <w:r>
        <w:rPr>
          <w:color w:val="231F20"/>
        </w:rPr>
        <w:t>Associated</w:t>
      </w:r>
      <w:r>
        <w:rPr>
          <w:color w:val="231F20"/>
          <w:spacing w:val="6"/>
        </w:rPr>
        <w:t> </w:t>
      </w:r>
      <w:r>
        <w:rPr>
          <w:color w:val="231F20"/>
          <w:spacing w:val="-4"/>
        </w:rPr>
        <w:t>with</w:t>
      </w:r>
    </w:p>
    <w:p>
      <w:pPr>
        <w:pStyle w:val="BodyText"/>
        <w:spacing w:line="258" w:lineRule="exact"/>
        <w:ind w:left="3909"/>
      </w:pPr>
      <w:r>
        <w:rPr>
          <w:color w:val="231F20"/>
        </w:rPr>
        <w:t>Select</w:t>
      </w:r>
      <w:r>
        <w:rPr>
          <w:color w:val="231F20"/>
          <w:spacing w:val="11"/>
        </w:rPr>
        <w:t> </w:t>
      </w:r>
      <w:r>
        <w:rPr>
          <w:color w:val="231F20"/>
        </w:rPr>
        <w:t>an</w:t>
      </w:r>
      <w:r>
        <w:rPr>
          <w:color w:val="231F20"/>
          <w:spacing w:val="11"/>
        </w:rPr>
        <w:t> </w:t>
      </w:r>
      <w:r>
        <w:rPr>
          <w:color w:val="231F20"/>
        </w:rPr>
        <w:t>available</w:t>
      </w:r>
      <w:r>
        <w:rPr>
          <w:color w:val="231F20"/>
          <w:spacing w:val="12"/>
        </w:rPr>
        <w:t> </w:t>
      </w:r>
      <w:r>
        <w:rPr>
          <w:color w:val="231F20"/>
        </w:rPr>
        <w:t>axis</w:t>
      </w:r>
      <w:r>
        <w:rPr>
          <w:color w:val="231F20"/>
          <w:spacing w:val="11"/>
        </w:rPr>
        <w:t> </w:t>
      </w:r>
      <w:r>
        <w:rPr>
          <w:color w:val="231F20"/>
        </w:rPr>
        <w:t>to</w:t>
      </w:r>
      <w:r>
        <w:rPr>
          <w:color w:val="231F20"/>
          <w:spacing w:val="12"/>
        </w:rPr>
        <w:t> </w:t>
      </w:r>
      <w:r>
        <w:rPr>
          <w:color w:val="231F20"/>
        </w:rPr>
        <w:t>use</w:t>
      </w:r>
      <w:r>
        <w:rPr>
          <w:color w:val="231F20"/>
          <w:spacing w:val="11"/>
        </w:rPr>
        <w:t> </w:t>
      </w:r>
      <w:r>
        <w:rPr>
          <w:color w:val="231F20"/>
        </w:rPr>
        <w:t>for</w:t>
      </w:r>
      <w:r>
        <w:rPr>
          <w:color w:val="231F20"/>
          <w:spacing w:val="12"/>
        </w:rPr>
        <w:t> </w:t>
      </w:r>
      <w:r>
        <w:rPr>
          <w:color w:val="231F20"/>
        </w:rPr>
        <w:t>thresholding</w:t>
      </w:r>
      <w:r>
        <w:rPr>
          <w:color w:val="231F20"/>
          <w:spacing w:val="11"/>
        </w:rPr>
        <w:t> </w:t>
      </w:r>
      <w:r>
        <w:rPr>
          <w:color w:val="231F20"/>
        </w:rPr>
        <w:t>from</w:t>
      </w:r>
      <w:r>
        <w:rPr>
          <w:color w:val="231F20"/>
          <w:spacing w:val="12"/>
        </w:rPr>
        <w:t> </w:t>
      </w:r>
      <w:r>
        <w:rPr>
          <w:color w:val="231F20"/>
        </w:rPr>
        <w:t>the</w:t>
      </w:r>
      <w:r>
        <w:rPr>
          <w:color w:val="231F20"/>
          <w:spacing w:val="10"/>
        </w:rPr>
        <w:t> </w:t>
      </w:r>
      <w:r>
        <w:rPr>
          <w:color w:val="231F20"/>
          <w:spacing w:val="15"/>
          <w:position w:val="-1"/>
        </w:rPr>
        <w:drawing>
          <wp:inline distT="0" distB="0" distL="0" distR="0">
            <wp:extent cx="101600" cy="101600"/>
            <wp:effectExtent l="0" t="0" r="0" b="0"/>
            <wp:docPr id="1196" name="Image 1196"/>
            <wp:cNvGraphicFramePr>
              <a:graphicFrameLocks/>
            </wp:cNvGraphicFramePr>
            <a:graphic>
              <a:graphicData uri="http://schemas.openxmlformats.org/drawingml/2006/picture">
                <pic:pic>
                  <pic:nvPicPr>
                    <pic:cNvPr id="1196" name="Image 119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3"/>
        </w:rPr>
        <w:t> </w:t>
      </w:r>
      <w:r>
        <w:rPr>
          <w:color w:val="231F20"/>
          <w:spacing w:val="-2"/>
        </w:rPr>
        <w:t>list.</w:t>
      </w:r>
    </w:p>
    <w:p>
      <w:pPr>
        <w:pStyle w:val="Heading6"/>
        <w:spacing w:line="232" w:lineRule="exact" w:before="111"/>
        <w:ind w:left="3190"/>
      </w:pPr>
      <w:r>
        <w:rPr>
          <w:color w:val="231F20"/>
        </w:rPr>
        <w:t>Start</w:t>
      </w:r>
      <w:r>
        <w:rPr>
          <w:color w:val="231F20"/>
          <w:spacing w:val="11"/>
        </w:rPr>
        <w:t> </w:t>
      </w:r>
      <w:r>
        <w:rPr>
          <w:color w:val="231F20"/>
          <w:spacing w:val="-2"/>
        </w:rPr>
        <w:t>value</w:t>
      </w:r>
    </w:p>
    <w:p>
      <w:pPr>
        <w:pStyle w:val="BodyText"/>
        <w:spacing w:line="211" w:lineRule="auto" w:before="16"/>
        <w:ind w:left="3909" w:right="493"/>
      </w:pPr>
      <w:r>
        <w:rPr>
          <w:color w:val="231F20"/>
        </w:rPr>
        <w:t>Accept the lowest value on the chart, -MAX </w:t>
      </w:r>
      <w:r>
        <w:rPr>
          <w:color w:val="231F20"/>
          <w:spacing w:val="15"/>
        </w:rPr>
        <w:drawing>
          <wp:inline distT="0" distB="0" distL="0" distR="0">
            <wp:extent cx="82550" cy="82550"/>
            <wp:effectExtent l="0" t="0" r="0" b="0"/>
            <wp:docPr id="1197" name="Image 1197"/>
            <wp:cNvGraphicFramePr>
              <a:graphicFrameLocks/>
            </wp:cNvGraphicFramePr>
            <a:graphic>
              <a:graphicData uri="http://schemas.openxmlformats.org/drawingml/2006/picture">
                <pic:pic>
                  <pic:nvPicPr>
                    <pic:cNvPr id="1197" name="Image 119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default</w:t>
      </w:r>
      <w:r>
        <w:rPr>
          <w:color w:val="231F20"/>
        </w:rPr>
        <w:t>, or deselect the check box and enter the lower boundary of the </w:t>
      </w:r>
      <w:r>
        <w:rPr>
          <w:color w:val="231F20"/>
          <w:spacing w:val="-2"/>
        </w:rPr>
        <w:t>threshold.</w:t>
      </w:r>
    </w:p>
    <w:p>
      <w:pPr>
        <w:pStyle w:val="Heading6"/>
        <w:spacing w:line="232" w:lineRule="exact" w:before="118"/>
        <w:ind w:left="3190"/>
      </w:pPr>
      <w:r>
        <w:rPr>
          <w:color w:val="231F20"/>
        </w:rPr>
        <w:t>End</w:t>
      </w:r>
      <w:r>
        <w:rPr>
          <w:color w:val="231F20"/>
          <w:spacing w:val="12"/>
        </w:rPr>
        <w:t> </w:t>
      </w:r>
      <w:r>
        <w:rPr>
          <w:color w:val="231F20"/>
          <w:spacing w:val="-2"/>
        </w:rPr>
        <w:t>value</w:t>
      </w:r>
    </w:p>
    <w:p>
      <w:pPr>
        <w:pStyle w:val="BodyText"/>
        <w:spacing w:line="211" w:lineRule="auto" w:before="16"/>
        <w:ind w:left="3909" w:right="545"/>
      </w:pPr>
      <w:r>
        <w:rPr>
          <w:color w:val="231F20"/>
        </w:rPr>
        <w:t>Accept the highest value on the chart, MAX </w:t>
      </w:r>
      <w:r>
        <w:rPr>
          <w:color w:val="231F20"/>
          <w:spacing w:val="15"/>
        </w:rPr>
        <w:drawing>
          <wp:inline distT="0" distB="0" distL="0" distR="0">
            <wp:extent cx="82550" cy="82550"/>
            <wp:effectExtent l="0" t="0" r="0" b="0"/>
            <wp:docPr id="1198" name="Image 1198"/>
            <wp:cNvGraphicFramePr>
              <a:graphicFrameLocks/>
            </wp:cNvGraphicFramePr>
            <a:graphic>
              <a:graphicData uri="http://schemas.openxmlformats.org/drawingml/2006/picture">
                <pic:pic>
                  <pic:nvPicPr>
                    <pic:cNvPr id="1198" name="Image 119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default</w:t>
      </w:r>
      <w:r>
        <w:rPr>
          <w:color w:val="231F20"/>
        </w:rPr>
        <w:t>, or deselect the check box and enter the upper boundary of the </w:t>
      </w:r>
      <w:r>
        <w:rPr>
          <w:color w:val="231F20"/>
          <w:spacing w:val="-2"/>
        </w:rPr>
        <w:t>threshold.</w:t>
      </w:r>
    </w:p>
    <w:p>
      <w:pPr>
        <w:pStyle w:val="Heading6"/>
        <w:ind w:left="3190"/>
      </w:pPr>
      <w:r>
        <w:rPr>
          <w:color w:val="231F20"/>
        </w:rPr>
        <w:t>Fill</w:t>
      </w:r>
      <w:r>
        <w:rPr>
          <w:color w:val="231F20"/>
          <w:spacing w:val="12"/>
        </w:rPr>
        <w:t> </w:t>
      </w:r>
      <w:r>
        <w:rPr>
          <w:color w:val="231F20"/>
          <w:spacing w:val="-2"/>
        </w:rPr>
        <w:t>Style</w:t>
      </w:r>
    </w:p>
    <w:p>
      <w:pPr>
        <w:pStyle w:val="BodyText"/>
        <w:spacing w:line="213" w:lineRule="auto" w:before="11"/>
        <w:ind w:left="3909" w:right="258" w:hanging="1"/>
      </w:pPr>
      <w:r>
        <w:rPr>
          <w:color w:val="231F20"/>
        </w:rPr>
        <w:t>Select the </w:t>
      </w:r>
      <w:r>
        <w:rPr>
          <w:rFonts w:ascii="Book Antiqua"/>
          <w:b/>
          <w:color w:val="231F20"/>
        </w:rPr>
        <w:t>Pattern </w:t>
      </w:r>
      <w:r>
        <w:rPr>
          <w:color w:val="231F20"/>
        </w:rPr>
        <w:t>and </w:t>
      </w:r>
      <w:r>
        <w:rPr>
          <w:rFonts w:ascii="Book Antiqua"/>
          <w:b/>
          <w:color w:val="231F20"/>
        </w:rPr>
        <w:t>Color </w:t>
      </w:r>
      <w:r>
        <w:rPr>
          <w:color w:val="231F20"/>
        </w:rPr>
        <w:t>to use to highlight the threshold. </w:t>
      </w:r>
      <w:r>
        <w:rPr>
          <w:color w:val="231F20"/>
        </w:rPr>
        <w:t>Click </w:t>
      </w:r>
      <w:r>
        <w:rPr>
          <w:rFonts w:ascii="Book Antiqua"/>
          <w:b/>
          <w:color w:val="231F20"/>
        </w:rPr>
        <w:t>Custom Colors </w:t>
      </w:r>
      <w:r>
        <w:rPr>
          <w:color w:val="231F20"/>
        </w:rPr>
        <w:t>to choose from a wider selection of colors or to</w:t>
      </w:r>
      <w:r>
        <w:rPr>
          <w:color w:val="231F20"/>
          <w:spacing w:val="40"/>
        </w:rPr>
        <w:t> </w:t>
      </w:r>
      <w:r>
        <w:rPr>
          <w:color w:val="231F20"/>
        </w:rPr>
        <w:t>create your own.</w:t>
      </w:r>
    </w:p>
    <w:p>
      <w:pPr>
        <w:pStyle w:val="Heading6"/>
      </w:pPr>
      <w:r>
        <w:rPr>
          <w:color w:val="231F20"/>
        </w:rPr>
        <w:t>Advanced</w:t>
      </w:r>
      <w:r>
        <w:rPr>
          <w:color w:val="231F20"/>
          <w:spacing w:val="6"/>
        </w:rPr>
        <w:t> </w:t>
      </w:r>
      <w:r>
        <w:rPr>
          <w:color w:val="231F20"/>
          <w:spacing w:val="-2"/>
        </w:rPr>
        <w:t>Options</w:t>
      </w:r>
    </w:p>
    <w:p>
      <w:pPr>
        <w:pStyle w:val="BodyText"/>
        <w:spacing w:line="213" w:lineRule="auto" w:before="11"/>
        <w:ind w:left="3190" w:right="258"/>
      </w:pPr>
      <w:r>
        <w:rPr>
          <w:color w:val="231F20"/>
        </w:rPr>
        <w:t>Click</w:t>
      </w:r>
      <w:r>
        <w:rPr>
          <w:color w:val="231F20"/>
          <w:spacing w:val="30"/>
        </w:rPr>
        <w:t> </w:t>
      </w:r>
      <w:r>
        <w:rPr>
          <w:color w:val="231F20"/>
        </w:rPr>
        <w:t>this</w:t>
      </w:r>
      <w:r>
        <w:rPr>
          <w:color w:val="231F20"/>
          <w:spacing w:val="30"/>
        </w:rPr>
        <w:t> </w:t>
      </w:r>
      <w:r>
        <w:rPr>
          <w:color w:val="231F20"/>
        </w:rPr>
        <w:t>button</w:t>
      </w:r>
      <w:r>
        <w:rPr>
          <w:color w:val="231F20"/>
          <w:spacing w:val="30"/>
        </w:rPr>
        <w:t> </w:t>
      </w:r>
      <w:r>
        <w:rPr>
          <w:color w:val="231F20"/>
        </w:rPr>
        <w:t>to</w:t>
      </w:r>
      <w:r>
        <w:rPr>
          <w:color w:val="231F20"/>
          <w:spacing w:val="30"/>
        </w:rPr>
        <w:t> </w:t>
      </w:r>
      <w:r>
        <w:rPr>
          <w:color w:val="231F20"/>
        </w:rPr>
        <w:t>open</w:t>
      </w:r>
      <w:r>
        <w:rPr>
          <w:color w:val="231F20"/>
          <w:spacing w:val="30"/>
        </w:rPr>
        <w:t> </w:t>
      </w:r>
      <w:r>
        <w:rPr>
          <w:color w:val="231F20"/>
        </w:rPr>
        <w:t>the</w:t>
      </w:r>
      <w:r>
        <w:rPr>
          <w:color w:val="231F20"/>
          <w:spacing w:val="30"/>
        </w:rPr>
        <w:t> </w:t>
      </w:r>
      <w:r>
        <w:rPr>
          <w:color w:val="231F20"/>
        </w:rPr>
        <w:t>Chart</w:t>
      </w:r>
      <w:r>
        <w:rPr>
          <w:color w:val="231F20"/>
          <w:spacing w:val="30"/>
        </w:rPr>
        <w:t> </w:t>
      </w:r>
      <w:r>
        <w:rPr>
          <w:color w:val="231F20"/>
        </w:rPr>
        <w:t>Thresholds</w:t>
      </w:r>
      <w:r>
        <w:rPr>
          <w:color w:val="231F20"/>
          <w:spacing w:val="30"/>
        </w:rPr>
        <w:t> </w:t>
      </w:r>
      <w:r>
        <w:rPr>
          <w:color w:val="231F20"/>
        </w:rPr>
        <w:t>- Advanced</w:t>
      </w:r>
      <w:r>
        <w:rPr>
          <w:color w:val="231F20"/>
          <w:spacing w:val="30"/>
        </w:rPr>
        <w:t> </w:t>
      </w:r>
      <w:r>
        <w:rPr>
          <w:color w:val="231F20"/>
        </w:rPr>
        <w:t>options window, where you can configure additional options for how the </w:t>
      </w:r>
      <w:r>
        <w:rPr>
          <w:color w:val="231F20"/>
        </w:rPr>
        <w:t>threshold is displayed:</w:t>
      </w:r>
    </w:p>
    <w:p>
      <w:pPr>
        <w:pStyle w:val="BodyText"/>
        <w:spacing w:line="208" w:lineRule="auto" w:before="127"/>
        <w:ind w:left="3190" w:right="401"/>
        <w:jc w:val="both"/>
      </w:pPr>
      <w:r>
        <w:rPr>
          <w:color w:val="231F20"/>
        </w:rPr>
        <w:t>Select </w:t>
      </w:r>
      <w:r>
        <w:rPr>
          <w:color w:val="231F20"/>
          <w:spacing w:val="16"/>
        </w:rPr>
        <w:drawing>
          <wp:inline distT="0" distB="0" distL="0" distR="0">
            <wp:extent cx="82550" cy="82550"/>
            <wp:effectExtent l="0" t="0" r="0" b="0"/>
            <wp:docPr id="1199" name="Image 1199"/>
            <wp:cNvGraphicFramePr>
              <a:graphicFrameLocks/>
            </wp:cNvGraphicFramePr>
            <a:graphic>
              <a:graphicData uri="http://schemas.openxmlformats.org/drawingml/2006/picture">
                <pic:pic>
                  <pic:nvPicPr>
                    <pic:cNvPr id="1199" name="Image 1199"/>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Visible in legend </w:t>
      </w:r>
      <w:r>
        <w:rPr>
          <w:color w:val="231F20"/>
        </w:rPr>
        <w:t>to include a color indicator and the threshold definition name in the legend.</w:t>
      </w:r>
    </w:p>
    <w:p>
      <w:pPr>
        <w:pStyle w:val="BodyText"/>
        <w:spacing w:line="211" w:lineRule="auto" w:before="127"/>
        <w:ind w:left="3190" w:right="274"/>
      </w:pPr>
      <w:r>
        <w:rPr>
          <w:color w:val="231F20"/>
        </w:rPr>
        <w:t>Select </w:t>
      </w:r>
      <w:r>
        <w:rPr>
          <w:color w:val="231F20"/>
          <w:spacing w:val="16"/>
        </w:rPr>
        <w:drawing>
          <wp:inline distT="0" distB="0" distL="0" distR="0">
            <wp:extent cx="82550" cy="82550"/>
            <wp:effectExtent l="0" t="0" r="0" b="0"/>
            <wp:docPr id="1200" name="Image 1200"/>
            <wp:cNvGraphicFramePr>
              <a:graphicFrameLocks/>
            </wp:cNvGraphicFramePr>
            <a:graphic>
              <a:graphicData uri="http://schemas.openxmlformats.org/drawingml/2006/picture">
                <pic:pic>
                  <pic:nvPicPr>
                    <pic:cNvPr id="1200" name="Image 120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Included in data bounds </w:t>
      </w:r>
      <w:r>
        <w:rPr>
          <w:color w:val="231F20"/>
        </w:rPr>
        <w:t>to confine the threshold display within the data boundary. This field might not change the chart display if the threshold is obscured by data points.</w:t>
      </w:r>
    </w:p>
    <w:p>
      <w:pPr>
        <w:pStyle w:val="BodyText"/>
        <w:spacing w:line="213" w:lineRule="auto" w:before="119"/>
        <w:ind w:left="3190" w:right="493"/>
      </w:pPr>
      <w:r>
        <w:rPr>
          <w:color w:val="231F20"/>
        </w:rPr>
        <w:t>In the </w:t>
      </w:r>
      <w:r>
        <w:rPr>
          <w:rFonts w:ascii="Book Antiqua"/>
          <w:b/>
          <w:color w:val="231F20"/>
        </w:rPr>
        <w:t>Boundary Lines </w:t>
      </w:r>
      <w:r>
        <w:rPr>
          <w:color w:val="231F20"/>
        </w:rPr>
        <w:t>area, you can specify that you want to draw </w:t>
      </w:r>
      <w:r>
        <w:rPr>
          <w:color w:val="231F20"/>
        </w:rPr>
        <w:t>lines on the chart marking the start and end values of the threshold, and configure the </w:t>
      </w:r>
      <w:r>
        <w:rPr>
          <w:rFonts w:ascii="Book Antiqua"/>
          <w:b/>
          <w:color w:val="231F20"/>
        </w:rPr>
        <w:t>Pattern</w:t>
      </w:r>
      <w:r>
        <w:rPr>
          <w:color w:val="231F20"/>
        </w:rPr>
        <w:t>, </w:t>
      </w:r>
      <w:r>
        <w:rPr>
          <w:rFonts w:ascii="Book Antiqua"/>
          <w:b/>
          <w:color w:val="231F20"/>
        </w:rPr>
        <w:t>Width</w:t>
      </w:r>
      <w:r>
        <w:rPr>
          <w:color w:val="231F20"/>
        </w:rPr>
        <w:t>, and </w:t>
      </w:r>
      <w:r>
        <w:rPr>
          <w:rFonts w:ascii="Book Antiqua"/>
          <w:b/>
          <w:color w:val="231F20"/>
        </w:rPr>
        <w:t>Color </w:t>
      </w:r>
      <w:r>
        <w:rPr>
          <w:color w:val="231F20"/>
        </w:rPr>
        <w:t>of the boundary lines.</w:t>
      </w:r>
    </w:p>
    <w:p>
      <w:pPr>
        <w:pStyle w:val="Heading5"/>
      </w:pPr>
      <w:r>
        <w:rPr>
          <w:color w:val="231F20"/>
        </w:rPr>
        <w:t>Chart</w:t>
      </w:r>
      <w:r>
        <w:rPr>
          <w:color w:val="231F20"/>
          <w:spacing w:val="5"/>
        </w:rPr>
        <w:t> </w:t>
      </w:r>
      <w:r>
        <w:rPr>
          <w:color w:val="231F20"/>
          <w:spacing w:val="-2"/>
        </w:rPr>
        <w:t>Markers</w:t>
      </w:r>
    </w:p>
    <w:p>
      <w:pPr>
        <w:pStyle w:val="BodyText"/>
        <w:spacing w:line="213" w:lineRule="auto" w:before="245"/>
        <w:ind w:left="2472" w:right="545"/>
      </w:pPr>
      <w:r>
        <w:rPr>
          <w:color w:val="231F20"/>
        </w:rPr>
        <w:t>A marker is a colored or patterned line drawn across the chart at a defined value along the value or category axis. You can use a marker to highlight a particular value for emphasis. Chart markers are available for the bar chart, plot chart, and</w:t>
      </w:r>
    </w:p>
    <w:p>
      <w:pPr>
        <w:spacing w:after="0" w:line="213" w:lineRule="auto"/>
        <w:sectPr>
          <w:pgSz w:w="12240" w:h="15840"/>
          <w:pgMar w:header="0" w:footer="736" w:top="1620" w:bottom="920" w:left="1000" w:right="1060"/>
        </w:sectPr>
      </w:pPr>
    </w:p>
    <w:p>
      <w:pPr>
        <w:pStyle w:val="BodyText"/>
        <w:spacing w:before="62"/>
        <w:ind w:left="2232"/>
      </w:pPr>
      <w:bookmarkStart w:name="_bookmark89" w:id="195"/>
      <w:bookmarkEnd w:id="195"/>
      <w:r>
        <w:rPr/>
      </w:r>
      <w:r>
        <w:rPr>
          <w:color w:val="231F20"/>
        </w:rPr>
        <w:t>area</w:t>
      </w:r>
      <w:r>
        <w:rPr>
          <w:color w:val="231F20"/>
          <w:spacing w:val="9"/>
        </w:rPr>
        <w:t> </w:t>
      </w:r>
      <w:r>
        <w:rPr>
          <w:color w:val="231F20"/>
        </w:rPr>
        <w:t>chart</w:t>
      </w:r>
      <w:r>
        <w:rPr>
          <w:color w:val="231F20"/>
          <w:spacing w:val="10"/>
        </w:rPr>
        <w:t> </w:t>
      </w:r>
      <w:r>
        <w:rPr>
          <w:color w:val="231F20"/>
          <w:spacing w:val="-2"/>
        </w:rPr>
        <w:t>views.</w:t>
      </w:r>
    </w:p>
    <w:p>
      <w:pPr>
        <w:pStyle w:val="BodyText"/>
        <w:spacing w:before="12"/>
        <w:rPr>
          <w:sz w:val="11"/>
        </w:rPr>
      </w:pPr>
      <w:r>
        <w:rPr/>
        <w:drawing>
          <wp:anchor distT="0" distB="0" distL="0" distR="0" allowOverlap="1" layoutInCell="1" locked="0" behindDoc="1" simplePos="0" relativeHeight="487675392">
            <wp:simplePos x="0" y="0"/>
            <wp:positionH relativeFrom="page">
              <wp:posOffset>3335903</wp:posOffset>
            </wp:positionH>
            <wp:positionV relativeFrom="paragraph">
              <wp:posOffset>117521</wp:posOffset>
            </wp:positionV>
            <wp:extent cx="2208085" cy="1257204"/>
            <wp:effectExtent l="0" t="0" r="0" b="0"/>
            <wp:wrapTopAndBottom/>
            <wp:docPr id="1201" name="Image 1201"/>
            <wp:cNvGraphicFramePr>
              <a:graphicFrameLocks/>
            </wp:cNvGraphicFramePr>
            <a:graphic>
              <a:graphicData uri="http://schemas.openxmlformats.org/drawingml/2006/picture">
                <pic:pic>
                  <pic:nvPicPr>
                    <pic:cNvPr id="1201" name="Image 1201"/>
                    <pic:cNvPicPr/>
                  </pic:nvPicPr>
                  <pic:blipFill>
                    <a:blip r:embed="rId228" cstate="print"/>
                    <a:stretch>
                      <a:fillRect/>
                    </a:stretch>
                  </pic:blipFill>
                  <pic:spPr>
                    <a:xfrm>
                      <a:off x="0" y="0"/>
                      <a:ext cx="2208085" cy="1257204"/>
                    </a:xfrm>
                    <a:prstGeom prst="rect">
                      <a:avLst/>
                    </a:prstGeom>
                  </pic:spPr>
                </pic:pic>
              </a:graphicData>
            </a:graphic>
          </wp:anchor>
        </w:drawing>
      </w:r>
    </w:p>
    <w:p>
      <w:pPr>
        <w:pStyle w:val="Heading6"/>
        <w:spacing w:before="201"/>
        <w:ind w:left="2232"/>
      </w:pPr>
      <w:r>
        <w:rPr>
          <w:color w:val="231F20"/>
          <w:spacing w:val="-2"/>
        </w:rPr>
        <w:t>Defined</w:t>
      </w:r>
    </w:p>
    <w:p>
      <w:pPr>
        <w:pStyle w:val="BodyText"/>
        <w:spacing w:line="213" w:lineRule="auto" w:before="11"/>
        <w:ind w:left="2951" w:right="567"/>
      </w:pPr>
      <w:r>
        <w:rPr>
          <w:color w:val="231F20"/>
        </w:rPr>
        <w:t>The list shows the markers that are currently defined for the chart. To</w:t>
      </w:r>
      <w:r>
        <w:rPr>
          <w:color w:val="231F20"/>
          <w:spacing w:val="40"/>
        </w:rPr>
        <w:t> </w:t>
      </w:r>
      <w:r>
        <w:rPr>
          <w:color w:val="231F20"/>
        </w:rPr>
        <w:t>create a new marker, click </w:t>
      </w:r>
      <w:r>
        <w:rPr>
          <w:rFonts w:ascii="Book Antiqua"/>
          <w:b/>
          <w:color w:val="231F20"/>
        </w:rPr>
        <w:t>Create New </w:t>
      </w:r>
      <w:r>
        <w:rPr>
          <w:color w:val="231F20"/>
        </w:rPr>
        <w:t>and specify the name for the new marker when prompted. You can then define the properties of the marker. You can also rename or delete a marker from the list.</w:t>
      </w:r>
    </w:p>
    <w:p>
      <w:pPr>
        <w:pStyle w:val="Heading6"/>
        <w:spacing w:before="116"/>
        <w:ind w:left="2232"/>
      </w:pPr>
      <w:r>
        <w:rPr>
          <w:color w:val="231F20"/>
          <w:spacing w:val="-2"/>
        </w:rPr>
        <w:t>Marker</w:t>
      </w:r>
    </w:p>
    <w:p>
      <w:pPr>
        <w:pStyle w:val="BodyText"/>
        <w:spacing w:line="213" w:lineRule="auto" w:before="11"/>
        <w:ind w:left="2951" w:right="545" w:hanging="1"/>
      </w:pPr>
      <w:r>
        <w:rPr>
          <w:color w:val="231F20"/>
        </w:rPr>
        <w:t>The fields in the </w:t>
      </w:r>
      <w:r>
        <w:rPr>
          <w:rFonts w:ascii="Book Antiqua"/>
          <w:b/>
          <w:color w:val="231F20"/>
        </w:rPr>
        <w:t>Marker </w:t>
      </w:r>
      <w:r>
        <w:rPr>
          <w:color w:val="231F20"/>
        </w:rPr>
        <w:t>area of the Chart Markers tab define value highlighted by the selected marker, as well as the style of highlighting </w:t>
      </w:r>
      <w:r>
        <w:rPr>
          <w:color w:val="231F20"/>
        </w:rPr>
        <w:t>to </w:t>
      </w:r>
      <w:r>
        <w:rPr>
          <w:color w:val="231F20"/>
          <w:spacing w:val="-4"/>
        </w:rPr>
        <w:t>use:</w:t>
      </w:r>
    </w:p>
    <w:p>
      <w:pPr>
        <w:pStyle w:val="BodyText"/>
        <w:spacing w:line="213" w:lineRule="auto" w:before="58"/>
        <w:ind w:left="3167" w:right="545" w:hanging="216"/>
      </w:pPr>
      <w:r>
        <w:rPr>
          <w:rFonts w:ascii="Futura MdCn BT"/>
          <w:color w:val="231F20"/>
        </w:rPr>
        <w:t>v</w:t>
      </w:r>
      <w:r>
        <w:rPr>
          <w:rFonts w:ascii="Futura MdCn BT"/>
          <w:color w:val="231F20"/>
          <w:spacing w:val="80"/>
        </w:rPr>
        <w:t> </w:t>
      </w:r>
      <w:r>
        <w:rPr>
          <w:color w:val="231F20"/>
        </w:rPr>
        <w:t>Click </w:t>
      </w:r>
      <w:r>
        <w:rPr>
          <w:rFonts w:ascii="Book Antiqua"/>
          <w:b/>
          <w:color w:val="231F20"/>
        </w:rPr>
        <w:t>Show Marker </w:t>
      </w:r>
      <w:r>
        <w:rPr>
          <w:color w:val="231F20"/>
        </w:rPr>
        <w:t>to display the marker on the chart. You can hide </w:t>
      </w:r>
      <w:r>
        <w:rPr>
          <w:color w:val="231F20"/>
        </w:rPr>
        <w:t>a</w:t>
      </w:r>
      <w:r>
        <w:rPr>
          <w:color w:val="231F20"/>
        </w:rPr>
        <w:t> defined marker by deselecting this check box.</w:t>
      </w:r>
    </w:p>
    <w:p>
      <w:pPr>
        <w:pStyle w:val="BodyText"/>
        <w:spacing w:line="213" w:lineRule="auto" w:before="59"/>
        <w:ind w:left="3167" w:right="545" w:hanging="216"/>
      </w:pPr>
      <w:r>
        <w:rPr>
          <w:rFonts w:ascii="Futura MdCn BT"/>
          <w:color w:val="231F20"/>
        </w:rPr>
        <w:t>v</w:t>
      </w:r>
      <w:r>
        <w:rPr>
          <w:rFonts w:ascii="Futura MdCn BT"/>
          <w:color w:val="231F20"/>
          <w:spacing w:val="80"/>
        </w:rPr>
        <w:t> </w:t>
      </w:r>
      <w:r>
        <w:rPr>
          <w:color w:val="231F20"/>
        </w:rPr>
        <w:t>In the </w:t>
      </w:r>
      <w:r>
        <w:rPr>
          <w:rFonts w:ascii="Book Antiqua"/>
          <w:b/>
          <w:color w:val="231F20"/>
        </w:rPr>
        <w:t>Associated with </w:t>
      </w:r>
      <w:r>
        <w:rPr>
          <w:color w:val="231F20"/>
        </w:rPr>
        <w:t>field, select either the value axis or the </w:t>
      </w:r>
      <w:r>
        <w:rPr>
          <w:color w:val="231F20"/>
        </w:rPr>
        <w:t>category</w:t>
      </w:r>
      <w:r>
        <w:rPr>
          <w:color w:val="231F20"/>
        </w:rPr>
        <w:t> </w:t>
      </w:r>
      <w:r>
        <w:rPr>
          <w:color w:val="231F20"/>
          <w:spacing w:val="-2"/>
        </w:rPr>
        <w:t>axis.</w:t>
      </w:r>
    </w:p>
    <w:p>
      <w:pPr>
        <w:pStyle w:val="BodyText"/>
        <w:spacing w:line="255" w:lineRule="exact" w:before="35"/>
        <w:ind w:left="2951"/>
      </w:pPr>
      <w:r>
        <w:rPr>
          <w:rFonts w:ascii="Futura MdCn BT"/>
          <w:color w:val="231F20"/>
        </w:rPr>
        <w:t>v</w:t>
      </w:r>
      <w:r>
        <w:rPr>
          <w:rFonts w:ascii="Futura MdCn BT"/>
          <w:color w:val="231F20"/>
          <w:spacing w:val="76"/>
          <w:w w:val="150"/>
        </w:rPr>
        <w:t> </w:t>
      </w:r>
      <w:r>
        <w:rPr>
          <w:color w:val="231F20"/>
        </w:rPr>
        <w:t>In</w:t>
      </w:r>
      <w:r>
        <w:rPr>
          <w:color w:val="231F20"/>
          <w:spacing w:val="9"/>
        </w:rPr>
        <w:t> </w:t>
      </w:r>
      <w:r>
        <w:rPr>
          <w:color w:val="231F20"/>
        </w:rPr>
        <w:t>the</w:t>
      </w:r>
      <w:r>
        <w:rPr>
          <w:color w:val="231F20"/>
          <w:spacing w:val="10"/>
        </w:rPr>
        <w:t> </w:t>
      </w:r>
      <w:r>
        <w:rPr>
          <w:rFonts w:ascii="Book Antiqua"/>
          <w:b/>
          <w:color w:val="231F20"/>
        </w:rPr>
        <w:t>Value</w:t>
      </w:r>
      <w:r>
        <w:rPr>
          <w:rFonts w:ascii="Book Antiqua"/>
          <w:b/>
          <w:color w:val="231F20"/>
          <w:spacing w:val="10"/>
        </w:rPr>
        <w:t> </w:t>
      </w:r>
      <w:r>
        <w:rPr>
          <w:color w:val="231F20"/>
        </w:rPr>
        <w:t>fields,</w:t>
      </w:r>
      <w:r>
        <w:rPr>
          <w:color w:val="231F20"/>
          <w:spacing w:val="9"/>
        </w:rPr>
        <w:t> </w:t>
      </w:r>
      <w:r>
        <w:rPr>
          <w:color w:val="231F20"/>
        </w:rPr>
        <w:t>specify</w:t>
      </w:r>
      <w:r>
        <w:rPr>
          <w:color w:val="231F20"/>
          <w:spacing w:val="10"/>
        </w:rPr>
        <w:t> </w:t>
      </w:r>
      <w:r>
        <w:rPr>
          <w:color w:val="231F20"/>
        </w:rPr>
        <w:t>the</w:t>
      </w:r>
      <w:r>
        <w:rPr>
          <w:color w:val="231F20"/>
          <w:spacing w:val="9"/>
        </w:rPr>
        <w:t> </w:t>
      </w:r>
      <w:r>
        <w:rPr>
          <w:color w:val="231F20"/>
        </w:rPr>
        <w:t>value</w:t>
      </w:r>
      <w:r>
        <w:rPr>
          <w:color w:val="231F20"/>
          <w:spacing w:val="10"/>
        </w:rPr>
        <w:t> </w:t>
      </w:r>
      <w:r>
        <w:rPr>
          <w:color w:val="231F20"/>
        </w:rPr>
        <w:t>highlighted</w:t>
      </w:r>
      <w:r>
        <w:rPr>
          <w:color w:val="231F20"/>
          <w:spacing w:val="9"/>
        </w:rPr>
        <w:t> </w:t>
      </w:r>
      <w:r>
        <w:rPr>
          <w:color w:val="231F20"/>
        </w:rPr>
        <w:t>by</w:t>
      </w:r>
      <w:r>
        <w:rPr>
          <w:color w:val="231F20"/>
          <w:spacing w:val="10"/>
        </w:rPr>
        <w:t> </w:t>
      </w:r>
      <w:r>
        <w:rPr>
          <w:color w:val="231F20"/>
        </w:rPr>
        <w:t>the</w:t>
      </w:r>
      <w:r>
        <w:rPr>
          <w:color w:val="231F20"/>
          <w:spacing w:val="10"/>
        </w:rPr>
        <w:t> </w:t>
      </w:r>
      <w:r>
        <w:rPr>
          <w:color w:val="231F20"/>
        </w:rPr>
        <w:t>marker,</w:t>
      </w:r>
      <w:r>
        <w:rPr>
          <w:color w:val="231F20"/>
          <w:spacing w:val="9"/>
        </w:rPr>
        <w:t> </w:t>
      </w:r>
      <w:r>
        <w:rPr>
          <w:color w:val="231F20"/>
        </w:rPr>
        <w:t>or</w:t>
      </w:r>
      <w:r>
        <w:rPr>
          <w:color w:val="231F20"/>
          <w:spacing w:val="10"/>
        </w:rPr>
        <w:t> </w:t>
      </w:r>
      <w:r>
        <w:rPr>
          <w:color w:val="231F20"/>
          <w:spacing w:val="-2"/>
        </w:rPr>
        <w:t>select</w:t>
      </w:r>
    </w:p>
    <w:p>
      <w:pPr>
        <w:pStyle w:val="BodyText"/>
        <w:spacing w:line="255" w:lineRule="exact"/>
        <w:ind w:left="3167"/>
      </w:pPr>
      <w:r>
        <w:rPr>
          <w:rFonts w:ascii="Book Antiqua"/>
          <w:b/>
          <w:color w:val="231F20"/>
        </w:rPr>
        <w:t>Use</w:t>
      </w:r>
      <w:r>
        <w:rPr>
          <w:rFonts w:ascii="Book Antiqua"/>
          <w:b/>
          <w:color w:val="231F20"/>
          <w:spacing w:val="11"/>
        </w:rPr>
        <w:t> </w:t>
      </w:r>
      <w:r>
        <w:rPr>
          <w:rFonts w:ascii="Book Antiqua"/>
          <w:b/>
          <w:color w:val="231F20"/>
        </w:rPr>
        <w:t>default</w:t>
      </w:r>
      <w:r>
        <w:rPr>
          <w:color w:val="231F20"/>
        </w:rPr>
        <w:t>.</w:t>
      </w:r>
      <w:r>
        <w:rPr>
          <w:color w:val="231F20"/>
          <w:spacing w:val="12"/>
        </w:rPr>
        <w:t> </w:t>
      </w:r>
      <w:r>
        <w:rPr>
          <w:color w:val="231F20"/>
        </w:rPr>
        <w:t>The</w:t>
      </w:r>
      <w:r>
        <w:rPr>
          <w:color w:val="231F20"/>
          <w:spacing w:val="12"/>
        </w:rPr>
        <w:t> </w:t>
      </w:r>
      <w:r>
        <w:rPr>
          <w:color w:val="231F20"/>
        </w:rPr>
        <w:t>default</w:t>
      </w:r>
      <w:r>
        <w:rPr>
          <w:color w:val="231F20"/>
          <w:spacing w:val="12"/>
        </w:rPr>
        <w:t> </w:t>
      </w:r>
      <w:r>
        <w:rPr>
          <w:color w:val="231F20"/>
        </w:rPr>
        <w:t>value</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rPr>
        <w:t>lowest</w:t>
      </w:r>
      <w:r>
        <w:rPr>
          <w:color w:val="231F20"/>
          <w:spacing w:val="12"/>
        </w:rPr>
        <w:t> </w:t>
      </w:r>
      <w:r>
        <w:rPr>
          <w:color w:val="231F20"/>
        </w:rPr>
        <w:t>value</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spacing w:val="-2"/>
        </w:rPr>
        <w:t>chart.</w:t>
      </w:r>
    </w:p>
    <w:p>
      <w:pPr>
        <w:pStyle w:val="BodyText"/>
        <w:spacing w:line="213" w:lineRule="auto" w:before="53"/>
        <w:ind w:left="3167" w:right="636" w:hanging="216"/>
      </w:pPr>
      <w:r>
        <w:rPr>
          <w:rFonts w:ascii="Futura MdCn BT"/>
          <w:color w:val="231F20"/>
        </w:rPr>
        <w:t>v</w:t>
      </w:r>
      <w:r>
        <w:rPr>
          <w:rFonts w:ascii="Futura MdCn BT"/>
          <w:color w:val="231F20"/>
          <w:spacing w:val="80"/>
        </w:rPr>
        <w:t> </w:t>
      </w:r>
      <w:r>
        <w:rPr>
          <w:color w:val="231F20"/>
        </w:rPr>
        <w:t>In the </w:t>
      </w:r>
      <w:r>
        <w:rPr>
          <w:rFonts w:ascii="Book Antiqua"/>
          <w:b/>
          <w:color w:val="231F20"/>
        </w:rPr>
        <w:t>Line Style </w:t>
      </w:r>
      <w:r>
        <w:rPr>
          <w:color w:val="231F20"/>
        </w:rPr>
        <w:t>area, select the pattern, width, and color to use for </w:t>
      </w:r>
      <w:r>
        <w:rPr>
          <w:color w:val="231F20"/>
        </w:rPr>
        <w:t>the</w:t>
      </w:r>
      <w:r>
        <w:rPr>
          <w:color w:val="231F20"/>
          <w:spacing w:val="40"/>
        </w:rPr>
        <w:t> </w:t>
      </w:r>
      <w:r>
        <w:rPr>
          <w:color w:val="231F20"/>
        </w:rPr>
        <w:t>marker. Click </w:t>
      </w:r>
      <w:r>
        <w:rPr>
          <w:rFonts w:ascii="Book Antiqua"/>
          <w:b/>
          <w:color w:val="231F20"/>
        </w:rPr>
        <w:t>Custom Color </w:t>
      </w:r>
      <w:r>
        <w:rPr>
          <w:color w:val="231F20"/>
        </w:rPr>
        <w:t>to choose from a wider selection of colors</w:t>
      </w:r>
      <w:r>
        <w:rPr>
          <w:color w:val="231F20"/>
          <w:spacing w:val="80"/>
        </w:rPr>
        <w:t> </w:t>
      </w:r>
      <w:r>
        <w:rPr>
          <w:color w:val="231F20"/>
        </w:rPr>
        <w:t>or to create your own.</w:t>
      </w:r>
    </w:p>
    <w:p>
      <w:pPr>
        <w:pStyle w:val="Heading6"/>
        <w:spacing w:before="116"/>
        <w:ind w:left="2232"/>
      </w:pPr>
      <w:r>
        <w:rPr>
          <w:color w:val="231F20"/>
        </w:rPr>
        <w:t>Advanced</w:t>
      </w:r>
      <w:r>
        <w:rPr>
          <w:color w:val="231F20"/>
          <w:spacing w:val="6"/>
        </w:rPr>
        <w:t> </w:t>
      </w:r>
      <w:r>
        <w:rPr>
          <w:color w:val="231F20"/>
          <w:spacing w:val="-2"/>
        </w:rPr>
        <w:t>Options</w:t>
      </w:r>
    </w:p>
    <w:p>
      <w:pPr>
        <w:pStyle w:val="BodyText"/>
        <w:spacing w:line="213" w:lineRule="auto" w:before="12"/>
        <w:ind w:left="2951" w:right="385"/>
      </w:pPr>
      <w:r>
        <w:rPr>
          <w:color w:val="231F20"/>
        </w:rPr>
        <w:t>Click </w:t>
      </w:r>
      <w:r>
        <w:rPr>
          <w:rFonts w:ascii="Book Antiqua"/>
          <w:b/>
          <w:color w:val="231F20"/>
        </w:rPr>
        <w:t>Advanced Options </w:t>
      </w:r>
      <w:r>
        <w:rPr>
          <w:color w:val="231F20"/>
        </w:rPr>
        <w:t>to open the Chart Markers - Advanced options window, where you can configure additional options for how the marker </w:t>
      </w:r>
      <w:r>
        <w:rPr>
          <w:color w:val="231F20"/>
        </w:rPr>
        <w:t>is </w:t>
      </w:r>
      <w:r>
        <w:rPr>
          <w:color w:val="231F20"/>
          <w:spacing w:val="-2"/>
        </w:rPr>
        <w:t>displayed:</w:t>
      </w:r>
    </w:p>
    <w:p>
      <w:pPr>
        <w:spacing w:line="213" w:lineRule="auto" w:before="57"/>
        <w:ind w:left="3167" w:right="763"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Visible in legend </w:t>
      </w:r>
      <w:r>
        <w:rPr>
          <w:color w:val="231F20"/>
          <w:sz w:val="20"/>
        </w:rPr>
        <w:t>to identify the marker by name in the </w:t>
      </w:r>
      <w:r>
        <w:rPr>
          <w:color w:val="231F20"/>
          <w:sz w:val="20"/>
        </w:rPr>
        <w:t>legend</w:t>
      </w:r>
      <w:r>
        <w:rPr>
          <w:color w:val="231F20"/>
          <w:sz w:val="20"/>
        </w:rPr>
        <w:t> for the chart.</w:t>
      </w:r>
    </w:p>
    <w:p>
      <w:pPr>
        <w:pStyle w:val="BodyText"/>
        <w:spacing w:line="213" w:lineRule="auto" w:before="59"/>
        <w:ind w:left="3167" w:right="1104" w:hanging="216"/>
      </w:pPr>
      <w:r>
        <w:rPr>
          <w:rFonts w:ascii="Futura MdCn BT"/>
          <w:color w:val="231F20"/>
        </w:rPr>
        <w:t>v</w:t>
      </w:r>
      <w:r>
        <w:rPr>
          <w:rFonts w:ascii="Futura MdCn BT"/>
          <w:color w:val="231F20"/>
          <w:spacing w:val="80"/>
        </w:rPr>
        <w:t> </w:t>
      </w:r>
      <w:r>
        <w:rPr>
          <w:color w:val="231F20"/>
        </w:rPr>
        <w:t>Select </w:t>
      </w:r>
      <w:r>
        <w:rPr>
          <w:rFonts w:ascii="Book Antiqua"/>
          <w:b/>
          <w:color w:val="231F20"/>
        </w:rPr>
        <w:t>Included in data bounds </w:t>
      </w:r>
      <w:r>
        <w:rPr>
          <w:color w:val="231F20"/>
        </w:rPr>
        <w:t>to scale the chart so the marker </w:t>
      </w:r>
      <w:r>
        <w:rPr>
          <w:color w:val="231F20"/>
        </w:rPr>
        <w:t>is</w:t>
      </w:r>
      <w:r>
        <w:rPr>
          <w:color w:val="231F20"/>
        </w:rPr>
        <w:t> shown, even if it is not within the charted data values.</w:t>
      </w:r>
    </w:p>
    <w:p>
      <w:pPr>
        <w:pStyle w:val="BodyText"/>
        <w:spacing w:line="213" w:lineRule="auto" w:before="59"/>
        <w:ind w:left="3167" w:right="545" w:hanging="216"/>
      </w:pPr>
      <w:r>
        <w:rPr>
          <w:rFonts w:ascii="Futura MdCn BT"/>
          <w:color w:val="231F20"/>
        </w:rPr>
        <w:t>v</w:t>
      </w:r>
      <w:r>
        <w:rPr>
          <w:rFonts w:ascii="Futura MdCn BT"/>
          <w:color w:val="231F20"/>
          <w:spacing w:val="80"/>
        </w:rPr>
        <w:t> </w:t>
      </w:r>
      <w:r>
        <w:rPr>
          <w:color w:val="231F20"/>
        </w:rPr>
        <w:t>Select </w:t>
      </w:r>
      <w:r>
        <w:rPr>
          <w:rFonts w:ascii="Book Antiqua"/>
          <w:b/>
          <w:color w:val="231F20"/>
        </w:rPr>
        <w:t>Drawn before data </w:t>
      </w:r>
      <w:r>
        <w:rPr>
          <w:color w:val="231F20"/>
        </w:rPr>
        <w:t>to draw the marker first, so it is displayed</w:t>
      </w:r>
      <w:r>
        <w:rPr>
          <w:color w:val="231F20"/>
          <w:spacing w:val="40"/>
        </w:rPr>
        <w:t> </w:t>
      </w:r>
      <w:r>
        <w:rPr>
          <w:color w:val="231F20"/>
        </w:rPr>
        <w:t>behind the charted data. (By default, the marker is displayed in front </w:t>
      </w:r>
      <w:r>
        <w:rPr>
          <w:color w:val="231F20"/>
        </w:rPr>
        <w:t>of</w:t>
      </w:r>
      <w:r>
        <w:rPr>
          <w:color w:val="231F20"/>
        </w:rPr>
        <w:t> the data.)</w:t>
      </w:r>
    </w:p>
    <w:p>
      <w:pPr>
        <w:pStyle w:val="BodyText"/>
        <w:spacing w:line="213" w:lineRule="auto" w:before="57"/>
        <w:ind w:left="3167" w:right="763" w:hanging="216"/>
      </w:pPr>
      <w:r>
        <w:rPr>
          <w:rFonts w:ascii="Futura MdCn BT"/>
          <w:color w:val="231F20"/>
        </w:rPr>
        <w:t>v</w:t>
      </w:r>
      <w:r>
        <w:rPr>
          <w:rFonts w:ascii="Futura MdCn BT"/>
          <w:color w:val="231F20"/>
          <w:spacing w:val="80"/>
        </w:rPr>
        <w:t> </w:t>
      </w:r>
      <w:r>
        <w:rPr>
          <w:color w:val="231F20"/>
        </w:rPr>
        <w:t>In the </w:t>
      </w:r>
      <w:r>
        <w:rPr>
          <w:rFonts w:ascii="Book Antiqua"/>
          <w:b/>
          <w:color w:val="231F20"/>
        </w:rPr>
        <w:t>Chart label </w:t>
      </w:r>
      <w:r>
        <w:rPr>
          <w:color w:val="231F20"/>
        </w:rPr>
        <w:t>area, you can specify a textual label for the </w:t>
      </w:r>
      <w:r>
        <w:rPr>
          <w:color w:val="231F20"/>
        </w:rPr>
        <w:t>marker</w:t>
      </w:r>
      <w:r>
        <w:rPr>
          <w:color w:val="231F20"/>
          <w:spacing w:val="40"/>
        </w:rPr>
        <w:t> </w:t>
      </w:r>
      <w:r>
        <w:rPr>
          <w:color w:val="231F20"/>
        </w:rPr>
        <w:t>that is displayed within the chart.</w:t>
      </w:r>
    </w:p>
    <w:p>
      <w:pPr>
        <w:pStyle w:val="Heading5"/>
        <w:spacing w:before="219"/>
        <w:ind w:left="2232"/>
      </w:pPr>
      <w:r>
        <w:rPr>
          <w:color w:val="231F20"/>
          <w:spacing w:val="-2"/>
        </w:rPr>
        <w:t>Scale</w:t>
      </w:r>
    </w:p>
    <w:p>
      <w:pPr>
        <w:pStyle w:val="BodyText"/>
        <w:spacing w:before="222"/>
        <w:ind w:left="2232"/>
      </w:pPr>
      <w:r>
        <w:rPr>
          <w:color w:val="231F20"/>
        </w:rPr>
        <w:t>These</w:t>
      </w:r>
      <w:r>
        <w:rPr>
          <w:color w:val="231F20"/>
          <w:spacing w:val="10"/>
        </w:rPr>
        <w:t> </w:t>
      </w:r>
      <w:r>
        <w:rPr>
          <w:color w:val="231F20"/>
        </w:rPr>
        <w:t>options</w:t>
      </w:r>
      <w:r>
        <w:rPr>
          <w:color w:val="231F20"/>
          <w:spacing w:val="10"/>
        </w:rPr>
        <w:t> </w:t>
      </w:r>
      <w:r>
        <w:rPr>
          <w:color w:val="231F20"/>
        </w:rPr>
        <w:t>are</w:t>
      </w:r>
      <w:r>
        <w:rPr>
          <w:color w:val="231F20"/>
          <w:spacing w:val="10"/>
        </w:rPr>
        <w:t> </w:t>
      </w:r>
      <w:r>
        <w:rPr>
          <w:color w:val="231F20"/>
        </w:rPr>
        <w:t>available</w:t>
      </w:r>
      <w:r>
        <w:rPr>
          <w:color w:val="231F20"/>
          <w:spacing w:val="10"/>
        </w:rPr>
        <w:t> </w:t>
      </w:r>
      <w:r>
        <w:rPr>
          <w:color w:val="231F20"/>
        </w:rPr>
        <w:t>for</w:t>
      </w:r>
      <w:r>
        <w:rPr>
          <w:color w:val="231F20"/>
          <w:spacing w:val="10"/>
        </w:rPr>
        <w:t> </w:t>
      </w:r>
      <w:r>
        <w:rPr>
          <w:color w:val="231F20"/>
        </w:rPr>
        <w:t>circular</w:t>
      </w:r>
      <w:r>
        <w:rPr>
          <w:color w:val="231F20"/>
          <w:spacing w:val="10"/>
        </w:rPr>
        <w:t> </w:t>
      </w:r>
      <w:r>
        <w:rPr>
          <w:color w:val="231F20"/>
        </w:rPr>
        <w:t>gauge</w:t>
      </w:r>
      <w:r>
        <w:rPr>
          <w:color w:val="231F20"/>
          <w:spacing w:val="10"/>
        </w:rPr>
        <w:t> </w:t>
      </w:r>
      <w:r>
        <w:rPr>
          <w:color w:val="231F20"/>
        </w:rPr>
        <w:t>and</w:t>
      </w:r>
      <w:r>
        <w:rPr>
          <w:color w:val="231F20"/>
          <w:spacing w:val="10"/>
        </w:rPr>
        <w:t> </w:t>
      </w:r>
      <w:r>
        <w:rPr>
          <w:color w:val="231F20"/>
        </w:rPr>
        <w:t>linear</w:t>
      </w:r>
      <w:r>
        <w:rPr>
          <w:color w:val="231F20"/>
          <w:spacing w:val="10"/>
        </w:rPr>
        <w:t> </w:t>
      </w:r>
      <w:r>
        <w:rPr>
          <w:color w:val="231F20"/>
        </w:rPr>
        <w:t>gauge</w:t>
      </w:r>
      <w:r>
        <w:rPr>
          <w:color w:val="231F20"/>
          <w:spacing w:val="11"/>
        </w:rPr>
        <w:t> </w:t>
      </w:r>
      <w:r>
        <w:rPr>
          <w:color w:val="231F20"/>
          <w:spacing w:val="-2"/>
        </w:rPr>
        <w:t>charts.</w:t>
      </w:r>
    </w:p>
    <w:p>
      <w:pPr>
        <w:pStyle w:val="Heading6"/>
        <w:spacing w:before="112"/>
        <w:ind w:left="2232"/>
      </w:pPr>
      <w:r>
        <w:rPr>
          <w:color w:val="231F20"/>
        </w:rPr>
        <w:t>Type</w:t>
      </w:r>
      <w:r>
        <w:rPr>
          <w:color w:val="231F20"/>
          <w:spacing w:val="2"/>
        </w:rPr>
        <w:t> </w:t>
      </w:r>
      <w:r>
        <w:rPr>
          <w:color w:val="231F20"/>
        </w:rPr>
        <w:t>and</w:t>
      </w:r>
      <w:r>
        <w:rPr>
          <w:color w:val="231F20"/>
          <w:spacing w:val="3"/>
        </w:rPr>
        <w:t> </w:t>
      </w:r>
      <w:r>
        <w:rPr>
          <w:color w:val="231F20"/>
          <w:spacing w:val="-2"/>
        </w:rPr>
        <w:t>Orientation</w:t>
      </w:r>
    </w:p>
    <w:p>
      <w:pPr>
        <w:pStyle w:val="BodyText"/>
        <w:spacing w:line="213" w:lineRule="auto" w:before="11"/>
        <w:ind w:left="2951" w:right="545"/>
      </w:pPr>
      <w:r>
        <w:rPr>
          <w:color w:val="231F20"/>
        </w:rPr>
        <w:t>Change the </w:t>
      </w:r>
      <w:r>
        <w:rPr>
          <w:rFonts w:ascii="Book Antiqua"/>
          <w:b/>
          <w:color w:val="231F20"/>
        </w:rPr>
        <w:t>Type </w:t>
      </w:r>
      <w:r>
        <w:rPr>
          <w:color w:val="231F20"/>
        </w:rPr>
        <w:t>of a circular gauge chart to determine whether the </w:t>
      </w:r>
      <w:r>
        <w:rPr>
          <w:color w:val="231F20"/>
        </w:rPr>
        <w:t>gauge be rendered as a quarter, half, or full circle, and which direction the gauge will be oriented in. Change the </w:t>
      </w:r>
      <w:r>
        <w:rPr>
          <w:rFonts w:ascii="Book Antiqua"/>
          <w:b/>
          <w:color w:val="231F20"/>
        </w:rPr>
        <w:t>Orientation </w:t>
      </w:r>
      <w:r>
        <w:rPr>
          <w:color w:val="231F20"/>
        </w:rPr>
        <w:t>of a linear gauge chart to determine whether the gauge will be rendered horizontally or vertically.</w:t>
      </w:r>
    </w:p>
    <w:p>
      <w:pPr>
        <w:spacing w:after="0" w:line="213" w:lineRule="auto"/>
        <w:sectPr>
          <w:pgSz w:w="12240" w:h="15840"/>
          <w:pgMar w:header="0" w:footer="736" w:top="1180" w:bottom="920" w:left="1000" w:right="1060"/>
        </w:sectPr>
      </w:pPr>
    </w:p>
    <w:p>
      <w:pPr>
        <w:tabs>
          <w:tab w:pos="3190" w:val="left" w:leader="none"/>
        </w:tabs>
        <w:spacing w:line="213" w:lineRule="auto" w:before="85"/>
        <w:ind w:left="3190" w:right="274" w:hanging="719"/>
        <w:jc w:val="left"/>
        <w:rPr>
          <w:sz w:val="20"/>
        </w:rPr>
      </w:pPr>
      <w:bookmarkStart w:name="_bookmark90" w:id="196"/>
      <w:bookmarkEnd w:id="196"/>
      <w:r>
        <w:rPr/>
      </w:r>
      <w:r>
        <w:rPr>
          <w:rFonts w:ascii="Book Antiqua"/>
          <w:b/>
          <w:color w:val="231F20"/>
          <w:spacing w:val="-2"/>
          <w:sz w:val="20"/>
        </w:rPr>
        <w:t>Color</w:t>
      </w:r>
      <w:r>
        <w:rPr>
          <w:rFonts w:ascii="Book Antiqua"/>
          <w:b/>
          <w:color w:val="231F20"/>
          <w:sz w:val="20"/>
        </w:rPr>
        <w:tab/>
      </w:r>
      <w:r>
        <w:rPr>
          <w:color w:val="231F20"/>
          <w:sz w:val="20"/>
        </w:rPr>
        <w:t>Click </w:t>
      </w:r>
      <w:r>
        <w:rPr>
          <w:rFonts w:ascii="Book Antiqua"/>
          <w:b/>
          <w:color w:val="231F20"/>
          <w:sz w:val="20"/>
        </w:rPr>
        <w:t>Custom Colors </w:t>
      </w:r>
      <w:r>
        <w:rPr>
          <w:color w:val="231F20"/>
          <w:sz w:val="20"/>
        </w:rPr>
        <w:t>to choose from a wider selection of colors or to create your own.</w:t>
      </w:r>
    </w:p>
    <w:p>
      <w:pPr>
        <w:pStyle w:val="Heading5"/>
      </w:pPr>
      <w:r>
        <w:rPr>
          <w:color w:val="231F20"/>
          <w:spacing w:val="-2"/>
        </w:rPr>
        <w:t>Center</w:t>
      </w:r>
    </w:p>
    <w:p>
      <w:pPr>
        <w:pStyle w:val="BodyText"/>
        <w:spacing w:before="223"/>
        <w:ind w:left="2472"/>
      </w:pPr>
      <w:r>
        <w:rPr>
          <w:color w:val="231F20"/>
        </w:rPr>
        <w:t>These</w:t>
      </w:r>
      <w:r>
        <w:rPr>
          <w:color w:val="231F20"/>
          <w:spacing w:val="9"/>
        </w:rPr>
        <w:t> </w:t>
      </w:r>
      <w:r>
        <w:rPr>
          <w:color w:val="231F20"/>
        </w:rPr>
        <w:t>options</w:t>
      </w:r>
      <w:r>
        <w:rPr>
          <w:color w:val="231F20"/>
          <w:spacing w:val="10"/>
        </w:rPr>
        <w:t> </w:t>
      </w:r>
      <w:r>
        <w:rPr>
          <w:color w:val="231F20"/>
        </w:rPr>
        <w:t>are</w:t>
      </w:r>
      <w:r>
        <w:rPr>
          <w:color w:val="231F20"/>
          <w:spacing w:val="9"/>
        </w:rPr>
        <w:t> </w:t>
      </w:r>
      <w:r>
        <w:rPr>
          <w:color w:val="231F20"/>
        </w:rPr>
        <w:t>available</w:t>
      </w:r>
      <w:r>
        <w:rPr>
          <w:color w:val="231F20"/>
          <w:spacing w:val="10"/>
        </w:rPr>
        <w:t> </w:t>
      </w:r>
      <w:r>
        <w:rPr>
          <w:color w:val="231F20"/>
        </w:rPr>
        <w:t>for</w:t>
      </w:r>
      <w:r>
        <w:rPr>
          <w:color w:val="231F20"/>
          <w:spacing w:val="9"/>
        </w:rPr>
        <w:t> </w:t>
      </w:r>
      <w:r>
        <w:rPr>
          <w:color w:val="231F20"/>
        </w:rPr>
        <w:t>circular</w:t>
      </w:r>
      <w:r>
        <w:rPr>
          <w:color w:val="231F20"/>
          <w:spacing w:val="10"/>
        </w:rPr>
        <w:t> </w:t>
      </w:r>
      <w:r>
        <w:rPr>
          <w:color w:val="231F20"/>
        </w:rPr>
        <w:t>gauge</w:t>
      </w:r>
      <w:r>
        <w:rPr>
          <w:color w:val="231F20"/>
          <w:spacing w:val="9"/>
        </w:rPr>
        <w:t> </w:t>
      </w:r>
      <w:r>
        <w:rPr>
          <w:color w:val="231F20"/>
          <w:spacing w:val="-2"/>
        </w:rPr>
        <w:t>charts.</w:t>
      </w:r>
    </w:p>
    <w:p>
      <w:pPr>
        <w:pStyle w:val="Heading6"/>
        <w:spacing w:before="111"/>
      </w:pPr>
      <w:r>
        <w:rPr>
          <w:color w:val="231F20"/>
        </w:rPr>
        <w:t>Show</w:t>
      </w:r>
      <w:r>
        <w:rPr>
          <w:color w:val="231F20"/>
          <w:spacing w:val="10"/>
        </w:rPr>
        <w:t> </w:t>
      </w:r>
      <w:r>
        <w:rPr>
          <w:color w:val="231F20"/>
          <w:spacing w:val="-2"/>
        </w:rPr>
        <w:t>Center</w:t>
      </w:r>
    </w:p>
    <w:p>
      <w:pPr>
        <w:pStyle w:val="BodyText"/>
        <w:spacing w:line="213" w:lineRule="auto" w:before="11"/>
        <w:ind w:left="3190" w:right="545"/>
      </w:pPr>
      <w:r>
        <w:rPr>
          <w:color w:val="231F20"/>
        </w:rPr>
        <w:t>Click </w:t>
      </w:r>
      <w:r>
        <w:rPr>
          <w:rFonts w:ascii="Book Antiqua"/>
          <w:b/>
          <w:color w:val="231F20"/>
        </w:rPr>
        <w:t>Show Center </w:t>
      </w:r>
      <w:r>
        <w:rPr>
          <w:color w:val="231F20"/>
        </w:rPr>
        <w:t>to display the center of the gauge. You can hide </w:t>
      </w:r>
      <w:r>
        <w:rPr>
          <w:color w:val="231F20"/>
        </w:rPr>
        <w:t>the center by deselecting this check box.</w:t>
      </w:r>
    </w:p>
    <w:p>
      <w:pPr>
        <w:pStyle w:val="BodyText"/>
        <w:tabs>
          <w:tab w:pos="3190" w:val="left" w:leader="none"/>
        </w:tabs>
        <w:spacing w:line="213" w:lineRule="auto" w:before="119"/>
        <w:ind w:left="3190" w:right="274" w:hanging="719"/>
      </w:pPr>
      <w:r>
        <w:rPr>
          <w:rFonts w:ascii="Book Antiqua"/>
          <w:b/>
          <w:color w:val="231F20"/>
          <w:spacing w:val="-2"/>
        </w:rPr>
        <w:t>Color</w:t>
      </w:r>
      <w:r>
        <w:rPr>
          <w:rFonts w:ascii="Book Antiqua"/>
          <w:b/>
          <w:color w:val="231F20"/>
        </w:rPr>
        <w:tab/>
      </w:r>
      <w:r>
        <w:rPr>
          <w:color w:val="231F20"/>
        </w:rPr>
        <w:t>Select the color to use for the center. Click </w:t>
      </w:r>
      <w:r>
        <w:rPr>
          <w:rFonts w:ascii="Book Antiqua"/>
          <w:b/>
          <w:color w:val="231F20"/>
        </w:rPr>
        <w:t>Custom Color </w:t>
      </w:r>
      <w:r>
        <w:rPr>
          <w:color w:val="231F20"/>
        </w:rPr>
        <w:t>to choose from a wider selection of colors or to create your own.</w:t>
      </w:r>
    </w:p>
    <w:p>
      <w:pPr>
        <w:pStyle w:val="Heading5"/>
      </w:pPr>
      <w:r>
        <w:rPr>
          <w:color w:val="231F20"/>
          <w:spacing w:val="-2"/>
        </w:rPr>
        <w:t>Needle</w:t>
      </w:r>
    </w:p>
    <w:p>
      <w:pPr>
        <w:pStyle w:val="BodyText"/>
        <w:spacing w:before="223"/>
        <w:ind w:left="2472"/>
      </w:pPr>
      <w:r>
        <w:rPr>
          <w:color w:val="231F20"/>
        </w:rPr>
        <w:t>These</w:t>
      </w:r>
      <w:r>
        <w:rPr>
          <w:color w:val="231F20"/>
          <w:spacing w:val="10"/>
        </w:rPr>
        <w:t> </w:t>
      </w:r>
      <w:r>
        <w:rPr>
          <w:color w:val="231F20"/>
        </w:rPr>
        <w:t>options</w:t>
      </w:r>
      <w:r>
        <w:rPr>
          <w:color w:val="231F20"/>
          <w:spacing w:val="10"/>
        </w:rPr>
        <w:t> </w:t>
      </w:r>
      <w:r>
        <w:rPr>
          <w:color w:val="231F20"/>
        </w:rPr>
        <w:t>are</w:t>
      </w:r>
      <w:r>
        <w:rPr>
          <w:color w:val="231F20"/>
          <w:spacing w:val="10"/>
        </w:rPr>
        <w:t> </w:t>
      </w:r>
      <w:r>
        <w:rPr>
          <w:color w:val="231F20"/>
        </w:rPr>
        <w:t>available</w:t>
      </w:r>
      <w:r>
        <w:rPr>
          <w:color w:val="231F20"/>
          <w:spacing w:val="10"/>
        </w:rPr>
        <w:t> </w:t>
      </w:r>
      <w:r>
        <w:rPr>
          <w:color w:val="231F20"/>
        </w:rPr>
        <w:t>for</w:t>
      </w:r>
      <w:r>
        <w:rPr>
          <w:color w:val="231F20"/>
          <w:spacing w:val="10"/>
        </w:rPr>
        <w:t> </w:t>
      </w:r>
      <w:r>
        <w:rPr>
          <w:color w:val="231F20"/>
        </w:rPr>
        <w:t>circular</w:t>
      </w:r>
      <w:r>
        <w:rPr>
          <w:color w:val="231F20"/>
          <w:spacing w:val="10"/>
        </w:rPr>
        <w:t> </w:t>
      </w:r>
      <w:r>
        <w:rPr>
          <w:color w:val="231F20"/>
        </w:rPr>
        <w:t>gauge</w:t>
      </w:r>
      <w:r>
        <w:rPr>
          <w:color w:val="231F20"/>
          <w:spacing w:val="10"/>
        </w:rPr>
        <w:t> </w:t>
      </w:r>
      <w:r>
        <w:rPr>
          <w:color w:val="231F20"/>
        </w:rPr>
        <w:t>and</w:t>
      </w:r>
      <w:r>
        <w:rPr>
          <w:color w:val="231F20"/>
          <w:spacing w:val="10"/>
        </w:rPr>
        <w:t> </w:t>
      </w:r>
      <w:r>
        <w:rPr>
          <w:color w:val="231F20"/>
        </w:rPr>
        <w:t>linear</w:t>
      </w:r>
      <w:r>
        <w:rPr>
          <w:color w:val="231F20"/>
          <w:spacing w:val="10"/>
        </w:rPr>
        <w:t> </w:t>
      </w:r>
      <w:r>
        <w:rPr>
          <w:color w:val="231F20"/>
        </w:rPr>
        <w:t>gauge</w:t>
      </w:r>
      <w:r>
        <w:rPr>
          <w:color w:val="231F20"/>
          <w:spacing w:val="11"/>
        </w:rPr>
        <w:t> </w:t>
      </w:r>
      <w:r>
        <w:rPr>
          <w:color w:val="231F20"/>
          <w:spacing w:val="-2"/>
        </w:rPr>
        <w:t>charts.</w:t>
      </w:r>
    </w:p>
    <w:p>
      <w:pPr>
        <w:pStyle w:val="BodyText"/>
        <w:tabs>
          <w:tab w:pos="3190" w:val="left" w:leader="none"/>
        </w:tabs>
        <w:spacing w:line="213" w:lineRule="auto" w:before="112"/>
        <w:ind w:left="3190" w:right="274" w:hanging="719"/>
      </w:pPr>
      <w:r>
        <w:rPr>
          <w:rFonts w:ascii="Book Antiqua"/>
          <w:b/>
          <w:color w:val="231F20"/>
          <w:spacing w:val="-2"/>
        </w:rPr>
        <w:t>Style</w:t>
      </w:r>
      <w:r>
        <w:rPr>
          <w:rFonts w:ascii="Book Antiqua"/>
          <w:b/>
          <w:color w:val="231F20"/>
        </w:rPr>
        <w:tab/>
      </w:r>
      <w:r>
        <w:rPr>
          <w:color w:val="231F20"/>
        </w:rPr>
        <w:t>Change the </w:t>
      </w:r>
      <w:r>
        <w:rPr>
          <w:rFonts w:ascii="Book Antiqua"/>
          <w:b/>
          <w:color w:val="231F20"/>
        </w:rPr>
        <w:t>Style </w:t>
      </w:r>
      <w:r>
        <w:rPr>
          <w:color w:val="231F20"/>
        </w:rPr>
        <w:t>of the needle to determine the shape of the needle on </w:t>
      </w:r>
      <w:r>
        <w:rPr>
          <w:color w:val="231F20"/>
        </w:rPr>
        <w:t>the rendered gauge. The available options are arrow, pointer, rectangle, tailed arrow, tailed pointer, and triangle. The default type is line.</w:t>
      </w:r>
    </w:p>
    <w:p>
      <w:pPr>
        <w:pStyle w:val="Heading6"/>
      </w:pPr>
      <w:r>
        <w:rPr>
          <w:color w:val="231F20"/>
          <w:spacing w:val="-2"/>
        </w:rPr>
        <w:t>Length</w:t>
      </w:r>
    </w:p>
    <w:p>
      <w:pPr>
        <w:pStyle w:val="BodyText"/>
        <w:spacing w:line="213" w:lineRule="auto" w:before="11"/>
        <w:ind w:left="3190"/>
      </w:pPr>
      <w:r>
        <w:rPr>
          <w:color w:val="231F20"/>
        </w:rPr>
        <w:t>Change the </w:t>
      </w:r>
      <w:r>
        <w:rPr>
          <w:rFonts w:ascii="Book Antiqua"/>
          <w:b/>
          <w:color w:val="231F20"/>
        </w:rPr>
        <w:t>Length </w:t>
      </w:r>
      <w:r>
        <w:rPr>
          <w:color w:val="231F20"/>
        </w:rPr>
        <w:t>of the needle to determine its span across the rendered gauge. This is displayed as a sliding scale.</w:t>
      </w:r>
    </w:p>
    <w:p>
      <w:pPr>
        <w:pStyle w:val="BodyText"/>
        <w:spacing w:line="213" w:lineRule="auto" w:before="118"/>
        <w:ind w:left="3190" w:right="493" w:hanging="719"/>
      </w:pPr>
      <w:r>
        <w:rPr>
          <w:rFonts w:ascii="Book Antiqua"/>
          <w:b/>
          <w:color w:val="231F20"/>
        </w:rPr>
        <w:t>Width</w:t>
      </w:r>
      <w:r>
        <w:rPr>
          <w:rFonts w:ascii="Book Antiqua"/>
          <w:b/>
          <w:color w:val="231F20"/>
          <w:spacing w:val="80"/>
        </w:rPr>
        <w:t> </w:t>
      </w:r>
      <w:r>
        <w:rPr>
          <w:color w:val="231F20"/>
        </w:rPr>
        <w:t>Change the </w:t>
      </w:r>
      <w:r>
        <w:rPr>
          <w:rFonts w:ascii="Book Antiqua"/>
          <w:b/>
          <w:color w:val="231F20"/>
        </w:rPr>
        <w:t>Width </w:t>
      </w:r>
      <w:r>
        <w:rPr>
          <w:color w:val="231F20"/>
        </w:rPr>
        <w:t>of the needle to determine its width on the rendered gauge. This is displayed as a sliding scale.</w:t>
      </w:r>
    </w:p>
    <w:p>
      <w:pPr>
        <w:pStyle w:val="BodyText"/>
        <w:tabs>
          <w:tab w:pos="3190" w:val="left" w:leader="none"/>
        </w:tabs>
        <w:spacing w:line="213" w:lineRule="auto" w:before="119"/>
        <w:ind w:left="3190" w:right="385" w:hanging="719"/>
      </w:pPr>
      <w:r>
        <w:rPr>
          <w:rFonts w:ascii="Book Antiqua"/>
          <w:b/>
          <w:color w:val="231F20"/>
          <w:spacing w:val="-2"/>
        </w:rPr>
        <w:t>Color</w:t>
      </w:r>
      <w:r>
        <w:rPr>
          <w:rFonts w:ascii="Book Antiqua"/>
          <w:b/>
          <w:color w:val="231F20"/>
        </w:rPr>
        <w:tab/>
      </w:r>
      <w:r>
        <w:rPr>
          <w:color w:val="231F20"/>
        </w:rPr>
        <w:t>Select the color to use for the needle. Click </w:t>
      </w:r>
      <w:r>
        <w:rPr>
          <w:rFonts w:ascii="Book Antiqua"/>
          <w:b/>
          <w:color w:val="231F20"/>
        </w:rPr>
        <w:t>Custom Color </w:t>
      </w:r>
      <w:r>
        <w:rPr>
          <w:color w:val="231F20"/>
        </w:rPr>
        <w:t>to choose from </w:t>
      </w:r>
      <w:r>
        <w:rPr>
          <w:color w:val="231F20"/>
        </w:rPr>
        <w:t>a wider selection of colors or to create your own.</w:t>
      </w:r>
    </w:p>
    <w:p>
      <w:pPr>
        <w:pStyle w:val="Heading5"/>
      </w:pPr>
      <w:r>
        <w:rPr>
          <w:color w:val="231F20"/>
          <w:spacing w:val="-4"/>
        </w:rPr>
        <w:t>Tick</w:t>
      </w:r>
    </w:p>
    <w:p>
      <w:pPr>
        <w:pStyle w:val="BodyText"/>
        <w:spacing w:before="223"/>
        <w:ind w:left="2472"/>
      </w:pPr>
      <w:r>
        <w:rPr>
          <w:color w:val="231F20"/>
        </w:rPr>
        <w:t>These</w:t>
      </w:r>
      <w:r>
        <w:rPr>
          <w:color w:val="231F20"/>
          <w:spacing w:val="10"/>
        </w:rPr>
        <w:t> </w:t>
      </w:r>
      <w:r>
        <w:rPr>
          <w:color w:val="231F20"/>
        </w:rPr>
        <w:t>options</w:t>
      </w:r>
      <w:r>
        <w:rPr>
          <w:color w:val="231F20"/>
          <w:spacing w:val="10"/>
        </w:rPr>
        <w:t> </w:t>
      </w:r>
      <w:r>
        <w:rPr>
          <w:color w:val="231F20"/>
        </w:rPr>
        <w:t>are</w:t>
      </w:r>
      <w:r>
        <w:rPr>
          <w:color w:val="231F20"/>
          <w:spacing w:val="10"/>
        </w:rPr>
        <w:t> </w:t>
      </w:r>
      <w:r>
        <w:rPr>
          <w:color w:val="231F20"/>
        </w:rPr>
        <w:t>available</w:t>
      </w:r>
      <w:r>
        <w:rPr>
          <w:color w:val="231F20"/>
          <w:spacing w:val="10"/>
        </w:rPr>
        <w:t> </w:t>
      </w:r>
      <w:r>
        <w:rPr>
          <w:color w:val="231F20"/>
        </w:rPr>
        <w:t>for</w:t>
      </w:r>
      <w:r>
        <w:rPr>
          <w:color w:val="231F20"/>
          <w:spacing w:val="10"/>
        </w:rPr>
        <w:t> </w:t>
      </w:r>
      <w:r>
        <w:rPr>
          <w:color w:val="231F20"/>
        </w:rPr>
        <w:t>circular</w:t>
      </w:r>
      <w:r>
        <w:rPr>
          <w:color w:val="231F20"/>
          <w:spacing w:val="10"/>
        </w:rPr>
        <w:t> </w:t>
      </w:r>
      <w:r>
        <w:rPr>
          <w:color w:val="231F20"/>
        </w:rPr>
        <w:t>gauge</w:t>
      </w:r>
      <w:r>
        <w:rPr>
          <w:color w:val="231F20"/>
          <w:spacing w:val="10"/>
        </w:rPr>
        <w:t> </w:t>
      </w:r>
      <w:r>
        <w:rPr>
          <w:color w:val="231F20"/>
        </w:rPr>
        <w:t>and</w:t>
      </w:r>
      <w:r>
        <w:rPr>
          <w:color w:val="231F20"/>
          <w:spacing w:val="10"/>
        </w:rPr>
        <w:t> </w:t>
      </w:r>
      <w:r>
        <w:rPr>
          <w:color w:val="231F20"/>
        </w:rPr>
        <w:t>linear</w:t>
      </w:r>
      <w:r>
        <w:rPr>
          <w:color w:val="231F20"/>
          <w:spacing w:val="10"/>
        </w:rPr>
        <w:t> </w:t>
      </w:r>
      <w:r>
        <w:rPr>
          <w:color w:val="231F20"/>
        </w:rPr>
        <w:t>gauge</w:t>
      </w:r>
      <w:r>
        <w:rPr>
          <w:color w:val="231F20"/>
          <w:spacing w:val="11"/>
        </w:rPr>
        <w:t> </w:t>
      </w:r>
      <w:r>
        <w:rPr>
          <w:color w:val="231F20"/>
          <w:spacing w:val="-2"/>
        </w:rPr>
        <w:t>charts.</w:t>
      </w:r>
    </w:p>
    <w:p>
      <w:pPr>
        <w:pStyle w:val="BodyText"/>
        <w:tabs>
          <w:tab w:pos="3190" w:val="left" w:leader="none"/>
        </w:tabs>
        <w:spacing w:line="213" w:lineRule="auto" w:before="112"/>
        <w:ind w:left="3190" w:right="636" w:hanging="719"/>
      </w:pPr>
      <w:r>
        <w:rPr>
          <w:rFonts w:ascii="Book Antiqua"/>
          <w:b/>
          <w:color w:val="231F20"/>
          <w:spacing w:val="-4"/>
        </w:rPr>
        <w:t>Type</w:t>
      </w:r>
      <w:r>
        <w:rPr>
          <w:rFonts w:ascii="Book Antiqua"/>
          <w:b/>
          <w:color w:val="231F20"/>
        </w:rPr>
        <w:tab/>
      </w:r>
      <w:r>
        <w:rPr>
          <w:color w:val="231F20"/>
        </w:rPr>
        <w:t>Change the </w:t>
      </w:r>
      <w:r>
        <w:rPr>
          <w:rFonts w:ascii="Book Antiqua"/>
          <w:b/>
          <w:color w:val="231F20"/>
        </w:rPr>
        <w:t>Type </w:t>
      </w:r>
      <w:r>
        <w:rPr>
          <w:color w:val="231F20"/>
        </w:rPr>
        <w:t>of the tick marks to determine their shape on the rendered gauge. The available options are circle, line, rectangle, reverse triangle, and triangle. The default type is line.</w:t>
      </w:r>
    </w:p>
    <w:p>
      <w:pPr>
        <w:pStyle w:val="Heading6"/>
      </w:pPr>
      <w:r>
        <w:rPr>
          <w:color w:val="231F20"/>
        </w:rPr>
        <w:t>Tick</w:t>
      </w:r>
      <w:r>
        <w:rPr>
          <w:color w:val="231F20"/>
          <w:spacing w:val="5"/>
        </w:rPr>
        <w:t> </w:t>
      </w:r>
      <w:r>
        <w:rPr>
          <w:color w:val="231F20"/>
        </w:rPr>
        <w:t>Mark</w:t>
      </w:r>
      <w:r>
        <w:rPr>
          <w:color w:val="231F20"/>
          <w:spacing w:val="6"/>
        </w:rPr>
        <w:t> </w:t>
      </w:r>
      <w:r>
        <w:rPr>
          <w:color w:val="231F20"/>
          <w:spacing w:val="-2"/>
        </w:rPr>
        <w:t>Color</w:t>
      </w:r>
    </w:p>
    <w:p>
      <w:pPr>
        <w:pStyle w:val="BodyText"/>
        <w:spacing w:line="213" w:lineRule="auto" w:before="11"/>
        <w:ind w:left="3190" w:right="493"/>
      </w:pPr>
      <w:r>
        <w:rPr>
          <w:color w:val="231F20"/>
        </w:rPr>
        <w:t>Select the color to use for the tick marks. Click </w:t>
      </w:r>
      <w:r>
        <w:rPr>
          <w:rFonts w:ascii="Book Antiqua"/>
          <w:b/>
          <w:color w:val="231F20"/>
        </w:rPr>
        <w:t>Custom Colors </w:t>
      </w:r>
      <w:r>
        <w:rPr>
          <w:color w:val="231F20"/>
        </w:rPr>
        <w:t>to </w:t>
      </w:r>
      <w:r>
        <w:rPr>
          <w:color w:val="231F20"/>
        </w:rPr>
        <w:t>choose from a wider selection of colors or to create your own.</w:t>
      </w:r>
    </w:p>
    <w:p>
      <w:pPr>
        <w:pStyle w:val="BodyText"/>
        <w:tabs>
          <w:tab w:pos="3190" w:val="left" w:leader="none"/>
        </w:tabs>
        <w:spacing w:line="211" w:lineRule="auto" w:before="125"/>
        <w:ind w:left="3190" w:right="385" w:hanging="719"/>
      </w:pPr>
      <w:r>
        <w:rPr>
          <w:rFonts w:ascii="Book Antiqua"/>
          <w:b/>
          <w:color w:val="231F20"/>
          <w:spacing w:val="-2"/>
        </w:rPr>
        <w:t>Label</w:t>
      </w:r>
      <w:r>
        <w:rPr>
          <w:rFonts w:ascii="Book Antiqua"/>
          <w:b/>
          <w:color w:val="231F20"/>
        </w:rPr>
        <w:tab/>
      </w:r>
      <w:r>
        <w:rPr>
          <w:color w:val="231F20"/>
        </w:rPr>
        <w:t>You can click </w:t>
      </w:r>
      <w:r>
        <w:rPr>
          <w:color w:val="231F20"/>
          <w:spacing w:val="16"/>
        </w:rPr>
        <w:drawing>
          <wp:inline distT="0" distB="0" distL="0" distR="0">
            <wp:extent cx="82550" cy="82550"/>
            <wp:effectExtent l="0" t="0" r="0" b="0"/>
            <wp:docPr id="1202" name="Image 1202"/>
            <wp:cNvGraphicFramePr>
              <a:graphicFrameLocks/>
            </wp:cNvGraphicFramePr>
            <a:graphic>
              <a:graphicData uri="http://schemas.openxmlformats.org/drawingml/2006/picture">
                <pic:pic>
                  <pic:nvPicPr>
                    <pic:cNvPr id="1202" name="Image 120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Show Tick Labels </w:t>
      </w:r>
      <w:r>
        <w:rPr>
          <w:color w:val="231F20"/>
        </w:rPr>
        <w:t>to turn off the range number that is displayed next to the tick mark. You can also select the color to use for the labels. Click </w:t>
      </w:r>
      <w:r>
        <w:rPr>
          <w:rFonts w:ascii="Book Antiqua"/>
          <w:b/>
          <w:color w:val="231F20"/>
        </w:rPr>
        <w:t>Custom Color </w:t>
      </w:r>
      <w:r>
        <w:rPr>
          <w:color w:val="231F20"/>
        </w:rPr>
        <w:t>to choose from a wider selection of colors or to create your own.</w:t>
      </w:r>
    </w:p>
    <w:p>
      <w:pPr>
        <w:pStyle w:val="Heading5"/>
        <w:spacing w:before="221"/>
      </w:pPr>
      <w:r>
        <w:rPr>
          <w:color w:val="231F20"/>
          <w:spacing w:val="-2"/>
        </w:rPr>
        <w:t>Range</w:t>
      </w:r>
    </w:p>
    <w:p>
      <w:pPr>
        <w:pStyle w:val="BodyText"/>
        <w:spacing w:before="223"/>
        <w:ind w:left="2472"/>
      </w:pPr>
      <w:r>
        <w:rPr>
          <w:color w:val="231F20"/>
        </w:rPr>
        <w:t>These</w:t>
      </w:r>
      <w:r>
        <w:rPr>
          <w:color w:val="231F20"/>
          <w:spacing w:val="10"/>
        </w:rPr>
        <w:t> </w:t>
      </w:r>
      <w:r>
        <w:rPr>
          <w:color w:val="231F20"/>
        </w:rPr>
        <w:t>options</w:t>
      </w:r>
      <w:r>
        <w:rPr>
          <w:color w:val="231F20"/>
          <w:spacing w:val="10"/>
        </w:rPr>
        <w:t> </w:t>
      </w:r>
      <w:r>
        <w:rPr>
          <w:color w:val="231F20"/>
        </w:rPr>
        <w:t>are</w:t>
      </w:r>
      <w:r>
        <w:rPr>
          <w:color w:val="231F20"/>
          <w:spacing w:val="10"/>
        </w:rPr>
        <w:t> </w:t>
      </w:r>
      <w:r>
        <w:rPr>
          <w:color w:val="231F20"/>
        </w:rPr>
        <w:t>available</w:t>
      </w:r>
      <w:r>
        <w:rPr>
          <w:color w:val="231F20"/>
          <w:spacing w:val="10"/>
        </w:rPr>
        <w:t> </w:t>
      </w:r>
      <w:r>
        <w:rPr>
          <w:color w:val="231F20"/>
        </w:rPr>
        <w:t>for</w:t>
      </w:r>
      <w:r>
        <w:rPr>
          <w:color w:val="231F20"/>
          <w:spacing w:val="10"/>
        </w:rPr>
        <w:t> </w:t>
      </w:r>
      <w:r>
        <w:rPr>
          <w:color w:val="231F20"/>
        </w:rPr>
        <w:t>circular</w:t>
      </w:r>
      <w:r>
        <w:rPr>
          <w:color w:val="231F20"/>
          <w:spacing w:val="10"/>
        </w:rPr>
        <w:t> </w:t>
      </w:r>
      <w:r>
        <w:rPr>
          <w:color w:val="231F20"/>
        </w:rPr>
        <w:t>gauge</w:t>
      </w:r>
      <w:r>
        <w:rPr>
          <w:color w:val="231F20"/>
          <w:spacing w:val="10"/>
        </w:rPr>
        <w:t> </w:t>
      </w:r>
      <w:r>
        <w:rPr>
          <w:color w:val="231F20"/>
        </w:rPr>
        <w:t>and</w:t>
      </w:r>
      <w:r>
        <w:rPr>
          <w:color w:val="231F20"/>
          <w:spacing w:val="10"/>
        </w:rPr>
        <w:t> </w:t>
      </w:r>
      <w:r>
        <w:rPr>
          <w:color w:val="231F20"/>
        </w:rPr>
        <w:t>linear</w:t>
      </w:r>
      <w:r>
        <w:rPr>
          <w:color w:val="231F20"/>
          <w:spacing w:val="10"/>
        </w:rPr>
        <w:t> </w:t>
      </w:r>
      <w:r>
        <w:rPr>
          <w:color w:val="231F20"/>
        </w:rPr>
        <w:t>gauge</w:t>
      </w:r>
      <w:r>
        <w:rPr>
          <w:color w:val="231F20"/>
          <w:spacing w:val="11"/>
        </w:rPr>
        <w:t> </w:t>
      </w:r>
      <w:r>
        <w:rPr>
          <w:color w:val="231F20"/>
          <w:spacing w:val="-2"/>
        </w:rPr>
        <w:t>charts.</w:t>
      </w:r>
    </w:p>
    <w:p>
      <w:pPr>
        <w:pStyle w:val="Heading6"/>
        <w:spacing w:before="111"/>
      </w:pPr>
      <w:r>
        <w:rPr>
          <w:color w:val="231F20"/>
          <w:spacing w:val="-2"/>
        </w:rPr>
        <w:t>Attribute</w:t>
      </w:r>
    </w:p>
    <w:p>
      <w:pPr>
        <w:pStyle w:val="BodyText"/>
        <w:spacing w:line="213" w:lineRule="auto" w:before="11"/>
        <w:ind w:left="3190" w:right="385"/>
      </w:pPr>
      <w:r>
        <w:rPr/>
        <w:drawing>
          <wp:anchor distT="0" distB="0" distL="0" distR="0" allowOverlap="1" layoutInCell="1" locked="0" behindDoc="0" simplePos="0" relativeHeight="15816704">
            <wp:simplePos x="0" y="0"/>
            <wp:positionH relativeFrom="page">
              <wp:posOffset>6848027</wp:posOffset>
            </wp:positionH>
            <wp:positionV relativeFrom="paragraph">
              <wp:posOffset>192402</wp:posOffset>
            </wp:positionV>
            <wp:extent cx="101600" cy="101600"/>
            <wp:effectExtent l="0" t="0" r="0" b="0"/>
            <wp:wrapNone/>
            <wp:docPr id="1203" name="Image 1203"/>
            <wp:cNvGraphicFramePr>
              <a:graphicFrameLocks/>
            </wp:cNvGraphicFramePr>
            <a:graphic>
              <a:graphicData uri="http://schemas.openxmlformats.org/drawingml/2006/picture">
                <pic:pic>
                  <pic:nvPicPr>
                    <pic:cNvPr id="1203" name="Image 1203"/>
                    <pic:cNvPicPr/>
                  </pic:nvPicPr>
                  <pic:blipFill>
                    <a:blip r:embed="rId75" cstate="print"/>
                    <a:stretch>
                      <a:fillRect/>
                    </a:stretch>
                  </pic:blipFill>
                  <pic:spPr>
                    <a:xfrm>
                      <a:off x="0" y="0"/>
                      <a:ext cx="101600" cy="101600"/>
                    </a:xfrm>
                    <a:prstGeom prst="rect">
                      <a:avLst/>
                    </a:prstGeom>
                  </pic:spPr>
                </pic:pic>
              </a:graphicData>
            </a:graphic>
          </wp:anchor>
        </w:drawing>
      </w:r>
      <w:r>
        <w:rPr>
          <w:color w:val="231F20"/>
        </w:rPr>
        <w:t>Select the attribute to which the specified range applies. If you chose multiple attributes for the view, you can select another attribute from </w:t>
      </w:r>
      <w:r>
        <w:rPr>
          <w:color w:val="231F20"/>
        </w:rPr>
        <w:t>the </w:t>
      </w:r>
      <w:r>
        <w:rPr>
          <w:color w:val="231F20"/>
          <w:spacing w:val="-2"/>
        </w:rPr>
        <w:t>list.</w:t>
      </w:r>
    </w:p>
    <w:p>
      <w:pPr>
        <w:pStyle w:val="Heading6"/>
      </w:pPr>
      <w:r>
        <w:rPr>
          <w:color w:val="231F20"/>
        </w:rPr>
        <w:t>Range</w:t>
      </w:r>
      <w:r>
        <w:rPr>
          <w:color w:val="231F20"/>
          <w:spacing w:val="1"/>
        </w:rPr>
        <w:t> </w:t>
      </w:r>
      <w:r>
        <w:rPr>
          <w:color w:val="231F20"/>
        </w:rPr>
        <w:t>Values</w:t>
      </w:r>
      <w:r>
        <w:rPr>
          <w:color w:val="231F20"/>
          <w:spacing w:val="2"/>
        </w:rPr>
        <w:t> </w:t>
      </w:r>
      <w:r>
        <w:rPr>
          <w:color w:val="231F20"/>
        </w:rPr>
        <w:t>(Minimum</w:t>
      </w:r>
      <w:r>
        <w:rPr>
          <w:color w:val="231F20"/>
          <w:spacing w:val="1"/>
        </w:rPr>
        <w:t> </w:t>
      </w:r>
      <w:r>
        <w:rPr>
          <w:color w:val="231F20"/>
        </w:rPr>
        <w:t>Value</w:t>
      </w:r>
      <w:r>
        <w:rPr>
          <w:color w:val="231F20"/>
          <w:spacing w:val="2"/>
        </w:rPr>
        <w:t> </w:t>
      </w:r>
      <w:r>
        <w:rPr>
          <w:color w:val="231F20"/>
        </w:rPr>
        <w:t>and</w:t>
      </w:r>
      <w:r>
        <w:rPr>
          <w:color w:val="231F20"/>
          <w:spacing w:val="1"/>
        </w:rPr>
        <w:t> </w:t>
      </w:r>
      <w:r>
        <w:rPr>
          <w:color w:val="231F20"/>
        </w:rPr>
        <w:t>Maximum</w:t>
      </w:r>
      <w:r>
        <w:rPr>
          <w:color w:val="231F20"/>
          <w:spacing w:val="2"/>
        </w:rPr>
        <w:t> </w:t>
      </w:r>
      <w:r>
        <w:rPr>
          <w:color w:val="231F20"/>
          <w:spacing w:val="-2"/>
        </w:rPr>
        <w:t>Value)</w:t>
      </w:r>
    </w:p>
    <w:p>
      <w:pPr>
        <w:pStyle w:val="BodyText"/>
        <w:spacing w:line="213" w:lineRule="auto" w:before="11"/>
        <w:ind w:left="3190" w:right="274"/>
      </w:pPr>
      <w:r>
        <w:rPr>
          <w:rFonts w:ascii="Book Antiqua"/>
          <w:b/>
          <w:color w:val="231F20"/>
        </w:rPr>
        <w:t>Minimum Value </w:t>
      </w:r>
      <w:r>
        <w:rPr>
          <w:color w:val="231F20"/>
        </w:rPr>
        <w:t>shows the default lowest possible value for the </w:t>
      </w:r>
      <w:r>
        <w:rPr>
          <w:color w:val="231F20"/>
        </w:rPr>
        <w:t>selected attribute. You can edit the values to reflect a more realistic range, if</w:t>
      </w:r>
    </w:p>
    <w:p>
      <w:pPr>
        <w:spacing w:after="0" w:line="213" w:lineRule="auto"/>
        <w:sectPr>
          <w:pgSz w:w="12240" w:h="15840"/>
          <w:pgMar w:header="0" w:footer="736" w:top="1180" w:bottom="920" w:left="1000" w:right="1060"/>
        </w:sectPr>
      </w:pPr>
    </w:p>
    <w:p>
      <w:pPr>
        <w:pStyle w:val="BodyText"/>
        <w:spacing w:line="213" w:lineRule="auto" w:before="85"/>
        <w:ind w:left="2951" w:right="545"/>
      </w:pPr>
      <w:bookmarkStart w:name="_bookmark91" w:id="197"/>
      <w:bookmarkEnd w:id="197"/>
      <w:r>
        <w:rPr/>
      </w:r>
      <w:r>
        <w:rPr>
          <w:color w:val="231F20"/>
        </w:rPr>
        <w:t>needed. Select </w:t>
      </w:r>
      <w:r>
        <w:rPr>
          <w:rFonts w:ascii="Book Antiqua"/>
          <w:b/>
          <w:color w:val="231F20"/>
        </w:rPr>
        <w:t>Use Default </w:t>
      </w:r>
      <w:r>
        <w:rPr>
          <w:color w:val="231F20"/>
        </w:rPr>
        <w:t>to return to the original values. </w:t>
      </w:r>
      <w:r>
        <w:rPr>
          <w:rFonts w:ascii="Book Antiqua"/>
          <w:b/>
          <w:color w:val="231F20"/>
        </w:rPr>
        <w:t>Maximum Value </w:t>
      </w:r>
      <w:r>
        <w:rPr>
          <w:color w:val="231F20"/>
        </w:rPr>
        <w:t>shows the default highest possible value for the selected </w:t>
      </w:r>
      <w:r>
        <w:rPr>
          <w:color w:val="231F20"/>
        </w:rPr>
        <w:t>attribute. Specify a more realistic range, to decrease the data points in the gauge. Select </w:t>
      </w:r>
      <w:r>
        <w:rPr>
          <w:rFonts w:ascii="Book Antiqua"/>
          <w:b/>
          <w:color w:val="231F20"/>
        </w:rPr>
        <w:t>Use Default </w:t>
      </w:r>
      <w:r>
        <w:rPr>
          <w:color w:val="231F20"/>
        </w:rPr>
        <w:t>to return to the original values.</w:t>
      </w:r>
    </w:p>
    <w:p>
      <w:pPr>
        <w:pStyle w:val="Heading6"/>
        <w:spacing w:before="115"/>
        <w:ind w:left="2232"/>
      </w:pPr>
      <w:r>
        <w:rPr>
          <w:color w:val="231F20"/>
        </w:rPr>
        <w:t>Edit</w:t>
      </w:r>
      <w:r>
        <w:rPr>
          <w:color w:val="231F20"/>
          <w:spacing w:val="12"/>
        </w:rPr>
        <w:t> </w:t>
      </w:r>
      <w:r>
        <w:rPr>
          <w:color w:val="231F20"/>
          <w:spacing w:val="-2"/>
        </w:rPr>
        <w:t>Subranges</w:t>
      </w:r>
    </w:p>
    <w:p>
      <w:pPr>
        <w:pStyle w:val="BodyText"/>
        <w:spacing w:line="213" w:lineRule="auto" w:before="12"/>
        <w:ind w:left="2951" w:right="603"/>
      </w:pPr>
      <w:r>
        <w:rPr>
          <w:color w:val="231F20"/>
        </w:rPr>
        <w:t>You can add subranges for the range specified by clicking </w:t>
      </w:r>
      <w:r>
        <w:rPr>
          <w:rFonts w:ascii="Book Antiqua"/>
          <w:b/>
          <w:color w:val="231F20"/>
        </w:rPr>
        <w:t>Edit Subranges... </w:t>
      </w:r>
      <w:r>
        <w:rPr>
          <w:color w:val="231F20"/>
        </w:rPr>
        <w:t>and defining a subrange by following the same </w:t>
      </w:r>
      <w:r>
        <w:rPr>
          <w:color w:val="231F20"/>
        </w:rPr>
        <w:t>procedure used to define the range.</w:t>
      </w:r>
    </w:p>
    <w:p>
      <w:pPr>
        <w:pStyle w:val="Heading6"/>
        <w:spacing w:line="232" w:lineRule="exact" w:before="116"/>
        <w:ind w:left="2232"/>
      </w:pPr>
      <w:r>
        <w:rPr>
          <w:color w:val="231F20"/>
        </w:rPr>
        <w:t>Apply</w:t>
      </w:r>
      <w:r>
        <w:rPr>
          <w:color w:val="231F20"/>
          <w:spacing w:val="12"/>
        </w:rPr>
        <w:t> </w:t>
      </w:r>
      <w:r>
        <w:rPr>
          <w:color w:val="231F20"/>
        </w:rPr>
        <w:t>to</w:t>
      </w:r>
      <w:r>
        <w:rPr>
          <w:color w:val="231F20"/>
          <w:spacing w:val="12"/>
        </w:rPr>
        <w:t> </w:t>
      </w:r>
      <w:r>
        <w:rPr>
          <w:color w:val="231F20"/>
        </w:rPr>
        <w:t>all</w:t>
      </w:r>
      <w:r>
        <w:rPr>
          <w:color w:val="231F20"/>
          <w:spacing w:val="13"/>
        </w:rPr>
        <w:t> </w:t>
      </w:r>
      <w:r>
        <w:rPr>
          <w:color w:val="231F20"/>
        </w:rPr>
        <w:t>views</w:t>
      </w:r>
      <w:r>
        <w:rPr>
          <w:color w:val="231F20"/>
          <w:spacing w:val="12"/>
        </w:rPr>
        <w:t> </w:t>
      </w:r>
      <w:r>
        <w:rPr>
          <w:color w:val="231F20"/>
        </w:rPr>
        <w:t>that</w:t>
      </w:r>
      <w:r>
        <w:rPr>
          <w:color w:val="231F20"/>
          <w:spacing w:val="12"/>
        </w:rPr>
        <w:t> </w:t>
      </w:r>
      <w:r>
        <w:rPr>
          <w:color w:val="231F20"/>
        </w:rPr>
        <w:t>use</w:t>
      </w:r>
      <w:r>
        <w:rPr>
          <w:color w:val="231F20"/>
          <w:spacing w:val="13"/>
        </w:rPr>
        <w:t> </w:t>
      </w:r>
      <w:r>
        <w:rPr>
          <w:color w:val="231F20"/>
        </w:rPr>
        <w:t>this</w:t>
      </w:r>
      <w:r>
        <w:rPr>
          <w:color w:val="231F20"/>
          <w:spacing w:val="12"/>
        </w:rPr>
        <w:t> </w:t>
      </w:r>
      <w:r>
        <w:rPr>
          <w:color w:val="231F20"/>
          <w:spacing w:val="-2"/>
        </w:rPr>
        <w:t>attribute</w:t>
      </w:r>
    </w:p>
    <w:p>
      <w:pPr>
        <w:spacing w:line="211" w:lineRule="auto" w:before="16"/>
        <w:ind w:left="2951" w:right="641" w:hanging="1"/>
        <w:jc w:val="both"/>
        <w:rPr>
          <w:sz w:val="20"/>
        </w:rPr>
      </w:pPr>
      <w:r>
        <w:rPr/>
        <w:drawing>
          <wp:inline distT="0" distB="0" distL="0" distR="0">
            <wp:extent cx="82550" cy="82550"/>
            <wp:effectExtent l="0" t="0" r="0" b="0"/>
            <wp:docPr id="1206" name="Image 1206"/>
            <wp:cNvGraphicFramePr>
              <a:graphicFrameLocks/>
            </wp:cNvGraphicFramePr>
            <a:graphic>
              <a:graphicData uri="http://schemas.openxmlformats.org/drawingml/2006/picture">
                <pic:pic>
                  <pic:nvPicPr>
                    <pic:cNvPr id="1206" name="Image 1206"/>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Apply to all views that use this attribute </w:t>
      </w:r>
      <w:r>
        <w:rPr>
          <w:color w:val="231F20"/>
          <w:sz w:val="20"/>
        </w:rPr>
        <w:t>lets you apply this range, </w:t>
      </w:r>
      <w:r>
        <w:rPr>
          <w:color w:val="231F20"/>
          <w:sz w:val="20"/>
        </w:rPr>
        <w:t>if appropriate, to this attribute on all other managed systems. The range is used only for gauge views of this attribute.</w:t>
      </w:r>
    </w:p>
    <w:p>
      <w:pPr>
        <w:pStyle w:val="Heading4"/>
        <w:spacing w:line="273" w:lineRule="exact" w:before="166"/>
      </w:pPr>
      <w:r>
        <w:rPr>
          <w:color w:val="231F20"/>
        </w:rPr>
        <w:t>Add</w:t>
      </w:r>
      <w:r>
        <w:rPr>
          <w:color w:val="231F20"/>
          <w:spacing w:val="8"/>
        </w:rPr>
        <w:t> </w:t>
      </w:r>
      <w:r>
        <w:rPr>
          <w:color w:val="231F20"/>
          <w:spacing w:val="-2"/>
        </w:rPr>
        <w:t>Overlay</w:t>
      </w:r>
    </w:p>
    <w:p>
      <w:pPr>
        <w:pStyle w:val="BodyText"/>
        <w:spacing w:line="213" w:lineRule="auto" w:before="19"/>
        <w:ind w:left="2232" w:right="690"/>
        <w:jc w:val="both"/>
      </w:pPr>
      <w:r>
        <w:rPr>
          <w:color w:val="231F20"/>
        </w:rPr>
        <w:t>After clicking the Plot Area of the chart's thumbnail graphic, the Bar Chart, Plot Chart, or Area Chart tab is displayed. This tab includes the </w:t>
      </w:r>
      <w:r>
        <w:rPr>
          <w:rFonts w:ascii="Book Antiqua"/>
          <w:b/>
          <w:color w:val="231F20"/>
        </w:rPr>
        <w:t>Add Overlay </w:t>
      </w:r>
      <w:r>
        <w:rPr>
          <w:color w:val="231F20"/>
        </w:rPr>
        <w:t>button for creating a line chart overlay on the current chart.</w:t>
      </w:r>
    </w:p>
    <w:p>
      <w:pPr>
        <w:pStyle w:val="BodyText"/>
        <w:spacing w:before="215"/>
        <w:ind w:left="2232"/>
        <w:jc w:val="both"/>
      </w:pPr>
      <w:r>
        <w:rPr>
          <w:color w:val="231F20"/>
        </w:rPr>
        <w:t>Use</w:t>
      </w:r>
      <w:r>
        <w:rPr>
          <w:color w:val="231F20"/>
          <w:spacing w:val="12"/>
        </w:rPr>
        <w:t> </w:t>
      </w:r>
      <w:r>
        <w:rPr>
          <w:color w:val="231F20"/>
        </w:rPr>
        <w:t>this</w:t>
      </w:r>
      <w:r>
        <w:rPr>
          <w:color w:val="231F20"/>
          <w:spacing w:val="12"/>
        </w:rPr>
        <w:t> </w:t>
      </w:r>
      <w:r>
        <w:rPr>
          <w:color w:val="231F20"/>
        </w:rPr>
        <w:t>button</w:t>
      </w:r>
      <w:r>
        <w:rPr>
          <w:color w:val="231F20"/>
          <w:spacing w:val="12"/>
        </w:rPr>
        <w:t> </w:t>
      </w:r>
      <w:r>
        <w:rPr>
          <w:color w:val="231F20"/>
        </w:rPr>
        <w:t>to</w:t>
      </w:r>
      <w:r>
        <w:rPr>
          <w:color w:val="231F20"/>
          <w:spacing w:val="12"/>
        </w:rPr>
        <w:t> </w:t>
      </w:r>
      <w:r>
        <w:rPr>
          <w:color w:val="231F20"/>
        </w:rPr>
        <w:t>apply</w:t>
      </w:r>
      <w:r>
        <w:rPr>
          <w:color w:val="231F20"/>
          <w:spacing w:val="12"/>
        </w:rPr>
        <w:t> </w:t>
      </w:r>
      <w:r>
        <w:rPr>
          <w:color w:val="231F20"/>
        </w:rPr>
        <w:t>a</w:t>
      </w:r>
      <w:r>
        <w:rPr>
          <w:color w:val="231F20"/>
          <w:spacing w:val="12"/>
        </w:rPr>
        <w:t> </w:t>
      </w:r>
      <w:r>
        <w:rPr>
          <w:color w:val="231F20"/>
        </w:rPr>
        <w:t>line</w:t>
      </w:r>
      <w:r>
        <w:rPr>
          <w:color w:val="231F20"/>
          <w:spacing w:val="13"/>
        </w:rPr>
        <w:t> </w:t>
      </w:r>
      <w:r>
        <w:rPr>
          <w:color w:val="231F20"/>
        </w:rPr>
        <w:t>chart</w:t>
      </w:r>
      <w:r>
        <w:rPr>
          <w:color w:val="231F20"/>
          <w:spacing w:val="12"/>
        </w:rPr>
        <w:t> </w:t>
      </w:r>
      <w:r>
        <w:rPr>
          <w:color w:val="231F20"/>
        </w:rPr>
        <w:t>that</w:t>
      </w:r>
      <w:r>
        <w:rPr>
          <w:color w:val="231F20"/>
          <w:spacing w:val="12"/>
        </w:rPr>
        <w:t> </w:t>
      </w:r>
      <w:r>
        <w:rPr>
          <w:color w:val="231F20"/>
        </w:rPr>
        <w:t>overlays</w:t>
      </w:r>
      <w:r>
        <w:rPr>
          <w:color w:val="231F20"/>
          <w:spacing w:val="12"/>
        </w:rPr>
        <w:t> </w:t>
      </w:r>
      <w:r>
        <w:rPr>
          <w:color w:val="231F20"/>
        </w:rPr>
        <w:t>the</w:t>
      </w:r>
      <w:r>
        <w:rPr>
          <w:color w:val="231F20"/>
          <w:spacing w:val="12"/>
        </w:rPr>
        <w:t> </w:t>
      </w:r>
      <w:r>
        <w:rPr>
          <w:color w:val="231F20"/>
        </w:rPr>
        <w:t>plot</w:t>
      </w:r>
      <w:r>
        <w:rPr>
          <w:color w:val="231F20"/>
          <w:spacing w:val="12"/>
        </w:rPr>
        <w:t> </w:t>
      </w:r>
      <w:r>
        <w:rPr>
          <w:color w:val="231F20"/>
        </w:rPr>
        <w:t>area</w:t>
      </w:r>
      <w:r>
        <w:rPr>
          <w:color w:val="231F20"/>
          <w:spacing w:val="13"/>
        </w:rPr>
        <w:t> </w:t>
      </w:r>
      <w:r>
        <w:rPr>
          <w:color w:val="231F20"/>
        </w:rPr>
        <w:t>of</w:t>
      </w:r>
      <w:r>
        <w:rPr>
          <w:color w:val="231F20"/>
          <w:spacing w:val="12"/>
        </w:rPr>
        <w:t> </w:t>
      </w:r>
      <w:r>
        <w:rPr>
          <w:color w:val="231F20"/>
        </w:rPr>
        <w:t>the</w:t>
      </w:r>
      <w:r>
        <w:rPr>
          <w:color w:val="231F20"/>
          <w:spacing w:val="12"/>
        </w:rPr>
        <w:t> </w:t>
      </w:r>
      <w:r>
        <w:rPr>
          <w:color w:val="231F20"/>
          <w:spacing w:val="-2"/>
        </w:rPr>
        <w:t>chart.</w:t>
      </w:r>
    </w:p>
    <w:p>
      <w:pPr>
        <w:pStyle w:val="Heading5"/>
        <w:spacing w:before="212"/>
        <w:ind w:left="2232"/>
      </w:pPr>
      <w:r>
        <w:rPr>
          <w:color w:val="231F20"/>
          <w:spacing w:val="-2"/>
        </w:rPr>
        <w:t>Attributes</w:t>
      </w:r>
    </w:p>
    <w:p>
      <w:pPr>
        <w:pStyle w:val="BodyText"/>
        <w:spacing w:line="213" w:lineRule="auto" w:before="246"/>
        <w:ind w:left="2232"/>
      </w:pPr>
      <w:r>
        <w:rPr>
          <w:color w:val="231F20"/>
        </w:rPr>
        <w:t>The Attributes tab has the required fields for assigning the attributes to plot in the overlaying line chart, one attribute per line.</w:t>
      </w:r>
    </w:p>
    <w:p>
      <w:pPr>
        <w:pStyle w:val="Heading6"/>
        <w:ind w:left="2232"/>
      </w:pPr>
      <w:r>
        <w:rPr>
          <w:color w:val="231F20"/>
          <w:spacing w:val="-2"/>
        </w:rPr>
        <w:t>Attributes</w:t>
      </w:r>
    </w:p>
    <w:p>
      <w:pPr>
        <w:pStyle w:val="BodyText"/>
        <w:spacing w:line="213" w:lineRule="auto" w:before="11"/>
        <w:ind w:left="2951" w:right="545"/>
      </w:pPr>
      <w:r>
        <w:rPr>
          <w:color w:val="231F20"/>
        </w:rPr>
        <w:t>Select an attribute from the Available list and click</w:t>
      </w:r>
      <w:r>
        <w:rPr>
          <w:color w:val="231F20"/>
          <w:spacing w:val="40"/>
        </w:rPr>
        <w:t> </w:t>
      </w:r>
      <w:r>
        <w:rPr>
          <w:color w:val="231F20"/>
          <w:spacing w:val="15"/>
          <w:position w:val="1"/>
        </w:rPr>
        <w:drawing>
          <wp:inline distT="0" distB="0" distL="0" distR="0">
            <wp:extent cx="44450" cy="76200"/>
            <wp:effectExtent l="0" t="0" r="0" b="0"/>
            <wp:docPr id="1207" name="Image 1207"/>
            <wp:cNvGraphicFramePr>
              <a:graphicFrameLocks/>
            </wp:cNvGraphicFramePr>
            <a:graphic>
              <a:graphicData uri="http://schemas.openxmlformats.org/drawingml/2006/picture">
                <pic:pic>
                  <pic:nvPicPr>
                    <pic:cNvPr id="1207" name="Image 1207"/>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80"/>
        </w:rPr>
        <w:t> </w:t>
      </w:r>
      <w:r>
        <w:rPr>
          <w:color w:val="231F20"/>
        </w:rPr>
        <w:t>to move it to the</w:t>
      </w:r>
      <w:r>
        <w:rPr>
          <w:color w:val="231F20"/>
          <w:spacing w:val="40"/>
        </w:rPr>
        <w:t> </w:t>
      </w:r>
      <w:r>
        <w:rPr>
          <w:color w:val="231F20"/>
        </w:rPr>
        <w:t>assigned list. You can use Ctrl+click to select multiple attributes or Shift+click to select all attributes from the first one selected to this one.</w:t>
      </w:r>
    </w:p>
    <w:p>
      <w:pPr>
        <w:pStyle w:val="BodyText"/>
        <w:spacing w:line="213" w:lineRule="auto" w:before="118"/>
        <w:ind w:left="2951" w:right="544"/>
      </w:pPr>
      <w:r>
        <w:rPr>
          <w:color w:val="231F20"/>
        </w:rPr>
        <w:t>Each attribute will have a different line color and can be styled to change</w:t>
      </w:r>
      <w:r>
        <w:rPr>
          <w:color w:val="231F20"/>
          <w:spacing w:val="80"/>
        </w:rPr>
        <w:t> </w:t>
      </w:r>
      <w:r>
        <w:rPr>
          <w:color w:val="231F20"/>
        </w:rPr>
        <w:t>the line type, line color, and legend symbol. To change the styling of the</w:t>
      </w:r>
      <w:r>
        <w:rPr>
          <w:color w:val="231F20"/>
          <w:spacing w:val="80"/>
          <w:w w:val="150"/>
        </w:rPr>
        <w:t> </w:t>
      </w:r>
      <w:r>
        <w:rPr>
          <w:color w:val="231F20"/>
        </w:rPr>
        <w:t>line chart, click an attribute in the </w:t>
      </w:r>
      <w:r>
        <w:rPr>
          <w:rFonts w:ascii="Book Antiqua"/>
          <w:b/>
          <w:color w:val="231F20"/>
        </w:rPr>
        <w:t>Assigned </w:t>
      </w:r>
      <w:r>
        <w:rPr>
          <w:color w:val="231F20"/>
        </w:rPr>
        <w:t>list. This enables the </w:t>
      </w:r>
      <w:r>
        <w:rPr>
          <w:rFonts w:ascii="Book Antiqua"/>
          <w:b/>
          <w:color w:val="231F20"/>
        </w:rPr>
        <w:t>Attribute Style </w:t>
      </w:r>
      <w:r>
        <w:rPr>
          <w:color w:val="231F20"/>
        </w:rPr>
        <w:t>fields, described next. After modifying the style for an attribute,</w:t>
      </w:r>
      <w:r>
        <w:rPr>
          <w:color w:val="231F20"/>
          <w:spacing w:val="80"/>
        </w:rPr>
        <w:t> </w:t>
      </w:r>
      <w:r>
        <w:rPr>
          <w:color w:val="231F20"/>
        </w:rPr>
        <w:t>repeat for any other assigned attributes.</w:t>
      </w:r>
    </w:p>
    <w:p>
      <w:pPr>
        <w:pStyle w:val="BodyText"/>
        <w:tabs>
          <w:tab w:pos="2951" w:val="left" w:leader="none"/>
        </w:tabs>
        <w:spacing w:line="213" w:lineRule="auto" w:before="117"/>
        <w:ind w:left="2951" w:right="603" w:hanging="719"/>
      </w:pPr>
      <w:r>
        <w:rPr>
          <w:rFonts w:ascii="Book Antiqua"/>
          <w:b/>
          <w:color w:val="231F20"/>
          <w:spacing w:val="-4"/>
        </w:rPr>
        <w:t>Text</w:t>
      </w:r>
      <w:r>
        <w:rPr>
          <w:rFonts w:ascii="Book Antiqua"/>
          <w:b/>
          <w:color w:val="231F20"/>
        </w:rPr>
        <w:tab/>
      </w:r>
      <w:r>
        <w:rPr>
          <w:color w:val="231F20"/>
        </w:rPr>
        <w:t>The attribute name will be displayed in the legend label, or you can </w:t>
      </w:r>
      <w:r>
        <w:rPr>
          <w:color w:val="231F20"/>
        </w:rPr>
        <w:t>write something else here.</w:t>
      </w:r>
    </w:p>
    <w:p>
      <w:pPr>
        <w:pStyle w:val="Heading6"/>
        <w:ind w:left="2232"/>
      </w:pPr>
      <w:r>
        <w:rPr>
          <w:color w:val="231F20"/>
        </w:rPr>
        <w:t>Line</w:t>
      </w:r>
      <w:r>
        <w:rPr>
          <w:color w:val="231F20"/>
          <w:spacing w:val="11"/>
        </w:rPr>
        <w:t> </w:t>
      </w:r>
      <w:r>
        <w:rPr>
          <w:color w:val="231F20"/>
          <w:spacing w:val="-2"/>
        </w:rPr>
        <w:t>Style</w:t>
      </w:r>
    </w:p>
    <w:p>
      <w:pPr>
        <w:pStyle w:val="BodyText"/>
        <w:spacing w:line="213" w:lineRule="auto" w:before="11"/>
        <w:ind w:left="2951" w:right="545"/>
      </w:pPr>
      <w:r>
        <w:rPr>
          <w:color w:val="231F20"/>
        </w:rPr>
        <w:t>The</w:t>
      </w:r>
      <w:r>
        <w:rPr>
          <w:color w:val="231F20"/>
          <w:spacing w:val="25"/>
        </w:rPr>
        <w:t> </w:t>
      </w:r>
      <w:r>
        <w:rPr>
          <w:color w:val="231F20"/>
        </w:rPr>
        <w:t>line</w:t>
      </w:r>
      <w:r>
        <w:rPr>
          <w:color w:val="231F20"/>
          <w:spacing w:val="25"/>
        </w:rPr>
        <w:t> </w:t>
      </w:r>
      <w:r>
        <w:rPr>
          <w:color w:val="231F20"/>
        </w:rPr>
        <w:t>style</w:t>
      </w:r>
      <w:r>
        <w:rPr>
          <w:color w:val="231F20"/>
          <w:spacing w:val="25"/>
        </w:rPr>
        <w:t> </w:t>
      </w:r>
      <w:r>
        <w:rPr>
          <w:color w:val="231F20"/>
        </w:rPr>
        <w:t>is</w:t>
      </w:r>
      <w:r>
        <w:rPr>
          <w:color w:val="231F20"/>
          <w:spacing w:val="25"/>
        </w:rPr>
        <w:t> </w:t>
      </w:r>
      <w:r>
        <w:rPr>
          <w:color w:val="231F20"/>
        </w:rPr>
        <w:t>a</w:t>
      </w:r>
      <w:r>
        <w:rPr>
          <w:color w:val="231F20"/>
          <w:spacing w:val="25"/>
        </w:rPr>
        <w:t> </w:t>
      </w:r>
      <w:r>
        <w:rPr>
          <w:color w:val="231F20"/>
        </w:rPr>
        <w:t>solid</w:t>
      </w:r>
      <w:r>
        <w:rPr>
          <w:color w:val="231F20"/>
          <w:spacing w:val="25"/>
        </w:rPr>
        <w:t> </w:t>
      </w:r>
      <w:r>
        <w:rPr>
          <w:color w:val="231F20"/>
        </w:rPr>
        <w:t>3-pixel</w:t>
      </w:r>
      <w:r>
        <w:rPr>
          <w:color w:val="231F20"/>
          <w:spacing w:val="25"/>
        </w:rPr>
        <w:t> </w:t>
      </w:r>
      <w:r>
        <w:rPr>
          <w:color w:val="231F20"/>
        </w:rPr>
        <w:t>wide</w:t>
      </w:r>
      <w:r>
        <w:rPr>
          <w:color w:val="231F20"/>
          <w:spacing w:val="25"/>
        </w:rPr>
        <w:t> </w:t>
      </w:r>
      <w:r>
        <w:rPr>
          <w:color w:val="231F20"/>
        </w:rPr>
        <w:t>line,</w:t>
      </w:r>
      <w:r>
        <w:rPr>
          <w:color w:val="231F20"/>
          <w:spacing w:val="25"/>
        </w:rPr>
        <w:t> </w:t>
      </w:r>
      <w:r>
        <w:rPr>
          <w:color w:val="231F20"/>
        </w:rPr>
        <w:t>or</w:t>
      </w:r>
      <w:r>
        <w:rPr>
          <w:color w:val="231F20"/>
          <w:spacing w:val="25"/>
        </w:rPr>
        <w:t> </w:t>
      </w:r>
      <w:r>
        <w:rPr>
          <w:color w:val="231F20"/>
        </w:rPr>
        <w:t>you</w:t>
      </w:r>
      <w:r>
        <w:rPr>
          <w:color w:val="231F20"/>
          <w:spacing w:val="25"/>
        </w:rPr>
        <w:t> </w:t>
      </w:r>
      <w:r>
        <w:rPr>
          <w:color w:val="231F20"/>
        </w:rPr>
        <w:t>can</w:t>
      </w:r>
      <w:r>
        <w:rPr>
          <w:color w:val="231F20"/>
          <w:spacing w:val="25"/>
        </w:rPr>
        <w:t> </w:t>
      </w:r>
      <w:r>
        <w:rPr>
          <w:color w:val="231F20"/>
        </w:rPr>
        <w:t>select</w:t>
      </w:r>
      <w:r>
        <w:rPr>
          <w:color w:val="231F20"/>
          <w:spacing w:val="25"/>
        </w:rPr>
        <w:t> </w:t>
      </w:r>
      <w:r>
        <w:rPr>
          <w:color w:val="231F20"/>
        </w:rPr>
        <w:t>one</w:t>
      </w:r>
      <w:r>
        <w:rPr>
          <w:color w:val="231F20"/>
          <w:spacing w:val="25"/>
        </w:rPr>
        <w:t> </w:t>
      </w:r>
      <w:r>
        <w:rPr>
          <w:color w:val="231F20"/>
        </w:rPr>
        <w:t>of</w:t>
      </w:r>
      <w:r>
        <w:rPr>
          <w:color w:val="231F20"/>
          <w:spacing w:val="25"/>
        </w:rPr>
        <w:t> </w:t>
      </w:r>
      <w:r>
        <w:rPr>
          <w:color w:val="231F20"/>
        </w:rPr>
        <w:t>the broken line styles from the </w:t>
      </w:r>
      <w:r>
        <w:rPr>
          <w:rFonts w:ascii="Book Antiqua"/>
          <w:b/>
          <w:color w:val="231F20"/>
        </w:rPr>
        <w:t>Pattern </w:t>
      </w:r>
      <w:r>
        <w:rPr>
          <w:rFonts w:ascii="Book Antiqua"/>
          <w:b/>
          <w:color w:val="231F20"/>
          <w:spacing w:val="15"/>
        </w:rPr>
        <w:drawing>
          <wp:inline distT="0" distB="0" distL="0" distR="0">
            <wp:extent cx="88900" cy="88900"/>
            <wp:effectExtent l="0" t="0" r="0" b="0"/>
            <wp:docPr id="1208" name="Image 1208"/>
            <wp:cNvGraphicFramePr>
              <a:graphicFrameLocks/>
            </wp:cNvGraphicFramePr>
            <a:graphic>
              <a:graphicData uri="http://schemas.openxmlformats.org/drawingml/2006/picture">
                <pic:pic>
                  <pic:nvPicPr>
                    <pic:cNvPr id="1208" name="Image 1208"/>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5"/>
        </w:rPr>
      </w:r>
      <w:r>
        <w:rPr>
          <w:rFonts w:ascii="Times New Roman"/>
          <w:color w:val="231F20"/>
          <w:spacing w:val="40"/>
        </w:rPr>
        <w:t> </w:t>
      </w:r>
      <w:r>
        <w:rPr>
          <w:color w:val="231F20"/>
        </w:rPr>
        <w:t>and another thickness from 1 to 10 from the </w:t>
      </w:r>
      <w:r>
        <w:rPr>
          <w:rFonts w:ascii="Book Antiqua"/>
          <w:b/>
          <w:color w:val="231F20"/>
        </w:rPr>
        <w:t>Width </w:t>
      </w:r>
      <w:r>
        <w:rPr>
          <w:rFonts w:ascii="Book Antiqua"/>
          <w:b/>
          <w:color w:val="231F20"/>
          <w:spacing w:val="16"/>
        </w:rPr>
        <w:drawing>
          <wp:inline distT="0" distB="0" distL="0" distR="0">
            <wp:extent cx="88900" cy="88900"/>
            <wp:effectExtent l="0" t="0" r="0" b="0"/>
            <wp:docPr id="1209" name="Image 1209"/>
            <wp:cNvGraphicFramePr>
              <a:graphicFrameLocks/>
            </wp:cNvGraphicFramePr>
            <a:graphic>
              <a:graphicData uri="http://schemas.openxmlformats.org/drawingml/2006/picture">
                <pic:pic>
                  <pic:nvPicPr>
                    <pic:cNvPr id="1209" name="Image 1209"/>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6"/>
        </w:rPr>
      </w:r>
      <w:r>
        <w:rPr>
          <w:rFonts w:ascii="Times New Roman"/>
          <w:color w:val="231F20"/>
          <w:spacing w:val="40"/>
        </w:rPr>
        <w:t> </w:t>
      </w:r>
      <w:r>
        <w:rPr>
          <w:color w:val="231F20"/>
        </w:rPr>
        <w:t>list. The overlay line width is 3 pixels or you can select</w:t>
      </w:r>
      <w:r>
        <w:rPr>
          <w:color w:val="231F20"/>
          <w:spacing w:val="40"/>
        </w:rPr>
        <w:t> </w:t>
      </w:r>
      <w:r>
        <w:rPr>
          <w:color w:val="231F20"/>
        </w:rPr>
        <w:t>any value from 1 pixel to 10 pixels. Use the </w:t>
      </w:r>
      <w:r>
        <w:rPr>
          <w:rFonts w:ascii="Book Antiqua"/>
          <w:b/>
          <w:color w:val="231F20"/>
        </w:rPr>
        <w:t>Color </w:t>
      </w:r>
      <w:r>
        <w:rPr>
          <w:rFonts w:ascii="Book Antiqua"/>
          <w:b/>
          <w:color w:val="231F20"/>
          <w:spacing w:val="15"/>
        </w:rPr>
        <w:drawing>
          <wp:inline distT="0" distB="0" distL="0" distR="0">
            <wp:extent cx="88900" cy="88900"/>
            <wp:effectExtent l="0" t="0" r="0" b="0"/>
            <wp:docPr id="1210" name="Image 1210"/>
            <wp:cNvGraphicFramePr>
              <a:graphicFrameLocks/>
            </wp:cNvGraphicFramePr>
            <a:graphic>
              <a:graphicData uri="http://schemas.openxmlformats.org/drawingml/2006/picture">
                <pic:pic>
                  <pic:nvPicPr>
                    <pic:cNvPr id="1210" name="Image 1210"/>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5"/>
        </w:rPr>
      </w:r>
      <w:r>
        <w:rPr>
          <w:rFonts w:ascii="Times New Roman"/>
          <w:color w:val="231F20"/>
          <w:spacing w:val="40"/>
        </w:rPr>
        <w:t> </w:t>
      </w:r>
      <w:r>
        <w:rPr>
          <w:color w:val="231F20"/>
        </w:rPr>
        <w:t>list to see and select a</w:t>
      </w:r>
      <w:r>
        <w:rPr>
          <w:color w:val="231F20"/>
          <w:spacing w:val="80"/>
        </w:rPr>
        <w:t> </w:t>
      </w:r>
      <w:r>
        <w:rPr>
          <w:color w:val="231F20"/>
        </w:rPr>
        <w:t>different color for the overlay and its associated legend item, or click</w:t>
      </w:r>
      <w:r>
        <w:rPr>
          <w:color w:val="231F20"/>
          <w:spacing w:val="40"/>
        </w:rPr>
        <w:t> </w:t>
      </w:r>
      <w:r>
        <w:rPr>
          <w:rFonts w:ascii="Book Antiqua"/>
          <w:b/>
          <w:color w:val="231F20"/>
        </w:rPr>
        <w:t>Custom Colors </w:t>
      </w:r>
      <w:r>
        <w:rPr>
          <w:color w:val="231F20"/>
        </w:rPr>
        <w:t>to select or create a new color to represent the attribute.</w:t>
      </w:r>
    </w:p>
    <w:p>
      <w:pPr>
        <w:pStyle w:val="Heading6"/>
        <w:spacing w:before="115"/>
        <w:ind w:left="2232"/>
      </w:pPr>
      <w:r>
        <w:rPr>
          <w:color w:val="231F20"/>
        </w:rPr>
        <w:t>Symbol</w:t>
      </w:r>
      <w:r>
        <w:rPr>
          <w:color w:val="231F20"/>
          <w:spacing w:val="8"/>
        </w:rPr>
        <w:t> </w:t>
      </w:r>
      <w:r>
        <w:rPr>
          <w:color w:val="231F20"/>
          <w:spacing w:val="-4"/>
        </w:rPr>
        <w:t>Style</w:t>
      </w:r>
    </w:p>
    <w:p>
      <w:pPr>
        <w:pStyle w:val="BodyText"/>
        <w:spacing w:line="213" w:lineRule="auto" w:before="11"/>
        <w:ind w:left="2951" w:right="545"/>
      </w:pPr>
      <w:r>
        <w:rPr>
          <w:color w:val="231F20"/>
        </w:rPr>
        <w:t>The default shape that will appear in the legend is a disc, or you can </w:t>
      </w:r>
      <w:r>
        <w:rPr>
          <w:color w:val="231F20"/>
        </w:rPr>
        <w:t>select</w:t>
      </w:r>
      <w:r>
        <w:rPr>
          <w:color w:val="231F20"/>
          <w:spacing w:val="40"/>
        </w:rPr>
        <w:t> </w:t>
      </w:r>
      <w:r>
        <w:rPr>
          <w:color w:val="231F20"/>
        </w:rPr>
        <w:t>another from the </w:t>
      </w:r>
      <w:r>
        <w:rPr>
          <w:rFonts w:ascii="Book Antiqua"/>
          <w:b/>
          <w:color w:val="231F20"/>
        </w:rPr>
        <w:t>Shape </w:t>
      </w:r>
      <w:r>
        <w:rPr>
          <w:rFonts w:ascii="Book Antiqua"/>
          <w:b/>
          <w:color w:val="231F20"/>
          <w:spacing w:val="16"/>
        </w:rPr>
        <w:drawing>
          <wp:inline distT="0" distB="0" distL="0" distR="0">
            <wp:extent cx="88900" cy="88900"/>
            <wp:effectExtent l="0" t="0" r="0" b="0"/>
            <wp:docPr id="1211" name="Image 1211"/>
            <wp:cNvGraphicFramePr>
              <a:graphicFrameLocks/>
            </wp:cNvGraphicFramePr>
            <a:graphic>
              <a:graphicData uri="http://schemas.openxmlformats.org/drawingml/2006/picture">
                <pic:pic>
                  <pic:nvPicPr>
                    <pic:cNvPr id="1211" name="Image 1211"/>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6"/>
        </w:rPr>
      </w:r>
      <w:r>
        <w:rPr>
          <w:rFonts w:ascii="Times New Roman"/>
          <w:color w:val="231F20"/>
          <w:spacing w:val="40"/>
        </w:rPr>
        <w:t> </w:t>
      </w:r>
      <w:r>
        <w:rPr>
          <w:color w:val="231F20"/>
        </w:rPr>
        <w:t>list. The size of the shape is 5 pixels or you can</w:t>
      </w:r>
      <w:r>
        <w:rPr>
          <w:color w:val="231F20"/>
          <w:spacing w:val="40"/>
        </w:rPr>
        <w:t> </w:t>
      </w:r>
      <w:r>
        <w:rPr>
          <w:color w:val="231F20"/>
        </w:rPr>
        <w:t>select</w:t>
      </w:r>
      <w:r>
        <w:rPr>
          <w:color w:val="231F20"/>
          <w:spacing w:val="25"/>
        </w:rPr>
        <w:t> </w:t>
      </w:r>
      <w:r>
        <w:rPr>
          <w:color w:val="231F20"/>
        </w:rPr>
        <w:t>another</w:t>
      </w:r>
      <w:r>
        <w:rPr>
          <w:color w:val="231F20"/>
          <w:spacing w:val="25"/>
        </w:rPr>
        <w:t> </w:t>
      </w:r>
      <w:r>
        <w:rPr>
          <w:color w:val="231F20"/>
        </w:rPr>
        <w:t>size</w:t>
      </w:r>
      <w:r>
        <w:rPr>
          <w:color w:val="231F20"/>
          <w:spacing w:val="25"/>
        </w:rPr>
        <w:t> </w:t>
      </w:r>
      <w:r>
        <w:rPr>
          <w:color w:val="231F20"/>
        </w:rPr>
        <w:t>from</w:t>
      </w:r>
      <w:r>
        <w:rPr>
          <w:color w:val="231F20"/>
          <w:spacing w:val="25"/>
        </w:rPr>
        <w:t> </w:t>
      </w:r>
      <w:r>
        <w:rPr>
          <w:color w:val="231F20"/>
        </w:rPr>
        <w:t>the</w:t>
      </w:r>
      <w:r>
        <w:rPr>
          <w:color w:val="231F20"/>
          <w:spacing w:val="25"/>
        </w:rPr>
        <w:t> </w:t>
      </w:r>
      <w:r>
        <w:rPr>
          <w:rFonts w:ascii="Book Antiqua"/>
          <w:b/>
          <w:color w:val="231F20"/>
        </w:rPr>
        <w:t>Size</w:t>
      </w:r>
      <w:r>
        <w:rPr>
          <w:rFonts w:ascii="Book Antiqua"/>
          <w:b/>
          <w:color w:val="231F20"/>
          <w:spacing w:val="15"/>
        </w:rPr>
        <w:t> </w:t>
      </w:r>
      <w:r>
        <w:rPr>
          <w:rFonts w:ascii="Book Antiqua"/>
          <w:b/>
          <w:color w:val="231F20"/>
          <w:spacing w:val="15"/>
        </w:rPr>
        <w:drawing>
          <wp:inline distT="0" distB="0" distL="0" distR="0">
            <wp:extent cx="88900" cy="88900"/>
            <wp:effectExtent l="0" t="0" r="0" b="0"/>
            <wp:docPr id="1212" name="Image 1212"/>
            <wp:cNvGraphicFramePr>
              <a:graphicFrameLocks/>
            </wp:cNvGraphicFramePr>
            <a:graphic>
              <a:graphicData uri="http://schemas.openxmlformats.org/drawingml/2006/picture">
                <pic:pic>
                  <pic:nvPicPr>
                    <pic:cNvPr id="1212" name="Image 1212"/>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5"/>
        </w:rPr>
      </w:r>
      <w:r>
        <w:rPr>
          <w:rFonts w:ascii="Times New Roman"/>
          <w:color w:val="231F20"/>
          <w:spacing w:val="40"/>
        </w:rPr>
        <w:t> </w:t>
      </w:r>
      <w:r>
        <w:rPr>
          <w:color w:val="231F20"/>
        </w:rPr>
        <w:t>list.</w:t>
      </w:r>
      <w:r>
        <w:rPr>
          <w:color w:val="231F20"/>
          <w:spacing w:val="25"/>
        </w:rPr>
        <w:t> </w:t>
      </w:r>
      <w:r>
        <w:rPr>
          <w:color w:val="231F20"/>
        </w:rPr>
        <w:t>Use</w:t>
      </w:r>
      <w:r>
        <w:rPr>
          <w:color w:val="231F20"/>
          <w:spacing w:val="25"/>
        </w:rPr>
        <w:t> </w:t>
      </w:r>
      <w:r>
        <w:rPr>
          <w:color w:val="231F20"/>
        </w:rPr>
        <w:t>the</w:t>
      </w:r>
      <w:r>
        <w:rPr>
          <w:color w:val="231F20"/>
          <w:spacing w:val="25"/>
        </w:rPr>
        <w:t> </w:t>
      </w:r>
      <w:r>
        <w:rPr>
          <w:rFonts w:ascii="Book Antiqua"/>
          <w:b/>
          <w:color w:val="231F20"/>
        </w:rPr>
        <w:t>Color</w:t>
      </w:r>
      <w:r>
        <w:rPr>
          <w:rFonts w:ascii="Book Antiqua"/>
          <w:b/>
          <w:color w:val="231F20"/>
          <w:spacing w:val="15"/>
        </w:rPr>
        <w:t> </w:t>
      </w:r>
      <w:r>
        <w:rPr>
          <w:rFonts w:ascii="Book Antiqua"/>
          <w:b/>
          <w:color w:val="231F20"/>
          <w:spacing w:val="15"/>
        </w:rPr>
        <w:drawing>
          <wp:inline distT="0" distB="0" distL="0" distR="0">
            <wp:extent cx="88900" cy="88900"/>
            <wp:effectExtent l="0" t="0" r="0" b="0"/>
            <wp:docPr id="1213" name="Image 1213"/>
            <wp:cNvGraphicFramePr>
              <a:graphicFrameLocks/>
            </wp:cNvGraphicFramePr>
            <a:graphic>
              <a:graphicData uri="http://schemas.openxmlformats.org/drawingml/2006/picture">
                <pic:pic>
                  <pic:nvPicPr>
                    <pic:cNvPr id="1213" name="Image 1213"/>
                    <pic:cNvPicPr/>
                  </pic:nvPicPr>
                  <pic:blipFill>
                    <a:blip r:embed="rId75" cstate="print"/>
                    <a:stretch>
                      <a:fillRect/>
                    </a:stretch>
                  </pic:blipFill>
                  <pic:spPr>
                    <a:xfrm>
                      <a:off x="0" y="0"/>
                      <a:ext cx="88900" cy="88900"/>
                    </a:xfrm>
                    <a:prstGeom prst="rect">
                      <a:avLst/>
                    </a:prstGeom>
                  </pic:spPr>
                </pic:pic>
              </a:graphicData>
            </a:graphic>
          </wp:inline>
        </w:drawing>
      </w:r>
      <w:r>
        <w:rPr>
          <w:rFonts w:ascii="Book Antiqua"/>
          <w:b/>
          <w:color w:val="231F20"/>
          <w:spacing w:val="15"/>
        </w:rPr>
      </w:r>
      <w:r>
        <w:rPr>
          <w:rFonts w:ascii="Times New Roman"/>
          <w:color w:val="231F20"/>
          <w:spacing w:val="40"/>
        </w:rPr>
        <w:t> </w:t>
      </w:r>
      <w:r>
        <w:rPr>
          <w:color w:val="231F20"/>
        </w:rPr>
        <w:t>list</w:t>
      </w:r>
      <w:r>
        <w:rPr>
          <w:color w:val="231F20"/>
          <w:spacing w:val="25"/>
        </w:rPr>
        <w:t> </w:t>
      </w:r>
      <w:r>
        <w:rPr>
          <w:color w:val="231F20"/>
        </w:rPr>
        <w:t>to</w:t>
      </w:r>
      <w:r>
        <w:rPr>
          <w:color w:val="231F20"/>
          <w:spacing w:val="25"/>
        </w:rPr>
        <w:t> </w:t>
      </w:r>
      <w:r>
        <w:rPr>
          <w:color w:val="231F20"/>
        </w:rPr>
        <w:t>see</w:t>
      </w:r>
      <w:r>
        <w:rPr>
          <w:color w:val="231F20"/>
          <w:spacing w:val="25"/>
        </w:rPr>
        <w:t> </w:t>
      </w:r>
      <w:r>
        <w:rPr>
          <w:color w:val="231F20"/>
        </w:rPr>
        <w:t>and select a different color for the shape, or click </w:t>
      </w:r>
      <w:r>
        <w:rPr>
          <w:rFonts w:ascii="Book Antiqua"/>
          <w:b/>
          <w:color w:val="231F20"/>
        </w:rPr>
        <w:t>Custom Colors </w:t>
      </w:r>
      <w:r>
        <w:rPr>
          <w:color w:val="231F20"/>
        </w:rPr>
        <w:t>to select or create a new color.</w:t>
      </w:r>
    </w:p>
    <w:p>
      <w:pPr>
        <w:spacing w:after="0" w:line="213" w:lineRule="auto"/>
        <w:sectPr>
          <w:footerReference w:type="even" r:id="rId229"/>
          <w:footerReference w:type="default" r:id="rId230"/>
          <w:pgSz w:w="12240" w:h="15840"/>
          <w:pgMar w:header="0" w:footer="736" w:top="1180" w:bottom="920" w:left="1000" w:right="1060"/>
          <w:pgNumType w:start="120"/>
        </w:sectPr>
      </w:pPr>
    </w:p>
    <w:p>
      <w:pPr>
        <w:pStyle w:val="Heading5"/>
        <w:spacing w:before="85"/>
      </w:pPr>
      <w:bookmarkStart w:name="_bookmark92" w:id="198"/>
      <w:bookmarkEnd w:id="198"/>
      <w:r>
        <w:rPr>
          <w:b w:val="0"/>
        </w:rPr>
      </w:r>
      <w:r>
        <w:rPr>
          <w:color w:val="231F20"/>
          <w:spacing w:val="-2"/>
        </w:rPr>
        <w:t>Value</w:t>
      </w:r>
      <w:r>
        <w:rPr>
          <w:color w:val="231F20"/>
          <w:spacing w:val="-6"/>
        </w:rPr>
        <w:t> </w:t>
      </w:r>
      <w:r>
        <w:rPr>
          <w:color w:val="231F20"/>
          <w:spacing w:val="-4"/>
        </w:rPr>
        <w:t>Axis</w:t>
      </w:r>
    </w:p>
    <w:p>
      <w:pPr>
        <w:pStyle w:val="Heading6"/>
        <w:spacing w:line="232" w:lineRule="exact" w:before="125"/>
      </w:pPr>
      <w:r>
        <w:rPr>
          <w:color w:val="231F20"/>
          <w:spacing w:val="-2"/>
        </w:rPr>
        <w:t>Value</w:t>
      </w:r>
      <w:r>
        <w:rPr>
          <w:color w:val="231F20"/>
          <w:spacing w:val="-3"/>
        </w:rPr>
        <w:t> </w:t>
      </w:r>
      <w:r>
        <w:rPr>
          <w:color w:val="231F20"/>
          <w:spacing w:val="-4"/>
        </w:rPr>
        <w:t>Axis</w:t>
      </w:r>
    </w:p>
    <w:p>
      <w:pPr>
        <w:pStyle w:val="BodyText"/>
        <w:spacing w:line="208" w:lineRule="auto" w:before="18"/>
        <w:ind w:left="3190" w:right="212"/>
        <w:jc w:val="both"/>
      </w:pPr>
      <w:r>
        <w:rPr/>
        <w:drawing>
          <wp:inline distT="0" distB="0" distL="0" distR="0">
            <wp:extent cx="88900" cy="82550"/>
            <wp:effectExtent l="0" t="0" r="0" b="0"/>
            <wp:docPr id="1214" name="Image 1214"/>
            <wp:cNvGraphicFramePr>
              <a:graphicFrameLocks/>
            </wp:cNvGraphicFramePr>
            <a:graphic>
              <a:graphicData uri="http://schemas.openxmlformats.org/drawingml/2006/picture">
                <pic:pic>
                  <pic:nvPicPr>
                    <pic:cNvPr id="1214" name="Image 1214"/>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Use existing Value Axis </w:t>
      </w:r>
      <w:r>
        <w:rPr>
          <w:color w:val="231F20"/>
        </w:rPr>
        <w:t>disables all other fields in this tab and the </w:t>
      </w:r>
      <w:r>
        <w:rPr>
          <w:color w:val="231F20"/>
        </w:rPr>
        <w:t>Axis Label tab that would otherwise be applied to the new value axis.</w:t>
      </w:r>
    </w:p>
    <w:p>
      <w:pPr>
        <w:pStyle w:val="BodyText"/>
        <w:spacing w:line="211" w:lineRule="auto" w:before="127"/>
        <w:ind w:left="3190" w:right="268"/>
        <w:jc w:val="both"/>
      </w:pPr>
      <w:r>
        <w:rPr/>
        <w:drawing>
          <wp:inline distT="0" distB="0" distL="0" distR="0">
            <wp:extent cx="88900" cy="82550"/>
            <wp:effectExtent l="0" t="0" r="0" b="0"/>
            <wp:docPr id="1215" name="Image 1215"/>
            <wp:cNvGraphicFramePr>
              <a:graphicFrameLocks/>
            </wp:cNvGraphicFramePr>
            <a:graphic>
              <a:graphicData uri="http://schemas.openxmlformats.org/drawingml/2006/picture">
                <pic:pic>
                  <pic:nvPicPr>
                    <pic:cNvPr id="1215" name="Image 1215"/>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Use new Value Axis </w:t>
      </w:r>
      <w:r>
        <w:rPr>
          <w:color w:val="231F20"/>
        </w:rPr>
        <w:t>creates a new value axis for the overlay line chart. The Axis Parameters settings are applied to the new value axis, as are the settings in the Axis Label tab.</w:t>
      </w:r>
    </w:p>
    <w:p>
      <w:pPr>
        <w:pStyle w:val="BodyText"/>
        <w:spacing w:line="213" w:lineRule="auto" w:before="118"/>
        <w:ind w:left="3190" w:right="385"/>
      </w:pPr>
      <w:r>
        <w:rPr>
          <w:color w:val="231F20"/>
        </w:rPr>
        <w:t>To see where the new value axis would be displayed in the chart, position the Add Overlay window so that you can see the </w:t>
      </w:r>
      <w:r>
        <w:rPr>
          <w:rFonts w:ascii="Book Antiqua"/>
          <w:b/>
          <w:color w:val="231F20"/>
        </w:rPr>
        <w:t>Preview </w:t>
      </w:r>
      <w:r>
        <w:rPr>
          <w:color w:val="231F20"/>
        </w:rPr>
        <w:t>area of the Properties editor and then select the other radio button.</w:t>
      </w:r>
    </w:p>
    <w:p>
      <w:pPr>
        <w:pStyle w:val="Heading6"/>
        <w:spacing w:line="232" w:lineRule="exact"/>
      </w:pPr>
      <w:r>
        <w:rPr>
          <w:color w:val="231F20"/>
        </w:rPr>
        <w:t>Axis</w:t>
      </w:r>
      <w:r>
        <w:rPr>
          <w:color w:val="231F20"/>
          <w:spacing w:val="11"/>
        </w:rPr>
        <w:t> </w:t>
      </w:r>
      <w:r>
        <w:rPr>
          <w:color w:val="231F20"/>
          <w:spacing w:val="-2"/>
        </w:rPr>
        <w:t>Parameters</w:t>
      </w:r>
    </w:p>
    <w:p>
      <w:pPr>
        <w:pStyle w:val="BodyText"/>
        <w:spacing w:line="208" w:lineRule="auto" w:before="18"/>
        <w:ind w:left="3190" w:right="545" w:hanging="1"/>
      </w:pPr>
      <w:r>
        <w:rPr/>
        <w:drawing>
          <wp:inline distT="0" distB="0" distL="0" distR="0">
            <wp:extent cx="82550" cy="82550"/>
            <wp:effectExtent l="0" t="0" r="0" b="0"/>
            <wp:docPr id="1216" name="Image 1216"/>
            <wp:cNvGraphicFramePr>
              <a:graphicFrameLocks/>
            </wp:cNvGraphicFramePr>
            <a:graphic>
              <a:graphicData uri="http://schemas.openxmlformats.org/drawingml/2006/picture">
                <pic:pic>
                  <pic:nvPicPr>
                    <pic:cNvPr id="1216" name="Image 1216"/>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Show Grid </w:t>
      </w:r>
      <w:r>
        <w:rPr>
          <w:color w:val="231F20"/>
        </w:rPr>
        <w:t>is used to apply grid lines to the plot area background for</w:t>
      </w:r>
      <w:r>
        <w:rPr>
          <w:color w:val="231F20"/>
          <w:spacing w:val="40"/>
        </w:rPr>
        <w:t> </w:t>
      </w:r>
      <w:r>
        <w:rPr>
          <w:color w:val="231F20"/>
        </w:rPr>
        <w:t>the overlay values.</w:t>
      </w:r>
    </w:p>
    <w:p>
      <w:pPr>
        <w:pStyle w:val="BodyText"/>
        <w:spacing w:line="213" w:lineRule="auto" w:before="120"/>
        <w:ind w:left="3190" w:right="493"/>
      </w:pPr>
      <w:r>
        <w:rPr>
          <w:rFonts w:ascii="Book Antiqua"/>
          <w:b/>
          <w:color w:val="231F20"/>
        </w:rPr>
        <w:t>Font </w:t>
      </w:r>
      <w:r>
        <w:rPr>
          <w:color w:val="231F20"/>
        </w:rPr>
        <w:t>is the font to use for the axis values; </w:t>
      </w:r>
      <w:r>
        <w:rPr>
          <w:rFonts w:ascii="Book Antiqua"/>
          <w:b/>
          <w:color w:val="231F20"/>
        </w:rPr>
        <w:t>Size </w:t>
      </w:r>
      <w:r>
        <w:rPr>
          <w:color w:val="231F20"/>
        </w:rPr>
        <w:t>is the font size in points;</w:t>
      </w:r>
      <w:r>
        <w:rPr>
          <w:color w:val="231F20"/>
          <w:spacing w:val="80"/>
        </w:rPr>
        <w:t> </w:t>
      </w:r>
      <w:r>
        <w:rPr>
          <w:color w:val="231F20"/>
        </w:rPr>
        <w:t>and </w:t>
      </w:r>
      <w:r>
        <w:rPr>
          <w:rFonts w:ascii="Book Antiqua"/>
          <w:b/>
          <w:color w:val="231F20"/>
        </w:rPr>
        <w:t>Style </w:t>
      </w:r>
      <w:r>
        <w:rPr>
          <w:color w:val="231F20"/>
        </w:rPr>
        <w:t>is the font style applied to the axis values: Plain, Bold, Italic, </w:t>
      </w:r>
      <w:r>
        <w:rPr>
          <w:color w:val="231F20"/>
        </w:rPr>
        <w:t>or Bold &amp; Italic.</w:t>
      </w:r>
    </w:p>
    <w:p>
      <w:pPr>
        <w:pStyle w:val="BodyText"/>
        <w:spacing w:before="100"/>
        <w:ind w:left="3190"/>
      </w:pPr>
      <w:r>
        <w:rPr/>
        <w:drawing>
          <wp:inline distT="0" distB="0" distL="0" distR="0">
            <wp:extent cx="88900" cy="82550"/>
            <wp:effectExtent l="0" t="0" r="0" b="0"/>
            <wp:docPr id="1217" name="Image 1217"/>
            <wp:cNvGraphicFramePr>
              <a:graphicFrameLocks/>
            </wp:cNvGraphicFramePr>
            <a:graphic>
              <a:graphicData uri="http://schemas.openxmlformats.org/drawingml/2006/picture">
                <pic:pic>
                  <pic:nvPicPr>
                    <pic:cNvPr id="1217" name="Image 1217"/>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5"/>
        </w:rPr>
        <w:t> </w:t>
      </w:r>
      <w:r>
        <w:rPr>
          <w:rFonts w:ascii="Book Antiqua"/>
          <w:b/>
          <w:color w:val="231F20"/>
        </w:rPr>
        <w:t>Horizontal</w:t>
      </w:r>
      <w:r>
        <w:rPr>
          <w:rFonts w:ascii="Book Antiqua"/>
          <w:b/>
          <w:color w:val="231F20"/>
          <w:spacing w:val="21"/>
        </w:rPr>
        <w:t> </w:t>
      </w:r>
      <w:r>
        <w:rPr>
          <w:color w:val="231F20"/>
        </w:rPr>
        <w:t>applies</w:t>
      </w:r>
      <w:r>
        <w:rPr>
          <w:color w:val="231F20"/>
          <w:spacing w:val="21"/>
        </w:rPr>
        <w:t> </w:t>
      </w:r>
      <w:r>
        <w:rPr>
          <w:color w:val="231F20"/>
        </w:rPr>
        <w:t>the</w:t>
      </w:r>
      <w:r>
        <w:rPr>
          <w:color w:val="231F20"/>
          <w:spacing w:val="21"/>
        </w:rPr>
        <w:t> </w:t>
      </w:r>
      <w:r>
        <w:rPr>
          <w:color w:val="231F20"/>
        </w:rPr>
        <w:t>overlay</w:t>
      </w:r>
      <w:r>
        <w:rPr>
          <w:color w:val="231F20"/>
          <w:spacing w:val="21"/>
        </w:rPr>
        <w:t> </w:t>
      </w:r>
      <w:r>
        <w:rPr>
          <w:color w:val="231F20"/>
        </w:rPr>
        <w:t>axis</w:t>
      </w:r>
      <w:r>
        <w:rPr>
          <w:color w:val="231F20"/>
          <w:spacing w:val="21"/>
        </w:rPr>
        <w:t> </w:t>
      </w:r>
      <w:r>
        <w:rPr>
          <w:color w:val="231F20"/>
        </w:rPr>
        <w:t>values</w:t>
      </w:r>
      <w:r>
        <w:rPr>
          <w:color w:val="231F20"/>
          <w:spacing w:val="21"/>
        </w:rPr>
        <w:t> </w:t>
      </w:r>
      <w:r>
        <w:rPr>
          <w:color w:val="231F20"/>
        </w:rPr>
        <w:t>horizontally.</w:t>
      </w:r>
    </w:p>
    <w:p>
      <w:pPr>
        <w:pStyle w:val="BodyText"/>
        <w:spacing w:line="208" w:lineRule="auto" w:before="116"/>
        <w:ind w:left="3190" w:right="493"/>
      </w:pPr>
      <w:r>
        <w:rPr/>
        <w:drawing>
          <wp:inline distT="0" distB="0" distL="0" distR="0">
            <wp:extent cx="88900" cy="82550"/>
            <wp:effectExtent l="0" t="0" r="0" b="0"/>
            <wp:docPr id="1218" name="Image 1218"/>
            <wp:cNvGraphicFramePr>
              <a:graphicFrameLocks/>
            </wp:cNvGraphicFramePr>
            <a:graphic>
              <a:graphicData uri="http://schemas.openxmlformats.org/drawingml/2006/picture">
                <pic:pic>
                  <pic:nvPicPr>
                    <pic:cNvPr id="1218" name="Image 1218"/>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Vertical </w:t>
      </w:r>
      <w:r>
        <w:rPr>
          <w:color w:val="231F20"/>
        </w:rPr>
        <w:t>rotates the values to display them vertically along the </w:t>
      </w:r>
      <w:r>
        <w:rPr>
          <w:color w:val="231F20"/>
        </w:rPr>
        <w:t>overlay </w:t>
      </w:r>
      <w:r>
        <w:rPr>
          <w:color w:val="231F20"/>
          <w:spacing w:val="-2"/>
        </w:rPr>
        <w:t>axis.</w:t>
      </w:r>
    </w:p>
    <w:p>
      <w:pPr>
        <w:pStyle w:val="Heading5"/>
        <w:spacing w:before="221"/>
      </w:pPr>
      <w:r>
        <w:rPr>
          <w:color w:val="231F20"/>
        </w:rPr>
        <w:t>Axis</w:t>
      </w:r>
      <w:r>
        <w:rPr>
          <w:color w:val="231F20"/>
          <w:spacing w:val="6"/>
        </w:rPr>
        <w:t> </w:t>
      </w:r>
      <w:r>
        <w:rPr>
          <w:color w:val="231F20"/>
          <w:spacing w:val="-2"/>
        </w:rPr>
        <w:t>Label</w:t>
      </w:r>
    </w:p>
    <w:p>
      <w:pPr>
        <w:spacing w:before="107"/>
        <w:ind w:left="2472" w:right="0" w:firstLine="0"/>
        <w:jc w:val="both"/>
        <w:rPr>
          <w:sz w:val="20"/>
        </w:rPr>
      </w:pPr>
      <w:r>
        <w:rPr>
          <w:rFonts w:ascii="Book Antiqua"/>
          <w:b/>
          <w:color w:val="231F20"/>
          <w:sz w:val="20"/>
        </w:rPr>
        <w:t>Label</w:t>
      </w:r>
      <w:r>
        <w:rPr>
          <w:rFonts w:ascii="Book Antiqua"/>
          <w:b/>
          <w:color w:val="231F20"/>
          <w:spacing w:val="47"/>
          <w:sz w:val="20"/>
        </w:rPr>
        <w:t>  </w:t>
      </w:r>
      <w:r>
        <w:rPr>
          <w:rFonts w:ascii="Book Antiqua"/>
          <w:b/>
          <w:color w:val="231F20"/>
          <w:spacing w:val="8"/>
          <w:sz w:val="20"/>
        </w:rPr>
        <w:drawing>
          <wp:inline distT="0" distB="0" distL="0" distR="0">
            <wp:extent cx="82550" cy="82550"/>
            <wp:effectExtent l="0" t="0" r="0" b="0"/>
            <wp:docPr id="1219" name="Image 1219"/>
            <wp:cNvGraphicFramePr>
              <a:graphicFrameLocks/>
            </wp:cNvGraphicFramePr>
            <a:graphic>
              <a:graphicData uri="http://schemas.openxmlformats.org/drawingml/2006/picture">
                <pic:pic>
                  <pic:nvPicPr>
                    <pic:cNvPr id="1219" name="Image 1219"/>
                    <pic:cNvPicPr/>
                  </pic:nvPicPr>
                  <pic:blipFill>
                    <a:blip r:embed="rId120" cstate="print"/>
                    <a:stretch>
                      <a:fillRect/>
                    </a:stretch>
                  </pic:blipFill>
                  <pic:spPr>
                    <a:xfrm>
                      <a:off x="0" y="0"/>
                      <a:ext cx="82550" cy="82550"/>
                    </a:xfrm>
                    <a:prstGeom prst="rect">
                      <a:avLst/>
                    </a:prstGeom>
                  </pic:spPr>
                </pic:pic>
              </a:graphicData>
            </a:graphic>
          </wp:inline>
        </w:drawing>
      </w:r>
      <w:r>
        <w:rPr>
          <w:rFonts w:ascii="Book Antiqua"/>
          <w:b/>
          <w:color w:val="231F20"/>
          <w:spacing w:val="8"/>
          <w:sz w:val="20"/>
        </w:rPr>
      </w:r>
      <w:r>
        <w:rPr>
          <w:rFonts w:ascii="Times New Roman"/>
          <w:color w:val="231F20"/>
          <w:spacing w:val="60"/>
          <w:sz w:val="20"/>
        </w:rPr>
        <w:t> </w:t>
      </w:r>
      <w:r>
        <w:rPr>
          <w:rFonts w:ascii="Book Antiqua"/>
          <w:b/>
          <w:color w:val="231F20"/>
          <w:sz w:val="20"/>
        </w:rPr>
        <w:t>Show</w:t>
      </w:r>
      <w:r>
        <w:rPr>
          <w:rFonts w:ascii="Book Antiqua"/>
          <w:b/>
          <w:color w:val="231F20"/>
          <w:spacing w:val="12"/>
          <w:sz w:val="20"/>
        </w:rPr>
        <w:t> </w:t>
      </w:r>
      <w:r>
        <w:rPr>
          <w:rFonts w:ascii="Book Antiqua"/>
          <w:b/>
          <w:color w:val="231F20"/>
          <w:sz w:val="20"/>
        </w:rPr>
        <w:t>Text</w:t>
      </w:r>
      <w:r>
        <w:rPr>
          <w:rFonts w:ascii="Book Antiqua"/>
          <w:b/>
          <w:color w:val="231F20"/>
          <w:spacing w:val="11"/>
          <w:sz w:val="20"/>
        </w:rPr>
        <w:t> </w:t>
      </w:r>
      <w:r>
        <w:rPr>
          <w:color w:val="231F20"/>
          <w:sz w:val="20"/>
        </w:rPr>
        <w:t>is</w:t>
      </w:r>
      <w:r>
        <w:rPr>
          <w:color w:val="231F20"/>
          <w:spacing w:val="12"/>
          <w:sz w:val="20"/>
        </w:rPr>
        <w:t> </w:t>
      </w:r>
      <w:r>
        <w:rPr>
          <w:color w:val="231F20"/>
          <w:sz w:val="20"/>
        </w:rPr>
        <w:t>selected</w:t>
      </w:r>
      <w:r>
        <w:rPr>
          <w:color w:val="231F20"/>
          <w:spacing w:val="11"/>
          <w:sz w:val="20"/>
        </w:rPr>
        <w:t> </w:t>
      </w:r>
      <w:r>
        <w:rPr>
          <w:color w:val="231F20"/>
          <w:sz w:val="20"/>
        </w:rPr>
        <w:t>to</w:t>
      </w:r>
      <w:r>
        <w:rPr>
          <w:color w:val="231F20"/>
          <w:spacing w:val="12"/>
          <w:sz w:val="20"/>
        </w:rPr>
        <w:t> </w:t>
      </w:r>
      <w:r>
        <w:rPr>
          <w:color w:val="231F20"/>
          <w:sz w:val="20"/>
        </w:rPr>
        <w:t>apply</w:t>
      </w:r>
      <w:r>
        <w:rPr>
          <w:color w:val="231F20"/>
          <w:spacing w:val="12"/>
          <w:sz w:val="20"/>
        </w:rPr>
        <w:t> </w:t>
      </w:r>
      <w:r>
        <w:rPr>
          <w:color w:val="231F20"/>
          <w:sz w:val="20"/>
        </w:rPr>
        <w:t>a</w:t>
      </w:r>
      <w:r>
        <w:rPr>
          <w:color w:val="231F20"/>
          <w:spacing w:val="11"/>
          <w:sz w:val="20"/>
        </w:rPr>
        <w:t> </w:t>
      </w:r>
      <w:r>
        <w:rPr>
          <w:color w:val="231F20"/>
          <w:sz w:val="20"/>
        </w:rPr>
        <w:t>label</w:t>
      </w:r>
      <w:r>
        <w:rPr>
          <w:color w:val="231F20"/>
          <w:spacing w:val="12"/>
          <w:sz w:val="20"/>
        </w:rPr>
        <w:t> </w:t>
      </w:r>
      <w:r>
        <w:rPr>
          <w:color w:val="231F20"/>
          <w:sz w:val="20"/>
        </w:rPr>
        <w:t>to</w:t>
      </w:r>
      <w:r>
        <w:rPr>
          <w:color w:val="231F20"/>
          <w:spacing w:val="12"/>
          <w:sz w:val="20"/>
        </w:rPr>
        <w:t> </w:t>
      </w:r>
      <w:r>
        <w:rPr>
          <w:color w:val="231F20"/>
          <w:sz w:val="20"/>
        </w:rPr>
        <w:t>the</w:t>
      </w:r>
      <w:r>
        <w:rPr>
          <w:color w:val="231F20"/>
          <w:spacing w:val="11"/>
          <w:sz w:val="20"/>
        </w:rPr>
        <w:t> </w:t>
      </w:r>
      <w:r>
        <w:rPr>
          <w:color w:val="231F20"/>
          <w:sz w:val="20"/>
        </w:rPr>
        <w:t>overlay</w:t>
      </w:r>
      <w:r>
        <w:rPr>
          <w:color w:val="231F20"/>
          <w:spacing w:val="12"/>
          <w:sz w:val="20"/>
        </w:rPr>
        <w:t> </w:t>
      </w:r>
      <w:r>
        <w:rPr>
          <w:color w:val="231F20"/>
          <w:sz w:val="20"/>
        </w:rPr>
        <w:t>value</w:t>
      </w:r>
      <w:r>
        <w:rPr>
          <w:color w:val="231F20"/>
          <w:spacing w:val="12"/>
          <w:sz w:val="20"/>
        </w:rPr>
        <w:t> </w:t>
      </w:r>
      <w:r>
        <w:rPr>
          <w:color w:val="231F20"/>
          <w:spacing w:val="-2"/>
          <w:sz w:val="20"/>
        </w:rPr>
        <w:t>axis.</w:t>
      </w:r>
    </w:p>
    <w:p>
      <w:pPr>
        <w:pStyle w:val="BodyText"/>
        <w:spacing w:before="85"/>
        <w:ind w:left="3190"/>
        <w:jc w:val="both"/>
      </w:pPr>
      <w:r>
        <w:rPr>
          <w:rFonts w:ascii="Book Antiqua"/>
          <w:b/>
          <w:color w:val="231F20"/>
        </w:rPr>
        <w:t>Text</w:t>
      </w:r>
      <w:r>
        <w:rPr>
          <w:rFonts w:ascii="Book Antiqua"/>
          <w:b/>
          <w:color w:val="231F20"/>
          <w:spacing w:val="9"/>
        </w:rPr>
        <w:t> </w:t>
      </w:r>
      <w:r>
        <w:rPr>
          <w:color w:val="231F20"/>
        </w:rPr>
        <w:t>is</w:t>
      </w:r>
      <w:r>
        <w:rPr>
          <w:color w:val="231F20"/>
          <w:spacing w:val="9"/>
        </w:rPr>
        <w:t> </w:t>
      </w:r>
      <w:r>
        <w:rPr>
          <w:color w:val="231F20"/>
        </w:rPr>
        <w:t>the</w:t>
      </w:r>
      <w:r>
        <w:rPr>
          <w:color w:val="231F20"/>
          <w:spacing w:val="10"/>
        </w:rPr>
        <w:t> </w:t>
      </w:r>
      <w:r>
        <w:rPr>
          <w:color w:val="231F20"/>
        </w:rPr>
        <w:t>label</w:t>
      </w:r>
      <w:r>
        <w:rPr>
          <w:color w:val="231F20"/>
          <w:spacing w:val="9"/>
        </w:rPr>
        <w:t> </w:t>
      </w:r>
      <w:r>
        <w:rPr>
          <w:color w:val="231F20"/>
        </w:rPr>
        <w:t>for</w:t>
      </w:r>
      <w:r>
        <w:rPr>
          <w:color w:val="231F20"/>
          <w:spacing w:val="10"/>
        </w:rPr>
        <w:t> </w:t>
      </w:r>
      <w:r>
        <w:rPr>
          <w:color w:val="231F20"/>
        </w:rPr>
        <w:t>the</w:t>
      </w:r>
      <w:r>
        <w:rPr>
          <w:color w:val="231F20"/>
          <w:spacing w:val="9"/>
        </w:rPr>
        <w:t> </w:t>
      </w:r>
      <w:r>
        <w:rPr>
          <w:color w:val="231F20"/>
        </w:rPr>
        <w:t>overlay</w:t>
      </w:r>
      <w:r>
        <w:rPr>
          <w:color w:val="231F20"/>
          <w:spacing w:val="10"/>
        </w:rPr>
        <w:t> </w:t>
      </w:r>
      <w:r>
        <w:rPr>
          <w:color w:val="231F20"/>
        </w:rPr>
        <w:t>value</w:t>
      </w:r>
      <w:r>
        <w:rPr>
          <w:color w:val="231F20"/>
          <w:spacing w:val="9"/>
        </w:rPr>
        <w:t> </w:t>
      </w:r>
      <w:r>
        <w:rPr>
          <w:color w:val="231F20"/>
          <w:spacing w:val="-2"/>
        </w:rPr>
        <w:t>axis.</w:t>
      </w:r>
    </w:p>
    <w:p>
      <w:pPr>
        <w:pStyle w:val="BodyText"/>
        <w:spacing w:line="213" w:lineRule="auto" w:before="112"/>
        <w:ind w:left="3190" w:right="601"/>
        <w:jc w:val="both"/>
      </w:pPr>
      <w:r>
        <w:rPr>
          <w:rFonts w:ascii="Book Antiqua"/>
          <w:b/>
          <w:color w:val="231F20"/>
        </w:rPr>
        <w:t>Font </w:t>
      </w:r>
      <w:r>
        <w:rPr>
          <w:color w:val="231F20"/>
        </w:rPr>
        <w:t>is the font to use for the label; </w:t>
      </w:r>
      <w:r>
        <w:rPr>
          <w:rFonts w:ascii="Book Antiqua"/>
          <w:b/>
          <w:color w:val="231F20"/>
        </w:rPr>
        <w:t>Size </w:t>
      </w:r>
      <w:r>
        <w:rPr>
          <w:color w:val="231F20"/>
        </w:rPr>
        <w:t>is the font size in points; and </w:t>
      </w:r>
      <w:r>
        <w:rPr>
          <w:rFonts w:ascii="Book Antiqua"/>
          <w:b/>
          <w:color w:val="231F20"/>
        </w:rPr>
        <w:t>Style </w:t>
      </w:r>
      <w:r>
        <w:rPr>
          <w:color w:val="231F20"/>
        </w:rPr>
        <w:t>is the font style applied to the label: Plain, Bold, Italic, or Bold </w:t>
      </w:r>
      <w:r>
        <w:rPr>
          <w:color w:val="231F20"/>
        </w:rPr>
        <w:t>&amp; </w:t>
      </w:r>
      <w:r>
        <w:rPr>
          <w:color w:val="231F20"/>
          <w:spacing w:val="-2"/>
        </w:rPr>
        <w:t>Italic.</w:t>
      </w:r>
    </w:p>
    <w:p>
      <w:pPr>
        <w:pStyle w:val="Heading6"/>
        <w:spacing w:line="232" w:lineRule="exact"/>
      </w:pPr>
      <w:r>
        <w:rPr>
          <w:color w:val="231F20"/>
          <w:spacing w:val="-2"/>
        </w:rPr>
        <w:t>Orientation</w:t>
      </w:r>
    </w:p>
    <w:p>
      <w:pPr>
        <w:spacing w:line="261" w:lineRule="exact" w:before="0"/>
        <w:ind w:left="3190" w:right="0" w:firstLine="0"/>
        <w:jc w:val="left"/>
        <w:rPr>
          <w:sz w:val="20"/>
        </w:rPr>
      </w:pPr>
      <w:r>
        <w:rPr/>
        <w:drawing>
          <wp:inline distT="0" distB="0" distL="0" distR="0">
            <wp:extent cx="88900" cy="82550"/>
            <wp:effectExtent l="0" t="0" r="0" b="0"/>
            <wp:docPr id="1220" name="Image 1220"/>
            <wp:cNvGraphicFramePr>
              <a:graphicFrameLocks/>
            </wp:cNvGraphicFramePr>
            <a:graphic>
              <a:graphicData uri="http://schemas.openxmlformats.org/drawingml/2006/picture">
                <pic:pic>
                  <pic:nvPicPr>
                    <pic:cNvPr id="1220" name="Image 1220"/>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8"/>
          <w:sz w:val="20"/>
        </w:rPr>
        <w:t> </w:t>
      </w:r>
      <w:r>
        <w:rPr>
          <w:rFonts w:ascii="Book Antiqua"/>
          <w:b/>
          <w:color w:val="231F20"/>
          <w:sz w:val="20"/>
        </w:rPr>
        <w:t>Horizontal</w:t>
      </w:r>
      <w:r>
        <w:rPr>
          <w:rFonts w:ascii="Book Antiqua"/>
          <w:b/>
          <w:color w:val="231F20"/>
          <w:spacing w:val="23"/>
          <w:sz w:val="20"/>
        </w:rPr>
        <w:t> </w:t>
      </w:r>
      <w:r>
        <w:rPr>
          <w:color w:val="231F20"/>
          <w:sz w:val="20"/>
        </w:rPr>
        <w:t>applies</w:t>
      </w:r>
      <w:r>
        <w:rPr>
          <w:color w:val="231F20"/>
          <w:spacing w:val="23"/>
          <w:sz w:val="20"/>
        </w:rPr>
        <w:t> </w:t>
      </w:r>
      <w:r>
        <w:rPr>
          <w:color w:val="231F20"/>
          <w:sz w:val="20"/>
        </w:rPr>
        <w:t>the</w:t>
      </w:r>
      <w:r>
        <w:rPr>
          <w:color w:val="231F20"/>
          <w:spacing w:val="23"/>
          <w:sz w:val="20"/>
        </w:rPr>
        <w:t> </w:t>
      </w:r>
      <w:r>
        <w:rPr>
          <w:color w:val="231F20"/>
          <w:sz w:val="20"/>
        </w:rPr>
        <w:t>axis</w:t>
      </w:r>
      <w:r>
        <w:rPr>
          <w:color w:val="231F20"/>
          <w:spacing w:val="23"/>
          <w:sz w:val="20"/>
        </w:rPr>
        <w:t> </w:t>
      </w:r>
      <w:r>
        <w:rPr>
          <w:color w:val="231F20"/>
          <w:sz w:val="20"/>
        </w:rPr>
        <w:t>label</w:t>
      </w:r>
      <w:r>
        <w:rPr>
          <w:color w:val="231F20"/>
          <w:spacing w:val="23"/>
          <w:sz w:val="20"/>
        </w:rPr>
        <w:t> </w:t>
      </w:r>
      <w:r>
        <w:rPr>
          <w:color w:val="231F20"/>
          <w:sz w:val="20"/>
        </w:rPr>
        <w:t>horizontally.</w:t>
      </w:r>
    </w:p>
    <w:p>
      <w:pPr>
        <w:pStyle w:val="BodyText"/>
        <w:spacing w:before="89"/>
        <w:ind w:left="3190"/>
        <w:jc w:val="both"/>
      </w:pPr>
      <w:r>
        <w:rPr/>
        <w:drawing>
          <wp:inline distT="0" distB="0" distL="0" distR="0">
            <wp:extent cx="88900" cy="82550"/>
            <wp:effectExtent l="0" t="0" r="0" b="0"/>
            <wp:docPr id="1221" name="Image 1221"/>
            <wp:cNvGraphicFramePr>
              <a:graphicFrameLocks/>
            </wp:cNvGraphicFramePr>
            <a:graphic>
              <a:graphicData uri="http://schemas.openxmlformats.org/drawingml/2006/picture">
                <pic:pic>
                  <pic:nvPicPr>
                    <pic:cNvPr id="1221" name="Image 1221"/>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65"/>
        </w:rPr>
        <w:t> </w:t>
      </w:r>
      <w:bookmarkStart w:name="Legend Label" w:id="199"/>
      <w:bookmarkEnd w:id="199"/>
      <w:r>
        <w:rPr>
          <w:rFonts w:ascii="Times New Roman"/>
          <w:spacing w:val="16"/>
        </w:rPr>
      </w:r>
      <w:r>
        <w:rPr>
          <w:rFonts w:ascii="Book Antiqua"/>
          <w:b/>
          <w:color w:val="231F20"/>
        </w:rPr>
        <w:t>Vertical</w:t>
      </w:r>
      <w:r>
        <w:rPr>
          <w:rFonts w:ascii="Book Antiqua"/>
          <w:b/>
          <w:color w:val="231F20"/>
          <w:spacing w:val="15"/>
        </w:rPr>
        <w:t> </w:t>
      </w:r>
      <w:r>
        <w:rPr>
          <w:color w:val="231F20"/>
        </w:rPr>
        <w:t>rotates</w:t>
      </w:r>
      <w:r>
        <w:rPr>
          <w:color w:val="231F20"/>
          <w:spacing w:val="15"/>
        </w:rPr>
        <w:t> </w:t>
      </w:r>
      <w:r>
        <w:rPr>
          <w:color w:val="231F20"/>
        </w:rPr>
        <w:t>the</w:t>
      </w:r>
      <w:r>
        <w:rPr>
          <w:color w:val="231F20"/>
          <w:spacing w:val="15"/>
        </w:rPr>
        <w:t> </w:t>
      </w:r>
      <w:r>
        <w:rPr>
          <w:color w:val="231F20"/>
        </w:rPr>
        <w:t>label</w:t>
      </w:r>
      <w:r>
        <w:rPr>
          <w:color w:val="231F20"/>
          <w:spacing w:val="15"/>
        </w:rPr>
        <w:t> </w:t>
      </w:r>
      <w:r>
        <w:rPr>
          <w:color w:val="231F20"/>
        </w:rPr>
        <w:t>to</w:t>
      </w:r>
      <w:r>
        <w:rPr>
          <w:color w:val="231F20"/>
          <w:spacing w:val="15"/>
        </w:rPr>
        <w:t> </w:t>
      </w:r>
      <w:r>
        <w:rPr>
          <w:color w:val="231F20"/>
        </w:rPr>
        <w:t>display</w:t>
      </w:r>
      <w:r>
        <w:rPr>
          <w:color w:val="231F20"/>
          <w:spacing w:val="15"/>
        </w:rPr>
        <w:t> </w:t>
      </w:r>
      <w:r>
        <w:rPr>
          <w:color w:val="231F20"/>
        </w:rPr>
        <w:t>it</w:t>
      </w:r>
      <w:r>
        <w:rPr>
          <w:color w:val="231F20"/>
          <w:spacing w:val="15"/>
        </w:rPr>
        <w:t> </w:t>
      </w:r>
      <w:r>
        <w:rPr>
          <w:color w:val="231F20"/>
        </w:rPr>
        <w:t>vertically</w:t>
      </w:r>
      <w:r>
        <w:rPr>
          <w:color w:val="231F20"/>
          <w:spacing w:val="15"/>
        </w:rPr>
        <w:t> </w:t>
      </w:r>
      <w:r>
        <w:rPr>
          <w:color w:val="231F20"/>
        </w:rPr>
        <w:t>along</w:t>
      </w:r>
      <w:r>
        <w:rPr>
          <w:color w:val="231F20"/>
          <w:spacing w:val="15"/>
        </w:rPr>
        <w:t> </w:t>
      </w:r>
      <w:r>
        <w:rPr>
          <w:color w:val="231F20"/>
        </w:rPr>
        <w:t>the</w:t>
      </w:r>
      <w:r>
        <w:rPr>
          <w:color w:val="231F20"/>
          <w:spacing w:val="15"/>
        </w:rPr>
        <w:t> </w:t>
      </w:r>
      <w:r>
        <w:rPr>
          <w:color w:val="231F20"/>
        </w:rPr>
        <w:t>overlay</w:t>
      </w:r>
      <w:r>
        <w:rPr>
          <w:color w:val="231F20"/>
          <w:spacing w:val="15"/>
        </w:rPr>
        <w:t> </w:t>
      </w:r>
      <w:r>
        <w:rPr>
          <w:color w:val="231F20"/>
        </w:rPr>
        <w:t>axis.</w:t>
      </w:r>
    </w:p>
    <w:p>
      <w:pPr>
        <w:pStyle w:val="Heading4"/>
        <w:spacing w:line="273" w:lineRule="exact" w:before="154"/>
        <w:ind w:left="2472"/>
      </w:pPr>
      <w:r>
        <w:rPr>
          <w:color w:val="231F20"/>
        </w:rPr>
        <w:t>Legend</w:t>
      </w:r>
      <w:r>
        <w:rPr>
          <w:color w:val="231F20"/>
          <w:spacing w:val="4"/>
        </w:rPr>
        <w:t> </w:t>
      </w:r>
      <w:r>
        <w:rPr>
          <w:color w:val="231F20"/>
          <w:spacing w:val="-2"/>
        </w:rPr>
        <w:t>Label</w:t>
      </w:r>
    </w:p>
    <w:p>
      <w:pPr>
        <w:pStyle w:val="BodyText"/>
        <w:spacing w:line="251" w:lineRule="exact"/>
        <w:ind w:left="2472"/>
        <w:jc w:val="both"/>
      </w:pPr>
      <w:r>
        <w:rPr>
          <w:color w:val="231F20"/>
        </w:rPr>
        <w:t>Select</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rPr>
        <w:t>Label</w:t>
      </w:r>
      <w:r>
        <w:rPr>
          <w:color w:val="231F20"/>
          <w:spacing w:val="11"/>
        </w:rPr>
        <w:t> </w:t>
      </w:r>
      <w:r>
        <w:rPr>
          <w:color w:val="231F20"/>
        </w:rPr>
        <w:t>area</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thumbnail</w:t>
      </w:r>
      <w:r>
        <w:rPr>
          <w:color w:val="231F20"/>
          <w:spacing w:val="11"/>
        </w:rPr>
        <w:t> </w:t>
      </w:r>
      <w:r>
        <w:rPr>
          <w:color w:val="231F20"/>
        </w:rPr>
        <w:t>graphic</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13" w:lineRule="auto" w:before="8"/>
        <w:ind w:left="2472" w:right="274" w:firstLine="10"/>
      </w:pPr>
      <w:r>
        <w:rPr>
          <w:position w:val="-1"/>
        </w:rPr>
        <w:drawing>
          <wp:inline distT="0" distB="0" distL="0" distR="0">
            <wp:extent cx="95250" cy="95250"/>
            <wp:effectExtent l="0" t="0" r="0" b="0"/>
            <wp:docPr id="1222" name="Image 1222"/>
            <wp:cNvGraphicFramePr>
              <a:graphicFrameLocks/>
            </wp:cNvGraphicFramePr>
            <a:graphic>
              <a:graphicData uri="http://schemas.openxmlformats.org/drawingml/2006/picture">
                <pic:pic>
                  <pic:nvPicPr>
                    <pic:cNvPr id="1222" name="Image 1222"/>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
        </w:rPr>
        <w:t> </w:t>
      </w:r>
      <w:r>
        <w:rPr>
          <w:rFonts w:ascii="Book Antiqua"/>
          <w:b/>
          <w:color w:val="231F20"/>
        </w:rPr>
        <w:t>Style </w:t>
      </w:r>
      <w:r>
        <w:rPr>
          <w:color w:val="231F20"/>
        </w:rPr>
        <w:t>tab to control the display of the chart legend and its appearance, </w:t>
      </w:r>
      <w:r>
        <w:rPr>
          <w:color w:val="231F20"/>
        </w:rPr>
        <w:t>including the coloring of the data series: pie slices, bars, plot lines, and plot areas.</w:t>
      </w:r>
    </w:p>
    <w:p>
      <w:pPr>
        <w:pStyle w:val="Heading5"/>
      </w:pPr>
      <w:r>
        <w:rPr>
          <w:color w:val="231F20"/>
        </w:rPr>
        <w:t>Show</w:t>
      </w:r>
      <w:r>
        <w:rPr>
          <w:color w:val="231F20"/>
          <w:spacing w:val="6"/>
        </w:rPr>
        <w:t> </w:t>
      </w:r>
      <w:r>
        <w:rPr>
          <w:color w:val="231F20"/>
        </w:rPr>
        <w:t>Legend</w:t>
      </w:r>
      <w:r>
        <w:rPr>
          <w:color w:val="231F20"/>
          <w:spacing w:val="6"/>
        </w:rPr>
        <w:t> </w:t>
      </w:r>
      <w:r>
        <w:rPr>
          <w:color w:val="231F20"/>
        </w:rPr>
        <w:t>-</w:t>
      </w:r>
      <w:r>
        <w:rPr>
          <w:color w:val="231F20"/>
          <w:spacing w:val="6"/>
        </w:rPr>
        <w:t> </w:t>
      </w:r>
      <w:r>
        <w:rPr>
          <w:color w:val="231F20"/>
          <w:spacing w:val="-2"/>
        </w:rPr>
        <w:t>General</w:t>
      </w:r>
    </w:p>
    <w:p>
      <w:pPr>
        <w:pStyle w:val="BodyText"/>
        <w:spacing w:line="213" w:lineRule="auto" w:before="246"/>
        <w:ind w:left="2472" w:right="545"/>
      </w:pPr>
      <w:r>
        <w:rPr>
          <w:color w:val="231F20"/>
        </w:rPr>
        <w:t>Use this tab to specify whether or not to display a legend for the chart, </w:t>
      </w:r>
      <w:r>
        <w:rPr>
          <w:color w:val="231F20"/>
        </w:rPr>
        <w:t>its</w:t>
      </w:r>
      <w:r>
        <w:rPr>
          <w:color w:val="231F20"/>
          <w:spacing w:val="40"/>
        </w:rPr>
        <w:t> </w:t>
      </w:r>
      <w:r>
        <w:rPr>
          <w:color w:val="231F20"/>
        </w:rPr>
        <w:t>placement, and its appearance. This tab is not available for gauge charts.</w:t>
      </w:r>
    </w:p>
    <w:p>
      <w:pPr>
        <w:pStyle w:val="Heading6"/>
        <w:spacing w:line="227" w:lineRule="exact" w:before="122"/>
      </w:pPr>
      <w:r>
        <w:rPr>
          <w:b w:val="0"/>
        </w:rPr>
        <w:drawing>
          <wp:inline distT="0" distB="0" distL="0" distR="0">
            <wp:extent cx="82550" cy="82550"/>
            <wp:effectExtent l="0" t="0" r="0" b="0"/>
            <wp:docPr id="1223" name="Image 1223"/>
            <wp:cNvGraphicFramePr>
              <a:graphicFrameLocks/>
            </wp:cNvGraphicFramePr>
            <a:graphic>
              <a:graphicData uri="http://schemas.openxmlformats.org/drawingml/2006/picture">
                <pic:pic>
                  <pic:nvPicPr>
                    <pic:cNvPr id="1223" name="Image 1223"/>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Show</w:t>
      </w:r>
      <w:r>
        <w:rPr>
          <w:color w:val="231F20"/>
          <w:spacing w:val="23"/>
        </w:rPr>
        <w:t> </w:t>
      </w:r>
      <w:r>
        <w:rPr>
          <w:color w:val="231F20"/>
        </w:rPr>
        <w:t>Legend</w:t>
      </w:r>
    </w:p>
    <w:p>
      <w:pPr>
        <w:pStyle w:val="BodyText"/>
        <w:spacing w:line="256" w:lineRule="exact"/>
        <w:ind w:left="3190"/>
      </w:pPr>
      <w:r>
        <w:rPr>
          <w:color w:val="231F20"/>
        </w:rPr>
        <w:t>Displays</w:t>
      </w:r>
      <w:r>
        <w:rPr>
          <w:color w:val="231F20"/>
          <w:spacing w:val="11"/>
        </w:rPr>
        <w:t> </w:t>
      </w:r>
      <w:r>
        <w:rPr>
          <w:color w:val="231F20"/>
        </w:rPr>
        <w:t>the</w:t>
      </w:r>
      <w:r>
        <w:rPr>
          <w:color w:val="231F20"/>
          <w:spacing w:val="11"/>
        </w:rPr>
        <w:t> </w:t>
      </w:r>
      <w:r>
        <w:rPr>
          <w:color w:val="231F20"/>
        </w:rPr>
        <w:t>legend</w:t>
      </w:r>
      <w:r>
        <w:rPr>
          <w:color w:val="231F20"/>
          <w:spacing w:val="12"/>
        </w:rPr>
        <w:t> </w:t>
      </w:r>
      <w:r>
        <w:rPr>
          <w:color w:val="231F20"/>
        </w:rPr>
        <w:t>with</w:t>
      </w:r>
      <w:r>
        <w:rPr>
          <w:color w:val="231F20"/>
          <w:spacing w:val="11"/>
        </w:rPr>
        <w:t> </w:t>
      </w:r>
      <w:r>
        <w:rPr>
          <w:color w:val="231F20"/>
        </w:rPr>
        <w:t>the</w:t>
      </w:r>
      <w:r>
        <w:rPr>
          <w:color w:val="231F20"/>
          <w:spacing w:val="11"/>
        </w:rPr>
        <w:t> </w:t>
      </w:r>
      <w:r>
        <w:rPr>
          <w:color w:val="231F20"/>
          <w:spacing w:val="-2"/>
        </w:rPr>
        <w:t>chart.</w:t>
      </w:r>
    </w:p>
    <w:p>
      <w:pPr>
        <w:pStyle w:val="Heading6"/>
        <w:spacing w:line="227" w:lineRule="exact" w:before="116"/>
      </w:pPr>
      <w:r>
        <w:rPr>
          <w:b w:val="0"/>
        </w:rPr>
        <w:drawing>
          <wp:inline distT="0" distB="0" distL="0" distR="0">
            <wp:extent cx="82550" cy="82550"/>
            <wp:effectExtent l="0" t="0" r="0" b="0"/>
            <wp:docPr id="1224" name="Image 1224"/>
            <wp:cNvGraphicFramePr>
              <a:graphicFrameLocks/>
            </wp:cNvGraphicFramePr>
            <a:graphic>
              <a:graphicData uri="http://schemas.openxmlformats.org/drawingml/2006/picture">
                <pic:pic>
                  <pic:nvPicPr>
                    <pic:cNvPr id="1224" name="Image 1224"/>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Show</w:t>
      </w:r>
      <w:r>
        <w:rPr>
          <w:color w:val="231F20"/>
          <w:spacing w:val="23"/>
        </w:rPr>
        <w:t> </w:t>
      </w:r>
      <w:r>
        <w:rPr>
          <w:color w:val="231F20"/>
        </w:rPr>
        <w:t>Border</w:t>
      </w:r>
    </w:p>
    <w:p>
      <w:pPr>
        <w:pStyle w:val="BodyText"/>
        <w:spacing w:line="256" w:lineRule="exact"/>
        <w:ind w:left="3190"/>
      </w:pPr>
      <w:r>
        <w:rPr>
          <w:color w:val="231F20"/>
        </w:rPr>
        <w:t>Draws</w:t>
      </w:r>
      <w:r>
        <w:rPr>
          <w:color w:val="231F20"/>
          <w:spacing w:val="10"/>
        </w:rPr>
        <w:t> </w:t>
      </w:r>
      <w:r>
        <w:rPr>
          <w:color w:val="231F20"/>
        </w:rPr>
        <w:t>a</w:t>
      </w:r>
      <w:r>
        <w:rPr>
          <w:color w:val="231F20"/>
          <w:spacing w:val="10"/>
        </w:rPr>
        <w:t> </w:t>
      </w:r>
      <w:r>
        <w:rPr>
          <w:color w:val="231F20"/>
        </w:rPr>
        <w:t>border</w:t>
      </w:r>
      <w:r>
        <w:rPr>
          <w:color w:val="231F20"/>
          <w:spacing w:val="11"/>
        </w:rPr>
        <w:t> </w:t>
      </w:r>
      <w:r>
        <w:rPr>
          <w:color w:val="231F20"/>
        </w:rPr>
        <w:t>line</w:t>
      </w:r>
      <w:r>
        <w:rPr>
          <w:color w:val="231F20"/>
          <w:spacing w:val="10"/>
        </w:rPr>
        <w:t> </w:t>
      </w:r>
      <w:r>
        <w:rPr>
          <w:color w:val="231F20"/>
        </w:rPr>
        <w:t>around</w:t>
      </w:r>
      <w:r>
        <w:rPr>
          <w:color w:val="231F20"/>
          <w:spacing w:val="10"/>
        </w:rPr>
        <w:t> </w:t>
      </w:r>
      <w:r>
        <w:rPr>
          <w:color w:val="231F20"/>
        </w:rPr>
        <w:t>the</w:t>
      </w:r>
      <w:r>
        <w:rPr>
          <w:color w:val="231F20"/>
          <w:spacing w:val="11"/>
        </w:rPr>
        <w:t> </w:t>
      </w:r>
      <w:r>
        <w:rPr>
          <w:color w:val="231F20"/>
        </w:rPr>
        <w:t>legend</w:t>
      </w:r>
      <w:r>
        <w:rPr>
          <w:color w:val="231F20"/>
          <w:spacing w:val="10"/>
        </w:rPr>
        <w:t> </w:t>
      </w:r>
      <w:r>
        <w:rPr>
          <w:color w:val="231F20"/>
          <w:spacing w:val="-4"/>
        </w:rPr>
        <w:t>box.</w:t>
      </w:r>
    </w:p>
    <w:p>
      <w:pPr>
        <w:pStyle w:val="Heading6"/>
        <w:spacing w:before="112"/>
      </w:pPr>
      <w:r>
        <w:rPr>
          <w:color w:val="231F20"/>
          <w:spacing w:val="-2"/>
        </w:rPr>
        <w:t>Position</w:t>
      </w:r>
    </w:p>
    <w:p>
      <w:pPr>
        <w:pStyle w:val="BodyText"/>
        <w:spacing w:line="243" w:lineRule="exact"/>
        <w:ind w:left="3190"/>
      </w:pPr>
      <w:r>
        <w:rPr>
          <w:color w:val="231F20"/>
        </w:rPr>
        <w:t>The</w:t>
      </w:r>
      <w:r>
        <w:rPr>
          <w:color w:val="231F20"/>
          <w:spacing w:val="10"/>
        </w:rPr>
        <w:t> </w:t>
      </w:r>
      <w:r>
        <w:rPr>
          <w:color w:val="231F20"/>
        </w:rPr>
        <w:t>placement</w:t>
      </w:r>
      <w:r>
        <w:rPr>
          <w:color w:val="231F20"/>
          <w:spacing w:val="10"/>
        </w:rPr>
        <w:t> </w:t>
      </w:r>
      <w:r>
        <w:rPr>
          <w:color w:val="231F20"/>
        </w:rPr>
        <w:t>of</w:t>
      </w:r>
      <w:r>
        <w:rPr>
          <w:color w:val="231F20"/>
          <w:spacing w:val="10"/>
        </w:rPr>
        <w:t> </w:t>
      </w:r>
      <w:r>
        <w:rPr>
          <w:color w:val="231F20"/>
        </w:rPr>
        <w:t>the</w:t>
      </w:r>
      <w:r>
        <w:rPr>
          <w:color w:val="231F20"/>
          <w:spacing w:val="11"/>
        </w:rPr>
        <w:t> </w:t>
      </w:r>
      <w:r>
        <w:rPr>
          <w:color w:val="231F20"/>
        </w:rPr>
        <w:t>chart</w:t>
      </w:r>
      <w:r>
        <w:rPr>
          <w:color w:val="231F20"/>
          <w:spacing w:val="10"/>
        </w:rPr>
        <w:t> </w:t>
      </w:r>
      <w:r>
        <w:rPr>
          <w:color w:val="231F20"/>
        </w:rPr>
        <w:t>legend</w:t>
      </w:r>
      <w:r>
        <w:rPr>
          <w:color w:val="231F20"/>
          <w:spacing w:val="10"/>
        </w:rPr>
        <w:t> </w:t>
      </w:r>
      <w:r>
        <w:rPr>
          <w:color w:val="231F20"/>
        </w:rPr>
        <w:t>in</w:t>
      </w:r>
      <w:r>
        <w:rPr>
          <w:color w:val="231F20"/>
          <w:spacing w:val="11"/>
        </w:rPr>
        <w:t> </w:t>
      </w:r>
      <w:r>
        <w:rPr>
          <w:color w:val="231F20"/>
        </w:rPr>
        <w:t>the</w:t>
      </w:r>
      <w:r>
        <w:rPr>
          <w:color w:val="231F20"/>
          <w:spacing w:val="10"/>
        </w:rPr>
        <w:t> </w:t>
      </w:r>
      <w:r>
        <w:rPr>
          <w:color w:val="231F20"/>
        </w:rPr>
        <w:t>view.</w:t>
      </w:r>
      <w:r>
        <w:rPr>
          <w:color w:val="231F20"/>
          <w:spacing w:val="10"/>
        </w:rPr>
        <w:t> </w:t>
      </w:r>
      <w:r>
        <w:rPr>
          <w:color w:val="231F20"/>
        </w:rPr>
        <w:t>The</w:t>
      </w:r>
      <w:r>
        <w:rPr>
          <w:color w:val="231F20"/>
          <w:spacing w:val="10"/>
        </w:rPr>
        <w:t> </w:t>
      </w:r>
      <w:r>
        <w:rPr>
          <w:color w:val="231F20"/>
        </w:rPr>
        <w:t>default</w:t>
      </w:r>
      <w:r>
        <w:rPr>
          <w:color w:val="231F20"/>
          <w:spacing w:val="11"/>
        </w:rPr>
        <w:t> </w:t>
      </w:r>
      <w:r>
        <w:rPr>
          <w:color w:val="231F20"/>
        </w:rPr>
        <w:t>position</w:t>
      </w:r>
      <w:r>
        <w:rPr>
          <w:color w:val="231F20"/>
          <w:spacing w:val="10"/>
        </w:rPr>
        <w:t> </w:t>
      </w:r>
      <w:r>
        <w:rPr>
          <w:color w:val="231F20"/>
        </w:rPr>
        <w:t>is</w:t>
      </w:r>
      <w:r>
        <w:rPr>
          <w:color w:val="231F20"/>
          <w:spacing w:val="10"/>
        </w:rPr>
        <w:t> </w:t>
      </w:r>
      <w:r>
        <w:rPr>
          <w:color w:val="231F20"/>
          <w:spacing w:val="-5"/>
        </w:rPr>
        <w:t>the</w:t>
      </w:r>
    </w:p>
    <w:p>
      <w:pPr>
        <w:pStyle w:val="BodyText"/>
        <w:spacing w:line="255" w:lineRule="exact"/>
        <w:ind w:left="3190"/>
      </w:pPr>
      <w:r>
        <w:rPr>
          <w:rFonts w:ascii="Book Antiqua"/>
          <w:b/>
          <w:color w:val="231F20"/>
        </w:rPr>
        <w:t>Right</w:t>
      </w:r>
      <w:r>
        <w:rPr>
          <w:rFonts w:ascii="Book Antiqua"/>
          <w:b/>
          <w:color w:val="231F20"/>
          <w:spacing w:val="8"/>
        </w:rPr>
        <w:t> </w:t>
      </w:r>
      <w:r>
        <w:rPr>
          <w:color w:val="231F20"/>
        </w:rPr>
        <w:t>side</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view.</w:t>
      </w:r>
      <w:r>
        <w:rPr>
          <w:color w:val="231F20"/>
          <w:spacing w:val="5"/>
        </w:rPr>
        <w:t> </w:t>
      </w:r>
      <w:r>
        <w:rPr>
          <w:color w:val="231F20"/>
        </w:rPr>
        <w:t>You</w:t>
      </w:r>
      <w:r>
        <w:rPr>
          <w:color w:val="231F20"/>
          <w:spacing w:val="9"/>
        </w:rPr>
        <w:t> </w:t>
      </w:r>
      <w:r>
        <w:rPr>
          <w:color w:val="231F20"/>
        </w:rPr>
        <w:t>can</w:t>
      </w:r>
      <w:r>
        <w:rPr>
          <w:color w:val="231F20"/>
          <w:spacing w:val="9"/>
        </w:rPr>
        <w:t> </w:t>
      </w:r>
      <w:r>
        <w:rPr>
          <w:color w:val="231F20"/>
        </w:rPr>
        <w:t>select</w:t>
      </w:r>
      <w:r>
        <w:rPr>
          <w:color w:val="231F20"/>
          <w:spacing w:val="9"/>
        </w:rPr>
        <w:t> </w:t>
      </w:r>
      <w:r>
        <w:rPr>
          <w:color w:val="231F20"/>
        </w:rPr>
        <w:t>a</w:t>
      </w:r>
      <w:r>
        <w:rPr>
          <w:color w:val="231F20"/>
          <w:spacing w:val="9"/>
        </w:rPr>
        <w:t> </w:t>
      </w:r>
      <w:r>
        <w:rPr>
          <w:color w:val="231F20"/>
        </w:rPr>
        <w:t>different</w:t>
      </w:r>
      <w:r>
        <w:rPr>
          <w:color w:val="231F20"/>
          <w:spacing w:val="9"/>
        </w:rPr>
        <w:t> </w:t>
      </w:r>
      <w:r>
        <w:rPr>
          <w:color w:val="231F20"/>
        </w:rPr>
        <w:t>position</w:t>
      </w:r>
      <w:r>
        <w:rPr>
          <w:color w:val="231F20"/>
          <w:spacing w:val="9"/>
        </w:rPr>
        <w:t> </w:t>
      </w:r>
      <w:r>
        <w:rPr>
          <w:color w:val="231F20"/>
        </w:rPr>
        <w:t>from</w:t>
      </w:r>
      <w:r>
        <w:rPr>
          <w:color w:val="231F20"/>
          <w:spacing w:val="9"/>
        </w:rPr>
        <w:t> </w:t>
      </w:r>
      <w:r>
        <w:rPr>
          <w:color w:val="231F20"/>
        </w:rPr>
        <w:t>the</w:t>
      </w:r>
      <w:r>
        <w:rPr>
          <w:color w:val="231F20"/>
          <w:spacing w:val="8"/>
        </w:rPr>
        <w:t> </w:t>
      </w:r>
      <w:r>
        <w:rPr>
          <w:color w:val="231F20"/>
          <w:spacing w:val="15"/>
          <w:position w:val="-1"/>
        </w:rPr>
        <w:drawing>
          <wp:inline distT="0" distB="0" distL="0" distR="0">
            <wp:extent cx="101600" cy="101600"/>
            <wp:effectExtent l="0" t="0" r="0" b="0"/>
            <wp:docPr id="1225" name="Image 1225"/>
            <wp:cNvGraphicFramePr>
              <a:graphicFrameLocks/>
            </wp:cNvGraphicFramePr>
            <a:graphic>
              <a:graphicData uri="http://schemas.openxmlformats.org/drawingml/2006/picture">
                <pic:pic>
                  <pic:nvPicPr>
                    <pic:cNvPr id="1225" name="Image 1225"/>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39"/>
        </w:rPr>
        <w:t> </w:t>
      </w:r>
      <w:r>
        <w:rPr>
          <w:color w:val="231F20"/>
          <w:spacing w:val="-2"/>
        </w:rPr>
        <w:t>list.</w:t>
      </w:r>
    </w:p>
    <w:p>
      <w:pPr>
        <w:spacing w:after="0" w:line="255" w:lineRule="exact"/>
        <w:sectPr>
          <w:pgSz w:w="12240" w:h="15840"/>
          <w:pgMar w:header="0" w:footer="736" w:top="1160" w:bottom="920" w:left="1000" w:right="1060"/>
        </w:sectPr>
      </w:pPr>
    </w:p>
    <w:p>
      <w:pPr>
        <w:pStyle w:val="Heading6"/>
        <w:spacing w:line="227" w:lineRule="exact" w:before="88"/>
        <w:ind w:left="2232"/>
      </w:pPr>
      <w:r>
        <w:rPr>
          <w:b w:val="0"/>
        </w:rPr>
        <w:drawing>
          <wp:inline distT="0" distB="0" distL="0" distR="0">
            <wp:extent cx="82550" cy="82550"/>
            <wp:effectExtent l="0" t="0" r="0" b="0"/>
            <wp:docPr id="1226" name="Image 1226"/>
            <wp:cNvGraphicFramePr>
              <a:graphicFrameLocks/>
            </wp:cNvGraphicFramePr>
            <a:graphic>
              <a:graphicData uri="http://schemas.openxmlformats.org/drawingml/2006/picture">
                <pic:pic>
                  <pic:nvPicPr>
                    <pic:cNvPr id="1226" name="Image 1226"/>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
        </w:rPr>
        <w:t> </w:t>
      </w:r>
      <w:r>
        <w:rPr>
          <w:color w:val="231F20"/>
        </w:rPr>
        <w:t>Place</w:t>
      </w:r>
      <w:r>
        <w:rPr>
          <w:color w:val="231F20"/>
          <w:spacing w:val="15"/>
        </w:rPr>
        <w:t> </w:t>
      </w:r>
      <w:r>
        <w:rPr>
          <w:color w:val="231F20"/>
        </w:rPr>
        <w:t>Legend</w:t>
      </w:r>
      <w:r>
        <w:rPr>
          <w:color w:val="231F20"/>
          <w:spacing w:val="15"/>
        </w:rPr>
        <w:t> </w:t>
      </w:r>
      <w:r>
        <w:rPr>
          <w:color w:val="231F20"/>
        </w:rPr>
        <w:t>in</w:t>
      </w:r>
      <w:r>
        <w:rPr>
          <w:color w:val="231F20"/>
          <w:spacing w:val="15"/>
        </w:rPr>
        <w:t> </w:t>
      </w:r>
      <w:r>
        <w:rPr>
          <w:color w:val="231F20"/>
        </w:rPr>
        <w:t>collapsible</w:t>
      </w:r>
      <w:r>
        <w:rPr>
          <w:color w:val="231F20"/>
          <w:spacing w:val="15"/>
        </w:rPr>
        <w:t> </w:t>
      </w:r>
      <w:r>
        <w:rPr>
          <w:color w:val="231F20"/>
        </w:rPr>
        <w:t>panel</w:t>
      </w:r>
    </w:p>
    <w:p>
      <w:pPr>
        <w:pStyle w:val="BodyText"/>
        <w:spacing w:line="213" w:lineRule="auto" w:before="9"/>
        <w:ind w:left="2951" w:right="545"/>
      </w:pPr>
      <w:r>
        <w:rPr>
          <w:color w:val="231F20"/>
        </w:rPr>
        <w:t>When selected, creates a separate bordered pane for the legend inside </w:t>
      </w:r>
      <w:r>
        <w:rPr>
          <w:color w:val="231F20"/>
        </w:rPr>
        <w:t>the view that you can scroll, collapse, or drag to adjust the width.</w:t>
      </w:r>
    </w:p>
    <w:p>
      <w:pPr>
        <w:pStyle w:val="Heading6"/>
        <w:spacing w:line="227" w:lineRule="exact" w:before="122"/>
        <w:ind w:left="2232"/>
      </w:pPr>
      <w:r>
        <w:rPr>
          <w:b w:val="0"/>
        </w:rPr>
        <w:drawing>
          <wp:inline distT="0" distB="0" distL="0" distR="0">
            <wp:extent cx="82550" cy="82550"/>
            <wp:effectExtent l="0" t="0" r="0" b="0"/>
            <wp:docPr id="1227" name="Image 1227"/>
            <wp:cNvGraphicFramePr>
              <a:graphicFrameLocks/>
            </wp:cNvGraphicFramePr>
            <a:graphic>
              <a:graphicData uri="http://schemas.openxmlformats.org/drawingml/2006/picture">
                <pic:pic>
                  <pic:nvPicPr>
                    <pic:cNvPr id="1227" name="Image 1227"/>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Trim Legend Labels</w:t>
      </w:r>
    </w:p>
    <w:p>
      <w:pPr>
        <w:pStyle w:val="BodyText"/>
        <w:spacing w:line="213" w:lineRule="auto" w:before="9"/>
        <w:ind w:left="2951" w:right="493"/>
      </w:pPr>
      <w:r>
        <w:rPr>
          <w:color w:val="231F20"/>
        </w:rPr>
        <w:t>When selected, trims the legend labels to the boundaries of the legend </w:t>
      </w:r>
      <w:r>
        <w:rPr>
          <w:color w:val="231F20"/>
        </w:rPr>
        <w:t>box or panel in the manner specified in the </w:t>
      </w:r>
      <w:r>
        <w:rPr>
          <w:rFonts w:ascii="Book Antiqua"/>
          <w:b/>
          <w:color w:val="231F20"/>
        </w:rPr>
        <w:t>Trim Style </w:t>
      </w:r>
      <w:r>
        <w:rPr>
          <w:rFonts w:ascii="Book Antiqua"/>
          <w:b/>
          <w:color w:val="231F20"/>
          <w:spacing w:val="15"/>
          <w:position w:val="-1"/>
        </w:rPr>
        <w:drawing>
          <wp:inline distT="0" distB="0" distL="0" distR="0">
            <wp:extent cx="101600" cy="101600"/>
            <wp:effectExtent l="0" t="0" r="0" b="0"/>
            <wp:docPr id="1228" name="Image 1228"/>
            <wp:cNvGraphicFramePr>
              <a:graphicFrameLocks/>
            </wp:cNvGraphicFramePr>
            <a:graphic>
              <a:graphicData uri="http://schemas.openxmlformats.org/drawingml/2006/picture">
                <pic:pic>
                  <pic:nvPicPr>
                    <pic:cNvPr id="1228" name="Image 1228"/>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rPr>
      </w:r>
      <w:r>
        <w:rPr>
          <w:rFonts w:ascii="Times New Roman"/>
          <w:color w:val="231F20"/>
          <w:spacing w:val="40"/>
        </w:rPr>
        <w:t> </w:t>
      </w:r>
      <w:r>
        <w:rPr>
          <w:color w:val="231F20"/>
        </w:rPr>
        <w:t>list.</w:t>
      </w:r>
    </w:p>
    <w:p>
      <w:pPr>
        <w:pStyle w:val="BodyText"/>
        <w:tabs>
          <w:tab w:pos="2951" w:val="left" w:leader="none"/>
        </w:tabs>
        <w:spacing w:line="213" w:lineRule="auto" w:before="119"/>
        <w:ind w:left="2951" w:right="603" w:hanging="719"/>
      </w:pPr>
      <w:r>
        <w:rPr>
          <w:rFonts w:ascii="Book Antiqua"/>
          <w:b/>
          <w:color w:val="231F20"/>
          <w:spacing w:val="-4"/>
        </w:rPr>
        <w:t>Text</w:t>
      </w:r>
      <w:r>
        <w:rPr>
          <w:rFonts w:ascii="Book Antiqua"/>
          <w:b/>
          <w:color w:val="231F20"/>
        </w:rPr>
        <w:tab/>
      </w:r>
      <w:r>
        <w:rPr>
          <w:color w:val="231F20"/>
        </w:rPr>
        <w:t>The </w:t>
      </w:r>
      <w:r>
        <w:rPr>
          <w:rFonts w:ascii="Book Antiqua"/>
          <w:b/>
          <w:color w:val="231F20"/>
        </w:rPr>
        <w:t>Text </w:t>
      </w:r>
      <w:r>
        <w:rPr>
          <w:color w:val="231F20"/>
        </w:rPr>
        <w:t>area determines the font to use, its size and whether any styling</w:t>
      </w:r>
      <w:r>
        <w:rPr>
          <w:color w:val="231F20"/>
          <w:spacing w:val="40"/>
        </w:rPr>
        <w:t> </w:t>
      </w:r>
      <w:r>
        <w:rPr>
          <w:color w:val="231F20"/>
        </w:rPr>
        <w:t>is</w:t>
      </w:r>
      <w:r>
        <w:rPr>
          <w:color w:val="231F20"/>
          <w:spacing w:val="26"/>
        </w:rPr>
        <w:t> </w:t>
      </w:r>
      <w:r>
        <w:rPr>
          <w:color w:val="231F20"/>
        </w:rPr>
        <w:t>applied.</w:t>
      </w:r>
      <w:r>
        <w:rPr>
          <w:color w:val="231F20"/>
          <w:spacing w:val="26"/>
        </w:rPr>
        <w:t> </w:t>
      </w:r>
      <w:r>
        <w:rPr>
          <w:color w:val="231F20"/>
        </w:rPr>
        <w:t>Select</w:t>
      </w:r>
      <w:r>
        <w:rPr>
          <w:color w:val="231F20"/>
          <w:spacing w:val="26"/>
        </w:rPr>
        <w:t> </w:t>
      </w:r>
      <w:r>
        <w:rPr>
          <w:color w:val="231F20"/>
        </w:rPr>
        <w:t>any</w:t>
      </w:r>
      <w:r>
        <w:rPr>
          <w:color w:val="231F20"/>
          <w:spacing w:val="26"/>
        </w:rPr>
        <w:t> </w:t>
      </w:r>
      <w:r>
        <w:rPr>
          <w:color w:val="231F20"/>
        </w:rPr>
        <w:t>changes</w:t>
      </w:r>
      <w:r>
        <w:rPr>
          <w:color w:val="231F20"/>
          <w:spacing w:val="26"/>
        </w:rPr>
        <w:t> </w:t>
      </w:r>
      <w:r>
        <w:rPr>
          <w:color w:val="231F20"/>
        </w:rPr>
        <w:t>from</w:t>
      </w:r>
      <w:r>
        <w:rPr>
          <w:color w:val="231F20"/>
          <w:spacing w:val="26"/>
        </w:rPr>
        <w:t> </w:t>
      </w:r>
      <w:r>
        <w:rPr>
          <w:color w:val="231F20"/>
        </w:rPr>
        <w:t>the </w:t>
      </w:r>
      <w:r>
        <w:rPr>
          <w:color w:val="231F20"/>
          <w:spacing w:val="15"/>
          <w:position w:val="-1"/>
        </w:rPr>
        <w:drawing>
          <wp:inline distT="0" distB="0" distL="0" distR="0">
            <wp:extent cx="101600" cy="101600"/>
            <wp:effectExtent l="0" t="0" r="0" b="0"/>
            <wp:docPr id="1229" name="Image 1229"/>
            <wp:cNvGraphicFramePr>
              <a:graphicFrameLocks/>
            </wp:cNvGraphicFramePr>
            <a:graphic>
              <a:graphicData uri="http://schemas.openxmlformats.org/drawingml/2006/picture">
                <pic:pic>
                  <pic:nvPicPr>
                    <pic:cNvPr id="1229" name="Image 122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r>
        <w:rPr>
          <w:color w:val="231F20"/>
          <w:spacing w:val="26"/>
        </w:rPr>
        <w:t> </w:t>
      </w:r>
      <w:r>
        <w:rPr>
          <w:color w:val="231F20"/>
        </w:rPr>
        <w:t>for</w:t>
      </w:r>
      <w:r>
        <w:rPr>
          <w:color w:val="231F20"/>
          <w:spacing w:val="26"/>
        </w:rPr>
        <w:t> </w:t>
      </w:r>
      <w:r>
        <w:rPr>
          <w:rFonts w:ascii="Book Antiqua"/>
          <w:b/>
          <w:color w:val="231F20"/>
        </w:rPr>
        <w:t>Font</w:t>
      </w:r>
      <w:r>
        <w:rPr>
          <w:color w:val="231F20"/>
        </w:rPr>
        <w:t>,</w:t>
      </w:r>
      <w:r>
        <w:rPr>
          <w:color w:val="231F20"/>
          <w:spacing w:val="26"/>
        </w:rPr>
        <w:t> </w:t>
      </w:r>
      <w:r>
        <w:rPr>
          <w:rFonts w:ascii="Book Antiqua"/>
          <w:b/>
          <w:color w:val="231F20"/>
        </w:rPr>
        <w:t>Size</w:t>
      </w:r>
      <w:r>
        <w:rPr>
          <w:color w:val="231F20"/>
        </w:rPr>
        <w:t>,</w:t>
      </w:r>
      <w:r>
        <w:rPr>
          <w:color w:val="231F20"/>
          <w:spacing w:val="26"/>
        </w:rPr>
        <w:t> </w:t>
      </w:r>
      <w:r>
        <w:rPr>
          <w:color w:val="231F20"/>
        </w:rPr>
        <w:t>or</w:t>
      </w:r>
      <w:r>
        <w:rPr>
          <w:color w:val="231F20"/>
          <w:spacing w:val="26"/>
        </w:rPr>
        <w:t> </w:t>
      </w:r>
      <w:r>
        <w:rPr>
          <w:rFonts w:ascii="Book Antiqua"/>
          <w:b/>
          <w:color w:val="231F20"/>
        </w:rPr>
        <w:t>Style</w:t>
      </w:r>
      <w:r>
        <w:rPr>
          <w:color w:val="231F20"/>
        </w:rPr>
        <w:t>.</w:t>
      </w:r>
    </w:p>
    <w:p>
      <w:pPr>
        <w:spacing w:line="250" w:lineRule="exact" w:before="0"/>
        <w:ind w:left="2951" w:right="0" w:firstLine="0"/>
        <w:jc w:val="left"/>
        <w:rPr>
          <w:sz w:val="20"/>
        </w:rPr>
      </w:pPr>
      <w:r>
        <w:rPr>
          <w:color w:val="231F20"/>
          <w:sz w:val="20"/>
        </w:rPr>
        <w:t>When</w:t>
      </w:r>
      <w:r>
        <w:rPr>
          <w:color w:val="231F20"/>
          <w:spacing w:val="12"/>
          <w:sz w:val="20"/>
        </w:rPr>
        <w:t> </w:t>
      </w:r>
      <w:r>
        <w:rPr>
          <w:color w:val="231F20"/>
          <w:spacing w:val="16"/>
          <w:sz w:val="20"/>
        </w:rPr>
        <w:drawing>
          <wp:inline distT="0" distB="0" distL="0" distR="0">
            <wp:extent cx="82550" cy="82550"/>
            <wp:effectExtent l="0" t="0" r="0" b="0"/>
            <wp:docPr id="1230" name="Image 1230"/>
            <wp:cNvGraphicFramePr>
              <a:graphicFrameLocks/>
            </wp:cNvGraphicFramePr>
            <a:graphic>
              <a:graphicData uri="http://schemas.openxmlformats.org/drawingml/2006/picture">
                <pic:pic>
                  <pic:nvPicPr>
                    <pic:cNvPr id="1230" name="Image 123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54"/>
          <w:sz w:val="20"/>
        </w:rPr>
        <w:t> </w:t>
      </w:r>
      <w:r>
        <w:rPr>
          <w:rFonts w:ascii="Book Antiqua"/>
          <w:b/>
          <w:color w:val="231F20"/>
          <w:sz w:val="20"/>
        </w:rPr>
        <w:t>Use</w:t>
      </w:r>
      <w:r>
        <w:rPr>
          <w:rFonts w:ascii="Book Antiqua"/>
          <w:b/>
          <w:color w:val="231F20"/>
          <w:spacing w:val="12"/>
          <w:sz w:val="20"/>
        </w:rPr>
        <w:t> </w:t>
      </w:r>
      <w:r>
        <w:rPr>
          <w:rFonts w:ascii="Book Antiqua"/>
          <w:b/>
          <w:color w:val="231F20"/>
          <w:sz w:val="20"/>
        </w:rPr>
        <w:t>CSS</w:t>
      </w:r>
      <w:r>
        <w:rPr>
          <w:rFonts w:ascii="Book Antiqua"/>
          <w:b/>
          <w:color w:val="231F20"/>
          <w:spacing w:val="12"/>
          <w:sz w:val="20"/>
        </w:rPr>
        <w:t> </w:t>
      </w:r>
      <w:r>
        <w:rPr>
          <w:rFonts w:ascii="Book Antiqua"/>
          <w:b/>
          <w:color w:val="231F20"/>
          <w:sz w:val="20"/>
        </w:rPr>
        <w:t>values</w:t>
      </w:r>
      <w:r>
        <w:rPr>
          <w:rFonts w:ascii="Book Antiqua"/>
          <w:b/>
          <w:color w:val="231F20"/>
          <w:spacing w:val="12"/>
          <w:sz w:val="20"/>
        </w:rPr>
        <w:t> </w:t>
      </w:r>
      <w:r>
        <w:rPr>
          <w:color w:val="231F20"/>
          <w:sz w:val="20"/>
        </w:rPr>
        <w:t>is</w:t>
      </w:r>
      <w:r>
        <w:rPr>
          <w:color w:val="231F20"/>
          <w:spacing w:val="13"/>
          <w:sz w:val="20"/>
        </w:rPr>
        <w:t> </w:t>
      </w:r>
      <w:r>
        <w:rPr>
          <w:color w:val="231F20"/>
          <w:sz w:val="20"/>
        </w:rPr>
        <w:t>selected,</w:t>
      </w:r>
      <w:r>
        <w:rPr>
          <w:color w:val="231F20"/>
          <w:spacing w:val="12"/>
          <w:sz w:val="20"/>
        </w:rPr>
        <w:t> </w:t>
      </w:r>
      <w:r>
        <w:rPr>
          <w:color w:val="231F20"/>
          <w:sz w:val="20"/>
        </w:rPr>
        <w:t>this</w:t>
      </w:r>
      <w:r>
        <w:rPr>
          <w:color w:val="231F20"/>
          <w:spacing w:val="12"/>
          <w:sz w:val="20"/>
        </w:rPr>
        <w:t> </w:t>
      </w:r>
      <w:r>
        <w:rPr>
          <w:color w:val="231F20"/>
          <w:sz w:val="20"/>
        </w:rPr>
        <w:t>area</w:t>
      </w:r>
      <w:r>
        <w:rPr>
          <w:color w:val="231F20"/>
          <w:spacing w:val="12"/>
          <w:sz w:val="20"/>
        </w:rPr>
        <w:t> </w:t>
      </w:r>
      <w:r>
        <w:rPr>
          <w:color w:val="231F20"/>
          <w:sz w:val="20"/>
        </w:rPr>
        <w:t>is</w:t>
      </w:r>
      <w:r>
        <w:rPr>
          <w:color w:val="231F20"/>
          <w:spacing w:val="13"/>
          <w:sz w:val="20"/>
        </w:rPr>
        <w:t> </w:t>
      </w:r>
      <w:r>
        <w:rPr>
          <w:color w:val="231F20"/>
          <w:spacing w:val="-2"/>
          <w:sz w:val="20"/>
        </w:rPr>
        <w:t>disabled.</w:t>
      </w:r>
    </w:p>
    <w:p>
      <w:pPr>
        <w:pStyle w:val="Heading6"/>
        <w:spacing w:line="227" w:lineRule="exact" w:before="111"/>
        <w:ind w:left="2232"/>
      </w:pPr>
      <w:r>
        <w:rPr>
          <w:b w:val="0"/>
        </w:rPr>
        <w:drawing>
          <wp:inline distT="0" distB="0" distL="0" distR="0">
            <wp:extent cx="82550" cy="82550"/>
            <wp:effectExtent l="0" t="0" r="0" b="0"/>
            <wp:docPr id="1231" name="Image 1231"/>
            <wp:cNvGraphicFramePr>
              <a:graphicFrameLocks/>
            </wp:cNvGraphicFramePr>
            <a:graphic>
              <a:graphicData uri="http://schemas.openxmlformats.org/drawingml/2006/picture">
                <pic:pic>
                  <pic:nvPicPr>
                    <pic:cNvPr id="1231" name="Image 1231"/>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Use</w:t>
      </w:r>
      <w:r>
        <w:rPr>
          <w:color w:val="231F20"/>
          <w:spacing w:val="36"/>
        </w:rPr>
        <w:t> </w:t>
      </w:r>
      <w:r>
        <w:rPr>
          <w:color w:val="231F20"/>
        </w:rPr>
        <w:t>CSS</w:t>
      </w:r>
      <w:r>
        <w:rPr>
          <w:color w:val="231F20"/>
          <w:spacing w:val="36"/>
        </w:rPr>
        <w:t> </w:t>
      </w:r>
      <w:r>
        <w:rPr>
          <w:color w:val="231F20"/>
        </w:rPr>
        <w:t>values</w:t>
      </w:r>
    </w:p>
    <w:p>
      <w:pPr>
        <w:pStyle w:val="BodyText"/>
        <w:spacing w:line="213" w:lineRule="auto" w:before="9"/>
        <w:ind w:left="2951" w:right="545"/>
      </w:pPr>
      <w:r>
        <w:rPr>
          <w:color w:val="231F20"/>
        </w:rPr>
        <w:t>This is set to use the values of the workspace presentation cascading </w:t>
      </w:r>
      <w:r>
        <w:rPr>
          <w:color w:val="231F20"/>
        </w:rPr>
        <w:t>style sheet (</w:t>
      </w:r>
      <w:r>
        <w:rPr>
          <w:rFonts w:ascii="Arial"/>
          <w:color w:val="231F20"/>
        </w:rPr>
        <w:t>ws_pres.css</w:t>
      </w:r>
      <w:r>
        <w:rPr>
          <w:color w:val="231F20"/>
        </w:rPr>
        <w:t>) for the label text (header, footer, and chart legend).</w:t>
      </w:r>
    </w:p>
    <w:p>
      <w:pPr>
        <w:pStyle w:val="BodyText"/>
        <w:spacing w:line="213" w:lineRule="auto"/>
        <w:ind w:left="2951" w:right="451"/>
      </w:pPr>
      <w:r>
        <w:rPr>
          <w:color w:val="231F20"/>
        </w:rPr>
        <w:t>This option is useful for text in double-byte character set (DBCS) </w:t>
      </w:r>
      <w:r>
        <w:rPr>
          <w:color w:val="231F20"/>
        </w:rPr>
        <w:t>languages that are more legible with a different font styling than the defaults. The</w:t>
      </w:r>
      <w:r>
        <w:rPr>
          <w:color w:val="231F20"/>
          <w:spacing w:val="40"/>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administrator</w:t>
      </w:r>
      <w:r>
        <w:rPr>
          <w:color w:val="231F20"/>
          <w:spacing w:val="26"/>
        </w:rPr>
        <w:t> </w:t>
      </w:r>
      <w:r>
        <w:rPr>
          <w:color w:val="231F20"/>
        </w:rPr>
        <w:t>can</w:t>
      </w:r>
      <w:r>
        <w:rPr>
          <w:color w:val="231F20"/>
          <w:spacing w:val="26"/>
        </w:rPr>
        <w:t> </w:t>
      </w:r>
      <w:r>
        <w:rPr>
          <w:color w:val="231F20"/>
        </w:rPr>
        <w:t>edit</w:t>
      </w:r>
      <w:r>
        <w:rPr>
          <w:color w:val="231F20"/>
          <w:spacing w:val="26"/>
        </w:rPr>
        <w:t> </w:t>
      </w:r>
      <w:r>
        <w:rPr>
          <w:color w:val="231F20"/>
        </w:rPr>
        <w:t>the</w:t>
      </w:r>
      <w:r>
        <w:rPr>
          <w:color w:val="231F20"/>
          <w:spacing w:val="26"/>
        </w:rPr>
        <w:t> </w:t>
      </w:r>
      <w:r>
        <w:rPr>
          <w:rFonts w:ascii="Arial"/>
          <w:color w:val="231F20"/>
        </w:rPr>
        <w:t>ws_pres.css </w:t>
      </w:r>
      <w:r>
        <w:rPr>
          <w:color w:val="231F20"/>
        </w:rPr>
        <w:t>style</w:t>
      </w:r>
      <w:r>
        <w:rPr>
          <w:color w:val="231F20"/>
          <w:spacing w:val="26"/>
        </w:rPr>
        <w:t> </w:t>
      </w:r>
      <w:r>
        <w:rPr>
          <w:color w:val="231F20"/>
        </w:rPr>
        <w:t>sheet in</w:t>
      </w:r>
      <w:r>
        <w:rPr>
          <w:color w:val="231F20"/>
          <w:spacing w:val="80"/>
        </w:rPr>
        <w:t> </w:t>
      </w:r>
      <w:r>
        <w:rPr>
          <w:color w:val="231F20"/>
        </w:rPr>
        <w:t>the</w:t>
      </w:r>
      <w:r>
        <w:rPr>
          <w:color w:val="231F20"/>
          <w:spacing w:val="80"/>
        </w:rPr>
        <w:t> </w:t>
      </w:r>
      <w:r>
        <w:rPr>
          <w:rFonts w:ascii="Lucida Sans"/>
          <w:i/>
          <w:color w:val="231F20"/>
        </w:rPr>
        <w:t>Install_dir</w:t>
      </w:r>
      <w:r>
        <w:rPr>
          <w:rFonts w:ascii="Arial"/>
          <w:color w:val="231F20"/>
        </w:rPr>
        <w:t>\cnb</w:t>
      </w:r>
      <w:r>
        <w:rPr>
          <w:rFonts w:ascii="Arial"/>
          <w:color w:val="231F20"/>
          <w:spacing w:val="80"/>
        </w:rPr>
        <w:t> </w:t>
      </w:r>
      <w:r>
        <w:rPr>
          <w:rFonts w:ascii="Arial"/>
          <w:color w:val="231F20"/>
        </w:rPr>
        <w:t>(Windows);</w:t>
      </w:r>
      <w:r>
        <w:rPr>
          <w:rFonts w:ascii="Arial"/>
          <w:color w:val="231F20"/>
          <w:spacing w:val="80"/>
        </w:rPr>
        <w:t> </w:t>
      </w:r>
      <w:r>
        <w:rPr>
          <w:rFonts w:ascii="Arial"/>
          <w:color w:val="231F20"/>
        </w:rPr>
        <w:t>cw</w:t>
      </w:r>
      <w:r>
        <w:rPr>
          <w:rFonts w:ascii="Arial"/>
          <w:color w:val="231F20"/>
          <w:spacing w:val="80"/>
        </w:rPr>
        <w:t> </w:t>
      </w:r>
      <w:r>
        <w:rPr>
          <w:rFonts w:ascii="Arial"/>
          <w:color w:val="231F20"/>
        </w:rPr>
        <w:t>(Linux)\classes\candle\fw\ resources\styles </w:t>
      </w:r>
      <w:r>
        <w:rPr>
          <w:color w:val="231F20"/>
        </w:rPr>
        <w:t>directory on the computer where the Tivoli Enterprise</w:t>
      </w:r>
      <w:r>
        <w:rPr>
          <w:color w:val="231F20"/>
          <w:spacing w:val="40"/>
        </w:rPr>
        <w:t> </w:t>
      </w:r>
      <w:r>
        <w:rPr>
          <w:color w:val="231F20"/>
        </w:rPr>
        <w:t>Portal Server is installed, to establish a specific font style that will be used</w:t>
      </w:r>
      <w:r>
        <w:rPr>
          <w:color w:val="231F20"/>
          <w:spacing w:val="80"/>
        </w:rPr>
        <w:t> </w:t>
      </w:r>
      <w:r>
        <w:rPr>
          <w:color w:val="231F20"/>
        </w:rPr>
        <w:t>for</w:t>
      </w:r>
      <w:r>
        <w:rPr>
          <w:color w:val="231F20"/>
          <w:spacing w:val="29"/>
        </w:rPr>
        <w:t> </w:t>
      </w:r>
      <w:r>
        <w:rPr>
          <w:color w:val="231F20"/>
        </w:rPr>
        <w:t>all</w:t>
      </w:r>
      <w:r>
        <w:rPr>
          <w:color w:val="231F20"/>
          <w:spacing w:val="29"/>
        </w:rPr>
        <w:t> </w:t>
      </w:r>
      <w:r>
        <w:rPr>
          <w:color w:val="231F20"/>
        </w:rPr>
        <w:t>label</w:t>
      </w:r>
      <w:r>
        <w:rPr>
          <w:color w:val="231F20"/>
          <w:spacing w:val="29"/>
        </w:rPr>
        <w:t> </w:t>
      </w:r>
      <w:r>
        <w:rPr>
          <w:color w:val="231F20"/>
        </w:rPr>
        <w:t>text</w:t>
      </w:r>
      <w:r>
        <w:rPr>
          <w:color w:val="231F20"/>
          <w:spacing w:val="29"/>
        </w:rPr>
        <w:t> </w:t>
      </w:r>
      <w:r>
        <w:rPr>
          <w:color w:val="231F20"/>
        </w:rPr>
        <w:t>and</w:t>
      </w:r>
      <w:r>
        <w:rPr>
          <w:color w:val="231F20"/>
          <w:spacing w:val="29"/>
        </w:rPr>
        <w:t> </w:t>
      </w:r>
      <w:r>
        <w:rPr>
          <w:color w:val="231F20"/>
        </w:rPr>
        <w:t>that</w:t>
      </w:r>
      <w:r>
        <w:rPr>
          <w:color w:val="231F20"/>
          <w:spacing w:val="29"/>
        </w:rPr>
        <w:t> </w:t>
      </w:r>
      <w:r>
        <w:rPr>
          <w:color w:val="231F20"/>
        </w:rPr>
        <w:t>will</w:t>
      </w:r>
      <w:r>
        <w:rPr>
          <w:color w:val="231F20"/>
          <w:spacing w:val="29"/>
        </w:rPr>
        <w:t> </w:t>
      </w:r>
      <w:r>
        <w:rPr>
          <w:color w:val="231F20"/>
        </w:rPr>
        <w:t>not</w:t>
      </w:r>
      <w:r>
        <w:rPr>
          <w:color w:val="231F20"/>
          <w:spacing w:val="29"/>
        </w:rPr>
        <w:t> </w:t>
      </w:r>
      <w:r>
        <w:rPr>
          <w:color w:val="231F20"/>
        </w:rPr>
        <w:t>be</w:t>
      </w:r>
      <w:r>
        <w:rPr>
          <w:color w:val="231F20"/>
          <w:spacing w:val="29"/>
        </w:rPr>
        <w:t> </w:t>
      </w:r>
      <w:r>
        <w:rPr>
          <w:color w:val="231F20"/>
        </w:rPr>
        <w:t>overwritten</w:t>
      </w:r>
      <w:r>
        <w:rPr>
          <w:color w:val="231F20"/>
          <w:spacing w:val="29"/>
        </w:rPr>
        <w:t> </w:t>
      </w:r>
      <w:r>
        <w:rPr>
          <w:color w:val="231F20"/>
        </w:rPr>
        <w:t>whenever</w:t>
      </w:r>
      <w:r>
        <w:rPr>
          <w:color w:val="231F20"/>
          <w:spacing w:val="29"/>
        </w:rPr>
        <w:t> </w:t>
      </w:r>
      <w:r>
        <w:rPr>
          <w:color w:val="231F20"/>
        </w:rPr>
        <w:t>your installation is upgraded to a new release.</w:t>
      </w:r>
    </w:p>
    <w:p>
      <w:pPr>
        <w:pStyle w:val="BodyText"/>
        <w:spacing w:line="213" w:lineRule="auto" w:before="113"/>
        <w:ind w:left="2951" w:right="636"/>
      </w:pPr>
      <w:r>
        <w:rPr>
          <w:color w:val="231F20"/>
        </w:rPr>
        <w:t>Clear the check box if you want to use the font styling that is specified </w:t>
      </w:r>
      <w:r>
        <w:rPr>
          <w:color w:val="231F20"/>
        </w:rPr>
        <w:t>in</w:t>
      </w:r>
      <w:r>
        <w:rPr>
          <w:color w:val="231F20"/>
          <w:spacing w:val="40"/>
        </w:rPr>
        <w:t> </w:t>
      </w:r>
      <w:r>
        <w:rPr>
          <w:color w:val="231F20"/>
        </w:rPr>
        <w:t>the </w:t>
      </w:r>
      <w:r>
        <w:rPr>
          <w:rFonts w:ascii="Book Antiqua"/>
          <w:b/>
          <w:color w:val="231F20"/>
        </w:rPr>
        <w:t>Text style </w:t>
      </w:r>
      <w:r>
        <w:rPr>
          <w:color w:val="231F20"/>
        </w:rPr>
        <w:t>area.</w:t>
      </w:r>
    </w:p>
    <w:p>
      <w:pPr>
        <w:pStyle w:val="Heading5"/>
        <w:ind w:left="2232"/>
      </w:pPr>
      <w:r>
        <w:rPr>
          <w:color w:val="231F20"/>
        </w:rPr>
        <w:t>Legend</w:t>
      </w:r>
      <w:r>
        <w:rPr>
          <w:color w:val="231F20"/>
          <w:spacing w:val="3"/>
        </w:rPr>
        <w:t> </w:t>
      </w:r>
      <w:r>
        <w:rPr>
          <w:color w:val="231F20"/>
          <w:spacing w:val="-4"/>
        </w:rPr>
        <w:t>Label</w:t>
      </w:r>
    </w:p>
    <w:p>
      <w:pPr>
        <w:pStyle w:val="BodyText"/>
        <w:spacing w:line="213" w:lineRule="auto" w:before="246"/>
        <w:ind w:left="2232" w:right="545"/>
      </w:pPr>
      <w:r>
        <w:rPr>
          <w:color w:val="231F20"/>
        </w:rPr>
        <w:t>Use this tab to specify the colors and text associated with the data points and data</w:t>
      </w:r>
      <w:r>
        <w:rPr>
          <w:color w:val="231F20"/>
          <w:spacing w:val="40"/>
        </w:rPr>
        <w:t> </w:t>
      </w:r>
      <w:r>
        <w:rPr>
          <w:color w:val="231F20"/>
        </w:rPr>
        <w:t>series in the chart.</w:t>
      </w:r>
    </w:p>
    <w:p>
      <w:pPr>
        <w:pStyle w:val="Heading6"/>
        <w:ind w:left="2232"/>
      </w:pPr>
      <w:r>
        <w:rPr>
          <w:color w:val="231F20"/>
          <w:spacing w:val="-2"/>
        </w:rPr>
        <w:t>Legends</w:t>
      </w:r>
    </w:p>
    <w:p>
      <w:pPr>
        <w:pStyle w:val="BodyText"/>
        <w:spacing w:line="213" w:lineRule="auto" w:before="11"/>
        <w:ind w:left="2951" w:right="545"/>
      </w:pPr>
      <w:r>
        <w:rPr>
          <w:color w:val="231F20"/>
        </w:rPr>
        <w:t>Lists the attributes that are being plotted. Select an attribute from the list </w:t>
      </w:r>
      <w:r>
        <w:rPr>
          <w:color w:val="231F20"/>
        </w:rPr>
        <w:t>to see and change the legend text or the plot point (or series) color.</w:t>
      </w:r>
    </w:p>
    <w:p>
      <w:pPr>
        <w:pStyle w:val="BodyText"/>
        <w:tabs>
          <w:tab w:pos="2951" w:val="left" w:leader="none"/>
        </w:tabs>
        <w:spacing w:before="96"/>
        <w:ind w:left="2232"/>
      </w:pPr>
      <w:r>
        <w:rPr>
          <w:rFonts w:ascii="Book Antiqua"/>
          <w:b/>
          <w:color w:val="231F20"/>
          <w:spacing w:val="-4"/>
        </w:rPr>
        <w:t>Text</w:t>
      </w:r>
      <w:r>
        <w:rPr>
          <w:rFonts w:ascii="Book Antiqua"/>
          <w:b/>
          <w:color w:val="231F20"/>
        </w:rPr>
        <w:tab/>
      </w:r>
      <w:r>
        <w:rPr>
          <w:color w:val="231F20"/>
        </w:rPr>
        <w:t>The</w:t>
      </w:r>
      <w:r>
        <w:rPr>
          <w:color w:val="231F20"/>
          <w:spacing w:val="11"/>
        </w:rPr>
        <w:t> </w:t>
      </w:r>
      <w:r>
        <w:rPr>
          <w:color w:val="231F20"/>
        </w:rPr>
        <w:t>legend</w:t>
      </w:r>
      <w:r>
        <w:rPr>
          <w:color w:val="231F20"/>
          <w:spacing w:val="12"/>
        </w:rPr>
        <w:t> </w:t>
      </w:r>
      <w:r>
        <w:rPr>
          <w:color w:val="231F20"/>
        </w:rPr>
        <w:t>label</w:t>
      </w:r>
      <w:r>
        <w:rPr>
          <w:color w:val="231F20"/>
          <w:spacing w:val="12"/>
        </w:rPr>
        <w:t> </w:t>
      </w:r>
      <w:r>
        <w:rPr>
          <w:color w:val="231F20"/>
        </w:rPr>
        <w:t>text.</w:t>
      </w:r>
      <w:r>
        <w:rPr>
          <w:color w:val="231F20"/>
          <w:spacing w:val="12"/>
        </w:rPr>
        <w:t> </w:t>
      </w:r>
      <w:r>
        <w:rPr>
          <w:color w:val="231F20"/>
        </w:rPr>
        <w:t>By</w:t>
      </w:r>
      <w:r>
        <w:rPr>
          <w:color w:val="231F20"/>
          <w:spacing w:val="12"/>
        </w:rPr>
        <w:t> </w:t>
      </w:r>
      <w:r>
        <w:rPr>
          <w:color w:val="231F20"/>
        </w:rPr>
        <w:t>default,</w:t>
      </w:r>
      <w:r>
        <w:rPr>
          <w:color w:val="231F20"/>
          <w:spacing w:val="12"/>
        </w:rPr>
        <w:t> </w:t>
      </w:r>
      <w:r>
        <w:rPr>
          <w:color w:val="231F20"/>
        </w:rPr>
        <w:t>this</w:t>
      </w:r>
      <w:r>
        <w:rPr>
          <w:color w:val="231F20"/>
          <w:spacing w:val="11"/>
        </w:rPr>
        <w:t> </w:t>
      </w:r>
      <w:r>
        <w:rPr>
          <w:color w:val="231F20"/>
        </w:rPr>
        <w:t>is</w:t>
      </w:r>
      <w:r>
        <w:rPr>
          <w:color w:val="231F20"/>
          <w:spacing w:val="12"/>
        </w:rPr>
        <w:t> </w:t>
      </w:r>
      <w:r>
        <w:rPr>
          <w:color w:val="231F20"/>
        </w:rPr>
        <w:t>the</w:t>
      </w:r>
      <w:r>
        <w:rPr>
          <w:color w:val="231F20"/>
          <w:spacing w:val="12"/>
        </w:rPr>
        <w:t> </w:t>
      </w:r>
      <w:r>
        <w:rPr>
          <w:color w:val="231F20"/>
        </w:rPr>
        <w:t>attribute</w:t>
      </w:r>
      <w:r>
        <w:rPr>
          <w:color w:val="231F20"/>
          <w:spacing w:val="12"/>
        </w:rPr>
        <w:t> </w:t>
      </w:r>
      <w:r>
        <w:rPr>
          <w:color w:val="231F20"/>
          <w:spacing w:val="-2"/>
        </w:rPr>
        <w:t>name.</w:t>
      </w:r>
    </w:p>
    <w:p>
      <w:pPr>
        <w:pStyle w:val="Heading6"/>
        <w:spacing w:before="111"/>
        <w:ind w:left="2232"/>
      </w:pPr>
      <w:r>
        <w:rPr>
          <w:color w:val="231F20"/>
        </w:rPr>
        <w:t>Fill</w:t>
      </w:r>
      <w:r>
        <w:rPr>
          <w:color w:val="231F20"/>
          <w:spacing w:val="12"/>
        </w:rPr>
        <w:t> </w:t>
      </w:r>
      <w:r>
        <w:rPr>
          <w:color w:val="231F20"/>
          <w:spacing w:val="-2"/>
        </w:rPr>
        <w:t>Style</w:t>
      </w:r>
    </w:p>
    <w:p>
      <w:pPr>
        <w:pStyle w:val="BodyText"/>
        <w:spacing w:line="213" w:lineRule="auto" w:before="11"/>
        <w:ind w:left="2951" w:right="545"/>
      </w:pPr>
      <w:r>
        <w:rPr>
          <w:color w:val="231F20"/>
        </w:rPr>
        <w:t>For pie charts, bar charts, and area charts, you can select a </w:t>
      </w:r>
      <w:r>
        <w:rPr>
          <w:rFonts w:ascii="Book Antiqua"/>
          <w:b/>
          <w:color w:val="231F20"/>
        </w:rPr>
        <w:t>Fill Pattern </w:t>
      </w:r>
      <w:r>
        <w:rPr>
          <w:color w:val="231F20"/>
        </w:rPr>
        <w:t>or </w:t>
      </w:r>
      <w:r>
        <w:rPr>
          <w:rFonts w:ascii="Book Antiqua"/>
          <w:b/>
          <w:color w:val="231F20"/>
        </w:rPr>
        <w:t>Color </w:t>
      </w:r>
      <w:r>
        <w:rPr>
          <w:color w:val="231F20"/>
        </w:rPr>
        <w:t>from the list for the data point and its associated legend item. If </w:t>
      </w:r>
      <w:r>
        <w:rPr>
          <w:color w:val="231F20"/>
        </w:rPr>
        <w:t>you want more color choices, click </w:t>
      </w:r>
      <w:r>
        <w:rPr>
          <w:rFonts w:ascii="Book Antiqua"/>
          <w:b/>
          <w:color w:val="231F20"/>
        </w:rPr>
        <w:t>Custom Colors </w:t>
      </w:r>
      <w:r>
        <w:rPr>
          <w:color w:val="231F20"/>
        </w:rPr>
        <w:t>and select from a broader range of colors or create a new color.</w:t>
      </w:r>
    </w:p>
    <w:p>
      <w:pPr>
        <w:pStyle w:val="Heading6"/>
        <w:spacing w:before="116"/>
        <w:ind w:left="2232"/>
      </w:pPr>
      <w:r>
        <w:rPr>
          <w:color w:val="231F20"/>
        </w:rPr>
        <w:t>Line</w:t>
      </w:r>
      <w:r>
        <w:rPr>
          <w:color w:val="231F20"/>
          <w:spacing w:val="11"/>
        </w:rPr>
        <w:t> </w:t>
      </w:r>
      <w:r>
        <w:rPr>
          <w:color w:val="231F20"/>
          <w:spacing w:val="-2"/>
        </w:rPr>
        <w:t>Style</w:t>
      </w:r>
    </w:p>
    <w:p>
      <w:pPr>
        <w:pStyle w:val="BodyText"/>
        <w:spacing w:line="213" w:lineRule="auto" w:before="11"/>
        <w:ind w:left="2951" w:right="545"/>
      </w:pPr>
      <w:r>
        <w:rPr>
          <w:color w:val="231F20"/>
        </w:rPr>
        <w:t>For plot charts, you can select a line pattern and width for each attribute's line on the chart. You can also select the color to use for the lines. Click </w:t>
      </w:r>
      <w:r>
        <w:rPr>
          <w:rFonts w:ascii="Book Antiqua"/>
          <w:b/>
          <w:color w:val="231F20"/>
        </w:rPr>
        <w:t>Custom Colors </w:t>
      </w:r>
      <w:r>
        <w:rPr>
          <w:color w:val="231F20"/>
        </w:rPr>
        <w:t>to choose from a wider selection of colors or to create </w:t>
      </w:r>
      <w:r>
        <w:rPr>
          <w:color w:val="231F20"/>
        </w:rPr>
        <w:t>your </w:t>
      </w:r>
      <w:r>
        <w:rPr>
          <w:color w:val="231F20"/>
          <w:spacing w:val="-4"/>
        </w:rPr>
        <w:t>own.</w:t>
      </w:r>
    </w:p>
    <w:p>
      <w:pPr>
        <w:pStyle w:val="Heading6"/>
        <w:spacing w:before="116"/>
        <w:ind w:left="2232"/>
      </w:pPr>
      <w:r>
        <w:rPr>
          <w:color w:val="231F20"/>
        </w:rPr>
        <w:t>Symbol</w:t>
      </w:r>
      <w:r>
        <w:rPr>
          <w:color w:val="231F20"/>
          <w:spacing w:val="8"/>
        </w:rPr>
        <w:t> </w:t>
      </w:r>
      <w:r>
        <w:rPr>
          <w:color w:val="231F20"/>
          <w:spacing w:val="-4"/>
        </w:rPr>
        <w:t>Style</w:t>
      </w:r>
    </w:p>
    <w:p>
      <w:pPr>
        <w:pStyle w:val="BodyText"/>
        <w:spacing w:line="213" w:lineRule="auto" w:before="12"/>
        <w:ind w:left="2951" w:right="545"/>
      </w:pPr>
      <w:r>
        <w:rPr>
          <w:color w:val="231F20"/>
        </w:rPr>
        <w:t>For plot charts, you can select a symbol and size for each data point on an</w:t>
      </w:r>
      <w:r>
        <w:rPr>
          <w:color w:val="231F20"/>
          <w:spacing w:val="40"/>
        </w:rPr>
        <w:t> </w:t>
      </w:r>
      <w:r>
        <w:rPr>
          <w:color w:val="231F20"/>
        </w:rPr>
        <w:t>attribute's line. You can also select the color to use for the symbols. Click </w:t>
      </w:r>
      <w:r>
        <w:rPr>
          <w:rFonts w:ascii="Book Antiqua"/>
          <w:b/>
          <w:color w:val="231F20"/>
        </w:rPr>
        <w:t>Custom Colors </w:t>
      </w:r>
      <w:r>
        <w:rPr>
          <w:color w:val="231F20"/>
        </w:rPr>
        <w:t>to choose from a wider selection of colors or to create </w:t>
      </w:r>
      <w:r>
        <w:rPr>
          <w:color w:val="231F20"/>
        </w:rPr>
        <w:t>your </w:t>
      </w:r>
      <w:r>
        <w:rPr>
          <w:color w:val="231F20"/>
          <w:spacing w:val="-4"/>
        </w:rPr>
        <w:t>own.</w:t>
      </w:r>
    </w:p>
    <w:p>
      <w:pPr>
        <w:pStyle w:val="Heading4"/>
        <w:spacing w:line="273" w:lineRule="exact" w:before="163"/>
      </w:pPr>
      <w:r>
        <w:rPr>
          <w:color w:val="231F20"/>
        </w:rPr>
        <w:t>Custom</w:t>
      </w:r>
      <w:r>
        <w:rPr>
          <w:color w:val="231F20"/>
          <w:spacing w:val="4"/>
        </w:rPr>
        <w:t> </w:t>
      </w:r>
      <w:r>
        <w:rPr>
          <w:color w:val="231F20"/>
          <w:spacing w:val="-2"/>
        </w:rPr>
        <w:t>Color</w:t>
      </w:r>
    </w:p>
    <w:p>
      <w:pPr>
        <w:pStyle w:val="BodyText"/>
        <w:spacing w:line="213" w:lineRule="auto" w:before="20"/>
        <w:ind w:left="2232" w:right="545"/>
      </w:pPr>
      <w:r>
        <w:rPr>
          <w:color w:val="231F20"/>
        </w:rPr>
        <w:t>The Custom Color window enables you to customize the color to exactly what </w:t>
      </w:r>
      <w:r>
        <w:rPr>
          <w:color w:val="231F20"/>
        </w:rPr>
        <w:t>you </w:t>
      </w:r>
      <w:r>
        <w:rPr>
          <w:color w:val="231F20"/>
          <w:spacing w:val="-2"/>
        </w:rPr>
        <w:t>want.</w:t>
      </w:r>
    </w:p>
    <w:p>
      <w:pPr>
        <w:spacing w:after="0" w:line="213" w:lineRule="auto"/>
        <w:sectPr>
          <w:pgSz w:w="12240" w:h="15840"/>
          <w:pgMar w:header="0" w:footer="736" w:top="1180" w:bottom="920" w:left="1000" w:right="1060"/>
        </w:sectPr>
      </w:pPr>
    </w:p>
    <w:p>
      <w:pPr>
        <w:pStyle w:val="Heading6"/>
        <w:spacing w:before="83"/>
      </w:pPr>
      <w:bookmarkStart w:name="_bookmark93" w:id="200"/>
      <w:bookmarkEnd w:id="200"/>
      <w:r>
        <w:rPr>
          <w:b w:val="0"/>
        </w:rPr>
      </w:r>
      <w:r>
        <w:rPr>
          <w:color w:val="231F20"/>
          <w:spacing w:val="-2"/>
        </w:rPr>
        <w:t>Swatches</w:t>
      </w:r>
    </w:p>
    <w:p>
      <w:pPr>
        <w:pStyle w:val="BodyText"/>
        <w:spacing w:line="213" w:lineRule="auto" w:before="12"/>
        <w:ind w:left="3190" w:right="257"/>
        <w:jc w:val="both"/>
      </w:pPr>
      <w:r>
        <w:rPr>
          <w:color w:val="231F20"/>
        </w:rPr>
        <w:t>Select a color in the Swatches tab or create a new color in the HSB or RGB </w:t>
      </w:r>
      <w:r>
        <w:rPr>
          <w:color w:val="231F20"/>
          <w:spacing w:val="-4"/>
        </w:rPr>
        <w:t>tab.</w:t>
      </w:r>
    </w:p>
    <w:p>
      <w:pPr>
        <w:pStyle w:val="BodyText"/>
        <w:spacing w:line="213" w:lineRule="auto" w:before="118"/>
        <w:ind w:left="3190" w:right="252" w:hanging="719"/>
        <w:jc w:val="both"/>
      </w:pPr>
      <w:r>
        <w:rPr>
          <w:rFonts w:ascii="Book Antiqua"/>
          <w:b/>
          <w:color w:val="231F20"/>
        </w:rPr>
        <w:t>HSB</w:t>
      </w:r>
      <w:r>
        <w:rPr>
          <w:rFonts w:ascii="Book Antiqua"/>
          <w:b/>
          <w:color w:val="231F20"/>
          <w:spacing w:val="80"/>
          <w:w w:val="150"/>
        </w:rPr>
        <w:t> </w:t>
      </w:r>
      <w:r>
        <w:rPr>
          <w:color w:val="231F20"/>
        </w:rPr>
        <w:t>HSB displays a color box and vertical slider bar for adjusting the Hue and Saturation or Brightness and RGB values. Click the H, S or B radio </w:t>
      </w:r>
      <w:r>
        <w:rPr>
          <w:color w:val="231F20"/>
        </w:rPr>
        <w:t>button, and drag the small selection ring through the color box:</w:t>
      </w:r>
    </w:p>
    <w:p>
      <w:pPr>
        <w:pStyle w:val="BodyText"/>
        <w:tabs>
          <w:tab w:pos="3465" w:val="left" w:leader="none"/>
        </w:tabs>
        <w:spacing w:line="213" w:lineRule="auto"/>
        <w:ind w:left="3406" w:right="545" w:hanging="216"/>
      </w:pPr>
      <w:r>
        <w:rPr>
          <w:rFonts w:ascii="Futura MdCn BT"/>
          <w:color w:val="231F20"/>
          <w:spacing w:val="-10"/>
        </w:rPr>
        <w:t>v</w:t>
      </w:r>
      <w:r>
        <w:rPr>
          <w:rFonts w:ascii="Futura MdCn BT"/>
          <w:color w:val="231F20"/>
        </w:rPr>
        <w:tab/>
        <w:tab/>
      </w:r>
      <w:r>
        <w:rPr>
          <w:color w:val="231F20"/>
        </w:rPr>
        <w:t>As you move from left to right, Hue goes from 0 to 360 degrees and Saturation goes from 100% down to 0%</w:t>
      </w:r>
    </w:p>
    <w:p>
      <w:pPr>
        <w:pStyle w:val="BodyText"/>
        <w:spacing w:line="245" w:lineRule="exact"/>
        <w:ind w:left="3190"/>
      </w:pPr>
      <w:r>
        <w:rPr>
          <w:rFonts w:ascii="Futura MdCn BT"/>
          <w:color w:val="231F20"/>
        </w:rPr>
        <w:t>v</w:t>
      </w:r>
      <w:r>
        <w:rPr>
          <w:rFonts w:ascii="Futura MdCn BT"/>
          <w:color w:val="231F20"/>
          <w:spacing w:val="31"/>
        </w:rPr>
        <w:t>  </w:t>
      </w:r>
      <w:r>
        <w:rPr>
          <w:color w:val="231F20"/>
        </w:rPr>
        <w:t>As</w:t>
      </w:r>
      <w:r>
        <w:rPr>
          <w:color w:val="231F20"/>
          <w:spacing w:val="12"/>
        </w:rPr>
        <w:t> </w:t>
      </w:r>
      <w:r>
        <w:rPr>
          <w:color w:val="231F20"/>
        </w:rPr>
        <w:t>you</w:t>
      </w:r>
      <w:r>
        <w:rPr>
          <w:color w:val="231F20"/>
          <w:spacing w:val="12"/>
        </w:rPr>
        <w:t> </w:t>
      </w:r>
      <w:r>
        <w:rPr>
          <w:color w:val="231F20"/>
        </w:rPr>
        <w:t>move</w:t>
      </w:r>
      <w:r>
        <w:rPr>
          <w:color w:val="231F20"/>
          <w:spacing w:val="12"/>
        </w:rPr>
        <w:t> </w:t>
      </w:r>
      <w:r>
        <w:rPr>
          <w:color w:val="231F20"/>
        </w:rPr>
        <w:t>from</w:t>
      </w:r>
      <w:r>
        <w:rPr>
          <w:color w:val="231F20"/>
          <w:spacing w:val="13"/>
        </w:rPr>
        <w:t> </w:t>
      </w:r>
      <w:r>
        <w:rPr>
          <w:color w:val="231F20"/>
        </w:rPr>
        <w:t>top</w:t>
      </w:r>
      <w:r>
        <w:rPr>
          <w:color w:val="231F20"/>
          <w:spacing w:val="12"/>
        </w:rPr>
        <w:t> </w:t>
      </w:r>
      <w:r>
        <w:rPr>
          <w:color w:val="231F20"/>
        </w:rPr>
        <w:t>to</w:t>
      </w:r>
      <w:r>
        <w:rPr>
          <w:color w:val="231F20"/>
          <w:spacing w:val="12"/>
        </w:rPr>
        <w:t> </w:t>
      </w:r>
      <w:r>
        <w:rPr>
          <w:color w:val="231F20"/>
        </w:rPr>
        <w:t>bottom,</w:t>
      </w:r>
      <w:r>
        <w:rPr>
          <w:color w:val="231F20"/>
          <w:spacing w:val="12"/>
        </w:rPr>
        <w:t> </w:t>
      </w:r>
      <w:r>
        <w:rPr>
          <w:color w:val="231F20"/>
        </w:rPr>
        <w:t>Brightness</w:t>
      </w:r>
      <w:r>
        <w:rPr>
          <w:color w:val="231F20"/>
          <w:spacing w:val="12"/>
        </w:rPr>
        <w:t> </w:t>
      </w:r>
      <w:r>
        <w:rPr>
          <w:color w:val="231F20"/>
          <w:spacing w:val="-2"/>
        </w:rPr>
        <w:t>diminishes.</w:t>
      </w:r>
    </w:p>
    <w:p>
      <w:pPr>
        <w:pStyle w:val="BodyText"/>
        <w:spacing w:line="213" w:lineRule="auto" w:before="111"/>
        <w:ind w:left="3190" w:right="385"/>
      </w:pPr>
      <w:r>
        <w:rPr>
          <w:color w:val="231F20"/>
        </w:rPr>
        <w:t>Notice the values of the two </w:t>
      </w:r>
      <w:r>
        <w:rPr>
          <w:rFonts w:ascii="Book Antiqua"/>
          <w:i/>
          <w:color w:val="231F20"/>
        </w:rPr>
        <w:t>unselected </w:t>
      </w:r>
      <w:r>
        <w:rPr>
          <w:color w:val="231F20"/>
        </w:rPr>
        <w:t>elements change as you drag the selection ring, but not that of the one selected. Drag the vertical slider </w:t>
      </w:r>
      <w:r>
        <w:rPr>
          <w:color w:val="231F20"/>
        </w:rPr>
        <w:t>bar up and down to change the value of the selected element.</w:t>
      </w:r>
    </w:p>
    <w:p>
      <w:pPr>
        <w:pStyle w:val="BodyText"/>
        <w:tabs>
          <w:tab w:pos="3190" w:val="left" w:leader="none"/>
        </w:tabs>
        <w:spacing w:line="213" w:lineRule="auto" w:before="117"/>
        <w:ind w:left="3190" w:right="765" w:hanging="719"/>
      </w:pPr>
      <w:r>
        <w:rPr>
          <w:rFonts w:ascii="Book Antiqua"/>
          <w:b/>
          <w:color w:val="231F20"/>
          <w:spacing w:val="-4"/>
        </w:rPr>
        <w:t>RGB</w:t>
      </w:r>
      <w:r>
        <w:rPr>
          <w:rFonts w:ascii="Book Antiqua"/>
          <w:b/>
          <w:color w:val="231F20"/>
        </w:rPr>
        <w:tab/>
      </w:r>
      <w:r>
        <w:rPr>
          <w:color w:val="231F20"/>
        </w:rPr>
        <w:t>The RGB tab has horizontal sliders to adjust the Red, Green and </w:t>
      </w:r>
      <w:r>
        <w:rPr>
          <w:color w:val="231F20"/>
        </w:rPr>
        <w:t>Blue </w:t>
      </w:r>
      <w:bookmarkStart w:name="Value and Category Axes" w:id="201"/>
      <w:bookmarkEnd w:id="201"/>
      <w:r>
        <w:rPr>
          <w:color w:val="231F20"/>
          <w:spacing w:val="-2"/>
        </w:rPr>
        <w:t>values.</w:t>
      </w:r>
    </w:p>
    <w:p>
      <w:pPr>
        <w:pStyle w:val="Heading4"/>
        <w:spacing w:line="273" w:lineRule="exact" w:before="165"/>
        <w:ind w:left="2472"/>
      </w:pPr>
      <w:r>
        <w:rPr>
          <w:color w:val="231F20"/>
        </w:rPr>
        <w:t>Value and</w:t>
      </w:r>
      <w:r>
        <w:rPr>
          <w:color w:val="231F20"/>
          <w:spacing w:val="1"/>
        </w:rPr>
        <w:t> </w:t>
      </w:r>
      <w:r>
        <w:rPr>
          <w:color w:val="231F20"/>
        </w:rPr>
        <w:t>Category</w:t>
      </w:r>
      <w:r>
        <w:rPr>
          <w:color w:val="231F20"/>
          <w:spacing w:val="-7"/>
        </w:rPr>
        <w:t> </w:t>
      </w:r>
      <w:r>
        <w:rPr>
          <w:color w:val="231F20"/>
          <w:spacing w:val="-4"/>
        </w:rPr>
        <w:t>Axes</w:t>
      </w:r>
    </w:p>
    <w:p>
      <w:pPr>
        <w:pStyle w:val="BodyText"/>
        <w:spacing w:line="213" w:lineRule="auto" w:before="20"/>
        <w:ind w:left="2472" w:right="258"/>
      </w:pPr>
      <w:r>
        <w:rPr>
          <w:color w:val="231F20"/>
        </w:rPr>
        <w:t>Edit the axis style properties to switch between vertical and horizontal </w:t>
      </w:r>
      <w:r>
        <w:rPr>
          <w:color w:val="231F20"/>
        </w:rPr>
        <w:t>orientation, and to add labels and styling options.</w:t>
      </w:r>
    </w:p>
    <w:p>
      <w:pPr>
        <w:pStyle w:val="BodyText"/>
        <w:spacing w:line="213" w:lineRule="auto" w:before="238"/>
        <w:ind w:left="2472" w:right="274"/>
      </w:pPr>
      <w:r>
        <w:rPr>
          <w:color w:val="231F20"/>
        </w:rPr>
        <w:t>The value axis is arranged vertically and the category axis is arranged </w:t>
      </w:r>
      <w:r>
        <w:rPr>
          <w:color w:val="231F20"/>
        </w:rPr>
        <w:t>horizontally with tick marks and numbers at regular intervals to represent the full range of attribute values being plotted. Click the Value Axis or Category Axis of the bar</w:t>
      </w:r>
      <w:r>
        <w:rPr>
          <w:color w:val="231F20"/>
          <w:spacing w:val="40"/>
        </w:rPr>
        <w:t> </w:t>
      </w:r>
      <w:r>
        <w:rPr>
          <w:color w:val="231F20"/>
        </w:rPr>
        <w:t>chart,</w:t>
      </w:r>
      <w:r>
        <w:rPr>
          <w:color w:val="231F20"/>
          <w:spacing w:val="26"/>
        </w:rPr>
        <w:t> </w:t>
      </w:r>
      <w:r>
        <w:rPr>
          <w:color w:val="231F20"/>
        </w:rPr>
        <w:t>plot</w:t>
      </w:r>
      <w:r>
        <w:rPr>
          <w:color w:val="231F20"/>
          <w:spacing w:val="26"/>
        </w:rPr>
        <w:t> </w:t>
      </w:r>
      <w:r>
        <w:rPr>
          <w:color w:val="231F20"/>
        </w:rPr>
        <w:t>chart,</w:t>
      </w:r>
      <w:r>
        <w:rPr>
          <w:color w:val="231F20"/>
          <w:spacing w:val="26"/>
        </w:rPr>
        <w:t> </w:t>
      </w:r>
      <w:r>
        <w:rPr>
          <w:color w:val="231F20"/>
        </w:rPr>
        <w:t>or</w:t>
      </w:r>
      <w:r>
        <w:rPr>
          <w:color w:val="231F20"/>
          <w:spacing w:val="26"/>
        </w:rPr>
        <w:t> </w:t>
      </w:r>
      <w:r>
        <w:rPr>
          <w:color w:val="231F20"/>
        </w:rPr>
        <w:t>area</w:t>
      </w:r>
      <w:r>
        <w:rPr>
          <w:color w:val="231F20"/>
          <w:spacing w:val="26"/>
        </w:rPr>
        <w:t> </w:t>
      </w:r>
      <w:r>
        <w:rPr>
          <w:color w:val="231F20"/>
        </w:rPr>
        <w:t>chart</w:t>
      </w:r>
      <w:r>
        <w:rPr>
          <w:color w:val="231F20"/>
          <w:spacing w:val="26"/>
        </w:rPr>
        <w:t> </w:t>
      </w:r>
      <w:r>
        <w:rPr>
          <w:color w:val="231F20"/>
        </w:rPr>
        <w:t>thumbnail</w:t>
      </w:r>
      <w:r>
        <w:rPr>
          <w:color w:val="231F20"/>
          <w:spacing w:val="26"/>
        </w:rPr>
        <w:t> </w:t>
      </w:r>
      <w:r>
        <w:rPr>
          <w:color w:val="231F20"/>
        </w:rPr>
        <w:t>graphic</w:t>
      </w:r>
      <w:r>
        <w:rPr>
          <w:color w:val="231F20"/>
          <w:spacing w:val="26"/>
        </w:rPr>
        <w:t> </w:t>
      </w:r>
      <w:r>
        <w:rPr>
          <w:color w:val="231F20"/>
        </w:rPr>
        <w:t>to</w:t>
      </w:r>
      <w:r>
        <w:rPr>
          <w:color w:val="231F20"/>
          <w:spacing w:val="26"/>
        </w:rPr>
        <w:t> </w:t>
      </w:r>
      <w:r>
        <w:rPr>
          <w:color w:val="231F20"/>
        </w:rPr>
        <w:t>see</w:t>
      </w:r>
      <w:r>
        <w:rPr>
          <w:color w:val="231F20"/>
          <w:spacing w:val="26"/>
        </w:rPr>
        <w:t> </w:t>
      </w:r>
      <w:r>
        <w:rPr>
          <w:color w:val="231F20"/>
        </w:rPr>
        <w:t>the</w:t>
      </w:r>
      <w:r>
        <w:rPr>
          <w:color w:val="231F20"/>
          <w:spacing w:val="26"/>
        </w:rPr>
        <w:t> </w:t>
      </w:r>
      <w:r>
        <w:rPr>
          <w:color w:val="231F20"/>
        </w:rPr>
        <w:t>General, Axis</w:t>
      </w:r>
      <w:r>
        <w:rPr>
          <w:color w:val="231F20"/>
          <w:spacing w:val="26"/>
        </w:rPr>
        <w:t> </w:t>
      </w:r>
      <w:r>
        <w:rPr>
          <w:color w:val="231F20"/>
        </w:rPr>
        <w:t>Label and Value Axis tabs:</w:t>
      </w:r>
    </w:p>
    <w:p>
      <w:pPr>
        <w:pStyle w:val="Heading5"/>
        <w:spacing w:before="217"/>
      </w:pPr>
      <w:r>
        <w:rPr>
          <w:color w:val="231F20"/>
          <w:spacing w:val="-2"/>
        </w:rPr>
        <w:t>General</w:t>
      </w:r>
    </w:p>
    <w:p>
      <w:pPr>
        <w:pStyle w:val="BodyText"/>
        <w:spacing w:before="222"/>
        <w:ind w:left="2472"/>
      </w:pPr>
      <w:r>
        <w:rPr>
          <w:color w:val="231F20"/>
        </w:rPr>
        <w:t>Value</w:t>
      </w:r>
      <w:r>
        <w:rPr>
          <w:color w:val="231F20"/>
          <w:spacing w:val="3"/>
        </w:rPr>
        <w:t> </w:t>
      </w:r>
      <w:r>
        <w:rPr>
          <w:color w:val="231F20"/>
        </w:rPr>
        <w:t>Axis</w:t>
      </w:r>
      <w:r>
        <w:rPr>
          <w:color w:val="231F20"/>
          <w:spacing w:val="10"/>
        </w:rPr>
        <w:t> </w:t>
      </w:r>
      <w:r>
        <w:rPr>
          <w:color w:val="231F20"/>
        </w:rPr>
        <w:t>-</w:t>
      </w:r>
      <w:r>
        <w:rPr>
          <w:color w:val="231F20"/>
          <w:spacing w:val="9"/>
        </w:rPr>
        <w:t> </w:t>
      </w:r>
      <w:r>
        <w:rPr>
          <w:color w:val="231F20"/>
        </w:rPr>
        <w:t>General</w:t>
      </w:r>
      <w:r>
        <w:rPr>
          <w:color w:val="231F20"/>
          <w:spacing w:val="10"/>
        </w:rPr>
        <w:t> </w:t>
      </w:r>
      <w:r>
        <w:rPr>
          <w:color w:val="231F20"/>
        </w:rPr>
        <w:t>tab</w:t>
      </w:r>
      <w:r>
        <w:rPr>
          <w:color w:val="231F20"/>
          <w:spacing w:val="10"/>
        </w:rPr>
        <w:t> </w:t>
      </w:r>
      <w:r>
        <w:rPr>
          <w:color w:val="231F20"/>
        </w:rPr>
        <w:t>and</w:t>
      </w:r>
      <w:r>
        <w:rPr>
          <w:color w:val="231F20"/>
          <w:spacing w:val="9"/>
        </w:rPr>
        <w:t> </w:t>
      </w:r>
      <w:r>
        <w:rPr>
          <w:color w:val="231F20"/>
        </w:rPr>
        <w:t>Category</w:t>
      </w:r>
      <w:r>
        <w:rPr>
          <w:color w:val="231F20"/>
          <w:spacing w:val="4"/>
        </w:rPr>
        <w:t> </w:t>
      </w:r>
      <w:r>
        <w:rPr>
          <w:color w:val="231F20"/>
        </w:rPr>
        <w:t>Axis</w:t>
      </w:r>
      <w:r>
        <w:rPr>
          <w:color w:val="231F20"/>
          <w:spacing w:val="9"/>
        </w:rPr>
        <w:t> </w:t>
      </w:r>
      <w:r>
        <w:rPr>
          <w:color w:val="231F20"/>
        </w:rPr>
        <w:t>-</w:t>
      </w:r>
      <w:r>
        <w:rPr>
          <w:color w:val="231F20"/>
          <w:spacing w:val="10"/>
        </w:rPr>
        <w:t> </w:t>
      </w:r>
      <w:r>
        <w:rPr>
          <w:color w:val="231F20"/>
        </w:rPr>
        <w:t>General</w:t>
      </w:r>
      <w:r>
        <w:rPr>
          <w:color w:val="231F20"/>
          <w:spacing w:val="10"/>
        </w:rPr>
        <w:t> </w:t>
      </w:r>
      <w:r>
        <w:rPr>
          <w:color w:val="231F20"/>
          <w:spacing w:val="-4"/>
        </w:rPr>
        <w:t>tab:</w:t>
      </w:r>
    </w:p>
    <w:p>
      <w:pPr>
        <w:pStyle w:val="Heading6"/>
        <w:spacing w:line="227" w:lineRule="exact"/>
      </w:pPr>
      <w:r>
        <w:rPr>
          <w:b w:val="0"/>
        </w:rPr>
        <w:drawing>
          <wp:inline distT="0" distB="0" distL="0" distR="0">
            <wp:extent cx="82550" cy="82550"/>
            <wp:effectExtent l="0" t="0" r="0" b="0"/>
            <wp:docPr id="1232" name="Image 1232"/>
            <wp:cNvGraphicFramePr>
              <a:graphicFrameLocks/>
            </wp:cNvGraphicFramePr>
            <a:graphic>
              <a:graphicData uri="http://schemas.openxmlformats.org/drawingml/2006/picture">
                <pic:pic>
                  <pic:nvPicPr>
                    <pic:cNvPr id="1232" name="Image 1232"/>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Show</w:t>
      </w:r>
      <w:r>
        <w:rPr>
          <w:color w:val="231F20"/>
          <w:spacing w:val="23"/>
        </w:rPr>
        <w:t> </w:t>
      </w:r>
      <w:r>
        <w:rPr>
          <w:color w:val="231F20"/>
        </w:rPr>
        <w:t>Grid</w:t>
      </w:r>
    </w:p>
    <w:p>
      <w:pPr>
        <w:pStyle w:val="BodyText"/>
        <w:spacing w:line="213" w:lineRule="auto" w:before="8"/>
        <w:ind w:left="3190" w:right="237"/>
        <w:jc w:val="both"/>
      </w:pPr>
      <w:r>
        <w:rPr>
          <w:color w:val="231F20"/>
        </w:rPr>
        <w:t>The axis already draws a line for the unit measurement, and you can cross these lines with grid lines to aid the reader in following the axis tick mark </w:t>
      </w:r>
      <w:r>
        <w:rPr>
          <w:color w:val="231F20"/>
          <w:spacing w:val="-2"/>
        </w:rPr>
        <w:t>values.</w:t>
      </w:r>
    </w:p>
    <w:p>
      <w:pPr>
        <w:pStyle w:val="Heading6"/>
        <w:spacing w:line="227" w:lineRule="exact" w:before="122"/>
      </w:pPr>
      <w:r>
        <w:rPr>
          <w:b w:val="0"/>
        </w:rPr>
        <w:drawing>
          <wp:inline distT="0" distB="0" distL="0" distR="0">
            <wp:extent cx="82550" cy="82550"/>
            <wp:effectExtent l="0" t="0" r="0" b="0"/>
            <wp:docPr id="1233" name="Image 1233"/>
            <wp:cNvGraphicFramePr>
              <a:graphicFrameLocks/>
            </wp:cNvGraphicFramePr>
            <a:graphic>
              <a:graphicData uri="http://schemas.openxmlformats.org/drawingml/2006/picture">
                <pic:pic>
                  <pic:nvPicPr>
                    <pic:cNvPr id="1233" name="Image 1233"/>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Invert</w:t>
      </w:r>
      <w:r>
        <w:rPr>
          <w:color w:val="231F20"/>
          <w:spacing w:val="10"/>
        </w:rPr>
        <w:t> </w:t>
      </w:r>
      <w:r>
        <w:rPr>
          <w:color w:val="231F20"/>
        </w:rPr>
        <w:t>Category</w:t>
      </w:r>
      <w:r>
        <w:rPr>
          <w:color w:val="231F20"/>
          <w:spacing w:val="10"/>
        </w:rPr>
        <w:t> </w:t>
      </w:r>
      <w:r>
        <w:rPr>
          <w:color w:val="231F20"/>
        </w:rPr>
        <w:t>Axis</w:t>
      </w:r>
      <w:r>
        <w:rPr>
          <w:color w:val="231F20"/>
          <w:spacing w:val="10"/>
        </w:rPr>
        <w:t> </w:t>
      </w:r>
      <w:r>
        <w:rPr>
          <w:color w:val="231F20"/>
        </w:rPr>
        <w:t>and</w:t>
      </w:r>
      <w:r>
        <w:rPr>
          <w:color w:val="231F20"/>
          <w:spacing w:val="10"/>
        </w:rPr>
        <w:t> </w:t>
      </w:r>
      <w:r>
        <w:rPr>
          <w:color w:val="231F20"/>
        </w:rPr>
        <w:t>Value</w:t>
      </w:r>
      <w:r>
        <w:rPr>
          <w:color w:val="231F20"/>
          <w:spacing w:val="10"/>
        </w:rPr>
        <w:t> </w:t>
      </w:r>
      <w:r>
        <w:rPr>
          <w:color w:val="231F20"/>
        </w:rPr>
        <w:t>Axis</w:t>
      </w:r>
    </w:p>
    <w:p>
      <w:pPr>
        <w:pStyle w:val="BodyText"/>
        <w:spacing w:line="213" w:lineRule="auto" w:before="9"/>
        <w:ind w:left="3190" w:right="385"/>
      </w:pPr>
      <w:r>
        <w:rPr>
          <w:color w:val="231F20"/>
        </w:rPr>
        <w:t>Switches the position of the value axis with the category axis so the </w:t>
      </w:r>
      <w:r>
        <w:rPr>
          <w:color w:val="231F20"/>
        </w:rPr>
        <w:t>values are written horizontally along the bottom of the chart and the category (refresh interval times) axis is vertical.</w:t>
      </w:r>
    </w:p>
    <w:p>
      <w:pPr>
        <w:pStyle w:val="Heading5"/>
      </w:pPr>
      <w:r>
        <w:rPr>
          <w:color w:val="231F20"/>
          <w:spacing w:val="-2"/>
        </w:rPr>
        <w:t>Label</w:t>
      </w:r>
    </w:p>
    <w:p>
      <w:pPr>
        <w:pStyle w:val="BodyText"/>
        <w:spacing w:before="222"/>
        <w:ind w:left="2472"/>
      </w:pPr>
      <w:r>
        <w:rPr>
          <w:color w:val="231F20"/>
        </w:rPr>
        <w:t>Axis</w:t>
      </w:r>
      <w:r>
        <w:rPr>
          <w:color w:val="231F20"/>
          <w:spacing w:val="11"/>
        </w:rPr>
        <w:t> </w:t>
      </w:r>
      <w:r>
        <w:rPr>
          <w:color w:val="231F20"/>
        </w:rPr>
        <w:t>Label</w:t>
      </w:r>
      <w:r>
        <w:rPr>
          <w:color w:val="231F20"/>
          <w:spacing w:val="12"/>
        </w:rPr>
        <w:t> </w:t>
      </w:r>
      <w:r>
        <w:rPr>
          <w:color w:val="231F20"/>
          <w:spacing w:val="-4"/>
        </w:rPr>
        <w:t>tab:</w:t>
      </w:r>
    </w:p>
    <w:p>
      <w:pPr>
        <w:pStyle w:val="BodyText"/>
        <w:tabs>
          <w:tab w:pos="3190" w:val="left" w:leader="none"/>
        </w:tabs>
        <w:spacing w:line="211" w:lineRule="auto" w:before="120"/>
        <w:ind w:left="3190" w:right="292" w:hanging="719"/>
      </w:pPr>
      <w:r>
        <w:rPr>
          <w:rFonts w:ascii="Book Antiqua"/>
          <w:b/>
          <w:color w:val="231F20"/>
          <w:spacing w:val="-2"/>
        </w:rPr>
        <w:t>Label</w:t>
      </w:r>
      <w:r>
        <w:rPr>
          <w:rFonts w:ascii="Book Antiqua"/>
          <w:b/>
          <w:color w:val="231F20"/>
        </w:rPr>
        <w:tab/>
      </w:r>
      <w:r>
        <w:rPr>
          <w:rFonts w:ascii="Book Antiqua"/>
          <w:b/>
          <w:color w:val="231F20"/>
        </w:rPr>
        <w:drawing>
          <wp:inline distT="0" distB="0" distL="0" distR="0">
            <wp:extent cx="82550" cy="82550"/>
            <wp:effectExtent l="0" t="0" r="0" b="0"/>
            <wp:docPr id="1234" name="Image 1234"/>
            <wp:cNvGraphicFramePr>
              <a:graphicFrameLocks/>
            </wp:cNvGraphicFramePr>
            <a:graphic>
              <a:graphicData uri="http://schemas.openxmlformats.org/drawingml/2006/picture">
                <pic:pic>
                  <pic:nvPicPr>
                    <pic:cNvPr id="1234" name="Image 1234"/>
                    <pic:cNvPicPr/>
                  </pic:nvPicPr>
                  <pic:blipFill>
                    <a:blip r:embed="rId87" cstate="print"/>
                    <a:stretch>
                      <a:fillRect/>
                    </a:stretch>
                  </pic:blipFill>
                  <pic:spPr>
                    <a:xfrm>
                      <a:off x="0" y="0"/>
                      <a:ext cx="82550" cy="82550"/>
                    </a:xfrm>
                    <a:prstGeom prst="rect">
                      <a:avLst/>
                    </a:prstGeom>
                  </pic:spPr>
                </pic:pic>
              </a:graphicData>
            </a:graphic>
          </wp:inline>
        </w:drawing>
      </w:r>
      <w:r>
        <w:rPr>
          <w:rFonts w:ascii="Book Antiqua"/>
          <w:b/>
          <w:color w:val="231F20"/>
        </w:rPr>
      </w:r>
      <w:r>
        <w:rPr>
          <w:rFonts w:ascii="Times New Roman"/>
          <w:color w:val="231F20"/>
        </w:rPr>
        <w:t> </w:t>
      </w:r>
      <w:r>
        <w:rPr>
          <w:rFonts w:ascii="Book Antiqua"/>
          <w:b/>
          <w:color w:val="231F20"/>
        </w:rPr>
        <w:t>Show Text </w:t>
      </w:r>
      <w:r>
        <w:rPr>
          <w:color w:val="231F20"/>
        </w:rPr>
        <w:t>displays a label for the category axis or value axis (such as "Bytes per second""). Type the label in the </w:t>
      </w:r>
      <w:r>
        <w:rPr>
          <w:rFonts w:ascii="Book Antiqua"/>
          <w:b/>
          <w:color w:val="231F20"/>
        </w:rPr>
        <w:t>Text </w:t>
      </w:r>
      <w:r>
        <w:rPr>
          <w:color w:val="231F20"/>
        </w:rPr>
        <w:t>field. Select any </w:t>
      </w:r>
      <w:r>
        <w:rPr>
          <w:color w:val="231F20"/>
        </w:rPr>
        <w:t>formatting changes from the </w:t>
      </w:r>
      <w:r>
        <w:rPr>
          <w:color w:val="231F20"/>
          <w:spacing w:val="16"/>
          <w:position w:val="-1"/>
        </w:rPr>
        <w:drawing>
          <wp:inline distT="0" distB="0" distL="0" distR="0">
            <wp:extent cx="101600" cy="101600"/>
            <wp:effectExtent l="0" t="0" r="0" b="0"/>
            <wp:docPr id="1235" name="Image 1235"/>
            <wp:cNvGraphicFramePr>
              <a:graphicFrameLocks/>
            </wp:cNvGraphicFramePr>
            <a:graphic>
              <a:graphicData uri="http://schemas.openxmlformats.org/drawingml/2006/picture">
                <pic:pic>
                  <pic:nvPicPr>
                    <pic:cNvPr id="1235" name="Image 1235"/>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 for </w:t>
      </w:r>
      <w:r>
        <w:rPr>
          <w:rFonts w:ascii="Book Antiqua"/>
          <w:b/>
          <w:color w:val="231F20"/>
        </w:rPr>
        <w:t>Font</w:t>
      </w:r>
      <w:r>
        <w:rPr>
          <w:color w:val="231F20"/>
        </w:rPr>
        <w:t>, </w:t>
      </w:r>
      <w:r>
        <w:rPr>
          <w:rFonts w:ascii="Book Antiqua"/>
          <w:b/>
          <w:color w:val="231F20"/>
        </w:rPr>
        <w:t>Size</w:t>
      </w:r>
      <w:r>
        <w:rPr>
          <w:color w:val="231F20"/>
        </w:rPr>
        <w:t>, or </w:t>
      </w:r>
      <w:r>
        <w:rPr>
          <w:rFonts w:ascii="Book Antiqua"/>
          <w:b/>
          <w:color w:val="231F20"/>
        </w:rPr>
        <w:t>Style</w:t>
      </w:r>
      <w:r>
        <w:rPr>
          <w:color w:val="231F20"/>
        </w:rPr>
        <w:t>.</w:t>
      </w:r>
    </w:p>
    <w:p>
      <w:pPr>
        <w:pStyle w:val="Heading6"/>
      </w:pPr>
      <w:r>
        <w:rPr>
          <w:color w:val="231F20"/>
          <w:spacing w:val="-2"/>
        </w:rPr>
        <w:t>Orientation</w:t>
      </w:r>
    </w:p>
    <w:p>
      <w:pPr>
        <w:pStyle w:val="BodyText"/>
        <w:spacing w:line="213" w:lineRule="auto" w:before="11"/>
        <w:ind w:left="3190" w:right="385"/>
      </w:pPr>
      <w:r>
        <w:rPr>
          <w:color w:val="231F20"/>
        </w:rPr>
        <w:t>The label can be written horizontally or vertically. Choose the </w:t>
      </w:r>
      <w:r>
        <w:rPr>
          <w:color w:val="231F20"/>
        </w:rPr>
        <w:t>orientation that fits best in the space.</w:t>
      </w:r>
    </w:p>
    <w:p>
      <w:pPr>
        <w:pStyle w:val="Heading5"/>
        <w:spacing w:before="219"/>
      </w:pPr>
      <w:r>
        <w:rPr>
          <w:color w:val="231F20"/>
          <w:spacing w:val="-4"/>
        </w:rPr>
        <w:t>Axis</w:t>
      </w:r>
    </w:p>
    <w:p>
      <w:pPr>
        <w:pStyle w:val="BodyText"/>
        <w:spacing w:before="222"/>
        <w:ind w:left="2472"/>
      </w:pPr>
      <w:r>
        <w:rPr>
          <w:color w:val="231F20"/>
        </w:rPr>
        <w:t>Value</w:t>
      </w:r>
      <w:r>
        <w:rPr>
          <w:color w:val="231F20"/>
          <w:spacing w:val="1"/>
        </w:rPr>
        <w:t> </w:t>
      </w:r>
      <w:r>
        <w:rPr>
          <w:color w:val="231F20"/>
        </w:rPr>
        <w:t>Axis</w:t>
      </w:r>
      <w:r>
        <w:rPr>
          <w:color w:val="231F20"/>
          <w:spacing w:val="8"/>
        </w:rPr>
        <w:t> </w:t>
      </w:r>
      <w:r>
        <w:rPr>
          <w:color w:val="231F20"/>
        </w:rPr>
        <w:t>tab</w:t>
      </w:r>
      <w:r>
        <w:rPr>
          <w:color w:val="231F20"/>
          <w:spacing w:val="8"/>
        </w:rPr>
        <w:t> </w:t>
      </w:r>
      <w:r>
        <w:rPr>
          <w:color w:val="231F20"/>
        </w:rPr>
        <w:t>and</w:t>
      </w:r>
      <w:r>
        <w:rPr>
          <w:color w:val="231F20"/>
          <w:spacing w:val="8"/>
        </w:rPr>
        <w:t> </w:t>
      </w:r>
      <w:r>
        <w:rPr>
          <w:color w:val="231F20"/>
        </w:rPr>
        <w:t>Category</w:t>
      </w:r>
      <w:r>
        <w:rPr>
          <w:color w:val="231F20"/>
          <w:spacing w:val="2"/>
        </w:rPr>
        <w:t> </w:t>
      </w:r>
      <w:r>
        <w:rPr>
          <w:color w:val="231F20"/>
        </w:rPr>
        <w:t>Axis</w:t>
      </w:r>
      <w:r>
        <w:rPr>
          <w:color w:val="231F20"/>
          <w:spacing w:val="8"/>
        </w:rPr>
        <w:t> </w:t>
      </w:r>
      <w:r>
        <w:rPr>
          <w:color w:val="231F20"/>
          <w:spacing w:val="-4"/>
        </w:rPr>
        <w:t>tab:</w:t>
      </w:r>
    </w:p>
    <w:p>
      <w:pPr>
        <w:pStyle w:val="BodyText"/>
        <w:tabs>
          <w:tab w:pos="3190" w:val="left" w:leader="none"/>
        </w:tabs>
        <w:spacing w:line="213" w:lineRule="auto" w:before="113"/>
        <w:ind w:left="3190" w:right="379" w:hanging="719"/>
      </w:pPr>
      <w:r>
        <w:rPr>
          <w:rFonts w:ascii="Book Antiqua"/>
          <w:b/>
          <w:color w:val="231F20"/>
          <w:spacing w:val="-4"/>
        </w:rPr>
        <w:t>Text</w:t>
      </w:r>
      <w:r>
        <w:rPr>
          <w:rFonts w:ascii="Book Antiqua"/>
          <w:b/>
          <w:color w:val="231F20"/>
        </w:rPr>
        <w:tab/>
      </w:r>
      <w:r>
        <w:rPr>
          <w:color w:val="231F20"/>
        </w:rPr>
        <w:t>The </w:t>
      </w:r>
      <w:r>
        <w:rPr>
          <w:rFonts w:ascii="Book Antiqua"/>
          <w:b/>
          <w:color w:val="231F20"/>
        </w:rPr>
        <w:t>Text </w:t>
      </w:r>
      <w:r>
        <w:rPr>
          <w:color w:val="231F20"/>
        </w:rPr>
        <w:t>area determines the font to use, its size and whether any styling</w:t>
      </w:r>
      <w:r>
        <w:rPr>
          <w:color w:val="231F20"/>
          <w:spacing w:val="40"/>
        </w:rPr>
        <w:t> </w:t>
      </w:r>
      <w:r>
        <w:rPr>
          <w:color w:val="231F20"/>
        </w:rPr>
        <w:t>is</w:t>
      </w:r>
      <w:r>
        <w:rPr>
          <w:color w:val="231F20"/>
          <w:spacing w:val="26"/>
        </w:rPr>
        <w:t> </w:t>
      </w:r>
      <w:r>
        <w:rPr>
          <w:color w:val="231F20"/>
        </w:rPr>
        <w:t>applied.</w:t>
      </w:r>
      <w:r>
        <w:rPr>
          <w:color w:val="231F20"/>
          <w:spacing w:val="26"/>
        </w:rPr>
        <w:t> </w:t>
      </w:r>
      <w:r>
        <w:rPr>
          <w:color w:val="231F20"/>
        </w:rPr>
        <w:t>Select</w:t>
      </w:r>
      <w:r>
        <w:rPr>
          <w:color w:val="231F20"/>
          <w:spacing w:val="26"/>
        </w:rPr>
        <w:t> </w:t>
      </w:r>
      <w:r>
        <w:rPr>
          <w:color w:val="231F20"/>
        </w:rPr>
        <w:t>any</w:t>
      </w:r>
      <w:r>
        <w:rPr>
          <w:color w:val="231F20"/>
          <w:spacing w:val="26"/>
        </w:rPr>
        <w:t> </w:t>
      </w:r>
      <w:r>
        <w:rPr>
          <w:color w:val="231F20"/>
        </w:rPr>
        <w:t>changes</w:t>
      </w:r>
      <w:r>
        <w:rPr>
          <w:color w:val="231F20"/>
          <w:spacing w:val="26"/>
        </w:rPr>
        <w:t> </w:t>
      </w:r>
      <w:r>
        <w:rPr>
          <w:color w:val="231F20"/>
        </w:rPr>
        <w:t>from</w:t>
      </w:r>
      <w:r>
        <w:rPr>
          <w:color w:val="231F20"/>
          <w:spacing w:val="26"/>
        </w:rPr>
        <w:t> </w:t>
      </w:r>
      <w:r>
        <w:rPr>
          <w:color w:val="231F20"/>
        </w:rPr>
        <w:t>the </w:t>
      </w:r>
      <w:r>
        <w:rPr>
          <w:color w:val="231F20"/>
          <w:spacing w:val="15"/>
          <w:position w:val="-1"/>
        </w:rPr>
        <w:drawing>
          <wp:inline distT="0" distB="0" distL="0" distR="0">
            <wp:extent cx="101600" cy="101600"/>
            <wp:effectExtent l="0" t="0" r="0" b="0"/>
            <wp:docPr id="1236" name="Image 1236"/>
            <wp:cNvGraphicFramePr>
              <a:graphicFrameLocks/>
            </wp:cNvGraphicFramePr>
            <a:graphic>
              <a:graphicData uri="http://schemas.openxmlformats.org/drawingml/2006/picture">
                <pic:pic>
                  <pic:nvPicPr>
                    <pic:cNvPr id="1236" name="Image 123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r>
        <w:rPr>
          <w:color w:val="231F20"/>
          <w:spacing w:val="26"/>
        </w:rPr>
        <w:t> </w:t>
      </w:r>
      <w:r>
        <w:rPr>
          <w:color w:val="231F20"/>
        </w:rPr>
        <w:t>for</w:t>
      </w:r>
      <w:r>
        <w:rPr>
          <w:color w:val="231F20"/>
          <w:spacing w:val="26"/>
        </w:rPr>
        <w:t> </w:t>
      </w:r>
      <w:r>
        <w:rPr>
          <w:rFonts w:ascii="Book Antiqua"/>
          <w:b/>
          <w:color w:val="231F20"/>
        </w:rPr>
        <w:t>Font</w:t>
      </w:r>
      <w:r>
        <w:rPr>
          <w:color w:val="231F20"/>
        </w:rPr>
        <w:t>,</w:t>
      </w:r>
      <w:r>
        <w:rPr>
          <w:color w:val="231F20"/>
          <w:spacing w:val="26"/>
        </w:rPr>
        <w:t> </w:t>
      </w:r>
      <w:r>
        <w:rPr>
          <w:rFonts w:ascii="Book Antiqua"/>
          <w:b/>
          <w:color w:val="231F20"/>
        </w:rPr>
        <w:t>Size</w:t>
      </w:r>
      <w:r>
        <w:rPr>
          <w:color w:val="231F20"/>
        </w:rPr>
        <w:t>,</w:t>
      </w:r>
      <w:r>
        <w:rPr>
          <w:color w:val="231F20"/>
          <w:spacing w:val="26"/>
        </w:rPr>
        <w:t> </w:t>
      </w:r>
      <w:r>
        <w:rPr>
          <w:color w:val="231F20"/>
        </w:rPr>
        <w:t>or</w:t>
      </w:r>
      <w:r>
        <w:rPr>
          <w:color w:val="231F20"/>
          <w:spacing w:val="26"/>
        </w:rPr>
        <w:t> </w:t>
      </w:r>
      <w:r>
        <w:rPr>
          <w:rFonts w:ascii="Book Antiqua"/>
          <w:b/>
          <w:color w:val="231F20"/>
        </w:rPr>
        <w:t>Style</w:t>
      </w:r>
      <w:r>
        <w:rPr>
          <w:color w:val="231F20"/>
        </w:rPr>
        <w:t>.</w:t>
      </w:r>
    </w:p>
    <w:p>
      <w:pPr>
        <w:spacing w:after="0" w:line="213" w:lineRule="auto"/>
        <w:sectPr>
          <w:pgSz w:w="12240" w:h="15840"/>
          <w:pgMar w:header="0" w:footer="736" w:top="1180" w:bottom="920" w:left="1000" w:right="1060"/>
        </w:sectPr>
      </w:pPr>
    </w:p>
    <w:p>
      <w:pPr>
        <w:pStyle w:val="Heading6"/>
        <w:spacing w:before="83"/>
        <w:ind w:left="2232"/>
      </w:pPr>
      <w:bookmarkStart w:name="_bookmark95" w:id="202"/>
      <w:bookmarkEnd w:id="202"/>
      <w:r>
        <w:rPr>
          <w:b w:val="0"/>
        </w:rPr>
      </w:r>
      <w:r>
        <w:rPr>
          <w:color w:val="231F20"/>
          <w:spacing w:val="-2"/>
        </w:rPr>
        <w:t>Orientation</w:t>
      </w:r>
    </w:p>
    <w:p>
      <w:pPr>
        <w:pStyle w:val="BodyText"/>
        <w:spacing w:line="213" w:lineRule="auto" w:before="12"/>
        <w:ind w:left="2951" w:right="545"/>
      </w:pPr>
      <w:r>
        <w:rPr>
          <w:color w:val="231F20"/>
        </w:rPr>
        <w:t>The text for the axis tick marks can be written horizontally, diagonally, or vertically. You can select each radio button and see in the chart </w:t>
      </w:r>
      <w:r>
        <w:rPr>
          <w:rFonts w:ascii="Book Antiqua" w:hAnsi="Book Antiqua"/>
          <w:b/>
          <w:color w:val="231F20"/>
        </w:rPr>
        <w:t>Preview </w:t>
      </w:r>
      <w:r>
        <w:rPr>
          <w:color w:val="231F20"/>
        </w:rPr>
        <w:t>area how the labels are displayed with that orientation. You also have </w:t>
      </w:r>
      <w:r>
        <w:rPr>
          <w:color w:val="231F20"/>
        </w:rPr>
        <w:t>the </w:t>
      </w:r>
      <w:bookmarkStart w:name="Footer Label" w:id="203"/>
      <w:bookmarkEnd w:id="203"/>
      <w:r>
        <w:rPr>
          <w:color w:val="231F20"/>
        </w:rPr>
        <w:t>slider</w:t>
      </w:r>
      <w:r>
        <w:rPr>
          <w:color w:val="231F20"/>
        </w:rPr>
        <w:t> bar for adjusting the rotation angle from 0° to 180°.</w:t>
      </w:r>
    </w:p>
    <w:p>
      <w:pPr>
        <w:pStyle w:val="Heading4"/>
        <w:spacing w:line="273" w:lineRule="exact" w:before="163"/>
      </w:pPr>
      <w:r>
        <w:rPr>
          <w:color w:val="231F20"/>
        </w:rPr>
        <w:t>Footer</w:t>
      </w:r>
      <w:r>
        <w:rPr>
          <w:color w:val="231F20"/>
          <w:spacing w:val="5"/>
        </w:rPr>
        <w:t> </w:t>
      </w:r>
      <w:r>
        <w:rPr>
          <w:color w:val="231F20"/>
          <w:spacing w:val="-2"/>
        </w:rPr>
        <w:t>Label</w:t>
      </w:r>
    </w:p>
    <w:p>
      <w:pPr>
        <w:pStyle w:val="BodyText"/>
        <w:spacing w:line="251" w:lineRule="exact"/>
        <w:ind w:left="2232"/>
        <w:jc w:val="both"/>
      </w:pPr>
      <w:r>
        <w:rPr>
          <w:color w:val="231F20"/>
        </w:rPr>
        <w:t>Select</w:t>
      </w:r>
      <w:r>
        <w:rPr>
          <w:color w:val="231F20"/>
          <w:spacing w:val="10"/>
        </w:rPr>
        <w:t> </w:t>
      </w:r>
      <w:r>
        <w:rPr>
          <w:color w:val="231F20"/>
        </w:rPr>
        <w:t>the</w:t>
      </w:r>
      <w:r>
        <w:rPr>
          <w:color w:val="231F20"/>
          <w:spacing w:val="11"/>
        </w:rPr>
        <w:t> </w:t>
      </w:r>
      <w:r>
        <w:rPr>
          <w:color w:val="231F20"/>
        </w:rPr>
        <w:t>Footer</w:t>
      </w:r>
      <w:r>
        <w:rPr>
          <w:color w:val="231F20"/>
          <w:spacing w:val="10"/>
        </w:rPr>
        <w:t> </w:t>
      </w:r>
      <w:r>
        <w:rPr>
          <w:color w:val="231F20"/>
        </w:rPr>
        <w:t>Label</w:t>
      </w:r>
      <w:r>
        <w:rPr>
          <w:color w:val="231F20"/>
          <w:spacing w:val="11"/>
        </w:rPr>
        <w:t> </w:t>
      </w:r>
      <w:r>
        <w:rPr>
          <w:color w:val="231F20"/>
        </w:rPr>
        <w:t>area</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thumbnail</w:t>
      </w:r>
      <w:r>
        <w:rPr>
          <w:color w:val="231F20"/>
          <w:spacing w:val="11"/>
        </w:rPr>
        <w:t> </w:t>
      </w:r>
      <w:r>
        <w:rPr>
          <w:color w:val="231F20"/>
        </w:rPr>
        <w:t>graphic</w:t>
      </w:r>
      <w:r>
        <w:rPr>
          <w:color w:val="231F20"/>
          <w:spacing w:val="10"/>
        </w:rPr>
        <w:t> </w:t>
      </w:r>
      <w:r>
        <w:rPr>
          <w:color w:val="231F20"/>
        </w:rPr>
        <w:t>in</w:t>
      </w:r>
      <w:r>
        <w:rPr>
          <w:color w:val="231F20"/>
          <w:spacing w:val="11"/>
        </w:rPr>
        <w:t> </w:t>
      </w:r>
      <w:r>
        <w:rPr>
          <w:color w:val="231F20"/>
        </w:rPr>
        <w:t>the</w:t>
      </w:r>
      <w:r>
        <w:rPr>
          <w:color w:val="231F20"/>
          <w:spacing w:val="11"/>
        </w:rPr>
        <w:t> </w:t>
      </w:r>
      <w:r>
        <w:rPr>
          <w:color w:val="231F20"/>
        </w:rPr>
        <w:t>Properties</w:t>
      </w:r>
      <w:r>
        <w:rPr>
          <w:color w:val="231F20"/>
          <w:spacing w:val="10"/>
        </w:rPr>
        <w:t> </w:t>
      </w:r>
      <w:r>
        <w:rPr>
          <w:color w:val="231F20"/>
          <w:spacing w:val="-2"/>
        </w:rPr>
        <w:t>editor</w:t>
      </w:r>
    </w:p>
    <w:p>
      <w:pPr>
        <w:pStyle w:val="BodyText"/>
        <w:spacing w:line="255" w:lineRule="exact"/>
        <w:ind w:left="2242"/>
        <w:jc w:val="both"/>
      </w:pPr>
      <w:r>
        <w:rPr>
          <w:position w:val="-1"/>
        </w:rPr>
        <w:drawing>
          <wp:inline distT="0" distB="0" distL="0" distR="0">
            <wp:extent cx="95250" cy="95250"/>
            <wp:effectExtent l="0" t="0" r="0" b="0"/>
            <wp:docPr id="1237" name="Image 1237"/>
            <wp:cNvGraphicFramePr>
              <a:graphicFrameLocks/>
            </wp:cNvGraphicFramePr>
            <a:graphic>
              <a:graphicData uri="http://schemas.openxmlformats.org/drawingml/2006/picture">
                <pic:pic>
                  <pic:nvPicPr>
                    <pic:cNvPr id="1237" name="Image 1237"/>
                    <pic:cNvPicPr/>
                  </pic:nvPicPr>
                  <pic:blipFill>
                    <a:blip r:embed="rId101"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
        </w:rPr>
        <w:t> </w:t>
      </w:r>
      <w:r>
        <w:rPr>
          <w:rFonts w:ascii="Book Antiqua"/>
          <w:b/>
          <w:color w:val="231F20"/>
        </w:rPr>
        <w:t>Style</w:t>
      </w:r>
      <w:r>
        <w:rPr>
          <w:rFonts w:ascii="Book Antiqua"/>
          <w:b/>
          <w:color w:val="231F20"/>
          <w:spacing w:val="13"/>
        </w:rPr>
        <w:t> </w:t>
      </w:r>
      <w:r>
        <w:rPr>
          <w:color w:val="231F20"/>
        </w:rPr>
        <w:t>tab</w:t>
      </w:r>
      <w:r>
        <w:rPr>
          <w:color w:val="231F20"/>
          <w:spacing w:val="13"/>
        </w:rPr>
        <w:t> </w:t>
      </w:r>
      <w:r>
        <w:rPr>
          <w:color w:val="231F20"/>
        </w:rPr>
        <w:t>to</w:t>
      </w:r>
      <w:r>
        <w:rPr>
          <w:color w:val="231F20"/>
          <w:spacing w:val="13"/>
        </w:rPr>
        <w:t> </w:t>
      </w:r>
      <w:r>
        <w:rPr>
          <w:color w:val="231F20"/>
        </w:rPr>
        <w:t>add</w:t>
      </w:r>
      <w:r>
        <w:rPr>
          <w:color w:val="231F20"/>
          <w:spacing w:val="13"/>
        </w:rPr>
        <w:t> </w:t>
      </w:r>
      <w:r>
        <w:rPr>
          <w:color w:val="231F20"/>
        </w:rPr>
        <w:t>a</w:t>
      </w:r>
      <w:r>
        <w:rPr>
          <w:color w:val="231F20"/>
          <w:spacing w:val="13"/>
        </w:rPr>
        <w:t> </w:t>
      </w:r>
      <w:r>
        <w:rPr>
          <w:color w:val="231F20"/>
        </w:rPr>
        <w:t>label</w:t>
      </w:r>
      <w:r>
        <w:rPr>
          <w:color w:val="231F20"/>
          <w:spacing w:val="13"/>
        </w:rPr>
        <w:t> </w:t>
      </w:r>
      <w:r>
        <w:rPr>
          <w:color w:val="231F20"/>
        </w:rPr>
        <w:t>at</w:t>
      </w:r>
      <w:r>
        <w:rPr>
          <w:color w:val="231F20"/>
          <w:spacing w:val="13"/>
        </w:rPr>
        <w:t> </w:t>
      </w:r>
      <w:r>
        <w:rPr>
          <w:color w:val="231F20"/>
        </w:rPr>
        <w:t>the</w:t>
      </w:r>
      <w:r>
        <w:rPr>
          <w:color w:val="231F20"/>
          <w:spacing w:val="13"/>
        </w:rPr>
        <w:t> </w:t>
      </w:r>
      <w:r>
        <w:rPr>
          <w:color w:val="231F20"/>
        </w:rPr>
        <w:t>bottom</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view.</w:t>
      </w:r>
    </w:p>
    <w:p>
      <w:pPr>
        <w:pStyle w:val="Heading6"/>
        <w:spacing w:line="227" w:lineRule="exact"/>
        <w:ind w:left="2232"/>
      </w:pPr>
      <w:r>
        <w:rPr>
          <w:b w:val="0"/>
        </w:rPr>
        <w:drawing>
          <wp:inline distT="0" distB="0" distL="0" distR="0">
            <wp:extent cx="82550" cy="82550"/>
            <wp:effectExtent l="0" t="0" r="0" b="0"/>
            <wp:docPr id="1238" name="Image 1238"/>
            <wp:cNvGraphicFramePr>
              <a:graphicFrameLocks/>
            </wp:cNvGraphicFramePr>
            <a:graphic>
              <a:graphicData uri="http://schemas.openxmlformats.org/drawingml/2006/picture">
                <pic:pic>
                  <pic:nvPicPr>
                    <pic:cNvPr id="1238" name="Image 1238"/>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Show</w:t>
      </w:r>
    </w:p>
    <w:p>
      <w:pPr>
        <w:pStyle w:val="BodyText"/>
        <w:spacing w:line="213" w:lineRule="auto" w:before="8"/>
        <w:ind w:left="2951" w:right="603"/>
      </w:pPr>
      <w:r>
        <w:rPr>
          <w:color w:val="231F20"/>
        </w:rPr>
        <w:t>Select the check box to display the contents of the </w:t>
      </w:r>
      <w:r>
        <w:rPr>
          <w:rFonts w:ascii="Book Antiqua"/>
          <w:b/>
          <w:color w:val="231F20"/>
        </w:rPr>
        <w:t>Text </w:t>
      </w:r>
      <w:r>
        <w:rPr>
          <w:color w:val="231F20"/>
        </w:rPr>
        <w:t>field at the bottom</w:t>
      </w:r>
      <w:r>
        <w:rPr>
          <w:color w:val="231F20"/>
          <w:spacing w:val="40"/>
        </w:rPr>
        <w:t> </w:t>
      </w:r>
      <w:r>
        <w:rPr>
          <w:color w:val="231F20"/>
        </w:rPr>
        <w:t>of the view.</w:t>
      </w:r>
    </w:p>
    <w:p>
      <w:pPr>
        <w:tabs>
          <w:tab w:pos="2951" w:val="left" w:leader="none"/>
        </w:tabs>
        <w:spacing w:line="340" w:lineRule="atLeast" w:before="31"/>
        <w:ind w:left="2232" w:right="1712" w:firstLine="0"/>
        <w:jc w:val="left"/>
        <w:rPr>
          <w:rFonts w:ascii="Book Antiqua"/>
          <w:b/>
          <w:sz w:val="20"/>
        </w:rPr>
      </w:pPr>
      <w:r>
        <w:rPr>
          <w:rFonts w:ascii="Book Antiqua"/>
          <w:b/>
          <w:color w:val="231F20"/>
          <w:spacing w:val="-4"/>
          <w:sz w:val="20"/>
        </w:rPr>
        <w:t>Text</w:t>
      </w:r>
      <w:r>
        <w:rPr>
          <w:rFonts w:ascii="Book Antiqua"/>
          <w:b/>
          <w:color w:val="231F20"/>
          <w:sz w:val="20"/>
        </w:rPr>
        <w:tab/>
      </w:r>
      <w:r>
        <w:rPr>
          <w:color w:val="231F20"/>
          <w:sz w:val="20"/>
        </w:rPr>
        <w:t>This is the text to display as the footer if you selected </w:t>
      </w:r>
      <w:r>
        <w:rPr>
          <w:color w:val="231F20"/>
          <w:spacing w:val="15"/>
          <w:sz w:val="20"/>
        </w:rPr>
        <w:drawing>
          <wp:inline distT="0" distB="0" distL="0" distR="0">
            <wp:extent cx="82550" cy="82550"/>
            <wp:effectExtent l="0" t="0" r="0" b="0"/>
            <wp:docPr id="1239" name="Image 1239"/>
            <wp:cNvGraphicFramePr>
              <a:graphicFrameLocks/>
            </wp:cNvGraphicFramePr>
            <a:graphic>
              <a:graphicData uri="http://schemas.openxmlformats.org/drawingml/2006/picture">
                <pic:pic>
                  <pic:nvPicPr>
                    <pic:cNvPr id="1239" name="Image 123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8"/>
          <w:sz w:val="20"/>
        </w:rPr>
        <w:t> </w:t>
      </w:r>
      <w:r>
        <w:rPr>
          <w:rFonts w:ascii="Book Antiqua"/>
          <w:b/>
          <w:color w:val="231F20"/>
          <w:sz w:val="20"/>
        </w:rPr>
        <w:t>Show</w:t>
      </w:r>
      <w:r>
        <w:rPr>
          <w:color w:val="231F20"/>
          <w:sz w:val="20"/>
        </w:rPr>
        <w:t>. </w:t>
      </w:r>
      <w:r>
        <w:rPr>
          <w:rFonts w:ascii="Book Antiqua"/>
          <w:b/>
          <w:color w:val="231F20"/>
          <w:sz w:val="20"/>
        </w:rPr>
        <w:t>Text style</w:t>
      </w:r>
    </w:p>
    <w:p>
      <w:pPr>
        <w:spacing w:line="213" w:lineRule="auto" w:before="7"/>
        <w:ind w:left="2951" w:right="763" w:firstLine="0"/>
        <w:jc w:val="left"/>
        <w:rPr>
          <w:sz w:val="20"/>
        </w:rPr>
      </w:pPr>
      <w:r>
        <w:rPr>
          <w:color w:val="231F20"/>
          <w:sz w:val="20"/>
        </w:rPr>
        <w:t>Select a different </w:t>
      </w:r>
      <w:r>
        <w:rPr>
          <w:rFonts w:ascii="Book Antiqua"/>
          <w:b/>
          <w:color w:val="231F20"/>
          <w:sz w:val="20"/>
        </w:rPr>
        <w:t>Font name </w:t>
      </w:r>
      <w:r>
        <w:rPr>
          <w:color w:val="231F20"/>
          <w:sz w:val="20"/>
        </w:rPr>
        <w:t>or font </w:t>
      </w:r>
      <w:r>
        <w:rPr>
          <w:rFonts w:ascii="Book Antiqua"/>
          <w:b/>
          <w:color w:val="231F20"/>
          <w:sz w:val="20"/>
        </w:rPr>
        <w:t>Size </w:t>
      </w:r>
      <w:r>
        <w:rPr>
          <w:color w:val="231F20"/>
          <w:sz w:val="20"/>
        </w:rPr>
        <w:t>from the </w:t>
      </w:r>
      <w:r>
        <w:rPr>
          <w:color w:val="231F20"/>
          <w:spacing w:val="15"/>
          <w:position w:val="-1"/>
          <w:sz w:val="20"/>
        </w:rPr>
        <w:drawing>
          <wp:inline distT="0" distB="0" distL="0" distR="0">
            <wp:extent cx="101600" cy="101600"/>
            <wp:effectExtent l="0" t="0" r="0" b="0"/>
            <wp:docPr id="1240" name="Image 1240"/>
            <wp:cNvGraphicFramePr>
              <a:graphicFrameLocks/>
            </wp:cNvGraphicFramePr>
            <a:graphic>
              <a:graphicData uri="http://schemas.openxmlformats.org/drawingml/2006/picture">
                <pic:pic>
                  <pic:nvPicPr>
                    <pic:cNvPr id="1240" name="Image 124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w:t>
      </w:r>
      <w:r>
        <w:rPr>
          <w:color w:val="231F20"/>
          <w:spacing w:val="16"/>
          <w:sz w:val="20"/>
        </w:rPr>
        <w:drawing>
          <wp:inline distT="0" distB="0" distL="0" distR="0">
            <wp:extent cx="82550" cy="82550"/>
            <wp:effectExtent l="0" t="0" r="0" b="0"/>
            <wp:docPr id="1241" name="Image 1241"/>
            <wp:cNvGraphicFramePr>
              <a:graphicFrameLocks/>
            </wp:cNvGraphicFramePr>
            <a:graphic>
              <a:graphicData uri="http://schemas.openxmlformats.org/drawingml/2006/picture">
                <pic:pic>
                  <pic:nvPicPr>
                    <pic:cNvPr id="1241" name="Image 124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3"/>
          <w:sz w:val="20"/>
        </w:rPr>
        <w:t> </w:t>
      </w:r>
      <w:r>
        <w:rPr>
          <w:rFonts w:ascii="Book Antiqua"/>
          <w:b/>
          <w:color w:val="231F20"/>
          <w:sz w:val="20"/>
        </w:rPr>
        <w:t>Bold </w:t>
      </w:r>
      <w:r>
        <w:rPr>
          <w:color w:val="231F20"/>
          <w:sz w:val="20"/>
        </w:rPr>
        <w:t>makes</w:t>
      </w:r>
      <w:r>
        <w:rPr>
          <w:color w:val="231F20"/>
          <w:spacing w:val="40"/>
          <w:sz w:val="20"/>
        </w:rPr>
        <w:t> </w:t>
      </w:r>
      <w:r>
        <w:rPr>
          <w:color w:val="231F20"/>
          <w:sz w:val="20"/>
        </w:rPr>
        <w:t>the footer text boldface. </w:t>
      </w:r>
      <w:r>
        <w:rPr>
          <w:color w:val="231F20"/>
          <w:spacing w:val="16"/>
          <w:sz w:val="20"/>
        </w:rPr>
        <w:drawing>
          <wp:inline distT="0" distB="0" distL="0" distR="0">
            <wp:extent cx="82550" cy="82550"/>
            <wp:effectExtent l="0" t="0" r="0" b="0"/>
            <wp:docPr id="1242" name="Image 1242"/>
            <wp:cNvGraphicFramePr>
              <a:graphicFrameLocks/>
            </wp:cNvGraphicFramePr>
            <a:graphic>
              <a:graphicData uri="http://schemas.openxmlformats.org/drawingml/2006/picture">
                <pic:pic>
                  <pic:nvPicPr>
                    <pic:cNvPr id="1242" name="Image 124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Italic </w:t>
      </w:r>
      <w:r>
        <w:rPr>
          <w:color w:val="231F20"/>
          <w:sz w:val="20"/>
        </w:rPr>
        <w:t>makes the footer text italicized. If </w:t>
      </w:r>
      <w:r>
        <w:rPr>
          <w:color w:val="231F20"/>
          <w:spacing w:val="15"/>
          <w:sz w:val="20"/>
        </w:rPr>
        <w:drawing>
          <wp:inline distT="0" distB="0" distL="0" distR="0">
            <wp:extent cx="82550" cy="82550"/>
            <wp:effectExtent l="0" t="0" r="0" b="0"/>
            <wp:docPr id="1243" name="Image 1243"/>
            <wp:cNvGraphicFramePr>
              <a:graphicFrameLocks/>
            </wp:cNvGraphicFramePr>
            <a:graphic>
              <a:graphicData uri="http://schemas.openxmlformats.org/drawingml/2006/picture">
                <pic:pic>
                  <pic:nvPicPr>
                    <pic:cNvPr id="1243" name="Image 124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7"/>
          <w:sz w:val="20"/>
        </w:rPr>
        <w:t> </w:t>
      </w:r>
      <w:r>
        <w:rPr>
          <w:rFonts w:ascii="Book Antiqua"/>
          <w:b/>
          <w:color w:val="231F20"/>
          <w:sz w:val="20"/>
        </w:rPr>
        <w:t>Use CSS values </w:t>
      </w:r>
      <w:r>
        <w:rPr>
          <w:color w:val="231F20"/>
          <w:sz w:val="20"/>
        </w:rPr>
        <w:t>is selected, this area is disabled.</w:t>
      </w:r>
    </w:p>
    <w:p>
      <w:pPr>
        <w:pStyle w:val="Heading6"/>
        <w:spacing w:line="227" w:lineRule="exact" w:before="121"/>
        <w:ind w:left="2232"/>
      </w:pPr>
      <w:r>
        <w:rPr>
          <w:b w:val="0"/>
        </w:rPr>
        <w:drawing>
          <wp:inline distT="0" distB="0" distL="0" distR="0">
            <wp:extent cx="82550" cy="82550"/>
            <wp:effectExtent l="0" t="0" r="0" b="0"/>
            <wp:docPr id="1244" name="Image 1244"/>
            <wp:cNvGraphicFramePr>
              <a:graphicFrameLocks/>
            </wp:cNvGraphicFramePr>
            <a:graphic>
              <a:graphicData uri="http://schemas.openxmlformats.org/drawingml/2006/picture">
                <pic:pic>
                  <pic:nvPicPr>
                    <pic:cNvPr id="1244" name="Image 1244"/>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Use</w:t>
      </w:r>
      <w:r>
        <w:rPr>
          <w:color w:val="231F20"/>
          <w:spacing w:val="36"/>
        </w:rPr>
        <w:t> </w:t>
      </w:r>
      <w:r>
        <w:rPr>
          <w:color w:val="231F20"/>
        </w:rPr>
        <w:t>CSS</w:t>
      </w:r>
      <w:r>
        <w:rPr>
          <w:color w:val="231F20"/>
          <w:spacing w:val="36"/>
        </w:rPr>
        <w:t> </w:t>
      </w:r>
      <w:r>
        <w:rPr>
          <w:color w:val="231F20"/>
        </w:rPr>
        <w:t>values</w:t>
      </w:r>
    </w:p>
    <w:p>
      <w:pPr>
        <w:pStyle w:val="BodyText"/>
        <w:spacing w:line="213" w:lineRule="auto" w:before="9"/>
        <w:ind w:left="2951" w:right="545"/>
      </w:pPr>
      <w:r>
        <w:rPr>
          <w:color w:val="231F20"/>
        </w:rPr>
        <w:t>This is set to use the values of the workspace presentation cascading </w:t>
      </w:r>
      <w:r>
        <w:rPr>
          <w:color w:val="231F20"/>
        </w:rPr>
        <w:t>style sheet (</w:t>
      </w:r>
      <w:r>
        <w:rPr>
          <w:rFonts w:ascii="Arial"/>
          <w:color w:val="231F20"/>
        </w:rPr>
        <w:t>ws_pres.css</w:t>
      </w:r>
      <w:r>
        <w:rPr>
          <w:color w:val="231F20"/>
        </w:rPr>
        <w:t>) for the label text (header, footer, and chart legend).</w:t>
      </w:r>
    </w:p>
    <w:p>
      <w:pPr>
        <w:pStyle w:val="BodyText"/>
        <w:spacing w:line="213" w:lineRule="auto"/>
        <w:ind w:left="2951" w:right="451"/>
      </w:pPr>
      <w:r>
        <w:rPr>
          <w:color w:val="231F20"/>
        </w:rPr>
        <w:t>This option is useful for text in double-byte character set (DBCS) </w:t>
      </w:r>
      <w:r>
        <w:rPr>
          <w:color w:val="231F20"/>
        </w:rPr>
        <w:t>languages that are more legible with a different font styling than the defaults. The</w:t>
      </w:r>
      <w:r>
        <w:rPr>
          <w:color w:val="231F20"/>
          <w:spacing w:val="40"/>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administrator</w:t>
      </w:r>
      <w:r>
        <w:rPr>
          <w:color w:val="231F20"/>
          <w:spacing w:val="26"/>
        </w:rPr>
        <w:t> </w:t>
      </w:r>
      <w:r>
        <w:rPr>
          <w:color w:val="231F20"/>
        </w:rPr>
        <w:t>can</w:t>
      </w:r>
      <w:r>
        <w:rPr>
          <w:color w:val="231F20"/>
          <w:spacing w:val="26"/>
        </w:rPr>
        <w:t> </w:t>
      </w:r>
      <w:r>
        <w:rPr>
          <w:color w:val="231F20"/>
        </w:rPr>
        <w:t>edit</w:t>
      </w:r>
      <w:r>
        <w:rPr>
          <w:color w:val="231F20"/>
          <w:spacing w:val="26"/>
        </w:rPr>
        <w:t> </w:t>
      </w:r>
      <w:r>
        <w:rPr>
          <w:color w:val="231F20"/>
        </w:rPr>
        <w:t>the</w:t>
      </w:r>
      <w:r>
        <w:rPr>
          <w:color w:val="231F20"/>
          <w:spacing w:val="26"/>
        </w:rPr>
        <w:t> </w:t>
      </w:r>
      <w:r>
        <w:rPr>
          <w:rFonts w:ascii="Arial"/>
          <w:color w:val="231F20"/>
        </w:rPr>
        <w:t>ws_pres.css </w:t>
      </w:r>
      <w:r>
        <w:rPr>
          <w:color w:val="231F20"/>
        </w:rPr>
        <w:t>style</w:t>
      </w:r>
      <w:r>
        <w:rPr>
          <w:color w:val="231F20"/>
          <w:spacing w:val="26"/>
        </w:rPr>
        <w:t> </w:t>
      </w:r>
      <w:r>
        <w:rPr>
          <w:color w:val="231F20"/>
        </w:rPr>
        <w:t>sheet in</w:t>
      </w:r>
      <w:r>
        <w:rPr>
          <w:color w:val="231F20"/>
          <w:spacing w:val="80"/>
        </w:rPr>
        <w:t> </w:t>
      </w:r>
      <w:r>
        <w:rPr>
          <w:color w:val="231F20"/>
        </w:rPr>
        <w:t>the</w:t>
      </w:r>
      <w:r>
        <w:rPr>
          <w:color w:val="231F20"/>
          <w:spacing w:val="80"/>
        </w:rPr>
        <w:t> </w:t>
      </w:r>
      <w:r>
        <w:rPr>
          <w:rFonts w:ascii="Lucida Sans"/>
          <w:i/>
          <w:color w:val="231F20"/>
        </w:rPr>
        <w:t>Install_dir</w:t>
      </w:r>
      <w:r>
        <w:rPr>
          <w:rFonts w:ascii="Arial"/>
          <w:color w:val="231F20"/>
        </w:rPr>
        <w:t>\cnb</w:t>
      </w:r>
      <w:r>
        <w:rPr>
          <w:rFonts w:ascii="Arial"/>
          <w:color w:val="231F20"/>
          <w:spacing w:val="80"/>
        </w:rPr>
        <w:t> </w:t>
      </w:r>
      <w:r>
        <w:rPr>
          <w:rFonts w:ascii="Arial"/>
          <w:color w:val="231F20"/>
        </w:rPr>
        <w:t>(Windows);</w:t>
      </w:r>
      <w:r>
        <w:rPr>
          <w:rFonts w:ascii="Arial"/>
          <w:color w:val="231F20"/>
          <w:spacing w:val="80"/>
        </w:rPr>
        <w:t> </w:t>
      </w:r>
      <w:r>
        <w:rPr>
          <w:rFonts w:ascii="Arial"/>
          <w:color w:val="231F20"/>
        </w:rPr>
        <w:t>cw</w:t>
      </w:r>
      <w:r>
        <w:rPr>
          <w:rFonts w:ascii="Arial"/>
          <w:color w:val="231F20"/>
          <w:spacing w:val="80"/>
        </w:rPr>
        <w:t> </w:t>
      </w:r>
      <w:r>
        <w:rPr>
          <w:rFonts w:ascii="Arial"/>
          <w:color w:val="231F20"/>
        </w:rPr>
        <w:t>(Linux)\classes\candle\fw\ resources\styles </w:t>
      </w:r>
      <w:r>
        <w:rPr>
          <w:color w:val="231F20"/>
        </w:rPr>
        <w:t>directory on the computer where the Tivoli Enterprise</w:t>
      </w:r>
      <w:r>
        <w:rPr>
          <w:color w:val="231F20"/>
          <w:spacing w:val="40"/>
        </w:rPr>
        <w:t> </w:t>
      </w:r>
      <w:r>
        <w:rPr>
          <w:color w:val="231F20"/>
        </w:rPr>
        <w:t>Portal Server is installed, to establish a specific font style that will be used</w:t>
      </w:r>
      <w:r>
        <w:rPr>
          <w:color w:val="231F20"/>
          <w:spacing w:val="80"/>
        </w:rPr>
        <w:t> </w:t>
      </w:r>
      <w:r>
        <w:rPr>
          <w:color w:val="231F20"/>
        </w:rPr>
        <w:t>for</w:t>
      </w:r>
      <w:r>
        <w:rPr>
          <w:color w:val="231F20"/>
          <w:spacing w:val="29"/>
        </w:rPr>
        <w:t> </w:t>
      </w:r>
      <w:r>
        <w:rPr>
          <w:color w:val="231F20"/>
        </w:rPr>
        <w:t>all</w:t>
      </w:r>
      <w:r>
        <w:rPr>
          <w:color w:val="231F20"/>
          <w:spacing w:val="29"/>
        </w:rPr>
        <w:t> </w:t>
      </w:r>
      <w:r>
        <w:rPr>
          <w:color w:val="231F20"/>
        </w:rPr>
        <w:t>label</w:t>
      </w:r>
      <w:r>
        <w:rPr>
          <w:color w:val="231F20"/>
          <w:spacing w:val="29"/>
        </w:rPr>
        <w:t> </w:t>
      </w:r>
      <w:r>
        <w:rPr>
          <w:color w:val="231F20"/>
        </w:rPr>
        <w:t>text</w:t>
      </w:r>
      <w:r>
        <w:rPr>
          <w:color w:val="231F20"/>
          <w:spacing w:val="29"/>
        </w:rPr>
        <w:t> </w:t>
      </w:r>
      <w:r>
        <w:rPr>
          <w:color w:val="231F20"/>
        </w:rPr>
        <w:t>and</w:t>
      </w:r>
      <w:r>
        <w:rPr>
          <w:color w:val="231F20"/>
          <w:spacing w:val="29"/>
        </w:rPr>
        <w:t> </w:t>
      </w:r>
      <w:r>
        <w:rPr>
          <w:color w:val="231F20"/>
        </w:rPr>
        <w:t>that</w:t>
      </w:r>
      <w:r>
        <w:rPr>
          <w:color w:val="231F20"/>
          <w:spacing w:val="29"/>
        </w:rPr>
        <w:t> </w:t>
      </w:r>
      <w:r>
        <w:rPr>
          <w:color w:val="231F20"/>
        </w:rPr>
        <w:t>will</w:t>
      </w:r>
      <w:r>
        <w:rPr>
          <w:color w:val="231F20"/>
          <w:spacing w:val="29"/>
        </w:rPr>
        <w:t> </w:t>
      </w:r>
      <w:r>
        <w:rPr>
          <w:color w:val="231F20"/>
        </w:rPr>
        <w:t>not</w:t>
      </w:r>
      <w:r>
        <w:rPr>
          <w:color w:val="231F20"/>
          <w:spacing w:val="29"/>
        </w:rPr>
        <w:t> </w:t>
      </w:r>
      <w:r>
        <w:rPr>
          <w:color w:val="231F20"/>
        </w:rPr>
        <w:t>be</w:t>
      </w:r>
      <w:r>
        <w:rPr>
          <w:color w:val="231F20"/>
          <w:spacing w:val="29"/>
        </w:rPr>
        <w:t> </w:t>
      </w:r>
      <w:r>
        <w:rPr>
          <w:color w:val="231F20"/>
        </w:rPr>
        <w:t>overwritten</w:t>
      </w:r>
      <w:r>
        <w:rPr>
          <w:color w:val="231F20"/>
          <w:spacing w:val="29"/>
        </w:rPr>
        <w:t> </w:t>
      </w:r>
      <w:r>
        <w:rPr>
          <w:color w:val="231F20"/>
        </w:rPr>
        <w:t>whenever</w:t>
      </w:r>
      <w:r>
        <w:rPr>
          <w:color w:val="231F20"/>
          <w:spacing w:val="29"/>
        </w:rPr>
        <w:t> </w:t>
      </w:r>
      <w:r>
        <w:rPr>
          <w:color w:val="231F20"/>
        </w:rPr>
        <w:t>your installation is upgraded to a new release.</w:t>
      </w:r>
    </w:p>
    <w:p>
      <w:pPr>
        <w:pStyle w:val="BodyText"/>
        <w:spacing w:line="213" w:lineRule="auto" w:before="113"/>
        <w:ind w:left="2951" w:right="636"/>
      </w:pPr>
      <w:r>
        <w:rPr>
          <w:color w:val="231F20"/>
        </w:rPr>
        <w:t>Clear the check box if you want to use the font styling that is specified </w:t>
      </w:r>
      <w:r>
        <w:rPr>
          <w:color w:val="231F20"/>
        </w:rPr>
        <w:t>in</w:t>
      </w:r>
      <w:r>
        <w:rPr>
          <w:color w:val="231F20"/>
          <w:spacing w:val="40"/>
        </w:rPr>
        <w:t> </w:t>
      </w:r>
      <w:bookmarkStart w:name="Chart baselines" w:id="204"/>
      <w:bookmarkEnd w:id="204"/>
      <w:r>
        <w:rPr>
          <w:color w:val="231F20"/>
        </w:rPr>
        <w:t>the</w:t>
      </w:r>
      <w:r>
        <w:rPr>
          <w:color w:val="231F20"/>
        </w:rPr>
        <w:t> </w:t>
      </w:r>
      <w:r>
        <w:rPr>
          <w:rFonts w:ascii="Book Antiqua"/>
          <w:b/>
          <w:color w:val="231F20"/>
        </w:rPr>
        <w:t>Text style </w:t>
      </w:r>
      <w:r>
        <w:rPr>
          <w:color w:val="231F20"/>
        </w:rPr>
        <w:t>area.</w:t>
      </w:r>
    </w:p>
    <w:p>
      <w:pPr>
        <w:pStyle w:val="Heading3"/>
        <w:spacing w:before="217"/>
        <w:ind w:left="1334"/>
      </w:pPr>
      <w:r>
        <w:rPr>
          <w:color w:val="231F20"/>
        </w:rPr>
        <w:t>Chart</w:t>
      </w:r>
      <w:r>
        <w:rPr>
          <w:color w:val="231F20"/>
          <w:spacing w:val="7"/>
        </w:rPr>
        <w:t> </w:t>
      </w:r>
      <w:r>
        <w:rPr>
          <w:color w:val="231F20"/>
          <w:spacing w:val="-2"/>
        </w:rPr>
        <w:t>baselines</w:t>
      </w:r>
    </w:p>
    <w:p>
      <w:pPr>
        <w:pStyle w:val="BodyText"/>
        <w:spacing w:line="213" w:lineRule="auto" w:before="58"/>
        <w:ind w:left="2232" w:right="385"/>
      </w:pPr>
      <w:r>
        <w:rPr>
          <w:color w:val="231F20"/>
        </w:rPr>
        <w:t>Use the values from the current bar chart, plot chart, or area chart to perform predictive and trend analysis of threshold conditions. You can then anticipate problems or predict future values by comparing current values with past results, or overlay the chart with situation comparison criteria.</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jc w:val="both"/>
      </w:pPr>
      <w:hyperlink w:history="true" w:anchor="_bookmark212">
        <w:r>
          <w:rPr>
            <w:color w:val="231F20"/>
          </w:rPr>
          <w:t>“Modeling</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with</w:t>
        </w:r>
        <w:r>
          <w:rPr>
            <w:color w:val="231F20"/>
            <w:spacing w:val="11"/>
          </w:rPr>
          <w:t> </w:t>
        </w:r>
        <w:r>
          <w:rPr>
            <w:color w:val="231F20"/>
          </w:rPr>
          <w:t>view</w:t>
        </w:r>
        <w:r>
          <w:rPr>
            <w:color w:val="231F20"/>
            <w:spacing w:val="12"/>
          </w:rPr>
          <w:t> </w:t>
        </w:r>
        <w:r>
          <w:rPr>
            <w:color w:val="231F20"/>
          </w:rPr>
          <w:t>data”</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286</w:t>
        </w:r>
      </w:hyperlink>
    </w:p>
    <w:p>
      <w:pPr>
        <w:pStyle w:val="BodyText"/>
        <w:spacing w:line="213" w:lineRule="auto" w:before="8"/>
        <w:ind w:left="2232" w:right="648"/>
        <w:jc w:val="both"/>
      </w:pPr>
      <w:r>
        <w:rPr>
          <w:color w:val="231F20"/>
        </w:rPr>
        <w:t>Use the values from the current chart or table to model threshold conditions and then use the results in a new situation. Historical views are particularly valuable </w:t>
      </w:r>
      <w:bookmarkStart w:name="Adding monitored baselines to a chart" w:id="205"/>
      <w:bookmarkEnd w:id="205"/>
      <w:r>
        <w:rPr>
          <w:color w:val="231F20"/>
        </w:rPr>
        <w:t>for</w:t>
      </w:r>
      <w:r>
        <w:rPr>
          <w:color w:val="231F20"/>
        </w:rPr>
        <w:t> researching thresholds.</w:t>
      </w:r>
    </w:p>
    <w:p>
      <w:pPr>
        <w:pStyle w:val="Heading4"/>
        <w:spacing w:line="273" w:lineRule="exact" w:before="164"/>
      </w:pPr>
      <w:r>
        <w:rPr>
          <w:color w:val="231F20"/>
        </w:rPr>
        <w:t>Adding</w:t>
      </w:r>
      <w:r>
        <w:rPr>
          <w:color w:val="231F20"/>
          <w:spacing w:val="6"/>
        </w:rPr>
        <w:t> </w:t>
      </w:r>
      <w:r>
        <w:rPr>
          <w:color w:val="231F20"/>
        </w:rPr>
        <w:t>monitored</w:t>
      </w:r>
      <w:r>
        <w:rPr>
          <w:color w:val="231F20"/>
          <w:spacing w:val="6"/>
        </w:rPr>
        <w:t> </w:t>
      </w:r>
      <w:r>
        <w:rPr>
          <w:color w:val="231F20"/>
        </w:rPr>
        <w:t>baselines</w:t>
      </w:r>
      <w:r>
        <w:rPr>
          <w:color w:val="231F20"/>
          <w:spacing w:val="6"/>
        </w:rPr>
        <w:t> </w:t>
      </w:r>
      <w:r>
        <w:rPr>
          <w:color w:val="231F20"/>
        </w:rPr>
        <w:t>to</w:t>
      </w:r>
      <w:r>
        <w:rPr>
          <w:color w:val="231F20"/>
          <w:spacing w:val="6"/>
        </w:rPr>
        <w:t> </w:t>
      </w:r>
      <w:r>
        <w:rPr>
          <w:color w:val="231F20"/>
        </w:rPr>
        <w:t>a</w:t>
      </w:r>
      <w:r>
        <w:rPr>
          <w:color w:val="231F20"/>
          <w:spacing w:val="6"/>
        </w:rPr>
        <w:t> </w:t>
      </w:r>
      <w:bookmarkStart w:name="_bookmark94" w:id="206"/>
      <w:bookmarkEnd w:id="206"/>
      <w:r>
        <w:rPr>
          <w:color w:val="231F20"/>
          <w:spacing w:val="-2"/>
        </w:rPr>
        <w:t>chart</w:t>
      </w:r>
    </w:p>
    <w:p>
      <w:pPr>
        <w:pStyle w:val="BodyText"/>
        <w:spacing w:line="213" w:lineRule="auto" w:before="20"/>
        <w:ind w:left="2232" w:right="636"/>
      </w:pPr>
      <w:r>
        <w:rPr>
          <w:color w:val="231F20"/>
        </w:rPr>
        <w:t>Apply a monitored baseline of a situation's threshold criteria to a bar chart, plot chart, or area chart to see how effective the situation is in this environment. You can visually compare the current values in the chart with the situation and adjust the thresholds as needed.</w:t>
      </w:r>
    </w:p>
    <w:p>
      <w:pPr>
        <w:pStyle w:val="Heading5"/>
        <w:spacing w:before="217"/>
        <w:ind w:left="2232"/>
      </w:pPr>
      <w:r>
        <w:rPr>
          <w:color w:val="231F20"/>
        </w:rPr>
        <w:t>Before</w:t>
      </w:r>
      <w:r>
        <w:rPr>
          <w:color w:val="231F20"/>
          <w:spacing w:val="5"/>
        </w:rPr>
        <w:t> </w:t>
      </w:r>
      <w:r>
        <w:rPr>
          <w:color w:val="231F20"/>
        </w:rPr>
        <w:t>you</w:t>
      </w:r>
      <w:r>
        <w:rPr>
          <w:color w:val="231F20"/>
          <w:spacing w:val="6"/>
        </w:rPr>
        <w:t> </w:t>
      </w:r>
      <w:r>
        <w:rPr>
          <w:color w:val="231F20"/>
          <w:spacing w:val="-2"/>
        </w:rPr>
        <w:t>begin</w:t>
      </w:r>
    </w:p>
    <w:p>
      <w:pPr>
        <w:pStyle w:val="BodyText"/>
        <w:spacing w:line="213" w:lineRule="auto" w:before="246"/>
        <w:ind w:left="2232" w:right="580"/>
        <w:jc w:val="both"/>
      </w:pPr>
      <w:r>
        <w:rPr>
          <w:color w:val="231F20"/>
        </w:rPr>
        <w:t>Monitored baselining works by comparing the values in the chart with the comparison</w:t>
      </w:r>
      <w:r>
        <w:rPr>
          <w:color w:val="231F20"/>
          <w:spacing w:val="9"/>
        </w:rPr>
        <w:t> </w:t>
      </w:r>
      <w:r>
        <w:rPr>
          <w:color w:val="231F20"/>
        </w:rPr>
        <w:t>criteria</w:t>
      </w:r>
      <w:r>
        <w:rPr>
          <w:color w:val="231F20"/>
          <w:spacing w:val="10"/>
        </w:rPr>
        <w:t> </w:t>
      </w:r>
      <w:r>
        <w:rPr>
          <w:color w:val="231F20"/>
        </w:rPr>
        <w:t>of</w:t>
      </w:r>
      <w:r>
        <w:rPr>
          <w:color w:val="231F20"/>
          <w:spacing w:val="10"/>
        </w:rPr>
        <w:t> </w:t>
      </w:r>
      <w:r>
        <w:rPr>
          <w:color w:val="231F20"/>
        </w:rPr>
        <w:t>a</w:t>
      </w:r>
      <w:r>
        <w:rPr>
          <w:color w:val="231F20"/>
          <w:spacing w:val="10"/>
        </w:rPr>
        <w:t> </w:t>
      </w:r>
      <w:r>
        <w:rPr>
          <w:color w:val="231F20"/>
        </w:rPr>
        <w:t>situation.</w:t>
      </w:r>
      <w:r>
        <w:rPr>
          <w:color w:val="231F20"/>
          <w:spacing w:val="6"/>
        </w:rPr>
        <w:t> </w:t>
      </w:r>
      <w:r>
        <w:rPr>
          <w:color w:val="231F20"/>
        </w:rPr>
        <w:t>You</w:t>
      </w:r>
      <w:r>
        <w:rPr>
          <w:color w:val="231F20"/>
          <w:spacing w:val="10"/>
        </w:rPr>
        <w:t> </w:t>
      </w:r>
      <w:r>
        <w:rPr>
          <w:color w:val="231F20"/>
        </w:rPr>
        <w:t>must</w:t>
      </w:r>
      <w:r>
        <w:rPr>
          <w:color w:val="231F20"/>
          <w:spacing w:val="9"/>
        </w:rPr>
        <w:t> </w:t>
      </w:r>
      <w:r>
        <w:rPr>
          <w:color w:val="231F20"/>
        </w:rPr>
        <w:t>have</w:t>
      </w:r>
      <w:r>
        <w:rPr>
          <w:color w:val="231F20"/>
          <w:spacing w:val="10"/>
        </w:rPr>
        <w:t> </w:t>
      </w:r>
      <w:r>
        <w:rPr>
          <w:color w:val="231F20"/>
        </w:rPr>
        <w:t>a</w:t>
      </w:r>
      <w:r>
        <w:rPr>
          <w:color w:val="231F20"/>
          <w:spacing w:val="10"/>
        </w:rPr>
        <w:t> </w:t>
      </w:r>
      <w:r>
        <w:rPr>
          <w:color w:val="231F20"/>
        </w:rPr>
        <w:t>situation</w:t>
      </w:r>
      <w:r>
        <w:rPr>
          <w:color w:val="231F20"/>
          <w:spacing w:val="10"/>
        </w:rPr>
        <w:t> </w:t>
      </w:r>
      <w:r>
        <w:rPr>
          <w:color w:val="231F20"/>
        </w:rPr>
        <w:t>defined</w:t>
      </w:r>
      <w:r>
        <w:rPr>
          <w:color w:val="231F20"/>
          <w:spacing w:val="10"/>
        </w:rPr>
        <w:t> </w:t>
      </w:r>
      <w:r>
        <w:rPr>
          <w:color w:val="231F20"/>
        </w:rPr>
        <w:t>with</w:t>
      </w:r>
      <w:r>
        <w:rPr>
          <w:color w:val="231F20"/>
          <w:spacing w:val="9"/>
        </w:rPr>
        <w:t> </w:t>
      </w:r>
      <w:r>
        <w:rPr>
          <w:color w:val="231F20"/>
        </w:rPr>
        <w:t>at</w:t>
      </w:r>
      <w:r>
        <w:rPr>
          <w:color w:val="231F20"/>
          <w:spacing w:val="10"/>
        </w:rPr>
        <w:t> </w:t>
      </w:r>
      <w:r>
        <w:rPr>
          <w:color w:val="231F20"/>
          <w:spacing w:val="-2"/>
        </w:rPr>
        <w:t>least</w:t>
      </w:r>
    </w:p>
    <w:p>
      <w:pPr>
        <w:spacing w:after="0" w:line="213" w:lineRule="auto"/>
        <w:jc w:val="both"/>
        <w:sectPr>
          <w:pgSz w:w="12240" w:h="15840"/>
          <w:pgMar w:header="0" w:footer="736" w:top="1180" w:bottom="920" w:left="1000" w:right="1060"/>
        </w:sectPr>
      </w:pPr>
    </w:p>
    <w:p>
      <w:pPr>
        <w:pStyle w:val="BodyText"/>
        <w:spacing w:line="213" w:lineRule="auto" w:before="85"/>
        <w:ind w:left="2472" w:right="493"/>
      </w:pPr>
      <w:r>
        <w:rPr>
          <w:color w:val="231F20"/>
        </w:rPr>
        <w:t>one of the attributes in the chart and the situation distributed to the </w:t>
      </w:r>
      <w:r>
        <w:rPr>
          <w:color w:val="231F20"/>
        </w:rPr>
        <w:t>managed system (or managed systems) assigned to the workspace.</w:t>
      </w:r>
    </w:p>
    <w:p>
      <w:pPr>
        <w:pStyle w:val="BodyText"/>
        <w:spacing w:line="213" w:lineRule="auto" w:before="238"/>
        <w:ind w:left="2472" w:right="421"/>
      </w:pPr>
      <w:r>
        <w:rPr>
          <w:color w:val="231F20"/>
        </w:rPr>
        <w:t>The situation is ineligible for monitored baselines if the formula has embedded </w:t>
      </w:r>
      <w:r>
        <w:rPr>
          <w:color w:val="231F20"/>
        </w:rPr>
        <w:t>or correlated situations or uses a group function (such as count or sum), in which</w:t>
      </w:r>
      <w:r>
        <w:rPr>
          <w:color w:val="231F20"/>
          <w:spacing w:val="80"/>
          <w:w w:val="150"/>
        </w:rPr>
        <w:t> </w:t>
      </w:r>
      <w:r>
        <w:rPr>
          <w:color w:val="231F20"/>
        </w:rPr>
        <w:t>case the Add Monitored Baseline window does not open when you click </w:t>
      </w:r>
      <w:r>
        <w:rPr>
          <w:color w:val="231F20"/>
          <w:spacing w:val="15"/>
          <w:position w:val="-1"/>
        </w:rPr>
        <w:drawing>
          <wp:inline distT="0" distB="0" distL="0" distR="0">
            <wp:extent cx="101599" cy="95250"/>
            <wp:effectExtent l="0" t="0" r="0" b="0"/>
            <wp:docPr id="1245" name="Image 1245"/>
            <wp:cNvGraphicFramePr>
              <a:graphicFrameLocks/>
            </wp:cNvGraphicFramePr>
            <a:graphic>
              <a:graphicData uri="http://schemas.openxmlformats.org/drawingml/2006/picture">
                <pic:pic>
                  <pic:nvPicPr>
                    <pic:cNvPr id="1245" name="Image 1245"/>
                    <pic:cNvPicPr/>
                  </pic:nvPicPr>
                  <pic:blipFill>
                    <a:blip r:embed="rId231" cstate="print"/>
                    <a:stretch>
                      <a:fillRect/>
                    </a:stretch>
                  </pic:blipFill>
                  <pic:spPr>
                    <a:xfrm>
                      <a:off x="0" y="0"/>
                      <a:ext cx="101599" cy="95250"/>
                    </a:xfrm>
                    <a:prstGeom prst="rect">
                      <a:avLst/>
                    </a:prstGeom>
                  </pic:spPr>
                </pic:pic>
              </a:graphicData>
            </a:graphic>
          </wp:inline>
        </w:drawing>
      </w:r>
      <w:r>
        <w:rPr>
          <w:color w:val="231F20"/>
          <w:spacing w:val="15"/>
          <w:position w:val="-1"/>
        </w:rPr>
      </w:r>
      <w:r>
        <w:rPr>
          <w:rFonts w:ascii="Times New Roman"/>
          <w:color w:val="231F20"/>
          <w:spacing w:val="-11"/>
        </w:rPr>
        <w:t> </w:t>
      </w:r>
      <w:r>
        <w:rPr>
          <w:rFonts w:ascii="Book Antiqua"/>
          <w:b/>
          <w:color w:val="231F20"/>
        </w:rPr>
        <w:t>Add Monitored Baseline</w:t>
      </w:r>
      <w:r>
        <w:rPr>
          <w:color w:val="231F20"/>
        </w:rPr>
        <w:t>.</w:t>
      </w:r>
    </w:p>
    <w:p>
      <w:pPr>
        <w:pStyle w:val="BodyText"/>
        <w:spacing w:line="213" w:lineRule="auto" w:before="237"/>
        <w:ind w:left="2472" w:right="385"/>
      </w:pPr>
      <w:r>
        <w:rPr>
          <w:color w:val="231F20"/>
        </w:rPr>
        <w:t>The monitored baseline tool does not show in the view toolbar if the numeric</w:t>
      </w:r>
      <w:r>
        <w:rPr>
          <w:color w:val="231F20"/>
          <w:spacing w:val="40"/>
        </w:rPr>
        <w:t> </w:t>
      </w:r>
      <w:r>
        <w:rPr>
          <w:color w:val="231F20"/>
        </w:rPr>
        <w:t>values in the chart are the result of a calculation. An example is the </w:t>
      </w:r>
      <w:r>
        <w:rPr>
          <w:rFonts w:ascii="Book Antiqua"/>
          <w:i/>
          <w:color w:val="231F20"/>
        </w:rPr>
        <w:t>Open </w:t>
      </w:r>
      <w:r>
        <w:rPr>
          <w:rFonts w:ascii="Book Antiqua"/>
          <w:i/>
          <w:color w:val="231F20"/>
        </w:rPr>
        <w:t>Situation</w:t>
      </w:r>
      <w:r>
        <w:rPr>
          <w:rFonts w:ascii="Book Antiqua"/>
          <w:i/>
          <w:color w:val="231F20"/>
        </w:rPr>
        <w:t> Counts - Last 24 Hours </w:t>
      </w:r>
      <w:r>
        <w:rPr>
          <w:color w:val="231F20"/>
        </w:rPr>
        <w:t>chart in the Enterprise Status workspace.</w:t>
      </w:r>
    </w:p>
    <w:p>
      <w:pPr>
        <w:pStyle w:val="Heading5"/>
        <w:spacing w:before="217"/>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3"/>
        <w:ind w:left="2472"/>
      </w:pPr>
      <w:r>
        <w:rPr>
          <w:color w:val="231F20"/>
        </w:rPr>
        <w:t>Take</w:t>
      </w:r>
      <w:r>
        <w:rPr>
          <w:color w:val="231F20"/>
          <w:spacing w:val="9"/>
        </w:rPr>
        <w:t> </w:t>
      </w:r>
      <w:r>
        <w:rPr>
          <w:color w:val="231F20"/>
        </w:rPr>
        <w:t>these</w:t>
      </w:r>
      <w:r>
        <w:rPr>
          <w:color w:val="231F20"/>
          <w:spacing w:val="10"/>
        </w:rPr>
        <w:t> </w:t>
      </w:r>
      <w:r>
        <w:rPr>
          <w:color w:val="231F20"/>
        </w:rPr>
        <w:t>steps</w:t>
      </w:r>
      <w:r>
        <w:rPr>
          <w:color w:val="231F20"/>
          <w:spacing w:val="9"/>
        </w:rPr>
        <w:t> </w:t>
      </w:r>
      <w:r>
        <w:rPr>
          <w:color w:val="231F20"/>
        </w:rPr>
        <w:t>to</w:t>
      </w:r>
      <w:r>
        <w:rPr>
          <w:color w:val="231F20"/>
          <w:spacing w:val="10"/>
        </w:rPr>
        <w:t> </w:t>
      </w:r>
      <w:r>
        <w:rPr>
          <w:color w:val="231F20"/>
        </w:rPr>
        <w:t>add</w:t>
      </w:r>
      <w:r>
        <w:rPr>
          <w:color w:val="231F20"/>
          <w:spacing w:val="10"/>
        </w:rPr>
        <w:t> </w:t>
      </w:r>
      <w:r>
        <w:rPr>
          <w:color w:val="231F20"/>
        </w:rPr>
        <w:t>a</w:t>
      </w:r>
      <w:r>
        <w:rPr>
          <w:color w:val="231F20"/>
          <w:spacing w:val="9"/>
        </w:rPr>
        <w:t> </w:t>
      </w:r>
      <w:r>
        <w:rPr>
          <w:color w:val="231F20"/>
        </w:rPr>
        <w:t>monitored</w:t>
      </w:r>
      <w:r>
        <w:rPr>
          <w:color w:val="231F20"/>
          <w:spacing w:val="10"/>
        </w:rPr>
        <w:t> </w:t>
      </w:r>
      <w:r>
        <w:rPr>
          <w:color w:val="231F20"/>
        </w:rPr>
        <w:t>baseline</w:t>
      </w:r>
      <w:r>
        <w:rPr>
          <w:color w:val="231F20"/>
          <w:spacing w:val="10"/>
        </w:rPr>
        <w:t> </w:t>
      </w:r>
      <w:r>
        <w:rPr>
          <w:color w:val="231F20"/>
        </w:rPr>
        <w:t>to</w:t>
      </w:r>
      <w:r>
        <w:rPr>
          <w:color w:val="231F20"/>
          <w:spacing w:val="9"/>
        </w:rPr>
        <w:t> </w:t>
      </w:r>
      <w:r>
        <w:rPr>
          <w:color w:val="231F20"/>
        </w:rPr>
        <w:t>the</w:t>
      </w:r>
      <w:r>
        <w:rPr>
          <w:color w:val="231F20"/>
          <w:spacing w:val="10"/>
        </w:rPr>
        <w:t> </w:t>
      </w:r>
      <w:r>
        <w:rPr>
          <w:color w:val="231F20"/>
          <w:spacing w:val="-2"/>
        </w:rPr>
        <w:t>chart.</w:t>
      </w:r>
    </w:p>
    <w:p>
      <w:pPr>
        <w:pStyle w:val="Heading5"/>
        <w:spacing w:before="213"/>
      </w:pPr>
      <w:r>
        <w:rPr>
          <w:color w:val="231F20"/>
          <w:spacing w:val="-2"/>
        </w:rPr>
        <w:t>Procedure</w:t>
      </w:r>
    </w:p>
    <w:p>
      <w:pPr>
        <w:pStyle w:val="ListParagraph"/>
        <w:numPr>
          <w:ilvl w:val="0"/>
          <w:numId w:val="55"/>
        </w:numPr>
        <w:tabs>
          <w:tab w:pos="2786" w:val="left" w:leader="none"/>
          <w:tab w:pos="2788" w:val="left" w:leader="none"/>
        </w:tabs>
        <w:spacing w:line="213" w:lineRule="auto" w:before="65" w:after="0"/>
        <w:ind w:left="2788" w:right="339" w:hanging="317"/>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246" name="Image 1246"/>
            <wp:cNvGraphicFramePr>
              <a:graphicFrameLocks/>
            </wp:cNvGraphicFramePr>
            <a:graphic>
              <a:graphicData uri="http://schemas.openxmlformats.org/drawingml/2006/picture">
                <pic:pic>
                  <pic:nvPicPr>
                    <pic:cNvPr id="1246" name="Image 1246"/>
                    <pic:cNvPicPr/>
                  </pic:nvPicPr>
                  <pic:blipFill>
                    <a:blip r:embed="rId2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rFonts w:ascii="Book Antiqua"/>
          <w:b/>
          <w:color w:val="231F20"/>
          <w:sz w:val="20"/>
        </w:rPr>
        <w:t>Add Monitored Baseline </w:t>
      </w:r>
      <w:r>
        <w:rPr>
          <w:color w:val="231F20"/>
          <w:sz w:val="20"/>
        </w:rPr>
        <w:t>in a bar chart, plot chart, or area chart. The Add Monitored Baseline window opens with a list of eligible situations to</w:t>
      </w:r>
      <w:r>
        <w:rPr>
          <w:color w:val="231F20"/>
          <w:spacing w:val="40"/>
          <w:sz w:val="20"/>
        </w:rPr>
        <w:t> </w:t>
      </w:r>
      <w:r>
        <w:rPr>
          <w:color w:val="231F20"/>
          <w:sz w:val="20"/>
        </w:rPr>
        <w:t>select from.</w:t>
      </w:r>
    </w:p>
    <w:p>
      <w:pPr>
        <w:pStyle w:val="ListParagraph"/>
        <w:numPr>
          <w:ilvl w:val="0"/>
          <w:numId w:val="55"/>
        </w:numPr>
        <w:tabs>
          <w:tab w:pos="2788" w:val="left" w:leader="none"/>
        </w:tabs>
        <w:spacing w:line="213" w:lineRule="auto" w:before="58" w:after="0"/>
        <w:ind w:left="2788" w:right="198" w:hanging="316"/>
        <w:jc w:val="left"/>
        <w:rPr>
          <w:sz w:val="20"/>
        </w:rPr>
      </w:pPr>
      <w:r>
        <w:rPr>
          <w:color w:val="231F20"/>
          <w:sz w:val="20"/>
        </w:rPr>
        <w:t>Click the situation that you want to apply baselines from. Use Ctrl + click to</w:t>
      </w:r>
      <w:r>
        <w:rPr>
          <w:color w:val="231F20"/>
          <w:spacing w:val="40"/>
          <w:sz w:val="20"/>
        </w:rPr>
        <w:t> </w:t>
      </w:r>
      <w:r>
        <w:rPr>
          <w:color w:val="231F20"/>
          <w:sz w:val="20"/>
        </w:rPr>
        <w:t>select</w:t>
      </w:r>
      <w:r>
        <w:rPr>
          <w:color w:val="231F20"/>
          <w:spacing w:val="29"/>
          <w:sz w:val="20"/>
        </w:rPr>
        <w:t> </w:t>
      </w:r>
      <w:r>
        <w:rPr>
          <w:color w:val="231F20"/>
          <w:sz w:val="20"/>
        </w:rPr>
        <w:t>multiple</w:t>
      </w:r>
      <w:r>
        <w:rPr>
          <w:color w:val="231F20"/>
          <w:spacing w:val="29"/>
          <w:sz w:val="20"/>
        </w:rPr>
        <w:t> </w:t>
      </w:r>
      <w:r>
        <w:rPr>
          <w:color w:val="231F20"/>
          <w:sz w:val="20"/>
        </w:rPr>
        <w:t>situations,</w:t>
      </w:r>
      <w:r>
        <w:rPr>
          <w:color w:val="231F20"/>
          <w:spacing w:val="29"/>
          <w:sz w:val="20"/>
        </w:rPr>
        <w:t> </w:t>
      </w:r>
      <w:r>
        <w:rPr>
          <w:color w:val="231F20"/>
          <w:sz w:val="20"/>
        </w:rPr>
        <w:t>Ctrl</w:t>
      </w:r>
      <w:r>
        <w:rPr>
          <w:color w:val="231F20"/>
          <w:spacing w:val="29"/>
          <w:sz w:val="20"/>
        </w:rPr>
        <w:t> </w:t>
      </w:r>
      <w:r>
        <w:rPr>
          <w:color w:val="231F20"/>
          <w:sz w:val="20"/>
        </w:rPr>
        <w:t>+</w:t>
      </w:r>
      <w:r>
        <w:rPr>
          <w:color w:val="231F20"/>
          <w:spacing w:val="29"/>
          <w:sz w:val="20"/>
        </w:rPr>
        <w:t> </w:t>
      </w:r>
      <w:r>
        <w:rPr>
          <w:color w:val="231F20"/>
          <w:sz w:val="20"/>
        </w:rPr>
        <w:t>click</w:t>
      </w:r>
      <w:r>
        <w:rPr>
          <w:color w:val="231F20"/>
          <w:spacing w:val="29"/>
          <w:sz w:val="20"/>
        </w:rPr>
        <w:t> </w:t>
      </w:r>
      <w:r>
        <w:rPr>
          <w:color w:val="231F20"/>
          <w:sz w:val="20"/>
        </w:rPr>
        <w:t>a</w:t>
      </w:r>
      <w:r>
        <w:rPr>
          <w:color w:val="231F20"/>
          <w:spacing w:val="29"/>
          <w:sz w:val="20"/>
        </w:rPr>
        <w:t> </w:t>
      </w:r>
      <w:r>
        <w:rPr>
          <w:color w:val="231F20"/>
          <w:sz w:val="20"/>
        </w:rPr>
        <w:t>selected</w:t>
      </w:r>
      <w:r>
        <w:rPr>
          <w:color w:val="231F20"/>
          <w:spacing w:val="29"/>
          <w:sz w:val="20"/>
        </w:rPr>
        <w:t> </w:t>
      </w:r>
      <w:r>
        <w:rPr>
          <w:color w:val="231F20"/>
          <w:sz w:val="20"/>
        </w:rPr>
        <w:t>situation</w:t>
      </w:r>
      <w:r>
        <w:rPr>
          <w:color w:val="231F20"/>
          <w:spacing w:val="29"/>
          <w:sz w:val="20"/>
        </w:rPr>
        <w:t> </w:t>
      </w:r>
      <w:r>
        <w:rPr>
          <w:color w:val="231F20"/>
          <w:sz w:val="20"/>
        </w:rPr>
        <w:t>to</w:t>
      </w:r>
      <w:r>
        <w:rPr>
          <w:color w:val="231F20"/>
          <w:spacing w:val="29"/>
          <w:sz w:val="20"/>
        </w:rPr>
        <w:t> </w:t>
      </w:r>
      <w:r>
        <w:rPr>
          <w:color w:val="231F20"/>
          <w:sz w:val="20"/>
        </w:rPr>
        <w:t>deselect</w:t>
      </w:r>
      <w:r>
        <w:rPr>
          <w:color w:val="231F20"/>
          <w:spacing w:val="29"/>
          <w:sz w:val="20"/>
        </w:rPr>
        <w:t> </w:t>
      </w:r>
      <w:r>
        <w:rPr>
          <w:color w:val="231F20"/>
          <w:sz w:val="20"/>
        </w:rPr>
        <w:t>it,</w:t>
      </w:r>
      <w:r>
        <w:rPr>
          <w:color w:val="231F20"/>
          <w:spacing w:val="29"/>
          <w:sz w:val="20"/>
        </w:rPr>
        <w:t> </w:t>
      </w:r>
      <w:r>
        <w:rPr>
          <w:color w:val="231F20"/>
          <w:sz w:val="20"/>
        </w:rPr>
        <w:t>and Shift + click to select all situations between the one previously selected and </w:t>
      </w:r>
      <w:r>
        <w:rPr>
          <w:color w:val="231F20"/>
          <w:sz w:val="20"/>
        </w:rPr>
        <w:t>this </w:t>
      </w:r>
      <w:r>
        <w:rPr>
          <w:color w:val="231F20"/>
          <w:spacing w:val="-4"/>
          <w:sz w:val="20"/>
        </w:rPr>
        <w:t>one.</w:t>
      </w:r>
    </w:p>
    <w:p>
      <w:pPr>
        <w:pStyle w:val="ListParagraph"/>
        <w:numPr>
          <w:ilvl w:val="0"/>
          <w:numId w:val="55"/>
        </w:numPr>
        <w:tabs>
          <w:tab w:pos="2788" w:val="left" w:leader="none"/>
        </w:tabs>
        <w:spacing w:line="213" w:lineRule="auto" w:before="57" w:after="0"/>
        <w:ind w:left="2788" w:right="372" w:hanging="316"/>
        <w:jc w:val="left"/>
        <w:rPr>
          <w:sz w:val="20"/>
        </w:rPr>
      </w:pPr>
      <w:r>
        <w:rPr>
          <w:color w:val="231F20"/>
          <w:sz w:val="20"/>
        </w:rPr>
        <w:t>If the situation has expression overrides (</w:t>
      </w:r>
      <w:r>
        <w:rPr>
          <w:color w:val="231F20"/>
          <w:spacing w:val="-2"/>
          <w:position w:val="-1"/>
          <w:sz w:val="20"/>
        </w:rPr>
        <w:drawing>
          <wp:inline distT="0" distB="0" distL="0" distR="0">
            <wp:extent cx="101600" cy="101600"/>
            <wp:effectExtent l="0" t="0" r="0" b="0"/>
            <wp:docPr id="1247" name="Image 1247"/>
            <wp:cNvGraphicFramePr>
              <a:graphicFrameLocks/>
            </wp:cNvGraphicFramePr>
            <a:graphic>
              <a:graphicData uri="http://schemas.openxmlformats.org/drawingml/2006/picture">
                <pic:pic>
                  <pic:nvPicPr>
                    <pic:cNvPr id="1247" name="Image 1247"/>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2"/>
          <w:position w:val="-1"/>
          <w:sz w:val="20"/>
        </w:rPr>
      </w:r>
      <w:r>
        <w:rPr>
          <w:rFonts w:ascii="Times New Roman" w:hAnsi="Times New Roman"/>
          <w:color w:val="231F20"/>
          <w:spacing w:val="40"/>
          <w:sz w:val="20"/>
        </w:rPr>
        <w:t> </w:t>
      </w:r>
      <w:r>
        <w:rPr>
          <w:color w:val="231F20"/>
          <w:sz w:val="20"/>
        </w:rPr>
        <w:t>icon in the </w:t>
      </w:r>
      <w:r>
        <w:rPr>
          <w:rFonts w:ascii="Book Antiqua" w:hAnsi="Book Antiqua"/>
          <w:b/>
          <w:color w:val="231F20"/>
          <w:sz w:val="20"/>
        </w:rPr>
        <w:t>Overrides Exist</w:t>
      </w:r>
      <w:r>
        <w:rPr>
          <w:rFonts w:ascii="Book Antiqua" w:hAnsi="Book Antiqua"/>
          <w:b/>
          <w:color w:val="231F20"/>
          <w:spacing w:val="40"/>
          <w:sz w:val="20"/>
        </w:rPr>
        <w:t> </w:t>
      </w:r>
      <w:r>
        <w:rPr>
          <w:color w:val="231F20"/>
          <w:sz w:val="20"/>
        </w:rPr>
        <w:t>column) and you want to see which threshold (the original or the override) </w:t>
      </w:r>
      <w:r>
        <w:rPr>
          <w:color w:val="231F20"/>
          <w:sz w:val="20"/>
        </w:rPr>
        <w:t>is used at the sampling time, select the </w:t>
      </w:r>
      <w:r>
        <w:rPr>
          <w:color w:val="231F20"/>
          <w:spacing w:val="15"/>
          <w:sz w:val="20"/>
        </w:rPr>
        <w:drawing>
          <wp:inline distT="0" distB="0" distL="0" distR="0">
            <wp:extent cx="82550" cy="82550"/>
            <wp:effectExtent l="0" t="0" r="0" b="0"/>
            <wp:docPr id="1248" name="Image 1248"/>
            <wp:cNvGraphicFramePr>
              <a:graphicFrameLocks/>
            </wp:cNvGraphicFramePr>
            <a:graphic>
              <a:graphicData uri="http://schemas.openxmlformats.org/drawingml/2006/picture">
                <pic:pic>
                  <pic:nvPicPr>
                    <pic:cNvPr id="1248" name="Image 1248"/>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hAnsi="Times New Roman"/>
          <w:color w:val="231F20"/>
          <w:spacing w:val="-7"/>
          <w:sz w:val="20"/>
        </w:rPr>
        <w:t> </w:t>
      </w:r>
      <w:r>
        <w:rPr>
          <w:rFonts w:ascii="Book Antiqua" w:hAnsi="Book Antiqua"/>
          <w:b/>
          <w:color w:val="231F20"/>
          <w:sz w:val="20"/>
        </w:rPr>
        <w:t>Show effective thresholds only </w:t>
      </w:r>
      <w:r>
        <w:rPr>
          <w:color w:val="231F20"/>
          <w:sz w:val="20"/>
        </w:rPr>
        <w:t>check box. See </w:t>
      </w:r>
      <w:hyperlink w:history="true" w:anchor="_bookmark96">
        <w:r>
          <w:rPr>
            <w:color w:val="231F20"/>
            <w:sz w:val="20"/>
          </w:rPr>
          <w:t>“Monitored baselines chart examples” on page 126.</w:t>
        </w:r>
      </w:hyperlink>
    </w:p>
    <w:p>
      <w:pPr>
        <w:pStyle w:val="ListParagraph"/>
        <w:numPr>
          <w:ilvl w:val="0"/>
          <w:numId w:val="55"/>
        </w:numPr>
        <w:tabs>
          <w:tab w:pos="2786" w:val="left" w:leader="none"/>
          <w:tab w:pos="2788" w:val="left" w:leader="none"/>
        </w:tabs>
        <w:spacing w:line="213" w:lineRule="auto" w:before="58" w:after="0"/>
        <w:ind w:left="2788" w:right="243" w:hanging="317"/>
        <w:jc w:val="left"/>
        <w:rPr>
          <w:sz w:val="20"/>
        </w:rPr>
      </w:pPr>
      <w:r>
        <w:rPr>
          <w:color w:val="231F20"/>
          <w:sz w:val="20"/>
        </w:rPr>
        <w:t>To apply the selected baseline or baselines to the chart, click </w:t>
      </w:r>
      <w:r>
        <w:rPr>
          <w:rFonts w:ascii="Book Antiqua"/>
          <w:b/>
          <w:color w:val="231F20"/>
          <w:sz w:val="20"/>
        </w:rPr>
        <w:t>Apply </w:t>
      </w:r>
      <w:r>
        <w:rPr>
          <w:color w:val="231F20"/>
          <w:sz w:val="20"/>
        </w:rPr>
        <w:t>to keep the dialog open or </w:t>
      </w:r>
      <w:r>
        <w:rPr>
          <w:rFonts w:ascii="Book Antiqua"/>
          <w:b/>
          <w:color w:val="231F20"/>
          <w:sz w:val="20"/>
        </w:rPr>
        <w:t>OK </w:t>
      </w:r>
      <w:r>
        <w:rPr>
          <w:color w:val="231F20"/>
          <w:sz w:val="20"/>
        </w:rPr>
        <w:t>to close it.</w:t>
      </w:r>
    </w:p>
    <w:p>
      <w:pPr>
        <w:pStyle w:val="Heading5"/>
      </w:pPr>
      <w:r>
        <w:rPr>
          <w:color w:val="231F20"/>
          <w:spacing w:val="-2"/>
        </w:rPr>
        <w:t>Results</w:t>
      </w:r>
    </w:p>
    <w:p>
      <w:pPr>
        <w:pStyle w:val="BodyText"/>
        <w:spacing w:line="213" w:lineRule="auto" w:before="246"/>
        <w:ind w:left="2472" w:right="338"/>
      </w:pPr>
      <w:r>
        <w:rPr>
          <w:color w:val="231F20"/>
        </w:rPr>
        <w:t>The comparison criteria of the situation is displayed as a line or a pattern behind</w:t>
      </w:r>
      <w:r>
        <w:rPr>
          <w:color w:val="231F20"/>
          <w:spacing w:val="80"/>
        </w:rPr>
        <w:t> </w:t>
      </w:r>
      <w:r>
        <w:rPr>
          <w:color w:val="231F20"/>
        </w:rPr>
        <w:t>the plotted values. Any situation override thresholds are indicated by broken </w:t>
      </w:r>
      <w:r>
        <w:rPr>
          <w:color w:val="231F20"/>
        </w:rPr>
        <w:t>lines during the scheduled time when they apply.</w:t>
      </w:r>
    </w:p>
    <w:p>
      <w:pPr>
        <w:pStyle w:val="Heading5"/>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BodyText"/>
        <w:spacing w:before="222"/>
        <w:ind w:left="2472"/>
      </w:pPr>
      <w:r>
        <w:rPr>
          <w:color w:val="231F20"/>
        </w:rPr>
        <w:t>You</w:t>
      </w:r>
      <w:r>
        <w:rPr>
          <w:color w:val="231F20"/>
          <w:spacing w:val="9"/>
        </w:rPr>
        <w:t> </w:t>
      </w:r>
      <w:r>
        <w:rPr>
          <w:color w:val="231F20"/>
        </w:rPr>
        <w:t>can</w:t>
      </w:r>
      <w:r>
        <w:rPr>
          <w:color w:val="231F20"/>
          <w:spacing w:val="9"/>
        </w:rPr>
        <w:t> </w:t>
      </w:r>
      <w:r>
        <w:rPr>
          <w:color w:val="231F20"/>
        </w:rPr>
        <w:t>perform</w:t>
      </w:r>
      <w:r>
        <w:rPr>
          <w:color w:val="231F20"/>
          <w:spacing w:val="9"/>
        </w:rPr>
        <w:t> </w:t>
      </w:r>
      <w:r>
        <w:rPr>
          <w:color w:val="231F20"/>
        </w:rPr>
        <w:t>any</w:t>
      </w:r>
      <w:r>
        <w:rPr>
          <w:color w:val="231F20"/>
          <w:spacing w:val="9"/>
        </w:rPr>
        <w:t> </w:t>
      </w:r>
      <w:r>
        <w:rPr>
          <w:color w:val="231F20"/>
        </w:rPr>
        <w:t>of</w:t>
      </w:r>
      <w:r>
        <w:rPr>
          <w:color w:val="231F20"/>
          <w:spacing w:val="9"/>
        </w:rPr>
        <w:t> </w:t>
      </w:r>
      <w:r>
        <w:rPr>
          <w:color w:val="231F20"/>
        </w:rPr>
        <w:t>these</w:t>
      </w:r>
      <w:r>
        <w:rPr>
          <w:color w:val="231F20"/>
          <w:spacing w:val="9"/>
        </w:rPr>
        <w:t> </w:t>
      </w:r>
      <w:r>
        <w:rPr>
          <w:color w:val="231F20"/>
        </w:rPr>
        <w:t>activities</w:t>
      </w:r>
      <w:r>
        <w:rPr>
          <w:color w:val="231F20"/>
          <w:spacing w:val="9"/>
        </w:rPr>
        <w:t> </w:t>
      </w:r>
      <w:r>
        <w:rPr>
          <w:color w:val="231F20"/>
        </w:rPr>
        <w:t>in</w:t>
      </w:r>
      <w:r>
        <w:rPr>
          <w:color w:val="231F20"/>
          <w:spacing w:val="10"/>
        </w:rPr>
        <w:t> </w:t>
      </w:r>
      <w:r>
        <w:rPr>
          <w:color w:val="231F20"/>
        </w:rPr>
        <w:t>the</w:t>
      </w:r>
      <w:r>
        <w:rPr>
          <w:color w:val="231F20"/>
          <w:spacing w:val="9"/>
        </w:rPr>
        <w:t> </w:t>
      </w:r>
      <w:r>
        <w:rPr>
          <w:color w:val="231F20"/>
        </w:rPr>
        <w:t>monitored</w:t>
      </w:r>
      <w:r>
        <w:rPr>
          <w:color w:val="231F20"/>
          <w:spacing w:val="9"/>
        </w:rPr>
        <w:t> </w:t>
      </w:r>
      <w:r>
        <w:rPr>
          <w:color w:val="231F20"/>
        </w:rPr>
        <w:t>baseline</w:t>
      </w:r>
      <w:r>
        <w:rPr>
          <w:color w:val="231F20"/>
          <w:spacing w:val="9"/>
        </w:rPr>
        <w:t> </w:t>
      </w:r>
      <w:r>
        <w:rPr>
          <w:color w:val="231F20"/>
          <w:spacing w:val="-2"/>
        </w:rPr>
        <w:t>chart:</w:t>
      </w:r>
    </w:p>
    <w:p>
      <w:pPr>
        <w:pStyle w:val="BodyText"/>
        <w:spacing w:line="213" w:lineRule="auto" w:before="53"/>
        <w:ind w:left="2688" w:right="493" w:hanging="216"/>
      </w:pPr>
      <w:r>
        <w:rPr>
          <w:rFonts w:ascii="Futura MdCn BT"/>
          <w:color w:val="231F20"/>
        </w:rPr>
        <w:t>v</w:t>
      </w:r>
      <w:r>
        <w:rPr>
          <w:rFonts w:ascii="Futura MdCn BT"/>
          <w:color w:val="231F20"/>
          <w:spacing w:val="80"/>
        </w:rPr>
        <w:t> </w:t>
      </w:r>
      <w:r>
        <w:rPr>
          <w:color w:val="231F20"/>
        </w:rPr>
        <w:t>Move the mouse pointer over a baseline to highlight it and see the </w:t>
      </w:r>
      <w:r>
        <w:rPr>
          <w:color w:val="231F20"/>
        </w:rPr>
        <w:t>situation</w:t>
      </w:r>
      <w:r>
        <w:rPr>
          <w:color w:val="231F20"/>
          <w:spacing w:val="40"/>
        </w:rPr>
        <w:t> </w:t>
      </w:r>
      <w:r>
        <w:rPr>
          <w:color w:val="231F20"/>
          <w:spacing w:val="-2"/>
        </w:rPr>
        <w:t>formula.</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Move the mouse pointer over a plot point to see the value, the name of the</w:t>
      </w:r>
      <w:r>
        <w:rPr>
          <w:color w:val="231F20"/>
          <w:spacing w:val="80"/>
        </w:rPr>
        <w:t> </w:t>
      </w:r>
      <w:r>
        <w:rPr>
          <w:color w:val="231F20"/>
        </w:rPr>
        <w:t>attribute, and when the data sample was taken.</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Click</w:t>
      </w:r>
      <w:r>
        <w:rPr>
          <w:color w:val="231F20"/>
          <w:spacing w:val="13"/>
        </w:rPr>
        <w:t> </w:t>
      </w:r>
      <w:r>
        <w:rPr>
          <w:color w:val="231F20"/>
        </w:rPr>
        <w:t>and</w:t>
      </w:r>
      <w:r>
        <w:rPr>
          <w:color w:val="231F20"/>
          <w:spacing w:val="13"/>
        </w:rPr>
        <w:t> </w:t>
      </w:r>
      <w:r>
        <w:rPr>
          <w:color w:val="231F20"/>
        </w:rPr>
        <w:t>drag</w:t>
      </w:r>
      <w:r>
        <w:rPr>
          <w:color w:val="231F20"/>
          <w:spacing w:val="13"/>
        </w:rPr>
        <w:t> </w:t>
      </w:r>
      <w:r>
        <w:rPr>
          <w:color w:val="231F20"/>
        </w:rPr>
        <w:t>to</w:t>
      </w:r>
      <w:r>
        <w:rPr>
          <w:color w:val="231F20"/>
          <w:spacing w:val="13"/>
        </w:rPr>
        <w:t> </w:t>
      </w:r>
      <w:r>
        <w:rPr>
          <w:color w:val="231F20"/>
        </w:rPr>
        <w:t>select</w:t>
      </w:r>
      <w:r>
        <w:rPr>
          <w:color w:val="231F20"/>
          <w:spacing w:val="13"/>
        </w:rPr>
        <w:t> </w:t>
      </w:r>
      <w:r>
        <w:rPr>
          <w:color w:val="231F20"/>
        </w:rPr>
        <w:t>a</w:t>
      </w:r>
      <w:r>
        <w:rPr>
          <w:color w:val="231F20"/>
          <w:spacing w:val="13"/>
        </w:rPr>
        <w:t> </w:t>
      </w:r>
      <w:r>
        <w:rPr>
          <w:color w:val="231F20"/>
        </w:rPr>
        <w:t>smaller</w:t>
      </w:r>
      <w:r>
        <w:rPr>
          <w:color w:val="231F20"/>
          <w:spacing w:val="13"/>
        </w:rPr>
        <w:t> </w:t>
      </w:r>
      <w:r>
        <w:rPr>
          <w:color w:val="231F20"/>
        </w:rPr>
        <w:t>time</w:t>
      </w:r>
      <w:r>
        <w:rPr>
          <w:color w:val="231F20"/>
          <w:spacing w:val="13"/>
        </w:rPr>
        <w:t> </w:t>
      </w:r>
      <w:r>
        <w:rPr>
          <w:color w:val="231F20"/>
        </w:rPr>
        <w:t>range</w:t>
      </w:r>
      <w:r>
        <w:rPr>
          <w:color w:val="231F20"/>
          <w:spacing w:val="13"/>
        </w:rPr>
        <w:t> </w:t>
      </w:r>
      <w:r>
        <w:rPr>
          <w:color w:val="231F20"/>
        </w:rPr>
        <w:t>to</w:t>
      </w:r>
      <w:r>
        <w:rPr>
          <w:color w:val="231F20"/>
          <w:spacing w:val="13"/>
        </w:rPr>
        <w:t> </w:t>
      </w:r>
      <w:r>
        <w:rPr>
          <w:color w:val="231F20"/>
        </w:rPr>
        <w:t>zoom</w:t>
      </w:r>
      <w:r>
        <w:rPr>
          <w:color w:val="231F20"/>
          <w:spacing w:val="13"/>
        </w:rPr>
        <w:t> </w:t>
      </w:r>
      <w:r>
        <w:rPr>
          <w:color w:val="231F20"/>
        </w:rPr>
        <w:t>in</w:t>
      </w:r>
      <w:r>
        <w:rPr>
          <w:color w:val="231F20"/>
          <w:spacing w:val="13"/>
        </w:rPr>
        <w:t> </w:t>
      </w:r>
      <w:r>
        <w:rPr>
          <w:color w:val="231F20"/>
        </w:rPr>
        <w:t>on,</w:t>
      </w:r>
      <w:r>
        <w:rPr>
          <w:color w:val="231F20"/>
          <w:spacing w:val="13"/>
        </w:rPr>
        <w:t> </w:t>
      </w:r>
      <w:r>
        <w:rPr>
          <w:color w:val="231F20"/>
        </w:rPr>
        <w:t>and</w:t>
      </w:r>
      <w:r>
        <w:rPr>
          <w:color w:val="231F20"/>
          <w:spacing w:val="13"/>
        </w:rPr>
        <w:t> </w:t>
      </w:r>
      <w:r>
        <w:rPr>
          <w:color w:val="231F20"/>
        </w:rPr>
        <w:t>then</w:t>
      </w:r>
      <w:r>
        <w:rPr>
          <w:color w:val="231F20"/>
          <w:spacing w:val="13"/>
        </w:rPr>
        <w:t> </w:t>
      </w:r>
      <w:r>
        <w:rPr>
          <w:color w:val="231F20"/>
        </w:rPr>
        <w:t>press</w:t>
      </w:r>
      <w:r>
        <w:rPr>
          <w:color w:val="231F20"/>
          <w:spacing w:val="13"/>
        </w:rPr>
        <w:t> </w:t>
      </w:r>
      <w:r>
        <w:rPr>
          <w:color w:val="231F20"/>
        </w:rPr>
        <w:t>Esc to zoom out.</w:t>
      </w:r>
    </w:p>
    <w:p>
      <w:pPr>
        <w:pStyle w:val="BodyText"/>
        <w:spacing w:line="213" w:lineRule="auto" w:before="58"/>
        <w:ind w:left="2688" w:right="274" w:hanging="216"/>
      </w:pPr>
      <w:r>
        <w:rPr>
          <w:rFonts w:ascii="Futura MdCn BT"/>
          <w:color w:val="231F20"/>
        </w:rPr>
        <w:t>v</w:t>
      </w:r>
      <w:r>
        <w:rPr>
          <w:rFonts w:ascii="Futura MdCn BT"/>
          <w:color w:val="231F20"/>
          <w:spacing w:val="80"/>
        </w:rPr>
        <w:t> </w:t>
      </w:r>
      <w:r>
        <w:rPr>
          <w:color w:val="231F20"/>
        </w:rPr>
        <w:t>Right-click a monitored baseline and click </w:t>
      </w:r>
      <w:r>
        <w:rPr>
          <w:rFonts w:ascii="Book Antiqua"/>
          <w:b/>
          <w:color w:val="231F20"/>
        </w:rPr>
        <w:t>Edit Situation </w:t>
      </w:r>
      <w:r>
        <w:rPr>
          <w:color w:val="231F20"/>
        </w:rPr>
        <w:t>to launch the </w:t>
      </w:r>
      <w:r>
        <w:rPr>
          <w:color w:val="231F20"/>
        </w:rPr>
        <w:t>Situation</w:t>
      </w:r>
      <w:r>
        <w:rPr>
          <w:color w:val="231F20"/>
        </w:rPr>
        <w:t> editor; or click </w:t>
      </w:r>
      <w:r>
        <w:rPr>
          <w:rFonts w:ascii="Book Antiqua"/>
          <w:b/>
          <w:color w:val="231F20"/>
        </w:rPr>
        <w:t>Edit Override </w:t>
      </w:r>
      <w:r>
        <w:rPr>
          <w:color w:val="231F20"/>
        </w:rPr>
        <w:t>to launch the Expression Override editor.</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Right-click a plot point and click </w:t>
      </w:r>
      <w:r>
        <w:rPr>
          <w:color w:val="231F20"/>
          <w:spacing w:val="-25"/>
          <w:position w:val="-1"/>
        </w:rPr>
        <w:drawing>
          <wp:inline distT="0" distB="0" distL="0" distR="0">
            <wp:extent cx="88900" cy="95250"/>
            <wp:effectExtent l="0" t="0" r="0" b="0"/>
            <wp:docPr id="1249" name="Image 1249"/>
            <wp:cNvGraphicFramePr>
              <a:graphicFrameLocks/>
            </wp:cNvGraphicFramePr>
            <a:graphic>
              <a:graphicData uri="http://schemas.openxmlformats.org/drawingml/2006/picture">
                <pic:pic>
                  <pic:nvPicPr>
                    <pic:cNvPr id="1249" name="Image 1249"/>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rPr>
      </w:r>
      <w:r>
        <w:rPr>
          <w:rFonts w:ascii="Times New Roman"/>
          <w:color w:val="231F20"/>
          <w:spacing w:val="28"/>
        </w:rPr>
        <w:t> </w:t>
      </w:r>
      <w:r>
        <w:rPr>
          <w:rFonts w:ascii="Book Antiqua"/>
          <w:b/>
          <w:color w:val="231F20"/>
        </w:rPr>
        <w:t>Model Situation </w:t>
      </w:r>
      <w:r>
        <w:rPr>
          <w:color w:val="231F20"/>
        </w:rPr>
        <w:t>to open the Model </w:t>
      </w:r>
      <w:r>
        <w:rPr>
          <w:color w:val="231F20"/>
        </w:rPr>
        <w:t>Situation</w:t>
      </w:r>
      <w:r>
        <w:rPr>
          <w:color w:val="231F20"/>
        </w:rPr>
        <w:t> chart and populate the attributes table with the values from the plot point. After performing</w:t>
      </w:r>
      <w:r>
        <w:rPr>
          <w:color w:val="231F20"/>
          <w:spacing w:val="30"/>
        </w:rPr>
        <w:t> </w:t>
      </w:r>
      <w:r>
        <w:rPr>
          <w:color w:val="231F20"/>
        </w:rPr>
        <w:t>additional</w:t>
      </w:r>
      <w:r>
        <w:rPr>
          <w:color w:val="231F20"/>
          <w:spacing w:val="30"/>
        </w:rPr>
        <w:t> </w:t>
      </w:r>
      <w:r>
        <w:rPr>
          <w:color w:val="231F20"/>
        </w:rPr>
        <w:t>analysis,</w:t>
      </w:r>
      <w:r>
        <w:rPr>
          <w:color w:val="231F20"/>
          <w:spacing w:val="30"/>
        </w:rPr>
        <w:t> </w:t>
      </w:r>
      <w:r>
        <w:rPr>
          <w:color w:val="231F20"/>
        </w:rPr>
        <w:t>you</w:t>
      </w:r>
      <w:r>
        <w:rPr>
          <w:color w:val="231F20"/>
          <w:spacing w:val="30"/>
        </w:rPr>
        <w:t> </w:t>
      </w:r>
      <w:r>
        <w:rPr>
          <w:color w:val="231F20"/>
        </w:rPr>
        <w:t>can</w:t>
      </w:r>
      <w:r>
        <w:rPr>
          <w:color w:val="231F20"/>
          <w:spacing w:val="30"/>
        </w:rPr>
        <w:t> </w:t>
      </w:r>
      <w:r>
        <w:rPr>
          <w:color w:val="231F20"/>
        </w:rPr>
        <w:t>create</w:t>
      </w:r>
      <w:r>
        <w:rPr>
          <w:color w:val="231F20"/>
          <w:spacing w:val="30"/>
        </w:rPr>
        <w:t> </w:t>
      </w:r>
      <w:r>
        <w:rPr>
          <w:color w:val="231F20"/>
        </w:rPr>
        <w:t>a</w:t>
      </w:r>
      <w:r>
        <w:rPr>
          <w:color w:val="231F20"/>
          <w:spacing w:val="30"/>
        </w:rPr>
        <w:t> </w:t>
      </w:r>
      <w:r>
        <w:rPr>
          <w:color w:val="231F20"/>
        </w:rPr>
        <w:t>new</w:t>
      </w:r>
      <w:r>
        <w:rPr>
          <w:color w:val="231F20"/>
          <w:spacing w:val="30"/>
        </w:rPr>
        <w:t> </w:t>
      </w:r>
      <w:r>
        <w:rPr>
          <w:color w:val="231F20"/>
        </w:rPr>
        <w:t>situation</w:t>
      </w:r>
      <w:r>
        <w:rPr>
          <w:color w:val="231F20"/>
          <w:spacing w:val="30"/>
        </w:rPr>
        <w:t> </w:t>
      </w:r>
      <w:r>
        <w:rPr>
          <w:color w:val="231F20"/>
        </w:rPr>
        <w:t>with</w:t>
      </w:r>
      <w:r>
        <w:rPr>
          <w:color w:val="231F20"/>
          <w:spacing w:val="30"/>
        </w:rPr>
        <w:t> </w:t>
      </w:r>
      <w:r>
        <w:rPr>
          <w:color w:val="231F20"/>
        </w:rPr>
        <w:t>the calculated values and edit them as needed.</w:t>
      </w:r>
    </w:p>
    <w:p>
      <w:pPr>
        <w:spacing w:after="0" w:line="213" w:lineRule="auto"/>
        <w:sectPr>
          <w:pgSz w:w="12240" w:h="15840"/>
          <w:pgMar w:header="0" w:footer="736" w:top="1180" w:bottom="920" w:left="1000" w:right="1060"/>
        </w:sectPr>
      </w:pPr>
    </w:p>
    <w:p>
      <w:pPr>
        <w:spacing w:line="255" w:lineRule="exact" w:before="62"/>
        <w:ind w:left="2232" w:right="0" w:firstLine="0"/>
        <w:jc w:val="left"/>
        <w:rPr>
          <w:rFonts w:ascii="Book Antiqua"/>
          <w:b/>
          <w:sz w:val="20"/>
        </w:rPr>
      </w:pPr>
      <w:bookmarkStart w:name="_bookmark96" w:id="207"/>
      <w:bookmarkEnd w:id="207"/>
      <w:r>
        <w:rPr/>
      </w:r>
      <w:r>
        <w:rPr>
          <w:rFonts w:ascii="Futura MdCn BT"/>
          <w:color w:val="231F20"/>
          <w:sz w:val="20"/>
        </w:rPr>
        <w:t>v</w:t>
      </w:r>
      <w:r>
        <w:rPr>
          <w:rFonts w:ascii="Futura MdCn BT"/>
          <w:color w:val="231F20"/>
          <w:spacing w:val="76"/>
          <w:w w:val="150"/>
          <w:sz w:val="20"/>
        </w:rPr>
        <w:t> </w:t>
      </w:r>
      <w:r>
        <w:rPr>
          <w:color w:val="231F20"/>
          <w:sz w:val="20"/>
        </w:rPr>
        <w:t>Remove</w:t>
      </w:r>
      <w:r>
        <w:rPr>
          <w:color w:val="231F20"/>
          <w:spacing w:val="11"/>
          <w:sz w:val="20"/>
        </w:rPr>
        <w:t> </w:t>
      </w:r>
      <w:r>
        <w:rPr>
          <w:color w:val="231F20"/>
          <w:sz w:val="20"/>
        </w:rPr>
        <w:t>the</w:t>
      </w:r>
      <w:r>
        <w:rPr>
          <w:color w:val="231F20"/>
          <w:spacing w:val="11"/>
          <w:sz w:val="20"/>
        </w:rPr>
        <w:t> </w:t>
      </w:r>
      <w:r>
        <w:rPr>
          <w:color w:val="231F20"/>
          <w:sz w:val="20"/>
        </w:rPr>
        <w:t>monitored</w:t>
      </w:r>
      <w:r>
        <w:rPr>
          <w:color w:val="231F20"/>
          <w:spacing w:val="11"/>
          <w:sz w:val="20"/>
        </w:rPr>
        <w:t> </w:t>
      </w:r>
      <w:r>
        <w:rPr>
          <w:color w:val="231F20"/>
          <w:sz w:val="20"/>
        </w:rPr>
        <w:t>baseline</w:t>
      </w:r>
      <w:r>
        <w:rPr>
          <w:color w:val="231F20"/>
          <w:spacing w:val="11"/>
          <w:sz w:val="20"/>
        </w:rPr>
        <w:t> </w:t>
      </w:r>
      <w:r>
        <w:rPr>
          <w:color w:val="231F20"/>
          <w:sz w:val="20"/>
        </w:rPr>
        <w:t>from</w:t>
      </w:r>
      <w:r>
        <w:rPr>
          <w:color w:val="231F20"/>
          <w:spacing w:val="11"/>
          <w:sz w:val="20"/>
        </w:rPr>
        <w:t> </w:t>
      </w:r>
      <w:r>
        <w:rPr>
          <w:color w:val="231F20"/>
          <w:sz w:val="20"/>
        </w:rPr>
        <w:t>the</w:t>
      </w:r>
      <w:r>
        <w:rPr>
          <w:color w:val="231F20"/>
          <w:spacing w:val="11"/>
          <w:sz w:val="20"/>
        </w:rPr>
        <w:t> </w:t>
      </w:r>
      <w:r>
        <w:rPr>
          <w:color w:val="231F20"/>
          <w:sz w:val="20"/>
        </w:rPr>
        <w:t>chart:</w:t>
      </w:r>
      <w:r>
        <w:rPr>
          <w:color w:val="231F20"/>
          <w:spacing w:val="10"/>
          <w:sz w:val="20"/>
        </w:rPr>
        <w:t> </w:t>
      </w:r>
      <w:r>
        <w:rPr>
          <w:color w:val="231F20"/>
          <w:sz w:val="20"/>
        </w:rPr>
        <w:t>Click</w:t>
      </w:r>
      <w:r>
        <w:rPr>
          <w:color w:val="231F20"/>
          <w:spacing w:val="10"/>
          <w:sz w:val="20"/>
        </w:rPr>
        <w:t> </w:t>
      </w:r>
      <w:r>
        <w:rPr>
          <w:color w:val="231F20"/>
          <w:spacing w:val="15"/>
          <w:position w:val="-1"/>
          <w:sz w:val="20"/>
        </w:rPr>
        <w:drawing>
          <wp:inline distT="0" distB="0" distL="0" distR="0">
            <wp:extent cx="101600" cy="95250"/>
            <wp:effectExtent l="0" t="0" r="0" b="0"/>
            <wp:docPr id="1250" name="Image 1250"/>
            <wp:cNvGraphicFramePr>
              <a:graphicFrameLocks/>
            </wp:cNvGraphicFramePr>
            <a:graphic>
              <a:graphicData uri="http://schemas.openxmlformats.org/drawingml/2006/picture">
                <pic:pic>
                  <pic:nvPicPr>
                    <pic:cNvPr id="1250" name="Image 1250"/>
                    <pic:cNvPicPr/>
                  </pic:nvPicPr>
                  <pic:blipFill>
                    <a:blip r:embed="rId2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Add</w:t>
      </w:r>
      <w:r>
        <w:rPr>
          <w:rFonts w:ascii="Book Antiqua"/>
          <w:b/>
          <w:color w:val="231F20"/>
          <w:spacing w:val="11"/>
          <w:sz w:val="20"/>
        </w:rPr>
        <w:t> </w:t>
      </w:r>
      <w:r>
        <w:rPr>
          <w:rFonts w:ascii="Book Antiqua"/>
          <w:b/>
          <w:color w:val="231F20"/>
          <w:sz w:val="20"/>
        </w:rPr>
        <w:t>Monitored</w:t>
      </w:r>
      <w:r>
        <w:rPr>
          <w:rFonts w:ascii="Book Antiqua"/>
          <w:b/>
          <w:color w:val="231F20"/>
          <w:spacing w:val="11"/>
          <w:sz w:val="20"/>
        </w:rPr>
        <w:t> </w:t>
      </w:r>
      <w:r>
        <w:rPr>
          <w:rFonts w:ascii="Book Antiqua"/>
          <w:b/>
          <w:color w:val="231F20"/>
          <w:spacing w:val="-2"/>
          <w:sz w:val="20"/>
        </w:rPr>
        <w:t>Baseline</w:t>
      </w:r>
    </w:p>
    <w:p>
      <w:pPr>
        <w:pStyle w:val="BodyText"/>
        <w:spacing w:line="255" w:lineRule="exact"/>
        <w:ind w:left="2448"/>
      </w:pPr>
      <w:r>
        <w:rPr>
          <w:color w:val="231F20"/>
        </w:rPr>
        <w:t>and</w:t>
      </w:r>
      <w:r>
        <w:rPr>
          <w:color w:val="231F20"/>
          <w:spacing w:val="17"/>
        </w:rPr>
        <w:t> </w:t>
      </w:r>
      <w:r>
        <w:rPr>
          <w:color w:val="231F20"/>
        </w:rPr>
        <w:t>Ctrl</w:t>
      </w:r>
      <w:r>
        <w:rPr>
          <w:color w:val="231F20"/>
          <w:spacing w:val="18"/>
        </w:rPr>
        <w:t> </w:t>
      </w:r>
      <w:r>
        <w:rPr>
          <w:color w:val="231F20"/>
        </w:rPr>
        <w:t>+</w:t>
      </w:r>
      <w:r>
        <w:rPr>
          <w:color w:val="231F20"/>
          <w:spacing w:val="17"/>
        </w:rPr>
        <w:t> </w:t>
      </w:r>
      <w:r>
        <w:rPr>
          <w:color w:val="231F20"/>
        </w:rPr>
        <w:t>click</w:t>
      </w:r>
      <w:r>
        <w:rPr>
          <w:color w:val="231F20"/>
          <w:spacing w:val="18"/>
        </w:rPr>
        <w:t> </w:t>
      </w:r>
      <w:r>
        <w:rPr>
          <w:color w:val="231F20"/>
        </w:rPr>
        <w:t>a</w:t>
      </w:r>
      <w:r>
        <w:rPr>
          <w:color w:val="231F20"/>
          <w:spacing w:val="18"/>
        </w:rPr>
        <w:t> </w:t>
      </w:r>
      <w:r>
        <w:rPr>
          <w:color w:val="231F20"/>
          <w:spacing w:val="-2"/>
        </w:rPr>
        <w:t>situation.</w:t>
      </w:r>
    </w:p>
    <w:p>
      <w:pPr>
        <w:spacing w:line="213" w:lineRule="auto" w:before="52"/>
        <w:ind w:left="2448"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Apply another type of baseline if this is an area chart or plot chart: </w:t>
      </w:r>
      <w:r>
        <w:rPr>
          <w:color w:val="231F20"/>
          <w:spacing w:val="15"/>
          <w:position w:val="-1"/>
          <w:sz w:val="20"/>
        </w:rPr>
        <w:drawing>
          <wp:inline distT="0" distB="0" distL="0" distR="0">
            <wp:extent cx="101600" cy="101600"/>
            <wp:effectExtent l="0" t="0" r="0" b="0"/>
            <wp:docPr id="1251" name="Image 1251"/>
            <wp:cNvGraphicFramePr>
              <a:graphicFrameLocks/>
            </wp:cNvGraphicFramePr>
            <a:graphic>
              <a:graphicData uri="http://schemas.openxmlformats.org/drawingml/2006/picture">
                <pic:pic>
                  <pic:nvPicPr>
                    <pic:cNvPr id="1251" name="Image 1251"/>
                    <pic:cNvPicPr/>
                  </pic:nvPicPr>
                  <pic:blipFill>
                    <a:blip r:embed="rId232"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Add</w:t>
      </w:r>
      <w:r>
        <w:rPr>
          <w:rFonts w:ascii="Book Antiqua"/>
          <w:b/>
          <w:color w:val="231F20"/>
          <w:spacing w:val="40"/>
          <w:sz w:val="20"/>
        </w:rPr>
        <w:t> </w:t>
      </w:r>
      <w:r>
        <w:rPr>
          <w:rFonts w:ascii="Book Antiqua"/>
          <w:b/>
          <w:color w:val="231F20"/>
          <w:sz w:val="20"/>
        </w:rPr>
        <w:t>Statistical Baseline </w:t>
      </w:r>
      <w:r>
        <w:rPr>
          <w:color w:val="231F20"/>
          <w:sz w:val="20"/>
        </w:rPr>
        <w:t>and, for plot charts only, </w:t>
      </w:r>
      <w:r>
        <w:rPr>
          <w:color w:val="231F20"/>
          <w:spacing w:val="15"/>
          <w:position w:val="-1"/>
          <w:sz w:val="20"/>
        </w:rPr>
        <w:drawing>
          <wp:inline distT="0" distB="0" distL="0" distR="0">
            <wp:extent cx="101600" cy="95250"/>
            <wp:effectExtent l="0" t="0" r="0" b="0"/>
            <wp:docPr id="1252" name="Image 1252"/>
            <wp:cNvGraphicFramePr>
              <a:graphicFrameLocks/>
            </wp:cNvGraphicFramePr>
            <a:graphic>
              <a:graphicData uri="http://schemas.openxmlformats.org/drawingml/2006/picture">
                <pic:pic>
                  <pic:nvPicPr>
                    <pic:cNvPr id="1252" name="Image 1252"/>
                    <pic:cNvPicPr/>
                  </pic:nvPicPr>
                  <pic:blipFill>
                    <a:blip r:embed="rId233"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0"/>
          <w:sz w:val="20"/>
        </w:rPr>
        <w:t> </w:t>
      </w:r>
      <w:r>
        <w:rPr>
          <w:rFonts w:ascii="Book Antiqua"/>
          <w:b/>
          <w:color w:val="231F20"/>
          <w:sz w:val="20"/>
        </w:rPr>
        <w:t>Add Historical Baseline</w:t>
      </w:r>
      <w:r>
        <w:rPr>
          <w:color w:val="231F20"/>
          <w:sz w:val="20"/>
        </w:rPr>
        <w:t>.</w:t>
      </w:r>
    </w:p>
    <w:p>
      <w:pPr>
        <w:pStyle w:val="Heading6"/>
        <w:spacing w:line="240" w:lineRule="auto" w:before="36"/>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81">
        <w:r>
          <w:rPr>
            <w:color w:val="231F20"/>
          </w:rPr>
          <w:t>“Bar</w:t>
        </w:r>
        <w:r>
          <w:rPr>
            <w:color w:val="231F20"/>
            <w:spacing w:val="12"/>
          </w:rPr>
          <w:t> </w:t>
        </w:r>
        <w:r>
          <w:rPr>
            <w:color w:val="231F20"/>
          </w:rPr>
          <w:t>chart”</w:t>
        </w:r>
        <w:r>
          <w:rPr>
            <w:color w:val="231F20"/>
            <w:spacing w:val="11"/>
          </w:rPr>
          <w:t> </w:t>
        </w:r>
        <w:r>
          <w:rPr>
            <w:color w:val="231F20"/>
          </w:rPr>
          <w:t>on</w:t>
        </w:r>
        <w:r>
          <w:rPr>
            <w:color w:val="231F20"/>
            <w:spacing w:val="12"/>
          </w:rPr>
          <w:t> </w:t>
        </w:r>
        <w:r>
          <w:rPr>
            <w:color w:val="231F20"/>
          </w:rPr>
          <w:t>page</w:t>
        </w:r>
        <w:r>
          <w:rPr>
            <w:color w:val="231F20"/>
            <w:spacing w:val="12"/>
          </w:rPr>
          <w:t> </w:t>
        </w:r>
        <w:r>
          <w:rPr>
            <w:color w:val="231F20"/>
            <w:spacing w:val="-5"/>
          </w:rPr>
          <w:t>107</w:t>
        </w:r>
      </w:hyperlink>
    </w:p>
    <w:p>
      <w:pPr>
        <w:pStyle w:val="BodyText"/>
        <w:spacing w:line="213" w:lineRule="auto" w:before="8"/>
        <w:ind w:left="2232" w:right="493"/>
      </w:pPr>
      <w:r>
        <w:rPr>
          <w:color w:val="231F20"/>
        </w:rPr>
        <w:t>Add a bar chart to a workspace to compare values among related attributes. The stacking bar chart best shows multiple values for the same attribute. Use the </w:t>
      </w:r>
      <w:r>
        <w:rPr>
          <w:color w:val="231F20"/>
        </w:rPr>
        <w:t>chart styling options that are available in the Properties editor to refine the appearance and to add options such as chart overlays.</w:t>
      </w:r>
    </w:p>
    <w:p>
      <w:pPr>
        <w:pStyle w:val="BodyText"/>
        <w:spacing w:line="255" w:lineRule="exact" w:before="34"/>
        <w:ind w:left="2232"/>
      </w:pPr>
      <w:hyperlink w:history="true" w:anchor="_bookmark82">
        <w:r>
          <w:rPr>
            <w:color w:val="231F20"/>
          </w:rPr>
          <w:t>“Plot</w:t>
        </w:r>
        <w:r>
          <w:rPr>
            <w:color w:val="231F20"/>
            <w:spacing w:val="11"/>
          </w:rPr>
          <w:t> </w:t>
        </w:r>
        <w:r>
          <w:rPr>
            <w:color w:val="231F20"/>
          </w:rPr>
          <w:t>chart”</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108</w:t>
        </w:r>
      </w:hyperlink>
    </w:p>
    <w:p>
      <w:pPr>
        <w:pStyle w:val="BodyText"/>
        <w:spacing w:line="213" w:lineRule="auto" w:before="8"/>
        <w:ind w:left="2232" w:right="763"/>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BodyText"/>
        <w:spacing w:line="255" w:lineRule="exact" w:before="35"/>
        <w:ind w:left="2232"/>
      </w:pPr>
      <w:hyperlink w:history="true" w:anchor="_bookmark83">
        <w:r>
          <w:rPr>
            <w:color w:val="231F20"/>
          </w:rPr>
          <w:t>“Area</w:t>
        </w:r>
        <w:r>
          <w:rPr>
            <w:color w:val="231F20"/>
            <w:spacing w:val="10"/>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0"/>
          </w:rPr>
          <w:t> </w:t>
        </w:r>
        <w:r>
          <w:rPr>
            <w:color w:val="231F20"/>
            <w:spacing w:val="-5"/>
          </w:rPr>
          <w:t>110</w:t>
        </w:r>
      </w:hyperlink>
    </w:p>
    <w:p>
      <w:pPr>
        <w:pStyle w:val="BodyText"/>
        <w:spacing w:line="213" w:lineRule="auto" w:before="8"/>
        <w:ind w:left="2232" w:right="493"/>
      </w:pPr>
      <w:r>
        <w:rPr>
          <w:color w:val="231F20"/>
        </w:rPr>
        <w:t>Use the area chart for showing trends over time among related attributes. The area chart</w:t>
      </w:r>
      <w:r>
        <w:rPr>
          <w:color w:val="231F20"/>
          <w:spacing w:val="24"/>
        </w:rPr>
        <w:t> </w:t>
      </w:r>
      <w:r>
        <w:rPr>
          <w:color w:val="231F20"/>
        </w:rPr>
        <w:t>is</w:t>
      </w:r>
      <w:r>
        <w:rPr>
          <w:color w:val="231F20"/>
          <w:spacing w:val="24"/>
        </w:rPr>
        <w:t> </w:t>
      </w:r>
      <w:r>
        <w:rPr>
          <w:color w:val="231F20"/>
        </w:rPr>
        <w:t>like</w:t>
      </w:r>
      <w:r>
        <w:rPr>
          <w:color w:val="231F20"/>
          <w:spacing w:val="24"/>
        </w:rPr>
        <w:t> </w:t>
      </w:r>
      <w:r>
        <w:rPr>
          <w:color w:val="231F20"/>
        </w:rPr>
        <w:t>the</w:t>
      </w:r>
      <w:r>
        <w:rPr>
          <w:color w:val="231F20"/>
          <w:spacing w:val="24"/>
        </w:rPr>
        <w:t> </w:t>
      </w:r>
      <w:r>
        <w:rPr>
          <w:color w:val="231F20"/>
        </w:rPr>
        <w:t>plot</w:t>
      </w:r>
      <w:r>
        <w:rPr>
          <w:color w:val="231F20"/>
          <w:spacing w:val="24"/>
        </w:rPr>
        <w:t> </w:t>
      </w:r>
      <w:r>
        <w:rPr>
          <w:color w:val="231F20"/>
        </w:rPr>
        <w:t>chart</w:t>
      </w:r>
      <w:r>
        <w:rPr>
          <w:color w:val="231F20"/>
          <w:spacing w:val="24"/>
        </w:rPr>
        <w:t> </w:t>
      </w:r>
      <w:r>
        <w:rPr>
          <w:color w:val="231F20"/>
        </w:rPr>
        <w:t>except</w:t>
      </w:r>
      <w:r>
        <w:rPr>
          <w:color w:val="231F20"/>
          <w:spacing w:val="24"/>
        </w:rPr>
        <w:t> </w:t>
      </w:r>
      <w:r>
        <w:rPr>
          <w:color w:val="231F20"/>
        </w:rPr>
        <w:t>that</w:t>
      </w:r>
      <w:r>
        <w:rPr>
          <w:color w:val="231F20"/>
          <w:spacing w:val="24"/>
        </w:rPr>
        <w:t> </w:t>
      </w:r>
      <w:r>
        <w:rPr>
          <w:color w:val="231F20"/>
        </w:rPr>
        <w:t>the</w:t>
      </w:r>
      <w:r>
        <w:rPr>
          <w:color w:val="231F20"/>
          <w:spacing w:val="24"/>
        </w:rPr>
        <w:t> </w:t>
      </w:r>
      <w:r>
        <w:rPr>
          <w:color w:val="231F20"/>
        </w:rPr>
        <w:t>area</w:t>
      </w:r>
      <w:r>
        <w:rPr>
          <w:color w:val="231F20"/>
          <w:spacing w:val="24"/>
        </w:rPr>
        <w:t> </w:t>
      </w:r>
      <w:r>
        <w:rPr>
          <w:color w:val="231F20"/>
        </w:rPr>
        <w:t>below</w:t>
      </w:r>
      <w:r>
        <w:rPr>
          <w:color w:val="231F20"/>
          <w:spacing w:val="24"/>
        </w:rPr>
        <w:t> </w:t>
      </w:r>
      <w:r>
        <w:rPr>
          <w:color w:val="231F20"/>
        </w:rPr>
        <w:t>the</w:t>
      </w:r>
      <w:r>
        <w:rPr>
          <w:color w:val="231F20"/>
          <w:spacing w:val="24"/>
        </w:rPr>
        <w:t> </w:t>
      </w:r>
      <w:r>
        <w:rPr>
          <w:color w:val="231F20"/>
        </w:rPr>
        <w:t>plotted</w:t>
      </w:r>
      <w:r>
        <w:rPr>
          <w:color w:val="231F20"/>
          <w:spacing w:val="24"/>
        </w:rPr>
        <w:t> </w:t>
      </w:r>
      <w:r>
        <w:rPr>
          <w:color w:val="231F20"/>
        </w:rPr>
        <w:t>line</w:t>
      </w:r>
      <w:r>
        <w:rPr>
          <w:color w:val="231F20"/>
          <w:spacing w:val="24"/>
        </w:rPr>
        <w:t> </w:t>
      </w:r>
      <w:r>
        <w:rPr>
          <w:color w:val="231F20"/>
        </w:rPr>
        <w:t>is</w:t>
      </w:r>
      <w:r>
        <w:rPr>
          <w:color w:val="231F20"/>
          <w:spacing w:val="24"/>
        </w:rPr>
        <w:t> </w:t>
      </w:r>
      <w:r>
        <w:rPr>
          <w:color w:val="231F20"/>
        </w:rPr>
        <w:t>filled</w:t>
      </w:r>
      <w:r>
        <w:rPr>
          <w:color w:val="231F20"/>
          <w:spacing w:val="24"/>
        </w:rPr>
        <w:t> </w:t>
      </w:r>
      <w:r>
        <w:rPr>
          <w:color w:val="231F20"/>
        </w:rPr>
        <w:t>in with color to indicate volume.</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information</w:t>
      </w:r>
      <w:r>
        <w:rPr>
          <w:rFonts w:ascii="Palatino Linotype"/>
          <w:b w:val="0"/>
          <w:color w:val="231F20"/>
          <w:spacing w:val="-2"/>
        </w:rPr>
        <w:t>:</w:t>
      </w:r>
    </w:p>
    <w:p>
      <w:pPr>
        <w:pStyle w:val="BodyText"/>
        <w:spacing w:line="276" w:lineRule="exact" w:before="89"/>
        <w:ind w:left="2247"/>
      </w:pPr>
      <w:r>
        <w:rPr>
          <w:position w:val="1"/>
        </w:rPr>
        <w:drawing>
          <wp:inline distT="0" distB="0" distL="0" distR="0">
            <wp:extent cx="177796" cy="139683"/>
            <wp:effectExtent l="0" t="0" r="0" b="0"/>
            <wp:docPr id="1253" name="Image 1253"/>
            <wp:cNvGraphicFramePr>
              <a:graphicFrameLocks/>
            </wp:cNvGraphicFramePr>
            <a:graphic>
              <a:graphicData uri="http://schemas.openxmlformats.org/drawingml/2006/picture">
                <pic:pic>
                  <pic:nvPicPr>
                    <pic:cNvPr id="1253" name="Image 1253"/>
                    <pic:cNvPicPr/>
                  </pic:nvPicPr>
                  <pic:blipFill>
                    <a:blip r:embed="rId234" cstate="print"/>
                    <a:stretch>
                      <a:fillRect/>
                    </a:stretch>
                  </pic:blipFill>
                  <pic:spPr>
                    <a:xfrm>
                      <a:off x="0" y="0"/>
                      <a:ext cx="177796" cy="139683"/>
                    </a:xfrm>
                    <a:prstGeom prst="rect">
                      <a:avLst/>
                    </a:prstGeom>
                  </pic:spPr>
                </pic:pic>
              </a:graphicData>
            </a:graphic>
          </wp:inline>
        </w:drawing>
      </w:r>
      <w:r>
        <w:rPr>
          <w:position w:val="1"/>
        </w:rPr>
      </w:r>
      <w:r>
        <w:rPr>
          <w:rFonts w:ascii="Times New Roman"/>
          <w:spacing w:val="-1"/>
        </w:rPr>
        <w:t> </w:t>
      </w:r>
      <w:hyperlink r:id="rId235">
        <w:r>
          <w:rPr>
            <w:color w:val="231F20"/>
          </w:rPr>
          <w:t>Tivoli</w:t>
        </w:r>
        <w:r>
          <w:rPr>
            <w:color w:val="231F20"/>
            <w:spacing w:val="10"/>
          </w:rPr>
          <w:t> </w:t>
        </w:r>
        <w:r>
          <w:rPr>
            <w:color w:val="231F20"/>
          </w:rPr>
          <w:t>Monitoring</w:t>
        </w:r>
        <w:r>
          <w:rPr>
            <w:color w:val="231F20"/>
            <w:spacing w:val="10"/>
          </w:rPr>
          <w:t> </w:t>
        </w:r>
        <w:r>
          <w:rPr>
            <w:color w:val="231F20"/>
          </w:rPr>
          <w:t>Media</w:t>
        </w:r>
        <w:r>
          <w:rPr>
            <w:color w:val="231F20"/>
            <w:spacing w:val="10"/>
          </w:rPr>
          <w:t> </w:t>
        </w:r>
        <w:r>
          <w:rPr>
            <w:color w:val="231F20"/>
          </w:rPr>
          <w:t>Gallery</w:t>
        </w:r>
        <w:r>
          <w:rPr>
            <w:color w:val="231F20"/>
            <w:spacing w:val="10"/>
          </w:rPr>
          <w:t> </w:t>
        </w:r>
        <w:r>
          <w:rPr>
            <w:color w:val="231F20"/>
          </w:rPr>
          <w:t>video</w:t>
        </w:r>
        <w:r>
          <w:rPr>
            <w:color w:val="231F20"/>
            <w:spacing w:val="10"/>
          </w:rPr>
          <w:t> </w:t>
        </w:r>
        <w:r>
          <w:rPr>
            <w:color w:val="231F20"/>
          </w:rPr>
          <w:t>on</w:t>
        </w:r>
        <w:r>
          <w:rPr>
            <w:color w:val="231F20"/>
            <w:spacing w:val="10"/>
          </w:rPr>
          <w:t> </w:t>
        </w:r>
        <w:r>
          <w:rPr>
            <w:color w:val="231F20"/>
          </w:rPr>
          <w:t>monitored</w:t>
        </w:r>
        <w:r>
          <w:rPr>
            <w:color w:val="231F20"/>
            <w:spacing w:val="10"/>
          </w:rPr>
          <w:t> </w:t>
        </w:r>
        <w:r>
          <w:rPr>
            <w:color w:val="231F20"/>
          </w:rPr>
          <w:t>baselines</w:t>
        </w:r>
      </w:hyperlink>
    </w:p>
    <w:p>
      <w:pPr>
        <w:pStyle w:val="BodyText"/>
        <w:spacing w:line="255" w:lineRule="exact"/>
        <w:ind w:left="2232"/>
      </w:pPr>
      <w:r>
        <w:rPr>
          <w:color w:val="231F20"/>
        </w:rPr>
        <w:t>This</w:t>
      </w:r>
      <w:r>
        <w:rPr>
          <w:color w:val="231F20"/>
          <w:spacing w:val="10"/>
        </w:rPr>
        <w:t> </w:t>
      </w:r>
      <w:r>
        <w:rPr>
          <w:color w:val="231F20"/>
        </w:rPr>
        <w:t>video</w:t>
      </w:r>
      <w:r>
        <w:rPr>
          <w:color w:val="231F20"/>
          <w:spacing w:val="11"/>
        </w:rPr>
        <w:t> </w:t>
      </w:r>
      <w:r>
        <w:rPr>
          <w:color w:val="231F20"/>
        </w:rPr>
        <w:t>demonstrates</w:t>
      </w:r>
      <w:r>
        <w:rPr>
          <w:color w:val="231F20"/>
          <w:spacing w:val="11"/>
        </w:rPr>
        <w:t> </w:t>
      </w:r>
      <w:r>
        <w:rPr>
          <w:color w:val="231F20"/>
        </w:rPr>
        <w:t>how</w:t>
      </w:r>
      <w:r>
        <w:rPr>
          <w:color w:val="231F20"/>
          <w:spacing w:val="10"/>
        </w:rPr>
        <w:t> </w:t>
      </w:r>
      <w:r>
        <w:rPr>
          <w:color w:val="231F20"/>
        </w:rPr>
        <w:t>you</w:t>
      </w:r>
      <w:r>
        <w:rPr>
          <w:color w:val="231F20"/>
          <w:spacing w:val="11"/>
        </w:rPr>
        <w:t> </w:t>
      </w:r>
      <w:r>
        <w:rPr>
          <w:color w:val="231F20"/>
        </w:rPr>
        <w:t>can</w:t>
      </w:r>
      <w:r>
        <w:rPr>
          <w:color w:val="231F20"/>
          <w:spacing w:val="11"/>
        </w:rPr>
        <w:t> </w:t>
      </w:r>
      <w:r>
        <w:rPr>
          <w:color w:val="231F20"/>
        </w:rPr>
        <w:t>add</w:t>
      </w:r>
      <w:r>
        <w:rPr>
          <w:color w:val="231F20"/>
          <w:spacing w:val="10"/>
        </w:rPr>
        <w:t> </w:t>
      </w:r>
      <w:r>
        <w:rPr>
          <w:color w:val="231F20"/>
        </w:rPr>
        <w:t>situation</w:t>
      </w:r>
      <w:r>
        <w:rPr>
          <w:color w:val="231F20"/>
          <w:spacing w:val="11"/>
        </w:rPr>
        <w:t> </w:t>
      </w:r>
      <w:r>
        <w:rPr>
          <w:color w:val="231F20"/>
        </w:rPr>
        <w:t>thresholds</w:t>
      </w:r>
      <w:r>
        <w:rPr>
          <w:color w:val="231F20"/>
          <w:spacing w:val="11"/>
        </w:rPr>
        <w:t> </w:t>
      </w:r>
      <w:r>
        <w:rPr>
          <w:color w:val="231F20"/>
        </w:rPr>
        <w:t>in</w:t>
      </w:r>
      <w:r>
        <w:rPr>
          <w:color w:val="231F20"/>
          <w:spacing w:val="10"/>
        </w:rPr>
        <w:t> </w:t>
      </w:r>
      <w:r>
        <w:rPr>
          <w:color w:val="231F20"/>
        </w:rPr>
        <w:t>a</w:t>
      </w:r>
      <w:r>
        <w:rPr>
          <w:color w:val="231F20"/>
          <w:spacing w:val="11"/>
        </w:rPr>
        <w:t> </w:t>
      </w:r>
      <w:r>
        <w:rPr>
          <w:color w:val="231F20"/>
          <w:spacing w:val="-2"/>
        </w:rPr>
        <w:t>chart.</w:t>
      </w:r>
    </w:p>
    <w:p>
      <w:pPr>
        <w:pStyle w:val="Heading6"/>
        <w:spacing w:line="240" w:lineRule="auto" w:before="211"/>
        <w:ind w:left="2232"/>
      </w:pPr>
      <w:r>
        <w:rPr>
          <w:color w:val="231F20"/>
        </w:rPr>
        <w:t>Monitored</w:t>
      </w:r>
      <w:r>
        <w:rPr>
          <w:color w:val="231F20"/>
          <w:spacing w:val="8"/>
        </w:rPr>
        <w:t> </w:t>
      </w:r>
      <w:r>
        <w:rPr>
          <w:color w:val="231F20"/>
        </w:rPr>
        <w:t>baselines</w:t>
      </w:r>
      <w:r>
        <w:rPr>
          <w:color w:val="231F20"/>
          <w:spacing w:val="8"/>
        </w:rPr>
        <w:t> </w:t>
      </w:r>
      <w:r>
        <w:rPr>
          <w:color w:val="231F20"/>
        </w:rPr>
        <w:t>chart</w:t>
      </w:r>
      <w:r>
        <w:rPr>
          <w:color w:val="231F20"/>
          <w:spacing w:val="9"/>
        </w:rPr>
        <w:t> </w:t>
      </w:r>
      <w:r>
        <w:rPr>
          <w:color w:val="231F20"/>
          <w:spacing w:val="-2"/>
        </w:rPr>
        <w:t>examples:</w:t>
      </w:r>
    </w:p>
    <w:p>
      <w:pPr>
        <w:pStyle w:val="BodyText"/>
        <w:spacing w:before="216"/>
        <w:ind w:left="2232"/>
      </w:pPr>
      <w:r>
        <w:rPr>
          <w:color w:val="231F20"/>
        </w:rPr>
        <w:t>These</w:t>
      </w:r>
      <w:r>
        <w:rPr>
          <w:color w:val="231F20"/>
          <w:spacing w:val="9"/>
        </w:rPr>
        <w:t> </w:t>
      </w:r>
      <w:r>
        <w:rPr>
          <w:color w:val="231F20"/>
        </w:rPr>
        <w:t>are</w:t>
      </w:r>
      <w:r>
        <w:rPr>
          <w:color w:val="231F20"/>
          <w:spacing w:val="9"/>
        </w:rPr>
        <w:t> </w:t>
      </w:r>
      <w:r>
        <w:rPr>
          <w:color w:val="231F20"/>
        </w:rPr>
        <w:t>examples</w:t>
      </w:r>
      <w:r>
        <w:rPr>
          <w:color w:val="231F20"/>
          <w:spacing w:val="10"/>
        </w:rPr>
        <w:t> </w:t>
      </w:r>
      <w:r>
        <w:rPr>
          <w:color w:val="231F20"/>
        </w:rPr>
        <w:t>of</w:t>
      </w:r>
      <w:r>
        <w:rPr>
          <w:color w:val="231F20"/>
          <w:spacing w:val="9"/>
        </w:rPr>
        <w:t> </w:t>
      </w:r>
      <w:r>
        <w:rPr>
          <w:color w:val="231F20"/>
        </w:rPr>
        <w:t>charts</w:t>
      </w:r>
      <w:r>
        <w:rPr>
          <w:color w:val="231F20"/>
          <w:spacing w:val="10"/>
        </w:rPr>
        <w:t> </w:t>
      </w:r>
      <w:r>
        <w:rPr>
          <w:color w:val="231F20"/>
        </w:rPr>
        <w:t>with</w:t>
      </w:r>
      <w:r>
        <w:rPr>
          <w:color w:val="231F20"/>
          <w:spacing w:val="9"/>
        </w:rPr>
        <w:t> </w:t>
      </w:r>
      <w:r>
        <w:rPr>
          <w:color w:val="231F20"/>
        </w:rPr>
        <w:t>monitored</w:t>
      </w:r>
      <w:r>
        <w:rPr>
          <w:color w:val="231F20"/>
          <w:spacing w:val="9"/>
        </w:rPr>
        <w:t> </w:t>
      </w:r>
      <w:r>
        <w:rPr>
          <w:color w:val="231F20"/>
        </w:rPr>
        <w:t>baselines</w:t>
      </w:r>
      <w:r>
        <w:rPr>
          <w:color w:val="231F20"/>
          <w:spacing w:val="10"/>
        </w:rPr>
        <w:t> </w:t>
      </w:r>
      <w:r>
        <w:rPr>
          <w:color w:val="231F20"/>
          <w:spacing w:val="-2"/>
        </w:rPr>
        <w:t>applied.</w:t>
      </w:r>
    </w:p>
    <w:p>
      <w:pPr>
        <w:pStyle w:val="Heading6"/>
        <w:spacing w:before="111"/>
        <w:ind w:left="2232"/>
      </w:pPr>
      <w:r>
        <w:rPr>
          <w:color w:val="231F20"/>
        </w:rPr>
        <w:t>Plot</w:t>
      </w:r>
      <w:r>
        <w:rPr>
          <w:color w:val="231F20"/>
          <w:spacing w:val="10"/>
        </w:rPr>
        <w:t> </w:t>
      </w:r>
      <w:r>
        <w:rPr>
          <w:color w:val="231F20"/>
        </w:rPr>
        <w:t>chart</w:t>
      </w:r>
      <w:r>
        <w:rPr>
          <w:color w:val="231F20"/>
          <w:spacing w:val="11"/>
        </w:rPr>
        <w:t> </w:t>
      </w:r>
      <w:r>
        <w:rPr>
          <w:color w:val="231F20"/>
        </w:rPr>
        <w:t>with</w:t>
      </w:r>
      <w:r>
        <w:rPr>
          <w:color w:val="231F20"/>
          <w:spacing w:val="11"/>
        </w:rPr>
        <w:t> </w:t>
      </w:r>
      <w:r>
        <w:rPr>
          <w:color w:val="231F20"/>
        </w:rPr>
        <w:t>baselines</w:t>
      </w:r>
      <w:r>
        <w:rPr>
          <w:color w:val="231F20"/>
          <w:spacing w:val="11"/>
        </w:rPr>
        <w:t> </w:t>
      </w:r>
      <w:r>
        <w:rPr>
          <w:color w:val="231F20"/>
        </w:rPr>
        <w:t>applied</w:t>
      </w:r>
      <w:r>
        <w:rPr>
          <w:color w:val="231F20"/>
          <w:spacing w:val="11"/>
        </w:rPr>
        <w:t> </w:t>
      </w:r>
      <w:r>
        <w:rPr>
          <w:color w:val="231F20"/>
        </w:rPr>
        <w:t>from</w:t>
      </w:r>
      <w:r>
        <w:rPr>
          <w:color w:val="231F20"/>
          <w:spacing w:val="11"/>
        </w:rPr>
        <w:t> </w:t>
      </w:r>
      <w:r>
        <w:rPr>
          <w:color w:val="231F20"/>
        </w:rPr>
        <w:t>two</w:t>
      </w:r>
      <w:r>
        <w:rPr>
          <w:color w:val="231F20"/>
          <w:spacing w:val="11"/>
        </w:rPr>
        <w:t> </w:t>
      </w:r>
      <w:r>
        <w:rPr>
          <w:color w:val="231F20"/>
          <w:spacing w:val="-2"/>
        </w:rPr>
        <w:t>situations</w:t>
      </w:r>
    </w:p>
    <w:p>
      <w:pPr>
        <w:pStyle w:val="BodyText"/>
        <w:spacing w:line="213" w:lineRule="auto" w:before="11"/>
        <w:ind w:left="2951" w:right="636"/>
      </w:pPr>
      <w:r>
        <w:rPr>
          <w:color w:val="231F20"/>
        </w:rPr>
        <w:t>This</w:t>
      </w:r>
      <w:r>
        <w:rPr>
          <w:color w:val="231F20"/>
          <w:spacing w:val="23"/>
        </w:rPr>
        <w:t> </w:t>
      </w:r>
      <w:r>
        <w:rPr>
          <w:color w:val="231F20"/>
        </w:rPr>
        <w:t>chart</w:t>
      </w:r>
      <w:r>
        <w:rPr>
          <w:color w:val="231F20"/>
          <w:spacing w:val="23"/>
        </w:rPr>
        <w:t> </w:t>
      </w:r>
      <w:r>
        <w:rPr>
          <w:color w:val="231F20"/>
        </w:rPr>
        <w:t>shows</w:t>
      </w:r>
      <w:r>
        <w:rPr>
          <w:color w:val="231F20"/>
          <w:spacing w:val="16"/>
        </w:rPr>
        <w:t> </w:t>
      </w:r>
      <w:r>
        <w:rPr>
          <w:color w:val="231F20"/>
          <w:spacing w:val="16"/>
        </w:rPr>
        <w:drawing>
          <wp:inline distT="0" distB="0" distL="0" distR="0">
            <wp:extent cx="88900" cy="76200"/>
            <wp:effectExtent l="0" t="0" r="0" b="0"/>
            <wp:docPr id="1254" name="Image 1254"/>
            <wp:cNvGraphicFramePr>
              <a:graphicFrameLocks/>
            </wp:cNvGraphicFramePr>
            <a:graphic>
              <a:graphicData uri="http://schemas.openxmlformats.org/drawingml/2006/picture">
                <pic:pic>
                  <pic:nvPicPr>
                    <pic:cNvPr id="1254" name="Image 1254"/>
                    <pic:cNvPicPr/>
                  </pic:nvPicPr>
                  <pic:blipFill>
                    <a:blip r:embed="rId236" cstate="print"/>
                    <a:stretch>
                      <a:fillRect/>
                    </a:stretch>
                  </pic:blipFill>
                  <pic:spPr>
                    <a:xfrm>
                      <a:off x="0" y="0"/>
                      <a:ext cx="88900" cy="76200"/>
                    </a:xfrm>
                    <a:prstGeom prst="rect">
                      <a:avLst/>
                    </a:prstGeom>
                  </pic:spPr>
                </pic:pic>
              </a:graphicData>
            </a:graphic>
          </wp:inline>
        </w:drawing>
      </w:r>
      <w:r>
        <w:rPr>
          <w:color w:val="231F20"/>
          <w:spacing w:val="16"/>
        </w:rPr>
      </w:r>
      <w:r>
        <w:rPr>
          <w:rFonts w:ascii="Times New Roman"/>
          <w:color w:val="231F20"/>
          <w:spacing w:val="-14"/>
        </w:rPr>
        <w:t> </w:t>
      </w:r>
      <w:r>
        <w:rPr>
          <w:color w:val="231F20"/>
        </w:rPr>
        <w:t>Disk</w:t>
      </w:r>
      <w:r>
        <w:rPr>
          <w:color w:val="231F20"/>
          <w:spacing w:val="23"/>
        </w:rPr>
        <w:t> </w:t>
      </w:r>
      <w:r>
        <w:rPr>
          <w:color w:val="231F20"/>
        </w:rPr>
        <w:t>Writes</w:t>
      </w:r>
      <w:r>
        <w:rPr>
          <w:color w:val="231F20"/>
          <w:spacing w:val="23"/>
        </w:rPr>
        <w:t> </w:t>
      </w:r>
      <w:r>
        <w:rPr>
          <w:color w:val="231F20"/>
        </w:rPr>
        <w:t>Per</w:t>
      </w:r>
      <w:r>
        <w:rPr>
          <w:color w:val="231F20"/>
          <w:spacing w:val="23"/>
        </w:rPr>
        <w:t> </w:t>
      </w:r>
      <w:r>
        <w:rPr>
          <w:color w:val="231F20"/>
        </w:rPr>
        <w:t>Second</w:t>
      </w:r>
      <w:r>
        <w:rPr>
          <w:color w:val="231F20"/>
          <w:spacing w:val="23"/>
        </w:rPr>
        <w:t> </w:t>
      </w:r>
      <w:r>
        <w:rPr>
          <w:color w:val="231F20"/>
        </w:rPr>
        <w:t>over</w:t>
      </w:r>
      <w:r>
        <w:rPr>
          <w:color w:val="231F20"/>
          <w:spacing w:val="23"/>
        </w:rPr>
        <w:t> </w:t>
      </w:r>
      <w:r>
        <w:rPr>
          <w:color w:val="231F20"/>
        </w:rPr>
        <w:t>the</w:t>
      </w:r>
      <w:r>
        <w:rPr>
          <w:color w:val="231F20"/>
          <w:spacing w:val="23"/>
        </w:rPr>
        <w:t> </w:t>
      </w:r>
      <w:r>
        <w:rPr>
          <w:color w:val="231F20"/>
        </w:rPr>
        <w:t>past</w:t>
      </w:r>
      <w:r>
        <w:rPr>
          <w:color w:val="231F20"/>
          <w:spacing w:val="23"/>
        </w:rPr>
        <w:t> </w:t>
      </w:r>
      <w:r>
        <w:rPr>
          <w:color w:val="231F20"/>
        </w:rPr>
        <w:t>12</w:t>
      </w:r>
      <w:r>
        <w:rPr>
          <w:color w:val="231F20"/>
          <w:spacing w:val="23"/>
        </w:rPr>
        <w:t> </w:t>
      </w:r>
      <w:r>
        <w:rPr>
          <w:color w:val="231F20"/>
        </w:rPr>
        <w:t>hours.</w:t>
      </w:r>
      <w:r>
        <w:rPr>
          <w:color w:val="231F20"/>
          <w:spacing w:val="23"/>
        </w:rPr>
        <w:t> </w:t>
      </w:r>
      <w:r>
        <w:rPr>
          <w:color w:val="231F20"/>
        </w:rPr>
        <w:t>The </w:t>
      </w:r>
      <w:r>
        <w:rPr>
          <w:color w:val="231F20"/>
        </w:rPr>
        <w:drawing>
          <wp:inline distT="0" distB="0" distL="0" distR="0">
            <wp:extent cx="88900" cy="76200"/>
            <wp:effectExtent l="0" t="0" r="0" b="0"/>
            <wp:docPr id="1255" name="Image 1255"/>
            <wp:cNvGraphicFramePr>
              <a:graphicFrameLocks/>
            </wp:cNvGraphicFramePr>
            <a:graphic>
              <a:graphicData uri="http://schemas.openxmlformats.org/drawingml/2006/picture">
                <pic:pic>
                  <pic:nvPicPr>
                    <pic:cNvPr id="1255" name="Image 1255"/>
                    <pic:cNvPicPr/>
                  </pic:nvPicPr>
                  <pic:blipFill>
                    <a:blip r:embed="rId237" cstate="print"/>
                    <a:stretch>
                      <a:fillRect/>
                    </a:stretch>
                  </pic:blipFill>
                  <pic:spPr>
                    <a:xfrm>
                      <a:off x="0" y="0"/>
                      <a:ext cx="88900" cy="76200"/>
                    </a:xfrm>
                    <a:prstGeom prst="rect">
                      <a:avLst/>
                    </a:prstGeom>
                  </pic:spPr>
                </pic:pic>
              </a:graphicData>
            </a:graphic>
          </wp:inline>
        </w:drawing>
      </w:r>
      <w:r>
        <w:rPr>
          <w:color w:val="231F20"/>
        </w:rPr>
      </w:r>
      <w:r>
        <w:rPr>
          <w:rFonts w:ascii="Times New Roman"/>
          <w:color w:val="231F20"/>
          <w:spacing w:val="-5"/>
        </w:rPr>
        <w:t> </w:t>
      </w:r>
      <w:r>
        <w:rPr>
          <w:color w:val="231F20"/>
        </w:rPr>
        <w:t>red baseline is from a situation with a threshold of 150 disk writes per</w:t>
      </w:r>
    </w:p>
    <w:p>
      <w:pPr>
        <w:pStyle w:val="BodyText"/>
        <w:spacing w:line="213" w:lineRule="auto"/>
        <w:ind w:left="2951" w:right="493"/>
      </w:pPr>
      <w:r>
        <w:rPr>
          <w:color w:val="231F20"/>
        </w:rPr>
        <w:t>second; the </w:t>
      </w:r>
      <w:r>
        <w:rPr>
          <w:color w:val="231F20"/>
          <w:spacing w:val="16"/>
        </w:rPr>
        <w:drawing>
          <wp:inline distT="0" distB="0" distL="0" distR="0">
            <wp:extent cx="88899" cy="76200"/>
            <wp:effectExtent l="0" t="0" r="0" b="0"/>
            <wp:docPr id="1256" name="Image 1256"/>
            <wp:cNvGraphicFramePr>
              <a:graphicFrameLocks/>
            </wp:cNvGraphicFramePr>
            <a:graphic>
              <a:graphicData uri="http://schemas.openxmlformats.org/drawingml/2006/picture">
                <pic:pic>
                  <pic:nvPicPr>
                    <pic:cNvPr id="1256" name="Image 1256"/>
                    <pic:cNvPicPr/>
                  </pic:nvPicPr>
                  <pic:blipFill>
                    <a:blip r:embed="rId238" cstate="print"/>
                    <a:stretch>
                      <a:fillRect/>
                    </a:stretch>
                  </pic:blipFill>
                  <pic:spPr>
                    <a:xfrm>
                      <a:off x="0" y="0"/>
                      <a:ext cx="88899" cy="76200"/>
                    </a:xfrm>
                    <a:prstGeom prst="rect">
                      <a:avLst/>
                    </a:prstGeom>
                  </pic:spPr>
                </pic:pic>
              </a:graphicData>
            </a:graphic>
          </wp:inline>
        </w:drawing>
      </w:r>
      <w:r>
        <w:rPr>
          <w:color w:val="231F20"/>
          <w:spacing w:val="16"/>
        </w:rPr>
      </w:r>
      <w:r>
        <w:rPr>
          <w:rFonts w:ascii="Times New Roman"/>
          <w:color w:val="231F20"/>
          <w:spacing w:val="-12"/>
        </w:rPr>
        <w:t> </w:t>
      </w:r>
      <w:r>
        <w:rPr>
          <w:color w:val="231F20"/>
        </w:rPr>
        <w:t>blue baseline is from a situation with a threshold of 60 disk writes per second. If these situations were started for this managed system, the "red" situation would have been true twice in the past 12 hours and </w:t>
      </w:r>
      <w:r>
        <w:rPr>
          <w:color w:val="231F20"/>
        </w:rPr>
        <w:t>the "blue" situation would have been true 5 times.</w:t>
      </w:r>
    </w:p>
    <w:p>
      <w:pPr>
        <w:pStyle w:val="BodyText"/>
        <w:spacing w:before="1"/>
        <w:rPr>
          <w:sz w:val="12"/>
        </w:rPr>
      </w:pPr>
      <w:r>
        <w:rPr/>
        <w:drawing>
          <wp:anchor distT="0" distB="0" distL="0" distR="0" allowOverlap="1" layoutInCell="1" locked="0" behindDoc="1" simplePos="0" relativeHeight="487676416">
            <wp:simplePos x="0" y="0"/>
            <wp:positionH relativeFrom="page">
              <wp:posOffset>2509055</wp:posOffset>
            </wp:positionH>
            <wp:positionV relativeFrom="paragraph">
              <wp:posOffset>119188</wp:posOffset>
            </wp:positionV>
            <wp:extent cx="4315969" cy="1469136"/>
            <wp:effectExtent l="0" t="0" r="0" b="0"/>
            <wp:wrapTopAndBottom/>
            <wp:docPr id="1257" name="Image 1257"/>
            <wp:cNvGraphicFramePr>
              <a:graphicFrameLocks/>
            </wp:cNvGraphicFramePr>
            <a:graphic>
              <a:graphicData uri="http://schemas.openxmlformats.org/drawingml/2006/picture">
                <pic:pic>
                  <pic:nvPicPr>
                    <pic:cNvPr id="1257" name="Image 1257"/>
                    <pic:cNvPicPr/>
                  </pic:nvPicPr>
                  <pic:blipFill>
                    <a:blip r:embed="rId239" cstate="print"/>
                    <a:stretch>
                      <a:fillRect/>
                    </a:stretch>
                  </pic:blipFill>
                  <pic:spPr>
                    <a:xfrm>
                      <a:off x="0" y="0"/>
                      <a:ext cx="4315969" cy="1469136"/>
                    </a:xfrm>
                    <a:prstGeom prst="rect">
                      <a:avLst/>
                    </a:prstGeom>
                  </pic:spPr>
                </pic:pic>
              </a:graphicData>
            </a:graphic>
          </wp:anchor>
        </w:drawing>
      </w:r>
    </w:p>
    <w:p>
      <w:pPr>
        <w:pStyle w:val="Heading6"/>
        <w:spacing w:before="208"/>
        <w:ind w:left="2232"/>
      </w:pPr>
      <w:r>
        <w:rPr>
          <w:color w:val="231F20"/>
        </w:rPr>
        <w:t>Plot</w:t>
      </w:r>
      <w:r>
        <w:rPr>
          <w:color w:val="231F20"/>
          <w:spacing w:val="11"/>
        </w:rPr>
        <w:t> </w:t>
      </w:r>
      <w:r>
        <w:rPr>
          <w:color w:val="231F20"/>
        </w:rPr>
        <w:t>chart</w:t>
      </w:r>
      <w:r>
        <w:rPr>
          <w:color w:val="231F20"/>
          <w:spacing w:val="11"/>
        </w:rPr>
        <w:t> </w:t>
      </w:r>
      <w:r>
        <w:rPr>
          <w:color w:val="231F20"/>
        </w:rPr>
        <w:t>with</w:t>
      </w:r>
      <w:r>
        <w:rPr>
          <w:color w:val="231F20"/>
          <w:spacing w:val="11"/>
        </w:rPr>
        <w:t> </w:t>
      </w:r>
      <w:r>
        <w:rPr>
          <w:color w:val="231F20"/>
        </w:rPr>
        <w:t>a</w:t>
      </w:r>
      <w:r>
        <w:rPr>
          <w:color w:val="231F20"/>
          <w:spacing w:val="11"/>
        </w:rPr>
        <w:t> </w:t>
      </w:r>
      <w:r>
        <w:rPr>
          <w:color w:val="231F20"/>
        </w:rPr>
        <w:t>baseline</w:t>
      </w:r>
      <w:r>
        <w:rPr>
          <w:color w:val="231F20"/>
          <w:spacing w:val="12"/>
        </w:rPr>
        <w:t> </w:t>
      </w:r>
      <w:r>
        <w:rPr>
          <w:color w:val="231F20"/>
        </w:rPr>
        <w:t>from</w:t>
      </w:r>
      <w:r>
        <w:rPr>
          <w:color w:val="231F20"/>
          <w:spacing w:val="11"/>
        </w:rPr>
        <w:t> </w:t>
      </w:r>
      <w:r>
        <w:rPr>
          <w:color w:val="231F20"/>
        </w:rPr>
        <w:t>one</w:t>
      </w:r>
      <w:r>
        <w:rPr>
          <w:color w:val="231F20"/>
          <w:spacing w:val="11"/>
        </w:rPr>
        <w:t> </w:t>
      </w:r>
      <w:r>
        <w:rPr>
          <w:color w:val="231F20"/>
        </w:rPr>
        <w:t>situation</w:t>
      </w:r>
      <w:r>
        <w:rPr>
          <w:color w:val="231F20"/>
          <w:spacing w:val="11"/>
        </w:rPr>
        <w:t> </w:t>
      </w:r>
      <w:r>
        <w:rPr>
          <w:color w:val="231F20"/>
        </w:rPr>
        <w:t>and</w:t>
      </w:r>
      <w:r>
        <w:rPr>
          <w:color w:val="231F20"/>
          <w:spacing w:val="12"/>
        </w:rPr>
        <w:t> </w:t>
      </w:r>
      <w:r>
        <w:rPr>
          <w:color w:val="231F20"/>
        </w:rPr>
        <w:t>its</w:t>
      </w:r>
      <w:r>
        <w:rPr>
          <w:color w:val="231F20"/>
          <w:spacing w:val="11"/>
        </w:rPr>
        <w:t> </w:t>
      </w:r>
      <w:r>
        <w:rPr>
          <w:color w:val="231F20"/>
        </w:rPr>
        <w:t>expression</w:t>
      </w:r>
      <w:r>
        <w:rPr>
          <w:color w:val="231F20"/>
          <w:spacing w:val="11"/>
        </w:rPr>
        <w:t> </w:t>
      </w:r>
      <w:r>
        <w:rPr>
          <w:color w:val="231F20"/>
          <w:spacing w:val="-2"/>
        </w:rPr>
        <w:t>override</w:t>
      </w:r>
    </w:p>
    <w:p>
      <w:pPr>
        <w:pStyle w:val="BodyText"/>
        <w:spacing w:line="213" w:lineRule="auto" w:before="12"/>
        <w:ind w:left="2951" w:right="636"/>
      </w:pPr>
      <w:r>
        <w:rPr>
          <w:color w:val="231F20"/>
        </w:rPr>
        <w:t>This charts shows the Interrupts Per Second. The monitored baseline is from a </w:t>
      </w:r>
      <w:r>
        <w:rPr>
          <w:color w:val="231F20"/>
          <w:spacing w:val="16"/>
        </w:rPr>
        <w:drawing>
          <wp:inline distT="0" distB="0" distL="0" distR="0">
            <wp:extent cx="342900" cy="44450"/>
            <wp:effectExtent l="0" t="0" r="0" b="0"/>
            <wp:docPr id="1258" name="Image 1258"/>
            <wp:cNvGraphicFramePr>
              <a:graphicFrameLocks/>
            </wp:cNvGraphicFramePr>
            <a:graphic>
              <a:graphicData uri="http://schemas.openxmlformats.org/drawingml/2006/picture">
                <pic:pic>
                  <pic:nvPicPr>
                    <pic:cNvPr id="1258" name="Image 1258"/>
                    <pic:cNvPicPr/>
                  </pic:nvPicPr>
                  <pic:blipFill>
                    <a:blip r:embed="rId240" cstate="print"/>
                    <a:stretch>
                      <a:fillRect/>
                    </a:stretch>
                  </pic:blipFill>
                  <pic:spPr>
                    <a:xfrm>
                      <a:off x="0" y="0"/>
                      <a:ext cx="342900" cy="44450"/>
                    </a:xfrm>
                    <a:prstGeom prst="rect">
                      <a:avLst/>
                    </a:prstGeom>
                  </pic:spPr>
                </pic:pic>
              </a:graphicData>
            </a:graphic>
          </wp:inline>
        </w:drawing>
      </w:r>
      <w:r>
        <w:rPr>
          <w:color w:val="231F20"/>
          <w:spacing w:val="16"/>
        </w:rPr>
      </w:r>
      <w:r>
        <w:rPr>
          <w:rFonts w:ascii="Times New Roman"/>
          <w:color w:val="231F20"/>
          <w:spacing w:val="16"/>
        </w:rPr>
        <w:t> </w:t>
      </w:r>
      <w:r>
        <w:rPr>
          <w:color w:val="231F20"/>
        </w:rPr>
        <w:t>situation with a threshold of 1000 interrupts per second or higher. The situation has an </w:t>
      </w:r>
      <w:r>
        <w:rPr>
          <w:color w:val="231F20"/>
          <w:spacing w:val="15"/>
        </w:rPr>
        <w:drawing>
          <wp:inline distT="0" distB="0" distL="0" distR="0">
            <wp:extent cx="342900" cy="44450"/>
            <wp:effectExtent l="0" t="0" r="0" b="0"/>
            <wp:docPr id="1259" name="Image 1259"/>
            <wp:cNvGraphicFramePr>
              <a:graphicFrameLocks/>
            </wp:cNvGraphicFramePr>
            <a:graphic>
              <a:graphicData uri="http://schemas.openxmlformats.org/drawingml/2006/picture">
                <pic:pic>
                  <pic:nvPicPr>
                    <pic:cNvPr id="1259" name="Image 1259"/>
                    <pic:cNvPicPr/>
                  </pic:nvPicPr>
                  <pic:blipFill>
                    <a:blip r:embed="rId241" cstate="print"/>
                    <a:stretch>
                      <a:fillRect/>
                    </a:stretch>
                  </pic:blipFill>
                  <pic:spPr>
                    <a:xfrm>
                      <a:off x="0" y="0"/>
                      <a:ext cx="342900" cy="44450"/>
                    </a:xfrm>
                    <a:prstGeom prst="rect">
                      <a:avLst/>
                    </a:prstGeom>
                  </pic:spPr>
                </pic:pic>
              </a:graphicData>
            </a:graphic>
          </wp:inline>
        </w:drawing>
      </w:r>
      <w:r>
        <w:rPr>
          <w:color w:val="231F20"/>
          <w:spacing w:val="15"/>
        </w:rPr>
      </w:r>
      <w:r>
        <w:rPr>
          <w:rFonts w:ascii="Times New Roman"/>
          <w:color w:val="231F20"/>
          <w:spacing w:val="-17"/>
        </w:rPr>
        <w:t> </w:t>
      </w:r>
      <w:r>
        <w:rPr>
          <w:color w:val="231F20"/>
        </w:rPr>
        <w:t>expression override of 1200 interrupts per second that is scheduled to run from 07:30 to 16:30 daily.</w:t>
      </w:r>
    </w:p>
    <w:p>
      <w:pPr>
        <w:spacing w:after="0" w:line="213" w:lineRule="auto"/>
        <w:sectPr>
          <w:pgSz w:w="12240" w:h="15840"/>
          <w:pgMar w:header="0" w:footer="736" w:top="1180" w:bottom="920" w:left="1000" w:right="1060"/>
        </w:sectPr>
      </w:pPr>
    </w:p>
    <w:p>
      <w:pPr>
        <w:pStyle w:val="BodyText"/>
        <w:ind w:left="3190"/>
      </w:pPr>
      <w:r>
        <w:rPr/>
        <w:drawing>
          <wp:inline distT="0" distB="0" distL="0" distR="0">
            <wp:extent cx="3854631" cy="2112359"/>
            <wp:effectExtent l="0" t="0" r="0" b="0"/>
            <wp:docPr id="1260" name="Image 1260"/>
            <wp:cNvGraphicFramePr>
              <a:graphicFrameLocks/>
            </wp:cNvGraphicFramePr>
            <a:graphic>
              <a:graphicData uri="http://schemas.openxmlformats.org/drawingml/2006/picture">
                <pic:pic>
                  <pic:nvPicPr>
                    <pic:cNvPr id="1260" name="Image 1260"/>
                    <pic:cNvPicPr/>
                  </pic:nvPicPr>
                  <pic:blipFill>
                    <a:blip r:embed="rId242" cstate="print"/>
                    <a:stretch>
                      <a:fillRect/>
                    </a:stretch>
                  </pic:blipFill>
                  <pic:spPr>
                    <a:xfrm>
                      <a:off x="0" y="0"/>
                      <a:ext cx="3854631" cy="2112359"/>
                    </a:xfrm>
                    <a:prstGeom prst="rect">
                      <a:avLst/>
                    </a:prstGeom>
                  </pic:spPr>
                </pic:pic>
              </a:graphicData>
            </a:graphic>
          </wp:inline>
        </w:drawing>
      </w:r>
      <w:r>
        <w:rPr/>
      </w:r>
    </w:p>
    <w:p>
      <w:pPr>
        <w:pStyle w:val="BodyText"/>
        <w:spacing w:line="211" w:lineRule="auto" w:before="77"/>
        <w:ind w:left="3190" w:right="258"/>
      </w:pPr>
      <w:r>
        <w:rPr>
          <w:color w:val="231F20"/>
        </w:rPr>
        <w:t>This is the same chart after </w:t>
      </w:r>
      <w:r>
        <w:rPr>
          <w:color w:val="231F20"/>
          <w:spacing w:val="15"/>
        </w:rPr>
        <w:drawing>
          <wp:inline distT="0" distB="0" distL="0" distR="0">
            <wp:extent cx="82550" cy="82550"/>
            <wp:effectExtent l="0" t="0" r="0" b="0"/>
            <wp:docPr id="1261" name="Image 1261"/>
            <wp:cNvGraphicFramePr>
              <a:graphicFrameLocks/>
            </wp:cNvGraphicFramePr>
            <a:graphic>
              <a:graphicData uri="http://schemas.openxmlformats.org/drawingml/2006/picture">
                <pic:pic>
                  <pic:nvPicPr>
                    <pic:cNvPr id="1261" name="Image 126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8"/>
        </w:rPr>
        <w:t> </w:t>
      </w:r>
      <w:r>
        <w:rPr>
          <w:rFonts w:ascii="Book Antiqua"/>
          <w:b/>
          <w:color w:val="231F20"/>
        </w:rPr>
        <w:t>Show effective thresholds only </w:t>
      </w:r>
      <w:r>
        <w:rPr>
          <w:color w:val="231F20"/>
        </w:rPr>
        <w:t>was selected. During</w:t>
      </w:r>
      <w:r>
        <w:rPr>
          <w:color w:val="231F20"/>
          <w:spacing w:val="30"/>
        </w:rPr>
        <w:t> </w:t>
      </w:r>
      <w:r>
        <w:rPr>
          <w:color w:val="231F20"/>
        </w:rPr>
        <w:t>the</w:t>
      </w:r>
      <w:r>
        <w:rPr>
          <w:color w:val="231F20"/>
          <w:spacing w:val="30"/>
        </w:rPr>
        <w:t> </w:t>
      </w:r>
      <w:r>
        <w:rPr>
          <w:color w:val="231F20"/>
        </w:rPr>
        <w:t>times</w:t>
      </w:r>
      <w:r>
        <w:rPr>
          <w:color w:val="231F20"/>
          <w:spacing w:val="30"/>
        </w:rPr>
        <w:t> </w:t>
      </w:r>
      <w:r>
        <w:rPr>
          <w:color w:val="231F20"/>
        </w:rPr>
        <w:t>when</w:t>
      </w:r>
      <w:r>
        <w:rPr>
          <w:color w:val="231F20"/>
          <w:spacing w:val="30"/>
        </w:rPr>
        <w:t> </w:t>
      </w:r>
      <w:r>
        <w:rPr>
          <w:color w:val="231F20"/>
        </w:rPr>
        <w:t>the</w:t>
      </w:r>
      <w:r>
        <w:rPr>
          <w:color w:val="231F20"/>
          <w:spacing w:val="30"/>
        </w:rPr>
        <w:t> </w:t>
      </w:r>
      <w:r>
        <w:rPr>
          <w:color w:val="231F20"/>
        </w:rPr>
        <w:t>expression</w:t>
      </w:r>
      <w:r>
        <w:rPr>
          <w:color w:val="231F20"/>
          <w:spacing w:val="30"/>
        </w:rPr>
        <w:t> </w:t>
      </w:r>
      <w:r>
        <w:rPr>
          <w:color w:val="231F20"/>
        </w:rPr>
        <w:t>override</w:t>
      </w:r>
      <w:r>
        <w:rPr>
          <w:color w:val="231F20"/>
          <w:spacing w:val="30"/>
        </w:rPr>
        <w:t> </w:t>
      </w:r>
      <w:r>
        <w:rPr>
          <w:color w:val="231F20"/>
        </w:rPr>
        <w:t>is</w:t>
      </w:r>
      <w:r>
        <w:rPr>
          <w:color w:val="231F20"/>
          <w:spacing w:val="30"/>
        </w:rPr>
        <w:t> </w:t>
      </w:r>
      <w:r>
        <w:rPr>
          <w:color w:val="231F20"/>
        </w:rPr>
        <w:t>applied,</w:t>
      </w:r>
      <w:r>
        <w:rPr>
          <w:color w:val="231F20"/>
          <w:spacing w:val="30"/>
        </w:rPr>
        <w:t> </w:t>
      </w:r>
      <w:r>
        <w:rPr>
          <w:color w:val="231F20"/>
        </w:rPr>
        <w:t>only</w:t>
      </w:r>
      <w:r>
        <w:rPr>
          <w:color w:val="231F20"/>
          <w:spacing w:val="30"/>
        </w:rPr>
        <w:t> </w:t>
      </w:r>
      <w:r>
        <w:rPr>
          <w:color w:val="231F20"/>
        </w:rPr>
        <w:t>that baseline is drawn. Connector lines are </w:t>
      </w:r>
      <w:r>
        <w:rPr>
          <w:color w:val="231F20"/>
          <w:spacing w:val="15"/>
        </w:rPr>
        <w:drawing>
          <wp:inline distT="0" distB="0" distL="0" distR="0">
            <wp:extent cx="342900" cy="44450"/>
            <wp:effectExtent l="0" t="0" r="0" b="0"/>
            <wp:docPr id="1262" name="Image 1262"/>
            <wp:cNvGraphicFramePr>
              <a:graphicFrameLocks/>
            </wp:cNvGraphicFramePr>
            <a:graphic>
              <a:graphicData uri="http://schemas.openxmlformats.org/drawingml/2006/picture">
                <pic:pic>
                  <pic:nvPicPr>
                    <pic:cNvPr id="1262" name="Image 1262"/>
                    <pic:cNvPicPr/>
                  </pic:nvPicPr>
                  <pic:blipFill>
                    <a:blip r:embed="rId240" cstate="print"/>
                    <a:stretch>
                      <a:fillRect/>
                    </a:stretch>
                  </pic:blipFill>
                  <pic:spPr>
                    <a:xfrm>
                      <a:off x="0" y="0"/>
                      <a:ext cx="342900" cy="44450"/>
                    </a:xfrm>
                    <a:prstGeom prst="rect">
                      <a:avLst/>
                    </a:prstGeom>
                  </pic:spPr>
                </pic:pic>
              </a:graphicData>
            </a:graphic>
          </wp:inline>
        </w:drawing>
      </w:r>
      <w:r>
        <w:rPr>
          <w:color w:val="231F20"/>
          <w:spacing w:val="15"/>
        </w:rPr>
      </w:r>
      <w:r>
        <w:rPr>
          <w:rFonts w:ascii="Times New Roman"/>
          <w:color w:val="231F20"/>
          <w:spacing w:val="-11"/>
        </w:rPr>
        <w:t> </w:t>
      </w:r>
      <w:r>
        <w:rPr>
          <w:color w:val="231F20"/>
        </w:rPr>
        <w:t>solid to indicate that the threshold changes to the situation expression or </w:t>
      </w:r>
      <w:r>
        <w:rPr>
          <w:color w:val="231F20"/>
          <w:spacing w:val="15"/>
        </w:rPr>
        <w:drawing>
          <wp:inline distT="0" distB="0" distL="0" distR="0">
            <wp:extent cx="342900" cy="44450"/>
            <wp:effectExtent l="0" t="0" r="0" b="0"/>
            <wp:docPr id="1263" name="Image 1263"/>
            <wp:cNvGraphicFramePr>
              <a:graphicFrameLocks/>
            </wp:cNvGraphicFramePr>
            <a:graphic>
              <a:graphicData uri="http://schemas.openxmlformats.org/drawingml/2006/picture">
                <pic:pic>
                  <pic:nvPicPr>
                    <pic:cNvPr id="1263" name="Image 1263"/>
                    <pic:cNvPicPr/>
                  </pic:nvPicPr>
                  <pic:blipFill>
                    <a:blip r:embed="rId241" cstate="print"/>
                    <a:stretch>
                      <a:fillRect/>
                    </a:stretch>
                  </pic:blipFill>
                  <pic:spPr>
                    <a:xfrm>
                      <a:off x="0" y="0"/>
                      <a:ext cx="342900" cy="44450"/>
                    </a:xfrm>
                    <a:prstGeom prst="rect">
                      <a:avLst/>
                    </a:prstGeom>
                  </pic:spPr>
                </pic:pic>
              </a:graphicData>
            </a:graphic>
          </wp:inline>
        </w:drawing>
      </w:r>
      <w:r>
        <w:rPr>
          <w:color w:val="231F20"/>
          <w:spacing w:val="15"/>
        </w:rPr>
      </w:r>
      <w:r>
        <w:rPr>
          <w:rFonts w:ascii="Times New Roman"/>
          <w:color w:val="231F20"/>
          <w:spacing w:val="-10"/>
        </w:rPr>
        <w:t> </w:t>
      </w:r>
      <w:r>
        <w:rPr>
          <w:color w:val="231F20"/>
        </w:rPr>
        <w:t>broken to indicate</w:t>
      </w:r>
      <w:r>
        <w:rPr>
          <w:color w:val="231F20"/>
          <w:spacing w:val="40"/>
        </w:rPr>
        <w:t> </w:t>
      </w:r>
      <w:r>
        <w:rPr>
          <w:color w:val="231F20"/>
        </w:rPr>
        <w:t>that the threshold changes to the override expression.</w:t>
      </w:r>
    </w:p>
    <w:p>
      <w:pPr>
        <w:pStyle w:val="BodyText"/>
        <w:spacing w:before="6"/>
        <w:rPr>
          <w:sz w:val="12"/>
        </w:rPr>
      </w:pPr>
      <w:r>
        <w:rPr/>
        <w:drawing>
          <wp:anchor distT="0" distB="0" distL="0" distR="0" allowOverlap="1" layoutInCell="1" locked="0" behindDoc="1" simplePos="0" relativeHeight="487676928">
            <wp:simplePos x="0" y="0"/>
            <wp:positionH relativeFrom="page">
              <wp:posOffset>2661119</wp:posOffset>
            </wp:positionH>
            <wp:positionV relativeFrom="paragraph">
              <wp:posOffset>122341</wp:posOffset>
            </wp:positionV>
            <wp:extent cx="3848193" cy="2112359"/>
            <wp:effectExtent l="0" t="0" r="0" b="0"/>
            <wp:wrapTopAndBottom/>
            <wp:docPr id="1264" name="Image 1264"/>
            <wp:cNvGraphicFramePr>
              <a:graphicFrameLocks/>
            </wp:cNvGraphicFramePr>
            <a:graphic>
              <a:graphicData uri="http://schemas.openxmlformats.org/drawingml/2006/picture">
                <pic:pic>
                  <pic:nvPicPr>
                    <pic:cNvPr id="1264" name="Image 1264"/>
                    <pic:cNvPicPr/>
                  </pic:nvPicPr>
                  <pic:blipFill>
                    <a:blip r:embed="rId243" cstate="print"/>
                    <a:stretch>
                      <a:fillRect/>
                    </a:stretch>
                  </pic:blipFill>
                  <pic:spPr>
                    <a:xfrm>
                      <a:off x="0" y="0"/>
                      <a:ext cx="3848193" cy="2112359"/>
                    </a:xfrm>
                    <a:prstGeom prst="rect">
                      <a:avLst/>
                    </a:prstGeom>
                  </pic:spPr>
                </pic:pic>
              </a:graphicData>
            </a:graphic>
          </wp:anchor>
        </w:drawing>
      </w:r>
    </w:p>
    <w:p>
      <w:pPr>
        <w:pStyle w:val="BodyText"/>
        <w:spacing w:line="213" w:lineRule="auto" w:before="76"/>
        <w:ind w:left="3190" w:right="385"/>
      </w:pPr>
      <w:r>
        <w:rPr>
          <w:color w:val="231F20"/>
        </w:rPr>
        <w:t>The baselines tell us that events are almost constantly opened for the situation except when the override is applied. The spike of 1600 </w:t>
      </w:r>
      <w:r>
        <w:rPr>
          <w:color w:val="231F20"/>
        </w:rPr>
        <w:t>interrupts per second is not noticed among all the other events.</w:t>
      </w:r>
    </w:p>
    <w:p>
      <w:pPr>
        <w:pStyle w:val="BodyText"/>
        <w:spacing w:line="213" w:lineRule="auto" w:before="117"/>
        <w:ind w:left="3190" w:right="258"/>
      </w:pPr>
      <w:r>
        <w:rPr>
          <w:color w:val="231F20"/>
        </w:rPr>
        <w:t>The situation and the override were edited so that events occur only </w:t>
      </w:r>
      <w:r>
        <w:rPr>
          <w:color w:val="231F20"/>
        </w:rPr>
        <w:t>when the interrupts per second are higher than 1500 during off-peak hours and higher than 1250 during peak hours (between 08:00 and 20:00):</w:t>
      </w:r>
    </w:p>
    <w:p>
      <w:pPr>
        <w:spacing w:after="0" w:line="213" w:lineRule="auto"/>
        <w:sectPr>
          <w:pgSz w:w="12240" w:h="15840"/>
          <w:pgMar w:header="0" w:footer="736" w:top="1460" w:bottom="920" w:left="1000" w:right="1060"/>
        </w:sectPr>
      </w:pPr>
    </w:p>
    <w:p>
      <w:pPr>
        <w:pStyle w:val="BodyText"/>
        <w:ind w:left="2951"/>
      </w:pPr>
      <w:bookmarkStart w:name="_bookmark97" w:id="208"/>
      <w:bookmarkEnd w:id="208"/>
      <w:r>
        <w:rPr/>
      </w:r>
      <w:r>
        <w:rPr/>
        <w:drawing>
          <wp:inline distT="0" distB="0" distL="0" distR="0">
            <wp:extent cx="3867442" cy="2137886"/>
            <wp:effectExtent l="0" t="0" r="0" b="0"/>
            <wp:docPr id="1265" name="Image 1265"/>
            <wp:cNvGraphicFramePr>
              <a:graphicFrameLocks/>
            </wp:cNvGraphicFramePr>
            <a:graphic>
              <a:graphicData uri="http://schemas.openxmlformats.org/drawingml/2006/picture">
                <pic:pic>
                  <pic:nvPicPr>
                    <pic:cNvPr id="1265" name="Image 1265"/>
                    <pic:cNvPicPr/>
                  </pic:nvPicPr>
                  <pic:blipFill>
                    <a:blip r:embed="rId244" cstate="print"/>
                    <a:stretch>
                      <a:fillRect/>
                    </a:stretch>
                  </pic:blipFill>
                  <pic:spPr>
                    <a:xfrm>
                      <a:off x="0" y="0"/>
                      <a:ext cx="3867442" cy="2137886"/>
                    </a:xfrm>
                    <a:prstGeom prst="rect">
                      <a:avLst/>
                    </a:prstGeom>
                  </pic:spPr>
                </pic:pic>
              </a:graphicData>
            </a:graphic>
          </wp:inline>
        </w:drawing>
      </w:r>
      <w:r>
        <w:rPr/>
      </w:r>
    </w:p>
    <w:p>
      <w:pPr>
        <w:pStyle w:val="BodyText"/>
        <w:spacing w:line="213" w:lineRule="auto" w:before="70"/>
        <w:ind w:left="2951"/>
      </w:pPr>
      <w:r>
        <w:rPr>
          <w:color w:val="231F20"/>
        </w:rPr>
        <w:t>Rather than creating a custom schedule for peak hours, it might be more convenient to use the </w:t>
      </w:r>
      <w:r>
        <w:rPr>
          <w:rFonts w:ascii="Book Antiqua"/>
          <w:b/>
          <w:color w:val="231F20"/>
        </w:rPr>
        <w:t>PrimeShift </w:t>
      </w:r>
      <w:r>
        <w:rPr>
          <w:color w:val="231F20"/>
        </w:rPr>
        <w:t>schedule, which runs from 08:00 to </w:t>
      </w:r>
      <w:r>
        <w:rPr>
          <w:color w:val="231F20"/>
        </w:rPr>
        <w:t>17:00.</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95">
        <w:r>
          <w:rPr>
            <w:color w:val="231F20"/>
          </w:rPr>
          <w:t>“Adding</w:t>
        </w:r>
        <w:r>
          <w:rPr>
            <w:color w:val="231F20"/>
            <w:spacing w:val="10"/>
          </w:rPr>
          <w:t> </w:t>
        </w:r>
        <w:r>
          <w:rPr>
            <w:color w:val="231F20"/>
          </w:rPr>
          <w:t>monitored</w:t>
        </w:r>
        <w:r>
          <w:rPr>
            <w:color w:val="231F20"/>
            <w:spacing w:val="11"/>
          </w:rPr>
          <w:t> </w:t>
        </w:r>
        <w:r>
          <w:rPr>
            <w:color w:val="231F20"/>
          </w:rPr>
          <w:t>baselines</w:t>
        </w:r>
        <w:r>
          <w:rPr>
            <w:color w:val="231F20"/>
            <w:spacing w:val="10"/>
          </w:rPr>
          <w:t> </w:t>
        </w:r>
        <w:r>
          <w:rPr>
            <w:color w:val="231F20"/>
          </w:rPr>
          <w:t>to</w:t>
        </w:r>
        <w:r>
          <w:rPr>
            <w:color w:val="231F20"/>
            <w:spacing w:val="11"/>
          </w:rPr>
          <w:t> </w:t>
        </w:r>
        <w:r>
          <w:rPr>
            <w:color w:val="231F20"/>
          </w:rPr>
          <w:t>a</w:t>
        </w:r>
        <w:r>
          <w:rPr>
            <w:color w:val="231F20"/>
            <w:spacing w:val="10"/>
          </w:rPr>
          <w:t> </w:t>
        </w:r>
        <w:r>
          <w:rPr>
            <w:color w:val="231F20"/>
          </w:rPr>
          <w:t>chart”</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124</w:t>
        </w:r>
      </w:hyperlink>
    </w:p>
    <w:p>
      <w:pPr>
        <w:pStyle w:val="BodyText"/>
        <w:spacing w:line="213" w:lineRule="auto" w:before="7"/>
        <w:ind w:left="2232" w:right="636"/>
      </w:pPr>
      <w:r>
        <w:rPr>
          <w:color w:val="231F20"/>
        </w:rPr>
        <w:t>Apply a monitored baseline of a situation's threshold criteria to a bar chart, plot chart, or area chart to see how effective the situation is in this environment. You can visually compare the current values in the chart with the situation and adjust the thresholds as needed.</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81">
        <w:r>
          <w:rPr>
            <w:color w:val="231F20"/>
          </w:rPr>
          <w:t>“Bar</w:t>
        </w:r>
        <w:r>
          <w:rPr>
            <w:color w:val="231F20"/>
            <w:spacing w:val="12"/>
          </w:rPr>
          <w:t> </w:t>
        </w:r>
        <w:r>
          <w:rPr>
            <w:color w:val="231F20"/>
          </w:rPr>
          <w:t>chart”</w:t>
        </w:r>
        <w:r>
          <w:rPr>
            <w:color w:val="231F20"/>
            <w:spacing w:val="11"/>
          </w:rPr>
          <w:t> </w:t>
        </w:r>
        <w:r>
          <w:rPr>
            <w:color w:val="231F20"/>
          </w:rPr>
          <w:t>on</w:t>
        </w:r>
        <w:r>
          <w:rPr>
            <w:color w:val="231F20"/>
            <w:spacing w:val="12"/>
          </w:rPr>
          <w:t> </w:t>
        </w:r>
        <w:r>
          <w:rPr>
            <w:color w:val="231F20"/>
          </w:rPr>
          <w:t>page</w:t>
        </w:r>
        <w:r>
          <w:rPr>
            <w:color w:val="231F20"/>
            <w:spacing w:val="12"/>
          </w:rPr>
          <w:t> </w:t>
        </w:r>
        <w:r>
          <w:rPr>
            <w:color w:val="231F20"/>
            <w:spacing w:val="-5"/>
          </w:rPr>
          <w:t>107</w:t>
        </w:r>
      </w:hyperlink>
    </w:p>
    <w:p>
      <w:pPr>
        <w:pStyle w:val="BodyText"/>
        <w:spacing w:line="213" w:lineRule="auto" w:before="8"/>
        <w:ind w:left="2232" w:right="493"/>
      </w:pPr>
      <w:r>
        <w:rPr>
          <w:color w:val="231F20"/>
        </w:rPr>
        <w:t>Add a bar chart to a workspace to compare values among related attributes. The stacking bar chart best shows multiple values for the same attribute. Use the </w:t>
      </w:r>
      <w:r>
        <w:rPr>
          <w:color w:val="231F20"/>
        </w:rPr>
        <w:t>chart styling options that are available in the Properties editor to refine the appearance and to add options such as chart overlays.</w:t>
      </w:r>
    </w:p>
    <w:p>
      <w:pPr>
        <w:pStyle w:val="BodyText"/>
        <w:spacing w:line="255" w:lineRule="exact" w:before="34"/>
        <w:ind w:left="2232"/>
      </w:pPr>
      <w:hyperlink w:history="true" w:anchor="_bookmark82">
        <w:r>
          <w:rPr>
            <w:color w:val="231F20"/>
          </w:rPr>
          <w:t>“Plot</w:t>
        </w:r>
        <w:r>
          <w:rPr>
            <w:color w:val="231F20"/>
            <w:spacing w:val="11"/>
          </w:rPr>
          <w:t> </w:t>
        </w:r>
        <w:r>
          <w:rPr>
            <w:color w:val="231F20"/>
          </w:rPr>
          <w:t>chart”</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108</w:t>
        </w:r>
      </w:hyperlink>
    </w:p>
    <w:p>
      <w:pPr>
        <w:pStyle w:val="BodyText"/>
        <w:spacing w:line="213" w:lineRule="auto" w:before="8"/>
        <w:ind w:left="2232" w:right="763"/>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BodyText"/>
        <w:spacing w:line="255" w:lineRule="exact" w:before="35"/>
        <w:ind w:left="2232"/>
      </w:pPr>
      <w:hyperlink w:history="true" w:anchor="_bookmark83">
        <w:r>
          <w:rPr>
            <w:color w:val="231F20"/>
          </w:rPr>
          <w:t>“Area</w:t>
        </w:r>
        <w:r>
          <w:rPr>
            <w:color w:val="231F20"/>
            <w:spacing w:val="10"/>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0"/>
          </w:rPr>
          <w:t> </w:t>
        </w:r>
        <w:r>
          <w:rPr>
            <w:color w:val="231F20"/>
            <w:spacing w:val="-5"/>
          </w:rPr>
          <w:t>110</w:t>
        </w:r>
      </w:hyperlink>
    </w:p>
    <w:p>
      <w:pPr>
        <w:pStyle w:val="BodyText"/>
        <w:spacing w:line="213" w:lineRule="auto" w:before="8"/>
        <w:ind w:left="2232" w:right="493"/>
      </w:pPr>
      <w:r>
        <w:rPr>
          <w:color w:val="231F20"/>
        </w:rPr>
        <w:t>Use the area chart for showing trends over time among related attributes. The area chart</w:t>
      </w:r>
      <w:r>
        <w:rPr>
          <w:color w:val="231F20"/>
          <w:spacing w:val="24"/>
        </w:rPr>
        <w:t> </w:t>
      </w:r>
      <w:r>
        <w:rPr>
          <w:color w:val="231F20"/>
        </w:rPr>
        <w:t>is</w:t>
      </w:r>
      <w:r>
        <w:rPr>
          <w:color w:val="231F20"/>
          <w:spacing w:val="24"/>
        </w:rPr>
        <w:t> </w:t>
      </w:r>
      <w:r>
        <w:rPr>
          <w:color w:val="231F20"/>
        </w:rPr>
        <w:t>like</w:t>
      </w:r>
      <w:r>
        <w:rPr>
          <w:color w:val="231F20"/>
          <w:spacing w:val="24"/>
        </w:rPr>
        <w:t> </w:t>
      </w:r>
      <w:r>
        <w:rPr>
          <w:color w:val="231F20"/>
        </w:rPr>
        <w:t>the</w:t>
      </w:r>
      <w:r>
        <w:rPr>
          <w:color w:val="231F20"/>
          <w:spacing w:val="24"/>
        </w:rPr>
        <w:t> </w:t>
      </w:r>
      <w:r>
        <w:rPr>
          <w:color w:val="231F20"/>
        </w:rPr>
        <w:t>plot</w:t>
      </w:r>
      <w:r>
        <w:rPr>
          <w:color w:val="231F20"/>
          <w:spacing w:val="24"/>
        </w:rPr>
        <w:t> </w:t>
      </w:r>
      <w:r>
        <w:rPr>
          <w:color w:val="231F20"/>
        </w:rPr>
        <w:t>chart</w:t>
      </w:r>
      <w:r>
        <w:rPr>
          <w:color w:val="231F20"/>
          <w:spacing w:val="24"/>
        </w:rPr>
        <w:t> </w:t>
      </w:r>
      <w:r>
        <w:rPr>
          <w:color w:val="231F20"/>
        </w:rPr>
        <w:t>except</w:t>
      </w:r>
      <w:r>
        <w:rPr>
          <w:color w:val="231F20"/>
          <w:spacing w:val="24"/>
        </w:rPr>
        <w:t> </w:t>
      </w:r>
      <w:r>
        <w:rPr>
          <w:color w:val="231F20"/>
        </w:rPr>
        <w:t>that</w:t>
      </w:r>
      <w:r>
        <w:rPr>
          <w:color w:val="231F20"/>
          <w:spacing w:val="24"/>
        </w:rPr>
        <w:t> </w:t>
      </w:r>
      <w:r>
        <w:rPr>
          <w:color w:val="231F20"/>
        </w:rPr>
        <w:t>the</w:t>
      </w:r>
      <w:r>
        <w:rPr>
          <w:color w:val="231F20"/>
          <w:spacing w:val="24"/>
        </w:rPr>
        <w:t> </w:t>
      </w:r>
      <w:r>
        <w:rPr>
          <w:color w:val="231F20"/>
        </w:rPr>
        <w:t>area</w:t>
      </w:r>
      <w:r>
        <w:rPr>
          <w:color w:val="231F20"/>
          <w:spacing w:val="24"/>
        </w:rPr>
        <w:t> </w:t>
      </w:r>
      <w:r>
        <w:rPr>
          <w:color w:val="231F20"/>
        </w:rPr>
        <w:t>below</w:t>
      </w:r>
      <w:r>
        <w:rPr>
          <w:color w:val="231F20"/>
          <w:spacing w:val="24"/>
        </w:rPr>
        <w:t> </w:t>
      </w:r>
      <w:r>
        <w:rPr>
          <w:color w:val="231F20"/>
        </w:rPr>
        <w:t>the</w:t>
      </w:r>
      <w:r>
        <w:rPr>
          <w:color w:val="231F20"/>
          <w:spacing w:val="24"/>
        </w:rPr>
        <w:t> </w:t>
      </w:r>
      <w:r>
        <w:rPr>
          <w:color w:val="231F20"/>
        </w:rPr>
        <w:t>plotted</w:t>
      </w:r>
      <w:r>
        <w:rPr>
          <w:color w:val="231F20"/>
          <w:spacing w:val="24"/>
        </w:rPr>
        <w:t> </w:t>
      </w:r>
      <w:r>
        <w:rPr>
          <w:color w:val="231F20"/>
        </w:rPr>
        <w:t>line</w:t>
      </w:r>
      <w:r>
        <w:rPr>
          <w:color w:val="231F20"/>
          <w:spacing w:val="24"/>
        </w:rPr>
        <w:t> </w:t>
      </w:r>
      <w:r>
        <w:rPr>
          <w:color w:val="231F20"/>
        </w:rPr>
        <w:t>is</w:t>
      </w:r>
      <w:r>
        <w:rPr>
          <w:color w:val="231F20"/>
          <w:spacing w:val="24"/>
        </w:rPr>
        <w:t> </w:t>
      </w:r>
      <w:r>
        <w:rPr>
          <w:color w:val="231F20"/>
        </w:rPr>
        <w:t>filled</w:t>
      </w:r>
      <w:r>
        <w:rPr>
          <w:color w:val="231F20"/>
          <w:spacing w:val="24"/>
        </w:rPr>
        <w:t> </w:t>
      </w:r>
      <w:r>
        <w:rPr>
          <w:color w:val="231F20"/>
        </w:rPr>
        <w:t>in </w:t>
      </w:r>
      <w:bookmarkStart w:name="Adding statistical baselines to a chart" w:id="209"/>
      <w:bookmarkEnd w:id="209"/>
      <w:r>
        <w:rPr>
          <w:color w:val="231F20"/>
        </w:rPr>
        <w:t>with</w:t>
      </w:r>
      <w:r>
        <w:rPr>
          <w:color w:val="231F20"/>
        </w:rPr>
        <w:t> color to indicate volume.</w:t>
      </w:r>
    </w:p>
    <w:p>
      <w:pPr>
        <w:pStyle w:val="Heading4"/>
        <w:spacing w:line="273" w:lineRule="exact" w:before="164"/>
      </w:pPr>
      <w:r>
        <w:rPr>
          <w:color w:val="231F20"/>
        </w:rPr>
        <w:t>Adding</w:t>
      </w:r>
      <w:r>
        <w:rPr>
          <w:color w:val="231F20"/>
          <w:spacing w:val="6"/>
        </w:rPr>
        <w:t> </w:t>
      </w:r>
      <w:r>
        <w:rPr>
          <w:color w:val="231F20"/>
        </w:rPr>
        <w:t>statistical</w:t>
      </w:r>
      <w:r>
        <w:rPr>
          <w:color w:val="231F20"/>
          <w:spacing w:val="6"/>
        </w:rPr>
        <w:t> </w:t>
      </w:r>
      <w:r>
        <w:rPr>
          <w:color w:val="231F20"/>
        </w:rPr>
        <w:t>baselines</w:t>
      </w:r>
      <w:r>
        <w:rPr>
          <w:color w:val="231F20"/>
          <w:spacing w:val="6"/>
        </w:rPr>
        <w:t> </w:t>
      </w:r>
      <w:r>
        <w:rPr>
          <w:color w:val="231F20"/>
        </w:rPr>
        <w:t>to</w:t>
      </w:r>
      <w:r>
        <w:rPr>
          <w:color w:val="231F20"/>
          <w:spacing w:val="6"/>
        </w:rPr>
        <w:t> </w:t>
      </w:r>
      <w:r>
        <w:rPr>
          <w:color w:val="231F20"/>
        </w:rPr>
        <w:t>a</w:t>
      </w:r>
      <w:r>
        <w:rPr>
          <w:color w:val="231F20"/>
          <w:spacing w:val="7"/>
        </w:rPr>
        <w:t> </w:t>
      </w:r>
      <w:r>
        <w:rPr>
          <w:color w:val="231F20"/>
          <w:spacing w:val="-2"/>
        </w:rPr>
        <w:t>chart</w:t>
      </w:r>
    </w:p>
    <w:p>
      <w:pPr>
        <w:pStyle w:val="BodyText"/>
        <w:spacing w:line="213" w:lineRule="auto" w:before="20"/>
        <w:ind w:left="2232" w:right="688"/>
        <w:jc w:val="both"/>
      </w:pPr>
      <w:r>
        <w:rPr>
          <w:color w:val="231F20"/>
        </w:rPr>
        <w:t>Use the statistical baseline function on a plot chart or area chart to apply any of these statistical functions to the selected attribute: Range between minimum </w:t>
      </w:r>
      <w:r>
        <w:rPr>
          <w:color w:val="231F20"/>
        </w:rPr>
        <w:t>and maximum, average, minimum, maximum, percentile, and mode.</w:t>
      </w:r>
    </w:p>
    <w:p>
      <w:pPr>
        <w:pStyle w:val="Heading5"/>
        <w:ind w:left="2232"/>
        <w:jc w:val="both"/>
      </w:pPr>
      <w:r>
        <w:rPr>
          <w:color w:val="231F20"/>
        </w:rPr>
        <w:t>Before</w:t>
      </w:r>
      <w:r>
        <w:rPr>
          <w:color w:val="231F20"/>
          <w:spacing w:val="5"/>
        </w:rPr>
        <w:t> </w:t>
      </w:r>
      <w:r>
        <w:rPr>
          <w:color w:val="231F20"/>
        </w:rPr>
        <w:t>you</w:t>
      </w:r>
      <w:r>
        <w:rPr>
          <w:color w:val="231F20"/>
          <w:spacing w:val="6"/>
        </w:rPr>
        <w:t> </w:t>
      </w:r>
      <w:r>
        <w:rPr>
          <w:color w:val="231F20"/>
          <w:spacing w:val="-2"/>
        </w:rPr>
        <w:t>begin</w:t>
      </w:r>
    </w:p>
    <w:p>
      <w:pPr>
        <w:pStyle w:val="BodyText"/>
        <w:spacing w:line="213" w:lineRule="auto" w:before="245"/>
        <w:ind w:left="2232" w:right="493"/>
      </w:pPr>
      <w:r>
        <w:rPr>
          <w:color w:val="231F20"/>
        </w:rPr>
        <w:t>The baseline function does not appear in the chart view toolbar if the chart values</w:t>
      </w:r>
      <w:r>
        <w:rPr>
          <w:color w:val="231F20"/>
          <w:spacing w:val="40"/>
        </w:rPr>
        <w:t> </w:t>
      </w:r>
      <w:r>
        <w:rPr>
          <w:color w:val="231F20"/>
        </w:rPr>
        <w:t>are derived (result of a calculation, such as the Enterprise Status workspace view, Open Situation Counts - Last 24 hours), if this is a plot chart with </w:t>
      </w:r>
      <w:r>
        <w:rPr>
          <w:color w:val="231F20"/>
          <w:spacing w:val="14"/>
        </w:rPr>
        <w:drawing>
          <wp:inline distT="0" distB="0" distL="0" distR="0">
            <wp:extent cx="88900" cy="82550"/>
            <wp:effectExtent l="0" t="0" r="0" b="0"/>
            <wp:docPr id="1266" name="Image 1266"/>
            <wp:cNvGraphicFramePr>
              <a:graphicFrameLocks/>
            </wp:cNvGraphicFramePr>
            <a:graphic>
              <a:graphicData uri="http://schemas.openxmlformats.org/drawingml/2006/picture">
                <pic:pic>
                  <pic:nvPicPr>
                    <pic:cNvPr id="1266" name="Image 126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4"/>
        </w:rPr>
      </w:r>
      <w:r>
        <w:rPr>
          <w:rFonts w:ascii="Times New Roman"/>
          <w:color w:val="231F20"/>
          <w:spacing w:val="40"/>
        </w:rPr>
        <w:t> </w:t>
      </w:r>
      <w:r>
        <w:rPr>
          <w:rFonts w:ascii="Book Antiqua"/>
          <w:b/>
          <w:color w:val="231F20"/>
        </w:rPr>
        <w:t>Attribute(s)</w:t>
      </w:r>
      <w:r>
        <w:rPr>
          <w:rFonts w:ascii="Book Antiqua"/>
          <w:b/>
          <w:color w:val="231F20"/>
          <w:spacing w:val="40"/>
        </w:rPr>
        <w:t> </w:t>
      </w:r>
      <w:r>
        <w:rPr>
          <w:rFonts w:ascii="Book Antiqua"/>
          <w:b/>
          <w:color w:val="231F20"/>
        </w:rPr>
        <w:t>across multiple rows </w:t>
      </w:r>
      <w:r>
        <w:rPr>
          <w:color w:val="231F20"/>
        </w:rPr>
        <w:t>selected, or if historical data collection has not configured </w:t>
      </w:r>
      <w:r>
        <w:rPr>
          <w:color w:val="231F20"/>
        </w:rPr>
        <w:t>for the attribute group and started on the managed system assigned to the Navigator item. (You should see </w:t>
      </w:r>
      <w:r>
        <w:rPr>
          <w:color w:val="231F20"/>
          <w:spacing w:val="-24"/>
          <w:position w:val="-1"/>
        </w:rPr>
        <w:drawing>
          <wp:inline distT="0" distB="0" distL="0" distR="0">
            <wp:extent cx="95250" cy="95250"/>
            <wp:effectExtent l="0" t="0" r="0" b="0"/>
            <wp:docPr id="1267" name="Image 1267"/>
            <wp:cNvGraphicFramePr>
              <a:graphicFrameLocks/>
            </wp:cNvGraphicFramePr>
            <a:graphic>
              <a:graphicData uri="http://schemas.openxmlformats.org/drawingml/2006/picture">
                <pic:pic>
                  <pic:nvPicPr>
                    <pic:cNvPr id="1267" name="Image 1267"/>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Time Span </w:t>
      </w:r>
      <w:r>
        <w:rPr>
          <w:color w:val="231F20"/>
        </w:rPr>
        <w:t>in the chart toolbar.)</w:t>
      </w:r>
    </w:p>
    <w:p>
      <w:pPr>
        <w:pStyle w:val="BodyText"/>
        <w:spacing w:line="213" w:lineRule="auto" w:before="236"/>
        <w:ind w:left="2232" w:right="545"/>
      </w:pPr>
      <w:r>
        <w:rPr>
          <w:color w:val="231F20"/>
        </w:rPr>
        <w:t>For historical data beyond the past 24 hours, you must have a Tivoli Data Warehouse configured and the warehouse proxy agent that transfers data to it.</w:t>
      </w:r>
    </w:p>
    <w:p>
      <w:pPr>
        <w:spacing w:after="0" w:line="213" w:lineRule="auto"/>
        <w:sectPr>
          <w:pgSz w:w="12240" w:h="15840"/>
          <w:pgMar w:header="0" w:footer="736" w:top="1460" w:bottom="920" w:left="1000" w:right="1060"/>
        </w:sectPr>
      </w:pPr>
    </w:p>
    <w:p>
      <w:pPr>
        <w:pStyle w:val="Heading5"/>
        <w:spacing w:before="85"/>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472"/>
      </w:pPr>
      <w:r>
        <w:rPr>
          <w:color w:val="231F20"/>
        </w:rPr>
        <w:t>Take</w:t>
      </w:r>
      <w:r>
        <w:rPr>
          <w:color w:val="231F20"/>
          <w:spacing w:val="10"/>
        </w:rPr>
        <w:t> </w:t>
      </w:r>
      <w:r>
        <w:rPr>
          <w:color w:val="231F20"/>
        </w:rPr>
        <w:t>these</w:t>
      </w:r>
      <w:r>
        <w:rPr>
          <w:color w:val="231F20"/>
          <w:spacing w:val="10"/>
        </w:rPr>
        <w:t> </w:t>
      </w:r>
      <w:r>
        <w:rPr>
          <w:color w:val="231F20"/>
        </w:rPr>
        <w:t>steps</w:t>
      </w:r>
      <w:r>
        <w:rPr>
          <w:color w:val="231F20"/>
          <w:spacing w:val="10"/>
        </w:rPr>
        <w:t> </w:t>
      </w:r>
      <w:r>
        <w:rPr>
          <w:color w:val="231F20"/>
        </w:rPr>
        <w:t>to</w:t>
      </w:r>
      <w:r>
        <w:rPr>
          <w:color w:val="231F20"/>
          <w:spacing w:val="10"/>
        </w:rPr>
        <w:t> </w:t>
      </w:r>
      <w:r>
        <w:rPr>
          <w:color w:val="231F20"/>
        </w:rPr>
        <w:t>add</w:t>
      </w:r>
      <w:r>
        <w:rPr>
          <w:color w:val="231F20"/>
          <w:spacing w:val="10"/>
        </w:rPr>
        <w:t> </w:t>
      </w:r>
      <w:r>
        <w:rPr>
          <w:color w:val="231F20"/>
        </w:rPr>
        <w:t>a</w:t>
      </w:r>
      <w:r>
        <w:rPr>
          <w:color w:val="231F20"/>
          <w:spacing w:val="10"/>
        </w:rPr>
        <w:t> </w:t>
      </w:r>
      <w:r>
        <w:rPr>
          <w:color w:val="231F20"/>
        </w:rPr>
        <w:t>statistical</w:t>
      </w:r>
      <w:r>
        <w:rPr>
          <w:color w:val="231F20"/>
          <w:spacing w:val="11"/>
        </w:rPr>
        <w:t> </w:t>
      </w:r>
      <w:r>
        <w:rPr>
          <w:color w:val="231F20"/>
        </w:rPr>
        <w:t>baseline</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spacing w:val="-2"/>
        </w:rPr>
        <w:t>chart.</w:t>
      </w:r>
    </w:p>
    <w:p>
      <w:pPr>
        <w:pStyle w:val="Heading5"/>
        <w:spacing w:before="213"/>
      </w:pPr>
      <w:r>
        <w:rPr>
          <w:color w:val="231F20"/>
          <w:spacing w:val="-2"/>
        </w:rPr>
        <w:t>Procedure</w:t>
      </w:r>
    </w:p>
    <w:p>
      <w:pPr>
        <w:pStyle w:val="ListParagraph"/>
        <w:numPr>
          <w:ilvl w:val="0"/>
          <w:numId w:val="56"/>
        </w:numPr>
        <w:tabs>
          <w:tab w:pos="2788" w:val="left" w:leader="none"/>
        </w:tabs>
        <w:spacing w:line="213" w:lineRule="auto" w:before="66" w:after="0"/>
        <w:ind w:left="2788" w:right="226" w:hanging="316"/>
        <w:jc w:val="left"/>
        <w:rPr>
          <w:sz w:val="20"/>
        </w:rPr>
      </w:pPr>
      <w:r>
        <w:rPr>
          <w:color w:val="231F20"/>
          <w:sz w:val="20"/>
        </w:rPr>
        <w:t>While displaying a plot chart or area chart, select </w:t>
      </w:r>
      <w:r>
        <w:rPr>
          <w:color w:val="231F20"/>
          <w:spacing w:val="15"/>
          <w:position w:val="-1"/>
          <w:sz w:val="20"/>
        </w:rPr>
        <w:drawing>
          <wp:inline distT="0" distB="0" distL="0" distR="0">
            <wp:extent cx="101600" cy="101600"/>
            <wp:effectExtent l="0" t="0" r="0" b="0"/>
            <wp:docPr id="1268" name="Image 1268"/>
            <wp:cNvGraphicFramePr>
              <a:graphicFrameLocks/>
            </wp:cNvGraphicFramePr>
            <a:graphic>
              <a:graphicData uri="http://schemas.openxmlformats.org/drawingml/2006/picture">
                <pic:pic>
                  <pic:nvPicPr>
                    <pic:cNvPr id="1268" name="Image 1268"/>
                    <pic:cNvPicPr/>
                  </pic:nvPicPr>
                  <pic:blipFill>
                    <a:blip r:embed="rId232"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Add Statistical Baseline </w:t>
      </w:r>
      <w:r>
        <w:rPr>
          <w:color w:val="231F20"/>
          <w:sz w:val="20"/>
        </w:rPr>
        <w:t>in the view toolbar.</w:t>
      </w:r>
    </w:p>
    <w:p>
      <w:pPr>
        <w:pStyle w:val="ListParagraph"/>
        <w:numPr>
          <w:ilvl w:val="0"/>
          <w:numId w:val="56"/>
        </w:numPr>
        <w:tabs>
          <w:tab w:pos="2787" w:val="left" w:leader="none"/>
        </w:tabs>
        <w:spacing w:line="240" w:lineRule="auto" w:before="35" w:after="0"/>
        <w:ind w:left="2787" w:right="0" w:hanging="315"/>
        <w:jc w:val="left"/>
        <w:rPr>
          <w:sz w:val="20"/>
        </w:rPr>
      </w:pPr>
      <w:r>
        <w:rPr>
          <w:color w:val="231F20"/>
          <w:sz w:val="20"/>
        </w:rPr>
        <w:t>Select</w:t>
      </w:r>
      <w:r>
        <w:rPr>
          <w:color w:val="231F20"/>
          <w:spacing w:val="12"/>
          <w:sz w:val="20"/>
        </w:rPr>
        <w:t> </w:t>
      </w:r>
      <w:r>
        <w:rPr>
          <w:color w:val="231F20"/>
          <w:sz w:val="20"/>
        </w:rPr>
        <w:t>a</w:t>
      </w:r>
      <w:r>
        <w:rPr>
          <w:color w:val="231F20"/>
          <w:spacing w:val="12"/>
          <w:sz w:val="20"/>
        </w:rPr>
        <w:t> </w:t>
      </w:r>
      <w:r>
        <w:rPr>
          <w:color w:val="231F20"/>
          <w:sz w:val="20"/>
        </w:rPr>
        <w:t>check</w:t>
      </w:r>
      <w:r>
        <w:rPr>
          <w:color w:val="231F20"/>
          <w:spacing w:val="13"/>
          <w:sz w:val="20"/>
        </w:rPr>
        <w:t> </w:t>
      </w:r>
      <w:r>
        <w:rPr>
          <w:color w:val="231F20"/>
          <w:sz w:val="20"/>
        </w:rPr>
        <w:t>box</w:t>
      </w:r>
      <w:r>
        <w:rPr>
          <w:color w:val="231F20"/>
          <w:spacing w:val="12"/>
          <w:sz w:val="20"/>
        </w:rPr>
        <w:t> </w:t>
      </w:r>
      <w:r>
        <w:rPr>
          <w:color w:val="231F20"/>
          <w:sz w:val="20"/>
        </w:rPr>
        <w:t>to</w:t>
      </w:r>
      <w:r>
        <w:rPr>
          <w:color w:val="231F20"/>
          <w:spacing w:val="13"/>
          <w:sz w:val="20"/>
        </w:rPr>
        <w:t> </w:t>
      </w:r>
      <w:r>
        <w:rPr>
          <w:color w:val="231F20"/>
          <w:sz w:val="20"/>
        </w:rPr>
        <w:t>enable</w:t>
      </w:r>
      <w:r>
        <w:rPr>
          <w:color w:val="231F20"/>
          <w:spacing w:val="12"/>
          <w:sz w:val="20"/>
        </w:rPr>
        <w:t> </w:t>
      </w:r>
      <w:r>
        <w:rPr>
          <w:color w:val="231F20"/>
          <w:sz w:val="20"/>
        </w:rPr>
        <w:t>the</w:t>
      </w:r>
      <w:r>
        <w:rPr>
          <w:color w:val="231F20"/>
          <w:spacing w:val="13"/>
          <w:sz w:val="20"/>
        </w:rPr>
        <w:t> </w:t>
      </w:r>
      <w:r>
        <w:rPr>
          <w:color w:val="231F20"/>
          <w:spacing w:val="-2"/>
          <w:sz w:val="20"/>
        </w:rPr>
        <w:t>function.</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43"/>
        <w:gridCol w:w="5990"/>
      </w:tblGrid>
      <w:tr>
        <w:trPr>
          <w:trHeight w:val="274" w:hRule="atLeast"/>
        </w:trPr>
        <w:tc>
          <w:tcPr>
            <w:tcW w:w="1543" w:type="dxa"/>
          </w:tcPr>
          <w:p>
            <w:pPr>
              <w:pStyle w:val="TableParagraph"/>
              <w:spacing w:before="10"/>
              <w:ind w:left="44"/>
              <w:rPr>
                <w:rFonts w:ascii="Book Antiqua"/>
                <w:b/>
                <w:sz w:val="18"/>
              </w:rPr>
            </w:pPr>
            <w:r>
              <w:rPr>
                <w:rFonts w:ascii="Book Antiqua"/>
                <w:b/>
                <w:color w:val="231F20"/>
                <w:spacing w:val="-2"/>
                <w:sz w:val="18"/>
              </w:rPr>
              <w:t>Function</w:t>
            </w:r>
          </w:p>
        </w:tc>
        <w:tc>
          <w:tcPr>
            <w:tcW w:w="5990" w:type="dxa"/>
          </w:tcPr>
          <w:p>
            <w:pPr>
              <w:pStyle w:val="TableParagraph"/>
              <w:spacing w:before="10"/>
              <w:rPr>
                <w:rFonts w:ascii="Book Antiqua"/>
                <w:b/>
                <w:sz w:val="18"/>
              </w:rPr>
            </w:pPr>
            <w:r>
              <w:rPr>
                <w:rFonts w:ascii="Book Antiqua"/>
                <w:b/>
                <w:color w:val="231F20"/>
                <w:spacing w:val="-2"/>
                <w:sz w:val="18"/>
              </w:rPr>
              <w:t>Action</w:t>
            </w:r>
          </w:p>
        </w:tc>
      </w:tr>
      <w:tr>
        <w:trPr>
          <w:trHeight w:val="528" w:hRule="atLeast"/>
        </w:trPr>
        <w:tc>
          <w:tcPr>
            <w:tcW w:w="1543" w:type="dxa"/>
          </w:tcPr>
          <w:p>
            <w:pPr>
              <w:pStyle w:val="TableParagraph"/>
              <w:spacing w:line="216" w:lineRule="auto" w:before="46"/>
              <w:ind w:left="44"/>
              <w:rPr>
                <w:sz w:val="18"/>
              </w:rPr>
            </w:pPr>
            <w:r>
              <w:rPr/>
              <w:drawing>
                <wp:inline distT="0" distB="0" distL="0" distR="0">
                  <wp:extent cx="82550" cy="82550"/>
                  <wp:effectExtent l="0" t="0" r="0" b="0"/>
                  <wp:docPr id="1269" name="Image 1269"/>
                  <wp:cNvGraphicFramePr>
                    <a:graphicFrameLocks/>
                  </wp:cNvGraphicFramePr>
                  <a:graphic>
                    <a:graphicData uri="http://schemas.openxmlformats.org/drawingml/2006/picture">
                      <pic:pic>
                        <pic:nvPicPr>
                          <pic:cNvPr id="1269" name="Image 126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39"/>
                <w:position w:val="2"/>
                <w:sz w:val="20"/>
              </w:rPr>
              <w:t> </w:t>
            </w:r>
            <w:r>
              <w:rPr>
                <w:color w:val="231F20"/>
                <w:position w:val="2"/>
                <w:sz w:val="18"/>
              </w:rPr>
              <w:t>RANGE </w:t>
            </w:r>
            <w:r>
              <w:rPr>
                <w:color w:val="231F20"/>
                <w:position w:val="2"/>
                <w:sz w:val="18"/>
              </w:rPr>
              <w:t>- </w:t>
            </w:r>
            <w:r>
              <w:rPr>
                <w:color w:val="231F20"/>
                <w:spacing w:val="-2"/>
                <w:sz w:val="18"/>
              </w:rPr>
              <w:t>MIN/MAX</w:t>
            </w:r>
          </w:p>
        </w:tc>
        <w:tc>
          <w:tcPr>
            <w:tcW w:w="5990" w:type="dxa"/>
          </w:tcPr>
          <w:p>
            <w:pPr>
              <w:pStyle w:val="TableParagraph"/>
              <w:spacing w:line="216" w:lineRule="auto" w:before="44"/>
              <w:rPr>
                <w:sz w:val="18"/>
              </w:rPr>
            </w:pPr>
            <w:r>
              <w:rPr>
                <w:color w:val="231F20"/>
                <w:sz w:val="18"/>
              </w:rPr>
              <w:t>For the selected attribute, calculate the minimum and maximum values within the time period, and then shade that area on the chart.</w:t>
            </w:r>
          </w:p>
        </w:tc>
      </w:tr>
      <w:tr>
        <w:trPr>
          <w:trHeight w:val="967" w:hRule="atLeast"/>
        </w:trPr>
        <w:tc>
          <w:tcPr>
            <w:tcW w:w="1543" w:type="dxa"/>
          </w:tcPr>
          <w:p>
            <w:pPr>
              <w:pStyle w:val="TableParagraph"/>
              <w:spacing w:before="111"/>
              <w:ind w:left="0"/>
              <w:rPr>
                <w:sz w:val="18"/>
              </w:rPr>
            </w:pPr>
          </w:p>
          <w:p>
            <w:pPr>
              <w:pStyle w:val="TableParagraph"/>
              <w:spacing w:before="1"/>
              <w:ind w:left="44"/>
              <w:rPr>
                <w:sz w:val="18"/>
              </w:rPr>
            </w:pPr>
            <w:r>
              <w:rPr/>
              <w:drawing>
                <wp:inline distT="0" distB="0" distL="0" distR="0">
                  <wp:extent cx="82550" cy="82550"/>
                  <wp:effectExtent l="0" t="0" r="0" b="0"/>
                  <wp:docPr id="1270" name="Image 1270"/>
                  <wp:cNvGraphicFramePr>
                    <a:graphicFrameLocks/>
                  </wp:cNvGraphicFramePr>
                  <a:graphic>
                    <a:graphicData uri="http://schemas.openxmlformats.org/drawingml/2006/picture">
                      <pic:pic>
                        <pic:nvPicPr>
                          <pic:cNvPr id="1270" name="Image 127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2"/>
                <w:sz w:val="20"/>
              </w:rPr>
              <w:t> </w:t>
            </w:r>
            <w:r>
              <w:rPr>
                <w:color w:val="231F20"/>
                <w:position w:val="2"/>
                <w:sz w:val="18"/>
              </w:rPr>
              <w:t>AVG</w:t>
            </w:r>
          </w:p>
        </w:tc>
        <w:tc>
          <w:tcPr>
            <w:tcW w:w="5990" w:type="dxa"/>
          </w:tcPr>
          <w:p>
            <w:pPr>
              <w:pStyle w:val="TableParagraph"/>
              <w:spacing w:line="216" w:lineRule="auto" w:before="44"/>
              <w:ind w:right="216"/>
              <w:rPr>
                <w:sz w:val="18"/>
              </w:rPr>
            </w:pPr>
            <w:r>
              <w:rPr>
                <w:color w:val="231F20"/>
                <w:sz w:val="18"/>
              </w:rPr>
              <w:t>For the selected attribute, calculate the average value from the samples taken during the time period, and add or subtract the standard</w:t>
            </w:r>
            <w:r>
              <w:rPr>
                <w:color w:val="231F20"/>
                <w:spacing w:val="40"/>
                <w:sz w:val="18"/>
              </w:rPr>
              <w:t> </w:t>
            </w:r>
            <w:r>
              <w:rPr>
                <w:color w:val="231F20"/>
                <w:sz w:val="18"/>
              </w:rPr>
              <w:t>deviation that was entered in the </w:t>
            </w:r>
            <w:r>
              <w:rPr>
                <w:rFonts w:ascii="Book Antiqua"/>
                <w:b/>
                <w:color w:val="231F20"/>
                <w:sz w:val="18"/>
              </w:rPr>
              <w:t>Arguments </w:t>
            </w:r>
            <w:r>
              <w:rPr>
                <w:color w:val="231F20"/>
                <w:sz w:val="18"/>
              </w:rPr>
              <w:t>field (valid values are -6</w:t>
            </w:r>
            <w:r>
              <w:rPr>
                <w:color w:val="231F20"/>
                <w:spacing w:val="80"/>
                <w:sz w:val="18"/>
              </w:rPr>
              <w:t> </w:t>
            </w:r>
            <w:r>
              <w:rPr>
                <w:color w:val="231F20"/>
                <w:sz w:val="18"/>
              </w:rPr>
              <w:t>to 6).</w:t>
            </w:r>
          </w:p>
        </w:tc>
      </w:tr>
      <w:tr>
        <w:trPr>
          <w:trHeight w:val="748" w:hRule="atLeast"/>
        </w:trPr>
        <w:tc>
          <w:tcPr>
            <w:tcW w:w="1543" w:type="dxa"/>
          </w:tcPr>
          <w:p>
            <w:pPr>
              <w:pStyle w:val="TableParagraph"/>
              <w:spacing w:before="2"/>
              <w:ind w:left="0"/>
              <w:rPr>
                <w:sz w:val="18"/>
              </w:rPr>
            </w:pPr>
          </w:p>
          <w:p>
            <w:pPr>
              <w:pStyle w:val="TableParagraph"/>
              <w:spacing w:before="0"/>
              <w:ind w:left="44"/>
              <w:rPr>
                <w:sz w:val="18"/>
              </w:rPr>
            </w:pPr>
            <w:r>
              <w:rPr/>
              <w:drawing>
                <wp:inline distT="0" distB="0" distL="0" distR="0">
                  <wp:extent cx="82550" cy="82550"/>
                  <wp:effectExtent l="0" t="0" r="0" b="0"/>
                  <wp:docPr id="1271" name="Image 1271"/>
                  <wp:cNvGraphicFramePr>
                    <a:graphicFrameLocks/>
                  </wp:cNvGraphicFramePr>
                  <a:graphic>
                    <a:graphicData uri="http://schemas.openxmlformats.org/drawingml/2006/picture">
                      <pic:pic>
                        <pic:nvPicPr>
                          <pic:cNvPr id="1271" name="Image 1271"/>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2"/>
                <w:sz w:val="20"/>
              </w:rPr>
              <w:t> </w:t>
            </w:r>
            <w:r>
              <w:rPr>
                <w:color w:val="231F20"/>
                <w:position w:val="2"/>
                <w:sz w:val="18"/>
              </w:rPr>
              <w:t>MIN</w:t>
            </w:r>
          </w:p>
        </w:tc>
        <w:tc>
          <w:tcPr>
            <w:tcW w:w="5990" w:type="dxa"/>
          </w:tcPr>
          <w:p>
            <w:pPr>
              <w:pStyle w:val="TableParagraph"/>
              <w:spacing w:line="216" w:lineRule="auto" w:before="44"/>
              <w:rPr>
                <w:sz w:val="18"/>
              </w:rPr>
            </w:pPr>
            <w:r>
              <w:rPr>
                <w:color w:val="231F20"/>
                <w:sz w:val="18"/>
              </w:rPr>
              <w:t>For the selected attribute, find the lowest sampled value within the time period, and increase or decrease that value by the percentage that was entered in the </w:t>
            </w:r>
            <w:r>
              <w:rPr>
                <w:rFonts w:ascii="Book Antiqua"/>
                <w:b/>
                <w:color w:val="231F20"/>
                <w:sz w:val="18"/>
              </w:rPr>
              <w:t>Arguments </w:t>
            </w:r>
            <w:r>
              <w:rPr>
                <w:color w:val="231F20"/>
                <w:sz w:val="18"/>
              </w:rPr>
              <w:t>field (valid values are -100 to 100).</w:t>
            </w:r>
          </w:p>
        </w:tc>
      </w:tr>
      <w:tr>
        <w:trPr>
          <w:trHeight w:val="748" w:hRule="atLeast"/>
        </w:trPr>
        <w:tc>
          <w:tcPr>
            <w:tcW w:w="1543" w:type="dxa"/>
          </w:tcPr>
          <w:p>
            <w:pPr>
              <w:pStyle w:val="TableParagraph"/>
              <w:spacing w:before="2"/>
              <w:ind w:left="0"/>
              <w:rPr>
                <w:sz w:val="18"/>
              </w:rPr>
            </w:pPr>
          </w:p>
          <w:p>
            <w:pPr>
              <w:pStyle w:val="TableParagraph"/>
              <w:spacing w:before="0"/>
              <w:ind w:left="44"/>
              <w:rPr>
                <w:sz w:val="18"/>
              </w:rPr>
            </w:pPr>
            <w:r>
              <w:rPr/>
              <w:drawing>
                <wp:inline distT="0" distB="0" distL="0" distR="0">
                  <wp:extent cx="82550" cy="82550"/>
                  <wp:effectExtent l="0" t="0" r="0" b="0"/>
                  <wp:docPr id="1272" name="Image 1272"/>
                  <wp:cNvGraphicFramePr>
                    <a:graphicFrameLocks/>
                  </wp:cNvGraphicFramePr>
                  <a:graphic>
                    <a:graphicData uri="http://schemas.openxmlformats.org/drawingml/2006/picture">
                      <pic:pic>
                        <pic:nvPicPr>
                          <pic:cNvPr id="1272" name="Image 1272"/>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2"/>
                <w:sz w:val="20"/>
              </w:rPr>
              <w:t> </w:t>
            </w:r>
            <w:r>
              <w:rPr>
                <w:color w:val="231F20"/>
                <w:position w:val="2"/>
                <w:sz w:val="18"/>
              </w:rPr>
              <w:t>MAX</w:t>
            </w:r>
          </w:p>
        </w:tc>
        <w:tc>
          <w:tcPr>
            <w:tcW w:w="5990" w:type="dxa"/>
          </w:tcPr>
          <w:p>
            <w:pPr>
              <w:pStyle w:val="TableParagraph"/>
              <w:spacing w:line="216" w:lineRule="auto" w:before="44"/>
              <w:ind w:right="216"/>
              <w:rPr>
                <w:sz w:val="18"/>
              </w:rPr>
            </w:pPr>
            <w:r>
              <w:rPr>
                <w:color w:val="231F20"/>
                <w:sz w:val="18"/>
              </w:rPr>
              <w:t>For the selected attribute, find the highest sampled value within the time period and increase or decrease that value by the percentage that was entered in the </w:t>
            </w:r>
            <w:r>
              <w:rPr>
                <w:rFonts w:ascii="Book Antiqua"/>
                <w:b/>
                <w:color w:val="231F20"/>
                <w:sz w:val="18"/>
              </w:rPr>
              <w:t>Arguments </w:t>
            </w:r>
            <w:r>
              <w:rPr>
                <w:color w:val="231F20"/>
                <w:sz w:val="18"/>
              </w:rPr>
              <w:t>field (valid values are -100 to 100).</w:t>
            </w:r>
          </w:p>
        </w:tc>
      </w:tr>
      <w:tr>
        <w:trPr>
          <w:trHeight w:val="748" w:hRule="atLeast"/>
        </w:trPr>
        <w:tc>
          <w:tcPr>
            <w:tcW w:w="1543" w:type="dxa"/>
          </w:tcPr>
          <w:p>
            <w:pPr>
              <w:pStyle w:val="TableParagraph"/>
              <w:spacing w:before="2"/>
              <w:ind w:left="0"/>
              <w:rPr>
                <w:sz w:val="18"/>
              </w:rPr>
            </w:pPr>
          </w:p>
          <w:p>
            <w:pPr>
              <w:pStyle w:val="TableParagraph"/>
              <w:spacing w:before="0"/>
              <w:ind w:left="44"/>
              <w:rPr>
                <w:sz w:val="18"/>
              </w:rPr>
            </w:pPr>
            <w:r>
              <w:rPr/>
              <w:drawing>
                <wp:inline distT="0" distB="0" distL="0" distR="0">
                  <wp:extent cx="82550" cy="82550"/>
                  <wp:effectExtent l="0" t="0" r="0" b="0"/>
                  <wp:docPr id="1273" name="Image 1273"/>
                  <wp:cNvGraphicFramePr>
                    <a:graphicFrameLocks/>
                  </wp:cNvGraphicFramePr>
                  <a:graphic>
                    <a:graphicData uri="http://schemas.openxmlformats.org/drawingml/2006/picture">
                      <pic:pic>
                        <pic:nvPicPr>
                          <pic:cNvPr id="1273" name="Image 1273"/>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2"/>
                <w:sz w:val="20"/>
              </w:rPr>
              <w:t> </w:t>
            </w:r>
            <w:r>
              <w:rPr>
                <w:color w:val="231F20"/>
                <w:position w:val="2"/>
                <w:sz w:val="18"/>
              </w:rPr>
              <w:t>PERCENTILE</w:t>
            </w:r>
          </w:p>
        </w:tc>
        <w:tc>
          <w:tcPr>
            <w:tcW w:w="5990" w:type="dxa"/>
          </w:tcPr>
          <w:p>
            <w:pPr>
              <w:pStyle w:val="TableParagraph"/>
              <w:spacing w:line="216" w:lineRule="auto" w:before="44"/>
              <w:ind w:right="127"/>
              <w:jc w:val="both"/>
              <w:rPr>
                <w:sz w:val="18"/>
              </w:rPr>
            </w:pPr>
            <w:r>
              <w:rPr>
                <w:color w:val="231F20"/>
                <w:sz w:val="18"/>
              </w:rPr>
              <w:t>For the selected attribute, find the value below which NUM percent of the data points fall; where NUM is the value from the </w:t>
            </w:r>
            <w:r>
              <w:rPr>
                <w:rFonts w:ascii="Book Antiqua"/>
                <w:b/>
                <w:color w:val="231F20"/>
                <w:sz w:val="18"/>
              </w:rPr>
              <w:t>Arguments </w:t>
            </w:r>
            <w:r>
              <w:rPr>
                <w:color w:val="231F20"/>
                <w:sz w:val="18"/>
              </w:rPr>
              <w:t>field (valid values are 1 to 100).</w:t>
            </w:r>
          </w:p>
        </w:tc>
      </w:tr>
      <w:tr>
        <w:trPr>
          <w:trHeight w:val="753" w:hRule="atLeast"/>
        </w:trPr>
        <w:tc>
          <w:tcPr>
            <w:tcW w:w="1543" w:type="dxa"/>
          </w:tcPr>
          <w:p>
            <w:pPr>
              <w:pStyle w:val="TableParagraph"/>
              <w:spacing w:before="2"/>
              <w:ind w:left="0"/>
              <w:rPr>
                <w:sz w:val="18"/>
              </w:rPr>
            </w:pPr>
          </w:p>
          <w:p>
            <w:pPr>
              <w:pStyle w:val="TableParagraph"/>
              <w:spacing w:before="0"/>
              <w:ind w:left="44"/>
              <w:rPr>
                <w:sz w:val="18"/>
              </w:rPr>
            </w:pPr>
            <w:r>
              <w:rPr/>
              <w:drawing>
                <wp:inline distT="0" distB="0" distL="0" distR="0">
                  <wp:extent cx="82550" cy="82550"/>
                  <wp:effectExtent l="0" t="0" r="0" b="0"/>
                  <wp:docPr id="1274" name="Image 1274"/>
                  <wp:cNvGraphicFramePr>
                    <a:graphicFrameLocks/>
                  </wp:cNvGraphicFramePr>
                  <a:graphic>
                    <a:graphicData uri="http://schemas.openxmlformats.org/drawingml/2006/picture">
                      <pic:pic>
                        <pic:nvPicPr>
                          <pic:cNvPr id="1274" name="Image 1274"/>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2"/>
                <w:sz w:val="20"/>
              </w:rPr>
              <w:t> </w:t>
            </w:r>
            <w:r>
              <w:rPr>
                <w:color w:val="231F20"/>
                <w:position w:val="2"/>
                <w:sz w:val="18"/>
              </w:rPr>
              <w:t>MODE</w:t>
            </w:r>
          </w:p>
        </w:tc>
        <w:tc>
          <w:tcPr>
            <w:tcW w:w="5990" w:type="dxa"/>
          </w:tcPr>
          <w:p>
            <w:pPr>
              <w:pStyle w:val="TableParagraph"/>
              <w:spacing w:line="216" w:lineRule="auto" w:before="44"/>
              <w:ind w:right="264"/>
              <w:rPr>
                <w:sz w:val="18"/>
              </w:rPr>
            </w:pPr>
            <w:r>
              <w:rPr>
                <w:color w:val="231F20"/>
                <w:sz w:val="18"/>
              </w:rPr>
              <w:t>For the selected attribute, find the most frequently observed value within the time period. No argument is entered for a MODE </w:t>
            </w:r>
            <w:r>
              <w:rPr>
                <w:color w:val="231F20"/>
                <w:spacing w:val="-2"/>
                <w:sz w:val="18"/>
              </w:rPr>
              <w:t>calculation.</w:t>
            </w:r>
          </w:p>
        </w:tc>
      </w:tr>
    </w:tbl>
    <w:p>
      <w:pPr>
        <w:pStyle w:val="ListParagraph"/>
        <w:numPr>
          <w:ilvl w:val="0"/>
          <w:numId w:val="56"/>
        </w:numPr>
        <w:tabs>
          <w:tab w:pos="2787" w:val="left" w:leader="none"/>
        </w:tabs>
        <w:spacing w:line="255" w:lineRule="exact" w:before="206" w:after="0"/>
        <w:ind w:left="2787" w:right="0" w:hanging="315"/>
        <w:jc w:val="left"/>
        <w:rPr>
          <w:sz w:val="20"/>
        </w:rPr>
      </w:pPr>
      <w:r>
        <w:rPr>
          <w:color w:val="231F20"/>
          <w:sz w:val="20"/>
        </w:rPr>
        <w:t>Enter</w:t>
      </w:r>
      <w:r>
        <w:rPr>
          <w:color w:val="231F20"/>
          <w:spacing w:val="11"/>
          <w:sz w:val="20"/>
        </w:rPr>
        <w:t> </w:t>
      </w:r>
      <w:r>
        <w:rPr>
          <w:color w:val="231F20"/>
          <w:sz w:val="20"/>
        </w:rPr>
        <w:t>an</w:t>
      </w:r>
      <w:r>
        <w:rPr>
          <w:color w:val="231F20"/>
          <w:spacing w:val="12"/>
          <w:sz w:val="20"/>
        </w:rPr>
        <w:t> </w:t>
      </w:r>
      <w:r>
        <w:rPr>
          <w:rFonts w:ascii="Book Antiqua"/>
          <w:b/>
          <w:color w:val="231F20"/>
          <w:sz w:val="20"/>
        </w:rPr>
        <w:t>Argument</w:t>
      </w:r>
      <w:r>
        <w:rPr>
          <w:color w:val="231F20"/>
          <w:sz w:val="20"/>
        </w:rPr>
        <w:t>,</w:t>
      </w:r>
      <w:r>
        <w:rPr>
          <w:color w:val="231F20"/>
          <w:spacing w:val="11"/>
          <w:sz w:val="20"/>
        </w:rPr>
        <w:t> </w:t>
      </w:r>
      <w:r>
        <w:rPr>
          <w:color w:val="231F20"/>
          <w:sz w:val="20"/>
        </w:rPr>
        <w:t>if</w:t>
      </w:r>
      <w:r>
        <w:rPr>
          <w:color w:val="231F20"/>
          <w:spacing w:val="12"/>
          <w:sz w:val="20"/>
        </w:rPr>
        <w:t> </w:t>
      </w:r>
      <w:r>
        <w:rPr>
          <w:color w:val="231F20"/>
          <w:sz w:val="20"/>
        </w:rPr>
        <w:t>applicable,</w:t>
      </w:r>
      <w:r>
        <w:rPr>
          <w:color w:val="231F20"/>
          <w:spacing w:val="12"/>
          <w:sz w:val="20"/>
        </w:rPr>
        <w:t> </w:t>
      </w:r>
      <w:r>
        <w:rPr>
          <w:color w:val="231F20"/>
          <w:sz w:val="20"/>
        </w:rPr>
        <w:t>and</w:t>
      </w:r>
      <w:r>
        <w:rPr>
          <w:color w:val="231F20"/>
          <w:spacing w:val="11"/>
          <w:sz w:val="20"/>
        </w:rPr>
        <w:t> </w:t>
      </w:r>
      <w:r>
        <w:rPr>
          <w:color w:val="231F20"/>
          <w:sz w:val="20"/>
        </w:rPr>
        <w:t>click</w:t>
      </w:r>
      <w:r>
        <w:rPr>
          <w:color w:val="231F20"/>
          <w:spacing w:val="12"/>
          <w:sz w:val="20"/>
        </w:rPr>
        <w:t> </w:t>
      </w:r>
      <w:r>
        <w:rPr>
          <w:rFonts w:ascii="Book Antiqua"/>
          <w:b/>
          <w:color w:val="231F20"/>
          <w:sz w:val="20"/>
        </w:rPr>
        <w:t>Apply</w:t>
      </w:r>
      <w:r>
        <w:rPr>
          <w:rFonts w:ascii="Book Antiqua"/>
          <w:b/>
          <w:color w:val="231F20"/>
          <w:spacing w:val="11"/>
          <w:sz w:val="20"/>
        </w:rPr>
        <w:t> </w:t>
      </w:r>
      <w:r>
        <w:rPr>
          <w:color w:val="231F20"/>
          <w:sz w:val="20"/>
        </w:rPr>
        <w:t>to</w:t>
      </w:r>
      <w:r>
        <w:rPr>
          <w:color w:val="231F20"/>
          <w:spacing w:val="12"/>
          <w:sz w:val="20"/>
        </w:rPr>
        <w:t> </w:t>
      </w:r>
      <w:r>
        <w:rPr>
          <w:color w:val="231F20"/>
          <w:sz w:val="20"/>
        </w:rPr>
        <w:t>see</w:t>
      </w:r>
      <w:r>
        <w:rPr>
          <w:color w:val="231F20"/>
          <w:spacing w:val="12"/>
          <w:sz w:val="20"/>
        </w:rPr>
        <w:t> </w:t>
      </w:r>
      <w:r>
        <w:rPr>
          <w:color w:val="231F20"/>
          <w:sz w:val="20"/>
        </w:rPr>
        <w:t>the</w:t>
      </w:r>
      <w:r>
        <w:rPr>
          <w:color w:val="231F20"/>
          <w:spacing w:val="11"/>
          <w:sz w:val="20"/>
        </w:rPr>
        <w:t> </w:t>
      </w:r>
      <w:r>
        <w:rPr>
          <w:color w:val="231F20"/>
          <w:sz w:val="20"/>
        </w:rPr>
        <w:t>baseline</w:t>
      </w:r>
      <w:r>
        <w:rPr>
          <w:color w:val="231F20"/>
          <w:spacing w:val="12"/>
          <w:sz w:val="20"/>
        </w:rPr>
        <w:t> </w:t>
      </w:r>
      <w:r>
        <w:rPr>
          <w:color w:val="231F20"/>
          <w:sz w:val="20"/>
        </w:rPr>
        <w:t>in</w:t>
      </w:r>
      <w:r>
        <w:rPr>
          <w:color w:val="231F20"/>
          <w:spacing w:val="11"/>
          <w:sz w:val="20"/>
        </w:rPr>
        <w:t> </w:t>
      </w:r>
      <w:r>
        <w:rPr>
          <w:color w:val="231F20"/>
          <w:spacing w:val="-5"/>
          <w:sz w:val="20"/>
        </w:rPr>
        <w:t>the</w:t>
      </w:r>
    </w:p>
    <w:p>
      <w:pPr>
        <w:spacing w:line="255" w:lineRule="exact" w:before="0"/>
        <w:ind w:left="2788" w:right="0" w:firstLine="0"/>
        <w:jc w:val="left"/>
        <w:rPr>
          <w:sz w:val="20"/>
        </w:rPr>
      </w:pPr>
      <w:r>
        <w:rPr>
          <w:rFonts w:ascii="Book Antiqua"/>
          <w:b/>
          <w:color w:val="231F20"/>
          <w:sz w:val="20"/>
        </w:rPr>
        <w:t>Result</w:t>
      </w:r>
      <w:r>
        <w:rPr>
          <w:rFonts w:ascii="Book Antiqua"/>
          <w:b/>
          <w:color w:val="231F20"/>
          <w:spacing w:val="12"/>
          <w:sz w:val="20"/>
        </w:rPr>
        <w:t> </w:t>
      </w:r>
      <w:r>
        <w:rPr>
          <w:color w:val="231F20"/>
          <w:sz w:val="20"/>
        </w:rPr>
        <w:t>cell</w:t>
      </w:r>
      <w:r>
        <w:rPr>
          <w:color w:val="231F20"/>
          <w:spacing w:val="13"/>
          <w:sz w:val="20"/>
        </w:rPr>
        <w:t> </w:t>
      </w:r>
      <w:r>
        <w:rPr>
          <w:color w:val="231F20"/>
          <w:sz w:val="20"/>
        </w:rPr>
        <w:t>and</w:t>
      </w:r>
      <w:r>
        <w:rPr>
          <w:color w:val="231F20"/>
          <w:spacing w:val="12"/>
          <w:sz w:val="20"/>
        </w:rPr>
        <w:t> </w:t>
      </w:r>
      <w:r>
        <w:rPr>
          <w:color w:val="231F20"/>
          <w:sz w:val="20"/>
        </w:rPr>
        <w:t>in</w:t>
      </w:r>
      <w:r>
        <w:rPr>
          <w:color w:val="231F20"/>
          <w:spacing w:val="13"/>
          <w:sz w:val="20"/>
        </w:rPr>
        <w:t> </w:t>
      </w:r>
      <w:r>
        <w:rPr>
          <w:color w:val="231F20"/>
          <w:sz w:val="20"/>
        </w:rPr>
        <w:t>the</w:t>
      </w:r>
      <w:r>
        <w:rPr>
          <w:color w:val="231F20"/>
          <w:spacing w:val="13"/>
          <w:sz w:val="20"/>
        </w:rPr>
        <w:t> </w:t>
      </w:r>
      <w:r>
        <w:rPr>
          <w:color w:val="231F20"/>
          <w:spacing w:val="-2"/>
          <w:sz w:val="20"/>
        </w:rPr>
        <w:t>chart.</w:t>
      </w:r>
    </w:p>
    <w:p>
      <w:pPr>
        <w:pStyle w:val="ListParagraph"/>
        <w:numPr>
          <w:ilvl w:val="0"/>
          <w:numId w:val="56"/>
        </w:numPr>
        <w:tabs>
          <w:tab w:pos="2788" w:val="left" w:leader="none"/>
        </w:tabs>
        <w:spacing w:line="213" w:lineRule="auto" w:before="53" w:after="0"/>
        <w:ind w:left="2788" w:right="801" w:hanging="316"/>
        <w:jc w:val="left"/>
        <w:rPr>
          <w:sz w:val="20"/>
        </w:rPr>
      </w:pPr>
      <w:r>
        <w:rPr>
          <w:color w:val="231F20"/>
          <w:sz w:val="20"/>
        </w:rPr>
        <w:t>Try out different calculates by selecting other functions, selecting </w:t>
      </w:r>
      <w:r>
        <w:rPr>
          <w:color w:val="231F20"/>
          <w:sz w:val="20"/>
        </w:rPr>
        <w:t>another attribute from the </w:t>
      </w:r>
      <w:r>
        <w:rPr>
          <w:color w:val="231F20"/>
          <w:spacing w:val="16"/>
          <w:position w:val="-1"/>
          <w:sz w:val="20"/>
        </w:rPr>
        <w:drawing>
          <wp:inline distT="0" distB="0" distL="0" distR="0">
            <wp:extent cx="101600" cy="101600"/>
            <wp:effectExtent l="0" t="0" r="0" b="0"/>
            <wp:docPr id="1275" name="Image 1275"/>
            <wp:cNvGraphicFramePr>
              <a:graphicFrameLocks/>
            </wp:cNvGraphicFramePr>
            <a:graphic>
              <a:graphicData uri="http://schemas.openxmlformats.org/drawingml/2006/picture">
                <pic:pic>
                  <pic:nvPicPr>
                    <pic:cNvPr id="1275" name="Image 1275"/>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list, or selecting a different time span.</w:t>
      </w:r>
    </w:p>
    <w:p>
      <w:pPr>
        <w:pStyle w:val="ListParagraph"/>
        <w:numPr>
          <w:ilvl w:val="0"/>
          <w:numId w:val="56"/>
        </w:numPr>
        <w:tabs>
          <w:tab w:pos="2787" w:val="left" w:leader="none"/>
        </w:tabs>
        <w:spacing w:line="240" w:lineRule="auto" w:before="35" w:after="0"/>
        <w:ind w:left="2787" w:right="0" w:hanging="315"/>
        <w:jc w:val="left"/>
        <w:rPr>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2"/>
          <w:sz w:val="20"/>
        </w:rPr>
        <w:t> </w:t>
      </w:r>
      <w:r>
        <w:rPr>
          <w:color w:val="231F20"/>
          <w:sz w:val="20"/>
        </w:rPr>
        <w:t>close</w:t>
      </w:r>
      <w:r>
        <w:rPr>
          <w:color w:val="231F20"/>
          <w:spacing w:val="12"/>
          <w:sz w:val="20"/>
        </w:rPr>
        <w:t> </w:t>
      </w:r>
      <w:r>
        <w:rPr>
          <w:color w:val="231F20"/>
          <w:sz w:val="20"/>
        </w:rPr>
        <w:t>the</w:t>
      </w:r>
      <w:r>
        <w:rPr>
          <w:color w:val="231F20"/>
          <w:spacing w:val="12"/>
          <w:sz w:val="20"/>
        </w:rPr>
        <w:t> </w:t>
      </w:r>
      <w:r>
        <w:rPr>
          <w:color w:val="231F20"/>
          <w:sz w:val="20"/>
        </w:rPr>
        <w:t>dialog</w:t>
      </w:r>
      <w:r>
        <w:rPr>
          <w:color w:val="231F20"/>
          <w:spacing w:val="12"/>
          <w:sz w:val="20"/>
        </w:rPr>
        <w:t> </w:t>
      </w:r>
      <w:r>
        <w:rPr>
          <w:color w:val="231F20"/>
          <w:sz w:val="20"/>
        </w:rPr>
        <w:t>box,</w:t>
      </w:r>
      <w:r>
        <w:rPr>
          <w:color w:val="231F20"/>
          <w:spacing w:val="13"/>
          <w:sz w:val="20"/>
        </w:rPr>
        <w:t> </w:t>
      </w:r>
      <w:r>
        <w:rPr>
          <w:color w:val="231F20"/>
          <w:sz w:val="20"/>
        </w:rPr>
        <w:t>and</w:t>
      </w:r>
      <w:r>
        <w:rPr>
          <w:color w:val="231F20"/>
          <w:spacing w:val="12"/>
          <w:sz w:val="20"/>
        </w:rPr>
        <w:t> </w:t>
      </w:r>
      <w:r>
        <w:rPr>
          <w:color w:val="231F20"/>
          <w:sz w:val="20"/>
        </w:rPr>
        <w:t>perform</w:t>
      </w:r>
      <w:r>
        <w:rPr>
          <w:color w:val="231F20"/>
          <w:spacing w:val="12"/>
          <w:sz w:val="20"/>
        </w:rPr>
        <w:t> </w:t>
      </w:r>
      <w:r>
        <w:rPr>
          <w:color w:val="231F20"/>
          <w:sz w:val="20"/>
        </w:rPr>
        <w:t>any</w:t>
      </w:r>
      <w:r>
        <w:rPr>
          <w:color w:val="231F20"/>
          <w:spacing w:val="12"/>
          <w:sz w:val="20"/>
        </w:rPr>
        <w:t> </w:t>
      </w:r>
      <w:r>
        <w:rPr>
          <w:color w:val="231F20"/>
          <w:sz w:val="20"/>
        </w:rPr>
        <w:t>of</w:t>
      </w:r>
      <w:r>
        <w:rPr>
          <w:color w:val="231F20"/>
          <w:spacing w:val="12"/>
          <w:sz w:val="20"/>
        </w:rPr>
        <w:t> </w:t>
      </w:r>
      <w:r>
        <w:rPr>
          <w:color w:val="231F20"/>
          <w:sz w:val="20"/>
        </w:rPr>
        <w:t>these</w:t>
      </w:r>
      <w:r>
        <w:rPr>
          <w:color w:val="231F20"/>
          <w:spacing w:val="12"/>
          <w:sz w:val="20"/>
        </w:rPr>
        <w:t> </w:t>
      </w:r>
      <w:r>
        <w:rPr>
          <w:color w:val="231F20"/>
          <w:spacing w:val="-2"/>
          <w:sz w:val="20"/>
        </w:rPr>
        <w:t>actions:</w:t>
      </w:r>
    </w:p>
    <w:p>
      <w:pPr>
        <w:pStyle w:val="BodyText"/>
        <w:spacing w:line="213" w:lineRule="auto" w:before="53"/>
        <w:ind w:left="3004" w:right="545" w:hanging="216"/>
      </w:pPr>
      <w:r>
        <w:rPr>
          <w:rFonts w:ascii="Futura MdCn BT"/>
          <w:color w:val="231F20"/>
        </w:rPr>
        <w:t>v</w:t>
      </w:r>
      <w:r>
        <w:rPr>
          <w:rFonts w:ascii="Futura MdCn BT"/>
          <w:color w:val="231F20"/>
          <w:spacing w:val="80"/>
        </w:rPr>
        <w:t> </w:t>
      </w:r>
      <w:r>
        <w:rPr>
          <w:color w:val="231F20"/>
        </w:rPr>
        <w:t>Move the mouse pointer over a baseline to highlight it; move the </w:t>
      </w:r>
      <w:r>
        <w:rPr>
          <w:color w:val="231F20"/>
        </w:rPr>
        <w:t>mouse</w:t>
      </w:r>
      <w:r>
        <w:rPr>
          <w:color w:val="231F20"/>
        </w:rPr>
        <w:t> pointer over a plot point to see the value, name, and time stamp.</w:t>
      </w:r>
    </w:p>
    <w:p>
      <w:pPr>
        <w:pStyle w:val="BodyText"/>
        <w:spacing w:line="213" w:lineRule="auto" w:before="59"/>
        <w:ind w:left="3004" w:right="493" w:hanging="216"/>
      </w:pPr>
      <w:r>
        <w:rPr>
          <w:rFonts w:ascii="Futura MdCn BT"/>
          <w:color w:val="231F20"/>
        </w:rPr>
        <w:t>v</w:t>
      </w:r>
      <w:r>
        <w:rPr>
          <w:rFonts w:ascii="Futura MdCn BT"/>
          <w:color w:val="231F20"/>
          <w:spacing w:val="80"/>
        </w:rPr>
        <w:t> </w:t>
      </w:r>
      <w:r>
        <w:rPr>
          <w:color w:val="231F20"/>
        </w:rPr>
        <w:t>Click and drag a smaller time range to zoom in, then press Esc to zoom out,</w:t>
      </w:r>
      <w:r>
        <w:rPr>
          <w:color w:val="231F20"/>
          <w:spacing w:val="80"/>
        </w:rPr>
        <w:t> </w:t>
      </w:r>
      <w:r>
        <w:rPr>
          <w:color w:val="231F20"/>
        </w:rPr>
        <w:t>once for each time you zoomed.</w:t>
      </w:r>
    </w:p>
    <w:p>
      <w:pPr>
        <w:pStyle w:val="BodyText"/>
        <w:spacing w:line="213" w:lineRule="auto" w:before="58"/>
        <w:ind w:left="3004" w:right="379" w:hanging="216"/>
      </w:pPr>
      <w:r>
        <w:rPr>
          <w:rFonts w:ascii="Futura MdCn BT"/>
          <w:color w:val="231F20"/>
        </w:rPr>
        <w:t>v</w:t>
      </w:r>
      <w:r>
        <w:rPr>
          <w:rFonts w:ascii="Futura MdCn BT"/>
          <w:color w:val="231F20"/>
          <w:spacing w:val="80"/>
        </w:rPr>
        <w:t> </w:t>
      </w:r>
      <w:r>
        <w:rPr>
          <w:color w:val="231F20"/>
        </w:rPr>
        <w:t>Right-click a data value that falls outside normal statistical baseline and </w:t>
      </w:r>
      <w:r>
        <w:rPr>
          <w:color w:val="231F20"/>
        </w:rPr>
        <w:t>click</w:t>
      </w:r>
      <w:r>
        <w:rPr>
          <w:color w:val="231F20"/>
          <w:spacing w:val="80"/>
        </w:rPr>
        <w:t> </w:t>
      </w:r>
      <w:r>
        <w:rPr>
          <w:color w:val="231F20"/>
          <w:position w:val="-1"/>
        </w:rPr>
        <w:drawing>
          <wp:inline distT="0" distB="0" distL="0" distR="0">
            <wp:extent cx="88900" cy="95250"/>
            <wp:effectExtent l="0" t="0" r="0" b="0"/>
            <wp:docPr id="1276" name="Image 1276"/>
            <wp:cNvGraphicFramePr>
              <a:graphicFrameLocks/>
            </wp:cNvGraphicFramePr>
            <a:graphic>
              <a:graphicData uri="http://schemas.openxmlformats.org/drawingml/2006/picture">
                <pic:pic>
                  <pic:nvPicPr>
                    <pic:cNvPr id="1276" name="Image 1276"/>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position w:val="-1"/>
        </w:rPr>
      </w:r>
      <w:r>
        <w:rPr>
          <w:rFonts w:ascii="Times New Roman"/>
          <w:color w:val="231F20"/>
        </w:rPr>
        <w:t> </w:t>
      </w:r>
      <w:r>
        <w:rPr>
          <w:rFonts w:ascii="Book Antiqua"/>
          <w:b/>
          <w:color w:val="231F20"/>
        </w:rPr>
        <w:t>Model Situation </w:t>
      </w:r>
      <w:r>
        <w:rPr>
          <w:color w:val="231F20"/>
        </w:rPr>
        <w:t>to open the Model Situation chart and populate the attributes table with the values from the data point. After performing additional analysis with the modeling tool, you can create a new situation</w:t>
      </w:r>
      <w:r>
        <w:rPr>
          <w:color w:val="231F20"/>
          <w:spacing w:val="40"/>
        </w:rPr>
        <w:t> </w:t>
      </w:r>
      <w:r>
        <w:rPr>
          <w:color w:val="231F20"/>
        </w:rPr>
        <w:t>with the calculated values and edit them as needed.</w:t>
      </w:r>
    </w:p>
    <w:p>
      <w:pPr>
        <w:pStyle w:val="Heading5"/>
        <w:spacing w:before="217"/>
      </w:pPr>
      <w:r>
        <w:rPr>
          <w:color w:val="231F20"/>
          <w:spacing w:val="-2"/>
        </w:rPr>
        <w:t>Example</w:t>
      </w:r>
    </w:p>
    <w:p>
      <w:pPr>
        <w:pStyle w:val="BodyText"/>
        <w:spacing w:line="213" w:lineRule="auto" w:before="245"/>
        <w:ind w:left="2472" w:right="253"/>
      </w:pPr>
      <w:r>
        <w:rPr>
          <w:color w:val="231F20"/>
        </w:rPr>
        <w:t>Assume you have a chart of </w:t>
      </w:r>
      <w:r>
        <w:rPr>
          <w:color w:val="231F20"/>
          <w:spacing w:val="15"/>
        </w:rPr>
        <w:drawing>
          <wp:inline distT="0" distB="0" distL="0" distR="0">
            <wp:extent cx="88900" cy="76200"/>
            <wp:effectExtent l="0" t="0" r="0" b="0"/>
            <wp:docPr id="1277" name="Image 1277"/>
            <wp:cNvGraphicFramePr>
              <a:graphicFrameLocks/>
            </wp:cNvGraphicFramePr>
            <a:graphic>
              <a:graphicData uri="http://schemas.openxmlformats.org/drawingml/2006/picture">
                <pic:pic>
                  <pic:nvPicPr>
                    <pic:cNvPr id="1277" name="Image 1277"/>
                    <pic:cNvPicPr/>
                  </pic:nvPicPr>
                  <pic:blipFill>
                    <a:blip r:embed="rId236" cstate="print"/>
                    <a:stretch>
                      <a:fillRect/>
                    </a:stretch>
                  </pic:blipFill>
                  <pic:spPr>
                    <a:xfrm>
                      <a:off x="0" y="0"/>
                      <a:ext cx="88900" cy="76200"/>
                    </a:xfrm>
                    <a:prstGeom prst="rect">
                      <a:avLst/>
                    </a:prstGeom>
                  </pic:spPr>
                </pic:pic>
              </a:graphicData>
            </a:graphic>
          </wp:inline>
        </w:drawing>
      </w:r>
      <w:r>
        <w:rPr>
          <w:color w:val="231F20"/>
          <w:spacing w:val="15"/>
        </w:rPr>
      </w:r>
      <w:r>
        <w:rPr>
          <w:rFonts w:ascii="Times New Roman"/>
          <w:color w:val="231F20"/>
          <w:spacing w:val="-15"/>
        </w:rPr>
        <w:t> </w:t>
      </w:r>
      <w:r>
        <w:rPr>
          <w:color w:val="231F20"/>
        </w:rPr>
        <w:t>Disk Writes Per Second, but you want to see range over the past 2 hours. In the Add Statistical Baseline window, you select the </w:t>
      </w:r>
      <w:r>
        <w:rPr>
          <w:rFonts w:ascii="Book Antiqua"/>
          <w:b/>
          <w:color w:val="231F20"/>
        </w:rPr>
        <w:t>Last </w:t>
      </w:r>
      <w:r>
        <w:rPr>
          <w:color w:val="231F20"/>
        </w:rPr>
        <w:t>2 hours for the </w:t>
      </w:r>
      <w:r>
        <w:rPr>
          <w:rFonts w:ascii="Book Antiqua"/>
          <w:b/>
          <w:color w:val="231F20"/>
        </w:rPr>
        <w:t>Time Span</w:t>
      </w:r>
      <w:r>
        <w:rPr>
          <w:color w:val="231F20"/>
        </w:rPr>
        <w:t>, and then select the </w:t>
      </w:r>
      <w:r>
        <w:rPr>
          <w:color w:val="231F20"/>
          <w:spacing w:val="15"/>
        </w:rPr>
        <w:drawing>
          <wp:inline distT="0" distB="0" distL="0" distR="0">
            <wp:extent cx="82550" cy="82550"/>
            <wp:effectExtent l="0" t="0" r="0" b="0"/>
            <wp:docPr id="1278" name="Image 1278"/>
            <wp:cNvGraphicFramePr>
              <a:graphicFrameLocks/>
            </wp:cNvGraphicFramePr>
            <a:graphic>
              <a:graphicData uri="http://schemas.openxmlformats.org/drawingml/2006/picture">
                <pic:pic>
                  <pic:nvPicPr>
                    <pic:cNvPr id="1278" name="Image 127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
        </w:rPr>
        <w:t> </w:t>
      </w:r>
      <w:r>
        <w:rPr>
          <w:color w:val="231F20"/>
        </w:rPr>
        <w:t>PERCENTILE function with an argument</w:t>
      </w:r>
      <w:r>
        <w:rPr>
          <w:color w:val="231F20"/>
          <w:spacing w:val="15"/>
        </w:rPr>
        <w:t> </w:t>
      </w:r>
      <w:r>
        <w:rPr>
          <w:color w:val="231F20"/>
        </w:rPr>
        <w:t>of</w:t>
      </w:r>
      <w:r>
        <w:rPr>
          <w:color w:val="231F20"/>
          <w:spacing w:val="15"/>
        </w:rPr>
        <w:t> </w:t>
      </w:r>
      <w:r>
        <w:rPr>
          <w:color w:val="231F20"/>
        </w:rPr>
        <w:t>95</w:t>
      </w:r>
      <w:r>
        <w:rPr>
          <w:color w:val="231F20"/>
          <w:spacing w:val="15"/>
        </w:rPr>
        <w:t> </w:t>
      </w:r>
      <w:r>
        <w:rPr>
          <w:color w:val="231F20"/>
        </w:rPr>
        <w:t>to</w:t>
      </w:r>
      <w:r>
        <w:rPr>
          <w:color w:val="231F20"/>
          <w:spacing w:val="15"/>
        </w:rPr>
        <w:t> </w:t>
      </w:r>
      <w:r>
        <w:rPr>
          <w:color w:val="231F20"/>
        </w:rPr>
        <w:t>get</w:t>
      </w:r>
      <w:r>
        <w:rPr>
          <w:color w:val="231F20"/>
          <w:spacing w:val="15"/>
        </w:rPr>
        <w:t> </w:t>
      </w:r>
      <w:r>
        <w:rPr>
          <w:color w:val="231F20"/>
        </w:rPr>
        <w:t>a</w:t>
      </w:r>
      <w:r>
        <w:rPr>
          <w:color w:val="231F20"/>
          <w:spacing w:val="15"/>
        </w:rPr>
        <w:t> </w:t>
      </w:r>
      <w:r>
        <w:rPr>
          <w:color w:val="231F20"/>
        </w:rPr>
        <w:t>baseline</w:t>
      </w:r>
      <w:r>
        <w:rPr>
          <w:color w:val="231F20"/>
          <w:spacing w:val="15"/>
        </w:rPr>
        <w:t> </w:t>
      </w:r>
      <w:r>
        <w:rPr>
          <w:color w:val="231F20"/>
        </w:rPr>
        <w:t>of</w:t>
      </w:r>
      <w:r>
        <w:rPr>
          <w:color w:val="231F20"/>
          <w:spacing w:val="15"/>
        </w:rPr>
        <w:t> </w:t>
      </w:r>
      <w:r>
        <w:rPr>
          <w:color w:val="231F20"/>
        </w:rPr>
        <w:t>95%</w:t>
      </w:r>
      <w:r>
        <w:rPr>
          <w:color w:val="231F20"/>
          <w:spacing w:val="15"/>
        </w:rPr>
        <w:t> </w:t>
      </w:r>
      <w:r>
        <w:rPr>
          <w:color w:val="231F20"/>
        </w:rPr>
        <w:t>over</w:t>
      </w:r>
      <w:r>
        <w:rPr>
          <w:color w:val="231F20"/>
          <w:spacing w:val="15"/>
        </w:rPr>
        <w:t> </w:t>
      </w:r>
      <w:r>
        <w:rPr>
          <w:color w:val="231F20"/>
        </w:rPr>
        <w:t>the</w:t>
      </w:r>
      <w:r>
        <w:rPr>
          <w:color w:val="231F20"/>
          <w:spacing w:val="15"/>
        </w:rPr>
        <w:t> </w:t>
      </w:r>
      <w:r>
        <w:rPr>
          <w:color w:val="231F20"/>
        </w:rPr>
        <w:t>past</w:t>
      </w:r>
      <w:r>
        <w:rPr>
          <w:color w:val="231F20"/>
          <w:spacing w:val="15"/>
        </w:rPr>
        <w:t> </w:t>
      </w:r>
      <w:r>
        <w:rPr>
          <w:color w:val="231F20"/>
        </w:rPr>
        <w:t>2</w:t>
      </w:r>
      <w:r>
        <w:rPr>
          <w:color w:val="231F20"/>
          <w:spacing w:val="15"/>
        </w:rPr>
        <w:t> </w:t>
      </w:r>
      <w:r>
        <w:rPr>
          <w:color w:val="231F20"/>
        </w:rPr>
        <w:t>hours. After</w:t>
      </w:r>
      <w:r>
        <w:rPr>
          <w:color w:val="231F20"/>
          <w:spacing w:val="15"/>
        </w:rPr>
        <w:t> </w:t>
      </w:r>
      <w:r>
        <w:rPr>
          <w:color w:val="231F20"/>
        </w:rPr>
        <w:t>you</w:t>
      </w:r>
      <w:r>
        <w:rPr>
          <w:color w:val="231F20"/>
          <w:spacing w:val="15"/>
        </w:rPr>
        <w:t> </w:t>
      </w:r>
      <w:r>
        <w:rPr>
          <w:color w:val="231F20"/>
        </w:rPr>
        <w:t>click</w:t>
      </w:r>
      <w:r>
        <w:rPr>
          <w:color w:val="231F20"/>
          <w:spacing w:val="15"/>
        </w:rPr>
        <w:t> </w:t>
      </w:r>
      <w:r>
        <w:rPr>
          <w:rFonts w:ascii="Book Antiqua"/>
          <w:b/>
          <w:color w:val="231F20"/>
        </w:rPr>
        <w:t>OK</w:t>
      </w:r>
      <w:r>
        <w:rPr>
          <w:color w:val="231F20"/>
        </w:rPr>
        <w:t>, a </w:t>
      </w:r>
      <w:r>
        <w:rPr>
          <w:color w:val="231F20"/>
          <w:spacing w:val="16"/>
        </w:rPr>
        <w:drawing>
          <wp:inline distT="0" distB="0" distL="0" distR="0">
            <wp:extent cx="88900" cy="76200"/>
            <wp:effectExtent l="0" t="0" r="0" b="0"/>
            <wp:docPr id="1279" name="Image 1279"/>
            <wp:cNvGraphicFramePr>
              <a:graphicFrameLocks/>
            </wp:cNvGraphicFramePr>
            <a:graphic>
              <a:graphicData uri="http://schemas.openxmlformats.org/drawingml/2006/picture">
                <pic:pic>
                  <pic:nvPicPr>
                    <pic:cNvPr id="1279" name="Image 1279"/>
                    <pic:cNvPicPr/>
                  </pic:nvPicPr>
                  <pic:blipFill>
                    <a:blip r:embed="rId238" cstate="print"/>
                    <a:stretch>
                      <a:fillRect/>
                    </a:stretch>
                  </pic:blipFill>
                  <pic:spPr>
                    <a:xfrm>
                      <a:off x="0" y="0"/>
                      <a:ext cx="88900" cy="76200"/>
                    </a:xfrm>
                    <a:prstGeom prst="rect">
                      <a:avLst/>
                    </a:prstGeom>
                  </pic:spPr>
                </pic:pic>
              </a:graphicData>
            </a:graphic>
          </wp:inline>
        </w:drawing>
      </w:r>
      <w:r>
        <w:rPr>
          <w:color w:val="231F20"/>
          <w:spacing w:val="16"/>
        </w:rPr>
      </w:r>
      <w:r>
        <w:rPr>
          <w:rFonts w:ascii="Times New Roman"/>
          <w:color w:val="231F20"/>
          <w:spacing w:val="-16"/>
        </w:rPr>
        <w:t> </w:t>
      </w:r>
      <w:r>
        <w:rPr>
          <w:color w:val="231F20"/>
        </w:rPr>
        <w:t>baseline is drawn, below which 95% of the data points fall. You can easily see</w:t>
      </w:r>
      <w:r>
        <w:rPr>
          <w:color w:val="231F20"/>
          <w:spacing w:val="40"/>
        </w:rPr>
        <w:t> </w:t>
      </w:r>
      <w:r>
        <w:rPr>
          <w:color w:val="231F20"/>
        </w:rPr>
        <w:t>the frequency of spikes (7 in the example) within the time frame.</w:t>
      </w:r>
    </w:p>
    <w:p>
      <w:pPr>
        <w:spacing w:after="0" w:line="213" w:lineRule="auto"/>
        <w:sectPr>
          <w:pgSz w:w="12240" w:h="15840"/>
          <w:pgMar w:header="0" w:footer="736" w:top="1160" w:bottom="920" w:left="1000" w:right="1060"/>
        </w:sectPr>
      </w:pPr>
    </w:p>
    <w:p>
      <w:pPr>
        <w:pStyle w:val="BodyText"/>
        <w:ind w:left="2232"/>
      </w:pPr>
      <w:bookmarkStart w:name="_bookmark98" w:id="210"/>
      <w:bookmarkEnd w:id="210"/>
      <w:r>
        <w:rPr/>
      </w:r>
      <w:r>
        <w:rPr/>
        <w:drawing>
          <wp:inline distT="0" distB="0" distL="0" distR="0">
            <wp:extent cx="4512975" cy="2048541"/>
            <wp:effectExtent l="0" t="0" r="0" b="0"/>
            <wp:docPr id="1280" name="Image 1280"/>
            <wp:cNvGraphicFramePr>
              <a:graphicFrameLocks/>
            </wp:cNvGraphicFramePr>
            <a:graphic>
              <a:graphicData uri="http://schemas.openxmlformats.org/drawingml/2006/picture">
                <pic:pic>
                  <pic:nvPicPr>
                    <pic:cNvPr id="1280" name="Image 1280"/>
                    <pic:cNvPicPr/>
                  </pic:nvPicPr>
                  <pic:blipFill>
                    <a:blip r:embed="rId245" cstate="print"/>
                    <a:stretch>
                      <a:fillRect/>
                    </a:stretch>
                  </pic:blipFill>
                  <pic:spPr>
                    <a:xfrm>
                      <a:off x="0" y="0"/>
                      <a:ext cx="4512975" cy="2048541"/>
                    </a:xfrm>
                    <a:prstGeom prst="rect">
                      <a:avLst/>
                    </a:prstGeom>
                  </pic:spPr>
                </pic:pic>
              </a:graphicData>
            </a:graphic>
          </wp:inline>
        </w:drawing>
      </w:r>
      <w:r>
        <w:rPr/>
      </w:r>
    </w:p>
    <w:p>
      <w:pPr>
        <w:pStyle w:val="Heading5"/>
        <w:spacing w:before="290"/>
        <w:ind w:left="2232"/>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BodyText"/>
        <w:spacing w:line="213" w:lineRule="auto" w:before="245"/>
        <w:ind w:left="2232" w:right="636"/>
      </w:pPr>
      <w:r>
        <w:rPr>
          <w:color w:val="231F20"/>
        </w:rPr>
        <w:t>After you have adjusted the baseline calculations and the time span to best</w:t>
      </w:r>
      <w:r>
        <w:rPr>
          <w:color w:val="231F20"/>
          <w:spacing w:val="80"/>
        </w:rPr>
        <w:t> </w:t>
      </w:r>
      <w:r>
        <w:rPr>
          <w:color w:val="231F20"/>
        </w:rPr>
        <w:t>illustrate the metric you are watching, you can save the workspace, and then </w:t>
      </w:r>
      <w:r>
        <w:rPr>
          <w:color w:val="231F20"/>
        </w:rPr>
        <w:t>open</w:t>
      </w:r>
      <w:r>
        <w:rPr>
          <w:color w:val="231F20"/>
          <w:spacing w:val="80"/>
        </w:rPr>
        <w:t> </w:t>
      </w:r>
      <w:r>
        <w:rPr>
          <w:color w:val="231F20"/>
        </w:rPr>
        <w:t>it whenever you want to observe the same baselines with current and recent data </w:t>
      </w:r>
      <w:r>
        <w:rPr>
          <w:color w:val="231F20"/>
          <w:spacing w:val="-2"/>
        </w:rPr>
        <w:t>samples.</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jc w:val="both"/>
      </w:pPr>
      <w:hyperlink w:history="true" w:anchor="_bookmark212">
        <w:r>
          <w:rPr>
            <w:color w:val="231F20"/>
          </w:rPr>
          <w:t>“Modeling</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with</w:t>
        </w:r>
        <w:r>
          <w:rPr>
            <w:color w:val="231F20"/>
            <w:spacing w:val="11"/>
          </w:rPr>
          <w:t> </w:t>
        </w:r>
        <w:r>
          <w:rPr>
            <w:color w:val="231F20"/>
          </w:rPr>
          <w:t>view</w:t>
        </w:r>
        <w:r>
          <w:rPr>
            <w:color w:val="231F20"/>
            <w:spacing w:val="12"/>
          </w:rPr>
          <w:t> </w:t>
        </w:r>
        <w:r>
          <w:rPr>
            <w:color w:val="231F20"/>
          </w:rPr>
          <w:t>data”</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286</w:t>
        </w:r>
      </w:hyperlink>
    </w:p>
    <w:p>
      <w:pPr>
        <w:pStyle w:val="BodyText"/>
        <w:spacing w:line="213" w:lineRule="auto" w:before="8"/>
        <w:ind w:left="2232" w:right="648"/>
        <w:jc w:val="both"/>
      </w:pPr>
      <w:r>
        <w:rPr>
          <w:color w:val="231F20"/>
        </w:rPr>
        <w:t>Use the values from the current chart or table to model threshold conditions and then use the results in a new situation. Historical views are particularly valuable for researching thresholds.</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pPr>
      <w:hyperlink w:history="true" w:anchor="_bookmark82">
        <w:r>
          <w:rPr>
            <w:color w:val="231F20"/>
          </w:rPr>
          <w:t>“Plot</w:t>
        </w:r>
        <w:r>
          <w:rPr>
            <w:color w:val="231F20"/>
            <w:spacing w:val="11"/>
          </w:rPr>
          <w:t> </w:t>
        </w:r>
        <w:r>
          <w:rPr>
            <w:color w:val="231F20"/>
          </w:rPr>
          <w:t>chart”</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108</w:t>
        </w:r>
      </w:hyperlink>
    </w:p>
    <w:p>
      <w:pPr>
        <w:pStyle w:val="BodyText"/>
        <w:spacing w:line="213" w:lineRule="auto" w:before="8"/>
        <w:ind w:left="2232" w:right="763"/>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BodyText"/>
        <w:spacing w:line="255" w:lineRule="exact" w:before="35"/>
        <w:ind w:left="2232"/>
      </w:pPr>
      <w:hyperlink w:history="true" w:anchor="_bookmark83">
        <w:r>
          <w:rPr>
            <w:color w:val="231F20"/>
          </w:rPr>
          <w:t>“Area</w:t>
        </w:r>
        <w:r>
          <w:rPr>
            <w:color w:val="231F20"/>
            <w:spacing w:val="10"/>
          </w:rPr>
          <w:t> </w:t>
        </w:r>
        <w:r>
          <w:rPr>
            <w:color w:val="231F20"/>
          </w:rPr>
          <w:t>chart”</w:t>
        </w:r>
        <w:r>
          <w:rPr>
            <w:color w:val="231F20"/>
            <w:spacing w:val="11"/>
          </w:rPr>
          <w:t> </w:t>
        </w:r>
        <w:r>
          <w:rPr>
            <w:color w:val="231F20"/>
          </w:rPr>
          <w:t>on</w:t>
        </w:r>
        <w:r>
          <w:rPr>
            <w:color w:val="231F20"/>
            <w:spacing w:val="11"/>
          </w:rPr>
          <w:t> </w:t>
        </w:r>
        <w:r>
          <w:rPr>
            <w:color w:val="231F20"/>
          </w:rPr>
          <w:t>page</w:t>
        </w:r>
        <w:r>
          <w:rPr>
            <w:color w:val="231F20"/>
            <w:spacing w:val="10"/>
          </w:rPr>
          <w:t> </w:t>
        </w:r>
        <w:r>
          <w:rPr>
            <w:color w:val="231F20"/>
            <w:spacing w:val="-5"/>
          </w:rPr>
          <w:t>110</w:t>
        </w:r>
      </w:hyperlink>
    </w:p>
    <w:p>
      <w:pPr>
        <w:pStyle w:val="BodyText"/>
        <w:spacing w:line="213" w:lineRule="auto" w:before="8"/>
        <w:ind w:left="2232" w:right="493"/>
      </w:pPr>
      <w:r>
        <w:rPr>
          <w:color w:val="231F20"/>
        </w:rPr>
        <w:t>Use the area chart for showing trends over time among related attributes. The area chart</w:t>
      </w:r>
      <w:r>
        <w:rPr>
          <w:color w:val="231F20"/>
          <w:spacing w:val="24"/>
        </w:rPr>
        <w:t> </w:t>
      </w:r>
      <w:r>
        <w:rPr>
          <w:color w:val="231F20"/>
        </w:rPr>
        <w:t>is</w:t>
      </w:r>
      <w:r>
        <w:rPr>
          <w:color w:val="231F20"/>
          <w:spacing w:val="24"/>
        </w:rPr>
        <w:t> </w:t>
      </w:r>
      <w:r>
        <w:rPr>
          <w:color w:val="231F20"/>
        </w:rPr>
        <w:t>like</w:t>
      </w:r>
      <w:r>
        <w:rPr>
          <w:color w:val="231F20"/>
          <w:spacing w:val="24"/>
        </w:rPr>
        <w:t> </w:t>
      </w:r>
      <w:r>
        <w:rPr>
          <w:color w:val="231F20"/>
        </w:rPr>
        <w:t>the</w:t>
      </w:r>
      <w:r>
        <w:rPr>
          <w:color w:val="231F20"/>
          <w:spacing w:val="24"/>
        </w:rPr>
        <w:t> </w:t>
      </w:r>
      <w:r>
        <w:rPr>
          <w:color w:val="231F20"/>
        </w:rPr>
        <w:t>plot</w:t>
      </w:r>
      <w:r>
        <w:rPr>
          <w:color w:val="231F20"/>
          <w:spacing w:val="24"/>
        </w:rPr>
        <w:t> </w:t>
      </w:r>
      <w:r>
        <w:rPr>
          <w:color w:val="231F20"/>
        </w:rPr>
        <w:t>chart</w:t>
      </w:r>
      <w:r>
        <w:rPr>
          <w:color w:val="231F20"/>
          <w:spacing w:val="24"/>
        </w:rPr>
        <w:t> </w:t>
      </w:r>
      <w:r>
        <w:rPr>
          <w:color w:val="231F20"/>
        </w:rPr>
        <w:t>except</w:t>
      </w:r>
      <w:r>
        <w:rPr>
          <w:color w:val="231F20"/>
          <w:spacing w:val="24"/>
        </w:rPr>
        <w:t> </w:t>
      </w:r>
      <w:r>
        <w:rPr>
          <w:color w:val="231F20"/>
        </w:rPr>
        <w:t>that</w:t>
      </w:r>
      <w:r>
        <w:rPr>
          <w:color w:val="231F20"/>
          <w:spacing w:val="24"/>
        </w:rPr>
        <w:t> </w:t>
      </w:r>
      <w:r>
        <w:rPr>
          <w:color w:val="231F20"/>
        </w:rPr>
        <w:t>the</w:t>
      </w:r>
      <w:r>
        <w:rPr>
          <w:color w:val="231F20"/>
          <w:spacing w:val="24"/>
        </w:rPr>
        <w:t> </w:t>
      </w:r>
      <w:r>
        <w:rPr>
          <w:color w:val="231F20"/>
        </w:rPr>
        <w:t>area</w:t>
      </w:r>
      <w:r>
        <w:rPr>
          <w:color w:val="231F20"/>
          <w:spacing w:val="24"/>
        </w:rPr>
        <w:t> </w:t>
      </w:r>
      <w:r>
        <w:rPr>
          <w:color w:val="231F20"/>
        </w:rPr>
        <w:t>below</w:t>
      </w:r>
      <w:r>
        <w:rPr>
          <w:color w:val="231F20"/>
          <w:spacing w:val="24"/>
        </w:rPr>
        <w:t> </w:t>
      </w:r>
      <w:r>
        <w:rPr>
          <w:color w:val="231F20"/>
        </w:rPr>
        <w:t>the</w:t>
      </w:r>
      <w:r>
        <w:rPr>
          <w:color w:val="231F20"/>
          <w:spacing w:val="24"/>
        </w:rPr>
        <w:t> </w:t>
      </w:r>
      <w:r>
        <w:rPr>
          <w:color w:val="231F20"/>
        </w:rPr>
        <w:t>plotted</w:t>
      </w:r>
      <w:r>
        <w:rPr>
          <w:color w:val="231F20"/>
          <w:spacing w:val="24"/>
        </w:rPr>
        <w:t> </w:t>
      </w:r>
      <w:r>
        <w:rPr>
          <w:color w:val="231F20"/>
        </w:rPr>
        <w:t>line</w:t>
      </w:r>
      <w:r>
        <w:rPr>
          <w:color w:val="231F20"/>
          <w:spacing w:val="24"/>
        </w:rPr>
        <w:t> </w:t>
      </w:r>
      <w:r>
        <w:rPr>
          <w:color w:val="231F20"/>
        </w:rPr>
        <w:t>is</w:t>
      </w:r>
      <w:r>
        <w:rPr>
          <w:color w:val="231F20"/>
          <w:spacing w:val="24"/>
        </w:rPr>
        <w:t> </w:t>
      </w:r>
      <w:r>
        <w:rPr>
          <w:color w:val="231F20"/>
        </w:rPr>
        <w:t>filled</w:t>
      </w:r>
      <w:r>
        <w:rPr>
          <w:color w:val="231F20"/>
          <w:spacing w:val="24"/>
        </w:rPr>
        <w:t> </w:t>
      </w:r>
      <w:r>
        <w:rPr>
          <w:color w:val="231F20"/>
        </w:rPr>
        <w:t>in with color to indicate volume.</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information</w:t>
      </w:r>
      <w:r>
        <w:rPr>
          <w:rFonts w:ascii="Palatino Linotype"/>
          <w:b w:val="0"/>
          <w:color w:val="231F20"/>
          <w:spacing w:val="-2"/>
        </w:rPr>
        <w:t>:</w:t>
      </w:r>
    </w:p>
    <w:p>
      <w:pPr>
        <w:pStyle w:val="BodyText"/>
        <w:spacing w:line="276" w:lineRule="exact" w:before="89"/>
        <w:ind w:left="2247"/>
      </w:pPr>
      <w:r>
        <w:rPr>
          <w:position w:val="1"/>
        </w:rPr>
        <w:drawing>
          <wp:inline distT="0" distB="0" distL="0" distR="0">
            <wp:extent cx="177796" cy="139686"/>
            <wp:effectExtent l="0" t="0" r="0" b="0"/>
            <wp:docPr id="1281" name="Image 1281"/>
            <wp:cNvGraphicFramePr>
              <a:graphicFrameLocks/>
            </wp:cNvGraphicFramePr>
            <a:graphic>
              <a:graphicData uri="http://schemas.openxmlformats.org/drawingml/2006/picture">
                <pic:pic>
                  <pic:nvPicPr>
                    <pic:cNvPr id="1281" name="Image 1281"/>
                    <pic:cNvPicPr/>
                  </pic:nvPicPr>
                  <pic:blipFill>
                    <a:blip r:embed="rId234" cstate="print"/>
                    <a:stretch>
                      <a:fillRect/>
                    </a:stretch>
                  </pic:blipFill>
                  <pic:spPr>
                    <a:xfrm>
                      <a:off x="0" y="0"/>
                      <a:ext cx="177796" cy="139686"/>
                    </a:xfrm>
                    <a:prstGeom prst="rect">
                      <a:avLst/>
                    </a:prstGeom>
                  </pic:spPr>
                </pic:pic>
              </a:graphicData>
            </a:graphic>
          </wp:inline>
        </w:drawing>
      </w:r>
      <w:r>
        <w:rPr>
          <w:position w:val="1"/>
        </w:rPr>
      </w:r>
      <w:r>
        <w:rPr>
          <w:rFonts w:ascii="Times New Roman"/>
          <w:spacing w:val="-1"/>
        </w:rPr>
        <w:t> </w:t>
      </w:r>
      <w:hyperlink r:id="rId246">
        <w:r>
          <w:rPr>
            <w:color w:val="231F20"/>
          </w:rPr>
          <w:t>Tivoli</w:t>
        </w:r>
        <w:r>
          <w:rPr>
            <w:color w:val="231F20"/>
            <w:spacing w:val="10"/>
          </w:rPr>
          <w:t> </w:t>
        </w:r>
        <w:r>
          <w:rPr>
            <w:color w:val="231F20"/>
          </w:rPr>
          <w:t>Monitoring</w:t>
        </w:r>
        <w:r>
          <w:rPr>
            <w:color w:val="231F20"/>
            <w:spacing w:val="10"/>
          </w:rPr>
          <w:t> </w:t>
        </w:r>
        <w:r>
          <w:rPr>
            <w:color w:val="231F20"/>
          </w:rPr>
          <w:t>Media</w:t>
        </w:r>
        <w:r>
          <w:rPr>
            <w:color w:val="231F20"/>
            <w:spacing w:val="10"/>
          </w:rPr>
          <w:t> </w:t>
        </w:r>
        <w:r>
          <w:rPr>
            <w:color w:val="231F20"/>
          </w:rPr>
          <w:t>Gallery</w:t>
        </w:r>
        <w:r>
          <w:rPr>
            <w:color w:val="231F20"/>
            <w:spacing w:val="10"/>
          </w:rPr>
          <w:t> </w:t>
        </w:r>
        <w:r>
          <w:rPr>
            <w:color w:val="231F20"/>
          </w:rPr>
          <w:t>video</w:t>
        </w:r>
        <w:r>
          <w:rPr>
            <w:color w:val="231F20"/>
            <w:spacing w:val="10"/>
          </w:rPr>
          <w:t> </w:t>
        </w:r>
        <w:r>
          <w:rPr>
            <w:color w:val="231F20"/>
          </w:rPr>
          <w:t>on</w:t>
        </w:r>
        <w:r>
          <w:rPr>
            <w:color w:val="231F20"/>
            <w:spacing w:val="10"/>
          </w:rPr>
          <w:t> </w:t>
        </w:r>
        <w:r>
          <w:rPr>
            <w:color w:val="231F20"/>
          </w:rPr>
          <w:t>statistical</w:t>
        </w:r>
        <w:r>
          <w:rPr>
            <w:color w:val="231F20"/>
            <w:spacing w:val="10"/>
          </w:rPr>
          <w:t> </w:t>
        </w:r>
        <w:r>
          <w:rPr>
            <w:color w:val="231F20"/>
          </w:rPr>
          <w:t>baselines</w:t>
        </w:r>
      </w:hyperlink>
    </w:p>
    <w:p>
      <w:pPr>
        <w:pStyle w:val="BodyText"/>
        <w:spacing w:line="213" w:lineRule="auto" w:before="7"/>
        <w:ind w:left="2232" w:right="734"/>
        <w:jc w:val="both"/>
      </w:pPr>
      <w:r>
        <w:rPr>
          <w:color w:val="231F20"/>
        </w:rPr>
        <w:t>This video demonstrates how you can determine when a metric is outside of </w:t>
      </w:r>
      <w:r>
        <w:rPr>
          <w:color w:val="231F20"/>
        </w:rPr>
        <w:t>its </w:t>
      </w:r>
      <w:bookmarkStart w:name="Adding historical baselines to a chart" w:id="211"/>
      <w:bookmarkEnd w:id="211"/>
      <w:r>
        <w:rPr>
          <w:color w:val="231F20"/>
        </w:rPr>
        <w:t>normal</w:t>
      </w:r>
      <w:r>
        <w:rPr>
          <w:color w:val="231F20"/>
        </w:rPr>
        <w:t> range for a system.</w:t>
      </w:r>
    </w:p>
    <w:p>
      <w:pPr>
        <w:pStyle w:val="Heading4"/>
        <w:spacing w:line="273" w:lineRule="exact" w:before="165"/>
      </w:pPr>
      <w:r>
        <w:rPr>
          <w:color w:val="231F20"/>
        </w:rPr>
        <w:t>Adding</w:t>
      </w:r>
      <w:r>
        <w:rPr>
          <w:color w:val="231F20"/>
          <w:spacing w:val="6"/>
        </w:rPr>
        <w:t> </w:t>
      </w:r>
      <w:r>
        <w:rPr>
          <w:color w:val="231F20"/>
        </w:rPr>
        <w:t>historical</w:t>
      </w:r>
      <w:r>
        <w:rPr>
          <w:color w:val="231F20"/>
          <w:spacing w:val="6"/>
        </w:rPr>
        <w:t> </w:t>
      </w:r>
      <w:r>
        <w:rPr>
          <w:color w:val="231F20"/>
        </w:rPr>
        <w:t>baselines</w:t>
      </w:r>
      <w:r>
        <w:rPr>
          <w:color w:val="231F20"/>
          <w:spacing w:val="6"/>
        </w:rPr>
        <w:t> </w:t>
      </w:r>
      <w:r>
        <w:rPr>
          <w:color w:val="231F20"/>
        </w:rPr>
        <w:t>to</w:t>
      </w:r>
      <w:r>
        <w:rPr>
          <w:color w:val="231F20"/>
          <w:spacing w:val="7"/>
        </w:rPr>
        <w:t> </w:t>
      </w:r>
      <w:r>
        <w:rPr>
          <w:color w:val="231F20"/>
        </w:rPr>
        <w:t>a</w:t>
      </w:r>
      <w:r>
        <w:rPr>
          <w:color w:val="231F20"/>
          <w:spacing w:val="6"/>
        </w:rPr>
        <w:t> </w:t>
      </w:r>
      <w:r>
        <w:rPr>
          <w:color w:val="231F20"/>
          <w:spacing w:val="-2"/>
        </w:rPr>
        <w:t>chart</w:t>
      </w:r>
    </w:p>
    <w:p>
      <w:pPr>
        <w:pStyle w:val="BodyText"/>
        <w:spacing w:line="213" w:lineRule="auto" w:before="20"/>
        <w:ind w:left="2232" w:right="545"/>
      </w:pPr>
      <w:r>
        <w:rPr>
          <w:color w:val="231F20"/>
        </w:rPr>
        <w:t>Use the values from the current plot chart to identify daily trends in threshold conditions. You can then better anticipate problems by comparing current values with expected future values or with past values, and overlaying the chart with situation comparison criteria, one plotted line for each day specified.</w:t>
      </w:r>
    </w:p>
    <w:p>
      <w:pPr>
        <w:pStyle w:val="Heading5"/>
        <w:ind w:left="2232"/>
      </w:pPr>
      <w:r>
        <w:rPr>
          <w:color w:val="231F20"/>
        </w:rPr>
        <w:t>Before</w:t>
      </w:r>
      <w:r>
        <w:rPr>
          <w:color w:val="231F20"/>
          <w:spacing w:val="5"/>
        </w:rPr>
        <w:t> </w:t>
      </w:r>
      <w:r>
        <w:rPr>
          <w:color w:val="231F20"/>
        </w:rPr>
        <w:t>you</w:t>
      </w:r>
      <w:r>
        <w:rPr>
          <w:color w:val="231F20"/>
          <w:spacing w:val="6"/>
        </w:rPr>
        <w:t> </w:t>
      </w:r>
      <w:r>
        <w:rPr>
          <w:color w:val="231F20"/>
          <w:spacing w:val="-2"/>
        </w:rPr>
        <w:t>begin</w:t>
      </w:r>
    </w:p>
    <w:p>
      <w:pPr>
        <w:spacing w:line="213" w:lineRule="auto" w:before="245"/>
        <w:ind w:left="2232" w:right="763" w:firstLine="0"/>
        <w:jc w:val="left"/>
        <w:rPr>
          <w:sz w:val="20"/>
        </w:rPr>
      </w:pPr>
      <w:r>
        <w:rPr>
          <w:color w:val="231F20"/>
          <w:sz w:val="20"/>
        </w:rPr>
        <w:t>The </w:t>
      </w:r>
      <w:r>
        <w:rPr>
          <w:color w:val="231F20"/>
          <w:spacing w:val="16"/>
          <w:position w:val="-1"/>
          <w:sz w:val="20"/>
        </w:rPr>
        <w:drawing>
          <wp:inline distT="0" distB="0" distL="0" distR="0">
            <wp:extent cx="101600" cy="95250"/>
            <wp:effectExtent l="0" t="0" r="0" b="0"/>
            <wp:docPr id="1282" name="Image 1282"/>
            <wp:cNvGraphicFramePr>
              <a:graphicFrameLocks/>
            </wp:cNvGraphicFramePr>
            <a:graphic>
              <a:graphicData uri="http://schemas.openxmlformats.org/drawingml/2006/picture">
                <pic:pic>
                  <pic:nvPicPr>
                    <pic:cNvPr id="1282" name="Image 1282"/>
                    <pic:cNvPicPr/>
                  </pic:nvPicPr>
                  <pic:blipFill>
                    <a:blip r:embed="rId233"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Add Historical Baseline </w:t>
      </w:r>
      <w:r>
        <w:rPr>
          <w:color w:val="231F20"/>
          <w:sz w:val="20"/>
        </w:rPr>
        <w:t>tool does not appear in the plot chart tool bar if</w:t>
      </w:r>
      <w:r>
        <w:rPr>
          <w:color w:val="231F20"/>
          <w:spacing w:val="40"/>
          <w:sz w:val="20"/>
        </w:rPr>
        <w:t> </w:t>
      </w:r>
      <w:r>
        <w:rPr>
          <w:color w:val="231F20"/>
          <w:sz w:val="20"/>
        </w:rPr>
        <w:t>any of these conditions exists:</w:t>
      </w:r>
    </w:p>
    <w:p>
      <w:pPr>
        <w:pStyle w:val="BodyText"/>
        <w:spacing w:line="213" w:lineRule="auto" w:before="59"/>
        <w:ind w:left="2448" w:right="493" w:hanging="216"/>
      </w:pPr>
      <w:r>
        <w:rPr>
          <w:rFonts w:ascii="Futura MdCn BT"/>
          <w:color w:val="231F20"/>
        </w:rPr>
        <w:t>v</w:t>
      </w:r>
      <w:r>
        <w:rPr>
          <w:rFonts w:ascii="Futura MdCn BT"/>
          <w:color w:val="231F20"/>
          <w:spacing w:val="80"/>
        </w:rPr>
        <w:t> </w:t>
      </w:r>
      <w:r>
        <w:rPr>
          <w:color w:val="231F20"/>
        </w:rPr>
        <w:t>Historical data collection has not been configured for the queried attribute </w:t>
      </w:r>
      <w:r>
        <w:rPr>
          <w:color w:val="231F20"/>
        </w:rPr>
        <w:t>group</w:t>
      </w:r>
      <w:r>
        <w:rPr>
          <w:color w:val="231F20"/>
        </w:rPr>
        <w:t> and started on the managed system (or managed systems) assigned to the Navigator item.</w:t>
      </w:r>
    </w:p>
    <w:p>
      <w:pPr>
        <w:spacing w:after="0" w:line="213" w:lineRule="auto"/>
        <w:sectPr>
          <w:pgSz w:w="12240" w:h="15840"/>
          <w:pgMar w:header="0" w:footer="736" w:top="1460" w:bottom="920" w:left="1000" w:right="1060"/>
        </w:sectPr>
      </w:pPr>
    </w:p>
    <w:p>
      <w:pPr>
        <w:spacing w:line="257" w:lineRule="exact" w:before="62"/>
        <w:ind w:left="2472"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A</w:t>
      </w:r>
      <w:r>
        <w:rPr>
          <w:color w:val="231F20"/>
          <w:spacing w:val="1"/>
          <w:sz w:val="20"/>
        </w:rPr>
        <w:t> </w:t>
      </w:r>
      <w:r>
        <w:rPr>
          <w:color w:val="231F20"/>
          <w:sz w:val="20"/>
        </w:rPr>
        <w:t>time</w:t>
      </w:r>
      <w:r>
        <w:rPr>
          <w:color w:val="231F20"/>
          <w:spacing w:val="12"/>
          <w:sz w:val="20"/>
        </w:rPr>
        <w:t> </w:t>
      </w:r>
      <w:r>
        <w:rPr>
          <w:color w:val="231F20"/>
          <w:sz w:val="20"/>
        </w:rPr>
        <w:t>span</w:t>
      </w:r>
      <w:r>
        <w:rPr>
          <w:color w:val="231F20"/>
          <w:spacing w:val="12"/>
          <w:sz w:val="20"/>
        </w:rPr>
        <w:t> </w:t>
      </w:r>
      <w:r>
        <w:rPr>
          <w:color w:val="231F20"/>
          <w:sz w:val="20"/>
        </w:rPr>
        <w:t>was</w:t>
      </w:r>
      <w:r>
        <w:rPr>
          <w:color w:val="231F20"/>
          <w:spacing w:val="12"/>
          <w:sz w:val="20"/>
        </w:rPr>
        <w:t> </w:t>
      </w:r>
      <w:r>
        <w:rPr>
          <w:color w:val="231F20"/>
          <w:sz w:val="20"/>
        </w:rPr>
        <w:t>specified.</w:t>
      </w:r>
      <w:r>
        <w:rPr>
          <w:color w:val="231F20"/>
          <w:spacing w:val="12"/>
          <w:sz w:val="20"/>
        </w:rPr>
        <w:t> </w:t>
      </w:r>
      <w:r>
        <w:rPr>
          <w:color w:val="231F20"/>
          <w:sz w:val="20"/>
        </w:rPr>
        <w:t>Click</w:t>
      </w:r>
      <w:r>
        <w:rPr>
          <w:color w:val="231F20"/>
          <w:spacing w:val="21"/>
          <w:sz w:val="20"/>
        </w:rPr>
        <w:t> </w:t>
      </w:r>
      <w:r>
        <w:rPr>
          <w:color w:val="231F20"/>
          <w:spacing w:val="-25"/>
          <w:position w:val="-1"/>
          <w:sz w:val="20"/>
        </w:rPr>
        <w:drawing>
          <wp:inline distT="0" distB="0" distL="0" distR="0">
            <wp:extent cx="95250" cy="95250"/>
            <wp:effectExtent l="0" t="0" r="0" b="0"/>
            <wp:docPr id="1283" name="Image 1283"/>
            <wp:cNvGraphicFramePr>
              <a:graphicFrameLocks/>
            </wp:cNvGraphicFramePr>
            <a:graphic>
              <a:graphicData uri="http://schemas.openxmlformats.org/drawingml/2006/picture">
                <pic:pic>
                  <pic:nvPicPr>
                    <pic:cNvPr id="1283" name="Image 1283"/>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56"/>
          <w:w w:val="150"/>
          <w:sz w:val="20"/>
        </w:rPr>
        <w:t> </w:t>
      </w:r>
      <w:r>
        <w:rPr>
          <w:rFonts w:ascii="Book Antiqua"/>
          <w:b/>
          <w:color w:val="231F20"/>
          <w:sz w:val="20"/>
        </w:rPr>
        <w:t>Specify</w:t>
      </w:r>
      <w:r>
        <w:rPr>
          <w:rFonts w:ascii="Book Antiqua"/>
          <w:b/>
          <w:color w:val="231F20"/>
          <w:spacing w:val="12"/>
          <w:sz w:val="20"/>
        </w:rPr>
        <w:t> </w:t>
      </w:r>
      <w:r>
        <w:rPr>
          <w:rFonts w:ascii="Book Antiqua"/>
          <w:b/>
          <w:color w:val="231F20"/>
          <w:sz w:val="20"/>
        </w:rPr>
        <w:t>Time</w:t>
      </w:r>
      <w:r>
        <w:rPr>
          <w:rFonts w:ascii="Book Antiqua"/>
          <w:b/>
          <w:color w:val="231F20"/>
          <w:spacing w:val="12"/>
          <w:sz w:val="20"/>
        </w:rPr>
        <w:t> </w:t>
      </w:r>
      <w:r>
        <w:rPr>
          <w:rFonts w:ascii="Book Antiqua"/>
          <w:b/>
          <w:color w:val="231F20"/>
          <w:sz w:val="20"/>
        </w:rPr>
        <w:t>Span</w:t>
      </w:r>
      <w:r>
        <w:rPr>
          <w:rFonts w:ascii="Book Antiqua"/>
          <w:b/>
          <w:color w:val="231F20"/>
          <w:spacing w:val="12"/>
          <w:sz w:val="20"/>
        </w:rPr>
        <w:t> </w:t>
      </w:r>
      <w:r>
        <w:rPr>
          <w:rFonts w:ascii="Book Antiqua"/>
          <w:b/>
          <w:color w:val="231F20"/>
          <w:sz w:val="20"/>
        </w:rPr>
        <w:t>for</w:t>
      </w:r>
      <w:r>
        <w:rPr>
          <w:rFonts w:ascii="Book Antiqua"/>
          <w:b/>
          <w:color w:val="231F20"/>
          <w:spacing w:val="12"/>
          <w:sz w:val="20"/>
        </w:rPr>
        <w:t> </w:t>
      </w:r>
      <w:r>
        <w:rPr>
          <w:rFonts w:ascii="Book Antiqua"/>
          <w:b/>
          <w:color w:val="231F20"/>
          <w:sz w:val="20"/>
        </w:rPr>
        <w:t>Query</w:t>
      </w:r>
      <w:r>
        <w:rPr>
          <w:rFonts w:ascii="Book Antiqua"/>
          <w:b/>
          <w:color w:val="231F20"/>
          <w:spacing w:val="12"/>
          <w:sz w:val="20"/>
        </w:rPr>
        <w:t> </w:t>
      </w:r>
      <w:r>
        <w:rPr>
          <w:color w:val="231F20"/>
          <w:sz w:val="20"/>
        </w:rPr>
        <w:t>and</w:t>
      </w:r>
      <w:r>
        <w:rPr>
          <w:color w:val="231F20"/>
          <w:spacing w:val="12"/>
          <w:sz w:val="20"/>
        </w:rPr>
        <w:t> </w:t>
      </w:r>
      <w:r>
        <w:rPr>
          <w:color w:val="231F20"/>
          <w:sz w:val="20"/>
        </w:rPr>
        <w:t>select</w:t>
      </w:r>
      <w:r>
        <w:rPr>
          <w:color w:val="231F20"/>
          <w:spacing w:val="12"/>
          <w:sz w:val="20"/>
        </w:rPr>
        <w:t> </w:t>
      </w:r>
      <w:r>
        <w:rPr>
          <w:color w:val="231F20"/>
          <w:spacing w:val="-5"/>
          <w:sz w:val="20"/>
        </w:rPr>
        <w:t>the</w:t>
      </w:r>
    </w:p>
    <w:p>
      <w:pPr>
        <w:spacing w:line="257" w:lineRule="exact" w:before="0"/>
        <w:ind w:left="2688" w:right="0" w:firstLine="0"/>
        <w:jc w:val="left"/>
        <w:rPr>
          <w:sz w:val="20"/>
        </w:rPr>
      </w:pPr>
      <w:r>
        <w:rPr/>
        <w:drawing>
          <wp:inline distT="0" distB="0" distL="0" distR="0">
            <wp:extent cx="88900" cy="82550"/>
            <wp:effectExtent l="0" t="0" r="0" b="0"/>
            <wp:docPr id="1284" name="Image 1284"/>
            <wp:cNvGraphicFramePr>
              <a:graphicFrameLocks/>
            </wp:cNvGraphicFramePr>
            <a:graphic>
              <a:graphicData uri="http://schemas.openxmlformats.org/drawingml/2006/picture">
                <pic:pic>
                  <pic:nvPicPr>
                    <pic:cNvPr id="1284" name="Image 1284"/>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76"/>
          <w:sz w:val="20"/>
        </w:rPr>
        <w:t> </w:t>
      </w:r>
      <w:r>
        <w:rPr>
          <w:rFonts w:ascii="Book Antiqua"/>
          <w:b/>
          <w:color w:val="231F20"/>
          <w:sz w:val="20"/>
        </w:rPr>
        <w:t>Real</w:t>
      </w:r>
      <w:r>
        <w:rPr>
          <w:rFonts w:ascii="Book Antiqua"/>
          <w:b/>
          <w:color w:val="231F20"/>
          <w:spacing w:val="22"/>
          <w:sz w:val="20"/>
        </w:rPr>
        <w:t> </w:t>
      </w:r>
      <w:r>
        <w:rPr>
          <w:rFonts w:ascii="Book Antiqua"/>
          <w:b/>
          <w:color w:val="231F20"/>
          <w:sz w:val="20"/>
        </w:rPr>
        <w:t>time</w:t>
      </w:r>
      <w:r>
        <w:rPr>
          <w:rFonts w:ascii="Book Antiqua"/>
          <w:b/>
          <w:color w:val="231F20"/>
          <w:spacing w:val="22"/>
          <w:sz w:val="20"/>
        </w:rPr>
        <w:t> </w:t>
      </w:r>
      <w:r>
        <w:rPr>
          <w:color w:val="231F20"/>
          <w:sz w:val="20"/>
        </w:rPr>
        <w:t>to</w:t>
      </w:r>
      <w:r>
        <w:rPr>
          <w:color w:val="231F20"/>
          <w:spacing w:val="22"/>
          <w:sz w:val="20"/>
        </w:rPr>
        <w:t> </w:t>
      </w:r>
      <w:r>
        <w:rPr>
          <w:color w:val="231F20"/>
          <w:sz w:val="20"/>
        </w:rPr>
        <w:t>remove</w:t>
      </w:r>
      <w:r>
        <w:rPr>
          <w:color w:val="231F20"/>
          <w:spacing w:val="22"/>
          <w:sz w:val="20"/>
        </w:rPr>
        <w:t> </w:t>
      </w:r>
      <w:r>
        <w:rPr>
          <w:color w:val="231F20"/>
          <w:sz w:val="20"/>
        </w:rPr>
        <w:t>the</w:t>
      </w:r>
      <w:r>
        <w:rPr>
          <w:color w:val="231F20"/>
          <w:spacing w:val="22"/>
          <w:sz w:val="20"/>
        </w:rPr>
        <w:t> </w:t>
      </w:r>
      <w:r>
        <w:rPr>
          <w:color w:val="231F20"/>
          <w:sz w:val="20"/>
        </w:rPr>
        <w:t>time</w:t>
      </w:r>
      <w:r>
        <w:rPr>
          <w:color w:val="231F20"/>
          <w:spacing w:val="22"/>
          <w:sz w:val="20"/>
        </w:rPr>
        <w:t> </w:t>
      </w:r>
      <w:r>
        <w:rPr>
          <w:color w:val="231F20"/>
          <w:sz w:val="20"/>
        </w:rPr>
        <w:t>span.</w:t>
      </w:r>
    </w:p>
    <w:p>
      <w:pPr>
        <w:pStyle w:val="BodyText"/>
        <w:spacing w:before="24"/>
        <w:ind w:left="2472"/>
      </w:pPr>
      <w:r>
        <w:rPr>
          <w:rFonts w:ascii="Futura MdCn BT"/>
          <w:color w:val="231F20"/>
        </w:rPr>
        <w:t>v</w:t>
      </w:r>
      <w:r>
        <w:rPr>
          <w:rFonts w:ascii="Futura MdCn BT"/>
          <w:color w:val="231F20"/>
          <w:spacing w:val="32"/>
        </w:rPr>
        <w:t>  </w:t>
      </w:r>
      <w:r>
        <w:rPr>
          <w:color w:val="231F20"/>
        </w:rPr>
        <w:t>Any</w:t>
      </w:r>
      <w:r>
        <w:rPr>
          <w:color w:val="231F20"/>
          <w:spacing w:val="12"/>
        </w:rPr>
        <w:t> </w:t>
      </w:r>
      <w:r>
        <w:rPr>
          <w:color w:val="231F20"/>
        </w:rPr>
        <w:t>of</w:t>
      </w:r>
      <w:r>
        <w:rPr>
          <w:color w:val="231F20"/>
          <w:spacing w:val="13"/>
        </w:rPr>
        <w:t> </w:t>
      </w:r>
      <w:r>
        <w:rPr>
          <w:color w:val="231F20"/>
        </w:rPr>
        <w:t>the</w:t>
      </w:r>
      <w:r>
        <w:rPr>
          <w:color w:val="231F20"/>
          <w:spacing w:val="13"/>
        </w:rPr>
        <w:t> </w:t>
      </w:r>
      <w:r>
        <w:rPr>
          <w:color w:val="231F20"/>
        </w:rPr>
        <w:t>chart</w:t>
      </w:r>
      <w:r>
        <w:rPr>
          <w:color w:val="231F20"/>
          <w:spacing w:val="13"/>
        </w:rPr>
        <w:t> </w:t>
      </w:r>
      <w:r>
        <w:rPr>
          <w:color w:val="231F20"/>
        </w:rPr>
        <w:t>values</w:t>
      </w:r>
      <w:r>
        <w:rPr>
          <w:color w:val="231F20"/>
          <w:spacing w:val="12"/>
        </w:rPr>
        <w:t> </w:t>
      </w:r>
      <w:r>
        <w:rPr>
          <w:color w:val="231F20"/>
        </w:rPr>
        <w:t>are</w:t>
      </w:r>
      <w:r>
        <w:rPr>
          <w:color w:val="231F20"/>
          <w:spacing w:val="13"/>
        </w:rPr>
        <w:t> </w:t>
      </w:r>
      <w:r>
        <w:rPr>
          <w:color w:val="231F20"/>
        </w:rPr>
        <w:t>the</w:t>
      </w:r>
      <w:r>
        <w:rPr>
          <w:color w:val="231F20"/>
          <w:spacing w:val="13"/>
        </w:rPr>
        <w:t> </w:t>
      </w:r>
      <w:r>
        <w:rPr>
          <w:color w:val="231F20"/>
        </w:rPr>
        <w:t>result</w:t>
      </w:r>
      <w:r>
        <w:rPr>
          <w:color w:val="231F20"/>
          <w:spacing w:val="13"/>
        </w:rPr>
        <w:t> </w:t>
      </w:r>
      <w:r>
        <w:rPr>
          <w:color w:val="231F20"/>
        </w:rPr>
        <w:t>of</w:t>
      </w:r>
      <w:r>
        <w:rPr>
          <w:color w:val="231F20"/>
          <w:spacing w:val="12"/>
        </w:rPr>
        <w:t> </w:t>
      </w:r>
      <w:r>
        <w:rPr>
          <w:color w:val="231F20"/>
        </w:rPr>
        <w:t>a</w:t>
      </w:r>
      <w:r>
        <w:rPr>
          <w:color w:val="231F20"/>
          <w:spacing w:val="13"/>
        </w:rPr>
        <w:t> </w:t>
      </w:r>
      <w:r>
        <w:rPr>
          <w:color w:val="231F20"/>
          <w:spacing w:val="-2"/>
        </w:rPr>
        <w:t>calculation.</w:t>
      </w:r>
    </w:p>
    <w:p>
      <w:pPr>
        <w:spacing w:line="211" w:lineRule="auto" w:before="60"/>
        <w:ind w:left="2688" w:right="274" w:hanging="216"/>
        <w:jc w:val="left"/>
        <w:rPr>
          <w:sz w:val="20"/>
        </w:rPr>
      </w:pPr>
      <w:r>
        <w:rPr>
          <w:rFonts w:ascii="Futura MdCn BT"/>
          <w:color w:val="231F20"/>
          <w:sz w:val="20"/>
        </w:rPr>
        <w:t>v</w:t>
      </w:r>
      <w:r>
        <w:rPr>
          <w:rFonts w:ascii="Futura MdCn BT"/>
          <w:color w:val="231F20"/>
          <w:spacing w:val="80"/>
          <w:sz w:val="20"/>
        </w:rPr>
        <w:t> </w:t>
      </w:r>
      <w:r>
        <w:rPr>
          <w:rFonts w:ascii="Futura MdCn BT"/>
          <w:color w:val="231F20"/>
          <w:spacing w:val="-5"/>
          <w:sz w:val="20"/>
        </w:rPr>
        <w:drawing>
          <wp:inline distT="0" distB="0" distL="0" distR="0">
            <wp:extent cx="88900" cy="82550"/>
            <wp:effectExtent l="0" t="0" r="0" b="0"/>
            <wp:docPr id="1285" name="Image 1285"/>
            <wp:cNvGraphicFramePr>
              <a:graphicFrameLocks/>
            </wp:cNvGraphicFramePr>
            <a:graphic>
              <a:graphicData uri="http://schemas.openxmlformats.org/drawingml/2006/picture">
                <pic:pic>
                  <pic:nvPicPr>
                    <pic:cNvPr id="1285" name="Image 1285"/>
                    <pic:cNvPicPr/>
                  </pic:nvPicPr>
                  <pic:blipFill>
                    <a:blip r:embed="rId140" cstate="print"/>
                    <a:stretch>
                      <a:fillRect/>
                    </a:stretch>
                  </pic:blipFill>
                  <pic:spPr>
                    <a:xfrm>
                      <a:off x="0" y="0"/>
                      <a:ext cx="88900" cy="82550"/>
                    </a:xfrm>
                    <a:prstGeom prst="rect">
                      <a:avLst/>
                    </a:prstGeom>
                  </pic:spPr>
                </pic:pic>
              </a:graphicData>
            </a:graphic>
          </wp:inline>
        </w:drawing>
      </w:r>
      <w:r>
        <w:rPr>
          <w:rFonts w:ascii="Futura MdCn BT"/>
          <w:color w:val="231F20"/>
          <w:spacing w:val="-5"/>
          <w:sz w:val="20"/>
        </w:rPr>
      </w:r>
      <w:r>
        <w:rPr>
          <w:rFonts w:ascii="Times New Roman"/>
          <w:color w:val="231F20"/>
          <w:spacing w:val="40"/>
          <w:sz w:val="20"/>
        </w:rPr>
        <w:t> </w:t>
      </w:r>
      <w:r>
        <w:rPr>
          <w:rFonts w:ascii="Book Antiqua"/>
          <w:b/>
          <w:color w:val="231F20"/>
          <w:sz w:val="20"/>
        </w:rPr>
        <w:t>Attribute(s) across multiple rows </w:t>
      </w:r>
      <w:r>
        <w:rPr>
          <w:color w:val="231F20"/>
          <w:sz w:val="20"/>
        </w:rPr>
        <w:t>is selected. To see if it is, click</w:t>
      </w:r>
      <w:r>
        <w:rPr>
          <w:color w:val="231F20"/>
          <w:spacing w:val="40"/>
          <w:sz w:val="20"/>
        </w:rPr>
        <w:t> </w:t>
      </w:r>
      <w:r>
        <w:rPr>
          <w:color w:val="231F20"/>
          <w:spacing w:val="5"/>
          <w:position w:val="1"/>
          <w:sz w:val="20"/>
        </w:rPr>
        <w:drawing>
          <wp:inline distT="0" distB="0" distL="0" distR="0">
            <wp:extent cx="57150" cy="57150"/>
            <wp:effectExtent l="0" t="0" r="0" b="0"/>
            <wp:docPr id="1286" name="Image 1286"/>
            <wp:cNvGraphicFramePr>
              <a:graphicFrameLocks/>
            </wp:cNvGraphicFramePr>
            <a:graphic>
              <a:graphicData uri="http://schemas.openxmlformats.org/drawingml/2006/picture">
                <pic:pic>
                  <pic:nvPicPr>
                    <pic:cNvPr id="1286" name="Image 1286"/>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5"/>
          <w:sz w:val="20"/>
        </w:rPr>
        <w:t> </w:t>
      </w:r>
      <w:r>
        <w:rPr>
          <w:rFonts w:ascii="Book Antiqua"/>
          <w:b/>
          <w:color w:val="231F20"/>
          <w:sz w:val="20"/>
        </w:rPr>
        <w:t>Edit</w:t>
      </w:r>
      <w:r>
        <w:rPr>
          <w:rFonts w:ascii="Book Antiqua"/>
          <w:b/>
          <w:color w:val="231F20"/>
          <w:spacing w:val="40"/>
          <w:sz w:val="20"/>
        </w:rPr>
        <w:t> </w:t>
      </w:r>
      <w:r>
        <w:rPr>
          <w:rFonts w:ascii="Book Antiqua"/>
          <w:b/>
          <w:color w:val="231F20"/>
          <w:sz w:val="20"/>
        </w:rPr>
        <w:t>Properties </w:t>
      </w:r>
      <w:r>
        <w:rPr>
          <w:color w:val="231F20"/>
          <w:sz w:val="20"/>
        </w:rPr>
        <w:t>in the view's toolbar, </w:t>
      </w:r>
      <w:r>
        <w:rPr>
          <w:color w:val="231F20"/>
          <w:spacing w:val="-25"/>
          <w:position w:val="-1"/>
          <w:sz w:val="20"/>
        </w:rPr>
        <w:drawing>
          <wp:inline distT="0" distB="0" distL="0" distR="0">
            <wp:extent cx="95250" cy="95250"/>
            <wp:effectExtent l="0" t="0" r="0" b="0"/>
            <wp:docPr id="1287" name="Image 1287"/>
            <wp:cNvGraphicFramePr>
              <a:graphicFrameLocks/>
            </wp:cNvGraphicFramePr>
            <a:graphic>
              <a:graphicData uri="http://schemas.openxmlformats.org/drawingml/2006/picture">
                <pic:pic>
                  <pic:nvPicPr>
                    <pic:cNvPr id="1287" name="Image 1287"/>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7"/>
          <w:sz w:val="20"/>
        </w:rPr>
        <w:t> </w:t>
      </w:r>
      <w:r>
        <w:rPr>
          <w:rFonts w:ascii="Book Antiqua"/>
          <w:b/>
          <w:color w:val="231F20"/>
          <w:sz w:val="20"/>
        </w:rPr>
        <w:t>Style </w:t>
      </w:r>
      <w:r>
        <w:rPr>
          <w:color w:val="231F20"/>
          <w:sz w:val="20"/>
        </w:rPr>
        <w:t>tab, then the plot area of the </w:t>
      </w:r>
      <w:r>
        <w:rPr>
          <w:color w:val="231F20"/>
          <w:sz w:val="20"/>
        </w:rPr>
        <w:t>thumbnail</w:t>
      </w:r>
      <w:r>
        <w:rPr>
          <w:color w:val="231F20"/>
          <w:sz w:val="20"/>
        </w:rPr>
        <w:t> </w:t>
      </w:r>
      <w:r>
        <w:rPr>
          <w:color w:val="231F20"/>
          <w:spacing w:val="-2"/>
          <w:sz w:val="20"/>
        </w:rPr>
        <w:t>graphic.</w:t>
      </w:r>
    </w:p>
    <w:p>
      <w:pPr>
        <w:pStyle w:val="BodyText"/>
        <w:spacing w:line="213" w:lineRule="auto" w:before="118"/>
        <w:ind w:left="2472" w:right="545"/>
      </w:pPr>
      <w:r>
        <w:rPr>
          <w:color w:val="231F20"/>
        </w:rPr>
        <w:t>For historical data beyond the past 24 hours, you must have a Tivoli Data Warehouse configured and the warehouse proxy agent that transfers data to it.</w:t>
      </w:r>
    </w:p>
    <w:p>
      <w:pPr>
        <w:pStyle w:val="Heading5"/>
        <w:spacing w:before="219"/>
      </w:pPr>
      <w:r>
        <w:rPr>
          <w:color w:val="231F20"/>
          <w:spacing w:val="-2"/>
        </w:rPr>
        <w:t>Procedure</w:t>
      </w:r>
    </w:p>
    <w:p>
      <w:pPr>
        <w:pStyle w:val="ListParagraph"/>
        <w:numPr>
          <w:ilvl w:val="0"/>
          <w:numId w:val="57"/>
        </w:numPr>
        <w:tabs>
          <w:tab w:pos="2788" w:val="left" w:leader="none"/>
        </w:tabs>
        <w:spacing w:line="213" w:lineRule="auto" w:before="66" w:after="0"/>
        <w:ind w:left="2788" w:right="507"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288" name="Image 1288"/>
            <wp:cNvGraphicFramePr>
              <a:graphicFrameLocks/>
            </wp:cNvGraphicFramePr>
            <a:graphic>
              <a:graphicData uri="http://schemas.openxmlformats.org/drawingml/2006/picture">
                <pic:pic>
                  <pic:nvPicPr>
                    <pic:cNvPr id="1288" name="Image 1288"/>
                    <pic:cNvPicPr/>
                  </pic:nvPicPr>
                  <pic:blipFill>
                    <a:blip r:embed="rId233"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Add Historical Baseline </w:t>
      </w:r>
      <w:r>
        <w:rPr>
          <w:color w:val="231F20"/>
          <w:sz w:val="20"/>
        </w:rPr>
        <w:t>in a plot chart. The tool does not display if historical data collection has not be configured for the attribute group (indicated by the presence of the</w:t>
      </w:r>
      <w:r>
        <w:rPr>
          <w:color w:val="231F20"/>
          <w:spacing w:val="38"/>
          <w:sz w:val="20"/>
        </w:rPr>
        <w:t> </w:t>
      </w:r>
      <w:r>
        <w:rPr>
          <w:color w:val="231F20"/>
          <w:spacing w:val="-25"/>
          <w:position w:val="-1"/>
          <w:sz w:val="20"/>
        </w:rPr>
        <w:drawing>
          <wp:inline distT="0" distB="0" distL="0" distR="0">
            <wp:extent cx="95250" cy="95250"/>
            <wp:effectExtent l="0" t="0" r="0" b="0"/>
            <wp:docPr id="1289" name="Image 1289"/>
            <wp:cNvGraphicFramePr>
              <a:graphicFrameLocks/>
            </wp:cNvGraphicFramePr>
            <a:graphic>
              <a:graphicData uri="http://schemas.openxmlformats.org/drawingml/2006/picture">
                <pic:pic>
                  <pic:nvPicPr>
                    <pic:cNvPr id="1289" name="Image 1289"/>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Time Span </w:t>
      </w:r>
      <w:r>
        <w:rPr>
          <w:color w:val="231F20"/>
          <w:sz w:val="20"/>
        </w:rPr>
        <w:t>view tool).</w:t>
      </w:r>
    </w:p>
    <w:p>
      <w:pPr>
        <w:pStyle w:val="ListParagraph"/>
        <w:numPr>
          <w:ilvl w:val="0"/>
          <w:numId w:val="57"/>
        </w:numPr>
        <w:tabs>
          <w:tab w:pos="2788" w:val="left" w:leader="none"/>
        </w:tabs>
        <w:spacing w:line="213" w:lineRule="auto" w:before="58" w:after="0"/>
        <w:ind w:left="2788" w:right="433" w:hanging="316"/>
        <w:jc w:val="left"/>
        <w:rPr>
          <w:sz w:val="20"/>
        </w:rPr>
      </w:pPr>
      <w:r>
        <w:rPr>
          <w:color w:val="231F20"/>
          <w:sz w:val="20"/>
        </w:rPr>
        <w:t>To plot data samples taken yesterday, the same day last week, or a particular day or past days, select the check box for that time range.</w:t>
      </w:r>
    </w:p>
    <w:p>
      <w:pPr>
        <w:pStyle w:val="Heading6"/>
        <w:spacing w:line="227" w:lineRule="exact" w:before="122"/>
        <w:ind w:left="2788"/>
      </w:pPr>
      <w:r>
        <w:rPr>
          <w:b w:val="0"/>
        </w:rPr>
        <w:drawing>
          <wp:inline distT="0" distB="0" distL="0" distR="0">
            <wp:extent cx="82550" cy="82550"/>
            <wp:effectExtent l="0" t="0" r="0" b="0"/>
            <wp:docPr id="1290" name="Image 1290"/>
            <wp:cNvGraphicFramePr>
              <a:graphicFrameLocks/>
            </wp:cNvGraphicFramePr>
            <a:graphic>
              <a:graphicData uri="http://schemas.openxmlformats.org/drawingml/2006/picture">
                <pic:pic>
                  <pic:nvPicPr>
                    <pic:cNvPr id="1290" name="Image 1290"/>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Show</w:t>
      </w:r>
      <w:r>
        <w:rPr>
          <w:color w:val="231F20"/>
          <w:spacing w:val="17"/>
        </w:rPr>
        <w:t> </w:t>
      </w:r>
      <w:r>
        <w:rPr>
          <w:color w:val="231F20"/>
        </w:rPr>
        <w:t>yesterday's</w:t>
      </w:r>
      <w:r>
        <w:rPr>
          <w:color w:val="231F20"/>
          <w:spacing w:val="17"/>
        </w:rPr>
        <w:t> </w:t>
      </w:r>
      <w:r>
        <w:rPr>
          <w:color w:val="231F20"/>
        </w:rPr>
        <w:t>data</w:t>
      </w:r>
    </w:p>
    <w:p>
      <w:pPr>
        <w:pStyle w:val="BodyText"/>
        <w:spacing w:line="213" w:lineRule="auto" w:before="9"/>
        <w:ind w:left="3506" w:right="258"/>
      </w:pPr>
      <w:r>
        <w:rPr>
          <w:color w:val="231F20"/>
        </w:rPr>
        <w:t>Draws a plot line of data samples from the previous 24 hours. For example, if it is May 30 at 8:45 AM, the samplings will be from May 29,</w:t>
      </w:r>
      <w:r>
        <w:rPr>
          <w:color w:val="231F20"/>
          <w:spacing w:val="40"/>
        </w:rPr>
        <w:t> </w:t>
      </w:r>
      <w:r>
        <w:rPr>
          <w:color w:val="231F20"/>
        </w:rPr>
        <w:t>starting at 8:45 AM. The legend indicates the line color for each plotted attribute value from </w:t>
      </w:r>
      <w:r>
        <w:rPr>
          <w:rFonts w:ascii="Book Antiqua"/>
          <w:b/>
          <w:color w:val="231F20"/>
        </w:rPr>
        <w:t>Yesterday</w:t>
      </w:r>
      <w:r>
        <w:rPr>
          <w:color w:val="231F20"/>
        </w:rPr>
        <w:t>. As new samples are added, the oldest</w:t>
      </w:r>
      <w:r>
        <w:rPr>
          <w:color w:val="231F20"/>
          <w:spacing w:val="80"/>
        </w:rPr>
        <w:t> </w:t>
      </w:r>
      <w:r>
        <w:rPr>
          <w:color w:val="231F20"/>
        </w:rPr>
        <w:t>are removed from the chart.</w:t>
      </w:r>
    </w:p>
    <w:p>
      <w:pPr>
        <w:pStyle w:val="Heading6"/>
        <w:spacing w:line="227" w:lineRule="exact" w:before="120"/>
        <w:ind w:left="2788"/>
      </w:pPr>
      <w:r>
        <w:rPr>
          <w:b w:val="0"/>
        </w:rPr>
        <w:drawing>
          <wp:inline distT="0" distB="0" distL="0" distR="0">
            <wp:extent cx="82550" cy="82550"/>
            <wp:effectExtent l="0" t="0" r="0" b="0"/>
            <wp:docPr id="1291" name="Image 1291"/>
            <wp:cNvGraphicFramePr>
              <a:graphicFrameLocks/>
            </wp:cNvGraphicFramePr>
            <a:graphic>
              <a:graphicData uri="http://schemas.openxmlformats.org/drawingml/2006/picture">
                <pic:pic>
                  <pic:nvPicPr>
                    <pic:cNvPr id="1291" name="Image 1291"/>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9"/>
        </w:rPr>
        <w:t> </w:t>
      </w:r>
      <w:r>
        <w:rPr>
          <w:color w:val="231F20"/>
        </w:rPr>
        <w:t>Show</w:t>
      </w:r>
      <w:r>
        <w:rPr>
          <w:color w:val="231F20"/>
          <w:spacing w:val="17"/>
        </w:rPr>
        <w:t> </w:t>
      </w:r>
      <w:r>
        <w:rPr>
          <w:color w:val="231F20"/>
        </w:rPr>
        <w:t>last</w:t>
      </w:r>
      <w:r>
        <w:rPr>
          <w:color w:val="231F20"/>
          <w:spacing w:val="17"/>
        </w:rPr>
        <w:t> </w:t>
      </w:r>
      <w:r>
        <w:rPr>
          <w:color w:val="231F20"/>
        </w:rPr>
        <w:t>week's</w:t>
      </w:r>
      <w:r>
        <w:rPr>
          <w:color w:val="231F20"/>
          <w:spacing w:val="17"/>
        </w:rPr>
        <w:t> </w:t>
      </w:r>
      <w:r>
        <w:rPr>
          <w:color w:val="231F20"/>
        </w:rPr>
        <w:t>data</w:t>
      </w:r>
    </w:p>
    <w:p>
      <w:pPr>
        <w:pStyle w:val="BodyText"/>
        <w:spacing w:line="213" w:lineRule="auto" w:before="9"/>
        <w:ind w:left="3506" w:right="385"/>
      </w:pPr>
      <w:r>
        <w:rPr>
          <w:color w:val="231F20"/>
        </w:rPr>
        <w:t>Draws a plot line of data samples from the same day last week. The legend shows the line color for each plotted attribute value from </w:t>
      </w:r>
      <w:r>
        <w:rPr>
          <w:rFonts w:ascii="Book Antiqua"/>
          <w:b/>
          <w:color w:val="231F20"/>
        </w:rPr>
        <w:t>Last Week</w:t>
      </w:r>
      <w:r>
        <w:rPr>
          <w:color w:val="231F20"/>
        </w:rPr>
        <w:t>. For example, if this is Wednesday, the samples will be from last </w:t>
      </w:r>
      <w:r>
        <w:rPr>
          <w:color w:val="231F20"/>
          <w:spacing w:val="-2"/>
        </w:rPr>
        <w:t>Wednesday.</w:t>
      </w:r>
    </w:p>
    <w:p>
      <w:pPr>
        <w:pStyle w:val="Heading6"/>
        <w:spacing w:line="227" w:lineRule="exact" w:before="121"/>
        <w:ind w:left="2788"/>
      </w:pPr>
      <w:r>
        <w:rPr>
          <w:b w:val="0"/>
        </w:rPr>
        <w:drawing>
          <wp:inline distT="0" distB="0" distL="0" distR="0">
            <wp:extent cx="82550" cy="82550"/>
            <wp:effectExtent l="0" t="0" r="0" b="0"/>
            <wp:docPr id="1292" name="Image 1292"/>
            <wp:cNvGraphicFramePr>
              <a:graphicFrameLocks/>
            </wp:cNvGraphicFramePr>
            <a:graphic>
              <a:graphicData uri="http://schemas.openxmlformats.org/drawingml/2006/picture">
                <pic:pic>
                  <pic:nvPicPr>
                    <pic:cNvPr id="1292" name="Image 1292"/>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10"/>
        </w:rPr>
        <w:t> </w:t>
      </w:r>
      <w:r>
        <w:rPr>
          <w:color w:val="231F20"/>
        </w:rPr>
        <w:t>Show</w:t>
      </w:r>
      <w:r>
        <w:rPr>
          <w:color w:val="231F20"/>
          <w:spacing w:val="17"/>
        </w:rPr>
        <w:t> </w:t>
      </w:r>
      <w:r>
        <w:rPr>
          <w:color w:val="231F20"/>
        </w:rPr>
        <w:t>this</w:t>
      </w:r>
      <w:r>
        <w:rPr>
          <w:color w:val="231F20"/>
          <w:spacing w:val="17"/>
        </w:rPr>
        <w:t> </w:t>
      </w:r>
      <w:r>
        <w:rPr>
          <w:color w:val="231F20"/>
        </w:rPr>
        <w:t>day's</w:t>
      </w:r>
      <w:r>
        <w:rPr>
          <w:color w:val="231F20"/>
          <w:spacing w:val="17"/>
        </w:rPr>
        <w:t> </w:t>
      </w:r>
      <w:r>
        <w:rPr>
          <w:color w:val="231F20"/>
        </w:rPr>
        <w:t>data</w:t>
      </w:r>
    </w:p>
    <w:p>
      <w:pPr>
        <w:pStyle w:val="BodyText"/>
        <w:spacing w:line="213" w:lineRule="auto" w:before="8"/>
        <w:ind w:left="3506" w:right="385"/>
      </w:pPr>
      <w:r>
        <w:rPr>
          <w:color w:val="231F20"/>
        </w:rPr>
        <w:t>Draws a plot line of data samples that have been taken on the day shown. If you would like to see a different day, click the date button to open a calendar. Select a month and day prior to today. For example, you had selected the check box to show yesterday's data, you could select the day before yesterday in the calendar to show the past two </w:t>
      </w:r>
      <w:r>
        <w:rPr>
          <w:color w:val="231F20"/>
          <w:spacing w:val="-2"/>
        </w:rPr>
        <w:t>days.</w:t>
      </w:r>
    </w:p>
    <w:p>
      <w:pPr>
        <w:pStyle w:val="Heading6"/>
        <w:spacing w:line="227" w:lineRule="exact" w:before="120"/>
        <w:ind w:left="2788"/>
        <w:rPr>
          <w:rFonts w:ascii="Times New Roman"/>
          <w:b w:val="0"/>
        </w:rPr>
      </w:pPr>
      <w:r>
        <w:rPr>
          <w:b w:val="0"/>
        </w:rPr>
        <w:drawing>
          <wp:inline distT="0" distB="0" distL="0" distR="0">
            <wp:extent cx="82550" cy="82550"/>
            <wp:effectExtent l="0" t="0" r="0" b="0"/>
            <wp:docPr id="1293" name="Image 1293"/>
            <wp:cNvGraphicFramePr>
              <a:graphicFrameLocks/>
            </wp:cNvGraphicFramePr>
            <a:graphic>
              <a:graphicData uri="http://schemas.openxmlformats.org/drawingml/2006/picture">
                <pic:pic>
                  <pic:nvPicPr>
                    <pic:cNvPr id="1293" name="Image 1293"/>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Show</w:t>
      </w:r>
      <w:r>
        <w:rPr>
          <w:color w:val="231F20"/>
          <w:spacing w:val="31"/>
        </w:rPr>
        <w:t> </w:t>
      </w:r>
      <w:r>
        <w:rPr>
          <w:color w:val="231F20"/>
        </w:rPr>
        <w:t>data</w:t>
      </w:r>
      <w:r>
        <w:rPr>
          <w:color w:val="231F20"/>
          <w:spacing w:val="31"/>
        </w:rPr>
        <w:t> </w:t>
      </w:r>
      <w:r>
        <w:rPr>
          <w:color w:val="231F20"/>
        </w:rPr>
        <w:t>for</w:t>
      </w:r>
      <w:r>
        <w:rPr>
          <w:color w:val="231F20"/>
          <w:spacing w:val="31"/>
        </w:rPr>
        <w:t> </w:t>
      </w:r>
      <w:r>
        <w:rPr>
          <w:color w:val="231F20"/>
        </w:rPr>
        <w:t>last</w:t>
      </w:r>
      <w:r>
        <w:rPr>
          <w:color w:val="231F20"/>
          <w:spacing w:val="16"/>
        </w:rPr>
        <w:t> </w:t>
      </w:r>
      <w:r>
        <w:rPr>
          <w:rFonts w:ascii="Times New Roman"/>
          <w:b w:val="0"/>
          <w:color w:val="231F20"/>
          <w:spacing w:val="80"/>
          <w:u w:val="single" w:color="221E1F"/>
        </w:rPr>
        <w:t> </w:t>
      </w:r>
    </w:p>
    <w:p>
      <w:pPr>
        <w:pStyle w:val="BodyText"/>
        <w:spacing w:line="213" w:lineRule="auto" w:before="9"/>
        <w:ind w:left="3506" w:right="258"/>
      </w:pPr>
      <w:r>
        <w:rPr>
          <w:color w:val="231F20"/>
        </w:rPr>
        <w:t>Draws a plot line for each of the last number of </w:t>
      </w:r>
      <w:r>
        <w:rPr>
          <w:rFonts w:ascii="Book Antiqua"/>
          <w:b/>
          <w:color w:val="231F20"/>
        </w:rPr>
        <w:t>weekdays </w:t>
      </w:r>
      <w:r>
        <w:rPr>
          <w:color w:val="231F20"/>
        </w:rPr>
        <w:t>or </w:t>
      </w:r>
      <w:r>
        <w:rPr>
          <w:rFonts w:ascii="Book Antiqua"/>
          <w:b/>
          <w:color w:val="231F20"/>
        </w:rPr>
        <w:t>calendar day</w:t>
      </w:r>
      <w:r>
        <w:rPr>
          <w:color w:val="231F20"/>
        </w:rPr>
        <w:t>s you specified. For example, if today is Saturday and you select </w:t>
      </w:r>
      <w:r>
        <w:rPr>
          <w:color w:val="231F20"/>
        </w:rPr>
        <w:t>the last</w:t>
      </w:r>
      <w:r>
        <w:rPr>
          <w:color w:val="231F20"/>
          <w:spacing w:val="28"/>
        </w:rPr>
        <w:t> </w:t>
      </w:r>
      <w:r>
        <w:rPr>
          <w:color w:val="231F20"/>
        </w:rPr>
        <w:t>7</w:t>
      </w:r>
      <w:r>
        <w:rPr>
          <w:color w:val="231F20"/>
          <w:spacing w:val="28"/>
        </w:rPr>
        <w:t> </w:t>
      </w:r>
      <w:r>
        <w:rPr>
          <w:color w:val="231F20"/>
        </w:rPr>
        <w:t>calendar</w:t>
      </w:r>
      <w:r>
        <w:rPr>
          <w:color w:val="231F20"/>
          <w:spacing w:val="28"/>
        </w:rPr>
        <w:t> </w:t>
      </w:r>
      <w:r>
        <w:rPr>
          <w:color w:val="231F20"/>
        </w:rPr>
        <w:t>days,</w:t>
      </w:r>
      <w:r>
        <w:rPr>
          <w:color w:val="231F20"/>
          <w:spacing w:val="28"/>
        </w:rPr>
        <w:t> </w:t>
      </w:r>
      <w:r>
        <w:rPr>
          <w:color w:val="231F20"/>
        </w:rPr>
        <w:t>today</w:t>
      </w:r>
      <w:r>
        <w:rPr>
          <w:color w:val="231F20"/>
          <w:spacing w:val="28"/>
        </w:rPr>
        <w:t> </w:t>
      </w:r>
      <w:r>
        <w:rPr>
          <w:color w:val="231F20"/>
        </w:rPr>
        <w:t>and</w:t>
      </w:r>
      <w:r>
        <w:rPr>
          <w:color w:val="231F20"/>
          <w:spacing w:val="28"/>
        </w:rPr>
        <w:t> </w:t>
      </w:r>
      <w:r>
        <w:rPr>
          <w:color w:val="231F20"/>
        </w:rPr>
        <w:t>all</w:t>
      </w:r>
      <w:r>
        <w:rPr>
          <w:color w:val="231F20"/>
          <w:spacing w:val="28"/>
        </w:rPr>
        <w:t> </w:t>
      </w:r>
      <w:r>
        <w:rPr>
          <w:color w:val="231F20"/>
        </w:rPr>
        <w:t>days</w:t>
      </w:r>
      <w:r>
        <w:rPr>
          <w:color w:val="231F20"/>
          <w:spacing w:val="28"/>
        </w:rPr>
        <w:t> </w:t>
      </w:r>
      <w:r>
        <w:rPr>
          <w:color w:val="231F20"/>
        </w:rPr>
        <w:t>through</w:t>
      </w:r>
      <w:r>
        <w:rPr>
          <w:color w:val="231F20"/>
          <w:spacing w:val="28"/>
        </w:rPr>
        <w:t> </w:t>
      </w:r>
      <w:r>
        <w:rPr>
          <w:color w:val="231F20"/>
        </w:rPr>
        <w:t>last</w:t>
      </w:r>
      <w:r>
        <w:rPr>
          <w:color w:val="231F20"/>
          <w:spacing w:val="28"/>
        </w:rPr>
        <w:t> </w:t>
      </w:r>
      <w:r>
        <w:rPr>
          <w:color w:val="231F20"/>
        </w:rPr>
        <w:t>Sunday</w:t>
      </w:r>
      <w:r>
        <w:rPr>
          <w:color w:val="231F20"/>
          <w:spacing w:val="28"/>
        </w:rPr>
        <w:t> </w:t>
      </w:r>
      <w:r>
        <w:rPr>
          <w:color w:val="231F20"/>
        </w:rPr>
        <w:t>are plotted. The last 7 weekdays would be Monday through Friday of this past week plus the Thursday and Friday of the week before.</w:t>
      </w:r>
    </w:p>
    <w:p>
      <w:pPr>
        <w:pStyle w:val="Heading6"/>
        <w:spacing w:before="115"/>
        <w:ind w:left="2788"/>
      </w:pPr>
      <w:r>
        <w:rPr>
          <w:color w:val="231F20"/>
        </w:rPr>
        <w:t>Time </w:t>
      </w:r>
      <w:r>
        <w:rPr>
          <w:color w:val="231F20"/>
          <w:spacing w:val="-2"/>
        </w:rPr>
        <w:t>Column</w:t>
      </w:r>
    </w:p>
    <w:p>
      <w:pPr>
        <w:pStyle w:val="BodyText"/>
        <w:spacing w:line="213" w:lineRule="auto" w:before="11"/>
        <w:ind w:left="3506" w:right="258"/>
      </w:pPr>
      <w:r>
        <w:rPr>
          <w:color w:val="231F20"/>
        </w:rPr>
        <w:t>The time stamp type displayed will be shown along the X-axis. If the attribute group has other time stamp attributes, you can select one </w:t>
      </w:r>
      <w:r>
        <w:rPr>
          <w:color w:val="231F20"/>
        </w:rPr>
        <w:t>from the list. Not all time stamps will be displayed along the axis because of space limitations.</w:t>
      </w:r>
    </w:p>
    <w:p>
      <w:pPr>
        <w:pStyle w:val="ListParagraph"/>
        <w:numPr>
          <w:ilvl w:val="0"/>
          <w:numId w:val="57"/>
        </w:numPr>
        <w:tabs>
          <w:tab w:pos="2788" w:val="left" w:leader="none"/>
        </w:tabs>
        <w:spacing w:line="213" w:lineRule="auto" w:before="57" w:after="0"/>
        <w:ind w:left="2788" w:right="174" w:hanging="316"/>
        <w:jc w:val="both"/>
        <w:rPr>
          <w:sz w:val="20"/>
        </w:rPr>
      </w:pPr>
      <w:r>
        <w:rPr>
          <w:color w:val="231F20"/>
          <w:sz w:val="20"/>
        </w:rPr>
        <w:t>Click </w:t>
      </w:r>
      <w:r>
        <w:rPr>
          <w:rFonts w:ascii="Book Antiqua"/>
          <w:b/>
          <w:color w:val="231F20"/>
          <w:sz w:val="20"/>
        </w:rPr>
        <w:t>Apply </w:t>
      </w:r>
      <w:r>
        <w:rPr>
          <w:color w:val="231F20"/>
          <w:sz w:val="20"/>
        </w:rPr>
        <w:t>to render the chart with a baseline for each chosen time range. The time ranges chosen are listed in the legend along with the color of the plot line, one line for each day.</w:t>
      </w:r>
    </w:p>
    <w:p>
      <w:pPr>
        <w:pStyle w:val="ListParagraph"/>
        <w:numPr>
          <w:ilvl w:val="0"/>
          <w:numId w:val="57"/>
        </w:numPr>
        <w:tabs>
          <w:tab w:pos="2787" w:val="left" w:leader="none"/>
        </w:tabs>
        <w:spacing w:line="240" w:lineRule="auto" w:before="35" w:after="0"/>
        <w:ind w:left="2787" w:right="0" w:hanging="315"/>
        <w:jc w:val="both"/>
        <w:rPr>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2"/>
          <w:sz w:val="20"/>
        </w:rPr>
        <w:t> </w:t>
      </w:r>
      <w:r>
        <w:rPr>
          <w:color w:val="231F20"/>
          <w:sz w:val="20"/>
        </w:rPr>
        <w:t>close</w:t>
      </w:r>
      <w:r>
        <w:rPr>
          <w:color w:val="231F20"/>
          <w:spacing w:val="12"/>
          <w:sz w:val="20"/>
        </w:rPr>
        <w:t> </w:t>
      </w:r>
      <w:r>
        <w:rPr>
          <w:color w:val="231F20"/>
          <w:sz w:val="20"/>
        </w:rPr>
        <w:t>the</w:t>
      </w:r>
      <w:r>
        <w:rPr>
          <w:color w:val="231F20"/>
          <w:spacing w:val="12"/>
          <w:sz w:val="20"/>
        </w:rPr>
        <w:t> </w:t>
      </w:r>
      <w:r>
        <w:rPr>
          <w:color w:val="231F20"/>
          <w:sz w:val="20"/>
        </w:rPr>
        <w:t>dialog</w:t>
      </w:r>
      <w:r>
        <w:rPr>
          <w:color w:val="231F20"/>
          <w:spacing w:val="12"/>
          <w:sz w:val="20"/>
        </w:rPr>
        <w:t> </w:t>
      </w:r>
      <w:r>
        <w:rPr>
          <w:color w:val="231F20"/>
          <w:sz w:val="20"/>
        </w:rPr>
        <w:t>box,</w:t>
      </w:r>
      <w:r>
        <w:rPr>
          <w:color w:val="231F20"/>
          <w:spacing w:val="13"/>
          <w:sz w:val="20"/>
        </w:rPr>
        <w:t> </w:t>
      </w:r>
      <w:r>
        <w:rPr>
          <w:color w:val="231F20"/>
          <w:sz w:val="20"/>
        </w:rPr>
        <w:t>and</w:t>
      </w:r>
      <w:r>
        <w:rPr>
          <w:color w:val="231F20"/>
          <w:spacing w:val="12"/>
          <w:sz w:val="20"/>
        </w:rPr>
        <w:t> </w:t>
      </w:r>
      <w:r>
        <w:rPr>
          <w:color w:val="231F20"/>
          <w:sz w:val="20"/>
        </w:rPr>
        <w:t>perform</w:t>
      </w:r>
      <w:r>
        <w:rPr>
          <w:color w:val="231F20"/>
          <w:spacing w:val="12"/>
          <w:sz w:val="20"/>
        </w:rPr>
        <w:t> </w:t>
      </w:r>
      <w:r>
        <w:rPr>
          <w:color w:val="231F20"/>
          <w:sz w:val="20"/>
        </w:rPr>
        <w:t>any</w:t>
      </w:r>
      <w:r>
        <w:rPr>
          <w:color w:val="231F20"/>
          <w:spacing w:val="12"/>
          <w:sz w:val="20"/>
        </w:rPr>
        <w:t> </w:t>
      </w:r>
      <w:r>
        <w:rPr>
          <w:color w:val="231F20"/>
          <w:sz w:val="20"/>
        </w:rPr>
        <w:t>of</w:t>
      </w:r>
      <w:r>
        <w:rPr>
          <w:color w:val="231F20"/>
          <w:spacing w:val="12"/>
          <w:sz w:val="20"/>
        </w:rPr>
        <w:t> </w:t>
      </w:r>
      <w:r>
        <w:rPr>
          <w:color w:val="231F20"/>
          <w:sz w:val="20"/>
        </w:rPr>
        <w:t>these</w:t>
      </w:r>
      <w:r>
        <w:rPr>
          <w:color w:val="231F20"/>
          <w:spacing w:val="12"/>
          <w:sz w:val="20"/>
        </w:rPr>
        <w:t> </w:t>
      </w:r>
      <w:r>
        <w:rPr>
          <w:color w:val="231F20"/>
          <w:spacing w:val="-2"/>
          <w:sz w:val="20"/>
        </w:rPr>
        <w:t>actions:</w:t>
      </w:r>
    </w:p>
    <w:p>
      <w:pPr>
        <w:pStyle w:val="BodyText"/>
        <w:spacing w:line="213" w:lineRule="auto" w:before="53"/>
        <w:ind w:left="3004" w:right="638" w:hanging="216"/>
        <w:jc w:val="both"/>
      </w:pPr>
      <w:r>
        <w:rPr>
          <w:rFonts w:ascii="Futura MdCn BT"/>
          <w:color w:val="231F20"/>
        </w:rPr>
        <w:t>v</w:t>
      </w:r>
      <w:r>
        <w:rPr>
          <w:rFonts w:ascii="Futura MdCn BT"/>
          <w:color w:val="231F20"/>
          <w:spacing w:val="40"/>
        </w:rPr>
        <w:t> </w:t>
      </w:r>
      <w:r>
        <w:rPr>
          <w:color w:val="231F20"/>
        </w:rPr>
        <w:t>Move the mouse pointer over a baseline to highlight it; move the </w:t>
      </w:r>
      <w:r>
        <w:rPr>
          <w:color w:val="231F20"/>
        </w:rPr>
        <w:t>mouse</w:t>
      </w:r>
      <w:r>
        <w:rPr>
          <w:color w:val="231F20"/>
        </w:rPr>
        <w:t> pointer over a plot point to see the value, name, and time stamp.</w:t>
      </w:r>
    </w:p>
    <w:p>
      <w:pPr>
        <w:spacing w:after="0" w:line="213" w:lineRule="auto"/>
        <w:jc w:val="both"/>
        <w:sectPr>
          <w:pgSz w:w="12240" w:h="15840"/>
          <w:pgMar w:header="0" w:footer="736" w:top="1180" w:bottom="920" w:left="1000" w:right="1060"/>
        </w:sectPr>
      </w:pPr>
    </w:p>
    <w:p>
      <w:pPr>
        <w:pStyle w:val="BodyText"/>
        <w:spacing w:line="213" w:lineRule="auto" w:before="85"/>
        <w:ind w:left="2764" w:right="493" w:hanging="216"/>
      </w:pPr>
      <w:r>
        <w:rPr>
          <w:rFonts w:ascii="Futura MdCn BT"/>
          <w:color w:val="231F20"/>
        </w:rPr>
        <w:t>v</w:t>
      </w:r>
      <w:r>
        <w:rPr>
          <w:rFonts w:ascii="Futura MdCn BT"/>
          <w:color w:val="231F20"/>
          <w:spacing w:val="80"/>
        </w:rPr>
        <w:t> </w:t>
      </w:r>
      <w:r>
        <w:rPr>
          <w:color w:val="231F20"/>
        </w:rPr>
        <w:t>Click and drag a smaller time range to zoom in, then press Esc to zoom out,</w:t>
      </w:r>
      <w:r>
        <w:rPr>
          <w:color w:val="231F20"/>
          <w:spacing w:val="80"/>
        </w:rPr>
        <w:t> </w:t>
      </w:r>
      <w:r>
        <w:rPr>
          <w:color w:val="231F20"/>
        </w:rPr>
        <w:t>once for each time you zoomed.</w:t>
      </w:r>
    </w:p>
    <w:p>
      <w:pPr>
        <w:pStyle w:val="BodyText"/>
        <w:spacing w:line="213" w:lineRule="auto" w:before="58"/>
        <w:ind w:left="2764" w:right="603" w:hanging="216"/>
      </w:pPr>
      <w:r>
        <w:rPr>
          <w:rFonts w:ascii="Futura MdCn BT"/>
          <w:color w:val="231F20"/>
        </w:rPr>
        <w:t>v</w:t>
      </w:r>
      <w:r>
        <w:rPr>
          <w:rFonts w:ascii="Futura MdCn BT"/>
          <w:color w:val="231F20"/>
          <w:spacing w:val="80"/>
        </w:rPr>
        <w:t> </w:t>
      </w:r>
      <w:r>
        <w:rPr>
          <w:color w:val="231F20"/>
        </w:rPr>
        <w:t>Right-click a data value that falls outside normal statistical baseline and </w:t>
      </w:r>
      <w:r>
        <w:rPr>
          <w:color w:val="231F20"/>
        </w:rPr>
        <w:t>click</w:t>
      </w:r>
      <w:r>
        <w:rPr>
          <w:color w:val="231F20"/>
          <w:spacing w:val="80"/>
        </w:rPr>
        <w:t> </w:t>
      </w:r>
      <w:r>
        <w:rPr>
          <w:color w:val="231F20"/>
          <w:position w:val="-1"/>
        </w:rPr>
        <w:drawing>
          <wp:inline distT="0" distB="0" distL="0" distR="0">
            <wp:extent cx="88900" cy="95250"/>
            <wp:effectExtent l="0" t="0" r="0" b="0"/>
            <wp:docPr id="1294" name="Image 1294"/>
            <wp:cNvGraphicFramePr>
              <a:graphicFrameLocks/>
            </wp:cNvGraphicFramePr>
            <a:graphic>
              <a:graphicData uri="http://schemas.openxmlformats.org/drawingml/2006/picture">
                <pic:pic>
                  <pic:nvPicPr>
                    <pic:cNvPr id="1294" name="Image 1294"/>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position w:val="-1"/>
        </w:rPr>
      </w:r>
      <w:r>
        <w:rPr>
          <w:rFonts w:ascii="Times New Roman"/>
          <w:color w:val="231F20"/>
        </w:rPr>
        <w:t> </w:t>
      </w:r>
      <w:r>
        <w:rPr>
          <w:rFonts w:ascii="Book Antiqua"/>
          <w:b/>
          <w:color w:val="231F20"/>
        </w:rPr>
        <w:t>Model Situation </w:t>
      </w:r>
      <w:r>
        <w:rPr>
          <w:color w:val="231F20"/>
        </w:rPr>
        <w:t>to open the Model Situation chart and populate the attributes table with the values from the data point. After performing additional analysis with the modeling tool, you can create a new situation</w:t>
      </w:r>
      <w:r>
        <w:rPr>
          <w:color w:val="231F20"/>
          <w:spacing w:val="40"/>
        </w:rPr>
        <w:t> </w:t>
      </w:r>
      <w:r>
        <w:rPr>
          <w:color w:val="231F20"/>
        </w:rPr>
        <w:t>with the calculated values and edit them as needed.</w:t>
      </w:r>
    </w:p>
    <w:p>
      <w:pPr>
        <w:pStyle w:val="Heading5"/>
        <w:spacing w:before="217"/>
        <w:ind w:left="2232"/>
      </w:pPr>
      <w:r>
        <w:rPr>
          <w:color w:val="231F20"/>
          <w:spacing w:val="-2"/>
        </w:rPr>
        <w:t>Example</w:t>
      </w:r>
    </w:p>
    <w:p>
      <w:pPr>
        <w:pStyle w:val="BodyText"/>
        <w:spacing w:line="213" w:lineRule="auto" w:before="245"/>
        <w:ind w:left="2232" w:right="545"/>
      </w:pPr>
      <w:r>
        <w:rPr>
          <w:color w:val="231F20"/>
        </w:rPr>
        <w:t>The chart plots Disk Writes Per Second over a 12-hour period. We want to compare today's</w:t>
      </w:r>
      <w:r>
        <w:rPr>
          <w:color w:val="231F20"/>
          <w:spacing w:val="24"/>
        </w:rPr>
        <w:t> </w:t>
      </w:r>
      <w:r>
        <w:rPr>
          <w:color w:val="231F20"/>
        </w:rPr>
        <w:t>data,</w:t>
      </w:r>
      <w:r>
        <w:rPr>
          <w:color w:val="231F20"/>
          <w:spacing w:val="16"/>
        </w:rPr>
        <w:t> </w:t>
      </w:r>
      <w:r>
        <w:rPr>
          <w:color w:val="231F20"/>
          <w:spacing w:val="16"/>
        </w:rPr>
        <w:drawing>
          <wp:inline distT="0" distB="0" distL="0" distR="0">
            <wp:extent cx="88900" cy="76200"/>
            <wp:effectExtent l="0" t="0" r="0" b="0"/>
            <wp:docPr id="1295" name="Image 1295"/>
            <wp:cNvGraphicFramePr>
              <a:graphicFrameLocks/>
            </wp:cNvGraphicFramePr>
            <a:graphic>
              <a:graphicData uri="http://schemas.openxmlformats.org/drawingml/2006/picture">
                <pic:pic>
                  <pic:nvPicPr>
                    <pic:cNvPr id="1295" name="Image 1295"/>
                    <pic:cNvPicPr/>
                  </pic:nvPicPr>
                  <pic:blipFill>
                    <a:blip r:embed="rId236" cstate="print"/>
                    <a:stretch>
                      <a:fillRect/>
                    </a:stretch>
                  </pic:blipFill>
                  <pic:spPr>
                    <a:xfrm>
                      <a:off x="0" y="0"/>
                      <a:ext cx="88900" cy="76200"/>
                    </a:xfrm>
                    <a:prstGeom prst="rect">
                      <a:avLst/>
                    </a:prstGeom>
                  </pic:spPr>
                </pic:pic>
              </a:graphicData>
            </a:graphic>
          </wp:inline>
        </w:drawing>
      </w:r>
      <w:r>
        <w:rPr>
          <w:color w:val="231F20"/>
          <w:spacing w:val="16"/>
        </w:rPr>
      </w:r>
      <w:r>
        <w:rPr>
          <w:rFonts w:ascii="Times New Roman"/>
          <w:color w:val="231F20"/>
          <w:spacing w:val="40"/>
        </w:rPr>
        <w:t> </w:t>
      </w:r>
      <w:r>
        <w:rPr>
          <w:color w:val="231F20"/>
        </w:rPr>
        <w:t>Monday,</w:t>
      </w:r>
      <w:r>
        <w:rPr>
          <w:color w:val="231F20"/>
          <w:spacing w:val="24"/>
        </w:rPr>
        <w:t> </w:t>
      </w:r>
      <w:r>
        <w:rPr>
          <w:color w:val="231F20"/>
        </w:rPr>
        <w:t>May</w:t>
      </w:r>
      <w:r>
        <w:rPr>
          <w:color w:val="231F20"/>
          <w:spacing w:val="24"/>
        </w:rPr>
        <w:t> </w:t>
      </w:r>
      <w:r>
        <w:rPr>
          <w:color w:val="231F20"/>
        </w:rPr>
        <w:t>22,</w:t>
      </w:r>
      <w:r>
        <w:rPr>
          <w:color w:val="231F20"/>
          <w:spacing w:val="24"/>
        </w:rPr>
        <w:t> </w:t>
      </w:r>
      <w:r>
        <w:rPr>
          <w:color w:val="231F20"/>
        </w:rPr>
        <w:t>with</w:t>
      </w:r>
      <w:r>
        <w:rPr>
          <w:color w:val="231F20"/>
          <w:spacing w:val="24"/>
        </w:rPr>
        <w:t> </w:t>
      </w:r>
      <w:r>
        <w:rPr>
          <w:color w:val="231F20"/>
        </w:rPr>
        <w:t>the</w:t>
      </w:r>
      <w:r>
        <w:rPr>
          <w:color w:val="231F20"/>
          <w:spacing w:val="24"/>
        </w:rPr>
        <w:t> </w:t>
      </w:r>
      <w:r>
        <w:rPr>
          <w:color w:val="231F20"/>
        </w:rPr>
        <w:t>same</w:t>
      </w:r>
      <w:r>
        <w:rPr>
          <w:color w:val="231F20"/>
          <w:spacing w:val="24"/>
        </w:rPr>
        <w:t> </w:t>
      </w:r>
      <w:r>
        <w:rPr>
          <w:color w:val="231F20"/>
        </w:rPr>
        <w:t>period</w:t>
      </w:r>
      <w:r>
        <w:rPr>
          <w:color w:val="231F20"/>
          <w:spacing w:val="24"/>
        </w:rPr>
        <w:t> </w:t>
      </w:r>
      <w:r>
        <w:rPr>
          <w:color w:val="231F20"/>
        </w:rPr>
        <w:t>from</w:t>
      </w:r>
      <w:r>
        <w:rPr>
          <w:color w:val="231F20"/>
          <w:spacing w:val="24"/>
        </w:rPr>
        <w:t> </w:t>
      </w:r>
      <w:r>
        <w:rPr>
          <w:color w:val="231F20"/>
        </w:rPr>
        <w:t>the</w:t>
      </w:r>
      <w:r>
        <w:rPr>
          <w:color w:val="231F20"/>
          <w:spacing w:val="24"/>
        </w:rPr>
        <w:t> </w:t>
      </w:r>
      <w:r>
        <w:rPr>
          <w:color w:val="231F20"/>
        </w:rPr>
        <w:t>last</w:t>
      </w:r>
      <w:r>
        <w:rPr>
          <w:color w:val="231F20"/>
          <w:spacing w:val="24"/>
        </w:rPr>
        <w:t> </w:t>
      </w:r>
      <w:r>
        <w:rPr>
          <w:color w:val="231F20"/>
        </w:rPr>
        <w:t>two weekdays, </w:t>
      </w:r>
      <w:r>
        <w:rPr>
          <w:color w:val="231F20"/>
          <w:spacing w:val="16"/>
        </w:rPr>
        <w:drawing>
          <wp:inline distT="0" distB="0" distL="0" distR="0">
            <wp:extent cx="88900" cy="76200"/>
            <wp:effectExtent l="0" t="0" r="0" b="0"/>
            <wp:docPr id="1296" name="Image 1296"/>
            <wp:cNvGraphicFramePr>
              <a:graphicFrameLocks/>
            </wp:cNvGraphicFramePr>
            <a:graphic>
              <a:graphicData uri="http://schemas.openxmlformats.org/drawingml/2006/picture">
                <pic:pic>
                  <pic:nvPicPr>
                    <pic:cNvPr id="1296" name="Image 1296"/>
                    <pic:cNvPicPr/>
                  </pic:nvPicPr>
                  <pic:blipFill>
                    <a:blip r:embed="rId247" cstate="print"/>
                    <a:stretch>
                      <a:fillRect/>
                    </a:stretch>
                  </pic:blipFill>
                  <pic:spPr>
                    <a:xfrm>
                      <a:off x="0" y="0"/>
                      <a:ext cx="88900" cy="76200"/>
                    </a:xfrm>
                    <a:prstGeom prst="rect">
                      <a:avLst/>
                    </a:prstGeom>
                  </pic:spPr>
                </pic:pic>
              </a:graphicData>
            </a:graphic>
          </wp:inline>
        </w:drawing>
      </w:r>
      <w:r>
        <w:rPr>
          <w:color w:val="231F20"/>
          <w:spacing w:val="16"/>
        </w:rPr>
      </w:r>
      <w:r>
        <w:rPr>
          <w:rFonts w:ascii="Times New Roman"/>
          <w:color w:val="231F20"/>
          <w:spacing w:val="-13"/>
        </w:rPr>
        <w:t> </w:t>
      </w:r>
      <w:r>
        <w:rPr>
          <w:color w:val="231F20"/>
        </w:rPr>
        <w:t>Thursday, May 18, and </w:t>
      </w:r>
      <w:r>
        <w:rPr>
          <w:color w:val="231F20"/>
          <w:spacing w:val="16"/>
        </w:rPr>
        <w:drawing>
          <wp:inline distT="0" distB="0" distL="0" distR="0">
            <wp:extent cx="88900" cy="76200"/>
            <wp:effectExtent l="0" t="0" r="0" b="0"/>
            <wp:docPr id="1297" name="Image 1297"/>
            <wp:cNvGraphicFramePr>
              <a:graphicFrameLocks/>
            </wp:cNvGraphicFramePr>
            <a:graphic>
              <a:graphicData uri="http://schemas.openxmlformats.org/drawingml/2006/picture">
                <pic:pic>
                  <pic:nvPicPr>
                    <pic:cNvPr id="1297" name="Image 1297"/>
                    <pic:cNvPicPr/>
                  </pic:nvPicPr>
                  <pic:blipFill>
                    <a:blip r:embed="rId248" cstate="print"/>
                    <a:stretch>
                      <a:fillRect/>
                    </a:stretch>
                  </pic:blipFill>
                  <pic:spPr>
                    <a:xfrm>
                      <a:off x="0" y="0"/>
                      <a:ext cx="88900" cy="76200"/>
                    </a:xfrm>
                    <a:prstGeom prst="rect">
                      <a:avLst/>
                    </a:prstGeom>
                  </pic:spPr>
                </pic:pic>
              </a:graphicData>
            </a:graphic>
          </wp:inline>
        </w:drawing>
      </w:r>
      <w:r>
        <w:rPr>
          <w:color w:val="231F20"/>
          <w:spacing w:val="16"/>
        </w:rPr>
      </w:r>
      <w:r>
        <w:rPr>
          <w:rFonts w:ascii="Times New Roman"/>
          <w:color w:val="231F20"/>
          <w:spacing w:val="-13"/>
        </w:rPr>
        <w:t> </w:t>
      </w:r>
      <w:r>
        <w:rPr>
          <w:color w:val="231F20"/>
        </w:rPr>
        <w:t>Friday, May 19. In the Add Historical</w:t>
      </w:r>
      <w:r>
        <w:rPr>
          <w:color w:val="231F20"/>
          <w:spacing w:val="80"/>
        </w:rPr>
        <w:t> </w:t>
      </w:r>
      <w:r>
        <w:rPr>
          <w:color w:val="231F20"/>
        </w:rPr>
        <w:t>Baseline</w:t>
      </w:r>
      <w:r>
        <w:rPr>
          <w:color w:val="231F20"/>
          <w:spacing w:val="27"/>
        </w:rPr>
        <w:t> </w:t>
      </w:r>
      <w:r>
        <w:rPr>
          <w:color w:val="231F20"/>
        </w:rPr>
        <w:t>dialog</w:t>
      </w:r>
      <w:r>
        <w:rPr>
          <w:color w:val="231F20"/>
          <w:spacing w:val="27"/>
        </w:rPr>
        <w:t> </w:t>
      </w:r>
      <w:r>
        <w:rPr>
          <w:color w:val="231F20"/>
        </w:rPr>
        <w:t>box,</w:t>
      </w:r>
      <w:r>
        <w:rPr>
          <w:color w:val="231F20"/>
          <w:spacing w:val="27"/>
        </w:rPr>
        <w:t> </w:t>
      </w:r>
      <w:r>
        <w:rPr>
          <w:color w:val="231F20"/>
        </w:rPr>
        <w:t>select</w:t>
      </w:r>
      <w:r>
        <w:rPr>
          <w:color w:val="231F20"/>
          <w:spacing w:val="27"/>
        </w:rPr>
        <w:t> </w:t>
      </w:r>
      <w:r>
        <w:rPr>
          <w:rFonts w:ascii="Book Antiqua"/>
          <w:b/>
          <w:color w:val="231F20"/>
        </w:rPr>
        <w:t>Show</w:t>
      </w:r>
      <w:r>
        <w:rPr>
          <w:rFonts w:ascii="Book Antiqua"/>
          <w:b/>
          <w:color w:val="231F20"/>
          <w:spacing w:val="27"/>
        </w:rPr>
        <w:t> </w:t>
      </w:r>
      <w:r>
        <w:rPr>
          <w:rFonts w:ascii="Book Antiqua"/>
          <w:b/>
          <w:color w:val="231F20"/>
        </w:rPr>
        <w:t>this</w:t>
      </w:r>
      <w:r>
        <w:rPr>
          <w:rFonts w:ascii="Book Antiqua"/>
          <w:b/>
          <w:color w:val="231F20"/>
          <w:spacing w:val="27"/>
        </w:rPr>
        <w:t> </w:t>
      </w:r>
      <w:r>
        <w:rPr>
          <w:rFonts w:ascii="Book Antiqua"/>
          <w:b/>
          <w:color w:val="231F20"/>
        </w:rPr>
        <w:t>day's</w:t>
      </w:r>
      <w:r>
        <w:rPr>
          <w:rFonts w:ascii="Book Antiqua"/>
          <w:b/>
          <w:color w:val="231F20"/>
          <w:spacing w:val="27"/>
        </w:rPr>
        <w:t> </w:t>
      </w:r>
      <w:r>
        <w:rPr>
          <w:rFonts w:ascii="Book Antiqua"/>
          <w:b/>
          <w:color w:val="231F20"/>
        </w:rPr>
        <w:t>data</w:t>
      </w:r>
      <w:r>
        <w:rPr>
          <w:rFonts w:ascii="Book Antiqua"/>
          <w:b/>
          <w:color w:val="231F20"/>
          <w:spacing w:val="27"/>
        </w:rPr>
        <w:t> </w:t>
      </w:r>
      <w:r>
        <w:rPr>
          <w:color w:val="231F20"/>
        </w:rPr>
        <w:t>and</w:t>
      </w:r>
      <w:r>
        <w:rPr>
          <w:color w:val="231F20"/>
          <w:spacing w:val="27"/>
        </w:rPr>
        <w:t> </w:t>
      </w:r>
      <w:r>
        <w:rPr>
          <w:rFonts w:ascii="Book Antiqua"/>
          <w:b/>
          <w:color w:val="231F20"/>
        </w:rPr>
        <w:t>Show</w:t>
      </w:r>
      <w:r>
        <w:rPr>
          <w:rFonts w:ascii="Book Antiqua"/>
          <w:b/>
          <w:color w:val="231F20"/>
          <w:spacing w:val="27"/>
        </w:rPr>
        <w:t> </w:t>
      </w:r>
      <w:r>
        <w:rPr>
          <w:rFonts w:ascii="Book Antiqua"/>
          <w:b/>
          <w:color w:val="231F20"/>
        </w:rPr>
        <w:t>data</w:t>
      </w:r>
      <w:r>
        <w:rPr>
          <w:rFonts w:ascii="Book Antiqua"/>
          <w:b/>
          <w:color w:val="231F20"/>
          <w:spacing w:val="27"/>
        </w:rPr>
        <w:t> </w:t>
      </w:r>
      <w:r>
        <w:rPr>
          <w:rFonts w:ascii="Book Antiqua"/>
          <w:b/>
          <w:color w:val="231F20"/>
        </w:rPr>
        <w:t>for</w:t>
      </w:r>
      <w:r>
        <w:rPr>
          <w:rFonts w:ascii="Book Antiqua"/>
          <w:b/>
          <w:color w:val="231F20"/>
          <w:spacing w:val="27"/>
        </w:rPr>
        <w:t> </w:t>
      </w:r>
      <w:r>
        <w:rPr>
          <w:rFonts w:ascii="Book Antiqua"/>
          <w:b/>
          <w:color w:val="231F20"/>
        </w:rPr>
        <w:t>last</w:t>
      </w:r>
      <w:r>
        <w:rPr>
          <w:rFonts w:ascii="Book Antiqua"/>
          <w:b/>
          <w:color w:val="231F20"/>
          <w:spacing w:val="27"/>
        </w:rPr>
        <w:t> </w:t>
      </w:r>
      <w:r>
        <w:rPr>
          <w:rFonts w:ascii="Book Antiqua"/>
          <w:b/>
          <w:color w:val="231F20"/>
        </w:rPr>
        <w:t>2 weekdays</w:t>
      </w:r>
      <w:r>
        <w:rPr>
          <w:color w:val="231F20"/>
        </w:rPr>
        <w:t>. After you click </w:t>
      </w:r>
      <w:r>
        <w:rPr>
          <w:rFonts w:ascii="Book Antiqua"/>
          <w:b/>
          <w:color w:val="231F20"/>
        </w:rPr>
        <w:t>OK</w:t>
      </w:r>
      <w:r>
        <w:rPr>
          <w:color w:val="231F20"/>
        </w:rPr>
        <w:t>, the two additional days are plotted. You can move the mouse pointer over a plot point to see the value and the date and time the</w:t>
      </w:r>
      <w:r>
        <w:rPr>
          <w:color w:val="231F20"/>
          <w:spacing w:val="80"/>
        </w:rPr>
        <w:t> </w:t>
      </w:r>
      <w:r>
        <w:rPr>
          <w:color w:val="231F20"/>
        </w:rPr>
        <w:t>sample was taken.</w:t>
      </w:r>
    </w:p>
    <w:p>
      <w:pPr>
        <w:pStyle w:val="BodyText"/>
        <w:spacing w:before="3"/>
        <w:rPr>
          <w:sz w:val="11"/>
        </w:rPr>
      </w:pPr>
      <w:r>
        <w:rPr/>
        <w:drawing>
          <wp:anchor distT="0" distB="0" distL="0" distR="0" allowOverlap="1" layoutInCell="1" locked="0" behindDoc="1" simplePos="0" relativeHeight="487677440">
            <wp:simplePos x="0" y="0"/>
            <wp:positionH relativeFrom="page">
              <wp:posOffset>2052863</wp:posOffset>
            </wp:positionH>
            <wp:positionV relativeFrom="paragraph">
              <wp:posOffset>111800</wp:posOffset>
            </wp:positionV>
            <wp:extent cx="3918394" cy="1914525"/>
            <wp:effectExtent l="0" t="0" r="0" b="0"/>
            <wp:wrapTopAndBottom/>
            <wp:docPr id="1298" name="Image 1298"/>
            <wp:cNvGraphicFramePr>
              <a:graphicFrameLocks/>
            </wp:cNvGraphicFramePr>
            <a:graphic>
              <a:graphicData uri="http://schemas.openxmlformats.org/drawingml/2006/picture">
                <pic:pic>
                  <pic:nvPicPr>
                    <pic:cNvPr id="1298" name="Image 1298"/>
                    <pic:cNvPicPr/>
                  </pic:nvPicPr>
                  <pic:blipFill>
                    <a:blip r:embed="rId249" cstate="print"/>
                    <a:stretch>
                      <a:fillRect/>
                    </a:stretch>
                  </pic:blipFill>
                  <pic:spPr>
                    <a:xfrm>
                      <a:off x="0" y="0"/>
                      <a:ext cx="3918394" cy="1914525"/>
                    </a:xfrm>
                    <a:prstGeom prst="rect">
                      <a:avLst/>
                    </a:prstGeom>
                  </pic:spPr>
                </pic:pic>
              </a:graphicData>
            </a:graphic>
          </wp:anchor>
        </w:drawing>
      </w:r>
    </w:p>
    <w:p>
      <w:pPr>
        <w:pStyle w:val="BodyText"/>
        <w:spacing w:before="27"/>
      </w:pPr>
    </w:p>
    <w:p>
      <w:pPr>
        <w:pStyle w:val="Heading5"/>
        <w:spacing w:before="0"/>
        <w:ind w:left="2232"/>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BodyText"/>
        <w:spacing w:line="213" w:lineRule="auto" w:before="246"/>
        <w:ind w:left="2232" w:right="636"/>
      </w:pPr>
      <w:r>
        <w:rPr>
          <w:color w:val="231F20"/>
        </w:rPr>
        <w:t>After you have adjusted the baseline calculations and the time span to best</w:t>
      </w:r>
      <w:r>
        <w:rPr>
          <w:color w:val="231F20"/>
          <w:spacing w:val="80"/>
        </w:rPr>
        <w:t> </w:t>
      </w:r>
      <w:r>
        <w:rPr>
          <w:color w:val="231F20"/>
        </w:rPr>
        <w:t>illustrate the metric you are watching, you can save the workspace, and then </w:t>
      </w:r>
      <w:r>
        <w:rPr>
          <w:color w:val="231F20"/>
        </w:rPr>
        <w:t>open</w:t>
      </w:r>
      <w:r>
        <w:rPr>
          <w:color w:val="231F20"/>
          <w:spacing w:val="80"/>
        </w:rPr>
        <w:t> </w:t>
      </w:r>
      <w:r>
        <w:rPr>
          <w:color w:val="231F20"/>
        </w:rPr>
        <w:t>it whenever you want to observe the same baselines with current and recent data </w:t>
      </w:r>
      <w:r>
        <w:rPr>
          <w:color w:val="231F20"/>
          <w:spacing w:val="-2"/>
        </w:rPr>
        <w:t>samples.</w:t>
      </w:r>
    </w:p>
    <w:p>
      <w:pPr>
        <w:spacing w:after="0" w:line="213" w:lineRule="auto"/>
        <w:sectPr>
          <w:pgSz w:w="12240" w:h="15840"/>
          <w:pgMar w:header="0" w:footer="736" w:top="1180" w:bottom="920" w:left="1000" w:right="10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17"/>
        <w:rPr>
          <w:sz w:val="28"/>
        </w:rPr>
      </w:pPr>
    </w:p>
    <w:p>
      <w:pPr>
        <w:pStyle w:val="Heading3"/>
        <w:spacing w:before="0"/>
      </w:pPr>
      <w:bookmarkStart w:name="_bookmark99" w:id="212"/>
      <w:bookmarkEnd w:id="212"/>
      <w:r>
        <w:rPr>
          <w:b w:val="0"/>
        </w:rPr>
      </w:r>
      <w:bookmarkStart w:name="Topology view" w:id="213"/>
      <w:bookmarkEnd w:id="213"/>
      <w:r>
        <w:rPr>
          <w:b w:val="0"/>
        </w:rPr>
      </w:r>
      <w:r>
        <w:rPr>
          <w:color w:val="231F20"/>
          <w:spacing w:val="-2"/>
        </w:rPr>
        <w:t>Topology</w:t>
      </w:r>
      <w:r>
        <w:rPr>
          <w:color w:val="231F20"/>
          <w:spacing w:val="-3"/>
        </w:rPr>
        <w:t> </w:t>
      </w:r>
      <w:r>
        <w:rPr>
          <w:color w:val="231F20"/>
          <w:spacing w:val="-4"/>
        </w:rPr>
        <w:t>view</w:t>
      </w:r>
    </w:p>
    <w:p>
      <w:pPr>
        <w:pStyle w:val="Heading6"/>
        <w:spacing w:line="240" w:lineRule="auto" w:before="62"/>
        <w:ind w:left="60"/>
        <w:rPr>
          <w:rFonts w:ascii="Palatino Linotype"/>
          <w:b w:val="0"/>
        </w:rPr>
      </w:pPr>
      <w:r>
        <w:rPr>
          <w:b w:val="0"/>
        </w:rPr>
        <w:br w:type="column"/>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60"/>
        <w:jc w:val="both"/>
      </w:pPr>
      <w:hyperlink w:history="true" w:anchor="_bookmark212">
        <w:r>
          <w:rPr>
            <w:color w:val="231F20"/>
          </w:rPr>
          <w:t>“Modeling</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with</w:t>
        </w:r>
        <w:r>
          <w:rPr>
            <w:color w:val="231F20"/>
            <w:spacing w:val="11"/>
          </w:rPr>
          <w:t> </w:t>
        </w:r>
        <w:r>
          <w:rPr>
            <w:color w:val="231F20"/>
          </w:rPr>
          <w:t>view</w:t>
        </w:r>
        <w:r>
          <w:rPr>
            <w:color w:val="231F20"/>
            <w:spacing w:val="12"/>
          </w:rPr>
          <w:t> </w:t>
        </w:r>
        <w:r>
          <w:rPr>
            <w:color w:val="231F20"/>
          </w:rPr>
          <w:t>data”</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286</w:t>
        </w:r>
      </w:hyperlink>
    </w:p>
    <w:p>
      <w:pPr>
        <w:pStyle w:val="BodyText"/>
        <w:spacing w:line="213" w:lineRule="auto" w:before="8"/>
        <w:ind w:left="60" w:right="408"/>
        <w:jc w:val="both"/>
      </w:pPr>
      <w:r>
        <w:rPr>
          <w:color w:val="231F20"/>
        </w:rPr>
        <w:t>Use the values from the current chart or table to model threshold conditions and then use the results in a new situation. Historical views are particularly valuable for researching thresholds.</w:t>
      </w:r>
    </w:p>
    <w:p>
      <w:pPr>
        <w:pStyle w:val="Heading6"/>
        <w:spacing w:line="240" w:lineRule="auto" w:before="35"/>
        <w:ind w:left="60"/>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60"/>
      </w:pPr>
      <w:hyperlink w:history="true" w:anchor="_bookmark82">
        <w:r>
          <w:rPr>
            <w:color w:val="231F20"/>
          </w:rPr>
          <w:t>“Plot</w:t>
        </w:r>
        <w:r>
          <w:rPr>
            <w:color w:val="231F20"/>
            <w:spacing w:val="11"/>
          </w:rPr>
          <w:t> </w:t>
        </w:r>
        <w:r>
          <w:rPr>
            <w:color w:val="231F20"/>
          </w:rPr>
          <w:t>chart”</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108</w:t>
        </w:r>
      </w:hyperlink>
    </w:p>
    <w:p>
      <w:pPr>
        <w:pStyle w:val="BodyText"/>
        <w:spacing w:line="213" w:lineRule="auto" w:before="8"/>
        <w:ind w:left="60" w:right="401"/>
      </w:pPr>
      <w:r>
        <w:rPr>
          <w:color w:val="231F20"/>
        </w:rPr>
        <w:t>Add a plot chart to a workspace to show trends over time among related attributes. Use the chart styling options that are available in the Properties </w:t>
      </w:r>
      <w:r>
        <w:rPr>
          <w:color w:val="231F20"/>
        </w:rPr>
        <w:t>editor to refine the appearance and to add options such as chart overlays.</w:t>
      </w:r>
    </w:p>
    <w:p>
      <w:pPr>
        <w:pStyle w:val="Heading6"/>
        <w:spacing w:line="240" w:lineRule="auto" w:before="35"/>
        <w:ind w:left="60"/>
        <w:rPr>
          <w:rFonts w:ascii="Palatino Linotype"/>
          <w:b w:val="0"/>
        </w:rPr>
      </w:pPr>
      <w:r>
        <w:rPr>
          <w:color w:val="231F20"/>
        </w:rPr>
        <w:t>Related</w:t>
      </w:r>
      <w:r>
        <w:rPr>
          <w:color w:val="231F20"/>
          <w:spacing w:val="9"/>
        </w:rPr>
        <w:t> </w:t>
      </w:r>
      <w:r>
        <w:rPr>
          <w:color w:val="231F20"/>
          <w:spacing w:val="-2"/>
        </w:rPr>
        <w:t>information</w:t>
      </w:r>
      <w:r>
        <w:rPr>
          <w:rFonts w:ascii="Palatino Linotype"/>
          <w:b w:val="0"/>
          <w:color w:val="231F20"/>
          <w:spacing w:val="-2"/>
        </w:rPr>
        <w:t>:</w:t>
      </w:r>
    </w:p>
    <w:p>
      <w:pPr>
        <w:pStyle w:val="BodyText"/>
        <w:spacing w:line="276" w:lineRule="exact" w:before="88"/>
        <w:ind w:left="74"/>
      </w:pPr>
      <w:r>
        <w:rPr>
          <w:position w:val="1"/>
        </w:rPr>
        <w:drawing>
          <wp:inline distT="0" distB="0" distL="0" distR="0">
            <wp:extent cx="177796" cy="139683"/>
            <wp:effectExtent l="0" t="0" r="0" b="0"/>
            <wp:docPr id="1299" name="Image 1299"/>
            <wp:cNvGraphicFramePr>
              <a:graphicFrameLocks/>
            </wp:cNvGraphicFramePr>
            <a:graphic>
              <a:graphicData uri="http://schemas.openxmlformats.org/drawingml/2006/picture">
                <pic:pic>
                  <pic:nvPicPr>
                    <pic:cNvPr id="1299" name="Image 1299"/>
                    <pic:cNvPicPr/>
                  </pic:nvPicPr>
                  <pic:blipFill>
                    <a:blip r:embed="rId234" cstate="print"/>
                    <a:stretch>
                      <a:fillRect/>
                    </a:stretch>
                  </pic:blipFill>
                  <pic:spPr>
                    <a:xfrm>
                      <a:off x="0" y="0"/>
                      <a:ext cx="177796" cy="139683"/>
                    </a:xfrm>
                    <a:prstGeom prst="rect">
                      <a:avLst/>
                    </a:prstGeom>
                  </pic:spPr>
                </pic:pic>
              </a:graphicData>
            </a:graphic>
          </wp:inline>
        </w:drawing>
      </w:r>
      <w:r>
        <w:rPr>
          <w:position w:val="1"/>
        </w:rPr>
      </w:r>
      <w:r>
        <w:rPr>
          <w:rFonts w:ascii="Times New Roman"/>
          <w:spacing w:val="-1"/>
        </w:rPr>
        <w:t> </w:t>
      </w:r>
      <w:hyperlink r:id="rId250">
        <w:r>
          <w:rPr>
            <w:color w:val="231F20"/>
          </w:rPr>
          <w:t>Tivoli</w:t>
        </w:r>
        <w:r>
          <w:rPr>
            <w:color w:val="231F20"/>
            <w:spacing w:val="10"/>
          </w:rPr>
          <w:t> </w:t>
        </w:r>
        <w:r>
          <w:rPr>
            <w:color w:val="231F20"/>
          </w:rPr>
          <w:t>Monitoring</w:t>
        </w:r>
        <w:r>
          <w:rPr>
            <w:color w:val="231F20"/>
            <w:spacing w:val="10"/>
          </w:rPr>
          <w:t> </w:t>
        </w:r>
        <w:r>
          <w:rPr>
            <w:color w:val="231F20"/>
          </w:rPr>
          <w:t>Media</w:t>
        </w:r>
        <w:r>
          <w:rPr>
            <w:color w:val="231F20"/>
            <w:spacing w:val="10"/>
          </w:rPr>
          <w:t> </w:t>
        </w:r>
        <w:r>
          <w:rPr>
            <w:color w:val="231F20"/>
          </w:rPr>
          <w:t>Gallery</w:t>
        </w:r>
        <w:r>
          <w:rPr>
            <w:color w:val="231F20"/>
            <w:spacing w:val="10"/>
          </w:rPr>
          <w:t> </w:t>
        </w:r>
        <w:r>
          <w:rPr>
            <w:color w:val="231F20"/>
          </w:rPr>
          <w:t>video</w:t>
        </w:r>
        <w:r>
          <w:rPr>
            <w:color w:val="231F20"/>
            <w:spacing w:val="10"/>
          </w:rPr>
          <w:t> </w:t>
        </w:r>
        <w:r>
          <w:rPr>
            <w:color w:val="231F20"/>
          </w:rPr>
          <w:t>on</w:t>
        </w:r>
        <w:r>
          <w:rPr>
            <w:color w:val="231F20"/>
            <w:spacing w:val="10"/>
          </w:rPr>
          <w:t> </w:t>
        </w:r>
        <w:r>
          <w:rPr>
            <w:color w:val="231F20"/>
          </w:rPr>
          <w:t>historical</w:t>
        </w:r>
        <w:r>
          <w:rPr>
            <w:color w:val="231F20"/>
            <w:spacing w:val="10"/>
          </w:rPr>
          <w:t> </w:t>
        </w:r>
        <w:r>
          <w:rPr>
            <w:color w:val="231F20"/>
          </w:rPr>
          <w:t>baselines</w:t>
        </w:r>
      </w:hyperlink>
    </w:p>
    <w:p>
      <w:pPr>
        <w:pStyle w:val="BodyText"/>
        <w:spacing w:line="213" w:lineRule="auto" w:before="8"/>
        <w:ind w:left="60" w:right="299"/>
      </w:pPr>
      <w:r>
        <w:rPr/>
        <mc:AlternateContent>
          <mc:Choice Requires="wps">
            <w:drawing>
              <wp:anchor distT="0" distB="0" distL="0" distR="0" allowOverlap="1" layoutInCell="1" locked="0" behindDoc="0" simplePos="0" relativeHeight="15818752">
                <wp:simplePos x="0" y="0"/>
                <wp:positionH relativeFrom="page">
                  <wp:posOffset>912380</wp:posOffset>
                </wp:positionH>
                <wp:positionV relativeFrom="paragraph">
                  <wp:posOffset>466022</wp:posOffset>
                </wp:positionV>
                <wp:extent cx="6082665" cy="1270"/>
                <wp:effectExtent l="0" t="0" r="0" b="0"/>
                <wp:wrapNone/>
                <wp:docPr id="1300" name="Graphic 1300"/>
                <wp:cNvGraphicFramePr>
                  <a:graphicFrameLocks/>
                </wp:cNvGraphicFramePr>
                <a:graphic>
                  <a:graphicData uri="http://schemas.microsoft.com/office/word/2010/wordprocessingShape">
                    <wps:wsp>
                      <wps:cNvPr id="1300" name="Graphic 130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8752" from="71.841003pt,36.694698pt" to="550.783003pt,36.694698pt" stroked="true" strokeweight=".499pt" strokecolor="#231f20">
                <v:stroke dashstyle="solid"/>
                <w10:wrap type="none"/>
              </v:line>
            </w:pict>
          </mc:Fallback>
        </mc:AlternateContent>
      </w:r>
      <w:r>
        <w:rPr>
          <w:color w:val="231F20"/>
        </w:rPr>
        <w:t>This video demonstrates how historical baselines can be used in line charts </w:t>
      </w:r>
      <w:r>
        <w:rPr>
          <w:color w:val="231F20"/>
        </w:rPr>
        <w:t>for either trend or predictive analysis.</w:t>
      </w:r>
    </w:p>
    <w:p>
      <w:pPr>
        <w:pStyle w:val="BodyText"/>
      </w:pPr>
    </w:p>
    <w:p>
      <w:pPr>
        <w:pStyle w:val="BodyText"/>
        <w:spacing w:before="197"/>
      </w:pPr>
    </w:p>
    <w:p>
      <w:pPr>
        <w:pStyle w:val="BodyText"/>
        <w:spacing w:line="213" w:lineRule="auto"/>
        <w:ind w:left="60" w:right="401"/>
      </w:pPr>
      <w:r>
        <w:rPr>
          <w:color w:val="231F20"/>
        </w:rPr>
        <w:t>The topology view shows the arrangement of monitored components associated with its Navigator item. For attributes that can show their relationship to other attributes in the same group as connected objects, there is also the </w:t>
      </w:r>
      <w:r>
        <w:rPr>
          <w:rFonts w:ascii="Book Antiqua"/>
          <w:i/>
          <w:color w:val="231F20"/>
        </w:rPr>
        <w:t>relational </w:t>
      </w:r>
      <w:r>
        <w:rPr>
          <w:rFonts w:ascii="Book Antiqua"/>
          <w:i/>
          <w:color w:val="231F20"/>
        </w:rPr>
        <w:t>table</w:t>
      </w:r>
      <w:r>
        <w:rPr>
          <w:rFonts w:ascii="Book Antiqua"/>
          <w:i/>
          <w:color w:val="231F20"/>
        </w:rPr>
        <w:t> based </w:t>
      </w:r>
      <w:r>
        <w:rPr>
          <w:color w:val="231F20"/>
        </w:rPr>
        <w:t>topology view.</w:t>
      </w:r>
    </w:p>
    <w:p>
      <w:pPr>
        <w:pStyle w:val="BodyText"/>
        <w:spacing w:line="213" w:lineRule="auto" w:before="237"/>
        <w:ind w:left="60" w:right="401"/>
      </w:pPr>
      <w:r>
        <w:rPr>
          <w:color w:val="231F20"/>
        </w:rPr>
        <w:t>As with the table view and chart view, you can use the topology view to display data from a query of your monitoring agents or from a custom ODBC query of a</w:t>
      </w:r>
      <w:r>
        <w:rPr>
          <w:color w:val="231F20"/>
          <w:spacing w:val="40"/>
        </w:rPr>
        <w:t> </w:t>
      </w:r>
      <w:r>
        <w:rPr>
          <w:color w:val="231F20"/>
        </w:rPr>
        <w:t>data source. The topology view provides a set of styling tools that enable you stress hierarchical relationships among related objects.</w:t>
      </w:r>
    </w:p>
    <w:p>
      <w:pPr>
        <w:pStyle w:val="BodyText"/>
        <w:spacing w:line="213" w:lineRule="auto" w:before="237"/>
        <w:ind w:left="60" w:right="261"/>
      </w:pPr>
      <w:r>
        <w:rPr>
          <w:color w:val="231F20"/>
        </w:rPr>
        <w:t>When you create a topology view that is based on a query (relational table </w:t>
      </w:r>
      <w:r>
        <w:rPr>
          <w:color w:val="231F20"/>
        </w:rPr>
        <w:t>based), each row of data returned becomes an object in the topology view. As with other query-based</w:t>
      </w:r>
      <w:r>
        <w:rPr>
          <w:color w:val="231F20"/>
          <w:spacing w:val="28"/>
        </w:rPr>
        <w:t> </w:t>
      </w:r>
      <w:r>
        <w:rPr>
          <w:color w:val="231F20"/>
        </w:rPr>
        <w:t>views,</w:t>
      </w:r>
      <w:r>
        <w:rPr>
          <w:color w:val="231F20"/>
          <w:spacing w:val="28"/>
        </w:rPr>
        <w:t> </w:t>
      </w:r>
      <w:r>
        <w:rPr>
          <w:color w:val="231F20"/>
        </w:rPr>
        <w:t>you</w:t>
      </w:r>
      <w:r>
        <w:rPr>
          <w:color w:val="231F20"/>
          <w:spacing w:val="28"/>
        </w:rPr>
        <w:t> </w:t>
      </w:r>
      <w:r>
        <w:rPr>
          <w:color w:val="231F20"/>
        </w:rPr>
        <w:t>can</w:t>
      </w:r>
      <w:r>
        <w:rPr>
          <w:color w:val="231F20"/>
          <w:spacing w:val="28"/>
        </w:rPr>
        <w:t> </w:t>
      </w:r>
      <w:r>
        <w:rPr>
          <w:color w:val="231F20"/>
        </w:rPr>
        <w:t>use</w:t>
      </w:r>
      <w:r>
        <w:rPr>
          <w:color w:val="231F20"/>
          <w:spacing w:val="28"/>
        </w:rPr>
        <w:t> </w:t>
      </w:r>
      <w:r>
        <w:rPr>
          <w:color w:val="231F20"/>
        </w:rPr>
        <w:t>the</w:t>
      </w:r>
      <w:r>
        <w:rPr>
          <w:color w:val="231F20"/>
          <w:spacing w:val="28"/>
        </w:rPr>
        <w:t> </w:t>
      </w:r>
      <w:r>
        <w:rPr>
          <w:color w:val="231F20"/>
        </w:rPr>
        <w:t>Properties</w:t>
      </w:r>
      <w:r>
        <w:rPr>
          <w:color w:val="231F20"/>
          <w:spacing w:val="28"/>
        </w:rPr>
        <w:t> </w:t>
      </w:r>
      <w:r>
        <w:rPr>
          <w:color w:val="231F20"/>
        </w:rPr>
        <w:t>editor</w:t>
      </w:r>
      <w:r>
        <w:rPr>
          <w:color w:val="231F20"/>
          <w:spacing w:val="28"/>
        </w:rPr>
        <w:t> </w:t>
      </w:r>
      <w:r>
        <w:rPr>
          <w:color w:val="231F20"/>
        </w:rPr>
        <w:t>to</w:t>
      </w:r>
      <w:r>
        <w:rPr>
          <w:color w:val="231F20"/>
          <w:spacing w:val="28"/>
        </w:rPr>
        <w:t> </w:t>
      </w:r>
      <w:r>
        <w:rPr>
          <w:color w:val="231F20"/>
        </w:rPr>
        <w:t>apply</w:t>
      </w:r>
      <w:r>
        <w:rPr>
          <w:color w:val="231F20"/>
          <w:spacing w:val="28"/>
        </w:rPr>
        <w:t> </w:t>
      </w:r>
      <w:r>
        <w:rPr>
          <w:color w:val="231F20"/>
        </w:rPr>
        <w:t>filters</w:t>
      </w:r>
      <w:r>
        <w:rPr>
          <w:color w:val="231F20"/>
          <w:spacing w:val="28"/>
        </w:rPr>
        <w:t> </w:t>
      </w:r>
      <w:r>
        <w:rPr>
          <w:color w:val="231F20"/>
        </w:rPr>
        <w:t>and thresholds to the view but with some differences:</w:t>
      </w:r>
    </w:p>
    <w:p>
      <w:pPr>
        <w:pStyle w:val="BodyText"/>
        <w:spacing w:line="213" w:lineRule="auto" w:before="57"/>
        <w:ind w:left="276" w:right="401" w:hanging="216"/>
      </w:pPr>
      <w:r>
        <w:rPr>
          <w:rFonts w:ascii="Futura MdCn BT"/>
          <w:color w:val="231F20"/>
        </w:rPr>
        <w:t>v</w:t>
      </w:r>
      <w:r>
        <w:rPr>
          <w:rFonts w:ascii="Futura MdCn BT"/>
          <w:color w:val="231F20"/>
          <w:spacing w:val="80"/>
          <w:w w:val="150"/>
        </w:rPr>
        <w:t> </w:t>
      </w:r>
      <w:r>
        <w:rPr>
          <w:color w:val="231F20"/>
        </w:rPr>
        <w:t>In</w:t>
      </w:r>
      <w:r>
        <w:rPr>
          <w:color w:val="231F20"/>
          <w:spacing w:val="26"/>
        </w:rPr>
        <w:t> </w:t>
      </w:r>
      <w:r>
        <w:rPr>
          <w:color w:val="231F20"/>
        </w:rPr>
        <w:t>the</w:t>
      </w:r>
      <w:r>
        <w:rPr>
          <w:color w:val="231F20"/>
          <w:spacing w:val="26"/>
        </w:rPr>
        <w:t> </w:t>
      </w:r>
      <w:r>
        <w:rPr>
          <w:color w:val="231F20"/>
        </w:rPr>
        <w:t>Filters</w:t>
      </w:r>
      <w:r>
        <w:rPr>
          <w:color w:val="231F20"/>
          <w:spacing w:val="26"/>
        </w:rPr>
        <w:t> </w:t>
      </w:r>
      <w:r>
        <w:rPr>
          <w:color w:val="231F20"/>
        </w:rPr>
        <w:t>tab,</w:t>
      </w:r>
      <w:r>
        <w:rPr>
          <w:color w:val="231F20"/>
          <w:spacing w:val="26"/>
        </w:rPr>
        <w:t> </w:t>
      </w:r>
      <w:r>
        <w:rPr>
          <w:color w:val="231F20"/>
        </w:rPr>
        <w:t>the</w:t>
      </w:r>
      <w:r>
        <w:rPr>
          <w:color w:val="231F20"/>
          <w:spacing w:val="26"/>
        </w:rPr>
        <w:t> </w:t>
      </w:r>
      <w:r>
        <w:rPr>
          <w:color w:val="231F20"/>
        </w:rPr>
        <w:t>column</w:t>
      </w:r>
      <w:r>
        <w:rPr>
          <w:color w:val="231F20"/>
          <w:spacing w:val="26"/>
        </w:rPr>
        <w:t> </w:t>
      </w:r>
      <w:r>
        <w:rPr>
          <w:color w:val="231F20"/>
        </w:rPr>
        <w:t>check</w:t>
      </w:r>
      <w:r>
        <w:rPr>
          <w:color w:val="231F20"/>
          <w:spacing w:val="26"/>
        </w:rPr>
        <w:t> </w:t>
      </w:r>
      <w:r>
        <w:rPr>
          <w:color w:val="231F20"/>
        </w:rPr>
        <w:t>box</w:t>
      </w:r>
      <w:r>
        <w:rPr>
          <w:color w:val="231F20"/>
          <w:spacing w:val="26"/>
        </w:rPr>
        <w:t> </w:t>
      </w:r>
      <w:r>
        <w:rPr>
          <w:color w:val="231F20"/>
        </w:rPr>
        <w:t>determines</w:t>
      </w:r>
      <w:r>
        <w:rPr>
          <w:color w:val="231F20"/>
          <w:spacing w:val="26"/>
        </w:rPr>
        <w:t> </w:t>
      </w:r>
      <w:r>
        <w:rPr>
          <w:color w:val="231F20"/>
        </w:rPr>
        <w:t>whether</w:t>
      </w:r>
      <w:r>
        <w:rPr>
          <w:color w:val="231F20"/>
          <w:spacing w:val="26"/>
        </w:rPr>
        <w:t> </w:t>
      </w:r>
      <w:r>
        <w:rPr>
          <w:color w:val="231F20"/>
        </w:rPr>
        <w:t>the</w:t>
      </w:r>
      <w:r>
        <w:rPr>
          <w:color w:val="231F20"/>
          <w:spacing w:val="26"/>
        </w:rPr>
        <w:t> </w:t>
      </w:r>
      <w:r>
        <w:rPr>
          <w:color w:val="231F20"/>
        </w:rPr>
        <w:t>value</w:t>
      </w:r>
      <w:r>
        <w:rPr>
          <w:color w:val="231F20"/>
          <w:spacing w:val="26"/>
        </w:rPr>
        <w:t> </w:t>
      </w:r>
      <w:r>
        <w:rPr>
          <w:color w:val="231F20"/>
        </w:rPr>
        <w:t>is included in the hover help. Any formulas you write for the filters are applied </w:t>
      </w:r>
      <w:r>
        <w:rPr>
          <w:color w:val="231F20"/>
        </w:rPr>
        <w:t>in</w:t>
      </w:r>
      <w:r>
        <w:rPr>
          <w:color w:val="231F20"/>
        </w:rPr>
        <w:t> the same way as for other query-based views.</w:t>
      </w:r>
    </w:p>
    <w:p>
      <w:pPr>
        <w:pStyle w:val="BodyText"/>
        <w:spacing w:line="213" w:lineRule="auto" w:before="58"/>
        <w:ind w:left="276" w:hanging="216"/>
      </w:pPr>
      <w:r>
        <w:rPr>
          <w:rFonts w:ascii="Futura MdCn BT"/>
          <w:color w:val="231F20"/>
        </w:rPr>
        <w:t>v</w:t>
      </w:r>
      <w:r>
        <w:rPr>
          <w:rFonts w:ascii="Futura MdCn BT"/>
          <w:color w:val="231F20"/>
          <w:spacing w:val="80"/>
        </w:rPr>
        <w:t> </w:t>
      </w:r>
      <w:r>
        <w:rPr>
          <w:color w:val="231F20"/>
        </w:rPr>
        <w:t>In the Thresholds tab, the chosen severity is applied to the topology as an alert</w:t>
      </w:r>
      <w:r>
        <w:rPr>
          <w:color w:val="231F20"/>
          <w:spacing w:val="40"/>
        </w:rPr>
        <w:t> </w:t>
      </w:r>
      <w:bookmarkStart w:name="Creating a topology view" w:id="214"/>
      <w:bookmarkEnd w:id="214"/>
      <w:r>
        <w:rPr>
          <w:color w:val="231F20"/>
        </w:rPr>
        <w:t>indicator</w:t>
      </w:r>
      <w:r>
        <w:rPr>
          <w:color w:val="231F20"/>
        </w:rPr>
        <w:t> when the threshold is met.</w:t>
      </w:r>
    </w:p>
    <w:p>
      <w:pPr>
        <w:spacing w:after="0" w:line="213" w:lineRule="auto"/>
        <w:sectPr>
          <w:pgSz w:w="12240" w:h="15840"/>
          <w:pgMar w:header="0" w:footer="736" w:top="1180" w:bottom="920" w:left="1000" w:right="1060"/>
          <w:cols w:num="2" w:equalWidth="0">
            <w:col w:w="2373" w:space="40"/>
            <w:col w:w="7767"/>
          </w:cols>
        </w:sectPr>
      </w:pPr>
    </w:p>
    <w:p>
      <w:pPr>
        <w:pStyle w:val="Heading3"/>
        <w:spacing w:before="217"/>
        <w:ind w:left="1574"/>
      </w:pPr>
      <w:r>
        <w:rPr>
          <w:color w:val="231F20"/>
        </w:rPr>
        <w:t>Creating</w:t>
      </w:r>
      <w:r>
        <w:rPr>
          <w:color w:val="231F20"/>
          <w:spacing w:val="6"/>
        </w:rPr>
        <w:t> </w:t>
      </w:r>
      <w:r>
        <w:rPr>
          <w:color w:val="231F20"/>
        </w:rPr>
        <w:t>a</w:t>
      </w:r>
      <w:r>
        <w:rPr>
          <w:color w:val="231F20"/>
          <w:spacing w:val="7"/>
        </w:rPr>
        <w:t> </w:t>
      </w:r>
      <w:r>
        <w:rPr>
          <w:color w:val="231F20"/>
        </w:rPr>
        <w:t>topology</w:t>
      </w:r>
      <w:r>
        <w:rPr>
          <w:color w:val="231F20"/>
          <w:spacing w:val="7"/>
        </w:rPr>
        <w:t> </w:t>
      </w:r>
      <w:r>
        <w:rPr>
          <w:color w:val="231F20"/>
          <w:spacing w:val="-4"/>
        </w:rPr>
        <w:t>view</w:t>
      </w:r>
    </w:p>
    <w:p>
      <w:pPr>
        <w:pStyle w:val="Heading4"/>
        <w:spacing w:before="20"/>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545"/>
      </w:pPr>
      <w:r>
        <w:rPr>
          <w:color w:val="231F20"/>
        </w:rPr>
        <w:t>A topology view can be added to a workspace to show the arrangement of monitored components associated with its Navigator item. Do the following </w:t>
      </w:r>
      <w:r>
        <w:rPr>
          <w:color w:val="231F20"/>
        </w:rPr>
        <w:t>to create a topology view.</w:t>
      </w:r>
    </w:p>
    <w:p>
      <w:pPr>
        <w:pStyle w:val="Heading4"/>
        <w:spacing w:before="199"/>
        <w:ind w:left="2472"/>
      </w:pPr>
      <w:r>
        <w:rPr>
          <w:color w:val="231F20"/>
          <w:spacing w:val="-2"/>
        </w:rPr>
        <w:t>Procedure</w:t>
      </w:r>
    </w:p>
    <w:p>
      <w:pPr>
        <w:pStyle w:val="ListParagraph"/>
        <w:numPr>
          <w:ilvl w:val="0"/>
          <w:numId w:val="58"/>
        </w:numPr>
        <w:tabs>
          <w:tab w:pos="2899" w:val="left" w:leader="none"/>
        </w:tabs>
        <w:spacing w:line="213" w:lineRule="auto" w:before="62" w:after="0"/>
        <w:ind w:left="2899" w:right="371" w:hanging="316"/>
        <w:jc w:val="left"/>
        <w:rPr>
          <w:rFonts w:ascii="Arial"/>
          <w:color w:val="231F20"/>
          <w:sz w:val="20"/>
        </w:rPr>
      </w:pPr>
      <w:r>
        <w:rPr/>
        <w:drawing>
          <wp:anchor distT="0" distB="0" distL="0" distR="0" allowOverlap="1" layoutInCell="1" locked="0" behindDoc="1" simplePos="0" relativeHeight="473214976">
            <wp:simplePos x="0" y="0"/>
            <wp:positionH relativeFrom="page">
              <wp:posOffset>6608339</wp:posOffset>
            </wp:positionH>
            <wp:positionV relativeFrom="paragraph">
              <wp:posOffset>376596</wp:posOffset>
            </wp:positionV>
            <wp:extent cx="95250" cy="101600"/>
            <wp:effectExtent l="0" t="0" r="0" b="0"/>
            <wp:wrapNone/>
            <wp:docPr id="1301" name="Image 1301"/>
            <wp:cNvGraphicFramePr>
              <a:graphicFrameLocks/>
            </wp:cNvGraphicFramePr>
            <a:graphic>
              <a:graphicData uri="http://schemas.openxmlformats.org/drawingml/2006/picture">
                <pic:pic>
                  <pic:nvPicPr>
                    <pic:cNvPr id="1301" name="Image 1301"/>
                    <pic:cNvPicPr/>
                  </pic:nvPicPr>
                  <pic:blipFill>
                    <a:blip r:embed="rId70" cstate="print"/>
                    <a:stretch>
                      <a:fillRect/>
                    </a:stretch>
                  </pic:blipFill>
                  <pic:spPr>
                    <a:xfrm>
                      <a:off x="0" y="0"/>
                      <a:ext cx="95250" cy="101600"/>
                    </a:xfrm>
                    <a:prstGeom prst="rect">
                      <a:avLst/>
                    </a:prstGeom>
                  </pic:spPr>
                </pic:pic>
              </a:graphicData>
            </a:graphic>
          </wp:anchor>
        </w:drawing>
      </w:r>
      <w:r>
        <w:rPr>
          <w:color w:val="231F20"/>
          <w:sz w:val="20"/>
        </w:rPr>
        <w:t>Select the workspace where you want to create the view. The context of the Navigator item and the queries available determine the type of information that can be displayed. For example, when adding a topology view to an Enterprise Navigator item workspace, you can choose Tivoli Management Services Infrastructure as your topology source or Relational Table Based. </w:t>
      </w:r>
      <w:r>
        <w:rPr>
          <w:color w:val="231F20"/>
          <w:sz w:val="20"/>
        </w:rPr>
        <w:t>At no other level of the Navigator do you get the TMS Infrastructure source.</w:t>
      </w:r>
    </w:p>
    <w:p>
      <w:pPr>
        <w:pStyle w:val="ListParagraph"/>
        <w:numPr>
          <w:ilvl w:val="0"/>
          <w:numId w:val="58"/>
        </w:numPr>
        <w:tabs>
          <w:tab w:pos="2898" w:val="left" w:leader="none"/>
        </w:tabs>
        <w:spacing w:line="255" w:lineRule="exact" w:before="33" w:after="0"/>
        <w:ind w:left="2898" w:right="0" w:hanging="315"/>
        <w:jc w:val="left"/>
        <w:rPr>
          <w:rFonts w:ascii="Arial"/>
          <w:color w:val="231F20"/>
          <w:sz w:val="20"/>
        </w:rPr>
      </w:pPr>
      <w:r>
        <w:rPr>
          <w:color w:val="231F20"/>
          <w:sz w:val="20"/>
        </w:rPr>
        <w:t>If</w:t>
      </w:r>
      <w:r>
        <w:rPr>
          <w:color w:val="231F20"/>
          <w:spacing w:val="14"/>
          <w:sz w:val="20"/>
        </w:rPr>
        <w:t> </w:t>
      </w:r>
      <w:r>
        <w:rPr>
          <w:color w:val="231F20"/>
          <w:sz w:val="20"/>
        </w:rPr>
        <w:t>you</w:t>
      </w:r>
      <w:r>
        <w:rPr>
          <w:color w:val="231F20"/>
          <w:spacing w:val="14"/>
          <w:sz w:val="20"/>
        </w:rPr>
        <w:t> </w:t>
      </w:r>
      <w:r>
        <w:rPr>
          <w:color w:val="231F20"/>
          <w:sz w:val="20"/>
        </w:rPr>
        <w:t>want</w:t>
      </w:r>
      <w:r>
        <w:rPr>
          <w:color w:val="231F20"/>
          <w:spacing w:val="14"/>
          <w:sz w:val="20"/>
        </w:rPr>
        <w:t> </w:t>
      </w:r>
      <w:r>
        <w:rPr>
          <w:color w:val="231F20"/>
          <w:sz w:val="20"/>
        </w:rPr>
        <w:t>the</w:t>
      </w:r>
      <w:r>
        <w:rPr>
          <w:color w:val="231F20"/>
          <w:spacing w:val="14"/>
          <w:sz w:val="20"/>
        </w:rPr>
        <w:t> </w:t>
      </w:r>
      <w:r>
        <w:rPr>
          <w:color w:val="231F20"/>
          <w:sz w:val="20"/>
        </w:rPr>
        <w:t>view</w:t>
      </w:r>
      <w:r>
        <w:rPr>
          <w:color w:val="231F20"/>
          <w:spacing w:val="14"/>
          <w:sz w:val="20"/>
        </w:rPr>
        <w:t> </w:t>
      </w:r>
      <w:r>
        <w:rPr>
          <w:color w:val="231F20"/>
          <w:sz w:val="20"/>
        </w:rPr>
        <w:t>to</w:t>
      </w:r>
      <w:r>
        <w:rPr>
          <w:color w:val="231F20"/>
          <w:spacing w:val="14"/>
          <w:sz w:val="20"/>
        </w:rPr>
        <w:t> </w:t>
      </w:r>
      <w:r>
        <w:rPr>
          <w:color w:val="231F20"/>
          <w:sz w:val="20"/>
        </w:rPr>
        <w:t>occupy</w:t>
      </w:r>
      <w:r>
        <w:rPr>
          <w:color w:val="231F20"/>
          <w:spacing w:val="14"/>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space,</w:t>
      </w:r>
      <w:r>
        <w:rPr>
          <w:color w:val="231F20"/>
          <w:spacing w:val="14"/>
          <w:sz w:val="20"/>
        </w:rPr>
        <w:t> </w:t>
      </w:r>
      <w:r>
        <w:rPr>
          <w:color w:val="231F20"/>
          <w:sz w:val="20"/>
        </w:rPr>
        <w:t>click</w:t>
      </w:r>
      <w:r>
        <w:rPr>
          <w:color w:val="231F20"/>
          <w:spacing w:val="32"/>
          <w:sz w:val="20"/>
        </w:rPr>
        <w:t> </w:t>
      </w:r>
      <w:r>
        <w:rPr>
          <w:color w:val="231F20"/>
          <w:spacing w:val="-15"/>
          <w:position w:val="-1"/>
          <w:sz w:val="20"/>
        </w:rPr>
        <w:drawing>
          <wp:inline distT="0" distB="0" distL="0" distR="0">
            <wp:extent cx="88900" cy="88900"/>
            <wp:effectExtent l="0" t="0" r="0" b="0"/>
            <wp:docPr id="1302" name="Image 1302"/>
            <wp:cNvGraphicFramePr>
              <a:graphicFrameLocks/>
            </wp:cNvGraphicFramePr>
            <a:graphic>
              <a:graphicData uri="http://schemas.openxmlformats.org/drawingml/2006/picture">
                <pic:pic>
                  <pic:nvPicPr>
                    <pic:cNvPr id="1302" name="Image 1302"/>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6"/>
          <w:sz w:val="20"/>
        </w:rPr>
        <w:t> </w:t>
      </w:r>
      <w:r>
        <w:rPr>
          <w:rFonts w:ascii="Book Antiqua"/>
          <w:b/>
          <w:color w:val="231F20"/>
          <w:sz w:val="20"/>
        </w:rPr>
        <w:t>Split</w:t>
      </w:r>
      <w:r>
        <w:rPr>
          <w:rFonts w:ascii="Book Antiqua"/>
          <w:b/>
          <w:color w:val="231F20"/>
          <w:spacing w:val="14"/>
          <w:sz w:val="20"/>
        </w:rPr>
        <w:t> </w:t>
      </w:r>
      <w:r>
        <w:rPr>
          <w:rFonts w:ascii="Book Antiqua"/>
          <w:b/>
          <w:color w:val="231F20"/>
          <w:sz w:val="20"/>
        </w:rPr>
        <w:t>Vertically</w:t>
      </w:r>
      <w:r>
        <w:rPr>
          <w:rFonts w:ascii="Book Antiqua"/>
          <w:b/>
          <w:color w:val="231F20"/>
          <w:spacing w:val="14"/>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303" name="Image 1303"/>
            <wp:cNvGraphicFramePr>
              <a:graphicFrameLocks/>
            </wp:cNvGraphicFramePr>
            <a:graphic>
              <a:graphicData uri="http://schemas.openxmlformats.org/drawingml/2006/picture">
                <pic:pic>
                  <pic:nvPicPr>
                    <pic:cNvPr id="1303" name="Image 1303"/>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p>
    <w:p>
      <w:pPr>
        <w:spacing w:line="255" w:lineRule="exact" w:before="0"/>
        <w:ind w:left="2899" w:right="0" w:firstLine="0"/>
        <w:jc w:val="left"/>
        <w:rPr>
          <w:sz w:val="20"/>
        </w:rPr>
      </w:pPr>
      <w:r>
        <w:rPr>
          <w:rFonts w:ascii="Book Antiqua"/>
          <w:b/>
          <w:color w:val="231F20"/>
          <w:sz w:val="20"/>
        </w:rPr>
        <w:t>Split</w:t>
      </w:r>
      <w:r>
        <w:rPr>
          <w:rFonts w:ascii="Book Antiqua"/>
          <w:b/>
          <w:color w:val="231F20"/>
          <w:spacing w:val="9"/>
          <w:sz w:val="20"/>
        </w:rPr>
        <w:t> </w:t>
      </w:r>
      <w:r>
        <w:rPr>
          <w:rFonts w:ascii="Book Antiqua"/>
          <w:b/>
          <w:color w:val="231F20"/>
          <w:sz w:val="20"/>
        </w:rPr>
        <w:t>Horizontally</w:t>
      </w:r>
      <w:r>
        <w:rPr>
          <w:rFonts w:ascii="Book Antiqua"/>
          <w:b/>
          <w:color w:val="231F20"/>
          <w:spacing w:val="10"/>
          <w:sz w:val="20"/>
        </w:rPr>
        <w:t> </w:t>
      </w:r>
      <w:r>
        <w:rPr>
          <w:color w:val="231F20"/>
          <w:sz w:val="20"/>
        </w:rPr>
        <w:t>in</w:t>
      </w:r>
      <w:r>
        <w:rPr>
          <w:color w:val="231F20"/>
          <w:spacing w:val="9"/>
          <w:sz w:val="20"/>
        </w:rPr>
        <w:t> </w:t>
      </w:r>
      <w:r>
        <w:rPr>
          <w:color w:val="231F20"/>
          <w:sz w:val="20"/>
        </w:rPr>
        <w:t>an</w:t>
      </w:r>
      <w:r>
        <w:rPr>
          <w:color w:val="231F20"/>
          <w:spacing w:val="10"/>
          <w:sz w:val="20"/>
        </w:rPr>
        <w:t> </w:t>
      </w:r>
      <w:r>
        <w:rPr>
          <w:color w:val="231F20"/>
          <w:sz w:val="20"/>
        </w:rPr>
        <w:t>existing</w:t>
      </w:r>
      <w:r>
        <w:rPr>
          <w:color w:val="231F20"/>
          <w:spacing w:val="9"/>
          <w:sz w:val="20"/>
        </w:rPr>
        <w:t> </w:t>
      </w:r>
      <w:r>
        <w:rPr>
          <w:color w:val="231F20"/>
          <w:sz w:val="20"/>
        </w:rPr>
        <w:t>view.</w:t>
      </w:r>
      <w:r>
        <w:rPr>
          <w:color w:val="231F20"/>
          <w:spacing w:val="10"/>
          <w:sz w:val="20"/>
        </w:rPr>
        <w:t> </w:t>
      </w:r>
      <w:r>
        <w:rPr>
          <w:color w:val="231F20"/>
          <w:sz w:val="20"/>
        </w:rPr>
        <w:t>The</w:t>
      </w:r>
      <w:r>
        <w:rPr>
          <w:color w:val="231F20"/>
          <w:spacing w:val="9"/>
          <w:sz w:val="20"/>
        </w:rPr>
        <w:t> </w:t>
      </w:r>
      <w:r>
        <w:rPr>
          <w:color w:val="231F20"/>
          <w:sz w:val="20"/>
        </w:rPr>
        <w:t>pane</w:t>
      </w:r>
      <w:r>
        <w:rPr>
          <w:color w:val="231F20"/>
          <w:spacing w:val="10"/>
          <w:sz w:val="20"/>
        </w:rPr>
        <w:t> </w:t>
      </w:r>
      <w:r>
        <w:rPr>
          <w:color w:val="231F20"/>
          <w:sz w:val="20"/>
        </w:rPr>
        <w:t>divides</w:t>
      </w:r>
      <w:r>
        <w:rPr>
          <w:color w:val="231F20"/>
          <w:spacing w:val="9"/>
          <w:sz w:val="20"/>
        </w:rPr>
        <w:t> </w:t>
      </w:r>
      <w:r>
        <w:rPr>
          <w:color w:val="231F20"/>
          <w:sz w:val="20"/>
        </w:rPr>
        <w:t>and</w:t>
      </w:r>
      <w:r>
        <w:rPr>
          <w:color w:val="231F20"/>
          <w:spacing w:val="10"/>
          <w:sz w:val="20"/>
        </w:rPr>
        <w:t> </w:t>
      </w:r>
      <w:r>
        <w:rPr>
          <w:color w:val="231F20"/>
          <w:sz w:val="20"/>
        </w:rPr>
        <w:t>a</w:t>
      </w:r>
      <w:r>
        <w:rPr>
          <w:color w:val="231F20"/>
          <w:spacing w:val="9"/>
          <w:sz w:val="20"/>
        </w:rPr>
        <w:t> </w:t>
      </w:r>
      <w:r>
        <w:rPr>
          <w:color w:val="231F20"/>
          <w:sz w:val="20"/>
        </w:rPr>
        <w:t>duplicate</w:t>
      </w:r>
      <w:r>
        <w:rPr>
          <w:color w:val="231F20"/>
          <w:spacing w:val="10"/>
          <w:sz w:val="20"/>
        </w:rPr>
        <w:t> </w:t>
      </w:r>
      <w:r>
        <w:rPr>
          <w:color w:val="231F20"/>
          <w:spacing w:val="-5"/>
          <w:sz w:val="20"/>
        </w:rPr>
        <w:t>is</w:t>
      </w:r>
    </w:p>
    <w:p>
      <w:pPr>
        <w:spacing w:after="0" w:line="255" w:lineRule="exact"/>
        <w:jc w:val="left"/>
        <w:rPr>
          <w:sz w:val="20"/>
        </w:rPr>
        <w:sectPr>
          <w:type w:val="continuous"/>
          <w:pgSz w:w="12240" w:h="15840"/>
          <w:pgMar w:header="0" w:footer="736" w:top="0" w:bottom="4660" w:left="1000" w:right="1060"/>
        </w:sectPr>
      </w:pPr>
    </w:p>
    <w:p>
      <w:pPr>
        <w:pStyle w:val="BodyText"/>
        <w:spacing w:line="213" w:lineRule="auto" w:before="85"/>
        <w:ind w:left="2659" w:right="636"/>
      </w:pPr>
      <w:bookmarkStart w:name="_bookmark100" w:id="215"/>
      <w:bookmarkEnd w:id="215"/>
      <w:r>
        <w:rPr/>
      </w:r>
      <w:r>
        <w:rPr>
          <w:color w:val="231F20"/>
        </w:rPr>
        <w:t>created. If you split the Navigator, the new view is empty. If you do not see</w:t>
      </w:r>
      <w:r>
        <w:rPr>
          <w:color w:val="231F20"/>
          <w:spacing w:val="80"/>
        </w:rPr>
        <w:t> </w:t>
      </w:r>
      <w:r>
        <w:rPr>
          <w:color w:val="231F20"/>
        </w:rPr>
        <w:t>the</w:t>
      </w:r>
      <w:r>
        <w:rPr>
          <w:color w:val="231F20"/>
          <w:spacing w:val="29"/>
        </w:rPr>
        <w:t> </w:t>
      </w:r>
      <w:r>
        <w:rPr>
          <w:color w:val="231F20"/>
          <w:spacing w:val="-14"/>
          <w:position w:val="-1"/>
        </w:rPr>
        <w:drawing>
          <wp:inline distT="0" distB="0" distL="0" distR="0">
            <wp:extent cx="88900" cy="88900"/>
            <wp:effectExtent l="0" t="0" r="0" b="0"/>
            <wp:docPr id="1304" name="Image 1304"/>
            <wp:cNvGraphicFramePr>
              <a:graphicFrameLocks/>
            </wp:cNvGraphicFramePr>
            <a:graphic>
              <a:graphicData uri="http://schemas.openxmlformats.org/drawingml/2006/picture">
                <pic:pic>
                  <pic:nvPicPr>
                    <pic:cNvPr id="1304" name="Image 1304"/>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or</w:t>
      </w:r>
      <w:r>
        <w:rPr>
          <w:color w:val="231F20"/>
          <w:spacing w:val="29"/>
        </w:rPr>
        <w:t> </w:t>
      </w:r>
      <w:r>
        <w:rPr>
          <w:color w:val="231F20"/>
          <w:spacing w:val="-14"/>
          <w:position w:val="-1"/>
        </w:rPr>
        <w:drawing>
          <wp:inline distT="0" distB="0" distL="0" distR="0">
            <wp:extent cx="88900" cy="88900"/>
            <wp:effectExtent l="0" t="0" r="0" b="0"/>
            <wp:docPr id="1305" name="Image 1305"/>
            <wp:cNvGraphicFramePr>
              <a:graphicFrameLocks/>
            </wp:cNvGraphicFramePr>
            <a:graphic>
              <a:graphicData uri="http://schemas.openxmlformats.org/drawingml/2006/picture">
                <pic:pic>
                  <pic:nvPicPr>
                    <pic:cNvPr id="1305" name="Image 1305"/>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tools, the Split Pane Toolbar has been disabled. Select it from </w:t>
      </w:r>
      <w:r>
        <w:rPr>
          <w:color w:val="231F20"/>
        </w:rPr>
        <w:t>the View menu to enable it. You can also right-click inside a view and select</w:t>
      </w:r>
      <w:r>
        <w:rPr>
          <w:color w:val="231F20"/>
          <w:spacing w:val="40"/>
        </w:rPr>
        <w:t> </w:t>
      </w:r>
      <w:r>
        <w:rPr>
          <w:color w:val="231F20"/>
          <w:spacing w:val="-15"/>
          <w:position w:val="-1"/>
        </w:rPr>
        <w:drawing>
          <wp:inline distT="0" distB="0" distL="0" distR="0">
            <wp:extent cx="88900" cy="88900"/>
            <wp:effectExtent l="0" t="0" r="0" b="0"/>
            <wp:docPr id="1306" name="Image 1306"/>
            <wp:cNvGraphicFramePr>
              <a:graphicFrameLocks/>
            </wp:cNvGraphicFramePr>
            <a:graphic>
              <a:graphicData uri="http://schemas.openxmlformats.org/drawingml/2006/picture">
                <pic:pic>
                  <pic:nvPicPr>
                    <pic:cNvPr id="1306" name="Image 1306"/>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rPr>
      </w:r>
      <w:r>
        <w:rPr>
          <w:rFonts w:ascii="Times New Roman"/>
          <w:color w:val="231F20"/>
          <w:position w:val="-1"/>
        </w:rPr>
        <w:t> </w:t>
      </w:r>
      <w:r>
        <w:rPr>
          <w:rFonts w:ascii="Book Antiqua"/>
          <w:b/>
          <w:color w:val="231F20"/>
        </w:rPr>
        <w:t>Split Vertically </w:t>
      </w:r>
      <w:r>
        <w:rPr>
          <w:color w:val="231F20"/>
        </w:rPr>
        <w:t>or</w:t>
      </w:r>
      <w:r>
        <w:rPr>
          <w:color w:val="231F20"/>
          <w:spacing w:val="40"/>
        </w:rPr>
        <w:t> </w:t>
      </w:r>
      <w:r>
        <w:rPr>
          <w:color w:val="231F20"/>
          <w:spacing w:val="-14"/>
          <w:position w:val="-1"/>
        </w:rPr>
        <w:drawing>
          <wp:inline distT="0" distB="0" distL="0" distR="0">
            <wp:extent cx="88900" cy="88900"/>
            <wp:effectExtent l="0" t="0" r="0" b="0"/>
            <wp:docPr id="1307" name="Image 1307"/>
            <wp:cNvGraphicFramePr>
              <a:graphicFrameLocks/>
            </wp:cNvGraphicFramePr>
            <a:graphic>
              <a:graphicData uri="http://schemas.openxmlformats.org/drawingml/2006/picture">
                <pic:pic>
                  <pic:nvPicPr>
                    <pic:cNvPr id="1307" name="Image 1307"/>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rPr>
      </w:r>
      <w:r>
        <w:rPr>
          <w:rFonts w:ascii="Times New Roman"/>
          <w:color w:val="231F20"/>
          <w:spacing w:val="40"/>
        </w:rPr>
        <w:t> </w:t>
      </w:r>
      <w:r>
        <w:rPr>
          <w:rFonts w:ascii="Book Antiqua"/>
          <w:b/>
          <w:color w:val="231F20"/>
        </w:rPr>
        <w:t>Split Horizontally </w:t>
      </w:r>
      <w:r>
        <w:rPr>
          <w:color w:val="231F20"/>
        </w:rPr>
        <w:t>from the pop-up menu.</w:t>
      </w:r>
    </w:p>
    <w:p>
      <w:pPr>
        <w:pStyle w:val="ListParagraph"/>
        <w:numPr>
          <w:ilvl w:val="0"/>
          <w:numId w:val="58"/>
        </w:numPr>
        <w:tabs>
          <w:tab w:pos="2658" w:val="left" w:leader="none"/>
        </w:tabs>
        <w:spacing w:line="240" w:lineRule="auto" w:before="39" w:after="0"/>
        <w:ind w:left="2658" w:right="0" w:hanging="315"/>
        <w:jc w:val="left"/>
        <w:rPr>
          <w:rFonts w:ascii="Arial"/>
          <w:color w:val="231F20"/>
          <w:position w:val="1"/>
          <w:sz w:val="20"/>
        </w:rPr>
      </w:pPr>
      <w:r>
        <w:rPr>
          <w:color w:val="231F20"/>
          <w:position w:val="1"/>
          <w:sz w:val="20"/>
        </w:rPr>
        <w:t>Click</w:t>
      </w:r>
      <w:r>
        <w:rPr>
          <w:color w:val="231F20"/>
          <w:spacing w:val="19"/>
          <w:position w:val="1"/>
          <w:sz w:val="20"/>
        </w:rPr>
        <w:t> </w:t>
      </w:r>
      <w:r>
        <w:rPr>
          <w:color w:val="231F20"/>
          <w:spacing w:val="-24"/>
          <w:sz w:val="20"/>
        </w:rPr>
        <w:drawing>
          <wp:inline distT="0" distB="0" distL="0" distR="0">
            <wp:extent cx="95250" cy="88900"/>
            <wp:effectExtent l="0" t="0" r="0" b="0"/>
            <wp:docPr id="1308" name="Image 1308"/>
            <wp:cNvGraphicFramePr>
              <a:graphicFrameLocks/>
            </wp:cNvGraphicFramePr>
            <a:graphic>
              <a:graphicData uri="http://schemas.openxmlformats.org/drawingml/2006/picture">
                <pic:pic>
                  <pic:nvPicPr>
                    <pic:cNvPr id="1308" name="Image 1308"/>
                    <pic:cNvPicPr/>
                  </pic:nvPicPr>
                  <pic:blipFill>
                    <a:blip r:embed="rId57" cstate="print"/>
                    <a:stretch>
                      <a:fillRect/>
                    </a:stretch>
                  </pic:blipFill>
                  <pic:spPr>
                    <a:xfrm>
                      <a:off x="0" y="0"/>
                      <a:ext cx="95250" cy="88900"/>
                    </a:xfrm>
                    <a:prstGeom prst="rect">
                      <a:avLst/>
                    </a:prstGeom>
                  </pic:spPr>
                </pic:pic>
              </a:graphicData>
            </a:graphic>
          </wp:inline>
        </w:drawing>
      </w:r>
      <w:r>
        <w:rPr>
          <w:color w:val="231F20"/>
          <w:spacing w:val="-24"/>
          <w:sz w:val="20"/>
        </w:rPr>
      </w:r>
      <w:r>
        <w:rPr>
          <w:rFonts w:ascii="Times New Roman"/>
          <w:color w:val="231F20"/>
          <w:spacing w:val="16"/>
          <w:position w:val="1"/>
          <w:sz w:val="20"/>
        </w:rPr>
        <w:t> </w:t>
      </w:r>
      <w:r>
        <w:rPr>
          <w:rFonts w:ascii="Book Antiqua"/>
          <w:b/>
          <w:color w:val="231F20"/>
          <w:position w:val="1"/>
          <w:sz w:val="20"/>
        </w:rPr>
        <w:t>Topology</w:t>
      </w:r>
      <w:r>
        <w:rPr>
          <w:color w:val="231F20"/>
          <w:position w:val="1"/>
          <w:sz w:val="20"/>
        </w:rPr>
        <w:t>,</w:t>
      </w:r>
      <w:r>
        <w:rPr>
          <w:color w:val="231F20"/>
          <w:spacing w:val="11"/>
          <w:position w:val="1"/>
          <w:sz w:val="20"/>
        </w:rPr>
        <w:t> </w:t>
      </w:r>
      <w:r>
        <w:rPr>
          <w:color w:val="231F20"/>
          <w:position w:val="1"/>
          <w:sz w:val="20"/>
        </w:rPr>
        <w:t>then</w:t>
      </w:r>
      <w:r>
        <w:rPr>
          <w:color w:val="231F20"/>
          <w:spacing w:val="10"/>
          <w:position w:val="1"/>
          <w:sz w:val="20"/>
        </w:rPr>
        <w:t> </w:t>
      </w:r>
      <w:r>
        <w:rPr>
          <w:color w:val="231F20"/>
          <w:position w:val="1"/>
          <w:sz w:val="20"/>
        </w:rPr>
        <w:t>click</w:t>
      </w:r>
      <w:r>
        <w:rPr>
          <w:color w:val="231F20"/>
          <w:spacing w:val="10"/>
          <w:position w:val="1"/>
          <w:sz w:val="20"/>
        </w:rPr>
        <w:t> </w:t>
      </w:r>
      <w:r>
        <w:rPr>
          <w:color w:val="231F20"/>
          <w:position w:val="1"/>
          <w:sz w:val="20"/>
        </w:rPr>
        <w:t>inside</w:t>
      </w:r>
      <w:r>
        <w:rPr>
          <w:color w:val="231F20"/>
          <w:spacing w:val="10"/>
          <w:position w:val="1"/>
          <w:sz w:val="20"/>
        </w:rPr>
        <w:t> </w:t>
      </w:r>
      <w:r>
        <w:rPr>
          <w:color w:val="231F20"/>
          <w:position w:val="1"/>
          <w:sz w:val="20"/>
        </w:rPr>
        <w:t>the</w:t>
      </w:r>
      <w:r>
        <w:rPr>
          <w:color w:val="231F20"/>
          <w:spacing w:val="10"/>
          <w:position w:val="1"/>
          <w:sz w:val="20"/>
        </w:rPr>
        <w:t> </w:t>
      </w:r>
      <w:r>
        <w:rPr>
          <w:color w:val="231F20"/>
          <w:position w:val="1"/>
          <w:sz w:val="20"/>
        </w:rPr>
        <w:t>space</w:t>
      </w:r>
      <w:r>
        <w:rPr>
          <w:color w:val="231F20"/>
          <w:spacing w:val="10"/>
          <w:position w:val="1"/>
          <w:sz w:val="20"/>
        </w:rPr>
        <w:t> </w:t>
      </w:r>
      <w:r>
        <w:rPr>
          <w:color w:val="231F20"/>
          <w:position w:val="1"/>
          <w:sz w:val="20"/>
        </w:rPr>
        <w:t>to</w:t>
      </w:r>
      <w:r>
        <w:rPr>
          <w:color w:val="231F20"/>
          <w:spacing w:val="11"/>
          <w:position w:val="1"/>
          <w:sz w:val="20"/>
        </w:rPr>
        <w:t> </w:t>
      </w:r>
      <w:r>
        <w:rPr>
          <w:color w:val="231F20"/>
          <w:position w:val="1"/>
          <w:sz w:val="20"/>
        </w:rPr>
        <w:t>adopt</w:t>
      </w:r>
      <w:r>
        <w:rPr>
          <w:color w:val="231F20"/>
          <w:spacing w:val="10"/>
          <w:position w:val="1"/>
          <w:sz w:val="20"/>
        </w:rPr>
        <w:t> </w:t>
      </w:r>
      <w:r>
        <w:rPr>
          <w:color w:val="231F20"/>
          <w:position w:val="1"/>
          <w:sz w:val="20"/>
        </w:rPr>
        <w:t>the</w:t>
      </w:r>
      <w:r>
        <w:rPr>
          <w:color w:val="231F20"/>
          <w:spacing w:val="10"/>
          <w:position w:val="1"/>
          <w:sz w:val="20"/>
        </w:rPr>
        <w:t> </w:t>
      </w:r>
      <w:r>
        <w:rPr>
          <w:color w:val="231F20"/>
          <w:position w:val="1"/>
          <w:sz w:val="20"/>
        </w:rPr>
        <w:t>new</w:t>
      </w:r>
      <w:r>
        <w:rPr>
          <w:color w:val="231F20"/>
          <w:spacing w:val="10"/>
          <w:position w:val="1"/>
          <w:sz w:val="20"/>
        </w:rPr>
        <w:t> </w:t>
      </w:r>
      <w:r>
        <w:rPr>
          <w:color w:val="231F20"/>
          <w:spacing w:val="-2"/>
          <w:position w:val="1"/>
          <w:sz w:val="20"/>
        </w:rPr>
        <w:t>view.</w:t>
      </w:r>
    </w:p>
    <w:p>
      <w:pPr>
        <w:pStyle w:val="ListParagraph"/>
        <w:numPr>
          <w:ilvl w:val="0"/>
          <w:numId w:val="58"/>
        </w:numPr>
        <w:tabs>
          <w:tab w:pos="2659" w:val="left" w:leader="none"/>
        </w:tabs>
        <w:spacing w:line="213" w:lineRule="auto" w:before="47" w:after="0"/>
        <w:ind w:left="2659" w:right="723" w:hanging="316"/>
        <w:jc w:val="left"/>
        <w:rPr>
          <w:rFonts w:ascii="Arial"/>
          <w:color w:val="231F20"/>
          <w:sz w:val="20"/>
        </w:rPr>
      </w:pPr>
      <w:r>
        <w:rPr>
          <w:color w:val="231F20"/>
          <w:sz w:val="20"/>
        </w:rPr>
        <w:t>Select a source type from the Select Topology Source window that opens. Relational Table Based is available at every level of the Navigator. Any product-specific topology sources will be unavailable from workspaces </w:t>
      </w:r>
      <w:r>
        <w:rPr>
          <w:color w:val="231F20"/>
          <w:sz w:val="20"/>
        </w:rPr>
        <w:t>that are not associated with the product.</w:t>
      </w:r>
    </w:p>
    <w:p>
      <w:pPr>
        <w:pStyle w:val="ListParagraph"/>
        <w:numPr>
          <w:ilvl w:val="0"/>
          <w:numId w:val="58"/>
        </w:numPr>
        <w:tabs>
          <w:tab w:pos="2659" w:val="left" w:leader="none"/>
        </w:tabs>
        <w:spacing w:line="213" w:lineRule="auto" w:before="58" w:after="0"/>
        <w:ind w:left="2659" w:right="931" w:hanging="316"/>
        <w:jc w:val="left"/>
        <w:rPr>
          <w:rFonts w:ascii="Arial"/>
          <w:color w:val="231F20"/>
          <w:sz w:val="20"/>
        </w:rPr>
      </w:pPr>
      <w:r>
        <w:rPr>
          <w:color w:val="231F20"/>
          <w:sz w:val="20"/>
        </w:rPr>
        <w:t>If the Properties editor opens, select </w:t>
      </w:r>
      <w:r>
        <w:rPr>
          <w:color w:val="231F20"/>
          <w:spacing w:val="-25"/>
          <w:position w:val="-1"/>
          <w:sz w:val="20"/>
        </w:rPr>
        <w:drawing>
          <wp:inline distT="0" distB="0" distL="0" distR="0">
            <wp:extent cx="95250" cy="101600"/>
            <wp:effectExtent l="0" t="0" r="0" b="0"/>
            <wp:docPr id="1309" name="Image 1309"/>
            <wp:cNvGraphicFramePr>
              <a:graphicFrameLocks/>
            </wp:cNvGraphicFramePr>
            <a:graphic>
              <a:graphicData uri="http://schemas.openxmlformats.org/drawingml/2006/picture">
                <pic:pic>
                  <pic:nvPicPr>
                    <pic:cNvPr id="1309" name="Image 130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9"/>
          <w:sz w:val="20"/>
        </w:rPr>
        <w:t> </w:t>
      </w:r>
      <w:r>
        <w:rPr>
          <w:rFonts w:ascii="Book Antiqua"/>
          <w:b/>
          <w:color w:val="231F20"/>
          <w:sz w:val="20"/>
        </w:rPr>
        <w:t>Click here to assign a query </w:t>
      </w:r>
      <w:r>
        <w:rPr>
          <w:color w:val="231F20"/>
          <w:sz w:val="20"/>
        </w:rPr>
        <w:t>and follow these steps:</w:t>
      </w:r>
    </w:p>
    <w:p>
      <w:pPr>
        <w:pStyle w:val="ListParagraph"/>
        <w:numPr>
          <w:ilvl w:val="1"/>
          <w:numId w:val="58"/>
        </w:numPr>
        <w:tabs>
          <w:tab w:pos="2974" w:val="left" w:leader="none"/>
        </w:tabs>
        <w:spacing w:line="240" w:lineRule="auto" w:before="35" w:after="0"/>
        <w:ind w:left="2974" w:right="0" w:hanging="315"/>
        <w:jc w:val="left"/>
        <w:rPr>
          <w:rFonts w:ascii="Arial"/>
          <w:color w:val="231F20"/>
          <w:sz w:val="20"/>
        </w:rPr>
      </w:pPr>
      <w:r>
        <w:rPr>
          <w:color w:val="231F20"/>
          <w:sz w:val="20"/>
        </w:rPr>
        <w:t>Click</w:t>
      </w:r>
      <w:r>
        <w:rPr>
          <w:color w:val="231F20"/>
          <w:spacing w:val="50"/>
          <w:sz w:val="20"/>
        </w:rPr>
        <w:t> </w:t>
      </w:r>
      <w:r>
        <w:rPr>
          <w:color w:val="231F20"/>
          <w:spacing w:val="6"/>
          <w:sz w:val="20"/>
        </w:rPr>
        <w:drawing>
          <wp:inline distT="0" distB="0" distL="0" distR="0">
            <wp:extent cx="69850" cy="69850"/>
            <wp:effectExtent l="0" t="0" r="0" b="0"/>
            <wp:docPr id="1310" name="Image 1310"/>
            <wp:cNvGraphicFramePr>
              <a:graphicFrameLocks/>
            </wp:cNvGraphicFramePr>
            <a:graphic>
              <a:graphicData uri="http://schemas.openxmlformats.org/drawingml/2006/picture">
                <pic:pic>
                  <pic:nvPicPr>
                    <pic:cNvPr id="1310" name="Image 1310"/>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76"/>
          <w:w w:val="150"/>
          <w:sz w:val="20"/>
        </w:rPr>
        <w:t> </w:t>
      </w:r>
      <w:r>
        <w:rPr>
          <w:color w:val="231F20"/>
          <w:sz w:val="20"/>
        </w:rPr>
        <w:t>to</w:t>
      </w:r>
      <w:r>
        <w:rPr>
          <w:color w:val="231F20"/>
          <w:spacing w:val="13"/>
          <w:sz w:val="20"/>
        </w:rPr>
        <w:t> </w:t>
      </w:r>
      <w:r>
        <w:rPr>
          <w:color w:val="231F20"/>
          <w:sz w:val="20"/>
        </w:rPr>
        <w:t>expand</w:t>
      </w:r>
      <w:r>
        <w:rPr>
          <w:color w:val="231F20"/>
          <w:spacing w:val="12"/>
          <w:sz w:val="20"/>
        </w:rPr>
        <w:t> </w:t>
      </w:r>
      <w:r>
        <w:rPr>
          <w:color w:val="231F20"/>
          <w:sz w:val="20"/>
        </w:rPr>
        <w:t>a</w:t>
      </w:r>
      <w:r>
        <w:rPr>
          <w:color w:val="231F20"/>
          <w:spacing w:val="23"/>
          <w:sz w:val="20"/>
        </w:rPr>
        <w:t> </w:t>
      </w:r>
      <w:r>
        <w:rPr>
          <w:color w:val="231F20"/>
          <w:spacing w:val="-24"/>
          <w:position w:val="-1"/>
          <w:sz w:val="20"/>
        </w:rPr>
        <w:drawing>
          <wp:inline distT="0" distB="0" distL="0" distR="0">
            <wp:extent cx="95250" cy="95250"/>
            <wp:effectExtent l="0" t="0" r="0" b="0"/>
            <wp:docPr id="1311" name="Image 1311"/>
            <wp:cNvGraphicFramePr>
              <a:graphicFrameLocks/>
            </wp:cNvGraphicFramePr>
            <a:graphic>
              <a:graphicData uri="http://schemas.openxmlformats.org/drawingml/2006/picture">
                <pic:pic>
                  <pic:nvPicPr>
                    <pic:cNvPr id="1311" name="Image 1311"/>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color w:val="231F20"/>
          <w:sz w:val="20"/>
        </w:rPr>
        <w:t>monitoring</w:t>
      </w:r>
      <w:r>
        <w:rPr>
          <w:color w:val="231F20"/>
          <w:spacing w:val="12"/>
          <w:sz w:val="20"/>
        </w:rPr>
        <w:t> </w:t>
      </w:r>
      <w:r>
        <w:rPr>
          <w:color w:val="231F20"/>
          <w:sz w:val="20"/>
        </w:rPr>
        <w:t>agent</w:t>
      </w:r>
      <w:r>
        <w:rPr>
          <w:color w:val="231F20"/>
          <w:spacing w:val="13"/>
          <w:sz w:val="20"/>
        </w:rPr>
        <w:t> </w:t>
      </w:r>
      <w:r>
        <w:rPr>
          <w:color w:val="231F20"/>
          <w:sz w:val="20"/>
        </w:rPr>
        <w:t>and</w:t>
      </w:r>
      <w:r>
        <w:rPr>
          <w:color w:val="231F20"/>
          <w:spacing w:val="21"/>
          <w:sz w:val="20"/>
        </w:rPr>
        <w:t> </w:t>
      </w:r>
      <w:r>
        <w:rPr>
          <w:color w:val="231F20"/>
          <w:spacing w:val="-25"/>
          <w:position w:val="-1"/>
          <w:sz w:val="20"/>
        </w:rPr>
        <w:drawing>
          <wp:inline distT="0" distB="0" distL="0" distR="0">
            <wp:extent cx="88900" cy="101600"/>
            <wp:effectExtent l="0" t="0" r="0" b="0"/>
            <wp:docPr id="1312" name="Image 1312"/>
            <wp:cNvGraphicFramePr>
              <a:graphicFrameLocks/>
            </wp:cNvGraphicFramePr>
            <a:graphic>
              <a:graphicData uri="http://schemas.openxmlformats.org/drawingml/2006/picture">
                <pic:pic>
                  <pic:nvPicPr>
                    <pic:cNvPr id="1312" name="Image 131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30"/>
          <w:sz w:val="20"/>
        </w:rPr>
        <w:t> </w:t>
      </w:r>
      <w:r>
        <w:rPr>
          <w:color w:val="231F20"/>
          <w:sz w:val="20"/>
        </w:rPr>
        <w:t>attribute</w:t>
      </w:r>
      <w:r>
        <w:rPr>
          <w:color w:val="231F20"/>
          <w:spacing w:val="13"/>
          <w:sz w:val="20"/>
        </w:rPr>
        <w:t> </w:t>
      </w:r>
      <w:r>
        <w:rPr>
          <w:color w:val="231F20"/>
          <w:sz w:val="20"/>
        </w:rPr>
        <w:t>group</w:t>
      </w:r>
      <w:r>
        <w:rPr>
          <w:color w:val="231F20"/>
          <w:spacing w:val="12"/>
          <w:sz w:val="20"/>
        </w:rPr>
        <w:t> </w:t>
      </w:r>
      <w:r>
        <w:rPr>
          <w:color w:val="231F20"/>
          <w:spacing w:val="-2"/>
          <w:sz w:val="20"/>
        </w:rPr>
        <w:t>branch.</w:t>
      </w:r>
    </w:p>
    <w:p>
      <w:pPr>
        <w:pStyle w:val="ListParagraph"/>
        <w:numPr>
          <w:ilvl w:val="1"/>
          <w:numId w:val="58"/>
        </w:numPr>
        <w:tabs>
          <w:tab w:pos="2973" w:val="left" w:leader="none"/>
          <w:tab w:pos="2975" w:val="left" w:leader="none"/>
        </w:tabs>
        <w:spacing w:line="213" w:lineRule="auto" w:before="53" w:after="0"/>
        <w:ind w:left="2975" w:right="654" w:hanging="317"/>
        <w:jc w:val="left"/>
        <w:rPr>
          <w:rFonts w:ascii="Arial"/>
          <w:color w:val="231F20"/>
          <w:sz w:val="20"/>
        </w:rPr>
      </w:pPr>
      <w:r>
        <w:rPr>
          <w:color w:val="231F20"/>
          <w:sz w:val="20"/>
        </w:rPr>
        <w:t>Select a</w:t>
      </w:r>
      <w:r>
        <w:rPr>
          <w:color w:val="231F20"/>
          <w:spacing w:val="19"/>
          <w:sz w:val="20"/>
        </w:rPr>
        <w:t> </w:t>
      </w:r>
      <w:r>
        <w:rPr>
          <w:color w:val="231F20"/>
          <w:spacing w:val="-24"/>
          <w:position w:val="-1"/>
          <w:sz w:val="20"/>
        </w:rPr>
        <w:drawing>
          <wp:inline distT="0" distB="0" distL="0" distR="0">
            <wp:extent cx="95250" cy="101600"/>
            <wp:effectExtent l="0" t="0" r="0" b="0"/>
            <wp:docPr id="1313" name="Image 1313"/>
            <wp:cNvGraphicFramePr>
              <a:graphicFrameLocks/>
            </wp:cNvGraphicFramePr>
            <a:graphic>
              <a:graphicData uri="http://schemas.openxmlformats.org/drawingml/2006/picture">
                <pic:pic>
                  <pic:nvPicPr>
                    <pic:cNvPr id="1313" name="Image 1313"/>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color w:val="231F20"/>
          <w:sz w:val="20"/>
        </w:rPr>
        <w:t>Query name to see its description and the specified </w:t>
      </w:r>
      <w:r>
        <w:rPr>
          <w:color w:val="231F20"/>
          <w:sz w:val="20"/>
        </w:rPr>
        <w:t>attributes. The selected check boxes indicate which attributes are included in the query. The cells in the numbered rows show any filter criteria for the </w:t>
      </w:r>
      <w:r>
        <w:rPr>
          <w:color w:val="231F20"/>
          <w:spacing w:val="-2"/>
          <w:sz w:val="20"/>
        </w:rPr>
        <w:t>query.</w:t>
      </w:r>
    </w:p>
    <w:p>
      <w:pPr>
        <w:pStyle w:val="ListParagraph"/>
        <w:numPr>
          <w:ilvl w:val="1"/>
          <w:numId w:val="58"/>
        </w:numPr>
        <w:tabs>
          <w:tab w:pos="2962" w:val="left" w:leader="none"/>
        </w:tabs>
        <w:spacing w:line="240" w:lineRule="auto" w:before="34" w:after="0"/>
        <w:ind w:left="2962" w:right="0" w:hanging="303"/>
        <w:jc w:val="left"/>
        <w:rPr>
          <w:rFonts w:ascii="Arial"/>
          <w:color w:val="231F20"/>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2"/>
          <w:sz w:val="20"/>
        </w:rPr>
        <w:t> </w:t>
      </w:r>
      <w:r>
        <w:rPr>
          <w:color w:val="231F20"/>
          <w:sz w:val="20"/>
        </w:rPr>
        <w:t>assign</w:t>
      </w:r>
      <w:r>
        <w:rPr>
          <w:color w:val="231F20"/>
          <w:spacing w:val="12"/>
          <w:sz w:val="20"/>
        </w:rPr>
        <w:t> </w:t>
      </w:r>
      <w:r>
        <w:rPr>
          <w:color w:val="231F20"/>
          <w:sz w:val="20"/>
        </w:rPr>
        <w:t>the</w:t>
      </w:r>
      <w:r>
        <w:rPr>
          <w:color w:val="231F20"/>
          <w:spacing w:val="12"/>
          <w:sz w:val="20"/>
        </w:rPr>
        <w:t> </w:t>
      </w:r>
      <w:r>
        <w:rPr>
          <w:color w:val="231F20"/>
          <w:sz w:val="20"/>
        </w:rPr>
        <w:t>selected</w:t>
      </w:r>
      <w:r>
        <w:rPr>
          <w:color w:val="231F20"/>
          <w:spacing w:val="12"/>
          <w:sz w:val="20"/>
        </w:rPr>
        <w:t> </w:t>
      </w:r>
      <w:r>
        <w:rPr>
          <w:color w:val="231F20"/>
          <w:sz w:val="20"/>
        </w:rPr>
        <w:t>query</w:t>
      </w:r>
      <w:r>
        <w:rPr>
          <w:color w:val="231F20"/>
          <w:spacing w:val="13"/>
          <w:sz w:val="20"/>
        </w:rPr>
        <w:t> </w:t>
      </w:r>
      <w:r>
        <w:rPr>
          <w:color w:val="231F20"/>
          <w:sz w:val="20"/>
        </w:rPr>
        <w:t>to</w:t>
      </w:r>
      <w:r>
        <w:rPr>
          <w:color w:val="231F20"/>
          <w:spacing w:val="12"/>
          <w:sz w:val="20"/>
        </w:rPr>
        <w:t> </w:t>
      </w:r>
      <w:r>
        <w:rPr>
          <w:color w:val="231F20"/>
          <w:sz w:val="20"/>
        </w:rPr>
        <w:t>the</w:t>
      </w:r>
      <w:r>
        <w:rPr>
          <w:color w:val="231F20"/>
          <w:spacing w:val="12"/>
          <w:sz w:val="20"/>
        </w:rPr>
        <w:t> </w:t>
      </w:r>
      <w:r>
        <w:rPr>
          <w:color w:val="231F20"/>
          <w:spacing w:val="-2"/>
          <w:sz w:val="20"/>
        </w:rPr>
        <w:t>view.</w:t>
      </w:r>
    </w:p>
    <w:p>
      <w:pPr>
        <w:pStyle w:val="BodyText"/>
        <w:spacing w:line="213" w:lineRule="auto" w:before="112"/>
        <w:ind w:left="2659" w:right="763"/>
      </w:pPr>
      <w:r>
        <w:rPr>
          <w:color w:val="231F20"/>
        </w:rPr>
        <w:t>The Preview window at the top of the Properties editor should show </w:t>
      </w:r>
      <w:r>
        <w:rPr>
          <w:color w:val="231F20"/>
        </w:rPr>
        <w:t>node icons and names. If not, select a column from the query for the topology object in the Column Mapping area of the Style tab.</w:t>
      </w:r>
    </w:p>
    <w:p>
      <w:pPr>
        <w:pStyle w:val="ListParagraph"/>
        <w:numPr>
          <w:ilvl w:val="0"/>
          <w:numId w:val="58"/>
        </w:numPr>
        <w:tabs>
          <w:tab w:pos="2659" w:val="left" w:leader="none"/>
        </w:tabs>
        <w:spacing w:line="213" w:lineRule="auto" w:before="58" w:after="0"/>
        <w:ind w:left="2659" w:right="781" w:hanging="316"/>
        <w:jc w:val="left"/>
        <w:rPr>
          <w:rFonts w:ascii="Arial"/>
          <w:color w:val="231F20"/>
          <w:sz w:val="20"/>
        </w:rPr>
      </w:pPr>
      <w:r>
        <w:rPr>
          <w:color w:val="231F20"/>
          <w:sz w:val="20"/>
        </w:rPr>
        <w:t>If the Properties editor is not open, click</w:t>
      </w:r>
      <w:r>
        <w:rPr>
          <w:color w:val="231F20"/>
          <w:spacing w:val="40"/>
          <w:sz w:val="20"/>
        </w:rPr>
        <w:t> </w:t>
      </w:r>
      <w:r>
        <w:rPr>
          <w:color w:val="231F20"/>
          <w:spacing w:val="5"/>
          <w:position w:val="1"/>
          <w:sz w:val="20"/>
        </w:rPr>
        <w:drawing>
          <wp:inline distT="0" distB="0" distL="0" distR="0">
            <wp:extent cx="57150" cy="57150"/>
            <wp:effectExtent l="0" t="0" r="0" b="0"/>
            <wp:docPr id="1314" name="Image 1314"/>
            <wp:cNvGraphicFramePr>
              <a:graphicFrameLocks/>
            </wp:cNvGraphicFramePr>
            <a:graphic>
              <a:graphicData uri="http://schemas.openxmlformats.org/drawingml/2006/picture">
                <pic:pic>
                  <pic:nvPicPr>
                    <pic:cNvPr id="1314" name="Image 1314"/>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5"/>
          <w:sz w:val="20"/>
        </w:rPr>
        <w:t> </w:t>
      </w:r>
      <w:r>
        <w:rPr>
          <w:color w:val="231F20"/>
          <w:sz w:val="20"/>
        </w:rPr>
        <w:t>Edit Properties in the view title bar. A view for which you have selected a query will be empty unless a column (attribute) from the query has been mapped to a topology object, which is done in the Style tab.</w:t>
      </w:r>
    </w:p>
    <w:p>
      <w:pPr>
        <w:pStyle w:val="ListParagraph"/>
        <w:numPr>
          <w:ilvl w:val="0"/>
          <w:numId w:val="58"/>
        </w:numPr>
        <w:tabs>
          <w:tab w:pos="2657" w:val="left" w:leader="none"/>
          <w:tab w:pos="2659" w:val="left" w:leader="none"/>
        </w:tabs>
        <w:spacing w:line="213" w:lineRule="auto" w:before="57" w:after="0"/>
        <w:ind w:left="2659" w:right="430" w:hanging="317"/>
        <w:jc w:val="left"/>
        <w:rPr>
          <w:rFonts w:ascii="Arial"/>
          <w:color w:val="231F20"/>
          <w:sz w:val="20"/>
        </w:rPr>
      </w:pPr>
      <w:r>
        <w:rPr>
          <w:color w:val="231F20"/>
          <w:sz w:val="20"/>
        </w:rPr>
        <w:t>To limit the information in the object hover help, click the</w:t>
      </w:r>
      <w:r>
        <w:rPr>
          <w:color w:val="231F20"/>
          <w:spacing w:val="33"/>
          <w:sz w:val="20"/>
        </w:rPr>
        <w:t> </w:t>
      </w:r>
      <w:r>
        <w:rPr>
          <w:color w:val="231F20"/>
          <w:spacing w:val="-25"/>
          <w:position w:val="-1"/>
          <w:sz w:val="20"/>
        </w:rPr>
        <w:drawing>
          <wp:inline distT="0" distB="0" distL="0" distR="0">
            <wp:extent cx="95250" cy="101600"/>
            <wp:effectExtent l="0" t="0" r="0" b="0"/>
            <wp:docPr id="1315" name="Image 1315"/>
            <wp:cNvGraphicFramePr>
              <a:graphicFrameLocks/>
            </wp:cNvGraphicFramePr>
            <a:graphic>
              <a:graphicData uri="http://schemas.openxmlformats.org/drawingml/2006/picture">
                <pic:pic>
                  <pic:nvPicPr>
                    <pic:cNvPr id="1315" name="Image 1315"/>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Filters </w:t>
      </w:r>
      <w:r>
        <w:rPr>
          <w:color w:val="231F20"/>
          <w:sz w:val="20"/>
        </w:rPr>
        <w:t>tab and clear</w:t>
      </w:r>
      <w:r>
        <w:rPr>
          <w:color w:val="231F20"/>
          <w:spacing w:val="28"/>
          <w:sz w:val="20"/>
        </w:rPr>
        <w:t> </w:t>
      </w:r>
      <w:r>
        <w:rPr>
          <w:color w:val="231F20"/>
          <w:sz w:val="20"/>
        </w:rPr>
        <w:t>any</w:t>
      </w:r>
      <w:r>
        <w:rPr>
          <w:color w:val="231F20"/>
          <w:spacing w:val="28"/>
          <w:sz w:val="20"/>
        </w:rPr>
        <w:t> </w:t>
      </w:r>
      <w:r>
        <w:rPr>
          <w:color w:val="231F20"/>
          <w:sz w:val="20"/>
        </w:rPr>
        <w:t>column</w:t>
      </w:r>
      <w:r>
        <w:rPr>
          <w:color w:val="231F20"/>
          <w:spacing w:val="28"/>
          <w:sz w:val="20"/>
        </w:rPr>
        <w:t> </w:t>
      </w:r>
      <w:r>
        <w:rPr>
          <w:color w:val="231F20"/>
          <w:sz w:val="20"/>
        </w:rPr>
        <w:t>check</w:t>
      </w:r>
      <w:r>
        <w:rPr>
          <w:color w:val="231F20"/>
          <w:spacing w:val="28"/>
          <w:sz w:val="20"/>
        </w:rPr>
        <w:t> </w:t>
      </w:r>
      <w:r>
        <w:rPr>
          <w:color w:val="231F20"/>
          <w:sz w:val="20"/>
        </w:rPr>
        <w:t>boxes</w:t>
      </w:r>
      <w:r>
        <w:rPr>
          <w:color w:val="231F20"/>
          <w:spacing w:val="28"/>
          <w:sz w:val="20"/>
        </w:rPr>
        <w:t> </w:t>
      </w:r>
      <w:r>
        <w:rPr>
          <w:color w:val="231F20"/>
          <w:sz w:val="20"/>
        </w:rPr>
        <w:t>whose</w:t>
      </w:r>
      <w:r>
        <w:rPr>
          <w:color w:val="231F20"/>
          <w:spacing w:val="28"/>
          <w:sz w:val="20"/>
        </w:rPr>
        <w:t> </w:t>
      </w:r>
      <w:r>
        <w:rPr>
          <w:color w:val="231F20"/>
          <w:sz w:val="20"/>
        </w:rPr>
        <w:t>values</w:t>
      </w:r>
      <w:r>
        <w:rPr>
          <w:color w:val="231F20"/>
          <w:spacing w:val="28"/>
          <w:sz w:val="20"/>
        </w:rPr>
        <w:t> </w:t>
      </w:r>
      <w:r>
        <w:rPr>
          <w:color w:val="231F20"/>
          <w:sz w:val="20"/>
        </w:rPr>
        <w:t>you</w:t>
      </w:r>
      <w:r>
        <w:rPr>
          <w:color w:val="231F20"/>
          <w:spacing w:val="28"/>
          <w:sz w:val="20"/>
        </w:rPr>
        <w:t> </w:t>
      </w:r>
      <w:r>
        <w:rPr>
          <w:color w:val="231F20"/>
          <w:sz w:val="20"/>
        </w:rPr>
        <w:t>do</w:t>
      </w:r>
      <w:r>
        <w:rPr>
          <w:color w:val="231F20"/>
          <w:spacing w:val="28"/>
          <w:sz w:val="20"/>
        </w:rPr>
        <w:t> </w:t>
      </w:r>
      <w:r>
        <w:rPr>
          <w:color w:val="231F20"/>
          <w:sz w:val="20"/>
        </w:rPr>
        <w:t>not</w:t>
      </w:r>
      <w:r>
        <w:rPr>
          <w:color w:val="231F20"/>
          <w:spacing w:val="28"/>
          <w:sz w:val="20"/>
        </w:rPr>
        <w:t> </w:t>
      </w:r>
      <w:r>
        <w:rPr>
          <w:color w:val="231F20"/>
          <w:sz w:val="20"/>
        </w:rPr>
        <w:t>want</w:t>
      </w:r>
      <w:r>
        <w:rPr>
          <w:color w:val="231F20"/>
          <w:spacing w:val="28"/>
          <w:sz w:val="20"/>
        </w:rPr>
        <w:t> </w:t>
      </w:r>
      <w:r>
        <w:rPr>
          <w:color w:val="231F20"/>
          <w:sz w:val="20"/>
        </w:rPr>
        <w:t>displayed.</w:t>
      </w:r>
      <w:r>
        <w:rPr>
          <w:color w:val="231F20"/>
          <w:spacing w:val="28"/>
          <w:sz w:val="20"/>
        </w:rPr>
        <w:t> </w:t>
      </w:r>
      <w:r>
        <w:rPr>
          <w:color w:val="231F20"/>
          <w:sz w:val="20"/>
        </w:rPr>
        <w:t>If you want to limit the number of objects in the view, you can also write a filter</w:t>
      </w:r>
      <w:r>
        <w:rPr>
          <w:color w:val="231F20"/>
          <w:spacing w:val="40"/>
          <w:sz w:val="20"/>
        </w:rPr>
        <w:t> </w:t>
      </w:r>
      <w:r>
        <w:rPr>
          <w:color w:val="231F20"/>
          <w:sz w:val="20"/>
        </w:rPr>
        <w:t>formula to include only the rows that satisfy the comparison.</w:t>
      </w:r>
    </w:p>
    <w:p>
      <w:pPr>
        <w:pStyle w:val="ListParagraph"/>
        <w:numPr>
          <w:ilvl w:val="0"/>
          <w:numId w:val="58"/>
        </w:numPr>
        <w:tabs>
          <w:tab w:pos="2659" w:val="left" w:leader="none"/>
        </w:tabs>
        <w:spacing w:line="213" w:lineRule="auto" w:before="57" w:after="0"/>
        <w:ind w:left="2659" w:right="584" w:hanging="316"/>
        <w:jc w:val="left"/>
        <w:rPr>
          <w:rFonts w:ascii="Arial"/>
          <w:color w:val="231F20"/>
          <w:sz w:val="20"/>
        </w:rPr>
      </w:pPr>
      <w:r>
        <w:rPr>
          <w:color w:val="231F20"/>
          <w:sz w:val="20"/>
        </w:rPr>
        <w:t>To have a severity indicator applied to a topology object when a certain threshold has been exceeded, click the </w:t>
      </w:r>
      <w:r>
        <w:rPr>
          <w:color w:val="231F20"/>
          <w:spacing w:val="-25"/>
          <w:position w:val="-1"/>
          <w:sz w:val="20"/>
        </w:rPr>
        <w:drawing>
          <wp:inline distT="0" distB="0" distL="0" distR="0">
            <wp:extent cx="88900" cy="95250"/>
            <wp:effectExtent l="0" t="0" r="0" b="0"/>
            <wp:docPr id="1316" name="Image 1316"/>
            <wp:cNvGraphicFramePr>
              <a:graphicFrameLocks/>
            </wp:cNvGraphicFramePr>
            <a:graphic>
              <a:graphicData uri="http://schemas.openxmlformats.org/drawingml/2006/picture">
                <pic:pic>
                  <pic:nvPicPr>
                    <pic:cNvPr id="1316" name="Image 1316"/>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Thresholds </w:t>
      </w:r>
      <w:r>
        <w:rPr>
          <w:color w:val="231F20"/>
          <w:sz w:val="20"/>
        </w:rPr>
        <w:t>tab, select an icon, </w:t>
      </w:r>
      <w:r>
        <w:rPr>
          <w:color w:val="231F20"/>
          <w:sz w:val="20"/>
        </w:rPr>
        <w:t>and write a threshold expression for every severity to be represented.</w:t>
      </w:r>
    </w:p>
    <w:p>
      <w:pPr>
        <w:pStyle w:val="ListParagraph"/>
        <w:numPr>
          <w:ilvl w:val="0"/>
          <w:numId w:val="58"/>
        </w:numPr>
        <w:tabs>
          <w:tab w:pos="2659" w:val="left" w:leader="none"/>
        </w:tabs>
        <w:spacing w:line="213" w:lineRule="auto" w:before="58" w:after="0"/>
        <w:ind w:left="2659" w:right="413" w:hanging="316"/>
        <w:jc w:val="left"/>
        <w:rPr>
          <w:rFonts w:ascii="Arial"/>
          <w:color w:val="231F20"/>
          <w:sz w:val="20"/>
        </w:rPr>
      </w:pPr>
      <w:r>
        <w:rPr>
          <w:color w:val="231F20"/>
          <w:sz w:val="20"/>
        </w:rPr>
        <w:t>To configure and format the view, click the </w:t>
      </w:r>
      <w:r>
        <w:rPr>
          <w:color w:val="231F20"/>
          <w:spacing w:val="-25"/>
          <w:position w:val="-1"/>
          <w:sz w:val="20"/>
        </w:rPr>
        <w:drawing>
          <wp:inline distT="0" distB="0" distL="0" distR="0">
            <wp:extent cx="95250" cy="95250"/>
            <wp:effectExtent l="0" t="0" r="0" b="0"/>
            <wp:docPr id="1317" name="Image 1317"/>
            <wp:cNvGraphicFramePr>
              <a:graphicFrameLocks/>
            </wp:cNvGraphicFramePr>
            <a:graphic>
              <a:graphicData uri="http://schemas.openxmlformats.org/drawingml/2006/picture">
                <pic:pic>
                  <pic:nvPicPr>
                    <pic:cNvPr id="1317" name="Image 1317"/>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5"/>
          <w:sz w:val="20"/>
        </w:rPr>
        <w:t> </w:t>
      </w:r>
      <w:r>
        <w:rPr>
          <w:rFonts w:ascii="Book Antiqua"/>
          <w:b/>
          <w:color w:val="231F20"/>
          <w:sz w:val="20"/>
        </w:rPr>
        <w:t>Style </w:t>
      </w:r>
      <w:r>
        <w:rPr>
          <w:color w:val="231F20"/>
          <w:sz w:val="20"/>
        </w:rPr>
        <w:t>tab and adjust the </w:t>
      </w:r>
      <w:r>
        <w:rPr>
          <w:color w:val="231F20"/>
          <w:sz w:val="20"/>
        </w:rPr>
        <w:t>settings. The topology view has many styling options, so start with the essential ones when you first create the view:</w:t>
      </w:r>
    </w:p>
    <w:p>
      <w:pPr>
        <w:pStyle w:val="ListParagraph"/>
        <w:numPr>
          <w:ilvl w:val="1"/>
          <w:numId w:val="58"/>
        </w:numPr>
        <w:tabs>
          <w:tab w:pos="2975" w:val="left" w:leader="none"/>
          <w:tab w:pos="2993" w:val="left" w:leader="none"/>
        </w:tabs>
        <w:spacing w:line="206" w:lineRule="auto" w:before="180" w:after="0"/>
        <w:ind w:left="2975" w:right="892" w:hanging="317"/>
        <w:jc w:val="left"/>
        <w:rPr>
          <w:rFonts w:ascii="Arial"/>
          <w:color w:val="231F20"/>
          <w:position w:val="1"/>
          <w:sz w:val="20"/>
        </w:rPr>
      </w:pPr>
      <w:r>
        <w:rPr>
          <w:rFonts w:ascii="Arial"/>
          <w:color w:val="231F20"/>
          <w:position w:val="1"/>
          <w:sz w:val="20"/>
        </w:rPr>
        <w:tab/>
      </w:r>
      <w:r>
        <w:rPr>
          <w:rFonts w:ascii="Arial"/>
          <w:color w:val="231F20"/>
          <w:spacing w:val="2"/>
          <w:sz w:val="20"/>
        </w:rPr>
        <w:drawing>
          <wp:inline distT="0" distB="0" distL="0" distR="0">
            <wp:extent cx="184150" cy="171450"/>
            <wp:effectExtent l="0" t="0" r="0" b="0"/>
            <wp:docPr id="1318" name="Image 1318"/>
            <wp:cNvGraphicFramePr>
              <a:graphicFrameLocks/>
            </wp:cNvGraphicFramePr>
            <a:graphic>
              <a:graphicData uri="http://schemas.openxmlformats.org/drawingml/2006/picture">
                <pic:pic>
                  <pic:nvPicPr>
                    <pic:cNvPr id="1318" name="Image 1318"/>
                    <pic:cNvPicPr/>
                  </pic:nvPicPr>
                  <pic:blipFill>
                    <a:blip r:embed="rId251" cstate="print"/>
                    <a:stretch>
                      <a:fillRect/>
                    </a:stretch>
                  </pic:blipFill>
                  <pic:spPr>
                    <a:xfrm>
                      <a:off x="0" y="0"/>
                      <a:ext cx="184150" cy="171450"/>
                    </a:xfrm>
                    <a:prstGeom prst="rect">
                      <a:avLst/>
                    </a:prstGeom>
                  </pic:spPr>
                </pic:pic>
              </a:graphicData>
            </a:graphic>
          </wp:inline>
        </w:drawing>
      </w:r>
      <w:r>
        <w:rPr>
          <w:rFonts w:ascii="Arial"/>
          <w:color w:val="231F20"/>
          <w:spacing w:val="2"/>
          <w:sz w:val="20"/>
        </w:rPr>
      </w:r>
      <w:r>
        <w:rPr>
          <w:rFonts w:ascii="Times New Roman"/>
          <w:color w:val="231F20"/>
          <w:spacing w:val="2"/>
          <w:position w:val="1"/>
          <w:sz w:val="20"/>
        </w:rPr>
        <w:t> </w:t>
      </w:r>
      <w:r>
        <w:rPr>
          <w:color w:val="231F20"/>
          <w:position w:val="1"/>
          <w:sz w:val="20"/>
        </w:rPr>
        <w:t>General to add the view title. This is also where you can limit the </w:t>
      </w:r>
      <w:r>
        <w:rPr>
          <w:color w:val="231F20"/>
          <w:sz w:val="20"/>
        </w:rPr>
        <w:t>depth of the hierarchy if too much data is displayed.</w:t>
      </w:r>
    </w:p>
    <w:p>
      <w:pPr>
        <w:pStyle w:val="ListParagraph"/>
        <w:numPr>
          <w:ilvl w:val="1"/>
          <w:numId w:val="58"/>
        </w:numPr>
        <w:tabs>
          <w:tab w:pos="2975" w:val="left" w:leader="none"/>
          <w:tab w:pos="2984" w:val="left" w:leader="none"/>
        </w:tabs>
        <w:spacing w:line="213" w:lineRule="auto" w:before="142" w:after="0"/>
        <w:ind w:left="2975" w:right="557" w:hanging="316"/>
        <w:jc w:val="left"/>
        <w:rPr>
          <w:rFonts w:ascii="Arial"/>
          <w:color w:val="231F20"/>
          <w:sz w:val="20"/>
        </w:rPr>
      </w:pPr>
      <w:r>
        <w:rPr>
          <w:rFonts w:ascii="Arial"/>
          <w:color w:val="231F20"/>
          <w:sz w:val="20"/>
        </w:rPr>
        <w:tab/>
      </w:r>
      <w:r>
        <w:rPr>
          <w:rFonts w:ascii="Arial"/>
          <w:color w:val="231F20"/>
          <w:spacing w:val="-8"/>
          <w:position w:val="-1"/>
          <w:sz w:val="20"/>
        </w:rPr>
        <w:drawing>
          <wp:inline distT="0" distB="0" distL="0" distR="0">
            <wp:extent cx="196850" cy="203200"/>
            <wp:effectExtent l="0" t="0" r="0" b="0"/>
            <wp:docPr id="1319" name="Image 1319"/>
            <wp:cNvGraphicFramePr>
              <a:graphicFrameLocks/>
            </wp:cNvGraphicFramePr>
            <a:graphic>
              <a:graphicData uri="http://schemas.openxmlformats.org/drawingml/2006/picture">
                <pic:pic>
                  <pic:nvPicPr>
                    <pic:cNvPr id="1319" name="Image 1319"/>
                    <pic:cNvPicPr/>
                  </pic:nvPicPr>
                  <pic:blipFill>
                    <a:blip r:embed="rId252" cstate="print"/>
                    <a:stretch>
                      <a:fillRect/>
                    </a:stretch>
                  </pic:blipFill>
                  <pic:spPr>
                    <a:xfrm>
                      <a:off x="0" y="0"/>
                      <a:ext cx="196850" cy="203200"/>
                    </a:xfrm>
                    <a:prstGeom prst="rect">
                      <a:avLst/>
                    </a:prstGeom>
                  </pic:spPr>
                </pic:pic>
              </a:graphicData>
            </a:graphic>
          </wp:inline>
        </w:drawing>
      </w:r>
      <w:r>
        <w:rPr>
          <w:rFonts w:ascii="Arial"/>
          <w:color w:val="231F20"/>
          <w:spacing w:val="-8"/>
          <w:position w:val="-1"/>
          <w:sz w:val="20"/>
        </w:rPr>
      </w:r>
      <w:r>
        <w:rPr>
          <w:rFonts w:ascii="Times New Roman"/>
          <w:color w:val="231F20"/>
          <w:spacing w:val="40"/>
          <w:sz w:val="20"/>
        </w:rPr>
        <w:t> </w:t>
      </w:r>
      <w:r>
        <w:rPr>
          <w:color w:val="231F20"/>
          <w:sz w:val="20"/>
        </w:rPr>
        <w:t>Mapping to specify the attribute to use for the nodes (Node ID and</w:t>
      </w:r>
      <w:r>
        <w:rPr>
          <w:color w:val="231F20"/>
          <w:spacing w:val="40"/>
          <w:sz w:val="20"/>
        </w:rPr>
        <w:t> </w:t>
      </w:r>
      <w:r>
        <w:rPr>
          <w:color w:val="231F20"/>
          <w:sz w:val="20"/>
        </w:rPr>
        <w:t>Name) and the attribute for the related nodes to point to or from (To or From Connection). Select the check box to create implied nodes and observe the change in the Preview pane to see if the view is improved by the selection.</w:t>
      </w:r>
    </w:p>
    <w:p>
      <w:pPr>
        <w:pStyle w:val="ListParagraph"/>
        <w:numPr>
          <w:ilvl w:val="1"/>
          <w:numId w:val="58"/>
        </w:numPr>
        <w:tabs>
          <w:tab w:pos="2964" w:val="left" w:leader="none"/>
          <w:tab w:pos="2982" w:val="left" w:leader="none"/>
        </w:tabs>
        <w:spacing w:line="208" w:lineRule="auto" w:before="157" w:after="0"/>
        <w:ind w:left="2964" w:right="757" w:hanging="305"/>
        <w:jc w:val="left"/>
        <w:rPr>
          <w:rFonts w:ascii="Arial"/>
          <w:color w:val="231F20"/>
          <w:sz w:val="20"/>
        </w:rPr>
      </w:pPr>
      <w:r>
        <w:rPr>
          <w:rFonts w:ascii="Arial"/>
          <w:color w:val="231F20"/>
          <w:sz w:val="20"/>
        </w:rPr>
        <w:tab/>
      </w:r>
      <w:r>
        <w:rPr>
          <w:rFonts w:ascii="Arial"/>
          <w:color w:val="231F20"/>
          <w:spacing w:val="2"/>
          <w:sz w:val="20"/>
        </w:rPr>
        <w:drawing>
          <wp:inline distT="0" distB="0" distL="0" distR="0">
            <wp:extent cx="177800" cy="177800"/>
            <wp:effectExtent l="0" t="0" r="0" b="0"/>
            <wp:docPr id="1320" name="Image 1320"/>
            <wp:cNvGraphicFramePr>
              <a:graphicFrameLocks/>
            </wp:cNvGraphicFramePr>
            <a:graphic>
              <a:graphicData uri="http://schemas.openxmlformats.org/drawingml/2006/picture">
                <pic:pic>
                  <pic:nvPicPr>
                    <pic:cNvPr id="1320" name="Image 1320"/>
                    <pic:cNvPicPr/>
                  </pic:nvPicPr>
                  <pic:blipFill>
                    <a:blip r:embed="rId253" cstate="print"/>
                    <a:stretch>
                      <a:fillRect/>
                    </a:stretch>
                  </pic:blipFill>
                  <pic:spPr>
                    <a:xfrm>
                      <a:off x="0" y="0"/>
                      <a:ext cx="177800" cy="177800"/>
                    </a:xfrm>
                    <a:prstGeom prst="rect">
                      <a:avLst/>
                    </a:prstGeom>
                  </pic:spPr>
                </pic:pic>
              </a:graphicData>
            </a:graphic>
          </wp:inline>
        </w:drawing>
      </w:r>
      <w:r>
        <w:rPr>
          <w:rFonts w:ascii="Arial"/>
          <w:color w:val="231F20"/>
          <w:spacing w:val="2"/>
          <w:sz w:val="20"/>
        </w:rPr>
      </w:r>
      <w:r>
        <w:rPr>
          <w:rFonts w:ascii="Times New Roman"/>
          <w:color w:val="231F20"/>
          <w:spacing w:val="40"/>
          <w:sz w:val="20"/>
        </w:rPr>
        <w:t> </w:t>
      </w:r>
      <w:r>
        <w:rPr>
          <w:color w:val="231F20"/>
          <w:sz w:val="20"/>
        </w:rPr>
        <w:t>Layout to change the topology layout to the one that best suits the</w:t>
      </w:r>
      <w:r>
        <w:rPr>
          <w:color w:val="231F20"/>
          <w:spacing w:val="40"/>
          <w:sz w:val="20"/>
        </w:rPr>
        <w:t> </w:t>
      </w:r>
      <w:r>
        <w:rPr>
          <w:color w:val="231F20"/>
          <w:sz w:val="20"/>
        </w:rPr>
        <w:t>type of data relationships being presented.</w:t>
      </w:r>
    </w:p>
    <w:p>
      <w:pPr>
        <w:pStyle w:val="ListParagraph"/>
        <w:numPr>
          <w:ilvl w:val="0"/>
          <w:numId w:val="58"/>
        </w:numPr>
        <w:tabs>
          <w:tab w:pos="2659" w:val="left" w:leader="none"/>
        </w:tabs>
        <w:spacing w:line="213" w:lineRule="auto" w:before="60" w:after="0"/>
        <w:ind w:left="2659" w:right="624" w:hanging="427"/>
        <w:jc w:val="left"/>
        <w:rPr>
          <w:rFonts w:ascii="Arial"/>
          <w:color w:val="231F20"/>
          <w:sz w:val="20"/>
        </w:rPr>
      </w:pPr>
      <w:r>
        <w:rPr>
          <w:color w:val="231F20"/>
          <w:sz w:val="20"/>
        </w:rPr>
        <w:t>When you are done configuring and formatting the view, save your </w:t>
      </w:r>
      <w:r>
        <w:rPr>
          <w:color w:val="231F20"/>
          <w:sz w:val="20"/>
        </w:rPr>
        <w:t>changes </w:t>
      </w:r>
      <w:bookmarkStart w:name="What the topology view shows" w:id="216"/>
      <w:bookmarkEnd w:id="216"/>
      <w:r>
        <w:rPr>
          <w:color w:val="231F20"/>
          <w:sz w:val="20"/>
        </w:rPr>
        <w:t>with</w:t>
      </w:r>
      <w:r>
        <w:rPr>
          <w:color w:val="231F20"/>
          <w:sz w:val="20"/>
        </w:rPr>
        <w:t> </w:t>
      </w:r>
      <w:r>
        <w:rPr>
          <w:rFonts w:ascii="Book Antiqua"/>
          <w:b/>
          <w:color w:val="231F20"/>
          <w:sz w:val="20"/>
        </w:rPr>
        <w:t>Apply </w:t>
      </w:r>
      <w:r>
        <w:rPr>
          <w:color w:val="231F20"/>
          <w:sz w:val="20"/>
        </w:rPr>
        <w:t>to keep the Properties editor open or </w:t>
      </w:r>
      <w:r>
        <w:rPr>
          <w:rFonts w:ascii="Book Antiqua"/>
          <w:b/>
          <w:color w:val="231F20"/>
          <w:sz w:val="20"/>
        </w:rPr>
        <w:t>OK </w:t>
      </w:r>
      <w:r>
        <w:rPr>
          <w:color w:val="231F20"/>
          <w:sz w:val="20"/>
        </w:rPr>
        <w:t>to close the editor.</w:t>
      </w:r>
    </w:p>
    <w:p>
      <w:pPr>
        <w:pStyle w:val="Heading3"/>
        <w:spacing w:before="217"/>
        <w:ind w:left="1334"/>
      </w:pPr>
      <w:r>
        <w:rPr>
          <w:color w:val="231F20"/>
        </w:rPr>
        <w:t>What</w:t>
      </w:r>
      <w:r>
        <w:rPr>
          <w:color w:val="231F20"/>
          <w:spacing w:val="7"/>
        </w:rPr>
        <w:t> </w:t>
      </w:r>
      <w:r>
        <w:rPr>
          <w:color w:val="231F20"/>
        </w:rPr>
        <w:t>the</w:t>
      </w:r>
      <w:r>
        <w:rPr>
          <w:color w:val="231F20"/>
          <w:spacing w:val="8"/>
        </w:rPr>
        <w:t> </w:t>
      </w:r>
      <w:r>
        <w:rPr>
          <w:color w:val="231F20"/>
        </w:rPr>
        <w:t>topology</w:t>
      </w:r>
      <w:r>
        <w:rPr>
          <w:color w:val="231F20"/>
          <w:spacing w:val="8"/>
        </w:rPr>
        <w:t> </w:t>
      </w:r>
      <w:r>
        <w:rPr>
          <w:color w:val="231F20"/>
        </w:rPr>
        <w:t>view</w:t>
      </w:r>
      <w:r>
        <w:rPr>
          <w:color w:val="231F20"/>
          <w:spacing w:val="8"/>
        </w:rPr>
        <w:t> </w:t>
      </w:r>
      <w:r>
        <w:rPr>
          <w:color w:val="231F20"/>
          <w:spacing w:val="-2"/>
        </w:rPr>
        <w:t>shows</w:t>
      </w:r>
    </w:p>
    <w:p>
      <w:pPr>
        <w:pStyle w:val="BodyText"/>
        <w:spacing w:line="213" w:lineRule="auto" w:before="59"/>
        <w:ind w:left="2232" w:right="545"/>
      </w:pPr>
      <w:r>
        <w:rPr>
          <w:color w:val="231F20"/>
        </w:rPr>
        <w:t>A topology</w:t>
      </w:r>
      <w:r>
        <w:rPr>
          <w:color w:val="231F20"/>
          <w:spacing w:val="12"/>
        </w:rPr>
        <w:t> </w:t>
      </w:r>
      <w:r>
        <w:rPr>
          <w:color w:val="231F20"/>
        </w:rPr>
        <w:t>view</w:t>
      </w:r>
      <w:r>
        <w:rPr>
          <w:color w:val="231F20"/>
          <w:spacing w:val="12"/>
        </w:rPr>
        <w:t> </w:t>
      </w:r>
      <w:r>
        <w:rPr>
          <w:color w:val="231F20"/>
        </w:rPr>
        <w:t>added</w:t>
      </w:r>
      <w:r>
        <w:rPr>
          <w:color w:val="231F20"/>
          <w:spacing w:val="12"/>
        </w:rPr>
        <w:t> </w:t>
      </w:r>
      <w:r>
        <w:rPr>
          <w:color w:val="231F20"/>
        </w:rPr>
        <w:t>to</w:t>
      </w:r>
      <w:r>
        <w:rPr>
          <w:color w:val="231F20"/>
          <w:spacing w:val="12"/>
        </w:rPr>
        <w:t> </w:t>
      </w:r>
      <w:r>
        <w:rPr>
          <w:color w:val="231F20"/>
        </w:rPr>
        <w:t>a</w:t>
      </w:r>
      <w:r>
        <w:rPr>
          <w:color w:val="231F20"/>
          <w:spacing w:val="12"/>
        </w:rPr>
        <w:t> </w:t>
      </w:r>
      <w:r>
        <w:rPr>
          <w:color w:val="231F20"/>
        </w:rPr>
        <w:t>workspace</w:t>
      </w:r>
      <w:r>
        <w:rPr>
          <w:color w:val="231F20"/>
          <w:spacing w:val="12"/>
        </w:rPr>
        <w:t> </w:t>
      </w:r>
      <w:r>
        <w:rPr>
          <w:color w:val="231F20"/>
        </w:rPr>
        <w:t>maps</w:t>
      </w:r>
      <w:r>
        <w:rPr>
          <w:color w:val="231F20"/>
          <w:spacing w:val="12"/>
        </w:rPr>
        <w:t> </w:t>
      </w:r>
      <w:r>
        <w:rPr>
          <w:color w:val="231F20"/>
        </w:rPr>
        <w:t>the</w:t>
      </w:r>
      <w:r>
        <w:rPr>
          <w:color w:val="231F20"/>
          <w:spacing w:val="12"/>
        </w:rPr>
        <w:t> </w:t>
      </w:r>
      <w:r>
        <w:rPr>
          <w:color w:val="231F20"/>
        </w:rPr>
        <w:t>context</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Navigator</w:t>
      </w:r>
      <w:r>
        <w:rPr>
          <w:color w:val="231F20"/>
          <w:spacing w:val="12"/>
        </w:rPr>
        <w:t> </w:t>
      </w:r>
      <w:r>
        <w:rPr>
          <w:color w:val="231F20"/>
        </w:rPr>
        <w:t>item</w:t>
      </w:r>
      <w:r>
        <w:rPr>
          <w:color w:val="231F20"/>
          <w:spacing w:val="12"/>
        </w:rPr>
        <w:t> </w:t>
      </w:r>
      <w:r>
        <w:rPr>
          <w:color w:val="231F20"/>
        </w:rPr>
        <w:t>to a logical diagrammatic form. The objects shown are elements (attributes) of the</w:t>
      </w:r>
    </w:p>
    <w:p>
      <w:pPr>
        <w:spacing w:after="0" w:line="213" w:lineRule="auto"/>
        <w:sectPr>
          <w:pgSz w:w="12240" w:h="15840"/>
          <w:pgMar w:header="0" w:footer="736" w:top="1180" w:bottom="920" w:left="1000" w:right="1060"/>
        </w:sectPr>
      </w:pPr>
    </w:p>
    <w:p>
      <w:pPr>
        <w:pStyle w:val="BodyText"/>
        <w:spacing w:line="213" w:lineRule="auto" w:before="85"/>
        <w:ind w:left="2472"/>
      </w:pPr>
      <w:bookmarkStart w:name="_bookmark101" w:id="217"/>
      <w:bookmarkEnd w:id="217"/>
      <w:r>
        <w:rPr/>
      </w:r>
      <w:r>
        <w:rPr>
          <w:color w:val="231F20"/>
        </w:rPr>
        <w:t>product that is represented by the Navigator item. The elements of the monitored product are arranged to show their relationships to one another.</w:t>
      </w:r>
    </w:p>
    <w:p>
      <w:pPr>
        <w:pStyle w:val="Heading4"/>
        <w:ind w:left="2472"/>
      </w:pPr>
      <w:r>
        <w:rPr>
          <w:color w:val="231F20"/>
        </w:rPr>
        <w:t>Manipulating</w:t>
      </w:r>
      <w:r>
        <w:rPr>
          <w:color w:val="231F20"/>
          <w:spacing w:val="3"/>
        </w:rPr>
        <w:t> </w:t>
      </w:r>
      <w:r>
        <w:rPr>
          <w:color w:val="231F20"/>
        </w:rPr>
        <w:t>the</w:t>
      </w:r>
      <w:r>
        <w:rPr>
          <w:color w:val="231F20"/>
          <w:spacing w:val="3"/>
        </w:rPr>
        <w:t> </w:t>
      </w:r>
      <w:r>
        <w:rPr>
          <w:color w:val="231F20"/>
        </w:rPr>
        <w:t>topology</w:t>
      </w:r>
      <w:r>
        <w:rPr>
          <w:color w:val="231F20"/>
          <w:spacing w:val="4"/>
        </w:rPr>
        <w:t> </w:t>
      </w:r>
      <w:r>
        <w:rPr>
          <w:color w:val="231F20"/>
          <w:spacing w:val="-4"/>
        </w:rPr>
        <w:t>view</w:t>
      </w:r>
    </w:p>
    <w:p>
      <w:pPr>
        <w:pStyle w:val="BodyText"/>
        <w:spacing w:line="213" w:lineRule="auto" w:before="241"/>
        <w:ind w:left="2472" w:right="385"/>
      </w:pPr>
      <w:r>
        <w:rPr>
          <w:color w:val="231F20"/>
        </w:rPr>
        <w:t>The view has tools for navigating the topology and arranging the objects to </w:t>
      </w:r>
      <w:r>
        <w:rPr>
          <w:color w:val="231F20"/>
        </w:rPr>
        <w:t>reveal areas of interest.</w:t>
      </w:r>
    </w:p>
    <w:p>
      <w:pPr>
        <w:pStyle w:val="Heading6"/>
        <w:spacing w:line="240" w:lineRule="auto"/>
      </w:pPr>
      <w:r>
        <w:rPr>
          <w:color w:val="231F20"/>
          <w:spacing w:val="-2"/>
        </w:rPr>
        <w:t>Toolbar</w:t>
      </w:r>
    </w:p>
    <w:p>
      <w:pPr>
        <w:spacing w:line="213" w:lineRule="auto" w:before="119"/>
        <w:ind w:left="3190" w:right="0" w:firstLine="0"/>
        <w:jc w:val="left"/>
        <w:rPr>
          <w:sz w:val="20"/>
        </w:rPr>
      </w:pPr>
      <w:r>
        <w:rPr>
          <w:color w:val="231F20"/>
          <w:sz w:val="20"/>
        </w:rPr>
        <w:t>In addition to the tools described here, the topology view toolbar for </w:t>
      </w:r>
      <w:r>
        <w:rPr>
          <w:color w:val="231F20"/>
          <w:sz w:val="20"/>
        </w:rPr>
        <w:t>your product might have additional tools, such as an </w:t>
      </w:r>
      <w:r>
        <w:rPr>
          <w:rFonts w:ascii="Book Antiqua"/>
          <w:b/>
          <w:color w:val="231F20"/>
          <w:sz w:val="20"/>
        </w:rPr>
        <w:t>Apply Pending Updates </w:t>
      </w:r>
      <w:r>
        <w:rPr>
          <w:color w:val="231F20"/>
          <w:sz w:val="20"/>
        </w:rPr>
        <w:t>button or </w:t>
      </w:r>
      <w:r>
        <w:rPr>
          <w:rFonts w:ascii="Book Antiqua"/>
          <w:b/>
          <w:color w:val="231F20"/>
          <w:sz w:val="20"/>
        </w:rPr>
        <w:t>Status Filtering </w:t>
      </w:r>
      <w:r>
        <w:rPr>
          <w:color w:val="231F20"/>
          <w:sz w:val="20"/>
        </w:rPr>
        <w:t>button.</w:t>
      </w:r>
    </w:p>
    <w:p>
      <w:pPr>
        <w:spacing w:line="216" w:lineRule="auto" w:before="239"/>
        <w:ind w:left="3972" w:right="292" w:firstLine="10"/>
        <w:jc w:val="left"/>
        <w:rPr>
          <w:sz w:val="18"/>
        </w:rPr>
      </w:pPr>
      <w:r>
        <w:rPr/>
        <w:drawing>
          <wp:anchor distT="0" distB="0" distL="0" distR="0" allowOverlap="1" layoutInCell="1" locked="0" behindDoc="0" simplePos="0" relativeHeight="15819776">
            <wp:simplePos x="0" y="0"/>
            <wp:positionH relativeFrom="page">
              <wp:posOffset>2211278</wp:posOffset>
            </wp:positionH>
            <wp:positionV relativeFrom="paragraph">
              <wp:posOffset>190314</wp:posOffset>
            </wp:positionV>
            <wp:extent cx="95250" cy="95250"/>
            <wp:effectExtent l="0" t="0" r="0" b="0"/>
            <wp:wrapNone/>
            <wp:docPr id="1321" name="Image 1321"/>
            <wp:cNvGraphicFramePr>
              <a:graphicFrameLocks/>
            </wp:cNvGraphicFramePr>
            <a:graphic>
              <a:graphicData uri="http://schemas.openxmlformats.org/drawingml/2006/picture">
                <pic:pic>
                  <pic:nvPicPr>
                    <pic:cNvPr id="1321" name="Image 1321"/>
                    <pic:cNvPicPr/>
                  </pic:nvPicPr>
                  <pic:blipFill>
                    <a:blip r:embed="rId23"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2372760</wp:posOffset>
            </wp:positionH>
            <wp:positionV relativeFrom="paragraph">
              <wp:posOffset>203077</wp:posOffset>
            </wp:positionV>
            <wp:extent cx="31750" cy="19050"/>
            <wp:effectExtent l="0" t="0" r="0" b="0"/>
            <wp:wrapNone/>
            <wp:docPr id="1322" name="Image 1322"/>
            <wp:cNvGraphicFramePr>
              <a:graphicFrameLocks/>
            </wp:cNvGraphicFramePr>
            <a:graphic>
              <a:graphicData uri="http://schemas.openxmlformats.org/drawingml/2006/picture">
                <pic:pic>
                  <pic:nvPicPr>
                    <pic:cNvPr id="1322" name="Image 1322"/>
                    <pic:cNvPicPr/>
                  </pic:nvPicPr>
                  <pic:blipFill>
                    <a:blip r:embed="rId24" cstate="print"/>
                    <a:stretch>
                      <a:fillRect/>
                    </a:stretch>
                  </pic:blipFill>
                  <pic:spPr>
                    <a:xfrm>
                      <a:off x="0" y="0"/>
                      <a:ext cx="31750" cy="19050"/>
                    </a:xfrm>
                    <a:prstGeom prst="rect">
                      <a:avLst/>
                    </a:prstGeom>
                  </pic:spPr>
                </pic:pic>
              </a:graphicData>
            </a:graphic>
          </wp:anchor>
        </w:drawing>
      </w:r>
      <w:r>
        <w:rPr>
          <w:position w:val="-3"/>
        </w:rPr>
        <w:drawing>
          <wp:inline distT="0" distB="0" distL="0" distR="0">
            <wp:extent cx="95249" cy="95250"/>
            <wp:effectExtent l="0" t="0" r="0" b="0"/>
            <wp:docPr id="1323" name="Image 1323"/>
            <wp:cNvGraphicFramePr>
              <a:graphicFrameLocks/>
            </wp:cNvGraphicFramePr>
            <a:graphic>
              <a:graphicData uri="http://schemas.openxmlformats.org/drawingml/2006/picture">
                <pic:pic>
                  <pic:nvPicPr>
                    <pic:cNvPr id="1323" name="Image 1323"/>
                    <pic:cNvPicPr/>
                  </pic:nvPicPr>
                  <pic:blipFill>
                    <a:blip r:embed="rId23" cstate="print"/>
                    <a:stretch>
                      <a:fillRect/>
                    </a:stretch>
                  </pic:blipFill>
                  <pic:spPr>
                    <a:xfrm>
                      <a:off x="0" y="0"/>
                      <a:ext cx="95249" cy="95250"/>
                    </a:xfrm>
                    <a:prstGeom prst="rect">
                      <a:avLst/>
                    </a:prstGeom>
                  </pic:spPr>
                </pic:pic>
              </a:graphicData>
            </a:graphic>
          </wp:inline>
        </w:drawing>
      </w:r>
      <w:r>
        <w:rPr>
          <w:position w:val="-3"/>
        </w:rPr>
      </w:r>
      <w:r>
        <w:rPr>
          <w:rFonts w:ascii="Times New Roman"/>
          <w:spacing w:val="40"/>
          <w:sz w:val="20"/>
        </w:rPr>
        <w:t> </w:t>
      </w:r>
      <w:r>
        <w:rPr>
          <w:color w:val="231F20"/>
          <w:sz w:val="18"/>
        </w:rPr>
        <w:t>Backward returns to the previous display of the topology. Click the </w:t>
      </w:r>
      <w:r>
        <w:rPr>
          <w:color w:val="231F20"/>
          <w:spacing w:val="13"/>
          <w:position w:val="6"/>
          <w:sz w:val="18"/>
        </w:rPr>
        <w:drawing>
          <wp:inline distT="0" distB="0" distL="0" distR="0">
            <wp:extent cx="31750" cy="19050"/>
            <wp:effectExtent l="0" t="0" r="0" b="0"/>
            <wp:docPr id="1324" name="Image 1324"/>
            <wp:cNvGraphicFramePr>
              <a:graphicFrameLocks/>
            </wp:cNvGraphicFramePr>
            <a:graphic>
              <a:graphicData uri="http://schemas.openxmlformats.org/drawingml/2006/picture">
                <pic:pic>
                  <pic:nvPicPr>
                    <pic:cNvPr id="1324" name="Image 1324"/>
                    <pic:cNvPicPr/>
                  </pic:nvPicPr>
                  <pic:blipFill>
                    <a:blip r:embed="rId24" cstate="print"/>
                    <a:stretch>
                      <a:fillRect/>
                    </a:stretch>
                  </pic:blipFill>
                  <pic:spPr>
                    <a:xfrm>
                      <a:off x="0" y="0"/>
                      <a:ext cx="31750" cy="19050"/>
                    </a:xfrm>
                    <a:prstGeom prst="rect">
                      <a:avLst/>
                    </a:prstGeom>
                  </pic:spPr>
                </pic:pic>
              </a:graphicData>
            </a:graphic>
          </wp:inline>
        </w:drawing>
      </w:r>
      <w:r>
        <w:rPr>
          <w:color w:val="231F20"/>
          <w:spacing w:val="13"/>
          <w:position w:val="6"/>
          <w:sz w:val="18"/>
        </w:rPr>
      </w:r>
      <w:r>
        <w:rPr>
          <w:rFonts w:ascii="Times New Roman"/>
          <w:color w:val="231F20"/>
          <w:spacing w:val="80"/>
          <w:position w:val="6"/>
          <w:sz w:val="18"/>
        </w:rPr>
        <w:t> </w:t>
      </w:r>
      <w:r>
        <w:rPr>
          <w:color w:val="231F20"/>
          <w:sz w:val="18"/>
        </w:rPr>
        <w:t>list button to see and select from a history. The view displays the selected </w:t>
      </w:r>
      <w:r>
        <w:rPr>
          <w:color w:val="231F20"/>
          <w:spacing w:val="-2"/>
          <w:sz w:val="18"/>
        </w:rPr>
        <w:t>content.</w:t>
      </w:r>
    </w:p>
    <w:p>
      <w:pPr>
        <w:spacing w:line="216" w:lineRule="auto" w:before="3"/>
        <w:ind w:left="3972" w:right="0" w:firstLine="0"/>
        <w:jc w:val="left"/>
        <w:rPr>
          <w:sz w:val="18"/>
        </w:rPr>
      </w:pPr>
      <w:r>
        <w:rPr>
          <w:color w:val="231F20"/>
          <w:sz w:val="18"/>
        </w:rPr>
        <w:t>Note that the tool does not show in the toolbar if your topology is small enough to fit within the view space.</w:t>
      </w:r>
    </w:p>
    <w:p>
      <w:pPr>
        <w:spacing w:before="3"/>
        <w:ind w:left="3972" w:right="0" w:firstLine="0"/>
        <w:jc w:val="left"/>
        <w:rPr>
          <w:sz w:val="18"/>
        </w:rPr>
      </w:pPr>
      <w:r>
        <w:rPr/>
        <w:drawing>
          <wp:anchor distT="0" distB="0" distL="0" distR="0" allowOverlap="1" layoutInCell="1" locked="0" behindDoc="0" simplePos="0" relativeHeight="15820800">
            <wp:simplePos x="0" y="0"/>
            <wp:positionH relativeFrom="page">
              <wp:posOffset>2211278</wp:posOffset>
            </wp:positionH>
            <wp:positionV relativeFrom="paragraph">
              <wp:posOffset>90192</wp:posOffset>
            </wp:positionV>
            <wp:extent cx="95250" cy="95250"/>
            <wp:effectExtent l="0" t="0" r="0" b="0"/>
            <wp:wrapNone/>
            <wp:docPr id="1325" name="Image 1325"/>
            <wp:cNvGraphicFramePr>
              <a:graphicFrameLocks/>
            </wp:cNvGraphicFramePr>
            <a:graphic>
              <a:graphicData uri="http://schemas.openxmlformats.org/drawingml/2006/picture">
                <pic:pic>
                  <pic:nvPicPr>
                    <pic:cNvPr id="1325" name="Image 1325"/>
                    <pic:cNvPicPr/>
                  </pic:nvPicPr>
                  <pic:blipFill>
                    <a:blip r:embed="rId25"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821312">
            <wp:simplePos x="0" y="0"/>
            <wp:positionH relativeFrom="page">
              <wp:posOffset>2372760</wp:posOffset>
            </wp:positionH>
            <wp:positionV relativeFrom="paragraph">
              <wp:posOffset>102955</wp:posOffset>
            </wp:positionV>
            <wp:extent cx="31750" cy="19050"/>
            <wp:effectExtent l="0" t="0" r="0" b="0"/>
            <wp:wrapNone/>
            <wp:docPr id="1326" name="Image 1326"/>
            <wp:cNvGraphicFramePr>
              <a:graphicFrameLocks/>
            </wp:cNvGraphicFramePr>
            <a:graphic>
              <a:graphicData uri="http://schemas.openxmlformats.org/drawingml/2006/picture">
                <pic:pic>
                  <pic:nvPicPr>
                    <pic:cNvPr id="1326" name="Image 1326"/>
                    <pic:cNvPicPr/>
                  </pic:nvPicPr>
                  <pic:blipFill>
                    <a:blip r:embed="rId24" cstate="print"/>
                    <a:stretch>
                      <a:fillRect/>
                    </a:stretch>
                  </pic:blipFill>
                  <pic:spPr>
                    <a:xfrm>
                      <a:off x="0" y="0"/>
                      <a:ext cx="31750" cy="19050"/>
                    </a:xfrm>
                    <a:prstGeom prst="rect">
                      <a:avLst/>
                    </a:prstGeom>
                  </pic:spPr>
                </pic:pic>
              </a:graphicData>
            </a:graphic>
          </wp:anchor>
        </w:drawing>
      </w:r>
      <w:r>
        <w:rPr>
          <w:color w:val="231F20"/>
          <w:sz w:val="18"/>
        </w:rPr>
        <w:t>If</w:t>
      </w:r>
      <w:r>
        <w:rPr>
          <w:color w:val="231F20"/>
          <w:spacing w:val="8"/>
          <w:sz w:val="18"/>
        </w:rPr>
        <w:t> </w:t>
      </w:r>
      <w:r>
        <w:rPr>
          <w:color w:val="231F20"/>
          <w:sz w:val="18"/>
        </w:rPr>
        <w:t>you</w:t>
      </w:r>
      <w:r>
        <w:rPr>
          <w:color w:val="231F20"/>
          <w:spacing w:val="9"/>
          <w:sz w:val="18"/>
        </w:rPr>
        <w:t> </w:t>
      </w:r>
      <w:r>
        <w:rPr>
          <w:color w:val="231F20"/>
          <w:sz w:val="18"/>
        </w:rPr>
        <w:t>went</w:t>
      </w:r>
      <w:r>
        <w:rPr>
          <w:color w:val="231F20"/>
          <w:spacing w:val="9"/>
          <w:sz w:val="18"/>
        </w:rPr>
        <w:t> </w:t>
      </w:r>
      <w:r>
        <w:rPr>
          <w:color w:val="231F20"/>
          <w:sz w:val="18"/>
        </w:rPr>
        <w:t>back</w:t>
      </w:r>
      <w:r>
        <w:rPr>
          <w:color w:val="231F20"/>
          <w:spacing w:val="9"/>
          <w:sz w:val="18"/>
        </w:rPr>
        <w:t> </w:t>
      </w:r>
      <w:r>
        <w:rPr>
          <w:color w:val="231F20"/>
          <w:sz w:val="18"/>
        </w:rPr>
        <w:t>to</w:t>
      </w:r>
      <w:r>
        <w:rPr>
          <w:color w:val="231F20"/>
          <w:spacing w:val="8"/>
          <w:sz w:val="18"/>
        </w:rPr>
        <w:t> </w:t>
      </w:r>
      <w:r>
        <w:rPr>
          <w:color w:val="231F20"/>
          <w:sz w:val="18"/>
        </w:rPr>
        <w:t>a</w:t>
      </w:r>
      <w:r>
        <w:rPr>
          <w:color w:val="231F20"/>
          <w:spacing w:val="9"/>
          <w:sz w:val="18"/>
        </w:rPr>
        <w:t> </w:t>
      </w:r>
      <w:r>
        <w:rPr>
          <w:color w:val="231F20"/>
          <w:sz w:val="18"/>
        </w:rPr>
        <w:t>previous</w:t>
      </w:r>
      <w:r>
        <w:rPr>
          <w:color w:val="231F20"/>
          <w:spacing w:val="9"/>
          <w:sz w:val="18"/>
        </w:rPr>
        <w:t> </w:t>
      </w:r>
      <w:r>
        <w:rPr>
          <w:color w:val="231F20"/>
          <w:sz w:val="18"/>
        </w:rPr>
        <w:t>topology</w:t>
      </w:r>
      <w:r>
        <w:rPr>
          <w:color w:val="231F20"/>
          <w:spacing w:val="9"/>
          <w:sz w:val="18"/>
        </w:rPr>
        <w:t> </w:t>
      </w:r>
      <w:r>
        <w:rPr>
          <w:color w:val="231F20"/>
          <w:sz w:val="18"/>
        </w:rPr>
        <w:t>display,</w:t>
      </w:r>
      <w:r>
        <w:rPr>
          <w:color w:val="231F20"/>
          <w:spacing w:val="8"/>
          <w:sz w:val="18"/>
        </w:rPr>
        <w:t> </w:t>
      </w:r>
      <w:r>
        <w:rPr>
          <w:color w:val="231F20"/>
          <w:sz w:val="18"/>
        </w:rPr>
        <w:t>click</w:t>
      </w:r>
      <w:r>
        <w:rPr>
          <w:color w:val="231F20"/>
          <w:spacing w:val="17"/>
          <w:sz w:val="18"/>
        </w:rPr>
        <w:t> </w:t>
      </w:r>
      <w:r>
        <w:rPr>
          <w:color w:val="231F20"/>
          <w:spacing w:val="-22"/>
          <w:position w:val="-3"/>
          <w:sz w:val="18"/>
        </w:rPr>
        <w:drawing>
          <wp:inline distT="0" distB="0" distL="0" distR="0">
            <wp:extent cx="95250" cy="95250"/>
            <wp:effectExtent l="0" t="0" r="0" b="0"/>
            <wp:docPr id="1327" name="Image 1327"/>
            <wp:cNvGraphicFramePr>
              <a:graphicFrameLocks/>
            </wp:cNvGraphicFramePr>
            <a:graphic>
              <a:graphicData uri="http://schemas.openxmlformats.org/drawingml/2006/picture">
                <pic:pic>
                  <pic:nvPicPr>
                    <pic:cNvPr id="1327" name="Image 1327"/>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2"/>
          <w:position w:val="-3"/>
          <w:sz w:val="18"/>
        </w:rPr>
      </w:r>
      <w:r>
        <w:rPr>
          <w:rFonts w:ascii="Times New Roman"/>
          <w:color w:val="231F20"/>
          <w:spacing w:val="70"/>
          <w:sz w:val="18"/>
        </w:rPr>
        <w:t> </w:t>
      </w:r>
      <w:r>
        <w:rPr>
          <w:rFonts w:ascii="Book Antiqua"/>
          <w:b/>
          <w:color w:val="231F20"/>
          <w:sz w:val="18"/>
        </w:rPr>
        <w:t>Forward</w:t>
      </w:r>
      <w:r>
        <w:rPr>
          <w:rFonts w:ascii="Book Antiqua"/>
          <w:b/>
          <w:color w:val="231F20"/>
          <w:spacing w:val="9"/>
          <w:sz w:val="18"/>
        </w:rPr>
        <w:t> </w:t>
      </w:r>
      <w:r>
        <w:rPr>
          <w:color w:val="231F20"/>
          <w:spacing w:val="-5"/>
          <w:sz w:val="18"/>
        </w:rPr>
        <w:t>to</w:t>
      </w:r>
    </w:p>
    <w:p>
      <w:pPr>
        <w:spacing w:line="216" w:lineRule="auto" w:before="55"/>
        <w:ind w:left="3972" w:right="288" w:firstLine="0"/>
        <w:jc w:val="both"/>
        <w:rPr>
          <w:sz w:val="18"/>
        </w:rPr>
      </w:pPr>
      <w:r>
        <w:rPr>
          <w:color w:val="231F20"/>
          <w:sz w:val="18"/>
        </w:rPr>
        <w:t>return to the most recently navigated version of the view. Click the </w:t>
      </w:r>
      <w:r>
        <w:rPr>
          <w:color w:val="231F20"/>
          <w:spacing w:val="12"/>
          <w:position w:val="6"/>
          <w:sz w:val="18"/>
        </w:rPr>
        <w:drawing>
          <wp:inline distT="0" distB="0" distL="0" distR="0">
            <wp:extent cx="31750" cy="19050"/>
            <wp:effectExtent l="0" t="0" r="0" b="0"/>
            <wp:docPr id="1328" name="Image 1328"/>
            <wp:cNvGraphicFramePr>
              <a:graphicFrameLocks/>
            </wp:cNvGraphicFramePr>
            <a:graphic>
              <a:graphicData uri="http://schemas.openxmlformats.org/drawingml/2006/picture">
                <pic:pic>
                  <pic:nvPicPr>
                    <pic:cNvPr id="1328" name="Image 1328"/>
                    <pic:cNvPicPr/>
                  </pic:nvPicPr>
                  <pic:blipFill>
                    <a:blip r:embed="rId24" cstate="print"/>
                    <a:stretch>
                      <a:fillRect/>
                    </a:stretch>
                  </pic:blipFill>
                  <pic:spPr>
                    <a:xfrm>
                      <a:off x="0" y="0"/>
                      <a:ext cx="31750" cy="19050"/>
                    </a:xfrm>
                    <a:prstGeom prst="rect">
                      <a:avLst/>
                    </a:prstGeom>
                  </pic:spPr>
                </pic:pic>
              </a:graphicData>
            </a:graphic>
          </wp:inline>
        </w:drawing>
      </w:r>
      <w:r>
        <w:rPr>
          <w:color w:val="231F20"/>
          <w:spacing w:val="12"/>
          <w:position w:val="6"/>
          <w:sz w:val="18"/>
        </w:rPr>
      </w:r>
      <w:r>
        <w:rPr>
          <w:rFonts w:ascii="Times New Roman"/>
          <w:color w:val="231F20"/>
          <w:spacing w:val="12"/>
          <w:sz w:val="18"/>
        </w:rPr>
        <w:t> </w:t>
      </w:r>
      <w:r>
        <w:rPr>
          <w:color w:val="231F20"/>
          <w:sz w:val="18"/>
        </w:rPr>
        <w:t>list button to see and select from a history. The view refreshes with the most recent status of the management elements.</w:t>
      </w:r>
    </w:p>
    <w:p>
      <w:pPr>
        <w:spacing w:line="216" w:lineRule="auto" w:before="23"/>
        <w:ind w:left="3972" w:right="493" w:firstLine="0"/>
        <w:jc w:val="left"/>
        <w:rPr>
          <w:sz w:val="18"/>
        </w:rPr>
      </w:pPr>
      <w:r>
        <w:rPr/>
        <w:drawing>
          <wp:anchor distT="0" distB="0" distL="0" distR="0" allowOverlap="1" layoutInCell="1" locked="0" behindDoc="0" simplePos="0" relativeHeight="15821824">
            <wp:simplePos x="0" y="0"/>
            <wp:positionH relativeFrom="page">
              <wp:posOffset>2204928</wp:posOffset>
            </wp:positionH>
            <wp:positionV relativeFrom="paragraph">
              <wp:posOffset>46586</wp:posOffset>
            </wp:positionV>
            <wp:extent cx="546100" cy="101600"/>
            <wp:effectExtent l="0" t="0" r="0" b="0"/>
            <wp:wrapNone/>
            <wp:docPr id="1329" name="Image 1329"/>
            <wp:cNvGraphicFramePr>
              <a:graphicFrameLocks/>
            </wp:cNvGraphicFramePr>
            <a:graphic>
              <a:graphicData uri="http://schemas.openxmlformats.org/drawingml/2006/picture">
                <pic:pic>
                  <pic:nvPicPr>
                    <pic:cNvPr id="1329" name="Image 1329"/>
                    <pic:cNvPicPr/>
                  </pic:nvPicPr>
                  <pic:blipFill>
                    <a:blip r:embed="rId254" cstate="print"/>
                    <a:stretch>
                      <a:fillRect/>
                    </a:stretch>
                  </pic:blipFill>
                  <pic:spPr>
                    <a:xfrm>
                      <a:off x="0" y="0"/>
                      <a:ext cx="546100" cy="101600"/>
                    </a:xfrm>
                    <a:prstGeom prst="rect">
                      <a:avLst/>
                    </a:prstGeom>
                  </pic:spPr>
                </pic:pic>
              </a:graphicData>
            </a:graphic>
          </wp:anchor>
        </w:drawing>
      </w:r>
      <w:r>
        <w:rPr>
          <w:color w:val="231F20"/>
          <w:sz w:val="18"/>
        </w:rPr>
        <w:t>To zoom the display in and out, move the zoom slider switch right and left or press Num Pad + and -. As the zoom level decreases, the level of detail displayed is reduced. For example, the labels are automatically </w:t>
      </w:r>
      <w:r>
        <w:rPr>
          <w:color w:val="231F20"/>
          <w:spacing w:val="-2"/>
          <w:sz w:val="18"/>
        </w:rPr>
        <w:t>hidden.</w:t>
      </w:r>
    </w:p>
    <w:p>
      <w:pPr>
        <w:spacing w:line="241" w:lineRule="exact" w:before="5"/>
        <w:ind w:left="3982" w:right="0" w:firstLine="0"/>
        <w:jc w:val="left"/>
        <w:rPr>
          <w:sz w:val="18"/>
        </w:rPr>
      </w:pPr>
      <w:r>
        <w:rPr/>
        <w:drawing>
          <wp:anchor distT="0" distB="0" distL="0" distR="0" allowOverlap="1" layoutInCell="1" locked="0" behindDoc="0" simplePos="0" relativeHeight="15822336">
            <wp:simplePos x="0" y="0"/>
            <wp:positionH relativeFrom="page">
              <wp:posOffset>2211278</wp:posOffset>
            </wp:positionH>
            <wp:positionV relativeFrom="paragraph">
              <wp:posOffset>53327</wp:posOffset>
            </wp:positionV>
            <wp:extent cx="95250" cy="95250"/>
            <wp:effectExtent l="0" t="0" r="0" b="0"/>
            <wp:wrapNone/>
            <wp:docPr id="1330" name="Image 1330"/>
            <wp:cNvGraphicFramePr>
              <a:graphicFrameLocks/>
            </wp:cNvGraphicFramePr>
            <a:graphic>
              <a:graphicData uri="http://schemas.openxmlformats.org/drawingml/2006/picture">
                <pic:pic>
                  <pic:nvPicPr>
                    <pic:cNvPr id="1330" name="Image 1330"/>
                    <pic:cNvPicPr/>
                  </pic:nvPicPr>
                  <pic:blipFill>
                    <a:blip r:embed="rId255" cstate="print"/>
                    <a:stretch>
                      <a:fillRect/>
                    </a:stretch>
                  </pic:blipFill>
                  <pic:spPr>
                    <a:xfrm>
                      <a:off x="0" y="0"/>
                      <a:ext cx="95250" cy="95250"/>
                    </a:xfrm>
                    <a:prstGeom prst="rect">
                      <a:avLst/>
                    </a:prstGeom>
                  </pic:spPr>
                </pic:pic>
              </a:graphicData>
            </a:graphic>
          </wp:anchor>
        </w:drawing>
      </w:r>
      <w:r>
        <w:rPr>
          <w:position w:val="-3"/>
        </w:rPr>
        <w:drawing>
          <wp:inline distT="0" distB="0" distL="0" distR="0">
            <wp:extent cx="95249" cy="95250"/>
            <wp:effectExtent l="0" t="0" r="0" b="0"/>
            <wp:docPr id="1331" name="Image 1331"/>
            <wp:cNvGraphicFramePr>
              <a:graphicFrameLocks/>
            </wp:cNvGraphicFramePr>
            <a:graphic>
              <a:graphicData uri="http://schemas.openxmlformats.org/drawingml/2006/picture">
                <pic:pic>
                  <pic:nvPicPr>
                    <pic:cNvPr id="1331" name="Image 1331"/>
                    <pic:cNvPicPr/>
                  </pic:nvPicPr>
                  <pic:blipFill>
                    <a:blip r:embed="rId255" cstate="print"/>
                    <a:stretch>
                      <a:fillRect/>
                    </a:stretch>
                  </pic:blipFill>
                  <pic:spPr>
                    <a:xfrm>
                      <a:off x="0" y="0"/>
                      <a:ext cx="95249" cy="95250"/>
                    </a:xfrm>
                    <a:prstGeom prst="rect">
                      <a:avLst/>
                    </a:prstGeom>
                  </pic:spPr>
                </pic:pic>
              </a:graphicData>
            </a:graphic>
          </wp:inline>
        </w:drawing>
      </w:r>
      <w:r>
        <w:rPr>
          <w:position w:val="-3"/>
        </w:rPr>
      </w:r>
      <w:r>
        <w:rPr>
          <w:rFonts w:ascii="Times New Roman"/>
          <w:spacing w:val="56"/>
          <w:sz w:val="20"/>
        </w:rPr>
        <w:t> </w:t>
      </w:r>
      <w:r>
        <w:rPr>
          <w:color w:val="231F20"/>
          <w:sz w:val="18"/>
        </w:rPr>
        <w:t>Fit</w:t>
      </w:r>
      <w:r>
        <w:rPr>
          <w:color w:val="231F20"/>
          <w:spacing w:val="15"/>
          <w:sz w:val="18"/>
        </w:rPr>
        <w:t> </w:t>
      </w:r>
      <w:r>
        <w:rPr>
          <w:color w:val="231F20"/>
          <w:sz w:val="18"/>
        </w:rPr>
        <w:t>to</w:t>
      </w:r>
      <w:r>
        <w:rPr>
          <w:color w:val="231F20"/>
          <w:spacing w:val="15"/>
          <w:sz w:val="18"/>
        </w:rPr>
        <w:t> </w:t>
      </w:r>
      <w:r>
        <w:rPr>
          <w:color w:val="231F20"/>
          <w:sz w:val="18"/>
        </w:rPr>
        <w:t>view</w:t>
      </w:r>
      <w:r>
        <w:rPr>
          <w:color w:val="231F20"/>
          <w:spacing w:val="15"/>
          <w:sz w:val="18"/>
        </w:rPr>
        <w:t> </w:t>
      </w:r>
      <w:r>
        <w:rPr>
          <w:color w:val="231F20"/>
          <w:sz w:val="18"/>
        </w:rPr>
        <w:t>resizes</w:t>
      </w:r>
      <w:r>
        <w:rPr>
          <w:color w:val="231F20"/>
          <w:spacing w:val="15"/>
          <w:sz w:val="18"/>
        </w:rPr>
        <w:t> </w:t>
      </w:r>
      <w:r>
        <w:rPr>
          <w:color w:val="231F20"/>
          <w:sz w:val="18"/>
        </w:rPr>
        <w:t>the</w:t>
      </w:r>
      <w:r>
        <w:rPr>
          <w:color w:val="231F20"/>
          <w:spacing w:val="15"/>
          <w:sz w:val="18"/>
        </w:rPr>
        <w:t> </w:t>
      </w:r>
      <w:r>
        <w:rPr>
          <w:color w:val="231F20"/>
          <w:sz w:val="18"/>
        </w:rPr>
        <w:t>objects</w:t>
      </w:r>
      <w:r>
        <w:rPr>
          <w:color w:val="231F20"/>
          <w:spacing w:val="15"/>
          <w:sz w:val="18"/>
        </w:rPr>
        <w:t> </w:t>
      </w:r>
      <w:r>
        <w:rPr>
          <w:color w:val="231F20"/>
          <w:sz w:val="18"/>
        </w:rPr>
        <w:t>to</w:t>
      </w:r>
      <w:r>
        <w:rPr>
          <w:color w:val="231F20"/>
          <w:spacing w:val="15"/>
          <w:sz w:val="18"/>
        </w:rPr>
        <w:t> </w:t>
      </w:r>
      <w:r>
        <w:rPr>
          <w:color w:val="231F20"/>
          <w:sz w:val="18"/>
        </w:rPr>
        <w:t>fit</w:t>
      </w:r>
      <w:r>
        <w:rPr>
          <w:color w:val="231F20"/>
          <w:spacing w:val="15"/>
          <w:sz w:val="18"/>
        </w:rPr>
        <w:t> </w:t>
      </w:r>
      <w:r>
        <w:rPr>
          <w:color w:val="231F20"/>
          <w:sz w:val="18"/>
        </w:rPr>
        <w:t>into</w:t>
      </w:r>
      <w:r>
        <w:rPr>
          <w:color w:val="231F20"/>
          <w:spacing w:val="15"/>
          <w:sz w:val="18"/>
        </w:rPr>
        <w:t> </w:t>
      </w:r>
      <w:r>
        <w:rPr>
          <w:color w:val="231F20"/>
          <w:sz w:val="18"/>
        </w:rPr>
        <w:t>the</w:t>
      </w:r>
      <w:r>
        <w:rPr>
          <w:color w:val="231F20"/>
          <w:spacing w:val="15"/>
          <w:sz w:val="18"/>
        </w:rPr>
        <w:t> </w:t>
      </w:r>
      <w:r>
        <w:rPr>
          <w:color w:val="231F20"/>
          <w:sz w:val="18"/>
        </w:rPr>
        <w:t>current</w:t>
      </w:r>
      <w:r>
        <w:rPr>
          <w:color w:val="231F20"/>
          <w:spacing w:val="15"/>
          <w:sz w:val="18"/>
        </w:rPr>
        <w:t> </w:t>
      </w:r>
      <w:r>
        <w:rPr>
          <w:color w:val="231F20"/>
          <w:sz w:val="18"/>
        </w:rPr>
        <w:t>view</w:t>
      </w:r>
      <w:r>
        <w:rPr>
          <w:color w:val="231F20"/>
          <w:spacing w:val="15"/>
          <w:sz w:val="18"/>
        </w:rPr>
        <w:t> </w:t>
      </w:r>
      <w:r>
        <w:rPr>
          <w:color w:val="231F20"/>
          <w:sz w:val="18"/>
        </w:rPr>
        <w:t>space.</w:t>
      </w:r>
    </w:p>
    <w:p>
      <w:pPr>
        <w:spacing w:line="216" w:lineRule="auto" w:before="17"/>
        <w:ind w:left="3972" w:right="385" w:firstLine="0"/>
        <w:jc w:val="left"/>
        <w:rPr>
          <w:sz w:val="18"/>
        </w:rPr>
      </w:pPr>
      <w:r>
        <w:rPr/>
        <w:drawing>
          <wp:anchor distT="0" distB="0" distL="0" distR="0" allowOverlap="1" layoutInCell="1" locked="0" behindDoc="0" simplePos="0" relativeHeight="15822848">
            <wp:simplePos x="0" y="0"/>
            <wp:positionH relativeFrom="page">
              <wp:posOffset>2204928</wp:posOffset>
            </wp:positionH>
            <wp:positionV relativeFrom="paragraph">
              <wp:posOffset>42731</wp:posOffset>
            </wp:positionV>
            <wp:extent cx="101600" cy="101600"/>
            <wp:effectExtent l="0" t="0" r="0" b="0"/>
            <wp:wrapNone/>
            <wp:docPr id="1332" name="Image 1332"/>
            <wp:cNvGraphicFramePr>
              <a:graphicFrameLocks/>
            </wp:cNvGraphicFramePr>
            <a:graphic>
              <a:graphicData uri="http://schemas.openxmlformats.org/drawingml/2006/picture">
                <pic:pic>
                  <pic:nvPicPr>
                    <pic:cNvPr id="1332" name="Image 1332"/>
                    <pic:cNvPicPr/>
                  </pic:nvPicPr>
                  <pic:blipFill>
                    <a:blip r:embed="rId256" cstate="print"/>
                    <a:stretch>
                      <a:fillRect/>
                    </a:stretch>
                  </pic:blipFill>
                  <pic:spPr>
                    <a:xfrm>
                      <a:off x="0" y="0"/>
                      <a:ext cx="101600" cy="101600"/>
                    </a:xfrm>
                    <a:prstGeom prst="rect">
                      <a:avLst/>
                    </a:prstGeom>
                  </pic:spPr>
                </pic:pic>
              </a:graphicData>
            </a:graphic>
          </wp:anchor>
        </w:drawing>
      </w:r>
      <w:r>
        <w:rPr>
          <w:position w:val="-3"/>
        </w:rPr>
        <w:drawing>
          <wp:inline distT="0" distB="0" distL="0" distR="0">
            <wp:extent cx="101599" cy="101600"/>
            <wp:effectExtent l="0" t="0" r="0" b="0"/>
            <wp:docPr id="1333" name="Image 1333"/>
            <wp:cNvGraphicFramePr>
              <a:graphicFrameLocks/>
            </wp:cNvGraphicFramePr>
            <a:graphic>
              <a:graphicData uri="http://schemas.openxmlformats.org/drawingml/2006/picture">
                <pic:pic>
                  <pic:nvPicPr>
                    <pic:cNvPr id="1333" name="Image 1333"/>
                    <pic:cNvPicPr/>
                  </pic:nvPicPr>
                  <pic:blipFill>
                    <a:blip r:embed="rId256" cstate="print"/>
                    <a:stretch>
                      <a:fillRect/>
                    </a:stretch>
                  </pic:blipFill>
                  <pic:spPr>
                    <a:xfrm>
                      <a:off x="0" y="0"/>
                      <a:ext cx="101599" cy="101600"/>
                    </a:xfrm>
                    <a:prstGeom prst="rect">
                      <a:avLst/>
                    </a:prstGeom>
                  </pic:spPr>
                </pic:pic>
              </a:graphicData>
            </a:graphic>
          </wp:inline>
        </w:drawing>
      </w:r>
      <w:r>
        <w:rPr>
          <w:position w:val="-3"/>
        </w:rPr>
      </w:r>
      <w:r>
        <w:rPr>
          <w:rFonts w:ascii="Times New Roman"/>
          <w:spacing w:val="40"/>
          <w:sz w:val="20"/>
        </w:rPr>
        <w:t> </w:t>
      </w:r>
      <w:r>
        <w:rPr>
          <w:color w:val="231F20"/>
          <w:sz w:val="18"/>
        </w:rPr>
        <w:t>Overview opens a small window with the entire topology view in miniature. A blue frame indicates the visible area of the view space. As you scroll through the topology, the frame within the overview window adjust to show your location.</w:t>
      </w:r>
    </w:p>
    <w:p>
      <w:pPr>
        <w:tabs>
          <w:tab w:pos="6724" w:val="left" w:leader="none"/>
        </w:tabs>
        <w:spacing w:line="228" w:lineRule="exact" w:before="0"/>
        <w:ind w:left="3972" w:right="0" w:firstLine="0"/>
        <w:jc w:val="left"/>
        <w:rPr>
          <w:sz w:val="18"/>
        </w:rPr>
      </w:pPr>
      <w:r>
        <w:rPr/>
        <mc:AlternateContent>
          <mc:Choice Requires="wps">
            <w:drawing>
              <wp:anchor distT="0" distB="0" distL="0" distR="0" allowOverlap="1" layoutInCell="1" locked="0" behindDoc="1" simplePos="0" relativeHeight="473219072">
                <wp:simplePos x="0" y="0"/>
                <wp:positionH relativeFrom="page">
                  <wp:posOffset>4685939</wp:posOffset>
                </wp:positionH>
                <wp:positionV relativeFrom="paragraph">
                  <wp:posOffset>40547</wp:posOffset>
                </wp:positionV>
                <wp:extent cx="140335" cy="260350"/>
                <wp:effectExtent l="0" t="0" r="0" b="0"/>
                <wp:wrapNone/>
                <wp:docPr id="1334" name="Group 1334"/>
                <wp:cNvGraphicFramePr>
                  <a:graphicFrameLocks/>
                </wp:cNvGraphicFramePr>
                <a:graphic>
                  <a:graphicData uri="http://schemas.microsoft.com/office/word/2010/wordprocessingGroup">
                    <wpg:wgp>
                      <wpg:cNvPr id="1334" name="Group 1334"/>
                      <wpg:cNvGrpSpPr/>
                      <wpg:grpSpPr>
                        <a:xfrm>
                          <a:off x="0" y="0"/>
                          <a:ext cx="140335" cy="260350"/>
                          <a:chExt cx="140335" cy="260350"/>
                        </a:xfrm>
                      </wpg:grpSpPr>
                      <pic:pic>
                        <pic:nvPicPr>
                          <pic:cNvPr id="1335" name="Image 1335"/>
                          <pic:cNvPicPr/>
                        </pic:nvPicPr>
                        <pic:blipFill>
                          <a:blip r:embed="rId257" cstate="print"/>
                          <a:stretch>
                            <a:fillRect/>
                          </a:stretch>
                        </pic:blipFill>
                        <pic:spPr>
                          <a:xfrm>
                            <a:off x="44942" y="0"/>
                            <a:ext cx="95250" cy="101600"/>
                          </a:xfrm>
                          <a:prstGeom prst="rect">
                            <a:avLst/>
                          </a:prstGeom>
                        </pic:spPr>
                      </pic:pic>
                      <pic:pic>
                        <pic:nvPicPr>
                          <pic:cNvPr id="1336" name="Image 1336"/>
                          <pic:cNvPicPr/>
                        </pic:nvPicPr>
                        <pic:blipFill>
                          <a:blip r:embed="rId258" cstate="print"/>
                          <a:stretch>
                            <a:fillRect/>
                          </a:stretch>
                        </pic:blipFill>
                        <pic:spPr>
                          <a:xfrm>
                            <a:off x="0" y="139327"/>
                            <a:ext cx="120650" cy="120650"/>
                          </a:xfrm>
                          <a:prstGeom prst="rect">
                            <a:avLst/>
                          </a:prstGeom>
                        </pic:spPr>
                      </pic:pic>
                    </wpg:wgp>
                  </a:graphicData>
                </a:graphic>
              </wp:anchor>
            </w:drawing>
          </mc:Choice>
          <mc:Fallback>
            <w:pict>
              <v:group style="position:absolute;margin-left:368.971588pt;margin-top:3.19268pt;width:11.05pt;height:20.5pt;mso-position-horizontal-relative:page;mso-position-vertical-relative:paragraph;z-index:-30097408" id="docshapegroup153" coordorigin="7379,64" coordsize="221,410">
                <v:shape style="position:absolute;left:7450;top:63;width:150;height:160" type="#_x0000_t75" id="docshape154" stroked="false">
                  <v:imagedata r:id="rId257" o:title=""/>
                </v:shape>
                <v:shape style="position:absolute;left:7379;top:283;width:190;height:190" type="#_x0000_t75" id="docshape155" stroked="false">
                  <v:imagedata r:id="rId258" o:title=""/>
                </v:shape>
                <w10:wrap type="none"/>
              </v:group>
            </w:pict>
          </mc:Fallback>
        </mc:AlternateContent>
      </w:r>
      <w:r>
        <w:rPr>
          <w:color w:val="231F20"/>
          <w:sz w:val="18"/>
        </w:rPr>
        <w:t>Within</w:t>
      </w:r>
      <w:r>
        <w:rPr>
          <w:color w:val="231F20"/>
          <w:spacing w:val="5"/>
          <w:sz w:val="18"/>
        </w:rPr>
        <w:t> </w:t>
      </w:r>
      <w:r>
        <w:rPr>
          <w:color w:val="231F20"/>
          <w:sz w:val="18"/>
        </w:rPr>
        <w:t>the</w:t>
      </w:r>
      <w:r>
        <w:rPr>
          <w:color w:val="231F20"/>
          <w:spacing w:val="6"/>
          <w:sz w:val="18"/>
        </w:rPr>
        <w:t> </w:t>
      </w:r>
      <w:r>
        <w:rPr>
          <w:color w:val="231F20"/>
          <w:sz w:val="18"/>
        </w:rPr>
        <w:t>overview</w:t>
      </w:r>
      <w:r>
        <w:rPr>
          <w:color w:val="231F20"/>
          <w:spacing w:val="5"/>
          <w:sz w:val="18"/>
        </w:rPr>
        <w:t> </w:t>
      </w:r>
      <w:r>
        <w:rPr>
          <w:color w:val="231F20"/>
          <w:spacing w:val="-2"/>
          <w:sz w:val="18"/>
        </w:rPr>
        <w:t>window,</w:t>
      </w:r>
      <w:r>
        <w:rPr>
          <w:color w:val="231F20"/>
          <w:sz w:val="18"/>
        </w:rPr>
        <w:tab/>
        <w:t>click</w:t>
      </w:r>
      <w:r>
        <w:rPr>
          <w:color w:val="231F20"/>
          <w:spacing w:val="10"/>
          <w:sz w:val="18"/>
        </w:rPr>
        <w:t> </w:t>
      </w:r>
      <w:r>
        <w:rPr>
          <w:color w:val="231F20"/>
          <w:sz w:val="18"/>
        </w:rPr>
        <w:t>to</w:t>
      </w:r>
      <w:r>
        <w:rPr>
          <w:color w:val="231F20"/>
          <w:spacing w:val="10"/>
          <w:sz w:val="18"/>
        </w:rPr>
        <w:t> </w:t>
      </w:r>
      <w:r>
        <w:rPr>
          <w:color w:val="231F20"/>
          <w:sz w:val="18"/>
        </w:rPr>
        <w:t>move</w:t>
      </w:r>
      <w:r>
        <w:rPr>
          <w:color w:val="231F20"/>
          <w:spacing w:val="11"/>
          <w:sz w:val="18"/>
        </w:rPr>
        <w:t> </w:t>
      </w:r>
      <w:r>
        <w:rPr>
          <w:color w:val="231F20"/>
          <w:sz w:val="18"/>
        </w:rPr>
        <w:t>the</w:t>
      </w:r>
      <w:r>
        <w:rPr>
          <w:color w:val="231F20"/>
          <w:spacing w:val="10"/>
          <w:sz w:val="18"/>
        </w:rPr>
        <w:t> </w:t>
      </w:r>
      <w:r>
        <w:rPr>
          <w:color w:val="231F20"/>
          <w:sz w:val="18"/>
        </w:rPr>
        <w:t>viewpoint</w:t>
      </w:r>
      <w:r>
        <w:rPr>
          <w:color w:val="231F20"/>
          <w:spacing w:val="10"/>
          <w:sz w:val="18"/>
        </w:rPr>
        <w:t> </w:t>
      </w:r>
      <w:r>
        <w:rPr>
          <w:color w:val="231F20"/>
          <w:sz w:val="18"/>
        </w:rPr>
        <w:t>to</w:t>
      </w:r>
      <w:r>
        <w:rPr>
          <w:color w:val="231F20"/>
          <w:spacing w:val="11"/>
          <w:sz w:val="18"/>
        </w:rPr>
        <w:t> </w:t>
      </w:r>
      <w:r>
        <w:rPr>
          <w:color w:val="231F20"/>
          <w:spacing w:val="-4"/>
          <w:sz w:val="18"/>
        </w:rPr>
        <w:t>that</w:t>
      </w:r>
    </w:p>
    <w:p>
      <w:pPr>
        <w:tabs>
          <w:tab w:pos="6683" w:val="left" w:leader="none"/>
        </w:tabs>
        <w:spacing w:line="216" w:lineRule="auto" w:before="55"/>
        <w:ind w:left="3972" w:right="636" w:firstLine="0"/>
        <w:jc w:val="left"/>
        <w:rPr>
          <w:sz w:val="18"/>
        </w:rPr>
      </w:pPr>
      <w:r>
        <w:rPr>
          <w:color w:val="231F20"/>
          <w:sz w:val="18"/>
        </w:rPr>
        <w:t>location, </w:t>
      </w:r>
      <w:r>
        <w:rPr>
          <w:color w:val="231F20"/>
          <w:spacing w:val="-21"/>
          <w:position w:val="-4"/>
          <w:sz w:val="18"/>
        </w:rPr>
        <w:drawing>
          <wp:inline distT="0" distB="0" distL="0" distR="0">
            <wp:extent cx="101600" cy="101600"/>
            <wp:effectExtent l="0" t="0" r="0" b="0"/>
            <wp:docPr id="1337" name="Image 1337"/>
            <wp:cNvGraphicFramePr>
              <a:graphicFrameLocks/>
            </wp:cNvGraphicFramePr>
            <a:graphic>
              <a:graphicData uri="http://schemas.openxmlformats.org/drawingml/2006/picture">
                <pic:pic>
                  <pic:nvPicPr>
                    <pic:cNvPr id="1337" name="Image 1337"/>
                    <pic:cNvPicPr/>
                  </pic:nvPicPr>
                  <pic:blipFill>
                    <a:blip r:embed="rId259" cstate="print"/>
                    <a:stretch>
                      <a:fillRect/>
                    </a:stretch>
                  </pic:blipFill>
                  <pic:spPr>
                    <a:xfrm>
                      <a:off x="0" y="0"/>
                      <a:ext cx="101600" cy="101600"/>
                    </a:xfrm>
                    <a:prstGeom prst="rect">
                      <a:avLst/>
                    </a:prstGeom>
                  </pic:spPr>
                </pic:pic>
              </a:graphicData>
            </a:graphic>
          </wp:inline>
        </w:drawing>
      </w:r>
      <w:r>
        <w:rPr>
          <w:color w:val="231F20"/>
          <w:spacing w:val="-21"/>
          <w:position w:val="-4"/>
          <w:sz w:val="18"/>
        </w:rPr>
      </w:r>
      <w:r>
        <w:rPr>
          <w:rFonts w:ascii="Times New Roman"/>
          <w:color w:val="231F20"/>
          <w:spacing w:val="80"/>
          <w:sz w:val="18"/>
        </w:rPr>
        <w:t> </w:t>
      </w:r>
      <w:r>
        <w:rPr>
          <w:color w:val="231F20"/>
          <w:sz w:val="18"/>
        </w:rPr>
        <w:t>point inside and</w:t>
        <w:tab/>
        <w:t>drag the blue frame to move the </w:t>
      </w:r>
      <w:r>
        <w:rPr>
          <w:color w:val="231F20"/>
          <w:position w:val="2"/>
          <w:sz w:val="18"/>
        </w:rPr>
        <w:t>viewpoint, and </w:t>
      </w:r>
      <w:r>
        <w:rPr>
          <w:color w:val="231F20"/>
          <w:spacing w:val="-21"/>
          <w:sz w:val="18"/>
        </w:rPr>
        <w:drawing>
          <wp:inline distT="0" distB="0" distL="0" distR="0">
            <wp:extent cx="82550" cy="82550"/>
            <wp:effectExtent l="0" t="0" r="0" b="0"/>
            <wp:docPr id="1338" name="Image 1338"/>
            <wp:cNvGraphicFramePr>
              <a:graphicFrameLocks/>
            </wp:cNvGraphicFramePr>
            <a:graphic>
              <a:graphicData uri="http://schemas.openxmlformats.org/drawingml/2006/picture">
                <pic:pic>
                  <pic:nvPicPr>
                    <pic:cNvPr id="1338" name="Image 1338"/>
                    <pic:cNvPicPr/>
                  </pic:nvPicPr>
                  <pic:blipFill>
                    <a:blip r:embed="rId260" cstate="print"/>
                    <a:stretch>
                      <a:fillRect/>
                    </a:stretch>
                  </pic:blipFill>
                  <pic:spPr>
                    <a:xfrm>
                      <a:off x="0" y="0"/>
                      <a:ext cx="82550" cy="82550"/>
                    </a:xfrm>
                    <a:prstGeom prst="rect">
                      <a:avLst/>
                    </a:prstGeom>
                  </pic:spPr>
                </pic:pic>
              </a:graphicData>
            </a:graphic>
          </wp:inline>
        </w:drawing>
      </w:r>
      <w:r>
        <w:rPr>
          <w:color w:val="231F20"/>
          <w:spacing w:val="-21"/>
          <w:sz w:val="18"/>
        </w:rPr>
      </w:r>
      <w:r>
        <w:rPr>
          <w:rFonts w:ascii="Times New Roman"/>
          <w:color w:val="231F20"/>
          <w:spacing w:val="80"/>
          <w:position w:val="2"/>
          <w:sz w:val="18"/>
        </w:rPr>
        <w:t> </w:t>
      </w:r>
      <w:r>
        <w:rPr>
          <w:color w:val="231F20"/>
          <w:position w:val="2"/>
          <w:sz w:val="18"/>
        </w:rPr>
        <w:t>drag a handle of the blue frame to resize the </w:t>
      </w:r>
      <w:r>
        <w:rPr>
          <w:color w:val="231F20"/>
          <w:position w:val="2"/>
          <w:sz w:val="18"/>
        </w:rPr>
        <w:t>view </w:t>
      </w:r>
      <w:r>
        <w:rPr>
          <w:color w:val="231F20"/>
          <w:spacing w:val="-2"/>
          <w:sz w:val="18"/>
        </w:rPr>
        <w:t>area.</w:t>
      </w:r>
    </w:p>
    <w:p>
      <w:pPr>
        <w:tabs>
          <w:tab w:pos="3982" w:val="left" w:leader="none"/>
        </w:tabs>
        <w:spacing w:line="216" w:lineRule="auto" w:before="23"/>
        <w:ind w:left="3972" w:right="188" w:hanging="1491"/>
        <w:jc w:val="left"/>
        <w:rPr>
          <w:sz w:val="18"/>
        </w:rPr>
      </w:pPr>
      <w:r>
        <w:rPr>
          <w:position w:val="-3"/>
        </w:rPr>
        <w:drawing>
          <wp:inline distT="0" distB="0" distL="0" distR="0">
            <wp:extent cx="95250" cy="95250"/>
            <wp:effectExtent l="0" t="0" r="0" b="0"/>
            <wp:docPr id="1339" name="Image 1339"/>
            <wp:cNvGraphicFramePr>
              <a:graphicFrameLocks/>
            </wp:cNvGraphicFramePr>
            <a:graphic>
              <a:graphicData uri="http://schemas.openxmlformats.org/drawingml/2006/picture">
                <pic:pic>
                  <pic:nvPicPr>
                    <pic:cNvPr id="1339" name="Image 1339"/>
                    <pic:cNvPicPr/>
                  </pic:nvPicPr>
                  <pic:blipFill>
                    <a:blip r:embed="rId5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and </w:t>
      </w:r>
      <w:r>
        <w:rPr>
          <w:color w:val="231F20"/>
          <w:spacing w:val="-21"/>
          <w:position w:val="-2"/>
          <w:sz w:val="18"/>
        </w:rPr>
        <w:drawing>
          <wp:inline distT="0" distB="0" distL="0" distR="0">
            <wp:extent cx="95250" cy="88900"/>
            <wp:effectExtent l="0" t="0" r="0" b="0"/>
            <wp:docPr id="1340" name="Image 1340"/>
            <wp:cNvGraphicFramePr>
              <a:graphicFrameLocks/>
            </wp:cNvGraphicFramePr>
            <a:graphic>
              <a:graphicData uri="http://schemas.openxmlformats.org/drawingml/2006/picture">
                <pic:pic>
                  <pic:nvPicPr>
                    <pic:cNvPr id="1340" name="Image 1340"/>
                    <pic:cNvPicPr/>
                  </pic:nvPicPr>
                  <pic:blipFill>
                    <a:blip r:embed="rId57" cstate="print"/>
                    <a:stretch>
                      <a:fillRect/>
                    </a:stretch>
                  </pic:blipFill>
                  <pic:spPr>
                    <a:xfrm>
                      <a:off x="0" y="0"/>
                      <a:ext cx="95250" cy="88900"/>
                    </a:xfrm>
                    <a:prstGeom prst="rect">
                      <a:avLst/>
                    </a:prstGeom>
                  </pic:spPr>
                </pic:pic>
              </a:graphicData>
            </a:graphic>
          </wp:inline>
        </w:drawing>
      </w:r>
      <w:r>
        <w:rPr>
          <w:color w:val="231F20"/>
          <w:spacing w:val="-21"/>
          <w:position w:val="-2"/>
          <w:sz w:val="18"/>
        </w:rPr>
      </w:r>
      <w:r>
        <w:rPr>
          <w:rFonts w:ascii="Times New Roman"/>
          <w:color w:val="231F20"/>
          <w:position w:val="-3"/>
          <w:sz w:val="18"/>
        </w:rPr>
        <w:tab/>
        <w:tab/>
      </w:r>
      <w:r>
        <w:rPr>
          <w:rFonts w:ascii="Times New Roman"/>
          <w:color w:val="231F20"/>
          <w:spacing w:val="-21"/>
          <w:position w:val="-3"/>
          <w:sz w:val="18"/>
        </w:rPr>
        <w:drawing>
          <wp:inline distT="0" distB="0" distL="0" distR="0">
            <wp:extent cx="95249" cy="95250"/>
            <wp:effectExtent l="0" t="0" r="0" b="0"/>
            <wp:docPr id="1341" name="Image 1341"/>
            <wp:cNvGraphicFramePr>
              <a:graphicFrameLocks/>
            </wp:cNvGraphicFramePr>
            <a:graphic>
              <a:graphicData uri="http://schemas.openxmlformats.org/drawingml/2006/picture">
                <pic:pic>
                  <pic:nvPicPr>
                    <pic:cNvPr id="1341" name="Image 1341"/>
                    <pic:cNvPicPr/>
                  </pic:nvPicPr>
                  <pic:blipFill>
                    <a:blip r:embed="rId50" cstate="print"/>
                    <a:stretch>
                      <a:fillRect/>
                    </a:stretch>
                  </pic:blipFill>
                  <pic:spPr>
                    <a:xfrm>
                      <a:off x="0" y="0"/>
                      <a:ext cx="95249" cy="95250"/>
                    </a:xfrm>
                    <a:prstGeom prst="rect">
                      <a:avLst/>
                    </a:prstGeom>
                  </pic:spPr>
                </pic:pic>
              </a:graphicData>
            </a:graphic>
          </wp:inline>
        </w:drawing>
      </w:r>
      <w:r>
        <w:rPr>
          <w:rFonts w:ascii="Times New Roman"/>
          <w:color w:val="231F20"/>
          <w:spacing w:val="-21"/>
          <w:position w:val="-3"/>
          <w:sz w:val="18"/>
        </w:rPr>
      </w:r>
      <w:r>
        <w:rPr>
          <w:rFonts w:ascii="Times New Roman"/>
          <w:color w:val="231F20"/>
          <w:spacing w:val="80"/>
          <w:sz w:val="18"/>
        </w:rPr>
        <w:t> </w:t>
      </w:r>
      <w:r>
        <w:rPr>
          <w:color w:val="231F20"/>
          <w:sz w:val="18"/>
        </w:rPr>
        <w:t>View as Table switches the topology to table representation, one row</w:t>
      </w:r>
      <w:r>
        <w:rPr>
          <w:color w:val="231F20"/>
          <w:spacing w:val="40"/>
          <w:sz w:val="18"/>
        </w:rPr>
        <w:t> </w:t>
      </w:r>
      <w:r>
        <w:rPr>
          <w:color w:val="231F20"/>
          <w:sz w:val="18"/>
        </w:rPr>
        <w:t>for each object. Right-click the Node bar under Resource Type to open the pop-up menu.</w:t>
      </w:r>
    </w:p>
    <w:p>
      <w:pPr>
        <w:spacing w:line="216" w:lineRule="auto" w:before="3"/>
        <w:ind w:left="3972" w:right="545" w:firstLine="0"/>
        <w:jc w:val="left"/>
        <w:rPr>
          <w:sz w:val="18"/>
        </w:rPr>
      </w:pPr>
      <w:r>
        <w:rPr>
          <w:color w:val="231F20"/>
          <w:sz w:val="18"/>
        </w:rPr>
        <w:t>Note that if you are running the Thai language pack for Tivoli Monitoring, the topology table view is not translated but remains in </w:t>
      </w:r>
      <w:r>
        <w:rPr>
          <w:color w:val="231F20"/>
          <w:spacing w:val="-2"/>
          <w:sz w:val="18"/>
        </w:rPr>
        <w:t>English.</w:t>
      </w:r>
    </w:p>
    <w:p>
      <w:pPr>
        <w:spacing w:line="225" w:lineRule="exact" w:before="0"/>
        <w:ind w:left="3972" w:right="0" w:firstLine="0"/>
        <w:jc w:val="left"/>
        <w:rPr>
          <w:sz w:val="18"/>
        </w:rPr>
      </w:pPr>
      <w:r>
        <w:rPr>
          <w:color w:val="231F20"/>
          <w:sz w:val="18"/>
        </w:rPr>
        <w:t>Click</w:t>
      </w:r>
      <w:r>
        <w:rPr>
          <w:color w:val="231F20"/>
          <w:spacing w:val="16"/>
          <w:sz w:val="18"/>
        </w:rPr>
        <w:t> </w:t>
      </w:r>
      <w:r>
        <w:rPr>
          <w:color w:val="231F20"/>
          <w:spacing w:val="-21"/>
          <w:position w:val="-2"/>
          <w:sz w:val="18"/>
        </w:rPr>
        <w:drawing>
          <wp:inline distT="0" distB="0" distL="0" distR="0">
            <wp:extent cx="95250" cy="88900"/>
            <wp:effectExtent l="0" t="0" r="0" b="0"/>
            <wp:docPr id="1342" name="Image 1342"/>
            <wp:cNvGraphicFramePr>
              <a:graphicFrameLocks/>
            </wp:cNvGraphicFramePr>
            <a:graphic>
              <a:graphicData uri="http://schemas.openxmlformats.org/drawingml/2006/picture">
                <pic:pic>
                  <pic:nvPicPr>
                    <pic:cNvPr id="1342" name="Image 1342"/>
                    <pic:cNvPicPr/>
                  </pic:nvPicPr>
                  <pic:blipFill>
                    <a:blip r:embed="rId57" cstate="print"/>
                    <a:stretch>
                      <a:fillRect/>
                    </a:stretch>
                  </pic:blipFill>
                  <pic:spPr>
                    <a:xfrm>
                      <a:off x="0" y="0"/>
                      <a:ext cx="95250" cy="88900"/>
                    </a:xfrm>
                    <a:prstGeom prst="rect">
                      <a:avLst/>
                    </a:prstGeom>
                  </pic:spPr>
                </pic:pic>
              </a:graphicData>
            </a:graphic>
          </wp:inline>
        </w:drawing>
      </w:r>
      <w:r>
        <w:rPr>
          <w:color w:val="231F20"/>
          <w:spacing w:val="-21"/>
          <w:position w:val="-2"/>
          <w:sz w:val="18"/>
        </w:rPr>
      </w:r>
      <w:r>
        <w:rPr>
          <w:rFonts w:ascii="Times New Roman"/>
          <w:color w:val="231F20"/>
          <w:spacing w:val="67"/>
          <w:sz w:val="18"/>
        </w:rPr>
        <w:t> </w:t>
      </w:r>
      <w:r>
        <w:rPr>
          <w:rFonts w:ascii="Book Antiqua"/>
          <w:b/>
          <w:color w:val="231F20"/>
          <w:sz w:val="18"/>
        </w:rPr>
        <w:t>View</w:t>
      </w:r>
      <w:r>
        <w:rPr>
          <w:rFonts w:ascii="Book Antiqua"/>
          <w:b/>
          <w:color w:val="231F20"/>
          <w:spacing w:val="7"/>
          <w:sz w:val="18"/>
        </w:rPr>
        <w:t> </w:t>
      </w:r>
      <w:r>
        <w:rPr>
          <w:rFonts w:ascii="Book Antiqua"/>
          <w:b/>
          <w:color w:val="231F20"/>
          <w:sz w:val="18"/>
        </w:rPr>
        <w:t>as</w:t>
      </w:r>
      <w:r>
        <w:rPr>
          <w:rFonts w:ascii="Book Antiqua"/>
          <w:b/>
          <w:color w:val="231F20"/>
          <w:spacing w:val="8"/>
          <w:sz w:val="18"/>
        </w:rPr>
        <w:t> </w:t>
      </w:r>
      <w:r>
        <w:rPr>
          <w:rFonts w:ascii="Book Antiqua"/>
          <w:b/>
          <w:color w:val="231F20"/>
          <w:sz w:val="18"/>
        </w:rPr>
        <w:t>Topology</w:t>
      </w:r>
      <w:r>
        <w:rPr>
          <w:rFonts w:ascii="Book Antiqua"/>
          <w:b/>
          <w:color w:val="231F20"/>
          <w:spacing w:val="8"/>
          <w:sz w:val="18"/>
        </w:rPr>
        <w:t> </w:t>
      </w:r>
      <w:r>
        <w:rPr>
          <w:color w:val="231F20"/>
          <w:sz w:val="18"/>
        </w:rPr>
        <w:t>to</w:t>
      </w:r>
      <w:r>
        <w:rPr>
          <w:color w:val="231F20"/>
          <w:spacing w:val="7"/>
          <w:sz w:val="18"/>
        </w:rPr>
        <w:t> </w:t>
      </w:r>
      <w:r>
        <w:rPr>
          <w:color w:val="231F20"/>
          <w:sz w:val="18"/>
        </w:rPr>
        <w:t>return</w:t>
      </w:r>
      <w:r>
        <w:rPr>
          <w:color w:val="231F20"/>
          <w:spacing w:val="8"/>
          <w:sz w:val="18"/>
        </w:rPr>
        <w:t> </w:t>
      </w:r>
      <w:r>
        <w:rPr>
          <w:color w:val="231F20"/>
          <w:sz w:val="18"/>
        </w:rPr>
        <w:t>to</w:t>
      </w:r>
      <w:r>
        <w:rPr>
          <w:color w:val="231F20"/>
          <w:spacing w:val="8"/>
          <w:sz w:val="18"/>
        </w:rPr>
        <w:t> </w:t>
      </w:r>
      <w:r>
        <w:rPr>
          <w:color w:val="231F20"/>
          <w:sz w:val="18"/>
        </w:rPr>
        <w:t>the</w:t>
      </w:r>
      <w:r>
        <w:rPr>
          <w:color w:val="231F20"/>
          <w:spacing w:val="7"/>
          <w:sz w:val="18"/>
        </w:rPr>
        <w:t> </w:t>
      </w:r>
      <w:r>
        <w:rPr>
          <w:color w:val="231F20"/>
          <w:sz w:val="18"/>
        </w:rPr>
        <w:t>topological</w:t>
      </w:r>
      <w:r>
        <w:rPr>
          <w:color w:val="231F20"/>
          <w:spacing w:val="8"/>
          <w:sz w:val="18"/>
        </w:rPr>
        <w:t> </w:t>
      </w:r>
      <w:r>
        <w:rPr>
          <w:color w:val="231F20"/>
          <w:spacing w:val="-2"/>
          <w:sz w:val="18"/>
        </w:rPr>
        <w:t>display.</w:t>
      </w:r>
    </w:p>
    <w:p>
      <w:pPr>
        <w:spacing w:line="216" w:lineRule="auto" w:before="17"/>
        <w:ind w:left="3972" w:right="493" w:firstLine="0"/>
        <w:jc w:val="left"/>
        <w:rPr>
          <w:sz w:val="18"/>
        </w:rPr>
      </w:pPr>
      <w:r>
        <w:rPr/>
        <w:drawing>
          <wp:anchor distT="0" distB="0" distL="0" distR="0" allowOverlap="1" layoutInCell="1" locked="0" behindDoc="0" simplePos="0" relativeHeight="15823872">
            <wp:simplePos x="0" y="0"/>
            <wp:positionH relativeFrom="page">
              <wp:posOffset>2204928</wp:posOffset>
            </wp:positionH>
            <wp:positionV relativeFrom="paragraph">
              <wp:posOffset>42505</wp:posOffset>
            </wp:positionV>
            <wp:extent cx="635000" cy="190500"/>
            <wp:effectExtent l="0" t="0" r="0" b="0"/>
            <wp:wrapNone/>
            <wp:docPr id="1343" name="Image 1343"/>
            <wp:cNvGraphicFramePr>
              <a:graphicFrameLocks/>
            </wp:cNvGraphicFramePr>
            <a:graphic>
              <a:graphicData uri="http://schemas.openxmlformats.org/drawingml/2006/picture">
                <pic:pic>
                  <pic:nvPicPr>
                    <pic:cNvPr id="1343" name="Image 1343"/>
                    <pic:cNvPicPr/>
                  </pic:nvPicPr>
                  <pic:blipFill>
                    <a:blip r:embed="rId261" cstate="print"/>
                    <a:stretch>
                      <a:fillRect/>
                    </a:stretch>
                  </pic:blipFill>
                  <pic:spPr>
                    <a:xfrm>
                      <a:off x="0" y="0"/>
                      <a:ext cx="635000" cy="190500"/>
                    </a:xfrm>
                    <a:prstGeom prst="rect">
                      <a:avLst/>
                    </a:prstGeom>
                  </pic:spPr>
                </pic:pic>
              </a:graphicData>
            </a:graphic>
          </wp:anchor>
        </w:drawing>
      </w:r>
      <w:r>
        <w:rPr>
          <w:color w:val="231F20"/>
          <w:sz w:val="18"/>
        </w:rPr>
        <w:t>Enter search text to locate the objects that match. As you type, the matches are automatically selected and zoomed.</w:t>
      </w:r>
    </w:p>
    <w:p>
      <w:pPr>
        <w:spacing w:line="216" w:lineRule="auto" w:before="2"/>
        <w:ind w:left="3972" w:right="545" w:firstLine="0"/>
        <w:jc w:val="left"/>
        <w:rPr>
          <w:sz w:val="18"/>
        </w:rPr>
      </w:pPr>
      <w:r>
        <w:rPr/>
        <w:drawing>
          <wp:anchor distT="0" distB="0" distL="0" distR="0" allowOverlap="1" layoutInCell="1" locked="0" behindDoc="0" simplePos="0" relativeHeight="15824384">
            <wp:simplePos x="0" y="0"/>
            <wp:positionH relativeFrom="page">
              <wp:posOffset>2211278</wp:posOffset>
            </wp:positionH>
            <wp:positionV relativeFrom="paragraph">
              <wp:posOffset>1384</wp:posOffset>
            </wp:positionV>
            <wp:extent cx="95250" cy="95250"/>
            <wp:effectExtent l="0" t="0" r="0" b="0"/>
            <wp:wrapNone/>
            <wp:docPr id="1344" name="Image 1344"/>
            <wp:cNvGraphicFramePr>
              <a:graphicFrameLocks/>
            </wp:cNvGraphicFramePr>
            <a:graphic>
              <a:graphicData uri="http://schemas.openxmlformats.org/drawingml/2006/picture">
                <pic:pic>
                  <pic:nvPicPr>
                    <pic:cNvPr id="1344" name="Image 1344"/>
                    <pic:cNvPicPr/>
                  </pic:nvPicPr>
                  <pic:blipFill>
                    <a:blip r:embed="rId25" cstate="print"/>
                    <a:stretch>
                      <a:fillRect/>
                    </a:stretch>
                  </pic:blipFill>
                  <pic:spPr>
                    <a:xfrm>
                      <a:off x="0" y="0"/>
                      <a:ext cx="95250" cy="95250"/>
                    </a:xfrm>
                    <a:prstGeom prst="rect">
                      <a:avLst/>
                    </a:prstGeom>
                  </pic:spPr>
                </pic:pic>
              </a:graphicData>
            </a:graphic>
          </wp:anchor>
        </w:drawing>
      </w:r>
      <w:r>
        <w:rPr/>
        <w:drawing>
          <wp:anchor distT="0" distB="0" distL="0" distR="0" allowOverlap="1" layoutInCell="1" locked="0" behindDoc="0" simplePos="0" relativeHeight="15824896">
            <wp:simplePos x="0" y="0"/>
            <wp:positionH relativeFrom="page">
              <wp:posOffset>2474078</wp:posOffset>
            </wp:positionH>
            <wp:positionV relativeFrom="paragraph">
              <wp:posOffset>1384</wp:posOffset>
            </wp:positionV>
            <wp:extent cx="95250" cy="95250"/>
            <wp:effectExtent l="0" t="0" r="0" b="0"/>
            <wp:wrapNone/>
            <wp:docPr id="1345" name="Image 1345"/>
            <wp:cNvGraphicFramePr>
              <a:graphicFrameLocks/>
            </wp:cNvGraphicFramePr>
            <a:graphic>
              <a:graphicData uri="http://schemas.openxmlformats.org/drawingml/2006/picture">
                <pic:pic>
                  <pic:nvPicPr>
                    <pic:cNvPr id="1345" name="Image 1345"/>
                    <pic:cNvPicPr/>
                  </pic:nvPicPr>
                  <pic:blipFill>
                    <a:blip r:embed="rId23" cstate="print"/>
                    <a:stretch>
                      <a:fillRect/>
                    </a:stretch>
                  </pic:blipFill>
                  <pic:spPr>
                    <a:xfrm>
                      <a:off x="0" y="0"/>
                      <a:ext cx="95250" cy="95250"/>
                    </a:xfrm>
                    <a:prstGeom prst="rect">
                      <a:avLst/>
                    </a:prstGeom>
                  </pic:spPr>
                </pic:pic>
              </a:graphicData>
            </a:graphic>
          </wp:anchor>
        </w:drawing>
      </w:r>
      <w:r>
        <w:rPr>
          <w:color w:val="231F20"/>
          <w:sz w:val="18"/>
        </w:rPr>
        <w:t>When multiple matches are found, the </w:t>
      </w:r>
      <w:r>
        <w:rPr>
          <w:rFonts w:ascii="Book Antiqua"/>
          <w:b/>
          <w:color w:val="231F20"/>
          <w:sz w:val="18"/>
        </w:rPr>
        <w:t>Find Next </w:t>
      </w:r>
      <w:r>
        <w:rPr>
          <w:color w:val="231F20"/>
          <w:sz w:val="18"/>
        </w:rPr>
        <w:t>and </w:t>
      </w:r>
      <w:r>
        <w:rPr>
          <w:rFonts w:ascii="Book Antiqua"/>
          <w:b/>
          <w:color w:val="231F20"/>
          <w:sz w:val="18"/>
        </w:rPr>
        <w:t>Find Previous </w:t>
      </w:r>
      <w:r>
        <w:rPr>
          <w:color w:val="231F20"/>
          <w:sz w:val="18"/>
        </w:rPr>
        <w:t>buttons are enabled to allow you to navigate between the matches one object at a time.</w:t>
      </w:r>
    </w:p>
    <w:p>
      <w:pPr>
        <w:spacing w:line="216" w:lineRule="auto" w:before="2"/>
        <w:ind w:left="3972" w:right="0" w:firstLine="0"/>
        <w:jc w:val="left"/>
        <w:rPr>
          <w:sz w:val="18"/>
        </w:rPr>
      </w:pPr>
      <w:r>
        <w:rPr>
          <w:color w:val="231F20"/>
          <w:sz w:val="18"/>
        </w:rPr>
        <w:t>If your search text cannot be found, the background color will change to </w:t>
      </w:r>
      <w:r>
        <w:rPr>
          <w:color w:val="231F20"/>
          <w:spacing w:val="-2"/>
          <w:sz w:val="18"/>
        </w:rPr>
        <w:t>yellow.</w:t>
      </w:r>
    </w:p>
    <w:p>
      <w:pPr>
        <w:spacing w:line="214" w:lineRule="exact" w:before="0"/>
        <w:ind w:left="3972" w:right="0" w:firstLine="0"/>
        <w:jc w:val="left"/>
        <w:rPr>
          <w:sz w:val="18"/>
        </w:rPr>
      </w:pPr>
      <w:r>
        <w:rPr>
          <w:color w:val="231F20"/>
          <w:sz w:val="18"/>
        </w:rPr>
        <w:t>You</w:t>
      </w:r>
      <w:r>
        <w:rPr>
          <w:color w:val="231F20"/>
          <w:spacing w:val="8"/>
          <w:sz w:val="18"/>
        </w:rPr>
        <w:t> </w:t>
      </w:r>
      <w:r>
        <w:rPr>
          <w:color w:val="231F20"/>
          <w:sz w:val="18"/>
        </w:rPr>
        <w:t>can</w:t>
      </w:r>
      <w:r>
        <w:rPr>
          <w:color w:val="231F20"/>
          <w:spacing w:val="8"/>
          <w:sz w:val="18"/>
        </w:rPr>
        <w:t> </w:t>
      </w:r>
      <w:r>
        <w:rPr>
          <w:color w:val="231F20"/>
          <w:sz w:val="18"/>
        </w:rPr>
        <w:t>use</w:t>
      </w:r>
      <w:r>
        <w:rPr>
          <w:color w:val="231F20"/>
          <w:spacing w:val="8"/>
          <w:sz w:val="18"/>
        </w:rPr>
        <w:t> </w:t>
      </w:r>
      <w:r>
        <w:rPr>
          <w:color w:val="231F20"/>
          <w:sz w:val="18"/>
        </w:rPr>
        <w:t>*</w:t>
      </w:r>
      <w:r>
        <w:rPr>
          <w:color w:val="231F20"/>
          <w:spacing w:val="8"/>
          <w:sz w:val="18"/>
        </w:rPr>
        <w:t> </w:t>
      </w:r>
      <w:r>
        <w:rPr>
          <w:color w:val="231F20"/>
          <w:sz w:val="18"/>
        </w:rPr>
        <w:t>asterisk</w:t>
      </w:r>
      <w:r>
        <w:rPr>
          <w:color w:val="231F20"/>
          <w:spacing w:val="9"/>
          <w:sz w:val="18"/>
        </w:rPr>
        <w:t> </w:t>
      </w:r>
      <w:r>
        <w:rPr>
          <w:color w:val="231F20"/>
          <w:sz w:val="18"/>
        </w:rPr>
        <w:t>or</w:t>
      </w:r>
      <w:r>
        <w:rPr>
          <w:color w:val="231F20"/>
          <w:spacing w:val="8"/>
          <w:sz w:val="18"/>
        </w:rPr>
        <w:t> </w:t>
      </w:r>
      <w:r>
        <w:rPr>
          <w:color w:val="231F20"/>
          <w:sz w:val="18"/>
        </w:rPr>
        <w:t>?</w:t>
      </w:r>
      <w:r>
        <w:rPr>
          <w:color w:val="231F20"/>
          <w:spacing w:val="8"/>
          <w:sz w:val="18"/>
        </w:rPr>
        <w:t> </w:t>
      </w:r>
      <w:r>
        <w:rPr>
          <w:color w:val="231F20"/>
          <w:sz w:val="18"/>
        </w:rPr>
        <w:t>question</w:t>
      </w:r>
      <w:r>
        <w:rPr>
          <w:color w:val="231F20"/>
          <w:spacing w:val="8"/>
          <w:sz w:val="18"/>
        </w:rPr>
        <w:t> </w:t>
      </w:r>
      <w:r>
        <w:rPr>
          <w:color w:val="231F20"/>
          <w:sz w:val="18"/>
        </w:rPr>
        <w:t>mark</w:t>
      </w:r>
      <w:r>
        <w:rPr>
          <w:color w:val="231F20"/>
          <w:spacing w:val="8"/>
          <w:sz w:val="18"/>
        </w:rPr>
        <w:t> </w:t>
      </w:r>
      <w:r>
        <w:rPr>
          <w:color w:val="231F20"/>
          <w:sz w:val="18"/>
        </w:rPr>
        <w:t>wildcard</w:t>
      </w:r>
      <w:r>
        <w:rPr>
          <w:color w:val="231F20"/>
          <w:spacing w:val="9"/>
          <w:sz w:val="18"/>
        </w:rPr>
        <w:t> </w:t>
      </w:r>
      <w:r>
        <w:rPr>
          <w:color w:val="231F20"/>
          <w:sz w:val="18"/>
        </w:rPr>
        <w:t>characters,</w:t>
      </w:r>
      <w:r>
        <w:rPr>
          <w:color w:val="231F20"/>
          <w:spacing w:val="8"/>
          <w:sz w:val="18"/>
        </w:rPr>
        <w:t> </w:t>
      </w:r>
      <w:r>
        <w:rPr>
          <w:color w:val="231F20"/>
          <w:sz w:val="18"/>
        </w:rPr>
        <w:t>such</w:t>
      </w:r>
      <w:r>
        <w:rPr>
          <w:color w:val="231F20"/>
          <w:spacing w:val="8"/>
          <w:sz w:val="18"/>
        </w:rPr>
        <w:t> </w:t>
      </w:r>
      <w:r>
        <w:rPr>
          <w:color w:val="231F20"/>
          <w:spacing w:val="-5"/>
          <w:sz w:val="18"/>
        </w:rPr>
        <w:t>as</w:t>
      </w:r>
    </w:p>
    <w:p>
      <w:pPr>
        <w:spacing w:line="231" w:lineRule="exact" w:before="0"/>
        <w:ind w:left="3972" w:right="0" w:firstLine="0"/>
        <w:jc w:val="both"/>
        <w:rPr>
          <w:sz w:val="18"/>
        </w:rPr>
      </w:pPr>
      <w:r>
        <w:rPr>
          <w:rFonts w:ascii="Book Antiqua"/>
          <w:b/>
          <w:color w:val="231F20"/>
          <w:sz w:val="18"/>
        </w:rPr>
        <w:t>sys*</w:t>
      </w:r>
      <w:r>
        <w:rPr>
          <w:rFonts w:ascii="Book Antiqua"/>
          <w:b/>
          <w:color w:val="231F20"/>
          <w:spacing w:val="10"/>
          <w:sz w:val="18"/>
        </w:rPr>
        <w:t> </w:t>
      </w:r>
      <w:r>
        <w:rPr>
          <w:color w:val="231F20"/>
          <w:sz w:val="18"/>
        </w:rPr>
        <w:t>to</w:t>
      </w:r>
      <w:r>
        <w:rPr>
          <w:color w:val="231F20"/>
          <w:spacing w:val="10"/>
          <w:sz w:val="18"/>
        </w:rPr>
        <w:t> </w:t>
      </w:r>
      <w:r>
        <w:rPr>
          <w:color w:val="231F20"/>
          <w:sz w:val="18"/>
        </w:rPr>
        <w:t>find</w:t>
      </w:r>
      <w:r>
        <w:rPr>
          <w:color w:val="231F20"/>
          <w:spacing w:val="10"/>
          <w:sz w:val="18"/>
        </w:rPr>
        <w:t> </w:t>
      </w:r>
      <w:r>
        <w:rPr>
          <w:rFonts w:ascii="Book Antiqua"/>
          <w:b/>
          <w:color w:val="231F20"/>
          <w:sz w:val="18"/>
        </w:rPr>
        <w:t>system</w:t>
      </w:r>
      <w:r>
        <w:rPr>
          <w:rFonts w:ascii="Book Antiqua"/>
          <w:b/>
          <w:color w:val="231F20"/>
          <w:spacing w:val="10"/>
          <w:sz w:val="18"/>
        </w:rPr>
        <w:t> </w:t>
      </w:r>
      <w:r>
        <w:rPr>
          <w:color w:val="231F20"/>
          <w:sz w:val="18"/>
        </w:rPr>
        <w:t>and</w:t>
      </w:r>
      <w:r>
        <w:rPr>
          <w:color w:val="231F20"/>
          <w:spacing w:val="11"/>
          <w:sz w:val="18"/>
        </w:rPr>
        <w:t> </w:t>
      </w:r>
      <w:r>
        <w:rPr>
          <w:rFonts w:ascii="Book Antiqua"/>
          <w:b/>
          <w:color w:val="231F20"/>
          <w:sz w:val="18"/>
        </w:rPr>
        <w:t>sys_01</w:t>
      </w:r>
      <w:r>
        <w:rPr>
          <w:color w:val="231F20"/>
          <w:sz w:val="18"/>
        </w:rPr>
        <w:t>,</w:t>
      </w:r>
      <w:r>
        <w:rPr>
          <w:color w:val="231F20"/>
          <w:spacing w:val="10"/>
          <w:sz w:val="18"/>
        </w:rPr>
        <w:t> </w:t>
      </w:r>
      <w:r>
        <w:rPr>
          <w:color w:val="231F20"/>
          <w:sz w:val="18"/>
        </w:rPr>
        <w:t>or</w:t>
      </w:r>
      <w:r>
        <w:rPr>
          <w:color w:val="231F20"/>
          <w:spacing w:val="10"/>
          <w:sz w:val="18"/>
        </w:rPr>
        <w:t> </w:t>
      </w:r>
      <w:r>
        <w:rPr>
          <w:rFonts w:ascii="Book Antiqua"/>
          <w:b/>
          <w:color w:val="231F20"/>
          <w:sz w:val="18"/>
        </w:rPr>
        <w:t>system?</w:t>
      </w:r>
      <w:r>
        <w:rPr>
          <w:rFonts w:ascii="Book Antiqua"/>
          <w:b/>
          <w:color w:val="231F20"/>
          <w:spacing w:val="10"/>
          <w:sz w:val="18"/>
        </w:rPr>
        <w:t> </w:t>
      </w:r>
      <w:r>
        <w:rPr>
          <w:color w:val="231F20"/>
          <w:sz w:val="18"/>
        </w:rPr>
        <w:t>to</w:t>
      </w:r>
      <w:r>
        <w:rPr>
          <w:color w:val="231F20"/>
          <w:spacing w:val="10"/>
          <w:sz w:val="18"/>
        </w:rPr>
        <w:t> </w:t>
      </w:r>
      <w:r>
        <w:rPr>
          <w:color w:val="231F20"/>
          <w:sz w:val="18"/>
        </w:rPr>
        <w:t>find</w:t>
      </w:r>
      <w:r>
        <w:rPr>
          <w:color w:val="231F20"/>
          <w:spacing w:val="11"/>
          <w:sz w:val="18"/>
        </w:rPr>
        <w:t> </w:t>
      </w:r>
      <w:r>
        <w:rPr>
          <w:rFonts w:ascii="Book Antiqua"/>
          <w:b/>
          <w:color w:val="231F20"/>
          <w:sz w:val="18"/>
        </w:rPr>
        <w:t>system1</w:t>
      </w:r>
      <w:r>
        <w:rPr>
          <w:rFonts w:ascii="Book Antiqua"/>
          <w:b/>
          <w:color w:val="231F20"/>
          <w:spacing w:val="10"/>
          <w:sz w:val="18"/>
        </w:rPr>
        <w:t> </w:t>
      </w:r>
      <w:r>
        <w:rPr>
          <w:color w:val="231F20"/>
          <w:sz w:val="18"/>
        </w:rPr>
        <w:t>and</w:t>
      </w:r>
      <w:r>
        <w:rPr>
          <w:color w:val="231F20"/>
          <w:spacing w:val="10"/>
          <w:sz w:val="18"/>
        </w:rPr>
        <w:t> </w:t>
      </w:r>
      <w:r>
        <w:rPr>
          <w:rFonts w:ascii="Book Antiqua"/>
          <w:b/>
          <w:color w:val="231F20"/>
          <w:spacing w:val="-2"/>
          <w:sz w:val="18"/>
        </w:rPr>
        <w:t>systemZ</w:t>
      </w:r>
      <w:r>
        <w:rPr>
          <w:color w:val="231F20"/>
          <w:spacing w:val="-2"/>
          <w:sz w:val="18"/>
        </w:rPr>
        <w:t>.</w:t>
      </w:r>
    </w:p>
    <w:p>
      <w:pPr>
        <w:pStyle w:val="BodyText"/>
        <w:spacing w:before="62"/>
      </w:pPr>
    </w:p>
    <w:p>
      <w:pPr>
        <w:pStyle w:val="Heading6"/>
        <w:spacing w:line="240" w:lineRule="auto" w:before="0"/>
      </w:pPr>
      <w:r>
        <w:rPr>
          <w:color w:val="231F20"/>
        </w:rPr>
        <w:t>Mouse</w:t>
      </w:r>
      <w:r>
        <w:rPr>
          <w:color w:val="231F20"/>
          <w:spacing w:val="9"/>
        </w:rPr>
        <w:t> </w:t>
      </w:r>
      <w:r>
        <w:rPr>
          <w:color w:val="231F20"/>
        </w:rPr>
        <w:t>and</w:t>
      </w:r>
      <w:r>
        <w:rPr>
          <w:color w:val="231F20"/>
          <w:spacing w:val="10"/>
        </w:rPr>
        <w:t> </w:t>
      </w:r>
      <w:r>
        <w:rPr>
          <w:color w:val="231F20"/>
        </w:rPr>
        <w:t>keyboard</w:t>
      </w:r>
      <w:r>
        <w:rPr>
          <w:color w:val="231F20"/>
          <w:spacing w:val="10"/>
        </w:rPr>
        <w:t> </w:t>
      </w:r>
      <w:r>
        <w:rPr>
          <w:color w:val="231F20"/>
          <w:spacing w:val="-2"/>
        </w:rPr>
        <w:t>actions</w:t>
      </w:r>
    </w:p>
    <w:p>
      <w:pPr>
        <w:pStyle w:val="BodyText"/>
        <w:tabs>
          <w:tab w:pos="3909" w:val="left" w:leader="none"/>
        </w:tabs>
        <w:spacing w:line="213" w:lineRule="auto" w:before="120"/>
        <w:ind w:left="3909" w:right="258" w:hanging="719"/>
      </w:pPr>
      <w:r>
        <w:rPr>
          <w:rFonts w:ascii="Book Antiqua"/>
          <w:b/>
          <w:color w:val="231F20"/>
          <w:spacing w:val="-2"/>
        </w:rPr>
        <w:t>Click</w:t>
      </w:r>
      <w:r>
        <w:rPr>
          <w:rFonts w:ascii="Book Antiqua"/>
          <w:b/>
          <w:color w:val="231F20"/>
        </w:rPr>
        <w:tab/>
      </w:r>
      <w:r>
        <w:rPr>
          <w:color w:val="231F20"/>
        </w:rPr>
        <w:t>Select the object. Use Ctrl + Click to select multiple objects. Click </w:t>
      </w:r>
      <w:r>
        <w:rPr>
          <w:color w:val="231F20"/>
        </w:rPr>
        <w:t>a corner of the area you want to select, drag to the opposite corner, then release the mouse button to select all the objects within or partially inside the boundary. Click outside the selection to cancel.</w:t>
      </w:r>
    </w:p>
    <w:p>
      <w:pPr>
        <w:spacing w:after="0" w:line="213" w:lineRule="auto"/>
        <w:sectPr>
          <w:pgSz w:w="12240" w:h="15840"/>
          <w:pgMar w:header="0" w:footer="736" w:top="1180" w:bottom="920" w:left="1000" w:right="1060"/>
        </w:sectPr>
      </w:pPr>
    </w:p>
    <w:p>
      <w:pPr>
        <w:pStyle w:val="BodyText"/>
        <w:tabs>
          <w:tab w:pos="3669" w:val="left" w:leader="none"/>
        </w:tabs>
        <w:spacing w:line="213" w:lineRule="auto" w:before="85"/>
        <w:ind w:left="3669" w:right="885" w:hanging="719"/>
      </w:pPr>
      <w:bookmarkStart w:name="_bookmark102" w:id="218"/>
      <w:bookmarkEnd w:id="218"/>
      <w:r>
        <w:rPr/>
      </w:r>
      <w:r>
        <w:rPr>
          <w:rFonts w:ascii="Book Antiqua"/>
          <w:b/>
          <w:color w:val="231F20"/>
          <w:spacing w:val="-4"/>
        </w:rPr>
        <w:t>Drag</w:t>
      </w:r>
      <w:r>
        <w:rPr>
          <w:rFonts w:ascii="Book Antiqua"/>
          <w:b/>
          <w:color w:val="231F20"/>
        </w:rPr>
        <w:tab/>
      </w:r>
      <w:r>
        <w:rPr>
          <w:color w:val="231F20"/>
        </w:rPr>
        <w:t>Click an object, then drag to reposition it and the connectors </w:t>
      </w:r>
      <w:r>
        <w:rPr>
          <w:color w:val="231F20"/>
        </w:rPr>
        <w:t>to other objects.</w:t>
      </w:r>
    </w:p>
    <w:p>
      <w:pPr>
        <w:pStyle w:val="Heading6"/>
        <w:ind w:left="2951"/>
      </w:pPr>
      <w:r>
        <w:rPr>
          <w:color w:val="231F20"/>
          <w:spacing w:val="-2"/>
        </w:rPr>
        <w:t>Double-click</w:t>
      </w:r>
    </w:p>
    <w:p>
      <w:pPr>
        <w:pStyle w:val="BodyText"/>
        <w:spacing w:line="258" w:lineRule="exact"/>
        <w:ind w:left="3669"/>
      </w:pPr>
      <w:r>
        <w:rPr>
          <w:color w:val="231F20"/>
        </w:rPr>
        <w:t>Perform</w:t>
      </w:r>
      <w:r>
        <w:rPr>
          <w:color w:val="231F20"/>
          <w:spacing w:val="11"/>
        </w:rPr>
        <w:t> </w:t>
      </w:r>
      <w:r>
        <w:rPr>
          <w:color w:val="231F20"/>
        </w:rPr>
        <w:t>the</w:t>
      </w:r>
      <w:r>
        <w:rPr>
          <w:color w:val="231F20"/>
          <w:spacing w:val="11"/>
        </w:rPr>
        <w:t> </w:t>
      </w:r>
      <w:r>
        <w:rPr>
          <w:color w:val="231F20"/>
        </w:rPr>
        <w:t>default</w:t>
      </w:r>
      <w:r>
        <w:rPr>
          <w:color w:val="231F20"/>
          <w:spacing w:val="11"/>
        </w:rPr>
        <w:t> </w:t>
      </w:r>
      <w:r>
        <w:rPr>
          <w:color w:val="231F20"/>
        </w:rPr>
        <w:t>action</w:t>
      </w:r>
      <w:r>
        <w:rPr>
          <w:color w:val="231F20"/>
          <w:spacing w:val="11"/>
        </w:rPr>
        <w:t> </w:t>
      </w:r>
      <w:r>
        <w:rPr>
          <w:color w:val="231F20"/>
        </w:rPr>
        <w:t>for</w:t>
      </w:r>
      <w:r>
        <w:rPr>
          <w:color w:val="231F20"/>
          <w:spacing w:val="11"/>
        </w:rPr>
        <w:t> </w:t>
      </w:r>
      <w:r>
        <w:rPr>
          <w:color w:val="231F20"/>
        </w:rPr>
        <w:t>your</w:t>
      </w:r>
      <w:r>
        <w:rPr>
          <w:color w:val="231F20"/>
          <w:spacing w:val="11"/>
        </w:rPr>
        <w:t> </w:t>
      </w:r>
      <w:r>
        <w:rPr>
          <w:color w:val="231F20"/>
        </w:rPr>
        <w:t>product</w:t>
      </w:r>
      <w:r>
        <w:rPr>
          <w:color w:val="231F20"/>
          <w:spacing w:val="11"/>
        </w:rPr>
        <w:t> </w:t>
      </w:r>
      <w:r>
        <w:rPr>
          <w:color w:val="231F20"/>
        </w:rPr>
        <w:t>on</w:t>
      </w:r>
      <w:r>
        <w:rPr>
          <w:color w:val="231F20"/>
          <w:spacing w:val="11"/>
        </w:rPr>
        <w:t> </w:t>
      </w:r>
      <w:r>
        <w:rPr>
          <w:color w:val="231F20"/>
        </w:rPr>
        <w:t>the</w:t>
      </w:r>
      <w:r>
        <w:rPr>
          <w:color w:val="231F20"/>
          <w:spacing w:val="11"/>
        </w:rPr>
        <w:t> </w:t>
      </w:r>
      <w:r>
        <w:rPr>
          <w:color w:val="231F20"/>
          <w:spacing w:val="-2"/>
        </w:rPr>
        <w:t>object.</w:t>
      </w:r>
    </w:p>
    <w:p>
      <w:pPr>
        <w:pStyle w:val="Heading6"/>
        <w:spacing w:before="111"/>
        <w:ind w:left="2951"/>
      </w:pPr>
      <w:r>
        <w:rPr>
          <w:color w:val="231F20"/>
          <w:spacing w:val="-2"/>
        </w:rPr>
        <w:t>Right-click</w:t>
      </w:r>
    </w:p>
    <w:p>
      <w:pPr>
        <w:pStyle w:val="BodyText"/>
        <w:spacing w:line="258" w:lineRule="exact"/>
        <w:ind w:left="3669"/>
      </w:pPr>
      <w:r>
        <w:rPr>
          <w:color w:val="231F20"/>
        </w:rPr>
        <w:t>Open</w:t>
      </w:r>
      <w:r>
        <w:rPr>
          <w:color w:val="231F20"/>
          <w:spacing w:val="11"/>
        </w:rPr>
        <w:t> </w:t>
      </w:r>
      <w:r>
        <w:rPr>
          <w:color w:val="231F20"/>
        </w:rPr>
        <w:t>the</w:t>
      </w:r>
      <w:r>
        <w:rPr>
          <w:color w:val="231F20"/>
          <w:spacing w:val="11"/>
        </w:rPr>
        <w:t> </w:t>
      </w:r>
      <w:r>
        <w:rPr>
          <w:color w:val="231F20"/>
        </w:rPr>
        <w:t>pop-up</w:t>
      </w:r>
      <w:r>
        <w:rPr>
          <w:color w:val="231F20"/>
          <w:spacing w:val="11"/>
        </w:rPr>
        <w:t> </w:t>
      </w:r>
      <w:r>
        <w:rPr>
          <w:color w:val="231F20"/>
          <w:spacing w:val="-2"/>
        </w:rPr>
        <w:t>menu.</w:t>
      </w:r>
    </w:p>
    <w:p>
      <w:pPr>
        <w:pStyle w:val="BodyText"/>
        <w:spacing w:line="213" w:lineRule="auto" w:before="113"/>
        <w:ind w:left="3669" w:right="545" w:hanging="719"/>
      </w:pPr>
      <w:r>
        <w:rPr>
          <w:rFonts w:ascii="Book Antiqua"/>
          <w:b/>
          <w:color w:val="231F20"/>
        </w:rPr>
        <w:t>Hover</w:t>
      </w:r>
      <w:r>
        <w:rPr>
          <w:rFonts w:ascii="Book Antiqua"/>
          <w:b/>
          <w:color w:val="231F20"/>
          <w:spacing w:val="80"/>
        </w:rPr>
        <w:t> </w:t>
      </w:r>
      <w:r>
        <w:rPr>
          <w:color w:val="231F20"/>
        </w:rPr>
        <w:t>Move the mouse pointer over an object to see its identifiers </w:t>
      </w:r>
      <w:r>
        <w:rPr>
          <w:color w:val="231F20"/>
        </w:rPr>
        <w:t>and </w:t>
      </w:r>
      <w:r>
        <w:rPr>
          <w:color w:val="231F20"/>
          <w:spacing w:val="-2"/>
        </w:rPr>
        <w:t>status.</w:t>
      </w:r>
    </w:p>
    <w:p>
      <w:pPr>
        <w:pStyle w:val="Heading6"/>
        <w:ind w:left="2951"/>
      </w:pPr>
      <w:r>
        <w:rPr>
          <w:color w:val="231F20"/>
        </w:rPr>
        <w:t>Alt</w:t>
      </w:r>
      <w:r>
        <w:rPr>
          <w:color w:val="231F20"/>
          <w:spacing w:val="13"/>
        </w:rPr>
        <w:t> </w:t>
      </w:r>
      <w:r>
        <w:rPr>
          <w:color w:val="231F20"/>
        </w:rPr>
        <w:t>+</w:t>
      </w:r>
      <w:r>
        <w:rPr>
          <w:color w:val="231F20"/>
          <w:spacing w:val="14"/>
        </w:rPr>
        <w:t> </w:t>
      </w:r>
      <w:r>
        <w:rPr>
          <w:color w:val="231F20"/>
          <w:spacing w:val="-2"/>
        </w:rPr>
        <w:t>Click</w:t>
      </w:r>
    </w:p>
    <w:p>
      <w:pPr>
        <w:pStyle w:val="BodyText"/>
        <w:spacing w:line="213" w:lineRule="auto" w:before="11"/>
        <w:ind w:left="3669" w:right="545"/>
      </w:pPr>
      <w:r>
        <w:rPr>
          <w:color w:val="231F20"/>
        </w:rPr>
        <w:t>(Not available on all UNIX platforms or configurations.) </w:t>
      </w:r>
      <w:r>
        <w:rPr>
          <w:color w:val="231F20"/>
        </w:rPr>
        <w:t>Move around the view with a virtual magnifying glass. Once the magnifier is displayed, you can release the Alt key.</w:t>
      </w:r>
    </w:p>
    <w:p>
      <w:pPr>
        <w:pStyle w:val="Heading6"/>
        <w:ind w:left="2951"/>
      </w:pPr>
      <w:r>
        <w:rPr>
          <w:color w:val="231F20"/>
        </w:rPr>
        <w:t>Alt</w:t>
      </w:r>
      <w:r>
        <w:rPr>
          <w:color w:val="231F20"/>
          <w:spacing w:val="5"/>
        </w:rPr>
        <w:t> </w:t>
      </w:r>
      <w:r>
        <w:rPr>
          <w:color w:val="231F20"/>
          <w:spacing w:val="16"/>
        </w:rPr>
        <w:t>+</w:t>
      </w:r>
      <w:r>
        <w:rPr>
          <w:color w:val="231F20"/>
          <w:spacing w:val="6"/>
        </w:rPr>
        <w:t> </w:t>
      </w:r>
      <w:r>
        <w:rPr>
          <w:color w:val="231F20"/>
          <w:spacing w:val="-10"/>
        </w:rPr>
        <w:t>L</w:t>
      </w:r>
      <w:r>
        <w:rPr>
          <w:color w:val="231F20"/>
        </w:rPr>
        <w:t> </w:t>
      </w:r>
    </w:p>
    <w:p>
      <w:pPr>
        <w:pStyle w:val="BodyText"/>
        <w:spacing w:line="258" w:lineRule="exact"/>
        <w:ind w:left="3669"/>
      </w:pPr>
      <w:r>
        <w:rPr>
          <w:color w:val="231F20"/>
        </w:rPr>
        <w:t>Hide</w:t>
      </w:r>
      <w:r>
        <w:rPr>
          <w:color w:val="231F20"/>
          <w:spacing w:val="11"/>
        </w:rPr>
        <w:t> </w:t>
      </w:r>
      <w:r>
        <w:rPr>
          <w:color w:val="231F20"/>
        </w:rPr>
        <w:t>or</w:t>
      </w:r>
      <w:r>
        <w:rPr>
          <w:color w:val="231F20"/>
          <w:spacing w:val="12"/>
        </w:rPr>
        <w:t> </w:t>
      </w:r>
      <w:r>
        <w:rPr>
          <w:color w:val="231F20"/>
        </w:rPr>
        <w:t>display</w:t>
      </w:r>
      <w:r>
        <w:rPr>
          <w:color w:val="231F20"/>
          <w:spacing w:val="12"/>
        </w:rPr>
        <w:t> </w:t>
      </w:r>
      <w:r>
        <w:rPr>
          <w:color w:val="231F20"/>
        </w:rPr>
        <w:t>link</w:t>
      </w:r>
      <w:r>
        <w:rPr>
          <w:color w:val="231F20"/>
          <w:spacing w:val="12"/>
        </w:rPr>
        <w:t> </w:t>
      </w:r>
      <w:r>
        <w:rPr>
          <w:color w:val="231F20"/>
          <w:spacing w:val="-2"/>
        </w:rPr>
        <w:t>labels.</w:t>
      </w:r>
    </w:p>
    <w:p>
      <w:pPr>
        <w:pStyle w:val="Heading6"/>
        <w:spacing w:before="111"/>
        <w:ind w:left="2951"/>
      </w:pPr>
      <w:r>
        <w:rPr>
          <w:color w:val="231F20"/>
        </w:rPr>
        <w:t>Alt</w:t>
      </w:r>
      <w:r>
        <w:rPr>
          <w:color w:val="231F20"/>
          <w:spacing w:val="5"/>
        </w:rPr>
        <w:t> </w:t>
      </w:r>
      <w:r>
        <w:rPr>
          <w:color w:val="231F20"/>
          <w:spacing w:val="16"/>
        </w:rPr>
        <w:t>+</w:t>
      </w:r>
      <w:r>
        <w:rPr>
          <w:color w:val="231F20"/>
          <w:spacing w:val="6"/>
        </w:rPr>
        <w:t> </w:t>
      </w:r>
      <w:r>
        <w:rPr>
          <w:color w:val="231F20"/>
          <w:spacing w:val="-10"/>
        </w:rPr>
        <w:t>N</w:t>
      </w:r>
      <w:r>
        <w:rPr>
          <w:color w:val="231F20"/>
        </w:rPr>
        <w:t> </w:t>
      </w:r>
    </w:p>
    <w:p>
      <w:pPr>
        <w:pStyle w:val="BodyText"/>
        <w:spacing w:line="258" w:lineRule="exact"/>
        <w:ind w:left="3669"/>
      </w:pPr>
      <w:r>
        <w:rPr>
          <w:color w:val="231F20"/>
        </w:rPr>
        <w:t>Hide</w:t>
      </w:r>
      <w:r>
        <w:rPr>
          <w:color w:val="231F20"/>
          <w:spacing w:val="11"/>
        </w:rPr>
        <w:t> </w:t>
      </w:r>
      <w:r>
        <w:rPr>
          <w:color w:val="231F20"/>
        </w:rPr>
        <w:t>or</w:t>
      </w:r>
      <w:r>
        <w:rPr>
          <w:color w:val="231F20"/>
          <w:spacing w:val="12"/>
        </w:rPr>
        <w:t> </w:t>
      </w:r>
      <w:r>
        <w:rPr>
          <w:color w:val="231F20"/>
        </w:rPr>
        <w:t>display</w:t>
      </w:r>
      <w:r>
        <w:rPr>
          <w:color w:val="231F20"/>
          <w:spacing w:val="11"/>
        </w:rPr>
        <w:t> </w:t>
      </w:r>
      <w:r>
        <w:rPr>
          <w:color w:val="231F20"/>
        </w:rPr>
        <w:t>object</w:t>
      </w:r>
      <w:r>
        <w:rPr>
          <w:color w:val="231F20"/>
          <w:spacing w:val="11"/>
        </w:rPr>
        <w:t> </w:t>
      </w:r>
      <w:r>
        <w:rPr>
          <w:color w:val="231F20"/>
          <w:spacing w:val="-2"/>
        </w:rPr>
        <w:t>labels.</w:t>
      </w:r>
    </w:p>
    <w:p>
      <w:pPr>
        <w:pStyle w:val="BodyText"/>
        <w:spacing w:before="89"/>
        <w:ind w:left="2951"/>
      </w:pPr>
      <w:r>
        <w:rPr>
          <w:rFonts w:ascii="Book Antiqua"/>
          <w:b/>
          <w:color w:val="231F20"/>
        </w:rPr>
        <w:t>Home</w:t>
      </w:r>
      <w:r>
        <w:rPr>
          <w:rFonts w:ascii="Book Antiqua"/>
          <w:b/>
          <w:color w:val="231F20"/>
          <w:spacing w:val="79"/>
          <w:w w:val="150"/>
        </w:rPr>
        <w:t> </w:t>
      </w:r>
      <w:r>
        <w:rPr>
          <w:color w:val="231F20"/>
        </w:rPr>
        <w:t>Resize</w:t>
      </w:r>
      <w:r>
        <w:rPr>
          <w:color w:val="231F20"/>
          <w:spacing w:val="12"/>
        </w:rPr>
        <w:t> </w:t>
      </w:r>
      <w:r>
        <w:rPr>
          <w:color w:val="231F20"/>
        </w:rPr>
        <w:t>the</w:t>
      </w:r>
      <w:r>
        <w:rPr>
          <w:color w:val="231F20"/>
          <w:spacing w:val="12"/>
        </w:rPr>
        <w:t> </w:t>
      </w:r>
      <w:r>
        <w:rPr>
          <w:color w:val="231F20"/>
        </w:rPr>
        <w:t>objects</w:t>
      </w:r>
      <w:r>
        <w:rPr>
          <w:color w:val="231F20"/>
          <w:spacing w:val="12"/>
        </w:rPr>
        <w:t> </w:t>
      </w:r>
      <w:r>
        <w:rPr>
          <w:color w:val="231F20"/>
        </w:rPr>
        <w:t>to</w:t>
      </w:r>
      <w:r>
        <w:rPr>
          <w:color w:val="231F20"/>
          <w:spacing w:val="12"/>
        </w:rPr>
        <w:t> </w:t>
      </w:r>
      <w:r>
        <w:rPr>
          <w:color w:val="231F20"/>
        </w:rPr>
        <w:t>fit</w:t>
      </w:r>
      <w:r>
        <w:rPr>
          <w:color w:val="231F20"/>
          <w:spacing w:val="12"/>
        </w:rPr>
        <w:t> </w:t>
      </w:r>
      <w:r>
        <w:rPr>
          <w:color w:val="231F20"/>
        </w:rPr>
        <w:t>into</w:t>
      </w:r>
      <w:r>
        <w:rPr>
          <w:color w:val="231F20"/>
          <w:spacing w:val="12"/>
        </w:rPr>
        <w:t> </w:t>
      </w:r>
      <w:r>
        <w:rPr>
          <w:color w:val="231F20"/>
        </w:rPr>
        <w:t>the</w:t>
      </w:r>
      <w:r>
        <w:rPr>
          <w:color w:val="231F20"/>
          <w:spacing w:val="13"/>
        </w:rPr>
        <w:t> </w:t>
      </w:r>
      <w:r>
        <w:rPr>
          <w:color w:val="231F20"/>
        </w:rPr>
        <w:t>current</w:t>
      </w:r>
      <w:r>
        <w:rPr>
          <w:color w:val="231F20"/>
          <w:spacing w:val="12"/>
        </w:rPr>
        <w:t> </w:t>
      </w:r>
      <w:r>
        <w:rPr>
          <w:color w:val="231F20"/>
        </w:rPr>
        <w:t>view</w:t>
      </w:r>
      <w:r>
        <w:rPr>
          <w:color w:val="231F20"/>
          <w:spacing w:val="12"/>
        </w:rPr>
        <w:t> </w:t>
      </w:r>
      <w:r>
        <w:rPr>
          <w:color w:val="231F20"/>
          <w:spacing w:val="-2"/>
        </w:rPr>
        <w:t>space.</w:t>
      </w:r>
    </w:p>
    <w:p>
      <w:pPr>
        <w:pStyle w:val="Heading6"/>
        <w:spacing w:before="111"/>
        <w:ind w:left="2951"/>
      </w:pPr>
      <w:r>
        <w:rPr>
          <w:color w:val="231F20"/>
        </w:rPr>
        <w:t>Num</w:t>
      </w:r>
      <w:r>
        <w:rPr>
          <w:color w:val="231F20"/>
          <w:spacing w:val="12"/>
        </w:rPr>
        <w:t> </w:t>
      </w:r>
      <w:r>
        <w:rPr>
          <w:color w:val="231F20"/>
        </w:rPr>
        <w:t>Pad</w:t>
      </w:r>
      <w:r>
        <w:rPr>
          <w:color w:val="231F20"/>
          <w:spacing w:val="13"/>
        </w:rPr>
        <w:t> </w:t>
      </w:r>
      <w:r>
        <w:rPr>
          <w:color w:val="231F20"/>
        </w:rPr>
        <w:t>+</w:t>
      </w:r>
      <w:r>
        <w:rPr>
          <w:color w:val="231F20"/>
          <w:spacing w:val="12"/>
        </w:rPr>
        <w:t> </w:t>
      </w:r>
      <w:r>
        <w:rPr>
          <w:color w:val="231F20"/>
        </w:rPr>
        <w:t>and</w:t>
      </w:r>
      <w:r>
        <w:rPr>
          <w:color w:val="231F20"/>
          <w:spacing w:val="13"/>
        </w:rPr>
        <w:t> </w:t>
      </w:r>
      <w:r>
        <w:rPr>
          <w:color w:val="231F20"/>
        </w:rPr>
        <w:t>-</w:t>
      </w:r>
      <w:r>
        <w:rPr>
          <w:color w:val="231F20"/>
          <w:spacing w:val="-10"/>
        </w:rPr>
        <w:t>.</w:t>
      </w:r>
    </w:p>
    <w:p>
      <w:pPr>
        <w:pStyle w:val="BodyText"/>
        <w:spacing w:line="258" w:lineRule="exact"/>
        <w:ind w:left="3669"/>
      </w:pPr>
      <w:r>
        <w:rPr>
          <w:color w:val="231F20"/>
        </w:rPr>
        <w:t>Zoom</w:t>
      </w:r>
      <w:r>
        <w:rPr>
          <w:color w:val="231F20"/>
          <w:spacing w:val="12"/>
        </w:rPr>
        <w:t> </w:t>
      </w:r>
      <w:r>
        <w:rPr>
          <w:color w:val="231F20"/>
        </w:rPr>
        <w:t>in</w:t>
      </w:r>
      <w:r>
        <w:rPr>
          <w:color w:val="231F20"/>
          <w:spacing w:val="13"/>
        </w:rPr>
        <w:t> </w:t>
      </w:r>
      <w:r>
        <w:rPr>
          <w:color w:val="231F20"/>
        </w:rPr>
        <w:t>and</w:t>
      </w:r>
      <w:r>
        <w:rPr>
          <w:color w:val="231F20"/>
          <w:spacing w:val="12"/>
        </w:rPr>
        <w:t> </w:t>
      </w:r>
      <w:r>
        <w:rPr>
          <w:color w:val="231F20"/>
          <w:spacing w:val="-4"/>
        </w:rPr>
        <w:t>out.</w:t>
      </w:r>
    </w:p>
    <w:p>
      <w:pPr>
        <w:pStyle w:val="Heading6"/>
        <w:spacing w:line="240" w:lineRule="auto" w:before="112"/>
        <w:ind w:left="2232"/>
      </w:pPr>
      <w:r>
        <w:rPr>
          <w:color w:val="231F20"/>
        </w:rPr>
        <w:t>Popup</w:t>
      </w:r>
      <w:r>
        <w:rPr>
          <w:color w:val="231F20"/>
          <w:spacing w:val="10"/>
        </w:rPr>
        <w:t> </w:t>
      </w:r>
      <w:r>
        <w:rPr>
          <w:color w:val="231F20"/>
        </w:rPr>
        <w:t>menu</w:t>
      </w:r>
      <w:r>
        <w:rPr>
          <w:color w:val="231F20"/>
          <w:spacing w:val="10"/>
        </w:rPr>
        <w:t> </w:t>
      </w:r>
      <w:r>
        <w:rPr>
          <w:color w:val="231F20"/>
          <w:spacing w:val="-2"/>
        </w:rPr>
        <w:t>options</w:t>
      </w:r>
    </w:p>
    <w:p>
      <w:pPr>
        <w:pStyle w:val="BodyText"/>
        <w:spacing w:line="213" w:lineRule="auto" w:before="119"/>
        <w:ind w:left="2951" w:right="545"/>
      </w:pPr>
      <w:r>
        <w:rPr>
          <w:color w:val="231F20"/>
        </w:rPr>
        <w:t>Right-click a topology element to see the actions that can be applied to </w:t>
      </w:r>
      <w:r>
        <w:rPr>
          <w:color w:val="231F20"/>
        </w:rPr>
        <w:t>the selected object.</w:t>
      </w:r>
    </w:p>
    <w:p>
      <w:pPr>
        <w:pStyle w:val="BodyText"/>
        <w:spacing w:line="213" w:lineRule="auto" w:before="118"/>
        <w:ind w:left="2951" w:right="544"/>
      </w:pPr>
      <w:r>
        <w:rPr>
          <w:color w:val="231F20"/>
        </w:rPr>
        <w:t>Right-click the topology view background to see the actions for the view </w:t>
      </w:r>
      <w:r>
        <w:rPr>
          <w:color w:val="231F20"/>
        </w:rPr>
        <w:t>as</w:t>
      </w:r>
      <w:r>
        <w:rPr>
          <w:color w:val="231F20"/>
          <w:spacing w:val="80"/>
        </w:rPr>
        <w:t> </w:t>
      </w:r>
      <w:r>
        <w:rPr>
          <w:color w:val="231F20"/>
        </w:rPr>
        <w:t>a whole.</w:t>
      </w:r>
    </w:p>
    <w:p>
      <w:pPr>
        <w:pStyle w:val="Heading3"/>
        <w:spacing w:before="218"/>
        <w:ind w:left="1334"/>
      </w:pPr>
      <w:bookmarkStart w:name="Topology view style properties" w:id="219"/>
      <w:bookmarkEnd w:id="219"/>
      <w:r>
        <w:rPr>
          <w:b w:val="0"/>
        </w:rPr>
      </w:r>
      <w:r>
        <w:rPr>
          <w:color w:val="231F20"/>
        </w:rPr>
        <w:t>Topology</w:t>
      </w:r>
      <w:r>
        <w:rPr>
          <w:color w:val="231F20"/>
          <w:spacing w:val="-1"/>
        </w:rPr>
        <w:t> </w:t>
      </w:r>
      <w:r>
        <w:rPr>
          <w:color w:val="231F20"/>
        </w:rPr>
        <w:t>view style</w:t>
      </w:r>
      <w:r>
        <w:rPr>
          <w:color w:val="231F20"/>
          <w:spacing w:val="-1"/>
        </w:rPr>
        <w:t> </w:t>
      </w:r>
      <w:r>
        <w:rPr>
          <w:color w:val="231F20"/>
          <w:spacing w:val="-2"/>
        </w:rPr>
        <w:t>properties</w:t>
      </w:r>
    </w:p>
    <w:p>
      <w:pPr>
        <w:pStyle w:val="BodyText"/>
        <w:spacing w:line="213" w:lineRule="auto" w:before="58"/>
        <w:ind w:left="2232" w:right="545"/>
      </w:pPr>
      <w:r>
        <w:rPr>
          <w:color w:val="231F20"/>
        </w:rPr>
        <w:t>The</w:t>
      </w:r>
      <w:r>
        <w:rPr>
          <w:color w:val="231F20"/>
          <w:spacing w:val="28"/>
        </w:rPr>
        <w:t> </w:t>
      </w:r>
      <w:r>
        <w:rPr>
          <w:color w:val="231F20"/>
          <w:spacing w:val="-24"/>
          <w:position w:val="-1"/>
        </w:rPr>
        <w:drawing>
          <wp:inline distT="0" distB="0" distL="0" distR="0">
            <wp:extent cx="95250" cy="95250"/>
            <wp:effectExtent l="0" t="0" r="0" b="0"/>
            <wp:docPr id="1346" name="Image 1346"/>
            <wp:cNvGraphicFramePr>
              <a:graphicFrameLocks/>
            </wp:cNvGraphicFramePr>
            <a:graphic>
              <a:graphicData uri="http://schemas.openxmlformats.org/drawingml/2006/picture">
                <pic:pic>
                  <pic:nvPicPr>
                    <pic:cNvPr id="1346" name="Image 1346"/>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Style </w:t>
      </w:r>
      <w:r>
        <w:rPr>
          <w:color w:val="231F20"/>
        </w:rPr>
        <w:t>tab of the Properties editor has icons that you click to see and select</w:t>
      </w:r>
      <w:r>
        <w:rPr>
          <w:color w:val="231F20"/>
          <w:spacing w:val="40"/>
        </w:rPr>
        <w:t> </w:t>
      </w:r>
      <w:r>
        <w:rPr>
          <w:color w:val="231F20"/>
        </w:rPr>
        <w:t>the options for that aspect of the topology view: General, Node, View as Topology, Connection,</w:t>
      </w:r>
      <w:r>
        <w:rPr>
          <w:color w:val="231F20"/>
          <w:spacing w:val="30"/>
        </w:rPr>
        <w:t> </w:t>
      </w:r>
      <w:r>
        <w:rPr>
          <w:color w:val="231F20"/>
        </w:rPr>
        <w:t>Mapping,</w:t>
      </w:r>
      <w:r>
        <w:rPr>
          <w:color w:val="231F20"/>
          <w:spacing w:val="30"/>
        </w:rPr>
        <w:t> </w:t>
      </w:r>
      <w:r>
        <w:rPr>
          <w:color w:val="231F20"/>
        </w:rPr>
        <w:t>and</w:t>
      </w:r>
      <w:r>
        <w:rPr>
          <w:color w:val="231F20"/>
          <w:spacing w:val="30"/>
        </w:rPr>
        <w:t> </w:t>
      </w:r>
      <w:r>
        <w:rPr>
          <w:color w:val="231F20"/>
        </w:rPr>
        <w:t>Layout.</w:t>
      </w:r>
      <w:r>
        <w:rPr>
          <w:color w:val="231F20"/>
          <w:spacing w:val="30"/>
        </w:rPr>
        <w:t> </w:t>
      </w:r>
      <w:r>
        <w:rPr>
          <w:color w:val="231F20"/>
        </w:rPr>
        <w:t>The</w:t>
      </w:r>
      <w:r>
        <w:rPr>
          <w:color w:val="231F20"/>
          <w:spacing w:val="30"/>
        </w:rPr>
        <w:t> </w:t>
      </w:r>
      <w:r>
        <w:rPr>
          <w:color w:val="231F20"/>
        </w:rPr>
        <w:t>topology</w:t>
      </w:r>
      <w:r>
        <w:rPr>
          <w:color w:val="231F20"/>
          <w:spacing w:val="30"/>
        </w:rPr>
        <w:t> </w:t>
      </w:r>
      <w:r>
        <w:rPr>
          <w:color w:val="231F20"/>
        </w:rPr>
        <w:t>view</w:t>
      </w:r>
      <w:r>
        <w:rPr>
          <w:color w:val="231F20"/>
          <w:spacing w:val="30"/>
        </w:rPr>
        <w:t> </w:t>
      </w:r>
      <w:r>
        <w:rPr>
          <w:color w:val="231F20"/>
        </w:rPr>
        <w:t>for</w:t>
      </w:r>
      <w:r>
        <w:rPr>
          <w:color w:val="231F20"/>
          <w:spacing w:val="30"/>
        </w:rPr>
        <w:t> </w:t>
      </w:r>
      <w:r>
        <w:rPr>
          <w:color w:val="231F20"/>
        </w:rPr>
        <w:t>your</w:t>
      </w:r>
      <w:r>
        <w:rPr>
          <w:color w:val="231F20"/>
          <w:spacing w:val="30"/>
        </w:rPr>
        <w:t> </w:t>
      </w:r>
      <w:r>
        <w:rPr>
          <w:color w:val="231F20"/>
        </w:rPr>
        <w:t>product</w:t>
      </w:r>
      <w:r>
        <w:rPr>
          <w:color w:val="231F20"/>
          <w:spacing w:val="30"/>
        </w:rPr>
        <w:t> </w:t>
      </w:r>
      <w:r>
        <w:rPr>
          <w:color w:val="231F20"/>
        </w:rPr>
        <w:t>might have fewer options than these. For example, the Mapping and Layout options are not applicable to the TMS Infrastructure view, thus they are not included in the</w:t>
      </w:r>
      <w:r>
        <w:rPr>
          <w:color w:val="231F20"/>
          <w:spacing w:val="40"/>
        </w:rPr>
        <w:t> </w:t>
      </w:r>
      <w:r>
        <w:rPr>
          <w:color w:val="231F20"/>
        </w:rPr>
        <w:t>Style properties for that view.</w:t>
      </w:r>
    </w:p>
    <w:p>
      <w:pPr>
        <w:pStyle w:val="Heading6"/>
        <w:spacing w:line="240" w:lineRule="auto" w:before="207"/>
        <w:ind w:left="2252"/>
      </w:pPr>
      <w:r>
        <w:rPr>
          <w:b w:val="0"/>
        </w:rPr>
        <w:drawing>
          <wp:inline distT="0" distB="0" distL="0" distR="0">
            <wp:extent cx="184150" cy="171449"/>
            <wp:effectExtent l="0" t="0" r="0" b="0"/>
            <wp:docPr id="1347" name="Image 1347"/>
            <wp:cNvGraphicFramePr>
              <a:graphicFrameLocks/>
            </wp:cNvGraphicFramePr>
            <a:graphic>
              <a:graphicData uri="http://schemas.openxmlformats.org/drawingml/2006/picture">
                <pic:pic>
                  <pic:nvPicPr>
                    <pic:cNvPr id="1347" name="Image 1347"/>
                    <pic:cNvPicPr/>
                  </pic:nvPicPr>
                  <pic:blipFill>
                    <a:blip r:embed="rId251" cstate="print"/>
                    <a:stretch>
                      <a:fillRect/>
                    </a:stretch>
                  </pic:blipFill>
                  <pic:spPr>
                    <a:xfrm>
                      <a:off x="0" y="0"/>
                      <a:ext cx="184150" cy="171449"/>
                    </a:xfrm>
                    <a:prstGeom prst="rect">
                      <a:avLst/>
                    </a:prstGeom>
                  </pic:spPr>
                </pic:pic>
              </a:graphicData>
            </a:graphic>
          </wp:inline>
        </w:drawing>
      </w:r>
      <w:r>
        <w:rPr>
          <w:b w:val="0"/>
        </w:rPr>
      </w:r>
      <w:r>
        <w:rPr>
          <w:rFonts w:ascii="Times New Roman"/>
          <w:b w:val="0"/>
          <w:position w:val="1"/>
        </w:rPr>
        <w:t> </w:t>
      </w:r>
      <w:r>
        <w:rPr>
          <w:color w:val="231F20"/>
          <w:position w:val="1"/>
        </w:rPr>
        <w:t>General</w:t>
      </w:r>
    </w:p>
    <w:p>
      <w:pPr>
        <w:pStyle w:val="BodyText"/>
        <w:tabs>
          <w:tab w:pos="3669" w:val="left" w:leader="none"/>
        </w:tabs>
        <w:spacing w:before="91"/>
        <w:ind w:left="2951"/>
      </w:pPr>
      <w:r>
        <w:rPr>
          <w:rFonts w:ascii="Book Antiqua"/>
          <w:b/>
          <w:color w:val="231F20"/>
          <w:spacing w:val="-2"/>
        </w:rPr>
        <w:t>Title</w:t>
      </w:r>
      <w:r>
        <w:rPr>
          <w:rFonts w:ascii="Book Antiqua"/>
          <w:b/>
          <w:color w:val="231F20"/>
        </w:rPr>
        <w:tab/>
      </w:r>
      <w:r>
        <w:rPr>
          <w:color w:val="231F20"/>
        </w:rPr>
        <w:t>The</w:t>
      </w:r>
      <w:r>
        <w:rPr>
          <w:color w:val="231F20"/>
          <w:spacing w:val="11"/>
        </w:rPr>
        <w:t> </w:t>
      </w:r>
      <w:r>
        <w:rPr>
          <w:color w:val="231F20"/>
        </w:rPr>
        <w:t>text</w:t>
      </w:r>
      <w:r>
        <w:rPr>
          <w:color w:val="231F20"/>
          <w:spacing w:val="11"/>
        </w:rPr>
        <w:t> </w:t>
      </w:r>
      <w:r>
        <w:rPr>
          <w:color w:val="231F20"/>
        </w:rPr>
        <w:t>entered</w:t>
      </w:r>
      <w:r>
        <w:rPr>
          <w:color w:val="231F20"/>
          <w:spacing w:val="11"/>
        </w:rPr>
        <w:t> </w:t>
      </w:r>
      <w:r>
        <w:rPr>
          <w:color w:val="231F20"/>
        </w:rPr>
        <w:t>here</w:t>
      </w:r>
      <w:r>
        <w:rPr>
          <w:color w:val="231F20"/>
          <w:spacing w:val="11"/>
        </w:rPr>
        <w:t> </w:t>
      </w:r>
      <w:r>
        <w:rPr>
          <w:color w:val="231F20"/>
        </w:rPr>
        <w:t>is</w:t>
      </w:r>
      <w:r>
        <w:rPr>
          <w:color w:val="231F20"/>
          <w:spacing w:val="11"/>
        </w:rPr>
        <w:t> </w:t>
      </w:r>
      <w:r>
        <w:rPr>
          <w:color w:val="231F20"/>
        </w:rPr>
        <w:t>displayed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view's</w:t>
      </w:r>
      <w:r>
        <w:rPr>
          <w:color w:val="231F20"/>
          <w:spacing w:val="11"/>
        </w:rPr>
        <w:t> </w:t>
      </w:r>
      <w:r>
        <w:rPr>
          <w:color w:val="231F20"/>
        </w:rPr>
        <w:t>title</w:t>
      </w:r>
      <w:r>
        <w:rPr>
          <w:color w:val="231F20"/>
          <w:spacing w:val="12"/>
        </w:rPr>
        <w:t> </w:t>
      </w:r>
      <w:r>
        <w:rPr>
          <w:color w:val="231F20"/>
          <w:spacing w:val="-4"/>
        </w:rPr>
        <w:t>bar.</w:t>
      </w:r>
    </w:p>
    <w:p>
      <w:pPr>
        <w:pStyle w:val="Heading6"/>
        <w:spacing w:before="111"/>
        <w:ind w:left="2951"/>
      </w:pPr>
      <w:r>
        <w:rPr>
          <w:color w:val="231F20"/>
          <w:spacing w:val="-2"/>
        </w:rPr>
        <w:t>Scalability</w:t>
      </w:r>
    </w:p>
    <w:p>
      <w:pPr>
        <w:pStyle w:val="BodyText"/>
        <w:spacing w:line="213" w:lineRule="auto" w:before="12"/>
        <w:ind w:left="3669" w:right="636"/>
      </w:pPr>
      <w:r>
        <w:rPr>
          <w:color w:val="231F20"/>
        </w:rPr>
        <w:t>The topology view has an alternative table view display that </w:t>
      </w:r>
      <w:r>
        <w:rPr>
          <w:color w:val="231F20"/>
        </w:rPr>
        <w:t>can be selected from the view toolbar. You can also set a threshold number of objects that can be displayed in the topology before it switches automatically to a table.</w:t>
      </w:r>
    </w:p>
    <w:p>
      <w:pPr>
        <w:pStyle w:val="Heading6"/>
        <w:spacing w:before="116"/>
        <w:ind w:left="2951"/>
      </w:pPr>
      <w:r>
        <w:rPr>
          <w:color w:val="231F20"/>
          <w:spacing w:val="-2"/>
        </w:rPr>
        <w:t>Depth</w:t>
      </w:r>
    </w:p>
    <w:p>
      <w:pPr>
        <w:pStyle w:val="BodyText"/>
        <w:spacing w:line="213" w:lineRule="auto" w:before="11"/>
        <w:ind w:left="3669" w:right="545"/>
      </w:pPr>
      <w:r>
        <w:rPr>
          <w:rFonts w:ascii="Book Antiqua"/>
          <w:b/>
          <w:color w:val="231F20"/>
        </w:rPr>
        <w:t>Root Node </w:t>
      </w:r>
      <w:r>
        <w:rPr>
          <w:color w:val="231F20"/>
        </w:rPr>
        <w:t>enables you to identify a node to use as the root of </w:t>
      </w:r>
      <w:r>
        <w:rPr>
          <w:color w:val="231F20"/>
        </w:rPr>
        <w:t>the topology graph. When this field is empty, any node that does not have a connection TO it is treated as a root node. When a value is specified, the topology is displayed with the specified node at the beginning of the graph. Any objects that connect TO the specified node will not be displayed; only connections FROM the root node are visible. The value can be represented by a variable that is</w:t>
      </w:r>
    </w:p>
    <w:p>
      <w:pPr>
        <w:spacing w:after="0" w:line="213" w:lineRule="auto"/>
        <w:sectPr>
          <w:pgSz w:w="12240" w:h="15840"/>
          <w:pgMar w:header="0" w:footer="736" w:top="1180" w:bottom="920" w:left="1000" w:right="1060"/>
        </w:sectPr>
      </w:pPr>
    </w:p>
    <w:p>
      <w:pPr>
        <w:pStyle w:val="BodyText"/>
        <w:spacing w:line="213" w:lineRule="auto" w:before="85"/>
        <w:ind w:left="3909" w:right="379"/>
      </w:pPr>
      <w:r>
        <w:rPr>
          <w:color w:val="231F20"/>
        </w:rPr>
        <w:t>resolved through a workspace link. A variable is formed by enclosing the intended variable name in % percent symbols, </w:t>
      </w:r>
      <w:r>
        <w:rPr>
          <w:color w:val="231F20"/>
        </w:rPr>
        <w:t>such as %ROOT%.</w:t>
      </w:r>
    </w:p>
    <w:p>
      <w:pPr>
        <w:pStyle w:val="BodyText"/>
        <w:spacing w:line="213" w:lineRule="auto" w:before="117"/>
        <w:ind w:left="3909"/>
      </w:pPr>
      <w:r>
        <w:rPr>
          <w:rFonts w:ascii="Book Antiqua"/>
          <w:b/>
          <w:color w:val="231F20"/>
        </w:rPr>
        <w:t>Levels </w:t>
      </w:r>
      <w:r>
        <w:rPr>
          <w:color w:val="231F20"/>
        </w:rPr>
        <w:t>enables you to specify all levels of the topology graph or </w:t>
      </w:r>
      <w:r>
        <w:rPr>
          <w:color w:val="231F20"/>
        </w:rPr>
        <w:t>a specific number of levels, such as 1 to show only the root level.</w:t>
      </w:r>
    </w:p>
    <w:p>
      <w:pPr>
        <w:pStyle w:val="BodyText"/>
        <w:spacing w:line="213" w:lineRule="auto" w:before="119"/>
        <w:ind w:left="3909" w:right="258" w:hanging="719"/>
      </w:pPr>
      <w:r>
        <w:rPr>
          <w:rFonts w:ascii="Book Antiqua"/>
          <w:b/>
          <w:color w:val="231F20"/>
        </w:rPr>
        <w:t>Status</w:t>
      </w:r>
      <w:r>
        <w:rPr>
          <w:rFonts w:ascii="Book Antiqua"/>
          <w:b/>
          <w:color w:val="231F20"/>
          <w:spacing w:val="80"/>
        </w:rPr>
        <w:t> </w:t>
      </w:r>
      <w:r>
        <w:rPr>
          <w:color w:val="231F20"/>
        </w:rPr>
        <w:t>Select</w:t>
      </w:r>
      <w:r>
        <w:rPr>
          <w:color w:val="231F20"/>
          <w:spacing w:val="26"/>
        </w:rPr>
        <w:t> </w:t>
      </w:r>
      <w:r>
        <w:rPr>
          <w:color w:val="231F20"/>
        </w:rPr>
        <w:t>the</w:t>
      </w:r>
      <w:r>
        <w:rPr>
          <w:color w:val="231F20"/>
          <w:spacing w:val="26"/>
        </w:rPr>
        <w:t> </w:t>
      </w:r>
      <w:r>
        <w:rPr>
          <w:color w:val="231F20"/>
        </w:rPr>
        <w:t>check</w:t>
      </w:r>
      <w:r>
        <w:rPr>
          <w:color w:val="231F20"/>
          <w:spacing w:val="26"/>
        </w:rPr>
        <w:t> </w:t>
      </w:r>
      <w:r>
        <w:rPr>
          <w:color w:val="231F20"/>
        </w:rPr>
        <w:t>box</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have</w:t>
      </w:r>
      <w:r>
        <w:rPr>
          <w:color w:val="231F20"/>
          <w:spacing w:val="26"/>
        </w:rPr>
        <w:t> </w:t>
      </w:r>
      <w:r>
        <w:rPr>
          <w:color w:val="231F20"/>
        </w:rPr>
        <w:t>created</w:t>
      </w:r>
      <w:r>
        <w:rPr>
          <w:color w:val="231F20"/>
          <w:spacing w:val="26"/>
        </w:rPr>
        <w:t> </w:t>
      </w:r>
      <w:r>
        <w:rPr>
          <w:color w:val="231F20"/>
        </w:rPr>
        <w:t>thresholds</w:t>
      </w:r>
      <w:r>
        <w:rPr>
          <w:color w:val="231F20"/>
          <w:spacing w:val="26"/>
        </w:rPr>
        <w:t> </w:t>
      </w:r>
      <w:r>
        <w:rPr>
          <w:color w:val="231F20"/>
        </w:rPr>
        <w:t>for</w:t>
      </w:r>
      <w:r>
        <w:rPr>
          <w:color w:val="231F20"/>
          <w:spacing w:val="26"/>
        </w:rPr>
        <w:t> </w:t>
      </w:r>
      <w:r>
        <w:rPr>
          <w:color w:val="231F20"/>
        </w:rPr>
        <w:t>the</w:t>
      </w:r>
      <w:r>
        <w:rPr>
          <w:color w:val="231F20"/>
          <w:spacing w:val="26"/>
        </w:rPr>
        <w:t> </w:t>
      </w:r>
      <w:r>
        <w:rPr>
          <w:color w:val="231F20"/>
        </w:rPr>
        <w:t>view and would like the node label to be highlighted to match the </w:t>
      </w:r>
      <w:r>
        <w:rPr>
          <w:color w:val="231F20"/>
        </w:rPr>
        <w:t>color</w:t>
      </w:r>
      <w:r>
        <w:rPr>
          <w:color w:val="231F20"/>
          <w:spacing w:val="40"/>
        </w:rPr>
        <w:t> </w:t>
      </w:r>
      <w:r>
        <w:rPr>
          <w:color w:val="231F20"/>
        </w:rPr>
        <w:t>of the severity indicator.</w:t>
      </w:r>
    </w:p>
    <w:p>
      <w:pPr>
        <w:pStyle w:val="Heading6"/>
        <w:spacing w:line="336" w:lineRule="exact" w:before="169"/>
        <w:ind w:left="2482"/>
      </w:pPr>
      <w:r>
        <w:rPr>
          <w:b w:val="0"/>
          <w:position w:val="-1"/>
        </w:rPr>
        <w:drawing>
          <wp:inline distT="0" distB="0" distL="0" distR="0">
            <wp:extent cx="196850" cy="203200"/>
            <wp:effectExtent l="0" t="0" r="0" b="0"/>
            <wp:docPr id="1348" name="Image 1348"/>
            <wp:cNvGraphicFramePr>
              <a:graphicFrameLocks/>
            </wp:cNvGraphicFramePr>
            <a:graphic>
              <a:graphicData uri="http://schemas.openxmlformats.org/drawingml/2006/picture">
                <pic:pic>
                  <pic:nvPicPr>
                    <pic:cNvPr id="1348" name="Image 1348"/>
                    <pic:cNvPicPr/>
                  </pic:nvPicPr>
                  <pic:blipFill>
                    <a:blip r:embed="rId252" cstate="print"/>
                    <a:stretch>
                      <a:fillRect/>
                    </a:stretch>
                  </pic:blipFill>
                  <pic:spPr>
                    <a:xfrm>
                      <a:off x="0" y="0"/>
                      <a:ext cx="196850" cy="203200"/>
                    </a:xfrm>
                    <a:prstGeom prst="rect">
                      <a:avLst/>
                    </a:prstGeom>
                  </pic:spPr>
                </pic:pic>
              </a:graphicData>
            </a:graphic>
          </wp:inline>
        </w:drawing>
      </w:r>
      <w:r>
        <w:rPr>
          <w:b w:val="0"/>
          <w:position w:val="-1"/>
        </w:rPr>
      </w:r>
      <w:r>
        <w:rPr>
          <w:rFonts w:ascii="Times New Roman"/>
          <w:b w:val="0"/>
          <w:spacing w:val="40"/>
        </w:rPr>
        <w:t> </w:t>
      </w:r>
      <w:r>
        <w:rPr>
          <w:color w:val="231F20"/>
        </w:rPr>
        <w:t>Mapping</w:t>
      </w:r>
    </w:p>
    <w:p>
      <w:pPr>
        <w:pStyle w:val="BodyText"/>
        <w:spacing w:line="213" w:lineRule="auto" w:before="11"/>
        <w:ind w:left="3190" w:right="545"/>
      </w:pPr>
      <w:r>
        <w:rPr>
          <w:color w:val="231F20"/>
        </w:rPr>
        <w:t>This is where you identify the attribute to display as nodes and </w:t>
      </w:r>
      <w:r>
        <w:rPr>
          <w:color w:val="231F20"/>
        </w:rPr>
        <w:t>the attribute the nodes points to (or from).</w:t>
      </w:r>
    </w:p>
    <w:p>
      <w:pPr>
        <w:pStyle w:val="Heading6"/>
        <w:ind w:left="3190"/>
      </w:pPr>
      <w:r>
        <w:rPr>
          <w:color w:val="231F20"/>
          <w:spacing w:val="-2"/>
        </w:rPr>
        <w:t>Mapping</w:t>
      </w:r>
    </w:p>
    <w:p>
      <w:pPr>
        <w:spacing w:line="258" w:lineRule="exact" w:before="0"/>
        <w:ind w:left="3909" w:right="0" w:firstLine="0"/>
        <w:jc w:val="left"/>
        <w:rPr>
          <w:sz w:val="20"/>
        </w:rPr>
      </w:pPr>
      <w:r>
        <w:rPr>
          <w:rFonts w:ascii="Book Antiqua"/>
          <w:b/>
          <w:color w:val="231F20"/>
          <w:sz w:val="20"/>
        </w:rPr>
        <w:t>Node</w:t>
      </w:r>
      <w:r>
        <w:rPr>
          <w:rFonts w:ascii="Book Antiqua"/>
          <w:b/>
          <w:color w:val="231F20"/>
          <w:spacing w:val="11"/>
          <w:sz w:val="20"/>
        </w:rPr>
        <w:t> </w:t>
      </w:r>
      <w:r>
        <w:rPr>
          <w:rFonts w:ascii="Book Antiqua"/>
          <w:b/>
          <w:color w:val="231F20"/>
          <w:sz w:val="20"/>
        </w:rPr>
        <w:t>ID</w:t>
      </w:r>
      <w:r>
        <w:rPr>
          <w:rFonts w:ascii="Book Antiqua"/>
          <w:b/>
          <w:color w:val="231F20"/>
          <w:spacing w:val="11"/>
          <w:sz w:val="20"/>
        </w:rPr>
        <w:t> </w:t>
      </w:r>
      <w:r>
        <w:rPr>
          <w:rFonts w:ascii="Book Antiqua"/>
          <w:b/>
          <w:color w:val="231F20"/>
          <w:sz w:val="20"/>
        </w:rPr>
        <w:t>Column</w:t>
      </w:r>
      <w:r>
        <w:rPr>
          <w:rFonts w:ascii="Book Antiqua"/>
          <w:b/>
          <w:color w:val="231F20"/>
          <w:spacing w:val="11"/>
          <w:sz w:val="20"/>
        </w:rPr>
        <w:t> </w:t>
      </w:r>
      <w:r>
        <w:rPr>
          <w:color w:val="231F20"/>
          <w:sz w:val="20"/>
        </w:rPr>
        <w:t>is</w:t>
      </w:r>
      <w:r>
        <w:rPr>
          <w:color w:val="231F20"/>
          <w:spacing w:val="11"/>
          <w:sz w:val="20"/>
        </w:rPr>
        <w:t> </w:t>
      </w:r>
      <w:r>
        <w:rPr>
          <w:color w:val="231F20"/>
          <w:sz w:val="20"/>
        </w:rPr>
        <w:t>the</w:t>
      </w:r>
      <w:r>
        <w:rPr>
          <w:color w:val="231F20"/>
          <w:spacing w:val="11"/>
          <w:sz w:val="20"/>
        </w:rPr>
        <w:t> </w:t>
      </w:r>
      <w:r>
        <w:rPr>
          <w:color w:val="231F20"/>
          <w:sz w:val="20"/>
        </w:rPr>
        <w:t>attribute</w:t>
      </w:r>
      <w:r>
        <w:rPr>
          <w:color w:val="231F20"/>
          <w:spacing w:val="11"/>
          <w:sz w:val="20"/>
        </w:rPr>
        <w:t> </w:t>
      </w:r>
      <w:r>
        <w:rPr>
          <w:color w:val="231F20"/>
          <w:sz w:val="20"/>
        </w:rPr>
        <w:t>that</w:t>
      </w:r>
      <w:r>
        <w:rPr>
          <w:color w:val="231F20"/>
          <w:spacing w:val="11"/>
          <w:sz w:val="20"/>
        </w:rPr>
        <w:t> </w:t>
      </w:r>
      <w:r>
        <w:rPr>
          <w:color w:val="231F20"/>
          <w:sz w:val="20"/>
        </w:rPr>
        <w:t>identifies</w:t>
      </w:r>
      <w:r>
        <w:rPr>
          <w:color w:val="231F20"/>
          <w:spacing w:val="11"/>
          <w:sz w:val="20"/>
        </w:rPr>
        <w:t> </w:t>
      </w:r>
      <w:r>
        <w:rPr>
          <w:color w:val="231F20"/>
          <w:sz w:val="20"/>
        </w:rPr>
        <w:t>the</w:t>
      </w:r>
      <w:r>
        <w:rPr>
          <w:color w:val="231F20"/>
          <w:spacing w:val="11"/>
          <w:sz w:val="20"/>
        </w:rPr>
        <w:t> </w:t>
      </w:r>
      <w:r>
        <w:rPr>
          <w:color w:val="231F20"/>
          <w:sz w:val="20"/>
        </w:rPr>
        <w:t>topology</w:t>
      </w:r>
      <w:r>
        <w:rPr>
          <w:color w:val="231F20"/>
          <w:spacing w:val="11"/>
          <w:sz w:val="20"/>
        </w:rPr>
        <w:t> </w:t>
      </w:r>
      <w:r>
        <w:rPr>
          <w:color w:val="231F20"/>
          <w:spacing w:val="-2"/>
          <w:sz w:val="20"/>
        </w:rPr>
        <w:t>node.</w:t>
      </w:r>
    </w:p>
    <w:p>
      <w:pPr>
        <w:pStyle w:val="BodyText"/>
        <w:spacing w:line="213" w:lineRule="auto" w:before="113"/>
        <w:ind w:left="3909" w:right="545"/>
      </w:pPr>
      <w:r>
        <w:rPr>
          <w:rFonts w:ascii="Book Antiqua"/>
          <w:b/>
          <w:color w:val="231F20"/>
        </w:rPr>
        <w:t>Node Name Column </w:t>
      </w:r>
      <w:r>
        <w:rPr>
          <w:color w:val="231F20"/>
        </w:rPr>
        <w:t>is the attribute to use as the label for </w:t>
      </w:r>
      <w:r>
        <w:rPr>
          <w:color w:val="231F20"/>
        </w:rPr>
        <w:t>the topology object, usually the same attribute as the node ID.</w:t>
      </w:r>
    </w:p>
    <w:p>
      <w:pPr>
        <w:spacing w:line="213" w:lineRule="auto" w:before="118"/>
        <w:ind w:left="3909" w:right="258" w:firstLine="0"/>
        <w:jc w:val="left"/>
        <w:rPr>
          <w:sz w:val="20"/>
        </w:rPr>
      </w:pPr>
      <w:r>
        <w:rPr>
          <w:rFonts w:ascii="Book Antiqua"/>
          <w:b/>
          <w:color w:val="231F20"/>
          <w:sz w:val="20"/>
        </w:rPr>
        <w:t>To Connection Column</w:t>
      </w:r>
      <w:r>
        <w:rPr>
          <w:color w:val="231F20"/>
          <w:sz w:val="20"/>
        </w:rPr>
        <w:t>, when chosen, becomes the object that </w:t>
      </w:r>
      <w:r>
        <w:rPr>
          <w:color w:val="231F20"/>
          <w:sz w:val="20"/>
        </w:rPr>
        <w:t>the data nodes point to.</w:t>
      </w:r>
    </w:p>
    <w:p>
      <w:pPr>
        <w:spacing w:line="213" w:lineRule="auto" w:before="119"/>
        <w:ind w:left="3909" w:right="0" w:firstLine="0"/>
        <w:jc w:val="left"/>
        <w:rPr>
          <w:sz w:val="20"/>
        </w:rPr>
      </w:pPr>
      <w:r>
        <w:rPr>
          <w:rFonts w:ascii="Book Antiqua"/>
          <w:b/>
          <w:color w:val="231F20"/>
          <w:sz w:val="20"/>
        </w:rPr>
        <w:t>From Connection Column</w:t>
      </w:r>
      <w:r>
        <w:rPr>
          <w:color w:val="231F20"/>
          <w:sz w:val="20"/>
        </w:rPr>
        <w:t>, when chosen, becomes the object </w:t>
      </w:r>
      <w:r>
        <w:rPr>
          <w:color w:val="231F20"/>
          <w:sz w:val="20"/>
        </w:rPr>
        <w:t>that points to the data nodes.</w:t>
      </w:r>
    </w:p>
    <w:p>
      <w:pPr>
        <w:pStyle w:val="BodyText"/>
        <w:spacing w:line="211" w:lineRule="auto" w:before="125"/>
        <w:ind w:left="3909" w:hanging="1"/>
      </w:pPr>
      <w:r>
        <w:rPr/>
        <w:drawing>
          <wp:inline distT="0" distB="0" distL="0" distR="0">
            <wp:extent cx="82550" cy="82550"/>
            <wp:effectExtent l="0" t="0" r="0" b="0"/>
            <wp:docPr id="1349" name="Image 1349"/>
            <wp:cNvGraphicFramePr>
              <a:graphicFrameLocks/>
            </wp:cNvGraphicFramePr>
            <a:graphic>
              <a:graphicData uri="http://schemas.openxmlformats.org/drawingml/2006/picture">
                <pic:pic>
                  <pic:nvPicPr>
                    <pic:cNvPr id="1349" name="Image 134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Create implied nodes</w:t>
      </w:r>
      <w:r>
        <w:rPr>
          <w:color w:val="231F20"/>
        </w:rPr>
        <w:t>, when selected, creates an object for an otherwise undefined connection in the topology. For some types </w:t>
      </w:r>
      <w:r>
        <w:rPr>
          <w:color w:val="231F20"/>
        </w:rPr>
        <w:t>of data, this item effectively unifies the topology.</w:t>
      </w:r>
    </w:p>
    <w:p>
      <w:pPr>
        <w:pStyle w:val="BodyText"/>
        <w:tabs>
          <w:tab w:pos="3909" w:val="left" w:leader="none"/>
        </w:tabs>
        <w:spacing w:line="213" w:lineRule="auto" w:before="119"/>
        <w:ind w:left="3909" w:right="258" w:hanging="719"/>
      </w:pPr>
      <w:r>
        <w:rPr/>
        <w:drawing>
          <wp:anchor distT="0" distB="0" distL="0" distR="0" allowOverlap="1" layoutInCell="1" locked="0" behindDoc="0" simplePos="0" relativeHeight="15825408">
            <wp:simplePos x="0" y="0"/>
            <wp:positionH relativeFrom="page">
              <wp:posOffset>6836976</wp:posOffset>
            </wp:positionH>
            <wp:positionV relativeFrom="paragraph">
              <wp:posOffset>114953</wp:posOffset>
            </wp:positionV>
            <wp:extent cx="88900" cy="82550"/>
            <wp:effectExtent l="0" t="0" r="0" b="0"/>
            <wp:wrapNone/>
            <wp:docPr id="1350" name="Image 1350"/>
            <wp:cNvGraphicFramePr>
              <a:graphicFrameLocks/>
            </wp:cNvGraphicFramePr>
            <a:graphic>
              <a:graphicData uri="http://schemas.openxmlformats.org/drawingml/2006/picture">
                <pic:pic>
                  <pic:nvPicPr>
                    <pic:cNvPr id="1350" name="Image 1350"/>
                    <pic:cNvPicPr/>
                  </pic:nvPicPr>
                  <pic:blipFill>
                    <a:blip r:embed="rId140" cstate="print"/>
                    <a:stretch>
                      <a:fillRect/>
                    </a:stretch>
                  </pic:blipFill>
                  <pic:spPr>
                    <a:xfrm>
                      <a:off x="0" y="0"/>
                      <a:ext cx="88900" cy="82550"/>
                    </a:xfrm>
                    <a:prstGeom prst="rect">
                      <a:avLst/>
                    </a:prstGeom>
                  </pic:spPr>
                </pic:pic>
              </a:graphicData>
            </a:graphic>
          </wp:anchor>
        </w:drawing>
      </w:r>
      <w:r>
        <w:rPr>
          <w:rFonts w:ascii="Book Antiqua"/>
          <w:b/>
          <w:color w:val="231F20"/>
          <w:spacing w:val="-4"/>
        </w:rPr>
        <w:t>Type</w:t>
      </w:r>
      <w:r>
        <w:rPr>
          <w:rFonts w:ascii="Book Antiqua"/>
          <w:b/>
          <w:color w:val="231F20"/>
        </w:rPr>
        <w:tab/>
        <w:t>Node Type </w:t>
      </w:r>
      <w:r>
        <w:rPr>
          <w:color w:val="231F20"/>
        </w:rPr>
        <w:t>is used to define the object type for a topology node: </w:t>
      </w:r>
      <w:r>
        <w:rPr>
          <w:rFonts w:ascii="Book Antiqua"/>
          <w:b/>
          <w:color w:val="231F20"/>
        </w:rPr>
        <w:t>Default (kfw.TopoNode) </w:t>
      </w:r>
      <w:r>
        <w:rPr>
          <w:color w:val="231F20"/>
        </w:rPr>
        <w:t>type for all topology nodes, </w:t>
      </w:r>
      <w:r>
        <w:rPr>
          <w:color w:val="231F20"/>
          <w:spacing w:val="15"/>
        </w:rPr>
        <w:drawing>
          <wp:inline distT="0" distB="0" distL="0" distR="0">
            <wp:extent cx="88900" cy="82550"/>
            <wp:effectExtent l="0" t="0" r="0" b="0"/>
            <wp:docPr id="1351" name="Image 1351"/>
            <wp:cNvGraphicFramePr>
              <a:graphicFrameLocks/>
            </wp:cNvGraphicFramePr>
            <a:graphic>
              <a:graphicData uri="http://schemas.openxmlformats.org/drawingml/2006/picture">
                <pic:pic>
                  <pic:nvPicPr>
                    <pic:cNvPr id="1351" name="Image 1351"/>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39"/>
        </w:rPr>
        <w:t> </w:t>
      </w:r>
      <w:r>
        <w:rPr>
          <w:rFonts w:ascii="Book Antiqua"/>
          <w:b/>
          <w:color w:val="231F20"/>
        </w:rPr>
        <w:t>Row type (&lt;table&gt;)</w:t>
      </w:r>
      <w:r>
        <w:rPr>
          <w:rFonts w:ascii="Book Antiqua"/>
          <w:b/>
          <w:color w:val="231F20"/>
          <w:spacing w:val="29"/>
        </w:rPr>
        <w:t> </w:t>
      </w:r>
      <w:r>
        <w:rPr>
          <w:color w:val="231F20"/>
        </w:rPr>
        <w:t>for</w:t>
      </w:r>
      <w:r>
        <w:rPr>
          <w:color w:val="231F20"/>
          <w:spacing w:val="29"/>
        </w:rPr>
        <w:t> </w:t>
      </w:r>
      <w:r>
        <w:rPr>
          <w:color w:val="231F20"/>
        </w:rPr>
        <w:t>the</w:t>
      </w:r>
      <w:r>
        <w:rPr>
          <w:color w:val="231F20"/>
          <w:spacing w:val="29"/>
        </w:rPr>
        <w:t> </w:t>
      </w:r>
      <w:r>
        <w:rPr>
          <w:color w:val="231F20"/>
        </w:rPr>
        <w:t>associated</w:t>
      </w:r>
      <w:r>
        <w:rPr>
          <w:color w:val="231F20"/>
          <w:spacing w:val="29"/>
        </w:rPr>
        <w:t> </w:t>
      </w:r>
      <w:r>
        <w:rPr>
          <w:color w:val="231F20"/>
        </w:rPr>
        <w:t>table</w:t>
      </w:r>
      <w:r>
        <w:rPr>
          <w:color w:val="231F20"/>
          <w:spacing w:val="29"/>
        </w:rPr>
        <w:t> </w:t>
      </w:r>
      <w:r>
        <w:rPr>
          <w:color w:val="231F20"/>
        </w:rPr>
        <w:t>row</w:t>
      </w:r>
      <w:r>
        <w:rPr>
          <w:color w:val="231F20"/>
          <w:spacing w:val="29"/>
        </w:rPr>
        <w:t> </w:t>
      </w:r>
      <w:r>
        <w:rPr>
          <w:color w:val="231F20"/>
        </w:rPr>
        <w:t>(value</w:t>
      </w:r>
      <w:r>
        <w:rPr>
          <w:color w:val="231F20"/>
          <w:spacing w:val="29"/>
        </w:rPr>
        <w:t> </w:t>
      </w:r>
      <w:r>
        <w:rPr>
          <w:color w:val="231F20"/>
        </w:rPr>
        <w:t>is</w:t>
      </w:r>
      <w:r>
        <w:rPr>
          <w:color w:val="231F20"/>
          <w:spacing w:val="29"/>
        </w:rPr>
        <w:t> </w:t>
      </w:r>
      <w:r>
        <w:rPr>
          <w:color w:val="231F20"/>
        </w:rPr>
        <w:t>is</w:t>
      </w:r>
      <w:r>
        <w:rPr>
          <w:color w:val="231F20"/>
          <w:spacing w:val="29"/>
        </w:rPr>
        <w:t> </w:t>
      </w:r>
      <w:r>
        <w:rPr>
          <w:color w:val="231F20"/>
        </w:rPr>
        <w:t>retrieved</w:t>
      </w:r>
      <w:r>
        <w:rPr>
          <w:color w:val="231F20"/>
          <w:spacing w:val="29"/>
        </w:rPr>
        <w:t> </w:t>
      </w:r>
      <w:r>
        <w:rPr>
          <w:color w:val="231F20"/>
        </w:rPr>
        <w:t>from the table definition and enclosed in parentheses), or </w:t>
      </w:r>
      <w:r>
        <w:rPr>
          <w:color w:val="231F20"/>
          <w:spacing w:val="15"/>
        </w:rPr>
        <w:drawing>
          <wp:inline distT="0" distB="0" distL="0" distR="0">
            <wp:extent cx="88900" cy="82550"/>
            <wp:effectExtent l="0" t="0" r="0" b="0"/>
            <wp:docPr id="1352" name="Image 1352"/>
            <wp:cNvGraphicFramePr>
              <a:graphicFrameLocks/>
            </wp:cNvGraphicFramePr>
            <a:graphic>
              <a:graphicData uri="http://schemas.openxmlformats.org/drawingml/2006/picture">
                <pic:pic>
                  <pic:nvPicPr>
                    <pic:cNvPr id="1352" name="Image 1352"/>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Column </w:t>
      </w:r>
      <w:r>
        <w:rPr>
          <w:color w:val="231F20"/>
        </w:rPr>
        <w:t>to define the object type, which allows you to select a different attribute for each topology object.</w:t>
      </w:r>
    </w:p>
    <w:p>
      <w:pPr>
        <w:spacing w:line="213" w:lineRule="auto" w:before="116"/>
        <w:ind w:left="3909" w:right="258" w:firstLine="0"/>
        <w:jc w:val="left"/>
        <w:rPr>
          <w:sz w:val="20"/>
        </w:rPr>
      </w:pPr>
      <w:r>
        <w:rPr>
          <w:rFonts w:ascii="Book Antiqua"/>
          <w:b/>
          <w:color w:val="231F20"/>
          <w:sz w:val="20"/>
        </w:rPr>
        <w:t>To Connection Type </w:t>
      </w:r>
      <w:r>
        <w:rPr>
          <w:color w:val="231F20"/>
          <w:sz w:val="20"/>
        </w:rPr>
        <w:t>is used to define the object type for the connection to another topology node: </w:t>
      </w:r>
      <w:r>
        <w:rPr>
          <w:color w:val="231F20"/>
          <w:spacing w:val="15"/>
          <w:sz w:val="20"/>
        </w:rPr>
        <w:drawing>
          <wp:inline distT="0" distB="0" distL="0" distR="0">
            <wp:extent cx="88900" cy="82550"/>
            <wp:effectExtent l="0" t="0" r="0" b="0"/>
            <wp:docPr id="1353" name="Image 1353"/>
            <wp:cNvGraphicFramePr>
              <a:graphicFrameLocks/>
            </wp:cNvGraphicFramePr>
            <a:graphic>
              <a:graphicData uri="http://schemas.openxmlformats.org/drawingml/2006/picture">
                <pic:pic>
                  <pic:nvPicPr>
                    <pic:cNvPr id="1353" name="Image 1353"/>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Default (kfw.TopoConnection) </w:t>
      </w:r>
      <w:r>
        <w:rPr>
          <w:color w:val="231F20"/>
          <w:sz w:val="20"/>
        </w:rPr>
        <w:t>for all </w:t>
      </w:r>
      <w:r>
        <w:rPr>
          <w:rFonts w:ascii="Book Antiqua"/>
          <w:i/>
          <w:color w:val="231F20"/>
          <w:sz w:val="20"/>
        </w:rPr>
        <w:t>to </w:t>
      </w:r>
      <w:r>
        <w:rPr>
          <w:color w:val="231F20"/>
          <w:sz w:val="20"/>
        </w:rPr>
        <w:t>connections, or </w:t>
      </w:r>
      <w:r>
        <w:rPr>
          <w:color w:val="231F20"/>
          <w:spacing w:val="15"/>
          <w:sz w:val="20"/>
        </w:rPr>
        <w:drawing>
          <wp:inline distT="0" distB="0" distL="0" distR="0">
            <wp:extent cx="88900" cy="82550"/>
            <wp:effectExtent l="0" t="0" r="0" b="0"/>
            <wp:docPr id="1354" name="Image 1354"/>
            <wp:cNvGraphicFramePr>
              <a:graphicFrameLocks/>
            </wp:cNvGraphicFramePr>
            <a:graphic>
              <a:graphicData uri="http://schemas.openxmlformats.org/drawingml/2006/picture">
                <pic:pic>
                  <pic:nvPicPr>
                    <pic:cNvPr id="1354" name="Image 1354"/>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Column </w:t>
      </w:r>
      <w:r>
        <w:rPr>
          <w:color w:val="231F20"/>
          <w:sz w:val="20"/>
        </w:rPr>
        <w:t>to</w:t>
      </w:r>
      <w:r>
        <w:rPr>
          <w:color w:val="231F20"/>
          <w:spacing w:val="40"/>
          <w:sz w:val="20"/>
        </w:rPr>
        <w:t> </w:t>
      </w:r>
      <w:r>
        <w:rPr>
          <w:color w:val="231F20"/>
          <w:sz w:val="20"/>
        </w:rPr>
        <w:t>define the object type, which allows the attribute to be different </w:t>
      </w:r>
      <w:r>
        <w:rPr>
          <w:color w:val="231F20"/>
          <w:sz w:val="20"/>
        </w:rPr>
        <w:t>for each </w:t>
      </w:r>
      <w:r>
        <w:rPr>
          <w:rFonts w:ascii="Book Antiqua"/>
          <w:i/>
          <w:color w:val="231F20"/>
          <w:sz w:val="20"/>
        </w:rPr>
        <w:t>to </w:t>
      </w:r>
      <w:r>
        <w:rPr>
          <w:color w:val="231F20"/>
          <w:sz w:val="20"/>
        </w:rPr>
        <w:t>connection.</w:t>
      </w:r>
    </w:p>
    <w:p>
      <w:pPr>
        <w:spacing w:line="213" w:lineRule="auto" w:before="116"/>
        <w:ind w:left="3909" w:right="258" w:firstLine="0"/>
        <w:jc w:val="left"/>
        <w:rPr>
          <w:sz w:val="20"/>
        </w:rPr>
      </w:pPr>
      <w:r>
        <w:rPr>
          <w:rFonts w:ascii="Book Antiqua"/>
          <w:b/>
          <w:color w:val="231F20"/>
          <w:sz w:val="20"/>
        </w:rPr>
        <w:t>From Connection Type </w:t>
      </w:r>
      <w:r>
        <w:rPr>
          <w:color w:val="231F20"/>
          <w:sz w:val="20"/>
        </w:rPr>
        <w:t>is used to define the object type for the connection from another topology node: </w:t>
      </w:r>
      <w:r>
        <w:rPr>
          <w:color w:val="231F20"/>
          <w:spacing w:val="15"/>
          <w:sz w:val="20"/>
        </w:rPr>
        <w:drawing>
          <wp:inline distT="0" distB="0" distL="0" distR="0">
            <wp:extent cx="88900" cy="82550"/>
            <wp:effectExtent l="0" t="0" r="0" b="0"/>
            <wp:docPr id="1355" name="Image 1355"/>
            <wp:cNvGraphicFramePr>
              <a:graphicFrameLocks/>
            </wp:cNvGraphicFramePr>
            <a:graphic>
              <a:graphicData uri="http://schemas.openxmlformats.org/drawingml/2006/picture">
                <pic:pic>
                  <pic:nvPicPr>
                    <pic:cNvPr id="1355" name="Image 135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Default (kfw.TopoConnection) </w:t>
      </w:r>
      <w:r>
        <w:rPr>
          <w:color w:val="231F20"/>
          <w:sz w:val="20"/>
        </w:rPr>
        <w:t>for all </w:t>
      </w:r>
      <w:r>
        <w:rPr>
          <w:rFonts w:ascii="Book Antiqua"/>
          <w:i/>
          <w:color w:val="231F20"/>
          <w:sz w:val="20"/>
        </w:rPr>
        <w:t>from </w:t>
      </w:r>
      <w:r>
        <w:rPr>
          <w:color w:val="231F20"/>
          <w:sz w:val="20"/>
        </w:rPr>
        <w:t>connections, or </w:t>
      </w:r>
      <w:r>
        <w:rPr>
          <w:color w:val="231F20"/>
          <w:spacing w:val="15"/>
          <w:sz w:val="20"/>
        </w:rPr>
        <w:drawing>
          <wp:inline distT="0" distB="0" distL="0" distR="0">
            <wp:extent cx="88900" cy="82550"/>
            <wp:effectExtent l="0" t="0" r="0" b="0"/>
            <wp:docPr id="1356" name="Image 1356"/>
            <wp:cNvGraphicFramePr>
              <a:graphicFrameLocks/>
            </wp:cNvGraphicFramePr>
            <a:graphic>
              <a:graphicData uri="http://schemas.openxmlformats.org/drawingml/2006/picture">
                <pic:pic>
                  <pic:nvPicPr>
                    <pic:cNvPr id="1356" name="Image 1356"/>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Column </w:t>
      </w:r>
      <w:r>
        <w:rPr>
          <w:color w:val="231F20"/>
          <w:sz w:val="20"/>
        </w:rPr>
        <w:t>to define the object type, which allows the attribute to be different </w:t>
      </w:r>
      <w:r>
        <w:rPr>
          <w:color w:val="231F20"/>
          <w:sz w:val="20"/>
        </w:rPr>
        <w:t>for each </w:t>
      </w:r>
      <w:r>
        <w:rPr>
          <w:rFonts w:ascii="Book Antiqua"/>
          <w:i/>
          <w:color w:val="231F20"/>
          <w:sz w:val="20"/>
        </w:rPr>
        <w:t>from </w:t>
      </w:r>
      <w:r>
        <w:rPr>
          <w:color w:val="231F20"/>
          <w:sz w:val="20"/>
        </w:rPr>
        <w:t>connection.</w:t>
      </w:r>
    </w:p>
    <w:p>
      <w:pPr>
        <w:pStyle w:val="Heading6"/>
        <w:spacing w:line="232" w:lineRule="exact" w:before="115"/>
        <w:ind w:left="3190"/>
      </w:pPr>
      <w:r>
        <w:rPr>
          <w:color w:val="231F20"/>
          <w:spacing w:val="-2"/>
        </w:rPr>
        <w:t>Connection</w:t>
      </w:r>
    </w:p>
    <w:p>
      <w:pPr>
        <w:spacing w:line="208" w:lineRule="auto" w:before="18"/>
        <w:ind w:left="3909" w:right="385" w:firstLine="0"/>
        <w:jc w:val="left"/>
        <w:rPr>
          <w:sz w:val="20"/>
        </w:rPr>
      </w:pPr>
      <w:r>
        <w:rPr/>
        <w:drawing>
          <wp:inline distT="0" distB="0" distL="0" distR="0">
            <wp:extent cx="82550" cy="82550"/>
            <wp:effectExtent l="0" t="0" r="0" b="0"/>
            <wp:docPr id="1357" name="Image 1357"/>
            <wp:cNvGraphicFramePr>
              <a:graphicFrameLocks/>
            </wp:cNvGraphicFramePr>
            <a:graphic>
              <a:graphicData uri="http://schemas.openxmlformats.org/drawingml/2006/picture">
                <pic:pic>
                  <pic:nvPicPr>
                    <pic:cNvPr id="1357" name="Image 1357"/>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Show connection arrow</w:t>
      </w:r>
      <w:r>
        <w:rPr>
          <w:color w:val="231F20"/>
          <w:sz w:val="20"/>
        </w:rPr>
        <w:t>, when enabled, displays an </w:t>
      </w:r>
      <w:r>
        <w:rPr>
          <w:color w:val="231F20"/>
          <w:sz w:val="20"/>
        </w:rPr>
        <w:t>arrowhead at the end of a connector.</w:t>
      </w:r>
    </w:p>
    <w:p>
      <w:pPr>
        <w:pStyle w:val="Heading6"/>
        <w:spacing w:line="319" w:lineRule="exact" w:before="192"/>
        <w:ind w:left="2492"/>
      </w:pPr>
      <w:r>
        <w:rPr>
          <w:b w:val="0"/>
        </w:rPr>
        <w:drawing>
          <wp:inline distT="0" distB="0" distL="0" distR="0">
            <wp:extent cx="177800" cy="177800"/>
            <wp:effectExtent l="0" t="0" r="0" b="0"/>
            <wp:docPr id="1358" name="Image 1358"/>
            <wp:cNvGraphicFramePr>
              <a:graphicFrameLocks/>
            </wp:cNvGraphicFramePr>
            <a:graphic>
              <a:graphicData uri="http://schemas.openxmlformats.org/drawingml/2006/picture">
                <pic:pic>
                  <pic:nvPicPr>
                    <pic:cNvPr id="1358" name="Image 1358"/>
                    <pic:cNvPicPr/>
                  </pic:nvPicPr>
                  <pic:blipFill>
                    <a:blip r:embed="rId253" cstate="print"/>
                    <a:stretch>
                      <a:fillRect/>
                    </a:stretch>
                  </pic:blipFill>
                  <pic:spPr>
                    <a:xfrm>
                      <a:off x="0" y="0"/>
                      <a:ext cx="177800" cy="177800"/>
                    </a:xfrm>
                    <a:prstGeom prst="rect">
                      <a:avLst/>
                    </a:prstGeom>
                  </pic:spPr>
                </pic:pic>
              </a:graphicData>
            </a:graphic>
          </wp:inline>
        </w:drawing>
      </w:r>
      <w:r>
        <w:rPr>
          <w:b w:val="0"/>
        </w:rPr>
      </w:r>
      <w:r>
        <w:rPr>
          <w:rFonts w:ascii="Times New Roman"/>
          <w:b w:val="0"/>
          <w:spacing w:val="40"/>
        </w:rPr>
        <w:t> </w:t>
      </w:r>
      <w:r>
        <w:rPr>
          <w:color w:val="231F20"/>
        </w:rPr>
        <w:t>Layout</w:t>
      </w:r>
    </w:p>
    <w:p>
      <w:pPr>
        <w:pStyle w:val="BodyText"/>
        <w:spacing w:line="213" w:lineRule="auto" w:before="8"/>
        <w:ind w:left="3190" w:right="683"/>
        <w:jc w:val="both"/>
      </w:pPr>
      <w:r>
        <w:rPr>
          <w:color w:val="231F20"/>
        </w:rPr>
        <w:t>The standard topology layout is </w:t>
      </w:r>
      <w:r>
        <w:rPr>
          <w:rFonts w:ascii="Arial"/>
          <w:color w:val="231F20"/>
        </w:rPr>
        <w:t>Tree</w:t>
      </w:r>
      <w:r>
        <w:rPr>
          <w:color w:val="231F20"/>
        </w:rPr>
        <w:t>, or you can select one of </w:t>
      </w:r>
      <w:r>
        <w:rPr>
          <w:color w:val="231F20"/>
        </w:rPr>
        <w:t>several possible style structures.</w:t>
      </w:r>
    </w:p>
    <w:p>
      <w:pPr>
        <w:pStyle w:val="BodyText"/>
        <w:spacing w:line="213" w:lineRule="auto" w:before="59"/>
        <w:ind w:left="3406" w:right="565" w:hanging="216"/>
        <w:jc w:val="both"/>
      </w:pPr>
      <w:r>
        <w:rPr>
          <w:rFonts w:ascii="Futura MdCn BT"/>
          <w:color w:val="231F20"/>
        </w:rPr>
        <w:t>v</w:t>
      </w:r>
      <w:r>
        <w:rPr>
          <w:rFonts w:ascii="Futura MdCn BT"/>
          <w:color w:val="231F20"/>
          <w:spacing w:val="40"/>
        </w:rPr>
        <w:t> </w:t>
      </w:r>
      <w:r>
        <w:rPr>
          <w:color w:val="231F20"/>
        </w:rPr>
        <w:t>When the layout is set to </w:t>
      </w:r>
      <w:r>
        <w:rPr>
          <w:rFonts w:ascii="Book Antiqua"/>
          <w:b/>
          <w:color w:val="231F20"/>
        </w:rPr>
        <w:t>Tree</w:t>
      </w:r>
      <w:r>
        <w:rPr>
          <w:color w:val="231F20"/>
        </w:rPr>
        <w:t>, you can adjust the flow direction, the positioning between objects (Mode), and how the connector lines are </w:t>
      </w:r>
      <w:r>
        <w:rPr>
          <w:color w:val="231F20"/>
          <w:spacing w:val="-2"/>
        </w:rPr>
        <w:t>drawn.</w:t>
      </w:r>
    </w:p>
    <w:p>
      <w:pPr>
        <w:spacing w:after="0" w:line="213" w:lineRule="auto"/>
        <w:jc w:val="both"/>
        <w:sectPr>
          <w:pgSz w:w="12240" w:h="15840"/>
          <w:pgMar w:header="0" w:footer="736" w:top="1180" w:bottom="920" w:left="1000" w:right="1060"/>
        </w:sectPr>
      </w:pPr>
    </w:p>
    <w:p>
      <w:pPr>
        <w:pStyle w:val="BodyText"/>
        <w:spacing w:line="213" w:lineRule="auto" w:before="85"/>
        <w:ind w:left="3167" w:right="636" w:hanging="216"/>
      </w:pPr>
      <w:r>
        <w:rPr>
          <w:rFonts w:ascii="Futura MdCn BT"/>
          <w:color w:val="231F20"/>
        </w:rPr>
        <w:t>v</w:t>
      </w:r>
      <w:r>
        <w:rPr>
          <w:rFonts w:ascii="Futura MdCn BT"/>
          <w:color w:val="231F20"/>
          <w:spacing w:val="80"/>
        </w:rPr>
        <w:t> </w:t>
      </w:r>
      <w:r>
        <w:rPr>
          <w:color w:val="231F20"/>
        </w:rPr>
        <w:t>When the layout is </w:t>
      </w:r>
      <w:r>
        <w:rPr>
          <w:rFonts w:ascii="Book Antiqua"/>
          <w:b/>
          <w:color w:val="231F20"/>
        </w:rPr>
        <w:t>Hierarchical</w:t>
      </w:r>
      <w:r>
        <w:rPr>
          <w:color w:val="231F20"/>
        </w:rPr>
        <w:t>, you can change the flow </w:t>
      </w:r>
      <w:r>
        <w:rPr>
          <w:color w:val="231F20"/>
        </w:rPr>
        <w:t>direction</w:t>
      </w:r>
      <w:r>
        <w:rPr>
          <w:color w:val="231F20"/>
        </w:rPr>
        <w:t> starting from the root object and the link style between objects at different hierarchical levels.</w:t>
      </w:r>
    </w:p>
    <w:p>
      <w:pPr>
        <w:pStyle w:val="BodyText"/>
        <w:spacing w:line="213" w:lineRule="auto" w:before="57"/>
        <w:ind w:left="3167" w:right="636" w:hanging="216"/>
      </w:pPr>
      <w:r>
        <w:rPr>
          <w:rFonts w:ascii="Futura MdCn BT"/>
          <w:color w:val="231F20"/>
        </w:rPr>
        <w:t>v</w:t>
      </w:r>
      <w:r>
        <w:rPr>
          <w:rFonts w:ascii="Futura MdCn BT"/>
          <w:color w:val="231F20"/>
          <w:spacing w:val="80"/>
        </w:rPr>
        <w:t> </w:t>
      </w:r>
      <w:r>
        <w:rPr>
          <w:color w:val="231F20"/>
        </w:rPr>
        <w:t>When the layout is a </w:t>
      </w:r>
      <w:r>
        <w:rPr>
          <w:rFonts w:ascii="Book Antiqua"/>
          <w:b/>
          <w:color w:val="231F20"/>
        </w:rPr>
        <w:t>Grid</w:t>
      </w:r>
      <w:r>
        <w:rPr>
          <w:color w:val="231F20"/>
        </w:rPr>
        <w:t>, use the options to set the maximum </w:t>
      </w:r>
      <w:r>
        <w:rPr>
          <w:color w:val="231F20"/>
        </w:rPr>
        <w:t>number</w:t>
      </w:r>
      <w:r>
        <w:rPr>
          <w:color w:val="231F20"/>
          <w:spacing w:val="80"/>
        </w:rPr>
        <w:t> </w:t>
      </w:r>
      <w:r>
        <w:rPr>
          <w:color w:val="231F20"/>
        </w:rPr>
        <w:t>of objects to display in each topology row or column.</w:t>
      </w:r>
    </w:p>
    <w:p>
      <w:pPr>
        <w:spacing w:line="213" w:lineRule="auto" w:before="59"/>
        <w:ind w:left="3167" w:right="1104"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Uniform Length Links </w:t>
      </w:r>
      <w:r>
        <w:rPr>
          <w:color w:val="231F20"/>
          <w:sz w:val="20"/>
        </w:rPr>
        <w:t>to have all connector lines the </w:t>
      </w:r>
      <w:r>
        <w:rPr>
          <w:color w:val="231F20"/>
          <w:sz w:val="20"/>
        </w:rPr>
        <w:t>same</w:t>
      </w:r>
      <w:r>
        <w:rPr>
          <w:color w:val="231F20"/>
          <w:sz w:val="20"/>
        </w:rPr>
        <w:t> </w:t>
      </w:r>
      <w:r>
        <w:rPr>
          <w:color w:val="231F20"/>
          <w:spacing w:val="-2"/>
          <w:sz w:val="20"/>
        </w:rPr>
        <w:t>length.</w:t>
      </w:r>
    </w:p>
    <w:p>
      <w:pPr>
        <w:spacing w:before="35"/>
        <w:ind w:left="2951"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Select</w:t>
      </w:r>
      <w:r>
        <w:rPr>
          <w:color w:val="231F20"/>
          <w:spacing w:val="12"/>
          <w:sz w:val="20"/>
        </w:rPr>
        <w:t> </w:t>
      </w:r>
      <w:r>
        <w:rPr>
          <w:rFonts w:ascii="Book Antiqua"/>
          <w:b/>
          <w:color w:val="231F20"/>
          <w:sz w:val="20"/>
        </w:rPr>
        <w:t>Spring</w:t>
      </w:r>
      <w:r>
        <w:rPr>
          <w:rFonts w:ascii="Book Antiqua"/>
          <w:b/>
          <w:color w:val="231F20"/>
          <w:spacing w:val="12"/>
          <w:sz w:val="20"/>
        </w:rPr>
        <w:t> </w:t>
      </w:r>
      <w:r>
        <w:rPr>
          <w:rFonts w:ascii="Book Antiqua"/>
          <w:b/>
          <w:color w:val="231F20"/>
          <w:sz w:val="20"/>
        </w:rPr>
        <w:t>Embedder</w:t>
      </w:r>
      <w:r>
        <w:rPr>
          <w:rFonts w:ascii="Book Antiqua"/>
          <w:b/>
          <w:color w:val="231F20"/>
          <w:spacing w:val="12"/>
          <w:sz w:val="20"/>
        </w:rPr>
        <w:t> </w:t>
      </w:r>
      <w:r>
        <w:rPr>
          <w:color w:val="231F20"/>
          <w:sz w:val="20"/>
        </w:rPr>
        <w:t>to</w:t>
      </w:r>
      <w:r>
        <w:rPr>
          <w:color w:val="231F20"/>
          <w:spacing w:val="12"/>
          <w:sz w:val="20"/>
        </w:rPr>
        <w:t> </w:t>
      </w:r>
      <w:r>
        <w:rPr>
          <w:color w:val="231F20"/>
          <w:sz w:val="20"/>
        </w:rPr>
        <w:t>vary</w:t>
      </w:r>
      <w:r>
        <w:rPr>
          <w:color w:val="231F20"/>
          <w:spacing w:val="12"/>
          <w:sz w:val="20"/>
        </w:rPr>
        <w:t> </w:t>
      </w:r>
      <w:r>
        <w:rPr>
          <w:color w:val="231F20"/>
          <w:sz w:val="20"/>
        </w:rPr>
        <w:t>the</w:t>
      </w:r>
      <w:r>
        <w:rPr>
          <w:color w:val="231F20"/>
          <w:spacing w:val="12"/>
          <w:sz w:val="20"/>
        </w:rPr>
        <w:t> </w:t>
      </w:r>
      <w:r>
        <w:rPr>
          <w:color w:val="231F20"/>
          <w:sz w:val="20"/>
        </w:rPr>
        <w:t>connector</w:t>
      </w:r>
      <w:r>
        <w:rPr>
          <w:color w:val="231F20"/>
          <w:spacing w:val="12"/>
          <w:sz w:val="20"/>
        </w:rPr>
        <w:t> </w:t>
      </w:r>
      <w:r>
        <w:rPr>
          <w:color w:val="231F20"/>
          <w:sz w:val="20"/>
        </w:rPr>
        <w:t>line</w:t>
      </w:r>
      <w:r>
        <w:rPr>
          <w:color w:val="231F20"/>
          <w:spacing w:val="12"/>
          <w:sz w:val="20"/>
        </w:rPr>
        <w:t> </w:t>
      </w:r>
      <w:r>
        <w:rPr>
          <w:color w:val="231F20"/>
          <w:spacing w:val="-2"/>
          <w:sz w:val="20"/>
        </w:rPr>
        <w:t>lengths.</w:t>
      </w:r>
    </w:p>
    <w:p>
      <w:pPr>
        <w:pStyle w:val="Heading6"/>
        <w:spacing w:line="360" w:lineRule="atLeast" w:before="152"/>
        <w:ind w:left="2951" w:right="5533" w:hanging="699"/>
      </w:pPr>
      <w:r>
        <w:rPr>
          <w:b w:val="0"/>
          <w:position w:val="1"/>
        </w:rPr>
        <w:drawing>
          <wp:inline distT="0" distB="0" distL="0" distR="0">
            <wp:extent cx="184150" cy="158750"/>
            <wp:effectExtent l="0" t="0" r="0" b="0"/>
            <wp:docPr id="1359" name="Image 1359"/>
            <wp:cNvGraphicFramePr>
              <a:graphicFrameLocks/>
            </wp:cNvGraphicFramePr>
            <a:graphic>
              <a:graphicData uri="http://schemas.openxmlformats.org/drawingml/2006/picture">
                <pic:pic>
                  <pic:nvPicPr>
                    <pic:cNvPr id="1359" name="Image 1359"/>
                    <pic:cNvPicPr/>
                  </pic:nvPicPr>
                  <pic:blipFill>
                    <a:blip r:embed="rId262" cstate="print"/>
                    <a:stretch>
                      <a:fillRect/>
                    </a:stretch>
                  </pic:blipFill>
                  <pic:spPr>
                    <a:xfrm>
                      <a:off x="0" y="0"/>
                      <a:ext cx="184150" cy="158750"/>
                    </a:xfrm>
                    <a:prstGeom prst="rect">
                      <a:avLst/>
                    </a:prstGeom>
                  </pic:spPr>
                </pic:pic>
              </a:graphicData>
            </a:graphic>
          </wp:inline>
        </w:drawing>
      </w:r>
      <w:r>
        <w:rPr>
          <w:b w:val="0"/>
          <w:position w:val="1"/>
        </w:rPr>
      </w:r>
      <w:r>
        <w:rPr>
          <w:rFonts w:ascii="Times New Roman"/>
          <w:b w:val="0"/>
          <w:spacing w:val="39"/>
        </w:rPr>
        <w:t> </w:t>
      </w:r>
      <w:r>
        <w:rPr>
          <w:color w:val="231F20"/>
        </w:rPr>
        <w:t>View</w:t>
      </w:r>
      <w:r>
        <w:rPr>
          <w:color w:val="231F20"/>
          <w:spacing w:val="-3"/>
        </w:rPr>
        <w:t> </w:t>
      </w:r>
      <w:r>
        <w:rPr>
          <w:color w:val="231F20"/>
        </w:rPr>
        <w:t>as</w:t>
      </w:r>
      <w:r>
        <w:rPr>
          <w:color w:val="231F20"/>
          <w:spacing w:val="-3"/>
        </w:rPr>
        <w:t> </w:t>
      </w:r>
      <w:r>
        <w:rPr>
          <w:color w:val="231F20"/>
        </w:rPr>
        <w:t>Topology </w:t>
      </w:r>
      <w:r>
        <w:rPr>
          <w:color w:val="231F20"/>
          <w:spacing w:val="-2"/>
        </w:rPr>
        <w:t>General</w:t>
      </w:r>
    </w:p>
    <w:p>
      <w:pPr>
        <w:pStyle w:val="BodyText"/>
        <w:spacing w:line="211" w:lineRule="auto" w:before="6"/>
        <w:ind w:left="3669" w:right="545"/>
      </w:pPr>
      <w:r>
        <w:rPr/>
        <w:drawing>
          <wp:inline distT="0" distB="0" distL="0" distR="0">
            <wp:extent cx="82550" cy="82550"/>
            <wp:effectExtent l="0" t="0" r="0" b="0"/>
            <wp:docPr id="1360" name="Image 1360"/>
            <wp:cNvGraphicFramePr>
              <a:graphicFrameLocks/>
            </wp:cNvGraphicFramePr>
            <a:graphic>
              <a:graphicData uri="http://schemas.openxmlformats.org/drawingml/2006/picture">
                <pic:pic>
                  <pic:nvPicPr>
                    <pic:cNvPr id="1360" name="Image 136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Disable direct object manipulations</w:t>
      </w:r>
      <w:r>
        <w:rPr>
          <w:color w:val="231F20"/>
        </w:rPr>
        <w:t>, when selected, keep the objects in a fixed position that cannot be manipulated by the </w:t>
      </w:r>
      <w:r>
        <w:rPr>
          <w:color w:val="231F20"/>
        </w:rPr>
        <w:t>user. Normally you can move objects around the view, but the new position cannot be saved.</w:t>
      </w:r>
    </w:p>
    <w:p>
      <w:pPr>
        <w:pStyle w:val="BodyText"/>
        <w:spacing w:line="213" w:lineRule="auto" w:before="121"/>
        <w:ind w:left="3669" w:right="488"/>
      </w:pPr>
      <w:r>
        <w:rPr>
          <w:color w:val="231F20"/>
        </w:rPr>
        <w:t>The </w:t>
      </w:r>
      <w:r>
        <w:rPr>
          <w:rFonts w:ascii="Book Antiqua"/>
          <w:b/>
          <w:color w:val="231F20"/>
        </w:rPr>
        <w:t>Change Color </w:t>
      </w:r>
      <w:r>
        <w:rPr>
          <w:color w:val="231F20"/>
        </w:rPr>
        <w:t>button enables you to change the text (foreground) and highlight (background) color for a selected </w:t>
      </w:r>
      <w:r>
        <w:rPr>
          <w:color w:val="231F20"/>
        </w:rPr>
        <w:t>object.</w:t>
      </w:r>
    </w:p>
    <w:p>
      <w:pPr>
        <w:pStyle w:val="Heading6"/>
        <w:ind w:left="2951"/>
      </w:pPr>
      <w:r>
        <w:rPr>
          <w:color w:val="231F20"/>
          <w:spacing w:val="-2"/>
        </w:rPr>
        <w:t>Background</w:t>
      </w:r>
    </w:p>
    <w:p>
      <w:pPr>
        <w:pStyle w:val="BodyText"/>
        <w:spacing w:line="213" w:lineRule="auto" w:before="12"/>
        <w:ind w:left="3669" w:right="545"/>
      </w:pPr>
      <w:r>
        <w:rPr>
          <w:color w:val="231F20"/>
        </w:rPr>
        <w:t>The </w:t>
      </w:r>
      <w:r>
        <w:rPr>
          <w:rFonts w:ascii="Book Antiqua"/>
          <w:b/>
          <w:color w:val="231F20"/>
        </w:rPr>
        <w:t>Change Color </w:t>
      </w:r>
      <w:r>
        <w:rPr>
          <w:color w:val="231F20"/>
        </w:rPr>
        <w:t>button enables you to change the </w:t>
      </w:r>
      <w:r>
        <w:rPr>
          <w:color w:val="231F20"/>
        </w:rPr>
        <w:t>background color of the entire view.</w:t>
      </w:r>
    </w:p>
    <w:p>
      <w:pPr>
        <w:pStyle w:val="Heading6"/>
        <w:spacing w:line="336" w:lineRule="exact" w:before="169"/>
        <w:ind w:left="2272"/>
      </w:pPr>
      <w:r>
        <w:rPr>
          <w:b w:val="0"/>
          <w:position w:val="-1"/>
        </w:rPr>
        <w:drawing>
          <wp:inline distT="0" distB="0" distL="0" distR="0">
            <wp:extent cx="177800" cy="203200"/>
            <wp:effectExtent l="0" t="0" r="0" b="0"/>
            <wp:docPr id="1361" name="Image 1361"/>
            <wp:cNvGraphicFramePr>
              <a:graphicFrameLocks/>
            </wp:cNvGraphicFramePr>
            <a:graphic>
              <a:graphicData uri="http://schemas.openxmlformats.org/drawingml/2006/picture">
                <pic:pic>
                  <pic:nvPicPr>
                    <pic:cNvPr id="1361" name="Image 1361"/>
                    <pic:cNvPicPr/>
                  </pic:nvPicPr>
                  <pic:blipFill>
                    <a:blip r:embed="rId263" cstate="print"/>
                    <a:stretch>
                      <a:fillRect/>
                    </a:stretch>
                  </pic:blipFill>
                  <pic:spPr>
                    <a:xfrm>
                      <a:off x="0" y="0"/>
                      <a:ext cx="177800" cy="203200"/>
                    </a:xfrm>
                    <a:prstGeom prst="rect">
                      <a:avLst/>
                    </a:prstGeom>
                  </pic:spPr>
                </pic:pic>
              </a:graphicData>
            </a:graphic>
          </wp:inline>
        </w:drawing>
      </w:r>
      <w:r>
        <w:rPr>
          <w:b w:val="0"/>
          <w:position w:val="-1"/>
        </w:rPr>
      </w:r>
      <w:r>
        <w:rPr>
          <w:rFonts w:ascii="Times New Roman"/>
          <w:b w:val="0"/>
          <w:spacing w:val="40"/>
        </w:rPr>
        <w:t> </w:t>
      </w:r>
      <w:r>
        <w:rPr>
          <w:color w:val="231F20"/>
        </w:rPr>
        <w:t>Node</w:t>
      </w:r>
    </w:p>
    <w:p>
      <w:pPr>
        <w:pStyle w:val="BodyText"/>
        <w:spacing w:line="213" w:lineRule="auto" w:before="12"/>
        <w:ind w:left="2951" w:right="545"/>
      </w:pPr>
      <w:r>
        <w:rPr>
          <w:rFonts w:ascii="Book Antiqua"/>
          <w:b/>
          <w:color w:val="231F20"/>
        </w:rPr>
        <w:t>Text style </w:t>
      </w:r>
      <w:r>
        <w:rPr>
          <w:color w:val="231F20"/>
        </w:rPr>
        <w:t>fields enable you to adjust the label text style and color: Select another </w:t>
      </w:r>
      <w:r>
        <w:rPr>
          <w:rFonts w:ascii="Book Antiqua"/>
          <w:b/>
          <w:color w:val="231F20"/>
        </w:rPr>
        <w:t>Font name </w:t>
      </w:r>
      <w:r>
        <w:rPr>
          <w:color w:val="231F20"/>
        </w:rPr>
        <w:t>from the list to change the font; select another point</w:t>
      </w:r>
      <w:r>
        <w:rPr>
          <w:color w:val="231F20"/>
          <w:spacing w:val="40"/>
        </w:rPr>
        <w:t> </w:t>
      </w:r>
      <w:r>
        <w:rPr>
          <w:rFonts w:ascii="Book Antiqua"/>
          <w:b/>
          <w:color w:val="231F20"/>
        </w:rPr>
        <w:t>Size</w:t>
      </w:r>
      <w:r>
        <w:rPr>
          <w:rFonts w:ascii="Book Antiqua"/>
          <w:b/>
          <w:color w:val="231F20"/>
          <w:spacing w:val="25"/>
        </w:rPr>
        <w:t> </w:t>
      </w:r>
      <w:r>
        <w:rPr>
          <w:color w:val="231F20"/>
        </w:rPr>
        <w:t>to</w:t>
      </w:r>
      <w:r>
        <w:rPr>
          <w:color w:val="231F20"/>
          <w:spacing w:val="25"/>
        </w:rPr>
        <w:t> </w:t>
      </w:r>
      <w:r>
        <w:rPr>
          <w:color w:val="231F20"/>
        </w:rPr>
        <w:t>increase</w:t>
      </w:r>
      <w:r>
        <w:rPr>
          <w:color w:val="231F20"/>
          <w:spacing w:val="25"/>
        </w:rPr>
        <w:t> </w:t>
      </w:r>
      <w:r>
        <w:rPr>
          <w:color w:val="231F20"/>
        </w:rPr>
        <w:t>or</w:t>
      </w:r>
      <w:r>
        <w:rPr>
          <w:color w:val="231F20"/>
          <w:spacing w:val="25"/>
        </w:rPr>
        <w:t> </w:t>
      </w:r>
      <w:r>
        <w:rPr>
          <w:color w:val="231F20"/>
        </w:rPr>
        <w:t>decrease</w:t>
      </w:r>
      <w:r>
        <w:rPr>
          <w:color w:val="231F20"/>
          <w:spacing w:val="25"/>
        </w:rPr>
        <w:t> </w:t>
      </w:r>
      <w:r>
        <w:rPr>
          <w:color w:val="231F20"/>
        </w:rPr>
        <w:t>the</w:t>
      </w:r>
      <w:r>
        <w:rPr>
          <w:color w:val="231F20"/>
          <w:spacing w:val="25"/>
        </w:rPr>
        <w:t> </w:t>
      </w:r>
      <w:r>
        <w:rPr>
          <w:color w:val="231F20"/>
        </w:rPr>
        <w:t>size</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font.</w:t>
      </w:r>
      <w:r>
        <w:rPr>
          <w:color w:val="231F20"/>
          <w:spacing w:val="25"/>
        </w:rPr>
        <w:t> </w:t>
      </w:r>
      <w:r>
        <w:rPr>
          <w:color w:val="231F20"/>
        </w:rPr>
        <w:t>Select</w:t>
      </w:r>
      <w:r>
        <w:rPr>
          <w:color w:val="231F20"/>
          <w:spacing w:val="25"/>
        </w:rPr>
        <w:t> </w:t>
      </w:r>
      <w:r>
        <w:rPr>
          <w:color w:val="231F20"/>
        </w:rPr>
        <w:t>the </w:t>
      </w:r>
      <w:r>
        <w:rPr>
          <w:color w:val="231F20"/>
          <w:spacing w:val="15"/>
        </w:rPr>
        <w:drawing>
          <wp:inline distT="0" distB="0" distL="0" distR="0">
            <wp:extent cx="82550" cy="82550"/>
            <wp:effectExtent l="0" t="0" r="0" b="0"/>
            <wp:docPr id="1362" name="Image 1362"/>
            <wp:cNvGraphicFramePr>
              <a:graphicFrameLocks/>
            </wp:cNvGraphicFramePr>
            <a:graphic>
              <a:graphicData uri="http://schemas.openxmlformats.org/drawingml/2006/picture">
                <pic:pic>
                  <pic:nvPicPr>
                    <pic:cNvPr id="1362" name="Image 136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Bold</w:t>
      </w:r>
      <w:r>
        <w:rPr>
          <w:rFonts w:ascii="Book Antiqua"/>
          <w:b/>
          <w:color w:val="231F20"/>
          <w:spacing w:val="25"/>
        </w:rPr>
        <w:t> </w:t>
      </w:r>
      <w:r>
        <w:rPr>
          <w:color w:val="231F20"/>
        </w:rPr>
        <w:t>check box to bold the label text; select the </w:t>
      </w:r>
      <w:r>
        <w:rPr>
          <w:color w:val="231F20"/>
          <w:spacing w:val="15"/>
        </w:rPr>
        <w:drawing>
          <wp:inline distT="0" distB="0" distL="0" distR="0">
            <wp:extent cx="82550" cy="82550"/>
            <wp:effectExtent l="0" t="0" r="0" b="0"/>
            <wp:docPr id="1363" name="Image 1363"/>
            <wp:cNvGraphicFramePr>
              <a:graphicFrameLocks/>
            </wp:cNvGraphicFramePr>
            <a:graphic>
              <a:graphicData uri="http://schemas.openxmlformats.org/drawingml/2006/picture">
                <pic:pic>
                  <pic:nvPicPr>
                    <pic:cNvPr id="1363" name="Image 1363"/>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Italic </w:t>
      </w:r>
      <w:r>
        <w:rPr>
          <w:color w:val="231F20"/>
        </w:rPr>
        <w:t>check box to italicize the text.</w:t>
      </w:r>
      <w:r>
        <w:rPr>
          <w:color w:val="231F20"/>
          <w:spacing w:val="40"/>
        </w:rPr>
        <w:t> </w:t>
      </w:r>
      <w:r>
        <w:rPr>
          <w:color w:val="231F20"/>
        </w:rPr>
        <w:t>Click </w:t>
      </w:r>
      <w:r>
        <w:rPr>
          <w:rFonts w:ascii="Book Antiqua"/>
          <w:b/>
          <w:color w:val="231F20"/>
        </w:rPr>
        <w:t>Foreground Color </w:t>
      </w:r>
      <w:r>
        <w:rPr>
          <w:color w:val="231F20"/>
        </w:rPr>
        <w:t>to change the color of the object label when it is </w:t>
      </w:r>
      <w:r>
        <w:rPr>
          <w:color w:val="231F20"/>
          <w:spacing w:val="-2"/>
        </w:rPr>
        <w:t>selected.</w:t>
      </w:r>
    </w:p>
    <w:p>
      <w:pPr>
        <w:pStyle w:val="BodyText"/>
        <w:spacing w:line="213" w:lineRule="auto" w:before="115"/>
        <w:ind w:left="2951" w:right="493"/>
      </w:pPr>
      <w:r>
        <w:rPr>
          <w:rFonts w:ascii="Book Antiqua"/>
          <w:b/>
          <w:color w:val="231F20"/>
        </w:rPr>
        <w:t>Layout </w:t>
      </w:r>
      <w:r>
        <w:rPr>
          <w:color w:val="231F20"/>
        </w:rPr>
        <w:t>fields enable you to control the spacing and alignment of the label text line: </w:t>
      </w:r>
      <w:r>
        <w:rPr>
          <w:rFonts w:ascii="Book Antiqua"/>
          <w:b/>
          <w:color w:val="231F20"/>
        </w:rPr>
        <w:t>Wrapping Mode </w:t>
      </w:r>
      <w:r>
        <w:rPr>
          <w:color w:val="231F20"/>
        </w:rPr>
        <w:t>is turned off by default. Select </w:t>
      </w:r>
      <w:r>
        <w:rPr>
          <w:rFonts w:ascii="Arial"/>
          <w:color w:val="231F20"/>
        </w:rPr>
        <w:t>None </w:t>
      </w:r>
      <w:r>
        <w:rPr>
          <w:color w:val="231F20"/>
        </w:rPr>
        <w:t>for a single line of text; </w:t>
      </w:r>
      <w:r>
        <w:rPr>
          <w:rFonts w:ascii="Arial"/>
          <w:color w:val="231F20"/>
        </w:rPr>
        <w:t>Word </w:t>
      </w:r>
      <w:r>
        <w:rPr>
          <w:color w:val="231F20"/>
        </w:rPr>
        <w:t>to wrap the text within the set line width; </w:t>
      </w:r>
      <w:r>
        <w:rPr>
          <w:rFonts w:ascii="Arial"/>
          <w:color w:val="231F20"/>
        </w:rPr>
        <w:t>Truncate </w:t>
      </w:r>
      <w:r>
        <w:rPr>
          <w:color w:val="231F20"/>
        </w:rPr>
        <w:t>to truncate</w:t>
      </w:r>
      <w:r>
        <w:rPr>
          <w:color w:val="231F20"/>
          <w:spacing w:val="32"/>
        </w:rPr>
        <w:t> </w:t>
      </w:r>
      <w:r>
        <w:rPr>
          <w:color w:val="231F20"/>
        </w:rPr>
        <w:t>any</w:t>
      </w:r>
      <w:r>
        <w:rPr>
          <w:color w:val="231F20"/>
          <w:spacing w:val="32"/>
        </w:rPr>
        <w:t> </w:t>
      </w:r>
      <w:r>
        <w:rPr>
          <w:color w:val="231F20"/>
        </w:rPr>
        <w:t>text</w:t>
      </w:r>
      <w:r>
        <w:rPr>
          <w:color w:val="231F20"/>
          <w:spacing w:val="32"/>
        </w:rPr>
        <w:t> </w:t>
      </w:r>
      <w:r>
        <w:rPr>
          <w:color w:val="231F20"/>
        </w:rPr>
        <w:t>that</w:t>
      </w:r>
      <w:r>
        <w:rPr>
          <w:color w:val="231F20"/>
          <w:spacing w:val="32"/>
        </w:rPr>
        <w:t> </w:t>
      </w:r>
      <w:r>
        <w:rPr>
          <w:color w:val="231F20"/>
        </w:rPr>
        <w:t>extends</w:t>
      </w:r>
      <w:r>
        <w:rPr>
          <w:color w:val="231F20"/>
          <w:spacing w:val="32"/>
        </w:rPr>
        <w:t> </w:t>
      </w:r>
      <w:r>
        <w:rPr>
          <w:color w:val="231F20"/>
        </w:rPr>
        <w:t>beyond</w:t>
      </w:r>
      <w:r>
        <w:rPr>
          <w:color w:val="231F20"/>
          <w:spacing w:val="32"/>
        </w:rPr>
        <w:t> </w:t>
      </w:r>
      <w:r>
        <w:rPr>
          <w:color w:val="231F20"/>
        </w:rPr>
        <w:t>the</w:t>
      </w:r>
      <w:r>
        <w:rPr>
          <w:color w:val="231F20"/>
          <w:spacing w:val="32"/>
        </w:rPr>
        <w:t> </w:t>
      </w:r>
      <w:r>
        <w:rPr>
          <w:color w:val="231F20"/>
        </w:rPr>
        <w:t>set</w:t>
      </w:r>
      <w:r>
        <w:rPr>
          <w:color w:val="231F20"/>
          <w:spacing w:val="32"/>
        </w:rPr>
        <w:t> </w:t>
      </w:r>
      <w:r>
        <w:rPr>
          <w:color w:val="231F20"/>
        </w:rPr>
        <w:t>line</w:t>
      </w:r>
      <w:r>
        <w:rPr>
          <w:color w:val="231F20"/>
          <w:spacing w:val="32"/>
        </w:rPr>
        <w:t> </w:t>
      </w:r>
      <w:r>
        <w:rPr>
          <w:color w:val="231F20"/>
        </w:rPr>
        <w:t>width;</w:t>
      </w:r>
      <w:r>
        <w:rPr>
          <w:color w:val="231F20"/>
          <w:spacing w:val="32"/>
        </w:rPr>
        <w:t> </w:t>
      </w:r>
      <w:r>
        <w:rPr>
          <w:color w:val="231F20"/>
        </w:rPr>
        <w:t>or</w:t>
      </w:r>
      <w:r>
        <w:rPr>
          <w:color w:val="231F20"/>
          <w:spacing w:val="29"/>
          <w:w w:val="105"/>
        </w:rPr>
        <w:t> </w:t>
      </w:r>
      <w:r>
        <w:rPr>
          <w:rFonts w:ascii="Arial"/>
          <w:color w:val="231F20"/>
          <w:w w:val="105"/>
        </w:rPr>
        <w:t>All </w:t>
      </w:r>
      <w:r>
        <w:rPr>
          <w:color w:val="231F20"/>
        </w:rPr>
        <w:t>to</w:t>
      </w:r>
      <w:r>
        <w:rPr>
          <w:color w:val="231F20"/>
          <w:spacing w:val="32"/>
        </w:rPr>
        <w:t> </w:t>
      </w:r>
      <w:r>
        <w:rPr>
          <w:color w:val="231F20"/>
        </w:rPr>
        <w:t>wrap text within the set line width and to truncate text that goes beyond the </w:t>
      </w:r>
      <w:r>
        <w:rPr>
          <w:color w:val="231F20"/>
        </w:rPr>
        <w:t>set line</w:t>
      </w:r>
      <w:r>
        <w:rPr>
          <w:color w:val="231F20"/>
          <w:spacing w:val="36"/>
        </w:rPr>
        <w:t> </w:t>
      </w:r>
      <w:r>
        <w:rPr>
          <w:color w:val="231F20"/>
        </w:rPr>
        <w:t>height.</w:t>
      </w:r>
      <w:r>
        <w:rPr>
          <w:color w:val="231F20"/>
          <w:spacing w:val="36"/>
        </w:rPr>
        <w:t> </w:t>
      </w:r>
      <w:r>
        <w:rPr>
          <w:rFonts w:ascii="Book Antiqua"/>
          <w:b/>
          <w:color w:val="231F20"/>
        </w:rPr>
        <w:t>Alignment</w:t>
      </w:r>
      <w:r>
        <w:rPr>
          <w:rFonts w:ascii="Book Antiqua"/>
          <w:b/>
          <w:color w:val="231F20"/>
          <w:spacing w:val="36"/>
        </w:rPr>
        <w:t> </w:t>
      </w:r>
      <w:r>
        <w:rPr>
          <w:color w:val="231F20"/>
        </w:rPr>
        <w:t>is</w:t>
      </w:r>
      <w:r>
        <w:rPr>
          <w:color w:val="231F20"/>
          <w:spacing w:val="36"/>
        </w:rPr>
        <w:t> </w:t>
      </w:r>
      <w:r>
        <w:rPr>
          <w:rFonts w:ascii="Arial"/>
          <w:color w:val="231F20"/>
        </w:rPr>
        <w:t>Left</w:t>
      </w:r>
      <w:r>
        <w:rPr>
          <w:color w:val="231F20"/>
        </w:rPr>
        <w:t>,</w:t>
      </w:r>
      <w:r>
        <w:rPr>
          <w:color w:val="231F20"/>
          <w:spacing w:val="36"/>
        </w:rPr>
        <w:t> </w:t>
      </w:r>
      <w:r>
        <w:rPr>
          <w:color w:val="231F20"/>
        </w:rPr>
        <w:t>or</w:t>
      </w:r>
      <w:r>
        <w:rPr>
          <w:color w:val="231F20"/>
          <w:spacing w:val="36"/>
        </w:rPr>
        <w:t> </w:t>
      </w:r>
      <w:r>
        <w:rPr>
          <w:color w:val="231F20"/>
        </w:rPr>
        <w:t>can</w:t>
      </w:r>
      <w:r>
        <w:rPr>
          <w:color w:val="231F20"/>
          <w:spacing w:val="36"/>
        </w:rPr>
        <w:t> </w:t>
      </w:r>
      <w:r>
        <w:rPr>
          <w:color w:val="231F20"/>
        </w:rPr>
        <w:t>be</w:t>
      </w:r>
      <w:r>
        <w:rPr>
          <w:color w:val="231F20"/>
          <w:spacing w:val="36"/>
        </w:rPr>
        <w:t> </w:t>
      </w:r>
      <w:r>
        <w:rPr>
          <w:color w:val="231F20"/>
        </w:rPr>
        <w:t>changed</w:t>
      </w:r>
      <w:r>
        <w:rPr>
          <w:color w:val="231F20"/>
          <w:spacing w:val="36"/>
        </w:rPr>
        <w:t> </w:t>
      </w:r>
      <w:r>
        <w:rPr>
          <w:color w:val="231F20"/>
        </w:rPr>
        <w:t>to</w:t>
      </w:r>
      <w:r>
        <w:rPr>
          <w:color w:val="231F20"/>
          <w:spacing w:val="36"/>
        </w:rPr>
        <w:t> </w:t>
      </w:r>
      <w:r>
        <w:rPr>
          <w:rFonts w:ascii="Arial"/>
          <w:color w:val="231F20"/>
        </w:rPr>
        <w:t>Center</w:t>
      </w:r>
      <w:r>
        <w:rPr>
          <w:rFonts w:ascii="Arial"/>
          <w:color w:val="231F20"/>
          <w:spacing w:val="30"/>
        </w:rPr>
        <w:t> </w:t>
      </w:r>
      <w:r>
        <w:rPr>
          <w:color w:val="231F20"/>
        </w:rPr>
        <w:t>or</w:t>
      </w:r>
      <w:r>
        <w:rPr>
          <w:color w:val="231F20"/>
          <w:spacing w:val="36"/>
        </w:rPr>
        <w:t> </w:t>
      </w:r>
      <w:r>
        <w:rPr>
          <w:rFonts w:ascii="Arial"/>
          <w:color w:val="231F20"/>
        </w:rPr>
        <w:t>Right</w:t>
      </w:r>
      <w:r>
        <w:rPr>
          <w:color w:val="231F20"/>
        </w:rPr>
        <w:t>.</w:t>
      </w:r>
    </w:p>
    <w:p>
      <w:pPr>
        <w:pStyle w:val="BodyText"/>
        <w:spacing w:line="213" w:lineRule="auto"/>
        <w:ind w:left="2951" w:right="700"/>
      </w:pPr>
      <w:r>
        <w:rPr>
          <w:rFonts w:ascii="Book Antiqua"/>
          <w:b/>
          <w:color w:val="231F20"/>
        </w:rPr>
        <w:t>Width </w:t>
      </w:r>
      <w:r>
        <w:rPr>
          <w:color w:val="231F20"/>
        </w:rPr>
        <w:t>and </w:t>
      </w:r>
      <w:r>
        <w:rPr>
          <w:rFonts w:ascii="Book Antiqua"/>
          <w:b/>
          <w:color w:val="231F20"/>
        </w:rPr>
        <w:t>Height </w:t>
      </w:r>
      <w:r>
        <w:rPr>
          <w:color w:val="231F20"/>
        </w:rPr>
        <w:t>define the label boundaries when text wrapping is </w:t>
      </w:r>
      <w:r>
        <w:rPr>
          <w:color w:val="231F20"/>
        </w:rPr>
        <w:t>set to </w:t>
      </w:r>
      <w:r>
        <w:rPr>
          <w:rFonts w:ascii="Arial"/>
          <w:color w:val="231F20"/>
        </w:rPr>
        <w:t>Word </w:t>
      </w:r>
      <w:r>
        <w:rPr>
          <w:color w:val="231F20"/>
        </w:rPr>
        <w:t>or </w:t>
      </w:r>
      <w:r>
        <w:rPr>
          <w:rFonts w:ascii="Arial"/>
          <w:color w:val="231F20"/>
        </w:rPr>
        <w:t>Truncate</w:t>
      </w:r>
      <w:r>
        <w:rPr>
          <w:color w:val="231F20"/>
        </w:rPr>
        <w:t>, as well as the point where </w:t>
      </w:r>
      <w:r>
        <w:rPr>
          <w:rFonts w:ascii="Arial"/>
          <w:color w:val="231F20"/>
        </w:rPr>
        <w:t>Right </w:t>
      </w:r>
      <w:r>
        <w:rPr>
          <w:color w:val="231F20"/>
        </w:rPr>
        <w:t>alignment begins. The default value is 100 pixels.</w:t>
      </w:r>
    </w:p>
    <w:p>
      <w:pPr>
        <w:pStyle w:val="Heading6"/>
        <w:spacing w:line="256" w:lineRule="exact" w:before="246"/>
        <w:ind w:left="2242"/>
      </w:pPr>
      <w:r>
        <w:rPr>
          <w:b w:val="0"/>
          <w:position w:val="10"/>
        </w:rPr>
        <w:drawing>
          <wp:inline distT="0" distB="0" distL="0" distR="0">
            <wp:extent cx="196850" cy="76200"/>
            <wp:effectExtent l="0" t="0" r="0" b="0"/>
            <wp:docPr id="1364" name="Image 1364"/>
            <wp:cNvGraphicFramePr>
              <a:graphicFrameLocks/>
            </wp:cNvGraphicFramePr>
            <a:graphic>
              <a:graphicData uri="http://schemas.openxmlformats.org/drawingml/2006/picture">
                <pic:pic>
                  <pic:nvPicPr>
                    <pic:cNvPr id="1364" name="Image 1364"/>
                    <pic:cNvPicPr/>
                  </pic:nvPicPr>
                  <pic:blipFill>
                    <a:blip r:embed="rId264" cstate="print"/>
                    <a:stretch>
                      <a:fillRect/>
                    </a:stretch>
                  </pic:blipFill>
                  <pic:spPr>
                    <a:xfrm>
                      <a:off x="0" y="0"/>
                      <a:ext cx="196850" cy="76200"/>
                    </a:xfrm>
                    <a:prstGeom prst="rect">
                      <a:avLst/>
                    </a:prstGeom>
                  </pic:spPr>
                </pic:pic>
              </a:graphicData>
            </a:graphic>
          </wp:inline>
        </w:drawing>
      </w:r>
      <w:r>
        <w:rPr>
          <w:b w:val="0"/>
          <w:position w:val="10"/>
        </w:rPr>
      </w:r>
      <w:r>
        <w:rPr>
          <w:rFonts w:ascii="Times New Roman"/>
          <w:b w:val="0"/>
          <w:spacing w:val="40"/>
        </w:rPr>
        <w:t> </w:t>
      </w:r>
      <w:r>
        <w:rPr>
          <w:color w:val="231F20"/>
        </w:rPr>
        <w:t>Connection</w:t>
      </w:r>
    </w:p>
    <w:p>
      <w:pPr>
        <w:pStyle w:val="BodyText"/>
        <w:spacing w:line="213" w:lineRule="auto" w:before="11"/>
        <w:ind w:left="2951" w:right="1108"/>
        <w:jc w:val="both"/>
      </w:pPr>
      <w:r>
        <w:rPr>
          <w:rFonts w:ascii="Book Antiqua"/>
          <w:b/>
          <w:color w:val="231F20"/>
        </w:rPr>
        <w:t>Text style </w:t>
      </w:r>
      <w:r>
        <w:rPr>
          <w:color w:val="231F20"/>
        </w:rPr>
        <w:t>fields enable you to adjust the text style and color for </w:t>
      </w:r>
      <w:r>
        <w:rPr>
          <w:color w:val="231F20"/>
        </w:rPr>
        <w:t>the connection label. Click </w:t>
      </w:r>
      <w:r>
        <w:rPr>
          <w:rFonts w:ascii="Book Antiqua"/>
          <w:b/>
          <w:color w:val="231F20"/>
        </w:rPr>
        <w:t>Foreground Color </w:t>
      </w:r>
      <w:r>
        <w:rPr>
          <w:color w:val="231F20"/>
        </w:rPr>
        <w:t>to change the color of the connector label when it is selected.</w:t>
      </w:r>
    </w:p>
    <w:p>
      <w:pPr>
        <w:pStyle w:val="BodyText"/>
        <w:spacing w:line="213" w:lineRule="auto" w:before="118"/>
        <w:ind w:left="2951" w:right="385"/>
      </w:pPr>
      <w:r>
        <w:rPr>
          <w:rFonts w:ascii="Book Antiqua"/>
          <w:b/>
          <w:color w:val="231F20"/>
        </w:rPr>
        <w:t>Layout </w:t>
      </w:r>
      <w:r>
        <w:rPr>
          <w:color w:val="231F20"/>
        </w:rPr>
        <w:t>fields enable you to control the spacing and alignment of the connection label line: </w:t>
      </w:r>
      <w:r>
        <w:rPr>
          <w:rFonts w:ascii="Book Antiqua"/>
          <w:b/>
          <w:color w:val="231F20"/>
        </w:rPr>
        <w:t>Wrapping Mode </w:t>
      </w:r>
      <w:r>
        <w:rPr>
          <w:color w:val="231F20"/>
        </w:rPr>
        <w:t>is turned off by default. Select </w:t>
      </w:r>
      <w:r>
        <w:rPr>
          <w:rFonts w:ascii="Arial"/>
          <w:color w:val="231F20"/>
        </w:rPr>
        <w:t>None </w:t>
      </w:r>
      <w:r>
        <w:rPr>
          <w:color w:val="231F20"/>
        </w:rPr>
        <w:t>for a single line of text; </w:t>
      </w:r>
      <w:r>
        <w:rPr>
          <w:rFonts w:ascii="Arial"/>
          <w:color w:val="231F20"/>
        </w:rPr>
        <w:t>Word </w:t>
      </w:r>
      <w:r>
        <w:rPr>
          <w:color w:val="231F20"/>
        </w:rPr>
        <w:t>to wrap the text within the set line width; </w:t>
      </w:r>
      <w:r>
        <w:rPr>
          <w:rFonts w:ascii="Arial"/>
          <w:color w:val="231F20"/>
        </w:rPr>
        <w:t>Truncate </w:t>
      </w:r>
      <w:r>
        <w:rPr>
          <w:color w:val="231F20"/>
        </w:rPr>
        <w:t>to</w:t>
      </w:r>
      <w:r>
        <w:rPr>
          <w:color w:val="231F20"/>
          <w:spacing w:val="18"/>
        </w:rPr>
        <w:t> </w:t>
      </w:r>
      <w:r>
        <w:rPr>
          <w:color w:val="231F20"/>
        </w:rPr>
        <w:t>truncate</w:t>
      </w:r>
      <w:r>
        <w:rPr>
          <w:color w:val="231F20"/>
          <w:spacing w:val="18"/>
        </w:rPr>
        <w:t> </w:t>
      </w:r>
      <w:r>
        <w:rPr>
          <w:color w:val="231F20"/>
        </w:rPr>
        <w:t>any</w:t>
      </w:r>
      <w:r>
        <w:rPr>
          <w:color w:val="231F20"/>
          <w:spacing w:val="18"/>
        </w:rPr>
        <w:t> </w:t>
      </w:r>
      <w:r>
        <w:rPr>
          <w:color w:val="231F20"/>
        </w:rPr>
        <w:t>text</w:t>
      </w:r>
      <w:r>
        <w:rPr>
          <w:color w:val="231F20"/>
          <w:spacing w:val="18"/>
        </w:rPr>
        <w:t> </w:t>
      </w:r>
      <w:r>
        <w:rPr>
          <w:color w:val="231F20"/>
        </w:rPr>
        <w:t>that</w:t>
      </w:r>
      <w:r>
        <w:rPr>
          <w:color w:val="231F20"/>
          <w:spacing w:val="18"/>
        </w:rPr>
        <w:t> </w:t>
      </w:r>
      <w:r>
        <w:rPr>
          <w:color w:val="231F20"/>
        </w:rPr>
        <w:t>extends</w:t>
      </w:r>
      <w:r>
        <w:rPr>
          <w:color w:val="231F20"/>
          <w:spacing w:val="18"/>
        </w:rPr>
        <w:t> </w:t>
      </w:r>
      <w:r>
        <w:rPr>
          <w:color w:val="231F20"/>
        </w:rPr>
        <w:t>beyond</w:t>
      </w:r>
      <w:r>
        <w:rPr>
          <w:color w:val="231F20"/>
          <w:spacing w:val="18"/>
        </w:rPr>
        <w:t> </w:t>
      </w:r>
      <w:r>
        <w:rPr>
          <w:color w:val="231F20"/>
        </w:rPr>
        <w:t>the</w:t>
      </w:r>
      <w:r>
        <w:rPr>
          <w:color w:val="231F20"/>
          <w:spacing w:val="18"/>
        </w:rPr>
        <w:t> </w:t>
      </w:r>
      <w:r>
        <w:rPr>
          <w:color w:val="231F20"/>
        </w:rPr>
        <w:t>set</w:t>
      </w:r>
      <w:r>
        <w:rPr>
          <w:color w:val="231F20"/>
          <w:spacing w:val="18"/>
        </w:rPr>
        <w:t> </w:t>
      </w:r>
      <w:r>
        <w:rPr>
          <w:color w:val="231F20"/>
        </w:rPr>
        <w:t>line</w:t>
      </w:r>
      <w:r>
        <w:rPr>
          <w:color w:val="231F20"/>
          <w:spacing w:val="18"/>
        </w:rPr>
        <w:t> </w:t>
      </w:r>
      <w:r>
        <w:rPr>
          <w:color w:val="231F20"/>
        </w:rPr>
        <w:t>width;</w:t>
      </w:r>
      <w:r>
        <w:rPr>
          <w:color w:val="231F20"/>
          <w:spacing w:val="18"/>
        </w:rPr>
        <w:t> </w:t>
      </w:r>
      <w:r>
        <w:rPr>
          <w:color w:val="231F20"/>
        </w:rPr>
        <w:t>or</w:t>
      </w:r>
      <w:r>
        <w:rPr>
          <w:color w:val="231F20"/>
          <w:w w:val="105"/>
        </w:rPr>
        <w:t> </w:t>
      </w:r>
      <w:r>
        <w:rPr>
          <w:rFonts w:ascii="Arial"/>
          <w:color w:val="231F20"/>
          <w:w w:val="105"/>
        </w:rPr>
        <w:t>All </w:t>
      </w:r>
      <w:r>
        <w:rPr>
          <w:color w:val="231F20"/>
        </w:rPr>
        <w:t>to wrap text within the set line width and to truncate text that goes</w:t>
      </w:r>
    </w:p>
    <w:p>
      <w:pPr>
        <w:pStyle w:val="BodyText"/>
        <w:spacing w:line="213" w:lineRule="auto"/>
        <w:ind w:left="2951" w:right="545"/>
      </w:pPr>
      <w:r>
        <w:rPr>
          <w:color w:val="231F20"/>
        </w:rPr>
        <w:t>beyond the set line height. </w:t>
      </w:r>
      <w:r>
        <w:rPr>
          <w:rFonts w:ascii="Book Antiqua"/>
          <w:b/>
          <w:color w:val="231F20"/>
        </w:rPr>
        <w:t>Alignment </w:t>
      </w:r>
      <w:r>
        <w:rPr>
          <w:color w:val="231F20"/>
        </w:rPr>
        <w:t>is </w:t>
      </w:r>
      <w:r>
        <w:rPr>
          <w:rFonts w:ascii="Arial"/>
          <w:color w:val="231F20"/>
        </w:rPr>
        <w:t>Left</w:t>
      </w:r>
      <w:r>
        <w:rPr>
          <w:color w:val="231F20"/>
        </w:rPr>
        <w:t>, or can be changed to </w:t>
      </w:r>
      <w:r>
        <w:rPr>
          <w:rFonts w:ascii="Arial"/>
          <w:color w:val="231F20"/>
        </w:rPr>
        <w:t>Center</w:t>
      </w:r>
      <w:r>
        <w:rPr>
          <w:rFonts w:ascii="Arial"/>
          <w:color w:val="231F20"/>
          <w:spacing w:val="80"/>
        </w:rPr>
        <w:t> </w:t>
      </w:r>
      <w:r>
        <w:rPr>
          <w:color w:val="231F20"/>
        </w:rPr>
        <w:t>or </w:t>
      </w:r>
      <w:r>
        <w:rPr>
          <w:rFonts w:ascii="Arial"/>
          <w:color w:val="231F20"/>
        </w:rPr>
        <w:t>Right</w:t>
      </w:r>
      <w:r>
        <w:rPr>
          <w:color w:val="231F20"/>
        </w:rPr>
        <w:t>. </w:t>
      </w:r>
      <w:r>
        <w:rPr>
          <w:rFonts w:ascii="Book Antiqua"/>
          <w:b/>
          <w:color w:val="231F20"/>
        </w:rPr>
        <w:t>Width </w:t>
      </w:r>
      <w:r>
        <w:rPr>
          <w:color w:val="231F20"/>
        </w:rPr>
        <w:t>and </w:t>
      </w:r>
      <w:r>
        <w:rPr>
          <w:rFonts w:ascii="Book Antiqua"/>
          <w:b/>
          <w:color w:val="231F20"/>
        </w:rPr>
        <w:t>Height </w:t>
      </w:r>
      <w:r>
        <w:rPr>
          <w:color w:val="231F20"/>
        </w:rPr>
        <w:t>define the label boundaries when text</w:t>
      </w:r>
      <w:r>
        <w:rPr>
          <w:color w:val="231F20"/>
          <w:spacing w:val="80"/>
        </w:rPr>
        <w:t> </w:t>
      </w:r>
      <w:r>
        <w:rPr>
          <w:color w:val="231F20"/>
        </w:rPr>
        <w:t>wrapping is set to </w:t>
      </w:r>
      <w:r>
        <w:rPr>
          <w:rFonts w:ascii="Arial"/>
          <w:color w:val="231F20"/>
        </w:rPr>
        <w:t>Word </w:t>
      </w:r>
      <w:r>
        <w:rPr>
          <w:color w:val="231F20"/>
        </w:rPr>
        <w:t>or </w:t>
      </w:r>
      <w:r>
        <w:rPr>
          <w:rFonts w:ascii="Arial"/>
          <w:color w:val="231F20"/>
        </w:rPr>
        <w:t>Truncate</w:t>
      </w:r>
      <w:r>
        <w:rPr>
          <w:color w:val="231F20"/>
        </w:rPr>
        <w:t>, as well as the point where </w:t>
      </w:r>
      <w:r>
        <w:rPr>
          <w:rFonts w:ascii="Arial"/>
          <w:color w:val="231F20"/>
        </w:rPr>
        <w:t>Right </w:t>
      </w:r>
      <w:r>
        <w:rPr>
          <w:color w:val="231F20"/>
        </w:rPr>
        <w:t>alignment begins.</w:t>
      </w:r>
    </w:p>
    <w:p>
      <w:pPr>
        <w:spacing w:after="0" w:line="213" w:lineRule="auto"/>
        <w:sectPr>
          <w:pgSz w:w="12240" w:h="15840"/>
          <w:pgMar w:header="0" w:footer="736" w:top="1180" w:bottom="920" w:left="1000" w:right="1060"/>
        </w:sectPr>
      </w:pPr>
    </w:p>
    <w:p>
      <w:pPr>
        <w:pStyle w:val="Heading3"/>
        <w:spacing w:before="84"/>
        <w:ind w:left="1574"/>
      </w:pPr>
      <w:bookmarkStart w:name="_bookmark103" w:id="220"/>
      <w:bookmarkEnd w:id="220"/>
      <w:r>
        <w:rPr>
          <w:b w:val="0"/>
        </w:rPr>
      </w:r>
      <w:bookmarkStart w:name="TMS Infrastructure view" w:id="221"/>
      <w:bookmarkEnd w:id="221"/>
      <w:r>
        <w:rPr>
          <w:b w:val="0"/>
        </w:rPr>
      </w:r>
      <w:r>
        <w:rPr>
          <w:color w:val="231F20"/>
        </w:rPr>
        <w:t>TMS</w:t>
      </w:r>
      <w:r>
        <w:rPr>
          <w:color w:val="231F20"/>
          <w:spacing w:val="2"/>
        </w:rPr>
        <w:t> </w:t>
      </w:r>
      <w:r>
        <w:rPr>
          <w:color w:val="231F20"/>
        </w:rPr>
        <w:t>Infrastructure</w:t>
      </w:r>
      <w:r>
        <w:rPr>
          <w:color w:val="231F20"/>
          <w:spacing w:val="3"/>
        </w:rPr>
        <w:t> </w:t>
      </w:r>
      <w:r>
        <w:rPr>
          <w:color w:val="231F20"/>
          <w:spacing w:val="-4"/>
        </w:rPr>
        <w:t>view</w:t>
      </w:r>
    </w:p>
    <w:p>
      <w:pPr>
        <w:pStyle w:val="BodyText"/>
        <w:spacing w:line="213" w:lineRule="auto" w:before="58"/>
        <w:ind w:left="2472" w:right="545"/>
      </w:pPr>
      <w:r>
        <w:rPr>
          <w:color w:val="231F20"/>
        </w:rPr>
        <w:t>The Enterprise Navigator item has a predefined workspace that includes a topology view of your Tivoli managed network called TMS Infrastructure. </w:t>
      </w:r>
      <w:r>
        <w:rPr>
          <w:color w:val="231F20"/>
        </w:rPr>
        <w:t>This view shows the relationships and linking of the Tivoli Management Services </w:t>
      </w:r>
      <w:r>
        <w:rPr>
          <w:color w:val="231F20"/>
          <w:spacing w:val="-2"/>
        </w:rPr>
        <w:t>components.</w:t>
      </w:r>
    </w:p>
    <w:p>
      <w:pPr>
        <w:pStyle w:val="BodyText"/>
        <w:spacing w:before="3"/>
        <w:rPr>
          <w:sz w:val="19"/>
        </w:rPr>
      </w:pPr>
      <w:r>
        <w:rPr/>
        <w:drawing>
          <wp:anchor distT="0" distB="0" distL="0" distR="0" allowOverlap="1" layoutInCell="1" locked="0" behindDoc="1" simplePos="0" relativeHeight="487685120">
            <wp:simplePos x="0" y="0"/>
            <wp:positionH relativeFrom="page">
              <wp:posOffset>2204928</wp:posOffset>
            </wp:positionH>
            <wp:positionV relativeFrom="paragraph">
              <wp:posOffset>180333</wp:posOffset>
            </wp:positionV>
            <wp:extent cx="1480566" cy="1480566"/>
            <wp:effectExtent l="0" t="0" r="0" b="0"/>
            <wp:wrapTopAndBottom/>
            <wp:docPr id="1365" name="Image 1365"/>
            <wp:cNvGraphicFramePr>
              <a:graphicFrameLocks/>
            </wp:cNvGraphicFramePr>
            <a:graphic>
              <a:graphicData uri="http://schemas.openxmlformats.org/drawingml/2006/picture">
                <pic:pic>
                  <pic:nvPicPr>
                    <pic:cNvPr id="1365" name="Image 1365"/>
                    <pic:cNvPicPr/>
                  </pic:nvPicPr>
                  <pic:blipFill>
                    <a:blip r:embed="rId265" cstate="print"/>
                    <a:stretch>
                      <a:fillRect/>
                    </a:stretch>
                  </pic:blipFill>
                  <pic:spPr>
                    <a:xfrm>
                      <a:off x="0" y="0"/>
                      <a:ext cx="1480566" cy="1480566"/>
                    </a:xfrm>
                    <a:prstGeom prst="rect">
                      <a:avLst/>
                    </a:prstGeom>
                  </pic:spPr>
                </pic:pic>
              </a:graphicData>
            </a:graphic>
          </wp:anchor>
        </w:drawing>
      </w:r>
    </w:p>
    <w:p>
      <w:pPr>
        <w:pStyle w:val="Heading4"/>
        <w:spacing w:line="275" w:lineRule="exact" w:before="182"/>
        <w:ind w:left="2472"/>
      </w:pPr>
      <w:r>
        <w:rPr>
          <w:color w:val="231F20"/>
        </w:rPr>
        <w:t>Creating</w:t>
      </w:r>
      <w:r>
        <w:rPr>
          <w:color w:val="231F20"/>
          <w:spacing w:val="5"/>
        </w:rPr>
        <w:t> </w:t>
      </w:r>
      <w:r>
        <w:rPr>
          <w:color w:val="231F20"/>
        </w:rPr>
        <w:t>a</w:t>
      </w:r>
      <w:r>
        <w:rPr>
          <w:color w:val="231F20"/>
          <w:spacing w:val="5"/>
        </w:rPr>
        <w:t> </w:t>
      </w:r>
      <w:r>
        <w:rPr>
          <w:color w:val="231F20"/>
        </w:rPr>
        <w:t>TMS</w:t>
      </w:r>
      <w:r>
        <w:rPr>
          <w:color w:val="231F20"/>
          <w:spacing w:val="5"/>
        </w:rPr>
        <w:t> </w:t>
      </w:r>
      <w:r>
        <w:rPr>
          <w:color w:val="231F20"/>
        </w:rPr>
        <w:t>Infrastructure</w:t>
      </w:r>
      <w:r>
        <w:rPr>
          <w:color w:val="231F20"/>
          <w:spacing w:val="5"/>
        </w:rPr>
        <w:t> </w:t>
      </w:r>
      <w:r>
        <w:rPr>
          <w:color w:val="231F20"/>
          <w:spacing w:val="-4"/>
        </w:rPr>
        <w:t>view</w:t>
      </w:r>
    </w:p>
    <w:p>
      <w:pPr>
        <w:pStyle w:val="Heading5"/>
        <w:spacing w:line="252" w:lineRule="exact" w:before="0"/>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6"/>
        <w:ind w:left="2472"/>
      </w:pPr>
      <w:r>
        <w:rPr>
          <w:color w:val="231F20"/>
        </w:rPr>
        <w:t>As well as the TMS Infrastructure view in the Managed System Status </w:t>
      </w:r>
      <w:r>
        <w:rPr>
          <w:color w:val="231F20"/>
        </w:rPr>
        <w:t>predefined workspace, you can add the same view to any Enterprise level workspace.</w:t>
      </w:r>
    </w:p>
    <w:p>
      <w:pPr>
        <w:pStyle w:val="Heading5"/>
      </w:pPr>
      <w:r>
        <w:rPr>
          <w:color w:val="231F20"/>
          <w:spacing w:val="-2"/>
        </w:rPr>
        <w:t>Procedure</w:t>
      </w:r>
    </w:p>
    <w:p>
      <w:pPr>
        <w:pStyle w:val="ListParagraph"/>
        <w:numPr>
          <w:ilvl w:val="0"/>
          <w:numId w:val="59"/>
        </w:numPr>
        <w:tabs>
          <w:tab w:pos="2787" w:val="left" w:leader="none"/>
        </w:tabs>
        <w:spacing w:line="240" w:lineRule="auto" w:before="43" w:after="0"/>
        <w:ind w:left="2787" w:right="0" w:hanging="315"/>
        <w:jc w:val="left"/>
        <w:rPr>
          <w:rFonts w:ascii="Arial"/>
          <w:color w:val="231F20"/>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1366" name="Image 1366"/>
            <wp:cNvGraphicFramePr>
              <a:graphicFrameLocks/>
            </wp:cNvGraphicFramePr>
            <a:graphic>
              <a:graphicData uri="http://schemas.openxmlformats.org/drawingml/2006/picture">
                <pic:pic>
                  <pic:nvPicPr>
                    <pic:cNvPr id="1366" name="Image 1366"/>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11"/>
          <w:sz w:val="20"/>
        </w:rPr>
        <w:t> </w:t>
      </w:r>
      <w:r>
        <w:rPr>
          <w:color w:val="231F20"/>
          <w:sz w:val="20"/>
        </w:rPr>
        <w:t>Enterprise</w:t>
      </w:r>
      <w:r>
        <w:rPr>
          <w:color w:val="231F20"/>
          <w:spacing w:val="11"/>
          <w:sz w:val="20"/>
        </w:rPr>
        <w:t> </w:t>
      </w:r>
      <w:r>
        <w:rPr>
          <w:color w:val="231F20"/>
          <w:sz w:val="20"/>
        </w:rPr>
        <w:t>level</w:t>
      </w:r>
      <w:r>
        <w:rPr>
          <w:color w:val="231F20"/>
          <w:spacing w:val="11"/>
          <w:sz w:val="20"/>
        </w:rPr>
        <w:t> </w:t>
      </w:r>
      <w:r>
        <w:rPr>
          <w:color w:val="231F20"/>
          <w:sz w:val="20"/>
        </w:rPr>
        <w:t>workspace</w:t>
      </w:r>
      <w:r>
        <w:rPr>
          <w:color w:val="231F20"/>
          <w:spacing w:val="11"/>
          <w:sz w:val="20"/>
        </w:rPr>
        <w:t> </w:t>
      </w:r>
      <w:r>
        <w:rPr>
          <w:color w:val="231F20"/>
          <w:sz w:val="20"/>
        </w:rPr>
        <w:t>where</w:t>
      </w:r>
      <w:r>
        <w:rPr>
          <w:color w:val="231F20"/>
          <w:spacing w:val="10"/>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to</w:t>
      </w:r>
      <w:r>
        <w:rPr>
          <w:color w:val="231F20"/>
          <w:spacing w:val="10"/>
          <w:sz w:val="20"/>
        </w:rPr>
        <w:t> </w:t>
      </w:r>
      <w:r>
        <w:rPr>
          <w:color w:val="231F20"/>
          <w:sz w:val="20"/>
        </w:rPr>
        <w:t>create</w:t>
      </w:r>
      <w:r>
        <w:rPr>
          <w:color w:val="231F20"/>
          <w:spacing w:val="11"/>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59"/>
        </w:numPr>
        <w:tabs>
          <w:tab w:pos="2788" w:val="left" w:leader="none"/>
        </w:tabs>
        <w:spacing w:line="213" w:lineRule="auto" w:before="53" w:after="0"/>
        <w:ind w:left="2788" w:right="189" w:hanging="316"/>
        <w:jc w:val="left"/>
        <w:rPr>
          <w:rFonts w:ascii="Arial"/>
          <w:color w:val="231F20"/>
          <w:sz w:val="20"/>
        </w:rPr>
      </w:pPr>
      <w:r>
        <w:rPr>
          <w:color w:val="231F20"/>
          <w:sz w:val="20"/>
        </w:rPr>
        <w:t>If</w:t>
      </w:r>
      <w:r>
        <w:rPr>
          <w:color w:val="231F20"/>
          <w:spacing w:val="23"/>
          <w:sz w:val="20"/>
        </w:rPr>
        <w:t> </w:t>
      </w:r>
      <w:r>
        <w:rPr>
          <w:color w:val="231F20"/>
          <w:sz w:val="20"/>
        </w:rPr>
        <w:t>you</w:t>
      </w:r>
      <w:r>
        <w:rPr>
          <w:color w:val="231F20"/>
          <w:spacing w:val="23"/>
          <w:sz w:val="20"/>
        </w:rPr>
        <w:t> </w:t>
      </w:r>
      <w:r>
        <w:rPr>
          <w:color w:val="231F20"/>
          <w:sz w:val="20"/>
        </w:rPr>
        <w:t>want</w:t>
      </w:r>
      <w:r>
        <w:rPr>
          <w:color w:val="231F20"/>
          <w:spacing w:val="23"/>
          <w:sz w:val="20"/>
        </w:rPr>
        <w:t> </w:t>
      </w:r>
      <w:r>
        <w:rPr>
          <w:color w:val="231F20"/>
          <w:sz w:val="20"/>
        </w:rPr>
        <w:t>the</w:t>
      </w:r>
      <w:r>
        <w:rPr>
          <w:color w:val="231F20"/>
          <w:spacing w:val="23"/>
          <w:sz w:val="20"/>
        </w:rPr>
        <w:t> </w:t>
      </w:r>
      <w:r>
        <w:rPr>
          <w:color w:val="231F20"/>
          <w:sz w:val="20"/>
        </w:rPr>
        <w:t>view</w:t>
      </w:r>
      <w:r>
        <w:rPr>
          <w:color w:val="231F20"/>
          <w:spacing w:val="23"/>
          <w:sz w:val="20"/>
        </w:rPr>
        <w:t> </w:t>
      </w:r>
      <w:r>
        <w:rPr>
          <w:color w:val="231F20"/>
          <w:sz w:val="20"/>
        </w:rPr>
        <w:t>to</w:t>
      </w:r>
      <w:r>
        <w:rPr>
          <w:color w:val="231F20"/>
          <w:spacing w:val="23"/>
          <w:sz w:val="20"/>
        </w:rPr>
        <w:t> </w:t>
      </w:r>
      <w:r>
        <w:rPr>
          <w:color w:val="231F20"/>
          <w:sz w:val="20"/>
        </w:rPr>
        <w:t>occupy</w:t>
      </w:r>
      <w:r>
        <w:rPr>
          <w:color w:val="231F20"/>
          <w:spacing w:val="23"/>
          <w:sz w:val="20"/>
        </w:rPr>
        <w:t> </w:t>
      </w:r>
      <w:r>
        <w:rPr>
          <w:color w:val="231F20"/>
          <w:sz w:val="20"/>
        </w:rPr>
        <w:t>a</w:t>
      </w:r>
      <w:r>
        <w:rPr>
          <w:color w:val="231F20"/>
          <w:spacing w:val="23"/>
          <w:sz w:val="20"/>
        </w:rPr>
        <w:t> </w:t>
      </w:r>
      <w:r>
        <w:rPr>
          <w:color w:val="231F20"/>
          <w:sz w:val="20"/>
        </w:rPr>
        <w:t>new</w:t>
      </w:r>
      <w:r>
        <w:rPr>
          <w:color w:val="231F20"/>
          <w:spacing w:val="23"/>
          <w:sz w:val="20"/>
        </w:rPr>
        <w:t> </w:t>
      </w:r>
      <w:r>
        <w:rPr>
          <w:color w:val="231F20"/>
          <w:sz w:val="20"/>
        </w:rPr>
        <w:t>space,</w:t>
      </w:r>
      <w:r>
        <w:rPr>
          <w:color w:val="231F20"/>
          <w:spacing w:val="23"/>
          <w:sz w:val="20"/>
        </w:rPr>
        <w:t> </w:t>
      </w:r>
      <w:r>
        <w:rPr>
          <w:color w:val="231F20"/>
          <w:sz w:val="20"/>
        </w:rPr>
        <w:t>click</w:t>
      </w:r>
      <w:r>
        <w:rPr>
          <w:color w:val="231F20"/>
          <w:spacing w:val="40"/>
          <w:sz w:val="20"/>
        </w:rPr>
        <w:t> </w:t>
      </w:r>
      <w:r>
        <w:rPr>
          <w:color w:val="231F20"/>
          <w:spacing w:val="-15"/>
          <w:position w:val="-1"/>
          <w:sz w:val="20"/>
        </w:rPr>
        <w:drawing>
          <wp:inline distT="0" distB="0" distL="0" distR="0">
            <wp:extent cx="88900" cy="88900"/>
            <wp:effectExtent l="0" t="0" r="0" b="0"/>
            <wp:docPr id="1367" name="Image 1367"/>
            <wp:cNvGraphicFramePr>
              <a:graphicFrameLocks/>
            </wp:cNvGraphicFramePr>
            <a:graphic>
              <a:graphicData uri="http://schemas.openxmlformats.org/drawingml/2006/picture">
                <pic:pic>
                  <pic:nvPicPr>
                    <pic:cNvPr id="1367" name="Image 1367"/>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rFonts w:ascii="Book Antiqua"/>
          <w:b/>
          <w:color w:val="231F20"/>
          <w:sz w:val="20"/>
        </w:rPr>
        <w:t>Split</w:t>
      </w:r>
      <w:r>
        <w:rPr>
          <w:rFonts w:ascii="Book Antiqua"/>
          <w:b/>
          <w:color w:val="231F20"/>
          <w:spacing w:val="23"/>
          <w:sz w:val="20"/>
        </w:rPr>
        <w:t> </w:t>
      </w:r>
      <w:r>
        <w:rPr>
          <w:rFonts w:ascii="Book Antiqua"/>
          <w:b/>
          <w:color w:val="231F20"/>
          <w:sz w:val="20"/>
        </w:rPr>
        <w:t>Vertically</w:t>
      </w:r>
      <w:r>
        <w:rPr>
          <w:rFonts w:ascii="Book Antiqua"/>
          <w:b/>
          <w:color w:val="231F20"/>
          <w:spacing w:val="23"/>
          <w:sz w:val="20"/>
        </w:rPr>
        <w:t> </w:t>
      </w:r>
      <w:r>
        <w:rPr>
          <w:color w:val="231F20"/>
          <w:sz w:val="20"/>
        </w:rPr>
        <w:t>or</w:t>
      </w:r>
      <w:r>
        <w:rPr>
          <w:color w:val="231F20"/>
          <w:spacing w:val="40"/>
          <w:sz w:val="20"/>
        </w:rPr>
        <w:t> </w:t>
      </w:r>
      <w:r>
        <w:rPr>
          <w:color w:val="231F20"/>
          <w:spacing w:val="-14"/>
          <w:position w:val="-1"/>
          <w:sz w:val="20"/>
        </w:rPr>
        <w:drawing>
          <wp:inline distT="0" distB="0" distL="0" distR="0">
            <wp:extent cx="88900" cy="88900"/>
            <wp:effectExtent l="0" t="0" r="0" b="0"/>
            <wp:docPr id="1368" name="Image 1368"/>
            <wp:cNvGraphicFramePr>
              <a:graphicFrameLocks/>
            </wp:cNvGraphicFramePr>
            <a:graphic>
              <a:graphicData uri="http://schemas.openxmlformats.org/drawingml/2006/picture">
                <pic:pic>
                  <pic:nvPicPr>
                    <pic:cNvPr id="1368" name="Image 1368"/>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position w:val="-1"/>
          <w:sz w:val="20"/>
        </w:rPr>
        <w:t> </w:t>
      </w:r>
      <w:r>
        <w:rPr>
          <w:rFonts w:ascii="Book Antiqua"/>
          <w:b/>
          <w:color w:val="231F20"/>
          <w:sz w:val="20"/>
        </w:rPr>
        <w:t>Split Horizontally </w:t>
      </w:r>
      <w:r>
        <w:rPr>
          <w:color w:val="231F20"/>
          <w:sz w:val="20"/>
        </w:rPr>
        <w:t>in an existing view. The pane divides and a duplicate is created. If you split the Navigator, the new view is empty. If you do not see the</w:t>
      </w:r>
      <w:r>
        <w:rPr>
          <w:color w:val="231F20"/>
          <w:spacing w:val="80"/>
          <w:sz w:val="20"/>
        </w:rPr>
        <w:t> </w:t>
      </w:r>
      <w:r>
        <w:rPr>
          <w:color w:val="231F20"/>
          <w:position w:val="-1"/>
          <w:sz w:val="20"/>
        </w:rPr>
        <w:drawing>
          <wp:inline distT="0" distB="0" distL="0" distR="0">
            <wp:extent cx="88900" cy="88900"/>
            <wp:effectExtent l="0" t="0" r="0" b="0"/>
            <wp:docPr id="1369" name="Image 1369"/>
            <wp:cNvGraphicFramePr>
              <a:graphicFrameLocks/>
            </wp:cNvGraphicFramePr>
            <a:graphic>
              <a:graphicData uri="http://schemas.openxmlformats.org/drawingml/2006/picture">
                <pic:pic>
                  <pic:nvPicPr>
                    <pic:cNvPr id="1369" name="Image 1369"/>
                    <pic:cNvPicPr/>
                  </pic:nvPicPr>
                  <pic:blipFill>
                    <a:blip r:embed="rId66" cstate="print"/>
                    <a:stretch>
                      <a:fillRect/>
                    </a:stretch>
                  </pic:blipFill>
                  <pic:spPr>
                    <a:xfrm>
                      <a:off x="0" y="0"/>
                      <a:ext cx="88900" cy="88900"/>
                    </a:xfrm>
                    <a:prstGeom prst="rect">
                      <a:avLst/>
                    </a:prstGeom>
                  </pic:spPr>
                </pic:pic>
              </a:graphicData>
            </a:graphic>
          </wp:inline>
        </w:drawing>
      </w:r>
      <w:r>
        <w:rPr>
          <w:color w:val="231F20"/>
          <w:position w:val="-1"/>
          <w:sz w:val="20"/>
        </w:rPr>
      </w:r>
      <w:r>
        <w:rPr>
          <w:rFonts w:ascii="Times New Roman"/>
          <w:color w:val="231F20"/>
          <w:spacing w:val="40"/>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370" name="Image 1370"/>
            <wp:cNvGraphicFramePr>
              <a:graphicFrameLocks/>
            </wp:cNvGraphicFramePr>
            <a:graphic>
              <a:graphicData uri="http://schemas.openxmlformats.org/drawingml/2006/picture">
                <pic:pic>
                  <pic:nvPicPr>
                    <pic:cNvPr id="1370" name="Image 1370"/>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tools, the Split Pane Toolbar has been disabled. Select it from the View</w:t>
      </w:r>
      <w:r>
        <w:rPr>
          <w:color w:val="231F20"/>
          <w:spacing w:val="40"/>
          <w:sz w:val="20"/>
        </w:rPr>
        <w:t> </w:t>
      </w:r>
      <w:r>
        <w:rPr>
          <w:color w:val="231F20"/>
          <w:sz w:val="20"/>
        </w:rPr>
        <w:t>menu to enable it. You can also right-click inside a view and select</w:t>
      </w:r>
      <w:r>
        <w:rPr>
          <w:color w:val="231F20"/>
          <w:spacing w:val="40"/>
          <w:sz w:val="20"/>
        </w:rPr>
        <w:t> </w:t>
      </w:r>
      <w:r>
        <w:rPr>
          <w:color w:val="231F20"/>
          <w:spacing w:val="-15"/>
          <w:position w:val="-1"/>
          <w:sz w:val="20"/>
        </w:rPr>
        <w:drawing>
          <wp:inline distT="0" distB="0" distL="0" distR="0">
            <wp:extent cx="88900" cy="88900"/>
            <wp:effectExtent l="0" t="0" r="0" b="0"/>
            <wp:docPr id="1371" name="Image 1371"/>
            <wp:cNvGraphicFramePr>
              <a:graphicFrameLocks/>
            </wp:cNvGraphicFramePr>
            <a:graphic>
              <a:graphicData uri="http://schemas.openxmlformats.org/drawingml/2006/picture">
                <pic:pic>
                  <pic:nvPicPr>
                    <pic:cNvPr id="1371" name="Image 1371"/>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Split Vertically </w:t>
      </w:r>
      <w:r>
        <w:rPr>
          <w:color w:val="231F20"/>
          <w:sz w:val="20"/>
        </w:rPr>
        <w:t>or</w:t>
      </w:r>
      <w:r>
        <w:rPr>
          <w:color w:val="231F20"/>
          <w:spacing w:val="40"/>
          <w:sz w:val="20"/>
        </w:rPr>
        <w:t> </w:t>
      </w:r>
      <w:r>
        <w:rPr>
          <w:color w:val="231F20"/>
          <w:spacing w:val="-14"/>
          <w:position w:val="-1"/>
          <w:sz w:val="20"/>
        </w:rPr>
        <w:drawing>
          <wp:inline distT="0" distB="0" distL="0" distR="0">
            <wp:extent cx="88900" cy="88900"/>
            <wp:effectExtent l="0" t="0" r="0" b="0"/>
            <wp:docPr id="1372" name="Image 1372"/>
            <wp:cNvGraphicFramePr>
              <a:graphicFrameLocks/>
            </wp:cNvGraphicFramePr>
            <a:graphic>
              <a:graphicData uri="http://schemas.openxmlformats.org/drawingml/2006/picture">
                <pic:pic>
                  <pic:nvPicPr>
                    <pic:cNvPr id="1372" name="Image 1372"/>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rFonts w:ascii="Book Antiqua"/>
          <w:b/>
          <w:color w:val="231F20"/>
          <w:sz w:val="20"/>
        </w:rPr>
        <w:t>Split Horizontally </w:t>
      </w:r>
      <w:r>
        <w:rPr>
          <w:color w:val="231F20"/>
          <w:sz w:val="20"/>
        </w:rPr>
        <w:t>from the pop-up menu.</w:t>
      </w:r>
    </w:p>
    <w:p>
      <w:pPr>
        <w:pStyle w:val="ListParagraph"/>
        <w:numPr>
          <w:ilvl w:val="0"/>
          <w:numId w:val="59"/>
        </w:numPr>
        <w:tabs>
          <w:tab w:pos="2787" w:val="left" w:leader="none"/>
        </w:tabs>
        <w:spacing w:line="240" w:lineRule="auto" w:before="37" w:after="0"/>
        <w:ind w:left="2787" w:right="0" w:hanging="315"/>
        <w:jc w:val="left"/>
        <w:rPr>
          <w:rFonts w:ascii="Arial"/>
          <w:color w:val="231F20"/>
          <w:position w:val="1"/>
          <w:sz w:val="20"/>
        </w:rPr>
      </w:pPr>
      <w:r>
        <w:rPr>
          <w:color w:val="231F20"/>
          <w:position w:val="1"/>
          <w:sz w:val="20"/>
        </w:rPr>
        <w:t>Click</w:t>
      </w:r>
      <w:r>
        <w:rPr>
          <w:color w:val="231F20"/>
          <w:spacing w:val="23"/>
          <w:position w:val="1"/>
          <w:sz w:val="20"/>
        </w:rPr>
        <w:t> </w:t>
      </w:r>
      <w:r>
        <w:rPr>
          <w:color w:val="231F20"/>
          <w:spacing w:val="-24"/>
          <w:sz w:val="20"/>
        </w:rPr>
        <w:drawing>
          <wp:inline distT="0" distB="0" distL="0" distR="0">
            <wp:extent cx="95250" cy="88900"/>
            <wp:effectExtent l="0" t="0" r="0" b="0"/>
            <wp:docPr id="1373" name="Image 1373"/>
            <wp:cNvGraphicFramePr>
              <a:graphicFrameLocks/>
            </wp:cNvGraphicFramePr>
            <a:graphic>
              <a:graphicData uri="http://schemas.openxmlformats.org/drawingml/2006/picture">
                <pic:pic>
                  <pic:nvPicPr>
                    <pic:cNvPr id="1373" name="Image 1373"/>
                    <pic:cNvPicPr/>
                  </pic:nvPicPr>
                  <pic:blipFill>
                    <a:blip r:embed="rId57" cstate="print"/>
                    <a:stretch>
                      <a:fillRect/>
                    </a:stretch>
                  </pic:blipFill>
                  <pic:spPr>
                    <a:xfrm>
                      <a:off x="0" y="0"/>
                      <a:ext cx="95250" cy="88900"/>
                    </a:xfrm>
                    <a:prstGeom prst="rect">
                      <a:avLst/>
                    </a:prstGeom>
                  </pic:spPr>
                </pic:pic>
              </a:graphicData>
            </a:graphic>
          </wp:inline>
        </w:drawing>
      </w:r>
      <w:r>
        <w:rPr>
          <w:color w:val="231F20"/>
          <w:spacing w:val="-24"/>
          <w:sz w:val="20"/>
        </w:rPr>
      </w:r>
      <w:r>
        <w:rPr>
          <w:rFonts w:ascii="Times New Roman"/>
          <w:color w:val="231F20"/>
          <w:spacing w:val="21"/>
          <w:position w:val="1"/>
          <w:sz w:val="20"/>
        </w:rPr>
        <w:t> </w:t>
      </w:r>
      <w:r>
        <w:rPr>
          <w:rFonts w:ascii="Book Antiqua"/>
          <w:b/>
          <w:color w:val="231F20"/>
          <w:spacing w:val="-2"/>
          <w:position w:val="1"/>
          <w:sz w:val="20"/>
        </w:rPr>
        <w:t>Topology</w:t>
      </w:r>
      <w:r>
        <w:rPr>
          <w:color w:val="231F20"/>
          <w:spacing w:val="-2"/>
          <w:position w:val="1"/>
          <w:sz w:val="20"/>
        </w:rPr>
        <w:t>.</w:t>
      </w:r>
    </w:p>
    <w:p>
      <w:pPr>
        <w:pStyle w:val="ListParagraph"/>
        <w:numPr>
          <w:ilvl w:val="0"/>
          <w:numId w:val="59"/>
        </w:numPr>
        <w:tabs>
          <w:tab w:pos="2787" w:val="left" w:leader="none"/>
        </w:tabs>
        <w:spacing w:line="240" w:lineRule="auto" w:before="25" w:after="0"/>
        <w:ind w:left="2787" w:right="0" w:hanging="315"/>
        <w:jc w:val="left"/>
        <w:rPr>
          <w:rFonts w:ascii="Arial"/>
          <w:color w:val="231F20"/>
          <w:sz w:val="20"/>
        </w:rPr>
      </w:pPr>
      <w:r>
        <w:rPr>
          <w:color w:val="231F20"/>
          <w:sz w:val="20"/>
        </w:rPr>
        <w:t>Click</w:t>
      </w:r>
      <w:r>
        <w:rPr>
          <w:color w:val="231F20"/>
          <w:spacing w:val="12"/>
          <w:sz w:val="20"/>
        </w:rPr>
        <w:t> </w:t>
      </w:r>
      <w:r>
        <w:rPr>
          <w:color w:val="231F20"/>
          <w:sz w:val="20"/>
        </w:rPr>
        <w:t>inside</w:t>
      </w:r>
      <w:r>
        <w:rPr>
          <w:color w:val="231F20"/>
          <w:spacing w:val="12"/>
          <w:sz w:val="20"/>
        </w:rPr>
        <w:t> </w:t>
      </w:r>
      <w:r>
        <w:rPr>
          <w:color w:val="231F20"/>
          <w:sz w:val="20"/>
        </w:rPr>
        <w:t>the</w:t>
      </w:r>
      <w:r>
        <w:rPr>
          <w:color w:val="231F20"/>
          <w:spacing w:val="12"/>
          <w:sz w:val="20"/>
        </w:rPr>
        <w:t> </w:t>
      </w:r>
      <w:r>
        <w:rPr>
          <w:color w:val="231F20"/>
          <w:sz w:val="20"/>
        </w:rPr>
        <w:t>space</w:t>
      </w:r>
      <w:r>
        <w:rPr>
          <w:color w:val="231F20"/>
          <w:spacing w:val="12"/>
          <w:sz w:val="20"/>
        </w:rPr>
        <w:t> </w:t>
      </w:r>
      <w:r>
        <w:rPr>
          <w:color w:val="231F20"/>
          <w:sz w:val="20"/>
        </w:rPr>
        <w:t>to</w:t>
      </w:r>
      <w:r>
        <w:rPr>
          <w:color w:val="231F20"/>
          <w:spacing w:val="12"/>
          <w:sz w:val="20"/>
        </w:rPr>
        <w:t> </w:t>
      </w:r>
      <w:r>
        <w:rPr>
          <w:color w:val="231F20"/>
          <w:sz w:val="20"/>
        </w:rPr>
        <w:t>adopt</w:t>
      </w:r>
      <w:r>
        <w:rPr>
          <w:color w:val="231F20"/>
          <w:spacing w:val="12"/>
          <w:sz w:val="20"/>
        </w:rPr>
        <w:t> </w:t>
      </w:r>
      <w:r>
        <w:rPr>
          <w:color w:val="231F20"/>
          <w:sz w:val="20"/>
        </w:rPr>
        <w:t>the</w:t>
      </w:r>
      <w:r>
        <w:rPr>
          <w:color w:val="231F20"/>
          <w:spacing w:val="12"/>
          <w:sz w:val="20"/>
        </w:rPr>
        <w:t> </w:t>
      </w:r>
      <w:r>
        <w:rPr>
          <w:color w:val="231F20"/>
          <w:sz w:val="20"/>
        </w:rPr>
        <w:t>new</w:t>
      </w:r>
      <w:r>
        <w:rPr>
          <w:color w:val="231F20"/>
          <w:spacing w:val="12"/>
          <w:sz w:val="20"/>
        </w:rPr>
        <w:t> </w:t>
      </w:r>
      <w:r>
        <w:rPr>
          <w:color w:val="231F20"/>
          <w:spacing w:val="-2"/>
          <w:sz w:val="20"/>
        </w:rPr>
        <w:t>view.</w:t>
      </w:r>
    </w:p>
    <w:p>
      <w:pPr>
        <w:pStyle w:val="Heading5"/>
        <w:spacing w:before="212"/>
      </w:pPr>
      <w:r>
        <w:rPr>
          <w:color w:val="231F20"/>
          <w:spacing w:val="-2"/>
        </w:rPr>
        <w:t>Results</w:t>
      </w:r>
    </w:p>
    <w:p>
      <w:pPr>
        <w:pStyle w:val="BodyText"/>
        <w:spacing w:line="213" w:lineRule="auto" w:before="246"/>
        <w:ind w:left="2472" w:right="274"/>
      </w:pPr>
      <w:r>
        <w:rPr>
          <w:color w:val="231F20"/>
        </w:rPr>
        <w:t>The hub monitoring server is shown with the components that connect to it</w:t>
      </w:r>
      <w:r>
        <w:rPr>
          <w:color w:val="231F20"/>
          <w:spacing w:val="40"/>
        </w:rPr>
        <w:t> </w:t>
      </w:r>
      <w:r>
        <w:rPr>
          <w:color w:val="231F20"/>
        </w:rPr>
        <w:t>arranged topologically. If, instead of a topology view, a table view is displayed, the number of objects to display exceeds the threshold.</w:t>
      </w:r>
    </w:p>
    <w:p>
      <w:pPr>
        <w:pStyle w:val="Heading4"/>
        <w:spacing w:line="273" w:lineRule="exact" w:before="164"/>
        <w:ind w:left="2472"/>
      </w:pPr>
      <w:r>
        <w:rPr>
          <w:color w:val="231F20"/>
        </w:rPr>
        <w:t>Understanding</w:t>
      </w:r>
      <w:r>
        <w:rPr>
          <w:color w:val="231F20"/>
          <w:spacing w:val="2"/>
        </w:rPr>
        <w:t> </w:t>
      </w:r>
      <w:r>
        <w:rPr>
          <w:color w:val="231F20"/>
        </w:rPr>
        <w:t>the</w:t>
      </w:r>
      <w:r>
        <w:rPr>
          <w:color w:val="231F20"/>
          <w:spacing w:val="3"/>
        </w:rPr>
        <w:t> </w:t>
      </w:r>
      <w:r>
        <w:rPr>
          <w:color w:val="231F20"/>
        </w:rPr>
        <w:t>TMS</w:t>
      </w:r>
      <w:r>
        <w:rPr>
          <w:color w:val="231F20"/>
          <w:spacing w:val="3"/>
        </w:rPr>
        <w:t> </w:t>
      </w:r>
      <w:r>
        <w:rPr>
          <w:color w:val="231F20"/>
        </w:rPr>
        <w:t>Infrastructure</w:t>
      </w:r>
      <w:r>
        <w:rPr>
          <w:color w:val="231F20"/>
          <w:spacing w:val="2"/>
        </w:rPr>
        <w:t> </w:t>
      </w:r>
      <w:r>
        <w:rPr>
          <w:color w:val="231F20"/>
          <w:spacing w:val="-4"/>
        </w:rPr>
        <w:t>view</w:t>
      </w:r>
    </w:p>
    <w:p>
      <w:pPr>
        <w:pStyle w:val="BodyText"/>
        <w:spacing w:line="213" w:lineRule="auto" w:before="20"/>
        <w:ind w:left="2472" w:right="258"/>
      </w:pPr>
      <w:r>
        <w:rPr>
          <w:color w:val="231F20"/>
        </w:rPr>
        <w:t>The</w:t>
      </w:r>
      <w:r>
        <w:rPr>
          <w:color w:val="231F20"/>
          <w:spacing w:val="31"/>
        </w:rPr>
        <w:t> </w:t>
      </w:r>
      <w:r>
        <w:rPr>
          <w:color w:val="231F20"/>
        </w:rPr>
        <w:t>monitored</w:t>
      </w:r>
      <w:r>
        <w:rPr>
          <w:color w:val="231F20"/>
          <w:spacing w:val="31"/>
        </w:rPr>
        <w:t> </w:t>
      </w:r>
      <w:r>
        <w:rPr>
          <w:color w:val="231F20"/>
        </w:rPr>
        <w:t>network</w:t>
      </w:r>
      <w:r>
        <w:rPr>
          <w:color w:val="231F20"/>
          <w:spacing w:val="31"/>
        </w:rPr>
        <w:t> </w:t>
      </w:r>
      <w:r>
        <w:rPr>
          <w:color w:val="231F20"/>
        </w:rPr>
        <w:t>configuration</w:t>
      </w:r>
      <w:r>
        <w:rPr>
          <w:color w:val="231F20"/>
          <w:spacing w:val="31"/>
        </w:rPr>
        <w:t> </w:t>
      </w:r>
      <w:r>
        <w:rPr>
          <w:color w:val="231F20"/>
        </w:rPr>
        <w:t>and</w:t>
      </w:r>
      <w:r>
        <w:rPr>
          <w:color w:val="231F20"/>
          <w:spacing w:val="31"/>
        </w:rPr>
        <w:t> </w:t>
      </w:r>
      <w:r>
        <w:rPr>
          <w:color w:val="231F20"/>
        </w:rPr>
        <w:t>status</w:t>
      </w:r>
      <w:r>
        <w:rPr>
          <w:color w:val="231F20"/>
          <w:spacing w:val="31"/>
        </w:rPr>
        <w:t> </w:t>
      </w:r>
      <w:r>
        <w:rPr>
          <w:color w:val="231F20"/>
        </w:rPr>
        <w:t>information</w:t>
      </w:r>
      <w:r>
        <w:rPr>
          <w:color w:val="231F20"/>
          <w:spacing w:val="31"/>
        </w:rPr>
        <w:t> </w:t>
      </w:r>
      <w:r>
        <w:rPr>
          <w:color w:val="231F20"/>
        </w:rPr>
        <w:t>are</w:t>
      </w:r>
      <w:r>
        <w:rPr>
          <w:color w:val="231F20"/>
          <w:spacing w:val="31"/>
        </w:rPr>
        <w:t> </w:t>
      </w:r>
      <w:r>
        <w:rPr>
          <w:color w:val="231F20"/>
        </w:rPr>
        <w:t>collected</w:t>
      </w:r>
      <w:r>
        <w:rPr>
          <w:color w:val="231F20"/>
          <w:spacing w:val="31"/>
        </w:rPr>
        <w:t> </w:t>
      </w:r>
      <w:r>
        <w:rPr>
          <w:color w:val="231F20"/>
        </w:rPr>
        <w:t>and then arranged in the TMS Infrastructure topology view. In the initial base view, the Tivoli Management Services infrastructure of the hub monitoring server and portal server are displayed. If the infrastructure includes a warehouse proxy and summarization</w:t>
      </w:r>
      <w:r>
        <w:rPr>
          <w:color w:val="231F20"/>
          <w:spacing w:val="29"/>
        </w:rPr>
        <w:t> </w:t>
      </w:r>
      <w:r>
        <w:rPr>
          <w:color w:val="231F20"/>
        </w:rPr>
        <w:t>and</w:t>
      </w:r>
      <w:r>
        <w:rPr>
          <w:color w:val="231F20"/>
          <w:spacing w:val="29"/>
        </w:rPr>
        <w:t> </w:t>
      </w:r>
      <w:r>
        <w:rPr>
          <w:color w:val="231F20"/>
        </w:rPr>
        <w:t>pruning</w:t>
      </w:r>
      <w:r>
        <w:rPr>
          <w:color w:val="231F20"/>
          <w:spacing w:val="29"/>
        </w:rPr>
        <w:t> </w:t>
      </w:r>
      <w:r>
        <w:rPr>
          <w:color w:val="231F20"/>
        </w:rPr>
        <w:t>agent,</w:t>
      </w:r>
      <w:r>
        <w:rPr>
          <w:color w:val="231F20"/>
          <w:spacing w:val="29"/>
        </w:rPr>
        <w:t> </w:t>
      </w:r>
      <w:r>
        <w:rPr>
          <w:color w:val="231F20"/>
        </w:rPr>
        <w:t>or</w:t>
      </w:r>
      <w:r>
        <w:rPr>
          <w:color w:val="231F20"/>
          <w:spacing w:val="29"/>
        </w:rPr>
        <w:t> </w:t>
      </w:r>
      <w:r>
        <w:rPr>
          <w:color w:val="231F20"/>
        </w:rPr>
        <w:t>any</w:t>
      </w:r>
      <w:r>
        <w:rPr>
          <w:color w:val="231F20"/>
          <w:spacing w:val="29"/>
        </w:rPr>
        <w:t> </w:t>
      </w:r>
      <w:r>
        <w:rPr>
          <w:color w:val="231F20"/>
        </w:rPr>
        <w:t>remote</w:t>
      </w:r>
      <w:r>
        <w:rPr>
          <w:color w:val="231F20"/>
          <w:spacing w:val="29"/>
        </w:rPr>
        <w:t> </w:t>
      </w:r>
      <w:r>
        <w:rPr>
          <w:color w:val="231F20"/>
        </w:rPr>
        <w:t>monitoring</w:t>
      </w:r>
      <w:r>
        <w:rPr>
          <w:color w:val="231F20"/>
          <w:spacing w:val="29"/>
        </w:rPr>
        <w:t> </w:t>
      </w:r>
      <w:r>
        <w:rPr>
          <w:color w:val="231F20"/>
        </w:rPr>
        <w:t>servers,</w:t>
      </w:r>
      <w:r>
        <w:rPr>
          <w:color w:val="231F20"/>
          <w:spacing w:val="29"/>
        </w:rPr>
        <w:t> </w:t>
      </w:r>
      <w:r>
        <w:rPr>
          <w:color w:val="231F20"/>
        </w:rPr>
        <w:t>they</w:t>
      </w:r>
      <w:r>
        <w:rPr>
          <w:color w:val="231F20"/>
          <w:spacing w:val="29"/>
        </w:rPr>
        <w:t> </w:t>
      </w:r>
      <w:r>
        <w:rPr>
          <w:color w:val="231F20"/>
        </w:rPr>
        <w:t>will also</w:t>
      </w:r>
      <w:r>
        <w:rPr>
          <w:color w:val="231F20"/>
          <w:spacing w:val="26"/>
        </w:rPr>
        <w:t> </w:t>
      </w:r>
      <w:r>
        <w:rPr>
          <w:color w:val="231F20"/>
        </w:rPr>
        <w:t>be</w:t>
      </w:r>
      <w:r>
        <w:rPr>
          <w:color w:val="231F20"/>
          <w:spacing w:val="26"/>
        </w:rPr>
        <w:t> </w:t>
      </w:r>
      <w:r>
        <w:rPr>
          <w:color w:val="231F20"/>
        </w:rPr>
        <w:t>displayed.</w:t>
      </w:r>
      <w:r>
        <w:rPr>
          <w:color w:val="231F20"/>
          <w:spacing w:val="26"/>
        </w:rPr>
        <w:t> </w:t>
      </w:r>
      <w:r>
        <w:rPr>
          <w:color w:val="231F20"/>
        </w:rPr>
        <w:t>Double-click</w:t>
      </w:r>
      <w:r>
        <w:rPr>
          <w:color w:val="231F20"/>
          <w:spacing w:val="40"/>
        </w:rPr>
        <w:t> </w:t>
      </w:r>
      <w:r>
        <w:rPr>
          <w:color w:val="231F20"/>
          <w:spacing w:val="5"/>
        </w:rPr>
        <w:drawing>
          <wp:inline distT="0" distB="0" distL="0" distR="0">
            <wp:extent cx="69850" cy="69850"/>
            <wp:effectExtent l="0" t="0" r="0" b="0"/>
            <wp:docPr id="1374" name="Image 1374"/>
            <wp:cNvGraphicFramePr>
              <a:graphicFrameLocks/>
            </wp:cNvGraphicFramePr>
            <a:graphic>
              <a:graphicData uri="http://schemas.openxmlformats.org/drawingml/2006/picture">
                <pic:pic>
                  <pic:nvPicPr>
                    <pic:cNvPr id="1374" name="Image 1374"/>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rPr>
        <w:t> </w:t>
      </w:r>
      <w:r>
        <w:rPr>
          <w:color w:val="231F20"/>
        </w:rPr>
        <w:t>Expand</w:t>
      </w:r>
      <w:r>
        <w:rPr>
          <w:color w:val="231F20"/>
          <w:spacing w:val="26"/>
        </w:rPr>
        <w:t> </w:t>
      </w:r>
      <w:r>
        <w:rPr>
          <w:color w:val="231F20"/>
        </w:rPr>
        <w:t>to</w:t>
      </w:r>
      <w:r>
        <w:rPr>
          <w:color w:val="231F20"/>
          <w:spacing w:val="26"/>
        </w:rPr>
        <w:t> </w:t>
      </w:r>
      <w:r>
        <w:rPr>
          <w:color w:val="231F20"/>
        </w:rPr>
        <w:t>drill</w:t>
      </w:r>
      <w:r>
        <w:rPr>
          <w:color w:val="231F20"/>
          <w:spacing w:val="26"/>
        </w:rPr>
        <w:t> </w:t>
      </w:r>
      <w:r>
        <w:rPr>
          <w:color w:val="231F20"/>
        </w:rPr>
        <w:t>down</w:t>
      </w:r>
      <w:r>
        <w:rPr>
          <w:color w:val="231F20"/>
          <w:spacing w:val="26"/>
        </w:rPr>
        <w:t> </w:t>
      </w:r>
      <w:r>
        <w:rPr>
          <w:color w:val="231F20"/>
        </w:rPr>
        <w:t>on</w:t>
      </w:r>
      <w:r>
        <w:rPr>
          <w:color w:val="231F20"/>
          <w:spacing w:val="26"/>
        </w:rPr>
        <w:t> </w:t>
      </w:r>
      <w:r>
        <w:rPr>
          <w:color w:val="231F20"/>
        </w:rPr>
        <w:t>a</w:t>
      </w:r>
      <w:r>
        <w:rPr>
          <w:color w:val="231F20"/>
          <w:spacing w:val="26"/>
        </w:rPr>
        <w:t> </w:t>
      </w:r>
      <w:r>
        <w:rPr>
          <w:color w:val="231F20"/>
        </w:rPr>
        <w:t>monitoring</w:t>
      </w:r>
      <w:r>
        <w:rPr>
          <w:color w:val="231F20"/>
          <w:spacing w:val="26"/>
        </w:rPr>
        <w:t> </w:t>
      </w:r>
      <w:r>
        <w:rPr>
          <w:color w:val="231F20"/>
        </w:rPr>
        <w:t>server and reveal all the agents reporting to it. Any offline components are indicated by a </w:t>
      </w:r>
      <w:r>
        <w:rPr>
          <w:color w:val="231F20"/>
          <w:position w:val="1"/>
        </w:rPr>
        <w:t>red alert indicator, such as </w:t>
      </w:r>
      <w:r>
        <w:rPr>
          <w:color w:val="231F20"/>
          <w:spacing w:val="16"/>
        </w:rPr>
        <w:drawing>
          <wp:inline distT="0" distB="0" distL="0" distR="0">
            <wp:extent cx="101600" cy="95250"/>
            <wp:effectExtent l="0" t="0" r="0" b="0"/>
            <wp:docPr id="1375" name="Image 1375"/>
            <wp:cNvGraphicFramePr>
              <a:graphicFrameLocks/>
            </wp:cNvGraphicFramePr>
            <a:graphic>
              <a:graphicData uri="http://schemas.openxmlformats.org/drawingml/2006/picture">
                <pic:pic>
                  <pic:nvPicPr>
                    <pic:cNvPr id="1375" name="Image 1375"/>
                    <pic:cNvPicPr/>
                  </pic:nvPicPr>
                  <pic:blipFill>
                    <a:blip r:embed="rId266" cstate="print"/>
                    <a:stretch>
                      <a:fillRect/>
                    </a:stretch>
                  </pic:blipFill>
                  <pic:spPr>
                    <a:xfrm>
                      <a:off x="0" y="0"/>
                      <a:ext cx="101600" cy="95250"/>
                    </a:xfrm>
                    <a:prstGeom prst="rect">
                      <a:avLst/>
                    </a:prstGeom>
                  </pic:spPr>
                </pic:pic>
              </a:graphicData>
            </a:graphic>
          </wp:inline>
        </w:drawing>
      </w:r>
      <w:r>
        <w:rPr>
          <w:color w:val="231F20"/>
          <w:spacing w:val="16"/>
        </w:rPr>
      </w:r>
      <w:r>
        <w:rPr>
          <w:rFonts w:ascii="Times New Roman"/>
          <w:color w:val="231F20"/>
          <w:spacing w:val="16"/>
          <w:position w:val="1"/>
        </w:rPr>
        <w:t> </w:t>
      </w:r>
      <w:r>
        <w:rPr>
          <w:color w:val="231F20"/>
          <w:position w:val="1"/>
        </w:rPr>
        <w:t>for an offline monitoring agent. Move the mouse </w:t>
      </w:r>
      <w:r>
        <w:rPr>
          <w:color w:val="231F20"/>
        </w:rPr>
        <w:t>pointer over an object to see its status:</w:t>
      </w:r>
    </w:p>
    <w:p>
      <w:pPr>
        <w:spacing w:line="203" w:lineRule="exact" w:before="57"/>
        <w:ind w:left="2472" w:right="0" w:firstLine="0"/>
        <w:jc w:val="left"/>
        <w:rPr>
          <w:rFonts w:ascii="Arial"/>
          <w:sz w:val="18"/>
        </w:rPr>
      </w:pPr>
      <w:r>
        <w:rPr>
          <w:rFonts w:ascii="Arial"/>
          <w:color w:val="231F20"/>
          <w:spacing w:val="-2"/>
          <w:w w:val="90"/>
          <w:sz w:val="18"/>
        </w:rPr>
        <w:t>HUB_TIVOLIUSER</w:t>
      </w:r>
    </w:p>
    <w:p>
      <w:pPr>
        <w:spacing w:line="200" w:lineRule="exact" w:before="0"/>
        <w:ind w:left="2472" w:right="0" w:firstLine="0"/>
        <w:jc w:val="left"/>
        <w:rPr>
          <w:rFonts w:ascii="Arial"/>
          <w:sz w:val="18"/>
        </w:rPr>
      </w:pPr>
      <w:r>
        <w:rPr>
          <w:rFonts w:ascii="Arial"/>
          <w:color w:val="231F20"/>
          <w:spacing w:val="-2"/>
          <w:w w:val="105"/>
          <w:sz w:val="18"/>
        </w:rPr>
        <w:t>Online</w:t>
      </w:r>
    </w:p>
    <w:p>
      <w:pPr>
        <w:spacing w:line="203" w:lineRule="exact" w:before="0"/>
        <w:ind w:left="2472" w:right="0" w:firstLine="0"/>
        <w:jc w:val="left"/>
        <w:rPr>
          <w:rFonts w:ascii="Arial"/>
          <w:sz w:val="18"/>
        </w:rPr>
      </w:pPr>
      <w:r>
        <w:rPr>
          <w:rFonts w:ascii="Arial"/>
          <w:color w:val="231F20"/>
          <w:sz w:val="18"/>
        </w:rPr>
        <w:t>Resource</w:t>
      </w:r>
      <w:r>
        <w:rPr>
          <w:rFonts w:ascii="Arial"/>
          <w:color w:val="231F20"/>
          <w:spacing w:val="40"/>
          <w:sz w:val="18"/>
        </w:rPr>
        <w:t> </w:t>
      </w:r>
      <w:r>
        <w:rPr>
          <w:rFonts w:ascii="Arial"/>
          <w:color w:val="231F20"/>
          <w:sz w:val="18"/>
        </w:rPr>
        <w:t>type:</w:t>
      </w:r>
      <w:r>
        <w:rPr>
          <w:rFonts w:ascii="Arial"/>
          <w:color w:val="231F20"/>
          <w:spacing w:val="41"/>
          <w:sz w:val="18"/>
        </w:rPr>
        <w:t>  </w:t>
      </w:r>
      <w:r>
        <w:rPr>
          <w:rFonts w:ascii="Arial"/>
          <w:color w:val="231F20"/>
          <w:spacing w:val="-4"/>
          <w:sz w:val="18"/>
        </w:rPr>
        <w:t>TEMS</w:t>
      </w:r>
    </w:p>
    <w:p>
      <w:pPr>
        <w:spacing w:after="0" w:line="203" w:lineRule="exact"/>
        <w:jc w:val="left"/>
        <w:rPr>
          <w:rFonts w:ascii="Arial"/>
          <w:sz w:val="18"/>
        </w:rPr>
        <w:sectPr>
          <w:pgSz w:w="12240" w:h="15840"/>
          <w:pgMar w:header="0" w:footer="736" w:top="1160" w:bottom="920" w:left="1000" w:right="1060"/>
        </w:sectPr>
      </w:pPr>
    </w:p>
    <w:p>
      <w:pPr>
        <w:spacing w:line="230" w:lineRule="auto" w:before="74"/>
        <w:ind w:left="2232" w:right="6351" w:firstLine="0"/>
        <w:jc w:val="left"/>
        <w:rPr>
          <w:rFonts w:ascii="Arial"/>
          <w:sz w:val="18"/>
        </w:rPr>
      </w:pPr>
      <w:bookmarkStart w:name="_bookmark104" w:id="222"/>
      <w:bookmarkEnd w:id="222"/>
      <w:r>
        <w:rPr/>
      </w:r>
      <w:r>
        <w:rPr>
          <w:rFonts w:ascii="Arial"/>
          <w:color w:val="231F20"/>
          <w:sz w:val="18"/>
        </w:rPr>
        <w:t>Product:</w:t>
      </w:r>
      <w:r>
        <w:rPr>
          <w:rFonts w:ascii="Arial"/>
          <w:color w:val="231F20"/>
          <w:spacing w:val="80"/>
          <w:sz w:val="18"/>
        </w:rPr>
        <w:t> </w:t>
      </w:r>
      <w:r>
        <w:rPr>
          <w:rFonts w:ascii="Arial"/>
          <w:color w:val="231F20"/>
          <w:sz w:val="18"/>
        </w:rPr>
        <w:t>EM Version:</w:t>
      </w:r>
      <w:r>
        <w:rPr>
          <w:rFonts w:ascii="Arial"/>
          <w:color w:val="231F20"/>
          <w:spacing w:val="80"/>
          <w:sz w:val="18"/>
        </w:rPr>
        <w:t> </w:t>
      </w:r>
      <w:r>
        <w:rPr>
          <w:rFonts w:ascii="Arial"/>
          <w:color w:val="231F20"/>
          <w:sz w:val="18"/>
        </w:rPr>
        <w:t>07:10:04</w:t>
      </w:r>
    </w:p>
    <w:p>
      <w:pPr>
        <w:spacing w:line="198" w:lineRule="exact" w:before="0"/>
        <w:ind w:left="2232" w:right="0" w:firstLine="0"/>
        <w:jc w:val="left"/>
        <w:rPr>
          <w:rFonts w:ascii="Arial"/>
          <w:sz w:val="18"/>
        </w:rPr>
      </w:pPr>
      <w:r>
        <w:rPr>
          <w:rFonts w:ascii="Arial"/>
          <w:color w:val="231F20"/>
          <w:w w:val="105"/>
          <w:sz w:val="18"/>
        </w:rPr>
        <w:t>IP</w:t>
      </w:r>
      <w:r>
        <w:rPr>
          <w:rFonts w:ascii="Arial"/>
          <w:color w:val="231F20"/>
          <w:spacing w:val="27"/>
          <w:w w:val="105"/>
          <w:sz w:val="18"/>
        </w:rPr>
        <w:t> </w:t>
      </w:r>
      <w:r>
        <w:rPr>
          <w:rFonts w:ascii="Arial"/>
          <w:color w:val="231F20"/>
          <w:w w:val="105"/>
          <w:sz w:val="18"/>
        </w:rPr>
        <w:t>Address:</w:t>
      </w:r>
      <w:r>
        <w:rPr>
          <w:rFonts w:ascii="Arial"/>
          <w:color w:val="231F20"/>
          <w:spacing w:val="27"/>
          <w:w w:val="105"/>
          <w:sz w:val="18"/>
        </w:rPr>
        <w:t>  </w:t>
      </w:r>
      <w:r>
        <w:rPr>
          <w:rFonts w:ascii="Arial"/>
          <w:color w:val="231F20"/>
          <w:spacing w:val="-2"/>
          <w:w w:val="105"/>
          <w:sz w:val="18"/>
        </w:rPr>
        <w:t>9.55.105.185</w:t>
      </w:r>
    </w:p>
    <w:p>
      <w:pPr>
        <w:spacing w:line="203" w:lineRule="exact" w:before="0"/>
        <w:ind w:left="2232" w:right="0" w:firstLine="0"/>
        <w:jc w:val="left"/>
        <w:rPr>
          <w:rFonts w:ascii="Arial"/>
          <w:sz w:val="18"/>
        </w:rPr>
      </w:pPr>
      <w:r>
        <w:rPr>
          <w:rFonts w:ascii="Arial"/>
          <w:color w:val="231F20"/>
          <w:w w:val="105"/>
          <w:sz w:val="18"/>
        </w:rPr>
        <w:t>Last</w:t>
      </w:r>
      <w:r>
        <w:rPr>
          <w:rFonts w:ascii="Arial"/>
          <w:color w:val="231F20"/>
          <w:spacing w:val="41"/>
          <w:w w:val="105"/>
          <w:sz w:val="18"/>
        </w:rPr>
        <w:t> </w:t>
      </w:r>
      <w:r>
        <w:rPr>
          <w:rFonts w:ascii="Arial"/>
          <w:color w:val="231F20"/>
          <w:w w:val="105"/>
          <w:sz w:val="18"/>
        </w:rPr>
        <w:t>heartbeat:</w:t>
      </w:r>
      <w:r>
        <w:rPr>
          <w:rFonts w:ascii="Arial"/>
          <w:color w:val="231F20"/>
          <w:spacing w:val="42"/>
          <w:w w:val="105"/>
          <w:sz w:val="18"/>
        </w:rPr>
        <w:t>  </w:t>
      </w:r>
      <w:r>
        <w:rPr>
          <w:rFonts w:ascii="Arial"/>
          <w:color w:val="231F20"/>
          <w:w w:val="105"/>
          <w:sz w:val="18"/>
        </w:rPr>
        <w:t>10/02/08</w:t>
      </w:r>
      <w:r>
        <w:rPr>
          <w:rFonts w:ascii="Arial"/>
          <w:color w:val="231F20"/>
          <w:spacing w:val="41"/>
          <w:w w:val="105"/>
          <w:sz w:val="18"/>
        </w:rPr>
        <w:t> </w:t>
      </w:r>
      <w:r>
        <w:rPr>
          <w:rFonts w:ascii="Arial"/>
          <w:color w:val="231F20"/>
          <w:spacing w:val="-2"/>
          <w:w w:val="105"/>
          <w:sz w:val="18"/>
        </w:rPr>
        <w:t>21:40:28</w:t>
      </w:r>
    </w:p>
    <w:p>
      <w:pPr>
        <w:pStyle w:val="BodyText"/>
        <w:spacing w:before="42"/>
        <w:rPr>
          <w:rFonts w:ascii="Arial"/>
          <w:sz w:val="18"/>
        </w:rPr>
      </w:pPr>
    </w:p>
    <w:p>
      <w:pPr>
        <w:pStyle w:val="BodyText"/>
        <w:spacing w:line="213" w:lineRule="auto"/>
        <w:ind w:left="2232" w:right="493"/>
      </w:pPr>
      <w:r>
        <w:rPr>
          <w:color w:val="231F20"/>
        </w:rPr>
        <w:t>The status bar displays the total number of objects in the view and how many are</w:t>
      </w:r>
      <w:r>
        <w:rPr>
          <w:color w:val="231F20"/>
          <w:spacing w:val="40"/>
        </w:rPr>
        <w:t> </w:t>
      </w:r>
      <w:r>
        <w:rPr>
          <w:color w:val="231F20"/>
        </w:rPr>
        <w:t>selected, and the date and time of the last view refresh.</w:t>
      </w:r>
    </w:p>
    <w:p>
      <w:pPr>
        <w:pStyle w:val="BodyText"/>
        <w:spacing w:line="213" w:lineRule="auto" w:before="239"/>
        <w:ind w:left="2232" w:right="636"/>
      </w:pPr>
      <w:r>
        <w:rPr>
          <w:color w:val="231F20"/>
        </w:rPr>
        <w:t>The topology view can show all the monitoring components at once or show </w:t>
      </w:r>
      <w:r>
        <w:rPr>
          <w:color w:val="231F20"/>
        </w:rPr>
        <w:t>just the </w:t>
      </w:r>
      <w:r>
        <w:rPr>
          <w:rFonts w:ascii="Book Antiqua"/>
          <w:i/>
          <w:color w:val="231F20"/>
        </w:rPr>
        <w:t>base topology </w:t>
      </w:r>
      <w:r>
        <w:rPr>
          <w:color w:val="231F20"/>
        </w:rPr>
        <w:t>, which collapses the agent display under the local monitoring </w:t>
      </w:r>
      <w:r>
        <w:rPr>
          <w:color w:val="231F20"/>
          <w:spacing w:val="-2"/>
        </w:rPr>
        <w:t>server.</w:t>
      </w:r>
    </w:p>
    <w:p>
      <w:pPr>
        <w:pStyle w:val="BodyText"/>
        <w:spacing w:before="58"/>
      </w:pPr>
    </w:p>
    <w:p>
      <w:pPr>
        <w:pStyle w:val="BodyText"/>
        <w:tabs>
          <w:tab w:pos="8684" w:val="left" w:leader="none"/>
        </w:tabs>
        <w:ind w:left="2232"/>
        <w:rPr>
          <w:rFonts w:ascii="Times New Roman"/>
        </w:rPr>
      </w:pPr>
      <w:r>
        <w:rPr>
          <w:color w:val="231F20"/>
        </w:rPr>
        <w:t>Monitoring</w:t>
      </w:r>
      <w:r>
        <w:rPr>
          <w:color w:val="231F20"/>
          <w:spacing w:val="17"/>
        </w:rPr>
        <w:t> </w:t>
      </w:r>
      <w:r>
        <w:rPr>
          <w:color w:val="231F20"/>
        </w:rPr>
        <w:t>agents</w:t>
      </w:r>
      <w:r>
        <w:rPr>
          <w:color w:val="231F20"/>
          <w:spacing w:val="17"/>
        </w:rPr>
        <w:t> </w:t>
      </w:r>
      <w:r>
        <w:rPr>
          <w:color w:val="231F20"/>
        </w:rPr>
        <w:t>subsumed</w:t>
      </w:r>
      <w:r>
        <w:rPr>
          <w:color w:val="231F20"/>
          <w:spacing w:val="17"/>
        </w:rPr>
        <w:t> </w:t>
      </w:r>
      <w:r>
        <w:rPr>
          <w:color w:val="231F20"/>
        </w:rPr>
        <w:t>under</w:t>
      </w:r>
      <w:r>
        <w:rPr>
          <w:color w:val="231F20"/>
          <w:spacing w:val="17"/>
        </w:rPr>
        <w:t> </w:t>
      </w:r>
      <w:r>
        <w:rPr>
          <w:color w:val="231F20"/>
        </w:rPr>
        <w:t>the</w:t>
      </w:r>
      <w:r>
        <w:rPr>
          <w:color w:val="231F20"/>
          <w:spacing w:val="17"/>
        </w:rPr>
        <w:t> </w:t>
      </w:r>
      <w:r>
        <w:rPr>
          <w:color w:val="231F20"/>
        </w:rPr>
        <w:t>remote</w:t>
      </w:r>
      <w:r>
        <w:rPr>
          <w:color w:val="231F20"/>
          <w:spacing w:val="17"/>
        </w:rPr>
        <w:t> </w:t>
      </w:r>
      <w:r>
        <w:rPr>
          <w:color w:val="231F20"/>
        </w:rPr>
        <w:t>monitoring</w:t>
      </w:r>
      <w:r>
        <w:rPr>
          <w:color w:val="231F20"/>
          <w:spacing w:val="17"/>
        </w:rPr>
        <w:t> </w:t>
      </w:r>
      <w:r>
        <w:rPr>
          <w:color w:val="231F20"/>
        </w:rPr>
        <w:t>server:</w:t>
      </w:r>
      <w:r>
        <w:rPr>
          <w:color w:val="231F20"/>
          <w:spacing w:val="40"/>
        </w:rPr>
        <w:t> </w:t>
      </w:r>
      <w:r>
        <w:rPr>
          <w:color w:val="231F20"/>
          <w:spacing w:val="4"/>
        </w:rPr>
        <w:drawing>
          <wp:inline distT="0" distB="0" distL="0" distR="0">
            <wp:extent cx="69850" cy="69850"/>
            <wp:effectExtent l="0" t="0" r="0" b="0"/>
            <wp:docPr id="1376" name="Image 1376"/>
            <wp:cNvGraphicFramePr>
              <a:graphicFrameLocks/>
            </wp:cNvGraphicFramePr>
            <a:graphic>
              <a:graphicData uri="http://schemas.openxmlformats.org/drawingml/2006/picture">
                <pic:pic>
                  <pic:nvPicPr>
                    <pic:cNvPr id="1376" name="Image 1376"/>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4"/>
        </w:rPr>
      </w:r>
      <w:r>
        <w:rPr>
          <w:rFonts w:ascii="Times New Roman"/>
          <w:color w:val="231F20"/>
        </w:rPr>
        <w:tab/>
      </w:r>
      <w:r>
        <w:rPr>
          <w:rFonts w:ascii="Times New Roman"/>
          <w:color w:val="231F20"/>
          <w:spacing w:val="4"/>
        </w:rPr>
        <w:drawing>
          <wp:inline distT="0" distB="0" distL="0" distR="0">
            <wp:extent cx="190500" cy="266700"/>
            <wp:effectExtent l="0" t="0" r="0" b="0"/>
            <wp:docPr id="1377" name="Image 1377"/>
            <wp:cNvGraphicFramePr>
              <a:graphicFrameLocks/>
            </wp:cNvGraphicFramePr>
            <a:graphic>
              <a:graphicData uri="http://schemas.openxmlformats.org/drawingml/2006/picture">
                <pic:pic>
                  <pic:nvPicPr>
                    <pic:cNvPr id="1377" name="Image 1377"/>
                    <pic:cNvPicPr/>
                  </pic:nvPicPr>
                  <pic:blipFill>
                    <a:blip r:embed="rId267" cstate="print"/>
                    <a:stretch>
                      <a:fillRect/>
                    </a:stretch>
                  </pic:blipFill>
                  <pic:spPr>
                    <a:xfrm>
                      <a:off x="0" y="0"/>
                      <a:ext cx="190500" cy="266700"/>
                    </a:xfrm>
                    <a:prstGeom prst="rect">
                      <a:avLst/>
                    </a:prstGeom>
                  </pic:spPr>
                </pic:pic>
              </a:graphicData>
            </a:graphic>
          </wp:inline>
        </w:drawing>
      </w:r>
      <w:r>
        <w:rPr>
          <w:rFonts w:ascii="Times New Roman"/>
          <w:color w:val="231F20"/>
          <w:spacing w:val="4"/>
        </w:rPr>
      </w:r>
    </w:p>
    <w:p>
      <w:pPr>
        <w:pStyle w:val="BodyText"/>
        <w:spacing w:before="219"/>
        <w:rPr>
          <w:rFonts w:ascii="Times New Roman"/>
        </w:rPr>
      </w:pPr>
    </w:p>
    <w:p>
      <w:pPr>
        <w:spacing w:after="0"/>
        <w:rPr>
          <w:rFonts w:ascii="Times New Roman"/>
        </w:rPr>
        <w:sectPr>
          <w:pgSz w:w="12240" w:h="15840"/>
          <w:pgMar w:header="0" w:footer="736" w:top="1200" w:bottom="920" w:left="1000" w:right="1060"/>
        </w:sectPr>
      </w:pPr>
    </w:p>
    <w:p>
      <w:pPr>
        <w:pStyle w:val="BodyText"/>
        <w:spacing w:before="294"/>
        <w:rPr>
          <w:rFonts w:ascii="Times New Roman"/>
          <w:sz w:val="28"/>
        </w:rPr>
      </w:pPr>
    </w:p>
    <w:p>
      <w:pPr>
        <w:pStyle w:val="Heading3"/>
        <w:spacing w:before="0"/>
        <w:ind w:left="197"/>
      </w:pPr>
      <w:bookmarkStart w:name="Event views" w:id="223"/>
      <w:bookmarkEnd w:id="223"/>
      <w:r>
        <w:rPr>
          <w:b w:val="0"/>
        </w:rPr>
      </w:r>
      <w:r>
        <w:rPr>
          <w:color w:val="231F20"/>
        </w:rPr>
        <w:t>Event</w:t>
      </w:r>
      <w:r>
        <w:rPr>
          <w:color w:val="231F20"/>
          <w:spacing w:val="7"/>
        </w:rPr>
        <w:t> </w:t>
      </w:r>
      <w:r>
        <w:rPr>
          <w:color w:val="231F20"/>
          <w:spacing w:val="-2"/>
        </w:rPr>
        <w:t>views</w:t>
      </w:r>
    </w:p>
    <w:p>
      <w:pPr>
        <w:pStyle w:val="BodyText"/>
        <w:spacing w:before="75"/>
        <w:ind w:left="197"/>
      </w:pPr>
      <w:r>
        <w:rPr/>
        <w:br w:type="column"/>
      </w:r>
      <w:r>
        <w:rPr>
          <w:color w:val="231F20"/>
        </w:rPr>
        <w:t>Monitoring</w:t>
      </w:r>
      <w:r>
        <w:rPr>
          <w:color w:val="231F20"/>
          <w:spacing w:val="18"/>
        </w:rPr>
        <w:t> </w:t>
      </w:r>
      <w:r>
        <w:rPr>
          <w:color w:val="231F20"/>
        </w:rPr>
        <w:t>agents</w:t>
      </w:r>
      <w:r>
        <w:rPr>
          <w:color w:val="231F20"/>
          <w:spacing w:val="18"/>
        </w:rPr>
        <w:t> </w:t>
      </w:r>
      <w:r>
        <w:rPr>
          <w:color w:val="231F20"/>
        </w:rPr>
        <w:t>subsumed</w:t>
      </w:r>
      <w:r>
        <w:rPr>
          <w:color w:val="231F20"/>
          <w:spacing w:val="18"/>
        </w:rPr>
        <w:t> </w:t>
      </w:r>
      <w:r>
        <w:rPr>
          <w:color w:val="231F20"/>
        </w:rPr>
        <w:t>under</w:t>
      </w:r>
      <w:r>
        <w:rPr>
          <w:color w:val="231F20"/>
          <w:spacing w:val="18"/>
        </w:rPr>
        <w:t> </w:t>
      </w:r>
      <w:r>
        <w:rPr>
          <w:color w:val="231F20"/>
        </w:rPr>
        <w:t>the</w:t>
      </w:r>
      <w:r>
        <w:rPr>
          <w:color w:val="231F20"/>
          <w:spacing w:val="18"/>
        </w:rPr>
        <w:t> </w:t>
      </w:r>
      <w:r>
        <w:rPr>
          <w:color w:val="231F20"/>
        </w:rPr>
        <w:t>hub</w:t>
      </w:r>
      <w:r>
        <w:rPr>
          <w:color w:val="231F20"/>
          <w:spacing w:val="18"/>
        </w:rPr>
        <w:t> </w:t>
      </w:r>
      <w:r>
        <w:rPr>
          <w:color w:val="231F20"/>
        </w:rPr>
        <w:t>monitoring</w:t>
      </w:r>
      <w:r>
        <w:rPr>
          <w:color w:val="231F20"/>
          <w:spacing w:val="18"/>
        </w:rPr>
        <w:t> </w:t>
      </w:r>
      <w:r>
        <w:rPr>
          <w:color w:val="231F20"/>
        </w:rPr>
        <w:t>server:</w:t>
      </w:r>
      <w:r>
        <w:rPr>
          <w:color w:val="231F20"/>
          <w:spacing w:val="40"/>
        </w:rPr>
        <w:t> </w:t>
      </w:r>
      <w:r>
        <w:rPr>
          <w:color w:val="231F20"/>
          <w:spacing w:val="5"/>
        </w:rPr>
        <w:drawing>
          <wp:inline distT="0" distB="0" distL="0" distR="0">
            <wp:extent cx="69850" cy="69850"/>
            <wp:effectExtent l="0" t="0" r="0" b="0"/>
            <wp:docPr id="1378" name="Image 1378"/>
            <wp:cNvGraphicFramePr>
              <a:graphicFrameLocks/>
            </wp:cNvGraphicFramePr>
            <a:graphic>
              <a:graphicData uri="http://schemas.openxmlformats.org/drawingml/2006/picture">
                <pic:pic>
                  <pic:nvPicPr>
                    <pic:cNvPr id="1378" name="Image 1378"/>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p>
    <w:p>
      <w:pPr>
        <w:pStyle w:val="BodyText"/>
      </w:pPr>
    </w:p>
    <w:p>
      <w:pPr>
        <w:pStyle w:val="BodyText"/>
        <w:spacing w:before="191"/>
      </w:pPr>
    </w:p>
    <w:p>
      <w:pPr>
        <w:pStyle w:val="BodyText"/>
        <w:spacing w:line="213" w:lineRule="auto"/>
        <w:ind w:left="197" w:right="689"/>
      </w:pPr>
      <w:r>
        <w:rPr/>
        <w:drawing>
          <wp:anchor distT="0" distB="0" distL="0" distR="0" allowOverlap="1" layoutInCell="1" locked="0" behindDoc="0" simplePos="0" relativeHeight="15826432">
            <wp:simplePos x="0" y="0"/>
            <wp:positionH relativeFrom="page">
              <wp:posOffset>5927702</wp:posOffset>
            </wp:positionH>
            <wp:positionV relativeFrom="paragraph">
              <wp:posOffset>-784552</wp:posOffset>
            </wp:positionV>
            <wp:extent cx="285750" cy="292100"/>
            <wp:effectExtent l="0" t="0" r="0" b="0"/>
            <wp:wrapNone/>
            <wp:docPr id="1379" name="Image 1379"/>
            <wp:cNvGraphicFramePr>
              <a:graphicFrameLocks/>
            </wp:cNvGraphicFramePr>
            <a:graphic>
              <a:graphicData uri="http://schemas.openxmlformats.org/drawingml/2006/picture">
                <pic:pic>
                  <pic:nvPicPr>
                    <pic:cNvPr id="1379" name="Image 1379"/>
                    <pic:cNvPicPr/>
                  </pic:nvPicPr>
                  <pic:blipFill>
                    <a:blip r:embed="rId268" cstate="print"/>
                    <a:stretch>
                      <a:fillRect/>
                    </a:stretch>
                  </pic:blipFill>
                  <pic:spPr>
                    <a:xfrm>
                      <a:off x="0" y="0"/>
                      <a:ext cx="285750" cy="292100"/>
                    </a:xfrm>
                    <a:prstGeom prst="rect">
                      <a:avLst/>
                    </a:prstGeom>
                  </pic:spPr>
                </pic:pic>
              </a:graphicData>
            </a:graphic>
          </wp:anchor>
        </w:drawing>
      </w:r>
      <w:r>
        <w:rPr/>
        <mc:AlternateContent>
          <mc:Choice Requires="wps">
            <w:drawing>
              <wp:anchor distT="0" distB="0" distL="0" distR="0" allowOverlap="1" layoutInCell="1" locked="0" behindDoc="0" simplePos="0" relativeHeight="15826944">
                <wp:simplePos x="0" y="0"/>
                <wp:positionH relativeFrom="page">
                  <wp:posOffset>760323</wp:posOffset>
                </wp:positionH>
                <wp:positionV relativeFrom="paragraph">
                  <wp:posOffset>-311863</wp:posOffset>
                </wp:positionV>
                <wp:extent cx="6082665" cy="1270"/>
                <wp:effectExtent l="0" t="0" r="0" b="0"/>
                <wp:wrapNone/>
                <wp:docPr id="1380" name="Graphic 1380"/>
                <wp:cNvGraphicFramePr>
                  <a:graphicFrameLocks/>
                </wp:cNvGraphicFramePr>
                <a:graphic>
                  <a:graphicData uri="http://schemas.microsoft.com/office/word/2010/wordprocessingShape">
                    <wps:wsp>
                      <wps:cNvPr id="1380" name="Graphic 1380"/>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6944" from="59.868pt,-24.556202pt" to="538.809pt,-24.556202pt" stroked="true" strokeweight=".499pt" strokecolor="#231f20">
                <v:stroke dashstyle="solid"/>
                <w10:wrap type="none"/>
              </v:line>
            </w:pict>
          </mc:Fallback>
        </mc:AlternateContent>
      </w:r>
      <w:r>
        <w:rPr>
          <w:color w:val="231F20"/>
        </w:rPr>
        <w:t>Besides relying on event indicators, you can use any of the event views to </w:t>
      </w:r>
      <w:r>
        <w:rPr>
          <w:color w:val="231F20"/>
        </w:rPr>
        <w:t>get more granular information for analysis and action.</w:t>
      </w:r>
    </w:p>
    <w:p>
      <w:pPr>
        <w:pStyle w:val="BodyText"/>
        <w:spacing w:line="213" w:lineRule="auto" w:before="238"/>
        <w:ind w:left="197" w:right="603"/>
      </w:pPr>
      <w:r>
        <w:rPr>
          <w:color w:val="231F20"/>
        </w:rPr>
        <w:t>Event views present alternatives to event indicators in the Navigator. Message </w:t>
      </w:r>
      <w:r>
        <w:rPr>
          <w:color w:val="231F20"/>
        </w:rPr>
        <w:t>log and situation event console views update automatically to show new events as</w:t>
      </w:r>
      <w:r>
        <w:rPr>
          <w:color w:val="231F20"/>
          <w:spacing w:val="80"/>
        </w:rPr>
        <w:t> </w:t>
      </w:r>
      <w:r>
        <w:rPr>
          <w:color w:val="231F20"/>
        </w:rPr>
        <w:t>they arrive and changes in event status as they occur. Graphic views give you a pictorial alternative to the Navigator for indicating alerts.</w:t>
      </w:r>
    </w:p>
    <w:p>
      <w:pPr>
        <w:spacing w:after="0" w:line="213" w:lineRule="auto"/>
        <w:sectPr>
          <w:type w:val="continuous"/>
          <w:pgSz w:w="12240" w:h="15840"/>
          <w:pgMar w:header="0" w:footer="736" w:top="0" w:bottom="4660" w:left="1000" w:right="1060"/>
          <w:cols w:num="2" w:equalWidth="0">
            <w:col w:w="1853" w:space="183"/>
            <w:col w:w="8144"/>
          </w:cols>
        </w:sectPr>
      </w:pPr>
    </w:p>
    <w:p>
      <w:pPr>
        <w:pStyle w:val="Heading3"/>
        <w:spacing w:before="216"/>
        <w:ind w:left="0" w:right="3798"/>
        <w:jc w:val="center"/>
      </w:pPr>
      <w:bookmarkStart w:name="Adding a message log view" w:id="224"/>
      <w:bookmarkEnd w:id="224"/>
      <w:r>
        <w:rPr>
          <w:b w:val="0"/>
        </w:rPr>
      </w:r>
      <w:r>
        <w:rPr>
          <w:color w:val="231F20"/>
        </w:rPr>
        <w:t>Adding</w:t>
      </w:r>
      <w:r>
        <w:rPr>
          <w:color w:val="231F20"/>
          <w:spacing w:val="8"/>
        </w:rPr>
        <w:t> </w:t>
      </w:r>
      <w:r>
        <w:rPr>
          <w:color w:val="231F20"/>
        </w:rPr>
        <w:t>a</w:t>
      </w:r>
      <w:r>
        <w:rPr>
          <w:color w:val="231F20"/>
          <w:spacing w:val="8"/>
        </w:rPr>
        <w:t> </w:t>
      </w:r>
      <w:r>
        <w:rPr>
          <w:color w:val="231F20"/>
        </w:rPr>
        <w:t>message</w:t>
      </w:r>
      <w:r>
        <w:rPr>
          <w:color w:val="231F20"/>
          <w:spacing w:val="8"/>
        </w:rPr>
        <w:t> </w:t>
      </w:r>
      <w:r>
        <w:rPr>
          <w:color w:val="231F20"/>
        </w:rPr>
        <w:t>log</w:t>
      </w:r>
      <w:r>
        <w:rPr>
          <w:color w:val="231F20"/>
          <w:spacing w:val="8"/>
        </w:rPr>
        <w:t> </w:t>
      </w:r>
      <w:r>
        <w:rPr>
          <w:color w:val="231F20"/>
          <w:spacing w:val="-4"/>
        </w:rPr>
        <w:t>view</w:t>
      </w:r>
    </w:p>
    <w:p>
      <w:pPr>
        <w:pStyle w:val="BodyText"/>
        <w:spacing w:line="213" w:lineRule="auto" w:before="58"/>
        <w:ind w:left="2232" w:right="545"/>
      </w:pPr>
      <w:r>
        <w:rPr>
          <w:color w:val="231F20"/>
        </w:rPr>
        <w:t>The message log gives you an overview of changes in situation status on </w:t>
      </w:r>
      <w:r>
        <w:rPr>
          <w:color w:val="231F20"/>
        </w:rPr>
        <w:t>your monitored network. You can add the view to any workspace.</w:t>
      </w:r>
    </w:p>
    <w:p>
      <w:pPr>
        <w:pStyle w:val="Heading4"/>
        <w:ind w:left="0" w:right="3730"/>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To create a new view and edit its properties, your user ID requires Workspace Author Mode permission. For the message log view, your user ID also requires View permission for Events.</w:t>
      </w:r>
    </w:p>
    <w:p>
      <w:pPr>
        <w:pStyle w:val="Heading4"/>
      </w:pPr>
      <w:r>
        <w:rPr>
          <w:color w:val="231F20"/>
          <w:spacing w:val="-2"/>
        </w:rPr>
        <w:t>Procedure</w:t>
      </w:r>
    </w:p>
    <w:p>
      <w:pPr>
        <w:pStyle w:val="ListParagraph"/>
        <w:numPr>
          <w:ilvl w:val="0"/>
          <w:numId w:val="60"/>
        </w:numPr>
        <w:tabs>
          <w:tab w:pos="2547" w:val="left" w:leader="none"/>
        </w:tabs>
        <w:spacing w:line="240" w:lineRule="auto" w:before="38" w:after="0"/>
        <w:ind w:left="2547" w:right="0" w:hanging="315"/>
        <w:jc w:val="left"/>
        <w:rPr>
          <w:sz w:val="20"/>
        </w:rPr>
      </w:pPr>
      <w:r>
        <w:rPr>
          <w:color w:val="231F20"/>
          <w:sz w:val="20"/>
        </w:rPr>
        <w:t>Open</w:t>
      </w:r>
      <w:r>
        <w:rPr>
          <w:color w:val="231F20"/>
          <w:spacing w:val="11"/>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z w:val="20"/>
        </w:rPr>
        <w:t>add</w:t>
      </w:r>
      <w:r>
        <w:rPr>
          <w:color w:val="231F20"/>
          <w:spacing w:val="11"/>
          <w:sz w:val="20"/>
        </w:rPr>
        <w:t> </w:t>
      </w:r>
      <w:r>
        <w:rPr>
          <w:color w:val="231F20"/>
          <w:sz w:val="20"/>
        </w:rPr>
        <w:t>the</w:t>
      </w:r>
      <w:r>
        <w:rPr>
          <w:color w:val="231F20"/>
          <w:spacing w:val="11"/>
          <w:sz w:val="20"/>
        </w:rPr>
        <w:t> </w:t>
      </w:r>
      <w:r>
        <w:rPr>
          <w:color w:val="231F20"/>
          <w:sz w:val="20"/>
        </w:rPr>
        <w:t>message</w:t>
      </w:r>
      <w:r>
        <w:rPr>
          <w:color w:val="231F20"/>
          <w:spacing w:val="11"/>
          <w:sz w:val="20"/>
        </w:rPr>
        <w:t> </w:t>
      </w:r>
      <w:r>
        <w:rPr>
          <w:color w:val="231F20"/>
          <w:sz w:val="20"/>
        </w:rPr>
        <w:t>log</w:t>
      </w:r>
      <w:r>
        <w:rPr>
          <w:color w:val="231F20"/>
          <w:spacing w:val="12"/>
          <w:sz w:val="20"/>
        </w:rPr>
        <w:t> </w:t>
      </w:r>
      <w:r>
        <w:rPr>
          <w:color w:val="231F20"/>
          <w:spacing w:val="-2"/>
          <w:sz w:val="20"/>
        </w:rPr>
        <w:t>view.</w:t>
      </w:r>
    </w:p>
    <w:p>
      <w:pPr>
        <w:pStyle w:val="ListParagraph"/>
        <w:numPr>
          <w:ilvl w:val="0"/>
          <w:numId w:val="60"/>
        </w:numPr>
        <w:tabs>
          <w:tab w:pos="2548" w:val="left" w:leader="none"/>
        </w:tabs>
        <w:spacing w:line="213" w:lineRule="auto" w:before="53" w:after="0"/>
        <w:ind w:left="2548" w:right="404" w:hanging="316"/>
        <w:jc w:val="left"/>
        <w:rPr>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381" name="Image 1381"/>
            <wp:cNvGraphicFramePr>
              <a:graphicFrameLocks/>
            </wp:cNvGraphicFramePr>
            <a:graphic>
              <a:graphicData uri="http://schemas.openxmlformats.org/drawingml/2006/picture">
                <pic:pic>
                  <pic:nvPicPr>
                    <pic:cNvPr id="1381" name="Image 1381"/>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382" name="Image 1382"/>
            <wp:cNvGraphicFramePr>
              <a:graphicFrameLocks/>
            </wp:cNvGraphicFramePr>
            <a:graphic>
              <a:graphicData uri="http://schemas.openxmlformats.org/drawingml/2006/picture">
                <pic:pic>
                  <pic:nvPicPr>
                    <pic:cNvPr id="1382" name="Image 1382"/>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60"/>
        </w:numPr>
        <w:tabs>
          <w:tab w:pos="2546" w:val="left" w:leader="none"/>
          <w:tab w:pos="2548" w:val="left" w:leader="none"/>
        </w:tabs>
        <w:spacing w:line="213" w:lineRule="auto" w:before="132" w:after="0"/>
        <w:ind w:left="2548" w:right="416" w:hanging="317"/>
        <w:jc w:val="left"/>
        <w:rPr>
          <w:sz w:val="20"/>
        </w:rPr>
      </w:pPr>
      <w:r>
        <w:rPr>
          <w:color w:val="231F20"/>
          <w:sz w:val="20"/>
        </w:rPr>
        <w:t>Click </w:t>
      </w:r>
      <w:r>
        <w:rPr>
          <w:color w:val="231F20"/>
          <w:spacing w:val="16"/>
          <w:position w:val="-1"/>
          <w:sz w:val="20"/>
        </w:rPr>
        <w:drawing>
          <wp:inline distT="0" distB="0" distL="0" distR="0">
            <wp:extent cx="152400" cy="152400"/>
            <wp:effectExtent l="0" t="0" r="0" b="0"/>
            <wp:docPr id="1383" name="Image 1383"/>
            <wp:cNvGraphicFramePr>
              <a:graphicFrameLocks/>
            </wp:cNvGraphicFramePr>
            <a:graphic>
              <a:graphicData uri="http://schemas.openxmlformats.org/drawingml/2006/picture">
                <pic:pic>
                  <pic:nvPicPr>
                    <pic:cNvPr id="1383" name="Image 1383"/>
                    <pic:cNvPicPr/>
                  </pic:nvPicPr>
                  <pic:blipFill>
                    <a:blip r:embed="rId51" cstate="print"/>
                    <a:stretch>
                      <a:fillRect/>
                    </a:stretch>
                  </pic:blipFill>
                  <pic:spPr>
                    <a:xfrm>
                      <a:off x="0" y="0"/>
                      <a:ext cx="152400" cy="1524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rFonts w:ascii="Book Antiqua"/>
          <w:b/>
          <w:color w:val="231F20"/>
          <w:sz w:val="20"/>
        </w:rPr>
        <w:t>Message Log</w:t>
      </w:r>
      <w:r>
        <w:rPr>
          <w:color w:val="231F20"/>
          <w:sz w:val="20"/>
        </w:rPr>
        <w:t>. The mouse pointer changes to the view icon (hand icon</w:t>
      </w:r>
      <w:r>
        <w:rPr>
          <w:color w:val="231F20"/>
          <w:spacing w:val="40"/>
          <w:sz w:val="20"/>
        </w:rPr>
        <w:t> </w:t>
      </w:r>
      <w:r>
        <w:rPr>
          <w:color w:val="231F20"/>
          <w:sz w:val="20"/>
        </w:rPr>
        <w:t>in</w:t>
      </w:r>
      <w:r>
        <w:rPr>
          <w:color w:val="231F20"/>
          <w:spacing w:val="24"/>
          <w:sz w:val="20"/>
        </w:rPr>
        <w:t> </w:t>
      </w:r>
      <w:r>
        <w:rPr>
          <w:color w:val="231F20"/>
          <w:sz w:val="20"/>
        </w:rPr>
        <w:t>Linux).</w:t>
      </w:r>
      <w:r>
        <w:rPr>
          <w:color w:val="231F20"/>
          <w:spacing w:val="24"/>
          <w:sz w:val="20"/>
        </w:rPr>
        <w:t> </w:t>
      </w:r>
      <w:r>
        <w:rPr>
          <w:color w:val="231F20"/>
          <w:sz w:val="20"/>
        </w:rPr>
        <w:t>If</w:t>
      </w:r>
      <w:r>
        <w:rPr>
          <w:color w:val="231F20"/>
          <w:spacing w:val="24"/>
          <w:sz w:val="20"/>
        </w:rPr>
        <w:t> </w:t>
      </w:r>
      <w:r>
        <w:rPr>
          <w:color w:val="231F20"/>
          <w:sz w:val="20"/>
        </w:rPr>
        <w:t>you</w:t>
      </w:r>
      <w:r>
        <w:rPr>
          <w:color w:val="231F20"/>
          <w:spacing w:val="24"/>
          <w:sz w:val="20"/>
        </w:rPr>
        <w:t> </w:t>
      </w:r>
      <w:r>
        <w:rPr>
          <w:color w:val="231F20"/>
          <w:sz w:val="20"/>
        </w:rPr>
        <w:t>get</w:t>
      </w:r>
      <w:r>
        <w:rPr>
          <w:color w:val="231F20"/>
          <w:spacing w:val="24"/>
          <w:sz w:val="20"/>
        </w:rPr>
        <w:t> </w:t>
      </w:r>
      <w:r>
        <w:rPr>
          <w:color w:val="231F20"/>
          <w:sz w:val="20"/>
        </w:rPr>
        <w:t>the</w:t>
      </w:r>
      <w:r>
        <w:rPr>
          <w:color w:val="231F20"/>
          <w:spacing w:val="24"/>
          <w:sz w:val="20"/>
        </w:rPr>
        <w:t> </w:t>
      </w:r>
      <w:r>
        <w:rPr>
          <w:color w:val="231F20"/>
          <w:sz w:val="20"/>
        </w:rPr>
        <w:t>wrong</w:t>
      </w:r>
      <w:r>
        <w:rPr>
          <w:color w:val="231F20"/>
          <w:spacing w:val="24"/>
          <w:sz w:val="20"/>
        </w:rPr>
        <w:t> </w:t>
      </w:r>
      <w:r>
        <w:rPr>
          <w:color w:val="231F20"/>
          <w:sz w:val="20"/>
        </w:rPr>
        <w:t>icon</w:t>
      </w:r>
      <w:r>
        <w:rPr>
          <w:color w:val="231F20"/>
          <w:spacing w:val="24"/>
          <w:sz w:val="20"/>
        </w:rPr>
        <w:t> </w:t>
      </w:r>
      <w:r>
        <w:rPr>
          <w:color w:val="231F20"/>
          <w:sz w:val="20"/>
        </w:rPr>
        <w:t>or</w:t>
      </w:r>
      <w:r>
        <w:rPr>
          <w:color w:val="231F20"/>
          <w:spacing w:val="24"/>
          <w:sz w:val="20"/>
        </w:rPr>
        <w:t> </w:t>
      </w:r>
      <w:r>
        <w:rPr>
          <w:color w:val="231F20"/>
          <w:sz w:val="20"/>
        </w:rPr>
        <w:t>decide</w:t>
      </w:r>
      <w:r>
        <w:rPr>
          <w:color w:val="231F20"/>
          <w:spacing w:val="24"/>
          <w:sz w:val="20"/>
        </w:rPr>
        <w:t> </w:t>
      </w:r>
      <w:r>
        <w:rPr>
          <w:color w:val="231F20"/>
          <w:sz w:val="20"/>
        </w:rPr>
        <w:t>not</w:t>
      </w:r>
      <w:r>
        <w:rPr>
          <w:color w:val="231F20"/>
          <w:spacing w:val="24"/>
          <w:sz w:val="20"/>
        </w:rPr>
        <w:t> </w:t>
      </w:r>
      <w:r>
        <w:rPr>
          <w:color w:val="231F20"/>
          <w:sz w:val="20"/>
        </w:rPr>
        <w:t>to</w:t>
      </w:r>
      <w:r>
        <w:rPr>
          <w:color w:val="231F20"/>
          <w:spacing w:val="24"/>
          <w:sz w:val="20"/>
        </w:rPr>
        <w:t> </w:t>
      </w:r>
      <w:r>
        <w:rPr>
          <w:color w:val="231F20"/>
          <w:sz w:val="20"/>
        </w:rPr>
        <w:t>add</w:t>
      </w:r>
      <w:r>
        <w:rPr>
          <w:color w:val="231F20"/>
          <w:spacing w:val="24"/>
          <w:sz w:val="20"/>
        </w:rPr>
        <w:t> </w:t>
      </w:r>
      <w:r>
        <w:rPr>
          <w:color w:val="231F20"/>
          <w:sz w:val="20"/>
        </w:rPr>
        <w:t>the</w:t>
      </w:r>
      <w:r>
        <w:rPr>
          <w:color w:val="231F20"/>
          <w:spacing w:val="24"/>
          <w:sz w:val="20"/>
        </w:rPr>
        <w:t> </w:t>
      </w:r>
      <w:r>
        <w:rPr>
          <w:color w:val="231F20"/>
          <w:sz w:val="20"/>
        </w:rPr>
        <w:t>view,</w:t>
      </w:r>
      <w:r>
        <w:rPr>
          <w:color w:val="231F20"/>
          <w:spacing w:val="24"/>
          <w:sz w:val="20"/>
        </w:rPr>
        <w:t> </w:t>
      </w:r>
      <w:r>
        <w:rPr>
          <w:color w:val="231F20"/>
          <w:sz w:val="20"/>
        </w:rPr>
        <w:t>press</w:t>
      </w:r>
      <w:r>
        <w:rPr>
          <w:color w:val="231F20"/>
          <w:sz w:val="20"/>
        </w:rPr>
        <w:t> Escape or click somewhere in the main toolbar.</w:t>
      </w:r>
    </w:p>
    <w:p>
      <w:pPr>
        <w:pStyle w:val="ListParagraph"/>
        <w:numPr>
          <w:ilvl w:val="0"/>
          <w:numId w:val="60"/>
        </w:numPr>
        <w:tabs>
          <w:tab w:pos="2547" w:val="left" w:leader="none"/>
        </w:tabs>
        <w:spacing w:line="240" w:lineRule="auto" w:before="35" w:after="0"/>
        <w:ind w:left="2547" w:right="0" w:hanging="315"/>
        <w:jc w:val="left"/>
        <w:rPr>
          <w:sz w:val="20"/>
        </w:rPr>
      </w:pPr>
      <w:r>
        <w:rPr>
          <w:color w:val="231F20"/>
          <w:sz w:val="20"/>
        </w:rPr>
        <w:t>Click</w:t>
      </w:r>
      <w:r>
        <w:rPr>
          <w:color w:val="231F20"/>
          <w:spacing w:val="11"/>
          <w:sz w:val="20"/>
        </w:rPr>
        <w:t> </w:t>
      </w:r>
      <w:r>
        <w:rPr>
          <w:color w:val="231F20"/>
          <w:sz w:val="20"/>
        </w:rPr>
        <w:t>inside</w:t>
      </w:r>
      <w:r>
        <w:rPr>
          <w:color w:val="231F20"/>
          <w:spacing w:val="11"/>
          <w:sz w:val="20"/>
        </w:rPr>
        <w:t> </w:t>
      </w:r>
      <w:r>
        <w:rPr>
          <w:color w:val="231F20"/>
          <w:sz w:val="20"/>
        </w:rPr>
        <w:t>the</w:t>
      </w:r>
      <w:r>
        <w:rPr>
          <w:color w:val="231F20"/>
          <w:spacing w:val="11"/>
          <w:sz w:val="20"/>
        </w:rPr>
        <w:t> </w:t>
      </w:r>
      <w:r>
        <w:rPr>
          <w:color w:val="231F20"/>
          <w:sz w:val="20"/>
        </w:rPr>
        <w:t>view</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the</w:t>
      </w:r>
      <w:r>
        <w:rPr>
          <w:color w:val="231F20"/>
          <w:spacing w:val="11"/>
          <w:sz w:val="20"/>
        </w:rPr>
        <w:t> </w:t>
      </w:r>
      <w:r>
        <w:rPr>
          <w:color w:val="231F20"/>
          <w:sz w:val="20"/>
        </w:rPr>
        <w:t>message</w:t>
      </w:r>
      <w:r>
        <w:rPr>
          <w:color w:val="231F20"/>
          <w:spacing w:val="11"/>
          <w:sz w:val="20"/>
        </w:rPr>
        <w:t> </w:t>
      </w:r>
      <w:r>
        <w:rPr>
          <w:color w:val="231F20"/>
          <w:spacing w:val="-4"/>
          <w:sz w:val="20"/>
        </w:rPr>
        <w:t>log.</w:t>
      </w:r>
    </w:p>
    <w:p>
      <w:pPr>
        <w:pStyle w:val="Heading4"/>
        <w:spacing w:before="194"/>
      </w:pPr>
      <w:r>
        <w:rPr>
          <w:color w:val="231F20"/>
          <w:spacing w:val="-2"/>
        </w:rPr>
        <w:t>Results</w:t>
      </w:r>
    </w:p>
    <w:p>
      <w:pPr>
        <w:pStyle w:val="BodyText"/>
        <w:spacing w:line="213" w:lineRule="auto" w:before="241"/>
        <w:ind w:left="2232" w:right="545"/>
      </w:pPr>
      <w:r>
        <w:rPr>
          <w:color w:val="231F20"/>
        </w:rPr>
        <w:t>For</w:t>
      </w:r>
      <w:r>
        <w:rPr>
          <w:color w:val="231F20"/>
          <w:spacing w:val="27"/>
        </w:rPr>
        <w:t> </w:t>
      </w:r>
      <w:r>
        <w:rPr>
          <w:color w:val="231F20"/>
        </w:rPr>
        <w:t>each</w:t>
      </w:r>
      <w:r>
        <w:rPr>
          <w:color w:val="231F20"/>
          <w:spacing w:val="27"/>
        </w:rPr>
        <w:t> </w:t>
      </w:r>
      <w:r>
        <w:rPr>
          <w:color w:val="231F20"/>
        </w:rPr>
        <w:t>change</w:t>
      </w:r>
      <w:r>
        <w:rPr>
          <w:color w:val="231F20"/>
          <w:spacing w:val="27"/>
        </w:rPr>
        <w:t> </w:t>
      </w:r>
      <w:r>
        <w:rPr>
          <w:color w:val="231F20"/>
        </w:rPr>
        <w:t>of</w:t>
      </w:r>
      <w:r>
        <w:rPr>
          <w:color w:val="231F20"/>
          <w:spacing w:val="27"/>
        </w:rPr>
        <w:t> </w:t>
      </w:r>
      <w:r>
        <w:rPr>
          <w:color w:val="231F20"/>
        </w:rPr>
        <w:t>situation</w:t>
      </w:r>
      <w:r>
        <w:rPr>
          <w:color w:val="231F20"/>
          <w:spacing w:val="27"/>
        </w:rPr>
        <w:t> </w:t>
      </w:r>
      <w:r>
        <w:rPr>
          <w:color w:val="231F20"/>
        </w:rPr>
        <w:t>status</w:t>
      </w:r>
      <w:r>
        <w:rPr>
          <w:color w:val="231F20"/>
          <w:spacing w:val="27"/>
        </w:rPr>
        <w:t> </w:t>
      </w:r>
      <w:r>
        <w:rPr>
          <w:color w:val="231F20"/>
        </w:rPr>
        <w:t>in</w:t>
      </w:r>
      <w:r>
        <w:rPr>
          <w:color w:val="231F20"/>
          <w:spacing w:val="27"/>
        </w:rPr>
        <w:t> </w:t>
      </w:r>
      <w:r>
        <w:rPr>
          <w:color w:val="231F20"/>
        </w:rPr>
        <w:t>your</w:t>
      </w:r>
      <w:r>
        <w:rPr>
          <w:color w:val="231F20"/>
          <w:spacing w:val="27"/>
        </w:rPr>
        <w:t> </w:t>
      </w:r>
      <w:r>
        <w:rPr>
          <w:color w:val="231F20"/>
        </w:rPr>
        <w:t>monitored</w:t>
      </w:r>
      <w:r>
        <w:rPr>
          <w:color w:val="231F20"/>
          <w:spacing w:val="27"/>
        </w:rPr>
        <w:t> </w:t>
      </w:r>
      <w:r>
        <w:rPr>
          <w:color w:val="231F20"/>
        </w:rPr>
        <w:t>network,</w:t>
      </w:r>
      <w:r>
        <w:rPr>
          <w:color w:val="231F20"/>
          <w:spacing w:val="27"/>
        </w:rPr>
        <w:t> </w:t>
      </w:r>
      <w:r>
        <w:rPr>
          <w:color w:val="231F20"/>
        </w:rPr>
        <w:t>new</w:t>
      </w:r>
      <w:r>
        <w:rPr>
          <w:color w:val="231F20"/>
          <w:spacing w:val="27"/>
        </w:rPr>
        <w:t> </w:t>
      </w:r>
      <w:r>
        <w:rPr>
          <w:color w:val="231F20"/>
        </w:rPr>
        <w:t>rows</w:t>
      </w:r>
      <w:r>
        <w:rPr>
          <w:color w:val="231F20"/>
          <w:spacing w:val="27"/>
        </w:rPr>
        <w:t> </w:t>
      </w:r>
      <w:r>
        <w:rPr>
          <w:color w:val="231F20"/>
        </w:rPr>
        <w:t>are added to the top of the view. Beyond the limit of 500 rows (apply quick settings to</w:t>
      </w:r>
      <w:r>
        <w:rPr>
          <w:color w:val="231F20"/>
          <w:spacing w:val="40"/>
        </w:rPr>
        <w:t> </w:t>
      </w:r>
      <w:r>
        <w:rPr>
          <w:color w:val="231F20"/>
        </w:rPr>
        <w:t>lower the limit), old rows are deleted as new rows arrive.</w:t>
      </w:r>
    </w:p>
    <w:p>
      <w:pPr>
        <w:spacing w:after="0" w:line="213" w:lineRule="auto"/>
        <w:sectPr>
          <w:type w:val="continuous"/>
          <w:pgSz w:w="12240" w:h="15840"/>
          <w:pgMar w:header="0" w:footer="736" w:top="0" w:bottom="4660" w:left="1000" w:right="1060"/>
        </w:sectPr>
      </w:pPr>
    </w:p>
    <w:p>
      <w:pPr>
        <w:pStyle w:val="Heading4"/>
        <w:spacing w:line="273" w:lineRule="exact" w:before="91"/>
        <w:ind w:left="2472"/>
      </w:pPr>
      <w:bookmarkStart w:name="_bookmark105" w:id="225"/>
      <w:bookmarkEnd w:id="225"/>
      <w:r>
        <w:rPr>
          <w:b w:val="0"/>
        </w:rPr>
      </w:r>
      <w:bookmarkStart w:name="What the view shows" w:id="226"/>
      <w:bookmarkEnd w:id="226"/>
      <w:r>
        <w:rPr>
          <w:b w:val="0"/>
        </w:rPr>
      </w:r>
      <w:r>
        <w:rPr>
          <w:color w:val="231F20"/>
        </w:rPr>
        <w:t>What</w:t>
      </w:r>
      <w:r>
        <w:rPr>
          <w:color w:val="231F20"/>
          <w:spacing w:val="8"/>
        </w:rPr>
        <w:t> </w:t>
      </w:r>
      <w:r>
        <w:rPr>
          <w:color w:val="231F20"/>
        </w:rPr>
        <w:t>the</w:t>
      </w:r>
      <w:r>
        <w:rPr>
          <w:color w:val="231F20"/>
          <w:spacing w:val="8"/>
        </w:rPr>
        <w:t> </w:t>
      </w:r>
      <w:r>
        <w:rPr>
          <w:color w:val="231F20"/>
        </w:rPr>
        <w:t>view</w:t>
      </w:r>
      <w:r>
        <w:rPr>
          <w:color w:val="231F20"/>
          <w:spacing w:val="8"/>
        </w:rPr>
        <w:t> </w:t>
      </w:r>
      <w:r>
        <w:rPr>
          <w:color w:val="231F20"/>
          <w:spacing w:val="-4"/>
        </w:rPr>
        <w:t>shows</w:t>
      </w:r>
    </w:p>
    <w:p>
      <w:pPr>
        <w:pStyle w:val="BodyText"/>
        <w:spacing w:line="213" w:lineRule="auto" w:before="20"/>
        <w:ind w:left="2472"/>
      </w:pPr>
      <w:r>
        <w:rPr>
          <w:color w:val="231F20"/>
        </w:rPr>
        <w:t>The message log view displays a row of data for each situation status change. </w:t>
      </w:r>
      <w:r>
        <w:rPr>
          <w:color w:val="231F20"/>
        </w:rPr>
        <w:t>The status column includes indicators such as</w:t>
      </w:r>
      <w:r>
        <w:rPr>
          <w:color w:val="231F20"/>
          <w:spacing w:val="40"/>
        </w:rPr>
        <w:t> </w:t>
      </w:r>
      <w:r>
        <w:rPr>
          <w:color w:val="231F20"/>
          <w:spacing w:val="-25"/>
          <w:position w:val="-1"/>
        </w:rPr>
        <w:drawing>
          <wp:inline distT="0" distB="0" distL="0" distR="0">
            <wp:extent cx="95250" cy="95250"/>
            <wp:effectExtent l="0" t="0" r="0" b="0"/>
            <wp:docPr id="1384" name="Image 1384"/>
            <wp:cNvGraphicFramePr>
              <a:graphicFrameLocks/>
            </wp:cNvGraphicFramePr>
            <a:graphic>
              <a:graphicData uri="http://schemas.openxmlformats.org/drawingml/2006/picture">
                <pic:pic>
                  <pic:nvPicPr>
                    <pic:cNvPr id="1384" name="Image 1384"/>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39"/>
        </w:rPr>
        <w:t> </w:t>
      </w:r>
      <w:r>
        <w:rPr>
          <w:rFonts w:ascii="Book Antiqua"/>
          <w:b/>
          <w:color w:val="231F20"/>
        </w:rPr>
        <w:t>Stopped </w:t>
      </w:r>
      <w:r>
        <w:rPr>
          <w:color w:val="231F20"/>
        </w:rPr>
        <w:t>and</w:t>
      </w:r>
      <w:r>
        <w:rPr>
          <w:color w:val="231F20"/>
          <w:spacing w:val="40"/>
        </w:rPr>
        <w:t> </w:t>
      </w:r>
      <w:r>
        <w:rPr>
          <w:color w:val="231F20"/>
          <w:spacing w:val="-24"/>
          <w:position w:val="-1"/>
        </w:rPr>
        <w:drawing>
          <wp:inline distT="0" distB="0" distL="0" distR="0">
            <wp:extent cx="95250" cy="101600"/>
            <wp:effectExtent l="0" t="0" r="0" b="0"/>
            <wp:docPr id="1385" name="Image 1385"/>
            <wp:cNvGraphicFramePr>
              <a:graphicFrameLocks/>
            </wp:cNvGraphicFramePr>
            <a:graphic>
              <a:graphicData uri="http://schemas.openxmlformats.org/drawingml/2006/picture">
                <pic:pic>
                  <pic:nvPicPr>
                    <pic:cNvPr id="1385" name="Image 1385"/>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38"/>
        </w:rPr>
        <w:t> </w:t>
      </w:r>
      <w:r>
        <w:rPr>
          <w:rFonts w:ascii="Book Antiqua"/>
          <w:b/>
          <w:color w:val="231F20"/>
        </w:rPr>
        <w:t>Deleted</w:t>
      </w:r>
      <w:r>
        <w:rPr>
          <w:color w:val="231F20"/>
        </w:rPr>
        <w:t>.</w:t>
      </w:r>
    </w:p>
    <w:p>
      <w:pPr>
        <w:pStyle w:val="BodyText"/>
        <w:spacing w:line="213" w:lineRule="auto" w:before="238"/>
        <w:ind w:left="2472" w:right="545"/>
      </w:pPr>
      <w:r>
        <w:rPr>
          <w:color w:val="231F20"/>
        </w:rPr>
        <w:t>As new rows arrive, they appear in descending order with the oldest rows at the bottom. After the maximum number of rows has been reached, the oldest are removed to make room for new rows.</w:t>
      </w:r>
    </w:p>
    <w:p>
      <w:pPr>
        <w:pStyle w:val="BodyText"/>
        <w:spacing w:before="95"/>
        <w:ind w:left="2472"/>
      </w:pPr>
      <w:r>
        <w:rPr>
          <w:rFonts w:ascii="Book Antiqua"/>
          <w:b/>
          <w:color w:val="231F20"/>
        </w:rPr>
        <w:t>Status</w:t>
      </w:r>
      <w:r>
        <w:rPr>
          <w:rFonts w:ascii="Book Antiqua"/>
          <w:b/>
          <w:color w:val="231F20"/>
          <w:spacing w:val="70"/>
          <w:w w:val="150"/>
        </w:rPr>
        <w:t> </w:t>
      </w:r>
      <w:r>
        <w:rPr>
          <w:color w:val="231F20"/>
        </w:rPr>
        <w:t>The</w:t>
      </w:r>
      <w:r>
        <w:rPr>
          <w:color w:val="231F20"/>
          <w:spacing w:val="13"/>
        </w:rPr>
        <w:t> </w:t>
      </w:r>
      <w:r>
        <w:rPr>
          <w:color w:val="231F20"/>
        </w:rPr>
        <w:t>status</w:t>
      </w:r>
      <w:r>
        <w:rPr>
          <w:color w:val="231F20"/>
          <w:spacing w:val="13"/>
        </w:rPr>
        <w:t> </w:t>
      </w:r>
      <w:r>
        <w:rPr>
          <w:color w:val="231F20"/>
        </w:rPr>
        <w:t>for</w:t>
      </w:r>
      <w:r>
        <w:rPr>
          <w:color w:val="231F20"/>
          <w:spacing w:val="13"/>
        </w:rPr>
        <w:t> </w:t>
      </w:r>
      <w:r>
        <w:rPr>
          <w:color w:val="231F20"/>
        </w:rPr>
        <w:t>the</w:t>
      </w:r>
      <w:r>
        <w:rPr>
          <w:color w:val="231F20"/>
          <w:spacing w:val="13"/>
        </w:rPr>
        <w:t> </w:t>
      </w:r>
      <w:r>
        <w:rPr>
          <w:color w:val="231F20"/>
          <w:spacing w:val="-2"/>
        </w:rPr>
        <w:t>situation:</w:t>
      </w:r>
    </w:p>
    <w:p>
      <w:pPr>
        <w:spacing w:before="169"/>
        <w:ind w:left="3205" w:right="0" w:firstLine="0"/>
        <w:jc w:val="left"/>
        <w:rPr>
          <w:sz w:val="20"/>
        </w:rPr>
      </w:pPr>
      <w:r>
        <w:rPr>
          <w:position w:val="-1"/>
        </w:rPr>
        <w:drawing>
          <wp:inline distT="0" distB="0" distL="0" distR="0">
            <wp:extent cx="142875" cy="142875"/>
            <wp:effectExtent l="0" t="0" r="0" b="0"/>
            <wp:docPr id="1386" name="Image 1386"/>
            <wp:cNvGraphicFramePr>
              <a:graphicFrameLocks/>
            </wp:cNvGraphicFramePr>
            <a:graphic>
              <a:graphicData uri="http://schemas.openxmlformats.org/drawingml/2006/picture">
                <pic:pic>
                  <pic:nvPicPr>
                    <pic:cNvPr id="1386" name="Image 1386"/>
                    <pic:cNvPicPr/>
                  </pic:nvPicPr>
                  <pic:blipFill>
                    <a:blip r:embed="rId110"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4"/>
          <w:sz w:val="20"/>
        </w:rPr>
        <w:t> </w:t>
      </w:r>
      <w:r>
        <w:rPr>
          <w:rFonts w:ascii="Book Antiqua"/>
          <w:b/>
          <w:color w:val="231F20"/>
          <w:sz w:val="20"/>
        </w:rPr>
        <w:t>Acknowledged</w:t>
      </w:r>
      <w:r>
        <w:rPr>
          <w:color w:val="231F20"/>
          <w:sz w:val="20"/>
        </w:rPr>
        <w:t>:</w:t>
      </w:r>
      <w:r>
        <w:rPr>
          <w:color w:val="231F20"/>
          <w:spacing w:val="12"/>
          <w:sz w:val="20"/>
        </w:rPr>
        <w:t> </w:t>
      </w:r>
      <w:r>
        <w:rPr>
          <w:color w:val="231F20"/>
          <w:sz w:val="20"/>
        </w:rPr>
        <w:t>The</w:t>
      </w:r>
      <w:r>
        <w:rPr>
          <w:color w:val="231F20"/>
          <w:spacing w:val="12"/>
          <w:sz w:val="20"/>
        </w:rPr>
        <w:t> </w:t>
      </w:r>
      <w:r>
        <w:rPr>
          <w:color w:val="231F20"/>
          <w:sz w:val="20"/>
        </w:rPr>
        <w:t>event</w:t>
      </w:r>
      <w:r>
        <w:rPr>
          <w:color w:val="231F20"/>
          <w:spacing w:val="12"/>
          <w:sz w:val="20"/>
        </w:rPr>
        <w:t> </w:t>
      </w:r>
      <w:r>
        <w:rPr>
          <w:color w:val="231F20"/>
          <w:sz w:val="20"/>
        </w:rPr>
        <w:t>has</w:t>
      </w:r>
      <w:r>
        <w:rPr>
          <w:color w:val="231F20"/>
          <w:spacing w:val="12"/>
          <w:sz w:val="20"/>
        </w:rPr>
        <w:t> </w:t>
      </w:r>
      <w:r>
        <w:rPr>
          <w:color w:val="231F20"/>
          <w:sz w:val="20"/>
        </w:rPr>
        <w:t>been</w:t>
      </w:r>
      <w:r>
        <w:rPr>
          <w:color w:val="231F20"/>
          <w:spacing w:val="12"/>
          <w:sz w:val="20"/>
        </w:rPr>
        <w:t> </w:t>
      </w:r>
      <w:r>
        <w:rPr>
          <w:color w:val="231F20"/>
          <w:sz w:val="20"/>
        </w:rPr>
        <w:t>acknowledged.</w:t>
      </w:r>
    </w:p>
    <w:p>
      <w:pPr>
        <w:pStyle w:val="BodyText"/>
        <w:spacing w:before="164"/>
        <w:ind w:left="3205"/>
      </w:pPr>
      <w:r>
        <w:rPr>
          <w:position w:val="-1"/>
        </w:rPr>
        <w:drawing>
          <wp:inline distT="0" distB="0" distL="0" distR="0">
            <wp:extent cx="142875" cy="152400"/>
            <wp:effectExtent l="0" t="0" r="0" b="0"/>
            <wp:docPr id="1387" name="Image 1387"/>
            <wp:cNvGraphicFramePr>
              <a:graphicFrameLocks/>
            </wp:cNvGraphicFramePr>
            <a:graphic>
              <a:graphicData uri="http://schemas.openxmlformats.org/drawingml/2006/picture">
                <pic:pic>
                  <pic:nvPicPr>
                    <pic:cNvPr id="1387" name="Image 1387"/>
                    <pic:cNvPicPr/>
                  </pic:nvPicPr>
                  <pic:blipFill>
                    <a:blip r:embed="rId269" cstate="print"/>
                    <a:stretch>
                      <a:fillRect/>
                    </a:stretch>
                  </pic:blipFill>
                  <pic:spPr>
                    <a:xfrm>
                      <a:off x="0" y="0"/>
                      <a:ext cx="142875" cy="152400"/>
                    </a:xfrm>
                    <a:prstGeom prst="rect">
                      <a:avLst/>
                    </a:prstGeom>
                  </pic:spPr>
                </pic:pic>
              </a:graphicData>
            </a:graphic>
          </wp:inline>
        </w:drawing>
      </w:r>
      <w:r>
        <w:rPr>
          <w:position w:val="-1"/>
        </w:rPr>
      </w:r>
      <w:r>
        <w:rPr>
          <w:rFonts w:ascii="Times New Roman"/>
          <w:spacing w:val="-4"/>
        </w:rPr>
        <w:t> </w:t>
      </w:r>
      <w:r>
        <w:rPr>
          <w:rFonts w:ascii="Book Antiqua"/>
          <w:b/>
          <w:color w:val="231F20"/>
        </w:rPr>
        <w:t>Deleted</w:t>
      </w:r>
      <w:r>
        <w:rPr>
          <w:color w:val="231F20"/>
        </w:rPr>
        <w:t>:</w:t>
      </w:r>
      <w:r>
        <w:rPr>
          <w:color w:val="231F20"/>
          <w:spacing w:val="13"/>
        </w:rPr>
        <w:t> </w:t>
      </w:r>
      <w:r>
        <w:rPr>
          <w:color w:val="231F20"/>
        </w:rPr>
        <w:t>The</w:t>
      </w:r>
      <w:r>
        <w:rPr>
          <w:color w:val="231F20"/>
          <w:spacing w:val="13"/>
        </w:rPr>
        <w:t> </w:t>
      </w:r>
      <w:r>
        <w:rPr>
          <w:color w:val="231F20"/>
        </w:rPr>
        <w:t>situation</w:t>
      </w:r>
      <w:r>
        <w:rPr>
          <w:color w:val="231F20"/>
          <w:spacing w:val="13"/>
        </w:rPr>
        <w:t> </w:t>
      </w:r>
      <w:r>
        <w:rPr>
          <w:color w:val="231F20"/>
        </w:rPr>
        <w:t>has</w:t>
      </w:r>
      <w:r>
        <w:rPr>
          <w:color w:val="231F20"/>
          <w:spacing w:val="12"/>
        </w:rPr>
        <w:t> </w:t>
      </w:r>
      <w:r>
        <w:rPr>
          <w:color w:val="231F20"/>
        </w:rPr>
        <w:t>been</w:t>
      </w:r>
      <w:r>
        <w:rPr>
          <w:color w:val="231F20"/>
          <w:spacing w:val="13"/>
        </w:rPr>
        <w:t> </w:t>
      </w:r>
      <w:r>
        <w:rPr>
          <w:color w:val="231F20"/>
        </w:rPr>
        <w:t>deleted.</w:t>
      </w:r>
    </w:p>
    <w:p>
      <w:pPr>
        <w:pStyle w:val="BodyText"/>
        <w:spacing w:line="213" w:lineRule="auto" w:before="193"/>
        <w:ind w:left="3190" w:right="630" w:firstLine="15"/>
        <w:jc w:val="both"/>
      </w:pPr>
      <w:r>
        <w:rPr>
          <w:position w:val="-1"/>
        </w:rPr>
        <w:drawing>
          <wp:inline distT="0" distB="0" distL="0" distR="0">
            <wp:extent cx="142875" cy="142875"/>
            <wp:effectExtent l="0" t="0" r="0" b="0"/>
            <wp:docPr id="1388" name="Image 1388"/>
            <wp:cNvGraphicFramePr>
              <a:graphicFrameLocks/>
            </wp:cNvGraphicFramePr>
            <a:graphic>
              <a:graphicData uri="http://schemas.openxmlformats.org/drawingml/2006/picture">
                <pic:pic>
                  <pic:nvPicPr>
                    <pic:cNvPr id="1388" name="Image 1388"/>
                    <pic:cNvPicPr/>
                  </pic:nvPicPr>
                  <pic:blipFill>
                    <a:blip r:embed="rId113"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2"/>
        </w:rPr>
        <w:t> </w:t>
      </w:r>
      <w:r>
        <w:rPr>
          <w:rFonts w:ascii="Book Antiqua"/>
          <w:b/>
          <w:color w:val="231F20"/>
        </w:rPr>
        <w:t>Problem</w:t>
      </w:r>
      <w:r>
        <w:rPr>
          <w:color w:val="231F20"/>
        </w:rPr>
        <w:t>: The situation is in a problem state. Perhaps the managed system to which it is distributed is offline or is at an old, </w:t>
      </w:r>
      <w:r>
        <w:rPr>
          <w:color w:val="231F20"/>
        </w:rPr>
        <w:t>unsupported version level.</w:t>
      </w:r>
    </w:p>
    <w:p>
      <w:pPr>
        <w:pStyle w:val="BodyText"/>
        <w:spacing w:line="213" w:lineRule="auto" w:before="197"/>
        <w:ind w:left="3190" w:right="702" w:firstLine="15"/>
        <w:jc w:val="both"/>
      </w:pPr>
      <w:r>
        <w:rPr>
          <w:position w:val="-1"/>
        </w:rPr>
        <w:drawing>
          <wp:inline distT="0" distB="0" distL="0" distR="0">
            <wp:extent cx="142875" cy="142875"/>
            <wp:effectExtent l="0" t="0" r="0" b="0"/>
            <wp:docPr id="1389" name="Image 1389"/>
            <wp:cNvGraphicFramePr>
              <a:graphicFrameLocks/>
            </wp:cNvGraphicFramePr>
            <a:graphic>
              <a:graphicData uri="http://schemas.openxmlformats.org/drawingml/2006/picture">
                <pic:pic>
                  <pic:nvPicPr>
                    <pic:cNvPr id="1389" name="Image 1389"/>
                    <pic:cNvPicPr/>
                  </pic:nvPicPr>
                  <pic:blipFill>
                    <a:blip r:embed="rId111"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5"/>
        </w:rPr>
        <w:t> </w:t>
      </w:r>
      <w:r>
        <w:rPr>
          <w:rFonts w:ascii="Book Antiqua"/>
          <w:b/>
          <w:color w:val="231F20"/>
        </w:rPr>
        <w:t>Expired</w:t>
      </w:r>
      <w:r>
        <w:rPr>
          <w:color w:val="231F20"/>
        </w:rPr>
        <w:t>: The acknowledgement of the event has expired while </w:t>
      </w:r>
      <w:r>
        <w:rPr>
          <w:color w:val="231F20"/>
        </w:rPr>
        <w:t>the event remains open.</w:t>
      </w:r>
    </w:p>
    <w:p>
      <w:pPr>
        <w:pStyle w:val="BodyText"/>
        <w:spacing w:line="213" w:lineRule="auto" w:before="198"/>
        <w:ind w:left="3190" w:right="650" w:firstLine="15"/>
        <w:jc w:val="both"/>
      </w:pPr>
      <w:r>
        <w:rPr>
          <w:position w:val="-1"/>
        </w:rPr>
        <w:drawing>
          <wp:inline distT="0" distB="0" distL="0" distR="0">
            <wp:extent cx="142875" cy="142875"/>
            <wp:effectExtent l="0" t="0" r="0" b="0"/>
            <wp:docPr id="1390" name="Image 1390"/>
            <wp:cNvGraphicFramePr>
              <a:graphicFrameLocks/>
            </wp:cNvGraphicFramePr>
            <a:graphic>
              <a:graphicData uri="http://schemas.openxmlformats.org/drawingml/2006/picture">
                <pic:pic>
                  <pic:nvPicPr>
                    <pic:cNvPr id="1390" name="Image 1390"/>
                    <pic:cNvPicPr/>
                  </pic:nvPicPr>
                  <pic:blipFill>
                    <a:blip r:embed="rId127"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4"/>
        </w:rPr>
        <w:t> </w:t>
      </w:r>
      <w:r>
        <w:rPr>
          <w:rFonts w:ascii="Book Antiqua"/>
          <w:b/>
          <w:color w:val="231F20"/>
        </w:rPr>
        <w:t>Opened</w:t>
      </w:r>
      <w:r>
        <w:rPr>
          <w:color w:val="231F20"/>
        </w:rPr>
        <w:t>: The situation is running and is now true, which opens </w:t>
      </w:r>
      <w:r>
        <w:rPr>
          <w:color w:val="231F20"/>
        </w:rPr>
        <w:t>an </w:t>
      </w:r>
      <w:r>
        <w:rPr>
          <w:color w:val="231F20"/>
          <w:spacing w:val="-2"/>
        </w:rPr>
        <w:t>event.</w:t>
      </w:r>
    </w:p>
    <w:p>
      <w:pPr>
        <w:pStyle w:val="BodyText"/>
        <w:spacing w:before="175"/>
        <w:ind w:left="3205"/>
      </w:pPr>
      <w:r>
        <w:rPr>
          <w:position w:val="-1"/>
        </w:rPr>
        <w:drawing>
          <wp:inline distT="0" distB="0" distL="0" distR="0">
            <wp:extent cx="142875" cy="142875"/>
            <wp:effectExtent l="0" t="0" r="0" b="0"/>
            <wp:docPr id="1391" name="Image 1391"/>
            <wp:cNvGraphicFramePr>
              <a:graphicFrameLocks/>
            </wp:cNvGraphicFramePr>
            <a:graphic>
              <a:graphicData uri="http://schemas.openxmlformats.org/drawingml/2006/picture">
                <pic:pic>
                  <pic:nvPicPr>
                    <pic:cNvPr id="1391" name="Image 1391"/>
                    <pic:cNvPicPr/>
                  </pic:nvPicPr>
                  <pic:blipFill>
                    <a:blip r:embed="rId168"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4"/>
        </w:rPr>
        <w:t> </w:t>
      </w:r>
      <w:r>
        <w:rPr>
          <w:rFonts w:ascii="Book Antiqua"/>
          <w:b/>
          <w:color w:val="231F20"/>
        </w:rPr>
        <w:t>Closed</w:t>
      </w:r>
      <w:r>
        <w:rPr>
          <w:color w:val="231F20"/>
        </w:rPr>
        <w:t>:</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rPr>
        <w:t>is</w:t>
      </w:r>
      <w:r>
        <w:rPr>
          <w:color w:val="231F20"/>
          <w:spacing w:val="12"/>
        </w:rPr>
        <w:t> </w:t>
      </w:r>
      <w:r>
        <w:rPr>
          <w:color w:val="231F20"/>
        </w:rPr>
        <w:t>running,</w:t>
      </w:r>
      <w:r>
        <w:rPr>
          <w:color w:val="231F20"/>
          <w:spacing w:val="12"/>
        </w:rPr>
        <w:t> </w:t>
      </w:r>
      <w:r>
        <w:rPr>
          <w:color w:val="231F20"/>
        </w:rPr>
        <w:t>was</w:t>
      </w:r>
      <w:r>
        <w:rPr>
          <w:color w:val="231F20"/>
          <w:spacing w:val="12"/>
        </w:rPr>
        <w:t> </w:t>
      </w:r>
      <w:r>
        <w:rPr>
          <w:color w:val="231F20"/>
        </w:rPr>
        <w:t>true</w:t>
      </w:r>
      <w:r>
        <w:rPr>
          <w:color w:val="231F20"/>
          <w:spacing w:val="12"/>
        </w:rPr>
        <w:t> </w:t>
      </w:r>
      <w:r>
        <w:rPr>
          <w:color w:val="231F20"/>
        </w:rPr>
        <w:t>and</w:t>
      </w:r>
      <w:r>
        <w:rPr>
          <w:color w:val="231F20"/>
          <w:spacing w:val="12"/>
        </w:rPr>
        <w:t> </w:t>
      </w:r>
      <w:r>
        <w:rPr>
          <w:color w:val="231F20"/>
        </w:rPr>
        <w:t>is</w:t>
      </w:r>
      <w:r>
        <w:rPr>
          <w:color w:val="231F20"/>
          <w:spacing w:val="12"/>
        </w:rPr>
        <w:t> </w:t>
      </w:r>
      <w:r>
        <w:rPr>
          <w:color w:val="231F20"/>
        </w:rPr>
        <w:t>now</w:t>
      </w:r>
      <w:r>
        <w:rPr>
          <w:color w:val="231F20"/>
          <w:spacing w:val="12"/>
        </w:rPr>
        <w:t> </w:t>
      </w:r>
      <w:r>
        <w:rPr>
          <w:color w:val="231F20"/>
        </w:rPr>
        <w:t>false.</w:t>
      </w:r>
    </w:p>
    <w:p>
      <w:pPr>
        <w:pStyle w:val="BodyText"/>
        <w:spacing w:line="213" w:lineRule="auto" w:before="193"/>
        <w:ind w:left="3190" w:right="385" w:firstLine="15"/>
      </w:pPr>
      <w:r>
        <w:rPr>
          <w:position w:val="-1"/>
        </w:rPr>
        <w:drawing>
          <wp:inline distT="0" distB="0" distL="0" distR="0">
            <wp:extent cx="142875" cy="142875"/>
            <wp:effectExtent l="0" t="0" r="0" b="0"/>
            <wp:docPr id="1392" name="Image 1392"/>
            <wp:cNvGraphicFramePr>
              <a:graphicFrameLocks/>
            </wp:cNvGraphicFramePr>
            <a:graphic>
              <a:graphicData uri="http://schemas.openxmlformats.org/drawingml/2006/picture">
                <pic:pic>
                  <pic:nvPicPr>
                    <pic:cNvPr id="1392" name="Image 1392"/>
                    <pic:cNvPicPr/>
                  </pic:nvPicPr>
                  <pic:blipFill>
                    <a:blip r:embed="rId112"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6"/>
        </w:rPr>
        <w:t> </w:t>
      </w:r>
      <w:r>
        <w:rPr>
          <w:rFonts w:ascii="Book Antiqua"/>
          <w:b/>
          <w:color w:val="231F20"/>
        </w:rPr>
        <w:t>Reopened</w:t>
      </w:r>
      <w:r>
        <w:rPr>
          <w:color w:val="231F20"/>
        </w:rPr>
        <w:t>: The acknowledgement was removed before it had </w:t>
      </w:r>
      <w:r>
        <w:rPr>
          <w:color w:val="231F20"/>
        </w:rPr>
        <w:t>expired and the event is still open (</w:t>
      </w:r>
      <w:r>
        <w:rPr>
          <w:rFonts w:ascii="Book Antiqua"/>
          <w:i/>
          <w:color w:val="231F20"/>
        </w:rPr>
        <w:t>reopened</w:t>
      </w:r>
      <w:r>
        <w:rPr>
          <w:color w:val="231F20"/>
        </w:rPr>
        <w:t>).</w:t>
      </w:r>
    </w:p>
    <w:p>
      <w:pPr>
        <w:pStyle w:val="BodyText"/>
        <w:spacing w:before="175"/>
        <w:ind w:left="3267"/>
      </w:pPr>
      <w:r>
        <w:rPr>
          <w:position w:val="-1"/>
        </w:rPr>
        <w:drawing>
          <wp:inline distT="0" distB="0" distL="0" distR="0">
            <wp:extent cx="90054" cy="145472"/>
            <wp:effectExtent l="0" t="0" r="0" b="0"/>
            <wp:docPr id="1393" name="Image 1393"/>
            <wp:cNvGraphicFramePr>
              <a:graphicFrameLocks/>
            </wp:cNvGraphicFramePr>
            <a:graphic>
              <a:graphicData uri="http://schemas.openxmlformats.org/drawingml/2006/picture">
                <pic:pic>
                  <pic:nvPicPr>
                    <pic:cNvPr id="1393" name="Image 1393"/>
                    <pic:cNvPicPr/>
                  </pic:nvPicPr>
                  <pic:blipFill>
                    <a:blip r:embed="rId166" cstate="print"/>
                    <a:stretch>
                      <a:fillRect/>
                    </a:stretch>
                  </pic:blipFill>
                  <pic:spPr>
                    <a:xfrm>
                      <a:off x="0" y="0"/>
                      <a:ext cx="90054" cy="145472"/>
                    </a:xfrm>
                    <a:prstGeom prst="rect">
                      <a:avLst/>
                    </a:prstGeom>
                  </pic:spPr>
                </pic:pic>
              </a:graphicData>
            </a:graphic>
          </wp:inline>
        </w:drawing>
      </w:r>
      <w:r>
        <w:rPr>
          <w:position w:val="-1"/>
        </w:rPr>
      </w:r>
      <w:r>
        <w:rPr>
          <w:rFonts w:ascii="Times New Roman"/>
          <w:spacing w:val="22"/>
        </w:rPr>
        <w:t> </w:t>
      </w:r>
      <w:r>
        <w:rPr>
          <w:rFonts w:ascii="Book Antiqua"/>
          <w:b/>
          <w:color w:val="231F20"/>
        </w:rPr>
        <w:t>Started</w:t>
      </w:r>
      <w:r>
        <w:rPr>
          <w:color w:val="231F20"/>
        </w:rPr>
        <w:t>:</w:t>
      </w:r>
      <w:r>
        <w:rPr>
          <w:color w:val="231F20"/>
          <w:spacing w:val="17"/>
        </w:rPr>
        <w:t> </w:t>
      </w:r>
      <w:r>
        <w:rPr>
          <w:color w:val="231F20"/>
        </w:rPr>
        <w:t>The</w:t>
      </w:r>
      <w:r>
        <w:rPr>
          <w:color w:val="231F20"/>
          <w:spacing w:val="17"/>
        </w:rPr>
        <w:t> </w:t>
      </w:r>
      <w:r>
        <w:rPr>
          <w:color w:val="231F20"/>
        </w:rPr>
        <w:t>situation</w:t>
      </w:r>
      <w:r>
        <w:rPr>
          <w:color w:val="231F20"/>
          <w:spacing w:val="17"/>
        </w:rPr>
        <w:t> </w:t>
      </w:r>
      <w:r>
        <w:rPr>
          <w:color w:val="231F20"/>
        </w:rPr>
        <w:t>is</w:t>
      </w:r>
      <w:r>
        <w:rPr>
          <w:color w:val="231F20"/>
          <w:spacing w:val="17"/>
        </w:rPr>
        <w:t> </w:t>
      </w:r>
      <w:r>
        <w:rPr>
          <w:color w:val="231F20"/>
        </w:rPr>
        <w:t>being</w:t>
      </w:r>
      <w:r>
        <w:rPr>
          <w:color w:val="231F20"/>
          <w:spacing w:val="17"/>
        </w:rPr>
        <w:t> </w:t>
      </w:r>
      <w:r>
        <w:rPr>
          <w:color w:val="231F20"/>
        </w:rPr>
        <w:t>started.</w:t>
      </w:r>
    </w:p>
    <w:p>
      <w:pPr>
        <w:pStyle w:val="BodyText"/>
        <w:spacing w:before="169"/>
        <w:ind w:left="3205"/>
      </w:pPr>
      <w:r>
        <w:rPr>
          <w:position w:val="-1"/>
        </w:rPr>
        <w:drawing>
          <wp:inline distT="0" distB="0" distL="0" distR="0">
            <wp:extent cx="142875" cy="142875"/>
            <wp:effectExtent l="0" t="0" r="0" b="0"/>
            <wp:docPr id="1394" name="Image 1394"/>
            <wp:cNvGraphicFramePr>
              <a:graphicFrameLocks/>
            </wp:cNvGraphicFramePr>
            <a:graphic>
              <a:graphicData uri="http://schemas.openxmlformats.org/drawingml/2006/picture">
                <pic:pic>
                  <pic:nvPicPr>
                    <pic:cNvPr id="1394" name="Image 1394"/>
                    <pic:cNvPicPr/>
                  </pic:nvPicPr>
                  <pic:blipFill>
                    <a:blip r:embed="rId38"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4"/>
        </w:rPr>
        <w:t> </w:t>
      </w:r>
      <w:r>
        <w:rPr>
          <w:rFonts w:ascii="Book Antiqua"/>
          <w:b/>
          <w:color w:val="231F20"/>
        </w:rPr>
        <w:t>Stopped</w:t>
      </w:r>
      <w:r>
        <w:rPr>
          <w:color w:val="231F20"/>
        </w:rPr>
        <w:t>:</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rPr>
        <w:t>has</w:t>
      </w:r>
      <w:r>
        <w:rPr>
          <w:color w:val="231F20"/>
          <w:spacing w:val="12"/>
        </w:rPr>
        <w:t> </w:t>
      </w:r>
      <w:r>
        <w:rPr>
          <w:color w:val="231F20"/>
        </w:rPr>
        <w:t>been</w:t>
      </w:r>
      <w:r>
        <w:rPr>
          <w:color w:val="231F20"/>
          <w:spacing w:val="12"/>
        </w:rPr>
        <w:t> </w:t>
      </w:r>
      <w:r>
        <w:rPr>
          <w:color w:val="231F20"/>
        </w:rPr>
        <w:t>stopped.</w:t>
      </w:r>
    </w:p>
    <w:p>
      <w:pPr>
        <w:pStyle w:val="Heading6"/>
        <w:spacing w:before="111"/>
      </w:pPr>
      <w:r>
        <w:rPr>
          <w:color w:val="231F20"/>
        </w:rPr>
        <w:t>Situation</w:t>
      </w:r>
      <w:r>
        <w:rPr>
          <w:color w:val="231F20"/>
          <w:spacing w:val="7"/>
        </w:rPr>
        <w:t> </w:t>
      </w:r>
      <w:r>
        <w:rPr>
          <w:color w:val="231F20"/>
          <w:spacing w:val="-4"/>
        </w:rPr>
        <w:t>Name</w:t>
      </w:r>
    </w:p>
    <w:p>
      <w:pPr>
        <w:pStyle w:val="BodyText"/>
        <w:spacing w:line="213" w:lineRule="auto" w:before="12"/>
        <w:ind w:left="3190" w:right="545"/>
      </w:pPr>
      <w:r>
        <w:rPr>
          <w:color w:val="231F20"/>
        </w:rPr>
        <w:t>This is the situation display name and ID information. The message </w:t>
      </w:r>
      <w:r>
        <w:rPr>
          <w:color w:val="231F20"/>
        </w:rPr>
        <w:t>log view can be used to determine the display name associated with a Situation ID.</w:t>
      </w:r>
    </w:p>
    <w:p>
      <w:pPr>
        <w:pStyle w:val="Heading6"/>
        <w:spacing w:before="116"/>
      </w:pPr>
      <w:r>
        <w:rPr>
          <w:color w:val="231F20"/>
        </w:rPr>
        <w:t>Display</w:t>
      </w:r>
      <w:r>
        <w:rPr>
          <w:color w:val="231F20"/>
          <w:spacing w:val="8"/>
        </w:rPr>
        <w:t> </w:t>
      </w:r>
      <w:r>
        <w:rPr>
          <w:color w:val="231F20"/>
          <w:spacing w:val="-4"/>
        </w:rPr>
        <w:t>Item</w:t>
      </w:r>
    </w:p>
    <w:p>
      <w:pPr>
        <w:pStyle w:val="BodyText"/>
        <w:spacing w:line="213" w:lineRule="auto" w:before="12"/>
        <w:ind w:left="3190" w:right="385"/>
      </w:pPr>
      <w:r>
        <w:rPr>
          <w:color w:val="231F20"/>
        </w:rPr>
        <w:t>If the situation was defined with a </w:t>
      </w:r>
      <w:r>
        <w:rPr>
          <w:rFonts w:ascii="Book Antiqua"/>
          <w:i/>
          <w:color w:val="231F20"/>
        </w:rPr>
        <w:t>display item</w:t>
      </w:r>
      <w:r>
        <w:rPr>
          <w:color w:val="231F20"/>
        </w:rPr>
        <w:t>, it appears here. </w:t>
      </w:r>
      <w:r>
        <w:rPr>
          <w:color w:val="231F20"/>
        </w:rPr>
        <w:t>Otherwise, this field is empty.</w:t>
      </w:r>
    </w:p>
    <w:p>
      <w:pPr>
        <w:pStyle w:val="Heading6"/>
      </w:pPr>
      <w:r>
        <w:rPr>
          <w:color w:val="231F20"/>
        </w:rPr>
        <w:t>Origin</w:t>
      </w:r>
      <w:r>
        <w:rPr>
          <w:color w:val="231F20"/>
          <w:spacing w:val="9"/>
        </w:rPr>
        <w:t> </w:t>
      </w:r>
      <w:r>
        <w:rPr>
          <w:color w:val="231F20"/>
          <w:spacing w:val="-4"/>
        </w:rPr>
        <w:t>Node</w:t>
      </w:r>
    </w:p>
    <w:p>
      <w:pPr>
        <w:pStyle w:val="BodyText"/>
        <w:spacing w:line="258" w:lineRule="exact"/>
        <w:ind w:left="3190"/>
      </w:pPr>
      <w:r>
        <w:rPr>
          <w:color w:val="231F20"/>
        </w:rPr>
        <w:t>The</w:t>
      </w:r>
      <w:r>
        <w:rPr>
          <w:color w:val="231F20"/>
          <w:spacing w:val="11"/>
        </w:rPr>
        <w:t> </w:t>
      </w:r>
      <w:r>
        <w:rPr>
          <w:color w:val="231F20"/>
        </w:rPr>
        <w:t>name</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agent</w:t>
      </w:r>
      <w:r>
        <w:rPr>
          <w:color w:val="231F20"/>
          <w:spacing w:val="11"/>
        </w:rPr>
        <w:t> </w:t>
      </w:r>
      <w:r>
        <w:rPr>
          <w:color w:val="231F20"/>
        </w:rPr>
        <w:t>and</w:t>
      </w:r>
      <w:r>
        <w:rPr>
          <w:color w:val="231F20"/>
          <w:spacing w:val="12"/>
        </w:rPr>
        <w:t> </w:t>
      </w:r>
      <w:r>
        <w:rPr>
          <w:color w:val="231F20"/>
        </w:rPr>
        <w:t>system</w:t>
      </w:r>
      <w:r>
        <w:rPr>
          <w:color w:val="231F20"/>
          <w:spacing w:val="11"/>
        </w:rPr>
        <w:t> </w:t>
      </w:r>
      <w:r>
        <w:rPr>
          <w:color w:val="231F20"/>
        </w:rPr>
        <w:t>where</w:t>
      </w:r>
      <w:r>
        <w:rPr>
          <w:color w:val="231F20"/>
          <w:spacing w:val="12"/>
        </w:rPr>
        <w:t> </w:t>
      </w:r>
      <w:r>
        <w:rPr>
          <w:color w:val="231F20"/>
        </w:rPr>
        <w:t>the</w:t>
      </w:r>
      <w:r>
        <w:rPr>
          <w:color w:val="231F20"/>
          <w:spacing w:val="12"/>
        </w:rPr>
        <w:t> </w:t>
      </w:r>
      <w:r>
        <w:rPr>
          <w:color w:val="231F20"/>
        </w:rPr>
        <w:t>situation</w:t>
      </w:r>
      <w:r>
        <w:rPr>
          <w:color w:val="231F20"/>
          <w:spacing w:val="11"/>
        </w:rPr>
        <w:t> </w:t>
      </w:r>
      <w:r>
        <w:rPr>
          <w:color w:val="231F20"/>
        </w:rPr>
        <w:t>is</w:t>
      </w:r>
      <w:r>
        <w:rPr>
          <w:color w:val="231F20"/>
          <w:spacing w:val="12"/>
        </w:rPr>
        <w:t> </w:t>
      </w:r>
      <w:r>
        <w:rPr>
          <w:color w:val="231F20"/>
          <w:spacing w:val="-2"/>
        </w:rPr>
        <w:t>running.</w:t>
      </w:r>
    </w:p>
    <w:p>
      <w:pPr>
        <w:pStyle w:val="Heading6"/>
        <w:spacing w:before="111"/>
      </w:pPr>
      <w:r>
        <w:rPr>
          <w:color w:val="231F20"/>
        </w:rPr>
        <w:t>Global</w:t>
      </w:r>
      <w:r>
        <w:rPr>
          <w:color w:val="231F20"/>
          <w:spacing w:val="9"/>
        </w:rPr>
        <w:t> </w:t>
      </w:r>
      <w:r>
        <w:rPr>
          <w:color w:val="231F20"/>
          <w:spacing w:val="-2"/>
        </w:rPr>
        <w:t>Timestamp</w:t>
      </w:r>
    </w:p>
    <w:p>
      <w:pPr>
        <w:pStyle w:val="BodyText"/>
        <w:spacing w:line="213" w:lineRule="auto" w:before="11"/>
        <w:ind w:left="3190" w:right="274"/>
      </w:pPr>
      <w:r>
        <w:rPr>
          <w:color w:val="231F20"/>
        </w:rPr>
        <w:t>The time the event was recorded by the hub Tivoli Enterprise </w:t>
      </w:r>
      <w:r>
        <w:rPr>
          <w:color w:val="231F20"/>
        </w:rPr>
        <w:t>Monitoring </w:t>
      </w:r>
      <w:r>
        <w:rPr>
          <w:color w:val="231F20"/>
          <w:spacing w:val="-2"/>
        </w:rPr>
        <w:t>Server.</w:t>
      </w:r>
    </w:p>
    <w:p>
      <w:pPr>
        <w:pStyle w:val="Heading6"/>
      </w:pPr>
      <w:r>
        <w:rPr>
          <w:color w:val="231F20"/>
        </w:rPr>
        <w:t>Local</w:t>
      </w:r>
      <w:r>
        <w:rPr>
          <w:color w:val="231F20"/>
          <w:spacing w:val="11"/>
        </w:rPr>
        <w:t> </w:t>
      </w:r>
      <w:r>
        <w:rPr>
          <w:color w:val="231F20"/>
          <w:spacing w:val="-2"/>
        </w:rPr>
        <w:t>Timestamp</w:t>
      </w:r>
    </w:p>
    <w:p>
      <w:pPr>
        <w:pStyle w:val="BodyText"/>
        <w:spacing w:line="213" w:lineRule="auto" w:before="12"/>
        <w:ind w:left="3190" w:right="385"/>
      </w:pPr>
      <w:r>
        <w:rPr>
          <w:color w:val="231F20"/>
        </w:rPr>
        <w:t>The time the event occurred or the condition was observed by the originating managed system. The format is MM/DD/YY HH:MM:SS, as </w:t>
      </w:r>
      <w:r>
        <w:rPr>
          <w:color w:val="231F20"/>
        </w:rPr>
        <w:t>in</w:t>
      </w:r>
      <w:r>
        <w:rPr>
          <w:color w:val="231F20"/>
          <w:spacing w:val="40"/>
        </w:rPr>
        <w:t> </w:t>
      </w:r>
      <w:r>
        <w:rPr>
          <w:color w:val="231F20"/>
        </w:rPr>
        <w:t>07/23/11 14:45:35 for July 23,2011 at 2:45:35 PM.</w:t>
      </w:r>
    </w:p>
    <w:p>
      <w:pPr>
        <w:pStyle w:val="BodyText"/>
        <w:tabs>
          <w:tab w:pos="3190" w:val="left" w:leader="none"/>
        </w:tabs>
        <w:spacing w:before="94"/>
        <w:ind w:left="2472"/>
      </w:pPr>
      <w:r>
        <w:rPr>
          <w:rFonts w:ascii="Book Antiqua"/>
          <w:b/>
          <w:color w:val="231F20"/>
          <w:spacing w:val="-4"/>
        </w:rPr>
        <w:t>Node</w:t>
      </w:r>
      <w:r>
        <w:rPr>
          <w:rFonts w:ascii="Book Antiqua"/>
          <w:b/>
          <w:color w:val="231F20"/>
        </w:rPr>
        <w:tab/>
      </w:r>
      <w:r>
        <w:rPr>
          <w:color w:val="231F20"/>
        </w:rPr>
        <w:t>The</w:t>
      </w:r>
      <w:r>
        <w:rPr>
          <w:color w:val="231F20"/>
          <w:spacing w:val="10"/>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monitoring</w:t>
      </w:r>
      <w:r>
        <w:rPr>
          <w:color w:val="231F20"/>
          <w:spacing w:val="11"/>
        </w:rPr>
        <w:t> </w:t>
      </w:r>
      <w:r>
        <w:rPr>
          <w:color w:val="231F20"/>
        </w:rPr>
        <w:t>server</w:t>
      </w:r>
      <w:r>
        <w:rPr>
          <w:color w:val="231F20"/>
          <w:spacing w:val="11"/>
        </w:rPr>
        <w:t> </w:t>
      </w:r>
      <w:r>
        <w:rPr>
          <w:color w:val="231F20"/>
        </w:rPr>
        <w:t>from</w:t>
      </w:r>
      <w:r>
        <w:rPr>
          <w:color w:val="231F20"/>
          <w:spacing w:val="11"/>
        </w:rPr>
        <w:t> </w:t>
      </w:r>
      <w:r>
        <w:rPr>
          <w:color w:val="231F20"/>
        </w:rPr>
        <w:t>where</w:t>
      </w:r>
      <w:r>
        <w:rPr>
          <w:color w:val="231F20"/>
          <w:spacing w:val="10"/>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0"/>
        </w:rPr>
        <w:t> </w:t>
      </w:r>
      <w:r>
        <w:rPr>
          <w:color w:val="231F20"/>
          <w:spacing w:val="-2"/>
        </w:rPr>
        <w:t>monitored.</w:t>
      </w:r>
    </w:p>
    <w:p>
      <w:pPr>
        <w:pStyle w:val="BodyText"/>
        <w:tabs>
          <w:tab w:pos="3190" w:val="left" w:leader="none"/>
        </w:tabs>
        <w:spacing w:before="90"/>
        <w:ind w:left="2472"/>
      </w:pPr>
      <w:r>
        <w:rPr>
          <w:rFonts w:ascii="Book Antiqua"/>
          <w:b/>
          <w:color w:val="231F20"/>
          <w:spacing w:val="-4"/>
        </w:rPr>
        <w:t>Type</w:t>
      </w:r>
      <w:r>
        <w:rPr>
          <w:rFonts w:ascii="Book Antiqua"/>
          <w:b/>
          <w:color w:val="231F20"/>
        </w:rPr>
        <w:tab/>
      </w:r>
      <w:r>
        <w:rPr>
          <w:color w:val="231F20"/>
        </w:rPr>
        <w:t>The</w:t>
      </w:r>
      <w:r>
        <w:rPr>
          <w:color w:val="231F20"/>
          <w:spacing w:val="11"/>
        </w:rPr>
        <w:t> </w:t>
      </w:r>
      <w:r>
        <w:rPr>
          <w:color w:val="231F20"/>
        </w:rPr>
        <w:t>type</w:t>
      </w:r>
      <w:r>
        <w:rPr>
          <w:color w:val="231F20"/>
          <w:spacing w:val="12"/>
        </w:rPr>
        <w:t> </w:t>
      </w:r>
      <w:r>
        <w:rPr>
          <w:color w:val="231F20"/>
        </w:rPr>
        <w:t>of</w:t>
      </w:r>
      <w:r>
        <w:rPr>
          <w:color w:val="231F20"/>
          <w:spacing w:val="11"/>
        </w:rPr>
        <w:t> </w:t>
      </w:r>
      <w:r>
        <w:rPr>
          <w:color w:val="231F20"/>
        </w:rPr>
        <w:t>event.</w:t>
      </w:r>
      <w:r>
        <w:rPr>
          <w:color w:val="231F20"/>
          <w:spacing w:val="12"/>
        </w:rPr>
        <w:t> </w:t>
      </w:r>
      <w:r>
        <w:rPr>
          <w:color w:val="231F20"/>
        </w:rPr>
        <w:t>The</w:t>
      </w:r>
      <w:r>
        <w:rPr>
          <w:color w:val="231F20"/>
          <w:spacing w:val="12"/>
        </w:rPr>
        <w:t> </w:t>
      </w:r>
      <w:r>
        <w:rPr>
          <w:color w:val="231F20"/>
        </w:rPr>
        <w:t>possible</w:t>
      </w:r>
      <w:r>
        <w:rPr>
          <w:color w:val="231F20"/>
          <w:spacing w:val="11"/>
        </w:rPr>
        <w:t> </w:t>
      </w:r>
      <w:r>
        <w:rPr>
          <w:color w:val="231F20"/>
        </w:rPr>
        <w:t>values</w:t>
      </w:r>
      <w:r>
        <w:rPr>
          <w:color w:val="231F20"/>
          <w:spacing w:val="12"/>
        </w:rPr>
        <w:t> </w:t>
      </w:r>
      <w:r>
        <w:rPr>
          <w:color w:val="231F20"/>
          <w:spacing w:val="-4"/>
        </w:rPr>
        <w:t>are:</w:t>
      </w:r>
    </w:p>
    <w:p>
      <w:pPr>
        <w:pStyle w:val="BodyText"/>
        <w:spacing w:line="255" w:lineRule="exact" w:before="29"/>
        <w:ind w:left="3190"/>
      </w:pPr>
      <w:r>
        <w:rPr>
          <w:rFonts w:ascii="Futura MdCn BT"/>
          <w:color w:val="231F20"/>
        </w:rPr>
        <w:t>v</w:t>
      </w:r>
      <w:r>
        <w:rPr>
          <w:rFonts w:ascii="Futura MdCn BT"/>
          <w:color w:val="231F20"/>
          <w:spacing w:val="30"/>
        </w:rPr>
        <w:t>  </w:t>
      </w:r>
      <w:r>
        <w:rPr>
          <w:rFonts w:ascii="Book Antiqua"/>
          <w:b/>
          <w:color w:val="231F20"/>
        </w:rPr>
        <w:t>Sampled</w:t>
      </w:r>
      <w:r>
        <w:rPr>
          <w:rFonts w:ascii="Book Antiqua"/>
          <w:b/>
          <w:color w:val="231F20"/>
          <w:spacing w:val="13"/>
        </w:rPr>
        <w:t> </w:t>
      </w:r>
      <w:r>
        <w:rPr>
          <w:color w:val="231F20"/>
        </w:rPr>
        <w:t>for</w:t>
      </w:r>
      <w:r>
        <w:rPr>
          <w:color w:val="231F20"/>
          <w:spacing w:val="12"/>
        </w:rPr>
        <w:t> </w:t>
      </w:r>
      <w:r>
        <w:rPr>
          <w:color w:val="231F20"/>
        </w:rPr>
        <w:t>events</w:t>
      </w:r>
      <w:r>
        <w:rPr>
          <w:color w:val="231F20"/>
          <w:spacing w:val="12"/>
        </w:rPr>
        <w:t> </w:t>
      </w:r>
      <w:r>
        <w:rPr>
          <w:color w:val="231F20"/>
        </w:rPr>
        <w:t>that</w:t>
      </w:r>
      <w:r>
        <w:rPr>
          <w:color w:val="231F20"/>
          <w:spacing w:val="11"/>
        </w:rPr>
        <w:t> </w:t>
      </w:r>
      <w:r>
        <w:rPr>
          <w:color w:val="231F20"/>
        </w:rPr>
        <w:t>happen</w:t>
      </w:r>
      <w:r>
        <w:rPr>
          <w:color w:val="231F20"/>
          <w:spacing w:val="12"/>
        </w:rPr>
        <w:t> </w:t>
      </w:r>
      <w:r>
        <w:rPr>
          <w:color w:val="231F20"/>
        </w:rPr>
        <w:t>when</w:t>
      </w:r>
      <w:r>
        <w:rPr>
          <w:color w:val="231F20"/>
          <w:spacing w:val="12"/>
        </w:rPr>
        <w:t> </w:t>
      </w:r>
      <w:r>
        <w:rPr>
          <w:color w:val="231F20"/>
        </w:rPr>
        <w:t>a</w:t>
      </w:r>
      <w:r>
        <w:rPr>
          <w:color w:val="231F20"/>
          <w:spacing w:val="12"/>
        </w:rPr>
        <w:t> </w:t>
      </w:r>
      <w:r>
        <w:rPr>
          <w:color w:val="231F20"/>
        </w:rPr>
        <w:t>situation</w:t>
      </w:r>
      <w:r>
        <w:rPr>
          <w:color w:val="231F20"/>
          <w:spacing w:val="11"/>
        </w:rPr>
        <w:t> </w:t>
      </w:r>
      <w:r>
        <w:rPr>
          <w:color w:val="231F20"/>
        </w:rPr>
        <w:t>becomes</w:t>
      </w:r>
      <w:r>
        <w:rPr>
          <w:color w:val="231F20"/>
          <w:spacing w:val="12"/>
        </w:rPr>
        <w:t> </w:t>
      </w:r>
      <w:r>
        <w:rPr>
          <w:color w:val="231F20"/>
          <w:spacing w:val="-2"/>
        </w:rPr>
        <w:t>true.</w:t>
      </w:r>
    </w:p>
    <w:p>
      <w:pPr>
        <w:pStyle w:val="BodyText"/>
        <w:spacing w:line="213" w:lineRule="auto" w:before="8"/>
        <w:ind w:left="3406"/>
      </w:pPr>
      <w:r>
        <w:rPr>
          <w:color w:val="231F20"/>
        </w:rPr>
        <w:t>Situations sample data at regular intervals. When the situation is true, it causes an event, which gets closed automatically when the situation </w:t>
      </w:r>
      <w:r>
        <w:rPr>
          <w:color w:val="231F20"/>
        </w:rPr>
        <w:t>goes back to false (or you can close the event manually).</w:t>
      </w:r>
    </w:p>
    <w:p>
      <w:pPr>
        <w:spacing w:after="0" w:line="213" w:lineRule="auto"/>
        <w:sectPr>
          <w:pgSz w:w="12240" w:h="15840"/>
          <w:pgMar w:header="0" w:footer="736" w:top="1160" w:bottom="920" w:left="1000" w:right="1060"/>
        </w:sectPr>
      </w:pPr>
    </w:p>
    <w:p>
      <w:pPr>
        <w:pStyle w:val="BodyText"/>
        <w:spacing w:line="213" w:lineRule="auto" w:before="85"/>
        <w:ind w:left="3167" w:right="545" w:hanging="216"/>
      </w:pPr>
      <w:bookmarkStart w:name="_bookmark106" w:id="227"/>
      <w:bookmarkEnd w:id="227"/>
      <w:r>
        <w:rPr/>
      </w:r>
      <w:r>
        <w:rPr>
          <w:rFonts w:ascii="Futura MdCn BT"/>
          <w:color w:val="231F20"/>
        </w:rPr>
        <w:t>v</w:t>
      </w:r>
      <w:r>
        <w:rPr>
          <w:rFonts w:ascii="Futura MdCn BT"/>
          <w:color w:val="231F20"/>
          <w:spacing w:val="80"/>
        </w:rPr>
        <w:t> </w:t>
      </w:r>
      <w:r>
        <w:rPr>
          <w:rFonts w:ascii="Book Antiqua"/>
          <w:b/>
          <w:color w:val="231F20"/>
        </w:rPr>
        <w:t>Pure</w:t>
      </w:r>
      <w:r>
        <w:rPr>
          <w:rFonts w:ascii="Book Antiqua"/>
          <w:b/>
          <w:color w:val="231F20"/>
          <w:spacing w:val="28"/>
        </w:rPr>
        <w:t> </w:t>
      </w:r>
      <w:r>
        <w:rPr>
          <w:color w:val="231F20"/>
        </w:rPr>
        <w:t>for</w:t>
      </w:r>
      <w:r>
        <w:rPr>
          <w:color w:val="231F20"/>
          <w:spacing w:val="28"/>
        </w:rPr>
        <w:t> </w:t>
      </w:r>
      <w:r>
        <w:rPr>
          <w:color w:val="231F20"/>
        </w:rPr>
        <w:t>events</w:t>
      </w:r>
      <w:r>
        <w:rPr>
          <w:color w:val="231F20"/>
          <w:spacing w:val="28"/>
        </w:rPr>
        <w:t> </w:t>
      </w:r>
      <w:r>
        <w:rPr>
          <w:color w:val="231F20"/>
        </w:rPr>
        <w:t>that</w:t>
      </w:r>
      <w:r>
        <w:rPr>
          <w:color w:val="231F20"/>
          <w:spacing w:val="28"/>
        </w:rPr>
        <w:t> </w:t>
      </w:r>
      <w:r>
        <w:rPr>
          <w:color w:val="231F20"/>
        </w:rPr>
        <w:t>are</w:t>
      </w:r>
      <w:r>
        <w:rPr>
          <w:color w:val="231F20"/>
          <w:spacing w:val="28"/>
        </w:rPr>
        <w:t> </w:t>
      </w:r>
      <w:r>
        <w:rPr>
          <w:color w:val="231F20"/>
        </w:rPr>
        <w:t>unsolicited</w:t>
      </w:r>
      <w:r>
        <w:rPr>
          <w:color w:val="231F20"/>
          <w:spacing w:val="28"/>
        </w:rPr>
        <w:t> </w:t>
      </w:r>
      <w:r>
        <w:rPr>
          <w:color w:val="231F20"/>
        </w:rPr>
        <w:t>notifications.</w:t>
      </w:r>
      <w:r>
        <w:rPr>
          <w:color w:val="231F20"/>
          <w:spacing w:val="28"/>
        </w:rPr>
        <w:t> </w:t>
      </w:r>
      <w:r>
        <w:rPr>
          <w:color w:val="231F20"/>
        </w:rPr>
        <w:t>Examples</w:t>
      </w:r>
      <w:r>
        <w:rPr>
          <w:color w:val="231F20"/>
          <w:spacing w:val="28"/>
        </w:rPr>
        <w:t> </w:t>
      </w:r>
      <w:r>
        <w:rPr>
          <w:color w:val="231F20"/>
        </w:rPr>
        <w:t>of</w:t>
      </w:r>
      <w:r>
        <w:rPr>
          <w:color w:val="231F20"/>
          <w:spacing w:val="28"/>
        </w:rPr>
        <w:t> </w:t>
      </w:r>
      <w:r>
        <w:rPr>
          <w:color w:val="231F20"/>
        </w:rPr>
        <w:t>pure events are an out-of-paper condition on a printer and an occurrence </w:t>
      </w:r>
      <w:r>
        <w:rPr>
          <w:color w:val="231F20"/>
        </w:rPr>
        <w:t>that</w:t>
      </w:r>
      <w:r>
        <w:rPr>
          <w:color w:val="231F20"/>
        </w:rPr>
        <w:t> adds an entry to a log. Some monitoring agents have attributes that</w:t>
      </w:r>
      <w:r>
        <w:rPr>
          <w:color w:val="231F20"/>
          <w:spacing w:val="80"/>
        </w:rPr>
        <w:t> </w:t>
      </w:r>
      <w:r>
        <w:rPr>
          <w:color w:val="231F20"/>
        </w:rPr>
        <w:t>report pure events, such as the Windows Event Log and Windows File Change attribute groups. A situation using one of these attributes can monitor for pure events. Because of the nature of pure events, they are</w:t>
      </w:r>
      <w:r>
        <w:rPr>
          <w:color w:val="231F20"/>
          <w:spacing w:val="40"/>
        </w:rPr>
        <w:t> </w:t>
      </w:r>
      <w:r>
        <w:rPr>
          <w:color w:val="231F20"/>
        </w:rPr>
        <w:t>not closed automatically like sampled events; you must close the event manually. Alternatively, you can author the situation with an UNTIL </w:t>
      </w:r>
      <w:bookmarkStart w:name="Apply quick settings" w:id="228"/>
      <w:bookmarkEnd w:id="228"/>
      <w:r>
        <w:rPr>
          <w:color w:val="231F20"/>
          <w:spacing w:val="-2"/>
        </w:rPr>
        <w:t>clause.</w:t>
      </w:r>
    </w:p>
    <w:p>
      <w:pPr>
        <w:pStyle w:val="Heading4"/>
        <w:spacing w:line="273" w:lineRule="exact" w:before="160"/>
      </w:pPr>
      <w:r>
        <w:rPr>
          <w:color w:val="231F20"/>
        </w:rPr>
        <w:t>Apply</w:t>
      </w:r>
      <w:r>
        <w:rPr>
          <w:color w:val="231F20"/>
          <w:spacing w:val="6"/>
        </w:rPr>
        <w:t> </w:t>
      </w:r>
      <w:r>
        <w:rPr>
          <w:color w:val="231F20"/>
        </w:rPr>
        <w:t>quick</w:t>
      </w:r>
      <w:r>
        <w:rPr>
          <w:color w:val="231F20"/>
          <w:spacing w:val="7"/>
        </w:rPr>
        <w:t> </w:t>
      </w:r>
      <w:r>
        <w:rPr>
          <w:color w:val="231F20"/>
          <w:spacing w:val="-2"/>
        </w:rPr>
        <w:t>settings</w:t>
      </w:r>
    </w:p>
    <w:p>
      <w:pPr>
        <w:pStyle w:val="BodyText"/>
        <w:spacing w:line="213" w:lineRule="auto" w:before="20"/>
        <w:ind w:left="2232" w:right="493"/>
      </w:pPr>
      <w:r>
        <w:rPr>
          <w:color w:val="231F20"/>
        </w:rPr>
        <w:t>Use the quick settings feature of the message log view to set a row limit, filter out</w:t>
      </w:r>
      <w:r>
        <w:rPr>
          <w:color w:val="231F20"/>
          <w:spacing w:val="40"/>
        </w:rPr>
        <w:t> </w:t>
      </w:r>
      <w:r>
        <w:rPr>
          <w:color w:val="231F20"/>
        </w:rPr>
        <w:t>unwanted rows, and highlight specific cell values.</w:t>
      </w:r>
    </w:p>
    <w:p>
      <w:pPr>
        <w:pStyle w:val="Heading5"/>
        <w:ind w:left="2232"/>
      </w:pPr>
      <w:r>
        <w:rPr>
          <w:color w:val="231F20"/>
          <w:spacing w:val="-2"/>
        </w:rPr>
        <w:t>Procedure</w:t>
      </w:r>
    </w:p>
    <w:p>
      <w:pPr>
        <w:pStyle w:val="BodyText"/>
        <w:spacing w:before="43"/>
        <w:ind w:left="2232"/>
      </w:pPr>
      <w:r>
        <w:rPr>
          <w:rFonts w:ascii="Futura MdCn BT"/>
          <w:color w:val="231F20"/>
        </w:rPr>
        <w:t>v</w:t>
      </w:r>
      <w:r>
        <w:rPr>
          <w:rFonts w:ascii="Futura MdCn BT"/>
          <w:color w:val="231F20"/>
          <w:spacing w:val="33"/>
        </w:rPr>
        <w:t>  </w:t>
      </w:r>
      <w:r>
        <w:rPr>
          <w:color w:val="231F20"/>
        </w:rPr>
        <w:t>Set</w:t>
      </w:r>
      <w:r>
        <w:rPr>
          <w:color w:val="231F20"/>
          <w:spacing w:val="14"/>
        </w:rPr>
        <w:t> </w:t>
      </w:r>
      <w:r>
        <w:rPr>
          <w:color w:val="231F20"/>
        </w:rPr>
        <w:t>a</w:t>
      </w:r>
      <w:r>
        <w:rPr>
          <w:color w:val="231F20"/>
          <w:spacing w:val="14"/>
        </w:rPr>
        <w:t> </w:t>
      </w:r>
      <w:r>
        <w:rPr>
          <w:color w:val="231F20"/>
        </w:rPr>
        <w:t>row</w:t>
      </w:r>
      <w:r>
        <w:rPr>
          <w:color w:val="231F20"/>
          <w:spacing w:val="14"/>
        </w:rPr>
        <w:t> </w:t>
      </w:r>
      <w:r>
        <w:rPr>
          <w:color w:val="231F20"/>
          <w:spacing w:val="-2"/>
        </w:rPr>
        <w:t>limit</w:t>
      </w:r>
    </w:p>
    <w:p>
      <w:pPr>
        <w:pStyle w:val="ListParagraph"/>
        <w:numPr>
          <w:ilvl w:val="0"/>
          <w:numId w:val="61"/>
        </w:numPr>
        <w:tabs>
          <w:tab w:pos="2763" w:val="left" w:leader="none"/>
        </w:tabs>
        <w:spacing w:line="240" w:lineRule="auto" w:before="30" w:after="0"/>
        <w:ind w:left="2763" w:right="0" w:hanging="315"/>
        <w:jc w:val="left"/>
        <w:rPr>
          <w:sz w:val="20"/>
        </w:rPr>
      </w:pPr>
      <w:r>
        <w:rPr>
          <w:color w:val="231F20"/>
          <w:sz w:val="20"/>
        </w:rPr>
        <w:t>Right-click</w:t>
      </w:r>
      <w:r>
        <w:rPr>
          <w:color w:val="231F20"/>
          <w:spacing w:val="9"/>
          <w:sz w:val="20"/>
        </w:rPr>
        <w:t> </w:t>
      </w:r>
      <w:r>
        <w:rPr>
          <w:color w:val="231F20"/>
          <w:sz w:val="20"/>
        </w:rPr>
        <w:t>anywhere</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message</w:t>
      </w:r>
      <w:r>
        <w:rPr>
          <w:color w:val="231F20"/>
          <w:spacing w:val="10"/>
          <w:sz w:val="20"/>
        </w:rPr>
        <w:t> </w:t>
      </w:r>
      <w:r>
        <w:rPr>
          <w:color w:val="231F20"/>
          <w:sz w:val="20"/>
        </w:rPr>
        <w:t>log</w:t>
      </w:r>
      <w:r>
        <w:rPr>
          <w:color w:val="231F20"/>
          <w:spacing w:val="9"/>
          <w:sz w:val="20"/>
        </w:rPr>
        <w:t> </w:t>
      </w:r>
      <w:r>
        <w:rPr>
          <w:color w:val="231F20"/>
          <w:spacing w:val="-2"/>
          <w:sz w:val="20"/>
        </w:rPr>
        <w:t>view.</w:t>
      </w:r>
    </w:p>
    <w:p>
      <w:pPr>
        <w:pStyle w:val="ListParagraph"/>
        <w:numPr>
          <w:ilvl w:val="0"/>
          <w:numId w:val="61"/>
        </w:numPr>
        <w:tabs>
          <w:tab w:pos="2764" w:val="left" w:leader="none"/>
        </w:tabs>
        <w:spacing w:line="213" w:lineRule="auto" w:before="52" w:after="0"/>
        <w:ind w:left="2764" w:right="523" w:hanging="316"/>
        <w:jc w:val="left"/>
        <w:rPr>
          <w:sz w:val="20"/>
        </w:rPr>
      </w:pPr>
      <w:r>
        <w:rPr>
          <w:color w:val="231F20"/>
          <w:sz w:val="20"/>
        </w:rPr>
        <w:t>In the popup menu, point to Set Max Rows, then select 50, 100 or 500 from</w:t>
      </w:r>
      <w:r>
        <w:rPr>
          <w:color w:val="231F20"/>
          <w:spacing w:val="80"/>
          <w:sz w:val="20"/>
        </w:rPr>
        <w:t> </w:t>
      </w:r>
      <w:r>
        <w:rPr>
          <w:color w:val="231F20"/>
          <w:sz w:val="20"/>
        </w:rPr>
        <w:t>the list. After the maximum is reached, the oldest row is removed. The view refreshes every time a new event arrives, so the more rows you allow in the view the more time the refresh takes.</w:t>
      </w:r>
    </w:p>
    <w:p>
      <w:pPr>
        <w:pStyle w:val="BodyText"/>
        <w:spacing w:before="34"/>
        <w:ind w:left="2232"/>
      </w:pPr>
      <w:r>
        <w:rPr>
          <w:rFonts w:ascii="Futura MdCn BT"/>
          <w:color w:val="231F20"/>
        </w:rPr>
        <w:t>v</w:t>
      </w:r>
      <w:r>
        <w:rPr>
          <w:rFonts w:ascii="Futura MdCn BT"/>
          <w:color w:val="231F20"/>
          <w:spacing w:val="32"/>
        </w:rPr>
        <w:t>  </w:t>
      </w:r>
      <w:r>
        <w:rPr>
          <w:color w:val="231F20"/>
        </w:rPr>
        <w:t>Set</w:t>
      </w:r>
      <w:r>
        <w:rPr>
          <w:color w:val="231F20"/>
          <w:spacing w:val="13"/>
        </w:rPr>
        <w:t> </w:t>
      </w:r>
      <w:r>
        <w:rPr>
          <w:color w:val="231F20"/>
        </w:rPr>
        <w:t>or</w:t>
      </w:r>
      <w:r>
        <w:rPr>
          <w:color w:val="231F20"/>
          <w:spacing w:val="14"/>
        </w:rPr>
        <w:t> </w:t>
      </w:r>
      <w:r>
        <w:rPr>
          <w:color w:val="231F20"/>
        </w:rPr>
        <w:t>remove</w:t>
      </w:r>
      <w:r>
        <w:rPr>
          <w:color w:val="231F20"/>
          <w:spacing w:val="13"/>
        </w:rPr>
        <w:t> </w:t>
      </w:r>
      <w:r>
        <w:rPr>
          <w:color w:val="231F20"/>
        </w:rPr>
        <w:t>a</w:t>
      </w:r>
      <w:r>
        <w:rPr>
          <w:color w:val="231F20"/>
          <w:spacing w:val="13"/>
        </w:rPr>
        <w:t> </w:t>
      </w:r>
      <w:r>
        <w:rPr>
          <w:color w:val="231F20"/>
        </w:rPr>
        <w:t>quick</w:t>
      </w:r>
      <w:r>
        <w:rPr>
          <w:color w:val="231F20"/>
          <w:spacing w:val="13"/>
        </w:rPr>
        <w:t> </w:t>
      </w:r>
      <w:r>
        <w:rPr>
          <w:color w:val="231F20"/>
          <w:spacing w:val="-2"/>
        </w:rPr>
        <w:t>filter</w:t>
      </w:r>
    </w:p>
    <w:p>
      <w:pPr>
        <w:pStyle w:val="ListParagraph"/>
        <w:numPr>
          <w:ilvl w:val="0"/>
          <w:numId w:val="62"/>
        </w:numPr>
        <w:tabs>
          <w:tab w:pos="2763" w:val="left" w:leader="none"/>
        </w:tabs>
        <w:spacing w:line="240" w:lineRule="auto" w:before="30" w:after="0"/>
        <w:ind w:left="2763"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2"/>
          <w:sz w:val="20"/>
        </w:rPr>
        <w:t> </w:t>
      </w:r>
      <w:r>
        <w:rPr>
          <w:color w:val="231F20"/>
          <w:sz w:val="20"/>
        </w:rPr>
        <w:t>cell</w:t>
      </w:r>
      <w:r>
        <w:rPr>
          <w:color w:val="231F20"/>
          <w:spacing w:val="11"/>
          <w:sz w:val="20"/>
        </w:rPr>
        <w:t> </w:t>
      </w:r>
      <w:r>
        <w:rPr>
          <w:color w:val="231F20"/>
          <w:sz w:val="20"/>
        </w:rPr>
        <w:t>on</w:t>
      </w:r>
      <w:r>
        <w:rPr>
          <w:color w:val="231F20"/>
          <w:spacing w:val="12"/>
          <w:sz w:val="20"/>
        </w:rPr>
        <w:t> </w:t>
      </w:r>
      <w:r>
        <w:rPr>
          <w:color w:val="231F20"/>
          <w:sz w:val="20"/>
        </w:rPr>
        <w:t>whose</w:t>
      </w:r>
      <w:r>
        <w:rPr>
          <w:color w:val="231F20"/>
          <w:spacing w:val="11"/>
          <w:sz w:val="20"/>
        </w:rPr>
        <w:t> </w:t>
      </w:r>
      <w:r>
        <w:rPr>
          <w:color w:val="231F20"/>
          <w:sz w:val="20"/>
        </w:rPr>
        <w:t>value</w:t>
      </w:r>
      <w:r>
        <w:rPr>
          <w:color w:val="231F20"/>
          <w:spacing w:val="12"/>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z w:val="20"/>
        </w:rPr>
        <w:t>filter</w:t>
      </w:r>
      <w:r>
        <w:rPr>
          <w:color w:val="231F20"/>
          <w:spacing w:val="11"/>
          <w:sz w:val="20"/>
        </w:rPr>
        <w:t> </w:t>
      </w:r>
      <w:r>
        <w:rPr>
          <w:color w:val="231F20"/>
          <w:sz w:val="20"/>
        </w:rPr>
        <w:t>the</w:t>
      </w:r>
      <w:r>
        <w:rPr>
          <w:color w:val="231F20"/>
          <w:spacing w:val="12"/>
          <w:sz w:val="20"/>
        </w:rPr>
        <w:t> </w:t>
      </w:r>
      <w:r>
        <w:rPr>
          <w:color w:val="231F20"/>
          <w:sz w:val="20"/>
        </w:rPr>
        <w:t>incoming</w:t>
      </w:r>
      <w:r>
        <w:rPr>
          <w:color w:val="231F20"/>
          <w:spacing w:val="11"/>
          <w:sz w:val="20"/>
        </w:rPr>
        <w:t> </w:t>
      </w:r>
      <w:r>
        <w:rPr>
          <w:color w:val="231F20"/>
          <w:spacing w:val="-2"/>
          <w:sz w:val="20"/>
        </w:rPr>
        <w:t>data.</w:t>
      </w:r>
    </w:p>
    <w:p>
      <w:pPr>
        <w:pStyle w:val="ListParagraph"/>
        <w:numPr>
          <w:ilvl w:val="0"/>
          <w:numId w:val="62"/>
        </w:numPr>
        <w:tabs>
          <w:tab w:pos="2762" w:val="left" w:leader="none"/>
          <w:tab w:pos="2764" w:val="left" w:leader="none"/>
        </w:tabs>
        <w:spacing w:line="211" w:lineRule="auto" w:before="54" w:after="0"/>
        <w:ind w:left="2764" w:right="499" w:hanging="317"/>
        <w:jc w:val="left"/>
        <w:rPr>
          <w:sz w:val="20"/>
        </w:rPr>
      </w:pPr>
      <w:r>
        <w:rPr>
          <w:color w:val="231F20"/>
          <w:sz w:val="20"/>
        </w:rPr>
        <w:t>In the popup menu, select </w:t>
      </w:r>
      <w:r>
        <w:rPr>
          <w:color w:val="231F20"/>
          <w:spacing w:val="15"/>
          <w:position w:val="-5"/>
          <w:sz w:val="20"/>
        </w:rPr>
        <w:drawing>
          <wp:inline distT="0" distB="0" distL="0" distR="0">
            <wp:extent cx="127000" cy="114300"/>
            <wp:effectExtent l="0" t="0" r="0" b="0"/>
            <wp:docPr id="1395" name="Image 1395"/>
            <wp:cNvGraphicFramePr>
              <a:graphicFrameLocks/>
            </wp:cNvGraphicFramePr>
            <a:graphic>
              <a:graphicData uri="http://schemas.openxmlformats.org/drawingml/2006/picture">
                <pic:pic>
                  <pic:nvPicPr>
                    <pic:cNvPr id="1395" name="Image 1395"/>
                    <pic:cNvPicPr/>
                  </pic:nvPicPr>
                  <pic:blipFill>
                    <a:blip r:embed="rId270" cstate="print"/>
                    <a:stretch>
                      <a:fillRect/>
                    </a:stretch>
                  </pic:blipFill>
                  <pic:spPr>
                    <a:xfrm>
                      <a:off x="0" y="0"/>
                      <a:ext cx="127000" cy="114300"/>
                    </a:xfrm>
                    <a:prstGeom prst="rect">
                      <a:avLst/>
                    </a:prstGeom>
                  </pic:spPr>
                </pic:pic>
              </a:graphicData>
            </a:graphic>
          </wp:inline>
        </w:drawing>
      </w:r>
      <w:r>
        <w:rPr>
          <w:color w:val="231F20"/>
          <w:spacing w:val="15"/>
          <w:position w:val="-5"/>
          <w:sz w:val="20"/>
        </w:rPr>
      </w:r>
      <w:r>
        <w:rPr>
          <w:rFonts w:ascii="Times New Roman"/>
          <w:color w:val="231F20"/>
          <w:spacing w:val="40"/>
          <w:sz w:val="20"/>
        </w:rPr>
        <w:t> </w:t>
      </w:r>
      <w:r>
        <w:rPr>
          <w:rFonts w:ascii="Book Antiqua"/>
          <w:b/>
          <w:color w:val="231F20"/>
          <w:sz w:val="20"/>
        </w:rPr>
        <w:t>Set Quick Filter</w:t>
      </w:r>
      <w:r>
        <w:rPr>
          <w:color w:val="231F20"/>
          <w:sz w:val="20"/>
        </w:rPr>
        <w:t>, then select the attribute (attribute name == value). If you want to remove all quick filters applied to</w:t>
      </w:r>
      <w:r>
        <w:rPr>
          <w:color w:val="231F20"/>
          <w:spacing w:val="40"/>
          <w:sz w:val="20"/>
        </w:rPr>
        <w:t> </w:t>
      </w:r>
      <w:r>
        <w:rPr>
          <w:color w:val="231F20"/>
          <w:sz w:val="20"/>
        </w:rPr>
        <w:t>this view, select Remove Quick Filters. You can add a quick filter to other</w:t>
      </w:r>
      <w:r>
        <w:rPr>
          <w:color w:val="231F20"/>
          <w:spacing w:val="80"/>
          <w:sz w:val="20"/>
        </w:rPr>
        <w:t> </w:t>
      </w:r>
      <w:r>
        <w:rPr>
          <w:color w:val="231F20"/>
          <w:sz w:val="20"/>
        </w:rPr>
        <w:t>cells to further refine the filtering. For example, you set quick filters to </w:t>
      </w:r>
      <w:r>
        <w:rPr>
          <w:color w:val="231F20"/>
          <w:sz w:val="20"/>
        </w:rPr>
        <w:t>show only the ETE_eBA_Response_Critical situation when it has been raised.</w:t>
      </w:r>
    </w:p>
    <w:p>
      <w:pPr>
        <w:pStyle w:val="BodyText"/>
        <w:spacing w:before="40"/>
        <w:ind w:left="2232"/>
      </w:pPr>
      <w:r>
        <w:rPr>
          <w:rFonts w:ascii="Futura MdCn BT"/>
          <w:color w:val="231F20"/>
        </w:rPr>
        <w:t>v</w:t>
      </w:r>
      <w:r>
        <w:rPr>
          <w:rFonts w:ascii="Futura MdCn BT"/>
          <w:color w:val="231F20"/>
          <w:spacing w:val="32"/>
        </w:rPr>
        <w:t>  </w:t>
      </w:r>
      <w:r>
        <w:rPr>
          <w:color w:val="231F20"/>
        </w:rPr>
        <w:t>Set</w:t>
      </w:r>
      <w:r>
        <w:rPr>
          <w:color w:val="231F20"/>
          <w:spacing w:val="13"/>
        </w:rPr>
        <w:t> </w:t>
      </w:r>
      <w:r>
        <w:rPr>
          <w:color w:val="231F20"/>
        </w:rPr>
        <w:t>or</w:t>
      </w:r>
      <w:r>
        <w:rPr>
          <w:color w:val="231F20"/>
          <w:spacing w:val="14"/>
        </w:rPr>
        <w:t> </w:t>
      </w:r>
      <w:r>
        <w:rPr>
          <w:color w:val="231F20"/>
        </w:rPr>
        <w:t>remove</w:t>
      </w:r>
      <w:r>
        <w:rPr>
          <w:color w:val="231F20"/>
          <w:spacing w:val="13"/>
        </w:rPr>
        <w:t> </w:t>
      </w:r>
      <w:r>
        <w:rPr>
          <w:color w:val="231F20"/>
        </w:rPr>
        <w:t>a</w:t>
      </w:r>
      <w:r>
        <w:rPr>
          <w:color w:val="231F20"/>
          <w:spacing w:val="13"/>
        </w:rPr>
        <w:t> </w:t>
      </w:r>
      <w:r>
        <w:rPr>
          <w:color w:val="231F20"/>
        </w:rPr>
        <w:t>quick</w:t>
      </w:r>
      <w:r>
        <w:rPr>
          <w:color w:val="231F20"/>
          <w:spacing w:val="13"/>
        </w:rPr>
        <w:t> </w:t>
      </w:r>
      <w:r>
        <w:rPr>
          <w:color w:val="231F20"/>
          <w:spacing w:val="-2"/>
        </w:rPr>
        <w:t>threshold</w:t>
      </w:r>
    </w:p>
    <w:p>
      <w:pPr>
        <w:pStyle w:val="ListParagraph"/>
        <w:numPr>
          <w:ilvl w:val="0"/>
          <w:numId w:val="63"/>
        </w:numPr>
        <w:tabs>
          <w:tab w:pos="2763" w:val="left" w:leader="none"/>
        </w:tabs>
        <w:spacing w:line="240" w:lineRule="auto" w:before="30" w:after="0"/>
        <w:ind w:left="2763"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1"/>
          <w:sz w:val="20"/>
        </w:rPr>
        <w:t> </w:t>
      </w:r>
      <w:r>
        <w:rPr>
          <w:color w:val="231F20"/>
          <w:sz w:val="20"/>
        </w:rPr>
        <w:t>cell</w:t>
      </w:r>
      <w:r>
        <w:rPr>
          <w:color w:val="231F20"/>
          <w:spacing w:val="11"/>
          <w:sz w:val="20"/>
        </w:rPr>
        <w:t> </w:t>
      </w:r>
      <w:r>
        <w:rPr>
          <w:color w:val="231F20"/>
          <w:sz w:val="20"/>
        </w:rPr>
        <w:t>on</w:t>
      </w:r>
      <w:r>
        <w:rPr>
          <w:color w:val="231F20"/>
          <w:spacing w:val="12"/>
          <w:sz w:val="20"/>
        </w:rPr>
        <w:t> </w:t>
      </w:r>
      <w:r>
        <w:rPr>
          <w:color w:val="231F20"/>
          <w:sz w:val="20"/>
        </w:rPr>
        <w:t>whose</w:t>
      </w:r>
      <w:r>
        <w:rPr>
          <w:color w:val="231F20"/>
          <w:spacing w:val="11"/>
          <w:sz w:val="20"/>
        </w:rPr>
        <w:t> </w:t>
      </w:r>
      <w:r>
        <w:rPr>
          <w:color w:val="231F20"/>
          <w:sz w:val="20"/>
        </w:rPr>
        <w:t>value</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to</w:t>
      </w:r>
      <w:r>
        <w:rPr>
          <w:color w:val="231F20"/>
          <w:spacing w:val="11"/>
          <w:sz w:val="20"/>
        </w:rPr>
        <w:t> </w:t>
      </w:r>
      <w:r>
        <w:rPr>
          <w:color w:val="231F20"/>
          <w:sz w:val="20"/>
        </w:rPr>
        <w:t>apply</w:t>
      </w:r>
      <w:r>
        <w:rPr>
          <w:color w:val="231F20"/>
          <w:spacing w:val="11"/>
          <w:sz w:val="20"/>
        </w:rPr>
        <w:t> </w:t>
      </w:r>
      <w:r>
        <w:rPr>
          <w:color w:val="231F20"/>
          <w:sz w:val="20"/>
        </w:rPr>
        <w:t>a</w:t>
      </w:r>
      <w:r>
        <w:rPr>
          <w:color w:val="231F20"/>
          <w:spacing w:val="12"/>
          <w:sz w:val="20"/>
        </w:rPr>
        <w:t> </w:t>
      </w:r>
      <w:r>
        <w:rPr>
          <w:color w:val="231F20"/>
          <w:sz w:val="20"/>
        </w:rPr>
        <w:t>threshold</w:t>
      </w:r>
      <w:r>
        <w:rPr>
          <w:color w:val="231F20"/>
          <w:spacing w:val="11"/>
          <w:sz w:val="20"/>
        </w:rPr>
        <w:t> </w:t>
      </w:r>
      <w:r>
        <w:rPr>
          <w:color w:val="231F20"/>
          <w:spacing w:val="-2"/>
          <w:sz w:val="20"/>
        </w:rPr>
        <w:t>indicator.</w:t>
      </w:r>
    </w:p>
    <w:p>
      <w:pPr>
        <w:pStyle w:val="ListParagraph"/>
        <w:numPr>
          <w:ilvl w:val="0"/>
          <w:numId w:val="63"/>
        </w:numPr>
        <w:tabs>
          <w:tab w:pos="2764" w:val="left" w:leader="none"/>
        </w:tabs>
        <w:spacing w:line="213" w:lineRule="auto" w:before="132" w:after="0"/>
        <w:ind w:left="2764" w:right="503" w:hanging="316"/>
        <w:jc w:val="left"/>
        <w:rPr>
          <w:sz w:val="20"/>
        </w:rPr>
      </w:pPr>
      <w:r>
        <w:rPr>
          <w:color w:val="231F20"/>
          <w:sz w:val="20"/>
        </w:rPr>
        <w:t>In the popup menu, click</w:t>
      </w:r>
      <w:r>
        <w:rPr>
          <w:color w:val="231F20"/>
          <w:spacing w:val="-6"/>
          <w:sz w:val="20"/>
        </w:rPr>
        <w:t> </w:t>
      </w:r>
      <w:r>
        <w:rPr>
          <w:color w:val="231F20"/>
          <w:spacing w:val="-3"/>
          <w:position w:val="2"/>
          <w:sz w:val="20"/>
        </w:rPr>
        <w:drawing>
          <wp:inline distT="0" distB="0" distL="0" distR="0">
            <wp:extent cx="83820" cy="91440"/>
            <wp:effectExtent l="0" t="0" r="0" b="0"/>
            <wp:docPr id="1396" name="Image 1396"/>
            <wp:cNvGraphicFramePr>
              <a:graphicFrameLocks/>
            </wp:cNvGraphicFramePr>
            <a:graphic>
              <a:graphicData uri="http://schemas.openxmlformats.org/drawingml/2006/picture">
                <pic:pic>
                  <pic:nvPicPr>
                    <pic:cNvPr id="1396" name="Image 1396"/>
                    <pic:cNvPicPr/>
                  </pic:nvPicPr>
                  <pic:blipFill>
                    <a:blip r:embed="rId271" cstate="print"/>
                    <a:stretch>
                      <a:fillRect/>
                    </a:stretch>
                  </pic:blipFill>
                  <pic:spPr>
                    <a:xfrm>
                      <a:off x="0" y="0"/>
                      <a:ext cx="83820" cy="91440"/>
                    </a:xfrm>
                    <a:prstGeom prst="rect">
                      <a:avLst/>
                    </a:prstGeom>
                  </pic:spPr>
                </pic:pic>
              </a:graphicData>
            </a:graphic>
          </wp:inline>
        </w:drawing>
      </w:r>
      <w:r>
        <w:rPr>
          <w:color w:val="231F20"/>
          <w:spacing w:val="-3"/>
          <w:position w:val="2"/>
          <w:sz w:val="20"/>
        </w:rPr>
      </w:r>
      <w:r>
        <w:rPr>
          <w:rFonts w:ascii="Times New Roman"/>
          <w:color w:val="231F20"/>
          <w:spacing w:val="40"/>
          <w:sz w:val="20"/>
        </w:rPr>
        <w:t> </w:t>
      </w:r>
      <w:r>
        <w:rPr>
          <w:rFonts w:ascii="Book Antiqua"/>
          <w:b/>
          <w:color w:val="231F20"/>
          <w:sz w:val="20"/>
        </w:rPr>
        <w:t>Set Quick Threshold</w:t>
      </w:r>
      <w:r>
        <w:rPr>
          <w:color w:val="231F20"/>
          <w:sz w:val="20"/>
        </w:rPr>
        <w:t>, then select the severity </w:t>
      </w:r>
      <w:r>
        <w:rPr>
          <w:color w:val="231F20"/>
          <w:sz w:val="20"/>
        </w:rPr>
        <w:t>to apply to that value (attribute name == value); or if you want to remove all</w:t>
      </w:r>
      <w:r>
        <w:rPr>
          <w:color w:val="231F20"/>
          <w:spacing w:val="40"/>
          <w:sz w:val="20"/>
        </w:rPr>
        <w:t> </w:t>
      </w:r>
      <w:r>
        <w:rPr>
          <w:color w:val="231F20"/>
          <w:sz w:val="20"/>
        </w:rPr>
        <w:t>quick thresholds applied to the view, select Remove Quick Thresholds.</w:t>
      </w:r>
    </w:p>
    <w:p>
      <w:pPr>
        <w:spacing w:line="283" w:lineRule="auto" w:before="215"/>
        <w:ind w:left="2764" w:right="545" w:firstLine="0"/>
        <w:jc w:val="left"/>
        <w:rPr>
          <w:sz w:val="20"/>
        </w:rPr>
      </w:pPr>
      <w:r>
        <w:rPr>
          <w:rFonts w:ascii="Book Antiqua"/>
          <w:b/>
          <w:color w:val="231F20"/>
          <w:sz w:val="20"/>
        </w:rPr>
        <w:t>Tip:</w:t>
      </w:r>
      <w:r>
        <w:rPr>
          <w:rFonts w:ascii="Book Antiqua"/>
          <w:b/>
          <w:color w:val="231F20"/>
          <w:spacing w:val="40"/>
          <w:sz w:val="20"/>
        </w:rPr>
        <w:t> </w:t>
      </w:r>
      <w:r>
        <w:rPr>
          <w:color w:val="231F20"/>
          <w:sz w:val="20"/>
        </w:rPr>
        <w:t>If you edit the properties for this view, you can make the quick filter or quick</w:t>
      </w:r>
      <w:r>
        <w:rPr>
          <w:color w:val="231F20"/>
          <w:spacing w:val="29"/>
          <w:sz w:val="20"/>
        </w:rPr>
        <w:t> </w:t>
      </w:r>
      <w:r>
        <w:rPr>
          <w:color w:val="231F20"/>
          <w:sz w:val="20"/>
        </w:rPr>
        <w:t>threshold</w:t>
      </w:r>
      <w:r>
        <w:rPr>
          <w:color w:val="231F20"/>
          <w:spacing w:val="29"/>
          <w:sz w:val="20"/>
        </w:rPr>
        <w:t> </w:t>
      </w:r>
      <w:r>
        <w:rPr>
          <w:color w:val="231F20"/>
          <w:sz w:val="20"/>
        </w:rPr>
        <w:t>permanent</w:t>
      </w:r>
      <w:r>
        <w:rPr>
          <w:color w:val="231F20"/>
          <w:spacing w:val="29"/>
          <w:sz w:val="20"/>
        </w:rPr>
        <w:t> </w:t>
      </w:r>
      <w:r>
        <w:rPr>
          <w:color w:val="231F20"/>
          <w:sz w:val="20"/>
        </w:rPr>
        <w:t>by</w:t>
      </w:r>
      <w:r>
        <w:rPr>
          <w:color w:val="231F20"/>
          <w:spacing w:val="29"/>
          <w:sz w:val="20"/>
        </w:rPr>
        <w:t> </w:t>
      </w:r>
      <w:r>
        <w:rPr>
          <w:color w:val="231F20"/>
          <w:sz w:val="20"/>
        </w:rPr>
        <w:t>right-clicking</w:t>
      </w:r>
      <w:r>
        <w:rPr>
          <w:color w:val="231F20"/>
          <w:spacing w:val="29"/>
          <w:sz w:val="20"/>
        </w:rPr>
        <w:t> </w:t>
      </w:r>
      <w:r>
        <w:rPr>
          <w:color w:val="231F20"/>
          <w:sz w:val="20"/>
        </w:rPr>
        <w:t>the</w:t>
      </w:r>
      <w:r>
        <w:rPr>
          <w:color w:val="231F20"/>
          <w:spacing w:val="80"/>
          <w:sz w:val="20"/>
        </w:rPr>
        <w:t> </w:t>
      </w:r>
      <w:r>
        <w:rPr>
          <w:color w:val="231F20"/>
          <w:spacing w:val="13"/>
          <w:position w:val="2"/>
          <w:sz w:val="20"/>
        </w:rPr>
        <w:drawing>
          <wp:inline distT="0" distB="0" distL="0" distR="0">
            <wp:extent cx="83820" cy="91440"/>
            <wp:effectExtent l="0" t="0" r="0" b="0"/>
            <wp:docPr id="1397" name="Image 1397"/>
            <wp:cNvGraphicFramePr>
              <a:graphicFrameLocks/>
            </wp:cNvGraphicFramePr>
            <a:graphic>
              <a:graphicData uri="http://schemas.openxmlformats.org/drawingml/2006/picture">
                <pic:pic>
                  <pic:nvPicPr>
                    <pic:cNvPr id="1397" name="Image 1397"/>
                    <pic:cNvPicPr/>
                  </pic:nvPicPr>
                  <pic:blipFill>
                    <a:blip r:embed="rId271" cstate="print"/>
                    <a:stretch>
                      <a:fillRect/>
                    </a:stretch>
                  </pic:blipFill>
                  <pic:spPr>
                    <a:xfrm>
                      <a:off x="0" y="0"/>
                      <a:ext cx="83820" cy="91440"/>
                    </a:xfrm>
                    <a:prstGeom prst="rect">
                      <a:avLst/>
                    </a:prstGeom>
                  </pic:spPr>
                </pic:pic>
              </a:graphicData>
            </a:graphic>
          </wp:inline>
        </w:drawing>
      </w:r>
      <w:r>
        <w:rPr>
          <w:color w:val="231F20"/>
          <w:spacing w:val="13"/>
          <w:position w:val="2"/>
          <w:sz w:val="20"/>
        </w:rPr>
      </w:r>
      <w:r>
        <w:rPr>
          <w:rFonts w:ascii="Times New Roman"/>
          <w:color w:val="231F20"/>
          <w:spacing w:val="40"/>
          <w:sz w:val="20"/>
        </w:rPr>
        <w:t> </w:t>
      </w:r>
      <w:r>
        <w:rPr>
          <w:color w:val="231F20"/>
          <w:sz w:val="20"/>
        </w:rPr>
        <w:t>row</w:t>
      </w:r>
      <w:r>
        <w:rPr>
          <w:color w:val="231F20"/>
          <w:spacing w:val="29"/>
          <w:sz w:val="20"/>
        </w:rPr>
        <w:t> </w:t>
      </w:r>
      <w:r>
        <w:rPr>
          <w:color w:val="231F20"/>
          <w:sz w:val="20"/>
        </w:rPr>
        <w:t>number</w:t>
      </w:r>
      <w:r>
        <w:rPr>
          <w:color w:val="231F20"/>
          <w:spacing w:val="29"/>
          <w:sz w:val="20"/>
        </w:rPr>
        <w:t> </w:t>
      </w:r>
      <w:r>
        <w:rPr>
          <w:color w:val="231F20"/>
          <w:sz w:val="20"/>
        </w:rPr>
        <w:t>and </w:t>
      </w:r>
      <w:bookmarkStart w:name="Editing the message log view properties" w:id="229"/>
      <w:bookmarkEnd w:id="229"/>
      <w:r>
        <w:rPr>
          <w:color w:val="231F20"/>
          <w:sz w:val="20"/>
        </w:rPr>
        <w:t>selecting</w:t>
      </w:r>
      <w:r>
        <w:rPr>
          <w:color w:val="231F20"/>
          <w:spacing w:val="40"/>
          <w:sz w:val="20"/>
        </w:rPr>
        <w:t> </w:t>
      </w:r>
      <w:r>
        <w:rPr>
          <w:color w:val="231F20"/>
          <w:spacing w:val="14"/>
          <w:position w:val="2"/>
          <w:sz w:val="20"/>
        </w:rPr>
        <w:drawing>
          <wp:inline distT="0" distB="0" distL="0" distR="0">
            <wp:extent cx="83819" cy="91439"/>
            <wp:effectExtent l="0" t="0" r="0" b="0"/>
            <wp:docPr id="1398" name="Image 1398"/>
            <wp:cNvGraphicFramePr>
              <a:graphicFrameLocks/>
            </wp:cNvGraphicFramePr>
            <a:graphic>
              <a:graphicData uri="http://schemas.openxmlformats.org/drawingml/2006/picture">
                <pic:pic>
                  <pic:nvPicPr>
                    <pic:cNvPr id="1398" name="Image 1398"/>
                    <pic:cNvPicPr/>
                  </pic:nvPicPr>
                  <pic:blipFill>
                    <a:blip r:embed="rId271" cstate="print"/>
                    <a:stretch>
                      <a:fillRect/>
                    </a:stretch>
                  </pic:blipFill>
                  <pic:spPr>
                    <a:xfrm>
                      <a:off x="0" y="0"/>
                      <a:ext cx="83819" cy="91439"/>
                    </a:xfrm>
                    <a:prstGeom prst="rect">
                      <a:avLst/>
                    </a:prstGeom>
                  </pic:spPr>
                </pic:pic>
              </a:graphicData>
            </a:graphic>
          </wp:inline>
        </w:drawing>
      </w:r>
      <w:r>
        <w:rPr>
          <w:color w:val="231F20"/>
          <w:spacing w:val="14"/>
          <w:position w:val="2"/>
          <w:sz w:val="20"/>
        </w:rPr>
      </w:r>
      <w:r>
        <w:rPr>
          <w:rFonts w:ascii="Times New Roman"/>
          <w:color w:val="231F20"/>
          <w:spacing w:val="40"/>
          <w:sz w:val="20"/>
        </w:rPr>
        <w:t> </w:t>
      </w:r>
      <w:r>
        <w:rPr>
          <w:rFonts w:ascii="Book Antiqua"/>
          <w:b/>
          <w:color w:val="231F20"/>
          <w:sz w:val="20"/>
        </w:rPr>
        <w:t>Remove Quick Flag </w:t>
      </w:r>
      <w:r>
        <w:rPr>
          <w:color w:val="231F20"/>
          <w:sz w:val="20"/>
        </w:rPr>
        <w:t>in the </w:t>
      </w:r>
      <w:r>
        <w:rPr>
          <w:rFonts w:ascii="Book Antiqua"/>
          <w:b/>
          <w:color w:val="231F20"/>
          <w:sz w:val="20"/>
        </w:rPr>
        <w:t>Filters </w:t>
      </w:r>
      <w:r>
        <w:rPr>
          <w:color w:val="231F20"/>
          <w:sz w:val="20"/>
        </w:rPr>
        <w:t>or </w:t>
      </w:r>
      <w:r>
        <w:rPr>
          <w:rFonts w:ascii="Book Antiqua"/>
          <w:b/>
          <w:color w:val="231F20"/>
          <w:sz w:val="20"/>
        </w:rPr>
        <w:t>Thresholds </w:t>
      </w:r>
      <w:r>
        <w:rPr>
          <w:color w:val="231F20"/>
          <w:sz w:val="20"/>
        </w:rPr>
        <w:t>tab.</w:t>
      </w:r>
    </w:p>
    <w:p>
      <w:pPr>
        <w:pStyle w:val="Heading4"/>
        <w:spacing w:line="273" w:lineRule="exact" w:before="112"/>
      </w:pPr>
      <w:r>
        <w:rPr>
          <w:color w:val="231F20"/>
        </w:rPr>
        <w:t>Editing</w:t>
      </w:r>
      <w:r>
        <w:rPr>
          <w:color w:val="231F20"/>
          <w:spacing w:val="6"/>
        </w:rPr>
        <w:t> </w:t>
      </w:r>
      <w:r>
        <w:rPr>
          <w:color w:val="231F20"/>
        </w:rPr>
        <w:t>the</w:t>
      </w:r>
      <w:r>
        <w:rPr>
          <w:color w:val="231F20"/>
          <w:spacing w:val="7"/>
        </w:rPr>
        <w:t> </w:t>
      </w:r>
      <w:r>
        <w:rPr>
          <w:color w:val="231F20"/>
        </w:rPr>
        <w:t>message</w:t>
      </w:r>
      <w:r>
        <w:rPr>
          <w:color w:val="231F20"/>
          <w:spacing w:val="7"/>
        </w:rPr>
        <w:t> </w:t>
      </w:r>
      <w:r>
        <w:rPr>
          <w:color w:val="231F20"/>
        </w:rPr>
        <w:t>log</w:t>
      </w:r>
      <w:r>
        <w:rPr>
          <w:color w:val="231F20"/>
          <w:spacing w:val="7"/>
        </w:rPr>
        <w:t> </w:t>
      </w:r>
      <w:r>
        <w:rPr>
          <w:color w:val="231F20"/>
        </w:rPr>
        <w:t>view</w:t>
      </w:r>
      <w:r>
        <w:rPr>
          <w:color w:val="231F20"/>
          <w:spacing w:val="7"/>
        </w:rPr>
        <w:t> </w:t>
      </w:r>
      <w:r>
        <w:rPr>
          <w:color w:val="231F20"/>
          <w:spacing w:val="-2"/>
        </w:rPr>
        <w:t>properties</w:t>
      </w:r>
    </w:p>
    <w:p>
      <w:pPr>
        <w:pStyle w:val="BodyText"/>
        <w:spacing w:line="213" w:lineRule="auto" w:before="20"/>
        <w:ind w:left="2232" w:right="545"/>
      </w:pPr>
      <w:r>
        <w:rPr>
          <w:color w:val="231F20"/>
        </w:rPr>
        <w:t>The properties for the message log view have </w:t>
      </w:r>
      <w:r>
        <w:rPr>
          <w:rFonts w:ascii="Book Antiqua"/>
          <w:b/>
          <w:color w:val="231F20"/>
        </w:rPr>
        <w:t>Filters</w:t>
      </w:r>
      <w:r>
        <w:rPr>
          <w:color w:val="231F20"/>
        </w:rPr>
        <w:t>, </w:t>
      </w:r>
      <w:r>
        <w:rPr>
          <w:rFonts w:ascii="Book Antiqua"/>
          <w:b/>
          <w:color w:val="231F20"/>
        </w:rPr>
        <w:t>Thresholds </w:t>
      </w:r>
      <w:r>
        <w:rPr>
          <w:color w:val="231F20"/>
        </w:rPr>
        <w:t>and </w:t>
      </w:r>
      <w:r>
        <w:rPr>
          <w:rFonts w:ascii="Book Antiqua"/>
          <w:b/>
          <w:color w:val="231F20"/>
        </w:rPr>
        <w:t>Style </w:t>
      </w:r>
      <w:r>
        <w:rPr>
          <w:color w:val="231F20"/>
        </w:rPr>
        <w:t>tabs. You can set a filter so only certain status types or systems are reported, set thresholds to highlight values outside the limits, and define the appearance of </w:t>
      </w:r>
      <w:r>
        <w:rPr>
          <w:color w:val="231F20"/>
        </w:rPr>
        <w:t>this </w:t>
      </w:r>
      <w:r>
        <w:rPr>
          <w:color w:val="231F20"/>
          <w:spacing w:val="-2"/>
        </w:rPr>
        <w:t>view.</w:t>
      </w:r>
    </w:p>
    <w:p>
      <w:pPr>
        <w:pStyle w:val="Heading5"/>
        <w:spacing w:before="217"/>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3"/>
        <w:ind w:left="2232"/>
      </w:pPr>
      <w:r>
        <w:rPr>
          <w:color w:val="231F20"/>
        </w:rPr>
        <w:t>With</w:t>
      </w:r>
      <w:r>
        <w:rPr>
          <w:color w:val="231F20"/>
          <w:spacing w:val="10"/>
        </w:rPr>
        <w:t> </w:t>
      </w:r>
      <w:r>
        <w:rPr>
          <w:color w:val="231F20"/>
        </w:rPr>
        <w:t>the</w:t>
      </w:r>
      <w:r>
        <w:rPr>
          <w:color w:val="231F20"/>
          <w:spacing w:val="11"/>
        </w:rPr>
        <w:t> </w:t>
      </w:r>
      <w:r>
        <w:rPr>
          <w:color w:val="231F20"/>
        </w:rPr>
        <w:t>message</w:t>
      </w:r>
      <w:r>
        <w:rPr>
          <w:color w:val="231F20"/>
          <w:spacing w:val="10"/>
        </w:rPr>
        <w:t> </w:t>
      </w:r>
      <w:r>
        <w:rPr>
          <w:color w:val="231F20"/>
        </w:rPr>
        <w:t>log</w:t>
      </w:r>
      <w:r>
        <w:rPr>
          <w:color w:val="231F20"/>
          <w:spacing w:val="11"/>
        </w:rPr>
        <w:t> </w:t>
      </w:r>
      <w:r>
        <w:rPr>
          <w:color w:val="231F20"/>
        </w:rPr>
        <w:t>view</w:t>
      </w:r>
      <w:r>
        <w:rPr>
          <w:color w:val="231F20"/>
          <w:spacing w:val="10"/>
        </w:rPr>
        <w:t> </w:t>
      </w:r>
      <w:r>
        <w:rPr>
          <w:color w:val="231F20"/>
        </w:rPr>
        <w:t>displaying,</w:t>
      </w:r>
      <w:r>
        <w:rPr>
          <w:color w:val="231F20"/>
          <w:spacing w:val="11"/>
        </w:rPr>
        <w:t> </w:t>
      </w:r>
      <w:r>
        <w:rPr>
          <w:color w:val="231F20"/>
        </w:rPr>
        <w:t>follow</w:t>
      </w:r>
      <w:r>
        <w:rPr>
          <w:color w:val="231F20"/>
          <w:spacing w:val="10"/>
        </w:rPr>
        <w:t> </w:t>
      </w:r>
      <w:r>
        <w:rPr>
          <w:color w:val="231F20"/>
        </w:rPr>
        <w:t>these</w:t>
      </w:r>
      <w:r>
        <w:rPr>
          <w:color w:val="231F20"/>
          <w:spacing w:val="11"/>
        </w:rPr>
        <w:t> </w:t>
      </w:r>
      <w:r>
        <w:rPr>
          <w:color w:val="231F20"/>
        </w:rPr>
        <w:t>steps</w:t>
      </w:r>
      <w:r>
        <w:rPr>
          <w:color w:val="231F20"/>
          <w:spacing w:val="10"/>
        </w:rPr>
        <w:t> </w:t>
      </w:r>
      <w:r>
        <w:rPr>
          <w:color w:val="231F20"/>
        </w:rPr>
        <w:t>to</w:t>
      </w:r>
      <w:r>
        <w:rPr>
          <w:color w:val="231F20"/>
          <w:spacing w:val="11"/>
        </w:rPr>
        <w:t> </w:t>
      </w:r>
      <w:r>
        <w:rPr>
          <w:color w:val="231F20"/>
        </w:rPr>
        <w:t>edit</w:t>
      </w:r>
      <w:r>
        <w:rPr>
          <w:color w:val="231F20"/>
          <w:spacing w:val="11"/>
        </w:rPr>
        <w:t> </w:t>
      </w:r>
      <w:r>
        <w:rPr>
          <w:color w:val="231F20"/>
        </w:rPr>
        <w:t>the</w:t>
      </w:r>
      <w:r>
        <w:rPr>
          <w:color w:val="231F20"/>
          <w:spacing w:val="10"/>
        </w:rPr>
        <w:t> </w:t>
      </w:r>
      <w:r>
        <w:rPr>
          <w:color w:val="231F20"/>
          <w:spacing w:val="-2"/>
        </w:rPr>
        <w:t>properties.</w:t>
      </w:r>
    </w:p>
    <w:p>
      <w:pPr>
        <w:pStyle w:val="Heading5"/>
        <w:spacing w:before="212"/>
        <w:ind w:left="2232"/>
      </w:pPr>
      <w:r>
        <w:rPr>
          <w:color w:val="231F20"/>
          <w:spacing w:val="-2"/>
        </w:rPr>
        <w:t>Procedure</w:t>
      </w:r>
    </w:p>
    <w:p>
      <w:pPr>
        <w:pStyle w:val="ListParagraph"/>
        <w:numPr>
          <w:ilvl w:val="0"/>
          <w:numId w:val="64"/>
        </w:numPr>
        <w:tabs>
          <w:tab w:pos="2548" w:val="left" w:leader="none"/>
        </w:tabs>
        <w:spacing w:line="213" w:lineRule="auto" w:before="66" w:after="0"/>
        <w:ind w:left="2548" w:right="1005" w:hanging="316"/>
        <w:jc w:val="left"/>
        <w:rPr>
          <w:sz w:val="20"/>
        </w:rPr>
      </w:pPr>
      <w:r>
        <w:rPr>
          <w:color w:val="231F20"/>
          <w:sz w:val="20"/>
        </w:rPr>
        <w:t>In the view title bar, click</w:t>
      </w:r>
      <w:r>
        <w:rPr>
          <w:color w:val="231F20"/>
          <w:spacing w:val="40"/>
          <w:sz w:val="20"/>
        </w:rPr>
        <w:t> </w:t>
      </w:r>
      <w:r>
        <w:rPr>
          <w:color w:val="231F20"/>
          <w:spacing w:val="5"/>
          <w:position w:val="1"/>
          <w:sz w:val="20"/>
        </w:rPr>
        <w:drawing>
          <wp:inline distT="0" distB="0" distL="0" distR="0">
            <wp:extent cx="57150" cy="57150"/>
            <wp:effectExtent l="0" t="0" r="0" b="0"/>
            <wp:docPr id="1399" name="Image 1399"/>
            <wp:cNvGraphicFramePr>
              <a:graphicFrameLocks/>
            </wp:cNvGraphicFramePr>
            <a:graphic>
              <a:graphicData uri="http://schemas.openxmlformats.org/drawingml/2006/picture">
                <pic:pic>
                  <pic:nvPicPr>
                    <pic:cNvPr id="1399" name="Image 1399"/>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5"/>
          <w:sz w:val="20"/>
        </w:rPr>
        <w:t> </w:t>
      </w:r>
      <w:r>
        <w:rPr>
          <w:rFonts w:ascii="Book Antiqua"/>
          <w:b/>
          <w:color w:val="231F20"/>
          <w:sz w:val="20"/>
        </w:rPr>
        <w:t>Edit properties</w:t>
      </w:r>
      <w:r>
        <w:rPr>
          <w:color w:val="231F20"/>
          <w:sz w:val="20"/>
        </w:rPr>
        <w:t>. The Properties editor for the workspace opens and displays the properties of the selected view.</w:t>
      </w:r>
    </w:p>
    <w:p>
      <w:pPr>
        <w:pStyle w:val="ListParagraph"/>
        <w:numPr>
          <w:ilvl w:val="0"/>
          <w:numId w:val="64"/>
        </w:numPr>
        <w:tabs>
          <w:tab w:pos="2548" w:val="left" w:leader="none"/>
        </w:tabs>
        <w:spacing w:line="208" w:lineRule="auto" w:before="62" w:after="0"/>
        <w:ind w:left="2548" w:right="560" w:hanging="316"/>
        <w:jc w:val="left"/>
        <w:rPr>
          <w:sz w:val="20"/>
        </w:rPr>
      </w:pPr>
      <w:r>
        <w:rPr>
          <w:color w:val="231F20"/>
          <w:sz w:val="20"/>
        </w:rPr>
        <w:t>Set</w:t>
      </w:r>
      <w:r>
        <w:rPr>
          <w:color w:val="231F20"/>
          <w:spacing w:val="38"/>
          <w:sz w:val="20"/>
        </w:rPr>
        <w:t> </w:t>
      </w:r>
      <w:r>
        <w:rPr>
          <w:color w:val="231F20"/>
          <w:spacing w:val="-22"/>
          <w:position w:val="-5"/>
          <w:sz w:val="20"/>
        </w:rPr>
        <w:drawing>
          <wp:inline distT="0" distB="0" distL="0" distR="0">
            <wp:extent cx="119062" cy="127000"/>
            <wp:effectExtent l="0" t="0" r="0" b="0"/>
            <wp:docPr id="1400" name="Image 1400"/>
            <wp:cNvGraphicFramePr>
              <a:graphicFrameLocks/>
            </wp:cNvGraphicFramePr>
            <a:graphic>
              <a:graphicData uri="http://schemas.openxmlformats.org/drawingml/2006/picture">
                <pic:pic>
                  <pic:nvPicPr>
                    <pic:cNvPr id="1400" name="Image 1400"/>
                    <pic:cNvPicPr/>
                  </pic:nvPicPr>
                  <pic:blipFill>
                    <a:blip r:embed="rId88" cstate="print"/>
                    <a:stretch>
                      <a:fillRect/>
                    </a:stretch>
                  </pic:blipFill>
                  <pic:spPr>
                    <a:xfrm>
                      <a:off x="0" y="0"/>
                      <a:ext cx="119062" cy="127000"/>
                    </a:xfrm>
                    <a:prstGeom prst="rect">
                      <a:avLst/>
                    </a:prstGeom>
                  </pic:spPr>
                </pic:pic>
              </a:graphicData>
            </a:graphic>
          </wp:inline>
        </w:drawing>
      </w:r>
      <w:r>
        <w:rPr>
          <w:color w:val="231F20"/>
          <w:spacing w:val="-22"/>
          <w:position w:val="-5"/>
          <w:sz w:val="20"/>
        </w:rPr>
      </w:r>
      <w:r>
        <w:rPr>
          <w:rFonts w:ascii="Times New Roman"/>
          <w:color w:val="231F20"/>
          <w:spacing w:val="30"/>
          <w:sz w:val="20"/>
        </w:rPr>
        <w:t> </w:t>
      </w:r>
      <w:r>
        <w:rPr>
          <w:rFonts w:ascii="Book Antiqua"/>
          <w:b/>
          <w:color w:val="231F20"/>
          <w:sz w:val="20"/>
        </w:rPr>
        <w:t>Filters </w:t>
      </w:r>
      <w:r>
        <w:rPr>
          <w:color w:val="231F20"/>
          <w:sz w:val="20"/>
        </w:rPr>
        <w:t>to report only the values or value ranges you specify. For example, you might want to add a message log view to the Windows </w:t>
      </w:r>
      <w:r>
        <w:rPr>
          <w:color w:val="231F20"/>
          <w:sz w:val="20"/>
        </w:rPr>
        <w:t>Systems</w:t>
      </w:r>
    </w:p>
    <w:p>
      <w:pPr>
        <w:spacing w:after="0" w:line="208" w:lineRule="auto"/>
        <w:jc w:val="left"/>
        <w:rPr>
          <w:sz w:val="20"/>
        </w:rPr>
        <w:sectPr>
          <w:pgSz w:w="12240" w:h="15840"/>
          <w:pgMar w:header="0" w:footer="736" w:top="1180" w:bottom="920" w:left="1000" w:right="1060"/>
        </w:sectPr>
      </w:pPr>
    </w:p>
    <w:p>
      <w:pPr>
        <w:pStyle w:val="BodyText"/>
        <w:spacing w:line="213" w:lineRule="auto" w:before="85"/>
        <w:ind w:left="2788" w:right="258"/>
      </w:pPr>
      <w:bookmarkStart w:name="_bookmark107" w:id="230"/>
      <w:bookmarkEnd w:id="230"/>
      <w:r>
        <w:rPr/>
      </w:r>
      <w:r>
        <w:rPr>
          <w:color w:val="231F20"/>
        </w:rPr>
        <w:t>workspace that shows situation activity on the most critical systems. You </w:t>
      </w:r>
      <w:r>
        <w:rPr>
          <w:color w:val="231F20"/>
        </w:rPr>
        <w:t>could add</w:t>
      </w:r>
      <w:r>
        <w:rPr>
          <w:color w:val="231F20"/>
          <w:spacing w:val="11"/>
        </w:rPr>
        <w:t> </w:t>
      </w:r>
      <w:r>
        <w:rPr>
          <w:color w:val="231F20"/>
        </w:rPr>
        <w:t>filters</w:t>
      </w:r>
      <w:r>
        <w:rPr>
          <w:color w:val="231F20"/>
          <w:spacing w:val="11"/>
        </w:rPr>
        <w:t> </w:t>
      </w:r>
      <w:r>
        <w:rPr>
          <w:color w:val="231F20"/>
        </w:rPr>
        <w:t>to</w:t>
      </w:r>
      <w:r>
        <w:rPr>
          <w:color w:val="231F20"/>
          <w:spacing w:val="11"/>
        </w:rPr>
        <w:t> </w:t>
      </w:r>
      <w:r>
        <w:rPr>
          <w:color w:val="231F20"/>
        </w:rPr>
        <w:t>include</w:t>
      </w:r>
      <w:r>
        <w:rPr>
          <w:color w:val="231F20"/>
          <w:spacing w:val="12"/>
        </w:rPr>
        <w:t> </w:t>
      </w:r>
      <w:r>
        <w:rPr>
          <w:color w:val="231F20"/>
        </w:rPr>
        <w:t>only</w:t>
      </w:r>
      <w:r>
        <w:rPr>
          <w:color w:val="231F20"/>
          <w:spacing w:val="11"/>
        </w:rPr>
        <w:t> </w:t>
      </w:r>
      <w:r>
        <w:rPr>
          <w:color w:val="231F20"/>
        </w:rPr>
        <w:t>those</w:t>
      </w:r>
      <w:r>
        <w:rPr>
          <w:color w:val="231F20"/>
          <w:spacing w:val="11"/>
        </w:rPr>
        <w:t> </w:t>
      </w:r>
      <w:r>
        <w:rPr>
          <w:color w:val="231F20"/>
        </w:rPr>
        <w:t>systems.</w:t>
      </w:r>
      <w:r>
        <w:rPr>
          <w:color w:val="231F20"/>
          <w:spacing w:val="12"/>
        </w:rPr>
        <w:t> </w:t>
      </w:r>
      <w:r>
        <w:rPr>
          <w:color w:val="231F20"/>
        </w:rPr>
        <w:t>If</w:t>
      </w:r>
      <w:r>
        <w:rPr>
          <w:color w:val="231F20"/>
          <w:spacing w:val="11"/>
        </w:rPr>
        <w:t> </w:t>
      </w:r>
      <w:r>
        <w:rPr>
          <w:color w:val="231F20"/>
        </w:rPr>
        <w:t>you</w:t>
      </w:r>
      <w:r>
        <w:rPr>
          <w:color w:val="231F20"/>
          <w:spacing w:val="11"/>
        </w:rPr>
        <w:t> </w:t>
      </w:r>
      <w:r>
        <w:rPr>
          <w:color w:val="231F20"/>
        </w:rPr>
        <w:t>set</w:t>
      </w:r>
      <w:r>
        <w:rPr>
          <w:color w:val="231F20"/>
          <w:spacing w:val="11"/>
        </w:rPr>
        <w:t> </w:t>
      </w:r>
      <w:r>
        <w:rPr>
          <w:color w:val="231F20"/>
        </w:rPr>
        <w:t>a</w:t>
      </w:r>
      <w:r>
        <w:rPr>
          <w:color w:val="231F20"/>
          <w:spacing w:val="12"/>
        </w:rPr>
        <w:t> </w:t>
      </w:r>
      <w:r>
        <w:rPr>
          <w:color w:val="231F20"/>
        </w:rPr>
        <w:t>quick</w:t>
      </w:r>
      <w:r>
        <w:rPr>
          <w:color w:val="231F20"/>
          <w:spacing w:val="11"/>
        </w:rPr>
        <w:t> </w:t>
      </w:r>
      <w:r>
        <w:rPr>
          <w:color w:val="231F20"/>
        </w:rPr>
        <w:t>filter,</w:t>
      </w:r>
      <w:r>
        <w:rPr>
          <w:color w:val="231F20"/>
          <w:spacing w:val="11"/>
        </w:rPr>
        <w:t> </w:t>
      </w:r>
      <w:r>
        <w:rPr>
          <w:color w:val="231F20"/>
        </w:rPr>
        <w:t>it</w:t>
      </w:r>
      <w:r>
        <w:rPr>
          <w:color w:val="231F20"/>
          <w:spacing w:val="12"/>
        </w:rPr>
        <w:t> </w:t>
      </w:r>
      <w:r>
        <w:rPr>
          <w:color w:val="231F20"/>
        </w:rPr>
        <w:t>will</w:t>
      </w:r>
      <w:r>
        <w:rPr>
          <w:color w:val="231F20"/>
          <w:spacing w:val="11"/>
        </w:rPr>
        <w:t> </w:t>
      </w:r>
      <w:r>
        <w:rPr>
          <w:color w:val="231F20"/>
          <w:spacing w:val="-2"/>
        </w:rPr>
        <w:t>appear</w:t>
      </w:r>
    </w:p>
    <w:p>
      <w:pPr>
        <w:pStyle w:val="BodyText"/>
        <w:spacing w:before="55"/>
        <w:ind w:left="2788"/>
      </w:pPr>
      <w:r>
        <w:rPr>
          <w:color w:val="231F20"/>
        </w:rPr>
        <w:t>here</w:t>
      </w:r>
      <w:r>
        <w:rPr>
          <w:color w:val="231F20"/>
          <w:spacing w:val="10"/>
        </w:rPr>
        <w:t> </w:t>
      </w:r>
      <w:r>
        <w:rPr>
          <w:color w:val="231F20"/>
        </w:rPr>
        <w:t>and</w:t>
      </w:r>
      <w:r>
        <w:rPr>
          <w:color w:val="231F20"/>
          <w:spacing w:val="11"/>
        </w:rPr>
        <w:t> </w:t>
      </w:r>
      <w:r>
        <w:rPr>
          <w:color w:val="231F20"/>
        </w:rPr>
        <w:t>the</w:t>
      </w:r>
      <w:r>
        <w:rPr>
          <w:color w:val="231F20"/>
          <w:spacing w:val="11"/>
        </w:rPr>
        <w:t> </w:t>
      </w:r>
      <w:r>
        <w:rPr>
          <w:color w:val="231F20"/>
        </w:rPr>
        <w:t>row</w:t>
      </w:r>
      <w:r>
        <w:rPr>
          <w:color w:val="231F20"/>
          <w:spacing w:val="11"/>
        </w:rPr>
        <w:t> </w:t>
      </w:r>
      <w:r>
        <w:rPr>
          <w:color w:val="231F20"/>
        </w:rPr>
        <w:t>will</w:t>
      </w:r>
      <w:r>
        <w:rPr>
          <w:color w:val="231F20"/>
          <w:spacing w:val="11"/>
        </w:rPr>
        <w:t> </w:t>
      </w:r>
      <w:r>
        <w:rPr>
          <w:color w:val="231F20"/>
        </w:rPr>
        <w:t>be</w:t>
      </w:r>
      <w:r>
        <w:rPr>
          <w:color w:val="231F20"/>
          <w:spacing w:val="10"/>
        </w:rPr>
        <w:t> </w:t>
      </w:r>
      <w:r>
        <w:rPr>
          <w:color w:val="231F20"/>
        </w:rPr>
        <w:t>marked</w:t>
      </w:r>
      <w:r>
        <w:rPr>
          <w:color w:val="231F20"/>
          <w:spacing w:val="11"/>
        </w:rPr>
        <w:t> </w:t>
      </w:r>
      <w:r>
        <w:rPr>
          <w:color w:val="231F20"/>
        </w:rPr>
        <w:t>with</w:t>
      </w:r>
      <w:r>
        <w:rPr>
          <w:color w:val="231F20"/>
          <w:spacing w:val="11"/>
        </w:rPr>
        <w:t> </w:t>
      </w:r>
      <w:r>
        <w:rPr>
          <w:color w:val="231F20"/>
        </w:rPr>
        <w:t>the</w:t>
      </w:r>
      <w:r>
        <w:rPr>
          <w:color w:val="231F20"/>
          <w:spacing w:val="-7"/>
        </w:rPr>
        <w:t> </w:t>
      </w:r>
      <w:r>
        <w:rPr>
          <w:color w:val="231F20"/>
          <w:spacing w:val="-3"/>
          <w:position w:val="2"/>
        </w:rPr>
        <w:drawing>
          <wp:inline distT="0" distB="0" distL="0" distR="0">
            <wp:extent cx="83820" cy="91440"/>
            <wp:effectExtent l="0" t="0" r="0" b="0"/>
            <wp:docPr id="1401" name="Image 1401"/>
            <wp:cNvGraphicFramePr>
              <a:graphicFrameLocks/>
            </wp:cNvGraphicFramePr>
            <a:graphic>
              <a:graphicData uri="http://schemas.openxmlformats.org/drawingml/2006/picture">
                <pic:pic>
                  <pic:nvPicPr>
                    <pic:cNvPr id="1401" name="Image 1401"/>
                    <pic:cNvPicPr/>
                  </pic:nvPicPr>
                  <pic:blipFill>
                    <a:blip r:embed="rId271" cstate="print"/>
                    <a:stretch>
                      <a:fillRect/>
                    </a:stretch>
                  </pic:blipFill>
                  <pic:spPr>
                    <a:xfrm>
                      <a:off x="0" y="0"/>
                      <a:ext cx="83820" cy="91440"/>
                    </a:xfrm>
                    <a:prstGeom prst="rect">
                      <a:avLst/>
                    </a:prstGeom>
                  </pic:spPr>
                </pic:pic>
              </a:graphicData>
            </a:graphic>
          </wp:inline>
        </w:drawing>
      </w:r>
      <w:r>
        <w:rPr>
          <w:color w:val="231F20"/>
          <w:spacing w:val="-3"/>
          <w:position w:val="2"/>
        </w:rPr>
      </w:r>
      <w:r>
        <w:rPr>
          <w:rFonts w:ascii="Times New Roman"/>
          <w:color w:val="231F20"/>
          <w:spacing w:val="54"/>
        </w:rPr>
        <w:t> </w:t>
      </w:r>
      <w:r>
        <w:rPr>
          <w:rFonts w:ascii="Book Antiqua"/>
          <w:b/>
          <w:color w:val="231F20"/>
        </w:rPr>
        <w:t>Quick</w:t>
      </w:r>
      <w:r>
        <w:rPr>
          <w:rFonts w:ascii="Book Antiqua"/>
          <w:b/>
          <w:color w:val="231F20"/>
          <w:spacing w:val="10"/>
        </w:rPr>
        <w:t> </w:t>
      </w:r>
      <w:r>
        <w:rPr>
          <w:rFonts w:ascii="Book Antiqua"/>
          <w:b/>
          <w:color w:val="231F20"/>
        </w:rPr>
        <w:t>flag</w:t>
      </w:r>
      <w:r>
        <w:rPr>
          <w:rFonts w:ascii="Book Antiqua"/>
          <w:b/>
          <w:color w:val="231F20"/>
          <w:spacing w:val="11"/>
        </w:rPr>
        <w:t> </w:t>
      </w:r>
      <w:r>
        <w:rPr>
          <w:color w:val="231F20"/>
        </w:rPr>
        <w:t>icon.</w:t>
      </w:r>
      <w:r>
        <w:rPr>
          <w:color w:val="231F20"/>
          <w:spacing w:val="7"/>
        </w:rPr>
        <w:t> </w:t>
      </w:r>
      <w:r>
        <w:rPr>
          <w:color w:val="231F20"/>
        </w:rPr>
        <w:t>You</w:t>
      </w:r>
      <w:r>
        <w:rPr>
          <w:color w:val="231F20"/>
          <w:spacing w:val="11"/>
        </w:rPr>
        <w:t> </w:t>
      </w:r>
      <w:r>
        <w:rPr>
          <w:color w:val="231F20"/>
        </w:rPr>
        <w:t>can</w:t>
      </w:r>
      <w:r>
        <w:rPr>
          <w:color w:val="231F20"/>
          <w:spacing w:val="11"/>
        </w:rPr>
        <w:t> </w:t>
      </w:r>
      <w:r>
        <w:rPr>
          <w:color w:val="231F20"/>
        </w:rPr>
        <w:t>make</w:t>
      </w:r>
      <w:r>
        <w:rPr>
          <w:color w:val="231F20"/>
          <w:spacing w:val="11"/>
        </w:rPr>
        <w:t> </w:t>
      </w:r>
      <w:r>
        <w:rPr>
          <w:color w:val="231F20"/>
          <w:spacing w:val="-5"/>
        </w:rPr>
        <w:t>it</w:t>
      </w:r>
    </w:p>
    <w:p>
      <w:pPr>
        <w:pStyle w:val="BodyText"/>
        <w:spacing w:line="213" w:lineRule="auto" w:before="73"/>
        <w:ind w:left="2788" w:right="385"/>
      </w:pPr>
      <w:r>
        <w:rPr>
          <w:color w:val="231F20"/>
        </w:rPr>
        <w:t>a permanent filter by right-clicking the row number and selecting</w:t>
      </w:r>
      <w:r>
        <w:rPr>
          <w:color w:val="231F20"/>
          <w:spacing w:val="40"/>
        </w:rPr>
        <w:t> </w:t>
      </w:r>
      <w:r>
        <w:rPr>
          <w:color w:val="231F20"/>
          <w:spacing w:val="13"/>
          <w:position w:val="2"/>
        </w:rPr>
        <w:drawing>
          <wp:inline distT="0" distB="0" distL="0" distR="0">
            <wp:extent cx="83820" cy="91440"/>
            <wp:effectExtent l="0" t="0" r="0" b="0"/>
            <wp:docPr id="1402" name="Image 1402"/>
            <wp:cNvGraphicFramePr>
              <a:graphicFrameLocks/>
            </wp:cNvGraphicFramePr>
            <a:graphic>
              <a:graphicData uri="http://schemas.openxmlformats.org/drawingml/2006/picture">
                <pic:pic>
                  <pic:nvPicPr>
                    <pic:cNvPr id="1402" name="Image 1402"/>
                    <pic:cNvPicPr/>
                  </pic:nvPicPr>
                  <pic:blipFill>
                    <a:blip r:embed="rId271" cstate="print"/>
                    <a:stretch>
                      <a:fillRect/>
                    </a:stretch>
                  </pic:blipFill>
                  <pic:spPr>
                    <a:xfrm>
                      <a:off x="0" y="0"/>
                      <a:ext cx="83820" cy="91440"/>
                    </a:xfrm>
                    <a:prstGeom prst="rect">
                      <a:avLst/>
                    </a:prstGeom>
                  </pic:spPr>
                </pic:pic>
              </a:graphicData>
            </a:graphic>
          </wp:inline>
        </w:drawing>
      </w:r>
      <w:r>
        <w:rPr>
          <w:color w:val="231F20"/>
          <w:spacing w:val="13"/>
          <w:position w:val="2"/>
        </w:rPr>
      </w:r>
      <w:r>
        <w:rPr>
          <w:rFonts w:ascii="Times New Roman"/>
          <w:color w:val="231F20"/>
          <w:spacing w:val="13"/>
        </w:rPr>
        <w:t> </w:t>
      </w:r>
      <w:r>
        <w:rPr>
          <w:rFonts w:ascii="Book Antiqua"/>
          <w:b/>
          <w:color w:val="231F20"/>
        </w:rPr>
        <w:t>Remove Quick Flag</w:t>
      </w:r>
      <w:r>
        <w:rPr>
          <w:color w:val="231F20"/>
        </w:rPr>
        <w:t>.</w:t>
      </w:r>
    </w:p>
    <w:p>
      <w:pPr>
        <w:pStyle w:val="ListParagraph"/>
        <w:numPr>
          <w:ilvl w:val="0"/>
          <w:numId w:val="64"/>
        </w:numPr>
        <w:tabs>
          <w:tab w:pos="2787" w:val="left" w:leader="none"/>
        </w:tabs>
        <w:spacing w:line="240" w:lineRule="auto" w:before="35" w:after="0"/>
        <w:ind w:left="2787" w:right="0" w:hanging="315"/>
        <w:jc w:val="left"/>
        <w:rPr>
          <w:sz w:val="20"/>
        </w:rPr>
      </w:pPr>
      <w:r>
        <w:rPr>
          <w:color w:val="231F20"/>
          <w:sz w:val="20"/>
        </w:rPr>
        <w:t>Set</w:t>
      </w:r>
      <w:r>
        <w:rPr>
          <w:color w:val="231F20"/>
          <w:spacing w:val="10"/>
          <w:sz w:val="20"/>
        </w:rPr>
        <w:t> </w:t>
      </w:r>
      <w:r>
        <w:rPr>
          <w:color w:val="231F20"/>
          <w:sz w:val="20"/>
        </w:rPr>
        <w:t>Thresholds</w:t>
      </w:r>
      <w:r>
        <w:rPr>
          <w:color w:val="231F20"/>
          <w:spacing w:val="11"/>
          <w:sz w:val="20"/>
        </w:rPr>
        <w:t> </w:t>
      </w:r>
      <w:r>
        <w:rPr>
          <w:color w:val="231F20"/>
          <w:sz w:val="20"/>
        </w:rPr>
        <w:t>to</w:t>
      </w:r>
      <w:r>
        <w:rPr>
          <w:color w:val="231F20"/>
          <w:spacing w:val="10"/>
          <w:sz w:val="20"/>
        </w:rPr>
        <w:t> </w:t>
      </w:r>
      <w:r>
        <w:rPr>
          <w:color w:val="231F20"/>
          <w:sz w:val="20"/>
        </w:rPr>
        <w:t>highlight</w:t>
      </w:r>
      <w:r>
        <w:rPr>
          <w:color w:val="231F20"/>
          <w:spacing w:val="11"/>
          <w:sz w:val="20"/>
        </w:rPr>
        <w:t> </w:t>
      </w:r>
      <w:r>
        <w:rPr>
          <w:color w:val="231F20"/>
          <w:sz w:val="20"/>
        </w:rPr>
        <w:t>areas</w:t>
      </w:r>
      <w:r>
        <w:rPr>
          <w:color w:val="231F20"/>
          <w:spacing w:val="11"/>
          <w:sz w:val="20"/>
        </w:rPr>
        <w:t> </w:t>
      </w:r>
      <w:r>
        <w:rPr>
          <w:color w:val="231F20"/>
          <w:sz w:val="20"/>
        </w:rPr>
        <w:t>of</w:t>
      </w:r>
      <w:r>
        <w:rPr>
          <w:color w:val="231F20"/>
          <w:spacing w:val="10"/>
          <w:sz w:val="20"/>
        </w:rPr>
        <w:t> </w:t>
      </w:r>
      <w:r>
        <w:rPr>
          <w:color w:val="231F20"/>
          <w:sz w:val="20"/>
        </w:rPr>
        <w:t>interest.</w:t>
      </w:r>
      <w:r>
        <w:rPr>
          <w:color w:val="231F20"/>
          <w:spacing w:val="11"/>
          <w:sz w:val="20"/>
        </w:rPr>
        <w:t> </w:t>
      </w:r>
      <w:r>
        <w:rPr>
          <w:color w:val="231F20"/>
          <w:sz w:val="20"/>
        </w:rPr>
        <w:t>If</w:t>
      </w:r>
      <w:r>
        <w:rPr>
          <w:color w:val="231F20"/>
          <w:spacing w:val="11"/>
          <w:sz w:val="20"/>
        </w:rPr>
        <w:t> </w:t>
      </w:r>
      <w:r>
        <w:rPr>
          <w:color w:val="231F20"/>
          <w:sz w:val="20"/>
        </w:rPr>
        <w:t>you</w:t>
      </w:r>
      <w:r>
        <w:rPr>
          <w:color w:val="231F20"/>
          <w:spacing w:val="10"/>
          <w:sz w:val="20"/>
        </w:rPr>
        <w:t> </w:t>
      </w:r>
      <w:r>
        <w:rPr>
          <w:color w:val="231F20"/>
          <w:sz w:val="20"/>
        </w:rPr>
        <w:t>set</w:t>
      </w:r>
      <w:r>
        <w:rPr>
          <w:color w:val="231F20"/>
          <w:spacing w:val="11"/>
          <w:sz w:val="20"/>
        </w:rPr>
        <w:t> </w:t>
      </w:r>
      <w:r>
        <w:rPr>
          <w:color w:val="231F20"/>
          <w:sz w:val="20"/>
        </w:rPr>
        <w:t>a</w:t>
      </w:r>
      <w:r>
        <w:rPr>
          <w:color w:val="231F20"/>
          <w:spacing w:val="10"/>
          <w:sz w:val="20"/>
        </w:rPr>
        <w:t> </w:t>
      </w:r>
      <w:r>
        <w:rPr>
          <w:color w:val="231F20"/>
          <w:sz w:val="20"/>
        </w:rPr>
        <w:t>quick</w:t>
      </w:r>
      <w:r>
        <w:rPr>
          <w:color w:val="231F20"/>
          <w:spacing w:val="11"/>
          <w:sz w:val="20"/>
        </w:rPr>
        <w:t> </w:t>
      </w:r>
      <w:r>
        <w:rPr>
          <w:color w:val="231F20"/>
          <w:sz w:val="20"/>
        </w:rPr>
        <w:t>threshold,</w:t>
      </w:r>
      <w:r>
        <w:rPr>
          <w:color w:val="231F20"/>
          <w:spacing w:val="11"/>
          <w:sz w:val="20"/>
        </w:rPr>
        <w:t> </w:t>
      </w:r>
      <w:r>
        <w:rPr>
          <w:color w:val="231F20"/>
          <w:sz w:val="20"/>
        </w:rPr>
        <w:t>it</w:t>
      </w:r>
      <w:r>
        <w:rPr>
          <w:color w:val="231F20"/>
          <w:spacing w:val="10"/>
          <w:sz w:val="20"/>
        </w:rPr>
        <w:t> </w:t>
      </w:r>
      <w:r>
        <w:rPr>
          <w:color w:val="231F20"/>
          <w:spacing w:val="-4"/>
          <w:sz w:val="20"/>
        </w:rPr>
        <w:t>will</w:t>
      </w:r>
    </w:p>
    <w:p>
      <w:pPr>
        <w:pStyle w:val="BodyText"/>
        <w:spacing w:line="213" w:lineRule="auto" w:before="73"/>
        <w:ind w:left="2788" w:right="258" w:hanging="1"/>
      </w:pPr>
      <w:r>
        <w:rPr>
          <w:color w:val="231F20"/>
        </w:rPr>
        <w:t>appear here and the row will be marked with the</w:t>
      </w:r>
      <w:r>
        <w:rPr>
          <w:color w:val="231F20"/>
          <w:spacing w:val="40"/>
        </w:rPr>
        <w:t> </w:t>
      </w:r>
      <w:r>
        <w:rPr>
          <w:color w:val="231F20"/>
          <w:spacing w:val="13"/>
          <w:position w:val="2"/>
        </w:rPr>
        <w:drawing>
          <wp:inline distT="0" distB="0" distL="0" distR="0">
            <wp:extent cx="83820" cy="91440"/>
            <wp:effectExtent l="0" t="0" r="0" b="0"/>
            <wp:docPr id="1403" name="Image 1403"/>
            <wp:cNvGraphicFramePr>
              <a:graphicFrameLocks/>
            </wp:cNvGraphicFramePr>
            <a:graphic>
              <a:graphicData uri="http://schemas.openxmlformats.org/drawingml/2006/picture">
                <pic:pic>
                  <pic:nvPicPr>
                    <pic:cNvPr id="1403" name="Image 1403"/>
                    <pic:cNvPicPr/>
                  </pic:nvPicPr>
                  <pic:blipFill>
                    <a:blip r:embed="rId271" cstate="print"/>
                    <a:stretch>
                      <a:fillRect/>
                    </a:stretch>
                  </pic:blipFill>
                  <pic:spPr>
                    <a:xfrm>
                      <a:off x="0" y="0"/>
                      <a:ext cx="83820" cy="91440"/>
                    </a:xfrm>
                    <a:prstGeom prst="rect">
                      <a:avLst/>
                    </a:prstGeom>
                  </pic:spPr>
                </pic:pic>
              </a:graphicData>
            </a:graphic>
          </wp:inline>
        </w:drawing>
      </w:r>
      <w:r>
        <w:rPr>
          <w:color w:val="231F20"/>
          <w:spacing w:val="13"/>
          <w:position w:val="2"/>
        </w:rPr>
      </w:r>
      <w:r>
        <w:rPr>
          <w:rFonts w:ascii="Times New Roman"/>
          <w:color w:val="231F20"/>
          <w:spacing w:val="40"/>
        </w:rPr>
        <w:t> </w:t>
      </w:r>
      <w:r>
        <w:rPr>
          <w:rFonts w:ascii="Book Antiqua"/>
          <w:b/>
          <w:color w:val="231F20"/>
        </w:rPr>
        <w:t>Quick flag </w:t>
      </w:r>
      <w:r>
        <w:rPr>
          <w:color w:val="231F20"/>
        </w:rPr>
        <w:t>icon. You can make</w:t>
      </w:r>
      <w:r>
        <w:rPr>
          <w:color w:val="231F20"/>
          <w:spacing w:val="10"/>
        </w:rPr>
        <w:t> </w:t>
      </w:r>
      <w:r>
        <w:rPr>
          <w:color w:val="231F20"/>
        </w:rPr>
        <w:t>it</w:t>
      </w:r>
      <w:r>
        <w:rPr>
          <w:color w:val="231F20"/>
          <w:spacing w:val="10"/>
        </w:rPr>
        <w:t> </w:t>
      </w:r>
      <w:r>
        <w:rPr>
          <w:color w:val="231F20"/>
        </w:rPr>
        <w:t>a</w:t>
      </w:r>
      <w:r>
        <w:rPr>
          <w:color w:val="231F20"/>
          <w:spacing w:val="10"/>
        </w:rPr>
        <w:t> </w:t>
      </w:r>
      <w:r>
        <w:rPr>
          <w:color w:val="231F20"/>
        </w:rPr>
        <w:t>permanent</w:t>
      </w:r>
      <w:r>
        <w:rPr>
          <w:color w:val="231F20"/>
          <w:spacing w:val="10"/>
        </w:rPr>
        <w:t> </w:t>
      </w:r>
      <w:r>
        <w:rPr>
          <w:color w:val="231F20"/>
        </w:rPr>
        <w:t>threshold</w:t>
      </w:r>
      <w:r>
        <w:rPr>
          <w:color w:val="231F20"/>
          <w:spacing w:val="10"/>
        </w:rPr>
        <w:t> </w:t>
      </w:r>
      <w:r>
        <w:rPr>
          <w:color w:val="231F20"/>
        </w:rPr>
        <w:t>by</w:t>
      </w:r>
      <w:r>
        <w:rPr>
          <w:color w:val="231F20"/>
          <w:spacing w:val="11"/>
        </w:rPr>
        <w:t> </w:t>
      </w:r>
      <w:r>
        <w:rPr>
          <w:color w:val="231F20"/>
        </w:rPr>
        <w:t>right-clicking</w:t>
      </w:r>
      <w:r>
        <w:rPr>
          <w:color w:val="231F20"/>
          <w:spacing w:val="10"/>
        </w:rPr>
        <w:t> </w:t>
      </w:r>
      <w:r>
        <w:rPr>
          <w:color w:val="231F20"/>
        </w:rPr>
        <w:t>the</w:t>
      </w:r>
      <w:r>
        <w:rPr>
          <w:color w:val="231F20"/>
          <w:spacing w:val="10"/>
        </w:rPr>
        <w:t> </w:t>
      </w:r>
      <w:r>
        <w:rPr>
          <w:color w:val="231F20"/>
        </w:rPr>
        <w:t>row</w:t>
      </w:r>
      <w:r>
        <w:rPr>
          <w:color w:val="231F20"/>
          <w:spacing w:val="10"/>
        </w:rPr>
        <w:t> </w:t>
      </w:r>
      <w:r>
        <w:rPr>
          <w:color w:val="231F20"/>
        </w:rPr>
        <w:t>number</w:t>
      </w:r>
      <w:r>
        <w:rPr>
          <w:color w:val="231F20"/>
          <w:spacing w:val="10"/>
        </w:rPr>
        <w:t> </w:t>
      </w:r>
      <w:r>
        <w:rPr>
          <w:color w:val="231F20"/>
        </w:rPr>
        <w:t>and</w:t>
      </w:r>
      <w:r>
        <w:rPr>
          <w:color w:val="231F20"/>
          <w:spacing w:val="11"/>
        </w:rPr>
        <w:t> </w:t>
      </w:r>
      <w:r>
        <w:rPr>
          <w:color w:val="231F20"/>
          <w:spacing w:val="-2"/>
        </w:rPr>
        <w:t>selecting</w:t>
      </w:r>
    </w:p>
    <w:p>
      <w:pPr>
        <w:pStyle w:val="Heading6"/>
        <w:spacing w:line="240" w:lineRule="auto" w:before="55"/>
        <w:ind w:left="2836"/>
        <w:rPr>
          <w:rFonts w:ascii="Palatino Linotype"/>
          <w:b w:val="0"/>
        </w:rPr>
      </w:pPr>
      <w:r>
        <w:rPr>
          <w:b w:val="0"/>
          <w:position w:val="2"/>
        </w:rPr>
        <w:drawing>
          <wp:inline distT="0" distB="0" distL="0" distR="0">
            <wp:extent cx="83819" cy="91440"/>
            <wp:effectExtent l="0" t="0" r="0" b="0"/>
            <wp:docPr id="1404" name="Image 1404"/>
            <wp:cNvGraphicFramePr>
              <a:graphicFrameLocks/>
            </wp:cNvGraphicFramePr>
            <a:graphic>
              <a:graphicData uri="http://schemas.openxmlformats.org/drawingml/2006/picture">
                <pic:pic>
                  <pic:nvPicPr>
                    <pic:cNvPr id="1404" name="Image 1404"/>
                    <pic:cNvPicPr/>
                  </pic:nvPicPr>
                  <pic:blipFill>
                    <a:blip r:embed="rId271" cstate="print"/>
                    <a:stretch>
                      <a:fillRect/>
                    </a:stretch>
                  </pic:blipFill>
                  <pic:spPr>
                    <a:xfrm>
                      <a:off x="0" y="0"/>
                      <a:ext cx="83819" cy="91440"/>
                    </a:xfrm>
                    <a:prstGeom prst="rect">
                      <a:avLst/>
                    </a:prstGeom>
                  </pic:spPr>
                </pic:pic>
              </a:graphicData>
            </a:graphic>
          </wp:inline>
        </w:drawing>
      </w:r>
      <w:r>
        <w:rPr>
          <w:b w:val="0"/>
          <w:position w:val="2"/>
        </w:rPr>
      </w:r>
      <w:r>
        <w:rPr>
          <w:rFonts w:ascii="Times New Roman"/>
          <w:b w:val="0"/>
          <w:spacing w:val="40"/>
        </w:rPr>
        <w:t> </w:t>
      </w:r>
      <w:r>
        <w:rPr>
          <w:color w:val="231F20"/>
        </w:rPr>
        <w:t>Remove</w:t>
      </w:r>
      <w:r>
        <w:rPr>
          <w:color w:val="231F20"/>
          <w:spacing w:val="31"/>
        </w:rPr>
        <w:t> </w:t>
      </w:r>
      <w:r>
        <w:rPr>
          <w:color w:val="231F20"/>
        </w:rPr>
        <w:t>Quick</w:t>
      </w:r>
      <w:r>
        <w:rPr>
          <w:color w:val="231F20"/>
          <w:spacing w:val="31"/>
        </w:rPr>
        <w:t> </w:t>
      </w:r>
      <w:r>
        <w:rPr>
          <w:color w:val="231F20"/>
        </w:rPr>
        <w:t>Threshold</w:t>
      </w:r>
      <w:r>
        <w:rPr>
          <w:rFonts w:ascii="Palatino Linotype"/>
          <w:b w:val="0"/>
          <w:color w:val="231F20"/>
        </w:rPr>
        <w:t>.</w:t>
      </w:r>
    </w:p>
    <w:p>
      <w:pPr>
        <w:pStyle w:val="ListParagraph"/>
        <w:numPr>
          <w:ilvl w:val="0"/>
          <w:numId w:val="64"/>
        </w:numPr>
        <w:tabs>
          <w:tab w:pos="2788" w:val="left" w:leader="none"/>
        </w:tabs>
        <w:spacing w:line="213" w:lineRule="auto" w:before="53" w:after="0"/>
        <w:ind w:left="2788" w:right="218" w:hanging="316"/>
        <w:jc w:val="left"/>
        <w:rPr>
          <w:sz w:val="20"/>
        </w:rPr>
      </w:pPr>
      <w:r>
        <w:rPr>
          <w:color w:val="231F20"/>
          <w:sz w:val="20"/>
        </w:rPr>
        <w:t>When</w:t>
      </w:r>
      <w:r>
        <w:rPr>
          <w:color w:val="231F20"/>
          <w:spacing w:val="27"/>
          <w:sz w:val="20"/>
        </w:rPr>
        <w:t> </w:t>
      </w:r>
      <w:r>
        <w:rPr>
          <w:color w:val="231F20"/>
          <w:sz w:val="20"/>
        </w:rPr>
        <w:t>you</w:t>
      </w:r>
      <w:r>
        <w:rPr>
          <w:color w:val="231F20"/>
          <w:spacing w:val="27"/>
          <w:sz w:val="20"/>
        </w:rPr>
        <w:t> </w:t>
      </w:r>
      <w:r>
        <w:rPr>
          <w:color w:val="231F20"/>
          <w:sz w:val="20"/>
        </w:rPr>
        <w:t>are</w:t>
      </w:r>
      <w:r>
        <w:rPr>
          <w:color w:val="231F20"/>
          <w:spacing w:val="27"/>
          <w:sz w:val="20"/>
        </w:rPr>
        <w:t> </w:t>
      </w:r>
      <w:r>
        <w:rPr>
          <w:color w:val="231F20"/>
          <w:sz w:val="20"/>
        </w:rPr>
        <w:t>finished</w:t>
      </w:r>
      <w:r>
        <w:rPr>
          <w:color w:val="231F20"/>
          <w:spacing w:val="27"/>
          <w:sz w:val="20"/>
        </w:rPr>
        <w:t> </w:t>
      </w:r>
      <w:r>
        <w:rPr>
          <w:color w:val="231F20"/>
          <w:sz w:val="20"/>
        </w:rPr>
        <w:t>editing</w:t>
      </w:r>
      <w:r>
        <w:rPr>
          <w:color w:val="231F20"/>
          <w:spacing w:val="27"/>
          <w:sz w:val="20"/>
        </w:rPr>
        <w:t> </w:t>
      </w:r>
      <w:r>
        <w:rPr>
          <w:color w:val="231F20"/>
          <w:sz w:val="20"/>
        </w:rPr>
        <w:t>the</w:t>
      </w:r>
      <w:r>
        <w:rPr>
          <w:color w:val="231F20"/>
          <w:spacing w:val="27"/>
          <w:sz w:val="20"/>
        </w:rPr>
        <w:t> </w:t>
      </w:r>
      <w:r>
        <w:rPr>
          <w:color w:val="231F20"/>
          <w:sz w:val="20"/>
        </w:rPr>
        <w:t>message</w:t>
      </w:r>
      <w:r>
        <w:rPr>
          <w:color w:val="231F20"/>
          <w:spacing w:val="27"/>
          <w:sz w:val="20"/>
        </w:rPr>
        <w:t> </w:t>
      </w:r>
      <w:r>
        <w:rPr>
          <w:color w:val="231F20"/>
          <w:sz w:val="20"/>
        </w:rPr>
        <w:t>log</w:t>
      </w:r>
      <w:r>
        <w:rPr>
          <w:color w:val="231F20"/>
          <w:spacing w:val="27"/>
          <w:sz w:val="20"/>
        </w:rPr>
        <w:t> </w:t>
      </w:r>
      <w:r>
        <w:rPr>
          <w:color w:val="231F20"/>
          <w:sz w:val="20"/>
        </w:rPr>
        <w:t>properties,</w:t>
      </w:r>
      <w:r>
        <w:rPr>
          <w:color w:val="231F20"/>
          <w:spacing w:val="27"/>
          <w:sz w:val="20"/>
        </w:rPr>
        <w:t> </w:t>
      </w:r>
      <w:r>
        <w:rPr>
          <w:color w:val="231F20"/>
          <w:sz w:val="20"/>
        </w:rPr>
        <w:t>save</w:t>
      </w:r>
      <w:r>
        <w:rPr>
          <w:color w:val="231F20"/>
          <w:spacing w:val="27"/>
          <w:sz w:val="20"/>
        </w:rPr>
        <w:t> </w:t>
      </w:r>
      <w:r>
        <w:rPr>
          <w:color w:val="231F20"/>
          <w:sz w:val="20"/>
        </w:rPr>
        <w:t>your</w:t>
      </w:r>
      <w:r>
        <w:rPr>
          <w:color w:val="231F20"/>
          <w:spacing w:val="27"/>
          <w:sz w:val="20"/>
        </w:rPr>
        <w:t> </w:t>
      </w:r>
      <w:r>
        <w:rPr>
          <w:color w:val="231F20"/>
          <w:sz w:val="20"/>
        </w:rPr>
        <w:t>changes by clicking </w:t>
      </w:r>
      <w:r>
        <w:rPr>
          <w:rFonts w:ascii="Book Antiqua"/>
          <w:b/>
          <w:color w:val="231F20"/>
          <w:sz w:val="20"/>
        </w:rPr>
        <w:t>Apply </w:t>
      </w:r>
      <w:r>
        <w:rPr>
          <w:color w:val="231F20"/>
          <w:sz w:val="20"/>
        </w:rPr>
        <w:t>to keep the Properties editor open, or </w:t>
      </w:r>
      <w:r>
        <w:rPr>
          <w:rFonts w:ascii="Book Antiqua"/>
          <w:b/>
          <w:color w:val="231F20"/>
          <w:sz w:val="20"/>
        </w:rPr>
        <w:t>OK </w:t>
      </w:r>
      <w:r>
        <w:rPr>
          <w:color w:val="231F20"/>
          <w:sz w:val="20"/>
        </w:rPr>
        <w:t>to close the </w:t>
      </w:r>
      <w:r>
        <w:rPr>
          <w:color w:val="231F20"/>
          <w:sz w:val="20"/>
        </w:rPr>
        <w:t>editor.</w:t>
      </w:r>
    </w:p>
    <w:p>
      <w:pPr>
        <w:pStyle w:val="Heading6"/>
        <w:spacing w:line="240" w:lineRule="auto" w:before="35"/>
        <w:jc w:val="both"/>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jc w:val="both"/>
      </w:pPr>
      <w:hyperlink w:history="true" w:anchor="_bookmark67">
        <w:r>
          <w:rPr>
            <w:color w:val="231F20"/>
          </w:rPr>
          <w:t>“Filtering</w:t>
        </w:r>
        <w:r>
          <w:rPr>
            <w:color w:val="231F20"/>
            <w:spacing w:val="10"/>
          </w:rPr>
          <w:t> </w:t>
        </w:r>
        <w:r>
          <w:rPr>
            <w:color w:val="231F20"/>
          </w:rPr>
          <w:t>a</w:t>
        </w:r>
        <w:r>
          <w:rPr>
            <w:color w:val="231F20"/>
            <w:spacing w:val="11"/>
          </w:rPr>
          <w:t> </w:t>
        </w:r>
        <w:r>
          <w:rPr>
            <w:color w:val="231F20"/>
          </w:rPr>
          <w:t>query-based</w:t>
        </w:r>
        <w:r>
          <w:rPr>
            <w:color w:val="231F20"/>
            <w:spacing w:val="10"/>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0"/>
          </w:rPr>
          <w:t> </w:t>
        </w:r>
        <w:r>
          <w:rPr>
            <w:color w:val="231F20"/>
            <w:spacing w:val="-5"/>
          </w:rPr>
          <w:t>88</w:t>
        </w:r>
      </w:hyperlink>
    </w:p>
    <w:p>
      <w:pPr>
        <w:pStyle w:val="BodyText"/>
        <w:spacing w:line="213" w:lineRule="auto" w:before="7"/>
        <w:ind w:left="2472" w:right="549"/>
        <w:jc w:val="both"/>
      </w:pPr>
      <w:r>
        <w:rPr>
          <w:color w:val="231F20"/>
        </w:rPr>
        <w:t>You can filter the information displayed on the view to show specific </w:t>
      </w:r>
      <w:r>
        <w:rPr>
          <w:color w:val="231F20"/>
        </w:rPr>
        <w:t>attributes and rows of data.</w:t>
      </w:r>
    </w:p>
    <w:p>
      <w:pPr>
        <w:pStyle w:val="BodyText"/>
        <w:spacing w:line="255" w:lineRule="exact" w:before="36"/>
        <w:ind w:left="2472"/>
        <w:jc w:val="both"/>
      </w:pPr>
      <w:hyperlink w:history="true" w:anchor="_bookmark76">
        <w:r>
          <w:rPr>
            <w:color w:val="231F20"/>
          </w:rPr>
          <w:t>“Adding</w:t>
        </w:r>
        <w:r>
          <w:rPr>
            <w:color w:val="231F20"/>
            <w:spacing w:val="8"/>
          </w:rPr>
          <w:t> </w:t>
        </w:r>
        <w:r>
          <w:rPr>
            <w:color w:val="231F20"/>
          </w:rPr>
          <w:t>column</w:t>
        </w:r>
        <w:r>
          <w:rPr>
            <w:color w:val="231F20"/>
            <w:spacing w:val="9"/>
          </w:rPr>
          <w:t> </w:t>
        </w:r>
        <w:r>
          <w:rPr>
            <w:color w:val="231F20"/>
          </w:rPr>
          <w:t>thresholds”</w:t>
        </w:r>
        <w:r>
          <w:rPr>
            <w:color w:val="231F20"/>
            <w:spacing w:val="9"/>
          </w:rPr>
          <w:t> </w:t>
        </w:r>
        <w:r>
          <w:rPr>
            <w:color w:val="231F20"/>
          </w:rPr>
          <w:t>on</w:t>
        </w:r>
        <w:r>
          <w:rPr>
            <w:color w:val="231F20"/>
            <w:spacing w:val="9"/>
          </w:rPr>
          <w:t> </w:t>
        </w:r>
        <w:r>
          <w:rPr>
            <w:color w:val="231F20"/>
          </w:rPr>
          <w:t>page</w:t>
        </w:r>
        <w:r>
          <w:rPr>
            <w:color w:val="231F20"/>
            <w:spacing w:val="9"/>
          </w:rPr>
          <w:t> </w:t>
        </w:r>
        <w:r>
          <w:rPr>
            <w:color w:val="231F20"/>
            <w:spacing w:val="-5"/>
          </w:rPr>
          <w:t>99</w:t>
        </w:r>
      </w:hyperlink>
    </w:p>
    <w:p>
      <w:pPr>
        <w:pStyle w:val="BodyText"/>
        <w:spacing w:line="213" w:lineRule="auto" w:before="8"/>
        <w:ind w:left="2472" w:right="479"/>
        <w:jc w:val="both"/>
      </w:pPr>
      <w:r>
        <w:rPr>
          <w:color w:val="231F20"/>
        </w:rPr>
        <w:t>You can decorate a cell in the table view (including event console, message log, and universal message views) with a background color, severity icon, or </w:t>
      </w:r>
      <w:r>
        <w:rPr>
          <w:color w:val="231F20"/>
        </w:rPr>
        <w:t>custom icon when the value exceeds a given threshold.</w:t>
      </w:r>
    </w:p>
    <w:p>
      <w:pPr>
        <w:pStyle w:val="Heading3"/>
        <w:spacing w:before="216"/>
        <w:ind w:left="1574"/>
      </w:pPr>
      <w:bookmarkStart w:name="Adding a Universal Message Console view" w:id="231"/>
      <w:bookmarkEnd w:id="231"/>
      <w:r>
        <w:rPr>
          <w:b w:val="0"/>
        </w:rPr>
      </w:r>
      <w:r>
        <w:rPr>
          <w:color w:val="231F20"/>
        </w:rPr>
        <w:t>Adding</w:t>
      </w:r>
      <w:r>
        <w:rPr>
          <w:color w:val="231F20"/>
          <w:spacing w:val="5"/>
        </w:rPr>
        <w:t> </w:t>
      </w:r>
      <w:r>
        <w:rPr>
          <w:color w:val="231F20"/>
        </w:rPr>
        <w:t>a</w:t>
      </w:r>
      <w:r>
        <w:rPr>
          <w:color w:val="231F20"/>
          <w:spacing w:val="6"/>
        </w:rPr>
        <w:t> </w:t>
      </w:r>
      <w:r>
        <w:rPr>
          <w:color w:val="231F20"/>
        </w:rPr>
        <w:t>Universal</w:t>
      </w:r>
      <w:r>
        <w:rPr>
          <w:color w:val="231F20"/>
          <w:spacing w:val="6"/>
        </w:rPr>
        <w:t> </w:t>
      </w:r>
      <w:r>
        <w:rPr>
          <w:color w:val="231F20"/>
        </w:rPr>
        <w:t>Message</w:t>
      </w:r>
      <w:r>
        <w:rPr>
          <w:color w:val="231F20"/>
          <w:spacing w:val="5"/>
        </w:rPr>
        <w:t> </w:t>
      </w:r>
      <w:r>
        <w:rPr>
          <w:color w:val="231F20"/>
        </w:rPr>
        <w:t>Console</w:t>
      </w:r>
      <w:r>
        <w:rPr>
          <w:color w:val="231F20"/>
          <w:spacing w:val="6"/>
        </w:rPr>
        <w:t> </w:t>
      </w:r>
      <w:r>
        <w:rPr>
          <w:color w:val="231F20"/>
          <w:spacing w:val="-4"/>
        </w:rPr>
        <w:t>view</w:t>
      </w:r>
    </w:p>
    <w:p>
      <w:pPr>
        <w:pStyle w:val="BodyText"/>
        <w:spacing w:line="213" w:lineRule="auto" w:before="58"/>
        <w:ind w:left="2472"/>
      </w:pPr>
      <w:r>
        <w:rPr>
          <w:color w:val="231F20"/>
        </w:rPr>
        <w:t>Create a Universal Message Console view to see the messages produced at the hub Tivoli Enterprise Monitoring Server.</w:t>
      </w:r>
    </w:p>
    <w:p>
      <w:pPr>
        <w:pStyle w:val="BodyText"/>
        <w:spacing w:line="213" w:lineRule="auto" w:before="239"/>
        <w:ind w:left="2472" w:right="385"/>
      </w:pPr>
      <w:r>
        <w:rPr>
          <w:color w:val="231F20"/>
        </w:rPr>
        <w:t>Situation and policy activities generate universal messages, such as when a situation has been created or deleted or a policy has been activated. The </w:t>
      </w:r>
      <w:r>
        <w:rPr>
          <w:color w:val="231F20"/>
        </w:rPr>
        <w:t>universal message console displays messages as they are received, one row per message.</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2472"/>
      </w:pPr>
      <w:r>
        <w:rPr>
          <w:color w:val="231F20"/>
          <w:spacing w:val="-2"/>
        </w:rPr>
        <w:t>Procedure</w:t>
      </w:r>
    </w:p>
    <w:p>
      <w:pPr>
        <w:pStyle w:val="ListParagraph"/>
        <w:numPr>
          <w:ilvl w:val="0"/>
          <w:numId w:val="65"/>
        </w:numPr>
        <w:tabs>
          <w:tab w:pos="2787" w:val="left" w:leader="none"/>
        </w:tabs>
        <w:spacing w:line="240" w:lineRule="auto" w:before="38" w:after="0"/>
        <w:ind w:left="2787" w:right="0" w:hanging="315"/>
        <w:jc w:val="left"/>
        <w:rPr>
          <w:sz w:val="20"/>
        </w:rPr>
      </w:pPr>
      <w:r>
        <w:rPr>
          <w:color w:val="231F20"/>
          <w:sz w:val="20"/>
        </w:rPr>
        <w:t>Open</w:t>
      </w:r>
      <w:r>
        <w:rPr>
          <w:color w:val="231F20"/>
          <w:spacing w:val="11"/>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the</w:t>
      </w:r>
      <w:r>
        <w:rPr>
          <w:color w:val="231F20"/>
          <w:spacing w:val="12"/>
          <w:sz w:val="20"/>
        </w:rPr>
        <w:t> </w:t>
      </w:r>
      <w:r>
        <w:rPr>
          <w:color w:val="231F20"/>
          <w:sz w:val="20"/>
        </w:rPr>
        <w:t>view</w:t>
      </w:r>
      <w:r>
        <w:rPr>
          <w:color w:val="231F20"/>
          <w:spacing w:val="11"/>
          <w:sz w:val="20"/>
        </w:rPr>
        <w:t> </w:t>
      </w:r>
      <w:r>
        <w:rPr>
          <w:color w:val="231F20"/>
          <w:sz w:val="20"/>
        </w:rPr>
        <w:t>to</w:t>
      </w:r>
      <w:r>
        <w:rPr>
          <w:color w:val="231F20"/>
          <w:spacing w:val="11"/>
          <w:sz w:val="20"/>
        </w:rPr>
        <w:t> </w:t>
      </w:r>
      <w:r>
        <w:rPr>
          <w:color w:val="231F20"/>
          <w:spacing w:val="-2"/>
          <w:sz w:val="20"/>
        </w:rPr>
        <w:t>appear.</w:t>
      </w:r>
    </w:p>
    <w:p>
      <w:pPr>
        <w:pStyle w:val="ListParagraph"/>
        <w:numPr>
          <w:ilvl w:val="0"/>
          <w:numId w:val="65"/>
        </w:numPr>
        <w:tabs>
          <w:tab w:pos="2787" w:val="left" w:leader="none"/>
        </w:tabs>
        <w:spacing w:line="255" w:lineRule="exact" w:before="30" w:after="0"/>
        <w:ind w:left="2787" w:right="0" w:hanging="315"/>
        <w:jc w:val="left"/>
        <w:rPr>
          <w:sz w:val="20"/>
        </w:rPr>
      </w:pPr>
      <w:r>
        <w:rPr>
          <w:color w:val="231F20"/>
          <w:sz w:val="20"/>
        </w:rPr>
        <w:t>If</w:t>
      </w:r>
      <w:r>
        <w:rPr>
          <w:color w:val="231F20"/>
          <w:spacing w:val="14"/>
          <w:sz w:val="20"/>
        </w:rPr>
        <w:t> </w:t>
      </w:r>
      <w:r>
        <w:rPr>
          <w:color w:val="231F20"/>
          <w:sz w:val="20"/>
        </w:rPr>
        <w:t>you</w:t>
      </w:r>
      <w:r>
        <w:rPr>
          <w:color w:val="231F20"/>
          <w:spacing w:val="14"/>
          <w:sz w:val="20"/>
        </w:rPr>
        <w:t> </w:t>
      </w:r>
      <w:r>
        <w:rPr>
          <w:color w:val="231F20"/>
          <w:sz w:val="20"/>
        </w:rPr>
        <w:t>want</w:t>
      </w:r>
      <w:r>
        <w:rPr>
          <w:color w:val="231F20"/>
          <w:spacing w:val="14"/>
          <w:sz w:val="20"/>
        </w:rPr>
        <w:t> </w:t>
      </w:r>
      <w:r>
        <w:rPr>
          <w:color w:val="231F20"/>
          <w:sz w:val="20"/>
        </w:rPr>
        <w:t>the</w:t>
      </w:r>
      <w:r>
        <w:rPr>
          <w:color w:val="231F20"/>
          <w:spacing w:val="14"/>
          <w:sz w:val="20"/>
        </w:rPr>
        <w:t> </w:t>
      </w:r>
      <w:r>
        <w:rPr>
          <w:color w:val="231F20"/>
          <w:sz w:val="20"/>
        </w:rPr>
        <w:t>view</w:t>
      </w:r>
      <w:r>
        <w:rPr>
          <w:color w:val="231F20"/>
          <w:spacing w:val="14"/>
          <w:sz w:val="20"/>
        </w:rPr>
        <w:t> </w:t>
      </w:r>
      <w:r>
        <w:rPr>
          <w:color w:val="231F20"/>
          <w:sz w:val="20"/>
        </w:rPr>
        <w:t>to</w:t>
      </w:r>
      <w:r>
        <w:rPr>
          <w:color w:val="231F20"/>
          <w:spacing w:val="14"/>
          <w:sz w:val="20"/>
        </w:rPr>
        <w:t> </w:t>
      </w:r>
      <w:r>
        <w:rPr>
          <w:color w:val="231F20"/>
          <w:sz w:val="20"/>
        </w:rPr>
        <w:t>occupy</w:t>
      </w:r>
      <w:r>
        <w:rPr>
          <w:color w:val="231F20"/>
          <w:spacing w:val="14"/>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pane,</w:t>
      </w:r>
      <w:r>
        <w:rPr>
          <w:color w:val="231F20"/>
          <w:spacing w:val="14"/>
          <w:sz w:val="20"/>
        </w:rPr>
        <w:t> </w:t>
      </w:r>
      <w:r>
        <w:rPr>
          <w:color w:val="231F20"/>
          <w:sz w:val="20"/>
        </w:rPr>
        <w:t>click</w:t>
      </w:r>
      <w:r>
        <w:rPr>
          <w:color w:val="231F20"/>
          <w:spacing w:val="32"/>
          <w:sz w:val="20"/>
        </w:rPr>
        <w:t> </w:t>
      </w:r>
      <w:r>
        <w:rPr>
          <w:color w:val="231F20"/>
          <w:spacing w:val="-15"/>
          <w:position w:val="-1"/>
          <w:sz w:val="20"/>
        </w:rPr>
        <w:drawing>
          <wp:inline distT="0" distB="0" distL="0" distR="0">
            <wp:extent cx="88900" cy="88900"/>
            <wp:effectExtent l="0" t="0" r="0" b="0"/>
            <wp:docPr id="1405" name="Image 1405"/>
            <wp:cNvGraphicFramePr>
              <a:graphicFrameLocks/>
            </wp:cNvGraphicFramePr>
            <a:graphic>
              <a:graphicData uri="http://schemas.openxmlformats.org/drawingml/2006/picture">
                <pic:pic>
                  <pic:nvPicPr>
                    <pic:cNvPr id="1405" name="Image 1405"/>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6"/>
          <w:sz w:val="20"/>
        </w:rPr>
        <w:t> </w:t>
      </w:r>
      <w:r>
        <w:rPr>
          <w:rFonts w:ascii="Book Antiqua"/>
          <w:b/>
          <w:color w:val="231F20"/>
          <w:sz w:val="20"/>
        </w:rPr>
        <w:t>Split</w:t>
      </w:r>
      <w:r>
        <w:rPr>
          <w:rFonts w:ascii="Book Antiqua"/>
          <w:b/>
          <w:color w:val="231F20"/>
          <w:spacing w:val="14"/>
          <w:sz w:val="20"/>
        </w:rPr>
        <w:t> </w:t>
      </w:r>
      <w:r>
        <w:rPr>
          <w:rFonts w:ascii="Book Antiqua"/>
          <w:b/>
          <w:color w:val="231F20"/>
          <w:sz w:val="20"/>
        </w:rPr>
        <w:t>Vertically</w:t>
      </w:r>
      <w:r>
        <w:rPr>
          <w:rFonts w:ascii="Book Antiqua"/>
          <w:b/>
          <w:color w:val="231F20"/>
          <w:spacing w:val="14"/>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406" name="Image 1406"/>
            <wp:cNvGraphicFramePr>
              <a:graphicFrameLocks/>
            </wp:cNvGraphicFramePr>
            <a:graphic>
              <a:graphicData uri="http://schemas.openxmlformats.org/drawingml/2006/picture">
                <pic:pic>
                  <pic:nvPicPr>
                    <pic:cNvPr id="1406" name="Image 1406"/>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p>
    <w:p>
      <w:pPr>
        <w:spacing w:line="255" w:lineRule="exact" w:before="0"/>
        <w:ind w:left="2788" w:right="0" w:firstLine="0"/>
        <w:jc w:val="left"/>
        <w:rPr>
          <w:sz w:val="20"/>
        </w:rPr>
      </w:pPr>
      <w:r>
        <w:rPr>
          <w:rFonts w:ascii="Book Antiqua"/>
          <w:b/>
          <w:color w:val="231F20"/>
          <w:sz w:val="20"/>
        </w:rPr>
        <w:t>Split</w:t>
      </w:r>
      <w:r>
        <w:rPr>
          <w:rFonts w:ascii="Book Antiqua"/>
          <w:b/>
          <w:color w:val="231F20"/>
          <w:spacing w:val="11"/>
          <w:sz w:val="20"/>
        </w:rPr>
        <w:t> </w:t>
      </w:r>
      <w:r>
        <w:rPr>
          <w:rFonts w:ascii="Book Antiqua"/>
          <w:b/>
          <w:color w:val="231F20"/>
          <w:sz w:val="20"/>
        </w:rPr>
        <w:t>Horizontally</w:t>
      </w:r>
      <w:r>
        <w:rPr>
          <w:rFonts w:ascii="Book Antiqua"/>
          <w:b/>
          <w:color w:val="231F20"/>
          <w:spacing w:val="12"/>
          <w:sz w:val="20"/>
        </w:rPr>
        <w:t> </w:t>
      </w:r>
      <w:r>
        <w:rPr>
          <w:color w:val="231F20"/>
          <w:sz w:val="20"/>
        </w:rPr>
        <w:t>in</w:t>
      </w:r>
      <w:r>
        <w:rPr>
          <w:color w:val="231F20"/>
          <w:spacing w:val="12"/>
          <w:sz w:val="20"/>
        </w:rPr>
        <w:t> </w:t>
      </w:r>
      <w:r>
        <w:rPr>
          <w:color w:val="231F20"/>
          <w:sz w:val="20"/>
        </w:rPr>
        <w:t>one</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pacing w:val="-2"/>
          <w:sz w:val="20"/>
        </w:rPr>
        <w:t>views.</w:t>
      </w:r>
    </w:p>
    <w:p>
      <w:pPr>
        <w:pStyle w:val="ListParagraph"/>
        <w:numPr>
          <w:ilvl w:val="0"/>
          <w:numId w:val="65"/>
        </w:numPr>
        <w:tabs>
          <w:tab w:pos="2787" w:val="left" w:leader="none"/>
        </w:tabs>
        <w:spacing w:line="240" w:lineRule="auto" w:before="29" w:after="0"/>
        <w:ind w:left="2787" w:right="0" w:hanging="315"/>
        <w:jc w:val="left"/>
        <w:rPr>
          <w:sz w:val="20"/>
        </w:rPr>
      </w:pPr>
      <w:r>
        <w:rPr>
          <w:color w:val="231F20"/>
          <w:sz w:val="20"/>
        </w:rPr>
        <w:t>Click</w:t>
      </w:r>
      <w:r>
        <w:rPr>
          <w:color w:val="231F20"/>
          <w:spacing w:val="6"/>
          <w:sz w:val="20"/>
        </w:rPr>
        <w:t> </w:t>
      </w:r>
      <w:r>
        <w:rPr>
          <w:color w:val="231F20"/>
          <w:spacing w:val="16"/>
          <w:position w:val="-1"/>
          <w:sz w:val="20"/>
        </w:rPr>
        <w:drawing>
          <wp:inline distT="0" distB="0" distL="0" distR="0">
            <wp:extent cx="101600" cy="101600"/>
            <wp:effectExtent l="0" t="0" r="0" b="0"/>
            <wp:docPr id="1407" name="Image 1407"/>
            <wp:cNvGraphicFramePr>
              <a:graphicFrameLocks/>
            </wp:cNvGraphicFramePr>
            <a:graphic>
              <a:graphicData uri="http://schemas.openxmlformats.org/drawingml/2006/picture">
                <pic:pic>
                  <pic:nvPicPr>
                    <pic:cNvPr id="1407" name="Image 1407"/>
                    <pic:cNvPicPr/>
                  </pic:nvPicPr>
                  <pic:blipFill>
                    <a:blip r:embed="rId5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Universal</w:t>
      </w:r>
      <w:r>
        <w:rPr>
          <w:rFonts w:ascii="Book Antiqua"/>
          <w:b/>
          <w:color w:val="231F20"/>
          <w:spacing w:val="10"/>
          <w:sz w:val="20"/>
        </w:rPr>
        <w:t> </w:t>
      </w:r>
      <w:r>
        <w:rPr>
          <w:rFonts w:ascii="Book Antiqua"/>
          <w:b/>
          <w:color w:val="231F20"/>
          <w:sz w:val="20"/>
        </w:rPr>
        <w:t>Message</w:t>
      </w:r>
      <w:r>
        <w:rPr>
          <w:rFonts w:ascii="Book Antiqua"/>
          <w:b/>
          <w:color w:val="231F20"/>
          <w:spacing w:val="10"/>
          <w:sz w:val="20"/>
        </w:rPr>
        <w:t> </w:t>
      </w:r>
      <w:r>
        <w:rPr>
          <w:rFonts w:ascii="Book Antiqua"/>
          <w:b/>
          <w:color w:val="231F20"/>
          <w:spacing w:val="-2"/>
          <w:sz w:val="20"/>
        </w:rPr>
        <w:t>Console</w:t>
      </w:r>
      <w:r>
        <w:rPr>
          <w:color w:val="231F20"/>
          <w:spacing w:val="-2"/>
          <w:sz w:val="20"/>
        </w:rPr>
        <w:t>.</w:t>
      </w:r>
    </w:p>
    <w:p>
      <w:pPr>
        <w:pStyle w:val="ListParagraph"/>
        <w:numPr>
          <w:ilvl w:val="0"/>
          <w:numId w:val="65"/>
        </w:numPr>
        <w:tabs>
          <w:tab w:pos="2787" w:val="left" w:leader="none"/>
        </w:tabs>
        <w:spacing w:line="240" w:lineRule="auto" w:before="30" w:after="0"/>
        <w:ind w:left="2787" w:right="0" w:hanging="315"/>
        <w:jc w:val="left"/>
        <w:rPr>
          <w:sz w:val="20"/>
        </w:rPr>
      </w:pPr>
      <w:r>
        <w:rPr>
          <w:color w:val="231F20"/>
          <w:sz w:val="20"/>
        </w:rPr>
        <w:t>Click</w:t>
      </w:r>
      <w:r>
        <w:rPr>
          <w:color w:val="231F20"/>
          <w:spacing w:val="8"/>
          <w:sz w:val="20"/>
        </w:rPr>
        <w:t> </w:t>
      </w:r>
      <w:r>
        <w:rPr>
          <w:color w:val="231F20"/>
          <w:sz w:val="20"/>
        </w:rPr>
        <w:t>inside</w:t>
      </w:r>
      <w:r>
        <w:rPr>
          <w:color w:val="231F20"/>
          <w:spacing w:val="11"/>
          <w:sz w:val="20"/>
        </w:rPr>
        <w:t> </w:t>
      </w:r>
      <w:r>
        <w:rPr>
          <w:color w:val="231F20"/>
          <w:sz w:val="20"/>
        </w:rPr>
        <w:t>the</w:t>
      </w:r>
      <w:r>
        <w:rPr>
          <w:color w:val="231F20"/>
          <w:spacing w:val="11"/>
          <w:sz w:val="20"/>
        </w:rPr>
        <w:t> </w:t>
      </w:r>
      <w:r>
        <w:rPr>
          <w:color w:val="231F20"/>
          <w:sz w:val="20"/>
        </w:rPr>
        <w:t>view</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z w:val="20"/>
        </w:rPr>
        <w:t>universal</w:t>
      </w:r>
      <w:r>
        <w:rPr>
          <w:color w:val="231F20"/>
          <w:spacing w:val="11"/>
          <w:sz w:val="20"/>
        </w:rPr>
        <w:t> </w:t>
      </w:r>
      <w:r>
        <w:rPr>
          <w:color w:val="231F20"/>
          <w:sz w:val="20"/>
        </w:rPr>
        <w:t>message</w:t>
      </w:r>
      <w:r>
        <w:rPr>
          <w:color w:val="231F20"/>
          <w:spacing w:val="11"/>
          <w:sz w:val="20"/>
        </w:rPr>
        <w:t> </w:t>
      </w:r>
      <w:r>
        <w:rPr>
          <w:color w:val="231F20"/>
          <w:spacing w:val="-2"/>
          <w:sz w:val="20"/>
        </w:rPr>
        <w:t>console.</w:t>
      </w:r>
    </w:p>
    <w:p>
      <w:pPr>
        <w:pStyle w:val="Heading4"/>
        <w:spacing w:before="194"/>
        <w:ind w:left="2472"/>
      </w:pPr>
      <w:r>
        <w:rPr>
          <w:color w:val="231F20"/>
          <w:spacing w:val="-2"/>
        </w:rPr>
        <w:t>Results</w:t>
      </w:r>
    </w:p>
    <w:p>
      <w:pPr>
        <w:pStyle w:val="BodyText"/>
        <w:spacing w:line="213" w:lineRule="auto" w:before="241"/>
        <w:ind w:left="2472" w:right="493"/>
      </w:pPr>
      <w:r>
        <w:rPr>
          <w:color w:val="231F20"/>
        </w:rPr>
        <w:t>After you click, the old view is replaced by the universal message console. The view is updated as messages are received by the hub monitoring server from </w:t>
      </w:r>
      <w:r>
        <w:rPr>
          <w:color w:val="231F20"/>
        </w:rPr>
        <w:t>the managed systems assigned to this Navigator item. Universal messages that are produced at other locations, such as a remote monitoring server or an agent, are not displayed.</w:t>
      </w:r>
    </w:p>
    <w:p>
      <w:pPr>
        <w:pStyle w:val="Heading4"/>
        <w:spacing w:before="198"/>
        <w:ind w:left="2472"/>
      </w:pPr>
      <w:r>
        <w:rPr>
          <w:color w:val="231F20"/>
          <w:spacing w:val="-2"/>
        </w:rPr>
        <w:t>Example</w:t>
      </w:r>
    </w:p>
    <w:p>
      <w:pPr>
        <w:pStyle w:val="BodyText"/>
        <w:spacing w:line="213" w:lineRule="auto" w:before="241"/>
        <w:ind w:left="2472" w:right="385"/>
      </w:pPr>
      <w:r>
        <w:rPr>
          <w:color w:val="231F20"/>
        </w:rPr>
        <w:t>In this example, notice that the most recent entry shows a generated value </w:t>
      </w:r>
      <w:r>
        <w:rPr>
          <w:color w:val="231F20"/>
        </w:rPr>
        <w:t>rather than the situation name. In most cases the situation ID will reflect its display</w:t>
      </w:r>
    </w:p>
    <w:p>
      <w:pPr>
        <w:spacing w:after="0" w:line="213" w:lineRule="auto"/>
        <w:sectPr>
          <w:pgSz w:w="12240" w:h="15840"/>
          <w:pgMar w:header="0" w:footer="736" w:top="1180" w:bottom="920" w:left="1000" w:right="1060"/>
        </w:sectPr>
      </w:pPr>
    </w:p>
    <w:p>
      <w:pPr>
        <w:pStyle w:val="BodyText"/>
        <w:spacing w:line="213" w:lineRule="auto" w:before="85"/>
        <w:ind w:left="2232" w:right="493"/>
      </w:pPr>
      <w:bookmarkStart w:name="_bookmark108" w:id="232"/>
      <w:bookmarkEnd w:id="232"/>
      <w:r>
        <w:rPr/>
      </w:r>
      <w:r>
        <w:rPr>
          <w:color w:val="231F20"/>
        </w:rPr>
        <w:t>name, but when the name contains non-English text or special characters such as </w:t>
      </w:r>
      <w:r>
        <w:rPr>
          <w:color w:val="231F20"/>
        </w:rPr>
        <w:t>* asterisk and \ backslash, the situation ID will be a generated value.</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286"/>
        <w:gridCol w:w="3662"/>
        <w:gridCol w:w="1301"/>
        <w:gridCol w:w="1286"/>
      </w:tblGrid>
      <w:tr>
        <w:trPr>
          <w:trHeight w:val="274" w:hRule="atLeast"/>
        </w:trPr>
        <w:tc>
          <w:tcPr>
            <w:tcW w:w="1286" w:type="dxa"/>
          </w:tcPr>
          <w:p>
            <w:pPr>
              <w:pStyle w:val="TableParagraph"/>
              <w:spacing w:before="10"/>
              <w:ind w:left="44"/>
              <w:rPr>
                <w:rFonts w:ascii="Book Antiqua"/>
                <w:b/>
                <w:sz w:val="18"/>
              </w:rPr>
            </w:pPr>
            <w:r>
              <w:rPr>
                <w:rFonts w:ascii="Book Antiqua"/>
                <w:b/>
                <w:color w:val="231F20"/>
                <w:sz w:val="18"/>
              </w:rPr>
              <w:t>Time</w:t>
            </w:r>
            <w:r>
              <w:rPr>
                <w:rFonts w:ascii="Book Antiqua"/>
                <w:b/>
                <w:color w:val="231F20"/>
                <w:spacing w:val="-1"/>
                <w:sz w:val="18"/>
              </w:rPr>
              <w:t> </w:t>
            </w:r>
            <w:r>
              <w:rPr>
                <w:rFonts w:ascii="Book Antiqua"/>
                <w:b/>
                <w:color w:val="231F20"/>
                <w:spacing w:val="-4"/>
                <w:sz w:val="18"/>
              </w:rPr>
              <w:t>Stamp</w:t>
            </w:r>
          </w:p>
        </w:tc>
        <w:tc>
          <w:tcPr>
            <w:tcW w:w="3662" w:type="dxa"/>
          </w:tcPr>
          <w:p>
            <w:pPr>
              <w:pStyle w:val="TableParagraph"/>
              <w:spacing w:before="10"/>
              <w:rPr>
                <w:rFonts w:ascii="Book Antiqua"/>
                <w:b/>
                <w:sz w:val="18"/>
              </w:rPr>
            </w:pPr>
            <w:r>
              <w:rPr>
                <w:rFonts w:ascii="Book Antiqua"/>
                <w:b/>
                <w:color w:val="231F20"/>
                <w:spacing w:val="-2"/>
                <w:sz w:val="18"/>
              </w:rPr>
              <w:t>Message</w:t>
            </w:r>
          </w:p>
        </w:tc>
        <w:tc>
          <w:tcPr>
            <w:tcW w:w="1301" w:type="dxa"/>
          </w:tcPr>
          <w:p>
            <w:pPr>
              <w:pStyle w:val="TableParagraph"/>
              <w:spacing w:before="10"/>
              <w:rPr>
                <w:rFonts w:ascii="Book Antiqua"/>
                <w:b/>
                <w:sz w:val="18"/>
              </w:rPr>
            </w:pPr>
            <w:r>
              <w:rPr>
                <w:rFonts w:ascii="Book Antiqua"/>
                <w:b/>
                <w:color w:val="231F20"/>
                <w:spacing w:val="-2"/>
                <w:sz w:val="18"/>
              </w:rPr>
              <w:t>Severity</w:t>
            </w:r>
          </w:p>
        </w:tc>
        <w:tc>
          <w:tcPr>
            <w:tcW w:w="1286" w:type="dxa"/>
          </w:tcPr>
          <w:p>
            <w:pPr>
              <w:pStyle w:val="TableParagraph"/>
              <w:spacing w:before="10"/>
              <w:ind w:left="58"/>
              <w:rPr>
                <w:rFonts w:ascii="Book Antiqua"/>
                <w:b/>
                <w:sz w:val="18"/>
              </w:rPr>
            </w:pPr>
            <w:r>
              <w:rPr>
                <w:rFonts w:ascii="Book Antiqua"/>
                <w:b/>
                <w:color w:val="231F20"/>
                <w:spacing w:val="-2"/>
                <w:sz w:val="18"/>
              </w:rPr>
              <w:t>Category</w:t>
            </w:r>
          </w:p>
        </w:tc>
      </w:tr>
      <w:tr>
        <w:trPr>
          <w:trHeight w:val="748"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10:37:32</w:t>
            </w:r>
          </w:p>
        </w:tc>
        <w:tc>
          <w:tcPr>
            <w:tcW w:w="3662" w:type="dxa"/>
          </w:tcPr>
          <w:p>
            <w:pPr>
              <w:pStyle w:val="TableParagraph"/>
              <w:spacing w:line="216" w:lineRule="auto" w:before="44"/>
              <w:rPr>
                <w:sz w:val="18"/>
              </w:rPr>
            </w:pPr>
            <w:r>
              <w:rPr>
                <w:color w:val="231F20"/>
                <w:sz w:val="18"/>
              </w:rPr>
              <w:t>Enterprise situation </w:t>
            </w:r>
            <w:r>
              <w:rPr>
                <w:color w:val="231F20"/>
                <w:spacing w:val="-2"/>
                <w:sz w:val="18"/>
              </w:rPr>
              <w:t>Z00000008000000C8AA5E7D5119420F:</w:t>
            </w:r>
          </w:p>
          <w:p>
            <w:pPr>
              <w:pStyle w:val="TableParagraph"/>
              <w:spacing w:line="226" w:lineRule="exact" w:before="0"/>
              <w:rPr>
                <w:sz w:val="18"/>
              </w:rPr>
            </w:pPr>
            <w:r>
              <w:rPr>
                <w:color w:val="231F20"/>
                <w:sz w:val="18"/>
              </w:rPr>
              <w:t>HUB_MYSERVER</w:t>
            </w:r>
            <w:r>
              <w:rPr>
                <w:color w:val="231F20"/>
                <w:spacing w:val="1"/>
                <w:sz w:val="18"/>
              </w:rPr>
              <w:t> </w:t>
            </w:r>
            <w:r>
              <w:rPr>
                <w:color w:val="231F20"/>
                <w:sz w:val="18"/>
              </w:rPr>
              <w:t>is</w:t>
            </w:r>
            <w:r>
              <w:rPr>
                <w:color w:val="231F20"/>
                <w:spacing w:val="1"/>
                <w:sz w:val="18"/>
              </w:rPr>
              <w:t> </w:t>
            </w:r>
            <w:r>
              <w:rPr>
                <w:color w:val="231F20"/>
                <w:spacing w:val="-4"/>
                <w:sz w:val="18"/>
              </w:rPr>
              <w:t>true</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K041041</w:t>
            </w:r>
          </w:p>
        </w:tc>
      </w:tr>
      <w:tr>
        <w:trPr>
          <w:trHeight w:val="748"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07:10:00</w:t>
            </w:r>
          </w:p>
        </w:tc>
        <w:tc>
          <w:tcPr>
            <w:tcW w:w="3662" w:type="dxa"/>
          </w:tcPr>
          <w:p>
            <w:pPr>
              <w:pStyle w:val="TableParagraph"/>
              <w:spacing w:line="216" w:lineRule="auto" w:before="44"/>
              <w:ind w:right="91"/>
              <w:rPr>
                <w:sz w:val="18"/>
              </w:rPr>
            </w:pPr>
            <w:r>
              <w:rPr>
                <w:color w:val="231F20"/>
                <w:sz w:val="18"/>
              </w:rPr>
              <w:t>Enterprise situation </w:t>
            </w:r>
            <w:r>
              <w:rPr>
                <w:color w:val="231F20"/>
                <w:spacing w:val="-2"/>
                <w:sz w:val="18"/>
              </w:rPr>
              <w:t>Blue_alert_at_Rome:HUB_MYSERVER </w:t>
            </w:r>
            <w:r>
              <w:rPr>
                <w:color w:val="231F20"/>
                <w:spacing w:val="-2"/>
                <w:sz w:val="18"/>
              </w:rPr>
              <w:t>is </w:t>
            </w:r>
            <w:r>
              <w:rPr>
                <w:color w:val="231F20"/>
                <w:spacing w:val="-4"/>
                <w:sz w:val="18"/>
              </w:rPr>
              <w:t>true</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K041041</w:t>
            </w:r>
          </w:p>
        </w:tc>
      </w:tr>
      <w:tr>
        <w:trPr>
          <w:trHeight w:val="528"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3:50:56</w:t>
            </w:r>
          </w:p>
        </w:tc>
        <w:tc>
          <w:tcPr>
            <w:tcW w:w="3662" w:type="dxa"/>
          </w:tcPr>
          <w:p>
            <w:pPr>
              <w:pStyle w:val="TableParagraph"/>
              <w:rPr>
                <w:sz w:val="18"/>
              </w:rPr>
            </w:pPr>
            <w:r>
              <w:rPr>
                <w:color w:val="231F20"/>
                <w:sz w:val="18"/>
              </w:rPr>
              <w:t>User</w:t>
            </w:r>
            <w:r>
              <w:rPr>
                <w:color w:val="231F20"/>
                <w:spacing w:val="9"/>
                <w:sz w:val="18"/>
              </w:rPr>
              <w:t> </w:t>
            </w:r>
            <w:r>
              <w:rPr>
                <w:color w:val="231F20"/>
                <w:sz w:val="18"/>
              </w:rPr>
              <w:t>guest</w:t>
            </w:r>
            <w:r>
              <w:rPr>
                <w:color w:val="231F20"/>
                <w:spacing w:val="9"/>
                <w:sz w:val="18"/>
              </w:rPr>
              <w:t> </w:t>
            </w:r>
            <w:r>
              <w:rPr>
                <w:color w:val="231F20"/>
                <w:sz w:val="18"/>
              </w:rPr>
              <w:t>logged</w:t>
            </w:r>
            <w:r>
              <w:rPr>
                <w:color w:val="231F20"/>
                <w:spacing w:val="9"/>
                <w:sz w:val="18"/>
              </w:rPr>
              <w:t> </w:t>
            </w:r>
            <w:r>
              <w:rPr>
                <w:color w:val="231F20"/>
                <w:sz w:val="18"/>
              </w:rPr>
              <w:t>off</w:t>
            </w:r>
            <w:r>
              <w:rPr>
                <w:color w:val="231F20"/>
                <w:spacing w:val="9"/>
                <w:sz w:val="18"/>
              </w:rPr>
              <w:t> </w:t>
            </w:r>
            <w:r>
              <w:rPr>
                <w:color w:val="231F20"/>
                <w:sz w:val="18"/>
              </w:rPr>
              <w:t>server</w:t>
            </w:r>
            <w:r>
              <w:rPr>
                <w:color w:val="231F20"/>
                <w:spacing w:val="9"/>
                <w:sz w:val="18"/>
              </w:rPr>
              <w:t> </w:t>
            </w:r>
            <w:r>
              <w:rPr>
                <w:color w:val="231F20"/>
                <w:spacing w:val="-2"/>
                <w:sz w:val="18"/>
              </w:rPr>
              <w:t>SRVR01</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KDSMA009</w:t>
            </w:r>
          </w:p>
        </w:tc>
      </w:tr>
      <w:tr>
        <w:trPr>
          <w:trHeight w:val="528"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3:50:45</w:t>
            </w:r>
          </w:p>
        </w:tc>
        <w:tc>
          <w:tcPr>
            <w:tcW w:w="3662" w:type="dxa"/>
          </w:tcPr>
          <w:p>
            <w:pPr>
              <w:pStyle w:val="TableParagraph"/>
              <w:spacing w:line="216" w:lineRule="auto" w:before="44"/>
              <w:rPr>
                <w:sz w:val="18"/>
              </w:rPr>
            </w:pPr>
            <w:r>
              <w:rPr>
                <w:color w:val="231F20"/>
                <w:sz w:val="18"/>
              </w:rPr>
              <w:t>Monitoring for enterprise </w:t>
            </w:r>
            <w:r>
              <w:rPr>
                <w:color w:val="231F20"/>
                <w:sz w:val="18"/>
              </w:rPr>
              <w:t>situation NT_System_File_Warning started.</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KO41046</w:t>
            </w:r>
          </w:p>
        </w:tc>
      </w:tr>
      <w:tr>
        <w:trPr>
          <w:trHeight w:val="748"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3:50:44</w:t>
            </w:r>
          </w:p>
        </w:tc>
        <w:tc>
          <w:tcPr>
            <w:tcW w:w="3662" w:type="dxa"/>
          </w:tcPr>
          <w:p>
            <w:pPr>
              <w:pStyle w:val="TableParagraph"/>
              <w:spacing w:line="216" w:lineRule="auto" w:before="44"/>
              <w:rPr>
                <w:sz w:val="18"/>
              </w:rPr>
            </w:pPr>
            <w:r>
              <w:rPr>
                <w:color w:val="231F20"/>
                <w:sz w:val="18"/>
              </w:rPr>
              <w:t>Enterprise situation </w:t>
            </w:r>
            <w:r>
              <w:rPr>
                <w:color w:val="231F20"/>
                <w:spacing w:val="-2"/>
                <w:sz w:val="18"/>
              </w:rPr>
              <w:t>NT_Process_CPU_Critical: </w:t>
            </w:r>
            <w:r>
              <w:rPr>
                <w:color w:val="231F20"/>
                <w:sz w:val="18"/>
              </w:rPr>
              <w:t>Primary:TIVOLIUSER:NT&lt;Rvscan&gt; is </w:t>
            </w:r>
            <w:r>
              <w:rPr>
                <w:color w:val="231F20"/>
                <w:sz w:val="18"/>
              </w:rPr>
              <w:t>true</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KO41041</w:t>
            </w:r>
          </w:p>
        </w:tc>
      </w:tr>
      <w:tr>
        <w:trPr>
          <w:trHeight w:val="533" w:hRule="atLeast"/>
        </w:trPr>
        <w:tc>
          <w:tcPr>
            <w:tcW w:w="1286" w:type="dxa"/>
          </w:tcPr>
          <w:p>
            <w:pPr>
              <w:pStyle w:val="TableParagraph"/>
              <w:spacing w:line="231" w:lineRule="exact"/>
              <w:ind w:left="44"/>
              <w:rPr>
                <w:sz w:val="18"/>
              </w:rPr>
            </w:pPr>
            <w:r>
              <w:rPr>
                <w:color w:val="231F20"/>
                <w:spacing w:val="-2"/>
                <w:w w:val="115"/>
                <w:sz w:val="18"/>
              </w:rPr>
              <w:t>10/06/11</w:t>
            </w:r>
          </w:p>
          <w:p>
            <w:pPr>
              <w:pStyle w:val="TableParagraph"/>
              <w:spacing w:line="231" w:lineRule="exact" w:before="0"/>
              <w:ind w:left="44"/>
              <w:rPr>
                <w:sz w:val="18"/>
              </w:rPr>
            </w:pPr>
            <w:r>
              <w:rPr>
                <w:color w:val="231F20"/>
                <w:spacing w:val="-2"/>
                <w:sz w:val="18"/>
              </w:rPr>
              <w:t>3:46:11</w:t>
            </w:r>
          </w:p>
        </w:tc>
        <w:tc>
          <w:tcPr>
            <w:tcW w:w="3662" w:type="dxa"/>
          </w:tcPr>
          <w:p>
            <w:pPr>
              <w:pStyle w:val="TableParagraph"/>
              <w:spacing w:line="216" w:lineRule="auto" w:before="44"/>
              <w:rPr>
                <w:sz w:val="18"/>
              </w:rPr>
            </w:pPr>
            <w:r>
              <w:rPr>
                <w:color w:val="231F20"/>
                <w:sz w:val="18"/>
              </w:rPr>
              <w:t>Logon successful to server SRVR01 </w:t>
            </w:r>
            <w:r>
              <w:rPr>
                <w:color w:val="231F20"/>
                <w:sz w:val="18"/>
              </w:rPr>
              <w:t>user </w:t>
            </w:r>
            <w:r>
              <w:rPr>
                <w:color w:val="231F20"/>
                <w:spacing w:val="-2"/>
                <w:sz w:val="18"/>
              </w:rPr>
              <w:t>guest:ip.pipe:#10.255.105.53(6015)</w:t>
            </w:r>
          </w:p>
        </w:tc>
        <w:tc>
          <w:tcPr>
            <w:tcW w:w="1301" w:type="dxa"/>
          </w:tcPr>
          <w:p>
            <w:pPr>
              <w:pStyle w:val="TableParagraph"/>
              <w:rPr>
                <w:sz w:val="18"/>
              </w:rPr>
            </w:pPr>
            <w:r>
              <w:rPr>
                <w:color w:val="231F20"/>
                <w:spacing w:val="-10"/>
                <w:sz w:val="18"/>
              </w:rPr>
              <w:t>0</w:t>
            </w:r>
          </w:p>
        </w:tc>
        <w:tc>
          <w:tcPr>
            <w:tcW w:w="1286" w:type="dxa"/>
          </w:tcPr>
          <w:p>
            <w:pPr>
              <w:pStyle w:val="TableParagraph"/>
              <w:ind w:left="58"/>
              <w:rPr>
                <w:sz w:val="18"/>
              </w:rPr>
            </w:pPr>
            <w:r>
              <w:rPr>
                <w:color w:val="231F20"/>
                <w:spacing w:val="-2"/>
                <w:sz w:val="18"/>
              </w:rPr>
              <w:t>KDSMA011</w:t>
            </w:r>
          </w:p>
        </w:tc>
      </w:tr>
    </w:tbl>
    <w:p>
      <w:pPr>
        <w:pStyle w:val="BodyText"/>
        <w:spacing w:before="101"/>
      </w:pPr>
    </w:p>
    <w:p>
      <w:pPr>
        <w:pStyle w:val="Heading4"/>
        <w:spacing w:before="1"/>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To match up a situation name with its ID, you can create a workspace with these two views: Universal Message Console; Message Log. The message log view will show the situation name with no restriction; the universal message console view will show the situation ID as needed. You can also specify generation of universal messages when creating a situation (Situation editor Action tab) or policy (Workflows editor</w:t>
      </w:r>
      <w:r>
        <w:rPr>
          <w:color w:val="231F20"/>
          <w:spacing w:val="38"/>
        </w:rPr>
        <w:t> </w:t>
      </w:r>
      <w:r>
        <w:rPr>
          <w:color w:val="231F20"/>
          <w:spacing w:val="-24"/>
          <w:position w:val="-5"/>
        </w:rPr>
        <w:drawing>
          <wp:inline distT="0" distB="0" distL="0" distR="0">
            <wp:extent cx="152400" cy="127000"/>
            <wp:effectExtent l="0" t="0" r="0" b="0"/>
            <wp:docPr id="1408" name="Image 1408"/>
            <wp:cNvGraphicFramePr>
              <a:graphicFrameLocks/>
            </wp:cNvGraphicFramePr>
            <a:graphic>
              <a:graphicData uri="http://schemas.openxmlformats.org/drawingml/2006/picture">
                <pic:pic>
                  <pic:nvPicPr>
                    <pic:cNvPr id="1408" name="Image 1408"/>
                    <pic:cNvPicPr/>
                  </pic:nvPicPr>
                  <pic:blipFill>
                    <a:blip r:embed="rId272" cstate="print"/>
                    <a:stretch>
                      <a:fillRect/>
                    </a:stretch>
                  </pic:blipFill>
                  <pic:spPr>
                    <a:xfrm>
                      <a:off x="0" y="0"/>
                      <a:ext cx="152400" cy="127000"/>
                    </a:xfrm>
                    <a:prstGeom prst="rect">
                      <a:avLst/>
                    </a:prstGeom>
                  </pic:spPr>
                </pic:pic>
              </a:graphicData>
            </a:graphic>
          </wp:inline>
        </w:drawing>
      </w:r>
      <w:r>
        <w:rPr>
          <w:color w:val="231F20"/>
          <w:spacing w:val="-24"/>
          <w:position w:val="-5"/>
        </w:rPr>
      </w:r>
      <w:r>
        <w:rPr>
          <w:rFonts w:ascii="Times New Roman"/>
          <w:color w:val="231F20"/>
          <w:spacing w:val="40"/>
        </w:rPr>
        <w:t> </w:t>
      </w:r>
      <w:r>
        <w:rPr>
          <w:rFonts w:ascii="Book Antiqua"/>
          <w:b/>
          <w:color w:val="231F20"/>
        </w:rPr>
        <w:t>Take action or Write message </w:t>
      </w:r>
      <w:r>
        <w:rPr>
          <w:color w:val="231F20"/>
        </w:rPr>
        <w:t>activity).</w:t>
      </w:r>
    </w:p>
    <w:p>
      <w:pPr>
        <w:pStyle w:val="Heading3"/>
        <w:spacing w:before="209"/>
        <w:ind w:left="0" w:right="4496"/>
        <w:jc w:val="center"/>
      </w:pPr>
      <w:bookmarkStart w:name="Adding a graphic view" w:id="233"/>
      <w:bookmarkEnd w:id="233"/>
      <w:r>
        <w:rPr>
          <w:b w:val="0"/>
        </w:rPr>
      </w:r>
      <w:r>
        <w:rPr>
          <w:color w:val="231F20"/>
        </w:rPr>
        <w:t>Adding</w:t>
      </w:r>
      <w:r>
        <w:rPr>
          <w:color w:val="231F20"/>
          <w:spacing w:val="7"/>
        </w:rPr>
        <w:t> </w:t>
      </w:r>
      <w:r>
        <w:rPr>
          <w:color w:val="231F20"/>
        </w:rPr>
        <w:t>a</w:t>
      </w:r>
      <w:r>
        <w:rPr>
          <w:color w:val="231F20"/>
          <w:spacing w:val="8"/>
        </w:rPr>
        <w:t> </w:t>
      </w:r>
      <w:r>
        <w:rPr>
          <w:color w:val="231F20"/>
        </w:rPr>
        <w:t>graphic</w:t>
      </w:r>
      <w:r>
        <w:rPr>
          <w:color w:val="231F20"/>
          <w:spacing w:val="8"/>
        </w:rPr>
        <w:t> </w:t>
      </w:r>
      <w:r>
        <w:rPr>
          <w:color w:val="231F20"/>
          <w:spacing w:val="-4"/>
        </w:rPr>
        <w:t>view</w:t>
      </w:r>
    </w:p>
    <w:p>
      <w:pPr>
        <w:pStyle w:val="BodyText"/>
        <w:spacing w:line="213" w:lineRule="auto" w:before="59"/>
        <w:ind w:left="2232" w:right="545"/>
      </w:pPr>
      <w:r>
        <w:rPr>
          <w:color w:val="231F20"/>
        </w:rPr>
        <w:t>The graphic view provides a canvas for you to cover with icons that represent the Navigator items and that overlay the icons with alert indicators when events are opened. You might create, for example, a graphic view showing your company's floor plan or organization chart.</w:t>
      </w:r>
    </w:p>
    <w:p>
      <w:pPr>
        <w:pStyle w:val="Heading4"/>
        <w:spacing w:before="198"/>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0" w:right="4527"/>
        <w:jc w:val="center"/>
      </w:pPr>
      <w:r>
        <w:rPr>
          <w:color w:val="231F20"/>
          <w:spacing w:val="-2"/>
        </w:rPr>
        <w:t>Procedure</w:t>
      </w:r>
    </w:p>
    <w:p>
      <w:pPr>
        <w:pStyle w:val="ListParagraph"/>
        <w:numPr>
          <w:ilvl w:val="0"/>
          <w:numId w:val="66"/>
        </w:numPr>
        <w:tabs>
          <w:tab w:pos="2547" w:val="left" w:leader="none"/>
        </w:tabs>
        <w:spacing w:line="240" w:lineRule="auto" w:before="39" w:after="0"/>
        <w:ind w:left="2547" w:right="0" w:hanging="315"/>
        <w:jc w:val="left"/>
        <w:rPr>
          <w:sz w:val="20"/>
        </w:rPr>
      </w:pPr>
      <w:r>
        <w:rPr>
          <w:color w:val="231F20"/>
          <w:sz w:val="20"/>
        </w:rPr>
        <w:t>Open</w:t>
      </w:r>
      <w:r>
        <w:rPr>
          <w:color w:val="231F20"/>
          <w:spacing w:val="11"/>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to</w:t>
      </w:r>
      <w:r>
        <w:rPr>
          <w:color w:val="231F20"/>
          <w:spacing w:val="11"/>
          <w:sz w:val="20"/>
        </w:rPr>
        <w:t> </w:t>
      </w:r>
      <w:r>
        <w:rPr>
          <w:color w:val="231F20"/>
          <w:sz w:val="20"/>
        </w:rPr>
        <w:t>add</w:t>
      </w:r>
      <w:r>
        <w:rPr>
          <w:color w:val="231F20"/>
          <w:spacing w:val="11"/>
          <w:sz w:val="20"/>
        </w:rPr>
        <w:t> </w:t>
      </w:r>
      <w:r>
        <w:rPr>
          <w:color w:val="231F20"/>
          <w:sz w:val="20"/>
        </w:rPr>
        <w:t>the</w:t>
      </w:r>
      <w:r>
        <w:rPr>
          <w:color w:val="231F20"/>
          <w:spacing w:val="11"/>
          <w:sz w:val="20"/>
        </w:rPr>
        <w:t> </w:t>
      </w:r>
      <w:r>
        <w:rPr>
          <w:color w:val="231F20"/>
          <w:sz w:val="20"/>
        </w:rPr>
        <w:t>graphic</w:t>
      </w:r>
      <w:r>
        <w:rPr>
          <w:color w:val="231F20"/>
          <w:spacing w:val="11"/>
          <w:sz w:val="20"/>
        </w:rPr>
        <w:t> </w:t>
      </w:r>
      <w:r>
        <w:rPr>
          <w:color w:val="231F20"/>
          <w:spacing w:val="-2"/>
          <w:sz w:val="20"/>
        </w:rPr>
        <w:t>view.</w:t>
      </w:r>
    </w:p>
    <w:p>
      <w:pPr>
        <w:pStyle w:val="ListParagraph"/>
        <w:numPr>
          <w:ilvl w:val="0"/>
          <w:numId w:val="66"/>
        </w:numPr>
        <w:tabs>
          <w:tab w:pos="2548" w:val="left" w:leader="none"/>
        </w:tabs>
        <w:spacing w:line="213" w:lineRule="auto" w:before="52" w:after="0"/>
        <w:ind w:left="2548" w:right="404" w:hanging="316"/>
        <w:jc w:val="left"/>
        <w:rPr>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409" name="Image 1409"/>
            <wp:cNvGraphicFramePr>
              <a:graphicFrameLocks/>
            </wp:cNvGraphicFramePr>
            <a:graphic>
              <a:graphicData uri="http://schemas.openxmlformats.org/drawingml/2006/picture">
                <pic:pic>
                  <pic:nvPicPr>
                    <pic:cNvPr id="1409" name="Image 1409"/>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410" name="Image 1410"/>
            <wp:cNvGraphicFramePr>
              <a:graphicFrameLocks/>
            </wp:cNvGraphicFramePr>
            <a:graphic>
              <a:graphicData uri="http://schemas.openxmlformats.org/drawingml/2006/picture">
                <pic:pic>
                  <pic:nvPicPr>
                    <pic:cNvPr id="1410" name="Image 1410"/>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66"/>
        </w:numPr>
        <w:tabs>
          <w:tab w:pos="2546" w:val="left" w:leader="none"/>
          <w:tab w:pos="2548" w:val="left" w:leader="none"/>
        </w:tabs>
        <w:spacing w:line="213" w:lineRule="auto" w:before="58" w:after="0"/>
        <w:ind w:left="2548" w:right="457" w:hanging="317"/>
        <w:jc w:val="left"/>
        <w:rPr>
          <w:sz w:val="20"/>
        </w:rPr>
      </w:pPr>
      <w:r>
        <w:rPr>
          <w:color w:val="231F20"/>
          <w:sz w:val="20"/>
        </w:rPr>
        <w:t>Click</w:t>
      </w:r>
      <w:r>
        <w:rPr>
          <w:color w:val="231F20"/>
          <w:spacing w:val="19"/>
          <w:sz w:val="20"/>
        </w:rPr>
        <w:t> </w:t>
      </w:r>
      <w:r>
        <w:rPr>
          <w:color w:val="231F20"/>
          <w:spacing w:val="-24"/>
          <w:position w:val="-1"/>
          <w:sz w:val="20"/>
        </w:rPr>
        <w:drawing>
          <wp:inline distT="0" distB="0" distL="0" distR="0">
            <wp:extent cx="95250" cy="95250"/>
            <wp:effectExtent l="0" t="0" r="0" b="0"/>
            <wp:docPr id="1411" name="Image 1411"/>
            <wp:cNvGraphicFramePr>
              <a:graphicFrameLocks/>
            </wp:cNvGraphicFramePr>
            <a:graphic>
              <a:graphicData uri="http://schemas.openxmlformats.org/drawingml/2006/picture">
                <pic:pic>
                  <pic:nvPicPr>
                    <pic:cNvPr id="1411" name="Image 1411"/>
                    <pic:cNvPicPr/>
                  </pic:nvPicPr>
                  <pic:blipFill>
                    <a:blip r:embed="rId53"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rFonts w:ascii="Book Antiqua"/>
          <w:b/>
          <w:color w:val="231F20"/>
          <w:sz w:val="20"/>
        </w:rPr>
        <w:t>Graphic View </w:t>
      </w:r>
      <w:r>
        <w:rPr>
          <w:color w:val="231F20"/>
          <w:sz w:val="20"/>
        </w:rPr>
        <w:t>The mouse pointer changes to the view icon (hand </w:t>
      </w:r>
      <w:r>
        <w:rPr>
          <w:color w:val="231F20"/>
          <w:sz w:val="20"/>
        </w:rPr>
        <w:t>icon in</w:t>
      </w:r>
      <w:r>
        <w:rPr>
          <w:color w:val="231F20"/>
          <w:spacing w:val="24"/>
          <w:sz w:val="20"/>
        </w:rPr>
        <w:t> </w:t>
      </w:r>
      <w:r>
        <w:rPr>
          <w:color w:val="231F20"/>
          <w:sz w:val="20"/>
        </w:rPr>
        <w:t>Linux).</w:t>
      </w:r>
      <w:r>
        <w:rPr>
          <w:color w:val="231F20"/>
          <w:spacing w:val="24"/>
          <w:sz w:val="20"/>
        </w:rPr>
        <w:t> </w:t>
      </w:r>
      <w:r>
        <w:rPr>
          <w:color w:val="231F20"/>
          <w:sz w:val="20"/>
        </w:rPr>
        <w:t>If</w:t>
      </w:r>
      <w:r>
        <w:rPr>
          <w:color w:val="231F20"/>
          <w:spacing w:val="24"/>
          <w:sz w:val="20"/>
        </w:rPr>
        <w:t> </w:t>
      </w:r>
      <w:r>
        <w:rPr>
          <w:color w:val="231F20"/>
          <w:sz w:val="20"/>
        </w:rPr>
        <w:t>you</w:t>
      </w:r>
      <w:r>
        <w:rPr>
          <w:color w:val="231F20"/>
          <w:spacing w:val="24"/>
          <w:sz w:val="20"/>
        </w:rPr>
        <w:t> </w:t>
      </w:r>
      <w:r>
        <w:rPr>
          <w:color w:val="231F20"/>
          <w:sz w:val="20"/>
        </w:rPr>
        <w:t>get</w:t>
      </w:r>
      <w:r>
        <w:rPr>
          <w:color w:val="231F20"/>
          <w:spacing w:val="24"/>
          <w:sz w:val="20"/>
        </w:rPr>
        <w:t> </w:t>
      </w:r>
      <w:r>
        <w:rPr>
          <w:color w:val="231F20"/>
          <w:sz w:val="20"/>
        </w:rPr>
        <w:t>the</w:t>
      </w:r>
      <w:r>
        <w:rPr>
          <w:color w:val="231F20"/>
          <w:spacing w:val="24"/>
          <w:sz w:val="20"/>
        </w:rPr>
        <w:t> </w:t>
      </w:r>
      <w:r>
        <w:rPr>
          <w:color w:val="231F20"/>
          <w:sz w:val="20"/>
        </w:rPr>
        <w:t>wrong</w:t>
      </w:r>
      <w:r>
        <w:rPr>
          <w:color w:val="231F20"/>
          <w:spacing w:val="24"/>
          <w:sz w:val="20"/>
        </w:rPr>
        <w:t> </w:t>
      </w:r>
      <w:r>
        <w:rPr>
          <w:color w:val="231F20"/>
          <w:sz w:val="20"/>
        </w:rPr>
        <w:t>icon</w:t>
      </w:r>
      <w:r>
        <w:rPr>
          <w:color w:val="231F20"/>
          <w:spacing w:val="24"/>
          <w:sz w:val="20"/>
        </w:rPr>
        <w:t> </w:t>
      </w:r>
      <w:r>
        <w:rPr>
          <w:color w:val="231F20"/>
          <w:sz w:val="20"/>
        </w:rPr>
        <w:t>or</w:t>
      </w:r>
      <w:r>
        <w:rPr>
          <w:color w:val="231F20"/>
          <w:spacing w:val="24"/>
          <w:sz w:val="20"/>
        </w:rPr>
        <w:t> </w:t>
      </w:r>
      <w:r>
        <w:rPr>
          <w:color w:val="231F20"/>
          <w:sz w:val="20"/>
        </w:rPr>
        <w:t>decide</w:t>
      </w:r>
      <w:r>
        <w:rPr>
          <w:color w:val="231F20"/>
          <w:spacing w:val="24"/>
          <w:sz w:val="20"/>
        </w:rPr>
        <w:t> </w:t>
      </w:r>
      <w:r>
        <w:rPr>
          <w:color w:val="231F20"/>
          <w:sz w:val="20"/>
        </w:rPr>
        <w:t>not</w:t>
      </w:r>
      <w:r>
        <w:rPr>
          <w:color w:val="231F20"/>
          <w:spacing w:val="24"/>
          <w:sz w:val="20"/>
        </w:rPr>
        <w:t> </w:t>
      </w:r>
      <w:r>
        <w:rPr>
          <w:color w:val="231F20"/>
          <w:sz w:val="20"/>
        </w:rPr>
        <w:t>to</w:t>
      </w:r>
      <w:r>
        <w:rPr>
          <w:color w:val="231F20"/>
          <w:spacing w:val="24"/>
          <w:sz w:val="20"/>
        </w:rPr>
        <w:t> </w:t>
      </w:r>
      <w:r>
        <w:rPr>
          <w:color w:val="231F20"/>
          <w:sz w:val="20"/>
        </w:rPr>
        <w:t>add</w:t>
      </w:r>
      <w:r>
        <w:rPr>
          <w:color w:val="231F20"/>
          <w:spacing w:val="24"/>
          <w:sz w:val="20"/>
        </w:rPr>
        <w:t> </w:t>
      </w:r>
      <w:r>
        <w:rPr>
          <w:color w:val="231F20"/>
          <w:sz w:val="20"/>
        </w:rPr>
        <w:t>the</w:t>
      </w:r>
      <w:r>
        <w:rPr>
          <w:color w:val="231F20"/>
          <w:spacing w:val="24"/>
          <w:sz w:val="20"/>
        </w:rPr>
        <w:t> </w:t>
      </w:r>
      <w:r>
        <w:rPr>
          <w:color w:val="231F20"/>
          <w:sz w:val="20"/>
        </w:rPr>
        <w:t>view,</w:t>
      </w:r>
      <w:r>
        <w:rPr>
          <w:color w:val="231F20"/>
          <w:spacing w:val="24"/>
          <w:sz w:val="20"/>
        </w:rPr>
        <w:t> </w:t>
      </w:r>
      <w:r>
        <w:rPr>
          <w:color w:val="231F20"/>
          <w:sz w:val="20"/>
        </w:rPr>
        <w:t>press Escape or click somewhere in the main toolbar.</w:t>
      </w:r>
    </w:p>
    <w:p>
      <w:pPr>
        <w:pStyle w:val="ListParagraph"/>
        <w:numPr>
          <w:ilvl w:val="0"/>
          <w:numId w:val="66"/>
        </w:numPr>
        <w:tabs>
          <w:tab w:pos="2547" w:val="left" w:leader="none"/>
        </w:tabs>
        <w:spacing w:line="240" w:lineRule="auto" w:before="35" w:after="0"/>
        <w:ind w:left="2547" w:right="0" w:hanging="315"/>
        <w:jc w:val="left"/>
        <w:rPr>
          <w:sz w:val="20"/>
        </w:rPr>
      </w:pPr>
      <w:r>
        <w:rPr>
          <w:color w:val="231F20"/>
          <w:sz w:val="20"/>
        </w:rPr>
        <w:t>Click</w:t>
      </w:r>
      <w:r>
        <w:rPr>
          <w:color w:val="231F20"/>
          <w:spacing w:val="11"/>
          <w:sz w:val="20"/>
        </w:rPr>
        <w:t> </w:t>
      </w:r>
      <w:r>
        <w:rPr>
          <w:color w:val="231F20"/>
          <w:sz w:val="20"/>
        </w:rPr>
        <w:t>inside</w:t>
      </w:r>
      <w:r>
        <w:rPr>
          <w:color w:val="231F20"/>
          <w:spacing w:val="11"/>
          <w:sz w:val="20"/>
        </w:rPr>
        <w:t> </w:t>
      </w:r>
      <w:r>
        <w:rPr>
          <w:color w:val="231F20"/>
          <w:sz w:val="20"/>
        </w:rPr>
        <w:t>the</w:t>
      </w:r>
      <w:r>
        <w:rPr>
          <w:color w:val="231F20"/>
          <w:spacing w:val="12"/>
          <w:sz w:val="20"/>
        </w:rPr>
        <w:t> </w:t>
      </w:r>
      <w:r>
        <w:rPr>
          <w:color w:val="231F20"/>
          <w:sz w:val="20"/>
        </w:rPr>
        <w:t>view</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the</w:t>
      </w:r>
      <w:r>
        <w:rPr>
          <w:color w:val="231F20"/>
          <w:spacing w:val="11"/>
          <w:sz w:val="20"/>
        </w:rPr>
        <w:t> </w:t>
      </w:r>
      <w:r>
        <w:rPr>
          <w:color w:val="231F20"/>
          <w:spacing w:val="-2"/>
          <w:sz w:val="20"/>
        </w:rPr>
        <w:t>graphic.</w:t>
      </w:r>
    </w:p>
    <w:p>
      <w:pPr>
        <w:spacing w:after="0" w:line="240" w:lineRule="auto"/>
        <w:jc w:val="left"/>
        <w:rPr>
          <w:sz w:val="20"/>
        </w:rPr>
        <w:sectPr>
          <w:pgSz w:w="12240" w:h="15840"/>
          <w:pgMar w:header="0" w:footer="736" w:top="1180" w:bottom="920" w:left="1000" w:right="1060"/>
        </w:sectPr>
      </w:pPr>
    </w:p>
    <w:p>
      <w:pPr>
        <w:pStyle w:val="Heading4"/>
        <w:spacing w:before="86"/>
        <w:ind w:left="2472"/>
      </w:pPr>
      <w:bookmarkStart w:name="_bookmark109" w:id="234"/>
      <w:bookmarkEnd w:id="234"/>
      <w:r>
        <w:rPr>
          <w:b w:val="0"/>
        </w:rPr>
      </w:r>
      <w:r>
        <w:rPr>
          <w:color w:val="231F20"/>
          <w:spacing w:val="-2"/>
        </w:rPr>
        <w:t>Results</w:t>
      </w:r>
    </w:p>
    <w:p>
      <w:pPr>
        <w:pStyle w:val="BodyText"/>
        <w:spacing w:line="213" w:lineRule="auto" w:before="242"/>
        <w:ind w:left="2472" w:right="493"/>
      </w:pPr>
      <w:r>
        <w:rPr>
          <w:color w:val="231F20"/>
        </w:rPr>
        <w:t>The old view is replaced by the graphic view with the default background </w:t>
      </w:r>
      <w:r>
        <w:rPr>
          <w:color w:val="231F20"/>
        </w:rPr>
        <w:t>and overlaid with icons representing the items within the current Navigator item </w:t>
      </w:r>
      <w:r>
        <w:rPr>
          <w:color w:val="231F20"/>
          <w:spacing w:val="-2"/>
        </w:rPr>
        <w:t>branch.</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61"/>
        <w:ind w:left="2688" w:right="493" w:hanging="216"/>
      </w:pPr>
      <w:r>
        <w:rPr>
          <w:rFonts w:ascii="Futura MdCn BT" w:hAnsi="Futura MdCn BT"/>
          <w:color w:val="231F20"/>
        </w:rPr>
        <w:t>v</w:t>
      </w:r>
      <w:r>
        <w:rPr>
          <w:rFonts w:ascii="Futura MdCn BT" w:hAnsi="Futura MdCn BT"/>
          <w:color w:val="231F20"/>
          <w:spacing w:val="80"/>
        </w:rPr>
        <w:t> </w:t>
      </w:r>
      <w:r>
        <w:rPr>
          <w:color w:val="231F20"/>
        </w:rPr>
        <w:t>Click</w:t>
      </w:r>
      <w:r>
        <w:rPr>
          <w:color w:val="231F20"/>
          <w:spacing w:val="40"/>
        </w:rPr>
        <w:t> </w:t>
      </w:r>
      <w:r>
        <w:rPr>
          <w:color w:val="231F20"/>
          <w:spacing w:val="-4"/>
          <w:position w:val="-1"/>
        </w:rPr>
        <w:drawing>
          <wp:inline distT="0" distB="0" distL="0" distR="0">
            <wp:extent cx="63500" cy="101600"/>
            <wp:effectExtent l="0" t="0" r="0" b="0"/>
            <wp:docPr id="1412" name="Image 1412"/>
            <wp:cNvGraphicFramePr>
              <a:graphicFrameLocks/>
            </wp:cNvGraphicFramePr>
            <a:graphic>
              <a:graphicData uri="http://schemas.openxmlformats.org/drawingml/2006/picture">
                <pic:pic>
                  <pic:nvPicPr>
                    <pic:cNvPr id="1412" name="Image 1412"/>
                    <pic:cNvPicPr/>
                  </pic:nvPicPr>
                  <pic:blipFill>
                    <a:blip r:embed="rId273" cstate="print"/>
                    <a:stretch>
                      <a:fillRect/>
                    </a:stretch>
                  </pic:blipFill>
                  <pic:spPr>
                    <a:xfrm>
                      <a:off x="0" y="0"/>
                      <a:ext cx="63500" cy="101600"/>
                    </a:xfrm>
                    <a:prstGeom prst="rect">
                      <a:avLst/>
                    </a:prstGeom>
                  </pic:spPr>
                </pic:pic>
              </a:graphicData>
            </a:graphic>
          </wp:inline>
        </w:drawing>
      </w:r>
      <w:r>
        <w:rPr>
          <w:color w:val="231F20"/>
          <w:spacing w:val="-4"/>
          <w:position w:val="-1"/>
        </w:rPr>
      </w:r>
      <w:r>
        <w:rPr>
          <w:rFonts w:ascii="Times New Roman" w:hAnsi="Times New Roman"/>
          <w:color w:val="231F20"/>
          <w:spacing w:val="29"/>
        </w:rPr>
        <w:t> </w:t>
      </w:r>
      <w:r>
        <w:rPr>
          <w:rFonts w:ascii="Book Antiqua" w:hAnsi="Book Antiqua"/>
          <w:b/>
          <w:color w:val="231F20"/>
        </w:rPr>
        <w:t>Select</w:t>
      </w:r>
      <w:r>
        <w:rPr>
          <w:color w:val="231F20"/>
        </w:rPr>
        <w:t>, then drag icons into position; use this and other tools in </w:t>
      </w:r>
      <w:r>
        <w:rPr>
          <w:color w:val="231F20"/>
        </w:rPr>
        <w:t>the</w:t>
      </w:r>
      <w:r>
        <w:rPr>
          <w:color w:val="231F20"/>
        </w:rPr>
        <w:t> graphic view toolbar to manipulate the view. See </w:t>
      </w:r>
      <w:hyperlink w:history="true" w:anchor="_bookmark109">
        <w:r>
          <w:rPr>
            <w:color w:val="231F20"/>
          </w:rPr>
          <w:t>“Graphic view toolbar.”</w:t>
        </w:r>
      </w:hyperlink>
    </w:p>
    <w:p>
      <w:pPr>
        <w:pStyle w:val="BodyText"/>
        <w:spacing w:line="213" w:lineRule="auto" w:before="59"/>
        <w:ind w:left="2688" w:right="493" w:hanging="216"/>
      </w:pPr>
      <w:r>
        <w:rPr>
          <w:rFonts w:ascii="Futura MdCn BT"/>
          <w:color w:val="231F20"/>
        </w:rPr>
        <w:t>v</w:t>
      </w:r>
      <w:r>
        <w:rPr>
          <w:rFonts w:ascii="Futura MdCn BT"/>
          <w:color w:val="231F20"/>
          <w:spacing w:val="80"/>
        </w:rPr>
        <w:t> </w:t>
      </w:r>
      <w:r>
        <w:rPr>
          <w:color w:val="231F20"/>
        </w:rPr>
        <w:t>If you want to add other Navigator items to the view, drag them from the</w:t>
      </w:r>
      <w:r>
        <w:rPr>
          <w:color w:val="231F20"/>
          <w:spacing w:val="40"/>
        </w:rPr>
        <w:t> </w:t>
      </w:r>
      <w:r>
        <w:rPr>
          <w:color w:val="231F20"/>
        </w:rPr>
        <w:t>Navigator view. You can drag items one at a time or use Ctrl+click to select multiple items, then drag them as a group. Be careful to drag and not click, which selects and opens the workspace for that Navigator item.</w:t>
      </w:r>
    </w:p>
    <w:p>
      <w:pPr>
        <w:pStyle w:val="BodyText"/>
        <w:spacing w:line="213" w:lineRule="auto" w:before="57"/>
        <w:ind w:left="2688" w:right="493" w:hanging="216"/>
      </w:pPr>
      <w:r>
        <w:rPr>
          <w:rFonts w:ascii="Futura MdCn BT"/>
          <w:color w:val="231F20"/>
        </w:rPr>
        <w:t>v</w:t>
      </w:r>
      <w:r>
        <w:rPr>
          <w:rFonts w:ascii="Futura MdCn BT"/>
          <w:color w:val="231F20"/>
          <w:spacing w:val="80"/>
        </w:rPr>
        <w:t> </w:t>
      </w:r>
      <w:r>
        <w:rPr>
          <w:color w:val="231F20"/>
        </w:rPr>
        <w:t>If a new item appears on the Navigator after you created the graphic view, you</w:t>
      </w:r>
      <w:r>
        <w:rPr>
          <w:color w:val="231F20"/>
          <w:spacing w:val="40"/>
        </w:rPr>
        <w:t> </w:t>
      </w:r>
      <w:r>
        <w:rPr>
          <w:color w:val="231F20"/>
        </w:rPr>
        <w:t>can add it at any time by dragging its name from the Navigator view to the</w:t>
      </w:r>
      <w:r>
        <w:rPr>
          <w:color w:val="231F20"/>
          <w:spacing w:val="40"/>
        </w:rPr>
        <w:t> </w:t>
      </w:r>
      <w:r>
        <w:rPr>
          <w:color w:val="231F20"/>
        </w:rPr>
        <w:t>graphic view; if an item gets removed from the Navigator, you can remove its icon by selecting it with</w:t>
      </w:r>
      <w:r>
        <w:rPr>
          <w:color w:val="231F20"/>
          <w:spacing w:val="40"/>
        </w:rPr>
        <w:t> </w:t>
      </w:r>
      <w:r>
        <w:rPr>
          <w:color w:val="231F20"/>
          <w:spacing w:val="-5"/>
          <w:position w:val="-1"/>
        </w:rPr>
        <w:drawing>
          <wp:inline distT="0" distB="0" distL="0" distR="0">
            <wp:extent cx="63500" cy="101600"/>
            <wp:effectExtent l="0" t="0" r="0" b="0"/>
            <wp:docPr id="1413" name="Image 1413"/>
            <wp:cNvGraphicFramePr>
              <a:graphicFrameLocks/>
            </wp:cNvGraphicFramePr>
            <a:graphic>
              <a:graphicData uri="http://schemas.openxmlformats.org/drawingml/2006/picture">
                <pic:pic>
                  <pic:nvPicPr>
                    <pic:cNvPr id="1413" name="Image 1413"/>
                    <pic:cNvPicPr/>
                  </pic:nvPicPr>
                  <pic:blipFill>
                    <a:blip r:embed="rId273" cstate="print"/>
                    <a:stretch>
                      <a:fillRect/>
                    </a:stretch>
                  </pic:blipFill>
                  <pic:spPr>
                    <a:xfrm>
                      <a:off x="0" y="0"/>
                      <a:ext cx="63500" cy="101600"/>
                    </a:xfrm>
                    <a:prstGeom prst="rect">
                      <a:avLst/>
                    </a:prstGeom>
                  </pic:spPr>
                </pic:pic>
              </a:graphicData>
            </a:graphic>
          </wp:inline>
        </w:drawing>
      </w:r>
      <w:r>
        <w:rPr>
          <w:color w:val="231F20"/>
          <w:spacing w:val="-5"/>
          <w:position w:val="-1"/>
        </w:rPr>
      </w:r>
      <w:r>
        <w:rPr>
          <w:rFonts w:ascii="Times New Roman"/>
          <w:color w:val="231F20"/>
          <w:spacing w:val="40"/>
          <w:position w:val="-1"/>
        </w:rPr>
        <w:t> </w:t>
      </w:r>
      <w:r>
        <w:rPr>
          <w:rFonts w:ascii="Times New Roman"/>
          <w:color w:val="231F20"/>
          <w:spacing w:val="-1"/>
          <w:position w:val="-1"/>
        </w:rPr>
        <w:drawing>
          <wp:inline distT="0" distB="0" distL="0" distR="0">
            <wp:extent cx="95250" cy="101600"/>
            <wp:effectExtent l="0" t="0" r="0" b="0"/>
            <wp:docPr id="1414" name="Image 1414"/>
            <wp:cNvGraphicFramePr>
              <a:graphicFrameLocks/>
            </wp:cNvGraphicFramePr>
            <a:graphic>
              <a:graphicData uri="http://schemas.openxmlformats.org/drawingml/2006/picture">
                <pic:pic>
                  <pic:nvPicPr>
                    <pic:cNvPr id="1414" name="Image 1414"/>
                    <pic:cNvPicPr/>
                  </pic:nvPicPr>
                  <pic:blipFill>
                    <a:blip r:embed="rId269" cstate="print"/>
                    <a:stretch>
                      <a:fillRect/>
                    </a:stretch>
                  </pic:blipFill>
                  <pic:spPr>
                    <a:xfrm>
                      <a:off x="0" y="0"/>
                      <a:ext cx="95250" cy="101600"/>
                    </a:xfrm>
                    <a:prstGeom prst="rect">
                      <a:avLst/>
                    </a:prstGeom>
                  </pic:spPr>
                </pic:pic>
              </a:graphicData>
            </a:graphic>
          </wp:inline>
        </w:drawing>
      </w:r>
      <w:r>
        <w:rPr>
          <w:rFonts w:ascii="Times New Roman"/>
          <w:color w:val="231F20"/>
          <w:spacing w:val="-1"/>
          <w:position w:val="-1"/>
        </w:rPr>
      </w:r>
      <w:r>
        <w:rPr>
          <w:rFonts w:ascii="Times New Roman"/>
          <w:color w:val="231F20"/>
          <w:spacing w:val="-1"/>
        </w:rPr>
        <w:t> </w:t>
      </w:r>
      <w:r>
        <w:rPr>
          <w:color w:val="231F20"/>
        </w:rPr>
        <w:t>.</w:t>
      </w:r>
    </w:p>
    <w:p>
      <w:pPr>
        <w:pStyle w:val="BodyText"/>
        <w:spacing w:line="213" w:lineRule="auto" w:before="57"/>
        <w:ind w:left="2688" w:right="207" w:hanging="216"/>
      </w:pPr>
      <w:r>
        <w:rPr>
          <w:rFonts w:ascii="Futura MdCn BT" w:hAnsi="Futura MdCn BT"/>
          <w:color w:val="231F20"/>
        </w:rPr>
        <w:t>v</w:t>
      </w:r>
      <w:r>
        <w:rPr>
          <w:rFonts w:ascii="Futura MdCn BT" w:hAnsi="Futura MdCn BT"/>
          <w:color w:val="231F20"/>
          <w:spacing w:val="80"/>
        </w:rPr>
        <w:t> </w:t>
      </w:r>
      <w:r>
        <w:rPr>
          <w:color w:val="231F20"/>
        </w:rPr>
        <w:t>If you want to change the background image or the style of the icons or their</w:t>
      </w:r>
      <w:r>
        <w:rPr>
          <w:color w:val="231F20"/>
          <w:spacing w:val="80"/>
        </w:rPr>
        <w:t> </w:t>
      </w:r>
      <w:r>
        <w:rPr>
          <w:color w:val="231F20"/>
        </w:rPr>
        <w:t>labels,</w:t>
      </w:r>
      <w:r>
        <w:rPr>
          <w:color w:val="231F20"/>
          <w:spacing w:val="10"/>
        </w:rPr>
        <w:t> </w:t>
      </w:r>
      <w:r>
        <w:rPr>
          <w:color w:val="231F20"/>
        </w:rPr>
        <w:t>edit</w:t>
      </w:r>
      <w:r>
        <w:rPr>
          <w:color w:val="231F20"/>
          <w:spacing w:val="10"/>
        </w:rPr>
        <w:t> </w:t>
      </w:r>
      <w:r>
        <w:rPr>
          <w:color w:val="231F20"/>
        </w:rPr>
        <w:t>the</w:t>
      </w:r>
      <w:r>
        <w:rPr>
          <w:color w:val="231F20"/>
          <w:spacing w:val="10"/>
        </w:rPr>
        <w:t> </w:t>
      </w:r>
      <w:r>
        <w:rPr>
          <w:color w:val="231F20"/>
        </w:rPr>
        <w:t>style</w:t>
      </w:r>
      <w:r>
        <w:rPr>
          <w:color w:val="231F20"/>
          <w:spacing w:val="10"/>
        </w:rPr>
        <w:t> </w:t>
      </w:r>
      <w:r>
        <w:rPr>
          <w:color w:val="231F20"/>
        </w:rPr>
        <w:t>properties.</w:t>
      </w:r>
      <w:r>
        <w:rPr>
          <w:color w:val="231F20"/>
          <w:spacing w:val="10"/>
        </w:rPr>
        <w:t> </w:t>
      </w:r>
      <w:r>
        <w:rPr>
          <w:color w:val="231F20"/>
        </w:rPr>
        <w:t>See</w:t>
      </w:r>
      <w:r>
        <w:rPr>
          <w:color w:val="231F20"/>
          <w:spacing w:val="11"/>
        </w:rPr>
        <w:t> </w:t>
      </w:r>
      <w:hyperlink w:history="true" w:anchor="_bookmark110">
        <w:r>
          <w:rPr>
            <w:color w:val="231F20"/>
          </w:rPr>
          <w:t>“Graphic</w:t>
        </w:r>
        <w:r>
          <w:rPr>
            <w:color w:val="231F20"/>
            <w:spacing w:val="10"/>
          </w:rPr>
          <w:t> </w:t>
        </w:r>
        <w:r>
          <w:rPr>
            <w:color w:val="231F20"/>
          </w:rPr>
          <w:t>view</w:t>
        </w:r>
        <w:r>
          <w:rPr>
            <w:color w:val="231F20"/>
            <w:spacing w:val="10"/>
          </w:rPr>
          <w:t> </w:t>
        </w:r>
        <w:r>
          <w:rPr>
            <w:color w:val="231F20"/>
          </w:rPr>
          <w:t>style</w:t>
        </w:r>
        <w:r>
          <w:rPr>
            <w:color w:val="231F20"/>
            <w:spacing w:val="10"/>
          </w:rPr>
          <w:t> </w:t>
        </w:r>
        <w:r>
          <w:rPr>
            <w:color w:val="231F20"/>
          </w:rPr>
          <w:t>properties”</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4"/>
          </w:rPr>
          <w:t>146</w:t>
        </w:r>
        <w:r>
          <w:rPr>
            <w:color w:val="231F20"/>
            <w:spacing w:val="-4"/>
          </w:rPr>
          <w:t>.</w:t>
        </w:r>
      </w:hyperlink>
    </w:p>
    <w:p>
      <w:pPr>
        <w:pStyle w:val="BodyText"/>
        <w:spacing w:line="213" w:lineRule="auto" w:before="59"/>
        <w:ind w:left="2688" w:right="274" w:hanging="216"/>
      </w:pPr>
      <w:r>
        <w:rPr>
          <w:rFonts w:ascii="Futura MdCn BT" w:hAnsi="Futura MdCn BT"/>
          <w:color w:val="231F20"/>
        </w:rPr>
        <w:t>v</w:t>
      </w:r>
      <w:r>
        <w:rPr>
          <w:rFonts w:ascii="Futura MdCn BT" w:hAnsi="Futura MdCn BT"/>
          <w:color w:val="231F20"/>
          <w:spacing w:val="80"/>
        </w:rPr>
        <w:t> </w:t>
      </w:r>
      <w:r>
        <w:rPr>
          <w:color w:val="231F20"/>
        </w:rPr>
        <w:t>You can apply your own background image to the view. See </w:t>
      </w:r>
      <w:hyperlink w:history="true" w:anchor="_bookmark111">
        <w:r>
          <w:rPr>
            <w:color w:val="231F20"/>
          </w:rPr>
          <w:t>“Creating a custom</w:t>
        </w:r>
      </w:hyperlink>
      <w:r>
        <w:rPr>
          <w:color w:val="231F20"/>
        </w:rPr>
        <w:t> </w:t>
      </w:r>
      <w:hyperlink w:history="true" w:anchor="_bookmark111">
        <w:r>
          <w:rPr>
            <w:color w:val="231F20"/>
          </w:rPr>
          <w:t>background image” on page 147.</w:t>
        </w:r>
      </w:hyperlink>
    </w:p>
    <w:p>
      <w:pPr>
        <w:pStyle w:val="BodyText"/>
        <w:spacing w:line="213" w:lineRule="auto" w:before="58"/>
        <w:ind w:left="2688" w:right="274" w:hanging="216"/>
      </w:pPr>
      <w:r>
        <w:rPr>
          <w:rFonts w:ascii="Futura MdCn BT" w:hAnsi="Futura MdCn BT"/>
          <w:color w:val="231F20"/>
        </w:rPr>
        <w:t>v</w:t>
      </w:r>
      <w:r>
        <w:rPr>
          <w:rFonts w:ascii="Futura MdCn BT" w:hAnsi="Futura MdCn BT"/>
          <w:color w:val="231F20"/>
          <w:spacing w:val="80"/>
        </w:rPr>
        <w:t> </w:t>
      </w:r>
      <w:r>
        <w:rPr>
          <w:color w:val="231F20"/>
        </w:rPr>
        <w:t>You can customize the view by changing the icons that display for the </w:t>
      </w:r>
      <w:r>
        <w:rPr>
          <w:color w:val="231F20"/>
        </w:rPr>
        <w:t>Navigator</w:t>
      </w:r>
      <w:r>
        <w:rPr>
          <w:color w:val="231F20"/>
        </w:rPr>
        <w:t> items to those of your choosing. See </w:t>
      </w:r>
      <w:hyperlink w:history="true" w:anchor="_bookmark112">
        <w:r>
          <w:rPr>
            <w:color w:val="231F20"/>
          </w:rPr>
          <w:t>“Creating custom icons” on page 148.</w:t>
        </w:r>
      </w:hyperlink>
    </w:p>
    <w:p>
      <w:pPr>
        <w:pStyle w:val="BodyText"/>
        <w:spacing w:line="213" w:lineRule="auto" w:before="59"/>
        <w:ind w:left="2688" w:right="493" w:hanging="216"/>
      </w:pPr>
      <w:r>
        <w:rPr>
          <w:rFonts w:ascii="Futura MdCn BT" w:hAnsi="Futura MdCn BT"/>
          <w:color w:val="231F20"/>
        </w:rPr>
        <w:t>v</w:t>
      </w:r>
      <w:r>
        <w:rPr>
          <w:rFonts w:ascii="Futura MdCn BT" w:hAnsi="Futura MdCn BT"/>
          <w:color w:val="231F20"/>
          <w:spacing w:val="80"/>
        </w:rPr>
        <w:t> </w:t>
      </w:r>
      <w:r>
        <w:rPr>
          <w:color w:val="231F20"/>
        </w:rPr>
        <w:t>If you create multiple graphic views and change them to use your own background and Navigator item images, consider changing the default </w:t>
      </w:r>
      <w:r>
        <w:rPr>
          <w:color w:val="231F20"/>
        </w:rPr>
        <w:t>image</w:t>
      </w:r>
      <w:r>
        <w:rPr>
          <w:color w:val="231F20"/>
        </w:rPr>
        <w:t> </w:t>
      </w:r>
      <w:bookmarkStart w:name="Graphic view toolbar" w:id="235"/>
      <w:bookmarkEnd w:id="235"/>
      <w:r>
        <w:rPr>
          <w:color w:val="231F20"/>
        </w:rPr>
        <w:t>set.</w:t>
      </w:r>
      <w:r>
        <w:rPr>
          <w:color w:val="231F20"/>
        </w:rPr>
        <w:t> See </w:t>
      </w:r>
      <w:hyperlink w:history="true" w:anchor="_bookmark113">
        <w:r>
          <w:rPr>
            <w:color w:val="231F20"/>
          </w:rPr>
          <w:t>“Changing the default graphics” on page 150.</w:t>
        </w:r>
      </w:hyperlink>
    </w:p>
    <w:p>
      <w:pPr>
        <w:pStyle w:val="Heading4"/>
        <w:spacing w:line="273" w:lineRule="exact" w:before="164"/>
        <w:ind w:left="2472"/>
      </w:pPr>
      <w:r>
        <w:rPr>
          <w:color w:val="231F20"/>
        </w:rPr>
        <w:t>Graphic</w:t>
      </w:r>
      <w:r>
        <w:rPr>
          <w:color w:val="231F20"/>
          <w:spacing w:val="5"/>
        </w:rPr>
        <w:t> </w:t>
      </w:r>
      <w:r>
        <w:rPr>
          <w:color w:val="231F20"/>
        </w:rPr>
        <w:t>view</w:t>
      </w:r>
      <w:r>
        <w:rPr>
          <w:color w:val="231F20"/>
          <w:spacing w:val="6"/>
        </w:rPr>
        <w:t> </w:t>
      </w:r>
      <w:r>
        <w:rPr>
          <w:color w:val="231F20"/>
          <w:spacing w:val="-2"/>
        </w:rPr>
        <w:t>toolbar</w:t>
      </w:r>
    </w:p>
    <w:p>
      <w:pPr>
        <w:pStyle w:val="BodyText"/>
        <w:spacing w:line="267" w:lineRule="exact"/>
        <w:ind w:left="2472"/>
      </w:pPr>
      <w:r>
        <w:rPr>
          <w:color w:val="231F20"/>
        </w:rPr>
        <w:t>Use</w:t>
      </w:r>
      <w:r>
        <w:rPr>
          <w:color w:val="231F20"/>
          <w:spacing w:val="11"/>
        </w:rPr>
        <w:t> </w:t>
      </w:r>
      <w:r>
        <w:rPr>
          <w:color w:val="231F20"/>
        </w:rPr>
        <w:t>the</w:t>
      </w:r>
      <w:r>
        <w:rPr>
          <w:color w:val="231F20"/>
          <w:spacing w:val="12"/>
        </w:rPr>
        <w:t> </w:t>
      </w:r>
      <w:r>
        <w:rPr>
          <w:color w:val="231F20"/>
        </w:rPr>
        <w:t>graphic</w:t>
      </w:r>
      <w:r>
        <w:rPr>
          <w:color w:val="231F20"/>
          <w:spacing w:val="12"/>
        </w:rPr>
        <w:t> </w:t>
      </w:r>
      <w:r>
        <w:rPr>
          <w:color w:val="231F20"/>
        </w:rPr>
        <w:t>view</w:t>
      </w:r>
      <w:r>
        <w:rPr>
          <w:color w:val="231F20"/>
          <w:spacing w:val="12"/>
        </w:rPr>
        <w:t> </w:t>
      </w:r>
      <w:r>
        <w:rPr>
          <w:color w:val="231F20"/>
        </w:rPr>
        <w:t>toolbar</w:t>
      </w:r>
      <w:r>
        <w:rPr>
          <w:color w:val="231F20"/>
          <w:spacing w:val="12"/>
        </w:rPr>
        <w:t> </w:t>
      </w:r>
      <w:r>
        <w:rPr>
          <w:color w:val="231F20"/>
        </w:rPr>
        <w:t>to</w:t>
      </w:r>
      <w:r>
        <w:rPr>
          <w:color w:val="231F20"/>
          <w:spacing w:val="12"/>
        </w:rPr>
        <w:t> </w:t>
      </w:r>
      <w:r>
        <w:rPr>
          <w:color w:val="231F20"/>
        </w:rPr>
        <w:t>adjust</w:t>
      </w:r>
      <w:r>
        <w:rPr>
          <w:color w:val="231F20"/>
          <w:spacing w:val="11"/>
        </w:rPr>
        <w:t> </w:t>
      </w:r>
      <w:r>
        <w:rPr>
          <w:color w:val="231F20"/>
        </w:rPr>
        <w:t>the</w:t>
      </w:r>
      <w:r>
        <w:rPr>
          <w:color w:val="231F20"/>
          <w:spacing w:val="12"/>
        </w:rPr>
        <w:t> </w:t>
      </w:r>
      <w:r>
        <w:rPr>
          <w:color w:val="231F20"/>
        </w:rPr>
        <w:t>icons</w:t>
      </w:r>
      <w:r>
        <w:rPr>
          <w:color w:val="231F20"/>
          <w:spacing w:val="12"/>
        </w:rPr>
        <w:t> </w:t>
      </w:r>
      <w:r>
        <w:rPr>
          <w:color w:val="231F20"/>
        </w:rPr>
        <w:t>and</w:t>
      </w:r>
      <w:r>
        <w:rPr>
          <w:color w:val="231F20"/>
          <w:spacing w:val="12"/>
        </w:rPr>
        <w:t> </w:t>
      </w:r>
      <w:r>
        <w:rPr>
          <w:color w:val="231F20"/>
        </w:rPr>
        <w:t>the</w:t>
      </w:r>
      <w:r>
        <w:rPr>
          <w:color w:val="231F20"/>
          <w:spacing w:val="12"/>
        </w:rPr>
        <w:t> </w:t>
      </w:r>
      <w:r>
        <w:rPr>
          <w:color w:val="231F20"/>
        </w:rPr>
        <w:t>view's</w:t>
      </w:r>
      <w:r>
        <w:rPr>
          <w:color w:val="231F20"/>
          <w:spacing w:val="12"/>
        </w:rPr>
        <w:t> </w:t>
      </w:r>
      <w:r>
        <w:rPr>
          <w:color w:val="231F20"/>
          <w:spacing w:val="-2"/>
        </w:rPr>
        <w:t>appearance.</w:t>
      </w:r>
    </w:p>
    <w:p>
      <w:pPr>
        <w:pStyle w:val="Heading6"/>
        <w:spacing w:before="111"/>
      </w:pPr>
      <w:r>
        <w:rPr>
          <w:b w:val="0"/>
          <w:position w:val="-1"/>
        </w:rPr>
        <w:drawing>
          <wp:inline distT="0" distB="0" distL="0" distR="0">
            <wp:extent cx="95250" cy="95250"/>
            <wp:effectExtent l="0" t="0" r="0" b="0"/>
            <wp:docPr id="1415" name="Image 1415"/>
            <wp:cNvGraphicFramePr>
              <a:graphicFrameLocks/>
            </wp:cNvGraphicFramePr>
            <a:graphic>
              <a:graphicData uri="http://schemas.openxmlformats.org/drawingml/2006/picture">
                <pic:pic>
                  <pic:nvPicPr>
                    <pic:cNvPr id="1415" name="Image 1415"/>
                    <pic:cNvPicPr/>
                  </pic:nvPicPr>
                  <pic:blipFill>
                    <a:blip r:embed="rId274"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rPr>
        <w:t> </w:t>
      </w:r>
      <w:r>
        <w:rPr>
          <w:color w:val="231F20"/>
        </w:rPr>
        <w:t>Reload</w:t>
      </w:r>
      <w:r>
        <w:rPr>
          <w:color w:val="231F20"/>
          <w:spacing w:val="22"/>
        </w:rPr>
        <w:t> </w:t>
      </w:r>
      <w:r>
        <w:rPr>
          <w:color w:val="231F20"/>
        </w:rPr>
        <w:t>Stylesheets</w:t>
      </w:r>
    </w:p>
    <w:p>
      <w:pPr>
        <w:pStyle w:val="BodyText"/>
        <w:spacing w:line="213" w:lineRule="auto" w:before="12"/>
        <w:ind w:left="3190" w:right="385"/>
      </w:pPr>
      <w:r>
        <w:rPr>
          <w:color w:val="231F20"/>
        </w:rPr>
        <w:t>Resets the view and refreshes the icon style. It is useful if you are working with a view and the icons change state or move around unexpectedly.</w:t>
      </w:r>
    </w:p>
    <w:p>
      <w:pPr>
        <w:pStyle w:val="Heading6"/>
      </w:pPr>
      <w:r>
        <w:rPr>
          <w:b w:val="0"/>
          <w:position w:val="-1"/>
        </w:rPr>
        <w:drawing>
          <wp:inline distT="0" distB="0" distL="0" distR="0">
            <wp:extent cx="101600" cy="101600"/>
            <wp:effectExtent l="0" t="0" r="0" b="0"/>
            <wp:docPr id="1416" name="Image 1416"/>
            <wp:cNvGraphicFramePr>
              <a:graphicFrameLocks/>
            </wp:cNvGraphicFramePr>
            <a:graphic>
              <a:graphicData uri="http://schemas.openxmlformats.org/drawingml/2006/picture">
                <pic:pic>
                  <pic:nvPicPr>
                    <pic:cNvPr id="1416" name="Image 1416"/>
                    <pic:cNvPicPr/>
                  </pic:nvPicPr>
                  <pic:blipFill>
                    <a:blip r:embed="rId275"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Actual Size</w:t>
      </w:r>
    </w:p>
    <w:p>
      <w:pPr>
        <w:pStyle w:val="BodyText"/>
        <w:spacing w:line="243" w:lineRule="exact"/>
        <w:ind w:left="3190"/>
      </w:pPr>
      <w:r>
        <w:rPr>
          <w:color w:val="231F20"/>
        </w:rPr>
        <w:t>Displays</w:t>
      </w:r>
      <w:r>
        <w:rPr>
          <w:color w:val="231F20"/>
          <w:spacing w:val="11"/>
        </w:rPr>
        <w:t> </w:t>
      </w:r>
      <w:r>
        <w:rPr>
          <w:color w:val="231F20"/>
        </w:rPr>
        <w:t>graphics</w:t>
      </w:r>
      <w:r>
        <w:rPr>
          <w:color w:val="231F20"/>
          <w:spacing w:val="11"/>
        </w:rPr>
        <w:t> </w:t>
      </w:r>
      <w:r>
        <w:rPr>
          <w:color w:val="231F20"/>
        </w:rPr>
        <w:t>at</w:t>
      </w:r>
      <w:r>
        <w:rPr>
          <w:color w:val="231F20"/>
          <w:spacing w:val="11"/>
        </w:rPr>
        <w:t> </w:t>
      </w:r>
      <w:r>
        <w:rPr>
          <w:color w:val="231F20"/>
        </w:rPr>
        <w:t>100%.</w:t>
      </w:r>
      <w:r>
        <w:rPr>
          <w:color w:val="231F20"/>
          <w:spacing w:val="12"/>
        </w:rPr>
        <w:t> </w:t>
      </w:r>
      <w:r>
        <w:rPr>
          <w:color w:val="231F20"/>
        </w:rPr>
        <w:t>Suitable</w:t>
      </w:r>
      <w:r>
        <w:rPr>
          <w:color w:val="231F20"/>
          <w:spacing w:val="11"/>
        </w:rPr>
        <w:t> </w:t>
      </w:r>
      <w:r>
        <w:rPr>
          <w:color w:val="231F20"/>
        </w:rPr>
        <w:t>for</w:t>
      </w:r>
      <w:r>
        <w:rPr>
          <w:color w:val="231F20"/>
          <w:spacing w:val="11"/>
        </w:rPr>
        <w:t> </w:t>
      </w:r>
      <w:r>
        <w:rPr>
          <w:color w:val="231F20"/>
        </w:rPr>
        <w:t>raster</w:t>
      </w:r>
      <w:r>
        <w:rPr>
          <w:color w:val="231F20"/>
          <w:spacing w:val="11"/>
        </w:rPr>
        <w:t> </w:t>
      </w:r>
      <w:r>
        <w:rPr>
          <w:color w:val="231F20"/>
        </w:rPr>
        <w:t>images</w:t>
      </w:r>
      <w:r>
        <w:rPr>
          <w:color w:val="231F20"/>
          <w:spacing w:val="12"/>
        </w:rPr>
        <w:t> </w:t>
      </w:r>
      <w:r>
        <w:rPr>
          <w:color w:val="231F20"/>
        </w:rPr>
        <w:t>such</w:t>
      </w:r>
      <w:r>
        <w:rPr>
          <w:color w:val="231F20"/>
          <w:spacing w:val="11"/>
        </w:rPr>
        <w:t> </w:t>
      </w:r>
      <w:r>
        <w:rPr>
          <w:color w:val="231F20"/>
        </w:rPr>
        <w:t>as</w:t>
      </w:r>
      <w:r>
        <w:rPr>
          <w:color w:val="231F20"/>
          <w:spacing w:val="11"/>
        </w:rPr>
        <w:t> </w:t>
      </w:r>
      <w:r>
        <w:rPr>
          <w:color w:val="231F20"/>
        </w:rPr>
        <w:t>.gif,</w:t>
      </w:r>
      <w:r>
        <w:rPr>
          <w:color w:val="231F20"/>
          <w:spacing w:val="12"/>
        </w:rPr>
        <w:t> </w:t>
      </w:r>
      <w:r>
        <w:rPr>
          <w:color w:val="231F20"/>
        </w:rPr>
        <w:t>.jpeg</w:t>
      </w:r>
      <w:r>
        <w:rPr>
          <w:color w:val="231F20"/>
          <w:spacing w:val="11"/>
        </w:rPr>
        <w:t> </w:t>
      </w:r>
      <w:r>
        <w:rPr>
          <w:color w:val="231F20"/>
          <w:spacing w:val="-5"/>
        </w:rPr>
        <w:t>and</w:t>
      </w:r>
    </w:p>
    <w:p>
      <w:pPr>
        <w:pStyle w:val="BodyText"/>
        <w:spacing w:line="213" w:lineRule="auto" w:before="8"/>
        <w:ind w:left="3190" w:right="545"/>
      </w:pPr>
      <w:r>
        <w:rPr>
          <w:color w:val="231F20"/>
        </w:rPr>
        <w:t>.png files. Not applicable to map files and is disabled when a </w:t>
      </w:r>
      <w:r>
        <w:rPr>
          <w:color w:val="231F20"/>
        </w:rPr>
        <w:t>map background displays.</w:t>
      </w:r>
    </w:p>
    <w:p>
      <w:pPr>
        <w:pStyle w:val="BodyText"/>
        <w:spacing w:line="213" w:lineRule="auto" w:before="118"/>
        <w:ind w:left="3190" w:right="545"/>
      </w:pPr>
      <w:r>
        <w:rPr>
          <w:color w:val="231F20"/>
        </w:rPr>
        <w:t>If you clicked </w:t>
      </w:r>
      <w:r>
        <w:rPr>
          <w:color w:val="231F20"/>
          <w:spacing w:val="-24"/>
          <w:position w:val="-1"/>
        </w:rPr>
        <w:drawing>
          <wp:inline distT="0" distB="0" distL="0" distR="0">
            <wp:extent cx="95250" cy="95249"/>
            <wp:effectExtent l="0" t="0" r="0" b="0"/>
            <wp:docPr id="1417" name="Image 1417"/>
            <wp:cNvGraphicFramePr>
              <a:graphicFrameLocks/>
            </wp:cNvGraphicFramePr>
            <a:graphic>
              <a:graphicData uri="http://schemas.openxmlformats.org/drawingml/2006/picture">
                <pic:pic>
                  <pic:nvPicPr>
                    <pic:cNvPr id="1417" name="Image 1417"/>
                    <pic:cNvPicPr/>
                  </pic:nvPicPr>
                  <pic:blipFill>
                    <a:blip r:embed="rId255" cstate="print"/>
                    <a:stretch>
                      <a:fillRect/>
                    </a:stretch>
                  </pic:blipFill>
                  <pic:spPr>
                    <a:xfrm>
                      <a:off x="0" y="0"/>
                      <a:ext cx="95250" cy="95249"/>
                    </a:xfrm>
                    <a:prstGeom prst="rect">
                      <a:avLst/>
                    </a:prstGeom>
                  </pic:spPr>
                </pic:pic>
              </a:graphicData>
            </a:graphic>
          </wp:inline>
        </w:drawing>
      </w:r>
      <w:r>
        <w:rPr>
          <w:color w:val="231F20"/>
          <w:spacing w:val="-24"/>
          <w:position w:val="-1"/>
        </w:rPr>
      </w:r>
      <w:r>
        <w:rPr>
          <w:rFonts w:ascii="Times New Roman"/>
          <w:color w:val="231F20"/>
          <w:spacing w:val="75"/>
        </w:rPr>
        <w:t> </w:t>
      </w:r>
      <w:r>
        <w:rPr>
          <w:color w:val="231F20"/>
        </w:rPr>
        <w:t>Fit to Contents, Actual Size returns the </w:t>
      </w:r>
      <w:r>
        <w:rPr>
          <w:color w:val="231F20"/>
        </w:rPr>
        <w:t>background graphic and icons to their original size.</w:t>
      </w:r>
    </w:p>
    <w:p>
      <w:pPr>
        <w:pStyle w:val="Heading6"/>
        <w:ind w:left="2482"/>
      </w:pPr>
      <w:r>
        <w:rPr>
          <w:b w:val="0"/>
          <w:position w:val="-1"/>
        </w:rPr>
        <w:drawing>
          <wp:inline distT="0" distB="0" distL="0" distR="0">
            <wp:extent cx="95250" cy="95250"/>
            <wp:effectExtent l="0" t="0" r="0" b="0"/>
            <wp:docPr id="1418" name="Image 1418"/>
            <wp:cNvGraphicFramePr>
              <a:graphicFrameLocks/>
            </wp:cNvGraphicFramePr>
            <a:graphic>
              <a:graphicData uri="http://schemas.openxmlformats.org/drawingml/2006/picture">
                <pic:pic>
                  <pic:nvPicPr>
                    <pic:cNvPr id="1418" name="Image 1418"/>
                    <pic:cNvPicPr/>
                  </pic:nvPicPr>
                  <pic:blipFill>
                    <a:blip r:embed="rId255"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80"/>
        </w:rPr>
        <w:t> </w:t>
      </w:r>
      <w:r>
        <w:rPr>
          <w:color w:val="231F20"/>
        </w:rPr>
        <w:t>Fit</w:t>
      </w:r>
      <w:r>
        <w:rPr>
          <w:color w:val="231F20"/>
          <w:spacing w:val="34"/>
        </w:rPr>
        <w:t> </w:t>
      </w:r>
      <w:r>
        <w:rPr>
          <w:color w:val="231F20"/>
        </w:rPr>
        <w:t>to</w:t>
      </w:r>
      <w:r>
        <w:rPr>
          <w:color w:val="231F20"/>
          <w:spacing w:val="34"/>
        </w:rPr>
        <w:t> </w:t>
      </w:r>
      <w:r>
        <w:rPr>
          <w:color w:val="231F20"/>
        </w:rPr>
        <w:t>Contents</w:t>
      </w:r>
    </w:p>
    <w:p>
      <w:pPr>
        <w:pStyle w:val="BodyText"/>
        <w:spacing w:line="213" w:lineRule="auto" w:before="12"/>
        <w:ind w:left="3190" w:right="545"/>
      </w:pPr>
      <w:r>
        <w:rPr>
          <w:color w:val="231F20"/>
        </w:rPr>
        <w:t>Scales the view so that all icons are visible. This is useful when you have added or removed icons. Click Actual Size to go back to original size.</w:t>
      </w:r>
    </w:p>
    <w:p>
      <w:pPr>
        <w:pStyle w:val="Heading6"/>
      </w:pPr>
      <w:r>
        <w:rPr>
          <w:b w:val="0"/>
          <w:position w:val="-1"/>
        </w:rPr>
        <w:drawing>
          <wp:inline distT="0" distB="0" distL="0" distR="0">
            <wp:extent cx="101600" cy="101600"/>
            <wp:effectExtent l="0" t="0" r="0" b="0"/>
            <wp:docPr id="1419" name="Image 1419"/>
            <wp:cNvGraphicFramePr>
              <a:graphicFrameLocks/>
            </wp:cNvGraphicFramePr>
            <a:graphic>
              <a:graphicData uri="http://schemas.openxmlformats.org/drawingml/2006/picture">
                <pic:pic>
                  <pic:nvPicPr>
                    <pic:cNvPr id="1419" name="Image 1419"/>
                    <pic:cNvPicPr/>
                  </pic:nvPicPr>
                  <pic:blipFill>
                    <a:blip r:embed="rId276"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in</w:t>
      </w:r>
    </w:p>
    <w:p>
      <w:pPr>
        <w:pStyle w:val="BodyText"/>
        <w:spacing w:line="258" w:lineRule="exact"/>
        <w:ind w:left="3190"/>
      </w:pPr>
      <w:r>
        <w:rPr>
          <w:color w:val="231F20"/>
        </w:rPr>
        <w:t>Zooms</w:t>
      </w:r>
      <w:r>
        <w:rPr>
          <w:color w:val="231F20"/>
          <w:spacing w:val="12"/>
        </w:rPr>
        <w:t> </w:t>
      </w:r>
      <w:r>
        <w:rPr>
          <w:color w:val="231F20"/>
        </w:rPr>
        <w:t>in</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view</w:t>
      </w:r>
      <w:r>
        <w:rPr>
          <w:color w:val="231F20"/>
          <w:spacing w:val="12"/>
        </w:rPr>
        <w:t> </w:t>
      </w:r>
      <w:r>
        <w:rPr>
          <w:color w:val="231F20"/>
        </w:rPr>
        <w:t>to</w:t>
      </w:r>
      <w:r>
        <w:rPr>
          <w:color w:val="231F20"/>
          <w:spacing w:val="12"/>
        </w:rPr>
        <w:t> </w:t>
      </w:r>
      <w:r>
        <w:rPr>
          <w:color w:val="231F20"/>
        </w:rPr>
        <w:t>see</w:t>
      </w:r>
      <w:r>
        <w:rPr>
          <w:color w:val="231F20"/>
          <w:spacing w:val="12"/>
        </w:rPr>
        <w:t> </w:t>
      </w:r>
      <w:r>
        <w:rPr>
          <w:color w:val="231F20"/>
        </w:rPr>
        <w:t>an</w:t>
      </w:r>
      <w:r>
        <w:rPr>
          <w:color w:val="231F20"/>
          <w:spacing w:val="12"/>
        </w:rPr>
        <w:t> </w:t>
      </w:r>
      <w:r>
        <w:rPr>
          <w:color w:val="231F20"/>
        </w:rPr>
        <w:t>enlarged</w:t>
      </w:r>
      <w:r>
        <w:rPr>
          <w:color w:val="231F20"/>
          <w:spacing w:val="12"/>
        </w:rPr>
        <w:t> </w:t>
      </w:r>
      <w:r>
        <w:rPr>
          <w:color w:val="231F20"/>
          <w:spacing w:val="-2"/>
        </w:rPr>
        <w:t>version.</w:t>
      </w:r>
    </w:p>
    <w:p>
      <w:pPr>
        <w:pStyle w:val="Heading6"/>
        <w:spacing w:before="111"/>
      </w:pPr>
      <w:r>
        <w:rPr>
          <w:b w:val="0"/>
          <w:position w:val="-1"/>
        </w:rPr>
        <w:drawing>
          <wp:inline distT="0" distB="0" distL="0" distR="0">
            <wp:extent cx="101600" cy="101600"/>
            <wp:effectExtent l="0" t="0" r="0" b="0"/>
            <wp:docPr id="1420" name="Image 1420"/>
            <wp:cNvGraphicFramePr>
              <a:graphicFrameLocks/>
            </wp:cNvGraphicFramePr>
            <a:graphic>
              <a:graphicData uri="http://schemas.openxmlformats.org/drawingml/2006/picture">
                <pic:pic>
                  <pic:nvPicPr>
                    <pic:cNvPr id="1420" name="Image 1420"/>
                    <pic:cNvPicPr/>
                  </pic:nvPicPr>
                  <pic:blipFill>
                    <a:blip r:embed="rId277"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out</w:t>
      </w:r>
    </w:p>
    <w:p>
      <w:pPr>
        <w:pStyle w:val="BodyText"/>
        <w:spacing w:line="258" w:lineRule="exact"/>
        <w:ind w:left="3190"/>
      </w:pPr>
      <w:r>
        <w:rPr>
          <w:color w:val="231F20"/>
        </w:rPr>
        <w:t>Zooms</w:t>
      </w:r>
      <w:r>
        <w:rPr>
          <w:color w:val="231F20"/>
          <w:spacing w:val="12"/>
        </w:rPr>
        <w:t> </w:t>
      </w:r>
      <w:r>
        <w:rPr>
          <w:color w:val="231F20"/>
        </w:rPr>
        <w:t>the</w:t>
      </w:r>
      <w:r>
        <w:rPr>
          <w:color w:val="231F20"/>
          <w:spacing w:val="12"/>
        </w:rPr>
        <w:t> </w:t>
      </w:r>
      <w:r>
        <w:rPr>
          <w:color w:val="231F20"/>
        </w:rPr>
        <w:t>view</w:t>
      </w:r>
      <w:r>
        <w:rPr>
          <w:color w:val="231F20"/>
          <w:spacing w:val="13"/>
        </w:rPr>
        <w:t> </w:t>
      </w:r>
      <w:r>
        <w:rPr>
          <w:color w:val="231F20"/>
        </w:rPr>
        <w:t>out</w:t>
      </w:r>
      <w:r>
        <w:rPr>
          <w:color w:val="231F20"/>
          <w:spacing w:val="12"/>
        </w:rPr>
        <w:t> </w:t>
      </w:r>
      <w:r>
        <w:rPr>
          <w:color w:val="231F20"/>
        </w:rPr>
        <w:t>to</w:t>
      </w:r>
      <w:r>
        <w:rPr>
          <w:color w:val="231F20"/>
          <w:spacing w:val="12"/>
        </w:rPr>
        <w:t> </w:t>
      </w:r>
      <w:r>
        <w:rPr>
          <w:color w:val="231F20"/>
        </w:rPr>
        <w:t>a</w:t>
      </w:r>
      <w:r>
        <w:rPr>
          <w:color w:val="231F20"/>
          <w:spacing w:val="13"/>
        </w:rPr>
        <w:t> </w:t>
      </w:r>
      <w:r>
        <w:rPr>
          <w:color w:val="231F20"/>
        </w:rPr>
        <w:t>smaller</w:t>
      </w:r>
      <w:r>
        <w:rPr>
          <w:color w:val="231F20"/>
          <w:spacing w:val="12"/>
        </w:rPr>
        <w:t> </w:t>
      </w:r>
      <w:r>
        <w:rPr>
          <w:color w:val="231F20"/>
          <w:spacing w:val="-2"/>
        </w:rPr>
        <w:t>size.</w:t>
      </w:r>
    </w:p>
    <w:p>
      <w:pPr>
        <w:pStyle w:val="Heading6"/>
        <w:spacing w:before="111"/>
      </w:pPr>
      <w:r>
        <w:rPr>
          <w:b w:val="0"/>
          <w:position w:val="-1"/>
        </w:rPr>
        <w:drawing>
          <wp:inline distT="0" distB="0" distL="0" distR="0">
            <wp:extent cx="101600" cy="101600"/>
            <wp:effectExtent l="0" t="0" r="0" b="0"/>
            <wp:docPr id="1421" name="Image 1421"/>
            <wp:cNvGraphicFramePr>
              <a:graphicFrameLocks/>
            </wp:cNvGraphicFramePr>
            <a:graphic>
              <a:graphicData uri="http://schemas.openxmlformats.org/drawingml/2006/picture">
                <pic:pic>
                  <pic:nvPicPr>
                    <pic:cNvPr id="1421" name="Image 1421"/>
                    <pic:cNvPicPr/>
                  </pic:nvPicPr>
                  <pic:blipFill>
                    <a:blip r:embed="rId278"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Box</w:t>
      </w:r>
    </w:p>
    <w:p>
      <w:pPr>
        <w:pStyle w:val="BodyText"/>
        <w:spacing w:line="258" w:lineRule="exact"/>
        <w:ind w:left="3190"/>
      </w:pPr>
      <w:r>
        <w:rPr>
          <w:color w:val="231F20"/>
        </w:rPr>
        <w:t>Expands</w:t>
      </w:r>
      <w:r>
        <w:rPr>
          <w:color w:val="231F20"/>
          <w:spacing w:val="11"/>
        </w:rPr>
        <w:t> </w:t>
      </w:r>
      <w:r>
        <w:rPr>
          <w:color w:val="231F20"/>
        </w:rPr>
        <w:t>or</w:t>
      </w:r>
      <w:r>
        <w:rPr>
          <w:color w:val="231F20"/>
          <w:spacing w:val="12"/>
        </w:rPr>
        <w:t> </w:t>
      </w:r>
      <w:r>
        <w:rPr>
          <w:color w:val="231F20"/>
        </w:rPr>
        <w:t>contracts</w:t>
      </w:r>
      <w:r>
        <w:rPr>
          <w:color w:val="231F20"/>
          <w:spacing w:val="12"/>
        </w:rPr>
        <w:t> </w:t>
      </w:r>
      <w:r>
        <w:rPr>
          <w:color w:val="231F20"/>
        </w:rPr>
        <w:t>the</w:t>
      </w:r>
      <w:r>
        <w:rPr>
          <w:color w:val="231F20"/>
          <w:spacing w:val="12"/>
        </w:rPr>
        <w:t> </w:t>
      </w:r>
      <w:r>
        <w:rPr>
          <w:color w:val="231F20"/>
        </w:rPr>
        <w:t>view</w:t>
      </w:r>
      <w:r>
        <w:rPr>
          <w:color w:val="231F20"/>
          <w:spacing w:val="12"/>
        </w:rPr>
        <w:t> </w:t>
      </w:r>
      <w:r>
        <w:rPr>
          <w:color w:val="231F20"/>
        </w:rPr>
        <w:t>to</w:t>
      </w:r>
      <w:r>
        <w:rPr>
          <w:color w:val="231F20"/>
          <w:spacing w:val="12"/>
        </w:rPr>
        <w:t> </w:t>
      </w:r>
      <w:r>
        <w:rPr>
          <w:color w:val="231F20"/>
        </w:rPr>
        <w:t>fit</w:t>
      </w:r>
      <w:r>
        <w:rPr>
          <w:color w:val="231F20"/>
          <w:spacing w:val="12"/>
        </w:rPr>
        <w:t> </w:t>
      </w:r>
      <w:r>
        <w:rPr>
          <w:color w:val="231F20"/>
        </w:rPr>
        <w:t>a</w:t>
      </w:r>
      <w:r>
        <w:rPr>
          <w:color w:val="231F20"/>
          <w:spacing w:val="12"/>
        </w:rPr>
        <w:t> </w:t>
      </w:r>
      <w:r>
        <w:rPr>
          <w:color w:val="231F20"/>
        </w:rPr>
        <w:t>selected</w:t>
      </w:r>
      <w:r>
        <w:rPr>
          <w:color w:val="231F20"/>
          <w:spacing w:val="12"/>
        </w:rPr>
        <w:t> </w:t>
      </w:r>
      <w:r>
        <w:rPr>
          <w:color w:val="231F20"/>
          <w:spacing w:val="-2"/>
        </w:rPr>
        <w:t>area.</w:t>
      </w:r>
    </w:p>
    <w:p>
      <w:pPr>
        <w:pStyle w:val="BodyText"/>
        <w:spacing w:before="90"/>
        <w:ind w:left="2482"/>
      </w:pPr>
      <w:r>
        <w:rPr>
          <w:position w:val="-1"/>
        </w:rPr>
        <w:drawing>
          <wp:inline distT="0" distB="0" distL="0" distR="0">
            <wp:extent cx="95250" cy="95250"/>
            <wp:effectExtent l="0" t="0" r="0" b="0"/>
            <wp:docPr id="1422" name="Image 1422"/>
            <wp:cNvGraphicFramePr>
              <a:graphicFrameLocks/>
            </wp:cNvGraphicFramePr>
            <a:graphic>
              <a:graphicData uri="http://schemas.openxmlformats.org/drawingml/2006/picture">
                <pic:pic>
                  <pic:nvPicPr>
                    <pic:cNvPr id="1422" name="Image 1422"/>
                    <pic:cNvPicPr/>
                  </pic:nvPicPr>
                  <pic:blipFill>
                    <a:blip r:embed="rId279"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
        </w:rPr>
        <w:t> </w:t>
      </w:r>
      <w:r>
        <w:rPr>
          <w:rFonts w:ascii="Book Antiqua"/>
          <w:b/>
          <w:color w:val="231F20"/>
        </w:rPr>
        <w:t>Pan</w:t>
      </w:r>
      <w:r>
        <w:rPr>
          <w:rFonts w:ascii="Book Antiqua"/>
          <w:b/>
          <w:color w:val="231F20"/>
          <w:spacing w:val="80"/>
          <w:w w:val="150"/>
        </w:rPr>
        <w:t> </w:t>
      </w:r>
      <w:r>
        <w:rPr>
          <w:color w:val="231F20"/>
        </w:rPr>
        <w:t>Pans</w:t>
      </w:r>
      <w:r>
        <w:rPr>
          <w:color w:val="231F20"/>
          <w:spacing w:val="12"/>
        </w:rPr>
        <w:t> </w:t>
      </w:r>
      <w:r>
        <w:rPr>
          <w:color w:val="231F20"/>
        </w:rPr>
        <w:t>the</w:t>
      </w:r>
      <w:r>
        <w:rPr>
          <w:color w:val="231F20"/>
          <w:spacing w:val="12"/>
        </w:rPr>
        <w:t> </w:t>
      </w:r>
      <w:r>
        <w:rPr>
          <w:color w:val="231F20"/>
        </w:rPr>
        <w:t>image</w:t>
      </w:r>
      <w:r>
        <w:rPr>
          <w:color w:val="231F20"/>
          <w:spacing w:val="12"/>
        </w:rPr>
        <w:t> </w:t>
      </w:r>
      <w:r>
        <w:rPr>
          <w:color w:val="231F20"/>
        </w:rPr>
        <w:t>including</w:t>
      </w:r>
      <w:r>
        <w:rPr>
          <w:color w:val="231F20"/>
          <w:spacing w:val="12"/>
        </w:rPr>
        <w:t> </w:t>
      </w:r>
      <w:r>
        <w:rPr>
          <w:color w:val="231F20"/>
        </w:rPr>
        <w:t>background</w:t>
      </w:r>
      <w:r>
        <w:rPr>
          <w:color w:val="231F20"/>
          <w:spacing w:val="12"/>
        </w:rPr>
        <w:t> </w:t>
      </w:r>
      <w:r>
        <w:rPr>
          <w:color w:val="231F20"/>
        </w:rPr>
        <w:t>and</w:t>
      </w:r>
      <w:r>
        <w:rPr>
          <w:color w:val="231F20"/>
          <w:spacing w:val="12"/>
        </w:rPr>
        <w:t> </w:t>
      </w:r>
      <w:r>
        <w:rPr>
          <w:color w:val="231F20"/>
        </w:rPr>
        <w:t>icons.</w:t>
      </w:r>
    </w:p>
    <w:p>
      <w:pPr>
        <w:spacing w:after="0"/>
        <w:sectPr>
          <w:pgSz w:w="12240" w:h="15840"/>
          <w:pgMar w:header="0" w:footer="736" w:top="1140" w:bottom="920" w:left="1000" w:right="1060"/>
        </w:sectPr>
      </w:pPr>
    </w:p>
    <w:p>
      <w:pPr>
        <w:pStyle w:val="Heading6"/>
        <w:spacing w:before="83"/>
        <w:ind w:left="2232"/>
      </w:pPr>
      <w:bookmarkStart w:name="_bookmark110" w:id="236"/>
      <w:bookmarkEnd w:id="236"/>
      <w:r>
        <w:rPr>
          <w:b w:val="0"/>
        </w:rPr>
      </w:r>
      <w:r>
        <w:rPr>
          <w:b w:val="0"/>
          <w:position w:val="-1"/>
        </w:rPr>
        <w:drawing>
          <wp:inline distT="0" distB="0" distL="0" distR="0">
            <wp:extent cx="95250" cy="101600"/>
            <wp:effectExtent l="0" t="0" r="0" b="0"/>
            <wp:docPr id="1423" name="Image 1423"/>
            <wp:cNvGraphicFramePr>
              <a:graphicFrameLocks/>
            </wp:cNvGraphicFramePr>
            <a:graphic>
              <a:graphicData uri="http://schemas.openxmlformats.org/drawingml/2006/picture">
                <pic:pic>
                  <pic:nvPicPr>
                    <pic:cNvPr id="1423" name="Image 1423"/>
                    <pic:cNvPicPr/>
                  </pic:nvPicPr>
                  <pic:blipFill>
                    <a:blip r:embed="rId280"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Overview</w:t>
      </w:r>
    </w:p>
    <w:p>
      <w:pPr>
        <w:pStyle w:val="BodyText"/>
        <w:spacing w:line="213" w:lineRule="auto" w:before="12"/>
        <w:ind w:left="2951" w:right="545"/>
      </w:pPr>
      <w:r>
        <w:rPr>
          <w:color w:val="231F20"/>
        </w:rPr>
        <w:t>Opens the overview window. The Overview window has a box, which </w:t>
      </w:r>
      <w:r>
        <w:rPr>
          <w:color w:val="231F20"/>
        </w:rPr>
        <w:t>you can grab to pan the image.</w:t>
      </w:r>
    </w:p>
    <w:p>
      <w:pPr>
        <w:pStyle w:val="Heading6"/>
        <w:ind w:left="2262"/>
      </w:pPr>
      <w:r>
        <w:rPr>
          <w:b w:val="0"/>
          <w:position w:val="-1"/>
        </w:rPr>
        <w:drawing>
          <wp:inline distT="0" distB="0" distL="0" distR="0">
            <wp:extent cx="63500" cy="101600"/>
            <wp:effectExtent l="0" t="0" r="0" b="0"/>
            <wp:docPr id="1424" name="Image 1424"/>
            <wp:cNvGraphicFramePr>
              <a:graphicFrameLocks/>
            </wp:cNvGraphicFramePr>
            <a:graphic>
              <a:graphicData uri="http://schemas.openxmlformats.org/drawingml/2006/picture">
                <pic:pic>
                  <pic:nvPicPr>
                    <pic:cNvPr id="1424" name="Image 1424"/>
                    <pic:cNvPicPr/>
                  </pic:nvPicPr>
                  <pic:blipFill>
                    <a:blip r:embed="rId273" cstate="print"/>
                    <a:stretch>
                      <a:fillRect/>
                    </a:stretch>
                  </pic:blipFill>
                  <pic:spPr>
                    <a:xfrm>
                      <a:off x="0" y="0"/>
                      <a:ext cx="63500" cy="101600"/>
                    </a:xfrm>
                    <a:prstGeom prst="rect">
                      <a:avLst/>
                    </a:prstGeom>
                  </pic:spPr>
                </pic:pic>
              </a:graphicData>
            </a:graphic>
          </wp:inline>
        </w:drawing>
      </w:r>
      <w:r>
        <w:rPr>
          <w:b w:val="0"/>
          <w:position w:val="-1"/>
        </w:rPr>
      </w:r>
      <w:r>
        <w:rPr>
          <w:rFonts w:ascii="Times New Roman"/>
          <w:b w:val="0"/>
          <w:spacing w:val="40"/>
        </w:rPr>
        <w:t> </w:t>
      </w:r>
      <w:r>
        <w:rPr>
          <w:color w:val="231F20"/>
        </w:rPr>
        <w:t>Select</w:t>
      </w:r>
    </w:p>
    <w:p>
      <w:pPr>
        <w:pStyle w:val="BodyText"/>
        <w:spacing w:line="213" w:lineRule="auto" w:before="11"/>
        <w:ind w:left="2951" w:right="438"/>
      </w:pPr>
      <w:r>
        <w:rPr>
          <w:color w:val="231F20"/>
        </w:rPr>
        <w:t>Selection mode. This is a toggle tool: click it again to turn off selection. </w:t>
      </w:r>
      <w:r>
        <w:rPr>
          <w:color w:val="231F20"/>
        </w:rPr>
        <w:t>Use the Select tool to drag an icon into position or to select it for removal. You can</w:t>
      </w:r>
      <w:r>
        <w:rPr>
          <w:color w:val="231F20"/>
          <w:spacing w:val="20"/>
        </w:rPr>
        <w:t> </w:t>
      </w:r>
      <w:r>
        <w:rPr>
          <w:color w:val="231F20"/>
        </w:rPr>
        <w:t>click</w:t>
      </w:r>
      <w:r>
        <w:rPr>
          <w:color w:val="231F20"/>
          <w:spacing w:val="20"/>
        </w:rPr>
        <w:t> </w:t>
      </w:r>
      <w:r>
        <w:rPr>
          <w:color w:val="231F20"/>
        </w:rPr>
        <w:t>and</w:t>
      </w:r>
      <w:r>
        <w:rPr>
          <w:color w:val="231F20"/>
          <w:spacing w:val="20"/>
        </w:rPr>
        <w:t> </w:t>
      </w:r>
      <w:r>
        <w:rPr>
          <w:color w:val="231F20"/>
        </w:rPr>
        <w:t>drag</w:t>
      </w:r>
      <w:r>
        <w:rPr>
          <w:color w:val="231F20"/>
          <w:spacing w:val="20"/>
        </w:rPr>
        <w:t> </w:t>
      </w:r>
      <w:r>
        <w:rPr>
          <w:color w:val="231F20"/>
        </w:rPr>
        <w:t>from</w:t>
      </w:r>
      <w:r>
        <w:rPr>
          <w:color w:val="231F20"/>
          <w:spacing w:val="20"/>
        </w:rPr>
        <w:t> </w:t>
      </w:r>
      <w:r>
        <w:rPr>
          <w:color w:val="231F20"/>
        </w:rPr>
        <w:t>one</w:t>
      </w:r>
      <w:r>
        <w:rPr>
          <w:color w:val="231F20"/>
          <w:spacing w:val="20"/>
        </w:rPr>
        <w:t> </w:t>
      </w:r>
      <w:r>
        <w:rPr>
          <w:color w:val="231F20"/>
        </w:rPr>
        <w:t>point</w:t>
      </w:r>
      <w:r>
        <w:rPr>
          <w:color w:val="231F20"/>
          <w:spacing w:val="20"/>
        </w:rPr>
        <w:t> </w:t>
      </w:r>
      <w:r>
        <w:rPr>
          <w:color w:val="231F20"/>
        </w:rPr>
        <w:t>to</w:t>
      </w:r>
      <w:r>
        <w:rPr>
          <w:color w:val="231F20"/>
          <w:spacing w:val="20"/>
        </w:rPr>
        <w:t> </w:t>
      </w:r>
      <w:r>
        <w:rPr>
          <w:color w:val="231F20"/>
        </w:rPr>
        <w:t>the</w:t>
      </w:r>
      <w:r>
        <w:rPr>
          <w:color w:val="231F20"/>
          <w:spacing w:val="20"/>
        </w:rPr>
        <w:t> </w:t>
      </w:r>
      <w:r>
        <w:rPr>
          <w:color w:val="231F20"/>
        </w:rPr>
        <w:t>opposite</w:t>
      </w:r>
      <w:r>
        <w:rPr>
          <w:color w:val="231F20"/>
          <w:spacing w:val="20"/>
        </w:rPr>
        <w:t> </w:t>
      </w:r>
      <w:r>
        <w:rPr>
          <w:color w:val="231F20"/>
        </w:rPr>
        <w:t>corner</w:t>
      </w:r>
      <w:r>
        <w:rPr>
          <w:color w:val="231F20"/>
          <w:spacing w:val="20"/>
        </w:rPr>
        <w:t> </w:t>
      </w:r>
      <w:r>
        <w:rPr>
          <w:color w:val="231F20"/>
        </w:rPr>
        <w:t>to</w:t>
      </w:r>
      <w:r>
        <w:rPr>
          <w:color w:val="231F20"/>
          <w:spacing w:val="20"/>
        </w:rPr>
        <w:t> </w:t>
      </w:r>
      <w:r>
        <w:rPr>
          <w:color w:val="231F20"/>
        </w:rPr>
        <w:t>select</w:t>
      </w:r>
      <w:r>
        <w:rPr>
          <w:color w:val="231F20"/>
          <w:spacing w:val="20"/>
        </w:rPr>
        <w:t> </w:t>
      </w:r>
      <w:r>
        <w:rPr>
          <w:color w:val="231F20"/>
        </w:rPr>
        <w:t>a</w:t>
      </w:r>
      <w:r>
        <w:rPr>
          <w:color w:val="231F20"/>
          <w:spacing w:val="20"/>
        </w:rPr>
        <w:t> </w:t>
      </w:r>
      <w:r>
        <w:rPr>
          <w:color w:val="231F20"/>
        </w:rPr>
        <w:t>group of icons, or use Shift+click to select multiple icons.</w:t>
      </w:r>
    </w:p>
    <w:p>
      <w:pPr>
        <w:spacing w:after="0" w:line="213" w:lineRule="auto"/>
        <w:sectPr>
          <w:pgSz w:w="12240" w:h="15840"/>
          <w:pgMar w:header="0" w:footer="736" w:top="1180" w:bottom="920" w:left="1000" w:right="1060"/>
        </w:sectPr>
      </w:pPr>
    </w:p>
    <w:p>
      <w:pPr>
        <w:pStyle w:val="Heading6"/>
        <w:spacing w:line="595" w:lineRule="auto" w:before="116"/>
        <w:ind w:left="2232" w:firstLine="10"/>
        <w:jc w:val="right"/>
      </w:pPr>
      <w:r>
        <w:rPr>
          <w:b w:val="0"/>
          <w:position w:val="-1"/>
        </w:rPr>
        <w:drawing>
          <wp:inline distT="0" distB="0" distL="0" distR="0">
            <wp:extent cx="95250" cy="101600"/>
            <wp:effectExtent l="0" t="0" r="0" b="0"/>
            <wp:docPr id="1425" name="Image 1425"/>
            <wp:cNvGraphicFramePr>
              <a:graphicFrameLocks/>
            </wp:cNvGraphicFramePr>
            <a:graphic>
              <a:graphicData uri="http://schemas.openxmlformats.org/drawingml/2006/picture">
                <pic:pic>
                  <pic:nvPicPr>
                    <pic:cNvPr id="1425" name="Image 1425"/>
                    <pic:cNvPicPr/>
                  </pic:nvPicPr>
                  <pic:blipFill>
                    <a:blip r:embed="rId26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13"/>
        </w:rPr>
        <w:t> </w:t>
      </w:r>
      <w:r>
        <w:rPr>
          <w:color w:val="231F20"/>
        </w:rPr>
        <w:t>Clear </w:t>
      </w:r>
      <w:r>
        <w:rPr>
          <w:color w:val="231F20"/>
          <w:position w:val="-1"/>
        </w:rPr>
        <w:drawing>
          <wp:inline distT="0" distB="0" distL="0" distR="0">
            <wp:extent cx="101600" cy="101600"/>
            <wp:effectExtent l="0" t="0" r="0" b="0"/>
            <wp:docPr id="1426" name="Image 1426"/>
            <wp:cNvGraphicFramePr>
              <a:graphicFrameLocks/>
            </wp:cNvGraphicFramePr>
            <a:graphic>
              <a:graphicData uri="http://schemas.openxmlformats.org/drawingml/2006/picture">
                <pic:pic>
                  <pic:nvPicPr>
                    <pic:cNvPr id="1426" name="Image 1426"/>
                    <pic:cNvPicPr/>
                  </pic:nvPicPr>
                  <pic:blipFill>
                    <a:blip r:embed="rId281"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b w:val="0"/>
          <w:color w:val="231F20"/>
          <w:spacing w:val="26"/>
        </w:rPr>
        <w:t> </w:t>
      </w:r>
      <w:r>
        <w:rPr>
          <w:color w:val="231F20"/>
        </w:rPr>
        <w:t>Grid</w:t>
      </w:r>
    </w:p>
    <w:p>
      <w:pPr>
        <w:spacing w:line="240" w:lineRule="auto" w:before="92"/>
        <w:rPr>
          <w:rFonts w:ascii="Book Antiqua"/>
          <w:b/>
          <w:sz w:val="20"/>
        </w:rPr>
      </w:pPr>
      <w:r>
        <w:rPr/>
        <w:br w:type="column"/>
      </w:r>
      <w:r>
        <w:rPr>
          <w:rFonts w:ascii="Book Antiqua"/>
          <w:b/>
          <w:sz w:val="20"/>
        </w:rPr>
      </w:r>
    </w:p>
    <w:p>
      <w:pPr>
        <w:pStyle w:val="BodyText"/>
        <w:spacing w:before="1"/>
      </w:pPr>
      <w:r>
        <w:rPr>
          <w:color w:val="231F20"/>
        </w:rPr>
        <w:t>Removes</w:t>
      </w:r>
      <w:r>
        <w:rPr>
          <w:color w:val="231F20"/>
          <w:spacing w:val="10"/>
        </w:rPr>
        <w:t> </w:t>
      </w:r>
      <w:r>
        <w:rPr>
          <w:color w:val="231F20"/>
        </w:rPr>
        <w:t>the</w:t>
      </w:r>
      <w:r>
        <w:rPr>
          <w:color w:val="231F20"/>
          <w:spacing w:val="11"/>
        </w:rPr>
        <w:t> </w:t>
      </w:r>
      <w:r>
        <w:rPr>
          <w:color w:val="231F20"/>
        </w:rPr>
        <w:t>icons</w:t>
      </w:r>
      <w:r>
        <w:rPr>
          <w:color w:val="231F20"/>
          <w:spacing w:val="11"/>
        </w:rPr>
        <w:t> </w:t>
      </w:r>
      <w:r>
        <w:rPr>
          <w:color w:val="231F20"/>
        </w:rPr>
        <w:t>that</w:t>
      </w:r>
      <w:r>
        <w:rPr>
          <w:color w:val="231F20"/>
          <w:spacing w:val="10"/>
        </w:rPr>
        <w:t> </w:t>
      </w:r>
      <w:r>
        <w:rPr>
          <w:color w:val="231F20"/>
        </w:rPr>
        <w:t>are</w:t>
      </w:r>
      <w:r>
        <w:rPr>
          <w:color w:val="231F20"/>
          <w:spacing w:val="11"/>
        </w:rPr>
        <w:t> </w:t>
      </w:r>
      <w:r>
        <w:rPr>
          <w:color w:val="231F20"/>
        </w:rPr>
        <w:t>highlighted</w:t>
      </w:r>
      <w:r>
        <w:rPr>
          <w:color w:val="231F20"/>
          <w:spacing w:val="11"/>
        </w:rPr>
        <w:t> </w:t>
      </w:r>
      <w:r>
        <w:rPr>
          <w:color w:val="231F20"/>
        </w:rPr>
        <w:t>with</w:t>
      </w:r>
      <w:r>
        <w:rPr>
          <w:color w:val="231F20"/>
          <w:spacing w:val="10"/>
        </w:rPr>
        <w:t> </w:t>
      </w:r>
      <w:r>
        <w:rPr>
          <w:color w:val="231F20"/>
        </w:rPr>
        <w:t>the</w:t>
      </w:r>
      <w:r>
        <w:rPr>
          <w:color w:val="231F20"/>
          <w:spacing w:val="11"/>
        </w:rPr>
        <w:t> </w:t>
      </w:r>
      <w:r>
        <w:rPr>
          <w:color w:val="231F20"/>
        </w:rPr>
        <w:t>Select</w:t>
      </w:r>
      <w:r>
        <w:rPr>
          <w:color w:val="231F20"/>
          <w:spacing w:val="11"/>
        </w:rPr>
        <w:t> </w:t>
      </w:r>
      <w:r>
        <w:rPr>
          <w:color w:val="231F20"/>
          <w:spacing w:val="-4"/>
        </w:rPr>
        <w:t>tool.</w:t>
      </w:r>
    </w:p>
    <w:p>
      <w:pPr>
        <w:pStyle w:val="BodyText"/>
        <w:spacing w:before="81"/>
      </w:pPr>
    </w:p>
    <w:p>
      <w:pPr>
        <w:pStyle w:val="BodyText"/>
        <w:spacing w:line="213" w:lineRule="auto" w:before="1"/>
        <w:ind w:right="576"/>
      </w:pPr>
      <w:r>
        <w:rPr>
          <w:color w:val="231F20"/>
        </w:rPr>
        <w:t>Shows or hides the grid. This is a toggle tool: click it again to turn off </w:t>
      </w:r>
      <w:r>
        <w:rPr>
          <w:color w:val="231F20"/>
        </w:rPr>
        <w:t>the</w:t>
      </w:r>
      <w:r>
        <w:rPr>
          <w:color w:val="231F20"/>
          <w:spacing w:val="40"/>
        </w:rPr>
        <w:t> </w:t>
      </w:r>
      <w:r>
        <w:rPr>
          <w:color w:val="231F20"/>
        </w:rPr>
        <w:t>grid. It is especially useful as a guide for positioning icons on an even </w:t>
      </w:r>
      <w:r>
        <w:rPr>
          <w:color w:val="231F20"/>
          <w:spacing w:val="-2"/>
        </w:rPr>
        <w:t>plane.</w:t>
      </w:r>
    </w:p>
    <w:p>
      <w:pPr>
        <w:spacing w:after="0" w:line="213" w:lineRule="auto"/>
        <w:sectPr>
          <w:type w:val="continuous"/>
          <w:pgSz w:w="12240" w:h="15840"/>
          <w:pgMar w:header="0" w:footer="736" w:top="0" w:bottom="4660" w:left="1000" w:right="1060"/>
          <w:cols w:num="2" w:equalWidth="0">
            <w:col w:w="2942" w:space="10"/>
            <w:col w:w="7228"/>
          </w:cols>
        </w:sectPr>
      </w:pPr>
    </w:p>
    <w:p>
      <w:pPr>
        <w:pStyle w:val="Heading6"/>
        <w:spacing w:before="116"/>
        <w:ind w:left="2232"/>
      </w:pPr>
      <w:r>
        <w:rPr>
          <w:b w:val="0"/>
          <w:position w:val="-1"/>
        </w:rPr>
        <w:drawing>
          <wp:inline distT="0" distB="0" distL="0" distR="0">
            <wp:extent cx="101600" cy="101600"/>
            <wp:effectExtent l="0" t="0" r="0" b="0"/>
            <wp:docPr id="1427" name="Image 1427"/>
            <wp:cNvGraphicFramePr>
              <a:graphicFrameLocks/>
            </wp:cNvGraphicFramePr>
            <a:graphic>
              <a:graphicData uri="http://schemas.openxmlformats.org/drawingml/2006/picture">
                <pic:pic>
                  <pic:nvPicPr>
                    <pic:cNvPr id="1427" name="Image 1427"/>
                    <pic:cNvPicPr/>
                  </pic:nvPicPr>
                  <pic:blipFill>
                    <a:blip r:embed="rId282"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Undo</w:t>
      </w:r>
    </w:p>
    <w:p>
      <w:pPr>
        <w:pStyle w:val="BodyText"/>
        <w:spacing w:line="258" w:lineRule="exact"/>
        <w:ind w:left="2951"/>
      </w:pPr>
      <w:r>
        <w:rPr>
          <w:color w:val="231F20"/>
        </w:rPr>
        <w:t>Voids</w:t>
      </w:r>
      <w:r>
        <w:rPr>
          <w:color w:val="231F20"/>
          <w:spacing w:val="4"/>
        </w:rPr>
        <w:t> </w:t>
      </w:r>
      <w:r>
        <w:rPr>
          <w:color w:val="231F20"/>
        </w:rPr>
        <w:t>the</w:t>
      </w:r>
      <w:r>
        <w:rPr>
          <w:color w:val="231F20"/>
          <w:spacing w:val="5"/>
        </w:rPr>
        <w:t> </w:t>
      </w:r>
      <w:r>
        <w:rPr>
          <w:color w:val="231F20"/>
        </w:rPr>
        <w:t>last</w:t>
      </w:r>
      <w:r>
        <w:rPr>
          <w:color w:val="231F20"/>
          <w:spacing w:val="4"/>
        </w:rPr>
        <w:t> </w:t>
      </w:r>
      <w:r>
        <w:rPr>
          <w:color w:val="231F20"/>
          <w:spacing w:val="-2"/>
        </w:rPr>
        <w:t>action.</w:t>
      </w:r>
    </w:p>
    <w:p>
      <w:pPr>
        <w:pStyle w:val="Heading6"/>
        <w:spacing w:before="111"/>
        <w:ind w:left="2242"/>
      </w:pPr>
      <w:r>
        <w:rPr>
          <w:b w:val="0"/>
          <w:position w:val="-1"/>
        </w:rPr>
        <w:drawing>
          <wp:inline distT="0" distB="0" distL="0" distR="0">
            <wp:extent cx="88900" cy="88900"/>
            <wp:effectExtent l="0" t="0" r="0" b="0"/>
            <wp:docPr id="1428" name="Image 1428"/>
            <wp:cNvGraphicFramePr>
              <a:graphicFrameLocks/>
            </wp:cNvGraphicFramePr>
            <a:graphic>
              <a:graphicData uri="http://schemas.openxmlformats.org/drawingml/2006/picture">
                <pic:pic>
                  <pic:nvPicPr>
                    <pic:cNvPr id="1428" name="Image 1428"/>
                    <pic:cNvPicPr/>
                  </pic:nvPicPr>
                  <pic:blipFill>
                    <a:blip r:embed="rId283"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40"/>
        </w:rPr>
        <w:t> </w:t>
      </w:r>
      <w:r>
        <w:rPr>
          <w:color w:val="231F20"/>
        </w:rPr>
        <w:t>Redo</w:t>
      </w:r>
    </w:p>
    <w:p>
      <w:pPr>
        <w:pStyle w:val="BodyText"/>
        <w:spacing w:line="258" w:lineRule="exact"/>
        <w:ind w:left="2951"/>
      </w:pPr>
      <w:r>
        <w:rPr>
          <w:color w:val="231F20"/>
        </w:rPr>
        <w:t>Repeats</w:t>
      </w:r>
      <w:r>
        <w:rPr>
          <w:color w:val="231F20"/>
          <w:spacing w:val="11"/>
        </w:rPr>
        <w:t> </w:t>
      </w:r>
      <w:r>
        <w:rPr>
          <w:color w:val="231F20"/>
        </w:rPr>
        <w:t>the</w:t>
      </w:r>
      <w:r>
        <w:rPr>
          <w:color w:val="231F20"/>
          <w:spacing w:val="11"/>
        </w:rPr>
        <w:t> </w:t>
      </w:r>
      <w:r>
        <w:rPr>
          <w:color w:val="231F20"/>
        </w:rPr>
        <w:t>last</w:t>
      </w:r>
      <w:r>
        <w:rPr>
          <w:color w:val="231F20"/>
          <w:spacing w:val="11"/>
        </w:rPr>
        <w:t> </w:t>
      </w:r>
      <w:r>
        <w:rPr>
          <w:color w:val="231F20"/>
        </w:rPr>
        <w:t>voided</w:t>
      </w:r>
      <w:r>
        <w:rPr>
          <w:color w:val="231F20"/>
          <w:spacing w:val="11"/>
        </w:rPr>
        <w:t> </w:t>
      </w:r>
      <w:r>
        <w:rPr>
          <w:color w:val="231F20"/>
          <w:spacing w:val="-2"/>
        </w:rPr>
        <w:t>action.</w:t>
      </w:r>
    </w:p>
    <w:p>
      <w:pPr>
        <w:pStyle w:val="Heading6"/>
        <w:spacing w:before="112"/>
        <w:ind w:left="2242"/>
      </w:pPr>
      <w:r>
        <w:rPr>
          <w:b w:val="0"/>
          <w:position w:val="-3"/>
        </w:rPr>
        <w:drawing>
          <wp:inline distT="0" distB="0" distL="0" distR="0">
            <wp:extent cx="114300" cy="101600"/>
            <wp:effectExtent l="0" t="0" r="0" b="0"/>
            <wp:docPr id="1429" name="Image 1429"/>
            <wp:cNvGraphicFramePr>
              <a:graphicFrameLocks/>
            </wp:cNvGraphicFramePr>
            <a:graphic>
              <a:graphicData uri="http://schemas.openxmlformats.org/drawingml/2006/picture">
                <pic:pic>
                  <pic:nvPicPr>
                    <pic:cNvPr id="1429" name="Image 1429"/>
                    <pic:cNvPicPr/>
                  </pic:nvPicPr>
                  <pic:blipFill>
                    <a:blip r:embed="rId284" cstate="print"/>
                    <a:stretch>
                      <a:fillRect/>
                    </a:stretch>
                  </pic:blipFill>
                  <pic:spPr>
                    <a:xfrm>
                      <a:off x="0" y="0"/>
                      <a:ext cx="114300" cy="101600"/>
                    </a:xfrm>
                    <a:prstGeom prst="rect">
                      <a:avLst/>
                    </a:prstGeom>
                  </pic:spPr>
                </pic:pic>
              </a:graphicData>
            </a:graphic>
          </wp:inline>
        </w:drawing>
      </w:r>
      <w:r>
        <w:rPr>
          <w:b w:val="0"/>
          <w:position w:val="-3"/>
        </w:rPr>
      </w:r>
      <w:r>
        <w:rPr>
          <w:rFonts w:ascii="Times New Roman"/>
          <w:b w:val="0"/>
        </w:rPr>
        <w:t> </w:t>
      </w:r>
      <w:r>
        <w:rPr>
          <w:color w:val="231F20"/>
        </w:rPr>
        <w:t>Snapshot</w:t>
      </w:r>
    </w:p>
    <w:p>
      <w:pPr>
        <w:pStyle w:val="BodyText"/>
        <w:spacing w:line="213" w:lineRule="auto" w:before="11"/>
        <w:ind w:left="2951" w:right="567"/>
      </w:pPr>
      <w:r>
        <w:rPr>
          <w:color w:val="231F20"/>
        </w:rPr>
        <w:t>Takes a snapshot photo of the viewable area. You can save the snapshot as</w:t>
      </w:r>
      <w:r>
        <w:rPr>
          <w:color w:val="231F20"/>
          <w:spacing w:val="80"/>
        </w:rPr>
        <w:t> </w:t>
      </w:r>
      <w:r>
        <w:rPr>
          <w:color w:val="231F20"/>
        </w:rPr>
        <w:t>a PNG (Portable Network Graphic) file by clicking </w:t>
      </w:r>
      <w:r>
        <w:rPr>
          <w:color w:val="231F20"/>
          <w:spacing w:val="15"/>
          <w:position w:val="-1"/>
        </w:rPr>
        <w:drawing>
          <wp:inline distT="0" distB="0" distL="0" distR="0">
            <wp:extent cx="101600" cy="101600"/>
            <wp:effectExtent l="0" t="0" r="0" b="0"/>
            <wp:docPr id="1430" name="Image 1430"/>
            <wp:cNvGraphicFramePr>
              <a:graphicFrameLocks/>
            </wp:cNvGraphicFramePr>
            <a:graphic>
              <a:graphicData uri="http://schemas.openxmlformats.org/drawingml/2006/picture">
                <pic:pic>
                  <pic:nvPicPr>
                    <pic:cNvPr id="1430" name="Image 1430"/>
                    <pic:cNvPicPr/>
                  </pic:nvPicPr>
                  <pic:blipFill>
                    <a:blip r:embed="rId28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Export </w:t>
      </w:r>
      <w:r>
        <w:rPr>
          <w:color w:val="231F20"/>
        </w:rPr>
        <w:t>in the</w:t>
      </w:r>
    </w:p>
    <w:p>
      <w:pPr>
        <w:pStyle w:val="BodyText"/>
        <w:spacing w:line="213" w:lineRule="auto"/>
        <w:ind w:left="2951" w:right="545"/>
      </w:pPr>
      <w:r>
        <w:rPr>
          <w:color w:val="231F20"/>
        </w:rPr>
        <w:t>lower-right corner of the snapshot window. (See also the </w:t>
      </w:r>
      <w:r>
        <w:rPr>
          <w:rFonts w:ascii="Book Antiqua" w:hAnsi="Book Antiqua"/>
          <w:i/>
          <w:color w:val="231F20"/>
        </w:rPr>
        <w:t>Tip </w:t>
      </w:r>
      <w:r>
        <w:rPr>
          <w:color w:val="231F20"/>
        </w:rPr>
        <w:t>under </w:t>
      </w:r>
      <w:hyperlink w:history="true" w:anchor="_bookmark110">
        <w:r>
          <w:rPr>
            <w:color w:val="231F20"/>
          </w:rPr>
          <w:t>“Graphic view style properties.”)</w:t>
        </w:r>
      </w:hyperlink>
    </w:p>
    <w:p>
      <w:pPr>
        <w:pStyle w:val="Heading6"/>
        <w:spacing w:before="116"/>
        <w:ind w:left="2232"/>
      </w:pPr>
      <w:r>
        <w:rPr>
          <w:b w:val="0"/>
          <w:position w:val="-1"/>
        </w:rPr>
        <w:drawing>
          <wp:inline distT="0" distB="0" distL="0" distR="0">
            <wp:extent cx="101600" cy="101600"/>
            <wp:effectExtent l="0" t="0" r="0" b="0"/>
            <wp:docPr id="1431" name="Image 1431"/>
            <wp:cNvGraphicFramePr>
              <a:graphicFrameLocks/>
            </wp:cNvGraphicFramePr>
            <a:graphic>
              <a:graphicData uri="http://schemas.openxmlformats.org/drawingml/2006/picture">
                <pic:pic>
                  <pic:nvPicPr>
                    <pic:cNvPr id="1431" name="Image 1431"/>
                    <pic:cNvPicPr/>
                  </pic:nvPicPr>
                  <pic:blipFill>
                    <a:blip r:embed="rId286"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rPr>
        <w:t> </w:t>
      </w:r>
      <w:r>
        <w:rPr>
          <w:color w:val="231F20"/>
        </w:rPr>
        <w:t>Print</w:t>
      </w:r>
    </w:p>
    <w:p>
      <w:pPr>
        <w:pStyle w:val="BodyText"/>
        <w:spacing w:line="258" w:lineRule="exact"/>
        <w:ind w:left="2951"/>
      </w:pPr>
      <w:bookmarkStart w:name="Graphic view style properties" w:id="237"/>
      <w:bookmarkEnd w:id="237"/>
      <w:r>
        <w:rPr/>
      </w:r>
      <w:r>
        <w:rPr>
          <w:color w:val="231F20"/>
        </w:rPr>
        <w:t>Prints</w:t>
      </w:r>
      <w:r>
        <w:rPr>
          <w:color w:val="231F20"/>
          <w:spacing w:val="11"/>
        </w:rPr>
        <w:t> </w:t>
      </w:r>
      <w:r>
        <w:rPr>
          <w:color w:val="231F20"/>
        </w:rPr>
        <w:t>the</w:t>
      </w:r>
      <w:r>
        <w:rPr>
          <w:color w:val="231F20"/>
          <w:spacing w:val="12"/>
        </w:rPr>
        <w:t> </w:t>
      </w:r>
      <w:r>
        <w:rPr>
          <w:color w:val="231F20"/>
        </w:rPr>
        <w:t>active</w:t>
      </w:r>
      <w:r>
        <w:rPr>
          <w:color w:val="231F20"/>
          <w:spacing w:val="11"/>
        </w:rPr>
        <w:t> </w:t>
      </w:r>
      <w:r>
        <w:rPr>
          <w:color w:val="231F20"/>
          <w:spacing w:val="-4"/>
        </w:rPr>
        <w:t>view.</w:t>
      </w:r>
    </w:p>
    <w:p>
      <w:pPr>
        <w:pStyle w:val="Heading4"/>
        <w:spacing w:line="273" w:lineRule="exact" w:before="159"/>
      </w:pPr>
      <w:r>
        <w:rPr>
          <w:color w:val="231F20"/>
        </w:rPr>
        <w:t>Graphic</w:t>
      </w:r>
      <w:r>
        <w:rPr>
          <w:color w:val="231F20"/>
          <w:spacing w:val="6"/>
        </w:rPr>
        <w:t> </w:t>
      </w:r>
      <w:r>
        <w:rPr>
          <w:color w:val="231F20"/>
        </w:rPr>
        <w:t>view</w:t>
      </w:r>
      <w:r>
        <w:rPr>
          <w:color w:val="231F20"/>
          <w:spacing w:val="6"/>
        </w:rPr>
        <w:t> </w:t>
      </w:r>
      <w:r>
        <w:rPr>
          <w:color w:val="231F20"/>
        </w:rPr>
        <w:t>style</w:t>
      </w:r>
      <w:r>
        <w:rPr>
          <w:color w:val="231F20"/>
          <w:spacing w:val="7"/>
        </w:rPr>
        <w:t> </w:t>
      </w:r>
      <w:r>
        <w:rPr>
          <w:color w:val="231F20"/>
          <w:spacing w:val="-2"/>
        </w:rPr>
        <w:t>properties</w:t>
      </w:r>
    </w:p>
    <w:p>
      <w:pPr>
        <w:pStyle w:val="BodyText"/>
        <w:spacing w:line="213" w:lineRule="auto" w:before="20"/>
        <w:ind w:left="2232"/>
      </w:pPr>
      <w:r>
        <w:rPr>
          <w:color w:val="231F20"/>
        </w:rPr>
        <w:t>Use the Style tab or the Properties editor to change the appearance of the view background and the icons.</w:t>
      </w:r>
    </w:p>
    <w:p>
      <w:pPr>
        <w:pStyle w:val="BodyText"/>
        <w:spacing w:before="215"/>
        <w:ind w:left="2232"/>
      </w:pPr>
      <w:r>
        <w:rPr>
          <w:color w:val="231F20"/>
        </w:rPr>
        <w:t>To</w:t>
      </w:r>
      <w:r>
        <w:rPr>
          <w:color w:val="231F20"/>
          <w:spacing w:val="6"/>
        </w:rPr>
        <w:t> </w:t>
      </w:r>
      <w:r>
        <w:rPr>
          <w:color w:val="231F20"/>
        </w:rPr>
        <w:t>edit</w:t>
      </w:r>
      <w:r>
        <w:rPr>
          <w:color w:val="231F20"/>
          <w:spacing w:val="7"/>
        </w:rPr>
        <w:t> </w:t>
      </w:r>
      <w:r>
        <w:rPr>
          <w:color w:val="231F20"/>
        </w:rPr>
        <w:t>the</w:t>
      </w:r>
      <w:r>
        <w:rPr>
          <w:color w:val="231F20"/>
          <w:spacing w:val="7"/>
        </w:rPr>
        <w:t> </w:t>
      </w:r>
      <w:r>
        <w:rPr>
          <w:color w:val="231F20"/>
          <w:spacing w:val="-2"/>
        </w:rPr>
        <w:t>properties</w:t>
      </w:r>
    </w:p>
    <w:p>
      <w:pPr>
        <w:pStyle w:val="BodyText"/>
        <w:spacing w:before="52"/>
        <w:ind w:left="2232"/>
        <w:rPr>
          <w:rFonts w:ascii="Arial"/>
        </w:rPr>
      </w:pPr>
      <w:r>
        <w:rPr>
          <w:rFonts w:ascii="Arial"/>
          <w:color w:val="231F20"/>
          <w:spacing w:val="-5"/>
        </w:rPr>
        <w:t>1.</w:t>
      </w:r>
    </w:p>
    <w:p>
      <w:pPr>
        <w:pStyle w:val="BodyText"/>
        <w:spacing w:before="47"/>
        <w:ind w:left="2548"/>
      </w:pPr>
      <w:r>
        <w:rPr>
          <w:color w:val="231F20"/>
        </w:rPr>
        <w:t>Click</w:t>
      </w:r>
      <w:r>
        <w:rPr>
          <w:color w:val="231F20"/>
          <w:spacing w:val="12"/>
        </w:rPr>
        <w:t> </w:t>
      </w:r>
      <w:r>
        <w:rPr>
          <w:color w:val="231F20"/>
          <w:spacing w:val="16"/>
        </w:rPr>
        <w:drawing>
          <wp:inline distT="0" distB="0" distL="0" distR="0">
            <wp:extent cx="63500" cy="63500"/>
            <wp:effectExtent l="0" t="0" r="0" b="0"/>
            <wp:docPr id="1432" name="Image 1432"/>
            <wp:cNvGraphicFramePr>
              <a:graphicFrameLocks/>
            </wp:cNvGraphicFramePr>
            <a:graphic>
              <a:graphicData uri="http://schemas.openxmlformats.org/drawingml/2006/picture">
                <pic:pic>
                  <pic:nvPicPr>
                    <pic:cNvPr id="1432" name="Image 1432"/>
                    <pic:cNvPicPr/>
                  </pic:nvPicPr>
                  <pic:blipFill>
                    <a:blip r:embed="rId287" cstate="print"/>
                    <a:stretch>
                      <a:fillRect/>
                    </a:stretch>
                  </pic:blipFill>
                  <pic:spPr>
                    <a:xfrm>
                      <a:off x="0" y="0"/>
                      <a:ext cx="63500" cy="63500"/>
                    </a:xfrm>
                    <a:prstGeom prst="rect">
                      <a:avLst/>
                    </a:prstGeom>
                  </pic:spPr>
                </pic:pic>
              </a:graphicData>
            </a:graphic>
          </wp:inline>
        </w:drawing>
      </w:r>
      <w:r>
        <w:rPr>
          <w:color w:val="231F20"/>
          <w:spacing w:val="16"/>
        </w:rPr>
      </w:r>
      <w:r>
        <w:rPr>
          <w:rFonts w:ascii="Times New Roman"/>
          <w:color w:val="231F20"/>
          <w:spacing w:val="46"/>
        </w:rPr>
        <w:t> </w:t>
      </w:r>
      <w:r>
        <w:rPr>
          <w:color w:val="231F20"/>
        </w:rPr>
        <w:t>in</w:t>
      </w:r>
      <w:r>
        <w:rPr>
          <w:color w:val="231F20"/>
          <w:spacing w:val="12"/>
        </w:rPr>
        <w:t> </w:t>
      </w:r>
      <w:r>
        <w:rPr>
          <w:color w:val="231F20"/>
        </w:rPr>
        <w:t>the</w:t>
      </w:r>
      <w:r>
        <w:rPr>
          <w:color w:val="231F20"/>
          <w:spacing w:val="13"/>
        </w:rPr>
        <w:t> </w:t>
      </w:r>
      <w:r>
        <w:rPr>
          <w:color w:val="231F20"/>
        </w:rPr>
        <w:t>graphic</w:t>
      </w:r>
      <w:r>
        <w:rPr>
          <w:color w:val="231F20"/>
          <w:spacing w:val="13"/>
        </w:rPr>
        <w:t> </w:t>
      </w:r>
      <w:r>
        <w:rPr>
          <w:color w:val="231F20"/>
        </w:rPr>
        <w:t>view</w:t>
      </w:r>
      <w:r>
        <w:rPr>
          <w:color w:val="231F20"/>
          <w:spacing w:val="13"/>
        </w:rPr>
        <w:t> </w:t>
      </w:r>
      <w:r>
        <w:rPr>
          <w:color w:val="231F20"/>
        </w:rPr>
        <w:t>title</w:t>
      </w:r>
      <w:r>
        <w:rPr>
          <w:color w:val="231F20"/>
          <w:spacing w:val="13"/>
        </w:rPr>
        <w:t> </w:t>
      </w:r>
      <w:r>
        <w:rPr>
          <w:color w:val="231F20"/>
          <w:spacing w:val="-4"/>
        </w:rPr>
        <w:t>bar.</w:t>
      </w:r>
    </w:p>
    <w:p>
      <w:pPr>
        <w:pStyle w:val="BodyText"/>
        <w:spacing w:before="52"/>
        <w:ind w:left="2232"/>
        <w:rPr>
          <w:rFonts w:ascii="Arial"/>
        </w:rPr>
      </w:pPr>
      <w:r>
        <w:rPr>
          <w:rFonts w:ascii="Arial"/>
          <w:color w:val="231F20"/>
          <w:spacing w:val="-5"/>
        </w:rPr>
        <w:t>2.</w:t>
      </w:r>
    </w:p>
    <w:p>
      <w:pPr>
        <w:pStyle w:val="BodyText"/>
        <w:spacing w:line="213" w:lineRule="auto" w:before="70"/>
        <w:ind w:left="2548" w:right="763"/>
      </w:pPr>
      <w:r>
        <w:rPr>
          <w:color w:val="231F20"/>
        </w:rPr>
        <w:t>Click the plot area of the thumbnail graphic. On this tab you can select the background for the graphic view and specify a stylesheet for any text </w:t>
      </w:r>
      <w:r>
        <w:rPr>
          <w:color w:val="231F20"/>
          <w:spacing w:val="-2"/>
        </w:rPr>
        <w:t>displayed.</w:t>
      </w:r>
    </w:p>
    <w:p>
      <w:pPr>
        <w:pStyle w:val="Heading6"/>
        <w:spacing w:line="232" w:lineRule="exact" w:before="116"/>
        <w:ind w:left="2548"/>
      </w:pPr>
      <w:r>
        <w:rPr>
          <w:color w:val="231F20"/>
          <w:spacing w:val="-2"/>
        </w:rPr>
        <w:t>Background</w:t>
      </w:r>
    </w:p>
    <w:p>
      <w:pPr>
        <w:pStyle w:val="BodyText"/>
        <w:spacing w:line="261" w:lineRule="exact"/>
        <w:ind w:left="3267"/>
      </w:pPr>
      <w:r>
        <w:rPr/>
        <w:drawing>
          <wp:inline distT="0" distB="0" distL="0" distR="0">
            <wp:extent cx="88900" cy="82550"/>
            <wp:effectExtent l="0" t="0" r="0" b="0"/>
            <wp:docPr id="1433" name="Image 1433"/>
            <wp:cNvGraphicFramePr>
              <a:graphicFrameLocks/>
            </wp:cNvGraphicFramePr>
            <a:graphic>
              <a:graphicData uri="http://schemas.openxmlformats.org/drawingml/2006/picture">
                <pic:pic>
                  <pic:nvPicPr>
                    <pic:cNvPr id="1433" name="Image 1433"/>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69"/>
        </w:rPr>
        <w:t> </w:t>
      </w:r>
      <w:r>
        <w:rPr>
          <w:rFonts w:ascii="Book Antiqua"/>
          <w:b/>
          <w:color w:val="231F20"/>
        </w:rPr>
        <w:t>Map</w:t>
      </w:r>
      <w:r>
        <w:rPr>
          <w:rFonts w:ascii="Book Antiqua"/>
          <w:b/>
          <w:color w:val="231F20"/>
          <w:spacing w:val="18"/>
        </w:rPr>
        <w:t> </w:t>
      </w:r>
      <w:r>
        <w:rPr>
          <w:color w:val="231F20"/>
        </w:rPr>
        <w:t>to</w:t>
      </w:r>
      <w:r>
        <w:rPr>
          <w:color w:val="231F20"/>
          <w:spacing w:val="18"/>
        </w:rPr>
        <w:t> </w:t>
      </w:r>
      <w:r>
        <w:rPr>
          <w:color w:val="231F20"/>
        </w:rPr>
        <w:t>identify</w:t>
      </w:r>
      <w:r>
        <w:rPr>
          <w:color w:val="231F20"/>
          <w:spacing w:val="18"/>
        </w:rPr>
        <w:t> </w:t>
      </w:r>
      <w:r>
        <w:rPr>
          <w:color w:val="231F20"/>
        </w:rPr>
        <w:t>the</w:t>
      </w:r>
      <w:r>
        <w:rPr>
          <w:color w:val="231F20"/>
          <w:spacing w:val="18"/>
        </w:rPr>
        <w:t> </w:t>
      </w:r>
      <w:r>
        <w:rPr>
          <w:color w:val="231F20"/>
        </w:rPr>
        <w:t>background</w:t>
      </w:r>
      <w:r>
        <w:rPr>
          <w:color w:val="231F20"/>
          <w:spacing w:val="18"/>
        </w:rPr>
        <w:t> </w:t>
      </w:r>
      <w:r>
        <w:rPr>
          <w:color w:val="231F20"/>
        </w:rPr>
        <w:t>as</w:t>
      </w:r>
      <w:r>
        <w:rPr>
          <w:color w:val="231F20"/>
          <w:spacing w:val="18"/>
        </w:rPr>
        <w:t> </w:t>
      </w:r>
      <w:r>
        <w:rPr>
          <w:color w:val="231F20"/>
        </w:rPr>
        <w:t>a</w:t>
      </w:r>
      <w:r>
        <w:rPr>
          <w:color w:val="231F20"/>
          <w:spacing w:val="18"/>
        </w:rPr>
        <w:t> </w:t>
      </w:r>
      <w:r>
        <w:rPr>
          <w:color w:val="231F20"/>
        </w:rPr>
        <w:t>geo-referenced</w:t>
      </w:r>
      <w:r>
        <w:rPr>
          <w:color w:val="231F20"/>
          <w:spacing w:val="18"/>
        </w:rPr>
        <w:t> </w:t>
      </w:r>
      <w:r>
        <w:rPr>
          <w:color w:val="231F20"/>
        </w:rPr>
        <w:t>map.</w:t>
      </w:r>
    </w:p>
    <w:p>
      <w:pPr>
        <w:pStyle w:val="BodyText"/>
        <w:spacing w:line="208" w:lineRule="auto" w:before="117"/>
        <w:ind w:left="3267" w:right="763"/>
      </w:pPr>
      <w:r>
        <w:rPr/>
        <w:drawing>
          <wp:inline distT="0" distB="0" distL="0" distR="0">
            <wp:extent cx="88900" cy="82550"/>
            <wp:effectExtent l="0" t="0" r="0" b="0"/>
            <wp:docPr id="1434" name="Image 1434"/>
            <wp:cNvGraphicFramePr>
              <a:graphicFrameLocks/>
            </wp:cNvGraphicFramePr>
            <a:graphic>
              <a:graphicData uri="http://schemas.openxmlformats.org/drawingml/2006/picture">
                <pic:pic>
                  <pic:nvPicPr>
                    <pic:cNvPr id="1434" name="Image 1434"/>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Image </w:t>
      </w:r>
      <w:r>
        <w:rPr>
          <w:color w:val="231F20"/>
        </w:rPr>
        <w:t>to specify a background image of type PNG, JPG or GIF. Click </w:t>
      </w:r>
      <w:r>
        <w:rPr>
          <w:rFonts w:ascii="Book Antiqua"/>
          <w:b/>
          <w:color w:val="231F20"/>
        </w:rPr>
        <w:t>Browse </w:t>
      </w:r>
      <w:r>
        <w:rPr>
          <w:color w:val="231F20"/>
        </w:rPr>
        <w:t>to open a list of images from which to choose or </w:t>
      </w:r>
      <w:r>
        <w:rPr>
          <w:color w:val="231F20"/>
        </w:rPr>
        <w:t>select</w:t>
      </w:r>
    </w:p>
    <w:p>
      <w:pPr>
        <w:pStyle w:val="BodyText"/>
        <w:spacing w:line="247" w:lineRule="exact"/>
        <w:ind w:left="3267"/>
      </w:pPr>
      <w:r>
        <w:rPr>
          <w:color w:val="231F20"/>
        </w:rPr>
        <w:t>&lt;blank</w:t>
      </w:r>
      <w:r>
        <w:rPr>
          <w:color w:val="231F20"/>
          <w:spacing w:val="17"/>
        </w:rPr>
        <w:t> </w:t>
      </w:r>
      <w:r>
        <w:rPr>
          <w:color w:val="231F20"/>
        </w:rPr>
        <w:t>background&gt;</w:t>
      </w:r>
      <w:r>
        <w:rPr>
          <w:color w:val="231F20"/>
          <w:spacing w:val="17"/>
        </w:rPr>
        <w:t> </w:t>
      </w:r>
      <w:r>
        <w:rPr>
          <w:color w:val="231F20"/>
        </w:rPr>
        <w:t>for</w:t>
      </w:r>
      <w:r>
        <w:rPr>
          <w:color w:val="231F20"/>
          <w:spacing w:val="17"/>
        </w:rPr>
        <w:t> </w:t>
      </w:r>
      <w:r>
        <w:rPr>
          <w:color w:val="231F20"/>
        </w:rPr>
        <w:t>no</w:t>
      </w:r>
      <w:r>
        <w:rPr>
          <w:color w:val="231F20"/>
          <w:spacing w:val="17"/>
        </w:rPr>
        <w:t> </w:t>
      </w:r>
      <w:r>
        <w:rPr>
          <w:color w:val="231F20"/>
        </w:rPr>
        <w:t>background</w:t>
      </w:r>
      <w:r>
        <w:rPr>
          <w:color w:val="231F20"/>
          <w:spacing w:val="17"/>
        </w:rPr>
        <w:t> </w:t>
      </w:r>
      <w:r>
        <w:rPr>
          <w:color w:val="231F20"/>
          <w:spacing w:val="-2"/>
        </w:rPr>
        <w:t>image.</w:t>
      </w:r>
    </w:p>
    <w:p>
      <w:pPr>
        <w:pStyle w:val="BodyText"/>
        <w:spacing w:line="211" w:lineRule="auto" w:before="119"/>
        <w:ind w:left="3267" w:right="636"/>
      </w:pPr>
      <w:r>
        <w:rPr/>
        <w:drawing>
          <wp:inline distT="0" distB="0" distL="0" distR="0">
            <wp:extent cx="82550" cy="82550"/>
            <wp:effectExtent l="0" t="0" r="0" b="0"/>
            <wp:docPr id="1435" name="Image 1435"/>
            <wp:cNvGraphicFramePr>
              <a:graphicFrameLocks/>
            </wp:cNvGraphicFramePr>
            <a:graphic>
              <a:graphicData uri="http://schemas.openxmlformats.org/drawingml/2006/picture">
                <pic:pic>
                  <pic:nvPicPr>
                    <pic:cNvPr id="1435" name="Image 1435"/>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Fit to view</w:t>
      </w:r>
      <w:r>
        <w:rPr>
          <w:color w:val="231F20"/>
        </w:rPr>
        <w:t>, when selected, automatically resizes the image to fit </w:t>
      </w:r>
      <w:r>
        <w:rPr>
          <w:color w:val="231F20"/>
        </w:rPr>
        <w:t>in the view space. If you adjust the borders of the workspace or graphic view, the image shrinks or expands to fit. This option is selected and disabled when </w:t>
      </w:r>
      <w:r>
        <w:rPr>
          <w:rFonts w:ascii="Book Antiqua"/>
          <w:b/>
          <w:color w:val="231F20"/>
        </w:rPr>
        <w:t>Map </w:t>
      </w:r>
      <w:r>
        <w:rPr>
          <w:color w:val="231F20"/>
        </w:rPr>
        <w:t>is selected; cleared and enabled when </w:t>
      </w:r>
      <w:r>
        <w:rPr>
          <w:rFonts w:ascii="Book Antiqua"/>
          <w:b/>
          <w:color w:val="231F20"/>
        </w:rPr>
        <w:t>Image </w:t>
      </w:r>
      <w:r>
        <w:rPr>
          <w:color w:val="231F20"/>
        </w:rPr>
        <w:t>is selected. If you leave it cleared, your image will retain its original sizing no matter what the size of the view.</w:t>
      </w:r>
    </w:p>
    <w:p>
      <w:pPr>
        <w:pStyle w:val="BodyText"/>
        <w:spacing w:line="213" w:lineRule="auto" w:before="125"/>
        <w:ind w:left="3267" w:right="545"/>
      </w:pPr>
      <w:r>
        <w:rPr>
          <w:rFonts w:ascii="Book Antiqua"/>
          <w:b/>
          <w:color w:val="231F20"/>
        </w:rPr>
        <w:t>Browse </w:t>
      </w:r>
      <w:r>
        <w:rPr>
          <w:color w:val="231F20"/>
        </w:rPr>
        <w:t>looks for maps on the Tivoli Enterprise Portal server </w:t>
      </w:r>
      <w:r>
        <w:rPr>
          <w:color w:val="231F20"/>
        </w:rPr>
        <w:t>computer </w:t>
      </w:r>
      <w:r>
        <w:rPr>
          <w:color w:val="231F20"/>
          <w:spacing w:val="-2"/>
        </w:rPr>
        <w:t>under:</w:t>
      </w:r>
    </w:p>
    <w:p>
      <w:pPr>
        <w:spacing w:after="0" w:line="213" w:lineRule="auto"/>
        <w:sectPr>
          <w:type w:val="continuous"/>
          <w:pgSz w:w="12240" w:h="15840"/>
          <w:pgMar w:header="0" w:footer="736" w:top="0" w:bottom="4660" w:left="1000" w:right="1060"/>
        </w:sectPr>
      </w:pPr>
    </w:p>
    <w:p>
      <w:pPr>
        <w:pStyle w:val="BodyText"/>
        <w:spacing w:line="249" w:lineRule="auto" w:before="64"/>
        <w:ind w:left="3506"/>
        <w:rPr>
          <w:rFonts w:ascii="Arial"/>
        </w:rPr>
      </w:pPr>
      <w:bookmarkStart w:name="_bookmark111" w:id="238"/>
      <w:bookmarkEnd w:id="238"/>
      <w:r>
        <w:rPr/>
      </w:r>
      <w:r>
        <w:rPr>
          <w:rFonts w:ascii="Arial"/>
          <w:color w:val="231F20"/>
          <w:w w:val="110"/>
        </w:rPr>
        <w:t>&lt;itm_installdir&gt;/cnb</w:t>
      </w:r>
      <w:r>
        <w:rPr>
          <w:rFonts w:ascii="Arial"/>
          <w:color w:val="231F20"/>
          <w:spacing w:val="40"/>
          <w:w w:val="110"/>
        </w:rPr>
        <w:t> </w:t>
      </w:r>
      <w:r>
        <w:rPr>
          <w:rFonts w:ascii="Arial"/>
          <w:color w:val="231F20"/>
          <w:w w:val="110"/>
        </w:rPr>
        <w:t>(cw</w:t>
      </w:r>
      <w:r>
        <w:rPr>
          <w:rFonts w:ascii="Arial"/>
          <w:color w:val="231F20"/>
          <w:spacing w:val="40"/>
          <w:w w:val="110"/>
        </w:rPr>
        <w:t> </w:t>
      </w:r>
      <w:r>
        <w:rPr>
          <w:rFonts w:ascii="Arial"/>
          <w:color w:val="231F20"/>
          <w:w w:val="110"/>
        </w:rPr>
        <w:t>for</w:t>
      </w:r>
      <w:r>
        <w:rPr>
          <w:rFonts w:ascii="Arial"/>
          <w:color w:val="231F20"/>
          <w:spacing w:val="40"/>
          <w:w w:val="110"/>
        </w:rPr>
        <w:t> </w:t>
      </w:r>
      <w:r>
        <w:rPr>
          <w:rFonts w:ascii="Arial"/>
          <w:color w:val="231F20"/>
          <w:w w:val="110"/>
        </w:rPr>
        <w:t>Linux)/classes/candle/fw/resources/ </w:t>
      </w:r>
      <w:r>
        <w:rPr>
          <w:rFonts w:ascii="Arial"/>
          <w:color w:val="231F20"/>
          <w:spacing w:val="-2"/>
          <w:w w:val="110"/>
        </w:rPr>
        <w:t>maps/users</w:t>
      </w:r>
    </w:p>
    <w:p>
      <w:pPr>
        <w:pStyle w:val="BodyText"/>
        <w:spacing w:before="11"/>
        <w:rPr>
          <w:rFonts w:ascii="Arial"/>
        </w:rPr>
      </w:pPr>
    </w:p>
    <w:p>
      <w:pPr>
        <w:pStyle w:val="BodyText"/>
        <w:spacing w:line="213" w:lineRule="auto"/>
        <w:ind w:left="3506" w:right="531"/>
        <w:jc w:val="both"/>
      </w:pPr>
      <w:r>
        <w:rPr>
          <w:rFonts w:ascii="Book Antiqua"/>
          <w:b/>
          <w:color w:val="231F20"/>
        </w:rPr>
        <w:t>Tip:</w:t>
      </w:r>
      <w:r>
        <w:rPr>
          <w:rFonts w:ascii="Book Antiqua"/>
          <w:b/>
          <w:color w:val="231F20"/>
          <w:spacing w:val="40"/>
        </w:rPr>
        <w:t> </w:t>
      </w:r>
      <w:r>
        <w:rPr>
          <w:color w:val="231F20"/>
        </w:rPr>
        <w:t>If you are using a map for the background and do not want it resized as you adjust the borders of the view or workspace, create </w:t>
      </w:r>
      <w:r>
        <w:rPr>
          <w:color w:val="231F20"/>
        </w:rPr>
        <w:t>a snapshot image:</w:t>
      </w:r>
    </w:p>
    <w:p>
      <w:pPr>
        <w:pStyle w:val="BodyText"/>
        <w:spacing w:before="57"/>
        <w:ind w:left="3506"/>
        <w:rPr>
          <w:rFonts w:ascii="Arial"/>
        </w:rPr>
      </w:pPr>
      <w:r>
        <w:rPr>
          <w:rFonts w:ascii="Arial"/>
          <w:color w:val="231F20"/>
          <w:spacing w:val="-5"/>
        </w:rPr>
        <w:t>a.</w:t>
      </w:r>
    </w:p>
    <w:p>
      <w:pPr>
        <w:pStyle w:val="BodyText"/>
        <w:spacing w:line="213" w:lineRule="auto" w:before="70"/>
        <w:ind w:left="3822" w:right="352"/>
        <w:jc w:val="both"/>
      </w:pPr>
      <w:r>
        <w:rPr>
          <w:color w:val="231F20"/>
        </w:rPr>
        <w:t>Create the graphic view with the desired map and adjust the </w:t>
      </w:r>
      <w:r>
        <w:rPr>
          <w:color w:val="231F20"/>
        </w:rPr>
        <w:t>view and workspace borders until the map is the size you want and no white space shows.</w:t>
      </w:r>
    </w:p>
    <w:p>
      <w:pPr>
        <w:pStyle w:val="BodyText"/>
        <w:spacing w:before="57"/>
        <w:ind w:right="2998"/>
        <w:jc w:val="center"/>
        <w:rPr>
          <w:rFonts w:ascii="Arial"/>
        </w:rPr>
      </w:pPr>
      <w:r>
        <w:rPr>
          <w:rFonts w:ascii="Arial"/>
          <w:color w:val="231F20"/>
          <w:spacing w:val="-5"/>
        </w:rPr>
        <w:t>b.</w:t>
      </w:r>
    </w:p>
    <w:p>
      <w:pPr>
        <w:pStyle w:val="BodyText"/>
        <w:spacing w:line="213" w:lineRule="auto" w:before="70"/>
        <w:ind w:left="3822" w:right="337"/>
        <w:jc w:val="both"/>
      </w:pPr>
      <w:r>
        <w:rPr>
          <w:color w:val="231F20"/>
        </w:rPr>
        <w:t>Click</w:t>
      </w:r>
      <w:r>
        <w:rPr>
          <w:color w:val="231F20"/>
          <w:spacing w:val="-13"/>
        </w:rPr>
        <w:t> </w:t>
      </w:r>
      <w:r>
        <w:rPr>
          <w:color w:val="231F20"/>
          <w:spacing w:val="-21"/>
          <w:position w:val="-1"/>
        </w:rPr>
        <w:drawing>
          <wp:inline distT="0" distB="0" distL="0" distR="0">
            <wp:extent cx="63500" cy="101600"/>
            <wp:effectExtent l="0" t="0" r="0" b="0"/>
            <wp:docPr id="1436" name="Image 1436"/>
            <wp:cNvGraphicFramePr>
              <a:graphicFrameLocks/>
            </wp:cNvGraphicFramePr>
            <a:graphic>
              <a:graphicData uri="http://schemas.openxmlformats.org/drawingml/2006/picture">
                <pic:pic>
                  <pic:nvPicPr>
                    <pic:cNvPr id="1436" name="Image 1436"/>
                    <pic:cNvPicPr/>
                  </pic:nvPicPr>
                  <pic:blipFill>
                    <a:blip r:embed="rId273" cstate="print"/>
                    <a:stretch>
                      <a:fillRect/>
                    </a:stretch>
                  </pic:blipFill>
                  <pic:spPr>
                    <a:xfrm>
                      <a:off x="0" y="0"/>
                      <a:ext cx="63500" cy="101600"/>
                    </a:xfrm>
                    <a:prstGeom prst="rect">
                      <a:avLst/>
                    </a:prstGeom>
                  </pic:spPr>
                </pic:pic>
              </a:graphicData>
            </a:graphic>
          </wp:inline>
        </w:drawing>
      </w:r>
      <w:r>
        <w:rPr>
          <w:color w:val="231F20"/>
          <w:spacing w:val="-21"/>
          <w:position w:val="-1"/>
        </w:rPr>
      </w:r>
      <w:r>
        <w:rPr>
          <w:rFonts w:ascii="Times New Roman"/>
          <w:color w:val="231F20"/>
          <w:spacing w:val="32"/>
        </w:rPr>
        <w:t> </w:t>
      </w:r>
      <w:r>
        <w:rPr>
          <w:rFonts w:ascii="Book Antiqua"/>
          <w:b/>
          <w:color w:val="231F20"/>
        </w:rPr>
        <w:t>Select </w:t>
      </w:r>
      <w:r>
        <w:rPr>
          <w:color w:val="231F20"/>
        </w:rPr>
        <w:t>and click and drag to select all the icons, then </w:t>
      </w:r>
      <w:r>
        <w:rPr>
          <w:color w:val="231F20"/>
        </w:rPr>
        <w:t>delete them with</w:t>
      </w:r>
      <w:r>
        <w:rPr>
          <w:color w:val="231F20"/>
          <w:spacing w:val="40"/>
        </w:rPr>
        <w:t> </w:t>
      </w:r>
      <w:r>
        <w:rPr>
          <w:color w:val="231F20"/>
          <w:spacing w:val="-24"/>
          <w:position w:val="-1"/>
        </w:rPr>
        <w:drawing>
          <wp:inline distT="0" distB="0" distL="0" distR="0">
            <wp:extent cx="95250" cy="101600"/>
            <wp:effectExtent l="0" t="0" r="0" b="0"/>
            <wp:docPr id="1437" name="Image 1437"/>
            <wp:cNvGraphicFramePr>
              <a:graphicFrameLocks/>
            </wp:cNvGraphicFramePr>
            <a:graphic>
              <a:graphicData uri="http://schemas.openxmlformats.org/drawingml/2006/picture">
                <pic:pic>
                  <pic:nvPicPr>
                    <pic:cNvPr id="1437" name="Image 1437"/>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40"/>
        </w:rPr>
        <w:t> </w:t>
      </w:r>
      <w:r>
        <w:rPr>
          <w:rFonts w:ascii="Book Antiqua"/>
          <w:b/>
          <w:color w:val="231F20"/>
        </w:rPr>
        <w:t>Delete</w:t>
      </w:r>
      <w:r>
        <w:rPr>
          <w:color w:val="231F20"/>
        </w:rPr>
        <w:t>.</w:t>
      </w:r>
    </w:p>
    <w:p>
      <w:pPr>
        <w:pStyle w:val="BodyText"/>
        <w:spacing w:before="58"/>
        <w:ind w:right="3009"/>
        <w:jc w:val="center"/>
        <w:rPr>
          <w:rFonts w:ascii="Arial"/>
        </w:rPr>
      </w:pPr>
      <w:r>
        <w:rPr>
          <w:rFonts w:ascii="Arial"/>
          <w:color w:val="231F20"/>
          <w:spacing w:val="-5"/>
        </w:rPr>
        <w:t>c.</w:t>
      </w:r>
    </w:p>
    <w:p>
      <w:pPr>
        <w:pStyle w:val="BodyText"/>
        <w:spacing w:line="213" w:lineRule="auto" w:before="70"/>
        <w:ind w:left="3811" w:right="293"/>
        <w:jc w:val="both"/>
      </w:pPr>
      <w:r>
        <w:rPr>
          <w:color w:val="231F20"/>
        </w:rPr>
        <w:t>Click </w:t>
      </w:r>
      <w:r>
        <w:rPr>
          <w:color w:val="231F20"/>
          <w:spacing w:val="-24"/>
          <w:position w:val="-3"/>
        </w:rPr>
        <w:drawing>
          <wp:inline distT="0" distB="0" distL="0" distR="0">
            <wp:extent cx="114300" cy="101600"/>
            <wp:effectExtent l="0" t="0" r="0" b="0"/>
            <wp:docPr id="1438" name="Image 1438"/>
            <wp:cNvGraphicFramePr>
              <a:graphicFrameLocks/>
            </wp:cNvGraphicFramePr>
            <a:graphic>
              <a:graphicData uri="http://schemas.openxmlformats.org/drawingml/2006/picture">
                <pic:pic>
                  <pic:nvPicPr>
                    <pic:cNvPr id="1438" name="Image 1438"/>
                    <pic:cNvPicPr/>
                  </pic:nvPicPr>
                  <pic:blipFill>
                    <a:blip r:embed="rId284" cstate="print"/>
                    <a:stretch>
                      <a:fillRect/>
                    </a:stretch>
                  </pic:blipFill>
                  <pic:spPr>
                    <a:xfrm>
                      <a:off x="0" y="0"/>
                      <a:ext cx="114300" cy="101600"/>
                    </a:xfrm>
                    <a:prstGeom prst="rect">
                      <a:avLst/>
                    </a:prstGeom>
                  </pic:spPr>
                </pic:pic>
              </a:graphicData>
            </a:graphic>
          </wp:inline>
        </w:drawing>
      </w:r>
      <w:r>
        <w:rPr>
          <w:color w:val="231F20"/>
          <w:spacing w:val="-24"/>
          <w:position w:val="-3"/>
        </w:rPr>
      </w:r>
      <w:r>
        <w:rPr>
          <w:rFonts w:ascii="Times New Roman"/>
          <w:color w:val="231F20"/>
          <w:spacing w:val="27"/>
        </w:rPr>
        <w:t> </w:t>
      </w:r>
      <w:r>
        <w:rPr>
          <w:rFonts w:ascii="Book Antiqua"/>
          <w:b/>
          <w:color w:val="231F20"/>
        </w:rPr>
        <w:t>Snapshot</w:t>
      </w:r>
      <w:r>
        <w:rPr>
          <w:color w:val="231F20"/>
        </w:rPr>
        <w:t>, then click </w:t>
      </w:r>
      <w:r>
        <w:rPr>
          <w:color w:val="231F20"/>
          <w:spacing w:val="16"/>
          <w:position w:val="-1"/>
        </w:rPr>
        <w:drawing>
          <wp:inline distT="0" distB="0" distL="0" distR="0">
            <wp:extent cx="101600" cy="101600"/>
            <wp:effectExtent l="0" t="0" r="0" b="0"/>
            <wp:docPr id="1439" name="Image 1439"/>
            <wp:cNvGraphicFramePr>
              <a:graphicFrameLocks/>
            </wp:cNvGraphicFramePr>
            <a:graphic>
              <a:graphicData uri="http://schemas.openxmlformats.org/drawingml/2006/picture">
                <pic:pic>
                  <pic:nvPicPr>
                    <pic:cNvPr id="1439" name="Image 1439"/>
                    <pic:cNvPicPr/>
                  </pic:nvPicPr>
                  <pic:blipFill>
                    <a:blip r:embed="rId28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Export </w:t>
      </w:r>
      <w:r>
        <w:rPr>
          <w:color w:val="231F20"/>
        </w:rPr>
        <w:t>in the lower-right corner </w:t>
      </w:r>
      <w:r>
        <w:rPr>
          <w:color w:val="231F20"/>
        </w:rPr>
        <w:t>of the snapshot window to save the snapshot as a .PNG file.</w:t>
      </w:r>
    </w:p>
    <w:p>
      <w:pPr>
        <w:pStyle w:val="BodyText"/>
        <w:spacing w:before="35"/>
        <w:ind w:left="3506"/>
        <w:jc w:val="both"/>
      </w:pPr>
      <w:r>
        <w:rPr>
          <w:rFonts w:ascii="Arial"/>
          <w:color w:val="231F20"/>
        </w:rPr>
        <w:t>d.</w:t>
      </w:r>
      <w:r>
        <w:rPr>
          <w:rFonts w:ascii="Arial"/>
          <w:color w:val="231F20"/>
          <w:spacing w:val="55"/>
          <w:w w:val="150"/>
        </w:rPr>
        <w:t> </w:t>
      </w:r>
      <w:r>
        <w:rPr>
          <w:color w:val="231F20"/>
        </w:rPr>
        <w:t>Create</w:t>
      </w:r>
      <w:r>
        <w:rPr>
          <w:color w:val="231F20"/>
          <w:spacing w:val="11"/>
        </w:rPr>
        <w:t> </w:t>
      </w:r>
      <w:r>
        <w:rPr>
          <w:color w:val="231F20"/>
        </w:rPr>
        <w:t>a</w:t>
      </w:r>
      <w:r>
        <w:rPr>
          <w:color w:val="231F20"/>
          <w:spacing w:val="12"/>
        </w:rPr>
        <w:t> </w:t>
      </w:r>
      <w:r>
        <w:rPr>
          <w:color w:val="231F20"/>
        </w:rPr>
        <w:t>custom</w:t>
      </w:r>
      <w:r>
        <w:rPr>
          <w:color w:val="231F20"/>
          <w:spacing w:val="11"/>
        </w:rPr>
        <w:t> </w:t>
      </w:r>
      <w:r>
        <w:rPr>
          <w:color w:val="231F20"/>
        </w:rPr>
        <w:t>background</w:t>
      </w:r>
      <w:r>
        <w:rPr>
          <w:color w:val="231F20"/>
          <w:spacing w:val="12"/>
        </w:rPr>
        <w:t> </w:t>
      </w:r>
      <w:r>
        <w:rPr>
          <w:color w:val="231F20"/>
        </w:rPr>
        <w:t>and</w:t>
      </w:r>
      <w:r>
        <w:rPr>
          <w:color w:val="231F20"/>
          <w:spacing w:val="11"/>
        </w:rPr>
        <w:t> </w:t>
      </w:r>
      <w:r>
        <w:rPr>
          <w:color w:val="231F20"/>
        </w:rPr>
        <w:t>apply</w:t>
      </w:r>
      <w:r>
        <w:rPr>
          <w:color w:val="231F20"/>
          <w:spacing w:val="12"/>
        </w:rPr>
        <w:t> </w:t>
      </w:r>
      <w:r>
        <w:rPr>
          <w:color w:val="231F20"/>
        </w:rPr>
        <w:t>the</w:t>
      </w:r>
      <w:r>
        <w:rPr>
          <w:color w:val="231F20"/>
          <w:spacing w:val="11"/>
        </w:rPr>
        <w:t> </w:t>
      </w:r>
      <w:r>
        <w:rPr>
          <w:color w:val="231F20"/>
        </w:rPr>
        <w:t>image</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spacing w:val="-2"/>
        </w:rPr>
        <w:t>view.</w:t>
      </w:r>
    </w:p>
    <w:p>
      <w:pPr>
        <w:pStyle w:val="BodyText"/>
        <w:spacing w:line="213" w:lineRule="auto" w:before="113"/>
        <w:ind w:left="3506" w:right="247" w:hanging="719"/>
        <w:jc w:val="both"/>
      </w:pPr>
      <w:r>
        <w:rPr>
          <w:rFonts w:ascii="Book Antiqua"/>
          <w:b/>
          <w:color w:val="231F20"/>
        </w:rPr>
        <w:t>Style</w:t>
      </w:r>
      <w:r>
        <w:rPr>
          <w:rFonts w:ascii="Book Antiqua"/>
          <w:b/>
          <w:color w:val="231F20"/>
          <w:spacing w:val="40"/>
        </w:rPr>
        <w:t>  </w:t>
      </w:r>
      <w:r>
        <w:rPr>
          <w:color w:val="231F20"/>
        </w:rPr>
        <w:t>The style sheet determines which icons to display for Navigator items and the format and positioning of their text labels. To change from the default,</w:t>
      </w:r>
      <w:r>
        <w:rPr>
          <w:color w:val="231F20"/>
          <w:spacing w:val="11"/>
        </w:rPr>
        <w:t> </w:t>
      </w:r>
      <w:r>
        <w:rPr>
          <w:color w:val="231F20"/>
        </w:rPr>
        <w:t>click</w:t>
      </w:r>
      <w:r>
        <w:rPr>
          <w:color w:val="231F20"/>
          <w:spacing w:val="11"/>
        </w:rPr>
        <w:t> </w:t>
      </w:r>
      <w:r>
        <w:rPr>
          <w:rFonts w:ascii="Book Antiqua"/>
          <w:b/>
          <w:color w:val="231F20"/>
        </w:rPr>
        <w:t>Browse</w:t>
      </w:r>
      <w:r>
        <w:rPr>
          <w:rFonts w:ascii="Book Antiqua"/>
          <w:b/>
          <w:color w:val="231F20"/>
          <w:spacing w:val="12"/>
        </w:rPr>
        <w:t> </w:t>
      </w:r>
      <w:r>
        <w:rPr>
          <w:color w:val="231F20"/>
        </w:rPr>
        <w:t>and</w:t>
      </w:r>
      <w:r>
        <w:rPr>
          <w:color w:val="231F20"/>
          <w:spacing w:val="11"/>
        </w:rPr>
        <w:t> </w:t>
      </w:r>
      <w:r>
        <w:rPr>
          <w:color w:val="231F20"/>
        </w:rPr>
        <w:t>select</w:t>
      </w:r>
      <w:r>
        <w:rPr>
          <w:color w:val="231F20"/>
          <w:spacing w:val="12"/>
        </w:rPr>
        <w:t> </w:t>
      </w:r>
      <w:r>
        <w:rPr>
          <w:color w:val="231F20"/>
        </w:rPr>
        <w:t>from</w:t>
      </w:r>
      <w:r>
        <w:rPr>
          <w:color w:val="231F20"/>
          <w:spacing w:val="11"/>
        </w:rPr>
        <w:t> </w:t>
      </w:r>
      <w:r>
        <w:rPr>
          <w:color w:val="231F20"/>
        </w:rPr>
        <w:t>a</w:t>
      </w:r>
      <w:r>
        <w:rPr>
          <w:color w:val="231F20"/>
          <w:spacing w:val="12"/>
        </w:rPr>
        <w:t> </w:t>
      </w:r>
      <w:r>
        <w:rPr>
          <w:color w:val="231F20"/>
        </w:rPr>
        <w:t>list</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available</w:t>
      </w:r>
      <w:r>
        <w:rPr>
          <w:color w:val="231F20"/>
          <w:spacing w:val="12"/>
        </w:rPr>
        <w:t> </w:t>
      </w:r>
      <w:r>
        <w:rPr>
          <w:color w:val="231F20"/>
        </w:rPr>
        <w:t>style</w:t>
      </w:r>
      <w:r>
        <w:rPr>
          <w:color w:val="231F20"/>
          <w:spacing w:val="11"/>
        </w:rPr>
        <w:t> </w:t>
      </w:r>
      <w:r>
        <w:rPr>
          <w:color w:val="231F20"/>
          <w:spacing w:val="-2"/>
        </w:rPr>
        <w:t>sheets.</w:t>
      </w:r>
    </w:p>
    <w:p>
      <w:pPr>
        <w:pStyle w:val="BodyText"/>
        <w:spacing w:line="213" w:lineRule="auto" w:before="237"/>
        <w:ind w:left="2788" w:right="545"/>
      </w:pPr>
      <w:r>
        <w:rPr>
          <w:color w:val="231F20"/>
        </w:rPr>
        <w:t>The icon used for the large and small icon style matches the icon of </w:t>
      </w:r>
      <w:r>
        <w:rPr>
          <w:color w:val="231F20"/>
        </w:rPr>
        <w:t>the Navigator</w:t>
      </w:r>
      <w:r>
        <w:rPr>
          <w:color w:val="231F20"/>
          <w:spacing w:val="24"/>
        </w:rPr>
        <w:t> </w:t>
      </w:r>
      <w:r>
        <w:rPr>
          <w:color w:val="231F20"/>
        </w:rPr>
        <w:t>item</w:t>
      </w:r>
      <w:r>
        <w:rPr>
          <w:color w:val="231F20"/>
          <w:spacing w:val="24"/>
        </w:rPr>
        <w:t> </w:t>
      </w:r>
      <w:r>
        <w:rPr>
          <w:color w:val="231F20"/>
        </w:rPr>
        <w:t>(such</w:t>
      </w:r>
      <w:r>
        <w:rPr>
          <w:color w:val="231F20"/>
          <w:spacing w:val="24"/>
        </w:rPr>
        <w:t> </w:t>
      </w:r>
      <w:r>
        <w:rPr>
          <w:color w:val="231F20"/>
        </w:rPr>
        <w:t>as</w:t>
      </w:r>
      <w:r>
        <w:rPr>
          <w:color w:val="231F20"/>
          <w:spacing w:val="15"/>
        </w:rPr>
        <w:t> </w:t>
      </w:r>
      <w:r>
        <w:rPr>
          <w:color w:val="231F20"/>
          <w:spacing w:val="15"/>
          <w:position w:val="-1"/>
        </w:rPr>
        <w:drawing>
          <wp:inline distT="0" distB="0" distL="0" distR="0">
            <wp:extent cx="95250" cy="101600"/>
            <wp:effectExtent l="0" t="0" r="0" b="0"/>
            <wp:docPr id="1440" name="Image 1440"/>
            <wp:cNvGraphicFramePr>
              <a:graphicFrameLocks/>
            </wp:cNvGraphicFramePr>
            <a:graphic>
              <a:graphicData uri="http://schemas.openxmlformats.org/drawingml/2006/picture">
                <pic:pic>
                  <pic:nvPicPr>
                    <pic:cNvPr id="1440" name="Image 1440"/>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74"/>
        </w:rPr>
        <w:t> </w:t>
      </w:r>
      <w:r>
        <w:rPr>
          <w:color w:val="231F20"/>
        </w:rPr>
        <w:t>,</w:t>
      </w:r>
      <w:r>
        <w:rPr>
          <w:color w:val="231F20"/>
          <w:spacing w:val="16"/>
        </w:rPr>
        <w:t> </w:t>
      </w:r>
      <w:r>
        <w:rPr>
          <w:color w:val="231F20"/>
          <w:spacing w:val="16"/>
          <w:position w:val="-1"/>
        </w:rPr>
        <w:drawing>
          <wp:inline distT="0" distB="0" distL="0" distR="0">
            <wp:extent cx="101600" cy="95250"/>
            <wp:effectExtent l="0" t="0" r="0" b="0"/>
            <wp:docPr id="1441" name="Image 1441"/>
            <wp:cNvGraphicFramePr>
              <a:graphicFrameLocks/>
            </wp:cNvGraphicFramePr>
            <a:graphic>
              <a:graphicData uri="http://schemas.openxmlformats.org/drawingml/2006/picture">
                <pic:pic>
                  <pic:nvPicPr>
                    <pic:cNvPr id="1441" name="Image 1441"/>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w:t>
      </w:r>
      <w:r>
        <w:rPr>
          <w:color w:val="231F20"/>
          <w:spacing w:val="16"/>
        </w:rPr>
        <w:t> </w:t>
      </w:r>
      <w:r>
        <w:rPr>
          <w:color w:val="231F20"/>
          <w:spacing w:val="16"/>
          <w:position w:val="-1"/>
        </w:rPr>
        <w:drawing>
          <wp:inline distT="0" distB="0" distL="0" distR="0">
            <wp:extent cx="101600" cy="95250"/>
            <wp:effectExtent l="0" t="0" r="0" b="0"/>
            <wp:docPr id="1442" name="Image 1442"/>
            <wp:cNvGraphicFramePr>
              <a:graphicFrameLocks/>
            </wp:cNvGraphicFramePr>
            <a:graphic>
              <a:graphicData uri="http://schemas.openxmlformats.org/drawingml/2006/picture">
                <pic:pic>
                  <pic:nvPicPr>
                    <pic:cNvPr id="1442" name="Image 1442"/>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w:t>
      </w:r>
      <w:r>
        <w:rPr>
          <w:color w:val="231F20"/>
          <w:spacing w:val="35"/>
        </w:rPr>
        <w:t> </w:t>
      </w:r>
      <w:r>
        <w:rPr>
          <w:color w:val="231F20"/>
          <w:spacing w:val="-24"/>
          <w:position w:val="-1"/>
        </w:rPr>
        <w:drawing>
          <wp:inline distT="0" distB="0" distL="0" distR="0">
            <wp:extent cx="95250" cy="95250"/>
            <wp:effectExtent l="0" t="0" r="0" b="0"/>
            <wp:docPr id="1443" name="Image 1443"/>
            <wp:cNvGraphicFramePr>
              <a:graphicFrameLocks/>
            </wp:cNvGraphicFramePr>
            <a:graphic>
              <a:graphicData uri="http://schemas.openxmlformats.org/drawingml/2006/picture">
                <pic:pic>
                  <pic:nvPicPr>
                    <pic:cNvPr id="1443" name="Image 1443"/>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w:t>
      </w:r>
      <w:r>
        <w:rPr>
          <w:color w:val="231F20"/>
          <w:spacing w:val="24"/>
        </w:rPr>
        <w:t> </w:t>
      </w:r>
      <w:r>
        <w:rPr>
          <w:color w:val="231F20"/>
        </w:rPr>
        <w:t>and</w:t>
      </w:r>
      <w:r>
        <w:rPr>
          <w:color w:val="231F20"/>
          <w:spacing w:val="35"/>
        </w:rPr>
        <w:t> </w:t>
      </w:r>
      <w:r>
        <w:rPr>
          <w:color w:val="231F20"/>
          <w:spacing w:val="-24"/>
          <w:position w:val="-1"/>
        </w:rPr>
        <w:drawing>
          <wp:inline distT="0" distB="0" distL="0" distR="0">
            <wp:extent cx="88900" cy="101600"/>
            <wp:effectExtent l="0" t="0" r="0" b="0"/>
            <wp:docPr id="1444" name="Image 1444"/>
            <wp:cNvGraphicFramePr>
              <a:graphicFrameLocks/>
            </wp:cNvGraphicFramePr>
            <a:graphic>
              <a:graphicData uri="http://schemas.openxmlformats.org/drawingml/2006/picture">
                <pic:pic>
                  <pic:nvPicPr>
                    <pic:cNvPr id="1444" name="Image 144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w:t>
      </w:r>
    </w:p>
    <w:p>
      <w:pPr>
        <w:pStyle w:val="BodyText"/>
        <w:spacing w:line="213" w:lineRule="auto" w:before="59"/>
        <w:ind w:left="2788" w:right="385"/>
      </w:pPr>
      <w:r>
        <w:rPr>
          <w:color w:val="231F20"/>
        </w:rPr>
        <w:t>If the preview does not refresh as you edit, click </w:t>
      </w:r>
      <w:r>
        <w:rPr>
          <w:rFonts w:ascii="Book Antiqua"/>
          <w:b/>
          <w:color w:val="231F20"/>
        </w:rPr>
        <w:t>Test </w:t>
      </w:r>
      <w:r>
        <w:rPr>
          <w:color w:val="231F20"/>
        </w:rPr>
        <w:t>to see how the view will look with your style changes. If the graphic view is showing behind the window, you can click </w:t>
      </w:r>
      <w:r>
        <w:rPr>
          <w:rFonts w:ascii="Book Antiqua"/>
          <w:b/>
          <w:color w:val="231F20"/>
        </w:rPr>
        <w:t>Apply </w:t>
      </w:r>
      <w:r>
        <w:rPr>
          <w:color w:val="231F20"/>
        </w:rPr>
        <w:t>to see your changes in the full graphic view.</w:t>
      </w:r>
    </w:p>
    <w:p>
      <w:pPr>
        <w:pStyle w:val="BodyText"/>
        <w:spacing w:before="57"/>
        <w:ind w:left="2472"/>
        <w:rPr>
          <w:rFonts w:ascii="Arial"/>
        </w:rPr>
      </w:pPr>
      <w:r>
        <w:rPr>
          <w:rFonts w:ascii="Arial"/>
          <w:color w:val="231F20"/>
          <w:spacing w:val="-5"/>
        </w:rPr>
        <w:t>3.</w:t>
      </w:r>
    </w:p>
    <w:p>
      <w:pPr>
        <w:pStyle w:val="BodyText"/>
        <w:spacing w:line="213" w:lineRule="auto" w:before="70"/>
        <w:ind w:left="2788" w:right="776"/>
        <w:jc w:val="both"/>
      </w:pPr>
      <w:r>
        <w:rPr>
          <w:color w:val="231F20"/>
        </w:rPr>
        <w:t>When you are finished editing the graphic view properties, save them </w:t>
      </w:r>
      <w:r>
        <w:rPr>
          <w:color w:val="231F20"/>
        </w:rPr>
        <w:t>by clicking </w:t>
      </w:r>
      <w:r>
        <w:rPr>
          <w:rFonts w:ascii="Book Antiqua"/>
          <w:b/>
          <w:color w:val="231F20"/>
        </w:rPr>
        <w:t>Apply </w:t>
      </w:r>
      <w:r>
        <w:rPr>
          <w:color w:val="231F20"/>
        </w:rPr>
        <w:t>if you want to keep the window open or </w:t>
      </w:r>
      <w:r>
        <w:rPr>
          <w:rFonts w:ascii="Book Antiqua"/>
          <w:b/>
          <w:color w:val="231F20"/>
        </w:rPr>
        <w:t>OK </w:t>
      </w:r>
      <w:r>
        <w:rPr>
          <w:color w:val="231F20"/>
        </w:rPr>
        <w:t>to close the </w:t>
      </w:r>
      <w:bookmarkStart w:name="Creating a custom background image" w:id="239"/>
      <w:bookmarkEnd w:id="239"/>
      <w:r>
        <w:rPr>
          <w:color w:val="231F20"/>
          <w:spacing w:val="-2"/>
        </w:rPr>
        <w:t>windo</w:t>
      </w:r>
      <w:r>
        <w:rPr>
          <w:color w:val="231F20"/>
          <w:spacing w:val="-2"/>
        </w:rPr>
        <w:t>w.</w:t>
      </w:r>
    </w:p>
    <w:p>
      <w:pPr>
        <w:pStyle w:val="Heading4"/>
        <w:spacing w:line="273" w:lineRule="exact" w:before="164"/>
        <w:ind w:left="2472"/>
      </w:pPr>
      <w:r>
        <w:rPr>
          <w:color w:val="231F20"/>
        </w:rPr>
        <w:t>Creating</w:t>
      </w:r>
      <w:r>
        <w:rPr>
          <w:color w:val="231F20"/>
          <w:spacing w:val="4"/>
        </w:rPr>
        <w:t> </w:t>
      </w:r>
      <w:r>
        <w:rPr>
          <w:color w:val="231F20"/>
        </w:rPr>
        <w:t>a</w:t>
      </w:r>
      <w:r>
        <w:rPr>
          <w:color w:val="231F20"/>
          <w:spacing w:val="5"/>
        </w:rPr>
        <w:t> </w:t>
      </w:r>
      <w:r>
        <w:rPr>
          <w:color w:val="231F20"/>
        </w:rPr>
        <w:t>custom</w:t>
      </w:r>
      <w:r>
        <w:rPr>
          <w:color w:val="231F20"/>
          <w:spacing w:val="5"/>
        </w:rPr>
        <w:t> </w:t>
      </w:r>
      <w:r>
        <w:rPr>
          <w:color w:val="231F20"/>
        </w:rPr>
        <w:t>background</w:t>
      </w:r>
      <w:r>
        <w:rPr>
          <w:color w:val="231F20"/>
          <w:spacing w:val="4"/>
        </w:rPr>
        <w:t> </w:t>
      </w:r>
      <w:r>
        <w:rPr>
          <w:color w:val="231F20"/>
          <w:spacing w:val="-2"/>
        </w:rPr>
        <w:t>image</w:t>
      </w:r>
    </w:p>
    <w:p>
      <w:pPr>
        <w:pStyle w:val="BodyText"/>
        <w:spacing w:line="213" w:lineRule="auto" w:before="20"/>
        <w:ind w:left="2472"/>
      </w:pPr>
      <w:r>
        <w:rPr>
          <w:color w:val="231F20"/>
        </w:rPr>
        <w:t>Create and apply your own non-georeferenced images for the graphic </w:t>
      </w:r>
      <w:r>
        <w:rPr>
          <w:color w:val="231F20"/>
        </w:rPr>
        <w:t>view background. Acceptable formats are PNG, JPG and GIF.</w:t>
      </w:r>
    </w:p>
    <w:p>
      <w:pPr>
        <w:pStyle w:val="Heading5"/>
        <w:spacing w:before="219"/>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5"/>
        <w:ind w:left="2472"/>
      </w:pPr>
      <w:r>
        <w:rPr>
          <w:color w:val="231F20"/>
        </w:rPr>
        <w:t>Complete these steps to apply an image of your choosing to the graphic </w:t>
      </w:r>
      <w:r>
        <w:rPr>
          <w:color w:val="231F20"/>
        </w:rPr>
        <w:t>view </w:t>
      </w:r>
      <w:r>
        <w:rPr>
          <w:color w:val="231F20"/>
          <w:spacing w:val="-2"/>
        </w:rPr>
        <w:t>background.</w:t>
      </w:r>
    </w:p>
    <w:p>
      <w:pPr>
        <w:pStyle w:val="BodyText"/>
        <w:spacing w:line="213" w:lineRule="auto" w:before="238"/>
        <w:ind w:left="2472" w:right="666"/>
      </w:pPr>
      <w:r>
        <w:rPr>
          <w:rFonts w:ascii="Book Antiqua"/>
          <w:b/>
          <w:color w:val="231F20"/>
        </w:rPr>
        <w:t>Note:</w:t>
      </w:r>
      <w:r>
        <w:rPr>
          <w:rFonts w:ascii="Book Antiqua"/>
          <w:b/>
          <w:color w:val="231F20"/>
          <w:spacing w:val="40"/>
        </w:rPr>
        <w:t> </w:t>
      </w:r>
      <w:r>
        <w:rPr>
          <w:color w:val="231F20"/>
        </w:rPr>
        <w:t>This release of Tivoli Enterprise Portal does not support the addition </w:t>
      </w:r>
      <w:r>
        <w:rPr>
          <w:color w:val="231F20"/>
        </w:rPr>
        <w:t>of geo-referenced maps.</w:t>
      </w:r>
    </w:p>
    <w:p>
      <w:pPr>
        <w:pStyle w:val="Heading5"/>
        <w:spacing w:before="219"/>
      </w:pPr>
      <w:r>
        <w:rPr>
          <w:color w:val="231F20"/>
          <w:spacing w:val="-2"/>
        </w:rPr>
        <w:t>Procedure</w:t>
      </w:r>
    </w:p>
    <w:p>
      <w:pPr>
        <w:pStyle w:val="ListParagraph"/>
        <w:numPr>
          <w:ilvl w:val="0"/>
          <w:numId w:val="67"/>
        </w:numPr>
        <w:tabs>
          <w:tab w:pos="2788" w:val="left" w:leader="none"/>
        </w:tabs>
        <w:spacing w:line="213" w:lineRule="auto" w:before="66" w:after="0"/>
        <w:ind w:left="2788" w:right="319" w:hanging="316"/>
        <w:jc w:val="left"/>
        <w:rPr>
          <w:sz w:val="20"/>
        </w:rPr>
      </w:pPr>
      <w:r>
        <w:rPr>
          <w:color w:val="231F20"/>
          <w:sz w:val="20"/>
        </w:rPr>
        <w:t>Create the image that you want to use as a background in a graphical editor</w:t>
      </w:r>
      <w:r>
        <w:rPr>
          <w:color w:val="231F20"/>
          <w:spacing w:val="40"/>
          <w:sz w:val="20"/>
        </w:rPr>
        <w:t> </w:t>
      </w:r>
      <w:r>
        <w:rPr>
          <w:color w:val="231F20"/>
          <w:sz w:val="20"/>
        </w:rPr>
        <w:t>and save as a .png, .jpg, or .gif file, using a one-word name (underscores are acceptable), and all lowercase if the Tivoli Enterprise Portal Server is on </w:t>
      </w:r>
      <w:r>
        <w:rPr>
          <w:color w:val="231F20"/>
          <w:sz w:val="20"/>
        </w:rPr>
        <w:t>Linux or operating systems such as UNIX.</w:t>
      </w:r>
    </w:p>
    <w:p>
      <w:pPr>
        <w:pStyle w:val="ListParagraph"/>
        <w:numPr>
          <w:ilvl w:val="0"/>
          <w:numId w:val="67"/>
        </w:numPr>
        <w:tabs>
          <w:tab w:pos="2788" w:val="left" w:leader="none"/>
        </w:tabs>
        <w:spacing w:line="213" w:lineRule="auto" w:before="57" w:after="0"/>
        <w:ind w:left="2788" w:right="312" w:hanging="316"/>
        <w:jc w:val="left"/>
        <w:rPr>
          <w:sz w:val="20"/>
        </w:rPr>
      </w:pPr>
      <w:r>
        <w:rPr>
          <w:color w:val="231F20"/>
          <w:w w:val="105"/>
          <w:sz w:val="20"/>
        </w:rPr>
        <w:t>Copy</w:t>
      </w:r>
      <w:r>
        <w:rPr>
          <w:color w:val="231F20"/>
          <w:w w:val="105"/>
          <w:sz w:val="20"/>
        </w:rPr>
        <w:t> the</w:t>
      </w:r>
      <w:r>
        <w:rPr>
          <w:color w:val="231F20"/>
          <w:w w:val="105"/>
          <w:sz w:val="20"/>
        </w:rPr>
        <w:t> image</w:t>
      </w:r>
      <w:r>
        <w:rPr>
          <w:color w:val="231F20"/>
          <w:w w:val="105"/>
          <w:sz w:val="20"/>
        </w:rPr>
        <w:t> to:</w:t>
      </w:r>
      <w:r>
        <w:rPr>
          <w:color w:val="231F20"/>
          <w:w w:val="105"/>
          <w:sz w:val="20"/>
        </w:rPr>
        <w:t> </w:t>
      </w:r>
      <w:r>
        <w:rPr>
          <w:rFonts w:ascii="Lucida Sans"/>
          <w:i/>
          <w:color w:val="231F20"/>
          <w:w w:val="105"/>
          <w:sz w:val="20"/>
        </w:rPr>
        <w:t>install_dir</w:t>
      </w:r>
      <w:r>
        <w:rPr>
          <w:rFonts w:ascii="Arial"/>
          <w:color w:val="231F20"/>
          <w:w w:val="105"/>
          <w:sz w:val="20"/>
        </w:rPr>
        <w:t>\cnb (Windows); cw </w:t>
      </w:r>
      <w:r>
        <w:rPr>
          <w:rFonts w:ascii="Arial"/>
          <w:color w:val="231F20"/>
          <w:w w:val="105"/>
          <w:sz w:val="20"/>
        </w:rPr>
        <w:t>(Linux)\classes\candle\ </w:t>
      </w:r>
      <w:r>
        <w:rPr>
          <w:rFonts w:ascii="Arial"/>
          <w:color w:val="231F20"/>
          <w:spacing w:val="-2"/>
          <w:w w:val="105"/>
          <w:sz w:val="20"/>
        </w:rPr>
        <w:t>fw\resources\backgrounds\user</w:t>
      </w:r>
      <w:r>
        <w:rPr>
          <w:color w:val="231F20"/>
          <w:spacing w:val="-2"/>
          <w:w w:val="105"/>
          <w:sz w:val="20"/>
        </w:rPr>
        <w:t>.</w:t>
      </w:r>
    </w:p>
    <w:p>
      <w:pPr>
        <w:pStyle w:val="ListParagraph"/>
        <w:numPr>
          <w:ilvl w:val="0"/>
          <w:numId w:val="67"/>
        </w:numPr>
        <w:tabs>
          <w:tab w:pos="2787" w:val="left" w:leader="none"/>
        </w:tabs>
        <w:spacing w:line="240" w:lineRule="auto" w:before="36" w:after="0"/>
        <w:ind w:left="2787" w:right="0" w:hanging="315"/>
        <w:jc w:val="left"/>
        <w:rPr>
          <w:sz w:val="20"/>
        </w:rPr>
      </w:pPr>
      <w:r>
        <w:rPr>
          <w:color w:val="231F20"/>
          <w:sz w:val="20"/>
        </w:rPr>
        <w:t>After</w:t>
      </w:r>
      <w:r>
        <w:rPr>
          <w:color w:val="231F20"/>
          <w:spacing w:val="12"/>
          <w:sz w:val="20"/>
        </w:rPr>
        <w:t> </w:t>
      </w:r>
      <w:r>
        <w:rPr>
          <w:color w:val="231F20"/>
          <w:sz w:val="20"/>
        </w:rPr>
        <w:t>adding</w:t>
      </w:r>
      <w:r>
        <w:rPr>
          <w:color w:val="231F20"/>
          <w:spacing w:val="12"/>
          <w:sz w:val="20"/>
        </w:rPr>
        <w:t> </w:t>
      </w:r>
      <w:r>
        <w:rPr>
          <w:color w:val="231F20"/>
          <w:sz w:val="20"/>
        </w:rPr>
        <w:t>the</w:t>
      </w:r>
      <w:r>
        <w:rPr>
          <w:color w:val="231F20"/>
          <w:spacing w:val="13"/>
          <w:sz w:val="20"/>
        </w:rPr>
        <w:t> </w:t>
      </w:r>
      <w:r>
        <w:rPr>
          <w:color w:val="231F20"/>
          <w:sz w:val="20"/>
        </w:rPr>
        <w:t>graphic</w:t>
      </w:r>
      <w:r>
        <w:rPr>
          <w:color w:val="231F20"/>
          <w:spacing w:val="12"/>
          <w:sz w:val="20"/>
        </w:rPr>
        <w:t> </w:t>
      </w:r>
      <w:r>
        <w:rPr>
          <w:color w:val="231F20"/>
          <w:sz w:val="20"/>
        </w:rPr>
        <w:t>view</w:t>
      </w:r>
      <w:r>
        <w:rPr>
          <w:color w:val="231F20"/>
          <w:spacing w:val="13"/>
          <w:sz w:val="20"/>
        </w:rPr>
        <w:t> </w:t>
      </w:r>
      <w:r>
        <w:rPr>
          <w:color w:val="231F20"/>
          <w:sz w:val="20"/>
        </w:rPr>
        <w:t>to</w:t>
      </w:r>
      <w:r>
        <w:rPr>
          <w:color w:val="231F20"/>
          <w:spacing w:val="12"/>
          <w:sz w:val="20"/>
        </w:rPr>
        <w:t> </w:t>
      </w:r>
      <w:r>
        <w:rPr>
          <w:color w:val="231F20"/>
          <w:sz w:val="20"/>
        </w:rPr>
        <w:t>a</w:t>
      </w:r>
      <w:r>
        <w:rPr>
          <w:color w:val="231F20"/>
          <w:spacing w:val="13"/>
          <w:sz w:val="20"/>
        </w:rPr>
        <w:t> </w:t>
      </w:r>
      <w:r>
        <w:rPr>
          <w:color w:val="231F20"/>
          <w:sz w:val="20"/>
        </w:rPr>
        <w:t>workspace,</w:t>
      </w:r>
      <w:r>
        <w:rPr>
          <w:color w:val="231F20"/>
          <w:spacing w:val="12"/>
          <w:sz w:val="20"/>
        </w:rPr>
        <w:t> </w:t>
      </w:r>
      <w:r>
        <w:rPr>
          <w:color w:val="231F20"/>
          <w:sz w:val="20"/>
        </w:rPr>
        <w:t>click</w:t>
      </w:r>
      <w:r>
        <w:rPr>
          <w:color w:val="231F20"/>
          <w:spacing w:val="49"/>
          <w:sz w:val="20"/>
        </w:rPr>
        <w:t> </w:t>
      </w:r>
      <w:r>
        <w:rPr>
          <w:color w:val="231F20"/>
          <w:spacing w:val="5"/>
          <w:position w:val="1"/>
          <w:sz w:val="20"/>
        </w:rPr>
        <w:drawing>
          <wp:inline distT="0" distB="0" distL="0" distR="0">
            <wp:extent cx="57150" cy="57150"/>
            <wp:effectExtent l="0" t="0" r="0" b="0"/>
            <wp:docPr id="1445" name="Image 1445"/>
            <wp:cNvGraphicFramePr>
              <a:graphicFrameLocks/>
            </wp:cNvGraphicFramePr>
            <a:graphic>
              <a:graphicData uri="http://schemas.openxmlformats.org/drawingml/2006/picture">
                <pic:pic>
                  <pic:nvPicPr>
                    <pic:cNvPr id="1445" name="Image 1445"/>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58"/>
          <w:w w:val="150"/>
          <w:sz w:val="20"/>
        </w:rPr>
        <w:t> </w:t>
      </w:r>
      <w:r>
        <w:rPr>
          <w:rFonts w:ascii="Book Antiqua"/>
          <w:b/>
          <w:color w:val="231F20"/>
          <w:spacing w:val="-2"/>
          <w:sz w:val="20"/>
        </w:rPr>
        <w:t>Properties</w:t>
      </w:r>
      <w:r>
        <w:rPr>
          <w:color w:val="231F20"/>
          <w:spacing w:val="-2"/>
          <w:sz w:val="20"/>
        </w:rPr>
        <w:t>.</w:t>
      </w:r>
    </w:p>
    <w:p>
      <w:pPr>
        <w:pStyle w:val="ListParagraph"/>
        <w:numPr>
          <w:ilvl w:val="0"/>
          <w:numId w:val="67"/>
        </w:numPr>
        <w:tabs>
          <w:tab w:pos="2787" w:val="left" w:leader="none"/>
        </w:tabs>
        <w:spacing w:line="240" w:lineRule="auto" w:before="29"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10"/>
          <w:sz w:val="20"/>
        </w:rPr>
        <w:t> </w:t>
      </w:r>
      <w:r>
        <w:rPr>
          <w:color w:val="231F20"/>
          <w:sz w:val="20"/>
        </w:rPr>
        <w:t>middle</w:t>
      </w:r>
      <w:r>
        <w:rPr>
          <w:color w:val="231F20"/>
          <w:spacing w:val="11"/>
          <w:sz w:val="20"/>
        </w:rPr>
        <w:t> </w:t>
      </w:r>
      <w:r>
        <w:rPr>
          <w:color w:val="231F20"/>
          <w:sz w:val="20"/>
        </w:rPr>
        <w:t>(plot</w:t>
      </w:r>
      <w:r>
        <w:rPr>
          <w:color w:val="231F20"/>
          <w:spacing w:val="11"/>
          <w:sz w:val="20"/>
        </w:rPr>
        <w:t> </w:t>
      </w:r>
      <w:r>
        <w:rPr>
          <w:color w:val="231F20"/>
          <w:sz w:val="20"/>
        </w:rPr>
        <w:t>area)</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z w:val="20"/>
        </w:rPr>
        <w:t>thumbnail</w:t>
      </w:r>
      <w:r>
        <w:rPr>
          <w:color w:val="231F20"/>
          <w:spacing w:val="11"/>
          <w:sz w:val="20"/>
        </w:rPr>
        <w:t> </w:t>
      </w:r>
      <w:r>
        <w:rPr>
          <w:color w:val="231F20"/>
          <w:spacing w:val="-2"/>
          <w:sz w:val="20"/>
        </w:rPr>
        <w:t>graphic.</w:t>
      </w:r>
    </w:p>
    <w:p>
      <w:pPr>
        <w:spacing w:after="0" w:line="240" w:lineRule="auto"/>
        <w:jc w:val="left"/>
        <w:rPr>
          <w:sz w:val="20"/>
        </w:rPr>
        <w:sectPr>
          <w:pgSz w:w="12240" w:h="15840"/>
          <w:pgMar w:header="0" w:footer="736" w:top="1200" w:bottom="920" w:left="1000" w:right="1060"/>
        </w:sectPr>
      </w:pPr>
    </w:p>
    <w:p>
      <w:pPr>
        <w:pStyle w:val="ListParagraph"/>
        <w:numPr>
          <w:ilvl w:val="0"/>
          <w:numId w:val="67"/>
        </w:numPr>
        <w:tabs>
          <w:tab w:pos="2547" w:val="left" w:leader="none"/>
        </w:tabs>
        <w:spacing w:line="240" w:lineRule="auto" w:before="67" w:after="0"/>
        <w:ind w:left="2547" w:right="0" w:hanging="315"/>
        <w:jc w:val="left"/>
        <w:rPr>
          <w:sz w:val="20"/>
        </w:rPr>
      </w:pPr>
      <w:bookmarkStart w:name="_bookmark112" w:id="240"/>
      <w:bookmarkEnd w:id="240"/>
      <w:r>
        <w:rPr/>
      </w:r>
      <w:r>
        <w:rPr>
          <w:color w:val="231F20"/>
          <w:sz w:val="20"/>
        </w:rPr>
        <w:t>In</w:t>
      </w:r>
      <w:r>
        <w:rPr>
          <w:color w:val="231F20"/>
          <w:spacing w:val="7"/>
          <w:sz w:val="20"/>
        </w:rPr>
        <w:t> </w:t>
      </w:r>
      <w:r>
        <w:rPr>
          <w:color w:val="231F20"/>
          <w:sz w:val="20"/>
        </w:rPr>
        <w:t>the</w:t>
      </w:r>
      <w:r>
        <w:rPr>
          <w:color w:val="231F20"/>
          <w:spacing w:val="10"/>
          <w:sz w:val="20"/>
        </w:rPr>
        <w:t> </w:t>
      </w:r>
      <w:r>
        <w:rPr>
          <w:color w:val="231F20"/>
          <w:sz w:val="20"/>
        </w:rPr>
        <w:t>Background</w:t>
      </w:r>
      <w:r>
        <w:rPr>
          <w:color w:val="231F20"/>
          <w:spacing w:val="10"/>
          <w:sz w:val="20"/>
        </w:rPr>
        <w:t> </w:t>
      </w:r>
      <w:r>
        <w:rPr>
          <w:color w:val="231F20"/>
          <w:sz w:val="20"/>
        </w:rPr>
        <w:t>area,</w:t>
      </w:r>
      <w:r>
        <w:rPr>
          <w:color w:val="231F20"/>
          <w:spacing w:val="10"/>
          <w:sz w:val="20"/>
        </w:rPr>
        <w:t> </w:t>
      </w:r>
      <w:r>
        <w:rPr>
          <w:color w:val="231F20"/>
          <w:sz w:val="20"/>
        </w:rPr>
        <w:t>click</w:t>
      </w:r>
      <w:r>
        <w:rPr>
          <w:color w:val="231F20"/>
          <w:spacing w:val="10"/>
          <w:sz w:val="20"/>
        </w:rPr>
        <w:t> </w:t>
      </w:r>
      <w:r>
        <w:rPr>
          <w:color w:val="231F20"/>
          <w:spacing w:val="15"/>
          <w:sz w:val="20"/>
        </w:rPr>
        <w:drawing>
          <wp:inline distT="0" distB="0" distL="0" distR="0">
            <wp:extent cx="88900" cy="82550"/>
            <wp:effectExtent l="0" t="0" r="0" b="0"/>
            <wp:docPr id="1446" name="Image 1446"/>
            <wp:cNvGraphicFramePr>
              <a:graphicFrameLocks/>
            </wp:cNvGraphicFramePr>
            <a:graphic>
              <a:graphicData uri="http://schemas.openxmlformats.org/drawingml/2006/picture">
                <pic:pic>
                  <pic:nvPicPr>
                    <pic:cNvPr id="1446" name="Image 144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6"/>
          <w:sz w:val="20"/>
        </w:rPr>
        <w:t> </w:t>
      </w:r>
      <w:r>
        <w:rPr>
          <w:rFonts w:ascii="Book Antiqua"/>
          <w:b/>
          <w:color w:val="231F20"/>
          <w:spacing w:val="-2"/>
          <w:sz w:val="20"/>
        </w:rPr>
        <w:t>Image</w:t>
      </w:r>
      <w:r>
        <w:rPr>
          <w:color w:val="231F20"/>
          <w:spacing w:val="-2"/>
          <w:sz w:val="20"/>
        </w:rPr>
        <w:t>.</w:t>
      </w:r>
    </w:p>
    <w:p>
      <w:pPr>
        <w:pStyle w:val="ListParagraph"/>
        <w:numPr>
          <w:ilvl w:val="0"/>
          <w:numId w:val="67"/>
        </w:numPr>
        <w:tabs>
          <w:tab w:pos="2546" w:val="left" w:leader="none"/>
          <w:tab w:pos="2548" w:val="left" w:leader="none"/>
        </w:tabs>
        <w:spacing w:line="211" w:lineRule="auto" w:before="54" w:after="0"/>
        <w:ind w:left="2548" w:right="543" w:hanging="317"/>
        <w:jc w:val="left"/>
        <w:rPr>
          <w:sz w:val="20"/>
        </w:rPr>
      </w:pPr>
      <w:r>
        <w:rPr>
          <w:color w:val="231F20"/>
          <w:sz w:val="20"/>
        </w:rPr>
        <w:t>If</w:t>
      </w:r>
      <w:r>
        <w:rPr>
          <w:color w:val="231F20"/>
          <w:spacing w:val="24"/>
          <w:sz w:val="20"/>
        </w:rPr>
        <w:t> </w:t>
      </w:r>
      <w:r>
        <w:rPr>
          <w:color w:val="231F20"/>
          <w:sz w:val="20"/>
        </w:rPr>
        <w:t>you</w:t>
      </w:r>
      <w:r>
        <w:rPr>
          <w:color w:val="231F20"/>
          <w:spacing w:val="24"/>
          <w:sz w:val="20"/>
        </w:rPr>
        <w:t> </w:t>
      </w:r>
      <w:r>
        <w:rPr>
          <w:color w:val="231F20"/>
          <w:sz w:val="20"/>
        </w:rPr>
        <w:t>want</w:t>
      </w:r>
      <w:r>
        <w:rPr>
          <w:color w:val="231F20"/>
          <w:spacing w:val="24"/>
          <w:sz w:val="20"/>
        </w:rPr>
        <w:t> </w:t>
      </w:r>
      <w:r>
        <w:rPr>
          <w:color w:val="231F20"/>
          <w:sz w:val="20"/>
        </w:rPr>
        <w:t>the</w:t>
      </w:r>
      <w:r>
        <w:rPr>
          <w:color w:val="231F20"/>
          <w:spacing w:val="24"/>
          <w:sz w:val="20"/>
        </w:rPr>
        <w:t> </w:t>
      </w:r>
      <w:r>
        <w:rPr>
          <w:color w:val="231F20"/>
          <w:sz w:val="20"/>
        </w:rPr>
        <w:t>image</w:t>
      </w:r>
      <w:r>
        <w:rPr>
          <w:color w:val="231F20"/>
          <w:spacing w:val="24"/>
          <w:sz w:val="20"/>
        </w:rPr>
        <w:t> </w:t>
      </w:r>
      <w:r>
        <w:rPr>
          <w:color w:val="231F20"/>
          <w:sz w:val="20"/>
        </w:rPr>
        <w:t>to</w:t>
      </w:r>
      <w:r>
        <w:rPr>
          <w:color w:val="231F20"/>
          <w:spacing w:val="24"/>
          <w:sz w:val="20"/>
        </w:rPr>
        <w:t> </w:t>
      </w:r>
      <w:r>
        <w:rPr>
          <w:color w:val="231F20"/>
          <w:sz w:val="20"/>
        </w:rPr>
        <w:t>shrink</w:t>
      </w:r>
      <w:r>
        <w:rPr>
          <w:color w:val="231F20"/>
          <w:spacing w:val="24"/>
          <w:sz w:val="20"/>
        </w:rPr>
        <w:t> </w:t>
      </w:r>
      <w:r>
        <w:rPr>
          <w:color w:val="231F20"/>
          <w:sz w:val="20"/>
        </w:rPr>
        <w:t>or</w:t>
      </w:r>
      <w:r>
        <w:rPr>
          <w:color w:val="231F20"/>
          <w:spacing w:val="24"/>
          <w:sz w:val="20"/>
        </w:rPr>
        <w:t> </w:t>
      </w:r>
      <w:r>
        <w:rPr>
          <w:color w:val="231F20"/>
          <w:sz w:val="20"/>
        </w:rPr>
        <w:t>expand</w:t>
      </w:r>
      <w:r>
        <w:rPr>
          <w:color w:val="231F20"/>
          <w:spacing w:val="24"/>
          <w:sz w:val="20"/>
        </w:rPr>
        <w:t> </w:t>
      </w:r>
      <w:r>
        <w:rPr>
          <w:color w:val="231F20"/>
          <w:sz w:val="20"/>
        </w:rPr>
        <w:t>to</w:t>
      </w:r>
      <w:r>
        <w:rPr>
          <w:color w:val="231F20"/>
          <w:spacing w:val="24"/>
          <w:sz w:val="20"/>
        </w:rPr>
        <w:t> </w:t>
      </w:r>
      <w:r>
        <w:rPr>
          <w:color w:val="231F20"/>
          <w:sz w:val="20"/>
        </w:rPr>
        <w:t>fit</w:t>
      </w:r>
      <w:r>
        <w:rPr>
          <w:color w:val="231F20"/>
          <w:spacing w:val="24"/>
          <w:sz w:val="20"/>
        </w:rPr>
        <w:t> </w:t>
      </w:r>
      <w:r>
        <w:rPr>
          <w:color w:val="231F20"/>
          <w:sz w:val="20"/>
        </w:rPr>
        <w:t>the</w:t>
      </w:r>
      <w:r>
        <w:rPr>
          <w:color w:val="231F20"/>
          <w:spacing w:val="24"/>
          <w:sz w:val="20"/>
        </w:rPr>
        <w:t> </w:t>
      </w:r>
      <w:r>
        <w:rPr>
          <w:color w:val="231F20"/>
          <w:sz w:val="20"/>
        </w:rPr>
        <w:t>full</w:t>
      </w:r>
      <w:r>
        <w:rPr>
          <w:color w:val="231F20"/>
          <w:spacing w:val="24"/>
          <w:sz w:val="20"/>
        </w:rPr>
        <w:t> </w:t>
      </w:r>
      <w:r>
        <w:rPr>
          <w:color w:val="231F20"/>
          <w:sz w:val="20"/>
        </w:rPr>
        <w:t>view</w:t>
      </w:r>
      <w:r>
        <w:rPr>
          <w:color w:val="231F20"/>
          <w:spacing w:val="24"/>
          <w:sz w:val="20"/>
        </w:rPr>
        <w:t> </w:t>
      </w:r>
      <w:r>
        <w:rPr>
          <w:color w:val="231F20"/>
          <w:sz w:val="20"/>
        </w:rPr>
        <w:t>space,</w:t>
      </w:r>
      <w:r>
        <w:rPr>
          <w:color w:val="231F20"/>
          <w:spacing w:val="24"/>
          <w:sz w:val="20"/>
        </w:rPr>
        <w:t> </w:t>
      </w:r>
      <w:r>
        <w:rPr>
          <w:color w:val="231F20"/>
          <w:sz w:val="20"/>
        </w:rPr>
        <w:t>select</w:t>
      </w:r>
      <w:r>
        <w:rPr>
          <w:color w:val="231F20"/>
          <w:spacing w:val="14"/>
          <w:sz w:val="20"/>
        </w:rPr>
        <w:t> </w:t>
      </w:r>
      <w:r>
        <w:rPr>
          <w:color w:val="231F20"/>
          <w:spacing w:val="14"/>
          <w:sz w:val="20"/>
        </w:rPr>
        <w:drawing>
          <wp:inline distT="0" distB="0" distL="0" distR="0">
            <wp:extent cx="82550" cy="82550"/>
            <wp:effectExtent l="0" t="0" r="0" b="0"/>
            <wp:docPr id="1447" name="Image 1447"/>
            <wp:cNvGraphicFramePr>
              <a:graphicFrameLocks/>
            </wp:cNvGraphicFramePr>
            <a:graphic>
              <a:graphicData uri="http://schemas.openxmlformats.org/drawingml/2006/picture">
                <pic:pic>
                  <pic:nvPicPr>
                    <pic:cNvPr id="1447" name="Image 144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4"/>
          <w:sz w:val="20"/>
        </w:rPr>
      </w:r>
      <w:r>
        <w:rPr>
          <w:rFonts w:ascii="Times New Roman"/>
          <w:color w:val="231F20"/>
          <w:spacing w:val="14"/>
          <w:sz w:val="20"/>
        </w:rPr>
        <w:t> </w:t>
      </w:r>
      <w:r>
        <w:rPr>
          <w:rFonts w:ascii="Book Antiqua"/>
          <w:b/>
          <w:color w:val="231F20"/>
          <w:sz w:val="20"/>
        </w:rPr>
        <w:t>Fit to view </w:t>
      </w:r>
      <w:r>
        <w:rPr>
          <w:color w:val="231F20"/>
          <w:sz w:val="20"/>
        </w:rPr>
        <w:t>If you leave this option cleared, the image will retain its original</w:t>
      </w:r>
      <w:r>
        <w:rPr>
          <w:color w:val="231F20"/>
          <w:spacing w:val="40"/>
          <w:sz w:val="20"/>
        </w:rPr>
        <w:t> </w:t>
      </w:r>
      <w:r>
        <w:rPr>
          <w:color w:val="231F20"/>
          <w:sz w:val="20"/>
        </w:rPr>
        <w:t>size; if it is larger than the view space, scroll bars are displayed; if it is smaller</w:t>
      </w:r>
      <w:r>
        <w:rPr>
          <w:color w:val="231F20"/>
          <w:spacing w:val="40"/>
          <w:sz w:val="20"/>
        </w:rPr>
        <w:t> </w:t>
      </w:r>
      <w:r>
        <w:rPr>
          <w:color w:val="231F20"/>
          <w:sz w:val="20"/>
        </w:rPr>
        <w:t>than</w:t>
      </w:r>
      <w:r>
        <w:rPr>
          <w:color w:val="231F20"/>
          <w:spacing w:val="25"/>
          <w:sz w:val="20"/>
        </w:rPr>
        <w:t> </w:t>
      </w:r>
      <w:r>
        <w:rPr>
          <w:color w:val="231F20"/>
          <w:sz w:val="20"/>
        </w:rPr>
        <w:t>the</w:t>
      </w:r>
      <w:r>
        <w:rPr>
          <w:color w:val="231F20"/>
          <w:spacing w:val="25"/>
          <w:sz w:val="20"/>
        </w:rPr>
        <w:t> </w:t>
      </w:r>
      <w:r>
        <w:rPr>
          <w:color w:val="231F20"/>
          <w:sz w:val="20"/>
        </w:rPr>
        <w:t>view</w:t>
      </w:r>
      <w:r>
        <w:rPr>
          <w:color w:val="231F20"/>
          <w:spacing w:val="25"/>
          <w:sz w:val="20"/>
        </w:rPr>
        <w:t> </w:t>
      </w:r>
      <w:r>
        <w:rPr>
          <w:color w:val="231F20"/>
          <w:sz w:val="20"/>
        </w:rPr>
        <w:t>space,</w:t>
      </w:r>
      <w:r>
        <w:rPr>
          <w:color w:val="231F20"/>
          <w:spacing w:val="25"/>
          <w:sz w:val="20"/>
        </w:rPr>
        <w:t> </w:t>
      </w:r>
      <w:r>
        <w:rPr>
          <w:color w:val="231F20"/>
          <w:sz w:val="20"/>
        </w:rPr>
        <w:t>it</w:t>
      </w:r>
      <w:r>
        <w:rPr>
          <w:color w:val="231F20"/>
          <w:spacing w:val="25"/>
          <w:sz w:val="20"/>
        </w:rPr>
        <w:t> </w:t>
      </w:r>
      <w:r>
        <w:rPr>
          <w:color w:val="231F20"/>
          <w:sz w:val="20"/>
        </w:rPr>
        <w:t>will</w:t>
      </w:r>
      <w:r>
        <w:rPr>
          <w:color w:val="231F20"/>
          <w:spacing w:val="25"/>
          <w:sz w:val="20"/>
        </w:rPr>
        <w:t> </w:t>
      </w:r>
      <w:r>
        <w:rPr>
          <w:color w:val="231F20"/>
          <w:sz w:val="20"/>
        </w:rPr>
        <w:t>be</w:t>
      </w:r>
      <w:r>
        <w:rPr>
          <w:color w:val="231F20"/>
          <w:spacing w:val="25"/>
          <w:sz w:val="20"/>
        </w:rPr>
        <w:t> </w:t>
      </w:r>
      <w:r>
        <w:rPr>
          <w:color w:val="231F20"/>
          <w:sz w:val="20"/>
        </w:rPr>
        <w:t>placed</w:t>
      </w:r>
      <w:r>
        <w:rPr>
          <w:color w:val="231F20"/>
          <w:spacing w:val="25"/>
          <w:sz w:val="20"/>
        </w:rPr>
        <w:t> </w:t>
      </w:r>
      <w:r>
        <w:rPr>
          <w:color w:val="231F20"/>
          <w:sz w:val="20"/>
        </w:rPr>
        <w:t>at</w:t>
      </w:r>
      <w:r>
        <w:rPr>
          <w:color w:val="231F20"/>
          <w:spacing w:val="25"/>
          <w:sz w:val="20"/>
        </w:rPr>
        <w:t> </w:t>
      </w:r>
      <w:r>
        <w:rPr>
          <w:color w:val="231F20"/>
          <w:sz w:val="20"/>
        </w:rPr>
        <w:t>the</w:t>
      </w:r>
      <w:r>
        <w:rPr>
          <w:color w:val="231F20"/>
          <w:spacing w:val="25"/>
          <w:sz w:val="20"/>
        </w:rPr>
        <w:t> </w:t>
      </w:r>
      <w:r>
        <w:rPr>
          <w:color w:val="231F20"/>
          <w:sz w:val="20"/>
        </w:rPr>
        <w:t>top</w:t>
      </w:r>
      <w:r>
        <w:rPr>
          <w:color w:val="231F20"/>
          <w:spacing w:val="25"/>
          <w:sz w:val="20"/>
        </w:rPr>
        <w:t> </w:t>
      </w:r>
      <w:r>
        <w:rPr>
          <w:color w:val="231F20"/>
          <w:sz w:val="20"/>
        </w:rPr>
        <w:t>left</w:t>
      </w:r>
      <w:r>
        <w:rPr>
          <w:color w:val="231F20"/>
          <w:spacing w:val="25"/>
          <w:sz w:val="20"/>
        </w:rPr>
        <w:t> </w:t>
      </w:r>
      <w:r>
        <w:rPr>
          <w:color w:val="231F20"/>
          <w:sz w:val="20"/>
        </w:rPr>
        <w:t>corner</w:t>
      </w:r>
      <w:r>
        <w:rPr>
          <w:color w:val="231F20"/>
          <w:spacing w:val="25"/>
          <w:sz w:val="20"/>
        </w:rPr>
        <w:t> </w:t>
      </w:r>
      <w:r>
        <w:rPr>
          <w:color w:val="231F20"/>
          <w:sz w:val="20"/>
        </w:rPr>
        <w:t>with</w:t>
      </w:r>
      <w:r>
        <w:rPr>
          <w:color w:val="231F20"/>
          <w:spacing w:val="25"/>
          <w:sz w:val="20"/>
        </w:rPr>
        <w:t> </w:t>
      </w:r>
      <w:r>
        <w:rPr>
          <w:color w:val="231F20"/>
          <w:sz w:val="20"/>
        </w:rPr>
        <w:t>white</w:t>
      </w:r>
      <w:r>
        <w:rPr>
          <w:color w:val="231F20"/>
          <w:spacing w:val="25"/>
          <w:sz w:val="20"/>
        </w:rPr>
        <w:t> </w:t>
      </w:r>
      <w:r>
        <w:rPr>
          <w:color w:val="231F20"/>
          <w:sz w:val="20"/>
        </w:rPr>
        <w:t>space </w:t>
      </w:r>
      <w:r>
        <w:rPr>
          <w:color w:val="231F20"/>
          <w:spacing w:val="-2"/>
          <w:sz w:val="20"/>
        </w:rPr>
        <w:t>fill-in.</w:t>
      </w:r>
    </w:p>
    <w:p>
      <w:pPr>
        <w:pStyle w:val="ListParagraph"/>
        <w:numPr>
          <w:ilvl w:val="0"/>
          <w:numId w:val="67"/>
        </w:numPr>
        <w:tabs>
          <w:tab w:pos="2548" w:val="left" w:leader="none"/>
        </w:tabs>
        <w:spacing w:line="213" w:lineRule="auto" w:before="63" w:after="0"/>
        <w:ind w:left="2548" w:right="840" w:hanging="316"/>
        <w:jc w:val="left"/>
        <w:rPr>
          <w:sz w:val="20"/>
        </w:rPr>
      </w:pPr>
      <w:r>
        <w:rPr>
          <w:color w:val="231F20"/>
          <w:sz w:val="20"/>
        </w:rPr>
        <w:t>Click </w:t>
      </w:r>
      <w:r>
        <w:rPr>
          <w:rFonts w:ascii="Book Antiqua"/>
          <w:b/>
          <w:color w:val="231F20"/>
          <w:sz w:val="20"/>
        </w:rPr>
        <w:t>Browse</w:t>
      </w:r>
      <w:r>
        <w:rPr>
          <w:color w:val="231F20"/>
          <w:sz w:val="20"/>
        </w:rPr>
        <w:t>, and select the image that you created from the list of images under </w:t>
      </w:r>
      <w:r>
        <w:rPr>
          <w:rFonts w:ascii="Arial"/>
          <w:color w:val="231F20"/>
          <w:sz w:val="20"/>
        </w:rPr>
        <w:t>background/users</w:t>
      </w:r>
      <w:r>
        <w:rPr>
          <w:color w:val="231F20"/>
          <w:sz w:val="20"/>
        </w:rPr>
        <w:t>.</w:t>
      </w:r>
    </w:p>
    <w:p>
      <w:pPr>
        <w:pStyle w:val="ListParagraph"/>
        <w:numPr>
          <w:ilvl w:val="0"/>
          <w:numId w:val="67"/>
        </w:numPr>
        <w:tabs>
          <w:tab w:pos="2548" w:val="left" w:leader="none"/>
        </w:tabs>
        <w:spacing w:line="213" w:lineRule="auto" w:before="59" w:after="0"/>
        <w:ind w:left="2548" w:right="767" w:hanging="316"/>
        <w:jc w:val="left"/>
        <w:rPr>
          <w:sz w:val="20"/>
        </w:rPr>
      </w:pPr>
      <w:r>
        <w:rPr>
          <w:color w:val="231F20"/>
          <w:sz w:val="20"/>
        </w:rPr>
        <w:t>Click </w:t>
      </w:r>
      <w:r>
        <w:rPr>
          <w:rFonts w:ascii="Book Antiqua"/>
          <w:b/>
          <w:color w:val="231F20"/>
          <w:sz w:val="20"/>
        </w:rPr>
        <w:t>Apply </w:t>
      </w:r>
      <w:r>
        <w:rPr>
          <w:color w:val="231F20"/>
          <w:sz w:val="20"/>
        </w:rPr>
        <w:t>if you can see the graphic view is showing behind the window </w:t>
      </w:r>
      <w:bookmarkStart w:name="Creating custom icons" w:id="241"/>
      <w:bookmarkEnd w:id="241"/>
      <w:r>
        <w:rPr>
          <w:color w:val="231F20"/>
          <w:sz w:val="20"/>
        </w:rPr>
        <w:t>and</w:t>
      </w:r>
      <w:r>
        <w:rPr>
          <w:color w:val="231F20"/>
          <w:sz w:val="20"/>
        </w:rPr>
        <w:t> want to see how your image will look in the view space.</w:t>
      </w:r>
    </w:p>
    <w:p>
      <w:pPr>
        <w:pStyle w:val="Heading4"/>
        <w:spacing w:line="273" w:lineRule="exact" w:before="165"/>
      </w:pPr>
      <w:r>
        <w:rPr>
          <w:color w:val="231F20"/>
        </w:rPr>
        <w:t>Creating</w:t>
      </w:r>
      <w:r>
        <w:rPr>
          <w:color w:val="231F20"/>
          <w:spacing w:val="3"/>
        </w:rPr>
        <w:t> </w:t>
      </w:r>
      <w:r>
        <w:rPr>
          <w:color w:val="231F20"/>
        </w:rPr>
        <w:t>custom</w:t>
      </w:r>
      <w:r>
        <w:rPr>
          <w:color w:val="231F20"/>
          <w:spacing w:val="4"/>
        </w:rPr>
        <w:t> </w:t>
      </w:r>
      <w:r>
        <w:rPr>
          <w:color w:val="231F20"/>
          <w:spacing w:val="-2"/>
        </w:rPr>
        <w:t>icons</w:t>
      </w:r>
    </w:p>
    <w:p>
      <w:pPr>
        <w:pStyle w:val="BodyText"/>
        <w:spacing w:line="213" w:lineRule="auto" w:before="20"/>
        <w:ind w:left="2232" w:right="545"/>
      </w:pPr>
      <w:r>
        <w:rPr>
          <w:color w:val="231F20"/>
        </w:rPr>
        <w:t>Graphical icons are applied to the background image of the graphic view to represent the Navigator items. Customize the graphic view by applying icon graphics of your choosing rather than those from the Navigator view. For </w:t>
      </w:r>
      <w:r>
        <w:rPr>
          <w:color w:val="231F20"/>
        </w:rPr>
        <w:t>example, you might want to use your company logo instead of the </w:t>
      </w:r>
      <w:r>
        <w:rPr>
          <w:color w:val="231F20"/>
          <w:spacing w:val="15"/>
          <w:position w:val="-1"/>
        </w:rPr>
        <w:drawing>
          <wp:inline distT="0" distB="0" distL="0" distR="0">
            <wp:extent cx="95250" cy="101600"/>
            <wp:effectExtent l="0" t="0" r="0" b="0"/>
            <wp:docPr id="1448" name="Image 1448"/>
            <wp:cNvGraphicFramePr>
              <a:graphicFrameLocks/>
            </wp:cNvGraphicFramePr>
            <a:graphic>
              <a:graphicData uri="http://schemas.openxmlformats.org/drawingml/2006/picture">
                <pic:pic>
                  <pic:nvPicPr>
                    <pic:cNvPr id="1448" name="Image 144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provided icon to</w:t>
      </w:r>
      <w:r>
        <w:rPr>
          <w:color w:val="231F20"/>
          <w:spacing w:val="40"/>
        </w:rPr>
        <w:t> </w:t>
      </w:r>
      <w:r>
        <w:rPr>
          <w:color w:val="231F20"/>
        </w:rPr>
        <w:t>represent the Enterprise.</w:t>
      </w:r>
    </w:p>
    <w:p>
      <w:pPr>
        <w:pStyle w:val="Heading5"/>
        <w:spacing w:before="216"/>
        <w:ind w:left="2232"/>
      </w:pPr>
      <w:r>
        <w:rPr>
          <w:color w:val="231F20"/>
        </w:rPr>
        <w:t>Before</w:t>
      </w:r>
      <w:r>
        <w:rPr>
          <w:color w:val="231F20"/>
          <w:spacing w:val="5"/>
        </w:rPr>
        <w:t> </w:t>
      </w:r>
      <w:r>
        <w:rPr>
          <w:color w:val="231F20"/>
        </w:rPr>
        <w:t>you</w:t>
      </w:r>
      <w:r>
        <w:rPr>
          <w:color w:val="231F20"/>
          <w:spacing w:val="6"/>
        </w:rPr>
        <w:t> </w:t>
      </w:r>
      <w:r>
        <w:rPr>
          <w:color w:val="231F20"/>
          <w:spacing w:val="-2"/>
        </w:rPr>
        <w:t>begin</w:t>
      </w:r>
    </w:p>
    <w:p>
      <w:pPr>
        <w:pStyle w:val="BodyText"/>
        <w:spacing w:line="213" w:lineRule="auto" w:before="246"/>
        <w:ind w:left="2232" w:right="545"/>
      </w:pPr>
      <w:r>
        <w:rPr>
          <w:color w:val="231F20"/>
        </w:rPr>
        <w:t>The procedure has you create the icon images, copy one of the Tivoli Enterprise Portal style sheets, edit it to reference your images, then update the graphic view style properties to use the new style sheet. The new style sheet and icons must be</w:t>
      </w:r>
      <w:r>
        <w:rPr>
          <w:color w:val="231F20"/>
          <w:spacing w:val="40"/>
        </w:rPr>
        <w:t> </w:t>
      </w:r>
      <w:r>
        <w:rPr>
          <w:color w:val="231F20"/>
        </w:rPr>
        <w:t>saved on the computer where the Tivoli Enterprise Portal Server is installed.</w:t>
      </w:r>
    </w:p>
    <w:p>
      <w:pPr>
        <w:pStyle w:val="BodyText"/>
        <w:spacing w:line="213" w:lineRule="auto" w:before="236"/>
        <w:ind w:left="2232" w:right="448"/>
      </w:pPr>
      <w:r>
        <w:rPr>
          <w:color w:val="231F20"/>
        </w:rPr>
        <w:t>Create</w:t>
      </w:r>
      <w:r>
        <w:rPr>
          <w:color w:val="231F20"/>
          <w:spacing w:val="22"/>
        </w:rPr>
        <w:t> </w:t>
      </w:r>
      <w:r>
        <w:rPr>
          <w:color w:val="231F20"/>
        </w:rPr>
        <w:t>icons</w:t>
      </w:r>
      <w:r>
        <w:rPr>
          <w:color w:val="231F20"/>
          <w:spacing w:val="22"/>
        </w:rPr>
        <w:t> </w:t>
      </w:r>
      <w:r>
        <w:rPr>
          <w:color w:val="231F20"/>
        </w:rPr>
        <w:t>as</w:t>
      </w:r>
      <w:r>
        <w:rPr>
          <w:color w:val="231F20"/>
          <w:spacing w:val="22"/>
        </w:rPr>
        <w:t> </w:t>
      </w:r>
      <w:r>
        <w:rPr>
          <w:color w:val="231F20"/>
        </w:rPr>
        <w:t>close</w:t>
      </w:r>
      <w:r>
        <w:rPr>
          <w:color w:val="231F20"/>
          <w:spacing w:val="22"/>
        </w:rPr>
        <w:t> </w:t>
      </w:r>
      <w:r>
        <w:rPr>
          <w:color w:val="231F20"/>
        </w:rPr>
        <w:t>to</w:t>
      </w:r>
      <w:r>
        <w:rPr>
          <w:color w:val="231F20"/>
          <w:spacing w:val="22"/>
        </w:rPr>
        <w:t> </w:t>
      </w:r>
      <w:r>
        <w:rPr>
          <w:color w:val="231F20"/>
        </w:rPr>
        <w:t>32</w:t>
      </w:r>
      <w:r>
        <w:rPr>
          <w:color w:val="231F20"/>
          <w:spacing w:val="22"/>
        </w:rPr>
        <w:t> </w:t>
      </w:r>
      <w:r>
        <w:rPr>
          <w:color w:val="231F20"/>
        </w:rPr>
        <w:t>x</w:t>
      </w:r>
      <w:r>
        <w:rPr>
          <w:color w:val="231F20"/>
          <w:spacing w:val="22"/>
        </w:rPr>
        <w:t> </w:t>
      </w:r>
      <w:r>
        <w:rPr>
          <w:color w:val="231F20"/>
        </w:rPr>
        <w:t>32</w:t>
      </w:r>
      <w:r>
        <w:rPr>
          <w:color w:val="231F20"/>
          <w:spacing w:val="22"/>
        </w:rPr>
        <w:t> </w:t>
      </w:r>
      <w:r>
        <w:rPr>
          <w:color w:val="231F20"/>
        </w:rPr>
        <w:t>pixels</w:t>
      </w:r>
      <w:r>
        <w:rPr>
          <w:color w:val="231F20"/>
          <w:spacing w:val="22"/>
        </w:rPr>
        <w:t> </w:t>
      </w:r>
      <w:r>
        <w:rPr>
          <w:color w:val="231F20"/>
        </w:rPr>
        <w:t>(large_icon_)</w:t>
      </w:r>
      <w:r>
        <w:rPr>
          <w:color w:val="231F20"/>
          <w:spacing w:val="22"/>
        </w:rPr>
        <w:t> </w:t>
      </w:r>
      <w:r>
        <w:rPr>
          <w:color w:val="231F20"/>
        </w:rPr>
        <w:t>or</w:t>
      </w:r>
      <w:r>
        <w:rPr>
          <w:color w:val="231F20"/>
          <w:spacing w:val="22"/>
        </w:rPr>
        <w:t> </w:t>
      </w:r>
      <w:r>
        <w:rPr>
          <w:color w:val="231F20"/>
        </w:rPr>
        <w:t>20</w:t>
      </w:r>
      <w:r>
        <w:rPr>
          <w:color w:val="231F20"/>
          <w:spacing w:val="22"/>
        </w:rPr>
        <w:t> </w:t>
      </w:r>
      <w:r>
        <w:rPr>
          <w:color w:val="231F20"/>
        </w:rPr>
        <w:t>x</w:t>
      </w:r>
      <w:r>
        <w:rPr>
          <w:color w:val="231F20"/>
          <w:spacing w:val="22"/>
        </w:rPr>
        <w:t> </w:t>
      </w:r>
      <w:r>
        <w:rPr>
          <w:color w:val="231F20"/>
        </w:rPr>
        <w:t>20</w:t>
      </w:r>
      <w:r>
        <w:rPr>
          <w:color w:val="231F20"/>
          <w:spacing w:val="22"/>
        </w:rPr>
        <w:t> </w:t>
      </w:r>
      <w:r>
        <w:rPr>
          <w:color w:val="231F20"/>
        </w:rPr>
        <w:t>pixels</w:t>
      </w:r>
      <w:r>
        <w:rPr>
          <w:color w:val="231F20"/>
          <w:spacing w:val="22"/>
        </w:rPr>
        <w:t> </w:t>
      </w:r>
      <w:r>
        <w:rPr>
          <w:color w:val="231F20"/>
        </w:rPr>
        <w:t>(small_icon_) as possible. An image greater or smaller will be resized to those dimensions automatically and might look distorted. Also, the image will retain proper proportions only if it is the same height and width. For example, if your original</w:t>
      </w:r>
      <w:r>
        <w:rPr>
          <w:color w:val="231F20"/>
          <w:spacing w:val="80"/>
        </w:rPr>
        <w:t> </w:t>
      </w:r>
      <w:r>
        <w:rPr>
          <w:color w:val="231F20"/>
        </w:rPr>
        <w:t>icon</w:t>
      </w:r>
      <w:r>
        <w:rPr>
          <w:color w:val="231F20"/>
          <w:spacing w:val="13"/>
        </w:rPr>
        <w:t> </w:t>
      </w:r>
      <w:r>
        <w:rPr>
          <w:color w:val="231F20"/>
        </w:rPr>
        <w:t>is</w:t>
      </w:r>
      <w:r>
        <w:rPr>
          <w:color w:val="231F20"/>
          <w:spacing w:val="13"/>
        </w:rPr>
        <w:t> </w:t>
      </w:r>
      <w:r>
        <w:rPr>
          <w:color w:val="231F20"/>
        </w:rPr>
        <w:t>76</w:t>
      </w:r>
      <w:r>
        <w:rPr>
          <w:color w:val="231F20"/>
          <w:spacing w:val="13"/>
        </w:rPr>
        <w:t> </w:t>
      </w:r>
      <w:r>
        <w:rPr>
          <w:color w:val="231F20"/>
        </w:rPr>
        <w:t>x</w:t>
      </w:r>
      <w:r>
        <w:rPr>
          <w:color w:val="231F20"/>
          <w:spacing w:val="13"/>
        </w:rPr>
        <w:t> </w:t>
      </w:r>
      <w:r>
        <w:rPr>
          <w:color w:val="231F20"/>
        </w:rPr>
        <w:t>54,</w:t>
      </w:r>
      <w:r>
        <w:rPr>
          <w:color w:val="231F20"/>
          <w:spacing w:val="13"/>
        </w:rPr>
        <w:t> </w:t>
      </w:r>
      <w:r>
        <w:rPr>
          <w:color w:val="231F20"/>
        </w:rPr>
        <w:t>resize</w:t>
      </w:r>
      <w:r>
        <w:rPr>
          <w:color w:val="231F20"/>
          <w:spacing w:val="13"/>
        </w:rPr>
        <w:t> </w:t>
      </w:r>
      <w:r>
        <w:rPr>
          <w:color w:val="231F20"/>
        </w:rPr>
        <w:t>it</w:t>
      </w:r>
      <w:r>
        <w:rPr>
          <w:color w:val="231F20"/>
          <w:spacing w:val="13"/>
        </w:rPr>
        <w:t> </w:t>
      </w:r>
      <w:r>
        <w:rPr>
          <w:color w:val="231F20"/>
        </w:rPr>
        <w:t>to</w:t>
      </w:r>
      <w:r>
        <w:rPr>
          <w:color w:val="231F20"/>
          <w:spacing w:val="13"/>
        </w:rPr>
        <w:t> </w:t>
      </w:r>
      <w:r>
        <w:rPr>
          <w:color w:val="231F20"/>
        </w:rPr>
        <w:t>fit</w:t>
      </w:r>
      <w:r>
        <w:rPr>
          <w:color w:val="231F20"/>
          <w:spacing w:val="13"/>
        </w:rPr>
        <w:t> </w:t>
      </w:r>
      <w:r>
        <w:rPr>
          <w:color w:val="231F20"/>
        </w:rPr>
        <w:t>32</w:t>
      </w:r>
      <w:r>
        <w:rPr>
          <w:color w:val="231F20"/>
          <w:spacing w:val="13"/>
        </w:rPr>
        <w:t> </w:t>
      </w:r>
      <w:r>
        <w:rPr>
          <w:color w:val="231F20"/>
        </w:rPr>
        <w:t>x</w:t>
      </w:r>
      <w:r>
        <w:rPr>
          <w:color w:val="231F20"/>
          <w:spacing w:val="13"/>
        </w:rPr>
        <w:t> </w:t>
      </w:r>
      <w:r>
        <w:rPr>
          <w:color w:val="231F20"/>
        </w:rPr>
        <w:t>32</w:t>
      </w:r>
      <w:r>
        <w:rPr>
          <w:color w:val="231F20"/>
          <w:spacing w:val="13"/>
        </w:rPr>
        <w:t> </w:t>
      </w:r>
      <w:r>
        <w:rPr>
          <w:color w:val="231F20"/>
        </w:rPr>
        <w:t>if</w:t>
      </w:r>
      <w:r>
        <w:rPr>
          <w:color w:val="231F20"/>
          <w:spacing w:val="13"/>
        </w:rPr>
        <w:t> </w:t>
      </w:r>
      <w:r>
        <w:rPr>
          <w:color w:val="231F20"/>
        </w:rPr>
        <w:t>you</w:t>
      </w:r>
      <w:r>
        <w:rPr>
          <w:color w:val="231F20"/>
          <w:spacing w:val="13"/>
        </w:rPr>
        <w:t> </w:t>
      </w:r>
      <w:r>
        <w:rPr>
          <w:color w:val="231F20"/>
        </w:rPr>
        <w:t>will</w:t>
      </w:r>
      <w:r>
        <w:rPr>
          <w:color w:val="231F20"/>
          <w:spacing w:val="13"/>
        </w:rPr>
        <w:t> </w:t>
      </w:r>
      <w:r>
        <w:rPr>
          <w:color w:val="231F20"/>
        </w:rPr>
        <w:t>be</w:t>
      </w:r>
      <w:r>
        <w:rPr>
          <w:color w:val="231F20"/>
          <w:spacing w:val="13"/>
        </w:rPr>
        <w:t> </w:t>
      </w:r>
      <w:r>
        <w:rPr>
          <w:color w:val="231F20"/>
        </w:rPr>
        <w:t>using</w:t>
      </w:r>
      <w:r>
        <w:rPr>
          <w:color w:val="231F20"/>
          <w:spacing w:val="13"/>
        </w:rPr>
        <w:t> </w:t>
      </w:r>
      <w:r>
        <w:rPr>
          <w:color w:val="231F20"/>
        </w:rPr>
        <w:t>one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large</w:t>
      </w:r>
      <w:r>
        <w:rPr>
          <w:color w:val="231F20"/>
          <w:spacing w:val="13"/>
        </w:rPr>
        <w:t> </w:t>
      </w:r>
      <w:r>
        <w:rPr>
          <w:color w:val="231F20"/>
        </w:rPr>
        <w:t>icon</w:t>
      </w:r>
      <w:r>
        <w:rPr>
          <w:color w:val="231F20"/>
          <w:spacing w:val="13"/>
        </w:rPr>
        <w:t> </w:t>
      </w:r>
      <w:r>
        <w:rPr>
          <w:color w:val="231F20"/>
        </w:rPr>
        <w:t>style </w:t>
      </w:r>
      <w:r>
        <w:rPr>
          <w:color w:val="231F20"/>
          <w:spacing w:val="-2"/>
        </w:rPr>
        <w:t>sheets.</w:t>
      </w:r>
    </w:p>
    <w:p>
      <w:pPr>
        <w:pStyle w:val="BodyText"/>
        <w:spacing w:line="213" w:lineRule="auto" w:before="236"/>
        <w:ind w:left="2232" w:right="385"/>
      </w:pPr>
      <w:r>
        <w:rPr>
          <w:color w:val="231F20"/>
        </w:rPr>
        <w:t>Small icons are used in conjunction with the "small" stylesheets. The graphic itself should be no taller than 16 x 16 pixels with a 2-pixel top and bottom margin, for a</w:t>
      </w:r>
      <w:r>
        <w:rPr>
          <w:color w:val="231F20"/>
          <w:spacing w:val="80"/>
        </w:rPr>
        <w:t> </w:t>
      </w:r>
      <w:r>
        <w:rPr>
          <w:color w:val="231F20"/>
        </w:rPr>
        <w:t>total</w:t>
      </w:r>
      <w:r>
        <w:rPr>
          <w:color w:val="231F20"/>
          <w:spacing w:val="25"/>
        </w:rPr>
        <w:t> </w:t>
      </w:r>
      <w:r>
        <w:rPr>
          <w:color w:val="231F20"/>
        </w:rPr>
        <w:t>of</w:t>
      </w:r>
      <w:r>
        <w:rPr>
          <w:color w:val="231F20"/>
          <w:spacing w:val="25"/>
        </w:rPr>
        <w:t> </w:t>
      </w:r>
      <w:r>
        <w:rPr>
          <w:color w:val="231F20"/>
        </w:rPr>
        <w:t>20</w:t>
      </w:r>
      <w:r>
        <w:rPr>
          <w:color w:val="231F20"/>
          <w:spacing w:val="25"/>
        </w:rPr>
        <w:t> </w:t>
      </w:r>
      <w:r>
        <w:rPr>
          <w:color w:val="231F20"/>
        </w:rPr>
        <w:t>x</w:t>
      </w:r>
      <w:r>
        <w:rPr>
          <w:color w:val="231F20"/>
          <w:spacing w:val="25"/>
        </w:rPr>
        <w:t> </w:t>
      </w:r>
      <w:r>
        <w:rPr>
          <w:color w:val="231F20"/>
        </w:rPr>
        <w:t>20</w:t>
      </w:r>
      <w:r>
        <w:rPr>
          <w:color w:val="231F20"/>
          <w:spacing w:val="25"/>
        </w:rPr>
        <w:t> </w:t>
      </w:r>
      <w:r>
        <w:rPr>
          <w:color w:val="231F20"/>
        </w:rPr>
        <w:t>pixels.</w:t>
      </w:r>
      <w:r>
        <w:rPr>
          <w:color w:val="231F20"/>
          <w:spacing w:val="25"/>
        </w:rPr>
        <w:t> </w:t>
      </w:r>
      <w:r>
        <w:rPr>
          <w:color w:val="231F20"/>
        </w:rPr>
        <w:t>The</w:t>
      </w:r>
      <w:r>
        <w:rPr>
          <w:color w:val="231F20"/>
          <w:spacing w:val="25"/>
        </w:rPr>
        <w:t> </w:t>
      </w:r>
      <w:r>
        <w:rPr>
          <w:color w:val="231F20"/>
        </w:rPr>
        <w:t>2-pixel</w:t>
      </w:r>
      <w:r>
        <w:rPr>
          <w:color w:val="231F20"/>
          <w:spacing w:val="25"/>
        </w:rPr>
        <w:t> </w:t>
      </w:r>
      <w:r>
        <w:rPr>
          <w:color w:val="231F20"/>
        </w:rPr>
        <w:t>margins</w:t>
      </w:r>
      <w:r>
        <w:rPr>
          <w:color w:val="231F20"/>
          <w:spacing w:val="25"/>
        </w:rPr>
        <w:t> </w:t>
      </w:r>
      <w:r>
        <w:rPr>
          <w:color w:val="231F20"/>
        </w:rPr>
        <w:t>ensure</w:t>
      </w:r>
      <w:r>
        <w:rPr>
          <w:color w:val="231F20"/>
          <w:spacing w:val="25"/>
        </w:rPr>
        <w:t> </w:t>
      </w:r>
      <w:r>
        <w:rPr>
          <w:color w:val="231F20"/>
        </w:rPr>
        <w:t>that</w:t>
      </w:r>
      <w:r>
        <w:rPr>
          <w:color w:val="231F20"/>
          <w:spacing w:val="25"/>
        </w:rPr>
        <w:t> </w:t>
      </w:r>
      <w:r>
        <w:rPr>
          <w:color w:val="231F20"/>
        </w:rPr>
        <w:t>the</w:t>
      </w:r>
      <w:r>
        <w:rPr>
          <w:color w:val="231F20"/>
          <w:spacing w:val="25"/>
        </w:rPr>
        <w:t> </w:t>
      </w:r>
      <w:r>
        <w:rPr>
          <w:color w:val="231F20"/>
        </w:rPr>
        <w:t>icon</w:t>
      </w:r>
      <w:r>
        <w:rPr>
          <w:color w:val="231F20"/>
          <w:spacing w:val="25"/>
        </w:rPr>
        <w:t> </w:t>
      </w:r>
      <w:r>
        <w:rPr>
          <w:color w:val="231F20"/>
        </w:rPr>
        <w:t>does</w:t>
      </w:r>
      <w:r>
        <w:rPr>
          <w:color w:val="231F20"/>
          <w:spacing w:val="25"/>
        </w:rPr>
        <w:t> </w:t>
      </w:r>
      <w:r>
        <w:rPr>
          <w:color w:val="231F20"/>
        </w:rPr>
        <w:t>not</w:t>
      </w:r>
      <w:r>
        <w:rPr>
          <w:color w:val="231F20"/>
          <w:spacing w:val="25"/>
        </w:rPr>
        <w:t> </w:t>
      </w:r>
      <w:r>
        <w:rPr>
          <w:color w:val="231F20"/>
        </w:rPr>
        <w:t>"touch" the one above or below it.</w:t>
      </w:r>
    </w:p>
    <w:p>
      <w:pPr>
        <w:pStyle w:val="Heading5"/>
        <w:spacing w:before="217"/>
        <w:ind w:left="2232"/>
      </w:pPr>
      <w:r>
        <w:rPr>
          <w:color w:val="231F20"/>
          <w:spacing w:val="-2"/>
        </w:rPr>
        <w:t>Procedure</w:t>
      </w:r>
    </w:p>
    <w:p>
      <w:pPr>
        <w:pStyle w:val="ListParagraph"/>
        <w:numPr>
          <w:ilvl w:val="0"/>
          <w:numId w:val="68"/>
        </w:numPr>
        <w:tabs>
          <w:tab w:pos="2547" w:val="left" w:leader="none"/>
        </w:tabs>
        <w:spacing w:line="240" w:lineRule="auto" w:before="43" w:after="0"/>
        <w:ind w:left="2547" w:right="0" w:hanging="315"/>
        <w:jc w:val="left"/>
        <w:rPr>
          <w:sz w:val="20"/>
        </w:rPr>
      </w:pPr>
      <w:r>
        <w:rPr>
          <w:color w:val="231F20"/>
          <w:sz w:val="20"/>
        </w:rPr>
        <w:t>Create</w:t>
      </w:r>
      <w:r>
        <w:rPr>
          <w:color w:val="231F20"/>
          <w:spacing w:val="9"/>
          <w:sz w:val="20"/>
        </w:rPr>
        <w:t> </w:t>
      </w:r>
      <w:r>
        <w:rPr>
          <w:color w:val="231F20"/>
          <w:sz w:val="20"/>
        </w:rPr>
        <w:t>the</w:t>
      </w:r>
      <w:r>
        <w:rPr>
          <w:color w:val="231F20"/>
          <w:spacing w:val="10"/>
          <w:sz w:val="20"/>
        </w:rPr>
        <w:t> </w:t>
      </w:r>
      <w:r>
        <w:rPr>
          <w:color w:val="231F20"/>
          <w:spacing w:val="-2"/>
          <w:sz w:val="20"/>
        </w:rPr>
        <w:t>images:</w:t>
      </w:r>
    </w:p>
    <w:p>
      <w:pPr>
        <w:pStyle w:val="ListParagraph"/>
        <w:numPr>
          <w:ilvl w:val="1"/>
          <w:numId w:val="68"/>
        </w:numPr>
        <w:tabs>
          <w:tab w:pos="2863" w:val="left" w:leader="none"/>
        </w:tabs>
        <w:spacing w:line="255" w:lineRule="exact" w:before="29" w:after="0"/>
        <w:ind w:left="2863" w:right="0" w:hanging="315"/>
        <w:jc w:val="left"/>
        <w:rPr>
          <w:sz w:val="20"/>
        </w:rPr>
      </w:pPr>
      <w:r>
        <w:rPr>
          <w:color w:val="231F20"/>
          <w:sz w:val="20"/>
        </w:rPr>
        <w:t>Create</w:t>
      </w:r>
      <w:r>
        <w:rPr>
          <w:color w:val="231F20"/>
          <w:spacing w:val="11"/>
          <w:sz w:val="20"/>
        </w:rPr>
        <w:t> </w:t>
      </w:r>
      <w:r>
        <w:rPr>
          <w:color w:val="231F20"/>
          <w:sz w:val="20"/>
        </w:rPr>
        <w:t>a</w:t>
      </w:r>
      <w:r>
        <w:rPr>
          <w:color w:val="231F20"/>
          <w:spacing w:val="11"/>
          <w:sz w:val="20"/>
        </w:rPr>
        <w:t> </w:t>
      </w:r>
      <w:r>
        <w:rPr>
          <w:color w:val="231F20"/>
          <w:sz w:val="20"/>
        </w:rPr>
        <w:t>one-word</w:t>
      </w:r>
      <w:r>
        <w:rPr>
          <w:color w:val="231F20"/>
          <w:spacing w:val="11"/>
          <w:sz w:val="20"/>
        </w:rPr>
        <w:t> </w:t>
      </w:r>
      <w:r>
        <w:rPr>
          <w:color w:val="231F20"/>
          <w:sz w:val="20"/>
        </w:rPr>
        <w:t>(all</w:t>
      </w:r>
      <w:r>
        <w:rPr>
          <w:color w:val="231F20"/>
          <w:spacing w:val="11"/>
          <w:sz w:val="20"/>
        </w:rPr>
        <w:t> </w:t>
      </w:r>
      <w:r>
        <w:rPr>
          <w:color w:val="231F20"/>
          <w:sz w:val="20"/>
        </w:rPr>
        <w:t>lowercase</w:t>
      </w:r>
      <w:r>
        <w:rPr>
          <w:color w:val="231F20"/>
          <w:spacing w:val="11"/>
          <w:sz w:val="20"/>
        </w:rPr>
        <w:t> </w:t>
      </w:r>
      <w:r>
        <w:rPr>
          <w:color w:val="231F20"/>
          <w:sz w:val="20"/>
        </w:rPr>
        <w:t>if</w:t>
      </w:r>
      <w:r>
        <w:rPr>
          <w:color w:val="231F20"/>
          <w:spacing w:val="11"/>
          <w:sz w:val="20"/>
        </w:rPr>
        <w:t> </w:t>
      </w:r>
      <w:r>
        <w:rPr>
          <w:color w:val="231F20"/>
          <w:sz w:val="20"/>
        </w:rPr>
        <w:t>the</w:t>
      </w:r>
      <w:r>
        <w:rPr>
          <w:color w:val="231F20"/>
          <w:spacing w:val="11"/>
          <w:sz w:val="20"/>
        </w:rPr>
        <w:t> </w:t>
      </w:r>
      <w:r>
        <w:rPr>
          <w:color w:val="231F20"/>
          <w:sz w:val="20"/>
        </w:rPr>
        <w:t>portal</w:t>
      </w:r>
      <w:r>
        <w:rPr>
          <w:color w:val="231F20"/>
          <w:spacing w:val="11"/>
          <w:sz w:val="20"/>
        </w:rPr>
        <w:t> </w:t>
      </w:r>
      <w:r>
        <w:rPr>
          <w:color w:val="231F20"/>
          <w:sz w:val="20"/>
        </w:rPr>
        <w:t>server</w:t>
      </w:r>
      <w:r>
        <w:rPr>
          <w:color w:val="231F20"/>
          <w:spacing w:val="11"/>
          <w:sz w:val="20"/>
        </w:rPr>
        <w:t> </w:t>
      </w:r>
      <w:r>
        <w:rPr>
          <w:color w:val="231F20"/>
          <w:sz w:val="20"/>
        </w:rPr>
        <w:t>is</w:t>
      </w:r>
      <w:r>
        <w:rPr>
          <w:color w:val="231F20"/>
          <w:spacing w:val="11"/>
          <w:sz w:val="20"/>
        </w:rPr>
        <w:t> </w:t>
      </w:r>
      <w:r>
        <w:rPr>
          <w:color w:val="231F20"/>
          <w:sz w:val="20"/>
        </w:rPr>
        <w:t>on</w:t>
      </w:r>
      <w:r>
        <w:rPr>
          <w:color w:val="231F20"/>
          <w:spacing w:val="11"/>
          <w:sz w:val="20"/>
        </w:rPr>
        <w:t> </w:t>
      </w:r>
      <w:r>
        <w:rPr>
          <w:color w:val="231F20"/>
          <w:sz w:val="20"/>
        </w:rPr>
        <w:t>Linux</w:t>
      </w:r>
      <w:r>
        <w:rPr>
          <w:color w:val="231F20"/>
          <w:spacing w:val="11"/>
          <w:sz w:val="20"/>
        </w:rPr>
        <w:t> </w:t>
      </w:r>
      <w:r>
        <w:rPr>
          <w:color w:val="231F20"/>
          <w:sz w:val="20"/>
        </w:rPr>
        <w:t>or</w:t>
      </w:r>
      <w:r>
        <w:rPr>
          <w:color w:val="231F20"/>
          <w:spacing w:val="11"/>
          <w:sz w:val="20"/>
        </w:rPr>
        <w:t> </w:t>
      </w:r>
      <w:r>
        <w:rPr>
          <w:color w:val="231F20"/>
          <w:spacing w:val="-2"/>
          <w:sz w:val="20"/>
        </w:rPr>
        <w:t>UNIX)</w:t>
      </w:r>
    </w:p>
    <w:p>
      <w:pPr>
        <w:pStyle w:val="BodyText"/>
        <w:spacing w:line="213" w:lineRule="auto" w:before="8"/>
        <w:ind w:left="2864" w:right="385"/>
      </w:pPr>
      <w:r>
        <w:rPr/>
        <w:drawing>
          <wp:anchor distT="0" distB="0" distL="0" distR="0" allowOverlap="1" layoutInCell="1" locked="0" behindDoc="1" simplePos="0" relativeHeight="487686656">
            <wp:simplePos x="0" y="0"/>
            <wp:positionH relativeFrom="page">
              <wp:posOffset>2454191</wp:posOffset>
            </wp:positionH>
            <wp:positionV relativeFrom="paragraph">
              <wp:posOffset>798441</wp:posOffset>
            </wp:positionV>
            <wp:extent cx="204215" cy="204215"/>
            <wp:effectExtent l="0" t="0" r="0" b="0"/>
            <wp:wrapTopAndBottom/>
            <wp:docPr id="1449" name="Image 1449"/>
            <wp:cNvGraphicFramePr>
              <a:graphicFrameLocks/>
            </wp:cNvGraphicFramePr>
            <a:graphic>
              <a:graphicData uri="http://schemas.openxmlformats.org/drawingml/2006/picture">
                <pic:pic>
                  <pic:nvPicPr>
                    <pic:cNvPr id="1449" name="Image 1449"/>
                    <pic:cNvPicPr/>
                  </pic:nvPicPr>
                  <pic:blipFill>
                    <a:blip r:embed="rId288" cstate="print"/>
                    <a:stretch>
                      <a:fillRect/>
                    </a:stretch>
                  </pic:blipFill>
                  <pic:spPr>
                    <a:xfrm>
                      <a:off x="0" y="0"/>
                      <a:ext cx="204215" cy="204215"/>
                    </a:xfrm>
                    <a:prstGeom prst="rect">
                      <a:avLst/>
                    </a:prstGeom>
                  </pic:spPr>
                </pic:pic>
              </a:graphicData>
            </a:graphic>
          </wp:anchor>
        </w:drawing>
      </w:r>
      <w:r>
        <w:rPr/>
        <w:drawing>
          <wp:anchor distT="0" distB="0" distL="0" distR="0" allowOverlap="1" layoutInCell="1" locked="0" behindDoc="1" simplePos="0" relativeHeight="487687168">
            <wp:simplePos x="0" y="0"/>
            <wp:positionH relativeFrom="page">
              <wp:posOffset>2730816</wp:posOffset>
            </wp:positionH>
            <wp:positionV relativeFrom="paragraph">
              <wp:posOffset>798441</wp:posOffset>
            </wp:positionV>
            <wp:extent cx="204215" cy="204215"/>
            <wp:effectExtent l="0" t="0" r="0" b="0"/>
            <wp:wrapTopAndBottom/>
            <wp:docPr id="1450" name="Image 1450"/>
            <wp:cNvGraphicFramePr>
              <a:graphicFrameLocks/>
            </wp:cNvGraphicFramePr>
            <a:graphic>
              <a:graphicData uri="http://schemas.openxmlformats.org/drawingml/2006/picture">
                <pic:pic>
                  <pic:nvPicPr>
                    <pic:cNvPr id="1450" name="Image 1450"/>
                    <pic:cNvPicPr/>
                  </pic:nvPicPr>
                  <pic:blipFill>
                    <a:blip r:embed="rId289" cstate="print"/>
                    <a:stretch>
                      <a:fillRect/>
                    </a:stretch>
                  </pic:blipFill>
                  <pic:spPr>
                    <a:xfrm>
                      <a:off x="0" y="0"/>
                      <a:ext cx="204215" cy="204215"/>
                    </a:xfrm>
                    <a:prstGeom prst="rect">
                      <a:avLst/>
                    </a:prstGeom>
                  </pic:spPr>
                </pic:pic>
              </a:graphicData>
            </a:graphic>
          </wp:anchor>
        </w:drawing>
      </w:r>
      <w:r>
        <w:rPr/>
        <w:drawing>
          <wp:anchor distT="0" distB="0" distL="0" distR="0" allowOverlap="1" layoutInCell="1" locked="0" behindDoc="1" simplePos="0" relativeHeight="487687680">
            <wp:simplePos x="0" y="0"/>
            <wp:positionH relativeFrom="page">
              <wp:posOffset>3007440</wp:posOffset>
            </wp:positionH>
            <wp:positionV relativeFrom="paragraph">
              <wp:posOffset>798441</wp:posOffset>
            </wp:positionV>
            <wp:extent cx="204216" cy="204215"/>
            <wp:effectExtent l="0" t="0" r="0" b="0"/>
            <wp:wrapTopAndBottom/>
            <wp:docPr id="1451" name="Image 1451"/>
            <wp:cNvGraphicFramePr>
              <a:graphicFrameLocks/>
            </wp:cNvGraphicFramePr>
            <a:graphic>
              <a:graphicData uri="http://schemas.openxmlformats.org/drawingml/2006/picture">
                <pic:pic>
                  <pic:nvPicPr>
                    <pic:cNvPr id="1451" name="Image 1451"/>
                    <pic:cNvPicPr/>
                  </pic:nvPicPr>
                  <pic:blipFill>
                    <a:blip r:embed="rId290" cstate="print"/>
                    <a:stretch>
                      <a:fillRect/>
                    </a:stretch>
                  </pic:blipFill>
                  <pic:spPr>
                    <a:xfrm>
                      <a:off x="0" y="0"/>
                      <a:ext cx="204216" cy="204215"/>
                    </a:xfrm>
                    <a:prstGeom prst="rect">
                      <a:avLst/>
                    </a:prstGeom>
                  </pic:spPr>
                </pic:pic>
              </a:graphicData>
            </a:graphic>
          </wp:anchor>
        </w:drawing>
      </w:r>
      <w:r>
        <w:rPr/>
        <w:drawing>
          <wp:anchor distT="0" distB="0" distL="0" distR="0" allowOverlap="1" layoutInCell="1" locked="0" behindDoc="1" simplePos="0" relativeHeight="487688192">
            <wp:simplePos x="0" y="0"/>
            <wp:positionH relativeFrom="page">
              <wp:posOffset>3284063</wp:posOffset>
            </wp:positionH>
            <wp:positionV relativeFrom="paragraph">
              <wp:posOffset>798441</wp:posOffset>
            </wp:positionV>
            <wp:extent cx="204215" cy="204215"/>
            <wp:effectExtent l="0" t="0" r="0" b="0"/>
            <wp:wrapTopAndBottom/>
            <wp:docPr id="1452" name="Image 1452"/>
            <wp:cNvGraphicFramePr>
              <a:graphicFrameLocks/>
            </wp:cNvGraphicFramePr>
            <a:graphic>
              <a:graphicData uri="http://schemas.openxmlformats.org/drawingml/2006/picture">
                <pic:pic>
                  <pic:nvPicPr>
                    <pic:cNvPr id="1452" name="Image 1452"/>
                    <pic:cNvPicPr/>
                  </pic:nvPicPr>
                  <pic:blipFill>
                    <a:blip r:embed="rId291" cstate="print"/>
                    <a:stretch>
                      <a:fillRect/>
                    </a:stretch>
                  </pic:blipFill>
                  <pic:spPr>
                    <a:xfrm>
                      <a:off x="0" y="0"/>
                      <a:ext cx="204215" cy="204215"/>
                    </a:xfrm>
                    <a:prstGeom prst="rect">
                      <a:avLst/>
                    </a:prstGeom>
                  </pic:spPr>
                </pic:pic>
              </a:graphicData>
            </a:graphic>
          </wp:anchor>
        </w:drawing>
      </w:r>
      <w:r>
        <w:rPr/>
        <w:drawing>
          <wp:anchor distT="0" distB="0" distL="0" distR="0" allowOverlap="1" layoutInCell="1" locked="0" behindDoc="1" simplePos="0" relativeHeight="487688704">
            <wp:simplePos x="0" y="0"/>
            <wp:positionH relativeFrom="page">
              <wp:posOffset>3560687</wp:posOffset>
            </wp:positionH>
            <wp:positionV relativeFrom="paragraph">
              <wp:posOffset>798441</wp:posOffset>
            </wp:positionV>
            <wp:extent cx="204215" cy="204215"/>
            <wp:effectExtent l="0" t="0" r="0" b="0"/>
            <wp:wrapTopAndBottom/>
            <wp:docPr id="1453" name="Image 1453"/>
            <wp:cNvGraphicFramePr>
              <a:graphicFrameLocks/>
            </wp:cNvGraphicFramePr>
            <a:graphic>
              <a:graphicData uri="http://schemas.openxmlformats.org/drawingml/2006/picture">
                <pic:pic>
                  <pic:nvPicPr>
                    <pic:cNvPr id="1453" name="Image 1453"/>
                    <pic:cNvPicPr/>
                  </pic:nvPicPr>
                  <pic:blipFill>
                    <a:blip r:embed="rId292" cstate="print"/>
                    <a:stretch>
                      <a:fillRect/>
                    </a:stretch>
                  </pic:blipFill>
                  <pic:spPr>
                    <a:xfrm>
                      <a:off x="0" y="0"/>
                      <a:ext cx="204215" cy="204215"/>
                    </a:xfrm>
                    <a:prstGeom prst="rect">
                      <a:avLst/>
                    </a:prstGeom>
                  </pic:spPr>
                </pic:pic>
              </a:graphicData>
            </a:graphic>
          </wp:anchor>
        </w:drawing>
      </w:r>
      <w:r>
        <w:rPr/>
        <w:drawing>
          <wp:anchor distT="0" distB="0" distL="0" distR="0" allowOverlap="1" layoutInCell="1" locked="0" behindDoc="1" simplePos="0" relativeHeight="487689216">
            <wp:simplePos x="0" y="0"/>
            <wp:positionH relativeFrom="page">
              <wp:posOffset>3837311</wp:posOffset>
            </wp:positionH>
            <wp:positionV relativeFrom="paragraph">
              <wp:posOffset>899985</wp:posOffset>
            </wp:positionV>
            <wp:extent cx="127635" cy="127635"/>
            <wp:effectExtent l="0" t="0" r="0" b="0"/>
            <wp:wrapTopAndBottom/>
            <wp:docPr id="1454" name="Image 1454"/>
            <wp:cNvGraphicFramePr>
              <a:graphicFrameLocks/>
            </wp:cNvGraphicFramePr>
            <a:graphic>
              <a:graphicData uri="http://schemas.openxmlformats.org/drawingml/2006/picture">
                <pic:pic>
                  <pic:nvPicPr>
                    <pic:cNvPr id="1454" name="Image 1454"/>
                    <pic:cNvPicPr/>
                  </pic:nvPicPr>
                  <pic:blipFill>
                    <a:blip r:embed="rId293" cstate="print"/>
                    <a:stretch>
                      <a:fillRect/>
                    </a:stretch>
                  </pic:blipFill>
                  <pic:spPr>
                    <a:xfrm>
                      <a:off x="0" y="0"/>
                      <a:ext cx="127635" cy="127635"/>
                    </a:xfrm>
                    <a:prstGeom prst="rect">
                      <a:avLst/>
                    </a:prstGeom>
                  </pic:spPr>
                </pic:pic>
              </a:graphicData>
            </a:graphic>
          </wp:anchor>
        </w:drawing>
      </w:r>
      <w:r>
        <w:rPr/>
        <w:drawing>
          <wp:anchor distT="0" distB="0" distL="0" distR="0" allowOverlap="1" layoutInCell="1" locked="0" behindDoc="1" simplePos="0" relativeHeight="487689728">
            <wp:simplePos x="0" y="0"/>
            <wp:positionH relativeFrom="page">
              <wp:posOffset>4037903</wp:posOffset>
            </wp:positionH>
            <wp:positionV relativeFrom="paragraph">
              <wp:posOffset>899985</wp:posOffset>
            </wp:positionV>
            <wp:extent cx="127635" cy="127635"/>
            <wp:effectExtent l="0" t="0" r="0" b="0"/>
            <wp:wrapTopAndBottom/>
            <wp:docPr id="1455" name="Image 1455"/>
            <wp:cNvGraphicFramePr>
              <a:graphicFrameLocks/>
            </wp:cNvGraphicFramePr>
            <a:graphic>
              <a:graphicData uri="http://schemas.openxmlformats.org/drawingml/2006/picture">
                <pic:pic>
                  <pic:nvPicPr>
                    <pic:cNvPr id="1455" name="Image 1455"/>
                    <pic:cNvPicPr/>
                  </pic:nvPicPr>
                  <pic:blipFill>
                    <a:blip r:embed="rId294" cstate="print"/>
                    <a:stretch>
                      <a:fillRect/>
                    </a:stretch>
                  </pic:blipFill>
                  <pic:spPr>
                    <a:xfrm>
                      <a:off x="0" y="0"/>
                      <a:ext cx="127635" cy="127635"/>
                    </a:xfrm>
                    <a:prstGeom prst="rect">
                      <a:avLst/>
                    </a:prstGeom>
                  </pic:spPr>
                </pic:pic>
              </a:graphicData>
            </a:graphic>
          </wp:anchor>
        </w:drawing>
      </w:r>
      <w:r>
        <w:rPr/>
        <w:drawing>
          <wp:anchor distT="0" distB="0" distL="0" distR="0" allowOverlap="1" layoutInCell="1" locked="0" behindDoc="1" simplePos="0" relativeHeight="487690240">
            <wp:simplePos x="0" y="0"/>
            <wp:positionH relativeFrom="page">
              <wp:posOffset>4238495</wp:posOffset>
            </wp:positionH>
            <wp:positionV relativeFrom="paragraph">
              <wp:posOffset>899985</wp:posOffset>
            </wp:positionV>
            <wp:extent cx="127635" cy="127635"/>
            <wp:effectExtent l="0" t="0" r="0" b="0"/>
            <wp:wrapTopAndBottom/>
            <wp:docPr id="1456" name="Image 1456"/>
            <wp:cNvGraphicFramePr>
              <a:graphicFrameLocks/>
            </wp:cNvGraphicFramePr>
            <a:graphic>
              <a:graphicData uri="http://schemas.openxmlformats.org/drawingml/2006/picture">
                <pic:pic>
                  <pic:nvPicPr>
                    <pic:cNvPr id="1456" name="Image 1456"/>
                    <pic:cNvPicPr/>
                  </pic:nvPicPr>
                  <pic:blipFill>
                    <a:blip r:embed="rId295" cstate="print"/>
                    <a:stretch>
                      <a:fillRect/>
                    </a:stretch>
                  </pic:blipFill>
                  <pic:spPr>
                    <a:xfrm>
                      <a:off x="0" y="0"/>
                      <a:ext cx="127635" cy="127635"/>
                    </a:xfrm>
                    <a:prstGeom prst="rect">
                      <a:avLst/>
                    </a:prstGeom>
                  </pic:spPr>
                </pic:pic>
              </a:graphicData>
            </a:graphic>
          </wp:anchor>
        </w:drawing>
      </w:r>
      <w:r>
        <w:rPr/>
        <w:drawing>
          <wp:anchor distT="0" distB="0" distL="0" distR="0" allowOverlap="1" layoutInCell="1" locked="0" behindDoc="1" simplePos="0" relativeHeight="487690752">
            <wp:simplePos x="0" y="0"/>
            <wp:positionH relativeFrom="page">
              <wp:posOffset>4439087</wp:posOffset>
            </wp:positionH>
            <wp:positionV relativeFrom="paragraph">
              <wp:posOffset>899985</wp:posOffset>
            </wp:positionV>
            <wp:extent cx="127635" cy="127635"/>
            <wp:effectExtent l="0" t="0" r="0" b="0"/>
            <wp:wrapTopAndBottom/>
            <wp:docPr id="1457" name="Image 1457"/>
            <wp:cNvGraphicFramePr>
              <a:graphicFrameLocks/>
            </wp:cNvGraphicFramePr>
            <a:graphic>
              <a:graphicData uri="http://schemas.openxmlformats.org/drawingml/2006/picture">
                <pic:pic>
                  <pic:nvPicPr>
                    <pic:cNvPr id="1457" name="Image 1457"/>
                    <pic:cNvPicPr/>
                  </pic:nvPicPr>
                  <pic:blipFill>
                    <a:blip r:embed="rId296" cstate="print"/>
                    <a:stretch>
                      <a:fillRect/>
                    </a:stretch>
                  </pic:blipFill>
                  <pic:spPr>
                    <a:xfrm>
                      <a:off x="0" y="0"/>
                      <a:ext cx="127635" cy="127635"/>
                    </a:xfrm>
                    <a:prstGeom prst="rect">
                      <a:avLst/>
                    </a:prstGeom>
                  </pic:spPr>
                </pic:pic>
              </a:graphicData>
            </a:graphic>
          </wp:anchor>
        </w:drawing>
      </w:r>
      <w:r>
        <w:rPr/>
        <w:drawing>
          <wp:anchor distT="0" distB="0" distL="0" distR="0" allowOverlap="1" layoutInCell="1" locked="0" behindDoc="1" simplePos="0" relativeHeight="487691264">
            <wp:simplePos x="0" y="0"/>
            <wp:positionH relativeFrom="page">
              <wp:posOffset>4639679</wp:posOffset>
            </wp:positionH>
            <wp:positionV relativeFrom="paragraph">
              <wp:posOffset>899985</wp:posOffset>
            </wp:positionV>
            <wp:extent cx="127635" cy="127635"/>
            <wp:effectExtent l="0" t="0" r="0" b="0"/>
            <wp:wrapTopAndBottom/>
            <wp:docPr id="1458" name="Image 1458"/>
            <wp:cNvGraphicFramePr>
              <a:graphicFrameLocks/>
            </wp:cNvGraphicFramePr>
            <a:graphic>
              <a:graphicData uri="http://schemas.openxmlformats.org/drawingml/2006/picture">
                <pic:pic>
                  <pic:nvPicPr>
                    <pic:cNvPr id="1458" name="Image 1458"/>
                    <pic:cNvPicPr/>
                  </pic:nvPicPr>
                  <pic:blipFill>
                    <a:blip r:embed="rId297" cstate="print"/>
                    <a:stretch>
                      <a:fillRect/>
                    </a:stretch>
                  </pic:blipFill>
                  <pic:spPr>
                    <a:xfrm>
                      <a:off x="0" y="0"/>
                      <a:ext cx="127635" cy="127635"/>
                    </a:xfrm>
                    <a:prstGeom prst="rect">
                      <a:avLst/>
                    </a:prstGeom>
                  </pic:spPr>
                </pic:pic>
              </a:graphicData>
            </a:graphic>
          </wp:anchor>
        </w:drawing>
      </w:r>
      <w:r>
        <w:rPr>
          <w:color w:val="231F20"/>
        </w:rPr>
        <w:t>.gif</w:t>
      </w:r>
      <w:r>
        <w:rPr>
          <w:color w:val="231F20"/>
          <w:spacing w:val="25"/>
        </w:rPr>
        <w:t> </w:t>
      </w:r>
      <w:r>
        <w:rPr>
          <w:color w:val="231F20"/>
        </w:rPr>
        <w:t>or</w:t>
      </w:r>
      <w:r>
        <w:rPr>
          <w:color w:val="231F20"/>
          <w:spacing w:val="25"/>
        </w:rPr>
        <w:t> </w:t>
      </w:r>
      <w:r>
        <w:rPr>
          <w:color w:val="231F20"/>
        </w:rPr>
        <w:t>.jpg</w:t>
      </w:r>
      <w:r>
        <w:rPr>
          <w:color w:val="231F20"/>
          <w:spacing w:val="25"/>
        </w:rPr>
        <w:t> </w:t>
      </w:r>
      <w:r>
        <w:rPr>
          <w:color w:val="231F20"/>
        </w:rPr>
        <w:t>image</w:t>
      </w:r>
      <w:r>
        <w:rPr>
          <w:color w:val="231F20"/>
          <w:spacing w:val="25"/>
        </w:rPr>
        <w:t> </w:t>
      </w:r>
      <w:r>
        <w:rPr>
          <w:color w:val="231F20"/>
        </w:rPr>
        <w:t>file</w:t>
      </w:r>
      <w:r>
        <w:rPr>
          <w:color w:val="231F20"/>
          <w:spacing w:val="25"/>
        </w:rPr>
        <w:t> </w:t>
      </w:r>
      <w:r>
        <w:rPr>
          <w:color w:val="231F20"/>
        </w:rPr>
        <w:t>for</w:t>
      </w:r>
      <w:r>
        <w:rPr>
          <w:color w:val="231F20"/>
          <w:spacing w:val="25"/>
        </w:rPr>
        <w:t> </w:t>
      </w:r>
      <w:r>
        <w:rPr>
          <w:color w:val="231F20"/>
        </w:rPr>
        <w:t>every</w:t>
      </w:r>
      <w:r>
        <w:rPr>
          <w:color w:val="231F20"/>
          <w:spacing w:val="25"/>
        </w:rPr>
        <w:t> </w:t>
      </w:r>
      <w:r>
        <w:rPr>
          <w:color w:val="231F20"/>
        </w:rPr>
        <w:t>Navigator</w:t>
      </w:r>
      <w:r>
        <w:rPr>
          <w:color w:val="231F20"/>
          <w:spacing w:val="25"/>
        </w:rPr>
        <w:t> </w:t>
      </w:r>
      <w:r>
        <w:rPr>
          <w:color w:val="231F20"/>
        </w:rPr>
        <w:t>item</w:t>
      </w:r>
      <w:r>
        <w:rPr>
          <w:color w:val="231F20"/>
          <w:spacing w:val="25"/>
        </w:rPr>
        <w:t> </w:t>
      </w:r>
      <w:r>
        <w:rPr>
          <w:color w:val="231F20"/>
        </w:rPr>
        <w:t>icon</w:t>
      </w:r>
      <w:r>
        <w:rPr>
          <w:color w:val="231F20"/>
          <w:spacing w:val="25"/>
        </w:rPr>
        <w:t> </w:t>
      </w:r>
      <w:r>
        <w:rPr>
          <w:color w:val="231F20"/>
        </w:rPr>
        <w:t>you</w:t>
      </w:r>
      <w:r>
        <w:rPr>
          <w:color w:val="231F20"/>
          <w:spacing w:val="25"/>
        </w:rPr>
        <w:t> </w:t>
      </w:r>
      <w:r>
        <w:rPr>
          <w:color w:val="231F20"/>
        </w:rPr>
        <w:t>want</w:t>
      </w:r>
      <w:r>
        <w:rPr>
          <w:color w:val="231F20"/>
          <w:spacing w:val="25"/>
        </w:rPr>
        <w:t> </w:t>
      </w:r>
      <w:r>
        <w:rPr>
          <w:color w:val="231F20"/>
        </w:rPr>
        <w:t>to</w:t>
      </w:r>
      <w:r>
        <w:rPr>
          <w:color w:val="231F20"/>
          <w:spacing w:val="25"/>
        </w:rPr>
        <w:t> </w:t>
      </w:r>
      <w:r>
        <w:rPr>
          <w:color w:val="231F20"/>
        </w:rPr>
        <w:t>change</w:t>
      </w:r>
      <w:r>
        <w:rPr>
          <w:color w:val="231F20"/>
          <w:spacing w:val="25"/>
        </w:rPr>
        <w:t> </w:t>
      </w:r>
      <w:r>
        <w:rPr>
          <w:color w:val="231F20"/>
        </w:rPr>
        <w:t>in the graphic view. Use only ASCII characters in the filename. Names that </w:t>
      </w:r>
      <w:r>
        <w:rPr>
          <w:color w:val="231F20"/>
        </w:rPr>
        <w:t>use characters outside the ASCII code range will not be displayed in the list of available files when the user browses to select one. A set of large and small icons</w:t>
      </w:r>
      <w:r>
        <w:rPr>
          <w:color w:val="231F20"/>
          <w:spacing w:val="39"/>
        </w:rPr>
        <w:t> </w:t>
      </w:r>
      <w:r>
        <w:rPr>
          <w:color w:val="231F20"/>
        </w:rPr>
        <w:t>that</w:t>
      </w:r>
      <w:r>
        <w:rPr>
          <w:color w:val="231F20"/>
          <w:spacing w:val="39"/>
        </w:rPr>
        <w:t> </w:t>
      </w:r>
      <w:r>
        <w:rPr>
          <w:color w:val="231F20"/>
        </w:rPr>
        <w:t>you</w:t>
      </w:r>
      <w:r>
        <w:rPr>
          <w:color w:val="231F20"/>
          <w:spacing w:val="39"/>
        </w:rPr>
        <w:t> </w:t>
      </w:r>
      <w:r>
        <w:rPr>
          <w:color w:val="231F20"/>
        </w:rPr>
        <w:t>can</w:t>
      </w:r>
      <w:r>
        <w:rPr>
          <w:color w:val="231F20"/>
          <w:spacing w:val="39"/>
        </w:rPr>
        <w:t> </w:t>
      </w:r>
      <w:r>
        <w:rPr>
          <w:color w:val="231F20"/>
        </w:rPr>
        <w:t>use</w:t>
      </w:r>
      <w:r>
        <w:rPr>
          <w:color w:val="231F20"/>
          <w:spacing w:val="39"/>
        </w:rPr>
        <w:t> </w:t>
      </w:r>
      <w:r>
        <w:rPr>
          <w:color w:val="231F20"/>
        </w:rPr>
        <w:t>are</w:t>
      </w:r>
      <w:r>
        <w:rPr>
          <w:color w:val="231F20"/>
          <w:spacing w:val="39"/>
        </w:rPr>
        <w:t> </w:t>
      </w:r>
      <w:r>
        <w:rPr>
          <w:color w:val="231F20"/>
        </w:rPr>
        <w:t>located</w:t>
      </w:r>
      <w:r>
        <w:rPr>
          <w:color w:val="231F20"/>
          <w:spacing w:val="39"/>
        </w:rPr>
        <w:t> </w:t>
      </w:r>
      <w:r>
        <w:rPr>
          <w:color w:val="231F20"/>
        </w:rPr>
        <w:t>in</w:t>
      </w:r>
      <w:r>
        <w:rPr>
          <w:color w:val="231F20"/>
          <w:spacing w:val="39"/>
        </w:rPr>
        <w:t> </w:t>
      </w:r>
      <w:r>
        <w:rPr>
          <w:color w:val="231F20"/>
        </w:rPr>
        <w:t>the</w:t>
      </w:r>
      <w:r>
        <w:rPr>
          <w:color w:val="231F20"/>
          <w:spacing w:val="39"/>
        </w:rPr>
        <w:t> </w:t>
      </w:r>
      <w:r>
        <w:rPr>
          <w:rFonts w:ascii="Arial"/>
          <w:color w:val="231F20"/>
        </w:rPr>
        <w:t>icons\user </w:t>
      </w:r>
      <w:r>
        <w:rPr>
          <w:color w:val="231F20"/>
        </w:rPr>
        <w:t>folder:</w:t>
      </w:r>
    </w:p>
    <w:p>
      <w:pPr>
        <w:pStyle w:val="ListParagraph"/>
        <w:numPr>
          <w:ilvl w:val="1"/>
          <w:numId w:val="68"/>
        </w:numPr>
        <w:tabs>
          <w:tab w:pos="2863" w:val="left" w:leader="none"/>
        </w:tabs>
        <w:spacing w:line="263" w:lineRule="exact" w:before="23" w:after="0"/>
        <w:ind w:left="2863" w:right="0" w:hanging="315"/>
        <w:jc w:val="left"/>
        <w:rPr>
          <w:sz w:val="20"/>
        </w:rPr>
      </w:pPr>
      <w:r>
        <w:rPr>
          <w:color w:val="231F20"/>
          <w:sz w:val="20"/>
        </w:rPr>
        <w:t>On</w:t>
      </w:r>
      <w:r>
        <w:rPr>
          <w:color w:val="231F20"/>
          <w:spacing w:val="11"/>
          <w:sz w:val="20"/>
        </w:rPr>
        <w:t> </w:t>
      </w:r>
      <w:r>
        <w:rPr>
          <w:color w:val="231F20"/>
          <w:sz w:val="20"/>
        </w:rPr>
        <w:t>the</w:t>
      </w:r>
      <w:r>
        <w:rPr>
          <w:color w:val="231F20"/>
          <w:spacing w:val="11"/>
          <w:sz w:val="20"/>
        </w:rPr>
        <w:t> </w:t>
      </w:r>
      <w:r>
        <w:rPr>
          <w:color w:val="231F20"/>
          <w:sz w:val="20"/>
        </w:rPr>
        <w:t>computer</w:t>
      </w:r>
      <w:r>
        <w:rPr>
          <w:color w:val="231F20"/>
          <w:spacing w:val="11"/>
          <w:sz w:val="20"/>
        </w:rPr>
        <w:t> </w:t>
      </w:r>
      <w:r>
        <w:rPr>
          <w:color w:val="231F20"/>
          <w:sz w:val="20"/>
        </w:rPr>
        <w:t>where</w:t>
      </w:r>
      <w:r>
        <w:rPr>
          <w:color w:val="231F20"/>
          <w:spacing w:val="11"/>
          <w:sz w:val="20"/>
        </w:rPr>
        <w:t> </w:t>
      </w:r>
      <w:r>
        <w:rPr>
          <w:color w:val="231F20"/>
          <w:sz w:val="20"/>
        </w:rPr>
        <w:t>the</w:t>
      </w:r>
      <w:r>
        <w:rPr>
          <w:color w:val="231F20"/>
          <w:spacing w:val="11"/>
          <w:sz w:val="20"/>
        </w:rPr>
        <w:t> </w:t>
      </w:r>
      <w:r>
        <w:rPr>
          <w:color w:val="231F20"/>
          <w:sz w:val="20"/>
        </w:rPr>
        <w:t>portal</w:t>
      </w:r>
      <w:r>
        <w:rPr>
          <w:color w:val="231F20"/>
          <w:spacing w:val="11"/>
          <w:sz w:val="20"/>
        </w:rPr>
        <w:t> </w:t>
      </w:r>
      <w:r>
        <w:rPr>
          <w:color w:val="231F20"/>
          <w:sz w:val="20"/>
        </w:rPr>
        <w:t>server</w:t>
      </w:r>
      <w:r>
        <w:rPr>
          <w:color w:val="231F20"/>
          <w:spacing w:val="11"/>
          <w:sz w:val="20"/>
        </w:rPr>
        <w:t> </w:t>
      </w:r>
      <w:r>
        <w:rPr>
          <w:color w:val="231F20"/>
          <w:sz w:val="20"/>
        </w:rPr>
        <w:t>is</w:t>
      </w:r>
      <w:r>
        <w:rPr>
          <w:color w:val="231F20"/>
          <w:spacing w:val="11"/>
          <w:sz w:val="20"/>
        </w:rPr>
        <w:t> </w:t>
      </w:r>
      <w:r>
        <w:rPr>
          <w:color w:val="231F20"/>
          <w:sz w:val="20"/>
        </w:rPr>
        <w:t>installed,</w:t>
      </w:r>
      <w:r>
        <w:rPr>
          <w:color w:val="231F20"/>
          <w:spacing w:val="12"/>
          <w:sz w:val="20"/>
        </w:rPr>
        <w:t> </w:t>
      </w:r>
      <w:r>
        <w:rPr>
          <w:color w:val="231F20"/>
          <w:sz w:val="20"/>
        </w:rPr>
        <w:t>copy</w:t>
      </w:r>
      <w:r>
        <w:rPr>
          <w:color w:val="231F20"/>
          <w:spacing w:val="11"/>
          <w:sz w:val="20"/>
        </w:rPr>
        <w:t> </w:t>
      </w:r>
      <w:r>
        <w:rPr>
          <w:color w:val="231F20"/>
          <w:sz w:val="20"/>
        </w:rPr>
        <w:t>the</w:t>
      </w:r>
      <w:r>
        <w:rPr>
          <w:color w:val="231F20"/>
          <w:spacing w:val="11"/>
          <w:sz w:val="20"/>
        </w:rPr>
        <w:t> </w:t>
      </w:r>
      <w:r>
        <w:rPr>
          <w:color w:val="231F20"/>
          <w:spacing w:val="-2"/>
          <w:sz w:val="20"/>
        </w:rPr>
        <w:t>images:</w:t>
      </w:r>
    </w:p>
    <w:p>
      <w:pPr>
        <w:spacing w:line="244" w:lineRule="auto" w:before="0"/>
        <w:ind w:left="4923" w:right="0" w:hanging="1030"/>
        <w:jc w:val="left"/>
        <w:rPr>
          <w:rFonts w:ascii="Arial"/>
          <w:sz w:val="20"/>
        </w:rPr>
      </w:pPr>
      <w:r>
        <w:rPr/>
        <mc:AlternateContent>
          <mc:Choice Requires="wps">
            <w:drawing>
              <wp:anchor distT="0" distB="0" distL="0" distR="0" allowOverlap="1" layoutInCell="1" locked="0" behindDoc="0" simplePos="0" relativeHeight="15832576">
                <wp:simplePos x="0" y="0"/>
                <wp:positionH relativeFrom="page">
                  <wp:posOffset>2454191</wp:posOffset>
                </wp:positionH>
                <wp:positionV relativeFrom="paragraph">
                  <wp:posOffset>32938</wp:posOffset>
                </wp:positionV>
                <wp:extent cx="581025" cy="276225"/>
                <wp:effectExtent l="0" t="0" r="0" b="0"/>
                <wp:wrapNone/>
                <wp:docPr id="1459" name="Group 1459"/>
                <wp:cNvGraphicFramePr>
                  <a:graphicFrameLocks/>
                </wp:cNvGraphicFramePr>
                <a:graphic>
                  <a:graphicData uri="http://schemas.microsoft.com/office/word/2010/wordprocessingGroup">
                    <wpg:wgp>
                      <wpg:cNvPr id="1459" name="Group 1459"/>
                      <wpg:cNvGrpSpPr/>
                      <wpg:grpSpPr>
                        <a:xfrm>
                          <a:off x="0" y="0"/>
                          <a:ext cx="581025" cy="276225"/>
                          <a:chExt cx="581025" cy="276225"/>
                        </a:xfrm>
                      </wpg:grpSpPr>
                      <pic:pic>
                        <pic:nvPicPr>
                          <pic:cNvPr id="1460" name="Image 1460"/>
                          <pic:cNvPicPr/>
                        </pic:nvPicPr>
                        <pic:blipFill>
                          <a:blip r:embed="rId206" cstate="print"/>
                          <a:stretch>
                            <a:fillRect/>
                          </a:stretch>
                        </pic:blipFill>
                        <pic:spPr>
                          <a:xfrm>
                            <a:off x="0" y="0"/>
                            <a:ext cx="581025" cy="123825"/>
                          </a:xfrm>
                          <a:prstGeom prst="rect">
                            <a:avLst/>
                          </a:prstGeom>
                        </pic:spPr>
                      </pic:pic>
                      <pic:pic>
                        <pic:nvPicPr>
                          <pic:cNvPr id="1461" name="Image 1461"/>
                          <pic:cNvPicPr/>
                        </pic:nvPicPr>
                        <pic:blipFill>
                          <a:blip r:embed="rId204" cstate="print"/>
                          <a:stretch>
                            <a:fillRect/>
                          </a:stretch>
                        </pic:blipFill>
                        <pic:spPr>
                          <a:xfrm>
                            <a:off x="0" y="152063"/>
                            <a:ext cx="581025" cy="123825"/>
                          </a:xfrm>
                          <a:prstGeom prst="rect">
                            <a:avLst/>
                          </a:prstGeom>
                        </pic:spPr>
                      </pic:pic>
                    </wpg:wgp>
                  </a:graphicData>
                </a:graphic>
              </wp:anchor>
            </w:drawing>
          </mc:Choice>
          <mc:Fallback>
            <w:pict>
              <v:group style="position:absolute;margin-left:193.243393pt;margin-top:2.593554pt;width:45.75pt;height:21.75pt;mso-position-horizontal-relative:page;mso-position-vertical-relative:paragraph;z-index:15832576" id="docshapegroup156" coordorigin="3865,52" coordsize="915,435">
                <v:shape style="position:absolute;left:3864;top:51;width:915;height:195" type="#_x0000_t75" id="docshape157" stroked="false">
                  <v:imagedata r:id="rId206" o:title=""/>
                </v:shape>
                <v:shape style="position:absolute;left:3864;top:291;width:915;height:195" type="#_x0000_t75" id="docshape158" stroked="false">
                  <v:imagedata r:id="rId204" o:title=""/>
                </v:shape>
                <w10:wrap type="none"/>
              </v:group>
            </w:pict>
          </mc:Fallback>
        </mc:AlternateContent>
      </w:r>
      <w:r>
        <w:rPr/>
        <w:drawing>
          <wp:anchor distT="0" distB="0" distL="0" distR="0" allowOverlap="1" layoutInCell="1" locked="0" behindDoc="0" simplePos="0" relativeHeight="15833088">
            <wp:simplePos x="0" y="0"/>
            <wp:positionH relativeFrom="page">
              <wp:posOffset>3107808</wp:posOffset>
            </wp:positionH>
            <wp:positionV relativeFrom="paragraph">
              <wp:posOffset>185001</wp:posOffset>
            </wp:positionV>
            <wp:extent cx="581024" cy="123825"/>
            <wp:effectExtent l="0" t="0" r="0" b="0"/>
            <wp:wrapNone/>
            <wp:docPr id="1462" name="Image 1462"/>
            <wp:cNvGraphicFramePr>
              <a:graphicFrameLocks/>
            </wp:cNvGraphicFramePr>
            <a:graphic>
              <a:graphicData uri="http://schemas.openxmlformats.org/drawingml/2006/picture">
                <pic:pic>
                  <pic:nvPicPr>
                    <pic:cNvPr id="1462" name="Image 1462"/>
                    <pic:cNvPicPr/>
                  </pic:nvPicPr>
                  <pic:blipFill>
                    <a:blip r:embed="rId205" cstate="print"/>
                    <a:stretch>
                      <a:fillRect/>
                    </a:stretch>
                  </pic:blipFill>
                  <pic:spPr>
                    <a:xfrm>
                      <a:off x="0" y="0"/>
                      <a:ext cx="581024" cy="123825"/>
                    </a:xfrm>
                    <a:prstGeom prst="rect">
                      <a:avLst/>
                    </a:prstGeom>
                  </pic:spPr>
                </pic:pic>
              </a:graphicData>
            </a:graphic>
          </wp:anchor>
        </w:drawing>
      </w:r>
      <w:r>
        <w:rPr>
          <w:rFonts w:ascii="Lucida Sans"/>
          <w:i/>
          <w:color w:val="231F20"/>
          <w:spacing w:val="-2"/>
          <w:w w:val="110"/>
          <w:sz w:val="20"/>
        </w:rPr>
        <w:t>install_dir</w:t>
      </w:r>
      <w:r>
        <w:rPr>
          <w:rFonts w:ascii="Arial"/>
          <w:color w:val="231F20"/>
          <w:spacing w:val="-2"/>
          <w:w w:val="110"/>
          <w:sz w:val="20"/>
        </w:rPr>
        <w:t>\cnb\classes\candle\fw\resources\icons\user </w:t>
      </w:r>
      <w:r>
        <w:rPr>
          <w:rFonts w:ascii="Lucida Sans"/>
          <w:i/>
          <w:color w:val="231F20"/>
          <w:spacing w:val="-2"/>
          <w:w w:val="110"/>
          <w:sz w:val="20"/>
        </w:rPr>
        <w:t>install_dir</w:t>
      </w:r>
      <w:r>
        <w:rPr>
          <w:rFonts w:ascii="Arial"/>
          <w:color w:val="231F20"/>
          <w:spacing w:val="-2"/>
          <w:w w:val="110"/>
          <w:sz w:val="20"/>
        </w:rPr>
        <w:t>/cw/classes/candle/fw/resources/</w:t>
      </w:r>
    </w:p>
    <w:p>
      <w:pPr>
        <w:pStyle w:val="BodyText"/>
        <w:spacing w:line="227" w:lineRule="exact"/>
        <w:ind w:left="2864"/>
        <w:rPr>
          <w:rFonts w:ascii="Arial"/>
        </w:rPr>
      </w:pPr>
      <w:r>
        <w:rPr>
          <w:rFonts w:ascii="Arial"/>
          <w:color w:val="231F20"/>
          <w:spacing w:val="-2"/>
          <w:w w:val="110"/>
        </w:rPr>
        <w:t>icons/user</w:t>
      </w:r>
    </w:p>
    <w:p>
      <w:pPr>
        <w:pStyle w:val="ListParagraph"/>
        <w:numPr>
          <w:ilvl w:val="0"/>
          <w:numId w:val="68"/>
        </w:numPr>
        <w:tabs>
          <w:tab w:pos="2547" w:val="left" w:leader="none"/>
        </w:tabs>
        <w:spacing w:line="240" w:lineRule="auto" w:before="47" w:after="0"/>
        <w:ind w:left="2547" w:right="0" w:hanging="315"/>
        <w:jc w:val="left"/>
        <w:rPr>
          <w:sz w:val="20"/>
        </w:rPr>
      </w:pPr>
      <w:r>
        <w:rPr>
          <w:color w:val="231F20"/>
          <w:sz w:val="20"/>
        </w:rPr>
        <w:t>Create</w:t>
      </w:r>
      <w:r>
        <w:rPr>
          <w:color w:val="231F20"/>
          <w:spacing w:val="11"/>
          <w:sz w:val="20"/>
        </w:rPr>
        <w:t> </w:t>
      </w:r>
      <w:r>
        <w:rPr>
          <w:color w:val="231F20"/>
          <w:sz w:val="20"/>
        </w:rPr>
        <w:t>a</w:t>
      </w:r>
      <w:r>
        <w:rPr>
          <w:color w:val="231F20"/>
          <w:spacing w:val="11"/>
          <w:sz w:val="20"/>
        </w:rPr>
        <w:t> </w:t>
      </w:r>
      <w:r>
        <w:rPr>
          <w:color w:val="231F20"/>
          <w:sz w:val="20"/>
        </w:rPr>
        <w:t>style</w:t>
      </w:r>
      <w:r>
        <w:rPr>
          <w:color w:val="231F20"/>
          <w:spacing w:val="11"/>
          <w:sz w:val="20"/>
        </w:rPr>
        <w:t> </w:t>
      </w:r>
      <w:r>
        <w:rPr>
          <w:color w:val="231F20"/>
          <w:spacing w:val="-2"/>
          <w:sz w:val="20"/>
        </w:rPr>
        <w:t>sheet:</w:t>
      </w:r>
    </w:p>
    <w:p>
      <w:pPr>
        <w:spacing w:after="0" w:line="240" w:lineRule="auto"/>
        <w:jc w:val="left"/>
        <w:rPr>
          <w:sz w:val="20"/>
        </w:rPr>
        <w:sectPr>
          <w:pgSz w:w="12240" w:h="15840"/>
          <w:pgMar w:header="0" w:footer="736" w:top="1180" w:bottom="920" w:left="1000" w:right="1060"/>
        </w:sectPr>
      </w:pPr>
    </w:p>
    <w:p>
      <w:pPr>
        <w:pStyle w:val="ListParagraph"/>
        <w:numPr>
          <w:ilvl w:val="1"/>
          <w:numId w:val="68"/>
        </w:numPr>
        <w:tabs>
          <w:tab w:pos="3104" w:val="left" w:leader="none"/>
        </w:tabs>
        <w:spacing w:line="213" w:lineRule="auto" w:before="85" w:after="0"/>
        <w:ind w:left="3104" w:right="396" w:hanging="316"/>
        <w:jc w:val="left"/>
        <w:rPr>
          <w:sz w:val="20"/>
        </w:rPr>
      </w:pPr>
      <w:r>
        <w:rPr>
          <w:color w:val="231F20"/>
          <w:sz w:val="20"/>
        </w:rPr>
        <w:t>Change to the Navigator view whose graphic view icons you plan to change. Having the Navigator open while you type the item names in </w:t>
      </w:r>
      <w:r>
        <w:rPr>
          <w:color w:val="231F20"/>
          <w:sz w:val="20"/>
        </w:rPr>
        <w:t>the style sheet ensures their correct spelling and letter casing.</w:t>
      </w:r>
    </w:p>
    <w:p>
      <w:pPr>
        <w:pStyle w:val="ListParagraph"/>
        <w:numPr>
          <w:ilvl w:val="1"/>
          <w:numId w:val="68"/>
        </w:numPr>
        <w:tabs>
          <w:tab w:pos="3104" w:val="left" w:leader="none"/>
        </w:tabs>
        <w:spacing w:line="213" w:lineRule="auto" w:before="57" w:after="0"/>
        <w:ind w:left="3104" w:right="166" w:hanging="316"/>
        <w:jc w:val="left"/>
        <w:rPr>
          <w:sz w:val="20"/>
        </w:rPr>
      </w:pPr>
      <w:r>
        <w:rPr>
          <w:color w:val="231F20"/>
          <w:sz w:val="20"/>
        </w:rPr>
        <w:t>Identify the Tivoli style sheet most like the one you want. It must be one of</w:t>
      </w:r>
      <w:r>
        <w:rPr>
          <w:color w:val="231F20"/>
          <w:spacing w:val="40"/>
          <w:sz w:val="20"/>
        </w:rPr>
        <w:t> </w:t>
      </w:r>
      <w:r>
        <w:rPr>
          <w:color w:val="231F20"/>
          <w:sz w:val="20"/>
        </w:rPr>
        <w:t>the large_icon_ or small_icon_ style sheets (not shape_ or parent_). The </w:t>
      </w:r>
      <w:r>
        <w:rPr>
          <w:color w:val="231F20"/>
          <w:sz w:val="20"/>
        </w:rPr>
        <w:t>style sheet controls the color, size and position of the text labels (Navigator item names), as well as any icons you do not replace with custom icons.</w:t>
      </w:r>
    </w:p>
    <w:p>
      <w:pPr>
        <w:pStyle w:val="ListParagraph"/>
        <w:numPr>
          <w:ilvl w:val="1"/>
          <w:numId w:val="68"/>
        </w:numPr>
        <w:tabs>
          <w:tab w:pos="3091" w:val="left" w:leader="none"/>
        </w:tabs>
        <w:spacing w:line="255" w:lineRule="exact" w:before="35" w:after="0"/>
        <w:ind w:left="3091" w:right="0" w:hanging="303"/>
        <w:jc w:val="left"/>
        <w:rPr>
          <w:sz w:val="20"/>
        </w:rPr>
      </w:pPr>
      <w:r>
        <w:rPr>
          <w:color w:val="231F20"/>
          <w:sz w:val="20"/>
        </w:rPr>
        <w:t>Make</w:t>
      </w:r>
      <w:r>
        <w:rPr>
          <w:color w:val="231F20"/>
          <w:spacing w:val="9"/>
          <w:sz w:val="20"/>
        </w:rPr>
        <w:t> </w:t>
      </w:r>
      <w:r>
        <w:rPr>
          <w:color w:val="231F20"/>
          <w:sz w:val="20"/>
        </w:rPr>
        <w:t>a</w:t>
      </w:r>
      <w:r>
        <w:rPr>
          <w:color w:val="231F20"/>
          <w:spacing w:val="9"/>
          <w:sz w:val="20"/>
        </w:rPr>
        <w:t> </w:t>
      </w:r>
      <w:r>
        <w:rPr>
          <w:color w:val="231F20"/>
          <w:sz w:val="20"/>
        </w:rPr>
        <w:t>copy</w:t>
      </w:r>
      <w:r>
        <w:rPr>
          <w:color w:val="231F20"/>
          <w:spacing w:val="10"/>
          <w:sz w:val="20"/>
        </w:rPr>
        <w:t> </w:t>
      </w:r>
      <w:r>
        <w:rPr>
          <w:color w:val="231F20"/>
          <w:sz w:val="20"/>
        </w:rPr>
        <w:t>of</w:t>
      </w:r>
      <w:r>
        <w:rPr>
          <w:color w:val="231F20"/>
          <w:spacing w:val="9"/>
          <w:sz w:val="20"/>
        </w:rPr>
        <w:t> </w:t>
      </w:r>
      <w:r>
        <w:rPr>
          <w:color w:val="231F20"/>
          <w:sz w:val="20"/>
        </w:rPr>
        <w:t>the</w:t>
      </w:r>
      <w:r>
        <w:rPr>
          <w:color w:val="231F20"/>
          <w:spacing w:val="10"/>
          <w:sz w:val="20"/>
        </w:rPr>
        <w:t> </w:t>
      </w:r>
      <w:r>
        <w:rPr>
          <w:color w:val="231F20"/>
          <w:sz w:val="20"/>
        </w:rPr>
        <w:t>style</w:t>
      </w:r>
      <w:r>
        <w:rPr>
          <w:color w:val="231F20"/>
          <w:spacing w:val="9"/>
          <w:sz w:val="20"/>
        </w:rPr>
        <w:t> </w:t>
      </w:r>
      <w:r>
        <w:rPr>
          <w:color w:val="231F20"/>
          <w:sz w:val="20"/>
        </w:rPr>
        <w:t>sheet</w:t>
      </w:r>
      <w:r>
        <w:rPr>
          <w:color w:val="231F20"/>
          <w:spacing w:val="9"/>
          <w:sz w:val="20"/>
        </w:rPr>
        <w:t> </w:t>
      </w:r>
      <w:r>
        <w:rPr>
          <w:color w:val="231F20"/>
          <w:sz w:val="20"/>
        </w:rPr>
        <w:t>from</w:t>
      </w:r>
      <w:r>
        <w:rPr>
          <w:color w:val="231F20"/>
          <w:spacing w:val="10"/>
          <w:sz w:val="20"/>
        </w:rPr>
        <w:t> </w:t>
      </w:r>
      <w:r>
        <w:rPr>
          <w:color w:val="231F20"/>
          <w:sz w:val="20"/>
        </w:rPr>
        <w:t>the</w:t>
      </w:r>
      <w:r>
        <w:rPr>
          <w:color w:val="231F20"/>
          <w:spacing w:val="9"/>
          <w:sz w:val="20"/>
        </w:rPr>
        <w:t> </w:t>
      </w:r>
      <w:r>
        <w:rPr>
          <w:color w:val="231F20"/>
          <w:sz w:val="20"/>
        </w:rPr>
        <w:t>following</w:t>
      </w:r>
      <w:r>
        <w:rPr>
          <w:color w:val="231F20"/>
          <w:spacing w:val="10"/>
          <w:sz w:val="20"/>
        </w:rPr>
        <w:t> </w:t>
      </w:r>
      <w:r>
        <w:rPr>
          <w:color w:val="231F20"/>
          <w:sz w:val="20"/>
        </w:rPr>
        <w:t>directory,</w:t>
      </w:r>
      <w:r>
        <w:rPr>
          <w:color w:val="231F20"/>
          <w:spacing w:val="9"/>
          <w:sz w:val="20"/>
        </w:rPr>
        <w:t> </w:t>
      </w:r>
      <w:r>
        <w:rPr>
          <w:color w:val="231F20"/>
          <w:sz w:val="20"/>
        </w:rPr>
        <w:t>giving</w:t>
      </w:r>
      <w:r>
        <w:rPr>
          <w:color w:val="231F20"/>
          <w:spacing w:val="9"/>
          <w:sz w:val="20"/>
        </w:rPr>
        <w:t> </w:t>
      </w:r>
      <w:r>
        <w:rPr>
          <w:color w:val="231F20"/>
          <w:sz w:val="20"/>
        </w:rPr>
        <w:t>it</w:t>
      </w:r>
      <w:r>
        <w:rPr>
          <w:color w:val="231F20"/>
          <w:spacing w:val="10"/>
          <w:sz w:val="20"/>
        </w:rPr>
        <w:t> </w:t>
      </w:r>
      <w:r>
        <w:rPr>
          <w:color w:val="231F20"/>
          <w:spacing w:val="-10"/>
          <w:sz w:val="20"/>
        </w:rPr>
        <w:t>a</w:t>
      </w:r>
    </w:p>
    <w:p>
      <w:pPr>
        <w:pStyle w:val="BodyText"/>
        <w:spacing w:line="213" w:lineRule="auto" w:before="7"/>
        <w:ind w:left="3093" w:right="385"/>
      </w:pPr>
      <w:r>
        <w:rPr>
          <w:color w:val="231F20"/>
        </w:rPr>
        <w:t>one-word name that identifies it as one that you customized, and place it </w:t>
      </w:r>
      <w:r>
        <w:rPr>
          <w:color w:val="231F20"/>
        </w:rPr>
        <w:t>in the child directory (</w:t>
      </w:r>
      <w:r>
        <w:rPr>
          <w:rFonts w:ascii="Arial"/>
          <w:color w:val="231F20"/>
        </w:rPr>
        <w:t>user</w:t>
      </w:r>
      <w:r>
        <w:rPr>
          <w:color w:val="231F20"/>
        </w:rPr>
        <w:t>):</w:t>
      </w:r>
    </w:p>
    <w:p>
      <w:pPr>
        <w:spacing w:line="244" w:lineRule="auto" w:before="0"/>
        <w:ind w:left="5151" w:right="0" w:hanging="1030"/>
        <w:jc w:val="left"/>
        <w:rPr>
          <w:rFonts w:ascii="Arial"/>
          <w:sz w:val="20"/>
        </w:rPr>
      </w:pPr>
      <w:r>
        <w:rPr/>
        <mc:AlternateContent>
          <mc:Choice Requires="wps">
            <w:drawing>
              <wp:anchor distT="0" distB="0" distL="0" distR="0" allowOverlap="1" layoutInCell="1" locked="0" behindDoc="0" simplePos="0" relativeHeight="15833600">
                <wp:simplePos x="0" y="0"/>
                <wp:positionH relativeFrom="page">
                  <wp:posOffset>2599199</wp:posOffset>
                </wp:positionH>
                <wp:positionV relativeFrom="paragraph">
                  <wp:posOffset>32489</wp:posOffset>
                </wp:positionV>
                <wp:extent cx="581025" cy="276225"/>
                <wp:effectExtent l="0" t="0" r="0" b="0"/>
                <wp:wrapNone/>
                <wp:docPr id="1463" name="Group 1463"/>
                <wp:cNvGraphicFramePr>
                  <a:graphicFrameLocks/>
                </wp:cNvGraphicFramePr>
                <a:graphic>
                  <a:graphicData uri="http://schemas.microsoft.com/office/word/2010/wordprocessingGroup">
                    <wpg:wgp>
                      <wpg:cNvPr id="1463" name="Group 1463"/>
                      <wpg:cNvGrpSpPr/>
                      <wpg:grpSpPr>
                        <a:xfrm>
                          <a:off x="0" y="0"/>
                          <a:ext cx="581025" cy="276225"/>
                          <a:chExt cx="581025" cy="276225"/>
                        </a:xfrm>
                      </wpg:grpSpPr>
                      <pic:pic>
                        <pic:nvPicPr>
                          <pic:cNvPr id="1464" name="Image 1464"/>
                          <pic:cNvPicPr/>
                        </pic:nvPicPr>
                        <pic:blipFill>
                          <a:blip r:embed="rId206" cstate="print"/>
                          <a:stretch>
                            <a:fillRect/>
                          </a:stretch>
                        </pic:blipFill>
                        <pic:spPr>
                          <a:xfrm>
                            <a:off x="0" y="0"/>
                            <a:ext cx="581025" cy="123825"/>
                          </a:xfrm>
                          <a:prstGeom prst="rect">
                            <a:avLst/>
                          </a:prstGeom>
                        </pic:spPr>
                      </pic:pic>
                      <pic:pic>
                        <pic:nvPicPr>
                          <pic:cNvPr id="1465" name="Image 1465"/>
                          <pic:cNvPicPr/>
                        </pic:nvPicPr>
                        <pic:blipFill>
                          <a:blip r:embed="rId204" cstate="print"/>
                          <a:stretch>
                            <a:fillRect/>
                          </a:stretch>
                        </pic:blipFill>
                        <pic:spPr>
                          <a:xfrm>
                            <a:off x="0" y="152063"/>
                            <a:ext cx="581025" cy="123825"/>
                          </a:xfrm>
                          <a:prstGeom prst="rect">
                            <a:avLst/>
                          </a:prstGeom>
                        </pic:spPr>
                      </pic:pic>
                    </wpg:wgp>
                  </a:graphicData>
                </a:graphic>
              </wp:anchor>
            </w:drawing>
          </mc:Choice>
          <mc:Fallback>
            <w:pict>
              <v:group style="position:absolute;margin-left:204.661407pt;margin-top:2.558209pt;width:45.75pt;height:21.75pt;mso-position-horizontal-relative:page;mso-position-vertical-relative:paragraph;z-index:15833600" id="docshapegroup159" coordorigin="4093,51" coordsize="915,435">
                <v:shape style="position:absolute;left:4093;top:51;width:915;height:195" type="#_x0000_t75" id="docshape160" stroked="false">
                  <v:imagedata r:id="rId206" o:title=""/>
                </v:shape>
                <v:shape style="position:absolute;left:4093;top:290;width:915;height:195" type="#_x0000_t75" id="docshape161" stroked="false">
                  <v:imagedata r:id="rId204" o:title=""/>
                </v:shape>
                <w10:wrap type="none"/>
              </v:group>
            </w:pict>
          </mc:Fallback>
        </mc:AlternateContent>
      </w:r>
      <w:r>
        <w:rPr/>
        <w:drawing>
          <wp:anchor distT="0" distB="0" distL="0" distR="0" allowOverlap="1" layoutInCell="1" locked="0" behindDoc="0" simplePos="0" relativeHeight="15834112">
            <wp:simplePos x="0" y="0"/>
            <wp:positionH relativeFrom="page">
              <wp:posOffset>3252816</wp:posOffset>
            </wp:positionH>
            <wp:positionV relativeFrom="paragraph">
              <wp:posOffset>184552</wp:posOffset>
            </wp:positionV>
            <wp:extent cx="581025" cy="123825"/>
            <wp:effectExtent l="0" t="0" r="0" b="0"/>
            <wp:wrapNone/>
            <wp:docPr id="1466" name="Image 1466"/>
            <wp:cNvGraphicFramePr>
              <a:graphicFrameLocks/>
            </wp:cNvGraphicFramePr>
            <a:graphic>
              <a:graphicData uri="http://schemas.openxmlformats.org/drawingml/2006/picture">
                <pic:pic>
                  <pic:nvPicPr>
                    <pic:cNvPr id="1466" name="Image 1466"/>
                    <pic:cNvPicPr/>
                  </pic:nvPicPr>
                  <pic:blipFill>
                    <a:blip r:embed="rId205" cstate="print"/>
                    <a:stretch>
                      <a:fillRect/>
                    </a:stretch>
                  </pic:blipFill>
                  <pic:spPr>
                    <a:xfrm>
                      <a:off x="0" y="0"/>
                      <a:ext cx="581025" cy="123825"/>
                    </a:xfrm>
                    <a:prstGeom prst="rect">
                      <a:avLst/>
                    </a:prstGeom>
                  </pic:spPr>
                </pic:pic>
              </a:graphicData>
            </a:graphic>
          </wp:anchor>
        </w:drawing>
      </w:r>
      <w:r>
        <w:rPr>
          <w:rFonts w:ascii="Lucida Sans"/>
          <w:i/>
          <w:color w:val="231F20"/>
          <w:spacing w:val="-2"/>
          <w:w w:val="110"/>
          <w:sz w:val="20"/>
        </w:rPr>
        <w:t>install_dir</w:t>
      </w:r>
      <w:r>
        <w:rPr>
          <w:rFonts w:ascii="Arial"/>
          <w:color w:val="231F20"/>
          <w:spacing w:val="-2"/>
          <w:w w:val="110"/>
          <w:sz w:val="20"/>
        </w:rPr>
        <w:t>\cnb\classes\candle\fw\resources\styles </w:t>
      </w:r>
      <w:r>
        <w:rPr>
          <w:rFonts w:ascii="Lucida Sans"/>
          <w:i/>
          <w:color w:val="231F20"/>
          <w:spacing w:val="-2"/>
          <w:w w:val="110"/>
          <w:sz w:val="20"/>
        </w:rPr>
        <w:t>install_dir</w:t>
      </w:r>
      <w:r>
        <w:rPr>
          <w:rFonts w:ascii="Arial"/>
          <w:color w:val="231F20"/>
          <w:spacing w:val="-2"/>
          <w:w w:val="110"/>
          <w:sz w:val="20"/>
        </w:rPr>
        <w:t>/cw/classes/candle/fw/resources/</w:t>
      </w:r>
    </w:p>
    <w:p>
      <w:pPr>
        <w:pStyle w:val="BodyText"/>
        <w:spacing w:line="227" w:lineRule="exact"/>
        <w:ind w:left="3093"/>
        <w:rPr>
          <w:rFonts w:ascii="Arial"/>
        </w:rPr>
      </w:pPr>
      <w:r>
        <w:rPr>
          <w:rFonts w:ascii="Arial"/>
          <w:color w:val="231F20"/>
          <w:spacing w:val="-2"/>
          <w:w w:val="115"/>
        </w:rPr>
        <w:t>styles</w:t>
      </w:r>
    </w:p>
    <w:p>
      <w:pPr>
        <w:pStyle w:val="ListParagraph"/>
        <w:numPr>
          <w:ilvl w:val="1"/>
          <w:numId w:val="68"/>
        </w:numPr>
        <w:tabs>
          <w:tab w:pos="3103" w:val="left" w:leader="none"/>
        </w:tabs>
        <w:spacing w:line="240" w:lineRule="auto" w:before="47" w:after="0"/>
        <w:ind w:left="3103" w:right="0" w:hanging="315"/>
        <w:jc w:val="left"/>
        <w:rPr>
          <w:sz w:val="20"/>
        </w:rPr>
      </w:pPr>
      <w:r>
        <w:rPr>
          <w:color w:val="231F20"/>
          <w:sz w:val="20"/>
        </w:rPr>
        <w:t>Open</w:t>
      </w:r>
      <w:r>
        <w:rPr>
          <w:color w:val="231F20"/>
          <w:spacing w:val="12"/>
          <w:sz w:val="20"/>
        </w:rPr>
        <w:t> </w:t>
      </w:r>
      <w:r>
        <w:rPr>
          <w:color w:val="231F20"/>
          <w:sz w:val="20"/>
        </w:rPr>
        <w:t>your</w:t>
      </w:r>
      <w:r>
        <w:rPr>
          <w:color w:val="231F20"/>
          <w:spacing w:val="13"/>
          <w:sz w:val="20"/>
        </w:rPr>
        <w:t> </w:t>
      </w:r>
      <w:r>
        <w:rPr>
          <w:color w:val="231F20"/>
          <w:sz w:val="20"/>
        </w:rPr>
        <w:t>new</w:t>
      </w:r>
      <w:r>
        <w:rPr>
          <w:color w:val="231F20"/>
          <w:spacing w:val="12"/>
          <w:sz w:val="20"/>
        </w:rPr>
        <w:t> </w:t>
      </w:r>
      <w:r>
        <w:rPr>
          <w:color w:val="231F20"/>
          <w:sz w:val="20"/>
        </w:rPr>
        <w:t>style</w:t>
      </w:r>
      <w:r>
        <w:rPr>
          <w:color w:val="231F20"/>
          <w:spacing w:val="13"/>
          <w:sz w:val="20"/>
        </w:rPr>
        <w:t> </w:t>
      </w:r>
      <w:r>
        <w:rPr>
          <w:color w:val="231F20"/>
          <w:sz w:val="20"/>
        </w:rPr>
        <w:t>sheet</w:t>
      </w:r>
      <w:r>
        <w:rPr>
          <w:color w:val="231F20"/>
          <w:spacing w:val="12"/>
          <w:sz w:val="20"/>
        </w:rPr>
        <w:t> </w:t>
      </w:r>
      <w:r>
        <w:rPr>
          <w:color w:val="231F20"/>
          <w:sz w:val="20"/>
        </w:rPr>
        <w:t>in</w:t>
      </w:r>
      <w:r>
        <w:rPr>
          <w:color w:val="231F20"/>
          <w:spacing w:val="13"/>
          <w:sz w:val="20"/>
        </w:rPr>
        <w:t> </w:t>
      </w:r>
      <w:r>
        <w:rPr>
          <w:color w:val="231F20"/>
          <w:sz w:val="20"/>
        </w:rPr>
        <w:t>a</w:t>
      </w:r>
      <w:r>
        <w:rPr>
          <w:color w:val="231F20"/>
          <w:spacing w:val="12"/>
          <w:sz w:val="20"/>
        </w:rPr>
        <w:t> </w:t>
      </w:r>
      <w:r>
        <w:rPr>
          <w:color w:val="231F20"/>
          <w:sz w:val="20"/>
        </w:rPr>
        <w:t>text</w:t>
      </w:r>
      <w:r>
        <w:rPr>
          <w:color w:val="231F20"/>
          <w:spacing w:val="13"/>
          <w:sz w:val="20"/>
        </w:rPr>
        <w:t> </w:t>
      </w:r>
      <w:r>
        <w:rPr>
          <w:color w:val="231F20"/>
          <w:spacing w:val="-2"/>
          <w:sz w:val="20"/>
        </w:rPr>
        <w:t>editor.</w:t>
      </w:r>
    </w:p>
    <w:p>
      <w:pPr>
        <w:pStyle w:val="ListParagraph"/>
        <w:numPr>
          <w:ilvl w:val="1"/>
          <w:numId w:val="68"/>
        </w:numPr>
        <w:tabs>
          <w:tab w:pos="3103" w:val="left" w:leader="none"/>
        </w:tabs>
        <w:spacing w:line="255" w:lineRule="exact" w:before="29" w:after="0"/>
        <w:ind w:left="3103" w:right="0" w:hanging="315"/>
        <w:jc w:val="left"/>
        <w:rPr>
          <w:rFonts w:ascii="Book Antiqua"/>
          <w:i/>
          <w:sz w:val="20"/>
        </w:rPr>
      </w:pPr>
      <w:r>
        <w:rPr>
          <w:color w:val="231F20"/>
          <w:sz w:val="20"/>
        </w:rPr>
        <w:t>Edit</w:t>
      </w:r>
      <w:r>
        <w:rPr>
          <w:color w:val="231F20"/>
          <w:spacing w:val="12"/>
          <w:sz w:val="20"/>
        </w:rPr>
        <w:t> </w:t>
      </w:r>
      <w:r>
        <w:rPr>
          <w:color w:val="231F20"/>
          <w:sz w:val="20"/>
        </w:rPr>
        <w:t>the</w:t>
      </w:r>
      <w:r>
        <w:rPr>
          <w:color w:val="231F20"/>
          <w:spacing w:val="13"/>
          <w:sz w:val="20"/>
        </w:rPr>
        <w:t> </w:t>
      </w:r>
      <w:r>
        <w:rPr>
          <w:rFonts w:ascii="Book Antiqua"/>
          <w:i/>
          <w:color w:val="231F20"/>
          <w:sz w:val="20"/>
        </w:rPr>
        <w:t>@import</w:t>
      </w:r>
      <w:r>
        <w:rPr>
          <w:rFonts w:ascii="Book Antiqua"/>
          <w:i/>
          <w:color w:val="231F20"/>
          <w:spacing w:val="13"/>
          <w:sz w:val="20"/>
        </w:rPr>
        <w:t> </w:t>
      </w:r>
      <w:r>
        <w:rPr>
          <w:color w:val="231F20"/>
          <w:sz w:val="20"/>
        </w:rPr>
        <w:t>lines</w:t>
      </w:r>
      <w:r>
        <w:rPr>
          <w:color w:val="231F20"/>
          <w:spacing w:val="13"/>
          <w:sz w:val="20"/>
        </w:rPr>
        <w:t> </w:t>
      </w:r>
      <w:r>
        <w:rPr>
          <w:color w:val="231F20"/>
          <w:sz w:val="20"/>
        </w:rPr>
        <w:t>at</w:t>
      </w:r>
      <w:r>
        <w:rPr>
          <w:color w:val="231F20"/>
          <w:spacing w:val="12"/>
          <w:sz w:val="20"/>
        </w:rPr>
        <w:t> </w:t>
      </w:r>
      <w:r>
        <w:rPr>
          <w:color w:val="231F20"/>
          <w:sz w:val="20"/>
        </w:rPr>
        <w:t>the</w:t>
      </w:r>
      <w:r>
        <w:rPr>
          <w:color w:val="231F20"/>
          <w:spacing w:val="13"/>
          <w:sz w:val="20"/>
        </w:rPr>
        <w:t> </w:t>
      </w:r>
      <w:r>
        <w:rPr>
          <w:color w:val="231F20"/>
          <w:sz w:val="20"/>
        </w:rPr>
        <w:t>top</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file</w:t>
      </w:r>
      <w:r>
        <w:rPr>
          <w:color w:val="231F20"/>
          <w:spacing w:val="13"/>
          <w:sz w:val="20"/>
        </w:rPr>
        <w:t> </w:t>
      </w:r>
      <w:r>
        <w:rPr>
          <w:color w:val="231F20"/>
          <w:sz w:val="20"/>
        </w:rPr>
        <w:t>to</w:t>
      </w:r>
      <w:r>
        <w:rPr>
          <w:color w:val="231F20"/>
          <w:spacing w:val="13"/>
          <w:sz w:val="20"/>
        </w:rPr>
        <w:t> </w:t>
      </w:r>
      <w:r>
        <w:rPr>
          <w:color w:val="231F20"/>
          <w:sz w:val="20"/>
        </w:rPr>
        <w:t>insert</w:t>
      </w:r>
      <w:r>
        <w:rPr>
          <w:color w:val="231F20"/>
          <w:spacing w:val="13"/>
          <w:sz w:val="20"/>
        </w:rPr>
        <w:t> </w:t>
      </w:r>
      <w:r>
        <w:rPr>
          <w:rFonts w:ascii="Book Antiqua"/>
          <w:i/>
          <w:color w:val="231F20"/>
          <w:sz w:val="20"/>
        </w:rPr>
        <w:t>../</w:t>
      </w:r>
      <w:r>
        <w:rPr>
          <w:rFonts w:ascii="Book Antiqua"/>
          <w:i/>
          <w:color w:val="231F20"/>
          <w:spacing w:val="12"/>
          <w:sz w:val="20"/>
        </w:rPr>
        <w:t> </w:t>
      </w:r>
      <w:r>
        <w:rPr>
          <w:color w:val="231F20"/>
          <w:sz w:val="20"/>
        </w:rPr>
        <w:t>in</w:t>
      </w:r>
      <w:r>
        <w:rPr>
          <w:color w:val="231F20"/>
          <w:spacing w:val="13"/>
          <w:sz w:val="20"/>
        </w:rPr>
        <w:t> </w:t>
      </w:r>
      <w:r>
        <w:rPr>
          <w:color w:val="231F20"/>
          <w:sz w:val="20"/>
        </w:rPr>
        <w:t>front</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2"/>
          <w:sz w:val="20"/>
        </w:rPr>
        <w:t> </w:t>
      </w:r>
      <w:r>
        <w:rPr>
          <w:rFonts w:ascii="Book Antiqua"/>
          <w:i/>
          <w:color w:val="231F20"/>
          <w:spacing w:val="-5"/>
          <w:sz w:val="20"/>
        </w:rPr>
        <w:t>$.</w:t>
      </w:r>
    </w:p>
    <w:p>
      <w:pPr>
        <w:pStyle w:val="BodyText"/>
        <w:spacing w:line="255" w:lineRule="exact"/>
        <w:ind w:left="3104"/>
      </w:pPr>
      <w:r>
        <w:rPr>
          <w:color w:val="231F20"/>
          <w:spacing w:val="-2"/>
        </w:rPr>
        <w:t>Example:</w:t>
      </w:r>
    </w:p>
    <w:p>
      <w:pPr>
        <w:spacing w:line="230" w:lineRule="auto" w:before="63"/>
        <w:ind w:left="3104" w:right="1712" w:firstLine="0"/>
        <w:jc w:val="left"/>
        <w:rPr>
          <w:rFonts w:ascii="Arial" w:hAnsi="Arial"/>
          <w:sz w:val="18"/>
        </w:rPr>
      </w:pPr>
      <w:r>
        <w:rPr>
          <w:rFonts w:ascii="Arial" w:hAnsi="Arial"/>
          <w:color w:val="231F20"/>
          <w:w w:val="105"/>
          <w:sz w:val="18"/>
        </w:rPr>
        <w:t>@import</w:t>
      </w:r>
      <w:r>
        <w:rPr>
          <w:rFonts w:ascii="Arial" w:hAnsi="Arial"/>
          <w:color w:val="231F20"/>
          <w:spacing w:val="40"/>
          <w:w w:val="105"/>
          <w:sz w:val="18"/>
        </w:rPr>
        <w:t> </w:t>
      </w:r>
      <w:r>
        <w:rPr>
          <w:rFonts w:ascii="Arial" w:hAnsi="Arial"/>
          <w:color w:val="231F20"/>
          <w:w w:val="105"/>
          <w:sz w:val="18"/>
        </w:rPr>
        <w:t>“../$base.css”;</w:t>
      </w:r>
      <w:r>
        <w:rPr>
          <w:rFonts w:ascii="Arial" w:hAnsi="Arial"/>
          <w:color w:val="231F20"/>
          <w:spacing w:val="40"/>
          <w:w w:val="105"/>
          <w:sz w:val="18"/>
        </w:rPr>
        <w:t> </w:t>
      </w:r>
      <w:r>
        <w:rPr>
          <w:rFonts w:ascii="Arial" w:hAnsi="Arial"/>
          <w:color w:val="231F20"/>
          <w:w w:val="105"/>
          <w:sz w:val="18"/>
        </w:rPr>
        <w:t>@import</w:t>
      </w:r>
      <w:r>
        <w:rPr>
          <w:rFonts w:ascii="Arial" w:hAnsi="Arial"/>
          <w:color w:val="231F20"/>
          <w:spacing w:val="40"/>
          <w:w w:val="105"/>
          <w:sz w:val="18"/>
        </w:rPr>
        <w:t> </w:t>
      </w:r>
      <w:r>
        <w:rPr>
          <w:rFonts w:ascii="Arial" w:hAnsi="Arial"/>
          <w:color w:val="231F20"/>
          <w:w w:val="105"/>
          <w:sz w:val="18"/>
        </w:rPr>
        <w:t>“../$baseLargeIcon.ss”; @import</w:t>
      </w:r>
      <w:r>
        <w:rPr>
          <w:rFonts w:ascii="Arial" w:hAnsi="Arial"/>
          <w:color w:val="231F20"/>
          <w:spacing w:val="40"/>
          <w:w w:val="105"/>
          <w:sz w:val="18"/>
        </w:rPr>
        <w:t> </w:t>
      </w:r>
      <w:r>
        <w:rPr>
          <w:rFonts w:ascii="Arial" w:hAnsi="Arial"/>
          <w:color w:val="231F20"/>
          <w:w w:val="105"/>
          <w:sz w:val="18"/>
        </w:rPr>
        <w:t>“../$baseNodeLabelBottom.css”;</w:t>
      </w:r>
    </w:p>
    <w:p>
      <w:pPr>
        <w:pStyle w:val="ListParagraph"/>
        <w:numPr>
          <w:ilvl w:val="1"/>
          <w:numId w:val="68"/>
        </w:numPr>
        <w:tabs>
          <w:tab w:pos="3046" w:val="left" w:leader="none"/>
          <w:tab w:pos="3048" w:val="left" w:leader="none"/>
        </w:tabs>
        <w:spacing w:line="213" w:lineRule="auto" w:before="71" w:after="0"/>
        <w:ind w:left="3048" w:right="394" w:hanging="261"/>
        <w:jc w:val="left"/>
        <w:rPr>
          <w:sz w:val="20"/>
        </w:rPr>
      </w:pPr>
      <w:r>
        <w:rPr>
          <w:color w:val="231F20"/>
          <w:sz w:val="20"/>
        </w:rPr>
        <w:t>Copy and paste the following entry at the end of the file, one line for each</w:t>
      </w:r>
      <w:r>
        <w:rPr>
          <w:color w:val="231F20"/>
          <w:spacing w:val="40"/>
          <w:sz w:val="20"/>
        </w:rPr>
        <w:t> </w:t>
      </w:r>
      <w:r>
        <w:rPr>
          <w:color w:val="231F20"/>
          <w:sz w:val="20"/>
        </w:rPr>
        <w:t>Navigator item whose graphic view icon you want to change.</w:t>
      </w:r>
    </w:p>
    <w:p>
      <w:pPr>
        <w:spacing w:before="62"/>
        <w:ind w:left="3048" w:right="0" w:firstLine="0"/>
        <w:jc w:val="left"/>
        <w:rPr>
          <w:rFonts w:ascii="Arial" w:hAnsi="Arial"/>
          <w:sz w:val="18"/>
        </w:rPr>
      </w:pPr>
      <w:r>
        <w:rPr>
          <w:rFonts w:ascii="Arial" w:hAnsi="Arial"/>
          <w:color w:val="231F20"/>
          <w:spacing w:val="-2"/>
          <w:sz w:val="18"/>
        </w:rPr>
        <w:t>node[name</w:t>
      </w:r>
      <w:r>
        <w:rPr>
          <w:rFonts w:ascii="Arial" w:hAnsi="Arial"/>
          <w:color w:val="231F20"/>
          <w:spacing w:val="36"/>
          <w:sz w:val="18"/>
        </w:rPr>
        <w:t>  </w:t>
      </w:r>
      <w:r>
        <w:rPr>
          <w:rFonts w:ascii="Arial" w:hAnsi="Arial"/>
          <w:color w:val="231F20"/>
          <w:spacing w:val="-2"/>
          <w:sz w:val="18"/>
        </w:rPr>
        <w:t>=</w:t>
      </w:r>
      <w:r>
        <w:rPr>
          <w:rFonts w:ascii="Arial" w:hAnsi="Arial"/>
          <w:color w:val="231F20"/>
          <w:spacing w:val="36"/>
          <w:sz w:val="18"/>
        </w:rPr>
        <w:t>  </w:t>
      </w:r>
      <w:r>
        <w:rPr>
          <w:rFonts w:ascii="Arial" w:hAnsi="Arial"/>
          <w:color w:val="231F20"/>
          <w:spacing w:val="-2"/>
          <w:sz w:val="18"/>
        </w:rPr>
        <w:t>“My</w:t>
      </w:r>
      <w:r>
        <w:rPr>
          <w:rFonts w:ascii="Arial" w:hAnsi="Arial"/>
          <w:color w:val="231F20"/>
          <w:spacing w:val="37"/>
          <w:sz w:val="18"/>
        </w:rPr>
        <w:t>  </w:t>
      </w:r>
      <w:r>
        <w:rPr>
          <w:rFonts w:ascii="Arial" w:hAnsi="Arial"/>
          <w:color w:val="231F20"/>
          <w:spacing w:val="-2"/>
          <w:sz w:val="18"/>
        </w:rPr>
        <w:t>Item</w:t>
      </w:r>
      <w:r>
        <w:rPr>
          <w:rFonts w:ascii="Arial" w:hAnsi="Arial"/>
          <w:color w:val="231F20"/>
          <w:spacing w:val="36"/>
          <w:sz w:val="18"/>
        </w:rPr>
        <w:t>  </w:t>
      </w:r>
      <w:r>
        <w:rPr>
          <w:rFonts w:ascii="Arial" w:hAnsi="Arial"/>
          <w:color w:val="231F20"/>
          <w:spacing w:val="-2"/>
          <w:sz w:val="18"/>
        </w:rPr>
        <w:t>Name”]{iconImage:</w:t>
      </w:r>
      <w:r>
        <w:rPr>
          <w:rFonts w:ascii="Arial" w:hAnsi="Arial"/>
          <w:color w:val="231F20"/>
          <w:spacing w:val="36"/>
          <w:sz w:val="18"/>
        </w:rPr>
        <w:t>  </w:t>
      </w:r>
      <w:r>
        <w:rPr>
          <w:rFonts w:ascii="Arial" w:hAnsi="Arial"/>
          <w:color w:val="231F20"/>
          <w:spacing w:val="-2"/>
          <w:sz w:val="18"/>
        </w:rPr>
        <w:t>url(../../icons/user/iconname.gif);}</w:t>
      </w:r>
    </w:p>
    <w:p>
      <w:pPr>
        <w:pStyle w:val="ListParagraph"/>
        <w:numPr>
          <w:ilvl w:val="1"/>
          <w:numId w:val="68"/>
        </w:numPr>
        <w:tabs>
          <w:tab w:pos="3104" w:val="left" w:leader="none"/>
        </w:tabs>
        <w:spacing w:line="213" w:lineRule="auto" w:before="69" w:after="0"/>
        <w:ind w:left="3104" w:right="418" w:hanging="316"/>
        <w:jc w:val="left"/>
        <w:rPr>
          <w:sz w:val="20"/>
        </w:rPr>
      </w:pPr>
      <w:r>
        <w:rPr>
          <w:color w:val="231F20"/>
          <w:sz w:val="20"/>
        </w:rPr>
        <w:t>Replace </w:t>
      </w:r>
      <w:r>
        <w:rPr>
          <w:rFonts w:ascii="Arial"/>
          <w:color w:val="231F20"/>
          <w:sz w:val="20"/>
        </w:rPr>
        <w:t>Your Item Name Here </w:t>
      </w:r>
      <w:r>
        <w:rPr>
          <w:color w:val="231F20"/>
          <w:sz w:val="20"/>
        </w:rPr>
        <w:t>with the exact name of the Navigator item; and replace </w:t>
      </w:r>
      <w:r>
        <w:rPr>
          <w:rFonts w:ascii="Arial"/>
          <w:color w:val="231F20"/>
          <w:sz w:val="20"/>
        </w:rPr>
        <w:t>iconname.gif </w:t>
      </w:r>
      <w:r>
        <w:rPr>
          <w:color w:val="231F20"/>
          <w:sz w:val="20"/>
        </w:rPr>
        <w:t>with the exact name of the icon graphic file. Be</w:t>
      </w:r>
      <w:r>
        <w:rPr>
          <w:color w:val="231F20"/>
          <w:spacing w:val="40"/>
          <w:sz w:val="20"/>
        </w:rPr>
        <w:t> </w:t>
      </w:r>
      <w:r>
        <w:rPr>
          <w:color w:val="231F20"/>
          <w:sz w:val="20"/>
        </w:rPr>
        <w:t>careful to follow the syntax exactly. Any errors, such as missing or extra parentheses, quotes, or misspellings will give unpredictable results. The symptom might be that your style sheet change did not affect the </w:t>
      </w:r>
      <w:r>
        <w:rPr>
          <w:color w:val="231F20"/>
          <w:sz w:val="20"/>
        </w:rPr>
        <w:t>graphic view or the view contents disappear.</w:t>
      </w:r>
    </w:p>
    <w:p>
      <w:pPr>
        <w:pStyle w:val="ListParagraph"/>
        <w:numPr>
          <w:ilvl w:val="1"/>
          <w:numId w:val="68"/>
        </w:numPr>
        <w:tabs>
          <w:tab w:pos="3103" w:val="left" w:leader="none"/>
        </w:tabs>
        <w:spacing w:line="240" w:lineRule="auto" w:before="33" w:after="0"/>
        <w:ind w:left="3103" w:right="0" w:hanging="315"/>
        <w:jc w:val="left"/>
        <w:rPr>
          <w:sz w:val="20"/>
        </w:rPr>
      </w:pPr>
      <w:r>
        <w:rPr>
          <w:color w:val="231F20"/>
          <w:sz w:val="20"/>
        </w:rPr>
        <w:t>Save</w:t>
      </w:r>
      <w:r>
        <w:rPr>
          <w:color w:val="231F20"/>
          <w:spacing w:val="12"/>
          <w:sz w:val="20"/>
        </w:rPr>
        <w:t> </w:t>
      </w:r>
      <w:r>
        <w:rPr>
          <w:color w:val="231F20"/>
          <w:sz w:val="20"/>
        </w:rPr>
        <w:t>the</w:t>
      </w:r>
      <w:r>
        <w:rPr>
          <w:color w:val="231F20"/>
          <w:spacing w:val="13"/>
          <w:sz w:val="20"/>
        </w:rPr>
        <w:t> </w:t>
      </w:r>
      <w:r>
        <w:rPr>
          <w:color w:val="231F20"/>
          <w:sz w:val="20"/>
        </w:rPr>
        <w:t>text</w:t>
      </w:r>
      <w:r>
        <w:rPr>
          <w:color w:val="231F20"/>
          <w:spacing w:val="12"/>
          <w:sz w:val="20"/>
        </w:rPr>
        <w:t> </w:t>
      </w:r>
      <w:r>
        <w:rPr>
          <w:color w:val="231F20"/>
          <w:spacing w:val="-2"/>
          <w:sz w:val="20"/>
        </w:rPr>
        <w:t>file.</w:t>
      </w:r>
    </w:p>
    <w:p>
      <w:pPr>
        <w:pStyle w:val="ListParagraph"/>
        <w:numPr>
          <w:ilvl w:val="0"/>
          <w:numId w:val="63"/>
        </w:numPr>
        <w:tabs>
          <w:tab w:pos="2787" w:val="left" w:leader="none"/>
        </w:tabs>
        <w:spacing w:line="240" w:lineRule="auto" w:before="30" w:after="0"/>
        <w:ind w:left="2787" w:right="0" w:hanging="315"/>
        <w:jc w:val="left"/>
        <w:rPr>
          <w:sz w:val="20"/>
        </w:rPr>
      </w:pPr>
      <w:r>
        <w:rPr>
          <w:color w:val="231F20"/>
          <w:sz w:val="20"/>
        </w:rPr>
        <w:t>Apply</w:t>
      </w:r>
      <w:r>
        <w:rPr>
          <w:color w:val="231F20"/>
          <w:spacing w:val="11"/>
          <w:sz w:val="20"/>
        </w:rPr>
        <w:t> </w:t>
      </w:r>
      <w:r>
        <w:rPr>
          <w:color w:val="231F20"/>
          <w:sz w:val="20"/>
        </w:rPr>
        <w:t>the</w:t>
      </w:r>
      <w:r>
        <w:rPr>
          <w:color w:val="231F20"/>
          <w:spacing w:val="12"/>
          <w:sz w:val="20"/>
        </w:rPr>
        <w:t> </w:t>
      </w:r>
      <w:r>
        <w:rPr>
          <w:color w:val="231F20"/>
          <w:sz w:val="20"/>
        </w:rPr>
        <w:t>new</w:t>
      </w:r>
      <w:r>
        <w:rPr>
          <w:color w:val="231F20"/>
          <w:spacing w:val="12"/>
          <w:sz w:val="20"/>
        </w:rPr>
        <w:t> </w:t>
      </w:r>
      <w:r>
        <w:rPr>
          <w:color w:val="231F20"/>
          <w:sz w:val="20"/>
        </w:rPr>
        <w:t>style</w:t>
      </w:r>
      <w:r>
        <w:rPr>
          <w:color w:val="231F20"/>
          <w:spacing w:val="12"/>
          <w:sz w:val="20"/>
        </w:rPr>
        <w:t> </w:t>
      </w:r>
      <w:r>
        <w:rPr>
          <w:color w:val="231F20"/>
          <w:spacing w:val="-2"/>
          <w:sz w:val="20"/>
        </w:rPr>
        <w:t>sheet:</w:t>
      </w:r>
    </w:p>
    <w:p>
      <w:pPr>
        <w:pStyle w:val="ListParagraph"/>
        <w:numPr>
          <w:ilvl w:val="1"/>
          <w:numId w:val="63"/>
        </w:numPr>
        <w:tabs>
          <w:tab w:pos="3104" w:val="left" w:leader="none"/>
        </w:tabs>
        <w:spacing w:line="213" w:lineRule="auto" w:before="52" w:after="0"/>
        <w:ind w:left="3104" w:right="355" w:hanging="316"/>
        <w:jc w:val="left"/>
        <w:rPr>
          <w:sz w:val="20"/>
        </w:rPr>
      </w:pPr>
      <w:r>
        <w:rPr>
          <w:color w:val="231F20"/>
          <w:sz w:val="20"/>
        </w:rPr>
        <w:t>Open the workspace that contains the graphic view or add a graphic </w:t>
      </w:r>
      <w:r>
        <w:rPr>
          <w:color w:val="231F20"/>
          <w:sz w:val="20"/>
        </w:rPr>
        <w:t>view</w:t>
      </w:r>
      <w:r>
        <w:rPr>
          <w:color w:val="231F20"/>
          <w:spacing w:val="40"/>
          <w:sz w:val="20"/>
        </w:rPr>
        <w:t> </w:t>
      </w:r>
      <w:r>
        <w:rPr>
          <w:color w:val="231F20"/>
          <w:sz w:val="20"/>
        </w:rPr>
        <w:t>to the current workspace.</w:t>
      </w:r>
    </w:p>
    <w:p>
      <w:pPr>
        <w:pStyle w:val="ListParagraph"/>
        <w:numPr>
          <w:ilvl w:val="1"/>
          <w:numId w:val="63"/>
        </w:numPr>
        <w:tabs>
          <w:tab w:pos="3103" w:val="left" w:leader="none"/>
        </w:tabs>
        <w:spacing w:line="240" w:lineRule="auto" w:before="36" w:after="0"/>
        <w:ind w:left="3103" w:right="0" w:hanging="315"/>
        <w:jc w:val="left"/>
        <w:rPr>
          <w:sz w:val="20"/>
        </w:rPr>
      </w:pP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graphic</w:t>
      </w:r>
      <w:r>
        <w:rPr>
          <w:color w:val="231F20"/>
          <w:spacing w:val="11"/>
          <w:sz w:val="20"/>
        </w:rPr>
        <w:t> </w:t>
      </w:r>
      <w:r>
        <w:rPr>
          <w:color w:val="231F20"/>
          <w:sz w:val="20"/>
        </w:rPr>
        <w:t>view</w:t>
      </w:r>
      <w:r>
        <w:rPr>
          <w:color w:val="231F20"/>
          <w:spacing w:val="11"/>
          <w:sz w:val="20"/>
        </w:rPr>
        <w:t> </w:t>
      </w:r>
      <w:r>
        <w:rPr>
          <w:color w:val="231F20"/>
          <w:sz w:val="20"/>
        </w:rPr>
        <w:t>title</w:t>
      </w:r>
      <w:r>
        <w:rPr>
          <w:color w:val="231F20"/>
          <w:spacing w:val="11"/>
          <w:sz w:val="20"/>
        </w:rPr>
        <w:t> </w:t>
      </w:r>
      <w:r>
        <w:rPr>
          <w:color w:val="231F20"/>
          <w:sz w:val="20"/>
        </w:rPr>
        <w:t>bar,</w:t>
      </w:r>
      <w:r>
        <w:rPr>
          <w:color w:val="231F20"/>
          <w:spacing w:val="11"/>
          <w:sz w:val="20"/>
        </w:rPr>
        <w:t> </w:t>
      </w:r>
      <w:r>
        <w:rPr>
          <w:color w:val="231F20"/>
          <w:sz w:val="20"/>
        </w:rPr>
        <w:t>click</w:t>
      </w:r>
      <w:r>
        <w:rPr>
          <w:color w:val="231F20"/>
          <w:spacing w:val="-13"/>
          <w:sz w:val="20"/>
        </w:rPr>
        <w:t> </w:t>
      </w:r>
      <w:r>
        <w:rPr>
          <w:color w:val="231F20"/>
          <w:spacing w:val="-11"/>
          <w:position w:val="1"/>
          <w:sz w:val="20"/>
        </w:rPr>
        <w:drawing>
          <wp:inline distT="0" distB="0" distL="0" distR="0">
            <wp:extent cx="57150" cy="57150"/>
            <wp:effectExtent l="0" t="0" r="0" b="0"/>
            <wp:docPr id="1467" name="Image 1467"/>
            <wp:cNvGraphicFramePr>
              <a:graphicFrameLocks/>
            </wp:cNvGraphicFramePr>
            <a:graphic>
              <a:graphicData uri="http://schemas.openxmlformats.org/drawingml/2006/picture">
                <pic:pic>
                  <pic:nvPicPr>
                    <pic:cNvPr id="1467" name="Image 1467"/>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11"/>
          <w:position w:val="1"/>
          <w:sz w:val="20"/>
        </w:rPr>
      </w:r>
      <w:r>
        <w:rPr>
          <w:rFonts w:ascii="Times New Roman"/>
          <w:color w:val="231F20"/>
          <w:spacing w:val="33"/>
          <w:sz w:val="20"/>
        </w:rPr>
        <w:t> </w:t>
      </w:r>
      <w:r>
        <w:rPr>
          <w:rFonts w:ascii="Book Antiqua"/>
          <w:b/>
          <w:color w:val="231F20"/>
          <w:spacing w:val="-2"/>
          <w:sz w:val="20"/>
        </w:rPr>
        <w:t>Properties</w:t>
      </w:r>
      <w:r>
        <w:rPr>
          <w:color w:val="231F20"/>
          <w:spacing w:val="-2"/>
          <w:sz w:val="20"/>
        </w:rPr>
        <w:t>.</w:t>
      </w:r>
    </w:p>
    <w:p>
      <w:pPr>
        <w:pStyle w:val="ListParagraph"/>
        <w:numPr>
          <w:ilvl w:val="1"/>
          <w:numId w:val="63"/>
        </w:numPr>
        <w:tabs>
          <w:tab w:pos="3091" w:val="left" w:leader="none"/>
        </w:tabs>
        <w:spacing w:line="240" w:lineRule="auto" w:before="29" w:after="0"/>
        <w:ind w:left="3091" w:right="0" w:hanging="303"/>
        <w:jc w:val="left"/>
        <w:rPr>
          <w:sz w:val="20"/>
        </w:rPr>
      </w:pP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Style</w:t>
      </w:r>
      <w:r>
        <w:rPr>
          <w:rFonts w:ascii="Book Antiqua"/>
          <w:b/>
          <w:color w:val="231F20"/>
          <w:spacing w:val="12"/>
          <w:sz w:val="20"/>
        </w:rPr>
        <w:t> </w:t>
      </w:r>
      <w:r>
        <w:rPr>
          <w:color w:val="231F20"/>
          <w:sz w:val="20"/>
        </w:rPr>
        <w:t>tab,</w:t>
      </w:r>
      <w:r>
        <w:rPr>
          <w:color w:val="231F20"/>
          <w:spacing w:val="12"/>
          <w:sz w:val="20"/>
        </w:rPr>
        <w:t> </w:t>
      </w:r>
      <w:r>
        <w:rPr>
          <w:color w:val="231F20"/>
          <w:sz w:val="20"/>
        </w:rPr>
        <w:t>click</w:t>
      </w:r>
      <w:r>
        <w:rPr>
          <w:color w:val="231F20"/>
          <w:spacing w:val="12"/>
          <w:sz w:val="20"/>
        </w:rPr>
        <w:t> </w:t>
      </w:r>
      <w:r>
        <w:rPr>
          <w:color w:val="231F20"/>
          <w:sz w:val="20"/>
        </w:rPr>
        <w:t>the</w:t>
      </w:r>
      <w:r>
        <w:rPr>
          <w:color w:val="231F20"/>
          <w:spacing w:val="12"/>
          <w:sz w:val="20"/>
        </w:rPr>
        <w:t> </w:t>
      </w:r>
      <w:r>
        <w:rPr>
          <w:color w:val="231F20"/>
          <w:sz w:val="20"/>
        </w:rPr>
        <w:t>plot</w:t>
      </w:r>
      <w:r>
        <w:rPr>
          <w:color w:val="231F20"/>
          <w:spacing w:val="12"/>
          <w:sz w:val="20"/>
        </w:rPr>
        <w:t> </w:t>
      </w:r>
      <w:r>
        <w:rPr>
          <w:color w:val="231F20"/>
          <w:sz w:val="20"/>
        </w:rPr>
        <w:t>area</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thumbnail</w:t>
      </w:r>
      <w:r>
        <w:rPr>
          <w:color w:val="231F20"/>
          <w:spacing w:val="12"/>
          <w:sz w:val="20"/>
        </w:rPr>
        <w:t> </w:t>
      </w:r>
      <w:r>
        <w:rPr>
          <w:color w:val="231F20"/>
          <w:spacing w:val="-2"/>
          <w:sz w:val="20"/>
        </w:rPr>
        <w:t>graphic.</w:t>
      </w:r>
    </w:p>
    <w:p>
      <w:pPr>
        <w:pStyle w:val="ListParagraph"/>
        <w:numPr>
          <w:ilvl w:val="1"/>
          <w:numId w:val="63"/>
        </w:numPr>
        <w:tabs>
          <w:tab w:pos="3103" w:val="left" w:leader="none"/>
        </w:tabs>
        <w:spacing w:line="240" w:lineRule="auto" w:before="30" w:after="0"/>
        <w:ind w:left="3103" w:right="0" w:hanging="315"/>
        <w:jc w:val="left"/>
        <w:rPr>
          <w:sz w:val="20"/>
        </w:rPr>
      </w:pPr>
      <w:r>
        <w:rPr>
          <w:color w:val="231F20"/>
          <w:sz w:val="20"/>
        </w:rPr>
        <w:t>Adjust</w:t>
      </w:r>
      <w:r>
        <w:rPr>
          <w:color w:val="231F20"/>
          <w:spacing w:val="10"/>
          <w:sz w:val="20"/>
        </w:rPr>
        <w:t> </w:t>
      </w:r>
      <w:r>
        <w:rPr>
          <w:color w:val="231F20"/>
          <w:sz w:val="20"/>
        </w:rPr>
        <w:t>the</w:t>
      </w:r>
      <w:r>
        <w:rPr>
          <w:color w:val="231F20"/>
          <w:spacing w:val="10"/>
          <w:sz w:val="20"/>
        </w:rPr>
        <w:t> </w:t>
      </w:r>
      <w:r>
        <w:rPr>
          <w:rFonts w:ascii="Book Antiqua"/>
          <w:b/>
          <w:color w:val="231F20"/>
          <w:sz w:val="20"/>
        </w:rPr>
        <w:t>Background</w:t>
      </w:r>
      <w:r>
        <w:rPr>
          <w:rFonts w:ascii="Book Antiqua"/>
          <w:b/>
          <w:color w:val="231F20"/>
          <w:spacing w:val="10"/>
          <w:sz w:val="20"/>
        </w:rPr>
        <w:t> </w:t>
      </w:r>
      <w:r>
        <w:rPr>
          <w:color w:val="231F20"/>
          <w:sz w:val="20"/>
        </w:rPr>
        <w:t>settings</w:t>
      </w:r>
      <w:r>
        <w:rPr>
          <w:color w:val="231F20"/>
          <w:spacing w:val="11"/>
          <w:sz w:val="20"/>
        </w:rPr>
        <w:t> </w:t>
      </w:r>
      <w:r>
        <w:rPr>
          <w:color w:val="231F20"/>
          <w:sz w:val="20"/>
        </w:rPr>
        <w:t>as</w:t>
      </w:r>
      <w:r>
        <w:rPr>
          <w:color w:val="231F20"/>
          <w:spacing w:val="10"/>
          <w:sz w:val="20"/>
        </w:rPr>
        <w:t> </w:t>
      </w:r>
      <w:r>
        <w:rPr>
          <w:color w:val="231F20"/>
          <w:spacing w:val="-2"/>
          <w:sz w:val="20"/>
        </w:rPr>
        <w:t>needed.</w:t>
      </w:r>
    </w:p>
    <w:p>
      <w:pPr>
        <w:pStyle w:val="ListParagraph"/>
        <w:numPr>
          <w:ilvl w:val="1"/>
          <w:numId w:val="63"/>
        </w:numPr>
        <w:tabs>
          <w:tab w:pos="3104" w:val="left" w:leader="none"/>
        </w:tabs>
        <w:spacing w:line="213" w:lineRule="auto" w:before="52" w:after="0"/>
        <w:ind w:left="3104" w:right="179" w:hanging="316"/>
        <w:jc w:val="left"/>
        <w:rPr>
          <w:sz w:val="20"/>
        </w:rPr>
      </w:pPr>
      <w:r>
        <w:rPr>
          <w:color w:val="231F20"/>
          <w:sz w:val="20"/>
        </w:rPr>
        <w:t>In the </w:t>
      </w:r>
      <w:r>
        <w:rPr>
          <w:rFonts w:ascii="Book Antiqua"/>
          <w:b/>
          <w:color w:val="231F20"/>
          <w:sz w:val="20"/>
        </w:rPr>
        <w:t>Style </w:t>
      </w:r>
      <w:r>
        <w:rPr>
          <w:color w:val="231F20"/>
          <w:sz w:val="20"/>
        </w:rPr>
        <w:t>area, click </w:t>
      </w:r>
      <w:r>
        <w:rPr>
          <w:rFonts w:ascii="Book Antiqua"/>
          <w:b/>
          <w:color w:val="231F20"/>
          <w:sz w:val="20"/>
        </w:rPr>
        <w:t>Browse</w:t>
      </w:r>
      <w:r>
        <w:rPr>
          <w:color w:val="231F20"/>
          <w:sz w:val="20"/>
        </w:rPr>
        <w:t>, select the custom style sheet from the </w:t>
      </w:r>
      <w:r>
        <w:rPr>
          <w:rFonts w:ascii="Book Antiqua"/>
          <w:b/>
          <w:color w:val="231F20"/>
          <w:sz w:val="20"/>
        </w:rPr>
        <w:t>Select Name </w:t>
      </w:r>
      <w:r>
        <w:rPr>
          <w:color w:val="231F20"/>
          <w:sz w:val="20"/>
        </w:rPr>
        <w:t>list, and click </w:t>
      </w:r>
      <w:r>
        <w:rPr>
          <w:rFonts w:ascii="Book Antiqua"/>
          <w:b/>
          <w:color w:val="231F20"/>
          <w:sz w:val="20"/>
        </w:rPr>
        <w:t>OK</w:t>
      </w:r>
      <w:r>
        <w:rPr>
          <w:color w:val="231F20"/>
          <w:sz w:val="20"/>
        </w:rPr>
        <w:t>. Your style sheets are displayed as user/style at the</w:t>
      </w:r>
      <w:r>
        <w:rPr>
          <w:color w:val="231F20"/>
          <w:spacing w:val="40"/>
          <w:sz w:val="20"/>
        </w:rPr>
        <w:t> </w:t>
      </w:r>
      <w:r>
        <w:rPr>
          <w:color w:val="231F20"/>
          <w:sz w:val="20"/>
        </w:rPr>
        <w:t>end of the list. If you do not see your style sheet in the list, check that you</w:t>
      </w:r>
      <w:r>
        <w:rPr>
          <w:color w:val="231F20"/>
          <w:spacing w:val="80"/>
          <w:sz w:val="20"/>
        </w:rPr>
        <w:t> </w:t>
      </w:r>
      <w:r>
        <w:rPr>
          <w:color w:val="231F20"/>
          <w:sz w:val="20"/>
        </w:rPr>
        <w:t>saved it in the right directory and that you did not start the name with $. If</w:t>
      </w:r>
      <w:r>
        <w:rPr>
          <w:color w:val="231F20"/>
          <w:spacing w:val="40"/>
          <w:sz w:val="20"/>
        </w:rPr>
        <w:t> </w:t>
      </w:r>
      <w:r>
        <w:rPr>
          <w:color w:val="231F20"/>
          <w:sz w:val="20"/>
        </w:rPr>
        <w:t>you are in browser mode, make sure you added a style entry to</w:t>
      </w:r>
    </w:p>
    <w:p>
      <w:pPr>
        <w:pStyle w:val="BodyText"/>
        <w:spacing w:line="213" w:lineRule="auto"/>
        <w:ind w:left="3104" w:right="545"/>
      </w:pPr>
      <w:r>
        <w:rPr>
          <w:rFonts w:ascii="Arial"/>
          <w:color w:val="231F20"/>
        </w:rPr>
        <w:t>$_index.txt </w:t>
      </w:r>
      <w:r>
        <w:rPr>
          <w:color w:val="231F20"/>
        </w:rPr>
        <w:t>and that you spelled it correctly. You can drag the border</w:t>
      </w:r>
      <w:r>
        <w:rPr>
          <w:color w:val="231F20"/>
          <w:spacing w:val="40"/>
        </w:rPr>
        <w:t> </w:t>
      </w:r>
      <w:r>
        <w:rPr>
          <w:color w:val="231F20"/>
        </w:rPr>
        <w:t>between </w:t>
      </w:r>
      <w:r>
        <w:rPr>
          <w:rFonts w:ascii="Book Antiqua"/>
          <w:b/>
          <w:color w:val="231F20"/>
        </w:rPr>
        <w:t>Preview </w:t>
      </w:r>
      <w:r>
        <w:rPr>
          <w:color w:val="231F20"/>
        </w:rPr>
        <w:t>and </w:t>
      </w:r>
      <w:r>
        <w:rPr>
          <w:rFonts w:ascii="Book Antiqua"/>
          <w:b/>
          <w:color w:val="231F20"/>
        </w:rPr>
        <w:t>Style </w:t>
      </w:r>
      <w:r>
        <w:rPr>
          <w:color w:val="231F20"/>
        </w:rPr>
        <w:t>to make the preview image larger.</w:t>
      </w:r>
    </w:p>
    <w:p>
      <w:pPr>
        <w:pStyle w:val="ListParagraph"/>
        <w:numPr>
          <w:ilvl w:val="1"/>
          <w:numId w:val="63"/>
        </w:numPr>
        <w:tabs>
          <w:tab w:pos="3046" w:val="left" w:leader="none"/>
          <w:tab w:pos="3048" w:val="left" w:leader="none"/>
        </w:tabs>
        <w:spacing w:line="213" w:lineRule="auto" w:before="55" w:after="0"/>
        <w:ind w:left="3048" w:right="171" w:hanging="261"/>
        <w:jc w:val="left"/>
        <w:rPr>
          <w:sz w:val="20"/>
        </w:rPr>
      </w:pPr>
      <w:r>
        <w:rPr>
          <w:color w:val="231F20"/>
          <w:sz w:val="20"/>
        </w:rPr>
        <w:t>When</w:t>
      </w:r>
      <w:r>
        <w:rPr>
          <w:color w:val="231F20"/>
          <w:spacing w:val="29"/>
          <w:sz w:val="20"/>
        </w:rPr>
        <w:t> </w:t>
      </w:r>
      <w:r>
        <w:rPr>
          <w:color w:val="231F20"/>
          <w:sz w:val="20"/>
        </w:rPr>
        <w:t>you</w:t>
      </w:r>
      <w:r>
        <w:rPr>
          <w:color w:val="231F20"/>
          <w:spacing w:val="29"/>
          <w:sz w:val="20"/>
        </w:rPr>
        <w:t> </w:t>
      </w:r>
      <w:r>
        <w:rPr>
          <w:color w:val="231F20"/>
          <w:sz w:val="20"/>
        </w:rPr>
        <w:t>are</w:t>
      </w:r>
      <w:r>
        <w:rPr>
          <w:color w:val="231F20"/>
          <w:spacing w:val="29"/>
          <w:sz w:val="20"/>
        </w:rPr>
        <w:t> </w:t>
      </w:r>
      <w:r>
        <w:rPr>
          <w:color w:val="231F20"/>
          <w:sz w:val="20"/>
        </w:rPr>
        <w:t>finished</w:t>
      </w:r>
      <w:r>
        <w:rPr>
          <w:color w:val="231F20"/>
          <w:spacing w:val="29"/>
          <w:sz w:val="20"/>
        </w:rPr>
        <w:t> </w:t>
      </w:r>
      <w:r>
        <w:rPr>
          <w:color w:val="231F20"/>
          <w:sz w:val="20"/>
        </w:rPr>
        <w:t>editing</w:t>
      </w:r>
      <w:r>
        <w:rPr>
          <w:color w:val="231F20"/>
          <w:spacing w:val="29"/>
          <w:sz w:val="20"/>
        </w:rPr>
        <w:t> </w:t>
      </w:r>
      <w:r>
        <w:rPr>
          <w:color w:val="231F20"/>
          <w:sz w:val="20"/>
        </w:rPr>
        <w:t>the</w:t>
      </w:r>
      <w:r>
        <w:rPr>
          <w:color w:val="231F20"/>
          <w:spacing w:val="29"/>
          <w:sz w:val="20"/>
        </w:rPr>
        <w:t> </w:t>
      </w:r>
      <w:r>
        <w:rPr>
          <w:color w:val="231F20"/>
          <w:sz w:val="20"/>
        </w:rPr>
        <w:t>graphic</w:t>
      </w:r>
      <w:r>
        <w:rPr>
          <w:color w:val="231F20"/>
          <w:spacing w:val="29"/>
          <w:sz w:val="20"/>
        </w:rPr>
        <w:t> </w:t>
      </w:r>
      <w:r>
        <w:rPr>
          <w:color w:val="231F20"/>
          <w:sz w:val="20"/>
        </w:rPr>
        <w:t>view</w:t>
      </w:r>
      <w:r>
        <w:rPr>
          <w:color w:val="231F20"/>
          <w:spacing w:val="29"/>
          <w:sz w:val="20"/>
        </w:rPr>
        <w:t> </w:t>
      </w:r>
      <w:r>
        <w:rPr>
          <w:color w:val="231F20"/>
          <w:sz w:val="20"/>
        </w:rPr>
        <w:t>properties,</w:t>
      </w:r>
      <w:r>
        <w:rPr>
          <w:color w:val="231F20"/>
          <w:spacing w:val="29"/>
          <w:sz w:val="20"/>
        </w:rPr>
        <w:t> </w:t>
      </w:r>
      <w:r>
        <w:rPr>
          <w:color w:val="231F20"/>
          <w:sz w:val="20"/>
        </w:rPr>
        <w:t>save</w:t>
      </w:r>
      <w:r>
        <w:rPr>
          <w:color w:val="231F20"/>
          <w:spacing w:val="29"/>
          <w:sz w:val="20"/>
        </w:rPr>
        <w:t> </w:t>
      </w:r>
      <w:r>
        <w:rPr>
          <w:color w:val="231F20"/>
          <w:sz w:val="20"/>
        </w:rPr>
        <w:t>your changes with </w:t>
      </w:r>
      <w:r>
        <w:rPr>
          <w:rFonts w:ascii="Book Antiqua"/>
          <w:b/>
          <w:color w:val="231F20"/>
          <w:sz w:val="20"/>
        </w:rPr>
        <w:t>Apply </w:t>
      </w:r>
      <w:r>
        <w:rPr>
          <w:color w:val="231F20"/>
          <w:sz w:val="20"/>
        </w:rPr>
        <w:t>to keep the window open, or </w:t>
      </w:r>
      <w:r>
        <w:rPr>
          <w:rFonts w:ascii="Book Antiqua"/>
          <w:b/>
          <w:color w:val="231F20"/>
          <w:sz w:val="20"/>
        </w:rPr>
        <w:t>OK </w:t>
      </w:r>
      <w:r>
        <w:rPr>
          <w:color w:val="231F20"/>
          <w:sz w:val="20"/>
        </w:rPr>
        <w:t>to close the </w:t>
      </w:r>
      <w:r>
        <w:rPr>
          <w:color w:val="231F20"/>
          <w:sz w:val="20"/>
        </w:rPr>
        <w:t>Properties </w:t>
      </w:r>
      <w:r>
        <w:rPr>
          <w:color w:val="231F20"/>
          <w:spacing w:val="-2"/>
          <w:sz w:val="20"/>
        </w:rPr>
        <w:t>editor.</w:t>
      </w:r>
    </w:p>
    <w:p>
      <w:pPr>
        <w:pStyle w:val="Heading5"/>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ListParagraph"/>
        <w:numPr>
          <w:ilvl w:val="0"/>
          <w:numId w:val="69"/>
        </w:numPr>
        <w:tabs>
          <w:tab w:pos="2788" w:val="left" w:leader="none"/>
        </w:tabs>
        <w:spacing w:line="213" w:lineRule="auto" w:before="66" w:after="0"/>
        <w:ind w:left="2788" w:right="709" w:hanging="316"/>
        <w:jc w:val="left"/>
        <w:rPr>
          <w:sz w:val="20"/>
        </w:rPr>
      </w:pPr>
      <w:r>
        <w:rPr>
          <w:color w:val="231F20"/>
          <w:sz w:val="20"/>
        </w:rPr>
        <w:t>When you erase the background image name (no image selected) or use a non-map background, you usually need to save the workspace, switch to another workspace, then return to it to see the correct icon sizes. This is required whenever the image sizes do not scale as you expect.</w:t>
      </w:r>
    </w:p>
    <w:p>
      <w:pPr>
        <w:pStyle w:val="ListParagraph"/>
        <w:numPr>
          <w:ilvl w:val="0"/>
          <w:numId w:val="69"/>
        </w:numPr>
        <w:tabs>
          <w:tab w:pos="2788" w:val="left" w:leader="none"/>
        </w:tabs>
        <w:spacing w:line="213" w:lineRule="auto" w:before="57" w:after="0"/>
        <w:ind w:left="2788" w:right="231" w:hanging="316"/>
        <w:jc w:val="left"/>
        <w:rPr>
          <w:sz w:val="20"/>
        </w:rPr>
      </w:pPr>
      <w:r>
        <w:rPr>
          <w:color w:val="231F20"/>
          <w:sz w:val="20"/>
        </w:rPr>
        <w:t>After you have created a user style sheet and associated it with a graphic view, you can make further changes with a text editor and see the effect without</w:t>
      </w:r>
    </w:p>
    <w:p>
      <w:pPr>
        <w:spacing w:after="0" w:line="213" w:lineRule="auto"/>
        <w:jc w:val="left"/>
        <w:rPr>
          <w:sz w:val="20"/>
        </w:rPr>
        <w:sectPr>
          <w:pgSz w:w="12240" w:h="15840"/>
          <w:pgMar w:header="0" w:footer="736" w:top="1180" w:bottom="920" w:left="1000" w:right="1060"/>
        </w:sectPr>
      </w:pPr>
    </w:p>
    <w:p>
      <w:pPr>
        <w:pStyle w:val="BodyText"/>
        <w:spacing w:line="213" w:lineRule="auto" w:before="85"/>
        <w:ind w:left="2548"/>
      </w:pPr>
      <w:bookmarkStart w:name="_bookmark113" w:id="242"/>
      <w:bookmarkEnd w:id="242"/>
      <w:r>
        <w:rPr/>
      </w:r>
      <w:r>
        <w:rPr>
          <w:color w:val="231F20"/>
        </w:rPr>
        <w:t>reopening the Properties editor. To do so, save the changed file, click </w:t>
      </w:r>
      <w:r>
        <w:rPr>
          <w:color w:val="231F20"/>
          <w:spacing w:val="15"/>
          <w:position w:val="-1"/>
        </w:rPr>
        <w:drawing>
          <wp:inline distT="0" distB="0" distL="0" distR="0">
            <wp:extent cx="95250" cy="95250"/>
            <wp:effectExtent l="0" t="0" r="0" b="0"/>
            <wp:docPr id="1468" name="Image 1468"/>
            <wp:cNvGraphicFramePr>
              <a:graphicFrameLocks/>
            </wp:cNvGraphicFramePr>
            <a:graphic>
              <a:graphicData uri="http://schemas.openxmlformats.org/drawingml/2006/picture">
                <pic:pic>
                  <pic:nvPicPr>
                    <pic:cNvPr id="1468" name="Image 1468"/>
                    <pic:cNvPicPr/>
                  </pic:nvPicPr>
                  <pic:blipFill>
                    <a:blip r:embed="rId274"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Reload Stylesheet to refresh the style sheet and see the new icons.</w:t>
      </w:r>
    </w:p>
    <w:p>
      <w:pPr>
        <w:pStyle w:val="ListParagraph"/>
        <w:numPr>
          <w:ilvl w:val="0"/>
          <w:numId w:val="69"/>
        </w:numPr>
        <w:tabs>
          <w:tab w:pos="2548" w:val="left" w:leader="none"/>
        </w:tabs>
        <w:spacing w:line="213" w:lineRule="auto" w:before="58" w:after="0"/>
        <w:ind w:left="2548" w:right="406" w:hanging="316"/>
        <w:jc w:val="left"/>
        <w:rPr>
          <w:sz w:val="20"/>
        </w:rPr>
      </w:pPr>
      <w:r>
        <w:rPr>
          <w:color w:val="231F20"/>
          <w:sz w:val="20"/>
        </w:rPr>
        <w:t>If you want your new style sheet to be applied automatically to all new graphic</w:t>
      </w:r>
      <w:r>
        <w:rPr>
          <w:color w:val="231F20"/>
          <w:spacing w:val="40"/>
          <w:sz w:val="20"/>
        </w:rPr>
        <w:t> </w:t>
      </w:r>
      <w:bookmarkStart w:name="Changing the default graphics" w:id="243"/>
      <w:bookmarkEnd w:id="243"/>
      <w:r>
        <w:rPr>
          <w:color w:val="231F20"/>
          <w:sz w:val="20"/>
        </w:rPr>
        <w:t>views</w:t>
      </w:r>
      <w:r>
        <w:rPr>
          <w:color w:val="231F20"/>
          <w:sz w:val="20"/>
        </w:rPr>
        <w:t> you create, you can make it the default.</w:t>
      </w:r>
    </w:p>
    <w:p>
      <w:pPr>
        <w:pStyle w:val="Heading4"/>
        <w:spacing w:line="273" w:lineRule="exact" w:before="165"/>
      </w:pPr>
      <w:r>
        <w:rPr>
          <w:color w:val="231F20"/>
        </w:rPr>
        <w:t>Changing</w:t>
      </w:r>
      <w:r>
        <w:rPr>
          <w:color w:val="231F20"/>
          <w:spacing w:val="5"/>
        </w:rPr>
        <w:t> </w:t>
      </w:r>
      <w:r>
        <w:rPr>
          <w:color w:val="231F20"/>
        </w:rPr>
        <w:t>the</w:t>
      </w:r>
      <w:r>
        <w:rPr>
          <w:color w:val="231F20"/>
          <w:spacing w:val="5"/>
        </w:rPr>
        <w:t> </w:t>
      </w:r>
      <w:r>
        <w:rPr>
          <w:color w:val="231F20"/>
        </w:rPr>
        <w:t>default</w:t>
      </w:r>
      <w:r>
        <w:rPr>
          <w:color w:val="231F20"/>
          <w:spacing w:val="6"/>
        </w:rPr>
        <w:t> </w:t>
      </w:r>
      <w:r>
        <w:rPr>
          <w:color w:val="231F20"/>
          <w:spacing w:val="-2"/>
        </w:rPr>
        <w:t>graphics</w:t>
      </w:r>
    </w:p>
    <w:p>
      <w:pPr>
        <w:pStyle w:val="BodyText"/>
        <w:spacing w:line="213" w:lineRule="auto" w:before="20"/>
        <w:ind w:left="2232" w:right="636"/>
      </w:pPr>
      <w:r>
        <w:rPr>
          <w:color w:val="231F20"/>
        </w:rPr>
        <w:t>When you drop a new graphic view onto the workspace, the background that displays is the default image, as are the icons overlaying the graphic. You can change the graphic and the styling through the Properties editor Style tab. If you prefer another background graphic or icons for the default images, you can use your own.</w:t>
      </w:r>
    </w:p>
    <w:p>
      <w:pPr>
        <w:pStyle w:val="Heading5"/>
        <w:spacing w:before="217"/>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5"/>
        <w:ind w:left="2232" w:right="545"/>
      </w:pPr>
      <w:r>
        <w:rPr>
          <w:color w:val="231F20"/>
        </w:rPr>
        <w:t>Take these steps on the computer where the Tivoli Enterprise Portal Server </w:t>
      </w:r>
      <w:r>
        <w:rPr>
          <w:color w:val="231F20"/>
        </w:rPr>
        <w:t>is </w:t>
      </w:r>
      <w:r>
        <w:rPr>
          <w:color w:val="231F20"/>
          <w:spacing w:val="-2"/>
        </w:rPr>
        <w:t>installed.</w:t>
      </w:r>
    </w:p>
    <w:p>
      <w:pPr>
        <w:pStyle w:val="Heading5"/>
        <w:spacing w:before="219"/>
        <w:ind w:left="2232"/>
      </w:pPr>
      <w:r>
        <w:rPr>
          <w:color w:val="231F20"/>
          <w:spacing w:val="-2"/>
        </w:rPr>
        <w:t>Procedure</w:t>
      </w:r>
    </w:p>
    <w:p>
      <w:pPr>
        <w:pStyle w:val="BodyText"/>
        <w:spacing w:before="42"/>
        <w:ind w:left="2232"/>
      </w:pPr>
      <w:r>
        <w:rPr>
          <w:rFonts w:ascii="Futura MdCn BT"/>
          <w:color w:val="231F20"/>
        </w:rPr>
        <w:t>v</w:t>
      </w:r>
      <w:r>
        <w:rPr>
          <w:rFonts w:ascii="Futura MdCn BT"/>
          <w:color w:val="231F20"/>
          <w:spacing w:val="77"/>
          <w:w w:val="150"/>
        </w:rPr>
        <w:t> </w:t>
      </w:r>
      <w:r>
        <w:rPr>
          <w:color w:val="231F20"/>
        </w:rPr>
        <w:t>To</w:t>
      </w:r>
      <w:r>
        <w:rPr>
          <w:color w:val="231F20"/>
          <w:spacing w:val="10"/>
        </w:rPr>
        <w:t> </w:t>
      </w:r>
      <w:r>
        <w:rPr>
          <w:color w:val="231F20"/>
        </w:rPr>
        <w:t>change</w:t>
      </w:r>
      <w:r>
        <w:rPr>
          <w:color w:val="231F20"/>
          <w:spacing w:val="10"/>
        </w:rPr>
        <w:t> </w:t>
      </w:r>
      <w:r>
        <w:rPr>
          <w:color w:val="231F20"/>
        </w:rPr>
        <w:t>the</w:t>
      </w:r>
      <w:r>
        <w:rPr>
          <w:color w:val="231F20"/>
          <w:spacing w:val="10"/>
        </w:rPr>
        <w:t> </w:t>
      </w:r>
      <w:r>
        <w:rPr>
          <w:color w:val="231F20"/>
        </w:rPr>
        <w:t>default</w:t>
      </w:r>
      <w:r>
        <w:rPr>
          <w:color w:val="231F20"/>
          <w:spacing w:val="11"/>
        </w:rPr>
        <w:t> </w:t>
      </w:r>
      <w:r>
        <w:rPr>
          <w:color w:val="231F20"/>
          <w:spacing w:val="-2"/>
        </w:rPr>
        <w:t>background:</w:t>
      </w:r>
    </w:p>
    <w:p>
      <w:pPr>
        <w:pStyle w:val="ListParagraph"/>
        <w:numPr>
          <w:ilvl w:val="0"/>
          <w:numId w:val="70"/>
        </w:numPr>
        <w:tabs>
          <w:tab w:pos="2762" w:val="left" w:leader="none"/>
          <w:tab w:pos="2764" w:val="left" w:leader="none"/>
        </w:tabs>
        <w:spacing w:line="213" w:lineRule="auto" w:before="53" w:after="0"/>
        <w:ind w:left="2764" w:right="532" w:hanging="317"/>
        <w:jc w:val="left"/>
        <w:rPr>
          <w:sz w:val="20"/>
        </w:rPr>
      </w:pPr>
      <w:r>
        <w:rPr>
          <w:color w:val="231F20"/>
          <w:w w:val="105"/>
          <w:sz w:val="20"/>
        </w:rPr>
        <w:t>Rename the original </w:t>
      </w:r>
      <w:r>
        <w:rPr>
          <w:rFonts w:ascii="Arial"/>
          <w:color w:val="231F20"/>
          <w:w w:val="105"/>
          <w:sz w:val="20"/>
        </w:rPr>
        <w:t>default.jpg </w:t>
      </w:r>
      <w:r>
        <w:rPr>
          <w:color w:val="231F20"/>
          <w:w w:val="105"/>
          <w:sz w:val="20"/>
        </w:rPr>
        <w:t>to </w:t>
      </w:r>
      <w:r>
        <w:rPr>
          <w:rFonts w:ascii="Arial"/>
          <w:color w:val="231F20"/>
          <w:w w:val="105"/>
          <w:sz w:val="20"/>
        </w:rPr>
        <w:t>default_backup.jpg </w:t>
      </w:r>
      <w:r>
        <w:rPr>
          <w:color w:val="231F20"/>
          <w:w w:val="105"/>
          <w:sz w:val="20"/>
        </w:rPr>
        <w:t>in the backgrounds </w:t>
      </w:r>
      <w:r>
        <w:rPr>
          <w:color w:val="231F20"/>
          <w:spacing w:val="-2"/>
          <w:w w:val="105"/>
          <w:sz w:val="20"/>
        </w:rPr>
        <w:t>directory:</w:t>
      </w:r>
    </w:p>
    <w:p>
      <w:pPr>
        <w:spacing w:line="242" w:lineRule="exact" w:before="0"/>
        <w:ind w:left="2764" w:right="0" w:firstLine="0"/>
        <w:jc w:val="left"/>
        <w:rPr>
          <w:rFonts w:ascii="Arial"/>
          <w:sz w:val="20"/>
        </w:rPr>
      </w:pPr>
      <w:r>
        <w:rPr>
          <w:position w:val="-5"/>
        </w:rPr>
        <w:drawing>
          <wp:inline distT="0" distB="0" distL="0" distR="0">
            <wp:extent cx="581025" cy="123825"/>
            <wp:effectExtent l="0" t="0" r="0" b="0"/>
            <wp:docPr id="1469" name="Image 1469"/>
            <wp:cNvGraphicFramePr>
              <a:graphicFrameLocks/>
            </wp:cNvGraphicFramePr>
            <a:graphic>
              <a:graphicData uri="http://schemas.openxmlformats.org/drawingml/2006/picture">
                <pic:pic>
                  <pic:nvPicPr>
                    <pic:cNvPr id="1469" name="Image 1469"/>
                    <pic:cNvPicPr/>
                  </pic:nvPicPr>
                  <pic:blipFill>
                    <a:blip r:embed="rId204" cstate="print"/>
                    <a:stretch>
                      <a:fillRect/>
                    </a:stretch>
                  </pic:blipFill>
                  <pic:spPr>
                    <a:xfrm>
                      <a:off x="0" y="0"/>
                      <a:ext cx="581025" cy="123825"/>
                    </a:xfrm>
                    <a:prstGeom prst="rect">
                      <a:avLst/>
                    </a:prstGeom>
                  </pic:spPr>
                </pic:pic>
              </a:graphicData>
            </a:graphic>
          </wp:inline>
        </w:drawing>
      </w:r>
      <w:r>
        <w:rPr>
          <w:position w:val="-5"/>
        </w:rPr>
      </w:r>
      <w:r>
        <w:rPr>
          <w:rFonts w:ascii="Times New Roman"/>
          <w:spacing w:val="80"/>
          <w:w w:val="105"/>
          <w:sz w:val="20"/>
        </w:rPr>
        <w:t> </w:t>
      </w:r>
      <w:r>
        <w:rPr>
          <w:color w:val="231F20"/>
          <w:w w:val="105"/>
          <w:sz w:val="20"/>
        </w:rPr>
        <w:t>or</w:t>
      </w:r>
      <w:r>
        <w:rPr>
          <w:color w:val="231F20"/>
          <w:spacing w:val="40"/>
          <w:w w:val="105"/>
          <w:sz w:val="20"/>
        </w:rPr>
        <w:t> </w:t>
      </w:r>
      <w:r>
        <w:rPr>
          <w:color w:val="231F20"/>
          <w:spacing w:val="-23"/>
          <w:position w:val="-5"/>
          <w:sz w:val="20"/>
        </w:rPr>
        <w:drawing>
          <wp:inline distT="0" distB="0" distL="0" distR="0">
            <wp:extent cx="581025" cy="123825"/>
            <wp:effectExtent l="0" t="0" r="0" b="0"/>
            <wp:docPr id="1470" name="Image 1470"/>
            <wp:cNvGraphicFramePr>
              <a:graphicFrameLocks/>
            </wp:cNvGraphicFramePr>
            <a:graphic>
              <a:graphicData uri="http://schemas.openxmlformats.org/drawingml/2006/picture">
                <pic:pic>
                  <pic:nvPicPr>
                    <pic:cNvPr id="1470" name="Image 1470"/>
                    <pic:cNvPicPr/>
                  </pic:nvPicPr>
                  <pic:blipFill>
                    <a:blip r:embed="rId205" cstate="print"/>
                    <a:stretch>
                      <a:fillRect/>
                    </a:stretch>
                  </pic:blipFill>
                  <pic:spPr>
                    <a:xfrm>
                      <a:off x="0" y="0"/>
                      <a:ext cx="581025" cy="123825"/>
                    </a:xfrm>
                    <a:prstGeom prst="rect">
                      <a:avLst/>
                    </a:prstGeom>
                  </pic:spPr>
                </pic:pic>
              </a:graphicData>
            </a:graphic>
          </wp:inline>
        </w:drawing>
      </w:r>
      <w:r>
        <w:rPr>
          <w:color w:val="231F20"/>
          <w:spacing w:val="-23"/>
          <w:position w:val="-5"/>
          <w:sz w:val="20"/>
        </w:rPr>
      </w:r>
      <w:r>
        <w:rPr>
          <w:rFonts w:ascii="Times New Roman"/>
          <w:color w:val="231F20"/>
          <w:spacing w:val="80"/>
          <w:w w:val="150"/>
          <w:sz w:val="20"/>
        </w:rPr>
        <w:t> </w:t>
      </w:r>
      <w:r>
        <w:rPr>
          <w:rFonts w:ascii="Lucida Sans"/>
          <w:i/>
          <w:color w:val="231F20"/>
          <w:w w:val="105"/>
          <w:sz w:val="20"/>
        </w:rPr>
        <w:t>install_dir</w:t>
      </w:r>
      <w:r>
        <w:rPr>
          <w:rFonts w:ascii="Arial"/>
          <w:color w:val="231F20"/>
          <w:w w:val="105"/>
          <w:sz w:val="20"/>
        </w:rPr>
        <w:t>/cw/classes/candle/fw/resources/</w:t>
      </w:r>
    </w:p>
    <w:p>
      <w:pPr>
        <w:pStyle w:val="BodyText"/>
        <w:spacing w:line="226" w:lineRule="exact"/>
        <w:ind w:left="2764"/>
        <w:rPr>
          <w:rFonts w:ascii="Arial"/>
        </w:rPr>
      </w:pPr>
      <w:r>
        <w:rPr>
          <w:rFonts w:ascii="Arial"/>
          <w:color w:val="231F20"/>
          <w:spacing w:val="-2"/>
        </w:rPr>
        <w:t>backgrounds</w:t>
      </w:r>
    </w:p>
    <w:p>
      <w:pPr>
        <w:pStyle w:val="BodyText"/>
        <w:spacing w:before="3"/>
        <w:ind w:left="2764"/>
        <w:rPr>
          <w:rFonts w:ascii="Arial"/>
        </w:rPr>
      </w:pPr>
      <w:r>
        <w:rPr>
          <w:position w:val="-5"/>
        </w:rPr>
        <w:drawing>
          <wp:inline distT="0" distB="0" distL="0" distR="0">
            <wp:extent cx="581025" cy="123825"/>
            <wp:effectExtent l="0" t="0" r="0" b="0"/>
            <wp:docPr id="1471" name="Image 1471"/>
            <wp:cNvGraphicFramePr>
              <a:graphicFrameLocks/>
            </wp:cNvGraphicFramePr>
            <a:graphic>
              <a:graphicData uri="http://schemas.openxmlformats.org/drawingml/2006/picture">
                <pic:pic>
                  <pic:nvPicPr>
                    <pic:cNvPr id="1471" name="Image 1471"/>
                    <pic:cNvPicPr/>
                  </pic:nvPicPr>
                  <pic:blipFill>
                    <a:blip r:embed="rId206" cstate="print"/>
                    <a:stretch>
                      <a:fillRect/>
                    </a:stretch>
                  </pic:blipFill>
                  <pic:spPr>
                    <a:xfrm>
                      <a:off x="0" y="0"/>
                      <a:ext cx="581025" cy="123825"/>
                    </a:xfrm>
                    <a:prstGeom prst="rect">
                      <a:avLst/>
                    </a:prstGeom>
                  </pic:spPr>
                </pic:pic>
              </a:graphicData>
            </a:graphic>
          </wp:inline>
        </w:drawing>
      </w:r>
      <w:r>
        <w:rPr>
          <w:position w:val="-5"/>
        </w:rPr>
      </w:r>
      <w:r>
        <w:rPr>
          <w:rFonts w:ascii="Times New Roman"/>
          <w:spacing w:val="80"/>
          <w:w w:val="105"/>
        </w:rPr>
        <w:t> </w:t>
      </w:r>
      <w:r>
        <w:rPr>
          <w:rFonts w:ascii="Lucida Sans"/>
          <w:i/>
          <w:color w:val="231F20"/>
          <w:w w:val="105"/>
        </w:rPr>
        <w:t>install_dir</w:t>
      </w:r>
      <w:r>
        <w:rPr>
          <w:rFonts w:ascii="Arial"/>
          <w:color w:val="231F20"/>
          <w:w w:val="105"/>
        </w:rPr>
        <w:t>\cnb\classes\candle\fw\resources\backgrounds</w:t>
      </w:r>
    </w:p>
    <w:p>
      <w:pPr>
        <w:pStyle w:val="ListParagraph"/>
        <w:numPr>
          <w:ilvl w:val="0"/>
          <w:numId w:val="70"/>
        </w:numPr>
        <w:tabs>
          <w:tab w:pos="2763" w:val="left" w:leader="none"/>
        </w:tabs>
        <w:spacing w:line="255" w:lineRule="exact" w:before="30" w:after="0"/>
        <w:ind w:left="2763" w:right="0" w:hanging="315"/>
        <w:jc w:val="left"/>
        <w:rPr>
          <w:sz w:val="20"/>
        </w:rPr>
      </w:pPr>
      <w:r>
        <w:rPr>
          <w:color w:val="231F20"/>
          <w:sz w:val="20"/>
        </w:rPr>
        <w:t>Copy</w:t>
      </w:r>
      <w:r>
        <w:rPr>
          <w:color w:val="231F20"/>
          <w:spacing w:val="11"/>
          <w:sz w:val="20"/>
        </w:rPr>
        <w:t> </w:t>
      </w:r>
      <w:r>
        <w:rPr>
          <w:color w:val="231F20"/>
          <w:sz w:val="20"/>
        </w:rPr>
        <w:t>the</w:t>
      </w:r>
      <w:r>
        <w:rPr>
          <w:color w:val="231F20"/>
          <w:spacing w:val="11"/>
          <w:sz w:val="20"/>
        </w:rPr>
        <w:t> </w:t>
      </w:r>
      <w:r>
        <w:rPr>
          <w:color w:val="231F20"/>
          <w:sz w:val="20"/>
        </w:rPr>
        <w:t>new</w:t>
      </w:r>
      <w:r>
        <w:rPr>
          <w:color w:val="231F20"/>
          <w:spacing w:val="11"/>
          <w:sz w:val="20"/>
        </w:rPr>
        <w:t> </w:t>
      </w:r>
      <w:r>
        <w:rPr>
          <w:color w:val="231F20"/>
          <w:sz w:val="20"/>
        </w:rPr>
        <w:t>default</w:t>
      </w:r>
      <w:r>
        <w:rPr>
          <w:color w:val="231F20"/>
          <w:spacing w:val="11"/>
          <w:sz w:val="20"/>
        </w:rPr>
        <w:t> </w:t>
      </w:r>
      <w:r>
        <w:rPr>
          <w:color w:val="231F20"/>
          <w:sz w:val="20"/>
        </w:rPr>
        <w:t>graphic</w:t>
      </w:r>
      <w:r>
        <w:rPr>
          <w:color w:val="231F20"/>
          <w:spacing w:val="11"/>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same</w:t>
      </w:r>
      <w:r>
        <w:rPr>
          <w:color w:val="231F20"/>
          <w:spacing w:val="11"/>
          <w:sz w:val="20"/>
        </w:rPr>
        <w:t> </w:t>
      </w:r>
      <w:r>
        <w:rPr>
          <w:color w:val="231F20"/>
          <w:sz w:val="20"/>
        </w:rPr>
        <w:t>directory</w:t>
      </w:r>
      <w:r>
        <w:rPr>
          <w:color w:val="231F20"/>
          <w:spacing w:val="11"/>
          <w:sz w:val="20"/>
        </w:rPr>
        <w:t> </w:t>
      </w:r>
      <w:r>
        <w:rPr>
          <w:color w:val="231F20"/>
          <w:sz w:val="20"/>
        </w:rPr>
        <w:t>and</w:t>
      </w:r>
      <w:r>
        <w:rPr>
          <w:color w:val="231F20"/>
          <w:spacing w:val="12"/>
          <w:sz w:val="20"/>
        </w:rPr>
        <w:t> </w:t>
      </w:r>
      <w:r>
        <w:rPr>
          <w:color w:val="231F20"/>
          <w:sz w:val="20"/>
        </w:rPr>
        <w:t>name</w:t>
      </w:r>
      <w:r>
        <w:rPr>
          <w:color w:val="231F20"/>
          <w:spacing w:val="11"/>
          <w:sz w:val="20"/>
        </w:rPr>
        <w:t> </w:t>
      </w:r>
      <w:r>
        <w:rPr>
          <w:color w:val="231F20"/>
          <w:spacing w:val="-5"/>
          <w:sz w:val="20"/>
        </w:rPr>
        <w:t>it</w:t>
      </w:r>
    </w:p>
    <w:p>
      <w:pPr>
        <w:pStyle w:val="BodyText"/>
        <w:spacing w:line="255" w:lineRule="exact"/>
        <w:ind w:left="2764"/>
      </w:pPr>
      <w:r>
        <w:rPr>
          <w:rFonts w:ascii="Arial"/>
          <w:color w:val="231F20"/>
          <w:spacing w:val="-2"/>
          <w:w w:val="115"/>
        </w:rPr>
        <w:t>default.jpg</w:t>
      </w:r>
      <w:r>
        <w:rPr>
          <w:color w:val="231F20"/>
          <w:spacing w:val="-2"/>
          <w:w w:val="115"/>
        </w:rPr>
        <w:t>.</w:t>
      </w:r>
    </w:p>
    <w:p>
      <w:pPr>
        <w:pStyle w:val="BodyText"/>
        <w:spacing w:before="29"/>
        <w:ind w:left="2232"/>
      </w:pPr>
      <w:r>
        <w:rPr>
          <w:rFonts w:ascii="Futura MdCn BT"/>
          <w:color w:val="231F20"/>
        </w:rPr>
        <w:t>v</w:t>
      </w:r>
      <w:r>
        <w:rPr>
          <w:rFonts w:ascii="Futura MdCn BT"/>
          <w:color w:val="231F20"/>
          <w:spacing w:val="78"/>
          <w:w w:val="150"/>
        </w:rPr>
        <w:t> </w:t>
      </w:r>
      <w:r>
        <w:rPr>
          <w:color w:val="231F20"/>
        </w:rPr>
        <w:t>To</w:t>
      </w:r>
      <w:r>
        <w:rPr>
          <w:color w:val="231F20"/>
          <w:spacing w:val="11"/>
        </w:rPr>
        <w:t> </w:t>
      </w:r>
      <w:r>
        <w:rPr>
          <w:color w:val="231F20"/>
        </w:rPr>
        <w:t>change</w:t>
      </w:r>
      <w:r>
        <w:rPr>
          <w:color w:val="231F20"/>
          <w:spacing w:val="10"/>
        </w:rPr>
        <w:t> </w:t>
      </w:r>
      <w:r>
        <w:rPr>
          <w:color w:val="231F20"/>
        </w:rPr>
        <w:t>the</w:t>
      </w:r>
      <w:r>
        <w:rPr>
          <w:color w:val="231F20"/>
          <w:spacing w:val="11"/>
        </w:rPr>
        <w:t> </w:t>
      </w:r>
      <w:r>
        <w:rPr>
          <w:color w:val="231F20"/>
        </w:rPr>
        <w:t>default</w:t>
      </w:r>
      <w:r>
        <w:rPr>
          <w:color w:val="231F20"/>
          <w:spacing w:val="10"/>
        </w:rPr>
        <w:t> </w:t>
      </w:r>
      <w:r>
        <w:rPr>
          <w:color w:val="231F20"/>
        </w:rPr>
        <w:t>icons</w:t>
      </w:r>
      <w:r>
        <w:rPr>
          <w:color w:val="231F20"/>
          <w:spacing w:val="11"/>
        </w:rPr>
        <w:t> </w:t>
      </w:r>
      <w:r>
        <w:rPr>
          <w:color w:val="231F20"/>
        </w:rPr>
        <w:t>and</w:t>
      </w:r>
      <w:r>
        <w:rPr>
          <w:color w:val="231F20"/>
          <w:spacing w:val="11"/>
        </w:rPr>
        <w:t> </w:t>
      </w:r>
      <w:r>
        <w:rPr>
          <w:color w:val="231F20"/>
          <w:spacing w:val="-2"/>
        </w:rPr>
        <w:t>styles:</w:t>
      </w:r>
    </w:p>
    <w:p>
      <w:pPr>
        <w:pStyle w:val="ListParagraph"/>
        <w:numPr>
          <w:ilvl w:val="0"/>
          <w:numId w:val="71"/>
        </w:numPr>
        <w:tabs>
          <w:tab w:pos="2763" w:val="left" w:leader="none"/>
        </w:tabs>
        <w:spacing w:line="255" w:lineRule="exact" w:before="30" w:after="0"/>
        <w:ind w:left="2763" w:right="0" w:hanging="315"/>
        <w:jc w:val="left"/>
        <w:rPr>
          <w:sz w:val="20"/>
        </w:rPr>
      </w:pPr>
      <w:r>
        <w:rPr>
          <w:color w:val="231F20"/>
          <w:sz w:val="20"/>
        </w:rPr>
        <w:t>Make</w:t>
      </w:r>
      <w:r>
        <w:rPr>
          <w:color w:val="231F20"/>
          <w:spacing w:val="13"/>
          <w:sz w:val="20"/>
        </w:rPr>
        <w:t> </w:t>
      </w:r>
      <w:r>
        <w:rPr>
          <w:color w:val="231F20"/>
          <w:sz w:val="20"/>
        </w:rPr>
        <w:t>a</w:t>
      </w:r>
      <w:r>
        <w:rPr>
          <w:color w:val="231F20"/>
          <w:spacing w:val="14"/>
          <w:sz w:val="20"/>
        </w:rPr>
        <w:t> </w:t>
      </w:r>
      <w:r>
        <w:rPr>
          <w:color w:val="231F20"/>
          <w:sz w:val="20"/>
        </w:rPr>
        <w:t>backup</w:t>
      </w:r>
      <w:r>
        <w:rPr>
          <w:color w:val="231F20"/>
          <w:spacing w:val="14"/>
          <w:sz w:val="20"/>
        </w:rPr>
        <w:t> </w:t>
      </w:r>
      <w:r>
        <w:rPr>
          <w:color w:val="231F20"/>
          <w:sz w:val="20"/>
        </w:rPr>
        <w:t>copy</w:t>
      </w:r>
      <w:r>
        <w:rPr>
          <w:color w:val="231F20"/>
          <w:spacing w:val="14"/>
          <w:sz w:val="20"/>
        </w:rPr>
        <w:t> </w:t>
      </w:r>
      <w:r>
        <w:rPr>
          <w:color w:val="231F20"/>
          <w:sz w:val="20"/>
        </w:rPr>
        <w:t>of</w:t>
      </w:r>
      <w:r>
        <w:rPr>
          <w:color w:val="231F20"/>
          <w:spacing w:val="14"/>
          <w:sz w:val="20"/>
        </w:rPr>
        <w:t> </w:t>
      </w:r>
      <w:r>
        <w:rPr>
          <w:rFonts w:ascii="Arial"/>
          <w:color w:val="231F20"/>
          <w:sz w:val="20"/>
        </w:rPr>
        <w:t>$base.css</w:t>
      </w:r>
      <w:r>
        <w:rPr>
          <w:color w:val="231F20"/>
          <w:sz w:val="20"/>
        </w:rPr>
        <w:t>,</w:t>
      </w:r>
      <w:r>
        <w:rPr>
          <w:color w:val="231F20"/>
          <w:spacing w:val="14"/>
          <w:sz w:val="20"/>
        </w:rPr>
        <w:t> </w:t>
      </w:r>
      <w:r>
        <w:rPr>
          <w:rFonts w:ascii="Arial"/>
          <w:color w:val="231F20"/>
          <w:sz w:val="20"/>
        </w:rPr>
        <w:t>$baseIcon.css</w:t>
      </w:r>
      <w:r>
        <w:rPr>
          <w:color w:val="231F20"/>
          <w:sz w:val="20"/>
        </w:rPr>
        <w:t>,</w:t>
      </w:r>
      <w:r>
        <w:rPr>
          <w:color w:val="231F20"/>
          <w:spacing w:val="14"/>
          <w:sz w:val="20"/>
        </w:rPr>
        <w:t> </w:t>
      </w:r>
      <w:r>
        <w:rPr>
          <w:rFonts w:ascii="Arial"/>
          <w:color w:val="231F20"/>
          <w:sz w:val="20"/>
        </w:rPr>
        <w:t>$baseLargeIcon.css</w:t>
      </w:r>
      <w:r>
        <w:rPr>
          <w:color w:val="231F20"/>
          <w:sz w:val="20"/>
        </w:rPr>
        <w:t>,</w:t>
      </w:r>
      <w:r>
        <w:rPr>
          <w:color w:val="231F20"/>
          <w:spacing w:val="14"/>
          <w:sz w:val="20"/>
        </w:rPr>
        <w:t> </w:t>
      </w:r>
      <w:r>
        <w:rPr>
          <w:color w:val="231F20"/>
          <w:spacing w:val="-5"/>
          <w:sz w:val="20"/>
        </w:rPr>
        <w:t>and</w:t>
      </w:r>
    </w:p>
    <w:p>
      <w:pPr>
        <w:pStyle w:val="BodyText"/>
        <w:spacing w:line="239" w:lineRule="exact"/>
        <w:ind w:left="2764"/>
      </w:pPr>
      <w:r>
        <w:rPr>
          <w:rFonts w:ascii="Arial"/>
          <w:color w:val="231F20"/>
        </w:rPr>
        <w:t>$baseNodeState.css</w:t>
      </w:r>
      <w:r>
        <w:rPr>
          <w:rFonts w:ascii="Arial"/>
          <w:color w:val="231F20"/>
          <w:spacing w:val="-7"/>
        </w:rPr>
        <w:t> </w:t>
      </w:r>
      <w:r>
        <w:rPr>
          <w:color w:val="231F20"/>
        </w:rPr>
        <w:t>in the styles </w:t>
      </w:r>
      <w:r>
        <w:rPr>
          <w:color w:val="231F20"/>
          <w:spacing w:val="-2"/>
        </w:rPr>
        <w:t>directory:</w:t>
      </w:r>
    </w:p>
    <w:p>
      <w:pPr>
        <w:tabs>
          <w:tab w:pos="5110" w:val="left" w:leader="none"/>
        </w:tabs>
        <w:spacing w:line="255" w:lineRule="exact" w:before="0"/>
        <w:ind w:left="3805" w:right="0" w:firstLine="0"/>
        <w:jc w:val="left"/>
        <w:rPr>
          <w:rFonts w:ascii="Arial"/>
          <w:sz w:val="20"/>
        </w:rPr>
      </w:pPr>
      <w:r>
        <w:rPr/>
        <w:drawing>
          <wp:anchor distT="0" distB="0" distL="0" distR="0" allowOverlap="1" layoutInCell="1" locked="0" behindDoc="0" simplePos="0" relativeHeight="15834624">
            <wp:simplePos x="0" y="0"/>
            <wp:positionH relativeFrom="page">
              <wp:posOffset>2390616</wp:posOffset>
            </wp:positionH>
            <wp:positionV relativeFrom="paragraph">
              <wp:posOffset>38048</wp:posOffset>
            </wp:positionV>
            <wp:extent cx="581025" cy="123825"/>
            <wp:effectExtent l="0" t="0" r="0" b="0"/>
            <wp:wrapNone/>
            <wp:docPr id="1472" name="Image 1472"/>
            <wp:cNvGraphicFramePr>
              <a:graphicFrameLocks/>
            </wp:cNvGraphicFramePr>
            <a:graphic>
              <a:graphicData uri="http://schemas.openxmlformats.org/drawingml/2006/picture">
                <pic:pic>
                  <pic:nvPicPr>
                    <pic:cNvPr id="1472" name="Image 1472"/>
                    <pic:cNvPicPr/>
                  </pic:nvPicPr>
                  <pic:blipFill>
                    <a:blip r:embed="rId204" cstate="print"/>
                    <a:stretch>
                      <a:fillRect/>
                    </a:stretch>
                  </pic:blipFill>
                  <pic:spPr>
                    <a:xfrm>
                      <a:off x="0" y="0"/>
                      <a:ext cx="581025" cy="123825"/>
                    </a:xfrm>
                    <a:prstGeom prst="rect">
                      <a:avLst/>
                    </a:prstGeom>
                  </pic:spPr>
                </pic:pic>
              </a:graphicData>
            </a:graphic>
          </wp:anchor>
        </w:drawing>
      </w:r>
      <w:r>
        <w:rPr/>
        <w:drawing>
          <wp:anchor distT="0" distB="0" distL="0" distR="0" allowOverlap="1" layoutInCell="1" locked="0" behindDoc="1" simplePos="0" relativeHeight="473230848">
            <wp:simplePos x="0" y="0"/>
            <wp:positionH relativeFrom="page">
              <wp:posOffset>3219731</wp:posOffset>
            </wp:positionH>
            <wp:positionV relativeFrom="paragraph">
              <wp:posOffset>38048</wp:posOffset>
            </wp:positionV>
            <wp:extent cx="581025" cy="123825"/>
            <wp:effectExtent l="0" t="0" r="0" b="0"/>
            <wp:wrapNone/>
            <wp:docPr id="1473" name="Image 1473"/>
            <wp:cNvGraphicFramePr>
              <a:graphicFrameLocks/>
            </wp:cNvGraphicFramePr>
            <a:graphic>
              <a:graphicData uri="http://schemas.openxmlformats.org/drawingml/2006/picture">
                <pic:pic>
                  <pic:nvPicPr>
                    <pic:cNvPr id="1473" name="Image 1473"/>
                    <pic:cNvPicPr/>
                  </pic:nvPicPr>
                  <pic:blipFill>
                    <a:blip r:embed="rId205" cstate="print"/>
                    <a:stretch>
                      <a:fillRect/>
                    </a:stretch>
                  </pic:blipFill>
                  <pic:spPr>
                    <a:xfrm>
                      <a:off x="0" y="0"/>
                      <a:ext cx="581025" cy="123825"/>
                    </a:xfrm>
                    <a:prstGeom prst="rect">
                      <a:avLst/>
                    </a:prstGeom>
                  </pic:spPr>
                </pic:pic>
              </a:graphicData>
            </a:graphic>
          </wp:anchor>
        </w:drawing>
      </w:r>
      <w:r>
        <w:rPr>
          <w:color w:val="231F20"/>
          <w:spacing w:val="-5"/>
          <w:w w:val="105"/>
          <w:sz w:val="20"/>
        </w:rPr>
        <w:t>or</w:t>
      </w:r>
      <w:r>
        <w:rPr>
          <w:color w:val="231F20"/>
          <w:sz w:val="20"/>
        </w:rPr>
        <w:tab/>
      </w:r>
      <w:r>
        <w:rPr>
          <w:rFonts w:ascii="Lucida Sans"/>
          <w:i/>
          <w:color w:val="231F20"/>
          <w:spacing w:val="-2"/>
          <w:w w:val="105"/>
          <w:sz w:val="20"/>
        </w:rPr>
        <w:t>install_dir</w:t>
      </w:r>
      <w:r>
        <w:rPr>
          <w:rFonts w:ascii="Arial"/>
          <w:color w:val="231F20"/>
          <w:spacing w:val="-2"/>
          <w:w w:val="105"/>
          <w:sz w:val="20"/>
        </w:rPr>
        <w:t>/cw/classes/candle/fw/resources/</w:t>
      </w:r>
    </w:p>
    <w:p>
      <w:pPr>
        <w:pStyle w:val="BodyText"/>
        <w:spacing w:line="222" w:lineRule="exact"/>
        <w:ind w:left="2764"/>
        <w:rPr>
          <w:rFonts w:ascii="Arial"/>
        </w:rPr>
      </w:pPr>
      <w:r>
        <w:rPr>
          <w:rFonts w:ascii="Arial"/>
          <w:color w:val="231F20"/>
          <w:spacing w:val="-2"/>
          <w:w w:val="115"/>
        </w:rPr>
        <w:t>styles</w:t>
      </w:r>
    </w:p>
    <w:p>
      <w:pPr>
        <w:spacing w:before="3"/>
        <w:ind w:left="3827" w:right="0" w:firstLine="0"/>
        <w:jc w:val="left"/>
        <w:rPr>
          <w:rFonts w:ascii="Arial"/>
          <w:sz w:val="20"/>
        </w:rPr>
      </w:pPr>
      <w:r>
        <w:rPr/>
        <w:drawing>
          <wp:anchor distT="0" distB="0" distL="0" distR="0" allowOverlap="1" layoutInCell="1" locked="0" behindDoc="0" simplePos="0" relativeHeight="15835648">
            <wp:simplePos x="0" y="0"/>
            <wp:positionH relativeFrom="page">
              <wp:posOffset>2390616</wp:posOffset>
            </wp:positionH>
            <wp:positionV relativeFrom="paragraph">
              <wp:posOffset>39341</wp:posOffset>
            </wp:positionV>
            <wp:extent cx="581025" cy="123825"/>
            <wp:effectExtent l="0" t="0" r="0" b="0"/>
            <wp:wrapNone/>
            <wp:docPr id="1474" name="Image 1474"/>
            <wp:cNvGraphicFramePr>
              <a:graphicFrameLocks/>
            </wp:cNvGraphicFramePr>
            <a:graphic>
              <a:graphicData uri="http://schemas.openxmlformats.org/drawingml/2006/picture">
                <pic:pic>
                  <pic:nvPicPr>
                    <pic:cNvPr id="1474" name="Image 1474"/>
                    <pic:cNvPicPr/>
                  </pic:nvPicPr>
                  <pic:blipFill>
                    <a:blip r:embed="rId206" cstate="print"/>
                    <a:stretch>
                      <a:fillRect/>
                    </a:stretch>
                  </pic:blipFill>
                  <pic:spPr>
                    <a:xfrm>
                      <a:off x="0" y="0"/>
                      <a:ext cx="581025" cy="123825"/>
                    </a:xfrm>
                    <a:prstGeom prst="rect">
                      <a:avLst/>
                    </a:prstGeom>
                  </pic:spPr>
                </pic:pic>
              </a:graphicData>
            </a:graphic>
          </wp:anchor>
        </w:drawing>
      </w:r>
      <w:r>
        <w:rPr>
          <w:rFonts w:ascii="Lucida Sans"/>
          <w:i/>
          <w:color w:val="231F20"/>
          <w:spacing w:val="-2"/>
          <w:w w:val="110"/>
          <w:sz w:val="20"/>
        </w:rPr>
        <w:t>install_dir</w:t>
      </w:r>
      <w:r>
        <w:rPr>
          <w:rFonts w:ascii="Arial"/>
          <w:color w:val="231F20"/>
          <w:spacing w:val="-2"/>
          <w:w w:val="110"/>
          <w:sz w:val="20"/>
        </w:rPr>
        <w:t>\cnb\classes\candle\fw\resources\styles</w:t>
      </w:r>
    </w:p>
    <w:p>
      <w:pPr>
        <w:pStyle w:val="ListParagraph"/>
        <w:numPr>
          <w:ilvl w:val="0"/>
          <w:numId w:val="71"/>
        </w:numPr>
        <w:tabs>
          <w:tab w:pos="2764" w:val="left" w:leader="none"/>
        </w:tabs>
        <w:spacing w:line="213" w:lineRule="auto" w:before="71" w:after="0"/>
        <w:ind w:left="2764" w:right="651" w:hanging="316"/>
        <w:jc w:val="left"/>
        <w:rPr>
          <w:sz w:val="20"/>
        </w:rPr>
      </w:pPr>
      <w:r>
        <w:rPr>
          <w:color w:val="231F20"/>
          <w:sz w:val="20"/>
        </w:rPr>
        <w:t>Edit the original style sheets to reference the images that you want as the defaults. All users connecting to this portal server will get this default </w:t>
      </w:r>
      <w:r>
        <w:rPr>
          <w:color w:val="231F20"/>
          <w:sz w:val="20"/>
        </w:rPr>
        <w:t>icon </w:t>
      </w:r>
      <w:bookmarkStart w:name="Adding a situation event console view" w:id="244"/>
      <w:bookmarkEnd w:id="244"/>
      <w:r>
        <w:rPr>
          <w:color w:val="231F20"/>
          <w:sz w:val="20"/>
        </w:rPr>
        <w:t>images</w:t>
      </w:r>
      <w:r>
        <w:rPr>
          <w:color w:val="231F20"/>
          <w:sz w:val="20"/>
        </w:rPr>
        <w:t> whenever they create a new graphic view.</w:t>
      </w:r>
    </w:p>
    <w:p>
      <w:pPr>
        <w:pStyle w:val="Heading3"/>
        <w:spacing w:before="216"/>
        <w:ind w:left="1334"/>
      </w:pPr>
      <w:r>
        <w:rPr>
          <w:color w:val="231F20"/>
        </w:rPr>
        <w:t>Adding</w:t>
      </w:r>
      <w:r>
        <w:rPr>
          <w:color w:val="231F20"/>
          <w:spacing w:val="6"/>
        </w:rPr>
        <w:t> </w:t>
      </w:r>
      <w:r>
        <w:rPr>
          <w:color w:val="231F20"/>
        </w:rPr>
        <w:t>a</w:t>
      </w:r>
      <w:r>
        <w:rPr>
          <w:color w:val="231F20"/>
          <w:spacing w:val="7"/>
        </w:rPr>
        <w:t> </w:t>
      </w:r>
      <w:r>
        <w:rPr>
          <w:color w:val="231F20"/>
        </w:rPr>
        <w:t>situation</w:t>
      </w:r>
      <w:r>
        <w:rPr>
          <w:color w:val="231F20"/>
          <w:spacing w:val="7"/>
        </w:rPr>
        <w:t> </w:t>
      </w:r>
      <w:r>
        <w:rPr>
          <w:color w:val="231F20"/>
        </w:rPr>
        <w:t>event</w:t>
      </w:r>
      <w:r>
        <w:rPr>
          <w:color w:val="231F20"/>
          <w:spacing w:val="7"/>
        </w:rPr>
        <w:t> </w:t>
      </w:r>
      <w:r>
        <w:rPr>
          <w:color w:val="231F20"/>
        </w:rPr>
        <w:t>console</w:t>
      </w:r>
      <w:r>
        <w:rPr>
          <w:color w:val="231F20"/>
          <w:spacing w:val="7"/>
        </w:rPr>
        <w:t> </w:t>
      </w:r>
      <w:r>
        <w:rPr>
          <w:color w:val="231F20"/>
          <w:spacing w:val="-4"/>
        </w:rPr>
        <w:t>view</w:t>
      </w:r>
    </w:p>
    <w:p>
      <w:pPr>
        <w:pStyle w:val="BodyText"/>
        <w:spacing w:line="213" w:lineRule="auto" w:before="58"/>
        <w:ind w:left="2232" w:right="636"/>
      </w:pPr>
      <w:r>
        <w:rPr>
          <w:color w:val="231F20"/>
        </w:rPr>
        <w:t>You can add a situation event console view to list each alert for situations associated with the current Navigator item and those it subsumes.</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This</w:t>
      </w:r>
      <w:r>
        <w:rPr>
          <w:color w:val="231F20"/>
          <w:spacing w:val="8"/>
        </w:rPr>
        <w:t> </w:t>
      </w:r>
      <w:r>
        <w:rPr>
          <w:color w:val="231F20"/>
        </w:rPr>
        <w:t>feature</w:t>
      </w:r>
      <w:r>
        <w:rPr>
          <w:color w:val="231F20"/>
          <w:spacing w:val="8"/>
        </w:rPr>
        <w:t> </w:t>
      </w:r>
      <w:r>
        <w:rPr>
          <w:color w:val="231F20"/>
        </w:rPr>
        <w:t>requires</w:t>
      </w:r>
      <w:r>
        <w:rPr>
          <w:color w:val="231F20"/>
          <w:spacing w:val="8"/>
        </w:rPr>
        <w:t> </w:t>
      </w:r>
      <w:r>
        <w:rPr>
          <w:color w:val="231F20"/>
        </w:rPr>
        <w:t>your</w:t>
      </w:r>
      <w:r>
        <w:rPr>
          <w:color w:val="231F20"/>
          <w:spacing w:val="8"/>
        </w:rPr>
        <w:t> </w:t>
      </w:r>
      <w:r>
        <w:rPr>
          <w:color w:val="231F20"/>
        </w:rPr>
        <w:t>user</w:t>
      </w:r>
      <w:r>
        <w:rPr>
          <w:color w:val="231F20"/>
          <w:spacing w:val="8"/>
        </w:rPr>
        <w:t> </w:t>
      </w:r>
      <w:r>
        <w:rPr>
          <w:color w:val="231F20"/>
        </w:rPr>
        <w:t>ID</w:t>
      </w:r>
      <w:r>
        <w:rPr>
          <w:color w:val="231F20"/>
          <w:spacing w:val="8"/>
        </w:rPr>
        <w:t> </w:t>
      </w:r>
      <w:r>
        <w:rPr>
          <w:color w:val="231F20"/>
        </w:rPr>
        <w:t>to</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8"/>
        </w:rPr>
        <w:t> </w:t>
      </w:r>
      <w:r>
        <w:rPr>
          <w:color w:val="231F20"/>
          <w:spacing w:val="-2"/>
        </w:rPr>
        <w:t>permission.</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402"/>
      </w:pPr>
      <w:r>
        <w:rPr>
          <w:color w:val="231F20"/>
        </w:rPr>
        <w:t>The situation event console view adds a row for every event status change for situations</w:t>
      </w:r>
      <w:r>
        <w:rPr>
          <w:color w:val="231F20"/>
          <w:spacing w:val="26"/>
        </w:rPr>
        <w:t> </w:t>
      </w:r>
      <w:r>
        <w:rPr>
          <w:color w:val="231F20"/>
        </w:rPr>
        <w:t>associated</w:t>
      </w:r>
      <w:r>
        <w:rPr>
          <w:color w:val="231F20"/>
          <w:spacing w:val="26"/>
        </w:rPr>
        <w:t> </w:t>
      </w:r>
      <w:r>
        <w:rPr>
          <w:color w:val="231F20"/>
        </w:rPr>
        <w:t>with</w:t>
      </w:r>
      <w:r>
        <w:rPr>
          <w:color w:val="231F20"/>
          <w:spacing w:val="26"/>
        </w:rPr>
        <w:t> </w:t>
      </w:r>
      <w:r>
        <w:rPr>
          <w:color w:val="231F20"/>
        </w:rPr>
        <w:t>this</w:t>
      </w:r>
      <w:r>
        <w:rPr>
          <w:color w:val="231F20"/>
          <w:spacing w:val="26"/>
        </w:rPr>
        <w:t> </w:t>
      </w:r>
      <w:r>
        <w:rPr>
          <w:color w:val="231F20"/>
        </w:rPr>
        <w:t>branch</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Navigator,</w:t>
      </w:r>
      <w:r>
        <w:rPr>
          <w:color w:val="231F20"/>
          <w:spacing w:val="26"/>
        </w:rPr>
        <w:t> </w:t>
      </w:r>
      <w:r>
        <w:rPr>
          <w:color w:val="231F20"/>
        </w:rPr>
        <w:t>up</w:t>
      </w:r>
      <w:r>
        <w:rPr>
          <w:color w:val="231F20"/>
          <w:spacing w:val="26"/>
        </w:rPr>
        <w:t> </w:t>
      </w:r>
      <w:r>
        <w:rPr>
          <w:color w:val="231F20"/>
        </w:rPr>
        <w:t>to</w:t>
      </w:r>
      <w:r>
        <w:rPr>
          <w:color w:val="231F20"/>
          <w:spacing w:val="26"/>
        </w:rPr>
        <w:t> </w:t>
      </w:r>
      <w:r>
        <w:rPr>
          <w:color w:val="231F20"/>
        </w:rPr>
        <w:t>100</w:t>
      </w:r>
      <w:r>
        <w:rPr>
          <w:color w:val="231F20"/>
          <w:spacing w:val="26"/>
        </w:rPr>
        <w:t> </w:t>
      </w:r>
      <w:r>
        <w:rPr>
          <w:color w:val="231F20"/>
        </w:rPr>
        <w:t>rows.</w:t>
      </w:r>
      <w:r>
        <w:rPr>
          <w:color w:val="231F20"/>
          <w:spacing w:val="26"/>
        </w:rPr>
        <w:t> </w:t>
      </w:r>
      <w:r>
        <w:rPr>
          <w:color w:val="231F20"/>
        </w:rPr>
        <w:t>The</w:t>
      </w:r>
      <w:r>
        <w:rPr>
          <w:color w:val="231F20"/>
        </w:rPr>
        <w:t> console</w:t>
      </w:r>
      <w:r>
        <w:rPr>
          <w:color w:val="231F20"/>
          <w:spacing w:val="22"/>
        </w:rPr>
        <w:t> </w:t>
      </w:r>
      <w:r>
        <w:rPr>
          <w:color w:val="231F20"/>
        </w:rPr>
        <w:t>has</w:t>
      </w:r>
      <w:r>
        <w:rPr>
          <w:color w:val="231F20"/>
          <w:spacing w:val="22"/>
        </w:rPr>
        <w:t> </w:t>
      </w:r>
      <w:r>
        <w:rPr>
          <w:color w:val="231F20"/>
        </w:rPr>
        <w:t>a</w:t>
      </w:r>
      <w:r>
        <w:rPr>
          <w:color w:val="231F20"/>
          <w:spacing w:val="22"/>
        </w:rPr>
        <w:t> </w:t>
      </w:r>
      <w:r>
        <w:rPr>
          <w:color w:val="231F20"/>
        </w:rPr>
        <w:t>toolbar</w:t>
      </w:r>
      <w:r>
        <w:rPr>
          <w:color w:val="231F20"/>
          <w:spacing w:val="22"/>
        </w:rPr>
        <w:t> </w:t>
      </w:r>
      <w:r>
        <w:rPr>
          <w:color w:val="231F20"/>
        </w:rPr>
        <w:t>for</w:t>
      </w:r>
      <w:r>
        <w:rPr>
          <w:color w:val="231F20"/>
          <w:spacing w:val="22"/>
        </w:rPr>
        <w:t> </w:t>
      </w:r>
      <w:r>
        <w:rPr>
          <w:color w:val="231F20"/>
        </w:rPr>
        <w:t>filtering</w:t>
      </w:r>
      <w:r>
        <w:rPr>
          <w:color w:val="231F20"/>
          <w:spacing w:val="22"/>
        </w:rPr>
        <w:t> </w:t>
      </w:r>
      <w:r>
        <w:rPr>
          <w:color w:val="231F20"/>
        </w:rPr>
        <w:t>the</w:t>
      </w:r>
      <w:r>
        <w:rPr>
          <w:color w:val="231F20"/>
          <w:spacing w:val="22"/>
        </w:rPr>
        <w:t> </w:t>
      </w:r>
      <w:r>
        <w:rPr>
          <w:color w:val="231F20"/>
        </w:rPr>
        <w:t>view</w:t>
      </w:r>
      <w:r>
        <w:rPr>
          <w:color w:val="231F20"/>
          <w:spacing w:val="22"/>
        </w:rPr>
        <w:t> </w:t>
      </w:r>
      <w:r>
        <w:rPr>
          <w:color w:val="231F20"/>
        </w:rPr>
        <w:t>to</w:t>
      </w:r>
      <w:r>
        <w:rPr>
          <w:color w:val="231F20"/>
          <w:spacing w:val="22"/>
        </w:rPr>
        <w:t> </w:t>
      </w:r>
      <w:r>
        <w:rPr>
          <w:color w:val="231F20"/>
        </w:rPr>
        <w:t>show</w:t>
      </w:r>
      <w:r>
        <w:rPr>
          <w:color w:val="231F20"/>
          <w:spacing w:val="22"/>
        </w:rPr>
        <w:t> </w:t>
      </w:r>
      <w:r>
        <w:rPr>
          <w:color w:val="231F20"/>
        </w:rPr>
        <w:t>only</w:t>
      </w:r>
      <w:r>
        <w:rPr>
          <w:color w:val="231F20"/>
          <w:spacing w:val="22"/>
        </w:rPr>
        <w:t> </w:t>
      </w:r>
      <w:r>
        <w:rPr>
          <w:color w:val="231F20"/>
        </w:rPr>
        <w:t>the</w:t>
      </w:r>
      <w:r>
        <w:rPr>
          <w:color w:val="231F20"/>
          <w:spacing w:val="22"/>
        </w:rPr>
        <w:t> </w:t>
      </w:r>
      <w:r>
        <w:rPr>
          <w:color w:val="231F20"/>
        </w:rPr>
        <w:t>events</w:t>
      </w:r>
      <w:r>
        <w:rPr>
          <w:color w:val="231F20"/>
          <w:spacing w:val="22"/>
        </w:rPr>
        <w:t> </w:t>
      </w:r>
      <w:r>
        <w:rPr>
          <w:color w:val="231F20"/>
        </w:rPr>
        <w:t>that</w:t>
      </w:r>
      <w:r>
        <w:rPr>
          <w:color w:val="231F20"/>
          <w:spacing w:val="22"/>
        </w:rPr>
        <w:t> </w:t>
      </w:r>
      <w:r>
        <w:rPr>
          <w:color w:val="231F20"/>
        </w:rPr>
        <w:t>you</w:t>
      </w:r>
      <w:r>
        <w:rPr>
          <w:color w:val="231F20"/>
          <w:spacing w:val="22"/>
        </w:rPr>
        <w:t> </w:t>
      </w:r>
      <w:r>
        <w:rPr>
          <w:color w:val="231F20"/>
        </w:rPr>
        <w:t>want to</w:t>
      </w:r>
      <w:r>
        <w:rPr>
          <w:color w:val="231F20"/>
          <w:spacing w:val="11"/>
        </w:rPr>
        <w:t> </w:t>
      </w:r>
      <w:r>
        <w:rPr>
          <w:color w:val="231F20"/>
        </w:rPr>
        <w:t>see</w:t>
      </w:r>
      <w:r>
        <w:rPr>
          <w:color w:val="231F20"/>
          <w:spacing w:val="11"/>
        </w:rPr>
        <w:t> </w:t>
      </w:r>
      <w:r>
        <w:rPr>
          <w:color w:val="231F20"/>
        </w:rPr>
        <w:t>and</w:t>
      </w:r>
      <w:r>
        <w:rPr>
          <w:color w:val="231F20"/>
          <w:spacing w:val="11"/>
        </w:rPr>
        <w:t> </w:t>
      </w:r>
      <w:r>
        <w:rPr>
          <w:color w:val="231F20"/>
        </w:rPr>
        <w:t>a</w:t>
      </w:r>
      <w:r>
        <w:rPr>
          <w:color w:val="231F20"/>
          <w:spacing w:val="11"/>
        </w:rPr>
        <w:t> </w:t>
      </w:r>
      <w:r>
        <w:rPr>
          <w:color w:val="231F20"/>
        </w:rPr>
        <w:t>pop-up</w:t>
      </w:r>
      <w:r>
        <w:rPr>
          <w:color w:val="231F20"/>
          <w:spacing w:val="11"/>
        </w:rPr>
        <w:t> </w:t>
      </w:r>
      <w:r>
        <w:rPr>
          <w:color w:val="231F20"/>
        </w:rPr>
        <w:t>menu</w:t>
      </w:r>
      <w:r>
        <w:rPr>
          <w:color w:val="231F20"/>
          <w:spacing w:val="11"/>
        </w:rPr>
        <w:t> </w:t>
      </w:r>
      <w:r>
        <w:rPr>
          <w:color w:val="231F20"/>
        </w:rPr>
        <w:t>with</w:t>
      </w:r>
      <w:r>
        <w:rPr>
          <w:color w:val="231F20"/>
          <w:spacing w:val="11"/>
        </w:rPr>
        <w:t> </w:t>
      </w:r>
      <w:r>
        <w:rPr>
          <w:color w:val="231F20"/>
        </w:rPr>
        <w:t>items</w:t>
      </w:r>
      <w:r>
        <w:rPr>
          <w:color w:val="231F20"/>
          <w:spacing w:val="11"/>
        </w:rPr>
        <w:t> </w:t>
      </w:r>
      <w:r>
        <w:rPr>
          <w:color w:val="231F20"/>
        </w:rPr>
        <w:t>for</w:t>
      </w:r>
      <w:r>
        <w:rPr>
          <w:color w:val="231F20"/>
          <w:spacing w:val="11"/>
        </w:rPr>
        <w:t> </w:t>
      </w:r>
      <w:r>
        <w:rPr>
          <w:color w:val="231F20"/>
        </w:rPr>
        <w:t>managing</w:t>
      </w:r>
      <w:r>
        <w:rPr>
          <w:color w:val="231F20"/>
          <w:spacing w:val="11"/>
        </w:rPr>
        <w:t> </w:t>
      </w:r>
      <w:r>
        <w:rPr>
          <w:color w:val="231F20"/>
        </w:rPr>
        <w:t>events.</w:t>
      </w:r>
      <w:r>
        <w:rPr>
          <w:color w:val="231F20"/>
          <w:spacing w:val="11"/>
        </w:rPr>
        <w:t> </w:t>
      </w:r>
      <w:r>
        <w:rPr>
          <w:color w:val="231F20"/>
        </w:rPr>
        <w:t>Take</w:t>
      </w:r>
      <w:r>
        <w:rPr>
          <w:color w:val="231F20"/>
          <w:spacing w:val="11"/>
        </w:rPr>
        <w:t> </w:t>
      </w:r>
      <w:r>
        <w:rPr>
          <w:color w:val="231F20"/>
        </w:rPr>
        <w:t>these</w:t>
      </w:r>
      <w:r>
        <w:rPr>
          <w:color w:val="231F20"/>
          <w:spacing w:val="11"/>
        </w:rPr>
        <w:t> </w:t>
      </w:r>
      <w:r>
        <w:rPr>
          <w:color w:val="231F20"/>
        </w:rPr>
        <w:t>steps</w:t>
      </w:r>
      <w:r>
        <w:rPr>
          <w:color w:val="231F20"/>
          <w:spacing w:val="11"/>
        </w:rPr>
        <w:t> </w:t>
      </w:r>
      <w:r>
        <w:rPr>
          <w:color w:val="231F20"/>
        </w:rPr>
        <w:t>to</w:t>
      </w:r>
      <w:r>
        <w:rPr>
          <w:color w:val="231F20"/>
          <w:spacing w:val="11"/>
        </w:rPr>
        <w:t> </w:t>
      </w:r>
      <w:r>
        <w:rPr>
          <w:color w:val="231F20"/>
        </w:rPr>
        <w:t>add a situation event console view to a workspace:</w:t>
      </w:r>
    </w:p>
    <w:p>
      <w:pPr>
        <w:pStyle w:val="Heading4"/>
        <w:spacing w:before="198"/>
      </w:pPr>
      <w:r>
        <w:rPr>
          <w:color w:val="231F20"/>
          <w:spacing w:val="-2"/>
        </w:rPr>
        <w:t>Procedure</w:t>
      </w:r>
    </w:p>
    <w:p>
      <w:pPr>
        <w:pStyle w:val="ListParagraph"/>
        <w:numPr>
          <w:ilvl w:val="0"/>
          <w:numId w:val="72"/>
        </w:numPr>
        <w:tabs>
          <w:tab w:pos="2547" w:val="left" w:leader="none"/>
        </w:tabs>
        <w:spacing w:line="240" w:lineRule="auto" w:before="39" w:after="0"/>
        <w:ind w:left="254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to</w:t>
      </w:r>
      <w:r>
        <w:rPr>
          <w:color w:val="231F20"/>
          <w:spacing w:val="10"/>
          <w:sz w:val="20"/>
        </w:rPr>
        <w:t> </w:t>
      </w:r>
      <w:r>
        <w:rPr>
          <w:color w:val="231F20"/>
          <w:sz w:val="20"/>
        </w:rPr>
        <w:t>add</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1"/>
          <w:sz w:val="20"/>
        </w:rPr>
        <w:t> </w:t>
      </w:r>
      <w:r>
        <w:rPr>
          <w:color w:val="231F20"/>
          <w:sz w:val="20"/>
        </w:rPr>
        <w:t>event</w:t>
      </w:r>
      <w:r>
        <w:rPr>
          <w:color w:val="231F20"/>
          <w:spacing w:val="11"/>
          <w:sz w:val="20"/>
        </w:rPr>
        <w:t> </w:t>
      </w:r>
      <w:r>
        <w:rPr>
          <w:color w:val="231F20"/>
          <w:sz w:val="20"/>
        </w:rPr>
        <w:t>console</w:t>
      </w:r>
      <w:r>
        <w:rPr>
          <w:color w:val="231F20"/>
          <w:spacing w:val="11"/>
          <w:sz w:val="20"/>
        </w:rPr>
        <w:t> </w:t>
      </w:r>
      <w:r>
        <w:rPr>
          <w:color w:val="231F20"/>
          <w:spacing w:val="-2"/>
          <w:sz w:val="20"/>
        </w:rPr>
        <w:t>view.</w:t>
      </w:r>
    </w:p>
    <w:p>
      <w:pPr>
        <w:spacing w:after="0" w:line="240" w:lineRule="auto"/>
        <w:jc w:val="left"/>
        <w:rPr>
          <w:sz w:val="20"/>
        </w:rPr>
        <w:sectPr>
          <w:pgSz w:w="12240" w:h="15840"/>
          <w:pgMar w:header="0" w:footer="736" w:top="1180" w:bottom="920" w:left="1000" w:right="1060"/>
        </w:sectPr>
      </w:pPr>
    </w:p>
    <w:p>
      <w:pPr>
        <w:pStyle w:val="ListParagraph"/>
        <w:numPr>
          <w:ilvl w:val="0"/>
          <w:numId w:val="72"/>
        </w:numPr>
        <w:tabs>
          <w:tab w:pos="2788" w:val="left" w:leader="none"/>
        </w:tabs>
        <w:spacing w:line="213" w:lineRule="auto" w:before="85" w:after="0"/>
        <w:ind w:left="2788" w:right="164" w:hanging="316"/>
        <w:jc w:val="left"/>
        <w:rPr>
          <w:sz w:val="20"/>
        </w:rPr>
      </w:pPr>
      <w:bookmarkStart w:name="_bookmark114" w:id="245"/>
      <w:bookmarkEnd w:id="245"/>
      <w:r>
        <w:rPr/>
      </w: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475" name="Image 1475"/>
            <wp:cNvGraphicFramePr>
              <a:graphicFrameLocks/>
            </wp:cNvGraphicFramePr>
            <a:graphic>
              <a:graphicData uri="http://schemas.openxmlformats.org/drawingml/2006/picture">
                <pic:pic>
                  <pic:nvPicPr>
                    <pic:cNvPr id="1475" name="Image 1475"/>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476" name="Image 1476"/>
            <wp:cNvGraphicFramePr>
              <a:graphicFrameLocks/>
            </wp:cNvGraphicFramePr>
            <a:graphic>
              <a:graphicData uri="http://schemas.openxmlformats.org/drawingml/2006/picture">
                <pic:pic>
                  <pic:nvPicPr>
                    <pic:cNvPr id="1476" name="Image 1476"/>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72"/>
        </w:numPr>
        <w:tabs>
          <w:tab w:pos="2786" w:val="left" w:leader="none"/>
          <w:tab w:pos="2788" w:val="left" w:leader="none"/>
        </w:tabs>
        <w:spacing w:line="213" w:lineRule="auto" w:before="57" w:after="0"/>
        <w:ind w:left="2788" w:right="324" w:hanging="317"/>
        <w:jc w:val="both"/>
        <w:rPr>
          <w:sz w:val="20"/>
        </w:rPr>
      </w:pPr>
      <w:r>
        <w:rPr>
          <w:color w:val="231F20"/>
          <w:sz w:val="20"/>
        </w:rPr>
        <w:t>Click </w:t>
      </w:r>
      <w:r>
        <w:rPr>
          <w:color w:val="231F20"/>
          <w:spacing w:val="-24"/>
          <w:position w:val="-1"/>
          <w:sz w:val="20"/>
        </w:rPr>
        <w:drawing>
          <wp:inline distT="0" distB="0" distL="0" distR="0">
            <wp:extent cx="95250" cy="95250"/>
            <wp:effectExtent l="0" t="0" r="0" b="0"/>
            <wp:docPr id="1477" name="Image 1477"/>
            <wp:cNvGraphicFramePr>
              <a:graphicFrameLocks/>
            </wp:cNvGraphicFramePr>
            <a:graphic>
              <a:graphicData uri="http://schemas.openxmlformats.org/drawingml/2006/picture">
                <pic:pic>
                  <pic:nvPicPr>
                    <pic:cNvPr id="1477" name="Image 1477"/>
                    <pic:cNvPicPr/>
                  </pic:nvPicPr>
                  <pic:blipFill>
                    <a:blip r:embed="rId5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40"/>
          <w:sz w:val="20"/>
        </w:rPr>
        <w:t> </w:t>
      </w:r>
      <w:r>
        <w:rPr>
          <w:color w:val="231F20"/>
          <w:sz w:val="20"/>
        </w:rPr>
        <w:t>Situation Event Console. The mouse pointer changes to the view </w:t>
      </w:r>
      <w:r>
        <w:rPr>
          <w:color w:val="231F20"/>
          <w:sz w:val="20"/>
        </w:rPr>
        <w:t>icon (hand icon in Linux). If you get the wrong icon or decide not to add the view, press Escape or click somewhere in the main toolbar.</w:t>
      </w:r>
    </w:p>
    <w:p>
      <w:pPr>
        <w:pStyle w:val="ListParagraph"/>
        <w:numPr>
          <w:ilvl w:val="0"/>
          <w:numId w:val="72"/>
        </w:numPr>
        <w:tabs>
          <w:tab w:pos="2788" w:val="left" w:leader="none"/>
        </w:tabs>
        <w:spacing w:line="213" w:lineRule="auto" w:before="58" w:after="0"/>
        <w:ind w:left="2788" w:right="489" w:hanging="316"/>
        <w:jc w:val="both"/>
        <w:rPr>
          <w:sz w:val="20"/>
        </w:rPr>
      </w:pPr>
      <w:r>
        <w:rPr>
          <w:color w:val="231F20"/>
          <w:sz w:val="20"/>
        </w:rPr>
        <w:t>Click inside the view where you want the event console. After you click, the old view is replaced by the event console.</w:t>
      </w:r>
    </w:p>
    <w:p>
      <w:pPr>
        <w:pStyle w:val="ListParagraph"/>
        <w:numPr>
          <w:ilvl w:val="0"/>
          <w:numId w:val="72"/>
        </w:numPr>
        <w:tabs>
          <w:tab w:pos="2788" w:val="left" w:leader="none"/>
        </w:tabs>
        <w:spacing w:line="213" w:lineRule="auto" w:before="59" w:after="0"/>
        <w:ind w:left="2788" w:right="502" w:hanging="316"/>
        <w:jc w:val="both"/>
        <w:rPr>
          <w:sz w:val="20"/>
        </w:rPr>
      </w:pPr>
      <w:r>
        <w:rPr>
          <w:color w:val="231F20"/>
          <w:sz w:val="20"/>
        </w:rPr>
        <w:t>Use any of the filtering tools to limit or expand the rows to show the events you are most interested in.</w:t>
      </w:r>
    </w:p>
    <w:p>
      <w:pPr>
        <w:pStyle w:val="Heading4"/>
        <w:ind w:left="2472"/>
      </w:pPr>
      <w:r>
        <w:rPr>
          <w:color w:val="231F20"/>
          <w:spacing w:val="-2"/>
        </w:rPr>
        <w:t>Results</w:t>
      </w:r>
    </w:p>
    <w:p>
      <w:pPr>
        <w:pStyle w:val="BodyText"/>
        <w:spacing w:line="213" w:lineRule="auto" w:before="241"/>
        <w:ind w:left="2472" w:right="274"/>
      </w:pPr>
      <w:r>
        <w:rPr>
          <w:color w:val="231F20"/>
        </w:rPr>
        <w:t>The view refreshes automatically, adding a row for every status change of the situations associated with this Navigator item and any items below it on the </w:t>
      </w:r>
      <w:r>
        <w:rPr>
          <w:color w:val="231F20"/>
        </w:rPr>
        <w:t>same branch. If you see no rows it means no events have be opened for any situations</w:t>
      </w:r>
      <w:r>
        <w:rPr>
          <w:color w:val="231F20"/>
          <w:spacing w:val="40"/>
        </w:rPr>
        <w:t> </w:t>
      </w:r>
      <w:bookmarkStart w:name="What the situation event console shows" w:id="246"/>
      <w:bookmarkEnd w:id="246"/>
      <w:r>
        <w:rPr>
          <w:color w:val="231F20"/>
        </w:rPr>
        <w:t>associated</w:t>
      </w:r>
      <w:r>
        <w:rPr>
          <w:color w:val="231F20"/>
        </w:rPr>
        <w:t> with this Navigator item.</w:t>
      </w:r>
    </w:p>
    <w:p>
      <w:pPr>
        <w:pStyle w:val="Heading4"/>
        <w:spacing w:line="273" w:lineRule="exact" w:before="164"/>
        <w:ind w:left="2472"/>
      </w:pPr>
      <w:r>
        <w:rPr>
          <w:color w:val="231F20"/>
        </w:rPr>
        <w:t>What</w:t>
      </w:r>
      <w:r>
        <w:rPr>
          <w:color w:val="231F20"/>
          <w:spacing w:val="6"/>
        </w:rPr>
        <w:t> </w:t>
      </w:r>
      <w:r>
        <w:rPr>
          <w:color w:val="231F20"/>
        </w:rPr>
        <w:t>the</w:t>
      </w:r>
      <w:r>
        <w:rPr>
          <w:color w:val="231F20"/>
          <w:spacing w:val="6"/>
        </w:rPr>
        <w:t> </w:t>
      </w:r>
      <w:r>
        <w:rPr>
          <w:color w:val="231F20"/>
        </w:rPr>
        <w:t>situation</w:t>
      </w:r>
      <w:r>
        <w:rPr>
          <w:color w:val="231F20"/>
          <w:spacing w:val="6"/>
        </w:rPr>
        <w:t> </w:t>
      </w:r>
      <w:r>
        <w:rPr>
          <w:color w:val="231F20"/>
        </w:rPr>
        <w:t>event</w:t>
      </w:r>
      <w:r>
        <w:rPr>
          <w:color w:val="231F20"/>
          <w:spacing w:val="6"/>
        </w:rPr>
        <w:t> </w:t>
      </w:r>
      <w:r>
        <w:rPr>
          <w:color w:val="231F20"/>
        </w:rPr>
        <w:t>console</w:t>
      </w:r>
      <w:r>
        <w:rPr>
          <w:color w:val="231F20"/>
          <w:spacing w:val="6"/>
        </w:rPr>
        <w:t> </w:t>
      </w:r>
      <w:r>
        <w:rPr>
          <w:color w:val="231F20"/>
          <w:spacing w:val="-2"/>
        </w:rPr>
        <w:t>shows</w:t>
      </w:r>
    </w:p>
    <w:p>
      <w:pPr>
        <w:pStyle w:val="BodyText"/>
        <w:spacing w:line="213" w:lineRule="auto" w:before="19"/>
        <w:ind w:left="2472" w:right="493"/>
      </w:pPr>
      <w:r>
        <w:rPr>
          <w:color w:val="231F20"/>
        </w:rPr>
        <w:t>The Navigator alerts you when a situation becomes true by overlaying the Navigator item with an event indicator. Multiple alerts for the same Navigator item are consolidated under one event indicator, so you might not be aware of newly arrived alerts just by looking at the indicator. The situation event </w:t>
      </w:r>
      <w:r>
        <w:rPr>
          <w:color w:val="231F20"/>
        </w:rPr>
        <w:t>console view shows you the event activity for situations associated with the current Navigator item and any items within the branch.</w:t>
      </w:r>
    </w:p>
    <w:p>
      <w:pPr>
        <w:pStyle w:val="BodyText"/>
        <w:spacing w:line="213" w:lineRule="auto" w:before="236"/>
        <w:ind w:left="2472" w:right="385"/>
      </w:pPr>
      <w:r>
        <w:rPr>
          <w:color w:val="231F20"/>
        </w:rPr>
        <w:t>You can navigate from an individual event to detailed information by clicking </w:t>
      </w:r>
      <w:r>
        <w:rPr>
          <w:color w:val="231F20"/>
        </w:rPr>
        <w:t>the link icon next to each event or by right-clicking the event and clicking </w:t>
      </w:r>
      <w:r>
        <w:rPr>
          <w:rFonts w:ascii="Book Antiqua"/>
          <w:b/>
          <w:color w:val="231F20"/>
        </w:rPr>
        <w:t>Situation Event Results</w:t>
      </w:r>
      <w:r>
        <w:rPr>
          <w:color w:val="231F20"/>
        </w:rPr>
        <w:t>.</w:t>
      </w:r>
    </w:p>
    <w:p>
      <w:pPr>
        <w:pStyle w:val="Heading5"/>
      </w:pPr>
      <w:r>
        <w:rPr>
          <w:color w:val="231F20"/>
          <w:spacing w:val="-2"/>
        </w:rPr>
        <w:t>Toolbar</w:t>
      </w:r>
    </w:p>
    <w:p>
      <w:pPr>
        <w:pStyle w:val="BodyText"/>
        <w:spacing w:line="213" w:lineRule="auto" w:before="245"/>
        <w:ind w:left="2472" w:right="385"/>
      </w:pPr>
      <w:r>
        <w:rPr>
          <w:color w:val="231F20"/>
        </w:rPr>
        <w:t>A row is inserted in the event console for every event action associated with the current Navigator item, one row per event. The event severity filters show a count</w:t>
      </w:r>
      <w:r>
        <w:rPr>
          <w:color w:val="231F20"/>
          <w:spacing w:val="40"/>
        </w:rPr>
        <w:t> </w:t>
      </w:r>
      <w:r>
        <w:rPr>
          <w:color w:val="231F20"/>
        </w:rPr>
        <w:t>of the events of that type next to the tool. For example,</w:t>
      </w:r>
      <w:r>
        <w:rPr>
          <w:color w:val="231F20"/>
          <w:spacing w:val="21"/>
        </w:rPr>
        <w:t> </w:t>
      </w:r>
      <w:r>
        <w:rPr>
          <w:color w:val="231F20"/>
          <w:spacing w:val="-25"/>
          <w:position w:val="-1"/>
        </w:rPr>
        <w:drawing>
          <wp:inline distT="0" distB="0" distL="0" distR="0">
            <wp:extent cx="95250" cy="95250"/>
            <wp:effectExtent l="0" t="0" r="0" b="0"/>
            <wp:docPr id="1478" name="Image 1478"/>
            <wp:cNvGraphicFramePr>
              <a:graphicFrameLocks/>
            </wp:cNvGraphicFramePr>
            <a:graphic>
              <a:graphicData uri="http://schemas.openxmlformats.org/drawingml/2006/picture">
                <pic:pic>
                  <pic:nvPicPr>
                    <pic:cNvPr id="1478" name="Image 1478"/>
                    <pic:cNvPicPr/>
                  </pic:nvPicPr>
                  <pic:blipFill>
                    <a:blip r:embed="rId16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20"/>
          <w:position w:val="8"/>
        </w:rPr>
        <w:t> </w:t>
      </w:r>
      <w:r>
        <w:rPr>
          <w:color w:val="231F20"/>
          <w:position w:val="8"/>
          <w:vertAlign w:val="superscript"/>
        </w:rPr>
        <w:t>5</w:t>
      </w:r>
      <w:r>
        <w:rPr>
          <w:color w:val="231F20"/>
          <w:position w:val="8"/>
          <w:vertAlign w:val="baseline"/>
        </w:rPr>
        <w:t> </w:t>
      </w:r>
      <w:r>
        <w:rPr>
          <w:rFonts w:ascii="Book Antiqua"/>
          <w:b/>
          <w:color w:val="231F20"/>
          <w:vertAlign w:val="baseline"/>
        </w:rPr>
        <w:t>Filter Minor </w:t>
      </w:r>
      <w:r>
        <w:rPr>
          <w:color w:val="231F20"/>
          <w:vertAlign w:val="baseline"/>
        </w:rPr>
        <w:t>is a </w:t>
      </w:r>
      <w:r>
        <w:rPr>
          <w:color w:val="231F20"/>
          <w:vertAlign w:val="baseline"/>
        </w:rPr>
        <w:t>count</w:t>
      </w:r>
      <w:r>
        <w:rPr>
          <w:color w:val="231F20"/>
          <w:spacing w:val="80"/>
          <w:vertAlign w:val="baseline"/>
        </w:rPr>
        <w:t> </w:t>
      </w:r>
      <w:r>
        <w:rPr>
          <w:color w:val="231F20"/>
          <w:vertAlign w:val="baseline"/>
        </w:rPr>
        <w:t>of five minor events. Use the filter tools to display only events of a certain state or</w:t>
      </w:r>
      <w:r>
        <w:rPr>
          <w:color w:val="231F20"/>
          <w:spacing w:val="40"/>
          <w:vertAlign w:val="baseline"/>
        </w:rPr>
        <w:t> </w:t>
      </w:r>
      <w:r>
        <w:rPr>
          <w:color w:val="231F20"/>
          <w:spacing w:val="-2"/>
          <w:vertAlign w:val="baseline"/>
        </w:rPr>
        <w:t>status.</w:t>
      </w:r>
    </w:p>
    <w:p>
      <w:pPr>
        <w:tabs>
          <w:tab w:pos="4841" w:val="left" w:leader="none"/>
        </w:tabs>
        <w:spacing w:line="241" w:lineRule="exact" w:before="159"/>
        <w:ind w:left="2482" w:right="0" w:firstLine="0"/>
        <w:jc w:val="left"/>
        <w:rPr>
          <w:sz w:val="18"/>
        </w:rPr>
      </w:pPr>
      <w:r>
        <w:rPr>
          <w:position w:val="-3"/>
        </w:rPr>
        <w:drawing>
          <wp:inline distT="0" distB="0" distL="0" distR="0">
            <wp:extent cx="95250" cy="95250"/>
            <wp:effectExtent l="0" t="0" r="0" b="0"/>
            <wp:docPr id="1479" name="Image 1479"/>
            <wp:cNvGraphicFramePr>
              <a:graphicFrameLocks/>
            </wp:cNvGraphicFramePr>
            <a:graphic>
              <a:graphicData uri="http://schemas.openxmlformats.org/drawingml/2006/picture">
                <pic:pic>
                  <pic:nvPicPr>
                    <pic:cNvPr id="1479" name="Image 1479"/>
                    <pic:cNvPicPr/>
                  </pic:nvPicPr>
                  <pic:blipFill>
                    <a:blip r:embed="rId2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Fatal</w:t>
        <w:tab/>
      </w:r>
      <w:r>
        <w:rPr>
          <w:color w:val="231F20"/>
          <w:sz w:val="18"/>
        </w:rPr>
        <w:t>Show</w:t>
      </w:r>
      <w:r>
        <w:rPr>
          <w:color w:val="231F20"/>
          <w:spacing w:val="10"/>
          <w:sz w:val="18"/>
        </w:rPr>
        <w:t> </w:t>
      </w:r>
      <w:r>
        <w:rPr>
          <w:color w:val="231F20"/>
          <w:sz w:val="18"/>
        </w:rPr>
        <w:t>only</w:t>
      </w:r>
      <w:r>
        <w:rPr>
          <w:color w:val="231F20"/>
          <w:spacing w:val="10"/>
          <w:sz w:val="18"/>
        </w:rPr>
        <w:t> </w:t>
      </w:r>
      <w:r>
        <w:rPr>
          <w:color w:val="231F20"/>
          <w:sz w:val="18"/>
        </w:rPr>
        <w:t>Fatal</w:t>
      </w:r>
      <w:r>
        <w:rPr>
          <w:color w:val="231F20"/>
          <w:spacing w:val="10"/>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0" name="Image 1480"/>
            <wp:cNvGraphicFramePr>
              <a:graphicFrameLocks/>
            </wp:cNvGraphicFramePr>
            <a:graphic>
              <a:graphicData uri="http://schemas.openxmlformats.org/drawingml/2006/picture">
                <pic:pic>
                  <pic:nvPicPr>
                    <pic:cNvPr id="1480" name="Image 1480"/>
                    <pic:cNvPicPr/>
                  </pic:nvPicPr>
                  <pic:blipFill>
                    <a:blip r:embed="rId1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Fatal</w:t>
        <w:tab/>
      </w:r>
      <w:r>
        <w:rPr>
          <w:color w:val="231F20"/>
          <w:sz w:val="18"/>
        </w:rPr>
        <w:t>Show</w:t>
      </w:r>
      <w:r>
        <w:rPr>
          <w:color w:val="231F20"/>
          <w:spacing w:val="9"/>
          <w:sz w:val="18"/>
        </w:rPr>
        <w:t> </w:t>
      </w:r>
      <w:r>
        <w:rPr>
          <w:color w:val="231F20"/>
          <w:sz w:val="18"/>
        </w:rPr>
        <w:t>only</w:t>
      </w:r>
      <w:r>
        <w:rPr>
          <w:color w:val="231F20"/>
          <w:spacing w:val="9"/>
          <w:sz w:val="18"/>
        </w:rPr>
        <w:t> </w:t>
      </w:r>
      <w:r>
        <w:rPr>
          <w:color w:val="231F20"/>
          <w:sz w:val="18"/>
        </w:rPr>
        <w:t>Critical</w:t>
      </w:r>
      <w:r>
        <w:rPr>
          <w:color w:val="231F20"/>
          <w:spacing w:val="10"/>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1" name="Image 1481"/>
            <wp:cNvGraphicFramePr>
              <a:graphicFrameLocks/>
            </wp:cNvGraphicFramePr>
            <a:graphic>
              <a:graphicData uri="http://schemas.openxmlformats.org/drawingml/2006/picture">
                <pic:pic>
                  <pic:nvPicPr>
                    <pic:cNvPr id="1481" name="Image 1481"/>
                    <pic:cNvPicPr/>
                  </pic:nvPicPr>
                  <pic:blipFill>
                    <a:blip r:embed="rId164"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Minor</w:t>
        <w:tab/>
      </w:r>
      <w:r>
        <w:rPr>
          <w:color w:val="231F20"/>
          <w:sz w:val="18"/>
        </w:rPr>
        <w:t>Show</w:t>
      </w:r>
      <w:r>
        <w:rPr>
          <w:color w:val="231F20"/>
          <w:spacing w:val="9"/>
          <w:sz w:val="18"/>
        </w:rPr>
        <w:t> </w:t>
      </w:r>
      <w:r>
        <w:rPr>
          <w:color w:val="231F20"/>
          <w:sz w:val="18"/>
        </w:rPr>
        <w:t>only</w:t>
      </w:r>
      <w:r>
        <w:rPr>
          <w:color w:val="231F20"/>
          <w:spacing w:val="10"/>
          <w:sz w:val="18"/>
        </w:rPr>
        <w:t> </w:t>
      </w:r>
      <w:r>
        <w:rPr>
          <w:color w:val="231F20"/>
          <w:sz w:val="18"/>
        </w:rPr>
        <w:t>Minor</w:t>
      </w:r>
      <w:r>
        <w:rPr>
          <w:color w:val="231F20"/>
          <w:spacing w:val="10"/>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2" name="Image 1482"/>
            <wp:cNvGraphicFramePr>
              <a:graphicFrameLocks/>
            </wp:cNvGraphicFramePr>
            <a:graphic>
              <a:graphicData uri="http://schemas.openxmlformats.org/drawingml/2006/picture">
                <pic:pic>
                  <pic:nvPicPr>
                    <pic:cNvPr id="1482" name="Image 1482"/>
                    <pic:cNvPicPr/>
                  </pic:nvPicPr>
                  <pic:blipFill>
                    <a:blip r:embed="rId12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Warning</w:t>
        <w:tab/>
      </w:r>
      <w:r>
        <w:rPr>
          <w:color w:val="231F20"/>
          <w:sz w:val="18"/>
        </w:rPr>
        <w:t>Show</w:t>
      </w:r>
      <w:r>
        <w:rPr>
          <w:color w:val="231F20"/>
          <w:spacing w:val="3"/>
          <w:sz w:val="18"/>
        </w:rPr>
        <w:t> </w:t>
      </w:r>
      <w:r>
        <w:rPr>
          <w:color w:val="231F20"/>
          <w:sz w:val="18"/>
        </w:rPr>
        <w:t>only</w:t>
      </w:r>
      <w:r>
        <w:rPr>
          <w:color w:val="231F20"/>
          <w:spacing w:val="3"/>
          <w:sz w:val="18"/>
        </w:rPr>
        <w:t> </w:t>
      </w:r>
      <w:r>
        <w:rPr>
          <w:color w:val="231F20"/>
          <w:sz w:val="18"/>
        </w:rPr>
        <w:t>Warning</w:t>
      </w:r>
      <w:r>
        <w:rPr>
          <w:color w:val="231F20"/>
          <w:spacing w:val="3"/>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3" name="Image 1483"/>
            <wp:cNvGraphicFramePr>
              <a:graphicFrameLocks/>
            </wp:cNvGraphicFramePr>
            <a:graphic>
              <a:graphicData uri="http://schemas.openxmlformats.org/drawingml/2006/picture">
                <pic:pic>
                  <pic:nvPicPr>
                    <pic:cNvPr id="1483" name="Image 1483"/>
                    <pic:cNvPicPr/>
                  </pic:nvPicPr>
                  <pic:blipFill>
                    <a:blip r:embed="rId16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Harmless</w:t>
        <w:tab/>
      </w:r>
      <w:r>
        <w:rPr>
          <w:color w:val="231F20"/>
          <w:sz w:val="18"/>
        </w:rPr>
        <w:t>Show</w:t>
      </w:r>
      <w:r>
        <w:rPr>
          <w:color w:val="231F20"/>
          <w:spacing w:val="8"/>
          <w:sz w:val="18"/>
        </w:rPr>
        <w:t> </w:t>
      </w:r>
      <w:r>
        <w:rPr>
          <w:color w:val="231F20"/>
          <w:sz w:val="18"/>
        </w:rPr>
        <w:t>only</w:t>
      </w:r>
      <w:r>
        <w:rPr>
          <w:color w:val="231F20"/>
          <w:spacing w:val="9"/>
          <w:sz w:val="18"/>
        </w:rPr>
        <w:t> </w:t>
      </w:r>
      <w:r>
        <w:rPr>
          <w:color w:val="231F20"/>
          <w:sz w:val="18"/>
        </w:rPr>
        <w:t>Harmless</w:t>
      </w:r>
      <w:r>
        <w:rPr>
          <w:color w:val="231F20"/>
          <w:spacing w:val="9"/>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4" name="Image 1484"/>
            <wp:cNvGraphicFramePr>
              <a:graphicFrameLocks/>
            </wp:cNvGraphicFramePr>
            <a:graphic>
              <a:graphicData uri="http://schemas.openxmlformats.org/drawingml/2006/picture">
                <pic:pic>
                  <pic:nvPicPr>
                    <pic:cNvPr id="1484" name="Image 1484"/>
                    <pic:cNvPicPr/>
                  </pic:nvPicPr>
                  <pic:blipFill>
                    <a:blip r:embed="rId12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Informational</w:t>
        <w:tab/>
      </w:r>
      <w:r>
        <w:rPr>
          <w:color w:val="231F20"/>
          <w:sz w:val="18"/>
        </w:rPr>
        <w:t>Show</w:t>
      </w:r>
      <w:r>
        <w:rPr>
          <w:color w:val="231F20"/>
          <w:spacing w:val="7"/>
          <w:sz w:val="18"/>
        </w:rPr>
        <w:t> </w:t>
      </w:r>
      <w:r>
        <w:rPr>
          <w:color w:val="231F20"/>
          <w:sz w:val="18"/>
        </w:rPr>
        <w:t>only</w:t>
      </w:r>
      <w:r>
        <w:rPr>
          <w:color w:val="231F20"/>
          <w:spacing w:val="8"/>
          <w:sz w:val="18"/>
        </w:rPr>
        <w:t> </w:t>
      </w:r>
      <w:r>
        <w:rPr>
          <w:color w:val="231F20"/>
          <w:sz w:val="18"/>
        </w:rPr>
        <w:t>Informational</w:t>
      </w:r>
      <w:r>
        <w:rPr>
          <w:color w:val="231F20"/>
          <w:spacing w:val="7"/>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5" name="Image 1485"/>
            <wp:cNvGraphicFramePr>
              <a:graphicFrameLocks/>
            </wp:cNvGraphicFramePr>
            <a:graphic>
              <a:graphicData uri="http://schemas.openxmlformats.org/drawingml/2006/picture">
                <pic:pic>
                  <pic:nvPicPr>
                    <pic:cNvPr id="1485" name="Image 1485"/>
                    <pic:cNvPicPr/>
                  </pic:nvPicPr>
                  <pic:blipFill>
                    <a:blip r:embed="rId29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7"/>
          <w:sz w:val="20"/>
        </w:rPr>
        <w:t> </w:t>
      </w:r>
      <w:r>
        <w:rPr>
          <w:rFonts w:ascii="Book Antiqua"/>
          <w:b/>
          <w:color w:val="231F20"/>
          <w:sz w:val="18"/>
        </w:rPr>
        <w:t>Filter</w:t>
      </w:r>
      <w:r>
        <w:rPr>
          <w:rFonts w:ascii="Book Antiqua"/>
          <w:b/>
          <w:color w:val="231F20"/>
          <w:spacing w:val="13"/>
          <w:sz w:val="18"/>
        </w:rPr>
        <w:t> </w:t>
      </w:r>
      <w:r>
        <w:rPr>
          <w:rFonts w:ascii="Book Antiqua"/>
          <w:b/>
          <w:color w:val="231F20"/>
          <w:sz w:val="18"/>
        </w:rPr>
        <w:t>Unknown</w:t>
        <w:tab/>
      </w:r>
      <w:r>
        <w:rPr>
          <w:color w:val="231F20"/>
          <w:sz w:val="18"/>
        </w:rPr>
        <w:t>Show</w:t>
      </w:r>
      <w:r>
        <w:rPr>
          <w:color w:val="231F20"/>
          <w:spacing w:val="8"/>
          <w:sz w:val="18"/>
        </w:rPr>
        <w:t> </w:t>
      </w:r>
      <w:r>
        <w:rPr>
          <w:color w:val="231F20"/>
          <w:sz w:val="18"/>
        </w:rPr>
        <w:t>only</w:t>
      </w:r>
      <w:r>
        <w:rPr>
          <w:color w:val="231F20"/>
          <w:spacing w:val="9"/>
          <w:sz w:val="18"/>
        </w:rPr>
        <w:t> </w:t>
      </w:r>
      <w:r>
        <w:rPr>
          <w:color w:val="231F20"/>
          <w:sz w:val="18"/>
        </w:rPr>
        <w:t>Unknown</w:t>
      </w:r>
      <w:r>
        <w:rPr>
          <w:color w:val="231F20"/>
          <w:spacing w:val="8"/>
          <w:sz w:val="18"/>
        </w:rPr>
        <w:t> </w:t>
      </w:r>
      <w:r>
        <w:rPr>
          <w:color w:val="231F20"/>
          <w:spacing w:val="-2"/>
          <w:sz w:val="18"/>
        </w:rPr>
        <w:t>events.</w:t>
      </w:r>
    </w:p>
    <w:p>
      <w:pPr>
        <w:tabs>
          <w:tab w:pos="4841" w:val="left" w:leader="none"/>
        </w:tabs>
        <w:spacing w:line="229" w:lineRule="exact" w:before="0"/>
        <w:ind w:left="2482" w:right="0" w:firstLine="0"/>
        <w:jc w:val="left"/>
        <w:rPr>
          <w:sz w:val="18"/>
        </w:rPr>
      </w:pPr>
      <w:r>
        <w:rPr>
          <w:position w:val="-3"/>
        </w:rPr>
        <w:drawing>
          <wp:inline distT="0" distB="0" distL="0" distR="0">
            <wp:extent cx="95250" cy="95250"/>
            <wp:effectExtent l="0" t="0" r="0" b="0"/>
            <wp:docPr id="1486" name="Image 1486"/>
            <wp:cNvGraphicFramePr>
              <a:graphicFrameLocks/>
            </wp:cNvGraphicFramePr>
            <a:graphic>
              <a:graphicData uri="http://schemas.openxmlformats.org/drawingml/2006/picture">
                <pic:pic>
                  <pic:nvPicPr>
                    <pic:cNvPr id="1486" name="Image 1486"/>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Open</w:t>
        <w:tab/>
      </w:r>
      <w:r>
        <w:rPr>
          <w:color w:val="231F20"/>
          <w:sz w:val="18"/>
        </w:rPr>
        <w:t>Show</w:t>
      </w:r>
      <w:r>
        <w:rPr>
          <w:color w:val="231F20"/>
          <w:spacing w:val="6"/>
          <w:sz w:val="18"/>
        </w:rPr>
        <w:t> </w:t>
      </w:r>
      <w:r>
        <w:rPr>
          <w:color w:val="231F20"/>
          <w:sz w:val="18"/>
        </w:rPr>
        <w:t>Open</w:t>
      </w:r>
      <w:r>
        <w:rPr>
          <w:color w:val="231F20"/>
          <w:spacing w:val="7"/>
          <w:sz w:val="18"/>
        </w:rPr>
        <w:t> </w:t>
      </w:r>
      <w:r>
        <w:rPr>
          <w:color w:val="231F20"/>
          <w:sz w:val="18"/>
        </w:rPr>
        <w:t>events</w:t>
      </w:r>
      <w:r>
        <w:rPr>
          <w:color w:val="231F20"/>
          <w:spacing w:val="6"/>
          <w:sz w:val="18"/>
        </w:rPr>
        <w:t> </w:t>
      </w:r>
      <w:r>
        <w:rPr>
          <w:color w:val="231F20"/>
          <w:sz w:val="18"/>
        </w:rPr>
        <w:t>only,</w:t>
      </w:r>
      <w:r>
        <w:rPr>
          <w:color w:val="231F20"/>
          <w:spacing w:val="7"/>
          <w:sz w:val="18"/>
        </w:rPr>
        <w:t> </w:t>
      </w:r>
      <w:r>
        <w:rPr>
          <w:color w:val="231F20"/>
          <w:sz w:val="18"/>
        </w:rPr>
        <w:t>including</w:t>
      </w:r>
      <w:r>
        <w:rPr>
          <w:color w:val="231F20"/>
          <w:spacing w:val="6"/>
          <w:sz w:val="18"/>
        </w:rPr>
        <w:t> </w:t>
      </w:r>
      <w:r>
        <w:rPr>
          <w:color w:val="231F20"/>
          <w:sz w:val="18"/>
        </w:rPr>
        <w:t>any</w:t>
      </w:r>
      <w:r>
        <w:rPr>
          <w:color w:val="231F20"/>
          <w:spacing w:val="7"/>
          <w:sz w:val="18"/>
        </w:rPr>
        <w:t> </w:t>
      </w:r>
      <w:r>
        <w:rPr>
          <w:color w:val="231F20"/>
          <w:sz w:val="18"/>
        </w:rPr>
        <w:t>that</w:t>
      </w:r>
      <w:r>
        <w:rPr>
          <w:color w:val="231F20"/>
          <w:spacing w:val="6"/>
          <w:sz w:val="18"/>
        </w:rPr>
        <w:t> </w:t>
      </w:r>
      <w:r>
        <w:rPr>
          <w:color w:val="231F20"/>
          <w:sz w:val="18"/>
        </w:rPr>
        <w:t>were</w:t>
      </w:r>
      <w:r>
        <w:rPr>
          <w:color w:val="231F20"/>
          <w:spacing w:val="7"/>
          <w:sz w:val="18"/>
        </w:rPr>
        <w:t> </w:t>
      </w:r>
      <w:r>
        <w:rPr>
          <w:color w:val="231F20"/>
          <w:spacing w:val="-2"/>
          <w:sz w:val="18"/>
        </w:rPr>
        <w:t>reopened</w:t>
      </w:r>
    </w:p>
    <w:p>
      <w:pPr>
        <w:spacing w:line="216" w:lineRule="auto" w:before="8"/>
        <w:ind w:left="4841" w:right="545" w:firstLine="0"/>
        <w:jc w:val="left"/>
        <w:rPr>
          <w:sz w:val="18"/>
        </w:rPr>
      </w:pPr>
      <w:r>
        <w:rPr>
          <w:color w:val="231F20"/>
          <w:sz w:val="18"/>
        </w:rPr>
        <w:t>(acknowledgement removed) or whose </w:t>
      </w:r>
      <w:r>
        <w:rPr>
          <w:color w:val="231F20"/>
          <w:sz w:val="18"/>
        </w:rPr>
        <w:t>acknowledgment </w:t>
      </w:r>
      <w:r>
        <w:rPr>
          <w:color w:val="231F20"/>
          <w:spacing w:val="-2"/>
          <w:sz w:val="18"/>
        </w:rPr>
        <w:t>expired.</w:t>
      </w:r>
    </w:p>
    <w:p>
      <w:pPr>
        <w:tabs>
          <w:tab w:pos="4841" w:val="left" w:leader="none"/>
        </w:tabs>
        <w:spacing w:line="241" w:lineRule="exact" w:before="3"/>
        <w:ind w:left="2482" w:right="0" w:firstLine="0"/>
        <w:jc w:val="left"/>
        <w:rPr>
          <w:sz w:val="18"/>
        </w:rPr>
      </w:pPr>
      <w:r>
        <w:rPr>
          <w:position w:val="-3"/>
        </w:rPr>
        <w:drawing>
          <wp:inline distT="0" distB="0" distL="0" distR="0">
            <wp:extent cx="95250" cy="95250"/>
            <wp:effectExtent l="0" t="0" r="0" b="0"/>
            <wp:docPr id="1487" name="Image 1487"/>
            <wp:cNvGraphicFramePr>
              <a:graphicFrameLocks/>
            </wp:cNvGraphicFramePr>
            <a:graphic>
              <a:graphicData uri="http://schemas.openxmlformats.org/drawingml/2006/picture">
                <pic:pic>
                  <pic:nvPicPr>
                    <pic:cNvPr id="1487" name="Image 1487"/>
                    <pic:cNvPicPr/>
                  </pic:nvPicPr>
                  <pic:blipFill>
                    <a:blip r:embed="rId11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Acknowledged</w:t>
        <w:tab/>
      </w:r>
      <w:r>
        <w:rPr>
          <w:color w:val="231F20"/>
          <w:sz w:val="18"/>
        </w:rPr>
        <w:t>Show</w:t>
      </w:r>
      <w:r>
        <w:rPr>
          <w:color w:val="231F20"/>
          <w:spacing w:val="1"/>
          <w:sz w:val="18"/>
        </w:rPr>
        <w:t> </w:t>
      </w:r>
      <w:r>
        <w:rPr>
          <w:color w:val="231F20"/>
          <w:sz w:val="18"/>
        </w:rPr>
        <w:t>Acknowledged</w:t>
      </w:r>
      <w:r>
        <w:rPr>
          <w:color w:val="231F20"/>
          <w:spacing w:val="6"/>
          <w:sz w:val="18"/>
        </w:rPr>
        <w:t> </w:t>
      </w:r>
      <w:r>
        <w:rPr>
          <w:color w:val="231F20"/>
          <w:sz w:val="18"/>
        </w:rPr>
        <w:t>events</w:t>
      </w:r>
      <w:r>
        <w:rPr>
          <w:color w:val="231F20"/>
          <w:spacing w:val="7"/>
          <w:sz w:val="18"/>
        </w:rPr>
        <w:t> </w:t>
      </w:r>
      <w:r>
        <w:rPr>
          <w:color w:val="231F20"/>
          <w:spacing w:val="-2"/>
          <w:sz w:val="18"/>
        </w:rPr>
        <w:t>only.</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488" name="Image 1488"/>
            <wp:cNvGraphicFramePr>
              <a:graphicFrameLocks/>
            </wp:cNvGraphicFramePr>
            <a:graphic>
              <a:graphicData uri="http://schemas.openxmlformats.org/drawingml/2006/picture">
                <pic:pic>
                  <pic:nvPicPr>
                    <pic:cNvPr id="1488" name="Image 1488"/>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Stopped</w:t>
        <w:tab/>
      </w:r>
      <w:r>
        <w:rPr>
          <w:color w:val="231F20"/>
          <w:sz w:val="18"/>
        </w:rPr>
        <w:t>Show</w:t>
      </w:r>
      <w:r>
        <w:rPr>
          <w:color w:val="231F20"/>
          <w:spacing w:val="7"/>
          <w:sz w:val="18"/>
        </w:rPr>
        <w:t> </w:t>
      </w:r>
      <w:r>
        <w:rPr>
          <w:color w:val="231F20"/>
          <w:sz w:val="18"/>
        </w:rPr>
        <w:t>Stopped</w:t>
      </w:r>
      <w:r>
        <w:rPr>
          <w:color w:val="231F20"/>
          <w:spacing w:val="8"/>
          <w:sz w:val="18"/>
        </w:rPr>
        <w:t> </w:t>
      </w:r>
      <w:r>
        <w:rPr>
          <w:color w:val="231F20"/>
          <w:sz w:val="18"/>
        </w:rPr>
        <w:t>situations</w:t>
      </w:r>
      <w:r>
        <w:rPr>
          <w:color w:val="231F20"/>
          <w:spacing w:val="8"/>
          <w:sz w:val="18"/>
        </w:rPr>
        <w:t> </w:t>
      </w:r>
      <w:r>
        <w:rPr>
          <w:color w:val="231F20"/>
          <w:spacing w:val="-2"/>
          <w:sz w:val="18"/>
        </w:rPr>
        <w:t>only.</w:t>
      </w:r>
    </w:p>
    <w:p>
      <w:pPr>
        <w:tabs>
          <w:tab w:pos="4841" w:val="left" w:leader="none"/>
        </w:tabs>
        <w:spacing w:line="216" w:lineRule="auto" w:before="17"/>
        <w:ind w:left="4841" w:right="258" w:hanging="2360"/>
        <w:jc w:val="left"/>
        <w:rPr>
          <w:sz w:val="18"/>
        </w:rPr>
      </w:pPr>
      <w:r>
        <w:rPr>
          <w:position w:val="-3"/>
        </w:rPr>
        <w:drawing>
          <wp:inline distT="0" distB="0" distL="0" distR="0">
            <wp:extent cx="95250" cy="95250"/>
            <wp:effectExtent l="0" t="0" r="0" b="0"/>
            <wp:docPr id="1489" name="Image 1489"/>
            <wp:cNvGraphicFramePr>
              <a:graphicFrameLocks/>
            </wp:cNvGraphicFramePr>
            <a:graphic>
              <a:graphicData uri="http://schemas.openxmlformats.org/drawingml/2006/picture">
                <pic:pic>
                  <pic:nvPicPr>
                    <pic:cNvPr id="1489" name="Image 1489"/>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Problem</w:t>
        <w:tab/>
      </w:r>
      <w:r>
        <w:rPr>
          <w:color w:val="231F20"/>
          <w:sz w:val="18"/>
        </w:rPr>
        <w:t>Show Problem situations only. These are situations that are in error</w:t>
      </w:r>
      <w:r>
        <w:rPr>
          <w:color w:val="231F20"/>
          <w:spacing w:val="28"/>
          <w:sz w:val="18"/>
        </w:rPr>
        <w:t> </w:t>
      </w:r>
      <w:r>
        <w:rPr>
          <w:color w:val="231F20"/>
          <w:sz w:val="18"/>
        </w:rPr>
        <w:t>for</w:t>
      </w:r>
      <w:r>
        <w:rPr>
          <w:color w:val="231F20"/>
          <w:spacing w:val="28"/>
          <w:sz w:val="18"/>
        </w:rPr>
        <w:t> </w:t>
      </w:r>
      <w:r>
        <w:rPr>
          <w:color w:val="231F20"/>
          <w:sz w:val="18"/>
        </w:rPr>
        <w:t>some</w:t>
      </w:r>
      <w:r>
        <w:rPr>
          <w:color w:val="231F20"/>
          <w:spacing w:val="28"/>
          <w:sz w:val="18"/>
        </w:rPr>
        <w:t> </w:t>
      </w:r>
      <w:r>
        <w:rPr>
          <w:color w:val="231F20"/>
          <w:sz w:val="18"/>
        </w:rPr>
        <w:t>reason.</w:t>
      </w:r>
      <w:r>
        <w:rPr>
          <w:color w:val="231F20"/>
          <w:spacing w:val="28"/>
          <w:sz w:val="18"/>
        </w:rPr>
        <w:t> </w:t>
      </w:r>
      <w:r>
        <w:rPr>
          <w:color w:val="231F20"/>
          <w:sz w:val="18"/>
        </w:rPr>
        <w:t>Use</w:t>
      </w:r>
      <w:r>
        <w:rPr>
          <w:color w:val="231F20"/>
          <w:spacing w:val="28"/>
          <w:sz w:val="18"/>
        </w:rPr>
        <w:t> </w:t>
      </w:r>
      <w:r>
        <w:rPr>
          <w:color w:val="231F20"/>
          <w:sz w:val="18"/>
        </w:rPr>
        <w:t>this</w:t>
      </w:r>
      <w:r>
        <w:rPr>
          <w:color w:val="231F20"/>
          <w:spacing w:val="28"/>
          <w:sz w:val="18"/>
        </w:rPr>
        <w:t> </w:t>
      </w:r>
      <w:r>
        <w:rPr>
          <w:color w:val="231F20"/>
          <w:sz w:val="18"/>
        </w:rPr>
        <w:t>filter</w:t>
      </w:r>
      <w:r>
        <w:rPr>
          <w:color w:val="231F20"/>
          <w:spacing w:val="28"/>
          <w:sz w:val="18"/>
        </w:rPr>
        <w:t> </w:t>
      </w:r>
      <w:r>
        <w:rPr>
          <w:color w:val="231F20"/>
          <w:sz w:val="18"/>
        </w:rPr>
        <w:t>to</w:t>
      </w:r>
      <w:r>
        <w:rPr>
          <w:color w:val="231F20"/>
          <w:spacing w:val="28"/>
          <w:sz w:val="18"/>
        </w:rPr>
        <w:t> </w:t>
      </w:r>
      <w:r>
        <w:rPr>
          <w:color w:val="231F20"/>
          <w:sz w:val="18"/>
        </w:rPr>
        <w:t>locate</w:t>
      </w:r>
      <w:r>
        <w:rPr>
          <w:color w:val="231F20"/>
          <w:spacing w:val="28"/>
          <w:sz w:val="18"/>
        </w:rPr>
        <w:t> </w:t>
      </w:r>
      <w:r>
        <w:rPr>
          <w:color w:val="231F20"/>
          <w:sz w:val="18"/>
        </w:rPr>
        <w:t>situations</w:t>
      </w:r>
      <w:r>
        <w:rPr>
          <w:color w:val="231F20"/>
          <w:spacing w:val="28"/>
          <w:sz w:val="18"/>
        </w:rPr>
        <w:t> </w:t>
      </w:r>
      <w:r>
        <w:rPr>
          <w:color w:val="231F20"/>
          <w:sz w:val="18"/>
        </w:rPr>
        <w:t>that are not functioning properly so you can diagnose the problem.</w:t>
      </w:r>
    </w:p>
    <w:p>
      <w:pPr>
        <w:tabs>
          <w:tab w:pos="4841" w:val="left" w:leader="none"/>
        </w:tabs>
        <w:spacing w:line="231" w:lineRule="exact" w:before="4"/>
        <w:ind w:left="2482" w:right="0" w:firstLine="0"/>
        <w:jc w:val="left"/>
        <w:rPr>
          <w:sz w:val="18"/>
        </w:rPr>
      </w:pPr>
      <w:r>
        <w:rPr>
          <w:position w:val="-3"/>
        </w:rPr>
        <w:drawing>
          <wp:inline distT="0" distB="0" distL="0" distR="0">
            <wp:extent cx="95250" cy="95250"/>
            <wp:effectExtent l="0" t="0" r="0" b="0"/>
            <wp:docPr id="1490" name="Image 1490"/>
            <wp:cNvGraphicFramePr>
              <a:graphicFrameLocks/>
            </wp:cNvGraphicFramePr>
            <a:graphic>
              <a:graphicData uri="http://schemas.openxmlformats.org/drawingml/2006/picture">
                <pic:pic>
                  <pic:nvPicPr>
                    <pic:cNvPr id="1490" name="Image 1490"/>
                    <pic:cNvPicPr/>
                  </pic:nvPicPr>
                  <pic:blipFill>
                    <a:blip r:embed="rId11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Expired</w:t>
        <w:tab/>
      </w:r>
      <w:r>
        <w:rPr>
          <w:color w:val="231F20"/>
          <w:sz w:val="18"/>
        </w:rPr>
        <w:t>Show</w:t>
      </w:r>
      <w:r>
        <w:rPr>
          <w:color w:val="231F20"/>
          <w:spacing w:val="8"/>
          <w:sz w:val="18"/>
        </w:rPr>
        <w:t> </w:t>
      </w:r>
      <w:r>
        <w:rPr>
          <w:color w:val="231F20"/>
          <w:sz w:val="18"/>
        </w:rPr>
        <w:t>the</w:t>
      </w:r>
      <w:r>
        <w:rPr>
          <w:color w:val="231F20"/>
          <w:spacing w:val="8"/>
          <w:sz w:val="18"/>
        </w:rPr>
        <w:t> </w:t>
      </w:r>
      <w:r>
        <w:rPr>
          <w:color w:val="231F20"/>
          <w:sz w:val="18"/>
        </w:rPr>
        <w:t>events</w:t>
      </w:r>
      <w:r>
        <w:rPr>
          <w:color w:val="231F20"/>
          <w:spacing w:val="8"/>
          <w:sz w:val="18"/>
        </w:rPr>
        <w:t> </w:t>
      </w:r>
      <w:r>
        <w:rPr>
          <w:color w:val="231F20"/>
          <w:sz w:val="18"/>
        </w:rPr>
        <w:t>that</w:t>
      </w:r>
      <w:r>
        <w:rPr>
          <w:color w:val="231F20"/>
          <w:spacing w:val="8"/>
          <w:sz w:val="18"/>
        </w:rPr>
        <w:t> </w:t>
      </w:r>
      <w:r>
        <w:rPr>
          <w:color w:val="231F20"/>
          <w:sz w:val="18"/>
        </w:rPr>
        <w:t>were</w:t>
      </w:r>
      <w:r>
        <w:rPr>
          <w:color w:val="231F20"/>
          <w:spacing w:val="8"/>
          <w:sz w:val="18"/>
        </w:rPr>
        <w:t> </w:t>
      </w:r>
      <w:r>
        <w:rPr>
          <w:color w:val="231F20"/>
          <w:sz w:val="18"/>
        </w:rPr>
        <w:t>acknowledged,</w:t>
      </w:r>
      <w:r>
        <w:rPr>
          <w:color w:val="231F20"/>
          <w:spacing w:val="8"/>
          <w:sz w:val="18"/>
        </w:rPr>
        <w:t> </w:t>
      </w:r>
      <w:r>
        <w:rPr>
          <w:color w:val="231F20"/>
          <w:spacing w:val="-5"/>
          <w:sz w:val="18"/>
        </w:rPr>
        <w:t>the</w:t>
      </w:r>
    </w:p>
    <w:p>
      <w:pPr>
        <w:spacing w:line="231" w:lineRule="exact" w:before="0"/>
        <w:ind w:left="4841" w:right="0" w:firstLine="0"/>
        <w:jc w:val="left"/>
        <w:rPr>
          <w:sz w:val="18"/>
        </w:rPr>
      </w:pPr>
      <w:r>
        <w:rPr>
          <w:color w:val="231F20"/>
          <w:sz w:val="18"/>
        </w:rPr>
        <w:t>acknowledgement</w:t>
      </w:r>
      <w:r>
        <w:rPr>
          <w:color w:val="231F20"/>
          <w:spacing w:val="7"/>
          <w:sz w:val="18"/>
        </w:rPr>
        <w:t> </w:t>
      </w:r>
      <w:r>
        <w:rPr>
          <w:color w:val="231F20"/>
          <w:sz w:val="18"/>
        </w:rPr>
        <w:t>expired,</w:t>
      </w:r>
      <w:r>
        <w:rPr>
          <w:color w:val="231F20"/>
          <w:spacing w:val="8"/>
          <w:sz w:val="18"/>
        </w:rPr>
        <w:t> </w:t>
      </w:r>
      <w:r>
        <w:rPr>
          <w:color w:val="231F20"/>
          <w:sz w:val="18"/>
        </w:rPr>
        <w:t>and</w:t>
      </w:r>
      <w:r>
        <w:rPr>
          <w:color w:val="231F20"/>
          <w:spacing w:val="8"/>
          <w:sz w:val="18"/>
        </w:rPr>
        <w:t> </w:t>
      </w:r>
      <w:r>
        <w:rPr>
          <w:color w:val="231F20"/>
          <w:sz w:val="18"/>
        </w:rPr>
        <w:t>the</w:t>
      </w:r>
      <w:r>
        <w:rPr>
          <w:color w:val="231F20"/>
          <w:spacing w:val="8"/>
          <w:sz w:val="18"/>
        </w:rPr>
        <w:t> </w:t>
      </w:r>
      <w:r>
        <w:rPr>
          <w:color w:val="231F20"/>
          <w:sz w:val="18"/>
        </w:rPr>
        <w:t>condition</w:t>
      </w:r>
      <w:r>
        <w:rPr>
          <w:color w:val="231F20"/>
          <w:spacing w:val="8"/>
          <w:sz w:val="18"/>
        </w:rPr>
        <w:t> </w:t>
      </w:r>
      <w:r>
        <w:rPr>
          <w:color w:val="231F20"/>
          <w:sz w:val="18"/>
        </w:rPr>
        <w:t>is</w:t>
      </w:r>
      <w:r>
        <w:rPr>
          <w:color w:val="231F20"/>
          <w:spacing w:val="8"/>
          <w:sz w:val="18"/>
        </w:rPr>
        <w:t> </w:t>
      </w:r>
      <w:r>
        <w:rPr>
          <w:color w:val="231F20"/>
          <w:sz w:val="18"/>
        </w:rPr>
        <w:t>still</w:t>
      </w:r>
      <w:r>
        <w:rPr>
          <w:color w:val="231F20"/>
          <w:spacing w:val="8"/>
          <w:sz w:val="18"/>
        </w:rPr>
        <w:t> </w:t>
      </w:r>
      <w:r>
        <w:rPr>
          <w:color w:val="231F20"/>
          <w:spacing w:val="-2"/>
          <w:sz w:val="18"/>
        </w:rPr>
        <w:t>true.</w:t>
      </w:r>
    </w:p>
    <w:p>
      <w:pPr>
        <w:spacing w:after="0" w:line="231" w:lineRule="exact"/>
        <w:jc w:val="left"/>
        <w:rPr>
          <w:sz w:val="18"/>
        </w:rPr>
        <w:sectPr>
          <w:pgSz w:w="12240" w:h="15840"/>
          <w:pgMar w:header="0" w:footer="736" w:top="1180" w:bottom="920" w:left="1000" w:right="1060"/>
        </w:sectPr>
      </w:pPr>
    </w:p>
    <w:p>
      <w:pPr>
        <w:tabs>
          <w:tab w:pos="4602" w:val="left" w:leader="none"/>
        </w:tabs>
        <w:spacing w:line="216" w:lineRule="auto" w:before="66"/>
        <w:ind w:left="4602" w:right="488" w:hanging="2370"/>
        <w:jc w:val="left"/>
        <w:rPr>
          <w:sz w:val="18"/>
        </w:rPr>
      </w:pPr>
      <w:r>
        <w:rPr>
          <w:position w:val="-3"/>
        </w:rPr>
        <w:drawing>
          <wp:inline distT="0" distB="0" distL="0" distR="0">
            <wp:extent cx="101600" cy="101600"/>
            <wp:effectExtent l="0" t="0" r="0" b="0"/>
            <wp:docPr id="1491" name="Image 1491"/>
            <wp:cNvGraphicFramePr>
              <a:graphicFrameLocks/>
            </wp:cNvGraphicFramePr>
            <a:graphic>
              <a:graphicData uri="http://schemas.openxmlformats.org/drawingml/2006/picture">
                <pic:pic>
                  <pic:nvPicPr>
                    <pic:cNvPr id="1491" name="Image 1491"/>
                    <pic:cNvPicPr/>
                  </pic:nvPicPr>
                  <pic:blipFill>
                    <a:blip r:embed="rId109" cstate="print"/>
                    <a:stretch>
                      <a:fillRect/>
                    </a:stretch>
                  </pic:blipFill>
                  <pic:spPr>
                    <a:xfrm>
                      <a:off x="0" y="0"/>
                      <a:ext cx="101600" cy="101600"/>
                    </a:xfrm>
                    <a:prstGeom prst="rect">
                      <a:avLst/>
                    </a:prstGeom>
                  </pic:spPr>
                </pic:pic>
              </a:graphicData>
            </a:graphic>
          </wp:inline>
        </w:drawing>
      </w:r>
      <w:r>
        <w:rPr>
          <w:position w:val="-3"/>
        </w:rPr>
      </w:r>
      <w:r>
        <w:rPr>
          <w:rFonts w:ascii="Times New Roman" w:hAnsi="Times New Roman"/>
          <w:spacing w:val="40"/>
          <w:sz w:val="20"/>
        </w:rPr>
        <w:t> </w:t>
      </w:r>
      <w:r>
        <w:rPr>
          <w:rFonts w:ascii="Book Antiqua" w:hAnsi="Book Antiqua"/>
          <w:b/>
          <w:color w:val="231F20"/>
          <w:sz w:val="18"/>
        </w:rPr>
        <w:t>Find</w:t>
        <w:tab/>
      </w:r>
      <w:r>
        <w:rPr>
          <w:color w:val="231F20"/>
          <w:sz w:val="18"/>
        </w:rPr>
        <w:t>Open the Find dialog box for finding events of a particular severity, status, or some other criteria. See </w:t>
      </w:r>
      <w:hyperlink w:history="true" w:anchor="_bookmark36">
        <w:r>
          <w:rPr>
            <w:color w:val="231F20"/>
            <w:sz w:val="18"/>
          </w:rPr>
          <w:t>“Finding table </w:t>
        </w:r>
        <w:r>
          <w:rPr>
            <w:color w:val="231F20"/>
            <w:sz w:val="18"/>
          </w:rPr>
          <w:t>data”</w:t>
        </w:r>
      </w:hyperlink>
      <w:r>
        <w:rPr>
          <w:color w:val="231F20"/>
          <w:sz w:val="18"/>
        </w:rPr>
        <w:t> </w:t>
      </w:r>
      <w:hyperlink w:history="true" w:anchor="_bookmark36">
        <w:r>
          <w:rPr>
            <w:color w:val="231F20"/>
            <w:sz w:val="18"/>
          </w:rPr>
          <w:t>on page 46.</w:t>
        </w:r>
      </w:hyperlink>
    </w:p>
    <w:p>
      <w:pPr>
        <w:spacing w:after="0" w:line="216" w:lineRule="auto"/>
        <w:jc w:val="left"/>
        <w:rPr>
          <w:sz w:val="18"/>
        </w:rPr>
        <w:sectPr>
          <w:pgSz w:w="12240" w:h="15840"/>
          <w:pgMar w:header="0" w:footer="736" w:top="1260" w:bottom="920" w:left="1000" w:right="1060"/>
        </w:sectPr>
      </w:pPr>
    </w:p>
    <w:p>
      <w:pPr>
        <w:spacing w:line="241" w:lineRule="exact" w:before="4"/>
        <w:ind w:left="2242" w:right="0" w:firstLine="0"/>
        <w:jc w:val="left"/>
        <w:rPr>
          <w:sz w:val="18"/>
        </w:rPr>
      </w:pPr>
      <w:r>
        <w:rPr>
          <w:position w:val="-3"/>
        </w:rPr>
        <w:drawing>
          <wp:inline distT="0" distB="0" distL="0" distR="0">
            <wp:extent cx="95250" cy="95250"/>
            <wp:effectExtent l="0" t="0" r="0" b="0"/>
            <wp:docPr id="1492" name="Image 1492"/>
            <wp:cNvGraphicFramePr>
              <a:graphicFrameLocks/>
            </wp:cNvGraphicFramePr>
            <a:graphic>
              <a:graphicData uri="http://schemas.openxmlformats.org/drawingml/2006/picture">
                <pic:pic>
                  <pic:nvPicPr>
                    <pic:cNvPr id="1492" name="Image 1492"/>
                    <pic:cNvPicPr/>
                  </pic:nvPicPr>
                  <pic:blipFill>
                    <a:blip r:embed="rId3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(Active) </w:t>
      </w:r>
      <w:r>
        <w:rPr>
          <w:color w:val="231F20"/>
          <w:sz w:val="18"/>
        </w:rPr>
        <w:t>-or-</w:t>
      </w:r>
      <w:r>
        <w:rPr>
          <w:color w:val="231F20"/>
          <w:spacing w:val="40"/>
          <w:sz w:val="18"/>
        </w:rPr>
        <w:t> </w:t>
      </w:r>
      <w:r>
        <w:rPr>
          <w:color w:val="231F20"/>
          <w:spacing w:val="19"/>
          <w:position w:val="-3"/>
          <w:sz w:val="18"/>
        </w:rPr>
        <w:drawing>
          <wp:inline distT="0" distB="0" distL="0" distR="0">
            <wp:extent cx="63500" cy="95250"/>
            <wp:effectExtent l="0" t="0" r="0" b="0"/>
            <wp:docPr id="1493" name="Image 1493"/>
            <wp:cNvGraphicFramePr>
              <a:graphicFrameLocks/>
            </wp:cNvGraphicFramePr>
            <a:graphic>
              <a:graphicData uri="http://schemas.openxmlformats.org/drawingml/2006/picture">
                <pic:pic>
                  <pic:nvPicPr>
                    <pic:cNvPr id="1493" name="Image 1493"/>
                    <pic:cNvPicPr/>
                  </pic:nvPicPr>
                  <pic:blipFill>
                    <a:blip r:embed="rId37" cstate="print"/>
                    <a:stretch>
                      <a:fillRect/>
                    </a:stretch>
                  </pic:blipFill>
                  <pic:spPr>
                    <a:xfrm>
                      <a:off x="0" y="0"/>
                      <a:ext cx="63500" cy="95250"/>
                    </a:xfrm>
                    <a:prstGeom prst="rect">
                      <a:avLst/>
                    </a:prstGeom>
                  </pic:spPr>
                </pic:pic>
              </a:graphicData>
            </a:graphic>
          </wp:inline>
        </w:drawing>
      </w:r>
      <w:r>
        <w:rPr>
          <w:color w:val="231F20"/>
          <w:spacing w:val="19"/>
          <w:position w:val="-3"/>
          <w:sz w:val="18"/>
        </w:rPr>
      </w:r>
    </w:p>
    <w:p>
      <w:pPr>
        <w:spacing w:line="215" w:lineRule="exact" w:before="0"/>
        <w:ind w:left="2232" w:right="0" w:firstLine="0"/>
        <w:jc w:val="left"/>
        <w:rPr>
          <w:rFonts w:ascii="Book Antiqua"/>
          <w:b/>
          <w:sz w:val="18"/>
        </w:rPr>
      </w:pPr>
      <w:r>
        <w:rPr>
          <w:rFonts w:ascii="Book Antiqua"/>
          <w:b/>
          <w:color w:val="231F20"/>
          <w:spacing w:val="-2"/>
          <w:sz w:val="18"/>
        </w:rPr>
        <w:t>(Paused)</w:t>
      </w:r>
    </w:p>
    <w:p>
      <w:pPr>
        <w:spacing w:line="231" w:lineRule="exact" w:before="3"/>
        <w:ind w:left="2232" w:right="0" w:firstLine="0"/>
        <w:jc w:val="left"/>
        <w:rPr>
          <w:sz w:val="18"/>
        </w:rPr>
      </w:pPr>
      <w:r>
        <w:rPr>
          <w:rFonts w:ascii="Book Antiqua"/>
          <w:b/>
          <w:color w:val="231F20"/>
          <w:sz w:val="18"/>
        </w:rPr>
        <w:t>Total</w:t>
      </w:r>
      <w:r>
        <w:rPr>
          <w:rFonts w:ascii="Book Antiqua"/>
          <w:b/>
          <w:color w:val="231F20"/>
          <w:spacing w:val="3"/>
          <w:sz w:val="18"/>
        </w:rPr>
        <w:t> </w:t>
      </w:r>
      <w:r>
        <w:rPr>
          <w:rFonts w:ascii="Book Antiqua"/>
          <w:b/>
          <w:color w:val="231F20"/>
          <w:sz w:val="18"/>
        </w:rPr>
        <w:t>Events:</w:t>
      </w:r>
      <w:r>
        <w:rPr>
          <w:rFonts w:ascii="Book Antiqua"/>
          <w:b/>
          <w:color w:val="231F20"/>
          <w:spacing w:val="3"/>
          <w:sz w:val="18"/>
        </w:rPr>
        <w:t> </w:t>
      </w:r>
      <w:r>
        <w:rPr>
          <w:rFonts w:ascii="Book Antiqua"/>
          <w:i/>
          <w:color w:val="231F20"/>
          <w:sz w:val="18"/>
        </w:rPr>
        <w:t>31</w:t>
      </w:r>
      <w:r>
        <w:rPr>
          <w:rFonts w:ascii="Book Antiqua"/>
          <w:i/>
          <w:color w:val="231F20"/>
          <w:spacing w:val="3"/>
          <w:sz w:val="18"/>
        </w:rPr>
        <w:t> </w:t>
      </w:r>
      <w:r>
        <w:rPr>
          <w:color w:val="231F20"/>
          <w:sz w:val="18"/>
        </w:rPr>
        <w:t>-</w:t>
      </w:r>
      <w:r>
        <w:rPr>
          <w:color w:val="231F20"/>
          <w:spacing w:val="-5"/>
          <w:sz w:val="18"/>
        </w:rPr>
        <w:t>or-</w:t>
      </w:r>
    </w:p>
    <w:p>
      <w:pPr>
        <w:spacing w:line="231" w:lineRule="exact" w:before="0"/>
        <w:ind w:left="2232" w:right="0" w:firstLine="0"/>
        <w:jc w:val="left"/>
        <w:rPr>
          <w:rFonts w:ascii="Book Antiqua"/>
          <w:i/>
          <w:sz w:val="18"/>
        </w:rPr>
      </w:pPr>
      <w:r>
        <w:rPr>
          <w:rFonts w:ascii="Book Antiqua"/>
          <w:b/>
          <w:color w:val="231F20"/>
          <w:sz w:val="18"/>
        </w:rPr>
        <w:t>Filtered</w:t>
      </w:r>
      <w:r>
        <w:rPr>
          <w:rFonts w:ascii="Book Antiqua"/>
          <w:b/>
          <w:color w:val="231F20"/>
          <w:spacing w:val="10"/>
          <w:sz w:val="18"/>
        </w:rPr>
        <w:t> </w:t>
      </w:r>
      <w:r>
        <w:rPr>
          <w:rFonts w:ascii="Book Antiqua"/>
          <w:b/>
          <w:color w:val="231F20"/>
          <w:sz w:val="18"/>
        </w:rPr>
        <w:t>Events:</w:t>
      </w:r>
      <w:r>
        <w:rPr>
          <w:rFonts w:ascii="Book Antiqua"/>
          <w:b/>
          <w:color w:val="231F20"/>
          <w:spacing w:val="10"/>
          <w:sz w:val="18"/>
        </w:rPr>
        <w:t> </w:t>
      </w:r>
      <w:r>
        <w:rPr>
          <w:rFonts w:ascii="Book Antiqua"/>
          <w:i/>
          <w:color w:val="231F20"/>
          <w:sz w:val="18"/>
        </w:rPr>
        <w:t>7</w:t>
      </w:r>
      <w:r>
        <w:rPr>
          <w:rFonts w:ascii="Book Antiqua"/>
          <w:i/>
          <w:color w:val="231F20"/>
          <w:spacing w:val="10"/>
          <w:sz w:val="18"/>
        </w:rPr>
        <w:t> </w:t>
      </w:r>
      <w:r>
        <w:rPr>
          <w:color w:val="231F20"/>
          <w:sz w:val="18"/>
        </w:rPr>
        <w:t>of</w:t>
      </w:r>
      <w:r>
        <w:rPr>
          <w:color w:val="231F20"/>
          <w:spacing w:val="11"/>
          <w:sz w:val="18"/>
        </w:rPr>
        <w:t> </w:t>
      </w:r>
      <w:r>
        <w:rPr>
          <w:rFonts w:ascii="Book Antiqua"/>
          <w:i/>
          <w:color w:val="231F20"/>
          <w:spacing w:val="-5"/>
          <w:sz w:val="18"/>
        </w:rPr>
        <w:t>31</w:t>
      </w:r>
    </w:p>
    <w:p>
      <w:pPr>
        <w:spacing w:line="223" w:lineRule="auto" w:before="17"/>
        <w:ind w:left="430" w:right="490" w:firstLine="0"/>
        <w:jc w:val="left"/>
        <w:rPr>
          <w:sz w:val="18"/>
        </w:rPr>
      </w:pPr>
      <w:r>
        <w:rPr/>
        <w:br w:type="column"/>
      </w:r>
      <w:r>
        <w:rPr>
          <w:color w:val="231F20"/>
          <w:sz w:val="18"/>
        </w:rPr>
        <w:t>The event console gets updated as status changes occur. Use</w:t>
      </w:r>
      <w:r>
        <w:rPr>
          <w:color w:val="231F20"/>
          <w:spacing w:val="40"/>
          <w:sz w:val="18"/>
        </w:rPr>
        <w:t> </w:t>
      </w:r>
      <w:r>
        <w:rPr>
          <w:color w:val="231F20"/>
          <w:sz w:val="18"/>
        </w:rPr>
        <w:t>this tool to pause automatic refresh, and click again to resume. This is the current row count of events in the console and any events waiting to be added.</w:t>
      </w:r>
    </w:p>
    <w:p>
      <w:pPr>
        <w:spacing w:line="216" w:lineRule="auto" w:before="1"/>
        <w:ind w:left="430" w:right="568" w:firstLine="0"/>
        <w:jc w:val="left"/>
        <w:rPr>
          <w:sz w:val="18"/>
        </w:rPr>
      </w:pPr>
      <w:r>
        <w:rPr>
          <w:color w:val="231F20"/>
          <w:sz w:val="18"/>
        </w:rPr>
        <w:t>If a filter has been applied, the count of events that are</w:t>
      </w:r>
      <w:r>
        <w:rPr>
          <w:color w:val="231F20"/>
          <w:spacing w:val="80"/>
          <w:sz w:val="18"/>
        </w:rPr>
        <w:t> </w:t>
      </w:r>
      <w:r>
        <w:rPr>
          <w:color w:val="231F20"/>
          <w:sz w:val="18"/>
        </w:rPr>
        <w:t>included in the filtered view is shown. For example, if you</w:t>
      </w:r>
      <w:r>
        <w:rPr>
          <w:color w:val="231F20"/>
          <w:spacing w:val="80"/>
          <w:sz w:val="18"/>
        </w:rPr>
        <w:t> </w:t>
      </w:r>
      <w:r>
        <w:rPr>
          <w:color w:val="231F20"/>
          <w:sz w:val="18"/>
        </w:rPr>
        <w:t>click the</w:t>
      </w:r>
      <w:r>
        <w:rPr>
          <w:color w:val="231F20"/>
          <w:spacing w:val="17"/>
          <w:sz w:val="18"/>
        </w:rPr>
        <w:t> </w:t>
      </w:r>
      <w:r>
        <w:rPr>
          <w:color w:val="231F20"/>
          <w:spacing w:val="-21"/>
          <w:position w:val="-3"/>
          <w:sz w:val="18"/>
        </w:rPr>
        <w:drawing>
          <wp:inline distT="0" distB="0" distL="0" distR="0">
            <wp:extent cx="95250" cy="95250"/>
            <wp:effectExtent l="0" t="0" r="0" b="0"/>
            <wp:docPr id="1494" name="Image 1494"/>
            <wp:cNvGraphicFramePr>
              <a:graphicFrameLocks/>
            </wp:cNvGraphicFramePr>
            <a:graphic>
              <a:graphicData uri="http://schemas.openxmlformats.org/drawingml/2006/picture">
                <pic:pic>
                  <pic:nvPicPr>
                    <pic:cNvPr id="1494" name="Image 1494"/>
                    <pic:cNvPicPr/>
                  </pic:nvPicPr>
                  <pic:blipFill>
                    <a:blip r:embed="rId298"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13"/>
          <w:sz w:val="18"/>
        </w:rPr>
        <w:t> </w:t>
      </w:r>
      <w:r>
        <w:rPr>
          <w:color w:val="231F20"/>
          <w:sz w:val="18"/>
        </w:rPr>
        <w:t>Fatal and</w:t>
      </w:r>
      <w:r>
        <w:rPr>
          <w:color w:val="231F20"/>
          <w:spacing w:val="17"/>
          <w:sz w:val="18"/>
        </w:rPr>
        <w:t> </w:t>
      </w:r>
      <w:r>
        <w:rPr>
          <w:color w:val="231F20"/>
          <w:spacing w:val="-21"/>
          <w:position w:val="-3"/>
          <w:sz w:val="18"/>
        </w:rPr>
        <w:drawing>
          <wp:inline distT="0" distB="0" distL="0" distR="0">
            <wp:extent cx="95250" cy="95250"/>
            <wp:effectExtent l="0" t="0" r="0" b="0"/>
            <wp:docPr id="1495" name="Image 1495"/>
            <wp:cNvGraphicFramePr>
              <a:graphicFrameLocks/>
            </wp:cNvGraphicFramePr>
            <a:graphic>
              <a:graphicData uri="http://schemas.openxmlformats.org/drawingml/2006/picture">
                <pic:pic>
                  <pic:nvPicPr>
                    <pic:cNvPr id="1495" name="Image 1495"/>
                    <pic:cNvPicPr/>
                  </pic:nvPicPr>
                  <pic:blipFill>
                    <a:blip r:embed="rId198"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13"/>
          <w:sz w:val="18"/>
        </w:rPr>
        <w:t> </w:t>
      </w:r>
      <w:r>
        <w:rPr>
          <w:color w:val="231F20"/>
          <w:sz w:val="18"/>
        </w:rPr>
        <w:t>Critical filters to show only the 2 </w:t>
      </w:r>
      <w:r>
        <w:rPr>
          <w:color w:val="231F20"/>
          <w:sz w:val="18"/>
        </w:rPr>
        <w:t>Fatal events and 3 Critical events out of a total of 31 events, the display is Filtered Events: 5 of 31.</w:t>
      </w:r>
    </w:p>
    <w:p>
      <w:pPr>
        <w:spacing w:after="0" w:line="216" w:lineRule="auto"/>
        <w:jc w:val="left"/>
        <w:rPr>
          <w:sz w:val="18"/>
        </w:rPr>
        <w:sectPr>
          <w:type w:val="continuous"/>
          <w:pgSz w:w="12240" w:h="15840"/>
          <w:pgMar w:header="0" w:footer="736" w:top="0" w:bottom="4660" w:left="1000" w:right="1060"/>
          <w:cols w:num="2" w:equalWidth="0">
            <w:col w:w="4132" w:space="40"/>
            <w:col w:w="6008"/>
          </w:cols>
        </w:sectPr>
      </w:pPr>
    </w:p>
    <w:p>
      <w:pPr>
        <w:tabs>
          <w:tab w:pos="4602" w:val="left" w:leader="none"/>
        </w:tabs>
        <w:spacing w:line="231" w:lineRule="exact" w:before="5"/>
        <w:ind w:left="2232" w:right="0" w:firstLine="0"/>
        <w:jc w:val="left"/>
        <w:rPr>
          <w:sz w:val="18"/>
        </w:rPr>
      </w:pPr>
      <w:r>
        <w:rPr>
          <w:rFonts w:ascii="Book Antiqua"/>
          <w:b/>
          <w:color w:val="231F20"/>
          <w:sz w:val="18"/>
        </w:rPr>
        <w:t>Item</w:t>
      </w:r>
      <w:r>
        <w:rPr>
          <w:rFonts w:ascii="Book Antiqua"/>
          <w:b/>
          <w:color w:val="231F20"/>
          <w:spacing w:val="9"/>
          <w:sz w:val="18"/>
        </w:rPr>
        <w:t> </w:t>
      </w:r>
      <w:r>
        <w:rPr>
          <w:rFonts w:ascii="Book Antiqua"/>
          <w:b/>
          <w:color w:val="231F20"/>
          <w:sz w:val="18"/>
        </w:rPr>
        <w:t>Filter:</w:t>
      </w:r>
      <w:r>
        <w:rPr>
          <w:rFonts w:ascii="Book Antiqua"/>
          <w:b/>
          <w:color w:val="231F20"/>
          <w:spacing w:val="10"/>
          <w:sz w:val="18"/>
        </w:rPr>
        <w:t> </w:t>
      </w:r>
      <w:r>
        <w:rPr>
          <w:rFonts w:ascii="Book Antiqua"/>
          <w:b/>
          <w:i/>
          <w:color w:val="231F20"/>
          <w:spacing w:val="-2"/>
          <w:sz w:val="18"/>
        </w:rPr>
        <w:t>Item_name</w:t>
      </w:r>
      <w:r>
        <w:rPr>
          <w:rFonts w:ascii="Book Antiqua"/>
          <w:b/>
          <w:i/>
          <w:color w:val="231F20"/>
          <w:sz w:val="18"/>
        </w:rPr>
        <w:tab/>
      </w:r>
      <w:r>
        <w:rPr>
          <w:color w:val="231F20"/>
          <w:sz w:val="18"/>
        </w:rPr>
        <w:t>The</w:t>
      </w:r>
      <w:r>
        <w:rPr>
          <w:color w:val="231F20"/>
          <w:spacing w:val="10"/>
          <w:sz w:val="18"/>
        </w:rPr>
        <w:t> </w:t>
      </w:r>
      <w:r>
        <w:rPr>
          <w:color w:val="231F20"/>
          <w:sz w:val="18"/>
        </w:rPr>
        <w:t>item</w:t>
      </w:r>
      <w:r>
        <w:rPr>
          <w:color w:val="231F20"/>
          <w:spacing w:val="11"/>
          <w:sz w:val="18"/>
        </w:rPr>
        <w:t> </w:t>
      </w:r>
      <w:r>
        <w:rPr>
          <w:color w:val="231F20"/>
          <w:sz w:val="18"/>
        </w:rPr>
        <w:t>filter</w:t>
      </w:r>
      <w:r>
        <w:rPr>
          <w:color w:val="231F20"/>
          <w:spacing w:val="10"/>
          <w:sz w:val="18"/>
        </w:rPr>
        <w:t> </w:t>
      </w:r>
      <w:r>
        <w:rPr>
          <w:color w:val="231F20"/>
          <w:sz w:val="18"/>
        </w:rPr>
        <w:t>is</w:t>
      </w:r>
      <w:r>
        <w:rPr>
          <w:color w:val="231F20"/>
          <w:spacing w:val="11"/>
          <w:sz w:val="18"/>
        </w:rPr>
        <w:t> </w:t>
      </w:r>
      <w:r>
        <w:rPr>
          <w:color w:val="231F20"/>
          <w:sz w:val="18"/>
        </w:rPr>
        <w:t>the</w:t>
      </w:r>
      <w:r>
        <w:rPr>
          <w:color w:val="231F20"/>
          <w:spacing w:val="10"/>
          <w:sz w:val="18"/>
        </w:rPr>
        <w:t> </w:t>
      </w:r>
      <w:r>
        <w:rPr>
          <w:color w:val="231F20"/>
          <w:sz w:val="18"/>
        </w:rPr>
        <w:t>name</w:t>
      </w:r>
      <w:r>
        <w:rPr>
          <w:color w:val="231F20"/>
          <w:spacing w:val="11"/>
          <w:sz w:val="18"/>
        </w:rPr>
        <w:t> </w:t>
      </w:r>
      <w:r>
        <w:rPr>
          <w:color w:val="231F20"/>
          <w:sz w:val="18"/>
        </w:rPr>
        <w:t>of</w:t>
      </w:r>
      <w:r>
        <w:rPr>
          <w:color w:val="231F20"/>
          <w:spacing w:val="10"/>
          <w:sz w:val="18"/>
        </w:rPr>
        <w:t> </w:t>
      </w:r>
      <w:r>
        <w:rPr>
          <w:color w:val="231F20"/>
          <w:sz w:val="18"/>
        </w:rPr>
        <w:t>the</w:t>
      </w:r>
      <w:r>
        <w:rPr>
          <w:color w:val="231F20"/>
          <w:spacing w:val="11"/>
          <w:sz w:val="18"/>
        </w:rPr>
        <w:t> </w:t>
      </w:r>
      <w:r>
        <w:rPr>
          <w:color w:val="231F20"/>
          <w:sz w:val="18"/>
        </w:rPr>
        <w:t>Navigator</w:t>
      </w:r>
      <w:r>
        <w:rPr>
          <w:color w:val="231F20"/>
          <w:spacing w:val="11"/>
          <w:sz w:val="18"/>
        </w:rPr>
        <w:t> </w:t>
      </w:r>
      <w:r>
        <w:rPr>
          <w:color w:val="231F20"/>
          <w:sz w:val="18"/>
        </w:rPr>
        <w:t>item</w:t>
      </w:r>
      <w:r>
        <w:rPr>
          <w:color w:val="231F20"/>
          <w:spacing w:val="10"/>
          <w:sz w:val="18"/>
        </w:rPr>
        <w:t> </w:t>
      </w:r>
      <w:r>
        <w:rPr>
          <w:color w:val="231F20"/>
          <w:sz w:val="18"/>
        </w:rPr>
        <w:t>by</w:t>
      </w:r>
      <w:r>
        <w:rPr>
          <w:color w:val="231F20"/>
          <w:spacing w:val="11"/>
          <w:sz w:val="18"/>
        </w:rPr>
        <w:t> </w:t>
      </w:r>
      <w:r>
        <w:rPr>
          <w:color w:val="231F20"/>
          <w:sz w:val="18"/>
        </w:rPr>
        <w:t>which</w:t>
      </w:r>
      <w:r>
        <w:rPr>
          <w:color w:val="231F20"/>
          <w:spacing w:val="10"/>
          <w:sz w:val="18"/>
        </w:rPr>
        <w:t> </w:t>
      </w:r>
      <w:r>
        <w:rPr>
          <w:color w:val="231F20"/>
          <w:spacing w:val="-5"/>
          <w:sz w:val="18"/>
        </w:rPr>
        <w:t>the</w:t>
      </w:r>
    </w:p>
    <w:p>
      <w:pPr>
        <w:spacing w:line="231" w:lineRule="exact" w:before="0"/>
        <w:ind w:left="4602" w:right="0" w:firstLine="0"/>
        <w:jc w:val="left"/>
        <w:rPr>
          <w:sz w:val="18"/>
        </w:rPr>
      </w:pPr>
      <w:r>
        <w:rPr>
          <w:color w:val="231F20"/>
          <w:sz w:val="18"/>
        </w:rPr>
        <w:t>events</w:t>
      </w:r>
      <w:r>
        <w:rPr>
          <w:color w:val="231F20"/>
          <w:spacing w:val="8"/>
          <w:sz w:val="18"/>
        </w:rPr>
        <w:t> </w:t>
      </w:r>
      <w:r>
        <w:rPr>
          <w:color w:val="231F20"/>
          <w:sz w:val="18"/>
        </w:rPr>
        <w:t>are</w:t>
      </w:r>
      <w:r>
        <w:rPr>
          <w:color w:val="231F20"/>
          <w:spacing w:val="8"/>
          <w:sz w:val="18"/>
        </w:rPr>
        <w:t> </w:t>
      </w:r>
      <w:r>
        <w:rPr>
          <w:color w:val="231F20"/>
          <w:spacing w:val="-2"/>
          <w:sz w:val="18"/>
        </w:rPr>
        <w:t>filtered.</w:t>
      </w:r>
    </w:p>
    <w:p>
      <w:pPr>
        <w:pStyle w:val="BodyText"/>
        <w:spacing w:before="190"/>
        <w:rPr>
          <w:sz w:val="18"/>
        </w:rPr>
      </w:pPr>
    </w:p>
    <w:p>
      <w:pPr>
        <w:pStyle w:val="Heading5"/>
        <w:spacing w:before="0"/>
        <w:ind w:left="2232"/>
      </w:pPr>
      <w:r>
        <w:rPr>
          <w:color w:val="231F20"/>
        </w:rPr>
        <w:t>Event</w:t>
      </w:r>
      <w:r>
        <w:rPr>
          <w:color w:val="231F20"/>
          <w:spacing w:val="5"/>
        </w:rPr>
        <w:t> </w:t>
      </w:r>
      <w:r>
        <w:rPr>
          <w:color w:val="231F20"/>
          <w:spacing w:val="-4"/>
        </w:rPr>
        <w:t>list</w:t>
      </w:r>
    </w:p>
    <w:p>
      <w:pPr>
        <w:pStyle w:val="BodyText"/>
        <w:spacing w:before="223"/>
        <w:ind w:left="2232"/>
      </w:pPr>
      <w:r>
        <w:rPr>
          <w:color w:val="231F20"/>
        </w:rPr>
        <w:t>The</w:t>
      </w:r>
      <w:r>
        <w:rPr>
          <w:color w:val="231F20"/>
          <w:spacing w:val="10"/>
        </w:rPr>
        <w:t> </w:t>
      </w:r>
      <w:r>
        <w:rPr>
          <w:color w:val="231F20"/>
        </w:rPr>
        <w:t>event</w:t>
      </w:r>
      <w:r>
        <w:rPr>
          <w:color w:val="231F20"/>
          <w:spacing w:val="11"/>
        </w:rPr>
        <w:t> </w:t>
      </w:r>
      <w:r>
        <w:rPr>
          <w:color w:val="231F20"/>
        </w:rPr>
        <w:t>console</w:t>
      </w:r>
      <w:r>
        <w:rPr>
          <w:color w:val="231F20"/>
          <w:spacing w:val="11"/>
        </w:rPr>
        <w:t> </w:t>
      </w:r>
      <w:r>
        <w:rPr>
          <w:color w:val="231F20"/>
        </w:rPr>
        <w:t>displays</w:t>
      </w:r>
      <w:r>
        <w:rPr>
          <w:color w:val="231F20"/>
          <w:spacing w:val="10"/>
        </w:rPr>
        <w:t> </w:t>
      </w:r>
      <w:r>
        <w:rPr>
          <w:color w:val="231F20"/>
        </w:rPr>
        <w:t>event</w:t>
      </w:r>
      <w:r>
        <w:rPr>
          <w:color w:val="231F20"/>
          <w:spacing w:val="11"/>
        </w:rPr>
        <w:t> </w:t>
      </w:r>
      <w:r>
        <w:rPr>
          <w:color w:val="231F20"/>
        </w:rPr>
        <w:t>information</w:t>
      </w:r>
      <w:r>
        <w:rPr>
          <w:color w:val="231F20"/>
          <w:spacing w:val="11"/>
        </w:rPr>
        <w:t> </w:t>
      </w:r>
      <w:r>
        <w:rPr>
          <w:color w:val="231F20"/>
        </w:rPr>
        <w:t>in</w:t>
      </w:r>
      <w:r>
        <w:rPr>
          <w:color w:val="231F20"/>
          <w:spacing w:val="11"/>
        </w:rPr>
        <w:t> </w:t>
      </w:r>
      <w:r>
        <w:rPr>
          <w:color w:val="231F20"/>
        </w:rPr>
        <w:t>the</w:t>
      </w:r>
      <w:r>
        <w:rPr>
          <w:color w:val="231F20"/>
          <w:spacing w:val="10"/>
        </w:rPr>
        <w:t> </w:t>
      </w:r>
      <w:r>
        <w:rPr>
          <w:color w:val="231F20"/>
          <w:spacing w:val="-2"/>
        </w:rPr>
        <w:t>view.</w:t>
      </w:r>
    </w:p>
    <w:p>
      <w:pPr>
        <w:spacing w:line="216" w:lineRule="auto" w:before="174"/>
        <w:ind w:left="4602" w:right="520" w:firstLine="0"/>
        <w:jc w:val="left"/>
        <w:rPr>
          <w:sz w:val="18"/>
        </w:rPr>
      </w:pPr>
      <w:r>
        <w:rPr/>
        <w:drawing>
          <wp:anchor distT="0" distB="0" distL="0" distR="0" allowOverlap="1" layoutInCell="1" locked="0" behindDoc="0" simplePos="0" relativeHeight="15836160">
            <wp:simplePos x="0" y="0"/>
            <wp:positionH relativeFrom="page">
              <wp:posOffset>2084613</wp:posOffset>
            </wp:positionH>
            <wp:positionV relativeFrom="paragraph">
              <wp:posOffset>357786</wp:posOffset>
            </wp:positionV>
            <wp:extent cx="63500" cy="95250"/>
            <wp:effectExtent l="0" t="0" r="0" b="0"/>
            <wp:wrapNone/>
            <wp:docPr id="1496" name="Image 1496"/>
            <wp:cNvGraphicFramePr>
              <a:graphicFrameLocks/>
            </wp:cNvGraphicFramePr>
            <a:graphic>
              <a:graphicData uri="http://schemas.openxmlformats.org/drawingml/2006/picture">
                <pic:pic>
                  <pic:nvPicPr>
                    <pic:cNvPr id="1496" name="Image 1496"/>
                    <pic:cNvPicPr/>
                  </pic:nvPicPr>
                  <pic:blipFill>
                    <a:blip r:embed="rId37" cstate="print"/>
                    <a:stretch>
                      <a:fillRect/>
                    </a:stretch>
                  </pic:blipFill>
                  <pic:spPr>
                    <a:xfrm>
                      <a:off x="0" y="0"/>
                      <a:ext cx="63500" cy="95250"/>
                    </a:xfrm>
                    <a:prstGeom prst="rect">
                      <a:avLst/>
                    </a:prstGeom>
                  </pic:spPr>
                </pic:pic>
              </a:graphicData>
            </a:graphic>
          </wp:anchor>
        </w:drawing>
      </w:r>
      <w:r>
        <w:rPr>
          <w:color w:val="231F20"/>
          <w:sz w:val="18"/>
        </w:rPr>
        <w:t>If you begin to scroll the view or expand pure events,</w:t>
      </w:r>
      <w:r>
        <w:rPr>
          <w:color w:val="231F20"/>
          <w:spacing w:val="80"/>
          <w:sz w:val="18"/>
        </w:rPr>
        <w:t> </w:t>
      </w:r>
      <w:r>
        <w:rPr>
          <w:color w:val="231F20"/>
          <w:sz w:val="18"/>
        </w:rPr>
        <w:t>automatic</w:t>
      </w:r>
      <w:r>
        <w:rPr>
          <w:color w:val="231F20"/>
          <w:spacing w:val="29"/>
          <w:sz w:val="18"/>
        </w:rPr>
        <w:t> </w:t>
      </w:r>
      <w:r>
        <w:rPr>
          <w:color w:val="231F20"/>
          <w:sz w:val="18"/>
        </w:rPr>
        <w:t>refresh</w:t>
      </w:r>
      <w:r>
        <w:rPr>
          <w:color w:val="231F20"/>
          <w:spacing w:val="29"/>
          <w:sz w:val="18"/>
        </w:rPr>
        <w:t> </w:t>
      </w:r>
      <w:r>
        <w:rPr>
          <w:color w:val="231F20"/>
          <w:sz w:val="18"/>
        </w:rPr>
        <w:t>turns</w:t>
      </w:r>
      <w:r>
        <w:rPr>
          <w:color w:val="231F20"/>
          <w:spacing w:val="29"/>
          <w:sz w:val="18"/>
        </w:rPr>
        <w:t> </w:t>
      </w:r>
      <w:r>
        <w:rPr>
          <w:color w:val="231F20"/>
          <w:sz w:val="18"/>
        </w:rPr>
        <w:t>off</w:t>
      </w:r>
      <w:r>
        <w:rPr>
          <w:color w:val="231F20"/>
          <w:spacing w:val="29"/>
          <w:sz w:val="18"/>
        </w:rPr>
        <w:t> </w:t>
      </w:r>
      <w:r>
        <w:rPr>
          <w:color w:val="231F20"/>
          <w:sz w:val="18"/>
        </w:rPr>
        <w:t>and</w:t>
      </w:r>
      <w:r>
        <w:rPr>
          <w:color w:val="231F20"/>
          <w:spacing w:val="29"/>
          <w:sz w:val="18"/>
        </w:rPr>
        <w:t> </w:t>
      </w:r>
      <w:r>
        <w:rPr>
          <w:color w:val="231F20"/>
          <w:sz w:val="18"/>
        </w:rPr>
        <w:t>this</w:t>
      </w:r>
      <w:r>
        <w:rPr>
          <w:color w:val="231F20"/>
          <w:spacing w:val="29"/>
          <w:sz w:val="18"/>
        </w:rPr>
        <w:t> </w:t>
      </w:r>
      <w:r>
        <w:rPr>
          <w:color w:val="231F20"/>
          <w:sz w:val="18"/>
        </w:rPr>
        <w:t>indicator</w:t>
      </w:r>
      <w:r>
        <w:rPr>
          <w:color w:val="231F20"/>
          <w:spacing w:val="29"/>
          <w:sz w:val="18"/>
        </w:rPr>
        <w:t> </w:t>
      </w:r>
      <w:r>
        <w:rPr>
          <w:color w:val="231F20"/>
          <w:sz w:val="18"/>
        </w:rPr>
        <w:t>is</w:t>
      </w:r>
      <w:r>
        <w:rPr>
          <w:color w:val="231F20"/>
          <w:spacing w:val="29"/>
          <w:sz w:val="18"/>
        </w:rPr>
        <w:t> </w:t>
      </w:r>
      <w:r>
        <w:rPr>
          <w:color w:val="231F20"/>
          <w:sz w:val="18"/>
        </w:rPr>
        <w:t>displayed</w:t>
      </w:r>
      <w:r>
        <w:rPr>
          <w:color w:val="231F20"/>
          <w:spacing w:val="29"/>
          <w:sz w:val="18"/>
        </w:rPr>
        <w:t> </w:t>
      </w:r>
      <w:r>
        <w:rPr>
          <w:color w:val="231F20"/>
          <w:sz w:val="18"/>
        </w:rPr>
        <w:t>at the top left corner of the list. Click </w:t>
      </w:r>
      <w:r>
        <w:rPr>
          <w:rFonts w:ascii="Book Antiqua"/>
          <w:b/>
          <w:color w:val="231F20"/>
          <w:sz w:val="18"/>
        </w:rPr>
        <w:t>Console Resume </w:t>
      </w:r>
      <w:r>
        <w:rPr>
          <w:color w:val="231F20"/>
          <w:sz w:val="18"/>
        </w:rPr>
        <w:t>when you want to resume automatic refresh.</w:t>
      </w:r>
    </w:p>
    <w:p>
      <w:pPr>
        <w:spacing w:line="216" w:lineRule="auto" w:before="26"/>
        <w:ind w:left="4602" w:right="493" w:firstLine="10"/>
        <w:jc w:val="left"/>
        <w:rPr>
          <w:sz w:val="18"/>
        </w:rPr>
      </w:pPr>
      <w:r>
        <w:rPr/>
        <w:drawing>
          <wp:anchor distT="0" distB="0" distL="0" distR="0" allowOverlap="1" layoutInCell="1" locked="0" behindDoc="0" simplePos="0" relativeHeight="15836672">
            <wp:simplePos x="0" y="0"/>
            <wp:positionH relativeFrom="page">
              <wp:posOffset>2059213</wp:posOffset>
            </wp:positionH>
            <wp:positionV relativeFrom="paragraph">
              <wp:posOffset>541031</wp:posOffset>
            </wp:positionV>
            <wp:extent cx="171450" cy="82550"/>
            <wp:effectExtent l="0" t="0" r="0" b="0"/>
            <wp:wrapNone/>
            <wp:docPr id="1497" name="Image 1497"/>
            <wp:cNvGraphicFramePr>
              <a:graphicFrameLocks/>
            </wp:cNvGraphicFramePr>
            <a:graphic>
              <a:graphicData uri="http://schemas.openxmlformats.org/drawingml/2006/picture">
                <pic:pic>
                  <pic:nvPicPr>
                    <pic:cNvPr id="1497" name="Image 1497"/>
                    <pic:cNvPicPr/>
                  </pic:nvPicPr>
                  <pic:blipFill>
                    <a:blip r:embed="rId300" cstate="print"/>
                    <a:stretch>
                      <a:fillRect/>
                    </a:stretch>
                  </pic:blipFill>
                  <pic:spPr>
                    <a:xfrm>
                      <a:off x="0" y="0"/>
                      <a:ext cx="171450" cy="82550"/>
                    </a:xfrm>
                    <a:prstGeom prst="rect">
                      <a:avLst/>
                    </a:prstGeom>
                  </pic:spPr>
                </pic:pic>
              </a:graphicData>
            </a:graphic>
          </wp:anchor>
        </w:drawing>
      </w:r>
      <w:r>
        <w:rPr/>
        <w:drawing>
          <wp:inline distT="0" distB="0" distL="0" distR="0">
            <wp:extent cx="171450" cy="82550"/>
            <wp:effectExtent l="0" t="0" r="0" b="0"/>
            <wp:docPr id="1498" name="Image 1498"/>
            <wp:cNvGraphicFramePr>
              <a:graphicFrameLocks/>
            </wp:cNvGraphicFramePr>
            <a:graphic>
              <a:graphicData uri="http://schemas.openxmlformats.org/drawingml/2006/picture">
                <pic:pic>
                  <pic:nvPicPr>
                    <pic:cNvPr id="1498" name="Image 1498"/>
                    <pic:cNvPicPr/>
                  </pic:nvPicPr>
                  <pic:blipFill>
                    <a:blip r:embed="rId300" cstate="print"/>
                    <a:stretch>
                      <a:fillRect/>
                    </a:stretch>
                  </pic:blipFill>
                  <pic:spPr>
                    <a:xfrm>
                      <a:off x="0" y="0"/>
                      <a:ext cx="171450" cy="82550"/>
                    </a:xfrm>
                    <a:prstGeom prst="rect">
                      <a:avLst/>
                    </a:prstGeom>
                  </pic:spPr>
                </pic:pic>
              </a:graphicData>
            </a:graphic>
          </wp:inline>
        </w:drawing>
      </w:r>
      <w:r>
        <w:rPr/>
      </w:r>
      <w:r>
        <w:rPr>
          <w:rFonts w:ascii="Times New Roman"/>
          <w:position w:val="2"/>
          <w:sz w:val="20"/>
        </w:rPr>
        <w:t> </w:t>
      </w:r>
      <w:r>
        <w:rPr>
          <w:color w:val="231F20"/>
          <w:position w:val="2"/>
          <w:sz w:val="18"/>
        </w:rPr>
        <w:t>Pure Event in the first column indicates the event is a pure </w:t>
      </w:r>
      <w:r>
        <w:rPr>
          <w:color w:val="231F20"/>
          <w:sz w:val="18"/>
        </w:rPr>
        <w:t>event.</w:t>
      </w:r>
      <w:r>
        <w:rPr>
          <w:color w:val="231F20"/>
          <w:spacing w:val="29"/>
          <w:sz w:val="18"/>
        </w:rPr>
        <w:t> </w:t>
      </w:r>
      <w:r>
        <w:rPr>
          <w:color w:val="231F20"/>
          <w:sz w:val="18"/>
        </w:rPr>
        <w:t>Consecutive</w:t>
      </w:r>
      <w:r>
        <w:rPr>
          <w:color w:val="231F20"/>
          <w:spacing w:val="29"/>
          <w:sz w:val="18"/>
        </w:rPr>
        <w:t> </w:t>
      </w:r>
      <w:r>
        <w:rPr>
          <w:color w:val="231F20"/>
          <w:sz w:val="18"/>
        </w:rPr>
        <w:t>pure</w:t>
      </w:r>
      <w:r>
        <w:rPr>
          <w:color w:val="231F20"/>
          <w:spacing w:val="29"/>
          <w:sz w:val="18"/>
        </w:rPr>
        <w:t> </w:t>
      </w:r>
      <w:r>
        <w:rPr>
          <w:color w:val="231F20"/>
          <w:sz w:val="18"/>
        </w:rPr>
        <w:t>events</w:t>
      </w:r>
      <w:r>
        <w:rPr>
          <w:color w:val="231F20"/>
          <w:spacing w:val="29"/>
          <w:sz w:val="18"/>
        </w:rPr>
        <w:t> </w:t>
      </w:r>
      <w:r>
        <w:rPr>
          <w:color w:val="231F20"/>
          <w:sz w:val="18"/>
        </w:rPr>
        <w:t>are</w:t>
      </w:r>
      <w:r>
        <w:rPr>
          <w:color w:val="231F20"/>
          <w:spacing w:val="29"/>
          <w:sz w:val="18"/>
        </w:rPr>
        <w:t> </w:t>
      </w:r>
      <w:r>
        <w:rPr>
          <w:color w:val="231F20"/>
          <w:sz w:val="18"/>
        </w:rPr>
        <w:t>consolidated:</w:t>
      </w:r>
      <w:r>
        <w:rPr>
          <w:color w:val="231F20"/>
          <w:spacing w:val="40"/>
          <w:sz w:val="18"/>
        </w:rPr>
        <w:t> </w:t>
      </w:r>
      <w:r>
        <w:rPr>
          <w:color w:val="231F20"/>
          <w:spacing w:val="8"/>
          <w:sz w:val="18"/>
        </w:rPr>
        <w:drawing>
          <wp:inline distT="0" distB="0" distL="0" distR="0">
            <wp:extent cx="69850" cy="69850"/>
            <wp:effectExtent l="0" t="0" r="0" b="0"/>
            <wp:docPr id="1499" name="Image 1499"/>
            <wp:cNvGraphicFramePr>
              <a:graphicFrameLocks/>
            </wp:cNvGraphicFramePr>
            <a:graphic>
              <a:graphicData uri="http://schemas.openxmlformats.org/drawingml/2006/picture">
                <pic:pic>
                  <pic:nvPicPr>
                    <pic:cNvPr id="1499" name="Image 149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8"/>
          <w:sz w:val="18"/>
        </w:rPr>
      </w:r>
      <w:r>
        <w:rPr>
          <w:rFonts w:ascii="Times New Roman"/>
          <w:color w:val="231F20"/>
          <w:spacing w:val="80"/>
          <w:sz w:val="18"/>
        </w:rPr>
        <w:t> </w:t>
      </w:r>
      <w:r>
        <w:rPr>
          <w:color w:val="231F20"/>
          <w:sz w:val="18"/>
        </w:rPr>
        <w:t>Expand </w:t>
      </w:r>
      <w:r>
        <w:rPr>
          <w:color w:val="231F20"/>
          <w:position w:val="2"/>
          <w:sz w:val="18"/>
        </w:rPr>
        <w:t>the list to show a row for each pure event; </w:t>
      </w:r>
      <w:r>
        <w:rPr>
          <w:color w:val="231F20"/>
          <w:spacing w:val="-22"/>
          <w:sz w:val="18"/>
        </w:rPr>
        <w:drawing>
          <wp:inline distT="0" distB="0" distL="0" distR="0">
            <wp:extent cx="171450" cy="82550"/>
            <wp:effectExtent l="0" t="0" r="0" b="0"/>
            <wp:docPr id="1500" name="Image 1500"/>
            <wp:cNvGraphicFramePr>
              <a:graphicFrameLocks/>
            </wp:cNvGraphicFramePr>
            <a:graphic>
              <a:graphicData uri="http://schemas.openxmlformats.org/drawingml/2006/picture">
                <pic:pic>
                  <pic:nvPicPr>
                    <pic:cNvPr id="1500" name="Image 1500"/>
                    <pic:cNvPicPr/>
                  </pic:nvPicPr>
                  <pic:blipFill>
                    <a:blip r:embed="rId301" cstate="print"/>
                    <a:stretch>
                      <a:fillRect/>
                    </a:stretch>
                  </pic:blipFill>
                  <pic:spPr>
                    <a:xfrm>
                      <a:off x="0" y="0"/>
                      <a:ext cx="171450" cy="82550"/>
                    </a:xfrm>
                    <a:prstGeom prst="rect">
                      <a:avLst/>
                    </a:prstGeom>
                  </pic:spPr>
                </pic:pic>
              </a:graphicData>
            </a:graphic>
          </wp:inline>
        </w:drawing>
      </w:r>
      <w:r>
        <w:rPr>
          <w:color w:val="231F20"/>
          <w:spacing w:val="-22"/>
          <w:sz w:val="18"/>
        </w:rPr>
      </w:r>
      <w:r>
        <w:rPr>
          <w:rFonts w:ascii="Times New Roman"/>
          <w:color w:val="231F20"/>
          <w:spacing w:val="40"/>
          <w:position w:val="2"/>
          <w:sz w:val="18"/>
        </w:rPr>
        <w:t> </w:t>
      </w:r>
      <w:r>
        <w:rPr>
          <w:rFonts w:ascii="Book Antiqua"/>
          <w:b/>
          <w:color w:val="231F20"/>
          <w:position w:val="2"/>
          <w:sz w:val="18"/>
        </w:rPr>
        <w:t>Link </w:t>
      </w:r>
      <w:r>
        <w:rPr>
          <w:color w:val="231F20"/>
          <w:position w:val="2"/>
          <w:sz w:val="18"/>
        </w:rPr>
        <w:t>to event </w:t>
      </w:r>
      <w:r>
        <w:rPr>
          <w:color w:val="231F20"/>
          <w:sz w:val="18"/>
        </w:rPr>
        <w:t>details about the pure event;</w:t>
      </w:r>
      <w:r>
        <w:rPr>
          <w:color w:val="231F20"/>
          <w:spacing w:val="40"/>
          <w:sz w:val="18"/>
        </w:rPr>
        <w:t> </w:t>
      </w:r>
      <w:r>
        <w:rPr>
          <w:color w:val="231F20"/>
          <w:spacing w:val="9"/>
          <w:sz w:val="18"/>
        </w:rPr>
        <w:drawing>
          <wp:inline distT="0" distB="0" distL="0" distR="0">
            <wp:extent cx="69850" cy="69850"/>
            <wp:effectExtent l="0" t="0" r="0" b="0"/>
            <wp:docPr id="1501" name="Image 1501"/>
            <wp:cNvGraphicFramePr>
              <a:graphicFrameLocks/>
            </wp:cNvGraphicFramePr>
            <a:graphic>
              <a:graphicData uri="http://schemas.openxmlformats.org/drawingml/2006/picture">
                <pic:pic>
                  <pic:nvPicPr>
                    <pic:cNvPr id="1501" name="Image 1501"/>
                    <pic:cNvPicPr/>
                  </pic:nvPicPr>
                  <pic:blipFill>
                    <a:blip r:embed="rId91" cstate="print"/>
                    <a:stretch>
                      <a:fillRect/>
                    </a:stretch>
                  </pic:blipFill>
                  <pic:spPr>
                    <a:xfrm>
                      <a:off x="0" y="0"/>
                      <a:ext cx="69850" cy="69850"/>
                    </a:xfrm>
                    <a:prstGeom prst="rect">
                      <a:avLst/>
                    </a:prstGeom>
                  </pic:spPr>
                </pic:pic>
              </a:graphicData>
            </a:graphic>
          </wp:inline>
        </w:drawing>
      </w:r>
      <w:r>
        <w:rPr>
          <w:color w:val="231F20"/>
          <w:spacing w:val="9"/>
          <w:sz w:val="18"/>
        </w:rPr>
      </w:r>
      <w:r>
        <w:rPr>
          <w:rFonts w:ascii="Times New Roman"/>
          <w:color w:val="231F20"/>
          <w:spacing w:val="80"/>
          <w:sz w:val="18"/>
        </w:rPr>
        <w:t> </w:t>
      </w:r>
      <w:r>
        <w:rPr>
          <w:color w:val="231F20"/>
          <w:sz w:val="18"/>
        </w:rPr>
        <w:t>Collapse the list back to one row. If the list does not expand, it means there is only one pure </w:t>
      </w:r>
      <w:r>
        <w:rPr>
          <w:color w:val="231F20"/>
          <w:spacing w:val="-2"/>
          <w:sz w:val="18"/>
        </w:rPr>
        <w:t>event.</w:t>
      </w:r>
    </w:p>
    <w:p>
      <w:pPr>
        <w:spacing w:line="216" w:lineRule="auto" w:before="3"/>
        <w:ind w:left="4602" w:right="545" w:firstLine="0"/>
        <w:jc w:val="left"/>
        <w:rPr>
          <w:sz w:val="18"/>
        </w:rPr>
      </w:pPr>
      <w:r>
        <w:rPr>
          <w:rFonts w:ascii="Book Antiqua"/>
          <w:b/>
          <w:color w:val="231F20"/>
          <w:sz w:val="18"/>
        </w:rPr>
        <w:t>Tip:</w:t>
      </w:r>
      <w:r>
        <w:rPr>
          <w:rFonts w:ascii="Book Antiqua"/>
          <w:b/>
          <w:color w:val="231F20"/>
          <w:spacing w:val="34"/>
          <w:sz w:val="18"/>
        </w:rPr>
        <w:t> </w:t>
      </w:r>
      <w:r>
        <w:rPr>
          <w:color w:val="231F20"/>
          <w:sz w:val="18"/>
        </w:rPr>
        <w:t>You can remove old pure events from the list by closing the pure event.</w:t>
      </w:r>
    </w:p>
    <w:p>
      <w:pPr>
        <w:spacing w:line="216" w:lineRule="auto" w:before="22"/>
        <w:ind w:left="4602" w:right="0" w:firstLine="0"/>
        <w:jc w:val="left"/>
        <w:rPr>
          <w:sz w:val="18"/>
        </w:rPr>
      </w:pPr>
      <w:r>
        <w:rPr/>
        <w:drawing>
          <wp:anchor distT="0" distB="0" distL="0" distR="0" allowOverlap="1" layoutInCell="1" locked="0" behindDoc="0" simplePos="0" relativeHeight="15837184">
            <wp:simplePos x="0" y="0"/>
            <wp:positionH relativeFrom="page">
              <wp:posOffset>2052863</wp:posOffset>
            </wp:positionH>
            <wp:positionV relativeFrom="paragraph">
              <wp:posOffset>115453</wp:posOffset>
            </wp:positionV>
            <wp:extent cx="101600" cy="101600"/>
            <wp:effectExtent l="0" t="0" r="0" b="0"/>
            <wp:wrapNone/>
            <wp:docPr id="1502" name="Image 1502"/>
            <wp:cNvGraphicFramePr>
              <a:graphicFrameLocks/>
            </wp:cNvGraphicFramePr>
            <a:graphic>
              <a:graphicData uri="http://schemas.openxmlformats.org/drawingml/2006/picture">
                <pic:pic>
                  <pic:nvPicPr>
                    <pic:cNvPr id="1502" name="Image 1502"/>
                    <pic:cNvPicPr/>
                  </pic:nvPicPr>
                  <pic:blipFill>
                    <a:blip r:embed="rId79" cstate="print"/>
                    <a:stretch>
                      <a:fillRect/>
                    </a:stretch>
                  </pic:blipFill>
                  <pic:spPr>
                    <a:xfrm>
                      <a:off x="0" y="0"/>
                      <a:ext cx="101600" cy="101600"/>
                    </a:xfrm>
                    <a:prstGeom prst="rect">
                      <a:avLst/>
                    </a:prstGeom>
                  </pic:spPr>
                </pic:pic>
              </a:graphicData>
            </a:graphic>
          </wp:anchor>
        </w:drawing>
      </w:r>
      <w:r>
        <w:rPr>
          <w:color w:val="231F20"/>
          <w:sz w:val="18"/>
        </w:rPr>
        <w:t>The link button enables you to navigate to the Event Details workspace for an individual event.</w:t>
      </w:r>
    </w:p>
    <w:p>
      <w:pPr>
        <w:tabs>
          <w:tab w:pos="4602" w:val="left" w:leader="none"/>
        </w:tabs>
        <w:spacing w:line="151" w:lineRule="auto" w:before="34"/>
        <w:ind w:left="4602" w:right="488" w:hanging="2370"/>
        <w:jc w:val="left"/>
        <w:rPr>
          <w:sz w:val="18"/>
        </w:rPr>
      </w:pPr>
      <w:r>
        <w:rPr>
          <w:rFonts w:ascii="Book Antiqua"/>
          <w:b/>
          <w:color w:val="231F20"/>
          <w:spacing w:val="-2"/>
          <w:position w:val="-10"/>
          <w:sz w:val="18"/>
        </w:rPr>
        <w:t>Severity</w:t>
      </w:r>
      <w:r>
        <w:rPr>
          <w:rFonts w:ascii="Book Antiqua"/>
          <w:b/>
          <w:color w:val="231F20"/>
          <w:position w:val="-10"/>
          <w:sz w:val="18"/>
        </w:rPr>
        <w:tab/>
      </w:r>
      <w:r>
        <w:rPr>
          <w:color w:val="231F20"/>
          <w:sz w:val="18"/>
        </w:rPr>
        <w:t>The severity of the event: Critical, Warning, Informational, </w:t>
      </w:r>
      <w:r>
        <w:rPr>
          <w:color w:val="231F20"/>
          <w:sz w:val="18"/>
        </w:rPr>
        <w:t>and so on.</w:t>
      </w:r>
    </w:p>
    <w:p>
      <w:pPr>
        <w:spacing w:before="18"/>
        <w:ind w:left="4602" w:right="0" w:firstLine="0"/>
        <w:jc w:val="left"/>
        <w:rPr>
          <w:sz w:val="18"/>
        </w:rPr>
      </w:pPr>
      <w:r>
        <w:rPr>
          <w:color w:val="231F20"/>
          <w:sz w:val="18"/>
        </w:rPr>
        <w:t>The</w:t>
      </w:r>
      <w:r>
        <w:rPr>
          <w:color w:val="231F20"/>
          <w:spacing w:val="11"/>
          <w:sz w:val="18"/>
        </w:rPr>
        <w:t> </w:t>
      </w:r>
      <w:r>
        <w:rPr>
          <w:color w:val="231F20"/>
          <w:sz w:val="18"/>
        </w:rPr>
        <w:t>status</w:t>
      </w:r>
      <w:r>
        <w:rPr>
          <w:color w:val="231F20"/>
          <w:spacing w:val="11"/>
          <w:sz w:val="18"/>
        </w:rPr>
        <w:t> </w:t>
      </w:r>
      <w:r>
        <w:rPr>
          <w:color w:val="231F20"/>
          <w:sz w:val="18"/>
        </w:rPr>
        <w:t>of</w:t>
      </w:r>
      <w:r>
        <w:rPr>
          <w:color w:val="231F20"/>
          <w:spacing w:val="11"/>
          <w:sz w:val="18"/>
        </w:rPr>
        <w:t> </w:t>
      </w:r>
      <w:r>
        <w:rPr>
          <w:color w:val="231F20"/>
          <w:sz w:val="18"/>
        </w:rPr>
        <w:t>the</w:t>
      </w:r>
      <w:r>
        <w:rPr>
          <w:color w:val="231F20"/>
          <w:spacing w:val="11"/>
          <w:sz w:val="18"/>
        </w:rPr>
        <w:t> </w:t>
      </w:r>
      <w:r>
        <w:rPr>
          <w:color w:val="231F20"/>
          <w:spacing w:val="-2"/>
          <w:sz w:val="18"/>
        </w:rPr>
        <w:t>event:</w:t>
      </w:r>
    </w:p>
    <w:p>
      <w:pPr>
        <w:tabs>
          <w:tab w:pos="5320" w:val="left" w:leader="none"/>
        </w:tabs>
        <w:spacing w:line="216" w:lineRule="auto" w:before="115"/>
        <w:ind w:left="5320" w:right="544" w:hanging="719"/>
        <w:jc w:val="left"/>
        <w:rPr>
          <w:sz w:val="18"/>
        </w:rPr>
      </w:pPr>
      <w:r>
        <w:rPr>
          <w:rFonts w:ascii="Book Antiqua"/>
          <w:b/>
          <w:color w:val="231F20"/>
          <w:spacing w:val="-4"/>
          <w:sz w:val="18"/>
        </w:rPr>
        <w:t>Open</w:t>
      </w:r>
      <w:r>
        <w:rPr>
          <w:rFonts w:ascii="Book Antiqua"/>
          <w:b/>
          <w:color w:val="231F20"/>
          <w:sz w:val="18"/>
        </w:rPr>
        <w:tab/>
      </w:r>
      <w:r>
        <w:rPr>
          <w:color w:val="231F20"/>
          <w:sz w:val="18"/>
        </w:rPr>
        <w:t>The situation is true and the event indicator turned</w:t>
      </w:r>
      <w:r>
        <w:rPr>
          <w:color w:val="231F20"/>
          <w:spacing w:val="40"/>
          <w:sz w:val="18"/>
        </w:rPr>
        <w:t> </w:t>
      </w:r>
      <w:r>
        <w:rPr>
          <w:color w:val="231F20"/>
          <w:sz w:val="18"/>
        </w:rPr>
        <w:t>on. The icon and threshold color indicate the </w:t>
      </w:r>
      <w:r>
        <w:rPr>
          <w:color w:val="231F20"/>
          <w:sz w:val="18"/>
        </w:rPr>
        <w:t>severity of the alert.</w:t>
      </w:r>
    </w:p>
    <w:p>
      <w:pPr>
        <w:spacing w:line="216" w:lineRule="auto" w:before="123"/>
        <w:ind w:left="5320" w:right="545" w:firstLine="0"/>
        <w:jc w:val="left"/>
        <w:rPr>
          <w:sz w:val="18"/>
        </w:rPr>
      </w:pPr>
      <w:r>
        <w:rPr/>
        <w:drawing>
          <wp:inline distT="0" distB="0" distL="0" distR="0">
            <wp:extent cx="57150" cy="57150"/>
            <wp:effectExtent l="0" t="0" r="0" b="0"/>
            <wp:docPr id="1503" name="Image 1503"/>
            <wp:cNvGraphicFramePr>
              <a:graphicFrameLocks/>
            </wp:cNvGraphicFramePr>
            <a:graphic>
              <a:graphicData uri="http://schemas.openxmlformats.org/drawingml/2006/picture">
                <pic:pic>
                  <pic:nvPicPr>
                    <pic:cNvPr id="1503" name="Image 1503"/>
                    <pic:cNvPicPr/>
                  </pic:nvPicPr>
                  <pic:blipFill>
                    <a:blip r:embed="rId302" cstate="print"/>
                    <a:stretch>
                      <a:fillRect/>
                    </a:stretch>
                  </pic:blipFill>
                  <pic:spPr>
                    <a:xfrm>
                      <a:off x="0" y="0"/>
                      <a:ext cx="57150" cy="57150"/>
                    </a:xfrm>
                    <a:prstGeom prst="rect">
                      <a:avLst/>
                    </a:prstGeom>
                  </pic:spPr>
                </pic:pic>
              </a:graphicData>
            </a:graphic>
          </wp:inline>
        </w:drawing>
      </w:r>
      <w:r>
        <w:rPr/>
      </w:r>
      <w:r>
        <w:rPr>
          <w:rFonts w:ascii="Times New Roman"/>
          <w:spacing w:val="40"/>
          <w:sz w:val="20"/>
        </w:rPr>
        <w:t> </w:t>
      </w:r>
      <w:r>
        <w:rPr>
          <w:color w:val="231F20"/>
          <w:sz w:val="18"/>
        </w:rPr>
        <w:t>overlays the state icon if the acknowledgement </w:t>
      </w:r>
      <w:r>
        <w:rPr>
          <w:color w:val="231F20"/>
          <w:sz w:val="18"/>
        </w:rPr>
        <w:t>for the event has </w:t>
      </w:r>
      <w:r>
        <w:rPr>
          <w:rFonts w:ascii="Book Antiqua"/>
          <w:i/>
          <w:color w:val="231F20"/>
          <w:sz w:val="18"/>
        </w:rPr>
        <w:t>Expired </w:t>
      </w:r>
      <w:r>
        <w:rPr>
          <w:color w:val="231F20"/>
          <w:sz w:val="18"/>
        </w:rPr>
        <w:t>while the event is still open.</w:t>
      </w:r>
    </w:p>
    <w:p>
      <w:pPr>
        <w:spacing w:line="216" w:lineRule="auto" w:before="121"/>
        <w:ind w:left="5320" w:right="385" w:firstLine="0"/>
        <w:jc w:val="left"/>
        <w:rPr>
          <w:sz w:val="18"/>
        </w:rPr>
      </w:pPr>
      <w:r>
        <w:rPr/>
        <w:drawing>
          <wp:inline distT="0" distB="0" distL="0" distR="0">
            <wp:extent cx="57150" cy="57150"/>
            <wp:effectExtent l="0" t="0" r="0" b="0"/>
            <wp:docPr id="1504" name="Image 1504"/>
            <wp:cNvGraphicFramePr>
              <a:graphicFrameLocks/>
            </wp:cNvGraphicFramePr>
            <a:graphic>
              <a:graphicData uri="http://schemas.openxmlformats.org/drawingml/2006/picture">
                <pic:pic>
                  <pic:nvPicPr>
                    <pic:cNvPr id="1504" name="Image 1504"/>
                    <pic:cNvPicPr/>
                  </pic:nvPicPr>
                  <pic:blipFill>
                    <a:blip r:embed="rId303" cstate="print"/>
                    <a:stretch>
                      <a:fillRect/>
                    </a:stretch>
                  </pic:blipFill>
                  <pic:spPr>
                    <a:xfrm>
                      <a:off x="0" y="0"/>
                      <a:ext cx="57150" cy="57150"/>
                    </a:xfrm>
                    <a:prstGeom prst="rect">
                      <a:avLst/>
                    </a:prstGeom>
                  </pic:spPr>
                </pic:pic>
              </a:graphicData>
            </a:graphic>
          </wp:inline>
        </w:drawing>
      </w:r>
      <w:r>
        <w:rPr/>
      </w:r>
      <w:r>
        <w:rPr>
          <w:rFonts w:ascii="Times New Roman"/>
          <w:spacing w:val="40"/>
          <w:sz w:val="20"/>
        </w:rPr>
        <w:t> </w:t>
      </w:r>
      <w:r>
        <w:rPr>
          <w:color w:val="231F20"/>
          <w:sz w:val="18"/>
        </w:rPr>
        <w:t>overlays the state icon if the acknowledgement has been</w:t>
      </w:r>
      <w:r>
        <w:rPr>
          <w:color w:val="231F20"/>
          <w:spacing w:val="9"/>
          <w:sz w:val="18"/>
        </w:rPr>
        <w:t> </w:t>
      </w:r>
      <w:r>
        <w:rPr>
          <w:color w:val="231F20"/>
          <w:sz w:val="18"/>
        </w:rPr>
        <w:t>removed</w:t>
      </w:r>
      <w:r>
        <w:rPr>
          <w:color w:val="231F20"/>
          <w:spacing w:val="10"/>
          <w:sz w:val="18"/>
        </w:rPr>
        <w:t> </w:t>
      </w:r>
      <w:r>
        <w:rPr>
          <w:color w:val="231F20"/>
          <w:sz w:val="18"/>
        </w:rPr>
        <w:t>while</w:t>
      </w:r>
      <w:r>
        <w:rPr>
          <w:color w:val="231F20"/>
          <w:spacing w:val="10"/>
          <w:sz w:val="18"/>
        </w:rPr>
        <w:t> </w:t>
      </w:r>
      <w:r>
        <w:rPr>
          <w:color w:val="231F20"/>
          <w:sz w:val="18"/>
        </w:rPr>
        <w:t>the</w:t>
      </w:r>
      <w:r>
        <w:rPr>
          <w:color w:val="231F20"/>
          <w:spacing w:val="9"/>
          <w:sz w:val="18"/>
        </w:rPr>
        <w:t> </w:t>
      </w:r>
      <w:r>
        <w:rPr>
          <w:color w:val="231F20"/>
          <w:sz w:val="18"/>
        </w:rPr>
        <w:t>event</w:t>
      </w:r>
      <w:r>
        <w:rPr>
          <w:color w:val="231F20"/>
          <w:spacing w:val="10"/>
          <w:sz w:val="18"/>
        </w:rPr>
        <w:t> </w:t>
      </w:r>
      <w:r>
        <w:rPr>
          <w:color w:val="231F20"/>
          <w:sz w:val="18"/>
        </w:rPr>
        <w:t>is</w:t>
      </w:r>
      <w:r>
        <w:rPr>
          <w:color w:val="231F20"/>
          <w:spacing w:val="10"/>
          <w:sz w:val="18"/>
        </w:rPr>
        <w:t> </w:t>
      </w:r>
      <w:r>
        <w:rPr>
          <w:color w:val="231F20"/>
          <w:sz w:val="18"/>
        </w:rPr>
        <w:t>still</w:t>
      </w:r>
      <w:r>
        <w:rPr>
          <w:color w:val="231F20"/>
          <w:spacing w:val="9"/>
          <w:sz w:val="18"/>
        </w:rPr>
        <w:t> </w:t>
      </w:r>
      <w:r>
        <w:rPr>
          <w:color w:val="231F20"/>
          <w:sz w:val="18"/>
        </w:rPr>
        <w:t>open</w:t>
      </w:r>
      <w:r>
        <w:rPr>
          <w:color w:val="231F20"/>
          <w:spacing w:val="10"/>
          <w:sz w:val="18"/>
        </w:rPr>
        <w:t> </w:t>
      </w:r>
      <w:r>
        <w:rPr>
          <w:color w:val="231F20"/>
          <w:spacing w:val="-2"/>
          <w:sz w:val="18"/>
        </w:rPr>
        <w:t>(</w:t>
      </w:r>
      <w:r>
        <w:rPr>
          <w:rFonts w:ascii="Book Antiqua"/>
          <w:i/>
          <w:color w:val="231F20"/>
          <w:spacing w:val="-2"/>
          <w:sz w:val="18"/>
        </w:rPr>
        <w:t>Reopened</w:t>
      </w:r>
      <w:r>
        <w:rPr>
          <w:color w:val="231F20"/>
          <w:spacing w:val="-2"/>
          <w:sz w:val="18"/>
        </w:rPr>
        <w:t>).</w:t>
      </w:r>
    </w:p>
    <w:p>
      <w:pPr>
        <w:spacing w:before="123"/>
        <w:ind w:left="4602" w:right="0" w:firstLine="0"/>
        <w:jc w:val="left"/>
        <w:rPr>
          <w:rFonts w:ascii="Book Antiqua"/>
          <w:b/>
          <w:sz w:val="18"/>
        </w:rPr>
      </w:pPr>
      <w:r>
        <w:rPr>
          <w:rFonts w:ascii="Book Antiqua"/>
          <w:b/>
          <w:color w:val="231F20"/>
          <w:spacing w:val="-2"/>
          <w:sz w:val="18"/>
        </w:rPr>
        <w:t>Acknowledged</w:t>
      </w:r>
    </w:p>
    <w:p>
      <w:pPr>
        <w:spacing w:after="0"/>
        <w:jc w:val="left"/>
        <w:rPr>
          <w:rFonts w:ascii="Book Antiqua"/>
          <w:sz w:val="18"/>
        </w:rPr>
        <w:sectPr>
          <w:type w:val="continuous"/>
          <w:pgSz w:w="12240" w:h="15840"/>
          <w:pgMar w:header="0" w:footer="736" w:top="0" w:bottom="4660" w:left="1000" w:right="1060"/>
        </w:sectPr>
      </w:pPr>
    </w:p>
    <w:p>
      <w:pPr>
        <w:spacing w:before="52"/>
        <w:ind w:left="0" w:right="0" w:firstLine="0"/>
        <w:jc w:val="right"/>
        <w:rPr>
          <w:rFonts w:ascii="Book Antiqua"/>
          <w:b/>
          <w:sz w:val="18"/>
        </w:rPr>
      </w:pPr>
      <w:r>
        <w:rPr>
          <w:rFonts w:ascii="Book Antiqua"/>
          <w:b/>
          <w:color w:val="231F20"/>
          <w:spacing w:val="-2"/>
          <w:sz w:val="18"/>
        </w:rPr>
        <w:t>Status</w:t>
      </w:r>
    </w:p>
    <w:p>
      <w:pPr>
        <w:spacing w:line="240" w:lineRule="auto" w:before="124"/>
        <w:rPr>
          <w:rFonts w:ascii="Book Antiqua"/>
          <w:b/>
          <w:sz w:val="18"/>
        </w:rPr>
      </w:pPr>
      <w:r>
        <w:rPr/>
        <w:br w:type="column"/>
      </w:r>
      <w:r>
        <w:rPr>
          <w:rFonts w:ascii="Book Antiqua"/>
          <w:b/>
          <w:sz w:val="18"/>
        </w:rPr>
      </w:r>
    </w:p>
    <w:p>
      <w:pPr>
        <w:spacing w:before="1"/>
        <w:ind w:left="1820" w:right="0" w:firstLine="0"/>
        <w:jc w:val="left"/>
        <w:rPr>
          <w:rFonts w:ascii="Book Antiqua"/>
          <w:b/>
          <w:sz w:val="18"/>
        </w:rPr>
      </w:pPr>
      <w:r>
        <w:rPr>
          <w:rFonts w:ascii="Book Antiqua"/>
          <w:b/>
          <w:color w:val="231F20"/>
          <w:spacing w:val="-2"/>
          <w:sz w:val="18"/>
        </w:rPr>
        <w:t>Stopped</w:t>
      </w:r>
    </w:p>
    <w:p>
      <w:pPr>
        <w:pStyle w:val="BodyText"/>
        <w:rPr>
          <w:rFonts w:ascii="Book Antiqua"/>
          <w:b/>
          <w:sz w:val="18"/>
        </w:rPr>
      </w:pPr>
    </w:p>
    <w:p>
      <w:pPr>
        <w:pStyle w:val="BodyText"/>
        <w:rPr>
          <w:rFonts w:ascii="Book Antiqua"/>
          <w:b/>
          <w:sz w:val="18"/>
        </w:rPr>
      </w:pPr>
    </w:p>
    <w:p>
      <w:pPr>
        <w:pStyle w:val="BodyText"/>
        <w:spacing w:before="129"/>
        <w:rPr>
          <w:rFonts w:ascii="Book Antiqua"/>
          <w:b/>
          <w:sz w:val="18"/>
        </w:rPr>
      </w:pPr>
    </w:p>
    <w:p>
      <w:pPr>
        <w:spacing w:line="616" w:lineRule="auto" w:before="0"/>
        <w:ind w:left="1820" w:right="-7" w:firstLine="0"/>
        <w:jc w:val="left"/>
        <w:rPr>
          <w:rFonts w:ascii="Book Antiqua"/>
          <w:b/>
          <w:sz w:val="18"/>
        </w:rPr>
      </w:pPr>
      <w:r>
        <w:rPr>
          <w:rFonts w:ascii="Book Antiqua"/>
          <w:b/>
          <w:color w:val="231F20"/>
          <w:spacing w:val="-2"/>
          <w:sz w:val="18"/>
        </w:rPr>
        <w:t>Deleted Problem</w:t>
      </w:r>
    </w:p>
    <w:p>
      <w:pPr>
        <w:spacing w:line="226" w:lineRule="exact" w:before="0"/>
        <w:ind w:left="0" w:right="0" w:firstLine="0"/>
        <w:jc w:val="both"/>
        <w:rPr>
          <w:sz w:val="18"/>
        </w:rPr>
      </w:pPr>
      <w:r>
        <w:rPr/>
        <w:br w:type="column"/>
      </w:r>
      <w:r>
        <w:rPr>
          <w:color w:val="231F20"/>
          <w:sz w:val="18"/>
        </w:rPr>
        <w:t>The</w:t>
      </w:r>
      <w:r>
        <w:rPr>
          <w:color w:val="231F20"/>
          <w:spacing w:val="10"/>
          <w:sz w:val="18"/>
        </w:rPr>
        <w:t> </w:t>
      </w:r>
      <w:r>
        <w:rPr>
          <w:color w:val="231F20"/>
          <w:sz w:val="18"/>
        </w:rPr>
        <w:t>event</w:t>
      </w:r>
      <w:r>
        <w:rPr>
          <w:color w:val="231F20"/>
          <w:spacing w:val="11"/>
          <w:sz w:val="18"/>
        </w:rPr>
        <w:t> </w:t>
      </w:r>
      <w:r>
        <w:rPr>
          <w:color w:val="231F20"/>
          <w:sz w:val="18"/>
        </w:rPr>
        <w:t>has</w:t>
      </w:r>
      <w:r>
        <w:rPr>
          <w:color w:val="231F20"/>
          <w:spacing w:val="10"/>
          <w:sz w:val="18"/>
        </w:rPr>
        <w:t> </w:t>
      </w:r>
      <w:r>
        <w:rPr>
          <w:color w:val="231F20"/>
          <w:sz w:val="18"/>
        </w:rPr>
        <w:t>been</w:t>
      </w:r>
      <w:r>
        <w:rPr>
          <w:color w:val="231F20"/>
          <w:spacing w:val="11"/>
          <w:sz w:val="18"/>
        </w:rPr>
        <w:t> </w:t>
      </w:r>
      <w:r>
        <w:rPr>
          <w:color w:val="231F20"/>
          <w:spacing w:val="-2"/>
          <w:sz w:val="18"/>
        </w:rPr>
        <w:t>acknowledged.</w:t>
      </w:r>
    </w:p>
    <w:p>
      <w:pPr>
        <w:pStyle w:val="BodyText"/>
        <w:spacing w:before="91"/>
        <w:rPr>
          <w:sz w:val="18"/>
        </w:rPr>
      </w:pPr>
    </w:p>
    <w:p>
      <w:pPr>
        <w:spacing w:line="216" w:lineRule="auto" w:before="1"/>
        <w:ind w:left="0" w:right="414" w:firstLine="0"/>
        <w:jc w:val="both"/>
        <w:rPr>
          <w:sz w:val="18"/>
        </w:rPr>
      </w:pPr>
      <w:r>
        <w:rPr>
          <w:color w:val="231F20"/>
          <w:sz w:val="18"/>
        </w:rPr>
        <w:t>A user stopped the situation. It will not begin running again until someone starts it or edits it in the </w:t>
      </w:r>
      <w:r>
        <w:rPr>
          <w:color w:val="231F20"/>
          <w:sz w:val="18"/>
        </w:rPr>
        <w:t>Situation </w:t>
      </w:r>
      <w:r>
        <w:rPr>
          <w:color w:val="231F20"/>
          <w:spacing w:val="-2"/>
          <w:sz w:val="18"/>
        </w:rPr>
        <w:t>editor.</w:t>
      </w:r>
    </w:p>
    <w:p>
      <w:pPr>
        <w:pStyle w:val="BodyText"/>
        <w:spacing w:before="80"/>
        <w:rPr>
          <w:sz w:val="18"/>
        </w:rPr>
      </w:pPr>
    </w:p>
    <w:p>
      <w:pPr>
        <w:spacing w:before="0"/>
        <w:ind w:left="0" w:right="0" w:firstLine="0"/>
        <w:jc w:val="both"/>
        <w:rPr>
          <w:sz w:val="18"/>
        </w:rPr>
      </w:pPr>
      <w:r>
        <w:rPr>
          <w:color w:val="231F20"/>
          <w:sz w:val="18"/>
        </w:rPr>
        <w:t>The</w:t>
      </w:r>
      <w:r>
        <w:rPr>
          <w:color w:val="231F20"/>
          <w:spacing w:val="8"/>
          <w:sz w:val="18"/>
        </w:rPr>
        <w:t> </w:t>
      </w:r>
      <w:r>
        <w:rPr>
          <w:color w:val="231F20"/>
          <w:sz w:val="18"/>
        </w:rPr>
        <w:t>situation</w:t>
      </w:r>
      <w:r>
        <w:rPr>
          <w:color w:val="231F20"/>
          <w:spacing w:val="8"/>
          <w:sz w:val="18"/>
        </w:rPr>
        <w:t> </w:t>
      </w:r>
      <w:r>
        <w:rPr>
          <w:color w:val="231F20"/>
          <w:sz w:val="18"/>
        </w:rPr>
        <w:t>was</w:t>
      </w:r>
      <w:r>
        <w:rPr>
          <w:color w:val="231F20"/>
          <w:spacing w:val="9"/>
          <w:sz w:val="18"/>
        </w:rPr>
        <w:t> </w:t>
      </w:r>
      <w:r>
        <w:rPr>
          <w:color w:val="231F20"/>
          <w:sz w:val="18"/>
        </w:rPr>
        <w:t>deleted</w:t>
      </w:r>
      <w:r>
        <w:rPr>
          <w:color w:val="231F20"/>
          <w:spacing w:val="8"/>
          <w:sz w:val="18"/>
        </w:rPr>
        <w:t> </w:t>
      </w:r>
      <w:r>
        <w:rPr>
          <w:color w:val="231F20"/>
          <w:sz w:val="18"/>
        </w:rPr>
        <w:t>through</w:t>
      </w:r>
      <w:r>
        <w:rPr>
          <w:color w:val="231F20"/>
          <w:spacing w:val="8"/>
          <w:sz w:val="18"/>
        </w:rPr>
        <w:t> </w:t>
      </w:r>
      <w:r>
        <w:rPr>
          <w:color w:val="231F20"/>
          <w:sz w:val="18"/>
        </w:rPr>
        <w:t>the</w:t>
      </w:r>
      <w:r>
        <w:rPr>
          <w:color w:val="231F20"/>
          <w:spacing w:val="9"/>
          <w:sz w:val="18"/>
        </w:rPr>
        <w:t> </w:t>
      </w:r>
      <w:r>
        <w:rPr>
          <w:color w:val="231F20"/>
          <w:sz w:val="18"/>
        </w:rPr>
        <w:t>Situation</w:t>
      </w:r>
      <w:r>
        <w:rPr>
          <w:color w:val="231F20"/>
          <w:spacing w:val="8"/>
          <w:sz w:val="18"/>
        </w:rPr>
        <w:t> </w:t>
      </w:r>
      <w:r>
        <w:rPr>
          <w:color w:val="231F20"/>
          <w:spacing w:val="-2"/>
          <w:sz w:val="18"/>
        </w:rPr>
        <w:t>editor.</w:t>
      </w:r>
    </w:p>
    <w:p>
      <w:pPr>
        <w:pStyle w:val="BodyText"/>
        <w:spacing w:before="92"/>
        <w:rPr>
          <w:sz w:val="18"/>
        </w:rPr>
      </w:pPr>
    </w:p>
    <w:p>
      <w:pPr>
        <w:spacing w:line="216" w:lineRule="auto" w:before="0"/>
        <w:ind w:left="0" w:right="351" w:firstLine="0"/>
        <w:jc w:val="left"/>
        <w:rPr>
          <w:sz w:val="18"/>
        </w:rPr>
      </w:pPr>
      <w:r>
        <w:rPr>
          <w:color w:val="231F20"/>
          <w:sz w:val="18"/>
        </w:rPr>
        <w:t>The situation is not functioning properly. One </w:t>
      </w:r>
      <w:r>
        <w:rPr>
          <w:color w:val="231F20"/>
          <w:sz w:val="18"/>
        </w:rPr>
        <w:t>reason might be that the agent to which it is distributed is offline or is at an old, unsupported version level.</w:t>
      </w:r>
    </w:p>
    <w:p>
      <w:pPr>
        <w:spacing w:after="0" w:line="216" w:lineRule="auto"/>
        <w:jc w:val="left"/>
        <w:rPr>
          <w:sz w:val="18"/>
        </w:rPr>
        <w:sectPr>
          <w:type w:val="continuous"/>
          <w:pgSz w:w="12240" w:h="15840"/>
          <w:pgMar w:header="0" w:footer="736" w:top="0" w:bottom="4660" w:left="1000" w:right="1060"/>
          <w:cols w:num="3" w:equalWidth="0">
            <w:col w:w="2742" w:space="40"/>
            <w:col w:w="2520" w:space="19"/>
            <w:col w:w="4859"/>
          </w:cols>
        </w:sectPr>
      </w:pPr>
    </w:p>
    <w:p>
      <w:pPr>
        <w:tabs>
          <w:tab w:pos="4841" w:val="left" w:leader="none"/>
        </w:tabs>
        <w:spacing w:line="241" w:lineRule="exact" w:before="47"/>
        <w:ind w:left="2472" w:right="0" w:firstLine="0"/>
        <w:jc w:val="left"/>
        <w:rPr>
          <w:sz w:val="18"/>
        </w:rPr>
      </w:pPr>
      <w:r>
        <w:rPr>
          <w:rFonts w:ascii="Book Antiqua"/>
          <w:b/>
          <w:color w:val="231F20"/>
          <w:spacing w:val="-2"/>
          <w:sz w:val="18"/>
        </w:rPr>
        <w:t>Owner</w:t>
      </w:r>
      <w:r>
        <w:rPr>
          <w:rFonts w:ascii="Book Antiqua"/>
          <w:b/>
          <w:color w:val="231F20"/>
          <w:sz w:val="18"/>
        </w:rPr>
        <w:tab/>
      </w:r>
      <w:r>
        <w:rPr>
          <w:color w:val="231F20"/>
          <w:sz w:val="18"/>
        </w:rPr>
        <w:t>The</w:t>
      </w:r>
      <w:r>
        <w:rPr>
          <w:color w:val="231F20"/>
          <w:spacing w:val="9"/>
          <w:sz w:val="18"/>
        </w:rPr>
        <w:t> </w:t>
      </w:r>
      <w:r>
        <w:rPr>
          <w:color w:val="231F20"/>
          <w:sz w:val="18"/>
        </w:rPr>
        <w:t>user</w:t>
      </w:r>
      <w:r>
        <w:rPr>
          <w:color w:val="231F20"/>
          <w:spacing w:val="10"/>
          <w:sz w:val="18"/>
        </w:rPr>
        <w:t> </w:t>
      </w:r>
      <w:r>
        <w:rPr>
          <w:color w:val="231F20"/>
          <w:sz w:val="18"/>
        </w:rPr>
        <w:t>who</w:t>
      </w:r>
      <w:r>
        <w:rPr>
          <w:color w:val="231F20"/>
          <w:spacing w:val="9"/>
          <w:sz w:val="18"/>
        </w:rPr>
        <w:t> </w:t>
      </w:r>
      <w:r>
        <w:rPr>
          <w:color w:val="231F20"/>
          <w:sz w:val="18"/>
        </w:rPr>
        <w:t>acknowledged</w:t>
      </w:r>
      <w:r>
        <w:rPr>
          <w:color w:val="231F20"/>
          <w:spacing w:val="10"/>
          <w:sz w:val="18"/>
        </w:rPr>
        <w:t> </w:t>
      </w:r>
      <w:r>
        <w:rPr>
          <w:color w:val="231F20"/>
          <w:sz w:val="18"/>
        </w:rPr>
        <w:t>or</w:t>
      </w:r>
      <w:r>
        <w:rPr>
          <w:color w:val="231F20"/>
          <w:spacing w:val="10"/>
          <w:sz w:val="18"/>
        </w:rPr>
        <w:t> </w:t>
      </w:r>
      <w:r>
        <w:rPr>
          <w:color w:val="231F20"/>
          <w:sz w:val="18"/>
        </w:rPr>
        <w:t>took</w:t>
      </w:r>
      <w:r>
        <w:rPr>
          <w:color w:val="231F20"/>
          <w:spacing w:val="9"/>
          <w:sz w:val="18"/>
        </w:rPr>
        <w:t> </w:t>
      </w:r>
      <w:r>
        <w:rPr>
          <w:color w:val="231F20"/>
          <w:sz w:val="18"/>
        </w:rPr>
        <w:t>ownership</w:t>
      </w:r>
      <w:r>
        <w:rPr>
          <w:color w:val="231F20"/>
          <w:spacing w:val="10"/>
          <w:sz w:val="18"/>
        </w:rPr>
        <w:t> </w:t>
      </w:r>
      <w:r>
        <w:rPr>
          <w:color w:val="231F20"/>
          <w:sz w:val="18"/>
        </w:rPr>
        <w:t>of</w:t>
      </w:r>
      <w:r>
        <w:rPr>
          <w:color w:val="231F20"/>
          <w:spacing w:val="9"/>
          <w:sz w:val="18"/>
        </w:rPr>
        <w:t> </w:t>
      </w:r>
      <w:r>
        <w:rPr>
          <w:color w:val="231F20"/>
          <w:sz w:val="18"/>
        </w:rPr>
        <w:t>the</w:t>
      </w:r>
      <w:r>
        <w:rPr>
          <w:color w:val="231F20"/>
          <w:spacing w:val="10"/>
          <w:sz w:val="18"/>
        </w:rPr>
        <w:t> </w:t>
      </w:r>
      <w:r>
        <w:rPr>
          <w:color w:val="231F20"/>
          <w:spacing w:val="-2"/>
          <w:sz w:val="18"/>
        </w:rPr>
        <w:t>event.</w:t>
      </w:r>
    </w:p>
    <w:p>
      <w:pPr>
        <w:tabs>
          <w:tab w:pos="4841" w:val="left" w:leader="none"/>
        </w:tabs>
        <w:spacing w:line="239" w:lineRule="exact" w:before="0"/>
        <w:ind w:left="2472" w:right="0" w:firstLine="0"/>
        <w:jc w:val="left"/>
        <w:rPr>
          <w:sz w:val="18"/>
        </w:rPr>
      </w:pPr>
      <w:r>
        <w:rPr>
          <w:rFonts w:ascii="Book Antiqua"/>
          <w:b/>
          <w:color w:val="231F20"/>
          <w:sz w:val="18"/>
        </w:rPr>
        <w:t>Situation</w:t>
      </w:r>
      <w:r>
        <w:rPr>
          <w:rFonts w:ascii="Book Antiqua"/>
          <w:b/>
          <w:color w:val="231F20"/>
          <w:spacing w:val="6"/>
          <w:sz w:val="18"/>
        </w:rPr>
        <w:t> </w:t>
      </w:r>
      <w:r>
        <w:rPr>
          <w:rFonts w:ascii="Book Antiqua"/>
          <w:b/>
          <w:color w:val="231F20"/>
          <w:spacing w:val="-4"/>
          <w:sz w:val="18"/>
        </w:rPr>
        <w:t>Name</w:t>
      </w:r>
      <w:r>
        <w:rPr>
          <w:rFonts w:ascii="Book Antiqua"/>
          <w:b/>
          <w:color w:val="231F20"/>
          <w:sz w:val="18"/>
        </w:rPr>
        <w:tab/>
      </w:r>
      <w:r>
        <w:rPr>
          <w:color w:val="231F20"/>
          <w:sz w:val="18"/>
        </w:rPr>
        <w:t>The</w:t>
      </w:r>
      <w:r>
        <w:rPr>
          <w:color w:val="231F20"/>
          <w:spacing w:val="10"/>
          <w:sz w:val="18"/>
        </w:rPr>
        <w:t> </w:t>
      </w:r>
      <w:r>
        <w:rPr>
          <w:color w:val="231F20"/>
          <w:sz w:val="18"/>
        </w:rPr>
        <w:t>name</w:t>
      </w:r>
      <w:r>
        <w:rPr>
          <w:color w:val="231F20"/>
          <w:spacing w:val="11"/>
          <w:sz w:val="18"/>
        </w:rPr>
        <w:t> </w:t>
      </w:r>
      <w:r>
        <w:rPr>
          <w:color w:val="231F20"/>
          <w:sz w:val="18"/>
        </w:rPr>
        <w:t>of</w:t>
      </w:r>
      <w:r>
        <w:rPr>
          <w:color w:val="231F20"/>
          <w:spacing w:val="10"/>
          <w:sz w:val="18"/>
        </w:rPr>
        <w:t> </w:t>
      </w:r>
      <w:r>
        <w:rPr>
          <w:color w:val="231F20"/>
          <w:sz w:val="18"/>
        </w:rPr>
        <w:t>the</w:t>
      </w:r>
      <w:r>
        <w:rPr>
          <w:color w:val="231F20"/>
          <w:spacing w:val="11"/>
          <w:sz w:val="18"/>
        </w:rPr>
        <w:t> </w:t>
      </w:r>
      <w:r>
        <w:rPr>
          <w:color w:val="231F20"/>
          <w:sz w:val="18"/>
        </w:rPr>
        <w:t>situation</w:t>
      </w:r>
      <w:r>
        <w:rPr>
          <w:color w:val="231F20"/>
          <w:spacing w:val="11"/>
          <w:sz w:val="18"/>
        </w:rPr>
        <w:t> </w:t>
      </w:r>
      <w:r>
        <w:rPr>
          <w:color w:val="231F20"/>
          <w:sz w:val="18"/>
        </w:rPr>
        <w:t>or</w:t>
      </w:r>
      <w:r>
        <w:rPr>
          <w:color w:val="231F20"/>
          <w:spacing w:val="10"/>
          <w:sz w:val="18"/>
        </w:rPr>
        <w:t> </w:t>
      </w:r>
      <w:r>
        <w:rPr>
          <w:color w:val="231F20"/>
          <w:spacing w:val="-2"/>
          <w:sz w:val="18"/>
        </w:rPr>
        <w:t>policy.</w:t>
      </w:r>
    </w:p>
    <w:p>
      <w:pPr>
        <w:tabs>
          <w:tab w:pos="4841" w:val="left" w:leader="none"/>
        </w:tabs>
        <w:spacing w:line="151" w:lineRule="auto" w:before="30"/>
        <w:ind w:left="4841" w:right="258" w:hanging="2370"/>
        <w:jc w:val="left"/>
        <w:rPr>
          <w:sz w:val="18"/>
        </w:rPr>
      </w:pPr>
      <w:r>
        <w:rPr>
          <w:rFonts w:ascii="Book Antiqua"/>
          <w:b/>
          <w:color w:val="231F20"/>
          <w:position w:val="-10"/>
          <w:sz w:val="18"/>
        </w:rPr>
        <w:t>Display Item</w:t>
        <w:tab/>
      </w:r>
      <w:r>
        <w:rPr>
          <w:color w:val="231F20"/>
          <w:sz w:val="18"/>
        </w:rPr>
        <w:t>If the situation was defined with a display item, it is displayed here. Otherwise, this field is empty.</w:t>
      </w:r>
    </w:p>
    <w:p>
      <w:pPr>
        <w:tabs>
          <w:tab w:pos="4841" w:val="left" w:leader="none"/>
        </w:tabs>
        <w:spacing w:line="151" w:lineRule="auto" w:before="49"/>
        <w:ind w:left="4841" w:right="258" w:hanging="2370"/>
        <w:jc w:val="left"/>
        <w:rPr>
          <w:sz w:val="18"/>
        </w:rPr>
      </w:pPr>
      <w:r>
        <w:rPr>
          <w:rFonts w:ascii="Book Antiqua"/>
          <w:b/>
          <w:color w:val="231F20"/>
          <w:spacing w:val="-2"/>
          <w:position w:val="-10"/>
          <w:sz w:val="18"/>
        </w:rPr>
        <w:t>Source</w:t>
      </w:r>
      <w:r>
        <w:rPr>
          <w:rFonts w:ascii="Book Antiqua"/>
          <w:b/>
          <w:color w:val="231F20"/>
          <w:position w:val="-10"/>
          <w:sz w:val="18"/>
        </w:rPr>
        <w:tab/>
      </w:r>
      <w:r>
        <w:rPr>
          <w:color w:val="231F20"/>
          <w:sz w:val="18"/>
        </w:rPr>
        <w:t>The name of the agent and system identifying where the event </w:t>
      </w:r>
      <w:r>
        <w:rPr>
          <w:color w:val="231F20"/>
          <w:spacing w:val="-2"/>
          <w:sz w:val="18"/>
        </w:rPr>
        <w:t>occurred.</w:t>
      </w:r>
    </w:p>
    <w:p>
      <w:pPr>
        <w:tabs>
          <w:tab w:pos="4841" w:val="left" w:leader="none"/>
          <w:tab w:pos="7246" w:val="left" w:leader="none"/>
        </w:tabs>
        <w:spacing w:line="151" w:lineRule="auto" w:before="49"/>
        <w:ind w:left="4841" w:right="636" w:hanging="2370"/>
        <w:jc w:val="left"/>
        <w:rPr>
          <w:sz w:val="18"/>
        </w:rPr>
      </w:pPr>
      <w:r>
        <w:rPr/>
        <w:drawing>
          <wp:anchor distT="0" distB="0" distL="0" distR="0" allowOverlap="1" layoutInCell="1" locked="0" behindDoc="1" simplePos="0" relativeHeight="473233408">
            <wp:simplePos x="0" y="0"/>
            <wp:positionH relativeFrom="page">
              <wp:posOffset>5119272</wp:posOffset>
            </wp:positionH>
            <wp:positionV relativeFrom="paragraph">
              <wp:posOffset>194739</wp:posOffset>
            </wp:positionV>
            <wp:extent cx="82550" cy="76200"/>
            <wp:effectExtent l="0" t="0" r="0" b="0"/>
            <wp:wrapNone/>
            <wp:docPr id="1505" name="Image 1505"/>
            <wp:cNvGraphicFramePr>
              <a:graphicFrameLocks/>
            </wp:cNvGraphicFramePr>
            <a:graphic>
              <a:graphicData uri="http://schemas.openxmlformats.org/drawingml/2006/picture">
                <pic:pic>
                  <pic:nvPicPr>
                    <pic:cNvPr id="1505" name="Image 1505"/>
                    <pic:cNvPicPr/>
                  </pic:nvPicPr>
                  <pic:blipFill>
                    <a:blip r:embed="rId304" cstate="print"/>
                    <a:stretch>
                      <a:fillRect/>
                    </a:stretch>
                  </pic:blipFill>
                  <pic:spPr>
                    <a:xfrm>
                      <a:off x="0" y="0"/>
                      <a:ext cx="82550" cy="76200"/>
                    </a:xfrm>
                    <a:prstGeom prst="rect">
                      <a:avLst/>
                    </a:prstGeom>
                  </pic:spPr>
                </pic:pic>
              </a:graphicData>
            </a:graphic>
          </wp:anchor>
        </w:drawing>
      </w:r>
      <w:r>
        <w:rPr>
          <w:rFonts w:ascii="Book Antiqua"/>
          <w:b/>
          <w:color w:val="231F20"/>
          <w:spacing w:val="-2"/>
          <w:position w:val="-10"/>
          <w:sz w:val="18"/>
        </w:rPr>
        <w:t>Impact</w:t>
      </w:r>
      <w:r>
        <w:rPr>
          <w:rFonts w:ascii="Book Antiqua"/>
          <w:b/>
          <w:color w:val="231F20"/>
          <w:position w:val="-10"/>
          <w:sz w:val="18"/>
        </w:rPr>
        <w:tab/>
      </w:r>
      <w:r>
        <w:rPr>
          <w:color w:val="231F20"/>
          <w:sz w:val="18"/>
        </w:rPr>
        <w:t>The name of the Navigator item where the event indicator originated; when you click</w:t>
        <w:tab/>
        <w:t>, the entire branch opens.</w:t>
      </w:r>
    </w:p>
    <w:p>
      <w:pPr>
        <w:tabs>
          <w:tab w:pos="4841" w:val="left" w:leader="none"/>
        </w:tabs>
        <w:spacing w:line="151" w:lineRule="auto" w:before="50"/>
        <w:ind w:left="4841" w:right="385" w:hanging="2370"/>
        <w:jc w:val="left"/>
        <w:rPr>
          <w:sz w:val="18"/>
        </w:rPr>
      </w:pPr>
      <w:r>
        <w:rPr>
          <w:rFonts w:ascii="Book Antiqua"/>
          <w:b/>
          <w:color w:val="231F20"/>
          <w:spacing w:val="-2"/>
          <w:position w:val="-10"/>
          <w:sz w:val="18"/>
        </w:rPr>
        <w:t>Opened</w:t>
      </w:r>
      <w:r>
        <w:rPr>
          <w:rFonts w:ascii="Book Antiqua"/>
          <w:b/>
          <w:color w:val="231F20"/>
          <w:position w:val="-10"/>
          <w:sz w:val="18"/>
        </w:rPr>
        <w:tab/>
      </w:r>
      <w:r>
        <w:rPr>
          <w:color w:val="231F20"/>
          <w:sz w:val="18"/>
        </w:rPr>
        <w:t>This is the local time at the agent location when the event was last opened.</w:t>
      </w:r>
    </w:p>
    <w:p>
      <w:pPr>
        <w:spacing w:line="216" w:lineRule="auto" w:before="36"/>
        <w:ind w:left="4841" w:right="274" w:firstLine="0"/>
        <w:jc w:val="left"/>
        <w:rPr>
          <w:sz w:val="18"/>
        </w:rPr>
      </w:pPr>
      <w:r>
        <w:rPr>
          <w:color w:val="231F20"/>
          <w:sz w:val="18"/>
        </w:rPr>
        <w:t>This is the time interval that has passed since the event was opened. If you apply a Filter or Threshold to this column, enter</w:t>
      </w:r>
    </w:p>
    <w:p>
      <w:pPr>
        <w:spacing w:after="0" w:line="216" w:lineRule="auto"/>
        <w:jc w:val="left"/>
        <w:rPr>
          <w:sz w:val="18"/>
        </w:rPr>
        <w:sectPr>
          <w:pgSz w:w="12240" w:h="15840"/>
          <w:pgMar w:header="0" w:footer="736" w:top="1260" w:bottom="920" w:left="1000" w:right="1060"/>
        </w:sectPr>
      </w:pPr>
    </w:p>
    <w:p>
      <w:pPr>
        <w:spacing w:before="3"/>
        <w:ind w:left="0" w:right="0" w:firstLine="0"/>
        <w:jc w:val="right"/>
        <w:rPr>
          <w:rFonts w:ascii="Book Antiqua"/>
          <w:b/>
          <w:sz w:val="18"/>
        </w:rPr>
      </w:pPr>
      <w:r>
        <w:rPr>
          <w:rFonts w:ascii="Book Antiqua"/>
          <w:b/>
          <w:color w:val="231F20"/>
          <w:spacing w:val="-5"/>
          <w:sz w:val="18"/>
        </w:rPr>
        <w:t>Age</w:t>
      </w:r>
    </w:p>
    <w:p>
      <w:pPr>
        <w:spacing w:line="216" w:lineRule="auto" w:before="2"/>
        <w:ind w:left="1999" w:right="404" w:firstLine="0"/>
        <w:jc w:val="left"/>
        <w:rPr>
          <w:sz w:val="18"/>
        </w:rPr>
      </w:pPr>
      <w:r>
        <w:rPr/>
        <w:br w:type="column"/>
      </w:r>
      <w:r>
        <w:rPr>
          <w:color w:val="231F20"/>
          <w:sz w:val="18"/>
        </w:rPr>
        <w:t>the number of minutes. After you click outside the cell, you will see the value converted to days, hours and minutes. For example, an entry of </w:t>
      </w:r>
      <w:r>
        <w:rPr>
          <w:rFonts w:ascii="Arial"/>
          <w:color w:val="231F20"/>
          <w:sz w:val="18"/>
        </w:rPr>
        <w:t>1450 </w:t>
      </w:r>
      <w:r>
        <w:rPr>
          <w:color w:val="231F20"/>
          <w:sz w:val="18"/>
        </w:rPr>
        <w:t>becomes </w:t>
      </w:r>
      <w:r>
        <w:rPr>
          <w:rFonts w:ascii="Arial"/>
          <w:color w:val="231F20"/>
          <w:sz w:val="18"/>
        </w:rPr>
        <w:t>1 Day, 10 Minutes</w:t>
      </w:r>
      <w:r>
        <w:rPr>
          <w:color w:val="231F20"/>
          <w:sz w:val="18"/>
        </w:rPr>
        <w:t>.</w:t>
      </w:r>
    </w:p>
    <w:p>
      <w:pPr>
        <w:spacing w:after="0" w:line="216" w:lineRule="auto"/>
        <w:jc w:val="left"/>
        <w:rPr>
          <w:sz w:val="18"/>
        </w:rPr>
        <w:sectPr>
          <w:type w:val="continuous"/>
          <w:pgSz w:w="12240" w:h="15840"/>
          <w:pgMar w:header="0" w:footer="736" w:top="0" w:bottom="4660" w:left="1000" w:right="1060"/>
          <w:cols w:num="2" w:equalWidth="0">
            <w:col w:w="2802" w:space="40"/>
            <w:col w:w="7338"/>
          </w:cols>
        </w:sectPr>
      </w:pPr>
    </w:p>
    <w:p>
      <w:pPr>
        <w:tabs>
          <w:tab w:pos="4841" w:val="left" w:leader="none"/>
        </w:tabs>
        <w:spacing w:line="141" w:lineRule="auto" w:before="38"/>
        <w:ind w:left="2472" w:right="0" w:firstLine="0"/>
        <w:jc w:val="left"/>
        <w:rPr>
          <w:sz w:val="18"/>
        </w:rPr>
      </w:pPr>
      <w:r>
        <w:rPr>
          <w:rFonts w:ascii="Book Antiqua"/>
          <w:b/>
          <w:color w:val="231F20"/>
          <w:position w:val="-10"/>
          <w:sz w:val="18"/>
        </w:rPr>
        <w:t>Local</w:t>
      </w:r>
      <w:r>
        <w:rPr>
          <w:rFonts w:ascii="Book Antiqua"/>
          <w:b/>
          <w:color w:val="231F20"/>
          <w:spacing w:val="9"/>
          <w:position w:val="-10"/>
          <w:sz w:val="18"/>
        </w:rPr>
        <w:t> </w:t>
      </w:r>
      <w:r>
        <w:rPr>
          <w:rFonts w:ascii="Book Antiqua"/>
          <w:b/>
          <w:color w:val="231F20"/>
          <w:spacing w:val="-2"/>
          <w:position w:val="-10"/>
          <w:sz w:val="18"/>
        </w:rPr>
        <w:t>Timestamp</w:t>
      </w:r>
      <w:r>
        <w:rPr>
          <w:rFonts w:ascii="Book Antiqua"/>
          <w:b/>
          <w:color w:val="231F20"/>
          <w:position w:val="-10"/>
          <w:sz w:val="18"/>
        </w:rPr>
        <w:tab/>
      </w:r>
      <w:r>
        <w:rPr>
          <w:color w:val="231F20"/>
          <w:sz w:val="18"/>
        </w:rPr>
        <w:t>The</w:t>
      </w:r>
      <w:r>
        <w:rPr>
          <w:color w:val="231F20"/>
          <w:spacing w:val="8"/>
          <w:sz w:val="18"/>
        </w:rPr>
        <w:t> </w:t>
      </w:r>
      <w:r>
        <w:rPr>
          <w:color w:val="231F20"/>
          <w:sz w:val="18"/>
        </w:rPr>
        <w:t>time</w:t>
      </w:r>
      <w:r>
        <w:rPr>
          <w:color w:val="231F20"/>
          <w:spacing w:val="9"/>
          <w:sz w:val="18"/>
        </w:rPr>
        <w:t> </w:t>
      </w:r>
      <w:r>
        <w:rPr>
          <w:color w:val="231F20"/>
          <w:sz w:val="18"/>
        </w:rPr>
        <w:t>at</w:t>
      </w:r>
      <w:r>
        <w:rPr>
          <w:color w:val="231F20"/>
          <w:spacing w:val="8"/>
          <w:sz w:val="18"/>
        </w:rPr>
        <w:t> </w:t>
      </w:r>
      <w:r>
        <w:rPr>
          <w:color w:val="231F20"/>
          <w:sz w:val="18"/>
        </w:rPr>
        <w:t>the</w:t>
      </w:r>
      <w:r>
        <w:rPr>
          <w:color w:val="231F20"/>
          <w:spacing w:val="9"/>
          <w:sz w:val="18"/>
        </w:rPr>
        <w:t> </w:t>
      </w:r>
      <w:r>
        <w:rPr>
          <w:color w:val="231F20"/>
          <w:sz w:val="18"/>
        </w:rPr>
        <w:t>Tivoli</w:t>
      </w:r>
      <w:r>
        <w:rPr>
          <w:color w:val="231F20"/>
          <w:spacing w:val="9"/>
          <w:sz w:val="18"/>
        </w:rPr>
        <w:t> </w:t>
      </w:r>
      <w:r>
        <w:rPr>
          <w:color w:val="231F20"/>
          <w:sz w:val="18"/>
        </w:rPr>
        <w:t>Enterprise</w:t>
      </w:r>
      <w:r>
        <w:rPr>
          <w:color w:val="231F20"/>
          <w:spacing w:val="8"/>
          <w:sz w:val="18"/>
        </w:rPr>
        <w:t> </w:t>
      </w:r>
      <w:r>
        <w:rPr>
          <w:color w:val="231F20"/>
          <w:sz w:val="18"/>
        </w:rPr>
        <w:t>Monitoring</w:t>
      </w:r>
      <w:r>
        <w:rPr>
          <w:color w:val="231F20"/>
          <w:spacing w:val="9"/>
          <w:sz w:val="18"/>
        </w:rPr>
        <w:t> </w:t>
      </w:r>
      <w:r>
        <w:rPr>
          <w:color w:val="231F20"/>
          <w:sz w:val="18"/>
        </w:rPr>
        <w:t>Server</w:t>
      </w:r>
      <w:r>
        <w:rPr>
          <w:color w:val="231F20"/>
          <w:spacing w:val="9"/>
          <w:sz w:val="18"/>
        </w:rPr>
        <w:t> </w:t>
      </w:r>
      <w:r>
        <w:rPr>
          <w:color w:val="231F20"/>
          <w:sz w:val="18"/>
        </w:rPr>
        <w:t>(the</w:t>
      </w:r>
      <w:r>
        <w:rPr>
          <w:color w:val="231F20"/>
          <w:spacing w:val="8"/>
          <w:sz w:val="18"/>
        </w:rPr>
        <w:t> </w:t>
      </w:r>
      <w:r>
        <w:rPr>
          <w:color w:val="231F20"/>
          <w:sz w:val="18"/>
        </w:rPr>
        <w:t>one</w:t>
      </w:r>
      <w:r>
        <w:rPr>
          <w:color w:val="231F20"/>
          <w:spacing w:val="9"/>
          <w:sz w:val="18"/>
        </w:rPr>
        <w:t> </w:t>
      </w:r>
      <w:r>
        <w:rPr>
          <w:color w:val="231F20"/>
          <w:spacing w:val="-5"/>
          <w:sz w:val="18"/>
        </w:rPr>
        <w:t>to</w:t>
      </w:r>
    </w:p>
    <w:p>
      <w:pPr>
        <w:spacing w:line="177" w:lineRule="exact" w:before="0"/>
        <w:ind w:left="4841" w:right="0" w:firstLine="0"/>
        <w:jc w:val="left"/>
        <w:rPr>
          <w:sz w:val="18"/>
        </w:rPr>
      </w:pPr>
      <w:r>
        <w:rPr>
          <w:color w:val="231F20"/>
          <w:sz w:val="18"/>
        </w:rPr>
        <w:t>which</w:t>
      </w:r>
      <w:r>
        <w:rPr>
          <w:color w:val="231F20"/>
          <w:spacing w:val="9"/>
          <w:sz w:val="18"/>
        </w:rPr>
        <w:t> </w:t>
      </w:r>
      <w:r>
        <w:rPr>
          <w:color w:val="231F20"/>
          <w:sz w:val="18"/>
        </w:rPr>
        <w:t>the</w:t>
      </w:r>
      <w:r>
        <w:rPr>
          <w:color w:val="231F20"/>
          <w:spacing w:val="9"/>
          <w:sz w:val="18"/>
        </w:rPr>
        <w:t> </w:t>
      </w:r>
      <w:r>
        <w:rPr>
          <w:color w:val="231F20"/>
          <w:sz w:val="18"/>
        </w:rPr>
        <w:t>agent</w:t>
      </w:r>
      <w:r>
        <w:rPr>
          <w:color w:val="231F20"/>
          <w:spacing w:val="9"/>
          <w:sz w:val="18"/>
        </w:rPr>
        <w:t> </w:t>
      </w:r>
      <w:r>
        <w:rPr>
          <w:color w:val="231F20"/>
          <w:sz w:val="18"/>
        </w:rPr>
        <w:t>connects)</w:t>
      </w:r>
      <w:r>
        <w:rPr>
          <w:color w:val="231F20"/>
          <w:spacing w:val="10"/>
          <w:sz w:val="18"/>
        </w:rPr>
        <w:t> </w:t>
      </w:r>
      <w:r>
        <w:rPr>
          <w:color w:val="231F20"/>
          <w:sz w:val="18"/>
        </w:rPr>
        <w:t>when</w:t>
      </w:r>
      <w:r>
        <w:rPr>
          <w:color w:val="231F20"/>
          <w:spacing w:val="9"/>
          <w:sz w:val="18"/>
        </w:rPr>
        <w:t> </w:t>
      </w:r>
      <w:r>
        <w:rPr>
          <w:color w:val="231F20"/>
          <w:sz w:val="18"/>
        </w:rPr>
        <w:t>the</w:t>
      </w:r>
      <w:r>
        <w:rPr>
          <w:color w:val="231F20"/>
          <w:spacing w:val="9"/>
          <w:sz w:val="18"/>
        </w:rPr>
        <w:t> </w:t>
      </w:r>
      <w:r>
        <w:rPr>
          <w:color w:val="231F20"/>
          <w:sz w:val="18"/>
        </w:rPr>
        <w:t>situation</w:t>
      </w:r>
      <w:r>
        <w:rPr>
          <w:color w:val="231F20"/>
          <w:spacing w:val="9"/>
          <w:sz w:val="18"/>
        </w:rPr>
        <w:t> </w:t>
      </w:r>
      <w:r>
        <w:rPr>
          <w:color w:val="231F20"/>
          <w:sz w:val="18"/>
        </w:rPr>
        <w:t>status</w:t>
      </w:r>
      <w:r>
        <w:rPr>
          <w:color w:val="231F20"/>
          <w:spacing w:val="10"/>
          <w:sz w:val="18"/>
        </w:rPr>
        <w:t> </w:t>
      </w:r>
      <w:r>
        <w:rPr>
          <w:color w:val="231F20"/>
          <w:spacing w:val="-2"/>
          <w:sz w:val="18"/>
        </w:rPr>
        <w:t>changed.</w:t>
      </w:r>
    </w:p>
    <w:p>
      <w:pPr>
        <w:spacing w:line="241" w:lineRule="exact" w:before="0"/>
        <w:ind w:left="4841" w:right="0" w:firstLine="0"/>
        <w:jc w:val="left"/>
        <w:rPr>
          <w:sz w:val="18"/>
        </w:rPr>
      </w:pPr>
      <w:r>
        <w:rPr>
          <w:color w:val="231F20"/>
          <w:sz w:val="18"/>
        </w:rPr>
        <w:t>Additional</w:t>
      </w:r>
      <w:r>
        <w:rPr>
          <w:color w:val="231F20"/>
          <w:spacing w:val="8"/>
          <w:sz w:val="18"/>
        </w:rPr>
        <w:t> </w:t>
      </w:r>
      <w:r>
        <w:rPr>
          <w:color w:val="231F20"/>
          <w:sz w:val="18"/>
        </w:rPr>
        <w:t>information</w:t>
      </w:r>
      <w:r>
        <w:rPr>
          <w:color w:val="231F20"/>
          <w:spacing w:val="9"/>
          <w:sz w:val="18"/>
        </w:rPr>
        <w:t> </w:t>
      </w:r>
      <w:r>
        <w:rPr>
          <w:color w:val="231F20"/>
          <w:sz w:val="18"/>
        </w:rPr>
        <w:t>about</w:t>
      </w:r>
      <w:r>
        <w:rPr>
          <w:color w:val="231F20"/>
          <w:spacing w:val="8"/>
          <w:sz w:val="18"/>
        </w:rPr>
        <w:t> </w:t>
      </w:r>
      <w:r>
        <w:rPr>
          <w:color w:val="231F20"/>
          <w:sz w:val="18"/>
        </w:rPr>
        <w:t>the</w:t>
      </w:r>
      <w:r>
        <w:rPr>
          <w:color w:val="231F20"/>
          <w:spacing w:val="9"/>
          <w:sz w:val="18"/>
        </w:rPr>
        <w:t> </w:t>
      </w:r>
      <w:r>
        <w:rPr>
          <w:color w:val="231F20"/>
          <w:sz w:val="18"/>
        </w:rPr>
        <w:t>event,</w:t>
      </w:r>
      <w:r>
        <w:rPr>
          <w:color w:val="231F20"/>
          <w:spacing w:val="9"/>
          <w:sz w:val="18"/>
        </w:rPr>
        <w:t> </w:t>
      </w:r>
      <w:r>
        <w:rPr>
          <w:color w:val="231F20"/>
          <w:sz w:val="18"/>
        </w:rPr>
        <w:t>usually</w:t>
      </w:r>
      <w:r>
        <w:rPr>
          <w:color w:val="231F20"/>
          <w:spacing w:val="8"/>
          <w:sz w:val="18"/>
        </w:rPr>
        <w:t> </w:t>
      </w:r>
      <w:r>
        <w:rPr>
          <w:color w:val="231F20"/>
          <w:sz w:val="18"/>
        </w:rPr>
        <w:t>the</w:t>
      </w:r>
      <w:r>
        <w:rPr>
          <w:color w:val="231F20"/>
          <w:spacing w:val="9"/>
          <w:sz w:val="18"/>
        </w:rPr>
        <w:t> </w:t>
      </w:r>
      <w:r>
        <w:rPr>
          <w:color w:val="231F20"/>
          <w:sz w:val="18"/>
        </w:rPr>
        <w:t>event</w:t>
      </w:r>
      <w:r>
        <w:rPr>
          <w:color w:val="231F20"/>
          <w:spacing w:val="9"/>
          <w:sz w:val="18"/>
        </w:rPr>
        <w:t> </w:t>
      </w:r>
      <w:r>
        <w:rPr>
          <w:color w:val="231F20"/>
          <w:spacing w:val="-2"/>
          <w:sz w:val="18"/>
        </w:rPr>
        <w:t>type.</w:t>
      </w:r>
    </w:p>
    <w:p>
      <w:pPr>
        <w:spacing w:line="208" w:lineRule="exact" w:before="116"/>
        <w:ind w:left="4841" w:right="0" w:firstLine="0"/>
        <w:jc w:val="left"/>
        <w:rPr>
          <w:rFonts w:ascii="Book Antiqua"/>
          <w:b/>
          <w:sz w:val="18"/>
        </w:rPr>
      </w:pPr>
      <w:r>
        <w:rPr>
          <w:rFonts w:ascii="Book Antiqua"/>
          <w:b/>
          <w:color w:val="231F20"/>
          <w:spacing w:val="-2"/>
          <w:sz w:val="18"/>
        </w:rPr>
        <w:t>Sampled</w:t>
      </w:r>
    </w:p>
    <w:p>
      <w:pPr>
        <w:spacing w:line="216" w:lineRule="auto" w:before="10"/>
        <w:ind w:left="5560" w:right="237" w:firstLine="0"/>
        <w:jc w:val="left"/>
        <w:rPr>
          <w:sz w:val="18"/>
        </w:rPr>
      </w:pPr>
      <w:r>
        <w:rPr>
          <w:color w:val="231F20"/>
          <w:sz w:val="18"/>
        </w:rPr>
        <w:t>Sampled events happen when a situation becomes</w:t>
      </w:r>
      <w:r>
        <w:rPr>
          <w:color w:val="231F20"/>
          <w:spacing w:val="80"/>
          <w:sz w:val="18"/>
        </w:rPr>
        <w:t> </w:t>
      </w:r>
      <w:r>
        <w:rPr>
          <w:color w:val="231F20"/>
          <w:sz w:val="18"/>
        </w:rPr>
        <w:t>true. Situations sample data at regular intervals. </w:t>
      </w:r>
      <w:r>
        <w:rPr>
          <w:color w:val="231F20"/>
          <w:sz w:val="18"/>
        </w:rPr>
        <w:t>When the situation is true, it causes an event, which gets closed automatically when the situation goes back to false (or you can close it manually).</w:t>
      </w:r>
    </w:p>
    <w:p>
      <w:pPr>
        <w:tabs>
          <w:tab w:pos="5559" w:val="left" w:leader="none"/>
        </w:tabs>
        <w:spacing w:line="233" w:lineRule="exact" w:before="106"/>
        <w:ind w:left="4841" w:right="0" w:firstLine="0"/>
        <w:jc w:val="left"/>
        <w:rPr>
          <w:sz w:val="18"/>
        </w:rPr>
      </w:pPr>
      <w:r>
        <w:rPr>
          <w:rFonts w:ascii="Book Antiqua"/>
          <w:b/>
          <w:color w:val="231F20"/>
          <w:spacing w:val="-4"/>
          <w:sz w:val="18"/>
        </w:rPr>
        <w:t>Pure</w:t>
      </w:r>
      <w:r>
        <w:rPr>
          <w:rFonts w:ascii="Book Antiqua"/>
          <w:b/>
          <w:color w:val="231F20"/>
          <w:sz w:val="18"/>
        </w:rPr>
        <w:tab/>
      </w:r>
      <w:r>
        <w:rPr>
          <w:color w:val="231F20"/>
          <w:sz w:val="18"/>
        </w:rPr>
        <w:t>Pure</w:t>
      </w:r>
      <w:r>
        <w:rPr>
          <w:color w:val="231F20"/>
          <w:spacing w:val="6"/>
          <w:sz w:val="18"/>
        </w:rPr>
        <w:t> </w:t>
      </w:r>
      <w:r>
        <w:rPr>
          <w:color w:val="231F20"/>
          <w:sz w:val="18"/>
        </w:rPr>
        <w:t>events</w:t>
      </w:r>
      <w:r>
        <w:rPr>
          <w:color w:val="231F20"/>
          <w:spacing w:val="6"/>
          <w:sz w:val="18"/>
        </w:rPr>
        <w:t> </w:t>
      </w:r>
      <w:r>
        <w:rPr>
          <w:color w:val="231F20"/>
          <w:sz w:val="18"/>
        </w:rPr>
        <w:t>are</w:t>
      </w:r>
      <w:r>
        <w:rPr>
          <w:color w:val="231F20"/>
          <w:spacing w:val="6"/>
          <w:sz w:val="18"/>
        </w:rPr>
        <w:t> </w:t>
      </w:r>
      <w:r>
        <w:rPr>
          <w:color w:val="231F20"/>
          <w:sz w:val="18"/>
        </w:rPr>
        <w:t>unsolicited</w:t>
      </w:r>
      <w:r>
        <w:rPr>
          <w:color w:val="231F20"/>
          <w:spacing w:val="7"/>
          <w:sz w:val="18"/>
        </w:rPr>
        <w:t> </w:t>
      </w:r>
      <w:r>
        <w:rPr>
          <w:color w:val="231F20"/>
          <w:sz w:val="18"/>
        </w:rPr>
        <w:t>notifications.</w:t>
      </w:r>
      <w:r>
        <w:rPr>
          <w:color w:val="231F20"/>
          <w:spacing w:val="6"/>
          <w:sz w:val="18"/>
        </w:rPr>
        <w:t> </w:t>
      </w:r>
      <w:r>
        <w:rPr>
          <w:color w:val="231F20"/>
          <w:sz w:val="18"/>
        </w:rPr>
        <w:t>Examples</w:t>
      </w:r>
      <w:r>
        <w:rPr>
          <w:color w:val="231F20"/>
          <w:spacing w:val="6"/>
          <w:sz w:val="18"/>
        </w:rPr>
        <w:t> </w:t>
      </w:r>
      <w:r>
        <w:rPr>
          <w:color w:val="231F20"/>
          <w:spacing w:val="-5"/>
          <w:sz w:val="18"/>
        </w:rPr>
        <w:t>of</w:t>
      </w:r>
    </w:p>
    <w:p>
      <w:pPr>
        <w:spacing w:after="0" w:line="233" w:lineRule="exact"/>
        <w:jc w:val="left"/>
        <w:rPr>
          <w:sz w:val="18"/>
        </w:rPr>
        <w:sectPr>
          <w:type w:val="continuous"/>
          <w:pgSz w:w="12240" w:h="15840"/>
          <w:pgMar w:header="0" w:footer="736" w:top="0" w:bottom="4660" w:left="1000" w:right="1060"/>
        </w:sectPr>
      </w:pPr>
    </w:p>
    <w:p>
      <w:pPr>
        <w:spacing w:line="214" w:lineRule="exact" w:before="0"/>
        <w:ind w:left="0" w:right="38" w:firstLine="0"/>
        <w:jc w:val="right"/>
        <w:rPr>
          <w:rFonts w:ascii="Book Antiqua"/>
          <w:b/>
          <w:sz w:val="18"/>
        </w:rPr>
      </w:pPr>
      <w:r>
        <w:rPr>
          <w:rFonts w:ascii="Book Antiqua"/>
          <w:b/>
          <w:color w:val="231F20"/>
          <w:spacing w:val="-4"/>
          <w:sz w:val="18"/>
        </w:rPr>
        <w:t>Type</w:t>
      </w:r>
    </w:p>
    <w:p>
      <w:pPr>
        <w:spacing w:line="216" w:lineRule="auto" w:before="6"/>
        <w:ind w:left="2472" w:right="212" w:firstLine="0"/>
        <w:jc w:val="left"/>
        <w:rPr>
          <w:sz w:val="18"/>
        </w:rPr>
      </w:pPr>
      <w:r>
        <w:rPr/>
        <w:br w:type="column"/>
      </w:r>
      <w:r>
        <w:rPr>
          <w:color w:val="231F20"/>
          <w:sz w:val="18"/>
        </w:rPr>
        <w:t>pure events are an out-of-paper condition on a printer and an occurrence that adds an entry to the Windows System Log. Some Tivoli monitoring agents have attributes that report pure events, such as the NT</w:t>
      </w:r>
      <w:r>
        <w:rPr>
          <w:color w:val="231F20"/>
          <w:spacing w:val="40"/>
          <w:sz w:val="18"/>
        </w:rPr>
        <w:t> </w:t>
      </w:r>
      <w:r>
        <w:rPr>
          <w:color w:val="231F20"/>
          <w:sz w:val="18"/>
        </w:rPr>
        <w:t>Event Log and NT File Change attribute groups. A situation using one of these attributes can monitor for pure</w:t>
      </w:r>
      <w:r>
        <w:rPr>
          <w:color w:val="231F20"/>
          <w:spacing w:val="31"/>
          <w:sz w:val="18"/>
        </w:rPr>
        <w:t> </w:t>
      </w:r>
      <w:r>
        <w:rPr>
          <w:color w:val="231F20"/>
          <w:sz w:val="18"/>
        </w:rPr>
        <w:t>events.</w:t>
      </w:r>
      <w:r>
        <w:rPr>
          <w:color w:val="231F20"/>
          <w:spacing w:val="31"/>
          <w:sz w:val="18"/>
        </w:rPr>
        <w:t> </w:t>
      </w:r>
      <w:r>
        <w:rPr>
          <w:color w:val="231F20"/>
          <w:sz w:val="18"/>
        </w:rPr>
        <w:t>Because</w:t>
      </w:r>
      <w:r>
        <w:rPr>
          <w:color w:val="231F20"/>
          <w:spacing w:val="31"/>
          <w:sz w:val="18"/>
        </w:rPr>
        <w:t> </w:t>
      </w:r>
      <w:r>
        <w:rPr>
          <w:color w:val="231F20"/>
          <w:sz w:val="18"/>
        </w:rPr>
        <w:t>of</w:t>
      </w:r>
      <w:r>
        <w:rPr>
          <w:color w:val="231F20"/>
          <w:spacing w:val="31"/>
          <w:sz w:val="18"/>
        </w:rPr>
        <w:t> </w:t>
      </w:r>
      <w:r>
        <w:rPr>
          <w:color w:val="231F20"/>
          <w:sz w:val="18"/>
        </w:rPr>
        <w:t>the</w:t>
      </w:r>
      <w:r>
        <w:rPr>
          <w:color w:val="231F20"/>
          <w:spacing w:val="31"/>
          <w:sz w:val="18"/>
        </w:rPr>
        <w:t> </w:t>
      </w:r>
      <w:r>
        <w:rPr>
          <w:color w:val="231F20"/>
          <w:sz w:val="18"/>
        </w:rPr>
        <w:t>nature</w:t>
      </w:r>
      <w:r>
        <w:rPr>
          <w:color w:val="231F20"/>
          <w:spacing w:val="31"/>
          <w:sz w:val="18"/>
        </w:rPr>
        <w:t> </w:t>
      </w:r>
      <w:r>
        <w:rPr>
          <w:color w:val="231F20"/>
          <w:sz w:val="18"/>
        </w:rPr>
        <w:t>of</w:t>
      </w:r>
      <w:r>
        <w:rPr>
          <w:color w:val="231F20"/>
          <w:spacing w:val="31"/>
          <w:sz w:val="18"/>
        </w:rPr>
        <w:t> </w:t>
      </w:r>
      <w:r>
        <w:rPr>
          <w:color w:val="231F20"/>
          <w:sz w:val="18"/>
        </w:rPr>
        <w:t>pure</w:t>
      </w:r>
      <w:r>
        <w:rPr>
          <w:color w:val="231F20"/>
          <w:spacing w:val="31"/>
          <w:sz w:val="18"/>
        </w:rPr>
        <w:t> </w:t>
      </w:r>
      <w:r>
        <w:rPr>
          <w:color w:val="231F20"/>
          <w:sz w:val="18"/>
        </w:rPr>
        <w:t>events, they are not closed automatically like sampled events; you must close the event manually. Alternatively, you can author the situation with an UNTIL clause.</w:t>
      </w:r>
    </w:p>
    <w:p>
      <w:pPr>
        <w:spacing w:after="0" w:line="216" w:lineRule="auto"/>
        <w:jc w:val="left"/>
        <w:rPr>
          <w:sz w:val="18"/>
        </w:rPr>
        <w:sectPr>
          <w:type w:val="continuous"/>
          <w:pgSz w:w="12240" w:h="15840"/>
          <w:pgMar w:header="0" w:footer="736" w:top="0" w:bottom="4660" w:left="1000" w:right="1060"/>
          <w:cols w:num="2" w:equalWidth="0">
            <w:col w:w="2916" w:space="172"/>
            <w:col w:w="7092"/>
          </w:cols>
        </w:sectPr>
      </w:pPr>
    </w:p>
    <w:p>
      <w:pPr>
        <w:tabs>
          <w:tab w:pos="4841" w:val="left" w:leader="none"/>
        </w:tabs>
        <w:spacing w:before="10"/>
        <w:ind w:left="2472" w:right="0" w:firstLine="0"/>
        <w:jc w:val="left"/>
        <w:rPr>
          <w:sz w:val="18"/>
        </w:rPr>
      </w:pPr>
      <w:r>
        <w:rPr>
          <w:rFonts w:ascii="Book Antiqua"/>
          <w:b/>
          <w:color w:val="231F20"/>
          <w:sz w:val="18"/>
        </w:rPr>
        <w:t>Situation</w:t>
      </w:r>
      <w:r>
        <w:rPr>
          <w:rFonts w:ascii="Book Antiqua"/>
          <w:b/>
          <w:color w:val="231F20"/>
          <w:spacing w:val="6"/>
          <w:sz w:val="18"/>
        </w:rPr>
        <w:t> </w:t>
      </w:r>
      <w:r>
        <w:rPr>
          <w:rFonts w:ascii="Book Antiqua"/>
          <w:b/>
          <w:color w:val="231F20"/>
          <w:spacing w:val="-5"/>
          <w:sz w:val="18"/>
        </w:rPr>
        <w:t>ID</w:t>
      </w:r>
      <w:r>
        <w:rPr>
          <w:rFonts w:ascii="Book Antiqua"/>
          <w:b/>
          <w:color w:val="231F20"/>
          <w:sz w:val="18"/>
        </w:rPr>
        <w:tab/>
      </w:r>
      <w:r>
        <w:rPr>
          <w:color w:val="231F20"/>
          <w:sz w:val="18"/>
        </w:rPr>
        <w:t>The</w:t>
      </w:r>
      <w:r>
        <w:rPr>
          <w:color w:val="231F20"/>
          <w:spacing w:val="9"/>
          <w:sz w:val="18"/>
        </w:rPr>
        <w:t> </w:t>
      </w:r>
      <w:r>
        <w:rPr>
          <w:color w:val="231F20"/>
          <w:sz w:val="18"/>
        </w:rPr>
        <w:t>situation</w:t>
      </w:r>
      <w:r>
        <w:rPr>
          <w:color w:val="231F20"/>
          <w:spacing w:val="8"/>
          <w:sz w:val="18"/>
        </w:rPr>
        <w:t> </w:t>
      </w:r>
      <w:r>
        <w:rPr>
          <w:color w:val="231F20"/>
          <w:spacing w:val="-2"/>
          <w:sz w:val="18"/>
        </w:rPr>
        <w:t>identifier.</w:t>
      </w:r>
    </w:p>
    <w:p>
      <w:pPr>
        <w:pStyle w:val="BodyText"/>
        <w:spacing w:before="190"/>
        <w:rPr>
          <w:sz w:val="18"/>
        </w:rPr>
      </w:pPr>
    </w:p>
    <w:p>
      <w:pPr>
        <w:pStyle w:val="Heading5"/>
        <w:spacing w:before="1"/>
      </w:pPr>
      <w:r>
        <w:rPr>
          <w:color w:val="231F20"/>
        </w:rPr>
        <w:t>Table</w:t>
      </w:r>
      <w:r>
        <w:rPr>
          <w:color w:val="231F20"/>
          <w:spacing w:val="-3"/>
        </w:rPr>
        <w:t> </w:t>
      </w:r>
      <w:r>
        <w:rPr>
          <w:color w:val="231F20"/>
        </w:rPr>
        <w:t>view</w:t>
      </w:r>
      <w:r>
        <w:rPr>
          <w:color w:val="231F20"/>
          <w:spacing w:val="-3"/>
        </w:rPr>
        <w:t> </w:t>
      </w:r>
      <w:r>
        <w:rPr>
          <w:color w:val="231F20"/>
          <w:spacing w:val="-2"/>
        </w:rPr>
        <w:t>features</w:t>
      </w:r>
    </w:p>
    <w:p>
      <w:pPr>
        <w:pStyle w:val="BodyText"/>
        <w:spacing w:line="213" w:lineRule="auto" w:before="245"/>
        <w:ind w:left="2472" w:right="385"/>
      </w:pPr>
      <w:r>
        <w:rPr>
          <w:color w:val="231F20"/>
        </w:rPr>
        <w:t>The features available to the table view, such as column locking, can also be used</w:t>
      </w:r>
      <w:r>
        <w:rPr>
          <w:color w:val="231F20"/>
          <w:spacing w:val="40"/>
        </w:rPr>
        <w:t> </w:t>
      </w:r>
      <w:r>
        <w:rPr>
          <w:color w:val="231F20"/>
        </w:rPr>
        <w:t>in the situation event console view.</w:t>
      </w:r>
    </w:p>
    <w:p>
      <w:pPr>
        <w:pStyle w:val="Heading5"/>
        <w:spacing w:before="219"/>
      </w:pPr>
      <w:r>
        <w:rPr>
          <w:color w:val="231F20"/>
        </w:rPr>
        <w:t>Pop-up</w:t>
      </w:r>
      <w:r>
        <w:rPr>
          <w:color w:val="231F20"/>
          <w:spacing w:val="3"/>
        </w:rPr>
        <w:t> </w:t>
      </w:r>
      <w:r>
        <w:rPr>
          <w:color w:val="231F20"/>
          <w:spacing w:val="-4"/>
        </w:rPr>
        <w:t>menu</w:t>
      </w:r>
    </w:p>
    <w:p>
      <w:pPr>
        <w:pStyle w:val="BodyText"/>
        <w:spacing w:line="213" w:lineRule="auto" w:before="245"/>
        <w:ind w:left="2472" w:right="258"/>
      </w:pPr>
      <w:r>
        <w:rPr>
          <w:color w:val="231F20"/>
        </w:rPr>
        <w:t>You can open the Situation Event Results workspace and perform other event related tasks from the pop-up menu: Edit Situation, Start Situation, Stop Situation, Acknowledge Event, and Event Notes. You can also launch an application on </w:t>
      </w:r>
      <w:r>
        <w:rPr>
          <w:color w:val="231F20"/>
        </w:rPr>
        <w:t>your system, link to another workspace, or send a command to the managed system </w:t>
      </w:r>
      <w:bookmarkStart w:name="Applying filters and thresholds" w:id="247"/>
      <w:bookmarkEnd w:id="247"/>
      <w:r>
        <w:rPr>
          <w:color w:val="231F20"/>
        </w:rPr>
        <w:t>whe</w:t>
      </w:r>
      <w:r>
        <w:rPr>
          <w:color w:val="231F20"/>
        </w:rPr>
        <w:t>re the event occurred.</w:t>
      </w:r>
    </w:p>
    <w:p>
      <w:pPr>
        <w:pStyle w:val="Heading4"/>
        <w:spacing w:line="273" w:lineRule="exact" w:before="163"/>
        <w:ind w:left="2472"/>
      </w:pPr>
      <w:r>
        <w:rPr>
          <w:color w:val="231F20"/>
        </w:rPr>
        <w:t>Applying</w:t>
      </w:r>
      <w:r>
        <w:rPr>
          <w:color w:val="231F20"/>
          <w:spacing w:val="5"/>
        </w:rPr>
        <w:t> </w:t>
      </w:r>
      <w:r>
        <w:rPr>
          <w:color w:val="231F20"/>
        </w:rPr>
        <w:t>filters</w:t>
      </w:r>
      <w:r>
        <w:rPr>
          <w:color w:val="231F20"/>
          <w:spacing w:val="6"/>
        </w:rPr>
        <w:t> </w:t>
      </w:r>
      <w:r>
        <w:rPr>
          <w:color w:val="231F20"/>
        </w:rPr>
        <w:t>and</w:t>
      </w:r>
      <w:r>
        <w:rPr>
          <w:color w:val="231F20"/>
          <w:spacing w:val="6"/>
        </w:rPr>
        <w:t> </w:t>
      </w:r>
      <w:r>
        <w:rPr>
          <w:color w:val="231F20"/>
          <w:spacing w:val="-2"/>
        </w:rPr>
        <w:t>thresholds</w:t>
      </w:r>
    </w:p>
    <w:p>
      <w:pPr>
        <w:pStyle w:val="BodyText"/>
        <w:spacing w:line="213" w:lineRule="auto" w:before="20"/>
        <w:ind w:left="2472" w:right="493"/>
      </w:pPr>
      <w:r>
        <w:rPr>
          <w:color w:val="231F20"/>
        </w:rPr>
        <w:t>You can apply filters and thresholds to adjust the event list and the number of rows that are displayed from the console.</w:t>
      </w:r>
    </w:p>
    <w:p>
      <w:pPr>
        <w:spacing w:after="0" w:line="213" w:lineRule="auto"/>
        <w:sectPr>
          <w:type w:val="continuous"/>
          <w:pgSz w:w="12240" w:h="15840"/>
          <w:pgMar w:header="0" w:footer="736" w:top="0" w:bottom="4660" w:left="1000" w:right="1060"/>
        </w:sectPr>
      </w:pPr>
    </w:p>
    <w:p>
      <w:pPr>
        <w:pStyle w:val="Heading5"/>
        <w:spacing w:before="85"/>
        <w:ind w:left="2232"/>
      </w:pPr>
      <w:bookmarkStart w:name="_bookmark115" w:id="248"/>
      <w:bookmarkEnd w:id="248"/>
      <w:r>
        <w:rPr>
          <w:b w:val="0"/>
        </w:rPr>
      </w: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6"/>
        <w:ind w:left="2232" w:right="545"/>
      </w:pPr>
      <w:r>
        <w:rPr>
          <w:color w:val="231F20"/>
        </w:rPr>
        <w:t>You can adjust the event list to show only those of a certain severity or status, owner, attribute or attribute value, or associated with another Navigator item. </w:t>
      </w:r>
      <w:r>
        <w:rPr>
          <w:color w:val="231F20"/>
        </w:rPr>
        <w:t>You can also limit or expand the maximum number of rows that can show on the console, and you can apply thresholds to cells. Tools are provided for the most common</w:t>
      </w:r>
      <w:r>
        <w:rPr>
          <w:color w:val="231F20"/>
          <w:spacing w:val="26"/>
        </w:rPr>
        <w:t> </w:t>
      </w:r>
      <w:r>
        <w:rPr>
          <w:color w:val="231F20"/>
        </w:rPr>
        <w:t>filters,</w:t>
      </w:r>
      <w:r>
        <w:rPr>
          <w:color w:val="231F20"/>
          <w:spacing w:val="26"/>
        </w:rPr>
        <w:t> </w:t>
      </w:r>
      <w:r>
        <w:rPr>
          <w:color w:val="231F20"/>
        </w:rPr>
        <w:t>state</w:t>
      </w:r>
      <w:r>
        <w:rPr>
          <w:color w:val="231F20"/>
          <w:spacing w:val="26"/>
        </w:rPr>
        <w:t> </w:t>
      </w:r>
      <w:r>
        <w:rPr>
          <w:color w:val="231F20"/>
        </w:rPr>
        <w:t>and</w:t>
      </w:r>
      <w:r>
        <w:rPr>
          <w:color w:val="231F20"/>
          <w:spacing w:val="26"/>
        </w:rPr>
        <w:t> </w:t>
      </w:r>
      <w:r>
        <w:rPr>
          <w:color w:val="231F20"/>
        </w:rPr>
        <w:t>status,</w:t>
      </w:r>
      <w:r>
        <w:rPr>
          <w:color w:val="231F20"/>
          <w:spacing w:val="26"/>
        </w:rPr>
        <w:t> </w:t>
      </w:r>
      <w:r>
        <w:rPr>
          <w:color w:val="231F20"/>
        </w:rPr>
        <w:t>so</w:t>
      </w:r>
      <w:r>
        <w:rPr>
          <w:color w:val="231F20"/>
          <w:spacing w:val="26"/>
        </w:rPr>
        <w:t> </w:t>
      </w:r>
      <w:r>
        <w:rPr>
          <w:color w:val="231F20"/>
        </w:rPr>
        <w:t>you</w:t>
      </w:r>
      <w:r>
        <w:rPr>
          <w:color w:val="231F20"/>
          <w:spacing w:val="26"/>
        </w:rPr>
        <w:t> </w:t>
      </w:r>
      <w:r>
        <w:rPr>
          <w:color w:val="231F20"/>
        </w:rPr>
        <w:t>can</w:t>
      </w:r>
      <w:r>
        <w:rPr>
          <w:color w:val="231F20"/>
          <w:spacing w:val="26"/>
        </w:rPr>
        <w:t> </w:t>
      </w:r>
      <w:r>
        <w:rPr>
          <w:color w:val="231F20"/>
        </w:rPr>
        <w:t>quickly</w:t>
      </w:r>
      <w:r>
        <w:rPr>
          <w:color w:val="231F20"/>
          <w:spacing w:val="26"/>
        </w:rPr>
        <w:t> </w:t>
      </w:r>
      <w:r>
        <w:rPr>
          <w:color w:val="231F20"/>
        </w:rPr>
        <w:t>toggle</w:t>
      </w:r>
      <w:r>
        <w:rPr>
          <w:color w:val="231F20"/>
          <w:spacing w:val="26"/>
        </w:rPr>
        <w:t> </w:t>
      </w:r>
      <w:r>
        <w:rPr>
          <w:color w:val="231F20"/>
        </w:rPr>
        <w:t>a</w:t>
      </w:r>
      <w:r>
        <w:rPr>
          <w:color w:val="231F20"/>
          <w:spacing w:val="26"/>
        </w:rPr>
        <w:t> </w:t>
      </w:r>
      <w:r>
        <w:rPr>
          <w:color w:val="231F20"/>
        </w:rPr>
        <w:t>filter</w:t>
      </w:r>
      <w:r>
        <w:rPr>
          <w:color w:val="231F20"/>
          <w:spacing w:val="26"/>
        </w:rPr>
        <w:t> </w:t>
      </w:r>
      <w:r>
        <w:rPr>
          <w:color w:val="231F20"/>
        </w:rPr>
        <w:t>on</w:t>
      </w:r>
      <w:r>
        <w:rPr>
          <w:color w:val="231F20"/>
          <w:spacing w:val="26"/>
        </w:rPr>
        <w:t> </w:t>
      </w:r>
      <w:r>
        <w:rPr>
          <w:color w:val="231F20"/>
        </w:rPr>
        <w:t>or</w:t>
      </w:r>
      <w:r>
        <w:rPr>
          <w:color w:val="231F20"/>
          <w:spacing w:val="26"/>
        </w:rPr>
        <w:t> </w:t>
      </w:r>
      <w:r>
        <w:rPr>
          <w:color w:val="231F20"/>
        </w:rPr>
        <w:t>off.</w:t>
      </w:r>
    </w:p>
    <w:p>
      <w:pPr>
        <w:pStyle w:val="Heading6"/>
        <w:spacing w:before="115"/>
        <w:ind w:left="2232"/>
      </w:pPr>
      <w:r>
        <w:rPr>
          <w:color w:val="231F20"/>
          <w:spacing w:val="-2"/>
        </w:rPr>
        <w:t>Severity</w:t>
      </w:r>
    </w:p>
    <w:p>
      <w:pPr>
        <w:pStyle w:val="BodyText"/>
        <w:spacing w:line="213" w:lineRule="auto" w:before="11"/>
        <w:ind w:left="2951" w:right="493"/>
      </w:pPr>
      <w:r>
        <w:rPr>
          <w:color w:val="231F20"/>
        </w:rPr>
        <w:t>All severities are shown in the event list. You can filter the list to show one</w:t>
      </w:r>
      <w:r>
        <w:rPr>
          <w:color w:val="231F20"/>
          <w:spacing w:val="40"/>
        </w:rPr>
        <w:t> </w:t>
      </w:r>
      <w:r>
        <w:rPr>
          <w:color w:val="231F20"/>
        </w:rPr>
        <w:t>or two states instead of all:</w:t>
      </w:r>
    </w:p>
    <w:p>
      <w:pPr>
        <w:pStyle w:val="BodyText"/>
        <w:spacing w:before="53"/>
        <w:ind w:left="2951"/>
        <w:rPr>
          <w:rFonts w:ascii="Futura MdCn BT"/>
        </w:rPr>
      </w:pPr>
      <w:r>
        <w:rPr>
          <w:rFonts w:ascii="Futura MdCn BT"/>
          <w:color w:val="231F20"/>
          <w:spacing w:val="-10"/>
        </w:rPr>
        <w:t>v</w:t>
      </w:r>
    </w:p>
    <w:p>
      <w:pPr>
        <w:pStyle w:val="BodyText"/>
        <w:spacing w:line="213" w:lineRule="auto" w:before="65"/>
        <w:ind w:left="3167" w:right="545"/>
      </w:pPr>
      <w:r>
        <w:rPr>
          <w:color w:val="231F20"/>
        </w:rPr>
        <w:t>Click</w:t>
      </w:r>
      <w:r>
        <w:rPr>
          <w:color w:val="231F20"/>
          <w:spacing w:val="16"/>
        </w:rPr>
        <w:t> </w:t>
      </w:r>
      <w:r>
        <w:rPr>
          <w:color w:val="231F20"/>
          <w:spacing w:val="-24"/>
          <w:position w:val="-1"/>
        </w:rPr>
        <w:drawing>
          <wp:inline distT="0" distB="0" distL="0" distR="0">
            <wp:extent cx="95250" cy="95250"/>
            <wp:effectExtent l="0" t="0" r="0" b="0"/>
            <wp:docPr id="1506" name="Image 1506"/>
            <wp:cNvGraphicFramePr>
              <a:graphicFrameLocks/>
            </wp:cNvGraphicFramePr>
            <a:graphic>
              <a:graphicData uri="http://schemas.openxmlformats.org/drawingml/2006/picture">
                <pic:pic>
                  <pic:nvPicPr>
                    <pic:cNvPr id="1506" name="Image 1506"/>
                    <pic:cNvPicPr/>
                  </pic:nvPicPr>
                  <pic:blipFill>
                    <a:blip r:embed="rId29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3"/>
        </w:rPr>
        <w:t> </w:t>
      </w:r>
      <w:r>
        <w:rPr>
          <w:color w:val="231F20"/>
        </w:rPr>
        <w:t>,</w:t>
      </w:r>
      <w:r>
        <w:rPr>
          <w:color w:val="231F20"/>
          <w:spacing w:val="16"/>
        </w:rPr>
        <w:t> </w:t>
      </w:r>
      <w:r>
        <w:rPr>
          <w:color w:val="231F20"/>
          <w:spacing w:val="-24"/>
          <w:position w:val="-1"/>
        </w:rPr>
        <w:drawing>
          <wp:inline distT="0" distB="0" distL="0" distR="0">
            <wp:extent cx="95250" cy="95250"/>
            <wp:effectExtent l="0" t="0" r="0" b="0"/>
            <wp:docPr id="1507" name="Image 1507"/>
            <wp:cNvGraphicFramePr>
              <a:graphicFrameLocks/>
            </wp:cNvGraphicFramePr>
            <a:graphic>
              <a:graphicData uri="http://schemas.openxmlformats.org/drawingml/2006/picture">
                <pic:pic>
                  <pic:nvPicPr>
                    <pic:cNvPr id="1507" name="Image 1507"/>
                    <pic:cNvPicPr/>
                  </pic:nvPicPr>
                  <pic:blipFill>
                    <a:blip r:embed="rId19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3"/>
        </w:rPr>
        <w:t> </w:t>
      </w:r>
      <w:r>
        <w:rPr>
          <w:color w:val="231F20"/>
        </w:rPr>
        <w:t>,</w:t>
      </w:r>
      <w:r>
        <w:rPr>
          <w:color w:val="231F20"/>
          <w:spacing w:val="16"/>
        </w:rPr>
        <w:t> </w:t>
      </w:r>
      <w:r>
        <w:rPr>
          <w:color w:val="231F20"/>
          <w:spacing w:val="-24"/>
          <w:position w:val="-1"/>
        </w:rPr>
        <w:drawing>
          <wp:inline distT="0" distB="0" distL="0" distR="0">
            <wp:extent cx="95250" cy="95250"/>
            <wp:effectExtent l="0" t="0" r="0" b="0"/>
            <wp:docPr id="1508" name="Image 1508"/>
            <wp:cNvGraphicFramePr>
              <a:graphicFrameLocks/>
            </wp:cNvGraphicFramePr>
            <a:graphic>
              <a:graphicData uri="http://schemas.openxmlformats.org/drawingml/2006/picture">
                <pic:pic>
                  <pic:nvPicPr>
                    <pic:cNvPr id="1508" name="Image 1508"/>
                    <pic:cNvPicPr/>
                  </pic:nvPicPr>
                  <pic:blipFill>
                    <a:blip r:embed="rId16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3"/>
        </w:rPr>
        <w:t> </w:t>
      </w:r>
      <w:r>
        <w:rPr>
          <w:color w:val="231F20"/>
        </w:rPr>
        <w:t>,</w:t>
      </w:r>
      <w:r>
        <w:rPr>
          <w:color w:val="231F20"/>
          <w:spacing w:val="16"/>
        </w:rPr>
        <w:t> </w:t>
      </w:r>
      <w:r>
        <w:rPr>
          <w:color w:val="231F20"/>
          <w:spacing w:val="-24"/>
          <w:position w:val="-1"/>
        </w:rPr>
        <w:drawing>
          <wp:inline distT="0" distB="0" distL="0" distR="0">
            <wp:extent cx="95250" cy="95250"/>
            <wp:effectExtent l="0" t="0" r="0" b="0"/>
            <wp:docPr id="1509" name="Image 1509"/>
            <wp:cNvGraphicFramePr>
              <a:graphicFrameLocks/>
            </wp:cNvGraphicFramePr>
            <a:graphic>
              <a:graphicData uri="http://schemas.openxmlformats.org/drawingml/2006/picture">
                <pic:pic>
                  <pic:nvPicPr>
                    <pic:cNvPr id="1509" name="Image 1509"/>
                    <pic:cNvPicPr/>
                  </pic:nvPicPr>
                  <pic:blipFill>
                    <a:blip r:embed="rId1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3"/>
        </w:rPr>
        <w:t> </w:t>
      </w:r>
      <w:r>
        <w:rPr>
          <w:color w:val="231F20"/>
        </w:rPr>
        <w:t>,</w:t>
      </w:r>
      <w:r>
        <w:rPr>
          <w:color w:val="231F20"/>
          <w:spacing w:val="16"/>
        </w:rPr>
        <w:t> </w:t>
      </w:r>
      <w:r>
        <w:rPr>
          <w:color w:val="231F20"/>
          <w:spacing w:val="-24"/>
          <w:position w:val="-1"/>
        </w:rPr>
        <w:drawing>
          <wp:inline distT="0" distB="0" distL="0" distR="0">
            <wp:extent cx="95250" cy="95250"/>
            <wp:effectExtent l="0" t="0" r="0" b="0"/>
            <wp:docPr id="1510" name="Image 1510"/>
            <wp:cNvGraphicFramePr>
              <a:graphicFrameLocks/>
            </wp:cNvGraphicFramePr>
            <a:graphic>
              <a:graphicData uri="http://schemas.openxmlformats.org/drawingml/2006/picture">
                <pic:pic>
                  <pic:nvPicPr>
                    <pic:cNvPr id="1510" name="Image 1510"/>
                    <pic:cNvPicPr/>
                  </pic:nvPicPr>
                  <pic:blipFill>
                    <a:blip r:embed="rId16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3"/>
        </w:rPr>
        <w:t> </w:t>
      </w:r>
      <w:r>
        <w:rPr>
          <w:color w:val="231F20"/>
        </w:rPr>
        <w:t>,</w:t>
      </w:r>
      <w:r>
        <w:rPr>
          <w:color w:val="231F20"/>
          <w:spacing w:val="16"/>
        </w:rPr>
        <w:t> </w:t>
      </w:r>
      <w:r>
        <w:rPr>
          <w:color w:val="231F20"/>
          <w:spacing w:val="-24"/>
          <w:position w:val="-1"/>
        </w:rPr>
        <w:drawing>
          <wp:inline distT="0" distB="0" distL="0" distR="0">
            <wp:extent cx="95250" cy="95250"/>
            <wp:effectExtent l="0" t="0" r="0" b="0"/>
            <wp:docPr id="1511" name="Image 1511"/>
            <wp:cNvGraphicFramePr>
              <a:graphicFrameLocks/>
            </wp:cNvGraphicFramePr>
            <a:graphic>
              <a:graphicData uri="http://schemas.openxmlformats.org/drawingml/2006/picture">
                <pic:pic>
                  <pic:nvPicPr>
                    <pic:cNvPr id="1511" name="Image 1511"/>
                    <pic:cNvPicPr/>
                  </pic:nvPicPr>
                  <pic:blipFill>
                    <a:blip r:embed="rId126"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1"/>
        </w:rPr>
        <w:t> </w:t>
      </w:r>
      <w:r>
        <w:rPr>
          <w:color w:val="231F20"/>
        </w:rPr>
        <w:t>or</w:t>
      </w:r>
      <w:r>
        <w:rPr>
          <w:color w:val="231F20"/>
          <w:spacing w:val="16"/>
        </w:rPr>
        <w:t> </w:t>
      </w:r>
      <w:r>
        <w:rPr>
          <w:color w:val="231F20"/>
          <w:spacing w:val="-24"/>
          <w:position w:val="-1"/>
        </w:rPr>
        <w:drawing>
          <wp:inline distT="0" distB="0" distL="0" distR="0">
            <wp:extent cx="95250" cy="95250"/>
            <wp:effectExtent l="0" t="0" r="0" b="0"/>
            <wp:docPr id="1512" name="Image 1512"/>
            <wp:cNvGraphicFramePr>
              <a:graphicFrameLocks/>
            </wp:cNvGraphicFramePr>
            <a:graphic>
              <a:graphicData uri="http://schemas.openxmlformats.org/drawingml/2006/picture">
                <pic:pic>
                  <pic:nvPicPr>
                    <pic:cNvPr id="1512" name="Image 1512"/>
                    <pic:cNvPicPr/>
                  </pic:nvPicPr>
                  <pic:blipFill>
                    <a:blip r:embed="rId29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1"/>
        </w:rPr>
        <w:t> </w:t>
      </w:r>
      <w:r>
        <w:rPr>
          <w:color w:val="231F20"/>
        </w:rPr>
        <w:t>to filter the view to show only </w:t>
      </w:r>
      <w:r>
        <w:rPr>
          <w:color w:val="231F20"/>
        </w:rPr>
        <w:t>events with that severity.</w:t>
      </w:r>
    </w:p>
    <w:p>
      <w:pPr>
        <w:pStyle w:val="BodyText"/>
        <w:tabs>
          <w:tab w:pos="3233" w:val="left" w:leader="none"/>
        </w:tabs>
        <w:spacing w:before="36"/>
        <w:ind w:left="2951"/>
      </w:pPr>
      <w:r>
        <w:rPr>
          <w:rFonts w:ascii="Futura MdCn BT"/>
          <w:color w:val="231F20"/>
          <w:spacing w:val="-10"/>
        </w:rPr>
        <w:t>v</w:t>
      </w:r>
      <w:r>
        <w:rPr>
          <w:rFonts w:ascii="Futura MdCn BT"/>
          <w:color w:val="231F20"/>
        </w:rPr>
        <w:tab/>
      </w:r>
      <w:r>
        <w:rPr>
          <w:color w:val="231F20"/>
        </w:rPr>
        <w:t>Click</w:t>
      </w:r>
      <w:r>
        <w:rPr>
          <w:color w:val="231F20"/>
          <w:spacing w:val="11"/>
        </w:rPr>
        <w:t> </w:t>
      </w:r>
      <w:r>
        <w:rPr>
          <w:color w:val="231F20"/>
        </w:rPr>
        <w:t>a</w:t>
      </w:r>
      <w:r>
        <w:rPr>
          <w:color w:val="231F20"/>
          <w:spacing w:val="11"/>
        </w:rPr>
        <w:t> </w:t>
      </w:r>
      <w:r>
        <w:rPr>
          <w:color w:val="231F20"/>
        </w:rPr>
        <w:t>tool</w:t>
      </w:r>
      <w:r>
        <w:rPr>
          <w:color w:val="231F20"/>
          <w:spacing w:val="11"/>
        </w:rPr>
        <w:t> </w:t>
      </w:r>
      <w:r>
        <w:rPr>
          <w:color w:val="231F20"/>
        </w:rPr>
        <w:t>again</w:t>
      </w:r>
      <w:r>
        <w:rPr>
          <w:color w:val="231F20"/>
          <w:spacing w:val="11"/>
        </w:rPr>
        <w:t> </w:t>
      </w:r>
      <w:r>
        <w:rPr>
          <w:color w:val="231F20"/>
        </w:rPr>
        <w:t>to</w:t>
      </w:r>
      <w:r>
        <w:rPr>
          <w:color w:val="231F20"/>
          <w:spacing w:val="11"/>
        </w:rPr>
        <w:t> </w:t>
      </w:r>
      <w:r>
        <w:rPr>
          <w:color w:val="231F20"/>
        </w:rPr>
        <w:t>remove</w:t>
      </w:r>
      <w:r>
        <w:rPr>
          <w:color w:val="231F20"/>
          <w:spacing w:val="12"/>
        </w:rPr>
        <w:t> </w:t>
      </w:r>
      <w:r>
        <w:rPr>
          <w:color w:val="231F20"/>
        </w:rPr>
        <w:t>that</w:t>
      </w:r>
      <w:r>
        <w:rPr>
          <w:color w:val="231F20"/>
          <w:spacing w:val="11"/>
        </w:rPr>
        <w:t> </w:t>
      </w:r>
      <w:r>
        <w:rPr>
          <w:color w:val="231F20"/>
        </w:rPr>
        <w:t>particular</w:t>
      </w:r>
      <w:r>
        <w:rPr>
          <w:color w:val="231F20"/>
          <w:spacing w:val="11"/>
        </w:rPr>
        <w:t> </w:t>
      </w:r>
      <w:r>
        <w:rPr>
          <w:color w:val="231F20"/>
          <w:spacing w:val="-2"/>
        </w:rPr>
        <w:t>filter.</w:t>
      </w:r>
    </w:p>
    <w:p>
      <w:pPr>
        <w:pStyle w:val="BodyText"/>
        <w:spacing w:line="213" w:lineRule="auto" w:before="112"/>
        <w:ind w:left="2951" w:right="493" w:hanging="719"/>
      </w:pPr>
      <w:r>
        <w:rPr>
          <w:rFonts w:ascii="Book Antiqua"/>
          <w:b/>
          <w:color w:val="231F20"/>
        </w:rPr>
        <w:t>Status</w:t>
      </w:r>
      <w:r>
        <w:rPr>
          <w:rFonts w:ascii="Book Antiqua"/>
          <w:b/>
          <w:color w:val="231F20"/>
          <w:spacing w:val="80"/>
        </w:rPr>
        <w:t> </w:t>
      </w:r>
      <w:r>
        <w:rPr>
          <w:color w:val="231F20"/>
        </w:rPr>
        <w:t>All status types are shown in the event list. You can filter the list to show</w:t>
      </w:r>
      <w:r>
        <w:rPr>
          <w:color w:val="231F20"/>
          <w:spacing w:val="40"/>
        </w:rPr>
        <w:t> </w:t>
      </w:r>
      <w:r>
        <w:rPr>
          <w:color w:val="231F20"/>
        </w:rPr>
        <w:t>only a certain status:</w:t>
      </w:r>
    </w:p>
    <w:p>
      <w:pPr>
        <w:spacing w:line="213" w:lineRule="auto" w:before="59"/>
        <w:ind w:left="3167" w:right="636" w:hanging="216"/>
        <w:jc w:val="left"/>
        <w:rPr>
          <w:sz w:val="20"/>
        </w:rPr>
      </w:pPr>
      <w:r>
        <w:rPr>
          <w:rFonts w:ascii="Futura MdCn BT"/>
          <w:color w:val="231F20"/>
          <w:sz w:val="20"/>
        </w:rPr>
        <w:t>v</w:t>
      </w:r>
      <w:r>
        <w:rPr>
          <w:rFonts w:ascii="Futura MdCn BT"/>
          <w:color w:val="231F20"/>
          <w:spacing w:val="80"/>
          <w:sz w:val="20"/>
        </w:rPr>
        <w:t> </w:t>
      </w:r>
      <w:r>
        <w:rPr>
          <w:color w:val="231F20"/>
          <w:sz w:val="20"/>
        </w:rPr>
        <w:t>Click </w:t>
      </w:r>
      <w:r>
        <w:rPr>
          <w:color w:val="231F20"/>
          <w:spacing w:val="-24"/>
          <w:position w:val="-1"/>
          <w:sz w:val="20"/>
        </w:rPr>
        <w:drawing>
          <wp:inline distT="0" distB="0" distL="0" distR="0">
            <wp:extent cx="95250" cy="95250"/>
            <wp:effectExtent l="0" t="0" r="0" b="0"/>
            <wp:docPr id="1513" name="Image 1513"/>
            <wp:cNvGraphicFramePr>
              <a:graphicFrameLocks/>
            </wp:cNvGraphicFramePr>
            <a:graphic>
              <a:graphicData uri="http://schemas.openxmlformats.org/drawingml/2006/picture">
                <pic:pic>
                  <pic:nvPicPr>
                    <pic:cNvPr id="1513" name="Image 1513"/>
                    <pic:cNvPicPr/>
                  </pic:nvPicPr>
                  <pic:blipFill>
                    <a:blip r:embed="rId12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3"/>
          <w:sz w:val="20"/>
        </w:rPr>
        <w:t> </w:t>
      </w:r>
      <w:r>
        <w:rPr>
          <w:rFonts w:ascii="Book Antiqua"/>
          <w:b/>
          <w:color w:val="231F20"/>
          <w:sz w:val="20"/>
        </w:rPr>
        <w:t>Open</w:t>
      </w:r>
      <w:r>
        <w:rPr>
          <w:color w:val="231F20"/>
          <w:sz w:val="20"/>
        </w:rPr>
        <w:t>, </w:t>
      </w:r>
      <w:r>
        <w:rPr>
          <w:color w:val="231F20"/>
          <w:spacing w:val="-24"/>
          <w:position w:val="-1"/>
          <w:sz w:val="20"/>
        </w:rPr>
        <w:drawing>
          <wp:inline distT="0" distB="0" distL="0" distR="0">
            <wp:extent cx="95250" cy="95250"/>
            <wp:effectExtent l="0" t="0" r="0" b="0"/>
            <wp:docPr id="1514" name="Image 1514"/>
            <wp:cNvGraphicFramePr>
              <a:graphicFrameLocks/>
            </wp:cNvGraphicFramePr>
            <a:graphic>
              <a:graphicData uri="http://schemas.openxmlformats.org/drawingml/2006/picture">
                <pic:pic>
                  <pic:nvPicPr>
                    <pic:cNvPr id="1514" name="Image 1514"/>
                    <pic:cNvPicPr/>
                  </pic:nvPicPr>
                  <pic:blipFill>
                    <a:blip r:embed="rId11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3"/>
          <w:sz w:val="20"/>
        </w:rPr>
        <w:t> </w:t>
      </w:r>
      <w:r>
        <w:rPr>
          <w:rFonts w:ascii="Book Antiqua"/>
          <w:b/>
          <w:color w:val="231F20"/>
          <w:sz w:val="20"/>
        </w:rPr>
        <w:t>Acknowledged</w:t>
      </w:r>
      <w:r>
        <w:rPr>
          <w:color w:val="231F20"/>
          <w:sz w:val="20"/>
        </w:rPr>
        <w:t>, </w:t>
      </w:r>
      <w:r>
        <w:rPr>
          <w:color w:val="231F20"/>
          <w:spacing w:val="-24"/>
          <w:position w:val="-1"/>
          <w:sz w:val="20"/>
        </w:rPr>
        <w:drawing>
          <wp:inline distT="0" distB="0" distL="0" distR="0">
            <wp:extent cx="95250" cy="95250"/>
            <wp:effectExtent l="0" t="0" r="0" b="0"/>
            <wp:docPr id="1515" name="Image 1515"/>
            <wp:cNvGraphicFramePr>
              <a:graphicFrameLocks/>
            </wp:cNvGraphicFramePr>
            <a:graphic>
              <a:graphicData uri="http://schemas.openxmlformats.org/drawingml/2006/picture">
                <pic:pic>
                  <pic:nvPicPr>
                    <pic:cNvPr id="1515" name="Image 1515"/>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3"/>
          <w:sz w:val="20"/>
        </w:rPr>
        <w:t> </w:t>
      </w:r>
      <w:r>
        <w:rPr>
          <w:rFonts w:ascii="Book Antiqua"/>
          <w:b/>
          <w:color w:val="231F20"/>
          <w:sz w:val="20"/>
        </w:rPr>
        <w:t>Stopped</w:t>
      </w:r>
      <w:r>
        <w:rPr>
          <w:color w:val="231F20"/>
          <w:sz w:val="20"/>
        </w:rPr>
        <w:t>, or </w:t>
      </w:r>
      <w:r>
        <w:rPr>
          <w:color w:val="231F20"/>
          <w:spacing w:val="-24"/>
          <w:position w:val="-1"/>
          <w:sz w:val="20"/>
        </w:rPr>
        <w:drawing>
          <wp:inline distT="0" distB="0" distL="0" distR="0">
            <wp:extent cx="95250" cy="95250"/>
            <wp:effectExtent l="0" t="0" r="0" b="0"/>
            <wp:docPr id="1516" name="Image 1516"/>
            <wp:cNvGraphicFramePr>
              <a:graphicFrameLocks/>
            </wp:cNvGraphicFramePr>
            <a:graphic>
              <a:graphicData uri="http://schemas.openxmlformats.org/drawingml/2006/picture">
                <pic:pic>
                  <pic:nvPicPr>
                    <pic:cNvPr id="1516" name="Image 1516"/>
                    <pic:cNvPicPr/>
                  </pic:nvPicPr>
                  <pic:blipFill>
                    <a:blip r:embed="rId113"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3"/>
          <w:sz w:val="20"/>
        </w:rPr>
        <w:t> </w:t>
      </w:r>
      <w:r>
        <w:rPr>
          <w:rFonts w:ascii="Book Antiqua"/>
          <w:b/>
          <w:color w:val="231F20"/>
          <w:sz w:val="20"/>
        </w:rPr>
        <w:t>Problem </w:t>
      </w:r>
      <w:r>
        <w:rPr>
          <w:color w:val="231F20"/>
          <w:sz w:val="20"/>
        </w:rPr>
        <w:t>to </w:t>
      </w:r>
      <w:r>
        <w:rPr>
          <w:color w:val="231F20"/>
          <w:sz w:val="20"/>
        </w:rPr>
        <w:t>filter</w:t>
      </w:r>
      <w:r>
        <w:rPr>
          <w:color w:val="231F20"/>
          <w:sz w:val="20"/>
        </w:rPr>
        <w:t> on one or more of these statuses.</w:t>
      </w:r>
    </w:p>
    <w:p>
      <w:pPr>
        <w:pStyle w:val="BodyText"/>
        <w:spacing w:before="35"/>
        <w:ind w:left="2951"/>
      </w:pPr>
      <w:r>
        <w:rPr>
          <w:rFonts w:ascii="Futura MdCn BT"/>
          <w:color w:val="231F20"/>
        </w:rPr>
        <w:t>v</w:t>
      </w:r>
      <w:r>
        <w:rPr>
          <w:rFonts w:ascii="Futura MdCn BT"/>
          <w:color w:val="231F20"/>
          <w:spacing w:val="31"/>
        </w:rPr>
        <w:t>  </w:t>
      </w:r>
      <w:r>
        <w:rPr>
          <w:color w:val="231F20"/>
        </w:rPr>
        <w:t>Click</w:t>
      </w:r>
      <w:r>
        <w:rPr>
          <w:color w:val="231F20"/>
          <w:spacing w:val="13"/>
        </w:rPr>
        <w:t> </w:t>
      </w:r>
      <w:r>
        <w:rPr>
          <w:color w:val="231F20"/>
        </w:rPr>
        <w:t>a</w:t>
      </w:r>
      <w:r>
        <w:rPr>
          <w:color w:val="231F20"/>
          <w:spacing w:val="12"/>
        </w:rPr>
        <w:t> </w:t>
      </w:r>
      <w:r>
        <w:rPr>
          <w:color w:val="231F20"/>
        </w:rPr>
        <w:t>tool</w:t>
      </w:r>
      <w:r>
        <w:rPr>
          <w:color w:val="231F20"/>
          <w:spacing w:val="12"/>
        </w:rPr>
        <w:t> </w:t>
      </w:r>
      <w:r>
        <w:rPr>
          <w:color w:val="231F20"/>
        </w:rPr>
        <w:t>again</w:t>
      </w:r>
      <w:r>
        <w:rPr>
          <w:color w:val="231F20"/>
          <w:spacing w:val="12"/>
        </w:rPr>
        <w:t> </w:t>
      </w:r>
      <w:r>
        <w:rPr>
          <w:color w:val="231F20"/>
        </w:rPr>
        <w:t>to</w:t>
      </w:r>
      <w:r>
        <w:rPr>
          <w:color w:val="231F20"/>
          <w:spacing w:val="13"/>
        </w:rPr>
        <w:t> </w:t>
      </w:r>
      <w:r>
        <w:rPr>
          <w:color w:val="231F20"/>
        </w:rPr>
        <w:t>remove</w:t>
      </w:r>
      <w:r>
        <w:rPr>
          <w:color w:val="231F20"/>
          <w:spacing w:val="12"/>
        </w:rPr>
        <w:t> </w:t>
      </w:r>
      <w:r>
        <w:rPr>
          <w:color w:val="231F20"/>
        </w:rPr>
        <w:t>that</w:t>
      </w:r>
      <w:r>
        <w:rPr>
          <w:color w:val="231F20"/>
          <w:spacing w:val="12"/>
        </w:rPr>
        <w:t> </w:t>
      </w:r>
      <w:r>
        <w:rPr>
          <w:color w:val="231F20"/>
        </w:rPr>
        <w:t>particular</w:t>
      </w:r>
      <w:r>
        <w:rPr>
          <w:color w:val="231F20"/>
          <w:spacing w:val="12"/>
        </w:rPr>
        <w:t> </w:t>
      </w:r>
      <w:r>
        <w:rPr>
          <w:color w:val="231F20"/>
          <w:spacing w:val="-2"/>
        </w:rPr>
        <w:t>filter.</w:t>
      </w:r>
    </w:p>
    <w:p>
      <w:pPr>
        <w:pStyle w:val="Heading6"/>
        <w:spacing w:before="112"/>
        <w:ind w:left="2232"/>
      </w:pPr>
      <w:r>
        <w:rPr>
          <w:color w:val="231F20"/>
          <w:spacing w:val="-2"/>
        </w:rPr>
        <w:t>Column</w:t>
      </w:r>
    </w:p>
    <w:p>
      <w:pPr>
        <w:pStyle w:val="BodyText"/>
        <w:spacing w:line="213" w:lineRule="auto" w:before="11"/>
        <w:ind w:left="2951" w:right="545"/>
      </w:pPr>
      <w:r>
        <w:rPr>
          <w:color w:val="231F20"/>
        </w:rPr>
        <w:t>The toolbar enables you to filter the list by Severity, Status, or Owner. Through the popup menu, you can filter on any column and even </w:t>
      </w:r>
      <w:r>
        <w:rPr>
          <w:color w:val="231F20"/>
        </w:rPr>
        <w:t>multiple </w:t>
      </w:r>
      <w:r>
        <w:rPr>
          <w:color w:val="231F20"/>
          <w:spacing w:val="-2"/>
        </w:rPr>
        <w:t>columns.</w:t>
      </w:r>
    </w:p>
    <w:p>
      <w:pPr>
        <w:pStyle w:val="ListParagraph"/>
        <w:numPr>
          <w:ilvl w:val="0"/>
          <w:numId w:val="73"/>
        </w:numPr>
        <w:tabs>
          <w:tab w:pos="3267" w:val="left" w:leader="none"/>
        </w:tabs>
        <w:spacing w:line="213" w:lineRule="auto" w:before="58" w:after="0"/>
        <w:ind w:left="3267" w:right="871" w:hanging="316"/>
        <w:jc w:val="left"/>
        <w:rPr>
          <w:sz w:val="20"/>
        </w:rPr>
      </w:pPr>
      <w:r>
        <w:rPr>
          <w:color w:val="231F20"/>
          <w:sz w:val="20"/>
        </w:rPr>
        <w:t>Right-click the cell on whose value you want to filter the </w:t>
      </w:r>
      <w:r>
        <w:rPr>
          <w:color w:val="231F20"/>
          <w:sz w:val="20"/>
        </w:rPr>
        <w:t>incoming </w:t>
      </w:r>
      <w:r>
        <w:rPr>
          <w:color w:val="231F20"/>
          <w:spacing w:val="-2"/>
          <w:sz w:val="20"/>
        </w:rPr>
        <w:t>data.</w:t>
      </w:r>
    </w:p>
    <w:p>
      <w:pPr>
        <w:pStyle w:val="ListParagraph"/>
        <w:numPr>
          <w:ilvl w:val="0"/>
          <w:numId w:val="73"/>
        </w:numPr>
        <w:tabs>
          <w:tab w:pos="3265" w:val="left" w:leader="none"/>
          <w:tab w:pos="3267" w:val="left" w:leader="none"/>
        </w:tabs>
        <w:spacing w:line="213" w:lineRule="auto" w:before="58" w:after="0"/>
        <w:ind w:left="3267" w:right="719" w:hanging="317"/>
        <w:jc w:val="left"/>
        <w:rPr>
          <w:sz w:val="20"/>
        </w:rPr>
      </w:pPr>
      <w:r>
        <w:rPr>
          <w:color w:val="231F20"/>
          <w:sz w:val="20"/>
        </w:rPr>
        <w:t>Click </w:t>
      </w:r>
      <w:r>
        <w:rPr>
          <w:color w:val="231F20"/>
          <w:spacing w:val="16"/>
          <w:position w:val="-1"/>
          <w:sz w:val="20"/>
        </w:rPr>
        <w:drawing>
          <wp:inline distT="0" distB="0" distL="0" distR="0">
            <wp:extent cx="101600" cy="101600"/>
            <wp:effectExtent l="0" t="0" r="0" b="0"/>
            <wp:docPr id="1517" name="Image 1517"/>
            <wp:cNvGraphicFramePr>
              <a:graphicFrameLocks/>
            </wp:cNvGraphicFramePr>
            <a:graphic>
              <a:graphicData uri="http://schemas.openxmlformats.org/drawingml/2006/picture">
                <pic:pic>
                  <pic:nvPicPr>
                    <pic:cNvPr id="1517" name="Image 1517"/>
                    <pic:cNvPicPr/>
                  </pic:nvPicPr>
                  <pic:blipFill>
                    <a:blip r:embed="rId305"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Set Quick Filter</w:t>
      </w:r>
      <w:r>
        <w:rPr>
          <w:color w:val="231F20"/>
          <w:sz w:val="20"/>
        </w:rPr>
        <w:t>, then select the attribute (attribute name == </w:t>
      </w:r>
      <w:r>
        <w:rPr>
          <w:color w:val="231F20"/>
          <w:spacing w:val="-2"/>
          <w:sz w:val="20"/>
        </w:rPr>
        <w:t>value).</w:t>
      </w:r>
    </w:p>
    <w:p>
      <w:pPr>
        <w:spacing w:line="213" w:lineRule="auto" w:before="119"/>
        <w:ind w:left="2951" w:right="545" w:firstLine="0"/>
        <w:jc w:val="left"/>
        <w:rPr>
          <w:sz w:val="20"/>
        </w:rPr>
      </w:pPr>
      <w:r>
        <w:rPr>
          <w:color w:val="231F20"/>
          <w:sz w:val="20"/>
        </w:rPr>
        <w:t>If</w:t>
      </w:r>
      <w:r>
        <w:rPr>
          <w:color w:val="231F20"/>
          <w:spacing w:val="25"/>
          <w:sz w:val="20"/>
        </w:rPr>
        <w:t> </w:t>
      </w:r>
      <w:r>
        <w:rPr>
          <w:color w:val="231F20"/>
          <w:sz w:val="20"/>
        </w:rPr>
        <w:t>you</w:t>
      </w:r>
      <w:r>
        <w:rPr>
          <w:color w:val="231F20"/>
          <w:spacing w:val="25"/>
          <w:sz w:val="20"/>
        </w:rPr>
        <w:t> </w:t>
      </w:r>
      <w:r>
        <w:rPr>
          <w:color w:val="231F20"/>
          <w:sz w:val="20"/>
        </w:rPr>
        <w:t>want</w:t>
      </w:r>
      <w:r>
        <w:rPr>
          <w:color w:val="231F20"/>
          <w:spacing w:val="25"/>
          <w:sz w:val="20"/>
        </w:rPr>
        <w:t> </w:t>
      </w:r>
      <w:r>
        <w:rPr>
          <w:color w:val="231F20"/>
          <w:sz w:val="20"/>
        </w:rPr>
        <w:t>to</w:t>
      </w:r>
      <w:r>
        <w:rPr>
          <w:color w:val="231F20"/>
          <w:spacing w:val="25"/>
          <w:sz w:val="20"/>
        </w:rPr>
        <w:t> </w:t>
      </w:r>
      <w:r>
        <w:rPr>
          <w:color w:val="231F20"/>
          <w:sz w:val="20"/>
        </w:rPr>
        <w:t>remove</w:t>
      </w:r>
      <w:r>
        <w:rPr>
          <w:color w:val="231F20"/>
          <w:spacing w:val="25"/>
          <w:sz w:val="20"/>
        </w:rPr>
        <w:t> </w:t>
      </w:r>
      <w:r>
        <w:rPr>
          <w:color w:val="231F20"/>
          <w:sz w:val="20"/>
        </w:rPr>
        <w:t>the</w:t>
      </w:r>
      <w:r>
        <w:rPr>
          <w:color w:val="231F20"/>
          <w:spacing w:val="25"/>
          <w:sz w:val="20"/>
        </w:rPr>
        <w:t> </w:t>
      </w:r>
      <w:r>
        <w:rPr>
          <w:color w:val="231F20"/>
          <w:sz w:val="20"/>
        </w:rPr>
        <w:t>quick</w:t>
      </w:r>
      <w:r>
        <w:rPr>
          <w:color w:val="231F20"/>
          <w:spacing w:val="25"/>
          <w:sz w:val="20"/>
        </w:rPr>
        <w:t> </w:t>
      </w:r>
      <w:r>
        <w:rPr>
          <w:color w:val="231F20"/>
          <w:sz w:val="20"/>
        </w:rPr>
        <w:t>filter,</w:t>
      </w:r>
      <w:r>
        <w:rPr>
          <w:color w:val="231F20"/>
          <w:spacing w:val="25"/>
          <w:sz w:val="20"/>
        </w:rPr>
        <w:t> </w:t>
      </w:r>
      <w:r>
        <w:rPr>
          <w:color w:val="231F20"/>
          <w:sz w:val="20"/>
        </w:rPr>
        <w:t>right-click</w:t>
      </w:r>
      <w:r>
        <w:rPr>
          <w:color w:val="231F20"/>
          <w:spacing w:val="25"/>
          <w:sz w:val="20"/>
        </w:rPr>
        <w:t> </w:t>
      </w:r>
      <w:r>
        <w:rPr>
          <w:color w:val="231F20"/>
          <w:sz w:val="20"/>
        </w:rPr>
        <w:t>a</w:t>
      </w:r>
      <w:r>
        <w:rPr>
          <w:color w:val="231F20"/>
          <w:spacing w:val="25"/>
          <w:sz w:val="20"/>
        </w:rPr>
        <w:t> </w:t>
      </w:r>
      <w:r>
        <w:rPr>
          <w:color w:val="231F20"/>
          <w:sz w:val="20"/>
        </w:rPr>
        <w:t>cell</w:t>
      </w:r>
      <w:r>
        <w:rPr>
          <w:color w:val="231F20"/>
          <w:spacing w:val="25"/>
          <w:sz w:val="20"/>
        </w:rPr>
        <w:t> </w:t>
      </w:r>
      <w:r>
        <w:rPr>
          <w:color w:val="231F20"/>
          <w:sz w:val="20"/>
        </w:rPr>
        <w:t>in</w:t>
      </w:r>
      <w:r>
        <w:rPr>
          <w:color w:val="231F20"/>
          <w:spacing w:val="25"/>
          <w:sz w:val="20"/>
        </w:rPr>
        <w:t> </w:t>
      </w:r>
      <w:r>
        <w:rPr>
          <w:color w:val="231F20"/>
          <w:sz w:val="20"/>
        </w:rPr>
        <w:t>the</w:t>
      </w:r>
      <w:r>
        <w:rPr>
          <w:color w:val="231F20"/>
          <w:spacing w:val="25"/>
          <w:sz w:val="20"/>
        </w:rPr>
        <w:t> </w:t>
      </w:r>
      <w:r>
        <w:rPr>
          <w:color w:val="231F20"/>
          <w:sz w:val="20"/>
        </w:rPr>
        <w:t>same</w:t>
      </w:r>
      <w:r>
        <w:rPr>
          <w:color w:val="231F20"/>
          <w:sz w:val="20"/>
        </w:rPr>
        <w:t> column, point to </w:t>
      </w:r>
      <w:r>
        <w:rPr>
          <w:color w:val="231F20"/>
          <w:spacing w:val="16"/>
          <w:position w:val="-1"/>
          <w:sz w:val="20"/>
        </w:rPr>
        <w:drawing>
          <wp:inline distT="0" distB="0" distL="0" distR="0">
            <wp:extent cx="101600" cy="101600"/>
            <wp:effectExtent l="0" t="0" r="0" b="0"/>
            <wp:docPr id="1518" name="Image 1518"/>
            <wp:cNvGraphicFramePr>
              <a:graphicFrameLocks/>
            </wp:cNvGraphicFramePr>
            <a:graphic>
              <a:graphicData uri="http://schemas.openxmlformats.org/drawingml/2006/picture">
                <pic:pic>
                  <pic:nvPicPr>
                    <pic:cNvPr id="1518" name="Image 1518"/>
                    <pic:cNvPicPr/>
                  </pic:nvPicPr>
                  <pic:blipFill>
                    <a:blip r:embed="rId305"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rFonts w:ascii="Book Antiqua"/>
          <w:b/>
          <w:color w:val="231F20"/>
          <w:sz w:val="20"/>
        </w:rPr>
        <w:t>Set Quick Filter</w:t>
      </w:r>
      <w:r>
        <w:rPr>
          <w:color w:val="231F20"/>
          <w:sz w:val="20"/>
        </w:rPr>
        <w:t>, and click either </w:t>
      </w:r>
      <w:r>
        <w:rPr>
          <w:rFonts w:ascii="Book Antiqua"/>
          <w:b/>
          <w:color w:val="231F20"/>
          <w:sz w:val="20"/>
        </w:rPr>
        <w:t>Remove Quick Filter</w:t>
      </w:r>
      <w:r>
        <w:rPr>
          <w:rFonts w:ascii="Book Antiqua"/>
          <w:b/>
          <w:color w:val="231F20"/>
          <w:spacing w:val="40"/>
          <w:sz w:val="20"/>
        </w:rPr>
        <w:t> </w:t>
      </w:r>
      <w:r>
        <w:rPr>
          <w:color w:val="231F20"/>
          <w:sz w:val="20"/>
        </w:rPr>
        <w:t>to remove the last filter applied or </w:t>
      </w:r>
      <w:r>
        <w:rPr>
          <w:rFonts w:ascii="Book Antiqua"/>
          <w:b/>
          <w:color w:val="231F20"/>
          <w:sz w:val="20"/>
        </w:rPr>
        <w:t>Remove Quick Filter Predicate </w:t>
      </w:r>
      <w:r>
        <w:rPr>
          <w:color w:val="231F20"/>
          <w:sz w:val="20"/>
        </w:rPr>
        <w:t>and</w:t>
      </w:r>
      <w:r>
        <w:rPr>
          <w:color w:val="231F20"/>
          <w:spacing w:val="80"/>
          <w:sz w:val="20"/>
        </w:rPr>
        <w:t> </w:t>
      </w:r>
      <w:r>
        <w:rPr>
          <w:color w:val="231F20"/>
          <w:sz w:val="20"/>
        </w:rPr>
        <w:t>select the filter to remove.</w:t>
      </w:r>
    </w:p>
    <w:p>
      <w:pPr>
        <w:pStyle w:val="Heading6"/>
        <w:spacing w:before="115"/>
        <w:ind w:left="2232"/>
      </w:pPr>
      <w:r>
        <w:rPr>
          <w:color w:val="231F20"/>
        </w:rPr>
        <w:t>Navigator</w:t>
      </w:r>
      <w:r>
        <w:rPr>
          <w:color w:val="231F20"/>
          <w:spacing w:val="6"/>
        </w:rPr>
        <w:t> </w:t>
      </w:r>
      <w:r>
        <w:rPr>
          <w:color w:val="231F20"/>
          <w:spacing w:val="-4"/>
        </w:rPr>
        <w:t>item</w:t>
      </w:r>
    </w:p>
    <w:p>
      <w:pPr>
        <w:pStyle w:val="BodyText"/>
        <w:spacing w:line="213" w:lineRule="auto" w:before="12"/>
        <w:ind w:left="2951" w:right="545"/>
      </w:pPr>
      <w:r>
        <w:rPr>
          <w:color w:val="231F20"/>
        </w:rPr>
        <w:t>Initially, the event console shows events for the situations associated with the current Navigator item. You can change the view to show the event list for a different Navigator item:</w:t>
      </w:r>
    </w:p>
    <w:p>
      <w:pPr>
        <w:pStyle w:val="BodyText"/>
        <w:spacing w:before="57"/>
        <w:ind w:left="2951"/>
        <w:rPr>
          <w:rFonts w:ascii="Arial"/>
        </w:rPr>
      </w:pPr>
      <w:r>
        <w:rPr>
          <w:rFonts w:ascii="Arial"/>
          <w:color w:val="231F20"/>
          <w:spacing w:val="-5"/>
        </w:rPr>
        <w:t>1.</w:t>
      </w:r>
    </w:p>
    <w:p>
      <w:pPr>
        <w:pStyle w:val="BodyText"/>
        <w:spacing w:before="47"/>
        <w:ind w:left="3267"/>
      </w:pPr>
      <w:r>
        <w:rPr>
          <w:color w:val="231F20"/>
        </w:rPr>
        <w:t>Select</w:t>
      </w:r>
      <w:r>
        <w:rPr>
          <w:color w:val="231F20"/>
          <w:spacing w:val="11"/>
        </w:rPr>
        <w:t> </w:t>
      </w:r>
      <w:r>
        <w:rPr>
          <w:color w:val="231F20"/>
        </w:rPr>
        <w:t>the</w:t>
      </w:r>
      <w:r>
        <w:rPr>
          <w:color w:val="231F20"/>
          <w:spacing w:val="11"/>
        </w:rPr>
        <w:t> </w:t>
      </w:r>
      <w:r>
        <w:rPr>
          <w:color w:val="231F20"/>
        </w:rPr>
        <w:t>Navigator</w:t>
      </w:r>
      <w:r>
        <w:rPr>
          <w:color w:val="231F20"/>
          <w:spacing w:val="12"/>
        </w:rPr>
        <w:t> </w:t>
      </w:r>
      <w:r>
        <w:rPr>
          <w:color w:val="231F20"/>
        </w:rPr>
        <w:t>item</w:t>
      </w:r>
      <w:r>
        <w:rPr>
          <w:color w:val="231F20"/>
          <w:spacing w:val="11"/>
        </w:rPr>
        <w:t> </w:t>
      </w:r>
      <w:r>
        <w:rPr>
          <w:color w:val="231F20"/>
        </w:rPr>
        <w:t>whose</w:t>
      </w:r>
      <w:r>
        <w:rPr>
          <w:color w:val="231F20"/>
          <w:spacing w:val="11"/>
        </w:rPr>
        <w:t> </w:t>
      </w:r>
      <w:r>
        <w:rPr>
          <w:color w:val="231F20"/>
        </w:rPr>
        <w:t>events</w:t>
      </w:r>
      <w:r>
        <w:rPr>
          <w:color w:val="231F20"/>
          <w:spacing w:val="12"/>
        </w:rPr>
        <w:t> </w:t>
      </w:r>
      <w:r>
        <w:rPr>
          <w:color w:val="231F20"/>
        </w:rPr>
        <w:t>you</w:t>
      </w:r>
      <w:r>
        <w:rPr>
          <w:color w:val="231F20"/>
          <w:spacing w:val="11"/>
        </w:rPr>
        <w:t> </w:t>
      </w:r>
      <w:r>
        <w:rPr>
          <w:color w:val="231F20"/>
        </w:rPr>
        <w:t>want</w:t>
      </w:r>
      <w:r>
        <w:rPr>
          <w:color w:val="231F20"/>
          <w:spacing w:val="11"/>
        </w:rPr>
        <w:t> </w:t>
      </w:r>
      <w:r>
        <w:rPr>
          <w:color w:val="231F20"/>
        </w:rPr>
        <w:t>to</w:t>
      </w:r>
      <w:r>
        <w:rPr>
          <w:color w:val="231F20"/>
          <w:spacing w:val="12"/>
        </w:rPr>
        <w:t> </w:t>
      </w:r>
      <w:r>
        <w:rPr>
          <w:color w:val="231F20"/>
          <w:spacing w:val="-4"/>
        </w:rPr>
        <w:t>see.</w:t>
      </w:r>
    </w:p>
    <w:p>
      <w:pPr>
        <w:pStyle w:val="BodyText"/>
        <w:spacing w:before="52"/>
        <w:ind w:left="2951"/>
        <w:rPr>
          <w:rFonts w:ascii="Arial"/>
        </w:rPr>
      </w:pPr>
      <w:r>
        <w:rPr>
          <w:rFonts w:ascii="Arial"/>
          <w:color w:val="231F20"/>
          <w:spacing w:val="-5"/>
        </w:rPr>
        <w:t>2.</w:t>
      </w:r>
    </w:p>
    <w:p>
      <w:pPr>
        <w:pStyle w:val="BodyText"/>
        <w:spacing w:line="213" w:lineRule="auto" w:before="70"/>
        <w:ind w:left="3267" w:right="493"/>
      </w:pPr>
      <w:r>
        <w:rPr>
          <w:color w:val="231F20"/>
        </w:rPr>
        <w:t>Hold down the Ctrl key while dragging the Navigator item into </w:t>
      </w:r>
      <w:r>
        <w:rPr>
          <w:color w:val="231F20"/>
        </w:rPr>
        <w:t>the </w:t>
      </w:r>
      <w:r>
        <w:rPr>
          <w:color w:val="231F20"/>
          <w:spacing w:val="-2"/>
        </w:rPr>
        <w:t>view.</w:t>
      </w:r>
    </w:p>
    <w:p>
      <w:pPr>
        <w:pStyle w:val="BodyText"/>
        <w:spacing w:before="58"/>
        <w:ind w:left="2951"/>
        <w:rPr>
          <w:rFonts w:ascii="Arial"/>
        </w:rPr>
      </w:pPr>
      <w:r>
        <w:rPr>
          <w:rFonts w:ascii="Arial"/>
          <w:color w:val="231F20"/>
          <w:spacing w:val="-5"/>
        </w:rPr>
        <w:t>3.</w:t>
      </w:r>
    </w:p>
    <w:p>
      <w:pPr>
        <w:pStyle w:val="BodyText"/>
        <w:spacing w:before="47"/>
        <w:ind w:left="3267"/>
      </w:pPr>
      <w:r>
        <w:rPr>
          <w:color w:val="231F20"/>
        </w:rPr>
        <w:t>When</w:t>
      </w:r>
      <w:r>
        <w:rPr>
          <w:color w:val="231F20"/>
          <w:spacing w:val="11"/>
        </w:rPr>
        <w:t> </w:t>
      </w:r>
      <w:r>
        <w:rPr>
          <w:color w:val="231F20"/>
        </w:rPr>
        <w:t>the</w:t>
      </w:r>
      <w:r>
        <w:rPr>
          <w:color w:val="231F20"/>
          <w:spacing w:val="11"/>
        </w:rPr>
        <w:t> </w:t>
      </w:r>
      <w:r>
        <w:rPr>
          <w:color w:val="231F20"/>
        </w:rPr>
        <w:t>mouse</w:t>
      </w:r>
      <w:r>
        <w:rPr>
          <w:color w:val="231F20"/>
          <w:spacing w:val="12"/>
        </w:rPr>
        <w:t> </w:t>
      </w:r>
      <w:r>
        <w:rPr>
          <w:color w:val="231F20"/>
        </w:rPr>
        <w:t>is</w:t>
      </w:r>
      <w:r>
        <w:rPr>
          <w:color w:val="231F20"/>
          <w:spacing w:val="11"/>
        </w:rPr>
        <w:t> </w:t>
      </w:r>
      <w:r>
        <w:rPr>
          <w:color w:val="231F20"/>
        </w:rPr>
        <w:t>over</w:t>
      </w:r>
      <w:r>
        <w:rPr>
          <w:color w:val="231F20"/>
          <w:spacing w:val="12"/>
        </w:rPr>
        <w:t> </w:t>
      </w:r>
      <w:r>
        <w:rPr>
          <w:color w:val="231F20"/>
        </w:rPr>
        <w:t>one</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rows,</w:t>
      </w:r>
      <w:r>
        <w:rPr>
          <w:color w:val="231F20"/>
          <w:spacing w:val="11"/>
        </w:rPr>
        <w:t> </w:t>
      </w:r>
      <w:r>
        <w:rPr>
          <w:color w:val="231F20"/>
        </w:rPr>
        <w:t>release</w:t>
      </w:r>
      <w:r>
        <w:rPr>
          <w:color w:val="231F20"/>
          <w:spacing w:val="12"/>
        </w:rPr>
        <w:t> </w:t>
      </w:r>
      <w:r>
        <w:rPr>
          <w:color w:val="231F20"/>
        </w:rPr>
        <w:t>the</w:t>
      </w:r>
      <w:r>
        <w:rPr>
          <w:color w:val="231F20"/>
          <w:spacing w:val="11"/>
        </w:rPr>
        <w:t> </w:t>
      </w:r>
      <w:r>
        <w:rPr>
          <w:color w:val="231F20"/>
        </w:rPr>
        <w:t>mouse</w:t>
      </w:r>
      <w:r>
        <w:rPr>
          <w:color w:val="231F20"/>
          <w:spacing w:val="12"/>
        </w:rPr>
        <w:t> </w:t>
      </w:r>
      <w:r>
        <w:rPr>
          <w:color w:val="231F20"/>
          <w:spacing w:val="-2"/>
        </w:rPr>
        <w:t>button.</w:t>
      </w:r>
    </w:p>
    <w:p>
      <w:pPr>
        <w:pStyle w:val="Heading6"/>
        <w:spacing w:before="111"/>
        <w:ind w:left="2232"/>
      </w:pPr>
      <w:r>
        <w:rPr>
          <w:color w:val="231F20"/>
        </w:rPr>
        <w:t>Number</w:t>
      </w:r>
      <w:r>
        <w:rPr>
          <w:color w:val="231F20"/>
          <w:spacing w:val="11"/>
        </w:rPr>
        <w:t> </w:t>
      </w:r>
      <w:r>
        <w:rPr>
          <w:color w:val="231F20"/>
        </w:rPr>
        <w:t>of</w:t>
      </w:r>
      <w:r>
        <w:rPr>
          <w:color w:val="231F20"/>
          <w:spacing w:val="11"/>
        </w:rPr>
        <w:t> </w:t>
      </w:r>
      <w:r>
        <w:rPr>
          <w:color w:val="231F20"/>
          <w:spacing w:val="-4"/>
        </w:rPr>
        <w:t>rows</w:t>
      </w:r>
    </w:p>
    <w:p>
      <w:pPr>
        <w:pStyle w:val="BodyText"/>
        <w:spacing w:line="213" w:lineRule="auto" w:before="11"/>
        <w:ind w:left="2951" w:right="575"/>
      </w:pPr>
      <w:r>
        <w:rPr>
          <w:color w:val="231F20"/>
        </w:rPr>
        <w:t>Tivoli</w:t>
      </w:r>
      <w:r>
        <w:rPr>
          <w:color w:val="231F20"/>
          <w:spacing w:val="25"/>
        </w:rPr>
        <w:t> </w:t>
      </w:r>
      <w:r>
        <w:rPr>
          <w:color w:val="231F20"/>
        </w:rPr>
        <w:t>Enterprise</w:t>
      </w:r>
      <w:r>
        <w:rPr>
          <w:color w:val="231F20"/>
          <w:spacing w:val="25"/>
        </w:rPr>
        <w:t> </w:t>
      </w:r>
      <w:r>
        <w:rPr>
          <w:color w:val="231F20"/>
        </w:rPr>
        <w:t>Portal</w:t>
      </w:r>
      <w:r>
        <w:rPr>
          <w:color w:val="231F20"/>
          <w:spacing w:val="25"/>
        </w:rPr>
        <w:t> </w:t>
      </w:r>
      <w:r>
        <w:rPr>
          <w:color w:val="231F20"/>
        </w:rPr>
        <w:t>enters</w:t>
      </w:r>
      <w:r>
        <w:rPr>
          <w:color w:val="231F20"/>
          <w:spacing w:val="25"/>
        </w:rPr>
        <w:t> </w:t>
      </w:r>
      <w:r>
        <w:rPr>
          <w:color w:val="231F20"/>
        </w:rPr>
        <w:t>a</w:t>
      </w:r>
      <w:r>
        <w:rPr>
          <w:color w:val="231F20"/>
          <w:spacing w:val="25"/>
        </w:rPr>
        <w:t> </w:t>
      </w:r>
      <w:r>
        <w:rPr>
          <w:color w:val="231F20"/>
        </w:rPr>
        <w:t>row</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table</w:t>
      </w:r>
      <w:r>
        <w:rPr>
          <w:color w:val="231F20"/>
          <w:spacing w:val="25"/>
        </w:rPr>
        <w:t> </w:t>
      </w:r>
      <w:r>
        <w:rPr>
          <w:color w:val="231F20"/>
        </w:rPr>
        <w:t>at</w:t>
      </w:r>
      <w:r>
        <w:rPr>
          <w:color w:val="231F20"/>
          <w:spacing w:val="25"/>
        </w:rPr>
        <w:t> </w:t>
      </w:r>
      <w:r>
        <w:rPr>
          <w:color w:val="231F20"/>
        </w:rPr>
        <w:t>the</w:t>
      </w:r>
      <w:r>
        <w:rPr>
          <w:color w:val="231F20"/>
          <w:spacing w:val="25"/>
        </w:rPr>
        <w:t> </w:t>
      </w:r>
      <w:r>
        <w:rPr>
          <w:color w:val="231F20"/>
        </w:rPr>
        <w:t>time</w:t>
      </w:r>
      <w:r>
        <w:rPr>
          <w:color w:val="231F20"/>
          <w:spacing w:val="25"/>
        </w:rPr>
        <w:t> </w:t>
      </w:r>
      <w:r>
        <w:rPr>
          <w:color w:val="231F20"/>
        </w:rPr>
        <w:t>a</w:t>
      </w:r>
      <w:r>
        <w:rPr>
          <w:color w:val="231F20"/>
          <w:spacing w:val="25"/>
        </w:rPr>
        <w:t> </w:t>
      </w:r>
      <w:r>
        <w:rPr>
          <w:color w:val="231F20"/>
        </w:rPr>
        <w:t>change</w:t>
      </w:r>
      <w:r>
        <w:rPr>
          <w:color w:val="231F20"/>
          <w:spacing w:val="25"/>
        </w:rPr>
        <w:t> </w:t>
      </w:r>
      <w:r>
        <w:rPr>
          <w:color w:val="231F20"/>
        </w:rPr>
        <w:t>to the event status takes place. As new rows arrive, they appear in</w:t>
      </w:r>
      <w:r>
        <w:rPr>
          <w:color w:val="231F20"/>
          <w:spacing w:val="80"/>
        </w:rPr>
        <w:t> </w:t>
      </w:r>
      <w:r>
        <w:rPr>
          <w:color w:val="231F20"/>
        </w:rPr>
        <w:t>descending order with the oldest rows at the bottom. After the maximum (100 is the default) is reached, the oldest row is removed as each new row arrives. The view refreshes every time a new event arrives, so the more rows you have in the view, the more time the refresh takes. To change the </w:t>
      </w:r>
      <w:r>
        <w:rPr>
          <w:color w:val="231F20"/>
          <w:spacing w:val="-2"/>
        </w:rPr>
        <w:t>maximum:</w:t>
      </w:r>
    </w:p>
    <w:p>
      <w:pPr>
        <w:spacing w:after="0" w:line="213" w:lineRule="auto"/>
        <w:sectPr>
          <w:pgSz w:w="12240" w:h="15840"/>
          <w:pgMar w:header="0" w:footer="736" w:top="1160" w:bottom="920" w:left="1000" w:right="1060"/>
        </w:sectPr>
      </w:pPr>
    </w:p>
    <w:p>
      <w:pPr>
        <w:pStyle w:val="ListParagraph"/>
        <w:numPr>
          <w:ilvl w:val="0"/>
          <w:numId w:val="74"/>
        </w:numPr>
        <w:tabs>
          <w:tab w:pos="3505" w:val="left" w:leader="none"/>
        </w:tabs>
        <w:spacing w:line="240" w:lineRule="auto" w:before="62" w:after="0"/>
        <w:ind w:left="3505" w:right="0" w:hanging="315"/>
        <w:jc w:val="left"/>
        <w:rPr>
          <w:sz w:val="20"/>
        </w:rPr>
      </w:pPr>
      <w:r>
        <w:rPr>
          <w:color w:val="231F20"/>
          <w:sz w:val="20"/>
        </w:rPr>
        <w:t>Right-click</w:t>
      </w:r>
      <w:r>
        <w:rPr>
          <w:color w:val="231F20"/>
          <w:spacing w:val="9"/>
          <w:sz w:val="20"/>
        </w:rPr>
        <w:t> </w:t>
      </w:r>
      <w:r>
        <w:rPr>
          <w:color w:val="231F20"/>
          <w:sz w:val="20"/>
        </w:rPr>
        <w:t>anywhere</w:t>
      </w:r>
      <w:r>
        <w:rPr>
          <w:color w:val="231F20"/>
          <w:spacing w:val="10"/>
          <w:sz w:val="20"/>
        </w:rPr>
        <w:t> </w:t>
      </w: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event</w:t>
      </w:r>
      <w:r>
        <w:rPr>
          <w:color w:val="231F20"/>
          <w:spacing w:val="10"/>
          <w:sz w:val="20"/>
        </w:rPr>
        <w:t> </w:t>
      </w:r>
      <w:r>
        <w:rPr>
          <w:color w:val="231F20"/>
          <w:sz w:val="20"/>
        </w:rPr>
        <w:t>console</w:t>
      </w:r>
      <w:r>
        <w:rPr>
          <w:color w:val="231F20"/>
          <w:spacing w:val="9"/>
          <w:sz w:val="20"/>
        </w:rPr>
        <w:t> </w:t>
      </w:r>
      <w:r>
        <w:rPr>
          <w:color w:val="231F20"/>
          <w:spacing w:val="-2"/>
          <w:sz w:val="20"/>
        </w:rPr>
        <w:t>view.</w:t>
      </w:r>
    </w:p>
    <w:p>
      <w:pPr>
        <w:pStyle w:val="ListParagraph"/>
        <w:numPr>
          <w:ilvl w:val="0"/>
          <w:numId w:val="74"/>
        </w:numPr>
        <w:tabs>
          <w:tab w:pos="3505" w:val="left" w:leader="none"/>
        </w:tabs>
        <w:spacing w:line="240" w:lineRule="auto" w:before="29" w:after="0"/>
        <w:ind w:left="3505" w:right="0" w:hanging="315"/>
        <w:jc w:val="left"/>
        <w:rPr>
          <w:sz w:val="20"/>
        </w:rPr>
      </w:pPr>
      <w:r>
        <w:rPr>
          <w:color w:val="231F20"/>
          <w:sz w:val="20"/>
        </w:rPr>
        <w:t>Click</w:t>
      </w:r>
      <w:r>
        <w:rPr>
          <w:color w:val="231F20"/>
          <w:spacing w:val="4"/>
          <w:sz w:val="20"/>
        </w:rPr>
        <w:t> </w:t>
      </w:r>
      <w:r>
        <w:rPr>
          <w:rFonts w:ascii="Book Antiqua"/>
          <w:b/>
          <w:color w:val="231F20"/>
          <w:sz w:val="20"/>
        </w:rPr>
        <w:t>Set</w:t>
      </w:r>
      <w:r>
        <w:rPr>
          <w:rFonts w:ascii="Book Antiqua"/>
          <w:b/>
          <w:color w:val="231F20"/>
          <w:spacing w:val="5"/>
          <w:sz w:val="20"/>
        </w:rPr>
        <w:t> </w:t>
      </w:r>
      <w:r>
        <w:rPr>
          <w:rFonts w:ascii="Book Antiqua"/>
          <w:b/>
          <w:color w:val="231F20"/>
          <w:sz w:val="20"/>
        </w:rPr>
        <w:t>Max</w:t>
      </w:r>
      <w:r>
        <w:rPr>
          <w:rFonts w:ascii="Book Antiqua"/>
          <w:b/>
          <w:color w:val="231F20"/>
          <w:spacing w:val="4"/>
          <w:sz w:val="20"/>
        </w:rPr>
        <w:t> </w:t>
      </w:r>
      <w:r>
        <w:rPr>
          <w:rFonts w:ascii="Book Antiqua"/>
          <w:b/>
          <w:color w:val="231F20"/>
          <w:sz w:val="20"/>
        </w:rPr>
        <w:t>Rows</w:t>
      </w:r>
      <w:r>
        <w:rPr>
          <w:color w:val="231F20"/>
          <w:sz w:val="20"/>
        </w:rPr>
        <w:t>,</w:t>
      </w:r>
      <w:r>
        <w:rPr>
          <w:color w:val="231F20"/>
          <w:spacing w:val="5"/>
          <w:sz w:val="20"/>
        </w:rPr>
        <w:t> </w:t>
      </w:r>
      <w:r>
        <w:rPr>
          <w:color w:val="231F20"/>
          <w:sz w:val="20"/>
        </w:rPr>
        <w:t>then</w:t>
      </w:r>
      <w:r>
        <w:rPr>
          <w:color w:val="231F20"/>
          <w:spacing w:val="4"/>
          <w:sz w:val="20"/>
        </w:rPr>
        <w:t> </w:t>
      </w:r>
      <w:r>
        <w:rPr>
          <w:color w:val="231F20"/>
          <w:sz w:val="20"/>
        </w:rPr>
        <w:t>select</w:t>
      </w:r>
      <w:r>
        <w:rPr>
          <w:color w:val="231F20"/>
          <w:spacing w:val="5"/>
          <w:sz w:val="20"/>
        </w:rPr>
        <w:t> </w:t>
      </w:r>
      <w:r>
        <w:rPr>
          <w:rFonts w:ascii="Arial"/>
          <w:color w:val="231F20"/>
          <w:sz w:val="20"/>
        </w:rPr>
        <w:t>50</w:t>
      </w:r>
      <w:r>
        <w:rPr>
          <w:color w:val="231F20"/>
          <w:sz w:val="20"/>
        </w:rPr>
        <w:t>,</w:t>
      </w:r>
      <w:r>
        <w:rPr>
          <w:color w:val="231F20"/>
          <w:spacing w:val="4"/>
          <w:sz w:val="20"/>
        </w:rPr>
        <w:t> </w:t>
      </w:r>
      <w:r>
        <w:rPr>
          <w:rFonts w:ascii="Arial"/>
          <w:color w:val="231F20"/>
          <w:sz w:val="20"/>
        </w:rPr>
        <w:t>100</w:t>
      </w:r>
      <w:r>
        <w:rPr>
          <w:rFonts w:ascii="Arial"/>
          <w:color w:val="231F20"/>
          <w:spacing w:val="-1"/>
          <w:sz w:val="20"/>
        </w:rPr>
        <w:t> </w:t>
      </w:r>
      <w:r>
        <w:rPr>
          <w:color w:val="231F20"/>
          <w:sz w:val="20"/>
        </w:rPr>
        <w:t>or</w:t>
      </w:r>
      <w:r>
        <w:rPr>
          <w:color w:val="231F20"/>
          <w:spacing w:val="5"/>
          <w:sz w:val="20"/>
        </w:rPr>
        <w:t> </w:t>
      </w:r>
      <w:r>
        <w:rPr>
          <w:rFonts w:ascii="Arial"/>
          <w:color w:val="231F20"/>
          <w:sz w:val="20"/>
        </w:rPr>
        <w:t>500</w:t>
      </w:r>
      <w:r>
        <w:rPr>
          <w:rFonts w:ascii="Arial"/>
          <w:color w:val="231F20"/>
          <w:spacing w:val="-2"/>
          <w:sz w:val="20"/>
        </w:rPr>
        <w:t> </w:t>
      </w:r>
      <w:r>
        <w:rPr>
          <w:color w:val="231F20"/>
          <w:sz w:val="20"/>
        </w:rPr>
        <w:t>from</w:t>
      </w:r>
      <w:r>
        <w:rPr>
          <w:color w:val="231F20"/>
          <w:spacing w:val="5"/>
          <w:sz w:val="20"/>
        </w:rPr>
        <w:t> </w:t>
      </w:r>
      <w:r>
        <w:rPr>
          <w:color w:val="231F20"/>
          <w:sz w:val="20"/>
        </w:rPr>
        <w:t>the</w:t>
      </w:r>
      <w:r>
        <w:rPr>
          <w:color w:val="231F20"/>
          <w:spacing w:val="4"/>
          <w:sz w:val="20"/>
        </w:rPr>
        <w:t> </w:t>
      </w:r>
      <w:r>
        <w:rPr>
          <w:color w:val="231F20"/>
          <w:spacing w:val="-2"/>
          <w:sz w:val="20"/>
        </w:rPr>
        <w:t>list.</w:t>
      </w:r>
    </w:p>
    <w:p>
      <w:pPr>
        <w:pStyle w:val="Heading6"/>
        <w:spacing w:before="111"/>
      </w:pPr>
      <w:r>
        <w:rPr>
          <w:color w:val="231F20"/>
        </w:rPr>
        <w:t>Quick</w:t>
      </w:r>
      <w:r>
        <w:rPr>
          <w:color w:val="231F20"/>
          <w:spacing w:val="10"/>
        </w:rPr>
        <w:t> </w:t>
      </w:r>
      <w:r>
        <w:rPr>
          <w:color w:val="231F20"/>
          <w:spacing w:val="-2"/>
        </w:rPr>
        <w:t>threshold</w:t>
      </w:r>
    </w:p>
    <w:p>
      <w:pPr>
        <w:pStyle w:val="BodyText"/>
        <w:spacing w:line="213" w:lineRule="auto" w:before="12"/>
        <w:ind w:left="3190" w:right="545"/>
      </w:pPr>
      <w:r>
        <w:rPr>
          <w:color w:val="231F20"/>
        </w:rPr>
        <w:t>Use the quick settings to highlight cell values that fall outside </w:t>
      </w:r>
      <w:r>
        <w:rPr>
          <w:color w:val="231F20"/>
        </w:rPr>
        <w:t>the </w:t>
      </w:r>
      <w:r>
        <w:rPr>
          <w:color w:val="231F20"/>
          <w:spacing w:val="-2"/>
        </w:rPr>
        <w:t>threshold:</w:t>
      </w:r>
    </w:p>
    <w:p>
      <w:pPr>
        <w:pStyle w:val="BodyText"/>
        <w:spacing w:before="57"/>
        <w:ind w:left="3190"/>
        <w:rPr>
          <w:rFonts w:ascii="Arial"/>
        </w:rPr>
      </w:pPr>
      <w:r>
        <w:rPr>
          <w:rFonts w:ascii="Arial"/>
          <w:color w:val="231F20"/>
          <w:spacing w:val="-5"/>
        </w:rPr>
        <w:t>1.</w:t>
      </w:r>
    </w:p>
    <w:p>
      <w:pPr>
        <w:pStyle w:val="BodyText"/>
        <w:spacing w:line="213" w:lineRule="auto" w:before="71"/>
        <w:ind w:left="3506" w:right="545"/>
      </w:pPr>
      <w:r>
        <w:rPr>
          <w:color w:val="231F20"/>
        </w:rPr>
        <w:t>Right-click the cell on whose value you want to apply a </w:t>
      </w:r>
      <w:r>
        <w:rPr>
          <w:color w:val="231F20"/>
        </w:rPr>
        <w:t>threshold </w:t>
      </w:r>
      <w:r>
        <w:rPr>
          <w:color w:val="231F20"/>
          <w:spacing w:val="-2"/>
        </w:rPr>
        <w:t>indicator.</w:t>
      </w:r>
    </w:p>
    <w:p>
      <w:pPr>
        <w:pStyle w:val="BodyText"/>
        <w:spacing w:before="57"/>
        <w:ind w:left="3190"/>
        <w:rPr>
          <w:rFonts w:ascii="Arial"/>
        </w:rPr>
      </w:pPr>
      <w:r>
        <w:rPr>
          <w:rFonts w:ascii="Arial"/>
          <w:color w:val="231F20"/>
          <w:spacing w:val="-5"/>
        </w:rPr>
        <w:t>2.</w:t>
      </w:r>
    </w:p>
    <w:p>
      <w:pPr>
        <w:pStyle w:val="BodyText"/>
        <w:spacing w:line="213" w:lineRule="auto" w:before="70"/>
        <w:ind w:left="3506" w:hanging="1"/>
      </w:pPr>
      <w:r>
        <w:rPr>
          <w:color w:val="231F20"/>
        </w:rPr>
        <w:t>Click </w:t>
      </w:r>
      <w:r>
        <w:rPr>
          <w:color w:val="231F20"/>
          <w:spacing w:val="16"/>
          <w:position w:val="-1"/>
        </w:rPr>
        <w:drawing>
          <wp:inline distT="0" distB="0" distL="0" distR="0">
            <wp:extent cx="101600" cy="101600"/>
            <wp:effectExtent l="0" t="0" r="0" b="0"/>
            <wp:docPr id="1519" name="Image 1519"/>
            <wp:cNvGraphicFramePr>
              <a:graphicFrameLocks/>
            </wp:cNvGraphicFramePr>
            <a:graphic>
              <a:graphicData uri="http://schemas.openxmlformats.org/drawingml/2006/picture">
                <pic:pic>
                  <pic:nvPicPr>
                    <pic:cNvPr id="1519" name="Image 1519"/>
                    <pic:cNvPicPr/>
                  </pic:nvPicPr>
                  <pic:blipFill>
                    <a:blip r:embed="rId306"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Set Quick Threshold</w:t>
      </w:r>
      <w:r>
        <w:rPr>
          <w:color w:val="231F20"/>
        </w:rPr>
        <w:t>, then select the severity to apply to that attribute value (attribute name == value).</w:t>
      </w:r>
    </w:p>
    <w:p>
      <w:pPr>
        <w:spacing w:line="213" w:lineRule="auto" w:before="119"/>
        <w:ind w:left="3190" w:right="313" w:firstLine="0"/>
        <w:jc w:val="left"/>
        <w:rPr>
          <w:sz w:val="20"/>
        </w:rPr>
      </w:pPr>
      <w:r>
        <w:rPr>
          <w:color w:val="231F20"/>
          <w:sz w:val="20"/>
        </w:rPr>
        <w:t>If you want to remove the quick thresholds applied to the view, right-click</w:t>
      </w:r>
      <w:r>
        <w:rPr>
          <w:color w:val="231F20"/>
          <w:spacing w:val="80"/>
          <w:sz w:val="20"/>
        </w:rPr>
        <w:t> </w:t>
      </w:r>
      <w:r>
        <w:rPr>
          <w:color w:val="231F20"/>
          <w:sz w:val="20"/>
        </w:rPr>
        <w:t>a</w:t>
      </w:r>
      <w:r>
        <w:rPr>
          <w:color w:val="231F20"/>
          <w:spacing w:val="27"/>
          <w:sz w:val="20"/>
        </w:rPr>
        <w:t> </w:t>
      </w:r>
      <w:r>
        <w:rPr>
          <w:color w:val="231F20"/>
          <w:sz w:val="20"/>
        </w:rPr>
        <w:t>cell</w:t>
      </w:r>
      <w:r>
        <w:rPr>
          <w:color w:val="231F20"/>
          <w:spacing w:val="27"/>
          <w:sz w:val="20"/>
        </w:rPr>
        <w:t> </w:t>
      </w:r>
      <w:r>
        <w:rPr>
          <w:color w:val="231F20"/>
          <w:sz w:val="20"/>
        </w:rPr>
        <w:t>in</w:t>
      </w:r>
      <w:r>
        <w:rPr>
          <w:color w:val="231F20"/>
          <w:spacing w:val="27"/>
          <w:sz w:val="20"/>
        </w:rPr>
        <w:t> </w:t>
      </w:r>
      <w:r>
        <w:rPr>
          <w:color w:val="231F20"/>
          <w:sz w:val="20"/>
        </w:rPr>
        <w:t>the</w:t>
      </w:r>
      <w:r>
        <w:rPr>
          <w:color w:val="231F20"/>
          <w:spacing w:val="27"/>
          <w:sz w:val="20"/>
        </w:rPr>
        <w:t> </w:t>
      </w:r>
      <w:r>
        <w:rPr>
          <w:color w:val="231F20"/>
          <w:sz w:val="20"/>
        </w:rPr>
        <w:t>same</w:t>
      </w:r>
      <w:r>
        <w:rPr>
          <w:color w:val="231F20"/>
          <w:spacing w:val="27"/>
          <w:sz w:val="20"/>
        </w:rPr>
        <w:t> </w:t>
      </w:r>
      <w:r>
        <w:rPr>
          <w:color w:val="231F20"/>
          <w:sz w:val="20"/>
        </w:rPr>
        <w:t>column,</w:t>
      </w:r>
      <w:r>
        <w:rPr>
          <w:color w:val="231F20"/>
          <w:spacing w:val="27"/>
          <w:sz w:val="20"/>
        </w:rPr>
        <w:t> </w:t>
      </w:r>
      <w:r>
        <w:rPr>
          <w:color w:val="231F20"/>
          <w:sz w:val="20"/>
        </w:rPr>
        <w:t>point</w:t>
      </w:r>
      <w:r>
        <w:rPr>
          <w:color w:val="231F20"/>
          <w:spacing w:val="27"/>
          <w:sz w:val="20"/>
        </w:rPr>
        <w:t> </w:t>
      </w:r>
      <w:r>
        <w:rPr>
          <w:color w:val="231F20"/>
          <w:sz w:val="20"/>
        </w:rPr>
        <w:t>to</w:t>
      </w:r>
      <w:r>
        <w:rPr>
          <w:color w:val="231F20"/>
          <w:spacing w:val="15"/>
          <w:sz w:val="20"/>
        </w:rPr>
        <w:t> </w:t>
      </w:r>
      <w:r>
        <w:rPr>
          <w:color w:val="231F20"/>
          <w:spacing w:val="15"/>
          <w:position w:val="-1"/>
          <w:sz w:val="20"/>
        </w:rPr>
        <w:drawing>
          <wp:inline distT="0" distB="0" distL="0" distR="0">
            <wp:extent cx="101600" cy="101600"/>
            <wp:effectExtent l="0" t="0" r="0" b="0"/>
            <wp:docPr id="1520" name="Image 1520"/>
            <wp:cNvGraphicFramePr>
              <a:graphicFrameLocks/>
            </wp:cNvGraphicFramePr>
            <a:graphic>
              <a:graphicData uri="http://schemas.openxmlformats.org/drawingml/2006/picture">
                <pic:pic>
                  <pic:nvPicPr>
                    <pic:cNvPr id="1520" name="Image 1520"/>
                    <pic:cNvPicPr/>
                  </pic:nvPicPr>
                  <pic:blipFill>
                    <a:blip r:embed="rId306"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Set</w:t>
      </w:r>
      <w:r>
        <w:rPr>
          <w:rFonts w:ascii="Book Antiqua"/>
          <w:b/>
          <w:color w:val="231F20"/>
          <w:spacing w:val="27"/>
          <w:sz w:val="20"/>
        </w:rPr>
        <w:t> </w:t>
      </w:r>
      <w:r>
        <w:rPr>
          <w:rFonts w:ascii="Book Antiqua"/>
          <w:b/>
          <w:color w:val="231F20"/>
          <w:sz w:val="20"/>
        </w:rPr>
        <w:t>Quick</w:t>
      </w:r>
      <w:r>
        <w:rPr>
          <w:rFonts w:ascii="Book Antiqua"/>
          <w:b/>
          <w:color w:val="231F20"/>
          <w:spacing w:val="27"/>
          <w:sz w:val="20"/>
        </w:rPr>
        <w:t> </w:t>
      </w:r>
      <w:r>
        <w:rPr>
          <w:rFonts w:ascii="Book Antiqua"/>
          <w:b/>
          <w:color w:val="231F20"/>
          <w:sz w:val="20"/>
        </w:rPr>
        <w:t>Threshold</w:t>
      </w:r>
      <w:r>
        <w:rPr>
          <w:color w:val="231F20"/>
          <w:sz w:val="20"/>
        </w:rPr>
        <w:t>,</w:t>
      </w:r>
      <w:r>
        <w:rPr>
          <w:color w:val="231F20"/>
          <w:spacing w:val="27"/>
          <w:sz w:val="20"/>
        </w:rPr>
        <w:t> </w:t>
      </w:r>
      <w:r>
        <w:rPr>
          <w:color w:val="231F20"/>
          <w:sz w:val="20"/>
        </w:rPr>
        <w:t>and</w:t>
      </w:r>
      <w:r>
        <w:rPr>
          <w:color w:val="231F20"/>
          <w:spacing w:val="27"/>
          <w:sz w:val="20"/>
        </w:rPr>
        <w:t> </w:t>
      </w:r>
      <w:r>
        <w:rPr>
          <w:color w:val="231F20"/>
          <w:sz w:val="20"/>
        </w:rPr>
        <w:t>click either </w:t>
      </w:r>
      <w:r>
        <w:rPr>
          <w:rFonts w:ascii="Book Antiqua"/>
          <w:b/>
          <w:color w:val="231F20"/>
          <w:sz w:val="20"/>
        </w:rPr>
        <w:t>Remove Quick Thresholds </w:t>
      </w:r>
      <w:r>
        <w:rPr>
          <w:color w:val="231F20"/>
          <w:sz w:val="20"/>
        </w:rPr>
        <w:t>to remove the last threshold applied, or </w:t>
      </w:r>
      <w:r>
        <w:rPr>
          <w:rFonts w:ascii="Book Antiqua"/>
          <w:b/>
          <w:color w:val="231F20"/>
          <w:sz w:val="20"/>
        </w:rPr>
        <w:t>Remove Quick Thresholds Predicate </w:t>
      </w:r>
      <w:r>
        <w:rPr>
          <w:color w:val="231F20"/>
          <w:sz w:val="20"/>
        </w:rPr>
        <w:t>and select the threshold to remove.</w:t>
      </w:r>
    </w:p>
    <w:p>
      <w:pPr>
        <w:pStyle w:val="BodyText"/>
        <w:spacing w:line="213" w:lineRule="auto" w:before="237"/>
        <w:ind w:left="3190" w:right="385"/>
      </w:pPr>
      <w:r>
        <w:rPr>
          <w:color w:val="231F20"/>
        </w:rPr>
        <w:t>If you edit the properties for this view, you can make the quick filter or quick threshold permanent by right-clicking the row number and </w:t>
      </w:r>
      <w:r>
        <w:rPr>
          <w:color w:val="231F20"/>
        </w:rPr>
        <w:t>clicking </w:t>
      </w:r>
      <w:bookmarkStart w:name="Editing the situation event console view" w:id="249"/>
      <w:bookmarkEnd w:id="249"/>
      <w:r>
        <w:rPr>
          <w:color w:val="231F20"/>
        </w:rPr>
        <w:t>Remove</w:t>
      </w:r>
      <w:r>
        <w:rPr>
          <w:color w:val="231F20"/>
        </w:rPr>
        <w:t> Quick Flag in the Filters or Thresholds tab.</w:t>
      </w:r>
    </w:p>
    <w:p>
      <w:pPr>
        <w:pStyle w:val="Heading4"/>
        <w:spacing w:line="273" w:lineRule="exact" w:before="164"/>
        <w:ind w:left="2472"/>
      </w:pPr>
      <w:r>
        <w:rPr>
          <w:color w:val="231F20"/>
        </w:rPr>
        <w:t>Editing</w:t>
      </w:r>
      <w:r>
        <w:rPr>
          <w:color w:val="231F20"/>
          <w:spacing w:val="5"/>
        </w:rPr>
        <w:t> </w:t>
      </w:r>
      <w:r>
        <w:rPr>
          <w:color w:val="231F20"/>
        </w:rPr>
        <w:t>the</w:t>
      </w:r>
      <w:r>
        <w:rPr>
          <w:color w:val="231F20"/>
          <w:spacing w:val="6"/>
        </w:rPr>
        <w:t> </w:t>
      </w:r>
      <w:r>
        <w:rPr>
          <w:color w:val="231F20"/>
        </w:rPr>
        <w:t>situation</w:t>
      </w:r>
      <w:r>
        <w:rPr>
          <w:color w:val="231F20"/>
          <w:spacing w:val="6"/>
        </w:rPr>
        <w:t> </w:t>
      </w:r>
      <w:r>
        <w:rPr>
          <w:color w:val="231F20"/>
        </w:rPr>
        <w:t>event</w:t>
      </w:r>
      <w:r>
        <w:rPr>
          <w:color w:val="231F20"/>
          <w:spacing w:val="6"/>
        </w:rPr>
        <w:t> </w:t>
      </w:r>
      <w:r>
        <w:rPr>
          <w:color w:val="231F20"/>
        </w:rPr>
        <w:t>console</w:t>
      </w:r>
      <w:r>
        <w:rPr>
          <w:color w:val="231F20"/>
          <w:spacing w:val="6"/>
        </w:rPr>
        <w:t> </w:t>
      </w:r>
      <w:r>
        <w:rPr>
          <w:color w:val="231F20"/>
        </w:rPr>
        <w:t>view</w:t>
      </w:r>
      <w:r>
        <w:rPr>
          <w:color w:val="231F20"/>
          <w:spacing w:val="6"/>
        </w:rPr>
        <w:t> </w:t>
      </w:r>
      <w:r>
        <w:rPr>
          <w:color w:val="231F20"/>
          <w:spacing w:val="-2"/>
        </w:rPr>
        <w:t>properties</w:t>
      </w:r>
    </w:p>
    <w:p>
      <w:pPr>
        <w:pStyle w:val="BodyText"/>
        <w:spacing w:line="213" w:lineRule="auto" w:before="20"/>
        <w:ind w:left="2472" w:right="258"/>
      </w:pPr>
      <w:r>
        <w:rPr>
          <w:color w:val="231F20"/>
        </w:rPr>
        <w:t>The properties for the situation event console view have </w:t>
      </w:r>
      <w:r>
        <w:rPr>
          <w:color w:val="231F20"/>
          <w:spacing w:val="-25"/>
          <w:position w:val="-1"/>
        </w:rPr>
        <w:drawing>
          <wp:inline distT="0" distB="0" distL="0" distR="0">
            <wp:extent cx="95250" cy="101600"/>
            <wp:effectExtent l="0" t="0" r="0" b="0"/>
            <wp:docPr id="1521" name="Image 1521"/>
            <wp:cNvGraphicFramePr>
              <a:graphicFrameLocks/>
            </wp:cNvGraphicFramePr>
            <a:graphic>
              <a:graphicData uri="http://schemas.openxmlformats.org/drawingml/2006/picture">
                <pic:pic>
                  <pic:nvPicPr>
                    <pic:cNvPr id="1521" name="Image 1521"/>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4"/>
        </w:rPr>
        <w:t> </w:t>
      </w:r>
      <w:r>
        <w:rPr>
          <w:rFonts w:ascii="Book Antiqua"/>
          <w:b/>
          <w:color w:val="231F20"/>
        </w:rPr>
        <w:t>Filters</w:t>
      </w:r>
      <w:r>
        <w:rPr>
          <w:color w:val="231F20"/>
        </w:rPr>
        <w:t>,</w:t>
      </w:r>
      <w:r>
        <w:rPr>
          <w:color w:val="231F20"/>
          <w:spacing w:val="26"/>
        </w:rPr>
        <w:t> </w:t>
      </w:r>
      <w:r>
        <w:rPr>
          <w:color w:val="231F20"/>
          <w:spacing w:val="-24"/>
          <w:position w:val="-1"/>
        </w:rPr>
        <w:drawing>
          <wp:inline distT="0" distB="0" distL="0" distR="0">
            <wp:extent cx="88900" cy="95250"/>
            <wp:effectExtent l="0" t="0" r="0" b="0"/>
            <wp:docPr id="1522" name="Image 1522"/>
            <wp:cNvGraphicFramePr>
              <a:graphicFrameLocks/>
            </wp:cNvGraphicFramePr>
            <a:graphic>
              <a:graphicData uri="http://schemas.openxmlformats.org/drawingml/2006/picture">
                <pic:pic>
                  <pic:nvPicPr>
                    <pic:cNvPr id="1522" name="Image 1522"/>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Thresholds </w:t>
      </w:r>
      <w:r>
        <w:rPr>
          <w:color w:val="231F20"/>
        </w:rPr>
        <w:t>and</w:t>
      </w:r>
      <w:r>
        <w:rPr>
          <w:color w:val="231F20"/>
          <w:spacing w:val="34"/>
        </w:rPr>
        <w:t> </w:t>
      </w:r>
      <w:r>
        <w:rPr>
          <w:color w:val="231F20"/>
          <w:spacing w:val="-24"/>
          <w:position w:val="-1"/>
        </w:rPr>
        <w:drawing>
          <wp:inline distT="0" distB="0" distL="0" distR="0">
            <wp:extent cx="95250" cy="95250"/>
            <wp:effectExtent l="0" t="0" r="0" b="0"/>
            <wp:docPr id="1523" name="Image 1523"/>
            <wp:cNvGraphicFramePr>
              <a:graphicFrameLocks/>
            </wp:cNvGraphicFramePr>
            <a:graphic>
              <a:graphicData uri="http://schemas.openxmlformats.org/drawingml/2006/picture">
                <pic:pic>
                  <pic:nvPicPr>
                    <pic:cNvPr id="1523" name="Image 1523"/>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Style </w:t>
      </w:r>
      <w:r>
        <w:rPr>
          <w:color w:val="231F20"/>
        </w:rPr>
        <w:t>tabs. You can set a filter so only certain status types or systems are reported, set thresholds to highlight values outside the limits in red or yellow, and define the appearance of this view.</w:t>
      </w:r>
    </w:p>
    <w:p>
      <w:pPr>
        <w:pStyle w:val="Heading5"/>
        <w:spacing w:before="217"/>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5"/>
        <w:ind w:left="2472" w:right="493"/>
      </w:pPr>
      <w:r>
        <w:rPr>
          <w:color w:val="231F20"/>
        </w:rPr>
        <w:t>With the situation event console view displaying, follow these steps to edit </w:t>
      </w:r>
      <w:r>
        <w:rPr>
          <w:color w:val="231F20"/>
        </w:rPr>
        <w:t>the </w:t>
      </w:r>
      <w:r>
        <w:rPr>
          <w:color w:val="231F20"/>
          <w:spacing w:val="-2"/>
        </w:rPr>
        <w:t>properties:</w:t>
      </w:r>
    </w:p>
    <w:p>
      <w:pPr>
        <w:pStyle w:val="Heading5"/>
        <w:spacing w:before="219"/>
      </w:pPr>
      <w:r>
        <w:rPr>
          <w:color w:val="231F20"/>
          <w:spacing w:val="-2"/>
        </w:rPr>
        <w:t>Procedure</w:t>
      </w:r>
    </w:p>
    <w:p>
      <w:pPr>
        <w:pStyle w:val="ListParagraph"/>
        <w:numPr>
          <w:ilvl w:val="0"/>
          <w:numId w:val="75"/>
        </w:numPr>
        <w:tabs>
          <w:tab w:pos="2788" w:val="left" w:leader="none"/>
        </w:tabs>
        <w:spacing w:line="213" w:lineRule="auto" w:before="66" w:after="0"/>
        <w:ind w:left="2788" w:right="699" w:hanging="316"/>
        <w:jc w:val="left"/>
        <w:rPr>
          <w:sz w:val="20"/>
        </w:rPr>
      </w:pPr>
      <w:r>
        <w:rPr>
          <w:color w:val="231F20"/>
          <w:sz w:val="20"/>
        </w:rPr>
        <w:t>In the view title bar, click</w:t>
      </w:r>
      <w:r>
        <w:rPr>
          <w:color w:val="231F20"/>
          <w:spacing w:val="40"/>
          <w:sz w:val="20"/>
        </w:rPr>
        <w:t> </w:t>
      </w:r>
      <w:r>
        <w:rPr>
          <w:color w:val="231F20"/>
          <w:spacing w:val="5"/>
          <w:position w:val="1"/>
          <w:sz w:val="20"/>
        </w:rPr>
        <w:drawing>
          <wp:inline distT="0" distB="0" distL="0" distR="0">
            <wp:extent cx="57150" cy="57150"/>
            <wp:effectExtent l="0" t="0" r="0" b="0"/>
            <wp:docPr id="1524" name="Image 1524"/>
            <wp:cNvGraphicFramePr>
              <a:graphicFrameLocks/>
            </wp:cNvGraphicFramePr>
            <a:graphic>
              <a:graphicData uri="http://schemas.openxmlformats.org/drawingml/2006/picture">
                <pic:pic>
                  <pic:nvPicPr>
                    <pic:cNvPr id="1524" name="Image 1524"/>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80"/>
          <w:sz w:val="20"/>
        </w:rPr>
        <w:t> </w:t>
      </w:r>
      <w:r>
        <w:rPr>
          <w:rFonts w:ascii="Book Antiqua"/>
          <w:b/>
          <w:color w:val="231F20"/>
          <w:sz w:val="20"/>
        </w:rPr>
        <w:t>Edit properties</w:t>
      </w:r>
      <w:r>
        <w:rPr>
          <w:color w:val="231F20"/>
          <w:sz w:val="20"/>
        </w:rPr>
        <w:t>. The Properties editor for the workspace opens and displays the properties of the selected view.</w:t>
      </w:r>
    </w:p>
    <w:p>
      <w:pPr>
        <w:pStyle w:val="ListParagraph"/>
        <w:numPr>
          <w:ilvl w:val="0"/>
          <w:numId w:val="75"/>
        </w:numPr>
        <w:tabs>
          <w:tab w:pos="2786" w:val="left" w:leader="none"/>
          <w:tab w:pos="2788" w:val="left" w:leader="none"/>
        </w:tabs>
        <w:spacing w:line="208" w:lineRule="auto" w:before="62" w:after="0"/>
        <w:ind w:left="2788" w:right="465" w:hanging="317"/>
        <w:jc w:val="left"/>
        <w:rPr>
          <w:sz w:val="20"/>
        </w:rPr>
      </w:pPr>
      <w:r>
        <w:rPr>
          <w:color w:val="231F20"/>
          <w:sz w:val="20"/>
        </w:rPr>
        <w:t>Set</w:t>
      </w:r>
      <w:r>
        <w:rPr>
          <w:color w:val="231F20"/>
          <w:spacing w:val="32"/>
          <w:sz w:val="20"/>
        </w:rPr>
        <w:t> </w:t>
      </w:r>
      <w:r>
        <w:rPr>
          <w:color w:val="231F20"/>
          <w:spacing w:val="-22"/>
          <w:position w:val="-5"/>
          <w:sz w:val="20"/>
        </w:rPr>
        <w:drawing>
          <wp:inline distT="0" distB="0" distL="0" distR="0">
            <wp:extent cx="119062" cy="127000"/>
            <wp:effectExtent l="0" t="0" r="0" b="0"/>
            <wp:docPr id="1525" name="Image 1525"/>
            <wp:cNvGraphicFramePr>
              <a:graphicFrameLocks/>
            </wp:cNvGraphicFramePr>
            <a:graphic>
              <a:graphicData uri="http://schemas.openxmlformats.org/drawingml/2006/picture">
                <pic:pic>
                  <pic:nvPicPr>
                    <pic:cNvPr id="1525" name="Image 1525"/>
                    <pic:cNvPicPr/>
                  </pic:nvPicPr>
                  <pic:blipFill>
                    <a:blip r:embed="rId88" cstate="print"/>
                    <a:stretch>
                      <a:fillRect/>
                    </a:stretch>
                  </pic:blipFill>
                  <pic:spPr>
                    <a:xfrm>
                      <a:off x="0" y="0"/>
                      <a:ext cx="119062" cy="127000"/>
                    </a:xfrm>
                    <a:prstGeom prst="rect">
                      <a:avLst/>
                    </a:prstGeom>
                  </pic:spPr>
                </pic:pic>
              </a:graphicData>
            </a:graphic>
          </wp:inline>
        </w:drawing>
      </w:r>
      <w:r>
        <w:rPr>
          <w:color w:val="231F20"/>
          <w:spacing w:val="-22"/>
          <w:position w:val="-5"/>
          <w:sz w:val="20"/>
        </w:rPr>
      </w:r>
      <w:r>
        <w:rPr>
          <w:rFonts w:ascii="Times New Roman" w:hAnsi="Times New Roman"/>
          <w:color w:val="231F20"/>
          <w:spacing w:val="25"/>
          <w:sz w:val="20"/>
        </w:rPr>
        <w:t> </w:t>
      </w:r>
      <w:r>
        <w:rPr>
          <w:rFonts w:ascii="Book Antiqua" w:hAnsi="Book Antiqua"/>
          <w:b/>
          <w:color w:val="231F20"/>
          <w:sz w:val="20"/>
        </w:rPr>
        <w:t>Filters</w:t>
      </w:r>
      <w:r>
        <w:rPr>
          <w:color w:val="231F20"/>
          <w:sz w:val="20"/>
        </w:rPr>
        <w:t>, as described in </w:t>
      </w:r>
      <w:hyperlink w:history="true" w:anchor="_bookmark67">
        <w:r>
          <w:rPr>
            <w:color w:val="231F20"/>
            <w:sz w:val="20"/>
          </w:rPr>
          <w:t>“Filtering a query-based view” on page 88,</w:t>
        </w:r>
      </w:hyperlink>
      <w:r>
        <w:rPr>
          <w:color w:val="231F20"/>
          <w:sz w:val="20"/>
        </w:rPr>
        <w:t> to report only the values or value ranges you specify. If you set a quick filter, it</w:t>
      </w:r>
    </w:p>
    <w:p>
      <w:pPr>
        <w:pStyle w:val="BodyText"/>
        <w:spacing w:line="213" w:lineRule="auto" w:before="81"/>
        <w:ind w:left="2788" w:right="258"/>
      </w:pPr>
      <w:r>
        <w:rPr>
          <w:color w:val="231F20"/>
        </w:rPr>
        <w:t>will appear here and the row will be marked with the</w:t>
      </w:r>
      <w:r>
        <w:rPr>
          <w:color w:val="231F20"/>
          <w:spacing w:val="-7"/>
        </w:rPr>
        <w:t> </w:t>
      </w:r>
      <w:r>
        <w:rPr>
          <w:color w:val="231F20"/>
          <w:spacing w:val="-3"/>
          <w:position w:val="2"/>
        </w:rPr>
        <w:drawing>
          <wp:inline distT="0" distB="0" distL="0" distR="0">
            <wp:extent cx="83820" cy="91439"/>
            <wp:effectExtent l="0" t="0" r="0" b="0"/>
            <wp:docPr id="1526" name="Image 1526"/>
            <wp:cNvGraphicFramePr>
              <a:graphicFrameLocks/>
            </wp:cNvGraphicFramePr>
            <a:graphic>
              <a:graphicData uri="http://schemas.openxmlformats.org/drawingml/2006/picture">
                <pic:pic>
                  <pic:nvPicPr>
                    <pic:cNvPr id="1526" name="Image 1526"/>
                    <pic:cNvPicPr/>
                  </pic:nvPicPr>
                  <pic:blipFill>
                    <a:blip r:embed="rId271" cstate="print"/>
                    <a:stretch>
                      <a:fillRect/>
                    </a:stretch>
                  </pic:blipFill>
                  <pic:spPr>
                    <a:xfrm>
                      <a:off x="0" y="0"/>
                      <a:ext cx="83820" cy="91439"/>
                    </a:xfrm>
                    <a:prstGeom prst="rect">
                      <a:avLst/>
                    </a:prstGeom>
                  </pic:spPr>
                </pic:pic>
              </a:graphicData>
            </a:graphic>
          </wp:inline>
        </w:drawing>
      </w:r>
      <w:r>
        <w:rPr>
          <w:color w:val="231F20"/>
          <w:spacing w:val="-3"/>
          <w:position w:val="2"/>
        </w:rPr>
      </w:r>
      <w:r>
        <w:rPr>
          <w:rFonts w:ascii="Times New Roman"/>
          <w:color w:val="231F20"/>
          <w:spacing w:val="40"/>
        </w:rPr>
        <w:t> </w:t>
      </w:r>
      <w:r>
        <w:rPr>
          <w:rFonts w:ascii="Book Antiqua"/>
          <w:b/>
          <w:color w:val="231F20"/>
        </w:rPr>
        <w:t>Quick flag </w:t>
      </w:r>
      <w:r>
        <w:rPr>
          <w:color w:val="231F20"/>
        </w:rPr>
        <w:t>icon. </w:t>
      </w:r>
      <w:r>
        <w:rPr>
          <w:color w:val="231F20"/>
        </w:rPr>
        <w:t>You can</w:t>
      </w:r>
      <w:r>
        <w:rPr>
          <w:color w:val="231F20"/>
          <w:spacing w:val="11"/>
        </w:rPr>
        <w:t> </w:t>
      </w:r>
      <w:r>
        <w:rPr>
          <w:color w:val="231F20"/>
        </w:rPr>
        <w:t>make</w:t>
      </w:r>
      <w:r>
        <w:rPr>
          <w:color w:val="231F20"/>
          <w:spacing w:val="11"/>
        </w:rPr>
        <w:t> </w:t>
      </w:r>
      <w:r>
        <w:rPr>
          <w:color w:val="231F20"/>
        </w:rPr>
        <w:t>it</w:t>
      </w:r>
      <w:r>
        <w:rPr>
          <w:color w:val="231F20"/>
          <w:spacing w:val="11"/>
        </w:rPr>
        <w:t> </w:t>
      </w:r>
      <w:r>
        <w:rPr>
          <w:color w:val="231F20"/>
        </w:rPr>
        <w:t>a</w:t>
      </w:r>
      <w:r>
        <w:rPr>
          <w:color w:val="231F20"/>
          <w:spacing w:val="11"/>
        </w:rPr>
        <w:t> </w:t>
      </w:r>
      <w:r>
        <w:rPr>
          <w:color w:val="231F20"/>
        </w:rPr>
        <w:t>permanent</w:t>
      </w:r>
      <w:r>
        <w:rPr>
          <w:color w:val="231F20"/>
          <w:spacing w:val="11"/>
        </w:rPr>
        <w:t> </w:t>
      </w:r>
      <w:r>
        <w:rPr>
          <w:color w:val="231F20"/>
        </w:rPr>
        <w:t>filter</w:t>
      </w:r>
      <w:r>
        <w:rPr>
          <w:color w:val="231F20"/>
          <w:spacing w:val="11"/>
        </w:rPr>
        <w:t> </w:t>
      </w:r>
      <w:r>
        <w:rPr>
          <w:color w:val="231F20"/>
        </w:rPr>
        <w:t>by</w:t>
      </w:r>
      <w:r>
        <w:rPr>
          <w:color w:val="231F20"/>
          <w:spacing w:val="11"/>
        </w:rPr>
        <w:t> </w:t>
      </w:r>
      <w:r>
        <w:rPr>
          <w:color w:val="231F20"/>
        </w:rPr>
        <w:t>right-clicking</w:t>
      </w:r>
      <w:r>
        <w:rPr>
          <w:color w:val="231F20"/>
          <w:spacing w:val="11"/>
        </w:rPr>
        <w:t> </w:t>
      </w:r>
      <w:r>
        <w:rPr>
          <w:color w:val="231F20"/>
        </w:rPr>
        <w:t>the</w:t>
      </w:r>
      <w:r>
        <w:rPr>
          <w:color w:val="231F20"/>
          <w:spacing w:val="11"/>
        </w:rPr>
        <w:t> </w:t>
      </w:r>
      <w:r>
        <w:rPr>
          <w:color w:val="231F20"/>
        </w:rPr>
        <w:t>row</w:t>
      </w:r>
      <w:r>
        <w:rPr>
          <w:color w:val="231F20"/>
          <w:spacing w:val="12"/>
        </w:rPr>
        <w:t> </w:t>
      </w:r>
      <w:r>
        <w:rPr>
          <w:color w:val="231F20"/>
        </w:rPr>
        <w:t>number</w:t>
      </w:r>
      <w:r>
        <w:rPr>
          <w:color w:val="231F20"/>
          <w:spacing w:val="11"/>
        </w:rPr>
        <w:t> </w:t>
      </w:r>
      <w:r>
        <w:rPr>
          <w:color w:val="231F20"/>
        </w:rPr>
        <w:t>and</w:t>
      </w:r>
      <w:r>
        <w:rPr>
          <w:color w:val="231F20"/>
          <w:spacing w:val="11"/>
        </w:rPr>
        <w:t> </w:t>
      </w:r>
      <w:r>
        <w:rPr>
          <w:color w:val="231F20"/>
          <w:spacing w:val="-2"/>
        </w:rPr>
        <w:t>selecting</w:t>
      </w:r>
    </w:p>
    <w:p>
      <w:pPr>
        <w:pStyle w:val="Heading6"/>
        <w:spacing w:line="240" w:lineRule="auto" w:before="55"/>
        <w:ind w:left="2836"/>
        <w:rPr>
          <w:rFonts w:ascii="Palatino Linotype"/>
          <w:b w:val="0"/>
        </w:rPr>
      </w:pPr>
      <w:r>
        <w:rPr>
          <w:b w:val="0"/>
          <w:position w:val="2"/>
        </w:rPr>
        <w:drawing>
          <wp:inline distT="0" distB="0" distL="0" distR="0">
            <wp:extent cx="83819" cy="91439"/>
            <wp:effectExtent l="0" t="0" r="0" b="0"/>
            <wp:docPr id="1527" name="Image 1527"/>
            <wp:cNvGraphicFramePr>
              <a:graphicFrameLocks/>
            </wp:cNvGraphicFramePr>
            <a:graphic>
              <a:graphicData uri="http://schemas.openxmlformats.org/drawingml/2006/picture">
                <pic:pic>
                  <pic:nvPicPr>
                    <pic:cNvPr id="1527" name="Image 1527"/>
                    <pic:cNvPicPr/>
                  </pic:nvPicPr>
                  <pic:blipFill>
                    <a:blip r:embed="rId271" cstate="print"/>
                    <a:stretch>
                      <a:fillRect/>
                    </a:stretch>
                  </pic:blipFill>
                  <pic:spPr>
                    <a:xfrm>
                      <a:off x="0" y="0"/>
                      <a:ext cx="83819" cy="91439"/>
                    </a:xfrm>
                    <a:prstGeom prst="rect">
                      <a:avLst/>
                    </a:prstGeom>
                  </pic:spPr>
                </pic:pic>
              </a:graphicData>
            </a:graphic>
          </wp:inline>
        </w:drawing>
      </w:r>
      <w:r>
        <w:rPr>
          <w:b w:val="0"/>
          <w:position w:val="2"/>
        </w:rPr>
      </w:r>
      <w:r>
        <w:rPr>
          <w:rFonts w:ascii="Times New Roman"/>
          <w:b w:val="0"/>
          <w:spacing w:val="40"/>
        </w:rPr>
        <w:t> </w:t>
      </w:r>
      <w:r>
        <w:rPr>
          <w:color w:val="231F20"/>
        </w:rPr>
        <w:t>Remove</w:t>
      </w:r>
      <w:r>
        <w:rPr>
          <w:color w:val="231F20"/>
          <w:spacing w:val="31"/>
        </w:rPr>
        <w:t> </w:t>
      </w:r>
      <w:r>
        <w:rPr>
          <w:color w:val="231F20"/>
        </w:rPr>
        <w:t>Quick</w:t>
      </w:r>
      <w:r>
        <w:rPr>
          <w:color w:val="231F20"/>
          <w:spacing w:val="31"/>
        </w:rPr>
        <w:t> </w:t>
      </w:r>
      <w:r>
        <w:rPr>
          <w:color w:val="231F20"/>
        </w:rPr>
        <w:t>Flag</w:t>
      </w:r>
      <w:r>
        <w:rPr>
          <w:rFonts w:ascii="Palatino Linotype"/>
          <w:b w:val="0"/>
          <w:color w:val="231F20"/>
        </w:rPr>
        <w:t>.</w:t>
      </w:r>
    </w:p>
    <w:p>
      <w:pPr>
        <w:pStyle w:val="ListParagraph"/>
        <w:numPr>
          <w:ilvl w:val="0"/>
          <w:numId w:val="75"/>
        </w:numPr>
        <w:tabs>
          <w:tab w:pos="2786" w:val="left" w:leader="none"/>
          <w:tab w:pos="2788" w:val="left" w:leader="none"/>
        </w:tabs>
        <w:spacing w:line="213" w:lineRule="auto" w:before="53" w:after="0"/>
        <w:ind w:left="2788" w:right="269" w:hanging="317"/>
        <w:jc w:val="left"/>
        <w:rPr>
          <w:sz w:val="20"/>
        </w:rPr>
      </w:pPr>
      <w:r>
        <w:rPr>
          <w:color w:val="231F20"/>
          <w:sz w:val="20"/>
        </w:rPr>
        <w:t>Set </w:t>
      </w:r>
      <w:r>
        <w:rPr>
          <w:color w:val="231F20"/>
          <w:spacing w:val="-24"/>
          <w:position w:val="-1"/>
          <w:sz w:val="20"/>
        </w:rPr>
        <w:drawing>
          <wp:inline distT="0" distB="0" distL="0" distR="0">
            <wp:extent cx="88900" cy="95250"/>
            <wp:effectExtent l="0" t="0" r="0" b="0"/>
            <wp:docPr id="1528" name="Image 1528"/>
            <wp:cNvGraphicFramePr>
              <a:graphicFrameLocks/>
            </wp:cNvGraphicFramePr>
            <a:graphic>
              <a:graphicData uri="http://schemas.openxmlformats.org/drawingml/2006/picture">
                <pic:pic>
                  <pic:nvPicPr>
                    <pic:cNvPr id="1528" name="Image 1528"/>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sz w:val="20"/>
        </w:rPr>
      </w:r>
      <w:r>
        <w:rPr>
          <w:rFonts w:ascii="Times New Roman" w:hAnsi="Times New Roman"/>
          <w:color w:val="231F20"/>
          <w:spacing w:val="80"/>
          <w:sz w:val="20"/>
        </w:rPr>
        <w:t> </w:t>
      </w:r>
      <w:r>
        <w:rPr>
          <w:rFonts w:ascii="Book Antiqua" w:hAnsi="Book Antiqua"/>
          <w:b/>
          <w:color w:val="231F20"/>
          <w:sz w:val="20"/>
        </w:rPr>
        <w:t>Thresholds</w:t>
      </w:r>
      <w:r>
        <w:rPr>
          <w:color w:val="231F20"/>
          <w:sz w:val="20"/>
        </w:rPr>
        <w:t>, as described in </w:t>
      </w:r>
      <w:hyperlink w:history="true" w:anchor="_bookmark76">
        <w:r>
          <w:rPr>
            <w:color w:val="231F20"/>
            <w:sz w:val="20"/>
          </w:rPr>
          <w:t>“Adding column thresholds” on page 99,</w:t>
        </w:r>
      </w:hyperlink>
      <w:r>
        <w:rPr>
          <w:color w:val="231F20"/>
          <w:sz w:val="20"/>
        </w:rPr>
        <w:t> </w:t>
      </w:r>
      <w:r>
        <w:rPr>
          <w:color w:val="231F20"/>
          <w:sz w:val="20"/>
        </w:rPr>
        <w:t>to highlight areas of interest. If you set a quick threshold, it will appear here and</w:t>
      </w:r>
    </w:p>
    <w:p>
      <w:pPr>
        <w:pStyle w:val="BodyText"/>
        <w:spacing w:line="213" w:lineRule="auto" w:before="78"/>
        <w:ind w:left="2788" w:right="545"/>
      </w:pPr>
      <w:r>
        <w:rPr>
          <w:color w:val="231F20"/>
        </w:rPr>
        <w:t>the row will be marked with the</w:t>
      </w:r>
      <w:r>
        <w:rPr>
          <w:color w:val="231F20"/>
          <w:spacing w:val="40"/>
        </w:rPr>
        <w:t> </w:t>
      </w:r>
      <w:r>
        <w:rPr>
          <w:color w:val="231F20"/>
          <w:spacing w:val="13"/>
          <w:position w:val="2"/>
        </w:rPr>
        <w:drawing>
          <wp:inline distT="0" distB="0" distL="0" distR="0">
            <wp:extent cx="83820" cy="91439"/>
            <wp:effectExtent l="0" t="0" r="0" b="0"/>
            <wp:docPr id="1529" name="Image 1529"/>
            <wp:cNvGraphicFramePr>
              <a:graphicFrameLocks/>
            </wp:cNvGraphicFramePr>
            <a:graphic>
              <a:graphicData uri="http://schemas.openxmlformats.org/drawingml/2006/picture">
                <pic:pic>
                  <pic:nvPicPr>
                    <pic:cNvPr id="1529" name="Image 1529"/>
                    <pic:cNvPicPr/>
                  </pic:nvPicPr>
                  <pic:blipFill>
                    <a:blip r:embed="rId271" cstate="print"/>
                    <a:stretch>
                      <a:fillRect/>
                    </a:stretch>
                  </pic:blipFill>
                  <pic:spPr>
                    <a:xfrm>
                      <a:off x="0" y="0"/>
                      <a:ext cx="83820" cy="91439"/>
                    </a:xfrm>
                    <a:prstGeom prst="rect">
                      <a:avLst/>
                    </a:prstGeom>
                  </pic:spPr>
                </pic:pic>
              </a:graphicData>
            </a:graphic>
          </wp:inline>
        </w:drawing>
      </w:r>
      <w:r>
        <w:rPr>
          <w:color w:val="231F20"/>
          <w:spacing w:val="13"/>
          <w:position w:val="2"/>
        </w:rPr>
      </w:r>
      <w:r>
        <w:rPr>
          <w:rFonts w:ascii="Times New Roman"/>
          <w:color w:val="231F20"/>
          <w:spacing w:val="40"/>
        </w:rPr>
        <w:t> </w:t>
      </w:r>
      <w:r>
        <w:rPr>
          <w:rFonts w:ascii="Book Antiqua"/>
          <w:b/>
          <w:color w:val="231F20"/>
        </w:rPr>
        <w:t>Quick flag </w:t>
      </w:r>
      <w:r>
        <w:rPr>
          <w:color w:val="231F20"/>
        </w:rPr>
        <w:t>icon. You can make it a permanent threshold by right-clicking the row number and selecting</w:t>
      </w:r>
    </w:p>
    <w:p>
      <w:pPr>
        <w:pStyle w:val="Heading6"/>
        <w:spacing w:line="240" w:lineRule="auto" w:before="56"/>
        <w:ind w:left="2836"/>
        <w:rPr>
          <w:rFonts w:ascii="Palatino Linotype"/>
          <w:b w:val="0"/>
        </w:rPr>
      </w:pPr>
      <w:r>
        <w:rPr>
          <w:b w:val="0"/>
          <w:position w:val="2"/>
        </w:rPr>
        <w:drawing>
          <wp:inline distT="0" distB="0" distL="0" distR="0">
            <wp:extent cx="83819" cy="91439"/>
            <wp:effectExtent l="0" t="0" r="0" b="0"/>
            <wp:docPr id="1530" name="Image 1530"/>
            <wp:cNvGraphicFramePr>
              <a:graphicFrameLocks/>
            </wp:cNvGraphicFramePr>
            <a:graphic>
              <a:graphicData uri="http://schemas.openxmlformats.org/drawingml/2006/picture">
                <pic:pic>
                  <pic:nvPicPr>
                    <pic:cNvPr id="1530" name="Image 1530"/>
                    <pic:cNvPicPr/>
                  </pic:nvPicPr>
                  <pic:blipFill>
                    <a:blip r:embed="rId271" cstate="print"/>
                    <a:stretch>
                      <a:fillRect/>
                    </a:stretch>
                  </pic:blipFill>
                  <pic:spPr>
                    <a:xfrm>
                      <a:off x="0" y="0"/>
                      <a:ext cx="83819" cy="91439"/>
                    </a:xfrm>
                    <a:prstGeom prst="rect">
                      <a:avLst/>
                    </a:prstGeom>
                  </pic:spPr>
                </pic:pic>
              </a:graphicData>
            </a:graphic>
          </wp:inline>
        </w:drawing>
      </w:r>
      <w:r>
        <w:rPr>
          <w:b w:val="0"/>
          <w:position w:val="2"/>
        </w:rPr>
      </w:r>
      <w:r>
        <w:rPr>
          <w:rFonts w:ascii="Times New Roman"/>
          <w:b w:val="0"/>
          <w:spacing w:val="40"/>
        </w:rPr>
        <w:t> </w:t>
      </w:r>
      <w:r>
        <w:rPr>
          <w:color w:val="231F20"/>
        </w:rPr>
        <w:t>Remove</w:t>
      </w:r>
      <w:r>
        <w:rPr>
          <w:color w:val="231F20"/>
          <w:spacing w:val="31"/>
        </w:rPr>
        <w:t> </w:t>
      </w:r>
      <w:r>
        <w:rPr>
          <w:color w:val="231F20"/>
        </w:rPr>
        <w:t>Quick</w:t>
      </w:r>
      <w:r>
        <w:rPr>
          <w:color w:val="231F20"/>
          <w:spacing w:val="31"/>
        </w:rPr>
        <w:t> </w:t>
      </w:r>
      <w:r>
        <w:rPr>
          <w:color w:val="231F20"/>
        </w:rPr>
        <w:t>Threshold</w:t>
      </w:r>
      <w:r>
        <w:rPr>
          <w:rFonts w:ascii="Palatino Linotype"/>
          <w:b w:val="0"/>
          <w:color w:val="231F20"/>
        </w:rPr>
        <w:t>.</w:t>
      </w:r>
    </w:p>
    <w:p>
      <w:pPr>
        <w:pStyle w:val="ListParagraph"/>
        <w:numPr>
          <w:ilvl w:val="0"/>
          <w:numId w:val="75"/>
        </w:numPr>
        <w:tabs>
          <w:tab w:pos="2788" w:val="left" w:leader="none"/>
        </w:tabs>
        <w:spacing w:line="213" w:lineRule="auto" w:before="52" w:after="0"/>
        <w:ind w:left="2788" w:right="214" w:hanging="316"/>
        <w:jc w:val="left"/>
        <w:rPr>
          <w:sz w:val="20"/>
        </w:rPr>
      </w:pPr>
      <w:r>
        <w:rPr>
          <w:color w:val="231F20"/>
          <w:sz w:val="20"/>
        </w:rPr>
        <w:t>When you are finished editing the situation event console properties, save your changes</w:t>
      </w:r>
      <w:r>
        <w:rPr>
          <w:color w:val="231F20"/>
          <w:spacing w:val="26"/>
          <w:sz w:val="20"/>
        </w:rPr>
        <w:t> </w:t>
      </w:r>
      <w:r>
        <w:rPr>
          <w:color w:val="231F20"/>
          <w:sz w:val="20"/>
        </w:rPr>
        <w:t>by</w:t>
      </w:r>
      <w:r>
        <w:rPr>
          <w:color w:val="231F20"/>
          <w:spacing w:val="26"/>
          <w:sz w:val="20"/>
        </w:rPr>
        <w:t> </w:t>
      </w:r>
      <w:r>
        <w:rPr>
          <w:color w:val="231F20"/>
          <w:sz w:val="20"/>
        </w:rPr>
        <w:t>clicking</w:t>
      </w:r>
      <w:r>
        <w:rPr>
          <w:color w:val="231F20"/>
          <w:spacing w:val="26"/>
          <w:sz w:val="20"/>
        </w:rPr>
        <w:t> </w:t>
      </w:r>
      <w:r>
        <w:rPr>
          <w:rFonts w:ascii="Book Antiqua"/>
          <w:b/>
          <w:color w:val="231F20"/>
          <w:sz w:val="20"/>
        </w:rPr>
        <w:t>Apply</w:t>
      </w:r>
      <w:r>
        <w:rPr>
          <w:rFonts w:ascii="Book Antiqua"/>
          <w:b/>
          <w:color w:val="231F20"/>
          <w:spacing w:val="26"/>
          <w:sz w:val="20"/>
        </w:rPr>
        <w:t> </w:t>
      </w:r>
      <w:r>
        <w:rPr>
          <w:color w:val="231F20"/>
          <w:sz w:val="20"/>
        </w:rPr>
        <w:t>to</w:t>
      </w:r>
      <w:r>
        <w:rPr>
          <w:color w:val="231F20"/>
          <w:spacing w:val="26"/>
          <w:sz w:val="20"/>
        </w:rPr>
        <w:t> </w:t>
      </w:r>
      <w:r>
        <w:rPr>
          <w:color w:val="231F20"/>
          <w:sz w:val="20"/>
        </w:rPr>
        <w:t>keep</w:t>
      </w:r>
      <w:r>
        <w:rPr>
          <w:color w:val="231F20"/>
          <w:spacing w:val="26"/>
          <w:sz w:val="20"/>
        </w:rPr>
        <w:t> </w:t>
      </w:r>
      <w:r>
        <w:rPr>
          <w:color w:val="231F20"/>
          <w:sz w:val="20"/>
        </w:rPr>
        <w:t>the</w:t>
      </w:r>
      <w:r>
        <w:rPr>
          <w:color w:val="231F20"/>
          <w:spacing w:val="26"/>
          <w:sz w:val="20"/>
        </w:rPr>
        <w:t> </w:t>
      </w:r>
      <w:r>
        <w:rPr>
          <w:color w:val="231F20"/>
          <w:sz w:val="20"/>
        </w:rPr>
        <w:t>Properties</w:t>
      </w:r>
      <w:r>
        <w:rPr>
          <w:color w:val="231F20"/>
          <w:spacing w:val="26"/>
          <w:sz w:val="20"/>
        </w:rPr>
        <w:t> </w:t>
      </w:r>
      <w:r>
        <w:rPr>
          <w:color w:val="231F20"/>
          <w:sz w:val="20"/>
        </w:rPr>
        <w:t>editor</w:t>
      </w:r>
      <w:r>
        <w:rPr>
          <w:color w:val="231F20"/>
          <w:spacing w:val="26"/>
          <w:sz w:val="20"/>
        </w:rPr>
        <w:t> </w:t>
      </w:r>
      <w:r>
        <w:rPr>
          <w:color w:val="231F20"/>
          <w:sz w:val="20"/>
        </w:rPr>
        <w:t>open,</w:t>
      </w:r>
      <w:r>
        <w:rPr>
          <w:color w:val="231F20"/>
          <w:spacing w:val="26"/>
          <w:sz w:val="20"/>
        </w:rPr>
        <w:t> </w:t>
      </w:r>
      <w:r>
        <w:rPr>
          <w:color w:val="231F20"/>
          <w:sz w:val="20"/>
        </w:rPr>
        <w:t>or</w:t>
      </w:r>
      <w:r>
        <w:rPr>
          <w:color w:val="231F20"/>
          <w:spacing w:val="26"/>
          <w:sz w:val="20"/>
        </w:rPr>
        <w:t> </w:t>
      </w:r>
      <w:r>
        <w:rPr>
          <w:rFonts w:ascii="Book Antiqua"/>
          <w:b/>
          <w:color w:val="231F20"/>
          <w:sz w:val="20"/>
        </w:rPr>
        <w:t>OK</w:t>
      </w:r>
      <w:r>
        <w:rPr>
          <w:rFonts w:ascii="Book Antiqua"/>
          <w:b/>
          <w:color w:val="231F20"/>
          <w:spacing w:val="26"/>
          <w:sz w:val="20"/>
        </w:rPr>
        <w:t> </w:t>
      </w:r>
      <w:r>
        <w:rPr>
          <w:color w:val="231F20"/>
          <w:sz w:val="20"/>
        </w:rPr>
        <w:t>to</w:t>
      </w:r>
      <w:r>
        <w:rPr>
          <w:color w:val="231F20"/>
          <w:spacing w:val="26"/>
          <w:sz w:val="20"/>
        </w:rPr>
        <w:t> </w:t>
      </w:r>
      <w:r>
        <w:rPr>
          <w:color w:val="231F20"/>
          <w:sz w:val="20"/>
        </w:rPr>
        <w:t>close the editor.</w:t>
      </w:r>
    </w:p>
    <w:p>
      <w:pPr>
        <w:spacing w:after="0" w:line="213" w:lineRule="auto"/>
        <w:jc w:val="left"/>
        <w:rPr>
          <w:sz w:val="20"/>
        </w:rPr>
        <w:sectPr>
          <w:pgSz w:w="12240" w:h="15840"/>
          <w:pgMar w:header="0" w:footer="736" w:top="1180" w:bottom="920" w:left="1000" w:right="1060"/>
        </w:sectPr>
      </w:pPr>
    </w:p>
    <w:p>
      <w:pPr>
        <w:pStyle w:val="Heading3"/>
        <w:spacing w:before="84"/>
        <w:ind w:left="1334"/>
      </w:pPr>
      <w:bookmarkStart w:name="_bookmark116" w:id="250"/>
      <w:bookmarkEnd w:id="250"/>
      <w:r>
        <w:rPr>
          <w:b w:val="0"/>
        </w:rPr>
      </w:r>
      <w:bookmarkStart w:name="Adding a common event console view" w:id="251"/>
      <w:bookmarkEnd w:id="251"/>
      <w:r>
        <w:rPr>
          <w:b w:val="0"/>
        </w:rPr>
      </w:r>
      <w:r>
        <w:rPr>
          <w:color w:val="231F20"/>
        </w:rPr>
        <w:t>Adding</w:t>
      </w:r>
      <w:r>
        <w:rPr>
          <w:color w:val="231F20"/>
          <w:spacing w:val="6"/>
        </w:rPr>
        <w:t> </w:t>
      </w:r>
      <w:r>
        <w:rPr>
          <w:color w:val="231F20"/>
        </w:rPr>
        <w:t>a</w:t>
      </w:r>
      <w:r>
        <w:rPr>
          <w:color w:val="231F20"/>
          <w:spacing w:val="7"/>
        </w:rPr>
        <w:t> </w:t>
      </w:r>
      <w:r>
        <w:rPr>
          <w:color w:val="231F20"/>
        </w:rPr>
        <w:t>common</w:t>
      </w:r>
      <w:r>
        <w:rPr>
          <w:color w:val="231F20"/>
          <w:spacing w:val="7"/>
        </w:rPr>
        <w:t> </w:t>
      </w:r>
      <w:r>
        <w:rPr>
          <w:color w:val="231F20"/>
        </w:rPr>
        <w:t>event</w:t>
      </w:r>
      <w:r>
        <w:rPr>
          <w:color w:val="231F20"/>
          <w:spacing w:val="7"/>
        </w:rPr>
        <w:t> </w:t>
      </w:r>
      <w:r>
        <w:rPr>
          <w:color w:val="231F20"/>
        </w:rPr>
        <w:t>console</w:t>
      </w:r>
      <w:r>
        <w:rPr>
          <w:color w:val="231F20"/>
          <w:spacing w:val="7"/>
        </w:rPr>
        <w:t> </w:t>
      </w:r>
      <w:r>
        <w:rPr>
          <w:color w:val="231F20"/>
          <w:spacing w:val="-4"/>
        </w:rPr>
        <w:t>view</w:t>
      </w:r>
    </w:p>
    <w:p>
      <w:pPr>
        <w:pStyle w:val="BodyText"/>
        <w:spacing w:line="213" w:lineRule="auto" w:before="58"/>
        <w:ind w:left="2232" w:right="786"/>
        <w:jc w:val="both"/>
      </w:pPr>
      <w:r>
        <w:rPr>
          <w:color w:val="231F20"/>
        </w:rPr>
        <w:t>Add the common event console view to a workspace to get a single, integrated display of events from multiple event repositories, including Tivoli </w:t>
      </w:r>
      <w:r>
        <w:rPr>
          <w:color w:val="231F20"/>
        </w:rPr>
        <w:t>Monitoring, Tivoli Enterprise Console, and Tivoli Netcool/OMNIbus.</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jc w:val="both"/>
      </w:pPr>
      <w:r>
        <w:rPr>
          <w:color w:val="231F20"/>
        </w:rPr>
        <w:t>To</w:t>
      </w:r>
      <w:r>
        <w:rPr>
          <w:color w:val="231F20"/>
          <w:spacing w:val="8"/>
        </w:rPr>
        <w:t> </w:t>
      </w:r>
      <w:r>
        <w:rPr>
          <w:color w:val="231F20"/>
        </w:rPr>
        <w:t>add</w:t>
      </w:r>
      <w:r>
        <w:rPr>
          <w:color w:val="231F20"/>
          <w:spacing w:val="9"/>
        </w:rPr>
        <w:t> </w:t>
      </w:r>
      <w:r>
        <w:rPr>
          <w:color w:val="231F20"/>
        </w:rPr>
        <w:t>a</w:t>
      </w:r>
      <w:r>
        <w:rPr>
          <w:color w:val="231F20"/>
          <w:spacing w:val="8"/>
        </w:rPr>
        <w:t> </w:t>
      </w:r>
      <w:r>
        <w:rPr>
          <w:color w:val="231F20"/>
        </w:rPr>
        <w:t>common</w:t>
      </w:r>
      <w:r>
        <w:rPr>
          <w:color w:val="231F20"/>
          <w:spacing w:val="9"/>
        </w:rPr>
        <w:t> </w:t>
      </w:r>
      <w:r>
        <w:rPr>
          <w:color w:val="231F20"/>
        </w:rPr>
        <w:t>event</w:t>
      </w:r>
      <w:r>
        <w:rPr>
          <w:color w:val="231F20"/>
          <w:spacing w:val="8"/>
        </w:rPr>
        <w:t> </w:t>
      </w:r>
      <w:r>
        <w:rPr>
          <w:color w:val="231F20"/>
        </w:rPr>
        <w:t>console</w:t>
      </w:r>
      <w:r>
        <w:rPr>
          <w:color w:val="231F20"/>
          <w:spacing w:val="8"/>
        </w:rPr>
        <w:t> </w:t>
      </w:r>
      <w:r>
        <w:rPr>
          <w:color w:val="231F20"/>
          <w:spacing w:val="-2"/>
        </w:rPr>
        <w:t>view:</w:t>
      </w:r>
    </w:p>
    <w:p>
      <w:pPr>
        <w:pStyle w:val="Heading4"/>
        <w:spacing w:before="194"/>
      </w:pPr>
      <w:r>
        <w:rPr>
          <w:color w:val="231F20"/>
          <w:spacing w:val="-2"/>
        </w:rPr>
        <w:t>Procedure</w:t>
      </w:r>
    </w:p>
    <w:p>
      <w:pPr>
        <w:pStyle w:val="ListParagraph"/>
        <w:numPr>
          <w:ilvl w:val="0"/>
          <w:numId w:val="76"/>
        </w:numPr>
        <w:tabs>
          <w:tab w:pos="2548" w:val="left" w:leader="none"/>
        </w:tabs>
        <w:spacing w:line="213" w:lineRule="auto" w:before="62" w:after="0"/>
        <w:ind w:left="2548" w:right="770" w:hanging="316"/>
        <w:jc w:val="left"/>
        <w:rPr>
          <w:sz w:val="20"/>
        </w:rPr>
      </w:pPr>
      <w:r>
        <w:rPr>
          <w:color w:val="231F20"/>
          <w:sz w:val="20"/>
        </w:rPr>
        <w:t>Open the workspace where you want the common event console view. A common event console view is not associated with any particular </w:t>
      </w:r>
      <w:r>
        <w:rPr>
          <w:color w:val="231F20"/>
          <w:sz w:val="20"/>
        </w:rPr>
        <w:t>Navigator item. Therefore, it always shows all available events from the configured connectors, subject to any filtering options you select for the view.</w:t>
      </w:r>
    </w:p>
    <w:p>
      <w:pPr>
        <w:pStyle w:val="ListParagraph"/>
        <w:numPr>
          <w:ilvl w:val="0"/>
          <w:numId w:val="76"/>
        </w:numPr>
        <w:tabs>
          <w:tab w:pos="2548" w:val="left" w:leader="none"/>
        </w:tabs>
        <w:spacing w:line="213" w:lineRule="auto" w:before="57" w:after="0"/>
        <w:ind w:left="2548" w:right="404" w:hanging="316"/>
        <w:jc w:val="left"/>
        <w:rPr>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531" name="Image 1531"/>
            <wp:cNvGraphicFramePr>
              <a:graphicFrameLocks/>
            </wp:cNvGraphicFramePr>
            <a:graphic>
              <a:graphicData uri="http://schemas.openxmlformats.org/drawingml/2006/picture">
                <pic:pic>
                  <pic:nvPicPr>
                    <pic:cNvPr id="1531" name="Image 1531"/>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532" name="Image 1532"/>
            <wp:cNvGraphicFramePr>
              <a:graphicFrameLocks/>
            </wp:cNvGraphicFramePr>
            <a:graphic>
              <a:graphicData uri="http://schemas.openxmlformats.org/drawingml/2006/picture">
                <pic:pic>
                  <pic:nvPicPr>
                    <pic:cNvPr id="1532" name="Image 1532"/>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76"/>
        </w:numPr>
        <w:tabs>
          <w:tab w:pos="2546" w:val="left" w:leader="none"/>
          <w:tab w:pos="2548" w:val="left" w:leader="none"/>
        </w:tabs>
        <w:spacing w:line="213" w:lineRule="auto" w:before="58" w:after="0"/>
        <w:ind w:left="2548" w:right="426" w:hanging="317"/>
        <w:jc w:val="both"/>
        <w:rPr>
          <w:sz w:val="20"/>
        </w:rPr>
      </w:pPr>
      <w:r>
        <w:rPr>
          <w:color w:val="231F20"/>
          <w:sz w:val="20"/>
        </w:rPr>
        <w:t>Click </w:t>
      </w:r>
      <w:r>
        <w:rPr>
          <w:color w:val="231F20"/>
          <w:spacing w:val="16"/>
          <w:position w:val="-1"/>
          <w:sz w:val="20"/>
        </w:rPr>
        <w:drawing>
          <wp:inline distT="0" distB="0" distL="0" distR="0">
            <wp:extent cx="101600" cy="101600"/>
            <wp:effectExtent l="0" t="0" r="0" b="0"/>
            <wp:docPr id="1533" name="Image 1533"/>
            <wp:cNvGraphicFramePr>
              <a:graphicFrameLocks/>
            </wp:cNvGraphicFramePr>
            <a:graphic>
              <a:graphicData uri="http://schemas.openxmlformats.org/drawingml/2006/picture">
                <pic:pic>
                  <pic:nvPicPr>
                    <pic:cNvPr id="1533" name="Image 1533"/>
                    <pic:cNvPicPr/>
                  </pic:nvPicPr>
                  <pic:blipFill>
                    <a:blip r:embed="rId5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Common Event Console</w:t>
      </w:r>
      <w:r>
        <w:rPr>
          <w:color w:val="231F20"/>
          <w:sz w:val="20"/>
        </w:rPr>
        <w:t>. The mouse pointer changes to the view icon</w:t>
      </w:r>
      <w:r>
        <w:rPr>
          <w:color w:val="231F20"/>
          <w:spacing w:val="40"/>
          <w:sz w:val="20"/>
        </w:rPr>
        <w:t> </w:t>
      </w:r>
      <w:r>
        <w:rPr>
          <w:color w:val="231F20"/>
          <w:sz w:val="20"/>
        </w:rPr>
        <w:t>(or the hand icon on Linux systems). If you accidentally click the wrong icon or decide not to add the view, press Esc or click somewhere in the toolbar.</w:t>
      </w:r>
    </w:p>
    <w:p>
      <w:pPr>
        <w:pStyle w:val="ListParagraph"/>
        <w:numPr>
          <w:ilvl w:val="0"/>
          <w:numId w:val="76"/>
        </w:numPr>
        <w:tabs>
          <w:tab w:pos="2548" w:val="left" w:leader="none"/>
        </w:tabs>
        <w:spacing w:line="213" w:lineRule="auto" w:before="58" w:after="0"/>
        <w:ind w:left="2548" w:right="418" w:hanging="316"/>
        <w:jc w:val="left"/>
        <w:rPr>
          <w:sz w:val="20"/>
        </w:rPr>
      </w:pPr>
      <w:r>
        <w:rPr>
          <w:color w:val="231F20"/>
          <w:sz w:val="20"/>
        </w:rPr>
        <w:t>Click inside the view where you want the common event console. After you</w:t>
      </w:r>
      <w:r>
        <w:rPr>
          <w:color w:val="231F20"/>
          <w:spacing w:val="80"/>
          <w:sz w:val="20"/>
        </w:rPr>
        <w:t> </w:t>
      </w:r>
      <w:r>
        <w:rPr>
          <w:color w:val="231F20"/>
          <w:sz w:val="20"/>
        </w:rPr>
        <w:t>click, the old view is replaced by the common event console. If any of the configured common event connectors are experiencing problems retrieving</w:t>
      </w:r>
      <w:r>
        <w:rPr>
          <w:color w:val="231F20"/>
          <w:spacing w:val="80"/>
          <w:sz w:val="20"/>
        </w:rPr>
        <w:t> </w:t>
      </w:r>
      <w:r>
        <w:rPr>
          <w:color w:val="231F20"/>
          <w:sz w:val="20"/>
        </w:rPr>
        <w:t>event data, a window might appear to notify you of the problem. You can use</w:t>
      </w:r>
      <w:r>
        <w:rPr>
          <w:color w:val="231F20"/>
          <w:spacing w:val="80"/>
          <w:sz w:val="20"/>
        </w:rPr>
        <w:t> </w:t>
      </w:r>
      <w:r>
        <w:rPr>
          <w:color w:val="231F20"/>
          <w:sz w:val="20"/>
        </w:rPr>
        <w:t>the Common Event Connector Status window to see the status of all </w:t>
      </w:r>
      <w:r>
        <w:rPr>
          <w:color w:val="231F20"/>
          <w:sz w:val="20"/>
        </w:rPr>
        <w:t>configured </w:t>
      </w:r>
      <w:r>
        <w:rPr>
          <w:color w:val="231F20"/>
          <w:spacing w:val="-2"/>
          <w:sz w:val="20"/>
        </w:rPr>
        <w:t>connectors.</w:t>
      </w:r>
    </w:p>
    <w:p>
      <w:pPr>
        <w:pStyle w:val="ListParagraph"/>
        <w:numPr>
          <w:ilvl w:val="0"/>
          <w:numId w:val="76"/>
        </w:numPr>
        <w:tabs>
          <w:tab w:pos="2548" w:val="left" w:leader="none"/>
        </w:tabs>
        <w:spacing w:line="213" w:lineRule="auto" w:before="55" w:after="0"/>
        <w:ind w:left="2548" w:right="689" w:hanging="316"/>
        <w:jc w:val="left"/>
        <w:rPr>
          <w:sz w:val="20"/>
        </w:rPr>
      </w:pPr>
      <w:r>
        <w:rPr>
          <w:color w:val="231F20"/>
          <w:sz w:val="20"/>
        </w:rPr>
        <w:t>Use any of the filtering tools to show the events that you are most interested </w:t>
      </w:r>
      <w:r>
        <w:rPr>
          <w:color w:val="231F20"/>
          <w:spacing w:val="-4"/>
          <w:sz w:val="20"/>
        </w:rPr>
        <w:t>in.</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545"/>
      </w:pPr>
      <w:r>
        <w:rPr>
          <w:color w:val="231F20"/>
        </w:rPr>
        <w:t>You can adjust the event console to show only events of a certain severity, status, </w:t>
      </w:r>
      <w:bookmarkStart w:name="What the common event console view shows" w:id="252"/>
      <w:bookmarkEnd w:id="252"/>
      <w:r>
        <w:rPr>
          <w:color w:val="231F20"/>
        </w:rPr>
        <w:t>owne</w:t>
      </w:r>
      <w:r>
        <w:rPr>
          <w:color w:val="231F20"/>
        </w:rPr>
        <w:t>r, or other attribute value. You can also apply thresholds to cells.</w:t>
      </w:r>
    </w:p>
    <w:p>
      <w:pPr>
        <w:pStyle w:val="Heading4"/>
        <w:spacing w:line="273" w:lineRule="exact" w:before="165"/>
      </w:pPr>
      <w:r>
        <w:rPr>
          <w:color w:val="231F20"/>
        </w:rPr>
        <w:t>What</w:t>
      </w:r>
      <w:r>
        <w:rPr>
          <w:color w:val="231F20"/>
          <w:spacing w:val="4"/>
        </w:rPr>
        <w:t> </w:t>
      </w:r>
      <w:r>
        <w:rPr>
          <w:color w:val="231F20"/>
        </w:rPr>
        <w:t>the</w:t>
      </w:r>
      <w:r>
        <w:rPr>
          <w:color w:val="231F20"/>
          <w:spacing w:val="6"/>
        </w:rPr>
        <w:t> </w:t>
      </w:r>
      <w:r>
        <w:rPr>
          <w:color w:val="231F20"/>
        </w:rPr>
        <w:t>common</w:t>
      </w:r>
      <w:r>
        <w:rPr>
          <w:color w:val="231F20"/>
          <w:spacing w:val="7"/>
        </w:rPr>
        <w:t> </w:t>
      </w:r>
      <w:r>
        <w:rPr>
          <w:color w:val="231F20"/>
        </w:rPr>
        <w:t>event</w:t>
      </w:r>
      <w:r>
        <w:rPr>
          <w:color w:val="231F20"/>
          <w:spacing w:val="6"/>
        </w:rPr>
        <w:t> </w:t>
      </w:r>
      <w:r>
        <w:rPr>
          <w:color w:val="231F20"/>
        </w:rPr>
        <w:t>console</w:t>
      </w:r>
      <w:r>
        <w:rPr>
          <w:color w:val="231F20"/>
          <w:spacing w:val="6"/>
        </w:rPr>
        <w:t> </w:t>
      </w:r>
      <w:r>
        <w:rPr>
          <w:color w:val="231F20"/>
        </w:rPr>
        <w:t>view</w:t>
      </w:r>
      <w:r>
        <w:rPr>
          <w:color w:val="231F20"/>
          <w:spacing w:val="7"/>
        </w:rPr>
        <w:t> </w:t>
      </w:r>
      <w:r>
        <w:rPr>
          <w:color w:val="231F20"/>
          <w:spacing w:val="-2"/>
        </w:rPr>
        <w:t>shows</w:t>
      </w:r>
    </w:p>
    <w:p>
      <w:pPr>
        <w:pStyle w:val="BodyText"/>
        <w:spacing w:line="213" w:lineRule="auto" w:before="19"/>
        <w:ind w:left="2232" w:right="545"/>
      </w:pPr>
      <w:r>
        <w:rPr>
          <w:color w:val="231F20"/>
        </w:rPr>
        <w:t>A row is inserted in the common event console for each event retrieved from a connected event repository: Tivoli Enterprise Monitoring Server, Tivoli Enterprise Console event server, and Netcool/OMNIbus ObjectServer. Use the tools to </w:t>
      </w:r>
      <w:r>
        <w:rPr>
          <w:color w:val="231F20"/>
        </w:rPr>
        <w:t>display only</w:t>
      </w:r>
      <w:r>
        <w:rPr>
          <w:color w:val="231F20"/>
          <w:spacing w:val="26"/>
        </w:rPr>
        <w:t> </w:t>
      </w:r>
      <w:r>
        <w:rPr>
          <w:color w:val="231F20"/>
        </w:rPr>
        <w:t>events</w:t>
      </w:r>
      <w:r>
        <w:rPr>
          <w:color w:val="231F20"/>
          <w:spacing w:val="26"/>
        </w:rPr>
        <w:t> </w:t>
      </w:r>
      <w:r>
        <w:rPr>
          <w:color w:val="231F20"/>
        </w:rPr>
        <w:t>of</w:t>
      </w:r>
      <w:r>
        <w:rPr>
          <w:color w:val="231F20"/>
          <w:spacing w:val="26"/>
        </w:rPr>
        <w:t> </w:t>
      </w:r>
      <w:r>
        <w:rPr>
          <w:color w:val="231F20"/>
        </w:rPr>
        <w:t>a</w:t>
      </w:r>
      <w:r>
        <w:rPr>
          <w:color w:val="231F20"/>
          <w:spacing w:val="26"/>
        </w:rPr>
        <w:t> </w:t>
      </w:r>
      <w:r>
        <w:rPr>
          <w:color w:val="231F20"/>
        </w:rPr>
        <w:t>certain</w:t>
      </w:r>
      <w:r>
        <w:rPr>
          <w:color w:val="231F20"/>
          <w:spacing w:val="26"/>
        </w:rPr>
        <w:t> </w:t>
      </w:r>
      <w:r>
        <w:rPr>
          <w:color w:val="231F20"/>
        </w:rPr>
        <w:t>severity</w:t>
      </w:r>
      <w:r>
        <w:rPr>
          <w:color w:val="231F20"/>
          <w:spacing w:val="26"/>
        </w:rPr>
        <w:t> </w:t>
      </w:r>
      <w:r>
        <w:rPr>
          <w:color w:val="231F20"/>
        </w:rPr>
        <w:t>or</w:t>
      </w:r>
      <w:r>
        <w:rPr>
          <w:color w:val="231F20"/>
          <w:spacing w:val="26"/>
        </w:rPr>
        <w:t> </w:t>
      </w:r>
      <w:r>
        <w:rPr>
          <w:color w:val="231F20"/>
        </w:rPr>
        <w:t>status,</w:t>
      </w:r>
      <w:r>
        <w:rPr>
          <w:color w:val="231F20"/>
          <w:spacing w:val="26"/>
        </w:rPr>
        <w:t> </w:t>
      </w:r>
      <w:r>
        <w:rPr>
          <w:color w:val="231F20"/>
        </w:rPr>
        <w:t>to</w:t>
      </w:r>
      <w:r>
        <w:rPr>
          <w:color w:val="231F20"/>
          <w:spacing w:val="26"/>
        </w:rPr>
        <w:t> </w:t>
      </w:r>
      <w:r>
        <w:rPr>
          <w:color w:val="231F20"/>
        </w:rPr>
        <w:t>find</w:t>
      </w:r>
      <w:r>
        <w:rPr>
          <w:color w:val="231F20"/>
          <w:spacing w:val="26"/>
        </w:rPr>
        <w:t> </w:t>
      </w:r>
      <w:r>
        <w:rPr>
          <w:color w:val="231F20"/>
        </w:rPr>
        <w:t>specific</w:t>
      </w:r>
      <w:r>
        <w:rPr>
          <w:color w:val="231F20"/>
          <w:spacing w:val="26"/>
        </w:rPr>
        <w:t> </w:t>
      </w:r>
      <w:r>
        <w:rPr>
          <w:color w:val="231F20"/>
        </w:rPr>
        <w:t>events,</w:t>
      </w:r>
      <w:r>
        <w:rPr>
          <w:color w:val="231F20"/>
          <w:spacing w:val="26"/>
        </w:rPr>
        <w:t> </w:t>
      </w:r>
      <w:r>
        <w:rPr>
          <w:color w:val="231F20"/>
        </w:rPr>
        <w:t>and</w:t>
      </w:r>
      <w:r>
        <w:rPr>
          <w:color w:val="231F20"/>
          <w:spacing w:val="26"/>
        </w:rPr>
        <w:t> </w:t>
      </w:r>
      <w:r>
        <w:rPr>
          <w:color w:val="231F20"/>
        </w:rPr>
        <w:t>to</w:t>
      </w:r>
      <w:r>
        <w:rPr>
          <w:color w:val="231F20"/>
          <w:spacing w:val="26"/>
        </w:rPr>
        <w:t> </w:t>
      </w:r>
      <w:r>
        <w:rPr>
          <w:color w:val="231F20"/>
        </w:rPr>
        <w:t>control how the display is updated.</w:t>
      </w:r>
    </w:p>
    <w:p>
      <w:pPr>
        <w:pStyle w:val="Heading5"/>
        <w:spacing w:before="217"/>
        <w:ind w:left="2232"/>
      </w:pPr>
      <w:r>
        <w:rPr>
          <w:color w:val="231F20"/>
          <w:spacing w:val="-2"/>
        </w:rPr>
        <w:t>Toolbar</w:t>
      </w:r>
    </w:p>
    <w:p>
      <w:pPr>
        <w:pStyle w:val="BodyText"/>
        <w:spacing w:line="213" w:lineRule="auto" w:before="245"/>
        <w:ind w:left="2232" w:right="545"/>
      </w:pPr>
      <w:r>
        <w:rPr>
          <w:color w:val="231F20"/>
        </w:rPr>
        <w:t>When severity or status filters are applied, the event console shows the events </w:t>
      </w:r>
      <w:r>
        <w:rPr>
          <w:color w:val="231F20"/>
        </w:rPr>
        <w:t>that match</w:t>
      </w:r>
      <w:r>
        <w:rPr>
          <w:color w:val="231F20"/>
          <w:spacing w:val="26"/>
        </w:rPr>
        <w:t> </w:t>
      </w:r>
      <w:r>
        <w:rPr>
          <w:color w:val="231F20"/>
        </w:rPr>
        <w:t>any</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selected</w:t>
      </w:r>
      <w:r>
        <w:rPr>
          <w:color w:val="231F20"/>
          <w:spacing w:val="26"/>
        </w:rPr>
        <w:t> </w:t>
      </w:r>
      <w:r>
        <w:rPr>
          <w:color w:val="231F20"/>
        </w:rPr>
        <w:t>filters.</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filter</w:t>
      </w:r>
      <w:r>
        <w:rPr>
          <w:color w:val="231F20"/>
          <w:spacing w:val="26"/>
        </w:rPr>
        <w:t> </w:t>
      </w:r>
      <w:r>
        <w:rPr>
          <w:color w:val="231F20"/>
        </w:rPr>
        <w:t>on</w:t>
      </w:r>
      <w:r>
        <w:rPr>
          <w:color w:val="231F20"/>
          <w:spacing w:val="26"/>
        </w:rPr>
        <w:t> </w:t>
      </w:r>
      <w:r>
        <w:rPr>
          <w:color w:val="231F20"/>
        </w:rPr>
        <w:t>both</w:t>
      </w:r>
      <w:r>
        <w:rPr>
          <w:color w:val="231F20"/>
          <w:spacing w:val="26"/>
        </w:rPr>
        <w:t> </w:t>
      </w:r>
      <w:r>
        <w:rPr>
          <w:color w:val="231F20"/>
        </w:rPr>
        <w:t>severity</w:t>
      </w:r>
      <w:r>
        <w:rPr>
          <w:color w:val="231F20"/>
          <w:spacing w:val="26"/>
        </w:rPr>
        <w:t> </w:t>
      </w:r>
      <w:r>
        <w:rPr>
          <w:color w:val="231F20"/>
        </w:rPr>
        <w:t>and</w:t>
      </w:r>
      <w:r>
        <w:rPr>
          <w:color w:val="231F20"/>
          <w:spacing w:val="26"/>
        </w:rPr>
        <w:t> </w:t>
      </w:r>
      <w:r>
        <w:rPr>
          <w:color w:val="231F20"/>
        </w:rPr>
        <w:t>status,</w:t>
      </w:r>
      <w:r>
        <w:rPr>
          <w:color w:val="231F20"/>
          <w:spacing w:val="26"/>
        </w:rPr>
        <w:t> </w:t>
      </w:r>
      <w:r>
        <w:rPr>
          <w:color w:val="231F20"/>
        </w:rPr>
        <w:t>the console shows only the events that match both sets of filters. The exceptions are as </w:t>
      </w:r>
      <w:r>
        <w:rPr>
          <w:color w:val="231F20"/>
          <w:spacing w:val="-2"/>
        </w:rPr>
        <w:t>follows:</w:t>
      </w:r>
    </w:p>
    <w:p>
      <w:pPr>
        <w:pStyle w:val="BodyText"/>
        <w:spacing w:line="213" w:lineRule="auto" w:before="58"/>
        <w:ind w:left="2448" w:right="700" w:hanging="216"/>
      </w:pPr>
      <w:r>
        <w:rPr>
          <w:rFonts w:ascii="Futura MdCn BT"/>
          <w:color w:val="231F20"/>
        </w:rPr>
        <w:t>v</w:t>
      </w:r>
      <w:r>
        <w:rPr>
          <w:rFonts w:ascii="Futura MdCn BT"/>
          <w:color w:val="231F20"/>
          <w:spacing w:val="80"/>
        </w:rPr>
        <w:t> </w:t>
      </w:r>
      <w:r>
        <w:rPr>
          <w:color w:val="231F20"/>
        </w:rPr>
        <w:t>If you click all of the status filter icons, all status filters are removed; events of</w:t>
      </w:r>
      <w:r>
        <w:rPr>
          <w:color w:val="231F20"/>
          <w:spacing w:val="80"/>
        </w:rPr>
        <w:t> </w:t>
      </w:r>
      <w:r>
        <w:rPr>
          <w:color w:val="231F20"/>
        </w:rPr>
        <w:t>all status values appear in the console.</w:t>
      </w:r>
    </w:p>
    <w:p>
      <w:pPr>
        <w:pStyle w:val="BodyText"/>
        <w:spacing w:line="213" w:lineRule="auto" w:before="58"/>
        <w:ind w:left="2448" w:right="765" w:hanging="216"/>
      </w:pPr>
      <w:r>
        <w:rPr>
          <w:rFonts w:ascii="Futura MdCn BT"/>
          <w:color w:val="231F20"/>
        </w:rPr>
        <w:t>v</w:t>
      </w:r>
      <w:r>
        <w:rPr>
          <w:rFonts w:ascii="Futura MdCn BT"/>
          <w:color w:val="231F20"/>
          <w:spacing w:val="80"/>
        </w:rPr>
        <w:t> </w:t>
      </w:r>
      <w:r>
        <w:rPr>
          <w:color w:val="231F20"/>
        </w:rPr>
        <w:t>If you click all of the severity filter icons, all severity filters are applied; events</w:t>
      </w:r>
      <w:r>
        <w:rPr>
          <w:color w:val="231F20"/>
          <w:spacing w:val="80"/>
        </w:rPr>
        <w:t> </w:t>
      </w:r>
      <w:r>
        <w:rPr>
          <w:color w:val="231F20"/>
        </w:rPr>
        <w:t>of all severity values appear in the console.</w:t>
      </w:r>
    </w:p>
    <w:p>
      <w:pPr>
        <w:tabs>
          <w:tab w:pos="4602" w:val="left" w:leader="none"/>
        </w:tabs>
        <w:spacing w:line="241" w:lineRule="exact" w:before="161"/>
        <w:ind w:left="2242" w:right="0" w:firstLine="0"/>
        <w:jc w:val="left"/>
        <w:rPr>
          <w:sz w:val="18"/>
        </w:rPr>
      </w:pPr>
      <w:r>
        <w:rPr>
          <w:position w:val="-3"/>
        </w:rPr>
        <w:drawing>
          <wp:inline distT="0" distB="0" distL="0" distR="0">
            <wp:extent cx="95250" cy="95250"/>
            <wp:effectExtent l="0" t="0" r="0" b="0"/>
            <wp:docPr id="1534" name="Image 1534"/>
            <wp:cNvGraphicFramePr>
              <a:graphicFrameLocks/>
            </wp:cNvGraphicFramePr>
            <a:graphic>
              <a:graphicData uri="http://schemas.openxmlformats.org/drawingml/2006/picture">
                <pic:pic>
                  <pic:nvPicPr>
                    <pic:cNvPr id="1534" name="Image 1534"/>
                    <pic:cNvPicPr/>
                  </pic:nvPicPr>
                  <pic:blipFill>
                    <a:blip r:embed="rId2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Fatal</w:t>
        <w:tab/>
      </w:r>
      <w:r>
        <w:rPr>
          <w:color w:val="231F20"/>
          <w:sz w:val="18"/>
        </w:rPr>
        <w:t>Show</w:t>
      </w:r>
      <w:r>
        <w:rPr>
          <w:color w:val="231F20"/>
          <w:spacing w:val="10"/>
          <w:sz w:val="18"/>
        </w:rPr>
        <w:t> </w:t>
      </w:r>
      <w:r>
        <w:rPr>
          <w:color w:val="231F20"/>
          <w:sz w:val="18"/>
        </w:rPr>
        <w:t>only</w:t>
      </w:r>
      <w:r>
        <w:rPr>
          <w:color w:val="231F20"/>
          <w:spacing w:val="10"/>
          <w:sz w:val="18"/>
        </w:rPr>
        <w:t> </w:t>
      </w:r>
      <w:r>
        <w:rPr>
          <w:color w:val="231F20"/>
          <w:sz w:val="18"/>
        </w:rPr>
        <w:t>Fatal</w:t>
      </w:r>
      <w:r>
        <w:rPr>
          <w:color w:val="231F20"/>
          <w:spacing w:val="10"/>
          <w:sz w:val="18"/>
        </w:rPr>
        <w:t> </w:t>
      </w:r>
      <w:r>
        <w:rPr>
          <w:color w:val="231F20"/>
          <w:spacing w:val="-2"/>
          <w:sz w:val="18"/>
        </w:rPr>
        <w:t>events.</w:t>
      </w:r>
    </w:p>
    <w:p>
      <w:pPr>
        <w:tabs>
          <w:tab w:pos="4602" w:val="left" w:leader="none"/>
        </w:tabs>
        <w:spacing w:line="241" w:lineRule="exact" w:before="0"/>
        <w:ind w:left="2242" w:right="0" w:firstLine="0"/>
        <w:jc w:val="left"/>
        <w:rPr>
          <w:sz w:val="18"/>
        </w:rPr>
      </w:pPr>
      <w:r>
        <w:rPr>
          <w:position w:val="-3"/>
        </w:rPr>
        <w:drawing>
          <wp:inline distT="0" distB="0" distL="0" distR="0">
            <wp:extent cx="95250" cy="95250"/>
            <wp:effectExtent l="0" t="0" r="0" b="0"/>
            <wp:docPr id="1535" name="Image 1535"/>
            <wp:cNvGraphicFramePr>
              <a:graphicFrameLocks/>
            </wp:cNvGraphicFramePr>
            <a:graphic>
              <a:graphicData uri="http://schemas.openxmlformats.org/drawingml/2006/picture">
                <pic:pic>
                  <pic:nvPicPr>
                    <pic:cNvPr id="1535" name="Image 1535"/>
                    <pic:cNvPicPr/>
                  </pic:nvPicPr>
                  <pic:blipFill>
                    <a:blip r:embed="rId1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Critical</w:t>
        <w:tab/>
      </w:r>
      <w:r>
        <w:rPr>
          <w:color w:val="231F20"/>
          <w:sz w:val="18"/>
        </w:rPr>
        <w:t>Show</w:t>
      </w:r>
      <w:r>
        <w:rPr>
          <w:color w:val="231F20"/>
          <w:spacing w:val="9"/>
          <w:sz w:val="18"/>
        </w:rPr>
        <w:t> </w:t>
      </w:r>
      <w:r>
        <w:rPr>
          <w:color w:val="231F20"/>
          <w:sz w:val="18"/>
        </w:rPr>
        <w:t>only</w:t>
      </w:r>
      <w:r>
        <w:rPr>
          <w:color w:val="231F20"/>
          <w:spacing w:val="9"/>
          <w:sz w:val="18"/>
        </w:rPr>
        <w:t> </w:t>
      </w:r>
      <w:r>
        <w:rPr>
          <w:color w:val="231F20"/>
          <w:sz w:val="18"/>
        </w:rPr>
        <w:t>Critical</w:t>
      </w:r>
      <w:r>
        <w:rPr>
          <w:color w:val="231F20"/>
          <w:spacing w:val="10"/>
          <w:sz w:val="18"/>
        </w:rPr>
        <w:t> </w:t>
      </w:r>
      <w:r>
        <w:rPr>
          <w:color w:val="231F20"/>
          <w:spacing w:val="-2"/>
          <w:sz w:val="18"/>
        </w:rPr>
        <w:t>events.</w:t>
      </w:r>
    </w:p>
    <w:p>
      <w:pPr>
        <w:spacing w:after="0" w:line="241" w:lineRule="exact"/>
        <w:jc w:val="left"/>
        <w:rPr>
          <w:sz w:val="18"/>
        </w:rPr>
        <w:sectPr>
          <w:pgSz w:w="12240" w:h="15840"/>
          <w:pgMar w:header="0" w:footer="736" w:top="1160" w:bottom="920" w:left="1000" w:right="1060"/>
        </w:sectPr>
      </w:pPr>
    </w:p>
    <w:p>
      <w:pPr>
        <w:tabs>
          <w:tab w:pos="4841" w:val="left" w:leader="none"/>
        </w:tabs>
        <w:spacing w:line="241" w:lineRule="exact" w:before="47"/>
        <w:ind w:left="2482" w:right="0" w:firstLine="0"/>
        <w:jc w:val="left"/>
        <w:rPr>
          <w:sz w:val="18"/>
        </w:rPr>
      </w:pPr>
      <w:r>
        <w:rPr>
          <w:position w:val="-3"/>
        </w:rPr>
        <w:drawing>
          <wp:inline distT="0" distB="0" distL="0" distR="0">
            <wp:extent cx="95250" cy="95250"/>
            <wp:effectExtent l="0" t="0" r="0" b="0"/>
            <wp:docPr id="1536" name="Image 1536"/>
            <wp:cNvGraphicFramePr>
              <a:graphicFrameLocks/>
            </wp:cNvGraphicFramePr>
            <a:graphic>
              <a:graphicData uri="http://schemas.openxmlformats.org/drawingml/2006/picture">
                <pic:pic>
                  <pic:nvPicPr>
                    <pic:cNvPr id="1536" name="Image 1536"/>
                    <pic:cNvPicPr/>
                  </pic:nvPicPr>
                  <pic:blipFill>
                    <a:blip r:embed="rId164"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Minor</w:t>
        <w:tab/>
      </w:r>
      <w:r>
        <w:rPr>
          <w:color w:val="231F20"/>
          <w:sz w:val="18"/>
        </w:rPr>
        <w:t>Show</w:t>
      </w:r>
      <w:r>
        <w:rPr>
          <w:color w:val="231F20"/>
          <w:spacing w:val="9"/>
          <w:sz w:val="18"/>
        </w:rPr>
        <w:t> </w:t>
      </w:r>
      <w:r>
        <w:rPr>
          <w:color w:val="231F20"/>
          <w:sz w:val="18"/>
        </w:rPr>
        <w:t>only</w:t>
      </w:r>
      <w:r>
        <w:rPr>
          <w:color w:val="231F20"/>
          <w:spacing w:val="10"/>
          <w:sz w:val="18"/>
        </w:rPr>
        <w:t> </w:t>
      </w:r>
      <w:r>
        <w:rPr>
          <w:color w:val="231F20"/>
          <w:sz w:val="18"/>
        </w:rPr>
        <w:t>Minor</w:t>
      </w:r>
      <w:r>
        <w:rPr>
          <w:color w:val="231F20"/>
          <w:spacing w:val="10"/>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537" name="Image 1537"/>
            <wp:cNvGraphicFramePr>
              <a:graphicFrameLocks/>
            </wp:cNvGraphicFramePr>
            <a:graphic>
              <a:graphicData uri="http://schemas.openxmlformats.org/drawingml/2006/picture">
                <pic:pic>
                  <pic:nvPicPr>
                    <pic:cNvPr id="1537" name="Image 1537"/>
                    <pic:cNvPicPr/>
                  </pic:nvPicPr>
                  <pic:blipFill>
                    <a:blip r:embed="rId12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Warning</w:t>
        <w:tab/>
      </w:r>
      <w:r>
        <w:rPr>
          <w:color w:val="231F20"/>
          <w:sz w:val="18"/>
        </w:rPr>
        <w:t>Show</w:t>
      </w:r>
      <w:r>
        <w:rPr>
          <w:color w:val="231F20"/>
          <w:spacing w:val="3"/>
          <w:sz w:val="18"/>
        </w:rPr>
        <w:t> </w:t>
      </w:r>
      <w:r>
        <w:rPr>
          <w:color w:val="231F20"/>
          <w:sz w:val="18"/>
        </w:rPr>
        <w:t>only</w:t>
      </w:r>
      <w:r>
        <w:rPr>
          <w:color w:val="231F20"/>
          <w:spacing w:val="3"/>
          <w:sz w:val="18"/>
        </w:rPr>
        <w:t> </w:t>
      </w:r>
      <w:r>
        <w:rPr>
          <w:color w:val="231F20"/>
          <w:sz w:val="18"/>
        </w:rPr>
        <w:t>Warning</w:t>
      </w:r>
      <w:r>
        <w:rPr>
          <w:color w:val="231F20"/>
          <w:spacing w:val="3"/>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538" name="Image 1538"/>
            <wp:cNvGraphicFramePr>
              <a:graphicFrameLocks/>
            </wp:cNvGraphicFramePr>
            <a:graphic>
              <a:graphicData uri="http://schemas.openxmlformats.org/drawingml/2006/picture">
                <pic:pic>
                  <pic:nvPicPr>
                    <pic:cNvPr id="1538" name="Image 1538"/>
                    <pic:cNvPicPr/>
                  </pic:nvPicPr>
                  <pic:blipFill>
                    <a:blip r:embed="rId16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Harmless</w:t>
        <w:tab/>
      </w:r>
      <w:r>
        <w:rPr>
          <w:color w:val="231F20"/>
          <w:sz w:val="18"/>
        </w:rPr>
        <w:t>Show</w:t>
      </w:r>
      <w:r>
        <w:rPr>
          <w:color w:val="231F20"/>
          <w:spacing w:val="8"/>
          <w:sz w:val="18"/>
        </w:rPr>
        <w:t> </w:t>
      </w:r>
      <w:r>
        <w:rPr>
          <w:color w:val="231F20"/>
          <w:sz w:val="18"/>
        </w:rPr>
        <w:t>only</w:t>
      </w:r>
      <w:r>
        <w:rPr>
          <w:color w:val="231F20"/>
          <w:spacing w:val="9"/>
          <w:sz w:val="18"/>
        </w:rPr>
        <w:t> </w:t>
      </w:r>
      <w:r>
        <w:rPr>
          <w:color w:val="231F20"/>
          <w:sz w:val="18"/>
        </w:rPr>
        <w:t>Harmless</w:t>
      </w:r>
      <w:r>
        <w:rPr>
          <w:color w:val="231F20"/>
          <w:spacing w:val="9"/>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539" name="Image 1539"/>
            <wp:cNvGraphicFramePr>
              <a:graphicFrameLocks/>
            </wp:cNvGraphicFramePr>
            <a:graphic>
              <a:graphicData uri="http://schemas.openxmlformats.org/drawingml/2006/picture">
                <pic:pic>
                  <pic:nvPicPr>
                    <pic:cNvPr id="1539" name="Image 1539"/>
                    <pic:cNvPicPr/>
                  </pic:nvPicPr>
                  <pic:blipFill>
                    <a:blip r:embed="rId12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Informational</w:t>
        <w:tab/>
      </w:r>
      <w:r>
        <w:rPr>
          <w:color w:val="231F20"/>
          <w:sz w:val="18"/>
        </w:rPr>
        <w:t>Show</w:t>
      </w:r>
      <w:r>
        <w:rPr>
          <w:color w:val="231F20"/>
          <w:spacing w:val="7"/>
          <w:sz w:val="18"/>
        </w:rPr>
        <w:t> </w:t>
      </w:r>
      <w:r>
        <w:rPr>
          <w:color w:val="231F20"/>
          <w:sz w:val="18"/>
        </w:rPr>
        <w:t>only</w:t>
      </w:r>
      <w:r>
        <w:rPr>
          <w:color w:val="231F20"/>
          <w:spacing w:val="8"/>
          <w:sz w:val="18"/>
        </w:rPr>
        <w:t> </w:t>
      </w:r>
      <w:r>
        <w:rPr>
          <w:color w:val="231F20"/>
          <w:sz w:val="18"/>
        </w:rPr>
        <w:t>Informational</w:t>
      </w:r>
      <w:r>
        <w:rPr>
          <w:color w:val="231F20"/>
          <w:spacing w:val="7"/>
          <w:sz w:val="18"/>
        </w:rPr>
        <w:t> </w:t>
      </w:r>
      <w:r>
        <w:rPr>
          <w:color w:val="231F20"/>
          <w:spacing w:val="-2"/>
          <w:sz w:val="18"/>
        </w:rPr>
        <w:t>events.</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540" name="Image 1540"/>
            <wp:cNvGraphicFramePr>
              <a:graphicFrameLocks/>
            </wp:cNvGraphicFramePr>
            <a:graphic>
              <a:graphicData uri="http://schemas.openxmlformats.org/drawingml/2006/picture">
                <pic:pic>
                  <pic:nvPicPr>
                    <pic:cNvPr id="1540" name="Image 1540"/>
                    <pic:cNvPicPr/>
                  </pic:nvPicPr>
                  <pic:blipFill>
                    <a:blip r:embed="rId29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Unknown</w:t>
        <w:tab/>
      </w:r>
      <w:r>
        <w:rPr>
          <w:color w:val="231F20"/>
          <w:sz w:val="18"/>
        </w:rPr>
        <w:t>Show</w:t>
      </w:r>
      <w:r>
        <w:rPr>
          <w:color w:val="231F20"/>
          <w:spacing w:val="8"/>
          <w:sz w:val="18"/>
        </w:rPr>
        <w:t> </w:t>
      </w:r>
      <w:r>
        <w:rPr>
          <w:color w:val="231F20"/>
          <w:sz w:val="18"/>
        </w:rPr>
        <w:t>only</w:t>
      </w:r>
      <w:r>
        <w:rPr>
          <w:color w:val="231F20"/>
          <w:spacing w:val="9"/>
          <w:sz w:val="18"/>
        </w:rPr>
        <w:t> </w:t>
      </w:r>
      <w:r>
        <w:rPr>
          <w:color w:val="231F20"/>
          <w:sz w:val="18"/>
        </w:rPr>
        <w:t>Unknown</w:t>
      </w:r>
      <w:r>
        <w:rPr>
          <w:color w:val="231F20"/>
          <w:spacing w:val="8"/>
          <w:sz w:val="18"/>
        </w:rPr>
        <w:t> </w:t>
      </w:r>
      <w:r>
        <w:rPr>
          <w:color w:val="231F20"/>
          <w:spacing w:val="-2"/>
          <w:sz w:val="18"/>
        </w:rPr>
        <w:t>events.</w:t>
      </w:r>
    </w:p>
    <w:p>
      <w:pPr>
        <w:tabs>
          <w:tab w:pos="4841" w:val="left" w:leader="none"/>
        </w:tabs>
        <w:spacing w:line="229" w:lineRule="exact" w:before="0"/>
        <w:ind w:left="2482" w:right="0" w:firstLine="0"/>
        <w:jc w:val="left"/>
        <w:rPr>
          <w:sz w:val="18"/>
        </w:rPr>
      </w:pPr>
      <w:r>
        <w:rPr>
          <w:position w:val="-3"/>
        </w:rPr>
        <w:drawing>
          <wp:inline distT="0" distB="0" distL="0" distR="0">
            <wp:extent cx="95250" cy="95250"/>
            <wp:effectExtent l="0" t="0" r="0" b="0"/>
            <wp:docPr id="1541" name="Image 1541"/>
            <wp:cNvGraphicFramePr>
              <a:graphicFrameLocks/>
            </wp:cNvGraphicFramePr>
            <a:graphic>
              <a:graphicData uri="http://schemas.openxmlformats.org/drawingml/2006/picture">
                <pic:pic>
                  <pic:nvPicPr>
                    <pic:cNvPr id="1541" name="Image 1541"/>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Open</w:t>
        <w:tab/>
      </w:r>
      <w:r>
        <w:rPr>
          <w:color w:val="231F20"/>
          <w:sz w:val="18"/>
        </w:rPr>
        <w:t>Show</w:t>
      </w:r>
      <w:r>
        <w:rPr>
          <w:color w:val="231F20"/>
          <w:spacing w:val="6"/>
          <w:sz w:val="18"/>
        </w:rPr>
        <w:t> </w:t>
      </w:r>
      <w:r>
        <w:rPr>
          <w:color w:val="231F20"/>
          <w:sz w:val="18"/>
        </w:rPr>
        <w:t>Open</w:t>
      </w:r>
      <w:r>
        <w:rPr>
          <w:color w:val="231F20"/>
          <w:spacing w:val="7"/>
          <w:sz w:val="18"/>
        </w:rPr>
        <w:t> </w:t>
      </w:r>
      <w:r>
        <w:rPr>
          <w:color w:val="231F20"/>
          <w:sz w:val="18"/>
        </w:rPr>
        <w:t>events</w:t>
      </w:r>
      <w:r>
        <w:rPr>
          <w:color w:val="231F20"/>
          <w:spacing w:val="6"/>
          <w:sz w:val="18"/>
        </w:rPr>
        <w:t> </w:t>
      </w:r>
      <w:r>
        <w:rPr>
          <w:color w:val="231F20"/>
          <w:sz w:val="18"/>
        </w:rPr>
        <w:t>only,</w:t>
      </w:r>
      <w:r>
        <w:rPr>
          <w:color w:val="231F20"/>
          <w:spacing w:val="7"/>
          <w:sz w:val="18"/>
        </w:rPr>
        <w:t> </w:t>
      </w:r>
      <w:r>
        <w:rPr>
          <w:color w:val="231F20"/>
          <w:sz w:val="18"/>
        </w:rPr>
        <w:t>including</w:t>
      </w:r>
      <w:r>
        <w:rPr>
          <w:color w:val="231F20"/>
          <w:spacing w:val="6"/>
          <w:sz w:val="18"/>
        </w:rPr>
        <w:t> </w:t>
      </w:r>
      <w:r>
        <w:rPr>
          <w:color w:val="231F20"/>
          <w:sz w:val="18"/>
        </w:rPr>
        <w:t>any</w:t>
      </w:r>
      <w:r>
        <w:rPr>
          <w:color w:val="231F20"/>
          <w:spacing w:val="7"/>
          <w:sz w:val="18"/>
        </w:rPr>
        <w:t> </w:t>
      </w:r>
      <w:r>
        <w:rPr>
          <w:color w:val="231F20"/>
          <w:sz w:val="18"/>
        </w:rPr>
        <w:t>that</w:t>
      </w:r>
      <w:r>
        <w:rPr>
          <w:color w:val="231F20"/>
          <w:spacing w:val="6"/>
          <w:sz w:val="18"/>
        </w:rPr>
        <w:t> </w:t>
      </w:r>
      <w:r>
        <w:rPr>
          <w:color w:val="231F20"/>
          <w:sz w:val="18"/>
        </w:rPr>
        <w:t>were</w:t>
      </w:r>
      <w:r>
        <w:rPr>
          <w:color w:val="231F20"/>
          <w:spacing w:val="7"/>
          <w:sz w:val="18"/>
        </w:rPr>
        <w:t> </w:t>
      </w:r>
      <w:r>
        <w:rPr>
          <w:color w:val="231F20"/>
          <w:spacing w:val="-2"/>
          <w:sz w:val="18"/>
        </w:rPr>
        <w:t>reopened</w:t>
      </w:r>
    </w:p>
    <w:p>
      <w:pPr>
        <w:spacing w:line="216" w:lineRule="auto" w:before="8"/>
        <w:ind w:left="4841" w:right="545" w:firstLine="0"/>
        <w:jc w:val="left"/>
        <w:rPr>
          <w:sz w:val="18"/>
        </w:rPr>
      </w:pPr>
      <w:r>
        <w:rPr>
          <w:color w:val="231F20"/>
          <w:sz w:val="18"/>
        </w:rPr>
        <w:t>(acknowledgement removed) or whose </w:t>
      </w:r>
      <w:r>
        <w:rPr>
          <w:color w:val="231F20"/>
          <w:sz w:val="18"/>
        </w:rPr>
        <w:t>acknowledgment </w:t>
      </w:r>
      <w:r>
        <w:rPr>
          <w:color w:val="231F20"/>
          <w:spacing w:val="-2"/>
          <w:sz w:val="18"/>
        </w:rPr>
        <w:t>expired.</w:t>
      </w:r>
    </w:p>
    <w:p>
      <w:pPr>
        <w:tabs>
          <w:tab w:pos="4841" w:val="left" w:leader="none"/>
        </w:tabs>
        <w:spacing w:line="241" w:lineRule="exact" w:before="3"/>
        <w:ind w:left="2482" w:right="0" w:firstLine="0"/>
        <w:jc w:val="left"/>
        <w:rPr>
          <w:sz w:val="18"/>
        </w:rPr>
      </w:pPr>
      <w:r>
        <w:rPr>
          <w:position w:val="-3"/>
        </w:rPr>
        <w:drawing>
          <wp:inline distT="0" distB="0" distL="0" distR="0">
            <wp:extent cx="95250" cy="95250"/>
            <wp:effectExtent l="0" t="0" r="0" b="0"/>
            <wp:docPr id="1542" name="Image 1542"/>
            <wp:cNvGraphicFramePr>
              <a:graphicFrameLocks/>
            </wp:cNvGraphicFramePr>
            <a:graphic>
              <a:graphicData uri="http://schemas.openxmlformats.org/drawingml/2006/picture">
                <pic:pic>
                  <pic:nvPicPr>
                    <pic:cNvPr id="1542" name="Image 1542"/>
                    <pic:cNvPicPr/>
                  </pic:nvPicPr>
                  <pic:blipFill>
                    <a:blip r:embed="rId11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Acknowledged</w:t>
        <w:tab/>
      </w:r>
      <w:r>
        <w:rPr>
          <w:color w:val="231F20"/>
          <w:sz w:val="18"/>
        </w:rPr>
        <w:t>Show</w:t>
      </w:r>
      <w:r>
        <w:rPr>
          <w:color w:val="231F20"/>
          <w:spacing w:val="1"/>
          <w:sz w:val="18"/>
        </w:rPr>
        <w:t> </w:t>
      </w:r>
      <w:r>
        <w:rPr>
          <w:color w:val="231F20"/>
          <w:sz w:val="18"/>
        </w:rPr>
        <w:t>Acknowledged</w:t>
      </w:r>
      <w:r>
        <w:rPr>
          <w:color w:val="231F20"/>
          <w:spacing w:val="6"/>
          <w:sz w:val="18"/>
        </w:rPr>
        <w:t> </w:t>
      </w:r>
      <w:r>
        <w:rPr>
          <w:color w:val="231F20"/>
          <w:sz w:val="18"/>
        </w:rPr>
        <w:t>events</w:t>
      </w:r>
      <w:r>
        <w:rPr>
          <w:color w:val="231F20"/>
          <w:spacing w:val="7"/>
          <w:sz w:val="18"/>
        </w:rPr>
        <w:t> </w:t>
      </w:r>
      <w:r>
        <w:rPr>
          <w:color w:val="231F20"/>
          <w:spacing w:val="-2"/>
          <w:sz w:val="18"/>
        </w:rPr>
        <w:t>only.</w:t>
      </w:r>
    </w:p>
    <w:p>
      <w:pPr>
        <w:tabs>
          <w:tab w:pos="4841" w:val="left" w:leader="none"/>
        </w:tabs>
        <w:spacing w:line="239" w:lineRule="exact" w:before="0"/>
        <w:ind w:left="2482" w:right="0" w:firstLine="0"/>
        <w:jc w:val="left"/>
        <w:rPr>
          <w:sz w:val="18"/>
        </w:rPr>
      </w:pPr>
      <w:r>
        <w:rPr>
          <w:position w:val="-3"/>
        </w:rPr>
        <w:drawing>
          <wp:inline distT="0" distB="0" distL="0" distR="0">
            <wp:extent cx="95250" cy="95250"/>
            <wp:effectExtent l="0" t="0" r="0" b="0"/>
            <wp:docPr id="1543" name="Image 1543"/>
            <wp:cNvGraphicFramePr>
              <a:graphicFrameLocks/>
            </wp:cNvGraphicFramePr>
            <a:graphic>
              <a:graphicData uri="http://schemas.openxmlformats.org/drawingml/2006/picture">
                <pic:pic>
                  <pic:nvPicPr>
                    <pic:cNvPr id="1543" name="Image 1543"/>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Stopped</w:t>
        <w:tab/>
      </w:r>
      <w:r>
        <w:rPr>
          <w:color w:val="231F20"/>
          <w:sz w:val="18"/>
        </w:rPr>
        <w:t>Show</w:t>
      </w:r>
      <w:r>
        <w:rPr>
          <w:color w:val="231F20"/>
          <w:spacing w:val="7"/>
          <w:sz w:val="18"/>
        </w:rPr>
        <w:t> </w:t>
      </w:r>
      <w:r>
        <w:rPr>
          <w:color w:val="231F20"/>
          <w:sz w:val="18"/>
        </w:rPr>
        <w:t>Stopped</w:t>
      </w:r>
      <w:r>
        <w:rPr>
          <w:color w:val="231F20"/>
          <w:spacing w:val="8"/>
          <w:sz w:val="18"/>
        </w:rPr>
        <w:t> </w:t>
      </w:r>
      <w:r>
        <w:rPr>
          <w:color w:val="231F20"/>
          <w:sz w:val="18"/>
        </w:rPr>
        <w:t>situations</w:t>
      </w:r>
      <w:r>
        <w:rPr>
          <w:color w:val="231F20"/>
          <w:spacing w:val="8"/>
          <w:sz w:val="18"/>
        </w:rPr>
        <w:t> </w:t>
      </w:r>
      <w:r>
        <w:rPr>
          <w:color w:val="231F20"/>
          <w:spacing w:val="-2"/>
          <w:sz w:val="18"/>
        </w:rPr>
        <w:t>only.</w:t>
      </w:r>
    </w:p>
    <w:p>
      <w:pPr>
        <w:tabs>
          <w:tab w:pos="4841" w:val="left" w:leader="none"/>
        </w:tabs>
        <w:spacing w:line="216" w:lineRule="auto" w:before="17"/>
        <w:ind w:left="4841" w:right="258" w:hanging="2360"/>
        <w:jc w:val="left"/>
        <w:rPr>
          <w:sz w:val="18"/>
        </w:rPr>
      </w:pPr>
      <w:r>
        <w:rPr>
          <w:position w:val="-3"/>
        </w:rPr>
        <w:drawing>
          <wp:inline distT="0" distB="0" distL="0" distR="0">
            <wp:extent cx="95250" cy="95250"/>
            <wp:effectExtent l="0" t="0" r="0" b="0"/>
            <wp:docPr id="1544" name="Image 1544"/>
            <wp:cNvGraphicFramePr>
              <a:graphicFrameLocks/>
            </wp:cNvGraphicFramePr>
            <a:graphic>
              <a:graphicData uri="http://schemas.openxmlformats.org/drawingml/2006/picture">
                <pic:pic>
                  <pic:nvPicPr>
                    <pic:cNvPr id="1544" name="Image 1544"/>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Problem</w:t>
        <w:tab/>
      </w:r>
      <w:r>
        <w:rPr>
          <w:color w:val="231F20"/>
          <w:sz w:val="18"/>
        </w:rPr>
        <w:t>Show Problem situations only. These are situations that are in error</w:t>
      </w:r>
      <w:r>
        <w:rPr>
          <w:color w:val="231F20"/>
          <w:spacing w:val="28"/>
          <w:sz w:val="18"/>
        </w:rPr>
        <w:t> </w:t>
      </w:r>
      <w:r>
        <w:rPr>
          <w:color w:val="231F20"/>
          <w:sz w:val="18"/>
        </w:rPr>
        <w:t>for</w:t>
      </w:r>
      <w:r>
        <w:rPr>
          <w:color w:val="231F20"/>
          <w:spacing w:val="28"/>
          <w:sz w:val="18"/>
        </w:rPr>
        <w:t> </w:t>
      </w:r>
      <w:r>
        <w:rPr>
          <w:color w:val="231F20"/>
          <w:sz w:val="18"/>
        </w:rPr>
        <w:t>some</w:t>
      </w:r>
      <w:r>
        <w:rPr>
          <w:color w:val="231F20"/>
          <w:spacing w:val="28"/>
          <w:sz w:val="18"/>
        </w:rPr>
        <w:t> </w:t>
      </w:r>
      <w:r>
        <w:rPr>
          <w:color w:val="231F20"/>
          <w:sz w:val="18"/>
        </w:rPr>
        <w:t>reason.</w:t>
      </w:r>
      <w:r>
        <w:rPr>
          <w:color w:val="231F20"/>
          <w:spacing w:val="28"/>
          <w:sz w:val="18"/>
        </w:rPr>
        <w:t> </w:t>
      </w:r>
      <w:r>
        <w:rPr>
          <w:color w:val="231F20"/>
          <w:sz w:val="18"/>
        </w:rPr>
        <w:t>Use</w:t>
      </w:r>
      <w:r>
        <w:rPr>
          <w:color w:val="231F20"/>
          <w:spacing w:val="28"/>
          <w:sz w:val="18"/>
        </w:rPr>
        <w:t> </w:t>
      </w:r>
      <w:r>
        <w:rPr>
          <w:color w:val="231F20"/>
          <w:sz w:val="18"/>
        </w:rPr>
        <w:t>this</w:t>
      </w:r>
      <w:r>
        <w:rPr>
          <w:color w:val="231F20"/>
          <w:spacing w:val="28"/>
          <w:sz w:val="18"/>
        </w:rPr>
        <w:t> </w:t>
      </w:r>
      <w:r>
        <w:rPr>
          <w:color w:val="231F20"/>
          <w:sz w:val="18"/>
        </w:rPr>
        <w:t>filter</w:t>
      </w:r>
      <w:r>
        <w:rPr>
          <w:color w:val="231F20"/>
          <w:spacing w:val="28"/>
          <w:sz w:val="18"/>
        </w:rPr>
        <w:t> </w:t>
      </w:r>
      <w:r>
        <w:rPr>
          <w:color w:val="231F20"/>
          <w:sz w:val="18"/>
        </w:rPr>
        <w:t>to</w:t>
      </w:r>
      <w:r>
        <w:rPr>
          <w:color w:val="231F20"/>
          <w:spacing w:val="28"/>
          <w:sz w:val="18"/>
        </w:rPr>
        <w:t> </w:t>
      </w:r>
      <w:r>
        <w:rPr>
          <w:color w:val="231F20"/>
          <w:sz w:val="18"/>
        </w:rPr>
        <w:t>locate</w:t>
      </w:r>
      <w:r>
        <w:rPr>
          <w:color w:val="231F20"/>
          <w:spacing w:val="28"/>
          <w:sz w:val="18"/>
        </w:rPr>
        <w:t> </w:t>
      </w:r>
      <w:r>
        <w:rPr>
          <w:color w:val="231F20"/>
          <w:sz w:val="18"/>
        </w:rPr>
        <w:t>situations</w:t>
      </w:r>
      <w:r>
        <w:rPr>
          <w:color w:val="231F20"/>
          <w:spacing w:val="28"/>
          <w:sz w:val="18"/>
        </w:rPr>
        <w:t> </w:t>
      </w:r>
      <w:r>
        <w:rPr>
          <w:color w:val="231F20"/>
          <w:sz w:val="18"/>
        </w:rPr>
        <w:t>that are not functioning properly so you can diagnose the problem.</w:t>
      </w:r>
    </w:p>
    <w:p>
      <w:pPr>
        <w:tabs>
          <w:tab w:pos="4841" w:val="left" w:leader="none"/>
        </w:tabs>
        <w:spacing w:line="231" w:lineRule="exact" w:before="4"/>
        <w:ind w:left="2482" w:right="0" w:firstLine="0"/>
        <w:jc w:val="left"/>
        <w:rPr>
          <w:sz w:val="18"/>
        </w:rPr>
      </w:pPr>
      <w:r>
        <w:rPr>
          <w:position w:val="-3"/>
        </w:rPr>
        <w:drawing>
          <wp:inline distT="0" distB="0" distL="0" distR="0">
            <wp:extent cx="95250" cy="95250"/>
            <wp:effectExtent l="0" t="0" r="0" b="0"/>
            <wp:docPr id="1545" name="Image 1545"/>
            <wp:cNvGraphicFramePr>
              <a:graphicFrameLocks/>
            </wp:cNvGraphicFramePr>
            <a:graphic>
              <a:graphicData uri="http://schemas.openxmlformats.org/drawingml/2006/picture">
                <pic:pic>
                  <pic:nvPicPr>
                    <pic:cNvPr id="1545" name="Image 1545"/>
                    <pic:cNvPicPr/>
                  </pic:nvPicPr>
                  <pic:blipFill>
                    <a:blip r:embed="rId11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Filter Expired</w:t>
        <w:tab/>
      </w:r>
      <w:r>
        <w:rPr>
          <w:color w:val="231F20"/>
          <w:sz w:val="18"/>
        </w:rPr>
        <w:t>Show</w:t>
      </w:r>
      <w:r>
        <w:rPr>
          <w:color w:val="231F20"/>
          <w:spacing w:val="8"/>
          <w:sz w:val="18"/>
        </w:rPr>
        <w:t> </w:t>
      </w:r>
      <w:r>
        <w:rPr>
          <w:color w:val="231F20"/>
          <w:sz w:val="18"/>
        </w:rPr>
        <w:t>the</w:t>
      </w:r>
      <w:r>
        <w:rPr>
          <w:color w:val="231F20"/>
          <w:spacing w:val="8"/>
          <w:sz w:val="18"/>
        </w:rPr>
        <w:t> </w:t>
      </w:r>
      <w:r>
        <w:rPr>
          <w:color w:val="231F20"/>
          <w:sz w:val="18"/>
        </w:rPr>
        <w:t>events</w:t>
      </w:r>
      <w:r>
        <w:rPr>
          <w:color w:val="231F20"/>
          <w:spacing w:val="8"/>
          <w:sz w:val="18"/>
        </w:rPr>
        <w:t> </w:t>
      </w:r>
      <w:r>
        <w:rPr>
          <w:color w:val="231F20"/>
          <w:sz w:val="18"/>
        </w:rPr>
        <w:t>that</w:t>
      </w:r>
      <w:r>
        <w:rPr>
          <w:color w:val="231F20"/>
          <w:spacing w:val="8"/>
          <w:sz w:val="18"/>
        </w:rPr>
        <w:t> </w:t>
      </w:r>
      <w:r>
        <w:rPr>
          <w:color w:val="231F20"/>
          <w:sz w:val="18"/>
        </w:rPr>
        <w:t>were</w:t>
      </w:r>
      <w:r>
        <w:rPr>
          <w:color w:val="231F20"/>
          <w:spacing w:val="8"/>
          <w:sz w:val="18"/>
        </w:rPr>
        <w:t> </w:t>
      </w:r>
      <w:r>
        <w:rPr>
          <w:color w:val="231F20"/>
          <w:sz w:val="18"/>
        </w:rPr>
        <w:t>acknowledged,</w:t>
      </w:r>
      <w:r>
        <w:rPr>
          <w:color w:val="231F20"/>
          <w:spacing w:val="8"/>
          <w:sz w:val="18"/>
        </w:rPr>
        <w:t> </w:t>
      </w:r>
      <w:r>
        <w:rPr>
          <w:color w:val="231F20"/>
          <w:spacing w:val="-5"/>
          <w:sz w:val="18"/>
        </w:rPr>
        <w:t>the</w:t>
      </w:r>
    </w:p>
    <w:p>
      <w:pPr>
        <w:spacing w:line="229" w:lineRule="exact" w:before="0"/>
        <w:ind w:left="4841" w:right="0" w:firstLine="0"/>
        <w:jc w:val="left"/>
        <w:rPr>
          <w:sz w:val="18"/>
        </w:rPr>
      </w:pPr>
      <w:r>
        <w:rPr>
          <w:color w:val="231F20"/>
          <w:sz w:val="18"/>
        </w:rPr>
        <w:t>acknowledgement</w:t>
      </w:r>
      <w:r>
        <w:rPr>
          <w:color w:val="231F20"/>
          <w:spacing w:val="7"/>
          <w:sz w:val="18"/>
        </w:rPr>
        <w:t> </w:t>
      </w:r>
      <w:r>
        <w:rPr>
          <w:color w:val="231F20"/>
          <w:sz w:val="18"/>
        </w:rPr>
        <w:t>expired,</w:t>
      </w:r>
      <w:r>
        <w:rPr>
          <w:color w:val="231F20"/>
          <w:spacing w:val="8"/>
          <w:sz w:val="18"/>
        </w:rPr>
        <w:t> </w:t>
      </w:r>
      <w:r>
        <w:rPr>
          <w:color w:val="231F20"/>
          <w:sz w:val="18"/>
        </w:rPr>
        <w:t>and</w:t>
      </w:r>
      <w:r>
        <w:rPr>
          <w:color w:val="231F20"/>
          <w:spacing w:val="8"/>
          <w:sz w:val="18"/>
        </w:rPr>
        <w:t> </w:t>
      </w:r>
      <w:r>
        <w:rPr>
          <w:color w:val="231F20"/>
          <w:sz w:val="18"/>
        </w:rPr>
        <w:t>the</w:t>
      </w:r>
      <w:r>
        <w:rPr>
          <w:color w:val="231F20"/>
          <w:spacing w:val="8"/>
          <w:sz w:val="18"/>
        </w:rPr>
        <w:t> </w:t>
      </w:r>
      <w:r>
        <w:rPr>
          <w:color w:val="231F20"/>
          <w:sz w:val="18"/>
        </w:rPr>
        <w:t>condition</w:t>
      </w:r>
      <w:r>
        <w:rPr>
          <w:color w:val="231F20"/>
          <w:spacing w:val="8"/>
          <w:sz w:val="18"/>
        </w:rPr>
        <w:t> </w:t>
      </w:r>
      <w:r>
        <w:rPr>
          <w:color w:val="231F20"/>
          <w:sz w:val="18"/>
        </w:rPr>
        <w:t>is</w:t>
      </w:r>
      <w:r>
        <w:rPr>
          <w:color w:val="231F20"/>
          <w:spacing w:val="8"/>
          <w:sz w:val="18"/>
        </w:rPr>
        <w:t> </w:t>
      </w:r>
      <w:r>
        <w:rPr>
          <w:color w:val="231F20"/>
          <w:sz w:val="18"/>
        </w:rPr>
        <w:t>still</w:t>
      </w:r>
      <w:r>
        <w:rPr>
          <w:color w:val="231F20"/>
          <w:spacing w:val="8"/>
          <w:sz w:val="18"/>
        </w:rPr>
        <w:t> </w:t>
      </w:r>
      <w:r>
        <w:rPr>
          <w:color w:val="231F20"/>
          <w:spacing w:val="-2"/>
          <w:sz w:val="18"/>
        </w:rPr>
        <w:t>true.</w:t>
      </w:r>
    </w:p>
    <w:p>
      <w:pPr>
        <w:tabs>
          <w:tab w:pos="4841" w:val="left" w:leader="none"/>
        </w:tabs>
        <w:spacing w:line="216" w:lineRule="auto" w:before="17"/>
        <w:ind w:left="4841" w:right="258" w:hanging="2370"/>
        <w:jc w:val="left"/>
        <w:rPr>
          <w:sz w:val="18"/>
        </w:rPr>
      </w:pPr>
      <w:r>
        <w:rPr>
          <w:position w:val="-3"/>
        </w:rPr>
        <w:drawing>
          <wp:inline distT="0" distB="0" distL="0" distR="0">
            <wp:extent cx="101600" cy="101600"/>
            <wp:effectExtent l="0" t="0" r="0" b="0"/>
            <wp:docPr id="1546" name="Image 1546"/>
            <wp:cNvGraphicFramePr>
              <a:graphicFrameLocks/>
            </wp:cNvGraphicFramePr>
            <a:graphic>
              <a:graphicData uri="http://schemas.openxmlformats.org/drawingml/2006/picture">
                <pic:pic>
                  <pic:nvPicPr>
                    <pic:cNvPr id="1546" name="Image 1546"/>
                    <pic:cNvPicPr/>
                  </pic:nvPicPr>
                  <pic:blipFill>
                    <a:blip r:embed="rId109" cstate="print"/>
                    <a:stretch>
                      <a:fillRect/>
                    </a:stretch>
                  </pic:blipFill>
                  <pic:spPr>
                    <a:xfrm>
                      <a:off x="0" y="0"/>
                      <a:ext cx="101600" cy="101600"/>
                    </a:xfrm>
                    <a:prstGeom prst="rect">
                      <a:avLst/>
                    </a:prstGeom>
                  </pic:spPr>
                </pic:pic>
              </a:graphicData>
            </a:graphic>
          </wp:inline>
        </w:drawing>
      </w:r>
      <w:r>
        <w:rPr>
          <w:position w:val="-3"/>
        </w:rPr>
      </w:r>
      <w:r>
        <w:rPr>
          <w:rFonts w:ascii="Times New Roman" w:hAnsi="Times New Roman"/>
          <w:spacing w:val="40"/>
          <w:sz w:val="20"/>
        </w:rPr>
        <w:t> </w:t>
      </w:r>
      <w:r>
        <w:rPr>
          <w:rFonts w:ascii="Book Antiqua" w:hAnsi="Book Antiqua"/>
          <w:b/>
          <w:color w:val="231F20"/>
          <w:sz w:val="18"/>
        </w:rPr>
        <w:t>Find</w:t>
        <w:tab/>
      </w:r>
      <w:r>
        <w:rPr>
          <w:color w:val="231F20"/>
          <w:sz w:val="18"/>
        </w:rPr>
        <w:t>Open the Find dialog box for finding events of a particular severity, status, or some other criteria. See </w:t>
      </w:r>
      <w:hyperlink w:history="true" w:anchor="_bookmark36">
        <w:r>
          <w:rPr>
            <w:color w:val="231F20"/>
            <w:sz w:val="18"/>
          </w:rPr>
          <w:t>“Finding table data”</w:t>
        </w:r>
      </w:hyperlink>
      <w:r>
        <w:rPr>
          <w:color w:val="231F20"/>
          <w:sz w:val="18"/>
        </w:rPr>
        <w:t> </w:t>
      </w:r>
      <w:hyperlink w:history="true" w:anchor="_bookmark36">
        <w:r>
          <w:rPr>
            <w:color w:val="231F20"/>
            <w:sz w:val="18"/>
          </w:rPr>
          <w:t>on page 46.</w:t>
        </w:r>
      </w:hyperlink>
    </w:p>
    <w:p>
      <w:pPr>
        <w:spacing w:after="0" w:line="216" w:lineRule="auto"/>
        <w:jc w:val="left"/>
        <w:rPr>
          <w:sz w:val="18"/>
        </w:rPr>
        <w:sectPr>
          <w:pgSz w:w="12240" w:h="15840"/>
          <w:pgMar w:header="0" w:footer="736" w:top="1260" w:bottom="920" w:left="1000" w:right="1060"/>
        </w:sectPr>
      </w:pPr>
    </w:p>
    <w:p>
      <w:pPr>
        <w:spacing w:line="241" w:lineRule="exact" w:before="4"/>
        <w:ind w:left="2482" w:right="0" w:firstLine="0"/>
        <w:jc w:val="left"/>
        <w:rPr>
          <w:sz w:val="18"/>
        </w:rPr>
      </w:pPr>
      <w:r>
        <w:rPr>
          <w:position w:val="-3"/>
        </w:rPr>
        <w:drawing>
          <wp:inline distT="0" distB="0" distL="0" distR="0">
            <wp:extent cx="95250" cy="95250"/>
            <wp:effectExtent l="0" t="0" r="0" b="0"/>
            <wp:docPr id="1547" name="Image 1547"/>
            <wp:cNvGraphicFramePr>
              <a:graphicFrameLocks/>
            </wp:cNvGraphicFramePr>
            <a:graphic>
              <a:graphicData uri="http://schemas.openxmlformats.org/drawingml/2006/picture">
                <pic:pic>
                  <pic:nvPicPr>
                    <pic:cNvPr id="1547" name="Image 1547"/>
                    <pic:cNvPicPr/>
                  </pic:nvPicPr>
                  <pic:blipFill>
                    <a:blip r:embed="rId3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(Active) </w:t>
      </w:r>
      <w:r>
        <w:rPr>
          <w:color w:val="231F20"/>
          <w:sz w:val="18"/>
        </w:rPr>
        <w:t>-or-</w:t>
      </w:r>
      <w:r>
        <w:rPr>
          <w:color w:val="231F20"/>
          <w:spacing w:val="40"/>
          <w:sz w:val="18"/>
        </w:rPr>
        <w:t> </w:t>
      </w:r>
      <w:r>
        <w:rPr>
          <w:color w:val="231F20"/>
          <w:spacing w:val="19"/>
          <w:position w:val="-3"/>
          <w:sz w:val="18"/>
        </w:rPr>
        <w:drawing>
          <wp:inline distT="0" distB="0" distL="0" distR="0">
            <wp:extent cx="63500" cy="95250"/>
            <wp:effectExtent l="0" t="0" r="0" b="0"/>
            <wp:docPr id="1548" name="Image 1548"/>
            <wp:cNvGraphicFramePr>
              <a:graphicFrameLocks/>
            </wp:cNvGraphicFramePr>
            <a:graphic>
              <a:graphicData uri="http://schemas.openxmlformats.org/drawingml/2006/picture">
                <pic:pic>
                  <pic:nvPicPr>
                    <pic:cNvPr id="1548" name="Image 1548"/>
                    <pic:cNvPicPr/>
                  </pic:nvPicPr>
                  <pic:blipFill>
                    <a:blip r:embed="rId37" cstate="print"/>
                    <a:stretch>
                      <a:fillRect/>
                    </a:stretch>
                  </pic:blipFill>
                  <pic:spPr>
                    <a:xfrm>
                      <a:off x="0" y="0"/>
                      <a:ext cx="63500" cy="95250"/>
                    </a:xfrm>
                    <a:prstGeom prst="rect">
                      <a:avLst/>
                    </a:prstGeom>
                  </pic:spPr>
                </pic:pic>
              </a:graphicData>
            </a:graphic>
          </wp:inline>
        </w:drawing>
      </w:r>
      <w:r>
        <w:rPr>
          <w:color w:val="231F20"/>
          <w:spacing w:val="19"/>
          <w:position w:val="-3"/>
          <w:sz w:val="18"/>
        </w:rPr>
      </w:r>
    </w:p>
    <w:p>
      <w:pPr>
        <w:spacing w:line="215" w:lineRule="exact" w:before="0"/>
        <w:ind w:left="2472" w:right="0" w:firstLine="0"/>
        <w:jc w:val="left"/>
        <w:rPr>
          <w:rFonts w:ascii="Book Antiqua"/>
          <w:b/>
          <w:sz w:val="18"/>
        </w:rPr>
      </w:pPr>
      <w:r>
        <w:rPr>
          <w:rFonts w:ascii="Book Antiqua"/>
          <w:b/>
          <w:color w:val="231F20"/>
          <w:spacing w:val="-2"/>
          <w:sz w:val="18"/>
        </w:rPr>
        <w:t>(Paused)</w:t>
      </w:r>
    </w:p>
    <w:p>
      <w:pPr>
        <w:spacing w:line="231" w:lineRule="exact" w:before="2"/>
        <w:ind w:left="2472" w:right="0" w:firstLine="0"/>
        <w:jc w:val="left"/>
        <w:rPr>
          <w:sz w:val="18"/>
        </w:rPr>
      </w:pPr>
      <w:r>
        <w:rPr>
          <w:rFonts w:ascii="Book Antiqua"/>
          <w:b/>
          <w:color w:val="231F20"/>
          <w:sz w:val="18"/>
        </w:rPr>
        <w:t>Total</w:t>
      </w:r>
      <w:r>
        <w:rPr>
          <w:rFonts w:ascii="Book Antiqua"/>
          <w:b/>
          <w:color w:val="231F20"/>
          <w:spacing w:val="3"/>
          <w:sz w:val="18"/>
        </w:rPr>
        <w:t> </w:t>
      </w:r>
      <w:r>
        <w:rPr>
          <w:rFonts w:ascii="Book Antiqua"/>
          <w:b/>
          <w:color w:val="231F20"/>
          <w:sz w:val="18"/>
        </w:rPr>
        <w:t>Events:</w:t>
      </w:r>
      <w:r>
        <w:rPr>
          <w:rFonts w:ascii="Book Antiqua"/>
          <w:b/>
          <w:color w:val="231F20"/>
          <w:spacing w:val="3"/>
          <w:sz w:val="18"/>
        </w:rPr>
        <w:t> </w:t>
      </w:r>
      <w:r>
        <w:rPr>
          <w:rFonts w:ascii="Book Antiqua"/>
          <w:i/>
          <w:color w:val="231F20"/>
          <w:sz w:val="18"/>
        </w:rPr>
        <w:t>31</w:t>
      </w:r>
      <w:r>
        <w:rPr>
          <w:rFonts w:ascii="Book Antiqua"/>
          <w:i/>
          <w:color w:val="231F20"/>
          <w:spacing w:val="3"/>
          <w:sz w:val="18"/>
        </w:rPr>
        <w:t> </w:t>
      </w:r>
      <w:r>
        <w:rPr>
          <w:color w:val="231F20"/>
          <w:sz w:val="18"/>
        </w:rPr>
        <w:t>-</w:t>
      </w:r>
      <w:r>
        <w:rPr>
          <w:color w:val="231F20"/>
          <w:spacing w:val="-5"/>
          <w:sz w:val="18"/>
        </w:rPr>
        <w:t>or-</w:t>
      </w:r>
    </w:p>
    <w:p>
      <w:pPr>
        <w:spacing w:line="231" w:lineRule="exact" w:before="0"/>
        <w:ind w:left="2472" w:right="0" w:firstLine="0"/>
        <w:jc w:val="left"/>
        <w:rPr>
          <w:rFonts w:ascii="Book Antiqua"/>
          <w:i/>
          <w:sz w:val="18"/>
        </w:rPr>
      </w:pPr>
      <w:r>
        <w:rPr>
          <w:rFonts w:ascii="Book Antiqua"/>
          <w:b/>
          <w:color w:val="231F20"/>
          <w:sz w:val="18"/>
        </w:rPr>
        <w:t>Filtered</w:t>
      </w:r>
      <w:r>
        <w:rPr>
          <w:rFonts w:ascii="Book Antiqua"/>
          <w:b/>
          <w:color w:val="231F20"/>
          <w:spacing w:val="10"/>
          <w:sz w:val="18"/>
        </w:rPr>
        <w:t> </w:t>
      </w:r>
      <w:r>
        <w:rPr>
          <w:rFonts w:ascii="Book Antiqua"/>
          <w:b/>
          <w:color w:val="231F20"/>
          <w:sz w:val="18"/>
        </w:rPr>
        <w:t>Events:</w:t>
      </w:r>
      <w:r>
        <w:rPr>
          <w:rFonts w:ascii="Book Antiqua"/>
          <w:b/>
          <w:color w:val="231F20"/>
          <w:spacing w:val="10"/>
          <w:sz w:val="18"/>
        </w:rPr>
        <w:t> </w:t>
      </w:r>
      <w:r>
        <w:rPr>
          <w:rFonts w:ascii="Book Antiqua"/>
          <w:i/>
          <w:color w:val="231F20"/>
          <w:sz w:val="18"/>
        </w:rPr>
        <w:t>5</w:t>
      </w:r>
      <w:r>
        <w:rPr>
          <w:rFonts w:ascii="Book Antiqua"/>
          <w:i/>
          <w:color w:val="231F20"/>
          <w:spacing w:val="10"/>
          <w:sz w:val="18"/>
        </w:rPr>
        <w:t> </w:t>
      </w:r>
      <w:r>
        <w:rPr>
          <w:color w:val="231F20"/>
          <w:sz w:val="18"/>
        </w:rPr>
        <w:t>of</w:t>
      </w:r>
      <w:r>
        <w:rPr>
          <w:color w:val="231F20"/>
          <w:spacing w:val="11"/>
          <w:sz w:val="18"/>
        </w:rPr>
        <w:t> </w:t>
      </w:r>
      <w:r>
        <w:rPr>
          <w:rFonts w:ascii="Book Antiqua"/>
          <w:i/>
          <w:color w:val="231F20"/>
          <w:spacing w:val="-5"/>
          <w:sz w:val="18"/>
        </w:rPr>
        <w:t>31</w:t>
      </w:r>
    </w:p>
    <w:p>
      <w:pPr>
        <w:spacing w:line="223" w:lineRule="auto" w:before="17"/>
        <w:ind w:left="430" w:right="240" w:firstLine="0"/>
        <w:jc w:val="left"/>
        <w:rPr>
          <w:sz w:val="18"/>
        </w:rPr>
      </w:pPr>
      <w:r>
        <w:rPr/>
        <w:br w:type="column"/>
      </w:r>
      <w:r>
        <w:rPr>
          <w:color w:val="231F20"/>
          <w:sz w:val="18"/>
        </w:rPr>
        <w:t>The event console gets updated as status changes occur. Use</w:t>
      </w:r>
      <w:r>
        <w:rPr>
          <w:color w:val="231F20"/>
          <w:spacing w:val="40"/>
          <w:sz w:val="18"/>
        </w:rPr>
        <w:t> </w:t>
      </w:r>
      <w:r>
        <w:rPr>
          <w:color w:val="231F20"/>
          <w:sz w:val="18"/>
        </w:rPr>
        <w:t>this tool to pause automatic refresh, and click again to resume. This is the current row count of events in the console and any events waiting to be added.</w:t>
      </w:r>
    </w:p>
    <w:p>
      <w:pPr>
        <w:spacing w:line="216" w:lineRule="auto" w:before="0"/>
        <w:ind w:left="430" w:right="254" w:firstLine="0"/>
        <w:jc w:val="left"/>
        <w:rPr>
          <w:sz w:val="18"/>
        </w:rPr>
      </w:pPr>
      <w:r>
        <w:rPr>
          <w:color w:val="231F20"/>
          <w:sz w:val="18"/>
        </w:rPr>
        <w:t>If a filter has been applied, the count of events that are</w:t>
      </w:r>
      <w:r>
        <w:rPr>
          <w:color w:val="231F20"/>
          <w:spacing w:val="80"/>
          <w:sz w:val="18"/>
        </w:rPr>
        <w:t> </w:t>
      </w:r>
      <w:r>
        <w:rPr>
          <w:color w:val="231F20"/>
          <w:sz w:val="18"/>
        </w:rPr>
        <w:t>included in the filtered view is shown. For example, if you</w:t>
      </w:r>
      <w:r>
        <w:rPr>
          <w:color w:val="231F20"/>
          <w:spacing w:val="80"/>
          <w:sz w:val="18"/>
        </w:rPr>
        <w:t> </w:t>
      </w:r>
      <w:r>
        <w:rPr>
          <w:color w:val="231F20"/>
          <w:sz w:val="18"/>
        </w:rPr>
        <w:t>click the</w:t>
      </w:r>
      <w:r>
        <w:rPr>
          <w:color w:val="231F20"/>
          <w:spacing w:val="17"/>
          <w:sz w:val="18"/>
        </w:rPr>
        <w:t> </w:t>
      </w:r>
      <w:r>
        <w:rPr>
          <w:color w:val="231F20"/>
          <w:spacing w:val="-21"/>
          <w:position w:val="-3"/>
          <w:sz w:val="18"/>
        </w:rPr>
        <w:drawing>
          <wp:inline distT="0" distB="0" distL="0" distR="0">
            <wp:extent cx="95250" cy="95250"/>
            <wp:effectExtent l="0" t="0" r="0" b="0"/>
            <wp:docPr id="1549" name="Image 1549"/>
            <wp:cNvGraphicFramePr>
              <a:graphicFrameLocks/>
            </wp:cNvGraphicFramePr>
            <a:graphic>
              <a:graphicData uri="http://schemas.openxmlformats.org/drawingml/2006/picture">
                <pic:pic>
                  <pic:nvPicPr>
                    <pic:cNvPr id="1549" name="Image 1549"/>
                    <pic:cNvPicPr/>
                  </pic:nvPicPr>
                  <pic:blipFill>
                    <a:blip r:embed="rId298"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13"/>
          <w:sz w:val="18"/>
        </w:rPr>
        <w:t> </w:t>
      </w:r>
      <w:r>
        <w:rPr>
          <w:color w:val="231F20"/>
          <w:sz w:val="18"/>
        </w:rPr>
        <w:t>Fatal and</w:t>
      </w:r>
      <w:r>
        <w:rPr>
          <w:color w:val="231F20"/>
          <w:spacing w:val="17"/>
          <w:sz w:val="18"/>
        </w:rPr>
        <w:t> </w:t>
      </w:r>
      <w:r>
        <w:rPr>
          <w:color w:val="231F20"/>
          <w:spacing w:val="-21"/>
          <w:position w:val="-3"/>
          <w:sz w:val="18"/>
        </w:rPr>
        <w:drawing>
          <wp:inline distT="0" distB="0" distL="0" distR="0">
            <wp:extent cx="95250" cy="95250"/>
            <wp:effectExtent l="0" t="0" r="0" b="0"/>
            <wp:docPr id="1550" name="Image 1550"/>
            <wp:cNvGraphicFramePr>
              <a:graphicFrameLocks/>
            </wp:cNvGraphicFramePr>
            <a:graphic>
              <a:graphicData uri="http://schemas.openxmlformats.org/drawingml/2006/picture">
                <pic:pic>
                  <pic:nvPicPr>
                    <pic:cNvPr id="1550" name="Image 1550"/>
                    <pic:cNvPicPr/>
                  </pic:nvPicPr>
                  <pic:blipFill>
                    <a:blip r:embed="rId198"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13"/>
          <w:sz w:val="18"/>
        </w:rPr>
        <w:t> </w:t>
      </w:r>
      <w:r>
        <w:rPr>
          <w:color w:val="231F20"/>
          <w:sz w:val="18"/>
        </w:rPr>
        <w:t>Critical filters to show only the 2 </w:t>
      </w:r>
      <w:r>
        <w:rPr>
          <w:color w:val="231F20"/>
          <w:sz w:val="18"/>
        </w:rPr>
        <w:t>Fatal events and 3 Critical events out of a total of 31 events, the display is Filtered Events: 5 of 31.</w:t>
      </w:r>
    </w:p>
    <w:p>
      <w:pPr>
        <w:spacing w:after="0" w:line="216" w:lineRule="auto"/>
        <w:jc w:val="left"/>
        <w:rPr>
          <w:sz w:val="18"/>
        </w:rPr>
        <w:sectPr>
          <w:type w:val="continuous"/>
          <w:pgSz w:w="12240" w:h="15840"/>
          <w:pgMar w:header="0" w:footer="736" w:top="0" w:bottom="4660" w:left="1000" w:right="1060"/>
          <w:cols w:num="2" w:equalWidth="0">
            <w:col w:w="4371" w:space="40"/>
            <w:col w:w="5769"/>
          </w:cols>
        </w:sectPr>
      </w:pPr>
    </w:p>
    <w:p>
      <w:pPr>
        <w:tabs>
          <w:tab w:pos="4841" w:val="left" w:leader="none"/>
        </w:tabs>
        <w:spacing w:line="231" w:lineRule="exact" w:before="6"/>
        <w:ind w:left="2472" w:right="0" w:firstLine="0"/>
        <w:jc w:val="left"/>
        <w:rPr>
          <w:sz w:val="18"/>
        </w:rPr>
      </w:pPr>
      <w:r>
        <w:rPr>
          <w:rFonts w:ascii="Book Antiqua"/>
          <w:b/>
          <w:color w:val="231F20"/>
          <w:sz w:val="18"/>
        </w:rPr>
        <w:t>Item</w:t>
      </w:r>
      <w:r>
        <w:rPr>
          <w:rFonts w:ascii="Book Antiqua"/>
          <w:b/>
          <w:color w:val="231F20"/>
          <w:spacing w:val="9"/>
          <w:sz w:val="18"/>
        </w:rPr>
        <w:t> </w:t>
      </w:r>
      <w:r>
        <w:rPr>
          <w:rFonts w:ascii="Book Antiqua"/>
          <w:b/>
          <w:color w:val="231F20"/>
          <w:sz w:val="18"/>
        </w:rPr>
        <w:t>Filter:</w:t>
      </w:r>
      <w:r>
        <w:rPr>
          <w:rFonts w:ascii="Book Antiqua"/>
          <w:b/>
          <w:color w:val="231F20"/>
          <w:spacing w:val="10"/>
          <w:sz w:val="18"/>
        </w:rPr>
        <w:t> </w:t>
      </w:r>
      <w:r>
        <w:rPr>
          <w:rFonts w:ascii="Book Antiqua"/>
          <w:b/>
          <w:i/>
          <w:color w:val="231F20"/>
          <w:spacing w:val="-2"/>
          <w:sz w:val="18"/>
        </w:rPr>
        <w:t>Item_name</w:t>
      </w:r>
      <w:r>
        <w:rPr>
          <w:rFonts w:ascii="Book Antiqua"/>
          <w:b/>
          <w:i/>
          <w:color w:val="231F20"/>
          <w:sz w:val="18"/>
        </w:rPr>
        <w:tab/>
      </w:r>
      <w:r>
        <w:rPr>
          <w:color w:val="231F20"/>
          <w:sz w:val="18"/>
        </w:rPr>
        <w:t>The</w:t>
      </w:r>
      <w:r>
        <w:rPr>
          <w:color w:val="231F20"/>
          <w:spacing w:val="10"/>
          <w:sz w:val="18"/>
        </w:rPr>
        <w:t> </w:t>
      </w:r>
      <w:r>
        <w:rPr>
          <w:color w:val="231F20"/>
          <w:sz w:val="18"/>
        </w:rPr>
        <w:t>item</w:t>
      </w:r>
      <w:r>
        <w:rPr>
          <w:color w:val="231F20"/>
          <w:spacing w:val="11"/>
          <w:sz w:val="18"/>
        </w:rPr>
        <w:t> </w:t>
      </w:r>
      <w:r>
        <w:rPr>
          <w:color w:val="231F20"/>
          <w:sz w:val="18"/>
        </w:rPr>
        <w:t>filter</w:t>
      </w:r>
      <w:r>
        <w:rPr>
          <w:color w:val="231F20"/>
          <w:spacing w:val="10"/>
          <w:sz w:val="18"/>
        </w:rPr>
        <w:t> </w:t>
      </w:r>
      <w:r>
        <w:rPr>
          <w:color w:val="231F20"/>
          <w:sz w:val="18"/>
        </w:rPr>
        <w:t>is</w:t>
      </w:r>
      <w:r>
        <w:rPr>
          <w:color w:val="231F20"/>
          <w:spacing w:val="11"/>
          <w:sz w:val="18"/>
        </w:rPr>
        <w:t> </w:t>
      </w:r>
      <w:r>
        <w:rPr>
          <w:color w:val="231F20"/>
          <w:sz w:val="18"/>
        </w:rPr>
        <w:t>the</w:t>
      </w:r>
      <w:r>
        <w:rPr>
          <w:color w:val="231F20"/>
          <w:spacing w:val="10"/>
          <w:sz w:val="18"/>
        </w:rPr>
        <w:t> </w:t>
      </w:r>
      <w:r>
        <w:rPr>
          <w:color w:val="231F20"/>
          <w:sz w:val="18"/>
        </w:rPr>
        <w:t>name</w:t>
      </w:r>
      <w:r>
        <w:rPr>
          <w:color w:val="231F20"/>
          <w:spacing w:val="11"/>
          <w:sz w:val="18"/>
        </w:rPr>
        <w:t> </w:t>
      </w:r>
      <w:r>
        <w:rPr>
          <w:color w:val="231F20"/>
          <w:sz w:val="18"/>
        </w:rPr>
        <w:t>of</w:t>
      </w:r>
      <w:r>
        <w:rPr>
          <w:color w:val="231F20"/>
          <w:spacing w:val="10"/>
          <w:sz w:val="18"/>
        </w:rPr>
        <w:t> </w:t>
      </w:r>
      <w:r>
        <w:rPr>
          <w:color w:val="231F20"/>
          <w:sz w:val="18"/>
        </w:rPr>
        <w:t>the</w:t>
      </w:r>
      <w:r>
        <w:rPr>
          <w:color w:val="231F20"/>
          <w:spacing w:val="11"/>
          <w:sz w:val="18"/>
        </w:rPr>
        <w:t> </w:t>
      </w:r>
      <w:r>
        <w:rPr>
          <w:color w:val="231F20"/>
          <w:sz w:val="18"/>
        </w:rPr>
        <w:t>Navigator</w:t>
      </w:r>
      <w:r>
        <w:rPr>
          <w:color w:val="231F20"/>
          <w:spacing w:val="11"/>
          <w:sz w:val="18"/>
        </w:rPr>
        <w:t> </w:t>
      </w:r>
      <w:r>
        <w:rPr>
          <w:color w:val="231F20"/>
          <w:sz w:val="18"/>
        </w:rPr>
        <w:t>item</w:t>
      </w:r>
      <w:r>
        <w:rPr>
          <w:color w:val="231F20"/>
          <w:spacing w:val="10"/>
          <w:sz w:val="18"/>
        </w:rPr>
        <w:t> </w:t>
      </w:r>
      <w:r>
        <w:rPr>
          <w:color w:val="231F20"/>
          <w:sz w:val="18"/>
        </w:rPr>
        <w:t>by</w:t>
      </w:r>
      <w:r>
        <w:rPr>
          <w:color w:val="231F20"/>
          <w:spacing w:val="11"/>
          <w:sz w:val="18"/>
        </w:rPr>
        <w:t> </w:t>
      </w:r>
      <w:r>
        <w:rPr>
          <w:color w:val="231F20"/>
          <w:sz w:val="18"/>
        </w:rPr>
        <w:t>which</w:t>
      </w:r>
      <w:r>
        <w:rPr>
          <w:color w:val="231F20"/>
          <w:spacing w:val="10"/>
          <w:sz w:val="18"/>
        </w:rPr>
        <w:t> </w:t>
      </w:r>
      <w:r>
        <w:rPr>
          <w:color w:val="231F20"/>
          <w:spacing w:val="-5"/>
          <w:sz w:val="18"/>
        </w:rPr>
        <w:t>the</w:t>
      </w:r>
    </w:p>
    <w:p>
      <w:pPr>
        <w:spacing w:line="231" w:lineRule="exact" w:before="0"/>
        <w:ind w:left="996" w:right="0" w:firstLine="0"/>
        <w:jc w:val="center"/>
        <w:rPr>
          <w:sz w:val="18"/>
        </w:rPr>
      </w:pPr>
      <w:r>
        <w:rPr>
          <w:color w:val="231F20"/>
          <w:sz w:val="18"/>
        </w:rPr>
        <w:t>events</w:t>
      </w:r>
      <w:r>
        <w:rPr>
          <w:color w:val="231F20"/>
          <w:spacing w:val="8"/>
          <w:sz w:val="18"/>
        </w:rPr>
        <w:t> </w:t>
      </w:r>
      <w:r>
        <w:rPr>
          <w:color w:val="231F20"/>
          <w:sz w:val="18"/>
        </w:rPr>
        <w:t>are</w:t>
      </w:r>
      <w:r>
        <w:rPr>
          <w:color w:val="231F20"/>
          <w:spacing w:val="8"/>
          <w:sz w:val="18"/>
        </w:rPr>
        <w:t> </w:t>
      </w:r>
      <w:r>
        <w:rPr>
          <w:color w:val="231F20"/>
          <w:spacing w:val="-2"/>
          <w:sz w:val="18"/>
        </w:rPr>
        <w:t>filtered.</w:t>
      </w:r>
    </w:p>
    <w:p>
      <w:pPr>
        <w:pStyle w:val="BodyText"/>
        <w:spacing w:before="190"/>
        <w:rPr>
          <w:sz w:val="18"/>
        </w:rPr>
      </w:pPr>
    </w:p>
    <w:p>
      <w:pPr>
        <w:pStyle w:val="Heading5"/>
        <w:spacing w:before="0"/>
      </w:pPr>
      <w:r>
        <w:rPr>
          <w:color w:val="231F20"/>
        </w:rPr>
        <w:t>Event</w:t>
      </w:r>
      <w:r>
        <w:rPr>
          <w:color w:val="231F20"/>
          <w:spacing w:val="5"/>
        </w:rPr>
        <w:t> </w:t>
      </w:r>
      <w:r>
        <w:rPr>
          <w:color w:val="231F20"/>
          <w:spacing w:val="-4"/>
        </w:rPr>
        <w:t>list</w:t>
      </w:r>
    </w:p>
    <w:p>
      <w:pPr>
        <w:pStyle w:val="BodyText"/>
        <w:spacing w:line="213" w:lineRule="auto" w:before="245"/>
        <w:ind w:left="2472" w:right="545"/>
      </w:pPr>
      <w:r>
        <w:rPr>
          <w:color w:val="231F20"/>
        </w:rPr>
        <w:t>By default, the common event console shows the following information for </w:t>
      </w:r>
      <w:r>
        <w:rPr>
          <w:color w:val="231F20"/>
        </w:rPr>
        <w:t>each </w:t>
      </w:r>
      <w:r>
        <w:rPr>
          <w:color w:val="231F20"/>
          <w:spacing w:val="-2"/>
        </w:rPr>
        <w:t>event:</w:t>
      </w:r>
    </w:p>
    <w:p>
      <w:pPr>
        <w:tabs>
          <w:tab w:pos="6303" w:val="left" w:leader="none"/>
        </w:tabs>
        <w:spacing w:line="216" w:lineRule="auto" w:before="180"/>
        <w:ind w:left="6303" w:right="202" w:hanging="3832"/>
        <w:jc w:val="left"/>
        <w:rPr>
          <w:sz w:val="18"/>
        </w:rPr>
      </w:pPr>
      <w:r>
        <w:rPr>
          <w:rFonts w:ascii="Book Antiqua"/>
          <w:b/>
          <w:color w:val="231F20"/>
          <w:spacing w:val="-2"/>
          <w:sz w:val="18"/>
        </w:rPr>
        <w:t>Severity</w:t>
      </w:r>
      <w:r>
        <w:rPr>
          <w:rFonts w:ascii="Book Antiqua"/>
          <w:b/>
          <w:color w:val="231F20"/>
          <w:sz w:val="18"/>
        </w:rPr>
        <w:tab/>
      </w:r>
      <w:r>
        <w:rPr>
          <w:color w:val="231F20"/>
          <w:sz w:val="18"/>
        </w:rPr>
        <w:t>The severity of the event. The possible </w:t>
      </w:r>
      <w:r>
        <w:rPr>
          <w:color w:val="231F20"/>
          <w:sz w:val="18"/>
        </w:rPr>
        <w:t>values for a specific event vary depending on its originating event repository, and how the connectors</w:t>
      </w:r>
      <w:r>
        <w:rPr>
          <w:color w:val="231F20"/>
          <w:spacing w:val="40"/>
          <w:sz w:val="18"/>
        </w:rPr>
        <w:t> </w:t>
      </w:r>
      <w:r>
        <w:rPr>
          <w:color w:val="231F20"/>
          <w:sz w:val="18"/>
        </w:rPr>
        <w:t>map</w:t>
      </w:r>
      <w:r>
        <w:rPr>
          <w:color w:val="231F20"/>
          <w:spacing w:val="40"/>
          <w:sz w:val="18"/>
        </w:rPr>
        <w:t> </w:t>
      </w:r>
      <w:r>
        <w:rPr>
          <w:color w:val="231F20"/>
          <w:sz w:val="18"/>
        </w:rPr>
        <w:t>those</w:t>
      </w:r>
      <w:r>
        <w:rPr>
          <w:color w:val="231F20"/>
          <w:spacing w:val="40"/>
          <w:sz w:val="18"/>
        </w:rPr>
        <w:t> </w:t>
      </w:r>
      <w:r>
        <w:rPr>
          <w:color w:val="231F20"/>
          <w:sz w:val="18"/>
        </w:rPr>
        <w:t>severity</w:t>
      </w:r>
      <w:r>
        <w:rPr>
          <w:color w:val="231F20"/>
          <w:spacing w:val="40"/>
          <w:sz w:val="18"/>
        </w:rPr>
        <w:t> </w:t>
      </w:r>
      <w:r>
        <w:rPr>
          <w:color w:val="231F20"/>
          <w:sz w:val="18"/>
        </w:rPr>
        <w:t>values</w:t>
      </w:r>
      <w:r>
        <w:rPr>
          <w:color w:val="231F20"/>
          <w:spacing w:val="40"/>
          <w:sz w:val="18"/>
        </w:rPr>
        <w:t> </w:t>
      </w:r>
      <w:r>
        <w:rPr>
          <w:color w:val="231F20"/>
          <w:sz w:val="18"/>
        </w:rPr>
        <w:t>to those used by the console. Severity values </w:t>
      </w:r>
      <w:r>
        <w:rPr>
          <w:color w:val="231F20"/>
          <w:spacing w:val="-2"/>
          <w:sz w:val="18"/>
        </w:rPr>
        <w:t>include:</w:t>
      </w:r>
    </w:p>
    <w:p>
      <w:pPr>
        <w:spacing w:line="220" w:lineRule="exact" w:before="3"/>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Fatal</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Critical</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Minor</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Warning</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Harmless</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Informational</w:t>
      </w:r>
    </w:p>
    <w:p>
      <w:pPr>
        <w:spacing w:line="220" w:lineRule="exact" w:before="0"/>
        <w:ind w:left="6303"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Unknown</w:t>
      </w:r>
    </w:p>
    <w:p>
      <w:pPr>
        <w:spacing w:after="0" w:line="220" w:lineRule="exact"/>
        <w:jc w:val="left"/>
        <w:rPr>
          <w:rFonts w:ascii="Book Antiqua"/>
          <w:sz w:val="18"/>
        </w:rPr>
        <w:sectPr>
          <w:type w:val="continuous"/>
          <w:pgSz w:w="12240" w:h="15840"/>
          <w:pgMar w:header="0" w:footer="736" w:top="0" w:bottom="4660" w:left="1000" w:right="1060"/>
        </w:sectPr>
      </w:pPr>
    </w:p>
    <w:p>
      <w:pPr>
        <w:tabs>
          <w:tab w:pos="6064" w:val="left" w:leader="none"/>
        </w:tabs>
        <w:spacing w:line="216" w:lineRule="auto" w:before="66"/>
        <w:ind w:left="6064" w:right="433" w:hanging="3832"/>
        <w:jc w:val="left"/>
        <w:rPr>
          <w:sz w:val="18"/>
        </w:rPr>
      </w:pPr>
      <w:r>
        <w:rPr>
          <w:rFonts w:ascii="Book Antiqua"/>
          <w:b/>
          <w:color w:val="231F20"/>
          <w:spacing w:val="-2"/>
          <w:sz w:val="18"/>
        </w:rPr>
        <w:t>Status</w:t>
      </w:r>
      <w:r>
        <w:rPr>
          <w:rFonts w:ascii="Book Antiqua"/>
          <w:b/>
          <w:color w:val="231F20"/>
          <w:sz w:val="18"/>
        </w:rPr>
        <w:tab/>
      </w:r>
      <w:r>
        <w:rPr>
          <w:color w:val="231F20"/>
          <w:sz w:val="18"/>
        </w:rPr>
        <w:t>The status of the event. The possible status values for a specific event vary depending </w:t>
      </w:r>
      <w:r>
        <w:rPr>
          <w:color w:val="231F20"/>
          <w:sz w:val="18"/>
        </w:rPr>
        <w:t>on its originating event repository. Status values </w:t>
      </w:r>
      <w:r>
        <w:rPr>
          <w:color w:val="231F20"/>
          <w:spacing w:val="-2"/>
          <w:sz w:val="18"/>
        </w:rPr>
        <w:t>include:</w:t>
      </w:r>
    </w:p>
    <w:p>
      <w:pPr>
        <w:spacing w:line="220" w:lineRule="exact" w:before="1"/>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4"/>
          <w:sz w:val="18"/>
        </w:rPr>
        <w:t>Open</w:t>
      </w:r>
    </w:p>
    <w:p>
      <w:pPr>
        <w:spacing w:line="220"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Reopened</w:t>
      </w:r>
    </w:p>
    <w:p>
      <w:pPr>
        <w:spacing w:line="220"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Problem</w:t>
      </w:r>
    </w:p>
    <w:p>
      <w:pPr>
        <w:spacing w:line="220"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Acknowledged</w:t>
      </w:r>
    </w:p>
    <w:p>
      <w:pPr>
        <w:spacing w:before="0"/>
        <w:ind w:left="6064" w:right="3270" w:firstLine="0"/>
        <w:jc w:val="left"/>
        <w:rPr>
          <w:rFonts w:ascii="Book Antiqua"/>
          <w:b/>
          <w:sz w:val="18"/>
        </w:rPr>
      </w:pPr>
      <w:r>
        <w:rPr>
          <w:rFonts w:ascii="Futura MdCn BT"/>
          <w:color w:val="231F20"/>
          <w:sz w:val="18"/>
        </w:rPr>
        <w:t>v</w:t>
      </w:r>
      <w:r>
        <w:rPr>
          <w:rFonts w:ascii="Futura MdCn BT"/>
          <w:color w:val="231F20"/>
          <w:spacing w:val="80"/>
          <w:sz w:val="18"/>
        </w:rPr>
        <w:t> </w:t>
      </w:r>
      <w:r>
        <w:rPr>
          <w:rFonts w:ascii="Book Antiqua"/>
          <w:b/>
          <w:color w:val="231F20"/>
          <w:sz w:val="18"/>
        </w:rPr>
        <w:t>Closed</w:t>
      </w:r>
      <w:r>
        <w:rPr>
          <w:rFonts w:ascii="Book Antiqua"/>
          <w:b/>
          <w:color w:val="231F20"/>
          <w:spacing w:val="40"/>
          <w:sz w:val="18"/>
        </w:rPr>
        <w:t> </w:t>
      </w:r>
      <w:r>
        <w:rPr>
          <w:rFonts w:ascii="Futura MdCn BT"/>
          <w:color w:val="231F20"/>
          <w:sz w:val="18"/>
        </w:rPr>
        <w:t>v</w:t>
      </w:r>
      <w:r>
        <w:rPr>
          <w:rFonts w:ascii="Futura MdCn BT"/>
          <w:color w:val="231F20"/>
          <w:spacing w:val="62"/>
          <w:sz w:val="18"/>
        </w:rPr>
        <w:t> </w:t>
      </w:r>
      <w:r>
        <w:rPr>
          <w:rFonts w:ascii="Book Antiqua"/>
          <w:b/>
          <w:color w:val="231F20"/>
          <w:sz w:val="18"/>
        </w:rPr>
        <w:t>Deleted</w:t>
      </w:r>
      <w:r>
        <w:rPr>
          <w:rFonts w:ascii="Book Antiqua"/>
          <w:b/>
          <w:color w:val="231F20"/>
          <w:sz w:val="18"/>
        </w:rPr>
        <w:t> </w:t>
      </w:r>
      <w:r>
        <w:rPr>
          <w:rFonts w:ascii="Futura MdCn BT"/>
          <w:color w:val="231F20"/>
          <w:sz w:val="18"/>
        </w:rPr>
        <w:t>v</w:t>
      </w:r>
      <w:r>
        <w:rPr>
          <w:rFonts w:ascii="Futura MdCn BT"/>
          <w:color w:val="231F20"/>
          <w:spacing w:val="80"/>
          <w:sz w:val="18"/>
        </w:rPr>
        <w:t> </w:t>
      </w:r>
      <w:r>
        <w:rPr>
          <w:rFonts w:ascii="Book Antiqua"/>
          <w:b/>
          <w:color w:val="231F20"/>
          <w:sz w:val="18"/>
        </w:rPr>
        <w:t>Started</w:t>
      </w:r>
    </w:p>
    <w:p>
      <w:pPr>
        <w:spacing w:line="216"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Stopped</w:t>
      </w:r>
    </w:p>
    <w:p>
      <w:pPr>
        <w:spacing w:line="220"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Unknown</w:t>
      </w:r>
    </w:p>
    <w:p>
      <w:pPr>
        <w:spacing w:line="220" w:lineRule="exact" w:before="0"/>
        <w:ind w:left="6064" w:right="0" w:firstLine="0"/>
        <w:jc w:val="left"/>
        <w:rPr>
          <w:rFonts w:ascii="Book Antiqua"/>
          <w:b/>
          <w:sz w:val="18"/>
        </w:rPr>
      </w:pPr>
      <w:r>
        <w:rPr>
          <w:rFonts w:ascii="Futura MdCn BT"/>
          <w:color w:val="231F20"/>
          <w:sz w:val="18"/>
        </w:rPr>
        <w:t>v</w:t>
      </w:r>
      <w:r>
        <w:rPr>
          <w:rFonts w:ascii="Futura MdCn BT"/>
          <w:color w:val="231F20"/>
          <w:spacing w:val="32"/>
          <w:sz w:val="18"/>
        </w:rPr>
        <w:t>  </w:t>
      </w:r>
      <w:r>
        <w:rPr>
          <w:rFonts w:ascii="Book Antiqua"/>
          <w:b/>
          <w:color w:val="231F20"/>
          <w:spacing w:val="-2"/>
          <w:sz w:val="18"/>
        </w:rPr>
        <w:t>Response</w:t>
      </w:r>
    </w:p>
    <w:p>
      <w:pPr>
        <w:spacing w:line="216" w:lineRule="auto" w:before="121"/>
        <w:ind w:left="6064" w:right="545" w:firstLine="0"/>
        <w:jc w:val="left"/>
        <w:rPr>
          <w:sz w:val="18"/>
        </w:rPr>
      </w:pPr>
      <w:r>
        <w:rPr>
          <w:color w:val="231F20"/>
          <w:sz w:val="18"/>
        </w:rPr>
        <w:t>If the originating event repository does not supply a status value, this cell in the table </w:t>
      </w:r>
      <w:r>
        <w:rPr>
          <w:color w:val="231F20"/>
          <w:sz w:val="18"/>
        </w:rPr>
        <w:t>is </w:t>
      </w:r>
      <w:r>
        <w:rPr>
          <w:color w:val="231F20"/>
          <w:spacing w:val="-2"/>
          <w:sz w:val="18"/>
        </w:rPr>
        <w:t>blank.</w:t>
      </w:r>
    </w:p>
    <w:p>
      <w:pPr>
        <w:spacing w:line="216" w:lineRule="auto" w:before="2"/>
        <w:ind w:left="6064" w:right="488" w:firstLine="0"/>
        <w:jc w:val="left"/>
        <w:rPr>
          <w:sz w:val="18"/>
        </w:rPr>
      </w:pPr>
      <w:r>
        <w:rPr>
          <w:rFonts w:ascii="Book Antiqua"/>
          <w:b/>
          <w:color w:val="231F20"/>
          <w:sz w:val="18"/>
        </w:rPr>
        <w:t>Note:</w:t>
      </w:r>
      <w:r>
        <w:rPr>
          <w:rFonts w:ascii="Book Antiqua"/>
          <w:b/>
          <w:color w:val="231F20"/>
          <w:spacing w:val="40"/>
          <w:sz w:val="18"/>
        </w:rPr>
        <w:t> </w:t>
      </w:r>
      <w:r>
        <w:rPr>
          <w:color w:val="231F20"/>
          <w:sz w:val="18"/>
        </w:rPr>
        <w:t>Changes to event status might not be immediately reflected in the common event console. This is because the console retrieves some status data by periodically polling the originating repositories; changes to the </w:t>
      </w:r>
      <w:r>
        <w:rPr>
          <w:color w:val="231F20"/>
          <w:sz w:val="18"/>
        </w:rPr>
        <w:t>status of an event are reflected the next time the console polls the repository. The polling interval is specified in the common event console configuration; the default interval is</w:t>
      </w:r>
      <w:r>
        <w:rPr>
          <w:color w:val="231F20"/>
          <w:spacing w:val="80"/>
          <w:sz w:val="18"/>
        </w:rPr>
        <w:t> </w:t>
      </w:r>
      <w:r>
        <w:rPr>
          <w:color w:val="231F20"/>
          <w:sz w:val="18"/>
        </w:rPr>
        <w:t>1 minute.</w:t>
      </w:r>
    </w:p>
    <w:p>
      <w:pPr>
        <w:tabs>
          <w:tab w:pos="6064" w:val="left" w:leader="none"/>
        </w:tabs>
        <w:spacing w:line="216" w:lineRule="auto" w:before="30"/>
        <w:ind w:left="6064" w:right="545" w:hanging="3832"/>
        <w:jc w:val="left"/>
        <w:rPr>
          <w:sz w:val="18"/>
        </w:rPr>
      </w:pPr>
      <w:r>
        <w:rPr>
          <w:rFonts w:ascii="Book Antiqua"/>
          <w:b/>
          <w:color w:val="231F20"/>
          <w:spacing w:val="-2"/>
          <w:sz w:val="18"/>
        </w:rPr>
        <w:t>Repository</w:t>
      </w:r>
      <w:r>
        <w:rPr>
          <w:rFonts w:ascii="Book Antiqua"/>
          <w:b/>
          <w:color w:val="231F20"/>
          <w:sz w:val="18"/>
        </w:rPr>
        <w:tab/>
      </w:r>
      <w:r>
        <w:rPr>
          <w:color w:val="231F20"/>
          <w:sz w:val="18"/>
        </w:rPr>
        <w:t>The type of event repository from which </w:t>
      </w:r>
      <w:r>
        <w:rPr>
          <w:color w:val="231F20"/>
          <w:sz w:val="18"/>
        </w:rPr>
        <w:t>the event originated. Currently, the supported values include the following:</w:t>
      </w:r>
    </w:p>
    <w:p>
      <w:pPr>
        <w:spacing w:line="215" w:lineRule="exact" w:before="0"/>
        <w:ind w:left="6064" w:right="0" w:firstLine="0"/>
        <w:jc w:val="left"/>
        <w:rPr>
          <w:sz w:val="18"/>
        </w:rPr>
      </w:pPr>
      <w:r>
        <w:rPr>
          <w:rFonts w:ascii="Futura MdCn BT"/>
          <w:color w:val="231F20"/>
          <w:sz w:val="18"/>
        </w:rPr>
        <w:t>v</w:t>
      </w:r>
      <w:r>
        <w:rPr>
          <w:rFonts w:ascii="Futura MdCn BT"/>
          <w:color w:val="231F20"/>
          <w:spacing w:val="72"/>
          <w:w w:val="150"/>
          <w:sz w:val="18"/>
        </w:rPr>
        <w:t> </w:t>
      </w:r>
      <w:r>
        <w:rPr>
          <w:rFonts w:ascii="Book Antiqua"/>
          <w:b/>
          <w:color w:val="231F20"/>
          <w:sz w:val="18"/>
        </w:rPr>
        <w:t>ITM</w:t>
      </w:r>
      <w:r>
        <w:rPr>
          <w:rFonts w:ascii="Book Antiqua"/>
          <w:b/>
          <w:color w:val="231F20"/>
          <w:spacing w:val="9"/>
          <w:sz w:val="18"/>
        </w:rPr>
        <w:t> </w:t>
      </w:r>
      <w:r>
        <w:rPr>
          <w:color w:val="231F20"/>
          <w:sz w:val="18"/>
        </w:rPr>
        <w:t>(IBM</w:t>
      </w:r>
      <w:r>
        <w:rPr>
          <w:color w:val="231F20"/>
          <w:spacing w:val="10"/>
          <w:sz w:val="18"/>
        </w:rPr>
        <w:t> </w:t>
      </w:r>
      <w:r>
        <w:rPr>
          <w:color w:val="231F20"/>
          <w:sz w:val="18"/>
        </w:rPr>
        <w:t>Tivoli</w:t>
      </w:r>
      <w:r>
        <w:rPr>
          <w:color w:val="231F20"/>
          <w:spacing w:val="10"/>
          <w:sz w:val="18"/>
        </w:rPr>
        <w:t> </w:t>
      </w:r>
      <w:r>
        <w:rPr>
          <w:color w:val="231F20"/>
          <w:spacing w:val="-2"/>
          <w:sz w:val="18"/>
        </w:rPr>
        <w:t>Monitoring)</w:t>
      </w:r>
    </w:p>
    <w:p>
      <w:pPr>
        <w:spacing w:line="220" w:lineRule="exact" w:before="0"/>
        <w:ind w:left="6064" w:right="0" w:firstLine="0"/>
        <w:jc w:val="left"/>
        <w:rPr>
          <w:sz w:val="18"/>
        </w:rPr>
      </w:pPr>
      <w:r>
        <w:rPr>
          <w:rFonts w:ascii="Futura MdCn BT"/>
          <w:color w:val="231F20"/>
          <w:sz w:val="18"/>
        </w:rPr>
        <w:t>v</w:t>
      </w:r>
      <w:r>
        <w:rPr>
          <w:rFonts w:ascii="Futura MdCn BT"/>
          <w:color w:val="231F20"/>
          <w:spacing w:val="69"/>
          <w:w w:val="150"/>
          <w:sz w:val="18"/>
        </w:rPr>
        <w:t> </w:t>
      </w:r>
      <w:r>
        <w:rPr>
          <w:rFonts w:ascii="Book Antiqua"/>
          <w:b/>
          <w:color w:val="231F20"/>
          <w:sz w:val="18"/>
        </w:rPr>
        <w:t>TEC</w:t>
      </w:r>
      <w:r>
        <w:rPr>
          <w:rFonts w:ascii="Book Antiqua"/>
          <w:b/>
          <w:color w:val="231F20"/>
          <w:spacing w:val="9"/>
          <w:sz w:val="18"/>
        </w:rPr>
        <w:t> </w:t>
      </w:r>
      <w:r>
        <w:rPr>
          <w:color w:val="231F20"/>
          <w:sz w:val="18"/>
        </w:rPr>
        <w:t>(Tivoli</w:t>
      </w:r>
      <w:r>
        <w:rPr>
          <w:color w:val="231F20"/>
          <w:spacing w:val="9"/>
          <w:sz w:val="18"/>
        </w:rPr>
        <w:t> </w:t>
      </w:r>
      <w:r>
        <w:rPr>
          <w:color w:val="231F20"/>
          <w:sz w:val="18"/>
        </w:rPr>
        <w:t>Enterprise</w:t>
      </w:r>
      <w:r>
        <w:rPr>
          <w:color w:val="231F20"/>
          <w:spacing w:val="9"/>
          <w:sz w:val="18"/>
        </w:rPr>
        <w:t> </w:t>
      </w:r>
      <w:r>
        <w:rPr>
          <w:color w:val="231F20"/>
          <w:spacing w:val="-2"/>
          <w:sz w:val="18"/>
        </w:rPr>
        <w:t>Console)</w:t>
      </w:r>
    </w:p>
    <w:p>
      <w:pPr>
        <w:spacing w:line="229" w:lineRule="exact" w:before="0"/>
        <w:ind w:left="6064" w:right="0" w:firstLine="0"/>
        <w:jc w:val="left"/>
        <w:rPr>
          <w:sz w:val="18"/>
        </w:rPr>
      </w:pPr>
      <w:r>
        <w:rPr>
          <w:rFonts w:ascii="Futura MdCn BT"/>
          <w:color w:val="231F20"/>
          <w:sz w:val="18"/>
        </w:rPr>
        <w:t>v</w:t>
      </w:r>
      <w:r>
        <w:rPr>
          <w:rFonts w:ascii="Futura MdCn BT"/>
          <w:color w:val="231F20"/>
          <w:spacing w:val="75"/>
          <w:w w:val="150"/>
          <w:sz w:val="18"/>
        </w:rPr>
        <w:t> </w:t>
      </w:r>
      <w:r>
        <w:rPr>
          <w:rFonts w:ascii="Book Antiqua"/>
          <w:b/>
          <w:color w:val="231F20"/>
          <w:sz w:val="18"/>
        </w:rPr>
        <w:t>OMNIbus</w:t>
      </w:r>
      <w:r>
        <w:rPr>
          <w:rFonts w:ascii="Book Antiqua"/>
          <w:b/>
          <w:color w:val="231F20"/>
          <w:spacing w:val="12"/>
          <w:sz w:val="18"/>
        </w:rPr>
        <w:t> </w:t>
      </w:r>
      <w:r>
        <w:rPr>
          <w:color w:val="231F20"/>
          <w:spacing w:val="-2"/>
          <w:sz w:val="18"/>
        </w:rPr>
        <w:t>(Netcool/OMNIbus)</w:t>
      </w:r>
    </w:p>
    <w:p>
      <w:pPr>
        <w:tabs>
          <w:tab w:pos="6064" w:val="left" w:leader="none"/>
        </w:tabs>
        <w:spacing w:line="216" w:lineRule="auto" w:before="17"/>
        <w:ind w:left="6064" w:right="700" w:hanging="3832"/>
        <w:jc w:val="left"/>
        <w:rPr>
          <w:sz w:val="18"/>
        </w:rPr>
      </w:pPr>
      <w:r>
        <w:rPr>
          <w:rFonts w:ascii="Book Antiqua"/>
          <w:b/>
          <w:color w:val="231F20"/>
          <w:spacing w:val="-4"/>
          <w:sz w:val="18"/>
        </w:rPr>
        <w:t>Name</w:t>
      </w:r>
      <w:r>
        <w:rPr>
          <w:rFonts w:ascii="Book Antiqua"/>
          <w:b/>
          <w:color w:val="231F20"/>
          <w:sz w:val="18"/>
        </w:rPr>
        <w:tab/>
      </w:r>
      <w:r>
        <w:rPr>
          <w:color w:val="231F20"/>
          <w:sz w:val="18"/>
        </w:rPr>
        <w:t>The name of the event. The name is </w:t>
      </w:r>
      <w:r>
        <w:rPr>
          <w:color w:val="231F20"/>
          <w:sz w:val="18"/>
        </w:rPr>
        <w:t>taken from one of the following values:</w:t>
      </w:r>
    </w:p>
    <w:p>
      <w:pPr>
        <w:spacing w:before="43"/>
        <w:ind w:left="6064" w:right="0" w:firstLine="0"/>
        <w:jc w:val="left"/>
        <w:rPr>
          <w:sz w:val="18"/>
        </w:rPr>
      </w:pPr>
      <w:r>
        <w:rPr>
          <w:rFonts w:ascii="Futura MdCn BT"/>
          <w:color w:val="231F20"/>
          <w:sz w:val="18"/>
        </w:rPr>
        <w:t>v</w:t>
      </w:r>
      <w:r>
        <w:rPr>
          <w:rFonts w:ascii="Futura MdCn BT"/>
          <w:color w:val="231F20"/>
          <w:spacing w:val="68"/>
          <w:w w:val="150"/>
          <w:sz w:val="18"/>
        </w:rPr>
        <w:t> </w:t>
      </w:r>
      <w:r>
        <w:rPr>
          <w:color w:val="231F20"/>
          <w:sz w:val="18"/>
        </w:rPr>
        <w:t>Situation</w:t>
      </w:r>
      <w:r>
        <w:rPr>
          <w:color w:val="231F20"/>
          <w:spacing w:val="8"/>
          <w:sz w:val="18"/>
        </w:rPr>
        <w:t> </w:t>
      </w:r>
      <w:r>
        <w:rPr>
          <w:color w:val="231F20"/>
          <w:sz w:val="18"/>
        </w:rPr>
        <w:t>name</w:t>
      </w:r>
      <w:r>
        <w:rPr>
          <w:color w:val="231F20"/>
          <w:spacing w:val="9"/>
          <w:sz w:val="18"/>
        </w:rPr>
        <w:t> </w:t>
      </w:r>
      <w:r>
        <w:rPr>
          <w:color w:val="231F20"/>
          <w:sz w:val="18"/>
        </w:rPr>
        <w:t>(Tivoli</w:t>
      </w:r>
      <w:r>
        <w:rPr>
          <w:color w:val="231F20"/>
          <w:spacing w:val="8"/>
          <w:sz w:val="18"/>
        </w:rPr>
        <w:t> </w:t>
      </w:r>
      <w:r>
        <w:rPr>
          <w:color w:val="231F20"/>
          <w:sz w:val="18"/>
        </w:rPr>
        <w:t>Monitoring</w:t>
      </w:r>
      <w:r>
        <w:rPr>
          <w:color w:val="231F20"/>
          <w:spacing w:val="8"/>
          <w:sz w:val="18"/>
        </w:rPr>
        <w:t> </w:t>
      </w:r>
      <w:r>
        <w:rPr>
          <w:color w:val="231F20"/>
          <w:spacing w:val="-2"/>
          <w:sz w:val="18"/>
        </w:rPr>
        <w:t>events)</w:t>
      </w:r>
    </w:p>
    <w:p>
      <w:pPr>
        <w:spacing w:line="216" w:lineRule="auto" w:before="55"/>
        <w:ind w:left="6258" w:right="545" w:hanging="195"/>
        <w:jc w:val="left"/>
        <w:rPr>
          <w:sz w:val="18"/>
        </w:rPr>
      </w:pPr>
      <w:r>
        <w:rPr>
          <w:rFonts w:ascii="Futura MdCn BT"/>
          <w:color w:val="231F20"/>
          <w:sz w:val="18"/>
        </w:rPr>
        <w:t>v</w:t>
      </w:r>
      <w:r>
        <w:rPr>
          <w:rFonts w:ascii="Futura MdCn BT"/>
          <w:color w:val="231F20"/>
          <w:spacing w:val="80"/>
          <w:sz w:val="18"/>
        </w:rPr>
        <w:t> </w:t>
      </w:r>
      <w:r>
        <w:rPr>
          <w:color w:val="231F20"/>
          <w:sz w:val="18"/>
        </w:rPr>
        <w:t>Event class name (Tivoli </w:t>
      </w:r>
      <w:r>
        <w:rPr>
          <w:color w:val="231F20"/>
          <w:sz w:val="18"/>
        </w:rPr>
        <w:t>Enterprise</w:t>
      </w:r>
      <w:r>
        <w:rPr>
          <w:color w:val="231F20"/>
          <w:sz w:val="18"/>
        </w:rPr>
        <w:t> Console events)</w:t>
      </w:r>
    </w:p>
    <w:p>
      <w:pPr>
        <w:spacing w:line="216" w:lineRule="auto" w:before="62"/>
        <w:ind w:left="6258" w:right="545" w:hanging="195"/>
        <w:jc w:val="left"/>
        <w:rPr>
          <w:sz w:val="18"/>
        </w:rPr>
      </w:pPr>
      <w:r>
        <w:rPr>
          <w:rFonts w:ascii="Futura MdCn BT"/>
          <w:color w:val="231F20"/>
          <w:sz w:val="18"/>
        </w:rPr>
        <w:t>v</w:t>
      </w:r>
      <w:r>
        <w:rPr>
          <w:rFonts w:ascii="Futura MdCn BT"/>
          <w:color w:val="231F20"/>
          <w:spacing w:val="80"/>
          <w:sz w:val="18"/>
        </w:rPr>
        <w:t> </w:t>
      </w:r>
      <w:r>
        <w:rPr>
          <w:color w:val="231F20"/>
          <w:sz w:val="18"/>
        </w:rPr>
        <w:t>AlertGroup field </w:t>
      </w:r>
      <w:r>
        <w:rPr>
          <w:color w:val="231F20"/>
          <w:sz w:val="18"/>
        </w:rPr>
        <w:t>(Netcool/OMNIbus</w:t>
      </w:r>
      <w:r>
        <w:rPr>
          <w:color w:val="231F20"/>
          <w:sz w:val="18"/>
        </w:rPr>
        <w:t> </w:t>
      </w:r>
      <w:r>
        <w:rPr>
          <w:color w:val="231F20"/>
          <w:spacing w:val="-2"/>
          <w:sz w:val="18"/>
        </w:rPr>
        <w:t>events)</w:t>
      </w:r>
    </w:p>
    <w:p>
      <w:pPr>
        <w:tabs>
          <w:tab w:pos="6064" w:val="left" w:leader="none"/>
        </w:tabs>
        <w:spacing w:line="216" w:lineRule="auto" w:before="22"/>
        <w:ind w:left="6064" w:right="813" w:hanging="3832"/>
        <w:jc w:val="both"/>
        <w:rPr>
          <w:sz w:val="18"/>
        </w:rPr>
      </w:pPr>
      <w:r>
        <w:rPr>
          <w:rFonts w:ascii="Book Antiqua"/>
          <w:b/>
          <w:color w:val="231F20"/>
          <w:sz w:val="18"/>
        </w:rPr>
        <w:t>Display item</w:t>
        <w:tab/>
      </w:r>
      <w:r>
        <w:rPr>
          <w:color w:val="231F20"/>
          <w:sz w:val="18"/>
        </w:rPr>
        <w:t>The display item for a Tivoli Monitoring situation event. This field is not used </w:t>
      </w:r>
      <w:r>
        <w:rPr>
          <w:color w:val="231F20"/>
          <w:sz w:val="18"/>
        </w:rPr>
        <w:t>for events from other repositories.</w:t>
      </w:r>
    </w:p>
    <w:p>
      <w:pPr>
        <w:tabs>
          <w:tab w:pos="6064" w:val="left" w:leader="none"/>
        </w:tabs>
        <w:spacing w:line="216" w:lineRule="auto" w:before="23"/>
        <w:ind w:left="6064" w:right="865" w:hanging="3832"/>
        <w:jc w:val="left"/>
        <w:rPr>
          <w:sz w:val="18"/>
        </w:rPr>
      </w:pPr>
      <w:r>
        <w:rPr>
          <w:rFonts w:ascii="Book Antiqua"/>
          <w:b/>
          <w:color w:val="231F20"/>
          <w:spacing w:val="-2"/>
          <w:sz w:val="18"/>
        </w:rPr>
        <w:t>Source</w:t>
      </w:r>
      <w:r>
        <w:rPr>
          <w:rFonts w:ascii="Book Antiqua"/>
          <w:b/>
          <w:color w:val="231F20"/>
          <w:sz w:val="18"/>
        </w:rPr>
        <w:tab/>
      </w:r>
      <w:r>
        <w:rPr>
          <w:color w:val="231F20"/>
          <w:sz w:val="18"/>
        </w:rPr>
        <w:t>The host name or IP address of the monitored system from which the </w:t>
      </w:r>
      <w:r>
        <w:rPr>
          <w:color w:val="231F20"/>
          <w:sz w:val="18"/>
        </w:rPr>
        <w:t>event </w:t>
      </w:r>
      <w:r>
        <w:rPr>
          <w:color w:val="231F20"/>
          <w:spacing w:val="-2"/>
          <w:sz w:val="18"/>
        </w:rPr>
        <w:t>originated.</w:t>
      </w:r>
    </w:p>
    <w:p>
      <w:pPr>
        <w:tabs>
          <w:tab w:pos="6064" w:val="left" w:leader="none"/>
        </w:tabs>
        <w:spacing w:line="216" w:lineRule="auto" w:before="22"/>
        <w:ind w:left="6064" w:right="1002" w:hanging="3832"/>
        <w:jc w:val="left"/>
        <w:rPr>
          <w:sz w:val="18"/>
        </w:rPr>
      </w:pPr>
      <w:r>
        <w:rPr>
          <w:rFonts w:ascii="Book Antiqua"/>
          <w:b/>
          <w:color w:val="231F20"/>
          <w:sz w:val="18"/>
        </w:rPr>
        <w:t>Time created</w:t>
        <w:tab/>
      </w:r>
      <w:r>
        <w:rPr>
          <w:color w:val="231F20"/>
          <w:sz w:val="18"/>
        </w:rPr>
        <w:t>The date and time when the event </w:t>
      </w:r>
      <w:r>
        <w:rPr>
          <w:color w:val="231F20"/>
          <w:sz w:val="18"/>
        </w:rPr>
        <w:t>was </w:t>
      </w:r>
      <w:r>
        <w:rPr>
          <w:color w:val="231F20"/>
          <w:spacing w:val="-2"/>
          <w:sz w:val="18"/>
        </w:rPr>
        <w:t>generated.</w:t>
      </w:r>
    </w:p>
    <w:p>
      <w:pPr>
        <w:tabs>
          <w:tab w:pos="6064" w:val="left" w:leader="none"/>
        </w:tabs>
        <w:spacing w:line="216" w:lineRule="auto" w:before="22"/>
        <w:ind w:left="6064" w:right="488" w:hanging="3832"/>
        <w:jc w:val="left"/>
        <w:rPr>
          <w:sz w:val="18"/>
        </w:rPr>
      </w:pPr>
      <w:r>
        <w:rPr>
          <w:rFonts w:ascii="Book Antiqua"/>
          <w:b/>
          <w:color w:val="231F20"/>
          <w:spacing w:val="-4"/>
          <w:sz w:val="18"/>
        </w:rPr>
        <w:t>Type</w:t>
      </w:r>
      <w:r>
        <w:rPr>
          <w:rFonts w:ascii="Book Antiqua"/>
          <w:b/>
          <w:color w:val="231F20"/>
          <w:sz w:val="18"/>
        </w:rPr>
        <w:tab/>
      </w:r>
      <w:r>
        <w:rPr>
          <w:color w:val="231F20"/>
          <w:sz w:val="18"/>
        </w:rPr>
        <w:t>The Tivoli Monitoring event type (</w:t>
      </w:r>
      <w:r>
        <w:rPr>
          <w:rFonts w:ascii="Book Antiqua"/>
          <w:b/>
          <w:color w:val="231F20"/>
          <w:sz w:val="18"/>
        </w:rPr>
        <w:t>Pure </w:t>
      </w:r>
      <w:r>
        <w:rPr>
          <w:color w:val="231F20"/>
          <w:sz w:val="18"/>
        </w:rPr>
        <w:t>or </w:t>
      </w:r>
      <w:r>
        <w:rPr>
          <w:rFonts w:ascii="Book Antiqua"/>
          <w:b/>
          <w:color w:val="231F20"/>
          <w:sz w:val="18"/>
        </w:rPr>
        <w:t>Sampled</w:t>
      </w:r>
      <w:r>
        <w:rPr>
          <w:color w:val="231F20"/>
          <w:sz w:val="18"/>
        </w:rPr>
        <w:t>). For events from other </w:t>
      </w:r>
      <w:r>
        <w:rPr>
          <w:color w:val="231F20"/>
          <w:sz w:val="18"/>
        </w:rPr>
        <w:t>repositories other than Tivoli Monitoring, this value will always be </w:t>
      </w:r>
      <w:r>
        <w:rPr>
          <w:rFonts w:ascii="Book Antiqua"/>
          <w:b/>
          <w:color w:val="231F20"/>
          <w:sz w:val="18"/>
        </w:rPr>
        <w:t>Pure</w:t>
      </w:r>
      <w:r>
        <w:rPr>
          <w:color w:val="231F20"/>
          <w:sz w:val="18"/>
        </w:rPr>
        <w:t>.</w:t>
      </w:r>
    </w:p>
    <w:p>
      <w:pPr>
        <w:pStyle w:val="BodyText"/>
        <w:spacing w:before="218"/>
        <w:rPr>
          <w:sz w:val="18"/>
        </w:rPr>
      </w:pPr>
    </w:p>
    <w:p>
      <w:pPr>
        <w:pStyle w:val="BodyText"/>
        <w:spacing w:line="213" w:lineRule="auto"/>
        <w:ind w:left="2232" w:right="545"/>
      </w:pPr>
      <w:r>
        <w:rPr>
          <w:color w:val="231F20"/>
        </w:rPr>
        <w:t>In addition, the following fields are available but not shown by default (you </w:t>
      </w:r>
      <w:r>
        <w:rPr>
          <w:color w:val="231F20"/>
        </w:rPr>
        <w:t>can show them by modifying the properties of the view):</w:t>
      </w:r>
    </w:p>
    <w:p>
      <w:pPr>
        <w:spacing w:after="0" w:line="213" w:lineRule="auto"/>
        <w:sectPr>
          <w:pgSz w:w="12240" w:h="15840"/>
          <w:pgMar w:header="0" w:footer="736" w:top="1260" w:bottom="920" w:left="1000" w:right="1060"/>
        </w:sectPr>
      </w:pPr>
    </w:p>
    <w:p>
      <w:pPr>
        <w:tabs>
          <w:tab w:pos="6303" w:val="left" w:leader="none"/>
        </w:tabs>
        <w:spacing w:line="216" w:lineRule="auto" w:before="66"/>
        <w:ind w:left="6303" w:right="413" w:hanging="3832"/>
        <w:jc w:val="both"/>
        <w:rPr>
          <w:sz w:val="18"/>
        </w:rPr>
      </w:pPr>
      <w:bookmarkStart w:name="_bookmark117" w:id="253"/>
      <w:bookmarkEnd w:id="253"/>
      <w:r>
        <w:rPr/>
      </w:r>
      <w:r>
        <w:rPr>
          <w:rFonts w:ascii="Book Antiqua"/>
          <w:b/>
          <w:color w:val="231F20"/>
          <w:sz w:val="18"/>
        </w:rPr>
        <w:t>Connector name</w:t>
        <w:tab/>
      </w:r>
      <w:r>
        <w:rPr>
          <w:color w:val="231F20"/>
          <w:sz w:val="18"/>
        </w:rPr>
        <w:t>The name of the common event connector that retrieved the event, as specified in </w:t>
      </w:r>
      <w:r>
        <w:rPr>
          <w:color w:val="231F20"/>
          <w:sz w:val="18"/>
        </w:rPr>
        <w:t>the connector configuration.</w:t>
      </w:r>
    </w:p>
    <w:p>
      <w:pPr>
        <w:tabs>
          <w:tab w:pos="6303" w:val="left" w:leader="none"/>
        </w:tabs>
        <w:spacing w:line="216" w:lineRule="auto" w:before="23"/>
        <w:ind w:left="6303" w:right="254" w:hanging="3832"/>
        <w:jc w:val="both"/>
        <w:rPr>
          <w:sz w:val="18"/>
        </w:rPr>
      </w:pPr>
      <w:r>
        <w:rPr>
          <w:rFonts w:ascii="Book Antiqua"/>
          <w:b/>
          <w:color w:val="231F20"/>
          <w:sz w:val="18"/>
        </w:rPr>
        <w:t>Time Modified</w:t>
        <w:tab/>
      </w:r>
      <w:r>
        <w:rPr>
          <w:color w:val="231F20"/>
          <w:sz w:val="18"/>
        </w:rPr>
        <w:t>The date and time when the event was </w:t>
      </w:r>
      <w:r>
        <w:rPr>
          <w:color w:val="231F20"/>
          <w:sz w:val="18"/>
        </w:rPr>
        <w:t>most recently modified.</w:t>
      </w:r>
    </w:p>
    <w:p>
      <w:pPr>
        <w:tabs>
          <w:tab w:pos="6303" w:val="left" w:leader="none"/>
        </w:tabs>
        <w:spacing w:line="216" w:lineRule="auto" w:before="22"/>
        <w:ind w:left="6303" w:right="267" w:hanging="3832"/>
        <w:jc w:val="both"/>
        <w:rPr>
          <w:sz w:val="18"/>
        </w:rPr>
      </w:pPr>
      <w:r>
        <w:rPr>
          <w:rFonts w:ascii="Book Antiqua"/>
          <w:b/>
          <w:color w:val="231F20"/>
          <w:spacing w:val="-2"/>
          <w:sz w:val="18"/>
        </w:rPr>
        <w:t>Owner</w:t>
      </w:r>
      <w:r>
        <w:rPr>
          <w:rFonts w:ascii="Book Antiqua"/>
          <w:b/>
          <w:color w:val="231F20"/>
          <w:sz w:val="18"/>
        </w:rPr>
        <w:tab/>
      </w:r>
      <w:r>
        <w:rPr>
          <w:color w:val="231F20"/>
          <w:sz w:val="18"/>
        </w:rPr>
        <w:t>The owner of an acknowledged event, </w:t>
      </w:r>
      <w:r>
        <w:rPr>
          <w:color w:val="231F20"/>
          <w:sz w:val="18"/>
        </w:rPr>
        <w:t>taken from one of the following values:</w:t>
      </w:r>
    </w:p>
    <w:p>
      <w:pPr>
        <w:spacing w:line="216" w:lineRule="auto" w:before="62"/>
        <w:ind w:left="6498" w:right="361" w:hanging="195"/>
        <w:jc w:val="both"/>
        <w:rPr>
          <w:sz w:val="18"/>
        </w:rPr>
      </w:pPr>
      <w:r>
        <w:rPr>
          <w:rFonts w:ascii="Futura MdCn BT"/>
          <w:color w:val="231F20"/>
          <w:sz w:val="18"/>
        </w:rPr>
        <w:t>v</w:t>
      </w:r>
      <w:r>
        <w:rPr>
          <w:rFonts w:ascii="Futura MdCn BT"/>
          <w:color w:val="231F20"/>
          <w:spacing w:val="40"/>
          <w:sz w:val="18"/>
        </w:rPr>
        <w:t> </w:t>
      </w:r>
      <w:r>
        <w:rPr>
          <w:rFonts w:ascii="Book Antiqua"/>
          <w:b/>
          <w:color w:val="231F20"/>
          <w:sz w:val="18"/>
        </w:rPr>
        <w:t>administrator </w:t>
      </w:r>
      <w:r>
        <w:rPr>
          <w:color w:val="231F20"/>
          <w:sz w:val="18"/>
        </w:rPr>
        <w:t>attribute (Tivoli </w:t>
      </w:r>
      <w:r>
        <w:rPr>
          <w:color w:val="231F20"/>
          <w:sz w:val="18"/>
        </w:rPr>
        <w:t>Enterprise</w:t>
      </w:r>
      <w:r>
        <w:rPr>
          <w:color w:val="231F20"/>
          <w:sz w:val="18"/>
        </w:rPr>
        <w:t> Console events)</w:t>
      </w:r>
    </w:p>
    <w:p>
      <w:pPr>
        <w:spacing w:line="231" w:lineRule="exact" w:before="42"/>
        <w:ind w:left="6303" w:right="0" w:firstLine="0"/>
        <w:jc w:val="both"/>
        <w:rPr>
          <w:sz w:val="18"/>
        </w:rPr>
      </w:pPr>
      <w:r>
        <w:rPr>
          <w:rFonts w:ascii="Futura MdCn BT"/>
          <w:color w:val="231F20"/>
          <w:sz w:val="18"/>
        </w:rPr>
        <w:t>v</w:t>
      </w:r>
      <w:r>
        <w:rPr>
          <w:rFonts w:ascii="Futura MdCn BT"/>
          <w:color w:val="231F20"/>
          <w:spacing w:val="77"/>
          <w:w w:val="150"/>
          <w:sz w:val="18"/>
        </w:rPr>
        <w:t> </w:t>
      </w:r>
      <w:r>
        <w:rPr>
          <w:color w:val="231F20"/>
          <w:sz w:val="18"/>
        </w:rPr>
        <w:t>The</w:t>
      </w:r>
      <w:r>
        <w:rPr>
          <w:color w:val="231F20"/>
          <w:spacing w:val="12"/>
          <w:sz w:val="18"/>
        </w:rPr>
        <w:t> </w:t>
      </w:r>
      <w:r>
        <w:rPr>
          <w:color w:val="231F20"/>
          <w:sz w:val="18"/>
        </w:rPr>
        <w:t>user</w:t>
      </w:r>
      <w:r>
        <w:rPr>
          <w:color w:val="231F20"/>
          <w:spacing w:val="12"/>
          <w:sz w:val="18"/>
        </w:rPr>
        <w:t> </w:t>
      </w:r>
      <w:r>
        <w:rPr>
          <w:color w:val="231F20"/>
          <w:sz w:val="18"/>
        </w:rPr>
        <w:t>ID</w:t>
      </w:r>
      <w:r>
        <w:rPr>
          <w:color w:val="231F20"/>
          <w:spacing w:val="12"/>
          <w:sz w:val="18"/>
        </w:rPr>
        <w:t> </w:t>
      </w:r>
      <w:r>
        <w:rPr>
          <w:color w:val="231F20"/>
          <w:sz w:val="18"/>
        </w:rPr>
        <w:t>of</w:t>
      </w:r>
      <w:r>
        <w:rPr>
          <w:color w:val="231F20"/>
          <w:spacing w:val="12"/>
          <w:sz w:val="18"/>
        </w:rPr>
        <w:t> </w:t>
      </w:r>
      <w:r>
        <w:rPr>
          <w:color w:val="231F20"/>
          <w:sz w:val="18"/>
        </w:rPr>
        <w:t>the</w:t>
      </w:r>
      <w:r>
        <w:rPr>
          <w:color w:val="231F20"/>
          <w:spacing w:val="12"/>
          <w:sz w:val="18"/>
        </w:rPr>
        <w:t> </w:t>
      </w:r>
      <w:r>
        <w:rPr>
          <w:color w:val="231F20"/>
          <w:sz w:val="18"/>
        </w:rPr>
        <w:t>user</w:t>
      </w:r>
      <w:r>
        <w:rPr>
          <w:color w:val="231F20"/>
          <w:spacing w:val="12"/>
          <w:sz w:val="18"/>
        </w:rPr>
        <w:t> </w:t>
      </w:r>
      <w:r>
        <w:rPr>
          <w:color w:val="231F20"/>
          <w:spacing w:val="-5"/>
          <w:sz w:val="18"/>
        </w:rPr>
        <w:t>who</w:t>
      </w:r>
    </w:p>
    <w:p>
      <w:pPr>
        <w:spacing w:line="216" w:lineRule="auto" w:before="8"/>
        <w:ind w:left="6498" w:right="164" w:firstLine="0"/>
        <w:jc w:val="both"/>
        <w:rPr>
          <w:sz w:val="18"/>
        </w:rPr>
      </w:pPr>
      <w:r>
        <w:rPr>
          <w:color w:val="231F20"/>
          <w:sz w:val="18"/>
        </w:rPr>
        <w:t>acknowledged the event (Tivoli </w:t>
      </w:r>
      <w:r>
        <w:rPr>
          <w:color w:val="231F20"/>
          <w:sz w:val="18"/>
        </w:rPr>
        <w:t>Monitoring </w:t>
      </w:r>
      <w:r>
        <w:rPr>
          <w:color w:val="231F20"/>
          <w:spacing w:val="-2"/>
          <w:sz w:val="18"/>
        </w:rPr>
        <w:t>events)</w:t>
      </w:r>
    </w:p>
    <w:p>
      <w:pPr>
        <w:spacing w:line="216" w:lineRule="auto" w:before="121"/>
        <w:ind w:left="6303" w:right="0" w:firstLine="0"/>
        <w:jc w:val="left"/>
        <w:rPr>
          <w:sz w:val="18"/>
        </w:rPr>
      </w:pPr>
      <w:r>
        <w:rPr>
          <w:color w:val="231F20"/>
          <w:sz w:val="18"/>
        </w:rPr>
        <w:t>If the event has not been acknowledged, </w:t>
      </w:r>
      <w:r>
        <w:rPr>
          <w:color w:val="231F20"/>
          <w:sz w:val="18"/>
        </w:rPr>
        <w:t>this field is empty. This field is not used for Netcool/OMNIbus events.</w:t>
      </w:r>
    </w:p>
    <w:p>
      <w:pPr>
        <w:tabs>
          <w:tab w:pos="6303" w:val="left" w:leader="none"/>
        </w:tabs>
        <w:spacing w:line="216" w:lineRule="auto" w:before="23"/>
        <w:ind w:left="6303" w:right="329" w:hanging="3832"/>
        <w:jc w:val="both"/>
        <w:rPr>
          <w:sz w:val="18"/>
        </w:rPr>
      </w:pPr>
      <w:r>
        <w:rPr>
          <w:rFonts w:ascii="Book Antiqua"/>
          <w:b/>
          <w:color w:val="231F20"/>
          <w:spacing w:val="-2"/>
          <w:sz w:val="18"/>
        </w:rPr>
        <w:t>Message</w:t>
      </w:r>
      <w:r>
        <w:rPr>
          <w:rFonts w:ascii="Book Antiqua"/>
          <w:b/>
          <w:color w:val="231F20"/>
          <w:sz w:val="18"/>
        </w:rPr>
        <w:tab/>
      </w:r>
      <w:r>
        <w:rPr>
          <w:color w:val="231F20"/>
          <w:sz w:val="18"/>
        </w:rPr>
        <w:t>The message associated with the event. </w:t>
      </w:r>
      <w:r>
        <w:rPr>
          <w:color w:val="231F20"/>
          <w:sz w:val="18"/>
        </w:rPr>
        <w:t>The message is taken from one of the following </w:t>
      </w:r>
      <w:r>
        <w:rPr>
          <w:color w:val="231F20"/>
          <w:spacing w:val="-2"/>
          <w:sz w:val="18"/>
        </w:rPr>
        <w:t>values:</w:t>
      </w:r>
    </w:p>
    <w:p>
      <w:pPr>
        <w:spacing w:line="216" w:lineRule="auto" w:before="63"/>
        <w:ind w:left="6498" w:right="0" w:hanging="195"/>
        <w:jc w:val="left"/>
        <w:rPr>
          <w:sz w:val="18"/>
        </w:rPr>
      </w:pPr>
      <w:r>
        <w:rPr>
          <w:rFonts w:ascii="Futura MdCn BT"/>
          <w:color w:val="231F20"/>
          <w:sz w:val="18"/>
        </w:rPr>
        <w:t>v</w:t>
      </w:r>
      <w:r>
        <w:rPr>
          <w:rFonts w:ascii="Futura MdCn BT"/>
          <w:color w:val="231F20"/>
          <w:spacing w:val="80"/>
          <w:sz w:val="18"/>
        </w:rPr>
        <w:t> </w:t>
      </w:r>
      <w:r>
        <w:rPr>
          <w:rFonts w:ascii="Book Antiqua"/>
          <w:b/>
          <w:color w:val="231F20"/>
          <w:sz w:val="18"/>
        </w:rPr>
        <w:t>msg </w:t>
      </w:r>
      <w:r>
        <w:rPr>
          <w:color w:val="231F20"/>
          <w:sz w:val="18"/>
        </w:rPr>
        <w:t>attribute (Tivoli Enterprise </w:t>
      </w:r>
      <w:r>
        <w:rPr>
          <w:color w:val="231F20"/>
          <w:sz w:val="18"/>
        </w:rPr>
        <w:t>Console</w:t>
      </w:r>
      <w:r>
        <w:rPr>
          <w:color w:val="231F20"/>
          <w:sz w:val="18"/>
        </w:rPr>
        <w:t> </w:t>
      </w:r>
      <w:r>
        <w:rPr>
          <w:color w:val="231F20"/>
          <w:spacing w:val="-2"/>
          <w:sz w:val="18"/>
        </w:rPr>
        <w:t>events)</w:t>
      </w:r>
    </w:p>
    <w:p>
      <w:pPr>
        <w:spacing w:before="43"/>
        <w:ind w:left="6303" w:right="0" w:firstLine="0"/>
        <w:jc w:val="left"/>
        <w:rPr>
          <w:sz w:val="18"/>
        </w:rPr>
      </w:pPr>
      <w:r>
        <w:rPr>
          <w:rFonts w:ascii="Futura MdCn BT"/>
          <w:color w:val="231F20"/>
          <w:sz w:val="18"/>
        </w:rPr>
        <w:t>v</w:t>
      </w:r>
      <w:r>
        <w:rPr>
          <w:rFonts w:ascii="Futura MdCn BT"/>
          <w:color w:val="231F20"/>
          <w:spacing w:val="39"/>
          <w:sz w:val="18"/>
        </w:rPr>
        <w:t>  </w:t>
      </w:r>
      <w:r>
        <w:rPr>
          <w:color w:val="231F20"/>
          <w:sz w:val="18"/>
        </w:rPr>
        <w:t>Summary</w:t>
      </w:r>
      <w:r>
        <w:rPr>
          <w:color w:val="231F20"/>
          <w:spacing w:val="21"/>
          <w:sz w:val="18"/>
        </w:rPr>
        <w:t> </w:t>
      </w:r>
      <w:r>
        <w:rPr>
          <w:color w:val="231F20"/>
          <w:sz w:val="18"/>
        </w:rPr>
        <w:t>field</w:t>
      </w:r>
      <w:r>
        <w:rPr>
          <w:color w:val="231F20"/>
          <w:spacing w:val="21"/>
          <w:sz w:val="18"/>
        </w:rPr>
        <w:t> </w:t>
      </w:r>
      <w:r>
        <w:rPr>
          <w:color w:val="231F20"/>
          <w:sz w:val="18"/>
        </w:rPr>
        <w:t>(Netcool/OMNIbus</w:t>
      </w:r>
      <w:r>
        <w:rPr>
          <w:color w:val="231F20"/>
          <w:spacing w:val="21"/>
          <w:sz w:val="18"/>
        </w:rPr>
        <w:t> </w:t>
      </w:r>
      <w:r>
        <w:rPr>
          <w:color w:val="231F20"/>
          <w:spacing w:val="-2"/>
          <w:sz w:val="18"/>
        </w:rPr>
        <w:t>events)</w:t>
      </w:r>
    </w:p>
    <w:p>
      <w:pPr>
        <w:spacing w:line="216" w:lineRule="auto" w:before="115"/>
        <w:ind w:left="6303" w:right="0" w:firstLine="0"/>
        <w:jc w:val="left"/>
        <w:rPr>
          <w:sz w:val="18"/>
        </w:rPr>
      </w:pPr>
      <w:r>
        <w:rPr>
          <w:color w:val="231F20"/>
          <w:sz w:val="18"/>
        </w:rPr>
        <w:t>This field is not used for Tivoli </w:t>
      </w:r>
      <w:r>
        <w:rPr>
          <w:color w:val="231F20"/>
          <w:sz w:val="18"/>
        </w:rPr>
        <w:t>Monitoring </w:t>
      </w:r>
      <w:r>
        <w:rPr>
          <w:color w:val="231F20"/>
          <w:spacing w:val="-2"/>
          <w:sz w:val="18"/>
        </w:rPr>
        <w:t>events.</w:t>
      </w:r>
    </w:p>
    <w:p>
      <w:pPr>
        <w:tabs>
          <w:tab w:pos="6303" w:val="left" w:leader="none"/>
        </w:tabs>
        <w:spacing w:line="241" w:lineRule="exact" w:before="3"/>
        <w:ind w:left="2472" w:right="0" w:firstLine="0"/>
        <w:jc w:val="left"/>
        <w:rPr>
          <w:sz w:val="18"/>
        </w:rPr>
      </w:pPr>
      <w:r>
        <w:rPr>
          <w:rFonts w:ascii="Book Antiqua"/>
          <w:b/>
          <w:color w:val="231F20"/>
          <w:sz w:val="18"/>
        </w:rPr>
        <w:t>Incident</w:t>
      </w:r>
      <w:r>
        <w:rPr>
          <w:rFonts w:ascii="Book Antiqua"/>
          <w:b/>
          <w:color w:val="231F20"/>
          <w:spacing w:val="7"/>
          <w:sz w:val="18"/>
        </w:rPr>
        <w:t> </w:t>
      </w:r>
      <w:r>
        <w:rPr>
          <w:rFonts w:ascii="Book Antiqua"/>
          <w:b/>
          <w:color w:val="231F20"/>
          <w:spacing w:val="-5"/>
          <w:sz w:val="18"/>
        </w:rPr>
        <w:t>ID</w:t>
      </w:r>
      <w:r>
        <w:rPr>
          <w:rFonts w:ascii="Book Antiqua"/>
          <w:b/>
          <w:color w:val="231F20"/>
          <w:sz w:val="18"/>
        </w:rPr>
        <w:tab/>
      </w:r>
      <w:r>
        <w:rPr>
          <w:color w:val="231F20"/>
          <w:sz w:val="18"/>
        </w:rPr>
        <w:t>This</w:t>
      </w:r>
      <w:r>
        <w:rPr>
          <w:color w:val="231F20"/>
          <w:spacing w:val="9"/>
          <w:sz w:val="18"/>
        </w:rPr>
        <w:t> </w:t>
      </w:r>
      <w:r>
        <w:rPr>
          <w:color w:val="231F20"/>
          <w:sz w:val="18"/>
        </w:rPr>
        <w:t>field</w:t>
      </w:r>
      <w:r>
        <w:rPr>
          <w:color w:val="231F20"/>
          <w:spacing w:val="10"/>
          <w:sz w:val="18"/>
        </w:rPr>
        <w:t> </w:t>
      </w:r>
      <w:r>
        <w:rPr>
          <w:color w:val="231F20"/>
          <w:sz w:val="18"/>
        </w:rPr>
        <w:t>is</w:t>
      </w:r>
      <w:r>
        <w:rPr>
          <w:color w:val="231F20"/>
          <w:spacing w:val="9"/>
          <w:sz w:val="18"/>
        </w:rPr>
        <w:t> </w:t>
      </w:r>
      <w:r>
        <w:rPr>
          <w:color w:val="231F20"/>
          <w:sz w:val="18"/>
        </w:rPr>
        <w:t>not</w:t>
      </w:r>
      <w:r>
        <w:rPr>
          <w:color w:val="231F20"/>
          <w:spacing w:val="10"/>
          <w:sz w:val="18"/>
        </w:rPr>
        <w:t> </w:t>
      </w:r>
      <w:r>
        <w:rPr>
          <w:color w:val="231F20"/>
          <w:sz w:val="18"/>
        </w:rPr>
        <w:t>currently</w:t>
      </w:r>
      <w:r>
        <w:rPr>
          <w:color w:val="231F20"/>
          <w:spacing w:val="9"/>
          <w:sz w:val="18"/>
        </w:rPr>
        <w:t> </w:t>
      </w:r>
      <w:r>
        <w:rPr>
          <w:color w:val="231F20"/>
          <w:spacing w:val="-2"/>
          <w:sz w:val="18"/>
        </w:rPr>
        <w:t>used.</w:t>
      </w:r>
    </w:p>
    <w:p>
      <w:pPr>
        <w:tabs>
          <w:tab w:pos="6303" w:val="left" w:leader="none"/>
        </w:tabs>
        <w:spacing w:line="240" w:lineRule="exact" w:before="0"/>
        <w:ind w:left="2472" w:right="0" w:firstLine="0"/>
        <w:jc w:val="left"/>
        <w:rPr>
          <w:sz w:val="18"/>
        </w:rPr>
      </w:pPr>
      <w:r>
        <w:rPr>
          <w:rFonts w:ascii="Book Antiqua"/>
          <w:b/>
          <w:color w:val="231F20"/>
          <w:sz w:val="18"/>
        </w:rPr>
        <w:t>Extra</w:t>
      </w:r>
      <w:r>
        <w:rPr>
          <w:rFonts w:ascii="Book Antiqua"/>
          <w:b/>
          <w:color w:val="231F20"/>
          <w:spacing w:val="8"/>
          <w:sz w:val="18"/>
        </w:rPr>
        <w:t> </w:t>
      </w:r>
      <w:r>
        <w:rPr>
          <w:rFonts w:ascii="Book Antiqua"/>
          <w:b/>
          <w:color w:val="231F20"/>
          <w:sz w:val="18"/>
        </w:rPr>
        <w:t>Column</w:t>
      </w:r>
      <w:r>
        <w:rPr>
          <w:rFonts w:ascii="Book Antiqua"/>
          <w:b/>
          <w:color w:val="231F20"/>
          <w:spacing w:val="9"/>
          <w:sz w:val="18"/>
        </w:rPr>
        <w:t> </w:t>
      </w:r>
      <w:r>
        <w:rPr>
          <w:rFonts w:ascii="Book Antiqua"/>
          <w:b/>
          <w:color w:val="231F20"/>
          <w:spacing w:val="-10"/>
          <w:sz w:val="18"/>
        </w:rPr>
        <w:t>1</w:t>
      </w:r>
      <w:r>
        <w:rPr>
          <w:rFonts w:ascii="Book Antiqua"/>
          <w:b/>
          <w:color w:val="231F20"/>
          <w:sz w:val="18"/>
        </w:rPr>
        <w:tab/>
      </w:r>
      <w:r>
        <w:rPr>
          <w:color w:val="231F20"/>
          <w:sz w:val="18"/>
        </w:rPr>
        <w:t>These</w:t>
      </w:r>
      <w:r>
        <w:rPr>
          <w:color w:val="231F20"/>
          <w:spacing w:val="8"/>
          <w:sz w:val="18"/>
        </w:rPr>
        <w:t> </w:t>
      </w:r>
      <w:r>
        <w:rPr>
          <w:color w:val="231F20"/>
          <w:sz w:val="18"/>
        </w:rPr>
        <w:t>fields</w:t>
      </w:r>
      <w:r>
        <w:rPr>
          <w:color w:val="231F20"/>
          <w:spacing w:val="8"/>
          <w:sz w:val="18"/>
        </w:rPr>
        <w:t> </w:t>
      </w:r>
      <w:r>
        <w:rPr>
          <w:color w:val="231F20"/>
          <w:sz w:val="18"/>
        </w:rPr>
        <w:t>are</w:t>
      </w:r>
      <w:r>
        <w:rPr>
          <w:color w:val="231F20"/>
          <w:spacing w:val="8"/>
          <w:sz w:val="18"/>
        </w:rPr>
        <w:t> </w:t>
      </w:r>
      <w:r>
        <w:rPr>
          <w:color w:val="231F20"/>
          <w:sz w:val="18"/>
        </w:rPr>
        <w:t>provided</w:t>
      </w:r>
      <w:r>
        <w:rPr>
          <w:color w:val="231F20"/>
          <w:spacing w:val="8"/>
          <w:sz w:val="18"/>
        </w:rPr>
        <w:t> </w:t>
      </w:r>
      <w:r>
        <w:rPr>
          <w:color w:val="231F20"/>
          <w:sz w:val="18"/>
        </w:rPr>
        <w:t>for</w:t>
      </w:r>
      <w:r>
        <w:rPr>
          <w:color w:val="231F20"/>
          <w:spacing w:val="8"/>
          <w:sz w:val="18"/>
        </w:rPr>
        <w:t> </w:t>
      </w:r>
      <w:r>
        <w:rPr>
          <w:color w:val="231F20"/>
          <w:spacing w:val="-2"/>
          <w:sz w:val="18"/>
        </w:rPr>
        <w:t>mapping</w:t>
      </w:r>
    </w:p>
    <w:p>
      <w:pPr>
        <w:spacing w:after="0" w:line="240" w:lineRule="exact"/>
        <w:jc w:val="left"/>
        <w:rPr>
          <w:sz w:val="18"/>
        </w:rPr>
        <w:sectPr>
          <w:pgSz w:w="12240" w:h="15840"/>
          <w:pgMar w:header="0" w:footer="736" w:top="1260" w:bottom="920" w:left="1000" w:right="1060"/>
        </w:sectPr>
      </w:pPr>
    </w:p>
    <w:p>
      <w:pPr>
        <w:spacing w:before="17"/>
        <w:ind w:left="2472" w:right="0" w:firstLine="0"/>
        <w:jc w:val="left"/>
        <w:rPr>
          <w:rFonts w:ascii="Book Antiqua"/>
          <w:b/>
          <w:sz w:val="18"/>
        </w:rPr>
      </w:pPr>
      <w:r>
        <w:rPr>
          <w:rFonts w:ascii="Book Antiqua"/>
          <w:b/>
          <w:color w:val="231F20"/>
          <w:sz w:val="18"/>
        </w:rPr>
        <w:t>Extra</w:t>
      </w:r>
      <w:r>
        <w:rPr>
          <w:rFonts w:ascii="Book Antiqua"/>
          <w:b/>
          <w:color w:val="231F20"/>
          <w:spacing w:val="8"/>
          <w:sz w:val="18"/>
        </w:rPr>
        <w:t> </w:t>
      </w:r>
      <w:r>
        <w:rPr>
          <w:rFonts w:ascii="Book Antiqua"/>
          <w:b/>
          <w:color w:val="231F20"/>
          <w:sz w:val="18"/>
        </w:rPr>
        <w:t>Column</w:t>
      </w:r>
      <w:r>
        <w:rPr>
          <w:rFonts w:ascii="Book Antiqua"/>
          <w:b/>
          <w:color w:val="231F20"/>
          <w:spacing w:val="9"/>
          <w:sz w:val="18"/>
        </w:rPr>
        <w:t> </w:t>
      </w:r>
      <w:r>
        <w:rPr>
          <w:rFonts w:ascii="Book Antiqua"/>
          <w:b/>
          <w:color w:val="231F20"/>
          <w:spacing w:val="-10"/>
          <w:sz w:val="18"/>
        </w:rPr>
        <w:t>2</w:t>
      </w:r>
    </w:p>
    <w:p>
      <w:pPr>
        <w:spacing w:before="22"/>
        <w:ind w:left="2472" w:right="0" w:firstLine="0"/>
        <w:jc w:val="left"/>
        <w:rPr>
          <w:rFonts w:ascii="Book Antiqua"/>
          <w:b/>
          <w:sz w:val="18"/>
        </w:rPr>
      </w:pPr>
      <w:r>
        <w:rPr>
          <w:rFonts w:ascii="Book Antiqua"/>
          <w:b/>
          <w:color w:val="231F20"/>
          <w:sz w:val="18"/>
        </w:rPr>
        <w:t>Extra</w:t>
      </w:r>
      <w:r>
        <w:rPr>
          <w:rFonts w:ascii="Book Antiqua"/>
          <w:b/>
          <w:color w:val="231F20"/>
          <w:spacing w:val="8"/>
          <w:sz w:val="18"/>
        </w:rPr>
        <w:t> </w:t>
      </w:r>
      <w:r>
        <w:rPr>
          <w:rFonts w:ascii="Book Antiqua"/>
          <w:b/>
          <w:color w:val="231F20"/>
          <w:sz w:val="18"/>
        </w:rPr>
        <w:t>Column</w:t>
      </w:r>
      <w:r>
        <w:rPr>
          <w:rFonts w:ascii="Book Antiqua"/>
          <w:b/>
          <w:color w:val="231F20"/>
          <w:spacing w:val="9"/>
          <w:sz w:val="18"/>
        </w:rPr>
        <w:t> </w:t>
      </w:r>
      <w:r>
        <w:rPr>
          <w:rFonts w:ascii="Book Antiqua"/>
          <w:b/>
          <w:color w:val="231F20"/>
          <w:spacing w:val="-10"/>
          <w:sz w:val="18"/>
        </w:rPr>
        <w:t>3</w:t>
      </w:r>
    </w:p>
    <w:p>
      <w:pPr>
        <w:spacing w:before="23"/>
        <w:ind w:left="2472" w:right="0" w:firstLine="0"/>
        <w:jc w:val="left"/>
        <w:rPr>
          <w:rFonts w:ascii="Book Antiqua"/>
          <w:b/>
          <w:sz w:val="18"/>
        </w:rPr>
      </w:pPr>
      <w:r>
        <w:rPr>
          <w:rFonts w:ascii="Book Antiqua"/>
          <w:b/>
          <w:color w:val="231F20"/>
          <w:sz w:val="18"/>
        </w:rPr>
        <w:t>Extra</w:t>
      </w:r>
      <w:r>
        <w:rPr>
          <w:rFonts w:ascii="Book Antiqua"/>
          <w:b/>
          <w:color w:val="231F20"/>
          <w:spacing w:val="8"/>
          <w:sz w:val="18"/>
        </w:rPr>
        <w:t> </w:t>
      </w:r>
      <w:r>
        <w:rPr>
          <w:rFonts w:ascii="Book Antiqua"/>
          <w:b/>
          <w:color w:val="231F20"/>
          <w:sz w:val="18"/>
        </w:rPr>
        <w:t>Column</w:t>
      </w:r>
      <w:r>
        <w:rPr>
          <w:rFonts w:ascii="Book Antiqua"/>
          <w:b/>
          <w:color w:val="231F20"/>
          <w:spacing w:val="9"/>
          <w:sz w:val="18"/>
        </w:rPr>
        <w:t> </w:t>
      </w:r>
      <w:r>
        <w:rPr>
          <w:rFonts w:ascii="Book Antiqua"/>
          <w:b/>
          <w:color w:val="231F20"/>
          <w:spacing w:val="-10"/>
          <w:sz w:val="18"/>
        </w:rPr>
        <w:t>4</w:t>
      </w:r>
    </w:p>
    <w:p>
      <w:pPr>
        <w:spacing w:line="264" w:lineRule="auto" w:before="22"/>
        <w:ind w:left="2472" w:right="0" w:firstLine="0"/>
        <w:jc w:val="left"/>
        <w:rPr>
          <w:rFonts w:ascii="Book Antiqua"/>
          <w:b/>
          <w:sz w:val="18"/>
        </w:rPr>
      </w:pPr>
      <w:r>
        <w:rPr>
          <w:rFonts w:ascii="Book Antiqua"/>
          <w:b/>
          <w:color w:val="231F20"/>
          <w:sz w:val="18"/>
        </w:rPr>
        <w:t>Extra</w:t>
      </w:r>
      <w:r>
        <w:rPr>
          <w:rFonts w:ascii="Book Antiqua"/>
          <w:b/>
          <w:color w:val="231F20"/>
          <w:spacing w:val="-7"/>
          <w:sz w:val="18"/>
        </w:rPr>
        <w:t> </w:t>
      </w:r>
      <w:r>
        <w:rPr>
          <w:rFonts w:ascii="Book Antiqua"/>
          <w:b/>
          <w:color w:val="231F20"/>
          <w:sz w:val="18"/>
        </w:rPr>
        <w:t>Column</w:t>
      </w:r>
      <w:r>
        <w:rPr>
          <w:rFonts w:ascii="Book Antiqua"/>
          <w:b/>
          <w:color w:val="231F20"/>
          <w:spacing w:val="-6"/>
          <w:sz w:val="18"/>
        </w:rPr>
        <w:t> </w:t>
      </w:r>
      <w:r>
        <w:rPr>
          <w:rFonts w:ascii="Book Antiqua"/>
          <w:b/>
          <w:color w:val="231F20"/>
          <w:sz w:val="18"/>
        </w:rPr>
        <w:t>5 Short Name</w:t>
      </w:r>
    </w:p>
    <w:p>
      <w:pPr>
        <w:spacing w:line="216" w:lineRule="auto" w:before="0"/>
        <w:ind w:left="2472" w:right="279" w:firstLine="0"/>
        <w:jc w:val="left"/>
        <w:rPr>
          <w:sz w:val="18"/>
        </w:rPr>
      </w:pPr>
      <w:r>
        <w:rPr/>
        <w:br w:type="column"/>
      </w:r>
      <w:r>
        <w:rPr>
          <w:color w:val="231F20"/>
          <w:sz w:val="18"/>
        </w:rPr>
        <w:t>additional event data. If these fields are</w:t>
      </w:r>
      <w:r>
        <w:rPr>
          <w:color w:val="231F20"/>
          <w:spacing w:val="40"/>
          <w:sz w:val="18"/>
        </w:rPr>
        <w:t> </w:t>
      </w:r>
      <w:r>
        <w:rPr>
          <w:color w:val="231F20"/>
          <w:sz w:val="18"/>
        </w:rPr>
        <w:t>being used to display user-defined </w:t>
      </w:r>
      <w:r>
        <w:rPr>
          <w:color w:val="231F20"/>
          <w:sz w:val="18"/>
        </w:rPr>
        <w:t>columns, the field names might appear different from those shown here.</w:t>
      </w:r>
    </w:p>
    <w:p>
      <w:pPr>
        <w:spacing w:after="0" w:line="216" w:lineRule="auto"/>
        <w:jc w:val="left"/>
        <w:rPr>
          <w:sz w:val="18"/>
        </w:rPr>
        <w:sectPr>
          <w:type w:val="continuous"/>
          <w:pgSz w:w="12240" w:h="15840"/>
          <w:pgMar w:header="0" w:footer="736" w:top="0" w:bottom="4660" w:left="1000" w:right="1060"/>
          <w:cols w:num="2" w:equalWidth="0">
            <w:col w:w="3770" w:space="62"/>
            <w:col w:w="6348"/>
          </w:cols>
        </w:sectPr>
      </w:pPr>
    </w:p>
    <w:p>
      <w:pPr>
        <w:pStyle w:val="BodyText"/>
        <w:spacing w:before="168"/>
      </w:pPr>
    </w:p>
    <w:p>
      <w:pPr>
        <w:pStyle w:val="BodyText"/>
        <w:spacing w:line="213" w:lineRule="auto" w:before="1"/>
        <w:ind w:left="2472" w:right="545"/>
      </w:pPr>
      <w:r>
        <w:rPr>
          <w:color w:val="231F20"/>
        </w:rPr>
        <w:t>The features that are available to the table view, such as column locking, can be </w:t>
      </w:r>
      <w:bookmarkStart w:name="Filtering events by column value" w:id="254"/>
      <w:bookmarkEnd w:id="254"/>
      <w:r>
        <w:rPr>
          <w:color w:val="231F20"/>
        </w:rPr>
        <w:t>used</w:t>
      </w:r>
      <w:r>
        <w:rPr>
          <w:color w:val="231F20"/>
        </w:rPr>
        <w:t> in the common event console view. (See </w:t>
      </w:r>
      <w:hyperlink w:history="true" w:anchor="_bookmark75">
        <w:r>
          <w:rPr>
            <w:color w:val="231F20"/>
          </w:rPr>
          <w:t>“Table view features” on page 98.)</w:t>
        </w:r>
      </w:hyperlink>
    </w:p>
    <w:p>
      <w:pPr>
        <w:pStyle w:val="Heading4"/>
        <w:spacing w:line="273" w:lineRule="exact" w:before="165"/>
        <w:ind w:left="2472"/>
      </w:pPr>
      <w:r>
        <w:rPr>
          <w:color w:val="231F20"/>
        </w:rPr>
        <w:t>Filtering</w:t>
      </w:r>
      <w:r>
        <w:rPr>
          <w:color w:val="231F20"/>
          <w:spacing w:val="5"/>
        </w:rPr>
        <w:t> </w:t>
      </w:r>
      <w:r>
        <w:rPr>
          <w:color w:val="231F20"/>
        </w:rPr>
        <w:t>events</w:t>
      </w:r>
      <w:r>
        <w:rPr>
          <w:color w:val="231F20"/>
          <w:spacing w:val="6"/>
        </w:rPr>
        <w:t> </w:t>
      </w:r>
      <w:r>
        <w:rPr>
          <w:color w:val="231F20"/>
        </w:rPr>
        <w:t>by</w:t>
      </w:r>
      <w:r>
        <w:rPr>
          <w:color w:val="231F20"/>
          <w:spacing w:val="6"/>
        </w:rPr>
        <w:t> </w:t>
      </w:r>
      <w:r>
        <w:rPr>
          <w:color w:val="231F20"/>
        </w:rPr>
        <w:t>column</w:t>
      </w:r>
      <w:r>
        <w:rPr>
          <w:color w:val="231F20"/>
          <w:spacing w:val="6"/>
        </w:rPr>
        <w:t> </w:t>
      </w:r>
      <w:r>
        <w:rPr>
          <w:color w:val="231F20"/>
          <w:spacing w:val="-2"/>
        </w:rPr>
        <w:t>value</w:t>
      </w:r>
    </w:p>
    <w:p>
      <w:pPr>
        <w:pStyle w:val="BodyText"/>
        <w:spacing w:line="213" w:lineRule="auto" w:before="19"/>
        <w:ind w:left="2472"/>
      </w:pPr>
      <w:r>
        <w:rPr>
          <w:color w:val="231F20"/>
        </w:rPr>
        <w:t>You can use the popup menu to filter the displayed events based on any </w:t>
      </w:r>
      <w:r>
        <w:rPr>
          <w:color w:val="231F20"/>
        </w:rPr>
        <w:t>displayed attribute value, or a combination of attribute values.</w:t>
      </w:r>
    </w:p>
    <w:p>
      <w:pPr>
        <w:pStyle w:val="Heading5"/>
        <w:spacing w:before="219"/>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472"/>
      </w:pPr>
      <w:r>
        <w:rPr>
          <w:color w:val="231F20"/>
        </w:rPr>
        <w:t>To</w:t>
      </w:r>
      <w:r>
        <w:rPr>
          <w:color w:val="231F20"/>
          <w:spacing w:val="9"/>
        </w:rPr>
        <w:t> </w:t>
      </w:r>
      <w:r>
        <w:rPr>
          <w:color w:val="231F20"/>
        </w:rPr>
        <w:t>apply</w:t>
      </w:r>
      <w:r>
        <w:rPr>
          <w:color w:val="231F20"/>
          <w:spacing w:val="10"/>
        </w:rPr>
        <w:t> </w:t>
      </w:r>
      <w:r>
        <w:rPr>
          <w:color w:val="231F20"/>
        </w:rPr>
        <w:t>a</w:t>
      </w:r>
      <w:r>
        <w:rPr>
          <w:color w:val="231F20"/>
          <w:spacing w:val="10"/>
        </w:rPr>
        <w:t> </w:t>
      </w:r>
      <w:r>
        <w:rPr>
          <w:color w:val="231F20"/>
        </w:rPr>
        <w:t>quick</w:t>
      </w:r>
      <w:r>
        <w:rPr>
          <w:color w:val="231F20"/>
          <w:spacing w:val="9"/>
        </w:rPr>
        <w:t> </w:t>
      </w:r>
      <w:r>
        <w:rPr>
          <w:color w:val="231F20"/>
        </w:rPr>
        <w:t>filter</w:t>
      </w:r>
      <w:r>
        <w:rPr>
          <w:color w:val="231F20"/>
          <w:spacing w:val="10"/>
        </w:rPr>
        <w:t> </w:t>
      </w:r>
      <w:r>
        <w:rPr>
          <w:color w:val="231F20"/>
        </w:rPr>
        <w:t>using</w:t>
      </w:r>
      <w:r>
        <w:rPr>
          <w:color w:val="231F20"/>
          <w:spacing w:val="10"/>
        </w:rPr>
        <w:t> </w:t>
      </w:r>
      <w:r>
        <w:rPr>
          <w:color w:val="231F20"/>
        </w:rPr>
        <w:t>the</w:t>
      </w:r>
      <w:r>
        <w:rPr>
          <w:color w:val="231F20"/>
          <w:spacing w:val="10"/>
        </w:rPr>
        <w:t> </w:t>
      </w:r>
      <w:r>
        <w:rPr>
          <w:color w:val="231F20"/>
        </w:rPr>
        <w:t>popup</w:t>
      </w:r>
      <w:r>
        <w:rPr>
          <w:color w:val="231F20"/>
          <w:spacing w:val="9"/>
        </w:rPr>
        <w:t> </w:t>
      </w:r>
      <w:r>
        <w:rPr>
          <w:color w:val="231F20"/>
          <w:spacing w:val="-2"/>
        </w:rPr>
        <w:t>menu:</w:t>
      </w:r>
    </w:p>
    <w:p>
      <w:pPr>
        <w:pStyle w:val="Heading5"/>
        <w:spacing w:before="213"/>
      </w:pPr>
      <w:r>
        <w:rPr>
          <w:color w:val="231F20"/>
          <w:spacing w:val="-2"/>
        </w:rPr>
        <w:t>Procedure</w:t>
      </w:r>
    </w:p>
    <w:p>
      <w:pPr>
        <w:pStyle w:val="ListParagraph"/>
        <w:numPr>
          <w:ilvl w:val="0"/>
          <w:numId w:val="77"/>
        </w:numPr>
        <w:tabs>
          <w:tab w:pos="2788" w:val="left" w:leader="none"/>
        </w:tabs>
        <w:spacing w:line="213" w:lineRule="auto" w:before="66" w:after="0"/>
        <w:ind w:left="2788" w:right="271" w:hanging="316"/>
        <w:jc w:val="left"/>
        <w:rPr>
          <w:sz w:val="20"/>
        </w:rPr>
      </w:pPr>
      <w:r>
        <w:rPr>
          <w:color w:val="231F20"/>
          <w:sz w:val="20"/>
        </w:rPr>
        <w:t>Right-click in a table cell that contains the value you want to use to filter the</w:t>
      </w:r>
      <w:r>
        <w:rPr>
          <w:color w:val="231F20"/>
          <w:spacing w:val="40"/>
          <w:sz w:val="20"/>
        </w:rPr>
        <w:t> </w:t>
      </w:r>
      <w:r>
        <w:rPr>
          <w:color w:val="231F20"/>
          <w:sz w:val="20"/>
        </w:rPr>
        <w:t>displayed events. For example, if you want to see only events originating </w:t>
      </w:r>
      <w:r>
        <w:rPr>
          <w:color w:val="231F20"/>
          <w:sz w:val="20"/>
        </w:rPr>
        <w:t>from</w:t>
      </w:r>
      <w:r>
        <w:rPr>
          <w:color w:val="231F20"/>
          <w:spacing w:val="80"/>
          <w:sz w:val="20"/>
        </w:rPr>
        <w:t> </w:t>
      </w:r>
      <w:r>
        <w:rPr>
          <w:color w:val="231F20"/>
          <w:sz w:val="20"/>
        </w:rPr>
        <w:t>a particular monitored system, right-click a cell in the </w:t>
      </w:r>
      <w:r>
        <w:rPr>
          <w:rFonts w:ascii="Book Antiqua"/>
          <w:b/>
          <w:color w:val="231F20"/>
          <w:sz w:val="20"/>
        </w:rPr>
        <w:t>Source </w:t>
      </w:r>
      <w:r>
        <w:rPr>
          <w:color w:val="231F20"/>
          <w:sz w:val="20"/>
        </w:rPr>
        <w:t>column that contains the name of the system you are interested in.</w:t>
      </w:r>
    </w:p>
    <w:p>
      <w:pPr>
        <w:pStyle w:val="ListParagraph"/>
        <w:numPr>
          <w:ilvl w:val="0"/>
          <w:numId w:val="77"/>
        </w:numPr>
        <w:tabs>
          <w:tab w:pos="2787" w:val="left" w:leader="none"/>
        </w:tabs>
        <w:spacing w:line="240" w:lineRule="auto" w:before="34" w:after="0"/>
        <w:ind w:left="2787" w:right="0" w:hanging="315"/>
        <w:jc w:val="left"/>
        <w:rPr>
          <w:sz w:val="20"/>
        </w:rPr>
      </w:pPr>
      <w:r>
        <w:rPr>
          <w:color w:val="231F20"/>
          <w:sz w:val="20"/>
        </w:rPr>
        <w:t>Click</w:t>
      </w:r>
      <w:r>
        <w:rPr>
          <w:color w:val="231F20"/>
          <w:spacing w:val="11"/>
          <w:sz w:val="20"/>
        </w:rPr>
        <w:t> </w:t>
      </w:r>
      <w:r>
        <w:rPr>
          <w:rFonts w:ascii="Book Antiqua"/>
          <w:b/>
          <w:color w:val="231F20"/>
          <w:sz w:val="20"/>
        </w:rPr>
        <w:t>Set</w:t>
      </w:r>
      <w:r>
        <w:rPr>
          <w:rFonts w:ascii="Book Antiqua"/>
          <w:b/>
          <w:color w:val="231F20"/>
          <w:spacing w:val="12"/>
          <w:sz w:val="20"/>
        </w:rPr>
        <w:t> </w:t>
      </w:r>
      <w:r>
        <w:rPr>
          <w:rFonts w:ascii="Book Antiqua"/>
          <w:b/>
          <w:color w:val="231F20"/>
          <w:sz w:val="20"/>
        </w:rPr>
        <w:t>Quick</w:t>
      </w:r>
      <w:r>
        <w:rPr>
          <w:rFonts w:ascii="Book Antiqua"/>
          <w:b/>
          <w:color w:val="231F20"/>
          <w:spacing w:val="11"/>
          <w:sz w:val="20"/>
        </w:rPr>
        <w:t> </w:t>
      </w:r>
      <w:r>
        <w:rPr>
          <w:rFonts w:ascii="Book Antiqua"/>
          <w:b/>
          <w:color w:val="231F20"/>
          <w:spacing w:val="-2"/>
          <w:sz w:val="20"/>
        </w:rPr>
        <w:t>Filter</w:t>
      </w:r>
      <w:r>
        <w:rPr>
          <w:color w:val="231F20"/>
          <w:spacing w:val="-2"/>
          <w:sz w:val="20"/>
        </w:rPr>
        <w:t>.</w:t>
      </w:r>
    </w:p>
    <w:p>
      <w:pPr>
        <w:pStyle w:val="ListParagraph"/>
        <w:numPr>
          <w:ilvl w:val="0"/>
          <w:numId w:val="77"/>
        </w:numPr>
        <w:tabs>
          <w:tab w:pos="2788" w:val="left" w:leader="none"/>
        </w:tabs>
        <w:spacing w:line="213" w:lineRule="auto" w:before="53" w:after="0"/>
        <w:ind w:left="2788" w:right="191" w:hanging="316"/>
        <w:jc w:val="left"/>
        <w:rPr>
          <w:sz w:val="20"/>
        </w:rPr>
      </w:pPr>
      <w:r>
        <w:rPr>
          <w:color w:val="231F20"/>
          <w:sz w:val="20"/>
        </w:rPr>
        <w:t>Select the filter you want to apply. The initial filter is specified using the format </w:t>
      </w:r>
      <w:r>
        <w:rPr>
          <w:rFonts w:ascii="Book Antiqua"/>
          <w:b/>
          <w:i/>
          <w:color w:val="231F20"/>
          <w:sz w:val="20"/>
        </w:rPr>
        <w:t>attribute </w:t>
      </w:r>
      <w:r>
        <w:rPr>
          <w:rFonts w:ascii="Book Antiqua"/>
          <w:b/>
          <w:color w:val="231F20"/>
          <w:sz w:val="20"/>
        </w:rPr>
        <w:t>EQ </w:t>
      </w:r>
      <w:r>
        <w:rPr>
          <w:rFonts w:ascii="Book Antiqua"/>
          <w:b/>
          <w:i/>
          <w:color w:val="231F20"/>
          <w:sz w:val="20"/>
        </w:rPr>
        <w:t>value</w:t>
      </w:r>
      <w:r>
        <w:rPr>
          <w:color w:val="231F20"/>
          <w:sz w:val="20"/>
        </w:rPr>
        <w:t>. For example, the filter </w:t>
      </w:r>
      <w:r>
        <w:rPr>
          <w:rFonts w:ascii="Book Antiqua"/>
          <w:b/>
          <w:color w:val="231F20"/>
          <w:sz w:val="20"/>
        </w:rPr>
        <w:t>Owner EQ SYSADMIN </w:t>
      </w:r>
      <w:r>
        <w:rPr>
          <w:color w:val="231F20"/>
          <w:sz w:val="20"/>
        </w:rPr>
        <w:t>matches events whose owner is SYSADMIN.</w:t>
      </w:r>
    </w:p>
    <w:p>
      <w:pPr>
        <w:pStyle w:val="ListParagraph"/>
        <w:numPr>
          <w:ilvl w:val="0"/>
          <w:numId w:val="77"/>
        </w:numPr>
        <w:tabs>
          <w:tab w:pos="2788" w:val="left" w:leader="none"/>
        </w:tabs>
        <w:spacing w:line="213" w:lineRule="auto" w:before="58" w:after="0"/>
        <w:ind w:left="2788" w:right="363" w:hanging="316"/>
        <w:jc w:val="left"/>
        <w:rPr>
          <w:sz w:val="20"/>
        </w:rPr>
      </w:pPr>
      <w:r>
        <w:rPr>
          <w:color w:val="231F20"/>
          <w:sz w:val="20"/>
        </w:rPr>
        <w:t>To apply an additional filter, repeat the same steps using a different table cell. An additional filter is specified as a logical AND clause (for example, </w:t>
      </w:r>
      <w:r>
        <w:rPr>
          <w:rFonts w:ascii="Book Antiqua"/>
          <w:b/>
          <w:color w:val="231F20"/>
          <w:sz w:val="20"/>
        </w:rPr>
        <w:t>AND Situation EQ NT_Log_Space_Low</w:t>
      </w:r>
      <w:r>
        <w:rPr>
          <w:color w:val="231F20"/>
          <w:sz w:val="20"/>
        </w:rPr>
        <w:t>).</w:t>
      </w:r>
    </w:p>
    <w:p>
      <w:pPr>
        <w:spacing w:after="0" w:line="213" w:lineRule="auto"/>
        <w:jc w:val="left"/>
        <w:rPr>
          <w:sz w:val="20"/>
        </w:rPr>
        <w:sectPr>
          <w:type w:val="continuous"/>
          <w:pgSz w:w="12240" w:h="15840"/>
          <w:pgMar w:header="0" w:footer="736" w:top="0" w:bottom="4660" w:left="1000" w:right="1060"/>
        </w:sectPr>
      </w:pPr>
    </w:p>
    <w:p>
      <w:pPr>
        <w:pStyle w:val="Heading4"/>
        <w:spacing w:line="273" w:lineRule="exact" w:before="91"/>
      </w:pPr>
      <w:bookmarkStart w:name="_bookmark118" w:id="255"/>
      <w:bookmarkEnd w:id="255"/>
      <w:r>
        <w:rPr>
          <w:b w:val="0"/>
        </w:rPr>
      </w:r>
      <w:bookmarkStart w:name="Removing a quick filter from an event co" w:id="256"/>
      <w:bookmarkEnd w:id="256"/>
      <w:r>
        <w:rPr>
          <w:b w:val="0"/>
        </w:rPr>
      </w:r>
      <w:r>
        <w:rPr>
          <w:color w:val="231F20"/>
        </w:rPr>
        <w:t>Removing</w:t>
      </w:r>
      <w:r>
        <w:rPr>
          <w:color w:val="231F20"/>
          <w:spacing w:val="7"/>
        </w:rPr>
        <w:t> </w:t>
      </w:r>
      <w:r>
        <w:rPr>
          <w:color w:val="231F20"/>
        </w:rPr>
        <w:t>a</w:t>
      </w:r>
      <w:r>
        <w:rPr>
          <w:color w:val="231F20"/>
          <w:spacing w:val="7"/>
        </w:rPr>
        <w:t> </w:t>
      </w:r>
      <w:r>
        <w:rPr>
          <w:color w:val="231F20"/>
        </w:rPr>
        <w:t>quick</w:t>
      </w:r>
      <w:r>
        <w:rPr>
          <w:color w:val="231F20"/>
          <w:spacing w:val="8"/>
        </w:rPr>
        <w:t> </w:t>
      </w:r>
      <w:r>
        <w:rPr>
          <w:color w:val="231F20"/>
        </w:rPr>
        <w:t>filter</w:t>
      </w:r>
      <w:r>
        <w:rPr>
          <w:color w:val="231F20"/>
          <w:spacing w:val="7"/>
        </w:rPr>
        <w:t> </w:t>
      </w:r>
      <w:r>
        <w:rPr>
          <w:color w:val="231F20"/>
        </w:rPr>
        <w:t>from</w:t>
      </w:r>
      <w:r>
        <w:rPr>
          <w:color w:val="231F20"/>
          <w:spacing w:val="8"/>
        </w:rPr>
        <w:t> </w:t>
      </w:r>
      <w:r>
        <w:rPr>
          <w:color w:val="231F20"/>
        </w:rPr>
        <w:t>an</w:t>
      </w:r>
      <w:r>
        <w:rPr>
          <w:color w:val="231F20"/>
          <w:spacing w:val="7"/>
        </w:rPr>
        <w:t> </w:t>
      </w:r>
      <w:r>
        <w:rPr>
          <w:color w:val="231F20"/>
        </w:rPr>
        <w:t>event</w:t>
      </w:r>
      <w:r>
        <w:rPr>
          <w:color w:val="231F20"/>
          <w:spacing w:val="8"/>
        </w:rPr>
        <w:t> </w:t>
      </w:r>
      <w:r>
        <w:rPr>
          <w:color w:val="231F20"/>
          <w:spacing w:val="-2"/>
        </w:rPr>
        <w:t>console</w:t>
      </w:r>
    </w:p>
    <w:p>
      <w:pPr>
        <w:pStyle w:val="BodyText"/>
        <w:spacing w:line="213" w:lineRule="auto" w:before="20"/>
        <w:ind w:left="2232" w:right="636"/>
      </w:pPr>
      <w:r>
        <w:rPr>
          <w:color w:val="231F20"/>
        </w:rPr>
        <w:t>You can use the pop-up menu in any table cell to remove a quick filter, or to remove all quick filters.</w:t>
      </w:r>
    </w:p>
    <w:p>
      <w:pPr>
        <w:pStyle w:val="Heading5"/>
        <w:spacing w:before="219"/>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232"/>
      </w:pPr>
      <w:r>
        <w:rPr>
          <w:color w:val="231F20"/>
        </w:rPr>
        <w:t>To</w:t>
      </w:r>
      <w:r>
        <w:rPr>
          <w:color w:val="231F20"/>
          <w:spacing w:val="6"/>
        </w:rPr>
        <w:t> </w:t>
      </w:r>
      <w:r>
        <w:rPr>
          <w:color w:val="231F20"/>
        </w:rPr>
        <w:t>remove</w:t>
      </w:r>
      <w:r>
        <w:rPr>
          <w:color w:val="231F20"/>
          <w:spacing w:val="7"/>
        </w:rPr>
        <w:t> </w:t>
      </w:r>
      <w:r>
        <w:rPr>
          <w:color w:val="231F20"/>
        </w:rPr>
        <w:t>a</w:t>
      </w:r>
      <w:r>
        <w:rPr>
          <w:color w:val="231F20"/>
          <w:spacing w:val="6"/>
        </w:rPr>
        <w:t> </w:t>
      </w:r>
      <w:r>
        <w:rPr>
          <w:color w:val="231F20"/>
        </w:rPr>
        <w:t>quick</w:t>
      </w:r>
      <w:r>
        <w:rPr>
          <w:color w:val="231F20"/>
          <w:spacing w:val="7"/>
        </w:rPr>
        <w:t> </w:t>
      </w:r>
      <w:r>
        <w:rPr>
          <w:color w:val="231F20"/>
          <w:spacing w:val="-2"/>
        </w:rPr>
        <w:t>filter:</w:t>
      </w:r>
    </w:p>
    <w:p>
      <w:pPr>
        <w:pStyle w:val="Heading5"/>
        <w:spacing w:before="213"/>
        <w:ind w:left="2232"/>
      </w:pPr>
      <w:r>
        <w:rPr>
          <w:color w:val="231F20"/>
          <w:spacing w:val="-2"/>
        </w:rPr>
        <w:t>Procedure</w:t>
      </w:r>
    </w:p>
    <w:p>
      <w:pPr>
        <w:pStyle w:val="ListParagraph"/>
        <w:numPr>
          <w:ilvl w:val="0"/>
          <w:numId w:val="78"/>
        </w:numPr>
        <w:tabs>
          <w:tab w:pos="2547" w:val="left" w:leader="none"/>
        </w:tabs>
        <w:spacing w:line="240" w:lineRule="auto" w:before="43" w:after="0"/>
        <w:ind w:left="2547" w:right="0" w:hanging="315"/>
        <w:jc w:val="left"/>
        <w:rPr>
          <w:sz w:val="20"/>
        </w:rPr>
      </w:pPr>
      <w:r>
        <w:rPr>
          <w:color w:val="231F20"/>
          <w:sz w:val="20"/>
        </w:rPr>
        <w:t>Right-click</w:t>
      </w:r>
      <w:r>
        <w:rPr>
          <w:color w:val="231F20"/>
          <w:spacing w:val="11"/>
          <w:sz w:val="20"/>
        </w:rPr>
        <w:t> </w:t>
      </w:r>
      <w:r>
        <w:rPr>
          <w:color w:val="231F20"/>
          <w:sz w:val="20"/>
        </w:rPr>
        <w:t>in</w:t>
      </w:r>
      <w:r>
        <w:rPr>
          <w:color w:val="231F20"/>
          <w:spacing w:val="11"/>
          <w:sz w:val="20"/>
        </w:rPr>
        <w:t> </w:t>
      </w:r>
      <w:r>
        <w:rPr>
          <w:color w:val="231F20"/>
          <w:sz w:val="20"/>
        </w:rPr>
        <w:t>any</w:t>
      </w:r>
      <w:r>
        <w:rPr>
          <w:color w:val="231F20"/>
          <w:spacing w:val="11"/>
          <w:sz w:val="20"/>
        </w:rPr>
        <w:t> </w:t>
      </w:r>
      <w:r>
        <w:rPr>
          <w:color w:val="231F20"/>
          <w:sz w:val="20"/>
        </w:rPr>
        <w:t>table</w:t>
      </w:r>
      <w:r>
        <w:rPr>
          <w:color w:val="231F20"/>
          <w:spacing w:val="12"/>
          <w:sz w:val="20"/>
        </w:rPr>
        <w:t> </w:t>
      </w:r>
      <w:r>
        <w:rPr>
          <w:color w:val="231F20"/>
          <w:spacing w:val="-4"/>
          <w:sz w:val="20"/>
        </w:rPr>
        <w:t>cell.</w:t>
      </w:r>
    </w:p>
    <w:p>
      <w:pPr>
        <w:pStyle w:val="ListParagraph"/>
        <w:numPr>
          <w:ilvl w:val="0"/>
          <w:numId w:val="78"/>
        </w:numPr>
        <w:tabs>
          <w:tab w:pos="2547" w:val="left" w:leader="none"/>
        </w:tabs>
        <w:spacing w:line="240" w:lineRule="auto" w:before="29" w:after="0"/>
        <w:ind w:left="2547" w:right="0" w:hanging="315"/>
        <w:jc w:val="left"/>
        <w:rPr>
          <w:sz w:val="20"/>
        </w:rPr>
      </w:pPr>
      <w:r>
        <w:rPr>
          <w:color w:val="231F20"/>
          <w:sz w:val="20"/>
        </w:rPr>
        <w:t>Select</w:t>
      </w:r>
      <w:r>
        <w:rPr>
          <w:color w:val="231F20"/>
          <w:spacing w:val="11"/>
          <w:sz w:val="20"/>
        </w:rPr>
        <w:t> </w:t>
      </w:r>
      <w:r>
        <w:rPr>
          <w:rFonts w:ascii="Book Antiqua"/>
          <w:b/>
          <w:color w:val="231F20"/>
          <w:sz w:val="20"/>
        </w:rPr>
        <w:t>Set</w:t>
      </w:r>
      <w:r>
        <w:rPr>
          <w:rFonts w:ascii="Book Antiqua"/>
          <w:b/>
          <w:color w:val="231F20"/>
          <w:spacing w:val="11"/>
          <w:sz w:val="20"/>
        </w:rPr>
        <w:t> </w:t>
      </w:r>
      <w:r>
        <w:rPr>
          <w:rFonts w:ascii="Book Antiqua"/>
          <w:b/>
          <w:color w:val="231F20"/>
          <w:sz w:val="20"/>
        </w:rPr>
        <w:t>Quick</w:t>
      </w:r>
      <w:r>
        <w:rPr>
          <w:rFonts w:ascii="Book Antiqua"/>
          <w:b/>
          <w:color w:val="231F20"/>
          <w:spacing w:val="12"/>
          <w:sz w:val="20"/>
        </w:rPr>
        <w:t> </w:t>
      </w:r>
      <w:r>
        <w:rPr>
          <w:rFonts w:ascii="Book Antiqua"/>
          <w:b/>
          <w:color w:val="231F20"/>
          <w:spacing w:val="-2"/>
          <w:sz w:val="20"/>
        </w:rPr>
        <w:t>Filter</w:t>
      </w:r>
      <w:r>
        <w:rPr>
          <w:color w:val="231F20"/>
          <w:spacing w:val="-2"/>
          <w:sz w:val="20"/>
        </w:rPr>
        <w:t>.</w:t>
      </w:r>
    </w:p>
    <w:p>
      <w:pPr>
        <w:pStyle w:val="ListParagraph"/>
        <w:numPr>
          <w:ilvl w:val="0"/>
          <w:numId w:val="78"/>
        </w:numPr>
        <w:tabs>
          <w:tab w:pos="2547" w:val="left" w:leader="none"/>
        </w:tabs>
        <w:spacing w:line="240" w:lineRule="auto" w:before="30" w:after="0"/>
        <w:ind w:left="2547" w:right="0" w:hanging="315"/>
        <w:jc w:val="left"/>
        <w:rPr>
          <w:sz w:val="20"/>
        </w:rPr>
      </w:pPr>
      <w:r>
        <w:rPr>
          <w:color w:val="231F20"/>
          <w:sz w:val="20"/>
        </w:rPr>
        <w:t>Select</w:t>
      </w:r>
      <w:r>
        <w:rPr>
          <w:color w:val="231F20"/>
          <w:spacing w:val="12"/>
          <w:sz w:val="20"/>
        </w:rPr>
        <w:t> </w:t>
      </w:r>
      <w:r>
        <w:rPr>
          <w:color w:val="231F20"/>
          <w:sz w:val="20"/>
        </w:rPr>
        <w:t>one</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pacing w:val="-2"/>
          <w:sz w:val="20"/>
        </w:rPr>
        <w:t>following:</w:t>
      </w:r>
    </w:p>
    <w:p>
      <w:pPr>
        <w:spacing w:line="213" w:lineRule="auto" w:before="52"/>
        <w:ind w:left="276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To remove a single filter condition, select </w:t>
      </w:r>
      <w:r>
        <w:rPr>
          <w:rFonts w:ascii="Book Antiqua"/>
          <w:b/>
          <w:color w:val="231F20"/>
          <w:sz w:val="20"/>
        </w:rPr>
        <w:t>Remove Quick Filter Predicate </w:t>
      </w:r>
      <w:r>
        <w:rPr>
          <w:color w:val="231F20"/>
          <w:sz w:val="20"/>
        </w:rPr>
        <w:t>and</w:t>
      </w:r>
      <w:r>
        <w:rPr>
          <w:color w:val="231F20"/>
          <w:sz w:val="20"/>
        </w:rPr>
        <w:t> then select the filter predicate you want to remove.</w:t>
      </w:r>
    </w:p>
    <w:p>
      <w:pPr>
        <w:spacing w:before="36"/>
        <w:ind w:left="2548" w:right="0" w:firstLine="0"/>
        <w:jc w:val="left"/>
        <w:rPr>
          <w:sz w:val="20"/>
        </w:rPr>
      </w:pPr>
      <w:r>
        <w:rPr>
          <w:rFonts w:ascii="Futura MdCn BT"/>
          <w:color w:val="231F20"/>
          <w:sz w:val="20"/>
        </w:rPr>
        <w:t>v</w:t>
      </w:r>
      <w:r>
        <w:rPr>
          <w:rFonts w:ascii="Futura MdCn BT"/>
          <w:color w:val="231F20"/>
          <w:spacing w:val="76"/>
          <w:w w:val="150"/>
          <w:sz w:val="20"/>
        </w:rPr>
        <w:t> </w:t>
      </w:r>
      <w:r>
        <w:rPr>
          <w:color w:val="231F20"/>
          <w:sz w:val="20"/>
        </w:rPr>
        <w:t>To</w:t>
      </w:r>
      <w:r>
        <w:rPr>
          <w:color w:val="231F20"/>
          <w:spacing w:val="10"/>
          <w:sz w:val="20"/>
        </w:rPr>
        <w:t> </w:t>
      </w:r>
      <w:r>
        <w:rPr>
          <w:color w:val="231F20"/>
          <w:sz w:val="20"/>
        </w:rPr>
        <w:t>remove</w:t>
      </w:r>
      <w:r>
        <w:rPr>
          <w:color w:val="231F20"/>
          <w:spacing w:val="10"/>
          <w:sz w:val="20"/>
        </w:rPr>
        <w:t> </w:t>
      </w:r>
      <w:r>
        <w:rPr>
          <w:color w:val="231F20"/>
          <w:sz w:val="20"/>
        </w:rPr>
        <w:t>all</w:t>
      </w:r>
      <w:r>
        <w:rPr>
          <w:color w:val="231F20"/>
          <w:spacing w:val="10"/>
          <w:sz w:val="20"/>
        </w:rPr>
        <w:t> </w:t>
      </w:r>
      <w:r>
        <w:rPr>
          <w:color w:val="231F20"/>
          <w:sz w:val="20"/>
        </w:rPr>
        <w:t>quick</w:t>
      </w:r>
      <w:r>
        <w:rPr>
          <w:color w:val="231F20"/>
          <w:spacing w:val="10"/>
          <w:sz w:val="20"/>
        </w:rPr>
        <w:t> </w:t>
      </w:r>
      <w:r>
        <w:rPr>
          <w:color w:val="231F20"/>
          <w:sz w:val="20"/>
        </w:rPr>
        <w:t>filters,</w:t>
      </w:r>
      <w:r>
        <w:rPr>
          <w:color w:val="231F20"/>
          <w:spacing w:val="10"/>
          <w:sz w:val="20"/>
        </w:rPr>
        <w:t> </w:t>
      </w:r>
      <w:r>
        <w:rPr>
          <w:color w:val="231F20"/>
          <w:sz w:val="20"/>
        </w:rPr>
        <w:t>select</w:t>
      </w:r>
      <w:r>
        <w:rPr>
          <w:color w:val="231F20"/>
          <w:spacing w:val="10"/>
          <w:sz w:val="20"/>
        </w:rPr>
        <w:t> </w:t>
      </w:r>
      <w:r>
        <w:rPr>
          <w:rFonts w:ascii="Book Antiqua"/>
          <w:b/>
          <w:color w:val="231F20"/>
          <w:sz w:val="20"/>
        </w:rPr>
        <w:t>Remove</w:t>
      </w:r>
      <w:r>
        <w:rPr>
          <w:rFonts w:ascii="Book Antiqua"/>
          <w:b/>
          <w:color w:val="231F20"/>
          <w:spacing w:val="10"/>
          <w:sz w:val="20"/>
        </w:rPr>
        <w:t> </w:t>
      </w:r>
      <w:r>
        <w:rPr>
          <w:rFonts w:ascii="Book Antiqua"/>
          <w:b/>
          <w:color w:val="231F20"/>
          <w:sz w:val="20"/>
        </w:rPr>
        <w:t>Quick</w:t>
      </w:r>
      <w:r>
        <w:rPr>
          <w:rFonts w:ascii="Book Antiqua"/>
          <w:b/>
          <w:color w:val="231F20"/>
          <w:spacing w:val="10"/>
          <w:sz w:val="20"/>
        </w:rPr>
        <w:t> </w:t>
      </w:r>
      <w:r>
        <w:rPr>
          <w:rFonts w:ascii="Book Antiqua"/>
          <w:b/>
          <w:color w:val="231F20"/>
          <w:spacing w:val="-2"/>
          <w:sz w:val="20"/>
        </w:rPr>
        <w:t>Filter</w:t>
      </w:r>
      <w:r>
        <w:rPr>
          <w:color w:val="231F20"/>
          <w:spacing w:val="-2"/>
          <w:sz w:val="20"/>
        </w:rPr>
        <w:t>.</w:t>
      </w:r>
    </w:p>
    <w:p>
      <w:pPr>
        <w:pStyle w:val="BodyText"/>
        <w:spacing w:line="213" w:lineRule="auto" w:before="232"/>
        <w:ind w:left="2548" w:right="545"/>
      </w:pPr>
      <w:r>
        <w:rPr>
          <w:rFonts w:ascii="Book Antiqua"/>
          <w:b/>
          <w:color w:val="231F20"/>
        </w:rPr>
        <w:t>Note:</w:t>
      </w:r>
      <w:r>
        <w:rPr>
          <w:rFonts w:ascii="Book Antiqua"/>
          <w:b/>
          <w:color w:val="231F20"/>
          <w:spacing w:val="40"/>
        </w:rPr>
        <w:t> </w:t>
      </w:r>
      <w:r>
        <w:rPr>
          <w:color w:val="231F20"/>
        </w:rPr>
        <w:t>Removing filters using the pop-up menu does not affect any </w:t>
      </w:r>
      <w:r>
        <w:rPr>
          <w:color w:val="231F20"/>
        </w:rPr>
        <w:t>filtering </w:t>
      </w:r>
      <w:bookmarkStart w:name="Removing a quick threshold from an event" w:id="257"/>
      <w:bookmarkEnd w:id="257"/>
      <w:r>
        <w:rPr>
          <w:color w:val="231F20"/>
        </w:rPr>
        <w:t>applied</w:t>
      </w:r>
      <w:r>
        <w:rPr>
          <w:color w:val="231F20"/>
        </w:rPr>
        <w:t> using the toolbar icons.</w:t>
      </w:r>
    </w:p>
    <w:p>
      <w:pPr>
        <w:pStyle w:val="Heading4"/>
        <w:spacing w:line="273" w:lineRule="exact" w:before="165"/>
      </w:pPr>
      <w:r>
        <w:rPr>
          <w:color w:val="231F20"/>
        </w:rPr>
        <w:t>Removing</w:t>
      </w:r>
      <w:r>
        <w:rPr>
          <w:color w:val="231F20"/>
          <w:spacing w:val="6"/>
        </w:rPr>
        <w:t> </w:t>
      </w:r>
      <w:r>
        <w:rPr>
          <w:color w:val="231F20"/>
        </w:rPr>
        <w:t>a</w:t>
      </w:r>
      <w:r>
        <w:rPr>
          <w:color w:val="231F20"/>
          <w:spacing w:val="7"/>
        </w:rPr>
        <w:t> </w:t>
      </w:r>
      <w:r>
        <w:rPr>
          <w:color w:val="231F20"/>
        </w:rPr>
        <w:t>quick</w:t>
      </w:r>
      <w:r>
        <w:rPr>
          <w:color w:val="231F20"/>
          <w:spacing w:val="6"/>
        </w:rPr>
        <w:t> </w:t>
      </w:r>
      <w:r>
        <w:rPr>
          <w:color w:val="231F20"/>
        </w:rPr>
        <w:t>threshold</w:t>
      </w:r>
      <w:r>
        <w:rPr>
          <w:color w:val="231F20"/>
          <w:spacing w:val="7"/>
        </w:rPr>
        <w:t> </w:t>
      </w:r>
      <w:r>
        <w:rPr>
          <w:color w:val="231F20"/>
        </w:rPr>
        <w:t>from</w:t>
      </w:r>
      <w:r>
        <w:rPr>
          <w:color w:val="231F20"/>
          <w:spacing w:val="7"/>
        </w:rPr>
        <w:t> </w:t>
      </w:r>
      <w:r>
        <w:rPr>
          <w:color w:val="231F20"/>
        </w:rPr>
        <w:t>an</w:t>
      </w:r>
      <w:r>
        <w:rPr>
          <w:color w:val="231F20"/>
          <w:spacing w:val="6"/>
        </w:rPr>
        <w:t> </w:t>
      </w:r>
      <w:r>
        <w:rPr>
          <w:color w:val="231F20"/>
        </w:rPr>
        <w:t>event</w:t>
      </w:r>
      <w:r>
        <w:rPr>
          <w:color w:val="231F20"/>
          <w:spacing w:val="7"/>
        </w:rPr>
        <w:t> </w:t>
      </w:r>
      <w:r>
        <w:rPr>
          <w:color w:val="231F20"/>
          <w:spacing w:val="-2"/>
        </w:rPr>
        <w:t>console</w:t>
      </w:r>
    </w:p>
    <w:p>
      <w:pPr>
        <w:pStyle w:val="BodyText"/>
        <w:spacing w:line="213" w:lineRule="auto" w:before="20"/>
        <w:ind w:left="2232" w:right="545"/>
      </w:pPr>
      <w:r>
        <w:rPr>
          <w:color w:val="231F20"/>
        </w:rPr>
        <w:t>You can use the pop-up menu in any table cell to remove a quick threshold or to</w:t>
      </w:r>
      <w:r>
        <w:rPr>
          <w:color w:val="231F20"/>
          <w:spacing w:val="40"/>
        </w:rPr>
        <w:t> </w:t>
      </w:r>
      <w:r>
        <w:rPr>
          <w:color w:val="231F20"/>
        </w:rPr>
        <w:t>remove all quick thresholds.</w:t>
      </w:r>
    </w:p>
    <w:p>
      <w:pPr>
        <w:pStyle w:val="Heading5"/>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3"/>
        <w:ind w:left="2232"/>
      </w:pPr>
      <w:r>
        <w:rPr>
          <w:color w:val="231F20"/>
        </w:rPr>
        <w:t>To</w:t>
      </w:r>
      <w:r>
        <w:rPr>
          <w:color w:val="231F20"/>
          <w:spacing w:val="6"/>
        </w:rPr>
        <w:t> </w:t>
      </w:r>
      <w:r>
        <w:rPr>
          <w:color w:val="231F20"/>
        </w:rPr>
        <w:t>remove</w:t>
      </w:r>
      <w:r>
        <w:rPr>
          <w:color w:val="231F20"/>
          <w:spacing w:val="7"/>
        </w:rPr>
        <w:t> </w:t>
      </w:r>
      <w:r>
        <w:rPr>
          <w:color w:val="231F20"/>
        </w:rPr>
        <w:t>a</w:t>
      </w:r>
      <w:r>
        <w:rPr>
          <w:color w:val="231F20"/>
          <w:spacing w:val="6"/>
        </w:rPr>
        <w:t> </w:t>
      </w:r>
      <w:r>
        <w:rPr>
          <w:color w:val="231F20"/>
        </w:rPr>
        <w:t>quick</w:t>
      </w:r>
      <w:r>
        <w:rPr>
          <w:color w:val="231F20"/>
          <w:spacing w:val="7"/>
        </w:rPr>
        <w:t> </w:t>
      </w:r>
      <w:r>
        <w:rPr>
          <w:color w:val="231F20"/>
          <w:spacing w:val="-2"/>
        </w:rPr>
        <w:t>threshold:</w:t>
      </w:r>
    </w:p>
    <w:p>
      <w:pPr>
        <w:pStyle w:val="Heading5"/>
        <w:spacing w:before="213"/>
        <w:ind w:left="2232"/>
      </w:pPr>
      <w:r>
        <w:rPr>
          <w:color w:val="231F20"/>
          <w:spacing w:val="-2"/>
        </w:rPr>
        <w:t>Procedure</w:t>
      </w:r>
    </w:p>
    <w:p>
      <w:pPr>
        <w:pStyle w:val="ListParagraph"/>
        <w:numPr>
          <w:ilvl w:val="0"/>
          <w:numId w:val="79"/>
        </w:numPr>
        <w:tabs>
          <w:tab w:pos="2547" w:val="left" w:leader="none"/>
        </w:tabs>
        <w:spacing w:line="240" w:lineRule="auto" w:before="42" w:after="0"/>
        <w:ind w:left="2547" w:right="0" w:hanging="315"/>
        <w:jc w:val="left"/>
        <w:rPr>
          <w:sz w:val="20"/>
        </w:rPr>
      </w:pPr>
      <w:r>
        <w:rPr>
          <w:color w:val="231F20"/>
          <w:sz w:val="20"/>
        </w:rPr>
        <w:t>Right-click</w:t>
      </w:r>
      <w:r>
        <w:rPr>
          <w:color w:val="231F20"/>
          <w:spacing w:val="11"/>
          <w:sz w:val="20"/>
        </w:rPr>
        <w:t> </w:t>
      </w:r>
      <w:r>
        <w:rPr>
          <w:color w:val="231F20"/>
          <w:sz w:val="20"/>
        </w:rPr>
        <w:t>in</w:t>
      </w:r>
      <w:r>
        <w:rPr>
          <w:color w:val="231F20"/>
          <w:spacing w:val="11"/>
          <w:sz w:val="20"/>
        </w:rPr>
        <w:t> </w:t>
      </w:r>
      <w:r>
        <w:rPr>
          <w:color w:val="231F20"/>
          <w:sz w:val="20"/>
        </w:rPr>
        <w:t>any</w:t>
      </w:r>
      <w:r>
        <w:rPr>
          <w:color w:val="231F20"/>
          <w:spacing w:val="11"/>
          <w:sz w:val="20"/>
        </w:rPr>
        <w:t> </w:t>
      </w:r>
      <w:r>
        <w:rPr>
          <w:color w:val="231F20"/>
          <w:sz w:val="20"/>
        </w:rPr>
        <w:t>table</w:t>
      </w:r>
      <w:r>
        <w:rPr>
          <w:color w:val="231F20"/>
          <w:spacing w:val="12"/>
          <w:sz w:val="20"/>
        </w:rPr>
        <w:t> </w:t>
      </w:r>
      <w:r>
        <w:rPr>
          <w:color w:val="231F20"/>
          <w:spacing w:val="-4"/>
          <w:sz w:val="20"/>
        </w:rPr>
        <w:t>cell.</w:t>
      </w:r>
    </w:p>
    <w:p>
      <w:pPr>
        <w:pStyle w:val="ListParagraph"/>
        <w:numPr>
          <w:ilvl w:val="0"/>
          <w:numId w:val="79"/>
        </w:numPr>
        <w:tabs>
          <w:tab w:pos="2547" w:val="left" w:leader="none"/>
        </w:tabs>
        <w:spacing w:line="240" w:lineRule="auto" w:before="30" w:after="0"/>
        <w:ind w:left="2547" w:right="0" w:hanging="315"/>
        <w:jc w:val="left"/>
        <w:rPr>
          <w:sz w:val="20"/>
        </w:rPr>
      </w:pPr>
      <w:r>
        <w:rPr>
          <w:color w:val="231F20"/>
          <w:sz w:val="20"/>
        </w:rPr>
        <w:t>Select</w:t>
      </w:r>
      <w:r>
        <w:rPr>
          <w:color w:val="231F20"/>
          <w:spacing w:val="11"/>
          <w:sz w:val="20"/>
        </w:rPr>
        <w:t> </w:t>
      </w:r>
      <w:r>
        <w:rPr>
          <w:rFonts w:ascii="Book Antiqua"/>
          <w:b/>
          <w:color w:val="231F20"/>
          <w:sz w:val="20"/>
        </w:rPr>
        <w:t>Set</w:t>
      </w:r>
      <w:r>
        <w:rPr>
          <w:rFonts w:ascii="Book Antiqua"/>
          <w:b/>
          <w:color w:val="231F20"/>
          <w:spacing w:val="11"/>
          <w:sz w:val="20"/>
        </w:rPr>
        <w:t> </w:t>
      </w:r>
      <w:r>
        <w:rPr>
          <w:rFonts w:ascii="Book Antiqua"/>
          <w:b/>
          <w:color w:val="231F20"/>
          <w:sz w:val="20"/>
        </w:rPr>
        <w:t>Quick</w:t>
      </w:r>
      <w:r>
        <w:rPr>
          <w:rFonts w:ascii="Book Antiqua"/>
          <w:b/>
          <w:color w:val="231F20"/>
          <w:spacing w:val="12"/>
          <w:sz w:val="20"/>
        </w:rPr>
        <w:t> </w:t>
      </w:r>
      <w:r>
        <w:rPr>
          <w:rFonts w:ascii="Book Antiqua"/>
          <w:b/>
          <w:color w:val="231F20"/>
          <w:spacing w:val="-2"/>
          <w:sz w:val="20"/>
        </w:rPr>
        <w:t>Threshold</w:t>
      </w:r>
      <w:r>
        <w:rPr>
          <w:color w:val="231F20"/>
          <w:spacing w:val="-2"/>
          <w:sz w:val="20"/>
        </w:rPr>
        <w:t>.</w:t>
      </w:r>
    </w:p>
    <w:p>
      <w:pPr>
        <w:pStyle w:val="ListParagraph"/>
        <w:numPr>
          <w:ilvl w:val="0"/>
          <w:numId w:val="79"/>
        </w:numPr>
        <w:tabs>
          <w:tab w:pos="2547" w:val="left" w:leader="none"/>
        </w:tabs>
        <w:spacing w:line="240" w:lineRule="auto" w:before="29" w:after="0"/>
        <w:ind w:left="2547" w:right="0" w:hanging="315"/>
        <w:jc w:val="left"/>
        <w:rPr>
          <w:sz w:val="20"/>
        </w:rPr>
      </w:pPr>
      <w:r>
        <w:rPr>
          <w:color w:val="231F20"/>
          <w:sz w:val="20"/>
        </w:rPr>
        <w:t>Select</w:t>
      </w:r>
      <w:r>
        <w:rPr>
          <w:color w:val="231F20"/>
          <w:spacing w:val="12"/>
          <w:sz w:val="20"/>
        </w:rPr>
        <w:t> </w:t>
      </w:r>
      <w:r>
        <w:rPr>
          <w:color w:val="231F20"/>
          <w:sz w:val="20"/>
        </w:rPr>
        <w:t>one</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pacing w:val="-2"/>
          <w:sz w:val="20"/>
        </w:rPr>
        <w:t>following:</w:t>
      </w:r>
    </w:p>
    <w:p>
      <w:pPr>
        <w:spacing w:line="213" w:lineRule="auto" w:before="53"/>
        <w:ind w:left="276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To remove a single threshold condition, select </w:t>
      </w:r>
      <w:r>
        <w:rPr>
          <w:rFonts w:ascii="Book Antiqua"/>
          <w:b/>
          <w:color w:val="231F20"/>
          <w:sz w:val="20"/>
        </w:rPr>
        <w:t>Remove Quick </w:t>
      </w:r>
      <w:r>
        <w:rPr>
          <w:rFonts w:ascii="Book Antiqua"/>
          <w:b/>
          <w:color w:val="231F20"/>
          <w:sz w:val="20"/>
        </w:rPr>
        <w:t>Threshold</w:t>
      </w:r>
      <w:r>
        <w:rPr>
          <w:rFonts w:ascii="Book Antiqua"/>
          <w:b/>
          <w:color w:val="231F20"/>
          <w:sz w:val="20"/>
        </w:rPr>
        <w:t> Predicate </w:t>
      </w:r>
      <w:r>
        <w:rPr>
          <w:color w:val="231F20"/>
          <w:sz w:val="20"/>
        </w:rPr>
        <w:t>and then select the threshold predicate you want to remove.</w:t>
      </w:r>
    </w:p>
    <w:p>
      <w:pPr>
        <w:spacing w:before="35"/>
        <w:ind w:left="2548" w:right="0" w:firstLine="0"/>
        <w:jc w:val="left"/>
        <w:rPr>
          <w:sz w:val="20"/>
        </w:rPr>
      </w:pPr>
      <w:bookmarkStart w:name="Setting the view properties for an event" w:id="258"/>
      <w:bookmarkEnd w:id="258"/>
      <w:r>
        <w:rPr/>
      </w:r>
      <w:r>
        <w:rPr>
          <w:rFonts w:ascii="Futura MdCn BT"/>
          <w:color w:val="231F20"/>
          <w:sz w:val="20"/>
        </w:rPr>
        <w:t>v</w:t>
      </w:r>
      <w:r>
        <w:rPr>
          <w:rFonts w:ascii="Futura MdCn BT"/>
          <w:color w:val="231F20"/>
          <w:spacing w:val="75"/>
          <w:w w:val="150"/>
          <w:sz w:val="20"/>
        </w:rPr>
        <w:t> </w:t>
      </w:r>
      <w:r>
        <w:rPr>
          <w:color w:val="231F20"/>
          <w:sz w:val="20"/>
        </w:rPr>
        <w:t>To</w:t>
      </w:r>
      <w:r>
        <w:rPr>
          <w:color w:val="231F20"/>
          <w:spacing w:val="10"/>
          <w:sz w:val="20"/>
        </w:rPr>
        <w:t> </w:t>
      </w:r>
      <w:r>
        <w:rPr>
          <w:color w:val="231F20"/>
          <w:sz w:val="20"/>
        </w:rPr>
        <w:t>remove</w:t>
      </w:r>
      <w:r>
        <w:rPr>
          <w:color w:val="231F20"/>
          <w:spacing w:val="9"/>
          <w:sz w:val="20"/>
        </w:rPr>
        <w:t> </w:t>
      </w:r>
      <w:r>
        <w:rPr>
          <w:color w:val="231F20"/>
          <w:sz w:val="20"/>
        </w:rPr>
        <w:t>all</w:t>
      </w:r>
      <w:r>
        <w:rPr>
          <w:color w:val="231F20"/>
          <w:spacing w:val="10"/>
          <w:sz w:val="20"/>
        </w:rPr>
        <w:t> </w:t>
      </w:r>
      <w:r>
        <w:rPr>
          <w:color w:val="231F20"/>
          <w:sz w:val="20"/>
        </w:rPr>
        <w:t>quick</w:t>
      </w:r>
      <w:r>
        <w:rPr>
          <w:color w:val="231F20"/>
          <w:spacing w:val="9"/>
          <w:sz w:val="20"/>
        </w:rPr>
        <w:t> </w:t>
      </w:r>
      <w:r>
        <w:rPr>
          <w:color w:val="231F20"/>
          <w:sz w:val="20"/>
        </w:rPr>
        <w:t>thresholds,</w:t>
      </w:r>
      <w:r>
        <w:rPr>
          <w:color w:val="231F20"/>
          <w:spacing w:val="10"/>
          <w:sz w:val="20"/>
        </w:rPr>
        <w:t> </w:t>
      </w:r>
      <w:r>
        <w:rPr>
          <w:color w:val="231F20"/>
          <w:sz w:val="20"/>
        </w:rPr>
        <w:t>select</w:t>
      </w:r>
      <w:r>
        <w:rPr>
          <w:color w:val="231F20"/>
          <w:spacing w:val="9"/>
          <w:sz w:val="20"/>
        </w:rPr>
        <w:t> </w:t>
      </w:r>
      <w:r>
        <w:rPr>
          <w:rFonts w:ascii="Book Antiqua"/>
          <w:b/>
          <w:color w:val="231F20"/>
          <w:sz w:val="20"/>
        </w:rPr>
        <w:t>Remove</w:t>
      </w:r>
      <w:r>
        <w:rPr>
          <w:rFonts w:ascii="Book Antiqua"/>
          <w:b/>
          <w:color w:val="231F20"/>
          <w:spacing w:val="10"/>
          <w:sz w:val="20"/>
        </w:rPr>
        <w:t> </w:t>
      </w:r>
      <w:r>
        <w:rPr>
          <w:rFonts w:ascii="Book Antiqua"/>
          <w:b/>
          <w:color w:val="231F20"/>
          <w:sz w:val="20"/>
        </w:rPr>
        <w:t>All</w:t>
      </w:r>
      <w:r>
        <w:rPr>
          <w:rFonts w:ascii="Book Antiqua"/>
          <w:b/>
          <w:color w:val="231F20"/>
          <w:spacing w:val="9"/>
          <w:sz w:val="20"/>
        </w:rPr>
        <w:t> </w:t>
      </w:r>
      <w:r>
        <w:rPr>
          <w:rFonts w:ascii="Book Antiqua"/>
          <w:b/>
          <w:color w:val="231F20"/>
          <w:sz w:val="20"/>
        </w:rPr>
        <w:t>Quick</w:t>
      </w:r>
      <w:r>
        <w:rPr>
          <w:rFonts w:ascii="Book Antiqua"/>
          <w:b/>
          <w:color w:val="231F20"/>
          <w:spacing w:val="9"/>
          <w:sz w:val="20"/>
        </w:rPr>
        <w:t> </w:t>
      </w:r>
      <w:r>
        <w:rPr>
          <w:rFonts w:ascii="Book Antiqua"/>
          <w:b/>
          <w:color w:val="231F20"/>
          <w:spacing w:val="-2"/>
          <w:sz w:val="20"/>
        </w:rPr>
        <w:t>Thresholds</w:t>
      </w:r>
      <w:r>
        <w:rPr>
          <w:color w:val="231F20"/>
          <w:spacing w:val="-2"/>
          <w:sz w:val="20"/>
        </w:rPr>
        <w:t>.</w:t>
      </w:r>
    </w:p>
    <w:p>
      <w:pPr>
        <w:pStyle w:val="Heading4"/>
        <w:spacing w:line="273" w:lineRule="exact" w:before="159"/>
      </w:pPr>
      <w:r>
        <w:rPr>
          <w:color w:val="231F20"/>
        </w:rPr>
        <w:t>Setting</w:t>
      </w:r>
      <w:r>
        <w:rPr>
          <w:color w:val="231F20"/>
          <w:spacing w:val="7"/>
        </w:rPr>
        <w:t> </w:t>
      </w:r>
      <w:r>
        <w:rPr>
          <w:color w:val="231F20"/>
        </w:rPr>
        <w:t>the</w:t>
      </w:r>
      <w:r>
        <w:rPr>
          <w:color w:val="231F20"/>
          <w:spacing w:val="7"/>
        </w:rPr>
        <w:t> </w:t>
      </w:r>
      <w:r>
        <w:rPr>
          <w:color w:val="231F20"/>
        </w:rPr>
        <w:t>view</w:t>
      </w:r>
      <w:r>
        <w:rPr>
          <w:color w:val="231F20"/>
          <w:spacing w:val="7"/>
        </w:rPr>
        <w:t> </w:t>
      </w:r>
      <w:r>
        <w:rPr>
          <w:color w:val="231F20"/>
        </w:rPr>
        <w:t>properties</w:t>
      </w:r>
      <w:r>
        <w:rPr>
          <w:color w:val="231F20"/>
          <w:spacing w:val="7"/>
        </w:rPr>
        <w:t> </w:t>
      </w:r>
      <w:r>
        <w:rPr>
          <w:color w:val="231F20"/>
        </w:rPr>
        <w:t>for</w:t>
      </w:r>
      <w:r>
        <w:rPr>
          <w:color w:val="231F20"/>
          <w:spacing w:val="7"/>
        </w:rPr>
        <w:t> </w:t>
      </w:r>
      <w:r>
        <w:rPr>
          <w:color w:val="231F20"/>
        </w:rPr>
        <w:t>an</w:t>
      </w:r>
      <w:r>
        <w:rPr>
          <w:color w:val="231F20"/>
          <w:spacing w:val="7"/>
        </w:rPr>
        <w:t> </w:t>
      </w:r>
      <w:r>
        <w:rPr>
          <w:color w:val="231F20"/>
        </w:rPr>
        <w:t>event</w:t>
      </w:r>
      <w:r>
        <w:rPr>
          <w:color w:val="231F20"/>
          <w:spacing w:val="8"/>
        </w:rPr>
        <w:t> </w:t>
      </w:r>
      <w:r>
        <w:rPr>
          <w:color w:val="231F20"/>
          <w:spacing w:val="-2"/>
        </w:rPr>
        <w:t>console</w:t>
      </w:r>
    </w:p>
    <w:p>
      <w:pPr>
        <w:pStyle w:val="BodyText"/>
        <w:spacing w:line="213" w:lineRule="auto" w:before="20"/>
        <w:ind w:left="2232" w:right="636"/>
      </w:pPr>
      <w:r>
        <w:rPr>
          <w:color w:val="231F20"/>
        </w:rPr>
        <w:t>The properties of an event console include filters, thresholds, and style settings.</w:t>
      </w:r>
      <w:r>
        <w:rPr>
          <w:color w:val="231F20"/>
          <w:spacing w:val="40"/>
        </w:rPr>
        <w:t> </w:t>
      </w:r>
      <w:r>
        <w:rPr>
          <w:color w:val="231F20"/>
        </w:rPr>
        <w:t>You can set a filter so only certain events or columns are displayed, set thresholds</w:t>
      </w:r>
      <w:r>
        <w:rPr>
          <w:color w:val="231F20"/>
          <w:spacing w:val="40"/>
        </w:rPr>
        <w:t> </w:t>
      </w:r>
      <w:r>
        <w:rPr>
          <w:color w:val="231F20"/>
        </w:rPr>
        <w:t>to highlight cells containing specified values, and configure the appearance of the </w:t>
      </w:r>
      <w:r>
        <w:rPr>
          <w:color w:val="231F20"/>
          <w:spacing w:val="-2"/>
        </w:rPr>
        <w:t>view.</w:t>
      </w:r>
    </w:p>
    <w:p>
      <w:pPr>
        <w:pStyle w:val="Heading5"/>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232"/>
      </w:pPr>
      <w:r>
        <w:rPr>
          <w:color w:val="231F20"/>
        </w:rPr>
        <w:t>To</w:t>
      </w:r>
      <w:r>
        <w:rPr>
          <w:color w:val="231F20"/>
          <w:spacing w:val="5"/>
        </w:rPr>
        <w:t> </w:t>
      </w:r>
      <w:r>
        <w:rPr>
          <w:color w:val="231F20"/>
        </w:rPr>
        <w:t>configure</w:t>
      </w:r>
      <w:r>
        <w:rPr>
          <w:color w:val="231F20"/>
          <w:spacing w:val="6"/>
        </w:rPr>
        <w:t> </w:t>
      </w:r>
      <w:r>
        <w:rPr>
          <w:color w:val="231F20"/>
        </w:rPr>
        <w:t>the</w:t>
      </w:r>
      <w:r>
        <w:rPr>
          <w:color w:val="231F20"/>
          <w:spacing w:val="6"/>
        </w:rPr>
        <w:t> </w:t>
      </w:r>
      <w:r>
        <w:rPr>
          <w:color w:val="231F20"/>
        </w:rPr>
        <w:t>view</w:t>
      </w:r>
      <w:r>
        <w:rPr>
          <w:color w:val="231F20"/>
          <w:spacing w:val="6"/>
        </w:rPr>
        <w:t> </w:t>
      </w:r>
      <w:r>
        <w:rPr>
          <w:color w:val="231F20"/>
          <w:spacing w:val="-2"/>
        </w:rPr>
        <w:t>properties:</w:t>
      </w:r>
    </w:p>
    <w:p>
      <w:pPr>
        <w:pStyle w:val="Heading5"/>
        <w:spacing w:before="213"/>
        <w:ind w:left="2232"/>
      </w:pPr>
      <w:r>
        <w:rPr>
          <w:color w:val="231F20"/>
          <w:spacing w:val="-2"/>
        </w:rPr>
        <w:t>Procedure</w:t>
      </w:r>
    </w:p>
    <w:p>
      <w:pPr>
        <w:pStyle w:val="BodyText"/>
        <w:spacing w:before="42"/>
        <w:ind w:left="2232"/>
      </w:pPr>
      <w:r>
        <w:rPr>
          <w:rFonts w:ascii="Futura MdCn BT"/>
          <w:color w:val="231F20"/>
        </w:rPr>
        <w:t>v</w:t>
      </w:r>
      <w:r>
        <w:rPr>
          <w:rFonts w:ascii="Futura MdCn BT"/>
          <w:color w:val="231F20"/>
          <w:spacing w:val="30"/>
        </w:rPr>
        <w:t>  </w:t>
      </w:r>
      <w:r>
        <w:rPr>
          <w:color w:val="231F20"/>
        </w:rPr>
        <w:t>Right-click</w:t>
      </w:r>
      <w:r>
        <w:rPr>
          <w:color w:val="231F20"/>
          <w:spacing w:val="12"/>
        </w:rPr>
        <w:t> </w:t>
      </w:r>
      <w:r>
        <w:rPr>
          <w:color w:val="231F20"/>
        </w:rPr>
        <w:t>anywhere</w:t>
      </w:r>
      <w:r>
        <w:rPr>
          <w:color w:val="231F20"/>
          <w:spacing w:val="11"/>
        </w:rPr>
        <w:t> </w:t>
      </w:r>
      <w:r>
        <w:rPr>
          <w:color w:val="231F20"/>
        </w:rPr>
        <w:t>in</w:t>
      </w:r>
      <w:r>
        <w:rPr>
          <w:color w:val="231F20"/>
          <w:spacing w:val="12"/>
        </w:rPr>
        <w:t> </w:t>
      </w:r>
      <w:r>
        <w:rPr>
          <w:color w:val="231F20"/>
        </w:rPr>
        <w:t>the</w:t>
      </w:r>
      <w:r>
        <w:rPr>
          <w:color w:val="231F20"/>
          <w:spacing w:val="11"/>
        </w:rPr>
        <w:t> </w:t>
      </w:r>
      <w:r>
        <w:rPr>
          <w:color w:val="231F20"/>
        </w:rPr>
        <w:t>event</w:t>
      </w:r>
      <w:r>
        <w:rPr>
          <w:color w:val="231F20"/>
          <w:spacing w:val="11"/>
        </w:rPr>
        <w:t> </w:t>
      </w:r>
      <w:r>
        <w:rPr>
          <w:color w:val="231F20"/>
        </w:rPr>
        <w:t>console</w:t>
      </w:r>
      <w:r>
        <w:rPr>
          <w:color w:val="231F20"/>
          <w:spacing w:val="12"/>
        </w:rPr>
        <w:t> </w:t>
      </w:r>
      <w:r>
        <w:rPr>
          <w:color w:val="231F20"/>
          <w:spacing w:val="-2"/>
        </w:rPr>
        <w:t>view.</w:t>
      </w:r>
    </w:p>
    <w:p>
      <w:pPr>
        <w:spacing w:before="30"/>
        <w:ind w:left="2232" w:right="0" w:firstLine="0"/>
        <w:jc w:val="left"/>
        <w:rPr>
          <w:sz w:val="20"/>
        </w:rPr>
      </w:pPr>
      <w:r>
        <w:rPr>
          <w:rFonts w:ascii="Futura MdCn BT"/>
          <w:color w:val="231F20"/>
          <w:sz w:val="20"/>
        </w:rPr>
        <w:t>v</w:t>
      </w:r>
      <w:r>
        <w:rPr>
          <w:rFonts w:ascii="Futura MdCn BT"/>
          <w:color w:val="231F20"/>
          <w:spacing w:val="34"/>
          <w:sz w:val="20"/>
        </w:rPr>
        <w:t>  </w:t>
      </w:r>
      <w:r>
        <w:rPr>
          <w:color w:val="231F20"/>
          <w:sz w:val="20"/>
        </w:rPr>
        <w:t>Click</w:t>
      </w:r>
      <w:r>
        <w:rPr>
          <w:color w:val="231F20"/>
          <w:spacing w:val="16"/>
          <w:sz w:val="20"/>
        </w:rPr>
        <w:t> </w:t>
      </w:r>
      <w:r>
        <w:rPr>
          <w:color w:val="231F20"/>
          <w:spacing w:val="16"/>
          <w:position w:val="-1"/>
          <w:sz w:val="20"/>
        </w:rPr>
        <w:drawing>
          <wp:inline distT="0" distB="0" distL="0" distR="0">
            <wp:extent cx="101600" cy="95250"/>
            <wp:effectExtent l="0" t="0" r="0" b="0"/>
            <wp:docPr id="1551" name="Image 1551"/>
            <wp:cNvGraphicFramePr>
              <a:graphicFrameLocks/>
            </wp:cNvGraphicFramePr>
            <a:graphic>
              <a:graphicData uri="http://schemas.openxmlformats.org/drawingml/2006/picture">
                <pic:pic>
                  <pic:nvPicPr>
                    <pic:cNvPr id="1551" name="Image 1551"/>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47"/>
          <w:sz w:val="20"/>
        </w:rPr>
        <w:t> </w:t>
      </w:r>
      <w:r>
        <w:rPr>
          <w:rFonts w:ascii="Book Antiqua"/>
          <w:b/>
          <w:color w:val="231F20"/>
          <w:spacing w:val="-2"/>
          <w:sz w:val="20"/>
        </w:rPr>
        <w:t>Properties</w:t>
      </w:r>
      <w:r>
        <w:rPr>
          <w:color w:val="231F20"/>
          <w:spacing w:val="-2"/>
          <w:sz w:val="20"/>
        </w:rPr>
        <w:t>.</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Click the Filters tab to configure filters. Use this option if you want to configure</w:t>
      </w:r>
      <w:r>
        <w:rPr>
          <w:color w:val="231F20"/>
          <w:spacing w:val="40"/>
        </w:rPr>
        <w:t> </w:t>
      </w:r>
      <w:r>
        <w:rPr>
          <w:color w:val="231F20"/>
        </w:rPr>
        <w:t>the view to show only events that match certain values or value ranges.</w:t>
      </w:r>
    </w:p>
    <w:p>
      <w:pPr>
        <w:spacing w:after="0" w:line="213" w:lineRule="auto"/>
        <w:sectPr>
          <w:pgSz w:w="12240" w:h="15840"/>
          <w:pgMar w:header="0" w:footer="736" w:top="1160" w:bottom="920" w:left="1000" w:right="1060"/>
        </w:sectPr>
      </w:pPr>
    </w:p>
    <w:p>
      <w:pPr>
        <w:pStyle w:val="BodyText"/>
        <w:spacing w:line="213" w:lineRule="auto" w:before="85"/>
        <w:ind w:left="2688" w:right="644"/>
        <w:jc w:val="both"/>
      </w:pPr>
      <w:r>
        <w:rPr>
          <w:color w:val="231F20"/>
        </w:rPr>
        <w:t>If a quick filter has been set, it is displayed here, and the row in the table is marked with the</w:t>
      </w:r>
      <w:r>
        <w:rPr>
          <w:color w:val="231F20"/>
          <w:spacing w:val="6"/>
        </w:rPr>
        <w:t> </w:t>
      </w:r>
      <w:r>
        <w:rPr>
          <w:color w:val="231F20"/>
          <w:spacing w:val="6"/>
          <w:position w:val="-1"/>
        </w:rPr>
        <w:drawing>
          <wp:inline distT="0" distB="0" distL="0" distR="0">
            <wp:extent cx="69850" cy="76200"/>
            <wp:effectExtent l="0" t="0" r="0" b="0"/>
            <wp:docPr id="1552" name="Image 1552"/>
            <wp:cNvGraphicFramePr>
              <a:graphicFrameLocks/>
            </wp:cNvGraphicFramePr>
            <a:graphic>
              <a:graphicData uri="http://schemas.openxmlformats.org/drawingml/2006/picture">
                <pic:pic>
                  <pic:nvPicPr>
                    <pic:cNvPr id="1552" name="Image 1552"/>
                    <pic:cNvPicPr/>
                  </pic:nvPicPr>
                  <pic:blipFill>
                    <a:blip r:embed="rId271" cstate="print"/>
                    <a:stretch>
                      <a:fillRect/>
                    </a:stretch>
                  </pic:blipFill>
                  <pic:spPr>
                    <a:xfrm>
                      <a:off x="0" y="0"/>
                      <a:ext cx="69850" cy="76200"/>
                    </a:xfrm>
                    <a:prstGeom prst="rect">
                      <a:avLst/>
                    </a:prstGeom>
                  </pic:spPr>
                </pic:pic>
              </a:graphicData>
            </a:graphic>
          </wp:inline>
        </w:drawing>
      </w:r>
      <w:r>
        <w:rPr>
          <w:color w:val="231F20"/>
          <w:spacing w:val="6"/>
          <w:position w:val="-1"/>
        </w:rPr>
      </w:r>
      <w:r>
        <w:rPr>
          <w:rFonts w:ascii="Times New Roman"/>
          <w:color w:val="231F20"/>
          <w:spacing w:val="40"/>
        </w:rPr>
        <w:t> </w:t>
      </w:r>
      <w:r>
        <w:rPr>
          <w:rFonts w:ascii="Book Antiqua"/>
          <w:b/>
          <w:color w:val="231F20"/>
        </w:rPr>
        <w:t>Quick flag </w:t>
      </w:r>
      <w:r>
        <w:rPr>
          <w:color w:val="231F20"/>
        </w:rPr>
        <w:t>icon. You can make the filter permanent by right-clicking the row number and selecting</w:t>
      </w:r>
      <w:r>
        <w:rPr>
          <w:color w:val="231F20"/>
          <w:spacing w:val="40"/>
        </w:rPr>
        <w:t> </w:t>
      </w:r>
      <w:r>
        <w:rPr>
          <w:color w:val="231F20"/>
          <w:spacing w:val="5"/>
          <w:position w:val="-1"/>
        </w:rPr>
        <w:drawing>
          <wp:inline distT="0" distB="0" distL="0" distR="0">
            <wp:extent cx="69850" cy="76200"/>
            <wp:effectExtent l="0" t="0" r="0" b="0"/>
            <wp:docPr id="1553" name="Image 1553"/>
            <wp:cNvGraphicFramePr>
              <a:graphicFrameLocks/>
            </wp:cNvGraphicFramePr>
            <a:graphic>
              <a:graphicData uri="http://schemas.openxmlformats.org/drawingml/2006/picture">
                <pic:pic>
                  <pic:nvPicPr>
                    <pic:cNvPr id="1553" name="Image 1553"/>
                    <pic:cNvPicPr/>
                  </pic:nvPicPr>
                  <pic:blipFill>
                    <a:blip r:embed="rId271" cstate="print"/>
                    <a:stretch>
                      <a:fillRect/>
                    </a:stretch>
                  </pic:blipFill>
                  <pic:spPr>
                    <a:xfrm>
                      <a:off x="0" y="0"/>
                      <a:ext cx="69850" cy="7620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Remove Quick Flag</w:t>
      </w:r>
      <w:r>
        <w:rPr>
          <w:color w:val="231F20"/>
        </w:rPr>
        <w:t>.</w:t>
      </w:r>
    </w:p>
    <w:p>
      <w:pPr>
        <w:pStyle w:val="BodyText"/>
        <w:spacing w:before="34"/>
        <w:ind w:left="2688"/>
        <w:jc w:val="both"/>
      </w:pPr>
      <w:r>
        <w:rPr>
          <w:color w:val="231F20"/>
        </w:rPr>
        <w:t>You</w:t>
      </w:r>
      <w:r>
        <w:rPr>
          <w:color w:val="231F20"/>
          <w:spacing w:val="10"/>
        </w:rPr>
        <w:t> </w:t>
      </w:r>
      <w:r>
        <w:rPr>
          <w:color w:val="231F20"/>
        </w:rPr>
        <w:t>can</w:t>
      </w:r>
      <w:r>
        <w:rPr>
          <w:color w:val="231F20"/>
          <w:spacing w:val="10"/>
        </w:rPr>
        <w:t> </w:t>
      </w:r>
      <w:r>
        <w:rPr>
          <w:color w:val="231F20"/>
        </w:rPr>
        <w:t>also</w:t>
      </w:r>
      <w:r>
        <w:rPr>
          <w:color w:val="231F20"/>
          <w:spacing w:val="11"/>
        </w:rPr>
        <w:t> </w:t>
      </w:r>
      <w:r>
        <w:rPr>
          <w:color w:val="231F20"/>
        </w:rPr>
        <w:t>use</w:t>
      </w:r>
      <w:r>
        <w:rPr>
          <w:color w:val="231F20"/>
          <w:spacing w:val="10"/>
        </w:rPr>
        <w:t> </w:t>
      </w:r>
      <w:r>
        <w:rPr>
          <w:color w:val="231F20"/>
        </w:rPr>
        <w:t>the</w:t>
      </w:r>
      <w:r>
        <w:rPr>
          <w:color w:val="231F20"/>
          <w:spacing w:val="10"/>
        </w:rPr>
        <w:t> </w:t>
      </w:r>
      <w:r>
        <w:rPr>
          <w:color w:val="231F20"/>
        </w:rPr>
        <w:t>Filters</w:t>
      </w:r>
      <w:r>
        <w:rPr>
          <w:color w:val="231F20"/>
          <w:spacing w:val="11"/>
        </w:rPr>
        <w:t> </w:t>
      </w:r>
      <w:r>
        <w:rPr>
          <w:color w:val="231F20"/>
        </w:rPr>
        <w:t>tab</w:t>
      </w:r>
      <w:r>
        <w:rPr>
          <w:color w:val="231F20"/>
          <w:spacing w:val="10"/>
        </w:rPr>
        <w:t> </w:t>
      </w:r>
      <w:r>
        <w:rPr>
          <w:color w:val="231F20"/>
        </w:rPr>
        <w:t>to</w:t>
      </w:r>
      <w:r>
        <w:rPr>
          <w:color w:val="231F20"/>
          <w:spacing w:val="10"/>
        </w:rPr>
        <w:t> </w:t>
      </w:r>
      <w:r>
        <w:rPr>
          <w:color w:val="231F20"/>
        </w:rPr>
        <w:t>select</w:t>
      </w:r>
      <w:r>
        <w:rPr>
          <w:color w:val="231F20"/>
          <w:spacing w:val="11"/>
        </w:rPr>
        <w:t> </w:t>
      </w:r>
      <w:r>
        <w:rPr>
          <w:color w:val="231F20"/>
        </w:rPr>
        <w:t>and</w:t>
      </w:r>
      <w:r>
        <w:rPr>
          <w:color w:val="231F20"/>
          <w:spacing w:val="10"/>
        </w:rPr>
        <w:t> </w:t>
      </w:r>
      <w:r>
        <w:rPr>
          <w:color w:val="231F20"/>
        </w:rPr>
        <w:t>order</w:t>
      </w:r>
      <w:r>
        <w:rPr>
          <w:color w:val="231F20"/>
          <w:spacing w:val="10"/>
        </w:rPr>
        <w:t> </w:t>
      </w:r>
      <w:r>
        <w:rPr>
          <w:color w:val="231F20"/>
        </w:rPr>
        <w:t>the</w:t>
      </w:r>
      <w:r>
        <w:rPr>
          <w:color w:val="231F20"/>
          <w:spacing w:val="11"/>
        </w:rPr>
        <w:t> </w:t>
      </w:r>
      <w:r>
        <w:rPr>
          <w:color w:val="231F20"/>
        </w:rPr>
        <w:t>displayed</w:t>
      </w:r>
      <w:r>
        <w:rPr>
          <w:color w:val="231F20"/>
          <w:spacing w:val="10"/>
        </w:rPr>
        <w:t> </w:t>
      </w:r>
      <w:r>
        <w:rPr>
          <w:color w:val="231F20"/>
          <w:spacing w:val="-2"/>
        </w:rPr>
        <w:t>columns.</w:t>
      </w:r>
    </w:p>
    <w:p>
      <w:pPr>
        <w:pStyle w:val="BodyText"/>
        <w:spacing w:before="30"/>
        <w:ind w:left="2472"/>
        <w:jc w:val="both"/>
      </w:pPr>
      <w:r>
        <w:rPr>
          <w:rFonts w:ascii="Futura MdCn BT"/>
          <w:color w:val="231F20"/>
        </w:rPr>
        <w:t>v</w:t>
      </w:r>
      <w:r>
        <w:rPr>
          <w:rFonts w:ascii="Futura MdCn BT"/>
          <w:color w:val="231F20"/>
          <w:spacing w:val="30"/>
        </w:rPr>
        <w:t>  </w:t>
      </w:r>
      <w:r>
        <w:rPr>
          <w:color w:val="231F20"/>
        </w:rPr>
        <w:t>Click</w:t>
      </w:r>
      <w:r>
        <w:rPr>
          <w:color w:val="231F20"/>
          <w:spacing w:val="13"/>
        </w:rPr>
        <w:t> </w:t>
      </w:r>
      <w:r>
        <w:rPr>
          <w:color w:val="231F20"/>
        </w:rPr>
        <w:t>the</w:t>
      </w:r>
      <w:r>
        <w:rPr>
          <w:color w:val="231F20"/>
          <w:spacing w:val="12"/>
        </w:rPr>
        <w:t> </w:t>
      </w:r>
      <w:r>
        <w:rPr>
          <w:color w:val="231F20"/>
        </w:rPr>
        <w:t>Thresholds</w:t>
      </w:r>
      <w:r>
        <w:rPr>
          <w:color w:val="231F20"/>
          <w:spacing w:val="11"/>
        </w:rPr>
        <w:t> </w:t>
      </w:r>
      <w:r>
        <w:rPr>
          <w:color w:val="231F20"/>
        </w:rPr>
        <w:t>tab</w:t>
      </w:r>
      <w:r>
        <w:rPr>
          <w:color w:val="231F20"/>
          <w:spacing w:val="12"/>
        </w:rPr>
        <w:t> </w:t>
      </w:r>
      <w:r>
        <w:rPr>
          <w:color w:val="231F20"/>
        </w:rPr>
        <w:t>to</w:t>
      </w:r>
      <w:r>
        <w:rPr>
          <w:color w:val="231F20"/>
          <w:spacing w:val="12"/>
        </w:rPr>
        <w:t> </w:t>
      </w:r>
      <w:r>
        <w:rPr>
          <w:color w:val="231F20"/>
        </w:rPr>
        <w:t>highlight</w:t>
      </w:r>
      <w:r>
        <w:rPr>
          <w:color w:val="231F20"/>
          <w:spacing w:val="11"/>
        </w:rPr>
        <w:t> </w:t>
      </w:r>
      <w:r>
        <w:rPr>
          <w:color w:val="231F20"/>
        </w:rPr>
        <w:t>areas</w:t>
      </w:r>
      <w:r>
        <w:rPr>
          <w:color w:val="231F20"/>
          <w:spacing w:val="12"/>
        </w:rPr>
        <w:t> </w:t>
      </w:r>
      <w:r>
        <w:rPr>
          <w:color w:val="231F20"/>
        </w:rPr>
        <w:t>of</w:t>
      </w:r>
      <w:r>
        <w:rPr>
          <w:color w:val="231F20"/>
          <w:spacing w:val="12"/>
        </w:rPr>
        <w:t> </w:t>
      </w:r>
      <w:r>
        <w:rPr>
          <w:color w:val="231F20"/>
          <w:spacing w:val="-2"/>
        </w:rPr>
        <w:t>interest.</w:t>
      </w:r>
    </w:p>
    <w:p>
      <w:pPr>
        <w:pStyle w:val="BodyText"/>
        <w:spacing w:line="213" w:lineRule="auto" w:before="53"/>
        <w:ind w:left="2688" w:right="224"/>
        <w:jc w:val="both"/>
      </w:pPr>
      <w:r>
        <w:rPr>
          <w:color w:val="231F20"/>
        </w:rPr>
        <w:t>If a quick threshold has been set, it is displayed here, and the row in the table is marked with the</w:t>
      </w:r>
      <w:r>
        <w:rPr>
          <w:color w:val="231F20"/>
          <w:spacing w:val="6"/>
        </w:rPr>
        <w:t> </w:t>
      </w:r>
      <w:r>
        <w:rPr>
          <w:color w:val="231F20"/>
          <w:spacing w:val="6"/>
          <w:position w:val="-1"/>
        </w:rPr>
        <w:drawing>
          <wp:inline distT="0" distB="0" distL="0" distR="0">
            <wp:extent cx="69850" cy="76200"/>
            <wp:effectExtent l="0" t="0" r="0" b="0"/>
            <wp:docPr id="1554" name="Image 1554"/>
            <wp:cNvGraphicFramePr>
              <a:graphicFrameLocks/>
            </wp:cNvGraphicFramePr>
            <a:graphic>
              <a:graphicData uri="http://schemas.openxmlformats.org/drawingml/2006/picture">
                <pic:pic>
                  <pic:nvPicPr>
                    <pic:cNvPr id="1554" name="Image 1554"/>
                    <pic:cNvPicPr/>
                  </pic:nvPicPr>
                  <pic:blipFill>
                    <a:blip r:embed="rId271" cstate="print"/>
                    <a:stretch>
                      <a:fillRect/>
                    </a:stretch>
                  </pic:blipFill>
                  <pic:spPr>
                    <a:xfrm>
                      <a:off x="0" y="0"/>
                      <a:ext cx="69850" cy="76200"/>
                    </a:xfrm>
                    <a:prstGeom prst="rect">
                      <a:avLst/>
                    </a:prstGeom>
                  </pic:spPr>
                </pic:pic>
              </a:graphicData>
            </a:graphic>
          </wp:inline>
        </w:drawing>
      </w:r>
      <w:r>
        <w:rPr>
          <w:color w:val="231F20"/>
          <w:spacing w:val="6"/>
          <w:position w:val="-1"/>
        </w:rPr>
      </w:r>
      <w:r>
        <w:rPr>
          <w:rFonts w:ascii="Times New Roman"/>
          <w:color w:val="231F20"/>
          <w:spacing w:val="40"/>
        </w:rPr>
        <w:t> </w:t>
      </w:r>
      <w:r>
        <w:rPr>
          <w:rFonts w:ascii="Book Antiqua"/>
          <w:b/>
          <w:color w:val="231F20"/>
        </w:rPr>
        <w:t>Quick flag </w:t>
      </w:r>
      <w:r>
        <w:rPr>
          <w:color w:val="231F20"/>
        </w:rPr>
        <w:t>icon. You can make the threshold permanent by right-clicking the row number and selecting</w:t>
      </w:r>
      <w:r>
        <w:rPr>
          <w:color w:val="231F20"/>
          <w:spacing w:val="40"/>
        </w:rPr>
        <w:t> </w:t>
      </w:r>
      <w:r>
        <w:rPr>
          <w:color w:val="231F20"/>
          <w:spacing w:val="5"/>
          <w:position w:val="-1"/>
        </w:rPr>
        <w:drawing>
          <wp:inline distT="0" distB="0" distL="0" distR="0">
            <wp:extent cx="69850" cy="76200"/>
            <wp:effectExtent l="0" t="0" r="0" b="0"/>
            <wp:docPr id="1555" name="Image 1555"/>
            <wp:cNvGraphicFramePr>
              <a:graphicFrameLocks/>
            </wp:cNvGraphicFramePr>
            <a:graphic>
              <a:graphicData uri="http://schemas.openxmlformats.org/drawingml/2006/picture">
                <pic:pic>
                  <pic:nvPicPr>
                    <pic:cNvPr id="1555" name="Image 1555"/>
                    <pic:cNvPicPr/>
                  </pic:nvPicPr>
                  <pic:blipFill>
                    <a:blip r:embed="rId271" cstate="print"/>
                    <a:stretch>
                      <a:fillRect/>
                    </a:stretch>
                  </pic:blipFill>
                  <pic:spPr>
                    <a:xfrm>
                      <a:off x="0" y="0"/>
                      <a:ext cx="69850" cy="76200"/>
                    </a:xfrm>
                    <a:prstGeom prst="rect">
                      <a:avLst/>
                    </a:prstGeom>
                  </pic:spPr>
                </pic:pic>
              </a:graphicData>
            </a:graphic>
          </wp:inline>
        </w:drawing>
      </w:r>
      <w:r>
        <w:rPr>
          <w:color w:val="231F20"/>
          <w:spacing w:val="5"/>
          <w:position w:val="-1"/>
        </w:rPr>
      </w:r>
      <w:r>
        <w:rPr>
          <w:rFonts w:ascii="Times New Roman"/>
          <w:color w:val="231F20"/>
          <w:spacing w:val="80"/>
        </w:rPr>
        <w:t> </w:t>
      </w:r>
      <w:r>
        <w:rPr>
          <w:rFonts w:ascii="Book Antiqua"/>
          <w:b/>
          <w:color w:val="231F20"/>
        </w:rPr>
        <w:t>Remove Quick Flag</w:t>
      </w:r>
      <w:r>
        <w:rPr>
          <w:color w:val="231F20"/>
        </w:rPr>
        <w:t>.</w:t>
      </w:r>
    </w:p>
    <w:p>
      <w:pPr>
        <w:pStyle w:val="BodyText"/>
        <w:spacing w:before="34"/>
        <w:ind w:left="2472"/>
        <w:jc w:val="both"/>
      </w:pPr>
      <w:r>
        <w:rPr>
          <w:rFonts w:ascii="Futura MdCn BT"/>
          <w:color w:val="231F20"/>
        </w:rPr>
        <w:t>v</w:t>
      </w:r>
      <w:r>
        <w:rPr>
          <w:rFonts w:ascii="Futura MdCn BT"/>
          <w:color w:val="231F20"/>
          <w:spacing w:val="32"/>
        </w:rPr>
        <w:t>  </w:t>
      </w:r>
      <w:r>
        <w:rPr>
          <w:color w:val="231F20"/>
        </w:rPr>
        <w:t>Click</w:t>
      </w:r>
      <w:r>
        <w:rPr>
          <w:color w:val="231F20"/>
          <w:spacing w:val="14"/>
        </w:rPr>
        <w:t> </w:t>
      </w:r>
      <w:r>
        <w:rPr>
          <w:color w:val="231F20"/>
        </w:rPr>
        <w:t>the</w:t>
      </w:r>
      <w:r>
        <w:rPr>
          <w:color w:val="231F20"/>
          <w:spacing w:val="13"/>
        </w:rPr>
        <w:t> </w:t>
      </w:r>
      <w:r>
        <w:rPr>
          <w:color w:val="231F20"/>
        </w:rPr>
        <w:t>Style</w:t>
      </w:r>
      <w:r>
        <w:rPr>
          <w:color w:val="231F20"/>
          <w:spacing w:val="14"/>
        </w:rPr>
        <w:t> </w:t>
      </w:r>
      <w:r>
        <w:rPr>
          <w:color w:val="231F20"/>
        </w:rPr>
        <w:t>tab</w:t>
      </w:r>
      <w:r>
        <w:rPr>
          <w:color w:val="231F20"/>
          <w:spacing w:val="13"/>
        </w:rPr>
        <w:t> </w:t>
      </w:r>
      <w:r>
        <w:rPr>
          <w:color w:val="231F20"/>
        </w:rPr>
        <w:t>to</w:t>
      </w:r>
      <w:r>
        <w:rPr>
          <w:color w:val="231F20"/>
          <w:spacing w:val="13"/>
        </w:rPr>
        <w:t> </w:t>
      </w:r>
      <w:r>
        <w:rPr>
          <w:color w:val="231F20"/>
        </w:rPr>
        <w:t>add</w:t>
      </w:r>
      <w:r>
        <w:rPr>
          <w:color w:val="231F20"/>
          <w:spacing w:val="14"/>
        </w:rPr>
        <w:t> </w:t>
      </w:r>
      <w:r>
        <w:rPr>
          <w:color w:val="231F20"/>
        </w:rPr>
        <w:t>a</w:t>
      </w:r>
      <w:r>
        <w:rPr>
          <w:color w:val="231F20"/>
          <w:spacing w:val="13"/>
        </w:rPr>
        <w:t> </w:t>
      </w:r>
      <w:r>
        <w:rPr>
          <w:color w:val="231F20"/>
        </w:rPr>
        <w:t>header</w:t>
      </w:r>
      <w:r>
        <w:rPr>
          <w:color w:val="231F20"/>
          <w:spacing w:val="13"/>
        </w:rPr>
        <w:t> </w:t>
      </w:r>
      <w:r>
        <w:rPr>
          <w:color w:val="231F20"/>
        </w:rPr>
        <w:t>or</w:t>
      </w:r>
      <w:r>
        <w:rPr>
          <w:color w:val="231F20"/>
          <w:spacing w:val="14"/>
        </w:rPr>
        <w:t> </w:t>
      </w:r>
      <w:r>
        <w:rPr>
          <w:color w:val="231F20"/>
        </w:rPr>
        <w:t>footer</w:t>
      </w:r>
      <w:r>
        <w:rPr>
          <w:color w:val="231F20"/>
          <w:spacing w:val="13"/>
        </w:rPr>
        <w:t> </w:t>
      </w:r>
      <w:r>
        <w:rPr>
          <w:color w:val="231F20"/>
        </w:rPr>
        <w:t>to</w:t>
      </w:r>
      <w:r>
        <w:rPr>
          <w:color w:val="231F20"/>
          <w:spacing w:val="13"/>
        </w:rPr>
        <w:t> </w:t>
      </w:r>
      <w:r>
        <w:rPr>
          <w:color w:val="231F20"/>
        </w:rPr>
        <w:t>the</w:t>
      </w:r>
      <w:r>
        <w:rPr>
          <w:color w:val="231F20"/>
          <w:spacing w:val="14"/>
        </w:rPr>
        <w:t> </w:t>
      </w:r>
      <w:r>
        <w:rPr>
          <w:color w:val="231F20"/>
          <w:spacing w:val="-2"/>
        </w:rPr>
        <w:t>view.</w:t>
      </w:r>
    </w:p>
    <w:p>
      <w:pPr>
        <w:pStyle w:val="BodyText"/>
        <w:spacing w:line="213" w:lineRule="auto" w:before="53"/>
        <w:ind w:left="2688" w:right="594" w:hanging="216"/>
        <w:jc w:val="both"/>
      </w:pPr>
      <w:r>
        <w:rPr>
          <w:rFonts w:ascii="Futura MdCn BT"/>
          <w:color w:val="231F20"/>
        </w:rPr>
        <w:t>v</w:t>
      </w:r>
      <w:r>
        <w:rPr>
          <w:rFonts w:ascii="Futura MdCn BT"/>
          <w:color w:val="231F20"/>
          <w:spacing w:val="40"/>
        </w:rPr>
        <w:t> </w:t>
      </w:r>
      <w:r>
        <w:rPr>
          <w:color w:val="231F20"/>
        </w:rPr>
        <w:t>When you have finished editing the event console properties, click </w:t>
      </w:r>
      <w:r>
        <w:rPr>
          <w:rFonts w:ascii="Book Antiqua"/>
          <w:b/>
          <w:color w:val="231F20"/>
        </w:rPr>
        <w:t>Apply </w:t>
      </w:r>
      <w:r>
        <w:rPr>
          <w:color w:val="231F20"/>
        </w:rPr>
        <w:t>to</w:t>
      </w:r>
      <w:r>
        <w:rPr>
          <w:color w:val="231F20"/>
        </w:rPr>
        <w:t> apply your changes to the view, or </w:t>
      </w:r>
      <w:r>
        <w:rPr>
          <w:rFonts w:ascii="Book Antiqua"/>
          <w:b/>
          <w:color w:val="231F20"/>
        </w:rPr>
        <w:t>OK </w:t>
      </w:r>
      <w:r>
        <w:rPr>
          <w:color w:val="231F20"/>
        </w:rPr>
        <w:t>to apply your changes and close the Properties window.</w:t>
      </w:r>
    </w:p>
    <w:p>
      <w:pPr>
        <w:pStyle w:val="Heading5"/>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BodyText"/>
        <w:spacing w:before="222"/>
        <w:ind w:left="2472"/>
      </w:pPr>
      <w:bookmarkStart w:name="Viewing common event connector status" w:id="259"/>
      <w:bookmarkEnd w:id="259"/>
      <w:r>
        <w:rPr/>
      </w:r>
      <w:r>
        <w:rPr>
          <w:rFonts w:ascii="Book Antiqua"/>
          <w:b/>
          <w:color w:val="231F20"/>
        </w:rPr>
        <w:t>Note:</w:t>
      </w:r>
      <w:r>
        <w:rPr>
          <w:rFonts w:ascii="Book Antiqua"/>
          <w:b/>
          <w:color w:val="231F20"/>
          <w:spacing w:val="41"/>
        </w:rPr>
        <w:t> </w:t>
      </w:r>
      <w:r>
        <w:rPr>
          <w:color w:val="231F20"/>
        </w:rPr>
        <w:t>To</w:t>
      </w:r>
      <w:r>
        <w:rPr>
          <w:color w:val="231F20"/>
          <w:spacing w:val="12"/>
        </w:rPr>
        <w:t> </w:t>
      </w:r>
      <w:r>
        <w:rPr>
          <w:color w:val="231F20"/>
        </w:rPr>
        <w:t>keep</w:t>
      </w:r>
      <w:r>
        <w:rPr>
          <w:color w:val="231F20"/>
          <w:spacing w:val="11"/>
        </w:rPr>
        <w:t> </w:t>
      </w:r>
      <w:r>
        <w:rPr>
          <w:color w:val="231F20"/>
        </w:rPr>
        <w:t>the</w:t>
      </w:r>
      <w:r>
        <w:rPr>
          <w:color w:val="231F20"/>
          <w:spacing w:val="11"/>
        </w:rPr>
        <w:t> </w:t>
      </w:r>
      <w:r>
        <w:rPr>
          <w:color w:val="231F20"/>
        </w:rPr>
        <w:t>changes</w:t>
      </w:r>
      <w:r>
        <w:rPr>
          <w:color w:val="231F20"/>
          <w:spacing w:val="11"/>
        </w:rPr>
        <w:t> </w:t>
      </w:r>
      <w:r>
        <w:rPr>
          <w:color w:val="231F20"/>
        </w:rPr>
        <w:t>you</w:t>
      </w:r>
      <w:r>
        <w:rPr>
          <w:color w:val="231F20"/>
          <w:spacing w:val="12"/>
        </w:rPr>
        <w:t> </w:t>
      </w:r>
      <w:r>
        <w:rPr>
          <w:color w:val="231F20"/>
        </w:rPr>
        <w:t>have</w:t>
      </w:r>
      <w:r>
        <w:rPr>
          <w:color w:val="231F20"/>
          <w:spacing w:val="11"/>
        </w:rPr>
        <w:t> </w:t>
      </w:r>
      <w:r>
        <w:rPr>
          <w:color w:val="231F20"/>
        </w:rPr>
        <w:t>made,</w:t>
      </w:r>
      <w:r>
        <w:rPr>
          <w:color w:val="231F20"/>
          <w:spacing w:val="11"/>
        </w:rPr>
        <w:t> </w:t>
      </w:r>
      <w:r>
        <w:rPr>
          <w:color w:val="231F20"/>
        </w:rPr>
        <w:t>click</w:t>
      </w:r>
      <w:r>
        <w:rPr>
          <w:color w:val="231F20"/>
          <w:spacing w:val="20"/>
        </w:rPr>
        <w:t> </w:t>
      </w:r>
      <w:r>
        <w:rPr>
          <w:color w:val="231F20"/>
          <w:spacing w:val="-25"/>
          <w:position w:val="-1"/>
        </w:rPr>
        <w:drawing>
          <wp:inline distT="0" distB="0" distL="0" distR="0">
            <wp:extent cx="95250" cy="95250"/>
            <wp:effectExtent l="0" t="0" r="0" b="0"/>
            <wp:docPr id="1556" name="Image 1556"/>
            <wp:cNvGraphicFramePr>
              <a:graphicFrameLocks/>
            </wp:cNvGraphicFramePr>
            <a:graphic>
              <a:graphicData uri="http://schemas.openxmlformats.org/drawingml/2006/picture">
                <pic:pic>
                  <pic:nvPicPr>
                    <pic:cNvPr id="1556" name="Image 1556"/>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18"/>
        </w:rPr>
        <w:t> </w:t>
      </w:r>
      <w:r>
        <w:rPr>
          <w:rFonts w:ascii="Book Antiqua"/>
          <w:b/>
          <w:color w:val="231F20"/>
        </w:rPr>
        <w:t>Save</w:t>
      </w:r>
      <w:r>
        <w:rPr>
          <w:rFonts w:ascii="Book Antiqua"/>
          <w:b/>
          <w:color w:val="231F20"/>
          <w:spacing w:val="11"/>
        </w:rPr>
        <w:t> </w:t>
      </w:r>
      <w:r>
        <w:rPr>
          <w:color w:val="231F20"/>
        </w:rPr>
        <w:t>to</w:t>
      </w:r>
      <w:r>
        <w:rPr>
          <w:color w:val="231F20"/>
          <w:spacing w:val="12"/>
        </w:rPr>
        <w:t> </w:t>
      </w:r>
      <w:r>
        <w:rPr>
          <w:color w:val="231F20"/>
        </w:rPr>
        <w:t>save</w:t>
      </w:r>
      <w:r>
        <w:rPr>
          <w:color w:val="231F20"/>
          <w:spacing w:val="11"/>
        </w:rPr>
        <w:t> </w:t>
      </w:r>
      <w:r>
        <w:rPr>
          <w:color w:val="231F20"/>
        </w:rPr>
        <w:t>the</w:t>
      </w:r>
      <w:r>
        <w:rPr>
          <w:color w:val="231F20"/>
          <w:spacing w:val="11"/>
        </w:rPr>
        <w:t> </w:t>
      </w:r>
      <w:r>
        <w:rPr>
          <w:color w:val="231F20"/>
          <w:spacing w:val="-2"/>
        </w:rPr>
        <w:t>workspace.</w:t>
      </w:r>
    </w:p>
    <w:p>
      <w:pPr>
        <w:pStyle w:val="Heading4"/>
        <w:spacing w:line="273" w:lineRule="exact" w:before="159"/>
        <w:ind w:left="2472"/>
      </w:pPr>
      <w:r>
        <w:rPr>
          <w:color w:val="231F20"/>
        </w:rPr>
        <w:t>Viewing</w:t>
      </w:r>
      <w:r>
        <w:rPr>
          <w:color w:val="231F20"/>
          <w:spacing w:val="2"/>
        </w:rPr>
        <w:t> </w:t>
      </w:r>
      <w:r>
        <w:rPr>
          <w:color w:val="231F20"/>
        </w:rPr>
        <w:t>common</w:t>
      </w:r>
      <w:r>
        <w:rPr>
          <w:color w:val="231F20"/>
          <w:spacing w:val="3"/>
        </w:rPr>
        <w:t> </w:t>
      </w:r>
      <w:r>
        <w:rPr>
          <w:color w:val="231F20"/>
        </w:rPr>
        <w:t>event</w:t>
      </w:r>
      <w:r>
        <w:rPr>
          <w:color w:val="231F20"/>
          <w:spacing w:val="2"/>
        </w:rPr>
        <w:t> </w:t>
      </w:r>
      <w:r>
        <w:rPr>
          <w:color w:val="231F20"/>
        </w:rPr>
        <w:t>connector</w:t>
      </w:r>
      <w:r>
        <w:rPr>
          <w:color w:val="231F20"/>
          <w:spacing w:val="3"/>
        </w:rPr>
        <w:t> </w:t>
      </w:r>
      <w:r>
        <w:rPr>
          <w:color w:val="231F20"/>
          <w:spacing w:val="-2"/>
        </w:rPr>
        <w:t>status</w:t>
      </w:r>
    </w:p>
    <w:p>
      <w:pPr>
        <w:pStyle w:val="BodyText"/>
        <w:spacing w:line="213" w:lineRule="auto" w:before="20"/>
        <w:ind w:left="2472" w:right="545"/>
      </w:pPr>
      <w:r>
        <w:rPr>
          <w:color w:val="231F20"/>
        </w:rPr>
        <w:t>You can use the toolbar to view the status of the configured common event </w:t>
      </w:r>
      <w:r>
        <w:rPr>
          <w:color w:val="231F20"/>
          <w:spacing w:val="-2"/>
        </w:rPr>
        <w:t>connectors.</w:t>
      </w:r>
    </w:p>
    <w:p>
      <w:pPr>
        <w:pStyle w:val="Heading5"/>
        <w:spacing w:before="219"/>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5"/>
        <w:ind w:left="2472" w:right="379"/>
      </w:pPr>
      <w:r>
        <w:rPr>
          <w:color w:val="231F20"/>
        </w:rPr>
        <w:t>Common event connectors retrieve event data from event repositories and </w:t>
      </w:r>
      <w:r>
        <w:rPr>
          <w:color w:val="231F20"/>
        </w:rPr>
        <w:t>format</w:t>
      </w:r>
      <w:r>
        <w:rPr>
          <w:color w:val="231F20"/>
          <w:spacing w:val="40"/>
        </w:rPr>
        <w:t> </w:t>
      </w:r>
      <w:r>
        <w:rPr>
          <w:color w:val="231F20"/>
        </w:rPr>
        <w:t>it for display by the common event console. Each configured connector retrieves event data from a specific event repository.</w:t>
      </w:r>
    </w:p>
    <w:p>
      <w:pPr>
        <w:pStyle w:val="BodyText"/>
        <w:spacing w:line="213" w:lineRule="auto" w:before="238"/>
        <w:ind w:left="2472" w:right="545"/>
      </w:pPr>
      <w:r>
        <w:rPr>
          <w:color w:val="231F20"/>
        </w:rPr>
        <w:t>The status and operational capability of an event connector can be affected by various conditions such as network outages or problems on the event </w:t>
      </w:r>
      <w:r>
        <w:rPr>
          <w:color w:val="231F20"/>
        </w:rPr>
        <w:t>repository </w:t>
      </w:r>
      <w:r>
        <w:rPr>
          <w:color w:val="231F20"/>
          <w:spacing w:val="-2"/>
        </w:rPr>
        <w:t>server.</w:t>
      </w:r>
    </w:p>
    <w:p>
      <w:pPr>
        <w:pStyle w:val="BodyText"/>
        <w:spacing w:before="214"/>
        <w:ind w:left="2472"/>
      </w:pPr>
      <w:r>
        <w:rPr>
          <w:color w:val="231F20"/>
        </w:rPr>
        <w:t>You</w:t>
      </w:r>
      <w:r>
        <w:rPr>
          <w:color w:val="231F20"/>
          <w:spacing w:val="8"/>
        </w:rPr>
        <w:t> </w:t>
      </w:r>
      <w:r>
        <w:rPr>
          <w:color w:val="231F20"/>
        </w:rPr>
        <w:t>can</w:t>
      </w:r>
      <w:r>
        <w:rPr>
          <w:color w:val="231F20"/>
          <w:spacing w:val="8"/>
        </w:rPr>
        <w:t> </w:t>
      </w:r>
      <w:r>
        <w:rPr>
          <w:color w:val="231F20"/>
        </w:rPr>
        <w:t>determine</w:t>
      </w:r>
      <w:r>
        <w:rPr>
          <w:color w:val="231F20"/>
          <w:spacing w:val="8"/>
        </w:rPr>
        <w:t> </w:t>
      </w:r>
      <w:r>
        <w:rPr>
          <w:color w:val="231F20"/>
        </w:rPr>
        <w:t>connector</w:t>
      </w:r>
      <w:r>
        <w:rPr>
          <w:color w:val="231F20"/>
          <w:spacing w:val="9"/>
        </w:rPr>
        <w:t> </w:t>
      </w:r>
      <w:r>
        <w:rPr>
          <w:color w:val="231F20"/>
        </w:rPr>
        <w:t>status</w:t>
      </w:r>
      <w:r>
        <w:rPr>
          <w:color w:val="231F20"/>
          <w:spacing w:val="8"/>
        </w:rPr>
        <w:t> </w:t>
      </w:r>
      <w:r>
        <w:rPr>
          <w:color w:val="231F20"/>
        </w:rPr>
        <w:t>in</w:t>
      </w:r>
      <w:r>
        <w:rPr>
          <w:color w:val="231F20"/>
          <w:spacing w:val="8"/>
        </w:rPr>
        <w:t> </w:t>
      </w:r>
      <w:r>
        <w:rPr>
          <w:color w:val="231F20"/>
        </w:rPr>
        <w:t>two</w:t>
      </w:r>
      <w:r>
        <w:rPr>
          <w:color w:val="231F20"/>
          <w:spacing w:val="9"/>
        </w:rPr>
        <w:t> </w:t>
      </w:r>
      <w:r>
        <w:rPr>
          <w:color w:val="231F20"/>
          <w:spacing w:val="-2"/>
        </w:rPr>
        <w:t>ways:</w:t>
      </w:r>
    </w:p>
    <w:p>
      <w:pPr>
        <w:pStyle w:val="Heading5"/>
        <w:spacing w:before="213"/>
      </w:pPr>
      <w:r>
        <w:rPr>
          <w:color w:val="231F20"/>
          <w:spacing w:val="-2"/>
        </w:rPr>
        <w:t>Procedure</w:t>
      </w:r>
    </w:p>
    <w:p>
      <w:pPr>
        <w:pStyle w:val="BodyText"/>
        <w:spacing w:line="213" w:lineRule="auto" w:before="66"/>
        <w:ind w:left="2688" w:right="274" w:hanging="216"/>
      </w:pPr>
      <w:r>
        <w:rPr>
          <w:rFonts w:ascii="Futura MdCn BT"/>
          <w:color w:val="231F20"/>
        </w:rPr>
        <w:t>v</w:t>
      </w:r>
      <w:r>
        <w:rPr>
          <w:rFonts w:ascii="Futura MdCn BT"/>
          <w:color w:val="231F20"/>
          <w:spacing w:val="80"/>
        </w:rPr>
        <w:t> </w:t>
      </w:r>
      <w:r>
        <w:rPr>
          <w:color w:val="231F20"/>
        </w:rPr>
        <w:t>To see an indication of the overall status of all connectors, check the common</w:t>
      </w:r>
      <w:r>
        <w:rPr>
          <w:color w:val="231F20"/>
          <w:spacing w:val="80"/>
        </w:rPr>
        <w:t> </w:t>
      </w:r>
      <w:r>
        <w:rPr>
          <w:color w:val="231F20"/>
        </w:rPr>
        <w:t>event connector status icon on the toolbar. The icon indicates the </w:t>
      </w:r>
      <w:r>
        <w:rPr>
          <w:color w:val="231F20"/>
        </w:rPr>
        <w:t>highest-severity</w:t>
      </w:r>
      <w:r>
        <w:rPr>
          <w:color w:val="231F20"/>
        </w:rPr>
        <w:t> current status for any configured connector. The possible status values are as follows, from highest severity to lowest:</w:t>
      </w:r>
    </w:p>
    <w:p>
      <w:pPr>
        <w:pStyle w:val="BodyText"/>
        <w:spacing w:before="7"/>
        <w:rPr>
          <w:sz w:val="13"/>
        </w:rPr>
      </w:pPr>
    </w:p>
    <w:tbl>
      <w:tblPr>
        <w:tblW w:w="0" w:type="auto"/>
        <w:jc w:val="left"/>
        <w:tblInd w:w="2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7"/>
        <w:gridCol w:w="3188"/>
        <w:gridCol w:w="2909"/>
      </w:tblGrid>
      <w:tr>
        <w:trPr>
          <w:trHeight w:val="226" w:hRule="atLeast"/>
        </w:trPr>
        <w:tc>
          <w:tcPr>
            <w:tcW w:w="1507" w:type="dxa"/>
          </w:tcPr>
          <w:p>
            <w:pPr>
              <w:pStyle w:val="TableParagraph"/>
              <w:spacing w:line="206" w:lineRule="exact" w:before="0"/>
              <w:ind w:left="50"/>
              <w:rPr>
                <w:rFonts w:ascii="Book Antiqua"/>
                <w:b/>
                <w:sz w:val="18"/>
              </w:rPr>
            </w:pPr>
            <w:r>
              <w:rPr>
                <w:rFonts w:ascii="Book Antiqua"/>
                <w:b/>
                <w:color w:val="231F20"/>
                <w:spacing w:val="-4"/>
                <w:sz w:val="18"/>
              </w:rPr>
              <w:t>Icon</w:t>
            </w:r>
          </w:p>
        </w:tc>
        <w:tc>
          <w:tcPr>
            <w:tcW w:w="3188" w:type="dxa"/>
          </w:tcPr>
          <w:p>
            <w:pPr>
              <w:pStyle w:val="TableParagraph"/>
              <w:spacing w:line="206" w:lineRule="exact" w:before="0"/>
              <w:ind w:left="1097"/>
              <w:rPr>
                <w:rFonts w:ascii="Book Antiqua"/>
                <w:b/>
                <w:sz w:val="18"/>
              </w:rPr>
            </w:pPr>
            <w:r>
              <w:rPr>
                <w:rFonts w:ascii="Book Antiqua"/>
                <w:b/>
                <w:color w:val="231F20"/>
                <w:spacing w:val="-2"/>
                <w:sz w:val="18"/>
              </w:rPr>
              <w:t>Status</w:t>
            </w:r>
          </w:p>
        </w:tc>
        <w:tc>
          <w:tcPr>
            <w:tcW w:w="2909" w:type="dxa"/>
          </w:tcPr>
          <w:p>
            <w:pPr>
              <w:pStyle w:val="TableParagraph"/>
              <w:spacing w:line="206" w:lineRule="exact" w:before="0"/>
              <w:ind w:left="463"/>
              <w:rPr>
                <w:rFonts w:ascii="Book Antiqua"/>
                <w:b/>
                <w:sz w:val="18"/>
              </w:rPr>
            </w:pPr>
            <w:r>
              <w:rPr>
                <w:rFonts w:ascii="Book Antiqua"/>
                <w:b/>
                <w:color w:val="231F20"/>
                <w:spacing w:val="-2"/>
                <w:sz w:val="18"/>
              </w:rPr>
              <w:t>Description</w:t>
            </w:r>
          </w:p>
        </w:tc>
      </w:tr>
      <w:tr>
        <w:trPr>
          <w:trHeight w:val="679" w:hRule="atLeast"/>
        </w:trPr>
        <w:tc>
          <w:tcPr>
            <w:tcW w:w="1507" w:type="dxa"/>
          </w:tcPr>
          <w:p>
            <w:pPr>
              <w:pStyle w:val="TableParagraph"/>
              <w:spacing w:before="5"/>
              <w:ind w:left="0"/>
              <w:rPr>
                <w:sz w:val="4"/>
              </w:rPr>
            </w:pPr>
          </w:p>
          <w:p>
            <w:pPr>
              <w:pStyle w:val="TableParagraph"/>
              <w:spacing w:line="160" w:lineRule="exact" w:before="0"/>
              <w:ind w:left="50"/>
              <w:rPr>
                <w:sz w:val="16"/>
              </w:rPr>
            </w:pPr>
            <w:r>
              <w:rPr>
                <w:position w:val="-2"/>
                <w:sz w:val="16"/>
              </w:rPr>
              <w:drawing>
                <wp:inline distT="0" distB="0" distL="0" distR="0">
                  <wp:extent cx="102107" cy="102107"/>
                  <wp:effectExtent l="0" t="0" r="0" b="0"/>
                  <wp:docPr id="1557" name="Image 1557"/>
                  <wp:cNvGraphicFramePr>
                    <a:graphicFrameLocks/>
                  </wp:cNvGraphicFramePr>
                  <a:graphic>
                    <a:graphicData uri="http://schemas.openxmlformats.org/drawingml/2006/picture">
                      <pic:pic>
                        <pic:nvPicPr>
                          <pic:cNvPr id="1557" name="Image 1557"/>
                          <pic:cNvPicPr/>
                        </pic:nvPicPr>
                        <pic:blipFill>
                          <a:blip r:embed="rId307" cstate="print"/>
                          <a:stretch>
                            <a:fillRect/>
                          </a:stretch>
                        </pic:blipFill>
                        <pic:spPr>
                          <a:xfrm>
                            <a:off x="0" y="0"/>
                            <a:ext cx="102107" cy="102107"/>
                          </a:xfrm>
                          <a:prstGeom prst="rect">
                            <a:avLst/>
                          </a:prstGeom>
                        </pic:spPr>
                      </pic:pic>
                    </a:graphicData>
                  </a:graphic>
                </wp:inline>
              </w:drawing>
            </w:r>
            <w:r>
              <w:rPr>
                <w:position w:val="-2"/>
                <w:sz w:val="16"/>
              </w:rPr>
            </w:r>
          </w:p>
        </w:tc>
        <w:tc>
          <w:tcPr>
            <w:tcW w:w="3188" w:type="dxa"/>
          </w:tcPr>
          <w:p>
            <w:pPr>
              <w:pStyle w:val="TableParagraph"/>
              <w:spacing w:before="10"/>
              <w:ind w:left="1097"/>
              <w:rPr>
                <w:rFonts w:ascii="Book Antiqua"/>
                <w:b/>
                <w:sz w:val="18"/>
              </w:rPr>
            </w:pPr>
            <w:r>
              <w:rPr>
                <w:rFonts w:ascii="Book Antiqua"/>
                <w:b/>
                <w:color w:val="231F20"/>
                <w:spacing w:val="-2"/>
                <w:sz w:val="18"/>
              </w:rPr>
              <w:t>Unknown</w:t>
            </w:r>
          </w:p>
        </w:tc>
        <w:tc>
          <w:tcPr>
            <w:tcW w:w="2909" w:type="dxa"/>
          </w:tcPr>
          <w:p>
            <w:pPr>
              <w:pStyle w:val="TableParagraph"/>
              <w:spacing w:line="220" w:lineRule="exact" w:before="0"/>
              <w:ind w:left="463" w:right="142"/>
              <w:rPr>
                <w:sz w:val="18"/>
              </w:rPr>
            </w:pPr>
            <w:r>
              <w:rPr>
                <w:color w:val="231F20"/>
                <w:sz w:val="18"/>
              </w:rPr>
              <w:t>The console is unable to determine the status of </w:t>
            </w:r>
            <w:r>
              <w:rPr>
                <w:color w:val="231F20"/>
                <w:sz w:val="18"/>
              </w:rPr>
              <w:t>any of the event connectors.</w:t>
            </w:r>
          </w:p>
        </w:tc>
      </w:tr>
      <w:tr>
        <w:trPr>
          <w:trHeight w:val="897" w:hRule="atLeast"/>
        </w:trPr>
        <w:tc>
          <w:tcPr>
            <w:tcW w:w="1507" w:type="dxa"/>
          </w:tcPr>
          <w:p>
            <w:pPr>
              <w:pStyle w:val="TableParagraph"/>
              <w:spacing w:before="3"/>
              <w:ind w:left="0"/>
              <w:rPr>
                <w:sz w:val="4"/>
              </w:rPr>
            </w:pPr>
          </w:p>
          <w:p>
            <w:pPr>
              <w:pStyle w:val="TableParagraph"/>
              <w:spacing w:line="160" w:lineRule="exact" w:before="0"/>
              <w:ind w:left="50"/>
              <w:rPr>
                <w:sz w:val="16"/>
              </w:rPr>
            </w:pPr>
            <w:r>
              <w:rPr>
                <w:position w:val="-2"/>
                <w:sz w:val="16"/>
              </w:rPr>
              <w:drawing>
                <wp:inline distT="0" distB="0" distL="0" distR="0">
                  <wp:extent cx="102107" cy="102107"/>
                  <wp:effectExtent l="0" t="0" r="0" b="0"/>
                  <wp:docPr id="1558" name="Image 1558"/>
                  <wp:cNvGraphicFramePr>
                    <a:graphicFrameLocks/>
                  </wp:cNvGraphicFramePr>
                  <a:graphic>
                    <a:graphicData uri="http://schemas.openxmlformats.org/drawingml/2006/picture">
                      <pic:pic>
                        <pic:nvPicPr>
                          <pic:cNvPr id="1558" name="Image 1558"/>
                          <pic:cNvPicPr/>
                        </pic:nvPicPr>
                        <pic:blipFill>
                          <a:blip r:embed="rId308" cstate="print"/>
                          <a:stretch>
                            <a:fillRect/>
                          </a:stretch>
                        </pic:blipFill>
                        <pic:spPr>
                          <a:xfrm>
                            <a:off x="0" y="0"/>
                            <a:ext cx="102107" cy="102107"/>
                          </a:xfrm>
                          <a:prstGeom prst="rect">
                            <a:avLst/>
                          </a:prstGeom>
                        </pic:spPr>
                      </pic:pic>
                    </a:graphicData>
                  </a:graphic>
                </wp:inline>
              </w:drawing>
            </w:r>
            <w:r>
              <w:rPr>
                <w:position w:val="-2"/>
                <w:sz w:val="16"/>
              </w:rPr>
            </w:r>
          </w:p>
        </w:tc>
        <w:tc>
          <w:tcPr>
            <w:tcW w:w="3188" w:type="dxa"/>
          </w:tcPr>
          <w:p>
            <w:pPr>
              <w:pStyle w:val="TableParagraph"/>
              <w:spacing w:before="8"/>
              <w:ind w:left="1097"/>
              <w:rPr>
                <w:rFonts w:ascii="Book Antiqua"/>
                <w:b/>
                <w:sz w:val="18"/>
              </w:rPr>
            </w:pPr>
            <w:r>
              <w:rPr>
                <w:rFonts w:ascii="Book Antiqua"/>
                <w:b/>
                <w:color w:val="231F20"/>
                <w:sz w:val="18"/>
              </w:rPr>
              <w:t>Configuration</w:t>
            </w:r>
            <w:r>
              <w:rPr>
                <w:rFonts w:ascii="Book Antiqua"/>
                <w:b/>
                <w:color w:val="231F20"/>
                <w:spacing w:val="2"/>
                <w:sz w:val="18"/>
              </w:rPr>
              <w:t> </w:t>
            </w:r>
            <w:r>
              <w:rPr>
                <w:rFonts w:ascii="Book Antiqua"/>
                <w:b/>
                <w:color w:val="231F20"/>
                <w:spacing w:val="-2"/>
                <w:sz w:val="18"/>
              </w:rPr>
              <w:t>error</w:t>
            </w:r>
          </w:p>
        </w:tc>
        <w:tc>
          <w:tcPr>
            <w:tcW w:w="2909" w:type="dxa"/>
          </w:tcPr>
          <w:p>
            <w:pPr>
              <w:pStyle w:val="TableParagraph"/>
              <w:spacing w:line="220" w:lineRule="exact" w:before="0"/>
              <w:ind w:left="463"/>
              <w:rPr>
                <w:sz w:val="18"/>
              </w:rPr>
            </w:pPr>
            <w:r>
              <w:rPr>
                <w:color w:val="231F20"/>
                <w:sz w:val="18"/>
              </w:rPr>
              <w:t>At least one connector is not currently</w:t>
            </w:r>
            <w:r>
              <w:rPr>
                <w:color w:val="231F20"/>
                <w:spacing w:val="-7"/>
                <w:sz w:val="18"/>
              </w:rPr>
              <w:t> </w:t>
            </w:r>
            <w:r>
              <w:rPr>
                <w:color w:val="231F20"/>
                <w:sz w:val="18"/>
              </w:rPr>
              <w:t>functioning</w:t>
            </w:r>
            <w:r>
              <w:rPr>
                <w:color w:val="231F20"/>
                <w:spacing w:val="-7"/>
                <w:sz w:val="18"/>
              </w:rPr>
              <w:t> </w:t>
            </w:r>
            <w:r>
              <w:rPr>
                <w:color w:val="231F20"/>
                <w:sz w:val="18"/>
              </w:rPr>
              <w:t>because of an error in the connector </w:t>
            </w:r>
            <w:r>
              <w:rPr>
                <w:color w:val="231F20"/>
                <w:spacing w:val="-2"/>
                <w:sz w:val="18"/>
              </w:rPr>
              <w:t>configuration.</w:t>
            </w:r>
          </w:p>
        </w:tc>
      </w:tr>
      <w:tr>
        <w:trPr>
          <w:trHeight w:val="678" w:hRule="atLeast"/>
        </w:trPr>
        <w:tc>
          <w:tcPr>
            <w:tcW w:w="1507" w:type="dxa"/>
          </w:tcPr>
          <w:p>
            <w:pPr>
              <w:pStyle w:val="TableParagraph"/>
              <w:spacing w:before="3"/>
              <w:ind w:left="0"/>
              <w:rPr>
                <w:sz w:val="4"/>
              </w:rPr>
            </w:pPr>
          </w:p>
          <w:p>
            <w:pPr>
              <w:pStyle w:val="TableParagraph"/>
              <w:spacing w:line="160" w:lineRule="exact" w:before="0"/>
              <w:ind w:left="50"/>
              <w:rPr>
                <w:sz w:val="16"/>
              </w:rPr>
            </w:pPr>
            <w:r>
              <w:rPr>
                <w:position w:val="-2"/>
                <w:sz w:val="16"/>
              </w:rPr>
              <w:drawing>
                <wp:inline distT="0" distB="0" distL="0" distR="0">
                  <wp:extent cx="102107" cy="102107"/>
                  <wp:effectExtent l="0" t="0" r="0" b="0"/>
                  <wp:docPr id="1559" name="Image 1559"/>
                  <wp:cNvGraphicFramePr>
                    <a:graphicFrameLocks/>
                  </wp:cNvGraphicFramePr>
                  <a:graphic>
                    <a:graphicData uri="http://schemas.openxmlformats.org/drawingml/2006/picture">
                      <pic:pic>
                        <pic:nvPicPr>
                          <pic:cNvPr id="1559" name="Image 1559"/>
                          <pic:cNvPicPr/>
                        </pic:nvPicPr>
                        <pic:blipFill>
                          <a:blip r:embed="rId308" cstate="print"/>
                          <a:stretch>
                            <a:fillRect/>
                          </a:stretch>
                        </pic:blipFill>
                        <pic:spPr>
                          <a:xfrm>
                            <a:off x="0" y="0"/>
                            <a:ext cx="102107" cy="102107"/>
                          </a:xfrm>
                          <a:prstGeom prst="rect">
                            <a:avLst/>
                          </a:prstGeom>
                        </pic:spPr>
                      </pic:pic>
                    </a:graphicData>
                  </a:graphic>
                </wp:inline>
              </w:drawing>
            </w:r>
            <w:r>
              <w:rPr>
                <w:position w:val="-2"/>
                <w:sz w:val="16"/>
              </w:rPr>
            </w:r>
          </w:p>
        </w:tc>
        <w:tc>
          <w:tcPr>
            <w:tcW w:w="3188" w:type="dxa"/>
          </w:tcPr>
          <w:p>
            <w:pPr>
              <w:pStyle w:val="TableParagraph"/>
              <w:spacing w:before="8"/>
              <w:ind w:left="1097"/>
              <w:rPr>
                <w:rFonts w:ascii="Book Antiqua"/>
                <w:b/>
                <w:sz w:val="18"/>
              </w:rPr>
            </w:pPr>
            <w:r>
              <w:rPr>
                <w:rFonts w:ascii="Book Antiqua"/>
                <w:b/>
                <w:color w:val="231F20"/>
                <w:sz w:val="18"/>
              </w:rPr>
              <w:t>Not</w:t>
            </w:r>
            <w:r>
              <w:rPr>
                <w:rFonts w:ascii="Book Antiqua"/>
                <w:b/>
                <w:color w:val="231F20"/>
                <w:spacing w:val="10"/>
                <w:sz w:val="18"/>
              </w:rPr>
              <w:t> </w:t>
            </w:r>
            <w:r>
              <w:rPr>
                <w:rFonts w:ascii="Book Antiqua"/>
                <w:b/>
                <w:color w:val="231F20"/>
                <w:spacing w:val="-2"/>
                <w:sz w:val="18"/>
              </w:rPr>
              <w:t>operational</w:t>
            </w:r>
          </w:p>
        </w:tc>
        <w:tc>
          <w:tcPr>
            <w:tcW w:w="2909" w:type="dxa"/>
          </w:tcPr>
          <w:p>
            <w:pPr>
              <w:pStyle w:val="TableParagraph"/>
              <w:spacing w:line="220" w:lineRule="exact" w:before="0"/>
              <w:ind w:left="463"/>
              <w:rPr>
                <w:sz w:val="18"/>
              </w:rPr>
            </w:pPr>
            <w:r>
              <w:rPr>
                <w:color w:val="231F20"/>
                <w:sz w:val="18"/>
              </w:rPr>
              <w:t>At least one connector is not currently</w:t>
            </w:r>
            <w:r>
              <w:rPr>
                <w:color w:val="231F20"/>
                <w:spacing w:val="-7"/>
                <w:sz w:val="18"/>
              </w:rPr>
              <w:t> </w:t>
            </w:r>
            <w:r>
              <w:rPr>
                <w:color w:val="231F20"/>
                <w:sz w:val="18"/>
              </w:rPr>
              <w:t>functioning</w:t>
            </w:r>
            <w:r>
              <w:rPr>
                <w:color w:val="231F20"/>
                <w:spacing w:val="-7"/>
                <w:sz w:val="18"/>
              </w:rPr>
              <w:t> </w:t>
            </w:r>
            <w:r>
              <w:rPr>
                <w:color w:val="231F20"/>
                <w:sz w:val="18"/>
              </w:rPr>
              <w:t>because the server is not reachable.</w:t>
            </w:r>
          </w:p>
        </w:tc>
      </w:tr>
      <w:tr>
        <w:trPr>
          <w:trHeight w:val="1106" w:hRule="atLeast"/>
        </w:trPr>
        <w:tc>
          <w:tcPr>
            <w:tcW w:w="1507" w:type="dxa"/>
          </w:tcPr>
          <w:p>
            <w:pPr>
              <w:pStyle w:val="TableParagraph"/>
              <w:spacing w:before="3"/>
              <w:ind w:left="0"/>
              <w:rPr>
                <w:sz w:val="4"/>
              </w:rPr>
            </w:pPr>
          </w:p>
          <w:p>
            <w:pPr>
              <w:pStyle w:val="TableParagraph"/>
              <w:spacing w:line="160" w:lineRule="exact" w:before="0"/>
              <w:ind w:left="50"/>
              <w:rPr>
                <w:sz w:val="16"/>
              </w:rPr>
            </w:pPr>
            <w:r>
              <w:rPr>
                <w:position w:val="-2"/>
                <w:sz w:val="16"/>
              </w:rPr>
              <w:drawing>
                <wp:inline distT="0" distB="0" distL="0" distR="0">
                  <wp:extent cx="102107" cy="102107"/>
                  <wp:effectExtent l="0" t="0" r="0" b="0"/>
                  <wp:docPr id="1560" name="Image 1560"/>
                  <wp:cNvGraphicFramePr>
                    <a:graphicFrameLocks/>
                  </wp:cNvGraphicFramePr>
                  <a:graphic>
                    <a:graphicData uri="http://schemas.openxmlformats.org/drawingml/2006/picture">
                      <pic:pic>
                        <pic:nvPicPr>
                          <pic:cNvPr id="1560" name="Image 1560"/>
                          <pic:cNvPicPr/>
                        </pic:nvPicPr>
                        <pic:blipFill>
                          <a:blip r:embed="rId309" cstate="print"/>
                          <a:stretch>
                            <a:fillRect/>
                          </a:stretch>
                        </pic:blipFill>
                        <pic:spPr>
                          <a:xfrm>
                            <a:off x="0" y="0"/>
                            <a:ext cx="102107" cy="102107"/>
                          </a:xfrm>
                          <a:prstGeom prst="rect">
                            <a:avLst/>
                          </a:prstGeom>
                        </pic:spPr>
                      </pic:pic>
                    </a:graphicData>
                  </a:graphic>
                </wp:inline>
              </w:drawing>
            </w:r>
            <w:r>
              <w:rPr>
                <w:position w:val="-2"/>
                <w:sz w:val="16"/>
              </w:rPr>
            </w:r>
          </w:p>
        </w:tc>
        <w:tc>
          <w:tcPr>
            <w:tcW w:w="3188" w:type="dxa"/>
          </w:tcPr>
          <w:p>
            <w:pPr>
              <w:pStyle w:val="TableParagraph"/>
              <w:spacing w:before="8"/>
              <w:ind w:left="1097"/>
              <w:rPr>
                <w:rFonts w:ascii="Book Antiqua"/>
                <w:b/>
                <w:sz w:val="18"/>
              </w:rPr>
            </w:pPr>
            <w:r>
              <w:rPr>
                <w:rFonts w:ascii="Book Antiqua"/>
                <w:b/>
                <w:color w:val="231F20"/>
                <w:spacing w:val="-2"/>
                <w:sz w:val="18"/>
              </w:rPr>
              <w:t>Unstable</w:t>
            </w:r>
          </w:p>
        </w:tc>
        <w:tc>
          <w:tcPr>
            <w:tcW w:w="2909" w:type="dxa"/>
          </w:tcPr>
          <w:p>
            <w:pPr>
              <w:pStyle w:val="TableParagraph"/>
              <w:spacing w:line="220" w:lineRule="exact" w:before="0"/>
              <w:ind w:left="463" w:right="142"/>
              <w:rPr>
                <w:sz w:val="18"/>
              </w:rPr>
            </w:pPr>
            <w:r>
              <w:rPr>
                <w:color w:val="231F20"/>
                <w:sz w:val="18"/>
              </w:rPr>
              <w:t>At least one connector has experienced errors while retrieving</w:t>
            </w:r>
            <w:r>
              <w:rPr>
                <w:color w:val="231F20"/>
                <w:spacing w:val="-7"/>
                <w:sz w:val="18"/>
              </w:rPr>
              <w:t> </w:t>
            </w:r>
            <w:r>
              <w:rPr>
                <w:color w:val="231F20"/>
                <w:sz w:val="18"/>
              </w:rPr>
              <w:t>information</w:t>
            </w:r>
            <w:r>
              <w:rPr>
                <w:color w:val="231F20"/>
                <w:spacing w:val="-7"/>
                <w:sz w:val="18"/>
              </w:rPr>
              <w:t> </w:t>
            </w:r>
            <w:r>
              <w:rPr>
                <w:color w:val="231F20"/>
                <w:sz w:val="18"/>
              </w:rPr>
              <w:t>from the event repository, but it continues to function.</w:t>
            </w:r>
          </w:p>
        </w:tc>
      </w:tr>
    </w:tbl>
    <w:p>
      <w:pPr>
        <w:spacing w:after="0" w:line="220" w:lineRule="exact"/>
        <w:rPr>
          <w:sz w:val="18"/>
        </w:rPr>
        <w:sectPr>
          <w:pgSz w:w="12240" w:h="15840"/>
          <w:pgMar w:header="0" w:footer="736" w:top="1180" w:bottom="1251" w:left="1000" w:right="1060"/>
        </w:sectPr>
      </w:pPr>
    </w:p>
    <w:tbl>
      <w:tblPr>
        <w:tblW w:w="0" w:type="auto"/>
        <w:jc w:val="left"/>
        <w:tblInd w:w="2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7"/>
        <w:gridCol w:w="3318"/>
        <w:gridCol w:w="2802"/>
      </w:tblGrid>
      <w:tr>
        <w:trPr>
          <w:trHeight w:val="226" w:hRule="atLeast"/>
        </w:trPr>
        <w:tc>
          <w:tcPr>
            <w:tcW w:w="1507" w:type="dxa"/>
          </w:tcPr>
          <w:p>
            <w:pPr>
              <w:pStyle w:val="TableParagraph"/>
              <w:spacing w:line="206" w:lineRule="exact" w:before="0"/>
              <w:ind w:left="50"/>
              <w:rPr>
                <w:rFonts w:ascii="Book Antiqua"/>
                <w:b/>
                <w:sz w:val="18"/>
              </w:rPr>
            </w:pPr>
            <w:r>
              <w:rPr>
                <w:rFonts w:ascii="Book Antiqua"/>
                <w:b/>
                <w:color w:val="231F20"/>
                <w:spacing w:val="-4"/>
                <w:sz w:val="18"/>
              </w:rPr>
              <w:t>Icon</w:t>
            </w:r>
          </w:p>
        </w:tc>
        <w:tc>
          <w:tcPr>
            <w:tcW w:w="3318" w:type="dxa"/>
          </w:tcPr>
          <w:p>
            <w:pPr>
              <w:pStyle w:val="TableParagraph"/>
              <w:spacing w:line="206" w:lineRule="exact" w:before="0"/>
              <w:ind w:left="1097"/>
              <w:rPr>
                <w:rFonts w:ascii="Book Antiqua"/>
                <w:b/>
                <w:sz w:val="18"/>
              </w:rPr>
            </w:pPr>
            <w:r>
              <w:rPr>
                <w:rFonts w:ascii="Book Antiqua"/>
                <w:b/>
                <w:color w:val="231F20"/>
                <w:spacing w:val="-2"/>
                <w:sz w:val="18"/>
              </w:rPr>
              <w:t>Status</w:t>
            </w:r>
          </w:p>
        </w:tc>
        <w:tc>
          <w:tcPr>
            <w:tcW w:w="2802" w:type="dxa"/>
          </w:tcPr>
          <w:p>
            <w:pPr>
              <w:pStyle w:val="TableParagraph"/>
              <w:spacing w:line="206" w:lineRule="exact" w:before="0"/>
              <w:ind w:left="333"/>
              <w:rPr>
                <w:rFonts w:ascii="Book Antiqua"/>
                <w:b/>
                <w:sz w:val="18"/>
              </w:rPr>
            </w:pPr>
            <w:r>
              <w:rPr>
                <w:rFonts w:ascii="Book Antiqua"/>
                <w:b/>
                <w:color w:val="231F20"/>
                <w:spacing w:val="-2"/>
                <w:sz w:val="18"/>
              </w:rPr>
              <w:t>Description</w:t>
            </w:r>
          </w:p>
        </w:tc>
      </w:tr>
      <w:tr>
        <w:trPr>
          <w:trHeight w:val="460" w:hRule="atLeast"/>
        </w:trPr>
        <w:tc>
          <w:tcPr>
            <w:tcW w:w="1507" w:type="dxa"/>
          </w:tcPr>
          <w:p>
            <w:pPr>
              <w:pStyle w:val="TableParagraph"/>
              <w:spacing w:before="5"/>
              <w:ind w:left="0"/>
              <w:rPr>
                <w:sz w:val="4"/>
              </w:rPr>
            </w:pPr>
          </w:p>
          <w:p>
            <w:pPr>
              <w:pStyle w:val="TableParagraph"/>
              <w:spacing w:line="160" w:lineRule="exact" w:before="0"/>
              <w:ind w:left="50"/>
              <w:rPr>
                <w:sz w:val="16"/>
              </w:rPr>
            </w:pPr>
            <w:bookmarkStart w:name="_bookmark119" w:id="260"/>
            <w:bookmarkEnd w:id="260"/>
            <w:r>
              <w:rPr/>
            </w:r>
            <w:r>
              <w:rPr>
                <w:position w:val="-2"/>
                <w:sz w:val="16"/>
              </w:rPr>
              <w:drawing>
                <wp:inline distT="0" distB="0" distL="0" distR="0">
                  <wp:extent cx="102107" cy="102107"/>
                  <wp:effectExtent l="0" t="0" r="0" b="0"/>
                  <wp:docPr id="1561" name="Image 1561"/>
                  <wp:cNvGraphicFramePr>
                    <a:graphicFrameLocks/>
                  </wp:cNvGraphicFramePr>
                  <a:graphic>
                    <a:graphicData uri="http://schemas.openxmlformats.org/drawingml/2006/picture">
                      <pic:pic>
                        <pic:nvPicPr>
                          <pic:cNvPr id="1561" name="Image 1561"/>
                          <pic:cNvPicPr/>
                        </pic:nvPicPr>
                        <pic:blipFill>
                          <a:blip r:embed="rId310" cstate="print"/>
                          <a:stretch>
                            <a:fillRect/>
                          </a:stretch>
                        </pic:blipFill>
                        <pic:spPr>
                          <a:xfrm>
                            <a:off x="0" y="0"/>
                            <a:ext cx="102107" cy="102107"/>
                          </a:xfrm>
                          <a:prstGeom prst="rect">
                            <a:avLst/>
                          </a:prstGeom>
                        </pic:spPr>
                      </pic:pic>
                    </a:graphicData>
                  </a:graphic>
                </wp:inline>
              </w:drawing>
            </w:r>
            <w:r>
              <w:rPr>
                <w:position w:val="-2"/>
                <w:sz w:val="16"/>
              </w:rPr>
            </w:r>
          </w:p>
        </w:tc>
        <w:tc>
          <w:tcPr>
            <w:tcW w:w="3318" w:type="dxa"/>
          </w:tcPr>
          <w:p>
            <w:pPr>
              <w:pStyle w:val="TableParagraph"/>
              <w:spacing w:before="10"/>
              <w:ind w:left="1097"/>
              <w:rPr>
                <w:rFonts w:ascii="Book Antiqua"/>
                <w:b/>
                <w:sz w:val="18"/>
              </w:rPr>
            </w:pPr>
            <w:r>
              <w:rPr>
                <w:rFonts w:ascii="Book Antiqua"/>
                <w:b/>
                <w:color w:val="231F20"/>
                <w:spacing w:val="-2"/>
                <w:sz w:val="18"/>
              </w:rPr>
              <w:t>Initializing</w:t>
            </w:r>
          </w:p>
        </w:tc>
        <w:tc>
          <w:tcPr>
            <w:tcW w:w="2802" w:type="dxa"/>
          </w:tcPr>
          <w:p>
            <w:pPr>
              <w:pStyle w:val="TableParagraph"/>
              <w:spacing w:line="220" w:lineRule="exact" w:before="0"/>
              <w:ind w:left="333"/>
              <w:rPr>
                <w:sz w:val="18"/>
              </w:rPr>
            </w:pPr>
            <w:r>
              <w:rPr>
                <w:color w:val="231F20"/>
                <w:sz w:val="18"/>
              </w:rPr>
              <w:t>At least one connector </w:t>
            </w:r>
            <w:r>
              <w:rPr>
                <w:color w:val="231F20"/>
                <w:sz w:val="18"/>
              </w:rPr>
              <w:t>is currently starting up.</w:t>
            </w:r>
          </w:p>
        </w:tc>
      </w:tr>
      <w:tr>
        <w:trPr>
          <w:trHeight w:val="458" w:hRule="atLeast"/>
        </w:trPr>
        <w:tc>
          <w:tcPr>
            <w:tcW w:w="1507" w:type="dxa"/>
          </w:tcPr>
          <w:p>
            <w:pPr>
              <w:pStyle w:val="TableParagraph"/>
              <w:spacing w:before="3"/>
              <w:ind w:left="0"/>
              <w:rPr>
                <w:sz w:val="4"/>
              </w:rPr>
            </w:pPr>
          </w:p>
          <w:p>
            <w:pPr>
              <w:pStyle w:val="TableParagraph"/>
              <w:spacing w:line="160" w:lineRule="exact" w:before="0"/>
              <w:ind w:left="50"/>
              <w:rPr>
                <w:sz w:val="16"/>
              </w:rPr>
            </w:pPr>
            <w:r>
              <w:rPr>
                <w:position w:val="-2"/>
                <w:sz w:val="16"/>
              </w:rPr>
              <w:drawing>
                <wp:inline distT="0" distB="0" distL="0" distR="0">
                  <wp:extent cx="102107" cy="102107"/>
                  <wp:effectExtent l="0" t="0" r="0" b="0"/>
                  <wp:docPr id="1562" name="Image 1562"/>
                  <wp:cNvGraphicFramePr>
                    <a:graphicFrameLocks/>
                  </wp:cNvGraphicFramePr>
                  <a:graphic>
                    <a:graphicData uri="http://schemas.openxmlformats.org/drawingml/2006/picture">
                      <pic:pic>
                        <pic:nvPicPr>
                          <pic:cNvPr id="1562" name="Image 1562"/>
                          <pic:cNvPicPr/>
                        </pic:nvPicPr>
                        <pic:blipFill>
                          <a:blip r:embed="rId311" cstate="print"/>
                          <a:stretch>
                            <a:fillRect/>
                          </a:stretch>
                        </pic:blipFill>
                        <pic:spPr>
                          <a:xfrm>
                            <a:off x="0" y="0"/>
                            <a:ext cx="102107" cy="102107"/>
                          </a:xfrm>
                          <a:prstGeom prst="rect">
                            <a:avLst/>
                          </a:prstGeom>
                        </pic:spPr>
                      </pic:pic>
                    </a:graphicData>
                  </a:graphic>
                </wp:inline>
              </w:drawing>
            </w:r>
            <w:r>
              <w:rPr>
                <w:position w:val="-2"/>
                <w:sz w:val="16"/>
              </w:rPr>
            </w:r>
          </w:p>
        </w:tc>
        <w:tc>
          <w:tcPr>
            <w:tcW w:w="3318" w:type="dxa"/>
          </w:tcPr>
          <w:p>
            <w:pPr>
              <w:pStyle w:val="TableParagraph"/>
              <w:spacing w:before="8"/>
              <w:ind w:left="1097"/>
              <w:rPr>
                <w:rFonts w:ascii="Book Antiqua"/>
                <w:b/>
                <w:sz w:val="18"/>
              </w:rPr>
            </w:pPr>
            <w:r>
              <w:rPr>
                <w:rFonts w:ascii="Book Antiqua"/>
                <w:b/>
                <w:color w:val="231F20"/>
                <w:spacing w:val="-2"/>
                <w:sz w:val="18"/>
              </w:rPr>
              <w:t>Operational</w:t>
            </w:r>
          </w:p>
        </w:tc>
        <w:tc>
          <w:tcPr>
            <w:tcW w:w="2802" w:type="dxa"/>
          </w:tcPr>
          <w:p>
            <w:pPr>
              <w:pStyle w:val="TableParagraph"/>
              <w:spacing w:line="220" w:lineRule="exact" w:before="0"/>
              <w:ind w:left="333" w:right="146"/>
              <w:rPr>
                <w:sz w:val="18"/>
              </w:rPr>
            </w:pPr>
            <w:r>
              <w:rPr>
                <w:color w:val="231F20"/>
                <w:sz w:val="18"/>
              </w:rPr>
              <w:t>All connectors are </w:t>
            </w:r>
            <w:r>
              <w:rPr>
                <w:color w:val="231F20"/>
                <w:spacing w:val="-2"/>
                <w:sz w:val="18"/>
              </w:rPr>
              <w:t>functioning</w:t>
            </w:r>
            <w:r>
              <w:rPr>
                <w:color w:val="231F20"/>
                <w:spacing w:val="-7"/>
                <w:sz w:val="18"/>
              </w:rPr>
              <w:t> </w:t>
            </w:r>
            <w:r>
              <w:rPr>
                <w:color w:val="231F20"/>
                <w:spacing w:val="-2"/>
                <w:sz w:val="18"/>
              </w:rPr>
              <w:t>correctly.</w:t>
            </w:r>
          </w:p>
        </w:tc>
      </w:tr>
      <w:tr>
        <w:trPr>
          <w:trHeight w:val="447" w:hRule="atLeast"/>
        </w:trPr>
        <w:tc>
          <w:tcPr>
            <w:tcW w:w="1507" w:type="dxa"/>
          </w:tcPr>
          <w:p>
            <w:pPr>
              <w:pStyle w:val="TableParagraph"/>
              <w:spacing w:before="3"/>
              <w:ind w:left="0"/>
              <w:rPr>
                <w:sz w:val="4"/>
              </w:rPr>
            </w:pPr>
          </w:p>
          <w:p>
            <w:pPr>
              <w:pStyle w:val="TableParagraph"/>
              <w:spacing w:line="100" w:lineRule="exact" w:before="0"/>
              <w:ind w:left="50"/>
              <w:rPr>
                <w:sz w:val="10"/>
              </w:rPr>
            </w:pPr>
            <w:r>
              <w:rPr>
                <w:position w:val="-1"/>
                <w:sz w:val="10"/>
              </w:rPr>
              <w:drawing>
                <wp:inline distT="0" distB="0" distL="0" distR="0">
                  <wp:extent cx="102107" cy="63817"/>
                  <wp:effectExtent l="0" t="0" r="0" b="0"/>
                  <wp:docPr id="1563" name="Image 1563"/>
                  <wp:cNvGraphicFramePr>
                    <a:graphicFrameLocks/>
                  </wp:cNvGraphicFramePr>
                  <a:graphic>
                    <a:graphicData uri="http://schemas.openxmlformats.org/drawingml/2006/picture">
                      <pic:pic>
                        <pic:nvPicPr>
                          <pic:cNvPr id="1563" name="Image 1563"/>
                          <pic:cNvPicPr/>
                        </pic:nvPicPr>
                        <pic:blipFill>
                          <a:blip r:embed="rId312" cstate="print"/>
                          <a:stretch>
                            <a:fillRect/>
                          </a:stretch>
                        </pic:blipFill>
                        <pic:spPr>
                          <a:xfrm>
                            <a:off x="0" y="0"/>
                            <a:ext cx="102107" cy="63817"/>
                          </a:xfrm>
                          <a:prstGeom prst="rect">
                            <a:avLst/>
                          </a:prstGeom>
                        </pic:spPr>
                      </pic:pic>
                    </a:graphicData>
                  </a:graphic>
                </wp:inline>
              </w:drawing>
            </w:r>
            <w:r>
              <w:rPr>
                <w:position w:val="-1"/>
                <w:sz w:val="10"/>
              </w:rPr>
            </w:r>
          </w:p>
        </w:tc>
        <w:tc>
          <w:tcPr>
            <w:tcW w:w="3318" w:type="dxa"/>
          </w:tcPr>
          <w:p>
            <w:pPr>
              <w:pStyle w:val="TableParagraph"/>
              <w:spacing w:before="8"/>
              <w:ind w:left="1097"/>
              <w:rPr>
                <w:rFonts w:ascii="Book Antiqua"/>
                <w:b/>
                <w:sz w:val="18"/>
              </w:rPr>
            </w:pPr>
            <w:r>
              <w:rPr>
                <w:rFonts w:ascii="Book Antiqua"/>
                <w:b/>
                <w:color w:val="231F20"/>
                <w:sz w:val="18"/>
              </w:rPr>
              <w:t>No</w:t>
            </w:r>
            <w:r>
              <w:rPr>
                <w:rFonts w:ascii="Book Antiqua"/>
                <w:b/>
                <w:color w:val="231F20"/>
                <w:spacing w:val="8"/>
                <w:sz w:val="18"/>
              </w:rPr>
              <w:t> </w:t>
            </w:r>
            <w:r>
              <w:rPr>
                <w:rFonts w:ascii="Book Antiqua"/>
                <w:b/>
                <w:color w:val="231F20"/>
                <w:sz w:val="18"/>
              </w:rPr>
              <w:t>connectors</w:t>
            </w:r>
            <w:r>
              <w:rPr>
                <w:rFonts w:ascii="Book Antiqua"/>
                <w:b/>
                <w:color w:val="231F20"/>
                <w:spacing w:val="8"/>
                <w:sz w:val="18"/>
              </w:rPr>
              <w:t> </w:t>
            </w:r>
            <w:r>
              <w:rPr>
                <w:rFonts w:ascii="Book Antiqua"/>
                <w:b/>
                <w:color w:val="231F20"/>
                <w:spacing w:val="-2"/>
                <w:sz w:val="18"/>
              </w:rPr>
              <w:t>defined</w:t>
            </w:r>
          </w:p>
        </w:tc>
        <w:tc>
          <w:tcPr>
            <w:tcW w:w="2802" w:type="dxa"/>
          </w:tcPr>
          <w:p>
            <w:pPr>
              <w:pStyle w:val="TableParagraph"/>
              <w:spacing w:line="220" w:lineRule="exact" w:before="0"/>
              <w:ind w:left="333"/>
              <w:rPr>
                <w:sz w:val="18"/>
              </w:rPr>
            </w:pPr>
            <w:r>
              <w:rPr>
                <w:color w:val="231F20"/>
                <w:sz w:val="18"/>
              </w:rPr>
              <w:t>No common event </w:t>
            </w:r>
            <w:r>
              <w:rPr>
                <w:color w:val="231F20"/>
                <w:sz w:val="18"/>
              </w:rPr>
              <w:t>connectors have been configured.</w:t>
            </w:r>
          </w:p>
        </w:tc>
      </w:tr>
    </w:tbl>
    <w:p>
      <w:pPr>
        <w:pStyle w:val="BodyText"/>
        <w:spacing w:before="19"/>
      </w:pPr>
    </w:p>
    <w:p>
      <w:pPr>
        <w:pStyle w:val="BodyText"/>
        <w:spacing w:line="213" w:lineRule="auto"/>
        <w:ind w:left="2448" w:right="433" w:hanging="216"/>
      </w:pPr>
      <w:r>
        <w:rPr>
          <w:rFonts w:ascii="Futura MdCn BT"/>
          <w:color w:val="231F20"/>
        </w:rPr>
        <w:t>v</w:t>
      </w:r>
      <w:r>
        <w:rPr>
          <w:rFonts w:ascii="Futura MdCn BT"/>
          <w:color w:val="231F20"/>
          <w:spacing w:val="80"/>
        </w:rPr>
        <w:t> </w:t>
      </w:r>
      <w:r>
        <w:rPr>
          <w:color w:val="231F20"/>
        </w:rPr>
        <w:t>To view the status of all configured common event connectors, click the </w:t>
      </w:r>
      <w:r>
        <w:rPr>
          <w:color w:val="231F20"/>
          <w:spacing w:val="14"/>
          <w:position w:val="4"/>
        </w:rPr>
        <w:drawing>
          <wp:inline distT="0" distB="0" distL="0" distR="0">
            <wp:extent cx="101600" cy="63500"/>
            <wp:effectExtent l="0" t="0" r="0" b="0"/>
            <wp:docPr id="1564" name="Image 1564"/>
            <wp:cNvGraphicFramePr>
              <a:graphicFrameLocks/>
            </wp:cNvGraphicFramePr>
            <a:graphic>
              <a:graphicData uri="http://schemas.openxmlformats.org/drawingml/2006/picture">
                <pic:pic>
                  <pic:nvPicPr>
                    <pic:cNvPr id="1564" name="Image 1564"/>
                    <pic:cNvPicPr/>
                  </pic:nvPicPr>
                  <pic:blipFill>
                    <a:blip r:embed="rId312" cstate="print"/>
                    <a:stretch>
                      <a:fillRect/>
                    </a:stretch>
                  </pic:blipFill>
                  <pic:spPr>
                    <a:xfrm>
                      <a:off x="0" y="0"/>
                      <a:ext cx="101600" cy="63500"/>
                    </a:xfrm>
                    <a:prstGeom prst="rect">
                      <a:avLst/>
                    </a:prstGeom>
                  </pic:spPr>
                </pic:pic>
              </a:graphicData>
            </a:graphic>
          </wp:inline>
        </w:drawing>
      </w:r>
      <w:r>
        <w:rPr>
          <w:color w:val="231F20"/>
          <w:spacing w:val="14"/>
          <w:position w:val="4"/>
        </w:rPr>
      </w:r>
      <w:r>
        <w:rPr>
          <w:rFonts w:ascii="Times New Roman"/>
          <w:color w:val="231F20"/>
          <w:spacing w:val="14"/>
          <w:position w:val="4"/>
        </w:rPr>
        <w:t> </w:t>
      </w:r>
      <w:r>
        <w:rPr>
          <w:rFonts w:ascii="Book Antiqua"/>
          <w:b/>
          <w:color w:val="231F20"/>
        </w:rPr>
        <w:t>Common event connector status </w:t>
      </w:r>
      <w:r>
        <w:rPr>
          <w:color w:val="231F20"/>
        </w:rPr>
        <w:t>icon on the toolbar. The Common Event Connector Status window opens, showing detailed connection status </w:t>
      </w:r>
      <w:r>
        <w:rPr>
          <w:color w:val="231F20"/>
        </w:rPr>
        <w:t>information</w:t>
      </w:r>
      <w:r>
        <w:rPr>
          <w:color w:val="231F20"/>
        </w:rPr>
        <w:t> for each configured connector.</w:t>
      </w:r>
    </w:p>
    <w:p>
      <w:pPr>
        <w:pStyle w:val="Heading3"/>
        <w:spacing w:before="216"/>
        <w:ind w:left="1334"/>
      </w:pPr>
      <w:bookmarkStart w:name="Adding a Tivoli Enterprise Console event" w:id="261"/>
      <w:bookmarkEnd w:id="261"/>
      <w:r>
        <w:rPr>
          <w:b w:val="0"/>
        </w:rPr>
      </w:r>
      <w:r>
        <w:rPr>
          <w:color w:val="231F20"/>
        </w:rPr>
        <w:t>Adding</w:t>
      </w:r>
      <w:r>
        <w:rPr>
          <w:color w:val="231F20"/>
          <w:spacing w:val="5"/>
        </w:rPr>
        <w:t> </w:t>
      </w:r>
      <w:r>
        <w:rPr>
          <w:color w:val="231F20"/>
        </w:rPr>
        <w:t>a</w:t>
      </w:r>
      <w:r>
        <w:rPr>
          <w:color w:val="231F20"/>
          <w:spacing w:val="6"/>
        </w:rPr>
        <w:t> </w:t>
      </w:r>
      <w:r>
        <w:rPr>
          <w:color w:val="231F20"/>
        </w:rPr>
        <w:t>Tivoli</w:t>
      </w:r>
      <w:r>
        <w:rPr>
          <w:color w:val="231F20"/>
          <w:spacing w:val="6"/>
        </w:rPr>
        <w:t> </w:t>
      </w:r>
      <w:r>
        <w:rPr>
          <w:color w:val="231F20"/>
        </w:rPr>
        <w:t>Enterprise</w:t>
      </w:r>
      <w:r>
        <w:rPr>
          <w:color w:val="231F20"/>
          <w:spacing w:val="5"/>
        </w:rPr>
        <w:t> </w:t>
      </w:r>
      <w:r>
        <w:rPr>
          <w:color w:val="231F20"/>
        </w:rPr>
        <w:t>Console</w:t>
      </w:r>
      <w:r>
        <w:rPr>
          <w:color w:val="231F20"/>
          <w:spacing w:val="6"/>
        </w:rPr>
        <w:t> </w:t>
      </w:r>
      <w:r>
        <w:rPr>
          <w:color w:val="231F20"/>
        </w:rPr>
        <w:t>event</w:t>
      </w:r>
      <w:r>
        <w:rPr>
          <w:color w:val="231F20"/>
          <w:spacing w:val="6"/>
        </w:rPr>
        <w:t> </w:t>
      </w:r>
      <w:r>
        <w:rPr>
          <w:color w:val="231F20"/>
          <w:spacing w:val="-2"/>
        </w:rPr>
        <w:t>viewer</w:t>
      </w:r>
    </w:p>
    <w:p>
      <w:pPr>
        <w:pStyle w:val="BodyText"/>
        <w:spacing w:line="213" w:lineRule="auto" w:before="58"/>
        <w:ind w:left="2232" w:right="493"/>
      </w:pPr>
      <w:r>
        <w:rPr>
          <w:color w:val="231F20"/>
        </w:rPr>
        <w:t>If your environment includes the Tivoli Enterprise Console, you can add it to </w:t>
      </w:r>
      <w:r>
        <w:rPr>
          <w:color w:val="231F20"/>
        </w:rPr>
        <w:t>any workspace to integrate alarms and events from network management operating systems and correlate them with other events.</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pPr>
      <w:r>
        <w:rPr>
          <w:color w:val="231F20"/>
          <w:spacing w:val="-2"/>
        </w:rPr>
        <w:t>Procedure</w:t>
      </w:r>
    </w:p>
    <w:p>
      <w:pPr>
        <w:pStyle w:val="ListParagraph"/>
        <w:numPr>
          <w:ilvl w:val="0"/>
          <w:numId w:val="80"/>
        </w:numPr>
        <w:tabs>
          <w:tab w:pos="2548" w:val="left" w:leader="none"/>
        </w:tabs>
        <w:spacing w:line="213" w:lineRule="auto" w:before="61" w:after="0"/>
        <w:ind w:left="2548" w:right="540" w:hanging="316"/>
        <w:jc w:val="left"/>
        <w:rPr>
          <w:rFonts w:ascii="Arial"/>
          <w:color w:val="231F20"/>
          <w:sz w:val="20"/>
        </w:rPr>
      </w:pPr>
      <w:r>
        <w:rPr>
          <w:color w:val="231F20"/>
          <w:sz w:val="20"/>
        </w:rPr>
        <w:t>Open the workspace where you want the Tivoli Enterprise Console event viewer. The view will show events from the managed systems assigned to </w:t>
      </w:r>
      <w:r>
        <w:rPr>
          <w:color w:val="231F20"/>
          <w:sz w:val="20"/>
        </w:rPr>
        <w:t>this branch of the Navigator. For example, if you add it to a workspace for the</w:t>
      </w:r>
    </w:p>
    <w:p>
      <w:pPr>
        <w:pStyle w:val="BodyText"/>
        <w:spacing w:line="213" w:lineRule="auto"/>
        <w:ind w:left="2548" w:right="545"/>
      </w:pPr>
      <w:r>
        <w:rPr>
          <w:position w:val="-1"/>
        </w:rPr>
        <w:drawing>
          <wp:inline distT="0" distB="0" distL="0" distR="0">
            <wp:extent cx="101600" cy="95250"/>
            <wp:effectExtent l="0" t="0" r="0" b="0"/>
            <wp:docPr id="1565" name="Image 1565"/>
            <wp:cNvGraphicFramePr>
              <a:graphicFrameLocks/>
            </wp:cNvGraphicFramePr>
            <a:graphic>
              <a:graphicData uri="http://schemas.openxmlformats.org/drawingml/2006/picture">
                <pic:pic>
                  <pic:nvPicPr>
                    <pic:cNvPr id="1565" name="Image 156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5"/>
        </w:rPr>
        <w:t> </w:t>
      </w:r>
      <w:r>
        <w:rPr>
          <w:color w:val="231F20"/>
        </w:rPr>
        <w:t>Linux Systems Navigator item, all the Linux-based managed systems on </w:t>
      </w:r>
      <w:r>
        <w:rPr>
          <w:color w:val="231F20"/>
        </w:rPr>
        <w:t>this branch of the Navigator will be included in the event reporting.</w:t>
      </w:r>
    </w:p>
    <w:p>
      <w:pPr>
        <w:pStyle w:val="ListParagraph"/>
        <w:numPr>
          <w:ilvl w:val="0"/>
          <w:numId w:val="80"/>
        </w:numPr>
        <w:tabs>
          <w:tab w:pos="2547" w:val="left" w:leader="none"/>
        </w:tabs>
        <w:spacing w:line="255" w:lineRule="exact" w:before="34" w:after="0"/>
        <w:ind w:left="2547" w:right="0" w:hanging="315"/>
        <w:jc w:val="left"/>
        <w:rPr>
          <w:rFonts w:ascii="Arial"/>
          <w:color w:val="231F20"/>
          <w:sz w:val="20"/>
        </w:rPr>
      </w:pPr>
      <w:r>
        <w:rPr>
          <w:color w:val="231F20"/>
          <w:sz w:val="20"/>
        </w:rPr>
        <w:t>If</w:t>
      </w:r>
      <w:r>
        <w:rPr>
          <w:color w:val="231F20"/>
          <w:spacing w:val="14"/>
          <w:sz w:val="20"/>
        </w:rPr>
        <w:t> </w:t>
      </w:r>
      <w:r>
        <w:rPr>
          <w:color w:val="231F20"/>
          <w:sz w:val="20"/>
        </w:rPr>
        <w:t>you</w:t>
      </w:r>
      <w:r>
        <w:rPr>
          <w:color w:val="231F20"/>
          <w:spacing w:val="14"/>
          <w:sz w:val="20"/>
        </w:rPr>
        <w:t> </w:t>
      </w:r>
      <w:r>
        <w:rPr>
          <w:color w:val="231F20"/>
          <w:sz w:val="20"/>
        </w:rPr>
        <w:t>want</w:t>
      </w:r>
      <w:r>
        <w:rPr>
          <w:color w:val="231F20"/>
          <w:spacing w:val="14"/>
          <w:sz w:val="20"/>
        </w:rPr>
        <w:t> </w:t>
      </w:r>
      <w:r>
        <w:rPr>
          <w:color w:val="231F20"/>
          <w:sz w:val="20"/>
        </w:rPr>
        <w:t>the</w:t>
      </w:r>
      <w:r>
        <w:rPr>
          <w:color w:val="231F20"/>
          <w:spacing w:val="14"/>
          <w:sz w:val="20"/>
        </w:rPr>
        <w:t> </w:t>
      </w:r>
      <w:r>
        <w:rPr>
          <w:color w:val="231F20"/>
          <w:sz w:val="20"/>
        </w:rPr>
        <w:t>view</w:t>
      </w:r>
      <w:r>
        <w:rPr>
          <w:color w:val="231F20"/>
          <w:spacing w:val="14"/>
          <w:sz w:val="20"/>
        </w:rPr>
        <w:t> </w:t>
      </w:r>
      <w:r>
        <w:rPr>
          <w:color w:val="231F20"/>
          <w:sz w:val="20"/>
        </w:rPr>
        <w:t>to</w:t>
      </w:r>
      <w:r>
        <w:rPr>
          <w:color w:val="231F20"/>
          <w:spacing w:val="14"/>
          <w:sz w:val="20"/>
        </w:rPr>
        <w:t> </w:t>
      </w:r>
      <w:r>
        <w:rPr>
          <w:color w:val="231F20"/>
          <w:sz w:val="20"/>
        </w:rPr>
        <w:t>occupy</w:t>
      </w:r>
      <w:r>
        <w:rPr>
          <w:color w:val="231F20"/>
          <w:spacing w:val="14"/>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space,</w:t>
      </w:r>
      <w:r>
        <w:rPr>
          <w:color w:val="231F20"/>
          <w:spacing w:val="14"/>
          <w:sz w:val="20"/>
        </w:rPr>
        <w:t> </w:t>
      </w:r>
      <w:r>
        <w:rPr>
          <w:color w:val="231F20"/>
          <w:sz w:val="20"/>
        </w:rPr>
        <w:t>click</w:t>
      </w:r>
      <w:r>
        <w:rPr>
          <w:color w:val="231F20"/>
          <w:spacing w:val="32"/>
          <w:sz w:val="20"/>
        </w:rPr>
        <w:t> </w:t>
      </w:r>
      <w:r>
        <w:rPr>
          <w:color w:val="231F20"/>
          <w:spacing w:val="-15"/>
          <w:position w:val="-1"/>
          <w:sz w:val="20"/>
        </w:rPr>
        <w:drawing>
          <wp:inline distT="0" distB="0" distL="0" distR="0">
            <wp:extent cx="88900" cy="88900"/>
            <wp:effectExtent l="0" t="0" r="0" b="0"/>
            <wp:docPr id="1566" name="Image 1566"/>
            <wp:cNvGraphicFramePr>
              <a:graphicFrameLocks/>
            </wp:cNvGraphicFramePr>
            <a:graphic>
              <a:graphicData uri="http://schemas.openxmlformats.org/drawingml/2006/picture">
                <pic:pic>
                  <pic:nvPicPr>
                    <pic:cNvPr id="1566" name="Image 1566"/>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76"/>
          <w:sz w:val="20"/>
        </w:rPr>
        <w:t> </w:t>
      </w:r>
      <w:r>
        <w:rPr>
          <w:rFonts w:ascii="Book Antiqua"/>
          <w:b/>
          <w:color w:val="231F20"/>
          <w:sz w:val="20"/>
        </w:rPr>
        <w:t>Split</w:t>
      </w:r>
      <w:r>
        <w:rPr>
          <w:rFonts w:ascii="Book Antiqua"/>
          <w:b/>
          <w:color w:val="231F20"/>
          <w:spacing w:val="14"/>
          <w:sz w:val="20"/>
        </w:rPr>
        <w:t> </w:t>
      </w:r>
      <w:r>
        <w:rPr>
          <w:rFonts w:ascii="Book Antiqua"/>
          <w:b/>
          <w:color w:val="231F20"/>
          <w:sz w:val="20"/>
        </w:rPr>
        <w:t>Vertically</w:t>
      </w:r>
      <w:r>
        <w:rPr>
          <w:rFonts w:ascii="Book Antiqua"/>
          <w:b/>
          <w:color w:val="231F20"/>
          <w:spacing w:val="14"/>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900"/>
            <wp:effectExtent l="0" t="0" r="0" b="0"/>
            <wp:docPr id="1567" name="Image 1567"/>
            <wp:cNvGraphicFramePr>
              <a:graphicFrameLocks/>
            </wp:cNvGraphicFramePr>
            <a:graphic>
              <a:graphicData uri="http://schemas.openxmlformats.org/drawingml/2006/picture">
                <pic:pic>
                  <pic:nvPicPr>
                    <pic:cNvPr id="1567" name="Image 1567"/>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p>
    <w:p>
      <w:pPr>
        <w:spacing w:line="255" w:lineRule="exact" w:before="0"/>
        <w:ind w:left="2548" w:right="0" w:firstLine="0"/>
        <w:jc w:val="left"/>
        <w:rPr>
          <w:sz w:val="20"/>
        </w:rPr>
      </w:pPr>
      <w:r>
        <w:rPr>
          <w:rFonts w:ascii="Book Antiqua"/>
          <w:b/>
          <w:color w:val="231F20"/>
          <w:sz w:val="20"/>
        </w:rPr>
        <w:t>Split</w:t>
      </w:r>
      <w:r>
        <w:rPr>
          <w:rFonts w:ascii="Book Antiqua"/>
          <w:b/>
          <w:color w:val="231F20"/>
          <w:spacing w:val="11"/>
          <w:sz w:val="20"/>
        </w:rPr>
        <w:t> </w:t>
      </w:r>
      <w:r>
        <w:rPr>
          <w:rFonts w:ascii="Book Antiqua"/>
          <w:b/>
          <w:color w:val="231F20"/>
          <w:sz w:val="20"/>
        </w:rPr>
        <w:t>Horizontally</w:t>
      </w:r>
      <w:r>
        <w:rPr>
          <w:rFonts w:ascii="Book Antiqua"/>
          <w:b/>
          <w:color w:val="231F20"/>
          <w:spacing w:val="12"/>
          <w:sz w:val="20"/>
        </w:rPr>
        <w:t> </w:t>
      </w:r>
      <w:r>
        <w:rPr>
          <w:color w:val="231F20"/>
          <w:sz w:val="20"/>
        </w:rPr>
        <w:t>in</w:t>
      </w:r>
      <w:r>
        <w:rPr>
          <w:color w:val="231F20"/>
          <w:spacing w:val="12"/>
          <w:sz w:val="20"/>
        </w:rPr>
        <w:t> </w:t>
      </w:r>
      <w:r>
        <w:rPr>
          <w:color w:val="231F20"/>
          <w:sz w:val="20"/>
        </w:rPr>
        <w:t>one</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pacing w:val="-2"/>
          <w:sz w:val="20"/>
        </w:rPr>
        <w:t>views.</w:t>
      </w:r>
    </w:p>
    <w:p>
      <w:pPr>
        <w:pStyle w:val="ListParagraph"/>
        <w:numPr>
          <w:ilvl w:val="0"/>
          <w:numId w:val="80"/>
        </w:numPr>
        <w:tabs>
          <w:tab w:pos="2548" w:val="left" w:leader="none"/>
        </w:tabs>
        <w:spacing w:line="211" w:lineRule="auto" w:before="60" w:after="0"/>
        <w:ind w:left="2548" w:right="616" w:hanging="316"/>
        <w:jc w:val="left"/>
        <w:rPr>
          <w:rFonts w:ascii="Arial"/>
          <w:color w:val="231F20"/>
          <w:position w:val="1"/>
          <w:sz w:val="20"/>
        </w:rPr>
      </w:pPr>
      <w:r>
        <w:rPr>
          <w:color w:val="231F20"/>
          <w:position w:val="1"/>
          <w:sz w:val="20"/>
        </w:rPr>
        <w:t>Click </w:t>
      </w:r>
      <w:r>
        <w:rPr>
          <w:color w:val="231F20"/>
          <w:spacing w:val="16"/>
          <w:sz w:val="20"/>
        </w:rPr>
        <w:drawing>
          <wp:inline distT="0" distB="0" distL="0" distR="0">
            <wp:extent cx="95250" cy="95250"/>
            <wp:effectExtent l="0" t="0" r="0" b="0"/>
            <wp:docPr id="1568" name="Image 1568"/>
            <wp:cNvGraphicFramePr>
              <a:graphicFrameLocks/>
            </wp:cNvGraphicFramePr>
            <a:graphic>
              <a:graphicData uri="http://schemas.openxmlformats.org/drawingml/2006/picture">
                <pic:pic>
                  <pic:nvPicPr>
                    <pic:cNvPr id="1568" name="Image 1568"/>
                    <pic:cNvPicPr/>
                  </pic:nvPicPr>
                  <pic:blipFill>
                    <a:blip r:embed="rId60" cstate="print"/>
                    <a:stretch>
                      <a:fillRect/>
                    </a:stretch>
                  </pic:blipFill>
                  <pic:spPr>
                    <a:xfrm>
                      <a:off x="0" y="0"/>
                      <a:ext cx="95250" cy="95250"/>
                    </a:xfrm>
                    <a:prstGeom prst="rect">
                      <a:avLst/>
                    </a:prstGeom>
                  </pic:spPr>
                </pic:pic>
              </a:graphicData>
            </a:graphic>
          </wp:inline>
        </w:drawing>
      </w:r>
      <w:r>
        <w:rPr>
          <w:color w:val="231F20"/>
          <w:spacing w:val="16"/>
          <w:sz w:val="20"/>
        </w:rPr>
      </w:r>
      <w:r>
        <w:rPr>
          <w:rFonts w:ascii="Times New Roman"/>
          <w:color w:val="231F20"/>
          <w:spacing w:val="40"/>
          <w:position w:val="1"/>
          <w:sz w:val="20"/>
        </w:rPr>
        <w:t> </w:t>
      </w:r>
      <w:r>
        <w:rPr>
          <w:rFonts w:ascii="Book Antiqua"/>
          <w:b/>
          <w:color w:val="231F20"/>
          <w:position w:val="1"/>
          <w:sz w:val="20"/>
        </w:rPr>
        <w:t>Tivoli Enterprise Console</w:t>
      </w:r>
      <w:r>
        <w:rPr>
          <w:color w:val="231F20"/>
          <w:position w:val="1"/>
          <w:sz w:val="20"/>
        </w:rPr>
        <w:t>. The mouse pointer changes to the view </w:t>
      </w:r>
      <w:r>
        <w:rPr>
          <w:color w:val="231F20"/>
          <w:sz w:val="20"/>
        </w:rPr>
        <w:t>icon (hand icon on Linux). If you get the wrong icon or decide not to add </w:t>
      </w:r>
      <w:r>
        <w:rPr>
          <w:color w:val="231F20"/>
          <w:sz w:val="20"/>
        </w:rPr>
        <w:t>the</w:t>
      </w:r>
      <w:r>
        <w:rPr>
          <w:color w:val="231F20"/>
          <w:spacing w:val="40"/>
          <w:sz w:val="20"/>
        </w:rPr>
        <w:t> </w:t>
      </w:r>
      <w:r>
        <w:rPr>
          <w:color w:val="231F20"/>
          <w:sz w:val="20"/>
        </w:rPr>
        <w:t>view, press Escape or click somewhere in the toolbar.</w:t>
      </w:r>
    </w:p>
    <w:p>
      <w:pPr>
        <w:pStyle w:val="ListParagraph"/>
        <w:numPr>
          <w:ilvl w:val="0"/>
          <w:numId w:val="80"/>
        </w:numPr>
        <w:tabs>
          <w:tab w:pos="2548" w:val="left" w:leader="none"/>
        </w:tabs>
        <w:spacing w:line="213" w:lineRule="auto" w:before="58" w:after="0"/>
        <w:ind w:left="2548" w:right="938" w:hanging="316"/>
        <w:jc w:val="left"/>
        <w:rPr>
          <w:rFonts w:ascii="Arial"/>
          <w:color w:val="231F20"/>
          <w:sz w:val="20"/>
        </w:rPr>
      </w:pPr>
      <w:r>
        <w:rPr>
          <w:color w:val="231F20"/>
          <w:sz w:val="20"/>
        </w:rPr>
        <w:t>Click inside the view where you want the Tivoli Enterprise Console event viewer. After you click, the old view is replaced by the Tivoli Enterprise Console event viewer and a login or configuration window might </w:t>
      </w:r>
      <w:r>
        <w:rPr>
          <w:color w:val="231F20"/>
          <w:sz w:val="20"/>
        </w:rPr>
        <w:t>display.</w:t>
      </w:r>
    </w:p>
    <w:p>
      <w:pPr>
        <w:pStyle w:val="ListParagraph"/>
        <w:numPr>
          <w:ilvl w:val="0"/>
          <w:numId w:val="80"/>
        </w:numPr>
        <w:tabs>
          <w:tab w:pos="2548" w:val="left" w:leader="none"/>
        </w:tabs>
        <w:spacing w:line="213" w:lineRule="auto" w:before="58" w:after="0"/>
        <w:ind w:left="2548" w:right="779" w:hanging="316"/>
        <w:jc w:val="left"/>
        <w:rPr>
          <w:rFonts w:ascii="Arial"/>
          <w:color w:val="231F20"/>
          <w:sz w:val="20"/>
        </w:rPr>
      </w:pPr>
      <w:r>
        <w:rPr>
          <w:color w:val="231F20"/>
          <w:sz w:val="20"/>
        </w:rPr>
        <w:t>If the Tivoli Enterprise Console Login window opens, complete the fields </w:t>
      </w:r>
      <w:r>
        <w:rPr>
          <w:color w:val="231F20"/>
          <w:sz w:val="20"/>
        </w:rPr>
        <w:t>to specify the Tivoli Enterprise Console managed host and your user ID.</w:t>
      </w:r>
    </w:p>
    <w:p>
      <w:pPr>
        <w:pStyle w:val="Heading4"/>
      </w:pPr>
      <w:r>
        <w:rPr>
          <w:color w:val="231F20"/>
          <w:spacing w:val="-2"/>
        </w:rPr>
        <w:t>Results</w:t>
      </w:r>
    </w:p>
    <w:p>
      <w:pPr>
        <w:pStyle w:val="BodyText"/>
        <w:spacing w:line="213" w:lineRule="auto" w:before="241"/>
        <w:ind w:left="2232" w:right="545"/>
      </w:pPr>
      <w:r>
        <w:rPr>
          <w:color w:val="231F20"/>
        </w:rPr>
        <w:t>After you click </w:t>
      </w:r>
      <w:r>
        <w:rPr>
          <w:rFonts w:ascii="Book Antiqua"/>
          <w:b/>
          <w:color w:val="231F20"/>
        </w:rPr>
        <w:t>OK</w:t>
      </w:r>
      <w:r>
        <w:rPr>
          <w:color w:val="231F20"/>
        </w:rPr>
        <w:t>, a dynamic or event group query is issued and events are retrieved from the event server as they occur. The managed systems that are reporting events to this view are those assigned to the current Navigator </w:t>
      </w:r>
      <w:r>
        <w:rPr>
          <w:color w:val="231F20"/>
        </w:rPr>
        <w:t>item.</w:t>
      </w:r>
    </w:p>
    <w:p>
      <w:pPr>
        <w:pStyle w:val="Heading4"/>
        <w:spacing w:before="199"/>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545"/>
      </w:pPr>
      <w:r>
        <w:rPr>
          <w:color w:val="231F20"/>
        </w:rPr>
        <w:t>Additional windows for viewing event details and running IBM Tivoli </w:t>
      </w:r>
      <w:r>
        <w:rPr>
          <w:color w:val="231F20"/>
        </w:rPr>
        <w:t>Monitoring tasks can be launched off this view.</w:t>
      </w:r>
    </w:p>
    <w:p>
      <w:pPr>
        <w:pStyle w:val="BodyText"/>
        <w:spacing w:line="213" w:lineRule="auto" w:before="238"/>
        <w:ind w:left="2232" w:right="636"/>
      </w:pPr>
      <w:r>
        <w:rPr>
          <w:color w:val="231F20"/>
        </w:rPr>
        <w:t>When you return to this view during future work sessions, you can log on automatically. If you are logged onto the portal server from your browser, be sure to exit and then restart the browser before attempting to log in again. Otherwise,</w:t>
      </w:r>
    </w:p>
    <w:p>
      <w:pPr>
        <w:spacing w:after="0" w:line="213" w:lineRule="auto"/>
        <w:sectPr>
          <w:type w:val="continuous"/>
          <w:pgSz w:w="12240" w:h="15840"/>
          <w:pgMar w:header="0" w:footer="736" w:top="1320" w:bottom="920" w:left="1000" w:right="1060"/>
        </w:sectPr>
      </w:pPr>
    </w:p>
    <w:p>
      <w:pPr>
        <w:pStyle w:val="BodyText"/>
        <w:spacing w:line="213" w:lineRule="auto" w:before="85"/>
        <w:ind w:left="2472" w:right="545"/>
      </w:pPr>
      <w:bookmarkStart w:name="_bookmark120" w:id="262"/>
      <w:bookmarkEnd w:id="262"/>
      <w:r>
        <w:rPr/>
      </w:r>
      <w:r>
        <w:rPr>
          <w:color w:val="231F20"/>
        </w:rPr>
        <w:t>any Tivoli Enterprise Console event viewers you add to workspaces will </w:t>
      </w:r>
      <w:r>
        <w:rPr>
          <w:color w:val="231F20"/>
        </w:rPr>
        <w:t>not receive events.</w:t>
      </w:r>
    </w:p>
    <w:p>
      <w:pPr>
        <w:pStyle w:val="Heading4"/>
        <w:spacing w:line="273" w:lineRule="exact" w:before="165"/>
        <w:ind w:left="2472"/>
      </w:pPr>
      <w:bookmarkStart w:name="Tivoli Enterprise Console event viewer a" w:id="263"/>
      <w:bookmarkEnd w:id="263"/>
      <w:r>
        <w:rPr>
          <w:b w:val="0"/>
        </w:rPr>
      </w:r>
      <w:r>
        <w:rPr>
          <w:color w:val="231F20"/>
        </w:rPr>
        <w:t>Tivoli</w:t>
      </w:r>
      <w:r>
        <w:rPr>
          <w:color w:val="231F20"/>
          <w:spacing w:val="4"/>
        </w:rPr>
        <w:t> </w:t>
      </w:r>
      <w:r>
        <w:rPr>
          <w:color w:val="231F20"/>
        </w:rPr>
        <w:t>Enterprise</w:t>
      </w:r>
      <w:r>
        <w:rPr>
          <w:color w:val="231F20"/>
          <w:spacing w:val="4"/>
        </w:rPr>
        <w:t> </w:t>
      </w:r>
      <w:r>
        <w:rPr>
          <w:color w:val="231F20"/>
        </w:rPr>
        <w:t>Console</w:t>
      </w:r>
      <w:r>
        <w:rPr>
          <w:color w:val="231F20"/>
          <w:spacing w:val="5"/>
        </w:rPr>
        <w:t> </w:t>
      </w:r>
      <w:r>
        <w:rPr>
          <w:color w:val="231F20"/>
        </w:rPr>
        <w:t>event</w:t>
      </w:r>
      <w:r>
        <w:rPr>
          <w:color w:val="231F20"/>
          <w:spacing w:val="4"/>
        </w:rPr>
        <w:t> </w:t>
      </w:r>
      <w:r>
        <w:rPr>
          <w:color w:val="231F20"/>
        </w:rPr>
        <w:t>viewer</w:t>
      </w:r>
      <w:r>
        <w:rPr>
          <w:color w:val="231F20"/>
          <w:spacing w:val="5"/>
        </w:rPr>
        <w:t> </w:t>
      </w:r>
      <w:r>
        <w:rPr>
          <w:color w:val="231F20"/>
        </w:rPr>
        <w:t>and</w:t>
      </w:r>
      <w:r>
        <w:rPr>
          <w:color w:val="231F20"/>
          <w:spacing w:val="4"/>
        </w:rPr>
        <w:t> </w:t>
      </w:r>
      <w:r>
        <w:rPr>
          <w:color w:val="231F20"/>
        </w:rPr>
        <w:t>console</w:t>
      </w:r>
      <w:r>
        <w:rPr>
          <w:color w:val="231F20"/>
          <w:spacing w:val="5"/>
        </w:rPr>
        <w:t> </w:t>
      </w:r>
      <w:r>
        <w:rPr>
          <w:color w:val="231F20"/>
          <w:spacing w:val="-2"/>
        </w:rPr>
        <w:t>toolbars</w:t>
      </w:r>
    </w:p>
    <w:p>
      <w:pPr>
        <w:pStyle w:val="BodyText"/>
        <w:spacing w:line="213" w:lineRule="auto" w:before="19"/>
        <w:ind w:left="2472" w:right="385"/>
      </w:pPr>
      <w:r>
        <w:rPr>
          <w:color w:val="231F20"/>
        </w:rPr>
        <w:t>The Tivoli Enterprise Console event viewer has tools for working with events </w:t>
      </w:r>
      <w:r>
        <w:rPr>
          <w:color w:val="231F20"/>
        </w:rPr>
        <w:t>and filtering them. It also has a pop-up menu for actions to take on the selected row. When a dialog box is displayed you can click </w:t>
      </w:r>
      <w:r>
        <w:rPr>
          <w:rFonts w:ascii="Book Antiqua"/>
          <w:b/>
          <w:color w:val="231F20"/>
        </w:rPr>
        <w:t>Help </w:t>
      </w:r>
      <w:r>
        <w:rPr>
          <w:color w:val="231F20"/>
        </w:rPr>
        <w:t>to access the Tivoli Enterprise Console help system.</w:t>
      </w:r>
    </w:p>
    <w:p>
      <w:pPr>
        <w:pStyle w:val="Heading6"/>
        <w:spacing w:line="227" w:lineRule="exact" w:before="121"/>
      </w:pPr>
      <w:r>
        <w:rPr>
          <w:b w:val="0"/>
        </w:rPr>
        <w:drawing>
          <wp:inline distT="0" distB="0" distL="0" distR="0">
            <wp:extent cx="88900" cy="82550"/>
            <wp:effectExtent l="0" t="0" r="0" b="0"/>
            <wp:docPr id="1569" name="Image 1569"/>
            <wp:cNvGraphicFramePr>
              <a:graphicFrameLocks/>
            </wp:cNvGraphicFramePr>
            <a:graphic>
              <a:graphicData uri="http://schemas.openxmlformats.org/drawingml/2006/picture">
                <pic:pic>
                  <pic:nvPicPr>
                    <pic:cNvPr id="1569" name="Image 1569"/>
                    <pic:cNvPicPr/>
                  </pic:nvPicPr>
                  <pic:blipFill>
                    <a:blip r:embed="rId313"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position w:val="1"/>
        </w:rPr>
        <w:t> </w:t>
      </w:r>
      <w:r>
        <w:rPr>
          <w:color w:val="231F20"/>
          <w:position w:val="1"/>
        </w:rPr>
        <w:t>Preferences</w:t>
      </w:r>
    </w:p>
    <w:p>
      <w:pPr>
        <w:pStyle w:val="BodyText"/>
        <w:spacing w:line="213" w:lineRule="auto" w:before="9"/>
        <w:ind w:left="3190" w:right="292"/>
      </w:pPr>
      <w:r>
        <w:rPr>
          <w:color w:val="231F20"/>
        </w:rPr>
        <w:t>This tool opens the Preferences window. The changes you make are for</w:t>
      </w:r>
      <w:r>
        <w:rPr>
          <w:color w:val="231F20"/>
          <w:spacing w:val="80"/>
        </w:rPr>
        <w:t> </w:t>
      </w:r>
      <w:r>
        <w:rPr>
          <w:color w:val="231F20"/>
        </w:rPr>
        <w:t>your user ID and affect this and all new Tivoli Enterprise Console event viewers. General preferences set the refresh rate for displaying new </w:t>
      </w:r>
      <w:r>
        <w:rPr>
          <w:color w:val="231F20"/>
        </w:rPr>
        <w:t>events, the age of closed events to display, and the number of events to display.</w:t>
      </w:r>
    </w:p>
    <w:p>
      <w:pPr>
        <w:pStyle w:val="BodyText"/>
        <w:spacing w:line="213" w:lineRule="auto"/>
        <w:ind w:left="3190" w:right="385"/>
      </w:pPr>
      <w:r>
        <w:rPr>
          <w:color w:val="231F20"/>
        </w:rPr>
        <w:t>The Working Queue/All Events preferences determine the column sort order in the Working Queue and All Events queue. Severity Colors preferences determine whether or not hover and column highlighting </w:t>
      </w:r>
      <w:r>
        <w:rPr>
          <w:color w:val="231F20"/>
        </w:rPr>
        <w:t>are activated, and what colors to use for event severity.</w:t>
      </w:r>
    </w:p>
    <w:p>
      <w:pPr>
        <w:pStyle w:val="Heading6"/>
        <w:spacing w:before="113"/>
      </w:pPr>
      <w:r>
        <w:rPr>
          <w:b w:val="0"/>
          <w:position w:val="-1"/>
        </w:rPr>
        <w:drawing>
          <wp:inline distT="0" distB="0" distL="0" distR="0">
            <wp:extent cx="114300" cy="101600"/>
            <wp:effectExtent l="0" t="0" r="0" b="0"/>
            <wp:docPr id="1570" name="Image 1570"/>
            <wp:cNvGraphicFramePr>
              <a:graphicFrameLocks/>
            </wp:cNvGraphicFramePr>
            <a:graphic>
              <a:graphicData uri="http://schemas.openxmlformats.org/drawingml/2006/picture">
                <pic:pic>
                  <pic:nvPicPr>
                    <pic:cNvPr id="1570" name="Image 1570"/>
                    <pic:cNvPicPr/>
                  </pic:nvPicPr>
                  <pic:blipFill>
                    <a:blip r:embed="rId314" cstate="print"/>
                    <a:stretch>
                      <a:fillRect/>
                    </a:stretch>
                  </pic:blipFill>
                  <pic:spPr>
                    <a:xfrm>
                      <a:off x="0" y="0"/>
                      <a:ext cx="114300" cy="101600"/>
                    </a:xfrm>
                    <a:prstGeom prst="rect">
                      <a:avLst/>
                    </a:prstGeom>
                  </pic:spPr>
                </pic:pic>
              </a:graphicData>
            </a:graphic>
          </wp:inline>
        </w:drawing>
      </w:r>
      <w:r>
        <w:rPr>
          <w:b w:val="0"/>
          <w:position w:val="-1"/>
        </w:rPr>
      </w:r>
      <w:r>
        <w:rPr>
          <w:rFonts w:ascii="Times New Roman"/>
          <w:b w:val="0"/>
          <w:spacing w:val="40"/>
        </w:rPr>
        <w:t> </w:t>
      </w:r>
      <w:r>
        <w:rPr>
          <w:color w:val="231F20"/>
        </w:rPr>
        <w:t>New</w:t>
      </w:r>
      <w:r>
        <w:rPr>
          <w:color w:val="231F20"/>
          <w:spacing w:val="21"/>
        </w:rPr>
        <w:t> </w:t>
      </w:r>
      <w:r>
        <w:rPr>
          <w:color w:val="231F20"/>
        </w:rPr>
        <w:t>Task</w:t>
      </w:r>
      <w:r>
        <w:rPr>
          <w:color w:val="231F20"/>
          <w:spacing w:val="21"/>
        </w:rPr>
        <w:t> </w:t>
      </w:r>
      <w:r>
        <w:rPr>
          <w:color w:val="231F20"/>
        </w:rPr>
        <w:t>with</w:t>
      </w:r>
      <w:r>
        <w:rPr>
          <w:color w:val="231F20"/>
          <w:spacing w:val="21"/>
        </w:rPr>
        <w:t> </w:t>
      </w:r>
      <w:r>
        <w:rPr>
          <w:color w:val="231F20"/>
        </w:rPr>
        <w:t>Selected</w:t>
      </w:r>
      <w:r>
        <w:rPr>
          <w:color w:val="231F20"/>
          <w:spacing w:val="21"/>
        </w:rPr>
        <w:t> </w:t>
      </w:r>
      <w:r>
        <w:rPr>
          <w:color w:val="231F20"/>
        </w:rPr>
        <w:t>Event</w:t>
      </w:r>
    </w:p>
    <w:p>
      <w:pPr>
        <w:pStyle w:val="BodyText"/>
        <w:spacing w:line="213" w:lineRule="auto" w:before="12"/>
        <w:ind w:left="3190" w:right="313"/>
      </w:pPr>
      <w:r>
        <w:rPr>
          <w:color w:val="231F20"/>
        </w:rPr>
        <w:t>This tool opens a window for configuring automated tasks, which run</w:t>
      </w:r>
      <w:r>
        <w:rPr>
          <w:color w:val="231F20"/>
          <w:spacing w:val="80"/>
        </w:rPr>
        <w:t> </w:t>
      </w:r>
      <w:r>
        <w:rPr>
          <w:color w:val="231F20"/>
        </w:rPr>
        <w:t>when a particular event is received by the event console. For example, </w:t>
      </w:r>
      <w:r>
        <w:rPr>
          <w:color w:val="231F20"/>
        </w:rPr>
        <w:t>you can configure an automated task to send an e-mail message to an administrator when an event matching the criteria you defined ahead of time is received by the event console.</w:t>
      </w:r>
    </w:p>
    <w:p>
      <w:pPr>
        <w:pStyle w:val="BodyText"/>
        <w:spacing w:line="213" w:lineRule="auto" w:before="116"/>
        <w:ind w:left="3190" w:right="258"/>
      </w:pPr>
      <w:r>
        <w:rPr/>
        <w:drawing>
          <wp:anchor distT="0" distB="0" distL="0" distR="0" allowOverlap="1" layoutInCell="1" locked="0" behindDoc="1" simplePos="0" relativeHeight="473233920">
            <wp:simplePos x="0" y="0"/>
            <wp:positionH relativeFrom="page">
              <wp:posOffset>6845220</wp:posOffset>
            </wp:positionH>
            <wp:positionV relativeFrom="paragraph">
              <wp:posOffset>258814</wp:posOffset>
            </wp:positionV>
            <wp:extent cx="95250" cy="88900"/>
            <wp:effectExtent l="0" t="0" r="0" b="0"/>
            <wp:wrapNone/>
            <wp:docPr id="1571" name="Image 1571"/>
            <wp:cNvGraphicFramePr>
              <a:graphicFrameLocks/>
            </wp:cNvGraphicFramePr>
            <a:graphic>
              <a:graphicData uri="http://schemas.openxmlformats.org/drawingml/2006/picture">
                <pic:pic>
                  <pic:nvPicPr>
                    <pic:cNvPr id="1571" name="Image 1571"/>
                    <pic:cNvPicPr/>
                  </pic:nvPicPr>
                  <pic:blipFill>
                    <a:blip r:embed="rId315" cstate="print"/>
                    <a:stretch>
                      <a:fillRect/>
                    </a:stretch>
                  </pic:blipFill>
                  <pic:spPr>
                    <a:xfrm>
                      <a:off x="0" y="0"/>
                      <a:ext cx="95250" cy="88900"/>
                    </a:xfrm>
                    <a:prstGeom prst="rect">
                      <a:avLst/>
                    </a:prstGeom>
                  </pic:spPr>
                </pic:pic>
              </a:graphicData>
            </a:graphic>
          </wp:anchor>
        </w:drawing>
      </w:r>
      <w:r>
        <w:rPr>
          <w:color w:val="231F20"/>
        </w:rPr>
        <w:t>When an automated task completes, it issues information about its success</w:t>
      </w:r>
      <w:r>
        <w:rPr>
          <w:color w:val="231F20"/>
          <w:spacing w:val="40"/>
        </w:rPr>
        <w:t> </w:t>
      </w:r>
      <w:r>
        <w:rPr>
          <w:color w:val="231F20"/>
        </w:rPr>
        <w:t>or failure and any results created by the task. An icon is displayed in the Task Completion column of the Event Viewer when an automated task completes. You can double-click this icon to view the task results. This </w:t>
      </w:r>
      <w:r>
        <w:rPr>
          <w:color w:val="231F20"/>
        </w:rPr>
        <w:t>icon also is displayed for rule-based tasks that have completed.</w:t>
      </w:r>
    </w:p>
    <w:p>
      <w:pPr>
        <w:pStyle w:val="BodyText"/>
        <w:spacing w:line="213" w:lineRule="auto" w:before="116"/>
        <w:ind w:left="3190"/>
      </w:pPr>
      <w:r>
        <w:rPr>
          <w:color w:val="231F20"/>
        </w:rPr>
        <w:t>Automated task results are written to a text file, which is configured in the Console Properties editor for each console.</w:t>
      </w:r>
    </w:p>
    <w:p>
      <w:pPr>
        <w:pStyle w:val="Heading6"/>
      </w:pPr>
      <w:r>
        <w:rPr>
          <w:b w:val="0"/>
          <w:position w:val="-1"/>
        </w:rPr>
        <w:drawing>
          <wp:inline distT="0" distB="0" distL="0" distR="0">
            <wp:extent cx="82550" cy="95250"/>
            <wp:effectExtent l="0" t="0" r="0" b="0"/>
            <wp:docPr id="1572" name="Image 1572"/>
            <wp:cNvGraphicFramePr>
              <a:graphicFrameLocks/>
            </wp:cNvGraphicFramePr>
            <a:graphic>
              <a:graphicData uri="http://schemas.openxmlformats.org/drawingml/2006/picture">
                <pic:pic>
                  <pic:nvPicPr>
                    <pic:cNvPr id="1572" name="Image 1572"/>
                    <pic:cNvPicPr/>
                  </pic:nvPicPr>
                  <pic:blipFill>
                    <a:blip r:embed="rId316"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spacing w:val="80"/>
        </w:rPr>
        <w:t> </w:t>
      </w:r>
      <w:r>
        <w:rPr>
          <w:color w:val="231F20"/>
        </w:rPr>
        <w:t>Reload Events</w:t>
      </w:r>
    </w:p>
    <w:p>
      <w:pPr>
        <w:pStyle w:val="BodyText"/>
        <w:spacing w:line="213" w:lineRule="auto" w:before="12"/>
        <w:ind w:left="3190" w:right="385"/>
      </w:pPr>
      <w:r>
        <w:rPr>
          <w:color w:val="231F20"/>
        </w:rPr>
        <w:t>This tool is used to clear the view and reload the events. A query is sent to</w:t>
      </w:r>
      <w:r>
        <w:rPr>
          <w:color w:val="231F20"/>
          <w:spacing w:val="40"/>
        </w:rPr>
        <w:t> </w:t>
      </w:r>
      <w:r>
        <w:rPr>
          <w:color w:val="231F20"/>
        </w:rPr>
        <w:t>the event database and the results are displayed in the view.</w:t>
      </w:r>
    </w:p>
    <w:p>
      <w:pPr>
        <w:pStyle w:val="Heading6"/>
      </w:pPr>
      <w:r>
        <w:rPr>
          <w:b w:val="0"/>
          <w:position w:val="-1"/>
        </w:rPr>
        <w:drawing>
          <wp:inline distT="0" distB="0" distL="0" distR="0">
            <wp:extent cx="114300" cy="101600"/>
            <wp:effectExtent l="0" t="0" r="0" b="0"/>
            <wp:docPr id="1573" name="Image 1573"/>
            <wp:cNvGraphicFramePr>
              <a:graphicFrameLocks/>
            </wp:cNvGraphicFramePr>
            <a:graphic>
              <a:graphicData uri="http://schemas.openxmlformats.org/drawingml/2006/picture">
                <pic:pic>
                  <pic:nvPicPr>
                    <pic:cNvPr id="1573" name="Image 1573"/>
                    <pic:cNvPicPr/>
                  </pic:nvPicPr>
                  <pic:blipFill>
                    <a:blip r:embed="rId317" cstate="print"/>
                    <a:stretch>
                      <a:fillRect/>
                    </a:stretch>
                  </pic:blipFill>
                  <pic:spPr>
                    <a:xfrm>
                      <a:off x="0" y="0"/>
                      <a:ext cx="114300" cy="101600"/>
                    </a:xfrm>
                    <a:prstGeom prst="rect">
                      <a:avLst/>
                    </a:prstGeom>
                  </pic:spPr>
                </pic:pic>
              </a:graphicData>
            </a:graphic>
          </wp:inline>
        </w:drawing>
      </w:r>
      <w:r>
        <w:rPr>
          <w:b w:val="0"/>
          <w:position w:val="-1"/>
        </w:rPr>
      </w:r>
      <w:r>
        <w:rPr>
          <w:rFonts w:ascii="Times New Roman"/>
          <w:b w:val="0"/>
          <w:spacing w:val="40"/>
        </w:rPr>
        <w:t> </w:t>
      </w:r>
      <w:r>
        <w:rPr>
          <w:color w:val="231F20"/>
        </w:rPr>
        <w:t>Open</w:t>
      </w:r>
      <w:r>
        <w:rPr>
          <w:color w:val="231F20"/>
          <w:spacing w:val="31"/>
        </w:rPr>
        <w:t> </w:t>
      </w:r>
      <w:r>
        <w:rPr>
          <w:color w:val="231F20"/>
        </w:rPr>
        <w:t>Automated</w:t>
      </w:r>
      <w:r>
        <w:rPr>
          <w:color w:val="231F20"/>
          <w:spacing w:val="31"/>
        </w:rPr>
        <w:t> </w:t>
      </w:r>
      <w:r>
        <w:rPr>
          <w:color w:val="231F20"/>
        </w:rPr>
        <w:t>Task</w:t>
      </w:r>
    </w:p>
    <w:p>
      <w:pPr>
        <w:pStyle w:val="BodyText"/>
        <w:spacing w:line="213" w:lineRule="auto" w:before="11"/>
        <w:ind w:left="3190"/>
      </w:pPr>
      <w:r>
        <w:rPr>
          <w:color w:val="231F20"/>
        </w:rPr>
        <w:t>Use this tool to open the Automated Task window for viewing, </w:t>
      </w:r>
      <w:r>
        <w:rPr>
          <w:color w:val="231F20"/>
        </w:rPr>
        <w:t>editing, creating, and deleting automated tasks.</w:t>
      </w:r>
    </w:p>
    <w:p>
      <w:pPr>
        <w:pStyle w:val="Heading6"/>
        <w:spacing w:line="326" w:lineRule="exact" w:before="180"/>
      </w:pPr>
      <w:r>
        <w:rPr>
          <w:b w:val="0"/>
          <w:position w:val="-1"/>
        </w:rPr>
        <w:drawing>
          <wp:inline distT="0" distB="0" distL="0" distR="0">
            <wp:extent cx="1181100" cy="196850"/>
            <wp:effectExtent l="0" t="0" r="0" b="0"/>
            <wp:docPr id="1574" name="Image 1574"/>
            <wp:cNvGraphicFramePr>
              <a:graphicFrameLocks/>
            </wp:cNvGraphicFramePr>
            <a:graphic>
              <a:graphicData uri="http://schemas.openxmlformats.org/drawingml/2006/picture">
                <pic:pic>
                  <pic:nvPicPr>
                    <pic:cNvPr id="1574" name="Image 1574"/>
                    <pic:cNvPicPr/>
                  </pic:nvPicPr>
                  <pic:blipFill>
                    <a:blip r:embed="rId318" cstate="print"/>
                    <a:stretch>
                      <a:fillRect/>
                    </a:stretch>
                  </pic:blipFill>
                  <pic:spPr>
                    <a:xfrm>
                      <a:off x="0" y="0"/>
                      <a:ext cx="1181100" cy="196850"/>
                    </a:xfrm>
                    <a:prstGeom prst="rect">
                      <a:avLst/>
                    </a:prstGeom>
                  </pic:spPr>
                </pic:pic>
              </a:graphicData>
            </a:graphic>
          </wp:inline>
        </w:drawing>
      </w:r>
      <w:r>
        <w:rPr>
          <w:b w:val="0"/>
          <w:position w:val="-1"/>
        </w:rPr>
      </w:r>
      <w:r>
        <w:rPr>
          <w:rFonts w:ascii="Times New Roman"/>
          <w:b w:val="0"/>
          <w:spacing w:val="80"/>
        </w:rPr>
        <w:t> </w:t>
      </w:r>
      <w:r>
        <w:rPr>
          <w:color w:val="231F20"/>
        </w:rPr>
        <w:t>Hide Severity</w:t>
      </w:r>
    </w:p>
    <w:p>
      <w:pPr>
        <w:pStyle w:val="BodyText"/>
        <w:spacing w:line="213" w:lineRule="auto" w:before="12"/>
        <w:ind w:left="3190" w:right="308"/>
      </w:pPr>
      <w:r>
        <w:rPr>
          <w:color w:val="231F20"/>
        </w:rPr>
        <w:t>These tools show the number of events for each severity and enable you </w:t>
      </w:r>
      <w:r>
        <w:rPr>
          <w:color w:val="231F20"/>
        </w:rPr>
        <w:t>to filter out Unknown, Harmless, Warning, Minor, Critical, or Fatal events or any combination thereof. The example here shows that </w:t>
      </w:r>
      <w:r>
        <w:rPr>
          <w:rFonts w:ascii="Book Antiqua"/>
          <w:i/>
          <w:color w:val="231F20"/>
        </w:rPr>
        <w:t>Harmless </w:t>
      </w:r>
      <w:r>
        <w:rPr>
          <w:color w:val="231F20"/>
        </w:rPr>
        <w:t>events</w:t>
      </w:r>
      <w:r>
        <w:rPr>
          <w:color w:val="231F20"/>
          <w:spacing w:val="80"/>
        </w:rPr>
        <w:t> </w:t>
      </w:r>
      <w:r>
        <w:rPr>
          <w:color w:val="231F20"/>
        </w:rPr>
        <w:t>have been excluded and the number received is 0. These are toggle tools: click again to resume display of that event severity.</w:t>
      </w:r>
    </w:p>
    <w:p>
      <w:pPr>
        <w:pStyle w:val="Heading6"/>
        <w:spacing w:line="326" w:lineRule="exact" w:before="177"/>
      </w:pPr>
      <w:r>
        <w:rPr>
          <w:b w:val="0"/>
          <w:position w:val="-1"/>
        </w:rPr>
        <w:drawing>
          <wp:inline distT="0" distB="0" distL="0" distR="0">
            <wp:extent cx="800100" cy="196850"/>
            <wp:effectExtent l="0" t="0" r="0" b="0"/>
            <wp:docPr id="1575" name="Image 1575"/>
            <wp:cNvGraphicFramePr>
              <a:graphicFrameLocks/>
            </wp:cNvGraphicFramePr>
            <a:graphic>
              <a:graphicData uri="http://schemas.openxmlformats.org/drawingml/2006/picture">
                <pic:pic>
                  <pic:nvPicPr>
                    <pic:cNvPr id="1575" name="Image 1575"/>
                    <pic:cNvPicPr/>
                  </pic:nvPicPr>
                  <pic:blipFill>
                    <a:blip r:embed="rId319" cstate="print"/>
                    <a:stretch>
                      <a:fillRect/>
                    </a:stretch>
                  </pic:blipFill>
                  <pic:spPr>
                    <a:xfrm>
                      <a:off x="0" y="0"/>
                      <a:ext cx="800100" cy="196850"/>
                    </a:xfrm>
                    <a:prstGeom prst="rect">
                      <a:avLst/>
                    </a:prstGeom>
                  </pic:spPr>
                </pic:pic>
              </a:graphicData>
            </a:graphic>
          </wp:inline>
        </w:drawing>
      </w:r>
      <w:r>
        <w:rPr>
          <w:b w:val="0"/>
          <w:position w:val="-1"/>
        </w:rPr>
      </w:r>
      <w:r>
        <w:rPr>
          <w:rFonts w:ascii="Times New Roman"/>
          <w:b w:val="0"/>
          <w:spacing w:val="40"/>
        </w:rPr>
        <w:t> </w:t>
      </w:r>
      <w:r>
        <w:rPr>
          <w:color w:val="231F20"/>
        </w:rPr>
        <w:t>Hide Status</w:t>
      </w:r>
    </w:p>
    <w:p>
      <w:pPr>
        <w:pStyle w:val="BodyText"/>
        <w:spacing w:line="213" w:lineRule="auto" w:before="12"/>
        <w:ind w:left="3190" w:right="385"/>
      </w:pPr>
      <w:r>
        <w:rPr>
          <w:color w:val="231F20"/>
        </w:rPr>
        <w:t>These tools filter events by their status: Open, Response, Acknowledged, and Closed. These are toggle tools: click again to resume display of </w:t>
      </w:r>
      <w:r>
        <w:rPr>
          <w:color w:val="231F20"/>
        </w:rPr>
        <w:t>events of that status.</w:t>
      </w:r>
    </w:p>
    <w:p>
      <w:pPr>
        <w:pStyle w:val="Heading6"/>
        <w:spacing w:line="326" w:lineRule="exact" w:before="179"/>
      </w:pPr>
      <w:r>
        <w:rPr>
          <w:b w:val="0"/>
          <w:position w:val="-1"/>
        </w:rPr>
        <w:drawing>
          <wp:inline distT="0" distB="0" distL="0" distR="0">
            <wp:extent cx="406400" cy="196850"/>
            <wp:effectExtent l="0" t="0" r="0" b="0"/>
            <wp:docPr id="1576" name="Image 1576"/>
            <wp:cNvGraphicFramePr>
              <a:graphicFrameLocks/>
            </wp:cNvGraphicFramePr>
            <a:graphic>
              <a:graphicData uri="http://schemas.openxmlformats.org/drawingml/2006/picture">
                <pic:pic>
                  <pic:nvPicPr>
                    <pic:cNvPr id="1576" name="Image 1576"/>
                    <pic:cNvPicPr/>
                  </pic:nvPicPr>
                  <pic:blipFill>
                    <a:blip r:embed="rId320" cstate="print"/>
                    <a:stretch>
                      <a:fillRect/>
                    </a:stretch>
                  </pic:blipFill>
                  <pic:spPr>
                    <a:xfrm>
                      <a:off x="0" y="0"/>
                      <a:ext cx="406400" cy="196850"/>
                    </a:xfrm>
                    <a:prstGeom prst="rect">
                      <a:avLst/>
                    </a:prstGeom>
                  </pic:spPr>
                </pic:pic>
              </a:graphicData>
            </a:graphic>
          </wp:inline>
        </w:drawing>
      </w:r>
      <w:r>
        <w:rPr>
          <w:b w:val="0"/>
          <w:position w:val="-1"/>
        </w:rPr>
      </w:r>
      <w:r>
        <w:rPr>
          <w:rFonts w:ascii="Times New Roman"/>
          <w:b w:val="0"/>
          <w:spacing w:val="40"/>
        </w:rPr>
        <w:t> </w:t>
      </w:r>
      <w:r>
        <w:rPr>
          <w:color w:val="231F20"/>
        </w:rPr>
        <w:t>Hide</w:t>
      </w:r>
      <w:r>
        <w:rPr>
          <w:color w:val="231F20"/>
          <w:spacing w:val="32"/>
        </w:rPr>
        <w:t> </w:t>
      </w:r>
      <w:r>
        <w:rPr>
          <w:color w:val="231F20"/>
        </w:rPr>
        <w:t>Operators'</w:t>
      </w:r>
      <w:r>
        <w:rPr>
          <w:color w:val="231F20"/>
          <w:spacing w:val="32"/>
        </w:rPr>
        <w:t> </w:t>
      </w:r>
      <w:r>
        <w:rPr>
          <w:color w:val="231F20"/>
        </w:rPr>
        <w:t>Events</w:t>
      </w:r>
    </w:p>
    <w:p>
      <w:pPr>
        <w:pStyle w:val="BodyText"/>
        <w:spacing w:line="213" w:lineRule="auto" w:before="11"/>
        <w:ind w:left="3190" w:right="249"/>
        <w:jc w:val="both"/>
      </w:pPr>
      <w:r>
        <w:rPr>
          <w:color w:val="231F20"/>
        </w:rPr>
        <w:t>These tools hide the events for your user ID or those of all other </w:t>
      </w:r>
      <w:r>
        <w:rPr>
          <w:color w:val="231F20"/>
        </w:rPr>
        <w:t>operators signed on to the event server. These are toggle tools: click again to resume display of the events for your user ID or other operators.</w:t>
      </w:r>
    </w:p>
    <w:p>
      <w:pPr>
        <w:spacing w:after="0" w:line="213" w:lineRule="auto"/>
        <w:jc w:val="both"/>
        <w:sectPr>
          <w:pgSz w:w="12240" w:h="15840"/>
          <w:pgMar w:header="0" w:footer="736" w:top="1180" w:bottom="920" w:left="1000" w:right="1060"/>
        </w:sectPr>
      </w:pPr>
    </w:p>
    <w:p>
      <w:pPr>
        <w:pStyle w:val="Heading6"/>
        <w:spacing w:line="227" w:lineRule="exact" w:before="88"/>
        <w:ind w:left="2232"/>
      </w:pPr>
      <w:bookmarkStart w:name="_bookmark121" w:id="264"/>
      <w:bookmarkEnd w:id="264"/>
      <w:r>
        <w:rPr>
          <w:b w:val="0"/>
        </w:rPr>
      </w:r>
      <w:r>
        <w:rPr>
          <w:b w:val="0"/>
        </w:rPr>
        <w:drawing>
          <wp:inline distT="0" distB="0" distL="0" distR="0">
            <wp:extent cx="95250" cy="88900"/>
            <wp:effectExtent l="0" t="0" r="0" b="0"/>
            <wp:docPr id="1577" name="Image 1577"/>
            <wp:cNvGraphicFramePr>
              <a:graphicFrameLocks/>
            </wp:cNvGraphicFramePr>
            <a:graphic>
              <a:graphicData uri="http://schemas.openxmlformats.org/drawingml/2006/picture">
                <pic:pic>
                  <pic:nvPicPr>
                    <pic:cNvPr id="1577" name="Image 1577"/>
                    <pic:cNvPicPr/>
                  </pic:nvPicPr>
                  <pic:blipFill>
                    <a:blip r:embed="rId315" cstate="print"/>
                    <a:stretch>
                      <a:fillRect/>
                    </a:stretch>
                  </pic:blipFill>
                  <pic:spPr>
                    <a:xfrm>
                      <a:off x="0" y="0"/>
                      <a:ext cx="95250" cy="88900"/>
                    </a:xfrm>
                    <a:prstGeom prst="rect">
                      <a:avLst/>
                    </a:prstGeom>
                  </pic:spPr>
                </pic:pic>
              </a:graphicData>
            </a:graphic>
          </wp:inline>
        </w:drawing>
      </w:r>
      <w:r>
        <w:rPr>
          <w:b w:val="0"/>
        </w:rPr>
      </w:r>
      <w:r>
        <w:rPr>
          <w:rFonts w:ascii="Times New Roman"/>
          <w:b w:val="0"/>
          <w:spacing w:val="40"/>
        </w:rPr>
        <w:t> </w:t>
      </w:r>
      <w:r>
        <w:rPr>
          <w:color w:val="231F20"/>
          <w:spacing w:val="-2"/>
        </w:rPr>
        <w:t>Task </w:t>
      </w:r>
      <w:r>
        <w:rPr>
          <w:color w:val="231F20"/>
        </w:rPr>
        <w:t>Completion</w:t>
      </w:r>
    </w:p>
    <w:p>
      <w:pPr>
        <w:pStyle w:val="BodyText"/>
        <w:spacing w:line="213" w:lineRule="auto" w:before="9"/>
        <w:ind w:left="2951" w:right="545"/>
      </w:pPr>
      <w:r>
        <w:rPr>
          <w:color w:val="231F20"/>
        </w:rPr>
        <w:t>An automated task is configured to run when certain types of events </w:t>
      </w:r>
      <w:r>
        <w:rPr>
          <w:color w:val="231F20"/>
        </w:rPr>
        <w:t>have been received by the event console. When an automated task completes, it issues information about its success or failure, and any results created by the task. The task-completion icon is displayed in the first column of the Event Viewer after an automated task or rule-based task has completed.</w:t>
      </w:r>
    </w:p>
    <w:p>
      <w:pPr>
        <w:pStyle w:val="BodyText"/>
        <w:spacing w:line="243" w:lineRule="exact"/>
        <w:ind w:left="2951"/>
      </w:pPr>
      <w:r>
        <w:rPr>
          <w:color w:val="231F20"/>
        </w:rPr>
        <w:t>Double-click</w:t>
      </w:r>
      <w:r>
        <w:rPr>
          <w:color w:val="231F20"/>
          <w:spacing w:val="11"/>
        </w:rPr>
        <w:t> </w:t>
      </w:r>
      <w:r>
        <w:rPr>
          <w:color w:val="231F20"/>
        </w:rPr>
        <w:t>this</w:t>
      </w:r>
      <w:r>
        <w:rPr>
          <w:color w:val="231F20"/>
          <w:spacing w:val="12"/>
        </w:rPr>
        <w:t> </w:t>
      </w:r>
      <w:r>
        <w:rPr>
          <w:color w:val="231F20"/>
        </w:rPr>
        <w:t>icon</w:t>
      </w:r>
      <w:r>
        <w:rPr>
          <w:color w:val="231F20"/>
          <w:spacing w:val="11"/>
        </w:rPr>
        <w:t> </w:t>
      </w:r>
      <w:r>
        <w:rPr>
          <w:color w:val="231F20"/>
        </w:rPr>
        <w:t>to</w:t>
      </w:r>
      <w:r>
        <w:rPr>
          <w:color w:val="231F20"/>
          <w:spacing w:val="12"/>
        </w:rPr>
        <w:t> </w:t>
      </w:r>
      <w:r>
        <w:rPr>
          <w:color w:val="231F20"/>
        </w:rPr>
        <w:t>view</w:t>
      </w:r>
      <w:r>
        <w:rPr>
          <w:color w:val="231F20"/>
          <w:spacing w:val="12"/>
        </w:rPr>
        <w:t> </w:t>
      </w:r>
      <w:r>
        <w:rPr>
          <w:color w:val="231F20"/>
        </w:rPr>
        <w:t>the</w:t>
      </w:r>
      <w:r>
        <w:rPr>
          <w:color w:val="231F20"/>
          <w:spacing w:val="11"/>
        </w:rPr>
        <w:t> </w:t>
      </w:r>
      <w:r>
        <w:rPr>
          <w:color w:val="231F20"/>
        </w:rPr>
        <w:t>task</w:t>
      </w:r>
      <w:r>
        <w:rPr>
          <w:color w:val="231F20"/>
          <w:spacing w:val="12"/>
        </w:rPr>
        <w:t> </w:t>
      </w:r>
      <w:r>
        <w:rPr>
          <w:color w:val="231F20"/>
          <w:spacing w:val="-2"/>
        </w:rPr>
        <w:t>results.</w:t>
      </w:r>
    </w:p>
    <w:p>
      <w:pPr>
        <w:pStyle w:val="Heading5"/>
        <w:spacing w:before="213"/>
        <w:ind w:left="2232"/>
      </w:pPr>
      <w:r>
        <w:rPr>
          <w:color w:val="231F20"/>
        </w:rPr>
        <w:t>Event</w:t>
      </w:r>
      <w:r>
        <w:rPr>
          <w:color w:val="231F20"/>
          <w:spacing w:val="5"/>
        </w:rPr>
        <w:t> </w:t>
      </w:r>
      <w:r>
        <w:rPr>
          <w:color w:val="231F20"/>
        </w:rPr>
        <w:t>view</w:t>
      </w:r>
      <w:r>
        <w:rPr>
          <w:color w:val="231F20"/>
          <w:spacing w:val="6"/>
        </w:rPr>
        <w:t> </w:t>
      </w:r>
      <w:r>
        <w:rPr>
          <w:color w:val="231F20"/>
          <w:spacing w:val="-4"/>
        </w:rPr>
        <w:t>rows</w:t>
      </w:r>
    </w:p>
    <w:p>
      <w:pPr>
        <w:pStyle w:val="BodyText"/>
        <w:spacing w:line="213" w:lineRule="auto" w:before="245"/>
        <w:ind w:left="2232" w:right="545"/>
      </w:pPr>
      <w:r>
        <w:rPr>
          <w:color w:val="231F20"/>
        </w:rPr>
        <w:t>Each event received by the Tivoli Enterprise Console adds a row to the view showing summary information. When you select an event (or multiple events </w:t>
      </w:r>
      <w:r>
        <w:rPr>
          <w:color w:val="231F20"/>
        </w:rPr>
        <w:t>with Ctrl+click or Shift+click), you can right-click to get a pop-up menu of options. The</w:t>
      </w:r>
      <w:r>
        <w:rPr>
          <w:color w:val="231F20"/>
          <w:spacing w:val="40"/>
        </w:rPr>
        <w:t> </w:t>
      </w:r>
      <w:r>
        <w:rPr>
          <w:color w:val="231F20"/>
        </w:rPr>
        <w:t>buttons are also enabled.</w:t>
      </w:r>
    </w:p>
    <w:p>
      <w:pPr>
        <w:pStyle w:val="Heading5"/>
        <w:ind w:left="2232"/>
      </w:pPr>
      <w:r>
        <w:rPr>
          <w:color w:val="231F20"/>
          <w:spacing w:val="-2"/>
        </w:rPr>
        <w:t>Buttons</w:t>
      </w:r>
    </w:p>
    <w:p>
      <w:pPr>
        <w:pStyle w:val="BodyText"/>
        <w:spacing w:line="213" w:lineRule="auto" w:before="245"/>
        <w:ind w:left="2232" w:right="493" w:hanging="1"/>
      </w:pPr>
      <w:r>
        <w:rPr>
          <w:color w:val="231F20"/>
        </w:rPr>
        <w:t>Select an event row to enable the buttons to </w:t>
      </w:r>
      <w:r>
        <w:rPr>
          <w:rFonts w:ascii="Book Antiqua"/>
          <w:b/>
          <w:color w:val="231F20"/>
        </w:rPr>
        <w:t>Acknowledge </w:t>
      </w:r>
      <w:r>
        <w:rPr>
          <w:color w:val="231F20"/>
        </w:rPr>
        <w:t>the event, </w:t>
      </w:r>
      <w:r>
        <w:rPr>
          <w:rFonts w:ascii="Book Antiqua"/>
          <w:b/>
          <w:color w:val="231F20"/>
        </w:rPr>
        <w:t>Close </w:t>
      </w:r>
      <w:r>
        <w:rPr>
          <w:color w:val="231F20"/>
        </w:rPr>
        <w:t>the</w:t>
      </w:r>
      <w:r>
        <w:rPr>
          <w:color w:val="231F20"/>
          <w:spacing w:val="40"/>
        </w:rPr>
        <w:t> </w:t>
      </w:r>
      <w:r>
        <w:rPr>
          <w:color w:val="231F20"/>
        </w:rPr>
        <w:t>event, open a tabbed window with event </w:t>
      </w:r>
      <w:r>
        <w:rPr>
          <w:rFonts w:ascii="Book Antiqua"/>
          <w:b/>
          <w:color w:val="231F20"/>
        </w:rPr>
        <w:t>Details</w:t>
      </w:r>
      <w:r>
        <w:rPr>
          <w:color w:val="231F20"/>
        </w:rPr>
        <w:t>, or display </w:t>
      </w:r>
      <w:r>
        <w:rPr>
          <w:rFonts w:ascii="Book Antiqua"/>
          <w:b/>
          <w:color w:val="231F20"/>
        </w:rPr>
        <w:t>Information </w:t>
      </w:r>
      <w:r>
        <w:rPr>
          <w:color w:val="231F20"/>
        </w:rPr>
        <w:t>about </w:t>
      </w:r>
      <w:r>
        <w:rPr>
          <w:color w:val="231F20"/>
        </w:rPr>
        <w:t>the event.</w:t>
      </w:r>
      <w:r>
        <w:rPr>
          <w:color w:val="231F20"/>
          <w:spacing w:val="28"/>
        </w:rPr>
        <w:t> </w:t>
      </w:r>
      <w:r>
        <w:rPr>
          <w:color w:val="231F20"/>
        </w:rPr>
        <w:t>The</w:t>
      </w:r>
      <w:r>
        <w:rPr>
          <w:color w:val="231F20"/>
          <w:spacing w:val="28"/>
        </w:rPr>
        <w:t> </w:t>
      </w:r>
      <w:r>
        <w:rPr>
          <w:rFonts w:ascii="Book Antiqua"/>
          <w:b/>
          <w:color w:val="231F20"/>
        </w:rPr>
        <w:t>Refresh</w:t>
      </w:r>
      <w:r>
        <w:rPr>
          <w:rFonts w:ascii="Book Antiqua"/>
          <w:b/>
          <w:color w:val="231F20"/>
          <w:spacing w:val="28"/>
        </w:rPr>
        <w:t> </w:t>
      </w:r>
      <w:r>
        <w:rPr>
          <w:color w:val="231F20"/>
        </w:rPr>
        <w:t>button</w:t>
      </w:r>
      <w:r>
        <w:rPr>
          <w:color w:val="231F20"/>
          <w:spacing w:val="28"/>
        </w:rPr>
        <w:t> </w:t>
      </w:r>
      <w:r>
        <w:rPr>
          <w:color w:val="231F20"/>
        </w:rPr>
        <w:t>shows</w:t>
      </w:r>
      <w:r>
        <w:rPr>
          <w:color w:val="231F20"/>
          <w:spacing w:val="28"/>
        </w:rPr>
        <w:t> </w:t>
      </w:r>
      <w:r>
        <w:rPr>
          <w:color w:val="231F20"/>
        </w:rPr>
        <w:t>the</w:t>
      </w:r>
      <w:r>
        <w:rPr>
          <w:color w:val="231F20"/>
          <w:spacing w:val="28"/>
        </w:rPr>
        <w:t> </w:t>
      </w:r>
      <w:r>
        <w:rPr>
          <w:color w:val="231F20"/>
        </w:rPr>
        <w:t>event</w:t>
      </w:r>
      <w:r>
        <w:rPr>
          <w:color w:val="231F20"/>
          <w:spacing w:val="28"/>
        </w:rPr>
        <w:t> </w:t>
      </w:r>
      <w:r>
        <w:rPr>
          <w:color w:val="231F20"/>
        </w:rPr>
        <w:t>server</w:t>
      </w:r>
      <w:r>
        <w:rPr>
          <w:color w:val="231F20"/>
          <w:spacing w:val="28"/>
        </w:rPr>
        <w:t> </w:t>
      </w:r>
      <w:r>
        <w:rPr>
          <w:color w:val="231F20"/>
        </w:rPr>
        <w:t>icon.</w:t>
      </w:r>
      <w:r>
        <w:rPr>
          <w:color w:val="231F20"/>
          <w:spacing w:val="28"/>
        </w:rPr>
        <w:t> </w:t>
      </w:r>
      <w:r>
        <w:rPr>
          <w:color w:val="231F20"/>
        </w:rPr>
        <w:t>The</w:t>
      </w:r>
      <w:r>
        <w:rPr>
          <w:color w:val="231F20"/>
          <w:spacing w:val="28"/>
        </w:rPr>
        <w:t> </w:t>
      </w:r>
      <w:r>
        <w:rPr>
          <w:color w:val="231F20"/>
        </w:rPr>
        <w:t>button</w:t>
      </w:r>
      <w:r>
        <w:rPr>
          <w:color w:val="231F20"/>
          <w:spacing w:val="28"/>
        </w:rPr>
        <w:t> </w:t>
      </w:r>
      <w:r>
        <w:rPr>
          <w:color w:val="231F20"/>
        </w:rPr>
        <w:t>is</w:t>
      </w:r>
      <w:r>
        <w:rPr>
          <w:color w:val="231F20"/>
          <w:spacing w:val="28"/>
        </w:rPr>
        <w:t> </w:t>
      </w:r>
      <w:r>
        <w:rPr>
          <w:color w:val="231F20"/>
        </w:rPr>
        <w:t>disabled when no events have arrived since the last refresh of the view; and enabled when </w:t>
      </w:r>
      <w:bookmarkStart w:name="What to do if the view is disabled" w:id="265"/>
      <w:bookmarkEnd w:id="265"/>
      <w:r>
        <w:rPr>
          <w:color w:val="231F20"/>
        </w:rPr>
        <w:t>new</w:t>
      </w:r>
      <w:r>
        <w:rPr>
          <w:color w:val="231F20"/>
        </w:rPr>
        <w:t> events have arrived.</w:t>
      </w:r>
    </w:p>
    <w:p>
      <w:pPr>
        <w:pStyle w:val="Heading4"/>
        <w:spacing w:line="273" w:lineRule="exact" w:before="163"/>
      </w:pPr>
      <w:r>
        <w:rPr>
          <w:color w:val="231F20"/>
        </w:rPr>
        <w:t>What</w:t>
      </w:r>
      <w:r>
        <w:rPr>
          <w:color w:val="231F20"/>
          <w:spacing w:val="9"/>
        </w:rPr>
        <w:t> </w:t>
      </w:r>
      <w:r>
        <w:rPr>
          <w:color w:val="231F20"/>
        </w:rPr>
        <w:t>to</w:t>
      </w:r>
      <w:r>
        <w:rPr>
          <w:color w:val="231F20"/>
          <w:spacing w:val="10"/>
        </w:rPr>
        <w:t> </w:t>
      </w:r>
      <w:r>
        <w:rPr>
          <w:color w:val="231F20"/>
        </w:rPr>
        <w:t>do</w:t>
      </w:r>
      <w:r>
        <w:rPr>
          <w:color w:val="231F20"/>
          <w:spacing w:val="10"/>
        </w:rPr>
        <w:t> </w:t>
      </w:r>
      <w:r>
        <w:rPr>
          <w:color w:val="231F20"/>
        </w:rPr>
        <w:t>if</w:t>
      </w:r>
      <w:r>
        <w:rPr>
          <w:color w:val="231F20"/>
          <w:spacing w:val="9"/>
        </w:rPr>
        <w:t> </w:t>
      </w:r>
      <w:r>
        <w:rPr>
          <w:color w:val="231F20"/>
        </w:rPr>
        <w:t>the</w:t>
      </w:r>
      <w:r>
        <w:rPr>
          <w:color w:val="231F20"/>
          <w:spacing w:val="10"/>
        </w:rPr>
        <w:t> </w:t>
      </w:r>
      <w:r>
        <w:rPr>
          <w:color w:val="231F20"/>
        </w:rPr>
        <w:t>view</w:t>
      </w:r>
      <w:r>
        <w:rPr>
          <w:color w:val="231F20"/>
          <w:spacing w:val="10"/>
        </w:rPr>
        <w:t> </w:t>
      </w:r>
      <w:r>
        <w:rPr>
          <w:color w:val="231F20"/>
        </w:rPr>
        <w:t>is</w:t>
      </w:r>
      <w:r>
        <w:rPr>
          <w:color w:val="231F20"/>
          <w:spacing w:val="9"/>
        </w:rPr>
        <w:t> </w:t>
      </w:r>
      <w:r>
        <w:rPr>
          <w:color w:val="231F20"/>
          <w:spacing w:val="-2"/>
        </w:rPr>
        <w:t>disabled</w:t>
      </w:r>
    </w:p>
    <w:p>
      <w:pPr>
        <w:pStyle w:val="BodyText"/>
        <w:spacing w:line="213" w:lineRule="auto" w:before="20"/>
        <w:ind w:left="2232" w:right="545"/>
      </w:pPr>
      <w:r>
        <w:rPr>
          <w:color w:val="231F20"/>
        </w:rPr>
        <w:t>IBM Tivoli Enterprise Console relies on the Tivoli Management Framework for common services, including communications. If you are running Tivoli </w:t>
      </w:r>
      <w:r>
        <w:rPr>
          <w:color w:val="231F20"/>
        </w:rPr>
        <w:t>Enterprise Portal in browser mode and log out of the portal server, either intentionally or unintentionally, contact between IBM Tivoli Enterprise Console and the Tivoli Management Framework is lost.</w:t>
      </w:r>
    </w:p>
    <w:p>
      <w:pPr>
        <w:pStyle w:val="BodyText"/>
        <w:spacing w:line="213" w:lineRule="auto" w:before="236"/>
        <w:ind w:left="2232" w:right="385"/>
      </w:pPr>
      <w:r>
        <w:rPr>
          <w:color w:val="231F20"/>
        </w:rPr>
        <w:t>No new events will be added to the view even if you log out and log in again. You</w:t>
      </w:r>
      <w:r>
        <w:rPr>
          <w:color w:val="231F20"/>
          <w:spacing w:val="80"/>
        </w:rPr>
        <w:t> </w:t>
      </w:r>
      <w:r>
        <w:rPr>
          <w:color w:val="231F20"/>
        </w:rPr>
        <w:t>must</w:t>
      </w:r>
      <w:r>
        <w:rPr>
          <w:color w:val="231F20"/>
          <w:spacing w:val="25"/>
        </w:rPr>
        <w:t> </w:t>
      </w:r>
      <w:r>
        <w:rPr>
          <w:color w:val="231F20"/>
        </w:rPr>
        <w:t>recycle</w:t>
      </w:r>
      <w:r>
        <w:rPr>
          <w:color w:val="231F20"/>
          <w:spacing w:val="25"/>
        </w:rPr>
        <w:t> </w:t>
      </w:r>
      <w:r>
        <w:rPr>
          <w:color w:val="231F20"/>
        </w:rPr>
        <w:t>(close</w:t>
      </w:r>
      <w:r>
        <w:rPr>
          <w:color w:val="231F20"/>
          <w:spacing w:val="25"/>
        </w:rPr>
        <w:t> </w:t>
      </w:r>
      <w:r>
        <w:rPr>
          <w:color w:val="231F20"/>
        </w:rPr>
        <w:t>the</w:t>
      </w:r>
      <w:r>
        <w:rPr>
          <w:color w:val="231F20"/>
          <w:spacing w:val="25"/>
        </w:rPr>
        <w:t> </w:t>
      </w:r>
      <w:r>
        <w:rPr>
          <w:color w:val="231F20"/>
        </w:rPr>
        <w:t>application,</w:t>
      </w:r>
      <w:r>
        <w:rPr>
          <w:color w:val="231F20"/>
          <w:spacing w:val="25"/>
        </w:rPr>
        <w:t> </w:t>
      </w:r>
      <w:r>
        <w:rPr>
          <w:color w:val="231F20"/>
        </w:rPr>
        <w:t>then</w:t>
      </w:r>
      <w:r>
        <w:rPr>
          <w:color w:val="231F20"/>
          <w:spacing w:val="25"/>
        </w:rPr>
        <w:t> </w:t>
      </w:r>
      <w:r>
        <w:rPr>
          <w:color w:val="231F20"/>
        </w:rPr>
        <w:t>start</w:t>
      </w:r>
      <w:r>
        <w:rPr>
          <w:color w:val="231F20"/>
          <w:spacing w:val="25"/>
        </w:rPr>
        <w:t> </w:t>
      </w:r>
      <w:r>
        <w:rPr>
          <w:color w:val="231F20"/>
        </w:rPr>
        <w:t>it</w:t>
      </w:r>
      <w:r>
        <w:rPr>
          <w:color w:val="231F20"/>
          <w:spacing w:val="25"/>
        </w:rPr>
        <w:t> </w:t>
      </w:r>
      <w:r>
        <w:rPr>
          <w:color w:val="231F20"/>
        </w:rPr>
        <w:t>again)</w:t>
      </w:r>
      <w:r>
        <w:rPr>
          <w:color w:val="231F20"/>
          <w:spacing w:val="25"/>
        </w:rPr>
        <w:t> </w:t>
      </w:r>
      <w:r>
        <w:rPr>
          <w:color w:val="231F20"/>
        </w:rPr>
        <w:t>the</w:t>
      </w:r>
      <w:r>
        <w:rPr>
          <w:color w:val="231F20"/>
          <w:spacing w:val="25"/>
        </w:rPr>
        <w:t> </w:t>
      </w:r>
      <w:r>
        <w:rPr>
          <w:color w:val="231F20"/>
        </w:rPr>
        <w:t>browser</w:t>
      </w:r>
      <w:r>
        <w:rPr>
          <w:color w:val="231F20"/>
          <w:spacing w:val="25"/>
        </w:rPr>
        <w:t> </w:t>
      </w:r>
      <w:r>
        <w:rPr>
          <w:color w:val="231F20"/>
        </w:rPr>
        <w:t>before</w:t>
      </w:r>
      <w:r>
        <w:rPr>
          <w:color w:val="231F20"/>
          <w:spacing w:val="25"/>
        </w:rPr>
        <w:t> </w:t>
      </w:r>
      <w:r>
        <w:rPr>
          <w:color w:val="231F20"/>
        </w:rPr>
        <w:t>logging in again to the portal server before the IBM Tivoli Enterprise Console event viewer can resume event reporting.</w:t>
      </w:r>
    </w:p>
    <w:p>
      <w:pPr>
        <w:pStyle w:val="BodyText"/>
        <w:spacing w:line="213" w:lineRule="auto" w:before="237"/>
        <w:ind w:left="2232" w:right="545"/>
      </w:pPr>
      <w:r>
        <w:rPr>
          <w:rFonts w:ascii="Book Antiqua"/>
          <w:b/>
          <w:color w:val="231F20"/>
        </w:rPr>
        <w:t>Note:</w:t>
      </w:r>
      <w:r>
        <w:rPr>
          <w:rFonts w:ascii="Book Antiqua"/>
          <w:b/>
          <w:color w:val="231F20"/>
          <w:spacing w:val="40"/>
        </w:rPr>
        <w:t> </w:t>
      </w:r>
      <w:r>
        <w:rPr>
          <w:color w:val="231F20"/>
        </w:rPr>
        <w:t>When a situation has been stopped that has an open event that was forwarded to the IBM Tivoli Enterprise Console, the effect is that all open IBM Tivoli Enterprise Console events whose cms_hostname and situation_name (as specified in the event synchronization rules) is the same as that of the stopped situation will be closed. This is done to maintain event status synchronization between the monitoring server and the event server.</w:t>
      </w:r>
    </w:p>
    <w:p>
      <w:pPr>
        <w:pStyle w:val="BodyText"/>
        <w:spacing w:before="3"/>
        <w:rPr>
          <w:sz w:val="16"/>
        </w:rPr>
      </w:pPr>
      <w:r>
        <w:rPr/>
        <mc:AlternateContent>
          <mc:Choice Requires="wps">
            <w:drawing>
              <wp:anchor distT="0" distB="0" distL="0" distR="0" allowOverlap="1" layoutInCell="1" locked="0" behindDoc="1" simplePos="0" relativeHeight="487697920">
                <wp:simplePos x="0" y="0"/>
                <wp:positionH relativeFrom="page">
                  <wp:posOffset>760323</wp:posOffset>
                </wp:positionH>
                <wp:positionV relativeFrom="paragraph">
                  <wp:posOffset>154217</wp:posOffset>
                </wp:positionV>
                <wp:extent cx="6082665" cy="1270"/>
                <wp:effectExtent l="0" t="0" r="0" b="0"/>
                <wp:wrapTopAndBottom/>
                <wp:docPr id="1578" name="Graphic 1578"/>
                <wp:cNvGraphicFramePr>
                  <a:graphicFrameLocks/>
                </wp:cNvGraphicFramePr>
                <a:graphic>
                  <a:graphicData uri="http://schemas.microsoft.com/office/word/2010/wordprocessingShape">
                    <wps:wsp>
                      <wps:cNvPr id="1578" name="Graphic 157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4314pt;width:478.95pt;height:.1pt;mso-position-horizontal-relative:page;mso-position-vertical-relative:paragraph;z-index:-15618560;mso-wrap-distance-left:0;mso-wrap-distance-right:0" id="docshape162" coordorigin="1197,243" coordsize="9579,0" path="m1197,243l10776,243e" filled="false" stroked="true" strokeweight=".499pt" strokecolor="#231f20">
                <v:path arrowok="t"/>
                <v:stroke dashstyle="solid"/>
                <w10:wrap type="topAndBottom"/>
              </v:shape>
            </w:pict>
          </mc:Fallback>
        </mc:AlternateContent>
      </w:r>
    </w:p>
    <w:p>
      <w:pPr>
        <w:pStyle w:val="Heading3"/>
        <w:ind w:left="197"/>
      </w:pPr>
      <w:bookmarkStart w:name="Creating a browser view" w:id="266"/>
      <w:bookmarkEnd w:id="266"/>
      <w:r>
        <w:rPr>
          <w:b w:val="0"/>
        </w:rPr>
      </w:r>
      <w:r>
        <w:rPr>
          <w:color w:val="231F20"/>
        </w:rPr>
        <w:t>Creating</w:t>
      </w:r>
      <w:r>
        <w:rPr>
          <w:color w:val="231F20"/>
          <w:spacing w:val="7"/>
        </w:rPr>
        <w:t> </w:t>
      </w:r>
      <w:r>
        <w:rPr>
          <w:color w:val="231F20"/>
        </w:rPr>
        <w:t>a</w:t>
      </w:r>
      <w:r>
        <w:rPr>
          <w:color w:val="231F20"/>
          <w:spacing w:val="7"/>
        </w:rPr>
        <w:t> </w:t>
      </w:r>
      <w:r>
        <w:rPr>
          <w:color w:val="231F20"/>
        </w:rPr>
        <w:t>browser</w:t>
      </w:r>
      <w:r>
        <w:rPr>
          <w:color w:val="231F20"/>
          <w:spacing w:val="7"/>
        </w:rPr>
        <w:t> </w:t>
      </w:r>
      <w:r>
        <w:rPr>
          <w:color w:val="231F20"/>
          <w:spacing w:val="-4"/>
        </w:rPr>
        <w:t>view</w:t>
      </w:r>
    </w:p>
    <w:p>
      <w:pPr>
        <w:pStyle w:val="BodyText"/>
        <w:spacing w:line="213" w:lineRule="auto" w:before="138"/>
        <w:ind w:left="2232" w:right="482"/>
        <w:jc w:val="both"/>
      </w:pPr>
      <w:r>
        <w:rPr>
          <w:color w:val="231F20"/>
        </w:rPr>
        <w:t>The browser view invokes the browser that comes with Tivoli Enterprise Portal so that you can open web pages and web applications in the workspace. When </w:t>
      </w:r>
      <w:r>
        <w:rPr>
          <w:color w:val="231F20"/>
        </w:rPr>
        <w:t>saved with the workspace, the browser view opens with the workspace at the URL used when it was saved.</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jc w:val="both"/>
      </w:pPr>
      <w:r>
        <w:rPr>
          <w:color w:val="231F20"/>
        </w:rPr>
        <w:t>This</w:t>
      </w:r>
      <w:r>
        <w:rPr>
          <w:color w:val="231F20"/>
          <w:spacing w:val="8"/>
        </w:rPr>
        <w:t> </w:t>
      </w:r>
      <w:r>
        <w:rPr>
          <w:color w:val="231F20"/>
        </w:rPr>
        <w:t>feature</w:t>
      </w:r>
      <w:r>
        <w:rPr>
          <w:color w:val="231F20"/>
          <w:spacing w:val="8"/>
        </w:rPr>
        <w:t> </w:t>
      </w:r>
      <w:r>
        <w:rPr>
          <w:color w:val="231F20"/>
        </w:rPr>
        <w:t>requires</w:t>
      </w:r>
      <w:r>
        <w:rPr>
          <w:color w:val="231F20"/>
          <w:spacing w:val="8"/>
        </w:rPr>
        <w:t> </w:t>
      </w:r>
      <w:r>
        <w:rPr>
          <w:color w:val="231F20"/>
        </w:rPr>
        <w:t>your</w:t>
      </w:r>
      <w:r>
        <w:rPr>
          <w:color w:val="231F20"/>
          <w:spacing w:val="8"/>
        </w:rPr>
        <w:t> </w:t>
      </w:r>
      <w:r>
        <w:rPr>
          <w:color w:val="231F20"/>
        </w:rPr>
        <w:t>user</w:t>
      </w:r>
      <w:r>
        <w:rPr>
          <w:color w:val="231F20"/>
          <w:spacing w:val="8"/>
        </w:rPr>
        <w:t> </w:t>
      </w:r>
      <w:r>
        <w:rPr>
          <w:color w:val="231F20"/>
        </w:rPr>
        <w:t>ID</w:t>
      </w:r>
      <w:r>
        <w:rPr>
          <w:color w:val="231F20"/>
          <w:spacing w:val="8"/>
        </w:rPr>
        <w:t> </w:t>
      </w:r>
      <w:r>
        <w:rPr>
          <w:color w:val="231F20"/>
        </w:rPr>
        <w:t>to</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8"/>
        </w:rPr>
        <w:t> </w:t>
      </w:r>
      <w:r>
        <w:rPr>
          <w:color w:val="231F20"/>
          <w:spacing w:val="-2"/>
        </w:rPr>
        <w:t>permission.</w:t>
      </w:r>
    </w:p>
    <w:p>
      <w:pPr>
        <w:spacing w:after="0"/>
        <w:jc w:val="both"/>
        <w:sectPr>
          <w:pgSz w:w="12240" w:h="15840"/>
          <w:pgMar w:header="0" w:footer="736" w:top="1180" w:bottom="920" w:left="1000" w:right="1060"/>
        </w:sectPr>
      </w:pPr>
    </w:p>
    <w:p>
      <w:pPr>
        <w:pStyle w:val="Heading4"/>
        <w:spacing w:before="86"/>
        <w:ind w:left="2472"/>
      </w:pPr>
      <w:bookmarkStart w:name="_bookmark122" w:id="267"/>
      <w:bookmarkEnd w:id="267"/>
      <w:r>
        <w:rPr>
          <w:b w:val="0"/>
        </w:rPr>
      </w: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545"/>
      </w:pPr>
      <w:r>
        <w:rPr>
          <w:color w:val="231F20"/>
        </w:rPr>
        <w:t>The Tivoli Enterprise Portal integrated browser uses little memory and </w:t>
      </w:r>
      <w:r>
        <w:rPr>
          <w:color w:val="231F20"/>
        </w:rPr>
        <w:t>provides basic browser functionality. It does not have many of the extended features that come with some external browsers. To add a browser view to the current </w:t>
      </w:r>
      <w:r>
        <w:rPr>
          <w:color w:val="231F20"/>
          <w:spacing w:val="-2"/>
        </w:rPr>
        <w:t>workspace:</w:t>
      </w:r>
    </w:p>
    <w:p>
      <w:pPr>
        <w:pStyle w:val="Heading4"/>
        <w:spacing w:before="198"/>
        <w:ind w:left="2472"/>
      </w:pPr>
      <w:r>
        <w:rPr>
          <w:color w:val="231F20"/>
          <w:spacing w:val="-2"/>
        </w:rPr>
        <w:t>Procedure</w:t>
      </w:r>
    </w:p>
    <w:p>
      <w:pPr>
        <w:pStyle w:val="ListParagraph"/>
        <w:numPr>
          <w:ilvl w:val="0"/>
          <w:numId w:val="81"/>
        </w:numPr>
        <w:tabs>
          <w:tab w:pos="2788" w:val="left" w:leader="none"/>
        </w:tabs>
        <w:spacing w:line="213" w:lineRule="auto" w:before="62" w:after="0"/>
        <w:ind w:left="2788" w:right="164" w:hanging="316"/>
        <w:jc w:val="left"/>
        <w:rPr>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579" name="Image 1579"/>
            <wp:cNvGraphicFramePr>
              <a:graphicFrameLocks/>
            </wp:cNvGraphicFramePr>
            <a:graphic>
              <a:graphicData uri="http://schemas.openxmlformats.org/drawingml/2006/picture">
                <pic:pic>
                  <pic:nvPicPr>
                    <pic:cNvPr id="1579" name="Image 1579"/>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580" name="Image 1580"/>
            <wp:cNvGraphicFramePr>
              <a:graphicFrameLocks/>
            </wp:cNvGraphicFramePr>
            <a:graphic>
              <a:graphicData uri="http://schemas.openxmlformats.org/drawingml/2006/picture">
                <pic:pic>
                  <pic:nvPicPr>
                    <pic:cNvPr id="1580" name="Image 1580"/>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81"/>
        </w:numPr>
        <w:tabs>
          <w:tab w:pos="2786" w:val="left" w:leader="none"/>
          <w:tab w:pos="2788" w:val="left" w:leader="none"/>
        </w:tabs>
        <w:spacing w:line="213" w:lineRule="auto" w:before="58" w:after="0"/>
        <w:ind w:left="2788" w:right="396" w:hanging="317"/>
        <w:jc w:val="left"/>
        <w:rPr>
          <w:sz w:val="20"/>
        </w:rPr>
      </w:pPr>
      <w:r>
        <w:rPr>
          <w:color w:val="231F20"/>
          <w:sz w:val="20"/>
        </w:rPr>
        <w:t>Click</w:t>
      </w:r>
      <w:r>
        <w:rPr>
          <w:color w:val="231F20"/>
          <w:spacing w:val="27"/>
          <w:sz w:val="20"/>
        </w:rPr>
        <w:t> </w:t>
      </w:r>
      <w:r>
        <w:rPr>
          <w:color w:val="231F20"/>
          <w:spacing w:val="-24"/>
          <w:position w:val="-1"/>
          <w:sz w:val="20"/>
        </w:rPr>
        <w:drawing>
          <wp:inline distT="0" distB="0" distL="0" distR="0">
            <wp:extent cx="95250" cy="95250"/>
            <wp:effectExtent l="0" t="0" r="0" b="0"/>
            <wp:docPr id="1581" name="Image 1581"/>
            <wp:cNvGraphicFramePr>
              <a:graphicFrameLocks/>
            </wp:cNvGraphicFramePr>
            <a:graphic>
              <a:graphicData uri="http://schemas.openxmlformats.org/drawingml/2006/picture">
                <pic:pic>
                  <pic:nvPicPr>
                    <pic:cNvPr id="1581" name="Image 1581"/>
                    <pic:cNvPicPr/>
                  </pic:nvPicPr>
                  <pic:blipFill>
                    <a:blip r:embed="rId56"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4"/>
          <w:sz w:val="20"/>
        </w:rPr>
        <w:t> </w:t>
      </w:r>
      <w:r>
        <w:rPr>
          <w:rFonts w:ascii="Book Antiqua"/>
          <w:b/>
          <w:color w:val="231F20"/>
          <w:sz w:val="20"/>
        </w:rPr>
        <w:t>Browser</w:t>
      </w:r>
      <w:r>
        <w:rPr>
          <w:color w:val="231F20"/>
          <w:sz w:val="20"/>
        </w:rPr>
        <w:t>. The mouse pointer changes to the view icon (hand icon on Linux). If you get the wrong icon or decide not to add the view, press Escape</w:t>
      </w:r>
      <w:r>
        <w:rPr>
          <w:color w:val="231F20"/>
          <w:spacing w:val="40"/>
          <w:sz w:val="20"/>
        </w:rPr>
        <w:t> </w:t>
      </w:r>
      <w:r>
        <w:rPr>
          <w:color w:val="231F20"/>
          <w:sz w:val="20"/>
        </w:rPr>
        <w:t>or click somewhere in the toolbar.</w:t>
      </w:r>
    </w:p>
    <w:p>
      <w:pPr>
        <w:pStyle w:val="ListParagraph"/>
        <w:numPr>
          <w:ilvl w:val="0"/>
          <w:numId w:val="81"/>
        </w:numPr>
        <w:tabs>
          <w:tab w:pos="2788" w:val="left" w:leader="none"/>
        </w:tabs>
        <w:spacing w:line="213" w:lineRule="auto" w:before="57" w:after="0"/>
        <w:ind w:left="2788" w:right="641" w:hanging="316"/>
        <w:jc w:val="left"/>
        <w:rPr>
          <w:sz w:val="20"/>
        </w:rPr>
      </w:pPr>
      <w:r>
        <w:rPr>
          <w:color w:val="231F20"/>
          <w:sz w:val="20"/>
        </w:rPr>
        <w:t>Click inside the view where you want the browser. After you click, the old view is replaced by the browser.</w:t>
      </w:r>
    </w:p>
    <w:p>
      <w:pPr>
        <w:pStyle w:val="ListParagraph"/>
        <w:numPr>
          <w:ilvl w:val="0"/>
          <w:numId w:val="81"/>
        </w:numPr>
        <w:tabs>
          <w:tab w:pos="2787" w:val="left" w:leader="none"/>
        </w:tabs>
        <w:spacing w:line="240" w:lineRule="auto" w:before="36" w:after="0"/>
        <w:ind w:left="2787" w:right="0" w:hanging="315"/>
        <w:jc w:val="left"/>
        <w:rPr>
          <w:sz w:val="20"/>
        </w:rPr>
      </w:pPr>
      <w:r>
        <w:rPr>
          <w:color w:val="231F20"/>
          <w:sz w:val="20"/>
        </w:rPr>
        <w:t>In</w:t>
      </w:r>
      <w:r>
        <w:rPr>
          <w:color w:val="231F20"/>
          <w:spacing w:val="12"/>
          <w:sz w:val="20"/>
        </w:rPr>
        <w:t> </w:t>
      </w:r>
      <w:r>
        <w:rPr>
          <w:color w:val="231F20"/>
          <w:sz w:val="20"/>
        </w:rPr>
        <w:t>the</w:t>
      </w:r>
      <w:r>
        <w:rPr>
          <w:color w:val="231F20"/>
          <w:spacing w:val="13"/>
          <w:sz w:val="20"/>
        </w:rPr>
        <w:t> </w:t>
      </w:r>
      <w:r>
        <w:rPr>
          <w:rFonts w:ascii="Book Antiqua"/>
          <w:b/>
          <w:color w:val="231F20"/>
          <w:sz w:val="20"/>
        </w:rPr>
        <w:t>Location</w:t>
      </w:r>
      <w:r>
        <w:rPr>
          <w:rFonts w:ascii="Book Antiqua"/>
          <w:b/>
          <w:color w:val="231F20"/>
          <w:spacing w:val="12"/>
          <w:sz w:val="20"/>
        </w:rPr>
        <w:t> </w:t>
      </w:r>
      <w:r>
        <w:rPr>
          <w:color w:val="231F20"/>
          <w:sz w:val="20"/>
        </w:rPr>
        <w:t>text</w:t>
      </w:r>
      <w:r>
        <w:rPr>
          <w:color w:val="231F20"/>
          <w:spacing w:val="13"/>
          <w:sz w:val="20"/>
        </w:rPr>
        <w:t> </w:t>
      </w:r>
      <w:r>
        <w:rPr>
          <w:color w:val="231F20"/>
          <w:sz w:val="20"/>
        </w:rPr>
        <w:t>box,</w:t>
      </w:r>
      <w:r>
        <w:rPr>
          <w:color w:val="231F20"/>
          <w:spacing w:val="12"/>
          <w:sz w:val="20"/>
        </w:rPr>
        <w:t> </w:t>
      </w:r>
      <w:r>
        <w:rPr>
          <w:color w:val="231F20"/>
          <w:sz w:val="20"/>
        </w:rPr>
        <w:t>type</w:t>
      </w:r>
      <w:r>
        <w:rPr>
          <w:color w:val="231F20"/>
          <w:spacing w:val="13"/>
          <w:sz w:val="20"/>
        </w:rPr>
        <w:t> </w:t>
      </w:r>
      <w:r>
        <w:rPr>
          <w:color w:val="231F20"/>
          <w:sz w:val="20"/>
        </w:rPr>
        <w:t>the</w:t>
      </w:r>
      <w:r>
        <w:rPr>
          <w:color w:val="231F20"/>
          <w:spacing w:val="12"/>
          <w:sz w:val="20"/>
        </w:rPr>
        <w:t> </w:t>
      </w:r>
      <w:r>
        <w:rPr>
          <w:color w:val="231F20"/>
          <w:sz w:val="20"/>
        </w:rPr>
        <w:t>URL</w:t>
      </w:r>
      <w:r>
        <w:rPr>
          <w:color w:val="231F20"/>
          <w:spacing w:val="6"/>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web</w:t>
      </w:r>
      <w:r>
        <w:rPr>
          <w:color w:val="231F20"/>
          <w:spacing w:val="13"/>
          <w:sz w:val="20"/>
        </w:rPr>
        <w:t> </w:t>
      </w:r>
      <w:r>
        <w:rPr>
          <w:color w:val="231F20"/>
          <w:sz w:val="20"/>
        </w:rPr>
        <w:t>page</w:t>
      </w:r>
      <w:r>
        <w:rPr>
          <w:color w:val="231F20"/>
          <w:spacing w:val="12"/>
          <w:sz w:val="20"/>
        </w:rPr>
        <w:t> </w:t>
      </w:r>
      <w:r>
        <w:rPr>
          <w:color w:val="231F20"/>
          <w:sz w:val="20"/>
        </w:rPr>
        <w:t>to</w:t>
      </w:r>
      <w:r>
        <w:rPr>
          <w:color w:val="231F20"/>
          <w:spacing w:val="13"/>
          <w:sz w:val="20"/>
        </w:rPr>
        <w:t> </w:t>
      </w:r>
      <w:r>
        <w:rPr>
          <w:color w:val="231F20"/>
          <w:spacing w:val="-2"/>
          <w:sz w:val="20"/>
        </w:rPr>
        <w:t>open.</w:t>
      </w:r>
    </w:p>
    <w:p>
      <w:pPr>
        <w:pStyle w:val="Heading3"/>
        <w:spacing w:before="211"/>
        <w:ind w:left="1574"/>
      </w:pPr>
      <w:bookmarkStart w:name="Browser view toolbar" w:id="268"/>
      <w:bookmarkEnd w:id="268"/>
      <w:r>
        <w:rPr>
          <w:b w:val="0"/>
        </w:rPr>
      </w:r>
      <w:r>
        <w:rPr>
          <w:color w:val="231F20"/>
        </w:rPr>
        <w:t>Browser</w:t>
      </w:r>
      <w:r>
        <w:rPr>
          <w:color w:val="231F20"/>
          <w:spacing w:val="6"/>
        </w:rPr>
        <w:t> </w:t>
      </w:r>
      <w:r>
        <w:rPr>
          <w:color w:val="231F20"/>
        </w:rPr>
        <w:t>view</w:t>
      </w:r>
      <w:r>
        <w:rPr>
          <w:color w:val="231F20"/>
          <w:spacing w:val="6"/>
        </w:rPr>
        <w:t> </w:t>
      </w:r>
      <w:r>
        <w:rPr>
          <w:color w:val="231F20"/>
          <w:spacing w:val="-2"/>
        </w:rPr>
        <w:t>toolbar</w:t>
      </w:r>
    </w:p>
    <w:p>
      <w:pPr>
        <w:pStyle w:val="BodyText"/>
        <w:spacing w:line="213" w:lineRule="auto" w:before="58"/>
        <w:ind w:left="2472" w:right="545"/>
      </w:pPr>
      <w:r>
        <w:rPr>
          <w:color w:val="231F20"/>
        </w:rPr>
        <w:t>The browser view contains a toolbar and a text box for entering specific </w:t>
      </w:r>
      <w:r>
        <w:rPr>
          <w:color w:val="231F20"/>
        </w:rPr>
        <w:t>URLs, which you can use to navigate through pages.</w:t>
      </w:r>
    </w:p>
    <w:p>
      <w:pPr>
        <w:tabs>
          <w:tab w:pos="4316" w:val="left" w:leader="none"/>
        </w:tabs>
        <w:spacing w:before="161"/>
        <w:ind w:left="2482" w:right="0" w:firstLine="0"/>
        <w:jc w:val="left"/>
        <w:rPr>
          <w:sz w:val="18"/>
        </w:rPr>
      </w:pPr>
      <w:r>
        <w:rPr>
          <w:position w:val="-3"/>
        </w:rPr>
        <w:drawing>
          <wp:inline distT="0" distB="0" distL="0" distR="0">
            <wp:extent cx="95250" cy="95250"/>
            <wp:effectExtent l="0" t="0" r="0" b="0"/>
            <wp:docPr id="1582" name="Image 1582"/>
            <wp:cNvGraphicFramePr>
              <a:graphicFrameLocks/>
            </wp:cNvGraphicFramePr>
            <a:graphic>
              <a:graphicData uri="http://schemas.openxmlformats.org/drawingml/2006/picture">
                <pic:pic>
                  <pic:nvPicPr>
                    <pic:cNvPr id="1582" name="Image 1582"/>
                    <pic:cNvPicPr/>
                  </pic:nvPicPr>
                  <pic:blipFill>
                    <a:blip r:embed="rId2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Back</w:t>
        <w:tab/>
      </w:r>
      <w:r>
        <w:rPr>
          <w:color w:val="231F20"/>
          <w:sz w:val="18"/>
        </w:rPr>
        <w:t>Returns</w:t>
      </w:r>
      <w:r>
        <w:rPr>
          <w:color w:val="231F20"/>
          <w:spacing w:val="8"/>
          <w:sz w:val="18"/>
        </w:rPr>
        <w:t> </w:t>
      </w:r>
      <w:r>
        <w:rPr>
          <w:color w:val="231F20"/>
          <w:sz w:val="18"/>
        </w:rPr>
        <w:t>to</w:t>
      </w:r>
      <w:r>
        <w:rPr>
          <w:color w:val="231F20"/>
          <w:spacing w:val="9"/>
          <w:sz w:val="18"/>
        </w:rPr>
        <w:t> </w:t>
      </w:r>
      <w:r>
        <w:rPr>
          <w:color w:val="231F20"/>
          <w:sz w:val="18"/>
        </w:rPr>
        <w:t>the</w:t>
      </w:r>
      <w:r>
        <w:rPr>
          <w:color w:val="231F20"/>
          <w:spacing w:val="8"/>
          <w:sz w:val="18"/>
        </w:rPr>
        <w:t> </w:t>
      </w:r>
      <w:r>
        <w:rPr>
          <w:color w:val="231F20"/>
          <w:sz w:val="18"/>
        </w:rPr>
        <w:t>previous</w:t>
      </w:r>
      <w:r>
        <w:rPr>
          <w:color w:val="231F20"/>
          <w:spacing w:val="9"/>
          <w:sz w:val="18"/>
        </w:rPr>
        <w:t> </w:t>
      </w:r>
      <w:r>
        <w:rPr>
          <w:color w:val="231F20"/>
          <w:spacing w:val="-4"/>
          <w:sz w:val="18"/>
        </w:rPr>
        <w:t>page</w:t>
      </w:r>
    </w:p>
    <w:p>
      <w:pPr>
        <w:tabs>
          <w:tab w:pos="4316" w:val="left" w:leader="none"/>
        </w:tabs>
        <w:spacing w:before="77"/>
        <w:ind w:left="2482" w:right="0" w:firstLine="0"/>
        <w:jc w:val="left"/>
        <w:rPr>
          <w:sz w:val="18"/>
        </w:rPr>
      </w:pPr>
      <w:r>
        <w:rPr>
          <w:position w:val="-3"/>
        </w:rPr>
        <w:drawing>
          <wp:inline distT="0" distB="0" distL="0" distR="0">
            <wp:extent cx="95250" cy="95250"/>
            <wp:effectExtent l="0" t="0" r="0" b="0"/>
            <wp:docPr id="1583" name="Image 1583"/>
            <wp:cNvGraphicFramePr>
              <a:graphicFrameLocks/>
            </wp:cNvGraphicFramePr>
            <a:graphic>
              <a:graphicData uri="http://schemas.openxmlformats.org/drawingml/2006/picture">
                <pic:pic>
                  <pic:nvPicPr>
                    <pic:cNvPr id="1583" name="Image 1583"/>
                    <pic:cNvPicPr/>
                  </pic:nvPicPr>
                  <pic:blipFill>
                    <a:blip r:embed="rId2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Forward</w:t>
        <w:tab/>
      </w:r>
      <w:r>
        <w:rPr>
          <w:color w:val="231F20"/>
          <w:sz w:val="18"/>
        </w:rPr>
        <w:t>Moves</w:t>
      </w:r>
      <w:r>
        <w:rPr>
          <w:color w:val="231F20"/>
          <w:spacing w:val="9"/>
          <w:sz w:val="18"/>
        </w:rPr>
        <w:t> </w:t>
      </w:r>
      <w:r>
        <w:rPr>
          <w:color w:val="231F20"/>
          <w:sz w:val="18"/>
        </w:rPr>
        <w:t>forward</w:t>
      </w:r>
      <w:r>
        <w:rPr>
          <w:color w:val="231F20"/>
          <w:spacing w:val="9"/>
          <w:sz w:val="18"/>
        </w:rPr>
        <w:t> </w:t>
      </w:r>
      <w:r>
        <w:rPr>
          <w:color w:val="231F20"/>
          <w:sz w:val="18"/>
        </w:rPr>
        <w:t>to</w:t>
      </w:r>
      <w:r>
        <w:rPr>
          <w:color w:val="231F20"/>
          <w:spacing w:val="9"/>
          <w:sz w:val="18"/>
        </w:rPr>
        <w:t> </w:t>
      </w:r>
      <w:r>
        <w:rPr>
          <w:color w:val="231F20"/>
          <w:sz w:val="18"/>
        </w:rPr>
        <w:t>the</w:t>
      </w:r>
      <w:r>
        <w:rPr>
          <w:color w:val="231F20"/>
          <w:spacing w:val="9"/>
          <w:sz w:val="18"/>
        </w:rPr>
        <w:t> </w:t>
      </w:r>
      <w:r>
        <w:rPr>
          <w:color w:val="231F20"/>
          <w:sz w:val="18"/>
        </w:rPr>
        <w:t>next</w:t>
      </w:r>
      <w:r>
        <w:rPr>
          <w:color w:val="231F20"/>
          <w:spacing w:val="9"/>
          <w:sz w:val="18"/>
        </w:rPr>
        <w:t> </w:t>
      </w:r>
      <w:r>
        <w:rPr>
          <w:color w:val="231F20"/>
          <w:sz w:val="18"/>
        </w:rPr>
        <w:t>page</w:t>
      </w:r>
      <w:r>
        <w:rPr>
          <w:color w:val="231F20"/>
          <w:spacing w:val="9"/>
          <w:sz w:val="18"/>
        </w:rPr>
        <w:t> </w:t>
      </w:r>
      <w:r>
        <w:rPr>
          <w:color w:val="231F20"/>
          <w:sz w:val="18"/>
        </w:rPr>
        <w:t>in</w:t>
      </w:r>
      <w:r>
        <w:rPr>
          <w:color w:val="231F20"/>
          <w:spacing w:val="9"/>
          <w:sz w:val="18"/>
        </w:rPr>
        <w:t> </w:t>
      </w:r>
      <w:r>
        <w:rPr>
          <w:color w:val="231F20"/>
          <w:sz w:val="18"/>
        </w:rPr>
        <w:t>your</w:t>
      </w:r>
      <w:r>
        <w:rPr>
          <w:color w:val="231F20"/>
          <w:spacing w:val="9"/>
          <w:sz w:val="18"/>
        </w:rPr>
        <w:t> </w:t>
      </w:r>
      <w:r>
        <w:rPr>
          <w:color w:val="231F20"/>
          <w:sz w:val="18"/>
        </w:rPr>
        <w:t>browsing</w:t>
      </w:r>
      <w:r>
        <w:rPr>
          <w:color w:val="231F20"/>
          <w:spacing w:val="9"/>
          <w:sz w:val="18"/>
        </w:rPr>
        <w:t> </w:t>
      </w:r>
      <w:r>
        <w:rPr>
          <w:color w:val="231F20"/>
          <w:spacing w:val="-2"/>
          <w:sz w:val="18"/>
        </w:rPr>
        <w:t>sequence.</w:t>
      </w:r>
    </w:p>
    <w:p>
      <w:pPr>
        <w:tabs>
          <w:tab w:pos="4316" w:val="left" w:leader="none"/>
        </w:tabs>
        <w:spacing w:before="76"/>
        <w:ind w:left="2482" w:right="0" w:firstLine="0"/>
        <w:jc w:val="left"/>
        <w:rPr>
          <w:sz w:val="18"/>
        </w:rPr>
      </w:pPr>
      <w:r>
        <w:rPr>
          <w:position w:val="-3"/>
        </w:rPr>
        <w:drawing>
          <wp:inline distT="0" distB="0" distL="0" distR="0">
            <wp:extent cx="95250" cy="95250"/>
            <wp:effectExtent l="0" t="0" r="0" b="0"/>
            <wp:docPr id="1584" name="Image 1584"/>
            <wp:cNvGraphicFramePr>
              <a:graphicFrameLocks/>
            </wp:cNvGraphicFramePr>
            <a:graphic>
              <a:graphicData uri="http://schemas.openxmlformats.org/drawingml/2006/picture">
                <pic:pic>
                  <pic:nvPicPr>
                    <pic:cNvPr id="1584" name="Image 1584"/>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Stop</w:t>
        <w:tab/>
      </w:r>
      <w:r>
        <w:rPr>
          <w:color w:val="231F20"/>
          <w:sz w:val="18"/>
        </w:rPr>
        <w:t>Stops</w:t>
      </w:r>
      <w:r>
        <w:rPr>
          <w:color w:val="231F20"/>
          <w:spacing w:val="9"/>
          <w:sz w:val="18"/>
        </w:rPr>
        <w:t> </w:t>
      </w:r>
      <w:r>
        <w:rPr>
          <w:color w:val="231F20"/>
          <w:sz w:val="18"/>
        </w:rPr>
        <w:t>loading</w:t>
      </w:r>
      <w:r>
        <w:rPr>
          <w:color w:val="231F20"/>
          <w:spacing w:val="10"/>
          <w:sz w:val="18"/>
        </w:rPr>
        <w:t> </w:t>
      </w:r>
      <w:r>
        <w:rPr>
          <w:color w:val="231F20"/>
          <w:sz w:val="18"/>
        </w:rPr>
        <w:t>the</w:t>
      </w:r>
      <w:r>
        <w:rPr>
          <w:color w:val="231F20"/>
          <w:spacing w:val="10"/>
          <w:sz w:val="18"/>
        </w:rPr>
        <w:t> </w:t>
      </w:r>
      <w:r>
        <w:rPr>
          <w:color w:val="231F20"/>
          <w:spacing w:val="-2"/>
          <w:sz w:val="18"/>
        </w:rPr>
        <w:t>page.</w:t>
      </w:r>
    </w:p>
    <w:p>
      <w:pPr>
        <w:tabs>
          <w:tab w:pos="4316" w:val="left" w:leader="none"/>
        </w:tabs>
        <w:spacing w:line="216" w:lineRule="auto" w:before="96"/>
        <w:ind w:left="4316" w:right="488" w:hanging="1835"/>
        <w:jc w:val="left"/>
        <w:rPr>
          <w:sz w:val="18"/>
        </w:rPr>
      </w:pPr>
      <w:r>
        <w:rPr>
          <w:position w:val="-3"/>
        </w:rPr>
        <w:drawing>
          <wp:inline distT="0" distB="0" distL="0" distR="0">
            <wp:extent cx="95250" cy="101600"/>
            <wp:effectExtent l="0" t="0" r="0" b="0"/>
            <wp:docPr id="1585" name="Image 1585"/>
            <wp:cNvGraphicFramePr>
              <a:graphicFrameLocks/>
            </wp:cNvGraphicFramePr>
            <a:graphic>
              <a:graphicData uri="http://schemas.openxmlformats.org/drawingml/2006/picture">
                <pic:pic>
                  <pic:nvPicPr>
                    <pic:cNvPr id="1585" name="Image 1585"/>
                    <pic:cNvPicPr/>
                  </pic:nvPicPr>
                  <pic:blipFill>
                    <a:blip r:embed="rId39"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Refresh</w:t>
        <w:tab/>
      </w:r>
      <w:r>
        <w:rPr>
          <w:color w:val="231F20"/>
          <w:sz w:val="18"/>
        </w:rPr>
        <w:t>Refreshes the page. If the web page has been recently updated, this tool refreshes the view with the latest version.</w:t>
      </w:r>
    </w:p>
    <w:p>
      <w:pPr>
        <w:tabs>
          <w:tab w:pos="4316" w:val="left" w:leader="none"/>
        </w:tabs>
        <w:spacing w:line="216" w:lineRule="auto" w:before="101"/>
        <w:ind w:left="4316" w:right="545" w:hanging="1835"/>
        <w:jc w:val="left"/>
        <w:rPr>
          <w:sz w:val="18"/>
        </w:rPr>
      </w:pPr>
      <w:r>
        <w:rPr>
          <w:position w:val="-3"/>
        </w:rPr>
        <w:drawing>
          <wp:inline distT="0" distB="0" distL="0" distR="0">
            <wp:extent cx="95250" cy="95250"/>
            <wp:effectExtent l="0" t="0" r="0" b="0"/>
            <wp:docPr id="1586" name="Image 1586"/>
            <wp:cNvGraphicFramePr>
              <a:graphicFrameLocks/>
            </wp:cNvGraphicFramePr>
            <a:graphic>
              <a:graphicData uri="http://schemas.openxmlformats.org/drawingml/2006/picture">
                <pic:pic>
                  <pic:nvPicPr>
                    <pic:cNvPr id="1586" name="Image 1586"/>
                    <pic:cNvPicPr/>
                  </pic:nvPicPr>
                  <pic:blipFill>
                    <a:blip r:embed="rId32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Home</w:t>
        <w:tab/>
      </w:r>
      <w:r>
        <w:rPr>
          <w:color w:val="231F20"/>
          <w:sz w:val="18"/>
        </w:rPr>
        <w:t>Goes to the start page for this workspace. Initially, this is set to the Help overview topic. If you change the URL, then save the workspace, the new URL becomes the start page for this browser </w:t>
      </w:r>
      <w:r>
        <w:rPr>
          <w:color w:val="231F20"/>
          <w:spacing w:val="-4"/>
          <w:sz w:val="18"/>
        </w:rPr>
        <w:t>view.</w:t>
      </w:r>
    </w:p>
    <w:p>
      <w:pPr>
        <w:tabs>
          <w:tab w:pos="4316" w:val="left" w:leader="none"/>
        </w:tabs>
        <w:spacing w:before="85"/>
        <w:ind w:left="2472" w:right="0" w:firstLine="0"/>
        <w:jc w:val="left"/>
        <w:rPr>
          <w:sz w:val="18"/>
        </w:rPr>
      </w:pPr>
      <w:r>
        <w:rPr>
          <w:position w:val="-3"/>
        </w:rPr>
        <w:drawing>
          <wp:inline distT="0" distB="0" distL="0" distR="0">
            <wp:extent cx="101600" cy="101600"/>
            <wp:effectExtent l="0" t="0" r="0" b="0"/>
            <wp:docPr id="1587" name="Image 1587"/>
            <wp:cNvGraphicFramePr>
              <a:graphicFrameLocks/>
            </wp:cNvGraphicFramePr>
            <a:graphic>
              <a:graphicData uri="http://schemas.openxmlformats.org/drawingml/2006/picture">
                <pic:pic>
                  <pic:nvPicPr>
                    <pic:cNvPr id="1587" name="Image 1587"/>
                    <pic:cNvPicPr/>
                  </pic:nvPicPr>
                  <pic:blipFill>
                    <a:blip r:embed="rId161"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Print</w:t>
        <w:tab/>
      </w:r>
      <w:r>
        <w:rPr>
          <w:color w:val="231F20"/>
          <w:sz w:val="18"/>
        </w:rPr>
        <w:t>Prints</w:t>
      </w:r>
      <w:r>
        <w:rPr>
          <w:color w:val="231F20"/>
          <w:spacing w:val="8"/>
          <w:sz w:val="18"/>
        </w:rPr>
        <w:t> </w:t>
      </w:r>
      <w:r>
        <w:rPr>
          <w:color w:val="231F20"/>
          <w:sz w:val="18"/>
        </w:rPr>
        <w:t>the</w:t>
      </w:r>
      <w:r>
        <w:rPr>
          <w:color w:val="231F20"/>
          <w:spacing w:val="9"/>
          <w:sz w:val="18"/>
        </w:rPr>
        <w:t> </w:t>
      </w:r>
      <w:r>
        <w:rPr>
          <w:color w:val="231F20"/>
          <w:sz w:val="18"/>
        </w:rPr>
        <w:t>current</w:t>
      </w:r>
      <w:r>
        <w:rPr>
          <w:color w:val="231F20"/>
          <w:spacing w:val="9"/>
          <w:sz w:val="18"/>
        </w:rPr>
        <w:t> </w:t>
      </w:r>
      <w:r>
        <w:rPr>
          <w:color w:val="231F20"/>
          <w:sz w:val="18"/>
        </w:rPr>
        <w:t>web</w:t>
      </w:r>
      <w:r>
        <w:rPr>
          <w:color w:val="231F20"/>
          <w:spacing w:val="9"/>
          <w:sz w:val="18"/>
        </w:rPr>
        <w:t> </w:t>
      </w:r>
      <w:r>
        <w:rPr>
          <w:color w:val="231F20"/>
          <w:spacing w:val="-2"/>
          <w:sz w:val="18"/>
        </w:rPr>
        <w:t>page.</w:t>
      </w:r>
    </w:p>
    <w:p>
      <w:pPr>
        <w:tabs>
          <w:tab w:pos="4316" w:val="left" w:leader="none"/>
        </w:tabs>
        <w:spacing w:line="216" w:lineRule="auto" w:before="95"/>
        <w:ind w:left="4316" w:right="488" w:hanging="1845"/>
        <w:jc w:val="left"/>
        <w:rPr>
          <w:sz w:val="18"/>
        </w:rPr>
      </w:pPr>
      <w:r>
        <w:rPr>
          <w:position w:val="-3"/>
        </w:rPr>
        <w:drawing>
          <wp:inline distT="0" distB="0" distL="0" distR="0">
            <wp:extent cx="101600" cy="101600"/>
            <wp:effectExtent l="0" t="0" r="0" b="0"/>
            <wp:docPr id="1588" name="Image 1588"/>
            <wp:cNvGraphicFramePr>
              <a:graphicFrameLocks/>
            </wp:cNvGraphicFramePr>
            <a:graphic>
              <a:graphicData uri="http://schemas.openxmlformats.org/drawingml/2006/picture">
                <pic:pic>
                  <pic:nvPicPr>
                    <pic:cNvPr id="1588" name="Image 1588"/>
                    <pic:cNvPicPr/>
                  </pic:nvPicPr>
                  <pic:blipFill>
                    <a:blip r:embed="rId109"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Find</w:t>
        <w:tab/>
      </w:r>
      <w:r>
        <w:rPr>
          <w:color w:val="231F20"/>
          <w:sz w:val="18"/>
        </w:rPr>
        <w:t>Brings up the Find window for searching the web page for the text </w:t>
      </w:r>
      <w:r>
        <w:rPr>
          <w:color w:val="231F20"/>
          <w:spacing w:val="-2"/>
          <w:sz w:val="18"/>
        </w:rPr>
        <w:t>specified.</w:t>
      </w:r>
    </w:p>
    <w:p>
      <w:pPr>
        <w:pStyle w:val="BodyText"/>
        <w:spacing w:before="195"/>
        <w:rPr>
          <w:sz w:val="18"/>
        </w:rPr>
      </w:pPr>
    </w:p>
    <w:p>
      <w:pPr>
        <w:pStyle w:val="Heading3"/>
        <w:spacing w:before="1"/>
        <w:ind w:left="1574"/>
      </w:pPr>
      <w:bookmarkStart w:name="URL to files on the portal server" w:id="269"/>
      <w:bookmarkEnd w:id="269"/>
      <w:r>
        <w:rPr>
          <w:b w:val="0"/>
        </w:rPr>
      </w:r>
      <w:r>
        <w:rPr>
          <w:color w:val="231F20"/>
        </w:rPr>
        <w:t>URL</w:t>
      </w:r>
      <w:r>
        <w:rPr>
          <w:color w:val="231F20"/>
          <w:spacing w:val="5"/>
        </w:rPr>
        <w:t> </w:t>
      </w:r>
      <w:r>
        <w:rPr>
          <w:color w:val="231F20"/>
        </w:rPr>
        <w:t>to</w:t>
      </w:r>
      <w:r>
        <w:rPr>
          <w:color w:val="231F20"/>
          <w:spacing w:val="10"/>
        </w:rPr>
        <w:t> </w:t>
      </w:r>
      <w:r>
        <w:rPr>
          <w:color w:val="231F20"/>
        </w:rPr>
        <w:t>files</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rPr>
        <w:t>portal</w:t>
      </w:r>
      <w:r>
        <w:rPr>
          <w:color w:val="231F20"/>
          <w:spacing w:val="10"/>
        </w:rPr>
        <w:t> </w:t>
      </w:r>
      <w:r>
        <w:rPr>
          <w:color w:val="231F20"/>
          <w:spacing w:val="-2"/>
        </w:rPr>
        <w:t>server</w:t>
      </w:r>
    </w:p>
    <w:p>
      <w:pPr>
        <w:pStyle w:val="BodyText"/>
        <w:spacing w:line="213" w:lineRule="auto" w:before="58"/>
        <w:ind w:left="2472" w:right="292"/>
      </w:pPr>
      <w:r>
        <w:rPr>
          <w:color w:val="231F20"/>
        </w:rPr>
        <w:t>Tivoli Enterprise Portal provides a relative URL reference for HTML files you</w:t>
      </w:r>
      <w:r>
        <w:rPr>
          <w:color w:val="231F20"/>
          <w:spacing w:val="80"/>
        </w:rPr>
        <w:t> </w:t>
      </w:r>
      <w:r>
        <w:rPr>
          <w:color w:val="231F20"/>
        </w:rPr>
        <w:t>would</w:t>
      </w:r>
      <w:r>
        <w:rPr>
          <w:color w:val="231F20"/>
          <w:spacing w:val="24"/>
        </w:rPr>
        <w:t> </w:t>
      </w:r>
      <w:r>
        <w:rPr>
          <w:color w:val="231F20"/>
        </w:rPr>
        <w:t>like</w:t>
      </w:r>
      <w:r>
        <w:rPr>
          <w:color w:val="231F20"/>
          <w:spacing w:val="24"/>
        </w:rPr>
        <w:t> </w:t>
      </w:r>
      <w:r>
        <w:rPr>
          <w:color w:val="231F20"/>
        </w:rPr>
        <w:t>to</w:t>
      </w:r>
      <w:r>
        <w:rPr>
          <w:color w:val="231F20"/>
          <w:spacing w:val="24"/>
        </w:rPr>
        <w:t> </w:t>
      </w:r>
      <w:r>
        <w:rPr>
          <w:color w:val="231F20"/>
        </w:rPr>
        <w:t>share. You</w:t>
      </w:r>
      <w:r>
        <w:rPr>
          <w:color w:val="231F20"/>
          <w:spacing w:val="24"/>
        </w:rPr>
        <w:t> </w:t>
      </w:r>
      <w:r>
        <w:rPr>
          <w:color w:val="231F20"/>
        </w:rPr>
        <w:t>can</w:t>
      </w:r>
      <w:r>
        <w:rPr>
          <w:color w:val="231F20"/>
          <w:spacing w:val="24"/>
        </w:rPr>
        <w:t> </w:t>
      </w:r>
      <w:r>
        <w:rPr>
          <w:color w:val="231F20"/>
        </w:rPr>
        <w:t>place</w:t>
      </w:r>
      <w:r>
        <w:rPr>
          <w:color w:val="231F20"/>
          <w:spacing w:val="24"/>
        </w:rPr>
        <w:t> </w:t>
      </w:r>
      <w:r>
        <w:rPr>
          <w:color w:val="231F20"/>
        </w:rPr>
        <w:t>HTML files</w:t>
      </w:r>
      <w:r>
        <w:rPr>
          <w:color w:val="231F20"/>
          <w:spacing w:val="24"/>
        </w:rPr>
        <w:t> </w:t>
      </w:r>
      <w:r>
        <w:rPr>
          <w:color w:val="231F20"/>
        </w:rPr>
        <w:t>on</w:t>
      </w:r>
      <w:r>
        <w:rPr>
          <w:color w:val="231F20"/>
          <w:spacing w:val="24"/>
        </w:rPr>
        <w:t> </w:t>
      </w:r>
      <w:r>
        <w:rPr>
          <w:color w:val="231F20"/>
        </w:rPr>
        <w:t>the</w:t>
      </w:r>
      <w:r>
        <w:rPr>
          <w:color w:val="231F20"/>
          <w:spacing w:val="24"/>
        </w:rPr>
        <w:t> </w:t>
      </w:r>
      <w:r>
        <w:rPr>
          <w:color w:val="231F20"/>
        </w:rPr>
        <w:t>Tivoli</w:t>
      </w:r>
      <w:r>
        <w:rPr>
          <w:color w:val="231F20"/>
          <w:spacing w:val="24"/>
        </w:rPr>
        <w:t> </w:t>
      </w:r>
      <w:r>
        <w:rPr>
          <w:color w:val="231F20"/>
        </w:rPr>
        <w:t>Enterprise</w:t>
      </w:r>
      <w:r>
        <w:rPr>
          <w:color w:val="231F20"/>
          <w:spacing w:val="24"/>
        </w:rPr>
        <w:t> </w:t>
      </w:r>
      <w:r>
        <w:rPr>
          <w:color w:val="231F20"/>
        </w:rPr>
        <w:t>Portal Server computer in the </w:t>
      </w:r>
      <w:r>
        <w:rPr>
          <w:rFonts w:ascii="Book Antiqua"/>
          <w:i/>
          <w:color w:val="231F20"/>
        </w:rPr>
        <w:t>install_dir</w:t>
      </w:r>
      <w:r>
        <w:rPr>
          <w:color w:val="231F20"/>
        </w:rPr>
        <w:t>\cnb (/cw on Linux) folder so that they can be</w:t>
      </w:r>
      <w:r>
        <w:rPr>
          <w:color w:val="231F20"/>
          <w:spacing w:val="80"/>
        </w:rPr>
        <w:t> </w:t>
      </w:r>
      <w:r>
        <w:rPr>
          <w:color w:val="231F20"/>
        </w:rPr>
        <w:t>referenced in the browser view and saved with the workspace. Then any user </w:t>
      </w:r>
      <w:r>
        <w:rPr>
          <w:color w:val="231F20"/>
        </w:rPr>
        <w:t>who opens that workspace will see the HTML page in the browser view.</w:t>
      </w:r>
    </w:p>
    <w:p>
      <w:pPr>
        <w:pStyle w:val="BodyText"/>
        <w:spacing w:line="213" w:lineRule="auto" w:before="236"/>
        <w:ind w:left="2472"/>
      </w:pPr>
      <w:r>
        <w:rPr>
          <w:color w:val="231F20"/>
        </w:rPr>
        <w:t>This feature is useful in environments where browser mode users pass through a firewall to log on to Tivoli Enterprise Portal.</w:t>
      </w:r>
    </w:p>
    <w:p>
      <w:pPr>
        <w:pStyle w:val="BodyText"/>
        <w:spacing w:line="213" w:lineRule="auto" w:before="238"/>
        <w:ind w:left="2472" w:right="385"/>
      </w:pPr>
      <w:r>
        <w:rPr>
          <w:color w:val="231F20"/>
        </w:rPr>
        <w:t>Copy the files you want to reference to the </w:t>
      </w:r>
      <w:r>
        <w:rPr>
          <w:rFonts w:ascii="Book Antiqua"/>
          <w:i/>
          <w:color w:val="231F20"/>
        </w:rPr>
        <w:t>install_dir</w:t>
      </w:r>
      <w:r>
        <w:rPr>
          <w:color w:val="231F20"/>
        </w:rPr>
        <w:t>\</w:t>
      </w:r>
      <w:r>
        <w:rPr>
          <w:rFonts w:ascii="Book Antiqua"/>
          <w:b/>
          <w:color w:val="231F20"/>
        </w:rPr>
        <w:t>cnb </w:t>
      </w:r>
      <w:r>
        <w:rPr>
          <w:color w:val="231F20"/>
        </w:rPr>
        <w:t>(/</w:t>
      </w:r>
      <w:r>
        <w:rPr>
          <w:rFonts w:ascii="Book Antiqua"/>
          <w:b/>
          <w:color w:val="231F20"/>
        </w:rPr>
        <w:t>cw </w:t>
      </w:r>
      <w:r>
        <w:rPr>
          <w:color w:val="231F20"/>
        </w:rPr>
        <w:t>on Linux) folder or</w:t>
      </w:r>
      <w:r>
        <w:rPr>
          <w:color w:val="231F20"/>
          <w:spacing w:val="80"/>
        </w:rPr>
        <w:t> </w:t>
      </w:r>
      <w:r>
        <w:rPr>
          <w:color w:val="231F20"/>
        </w:rPr>
        <w:t>subfolder on the computer where the Tivoli Enterprise Portal Server and browser client framework are installed.</w:t>
      </w:r>
    </w:p>
    <w:p>
      <w:pPr>
        <w:pStyle w:val="BodyText"/>
        <w:spacing w:line="213" w:lineRule="auto" w:before="237"/>
        <w:ind w:left="2472"/>
      </w:pPr>
      <w:r>
        <w:rPr>
          <w:color w:val="231F20"/>
        </w:rPr>
        <w:t>In the browser view, enter the file name in the </w:t>
      </w:r>
      <w:r>
        <w:rPr>
          <w:rFonts w:ascii="Book Antiqua"/>
          <w:b/>
          <w:color w:val="231F20"/>
        </w:rPr>
        <w:t>Location </w:t>
      </w:r>
      <w:r>
        <w:rPr>
          <w:color w:val="231F20"/>
        </w:rPr>
        <w:t>address field and any path information if it is in a subfolder. For example, the entry would be</w:t>
      </w:r>
    </w:p>
    <w:p>
      <w:pPr>
        <w:spacing w:after="0" w:line="213" w:lineRule="auto"/>
        <w:sectPr>
          <w:pgSz w:w="12240" w:h="15840"/>
          <w:pgMar w:header="0" w:footer="736" w:top="1140" w:bottom="920" w:left="1000" w:right="1060"/>
        </w:sectPr>
      </w:pPr>
    </w:p>
    <w:p>
      <w:pPr>
        <w:pStyle w:val="BodyText"/>
        <w:spacing w:line="255" w:lineRule="exact" w:before="62"/>
        <w:ind w:left="2232"/>
        <w:rPr>
          <w:rFonts w:ascii="Arial"/>
        </w:rPr>
      </w:pPr>
      <w:bookmarkStart w:name="_bookmark123" w:id="270"/>
      <w:bookmarkEnd w:id="270"/>
      <w:r>
        <w:rPr/>
      </w:r>
      <w:r>
        <w:rPr>
          <w:rFonts w:ascii="Arial"/>
          <w:color w:val="231F20"/>
        </w:rPr>
        <w:t>information.htm</w:t>
      </w:r>
      <w:r>
        <w:rPr>
          <w:rFonts w:ascii="Arial"/>
          <w:color w:val="231F20"/>
          <w:spacing w:val="24"/>
        </w:rPr>
        <w:t> </w:t>
      </w:r>
      <w:r>
        <w:rPr>
          <w:color w:val="231F20"/>
        </w:rPr>
        <w:t>if</w:t>
      </w:r>
      <w:r>
        <w:rPr>
          <w:color w:val="231F20"/>
          <w:spacing w:val="30"/>
        </w:rPr>
        <w:t> </w:t>
      </w:r>
      <w:r>
        <w:rPr>
          <w:color w:val="231F20"/>
        </w:rPr>
        <w:t>the</w:t>
      </w:r>
      <w:r>
        <w:rPr>
          <w:color w:val="231F20"/>
          <w:spacing w:val="31"/>
        </w:rPr>
        <w:t> </w:t>
      </w:r>
      <w:r>
        <w:rPr>
          <w:color w:val="231F20"/>
        </w:rPr>
        <w:t>file</w:t>
      </w:r>
      <w:r>
        <w:rPr>
          <w:color w:val="231F20"/>
          <w:spacing w:val="30"/>
        </w:rPr>
        <w:t> </w:t>
      </w:r>
      <w:r>
        <w:rPr>
          <w:color w:val="231F20"/>
        </w:rPr>
        <w:t>is</w:t>
      </w:r>
      <w:r>
        <w:rPr>
          <w:color w:val="231F20"/>
          <w:spacing w:val="30"/>
        </w:rPr>
        <w:t> </w:t>
      </w:r>
      <w:r>
        <w:rPr>
          <w:color w:val="231F20"/>
        </w:rPr>
        <w:t>in</w:t>
      </w:r>
      <w:r>
        <w:rPr>
          <w:color w:val="231F20"/>
          <w:spacing w:val="31"/>
        </w:rPr>
        <w:t> </w:t>
      </w:r>
      <w:r>
        <w:rPr>
          <w:color w:val="231F20"/>
        </w:rPr>
        <w:t>the</w:t>
      </w:r>
      <w:r>
        <w:rPr>
          <w:color w:val="231F20"/>
          <w:spacing w:val="30"/>
        </w:rPr>
        <w:t> </w:t>
      </w:r>
      <w:r>
        <w:rPr>
          <w:rFonts w:ascii="Book Antiqua"/>
          <w:b/>
          <w:color w:val="231F20"/>
        </w:rPr>
        <w:t>cnb</w:t>
      </w:r>
      <w:r>
        <w:rPr>
          <w:rFonts w:ascii="Book Antiqua"/>
          <w:b/>
          <w:color w:val="231F20"/>
          <w:spacing w:val="31"/>
        </w:rPr>
        <w:t> </w:t>
      </w:r>
      <w:r>
        <w:rPr>
          <w:color w:val="231F20"/>
        </w:rPr>
        <w:t>or</w:t>
      </w:r>
      <w:r>
        <w:rPr>
          <w:color w:val="231F20"/>
          <w:spacing w:val="30"/>
        </w:rPr>
        <w:t> </w:t>
      </w:r>
      <w:r>
        <w:rPr>
          <w:rFonts w:ascii="Book Antiqua"/>
          <w:b/>
          <w:color w:val="231F20"/>
        </w:rPr>
        <w:t>cw</w:t>
      </w:r>
      <w:r>
        <w:rPr>
          <w:rFonts w:ascii="Book Antiqua"/>
          <w:b/>
          <w:color w:val="231F20"/>
          <w:spacing w:val="30"/>
        </w:rPr>
        <w:t> </w:t>
      </w:r>
      <w:r>
        <w:rPr>
          <w:color w:val="231F20"/>
        </w:rPr>
        <w:t>folder,</w:t>
      </w:r>
      <w:r>
        <w:rPr>
          <w:color w:val="231F20"/>
          <w:spacing w:val="31"/>
        </w:rPr>
        <w:t> </w:t>
      </w:r>
      <w:r>
        <w:rPr>
          <w:color w:val="231F20"/>
        </w:rPr>
        <w:t>or</w:t>
      </w:r>
      <w:r>
        <w:rPr>
          <w:color w:val="231F20"/>
          <w:spacing w:val="30"/>
        </w:rPr>
        <w:t> </w:t>
      </w:r>
      <w:r>
        <w:rPr>
          <w:rFonts w:ascii="Arial"/>
          <w:color w:val="231F20"/>
          <w:spacing w:val="-2"/>
        </w:rPr>
        <w:t>my_files/information.htm</w:t>
      </w:r>
    </w:p>
    <w:p>
      <w:pPr>
        <w:spacing w:line="255" w:lineRule="exact" w:before="0"/>
        <w:ind w:left="2232" w:right="0" w:firstLine="0"/>
        <w:jc w:val="both"/>
        <w:rPr>
          <w:sz w:val="20"/>
        </w:rPr>
      </w:pPr>
      <w:r>
        <w:rPr>
          <w:color w:val="231F20"/>
          <w:sz w:val="20"/>
        </w:rPr>
        <w:t>if</w:t>
      </w:r>
      <w:r>
        <w:rPr>
          <w:color w:val="231F20"/>
          <w:spacing w:val="11"/>
          <w:sz w:val="20"/>
        </w:rPr>
        <w:t> </w:t>
      </w:r>
      <w:r>
        <w:rPr>
          <w:color w:val="231F20"/>
          <w:sz w:val="20"/>
        </w:rPr>
        <w:t>the</w:t>
      </w:r>
      <w:r>
        <w:rPr>
          <w:color w:val="231F20"/>
          <w:spacing w:val="12"/>
          <w:sz w:val="20"/>
        </w:rPr>
        <w:t> </w:t>
      </w:r>
      <w:r>
        <w:rPr>
          <w:color w:val="231F20"/>
          <w:sz w:val="20"/>
        </w:rPr>
        <w:t>files</w:t>
      </w:r>
      <w:r>
        <w:rPr>
          <w:color w:val="231F20"/>
          <w:spacing w:val="12"/>
          <w:sz w:val="20"/>
        </w:rPr>
        <w:t> </w:t>
      </w:r>
      <w:r>
        <w:rPr>
          <w:color w:val="231F20"/>
          <w:sz w:val="20"/>
        </w:rPr>
        <w:t>are</w:t>
      </w:r>
      <w:r>
        <w:rPr>
          <w:color w:val="231F20"/>
          <w:spacing w:val="12"/>
          <w:sz w:val="20"/>
        </w:rPr>
        <w:t> </w:t>
      </w:r>
      <w:r>
        <w:rPr>
          <w:color w:val="231F20"/>
          <w:sz w:val="20"/>
        </w:rPr>
        <w:t>in</w:t>
      </w:r>
      <w:r>
        <w:rPr>
          <w:color w:val="231F20"/>
          <w:spacing w:val="12"/>
          <w:sz w:val="20"/>
        </w:rPr>
        <w:t> </w:t>
      </w:r>
      <w:r>
        <w:rPr>
          <w:color w:val="231F20"/>
          <w:sz w:val="20"/>
        </w:rPr>
        <w:t>the</w:t>
      </w:r>
      <w:r>
        <w:rPr>
          <w:color w:val="231F20"/>
          <w:spacing w:val="12"/>
          <w:sz w:val="20"/>
        </w:rPr>
        <w:t> </w:t>
      </w:r>
      <w:r>
        <w:rPr>
          <w:rFonts w:ascii="Book Antiqua"/>
          <w:b/>
          <w:color w:val="231F20"/>
          <w:sz w:val="20"/>
        </w:rPr>
        <w:t>my_files</w:t>
      </w:r>
      <w:r>
        <w:rPr>
          <w:rFonts w:ascii="Book Antiqua"/>
          <w:b/>
          <w:color w:val="231F20"/>
          <w:spacing w:val="11"/>
          <w:sz w:val="20"/>
        </w:rPr>
        <w:t> </w:t>
      </w:r>
      <w:r>
        <w:rPr>
          <w:color w:val="231F20"/>
          <w:sz w:val="20"/>
        </w:rPr>
        <w:t>subfolder</w:t>
      </w:r>
      <w:r>
        <w:rPr>
          <w:color w:val="231F20"/>
          <w:spacing w:val="12"/>
          <w:sz w:val="20"/>
        </w:rPr>
        <w:t> </w:t>
      </w:r>
      <w:r>
        <w:rPr>
          <w:color w:val="231F20"/>
          <w:sz w:val="20"/>
        </w:rPr>
        <w:t>under</w:t>
      </w:r>
      <w:r>
        <w:rPr>
          <w:color w:val="231F20"/>
          <w:spacing w:val="12"/>
          <w:sz w:val="20"/>
        </w:rPr>
        <w:t> </w:t>
      </w:r>
      <w:r>
        <w:rPr>
          <w:rFonts w:ascii="Book Antiqua"/>
          <w:b/>
          <w:color w:val="231F20"/>
          <w:sz w:val="20"/>
        </w:rPr>
        <w:t>cnb</w:t>
      </w:r>
      <w:r>
        <w:rPr>
          <w:rFonts w:ascii="Book Antiqua"/>
          <w:b/>
          <w:color w:val="231F20"/>
          <w:spacing w:val="12"/>
          <w:sz w:val="20"/>
        </w:rPr>
        <w:t> </w:t>
      </w:r>
      <w:r>
        <w:rPr>
          <w:color w:val="231F20"/>
          <w:sz w:val="20"/>
        </w:rPr>
        <w:t>or</w:t>
      </w:r>
      <w:r>
        <w:rPr>
          <w:color w:val="231F20"/>
          <w:spacing w:val="12"/>
          <w:sz w:val="20"/>
        </w:rPr>
        <w:t> </w:t>
      </w:r>
      <w:r>
        <w:rPr>
          <w:rFonts w:ascii="Book Antiqua"/>
          <w:b/>
          <w:color w:val="231F20"/>
          <w:spacing w:val="-5"/>
          <w:sz w:val="20"/>
        </w:rPr>
        <w:t>cw</w:t>
      </w:r>
      <w:r>
        <w:rPr>
          <w:color w:val="231F20"/>
          <w:spacing w:val="-5"/>
          <w:sz w:val="20"/>
        </w:rPr>
        <w:t>.</w:t>
      </w:r>
    </w:p>
    <w:p>
      <w:pPr>
        <w:pStyle w:val="BodyText"/>
        <w:spacing w:line="213" w:lineRule="auto" w:before="232"/>
        <w:ind w:left="2232" w:right="1138"/>
        <w:jc w:val="both"/>
      </w:pPr>
      <w:r>
        <w:rPr>
          <w:color w:val="231F20"/>
        </w:rPr>
        <w:t>After you press Enter to open the HTML page, the address is prefixed </w:t>
      </w:r>
      <w:r>
        <w:rPr>
          <w:color w:val="231F20"/>
        </w:rPr>
        <w:t>with </w:t>
      </w:r>
      <w:r>
        <w:rPr>
          <w:rFonts w:ascii="Arial"/>
          <w:color w:val="231F20"/>
        </w:rPr>
        <w:t>http://</w:t>
      </w:r>
      <w:r>
        <w:rPr>
          <w:rFonts w:ascii="Lucida Sans"/>
          <w:i/>
          <w:color w:val="231F20"/>
        </w:rPr>
        <w:t>localhost</w:t>
      </w:r>
      <w:r>
        <w:rPr>
          <w:rFonts w:ascii="Arial"/>
          <w:color w:val="231F20"/>
        </w:rPr>
        <w:t>:15200/ </w:t>
      </w:r>
      <w:r>
        <w:rPr>
          <w:color w:val="231F20"/>
        </w:rPr>
        <w:t>(where </w:t>
      </w:r>
      <w:r>
        <w:rPr>
          <w:rFonts w:ascii="Book Antiqua"/>
          <w:i/>
          <w:color w:val="231F20"/>
        </w:rPr>
        <w:t>localhost </w:t>
      </w:r>
      <w:r>
        <w:rPr>
          <w:color w:val="231F20"/>
        </w:rPr>
        <w:t>is the fully qualified name of the computer where the portal server is installed) and the page is opened.</w:t>
      </w:r>
    </w:p>
    <w:p>
      <w:pPr>
        <w:pStyle w:val="Heading3"/>
        <w:spacing w:before="216"/>
        <w:ind w:left="1334"/>
      </w:pPr>
      <w:bookmarkStart w:name="Link symbols in the URL address" w:id="271"/>
      <w:bookmarkEnd w:id="271"/>
      <w:r>
        <w:rPr>
          <w:b w:val="0"/>
        </w:rPr>
      </w:r>
      <w:r>
        <w:rPr>
          <w:color w:val="231F20"/>
        </w:rPr>
        <w:t>Link</w:t>
      </w:r>
      <w:r>
        <w:rPr>
          <w:color w:val="231F20"/>
          <w:spacing w:val="9"/>
        </w:rPr>
        <w:t> </w:t>
      </w:r>
      <w:r>
        <w:rPr>
          <w:color w:val="231F20"/>
        </w:rPr>
        <w:t>symbols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URL</w:t>
      </w:r>
      <w:r>
        <w:rPr>
          <w:color w:val="231F20"/>
          <w:spacing w:val="4"/>
        </w:rPr>
        <w:t> </w:t>
      </w:r>
      <w:r>
        <w:rPr>
          <w:color w:val="231F20"/>
          <w:spacing w:val="-2"/>
        </w:rPr>
        <w:t>address</w:t>
      </w:r>
    </w:p>
    <w:p>
      <w:pPr>
        <w:pStyle w:val="BodyText"/>
        <w:spacing w:line="213" w:lineRule="auto" w:before="58"/>
        <w:ind w:left="2232" w:right="545"/>
      </w:pPr>
      <w:r>
        <w:rPr>
          <w:color w:val="231F20"/>
        </w:rPr>
        <w:t>You can include symbols in the location URLs that can be substituted with link symbol values stored in the workspace's property context pool.</w:t>
      </w:r>
    </w:p>
    <w:p>
      <w:pPr>
        <w:pStyle w:val="BodyText"/>
        <w:spacing w:before="215"/>
        <w:ind w:left="2232"/>
      </w:pPr>
      <w:r>
        <w:rPr>
          <w:color w:val="231F20"/>
        </w:rPr>
        <w:t>The</w:t>
      </w:r>
      <w:r>
        <w:rPr>
          <w:color w:val="231F20"/>
          <w:spacing w:val="11"/>
        </w:rPr>
        <w:t> </w:t>
      </w:r>
      <w:r>
        <w:rPr>
          <w:color w:val="231F20"/>
        </w:rPr>
        <w:t>symbol</w:t>
      </w:r>
      <w:r>
        <w:rPr>
          <w:color w:val="231F20"/>
          <w:spacing w:val="11"/>
        </w:rPr>
        <w:t> </w:t>
      </w:r>
      <w:r>
        <w:rPr>
          <w:color w:val="231F20"/>
        </w:rPr>
        <w:t>for</w:t>
      </w:r>
      <w:r>
        <w:rPr>
          <w:color w:val="231F20"/>
          <w:spacing w:val="11"/>
        </w:rPr>
        <w:t> </w:t>
      </w:r>
      <w:r>
        <w:rPr>
          <w:color w:val="231F20"/>
        </w:rPr>
        <w:t>substitution</w:t>
      </w:r>
      <w:r>
        <w:rPr>
          <w:color w:val="231F20"/>
          <w:spacing w:val="12"/>
        </w:rPr>
        <w:t> </w:t>
      </w:r>
      <w:r>
        <w:rPr>
          <w:color w:val="231F20"/>
        </w:rPr>
        <w:t>must</w:t>
      </w:r>
      <w:r>
        <w:rPr>
          <w:color w:val="231F20"/>
          <w:spacing w:val="11"/>
        </w:rPr>
        <w:t> </w:t>
      </w:r>
      <w:r>
        <w:rPr>
          <w:color w:val="231F20"/>
        </w:rPr>
        <w:t>be</w:t>
      </w:r>
      <w:r>
        <w:rPr>
          <w:color w:val="231F20"/>
          <w:spacing w:val="11"/>
        </w:rPr>
        <w:t> </w:t>
      </w:r>
      <w:r>
        <w:rPr>
          <w:color w:val="231F20"/>
        </w:rPr>
        <w:t>of</w:t>
      </w:r>
      <w:r>
        <w:rPr>
          <w:color w:val="231F20"/>
          <w:spacing w:val="11"/>
        </w:rPr>
        <w:t> </w:t>
      </w:r>
      <w:r>
        <w:rPr>
          <w:color w:val="231F20"/>
        </w:rPr>
        <w:t>the</w:t>
      </w:r>
      <w:r>
        <w:rPr>
          <w:color w:val="231F20"/>
          <w:spacing w:val="12"/>
        </w:rPr>
        <w:t> </w:t>
      </w:r>
      <w:r>
        <w:rPr>
          <w:color w:val="231F20"/>
        </w:rPr>
        <w:t>following</w:t>
      </w:r>
      <w:r>
        <w:rPr>
          <w:color w:val="231F20"/>
          <w:spacing w:val="11"/>
        </w:rPr>
        <w:t> </w:t>
      </w:r>
      <w:r>
        <w:rPr>
          <w:color w:val="231F20"/>
          <w:spacing w:val="-2"/>
        </w:rPr>
        <w:t>format:</w:t>
      </w:r>
    </w:p>
    <w:p>
      <w:pPr>
        <w:spacing w:before="56"/>
        <w:ind w:left="2232" w:right="0" w:firstLine="0"/>
        <w:jc w:val="left"/>
        <w:rPr>
          <w:rFonts w:ascii="Arial"/>
          <w:sz w:val="18"/>
        </w:rPr>
      </w:pPr>
      <w:r>
        <w:rPr>
          <w:rFonts w:ascii="Arial"/>
          <w:color w:val="231F20"/>
          <w:spacing w:val="-2"/>
          <w:sz w:val="18"/>
        </w:rPr>
        <w:t>$symbol_name$</w:t>
      </w:r>
    </w:p>
    <w:p>
      <w:pPr>
        <w:pStyle w:val="BodyText"/>
        <w:spacing w:before="42"/>
        <w:rPr>
          <w:rFonts w:ascii="Arial"/>
          <w:sz w:val="18"/>
        </w:rPr>
      </w:pPr>
    </w:p>
    <w:p>
      <w:pPr>
        <w:pStyle w:val="BodyText"/>
        <w:spacing w:line="213" w:lineRule="auto"/>
        <w:ind w:left="2232" w:right="545"/>
      </w:pPr>
      <w:r>
        <w:rPr>
          <w:color w:val="231F20"/>
        </w:rPr>
        <w:t>Before the browser view sends the URL request, it replaces all the symbol names with the associated values from the context pool.</w:t>
      </w:r>
    </w:p>
    <w:p>
      <w:pPr>
        <w:pStyle w:val="Heading3"/>
        <w:spacing w:before="217"/>
        <w:ind w:left="1334"/>
      </w:pPr>
      <w:bookmarkStart w:name="Link to external browser" w:id="272"/>
      <w:bookmarkEnd w:id="272"/>
      <w:r>
        <w:rPr>
          <w:b w:val="0"/>
        </w:rPr>
      </w:r>
      <w:r>
        <w:rPr>
          <w:color w:val="231F20"/>
        </w:rPr>
        <w:t>Link</w:t>
      </w:r>
      <w:r>
        <w:rPr>
          <w:color w:val="231F20"/>
          <w:spacing w:val="8"/>
        </w:rPr>
        <w:t> </w:t>
      </w:r>
      <w:r>
        <w:rPr>
          <w:color w:val="231F20"/>
        </w:rPr>
        <w:t>to</w:t>
      </w:r>
      <w:r>
        <w:rPr>
          <w:color w:val="231F20"/>
          <w:spacing w:val="9"/>
        </w:rPr>
        <w:t> </w:t>
      </w:r>
      <w:r>
        <w:rPr>
          <w:color w:val="231F20"/>
        </w:rPr>
        <w:t>external</w:t>
      </w:r>
      <w:r>
        <w:rPr>
          <w:color w:val="231F20"/>
          <w:spacing w:val="8"/>
        </w:rPr>
        <w:t> </w:t>
      </w:r>
      <w:r>
        <w:rPr>
          <w:color w:val="231F20"/>
          <w:spacing w:val="-2"/>
        </w:rPr>
        <w:t>browser</w:t>
      </w:r>
    </w:p>
    <w:p>
      <w:pPr>
        <w:pStyle w:val="BodyText"/>
        <w:spacing w:line="213" w:lineRule="auto" w:before="58"/>
        <w:ind w:left="2232" w:right="545"/>
      </w:pPr>
      <w:r>
        <w:rPr>
          <w:color w:val="231F20"/>
        </w:rPr>
        <w:t>You can launch an external browser from within a hyperlink in the browser view. This is the mechanism used to view attachments to events.</w:t>
      </w:r>
    </w:p>
    <w:p>
      <w:pPr>
        <w:pStyle w:val="BodyText"/>
        <w:spacing w:line="213" w:lineRule="auto" w:before="239"/>
        <w:ind w:left="2232" w:right="493"/>
      </w:pPr>
      <w:r>
        <w:rPr>
          <w:color w:val="231F20"/>
        </w:rPr>
        <w:t>If you want a link to launch an external browser, use the following attributes in the </w:t>
      </w:r>
      <w:r>
        <w:rPr>
          <w:color w:val="231F20"/>
          <w:spacing w:val="-2"/>
        </w:rPr>
        <w:t>hyperlink:</w:t>
      </w:r>
    </w:p>
    <w:p>
      <w:pPr>
        <w:pStyle w:val="Heading6"/>
        <w:ind w:left="2232"/>
      </w:pPr>
      <w:r>
        <w:rPr>
          <w:color w:val="231F20"/>
          <w:spacing w:val="-2"/>
        </w:rPr>
        <w:t>TEP_TARGET=external</w:t>
      </w:r>
    </w:p>
    <w:p>
      <w:pPr>
        <w:pStyle w:val="BodyText"/>
        <w:spacing w:line="213" w:lineRule="auto" w:before="11"/>
        <w:ind w:left="2951" w:right="1104"/>
      </w:pPr>
      <w:r>
        <w:rPr>
          <w:color w:val="231F20"/>
        </w:rPr>
        <w:t>If this attribute is found on the &lt;a&gt; link tag, the URL is launched </w:t>
      </w:r>
      <w:r>
        <w:rPr>
          <w:color w:val="231F20"/>
        </w:rPr>
        <w:t>in</w:t>
      </w:r>
      <w:r>
        <w:rPr>
          <w:color w:val="231F20"/>
          <w:spacing w:val="40"/>
        </w:rPr>
        <w:t> </w:t>
      </w:r>
      <w:r>
        <w:rPr>
          <w:color w:val="231F20"/>
        </w:rPr>
        <w:t>default external browser.</w:t>
      </w:r>
    </w:p>
    <w:p>
      <w:pPr>
        <w:pStyle w:val="Heading6"/>
        <w:ind w:left="2232"/>
      </w:pPr>
      <w:r>
        <w:rPr>
          <w:color w:val="231F20"/>
          <w:spacing w:val="-2"/>
        </w:rPr>
        <w:t>TEP_LOCATION=relative</w:t>
      </w:r>
    </w:p>
    <w:p>
      <w:pPr>
        <w:pStyle w:val="BodyText"/>
        <w:spacing w:line="213" w:lineRule="auto" w:before="12"/>
        <w:ind w:left="2951" w:right="493"/>
      </w:pPr>
      <w:r>
        <w:rPr>
          <w:color w:val="231F20"/>
        </w:rPr>
        <w:t>If</w:t>
      </w:r>
      <w:r>
        <w:rPr>
          <w:color w:val="231F20"/>
          <w:spacing w:val="18"/>
        </w:rPr>
        <w:t> </w:t>
      </w:r>
      <w:r>
        <w:rPr>
          <w:color w:val="231F20"/>
        </w:rPr>
        <w:t>this</w:t>
      </w:r>
      <w:r>
        <w:rPr>
          <w:color w:val="231F20"/>
          <w:spacing w:val="18"/>
        </w:rPr>
        <w:t> </w:t>
      </w:r>
      <w:r>
        <w:rPr>
          <w:color w:val="231F20"/>
        </w:rPr>
        <w:t>attribute</w:t>
      </w:r>
      <w:r>
        <w:rPr>
          <w:color w:val="231F20"/>
          <w:spacing w:val="18"/>
        </w:rPr>
        <w:t> </w:t>
      </w:r>
      <w:r>
        <w:rPr>
          <w:color w:val="231F20"/>
        </w:rPr>
        <w:t>is</w:t>
      </w:r>
      <w:r>
        <w:rPr>
          <w:color w:val="231F20"/>
          <w:spacing w:val="18"/>
        </w:rPr>
        <w:t> </w:t>
      </w:r>
      <w:r>
        <w:rPr>
          <w:color w:val="231F20"/>
        </w:rPr>
        <w:t>found</w:t>
      </w:r>
      <w:r>
        <w:rPr>
          <w:color w:val="231F20"/>
          <w:spacing w:val="18"/>
        </w:rPr>
        <w:t> </w:t>
      </w:r>
      <w:r>
        <w:rPr>
          <w:color w:val="231F20"/>
        </w:rPr>
        <w:t>on</w:t>
      </w:r>
      <w:r>
        <w:rPr>
          <w:color w:val="231F20"/>
          <w:spacing w:val="18"/>
        </w:rPr>
        <w:t> </w:t>
      </w:r>
      <w:r>
        <w:rPr>
          <w:color w:val="231F20"/>
        </w:rPr>
        <w:t>the</w:t>
      </w:r>
      <w:r>
        <w:rPr>
          <w:color w:val="231F20"/>
          <w:spacing w:val="18"/>
        </w:rPr>
        <w:t> </w:t>
      </w:r>
      <w:r>
        <w:rPr>
          <w:color w:val="231F20"/>
        </w:rPr>
        <w:t>&lt;a&gt;</w:t>
      </w:r>
      <w:r>
        <w:rPr>
          <w:color w:val="231F20"/>
          <w:spacing w:val="18"/>
        </w:rPr>
        <w:t> </w:t>
      </w:r>
      <w:r>
        <w:rPr>
          <w:color w:val="231F20"/>
        </w:rPr>
        <w:t>link</w:t>
      </w:r>
      <w:r>
        <w:rPr>
          <w:color w:val="231F20"/>
          <w:spacing w:val="18"/>
        </w:rPr>
        <w:t> </w:t>
      </w:r>
      <w:r>
        <w:rPr>
          <w:color w:val="231F20"/>
        </w:rPr>
        <w:t>tag,</w:t>
      </w:r>
      <w:r>
        <w:rPr>
          <w:color w:val="231F20"/>
          <w:spacing w:val="18"/>
        </w:rPr>
        <w:t> </w:t>
      </w:r>
      <w:r>
        <w:rPr>
          <w:color w:val="231F20"/>
        </w:rPr>
        <w:t>the</w:t>
      </w:r>
      <w:r>
        <w:rPr>
          <w:color w:val="231F20"/>
          <w:spacing w:val="18"/>
        </w:rPr>
        <w:t> </w:t>
      </w:r>
      <w:r>
        <w:rPr>
          <w:color w:val="231F20"/>
        </w:rPr>
        <w:t>"</w:t>
      </w:r>
      <w:r>
        <w:rPr>
          <w:rFonts w:ascii="Arial"/>
          <w:color w:val="231F20"/>
        </w:rPr>
        <w:t>href=</w:t>
      </w:r>
      <w:r>
        <w:rPr>
          <w:color w:val="231F20"/>
        </w:rPr>
        <w:t>"</w:t>
      </w:r>
      <w:r>
        <w:rPr>
          <w:color w:val="231F20"/>
          <w:spacing w:val="18"/>
        </w:rPr>
        <w:t> </w:t>
      </w:r>
      <w:r>
        <w:rPr>
          <w:color w:val="231F20"/>
        </w:rPr>
        <w:t>value</w:t>
      </w:r>
      <w:r>
        <w:rPr>
          <w:color w:val="231F20"/>
          <w:spacing w:val="18"/>
        </w:rPr>
        <w:t> </w:t>
      </w:r>
      <w:r>
        <w:rPr>
          <w:color w:val="231F20"/>
        </w:rPr>
        <w:t>is</w:t>
      </w:r>
      <w:r>
        <w:rPr>
          <w:color w:val="231F20"/>
          <w:spacing w:val="18"/>
        </w:rPr>
        <w:t> </w:t>
      </w:r>
      <w:r>
        <w:rPr>
          <w:color w:val="231F20"/>
        </w:rPr>
        <w:t>treated</w:t>
      </w:r>
      <w:r>
        <w:rPr>
          <w:color w:val="231F20"/>
          <w:spacing w:val="18"/>
        </w:rPr>
        <w:t> </w:t>
      </w:r>
      <w:r>
        <w:rPr>
          <w:color w:val="231F20"/>
        </w:rPr>
        <w:t>as a relative URL and the path is appended to the web server's based</w:t>
      </w:r>
      <w:r>
        <w:rPr>
          <w:color w:val="231F20"/>
          <w:spacing w:val="80"/>
        </w:rPr>
        <w:t> </w:t>
      </w:r>
      <w:r>
        <w:rPr>
          <w:color w:val="231F20"/>
          <w:spacing w:val="-2"/>
        </w:rPr>
        <w:t>resources.</w:t>
      </w:r>
    </w:p>
    <w:p>
      <w:pPr>
        <w:pStyle w:val="BodyText"/>
        <w:spacing w:before="4"/>
        <w:rPr>
          <w:sz w:val="16"/>
        </w:rPr>
      </w:pPr>
      <w:r>
        <w:rPr/>
        <mc:AlternateContent>
          <mc:Choice Requires="wps">
            <w:drawing>
              <wp:anchor distT="0" distB="0" distL="0" distR="0" allowOverlap="1" layoutInCell="1" locked="0" behindDoc="1" simplePos="0" relativeHeight="487698432">
                <wp:simplePos x="0" y="0"/>
                <wp:positionH relativeFrom="page">
                  <wp:posOffset>760323</wp:posOffset>
                </wp:positionH>
                <wp:positionV relativeFrom="paragraph">
                  <wp:posOffset>155322</wp:posOffset>
                </wp:positionV>
                <wp:extent cx="6082665" cy="1270"/>
                <wp:effectExtent l="0" t="0" r="0" b="0"/>
                <wp:wrapTopAndBottom/>
                <wp:docPr id="1589" name="Graphic 1589"/>
                <wp:cNvGraphicFramePr>
                  <a:graphicFrameLocks/>
                </wp:cNvGraphicFramePr>
                <a:graphic>
                  <a:graphicData uri="http://schemas.microsoft.com/office/word/2010/wordprocessingShape">
                    <wps:wsp>
                      <wps:cNvPr id="1589" name="Graphic 1589"/>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30139pt;width:478.95pt;height:.1pt;mso-position-horizontal-relative:page;mso-position-vertical-relative:paragraph;z-index:-15618048;mso-wrap-distance-left:0;mso-wrap-distance-right:0" id="docshape163"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Adding a notepad view" w:id="273"/>
      <w:bookmarkEnd w:id="273"/>
      <w:r>
        <w:rPr>
          <w:b w:val="0"/>
        </w:rPr>
      </w:r>
      <w:r>
        <w:rPr>
          <w:color w:val="231F20"/>
        </w:rPr>
        <w:t>Adding</w:t>
      </w:r>
      <w:r>
        <w:rPr>
          <w:color w:val="231F20"/>
          <w:spacing w:val="7"/>
        </w:rPr>
        <w:t> </w:t>
      </w:r>
      <w:r>
        <w:rPr>
          <w:color w:val="231F20"/>
        </w:rPr>
        <w:t>a</w:t>
      </w:r>
      <w:r>
        <w:rPr>
          <w:color w:val="231F20"/>
          <w:spacing w:val="8"/>
        </w:rPr>
        <w:t> </w:t>
      </w:r>
      <w:r>
        <w:rPr>
          <w:color w:val="231F20"/>
        </w:rPr>
        <w:t>notepad</w:t>
      </w:r>
      <w:r>
        <w:rPr>
          <w:color w:val="231F20"/>
          <w:spacing w:val="7"/>
        </w:rPr>
        <w:t> </w:t>
      </w:r>
      <w:r>
        <w:rPr>
          <w:color w:val="231F20"/>
          <w:spacing w:val="-4"/>
        </w:rPr>
        <w:t>view</w:t>
      </w:r>
    </w:p>
    <w:p>
      <w:pPr>
        <w:pStyle w:val="BodyText"/>
        <w:spacing w:before="115"/>
        <w:ind w:left="2232"/>
      </w:pPr>
      <w:r>
        <w:rPr>
          <w:color w:val="231F20"/>
        </w:rPr>
        <w:t>The</w:t>
      </w:r>
      <w:r>
        <w:rPr>
          <w:color w:val="231F20"/>
          <w:spacing w:val="11"/>
        </w:rPr>
        <w:t> </w:t>
      </w:r>
      <w:r>
        <w:rPr>
          <w:color w:val="231F20"/>
        </w:rPr>
        <w:t>notepad</w:t>
      </w:r>
      <w:r>
        <w:rPr>
          <w:color w:val="231F20"/>
          <w:spacing w:val="12"/>
        </w:rPr>
        <w:t> </w:t>
      </w:r>
      <w:r>
        <w:rPr>
          <w:color w:val="231F20"/>
        </w:rPr>
        <w:t>view</w:t>
      </w:r>
      <w:r>
        <w:rPr>
          <w:color w:val="231F20"/>
          <w:spacing w:val="12"/>
        </w:rPr>
        <w:t> </w:t>
      </w:r>
      <w:r>
        <w:rPr>
          <w:color w:val="231F20"/>
        </w:rPr>
        <w:t>gives</w:t>
      </w:r>
      <w:r>
        <w:rPr>
          <w:color w:val="231F20"/>
          <w:spacing w:val="12"/>
        </w:rPr>
        <w:t> </w:t>
      </w:r>
      <w:r>
        <w:rPr>
          <w:color w:val="231F20"/>
        </w:rPr>
        <w:t>you</w:t>
      </w:r>
      <w:r>
        <w:rPr>
          <w:color w:val="231F20"/>
          <w:spacing w:val="12"/>
        </w:rPr>
        <w:t> </w:t>
      </w:r>
      <w:r>
        <w:rPr>
          <w:color w:val="231F20"/>
        </w:rPr>
        <w:t>a</w:t>
      </w:r>
      <w:r>
        <w:rPr>
          <w:color w:val="231F20"/>
          <w:spacing w:val="12"/>
        </w:rPr>
        <w:t> </w:t>
      </w:r>
      <w:r>
        <w:rPr>
          <w:color w:val="231F20"/>
        </w:rPr>
        <w:t>text</w:t>
      </w:r>
      <w:r>
        <w:rPr>
          <w:color w:val="231F20"/>
          <w:spacing w:val="12"/>
        </w:rPr>
        <w:t> </w:t>
      </w:r>
      <w:r>
        <w:rPr>
          <w:color w:val="231F20"/>
        </w:rPr>
        <w:t>editor</w:t>
      </w:r>
      <w:r>
        <w:rPr>
          <w:color w:val="231F20"/>
          <w:spacing w:val="11"/>
        </w:rPr>
        <w:t> </w:t>
      </w:r>
      <w:r>
        <w:rPr>
          <w:color w:val="231F20"/>
        </w:rPr>
        <w:t>for</w:t>
      </w:r>
      <w:r>
        <w:rPr>
          <w:color w:val="231F20"/>
          <w:spacing w:val="12"/>
        </w:rPr>
        <w:t> </w:t>
      </w:r>
      <w:r>
        <w:rPr>
          <w:color w:val="231F20"/>
        </w:rPr>
        <w:t>writing</w:t>
      </w:r>
      <w:r>
        <w:rPr>
          <w:color w:val="231F20"/>
          <w:spacing w:val="12"/>
        </w:rPr>
        <w:t> </w:t>
      </w:r>
      <w:r>
        <w:rPr>
          <w:color w:val="231F20"/>
        </w:rPr>
        <w:t>about</w:t>
      </w:r>
      <w:r>
        <w:rPr>
          <w:color w:val="231F20"/>
          <w:spacing w:val="12"/>
        </w:rPr>
        <w:t> </w:t>
      </w:r>
      <w:r>
        <w:rPr>
          <w:color w:val="231F20"/>
        </w:rPr>
        <w:t>the</w:t>
      </w:r>
      <w:r>
        <w:rPr>
          <w:color w:val="231F20"/>
          <w:spacing w:val="12"/>
        </w:rPr>
        <w:t> </w:t>
      </w:r>
      <w:r>
        <w:rPr>
          <w:color w:val="231F20"/>
          <w:spacing w:val="-2"/>
        </w:rPr>
        <w:t>workspace.</w:t>
      </w:r>
    </w:p>
    <w:p>
      <w:pPr>
        <w:pStyle w:val="Heading4"/>
        <w:spacing w:before="19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pPr>
      <w:r>
        <w:rPr>
          <w:color w:val="231F20"/>
          <w:spacing w:val="-2"/>
        </w:rPr>
        <w:t>Procedure</w:t>
      </w:r>
    </w:p>
    <w:p>
      <w:pPr>
        <w:pStyle w:val="ListParagraph"/>
        <w:numPr>
          <w:ilvl w:val="0"/>
          <w:numId w:val="82"/>
        </w:numPr>
        <w:tabs>
          <w:tab w:pos="2547" w:val="left" w:leader="none"/>
        </w:tabs>
        <w:spacing w:line="240" w:lineRule="auto" w:before="39" w:after="0"/>
        <w:ind w:left="254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82"/>
        </w:numPr>
        <w:tabs>
          <w:tab w:pos="2548" w:val="left" w:leader="none"/>
        </w:tabs>
        <w:spacing w:line="213" w:lineRule="auto" w:before="52" w:after="0"/>
        <w:ind w:left="2548" w:right="404" w:hanging="316"/>
        <w:jc w:val="left"/>
        <w:rPr>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590" name="Image 1590"/>
            <wp:cNvGraphicFramePr>
              <a:graphicFrameLocks/>
            </wp:cNvGraphicFramePr>
            <a:graphic>
              <a:graphicData uri="http://schemas.openxmlformats.org/drawingml/2006/picture">
                <pic:pic>
                  <pic:nvPicPr>
                    <pic:cNvPr id="1590" name="Image 1590"/>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591" name="Image 1591"/>
            <wp:cNvGraphicFramePr>
              <a:graphicFrameLocks/>
            </wp:cNvGraphicFramePr>
            <a:graphic>
              <a:graphicData uri="http://schemas.openxmlformats.org/drawingml/2006/picture">
                <pic:pic>
                  <pic:nvPicPr>
                    <pic:cNvPr id="1591" name="Image 1591"/>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82"/>
        </w:numPr>
        <w:tabs>
          <w:tab w:pos="2546" w:val="left" w:leader="none"/>
          <w:tab w:pos="2548" w:val="left" w:leader="none"/>
        </w:tabs>
        <w:spacing w:line="213" w:lineRule="auto" w:before="58" w:after="0"/>
        <w:ind w:left="2548" w:right="635" w:hanging="317"/>
        <w:jc w:val="both"/>
        <w:rPr>
          <w:sz w:val="20"/>
        </w:rPr>
      </w:pPr>
      <w:r>
        <w:rPr>
          <w:color w:val="231F20"/>
          <w:sz w:val="20"/>
        </w:rPr>
        <w:t>Click </w:t>
      </w:r>
      <w:r>
        <w:rPr>
          <w:color w:val="231F20"/>
          <w:spacing w:val="-14"/>
          <w:position w:val="-1"/>
          <w:sz w:val="20"/>
        </w:rPr>
        <w:drawing>
          <wp:inline distT="0" distB="0" distL="0" distR="0">
            <wp:extent cx="82550" cy="101600"/>
            <wp:effectExtent l="0" t="0" r="0" b="0"/>
            <wp:docPr id="1592" name="Image 1592"/>
            <wp:cNvGraphicFramePr>
              <a:graphicFrameLocks/>
            </wp:cNvGraphicFramePr>
            <a:graphic>
              <a:graphicData uri="http://schemas.openxmlformats.org/drawingml/2006/picture">
                <pic:pic>
                  <pic:nvPicPr>
                    <pic:cNvPr id="1592" name="Image 1592"/>
                    <pic:cNvPicPr/>
                  </pic:nvPicPr>
                  <pic:blipFill>
                    <a:blip r:embed="rId49"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22"/>
          <w:sz w:val="20"/>
        </w:rPr>
        <w:t> </w:t>
      </w:r>
      <w:r>
        <w:rPr>
          <w:rFonts w:ascii="Book Antiqua"/>
          <w:b/>
          <w:color w:val="231F20"/>
          <w:sz w:val="20"/>
        </w:rPr>
        <w:t>Notepad</w:t>
      </w:r>
      <w:r>
        <w:rPr>
          <w:color w:val="231F20"/>
          <w:sz w:val="20"/>
        </w:rPr>
        <w:t>. The mouse pointer changes to the view icon (hand icon on Linux). If you get the wrong icon or decide not to add the view, press Escape</w:t>
      </w:r>
      <w:r>
        <w:rPr>
          <w:color w:val="231F20"/>
          <w:spacing w:val="40"/>
          <w:sz w:val="20"/>
        </w:rPr>
        <w:t> </w:t>
      </w:r>
      <w:r>
        <w:rPr>
          <w:color w:val="231F20"/>
          <w:sz w:val="20"/>
        </w:rPr>
        <w:t>or click somewhere in the toolbar.</w:t>
      </w:r>
    </w:p>
    <w:p>
      <w:pPr>
        <w:pStyle w:val="ListParagraph"/>
        <w:numPr>
          <w:ilvl w:val="0"/>
          <w:numId w:val="82"/>
        </w:numPr>
        <w:tabs>
          <w:tab w:pos="2548" w:val="left" w:leader="none"/>
        </w:tabs>
        <w:spacing w:line="213" w:lineRule="auto" w:before="58" w:after="0"/>
        <w:ind w:left="2548" w:right="859" w:hanging="316"/>
        <w:jc w:val="both"/>
        <w:rPr>
          <w:sz w:val="20"/>
        </w:rPr>
      </w:pPr>
      <w:r>
        <w:rPr>
          <w:color w:val="231F20"/>
          <w:sz w:val="20"/>
        </w:rPr>
        <w:t>Click inside the view where you want the notepad. After you click, the </w:t>
      </w:r>
      <w:r>
        <w:rPr>
          <w:color w:val="231F20"/>
          <w:sz w:val="20"/>
        </w:rPr>
        <w:t>old view is replaced by the notepad and a cursor is displayed.</w:t>
      </w:r>
    </w:p>
    <w:p>
      <w:pPr>
        <w:spacing w:after="0" w:line="213" w:lineRule="auto"/>
        <w:jc w:val="both"/>
        <w:rPr>
          <w:sz w:val="20"/>
        </w:rPr>
        <w:sectPr>
          <w:pgSz w:w="12240" w:h="15840"/>
          <w:pgMar w:header="0" w:footer="736" w:top="1180" w:bottom="920" w:left="1000" w:right="1060"/>
        </w:sectPr>
      </w:pPr>
    </w:p>
    <w:p>
      <w:pPr>
        <w:pStyle w:val="Heading4"/>
        <w:spacing w:before="86"/>
        <w:ind w:left="2472"/>
      </w:pPr>
      <w:bookmarkStart w:name="_bookmark124" w:id="274"/>
      <w:bookmarkEnd w:id="274"/>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258"/>
      </w:pPr>
      <w:r>
        <w:rPr>
          <w:color w:val="231F20"/>
        </w:rPr>
        <w:t>Type any text in the view. The standard text editing and cursor movement keys on your keyboard can be used with the notepad view.</w:t>
      </w:r>
    </w:p>
    <w:p>
      <w:pPr>
        <w:pStyle w:val="Heading6"/>
      </w:pPr>
      <w:r>
        <w:rPr>
          <w:color w:val="231F20"/>
          <w:spacing w:val="-2"/>
        </w:rPr>
        <w:t>Backspace</w:t>
      </w:r>
    </w:p>
    <w:p>
      <w:pPr>
        <w:pStyle w:val="BodyText"/>
        <w:spacing w:line="258" w:lineRule="exact"/>
        <w:ind w:left="168"/>
        <w:jc w:val="center"/>
      </w:pPr>
      <w:r>
        <w:rPr>
          <w:color w:val="231F20"/>
        </w:rPr>
        <w:t>Delete</w:t>
      </w:r>
      <w:r>
        <w:rPr>
          <w:color w:val="231F20"/>
          <w:spacing w:val="12"/>
        </w:rPr>
        <w:t> </w:t>
      </w:r>
      <w:r>
        <w:rPr>
          <w:color w:val="231F20"/>
        </w:rPr>
        <w:t>the</w:t>
      </w:r>
      <w:r>
        <w:rPr>
          <w:color w:val="231F20"/>
          <w:spacing w:val="12"/>
        </w:rPr>
        <w:t> </w:t>
      </w:r>
      <w:r>
        <w:rPr>
          <w:color w:val="231F20"/>
        </w:rPr>
        <w:t>character</w:t>
      </w:r>
      <w:r>
        <w:rPr>
          <w:color w:val="231F20"/>
          <w:spacing w:val="13"/>
        </w:rPr>
        <w:t> </w:t>
      </w:r>
      <w:r>
        <w:rPr>
          <w:color w:val="231F20"/>
        </w:rPr>
        <w:t>to</w:t>
      </w:r>
      <w:r>
        <w:rPr>
          <w:color w:val="231F20"/>
          <w:spacing w:val="12"/>
        </w:rPr>
        <w:t> </w:t>
      </w:r>
      <w:r>
        <w:rPr>
          <w:color w:val="231F20"/>
        </w:rPr>
        <w:t>the</w:t>
      </w:r>
      <w:r>
        <w:rPr>
          <w:color w:val="231F20"/>
          <w:spacing w:val="13"/>
        </w:rPr>
        <w:t> </w:t>
      </w:r>
      <w:r>
        <w:rPr>
          <w:color w:val="231F20"/>
        </w:rPr>
        <w:t>left</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spacing w:val="-2"/>
        </w:rPr>
        <w:t>cursor.</w:t>
      </w:r>
    </w:p>
    <w:p>
      <w:pPr>
        <w:pStyle w:val="BodyText"/>
        <w:spacing w:before="89"/>
        <w:ind w:left="2472"/>
      </w:pPr>
      <w:r>
        <w:rPr>
          <w:rFonts w:ascii="Book Antiqua"/>
          <w:b/>
          <w:color w:val="231F20"/>
        </w:rPr>
        <w:t>Delete</w:t>
      </w:r>
      <w:r>
        <w:rPr>
          <w:rFonts w:ascii="Book Antiqua"/>
          <w:b/>
          <w:color w:val="231F20"/>
          <w:spacing w:val="62"/>
        </w:rPr>
        <w:t> </w:t>
      </w:r>
      <w:r>
        <w:rPr>
          <w:color w:val="231F20"/>
        </w:rPr>
        <w:t>Delete</w:t>
      </w:r>
      <w:r>
        <w:rPr>
          <w:color w:val="231F20"/>
          <w:spacing w:val="12"/>
        </w:rPr>
        <w:t> </w:t>
      </w:r>
      <w:r>
        <w:rPr>
          <w:color w:val="231F20"/>
        </w:rPr>
        <w:t>the</w:t>
      </w:r>
      <w:r>
        <w:rPr>
          <w:color w:val="231F20"/>
          <w:spacing w:val="13"/>
        </w:rPr>
        <w:t> </w:t>
      </w:r>
      <w:r>
        <w:rPr>
          <w:color w:val="231F20"/>
        </w:rPr>
        <w:t>character</w:t>
      </w:r>
      <w:r>
        <w:rPr>
          <w:color w:val="231F20"/>
          <w:spacing w:val="12"/>
        </w:rPr>
        <w:t> </w:t>
      </w:r>
      <w:r>
        <w:rPr>
          <w:color w:val="231F20"/>
        </w:rPr>
        <w:t>to</w:t>
      </w:r>
      <w:r>
        <w:rPr>
          <w:color w:val="231F20"/>
          <w:spacing w:val="12"/>
        </w:rPr>
        <w:t> </w:t>
      </w:r>
      <w:r>
        <w:rPr>
          <w:color w:val="231F20"/>
        </w:rPr>
        <w:t>the</w:t>
      </w:r>
      <w:r>
        <w:rPr>
          <w:color w:val="231F20"/>
          <w:spacing w:val="13"/>
        </w:rPr>
        <w:t> </w:t>
      </w:r>
      <w:r>
        <w:rPr>
          <w:color w:val="231F20"/>
        </w:rPr>
        <w:t>right</w:t>
      </w:r>
      <w:r>
        <w:rPr>
          <w:color w:val="231F20"/>
          <w:spacing w:val="12"/>
        </w:rPr>
        <w:t> </w:t>
      </w:r>
      <w:r>
        <w:rPr>
          <w:color w:val="231F20"/>
        </w:rPr>
        <w:t>of</w:t>
      </w:r>
      <w:r>
        <w:rPr>
          <w:color w:val="231F20"/>
          <w:spacing w:val="12"/>
        </w:rPr>
        <w:t> </w:t>
      </w:r>
      <w:r>
        <w:rPr>
          <w:color w:val="231F20"/>
        </w:rPr>
        <w:t>the</w:t>
      </w:r>
      <w:r>
        <w:rPr>
          <w:color w:val="231F20"/>
          <w:spacing w:val="13"/>
        </w:rPr>
        <w:t> </w:t>
      </w:r>
      <w:r>
        <w:rPr>
          <w:color w:val="231F20"/>
          <w:spacing w:val="-2"/>
        </w:rPr>
        <w:t>cursor.</w:t>
      </w:r>
    </w:p>
    <w:p>
      <w:pPr>
        <w:pStyle w:val="Heading6"/>
        <w:spacing w:line="240" w:lineRule="auto" w:before="111"/>
      </w:pPr>
      <w:r>
        <w:rPr>
          <w:color w:val="231F20"/>
          <w:spacing w:val="-2"/>
        </w:rPr>
        <w:t>Arrows</w:t>
      </w:r>
    </w:p>
    <w:p>
      <w:pPr>
        <w:pStyle w:val="BodyText"/>
        <w:spacing w:line="247" w:lineRule="exact"/>
        <w:ind w:left="3190"/>
      </w:pPr>
      <w:r>
        <w:rPr>
          <w:color w:val="231F20"/>
        </w:rPr>
        <w:t>Move</w:t>
      </w:r>
      <w:r>
        <w:rPr>
          <w:color w:val="231F20"/>
          <w:spacing w:val="12"/>
        </w:rPr>
        <w:t> </w:t>
      </w:r>
      <w:r>
        <w:rPr>
          <w:color w:val="231F20"/>
        </w:rPr>
        <w:t>the</w:t>
      </w:r>
      <w:r>
        <w:rPr>
          <w:color w:val="231F20"/>
          <w:spacing w:val="12"/>
        </w:rPr>
        <w:t> </w:t>
      </w:r>
      <w:r>
        <w:rPr>
          <w:color w:val="231F20"/>
        </w:rPr>
        <w:t>cursor</w:t>
      </w:r>
      <w:r>
        <w:rPr>
          <w:color w:val="231F20"/>
          <w:spacing w:val="13"/>
        </w:rPr>
        <w:t> </w:t>
      </w:r>
      <w:r>
        <w:rPr>
          <w:color w:val="231F20"/>
        </w:rPr>
        <w:t>left</w:t>
      </w:r>
      <w:r>
        <w:rPr>
          <w:color w:val="231F20"/>
          <w:spacing w:val="12"/>
        </w:rPr>
        <w:t> </w:t>
      </w:r>
      <w:r>
        <w:rPr>
          <w:color w:val="231F20"/>
        </w:rPr>
        <w:t>or</w:t>
      </w:r>
      <w:r>
        <w:rPr>
          <w:color w:val="231F20"/>
          <w:spacing w:val="13"/>
        </w:rPr>
        <w:t> </w:t>
      </w:r>
      <w:r>
        <w:rPr>
          <w:color w:val="231F20"/>
        </w:rPr>
        <w:t>right</w:t>
      </w:r>
      <w:r>
        <w:rPr>
          <w:color w:val="231F20"/>
          <w:spacing w:val="12"/>
        </w:rPr>
        <w:t> </w:t>
      </w:r>
      <w:r>
        <w:rPr>
          <w:color w:val="231F20"/>
        </w:rPr>
        <w:t>one</w:t>
      </w:r>
      <w:r>
        <w:rPr>
          <w:color w:val="231F20"/>
          <w:spacing w:val="13"/>
        </w:rPr>
        <w:t> </w:t>
      </w:r>
      <w:r>
        <w:rPr>
          <w:color w:val="231F20"/>
        </w:rPr>
        <w:t>space,</w:t>
      </w:r>
      <w:r>
        <w:rPr>
          <w:color w:val="231F20"/>
          <w:spacing w:val="12"/>
        </w:rPr>
        <w:t> </w:t>
      </w:r>
      <w:r>
        <w:rPr>
          <w:color w:val="231F20"/>
        </w:rPr>
        <w:t>or</w:t>
      </w:r>
      <w:r>
        <w:rPr>
          <w:color w:val="231F20"/>
          <w:spacing w:val="13"/>
        </w:rPr>
        <w:t> </w:t>
      </w:r>
      <w:r>
        <w:rPr>
          <w:color w:val="231F20"/>
        </w:rPr>
        <w:t>up</w:t>
      </w:r>
      <w:r>
        <w:rPr>
          <w:color w:val="231F20"/>
          <w:spacing w:val="12"/>
        </w:rPr>
        <w:t> </w:t>
      </w:r>
      <w:r>
        <w:rPr>
          <w:color w:val="231F20"/>
        </w:rPr>
        <w:t>or</w:t>
      </w:r>
      <w:r>
        <w:rPr>
          <w:color w:val="231F20"/>
          <w:spacing w:val="13"/>
        </w:rPr>
        <w:t> </w:t>
      </w:r>
      <w:r>
        <w:rPr>
          <w:color w:val="231F20"/>
        </w:rPr>
        <w:t>down</w:t>
      </w:r>
      <w:r>
        <w:rPr>
          <w:color w:val="231F20"/>
          <w:spacing w:val="12"/>
        </w:rPr>
        <w:t> </w:t>
      </w:r>
      <w:r>
        <w:rPr>
          <w:color w:val="231F20"/>
        </w:rPr>
        <w:t>one</w:t>
      </w:r>
      <w:r>
        <w:rPr>
          <w:color w:val="231F20"/>
          <w:spacing w:val="13"/>
        </w:rPr>
        <w:t> </w:t>
      </w:r>
      <w:r>
        <w:rPr>
          <w:color w:val="231F20"/>
          <w:spacing w:val="-2"/>
        </w:rPr>
        <w:t>line.</w:t>
      </w:r>
    </w:p>
    <w:p>
      <w:pPr>
        <w:pStyle w:val="BodyText"/>
        <w:spacing w:before="89"/>
        <w:ind w:left="2472"/>
      </w:pPr>
      <w:r>
        <w:rPr>
          <w:rFonts w:ascii="Book Antiqua"/>
          <w:b/>
          <w:color w:val="231F20"/>
        </w:rPr>
        <w:t>Home</w:t>
      </w:r>
      <w:r>
        <w:rPr>
          <w:rFonts w:ascii="Book Antiqua"/>
          <w:b/>
          <w:color w:val="231F20"/>
          <w:spacing w:val="27"/>
        </w:rPr>
        <w:t>  </w:t>
      </w:r>
      <w:r>
        <w:rPr>
          <w:color w:val="231F20"/>
        </w:rPr>
        <w:t>Move</w:t>
      </w:r>
      <w:r>
        <w:rPr>
          <w:color w:val="231F20"/>
          <w:spacing w:val="13"/>
        </w:rPr>
        <w:t> </w:t>
      </w:r>
      <w:r>
        <w:rPr>
          <w:color w:val="231F20"/>
        </w:rPr>
        <w:t>the</w:t>
      </w:r>
      <w:r>
        <w:rPr>
          <w:color w:val="231F20"/>
          <w:spacing w:val="13"/>
        </w:rPr>
        <w:t> </w:t>
      </w:r>
      <w:r>
        <w:rPr>
          <w:color w:val="231F20"/>
        </w:rPr>
        <w:t>cursor</w:t>
      </w:r>
      <w:r>
        <w:rPr>
          <w:color w:val="231F20"/>
          <w:spacing w:val="12"/>
        </w:rPr>
        <w:t> </w:t>
      </w:r>
      <w:r>
        <w:rPr>
          <w:color w:val="231F20"/>
        </w:rPr>
        <w:t>to</w:t>
      </w:r>
      <w:r>
        <w:rPr>
          <w:color w:val="231F20"/>
          <w:spacing w:val="13"/>
        </w:rPr>
        <w:t> </w:t>
      </w:r>
      <w:r>
        <w:rPr>
          <w:color w:val="231F20"/>
        </w:rPr>
        <w:t>the</w:t>
      </w:r>
      <w:r>
        <w:rPr>
          <w:color w:val="231F20"/>
          <w:spacing w:val="12"/>
        </w:rPr>
        <w:t> </w:t>
      </w:r>
      <w:r>
        <w:rPr>
          <w:color w:val="231F20"/>
        </w:rPr>
        <w:t>beginning</w:t>
      </w:r>
      <w:r>
        <w:rPr>
          <w:color w:val="231F20"/>
          <w:spacing w:val="13"/>
        </w:rPr>
        <w:t> </w:t>
      </w:r>
      <w:r>
        <w:rPr>
          <w:color w:val="231F20"/>
        </w:rPr>
        <w:t>of</w:t>
      </w:r>
      <w:r>
        <w:rPr>
          <w:color w:val="231F20"/>
          <w:spacing w:val="12"/>
        </w:rPr>
        <w:t> </w:t>
      </w:r>
      <w:r>
        <w:rPr>
          <w:color w:val="231F20"/>
        </w:rPr>
        <w:t>the</w:t>
      </w:r>
      <w:r>
        <w:rPr>
          <w:color w:val="231F20"/>
          <w:spacing w:val="12"/>
        </w:rPr>
        <w:t> </w:t>
      </w:r>
      <w:r>
        <w:rPr>
          <w:color w:val="231F20"/>
          <w:spacing w:val="-4"/>
        </w:rPr>
        <w:t>line.</w:t>
      </w:r>
    </w:p>
    <w:p>
      <w:pPr>
        <w:pStyle w:val="BodyText"/>
        <w:tabs>
          <w:tab w:pos="3190" w:val="left" w:leader="none"/>
        </w:tabs>
        <w:spacing w:before="89"/>
        <w:ind w:left="2472"/>
      </w:pPr>
      <w:r>
        <w:rPr>
          <w:rFonts w:ascii="Book Antiqua"/>
          <w:b/>
          <w:color w:val="231F20"/>
          <w:spacing w:val="-5"/>
        </w:rPr>
        <w:t>End</w:t>
      </w:r>
      <w:r>
        <w:rPr>
          <w:rFonts w:ascii="Book Antiqua"/>
          <w:b/>
          <w:color w:val="231F20"/>
        </w:rPr>
        <w:tab/>
      </w:r>
      <w:r>
        <w:rPr>
          <w:color w:val="231F20"/>
        </w:rPr>
        <w:t>Move</w:t>
      </w:r>
      <w:r>
        <w:rPr>
          <w:color w:val="231F20"/>
          <w:spacing w:val="12"/>
        </w:rPr>
        <w:t> </w:t>
      </w:r>
      <w:r>
        <w:rPr>
          <w:color w:val="231F20"/>
        </w:rPr>
        <w:t>the</w:t>
      </w:r>
      <w:r>
        <w:rPr>
          <w:color w:val="231F20"/>
          <w:spacing w:val="13"/>
        </w:rPr>
        <w:t> </w:t>
      </w:r>
      <w:r>
        <w:rPr>
          <w:color w:val="231F20"/>
        </w:rPr>
        <w:t>cursor</w:t>
      </w:r>
      <w:r>
        <w:rPr>
          <w:color w:val="231F20"/>
          <w:spacing w:val="13"/>
        </w:rPr>
        <w:t> </w:t>
      </w:r>
      <w:r>
        <w:rPr>
          <w:color w:val="231F20"/>
        </w:rPr>
        <w:t>to</w:t>
      </w:r>
      <w:r>
        <w:rPr>
          <w:color w:val="231F20"/>
          <w:spacing w:val="13"/>
        </w:rPr>
        <w:t> </w:t>
      </w:r>
      <w:r>
        <w:rPr>
          <w:color w:val="231F20"/>
        </w:rPr>
        <w:t>the</w:t>
      </w:r>
      <w:r>
        <w:rPr>
          <w:color w:val="231F20"/>
          <w:spacing w:val="12"/>
        </w:rPr>
        <w:t> </w:t>
      </w:r>
      <w:r>
        <w:rPr>
          <w:color w:val="231F20"/>
        </w:rPr>
        <w:t>end</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spacing w:val="-2"/>
        </w:rPr>
        <w:t>line.</w:t>
      </w:r>
    </w:p>
    <w:p>
      <w:pPr>
        <w:pStyle w:val="BodyText"/>
        <w:spacing w:line="213" w:lineRule="auto" w:before="233"/>
        <w:ind w:left="2472" w:right="196"/>
        <w:jc w:val="both"/>
      </w:pPr>
      <w:r>
        <w:rPr>
          <w:color w:val="231F20"/>
        </w:rPr>
        <w:t>When you are finished, save (or File &gt; Save As) the workspace if you want to </w:t>
      </w:r>
      <w:r>
        <w:rPr>
          <w:color w:val="231F20"/>
        </w:rPr>
        <w:t>keep the notepad view and the text you entered.</w:t>
      </w:r>
    </w:p>
    <w:p>
      <w:pPr>
        <w:pStyle w:val="BodyText"/>
        <w:spacing w:before="5"/>
        <w:rPr>
          <w:sz w:val="16"/>
        </w:rPr>
      </w:pPr>
      <w:r>
        <w:rPr/>
        <mc:AlternateContent>
          <mc:Choice Requires="wps">
            <w:drawing>
              <wp:anchor distT="0" distB="0" distL="0" distR="0" allowOverlap="1" layoutInCell="1" locked="0" behindDoc="1" simplePos="0" relativeHeight="487698944">
                <wp:simplePos x="0" y="0"/>
                <wp:positionH relativeFrom="page">
                  <wp:posOffset>912380</wp:posOffset>
                </wp:positionH>
                <wp:positionV relativeFrom="paragraph">
                  <wp:posOffset>155795</wp:posOffset>
                </wp:positionV>
                <wp:extent cx="6082665" cy="1270"/>
                <wp:effectExtent l="0" t="0" r="0" b="0"/>
                <wp:wrapTopAndBottom/>
                <wp:docPr id="1593" name="Graphic 1593"/>
                <wp:cNvGraphicFramePr>
                  <a:graphicFrameLocks/>
                </wp:cNvGraphicFramePr>
                <a:graphic>
                  <a:graphicData uri="http://schemas.microsoft.com/office/word/2010/wordprocessingShape">
                    <wps:wsp>
                      <wps:cNvPr id="1593" name="Graphic 1593"/>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7374pt;width:478.95pt;height:.1pt;mso-position-horizontal-relative:page;mso-position-vertical-relative:paragraph;z-index:-15617536;mso-wrap-distance-left:0;mso-wrap-distance-right:0" id="docshape164"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Creating a take action view" w:id="275"/>
      <w:bookmarkEnd w:id="275"/>
      <w:r>
        <w:rPr>
          <w:b w:val="0"/>
        </w:rPr>
      </w:r>
      <w:r>
        <w:rPr>
          <w:color w:val="231F20"/>
        </w:rPr>
        <w:t>Creating</w:t>
      </w:r>
      <w:r>
        <w:rPr>
          <w:color w:val="231F20"/>
          <w:spacing w:val="8"/>
        </w:rPr>
        <w:t> </w:t>
      </w:r>
      <w:r>
        <w:rPr>
          <w:color w:val="231F20"/>
        </w:rPr>
        <w:t>a</w:t>
      </w:r>
      <w:r>
        <w:rPr>
          <w:color w:val="231F20"/>
          <w:spacing w:val="8"/>
        </w:rPr>
        <w:t> </w:t>
      </w:r>
      <w:r>
        <w:rPr>
          <w:color w:val="231F20"/>
        </w:rPr>
        <w:t>take</w:t>
      </w:r>
      <w:r>
        <w:rPr>
          <w:color w:val="231F20"/>
          <w:spacing w:val="8"/>
        </w:rPr>
        <w:t> </w:t>
      </w:r>
      <w:r>
        <w:rPr>
          <w:color w:val="231F20"/>
        </w:rPr>
        <w:t>action</w:t>
      </w:r>
      <w:r>
        <w:rPr>
          <w:color w:val="231F20"/>
          <w:spacing w:val="9"/>
        </w:rPr>
        <w:t> </w:t>
      </w:r>
      <w:r>
        <w:rPr>
          <w:color w:val="231F20"/>
          <w:spacing w:val="-4"/>
        </w:rPr>
        <w:t>view</w:t>
      </w:r>
    </w:p>
    <w:p>
      <w:pPr>
        <w:pStyle w:val="BodyText"/>
        <w:spacing w:line="213" w:lineRule="auto" w:before="138"/>
        <w:ind w:left="2472" w:right="266"/>
        <w:jc w:val="both"/>
      </w:pPr>
      <w:r>
        <w:rPr>
          <w:color w:val="231F20"/>
        </w:rPr>
        <w:t>Tivoli Enterprise Portal enables you to interact directly with your applications </w:t>
      </w:r>
      <w:r>
        <w:rPr>
          <w:color w:val="231F20"/>
        </w:rPr>
        <w:t>and operating system through its take action feature. You can use the take action view</w:t>
      </w:r>
      <w:r>
        <w:rPr>
          <w:color w:val="231F20"/>
          <w:spacing w:val="40"/>
        </w:rPr>
        <w:t> </w:t>
      </w:r>
      <w:r>
        <w:rPr>
          <w:color w:val="231F20"/>
        </w:rPr>
        <w:t>to</w:t>
      </w:r>
      <w:r>
        <w:rPr>
          <w:color w:val="231F20"/>
          <w:spacing w:val="26"/>
        </w:rPr>
        <w:t> </w:t>
      </w:r>
      <w:r>
        <w:rPr>
          <w:color w:val="231F20"/>
        </w:rPr>
        <w:t>enter</w:t>
      </w:r>
      <w:r>
        <w:rPr>
          <w:color w:val="231F20"/>
          <w:spacing w:val="26"/>
        </w:rPr>
        <w:t> </w:t>
      </w:r>
      <w:r>
        <w:rPr>
          <w:color w:val="231F20"/>
        </w:rPr>
        <w:t>a</w:t>
      </w:r>
      <w:r>
        <w:rPr>
          <w:color w:val="231F20"/>
          <w:spacing w:val="26"/>
        </w:rPr>
        <w:t> </w:t>
      </w:r>
      <w:r>
        <w:rPr>
          <w:color w:val="231F20"/>
        </w:rPr>
        <w:t>system</w:t>
      </w:r>
      <w:r>
        <w:rPr>
          <w:color w:val="231F20"/>
          <w:spacing w:val="26"/>
        </w:rPr>
        <w:t> </w:t>
      </w:r>
      <w:r>
        <w:rPr>
          <w:color w:val="231F20"/>
        </w:rPr>
        <w:t>command</w:t>
      </w:r>
      <w:r>
        <w:rPr>
          <w:color w:val="231F20"/>
          <w:spacing w:val="26"/>
        </w:rPr>
        <w:t> </w:t>
      </w:r>
      <w:r>
        <w:rPr>
          <w:color w:val="231F20"/>
        </w:rPr>
        <w:t>or</w:t>
      </w:r>
      <w:r>
        <w:rPr>
          <w:color w:val="231F20"/>
          <w:spacing w:val="26"/>
        </w:rPr>
        <w:t> </w:t>
      </w:r>
      <w:r>
        <w:rPr>
          <w:color w:val="231F20"/>
        </w:rPr>
        <w:t>to</w:t>
      </w:r>
      <w:r>
        <w:rPr>
          <w:color w:val="231F20"/>
          <w:spacing w:val="26"/>
        </w:rPr>
        <w:t> </w:t>
      </w:r>
      <w:r>
        <w:rPr>
          <w:color w:val="231F20"/>
        </w:rPr>
        <w:t>stop</w:t>
      </w:r>
      <w:r>
        <w:rPr>
          <w:color w:val="231F20"/>
          <w:spacing w:val="26"/>
        </w:rPr>
        <w:t> </w:t>
      </w:r>
      <w:r>
        <w:rPr>
          <w:color w:val="231F20"/>
        </w:rPr>
        <w:t>or</w:t>
      </w:r>
      <w:r>
        <w:rPr>
          <w:color w:val="231F20"/>
          <w:spacing w:val="26"/>
        </w:rPr>
        <w:t> </w:t>
      </w:r>
      <w:r>
        <w:rPr>
          <w:color w:val="231F20"/>
        </w:rPr>
        <w:t>start</w:t>
      </w:r>
      <w:r>
        <w:rPr>
          <w:color w:val="231F20"/>
          <w:spacing w:val="26"/>
        </w:rPr>
        <w:t> </w:t>
      </w:r>
      <w:r>
        <w:rPr>
          <w:color w:val="231F20"/>
        </w:rPr>
        <w:t>a</w:t>
      </w:r>
      <w:r>
        <w:rPr>
          <w:color w:val="231F20"/>
          <w:spacing w:val="26"/>
        </w:rPr>
        <w:t> </w:t>
      </w:r>
      <w:r>
        <w:rPr>
          <w:color w:val="231F20"/>
        </w:rPr>
        <w:t>process</w:t>
      </w:r>
      <w:r>
        <w:rPr>
          <w:color w:val="231F20"/>
          <w:spacing w:val="26"/>
        </w:rPr>
        <w:t> </w:t>
      </w:r>
      <w:r>
        <w:rPr>
          <w:color w:val="231F20"/>
        </w:rPr>
        <w:t>at</w:t>
      </w:r>
      <w:r>
        <w:rPr>
          <w:color w:val="231F20"/>
          <w:spacing w:val="26"/>
        </w:rPr>
        <w:t> </w:t>
      </w:r>
      <w:r>
        <w:rPr>
          <w:color w:val="231F20"/>
        </w:rPr>
        <w:t>the</w:t>
      </w:r>
      <w:r>
        <w:rPr>
          <w:color w:val="231F20"/>
          <w:spacing w:val="26"/>
        </w:rPr>
        <w:t> </w:t>
      </w:r>
      <w:r>
        <w:rPr>
          <w:color w:val="231F20"/>
        </w:rPr>
        <w:t>system.</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ind w:left="2472"/>
      </w:pPr>
      <w:r>
        <w:rPr>
          <w:color w:val="231F20"/>
          <w:spacing w:val="-2"/>
        </w:rPr>
        <w:t>Procedure</w:t>
      </w:r>
    </w:p>
    <w:p>
      <w:pPr>
        <w:pStyle w:val="ListParagraph"/>
        <w:numPr>
          <w:ilvl w:val="1"/>
          <w:numId w:val="82"/>
        </w:numPr>
        <w:tabs>
          <w:tab w:pos="2787" w:val="left" w:leader="none"/>
        </w:tabs>
        <w:spacing w:line="240" w:lineRule="auto" w:before="38" w:after="0"/>
        <w:ind w:left="2787" w:right="0" w:hanging="315"/>
        <w:jc w:val="left"/>
        <w:rPr>
          <w:rFonts w:ascii="Arial"/>
          <w:color w:val="231F20"/>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1"/>
          <w:numId w:val="82"/>
        </w:numPr>
        <w:tabs>
          <w:tab w:pos="2788" w:val="left" w:leader="none"/>
        </w:tabs>
        <w:spacing w:line="213" w:lineRule="auto" w:before="53" w:after="0"/>
        <w:ind w:left="2788" w:right="164" w:hanging="316"/>
        <w:jc w:val="left"/>
        <w:rPr>
          <w:rFonts w:ascii="Arial"/>
          <w:color w:val="231F20"/>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594" name="Image 1594"/>
            <wp:cNvGraphicFramePr>
              <a:graphicFrameLocks/>
            </wp:cNvGraphicFramePr>
            <a:graphic>
              <a:graphicData uri="http://schemas.openxmlformats.org/drawingml/2006/picture">
                <pic:pic>
                  <pic:nvPicPr>
                    <pic:cNvPr id="1594" name="Image 1594"/>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595" name="Image 1595"/>
            <wp:cNvGraphicFramePr>
              <a:graphicFrameLocks/>
            </wp:cNvGraphicFramePr>
            <a:graphic>
              <a:graphicData uri="http://schemas.openxmlformats.org/drawingml/2006/picture">
                <pic:pic>
                  <pic:nvPicPr>
                    <pic:cNvPr id="1595" name="Image 1595"/>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1"/>
          <w:numId w:val="82"/>
        </w:numPr>
        <w:tabs>
          <w:tab w:pos="2786" w:val="left" w:leader="none"/>
          <w:tab w:pos="2788" w:val="left" w:leader="none"/>
        </w:tabs>
        <w:spacing w:line="211" w:lineRule="auto" w:before="66" w:after="0"/>
        <w:ind w:left="2788" w:right="411" w:hanging="317"/>
        <w:jc w:val="left"/>
        <w:rPr>
          <w:rFonts w:ascii="Arial"/>
          <w:color w:val="231F20"/>
          <w:position w:val="1"/>
          <w:sz w:val="20"/>
        </w:rPr>
      </w:pPr>
      <w:r>
        <w:rPr>
          <w:color w:val="231F20"/>
          <w:position w:val="1"/>
          <w:sz w:val="20"/>
        </w:rPr>
        <w:t>Click</w:t>
      </w:r>
      <w:r>
        <w:rPr>
          <w:color w:val="231F20"/>
          <w:spacing w:val="28"/>
          <w:position w:val="1"/>
          <w:sz w:val="20"/>
        </w:rPr>
        <w:t> </w:t>
      </w:r>
      <w:r>
        <w:rPr>
          <w:color w:val="231F20"/>
          <w:spacing w:val="-14"/>
          <w:sz w:val="20"/>
        </w:rPr>
        <w:drawing>
          <wp:inline distT="0" distB="0" distL="0" distR="0">
            <wp:extent cx="76200" cy="95250"/>
            <wp:effectExtent l="0" t="0" r="0" b="0"/>
            <wp:docPr id="1596" name="Image 1596"/>
            <wp:cNvGraphicFramePr>
              <a:graphicFrameLocks/>
            </wp:cNvGraphicFramePr>
            <a:graphic>
              <a:graphicData uri="http://schemas.openxmlformats.org/drawingml/2006/picture">
                <pic:pic>
                  <pic:nvPicPr>
                    <pic:cNvPr id="1596" name="Image 1596"/>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4"/>
          <w:sz w:val="20"/>
        </w:rPr>
      </w:r>
      <w:r>
        <w:rPr>
          <w:rFonts w:ascii="Times New Roman"/>
          <w:color w:val="231F20"/>
          <w:spacing w:val="25"/>
          <w:position w:val="1"/>
          <w:sz w:val="20"/>
        </w:rPr>
        <w:t> </w:t>
      </w:r>
      <w:r>
        <w:rPr>
          <w:rFonts w:ascii="Book Antiqua"/>
          <w:b/>
          <w:color w:val="231F20"/>
          <w:position w:val="1"/>
          <w:sz w:val="20"/>
        </w:rPr>
        <w:t>Take Action</w:t>
      </w:r>
      <w:r>
        <w:rPr>
          <w:color w:val="231F20"/>
          <w:position w:val="1"/>
          <w:sz w:val="20"/>
        </w:rPr>
        <w:t>. The mouse pointer changes to the view icon (hand </w:t>
      </w:r>
      <w:r>
        <w:rPr>
          <w:color w:val="231F20"/>
          <w:position w:val="1"/>
          <w:sz w:val="20"/>
        </w:rPr>
        <w:t>icon </w:t>
      </w:r>
      <w:r>
        <w:rPr>
          <w:color w:val="231F20"/>
          <w:sz w:val="20"/>
        </w:rPr>
        <w:t>on Linux). If you get the wrong icon or decide not to add the view, press Escape or click somewhere in the toolbar.</w:t>
      </w:r>
    </w:p>
    <w:p>
      <w:pPr>
        <w:pStyle w:val="ListParagraph"/>
        <w:numPr>
          <w:ilvl w:val="1"/>
          <w:numId w:val="82"/>
        </w:numPr>
        <w:tabs>
          <w:tab w:pos="2788" w:val="left" w:leader="none"/>
        </w:tabs>
        <w:spacing w:line="213" w:lineRule="auto" w:before="58" w:after="0"/>
        <w:ind w:left="2788" w:right="247" w:hanging="316"/>
        <w:jc w:val="left"/>
        <w:rPr>
          <w:rFonts w:ascii="Arial"/>
          <w:color w:val="231F20"/>
          <w:sz w:val="20"/>
        </w:rPr>
      </w:pPr>
      <w:r>
        <w:rPr>
          <w:color w:val="231F20"/>
          <w:sz w:val="20"/>
        </w:rPr>
        <w:t>Click inside the view where you want the take action view. After you click, the old view is replaced by the take action view.</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545"/>
      </w:pPr>
      <w:r>
        <w:rPr>
          <w:color w:val="231F20"/>
        </w:rPr>
        <w:t>If you want to keep the take action view in this workspace for future work sessions, either click</w:t>
      </w:r>
      <w:r>
        <w:rPr>
          <w:color w:val="231F20"/>
          <w:spacing w:val="19"/>
        </w:rPr>
        <w:t> </w:t>
      </w:r>
      <w:r>
        <w:rPr>
          <w:color w:val="231F20"/>
          <w:spacing w:val="-24"/>
          <w:position w:val="-1"/>
        </w:rPr>
        <w:drawing>
          <wp:inline distT="0" distB="0" distL="0" distR="0">
            <wp:extent cx="95250" cy="95250"/>
            <wp:effectExtent l="0" t="0" r="0" b="0"/>
            <wp:docPr id="1597" name="Image 1597"/>
            <wp:cNvGraphicFramePr>
              <a:graphicFrameLocks/>
            </wp:cNvGraphicFramePr>
            <a:graphic>
              <a:graphicData uri="http://schemas.openxmlformats.org/drawingml/2006/picture">
                <pic:pic>
                  <pic:nvPicPr>
                    <pic:cNvPr id="1597" name="Image 1597"/>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6"/>
        </w:rPr>
        <w:t> </w:t>
      </w:r>
      <w:r>
        <w:rPr>
          <w:rFonts w:ascii="Book Antiqua"/>
          <w:b/>
          <w:color w:val="231F20"/>
        </w:rPr>
        <w:t>Save </w:t>
      </w:r>
      <w:r>
        <w:rPr>
          <w:color w:val="231F20"/>
        </w:rPr>
        <w:t>to update the workspace properties with the </w:t>
      </w:r>
      <w:r>
        <w:rPr>
          <w:color w:val="231F20"/>
        </w:rPr>
        <w:t>new view, or click </w:t>
      </w:r>
      <w:r>
        <w:rPr>
          <w:rFonts w:ascii="Book Antiqua"/>
          <w:b/>
          <w:color w:val="231F20"/>
        </w:rPr>
        <w:t>File </w:t>
      </w:r>
      <w:r>
        <w:rPr>
          <w:color w:val="231F20"/>
        </w:rPr>
        <w:t>&gt; </w:t>
      </w:r>
      <w:r>
        <w:rPr>
          <w:rFonts w:ascii="Book Antiqua"/>
          <w:b/>
          <w:color w:val="231F20"/>
        </w:rPr>
        <w:t>Save Workspace As </w:t>
      </w:r>
      <w:r>
        <w:rPr>
          <w:color w:val="231F20"/>
        </w:rPr>
        <w:t>to save this as a new workspace and</w:t>
      </w:r>
      <w:r>
        <w:rPr>
          <w:color w:val="231F20"/>
          <w:spacing w:val="40"/>
        </w:rPr>
        <w:t> </w:t>
      </w:r>
      <w:r>
        <w:rPr>
          <w:color w:val="231F20"/>
        </w:rPr>
        <w:t>leave the original unchanged.</w:t>
      </w:r>
    </w:p>
    <w:p>
      <w:pPr>
        <w:pStyle w:val="BodyText"/>
        <w:spacing w:before="1"/>
        <w:rPr>
          <w:sz w:val="18"/>
        </w:rPr>
      </w:pPr>
    </w:p>
    <w:p>
      <w:pPr>
        <w:pStyle w:val="BodyText"/>
        <w:spacing w:line="20" w:lineRule="exact"/>
        <w:ind w:left="436"/>
        <w:rPr>
          <w:sz w:val="2"/>
        </w:rPr>
      </w:pPr>
      <w:r>
        <w:rPr>
          <w:sz w:val="2"/>
        </w:rPr>
        <mc:AlternateContent>
          <mc:Choice Requires="wps">
            <w:drawing>
              <wp:inline distT="0" distB="0" distL="0" distR="0">
                <wp:extent cx="6082665" cy="6350"/>
                <wp:effectExtent l="9525" t="0" r="0" b="3175"/>
                <wp:docPr id="1598" name="Group 1598"/>
                <wp:cNvGraphicFramePr>
                  <a:graphicFrameLocks/>
                </wp:cNvGraphicFramePr>
                <a:graphic>
                  <a:graphicData uri="http://schemas.microsoft.com/office/word/2010/wordprocessingGroup">
                    <wpg:wgp>
                      <wpg:cNvPr id="1598" name="Group 1598"/>
                      <wpg:cNvGrpSpPr/>
                      <wpg:grpSpPr>
                        <a:xfrm>
                          <a:off x="0" y="0"/>
                          <a:ext cx="6082665" cy="6350"/>
                          <a:chExt cx="6082665" cy="6350"/>
                        </a:xfrm>
                      </wpg:grpSpPr>
                      <wps:wsp>
                        <wps:cNvPr id="1599" name="Graphic 1599"/>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165" coordorigin="0,0" coordsize="9579,10">
                <v:line style="position:absolute" from="0,5" to="9579,5" stroked="true" strokeweight=".499pt" strokecolor="#231f20">
                  <v:stroke dashstyle="solid"/>
                </v:line>
              </v:group>
            </w:pict>
          </mc:Fallback>
        </mc:AlternateContent>
      </w:r>
      <w:r>
        <w:rPr>
          <w:sz w:val="2"/>
        </w:rPr>
      </w:r>
    </w:p>
    <w:p>
      <w:pPr>
        <w:spacing w:after="0" w:line="20" w:lineRule="exact"/>
        <w:rPr>
          <w:sz w:val="2"/>
        </w:rPr>
        <w:sectPr>
          <w:pgSz w:w="12240" w:h="15840"/>
          <w:pgMar w:header="0" w:footer="736" w:top="1140" w:bottom="920" w:left="1000" w:right="1060"/>
        </w:sectPr>
      </w:pPr>
    </w:p>
    <w:p>
      <w:pPr>
        <w:pStyle w:val="Heading3"/>
        <w:spacing w:before="11"/>
      </w:pPr>
      <w:bookmarkStart w:name="Terminal view" w:id="276"/>
      <w:bookmarkEnd w:id="276"/>
      <w:r>
        <w:rPr>
          <w:b w:val="0"/>
        </w:rPr>
      </w:r>
      <w:r>
        <w:rPr>
          <w:color w:val="231F20"/>
          <w:spacing w:val="-2"/>
        </w:rPr>
        <w:t>Terminal </w:t>
      </w:r>
      <w:r>
        <w:rPr>
          <w:color w:val="231F20"/>
          <w:spacing w:val="-4"/>
        </w:rPr>
        <w:t>view</w:t>
      </w:r>
    </w:p>
    <w:p>
      <w:pPr>
        <w:spacing w:line="240" w:lineRule="auto" w:before="0"/>
        <w:rPr>
          <w:rFonts w:ascii="Arial"/>
          <w:b/>
          <w:sz w:val="20"/>
        </w:rPr>
      </w:pPr>
      <w:r>
        <w:rPr/>
        <w:br w:type="column"/>
      </w:r>
      <w:r>
        <w:rPr>
          <w:rFonts w:ascii="Arial"/>
          <w:b/>
          <w:sz w:val="20"/>
        </w:rPr>
      </w:r>
    </w:p>
    <w:p>
      <w:pPr>
        <w:pStyle w:val="BodyText"/>
        <w:spacing w:before="11"/>
        <w:rPr>
          <w:rFonts w:ascii="Arial"/>
          <w:b/>
        </w:rPr>
      </w:pPr>
    </w:p>
    <w:p>
      <w:pPr>
        <w:pStyle w:val="BodyText"/>
        <w:spacing w:line="213" w:lineRule="auto"/>
        <w:ind w:left="152" w:right="230"/>
      </w:pPr>
      <w:r>
        <w:rPr>
          <w:color w:val="231F20"/>
        </w:rPr>
        <w:t>Use the terminal view to connect to a TN3270, TN5250, or VT100 host system </w:t>
      </w:r>
      <w:r>
        <w:rPr>
          <w:color w:val="231F20"/>
        </w:rPr>
        <w:t>with TCP/IP. For a 3270 or 5250 terminal view, you also have scripting capability with record, playback, and authoring of entire scripts.</w:t>
      </w:r>
    </w:p>
    <w:p>
      <w:pPr>
        <w:pStyle w:val="BodyText"/>
        <w:spacing w:line="213" w:lineRule="auto" w:before="238"/>
        <w:ind w:left="152" w:right="454"/>
      </w:pPr>
      <w:r>
        <w:rPr>
          <w:color w:val="231F20"/>
        </w:rPr>
        <w:t>By associating a terminal view with a connection script and a query that </w:t>
      </w:r>
      <w:r>
        <w:rPr>
          <w:color w:val="231F20"/>
        </w:rPr>
        <w:t>returns appropriate</w:t>
      </w:r>
      <w:r>
        <w:rPr>
          <w:color w:val="231F20"/>
          <w:spacing w:val="17"/>
        </w:rPr>
        <w:t> </w:t>
      </w:r>
      <w:r>
        <w:rPr>
          <w:color w:val="231F20"/>
        </w:rPr>
        <w:t>values,</w:t>
      </w:r>
      <w:r>
        <w:rPr>
          <w:color w:val="231F20"/>
          <w:spacing w:val="17"/>
        </w:rPr>
        <w:t> </w:t>
      </w:r>
      <w:r>
        <w:rPr>
          <w:color w:val="231F20"/>
        </w:rPr>
        <w:t>you</w:t>
      </w:r>
      <w:r>
        <w:rPr>
          <w:color w:val="231F20"/>
          <w:spacing w:val="17"/>
        </w:rPr>
        <w:t> </w:t>
      </w:r>
      <w:r>
        <w:rPr>
          <w:color w:val="231F20"/>
        </w:rPr>
        <w:t>can</w:t>
      </w:r>
      <w:r>
        <w:rPr>
          <w:color w:val="231F20"/>
          <w:spacing w:val="17"/>
        </w:rPr>
        <w:t> </w:t>
      </w:r>
      <w:r>
        <w:rPr>
          <w:color w:val="231F20"/>
        </w:rPr>
        <w:t>configure</w:t>
      </w:r>
      <w:r>
        <w:rPr>
          <w:color w:val="231F20"/>
          <w:spacing w:val="17"/>
        </w:rPr>
        <w:t> </w:t>
      </w:r>
      <w:r>
        <w:rPr>
          <w:color w:val="231F20"/>
        </w:rPr>
        <w:t>a</w:t>
      </w:r>
      <w:r>
        <w:rPr>
          <w:color w:val="231F20"/>
          <w:spacing w:val="17"/>
        </w:rPr>
        <w:t> </w:t>
      </w:r>
      <w:r>
        <w:rPr>
          <w:color w:val="231F20"/>
        </w:rPr>
        <w:t>view</w:t>
      </w:r>
      <w:r>
        <w:rPr>
          <w:color w:val="231F20"/>
          <w:spacing w:val="17"/>
        </w:rPr>
        <w:t> </w:t>
      </w:r>
      <w:r>
        <w:rPr>
          <w:color w:val="231F20"/>
        </w:rPr>
        <w:t>that</w:t>
      </w:r>
      <w:r>
        <w:rPr>
          <w:color w:val="231F20"/>
          <w:spacing w:val="17"/>
        </w:rPr>
        <w:t> </w:t>
      </w:r>
      <w:r>
        <w:rPr>
          <w:color w:val="231F20"/>
        </w:rPr>
        <w:t>opens</w:t>
      </w:r>
      <w:r>
        <w:rPr>
          <w:color w:val="231F20"/>
          <w:spacing w:val="17"/>
        </w:rPr>
        <w:t> </w:t>
      </w:r>
      <w:r>
        <w:rPr>
          <w:color w:val="231F20"/>
        </w:rPr>
        <w:t>to</w:t>
      </w:r>
      <w:r>
        <w:rPr>
          <w:color w:val="231F20"/>
          <w:spacing w:val="17"/>
        </w:rPr>
        <w:t> </w:t>
      </w:r>
      <w:r>
        <w:rPr>
          <w:color w:val="231F20"/>
        </w:rPr>
        <w:t>a</w:t>
      </w:r>
      <w:r>
        <w:rPr>
          <w:color w:val="231F20"/>
          <w:spacing w:val="17"/>
        </w:rPr>
        <w:t> </w:t>
      </w:r>
      <w:r>
        <w:rPr>
          <w:color w:val="231F20"/>
        </w:rPr>
        <w:t>specific</w:t>
      </w:r>
      <w:r>
        <w:rPr>
          <w:color w:val="231F20"/>
          <w:spacing w:val="17"/>
        </w:rPr>
        <w:t> </w:t>
      </w:r>
      <w:r>
        <w:rPr>
          <w:color w:val="231F20"/>
        </w:rPr>
        <w:t>panel</w:t>
      </w:r>
      <w:r>
        <w:rPr>
          <w:color w:val="231F20"/>
          <w:spacing w:val="17"/>
        </w:rPr>
        <w:t> </w:t>
      </w:r>
      <w:r>
        <w:rPr>
          <w:color w:val="231F20"/>
        </w:rPr>
        <w:t>of</w:t>
      </w:r>
      <w:r>
        <w:rPr>
          <w:color w:val="231F20"/>
          <w:spacing w:val="17"/>
        </w:rPr>
        <w:t> </w:t>
      </w:r>
      <w:r>
        <w:rPr>
          <w:color w:val="231F20"/>
        </w:rPr>
        <w:t>a</w:t>
      </w:r>
    </w:p>
    <w:p>
      <w:pPr>
        <w:spacing w:after="0" w:line="213" w:lineRule="auto"/>
        <w:sectPr>
          <w:type w:val="continuous"/>
          <w:pgSz w:w="12240" w:h="15840"/>
          <w:pgMar w:header="0" w:footer="736" w:top="0" w:bottom="4660" w:left="1000" w:right="1060"/>
          <w:cols w:num="2" w:equalWidth="0">
            <w:col w:w="2280" w:space="40"/>
            <w:col w:w="7860"/>
          </w:cols>
        </w:sectPr>
      </w:pPr>
    </w:p>
    <w:p>
      <w:pPr>
        <w:spacing w:line="213" w:lineRule="auto" w:before="85"/>
        <w:ind w:left="2232" w:right="636" w:firstLine="0"/>
        <w:jc w:val="left"/>
        <w:rPr>
          <w:sz w:val="20"/>
        </w:rPr>
      </w:pPr>
      <w:bookmarkStart w:name="_bookmark125" w:id="277"/>
      <w:bookmarkEnd w:id="277"/>
      <w:r>
        <w:rPr/>
      </w:r>
      <w:r>
        <w:rPr>
          <w:color w:val="231F20"/>
          <w:sz w:val="20"/>
        </w:rPr>
        <w:t>3270 application. This feature, called </w:t>
      </w:r>
      <w:r>
        <w:rPr>
          <w:rFonts w:ascii="Book Antiqua"/>
          <w:i/>
          <w:color w:val="231F20"/>
          <w:sz w:val="20"/>
        </w:rPr>
        <w:t>dynamic terminal integration support</w:t>
      </w:r>
      <w:r>
        <w:rPr>
          <w:color w:val="231F20"/>
          <w:sz w:val="20"/>
        </w:rPr>
        <w:t>, is </w:t>
      </w:r>
      <w:r>
        <w:rPr>
          <w:color w:val="231F20"/>
          <w:sz w:val="20"/>
        </w:rPr>
        <w:t>useful for creating contextual workspace links for investigating issues.</w:t>
      </w:r>
    </w:p>
    <w:p>
      <w:pPr>
        <w:pStyle w:val="BodyText"/>
        <w:spacing w:before="215"/>
        <w:ind w:left="2232"/>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3"/>
        <w:spacing w:before="211"/>
        <w:ind w:left="1334"/>
      </w:pPr>
      <w:bookmarkStart w:name="Adding a terminal view to the workspace" w:id="278"/>
      <w:bookmarkEnd w:id="278"/>
      <w:r>
        <w:rPr>
          <w:b w:val="0"/>
        </w:rPr>
      </w:r>
      <w:r>
        <w:rPr>
          <w:color w:val="231F20"/>
        </w:rPr>
        <w:t>Adding</w:t>
      </w:r>
      <w:r>
        <w:rPr>
          <w:color w:val="231F20"/>
          <w:spacing w:val="7"/>
        </w:rPr>
        <w:t> </w:t>
      </w:r>
      <w:r>
        <w:rPr>
          <w:color w:val="231F20"/>
        </w:rPr>
        <w:t>a</w:t>
      </w:r>
      <w:r>
        <w:rPr>
          <w:color w:val="231F20"/>
          <w:spacing w:val="9"/>
        </w:rPr>
        <w:t> </w:t>
      </w:r>
      <w:r>
        <w:rPr>
          <w:color w:val="231F20"/>
        </w:rPr>
        <w:t>terminal</w:t>
      </w:r>
      <w:r>
        <w:rPr>
          <w:color w:val="231F20"/>
          <w:spacing w:val="9"/>
        </w:rPr>
        <w:t> </w:t>
      </w:r>
      <w:r>
        <w:rPr>
          <w:color w:val="231F20"/>
        </w:rPr>
        <w:t>view</w:t>
      </w:r>
      <w:r>
        <w:rPr>
          <w:color w:val="231F20"/>
          <w:spacing w:val="9"/>
        </w:rPr>
        <w:t> </w:t>
      </w:r>
      <w:r>
        <w:rPr>
          <w:color w:val="231F20"/>
        </w:rPr>
        <w:t>to</w:t>
      </w:r>
      <w:r>
        <w:rPr>
          <w:color w:val="231F20"/>
          <w:spacing w:val="9"/>
        </w:rPr>
        <w:t> </w:t>
      </w:r>
      <w:r>
        <w:rPr>
          <w:color w:val="231F20"/>
        </w:rPr>
        <w:t>the</w:t>
      </w:r>
      <w:r>
        <w:rPr>
          <w:color w:val="231F20"/>
          <w:spacing w:val="10"/>
        </w:rPr>
        <w:t> </w:t>
      </w:r>
      <w:r>
        <w:rPr>
          <w:color w:val="231F20"/>
          <w:spacing w:val="-2"/>
        </w:rPr>
        <w:t>workspace</w:t>
      </w:r>
    </w:p>
    <w:p>
      <w:pPr>
        <w:pStyle w:val="BodyText"/>
        <w:spacing w:line="213" w:lineRule="auto" w:before="58"/>
        <w:ind w:left="2232" w:right="493"/>
      </w:pPr>
      <w:r>
        <w:rPr>
          <w:color w:val="231F20"/>
        </w:rPr>
        <w:t>You can add a terminal view to your workspace to connect to another system. This process is also known as Host-On-Demand. For example, you can connect to a TN3270, TN5250, or VT100 host system with TCP/IP, and then save the connection settings with the workspace.</w:t>
      </w:r>
    </w:p>
    <w:p>
      <w:pPr>
        <w:pStyle w:val="Heading4"/>
        <w:spacing w:before="199"/>
      </w:pPr>
      <w:r>
        <w:rPr>
          <w:color w:val="231F20"/>
          <w:spacing w:val="-2"/>
        </w:rPr>
        <w:t>Procedure</w:t>
      </w:r>
    </w:p>
    <w:p>
      <w:pPr>
        <w:pStyle w:val="ListParagraph"/>
        <w:numPr>
          <w:ilvl w:val="0"/>
          <w:numId w:val="83"/>
        </w:numPr>
        <w:tabs>
          <w:tab w:pos="2547" w:val="left" w:leader="none"/>
        </w:tabs>
        <w:spacing w:line="240" w:lineRule="auto" w:before="38" w:after="0"/>
        <w:ind w:left="2547" w:right="0" w:hanging="315"/>
        <w:jc w:val="left"/>
        <w:rPr>
          <w:rFonts w:ascii="Arial"/>
          <w:color w:val="231F20"/>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83"/>
        </w:numPr>
        <w:tabs>
          <w:tab w:pos="2548" w:val="left" w:leader="none"/>
        </w:tabs>
        <w:spacing w:line="213" w:lineRule="auto" w:before="53" w:after="0"/>
        <w:ind w:left="2548" w:right="404" w:hanging="316"/>
        <w:jc w:val="left"/>
        <w:rPr>
          <w:rFonts w:ascii="Arial"/>
          <w:color w:val="231F20"/>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1600" name="Image 1600"/>
            <wp:cNvGraphicFramePr>
              <a:graphicFrameLocks/>
            </wp:cNvGraphicFramePr>
            <a:graphic>
              <a:graphicData uri="http://schemas.openxmlformats.org/drawingml/2006/picture">
                <pic:pic>
                  <pic:nvPicPr>
                    <pic:cNvPr id="1600" name="Image 1600"/>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1601" name="Image 1601"/>
            <wp:cNvGraphicFramePr>
              <a:graphicFrameLocks/>
            </wp:cNvGraphicFramePr>
            <a:graphic>
              <a:graphicData uri="http://schemas.openxmlformats.org/drawingml/2006/picture">
                <pic:pic>
                  <pic:nvPicPr>
                    <pic:cNvPr id="1601" name="Image 1601"/>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83"/>
        </w:numPr>
        <w:tabs>
          <w:tab w:pos="2546" w:val="left" w:leader="none"/>
          <w:tab w:pos="2548" w:val="left" w:leader="none"/>
        </w:tabs>
        <w:spacing w:line="211" w:lineRule="auto" w:before="66" w:after="0"/>
        <w:ind w:left="2548" w:right="581" w:hanging="317"/>
        <w:jc w:val="both"/>
        <w:rPr>
          <w:rFonts w:ascii="Arial"/>
          <w:color w:val="231F20"/>
          <w:position w:val="1"/>
          <w:sz w:val="20"/>
        </w:rPr>
      </w:pPr>
      <w:r>
        <w:rPr>
          <w:color w:val="231F20"/>
          <w:position w:val="1"/>
          <w:sz w:val="20"/>
        </w:rPr>
        <w:t>Click </w:t>
      </w:r>
      <w:r>
        <w:rPr>
          <w:color w:val="231F20"/>
          <w:spacing w:val="-24"/>
          <w:sz w:val="20"/>
        </w:rPr>
        <w:drawing>
          <wp:inline distT="0" distB="0" distL="0" distR="0">
            <wp:extent cx="95250" cy="88900"/>
            <wp:effectExtent l="0" t="0" r="0" b="0"/>
            <wp:docPr id="1602" name="Image 1602"/>
            <wp:cNvGraphicFramePr>
              <a:graphicFrameLocks/>
            </wp:cNvGraphicFramePr>
            <a:graphic>
              <a:graphicData uri="http://schemas.openxmlformats.org/drawingml/2006/picture">
                <pic:pic>
                  <pic:nvPicPr>
                    <pic:cNvPr id="1602" name="Image 1602"/>
                    <pic:cNvPicPr/>
                  </pic:nvPicPr>
                  <pic:blipFill>
                    <a:blip r:embed="rId55" cstate="print"/>
                    <a:stretch>
                      <a:fillRect/>
                    </a:stretch>
                  </pic:blipFill>
                  <pic:spPr>
                    <a:xfrm>
                      <a:off x="0" y="0"/>
                      <a:ext cx="95250" cy="88900"/>
                    </a:xfrm>
                    <a:prstGeom prst="rect">
                      <a:avLst/>
                    </a:prstGeom>
                  </pic:spPr>
                </pic:pic>
              </a:graphicData>
            </a:graphic>
          </wp:inline>
        </w:drawing>
      </w:r>
      <w:r>
        <w:rPr>
          <w:color w:val="231F20"/>
          <w:spacing w:val="-24"/>
          <w:sz w:val="20"/>
        </w:rPr>
      </w:r>
      <w:r>
        <w:rPr>
          <w:rFonts w:ascii="Times New Roman"/>
          <w:color w:val="231F20"/>
          <w:spacing w:val="40"/>
          <w:position w:val="1"/>
          <w:sz w:val="20"/>
        </w:rPr>
        <w:t> </w:t>
      </w:r>
      <w:r>
        <w:rPr>
          <w:rFonts w:ascii="Book Antiqua"/>
          <w:b/>
          <w:color w:val="231F20"/>
          <w:position w:val="1"/>
          <w:sz w:val="20"/>
        </w:rPr>
        <w:t>Terminal</w:t>
      </w:r>
      <w:r>
        <w:rPr>
          <w:color w:val="231F20"/>
          <w:position w:val="1"/>
          <w:sz w:val="20"/>
        </w:rPr>
        <w:t>. The mouse pointer changes to the view icon (hand icon </w:t>
      </w:r>
      <w:r>
        <w:rPr>
          <w:color w:val="231F20"/>
          <w:position w:val="1"/>
          <w:sz w:val="20"/>
        </w:rPr>
        <w:t>on </w:t>
      </w:r>
      <w:r>
        <w:rPr>
          <w:color w:val="231F20"/>
          <w:sz w:val="20"/>
        </w:rPr>
        <w:t>Linux). If you get the wrong icon or decide not to add the view, press Escape</w:t>
      </w:r>
      <w:r>
        <w:rPr>
          <w:color w:val="231F20"/>
          <w:spacing w:val="80"/>
          <w:sz w:val="20"/>
        </w:rPr>
        <w:t> </w:t>
      </w:r>
      <w:r>
        <w:rPr>
          <w:color w:val="231F20"/>
          <w:sz w:val="20"/>
        </w:rPr>
        <w:t>or click somewhere in the toolbar.</w:t>
      </w:r>
    </w:p>
    <w:p>
      <w:pPr>
        <w:pStyle w:val="ListParagraph"/>
        <w:numPr>
          <w:ilvl w:val="0"/>
          <w:numId w:val="83"/>
        </w:numPr>
        <w:tabs>
          <w:tab w:pos="2548" w:val="left" w:leader="none"/>
        </w:tabs>
        <w:spacing w:line="213" w:lineRule="auto" w:before="58" w:after="0"/>
        <w:ind w:left="2548" w:right="659" w:hanging="316"/>
        <w:jc w:val="both"/>
        <w:rPr>
          <w:rFonts w:ascii="Arial"/>
          <w:color w:val="231F20"/>
          <w:sz w:val="20"/>
        </w:rPr>
      </w:pPr>
      <w:r>
        <w:rPr>
          <w:color w:val="231F20"/>
          <w:sz w:val="20"/>
        </w:rPr>
        <w:t>Click inside the view where you want the terminal emulator. When you click inside a view, the Terminal Emulator Configuration window opens.</w:t>
      </w:r>
    </w:p>
    <w:p>
      <w:pPr>
        <w:pStyle w:val="ListParagraph"/>
        <w:numPr>
          <w:ilvl w:val="0"/>
          <w:numId w:val="83"/>
        </w:numPr>
        <w:tabs>
          <w:tab w:pos="2548" w:val="left" w:leader="none"/>
        </w:tabs>
        <w:spacing w:line="213" w:lineRule="auto" w:before="58" w:after="0"/>
        <w:ind w:left="2548" w:right="780" w:hanging="316"/>
        <w:jc w:val="both"/>
        <w:rPr>
          <w:rFonts w:ascii="Arial"/>
          <w:color w:val="231F20"/>
          <w:sz w:val="20"/>
        </w:rPr>
      </w:pPr>
      <w:r>
        <w:rPr>
          <w:color w:val="231F20"/>
          <w:sz w:val="20"/>
        </w:rPr>
        <w:t>Specify the connection information for the view, or specify that you want to retrieve the connection information from a query.</w:t>
      </w:r>
    </w:p>
    <w:p>
      <w:pPr>
        <w:pStyle w:val="BodyText"/>
        <w:spacing w:line="255" w:lineRule="exact" w:before="36"/>
        <w:ind w:left="2548"/>
        <w:jc w:val="both"/>
      </w:pPr>
      <w:r>
        <w:rPr>
          <w:rFonts w:ascii="Futura MdCn BT"/>
          <w:color w:val="231F20"/>
        </w:rPr>
        <w:t>v</w:t>
      </w:r>
      <w:r>
        <w:rPr>
          <w:rFonts w:ascii="Futura MdCn BT"/>
          <w:color w:val="231F20"/>
          <w:spacing w:val="30"/>
        </w:rPr>
        <w:t>  </w:t>
      </w:r>
      <w:r>
        <w:rPr>
          <w:color w:val="231F20"/>
        </w:rPr>
        <w:t>If</w:t>
      </w:r>
      <w:r>
        <w:rPr>
          <w:color w:val="231F20"/>
          <w:spacing w:val="13"/>
        </w:rPr>
        <w:t> </w:t>
      </w:r>
      <w:r>
        <w:rPr>
          <w:color w:val="231F20"/>
        </w:rPr>
        <w:t>you</w:t>
      </w:r>
      <w:r>
        <w:rPr>
          <w:color w:val="231F20"/>
          <w:spacing w:val="12"/>
        </w:rPr>
        <w:t> </w:t>
      </w:r>
      <w:r>
        <w:rPr>
          <w:color w:val="231F20"/>
        </w:rPr>
        <w:t>want</w:t>
      </w:r>
      <w:r>
        <w:rPr>
          <w:color w:val="231F20"/>
          <w:spacing w:val="11"/>
        </w:rPr>
        <w:t> </w:t>
      </w:r>
      <w:r>
        <w:rPr>
          <w:color w:val="231F20"/>
        </w:rPr>
        <w:t>to</w:t>
      </w:r>
      <w:r>
        <w:rPr>
          <w:color w:val="231F20"/>
          <w:spacing w:val="12"/>
        </w:rPr>
        <w:t> </w:t>
      </w:r>
      <w:r>
        <w:rPr>
          <w:color w:val="231F20"/>
        </w:rPr>
        <w:t>specify</w:t>
      </w:r>
      <w:r>
        <w:rPr>
          <w:color w:val="231F20"/>
          <w:spacing w:val="12"/>
        </w:rPr>
        <w:t> </w:t>
      </w:r>
      <w:r>
        <w:rPr>
          <w:color w:val="231F20"/>
        </w:rPr>
        <w:t>the</w:t>
      </w:r>
      <w:r>
        <w:rPr>
          <w:color w:val="231F20"/>
          <w:spacing w:val="11"/>
        </w:rPr>
        <w:t> </w:t>
      </w:r>
      <w:r>
        <w:rPr>
          <w:color w:val="231F20"/>
        </w:rPr>
        <w:t>connection</w:t>
      </w:r>
      <w:r>
        <w:rPr>
          <w:color w:val="231F20"/>
          <w:spacing w:val="12"/>
        </w:rPr>
        <w:t> </w:t>
      </w:r>
      <w:r>
        <w:rPr>
          <w:color w:val="231F20"/>
        </w:rPr>
        <w:t>information</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configuration,</w:t>
      </w:r>
      <w:r>
        <w:rPr>
          <w:color w:val="231F20"/>
          <w:spacing w:val="12"/>
        </w:rPr>
        <w:t> </w:t>
      </w:r>
      <w:r>
        <w:rPr>
          <w:color w:val="231F20"/>
          <w:spacing w:val="-2"/>
        </w:rPr>
        <w:t>select</w:t>
      </w:r>
    </w:p>
    <w:p>
      <w:pPr>
        <w:spacing w:line="255" w:lineRule="exact" w:before="0"/>
        <w:ind w:left="2764" w:right="0" w:firstLine="0"/>
        <w:jc w:val="both"/>
        <w:rPr>
          <w:sz w:val="20"/>
        </w:rPr>
      </w:pPr>
      <w:r>
        <w:rPr>
          <w:rFonts w:ascii="Book Antiqua"/>
          <w:b/>
          <w:color w:val="231F20"/>
          <w:sz w:val="20"/>
        </w:rPr>
        <w:t>Use</w:t>
      </w:r>
      <w:r>
        <w:rPr>
          <w:rFonts w:ascii="Book Antiqua"/>
          <w:b/>
          <w:color w:val="231F20"/>
          <w:spacing w:val="11"/>
          <w:sz w:val="20"/>
        </w:rPr>
        <w:t> </w:t>
      </w:r>
      <w:r>
        <w:rPr>
          <w:rFonts w:ascii="Book Antiqua"/>
          <w:b/>
          <w:color w:val="231F20"/>
          <w:sz w:val="20"/>
        </w:rPr>
        <w:t>the</w:t>
      </w:r>
      <w:r>
        <w:rPr>
          <w:rFonts w:ascii="Book Antiqua"/>
          <w:b/>
          <w:color w:val="231F20"/>
          <w:spacing w:val="11"/>
          <w:sz w:val="20"/>
        </w:rPr>
        <w:t> </w:t>
      </w:r>
      <w:r>
        <w:rPr>
          <w:rFonts w:ascii="Book Antiqua"/>
          <w:b/>
          <w:color w:val="231F20"/>
          <w:sz w:val="20"/>
        </w:rPr>
        <w:t>values</w:t>
      </w:r>
      <w:r>
        <w:rPr>
          <w:rFonts w:ascii="Book Antiqua"/>
          <w:b/>
          <w:color w:val="231F20"/>
          <w:spacing w:val="11"/>
          <w:sz w:val="20"/>
        </w:rPr>
        <w:t> </w:t>
      </w:r>
      <w:r>
        <w:rPr>
          <w:rFonts w:ascii="Book Antiqua"/>
          <w:b/>
          <w:color w:val="231F20"/>
          <w:sz w:val="20"/>
        </w:rPr>
        <w:t>from</w:t>
      </w:r>
      <w:r>
        <w:rPr>
          <w:rFonts w:ascii="Book Antiqua"/>
          <w:b/>
          <w:color w:val="231F20"/>
          <w:spacing w:val="11"/>
          <w:sz w:val="20"/>
        </w:rPr>
        <w:t> </w:t>
      </w:r>
      <w:r>
        <w:rPr>
          <w:rFonts w:ascii="Book Antiqua"/>
          <w:b/>
          <w:color w:val="231F20"/>
          <w:sz w:val="20"/>
        </w:rPr>
        <w:t>this</w:t>
      </w:r>
      <w:r>
        <w:rPr>
          <w:rFonts w:ascii="Book Antiqua"/>
          <w:b/>
          <w:color w:val="231F20"/>
          <w:spacing w:val="12"/>
          <w:sz w:val="20"/>
        </w:rPr>
        <w:t> </w:t>
      </w:r>
      <w:r>
        <w:rPr>
          <w:rFonts w:ascii="Book Antiqua"/>
          <w:b/>
          <w:color w:val="231F20"/>
          <w:sz w:val="20"/>
        </w:rPr>
        <w:t>dialog</w:t>
      </w:r>
      <w:r>
        <w:rPr>
          <w:color w:val="231F20"/>
          <w:sz w:val="20"/>
        </w:rPr>
        <w:t>,</w:t>
      </w:r>
      <w:r>
        <w:rPr>
          <w:color w:val="231F20"/>
          <w:spacing w:val="11"/>
          <w:sz w:val="20"/>
        </w:rPr>
        <w:t> </w:t>
      </w:r>
      <w:r>
        <w:rPr>
          <w:color w:val="231F20"/>
          <w:sz w:val="20"/>
        </w:rPr>
        <w:t>and</w:t>
      </w:r>
      <w:r>
        <w:rPr>
          <w:color w:val="231F20"/>
          <w:spacing w:val="11"/>
          <w:sz w:val="20"/>
        </w:rPr>
        <w:t> </w:t>
      </w:r>
      <w:r>
        <w:rPr>
          <w:color w:val="231F20"/>
          <w:sz w:val="20"/>
        </w:rPr>
        <w:t>fill</w:t>
      </w:r>
      <w:r>
        <w:rPr>
          <w:color w:val="231F20"/>
          <w:spacing w:val="11"/>
          <w:sz w:val="20"/>
        </w:rPr>
        <w:t> </w:t>
      </w:r>
      <w:r>
        <w:rPr>
          <w:color w:val="231F20"/>
          <w:sz w:val="20"/>
        </w:rPr>
        <w:t>out</w:t>
      </w:r>
      <w:r>
        <w:rPr>
          <w:color w:val="231F20"/>
          <w:spacing w:val="12"/>
          <w:sz w:val="20"/>
        </w:rPr>
        <w:t> </w:t>
      </w:r>
      <w:r>
        <w:rPr>
          <w:color w:val="231F20"/>
          <w:sz w:val="20"/>
        </w:rPr>
        <w:t>the</w:t>
      </w:r>
      <w:r>
        <w:rPr>
          <w:color w:val="231F20"/>
          <w:spacing w:val="11"/>
          <w:sz w:val="20"/>
        </w:rPr>
        <w:t> </w:t>
      </w:r>
      <w:r>
        <w:rPr>
          <w:color w:val="231F20"/>
          <w:sz w:val="20"/>
        </w:rPr>
        <w:t>appropriate</w:t>
      </w:r>
      <w:r>
        <w:rPr>
          <w:color w:val="231F20"/>
          <w:spacing w:val="11"/>
          <w:sz w:val="20"/>
        </w:rPr>
        <w:t> </w:t>
      </w:r>
      <w:r>
        <w:rPr>
          <w:color w:val="231F20"/>
          <w:spacing w:val="-2"/>
          <w:sz w:val="20"/>
        </w:rPr>
        <w:t>fields:</w:t>
      </w:r>
    </w:p>
    <w:p>
      <w:pPr>
        <w:pStyle w:val="BodyText"/>
        <w:spacing w:line="213" w:lineRule="auto" w:before="112"/>
        <w:ind w:left="3483" w:right="628" w:hanging="719"/>
        <w:jc w:val="both"/>
      </w:pPr>
      <w:r>
        <w:rPr>
          <w:rFonts w:ascii="Book Antiqua"/>
          <w:b/>
          <w:color w:val="231F20"/>
        </w:rPr>
        <w:t>Host</w:t>
      </w:r>
      <w:r>
        <w:rPr>
          <w:rFonts w:ascii="Book Antiqua"/>
          <w:b/>
          <w:color w:val="231F20"/>
          <w:spacing w:val="80"/>
        </w:rPr>
        <w:t>  </w:t>
      </w:r>
      <w:r>
        <w:rPr>
          <w:color w:val="231F20"/>
        </w:rPr>
        <w:t>Type the host name or IP address of the system to which you want</w:t>
      </w:r>
      <w:r>
        <w:rPr>
          <w:color w:val="231F20"/>
          <w:spacing w:val="40"/>
        </w:rPr>
        <w:t> </w:t>
      </w:r>
      <w:r>
        <w:rPr>
          <w:color w:val="231F20"/>
        </w:rPr>
        <w:t>to connect.</w:t>
      </w:r>
    </w:p>
    <w:p>
      <w:pPr>
        <w:pStyle w:val="BodyText"/>
        <w:spacing w:line="213" w:lineRule="auto" w:before="118"/>
        <w:ind w:left="3483" w:right="563" w:hanging="719"/>
        <w:jc w:val="both"/>
      </w:pPr>
      <w:r>
        <w:rPr>
          <w:rFonts w:ascii="Book Antiqua"/>
          <w:b/>
          <w:color w:val="231F20"/>
        </w:rPr>
        <w:t>Port</w:t>
      </w:r>
      <w:r>
        <w:rPr>
          <w:rFonts w:ascii="Book Antiqua"/>
          <w:b/>
          <w:color w:val="231F20"/>
          <w:spacing w:val="80"/>
        </w:rPr>
        <w:t>  </w:t>
      </w:r>
      <w:r>
        <w:rPr>
          <w:color w:val="231F20"/>
        </w:rPr>
        <w:t>Type the IP port number to which you want to connect. The default</w:t>
      </w:r>
      <w:r>
        <w:rPr>
          <w:color w:val="231F20"/>
          <w:spacing w:val="80"/>
        </w:rPr>
        <w:t> </w:t>
      </w:r>
      <w:r>
        <w:rPr>
          <w:color w:val="231F20"/>
        </w:rPr>
        <w:t>of 23 is valid for most installations.</w:t>
      </w:r>
    </w:p>
    <w:p>
      <w:pPr>
        <w:pStyle w:val="Heading6"/>
        <w:spacing w:before="118"/>
        <w:ind w:left="2764"/>
        <w:jc w:val="both"/>
      </w:pPr>
      <w:r>
        <w:rPr>
          <w:color w:val="231F20"/>
          <w:spacing w:val="-2"/>
        </w:rPr>
        <w:t>Terminal</w:t>
      </w:r>
      <w:r>
        <w:rPr>
          <w:color w:val="231F20"/>
        </w:rPr>
        <w:t> </w:t>
      </w:r>
      <w:r>
        <w:rPr>
          <w:color w:val="231F20"/>
          <w:spacing w:val="-4"/>
        </w:rPr>
        <w:t>type</w:t>
      </w:r>
    </w:p>
    <w:p>
      <w:pPr>
        <w:pStyle w:val="BodyText"/>
        <w:spacing w:line="213" w:lineRule="auto" w:before="11"/>
        <w:ind w:left="3483" w:right="545"/>
      </w:pPr>
      <w:r>
        <w:rPr>
          <w:color w:val="231F20"/>
        </w:rPr>
        <w:t>Select a terminal type from the </w:t>
      </w:r>
      <w:r>
        <w:rPr>
          <w:color w:val="231F20"/>
          <w:spacing w:val="15"/>
          <w:position w:val="-1"/>
        </w:rPr>
        <w:drawing>
          <wp:inline distT="0" distB="0" distL="0" distR="0">
            <wp:extent cx="101600" cy="101600"/>
            <wp:effectExtent l="0" t="0" r="0" b="0"/>
            <wp:docPr id="1603" name="Image 1603"/>
            <wp:cNvGraphicFramePr>
              <a:graphicFrameLocks/>
            </wp:cNvGraphicFramePr>
            <a:graphic>
              <a:graphicData uri="http://schemas.openxmlformats.org/drawingml/2006/picture">
                <pic:pic>
                  <pic:nvPicPr>
                    <pic:cNvPr id="1603" name="Image 160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Terminal Type list or accept the </w:t>
      </w:r>
      <w:r>
        <w:rPr>
          <w:color w:val="231F20"/>
          <w:spacing w:val="-2"/>
        </w:rPr>
        <w:t>default.</w:t>
      </w:r>
    </w:p>
    <w:p>
      <w:pPr>
        <w:pStyle w:val="BodyText"/>
        <w:spacing w:line="213" w:lineRule="auto" w:before="58"/>
        <w:ind w:left="2764" w:right="493" w:hanging="216"/>
      </w:pPr>
      <w:r>
        <w:rPr>
          <w:rFonts w:ascii="Futura MdCn BT"/>
          <w:color w:val="231F20"/>
        </w:rPr>
        <w:t>v</w:t>
      </w:r>
      <w:r>
        <w:rPr>
          <w:rFonts w:ascii="Futura MdCn BT"/>
          <w:color w:val="231F20"/>
          <w:spacing w:val="80"/>
        </w:rPr>
        <w:t> </w:t>
      </w:r>
      <w:r>
        <w:rPr>
          <w:color w:val="231F20"/>
        </w:rPr>
        <w:t>If you want to retrieve connection information from a query, select </w:t>
      </w:r>
      <w:r>
        <w:rPr>
          <w:rFonts w:ascii="Book Antiqua"/>
          <w:b/>
          <w:color w:val="231F20"/>
        </w:rPr>
        <w:t>Fetch values from a query</w:t>
      </w:r>
      <w:r>
        <w:rPr>
          <w:color w:val="231F20"/>
        </w:rPr>
        <w:t>. You will then need to specify the appropriate query in the view properties.</w:t>
      </w:r>
    </w:p>
    <w:p>
      <w:pPr>
        <w:pStyle w:val="BodyText"/>
        <w:spacing w:line="213" w:lineRule="auto" w:before="238"/>
        <w:ind w:left="2764" w:right="545"/>
      </w:pPr>
      <w:r>
        <w:rPr>
          <w:rFonts w:ascii="Book Antiqua"/>
          <w:b/>
          <w:color w:val="231F20"/>
        </w:rPr>
        <w:t>Note:</w:t>
      </w:r>
      <w:r>
        <w:rPr>
          <w:rFonts w:ascii="Book Antiqua"/>
          <w:b/>
          <w:color w:val="231F20"/>
          <w:spacing w:val="40"/>
        </w:rPr>
        <w:t> </w:t>
      </w:r>
      <w:r>
        <w:rPr>
          <w:color w:val="231F20"/>
        </w:rPr>
        <w:t>To support obtaining connection information from a query, the monitoring agent for the target application must provide a suitable query </w:t>
      </w:r>
      <w:r>
        <w:rPr>
          <w:color w:val="231F20"/>
        </w:rPr>
        <w:t>to use. For more information, refer to the agent documentation.</w:t>
      </w:r>
    </w:p>
    <w:p>
      <w:pPr>
        <w:pStyle w:val="ListParagraph"/>
        <w:numPr>
          <w:ilvl w:val="0"/>
          <w:numId w:val="83"/>
        </w:numPr>
        <w:tabs>
          <w:tab w:pos="2547" w:val="left" w:leader="none"/>
        </w:tabs>
        <w:spacing w:line="240" w:lineRule="auto" w:before="35" w:after="0"/>
        <w:ind w:left="2547" w:right="0" w:hanging="315"/>
        <w:jc w:val="left"/>
        <w:rPr>
          <w:rFonts w:ascii="Arial"/>
          <w:color w:val="231F20"/>
          <w:sz w:val="20"/>
        </w:rPr>
      </w:pPr>
      <w:r>
        <w:rPr>
          <w:color w:val="231F20"/>
          <w:sz w:val="20"/>
        </w:rPr>
        <w:t>Click</w:t>
      </w:r>
      <w:r>
        <w:rPr>
          <w:color w:val="231F20"/>
          <w:spacing w:val="11"/>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1"/>
          <w:sz w:val="20"/>
        </w:rPr>
        <w:t> </w:t>
      </w:r>
      <w:r>
        <w:rPr>
          <w:color w:val="231F20"/>
          <w:sz w:val="20"/>
        </w:rPr>
        <w:t>accept</w:t>
      </w:r>
      <w:r>
        <w:rPr>
          <w:color w:val="231F20"/>
          <w:spacing w:val="12"/>
          <w:sz w:val="20"/>
        </w:rPr>
        <w:t> </w:t>
      </w:r>
      <w:r>
        <w:rPr>
          <w:color w:val="231F20"/>
          <w:sz w:val="20"/>
        </w:rPr>
        <w:t>the</w:t>
      </w:r>
      <w:r>
        <w:rPr>
          <w:color w:val="231F20"/>
          <w:spacing w:val="12"/>
          <w:sz w:val="20"/>
        </w:rPr>
        <w:t> </w:t>
      </w:r>
      <w:r>
        <w:rPr>
          <w:color w:val="231F20"/>
          <w:sz w:val="20"/>
        </w:rPr>
        <w:t>configuration</w:t>
      </w:r>
      <w:r>
        <w:rPr>
          <w:color w:val="231F20"/>
          <w:spacing w:val="11"/>
          <w:sz w:val="20"/>
        </w:rPr>
        <w:t> </w:t>
      </w:r>
      <w:r>
        <w:rPr>
          <w:color w:val="231F20"/>
          <w:sz w:val="20"/>
        </w:rPr>
        <w:t>and</w:t>
      </w:r>
      <w:r>
        <w:rPr>
          <w:color w:val="231F20"/>
          <w:spacing w:val="12"/>
          <w:sz w:val="20"/>
        </w:rPr>
        <w:t> </w:t>
      </w:r>
      <w:r>
        <w:rPr>
          <w:color w:val="231F20"/>
          <w:sz w:val="20"/>
        </w:rPr>
        <w:t>add</w:t>
      </w:r>
      <w:r>
        <w:rPr>
          <w:color w:val="231F20"/>
          <w:spacing w:val="11"/>
          <w:sz w:val="20"/>
        </w:rPr>
        <w:t> </w:t>
      </w:r>
      <w:r>
        <w:rPr>
          <w:color w:val="231F20"/>
          <w:sz w:val="20"/>
        </w:rPr>
        <w:t>the</w:t>
      </w:r>
      <w:r>
        <w:rPr>
          <w:color w:val="231F20"/>
          <w:spacing w:val="12"/>
          <w:sz w:val="20"/>
        </w:rPr>
        <w:t> </w:t>
      </w:r>
      <w:r>
        <w:rPr>
          <w:color w:val="231F20"/>
          <w:spacing w:val="-2"/>
          <w:sz w:val="20"/>
        </w:rPr>
        <w:t>view.</w:t>
      </w:r>
    </w:p>
    <w:p>
      <w:pPr>
        <w:pStyle w:val="ListParagraph"/>
        <w:numPr>
          <w:ilvl w:val="0"/>
          <w:numId w:val="83"/>
        </w:numPr>
        <w:tabs>
          <w:tab w:pos="2548" w:val="left" w:leader="none"/>
        </w:tabs>
        <w:spacing w:line="213" w:lineRule="auto" w:before="52" w:after="0"/>
        <w:ind w:left="2548" w:right="709" w:hanging="316"/>
        <w:jc w:val="left"/>
        <w:rPr>
          <w:rFonts w:ascii="Arial"/>
          <w:color w:val="231F20"/>
          <w:sz w:val="20"/>
        </w:rPr>
      </w:pPr>
      <w:r>
        <w:rPr>
          <w:color w:val="231F20"/>
          <w:sz w:val="20"/>
        </w:rPr>
        <w:t>If you specified </w:t>
      </w:r>
      <w:r>
        <w:rPr>
          <w:rFonts w:ascii="Book Antiqua"/>
          <w:b/>
          <w:color w:val="231F20"/>
          <w:sz w:val="20"/>
        </w:rPr>
        <w:t>Fetch values from a query</w:t>
      </w:r>
      <w:r>
        <w:rPr>
          <w:color w:val="231F20"/>
          <w:sz w:val="20"/>
        </w:rPr>
        <w:t>, open the view properties and specify the query that will provide the connection information. To </w:t>
      </w:r>
      <w:r>
        <w:rPr>
          <w:color w:val="231F20"/>
          <w:sz w:val="20"/>
        </w:rPr>
        <w:t>determine which query to use, refer to the agent documentation.</w:t>
      </w:r>
    </w:p>
    <w:p>
      <w:pPr>
        <w:pStyle w:val="ListParagraph"/>
        <w:numPr>
          <w:ilvl w:val="0"/>
          <w:numId w:val="83"/>
        </w:numPr>
        <w:tabs>
          <w:tab w:pos="2548" w:val="left" w:leader="none"/>
        </w:tabs>
        <w:spacing w:line="213" w:lineRule="auto" w:before="58" w:after="0"/>
        <w:ind w:left="2548" w:right="1076" w:hanging="316"/>
        <w:jc w:val="left"/>
        <w:rPr>
          <w:rFonts w:ascii="Arial"/>
          <w:color w:val="231F20"/>
          <w:sz w:val="20"/>
        </w:rPr>
      </w:pPr>
      <w:r>
        <w:rPr>
          <w:color w:val="231F20"/>
          <w:sz w:val="20"/>
        </w:rPr>
        <w:t>If you want to keep the terminal view in this workspace for future work sessions, do one of the following:</w:t>
      </w:r>
    </w:p>
    <w:p>
      <w:pPr>
        <w:pStyle w:val="BodyText"/>
        <w:spacing w:before="36"/>
        <w:ind w:left="2548"/>
      </w:pPr>
      <w:r>
        <w:rPr>
          <w:rFonts w:ascii="Futura MdCn BT"/>
          <w:color w:val="231F20"/>
        </w:rPr>
        <w:t>v</w:t>
      </w:r>
      <w:r>
        <w:rPr>
          <w:rFonts w:ascii="Futura MdCn BT"/>
          <w:color w:val="231F20"/>
          <w:spacing w:val="31"/>
        </w:rPr>
        <w:t>  </w:t>
      </w:r>
      <w:r>
        <w:rPr>
          <w:color w:val="231F20"/>
        </w:rPr>
        <w:t>Click</w:t>
      </w:r>
      <w:r>
        <w:rPr>
          <w:color w:val="231F20"/>
          <w:spacing w:val="23"/>
        </w:rPr>
        <w:t> </w:t>
      </w:r>
      <w:r>
        <w:rPr>
          <w:color w:val="231F20"/>
          <w:spacing w:val="-24"/>
          <w:position w:val="-1"/>
        </w:rPr>
        <w:drawing>
          <wp:inline distT="0" distB="0" distL="0" distR="0">
            <wp:extent cx="95250" cy="95250"/>
            <wp:effectExtent l="0" t="0" r="0" b="0"/>
            <wp:docPr id="1604" name="Image 1604"/>
            <wp:cNvGraphicFramePr>
              <a:graphicFrameLocks/>
            </wp:cNvGraphicFramePr>
            <a:graphic>
              <a:graphicData uri="http://schemas.openxmlformats.org/drawingml/2006/picture">
                <pic:pic>
                  <pic:nvPicPr>
                    <pic:cNvPr id="1604" name="Image 1604"/>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56"/>
          <w:w w:val="150"/>
        </w:rPr>
        <w:t> </w:t>
      </w:r>
      <w:r>
        <w:rPr>
          <w:rFonts w:ascii="Book Antiqua"/>
          <w:b/>
          <w:color w:val="231F20"/>
        </w:rPr>
        <w:t>Save</w:t>
      </w:r>
      <w:r>
        <w:rPr>
          <w:rFonts w:ascii="Book Antiqua"/>
          <w:b/>
          <w:color w:val="231F20"/>
          <w:spacing w:val="12"/>
        </w:rPr>
        <w:t> </w:t>
      </w:r>
      <w:r>
        <w:rPr>
          <w:color w:val="231F20"/>
        </w:rPr>
        <w:t>to</w:t>
      </w:r>
      <w:r>
        <w:rPr>
          <w:color w:val="231F20"/>
          <w:spacing w:val="13"/>
        </w:rPr>
        <w:t> </w:t>
      </w:r>
      <w:r>
        <w:rPr>
          <w:color w:val="231F20"/>
        </w:rPr>
        <w:t>update</w:t>
      </w:r>
      <w:r>
        <w:rPr>
          <w:color w:val="231F20"/>
          <w:spacing w:val="12"/>
        </w:rPr>
        <w:t> </w:t>
      </w:r>
      <w:r>
        <w:rPr>
          <w:color w:val="231F20"/>
        </w:rPr>
        <w:t>the</w:t>
      </w:r>
      <w:r>
        <w:rPr>
          <w:color w:val="231F20"/>
          <w:spacing w:val="12"/>
        </w:rPr>
        <w:t> </w:t>
      </w:r>
      <w:r>
        <w:rPr>
          <w:color w:val="231F20"/>
        </w:rPr>
        <w:t>workspace</w:t>
      </w:r>
      <w:r>
        <w:rPr>
          <w:color w:val="231F20"/>
          <w:spacing w:val="13"/>
        </w:rPr>
        <w:t> </w:t>
      </w:r>
      <w:r>
        <w:rPr>
          <w:color w:val="231F20"/>
        </w:rPr>
        <w:t>properties</w:t>
      </w:r>
      <w:r>
        <w:rPr>
          <w:color w:val="231F20"/>
          <w:spacing w:val="12"/>
        </w:rPr>
        <w:t> </w:t>
      </w:r>
      <w:r>
        <w:rPr>
          <w:color w:val="231F20"/>
        </w:rPr>
        <w:t>with</w:t>
      </w:r>
      <w:r>
        <w:rPr>
          <w:color w:val="231F20"/>
          <w:spacing w:val="12"/>
        </w:rPr>
        <w:t> </w:t>
      </w:r>
      <w:r>
        <w:rPr>
          <w:color w:val="231F20"/>
        </w:rPr>
        <w:t>the</w:t>
      </w:r>
      <w:r>
        <w:rPr>
          <w:color w:val="231F20"/>
          <w:spacing w:val="13"/>
        </w:rPr>
        <w:t> </w:t>
      </w:r>
      <w:r>
        <w:rPr>
          <w:color w:val="231F20"/>
        </w:rPr>
        <w:t>new</w:t>
      </w:r>
      <w:r>
        <w:rPr>
          <w:color w:val="231F20"/>
          <w:spacing w:val="12"/>
        </w:rPr>
        <w:t> </w:t>
      </w:r>
      <w:r>
        <w:rPr>
          <w:color w:val="231F20"/>
          <w:spacing w:val="-2"/>
        </w:rPr>
        <w:t>view.</w:t>
      </w:r>
    </w:p>
    <w:p>
      <w:pPr>
        <w:pStyle w:val="BodyText"/>
        <w:spacing w:line="213" w:lineRule="auto" w:before="52"/>
        <w:ind w:left="2764" w:right="493" w:hanging="216"/>
      </w:pPr>
      <w:r>
        <w:rPr>
          <w:rFonts w:ascii="Futura MdCn BT"/>
          <w:color w:val="231F20"/>
        </w:rPr>
        <w:t>v</w:t>
      </w:r>
      <w:r>
        <w:rPr>
          <w:rFonts w:ascii="Futura MdCn BT"/>
          <w:color w:val="231F20"/>
          <w:spacing w:val="80"/>
        </w:rPr>
        <w:t> </w:t>
      </w:r>
      <w:r>
        <w:rPr>
          <w:color w:val="231F20"/>
        </w:rPr>
        <w:t>Click </w:t>
      </w:r>
      <w:r>
        <w:rPr>
          <w:rFonts w:ascii="Book Antiqua"/>
          <w:b/>
          <w:color w:val="231F20"/>
        </w:rPr>
        <w:t>Save Workspace As </w:t>
      </w:r>
      <w:r>
        <w:rPr>
          <w:color w:val="231F20"/>
        </w:rPr>
        <w:t>in the </w:t>
      </w:r>
      <w:r>
        <w:rPr>
          <w:rFonts w:ascii="Book Antiqua"/>
          <w:b/>
          <w:color w:val="231F20"/>
        </w:rPr>
        <w:t>File </w:t>
      </w:r>
      <w:r>
        <w:rPr>
          <w:color w:val="231F20"/>
        </w:rPr>
        <w:t>menu to save this as a new workspace</w:t>
      </w:r>
      <w:r>
        <w:rPr>
          <w:color w:val="231F20"/>
          <w:spacing w:val="40"/>
        </w:rPr>
        <w:t> </w:t>
      </w:r>
      <w:r>
        <w:rPr>
          <w:color w:val="231F20"/>
        </w:rPr>
        <w:t>and leave the original workspace as it was.</w:t>
      </w:r>
    </w:p>
    <w:p>
      <w:pPr>
        <w:spacing w:after="0" w:line="213" w:lineRule="auto"/>
        <w:sectPr>
          <w:pgSz w:w="12240" w:h="15840"/>
          <w:pgMar w:header="0" w:footer="736" w:top="1180" w:bottom="920" w:left="1000" w:right="1060"/>
        </w:sectPr>
      </w:pPr>
    </w:p>
    <w:p>
      <w:pPr>
        <w:pStyle w:val="Heading4"/>
        <w:spacing w:before="86"/>
        <w:ind w:left="2472"/>
      </w:pPr>
      <w:bookmarkStart w:name="_bookmark126" w:id="279"/>
      <w:bookmarkEnd w:id="279"/>
      <w:r>
        <w:rPr>
          <w:b w:val="0"/>
        </w:rPr>
      </w:r>
      <w:r>
        <w:rPr>
          <w:color w:val="231F20"/>
          <w:spacing w:val="-2"/>
        </w:rPr>
        <w:t>Results</w:t>
      </w:r>
    </w:p>
    <w:p>
      <w:pPr>
        <w:pStyle w:val="BodyText"/>
        <w:spacing w:line="213" w:lineRule="auto" w:before="242"/>
        <w:ind w:left="2472" w:right="385"/>
      </w:pPr>
      <w:r>
        <w:rPr>
          <w:color w:val="231F20"/>
        </w:rPr>
        <w:t>This configuration information will be used each time the workspace is opened</w:t>
      </w:r>
      <w:r>
        <w:rPr>
          <w:color w:val="231F20"/>
          <w:spacing w:val="40"/>
        </w:rPr>
        <w:t> </w:t>
      </w:r>
      <w:r>
        <w:rPr>
          <w:color w:val="231F20"/>
        </w:rPr>
        <w:t>and will establish a connection to the specified host. By default the terminal connection remains active until you disconnect manually or until you end this Tivoli Enterprise Portal work session. This means you can open other </w:t>
      </w:r>
      <w:r>
        <w:rPr>
          <w:color w:val="231F20"/>
        </w:rPr>
        <w:t>workspaces and return to this one without breaking the connection.</w:t>
      </w:r>
    </w:p>
    <w:p>
      <w:pPr>
        <w:pStyle w:val="Heading4"/>
        <w:spacing w:before="197"/>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545"/>
      </w:pPr>
      <w:r>
        <w:rPr>
          <w:color w:val="231F20"/>
        </w:rPr>
        <w:t>If you want to use dynamic terminal integration support to link to a </w:t>
      </w:r>
      <w:r>
        <w:rPr>
          <w:color w:val="231F20"/>
        </w:rPr>
        <w:t>specific application panel, you must also configure a connection script. Without a connection script, users will need to manually navigate to the appropriate application panel.</w:t>
      </w:r>
    </w:p>
    <w:p>
      <w:pPr>
        <w:pStyle w:val="Heading3"/>
        <w:spacing w:before="216"/>
        <w:ind w:left="1574"/>
      </w:pPr>
      <w:bookmarkStart w:name="What the terminal view shows" w:id="280"/>
      <w:bookmarkEnd w:id="280"/>
      <w:r>
        <w:rPr>
          <w:b w:val="0"/>
        </w:rPr>
      </w:r>
      <w:r>
        <w:rPr>
          <w:color w:val="231F20"/>
        </w:rPr>
        <w:t>What</w:t>
      </w:r>
      <w:r>
        <w:rPr>
          <w:color w:val="231F20"/>
          <w:spacing w:val="6"/>
        </w:rPr>
        <w:t> </w:t>
      </w:r>
      <w:r>
        <w:rPr>
          <w:color w:val="231F20"/>
        </w:rPr>
        <w:t>the</w:t>
      </w:r>
      <w:r>
        <w:rPr>
          <w:color w:val="231F20"/>
          <w:spacing w:val="8"/>
        </w:rPr>
        <w:t> </w:t>
      </w:r>
      <w:r>
        <w:rPr>
          <w:color w:val="231F20"/>
        </w:rPr>
        <w:t>terminal</w:t>
      </w:r>
      <w:r>
        <w:rPr>
          <w:color w:val="231F20"/>
          <w:spacing w:val="8"/>
        </w:rPr>
        <w:t> </w:t>
      </w:r>
      <w:r>
        <w:rPr>
          <w:color w:val="231F20"/>
        </w:rPr>
        <w:t>view</w:t>
      </w:r>
      <w:r>
        <w:rPr>
          <w:color w:val="231F20"/>
          <w:spacing w:val="8"/>
        </w:rPr>
        <w:t> </w:t>
      </w:r>
      <w:r>
        <w:rPr>
          <w:color w:val="231F20"/>
          <w:spacing w:val="-2"/>
        </w:rPr>
        <w:t>shows</w:t>
      </w:r>
    </w:p>
    <w:p>
      <w:pPr>
        <w:pStyle w:val="BodyText"/>
        <w:spacing w:line="213" w:lineRule="auto" w:before="58"/>
        <w:ind w:left="2472" w:right="385"/>
      </w:pPr>
      <w:r>
        <w:rPr>
          <w:color w:val="231F20"/>
        </w:rPr>
        <w:t>The terminal view displays a toolbar, main terminal window, keyboard </w:t>
      </w:r>
      <w:r>
        <w:rPr>
          <w:color w:val="231F20"/>
        </w:rPr>
        <w:t>mapping, and status bar.</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The</w:t>
      </w:r>
      <w:r>
        <w:rPr>
          <w:color w:val="231F20"/>
          <w:spacing w:val="11"/>
        </w:rPr>
        <w:t> </w:t>
      </w:r>
      <w:r>
        <w:rPr>
          <w:color w:val="231F20"/>
        </w:rPr>
        <w:t>terminal</w:t>
      </w:r>
      <w:r>
        <w:rPr>
          <w:color w:val="231F20"/>
          <w:spacing w:val="12"/>
        </w:rPr>
        <w:t> </w:t>
      </w:r>
      <w:r>
        <w:rPr>
          <w:color w:val="231F20"/>
        </w:rPr>
        <w:t>view</w:t>
      </w:r>
      <w:r>
        <w:rPr>
          <w:color w:val="231F20"/>
          <w:spacing w:val="11"/>
        </w:rPr>
        <w:t> </w:t>
      </w:r>
      <w:r>
        <w:rPr>
          <w:color w:val="231F20"/>
        </w:rPr>
        <w:t>has</w:t>
      </w:r>
      <w:r>
        <w:rPr>
          <w:color w:val="231F20"/>
          <w:spacing w:val="12"/>
        </w:rPr>
        <w:t> </w:t>
      </w:r>
      <w:r>
        <w:rPr>
          <w:color w:val="231F20"/>
        </w:rPr>
        <w:t>four</w:t>
      </w:r>
      <w:r>
        <w:rPr>
          <w:color w:val="231F20"/>
          <w:spacing w:val="12"/>
        </w:rPr>
        <w:t> </w:t>
      </w:r>
      <w:r>
        <w:rPr>
          <w:color w:val="231F20"/>
          <w:spacing w:val="-2"/>
        </w:rPr>
        <w:t>parts:</w:t>
      </w:r>
    </w:p>
    <w:p>
      <w:pPr>
        <w:pStyle w:val="BodyText"/>
        <w:spacing w:before="29"/>
        <w:ind w:left="2472"/>
      </w:pPr>
      <w:r>
        <w:rPr>
          <w:rFonts w:ascii="Futura MdCn BT"/>
          <w:color w:val="231F20"/>
        </w:rPr>
        <w:t>v</w:t>
      </w:r>
      <w:r>
        <w:rPr>
          <w:rFonts w:ascii="Futura MdCn BT"/>
          <w:color w:val="231F20"/>
          <w:spacing w:val="31"/>
        </w:rPr>
        <w:t>  </w:t>
      </w:r>
      <w:r>
        <w:rPr>
          <w:color w:val="231F20"/>
        </w:rPr>
        <w:t>A</w:t>
      </w:r>
      <w:r>
        <w:rPr>
          <w:color w:val="231F20"/>
          <w:spacing w:val="2"/>
        </w:rPr>
        <w:t> </w:t>
      </w:r>
      <w:r>
        <w:rPr>
          <w:color w:val="231F20"/>
        </w:rPr>
        <w:t>toolbar</w:t>
      </w:r>
      <w:r>
        <w:rPr>
          <w:color w:val="231F20"/>
          <w:spacing w:val="13"/>
        </w:rPr>
        <w:t> </w:t>
      </w:r>
      <w:r>
        <w:rPr>
          <w:color w:val="231F20"/>
        </w:rPr>
        <w:t>to</w:t>
      </w:r>
      <w:r>
        <w:rPr>
          <w:color w:val="231F20"/>
          <w:spacing w:val="12"/>
        </w:rPr>
        <w:t> </w:t>
      </w:r>
      <w:r>
        <w:rPr>
          <w:color w:val="231F20"/>
        </w:rPr>
        <w:t>control</w:t>
      </w:r>
      <w:r>
        <w:rPr>
          <w:color w:val="231F20"/>
          <w:spacing w:val="12"/>
        </w:rPr>
        <w:t> </w:t>
      </w:r>
      <w:r>
        <w:rPr>
          <w:color w:val="231F20"/>
        </w:rPr>
        <w:t>the</w:t>
      </w:r>
      <w:r>
        <w:rPr>
          <w:color w:val="231F20"/>
          <w:spacing w:val="12"/>
        </w:rPr>
        <w:t> </w:t>
      </w:r>
      <w:r>
        <w:rPr>
          <w:color w:val="231F20"/>
        </w:rPr>
        <w:t>display</w:t>
      </w:r>
      <w:r>
        <w:rPr>
          <w:color w:val="231F20"/>
          <w:spacing w:val="12"/>
        </w:rPr>
        <w:t> </w:t>
      </w:r>
      <w:r>
        <w:rPr>
          <w:color w:val="231F20"/>
        </w:rPr>
        <w:t>and</w:t>
      </w:r>
      <w:r>
        <w:rPr>
          <w:color w:val="231F20"/>
          <w:spacing w:val="13"/>
        </w:rPr>
        <w:t> </w:t>
      </w:r>
      <w:r>
        <w:rPr>
          <w:color w:val="231F20"/>
        </w:rPr>
        <w:t>operation</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spacing w:val="-2"/>
        </w:rPr>
        <w:t>session:</w:t>
      </w:r>
    </w:p>
    <w:p>
      <w:pPr>
        <w:pStyle w:val="BodyText"/>
        <w:spacing w:line="213" w:lineRule="auto" w:before="113"/>
        <w:ind w:left="3406" w:right="545"/>
      </w:pPr>
      <w:r>
        <w:rPr/>
        <w:drawing>
          <wp:anchor distT="0" distB="0" distL="0" distR="0" allowOverlap="1" layoutInCell="1" locked="0" behindDoc="0" simplePos="0" relativeHeight="15840768">
            <wp:simplePos x="0" y="0"/>
            <wp:positionH relativeFrom="page">
              <wp:posOffset>2342015</wp:posOffset>
            </wp:positionH>
            <wp:positionV relativeFrom="paragraph">
              <wp:posOffset>104632</wp:posOffset>
            </wp:positionV>
            <wp:extent cx="101600" cy="101600"/>
            <wp:effectExtent l="0" t="0" r="0" b="0"/>
            <wp:wrapNone/>
            <wp:docPr id="1605" name="Image 1605"/>
            <wp:cNvGraphicFramePr>
              <a:graphicFrameLocks/>
            </wp:cNvGraphicFramePr>
            <a:graphic>
              <a:graphicData uri="http://schemas.openxmlformats.org/drawingml/2006/picture">
                <pic:pic>
                  <pic:nvPicPr>
                    <pic:cNvPr id="1605" name="Image 1605"/>
                    <pic:cNvPicPr/>
                  </pic:nvPicPr>
                  <pic:blipFill>
                    <a:blip r:embed="rId322" cstate="print"/>
                    <a:stretch>
                      <a:fillRect/>
                    </a:stretch>
                  </pic:blipFill>
                  <pic:spPr>
                    <a:xfrm>
                      <a:off x="0" y="0"/>
                      <a:ext cx="101600" cy="101600"/>
                    </a:xfrm>
                    <a:prstGeom prst="rect">
                      <a:avLst/>
                    </a:prstGeom>
                  </pic:spPr>
                </pic:pic>
              </a:graphicData>
            </a:graphic>
          </wp:anchor>
        </w:drawing>
      </w:r>
      <w:r>
        <w:rPr>
          <w:rFonts w:ascii="Book Antiqua"/>
          <w:b/>
          <w:color w:val="231F20"/>
        </w:rPr>
        <w:t>KeyPad </w:t>
      </w:r>
      <w:r>
        <w:rPr>
          <w:color w:val="231F20"/>
        </w:rPr>
        <w:t>toggles the display of the key mappings at the bottom of </w:t>
      </w:r>
      <w:r>
        <w:rPr>
          <w:color w:val="231F20"/>
        </w:rPr>
        <w:t>the </w:t>
      </w:r>
      <w:r>
        <w:rPr>
          <w:color w:val="231F20"/>
          <w:spacing w:val="-2"/>
        </w:rPr>
        <w:t>view.</w:t>
      </w:r>
    </w:p>
    <w:p>
      <w:pPr>
        <w:pStyle w:val="BodyText"/>
        <w:spacing w:line="211" w:lineRule="auto" w:before="125"/>
        <w:ind w:left="3406" w:right="258" w:hanging="443"/>
      </w:pPr>
      <w:r>
        <w:rPr/>
        <w:drawing>
          <wp:anchor distT="0" distB="0" distL="0" distR="0" allowOverlap="1" layoutInCell="1" locked="0" behindDoc="0" simplePos="0" relativeHeight="15841280">
            <wp:simplePos x="0" y="0"/>
            <wp:positionH relativeFrom="page">
              <wp:posOffset>2348365</wp:posOffset>
            </wp:positionH>
            <wp:positionV relativeFrom="paragraph">
              <wp:posOffset>114404</wp:posOffset>
            </wp:positionV>
            <wp:extent cx="95250" cy="95250"/>
            <wp:effectExtent l="0" t="0" r="0" b="0"/>
            <wp:wrapNone/>
            <wp:docPr id="1606" name="Image 1606"/>
            <wp:cNvGraphicFramePr>
              <a:graphicFrameLocks/>
            </wp:cNvGraphicFramePr>
            <a:graphic>
              <a:graphicData uri="http://schemas.openxmlformats.org/drawingml/2006/picture">
                <pic:pic>
                  <pic:nvPicPr>
                    <pic:cNvPr id="1606" name="Image 1606"/>
                    <pic:cNvPicPr/>
                  </pic:nvPicPr>
                  <pic:blipFill>
                    <a:blip r:embed="rId323" cstate="print"/>
                    <a:stretch>
                      <a:fillRect/>
                    </a:stretch>
                  </pic:blipFill>
                  <pic:spPr>
                    <a:xfrm>
                      <a:off x="0" y="0"/>
                      <a:ext cx="95250" cy="95250"/>
                    </a:xfrm>
                    <a:prstGeom prst="rect">
                      <a:avLst/>
                    </a:prstGeom>
                  </pic:spPr>
                </pic:pic>
              </a:graphicData>
            </a:graphic>
          </wp:anchor>
        </w:drawing>
      </w:r>
      <w:r>
        <w:rPr/>
        <w:drawing>
          <wp:inline distT="0" distB="0" distL="0" distR="0">
            <wp:extent cx="158750" cy="82550"/>
            <wp:effectExtent l="0" t="0" r="0" b="0"/>
            <wp:docPr id="1607" name="Image 1607"/>
            <wp:cNvGraphicFramePr>
              <a:graphicFrameLocks/>
            </wp:cNvGraphicFramePr>
            <a:graphic>
              <a:graphicData uri="http://schemas.openxmlformats.org/drawingml/2006/picture">
                <pic:pic>
                  <pic:nvPicPr>
                    <pic:cNvPr id="1607" name="Image 1607"/>
                    <pic:cNvPicPr/>
                  </pic:nvPicPr>
                  <pic:blipFill>
                    <a:blip r:embed="rId192" cstate="print"/>
                    <a:stretch>
                      <a:fillRect/>
                    </a:stretch>
                  </pic:blipFill>
                  <pic:spPr>
                    <a:xfrm>
                      <a:off x="0" y="0"/>
                      <a:ext cx="158750" cy="82550"/>
                    </a:xfrm>
                    <a:prstGeom prst="rect">
                      <a:avLst/>
                    </a:prstGeom>
                  </pic:spPr>
                </pic:pic>
              </a:graphicData>
            </a:graphic>
          </wp:inline>
        </w:drawing>
      </w:r>
      <w:r>
        <w:rPr/>
      </w:r>
      <w:r>
        <w:rPr>
          <w:rFonts w:ascii="Times New Roman"/>
          <w:spacing w:val="80"/>
        </w:rPr>
        <w:t> </w:t>
      </w:r>
      <w:r>
        <w:rPr>
          <w:rFonts w:ascii="Book Antiqua"/>
          <w:b/>
          <w:color w:val="231F20"/>
        </w:rPr>
        <w:t>Connection </w:t>
      </w:r>
      <w:r>
        <w:rPr>
          <w:color w:val="231F20"/>
        </w:rPr>
        <w:t>connects to a session or disconnects from an active session. Disconnecting from a session while a script is active will terminate the script; disconnecting while the script is recording will stop the </w:t>
      </w:r>
      <w:r>
        <w:rPr>
          <w:color w:val="231F20"/>
        </w:rPr>
        <w:t>recording.</w:t>
      </w:r>
    </w:p>
    <w:p>
      <w:pPr>
        <w:pStyle w:val="BodyText"/>
        <w:spacing w:line="213" w:lineRule="auto" w:before="119"/>
        <w:ind w:left="3406" w:right="385"/>
      </w:pPr>
      <w:r>
        <w:rPr/>
        <w:drawing>
          <wp:anchor distT="0" distB="0" distL="0" distR="0" allowOverlap="1" layoutInCell="1" locked="0" behindDoc="0" simplePos="0" relativeHeight="15841792">
            <wp:simplePos x="0" y="0"/>
            <wp:positionH relativeFrom="page">
              <wp:posOffset>2342015</wp:posOffset>
            </wp:positionH>
            <wp:positionV relativeFrom="paragraph">
              <wp:posOffset>108571</wp:posOffset>
            </wp:positionV>
            <wp:extent cx="101600" cy="101600"/>
            <wp:effectExtent l="0" t="0" r="0" b="0"/>
            <wp:wrapNone/>
            <wp:docPr id="1608" name="Image 1608"/>
            <wp:cNvGraphicFramePr>
              <a:graphicFrameLocks/>
            </wp:cNvGraphicFramePr>
            <a:graphic>
              <a:graphicData uri="http://schemas.openxmlformats.org/drawingml/2006/picture">
                <pic:pic>
                  <pic:nvPicPr>
                    <pic:cNvPr id="1608" name="Image 1608"/>
                    <pic:cNvPicPr/>
                  </pic:nvPicPr>
                  <pic:blipFill>
                    <a:blip r:embed="rId51" cstate="print"/>
                    <a:stretch>
                      <a:fillRect/>
                    </a:stretch>
                  </pic:blipFill>
                  <pic:spPr>
                    <a:xfrm>
                      <a:off x="0" y="0"/>
                      <a:ext cx="101600" cy="101600"/>
                    </a:xfrm>
                    <a:prstGeom prst="rect">
                      <a:avLst/>
                    </a:prstGeom>
                  </pic:spPr>
                </pic:pic>
              </a:graphicData>
            </a:graphic>
          </wp:anchor>
        </w:drawing>
      </w:r>
      <w:r>
        <w:rPr>
          <w:rFonts w:ascii="Book Antiqua"/>
          <w:b/>
          <w:color w:val="231F20"/>
        </w:rPr>
        <w:t>Manage Scripts </w:t>
      </w:r>
      <w:r>
        <w:rPr>
          <w:color w:val="231F20"/>
        </w:rPr>
        <w:t>opens a window so you can create, edit, delete, start, and stop scripts for 3270 or 5250 sessions. Scripts are not available</w:t>
      </w:r>
      <w:r>
        <w:rPr>
          <w:color w:val="231F20"/>
          <w:spacing w:val="80"/>
        </w:rPr>
        <w:t> </w:t>
      </w:r>
      <w:r>
        <w:rPr>
          <w:color w:val="231F20"/>
        </w:rPr>
        <w:t>for Telnet sessions.</w:t>
      </w:r>
    </w:p>
    <w:p>
      <w:pPr>
        <w:pStyle w:val="BodyText"/>
        <w:spacing w:line="211" w:lineRule="auto" w:before="125"/>
        <w:ind w:left="3406" w:right="191" w:hanging="443"/>
        <w:jc w:val="both"/>
      </w:pPr>
      <w:r>
        <w:rPr/>
        <w:drawing>
          <wp:anchor distT="0" distB="0" distL="0" distR="0" allowOverlap="1" layoutInCell="1" locked="0" behindDoc="0" simplePos="0" relativeHeight="15842304">
            <wp:simplePos x="0" y="0"/>
            <wp:positionH relativeFrom="page">
              <wp:posOffset>2342015</wp:posOffset>
            </wp:positionH>
            <wp:positionV relativeFrom="paragraph">
              <wp:posOffset>107755</wp:posOffset>
            </wp:positionV>
            <wp:extent cx="101600" cy="101600"/>
            <wp:effectExtent l="0" t="0" r="0" b="0"/>
            <wp:wrapNone/>
            <wp:docPr id="1609" name="Image 1609"/>
            <wp:cNvGraphicFramePr>
              <a:graphicFrameLocks/>
            </wp:cNvGraphicFramePr>
            <a:graphic>
              <a:graphicData uri="http://schemas.openxmlformats.org/drawingml/2006/picture">
                <pic:pic>
                  <pic:nvPicPr>
                    <pic:cNvPr id="1609" name="Image 1609"/>
                    <pic:cNvPicPr/>
                  </pic:nvPicPr>
                  <pic:blipFill>
                    <a:blip r:embed="rId324" cstate="print"/>
                    <a:stretch>
                      <a:fillRect/>
                    </a:stretch>
                  </pic:blipFill>
                  <pic:spPr>
                    <a:xfrm>
                      <a:off x="0" y="0"/>
                      <a:ext cx="101600" cy="101600"/>
                    </a:xfrm>
                    <a:prstGeom prst="rect">
                      <a:avLst/>
                    </a:prstGeom>
                  </pic:spPr>
                </pic:pic>
              </a:graphicData>
            </a:graphic>
          </wp:anchor>
        </w:drawing>
      </w:r>
      <w:r>
        <w:rPr/>
        <w:drawing>
          <wp:inline distT="0" distB="0" distL="0" distR="0">
            <wp:extent cx="158750" cy="82550"/>
            <wp:effectExtent l="0" t="0" r="0" b="0"/>
            <wp:docPr id="1610" name="Image 1610"/>
            <wp:cNvGraphicFramePr>
              <a:graphicFrameLocks/>
            </wp:cNvGraphicFramePr>
            <a:graphic>
              <a:graphicData uri="http://schemas.openxmlformats.org/drawingml/2006/picture">
                <pic:pic>
                  <pic:nvPicPr>
                    <pic:cNvPr id="1610" name="Image 1610"/>
                    <pic:cNvPicPr/>
                  </pic:nvPicPr>
                  <pic:blipFill>
                    <a:blip r:embed="rId192" cstate="print"/>
                    <a:stretch>
                      <a:fillRect/>
                    </a:stretch>
                  </pic:blipFill>
                  <pic:spPr>
                    <a:xfrm>
                      <a:off x="0" y="0"/>
                      <a:ext cx="158750" cy="82550"/>
                    </a:xfrm>
                    <a:prstGeom prst="rect">
                      <a:avLst/>
                    </a:prstGeom>
                  </pic:spPr>
                </pic:pic>
              </a:graphicData>
            </a:graphic>
          </wp:inline>
        </w:drawing>
      </w:r>
      <w:r>
        <w:rPr/>
      </w:r>
      <w:r>
        <w:rPr>
          <w:rFonts w:ascii="Times New Roman"/>
          <w:spacing w:val="80"/>
        </w:rPr>
        <w:t> </w:t>
      </w:r>
      <w:r>
        <w:rPr>
          <w:rFonts w:ascii="Book Antiqua"/>
          <w:b/>
          <w:color w:val="231F20"/>
        </w:rPr>
        <w:t>Record New Script </w:t>
      </w:r>
      <w:r>
        <w:rPr>
          <w:color w:val="231F20"/>
        </w:rPr>
        <w:t>prompts for a new script name and starts recording. The text box shows </w:t>
      </w:r>
      <w:r>
        <w:rPr>
          <w:rFonts w:ascii="Arial"/>
          <w:color w:val="231F20"/>
        </w:rPr>
        <w:t>Recording: </w:t>
      </w:r>
      <w:r>
        <w:rPr>
          <w:rFonts w:ascii="Book Antiqua"/>
          <w:i/>
          <w:color w:val="231F20"/>
        </w:rPr>
        <w:t>name</w:t>
      </w:r>
      <w:r>
        <w:rPr>
          <w:color w:val="231F20"/>
        </w:rPr>
        <w:t>, where </w:t>
      </w:r>
      <w:r>
        <w:rPr>
          <w:rFonts w:ascii="Book Antiqua"/>
          <w:i/>
          <w:color w:val="231F20"/>
        </w:rPr>
        <w:t>name </w:t>
      </w:r>
      <w:r>
        <w:rPr>
          <w:color w:val="231F20"/>
        </w:rPr>
        <w:t>is the title of the </w:t>
      </w:r>
      <w:r>
        <w:rPr>
          <w:color w:val="231F20"/>
        </w:rPr>
        <w:t>script currently being recorded. Scripts are not available for Telnet sessions.</w:t>
      </w:r>
    </w:p>
    <w:p>
      <w:pPr>
        <w:pStyle w:val="BodyText"/>
        <w:spacing w:line="213" w:lineRule="auto" w:before="118"/>
        <w:ind w:left="3406" w:right="1055"/>
        <w:jc w:val="both"/>
      </w:pPr>
      <w:r>
        <w:rPr/>
        <w:drawing>
          <wp:anchor distT="0" distB="0" distL="0" distR="0" allowOverlap="1" layoutInCell="1" locked="0" behindDoc="0" simplePos="0" relativeHeight="15842816">
            <wp:simplePos x="0" y="0"/>
            <wp:positionH relativeFrom="page">
              <wp:posOffset>2348365</wp:posOffset>
            </wp:positionH>
            <wp:positionV relativeFrom="paragraph">
              <wp:posOffset>114621</wp:posOffset>
            </wp:positionV>
            <wp:extent cx="95250" cy="95250"/>
            <wp:effectExtent l="0" t="0" r="0" b="0"/>
            <wp:wrapNone/>
            <wp:docPr id="1611" name="Image 1611"/>
            <wp:cNvGraphicFramePr>
              <a:graphicFrameLocks/>
            </wp:cNvGraphicFramePr>
            <a:graphic>
              <a:graphicData uri="http://schemas.openxmlformats.org/drawingml/2006/picture">
                <pic:pic>
                  <pic:nvPicPr>
                    <pic:cNvPr id="1611" name="Image 1611"/>
                    <pic:cNvPicPr/>
                  </pic:nvPicPr>
                  <pic:blipFill>
                    <a:blip r:embed="rId38" cstate="print"/>
                    <a:stretch>
                      <a:fillRect/>
                    </a:stretch>
                  </pic:blipFill>
                  <pic:spPr>
                    <a:xfrm>
                      <a:off x="0" y="0"/>
                      <a:ext cx="95250" cy="95250"/>
                    </a:xfrm>
                    <a:prstGeom prst="rect">
                      <a:avLst/>
                    </a:prstGeom>
                  </pic:spPr>
                </pic:pic>
              </a:graphicData>
            </a:graphic>
          </wp:anchor>
        </w:drawing>
      </w:r>
      <w:r>
        <w:rPr>
          <w:rFonts w:ascii="Book Antiqua"/>
          <w:b/>
          <w:color w:val="231F20"/>
        </w:rPr>
        <w:t>Stop Script </w:t>
      </w:r>
      <w:r>
        <w:rPr>
          <w:color w:val="231F20"/>
        </w:rPr>
        <w:t>stops whichever is in use: script recording or </w:t>
      </w:r>
      <w:r>
        <w:rPr>
          <w:color w:val="231F20"/>
        </w:rPr>
        <w:t>script </w:t>
      </w:r>
      <w:r>
        <w:rPr>
          <w:color w:val="231F20"/>
          <w:spacing w:val="-2"/>
        </w:rPr>
        <w:t>playback.</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A main terminal window that represents the emulator session with the host. You manipulate this window in the same manner as a normal terminal.</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A keyboard mapping that emulates the aid keys of the real terminal. You can click directly on these keys to send the equivalent aid key.</w:t>
      </w:r>
    </w:p>
    <w:p>
      <w:pPr>
        <w:pStyle w:val="BodyText"/>
        <w:spacing w:before="36"/>
        <w:ind w:left="2472"/>
      </w:pPr>
      <w:r>
        <w:rPr>
          <w:rFonts w:ascii="Futura MdCn BT"/>
          <w:color w:val="231F20"/>
        </w:rPr>
        <w:t>v</w:t>
      </w:r>
      <w:r>
        <w:rPr>
          <w:rFonts w:ascii="Futura MdCn BT"/>
          <w:color w:val="231F20"/>
          <w:spacing w:val="31"/>
        </w:rPr>
        <w:t>  </w:t>
      </w:r>
      <w:r>
        <w:rPr>
          <w:color w:val="231F20"/>
        </w:rPr>
        <w:t>A</w:t>
      </w:r>
      <w:r>
        <w:rPr>
          <w:color w:val="231F20"/>
          <w:spacing w:val="1"/>
        </w:rPr>
        <w:t> </w:t>
      </w:r>
      <w:r>
        <w:rPr>
          <w:color w:val="231F20"/>
        </w:rPr>
        <w:t>status</w:t>
      </w:r>
      <w:r>
        <w:rPr>
          <w:color w:val="231F20"/>
          <w:spacing w:val="12"/>
        </w:rPr>
        <w:t> </w:t>
      </w:r>
      <w:r>
        <w:rPr>
          <w:color w:val="231F20"/>
        </w:rPr>
        <w:t>bar</w:t>
      </w:r>
      <w:r>
        <w:rPr>
          <w:color w:val="231F20"/>
          <w:spacing w:val="12"/>
        </w:rPr>
        <w:t> </w:t>
      </w:r>
      <w:r>
        <w:rPr>
          <w:color w:val="231F20"/>
        </w:rPr>
        <w:t>that</w:t>
      </w:r>
      <w:r>
        <w:rPr>
          <w:color w:val="231F20"/>
          <w:spacing w:val="11"/>
        </w:rPr>
        <w:t> </w:t>
      </w:r>
      <w:r>
        <w:rPr>
          <w:color w:val="231F20"/>
        </w:rPr>
        <w:t>displays</w:t>
      </w:r>
      <w:r>
        <w:rPr>
          <w:color w:val="231F20"/>
          <w:spacing w:val="12"/>
        </w:rPr>
        <w:t> </w:t>
      </w:r>
      <w:r>
        <w:rPr>
          <w:color w:val="231F20"/>
        </w:rPr>
        <w:t>information</w:t>
      </w:r>
      <w:r>
        <w:rPr>
          <w:color w:val="231F20"/>
          <w:spacing w:val="12"/>
        </w:rPr>
        <w:t> </w:t>
      </w:r>
      <w:r>
        <w:rPr>
          <w:color w:val="231F20"/>
        </w:rPr>
        <w:t>about</w:t>
      </w:r>
      <w:r>
        <w:rPr>
          <w:color w:val="231F20"/>
          <w:spacing w:val="12"/>
        </w:rPr>
        <w:t> </w:t>
      </w:r>
      <w:r>
        <w:rPr>
          <w:color w:val="231F20"/>
        </w:rPr>
        <w:t>the</w:t>
      </w:r>
      <w:r>
        <w:rPr>
          <w:color w:val="231F20"/>
          <w:spacing w:val="12"/>
        </w:rPr>
        <w:t> </w:t>
      </w:r>
      <w:r>
        <w:rPr>
          <w:color w:val="231F20"/>
        </w:rPr>
        <w:t>current</w:t>
      </w:r>
      <w:r>
        <w:rPr>
          <w:color w:val="231F20"/>
          <w:spacing w:val="11"/>
        </w:rPr>
        <w:t> </w:t>
      </w:r>
      <w:r>
        <w:rPr>
          <w:color w:val="231F20"/>
        </w:rPr>
        <w:t>status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spacing w:val="-2"/>
        </w:rPr>
        <w:t>session:</w:t>
      </w:r>
    </w:p>
    <w:p>
      <w:pPr>
        <w:pStyle w:val="BodyText"/>
        <w:spacing w:before="29"/>
        <w:ind w:left="2688"/>
      </w:pPr>
      <w:r>
        <w:rPr>
          <w:rFonts w:ascii="Book Antiqua"/>
          <w:b/>
          <w:color w:val="231F20"/>
        </w:rPr>
        <w:t>Host</w:t>
      </w:r>
      <w:r>
        <w:rPr>
          <w:rFonts w:ascii="Book Antiqua"/>
          <w:b/>
          <w:color w:val="231F20"/>
          <w:spacing w:val="11"/>
        </w:rPr>
        <w:t> </w:t>
      </w:r>
      <w:r>
        <w:rPr>
          <w:rFonts w:ascii="Book Antiqua"/>
          <w:b/>
          <w:color w:val="231F20"/>
        </w:rPr>
        <w:t>name</w:t>
      </w:r>
      <w:r>
        <w:rPr>
          <w:rFonts w:ascii="Book Antiqua"/>
          <w:b/>
          <w:color w:val="231F20"/>
          <w:spacing w:val="12"/>
        </w:rPr>
        <w:t> </w:t>
      </w:r>
      <w:r>
        <w:rPr>
          <w:color w:val="231F20"/>
        </w:rPr>
        <w:t>displays</w:t>
      </w:r>
      <w:r>
        <w:rPr>
          <w:color w:val="231F20"/>
          <w:spacing w:val="12"/>
        </w:rPr>
        <w:t> </w:t>
      </w:r>
      <w:r>
        <w:rPr>
          <w:color w:val="231F20"/>
        </w:rPr>
        <w:t>the</w:t>
      </w:r>
      <w:r>
        <w:rPr>
          <w:color w:val="231F20"/>
          <w:spacing w:val="12"/>
        </w:rPr>
        <w:t> </w:t>
      </w:r>
      <w:r>
        <w:rPr>
          <w:color w:val="231F20"/>
        </w:rPr>
        <w:t>name</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host</w:t>
      </w:r>
      <w:r>
        <w:rPr>
          <w:color w:val="231F20"/>
          <w:spacing w:val="12"/>
        </w:rPr>
        <w:t> </w:t>
      </w:r>
      <w:r>
        <w:rPr>
          <w:color w:val="231F20"/>
        </w:rPr>
        <w:t>to</w:t>
      </w:r>
      <w:r>
        <w:rPr>
          <w:color w:val="231F20"/>
          <w:spacing w:val="12"/>
        </w:rPr>
        <w:t> </w:t>
      </w:r>
      <w:r>
        <w:rPr>
          <w:color w:val="231F20"/>
        </w:rPr>
        <w:t>which</w:t>
      </w:r>
      <w:r>
        <w:rPr>
          <w:color w:val="231F20"/>
          <w:spacing w:val="12"/>
        </w:rPr>
        <w:t> </w:t>
      </w:r>
      <w:r>
        <w:rPr>
          <w:color w:val="231F20"/>
        </w:rPr>
        <w:t>you</w:t>
      </w:r>
      <w:r>
        <w:rPr>
          <w:color w:val="231F20"/>
          <w:spacing w:val="12"/>
        </w:rPr>
        <w:t> </w:t>
      </w:r>
      <w:r>
        <w:rPr>
          <w:color w:val="231F20"/>
        </w:rPr>
        <w:t>are</w:t>
      </w:r>
      <w:r>
        <w:rPr>
          <w:color w:val="231F20"/>
          <w:spacing w:val="11"/>
        </w:rPr>
        <w:t> </w:t>
      </w:r>
      <w:r>
        <w:rPr>
          <w:color w:val="231F20"/>
          <w:spacing w:val="-2"/>
        </w:rPr>
        <w:t>connected.</w:t>
      </w:r>
    </w:p>
    <w:p>
      <w:pPr>
        <w:spacing w:line="213" w:lineRule="auto" w:before="53"/>
        <w:ind w:left="2688" w:right="0" w:firstLine="0"/>
        <w:jc w:val="left"/>
        <w:rPr>
          <w:sz w:val="20"/>
        </w:rPr>
      </w:pPr>
      <w:r>
        <w:rPr>
          <w:rFonts w:ascii="Book Antiqua"/>
          <w:b/>
          <w:color w:val="231F20"/>
          <w:sz w:val="20"/>
        </w:rPr>
        <w:t>Connection status </w:t>
      </w:r>
      <w:r>
        <w:rPr>
          <w:color w:val="231F20"/>
          <w:sz w:val="20"/>
        </w:rPr>
        <w:t>indicates whether the current session is connected </w:t>
      </w:r>
      <w:r>
        <w:rPr>
          <w:color w:val="231F20"/>
          <w:sz w:val="20"/>
        </w:rPr>
        <w:t>or </w:t>
      </w:r>
      <w:r>
        <w:rPr>
          <w:color w:val="231F20"/>
          <w:spacing w:val="-2"/>
          <w:sz w:val="20"/>
        </w:rPr>
        <w:t>disconnected.</w:t>
      </w:r>
    </w:p>
    <w:p>
      <w:pPr>
        <w:spacing w:before="35"/>
        <w:ind w:left="2688" w:right="0" w:firstLine="0"/>
        <w:jc w:val="left"/>
        <w:rPr>
          <w:sz w:val="20"/>
        </w:rPr>
      </w:pPr>
      <w:r>
        <w:rPr>
          <w:rFonts w:ascii="Book Antiqua"/>
          <w:b/>
          <w:color w:val="231F20"/>
          <w:sz w:val="20"/>
        </w:rPr>
        <w:t>Keyboard</w:t>
      </w:r>
      <w:r>
        <w:rPr>
          <w:rFonts w:ascii="Book Antiqua"/>
          <w:b/>
          <w:color w:val="231F20"/>
          <w:spacing w:val="10"/>
          <w:sz w:val="20"/>
        </w:rPr>
        <w:t> </w:t>
      </w:r>
      <w:r>
        <w:rPr>
          <w:rFonts w:ascii="Book Antiqua"/>
          <w:b/>
          <w:color w:val="231F20"/>
          <w:sz w:val="20"/>
        </w:rPr>
        <w:t>status</w:t>
      </w:r>
      <w:r>
        <w:rPr>
          <w:rFonts w:ascii="Book Antiqua"/>
          <w:b/>
          <w:color w:val="231F20"/>
          <w:spacing w:val="10"/>
          <w:sz w:val="20"/>
        </w:rPr>
        <w:t> </w:t>
      </w:r>
      <w:r>
        <w:rPr>
          <w:color w:val="231F20"/>
          <w:sz w:val="20"/>
        </w:rPr>
        <w:t>indicates</w:t>
      </w:r>
      <w:r>
        <w:rPr>
          <w:color w:val="231F20"/>
          <w:spacing w:val="10"/>
          <w:sz w:val="20"/>
        </w:rPr>
        <w:t> </w:t>
      </w:r>
      <w:r>
        <w:rPr>
          <w:color w:val="231F20"/>
          <w:sz w:val="20"/>
        </w:rPr>
        <w:t>whether</w:t>
      </w:r>
      <w:r>
        <w:rPr>
          <w:color w:val="231F20"/>
          <w:spacing w:val="10"/>
          <w:sz w:val="20"/>
        </w:rPr>
        <w:t> </w:t>
      </w:r>
      <w:r>
        <w:rPr>
          <w:color w:val="231F20"/>
          <w:sz w:val="20"/>
        </w:rPr>
        <w:t>the</w:t>
      </w:r>
      <w:r>
        <w:rPr>
          <w:color w:val="231F20"/>
          <w:spacing w:val="10"/>
          <w:sz w:val="20"/>
        </w:rPr>
        <w:t> </w:t>
      </w:r>
      <w:r>
        <w:rPr>
          <w:color w:val="231F20"/>
          <w:sz w:val="20"/>
        </w:rPr>
        <w:t>keyboard</w:t>
      </w:r>
      <w:r>
        <w:rPr>
          <w:color w:val="231F20"/>
          <w:spacing w:val="10"/>
          <w:sz w:val="20"/>
        </w:rPr>
        <w:t> </w:t>
      </w:r>
      <w:r>
        <w:rPr>
          <w:color w:val="231F20"/>
          <w:sz w:val="20"/>
        </w:rPr>
        <w:t>is</w:t>
      </w:r>
      <w:r>
        <w:rPr>
          <w:color w:val="231F20"/>
          <w:spacing w:val="10"/>
          <w:sz w:val="20"/>
        </w:rPr>
        <w:t> </w:t>
      </w:r>
      <w:r>
        <w:rPr>
          <w:color w:val="231F20"/>
          <w:sz w:val="20"/>
        </w:rPr>
        <w:t>locked</w:t>
      </w:r>
      <w:r>
        <w:rPr>
          <w:color w:val="231F20"/>
          <w:spacing w:val="10"/>
          <w:sz w:val="20"/>
        </w:rPr>
        <w:t> </w:t>
      </w:r>
      <w:r>
        <w:rPr>
          <w:color w:val="231F20"/>
          <w:sz w:val="20"/>
        </w:rPr>
        <w:t>or</w:t>
      </w:r>
      <w:r>
        <w:rPr>
          <w:color w:val="231F20"/>
          <w:spacing w:val="10"/>
          <w:sz w:val="20"/>
        </w:rPr>
        <w:t> </w:t>
      </w:r>
      <w:r>
        <w:rPr>
          <w:color w:val="231F20"/>
          <w:spacing w:val="-2"/>
          <w:sz w:val="20"/>
        </w:rPr>
        <w:t>unlocked.</w:t>
      </w:r>
    </w:p>
    <w:p>
      <w:pPr>
        <w:pStyle w:val="BodyText"/>
        <w:spacing w:line="213" w:lineRule="auto" w:before="53"/>
        <w:ind w:left="2688" w:right="274"/>
      </w:pPr>
      <w:r>
        <w:rPr>
          <w:rFonts w:ascii="Book Antiqua"/>
          <w:b/>
          <w:color w:val="231F20"/>
        </w:rPr>
        <w:t>Overwrite/Insert </w:t>
      </w:r>
      <w:r>
        <w:rPr>
          <w:color w:val="231F20"/>
        </w:rPr>
        <w:t>indicates whether the characters will overwrite or insert </w:t>
      </w:r>
      <w:r>
        <w:rPr>
          <w:color w:val="231F20"/>
        </w:rPr>
        <w:t>when typed into an unprotected field.</w:t>
      </w:r>
    </w:p>
    <w:p>
      <w:pPr>
        <w:pStyle w:val="BodyText"/>
        <w:spacing w:line="213" w:lineRule="auto" w:before="59"/>
        <w:ind w:left="2688"/>
      </w:pPr>
      <w:r>
        <w:rPr>
          <w:rFonts w:ascii="Book Antiqua"/>
          <w:b/>
          <w:color w:val="231F20"/>
        </w:rPr>
        <w:t>Field Status </w:t>
      </w:r>
      <w:r>
        <w:rPr>
          <w:color w:val="231F20"/>
        </w:rPr>
        <w:t>indicates whether a field on the terminal screen is protected </w:t>
      </w:r>
      <w:r>
        <w:rPr>
          <w:color w:val="231F20"/>
        </w:rPr>
        <w:t>or </w:t>
      </w:r>
      <w:r>
        <w:rPr>
          <w:color w:val="231F20"/>
          <w:spacing w:val="-2"/>
        </w:rPr>
        <w:t>unprotected.</w:t>
      </w:r>
    </w:p>
    <w:p>
      <w:pPr>
        <w:spacing w:before="35"/>
        <w:ind w:left="2688" w:right="0" w:firstLine="0"/>
        <w:jc w:val="left"/>
        <w:rPr>
          <w:sz w:val="20"/>
        </w:rPr>
      </w:pPr>
      <w:r>
        <w:rPr>
          <w:rFonts w:ascii="Book Antiqua"/>
          <w:b/>
          <w:color w:val="231F20"/>
          <w:sz w:val="20"/>
        </w:rPr>
        <w:t>Cursor</w:t>
      </w:r>
      <w:r>
        <w:rPr>
          <w:rFonts w:ascii="Book Antiqua"/>
          <w:b/>
          <w:color w:val="231F20"/>
          <w:spacing w:val="7"/>
          <w:sz w:val="20"/>
        </w:rPr>
        <w:t> </w:t>
      </w:r>
      <w:r>
        <w:rPr>
          <w:rFonts w:ascii="Book Antiqua"/>
          <w:b/>
          <w:color w:val="231F20"/>
          <w:sz w:val="20"/>
        </w:rPr>
        <w:t>Location</w:t>
      </w:r>
      <w:r>
        <w:rPr>
          <w:rFonts w:ascii="Book Antiqua"/>
          <w:b/>
          <w:color w:val="231F20"/>
          <w:spacing w:val="8"/>
          <w:sz w:val="20"/>
        </w:rPr>
        <w:t> </w:t>
      </w:r>
      <w:r>
        <w:rPr>
          <w:color w:val="231F20"/>
          <w:sz w:val="20"/>
        </w:rPr>
        <w:t>displays</w:t>
      </w:r>
      <w:r>
        <w:rPr>
          <w:color w:val="231F20"/>
          <w:spacing w:val="8"/>
          <w:sz w:val="20"/>
        </w:rPr>
        <w:t> </w:t>
      </w:r>
      <w:r>
        <w:rPr>
          <w:color w:val="231F20"/>
          <w:sz w:val="20"/>
        </w:rPr>
        <w:t>the</w:t>
      </w:r>
      <w:r>
        <w:rPr>
          <w:color w:val="231F20"/>
          <w:spacing w:val="8"/>
          <w:sz w:val="20"/>
        </w:rPr>
        <w:t> </w:t>
      </w:r>
      <w:r>
        <w:rPr>
          <w:color w:val="231F20"/>
          <w:sz w:val="20"/>
        </w:rPr>
        <w:t>screen</w:t>
      </w:r>
      <w:r>
        <w:rPr>
          <w:color w:val="231F20"/>
          <w:spacing w:val="8"/>
          <w:sz w:val="20"/>
        </w:rPr>
        <w:t> </w:t>
      </w:r>
      <w:r>
        <w:rPr>
          <w:color w:val="231F20"/>
          <w:sz w:val="20"/>
        </w:rPr>
        <w:t>row,</w:t>
      </w:r>
      <w:r>
        <w:rPr>
          <w:color w:val="231F20"/>
          <w:spacing w:val="8"/>
          <w:sz w:val="20"/>
        </w:rPr>
        <w:t> </w:t>
      </w:r>
      <w:r>
        <w:rPr>
          <w:color w:val="231F20"/>
          <w:sz w:val="20"/>
        </w:rPr>
        <w:t>column</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pacing w:val="-2"/>
          <w:sz w:val="20"/>
        </w:rPr>
        <w:t>cursor.</w:t>
      </w:r>
    </w:p>
    <w:p>
      <w:pPr>
        <w:spacing w:after="0"/>
        <w:jc w:val="left"/>
        <w:rPr>
          <w:sz w:val="20"/>
        </w:rPr>
        <w:sectPr>
          <w:pgSz w:w="12240" w:h="15840"/>
          <w:pgMar w:header="0" w:footer="736" w:top="1140" w:bottom="920" w:left="1000" w:right="1060"/>
        </w:sectPr>
      </w:pPr>
    </w:p>
    <w:p>
      <w:pPr>
        <w:pStyle w:val="Heading3"/>
        <w:spacing w:before="84"/>
        <w:ind w:left="0" w:right="4206"/>
        <w:jc w:val="center"/>
      </w:pPr>
      <w:bookmarkStart w:name="_bookmark127" w:id="281"/>
      <w:bookmarkEnd w:id="281"/>
      <w:r>
        <w:rPr>
          <w:b w:val="0"/>
        </w:rPr>
      </w:r>
      <w:bookmarkStart w:name="Terminal view properties" w:id="282"/>
      <w:bookmarkEnd w:id="282"/>
      <w:r>
        <w:rPr>
          <w:b w:val="0"/>
        </w:rPr>
      </w:r>
      <w:r>
        <w:rPr>
          <w:color w:val="231F20"/>
        </w:rPr>
        <w:t>Terminal</w:t>
      </w:r>
      <w:r>
        <w:rPr>
          <w:color w:val="231F20"/>
          <w:spacing w:val="-5"/>
        </w:rPr>
        <w:t> </w:t>
      </w:r>
      <w:r>
        <w:rPr>
          <w:color w:val="231F20"/>
        </w:rPr>
        <w:t>view</w:t>
      </w:r>
      <w:r>
        <w:rPr>
          <w:color w:val="231F20"/>
          <w:spacing w:val="-4"/>
        </w:rPr>
        <w:t> </w:t>
      </w:r>
      <w:r>
        <w:rPr>
          <w:color w:val="231F20"/>
          <w:spacing w:val="-2"/>
        </w:rPr>
        <w:t>properties</w:t>
      </w:r>
    </w:p>
    <w:p>
      <w:pPr>
        <w:pStyle w:val="BodyText"/>
        <w:spacing w:line="213" w:lineRule="auto" w:before="58"/>
        <w:ind w:left="2232" w:right="636"/>
      </w:pPr>
      <w:r>
        <w:rPr>
          <w:color w:val="231F20"/>
        </w:rPr>
        <w:t>The terminal view has Configuration, Style, and Query properties that can </w:t>
      </w:r>
      <w:r>
        <w:rPr>
          <w:color w:val="231F20"/>
        </w:rPr>
        <w:t>be edited to suit your environment.</w:t>
      </w:r>
    </w:p>
    <w:p>
      <w:pPr>
        <w:spacing w:line="213" w:lineRule="auto" w:before="238"/>
        <w:ind w:left="2232" w:right="545" w:firstLine="0"/>
        <w:jc w:val="left"/>
        <w:rPr>
          <w:sz w:val="20"/>
        </w:rPr>
      </w:pPr>
      <w:r>
        <w:rPr>
          <w:color w:val="231F20"/>
          <w:sz w:val="20"/>
        </w:rPr>
        <w:t>Click</w:t>
      </w:r>
      <w:r>
        <w:rPr>
          <w:color w:val="231F20"/>
          <w:spacing w:val="40"/>
          <w:sz w:val="20"/>
        </w:rPr>
        <w:t> </w:t>
      </w:r>
      <w:r>
        <w:rPr>
          <w:color w:val="231F20"/>
          <w:spacing w:val="6"/>
          <w:position w:val="1"/>
          <w:sz w:val="20"/>
        </w:rPr>
        <w:drawing>
          <wp:inline distT="0" distB="0" distL="0" distR="0">
            <wp:extent cx="57150" cy="57150"/>
            <wp:effectExtent l="0" t="0" r="0" b="0"/>
            <wp:docPr id="1612" name="Image 1612"/>
            <wp:cNvGraphicFramePr>
              <a:graphicFrameLocks/>
            </wp:cNvGraphicFramePr>
            <a:graphic>
              <a:graphicData uri="http://schemas.openxmlformats.org/drawingml/2006/picture">
                <pic:pic>
                  <pic:nvPicPr>
                    <pic:cNvPr id="1612" name="Image 1612"/>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color w:val="231F20"/>
          <w:spacing w:val="80"/>
          <w:sz w:val="20"/>
        </w:rPr>
        <w:t> </w:t>
      </w:r>
      <w:r>
        <w:rPr>
          <w:rFonts w:ascii="Book Antiqua"/>
          <w:b/>
          <w:color w:val="231F20"/>
          <w:sz w:val="20"/>
        </w:rPr>
        <w:t>Edit properties </w:t>
      </w:r>
      <w:r>
        <w:rPr>
          <w:color w:val="231F20"/>
          <w:sz w:val="20"/>
        </w:rPr>
        <w:t>in the terminal view title bar or right-click the view and click </w:t>
      </w:r>
      <w:r>
        <w:rPr>
          <w:color w:val="231F20"/>
          <w:spacing w:val="16"/>
          <w:position w:val="-1"/>
          <w:sz w:val="20"/>
        </w:rPr>
        <w:drawing>
          <wp:inline distT="0" distB="0" distL="0" distR="0">
            <wp:extent cx="101600" cy="95250"/>
            <wp:effectExtent l="0" t="0" r="0" b="0"/>
            <wp:docPr id="1613" name="Image 1613"/>
            <wp:cNvGraphicFramePr>
              <a:graphicFrameLocks/>
            </wp:cNvGraphicFramePr>
            <a:graphic>
              <a:graphicData uri="http://schemas.openxmlformats.org/drawingml/2006/picture">
                <pic:pic>
                  <pic:nvPicPr>
                    <pic:cNvPr id="1613" name="Image 1613"/>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Properties </w:t>
      </w:r>
      <w:r>
        <w:rPr>
          <w:color w:val="231F20"/>
          <w:sz w:val="20"/>
        </w:rPr>
        <w:t>to see these tabs:</w:t>
      </w:r>
    </w:p>
    <w:p>
      <w:pPr>
        <w:pStyle w:val="Heading4"/>
        <w:ind w:left="0" w:right="4142"/>
        <w:jc w:val="center"/>
      </w:pPr>
      <w:r>
        <w:rPr>
          <w:color w:val="231F20"/>
          <w:spacing w:val="-2"/>
        </w:rPr>
        <w:t>Configuration</w:t>
      </w:r>
    </w:p>
    <w:p>
      <w:pPr>
        <w:pStyle w:val="BodyText"/>
        <w:spacing w:line="213" w:lineRule="auto" w:before="241"/>
        <w:ind w:left="2232" w:right="636"/>
      </w:pPr>
      <w:r>
        <w:rPr>
          <w:color w:val="231F20"/>
        </w:rPr>
        <w:t>The </w:t>
      </w:r>
      <w:r>
        <w:rPr>
          <w:color w:val="231F20"/>
          <w:spacing w:val="16"/>
          <w:position w:val="-1"/>
        </w:rPr>
        <w:drawing>
          <wp:inline distT="0" distB="0" distL="0" distR="0">
            <wp:extent cx="101600" cy="101600"/>
            <wp:effectExtent l="0" t="0" r="0" b="0"/>
            <wp:docPr id="1614" name="Image 1614"/>
            <wp:cNvGraphicFramePr>
              <a:graphicFrameLocks/>
            </wp:cNvGraphicFramePr>
            <a:graphic>
              <a:graphicData uri="http://schemas.openxmlformats.org/drawingml/2006/picture">
                <pic:pic>
                  <pic:nvPicPr>
                    <pic:cNvPr id="1614" name="Image 1614"/>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Configuration </w:t>
      </w:r>
      <w:r>
        <w:rPr>
          <w:color w:val="231F20"/>
        </w:rPr>
        <w:t>tab has sub-tabs for customizing the terminal view and its display: </w:t>
      </w:r>
      <w:r>
        <w:rPr>
          <w:rFonts w:ascii="Book Antiqua"/>
          <w:b/>
          <w:color w:val="231F20"/>
        </w:rPr>
        <w:t>Connection </w:t>
      </w:r>
      <w:r>
        <w:rPr>
          <w:color w:val="231F20"/>
        </w:rPr>
        <w:t>and </w:t>
      </w:r>
      <w:r>
        <w:rPr>
          <w:rFonts w:ascii="Book Antiqua"/>
          <w:b/>
          <w:color w:val="231F20"/>
        </w:rPr>
        <w:t>Scripts </w:t>
      </w:r>
      <w:r>
        <w:rPr>
          <w:color w:val="231F20"/>
        </w:rPr>
        <w:t>and </w:t>
      </w:r>
      <w:r>
        <w:rPr>
          <w:rFonts w:ascii="Book Antiqua"/>
          <w:b/>
          <w:color w:val="231F20"/>
        </w:rPr>
        <w:t>Zoom</w:t>
      </w:r>
      <w:r>
        <w:rPr>
          <w:color w:val="231F20"/>
        </w:rPr>
        <w:t>. Whenever you open the </w:t>
      </w:r>
      <w:r>
        <w:rPr>
          <w:color w:val="231F20"/>
        </w:rPr>
        <w:t>workspace, the script you specify will run automatically and the host you specify will be connected automatically.</w:t>
      </w:r>
    </w:p>
    <w:p>
      <w:pPr>
        <w:pStyle w:val="Heading6"/>
        <w:spacing w:line="360" w:lineRule="atLeast"/>
        <w:ind w:left="2232" w:right="6675" w:firstLine="10"/>
      </w:pPr>
      <w:r>
        <w:rPr>
          <w:b w:val="0"/>
          <w:position w:val="-1"/>
        </w:rPr>
        <w:drawing>
          <wp:inline distT="0" distB="0" distL="0" distR="0">
            <wp:extent cx="95250" cy="95250"/>
            <wp:effectExtent l="0" t="0" r="0" b="0"/>
            <wp:docPr id="1615" name="Image 1615"/>
            <wp:cNvGraphicFramePr>
              <a:graphicFrameLocks/>
            </wp:cNvGraphicFramePr>
            <a:graphic>
              <a:graphicData uri="http://schemas.openxmlformats.org/drawingml/2006/picture">
                <pic:pic>
                  <pic:nvPicPr>
                    <pic:cNvPr id="1615" name="Image 1615"/>
                    <pic:cNvPicPr/>
                  </pic:nvPicPr>
                  <pic:blipFill>
                    <a:blip r:embed="rId323"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13"/>
        </w:rPr>
        <w:t> </w:t>
      </w:r>
      <w:r>
        <w:rPr>
          <w:color w:val="231F20"/>
        </w:rPr>
        <w:t>Connection </w:t>
      </w:r>
      <w:r>
        <w:rPr>
          <w:color w:val="231F20"/>
          <w:spacing w:val="-2"/>
        </w:rPr>
        <w:t>Connection</w:t>
      </w:r>
    </w:p>
    <w:p>
      <w:pPr>
        <w:pStyle w:val="BodyText"/>
        <w:spacing w:line="213" w:lineRule="auto"/>
        <w:ind w:left="2951" w:right="636"/>
      </w:pPr>
      <w:r>
        <w:rPr>
          <w:color w:val="231F20"/>
        </w:rPr>
        <w:t>This is the same Terminal Emulator Configuration window you get </w:t>
      </w:r>
      <w:r>
        <w:rPr>
          <w:color w:val="231F20"/>
        </w:rPr>
        <w:t>when adding a terminal view to the workspace. The values are those you supplied when you added the terminal view. You can change them here:</w:t>
      </w:r>
    </w:p>
    <w:p>
      <w:pPr>
        <w:pStyle w:val="BodyText"/>
        <w:spacing w:line="211" w:lineRule="auto" w:before="123"/>
        <w:ind w:left="2951" w:right="545"/>
      </w:pPr>
      <w:r>
        <w:rPr/>
        <w:drawing>
          <wp:inline distT="0" distB="0" distL="0" distR="0">
            <wp:extent cx="88900" cy="82550"/>
            <wp:effectExtent l="0" t="0" r="0" b="0"/>
            <wp:docPr id="1616" name="Image 1616"/>
            <wp:cNvGraphicFramePr>
              <a:graphicFrameLocks/>
            </wp:cNvGraphicFramePr>
            <a:graphic>
              <a:graphicData uri="http://schemas.openxmlformats.org/drawingml/2006/picture">
                <pic:pic>
                  <pic:nvPicPr>
                    <pic:cNvPr id="1616" name="Image 1616"/>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5"/>
        </w:rPr>
        <w:t> </w:t>
      </w:r>
      <w:r>
        <w:rPr>
          <w:rFonts w:ascii="Book Antiqua"/>
          <w:b/>
          <w:color w:val="231F20"/>
        </w:rPr>
        <w:t>Fetch values from a query </w:t>
      </w:r>
      <w:r>
        <w:rPr>
          <w:color w:val="231F20"/>
        </w:rPr>
        <w:t>indicates that you want to retrieve </w:t>
      </w:r>
      <w:r>
        <w:rPr>
          <w:color w:val="231F20"/>
        </w:rPr>
        <w:t>connection information from a query. You must specify the appropriate query on the Query tab.</w:t>
      </w:r>
    </w:p>
    <w:p>
      <w:pPr>
        <w:pStyle w:val="BodyText"/>
        <w:spacing w:line="211" w:lineRule="auto" w:before="126"/>
        <w:ind w:left="2951" w:right="488"/>
      </w:pPr>
      <w:r>
        <w:rPr/>
        <w:drawing>
          <wp:inline distT="0" distB="0" distL="0" distR="0">
            <wp:extent cx="88900" cy="82550"/>
            <wp:effectExtent l="0" t="0" r="0" b="0"/>
            <wp:docPr id="1617" name="Image 1617"/>
            <wp:cNvGraphicFramePr>
              <a:graphicFrameLocks/>
            </wp:cNvGraphicFramePr>
            <a:graphic>
              <a:graphicData uri="http://schemas.openxmlformats.org/drawingml/2006/picture">
                <pic:pic>
                  <pic:nvPicPr>
                    <pic:cNvPr id="1617" name="Image 1617"/>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rPr>
        <w:t> </w:t>
      </w:r>
      <w:r>
        <w:rPr>
          <w:rFonts w:ascii="Book Antiqua"/>
          <w:b/>
          <w:color w:val="231F20"/>
        </w:rPr>
        <w:t>Use the values from this dialog </w:t>
      </w:r>
      <w:r>
        <w:rPr>
          <w:color w:val="231F20"/>
        </w:rPr>
        <w:t>indicates that you want to use the connection</w:t>
      </w:r>
      <w:r>
        <w:rPr>
          <w:color w:val="231F20"/>
          <w:spacing w:val="23"/>
        </w:rPr>
        <w:t> </w:t>
      </w:r>
      <w:r>
        <w:rPr>
          <w:color w:val="231F20"/>
        </w:rPr>
        <w:t>information</w:t>
      </w:r>
      <w:r>
        <w:rPr>
          <w:color w:val="231F20"/>
          <w:spacing w:val="23"/>
        </w:rPr>
        <w:t> </w:t>
      </w:r>
      <w:r>
        <w:rPr>
          <w:color w:val="231F20"/>
        </w:rPr>
        <w:t>specified</w:t>
      </w:r>
      <w:r>
        <w:rPr>
          <w:color w:val="231F20"/>
          <w:spacing w:val="23"/>
        </w:rPr>
        <w:t> </w:t>
      </w:r>
      <w:r>
        <w:rPr>
          <w:color w:val="231F20"/>
        </w:rPr>
        <w:t>in</w:t>
      </w:r>
      <w:r>
        <w:rPr>
          <w:color w:val="231F20"/>
          <w:spacing w:val="23"/>
        </w:rPr>
        <w:t> </w:t>
      </w:r>
      <w:r>
        <w:rPr>
          <w:color w:val="231F20"/>
        </w:rPr>
        <w:t>these</w:t>
      </w:r>
      <w:r>
        <w:rPr>
          <w:color w:val="231F20"/>
          <w:spacing w:val="23"/>
        </w:rPr>
        <w:t> </w:t>
      </w:r>
      <w:r>
        <w:rPr>
          <w:color w:val="231F20"/>
        </w:rPr>
        <w:t>fields:</w:t>
      </w:r>
      <w:r>
        <w:rPr>
          <w:color w:val="231F20"/>
          <w:spacing w:val="23"/>
        </w:rPr>
        <w:t> </w:t>
      </w:r>
      <w:r>
        <w:rPr>
          <w:rFonts w:ascii="Book Antiqua"/>
          <w:b/>
          <w:color w:val="231F20"/>
        </w:rPr>
        <w:t>Host</w:t>
      </w:r>
      <w:r>
        <w:rPr>
          <w:rFonts w:ascii="Book Antiqua"/>
          <w:b/>
          <w:color w:val="231F20"/>
          <w:spacing w:val="23"/>
        </w:rPr>
        <w:t> </w:t>
      </w:r>
      <w:r>
        <w:rPr>
          <w:color w:val="231F20"/>
        </w:rPr>
        <w:t>is</w:t>
      </w:r>
      <w:r>
        <w:rPr>
          <w:color w:val="231F20"/>
          <w:spacing w:val="23"/>
        </w:rPr>
        <w:t> </w:t>
      </w:r>
      <w:r>
        <w:rPr>
          <w:color w:val="231F20"/>
        </w:rPr>
        <w:t>the</w:t>
      </w:r>
      <w:r>
        <w:rPr>
          <w:color w:val="231F20"/>
          <w:spacing w:val="23"/>
        </w:rPr>
        <w:t> </w:t>
      </w:r>
      <w:r>
        <w:rPr>
          <w:color w:val="231F20"/>
        </w:rPr>
        <w:t>host</w:t>
      </w:r>
      <w:r>
        <w:rPr>
          <w:color w:val="231F20"/>
          <w:spacing w:val="23"/>
        </w:rPr>
        <w:t> </w:t>
      </w:r>
      <w:r>
        <w:rPr>
          <w:color w:val="231F20"/>
        </w:rPr>
        <w:t>name</w:t>
      </w:r>
      <w:r>
        <w:rPr>
          <w:color w:val="231F20"/>
          <w:spacing w:val="23"/>
        </w:rPr>
        <w:t> </w:t>
      </w:r>
      <w:r>
        <w:rPr>
          <w:color w:val="231F20"/>
        </w:rPr>
        <w:t>or IP address of the system to which you want to connect; and </w:t>
      </w:r>
      <w:r>
        <w:rPr>
          <w:rFonts w:ascii="Book Antiqua"/>
          <w:b/>
          <w:color w:val="231F20"/>
        </w:rPr>
        <w:t>Port </w:t>
      </w:r>
      <w:r>
        <w:rPr>
          <w:color w:val="231F20"/>
        </w:rPr>
        <w:t>is the IP</w:t>
      </w:r>
      <w:r>
        <w:rPr>
          <w:color w:val="231F20"/>
          <w:spacing w:val="40"/>
        </w:rPr>
        <w:t> </w:t>
      </w:r>
      <w:r>
        <w:rPr>
          <w:color w:val="231F20"/>
        </w:rPr>
        <w:t>port number used by the host software. The default of 23 is valid for </w:t>
      </w:r>
      <w:r>
        <w:rPr>
          <w:color w:val="231F20"/>
        </w:rPr>
        <w:t>most </w:t>
      </w:r>
      <w:r>
        <w:rPr>
          <w:color w:val="231F20"/>
          <w:spacing w:val="-2"/>
        </w:rPr>
        <w:t>installations.</w:t>
      </w:r>
    </w:p>
    <w:p>
      <w:pPr>
        <w:pStyle w:val="BodyText"/>
        <w:spacing w:line="213" w:lineRule="auto" w:before="123"/>
        <w:ind w:left="2951" w:right="545"/>
      </w:pPr>
      <w:r>
        <w:rPr>
          <w:rFonts w:ascii="Book Antiqua"/>
          <w:b/>
          <w:color w:val="231F20"/>
        </w:rPr>
        <w:t>Terminal Type </w:t>
      </w:r>
      <w:r>
        <w:rPr>
          <w:color w:val="231F20"/>
        </w:rPr>
        <w:t>is the name and dimensions of the terminal to </w:t>
      </w:r>
      <w:r>
        <w:rPr>
          <w:color w:val="231F20"/>
        </w:rPr>
        <w:t>emulate. Accept the default or select one from the </w:t>
      </w:r>
      <w:r>
        <w:rPr>
          <w:color w:val="231F20"/>
          <w:spacing w:val="15"/>
          <w:position w:val="-1"/>
        </w:rPr>
        <w:drawing>
          <wp:inline distT="0" distB="0" distL="0" distR="0">
            <wp:extent cx="101600" cy="101600"/>
            <wp:effectExtent l="0" t="0" r="0" b="0"/>
            <wp:docPr id="1618" name="Image 1618"/>
            <wp:cNvGraphicFramePr>
              <a:graphicFrameLocks/>
            </wp:cNvGraphicFramePr>
            <a:graphic>
              <a:graphicData uri="http://schemas.openxmlformats.org/drawingml/2006/picture">
                <pic:pic>
                  <pic:nvPicPr>
                    <pic:cNvPr id="1618" name="Image 1618"/>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p>
    <w:p>
      <w:pPr>
        <w:spacing w:line="211" w:lineRule="auto" w:before="125"/>
        <w:ind w:left="2951" w:right="636" w:firstLine="0"/>
        <w:jc w:val="left"/>
        <w:rPr>
          <w:sz w:val="20"/>
        </w:rPr>
      </w:pPr>
      <w:r>
        <w:rPr/>
        <w:drawing>
          <wp:inline distT="0" distB="0" distL="0" distR="0">
            <wp:extent cx="82550" cy="82550"/>
            <wp:effectExtent l="0" t="0" r="0" b="0"/>
            <wp:docPr id="1619" name="Image 1619"/>
            <wp:cNvGraphicFramePr>
              <a:graphicFrameLocks/>
            </wp:cNvGraphicFramePr>
            <a:graphic>
              <a:graphicData uri="http://schemas.openxmlformats.org/drawingml/2006/picture">
                <pic:pic>
                  <pic:nvPicPr>
                    <pic:cNvPr id="1619" name="Image 1619"/>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Connect when entering workspace </w:t>
      </w:r>
      <w:r>
        <w:rPr>
          <w:color w:val="231F20"/>
          <w:sz w:val="20"/>
        </w:rPr>
        <w:t>will connect to the host when </w:t>
      </w:r>
      <w:r>
        <w:rPr>
          <w:color w:val="231F20"/>
          <w:sz w:val="20"/>
        </w:rPr>
        <w:t>you open the workspace. If you disable it, you must click </w:t>
      </w:r>
      <w:r>
        <w:rPr>
          <w:color w:val="231F20"/>
          <w:spacing w:val="-25"/>
          <w:position w:val="-1"/>
          <w:sz w:val="20"/>
        </w:rPr>
        <w:drawing>
          <wp:inline distT="0" distB="0" distL="0" distR="0">
            <wp:extent cx="95250" cy="95250"/>
            <wp:effectExtent l="0" t="0" r="0" b="0"/>
            <wp:docPr id="1620" name="Image 1620"/>
            <wp:cNvGraphicFramePr>
              <a:graphicFrameLocks/>
            </wp:cNvGraphicFramePr>
            <a:graphic>
              <a:graphicData uri="http://schemas.openxmlformats.org/drawingml/2006/picture">
                <pic:pic>
                  <pic:nvPicPr>
                    <pic:cNvPr id="1620" name="Image 1620"/>
                    <pic:cNvPicPr/>
                  </pic:nvPicPr>
                  <pic:blipFill>
                    <a:blip r:embed="rId323"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color w:val="231F20"/>
          <w:sz w:val="20"/>
        </w:rPr>
        <w:t>Connection to start the session.</w:t>
      </w:r>
    </w:p>
    <w:p>
      <w:pPr>
        <w:pStyle w:val="Heading6"/>
        <w:spacing w:line="232" w:lineRule="exact" w:before="118"/>
        <w:ind w:left="2232"/>
      </w:pPr>
      <w:r>
        <w:rPr>
          <w:color w:val="231F20"/>
        </w:rPr>
        <w:t>Disconnect</w:t>
      </w:r>
      <w:r>
        <w:rPr>
          <w:color w:val="231F20"/>
          <w:spacing w:val="5"/>
        </w:rPr>
        <w:t> </w:t>
      </w:r>
      <w:r>
        <w:rPr>
          <w:color w:val="231F20"/>
          <w:spacing w:val="-2"/>
        </w:rPr>
        <w:t>options</w:t>
      </w:r>
    </w:p>
    <w:p>
      <w:pPr>
        <w:spacing w:line="211" w:lineRule="auto" w:before="16"/>
        <w:ind w:left="2951" w:right="534" w:firstLine="0"/>
        <w:jc w:val="both"/>
        <w:rPr>
          <w:sz w:val="20"/>
        </w:rPr>
      </w:pPr>
      <w:r>
        <w:rPr/>
        <w:drawing>
          <wp:inline distT="0" distB="0" distL="0" distR="0">
            <wp:extent cx="88900" cy="82550"/>
            <wp:effectExtent l="0" t="0" r="0" b="0"/>
            <wp:docPr id="1621" name="Image 1621"/>
            <wp:cNvGraphicFramePr>
              <a:graphicFrameLocks/>
            </wp:cNvGraphicFramePr>
            <a:graphic>
              <a:graphicData uri="http://schemas.openxmlformats.org/drawingml/2006/picture">
                <pic:pic>
                  <pic:nvPicPr>
                    <pic:cNvPr id="1621" name="Image 1621"/>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Do not disconnect when leaving workspace </w:t>
      </w:r>
      <w:r>
        <w:rPr>
          <w:color w:val="231F20"/>
          <w:sz w:val="20"/>
        </w:rPr>
        <w:t>keeps the session open as long as you are logged on to Tivoli Enterprise Portal, so you can return to this workspace and the session where you left it last.</w:t>
      </w:r>
    </w:p>
    <w:p>
      <w:pPr>
        <w:spacing w:line="208" w:lineRule="auto" w:before="128"/>
        <w:ind w:left="2951" w:right="487" w:firstLine="0"/>
        <w:jc w:val="both"/>
        <w:rPr>
          <w:sz w:val="20"/>
        </w:rPr>
      </w:pPr>
      <w:r>
        <w:rPr/>
        <w:drawing>
          <wp:inline distT="0" distB="0" distL="0" distR="0">
            <wp:extent cx="88900" cy="82550"/>
            <wp:effectExtent l="0" t="0" r="0" b="0"/>
            <wp:docPr id="1622" name="Image 1622"/>
            <wp:cNvGraphicFramePr>
              <a:graphicFrameLocks/>
            </wp:cNvGraphicFramePr>
            <a:graphic>
              <a:graphicData uri="http://schemas.openxmlformats.org/drawingml/2006/picture">
                <pic:pic>
                  <pic:nvPicPr>
                    <pic:cNvPr id="1622" name="Image 1622"/>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z w:val="20"/>
        </w:rPr>
        <w:t> </w:t>
      </w:r>
      <w:r>
        <w:rPr>
          <w:rFonts w:ascii="Book Antiqua"/>
          <w:b/>
          <w:color w:val="231F20"/>
          <w:sz w:val="20"/>
        </w:rPr>
        <w:t>Disconnect after this many minutes:</w:t>
      </w:r>
      <w:r>
        <w:rPr>
          <w:rFonts w:ascii="Book Antiqua"/>
          <w:b/>
          <w:color w:val="231F20"/>
          <w:spacing w:val="80"/>
          <w:sz w:val="20"/>
        </w:rPr>
        <w:t> </w:t>
      </w:r>
      <w:r>
        <w:rPr>
          <w:rFonts w:ascii="Book Antiqua"/>
          <w:b/>
          <w:color w:val="231F20"/>
          <w:spacing w:val="-18"/>
          <w:sz w:val="20"/>
        </w:rPr>
        <w:drawing>
          <wp:inline distT="0" distB="0" distL="0" distR="0">
            <wp:extent cx="158750" cy="82550"/>
            <wp:effectExtent l="0" t="0" r="0" b="0"/>
            <wp:docPr id="1623" name="Image 1623"/>
            <wp:cNvGraphicFramePr>
              <a:graphicFrameLocks/>
            </wp:cNvGraphicFramePr>
            <a:graphic>
              <a:graphicData uri="http://schemas.openxmlformats.org/drawingml/2006/picture">
                <pic:pic>
                  <pic:nvPicPr>
                    <pic:cNvPr id="1623" name="Image 1623"/>
                    <pic:cNvPicPr/>
                  </pic:nvPicPr>
                  <pic:blipFill>
                    <a:blip r:embed="rId192" cstate="print"/>
                    <a:stretch>
                      <a:fillRect/>
                    </a:stretch>
                  </pic:blipFill>
                  <pic:spPr>
                    <a:xfrm>
                      <a:off x="0" y="0"/>
                      <a:ext cx="158750" cy="82550"/>
                    </a:xfrm>
                    <a:prstGeom prst="rect">
                      <a:avLst/>
                    </a:prstGeom>
                  </pic:spPr>
                </pic:pic>
              </a:graphicData>
            </a:graphic>
          </wp:inline>
        </w:drawing>
      </w:r>
      <w:r>
        <w:rPr>
          <w:rFonts w:ascii="Book Antiqua"/>
          <w:b/>
          <w:color w:val="231F20"/>
          <w:spacing w:val="-18"/>
          <w:sz w:val="20"/>
        </w:rPr>
      </w:r>
      <w:r>
        <w:rPr>
          <w:rFonts w:ascii="Times New Roman"/>
          <w:color w:val="231F20"/>
          <w:spacing w:val="40"/>
          <w:sz w:val="20"/>
        </w:rPr>
        <w:t> </w:t>
      </w:r>
      <w:r>
        <w:rPr>
          <w:color w:val="231F20"/>
          <w:sz w:val="20"/>
        </w:rPr>
        <w:t>will disconnect the works session</w:t>
      </w:r>
      <w:r>
        <w:rPr>
          <w:color w:val="231F20"/>
          <w:spacing w:val="10"/>
          <w:sz w:val="20"/>
        </w:rPr>
        <w:t> </w:t>
      </w:r>
      <w:r>
        <w:rPr>
          <w:color w:val="231F20"/>
          <w:sz w:val="20"/>
        </w:rPr>
        <w:t>the</w:t>
      </w:r>
      <w:r>
        <w:rPr>
          <w:color w:val="231F20"/>
          <w:spacing w:val="11"/>
          <w:sz w:val="20"/>
        </w:rPr>
        <w:t> </w:t>
      </w:r>
      <w:r>
        <w:rPr>
          <w:color w:val="231F20"/>
          <w:sz w:val="20"/>
        </w:rPr>
        <w:t>number</w:t>
      </w:r>
      <w:r>
        <w:rPr>
          <w:color w:val="231F20"/>
          <w:spacing w:val="11"/>
          <w:sz w:val="20"/>
        </w:rPr>
        <w:t> </w:t>
      </w:r>
      <w:r>
        <w:rPr>
          <w:color w:val="231F20"/>
          <w:sz w:val="20"/>
        </w:rPr>
        <w:t>of</w:t>
      </w:r>
      <w:r>
        <w:rPr>
          <w:color w:val="231F20"/>
          <w:spacing w:val="10"/>
          <w:sz w:val="20"/>
        </w:rPr>
        <w:t> </w:t>
      </w:r>
      <w:r>
        <w:rPr>
          <w:color w:val="231F20"/>
          <w:sz w:val="20"/>
        </w:rPr>
        <w:t>minutes</w:t>
      </w:r>
      <w:r>
        <w:rPr>
          <w:color w:val="231F20"/>
          <w:spacing w:val="11"/>
          <w:sz w:val="20"/>
        </w:rPr>
        <w:t> </w:t>
      </w:r>
      <w:r>
        <w:rPr>
          <w:color w:val="231F20"/>
          <w:sz w:val="20"/>
        </w:rPr>
        <w:t>entered</w:t>
      </w:r>
      <w:r>
        <w:rPr>
          <w:color w:val="231F20"/>
          <w:spacing w:val="11"/>
          <w:sz w:val="20"/>
        </w:rPr>
        <w:t> </w:t>
      </w:r>
      <w:r>
        <w:rPr>
          <w:color w:val="231F20"/>
          <w:sz w:val="20"/>
        </w:rPr>
        <w:t>here</w:t>
      </w:r>
      <w:r>
        <w:rPr>
          <w:color w:val="231F20"/>
          <w:spacing w:val="10"/>
          <w:sz w:val="20"/>
        </w:rPr>
        <w:t> </w:t>
      </w:r>
      <w:r>
        <w:rPr>
          <w:color w:val="231F20"/>
          <w:sz w:val="20"/>
        </w:rPr>
        <w:t>after</w:t>
      </w:r>
      <w:r>
        <w:rPr>
          <w:color w:val="231F20"/>
          <w:spacing w:val="11"/>
          <w:sz w:val="20"/>
        </w:rPr>
        <w:t> </w:t>
      </w:r>
      <w:r>
        <w:rPr>
          <w:color w:val="231F20"/>
          <w:sz w:val="20"/>
        </w:rPr>
        <w:t>you</w:t>
      </w:r>
      <w:r>
        <w:rPr>
          <w:color w:val="231F20"/>
          <w:spacing w:val="11"/>
          <w:sz w:val="20"/>
        </w:rPr>
        <w:t> </w:t>
      </w:r>
      <w:r>
        <w:rPr>
          <w:color w:val="231F20"/>
          <w:sz w:val="20"/>
        </w:rPr>
        <w:t>close</w:t>
      </w:r>
      <w:r>
        <w:rPr>
          <w:color w:val="231F20"/>
          <w:spacing w:val="11"/>
          <w:sz w:val="20"/>
        </w:rPr>
        <w:t> </w:t>
      </w:r>
      <w:r>
        <w:rPr>
          <w:color w:val="231F20"/>
          <w:sz w:val="20"/>
        </w:rPr>
        <w:t>the</w:t>
      </w:r>
      <w:r>
        <w:rPr>
          <w:color w:val="231F20"/>
          <w:spacing w:val="10"/>
          <w:sz w:val="20"/>
        </w:rPr>
        <w:t> </w:t>
      </w:r>
      <w:r>
        <w:rPr>
          <w:color w:val="231F20"/>
          <w:spacing w:val="-2"/>
          <w:sz w:val="20"/>
        </w:rPr>
        <w:t>workspace.</w:t>
      </w:r>
    </w:p>
    <w:p>
      <w:pPr>
        <w:pStyle w:val="Heading6"/>
        <w:spacing w:line="240" w:lineRule="auto" w:before="238"/>
        <w:ind w:left="2242"/>
      </w:pPr>
      <w:r>
        <w:rPr>
          <w:b w:val="0"/>
          <w:position w:val="-1"/>
        </w:rPr>
        <w:drawing>
          <wp:inline distT="0" distB="0" distL="0" distR="0">
            <wp:extent cx="95250" cy="101600"/>
            <wp:effectExtent l="0" t="0" r="0" b="0"/>
            <wp:docPr id="1624" name="Image 1624"/>
            <wp:cNvGraphicFramePr>
              <a:graphicFrameLocks/>
            </wp:cNvGraphicFramePr>
            <a:graphic>
              <a:graphicData uri="http://schemas.openxmlformats.org/drawingml/2006/picture">
                <pic:pic>
                  <pic:nvPicPr>
                    <pic:cNvPr id="1624" name="Image 1624"/>
                    <pic:cNvPicPr/>
                  </pic:nvPicPr>
                  <pic:blipFill>
                    <a:blip r:embed="rId26"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Scripts</w:t>
      </w:r>
    </w:p>
    <w:p>
      <w:pPr>
        <w:pStyle w:val="BodyText"/>
        <w:spacing w:line="255" w:lineRule="exact" w:before="216"/>
        <w:ind w:left="2232"/>
      </w:pPr>
      <w:r>
        <w:rPr>
          <w:color w:val="231F20"/>
        </w:rPr>
        <w:t>This</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rPr>
        <w:t>same</w:t>
      </w:r>
      <w:r>
        <w:rPr>
          <w:color w:val="231F20"/>
          <w:spacing w:val="12"/>
        </w:rPr>
        <w:t> </w:t>
      </w:r>
      <w:r>
        <w:rPr>
          <w:color w:val="231F20"/>
        </w:rPr>
        <w:t>as</w:t>
      </w:r>
      <w:r>
        <w:rPr>
          <w:color w:val="231F20"/>
          <w:spacing w:val="12"/>
        </w:rPr>
        <w:t> </w:t>
      </w:r>
      <w:r>
        <w:rPr>
          <w:color w:val="231F20"/>
        </w:rPr>
        <w:t>the</w:t>
      </w:r>
      <w:r>
        <w:rPr>
          <w:color w:val="231F20"/>
          <w:spacing w:val="12"/>
        </w:rPr>
        <w:t> </w:t>
      </w:r>
      <w:r>
        <w:rPr>
          <w:color w:val="231F20"/>
        </w:rPr>
        <w:t>Manage</w:t>
      </w:r>
      <w:r>
        <w:rPr>
          <w:color w:val="231F20"/>
          <w:spacing w:val="12"/>
        </w:rPr>
        <w:t> </w:t>
      </w:r>
      <w:r>
        <w:rPr>
          <w:color w:val="231F20"/>
        </w:rPr>
        <w:t>Scripts</w:t>
      </w:r>
      <w:r>
        <w:rPr>
          <w:color w:val="231F20"/>
          <w:spacing w:val="12"/>
        </w:rPr>
        <w:t> </w:t>
      </w:r>
      <w:r>
        <w:rPr>
          <w:color w:val="231F20"/>
        </w:rPr>
        <w:t>window,</w:t>
      </w:r>
      <w:r>
        <w:rPr>
          <w:color w:val="231F20"/>
          <w:spacing w:val="12"/>
        </w:rPr>
        <w:t> </w:t>
      </w:r>
      <w:r>
        <w:rPr>
          <w:color w:val="231F20"/>
        </w:rPr>
        <w:t>which</w:t>
      </w:r>
      <w:r>
        <w:rPr>
          <w:color w:val="231F20"/>
          <w:spacing w:val="12"/>
        </w:rPr>
        <w:t> </w:t>
      </w:r>
      <w:r>
        <w:rPr>
          <w:color w:val="231F20"/>
        </w:rPr>
        <w:t>opens</w:t>
      </w:r>
      <w:r>
        <w:rPr>
          <w:color w:val="231F20"/>
          <w:spacing w:val="12"/>
        </w:rPr>
        <w:t> </w:t>
      </w:r>
      <w:r>
        <w:rPr>
          <w:color w:val="231F20"/>
        </w:rPr>
        <w:t>when</w:t>
      </w:r>
      <w:r>
        <w:rPr>
          <w:color w:val="231F20"/>
          <w:spacing w:val="12"/>
        </w:rPr>
        <w:t> </w:t>
      </w:r>
      <w:r>
        <w:rPr>
          <w:color w:val="231F20"/>
        </w:rPr>
        <w:t>you</w:t>
      </w:r>
      <w:r>
        <w:rPr>
          <w:color w:val="231F20"/>
          <w:spacing w:val="12"/>
        </w:rPr>
        <w:t> </w:t>
      </w:r>
      <w:r>
        <w:rPr>
          <w:color w:val="231F20"/>
        </w:rPr>
        <w:t>click</w:t>
      </w:r>
      <w:r>
        <w:rPr>
          <w:color w:val="231F20"/>
          <w:spacing w:val="10"/>
        </w:rPr>
        <w:t> </w:t>
      </w:r>
      <w:r>
        <w:rPr>
          <w:color w:val="231F20"/>
          <w:spacing w:val="14"/>
          <w:position w:val="-1"/>
        </w:rPr>
        <w:drawing>
          <wp:inline distT="0" distB="0" distL="0" distR="0">
            <wp:extent cx="101600" cy="101600"/>
            <wp:effectExtent l="0" t="0" r="0" b="0"/>
            <wp:docPr id="1625" name="Image 1625"/>
            <wp:cNvGraphicFramePr>
              <a:graphicFrameLocks/>
            </wp:cNvGraphicFramePr>
            <a:graphic>
              <a:graphicData uri="http://schemas.openxmlformats.org/drawingml/2006/picture">
                <pic:pic>
                  <pic:nvPicPr>
                    <pic:cNvPr id="1625" name="Image 1625"/>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4"/>
          <w:position w:val="-1"/>
        </w:rPr>
      </w:r>
    </w:p>
    <w:p>
      <w:pPr>
        <w:spacing w:line="255" w:lineRule="exact" w:before="0"/>
        <w:ind w:left="2232" w:right="0" w:firstLine="0"/>
        <w:jc w:val="left"/>
        <w:rPr>
          <w:sz w:val="20"/>
        </w:rPr>
      </w:pPr>
      <w:r>
        <w:rPr>
          <w:rFonts w:ascii="Book Antiqua"/>
          <w:b/>
          <w:color w:val="231F20"/>
          <w:sz w:val="20"/>
        </w:rPr>
        <w:t>Manage</w:t>
      </w:r>
      <w:r>
        <w:rPr>
          <w:rFonts w:ascii="Book Antiqua"/>
          <w:b/>
          <w:color w:val="231F20"/>
          <w:spacing w:val="10"/>
          <w:sz w:val="20"/>
        </w:rPr>
        <w:t> </w:t>
      </w:r>
      <w:r>
        <w:rPr>
          <w:rFonts w:ascii="Book Antiqua"/>
          <w:b/>
          <w:color w:val="231F20"/>
          <w:sz w:val="20"/>
        </w:rPr>
        <w:t>Scripts</w:t>
      </w:r>
      <w:r>
        <w:rPr>
          <w:rFonts w:ascii="Book Antiqua"/>
          <w:b/>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terminal</w:t>
      </w:r>
      <w:r>
        <w:rPr>
          <w:color w:val="231F20"/>
          <w:spacing w:val="11"/>
          <w:sz w:val="20"/>
        </w:rPr>
        <w:t> </w:t>
      </w:r>
      <w:r>
        <w:rPr>
          <w:color w:val="231F20"/>
          <w:spacing w:val="-2"/>
          <w:sz w:val="20"/>
        </w:rPr>
        <w:t>view.</w:t>
      </w:r>
    </w:p>
    <w:p>
      <w:pPr>
        <w:pStyle w:val="Heading4"/>
        <w:spacing w:before="194"/>
      </w:pPr>
      <w:r>
        <w:rPr>
          <w:color w:val="231F20"/>
          <w:spacing w:val="-2"/>
        </w:rPr>
        <w:t>Style</w:t>
      </w:r>
    </w:p>
    <w:p>
      <w:pPr>
        <w:pStyle w:val="BodyText"/>
        <w:spacing w:line="213" w:lineRule="auto" w:before="241"/>
        <w:ind w:left="2232" w:right="545"/>
      </w:pPr>
      <w:r>
        <w:rPr>
          <w:color w:val="231F20"/>
        </w:rPr>
        <w:t>The</w:t>
      </w:r>
      <w:r>
        <w:rPr>
          <w:color w:val="231F20"/>
          <w:spacing w:val="21"/>
        </w:rPr>
        <w:t> </w:t>
      </w:r>
      <w:r>
        <w:rPr>
          <w:color w:val="231F20"/>
          <w:spacing w:val="-24"/>
          <w:position w:val="-1"/>
        </w:rPr>
        <w:drawing>
          <wp:inline distT="0" distB="0" distL="0" distR="0">
            <wp:extent cx="95250" cy="95250"/>
            <wp:effectExtent l="0" t="0" r="0" b="0"/>
            <wp:docPr id="1626" name="Image 1626"/>
            <wp:cNvGraphicFramePr>
              <a:graphicFrameLocks/>
            </wp:cNvGraphicFramePr>
            <a:graphic>
              <a:graphicData uri="http://schemas.openxmlformats.org/drawingml/2006/picture">
                <pic:pic>
                  <pic:nvPicPr>
                    <pic:cNvPr id="1626" name="Image 1626"/>
                    <pic:cNvPicPr/>
                  </pic:nvPicPr>
                  <pic:blipFill>
                    <a:blip r:embed="rId10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8"/>
        </w:rPr>
        <w:t> </w:t>
      </w:r>
      <w:r>
        <w:rPr>
          <w:rFonts w:ascii="Book Antiqua"/>
          <w:b/>
          <w:color w:val="231F20"/>
        </w:rPr>
        <w:t>Style </w:t>
      </w:r>
      <w:r>
        <w:rPr>
          <w:color w:val="231F20"/>
        </w:rPr>
        <w:t>tab lets you specify the font and font size used for the session </w:t>
      </w:r>
      <w:r>
        <w:rPr>
          <w:color w:val="231F20"/>
        </w:rPr>
        <w:t>and several terminal display options.</w:t>
      </w:r>
    </w:p>
    <w:p>
      <w:pPr>
        <w:pStyle w:val="Heading6"/>
        <w:spacing w:line="240" w:lineRule="auto" w:before="118"/>
        <w:ind w:left="2232"/>
      </w:pPr>
      <w:r>
        <w:rPr>
          <w:color w:val="231F20"/>
          <w:spacing w:val="-2"/>
        </w:rPr>
        <w:t>Text</w:t>
      </w:r>
      <w:r>
        <w:rPr>
          <w:color w:val="231F20"/>
          <w:spacing w:val="-3"/>
        </w:rPr>
        <w:t> </w:t>
      </w:r>
      <w:r>
        <w:rPr>
          <w:color w:val="231F20"/>
          <w:spacing w:val="-2"/>
        </w:rPr>
        <w:t>style</w:t>
      </w:r>
    </w:p>
    <w:p>
      <w:pPr>
        <w:pStyle w:val="BodyText"/>
        <w:spacing w:line="213" w:lineRule="auto" w:before="119"/>
        <w:ind w:left="2951" w:right="545"/>
      </w:pPr>
      <w:r>
        <w:rPr>
          <w:rFonts w:ascii="Book Antiqua"/>
          <w:b/>
          <w:color w:val="231F20"/>
        </w:rPr>
        <w:t>Font name </w:t>
      </w:r>
      <w:r>
        <w:rPr>
          <w:color w:val="231F20"/>
        </w:rPr>
        <w:t>for the session display is Monospaced by default or you </w:t>
      </w:r>
      <w:r>
        <w:rPr>
          <w:color w:val="231F20"/>
        </w:rPr>
        <w:t>can select another from the list.</w:t>
      </w:r>
    </w:p>
    <w:p>
      <w:pPr>
        <w:spacing w:after="0" w:line="213" w:lineRule="auto"/>
        <w:sectPr>
          <w:pgSz w:w="12240" w:h="15840"/>
          <w:pgMar w:header="0" w:footer="736" w:top="1160" w:bottom="920" w:left="1000" w:right="1060"/>
        </w:sectPr>
      </w:pPr>
    </w:p>
    <w:p>
      <w:pPr>
        <w:pStyle w:val="BodyText"/>
        <w:spacing w:before="62"/>
        <w:ind w:left="3190"/>
      </w:pPr>
      <w:r>
        <w:rPr>
          <w:rFonts w:ascii="Book Antiqua"/>
          <w:b/>
          <w:color w:val="231F20"/>
        </w:rPr>
        <w:t>Size</w:t>
      </w:r>
      <w:r>
        <w:rPr>
          <w:rFonts w:ascii="Book Antiqua"/>
          <w:b/>
          <w:color w:val="231F20"/>
          <w:spacing w:val="12"/>
        </w:rPr>
        <w:t> </w:t>
      </w:r>
      <w:r>
        <w:rPr>
          <w:color w:val="231F20"/>
        </w:rPr>
        <w:t>is</w:t>
      </w:r>
      <w:r>
        <w:rPr>
          <w:color w:val="231F20"/>
          <w:spacing w:val="12"/>
        </w:rPr>
        <w:t> </w:t>
      </w:r>
      <w:r>
        <w:rPr>
          <w:color w:val="231F20"/>
        </w:rPr>
        <w:t>12</w:t>
      </w:r>
      <w:r>
        <w:rPr>
          <w:color w:val="231F20"/>
          <w:spacing w:val="12"/>
        </w:rPr>
        <w:t> </w:t>
      </w:r>
      <w:r>
        <w:rPr>
          <w:color w:val="231F20"/>
        </w:rPr>
        <w:t>by</w:t>
      </w:r>
      <w:r>
        <w:rPr>
          <w:color w:val="231F20"/>
          <w:spacing w:val="12"/>
        </w:rPr>
        <w:t> </w:t>
      </w:r>
      <w:r>
        <w:rPr>
          <w:color w:val="231F20"/>
        </w:rPr>
        <w:t>default</w:t>
      </w:r>
      <w:r>
        <w:rPr>
          <w:color w:val="231F20"/>
          <w:spacing w:val="12"/>
        </w:rPr>
        <w:t> </w:t>
      </w:r>
      <w:r>
        <w:rPr>
          <w:color w:val="231F20"/>
        </w:rPr>
        <w:t>or</w:t>
      </w:r>
      <w:r>
        <w:rPr>
          <w:color w:val="231F20"/>
          <w:spacing w:val="12"/>
        </w:rPr>
        <w:t> </w:t>
      </w:r>
      <w:r>
        <w:rPr>
          <w:color w:val="231F20"/>
        </w:rPr>
        <w:t>you</w:t>
      </w:r>
      <w:r>
        <w:rPr>
          <w:color w:val="231F20"/>
          <w:spacing w:val="12"/>
        </w:rPr>
        <w:t> </w:t>
      </w:r>
      <w:r>
        <w:rPr>
          <w:color w:val="231F20"/>
        </w:rPr>
        <w:t>can</w:t>
      </w:r>
      <w:r>
        <w:rPr>
          <w:color w:val="231F20"/>
          <w:spacing w:val="12"/>
        </w:rPr>
        <w:t> </w:t>
      </w:r>
      <w:r>
        <w:rPr>
          <w:color w:val="231F20"/>
        </w:rPr>
        <w:t>select</w:t>
      </w:r>
      <w:r>
        <w:rPr>
          <w:color w:val="231F20"/>
          <w:spacing w:val="12"/>
        </w:rPr>
        <w:t> </w:t>
      </w:r>
      <w:r>
        <w:rPr>
          <w:color w:val="231F20"/>
        </w:rPr>
        <w:t>another</w:t>
      </w:r>
      <w:r>
        <w:rPr>
          <w:color w:val="231F20"/>
          <w:spacing w:val="12"/>
        </w:rPr>
        <w:t> </w:t>
      </w:r>
      <w:r>
        <w:rPr>
          <w:color w:val="231F20"/>
        </w:rPr>
        <w:t>point</w:t>
      </w:r>
      <w:r>
        <w:rPr>
          <w:color w:val="231F20"/>
          <w:spacing w:val="12"/>
        </w:rPr>
        <w:t> </w:t>
      </w:r>
      <w:r>
        <w:rPr>
          <w:color w:val="231F20"/>
        </w:rPr>
        <w:t>size</w:t>
      </w:r>
      <w:r>
        <w:rPr>
          <w:color w:val="231F20"/>
          <w:spacing w:val="12"/>
        </w:rPr>
        <w:t> </w:t>
      </w:r>
      <w:r>
        <w:rPr>
          <w:color w:val="231F20"/>
        </w:rPr>
        <w:t>from</w:t>
      </w:r>
      <w:r>
        <w:rPr>
          <w:color w:val="231F20"/>
          <w:spacing w:val="12"/>
        </w:rPr>
        <w:t> </w:t>
      </w:r>
      <w:r>
        <w:rPr>
          <w:color w:val="231F20"/>
        </w:rPr>
        <w:t>the</w:t>
      </w:r>
      <w:r>
        <w:rPr>
          <w:color w:val="231F20"/>
          <w:spacing w:val="12"/>
        </w:rPr>
        <w:t> </w:t>
      </w:r>
      <w:r>
        <w:rPr>
          <w:color w:val="231F20"/>
          <w:spacing w:val="-2"/>
        </w:rPr>
        <w:t>list.</w:t>
      </w:r>
    </w:p>
    <w:p>
      <w:pPr>
        <w:pStyle w:val="Heading6"/>
        <w:spacing w:line="240" w:lineRule="auto" w:before="111"/>
      </w:pPr>
      <w:r>
        <w:rPr>
          <w:color w:val="231F20"/>
        </w:rPr>
        <w:t>Terminal</w:t>
      </w:r>
      <w:r>
        <w:rPr>
          <w:color w:val="231F20"/>
          <w:spacing w:val="-4"/>
        </w:rPr>
        <w:t> </w:t>
      </w:r>
      <w:r>
        <w:rPr>
          <w:color w:val="231F20"/>
        </w:rPr>
        <w:t>display</w:t>
      </w:r>
      <w:r>
        <w:rPr>
          <w:color w:val="231F20"/>
          <w:spacing w:val="-3"/>
        </w:rPr>
        <w:t> </w:t>
      </w:r>
      <w:r>
        <w:rPr>
          <w:color w:val="231F20"/>
          <w:spacing w:val="-2"/>
        </w:rPr>
        <w:t>options</w:t>
      </w:r>
    </w:p>
    <w:p>
      <w:pPr>
        <w:pStyle w:val="BodyText"/>
        <w:spacing w:line="213" w:lineRule="auto" w:before="119"/>
        <w:ind w:left="3190" w:right="274"/>
      </w:pPr>
      <w:r>
        <w:rPr/>
        <w:drawing>
          <wp:inline distT="0" distB="0" distL="0" distR="0">
            <wp:extent cx="82550" cy="82550"/>
            <wp:effectExtent l="0" t="0" r="0" b="0"/>
            <wp:docPr id="1627" name="Image 1627"/>
            <wp:cNvGraphicFramePr>
              <a:graphicFrameLocks/>
            </wp:cNvGraphicFramePr>
            <a:graphic>
              <a:graphicData uri="http://schemas.openxmlformats.org/drawingml/2006/picture">
                <pic:pic>
                  <pic:nvPicPr>
                    <pic:cNvPr id="1627" name="Image 1627"/>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Show keypad </w:t>
      </w:r>
      <w:r>
        <w:rPr>
          <w:color w:val="231F20"/>
        </w:rPr>
        <w:t>selects </w:t>
      </w:r>
      <w:r>
        <w:rPr>
          <w:color w:val="231F20"/>
          <w:spacing w:val="16"/>
          <w:position w:val="-1"/>
        </w:rPr>
        <w:drawing>
          <wp:inline distT="0" distB="0" distL="0" distR="0">
            <wp:extent cx="101600" cy="101600"/>
            <wp:effectExtent l="0" t="0" r="0" b="0"/>
            <wp:docPr id="1628" name="Image 1628"/>
            <wp:cNvGraphicFramePr>
              <a:graphicFrameLocks/>
            </wp:cNvGraphicFramePr>
            <a:graphic>
              <a:graphicData uri="http://schemas.openxmlformats.org/drawingml/2006/picture">
                <pic:pic>
                  <pic:nvPicPr>
                    <pic:cNvPr id="1628" name="Image 1628"/>
                    <pic:cNvPicPr/>
                  </pic:nvPicPr>
                  <pic:blipFill>
                    <a:blip r:embed="rId322"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Arial"/>
          <w:b/>
          <w:color w:val="231F20"/>
        </w:rPr>
        <w:t>KeyPad </w:t>
      </w:r>
      <w:r>
        <w:rPr>
          <w:color w:val="231F20"/>
        </w:rPr>
        <w:t>automatically for the view whenever you open the workspace, so the function key mappings will display at </w:t>
      </w:r>
      <w:r>
        <w:rPr>
          <w:color w:val="231F20"/>
        </w:rPr>
        <w:t>the bottom of the view.</w:t>
      </w:r>
    </w:p>
    <w:p>
      <w:pPr>
        <w:spacing w:line="208" w:lineRule="auto" w:before="127"/>
        <w:ind w:left="3190" w:right="0" w:hanging="1"/>
        <w:jc w:val="left"/>
        <w:rPr>
          <w:sz w:val="20"/>
        </w:rPr>
      </w:pPr>
      <w:r>
        <w:rPr/>
        <w:drawing>
          <wp:inline distT="0" distB="0" distL="0" distR="0">
            <wp:extent cx="82550" cy="82550"/>
            <wp:effectExtent l="0" t="0" r="0" b="0"/>
            <wp:docPr id="1629" name="Image 1629"/>
            <wp:cNvGraphicFramePr>
              <a:graphicFrameLocks/>
            </wp:cNvGraphicFramePr>
            <a:graphic>
              <a:graphicData uri="http://schemas.openxmlformats.org/drawingml/2006/picture">
                <pic:pic>
                  <pic:nvPicPr>
                    <pic:cNvPr id="1629" name="Image 162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Show block cursor </w:t>
      </w:r>
      <w:r>
        <w:rPr>
          <w:color w:val="231F20"/>
          <w:sz w:val="20"/>
        </w:rPr>
        <w:t>displays the cursor as a block instead of as </w:t>
      </w:r>
      <w:r>
        <w:rPr>
          <w:color w:val="231F20"/>
          <w:sz w:val="20"/>
        </w:rPr>
        <w:t>the underscore character.</w:t>
      </w:r>
    </w:p>
    <w:p>
      <w:pPr>
        <w:pStyle w:val="BodyText"/>
        <w:spacing w:line="208" w:lineRule="auto" w:before="129"/>
        <w:ind w:left="3190" w:right="385" w:hanging="1"/>
      </w:pPr>
      <w:r>
        <w:rPr/>
        <w:drawing>
          <wp:inline distT="0" distB="0" distL="0" distR="0">
            <wp:extent cx="82550" cy="82550"/>
            <wp:effectExtent l="0" t="0" r="0" b="0"/>
            <wp:docPr id="1630" name="Image 1630"/>
            <wp:cNvGraphicFramePr>
              <a:graphicFrameLocks/>
            </wp:cNvGraphicFramePr>
            <a:graphic>
              <a:graphicData uri="http://schemas.openxmlformats.org/drawingml/2006/picture">
                <pic:pic>
                  <pic:nvPicPr>
                    <pic:cNvPr id="1630" name="Image 163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Show ruler </w:t>
      </w:r>
      <w:r>
        <w:rPr>
          <w:color w:val="231F20"/>
        </w:rPr>
        <w:t>draws a line along the vertical axis of the cursor and along</w:t>
      </w:r>
      <w:r>
        <w:rPr>
          <w:color w:val="231F20"/>
          <w:spacing w:val="40"/>
        </w:rPr>
        <w:t> </w:t>
      </w:r>
      <w:r>
        <w:rPr>
          <w:color w:val="231F20"/>
        </w:rPr>
        <w:t>the horizontal axis so you can easily locate the cursor on the display.</w:t>
      </w:r>
    </w:p>
    <w:p>
      <w:pPr>
        <w:pStyle w:val="BodyText"/>
        <w:spacing w:before="8"/>
        <w:rPr>
          <w:sz w:val="11"/>
        </w:rPr>
      </w:pPr>
      <w:r>
        <w:rPr/>
        <w:drawing>
          <wp:anchor distT="0" distB="0" distL="0" distR="0" allowOverlap="1" layoutInCell="1" locked="0" behindDoc="1" simplePos="0" relativeHeight="487702528">
            <wp:simplePos x="0" y="0"/>
            <wp:positionH relativeFrom="page">
              <wp:posOffset>2661119</wp:posOffset>
            </wp:positionH>
            <wp:positionV relativeFrom="paragraph">
              <wp:posOffset>114609</wp:posOffset>
            </wp:positionV>
            <wp:extent cx="2610135" cy="619029"/>
            <wp:effectExtent l="0" t="0" r="0" b="0"/>
            <wp:wrapTopAndBottom/>
            <wp:docPr id="1631" name="Image 1631"/>
            <wp:cNvGraphicFramePr>
              <a:graphicFrameLocks/>
            </wp:cNvGraphicFramePr>
            <a:graphic>
              <a:graphicData uri="http://schemas.openxmlformats.org/drawingml/2006/picture">
                <pic:pic>
                  <pic:nvPicPr>
                    <pic:cNvPr id="1631" name="Image 1631"/>
                    <pic:cNvPicPr/>
                  </pic:nvPicPr>
                  <pic:blipFill>
                    <a:blip r:embed="rId325" cstate="print"/>
                    <a:stretch>
                      <a:fillRect/>
                    </a:stretch>
                  </pic:blipFill>
                  <pic:spPr>
                    <a:xfrm>
                      <a:off x="0" y="0"/>
                      <a:ext cx="2610135" cy="619029"/>
                    </a:xfrm>
                    <a:prstGeom prst="rect">
                      <a:avLst/>
                    </a:prstGeom>
                  </pic:spPr>
                </pic:pic>
              </a:graphicData>
            </a:graphic>
          </wp:anchor>
        </w:drawing>
      </w:r>
    </w:p>
    <w:p>
      <w:pPr>
        <w:pStyle w:val="Heading4"/>
        <w:spacing w:before="224"/>
        <w:ind w:left="2472"/>
      </w:pPr>
      <w:r>
        <w:rPr>
          <w:color w:val="231F20"/>
          <w:spacing w:val="-2"/>
        </w:rPr>
        <w:t>Query</w:t>
      </w:r>
    </w:p>
    <w:p>
      <w:pPr>
        <w:pStyle w:val="BodyText"/>
        <w:spacing w:line="213" w:lineRule="auto" w:before="241"/>
        <w:ind w:left="2472" w:right="504"/>
        <w:jc w:val="both"/>
      </w:pPr>
      <w:r>
        <w:rPr>
          <w:color w:val="231F20"/>
        </w:rPr>
        <w:t>Use the Query tab to specify the query to use for the Terminal view. The values returned by the query can be used in two ways:</w:t>
      </w:r>
    </w:p>
    <w:p>
      <w:pPr>
        <w:pStyle w:val="BodyText"/>
        <w:spacing w:line="213" w:lineRule="auto" w:before="58"/>
        <w:ind w:left="2688" w:right="575" w:hanging="216"/>
        <w:jc w:val="both"/>
      </w:pPr>
      <w:r>
        <w:rPr>
          <w:rFonts w:ascii="Futura MdCn BT"/>
          <w:color w:val="231F20"/>
        </w:rPr>
        <w:t>v</w:t>
      </w:r>
      <w:r>
        <w:rPr>
          <w:rFonts w:ascii="Futura MdCn BT"/>
          <w:color w:val="231F20"/>
          <w:spacing w:val="40"/>
        </w:rPr>
        <w:t> </w:t>
      </w:r>
      <w:r>
        <w:rPr>
          <w:color w:val="231F20"/>
        </w:rPr>
        <w:t>If you specified </w:t>
      </w:r>
      <w:r>
        <w:rPr>
          <w:rFonts w:ascii="Book Antiqua"/>
          <w:b/>
          <w:color w:val="231F20"/>
        </w:rPr>
        <w:t>Fetch values from a query </w:t>
      </w:r>
      <w:r>
        <w:rPr>
          <w:color w:val="231F20"/>
        </w:rPr>
        <w:t>on the Connection tab, the </w:t>
      </w:r>
      <w:r>
        <w:rPr>
          <w:color w:val="231F20"/>
        </w:rPr>
        <w:t>query</w:t>
      </w:r>
      <w:r>
        <w:rPr>
          <w:color w:val="231F20"/>
        </w:rPr>
        <w:t> provides the host name or IP address, port, and terminal type to use for the </w:t>
      </w:r>
      <w:r>
        <w:rPr>
          <w:color w:val="231F20"/>
          <w:spacing w:val="-2"/>
        </w:rPr>
        <w:t>connection.</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The query provides application-specific values that can be retrieved using </w:t>
      </w:r>
      <w:r>
        <w:rPr>
          <w:color w:val="231F20"/>
        </w:rPr>
        <w:t>the</w:t>
      </w:r>
      <w:r>
        <w:rPr>
          <w:color w:val="231F20"/>
        </w:rPr>
        <w:t> getProperty function in a connection script. These property values provide contextual data that can be used (along with any properties specified by the link) to open the Terminal view to a specific panel.</w:t>
      </w:r>
    </w:p>
    <w:p>
      <w:pPr>
        <w:pStyle w:val="BodyText"/>
        <w:spacing w:line="213" w:lineRule="auto" w:before="237"/>
        <w:ind w:left="2472" w:right="545"/>
      </w:pPr>
      <w:r>
        <w:rPr>
          <w:color w:val="231F20"/>
        </w:rPr>
        <w:t>If you are using a query to provide connection information, the query you </w:t>
      </w:r>
      <w:r>
        <w:rPr>
          <w:color w:val="231F20"/>
        </w:rPr>
        <w:t>select must return a single row of data that includes certain fields. These are the minimum required fields for Terminal view query:</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11"/>
        <w:gridCol w:w="4522"/>
      </w:tblGrid>
      <w:tr>
        <w:trPr>
          <w:trHeight w:val="274" w:hRule="atLeast"/>
        </w:trPr>
        <w:tc>
          <w:tcPr>
            <w:tcW w:w="3011" w:type="dxa"/>
          </w:tcPr>
          <w:p>
            <w:pPr>
              <w:pStyle w:val="TableParagraph"/>
              <w:spacing w:before="10"/>
              <w:ind w:left="44"/>
              <w:rPr>
                <w:rFonts w:ascii="Book Antiqua"/>
                <w:b/>
                <w:sz w:val="18"/>
              </w:rPr>
            </w:pPr>
            <w:r>
              <w:rPr>
                <w:rFonts w:ascii="Book Antiqua"/>
                <w:b/>
                <w:color w:val="231F20"/>
                <w:spacing w:val="-2"/>
                <w:sz w:val="18"/>
              </w:rPr>
              <w:t>Attribute</w:t>
            </w:r>
          </w:p>
        </w:tc>
        <w:tc>
          <w:tcPr>
            <w:tcW w:w="4522"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309" w:hRule="atLeast"/>
        </w:trPr>
        <w:tc>
          <w:tcPr>
            <w:tcW w:w="3011" w:type="dxa"/>
          </w:tcPr>
          <w:p>
            <w:pPr>
              <w:pStyle w:val="TableParagraph"/>
              <w:ind w:left="44"/>
              <w:rPr>
                <w:sz w:val="18"/>
              </w:rPr>
            </w:pPr>
            <w:r>
              <w:rPr>
                <w:color w:val="231F20"/>
                <w:spacing w:val="-2"/>
                <w:sz w:val="18"/>
              </w:rPr>
              <w:t>Origin_Node</w:t>
            </w:r>
          </w:p>
        </w:tc>
        <w:tc>
          <w:tcPr>
            <w:tcW w:w="4522" w:type="dxa"/>
          </w:tcPr>
          <w:p>
            <w:pPr>
              <w:pStyle w:val="TableParagraph"/>
              <w:ind w:left="60"/>
              <w:rPr>
                <w:sz w:val="18"/>
              </w:rPr>
            </w:pPr>
            <w:r>
              <w:rPr>
                <w:color w:val="231F20"/>
                <w:sz w:val="18"/>
              </w:rPr>
              <w:t>Origin</w:t>
            </w:r>
            <w:r>
              <w:rPr>
                <w:color w:val="231F20"/>
                <w:spacing w:val="8"/>
                <w:sz w:val="18"/>
              </w:rPr>
              <w:t> </w:t>
            </w:r>
            <w:r>
              <w:rPr>
                <w:color w:val="231F20"/>
                <w:spacing w:val="-4"/>
                <w:sz w:val="18"/>
              </w:rPr>
              <w:t>node</w:t>
            </w:r>
          </w:p>
        </w:tc>
      </w:tr>
      <w:tr>
        <w:trPr>
          <w:trHeight w:val="309" w:hRule="atLeast"/>
        </w:trPr>
        <w:tc>
          <w:tcPr>
            <w:tcW w:w="3011" w:type="dxa"/>
          </w:tcPr>
          <w:p>
            <w:pPr>
              <w:pStyle w:val="TableParagraph"/>
              <w:ind w:left="44"/>
              <w:rPr>
                <w:sz w:val="18"/>
              </w:rPr>
            </w:pPr>
            <w:r>
              <w:rPr>
                <w:color w:val="231F20"/>
                <w:spacing w:val="-2"/>
                <w:sz w:val="18"/>
              </w:rPr>
              <w:t>HOSTIPADDR</w:t>
            </w:r>
          </w:p>
        </w:tc>
        <w:tc>
          <w:tcPr>
            <w:tcW w:w="4522" w:type="dxa"/>
          </w:tcPr>
          <w:p>
            <w:pPr>
              <w:pStyle w:val="TableParagraph"/>
              <w:ind w:left="60"/>
              <w:rPr>
                <w:sz w:val="18"/>
              </w:rPr>
            </w:pPr>
            <w:r>
              <w:rPr>
                <w:color w:val="231F20"/>
                <w:sz w:val="18"/>
              </w:rPr>
              <w:t>Host</w:t>
            </w:r>
            <w:r>
              <w:rPr>
                <w:color w:val="231F20"/>
                <w:spacing w:val="9"/>
                <w:sz w:val="18"/>
              </w:rPr>
              <w:t> </w:t>
            </w:r>
            <w:r>
              <w:rPr>
                <w:color w:val="231F20"/>
                <w:sz w:val="18"/>
              </w:rPr>
              <w:t>name</w:t>
            </w:r>
            <w:r>
              <w:rPr>
                <w:color w:val="231F20"/>
                <w:spacing w:val="9"/>
                <w:sz w:val="18"/>
              </w:rPr>
              <w:t> </w:t>
            </w:r>
            <w:r>
              <w:rPr>
                <w:color w:val="231F20"/>
                <w:sz w:val="18"/>
              </w:rPr>
              <w:t>or</w:t>
            </w:r>
            <w:r>
              <w:rPr>
                <w:color w:val="231F20"/>
                <w:spacing w:val="10"/>
                <w:sz w:val="18"/>
              </w:rPr>
              <w:t> </w:t>
            </w:r>
            <w:r>
              <w:rPr>
                <w:color w:val="231F20"/>
                <w:sz w:val="18"/>
              </w:rPr>
              <w:t>numeric</w:t>
            </w:r>
            <w:r>
              <w:rPr>
                <w:color w:val="231F20"/>
                <w:spacing w:val="9"/>
                <w:sz w:val="18"/>
              </w:rPr>
              <w:t> </w:t>
            </w:r>
            <w:r>
              <w:rPr>
                <w:color w:val="231F20"/>
                <w:sz w:val="18"/>
              </w:rPr>
              <w:t>IP</w:t>
            </w:r>
            <w:r>
              <w:rPr>
                <w:color w:val="231F20"/>
                <w:spacing w:val="7"/>
                <w:sz w:val="18"/>
              </w:rPr>
              <w:t> </w:t>
            </w:r>
            <w:r>
              <w:rPr>
                <w:color w:val="231F20"/>
                <w:sz w:val="18"/>
              </w:rPr>
              <w:t>address</w:t>
            </w:r>
            <w:r>
              <w:rPr>
                <w:color w:val="231F20"/>
                <w:spacing w:val="9"/>
                <w:sz w:val="18"/>
              </w:rPr>
              <w:t> </w:t>
            </w:r>
            <w:r>
              <w:rPr>
                <w:color w:val="231F20"/>
                <w:sz w:val="18"/>
              </w:rPr>
              <w:t>to</w:t>
            </w:r>
            <w:r>
              <w:rPr>
                <w:color w:val="231F20"/>
                <w:spacing w:val="10"/>
                <w:sz w:val="18"/>
              </w:rPr>
              <w:t> </w:t>
            </w:r>
            <w:r>
              <w:rPr>
                <w:color w:val="231F20"/>
                <w:sz w:val="18"/>
              </w:rPr>
              <w:t>connect</w:t>
            </w:r>
            <w:r>
              <w:rPr>
                <w:color w:val="231F20"/>
                <w:spacing w:val="9"/>
                <w:sz w:val="18"/>
              </w:rPr>
              <w:t> </w:t>
            </w:r>
            <w:r>
              <w:rPr>
                <w:color w:val="231F20"/>
                <w:spacing w:val="-5"/>
                <w:sz w:val="18"/>
              </w:rPr>
              <w:t>to</w:t>
            </w:r>
          </w:p>
        </w:tc>
      </w:tr>
      <w:tr>
        <w:trPr>
          <w:trHeight w:val="309" w:hRule="atLeast"/>
        </w:trPr>
        <w:tc>
          <w:tcPr>
            <w:tcW w:w="3011" w:type="dxa"/>
          </w:tcPr>
          <w:p>
            <w:pPr>
              <w:pStyle w:val="TableParagraph"/>
              <w:ind w:left="44"/>
              <w:rPr>
                <w:sz w:val="18"/>
              </w:rPr>
            </w:pPr>
            <w:r>
              <w:rPr>
                <w:color w:val="231F20"/>
                <w:spacing w:val="-2"/>
                <w:sz w:val="18"/>
              </w:rPr>
              <w:t>TN3270PORT</w:t>
            </w:r>
          </w:p>
        </w:tc>
        <w:tc>
          <w:tcPr>
            <w:tcW w:w="4522" w:type="dxa"/>
          </w:tcPr>
          <w:p>
            <w:pPr>
              <w:pStyle w:val="TableParagraph"/>
              <w:ind w:left="60"/>
              <w:rPr>
                <w:sz w:val="18"/>
              </w:rPr>
            </w:pPr>
            <w:r>
              <w:rPr>
                <w:color w:val="231F20"/>
                <w:sz w:val="18"/>
              </w:rPr>
              <w:t>TCP/IP</w:t>
            </w:r>
            <w:r>
              <w:rPr>
                <w:color w:val="231F20"/>
                <w:spacing w:val="19"/>
                <w:sz w:val="18"/>
              </w:rPr>
              <w:t> </w:t>
            </w:r>
            <w:r>
              <w:rPr>
                <w:color w:val="231F20"/>
                <w:sz w:val="18"/>
              </w:rPr>
              <w:t>port</w:t>
            </w:r>
            <w:r>
              <w:rPr>
                <w:color w:val="231F20"/>
                <w:spacing w:val="23"/>
                <w:sz w:val="18"/>
              </w:rPr>
              <w:t> </w:t>
            </w:r>
            <w:r>
              <w:rPr>
                <w:color w:val="231F20"/>
                <w:sz w:val="18"/>
              </w:rPr>
              <w:t>to</w:t>
            </w:r>
            <w:r>
              <w:rPr>
                <w:color w:val="231F20"/>
                <w:spacing w:val="23"/>
                <w:sz w:val="18"/>
              </w:rPr>
              <w:t> </w:t>
            </w:r>
            <w:r>
              <w:rPr>
                <w:color w:val="231F20"/>
                <w:sz w:val="18"/>
              </w:rPr>
              <w:t>connect</w:t>
            </w:r>
            <w:r>
              <w:rPr>
                <w:color w:val="231F20"/>
                <w:spacing w:val="22"/>
                <w:sz w:val="18"/>
              </w:rPr>
              <w:t> </w:t>
            </w:r>
            <w:r>
              <w:rPr>
                <w:color w:val="231F20"/>
                <w:spacing w:val="-5"/>
                <w:sz w:val="18"/>
              </w:rPr>
              <w:t>to</w:t>
            </w:r>
          </w:p>
        </w:tc>
      </w:tr>
      <w:tr>
        <w:trPr>
          <w:trHeight w:val="309" w:hRule="atLeast"/>
        </w:trPr>
        <w:tc>
          <w:tcPr>
            <w:tcW w:w="3011" w:type="dxa"/>
          </w:tcPr>
          <w:p>
            <w:pPr>
              <w:pStyle w:val="TableParagraph"/>
              <w:ind w:left="44"/>
              <w:rPr>
                <w:sz w:val="18"/>
              </w:rPr>
            </w:pPr>
            <w:r>
              <w:rPr>
                <w:color w:val="231F20"/>
                <w:spacing w:val="-2"/>
                <w:sz w:val="18"/>
              </w:rPr>
              <w:t>LUGROUP</w:t>
            </w:r>
          </w:p>
        </w:tc>
        <w:tc>
          <w:tcPr>
            <w:tcW w:w="4522" w:type="dxa"/>
          </w:tcPr>
          <w:p>
            <w:pPr>
              <w:pStyle w:val="TableParagraph"/>
              <w:ind w:left="60"/>
              <w:rPr>
                <w:sz w:val="18"/>
              </w:rPr>
            </w:pPr>
            <w:r>
              <w:rPr>
                <w:color w:val="231F20"/>
                <w:sz w:val="18"/>
              </w:rPr>
              <w:t>LU</w:t>
            </w:r>
            <w:r>
              <w:rPr>
                <w:color w:val="231F20"/>
                <w:spacing w:val="11"/>
                <w:sz w:val="18"/>
              </w:rPr>
              <w:t> </w:t>
            </w:r>
            <w:r>
              <w:rPr>
                <w:color w:val="231F20"/>
                <w:spacing w:val="-4"/>
                <w:sz w:val="18"/>
              </w:rPr>
              <w:t>group</w:t>
            </w:r>
          </w:p>
        </w:tc>
      </w:tr>
      <w:tr>
        <w:trPr>
          <w:trHeight w:val="2409" w:hRule="atLeast"/>
        </w:trPr>
        <w:tc>
          <w:tcPr>
            <w:tcW w:w="3011" w:type="dxa"/>
          </w:tcPr>
          <w:p>
            <w:pPr>
              <w:pStyle w:val="TableParagraph"/>
              <w:ind w:left="44"/>
              <w:rPr>
                <w:sz w:val="18"/>
              </w:rPr>
            </w:pPr>
            <w:r>
              <w:rPr>
                <w:color w:val="231F20"/>
                <w:spacing w:val="-2"/>
                <w:sz w:val="18"/>
              </w:rPr>
              <w:t>EMU_TRMTY</w:t>
            </w:r>
          </w:p>
        </w:tc>
        <w:tc>
          <w:tcPr>
            <w:tcW w:w="4522" w:type="dxa"/>
          </w:tcPr>
          <w:p>
            <w:pPr>
              <w:pStyle w:val="TableParagraph"/>
              <w:spacing w:line="231" w:lineRule="exact"/>
              <w:ind w:left="60"/>
              <w:rPr>
                <w:sz w:val="18"/>
              </w:rPr>
            </w:pPr>
            <w:r>
              <w:rPr>
                <w:color w:val="231F20"/>
                <w:sz w:val="18"/>
              </w:rPr>
              <w:t>One</w:t>
            </w:r>
            <w:r>
              <w:rPr>
                <w:color w:val="231F20"/>
                <w:spacing w:val="9"/>
                <w:sz w:val="18"/>
              </w:rPr>
              <w:t> </w:t>
            </w:r>
            <w:r>
              <w:rPr>
                <w:color w:val="231F20"/>
                <w:sz w:val="18"/>
              </w:rPr>
              <w:t>of</w:t>
            </w:r>
            <w:r>
              <w:rPr>
                <w:color w:val="231F20"/>
                <w:spacing w:val="10"/>
                <w:sz w:val="18"/>
              </w:rPr>
              <w:t> </w:t>
            </w:r>
            <w:r>
              <w:rPr>
                <w:color w:val="231F20"/>
                <w:sz w:val="18"/>
              </w:rPr>
              <w:t>the</w:t>
            </w:r>
            <w:r>
              <w:rPr>
                <w:color w:val="231F20"/>
                <w:spacing w:val="9"/>
                <w:sz w:val="18"/>
              </w:rPr>
              <w:t> </w:t>
            </w:r>
            <w:r>
              <w:rPr>
                <w:color w:val="231F20"/>
                <w:sz w:val="18"/>
              </w:rPr>
              <w:t>following</w:t>
            </w:r>
            <w:r>
              <w:rPr>
                <w:color w:val="231F20"/>
                <w:spacing w:val="10"/>
                <w:sz w:val="18"/>
              </w:rPr>
              <w:t> </w:t>
            </w:r>
            <w:r>
              <w:rPr>
                <w:color w:val="231F20"/>
                <w:sz w:val="18"/>
              </w:rPr>
              <w:t>terminal</w:t>
            </w:r>
            <w:r>
              <w:rPr>
                <w:color w:val="231F20"/>
                <w:spacing w:val="10"/>
                <w:sz w:val="18"/>
              </w:rPr>
              <w:t> </w:t>
            </w:r>
            <w:r>
              <w:rPr>
                <w:color w:val="231F20"/>
                <w:spacing w:val="-2"/>
                <w:sz w:val="18"/>
              </w:rPr>
              <w:t>types:</w:t>
            </w:r>
          </w:p>
          <w:p>
            <w:pPr>
              <w:pStyle w:val="TableParagraph"/>
              <w:spacing w:line="219" w:lineRule="exact" w:before="0"/>
              <w:ind w:left="60"/>
              <w:rPr>
                <w:sz w:val="18"/>
              </w:rPr>
            </w:pPr>
            <w:r>
              <w:rPr>
                <w:rFonts w:ascii="Futura MdCn BT"/>
                <w:color w:val="231F20"/>
                <w:sz w:val="18"/>
              </w:rPr>
              <w:t>v</w:t>
            </w:r>
            <w:r>
              <w:rPr>
                <w:rFonts w:ascii="Futura MdCn BT"/>
                <w:color w:val="231F20"/>
                <w:spacing w:val="77"/>
                <w:w w:val="150"/>
                <w:sz w:val="18"/>
              </w:rPr>
              <w:t> </w:t>
            </w:r>
            <w:r>
              <w:rPr>
                <w:color w:val="231F20"/>
                <w:sz w:val="18"/>
              </w:rPr>
              <w:t>IBM</w:t>
            </w:r>
            <w:r>
              <w:rPr>
                <w:color w:val="231F20"/>
                <w:spacing w:val="12"/>
                <w:sz w:val="18"/>
              </w:rPr>
              <w:t> </w:t>
            </w:r>
            <w:r>
              <w:rPr>
                <w:color w:val="231F20"/>
                <w:sz w:val="18"/>
              </w:rPr>
              <w:t>VT100</w:t>
            </w:r>
            <w:r>
              <w:rPr>
                <w:color w:val="231F20"/>
                <w:spacing w:val="12"/>
                <w:sz w:val="18"/>
              </w:rPr>
              <w:t> </w:t>
            </w:r>
            <w:r>
              <w:rPr>
                <w:color w:val="231F20"/>
                <w:spacing w:val="-2"/>
                <w:sz w:val="18"/>
              </w:rPr>
              <w:t>(24x80)</w:t>
            </w:r>
          </w:p>
          <w:p>
            <w:pPr>
              <w:pStyle w:val="TableParagraph"/>
              <w:spacing w:line="216" w:lineRule="auto" w:before="8"/>
              <w:ind w:left="60" w:right="2775"/>
              <w:rPr>
                <w:sz w:val="18"/>
              </w:rPr>
            </w:pPr>
            <w:r>
              <w:rPr>
                <w:rFonts w:ascii="Futura MdCn BT"/>
                <w:color w:val="231F20"/>
                <w:sz w:val="18"/>
              </w:rPr>
              <w:t>v</w:t>
            </w:r>
            <w:r>
              <w:rPr>
                <w:rFonts w:ascii="Futura MdCn BT"/>
                <w:color w:val="231F20"/>
                <w:spacing w:val="80"/>
                <w:sz w:val="18"/>
              </w:rPr>
              <w:t> </w:t>
            </w:r>
            <w:r>
              <w:rPr>
                <w:color w:val="231F20"/>
                <w:sz w:val="18"/>
              </w:rPr>
              <w:t>IBM</w:t>
            </w:r>
            <w:r>
              <w:rPr>
                <w:color w:val="231F20"/>
                <w:spacing w:val="26"/>
                <w:sz w:val="18"/>
              </w:rPr>
              <w:t> </w:t>
            </w:r>
            <w:r>
              <w:rPr>
                <w:color w:val="231F20"/>
                <w:sz w:val="18"/>
              </w:rPr>
              <w:t>3270</w:t>
            </w:r>
            <w:r>
              <w:rPr>
                <w:color w:val="231F20"/>
                <w:spacing w:val="26"/>
                <w:sz w:val="18"/>
              </w:rPr>
              <w:t> </w:t>
            </w:r>
            <w:r>
              <w:rPr>
                <w:color w:val="231F20"/>
                <w:sz w:val="18"/>
              </w:rPr>
              <w:t>(24x80)</w:t>
            </w:r>
            <w:r>
              <w:rPr>
                <w:color w:val="231F20"/>
                <w:spacing w:val="40"/>
                <w:sz w:val="18"/>
              </w:rPr>
              <w:t> </w:t>
            </w:r>
            <w:r>
              <w:rPr>
                <w:rFonts w:ascii="Futura MdCn BT"/>
                <w:color w:val="231F20"/>
                <w:sz w:val="18"/>
              </w:rPr>
              <w:t>v</w:t>
            </w:r>
            <w:r>
              <w:rPr>
                <w:rFonts w:ascii="Futura MdCn BT"/>
                <w:color w:val="231F20"/>
                <w:spacing w:val="80"/>
                <w:sz w:val="18"/>
              </w:rPr>
              <w:t> </w:t>
            </w:r>
            <w:r>
              <w:rPr>
                <w:color w:val="231F20"/>
                <w:sz w:val="18"/>
              </w:rPr>
              <w:t>IBM</w:t>
            </w:r>
            <w:r>
              <w:rPr>
                <w:color w:val="231F20"/>
                <w:spacing w:val="26"/>
                <w:sz w:val="18"/>
              </w:rPr>
              <w:t> </w:t>
            </w:r>
            <w:r>
              <w:rPr>
                <w:color w:val="231F20"/>
                <w:sz w:val="18"/>
              </w:rPr>
              <w:t>3270</w:t>
            </w:r>
            <w:r>
              <w:rPr>
                <w:color w:val="231F20"/>
                <w:spacing w:val="26"/>
                <w:sz w:val="18"/>
              </w:rPr>
              <w:t> </w:t>
            </w:r>
            <w:r>
              <w:rPr>
                <w:color w:val="231F20"/>
                <w:sz w:val="18"/>
              </w:rPr>
              <w:t>(32x80)</w:t>
            </w:r>
            <w:r>
              <w:rPr>
                <w:color w:val="231F20"/>
                <w:spacing w:val="40"/>
                <w:sz w:val="18"/>
              </w:rPr>
              <w:t> </w:t>
            </w:r>
            <w:r>
              <w:rPr>
                <w:rFonts w:ascii="Futura MdCn BT"/>
                <w:color w:val="231F20"/>
                <w:sz w:val="18"/>
              </w:rPr>
              <w:t>v</w:t>
            </w:r>
            <w:r>
              <w:rPr>
                <w:rFonts w:ascii="Futura MdCn BT"/>
                <w:color w:val="231F20"/>
                <w:spacing w:val="80"/>
                <w:sz w:val="18"/>
              </w:rPr>
              <w:t> </w:t>
            </w:r>
            <w:r>
              <w:rPr>
                <w:color w:val="231F20"/>
                <w:sz w:val="18"/>
              </w:rPr>
              <w:t>IBM</w:t>
            </w:r>
            <w:r>
              <w:rPr>
                <w:color w:val="231F20"/>
                <w:spacing w:val="26"/>
                <w:sz w:val="18"/>
              </w:rPr>
              <w:t> </w:t>
            </w:r>
            <w:r>
              <w:rPr>
                <w:color w:val="231F20"/>
                <w:sz w:val="18"/>
              </w:rPr>
              <w:t>3270</w:t>
            </w:r>
            <w:r>
              <w:rPr>
                <w:color w:val="231F20"/>
                <w:spacing w:val="26"/>
                <w:sz w:val="18"/>
              </w:rPr>
              <w:t> </w:t>
            </w:r>
            <w:r>
              <w:rPr>
                <w:color w:val="231F20"/>
                <w:sz w:val="18"/>
              </w:rPr>
              <w:t>(43x80)</w:t>
            </w:r>
            <w:r>
              <w:rPr>
                <w:color w:val="231F20"/>
                <w:spacing w:val="40"/>
                <w:sz w:val="18"/>
              </w:rPr>
              <w:t> </w:t>
            </w:r>
            <w:r>
              <w:rPr>
                <w:rFonts w:ascii="Futura MdCn BT"/>
                <w:color w:val="231F20"/>
                <w:sz w:val="18"/>
              </w:rPr>
              <w:t>v</w:t>
            </w:r>
            <w:r>
              <w:rPr>
                <w:rFonts w:ascii="Futura MdCn BT"/>
                <w:color w:val="231F20"/>
                <w:spacing w:val="79"/>
                <w:sz w:val="18"/>
              </w:rPr>
              <w:t> </w:t>
            </w:r>
            <w:r>
              <w:rPr>
                <w:color w:val="231F20"/>
                <w:sz w:val="18"/>
              </w:rPr>
              <w:t>IBM 3270 (27x132) </w:t>
            </w:r>
            <w:r>
              <w:rPr>
                <w:rFonts w:ascii="Futura MdCn BT"/>
                <w:color w:val="231F20"/>
                <w:sz w:val="18"/>
              </w:rPr>
              <w:t>v</w:t>
            </w:r>
            <w:r>
              <w:rPr>
                <w:rFonts w:ascii="Futura MdCn BT"/>
                <w:color w:val="231F20"/>
                <w:spacing w:val="80"/>
                <w:sz w:val="18"/>
              </w:rPr>
              <w:t> </w:t>
            </w:r>
            <w:r>
              <w:rPr>
                <w:color w:val="231F20"/>
                <w:sz w:val="18"/>
              </w:rPr>
              <w:t>IBM</w:t>
            </w:r>
            <w:r>
              <w:rPr>
                <w:color w:val="231F20"/>
                <w:spacing w:val="26"/>
                <w:sz w:val="18"/>
              </w:rPr>
              <w:t> </w:t>
            </w:r>
            <w:r>
              <w:rPr>
                <w:color w:val="231F20"/>
                <w:sz w:val="18"/>
              </w:rPr>
              <w:t>5250</w:t>
            </w:r>
            <w:r>
              <w:rPr>
                <w:color w:val="231F20"/>
                <w:spacing w:val="26"/>
                <w:sz w:val="18"/>
              </w:rPr>
              <w:t> </w:t>
            </w:r>
            <w:r>
              <w:rPr>
                <w:color w:val="231F20"/>
                <w:sz w:val="18"/>
              </w:rPr>
              <w:t>(24x80)</w:t>
            </w:r>
            <w:r>
              <w:rPr>
                <w:color w:val="231F20"/>
                <w:spacing w:val="40"/>
                <w:sz w:val="18"/>
              </w:rPr>
              <w:t> </w:t>
            </w:r>
            <w:r>
              <w:rPr>
                <w:rFonts w:ascii="Futura MdCn BT"/>
                <w:color w:val="231F20"/>
                <w:sz w:val="18"/>
              </w:rPr>
              <w:t>v</w:t>
            </w:r>
            <w:r>
              <w:rPr>
                <w:rFonts w:ascii="Futura MdCn BT"/>
                <w:color w:val="231F20"/>
                <w:spacing w:val="77"/>
                <w:w w:val="150"/>
                <w:sz w:val="18"/>
              </w:rPr>
              <w:t> </w:t>
            </w:r>
            <w:r>
              <w:rPr>
                <w:color w:val="231F20"/>
                <w:sz w:val="18"/>
              </w:rPr>
              <w:t>IBM</w:t>
            </w:r>
            <w:r>
              <w:rPr>
                <w:color w:val="231F20"/>
                <w:spacing w:val="13"/>
                <w:sz w:val="18"/>
              </w:rPr>
              <w:t> </w:t>
            </w:r>
            <w:r>
              <w:rPr>
                <w:color w:val="231F20"/>
                <w:sz w:val="18"/>
              </w:rPr>
              <w:t>5250</w:t>
            </w:r>
            <w:r>
              <w:rPr>
                <w:color w:val="231F20"/>
                <w:spacing w:val="12"/>
                <w:sz w:val="18"/>
              </w:rPr>
              <w:t> </w:t>
            </w:r>
            <w:r>
              <w:rPr>
                <w:color w:val="231F20"/>
                <w:spacing w:val="-2"/>
                <w:sz w:val="18"/>
              </w:rPr>
              <w:t>(27x132)</w:t>
            </w:r>
          </w:p>
          <w:p>
            <w:pPr>
              <w:pStyle w:val="TableParagraph"/>
              <w:spacing w:line="216" w:lineRule="auto" w:before="125"/>
              <w:ind w:left="60"/>
              <w:rPr>
                <w:sz w:val="18"/>
              </w:rPr>
            </w:pPr>
            <w:r>
              <w:rPr>
                <w:color w:val="231F20"/>
                <w:sz w:val="18"/>
              </w:rPr>
              <w:t>This field is optional; the default terminal type is </w:t>
            </w:r>
            <w:r>
              <w:rPr>
                <w:color w:val="231F20"/>
                <w:sz w:val="18"/>
              </w:rPr>
              <w:t>3270 </w:t>
            </w:r>
            <w:r>
              <w:rPr>
                <w:color w:val="231F20"/>
                <w:spacing w:val="-2"/>
                <w:sz w:val="18"/>
              </w:rPr>
              <w:t>(24x80).</w:t>
            </w:r>
          </w:p>
        </w:tc>
      </w:tr>
    </w:tbl>
    <w:p>
      <w:pPr>
        <w:pStyle w:val="BodyText"/>
        <w:spacing w:before="139"/>
      </w:pPr>
    </w:p>
    <w:p>
      <w:pPr>
        <w:pStyle w:val="BodyText"/>
        <w:spacing w:line="213" w:lineRule="auto"/>
        <w:ind w:left="2472" w:right="545"/>
      </w:pPr>
      <w:r>
        <w:rPr>
          <w:color w:val="231F20"/>
        </w:rPr>
        <w:t>In addition to the minimum required fields, the query can also return </w:t>
      </w:r>
      <w:r>
        <w:rPr>
          <w:color w:val="231F20"/>
        </w:rPr>
        <w:t>additional fields to supply application-specific data. The connection script can access these fields using the </w:t>
      </w:r>
      <w:r>
        <w:rPr>
          <w:rFonts w:ascii="Arial"/>
          <w:color w:val="231F20"/>
        </w:rPr>
        <w:t>getProperty </w:t>
      </w:r>
      <w:r>
        <w:rPr>
          <w:color w:val="231F20"/>
        </w:rPr>
        <w:t>function.</w:t>
      </w:r>
    </w:p>
    <w:p>
      <w:pPr>
        <w:spacing w:after="0" w:line="213" w:lineRule="auto"/>
        <w:sectPr>
          <w:pgSz w:w="12240" w:h="15840"/>
          <w:pgMar w:header="0" w:footer="736" w:top="1180" w:bottom="920" w:left="1000" w:right="1060"/>
        </w:sectPr>
      </w:pPr>
    </w:p>
    <w:p>
      <w:pPr>
        <w:pStyle w:val="Heading3"/>
        <w:spacing w:before="84"/>
        <w:ind w:left="1334"/>
      </w:pPr>
      <w:bookmarkStart w:name="_bookmark128" w:id="283"/>
      <w:bookmarkEnd w:id="283"/>
      <w:r>
        <w:rPr>
          <w:b w:val="0"/>
        </w:rPr>
      </w:r>
      <w:bookmarkStart w:name="Running a script" w:id="284"/>
      <w:bookmarkEnd w:id="284"/>
      <w:r>
        <w:rPr>
          <w:b w:val="0"/>
        </w:rPr>
      </w:r>
      <w:r>
        <w:rPr>
          <w:color w:val="231F20"/>
        </w:rPr>
        <w:t>Running</w:t>
      </w:r>
      <w:r>
        <w:rPr>
          <w:color w:val="231F20"/>
          <w:spacing w:val="8"/>
        </w:rPr>
        <w:t> </w:t>
      </w:r>
      <w:r>
        <w:rPr>
          <w:color w:val="231F20"/>
        </w:rPr>
        <w:t>a</w:t>
      </w:r>
      <w:r>
        <w:rPr>
          <w:color w:val="231F20"/>
          <w:spacing w:val="9"/>
        </w:rPr>
        <w:t> </w:t>
      </w:r>
      <w:r>
        <w:rPr>
          <w:color w:val="231F20"/>
          <w:spacing w:val="-2"/>
        </w:rPr>
        <w:t>script</w:t>
      </w:r>
    </w:p>
    <w:p>
      <w:pPr>
        <w:pStyle w:val="BodyText"/>
        <w:spacing w:line="213" w:lineRule="auto" w:before="58"/>
        <w:ind w:left="2232" w:right="412"/>
        <w:jc w:val="both"/>
      </w:pPr>
      <w:r>
        <w:rPr>
          <w:color w:val="231F20"/>
        </w:rPr>
        <w:t>After</w:t>
      </w:r>
      <w:r>
        <w:rPr>
          <w:color w:val="231F20"/>
          <w:spacing w:val="11"/>
        </w:rPr>
        <w:t> </w:t>
      </w:r>
      <w:r>
        <w:rPr>
          <w:color w:val="231F20"/>
        </w:rPr>
        <w:t>you</w:t>
      </w:r>
      <w:r>
        <w:rPr>
          <w:color w:val="231F20"/>
          <w:spacing w:val="11"/>
        </w:rPr>
        <w:t> </w:t>
      </w:r>
      <w:r>
        <w:rPr>
          <w:color w:val="231F20"/>
        </w:rPr>
        <w:t>have</w:t>
      </w:r>
      <w:r>
        <w:rPr>
          <w:color w:val="231F20"/>
          <w:spacing w:val="11"/>
        </w:rPr>
        <w:t> </w:t>
      </w:r>
      <w:r>
        <w:rPr>
          <w:color w:val="231F20"/>
        </w:rPr>
        <w:t>scripts</w:t>
      </w:r>
      <w:r>
        <w:rPr>
          <w:color w:val="231F20"/>
          <w:spacing w:val="11"/>
        </w:rPr>
        <w:t> </w:t>
      </w:r>
      <w:r>
        <w:rPr>
          <w:color w:val="231F20"/>
        </w:rPr>
        <w:t>saved</w:t>
      </w:r>
      <w:r>
        <w:rPr>
          <w:color w:val="231F20"/>
          <w:spacing w:val="11"/>
        </w:rPr>
        <w:t> </w:t>
      </w:r>
      <w:r>
        <w:rPr>
          <w:color w:val="231F20"/>
        </w:rPr>
        <w:t>for</w:t>
      </w:r>
      <w:r>
        <w:rPr>
          <w:color w:val="231F20"/>
          <w:spacing w:val="11"/>
        </w:rPr>
        <w:t> </w:t>
      </w:r>
      <w:r>
        <w:rPr>
          <w:color w:val="231F20"/>
        </w:rPr>
        <w:t>a</w:t>
      </w:r>
      <w:r>
        <w:rPr>
          <w:color w:val="231F20"/>
          <w:spacing w:val="11"/>
        </w:rPr>
        <w:t> </w:t>
      </w:r>
      <w:r>
        <w:rPr>
          <w:color w:val="231F20"/>
        </w:rPr>
        <w:t>terminal</w:t>
      </w:r>
      <w:r>
        <w:rPr>
          <w:color w:val="231F20"/>
          <w:spacing w:val="11"/>
        </w:rPr>
        <w:t> </w:t>
      </w:r>
      <w:r>
        <w:rPr>
          <w:color w:val="231F20"/>
        </w:rPr>
        <w:t>view,</w:t>
      </w:r>
      <w:r>
        <w:rPr>
          <w:color w:val="231F20"/>
          <w:spacing w:val="11"/>
        </w:rPr>
        <w:t> </w:t>
      </w:r>
      <w:r>
        <w:rPr>
          <w:color w:val="231F20"/>
        </w:rPr>
        <w:t>and</w:t>
      </w:r>
      <w:r>
        <w:rPr>
          <w:color w:val="231F20"/>
          <w:spacing w:val="11"/>
        </w:rPr>
        <w:t> </w:t>
      </w:r>
      <w:r>
        <w:rPr>
          <w:color w:val="231F20"/>
        </w:rPr>
        <w:t>the</w:t>
      </w:r>
      <w:r>
        <w:rPr>
          <w:color w:val="231F20"/>
          <w:spacing w:val="11"/>
        </w:rPr>
        <w:t> </w:t>
      </w:r>
      <w:r>
        <w:rPr>
          <w:color w:val="231F20"/>
        </w:rPr>
        <w:t>terminal</w:t>
      </w:r>
      <w:r>
        <w:rPr>
          <w:color w:val="231F20"/>
          <w:spacing w:val="11"/>
        </w:rPr>
        <w:t> </w:t>
      </w:r>
      <w:r>
        <w:rPr>
          <w:color w:val="231F20"/>
        </w:rPr>
        <w:t>view</w:t>
      </w:r>
      <w:r>
        <w:rPr>
          <w:color w:val="231F20"/>
          <w:spacing w:val="11"/>
        </w:rPr>
        <w:t> </w:t>
      </w:r>
      <w:r>
        <w:rPr>
          <w:color w:val="231F20"/>
        </w:rPr>
        <w:t>saved</w:t>
      </w:r>
      <w:r>
        <w:rPr>
          <w:color w:val="231F20"/>
          <w:spacing w:val="11"/>
        </w:rPr>
        <w:t> </w:t>
      </w:r>
      <w:r>
        <w:rPr>
          <w:color w:val="231F20"/>
        </w:rPr>
        <w:t>with a workspace, you can run the scripts at any time. You must be connected to a 3270</w:t>
      </w:r>
      <w:r>
        <w:rPr>
          <w:color w:val="231F20"/>
          <w:spacing w:val="80"/>
          <w:w w:val="150"/>
        </w:rPr>
        <w:t> </w:t>
      </w:r>
      <w:r>
        <w:rPr>
          <w:color w:val="231F20"/>
        </w:rPr>
        <w:t>or 5250 session before you can run a script.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6"/>
        </w:rPr>
        <w:t> </w:t>
      </w:r>
      <w:r>
        <w:rPr>
          <w:color w:val="231F20"/>
        </w:rPr>
        <w:t>run</w:t>
      </w:r>
      <w:r>
        <w:rPr>
          <w:color w:val="231F20"/>
          <w:spacing w:val="7"/>
        </w:rPr>
        <w:t> </w:t>
      </w:r>
      <w:r>
        <w:rPr>
          <w:color w:val="231F20"/>
        </w:rPr>
        <w:t>a</w:t>
      </w:r>
      <w:r>
        <w:rPr>
          <w:color w:val="231F20"/>
          <w:spacing w:val="7"/>
        </w:rPr>
        <w:t> </w:t>
      </w:r>
      <w:r>
        <w:rPr>
          <w:color w:val="231F20"/>
          <w:spacing w:val="-2"/>
        </w:rPr>
        <w:t>script:</w:t>
      </w:r>
    </w:p>
    <w:p>
      <w:pPr>
        <w:pStyle w:val="Heading4"/>
        <w:spacing w:before="194"/>
      </w:pPr>
      <w:r>
        <w:rPr>
          <w:color w:val="231F20"/>
          <w:spacing w:val="-2"/>
        </w:rPr>
        <w:t>Procedure</w:t>
      </w:r>
    </w:p>
    <w:p>
      <w:pPr>
        <w:pStyle w:val="ListParagraph"/>
        <w:numPr>
          <w:ilvl w:val="0"/>
          <w:numId w:val="84"/>
        </w:numPr>
        <w:tabs>
          <w:tab w:pos="2548" w:val="left" w:leader="none"/>
        </w:tabs>
        <w:spacing w:line="213" w:lineRule="auto" w:before="62" w:after="0"/>
        <w:ind w:left="2548" w:right="447" w:hanging="316"/>
        <w:jc w:val="left"/>
        <w:rPr>
          <w:sz w:val="20"/>
        </w:rPr>
      </w:pPr>
      <w:r>
        <w:rPr>
          <w:color w:val="231F20"/>
          <w:sz w:val="20"/>
        </w:rPr>
        <w:t>While in the terminal view, click</w:t>
      </w:r>
      <w:r>
        <w:rPr>
          <w:color w:val="231F20"/>
          <w:spacing w:val="35"/>
          <w:sz w:val="20"/>
        </w:rPr>
        <w:t> </w:t>
      </w:r>
      <w:r>
        <w:rPr>
          <w:color w:val="231F20"/>
          <w:spacing w:val="-25"/>
          <w:position w:val="-1"/>
          <w:sz w:val="20"/>
        </w:rPr>
        <w:drawing>
          <wp:inline distT="0" distB="0" distL="0" distR="0">
            <wp:extent cx="95250" cy="95250"/>
            <wp:effectExtent l="0" t="0" r="0" b="0"/>
            <wp:docPr id="1632" name="Image 1632"/>
            <wp:cNvGraphicFramePr>
              <a:graphicFrameLocks/>
            </wp:cNvGraphicFramePr>
            <a:graphic>
              <a:graphicData uri="http://schemas.openxmlformats.org/drawingml/2006/picture">
                <pic:pic>
                  <pic:nvPicPr>
                    <pic:cNvPr id="1632" name="Image 1632"/>
                    <pic:cNvPicPr/>
                  </pic:nvPicPr>
                  <pic:blipFill>
                    <a:blip r:embed="rId323"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34"/>
          <w:sz w:val="20"/>
        </w:rPr>
        <w:t> </w:t>
      </w:r>
      <w:r>
        <w:rPr>
          <w:rFonts w:ascii="Book Antiqua"/>
          <w:b/>
          <w:color w:val="231F20"/>
          <w:sz w:val="20"/>
        </w:rPr>
        <w:t>Connection </w:t>
      </w:r>
      <w:r>
        <w:rPr>
          <w:color w:val="231F20"/>
          <w:sz w:val="20"/>
        </w:rPr>
        <w:t>and fill in the Terminal</w:t>
      </w:r>
      <w:r>
        <w:rPr>
          <w:color w:val="231F20"/>
          <w:spacing w:val="40"/>
          <w:sz w:val="20"/>
        </w:rPr>
        <w:t> </w:t>
      </w:r>
      <w:r>
        <w:rPr>
          <w:color w:val="231F20"/>
          <w:sz w:val="20"/>
        </w:rPr>
        <w:t>Emulator Configuration window. You can specify the connection information </w:t>
      </w:r>
      <w:r>
        <w:rPr>
          <w:color w:val="231F20"/>
          <w:sz w:val="20"/>
        </w:rPr>
        <w:t>in the window, or select </w:t>
      </w:r>
      <w:r>
        <w:rPr>
          <w:rFonts w:ascii="Book Antiqua"/>
          <w:b/>
          <w:color w:val="231F20"/>
          <w:sz w:val="20"/>
        </w:rPr>
        <w:t>Fetch values from a query </w:t>
      </w:r>
      <w:r>
        <w:rPr>
          <w:color w:val="231F20"/>
          <w:sz w:val="20"/>
        </w:rPr>
        <w:t>to use the connection information returned by the query specify in the view properties. Click </w:t>
      </w:r>
      <w:r>
        <w:rPr>
          <w:rFonts w:ascii="Book Antiqua"/>
          <w:b/>
          <w:color w:val="231F20"/>
          <w:sz w:val="20"/>
        </w:rPr>
        <w:t>OK </w:t>
      </w:r>
      <w:r>
        <w:rPr>
          <w:color w:val="231F20"/>
          <w:sz w:val="20"/>
        </w:rPr>
        <w:t>to accept the configuration and establish the connection.</w:t>
      </w:r>
    </w:p>
    <w:p>
      <w:pPr>
        <w:pStyle w:val="ListParagraph"/>
        <w:numPr>
          <w:ilvl w:val="0"/>
          <w:numId w:val="84"/>
        </w:numPr>
        <w:tabs>
          <w:tab w:pos="2547" w:val="left" w:leader="none"/>
        </w:tabs>
        <w:spacing w:line="240" w:lineRule="auto" w:before="33" w:after="0"/>
        <w:ind w:left="254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101600" cy="101600"/>
            <wp:effectExtent l="0" t="0" r="0" b="0"/>
            <wp:docPr id="1633" name="Image 1633"/>
            <wp:cNvGraphicFramePr>
              <a:graphicFrameLocks/>
            </wp:cNvGraphicFramePr>
            <a:graphic>
              <a:graphicData uri="http://schemas.openxmlformats.org/drawingml/2006/picture">
                <pic:pic>
                  <pic:nvPicPr>
                    <pic:cNvPr id="1633" name="Image 1633"/>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4"/>
          <w:sz w:val="20"/>
        </w:rPr>
        <w:t> </w:t>
      </w:r>
      <w:r>
        <w:rPr>
          <w:rFonts w:ascii="Book Antiqua"/>
          <w:b/>
          <w:color w:val="231F20"/>
          <w:sz w:val="20"/>
        </w:rPr>
        <w:t>Manage</w:t>
      </w:r>
      <w:r>
        <w:rPr>
          <w:rFonts w:ascii="Book Antiqua"/>
          <w:b/>
          <w:color w:val="231F20"/>
          <w:spacing w:val="12"/>
          <w:sz w:val="20"/>
        </w:rPr>
        <w:t> </w:t>
      </w:r>
      <w:r>
        <w:rPr>
          <w:rFonts w:ascii="Book Antiqua"/>
          <w:b/>
          <w:color w:val="231F20"/>
          <w:sz w:val="20"/>
        </w:rPr>
        <w:t>Scripts</w:t>
      </w:r>
      <w:r>
        <w:rPr>
          <w:rFonts w:ascii="Book Antiqua"/>
          <w:b/>
          <w:color w:val="231F20"/>
          <w:spacing w:val="12"/>
          <w:sz w:val="20"/>
        </w:rPr>
        <w:t> </w:t>
      </w:r>
      <w:r>
        <w:rPr>
          <w:color w:val="231F20"/>
          <w:sz w:val="20"/>
        </w:rPr>
        <w:t>to</w:t>
      </w:r>
      <w:r>
        <w:rPr>
          <w:color w:val="231F20"/>
          <w:spacing w:val="13"/>
          <w:sz w:val="20"/>
        </w:rPr>
        <w:t> </w:t>
      </w:r>
      <w:r>
        <w:rPr>
          <w:color w:val="231F20"/>
          <w:sz w:val="20"/>
        </w:rPr>
        <w:t>open</w:t>
      </w:r>
      <w:r>
        <w:rPr>
          <w:color w:val="231F20"/>
          <w:spacing w:val="12"/>
          <w:sz w:val="20"/>
        </w:rPr>
        <w:t> </w:t>
      </w:r>
      <w:r>
        <w:rPr>
          <w:color w:val="231F20"/>
          <w:sz w:val="20"/>
        </w:rPr>
        <w:t>a</w:t>
      </w:r>
      <w:r>
        <w:rPr>
          <w:color w:val="231F20"/>
          <w:spacing w:val="13"/>
          <w:sz w:val="20"/>
        </w:rPr>
        <w:t> </w:t>
      </w:r>
      <w:r>
        <w:rPr>
          <w:color w:val="231F20"/>
          <w:sz w:val="20"/>
        </w:rPr>
        <w:t>list</w:t>
      </w:r>
      <w:r>
        <w:rPr>
          <w:color w:val="231F20"/>
          <w:spacing w:val="12"/>
          <w:sz w:val="20"/>
        </w:rPr>
        <w:t> </w:t>
      </w:r>
      <w:r>
        <w:rPr>
          <w:color w:val="231F20"/>
          <w:sz w:val="20"/>
        </w:rPr>
        <w:t>of</w:t>
      </w:r>
      <w:r>
        <w:rPr>
          <w:color w:val="231F20"/>
          <w:spacing w:val="12"/>
          <w:sz w:val="20"/>
        </w:rPr>
        <w:t> </w:t>
      </w:r>
      <w:r>
        <w:rPr>
          <w:color w:val="231F20"/>
          <w:sz w:val="20"/>
        </w:rPr>
        <w:t>available</w:t>
      </w:r>
      <w:r>
        <w:rPr>
          <w:color w:val="231F20"/>
          <w:spacing w:val="13"/>
          <w:sz w:val="20"/>
        </w:rPr>
        <w:t> </w:t>
      </w:r>
      <w:r>
        <w:rPr>
          <w:color w:val="231F20"/>
          <w:spacing w:val="-2"/>
          <w:sz w:val="20"/>
        </w:rPr>
        <w:t>scripts.</w:t>
      </w:r>
    </w:p>
    <w:p>
      <w:pPr>
        <w:pStyle w:val="ListParagraph"/>
        <w:numPr>
          <w:ilvl w:val="0"/>
          <w:numId w:val="84"/>
        </w:numPr>
        <w:tabs>
          <w:tab w:pos="2547" w:val="left" w:leader="none"/>
        </w:tabs>
        <w:spacing w:line="240" w:lineRule="auto" w:before="30" w:after="0"/>
        <w:ind w:left="2547" w:right="0" w:hanging="315"/>
        <w:jc w:val="left"/>
        <w:rPr>
          <w:sz w:val="20"/>
        </w:rPr>
      </w:pPr>
      <w:r>
        <w:rPr>
          <w:color w:val="231F20"/>
          <w:sz w:val="20"/>
        </w:rPr>
        <w:t>Select</w:t>
      </w:r>
      <w:r>
        <w:rPr>
          <w:color w:val="231F20"/>
          <w:spacing w:val="12"/>
          <w:sz w:val="20"/>
        </w:rPr>
        <w:t> </w:t>
      </w:r>
      <w:r>
        <w:rPr>
          <w:color w:val="231F20"/>
          <w:sz w:val="20"/>
        </w:rPr>
        <w:t>a</w:t>
      </w:r>
      <w:r>
        <w:rPr>
          <w:color w:val="231F20"/>
          <w:spacing w:val="12"/>
          <w:sz w:val="20"/>
        </w:rPr>
        <w:t> </w:t>
      </w:r>
      <w:r>
        <w:rPr>
          <w:color w:val="231F20"/>
          <w:sz w:val="20"/>
        </w:rPr>
        <w:t>script</w:t>
      </w:r>
      <w:r>
        <w:rPr>
          <w:color w:val="231F20"/>
          <w:spacing w:val="12"/>
          <w:sz w:val="20"/>
        </w:rPr>
        <w:t> </w:t>
      </w:r>
      <w:r>
        <w:rPr>
          <w:color w:val="231F20"/>
          <w:sz w:val="20"/>
        </w:rPr>
        <w:t>from</w:t>
      </w:r>
      <w:r>
        <w:rPr>
          <w:color w:val="231F20"/>
          <w:spacing w:val="12"/>
          <w:sz w:val="20"/>
        </w:rPr>
        <w:t> </w:t>
      </w:r>
      <w:r>
        <w:rPr>
          <w:color w:val="231F20"/>
          <w:sz w:val="20"/>
        </w:rPr>
        <w:t>the</w:t>
      </w:r>
      <w:r>
        <w:rPr>
          <w:color w:val="231F20"/>
          <w:spacing w:val="13"/>
          <w:sz w:val="20"/>
        </w:rPr>
        <w:t> </w:t>
      </w:r>
      <w:r>
        <w:rPr>
          <w:color w:val="231F20"/>
          <w:sz w:val="20"/>
        </w:rPr>
        <w:t>list</w:t>
      </w:r>
      <w:r>
        <w:rPr>
          <w:color w:val="231F20"/>
          <w:spacing w:val="12"/>
          <w:sz w:val="20"/>
        </w:rPr>
        <w:t> </w:t>
      </w:r>
      <w:r>
        <w:rPr>
          <w:color w:val="231F20"/>
          <w:sz w:val="20"/>
        </w:rPr>
        <w:t>or</w:t>
      </w:r>
      <w:r>
        <w:rPr>
          <w:color w:val="231F20"/>
          <w:spacing w:val="12"/>
          <w:sz w:val="20"/>
        </w:rPr>
        <w:t> </w:t>
      </w:r>
      <w:r>
        <w:rPr>
          <w:color w:val="231F20"/>
          <w:sz w:val="20"/>
        </w:rPr>
        <w:t>type</w:t>
      </w:r>
      <w:r>
        <w:rPr>
          <w:color w:val="231F20"/>
          <w:spacing w:val="12"/>
          <w:sz w:val="20"/>
        </w:rPr>
        <w:t> </w:t>
      </w:r>
      <w:r>
        <w:rPr>
          <w:color w:val="231F20"/>
          <w:sz w:val="20"/>
        </w:rPr>
        <w:t>a</w:t>
      </w:r>
      <w:r>
        <w:rPr>
          <w:color w:val="231F20"/>
          <w:spacing w:val="13"/>
          <w:sz w:val="20"/>
        </w:rPr>
        <w:t> </w:t>
      </w:r>
      <w:r>
        <w:rPr>
          <w:color w:val="231F20"/>
          <w:sz w:val="20"/>
        </w:rPr>
        <w:t>name</w:t>
      </w:r>
      <w:r>
        <w:rPr>
          <w:color w:val="231F20"/>
          <w:spacing w:val="12"/>
          <w:sz w:val="20"/>
        </w:rPr>
        <w:t> </w:t>
      </w:r>
      <w:r>
        <w:rPr>
          <w:color w:val="231F20"/>
          <w:sz w:val="20"/>
        </w:rPr>
        <w:t>in</w:t>
      </w:r>
      <w:r>
        <w:rPr>
          <w:color w:val="231F20"/>
          <w:spacing w:val="12"/>
          <w:sz w:val="20"/>
        </w:rPr>
        <w:t> </w:t>
      </w:r>
      <w:r>
        <w:rPr>
          <w:color w:val="231F20"/>
          <w:sz w:val="20"/>
        </w:rPr>
        <w:t>the</w:t>
      </w:r>
      <w:r>
        <w:rPr>
          <w:color w:val="231F20"/>
          <w:spacing w:val="12"/>
          <w:sz w:val="20"/>
        </w:rPr>
        <w:t> </w:t>
      </w:r>
      <w:r>
        <w:rPr>
          <w:rFonts w:ascii="Book Antiqua"/>
          <w:b/>
          <w:color w:val="231F20"/>
          <w:sz w:val="20"/>
        </w:rPr>
        <w:t>Script</w:t>
      </w:r>
      <w:r>
        <w:rPr>
          <w:rFonts w:ascii="Book Antiqua"/>
          <w:b/>
          <w:color w:val="231F20"/>
          <w:spacing w:val="12"/>
          <w:sz w:val="20"/>
        </w:rPr>
        <w:t> </w:t>
      </w:r>
      <w:r>
        <w:rPr>
          <w:rFonts w:ascii="Book Antiqua"/>
          <w:b/>
          <w:color w:val="231F20"/>
          <w:sz w:val="20"/>
        </w:rPr>
        <w:t>Names</w:t>
      </w:r>
      <w:r>
        <w:rPr>
          <w:rFonts w:ascii="Book Antiqua"/>
          <w:b/>
          <w:color w:val="231F20"/>
          <w:spacing w:val="13"/>
          <w:sz w:val="20"/>
        </w:rPr>
        <w:t> </w:t>
      </w:r>
      <w:r>
        <w:rPr>
          <w:color w:val="231F20"/>
          <w:spacing w:val="-2"/>
          <w:sz w:val="20"/>
        </w:rPr>
        <w:t>field.</w:t>
      </w:r>
    </w:p>
    <w:p>
      <w:pPr>
        <w:pStyle w:val="ListParagraph"/>
        <w:numPr>
          <w:ilvl w:val="0"/>
          <w:numId w:val="84"/>
        </w:numPr>
        <w:tabs>
          <w:tab w:pos="2547" w:val="left" w:leader="none"/>
        </w:tabs>
        <w:spacing w:line="240" w:lineRule="auto" w:before="29" w:after="0"/>
        <w:ind w:left="2547" w:right="0" w:hanging="315"/>
        <w:jc w:val="left"/>
        <w:rPr>
          <w:sz w:val="20"/>
        </w:rPr>
      </w:pPr>
      <w:r>
        <w:rPr>
          <w:color w:val="231F20"/>
          <w:sz w:val="20"/>
        </w:rPr>
        <w:t>Click</w:t>
      </w:r>
      <w:r>
        <w:rPr>
          <w:color w:val="231F20"/>
          <w:spacing w:val="11"/>
          <w:sz w:val="20"/>
        </w:rPr>
        <w:t> </w:t>
      </w:r>
      <w:r>
        <w:rPr>
          <w:rFonts w:ascii="Book Antiqua"/>
          <w:b/>
          <w:color w:val="231F20"/>
          <w:sz w:val="20"/>
        </w:rPr>
        <w:t>Run</w:t>
      </w:r>
      <w:r>
        <w:rPr>
          <w:rFonts w:ascii="Book Antiqua"/>
          <w:b/>
          <w:color w:val="231F20"/>
          <w:spacing w:val="11"/>
          <w:sz w:val="20"/>
        </w:rPr>
        <w:t> </w:t>
      </w:r>
      <w:r>
        <w:rPr>
          <w:color w:val="231F20"/>
          <w:sz w:val="20"/>
        </w:rPr>
        <w:t>to</w:t>
      </w:r>
      <w:r>
        <w:rPr>
          <w:color w:val="231F20"/>
          <w:spacing w:val="12"/>
          <w:sz w:val="20"/>
        </w:rPr>
        <w:t> </w:t>
      </w:r>
      <w:r>
        <w:rPr>
          <w:color w:val="231F20"/>
          <w:sz w:val="20"/>
        </w:rPr>
        <w:t>start</w:t>
      </w:r>
      <w:r>
        <w:rPr>
          <w:color w:val="231F20"/>
          <w:spacing w:val="11"/>
          <w:sz w:val="20"/>
        </w:rPr>
        <w:t> </w:t>
      </w:r>
      <w:r>
        <w:rPr>
          <w:color w:val="231F20"/>
          <w:sz w:val="20"/>
        </w:rPr>
        <w:t>executing</w:t>
      </w:r>
      <w:r>
        <w:rPr>
          <w:color w:val="231F20"/>
          <w:spacing w:val="11"/>
          <w:sz w:val="20"/>
        </w:rPr>
        <w:t> </w:t>
      </w:r>
      <w:r>
        <w:rPr>
          <w:color w:val="231F20"/>
          <w:sz w:val="20"/>
        </w:rPr>
        <w:t>the</w:t>
      </w:r>
      <w:r>
        <w:rPr>
          <w:color w:val="231F20"/>
          <w:spacing w:val="12"/>
          <w:sz w:val="20"/>
        </w:rPr>
        <w:t> </w:t>
      </w:r>
      <w:r>
        <w:rPr>
          <w:color w:val="231F20"/>
          <w:sz w:val="20"/>
        </w:rPr>
        <w:t>selected</w:t>
      </w:r>
      <w:r>
        <w:rPr>
          <w:color w:val="231F20"/>
          <w:spacing w:val="11"/>
          <w:sz w:val="20"/>
        </w:rPr>
        <w:t> </w:t>
      </w:r>
      <w:r>
        <w:rPr>
          <w:color w:val="231F20"/>
          <w:spacing w:val="-2"/>
          <w:sz w:val="20"/>
        </w:rPr>
        <w:t>script.</w:t>
      </w:r>
    </w:p>
    <w:p>
      <w:pPr>
        <w:pStyle w:val="ListParagraph"/>
        <w:numPr>
          <w:ilvl w:val="0"/>
          <w:numId w:val="84"/>
        </w:numPr>
        <w:tabs>
          <w:tab w:pos="2547" w:val="left" w:leader="none"/>
        </w:tabs>
        <w:spacing w:line="240" w:lineRule="auto" w:before="30" w:after="0"/>
        <w:ind w:left="2547" w:right="0" w:hanging="315"/>
        <w:jc w:val="left"/>
        <w:rPr>
          <w:sz w:val="20"/>
        </w:rPr>
      </w:pPr>
      <w:r>
        <w:rPr>
          <w:color w:val="231F20"/>
          <w:sz w:val="20"/>
        </w:rPr>
        <w:t>If</w:t>
      </w:r>
      <w:r>
        <w:rPr>
          <w:color w:val="231F20"/>
          <w:spacing w:val="12"/>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z w:val="20"/>
        </w:rPr>
        <w:t>stop</w:t>
      </w:r>
      <w:r>
        <w:rPr>
          <w:color w:val="231F20"/>
          <w:spacing w:val="12"/>
          <w:sz w:val="20"/>
        </w:rPr>
        <w:t> </w:t>
      </w:r>
      <w:r>
        <w:rPr>
          <w:color w:val="231F20"/>
          <w:sz w:val="20"/>
        </w:rPr>
        <w:t>the</w:t>
      </w:r>
      <w:r>
        <w:rPr>
          <w:color w:val="231F20"/>
          <w:spacing w:val="12"/>
          <w:sz w:val="20"/>
        </w:rPr>
        <w:t> </w:t>
      </w:r>
      <w:r>
        <w:rPr>
          <w:color w:val="231F20"/>
          <w:sz w:val="20"/>
        </w:rPr>
        <w:t>script</w:t>
      </w:r>
      <w:r>
        <w:rPr>
          <w:color w:val="231F20"/>
          <w:spacing w:val="12"/>
          <w:sz w:val="20"/>
        </w:rPr>
        <w:t> </w:t>
      </w:r>
      <w:r>
        <w:rPr>
          <w:color w:val="231F20"/>
          <w:sz w:val="20"/>
        </w:rPr>
        <w:t>before</w:t>
      </w:r>
      <w:r>
        <w:rPr>
          <w:color w:val="231F20"/>
          <w:spacing w:val="12"/>
          <w:sz w:val="20"/>
        </w:rPr>
        <w:t> </w:t>
      </w:r>
      <w:r>
        <w:rPr>
          <w:color w:val="231F20"/>
          <w:sz w:val="20"/>
        </w:rPr>
        <w:t>its</w:t>
      </w:r>
      <w:r>
        <w:rPr>
          <w:color w:val="231F20"/>
          <w:spacing w:val="12"/>
          <w:sz w:val="20"/>
        </w:rPr>
        <w:t> </w:t>
      </w:r>
      <w:r>
        <w:rPr>
          <w:color w:val="231F20"/>
          <w:sz w:val="20"/>
        </w:rPr>
        <w:t>completion,</w:t>
      </w:r>
      <w:r>
        <w:rPr>
          <w:color w:val="231F20"/>
          <w:spacing w:val="13"/>
          <w:sz w:val="20"/>
        </w:rPr>
        <w:t> </w:t>
      </w:r>
      <w:r>
        <w:rPr>
          <w:color w:val="231F20"/>
          <w:sz w:val="20"/>
        </w:rPr>
        <w:t>click</w:t>
      </w:r>
      <w:r>
        <w:rPr>
          <w:color w:val="231F20"/>
          <w:spacing w:val="19"/>
          <w:sz w:val="20"/>
        </w:rPr>
        <w:t> </w:t>
      </w:r>
      <w:r>
        <w:rPr>
          <w:color w:val="231F20"/>
          <w:spacing w:val="24"/>
          <w:position w:val="-1"/>
          <w:sz w:val="20"/>
        </w:rPr>
        <w:drawing>
          <wp:inline distT="0" distB="0" distL="0" distR="0">
            <wp:extent cx="95250" cy="95250"/>
            <wp:effectExtent l="0" t="0" r="0" b="0"/>
            <wp:docPr id="1634" name="Image 1634"/>
            <wp:cNvGraphicFramePr>
              <a:graphicFrameLocks/>
            </wp:cNvGraphicFramePr>
            <a:graphic>
              <a:graphicData uri="http://schemas.openxmlformats.org/drawingml/2006/picture">
                <pic:pic>
                  <pic:nvPicPr>
                    <pic:cNvPr id="1634" name="Image 1634"/>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36"/>
          <w:sz w:val="20"/>
        </w:rPr>
        <w:t> </w:t>
      </w:r>
      <w:r>
        <w:rPr>
          <w:rFonts w:ascii="Book Antiqua"/>
          <w:b/>
          <w:color w:val="231F20"/>
          <w:spacing w:val="-2"/>
          <w:sz w:val="20"/>
        </w:rPr>
        <w:t>Stop</w:t>
      </w:r>
      <w:r>
        <w:rPr>
          <w:color w:val="231F20"/>
          <w:spacing w:val="-2"/>
          <w:sz w:val="20"/>
        </w:rPr>
        <w:t>.</w:t>
      </w:r>
    </w:p>
    <w:p>
      <w:pPr>
        <w:pStyle w:val="Heading3"/>
        <w:spacing w:before="211"/>
        <w:ind w:left="1334"/>
      </w:pPr>
      <w:bookmarkStart w:name="Recording a script" w:id="285"/>
      <w:bookmarkEnd w:id="285"/>
      <w:r>
        <w:rPr>
          <w:b w:val="0"/>
        </w:rPr>
      </w:r>
      <w:r>
        <w:rPr>
          <w:color w:val="231F20"/>
        </w:rPr>
        <w:t>Recording</w:t>
      </w:r>
      <w:r>
        <w:rPr>
          <w:color w:val="231F20"/>
          <w:spacing w:val="7"/>
        </w:rPr>
        <w:t> </w:t>
      </w:r>
      <w:r>
        <w:rPr>
          <w:color w:val="231F20"/>
        </w:rPr>
        <w:t>a</w:t>
      </w:r>
      <w:r>
        <w:rPr>
          <w:color w:val="231F20"/>
          <w:spacing w:val="7"/>
        </w:rPr>
        <w:t> </w:t>
      </w:r>
      <w:r>
        <w:rPr>
          <w:color w:val="231F20"/>
          <w:spacing w:val="-2"/>
        </w:rPr>
        <w:t>script</w:t>
      </w:r>
    </w:p>
    <w:p>
      <w:pPr>
        <w:pStyle w:val="BodyText"/>
        <w:spacing w:line="213" w:lineRule="auto" w:before="58"/>
        <w:ind w:left="2232" w:right="636"/>
      </w:pPr>
      <w:r>
        <w:rPr>
          <w:color w:val="231F20"/>
        </w:rPr>
        <w:t>The recorder allows you to capture and play back host 3270 or 5250 sessions. As you interact with the terminal session, the session is recorded as a set of script commands that can be saved and played back at a later time. This allows for </w:t>
      </w:r>
      <w:r>
        <w:rPr>
          <w:color w:val="231F20"/>
        </w:rPr>
        <w:t>the</w:t>
      </w:r>
      <w:r>
        <w:rPr>
          <w:color w:val="231F20"/>
          <w:spacing w:val="40"/>
        </w:rPr>
        <w:t> </w:t>
      </w:r>
      <w:r>
        <w:rPr>
          <w:color w:val="231F20"/>
        </w:rPr>
        <w:t>automation of navigation to specific screens.</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3"/>
        </w:rPr>
        <w:t> </w:t>
      </w:r>
      <w:r>
        <w:rPr>
          <w:color w:val="231F20"/>
        </w:rPr>
        <w:t>record</w:t>
      </w:r>
      <w:r>
        <w:rPr>
          <w:color w:val="231F20"/>
          <w:spacing w:val="4"/>
        </w:rPr>
        <w:t> </w:t>
      </w:r>
      <w:r>
        <w:rPr>
          <w:color w:val="231F20"/>
        </w:rPr>
        <w:t>a</w:t>
      </w:r>
      <w:r>
        <w:rPr>
          <w:color w:val="231F20"/>
          <w:spacing w:val="4"/>
        </w:rPr>
        <w:t> </w:t>
      </w:r>
      <w:r>
        <w:rPr>
          <w:color w:val="231F20"/>
          <w:spacing w:val="-2"/>
        </w:rPr>
        <w:t>script:</w:t>
      </w:r>
    </w:p>
    <w:p>
      <w:pPr>
        <w:pStyle w:val="Heading4"/>
        <w:spacing w:before="194"/>
      </w:pPr>
      <w:r>
        <w:rPr>
          <w:color w:val="231F20"/>
          <w:spacing w:val="-2"/>
        </w:rPr>
        <w:t>Procedure</w:t>
      </w:r>
    </w:p>
    <w:p>
      <w:pPr>
        <w:pStyle w:val="ListParagraph"/>
        <w:numPr>
          <w:ilvl w:val="0"/>
          <w:numId w:val="85"/>
        </w:numPr>
        <w:tabs>
          <w:tab w:pos="2547" w:val="left" w:leader="none"/>
        </w:tabs>
        <w:spacing w:line="240" w:lineRule="auto" w:before="38" w:after="0"/>
        <w:ind w:left="2547" w:right="0" w:hanging="315"/>
        <w:jc w:val="left"/>
        <w:rPr>
          <w:sz w:val="20"/>
        </w:rPr>
      </w:pPr>
      <w:r>
        <w:rPr>
          <w:color w:val="231F20"/>
          <w:sz w:val="20"/>
        </w:rPr>
        <w:t>While</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terminal</w:t>
      </w:r>
      <w:r>
        <w:rPr>
          <w:color w:val="231F20"/>
          <w:spacing w:val="10"/>
          <w:sz w:val="20"/>
        </w:rPr>
        <w:t> </w:t>
      </w:r>
      <w:r>
        <w:rPr>
          <w:color w:val="231F20"/>
          <w:sz w:val="20"/>
        </w:rPr>
        <w:t>view,</w:t>
      </w:r>
      <w:r>
        <w:rPr>
          <w:color w:val="231F20"/>
          <w:spacing w:val="10"/>
          <w:sz w:val="20"/>
        </w:rPr>
        <w:t> </w:t>
      </w:r>
      <w:r>
        <w:rPr>
          <w:color w:val="231F20"/>
          <w:sz w:val="20"/>
        </w:rPr>
        <w:t>click</w:t>
      </w:r>
      <w:r>
        <w:rPr>
          <w:color w:val="231F20"/>
          <w:spacing w:val="9"/>
          <w:sz w:val="20"/>
        </w:rPr>
        <w:t> </w:t>
      </w:r>
      <w:r>
        <w:rPr>
          <w:color w:val="231F20"/>
          <w:spacing w:val="15"/>
          <w:position w:val="-1"/>
          <w:sz w:val="20"/>
        </w:rPr>
        <w:drawing>
          <wp:inline distT="0" distB="0" distL="0" distR="0">
            <wp:extent cx="101600" cy="101600"/>
            <wp:effectExtent l="0" t="0" r="0" b="0"/>
            <wp:docPr id="1635" name="Image 1635"/>
            <wp:cNvGraphicFramePr>
              <a:graphicFrameLocks/>
            </wp:cNvGraphicFramePr>
            <a:graphic>
              <a:graphicData uri="http://schemas.openxmlformats.org/drawingml/2006/picture">
                <pic:pic>
                  <pic:nvPicPr>
                    <pic:cNvPr id="1635" name="Image 1635"/>
                    <pic:cNvPicPr/>
                  </pic:nvPicPr>
                  <pic:blipFill>
                    <a:blip r:embed="rId324"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1"/>
          <w:sz w:val="20"/>
        </w:rPr>
        <w:t> </w:t>
      </w:r>
      <w:r>
        <w:rPr>
          <w:rFonts w:ascii="Book Antiqua"/>
          <w:b/>
          <w:color w:val="231F20"/>
          <w:sz w:val="20"/>
        </w:rPr>
        <w:t>Record</w:t>
      </w:r>
      <w:r>
        <w:rPr>
          <w:rFonts w:ascii="Book Antiqua"/>
          <w:b/>
          <w:color w:val="231F20"/>
          <w:spacing w:val="10"/>
          <w:sz w:val="20"/>
        </w:rPr>
        <w:t> </w:t>
      </w:r>
      <w:r>
        <w:rPr>
          <w:rFonts w:ascii="Book Antiqua"/>
          <w:b/>
          <w:color w:val="231F20"/>
          <w:sz w:val="20"/>
        </w:rPr>
        <w:t>New</w:t>
      </w:r>
      <w:r>
        <w:rPr>
          <w:rFonts w:ascii="Book Antiqua"/>
          <w:b/>
          <w:color w:val="231F20"/>
          <w:spacing w:val="11"/>
          <w:sz w:val="20"/>
        </w:rPr>
        <w:t> </w:t>
      </w:r>
      <w:r>
        <w:rPr>
          <w:rFonts w:ascii="Book Antiqua"/>
          <w:b/>
          <w:color w:val="231F20"/>
          <w:spacing w:val="-2"/>
          <w:sz w:val="20"/>
        </w:rPr>
        <w:t>Script</w:t>
      </w:r>
      <w:r>
        <w:rPr>
          <w:color w:val="231F20"/>
          <w:spacing w:val="-2"/>
          <w:sz w:val="20"/>
        </w:rPr>
        <w:t>.</w:t>
      </w:r>
    </w:p>
    <w:p>
      <w:pPr>
        <w:pStyle w:val="ListParagraph"/>
        <w:numPr>
          <w:ilvl w:val="0"/>
          <w:numId w:val="85"/>
        </w:numPr>
        <w:tabs>
          <w:tab w:pos="2548" w:val="left" w:leader="none"/>
        </w:tabs>
        <w:spacing w:line="213" w:lineRule="auto" w:before="53" w:after="0"/>
        <w:ind w:left="2548" w:right="419" w:hanging="316"/>
        <w:jc w:val="left"/>
        <w:rPr>
          <w:sz w:val="20"/>
        </w:rPr>
      </w:pPr>
      <w:r>
        <w:rPr>
          <w:color w:val="231F20"/>
          <w:sz w:val="20"/>
        </w:rPr>
        <w:t>Type a new </w:t>
      </w:r>
      <w:r>
        <w:rPr>
          <w:rFonts w:ascii="Book Antiqua"/>
          <w:i/>
          <w:color w:val="231F20"/>
          <w:sz w:val="20"/>
        </w:rPr>
        <w:t>name </w:t>
      </w:r>
      <w:r>
        <w:rPr>
          <w:color w:val="231F20"/>
          <w:sz w:val="20"/>
        </w:rPr>
        <w:t>in the </w:t>
      </w:r>
      <w:r>
        <w:rPr>
          <w:rFonts w:ascii="Book Antiqua"/>
          <w:b/>
          <w:color w:val="231F20"/>
          <w:sz w:val="20"/>
        </w:rPr>
        <w:t>Script Name </w:t>
      </w:r>
      <w:r>
        <w:rPr>
          <w:color w:val="231F20"/>
          <w:sz w:val="20"/>
        </w:rPr>
        <w:t>field and click </w:t>
      </w:r>
      <w:r>
        <w:rPr>
          <w:rFonts w:ascii="Book Antiqua"/>
          <w:b/>
          <w:color w:val="231F20"/>
          <w:sz w:val="20"/>
        </w:rPr>
        <w:t>OK</w:t>
      </w:r>
      <w:r>
        <w:rPr>
          <w:color w:val="231F20"/>
          <w:sz w:val="20"/>
        </w:rPr>
        <w:t>. From this point on, all</w:t>
      </w:r>
      <w:r>
        <w:rPr>
          <w:color w:val="231F20"/>
          <w:spacing w:val="40"/>
          <w:sz w:val="20"/>
        </w:rPr>
        <w:t> </w:t>
      </w:r>
      <w:r>
        <w:rPr>
          <w:color w:val="231F20"/>
          <w:sz w:val="20"/>
        </w:rPr>
        <w:t>terminal activity will be captured in the script.</w:t>
      </w:r>
    </w:p>
    <w:p>
      <w:pPr>
        <w:pStyle w:val="ListParagraph"/>
        <w:numPr>
          <w:ilvl w:val="0"/>
          <w:numId w:val="85"/>
        </w:numPr>
        <w:tabs>
          <w:tab w:pos="2547" w:val="left" w:leader="none"/>
        </w:tabs>
        <w:spacing w:line="240" w:lineRule="auto" w:before="35" w:after="0"/>
        <w:ind w:left="2547" w:right="0" w:hanging="315"/>
        <w:jc w:val="left"/>
        <w:rPr>
          <w:sz w:val="20"/>
        </w:rPr>
      </w:pPr>
      <w:r>
        <w:rPr>
          <w:color w:val="231F20"/>
          <w:sz w:val="20"/>
        </w:rPr>
        <w:t>Perform</w:t>
      </w:r>
      <w:r>
        <w:rPr>
          <w:color w:val="231F20"/>
          <w:spacing w:val="11"/>
          <w:sz w:val="20"/>
        </w:rPr>
        <w:t> </w:t>
      </w:r>
      <w:r>
        <w:rPr>
          <w:color w:val="231F20"/>
          <w:sz w:val="20"/>
        </w:rPr>
        <w:t>all</w:t>
      </w:r>
      <w:r>
        <w:rPr>
          <w:color w:val="231F20"/>
          <w:spacing w:val="11"/>
          <w:sz w:val="20"/>
        </w:rPr>
        <w:t> </w:t>
      </w:r>
      <w:r>
        <w:rPr>
          <w:color w:val="231F20"/>
          <w:sz w:val="20"/>
        </w:rPr>
        <w:t>the</w:t>
      </w:r>
      <w:r>
        <w:rPr>
          <w:color w:val="231F20"/>
          <w:spacing w:val="11"/>
          <w:sz w:val="20"/>
        </w:rPr>
        <w:t> </w:t>
      </w:r>
      <w:r>
        <w:rPr>
          <w:color w:val="231F20"/>
          <w:sz w:val="20"/>
        </w:rPr>
        <w:t>actions</w:t>
      </w:r>
      <w:r>
        <w:rPr>
          <w:color w:val="231F20"/>
          <w:spacing w:val="12"/>
          <w:sz w:val="20"/>
        </w:rPr>
        <w:t> </w:t>
      </w:r>
      <w:r>
        <w:rPr>
          <w:color w:val="231F20"/>
          <w:sz w:val="20"/>
        </w:rPr>
        <w:t>to</w:t>
      </w:r>
      <w:r>
        <w:rPr>
          <w:color w:val="231F20"/>
          <w:spacing w:val="11"/>
          <w:sz w:val="20"/>
        </w:rPr>
        <w:t> </w:t>
      </w:r>
      <w:r>
        <w:rPr>
          <w:color w:val="231F20"/>
          <w:sz w:val="20"/>
        </w:rPr>
        <w:t>be</w:t>
      </w:r>
      <w:r>
        <w:rPr>
          <w:color w:val="231F20"/>
          <w:spacing w:val="11"/>
          <w:sz w:val="20"/>
        </w:rPr>
        <w:t> </w:t>
      </w:r>
      <w:r>
        <w:rPr>
          <w:color w:val="231F20"/>
          <w:sz w:val="20"/>
        </w:rPr>
        <w:t>recorded</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1"/>
          <w:sz w:val="20"/>
        </w:rPr>
        <w:t> </w:t>
      </w:r>
      <w:r>
        <w:rPr>
          <w:color w:val="231F20"/>
          <w:spacing w:val="-2"/>
          <w:sz w:val="20"/>
        </w:rPr>
        <w:t>script.</w:t>
      </w:r>
    </w:p>
    <w:p>
      <w:pPr>
        <w:pStyle w:val="ListParagraph"/>
        <w:numPr>
          <w:ilvl w:val="0"/>
          <w:numId w:val="85"/>
        </w:numPr>
        <w:tabs>
          <w:tab w:pos="2546" w:val="left" w:leader="none"/>
          <w:tab w:pos="2548" w:val="left" w:leader="none"/>
        </w:tabs>
        <w:spacing w:line="213" w:lineRule="auto" w:before="53" w:after="0"/>
        <w:ind w:left="2548" w:right="1168" w:hanging="317"/>
        <w:jc w:val="left"/>
        <w:rPr>
          <w:sz w:val="20"/>
        </w:rPr>
      </w:pPr>
      <w:r>
        <w:rPr>
          <w:color w:val="231F20"/>
          <w:sz w:val="20"/>
        </w:rPr>
        <w:t>When you are finished, click </w:t>
      </w:r>
      <w:r>
        <w:rPr>
          <w:color w:val="231F20"/>
          <w:spacing w:val="-25"/>
          <w:position w:val="-1"/>
          <w:sz w:val="20"/>
        </w:rPr>
        <w:drawing>
          <wp:inline distT="0" distB="0" distL="0" distR="0">
            <wp:extent cx="95250" cy="95250"/>
            <wp:effectExtent l="0" t="0" r="0" b="0"/>
            <wp:docPr id="1636" name="Image 1636"/>
            <wp:cNvGraphicFramePr>
              <a:graphicFrameLocks/>
            </wp:cNvGraphicFramePr>
            <a:graphic>
              <a:graphicData uri="http://schemas.openxmlformats.org/drawingml/2006/picture">
                <pic:pic>
                  <pic:nvPicPr>
                    <pic:cNvPr id="1636" name="Image 1636"/>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79"/>
          <w:sz w:val="20"/>
        </w:rPr>
        <w:t> </w:t>
      </w:r>
      <w:r>
        <w:rPr>
          <w:rFonts w:ascii="Book Antiqua"/>
          <w:b/>
          <w:color w:val="231F20"/>
          <w:sz w:val="20"/>
        </w:rPr>
        <w:t>Stop</w:t>
      </w:r>
      <w:r>
        <w:rPr>
          <w:color w:val="231F20"/>
          <w:sz w:val="20"/>
        </w:rPr>
        <w:t>. The script is now available in </w:t>
      </w:r>
      <w:r>
        <w:rPr>
          <w:color w:val="231F20"/>
          <w:sz w:val="20"/>
        </w:rPr>
        <w:t>the workspace for editing or execution through </w:t>
      </w:r>
      <w:r>
        <w:rPr>
          <w:color w:val="231F20"/>
          <w:spacing w:val="15"/>
          <w:position w:val="-1"/>
          <w:sz w:val="20"/>
        </w:rPr>
        <w:drawing>
          <wp:inline distT="0" distB="0" distL="0" distR="0">
            <wp:extent cx="101600" cy="101599"/>
            <wp:effectExtent l="0" t="0" r="0" b="0"/>
            <wp:docPr id="1637" name="Image 1637"/>
            <wp:cNvGraphicFramePr>
              <a:graphicFrameLocks/>
            </wp:cNvGraphicFramePr>
            <a:graphic>
              <a:graphicData uri="http://schemas.openxmlformats.org/drawingml/2006/picture">
                <pic:pic>
                  <pic:nvPicPr>
                    <pic:cNvPr id="1637" name="Image 1637"/>
                    <pic:cNvPicPr/>
                  </pic:nvPicPr>
                  <pic:blipFill>
                    <a:blip r:embed="rId51" cstate="print"/>
                    <a:stretch>
                      <a:fillRect/>
                    </a:stretch>
                  </pic:blipFill>
                  <pic:spPr>
                    <a:xfrm>
                      <a:off x="0" y="0"/>
                      <a:ext cx="101600" cy="101599"/>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Manage Scripts</w:t>
      </w:r>
      <w:r>
        <w:rPr>
          <w:color w:val="231F20"/>
          <w:sz w:val="20"/>
        </w:rPr>
        <w:t>.</w:t>
      </w:r>
    </w:p>
    <w:p>
      <w:pPr>
        <w:pStyle w:val="ListParagraph"/>
        <w:numPr>
          <w:ilvl w:val="0"/>
          <w:numId w:val="85"/>
        </w:numPr>
        <w:tabs>
          <w:tab w:pos="2548" w:val="left" w:leader="none"/>
        </w:tabs>
        <w:spacing w:line="213" w:lineRule="auto" w:before="58" w:after="0"/>
        <w:ind w:left="2548" w:right="540" w:hanging="316"/>
        <w:jc w:val="left"/>
        <w:rPr>
          <w:sz w:val="20"/>
        </w:rPr>
      </w:pPr>
      <w:r>
        <w:rPr>
          <w:color w:val="231F20"/>
          <w:sz w:val="20"/>
        </w:rPr>
        <w:t>If you want the script to start automatically upon connection, click </w:t>
      </w:r>
      <w:r>
        <w:rPr>
          <w:color w:val="231F20"/>
          <w:spacing w:val="14"/>
          <w:position w:val="-1"/>
          <w:sz w:val="20"/>
        </w:rPr>
        <w:drawing>
          <wp:inline distT="0" distB="0" distL="0" distR="0">
            <wp:extent cx="101600" cy="101600"/>
            <wp:effectExtent l="0" t="0" r="0" b="0"/>
            <wp:docPr id="1638" name="Image 1638"/>
            <wp:cNvGraphicFramePr>
              <a:graphicFrameLocks/>
            </wp:cNvGraphicFramePr>
            <a:graphic>
              <a:graphicData uri="http://schemas.openxmlformats.org/drawingml/2006/picture">
                <pic:pic>
                  <pic:nvPicPr>
                    <pic:cNvPr id="1638" name="Image 1638"/>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rFonts w:ascii="Book Antiqua"/>
          <w:b/>
          <w:color w:val="231F20"/>
          <w:sz w:val="20"/>
        </w:rPr>
        <w:t>Manage Scripts </w:t>
      </w:r>
      <w:r>
        <w:rPr>
          <w:color w:val="231F20"/>
          <w:sz w:val="20"/>
        </w:rPr>
        <w:t>and select the script from the Startup Script </w:t>
      </w:r>
      <w:r>
        <w:rPr>
          <w:color w:val="231F20"/>
          <w:spacing w:val="15"/>
          <w:position w:val="-1"/>
          <w:sz w:val="20"/>
        </w:rPr>
        <w:drawing>
          <wp:inline distT="0" distB="0" distL="0" distR="0">
            <wp:extent cx="101600" cy="101600"/>
            <wp:effectExtent l="0" t="0" r="0" b="0"/>
            <wp:docPr id="1639" name="Image 1639"/>
            <wp:cNvGraphicFramePr>
              <a:graphicFrameLocks/>
            </wp:cNvGraphicFramePr>
            <a:graphic>
              <a:graphicData uri="http://schemas.openxmlformats.org/drawingml/2006/picture">
                <pic:pic>
                  <pic:nvPicPr>
                    <pic:cNvPr id="1639" name="Image 163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w:t>
      </w:r>
    </w:p>
    <w:p>
      <w:pPr>
        <w:pStyle w:val="ListParagraph"/>
        <w:numPr>
          <w:ilvl w:val="0"/>
          <w:numId w:val="85"/>
        </w:numPr>
        <w:tabs>
          <w:tab w:pos="2546" w:val="left" w:leader="none"/>
          <w:tab w:pos="2548" w:val="left" w:leader="none"/>
        </w:tabs>
        <w:spacing w:line="213" w:lineRule="auto" w:before="59" w:after="0"/>
        <w:ind w:left="2548" w:right="685" w:hanging="317"/>
        <w:jc w:val="left"/>
        <w:rPr>
          <w:sz w:val="20"/>
        </w:rPr>
      </w:pPr>
      <w:r>
        <w:rPr>
          <w:color w:val="231F20"/>
          <w:sz w:val="20"/>
        </w:rPr>
        <w:t>Click </w:t>
      </w:r>
      <w:r>
        <w:rPr>
          <w:color w:val="231F20"/>
          <w:spacing w:val="-24"/>
          <w:position w:val="-1"/>
          <w:sz w:val="20"/>
        </w:rPr>
        <w:drawing>
          <wp:inline distT="0" distB="0" distL="0" distR="0">
            <wp:extent cx="95250" cy="95250"/>
            <wp:effectExtent l="0" t="0" r="0" b="0"/>
            <wp:docPr id="1640" name="Image 1640"/>
            <wp:cNvGraphicFramePr>
              <a:graphicFrameLocks/>
            </wp:cNvGraphicFramePr>
            <a:graphic>
              <a:graphicData uri="http://schemas.openxmlformats.org/drawingml/2006/picture">
                <pic:pic>
                  <pic:nvPicPr>
                    <pic:cNvPr id="1640" name="Image 1640"/>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Save </w:t>
      </w:r>
      <w:r>
        <w:rPr>
          <w:color w:val="231F20"/>
          <w:sz w:val="20"/>
        </w:rPr>
        <w:t>to permanently save the script. Session scripts are saved with your user ID, so no other users will be able to see and run the same scripts</w:t>
      </w:r>
      <w:r>
        <w:rPr>
          <w:color w:val="231F20"/>
          <w:spacing w:val="40"/>
          <w:sz w:val="20"/>
        </w:rPr>
        <w:t> </w:t>
      </w:r>
      <w:r>
        <w:rPr>
          <w:color w:val="231F20"/>
          <w:sz w:val="20"/>
        </w:rPr>
        <w:t>unless you have Workspace administration mode turned on when you </w:t>
      </w:r>
      <w:r>
        <w:rPr>
          <w:color w:val="231F20"/>
          <w:sz w:val="20"/>
        </w:rPr>
        <w:t>create them. The saved script is available from any workspace to which you add a </w:t>
      </w:r>
      <w:bookmarkStart w:name="Managing scripts" w:id="286"/>
      <w:bookmarkEnd w:id="286"/>
      <w:r>
        <w:rPr>
          <w:color w:val="231F20"/>
          <w:sz w:val="20"/>
        </w:rPr>
        <w:t>terminal</w:t>
      </w:r>
      <w:r>
        <w:rPr>
          <w:color w:val="231F20"/>
          <w:sz w:val="20"/>
        </w:rPr>
        <w:t> view.</w:t>
      </w:r>
    </w:p>
    <w:p>
      <w:pPr>
        <w:pStyle w:val="Heading3"/>
        <w:spacing w:before="215"/>
        <w:ind w:left="1334"/>
      </w:pPr>
      <w:r>
        <w:rPr>
          <w:color w:val="231F20"/>
        </w:rPr>
        <w:t>Managing</w:t>
      </w:r>
      <w:r>
        <w:rPr>
          <w:color w:val="231F20"/>
          <w:spacing w:val="1"/>
        </w:rPr>
        <w:t> </w:t>
      </w:r>
      <w:r>
        <w:rPr>
          <w:color w:val="231F20"/>
          <w:spacing w:val="-2"/>
        </w:rPr>
        <w:t>scripts</w:t>
      </w:r>
    </w:p>
    <w:p>
      <w:pPr>
        <w:pStyle w:val="BodyText"/>
        <w:spacing w:line="213" w:lineRule="auto" w:before="58"/>
        <w:ind w:left="2232" w:right="636"/>
      </w:pPr>
      <w:r>
        <w:rPr>
          <w:color w:val="231F20"/>
        </w:rPr>
        <w:t>Use the Manage Scripts function to edit existing scripts and to specify a script </w:t>
      </w:r>
      <w:r>
        <w:rPr>
          <w:color w:val="231F20"/>
        </w:rPr>
        <w:t>to run whenever you start a 3270 or 5250 terminal session.</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1"/>
        </w:rPr>
        <w:t> </w:t>
      </w:r>
      <w:r>
        <w:rPr>
          <w:color w:val="231F20"/>
        </w:rPr>
        <w:t>manage</w:t>
      </w:r>
      <w:r>
        <w:rPr>
          <w:color w:val="231F20"/>
          <w:spacing w:val="2"/>
        </w:rPr>
        <w:t> </w:t>
      </w:r>
      <w:r>
        <w:rPr>
          <w:color w:val="231F20"/>
          <w:spacing w:val="-2"/>
        </w:rPr>
        <w:t>scripts:</w:t>
      </w:r>
    </w:p>
    <w:p>
      <w:pPr>
        <w:spacing w:after="0"/>
        <w:sectPr>
          <w:pgSz w:w="12240" w:h="15840"/>
          <w:pgMar w:header="0" w:footer="736" w:top="1160" w:bottom="920" w:left="1000" w:right="1060"/>
        </w:sectPr>
      </w:pPr>
    </w:p>
    <w:p>
      <w:pPr>
        <w:pStyle w:val="Heading4"/>
        <w:spacing w:before="86"/>
        <w:ind w:left="2472"/>
      </w:pPr>
      <w:bookmarkStart w:name="_bookmark129" w:id="287"/>
      <w:bookmarkEnd w:id="287"/>
      <w:r>
        <w:rPr>
          <w:b w:val="0"/>
        </w:rPr>
      </w:r>
      <w:r>
        <w:rPr>
          <w:color w:val="231F20"/>
          <w:spacing w:val="-2"/>
        </w:rPr>
        <w:t>Procedure</w:t>
      </w:r>
    </w:p>
    <w:p>
      <w:pPr>
        <w:pStyle w:val="ListParagraph"/>
        <w:numPr>
          <w:ilvl w:val="1"/>
          <w:numId w:val="85"/>
        </w:numPr>
        <w:tabs>
          <w:tab w:pos="2788" w:val="left" w:leader="none"/>
        </w:tabs>
        <w:spacing w:line="213" w:lineRule="auto" w:before="62" w:after="0"/>
        <w:ind w:left="2788" w:right="331" w:hanging="316"/>
        <w:jc w:val="left"/>
        <w:rPr>
          <w:sz w:val="20"/>
        </w:rPr>
      </w:pPr>
      <w:r>
        <w:rPr>
          <w:color w:val="231F20"/>
          <w:sz w:val="20"/>
        </w:rPr>
        <w:t>While in the terminal view, click </w:t>
      </w:r>
      <w:r>
        <w:rPr>
          <w:color w:val="231F20"/>
          <w:spacing w:val="15"/>
          <w:position w:val="-1"/>
          <w:sz w:val="20"/>
        </w:rPr>
        <w:drawing>
          <wp:inline distT="0" distB="0" distL="0" distR="0">
            <wp:extent cx="101600" cy="101600"/>
            <wp:effectExtent l="0" t="0" r="0" b="0"/>
            <wp:docPr id="1641" name="Image 1641"/>
            <wp:cNvGraphicFramePr>
              <a:graphicFrameLocks/>
            </wp:cNvGraphicFramePr>
            <a:graphic>
              <a:graphicData uri="http://schemas.openxmlformats.org/drawingml/2006/picture">
                <pic:pic>
                  <pic:nvPicPr>
                    <pic:cNvPr id="1641" name="Image 1641"/>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Manage Scripts </w:t>
      </w:r>
      <w:r>
        <w:rPr>
          <w:color w:val="231F20"/>
          <w:sz w:val="20"/>
        </w:rPr>
        <w:t>to see the list of available scripts. There are two types of scripts:</w:t>
      </w:r>
    </w:p>
    <w:p>
      <w:pPr>
        <w:pStyle w:val="BodyText"/>
        <w:spacing w:line="213" w:lineRule="auto" w:before="59"/>
        <w:ind w:left="3004" w:right="274" w:hanging="216"/>
      </w:pPr>
      <w:r>
        <w:rPr>
          <w:rFonts w:ascii="Futura MdCn BT"/>
          <w:color w:val="231F20"/>
        </w:rPr>
        <w:t>v</w:t>
      </w:r>
      <w:r>
        <w:rPr>
          <w:rFonts w:ascii="Futura MdCn BT"/>
          <w:color w:val="231F20"/>
          <w:spacing w:val="80"/>
        </w:rPr>
        <w:t> </w:t>
      </w:r>
      <w:r>
        <w:rPr>
          <w:rFonts w:ascii="Book Antiqua"/>
          <w:b/>
          <w:color w:val="231F20"/>
        </w:rPr>
        <w:t>Global scripts </w:t>
      </w:r>
      <w:r>
        <w:rPr>
          <w:color w:val="231F20"/>
        </w:rPr>
        <w:t>are stored as part of the Tivoli Enterprise Portal </w:t>
      </w:r>
      <w:r>
        <w:rPr>
          <w:color w:val="231F20"/>
        </w:rPr>
        <w:t>configuration</w:t>
      </w:r>
      <w:r>
        <w:rPr>
          <w:color w:val="231F20"/>
        </w:rPr>
        <w:t> and are available in any workspace. In the </w:t>
      </w:r>
      <w:r>
        <w:rPr>
          <w:rFonts w:ascii="Book Antiqua"/>
          <w:b/>
          <w:color w:val="231F20"/>
        </w:rPr>
        <w:t>Manage Scripts </w:t>
      </w:r>
      <w:r>
        <w:rPr>
          <w:color w:val="231F20"/>
        </w:rPr>
        <w:t>window, global scripts appear in normal text.</w:t>
      </w:r>
    </w:p>
    <w:p>
      <w:pPr>
        <w:pStyle w:val="BodyText"/>
        <w:spacing w:line="213" w:lineRule="auto" w:before="57"/>
        <w:ind w:left="3004" w:right="493" w:hanging="216"/>
      </w:pPr>
      <w:r>
        <w:rPr>
          <w:rFonts w:ascii="Futura MdCn BT"/>
          <w:color w:val="231F20"/>
        </w:rPr>
        <w:t>v</w:t>
      </w:r>
      <w:r>
        <w:rPr>
          <w:rFonts w:ascii="Futura MdCn BT"/>
          <w:color w:val="231F20"/>
          <w:spacing w:val="80"/>
        </w:rPr>
        <w:t> </w:t>
      </w:r>
      <w:r>
        <w:rPr>
          <w:rFonts w:ascii="Book Antiqua"/>
          <w:b/>
          <w:color w:val="231F20"/>
        </w:rPr>
        <w:t>Local scripts </w:t>
      </w:r>
      <w:r>
        <w:rPr>
          <w:color w:val="231F20"/>
        </w:rPr>
        <w:t>are stored as part of the workspace configuration and are associated with a particular agent. In the </w:t>
      </w:r>
      <w:r>
        <w:rPr>
          <w:rFonts w:ascii="Book Antiqua"/>
          <w:b/>
          <w:color w:val="231F20"/>
        </w:rPr>
        <w:t>Manage Scripts </w:t>
      </w:r>
      <w:r>
        <w:rPr>
          <w:color w:val="231F20"/>
        </w:rPr>
        <w:t>window, </w:t>
      </w:r>
      <w:r>
        <w:rPr>
          <w:color w:val="231F20"/>
        </w:rPr>
        <w:t>local</w:t>
      </w:r>
      <w:r>
        <w:rPr>
          <w:color w:val="231F20"/>
        </w:rPr>
        <w:t> scripts are indented and appear in italic text.</w:t>
      </w:r>
    </w:p>
    <w:p>
      <w:pPr>
        <w:pStyle w:val="ListParagraph"/>
        <w:numPr>
          <w:ilvl w:val="1"/>
          <w:numId w:val="85"/>
        </w:numPr>
        <w:tabs>
          <w:tab w:pos="2788" w:val="left" w:leader="none"/>
        </w:tabs>
        <w:spacing w:line="213" w:lineRule="auto" w:before="58" w:after="0"/>
        <w:ind w:left="2788" w:right="164" w:hanging="316"/>
        <w:jc w:val="left"/>
        <w:rPr>
          <w:sz w:val="20"/>
        </w:rPr>
      </w:pPr>
      <w:r>
        <w:rPr>
          <w:color w:val="231F20"/>
          <w:sz w:val="20"/>
        </w:rPr>
        <w:t>Select a script from the list, or type a name in the </w:t>
      </w:r>
      <w:r>
        <w:rPr>
          <w:rFonts w:ascii="Book Antiqua"/>
          <w:b/>
          <w:color w:val="231F20"/>
          <w:sz w:val="20"/>
        </w:rPr>
        <w:t>Script Names </w:t>
      </w:r>
      <w:r>
        <w:rPr>
          <w:color w:val="231F20"/>
          <w:sz w:val="20"/>
        </w:rPr>
        <w:t>field, then click</w:t>
      </w:r>
      <w:r>
        <w:rPr>
          <w:color w:val="231F20"/>
          <w:spacing w:val="40"/>
          <w:sz w:val="20"/>
        </w:rPr>
        <w:t> </w:t>
      </w:r>
      <w:r>
        <w:rPr>
          <w:color w:val="231F20"/>
          <w:sz w:val="20"/>
        </w:rPr>
        <w:t>one of the following:</w:t>
      </w:r>
    </w:p>
    <w:p>
      <w:pPr>
        <w:pStyle w:val="BodyText"/>
        <w:spacing w:line="213" w:lineRule="auto" w:before="59"/>
        <w:ind w:left="3004" w:right="493" w:hanging="216"/>
      </w:pPr>
      <w:r>
        <w:rPr>
          <w:rFonts w:ascii="Futura MdCn BT"/>
          <w:color w:val="231F20"/>
        </w:rPr>
        <w:t>v</w:t>
      </w:r>
      <w:r>
        <w:rPr>
          <w:rFonts w:ascii="Futura MdCn BT"/>
          <w:color w:val="231F20"/>
          <w:spacing w:val="80"/>
        </w:rPr>
        <w:t> </w:t>
      </w:r>
      <w:r>
        <w:rPr>
          <w:rFonts w:ascii="Book Antiqua"/>
          <w:b/>
          <w:color w:val="231F20"/>
        </w:rPr>
        <w:t>Run </w:t>
      </w:r>
      <w:r>
        <w:rPr>
          <w:color w:val="231F20"/>
        </w:rPr>
        <w:t>to start executing the selected script. Note that you must be </w:t>
      </w:r>
      <w:r>
        <w:rPr>
          <w:color w:val="231F20"/>
        </w:rPr>
        <w:t>connected</w:t>
      </w:r>
      <w:r>
        <w:rPr>
          <w:color w:val="231F20"/>
          <w:spacing w:val="40"/>
        </w:rPr>
        <w:t> </w:t>
      </w:r>
      <w:r>
        <w:rPr>
          <w:color w:val="231F20"/>
        </w:rPr>
        <w:t>to a session before you can run a script.</w:t>
      </w:r>
    </w:p>
    <w:p>
      <w:pPr>
        <w:pStyle w:val="BodyText"/>
        <w:spacing w:line="213" w:lineRule="auto" w:before="58"/>
        <w:ind w:left="3004" w:right="545" w:hanging="216"/>
      </w:pPr>
      <w:r>
        <w:rPr>
          <w:rFonts w:ascii="Futura MdCn BT"/>
          <w:color w:val="231F20"/>
        </w:rPr>
        <w:t>v</w:t>
      </w:r>
      <w:r>
        <w:rPr>
          <w:rFonts w:ascii="Futura MdCn BT"/>
          <w:color w:val="231F20"/>
          <w:spacing w:val="80"/>
        </w:rPr>
        <w:t> </w:t>
      </w:r>
      <w:r>
        <w:rPr>
          <w:rFonts w:ascii="Book Antiqua"/>
          <w:b/>
          <w:color w:val="231F20"/>
        </w:rPr>
        <w:t>Stop </w:t>
      </w:r>
      <w:r>
        <w:rPr>
          <w:color w:val="231F20"/>
        </w:rPr>
        <w:t>to discontinue running the script. This is useful if you want to stop a</w:t>
      </w:r>
      <w:r>
        <w:rPr>
          <w:color w:val="231F20"/>
          <w:spacing w:val="40"/>
        </w:rPr>
        <w:t> </w:t>
      </w:r>
      <w:r>
        <w:rPr>
          <w:color w:val="231F20"/>
        </w:rPr>
        <w:t>script before it has completed or if an unrecoverable error has occurred.</w:t>
      </w:r>
    </w:p>
    <w:p>
      <w:pPr>
        <w:pStyle w:val="BodyText"/>
        <w:spacing w:line="213" w:lineRule="auto" w:before="59"/>
        <w:ind w:left="3004" w:right="493" w:hanging="216"/>
      </w:pPr>
      <w:r>
        <w:rPr>
          <w:rFonts w:ascii="Futura MdCn BT"/>
          <w:color w:val="231F20"/>
        </w:rPr>
        <w:t>v</w:t>
      </w:r>
      <w:r>
        <w:rPr>
          <w:rFonts w:ascii="Futura MdCn BT"/>
          <w:color w:val="231F20"/>
          <w:spacing w:val="80"/>
        </w:rPr>
        <w:t> </w:t>
      </w:r>
      <w:r>
        <w:rPr>
          <w:rFonts w:ascii="Book Antiqua"/>
          <w:b/>
          <w:color w:val="231F20"/>
        </w:rPr>
        <w:t>Record </w:t>
      </w:r>
      <w:r>
        <w:rPr>
          <w:color w:val="231F20"/>
        </w:rPr>
        <w:t>to start recording a new script. The Record New Script </w:t>
      </w:r>
      <w:r>
        <w:rPr>
          <w:color w:val="231F20"/>
        </w:rPr>
        <w:t>window</w:t>
      </w:r>
      <w:r>
        <w:rPr>
          <w:color w:val="231F20"/>
        </w:rPr>
        <w:t> appears, prompting you for details about the new script.</w:t>
      </w:r>
    </w:p>
    <w:p>
      <w:pPr>
        <w:pStyle w:val="BodyText"/>
        <w:spacing w:line="213" w:lineRule="auto" w:before="238"/>
        <w:ind w:left="3004" w:right="274"/>
      </w:pPr>
      <w:r>
        <w:rPr>
          <w:rFonts w:ascii="Book Antiqua"/>
          <w:b/>
          <w:color w:val="231F20"/>
        </w:rPr>
        <w:t>Note:</w:t>
      </w:r>
      <w:r>
        <w:rPr>
          <w:rFonts w:ascii="Book Antiqua"/>
          <w:b/>
          <w:color w:val="231F20"/>
          <w:spacing w:val="40"/>
        </w:rPr>
        <w:t> </w:t>
      </w:r>
      <w:r>
        <w:rPr>
          <w:color w:val="231F20"/>
        </w:rPr>
        <w:t>Select the </w:t>
      </w:r>
      <w:r>
        <w:rPr>
          <w:rFonts w:ascii="Book Antiqua"/>
          <w:b/>
          <w:color w:val="231F20"/>
        </w:rPr>
        <w:t>Local script </w:t>
      </w:r>
      <w:r>
        <w:rPr>
          <w:color w:val="231F20"/>
        </w:rPr>
        <w:t>check box to specify that the new script </w:t>
      </w:r>
      <w:r>
        <w:rPr>
          <w:color w:val="231F20"/>
        </w:rPr>
        <w:t>should be saved as local rather than global. Saving scripts as local is recommended because local scripts can be exported and restored as part of the workspace configuration. (For more information, refer to the </w:t>
      </w:r>
      <w:r>
        <w:rPr>
          <w:rFonts w:ascii="Book Antiqua"/>
          <w:i/>
          <w:color w:val="231F20"/>
        </w:rPr>
        <w:t>IBM Tivoli Monitoring</w:t>
      </w:r>
      <w:r>
        <w:rPr>
          <w:rFonts w:ascii="Book Antiqua"/>
          <w:i/>
          <w:color w:val="231F20"/>
        </w:rPr>
        <w:t> Administrator's Guide</w:t>
      </w:r>
      <w:r>
        <w:rPr>
          <w:color w:val="231F20"/>
        </w:rPr>
        <w:t>.)</w:t>
      </w:r>
    </w:p>
    <w:p>
      <w:pPr>
        <w:spacing w:before="33"/>
        <w:ind w:left="2788" w:right="0" w:firstLine="0"/>
        <w:jc w:val="left"/>
        <w:rPr>
          <w:sz w:val="20"/>
        </w:rPr>
      </w:pPr>
      <w:r>
        <w:rPr>
          <w:rFonts w:ascii="Futura MdCn BT"/>
          <w:color w:val="231F20"/>
          <w:sz w:val="20"/>
        </w:rPr>
        <w:t>v</w:t>
      </w:r>
      <w:r>
        <w:rPr>
          <w:rFonts w:ascii="Futura MdCn BT"/>
          <w:color w:val="231F20"/>
          <w:spacing w:val="32"/>
          <w:sz w:val="20"/>
        </w:rPr>
        <w:t>  </w:t>
      </w:r>
      <w:r>
        <w:rPr>
          <w:rFonts w:ascii="Book Antiqua"/>
          <w:b/>
          <w:color w:val="231F20"/>
          <w:sz w:val="20"/>
        </w:rPr>
        <w:t>Stop</w:t>
      </w:r>
      <w:r>
        <w:rPr>
          <w:rFonts w:ascii="Book Antiqua"/>
          <w:b/>
          <w:color w:val="231F20"/>
          <w:spacing w:val="13"/>
          <w:sz w:val="20"/>
        </w:rPr>
        <w:t> </w:t>
      </w:r>
      <w:r>
        <w:rPr>
          <w:rFonts w:ascii="Book Antiqua"/>
          <w:b/>
          <w:color w:val="231F20"/>
          <w:sz w:val="20"/>
        </w:rPr>
        <w:t>Recording</w:t>
      </w:r>
      <w:r>
        <w:rPr>
          <w:rFonts w:ascii="Book Antiqua"/>
          <w:b/>
          <w:color w:val="231F20"/>
          <w:spacing w:val="13"/>
          <w:sz w:val="20"/>
        </w:rPr>
        <w:t> </w:t>
      </w:r>
      <w:r>
        <w:rPr>
          <w:color w:val="231F20"/>
          <w:sz w:val="20"/>
        </w:rPr>
        <w:t>to</w:t>
      </w:r>
      <w:r>
        <w:rPr>
          <w:color w:val="231F20"/>
          <w:spacing w:val="13"/>
          <w:sz w:val="20"/>
        </w:rPr>
        <w:t> </w:t>
      </w:r>
      <w:r>
        <w:rPr>
          <w:color w:val="231F20"/>
          <w:sz w:val="20"/>
        </w:rPr>
        <w:t>stop</w:t>
      </w:r>
      <w:r>
        <w:rPr>
          <w:color w:val="231F20"/>
          <w:spacing w:val="13"/>
          <w:sz w:val="20"/>
        </w:rPr>
        <w:t> </w:t>
      </w:r>
      <w:r>
        <w:rPr>
          <w:color w:val="231F20"/>
          <w:sz w:val="20"/>
        </w:rPr>
        <w:t>the</w:t>
      </w:r>
      <w:r>
        <w:rPr>
          <w:color w:val="231F20"/>
          <w:spacing w:val="13"/>
          <w:sz w:val="20"/>
        </w:rPr>
        <w:t> </w:t>
      </w:r>
      <w:r>
        <w:rPr>
          <w:color w:val="231F20"/>
          <w:spacing w:val="-2"/>
          <w:sz w:val="20"/>
        </w:rPr>
        <w:t>recorder.</w:t>
      </w:r>
    </w:p>
    <w:p>
      <w:pPr>
        <w:pStyle w:val="BodyText"/>
        <w:spacing w:line="213" w:lineRule="auto" w:before="53"/>
        <w:ind w:left="3004" w:right="385" w:hanging="216"/>
      </w:pPr>
      <w:r>
        <w:rPr>
          <w:rFonts w:ascii="Futura MdCn BT"/>
          <w:color w:val="231F20"/>
        </w:rPr>
        <w:t>v</w:t>
      </w:r>
      <w:r>
        <w:rPr>
          <w:rFonts w:ascii="Futura MdCn BT"/>
          <w:color w:val="231F20"/>
          <w:spacing w:val="80"/>
        </w:rPr>
        <w:t> </w:t>
      </w:r>
      <w:r>
        <w:rPr>
          <w:rFonts w:ascii="Book Antiqua"/>
          <w:b/>
          <w:color w:val="231F20"/>
        </w:rPr>
        <w:t>Open </w:t>
      </w:r>
      <w:r>
        <w:rPr>
          <w:color w:val="231F20"/>
        </w:rPr>
        <w:t>to edit the selected script. The Script editor opens with basic editing</w:t>
      </w:r>
      <w:r>
        <w:rPr>
          <w:color w:val="231F20"/>
          <w:spacing w:val="40"/>
        </w:rPr>
        <w:t> </w:t>
      </w:r>
      <w:r>
        <w:rPr>
          <w:color w:val="231F20"/>
        </w:rPr>
        <w:t>functions such as Copy and Paste. It has menu items to create a </w:t>
      </w:r>
      <w:r>
        <w:rPr>
          <w:rFonts w:ascii="Book Antiqua"/>
          <w:b/>
          <w:color w:val="231F20"/>
        </w:rPr>
        <w:t>New </w:t>
      </w:r>
      <w:r>
        <w:rPr>
          <w:color w:val="231F20"/>
        </w:rPr>
        <w:t>script,</w:t>
      </w:r>
      <w:r>
        <w:rPr>
          <w:color w:val="231F20"/>
        </w:rPr>
        <w:t> </w:t>
      </w:r>
      <w:r>
        <w:rPr>
          <w:rFonts w:ascii="Book Antiqua"/>
          <w:b/>
          <w:color w:val="231F20"/>
        </w:rPr>
        <w:t>Save </w:t>
      </w:r>
      <w:r>
        <w:rPr>
          <w:color w:val="231F20"/>
        </w:rPr>
        <w:t>the script, </w:t>
      </w:r>
      <w:r>
        <w:rPr>
          <w:rFonts w:ascii="Book Antiqua"/>
          <w:b/>
          <w:color w:val="231F20"/>
        </w:rPr>
        <w:t>Save As </w:t>
      </w:r>
      <w:r>
        <w:rPr>
          <w:color w:val="231F20"/>
        </w:rPr>
        <w:t>another script, and </w:t>
      </w:r>
      <w:r>
        <w:rPr>
          <w:rFonts w:ascii="Book Antiqua"/>
          <w:b/>
          <w:color w:val="231F20"/>
        </w:rPr>
        <w:t>Exit </w:t>
      </w:r>
      <w:r>
        <w:rPr>
          <w:color w:val="231F20"/>
        </w:rPr>
        <w:t>the Script editor.</w:t>
      </w:r>
    </w:p>
    <w:p>
      <w:pPr>
        <w:pStyle w:val="BodyText"/>
        <w:spacing w:before="35"/>
        <w:ind w:left="2788"/>
      </w:pPr>
      <w:r>
        <w:rPr>
          <w:rFonts w:ascii="Futura MdCn BT"/>
          <w:color w:val="231F20"/>
        </w:rPr>
        <w:t>v</w:t>
      </w:r>
      <w:r>
        <w:rPr>
          <w:rFonts w:ascii="Futura MdCn BT"/>
          <w:color w:val="231F20"/>
          <w:spacing w:val="30"/>
        </w:rPr>
        <w:t>  </w:t>
      </w:r>
      <w:r>
        <w:rPr>
          <w:rFonts w:ascii="Book Antiqua"/>
          <w:b/>
          <w:color w:val="231F20"/>
        </w:rPr>
        <w:t>Delete</w:t>
      </w:r>
      <w:r>
        <w:rPr>
          <w:rFonts w:ascii="Book Antiqua"/>
          <w:b/>
          <w:color w:val="231F20"/>
          <w:spacing w:val="13"/>
        </w:rPr>
        <w:t> </w:t>
      </w:r>
      <w:r>
        <w:rPr>
          <w:color w:val="231F20"/>
        </w:rPr>
        <w:t>to</w:t>
      </w:r>
      <w:r>
        <w:rPr>
          <w:color w:val="231F20"/>
          <w:spacing w:val="12"/>
        </w:rPr>
        <w:t> </w:t>
      </w:r>
      <w:r>
        <w:rPr>
          <w:color w:val="231F20"/>
        </w:rPr>
        <w:t>remove</w:t>
      </w:r>
      <w:r>
        <w:rPr>
          <w:color w:val="231F20"/>
          <w:spacing w:val="11"/>
        </w:rPr>
        <w:t> </w:t>
      </w:r>
      <w:r>
        <w:rPr>
          <w:color w:val="231F20"/>
        </w:rPr>
        <w:t>the</w:t>
      </w:r>
      <w:r>
        <w:rPr>
          <w:color w:val="231F20"/>
          <w:spacing w:val="12"/>
        </w:rPr>
        <w:t> </w:t>
      </w:r>
      <w:r>
        <w:rPr>
          <w:color w:val="231F20"/>
        </w:rPr>
        <w:t>selected</w:t>
      </w:r>
      <w:r>
        <w:rPr>
          <w:color w:val="231F20"/>
          <w:spacing w:val="12"/>
        </w:rPr>
        <w:t> </w:t>
      </w:r>
      <w:r>
        <w:rPr>
          <w:color w:val="231F20"/>
        </w:rPr>
        <w:t>script</w:t>
      </w:r>
      <w:r>
        <w:rPr>
          <w:color w:val="231F20"/>
          <w:spacing w:val="12"/>
        </w:rPr>
        <w:t> </w:t>
      </w:r>
      <w:r>
        <w:rPr>
          <w:color w:val="231F20"/>
        </w:rPr>
        <w:t>from</w:t>
      </w:r>
      <w:r>
        <w:rPr>
          <w:color w:val="231F20"/>
          <w:spacing w:val="11"/>
        </w:rPr>
        <w:t> </w:t>
      </w:r>
      <w:r>
        <w:rPr>
          <w:color w:val="231F20"/>
        </w:rPr>
        <w:t>the</w:t>
      </w:r>
      <w:r>
        <w:rPr>
          <w:color w:val="231F20"/>
          <w:spacing w:val="12"/>
        </w:rPr>
        <w:t> </w:t>
      </w:r>
      <w:r>
        <w:rPr>
          <w:color w:val="231F20"/>
        </w:rPr>
        <w:t>list</w:t>
      </w:r>
      <w:r>
        <w:rPr>
          <w:color w:val="231F20"/>
          <w:spacing w:val="12"/>
        </w:rPr>
        <w:t> </w:t>
      </w:r>
      <w:r>
        <w:rPr>
          <w:color w:val="231F20"/>
        </w:rPr>
        <w:t>of</w:t>
      </w:r>
      <w:r>
        <w:rPr>
          <w:color w:val="231F20"/>
          <w:spacing w:val="12"/>
        </w:rPr>
        <w:t> </w:t>
      </w:r>
      <w:r>
        <w:rPr>
          <w:color w:val="231F20"/>
        </w:rPr>
        <w:t>available</w:t>
      </w:r>
      <w:r>
        <w:rPr>
          <w:color w:val="231F20"/>
          <w:spacing w:val="11"/>
        </w:rPr>
        <w:t> </w:t>
      </w:r>
      <w:r>
        <w:rPr>
          <w:color w:val="231F20"/>
          <w:spacing w:val="-2"/>
        </w:rPr>
        <w:t>scripts.</w:t>
      </w:r>
    </w:p>
    <w:p>
      <w:pPr>
        <w:pStyle w:val="BodyText"/>
        <w:spacing w:line="213" w:lineRule="auto" w:before="232"/>
        <w:ind w:left="2788" w:right="545"/>
      </w:pPr>
      <w:r>
        <w:rPr>
          <w:rFonts w:ascii="Book Antiqua"/>
          <w:b/>
          <w:color w:val="231F20"/>
        </w:rPr>
        <w:t>Note:</w:t>
      </w:r>
      <w:r>
        <w:rPr>
          <w:rFonts w:ascii="Book Antiqua"/>
          <w:b/>
          <w:color w:val="231F20"/>
          <w:spacing w:val="40"/>
        </w:rPr>
        <w:t> </w:t>
      </w:r>
      <w:r>
        <w:rPr>
          <w:color w:val="231F20"/>
        </w:rPr>
        <w:t>Some scripts are read-only and cannot be deleted or modified. If you edit a read-only script, you can save the modified version as a new script </w:t>
      </w:r>
      <w:r>
        <w:rPr>
          <w:color w:val="231F20"/>
        </w:rPr>
        <w:t>by clicking the </w:t>
      </w:r>
      <w:r>
        <w:rPr>
          <w:rFonts w:ascii="Book Antiqua"/>
          <w:b/>
          <w:color w:val="231F20"/>
        </w:rPr>
        <w:t>Save As </w:t>
      </w:r>
      <w:r>
        <w:rPr>
          <w:color w:val="231F20"/>
        </w:rPr>
        <w:t>menu choice.</w:t>
      </w:r>
    </w:p>
    <w:p>
      <w:pPr>
        <w:pStyle w:val="ListParagraph"/>
        <w:numPr>
          <w:ilvl w:val="1"/>
          <w:numId w:val="85"/>
        </w:numPr>
        <w:tabs>
          <w:tab w:pos="2788" w:val="left" w:leader="none"/>
        </w:tabs>
        <w:spacing w:line="213" w:lineRule="auto" w:before="58" w:after="0"/>
        <w:ind w:left="2788" w:right="187" w:hanging="316"/>
        <w:jc w:val="left"/>
        <w:rPr>
          <w:sz w:val="20"/>
        </w:rPr>
      </w:pPr>
      <w:r>
        <w:rPr>
          <w:color w:val="231F20"/>
          <w:sz w:val="20"/>
        </w:rPr>
        <w:t>If</w:t>
      </w:r>
      <w:r>
        <w:rPr>
          <w:color w:val="231F20"/>
          <w:spacing w:val="22"/>
          <w:sz w:val="20"/>
        </w:rPr>
        <w:t> </w:t>
      </w:r>
      <w:r>
        <w:rPr>
          <w:color w:val="231F20"/>
          <w:sz w:val="20"/>
        </w:rPr>
        <w:t>you</w:t>
      </w:r>
      <w:r>
        <w:rPr>
          <w:color w:val="231F20"/>
          <w:spacing w:val="22"/>
          <w:sz w:val="20"/>
        </w:rPr>
        <w:t> </w:t>
      </w:r>
      <w:r>
        <w:rPr>
          <w:color w:val="231F20"/>
          <w:sz w:val="20"/>
        </w:rPr>
        <w:t>want</w:t>
      </w:r>
      <w:r>
        <w:rPr>
          <w:color w:val="231F20"/>
          <w:spacing w:val="22"/>
          <w:sz w:val="20"/>
        </w:rPr>
        <w:t> </w:t>
      </w:r>
      <w:r>
        <w:rPr>
          <w:color w:val="231F20"/>
          <w:sz w:val="20"/>
        </w:rPr>
        <w:t>to</w:t>
      </w:r>
      <w:r>
        <w:rPr>
          <w:color w:val="231F20"/>
          <w:spacing w:val="22"/>
          <w:sz w:val="20"/>
        </w:rPr>
        <w:t> </w:t>
      </w:r>
      <w:r>
        <w:rPr>
          <w:color w:val="231F20"/>
          <w:sz w:val="20"/>
        </w:rPr>
        <w:t>designate</w:t>
      </w:r>
      <w:r>
        <w:rPr>
          <w:color w:val="231F20"/>
          <w:spacing w:val="22"/>
          <w:sz w:val="20"/>
        </w:rPr>
        <w:t> </w:t>
      </w:r>
      <w:r>
        <w:rPr>
          <w:color w:val="231F20"/>
          <w:sz w:val="20"/>
        </w:rPr>
        <w:t>a</w:t>
      </w:r>
      <w:r>
        <w:rPr>
          <w:color w:val="231F20"/>
          <w:spacing w:val="22"/>
          <w:sz w:val="20"/>
        </w:rPr>
        <w:t> </w:t>
      </w:r>
      <w:r>
        <w:rPr>
          <w:color w:val="231F20"/>
          <w:sz w:val="20"/>
        </w:rPr>
        <w:t>script</w:t>
      </w:r>
      <w:r>
        <w:rPr>
          <w:color w:val="231F20"/>
          <w:spacing w:val="22"/>
          <w:sz w:val="20"/>
        </w:rPr>
        <w:t> </w:t>
      </w:r>
      <w:r>
        <w:rPr>
          <w:color w:val="231F20"/>
          <w:sz w:val="20"/>
        </w:rPr>
        <w:t>to</w:t>
      </w:r>
      <w:r>
        <w:rPr>
          <w:color w:val="231F20"/>
          <w:spacing w:val="22"/>
          <w:sz w:val="20"/>
        </w:rPr>
        <w:t> </w:t>
      </w:r>
      <w:r>
        <w:rPr>
          <w:color w:val="231F20"/>
          <w:sz w:val="20"/>
        </w:rPr>
        <w:t>start</w:t>
      </w:r>
      <w:r>
        <w:rPr>
          <w:color w:val="231F20"/>
          <w:spacing w:val="22"/>
          <w:sz w:val="20"/>
        </w:rPr>
        <w:t> </w:t>
      </w:r>
      <w:r>
        <w:rPr>
          <w:color w:val="231F20"/>
          <w:sz w:val="20"/>
        </w:rPr>
        <w:t>automatically</w:t>
      </w:r>
      <w:r>
        <w:rPr>
          <w:color w:val="231F20"/>
          <w:spacing w:val="22"/>
          <w:sz w:val="20"/>
        </w:rPr>
        <w:t> </w:t>
      </w:r>
      <w:r>
        <w:rPr>
          <w:color w:val="231F20"/>
          <w:sz w:val="20"/>
        </w:rPr>
        <w:t>upon</w:t>
      </w:r>
      <w:r>
        <w:rPr>
          <w:color w:val="231F20"/>
          <w:spacing w:val="22"/>
          <w:sz w:val="20"/>
        </w:rPr>
        <w:t> </w:t>
      </w:r>
      <w:r>
        <w:rPr>
          <w:color w:val="231F20"/>
          <w:sz w:val="20"/>
        </w:rPr>
        <w:t>connection,</w:t>
      </w:r>
      <w:r>
        <w:rPr>
          <w:color w:val="231F20"/>
          <w:spacing w:val="22"/>
          <w:sz w:val="20"/>
        </w:rPr>
        <w:t> </w:t>
      </w:r>
      <w:r>
        <w:rPr>
          <w:color w:val="231F20"/>
          <w:sz w:val="20"/>
        </w:rPr>
        <w:t>select if from the Startup Script </w:t>
      </w:r>
      <w:r>
        <w:rPr>
          <w:color w:val="231F20"/>
          <w:spacing w:val="15"/>
          <w:position w:val="-1"/>
          <w:sz w:val="20"/>
        </w:rPr>
        <w:drawing>
          <wp:inline distT="0" distB="0" distL="0" distR="0">
            <wp:extent cx="101600" cy="101600"/>
            <wp:effectExtent l="0" t="0" r="0" b="0"/>
            <wp:docPr id="1642" name="Image 1642"/>
            <wp:cNvGraphicFramePr>
              <a:graphicFrameLocks/>
            </wp:cNvGraphicFramePr>
            <a:graphic>
              <a:graphicData uri="http://schemas.openxmlformats.org/drawingml/2006/picture">
                <pic:pic>
                  <pic:nvPicPr>
                    <pic:cNvPr id="1642" name="Image 1642"/>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list. Connection to a host system is established whenever you open a workspace that contains a terminal view, and when you reconnect to a session with</w:t>
      </w:r>
      <w:r>
        <w:rPr>
          <w:color w:val="231F20"/>
          <w:spacing w:val="36"/>
          <w:sz w:val="20"/>
        </w:rPr>
        <w:t> </w:t>
      </w:r>
      <w:r>
        <w:rPr>
          <w:color w:val="231F20"/>
          <w:spacing w:val="-25"/>
          <w:position w:val="-1"/>
          <w:sz w:val="20"/>
        </w:rPr>
        <w:drawing>
          <wp:inline distT="0" distB="0" distL="0" distR="0">
            <wp:extent cx="95250" cy="95250"/>
            <wp:effectExtent l="0" t="0" r="0" b="0"/>
            <wp:docPr id="1643" name="Image 1643"/>
            <wp:cNvGraphicFramePr>
              <a:graphicFrameLocks/>
            </wp:cNvGraphicFramePr>
            <a:graphic>
              <a:graphicData uri="http://schemas.openxmlformats.org/drawingml/2006/picture">
                <pic:pic>
                  <pic:nvPicPr>
                    <pic:cNvPr id="1643" name="Image 1643"/>
                    <pic:cNvPicPr/>
                  </pic:nvPicPr>
                  <pic:blipFill>
                    <a:blip r:embed="rId323"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Connection </w:t>
      </w:r>
      <w:r>
        <w:rPr>
          <w:color w:val="231F20"/>
          <w:sz w:val="20"/>
        </w:rPr>
        <w:t>or by running a script. Instead of using hard-coded values, the connection script can use the getPropery function</w:t>
      </w:r>
      <w:r>
        <w:rPr>
          <w:color w:val="231F20"/>
          <w:spacing w:val="40"/>
          <w:sz w:val="20"/>
        </w:rPr>
        <w:t> </w:t>
      </w:r>
      <w:r>
        <w:rPr>
          <w:color w:val="231F20"/>
          <w:sz w:val="20"/>
        </w:rPr>
        <w:t>to retrieve values specified by a workspace link or by the query specified in </w:t>
      </w:r>
      <w:r>
        <w:rPr>
          <w:color w:val="231F20"/>
          <w:sz w:val="20"/>
        </w:rPr>
        <w:t>the view properties. These values can include connection information as well as application-specific data used to navigate to a specific application panel for investigating issues.</w:t>
      </w:r>
    </w:p>
    <w:p>
      <w:pPr>
        <w:pStyle w:val="ListParagraph"/>
        <w:numPr>
          <w:ilvl w:val="1"/>
          <w:numId w:val="85"/>
        </w:numPr>
        <w:tabs>
          <w:tab w:pos="2787" w:val="left" w:leader="none"/>
        </w:tabs>
        <w:spacing w:line="240" w:lineRule="auto" w:before="30" w:after="0"/>
        <w:ind w:left="2787" w:right="0" w:hanging="315"/>
        <w:jc w:val="left"/>
        <w:rPr>
          <w:sz w:val="20"/>
        </w:rPr>
      </w:pPr>
      <w:bookmarkStart w:name="Terminal Emulator Scripting Language" w:id="288"/>
      <w:bookmarkEnd w:id="288"/>
      <w:r>
        <w:rPr/>
      </w:r>
      <w:r>
        <w:rPr>
          <w:color w:val="231F20"/>
          <w:sz w:val="20"/>
        </w:rPr>
        <w:t>Click</w:t>
      </w:r>
      <w:r>
        <w:rPr>
          <w:color w:val="231F20"/>
          <w:spacing w:val="21"/>
          <w:sz w:val="20"/>
        </w:rPr>
        <w:t> </w:t>
      </w:r>
      <w:r>
        <w:rPr>
          <w:color w:val="231F20"/>
          <w:spacing w:val="-24"/>
          <w:position w:val="-1"/>
          <w:sz w:val="20"/>
        </w:rPr>
        <w:drawing>
          <wp:inline distT="0" distB="0" distL="0" distR="0">
            <wp:extent cx="95250" cy="95250"/>
            <wp:effectExtent l="0" t="0" r="0" b="0"/>
            <wp:docPr id="1644" name="Image 1644"/>
            <wp:cNvGraphicFramePr>
              <a:graphicFrameLocks/>
            </wp:cNvGraphicFramePr>
            <a:graphic>
              <a:graphicData uri="http://schemas.openxmlformats.org/drawingml/2006/picture">
                <pic:pic>
                  <pic:nvPicPr>
                    <pic:cNvPr id="1644" name="Image 1644"/>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Save</w:t>
      </w:r>
      <w:r>
        <w:rPr>
          <w:rFonts w:ascii="Book Antiqua"/>
          <w:b/>
          <w:color w:val="231F20"/>
          <w:spacing w:val="12"/>
          <w:sz w:val="20"/>
        </w:rPr>
        <w:t> </w:t>
      </w:r>
      <w:r>
        <w:rPr>
          <w:color w:val="231F20"/>
          <w:sz w:val="20"/>
        </w:rPr>
        <w:t>if</w:t>
      </w:r>
      <w:r>
        <w:rPr>
          <w:color w:val="231F20"/>
          <w:spacing w:val="13"/>
          <w:sz w:val="20"/>
        </w:rPr>
        <w:t> </w:t>
      </w:r>
      <w:r>
        <w:rPr>
          <w:color w:val="231F20"/>
          <w:sz w:val="20"/>
        </w:rPr>
        <w:t>you</w:t>
      </w:r>
      <w:r>
        <w:rPr>
          <w:color w:val="231F20"/>
          <w:spacing w:val="12"/>
          <w:sz w:val="20"/>
        </w:rPr>
        <w:t> </w:t>
      </w:r>
      <w:r>
        <w:rPr>
          <w:color w:val="231F20"/>
          <w:sz w:val="20"/>
        </w:rPr>
        <w:t>designated</w:t>
      </w:r>
      <w:r>
        <w:rPr>
          <w:color w:val="231F20"/>
          <w:spacing w:val="12"/>
          <w:sz w:val="20"/>
        </w:rPr>
        <w:t> </w:t>
      </w:r>
      <w:r>
        <w:rPr>
          <w:color w:val="231F20"/>
          <w:sz w:val="20"/>
        </w:rPr>
        <w:t>a</w:t>
      </w:r>
      <w:r>
        <w:rPr>
          <w:color w:val="231F20"/>
          <w:spacing w:val="13"/>
          <w:sz w:val="20"/>
        </w:rPr>
        <w:t> </w:t>
      </w:r>
      <w:r>
        <w:rPr>
          <w:color w:val="231F20"/>
          <w:sz w:val="20"/>
        </w:rPr>
        <w:t>startup</w:t>
      </w:r>
      <w:r>
        <w:rPr>
          <w:color w:val="231F20"/>
          <w:spacing w:val="12"/>
          <w:sz w:val="20"/>
        </w:rPr>
        <w:t> </w:t>
      </w:r>
      <w:r>
        <w:rPr>
          <w:color w:val="231F20"/>
          <w:spacing w:val="-2"/>
          <w:sz w:val="20"/>
        </w:rPr>
        <w:t>script.</w:t>
      </w:r>
    </w:p>
    <w:p>
      <w:pPr>
        <w:pStyle w:val="Heading3"/>
        <w:spacing w:before="212"/>
        <w:ind w:left="1574"/>
      </w:pPr>
      <w:r>
        <w:rPr>
          <w:color w:val="231F20"/>
        </w:rPr>
        <w:t>Terminal</w:t>
      </w:r>
      <w:r>
        <w:rPr>
          <w:color w:val="231F20"/>
          <w:spacing w:val="-4"/>
        </w:rPr>
        <w:t> </w:t>
      </w:r>
      <w:r>
        <w:rPr>
          <w:color w:val="231F20"/>
        </w:rPr>
        <w:t>Emulator</w:t>
      </w:r>
      <w:r>
        <w:rPr>
          <w:color w:val="231F20"/>
          <w:spacing w:val="-4"/>
        </w:rPr>
        <w:t> </w:t>
      </w:r>
      <w:r>
        <w:rPr>
          <w:color w:val="231F20"/>
        </w:rPr>
        <w:t>Scripting</w:t>
      </w:r>
      <w:r>
        <w:rPr>
          <w:color w:val="231F20"/>
          <w:spacing w:val="-4"/>
        </w:rPr>
        <w:t> </w:t>
      </w:r>
      <w:r>
        <w:rPr>
          <w:color w:val="231F20"/>
          <w:spacing w:val="-2"/>
        </w:rPr>
        <w:t>Language</w:t>
      </w:r>
    </w:p>
    <w:p>
      <w:pPr>
        <w:pStyle w:val="BodyText"/>
        <w:spacing w:line="213" w:lineRule="auto" w:before="58"/>
        <w:ind w:left="2472" w:right="545"/>
      </w:pPr>
      <w:r>
        <w:rPr>
          <w:color w:val="231F20"/>
        </w:rPr>
        <w:t>Automate terminal view session navigation with scripts written with our proprietary Terminal Emulator Scripting Language and saved for use in </w:t>
      </w:r>
      <w:r>
        <w:rPr>
          <w:color w:val="231F20"/>
        </w:rPr>
        <w:t>your monitored environment.</w:t>
      </w:r>
    </w:p>
    <w:p>
      <w:pPr>
        <w:pStyle w:val="BodyText"/>
        <w:spacing w:line="213" w:lineRule="auto" w:before="237"/>
        <w:ind w:left="2472" w:right="263"/>
      </w:pPr>
      <w:r>
        <w:rPr>
          <w:color w:val="231F20"/>
        </w:rPr>
        <w:t>The scripting engine is an interpreter/execution engine based on a C-like </w:t>
      </w:r>
      <w:r>
        <w:rPr>
          <w:color w:val="231F20"/>
        </w:rPr>
        <w:t>language.</w:t>
      </w:r>
      <w:r>
        <w:rPr>
          <w:color w:val="231F20"/>
          <w:spacing w:val="80"/>
        </w:rPr>
        <w:t> </w:t>
      </w:r>
      <w:r>
        <w:rPr>
          <w:color w:val="231F20"/>
        </w:rPr>
        <w:t>It</w:t>
      </w:r>
      <w:r>
        <w:rPr>
          <w:color w:val="231F20"/>
          <w:spacing w:val="25"/>
        </w:rPr>
        <w:t> </w:t>
      </w:r>
      <w:r>
        <w:rPr>
          <w:color w:val="231F20"/>
        </w:rPr>
        <w:t>has</w:t>
      </w:r>
      <w:r>
        <w:rPr>
          <w:color w:val="231F20"/>
          <w:spacing w:val="25"/>
        </w:rPr>
        <w:t> </w:t>
      </w:r>
      <w:r>
        <w:rPr>
          <w:color w:val="231F20"/>
        </w:rPr>
        <w:t>a</w:t>
      </w:r>
      <w:r>
        <w:rPr>
          <w:color w:val="231F20"/>
          <w:spacing w:val="25"/>
        </w:rPr>
        <w:t> </w:t>
      </w:r>
      <w:r>
        <w:rPr>
          <w:color w:val="231F20"/>
        </w:rPr>
        <w:t>defined</w:t>
      </w:r>
      <w:r>
        <w:rPr>
          <w:color w:val="231F20"/>
          <w:spacing w:val="25"/>
        </w:rPr>
        <w:t> </w:t>
      </w:r>
      <w:r>
        <w:rPr>
          <w:color w:val="231F20"/>
        </w:rPr>
        <w:t>format</w:t>
      </w:r>
      <w:r>
        <w:rPr>
          <w:color w:val="231F20"/>
          <w:spacing w:val="25"/>
        </w:rPr>
        <w:t> </w:t>
      </w:r>
      <w:r>
        <w:rPr>
          <w:color w:val="231F20"/>
        </w:rPr>
        <w:t>and</w:t>
      </w:r>
      <w:r>
        <w:rPr>
          <w:color w:val="231F20"/>
          <w:spacing w:val="25"/>
        </w:rPr>
        <w:t> </w:t>
      </w:r>
      <w:r>
        <w:rPr>
          <w:color w:val="231F20"/>
        </w:rPr>
        <w:t>syntax,</w:t>
      </w:r>
      <w:r>
        <w:rPr>
          <w:color w:val="231F20"/>
          <w:spacing w:val="25"/>
        </w:rPr>
        <w:t> </w:t>
      </w:r>
      <w:r>
        <w:rPr>
          <w:color w:val="231F20"/>
        </w:rPr>
        <w:t>and</w:t>
      </w:r>
      <w:r>
        <w:rPr>
          <w:color w:val="231F20"/>
          <w:spacing w:val="25"/>
        </w:rPr>
        <w:t> </w:t>
      </w:r>
      <w:r>
        <w:rPr>
          <w:color w:val="231F20"/>
        </w:rPr>
        <w:t>a</w:t>
      </w:r>
      <w:r>
        <w:rPr>
          <w:color w:val="231F20"/>
          <w:spacing w:val="25"/>
        </w:rPr>
        <w:t> </w:t>
      </w:r>
      <w:r>
        <w:rPr>
          <w:color w:val="231F20"/>
        </w:rPr>
        <w:t>set</w:t>
      </w:r>
      <w:r>
        <w:rPr>
          <w:color w:val="231F20"/>
          <w:spacing w:val="25"/>
        </w:rPr>
        <w:t> </w:t>
      </w:r>
      <w:r>
        <w:rPr>
          <w:color w:val="231F20"/>
        </w:rPr>
        <w:t>of</w:t>
      </w:r>
      <w:r>
        <w:rPr>
          <w:color w:val="231F20"/>
          <w:spacing w:val="25"/>
        </w:rPr>
        <w:t> </w:t>
      </w:r>
      <w:r>
        <w:rPr>
          <w:color w:val="231F20"/>
        </w:rPr>
        <w:t>built-in</w:t>
      </w:r>
      <w:r>
        <w:rPr>
          <w:color w:val="231F20"/>
          <w:spacing w:val="25"/>
        </w:rPr>
        <w:t> </w:t>
      </w:r>
      <w:r>
        <w:rPr>
          <w:color w:val="231F20"/>
        </w:rPr>
        <w:t>functions.</w:t>
      </w:r>
      <w:r>
        <w:rPr>
          <w:color w:val="231F20"/>
          <w:spacing w:val="25"/>
        </w:rPr>
        <w:t> </w:t>
      </w:r>
      <w:r>
        <w:rPr>
          <w:color w:val="231F20"/>
        </w:rPr>
        <w:t>It</w:t>
      </w:r>
      <w:r>
        <w:rPr>
          <w:color w:val="231F20"/>
          <w:spacing w:val="25"/>
        </w:rPr>
        <w:t> </w:t>
      </w:r>
      <w:r>
        <w:rPr>
          <w:color w:val="231F20"/>
        </w:rPr>
        <w:t>also</w:t>
      </w:r>
      <w:r>
        <w:rPr>
          <w:color w:val="231F20"/>
          <w:spacing w:val="25"/>
        </w:rPr>
        <w:t> </w:t>
      </w:r>
      <w:r>
        <w:rPr>
          <w:color w:val="231F20"/>
        </w:rPr>
        <w:t>allows you to create your own functions. Because it is intended to address a specific</w:t>
      </w:r>
    </w:p>
    <w:p>
      <w:pPr>
        <w:spacing w:after="0" w:line="213" w:lineRule="auto"/>
        <w:sectPr>
          <w:pgSz w:w="12240" w:h="15840"/>
          <w:pgMar w:header="0" w:footer="736" w:top="1140" w:bottom="920" w:left="1000" w:right="1060"/>
        </w:sectPr>
      </w:pPr>
    </w:p>
    <w:p>
      <w:pPr>
        <w:pStyle w:val="BodyText"/>
        <w:spacing w:line="213" w:lineRule="auto" w:before="85"/>
        <w:ind w:left="2232" w:right="545"/>
      </w:pPr>
      <w:bookmarkStart w:name="_bookmark130" w:id="289"/>
      <w:bookmarkEnd w:id="289"/>
      <w:r>
        <w:rPr/>
      </w:r>
      <w:r>
        <w:rPr>
          <w:color w:val="231F20"/>
        </w:rPr>
        <w:t>environment—that of manipulating terminal session navigation—it does </w:t>
      </w:r>
      <w:r>
        <w:rPr>
          <w:color w:val="231F20"/>
        </w:rPr>
        <w:t>not provide a full range of programming functionality.</w:t>
      </w:r>
    </w:p>
    <w:p>
      <w:pPr>
        <w:pStyle w:val="Heading4"/>
        <w:spacing w:line="273" w:lineRule="exact" w:before="165"/>
      </w:pPr>
      <w:bookmarkStart w:name="Script syntax" w:id="290"/>
      <w:bookmarkEnd w:id="290"/>
      <w:r>
        <w:rPr>
          <w:b w:val="0"/>
        </w:rPr>
      </w:r>
      <w:r>
        <w:rPr>
          <w:color w:val="231F20"/>
        </w:rPr>
        <w:t>Script</w:t>
      </w:r>
      <w:r>
        <w:rPr>
          <w:color w:val="231F20"/>
          <w:spacing w:val="6"/>
        </w:rPr>
        <w:t> </w:t>
      </w:r>
      <w:r>
        <w:rPr>
          <w:color w:val="231F20"/>
          <w:spacing w:val="-2"/>
        </w:rPr>
        <w:t>syntax</w:t>
      </w:r>
    </w:p>
    <w:p>
      <w:pPr>
        <w:pStyle w:val="BodyText"/>
        <w:spacing w:line="213" w:lineRule="auto" w:before="19"/>
        <w:ind w:left="2232" w:right="545"/>
      </w:pPr>
      <w:r>
        <w:rPr>
          <w:color w:val="231F20"/>
        </w:rPr>
        <w:t>Create new 3270 or 5250 session scripts using the Manage Scripts feature that </w:t>
      </w:r>
      <w:r>
        <w:rPr>
          <w:color w:val="231F20"/>
        </w:rPr>
        <w:t>is available from the terminal view.</w:t>
      </w:r>
    </w:p>
    <w:p>
      <w:pPr>
        <w:pStyle w:val="BodyText"/>
        <w:spacing w:line="213" w:lineRule="auto" w:before="239"/>
        <w:ind w:left="2232" w:right="493"/>
      </w:pPr>
      <w:r>
        <w:rPr>
          <w:color w:val="231F20"/>
        </w:rPr>
        <w:t>A script is a program made up of function definitions, variable definitions, and executable program statements. The terminal emulator scripting language is </w:t>
      </w:r>
      <w:r>
        <w:rPr>
          <w:color w:val="231F20"/>
        </w:rPr>
        <w:t>similar to Java or C. The scripting language has these general conventions:</w:t>
      </w:r>
    </w:p>
    <w:p>
      <w:pPr>
        <w:pStyle w:val="BodyText"/>
        <w:spacing w:before="34"/>
        <w:ind w:left="2232"/>
      </w:pPr>
      <w:r>
        <w:rPr>
          <w:rFonts w:ascii="Futura MdCn BT"/>
          <w:color w:val="231F20"/>
        </w:rPr>
        <w:t>v</w:t>
      </w:r>
      <w:r>
        <w:rPr>
          <w:rFonts w:ascii="Futura MdCn BT"/>
          <w:color w:val="231F20"/>
          <w:spacing w:val="77"/>
          <w:w w:val="150"/>
        </w:rPr>
        <w:t> </w:t>
      </w:r>
      <w:r>
        <w:rPr>
          <w:color w:val="231F20"/>
        </w:rPr>
        <w:t>Keywords,</w:t>
      </w:r>
      <w:r>
        <w:rPr>
          <w:color w:val="231F20"/>
          <w:spacing w:val="10"/>
        </w:rPr>
        <w:t> </w:t>
      </w:r>
      <w:r>
        <w:rPr>
          <w:color w:val="231F20"/>
        </w:rPr>
        <w:t>variables</w:t>
      </w:r>
      <w:r>
        <w:rPr>
          <w:color w:val="231F20"/>
          <w:spacing w:val="10"/>
        </w:rPr>
        <w:t> </w:t>
      </w:r>
      <w:r>
        <w:rPr>
          <w:color w:val="231F20"/>
        </w:rPr>
        <w:t>and</w:t>
      </w:r>
      <w:r>
        <w:rPr>
          <w:color w:val="231F20"/>
          <w:spacing w:val="10"/>
        </w:rPr>
        <w:t> </w:t>
      </w:r>
      <w:r>
        <w:rPr>
          <w:color w:val="231F20"/>
        </w:rPr>
        <w:t>function</w:t>
      </w:r>
      <w:r>
        <w:rPr>
          <w:color w:val="231F20"/>
          <w:spacing w:val="10"/>
        </w:rPr>
        <w:t> </w:t>
      </w:r>
      <w:r>
        <w:rPr>
          <w:color w:val="231F20"/>
        </w:rPr>
        <w:t>names</w:t>
      </w:r>
      <w:r>
        <w:rPr>
          <w:color w:val="231F20"/>
          <w:spacing w:val="10"/>
        </w:rPr>
        <w:t> </w:t>
      </w:r>
      <w:r>
        <w:rPr>
          <w:color w:val="231F20"/>
        </w:rPr>
        <w:t>are</w:t>
      </w:r>
      <w:r>
        <w:rPr>
          <w:color w:val="231F20"/>
          <w:spacing w:val="10"/>
        </w:rPr>
        <w:t> </w:t>
      </w:r>
      <w:r>
        <w:rPr>
          <w:color w:val="231F20"/>
        </w:rPr>
        <w:t>case-</w:t>
      </w:r>
      <w:r>
        <w:rPr>
          <w:color w:val="231F20"/>
          <w:spacing w:val="-2"/>
        </w:rPr>
        <w:t>insensitive</w:t>
      </w:r>
    </w:p>
    <w:p>
      <w:pPr>
        <w:pStyle w:val="BodyText"/>
        <w:spacing w:before="30"/>
        <w:ind w:left="2232"/>
      </w:pPr>
      <w:r>
        <w:rPr>
          <w:rFonts w:ascii="Futura MdCn BT"/>
          <w:color w:val="231F20"/>
        </w:rPr>
        <w:t>v</w:t>
      </w:r>
      <w:r>
        <w:rPr>
          <w:rFonts w:ascii="Futura MdCn BT"/>
          <w:color w:val="231F20"/>
          <w:spacing w:val="30"/>
        </w:rPr>
        <w:t>  </w:t>
      </w:r>
      <w:r>
        <w:rPr>
          <w:color w:val="231F20"/>
        </w:rPr>
        <w:t>All</w:t>
      </w:r>
      <w:r>
        <w:rPr>
          <w:color w:val="231F20"/>
          <w:spacing w:val="12"/>
        </w:rPr>
        <w:t> </w:t>
      </w:r>
      <w:r>
        <w:rPr>
          <w:color w:val="231F20"/>
        </w:rPr>
        <w:t>statements</w:t>
      </w:r>
      <w:r>
        <w:rPr>
          <w:color w:val="231F20"/>
          <w:spacing w:val="11"/>
        </w:rPr>
        <w:t> </w:t>
      </w:r>
      <w:r>
        <w:rPr>
          <w:color w:val="231F20"/>
        </w:rPr>
        <w:t>are</w:t>
      </w:r>
      <w:r>
        <w:rPr>
          <w:color w:val="231F20"/>
          <w:spacing w:val="11"/>
        </w:rPr>
        <w:t> </w:t>
      </w:r>
      <w:r>
        <w:rPr>
          <w:color w:val="231F20"/>
        </w:rPr>
        <w:t>terminated</w:t>
      </w:r>
      <w:r>
        <w:rPr>
          <w:color w:val="231F20"/>
          <w:spacing w:val="12"/>
        </w:rPr>
        <w:t> </w:t>
      </w:r>
      <w:r>
        <w:rPr>
          <w:color w:val="231F20"/>
        </w:rPr>
        <w:t>with</w:t>
      </w:r>
      <w:r>
        <w:rPr>
          <w:color w:val="231F20"/>
          <w:spacing w:val="11"/>
        </w:rPr>
        <w:t> </w:t>
      </w:r>
      <w:r>
        <w:rPr>
          <w:color w:val="231F20"/>
        </w:rPr>
        <w:t>a</w:t>
      </w:r>
      <w:r>
        <w:rPr>
          <w:color w:val="231F20"/>
          <w:spacing w:val="11"/>
        </w:rPr>
        <w:t> </w:t>
      </w:r>
      <w:r>
        <w:rPr>
          <w:color w:val="231F20"/>
        </w:rPr>
        <w:t>semi-</w:t>
      </w:r>
      <w:r>
        <w:rPr>
          <w:color w:val="231F20"/>
          <w:spacing w:val="-2"/>
        </w:rPr>
        <w:t>colon</w:t>
      </w:r>
    </w:p>
    <w:p>
      <w:pPr>
        <w:pStyle w:val="BodyText"/>
        <w:spacing w:before="29"/>
        <w:ind w:left="2232"/>
      </w:pPr>
      <w:r>
        <w:rPr>
          <w:rFonts w:ascii="Futura MdCn BT"/>
          <w:color w:val="231F20"/>
        </w:rPr>
        <w:t>v</w:t>
      </w:r>
      <w:r>
        <w:rPr>
          <w:rFonts w:ascii="Futura MdCn BT"/>
          <w:color w:val="231F20"/>
          <w:spacing w:val="31"/>
        </w:rPr>
        <w:t>  </w:t>
      </w:r>
      <w:r>
        <w:rPr>
          <w:color w:val="231F20"/>
        </w:rPr>
        <w:t>Multiple</w:t>
      </w:r>
      <w:r>
        <w:rPr>
          <w:color w:val="231F20"/>
          <w:spacing w:val="13"/>
        </w:rPr>
        <w:t> </w:t>
      </w:r>
      <w:r>
        <w:rPr>
          <w:color w:val="231F20"/>
        </w:rPr>
        <w:t>statements</w:t>
      </w:r>
      <w:r>
        <w:rPr>
          <w:color w:val="231F20"/>
          <w:spacing w:val="12"/>
        </w:rPr>
        <w:t> </w:t>
      </w:r>
      <w:r>
        <w:rPr>
          <w:color w:val="231F20"/>
        </w:rPr>
        <w:t>can</w:t>
      </w:r>
      <w:r>
        <w:rPr>
          <w:color w:val="231F20"/>
          <w:spacing w:val="12"/>
        </w:rPr>
        <w:t> </w:t>
      </w:r>
      <w:r>
        <w:rPr>
          <w:color w:val="231F20"/>
        </w:rPr>
        <w:t>appear</w:t>
      </w:r>
      <w:r>
        <w:rPr>
          <w:color w:val="231F20"/>
          <w:spacing w:val="12"/>
        </w:rPr>
        <w:t> </w:t>
      </w:r>
      <w:r>
        <w:rPr>
          <w:color w:val="231F20"/>
        </w:rPr>
        <w:t>on</w:t>
      </w:r>
      <w:r>
        <w:rPr>
          <w:color w:val="231F20"/>
          <w:spacing w:val="13"/>
        </w:rPr>
        <w:t> </w:t>
      </w:r>
      <w:r>
        <w:rPr>
          <w:color w:val="231F20"/>
        </w:rPr>
        <w:t>a</w:t>
      </w:r>
      <w:r>
        <w:rPr>
          <w:color w:val="231F20"/>
          <w:spacing w:val="12"/>
        </w:rPr>
        <w:t> </w:t>
      </w:r>
      <w:r>
        <w:rPr>
          <w:color w:val="231F20"/>
        </w:rPr>
        <w:t>single</w:t>
      </w:r>
      <w:r>
        <w:rPr>
          <w:color w:val="231F20"/>
          <w:spacing w:val="12"/>
        </w:rPr>
        <w:t> </w:t>
      </w:r>
      <w:r>
        <w:rPr>
          <w:color w:val="231F20"/>
          <w:spacing w:val="-4"/>
        </w:rPr>
        <w:t>line</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Function definitions must appear ahead of the data declarations and </w:t>
      </w:r>
      <w:r>
        <w:rPr>
          <w:color w:val="231F20"/>
        </w:rPr>
        <w:t>program</w:t>
      </w:r>
      <w:r>
        <w:rPr>
          <w:color w:val="231F20"/>
        </w:rPr>
        <w:t> </w:t>
      </w:r>
      <w:r>
        <w:rPr>
          <w:color w:val="231F20"/>
          <w:spacing w:val="-2"/>
        </w:rPr>
        <w:t>statements</w:t>
      </w:r>
    </w:p>
    <w:p>
      <w:pPr>
        <w:pStyle w:val="BodyText"/>
        <w:spacing w:line="427" w:lineRule="auto" w:before="35"/>
        <w:ind w:left="2232" w:right="2112"/>
      </w:pPr>
      <w:r>
        <w:rPr>
          <w:rFonts w:ascii="Futura MdCn BT"/>
          <w:color w:val="231F20"/>
        </w:rPr>
        <w:t>v</w:t>
      </w:r>
      <w:r>
        <w:rPr>
          <w:rFonts w:ascii="Futura MdCn BT"/>
          <w:color w:val="231F20"/>
          <w:spacing w:val="80"/>
        </w:rPr>
        <w:t> </w:t>
      </w:r>
      <w:r>
        <w:rPr>
          <w:color w:val="231F20"/>
        </w:rPr>
        <w:t>Declarations can appear anywhere before they are </w:t>
      </w:r>
      <w:r>
        <w:rPr>
          <w:color w:val="231F20"/>
        </w:rPr>
        <w:t>referenced</w:t>
      </w:r>
      <w:r>
        <w:rPr>
          <w:color w:val="231F20"/>
        </w:rPr>
        <w:t> The general layout is:</w:t>
      </w:r>
    </w:p>
    <w:p>
      <w:pPr>
        <w:pStyle w:val="Heading6"/>
        <w:spacing w:line="240" w:lineRule="auto" w:before="20"/>
        <w:ind w:left="2232" w:right="545"/>
      </w:pPr>
      <w:r>
        <w:rPr>
          <w:color w:val="231F20"/>
        </w:rPr>
        <w:t>Return-type FUNCTION function-name (optional parameters) {optional </w:t>
      </w:r>
      <w:r>
        <w:rPr>
          <w:color w:val="231F20"/>
        </w:rPr>
        <w:t>local variables; statements...}</w:t>
      </w:r>
    </w:p>
    <w:p>
      <w:pPr>
        <w:spacing w:line="229" w:lineRule="exact" w:before="116"/>
        <w:ind w:left="2232" w:right="0" w:firstLine="0"/>
        <w:jc w:val="left"/>
        <w:rPr>
          <w:rFonts w:ascii="Book Antiqua"/>
          <w:b/>
          <w:sz w:val="20"/>
        </w:rPr>
      </w:pPr>
      <w:r>
        <w:rPr>
          <w:rFonts w:ascii="Book Antiqua"/>
          <w:b/>
          <w:color w:val="231F20"/>
          <w:sz w:val="20"/>
        </w:rPr>
        <w:t>Reserved</w:t>
      </w:r>
      <w:r>
        <w:rPr>
          <w:rFonts w:ascii="Book Antiqua"/>
          <w:b/>
          <w:color w:val="231F20"/>
          <w:spacing w:val="7"/>
          <w:sz w:val="20"/>
        </w:rPr>
        <w:t> </w:t>
      </w:r>
      <w:r>
        <w:rPr>
          <w:rFonts w:ascii="Book Antiqua"/>
          <w:b/>
          <w:color w:val="231F20"/>
          <w:spacing w:val="-4"/>
          <w:sz w:val="20"/>
        </w:rPr>
        <w:t>words</w:t>
      </w:r>
    </w:p>
    <w:p>
      <w:pPr>
        <w:pStyle w:val="BodyText"/>
        <w:spacing w:line="213" w:lineRule="auto" w:before="11"/>
        <w:ind w:left="2951" w:right="545"/>
      </w:pPr>
      <w:r>
        <w:rPr>
          <w:color w:val="231F20"/>
        </w:rPr>
        <w:t>Reserved words are character strings that have special meanings. They cannot be used except for their intended meaning. The reserved words </w:t>
      </w:r>
      <w:r>
        <w:rPr>
          <w:color w:val="231F20"/>
        </w:rPr>
        <w:t>are of three types:</w:t>
      </w:r>
    </w:p>
    <w:p>
      <w:pPr>
        <w:pStyle w:val="Heading6"/>
        <w:ind w:left="2232"/>
      </w:pPr>
      <w:r>
        <w:rPr>
          <w:color w:val="231F20"/>
        </w:rPr>
        <w:t>Language</w:t>
      </w:r>
      <w:r>
        <w:rPr>
          <w:color w:val="231F20"/>
          <w:spacing w:val="7"/>
        </w:rPr>
        <w:t> </w:t>
      </w:r>
      <w:r>
        <w:rPr>
          <w:color w:val="231F20"/>
          <w:spacing w:val="-2"/>
        </w:rPr>
        <w:t>keywords</w:t>
      </w:r>
    </w:p>
    <w:p>
      <w:pPr>
        <w:pStyle w:val="BodyText"/>
        <w:spacing w:line="213" w:lineRule="auto" w:before="11"/>
        <w:ind w:left="2951" w:right="603"/>
      </w:pPr>
      <w:r>
        <w:rPr>
          <w:color w:val="231F20"/>
        </w:rPr>
        <w:t>Language keywords are used as commands within a script. They are interpreted to provide some action or considered as part of a </w:t>
      </w:r>
      <w:r>
        <w:rPr>
          <w:color w:val="231F20"/>
        </w:rPr>
        <w:t>statement. You can use these keywords only for their predefined purpose:</w:t>
      </w:r>
    </w:p>
    <w:p>
      <w:pPr>
        <w:pStyle w:val="BodyText"/>
        <w:spacing w:before="8"/>
        <w:rPr>
          <w:sz w:val="13"/>
        </w:rPr>
      </w:pPr>
    </w:p>
    <w:tbl>
      <w:tblPr>
        <w:tblW w:w="0" w:type="auto"/>
        <w:jc w:val="left"/>
        <w:tblInd w:w="2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1"/>
        <w:gridCol w:w="2855"/>
        <w:gridCol w:w="1360"/>
      </w:tblGrid>
      <w:tr>
        <w:trPr>
          <w:trHeight w:val="228" w:hRule="atLeast"/>
        </w:trPr>
        <w:tc>
          <w:tcPr>
            <w:tcW w:w="1541" w:type="dxa"/>
          </w:tcPr>
          <w:p>
            <w:pPr>
              <w:pStyle w:val="TableParagraph"/>
              <w:spacing w:line="208" w:lineRule="exact" w:before="0"/>
              <w:ind w:left="50"/>
              <w:rPr>
                <w:sz w:val="18"/>
              </w:rPr>
            </w:pPr>
            <w:r>
              <w:rPr>
                <w:color w:val="231F20"/>
                <w:spacing w:val="-5"/>
                <w:sz w:val="18"/>
              </w:rPr>
              <w:t>AND</w:t>
            </w:r>
          </w:p>
        </w:tc>
        <w:tc>
          <w:tcPr>
            <w:tcW w:w="2855" w:type="dxa"/>
          </w:tcPr>
          <w:p>
            <w:pPr>
              <w:pStyle w:val="TableParagraph"/>
              <w:spacing w:line="208" w:lineRule="exact" w:before="0"/>
              <w:ind w:left="1063"/>
              <w:rPr>
                <w:sz w:val="18"/>
              </w:rPr>
            </w:pPr>
            <w:r>
              <w:rPr>
                <w:color w:val="231F20"/>
                <w:sz w:val="18"/>
              </w:rPr>
              <w:t>;</w:t>
            </w:r>
            <w:r>
              <w:rPr>
                <w:color w:val="231F20"/>
                <w:spacing w:val="13"/>
                <w:sz w:val="18"/>
              </w:rPr>
              <w:t> </w:t>
            </w:r>
            <w:r>
              <w:rPr>
                <w:color w:val="231F20"/>
                <w:spacing w:val="-2"/>
                <w:sz w:val="18"/>
              </w:rPr>
              <w:t>(semicolon)</w:t>
            </w:r>
          </w:p>
        </w:tc>
        <w:tc>
          <w:tcPr>
            <w:tcW w:w="1360" w:type="dxa"/>
          </w:tcPr>
          <w:p>
            <w:pPr>
              <w:pStyle w:val="TableParagraph"/>
              <w:spacing w:line="208" w:lineRule="exact" w:before="0"/>
              <w:ind w:left="762"/>
              <w:rPr>
                <w:sz w:val="18"/>
              </w:rPr>
            </w:pPr>
            <w:r>
              <w:rPr>
                <w:color w:val="231F20"/>
                <w:spacing w:val="-5"/>
                <w:sz w:val="18"/>
              </w:rPr>
              <w:t>If</w:t>
            </w:r>
          </w:p>
        </w:tc>
      </w:tr>
      <w:tr>
        <w:trPr>
          <w:trHeight w:val="239" w:hRule="atLeast"/>
        </w:trPr>
        <w:tc>
          <w:tcPr>
            <w:tcW w:w="1541" w:type="dxa"/>
          </w:tcPr>
          <w:p>
            <w:pPr>
              <w:pStyle w:val="TableParagraph"/>
              <w:spacing w:line="219" w:lineRule="exact" w:before="0"/>
              <w:ind w:left="50"/>
              <w:rPr>
                <w:sz w:val="18"/>
              </w:rPr>
            </w:pPr>
            <w:r>
              <w:rPr>
                <w:color w:val="231F20"/>
                <w:spacing w:val="-5"/>
                <w:sz w:val="18"/>
              </w:rPr>
              <w:t>OR</w:t>
            </w:r>
          </w:p>
        </w:tc>
        <w:tc>
          <w:tcPr>
            <w:tcW w:w="2855" w:type="dxa"/>
          </w:tcPr>
          <w:p>
            <w:pPr>
              <w:pStyle w:val="TableParagraph"/>
              <w:spacing w:line="219" w:lineRule="exact" w:before="0"/>
              <w:ind w:left="1063"/>
              <w:rPr>
                <w:sz w:val="18"/>
              </w:rPr>
            </w:pPr>
            <w:r>
              <w:rPr>
                <w:color w:val="231F20"/>
                <w:spacing w:val="-2"/>
                <w:sz w:val="18"/>
              </w:rPr>
              <w:t>Break</w:t>
            </w:r>
          </w:p>
        </w:tc>
        <w:tc>
          <w:tcPr>
            <w:tcW w:w="1360" w:type="dxa"/>
          </w:tcPr>
          <w:p>
            <w:pPr>
              <w:pStyle w:val="TableParagraph"/>
              <w:spacing w:line="219" w:lineRule="exact" w:before="0"/>
              <w:ind w:left="762"/>
              <w:rPr>
                <w:sz w:val="18"/>
              </w:rPr>
            </w:pPr>
            <w:r>
              <w:rPr>
                <w:color w:val="231F20"/>
                <w:spacing w:val="-5"/>
                <w:sz w:val="18"/>
              </w:rPr>
              <w:t>Int</w:t>
            </w:r>
          </w:p>
        </w:tc>
      </w:tr>
      <w:tr>
        <w:trPr>
          <w:trHeight w:val="239" w:hRule="atLeast"/>
        </w:trPr>
        <w:tc>
          <w:tcPr>
            <w:tcW w:w="1541" w:type="dxa"/>
          </w:tcPr>
          <w:p>
            <w:pPr>
              <w:pStyle w:val="TableParagraph"/>
              <w:spacing w:line="219" w:lineRule="exact" w:before="0"/>
              <w:ind w:left="50"/>
              <w:rPr>
                <w:sz w:val="18"/>
              </w:rPr>
            </w:pPr>
            <w:r>
              <w:rPr>
                <w:color w:val="231F20"/>
                <w:spacing w:val="-5"/>
                <w:sz w:val="18"/>
              </w:rPr>
              <w:t>EQ</w:t>
            </w:r>
          </w:p>
        </w:tc>
        <w:tc>
          <w:tcPr>
            <w:tcW w:w="2855" w:type="dxa"/>
          </w:tcPr>
          <w:p>
            <w:pPr>
              <w:pStyle w:val="TableParagraph"/>
              <w:spacing w:line="219" w:lineRule="exact" w:before="0"/>
              <w:ind w:left="1063"/>
              <w:rPr>
                <w:sz w:val="18"/>
              </w:rPr>
            </w:pPr>
            <w:r>
              <w:rPr>
                <w:color w:val="231F20"/>
                <w:spacing w:val="-2"/>
                <w:sz w:val="18"/>
              </w:rPr>
              <w:t>Continue</w:t>
            </w:r>
          </w:p>
        </w:tc>
        <w:tc>
          <w:tcPr>
            <w:tcW w:w="1360" w:type="dxa"/>
          </w:tcPr>
          <w:p>
            <w:pPr>
              <w:pStyle w:val="TableParagraph"/>
              <w:spacing w:line="219" w:lineRule="exact" w:before="0"/>
              <w:ind w:left="762"/>
              <w:rPr>
                <w:sz w:val="18"/>
              </w:rPr>
            </w:pPr>
            <w:r>
              <w:rPr>
                <w:color w:val="231F20"/>
                <w:spacing w:val="-4"/>
                <w:sz w:val="18"/>
              </w:rPr>
              <w:t>Real</w:t>
            </w:r>
          </w:p>
        </w:tc>
      </w:tr>
      <w:tr>
        <w:trPr>
          <w:trHeight w:val="239" w:hRule="atLeast"/>
        </w:trPr>
        <w:tc>
          <w:tcPr>
            <w:tcW w:w="1541" w:type="dxa"/>
          </w:tcPr>
          <w:p>
            <w:pPr>
              <w:pStyle w:val="TableParagraph"/>
              <w:spacing w:line="219" w:lineRule="exact" w:before="0"/>
              <w:ind w:left="50"/>
              <w:rPr>
                <w:sz w:val="18"/>
              </w:rPr>
            </w:pPr>
            <w:r>
              <w:rPr>
                <w:color w:val="231F20"/>
                <w:spacing w:val="-5"/>
                <w:sz w:val="18"/>
              </w:rPr>
              <w:t>NE</w:t>
            </w:r>
          </w:p>
        </w:tc>
        <w:tc>
          <w:tcPr>
            <w:tcW w:w="2855" w:type="dxa"/>
          </w:tcPr>
          <w:p>
            <w:pPr>
              <w:pStyle w:val="TableParagraph"/>
              <w:spacing w:line="219" w:lineRule="exact" w:before="0"/>
              <w:ind w:left="1063"/>
              <w:rPr>
                <w:sz w:val="18"/>
              </w:rPr>
            </w:pPr>
            <w:r>
              <w:rPr>
                <w:color w:val="231F20"/>
                <w:spacing w:val="-4"/>
                <w:sz w:val="18"/>
              </w:rPr>
              <w:t>Else</w:t>
            </w:r>
          </w:p>
        </w:tc>
        <w:tc>
          <w:tcPr>
            <w:tcW w:w="1360" w:type="dxa"/>
          </w:tcPr>
          <w:p>
            <w:pPr>
              <w:pStyle w:val="TableParagraph"/>
              <w:spacing w:line="219" w:lineRule="exact" w:before="0"/>
              <w:ind w:left="762"/>
              <w:rPr>
                <w:sz w:val="18"/>
              </w:rPr>
            </w:pPr>
            <w:r>
              <w:rPr>
                <w:color w:val="231F20"/>
                <w:spacing w:val="-2"/>
                <w:sz w:val="18"/>
              </w:rPr>
              <w:t>Return</w:t>
            </w:r>
          </w:p>
        </w:tc>
      </w:tr>
      <w:tr>
        <w:trPr>
          <w:trHeight w:val="239" w:hRule="atLeast"/>
        </w:trPr>
        <w:tc>
          <w:tcPr>
            <w:tcW w:w="1541" w:type="dxa"/>
          </w:tcPr>
          <w:p>
            <w:pPr>
              <w:pStyle w:val="TableParagraph"/>
              <w:spacing w:line="219" w:lineRule="exact" w:before="0"/>
              <w:ind w:left="50"/>
              <w:rPr>
                <w:sz w:val="18"/>
              </w:rPr>
            </w:pPr>
            <w:r>
              <w:rPr>
                <w:color w:val="231F20"/>
                <w:spacing w:val="-5"/>
                <w:sz w:val="18"/>
              </w:rPr>
              <w:t>GE</w:t>
            </w:r>
          </w:p>
        </w:tc>
        <w:tc>
          <w:tcPr>
            <w:tcW w:w="2855" w:type="dxa"/>
          </w:tcPr>
          <w:p>
            <w:pPr>
              <w:pStyle w:val="TableParagraph"/>
              <w:spacing w:line="219" w:lineRule="exact" w:before="0"/>
              <w:ind w:left="1063"/>
              <w:rPr>
                <w:sz w:val="18"/>
              </w:rPr>
            </w:pPr>
            <w:r>
              <w:rPr>
                <w:color w:val="231F20"/>
                <w:spacing w:val="-4"/>
                <w:sz w:val="18"/>
              </w:rPr>
              <w:t>Exit</w:t>
            </w:r>
          </w:p>
        </w:tc>
        <w:tc>
          <w:tcPr>
            <w:tcW w:w="1360" w:type="dxa"/>
          </w:tcPr>
          <w:p>
            <w:pPr>
              <w:pStyle w:val="TableParagraph"/>
              <w:spacing w:line="219" w:lineRule="exact" w:before="0"/>
              <w:ind w:left="762"/>
              <w:rPr>
                <w:sz w:val="18"/>
              </w:rPr>
            </w:pPr>
            <w:r>
              <w:rPr>
                <w:color w:val="231F20"/>
                <w:spacing w:val="-2"/>
                <w:sz w:val="18"/>
              </w:rPr>
              <w:t>String</w:t>
            </w:r>
          </w:p>
        </w:tc>
      </w:tr>
      <w:tr>
        <w:trPr>
          <w:trHeight w:val="239" w:hRule="atLeast"/>
        </w:trPr>
        <w:tc>
          <w:tcPr>
            <w:tcW w:w="1541" w:type="dxa"/>
          </w:tcPr>
          <w:p>
            <w:pPr>
              <w:pStyle w:val="TableParagraph"/>
              <w:spacing w:line="219" w:lineRule="exact" w:before="0"/>
              <w:ind w:left="50"/>
              <w:rPr>
                <w:sz w:val="18"/>
              </w:rPr>
            </w:pPr>
            <w:r>
              <w:rPr>
                <w:color w:val="231F20"/>
                <w:spacing w:val="-5"/>
                <w:sz w:val="18"/>
              </w:rPr>
              <w:t>GT</w:t>
            </w:r>
          </w:p>
        </w:tc>
        <w:tc>
          <w:tcPr>
            <w:tcW w:w="2855" w:type="dxa"/>
          </w:tcPr>
          <w:p>
            <w:pPr>
              <w:pStyle w:val="TableParagraph"/>
              <w:spacing w:line="219" w:lineRule="exact" w:before="0"/>
              <w:ind w:left="1063"/>
              <w:rPr>
                <w:sz w:val="18"/>
              </w:rPr>
            </w:pPr>
            <w:r>
              <w:rPr>
                <w:color w:val="231F20"/>
                <w:spacing w:val="-5"/>
                <w:sz w:val="18"/>
              </w:rPr>
              <w:t>For</w:t>
            </w:r>
          </w:p>
        </w:tc>
        <w:tc>
          <w:tcPr>
            <w:tcW w:w="1360" w:type="dxa"/>
          </w:tcPr>
          <w:p>
            <w:pPr>
              <w:pStyle w:val="TableParagraph"/>
              <w:spacing w:line="219" w:lineRule="exact" w:before="0"/>
              <w:ind w:left="762"/>
              <w:rPr>
                <w:sz w:val="18"/>
              </w:rPr>
            </w:pPr>
            <w:r>
              <w:rPr>
                <w:color w:val="231F20"/>
                <w:spacing w:val="-2"/>
                <w:sz w:val="18"/>
              </w:rPr>
              <w:t>While</w:t>
            </w:r>
          </w:p>
        </w:tc>
      </w:tr>
      <w:tr>
        <w:trPr>
          <w:trHeight w:val="228" w:hRule="atLeast"/>
        </w:trPr>
        <w:tc>
          <w:tcPr>
            <w:tcW w:w="1541" w:type="dxa"/>
          </w:tcPr>
          <w:p>
            <w:pPr>
              <w:pStyle w:val="TableParagraph"/>
              <w:spacing w:line="208" w:lineRule="exact" w:before="0"/>
              <w:ind w:left="50"/>
              <w:rPr>
                <w:sz w:val="18"/>
              </w:rPr>
            </w:pPr>
            <w:r>
              <w:rPr>
                <w:color w:val="231F20"/>
                <w:spacing w:val="-5"/>
                <w:sz w:val="18"/>
              </w:rPr>
              <w:t>LE</w:t>
            </w:r>
          </w:p>
        </w:tc>
        <w:tc>
          <w:tcPr>
            <w:tcW w:w="2855" w:type="dxa"/>
          </w:tcPr>
          <w:p>
            <w:pPr>
              <w:pStyle w:val="TableParagraph"/>
              <w:spacing w:line="208" w:lineRule="exact" w:before="0"/>
              <w:ind w:left="1063"/>
              <w:rPr>
                <w:sz w:val="18"/>
              </w:rPr>
            </w:pPr>
            <w:r>
              <w:rPr>
                <w:color w:val="231F20"/>
                <w:spacing w:val="-2"/>
                <w:sz w:val="18"/>
              </w:rPr>
              <w:t>Function</w:t>
            </w:r>
          </w:p>
        </w:tc>
        <w:tc>
          <w:tcPr>
            <w:tcW w:w="1360" w:type="dxa"/>
          </w:tcPr>
          <w:p>
            <w:pPr>
              <w:pStyle w:val="TableParagraph"/>
              <w:spacing w:line="208" w:lineRule="exact" w:before="0"/>
              <w:ind w:left="762"/>
              <w:rPr>
                <w:sz w:val="18"/>
              </w:rPr>
            </w:pPr>
            <w:r>
              <w:rPr>
                <w:color w:val="231F20"/>
                <w:spacing w:val="-5"/>
                <w:sz w:val="18"/>
              </w:rPr>
              <w:t>LT</w:t>
            </w:r>
          </w:p>
        </w:tc>
      </w:tr>
    </w:tbl>
    <w:p>
      <w:pPr>
        <w:pStyle w:val="BodyText"/>
        <w:spacing w:before="68"/>
      </w:pPr>
    </w:p>
    <w:p>
      <w:pPr>
        <w:pStyle w:val="Heading6"/>
        <w:spacing w:before="0"/>
        <w:ind w:left="2232"/>
      </w:pPr>
      <w:r>
        <w:rPr>
          <w:color w:val="231F20"/>
        </w:rPr>
        <w:t>Declarations</w:t>
      </w:r>
      <w:r>
        <w:rPr>
          <w:color w:val="231F20"/>
          <w:spacing w:val="8"/>
        </w:rPr>
        <w:t> </w:t>
      </w:r>
      <w:r>
        <w:rPr>
          <w:color w:val="231F20"/>
        </w:rPr>
        <w:t>and</w:t>
      </w:r>
      <w:r>
        <w:rPr>
          <w:color w:val="231F20"/>
          <w:spacing w:val="8"/>
        </w:rPr>
        <w:t> </w:t>
      </w:r>
      <w:r>
        <w:rPr>
          <w:color w:val="231F20"/>
        </w:rPr>
        <w:t>function</w:t>
      </w:r>
      <w:r>
        <w:rPr>
          <w:color w:val="231F20"/>
          <w:spacing w:val="9"/>
        </w:rPr>
        <w:t> </w:t>
      </w:r>
      <w:r>
        <w:rPr>
          <w:color w:val="231F20"/>
          <w:spacing w:val="-2"/>
        </w:rPr>
        <w:t>names</w:t>
      </w:r>
    </w:p>
    <w:p>
      <w:pPr>
        <w:pStyle w:val="BodyText"/>
        <w:spacing w:line="213" w:lineRule="auto" w:before="11"/>
        <w:ind w:left="2951" w:right="488"/>
      </w:pPr>
      <w:r>
        <w:rPr>
          <w:color w:val="231F20"/>
        </w:rPr>
        <w:t>Each script program begins with global data declarations, stating the </w:t>
      </w:r>
      <w:r>
        <w:rPr>
          <w:color w:val="231F20"/>
        </w:rPr>
        <w:t>global variables and user-defined functions you will be using. Declarations build</w:t>
      </w:r>
      <w:r>
        <w:rPr>
          <w:color w:val="231F20"/>
          <w:spacing w:val="80"/>
        </w:rPr>
        <w:t> </w:t>
      </w:r>
      <w:r>
        <w:rPr>
          <w:color w:val="231F20"/>
        </w:rPr>
        <w:t>an association between a function and its attributes or values. You do not need</w:t>
      </w:r>
      <w:r>
        <w:rPr>
          <w:color w:val="231F20"/>
          <w:spacing w:val="29"/>
        </w:rPr>
        <w:t> </w:t>
      </w:r>
      <w:r>
        <w:rPr>
          <w:color w:val="231F20"/>
        </w:rPr>
        <w:t>to</w:t>
      </w:r>
      <w:r>
        <w:rPr>
          <w:color w:val="231F20"/>
          <w:spacing w:val="29"/>
        </w:rPr>
        <w:t> </w:t>
      </w:r>
      <w:r>
        <w:rPr>
          <w:color w:val="231F20"/>
        </w:rPr>
        <w:t>declare</w:t>
      </w:r>
      <w:r>
        <w:rPr>
          <w:color w:val="231F20"/>
          <w:spacing w:val="29"/>
        </w:rPr>
        <w:t> </w:t>
      </w:r>
      <w:r>
        <w:rPr>
          <w:color w:val="231F20"/>
        </w:rPr>
        <w:t>any</w:t>
      </w:r>
      <w:r>
        <w:rPr>
          <w:color w:val="231F20"/>
          <w:spacing w:val="29"/>
        </w:rPr>
        <w:t> </w:t>
      </w:r>
      <w:r>
        <w:rPr>
          <w:color w:val="231F20"/>
        </w:rPr>
        <w:t>of</w:t>
      </w:r>
      <w:r>
        <w:rPr>
          <w:color w:val="231F20"/>
          <w:spacing w:val="29"/>
        </w:rPr>
        <w:t> </w:t>
      </w:r>
      <w:r>
        <w:rPr>
          <w:color w:val="231F20"/>
        </w:rPr>
        <w:t>the</w:t>
      </w:r>
      <w:r>
        <w:rPr>
          <w:color w:val="231F20"/>
          <w:spacing w:val="29"/>
        </w:rPr>
        <w:t> </w:t>
      </w:r>
      <w:r>
        <w:rPr>
          <w:color w:val="231F20"/>
        </w:rPr>
        <w:t>built-in</w:t>
      </w:r>
      <w:r>
        <w:rPr>
          <w:color w:val="231F20"/>
          <w:spacing w:val="29"/>
        </w:rPr>
        <w:t> </w:t>
      </w:r>
      <w:r>
        <w:rPr>
          <w:color w:val="231F20"/>
        </w:rPr>
        <w:t>functions,</w:t>
      </w:r>
      <w:r>
        <w:rPr>
          <w:color w:val="231F20"/>
          <w:spacing w:val="29"/>
        </w:rPr>
        <w:t> </w:t>
      </w:r>
      <w:r>
        <w:rPr>
          <w:color w:val="231F20"/>
        </w:rPr>
        <w:t>because</w:t>
      </w:r>
      <w:r>
        <w:rPr>
          <w:color w:val="231F20"/>
          <w:spacing w:val="29"/>
        </w:rPr>
        <w:t> </w:t>
      </w:r>
      <w:r>
        <w:rPr>
          <w:color w:val="231F20"/>
        </w:rPr>
        <w:t>the</w:t>
      </w:r>
      <w:r>
        <w:rPr>
          <w:color w:val="231F20"/>
          <w:spacing w:val="29"/>
        </w:rPr>
        <w:t> </w:t>
      </w:r>
      <w:r>
        <w:rPr>
          <w:color w:val="231F20"/>
        </w:rPr>
        <w:t>interpreter already recognizes these function names.</w:t>
      </w:r>
    </w:p>
    <w:p>
      <w:pPr>
        <w:pStyle w:val="Heading6"/>
        <w:spacing w:before="115"/>
        <w:ind w:left="2232"/>
      </w:pPr>
      <w:r>
        <w:rPr>
          <w:color w:val="231F20"/>
          <w:spacing w:val="-2"/>
        </w:rPr>
        <w:t>Identifiers</w:t>
      </w:r>
    </w:p>
    <w:p>
      <w:pPr>
        <w:pStyle w:val="BodyText"/>
        <w:spacing w:line="213" w:lineRule="auto" w:before="12"/>
        <w:ind w:left="2951"/>
      </w:pPr>
      <w:r>
        <w:rPr>
          <w:color w:val="231F20"/>
        </w:rPr>
        <w:t>Identifiers are the names that you create to denote constants, variables, </w:t>
      </w:r>
      <w:r>
        <w:rPr>
          <w:color w:val="231F20"/>
        </w:rPr>
        <w:t>and functions. Identifiers have the following characteristics:</w:t>
      </w:r>
    </w:p>
    <w:p>
      <w:pPr>
        <w:pStyle w:val="BodyText"/>
        <w:spacing w:before="35"/>
        <w:ind w:left="2951"/>
      </w:pPr>
      <w:r>
        <w:rPr>
          <w:rFonts w:ascii="Futura MdCn BT"/>
          <w:color w:val="231F20"/>
        </w:rPr>
        <w:t>v</w:t>
      </w:r>
      <w:r>
        <w:rPr>
          <w:rFonts w:ascii="Futura MdCn BT"/>
          <w:color w:val="231F20"/>
          <w:spacing w:val="32"/>
        </w:rPr>
        <w:t>  </w:t>
      </w:r>
      <w:r>
        <w:rPr>
          <w:color w:val="231F20"/>
        </w:rPr>
        <w:t>an</w:t>
      </w:r>
      <w:r>
        <w:rPr>
          <w:color w:val="231F20"/>
          <w:spacing w:val="15"/>
        </w:rPr>
        <w:t> </w:t>
      </w:r>
      <w:r>
        <w:rPr>
          <w:color w:val="231F20"/>
        </w:rPr>
        <w:t>identifier</w:t>
      </w:r>
      <w:r>
        <w:rPr>
          <w:color w:val="231F20"/>
          <w:spacing w:val="13"/>
        </w:rPr>
        <w:t> </w:t>
      </w:r>
      <w:r>
        <w:rPr>
          <w:color w:val="231F20"/>
        </w:rPr>
        <w:t>can</w:t>
      </w:r>
      <w:r>
        <w:rPr>
          <w:color w:val="231F20"/>
          <w:spacing w:val="13"/>
        </w:rPr>
        <w:t> </w:t>
      </w:r>
      <w:r>
        <w:rPr>
          <w:color w:val="231F20"/>
        </w:rPr>
        <w:t>be</w:t>
      </w:r>
      <w:r>
        <w:rPr>
          <w:color w:val="231F20"/>
          <w:spacing w:val="14"/>
        </w:rPr>
        <w:t> </w:t>
      </w:r>
      <w:r>
        <w:rPr>
          <w:color w:val="231F20"/>
        </w:rPr>
        <w:t>any</w:t>
      </w:r>
      <w:r>
        <w:rPr>
          <w:color w:val="231F20"/>
          <w:spacing w:val="13"/>
        </w:rPr>
        <w:t> </w:t>
      </w:r>
      <w:r>
        <w:rPr>
          <w:color w:val="231F20"/>
          <w:spacing w:val="-2"/>
        </w:rPr>
        <w:t>length</w:t>
      </w:r>
    </w:p>
    <w:p>
      <w:pPr>
        <w:pStyle w:val="BodyText"/>
        <w:spacing w:line="213" w:lineRule="auto" w:before="53"/>
        <w:ind w:left="3167" w:right="545" w:hanging="216"/>
      </w:pPr>
      <w:r>
        <w:rPr>
          <w:rFonts w:ascii="Futura MdCn BT"/>
          <w:color w:val="231F20"/>
        </w:rPr>
        <w:t>v</w:t>
      </w:r>
      <w:r>
        <w:rPr>
          <w:rFonts w:ascii="Futura MdCn BT"/>
          <w:color w:val="231F20"/>
          <w:spacing w:val="80"/>
        </w:rPr>
        <w:t> </w:t>
      </w:r>
      <w:r>
        <w:rPr>
          <w:color w:val="231F20"/>
        </w:rPr>
        <w:t>the first character must be alphabetic (a-z, A-Z), numeric (0-9), or </w:t>
      </w:r>
      <w:r>
        <w:rPr>
          <w:color w:val="231F20"/>
        </w:rPr>
        <w:t>an</w:t>
      </w:r>
      <w:r>
        <w:rPr>
          <w:color w:val="231F20"/>
        </w:rPr>
        <w:t> underscore (_)</w:t>
      </w:r>
    </w:p>
    <w:p>
      <w:pPr>
        <w:pStyle w:val="BodyText"/>
        <w:spacing w:line="213" w:lineRule="auto" w:before="58"/>
        <w:ind w:left="3167" w:hanging="216"/>
      </w:pPr>
      <w:r>
        <w:rPr>
          <w:rFonts w:ascii="Futura MdCn BT"/>
          <w:color w:val="231F20"/>
        </w:rPr>
        <w:t>v</w:t>
      </w:r>
      <w:r>
        <w:rPr>
          <w:rFonts w:ascii="Futura MdCn BT"/>
          <w:color w:val="231F20"/>
          <w:spacing w:val="80"/>
        </w:rPr>
        <w:t> </w:t>
      </w:r>
      <w:r>
        <w:rPr>
          <w:color w:val="231F20"/>
        </w:rPr>
        <w:t>the remaining characters can be alphabetic (a-z, A-Z), numeric (0-9), </w:t>
      </w:r>
      <w:r>
        <w:rPr>
          <w:color w:val="231F20"/>
        </w:rPr>
        <w:t>or</w:t>
      </w:r>
      <w:r>
        <w:rPr>
          <w:color w:val="231F20"/>
        </w:rPr>
        <w:t> underscores (_)</w:t>
      </w:r>
    </w:p>
    <w:p>
      <w:pPr>
        <w:spacing w:after="0" w:line="213" w:lineRule="auto"/>
        <w:sectPr>
          <w:pgSz w:w="12240" w:h="15840"/>
          <w:pgMar w:header="0" w:footer="736" w:top="1180" w:bottom="920" w:left="1000" w:right="1060"/>
        </w:sectPr>
      </w:pPr>
    </w:p>
    <w:p>
      <w:pPr>
        <w:pStyle w:val="BodyText"/>
        <w:spacing w:line="213" w:lineRule="auto" w:before="85"/>
        <w:ind w:left="3406" w:right="274" w:hanging="216"/>
      </w:pPr>
      <w:bookmarkStart w:name="_bookmark131" w:id="291"/>
      <w:bookmarkEnd w:id="291"/>
      <w:r>
        <w:rPr/>
      </w:r>
      <w:r>
        <w:rPr>
          <w:rFonts w:ascii="Futura MdCn BT"/>
          <w:color w:val="231F20"/>
        </w:rPr>
        <w:t>v</w:t>
      </w:r>
      <w:r>
        <w:rPr>
          <w:rFonts w:ascii="Futura MdCn BT"/>
          <w:color w:val="231F20"/>
          <w:spacing w:val="80"/>
        </w:rPr>
        <w:t> </w:t>
      </w:r>
      <w:r>
        <w:rPr>
          <w:color w:val="231F20"/>
        </w:rPr>
        <w:t>each identifier must be unique. Identifiers cannot be one of the </w:t>
      </w:r>
      <w:r>
        <w:rPr>
          <w:color w:val="231F20"/>
        </w:rPr>
        <w:t>reserved</w:t>
      </w:r>
      <w:r>
        <w:rPr>
          <w:color w:val="231F20"/>
        </w:rPr>
        <w:t> </w:t>
      </w:r>
      <w:r>
        <w:rPr>
          <w:color w:val="231F20"/>
          <w:spacing w:val="-2"/>
        </w:rPr>
        <w:t>words.</w:t>
      </w:r>
    </w:p>
    <w:p>
      <w:pPr>
        <w:pStyle w:val="Heading6"/>
      </w:pPr>
      <w:r>
        <w:rPr>
          <w:color w:val="231F20"/>
          <w:spacing w:val="-2"/>
        </w:rPr>
        <w:t>Punctuation</w:t>
      </w:r>
    </w:p>
    <w:p>
      <w:pPr>
        <w:pStyle w:val="BodyText"/>
        <w:spacing w:line="258" w:lineRule="exact"/>
        <w:ind w:left="3190"/>
      </w:pPr>
      <w:r>
        <w:rPr>
          <w:color w:val="231F20"/>
        </w:rPr>
        <w:t>The</w:t>
      </w:r>
      <w:r>
        <w:rPr>
          <w:color w:val="231F20"/>
          <w:spacing w:val="10"/>
        </w:rPr>
        <w:t> </w:t>
      </w:r>
      <w:r>
        <w:rPr>
          <w:color w:val="231F20"/>
        </w:rPr>
        <w:t>following</w:t>
      </w:r>
      <w:r>
        <w:rPr>
          <w:color w:val="231F20"/>
          <w:spacing w:val="11"/>
        </w:rPr>
        <w:t> </w:t>
      </w:r>
      <w:r>
        <w:rPr>
          <w:color w:val="231F20"/>
        </w:rPr>
        <w:t>punctuation</w:t>
      </w:r>
      <w:r>
        <w:rPr>
          <w:color w:val="231F20"/>
          <w:spacing w:val="11"/>
        </w:rPr>
        <w:t> </w:t>
      </w:r>
      <w:r>
        <w:rPr>
          <w:color w:val="231F20"/>
        </w:rPr>
        <w:t>rules</w:t>
      </w:r>
      <w:r>
        <w:rPr>
          <w:color w:val="231F20"/>
          <w:spacing w:val="10"/>
        </w:rPr>
        <w:t> </w:t>
      </w:r>
      <w:r>
        <w:rPr>
          <w:color w:val="231F20"/>
        </w:rPr>
        <w:t>apply</w:t>
      </w:r>
      <w:r>
        <w:rPr>
          <w:color w:val="231F20"/>
          <w:spacing w:val="11"/>
        </w:rPr>
        <w:t> </w:t>
      </w:r>
      <w:r>
        <w:rPr>
          <w:color w:val="231F20"/>
        </w:rPr>
        <w:t>to</w:t>
      </w:r>
      <w:r>
        <w:rPr>
          <w:color w:val="231F20"/>
          <w:spacing w:val="11"/>
        </w:rPr>
        <w:t> </w:t>
      </w:r>
      <w:r>
        <w:rPr>
          <w:color w:val="231F20"/>
        </w:rPr>
        <w:t>a</w:t>
      </w:r>
      <w:r>
        <w:rPr>
          <w:color w:val="231F20"/>
          <w:spacing w:val="11"/>
        </w:rPr>
        <w:t> </w:t>
      </w:r>
      <w:r>
        <w:rPr>
          <w:color w:val="231F20"/>
          <w:spacing w:val="-2"/>
        </w:rPr>
        <w:t>section</w:t>
      </w:r>
    </w:p>
    <w:p>
      <w:pPr>
        <w:pStyle w:val="BodyText"/>
        <w:tabs>
          <w:tab w:pos="3473" w:val="left" w:leader="none"/>
        </w:tabs>
        <w:spacing w:before="29"/>
        <w:ind w:left="3190"/>
      </w:pPr>
      <w:r>
        <w:rPr>
          <w:rFonts w:ascii="Futura MdCn BT" w:hAnsi="Futura MdCn BT"/>
          <w:color w:val="231F20"/>
          <w:spacing w:val="-10"/>
        </w:rPr>
        <w:t>v</w:t>
      </w:r>
      <w:r>
        <w:rPr>
          <w:rFonts w:ascii="Futura MdCn BT" w:hAnsi="Futura MdCn BT"/>
          <w:color w:val="231F20"/>
        </w:rPr>
        <w:tab/>
      </w:r>
      <w:r>
        <w:rPr>
          <w:color w:val="231F20"/>
        </w:rPr>
        <w:t>Statements</w:t>
      </w:r>
      <w:r>
        <w:rPr>
          <w:color w:val="231F20"/>
          <w:spacing w:val="11"/>
        </w:rPr>
        <w:t> </w:t>
      </w:r>
      <w:r>
        <w:rPr>
          <w:color w:val="231F20"/>
        </w:rPr>
        <w:t>end</w:t>
      </w:r>
      <w:r>
        <w:rPr>
          <w:color w:val="231F20"/>
          <w:spacing w:val="11"/>
        </w:rPr>
        <w:t> </w:t>
      </w:r>
      <w:r>
        <w:rPr>
          <w:color w:val="231F20"/>
        </w:rPr>
        <w:t>with</w:t>
      </w:r>
      <w:r>
        <w:rPr>
          <w:color w:val="231F20"/>
          <w:spacing w:val="11"/>
        </w:rPr>
        <w:t> </w:t>
      </w:r>
      <w:r>
        <w:rPr>
          <w:color w:val="231F20"/>
        </w:rPr>
        <w:t>a</w:t>
      </w:r>
      <w:r>
        <w:rPr>
          <w:color w:val="231F20"/>
          <w:spacing w:val="11"/>
        </w:rPr>
        <w:t> </w:t>
      </w:r>
      <w:r>
        <w:rPr>
          <w:color w:val="231F20"/>
        </w:rPr>
        <w:t>semi-colon</w:t>
      </w:r>
      <w:r>
        <w:rPr>
          <w:color w:val="231F20"/>
          <w:spacing w:val="12"/>
        </w:rPr>
        <w:t> </w:t>
      </w:r>
      <w:r>
        <w:rPr>
          <w:color w:val="231F20"/>
        </w:rPr>
        <w:t>–</w:t>
      </w:r>
      <w:r>
        <w:rPr>
          <w:color w:val="231F20"/>
          <w:spacing w:val="11"/>
        </w:rPr>
        <w:t> </w:t>
      </w:r>
      <w:r>
        <w:rPr>
          <w:color w:val="231F20"/>
          <w:spacing w:val="-10"/>
        </w:rPr>
        <w:t>;</w:t>
      </w:r>
    </w:p>
    <w:p>
      <w:pPr>
        <w:pStyle w:val="BodyText"/>
        <w:tabs>
          <w:tab w:pos="3473" w:val="left" w:leader="none"/>
        </w:tabs>
        <w:spacing w:before="30"/>
        <w:ind w:left="3190"/>
      </w:pPr>
      <w:r>
        <w:rPr>
          <w:rFonts w:ascii="Futura MdCn BT" w:hAnsi="Futura MdCn BT"/>
          <w:color w:val="231F20"/>
          <w:spacing w:val="-10"/>
        </w:rPr>
        <w:t>v</w:t>
      </w:r>
      <w:r>
        <w:rPr>
          <w:rFonts w:ascii="Futura MdCn BT" w:hAnsi="Futura MdCn BT"/>
          <w:color w:val="231F20"/>
        </w:rPr>
        <w:tab/>
      </w:r>
      <w:r>
        <w:rPr>
          <w:color w:val="231F20"/>
        </w:rPr>
        <w:t>Parameter</w:t>
      </w:r>
      <w:r>
        <w:rPr>
          <w:color w:val="231F20"/>
          <w:spacing w:val="7"/>
        </w:rPr>
        <w:t> </w:t>
      </w:r>
      <w:r>
        <w:rPr>
          <w:color w:val="231F20"/>
        </w:rPr>
        <w:t>lists</w:t>
      </w:r>
      <w:r>
        <w:rPr>
          <w:color w:val="231F20"/>
          <w:spacing w:val="10"/>
        </w:rPr>
        <w:t> </w:t>
      </w:r>
      <w:r>
        <w:rPr>
          <w:color w:val="231F20"/>
        </w:rPr>
        <w:t>are</w:t>
      </w:r>
      <w:r>
        <w:rPr>
          <w:color w:val="231F20"/>
          <w:spacing w:val="10"/>
        </w:rPr>
        <w:t> </w:t>
      </w:r>
      <w:r>
        <w:rPr>
          <w:color w:val="231F20"/>
        </w:rPr>
        <w:t>enclosed</w:t>
      </w:r>
      <w:r>
        <w:rPr>
          <w:color w:val="231F20"/>
          <w:spacing w:val="9"/>
        </w:rPr>
        <w:t> </w:t>
      </w:r>
      <w:r>
        <w:rPr>
          <w:color w:val="231F20"/>
        </w:rPr>
        <w:t>in</w:t>
      </w:r>
      <w:r>
        <w:rPr>
          <w:color w:val="231F20"/>
          <w:spacing w:val="10"/>
        </w:rPr>
        <w:t> </w:t>
      </w:r>
      <w:r>
        <w:rPr>
          <w:color w:val="231F20"/>
        </w:rPr>
        <w:t>parenthesis</w:t>
      </w:r>
      <w:r>
        <w:rPr>
          <w:color w:val="231F20"/>
          <w:spacing w:val="10"/>
        </w:rPr>
        <w:t> </w:t>
      </w:r>
      <w:r>
        <w:rPr>
          <w:color w:val="231F20"/>
        </w:rPr>
        <w:t>–</w:t>
      </w:r>
      <w:r>
        <w:rPr>
          <w:color w:val="231F20"/>
          <w:spacing w:val="10"/>
        </w:rPr>
        <w:t> </w:t>
      </w:r>
      <w:r>
        <w:rPr>
          <w:color w:val="231F20"/>
          <w:spacing w:val="-5"/>
        </w:rPr>
        <w:t>()</w:t>
      </w:r>
    </w:p>
    <w:p>
      <w:pPr>
        <w:pStyle w:val="BodyText"/>
        <w:tabs>
          <w:tab w:pos="3473" w:val="left" w:leader="none"/>
        </w:tabs>
        <w:spacing w:before="29"/>
        <w:ind w:left="3190"/>
      </w:pPr>
      <w:r>
        <w:rPr>
          <w:rFonts w:ascii="Futura MdCn BT" w:hAnsi="Futura MdCn BT"/>
          <w:color w:val="231F20"/>
          <w:spacing w:val="-10"/>
        </w:rPr>
        <w:t>v</w:t>
      </w:r>
      <w:r>
        <w:rPr>
          <w:rFonts w:ascii="Futura MdCn BT" w:hAnsi="Futura MdCn BT"/>
          <w:color w:val="231F20"/>
        </w:rPr>
        <w:tab/>
      </w:r>
      <w:r>
        <w:rPr>
          <w:color w:val="231F20"/>
        </w:rPr>
        <w:t>Parameters</w:t>
      </w:r>
      <w:r>
        <w:rPr>
          <w:color w:val="231F20"/>
          <w:spacing w:val="10"/>
        </w:rPr>
        <w:t> </w:t>
      </w:r>
      <w:r>
        <w:rPr>
          <w:color w:val="231F20"/>
        </w:rPr>
        <w:t>are</w:t>
      </w:r>
      <w:r>
        <w:rPr>
          <w:color w:val="231F20"/>
          <w:spacing w:val="10"/>
        </w:rPr>
        <w:t> </w:t>
      </w:r>
      <w:r>
        <w:rPr>
          <w:color w:val="231F20"/>
        </w:rPr>
        <w:t>separated</w:t>
      </w:r>
      <w:r>
        <w:rPr>
          <w:color w:val="231F20"/>
          <w:spacing w:val="10"/>
        </w:rPr>
        <w:t> </w:t>
      </w:r>
      <w:r>
        <w:rPr>
          <w:color w:val="231F20"/>
        </w:rPr>
        <w:t>by</w:t>
      </w:r>
      <w:r>
        <w:rPr>
          <w:color w:val="231F20"/>
          <w:spacing w:val="10"/>
        </w:rPr>
        <w:t> </w:t>
      </w:r>
      <w:r>
        <w:rPr>
          <w:color w:val="231F20"/>
        </w:rPr>
        <w:t>commas</w:t>
      </w:r>
      <w:r>
        <w:rPr>
          <w:color w:val="231F20"/>
          <w:spacing w:val="10"/>
        </w:rPr>
        <w:t> </w:t>
      </w:r>
      <w:r>
        <w:rPr>
          <w:color w:val="231F20"/>
        </w:rPr>
        <w:t>–</w:t>
      </w:r>
      <w:r>
        <w:rPr>
          <w:color w:val="231F20"/>
          <w:spacing w:val="10"/>
        </w:rPr>
        <w:t> </w:t>
      </w:r>
      <w:r>
        <w:rPr>
          <w:color w:val="231F20"/>
          <w:spacing w:val="-10"/>
        </w:rPr>
        <w:t>,</w:t>
      </w:r>
    </w:p>
    <w:p>
      <w:pPr>
        <w:pStyle w:val="BodyText"/>
        <w:tabs>
          <w:tab w:pos="3473" w:val="left" w:leader="none"/>
        </w:tabs>
        <w:spacing w:before="30"/>
        <w:ind w:left="3190"/>
      </w:pPr>
      <w:r>
        <w:rPr>
          <w:rFonts w:ascii="Futura MdCn BT" w:hAnsi="Futura MdCn BT"/>
          <w:color w:val="231F20"/>
          <w:spacing w:val="-10"/>
        </w:rPr>
        <w:t>v</w:t>
      </w:r>
      <w:r>
        <w:rPr>
          <w:rFonts w:ascii="Futura MdCn BT" w:hAnsi="Futura MdCn BT"/>
          <w:color w:val="231F20"/>
        </w:rPr>
        <w:tab/>
      </w:r>
      <w:r>
        <w:rPr>
          <w:color w:val="231F20"/>
        </w:rPr>
        <w:t>Statement</w:t>
      </w:r>
      <w:r>
        <w:rPr>
          <w:color w:val="231F20"/>
          <w:spacing w:val="10"/>
        </w:rPr>
        <w:t> </w:t>
      </w:r>
      <w:r>
        <w:rPr>
          <w:color w:val="231F20"/>
        </w:rPr>
        <w:t>blocks</w:t>
      </w:r>
      <w:r>
        <w:rPr>
          <w:color w:val="231F20"/>
          <w:spacing w:val="11"/>
        </w:rPr>
        <w:t> </w:t>
      </w:r>
      <w:r>
        <w:rPr>
          <w:color w:val="231F20"/>
        </w:rPr>
        <w:t>are</w:t>
      </w:r>
      <w:r>
        <w:rPr>
          <w:color w:val="231F20"/>
          <w:spacing w:val="11"/>
        </w:rPr>
        <w:t> </w:t>
      </w:r>
      <w:r>
        <w:rPr>
          <w:color w:val="231F20"/>
        </w:rPr>
        <w:t>enclosed</w:t>
      </w:r>
      <w:r>
        <w:rPr>
          <w:color w:val="231F20"/>
          <w:spacing w:val="10"/>
        </w:rPr>
        <w:t> </w:t>
      </w:r>
      <w:r>
        <w:rPr>
          <w:color w:val="231F20"/>
        </w:rPr>
        <w:t>in</w:t>
      </w:r>
      <w:r>
        <w:rPr>
          <w:color w:val="231F20"/>
          <w:spacing w:val="11"/>
        </w:rPr>
        <w:t> </w:t>
      </w:r>
      <w:r>
        <w:rPr>
          <w:color w:val="231F20"/>
        </w:rPr>
        <w:t>braces</w:t>
      </w:r>
      <w:r>
        <w:rPr>
          <w:color w:val="231F20"/>
          <w:spacing w:val="11"/>
        </w:rPr>
        <w:t> </w:t>
      </w:r>
      <w:r>
        <w:rPr>
          <w:color w:val="231F20"/>
        </w:rPr>
        <w:t>–</w:t>
      </w:r>
      <w:r>
        <w:rPr>
          <w:color w:val="231F20"/>
          <w:spacing w:val="10"/>
        </w:rPr>
        <w:t> </w:t>
      </w:r>
      <w:r>
        <w:rPr>
          <w:color w:val="231F20"/>
          <w:spacing w:val="-5"/>
        </w:rPr>
        <w:t>{}</w:t>
      </w:r>
    </w:p>
    <w:p>
      <w:pPr>
        <w:pStyle w:val="Heading6"/>
        <w:spacing w:before="111"/>
      </w:pPr>
      <w:r>
        <w:rPr>
          <w:color w:val="231F20"/>
        </w:rPr>
        <w:t>Embedded</w:t>
      </w:r>
      <w:r>
        <w:rPr>
          <w:color w:val="231F20"/>
          <w:spacing w:val="7"/>
        </w:rPr>
        <w:t> </w:t>
      </w:r>
      <w:r>
        <w:rPr>
          <w:color w:val="231F20"/>
        </w:rPr>
        <w:t>quoted</w:t>
      </w:r>
      <w:r>
        <w:rPr>
          <w:color w:val="231F20"/>
          <w:spacing w:val="8"/>
        </w:rPr>
        <w:t> </w:t>
      </w:r>
      <w:r>
        <w:rPr>
          <w:color w:val="231F20"/>
          <w:spacing w:val="-2"/>
        </w:rPr>
        <w:t>strings</w:t>
      </w:r>
    </w:p>
    <w:p>
      <w:pPr>
        <w:pStyle w:val="BodyText"/>
        <w:spacing w:line="213" w:lineRule="auto" w:before="11"/>
        <w:ind w:left="3190" w:right="202"/>
      </w:pPr>
      <w:r>
        <w:rPr>
          <w:color w:val="231F20"/>
        </w:rPr>
        <w:t>String literals are enclosed in double quotation marks or single quotes. </w:t>
      </w:r>
      <w:r>
        <w:rPr>
          <w:color w:val="231F20"/>
        </w:rPr>
        <w:t>You can</w:t>
      </w:r>
      <w:r>
        <w:rPr>
          <w:color w:val="231F20"/>
          <w:spacing w:val="27"/>
        </w:rPr>
        <w:t> </w:t>
      </w:r>
      <w:r>
        <w:rPr>
          <w:color w:val="231F20"/>
        </w:rPr>
        <w:t>insert</w:t>
      </w:r>
      <w:r>
        <w:rPr>
          <w:color w:val="231F20"/>
          <w:spacing w:val="27"/>
        </w:rPr>
        <w:t> </w:t>
      </w:r>
      <w:r>
        <w:rPr>
          <w:color w:val="231F20"/>
        </w:rPr>
        <w:t>double</w:t>
      </w:r>
      <w:r>
        <w:rPr>
          <w:color w:val="231F20"/>
          <w:spacing w:val="27"/>
        </w:rPr>
        <w:t> </w:t>
      </w:r>
      <w:r>
        <w:rPr>
          <w:color w:val="231F20"/>
        </w:rPr>
        <w:t>quotation</w:t>
      </w:r>
      <w:r>
        <w:rPr>
          <w:color w:val="231F20"/>
          <w:spacing w:val="27"/>
        </w:rPr>
        <w:t> </w:t>
      </w:r>
      <w:r>
        <w:rPr>
          <w:color w:val="231F20"/>
        </w:rPr>
        <w:t>marks</w:t>
      </w:r>
      <w:r>
        <w:rPr>
          <w:color w:val="231F20"/>
          <w:spacing w:val="27"/>
        </w:rPr>
        <w:t> </w:t>
      </w:r>
      <w:r>
        <w:rPr>
          <w:color w:val="231F20"/>
        </w:rPr>
        <w:t>as</w:t>
      </w:r>
      <w:r>
        <w:rPr>
          <w:color w:val="231F20"/>
          <w:spacing w:val="27"/>
        </w:rPr>
        <w:t> </w:t>
      </w:r>
      <w:r>
        <w:rPr>
          <w:color w:val="231F20"/>
        </w:rPr>
        <w:t>part</w:t>
      </w:r>
      <w:r>
        <w:rPr>
          <w:color w:val="231F20"/>
          <w:spacing w:val="27"/>
        </w:rPr>
        <w:t> </w:t>
      </w:r>
      <w:r>
        <w:rPr>
          <w:color w:val="231F20"/>
        </w:rPr>
        <w:t>of</w:t>
      </w:r>
      <w:r>
        <w:rPr>
          <w:color w:val="231F20"/>
          <w:spacing w:val="27"/>
        </w:rPr>
        <w:t> </w:t>
      </w:r>
      <w:r>
        <w:rPr>
          <w:color w:val="231F20"/>
        </w:rPr>
        <w:t>a</w:t>
      </w:r>
      <w:r>
        <w:rPr>
          <w:color w:val="231F20"/>
          <w:spacing w:val="27"/>
        </w:rPr>
        <w:t> </w:t>
      </w:r>
      <w:r>
        <w:rPr>
          <w:color w:val="231F20"/>
        </w:rPr>
        <w:t>string</w:t>
      </w:r>
      <w:r>
        <w:rPr>
          <w:color w:val="231F20"/>
          <w:spacing w:val="27"/>
        </w:rPr>
        <w:t> </w:t>
      </w:r>
      <w:r>
        <w:rPr>
          <w:color w:val="231F20"/>
        </w:rPr>
        <w:t>literal</w:t>
      </w:r>
      <w:r>
        <w:rPr>
          <w:color w:val="231F20"/>
          <w:spacing w:val="27"/>
        </w:rPr>
        <w:t> </w:t>
      </w:r>
      <w:r>
        <w:rPr>
          <w:color w:val="231F20"/>
        </w:rPr>
        <w:t>by</w:t>
      </w:r>
      <w:r>
        <w:rPr>
          <w:color w:val="231F20"/>
          <w:spacing w:val="27"/>
        </w:rPr>
        <w:t> </w:t>
      </w:r>
      <w:r>
        <w:rPr>
          <w:color w:val="231F20"/>
        </w:rPr>
        <w:t>preceding the</w:t>
      </w:r>
      <w:r>
        <w:rPr>
          <w:color w:val="231F20"/>
          <w:spacing w:val="32"/>
        </w:rPr>
        <w:t> </w:t>
      </w:r>
      <w:r>
        <w:rPr>
          <w:color w:val="231F20"/>
        </w:rPr>
        <w:t>quote</w:t>
      </w:r>
      <w:r>
        <w:rPr>
          <w:color w:val="231F20"/>
          <w:spacing w:val="32"/>
        </w:rPr>
        <w:t> </w:t>
      </w:r>
      <w:r>
        <w:rPr>
          <w:color w:val="231F20"/>
        </w:rPr>
        <w:t>with</w:t>
      </w:r>
      <w:r>
        <w:rPr>
          <w:color w:val="231F20"/>
          <w:spacing w:val="32"/>
        </w:rPr>
        <w:t> </w:t>
      </w:r>
      <w:r>
        <w:rPr>
          <w:color w:val="231F20"/>
        </w:rPr>
        <w:t>the</w:t>
      </w:r>
      <w:r>
        <w:rPr>
          <w:color w:val="231F20"/>
          <w:spacing w:val="32"/>
        </w:rPr>
        <w:t> </w:t>
      </w:r>
      <w:r>
        <w:rPr>
          <w:color w:val="231F20"/>
        </w:rPr>
        <w:t>escape</w:t>
      </w:r>
      <w:r>
        <w:rPr>
          <w:color w:val="231F20"/>
          <w:spacing w:val="32"/>
        </w:rPr>
        <w:t> </w:t>
      </w:r>
      <w:r>
        <w:rPr>
          <w:color w:val="231F20"/>
        </w:rPr>
        <w:t>character</w:t>
      </w:r>
      <w:r>
        <w:rPr>
          <w:color w:val="231F20"/>
          <w:spacing w:val="32"/>
        </w:rPr>
        <w:t> </w:t>
      </w:r>
      <w:r>
        <w:rPr>
          <w:color w:val="231F20"/>
        </w:rPr>
        <w:t>/". Alternatively,</w:t>
      </w:r>
      <w:r>
        <w:rPr>
          <w:color w:val="231F20"/>
          <w:spacing w:val="32"/>
        </w:rPr>
        <w:t> </w:t>
      </w:r>
      <w:r>
        <w:rPr>
          <w:color w:val="231F20"/>
        </w:rPr>
        <w:t>you</w:t>
      </w:r>
      <w:r>
        <w:rPr>
          <w:color w:val="231F20"/>
          <w:spacing w:val="32"/>
        </w:rPr>
        <w:t> </w:t>
      </w:r>
      <w:r>
        <w:rPr>
          <w:color w:val="231F20"/>
        </w:rPr>
        <w:t>can</w:t>
      </w:r>
      <w:r>
        <w:rPr>
          <w:color w:val="231F20"/>
          <w:spacing w:val="32"/>
        </w:rPr>
        <w:t> </w:t>
      </w:r>
      <w:r>
        <w:rPr>
          <w:color w:val="231F20"/>
        </w:rPr>
        <w:t>begin</w:t>
      </w:r>
      <w:r>
        <w:rPr>
          <w:color w:val="231F20"/>
          <w:spacing w:val="32"/>
        </w:rPr>
        <w:t> </w:t>
      </w:r>
      <w:r>
        <w:rPr>
          <w:color w:val="231F20"/>
        </w:rPr>
        <w:t>and end the string literal with the single quote character '. To imbed a single quote use the /' escape sequence or enclose the string literal within double</w:t>
      </w:r>
      <w:r>
        <w:rPr>
          <w:color w:val="231F20"/>
          <w:spacing w:val="40"/>
          <w:w w:val="110"/>
        </w:rPr>
        <w:t> </w:t>
      </w:r>
      <w:r>
        <w:rPr>
          <w:color w:val="231F20"/>
          <w:w w:val="110"/>
        </w:rPr>
        <w:t>quotation</w:t>
      </w:r>
      <w:r>
        <w:rPr>
          <w:color w:val="231F20"/>
          <w:spacing w:val="-13"/>
          <w:w w:val="110"/>
        </w:rPr>
        <w:t> </w:t>
      </w:r>
      <w:r>
        <w:rPr>
          <w:color w:val="231F20"/>
          <w:w w:val="110"/>
        </w:rPr>
        <w:t>marks.</w:t>
      </w:r>
      <w:r>
        <w:rPr>
          <w:color w:val="231F20"/>
          <w:spacing w:val="-12"/>
          <w:w w:val="110"/>
        </w:rPr>
        <w:t> </w:t>
      </w:r>
      <w:r>
        <w:rPr>
          <w:color w:val="231F20"/>
          <w:w w:val="110"/>
        </w:rPr>
        <w:t>Example:</w:t>
      </w:r>
    </w:p>
    <w:p>
      <w:pPr>
        <w:spacing w:line="203" w:lineRule="exact" w:before="59"/>
        <w:ind w:left="3190" w:right="0" w:firstLine="0"/>
        <w:jc w:val="left"/>
        <w:rPr>
          <w:rFonts w:ascii="Arial"/>
          <w:sz w:val="18"/>
        </w:rPr>
      </w:pPr>
      <w:r>
        <w:rPr>
          <w:rFonts w:ascii="Arial"/>
          <w:color w:val="231F20"/>
          <w:w w:val="150"/>
          <w:sz w:val="18"/>
        </w:rPr>
        <w:t>//</w:t>
      </w:r>
      <w:r>
        <w:rPr>
          <w:rFonts w:ascii="Arial"/>
          <w:color w:val="231F20"/>
          <w:spacing w:val="8"/>
          <w:w w:val="150"/>
          <w:sz w:val="18"/>
        </w:rPr>
        <w:t> </w:t>
      </w:r>
      <w:r>
        <w:rPr>
          <w:rFonts w:ascii="Arial"/>
          <w:color w:val="231F20"/>
          <w:sz w:val="18"/>
        </w:rPr>
        <w:t>Both</w:t>
      </w:r>
      <w:r>
        <w:rPr>
          <w:rFonts w:ascii="Arial"/>
          <w:color w:val="231F20"/>
          <w:spacing w:val="34"/>
          <w:sz w:val="18"/>
        </w:rPr>
        <w:t> </w:t>
      </w:r>
      <w:r>
        <w:rPr>
          <w:rFonts w:ascii="Arial"/>
          <w:color w:val="231F20"/>
          <w:sz w:val="18"/>
        </w:rPr>
        <w:t>statements</w:t>
      </w:r>
      <w:r>
        <w:rPr>
          <w:rFonts w:ascii="Arial"/>
          <w:color w:val="231F20"/>
          <w:spacing w:val="31"/>
          <w:w w:val="105"/>
          <w:sz w:val="18"/>
        </w:rPr>
        <w:t> </w:t>
      </w:r>
      <w:r>
        <w:rPr>
          <w:rFonts w:ascii="Arial"/>
          <w:color w:val="231F20"/>
          <w:w w:val="105"/>
          <w:sz w:val="18"/>
        </w:rPr>
        <w:t>yield</w:t>
      </w:r>
      <w:r>
        <w:rPr>
          <w:rFonts w:ascii="Arial"/>
          <w:color w:val="231F20"/>
          <w:spacing w:val="31"/>
          <w:w w:val="105"/>
          <w:sz w:val="18"/>
        </w:rPr>
        <w:t> </w:t>
      </w:r>
      <w:r>
        <w:rPr>
          <w:rFonts w:ascii="Arial"/>
          <w:color w:val="231F20"/>
          <w:sz w:val="18"/>
        </w:rPr>
        <w:t>embedded</w:t>
      </w:r>
      <w:r>
        <w:rPr>
          <w:rFonts w:ascii="Arial"/>
          <w:color w:val="231F20"/>
          <w:spacing w:val="33"/>
          <w:sz w:val="18"/>
        </w:rPr>
        <w:t> </w:t>
      </w:r>
      <w:r>
        <w:rPr>
          <w:rFonts w:ascii="Arial"/>
          <w:color w:val="231F20"/>
          <w:sz w:val="18"/>
        </w:rPr>
        <w:t>quotes</w:t>
      </w:r>
      <w:r>
        <w:rPr>
          <w:rFonts w:ascii="Arial"/>
          <w:color w:val="231F20"/>
          <w:spacing w:val="34"/>
          <w:sz w:val="18"/>
        </w:rPr>
        <w:t> </w:t>
      </w:r>
      <w:r>
        <w:rPr>
          <w:rFonts w:ascii="Arial"/>
          <w:color w:val="231F20"/>
          <w:sz w:val="18"/>
        </w:rPr>
        <w:t>quotedStr1</w:t>
      </w:r>
      <w:r>
        <w:rPr>
          <w:rFonts w:ascii="Arial"/>
          <w:color w:val="231F20"/>
          <w:spacing w:val="34"/>
          <w:sz w:val="18"/>
        </w:rPr>
        <w:t> </w:t>
      </w:r>
      <w:r>
        <w:rPr>
          <w:rFonts w:ascii="Arial"/>
          <w:color w:val="231F20"/>
          <w:spacing w:val="-10"/>
          <w:sz w:val="18"/>
        </w:rPr>
        <w:t>=</w:t>
      </w:r>
    </w:p>
    <w:p>
      <w:pPr>
        <w:spacing w:line="203" w:lineRule="exact" w:before="0"/>
        <w:ind w:left="3190" w:right="0" w:firstLine="0"/>
        <w:jc w:val="left"/>
        <w:rPr>
          <w:rFonts w:ascii="Arial" w:hAnsi="Arial"/>
          <w:sz w:val="18"/>
        </w:rPr>
      </w:pPr>
      <w:r>
        <w:rPr>
          <w:rFonts w:ascii="Arial" w:hAnsi="Arial"/>
          <w:color w:val="231F20"/>
          <w:w w:val="105"/>
          <w:sz w:val="18"/>
        </w:rPr>
        <w:t>"The</w:t>
      </w:r>
      <w:r>
        <w:rPr>
          <w:rFonts w:ascii="Arial" w:hAnsi="Arial"/>
          <w:color w:val="231F20"/>
          <w:spacing w:val="28"/>
          <w:w w:val="105"/>
          <w:sz w:val="18"/>
        </w:rPr>
        <w:t> </w:t>
      </w:r>
      <w:r>
        <w:rPr>
          <w:rFonts w:ascii="Arial" w:hAnsi="Arial"/>
          <w:color w:val="231F20"/>
          <w:w w:val="105"/>
          <w:sz w:val="18"/>
        </w:rPr>
        <w:t>job</w:t>
      </w:r>
      <w:r>
        <w:rPr>
          <w:rFonts w:ascii="Arial" w:hAnsi="Arial"/>
          <w:color w:val="231F20"/>
          <w:spacing w:val="29"/>
          <w:w w:val="105"/>
          <w:sz w:val="18"/>
        </w:rPr>
        <w:t> </w:t>
      </w:r>
      <w:r>
        <w:rPr>
          <w:rFonts w:ascii="Arial" w:hAnsi="Arial"/>
          <w:color w:val="231F20"/>
          <w:w w:val="105"/>
          <w:sz w:val="18"/>
        </w:rPr>
        <w:t>/"TSOA/"</w:t>
      </w:r>
      <w:r>
        <w:rPr>
          <w:rFonts w:ascii="Arial" w:hAnsi="Arial"/>
          <w:color w:val="231F20"/>
          <w:spacing w:val="27"/>
          <w:w w:val="110"/>
          <w:sz w:val="18"/>
        </w:rPr>
        <w:t> </w:t>
      </w:r>
      <w:r>
        <w:rPr>
          <w:rFonts w:ascii="Arial" w:hAnsi="Arial"/>
          <w:color w:val="231F20"/>
          <w:w w:val="110"/>
          <w:sz w:val="18"/>
        </w:rPr>
        <w:t>is</w:t>
      </w:r>
      <w:r>
        <w:rPr>
          <w:rFonts w:ascii="Arial" w:hAnsi="Arial"/>
          <w:color w:val="231F20"/>
          <w:spacing w:val="26"/>
          <w:w w:val="110"/>
          <w:sz w:val="18"/>
        </w:rPr>
        <w:t> </w:t>
      </w:r>
      <w:r>
        <w:rPr>
          <w:rFonts w:ascii="Arial" w:hAnsi="Arial"/>
          <w:color w:val="231F20"/>
          <w:w w:val="105"/>
          <w:sz w:val="18"/>
        </w:rPr>
        <w:t>running";</w:t>
      </w:r>
      <w:r>
        <w:rPr>
          <w:rFonts w:ascii="Arial" w:hAnsi="Arial"/>
          <w:color w:val="231F20"/>
          <w:spacing w:val="29"/>
          <w:w w:val="105"/>
          <w:sz w:val="18"/>
        </w:rPr>
        <w:t> </w:t>
      </w:r>
      <w:r>
        <w:rPr>
          <w:rFonts w:ascii="Arial" w:hAnsi="Arial"/>
          <w:color w:val="231F20"/>
          <w:w w:val="105"/>
          <w:sz w:val="18"/>
        </w:rPr>
        <w:t>quotedStr2</w:t>
      </w:r>
      <w:r>
        <w:rPr>
          <w:rFonts w:ascii="Arial" w:hAnsi="Arial"/>
          <w:color w:val="231F20"/>
          <w:spacing w:val="29"/>
          <w:w w:val="105"/>
          <w:sz w:val="18"/>
        </w:rPr>
        <w:t> </w:t>
      </w:r>
      <w:r>
        <w:rPr>
          <w:rFonts w:ascii="Arial" w:hAnsi="Arial"/>
          <w:color w:val="231F20"/>
          <w:w w:val="105"/>
          <w:sz w:val="18"/>
        </w:rPr>
        <w:t>=</w:t>
      </w:r>
      <w:r>
        <w:rPr>
          <w:rFonts w:ascii="Arial" w:hAnsi="Arial"/>
          <w:color w:val="231F20"/>
          <w:spacing w:val="29"/>
          <w:w w:val="105"/>
          <w:sz w:val="18"/>
        </w:rPr>
        <w:t> </w:t>
      </w:r>
      <w:r>
        <w:rPr>
          <w:rFonts w:ascii="Arial" w:hAnsi="Arial"/>
          <w:color w:val="231F20"/>
          <w:w w:val="105"/>
          <w:sz w:val="18"/>
        </w:rPr>
        <w:t>’The</w:t>
      </w:r>
      <w:r>
        <w:rPr>
          <w:rFonts w:ascii="Arial" w:hAnsi="Arial"/>
          <w:color w:val="231F20"/>
          <w:spacing w:val="28"/>
          <w:w w:val="105"/>
          <w:sz w:val="18"/>
        </w:rPr>
        <w:t> </w:t>
      </w:r>
      <w:r>
        <w:rPr>
          <w:rFonts w:ascii="Arial" w:hAnsi="Arial"/>
          <w:color w:val="231F20"/>
          <w:w w:val="105"/>
          <w:sz w:val="18"/>
        </w:rPr>
        <w:t>job</w:t>
      </w:r>
      <w:r>
        <w:rPr>
          <w:rFonts w:ascii="Arial" w:hAnsi="Arial"/>
          <w:color w:val="231F20"/>
          <w:spacing w:val="29"/>
          <w:w w:val="105"/>
          <w:sz w:val="18"/>
        </w:rPr>
        <w:t> </w:t>
      </w:r>
      <w:r>
        <w:rPr>
          <w:rFonts w:ascii="Arial" w:hAnsi="Arial"/>
          <w:color w:val="231F20"/>
          <w:w w:val="105"/>
          <w:sz w:val="18"/>
        </w:rPr>
        <w:t>"TSOA"</w:t>
      </w:r>
      <w:r>
        <w:rPr>
          <w:rFonts w:ascii="Arial" w:hAnsi="Arial"/>
          <w:color w:val="231F20"/>
          <w:spacing w:val="27"/>
          <w:w w:val="110"/>
          <w:sz w:val="18"/>
        </w:rPr>
        <w:t> </w:t>
      </w:r>
      <w:r>
        <w:rPr>
          <w:rFonts w:ascii="Arial" w:hAnsi="Arial"/>
          <w:color w:val="231F20"/>
          <w:w w:val="110"/>
          <w:sz w:val="18"/>
        </w:rPr>
        <w:t>is</w:t>
      </w:r>
      <w:r>
        <w:rPr>
          <w:rFonts w:ascii="Arial" w:hAnsi="Arial"/>
          <w:color w:val="231F20"/>
          <w:spacing w:val="26"/>
          <w:w w:val="110"/>
          <w:sz w:val="18"/>
        </w:rPr>
        <w:t> </w:t>
      </w:r>
      <w:r>
        <w:rPr>
          <w:rFonts w:ascii="Arial" w:hAnsi="Arial"/>
          <w:color w:val="231F20"/>
          <w:spacing w:val="-2"/>
          <w:w w:val="105"/>
          <w:sz w:val="18"/>
        </w:rPr>
        <w:t>running’;</w:t>
      </w:r>
    </w:p>
    <w:p>
      <w:pPr>
        <w:pStyle w:val="Heading6"/>
        <w:spacing w:before="128"/>
      </w:pPr>
      <w:r>
        <w:rPr>
          <w:color w:val="231F20"/>
        </w:rPr>
        <w:t>White</w:t>
      </w:r>
      <w:r>
        <w:rPr>
          <w:color w:val="231F20"/>
          <w:spacing w:val="10"/>
        </w:rPr>
        <w:t> </w:t>
      </w:r>
      <w:r>
        <w:rPr>
          <w:color w:val="231F20"/>
          <w:spacing w:val="-2"/>
        </w:rPr>
        <w:t>space</w:t>
      </w:r>
    </w:p>
    <w:p>
      <w:pPr>
        <w:pStyle w:val="BodyText"/>
        <w:spacing w:line="213" w:lineRule="auto" w:before="12"/>
        <w:ind w:left="3190" w:right="545"/>
      </w:pPr>
      <w:r>
        <w:rPr>
          <w:color w:val="231F20"/>
        </w:rPr>
        <w:t>The script language ignores white space (spaces, tabs, new-lines) </w:t>
      </w:r>
      <w:r>
        <w:rPr>
          <w:color w:val="231F20"/>
        </w:rPr>
        <w:t>except within a quoted string.</w:t>
      </w:r>
    </w:p>
    <w:p>
      <w:pPr>
        <w:pStyle w:val="Heading6"/>
      </w:pPr>
      <w:r>
        <w:rPr>
          <w:color w:val="231F20"/>
          <w:spacing w:val="-2"/>
        </w:rPr>
        <w:t>Comments</w:t>
      </w:r>
    </w:p>
    <w:p>
      <w:pPr>
        <w:pStyle w:val="BodyText"/>
        <w:spacing w:line="213" w:lineRule="auto" w:before="11"/>
        <w:ind w:left="3190"/>
      </w:pPr>
      <w:r>
        <w:rPr>
          <w:color w:val="231F20"/>
        </w:rPr>
        <w:t>Comments are supported as a way to add explanatory text to your </w:t>
      </w:r>
      <w:r>
        <w:rPr>
          <w:color w:val="231F20"/>
        </w:rPr>
        <w:t>script program or to exclude certain parts of the code.</w:t>
      </w:r>
    </w:p>
    <w:p>
      <w:pPr>
        <w:pStyle w:val="BodyText"/>
        <w:spacing w:before="36"/>
        <w:ind w:left="3190"/>
      </w:pPr>
      <w:r>
        <w:rPr>
          <w:rFonts w:ascii="Futura MdCn BT"/>
          <w:color w:val="231F20"/>
        </w:rPr>
        <w:t>v</w:t>
      </w:r>
      <w:r>
        <w:rPr>
          <w:rFonts w:ascii="Futura MdCn BT"/>
          <w:color w:val="231F20"/>
          <w:spacing w:val="31"/>
        </w:rPr>
        <w:t>  </w:t>
      </w:r>
      <w:r>
        <w:rPr>
          <w:color w:val="231F20"/>
        </w:rPr>
        <w:t>comments</w:t>
      </w:r>
      <w:r>
        <w:rPr>
          <w:color w:val="231F20"/>
          <w:spacing w:val="12"/>
        </w:rPr>
        <w:t> </w:t>
      </w:r>
      <w:r>
        <w:rPr>
          <w:color w:val="231F20"/>
        </w:rPr>
        <w:t>can</w:t>
      </w:r>
      <w:r>
        <w:rPr>
          <w:color w:val="231F20"/>
          <w:spacing w:val="12"/>
        </w:rPr>
        <w:t> </w:t>
      </w:r>
      <w:r>
        <w:rPr>
          <w:color w:val="231F20"/>
        </w:rPr>
        <w:t>be</w:t>
      </w:r>
      <w:r>
        <w:rPr>
          <w:color w:val="231F20"/>
          <w:spacing w:val="12"/>
        </w:rPr>
        <w:t> </w:t>
      </w:r>
      <w:r>
        <w:rPr>
          <w:color w:val="231F20"/>
        </w:rPr>
        <w:t>single</w:t>
      </w:r>
      <w:r>
        <w:rPr>
          <w:color w:val="231F20"/>
          <w:spacing w:val="12"/>
        </w:rPr>
        <w:t> </w:t>
      </w:r>
      <w:r>
        <w:rPr>
          <w:color w:val="231F20"/>
        </w:rPr>
        <w:t>line</w:t>
      </w:r>
      <w:r>
        <w:rPr>
          <w:color w:val="231F20"/>
          <w:spacing w:val="11"/>
        </w:rPr>
        <w:t> </w:t>
      </w:r>
      <w:r>
        <w:rPr>
          <w:color w:val="231F20"/>
        </w:rPr>
        <w:t>or</w:t>
      </w:r>
      <w:r>
        <w:rPr>
          <w:color w:val="231F20"/>
          <w:spacing w:val="12"/>
        </w:rPr>
        <w:t> </w:t>
      </w:r>
      <w:r>
        <w:rPr>
          <w:color w:val="231F20"/>
        </w:rPr>
        <w:t>multi-line</w:t>
      </w:r>
      <w:r>
        <w:rPr>
          <w:color w:val="231F20"/>
          <w:spacing w:val="12"/>
        </w:rPr>
        <w:t> </w:t>
      </w:r>
      <w:r>
        <w:rPr>
          <w:color w:val="231F20"/>
        </w:rPr>
        <w:t>comment</w:t>
      </w:r>
      <w:r>
        <w:rPr>
          <w:color w:val="231F20"/>
          <w:spacing w:val="12"/>
        </w:rPr>
        <w:t> </w:t>
      </w:r>
      <w:r>
        <w:rPr>
          <w:color w:val="231F20"/>
          <w:spacing w:val="-2"/>
        </w:rPr>
        <w:t>blocks</w:t>
      </w:r>
    </w:p>
    <w:p>
      <w:pPr>
        <w:pStyle w:val="BodyText"/>
        <w:spacing w:before="29"/>
        <w:ind w:left="3190"/>
      </w:pPr>
      <w:r>
        <w:rPr>
          <w:rFonts w:ascii="Futura MdCn BT"/>
          <w:color w:val="231F20"/>
        </w:rPr>
        <w:t>v</w:t>
      </w:r>
      <w:r>
        <w:rPr>
          <w:rFonts w:ascii="Futura MdCn BT"/>
          <w:color w:val="231F20"/>
          <w:spacing w:val="79"/>
          <w:w w:val="150"/>
        </w:rPr>
        <w:t> </w:t>
      </w:r>
      <w:r>
        <w:rPr>
          <w:color w:val="231F20"/>
        </w:rPr>
        <w:t>the</w:t>
      </w:r>
      <w:r>
        <w:rPr>
          <w:color w:val="231F20"/>
          <w:spacing w:val="11"/>
        </w:rPr>
        <w:t> </w:t>
      </w:r>
      <w:r>
        <w:rPr>
          <w:color w:val="231F20"/>
        </w:rPr>
        <w:t>script</w:t>
      </w:r>
      <w:r>
        <w:rPr>
          <w:color w:val="231F20"/>
          <w:spacing w:val="11"/>
        </w:rPr>
        <w:t> </w:t>
      </w:r>
      <w:r>
        <w:rPr>
          <w:color w:val="231F20"/>
        </w:rPr>
        <w:t>interpreter</w:t>
      </w:r>
      <w:r>
        <w:rPr>
          <w:color w:val="231F20"/>
          <w:spacing w:val="11"/>
        </w:rPr>
        <w:t> </w:t>
      </w:r>
      <w:r>
        <w:rPr>
          <w:color w:val="231F20"/>
        </w:rPr>
        <w:t>ignores</w:t>
      </w:r>
      <w:r>
        <w:rPr>
          <w:color w:val="231F20"/>
          <w:spacing w:val="10"/>
        </w:rPr>
        <w:t> </w:t>
      </w:r>
      <w:r>
        <w:rPr>
          <w:color w:val="231F20"/>
          <w:spacing w:val="-2"/>
        </w:rPr>
        <w:t>comments</w:t>
      </w:r>
    </w:p>
    <w:p>
      <w:pPr>
        <w:pStyle w:val="BodyText"/>
        <w:spacing w:line="213" w:lineRule="auto" w:before="53"/>
        <w:ind w:left="3406" w:right="493" w:hanging="216"/>
      </w:pPr>
      <w:r>
        <w:rPr>
          <w:rFonts w:ascii="Futura MdCn BT"/>
          <w:color w:val="231F20"/>
          <w:w w:val="105"/>
        </w:rPr>
        <w:t>v</w:t>
      </w:r>
      <w:r>
        <w:rPr>
          <w:rFonts w:ascii="Futura MdCn BT"/>
          <w:color w:val="231F20"/>
          <w:spacing w:val="66"/>
          <w:w w:val="105"/>
        </w:rPr>
        <w:t> </w:t>
      </w:r>
      <w:r>
        <w:rPr>
          <w:color w:val="231F20"/>
          <w:w w:val="105"/>
        </w:rPr>
        <w:t>comment</w:t>
      </w:r>
      <w:r>
        <w:rPr>
          <w:color w:val="231F20"/>
          <w:spacing w:val="-5"/>
          <w:w w:val="105"/>
        </w:rPr>
        <w:t> </w:t>
      </w:r>
      <w:r>
        <w:rPr>
          <w:color w:val="231F20"/>
          <w:w w:val="105"/>
        </w:rPr>
        <w:t>blocks</w:t>
      </w:r>
      <w:r>
        <w:rPr>
          <w:color w:val="231F20"/>
          <w:spacing w:val="-5"/>
          <w:w w:val="105"/>
        </w:rPr>
        <w:t> </w:t>
      </w:r>
      <w:r>
        <w:rPr>
          <w:color w:val="231F20"/>
          <w:w w:val="105"/>
        </w:rPr>
        <w:t>are</w:t>
      </w:r>
      <w:r>
        <w:rPr>
          <w:color w:val="231F20"/>
          <w:spacing w:val="-5"/>
          <w:w w:val="105"/>
        </w:rPr>
        <w:t> </w:t>
      </w:r>
      <w:r>
        <w:rPr>
          <w:color w:val="231F20"/>
          <w:w w:val="105"/>
        </w:rPr>
        <w:t>enclosed</w:t>
      </w:r>
      <w:r>
        <w:rPr>
          <w:color w:val="231F20"/>
          <w:spacing w:val="-5"/>
          <w:w w:val="105"/>
        </w:rPr>
        <w:t> </w:t>
      </w:r>
      <w:r>
        <w:rPr>
          <w:color w:val="231F20"/>
          <w:w w:val="105"/>
        </w:rPr>
        <w:t>within</w:t>
      </w:r>
      <w:r>
        <w:rPr>
          <w:color w:val="231F20"/>
          <w:spacing w:val="-5"/>
          <w:w w:val="105"/>
        </w:rPr>
        <w:t> </w:t>
      </w:r>
      <w:r>
        <w:rPr>
          <w:color w:val="231F20"/>
          <w:w w:val="105"/>
        </w:rPr>
        <w:t>the</w:t>
      </w:r>
      <w:r>
        <w:rPr>
          <w:color w:val="231F20"/>
          <w:spacing w:val="-5"/>
          <w:w w:val="105"/>
        </w:rPr>
        <w:t> </w:t>
      </w:r>
      <w:r>
        <w:rPr>
          <w:color w:val="231F20"/>
          <w:w w:val="110"/>
        </w:rPr>
        <w:t>/*</w:t>
      </w:r>
      <w:r>
        <w:rPr>
          <w:color w:val="231F20"/>
          <w:spacing w:val="-8"/>
          <w:w w:val="110"/>
        </w:rPr>
        <w:t> </w:t>
      </w:r>
      <w:r>
        <w:rPr>
          <w:color w:val="231F20"/>
          <w:w w:val="110"/>
        </w:rPr>
        <w:t>*/</w:t>
      </w:r>
      <w:r>
        <w:rPr>
          <w:color w:val="231F20"/>
          <w:spacing w:val="-8"/>
          <w:w w:val="110"/>
        </w:rPr>
        <w:t> </w:t>
      </w:r>
      <w:r>
        <w:rPr>
          <w:color w:val="231F20"/>
          <w:w w:val="105"/>
        </w:rPr>
        <w:t>pairs.</w:t>
      </w:r>
      <w:r>
        <w:rPr>
          <w:color w:val="231F20"/>
          <w:spacing w:val="-5"/>
          <w:w w:val="105"/>
        </w:rPr>
        <w:t> </w:t>
      </w:r>
      <w:r>
        <w:rPr>
          <w:color w:val="231F20"/>
          <w:w w:val="105"/>
        </w:rPr>
        <w:t>Comment</w:t>
      </w:r>
      <w:r>
        <w:rPr>
          <w:color w:val="231F20"/>
          <w:spacing w:val="-5"/>
          <w:w w:val="105"/>
        </w:rPr>
        <w:t> </w:t>
      </w:r>
      <w:r>
        <w:rPr>
          <w:color w:val="231F20"/>
          <w:w w:val="105"/>
        </w:rPr>
        <w:t>blocks</w:t>
      </w:r>
      <w:r>
        <w:rPr>
          <w:color w:val="231F20"/>
          <w:w w:val="105"/>
        </w:rPr>
        <w:t> can span multiple lines.</w:t>
      </w:r>
    </w:p>
    <w:p>
      <w:pPr>
        <w:pStyle w:val="BodyText"/>
        <w:spacing w:line="213" w:lineRule="auto" w:before="58"/>
        <w:ind w:left="3406" w:right="258" w:hanging="216"/>
      </w:pPr>
      <w:r>
        <w:rPr>
          <w:rFonts w:ascii="Futura MdCn BT"/>
          <w:color w:val="231F20"/>
          <w:w w:val="105"/>
        </w:rPr>
        <w:t>v</w:t>
      </w:r>
      <w:r>
        <w:rPr>
          <w:rFonts w:ascii="Futura MdCn BT"/>
          <w:color w:val="231F20"/>
          <w:spacing w:val="80"/>
          <w:w w:val="105"/>
        </w:rPr>
        <w:t> </w:t>
      </w:r>
      <w:r>
        <w:rPr>
          <w:color w:val="231F20"/>
          <w:w w:val="105"/>
        </w:rPr>
        <w:t>comments can also start with the </w:t>
      </w:r>
      <w:r>
        <w:rPr>
          <w:color w:val="231F20"/>
          <w:w w:val="160"/>
        </w:rPr>
        <w:t>//</w:t>
      </w:r>
      <w:r>
        <w:rPr>
          <w:color w:val="231F20"/>
          <w:spacing w:val="-20"/>
          <w:w w:val="160"/>
        </w:rPr>
        <w:t> </w:t>
      </w:r>
      <w:r>
        <w:rPr>
          <w:color w:val="231F20"/>
          <w:w w:val="105"/>
        </w:rPr>
        <w:t>character string. The interpreter ignores</w:t>
      </w:r>
      <w:r>
        <w:rPr>
          <w:color w:val="231F20"/>
          <w:spacing w:val="-10"/>
          <w:w w:val="105"/>
        </w:rPr>
        <w:t> </w:t>
      </w:r>
      <w:r>
        <w:rPr>
          <w:color w:val="231F20"/>
          <w:w w:val="105"/>
        </w:rPr>
        <w:t>everything</w:t>
      </w:r>
      <w:r>
        <w:rPr>
          <w:color w:val="231F20"/>
          <w:spacing w:val="-10"/>
          <w:w w:val="105"/>
        </w:rPr>
        <w:t> </w:t>
      </w:r>
      <w:r>
        <w:rPr>
          <w:color w:val="231F20"/>
          <w:w w:val="105"/>
        </w:rPr>
        <w:t>to</w:t>
      </w:r>
      <w:r>
        <w:rPr>
          <w:color w:val="231F20"/>
          <w:spacing w:val="-9"/>
          <w:w w:val="105"/>
        </w:rPr>
        <w:t> </w:t>
      </w:r>
      <w:r>
        <w:rPr>
          <w:color w:val="231F20"/>
          <w:w w:val="105"/>
        </w:rPr>
        <w:t>the</w:t>
      </w:r>
      <w:r>
        <w:rPr>
          <w:color w:val="231F20"/>
          <w:spacing w:val="-10"/>
          <w:w w:val="105"/>
        </w:rPr>
        <w:t> </w:t>
      </w:r>
      <w:r>
        <w:rPr>
          <w:color w:val="231F20"/>
          <w:w w:val="105"/>
        </w:rPr>
        <w:t>right</w:t>
      </w:r>
      <w:r>
        <w:rPr>
          <w:color w:val="231F20"/>
          <w:spacing w:val="-9"/>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double</w:t>
      </w:r>
      <w:r>
        <w:rPr>
          <w:color w:val="231F20"/>
          <w:spacing w:val="-9"/>
          <w:w w:val="105"/>
        </w:rPr>
        <w:t> </w:t>
      </w:r>
      <w:r>
        <w:rPr>
          <w:color w:val="231F20"/>
          <w:w w:val="105"/>
        </w:rPr>
        <w:t>slash</w:t>
      </w:r>
      <w:r>
        <w:rPr>
          <w:color w:val="231F20"/>
          <w:spacing w:val="-10"/>
          <w:w w:val="105"/>
        </w:rPr>
        <w:t> </w:t>
      </w:r>
      <w:r>
        <w:rPr>
          <w:color w:val="231F20"/>
          <w:w w:val="105"/>
        </w:rPr>
        <w:t>up</w:t>
      </w:r>
      <w:r>
        <w:rPr>
          <w:color w:val="231F20"/>
          <w:spacing w:val="-9"/>
          <w:w w:val="105"/>
        </w:rPr>
        <w:t> </w:t>
      </w:r>
      <w:r>
        <w:rPr>
          <w:color w:val="231F20"/>
          <w:w w:val="105"/>
        </w:rPr>
        <w:t>to</w:t>
      </w:r>
      <w:r>
        <w:rPr>
          <w:color w:val="231F20"/>
          <w:spacing w:val="-10"/>
          <w:w w:val="105"/>
        </w:rPr>
        <w:t> </w:t>
      </w:r>
      <w:r>
        <w:rPr>
          <w:color w:val="231F20"/>
          <w:w w:val="105"/>
        </w:rPr>
        <w:t>the</w:t>
      </w:r>
      <w:r>
        <w:rPr>
          <w:color w:val="231F20"/>
          <w:spacing w:val="-10"/>
          <w:w w:val="105"/>
        </w:rPr>
        <w:t> </w:t>
      </w:r>
      <w:r>
        <w:rPr>
          <w:color w:val="231F20"/>
          <w:w w:val="105"/>
        </w:rPr>
        <w:t>end</w:t>
      </w:r>
      <w:r>
        <w:rPr>
          <w:color w:val="231F20"/>
          <w:spacing w:val="-9"/>
          <w:w w:val="105"/>
        </w:rPr>
        <w:t> </w:t>
      </w:r>
      <w:r>
        <w:rPr>
          <w:color w:val="231F20"/>
          <w:w w:val="105"/>
        </w:rPr>
        <w:t>of</w:t>
      </w:r>
      <w:r>
        <w:rPr>
          <w:color w:val="231F20"/>
          <w:spacing w:val="-10"/>
          <w:w w:val="105"/>
        </w:rPr>
        <w:t> </w:t>
      </w:r>
      <w:r>
        <w:rPr>
          <w:color w:val="231F20"/>
          <w:w w:val="105"/>
        </w:rPr>
        <w:t>the line (new-line character).</w:t>
      </w:r>
    </w:p>
    <w:p>
      <w:pPr>
        <w:pStyle w:val="BodyText"/>
        <w:spacing w:line="319" w:lineRule="auto" w:before="35"/>
        <w:ind w:left="3190" w:right="2916"/>
      </w:pPr>
      <w:r>
        <w:rPr>
          <w:rFonts w:ascii="Futura MdCn BT"/>
          <w:color w:val="231F20"/>
        </w:rPr>
        <w:t>v</w:t>
      </w:r>
      <w:r>
        <w:rPr>
          <w:rFonts w:ascii="Futura MdCn BT"/>
          <w:color w:val="231F20"/>
          <w:spacing w:val="80"/>
        </w:rPr>
        <w:t> </w:t>
      </w:r>
      <w:r>
        <w:rPr>
          <w:color w:val="231F20"/>
        </w:rPr>
        <w:t>comments can start anywhere in the </w:t>
      </w:r>
      <w:r>
        <w:rPr>
          <w:color w:val="231F20"/>
        </w:rPr>
        <w:t>script</w:t>
      </w:r>
      <w:r>
        <w:rPr>
          <w:color w:val="231F20"/>
        </w:rPr>
        <w:t> </w:t>
      </w:r>
      <w:r>
        <w:rPr>
          <w:color w:val="231F20"/>
          <w:spacing w:val="-2"/>
        </w:rPr>
        <w:t>Example:</w:t>
      </w:r>
    </w:p>
    <w:p>
      <w:pPr>
        <w:spacing w:line="170" w:lineRule="exact" w:before="0"/>
        <w:ind w:left="3190" w:right="0" w:firstLine="0"/>
        <w:jc w:val="left"/>
        <w:rPr>
          <w:rFonts w:ascii="Arial"/>
          <w:sz w:val="18"/>
        </w:rPr>
      </w:pPr>
      <w:r>
        <w:rPr>
          <w:rFonts w:ascii="Arial"/>
          <w:color w:val="231F20"/>
          <w:w w:val="150"/>
          <w:sz w:val="18"/>
        </w:rPr>
        <w:t>//</w:t>
      </w:r>
      <w:r>
        <w:rPr>
          <w:rFonts w:ascii="Arial"/>
          <w:color w:val="231F20"/>
          <w:spacing w:val="-12"/>
          <w:w w:val="150"/>
          <w:sz w:val="18"/>
        </w:rPr>
        <w:t> </w:t>
      </w:r>
      <w:r>
        <w:rPr>
          <w:rFonts w:ascii="Arial"/>
          <w:color w:val="231F20"/>
          <w:w w:val="120"/>
          <w:sz w:val="18"/>
        </w:rPr>
        <w:t>This</w:t>
      </w:r>
      <w:r>
        <w:rPr>
          <w:rFonts w:ascii="Arial"/>
          <w:color w:val="231F20"/>
          <w:spacing w:val="10"/>
          <w:w w:val="120"/>
          <w:sz w:val="18"/>
        </w:rPr>
        <w:t> </w:t>
      </w:r>
      <w:r>
        <w:rPr>
          <w:rFonts w:ascii="Arial"/>
          <w:color w:val="231F20"/>
          <w:w w:val="120"/>
          <w:sz w:val="18"/>
        </w:rPr>
        <w:t>is</w:t>
      </w:r>
      <w:r>
        <w:rPr>
          <w:rFonts w:ascii="Arial"/>
          <w:color w:val="231F20"/>
          <w:spacing w:val="10"/>
          <w:w w:val="120"/>
          <w:sz w:val="18"/>
        </w:rPr>
        <w:t> </w:t>
      </w:r>
      <w:r>
        <w:rPr>
          <w:rFonts w:ascii="Arial"/>
          <w:color w:val="231F20"/>
          <w:sz w:val="18"/>
        </w:rPr>
        <w:t>a</w:t>
      </w:r>
      <w:r>
        <w:rPr>
          <w:rFonts w:ascii="Arial"/>
          <w:color w:val="231F20"/>
          <w:spacing w:val="10"/>
          <w:w w:val="120"/>
          <w:sz w:val="18"/>
        </w:rPr>
        <w:t> </w:t>
      </w:r>
      <w:r>
        <w:rPr>
          <w:rFonts w:ascii="Arial"/>
          <w:color w:val="231F20"/>
          <w:w w:val="120"/>
          <w:sz w:val="18"/>
        </w:rPr>
        <w:t>single</w:t>
      </w:r>
      <w:r>
        <w:rPr>
          <w:rFonts w:ascii="Arial"/>
          <w:color w:val="231F20"/>
          <w:spacing w:val="9"/>
          <w:w w:val="120"/>
          <w:sz w:val="18"/>
        </w:rPr>
        <w:t> </w:t>
      </w:r>
      <w:r>
        <w:rPr>
          <w:rFonts w:ascii="Arial"/>
          <w:color w:val="231F20"/>
          <w:w w:val="120"/>
          <w:sz w:val="18"/>
        </w:rPr>
        <w:t>line</w:t>
      </w:r>
      <w:r>
        <w:rPr>
          <w:rFonts w:ascii="Arial"/>
          <w:color w:val="231F20"/>
          <w:spacing w:val="10"/>
          <w:w w:val="120"/>
          <w:sz w:val="18"/>
        </w:rPr>
        <w:t> </w:t>
      </w:r>
      <w:r>
        <w:rPr>
          <w:rFonts w:ascii="Arial"/>
          <w:color w:val="231F20"/>
          <w:sz w:val="18"/>
        </w:rPr>
        <w:t>comment</w:t>
      </w:r>
      <w:r>
        <w:rPr>
          <w:rFonts w:ascii="Arial"/>
          <w:color w:val="231F20"/>
          <w:spacing w:val="-11"/>
          <w:sz w:val="18"/>
        </w:rPr>
        <w:t> </w:t>
      </w:r>
      <w:r>
        <w:rPr>
          <w:rFonts w:ascii="Arial"/>
          <w:color w:val="231F20"/>
          <w:spacing w:val="39"/>
          <w:w w:val="120"/>
          <w:sz w:val="18"/>
        </w:rPr>
        <w:t>a</w:t>
      </w:r>
      <w:r>
        <w:rPr>
          <w:rFonts w:ascii="Arial"/>
          <w:color w:val="231F20"/>
          <w:spacing w:val="-15"/>
          <w:w w:val="120"/>
          <w:sz w:val="18"/>
        </w:rPr>
        <w:t> </w:t>
      </w:r>
      <w:r>
        <w:rPr>
          <w:rFonts w:ascii="Arial"/>
          <w:color w:val="231F20"/>
          <w:w w:val="120"/>
          <w:sz w:val="18"/>
        </w:rPr>
        <w:t>=</w:t>
      </w:r>
      <w:r>
        <w:rPr>
          <w:rFonts w:ascii="Arial"/>
          <w:color w:val="231F20"/>
          <w:spacing w:val="10"/>
          <w:w w:val="120"/>
          <w:sz w:val="18"/>
        </w:rPr>
        <w:t> </w:t>
      </w:r>
      <w:r>
        <w:rPr>
          <w:rFonts w:ascii="Arial"/>
          <w:color w:val="231F20"/>
          <w:spacing w:val="-5"/>
          <w:w w:val="120"/>
          <w:sz w:val="18"/>
        </w:rPr>
        <w:t>3;</w:t>
      </w:r>
    </w:p>
    <w:p>
      <w:pPr>
        <w:spacing w:line="230" w:lineRule="auto" w:before="3"/>
        <w:ind w:left="3190" w:right="1769" w:firstLine="0"/>
        <w:jc w:val="left"/>
        <w:rPr>
          <w:rFonts w:ascii="Arial"/>
          <w:sz w:val="18"/>
        </w:rPr>
      </w:pPr>
      <w:r>
        <w:rPr>
          <w:rFonts w:ascii="Arial"/>
          <w:color w:val="231F20"/>
          <w:w w:val="150"/>
          <w:sz w:val="18"/>
        </w:rPr>
        <w:t>//</w:t>
      </w:r>
      <w:r>
        <w:rPr>
          <w:rFonts w:ascii="Arial"/>
          <w:color w:val="231F20"/>
          <w:w w:val="150"/>
          <w:sz w:val="18"/>
        </w:rPr>
        <w:t> </w:t>
      </w:r>
      <w:r>
        <w:rPr>
          <w:rFonts w:ascii="Arial"/>
          <w:color w:val="231F20"/>
          <w:w w:val="115"/>
          <w:sz w:val="18"/>
        </w:rPr>
        <w:t>this</w:t>
      </w:r>
      <w:r>
        <w:rPr>
          <w:rFonts w:ascii="Arial"/>
          <w:color w:val="231F20"/>
          <w:spacing w:val="20"/>
          <w:w w:val="115"/>
          <w:sz w:val="18"/>
        </w:rPr>
        <w:t> </w:t>
      </w:r>
      <w:r>
        <w:rPr>
          <w:rFonts w:ascii="Arial"/>
          <w:color w:val="231F20"/>
          <w:w w:val="115"/>
          <w:sz w:val="18"/>
        </w:rPr>
        <w:t>is</w:t>
      </w:r>
      <w:r>
        <w:rPr>
          <w:rFonts w:ascii="Arial"/>
          <w:color w:val="231F20"/>
          <w:spacing w:val="20"/>
          <w:w w:val="115"/>
          <w:sz w:val="18"/>
        </w:rPr>
        <w:t> </w:t>
      </w:r>
      <w:r>
        <w:rPr>
          <w:rFonts w:ascii="Arial"/>
          <w:color w:val="231F20"/>
          <w:sz w:val="18"/>
        </w:rPr>
        <w:t>a</w:t>
      </w:r>
      <w:r>
        <w:rPr>
          <w:rFonts w:ascii="Arial"/>
          <w:color w:val="231F20"/>
          <w:spacing w:val="27"/>
          <w:sz w:val="18"/>
        </w:rPr>
        <w:t> </w:t>
      </w:r>
      <w:r>
        <w:rPr>
          <w:rFonts w:ascii="Arial"/>
          <w:color w:val="231F20"/>
          <w:sz w:val="18"/>
        </w:rPr>
        <w:t>comment</w:t>
      </w:r>
      <w:r>
        <w:rPr>
          <w:rFonts w:ascii="Arial"/>
          <w:color w:val="231F20"/>
          <w:w w:val="150"/>
          <w:sz w:val="18"/>
        </w:rPr>
        <w:t> /*</w:t>
      </w:r>
      <w:r>
        <w:rPr>
          <w:rFonts w:ascii="Arial"/>
          <w:color w:val="231F20"/>
          <w:w w:val="150"/>
          <w:sz w:val="18"/>
        </w:rPr>
        <w:t> </w:t>
      </w:r>
      <w:r>
        <w:rPr>
          <w:rFonts w:ascii="Arial"/>
          <w:color w:val="231F20"/>
          <w:w w:val="115"/>
          <w:sz w:val="18"/>
        </w:rPr>
        <w:t>This</w:t>
      </w:r>
      <w:r>
        <w:rPr>
          <w:rFonts w:ascii="Arial"/>
          <w:color w:val="231F20"/>
          <w:spacing w:val="20"/>
          <w:w w:val="115"/>
          <w:sz w:val="18"/>
        </w:rPr>
        <w:t> </w:t>
      </w:r>
      <w:r>
        <w:rPr>
          <w:rFonts w:ascii="Arial"/>
          <w:color w:val="231F20"/>
          <w:w w:val="115"/>
          <w:sz w:val="18"/>
        </w:rPr>
        <w:t>section</w:t>
      </w:r>
      <w:r>
        <w:rPr>
          <w:rFonts w:ascii="Arial"/>
          <w:color w:val="231F20"/>
          <w:spacing w:val="20"/>
          <w:w w:val="115"/>
          <w:sz w:val="18"/>
        </w:rPr>
        <w:t> </w:t>
      </w:r>
      <w:r>
        <w:rPr>
          <w:rFonts w:ascii="Arial"/>
          <w:color w:val="231F20"/>
          <w:w w:val="115"/>
          <w:sz w:val="18"/>
        </w:rPr>
        <w:t>defines</w:t>
      </w:r>
      <w:r>
        <w:rPr>
          <w:rFonts w:ascii="Arial"/>
          <w:color w:val="231F20"/>
          <w:spacing w:val="20"/>
          <w:w w:val="115"/>
          <w:sz w:val="18"/>
        </w:rPr>
        <w:t> </w:t>
      </w:r>
      <w:r>
        <w:rPr>
          <w:rFonts w:ascii="Arial"/>
          <w:color w:val="231F20"/>
          <w:w w:val="115"/>
          <w:sz w:val="18"/>
        </w:rPr>
        <w:t>multiple</w:t>
      </w:r>
      <w:r>
        <w:rPr>
          <w:rFonts w:ascii="Arial"/>
          <w:color w:val="231F20"/>
          <w:spacing w:val="20"/>
          <w:w w:val="115"/>
          <w:sz w:val="18"/>
        </w:rPr>
        <w:t> </w:t>
      </w:r>
      <w:r>
        <w:rPr>
          <w:rFonts w:ascii="Arial"/>
          <w:color w:val="231F20"/>
          <w:w w:val="115"/>
          <w:sz w:val="18"/>
        </w:rPr>
        <w:t>line </w:t>
      </w:r>
      <w:bookmarkStart w:name="Constants and variables" w:id="292"/>
      <w:bookmarkEnd w:id="292"/>
      <w:r>
        <w:rPr>
          <w:rFonts w:ascii="Arial"/>
          <w:color w:val="231F20"/>
          <w:sz w:val="18"/>
        </w:rPr>
        <w:t>comment</w:t>
      </w:r>
      <w:r>
        <w:rPr>
          <w:rFonts w:ascii="Arial"/>
          <w:color w:val="231F20"/>
          <w:w w:val="115"/>
          <w:sz w:val="18"/>
        </w:rPr>
        <w:t> block</w:t>
      </w:r>
      <w:r>
        <w:rPr>
          <w:rFonts w:ascii="Arial"/>
          <w:color w:val="231F20"/>
          <w:w w:val="115"/>
          <w:sz w:val="18"/>
        </w:rPr>
        <w:t> </w:t>
      </w:r>
      <w:r>
        <w:rPr>
          <w:rFonts w:ascii="Arial"/>
          <w:color w:val="231F20"/>
          <w:spacing w:val="19"/>
          <w:w w:val="115"/>
          <w:sz w:val="18"/>
        </w:rPr>
        <w:t>*/</w:t>
      </w:r>
      <w:r>
        <w:rPr>
          <w:rFonts w:ascii="Arial"/>
          <w:color w:val="231F20"/>
          <w:spacing w:val="-14"/>
          <w:w w:val="115"/>
          <w:sz w:val="18"/>
        </w:rPr>
        <w:t> </w:t>
      </w:r>
      <w:r>
        <w:rPr>
          <w:rFonts w:ascii="Arial"/>
          <w:color w:val="231F20"/>
          <w:spacing w:val="39"/>
          <w:w w:val="115"/>
          <w:sz w:val="18"/>
        </w:rPr>
        <w:t>a</w:t>
      </w:r>
      <w:r>
        <w:rPr>
          <w:rFonts w:ascii="Arial"/>
          <w:color w:val="231F20"/>
          <w:spacing w:val="-15"/>
          <w:w w:val="115"/>
          <w:sz w:val="18"/>
        </w:rPr>
        <w:t> </w:t>
      </w:r>
      <w:r>
        <w:rPr>
          <w:rFonts w:ascii="Arial"/>
          <w:color w:val="231F20"/>
          <w:w w:val="115"/>
          <w:sz w:val="18"/>
        </w:rPr>
        <w:t>=</w:t>
      </w:r>
      <w:r>
        <w:rPr>
          <w:rFonts w:ascii="Arial"/>
          <w:color w:val="231F20"/>
          <w:spacing w:val="1"/>
          <w:w w:val="115"/>
          <w:sz w:val="18"/>
        </w:rPr>
        <w:t> </w:t>
      </w:r>
      <w:r>
        <w:rPr>
          <w:rFonts w:ascii="Arial"/>
          <w:color w:val="231F20"/>
          <w:w w:val="115"/>
          <w:sz w:val="18"/>
        </w:rPr>
        <w:t>3;</w:t>
      </w:r>
      <w:r>
        <w:rPr>
          <w:rFonts w:ascii="Arial"/>
          <w:color w:val="231F20"/>
          <w:spacing w:val="-10"/>
          <w:w w:val="135"/>
          <w:sz w:val="18"/>
        </w:rPr>
        <w:t> </w:t>
      </w:r>
      <w:r>
        <w:rPr>
          <w:rFonts w:ascii="Arial"/>
          <w:color w:val="231F20"/>
          <w:w w:val="135"/>
          <w:sz w:val="18"/>
        </w:rPr>
        <w:t>/*</w:t>
      </w:r>
      <w:r>
        <w:rPr>
          <w:rFonts w:ascii="Arial"/>
          <w:color w:val="231F20"/>
          <w:spacing w:val="-10"/>
          <w:w w:val="135"/>
          <w:sz w:val="18"/>
        </w:rPr>
        <w:t> </w:t>
      </w:r>
      <w:r>
        <w:rPr>
          <w:rFonts w:ascii="Arial"/>
          <w:color w:val="231F20"/>
          <w:sz w:val="18"/>
        </w:rPr>
        <w:t>imbedded</w:t>
      </w:r>
      <w:r>
        <w:rPr>
          <w:rFonts w:ascii="Arial"/>
          <w:color w:val="231F20"/>
          <w:spacing w:val="8"/>
          <w:sz w:val="18"/>
        </w:rPr>
        <w:t> </w:t>
      </w:r>
      <w:r>
        <w:rPr>
          <w:rFonts w:ascii="Arial"/>
          <w:color w:val="231F20"/>
          <w:sz w:val="18"/>
        </w:rPr>
        <w:t>comment</w:t>
      </w:r>
      <w:r>
        <w:rPr>
          <w:rFonts w:ascii="Arial"/>
          <w:color w:val="231F20"/>
          <w:spacing w:val="1"/>
          <w:w w:val="115"/>
          <w:sz w:val="18"/>
        </w:rPr>
        <w:t> </w:t>
      </w:r>
      <w:r>
        <w:rPr>
          <w:rFonts w:ascii="Arial"/>
          <w:color w:val="231F20"/>
          <w:w w:val="115"/>
          <w:sz w:val="18"/>
        </w:rPr>
        <w:t>block</w:t>
      </w:r>
      <w:r>
        <w:rPr>
          <w:rFonts w:ascii="Arial"/>
          <w:color w:val="231F20"/>
          <w:spacing w:val="-10"/>
          <w:w w:val="135"/>
          <w:sz w:val="18"/>
        </w:rPr>
        <w:t> </w:t>
      </w:r>
      <w:r>
        <w:rPr>
          <w:rFonts w:ascii="Arial"/>
          <w:color w:val="231F20"/>
          <w:w w:val="135"/>
          <w:sz w:val="18"/>
        </w:rPr>
        <w:t>*/</w:t>
      </w:r>
      <w:r>
        <w:rPr>
          <w:rFonts w:ascii="Arial"/>
          <w:color w:val="231F20"/>
          <w:spacing w:val="-10"/>
          <w:w w:val="135"/>
          <w:sz w:val="18"/>
        </w:rPr>
        <w:t> </w:t>
      </w:r>
      <w:r>
        <w:rPr>
          <w:rFonts w:ascii="Arial"/>
          <w:color w:val="231F20"/>
          <w:w w:val="115"/>
          <w:sz w:val="18"/>
        </w:rPr>
        <w:t>b=4;</w:t>
      </w:r>
    </w:p>
    <w:p>
      <w:pPr>
        <w:pStyle w:val="Heading4"/>
        <w:spacing w:line="273" w:lineRule="exact" w:before="178"/>
        <w:ind w:left="2472"/>
      </w:pPr>
      <w:r>
        <w:rPr>
          <w:color w:val="231F20"/>
        </w:rPr>
        <w:t>Constants</w:t>
      </w:r>
      <w:r>
        <w:rPr>
          <w:color w:val="231F20"/>
          <w:spacing w:val="3"/>
        </w:rPr>
        <w:t> </w:t>
      </w:r>
      <w:r>
        <w:rPr>
          <w:color w:val="231F20"/>
        </w:rPr>
        <w:t>and</w:t>
      </w:r>
      <w:r>
        <w:rPr>
          <w:color w:val="231F20"/>
          <w:spacing w:val="5"/>
        </w:rPr>
        <w:t> </w:t>
      </w:r>
      <w:r>
        <w:rPr>
          <w:color w:val="231F20"/>
          <w:spacing w:val="-2"/>
        </w:rPr>
        <w:t>variables</w:t>
      </w:r>
    </w:p>
    <w:p>
      <w:pPr>
        <w:pStyle w:val="BodyText"/>
        <w:spacing w:line="213" w:lineRule="auto" w:before="20"/>
        <w:ind w:left="2472" w:right="258"/>
      </w:pPr>
      <w:r>
        <w:rPr>
          <w:color w:val="231F20"/>
        </w:rPr>
        <w:t>A constant is a named data item with a predefined value, while a variable is a</w:t>
      </w:r>
      <w:r>
        <w:rPr>
          <w:color w:val="231F20"/>
          <w:spacing w:val="40"/>
        </w:rPr>
        <w:t> </w:t>
      </w:r>
      <w:r>
        <w:rPr>
          <w:color w:val="231F20"/>
        </w:rPr>
        <w:t>named data item whose value can change during the course of program </w:t>
      </w:r>
      <w:r>
        <w:rPr>
          <w:color w:val="231F20"/>
        </w:rPr>
        <w:t>execution. Variables can be either global or local.</w:t>
      </w:r>
    </w:p>
    <w:p>
      <w:pPr>
        <w:pStyle w:val="BodyText"/>
        <w:spacing w:before="214"/>
        <w:ind w:left="2472"/>
      </w:pPr>
      <w:r>
        <w:rPr>
          <w:color w:val="231F20"/>
        </w:rPr>
        <w:t>All</w:t>
      </w:r>
      <w:r>
        <w:rPr>
          <w:color w:val="231F20"/>
          <w:spacing w:val="10"/>
        </w:rPr>
        <w:t> </w:t>
      </w:r>
      <w:r>
        <w:rPr>
          <w:color w:val="231F20"/>
        </w:rPr>
        <w:t>data</w:t>
      </w:r>
      <w:r>
        <w:rPr>
          <w:color w:val="231F20"/>
          <w:spacing w:val="11"/>
        </w:rPr>
        <w:t> </w:t>
      </w:r>
      <w:r>
        <w:rPr>
          <w:color w:val="231F20"/>
        </w:rPr>
        <w:t>is</w:t>
      </w:r>
      <w:r>
        <w:rPr>
          <w:color w:val="231F20"/>
          <w:spacing w:val="11"/>
        </w:rPr>
        <w:t> </w:t>
      </w:r>
      <w:r>
        <w:rPr>
          <w:color w:val="231F20"/>
        </w:rPr>
        <w:t>represented</w:t>
      </w:r>
      <w:r>
        <w:rPr>
          <w:color w:val="231F20"/>
          <w:spacing w:val="11"/>
        </w:rPr>
        <w:t> </w:t>
      </w:r>
      <w:r>
        <w:rPr>
          <w:color w:val="231F20"/>
        </w:rPr>
        <w:t>as</w:t>
      </w:r>
      <w:r>
        <w:rPr>
          <w:color w:val="231F20"/>
          <w:spacing w:val="11"/>
        </w:rPr>
        <w:t> </w:t>
      </w:r>
      <w:r>
        <w:rPr>
          <w:color w:val="231F20"/>
        </w:rPr>
        <w:t>one</w:t>
      </w:r>
      <w:r>
        <w:rPr>
          <w:color w:val="231F20"/>
          <w:spacing w:val="11"/>
        </w:rPr>
        <w:t> </w:t>
      </w:r>
      <w:r>
        <w:rPr>
          <w:color w:val="231F20"/>
        </w:rPr>
        <w:t>of</w:t>
      </w:r>
      <w:r>
        <w:rPr>
          <w:color w:val="231F20"/>
          <w:spacing w:val="11"/>
        </w:rPr>
        <w:t> </w:t>
      </w:r>
      <w:r>
        <w:rPr>
          <w:color w:val="231F20"/>
        </w:rPr>
        <w:t>three</w:t>
      </w:r>
      <w:r>
        <w:rPr>
          <w:color w:val="231F20"/>
          <w:spacing w:val="11"/>
        </w:rPr>
        <w:t> </w:t>
      </w:r>
      <w:r>
        <w:rPr>
          <w:color w:val="231F20"/>
        </w:rPr>
        <w:t>basic</w:t>
      </w:r>
      <w:r>
        <w:rPr>
          <w:color w:val="231F20"/>
          <w:spacing w:val="11"/>
        </w:rPr>
        <w:t> </w:t>
      </w:r>
      <w:r>
        <w:rPr>
          <w:color w:val="231F20"/>
        </w:rPr>
        <w:t>data</w:t>
      </w:r>
      <w:r>
        <w:rPr>
          <w:color w:val="231F20"/>
          <w:spacing w:val="11"/>
        </w:rPr>
        <w:t> </w:t>
      </w:r>
      <w:r>
        <w:rPr>
          <w:color w:val="231F20"/>
          <w:spacing w:val="-2"/>
        </w:rPr>
        <w:t>types:</w:t>
      </w:r>
    </w:p>
    <w:p>
      <w:pPr>
        <w:pStyle w:val="BodyText"/>
        <w:tabs>
          <w:tab w:pos="3190" w:val="left" w:leader="none"/>
        </w:tabs>
        <w:spacing w:before="90"/>
        <w:ind w:left="2472"/>
      </w:pPr>
      <w:r>
        <w:rPr>
          <w:rFonts w:ascii="Book Antiqua" w:hAnsi="Book Antiqua"/>
          <w:b/>
          <w:color w:val="231F20"/>
          <w:spacing w:val="-5"/>
        </w:rPr>
        <w:t>Int</w:t>
      </w:r>
      <w:r>
        <w:rPr>
          <w:rFonts w:ascii="Book Antiqua" w:hAnsi="Book Antiqua"/>
          <w:b/>
          <w:color w:val="231F20"/>
        </w:rPr>
        <w:tab/>
      </w:r>
      <w:r>
        <w:rPr>
          <w:color w:val="231F20"/>
        </w:rPr>
        <w:t>Integer</w:t>
      </w:r>
      <w:r>
        <w:rPr>
          <w:color w:val="231F20"/>
          <w:spacing w:val="15"/>
        </w:rPr>
        <w:t> </w:t>
      </w:r>
      <w:r>
        <w:rPr>
          <w:color w:val="231F20"/>
        </w:rPr>
        <w:t>data</w:t>
      </w:r>
      <w:r>
        <w:rPr>
          <w:color w:val="231F20"/>
          <w:spacing w:val="16"/>
        </w:rPr>
        <w:t> </w:t>
      </w:r>
      <w:r>
        <w:rPr>
          <w:color w:val="231F20"/>
        </w:rPr>
        <w:t>type </w:t>
      </w:r>
      <w:r>
        <w:rPr>
          <w:color w:val="231F20"/>
          <w:spacing w:val="16"/>
        </w:rPr>
        <w:t>(</w:t>
      </w:r>
      <w:r>
        <w:rPr>
          <w:color w:val="231F20"/>
          <w:spacing w:val="-1"/>
        </w:rPr>
        <w:t> </w:t>
      </w:r>
      <w:r>
        <w:rPr>
          <w:color w:val="231F20"/>
          <w:spacing w:val="16"/>
        </w:rPr>
        <w:t>+</w:t>
      </w:r>
      <w:r>
        <w:rPr>
          <w:color w:val="231F20"/>
        </w:rPr>
        <w:t> -</w:t>
      </w:r>
      <w:r>
        <w:rPr>
          <w:color w:val="231F20"/>
          <w:spacing w:val="16"/>
        </w:rPr>
        <w:t> </w:t>
      </w:r>
      <w:r>
        <w:rPr>
          <w:color w:val="231F20"/>
        </w:rPr>
        <w:t>followed</w:t>
      </w:r>
      <w:r>
        <w:rPr>
          <w:color w:val="231F20"/>
          <w:spacing w:val="15"/>
        </w:rPr>
        <w:t> </w:t>
      </w:r>
      <w:r>
        <w:rPr>
          <w:color w:val="231F20"/>
        </w:rPr>
        <w:t>by</w:t>
      </w:r>
      <w:r>
        <w:rPr>
          <w:color w:val="231F20"/>
          <w:spacing w:val="16"/>
        </w:rPr>
        <w:t> </w:t>
      </w:r>
      <w:r>
        <w:rPr>
          <w:color w:val="231F20"/>
        </w:rPr>
        <w:t>1</w:t>
      </w:r>
      <w:r>
        <w:rPr>
          <w:color w:val="231F20"/>
          <w:spacing w:val="16"/>
        </w:rPr>
        <w:t> </w:t>
      </w:r>
      <w:r>
        <w:rPr>
          <w:color w:val="231F20"/>
        </w:rPr>
        <w:t>or</w:t>
      </w:r>
      <w:r>
        <w:rPr>
          <w:color w:val="231F20"/>
          <w:spacing w:val="15"/>
        </w:rPr>
        <w:t> </w:t>
      </w:r>
      <w:r>
        <w:rPr>
          <w:color w:val="231F20"/>
        </w:rPr>
        <w:t>more</w:t>
      </w:r>
      <w:r>
        <w:rPr>
          <w:color w:val="231F20"/>
          <w:spacing w:val="16"/>
        </w:rPr>
        <w:t> </w:t>
      </w:r>
      <w:r>
        <w:rPr>
          <w:color w:val="231F20"/>
        </w:rPr>
        <w:t>digits</w:t>
      </w:r>
      <w:r>
        <w:rPr>
          <w:color w:val="231F20"/>
          <w:spacing w:val="16"/>
        </w:rPr>
        <w:t> </w:t>
      </w:r>
      <w:r>
        <w:rPr>
          <w:color w:val="231F20"/>
          <w:spacing w:val="-2"/>
        </w:rPr>
        <w:t>0–9).</w:t>
      </w:r>
    </w:p>
    <w:p>
      <w:pPr>
        <w:pStyle w:val="BodyText"/>
        <w:tabs>
          <w:tab w:pos="3190" w:val="left" w:leader="none"/>
        </w:tabs>
        <w:spacing w:line="213" w:lineRule="auto" w:before="112"/>
        <w:ind w:left="3190" w:right="763" w:hanging="719"/>
      </w:pPr>
      <w:r>
        <w:rPr>
          <w:rFonts w:ascii="Book Antiqua" w:hAnsi="Book Antiqua"/>
          <w:b/>
          <w:color w:val="231F20"/>
          <w:spacing w:val="-4"/>
        </w:rPr>
        <w:t>Real</w:t>
      </w:r>
      <w:r>
        <w:rPr>
          <w:rFonts w:ascii="Book Antiqua" w:hAnsi="Book Antiqua"/>
          <w:b/>
          <w:color w:val="231F20"/>
        </w:rPr>
        <w:tab/>
      </w:r>
      <w:r>
        <w:rPr>
          <w:color w:val="231F20"/>
        </w:rPr>
        <w:t>Floating point (+- followed by zero or more digits 0–9). Decimal </w:t>
      </w:r>
      <w:r>
        <w:rPr>
          <w:color w:val="231F20"/>
        </w:rPr>
        <w:t>point followed by 1 or more digits 0–9. Note that all numbers are stored internally as Float.</w:t>
      </w:r>
    </w:p>
    <w:p>
      <w:pPr>
        <w:pStyle w:val="BodyText"/>
        <w:spacing w:before="95"/>
        <w:ind w:left="2472"/>
      </w:pPr>
      <w:r>
        <w:rPr>
          <w:rFonts w:ascii="Book Antiqua"/>
          <w:b/>
          <w:color w:val="231F20"/>
        </w:rPr>
        <w:t>String</w:t>
      </w:r>
      <w:r>
        <w:rPr>
          <w:rFonts w:ascii="Book Antiqua"/>
          <w:b/>
          <w:color w:val="231F20"/>
          <w:spacing w:val="66"/>
          <w:w w:val="150"/>
        </w:rPr>
        <w:t> </w:t>
      </w:r>
      <w:r>
        <w:rPr>
          <w:color w:val="231F20"/>
        </w:rPr>
        <w:t>Any</w:t>
      </w:r>
      <w:r>
        <w:rPr>
          <w:color w:val="231F20"/>
          <w:spacing w:val="11"/>
        </w:rPr>
        <w:t> </w:t>
      </w:r>
      <w:r>
        <w:rPr>
          <w:color w:val="231F20"/>
        </w:rPr>
        <w:t>valid</w:t>
      </w:r>
      <w:r>
        <w:rPr>
          <w:color w:val="231F20"/>
          <w:spacing w:val="12"/>
        </w:rPr>
        <w:t> </w:t>
      </w:r>
      <w:r>
        <w:rPr>
          <w:color w:val="231F20"/>
        </w:rPr>
        <w:t>Unicode</w:t>
      </w:r>
      <w:r>
        <w:rPr>
          <w:color w:val="231F20"/>
          <w:spacing w:val="11"/>
        </w:rPr>
        <w:t> </w:t>
      </w:r>
      <w:r>
        <w:rPr>
          <w:color w:val="231F20"/>
        </w:rPr>
        <w:t>string</w:t>
      </w:r>
      <w:r>
        <w:rPr>
          <w:color w:val="231F20"/>
          <w:spacing w:val="11"/>
        </w:rPr>
        <w:t> </w:t>
      </w:r>
      <w:r>
        <w:rPr>
          <w:color w:val="231F20"/>
        </w:rPr>
        <w:t>enclosed</w:t>
      </w:r>
      <w:r>
        <w:rPr>
          <w:color w:val="231F20"/>
          <w:spacing w:val="11"/>
        </w:rPr>
        <w:t> </w:t>
      </w:r>
      <w:r>
        <w:rPr>
          <w:color w:val="231F20"/>
        </w:rPr>
        <w:t>within</w:t>
      </w:r>
      <w:r>
        <w:rPr>
          <w:color w:val="231F20"/>
          <w:spacing w:val="11"/>
        </w:rPr>
        <w:t> </w:t>
      </w:r>
      <w:r>
        <w:rPr>
          <w:color w:val="231F20"/>
          <w:spacing w:val="-2"/>
        </w:rPr>
        <w:t>quotes.</w:t>
      </w:r>
    </w:p>
    <w:p>
      <w:pPr>
        <w:spacing w:after="0"/>
        <w:sectPr>
          <w:pgSz w:w="12240" w:h="15840"/>
          <w:pgMar w:header="0" w:footer="736" w:top="1180" w:bottom="920" w:left="1000" w:right="1060"/>
        </w:sectPr>
      </w:pPr>
    </w:p>
    <w:p>
      <w:pPr>
        <w:pStyle w:val="Heading6"/>
        <w:spacing w:before="83"/>
        <w:ind w:left="2232"/>
      </w:pPr>
      <w:bookmarkStart w:name="_bookmark132" w:id="293"/>
      <w:bookmarkEnd w:id="293"/>
      <w:r>
        <w:rPr>
          <w:b w:val="0"/>
        </w:rPr>
      </w:r>
      <w:r>
        <w:rPr>
          <w:color w:val="231F20"/>
          <w:spacing w:val="-2"/>
        </w:rPr>
        <w:t>Constants</w:t>
      </w:r>
    </w:p>
    <w:p>
      <w:pPr>
        <w:pStyle w:val="BodyText"/>
        <w:spacing w:line="213" w:lineRule="auto" w:before="12"/>
        <w:ind w:left="2951" w:right="545"/>
      </w:pPr>
      <w:r>
        <w:rPr>
          <w:color w:val="231F20"/>
        </w:rPr>
        <w:t>A constant is a named data item with a predefined value. You </w:t>
      </w:r>
      <w:r>
        <w:rPr>
          <w:color w:val="231F20"/>
        </w:rPr>
        <w:t>cannot change the value assigned to a predefined constant. The predefined constants are:</w:t>
      </w:r>
    </w:p>
    <w:p>
      <w:pPr>
        <w:pStyle w:val="BodyText"/>
        <w:spacing w:line="213" w:lineRule="auto" w:before="117"/>
        <w:ind w:left="3669" w:right="545" w:hanging="719"/>
      </w:pPr>
      <w:r>
        <w:rPr>
          <w:rFonts w:ascii="Book Antiqua"/>
          <w:b/>
          <w:color w:val="231F20"/>
        </w:rPr>
        <w:t>NULL</w:t>
      </w:r>
      <w:r>
        <w:rPr>
          <w:rFonts w:ascii="Book Antiqua"/>
          <w:b/>
          <w:color w:val="231F20"/>
          <w:spacing w:val="80"/>
        </w:rPr>
        <w:t> </w:t>
      </w:r>
      <w:r>
        <w:rPr>
          <w:color w:val="231F20"/>
        </w:rPr>
        <w:t>An empty reference. Similar to an empty pointer. Note that this is not the same as a null string "".</w:t>
      </w:r>
    </w:p>
    <w:p>
      <w:pPr>
        <w:spacing w:after="0" w:line="213" w:lineRule="auto"/>
        <w:sectPr>
          <w:pgSz w:w="12240" w:h="15840"/>
          <w:pgMar w:header="0" w:footer="736" w:top="1180" w:bottom="920" w:left="1000" w:right="1060"/>
        </w:sectPr>
      </w:pPr>
    </w:p>
    <w:p>
      <w:pPr>
        <w:pStyle w:val="Heading6"/>
        <w:spacing w:line="595" w:lineRule="auto" w:before="118"/>
        <w:ind w:left="2951"/>
      </w:pPr>
      <w:r>
        <w:rPr>
          <w:color w:val="231F20"/>
          <w:spacing w:val="-4"/>
        </w:rPr>
        <w:t>TRUE </w:t>
      </w:r>
      <w:r>
        <w:rPr>
          <w:color w:val="231F20"/>
          <w:spacing w:val="-6"/>
        </w:rPr>
        <w:t>FALSE</w:t>
      </w:r>
    </w:p>
    <w:p>
      <w:pPr>
        <w:pStyle w:val="BodyText"/>
        <w:spacing w:line="600" w:lineRule="atLeast" w:before="5"/>
        <w:ind w:left="57" w:right="3985"/>
      </w:pPr>
      <w:r>
        <w:rPr/>
        <w:br w:type="column"/>
      </w:r>
      <w:r>
        <w:rPr>
          <w:color w:val="231F20"/>
        </w:rPr>
        <w:t>Equivalent to the number </w:t>
      </w:r>
      <w:r>
        <w:rPr>
          <w:color w:val="231F20"/>
        </w:rPr>
        <w:t>1. Equivalent</w:t>
      </w:r>
      <w:r>
        <w:rPr>
          <w:color w:val="231F20"/>
          <w:spacing w:val="10"/>
        </w:rPr>
        <w:t> </w:t>
      </w:r>
      <w:r>
        <w:rPr>
          <w:color w:val="231F20"/>
        </w:rPr>
        <w:t>to</w:t>
      </w:r>
      <w:r>
        <w:rPr>
          <w:color w:val="231F20"/>
          <w:spacing w:val="11"/>
        </w:rPr>
        <w:t> </w:t>
      </w:r>
      <w:r>
        <w:rPr>
          <w:color w:val="231F20"/>
        </w:rPr>
        <w:t>the</w:t>
      </w:r>
      <w:r>
        <w:rPr>
          <w:color w:val="231F20"/>
          <w:spacing w:val="11"/>
        </w:rPr>
        <w:t> </w:t>
      </w:r>
      <w:r>
        <w:rPr>
          <w:color w:val="231F20"/>
        </w:rPr>
        <w:t>number</w:t>
      </w:r>
      <w:r>
        <w:rPr>
          <w:color w:val="231F20"/>
          <w:spacing w:val="10"/>
        </w:rPr>
        <w:t> </w:t>
      </w:r>
      <w:r>
        <w:rPr>
          <w:color w:val="231F20"/>
          <w:spacing w:val="-5"/>
        </w:rPr>
        <w:t>0.</w:t>
      </w:r>
    </w:p>
    <w:p>
      <w:pPr>
        <w:spacing w:after="0" w:line="600" w:lineRule="atLeast"/>
        <w:sectPr>
          <w:type w:val="continuous"/>
          <w:pgSz w:w="12240" w:h="15840"/>
          <w:pgMar w:header="0" w:footer="736" w:top="0" w:bottom="4660" w:left="1000" w:right="1060"/>
          <w:cols w:num="2" w:equalWidth="0">
            <w:col w:w="3573" w:space="40"/>
            <w:col w:w="6567"/>
          </w:cols>
        </w:sectPr>
      </w:pPr>
    </w:p>
    <w:p>
      <w:pPr>
        <w:pStyle w:val="Heading6"/>
        <w:spacing w:before="1"/>
        <w:ind w:left="2232"/>
      </w:pPr>
      <w:r>
        <w:rPr>
          <w:color w:val="231F20"/>
          <w:spacing w:val="-2"/>
        </w:rPr>
        <w:t>Variable</w:t>
      </w:r>
      <w:r>
        <w:rPr>
          <w:color w:val="231F20"/>
          <w:spacing w:val="1"/>
        </w:rPr>
        <w:t> </w:t>
      </w:r>
      <w:r>
        <w:rPr>
          <w:color w:val="231F20"/>
          <w:spacing w:val="-2"/>
        </w:rPr>
        <w:t>definitions</w:t>
      </w:r>
    </w:p>
    <w:p>
      <w:pPr>
        <w:pStyle w:val="BodyText"/>
        <w:spacing w:line="213" w:lineRule="auto" w:before="11"/>
        <w:ind w:left="2951" w:right="515"/>
      </w:pPr>
      <w:r>
        <w:rPr>
          <w:color w:val="231F20"/>
        </w:rPr>
        <w:t>A variable is a named data item whose value can change during the </w:t>
      </w:r>
      <w:r>
        <w:rPr>
          <w:color w:val="231F20"/>
        </w:rPr>
        <w:t>course</w:t>
      </w:r>
      <w:r>
        <w:rPr>
          <w:color w:val="231F20"/>
          <w:spacing w:val="40"/>
        </w:rPr>
        <w:t> </w:t>
      </w:r>
      <w:r>
        <w:rPr>
          <w:color w:val="231F20"/>
        </w:rPr>
        <w:t>of program execution. A variable name must follow the naming convention of an Identifier (alphabetic character, numeric character, and the</w:t>
      </w:r>
      <w:r>
        <w:rPr>
          <w:color w:val="231F20"/>
          <w:spacing w:val="40"/>
        </w:rPr>
        <w:t> </w:t>
      </w:r>
      <w:r>
        <w:rPr>
          <w:color w:val="231F20"/>
        </w:rPr>
        <w:t>underscore.) When more than one variable is defined on a single</w:t>
      </w:r>
      <w:r>
        <w:rPr>
          <w:color w:val="231F20"/>
          <w:spacing w:val="80"/>
        </w:rPr>
        <w:t> </w:t>
      </w:r>
      <w:r>
        <w:rPr>
          <w:color w:val="231F20"/>
        </w:rPr>
        <w:t>declaration, the name must be separated by commas. Each variable declaration must be terminated with a semi-colon. Variable names cannot</w:t>
      </w:r>
      <w:r>
        <w:rPr>
          <w:color w:val="231F20"/>
          <w:spacing w:val="80"/>
          <w:w w:val="150"/>
        </w:rPr>
        <w:t> </w:t>
      </w:r>
      <w:r>
        <w:rPr>
          <w:color w:val="231F20"/>
        </w:rPr>
        <w:t>be the same as a reserved word.</w:t>
      </w:r>
    </w:p>
    <w:p>
      <w:pPr>
        <w:pStyle w:val="BodyText"/>
        <w:spacing w:line="213" w:lineRule="auto" w:before="235"/>
        <w:ind w:left="2951" w:right="545"/>
      </w:pPr>
      <w:r>
        <w:rPr>
          <w:rFonts w:ascii="Book Antiqua"/>
          <w:b/>
          <w:color w:val="231F20"/>
        </w:rPr>
        <w:t>Note:</w:t>
      </w:r>
      <w:r>
        <w:rPr>
          <w:rFonts w:ascii="Book Antiqua"/>
          <w:b/>
          <w:color w:val="231F20"/>
          <w:spacing w:val="40"/>
        </w:rPr>
        <w:t> </w:t>
      </w:r>
      <w:r>
        <w:rPr>
          <w:color w:val="231F20"/>
        </w:rPr>
        <w:t>Identifiers and Names in the script language are </w:t>
      </w:r>
      <w:r>
        <w:rPr>
          <w:color w:val="231F20"/>
        </w:rPr>
        <w:t>case-insensitive. Thus, abc is the same as ABC.</w:t>
      </w:r>
    </w:p>
    <w:p>
      <w:pPr>
        <w:pStyle w:val="Heading6"/>
        <w:ind w:left="2232"/>
      </w:pPr>
      <w:r>
        <w:rPr>
          <w:color w:val="231F20"/>
        </w:rPr>
        <w:t>Global</w:t>
      </w:r>
      <w:r>
        <w:rPr>
          <w:color w:val="231F20"/>
          <w:spacing w:val="11"/>
        </w:rPr>
        <w:t> </w:t>
      </w:r>
      <w:r>
        <w:rPr>
          <w:color w:val="231F20"/>
        </w:rPr>
        <w:t>and</w:t>
      </w:r>
      <w:r>
        <w:rPr>
          <w:color w:val="231F20"/>
          <w:spacing w:val="11"/>
        </w:rPr>
        <w:t> </w:t>
      </w:r>
      <w:r>
        <w:rPr>
          <w:color w:val="231F20"/>
        </w:rPr>
        <w:t>local</w:t>
      </w:r>
      <w:r>
        <w:rPr>
          <w:color w:val="231F20"/>
          <w:spacing w:val="11"/>
        </w:rPr>
        <w:t> </w:t>
      </w:r>
      <w:r>
        <w:rPr>
          <w:color w:val="231F20"/>
          <w:spacing w:val="-2"/>
        </w:rPr>
        <w:t>variables</w:t>
      </w:r>
    </w:p>
    <w:p>
      <w:pPr>
        <w:pStyle w:val="BodyText"/>
        <w:spacing w:line="213" w:lineRule="auto" w:before="12"/>
        <w:ind w:left="2951" w:right="545"/>
      </w:pPr>
      <w:r>
        <w:rPr>
          <w:color w:val="231F20"/>
        </w:rPr>
        <w:t>Variables can be either global or local. A variable is global unless it is declared within a function definition. Global variables are visible and available to all statements in a script. Local variables are only visible and available within the function where they were defined. Although variable names and identifiers must be unique, it is valid to declare a local </w:t>
      </w:r>
      <w:r>
        <w:rPr>
          <w:color w:val="231F20"/>
        </w:rPr>
        <w:t>variable that has the same name as global, or the same name as a local variable</w:t>
      </w:r>
      <w:r>
        <w:rPr>
          <w:color w:val="231F20"/>
          <w:spacing w:val="40"/>
        </w:rPr>
        <w:t> </w:t>
      </w:r>
      <w:r>
        <w:rPr>
          <w:color w:val="231F20"/>
        </w:rPr>
        <w:t>defined in another function. Parameter names in a function definition are considered to be local variables. Data passed to a function is by value. A </w:t>
      </w:r>
      <w:bookmarkStart w:name="Operators and expressions" w:id="294"/>
      <w:bookmarkEnd w:id="294"/>
      <w:r>
        <w:rPr>
          <w:color w:val="231F20"/>
        </w:rPr>
        <w:t>global</w:t>
      </w:r>
      <w:r>
        <w:rPr>
          <w:color w:val="231F20"/>
        </w:rPr>
        <w:t> variable passed to a function will not be changed by the function.</w:t>
      </w:r>
    </w:p>
    <w:p>
      <w:pPr>
        <w:pStyle w:val="Heading4"/>
        <w:spacing w:line="273" w:lineRule="exact" w:before="160"/>
      </w:pPr>
      <w:r>
        <w:rPr>
          <w:color w:val="231F20"/>
        </w:rPr>
        <w:t>Operators</w:t>
      </w:r>
      <w:r>
        <w:rPr>
          <w:color w:val="231F20"/>
          <w:spacing w:val="5"/>
        </w:rPr>
        <w:t> </w:t>
      </w:r>
      <w:r>
        <w:rPr>
          <w:color w:val="231F20"/>
        </w:rPr>
        <w:t>and</w:t>
      </w:r>
      <w:r>
        <w:rPr>
          <w:color w:val="231F20"/>
          <w:spacing w:val="5"/>
        </w:rPr>
        <w:t> </w:t>
      </w:r>
      <w:r>
        <w:rPr>
          <w:color w:val="231F20"/>
          <w:spacing w:val="-2"/>
        </w:rPr>
        <w:t>expressions</w:t>
      </w:r>
    </w:p>
    <w:p>
      <w:pPr>
        <w:pStyle w:val="BodyText"/>
        <w:spacing w:line="213" w:lineRule="auto" w:before="20"/>
        <w:ind w:left="2232" w:right="493"/>
      </w:pPr>
      <w:r>
        <w:rPr>
          <w:color w:val="231F20"/>
        </w:rPr>
        <w:t>Expressions perform specific actions, based on an operator, with one or two operands. An operand can be a constant, a variable or a function result. Operators</w:t>
      </w:r>
      <w:r>
        <w:rPr>
          <w:color w:val="231F20"/>
          <w:spacing w:val="40"/>
        </w:rPr>
        <w:t> </w:t>
      </w:r>
      <w:r>
        <w:rPr>
          <w:color w:val="231F20"/>
        </w:rPr>
        <w:t>are arithmetic, logical, and relational. As with C, some operators vary in</w:t>
      </w:r>
      <w:r>
        <w:rPr>
          <w:color w:val="231F20"/>
          <w:spacing w:val="40"/>
        </w:rPr>
        <w:t> </w:t>
      </w:r>
      <w:r>
        <w:rPr>
          <w:color w:val="231F20"/>
        </w:rPr>
        <w:t>functionality according to the data type of the operands specified in the </w:t>
      </w:r>
      <w:r>
        <w:rPr>
          <w:color w:val="231F20"/>
        </w:rPr>
        <w:t>expression.</w:t>
      </w:r>
    </w:p>
    <w:p>
      <w:pPr>
        <w:pStyle w:val="Heading6"/>
        <w:spacing w:before="116"/>
        <w:ind w:left="2232"/>
      </w:pPr>
      <w:r>
        <w:rPr>
          <w:color w:val="231F20"/>
        </w:rPr>
        <w:t>Arithmetic</w:t>
      </w:r>
      <w:r>
        <w:rPr>
          <w:color w:val="231F20"/>
          <w:spacing w:val="12"/>
        </w:rPr>
        <w:t> </w:t>
      </w:r>
      <w:r>
        <w:rPr>
          <w:color w:val="231F20"/>
        </w:rPr>
        <w:t>operators</w:t>
      </w:r>
      <w:r>
        <w:rPr>
          <w:color w:val="231F20"/>
          <w:spacing w:val="13"/>
        </w:rPr>
        <w:t> </w:t>
      </w:r>
      <w:r>
        <w:rPr>
          <w:color w:val="231F20"/>
        </w:rPr>
        <w:t>(</w:t>
      </w:r>
      <w:r>
        <w:rPr>
          <w:color w:val="231F20"/>
          <w:spacing w:val="13"/>
        </w:rPr>
        <w:t> </w:t>
      </w:r>
      <w:r>
        <w:rPr>
          <w:color w:val="231F20"/>
        </w:rPr>
        <w:t>+,</w:t>
      </w:r>
      <w:r>
        <w:rPr>
          <w:color w:val="231F20"/>
          <w:spacing w:val="13"/>
        </w:rPr>
        <w:t> </w:t>
      </w:r>
      <w:r>
        <w:rPr>
          <w:color w:val="231F20"/>
        </w:rPr>
        <w:t>-,</w:t>
      </w:r>
      <w:r>
        <w:rPr>
          <w:color w:val="231F20"/>
          <w:spacing w:val="13"/>
        </w:rPr>
        <w:t> </w:t>
      </w:r>
      <w:r>
        <w:rPr>
          <w:color w:val="231F20"/>
        </w:rPr>
        <w:t>*,</w:t>
      </w:r>
      <w:r>
        <w:rPr>
          <w:color w:val="231F20"/>
          <w:spacing w:val="12"/>
        </w:rPr>
        <w:t> </w:t>
      </w:r>
      <w:r>
        <w:rPr>
          <w:color w:val="231F20"/>
        </w:rPr>
        <w:t>/,</w:t>
      </w:r>
      <w:r>
        <w:rPr>
          <w:color w:val="231F20"/>
          <w:spacing w:val="13"/>
        </w:rPr>
        <w:t> </w:t>
      </w:r>
      <w:r>
        <w:rPr>
          <w:color w:val="231F20"/>
        </w:rPr>
        <w:t>**,</w:t>
      </w:r>
      <w:r>
        <w:rPr>
          <w:color w:val="231F20"/>
          <w:spacing w:val="13"/>
        </w:rPr>
        <w:t> </w:t>
      </w:r>
      <w:r>
        <w:rPr>
          <w:color w:val="231F20"/>
        </w:rPr>
        <w:t>%</w:t>
      </w:r>
      <w:r>
        <w:rPr>
          <w:color w:val="231F20"/>
          <w:spacing w:val="13"/>
        </w:rPr>
        <w:t> </w:t>
      </w:r>
      <w:r>
        <w:rPr>
          <w:color w:val="231F20"/>
          <w:spacing w:val="-10"/>
        </w:rPr>
        <w:t>)</w:t>
      </w:r>
    </w:p>
    <w:p>
      <w:pPr>
        <w:pStyle w:val="BodyText"/>
        <w:spacing w:line="213" w:lineRule="auto" w:before="11"/>
        <w:ind w:left="2951" w:right="636"/>
      </w:pPr>
      <w:r>
        <w:rPr>
          <w:color w:val="231F20"/>
        </w:rPr>
        <w:t>Arithmetic operators perform mathematical operations such as addition and subtraction with operands. There are two types of mathematical operators: unary and binary. Unary operators perform an action with a single operand. Binary operators perform actions with two operands. In </w:t>
      </w:r>
      <w:r>
        <w:rPr>
          <w:color w:val="231F20"/>
        </w:rPr>
        <w:t>a complex expression, (two or more operands) the order of evaluation depends on precedence rules.</w:t>
      </w:r>
    </w:p>
    <w:p>
      <w:pPr>
        <w:pStyle w:val="Heading6"/>
        <w:spacing w:before="114"/>
        <w:ind w:left="2232"/>
      </w:pPr>
      <w:r>
        <w:rPr>
          <w:color w:val="231F20"/>
        </w:rPr>
        <w:t>Unary</w:t>
      </w:r>
      <w:r>
        <w:rPr>
          <w:color w:val="231F20"/>
          <w:spacing w:val="8"/>
        </w:rPr>
        <w:t> </w:t>
      </w:r>
      <w:r>
        <w:rPr>
          <w:color w:val="231F20"/>
        </w:rPr>
        <w:t>arithmetic</w:t>
      </w:r>
      <w:r>
        <w:rPr>
          <w:color w:val="231F20"/>
          <w:spacing w:val="9"/>
        </w:rPr>
        <w:t> </w:t>
      </w:r>
      <w:r>
        <w:rPr>
          <w:color w:val="231F20"/>
          <w:spacing w:val="-2"/>
        </w:rPr>
        <w:t>operators</w:t>
      </w:r>
    </w:p>
    <w:p>
      <w:pPr>
        <w:pStyle w:val="BodyText"/>
        <w:spacing w:line="213" w:lineRule="auto" w:before="12"/>
        <w:ind w:left="2951" w:right="493"/>
      </w:pPr>
      <w:r>
        <w:rPr>
          <w:color w:val="231F20"/>
        </w:rPr>
        <w:t>Unary operators are arithmetic operators that perform an action on a </w:t>
      </w:r>
      <w:r>
        <w:rPr>
          <w:color w:val="231F20"/>
        </w:rPr>
        <w:t>single operand. The script language recognizes the unary operator negative (-).</w:t>
      </w:r>
    </w:p>
    <w:p>
      <w:pPr>
        <w:pStyle w:val="BodyText"/>
        <w:spacing w:line="213" w:lineRule="auto" w:before="118"/>
        <w:ind w:left="2951" w:right="603"/>
      </w:pPr>
      <w:r>
        <w:rPr>
          <w:color w:val="231F20"/>
        </w:rPr>
        <w:t>The negative unary operator reverses the sign of an expression from positive to negative or vice-versa. The net effect is that of multiplying </w:t>
      </w:r>
      <w:r>
        <w:rPr>
          <w:color w:val="231F20"/>
        </w:rPr>
        <w:t>the number by -1. Example:</w:t>
      </w:r>
    </w:p>
    <w:p>
      <w:pPr>
        <w:spacing w:before="61"/>
        <w:ind w:left="2951" w:right="0" w:firstLine="0"/>
        <w:jc w:val="left"/>
        <w:rPr>
          <w:rFonts w:ascii="Arial"/>
          <w:sz w:val="18"/>
        </w:rPr>
      </w:pPr>
      <w:r>
        <w:rPr>
          <w:rFonts w:ascii="Arial"/>
          <w:color w:val="231F20"/>
          <w:w w:val="105"/>
          <w:sz w:val="18"/>
        </w:rPr>
        <w:t>a</w:t>
      </w:r>
      <w:r>
        <w:rPr>
          <w:rFonts w:ascii="Arial"/>
          <w:color w:val="231F20"/>
          <w:spacing w:val="20"/>
          <w:w w:val="105"/>
          <w:sz w:val="18"/>
        </w:rPr>
        <w:t> </w:t>
      </w:r>
      <w:r>
        <w:rPr>
          <w:rFonts w:ascii="Arial"/>
          <w:color w:val="231F20"/>
          <w:w w:val="105"/>
          <w:sz w:val="18"/>
        </w:rPr>
        <w:t>=</w:t>
      </w:r>
      <w:r>
        <w:rPr>
          <w:rFonts w:ascii="Arial"/>
          <w:color w:val="231F20"/>
          <w:spacing w:val="21"/>
          <w:w w:val="105"/>
          <w:sz w:val="18"/>
        </w:rPr>
        <w:t> </w:t>
      </w:r>
      <w:r>
        <w:rPr>
          <w:rFonts w:ascii="Arial"/>
          <w:color w:val="231F20"/>
          <w:w w:val="105"/>
          <w:sz w:val="18"/>
        </w:rPr>
        <w:t>-</w:t>
      </w:r>
      <w:r>
        <w:rPr>
          <w:rFonts w:ascii="Arial"/>
          <w:color w:val="231F20"/>
          <w:spacing w:val="-5"/>
          <w:w w:val="105"/>
          <w:sz w:val="18"/>
        </w:rPr>
        <w:t>10;</w:t>
      </w:r>
    </w:p>
    <w:p>
      <w:pPr>
        <w:spacing w:after="0"/>
        <w:jc w:val="left"/>
        <w:rPr>
          <w:rFonts w:ascii="Arial"/>
          <w:sz w:val="18"/>
        </w:rPr>
        <w:sectPr>
          <w:type w:val="continuous"/>
          <w:pgSz w:w="12240" w:h="15840"/>
          <w:pgMar w:header="0" w:footer="736" w:top="0" w:bottom="4660" w:left="1000" w:right="1060"/>
        </w:sectPr>
      </w:pPr>
    </w:p>
    <w:p>
      <w:pPr>
        <w:pStyle w:val="BodyText"/>
        <w:spacing w:line="213" w:lineRule="auto" w:before="85"/>
        <w:ind w:left="3190" w:right="1082"/>
        <w:jc w:val="both"/>
      </w:pPr>
      <w:r>
        <w:rPr>
          <w:color w:val="231F20"/>
        </w:rPr>
        <w:t>The Prefix operators increment or decrement the variable prior </w:t>
      </w:r>
      <w:r>
        <w:rPr>
          <w:color w:val="231F20"/>
        </w:rPr>
        <w:t>to dereferencing the object, while the Postfix operators increment or decrement the variable after referencing it. Example:</w:t>
      </w:r>
    </w:p>
    <w:p>
      <w:pPr>
        <w:spacing w:line="203" w:lineRule="exact" w:before="61"/>
        <w:ind w:left="3190" w:right="0" w:firstLine="0"/>
        <w:jc w:val="left"/>
        <w:rPr>
          <w:rFonts w:ascii="Arial"/>
          <w:sz w:val="18"/>
        </w:rPr>
      </w:pPr>
      <w:r>
        <w:rPr>
          <w:rFonts w:ascii="Arial"/>
          <w:color w:val="231F20"/>
          <w:spacing w:val="-4"/>
          <w:sz w:val="18"/>
        </w:rPr>
        <w:t>A=1;</w:t>
      </w:r>
    </w:p>
    <w:p>
      <w:pPr>
        <w:spacing w:line="230" w:lineRule="auto" w:before="3"/>
        <w:ind w:left="3190" w:right="3150" w:firstLine="0"/>
        <w:jc w:val="left"/>
        <w:rPr>
          <w:rFonts w:ascii="Arial"/>
          <w:sz w:val="18"/>
        </w:rPr>
      </w:pPr>
      <w:r>
        <w:rPr>
          <w:rFonts w:ascii="Arial"/>
          <w:color w:val="231F20"/>
          <w:sz w:val="18"/>
        </w:rPr>
        <w:t>B</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a++;</w:t>
      </w:r>
      <w:r>
        <w:rPr>
          <w:rFonts w:ascii="Arial"/>
          <w:color w:val="231F20"/>
          <w:spacing w:val="20"/>
          <w:w w:val="155"/>
          <w:sz w:val="18"/>
        </w:rPr>
        <w:t> </w:t>
      </w:r>
      <w:r>
        <w:rPr>
          <w:rFonts w:ascii="Arial"/>
          <w:color w:val="231F20"/>
          <w:w w:val="155"/>
          <w:sz w:val="18"/>
        </w:rPr>
        <w:t>//</w:t>
      </w:r>
      <w:r>
        <w:rPr>
          <w:rFonts w:ascii="Arial"/>
          <w:color w:val="231F20"/>
          <w:spacing w:val="20"/>
          <w:w w:val="155"/>
          <w:sz w:val="18"/>
        </w:rPr>
        <w:t> </w:t>
      </w:r>
      <w:r>
        <w:rPr>
          <w:rFonts w:ascii="Arial"/>
          <w:color w:val="231F20"/>
          <w:sz w:val="18"/>
        </w:rPr>
        <w:t>b</w:t>
      </w:r>
      <w:r>
        <w:rPr>
          <w:rFonts w:ascii="Arial"/>
          <w:color w:val="231F20"/>
          <w:spacing w:val="35"/>
          <w:w w:val="125"/>
          <w:sz w:val="18"/>
        </w:rPr>
        <w:t> </w:t>
      </w:r>
      <w:r>
        <w:rPr>
          <w:rFonts w:ascii="Arial"/>
          <w:color w:val="231F20"/>
          <w:w w:val="125"/>
          <w:sz w:val="18"/>
        </w:rPr>
        <w:t>will</w:t>
      </w:r>
      <w:r>
        <w:rPr>
          <w:rFonts w:ascii="Arial"/>
          <w:color w:val="231F20"/>
          <w:spacing w:val="35"/>
          <w:w w:val="125"/>
          <w:sz w:val="18"/>
        </w:rPr>
        <w:t> </w:t>
      </w:r>
      <w:r>
        <w:rPr>
          <w:rFonts w:ascii="Arial"/>
          <w:color w:val="231F20"/>
          <w:sz w:val="18"/>
        </w:rPr>
        <w:t>equal</w:t>
      </w:r>
      <w:r>
        <w:rPr>
          <w:rFonts w:ascii="Arial"/>
          <w:color w:val="231F20"/>
          <w:spacing w:val="40"/>
          <w:sz w:val="18"/>
        </w:rPr>
        <w:t> </w:t>
      </w:r>
      <w:r>
        <w:rPr>
          <w:rFonts w:ascii="Arial"/>
          <w:color w:val="231F20"/>
          <w:sz w:val="18"/>
        </w:rPr>
        <w:t>1,</w:t>
      </w:r>
      <w:r>
        <w:rPr>
          <w:rFonts w:ascii="Arial"/>
          <w:color w:val="231F20"/>
          <w:spacing w:val="40"/>
          <w:sz w:val="18"/>
        </w:rPr>
        <w:t> </w:t>
      </w:r>
      <w:r>
        <w:rPr>
          <w:rFonts w:ascii="Arial"/>
          <w:color w:val="231F20"/>
          <w:sz w:val="18"/>
        </w:rPr>
        <w:t>a</w:t>
      </w:r>
      <w:r>
        <w:rPr>
          <w:rFonts w:ascii="Arial"/>
          <w:color w:val="231F20"/>
          <w:spacing w:val="35"/>
          <w:w w:val="125"/>
          <w:sz w:val="18"/>
        </w:rPr>
        <w:t> </w:t>
      </w:r>
      <w:r>
        <w:rPr>
          <w:rFonts w:ascii="Arial"/>
          <w:color w:val="231F20"/>
          <w:w w:val="125"/>
          <w:sz w:val="18"/>
        </w:rPr>
        <w:t>will</w:t>
      </w:r>
      <w:r>
        <w:rPr>
          <w:rFonts w:ascii="Arial"/>
          <w:color w:val="231F20"/>
          <w:spacing w:val="35"/>
          <w:w w:val="125"/>
          <w:sz w:val="18"/>
        </w:rPr>
        <w:t> </w:t>
      </w:r>
      <w:r>
        <w:rPr>
          <w:rFonts w:ascii="Arial"/>
          <w:color w:val="231F20"/>
          <w:sz w:val="18"/>
        </w:rPr>
        <w:t>equal</w:t>
      </w:r>
      <w:r>
        <w:rPr>
          <w:rFonts w:ascii="Arial"/>
          <w:color w:val="231F20"/>
          <w:spacing w:val="40"/>
          <w:sz w:val="18"/>
        </w:rPr>
        <w:t> </w:t>
      </w:r>
      <w:r>
        <w:rPr>
          <w:rFonts w:ascii="Arial"/>
          <w:color w:val="231F20"/>
          <w:sz w:val="18"/>
        </w:rPr>
        <w:t>2; </w:t>
      </w:r>
      <w:r>
        <w:rPr>
          <w:rFonts w:ascii="Arial"/>
          <w:color w:val="231F20"/>
          <w:spacing w:val="39"/>
          <w:sz w:val="18"/>
        </w:rPr>
        <w:t>A</w:t>
      </w:r>
      <w:r>
        <w:rPr>
          <w:rFonts w:ascii="Arial"/>
          <w:color w:val="231F20"/>
          <w:spacing w:val="35"/>
          <w:sz w:val="18"/>
        </w:rPr>
        <w:t> </w:t>
      </w:r>
      <w:r>
        <w:rPr>
          <w:rFonts w:ascii="Arial"/>
          <w:color w:val="231F20"/>
          <w:sz w:val="18"/>
        </w:rPr>
        <w:t>=</w:t>
      </w:r>
      <w:r>
        <w:rPr>
          <w:rFonts w:ascii="Arial"/>
          <w:color w:val="231F20"/>
          <w:w w:val="125"/>
          <w:sz w:val="18"/>
        </w:rPr>
        <w:t> 1;</w:t>
      </w:r>
    </w:p>
    <w:p>
      <w:pPr>
        <w:spacing w:line="230" w:lineRule="auto" w:before="1"/>
        <w:ind w:left="3190" w:right="3150" w:firstLine="0"/>
        <w:jc w:val="left"/>
        <w:rPr>
          <w:rFonts w:ascii="Arial"/>
          <w:sz w:val="18"/>
        </w:rPr>
      </w:pPr>
      <w:r>
        <w:rPr>
          <w:rFonts w:ascii="Arial"/>
          <w:color w:val="231F20"/>
          <w:sz w:val="18"/>
        </w:rPr>
        <w:t>B</w:t>
      </w:r>
      <w:r>
        <w:rPr>
          <w:rFonts w:ascii="Arial"/>
          <w:color w:val="231F20"/>
          <w:spacing w:val="34"/>
          <w:sz w:val="18"/>
        </w:rPr>
        <w:t> </w:t>
      </w:r>
      <w:r>
        <w:rPr>
          <w:rFonts w:ascii="Arial"/>
          <w:color w:val="231F20"/>
          <w:sz w:val="18"/>
        </w:rPr>
        <w:t>=</w:t>
      </w:r>
      <w:r>
        <w:rPr>
          <w:rFonts w:ascii="Arial"/>
          <w:color w:val="231F20"/>
          <w:spacing w:val="34"/>
          <w:sz w:val="18"/>
        </w:rPr>
        <w:t> </w:t>
      </w:r>
      <w:r>
        <w:rPr>
          <w:rFonts w:ascii="Arial"/>
          <w:color w:val="231F20"/>
          <w:sz w:val="18"/>
        </w:rPr>
        <w:t>++a;</w:t>
      </w:r>
      <w:r>
        <w:rPr>
          <w:rFonts w:ascii="Arial"/>
          <w:color w:val="231F20"/>
          <w:w w:val="155"/>
          <w:sz w:val="18"/>
        </w:rPr>
        <w:t> //</w:t>
      </w:r>
      <w:r>
        <w:rPr>
          <w:rFonts w:ascii="Arial"/>
          <w:color w:val="231F20"/>
          <w:w w:val="155"/>
          <w:sz w:val="18"/>
        </w:rPr>
        <w:t> </w:t>
      </w:r>
      <w:r>
        <w:rPr>
          <w:rFonts w:ascii="Arial"/>
          <w:color w:val="231F20"/>
          <w:sz w:val="18"/>
        </w:rPr>
        <w:t>b</w:t>
      </w:r>
      <w:r>
        <w:rPr>
          <w:rFonts w:ascii="Arial"/>
          <w:color w:val="231F20"/>
          <w:w w:val="155"/>
          <w:sz w:val="18"/>
        </w:rPr>
        <w:t> will</w:t>
      </w:r>
      <w:r>
        <w:rPr>
          <w:rFonts w:ascii="Arial"/>
          <w:color w:val="231F20"/>
          <w:w w:val="155"/>
          <w:sz w:val="18"/>
        </w:rPr>
        <w:t> </w:t>
      </w:r>
      <w:r>
        <w:rPr>
          <w:rFonts w:ascii="Arial"/>
          <w:color w:val="231F20"/>
          <w:sz w:val="18"/>
        </w:rPr>
        <w:t>equal</w:t>
      </w:r>
      <w:r>
        <w:rPr>
          <w:rFonts w:ascii="Arial"/>
          <w:color w:val="231F20"/>
          <w:spacing w:val="34"/>
          <w:sz w:val="18"/>
        </w:rPr>
        <w:t> </w:t>
      </w:r>
      <w:r>
        <w:rPr>
          <w:rFonts w:ascii="Arial"/>
          <w:color w:val="231F20"/>
          <w:sz w:val="18"/>
        </w:rPr>
        <w:t>2,</w:t>
      </w:r>
      <w:r>
        <w:rPr>
          <w:rFonts w:ascii="Arial"/>
          <w:color w:val="231F20"/>
          <w:spacing w:val="34"/>
          <w:sz w:val="18"/>
        </w:rPr>
        <w:t> </w:t>
      </w:r>
      <w:r>
        <w:rPr>
          <w:rFonts w:ascii="Arial"/>
          <w:color w:val="231F20"/>
          <w:sz w:val="18"/>
        </w:rPr>
        <w:t>a</w:t>
      </w:r>
      <w:r>
        <w:rPr>
          <w:rFonts w:ascii="Arial"/>
          <w:color w:val="231F20"/>
          <w:w w:val="155"/>
          <w:sz w:val="18"/>
        </w:rPr>
        <w:t> will</w:t>
      </w:r>
      <w:r>
        <w:rPr>
          <w:rFonts w:ascii="Arial"/>
          <w:color w:val="231F20"/>
          <w:w w:val="155"/>
          <w:sz w:val="18"/>
        </w:rPr>
        <w:t> </w:t>
      </w:r>
      <w:r>
        <w:rPr>
          <w:rFonts w:ascii="Arial"/>
          <w:color w:val="231F20"/>
          <w:sz w:val="18"/>
        </w:rPr>
        <w:t>equal</w:t>
      </w:r>
      <w:r>
        <w:rPr>
          <w:rFonts w:ascii="Arial"/>
          <w:color w:val="231F20"/>
          <w:spacing w:val="34"/>
          <w:sz w:val="18"/>
        </w:rPr>
        <w:t> </w:t>
      </w:r>
      <w:r>
        <w:rPr>
          <w:rFonts w:ascii="Arial"/>
          <w:color w:val="231F20"/>
          <w:sz w:val="18"/>
        </w:rPr>
        <w:t>2; A=</w:t>
      </w:r>
      <w:r>
        <w:rPr>
          <w:rFonts w:ascii="Arial"/>
          <w:color w:val="231F20"/>
          <w:spacing w:val="40"/>
          <w:sz w:val="18"/>
        </w:rPr>
        <w:t> </w:t>
      </w:r>
      <w:r>
        <w:rPr>
          <w:rFonts w:ascii="Arial"/>
          <w:color w:val="231F20"/>
          <w:sz w:val="18"/>
        </w:rPr>
        <w:t>1;</w:t>
      </w:r>
    </w:p>
    <w:p>
      <w:pPr>
        <w:spacing w:line="202" w:lineRule="exact" w:before="0"/>
        <w:ind w:left="3190" w:right="0" w:firstLine="0"/>
        <w:jc w:val="left"/>
        <w:rPr>
          <w:rFonts w:ascii="Arial"/>
          <w:sz w:val="18"/>
        </w:rPr>
      </w:pPr>
      <w:r>
        <w:rPr>
          <w:rFonts w:ascii="Arial"/>
          <w:color w:val="231F20"/>
          <w:sz w:val="18"/>
        </w:rPr>
        <w:t>B</w:t>
      </w:r>
      <w:r>
        <w:rPr>
          <w:rFonts w:ascii="Arial"/>
          <w:color w:val="231F20"/>
          <w:spacing w:val="39"/>
          <w:w w:val="105"/>
          <w:sz w:val="18"/>
        </w:rPr>
        <w:t> </w:t>
      </w:r>
      <w:r>
        <w:rPr>
          <w:rFonts w:ascii="Arial"/>
          <w:color w:val="231F20"/>
          <w:w w:val="105"/>
          <w:sz w:val="18"/>
        </w:rPr>
        <w:t>=</w:t>
      </w:r>
      <w:r>
        <w:rPr>
          <w:rFonts w:ascii="Arial"/>
          <w:color w:val="231F20"/>
          <w:spacing w:val="30"/>
          <w:w w:val="125"/>
          <w:sz w:val="18"/>
        </w:rPr>
        <w:t> </w:t>
      </w:r>
      <w:r>
        <w:rPr>
          <w:rFonts w:ascii="Arial"/>
          <w:color w:val="231F20"/>
          <w:w w:val="125"/>
          <w:sz w:val="18"/>
        </w:rPr>
        <w:t>a--;</w:t>
      </w:r>
      <w:r>
        <w:rPr>
          <w:rFonts w:ascii="Arial"/>
          <w:color w:val="231F20"/>
          <w:spacing w:val="15"/>
          <w:w w:val="155"/>
          <w:sz w:val="18"/>
        </w:rPr>
        <w:t> </w:t>
      </w:r>
      <w:r>
        <w:rPr>
          <w:rFonts w:ascii="Arial"/>
          <w:color w:val="231F20"/>
          <w:w w:val="155"/>
          <w:sz w:val="18"/>
        </w:rPr>
        <w:t>//</w:t>
      </w:r>
      <w:r>
        <w:rPr>
          <w:rFonts w:ascii="Arial"/>
          <w:color w:val="231F20"/>
          <w:spacing w:val="15"/>
          <w:w w:val="155"/>
          <w:sz w:val="18"/>
        </w:rPr>
        <w:t> </w:t>
      </w:r>
      <w:r>
        <w:rPr>
          <w:rFonts w:ascii="Arial"/>
          <w:color w:val="231F20"/>
          <w:w w:val="105"/>
          <w:sz w:val="18"/>
        </w:rPr>
        <w:t>b</w:t>
      </w:r>
      <w:r>
        <w:rPr>
          <w:rFonts w:ascii="Arial"/>
          <w:color w:val="231F20"/>
          <w:spacing w:val="30"/>
          <w:w w:val="125"/>
          <w:sz w:val="18"/>
        </w:rPr>
        <w:t> </w:t>
      </w:r>
      <w:r>
        <w:rPr>
          <w:rFonts w:ascii="Arial"/>
          <w:color w:val="231F20"/>
          <w:w w:val="125"/>
          <w:sz w:val="18"/>
        </w:rPr>
        <w:t>will</w:t>
      </w:r>
      <w:r>
        <w:rPr>
          <w:rFonts w:ascii="Arial"/>
          <w:color w:val="231F20"/>
          <w:spacing w:val="30"/>
          <w:w w:val="125"/>
          <w:sz w:val="18"/>
        </w:rPr>
        <w:t> </w:t>
      </w:r>
      <w:r>
        <w:rPr>
          <w:rFonts w:ascii="Arial"/>
          <w:color w:val="231F20"/>
          <w:w w:val="105"/>
          <w:sz w:val="18"/>
        </w:rPr>
        <w:t>equal</w:t>
      </w:r>
      <w:r>
        <w:rPr>
          <w:rFonts w:ascii="Arial"/>
          <w:color w:val="231F20"/>
          <w:spacing w:val="40"/>
          <w:w w:val="105"/>
          <w:sz w:val="18"/>
        </w:rPr>
        <w:t> </w:t>
      </w:r>
      <w:r>
        <w:rPr>
          <w:rFonts w:ascii="Arial"/>
          <w:color w:val="231F20"/>
          <w:w w:val="105"/>
          <w:sz w:val="18"/>
        </w:rPr>
        <w:t>1,</w:t>
      </w:r>
      <w:r>
        <w:rPr>
          <w:rFonts w:ascii="Arial"/>
          <w:color w:val="231F20"/>
          <w:spacing w:val="39"/>
          <w:w w:val="105"/>
          <w:sz w:val="18"/>
        </w:rPr>
        <w:t> </w:t>
      </w:r>
      <w:r>
        <w:rPr>
          <w:rFonts w:ascii="Arial"/>
          <w:color w:val="231F20"/>
          <w:w w:val="105"/>
          <w:sz w:val="18"/>
        </w:rPr>
        <w:t>a</w:t>
      </w:r>
      <w:r>
        <w:rPr>
          <w:rFonts w:ascii="Arial"/>
          <w:color w:val="231F20"/>
          <w:spacing w:val="30"/>
          <w:w w:val="125"/>
          <w:sz w:val="18"/>
        </w:rPr>
        <w:t> </w:t>
      </w:r>
      <w:r>
        <w:rPr>
          <w:rFonts w:ascii="Arial"/>
          <w:color w:val="231F20"/>
          <w:w w:val="125"/>
          <w:sz w:val="18"/>
        </w:rPr>
        <w:t>will</w:t>
      </w:r>
      <w:r>
        <w:rPr>
          <w:rFonts w:ascii="Arial"/>
          <w:color w:val="231F20"/>
          <w:spacing w:val="30"/>
          <w:w w:val="125"/>
          <w:sz w:val="18"/>
        </w:rPr>
        <w:t> </w:t>
      </w:r>
      <w:r>
        <w:rPr>
          <w:rFonts w:ascii="Arial"/>
          <w:color w:val="231F20"/>
          <w:w w:val="105"/>
          <w:sz w:val="18"/>
        </w:rPr>
        <w:t>equal</w:t>
      </w:r>
      <w:r>
        <w:rPr>
          <w:rFonts w:ascii="Arial"/>
          <w:color w:val="231F20"/>
          <w:spacing w:val="40"/>
          <w:w w:val="105"/>
          <w:sz w:val="18"/>
        </w:rPr>
        <w:t> </w:t>
      </w:r>
      <w:r>
        <w:rPr>
          <w:rFonts w:ascii="Arial"/>
          <w:color w:val="231F20"/>
          <w:spacing w:val="-5"/>
          <w:w w:val="105"/>
          <w:sz w:val="18"/>
        </w:rPr>
        <w:t>0;</w:t>
      </w:r>
    </w:p>
    <w:p>
      <w:pPr>
        <w:pStyle w:val="Heading6"/>
        <w:spacing w:before="128"/>
      </w:pPr>
      <w:r>
        <w:rPr>
          <w:color w:val="231F20"/>
        </w:rPr>
        <w:t>Binary</w:t>
      </w:r>
      <w:r>
        <w:rPr>
          <w:color w:val="231F20"/>
          <w:spacing w:val="8"/>
        </w:rPr>
        <w:t> </w:t>
      </w:r>
      <w:r>
        <w:rPr>
          <w:color w:val="231F20"/>
        </w:rPr>
        <w:t>arithmetic</w:t>
      </w:r>
      <w:r>
        <w:rPr>
          <w:color w:val="231F20"/>
          <w:spacing w:val="8"/>
        </w:rPr>
        <w:t> </w:t>
      </w:r>
      <w:r>
        <w:rPr>
          <w:color w:val="231F20"/>
          <w:spacing w:val="-2"/>
        </w:rPr>
        <w:t>operators</w:t>
      </w:r>
    </w:p>
    <w:p>
      <w:pPr>
        <w:pStyle w:val="BodyText"/>
        <w:spacing w:line="213" w:lineRule="auto" w:before="12"/>
        <w:ind w:left="3190" w:right="1114"/>
        <w:jc w:val="both"/>
      </w:pPr>
      <w:r>
        <w:rPr>
          <w:color w:val="231F20"/>
        </w:rPr>
        <w:t>Insert a space before and after an arithmetic operator. The </w:t>
      </w:r>
      <w:r>
        <w:rPr>
          <w:color w:val="231F20"/>
        </w:rPr>
        <w:t>binary arithmetic operators that are supported are listed below.</w:t>
      </w:r>
    </w:p>
    <w:p>
      <w:pPr>
        <w:spacing w:before="141"/>
        <w:ind w:left="2522" w:right="0" w:firstLine="0"/>
        <w:jc w:val="left"/>
        <w:rPr>
          <w:rFonts w:ascii="Arial"/>
          <w:i/>
          <w:sz w:val="18"/>
        </w:rPr>
      </w:pPr>
      <w:r>
        <w:rPr>
          <w:rFonts w:ascii="Arial"/>
          <w:i/>
          <w:color w:val="231F20"/>
          <w:sz w:val="18"/>
        </w:rPr>
        <w:t>Table</w:t>
      </w:r>
      <w:r>
        <w:rPr>
          <w:rFonts w:ascii="Arial"/>
          <w:i/>
          <w:color w:val="231F20"/>
          <w:spacing w:val="-10"/>
          <w:sz w:val="18"/>
        </w:rPr>
        <w:t> </w:t>
      </w:r>
      <w:r>
        <w:rPr>
          <w:rFonts w:ascii="Arial"/>
          <w:i/>
          <w:color w:val="231F20"/>
          <w:sz w:val="18"/>
        </w:rPr>
        <w:t>1. Binary</w:t>
      </w:r>
      <w:r>
        <w:rPr>
          <w:rFonts w:ascii="Arial"/>
          <w:i/>
          <w:color w:val="231F20"/>
          <w:spacing w:val="-6"/>
          <w:sz w:val="18"/>
        </w:rPr>
        <w:t> </w:t>
      </w:r>
      <w:r>
        <w:rPr>
          <w:rFonts w:ascii="Arial"/>
          <w:i/>
          <w:color w:val="231F20"/>
          <w:sz w:val="18"/>
        </w:rPr>
        <w:t>Arithmetic</w:t>
      </w:r>
      <w:r>
        <w:rPr>
          <w:rFonts w:ascii="Arial"/>
          <w:i/>
          <w:color w:val="231F20"/>
          <w:spacing w:val="-1"/>
          <w:sz w:val="18"/>
        </w:rPr>
        <w:t> </w:t>
      </w:r>
      <w:r>
        <w:rPr>
          <w:rFonts w:ascii="Arial"/>
          <w:i/>
          <w:color w:val="231F20"/>
          <w:spacing w:val="-2"/>
          <w:sz w:val="18"/>
        </w:rPr>
        <w:t>Operators</w:t>
      </w:r>
    </w:p>
    <w:p>
      <w:pPr>
        <w:pStyle w:val="BodyText"/>
        <w:spacing w:before="11"/>
        <w:rPr>
          <w:rFonts w:ascii="Arial"/>
          <w:i/>
          <w:sz w:val="7"/>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80"/>
        <w:gridCol w:w="1749"/>
        <w:gridCol w:w="1607"/>
        <w:gridCol w:w="2796"/>
      </w:tblGrid>
      <w:tr>
        <w:trPr>
          <w:trHeight w:val="274" w:hRule="atLeast"/>
        </w:trPr>
        <w:tc>
          <w:tcPr>
            <w:tcW w:w="1380" w:type="dxa"/>
          </w:tcPr>
          <w:p>
            <w:pPr>
              <w:pStyle w:val="TableParagraph"/>
              <w:spacing w:before="10"/>
              <w:ind w:left="1" w:right="3"/>
              <w:jc w:val="center"/>
              <w:rPr>
                <w:rFonts w:ascii="Book Antiqua"/>
                <w:b/>
                <w:sz w:val="18"/>
              </w:rPr>
            </w:pPr>
            <w:r>
              <w:rPr>
                <w:rFonts w:ascii="Book Antiqua"/>
                <w:b/>
                <w:color w:val="231F20"/>
                <w:spacing w:val="-2"/>
                <w:sz w:val="18"/>
              </w:rPr>
              <w:t>Symbol</w:t>
            </w:r>
          </w:p>
        </w:tc>
        <w:tc>
          <w:tcPr>
            <w:tcW w:w="1749" w:type="dxa"/>
          </w:tcPr>
          <w:p>
            <w:pPr>
              <w:pStyle w:val="TableParagraph"/>
              <w:spacing w:before="10"/>
              <w:ind w:left="455"/>
              <w:rPr>
                <w:rFonts w:ascii="Book Antiqua"/>
                <w:b/>
                <w:sz w:val="18"/>
              </w:rPr>
            </w:pPr>
            <w:r>
              <w:rPr>
                <w:rFonts w:ascii="Book Antiqua"/>
                <w:b/>
                <w:color w:val="231F20"/>
                <w:spacing w:val="-2"/>
                <w:sz w:val="18"/>
              </w:rPr>
              <w:t>Operation</w:t>
            </w:r>
          </w:p>
        </w:tc>
        <w:tc>
          <w:tcPr>
            <w:tcW w:w="1607" w:type="dxa"/>
          </w:tcPr>
          <w:p>
            <w:pPr>
              <w:pStyle w:val="TableParagraph"/>
              <w:spacing w:before="10"/>
              <w:ind w:left="10"/>
              <w:jc w:val="center"/>
              <w:rPr>
                <w:rFonts w:ascii="Book Antiqua"/>
                <w:b/>
                <w:sz w:val="18"/>
              </w:rPr>
            </w:pPr>
            <w:r>
              <w:rPr>
                <w:rFonts w:ascii="Book Antiqua"/>
                <w:b/>
                <w:color w:val="231F20"/>
                <w:spacing w:val="-2"/>
                <w:sz w:val="18"/>
              </w:rPr>
              <w:t>Example</w:t>
            </w:r>
          </w:p>
        </w:tc>
        <w:tc>
          <w:tcPr>
            <w:tcW w:w="2796" w:type="dxa"/>
          </w:tcPr>
          <w:p>
            <w:pPr>
              <w:pStyle w:val="TableParagraph"/>
              <w:spacing w:before="10"/>
              <w:ind w:left="922"/>
              <w:rPr>
                <w:rFonts w:ascii="Book Antiqua"/>
                <w:b/>
                <w:sz w:val="18"/>
              </w:rPr>
            </w:pPr>
            <w:r>
              <w:rPr>
                <w:rFonts w:ascii="Book Antiqua"/>
                <w:b/>
                <w:color w:val="231F20"/>
                <w:spacing w:val="-2"/>
                <w:sz w:val="18"/>
              </w:rPr>
              <w:t>Description</w:t>
            </w:r>
          </w:p>
        </w:tc>
      </w:tr>
      <w:tr>
        <w:trPr>
          <w:trHeight w:val="309" w:hRule="atLeast"/>
        </w:trPr>
        <w:tc>
          <w:tcPr>
            <w:tcW w:w="1380" w:type="dxa"/>
          </w:tcPr>
          <w:p>
            <w:pPr>
              <w:pStyle w:val="TableParagraph"/>
              <w:ind w:left="1" w:right="3"/>
              <w:jc w:val="center"/>
              <w:rPr>
                <w:sz w:val="18"/>
              </w:rPr>
            </w:pPr>
            <w:r>
              <w:rPr>
                <w:color w:val="231F20"/>
                <w:spacing w:val="-10"/>
                <w:w w:val="120"/>
                <w:sz w:val="18"/>
              </w:rPr>
              <w:t>+</w:t>
            </w:r>
          </w:p>
        </w:tc>
        <w:tc>
          <w:tcPr>
            <w:tcW w:w="1749" w:type="dxa"/>
          </w:tcPr>
          <w:p>
            <w:pPr>
              <w:pStyle w:val="TableParagraph"/>
              <w:rPr>
                <w:sz w:val="18"/>
              </w:rPr>
            </w:pPr>
            <w:r>
              <w:rPr>
                <w:color w:val="231F20"/>
                <w:spacing w:val="-2"/>
                <w:sz w:val="18"/>
              </w:rPr>
              <w:t>Addition</w:t>
            </w:r>
          </w:p>
        </w:tc>
        <w:tc>
          <w:tcPr>
            <w:tcW w:w="1607" w:type="dxa"/>
          </w:tcPr>
          <w:p>
            <w:pPr>
              <w:pStyle w:val="TableParagraph"/>
              <w:ind w:left="10"/>
              <w:jc w:val="center"/>
              <w:rPr>
                <w:sz w:val="18"/>
              </w:rPr>
            </w:pPr>
            <w:r>
              <w:rPr>
                <w:color w:val="231F20"/>
                <w:w w:val="105"/>
                <w:sz w:val="18"/>
              </w:rPr>
              <w:t>a</w:t>
            </w:r>
            <w:r>
              <w:rPr>
                <w:color w:val="231F20"/>
                <w:spacing w:val="15"/>
                <w:w w:val="105"/>
                <w:sz w:val="18"/>
              </w:rPr>
              <w:t> </w:t>
            </w:r>
            <w:r>
              <w:rPr>
                <w:color w:val="231F20"/>
                <w:w w:val="105"/>
                <w:sz w:val="18"/>
              </w:rPr>
              <w:t>+</w:t>
            </w:r>
            <w:r>
              <w:rPr>
                <w:color w:val="231F20"/>
                <w:spacing w:val="16"/>
                <w:w w:val="105"/>
                <w:sz w:val="18"/>
              </w:rPr>
              <w:t> </w:t>
            </w:r>
            <w:r>
              <w:rPr>
                <w:color w:val="231F20"/>
                <w:spacing w:val="-10"/>
                <w:w w:val="105"/>
                <w:sz w:val="18"/>
              </w:rPr>
              <w:t>b</w:t>
            </w:r>
          </w:p>
        </w:tc>
        <w:tc>
          <w:tcPr>
            <w:tcW w:w="2796" w:type="dxa"/>
          </w:tcPr>
          <w:p>
            <w:pPr>
              <w:pStyle w:val="TableParagraph"/>
              <w:ind w:left="60"/>
              <w:rPr>
                <w:sz w:val="18"/>
              </w:rPr>
            </w:pPr>
            <w:r>
              <w:rPr>
                <w:color w:val="231F20"/>
                <w:sz w:val="18"/>
              </w:rPr>
              <w:t>Add</w:t>
            </w:r>
            <w:r>
              <w:rPr>
                <w:color w:val="231F20"/>
                <w:spacing w:val="10"/>
                <w:sz w:val="18"/>
              </w:rPr>
              <w:t> </w:t>
            </w:r>
            <w:r>
              <w:rPr>
                <w:color w:val="231F20"/>
                <w:sz w:val="18"/>
              </w:rPr>
              <w:t>the</w:t>
            </w:r>
            <w:r>
              <w:rPr>
                <w:color w:val="231F20"/>
                <w:spacing w:val="11"/>
                <w:sz w:val="18"/>
              </w:rPr>
              <w:t> </w:t>
            </w:r>
            <w:r>
              <w:rPr>
                <w:color w:val="231F20"/>
                <w:sz w:val="18"/>
              </w:rPr>
              <w:t>two</w:t>
            </w:r>
            <w:r>
              <w:rPr>
                <w:color w:val="231F20"/>
                <w:spacing w:val="11"/>
                <w:sz w:val="18"/>
              </w:rPr>
              <w:t> </w:t>
            </w:r>
            <w:r>
              <w:rPr>
                <w:color w:val="231F20"/>
                <w:spacing w:val="-2"/>
                <w:sz w:val="18"/>
              </w:rPr>
              <w:t>operands</w:t>
            </w:r>
          </w:p>
        </w:tc>
      </w:tr>
      <w:tr>
        <w:trPr>
          <w:trHeight w:val="528" w:hRule="atLeast"/>
        </w:trPr>
        <w:tc>
          <w:tcPr>
            <w:tcW w:w="1380" w:type="dxa"/>
          </w:tcPr>
          <w:p>
            <w:pPr>
              <w:pStyle w:val="TableParagraph"/>
              <w:ind w:left="0" w:right="3"/>
              <w:jc w:val="center"/>
              <w:rPr>
                <w:sz w:val="18"/>
              </w:rPr>
            </w:pPr>
            <w:r>
              <w:rPr>
                <w:color w:val="231F20"/>
                <w:spacing w:val="-10"/>
                <w:sz w:val="18"/>
              </w:rPr>
              <w:t>-</w:t>
            </w:r>
          </w:p>
        </w:tc>
        <w:tc>
          <w:tcPr>
            <w:tcW w:w="1749" w:type="dxa"/>
          </w:tcPr>
          <w:p>
            <w:pPr>
              <w:pStyle w:val="TableParagraph"/>
              <w:rPr>
                <w:sz w:val="18"/>
              </w:rPr>
            </w:pPr>
            <w:r>
              <w:rPr>
                <w:color w:val="231F20"/>
                <w:spacing w:val="-2"/>
                <w:sz w:val="18"/>
              </w:rPr>
              <w:t>Subtraction</w:t>
            </w:r>
          </w:p>
        </w:tc>
        <w:tc>
          <w:tcPr>
            <w:tcW w:w="1607" w:type="dxa"/>
          </w:tcPr>
          <w:p>
            <w:pPr>
              <w:pStyle w:val="TableParagraph"/>
              <w:ind w:left="10"/>
              <w:jc w:val="center"/>
              <w:rPr>
                <w:sz w:val="18"/>
              </w:rPr>
            </w:pPr>
            <w:r>
              <w:rPr>
                <w:color w:val="231F20"/>
                <w:sz w:val="18"/>
              </w:rPr>
              <w:t>a</w:t>
            </w:r>
            <w:r>
              <w:rPr>
                <w:color w:val="231F20"/>
                <w:spacing w:val="13"/>
                <w:sz w:val="18"/>
              </w:rPr>
              <w:t> </w:t>
            </w:r>
            <w:r>
              <w:rPr>
                <w:color w:val="231F20"/>
                <w:sz w:val="18"/>
              </w:rPr>
              <w:t>-</w:t>
            </w:r>
            <w:r>
              <w:rPr>
                <w:color w:val="231F20"/>
                <w:spacing w:val="13"/>
                <w:sz w:val="18"/>
              </w:rPr>
              <w:t> </w:t>
            </w:r>
            <w:r>
              <w:rPr>
                <w:color w:val="231F20"/>
                <w:spacing w:val="-10"/>
                <w:sz w:val="18"/>
              </w:rPr>
              <w:t>b</w:t>
            </w:r>
          </w:p>
        </w:tc>
        <w:tc>
          <w:tcPr>
            <w:tcW w:w="2796" w:type="dxa"/>
          </w:tcPr>
          <w:p>
            <w:pPr>
              <w:pStyle w:val="TableParagraph"/>
              <w:spacing w:line="216" w:lineRule="auto" w:before="44"/>
              <w:ind w:left="60" w:right="89" w:hanging="1"/>
              <w:rPr>
                <w:sz w:val="18"/>
              </w:rPr>
            </w:pPr>
            <w:r>
              <w:rPr>
                <w:color w:val="231F20"/>
                <w:sz w:val="18"/>
              </w:rPr>
              <w:t>Subtract the second </w:t>
            </w:r>
            <w:r>
              <w:rPr>
                <w:color w:val="231F20"/>
                <w:sz w:val="18"/>
              </w:rPr>
              <w:t>operand from the first operand</w:t>
            </w:r>
          </w:p>
        </w:tc>
      </w:tr>
      <w:tr>
        <w:trPr>
          <w:trHeight w:val="309" w:hRule="atLeast"/>
        </w:trPr>
        <w:tc>
          <w:tcPr>
            <w:tcW w:w="1380" w:type="dxa"/>
          </w:tcPr>
          <w:p>
            <w:pPr>
              <w:pStyle w:val="TableParagraph"/>
              <w:ind w:left="0" w:right="3"/>
              <w:jc w:val="center"/>
              <w:rPr>
                <w:sz w:val="18"/>
              </w:rPr>
            </w:pPr>
            <w:r>
              <w:rPr>
                <w:color w:val="231F20"/>
                <w:spacing w:val="-10"/>
                <w:sz w:val="18"/>
              </w:rPr>
              <w:t>*</w:t>
            </w:r>
          </w:p>
        </w:tc>
        <w:tc>
          <w:tcPr>
            <w:tcW w:w="1749" w:type="dxa"/>
          </w:tcPr>
          <w:p>
            <w:pPr>
              <w:pStyle w:val="TableParagraph"/>
              <w:rPr>
                <w:sz w:val="18"/>
              </w:rPr>
            </w:pPr>
            <w:r>
              <w:rPr>
                <w:color w:val="231F20"/>
                <w:spacing w:val="-2"/>
                <w:sz w:val="18"/>
              </w:rPr>
              <w:t>Multiplication</w:t>
            </w:r>
          </w:p>
        </w:tc>
        <w:tc>
          <w:tcPr>
            <w:tcW w:w="1607" w:type="dxa"/>
          </w:tcPr>
          <w:p>
            <w:pPr>
              <w:pStyle w:val="TableParagraph"/>
              <w:ind w:left="10"/>
              <w:jc w:val="center"/>
              <w:rPr>
                <w:sz w:val="18"/>
              </w:rPr>
            </w:pPr>
            <w:r>
              <w:rPr>
                <w:color w:val="231F20"/>
                <w:sz w:val="18"/>
              </w:rPr>
              <w:t>a</w:t>
            </w:r>
            <w:r>
              <w:rPr>
                <w:color w:val="231F20"/>
                <w:spacing w:val="13"/>
                <w:sz w:val="18"/>
              </w:rPr>
              <w:t> </w:t>
            </w:r>
            <w:r>
              <w:rPr>
                <w:color w:val="231F20"/>
                <w:sz w:val="18"/>
              </w:rPr>
              <w:t>*</w:t>
            </w:r>
            <w:r>
              <w:rPr>
                <w:color w:val="231F20"/>
                <w:spacing w:val="13"/>
                <w:sz w:val="18"/>
              </w:rPr>
              <w:t> </w:t>
            </w:r>
            <w:r>
              <w:rPr>
                <w:color w:val="231F20"/>
                <w:spacing w:val="-10"/>
                <w:sz w:val="18"/>
              </w:rPr>
              <w:t>b</w:t>
            </w:r>
          </w:p>
        </w:tc>
        <w:tc>
          <w:tcPr>
            <w:tcW w:w="2796" w:type="dxa"/>
          </w:tcPr>
          <w:p>
            <w:pPr>
              <w:pStyle w:val="TableParagraph"/>
              <w:ind w:left="60"/>
              <w:rPr>
                <w:sz w:val="18"/>
              </w:rPr>
            </w:pPr>
            <w:r>
              <w:rPr>
                <w:color w:val="231F20"/>
                <w:sz w:val="18"/>
              </w:rPr>
              <w:t>Multiply</w:t>
            </w:r>
            <w:r>
              <w:rPr>
                <w:color w:val="231F20"/>
                <w:spacing w:val="9"/>
                <w:sz w:val="18"/>
              </w:rPr>
              <w:t> </w:t>
            </w:r>
            <w:r>
              <w:rPr>
                <w:color w:val="231F20"/>
                <w:sz w:val="18"/>
              </w:rPr>
              <w:t>the</w:t>
            </w:r>
            <w:r>
              <w:rPr>
                <w:color w:val="231F20"/>
                <w:spacing w:val="10"/>
                <w:sz w:val="18"/>
              </w:rPr>
              <w:t> </w:t>
            </w:r>
            <w:r>
              <w:rPr>
                <w:color w:val="231F20"/>
                <w:sz w:val="18"/>
              </w:rPr>
              <w:t>two</w:t>
            </w:r>
            <w:r>
              <w:rPr>
                <w:color w:val="231F20"/>
                <w:spacing w:val="10"/>
                <w:sz w:val="18"/>
              </w:rPr>
              <w:t> </w:t>
            </w:r>
            <w:r>
              <w:rPr>
                <w:color w:val="231F20"/>
                <w:spacing w:val="-2"/>
                <w:sz w:val="18"/>
              </w:rPr>
              <w:t>operands</w:t>
            </w:r>
          </w:p>
        </w:tc>
      </w:tr>
      <w:tr>
        <w:trPr>
          <w:trHeight w:val="528" w:hRule="atLeast"/>
        </w:trPr>
        <w:tc>
          <w:tcPr>
            <w:tcW w:w="1380" w:type="dxa"/>
          </w:tcPr>
          <w:p>
            <w:pPr>
              <w:pStyle w:val="TableParagraph"/>
              <w:ind w:left="1" w:right="3"/>
              <w:jc w:val="center"/>
              <w:rPr>
                <w:sz w:val="18"/>
              </w:rPr>
            </w:pPr>
            <w:r>
              <w:rPr>
                <w:color w:val="231F20"/>
                <w:spacing w:val="-10"/>
                <w:w w:val="190"/>
                <w:sz w:val="18"/>
              </w:rPr>
              <w:t>/</w:t>
            </w:r>
          </w:p>
        </w:tc>
        <w:tc>
          <w:tcPr>
            <w:tcW w:w="1749" w:type="dxa"/>
          </w:tcPr>
          <w:p>
            <w:pPr>
              <w:pStyle w:val="TableParagraph"/>
              <w:rPr>
                <w:sz w:val="18"/>
              </w:rPr>
            </w:pPr>
            <w:r>
              <w:rPr>
                <w:color w:val="231F20"/>
                <w:spacing w:val="-2"/>
                <w:sz w:val="18"/>
              </w:rPr>
              <w:t>Division</w:t>
            </w:r>
          </w:p>
        </w:tc>
        <w:tc>
          <w:tcPr>
            <w:tcW w:w="1607" w:type="dxa"/>
          </w:tcPr>
          <w:p>
            <w:pPr>
              <w:pStyle w:val="TableParagraph"/>
              <w:ind w:left="10"/>
              <w:jc w:val="center"/>
              <w:rPr>
                <w:sz w:val="18"/>
              </w:rPr>
            </w:pPr>
            <w:r>
              <w:rPr>
                <w:color w:val="231F20"/>
                <w:w w:val="110"/>
                <w:sz w:val="18"/>
              </w:rPr>
              <w:t>a</w:t>
            </w:r>
            <w:r>
              <w:rPr>
                <w:color w:val="231F20"/>
                <w:spacing w:val="-18"/>
                <w:w w:val="170"/>
                <w:sz w:val="18"/>
              </w:rPr>
              <w:t> </w:t>
            </w:r>
            <w:r>
              <w:rPr>
                <w:color w:val="231F20"/>
                <w:w w:val="170"/>
                <w:sz w:val="18"/>
              </w:rPr>
              <w:t>/</w:t>
            </w:r>
            <w:r>
              <w:rPr>
                <w:color w:val="231F20"/>
                <w:spacing w:val="-17"/>
                <w:w w:val="170"/>
                <w:sz w:val="18"/>
              </w:rPr>
              <w:t> </w:t>
            </w:r>
            <w:r>
              <w:rPr>
                <w:color w:val="231F20"/>
                <w:spacing w:val="-10"/>
                <w:w w:val="110"/>
                <w:sz w:val="18"/>
              </w:rPr>
              <w:t>b</w:t>
            </w:r>
          </w:p>
        </w:tc>
        <w:tc>
          <w:tcPr>
            <w:tcW w:w="2796" w:type="dxa"/>
          </w:tcPr>
          <w:p>
            <w:pPr>
              <w:pStyle w:val="TableParagraph"/>
              <w:spacing w:line="216" w:lineRule="auto" w:before="44"/>
              <w:ind w:left="60"/>
              <w:rPr>
                <w:sz w:val="18"/>
              </w:rPr>
            </w:pPr>
            <w:r>
              <w:rPr>
                <w:color w:val="231F20"/>
                <w:sz w:val="18"/>
              </w:rPr>
              <w:t>Divide the first operand by </w:t>
            </w:r>
            <w:r>
              <w:rPr>
                <w:color w:val="231F20"/>
                <w:sz w:val="18"/>
              </w:rPr>
              <w:t>the second operand</w:t>
            </w:r>
          </w:p>
        </w:tc>
      </w:tr>
      <w:tr>
        <w:trPr>
          <w:trHeight w:val="528" w:hRule="atLeast"/>
        </w:trPr>
        <w:tc>
          <w:tcPr>
            <w:tcW w:w="1380" w:type="dxa"/>
          </w:tcPr>
          <w:p>
            <w:pPr>
              <w:pStyle w:val="TableParagraph"/>
              <w:ind w:left="0" w:right="3"/>
              <w:jc w:val="center"/>
              <w:rPr>
                <w:sz w:val="18"/>
              </w:rPr>
            </w:pPr>
            <w:r>
              <w:rPr>
                <w:color w:val="231F20"/>
                <w:spacing w:val="-5"/>
                <w:sz w:val="18"/>
              </w:rPr>
              <w:t>**</w:t>
            </w:r>
          </w:p>
        </w:tc>
        <w:tc>
          <w:tcPr>
            <w:tcW w:w="1749" w:type="dxa"/>
          </w:tcPr>
          <w:p>
            <w:pPr>
              <w:pStyle w:val="TableParagraph"/>
              <w:rPr>
                <w:sz w:val="18"/>
              </w:rPr>
            </w:pPr>
            <w:r>
              <w:rPr>
                <w:color w:val="231F20"/>
                <w:spacing w:val="-2"/>
                <w:sz w:val="18"/>
              </w:rPr>
              <w:t>Power</w:t>
            </w:r>
          </w:p>
        </w:tc>
        <w:tc>
          <w:tcPr>
            <w:tcW w:w="1607" w:type="dxa"/>
          </w:tcPr>
          <w:p>
            <w:pPr>
              <w:pStyle w:val="TableParagraph"/>
              <w:ind w:left="10"/>
              <w:jc w:val="center"/>
              <w:rPr>
                <w:sz w:val="18"/>
              </w:rPr>
            </w:pPr>
            <w:r>
              <w:rPr>
                <w:color w:val="231F20"/>
                <w:sz w:val="18"/>
              </w:rPr>
              <w:t>a</w:t>
            </w:r>
            <w:r>
              <w:rPr>
                <w:color w:val="231F20"/>
                <w:spacing w:val="12"/>
                <w:sz w:val="18"/>
              </w:rPr>
              <w:t> </w:t>
            </w:r>
            <w:r>
              <w:rPr>
                <w:color w:val="231F20"/>
                <w:sz w:val="18"/>
              </w:rPr>
              <w:t>**</w:t>
            </w:r>
            <w:r>
              <w:rPr>
                <w:color w:val="231F20"/>
                <w:spacing w:val="13"/>
                <w:sz w:val="18"/>
              </w:rPr>
              <w:t> </w:t>
            </w:r>
            <w:r>
              <w:rPr>
                <w:color w:val="231F20"/>
                <w:spacing w:val="-10"/>
                <w:sz w:val="18"/>
              </w:rPr>
              <w:t>b</w:t>
            </w:r>
          </w:p>
        </w:tc>
        <w:tc>
          <w:tcPr>
            <w:tcW w:w="2796" w:type="dxa"/>
          </w:tcPr>
          <w:p>
            <w:pPr>
              <w:pStyle w:val="TableParagraph"/>
              <w:spacing w:line="216" w:lineRule="auto" w:before="44"/>
              <w:ind w:left="60" w:right="89" w:hanging="1"/>
              <w:rPr>
                <w:sz w:val="18"/>
              </w:rPr>
            </w:pPr>
            <w:r>
              <w:rPr>
                <w:color w:val="231F20"/>
                <w:sz w:val="18"/>
              </w:rPr>
              <w:t>Raise the first operand by </w:t>
            </w:r>
            <w:r>
              <w:rPr>
                <w:color w:val="231F20"/>
                <w:sz w:val="18"/>
              </w:rPr>
              <w:t>the power</w:t>
            </w:r>
            <w:r>
              <w:rPr>
                <w:color w:val="231F20"/>
                <w:spacing w:val="10"/>
                <w:sz w:val="18"/>
              </w:rPr>
              <w:t> </w:t>
            </w:r>
            <w:r>
              <w:rPr>
                <w:color w:val="231F20"/>
                <w:sz w:val="18"/>
              </w:rPr>
              <w:t>of</w:t>
            </w:r>
            <w:r>
              <w:rPr>
                <w:color w:val="231F20"/>
                <w:spacing w:val="10"/>
                <w:sz w:val="18"/>
              </w:rPr>
              <w:t> </w:t>
            </w:r>
            <w:r>
              <w:rPr>
                <w:color w:val="231F20"/>
                <w:sz w:val="18"/>
              </w:rPr>
              <w:t>the</w:t>
            </w:r>
            <w:r>
              <w:rPr>
                <w:color w:val="231F20"/>
                <w:spacing w:val="10"/>
                <w:sz w:val="18"/>
              </w:rPr>
              <w:t> </w:t>
            </w:r>
            <w:r>
              <w:rPr>
                <w:color w:val="231F20"/>
                <w:sz w:val="18"/>
              </w:rPr>
              <w:t>second</w:t>
            </w:r>
            <w:r>
              <w:rPr>
                <w:color w:val="231F20"/>
                <w:spacing w:val="11"/>
                <w:sz w:val="18"/>
              </w:rPr>
              <w:t> </w:t>
            </w:r>
            <w:r>
              <w:rPr>
                <w:color w:val="231F20"/>
                <w:spacing w:val="-2"/>
                <w:sz w:val="18"/>
              </w:rPr>
              <w:t>operand</w:t>
            </w:r>
          </w:p>
        </w:tc>
      </w:tr>
      <w:tr>
        <w:trPr>
          <w:trHeight w:val="753" w:hRule="atLeast"/>
        </w:trPr>
        <w:tc>
          <w:tcPr>
            <w:tcW w:w="1380" w:type="dxa"/>
          </w:tcPr>
          <w:p>
            <w:pPr>
              <w:pStyle w:val="TableParagraph"/>
              <w:ind w:left="0" w:right="3"/>
              <w:jc w:val="center"/>
              <w:rPr>
                <w:sz w:val="18"/>
              </w:rPr>
            </w:pPr>
            <w:r>
              <w:rPr>
                <w:color w:val="231F20"/>
                <w:spacing w:val="-10"/>
                <w:sz w:val="18"/>
              </w:rPr>
              <w:t>%</w:t>
            </w:r>
          </w:p>
        </w:tc>
        <w:tc>
          <w:tcPr>
            <w:tcW w:w="1749" w:type="dxa"/>
          </w:tcPr>
          <w:p>
            <w:pPr>
              <w:pStyle w:val="TableParagraph"/>
              <w:spacing w:before="205"/>
              <w:rPr>
                <w:sz w:val="18"/>
              </w:rPr>
            </w:pPr>
            <w:r>
              <w:rPr>
                <w:color w:val="231F20"/>
                <w:spacing w:val="-2"/>
                <w:sz w:val="18"/>
              </w:rPr>
              <w:t>Modulo</w:t>
            </w:r>
          </w:p>
        </w:tc>
        <w:tc>
          <w:tcPr>
            <w:tcW w:w="1607" w:type="dxa"/>
          </w:tcPr>
          <w:p>
            <w:pPr>
              <w:pStyle w:val="TableParagraph"/>
              <w:spacing w:before="205"/>
              <w:ind w:left="10"/>
              <w:jc w:val="center"/>
              <w:rPr>
                <w:sz w:val="18"/>
              </w:rPr>
            </w:pPr>
            <w:r>
              <w:rPr>
                <w:color w:val="231F20"/>
                <w:sz w:val="18"/>
              </w:rPr>
              <w:t>a</w:t>
            </w:r>
            <w:r>
              <w:rPr>
                <w:color w:val="231F20"/>
                <w:spacing w:val="12"/>
                <w:sz w:val="18"/>
              </w:rPr>
              <w:t> </w:t>
            </w:r>
            <w:r>
              <w:rPr>
                <w:color w:val="231F20"/>
                <w:sz w:val="18"/>
              </w:rPr>
              <w:t>%</w:t>
            </w:r>
            <w:r>
              <w:rPr>
                <w:color w:val="231F20"/>
                <w:spacing w:val="13"/>
                <w:sz w:val="18"/>
              </w:rPr>
              <w:t> </w:t>
            </w:r>
            <w:r>
              <w:rPr>
                <w:color w:val="231F20"/>
                <w:spacing w:val="-10"/>
                <w:sz w:val="18"/>
              </w:rPr>
              <w:t>b</w:t>
            </w:r>
          </w:p>
        </w:tc>
        <w:tc>
          <w:tcPr>
            <w:tcW w:w="2796" w:type="dxa"/>
          </w:tcPr>
          <w:p>
            <w:pPr>
              <w:pStyle w:val="TableParagraph"/>
              <w:spacing w:line="216" w:lineRule="auto" w:before="44"/>
              <w:ind w:left="60"/>
              <w:rPr>
                <w:sz w:val="18"/>
              </w:rPr>
            </w:pPr>
            <w:r>
              <w:rPr>
                <w:color w:val="231F20"/>
                <w:sz w:val="18"/>
              </w:rPr>
              <w:t>Divide the first operand by </w:t>
            </w:r>
            <w:r>
              <w:rPr>
                <w:color w:val="231F20"/>
                <w:sz w:val="18"/>
              </w:rPr>
              <w:t>the second operand and yield the remainder portion</w:t>
            </w:r>
          </w:p>
        </w:tc>
      </w:tr>
    </w:tbl>
    <w:p>
      <w:pPr>
        <w:pStyle w:val="BodyText"/>
        <w:spacing w:before="82"/>
        <w:rPr>
          <w:rFonts w:ascii="Arial"/>
          <w:i/>
          <w:sz w:val="18"/>
        </w:rPr>
      </w:pPr>
    </w:p>
    <w:p>
      <w:pPr>
        <w:pStyle w:val="Heading6"/>
        <w:spacing w:before="0"/>
      </w:pPr>
      <w:r>
        <w:rPr>
          <w:color w:val="231F20"/>
        </w:rPr>
        <w:t>Operator</w:t>
      </w:r>
      <w:r>
        <w:rPr>
          <w:color w:val="231F20"/>
          <w:spacing w:val="7"/>
        </w:rPr>
        <w:t> </w:t>
      </w:r>
      <w:r>
        <w:rPr>
          <w:color w:val="231F20"/>
          <w:spacing w:val="-2"/>
        </w:rPr>
        <w:t>precedence</w:t>
      </w:r>
    </w:p>
    <w:p>
      <w:pPr>
        <w:pStyle w:val="BodyText"/>
        <w:spacing w:line="213" w:lineRule="auto" w:before="11"/>
        <w:ind w:left="3190" w:right="385"/>
      </w:pPr>
      <w:r>
        <w:rPr>
          <w:color w:val="231F20"/>
        </w:rPr>
        <w:t>Expressions are normally evaluated left to right. Complex expressions are evaluated one at a time. The order in which the expressions are evaluated</w:t>
      </w:r>
      <w:r>
        <w:rPr>
          <w:color w:val="231F20"/>
          <w:spacing w:val="40"/>
        </w:rPr>
        <w:t> </w:t>
      </w:r>
      <w:r>
        <w:rPr>
          <w:color w:val="231F20"/>
        </w:rPr>
        <w:t>is determined by the precedence of the operators used. The standard C ordering is followed.</w:t>
      </w:r>
    </w:p>
    <w:p>
      <w:pPr>
        <w:pStyle w:val="ListParagraph"/>
        <w:numPr>
          <w:ilvl w:val="0"/>
          <w:numId w:val="86"/>
        </w:numPr>
        <w:tabs>
          <w:tab w:pos="3505" w:val="left" w:leader="none"/>
        </w:tabs>
        <w:spacing w:line="240" w:lineRule="auto" w:before="34" w:after="0"/>
        <w:ind w:left="3505" w:right="0" w:hanging="315"/>
        <w:jc w:val="left"/>
        <w:rPr>
          <w:sz w:val="20"/>
        </w:rPr>
      </w:pPr>
      <w:r>
        <w:rPr>
          <w:color w:val="231F20"/>
          <w:sz w:val="20"/>
        </w:rPr>
        <w:t>negation</w:t>
      </w:r>
      <w:r>
        <w:rPr>
          <w:color w:val="231F20"/>
          <w:spacing w:val="11"/>
          <w:sz w:val="20"/>
        </w:rPr>
        <w:t> </w:t>
      </w:r>
      <w:r>
        <w:rPr>
          <w:color w:val="231F20"/>
          <w:sz w:val="20"/>
        </w:rPr>
        <w:t>(-)</w:t>
      </w:r>
      <w:r>
        <w:rPr>
          <w:color w:val="231F20"/>
          <w:spacing w:val="11"/>
          <w:sz w:val="20"/>
        </w:rPr>
        <w:t> </w:t>
      </w:r>
      <w:r>
        <w:rPr>
          <w:color w:val="231F20"/>
          <w:spacing w:val="-2"/>
          <w:sz w:val="20"/>
        </w:rPr>
        <w:t>unary</w:t>
      </w:r>
    </w:p>
    <w:p>
      <w:pPr>
        <w:pStyle w:val="ListParagraph"/>
        <w:numPr>
          <w:ilvl w:val="0"/>
          <w:numId w:val="86"/>
        </w:numPr>
        <w:tabs>
          <w:tab w:pos="3505" w:val="left" w:leader="none"/>
        </w:tabs>
        <w:spacing w:line="240" w:lineRule="auto" w:before="30" w:after="0"/>
        <w:ind w:left="3505" w:right="0" w:hanging="315"/>
        <w:jc w:val="left"/>
        <w:rPr>
          <w:sz w:val="20"/>
        </w:rPr>
      </w:pPr>
      <w:r>
        <w:rPr>
          <w:color w:val="231F20"/>
          <w:spacing w:val="-2"/>
          <w:sz w:val="20"/>
        </w:rPr>
        <w:t>power</w:t>
      </w:r>
    </w:p>
    <w:p>
      <w:pPr>
        <w:pStyle w:val="ListParagraph"/>
        <w:numPr>
          <w:ilvl w:val="0"/>
          <w:numId w:val="86"/>
        </w:numPr>
        <w:tabs>
          <w:tab w:pos="3505" w:val="left" w:leader="none"/>
        </w:tabs>
        <w:spacing w:line="240" w:lineRule="auto" w:before="29" w:after="0"/>
        <w:ind w:left="3505" w:right="0" w:hanging="315"/>
        <w:jc w:val="left"/>
        <w:rPr>
          <w:sz w:val="20"/>
        </w:rPr>
      </w:pPr>
      <w:r>
        <w:rPr>
          <w:color w:val="231F20"/>
          <w:sz w:val="20"/>
        </w:rPr>
        <w:t>multiplication,</w:t>
      </w:r>
      <w:r>
        <w:rPr>
          <w:color w:val="231F20"/>
          <w:spacing w:val="8"/>
          <w:sz w:val="20"/>
        </w:rPr>
        <w:t> </w:t>
      </w:r>
      <w:r>
        <w:rPr>
          <w:color w:val="231F20"/>
          <w:sz w:val="20"/>
        </w:rPr>
        <w:t>division</w:t>
      </w:r>
      <w:r>
        <w:rPr>
          <w:color w:val="231F20"/>
          <w:spacing w:val="8"/>
          <w:sz w:val="20"/>
        </w:rPr>
        <w:t> </w:t>
      </w:r>
      <w:r>
        <w:rPr>
          <w:color w:val="231F20"/>
          <w:sz w:val="20"/>
        </w:rPr>
        <w:t>and</w:t>
      </w:r>
      <w:r>
        <w:rPr>
          <w:color w:val="231F20"/>
          <w:spacing w:val="8"/>
          <w:sz w:val="20"/>
        </w:rPr>
        <w:t> </w:t>
      </w:r>
      <w:r>
        <w:rPr>
          <w:color w:val="231F20"/>
          <w:spacing w:val="-2"/>
          <w:sz w:val="20"/>
        </w:rPr>
        <w:t>modulo</w:t>
      </w:r>
    </w:p>
    <w:p>
      <w:pPr>
        <w:pStyle w:val="ListParagraph"/>
        <w:numPr>
          <w:ilvl w:val="0"/>
          <w:numId w:val="86"/>
        </w:numPr>
        <w:tabs>
          <w:tab w:pos="3505" w:val="left" w:leader="none"/>
        </w:tabs>
        <w:spacing w:line="240" w:lineRule="auto" w:before="30" w:after="0"/>
        <w:ind w:left="3505" w:right="0" w:hanging="315"/>
        <w:jc w:val="left"/>
        <w:rPr>
          <w:sz w:val="20"/>
        </w:rPr>
      </w:pPr>
      <w:r>
        <w:rPr>
          <w:color w:val="231F20"/>
          <w:sz w:val="20"/>
        </w:rPr>
        <w:t>addition</w:t>
      </w:r>
      <w:r>
        <w:rPr>
          <w:color w:val="231F20"/>
          <w:spacing w:val="10"/>
          <w:sz w:val="20"/>
        </w:rPr>
        <w:t> </w:t>
      </w:r>
      <w:r>
        <w:rPr>
          <w:color w:val="231F20"/>
          <w:sz w:val="20"/>
        </w:rPr>
        <w:t>and</w:t>
      </w:r>
      <w:r>
        <w:rPr>
          <w:color w:val="231F20"/>
          <w:spacing w:val="11"/>
          <w:sz w:val="20"/>
        </w:rPr>
        <w:t> </w:t>
      </w:r>
      <w:r>
        <w:rPr>
          <w:color w:val="231F20"/>
          <w:spacing w:val="-2"/>
          <w:sz w:val="20"/>
        </w:rPr>
        <w:t>subtraction</w:t>
      </w:r>
    </w:p>
    <w:p>
      <w:pPr>
        <w:pStyle w:val="BodyText"/>
        <w:spacing w:line="213" w:lineRule="auto" w:before="112"/>
        <w:ind w:left="3190" w:right="258"/>
      </w:pPr>
      <w:r>
        <w:rPr>
          <w:color w:val="231F20"/>
        </w:rPr>
        <w:t>If an expression contains two or more operators with the same </w:t>
      </w:r>
      <w:r>
        <w:rPr>
          <w:color w:val="231F20"/>
        </w:rPr>
        <w:t>precedence, </w:t>
      </w:r>
      <w:r>
        <w:rPr>
          <w:color w:val="231F20"/>
          <w:w w:val="105"/>
        </w:rPr>
        <w:t>the operator to the left is evaluated first. For example, 10</w:t>
      </w:r>
      <w:r>
        <w:rPr>
          <w:color w:val="231F20"/>
          <w:spacing w:val="-5"/>
          <w:w w:val="105"/>
        </w:rPr>
        <w:t> </w:t>
      </w:r>
      <w:r>
        <w:rPr>
          <w:color w:val="231F20"/>
          <w:spacing w:val="16"/>
          <w:w w:val="105"/>
        </w:rPr>
        <w:t>/</w:t>
      </w:r>
      <w:r>
        <w:rPr>
          <w:color w:val="231F20"/>
          <w:spacing w:val="-5"/>
          <w:w w:val="105"/>
        </w:rPr>
        <w:t> </w:t>
      </w:r>
      <w:r>
        <w:rPr>
          <w:color w:val="231F20"/>
          <w:spacing w:val="16"/>
          <w:w w:val="105"/>
        </w:rPr>
        <w:t>2</w:t>
      </w:r>
      <w:r>
        <w:rPr>
          <w:color w:val="231F20"/>
          <w:spacing w:val="-5"/>
          <w:w w:val="105"/>
        </w:rPr>
        <w:t> </w:t>
      </w:r>
      <w:r>
        <w:rPr>
          <w:color w:val="231F20"/>
          <w:spacing w:val="16"/>
          <w:w w:val="105"/>
        </w:rPr>
        <w:t>*</w:t>
      </w:r>
      <w:r>
        <w:rPr>
          <w:color w:val="231F20"/>
          <w:spacing w:val="-5"/>
          <w:w w:val="105"/>
        </w:rPr>
        <w:t> </w:t>
      </w:r>
      <w:r>
        <w:rPr>
          <w:color w:val="231F20"/>
          <w:w w:val="105"/>
        </w:rPr>
        <w:t>5 will be evaluated as (10 </w:t>
      </w:r>
      <w:r>
        <w:rPr>
          <w:color w:val="231F20"/>
          <w:w w:val="160"/>
        </w:rPr>
        <w:t>/</w:t>
      </w:r>
      <w:r>
        <w:rPr>
          <w:color w:val="231F20"/>
          <w:spacing w:val="-18"/>
          <w:w w:val="160"/>
        </w:rPr>
        <w:t> </w:t>
      </w:r>
      <w:r>
        <w:rPr>
          <w:color w:val="231F20"/>
          <w:w w:val="105"/>
        </w:rPr>
        <w:t>2) and the result multiplied by 5.</w:t>
      </w:r>
    </w:p>
    <w:p>
      <w:pPr>
        <w:pStyle w:val="BodyText"/>
        <w:spacing w:line="213" w:lineRule="auto" w:before="118"/>
        <w:ind w:left="3190"/>
      </w:pPr>
      <w:r>
        <w:rPr>
          <w:color w:val="231F20"/>
        </w:rPr>
        <w:t>When a lower precedence operation should be processed first, it should </w:t>
      </w:r>
      <w:r>
        <w:rPr>
          <w:color w:val="231F20"/>
        </w:rPr>
        <w:t>be </w:t>
      </w:r>
      <w:r>
        <w:rPr>
          <w:color w:val="231F20"/>
          <w:w w:val="105"/>
        </w:rPr>
        <w:t>enclosed within parentheses. For example, 30</w:t>
      </w:r>
      <w:r>
        <w:rPr>
          <w:color w:val="231F20"/>
          <w:spacing w:val="-5"/>
          <w:w w:val="105"/>
        </w:rPr>
        <w:t> </w:t>
      </w:r>
      <w:r>
        <w:rPr>
          <w:color w:val="231F20"/>
          <w:spacing w:val="16"/>
          <w:w w:val="105"/>
        </w:rPr>
        <w:t>/</w:t>
      </w:r>
      <w:r>
        <w:rPr>
          <w:color w:val="231F20"/>
          <w:spacing w:val="-5"/>
          <w:w w:val="105"/>
        </w:rPr>
        <w:t> </w:t>
      </w:r>
      <w:r>
        <w:rPr>
          <w:color w:val="231F20"/>
          <w:spacing w:val="16"/>
          <w:w w:val="105"/>
        </w:rPr>
        <w:t>2</w:t>
      </w:r>
      <w:r>
        <w:rPr>
          <w:color w:val="231F20"/>
          <w:spacing w:val="-5"/>
          <w:w w:val="105"/>
        </w:rPr>
        <w:t> </w:t>
      </w:r>
      <w:r>
        <w:rPr>
          <w:color w:val="231F20"/>
          <w:w w:val="105"/>
        </w:rPr>
        <w:t>+ 8. This is normally evaluated as 30 divided by 2 then 8 added to the result. If you want to divide by </w:t>
      </w:r>
      <w:r>
        <w:rPr>
          <w:color w:val="231F20"/>
          <w:spacing w:val="16"/>
          <w:w w:val="105"/>
        </w:rPr>
        <w:t>2</w:t>
      </w:r>
      <w:r>
        <w:rPr>
          <w:color w:val="231F20"/>
          <w:w w:val="105"/>
        </w:rPr>
        <w:t> + 8, it should be written as 30 </w:t>
      </w:r>
      <w:r>
        <w:rPr>
          <w:color w:val="231F20"/>
          <w:w w:val="160"/>
        </w:rPr>
        <w:t>/</w:t>
      </w:r>
      <w:r>
        <w:rPr>
          <w:color w:val="231F20"/>
          <w:spacing w:val="-11"/>
          <w:w w:val="160"/>
        </w:rPr>
        <w:t> </w:t>
      </w:r>
      <w:r>
        <w:rPr>
          <w:color w:val="231F20"/>
          <w:w w:val="105"/>
        </w:rPr>
        <w:t>(2 + 8).</w:t>
      </w:r>
    </w:p>
    <w:p>
      <w:pPr>
        <w:pStyle w:val="BodyText"/>
        <w:spacing w:line="213" w:lineRule="auto" w:before="117"/>
        <w:ind w:left="3190"/>
      </w:pPr>
      <w:r>
        <w:rPr>
          <w:color w:val="231F20"/>
        </w:rPr>
        <w:t>Parentheses can be nested within expressions. Innermost </w:t>
      </w:r>
      <w:r>
        <w:rPr>
          <w:color w:val="231F20"/>
        </w:rPr>
        <w:t>parenthetical expressions are evaluated first.</w:t>
      </w:r>
    </w:p>
    <w:p>
      <w:pPr>
        <w:pStyle w:val="Heading6"/>
      </w:pPr>
      <w:r>
        <w:rPr>
          <w:color w:val="231F20"/>
        </w:rPr>
        <w:t>Assignment</w:t>
      </w:r>
      <w:r>
        <w:rPr>
          <w:color w:val="231F20"/>
          <w:spacing w:val="8"/>
        </w:rPr>
        <w:t> </w:t>
      </w:r>
      <w:r>
        <w:rPr>
          <w:color w:val="231F20"/>
        </w:rPr>
        <w:t>Operator</w:t>
      </w:r>
      <w:r>
        <w:rPr>
          <w:color w:val="231F20"/>
          <w:spacing w:val="9"/>
        </w:rPr>
        <w:t> </w:t>
      </w:r>
      <w:r>
        <w:rPr>
          <w:color w:val="231F20"/>
        </w:rPr>
        <w:t>(=</w:t>
      </w:r>
      <w:r>
        <w:rPr>
          <w:color w:val="231F20"/>
          <w:spacing w:val="9"/>
        </w:rPr>
        <w:t> </w:t>
      </w:r>
      <w:r>
        <w:rPr>
          <w:color w:val="231F20"/>
          <w:spacing w:val="-10"/>
        </w:rPr>
        <w:t>)</w:t>
      </w:r>
    </w:p>
    <w:p>
      <w:pPr>
        <w:pStyle w:val="BodyText"/>
        <w:spacing w:line="213" w:lineRule="auto" w:before="12"/>
        <w:ind w:left="3190" w:right="258"/>
      </w:pPr>
      <w:r>
        <w:rPr>
          <w:color w:val="231F20"/>
        </w:rPr>
        <w:t>Use the assignment operator (=) to copy a constant, literal, variable expression result, or function result to a variable. The script language </w:t>
      </w:r>
      <w:r>
        <w:rPr>
          <w:color w:val="231F20"/>
        </w:rPr>
        <w:t>does not support multiple assignments in a single statement (such as a=b=c=0).</w:t>
      </w:r>
      <w:r>
        <w:rPr>
          <w:color w:val="231F20"/>
          <w:spacing w:val="40"/>
        </w:rPr>
        <w:t> </w:t>
      </w:r>
      <w:r>
        <w:rPr>
          <w:color w:val="231F20"/>
        </w:rPr>
        <w:t>String lengths are defined based on the size of the string assigned to the variable and can change dynamically at runtime.</w:t>
      </w:r>
    </w:p>
    <w:p>
      <w:pPr>
        <w:spacing w:after="0" w:line="213" w:lineRule="auto"/>
        <w:sectPr>
          <w:pgSz w:w="12240" w:h="15840"/>
          <w:pgMar w:header="0" w:footer="736" w:top="1180" w:bottom="920" w:left="1000" w:right="1060"/>
        </w:sectPr>
      </w:pPr>
    </w:p>
    <w:p>
      <w:pPr>
        <w:pStyle w:val="Heading6"/>
        <w:spacing w:before="83"/>
        <w:ind w:left="2232"/>
      </w:pPr>
      <w:r>
        <w:rPr>
          <w:color w:val="231F20"/>
        </w:rPr>
        <w:t>Logical</w:t>
      </w:r>
      <w:r>
        <w:rPr>
          <w:color w:val="231F20"/>
          <w:spacing w:val="8"/>
        </w:rPr>
        <w:t> </w:t>
      </w:r>
      <w:r>
        <w:rPr>
          <w:color w:val="231F20"/>
        </w:rPr>
        <w:t>Operators</w:t>
      </w:r>
      <w:r>
        <w:rPr>
          <w:color w:val="231F20"/>
          <w:spacing w:val="9"/>
        </w:rPr>
        <w:t> </w:t>
      </w:r>
      <w:r>
        <w:rPr>
          <w:color w:val="231F20"/>
        </w:rPr>
        <w:t>(AND,</w:t>
      </w:r>
      <w:r>
        <w:rPr>
          <w:color w:val="231F20"/>
          <w:spacing w:val="9"/>
        </w:rPr>
        <w:t> </w:t>
      </w:r>
      <w:r>
        <w:rPr>
          <w:color w:val="231F20"/>
          <w:spacing w:val="-5"/>
        </w:rPr>
        <w:t>OR)</w:t>
      </w:r>
    </w:p>
    <w:p>
      <w:pPr>
        <w:pStyle w:val="BodyText"/>
        <w:spacing w:line="213" w:lineRule="auto" w:before="12"/>
        <w:ind w:left="2951" w:right="624"/>
        <w:jc w:val="both"/>
      </w:pPr>
      <w:r>
        <w:rPr>
          <w:color w:val="231F20"/>
        </w:rPr>
        <w:t>Logical operators allow the combining of more than one relational test in one comparison. Logical operators return a TRUE (1) or FALSE (0) </w:t>
      </w:r>
      <w:r>
        <w:rPr>
          <w:color w:val="231F20"/>
        </w:rPr>
        <w:t>value. Logical operators have a lower precedence than arithmetic operators.</w:t>
      </w:r>
    </w:p>
    <w:p>
      <w:pPr>
        <w:spacing w:before="140"/>
        <w:ind w:left="2282" w:right="0" w:firstLine="0"/>
        <w:jc w:val="left"/>
        <w:rPr>
          <w:rFonts w:ascii="Arial"/>
          <w:i/>
          <w:sz w:val="18"/>
        </w:rPr>
      </w:pPr>
      <w:r>
        <w:rPr>
          <w:rFonts w:ascii="Arial"/>
          <w:i/>
          <w:color w:val="231F20"/>
          <w:sz w:val="18"/>
        </w:rPr>
        <w:t>Table</w:t>
      </w:r>
      <w:r>
        <w:rPr>
          <w:rFonts w:ascii="Arial"/>
          <w:i/>
          <w:color w:val="231F20"/>
          <w:spacing w:val="-10"/>
          <w:sz w:val="18"/>
        </w:rPr>
        <w:t> </w:t>
      </w:r>
      <w:r>
        <w:rPr>
          <w:rFonts w:ascii="Arial"/>
          <w:i/>
          <w:color w:val="231F20"/>
          <w:sz w:val="18"/>
        </w:rPr>
        <w:t>2.</w:t>
      </w:r>
      <w:r>
        <w:rPr>
          <w:rFonts w:ascii="Arial"/>
          <w:i/>
          <w:color w:val="231F20"/>
          <w:spacing w:val="-1"/>
          <w:sz w:val="18"/>
        </w:rPr>
        <w:t> </w:t>
      </w:r>
      <w:r>
        <w:rPr>
          <w:rFonts w:ascii="Arial"/>
          <w:i/>
          <w:color w:val="231F20"/>
          <w:sz w:val="18"/>
        </w:rPr>
        <w:t>Logical</w:t>
      </w:r>
      <w:r>
        <w:rPr>
          <w:rFonts w:ascii="Arial"/>
          <w:i/>
          <w:color w:val="231F20"/>
          <w:spacing w:val="-1"/>
          <w:sz w:val="18"/>
        </w:rPr>
        <w:t> </w:t>
      </w:r>
      <w:r>
        <w:rPr>
          <w:rFonts w:ascii="Arial"/>
          <w:i/>
          <w:color w:val="231F20"/>
          <w:spacing w:val="-2"/>
          <w:sz w:val="18"/>
        </w:rPr>
        <w:t>Operators</w:t>
      </w:r>
    </w:p>
    <w:p>
      <w:pPr>
        <w:pStyle w:val="BodyText"/>
        <w:rPr>
          <w:rFonts w:ascii="Arial"/>
          <w:i/>
          <w:sz w:val="8"/>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51"/>
        <w:gridCol w:w="1324"/>
        <w:gridCol w:w="1749"/>
        <w:gridCol w:w="3009"/>
      </w:tblGrid>
      <w:tr>
        <w:trPr>
          <w:trHeight w:val="274" w:hRule="atLeast"/>
        </w:trPr>
        <w:tc>
          <w:tcPr>
            <w:tcW w:w="1451" w:type="dxa"/>
          </w:tcPr>
          <w:p>
            <w:pPr>
              <w:pStyle w:val="TableParagraph"/>
              <w:spacing w:before="10"/>
              <w:ind w:left="398"/>
              <w:rPr>
                <w:rFonts w:ascii="Book Antiqua"/>
                <w:b/>
                <w:sz w:val="18"/>
              </w:rPr>
            </w:pPr>
            <w:r>
              <w:rPr>
                <w:rFonts w:ascii="Book Antiqua"/>
                <w:b/>
                <w:color w:val="231F20"/>
                <w:spacing w:val="-2"/>
                <w:sz w:val="18"/>
              </w:rPr>
              <w:t>Symbol</w:t>
            </w:r>
          </w:p>
        </w:tc>
        <w:tc>
          <w:tcPr>
            <w:tcW w:w="1324" w:type="dxa"/>
          </w:tcPr>
          <w:p>
            <w:pPr>
              <w:pStyle w:val="TableParagraph"/>
              <w:spacing w:before="10"/>
              <w:ind w:left="242"/>
              <w:rPr>
                <w:rFonts w:ascii="Book Antiqua"/>
                <w:b/>
                <w:sz w:val="18"/>
              </w:rPr>
            </w:pPr>
            <w:r>
              <w:rPr>
                <w:rFonts w:ascii="Book Antiqua"/>
                <w:b/>
                <w:color w:val="231F20"/>
                <w:spacing w:val="-2"/>
                <w:sz w:val="18"/>
              </w:rPr>
              <w:t>Operation</w:t>
            </w:r>
          </w:p>
        </w:tc>
        <w:tc>
          <w:tcPr>
            <w:tcW w:w="1749" w:type="dxa"/>
          </w:tcPr>
          <w:p>
            <w:pPr>
              <w:pStyle w:val="TableParagraph"/>
              <w:spacing w:before="10"/>
              <w:ind w:left="520"/>
              <w:rPr>
                <w:rFonts w:ascii="Book Antiqua"/>
                <w:b/>
                <w:sz w:val="18"/>
              </w:rPr>
            </w:pPr>
            <w:r>
              <w:rPr>
                <w:rFonts w:ascii="Book Antiqua"/>
                <w:b/>
                <w:color w:val="231F20"/>
                <w:spacing w:val="-2"/>
                <w:sz w:val="18"/>
              </w:rPr>
              <w:t>Example</w:t>
            </w:r>
          </w:p>
        </w:tc>
        <w:tc>
          <w:tcPr>
            <w:tcW w:w="3009" w:type="dxa"/>
          </w:tcPr>
          <w:p>
            <w:pPr>
              <w:pStyle w:val="TableParagraph"/>
              <w:spacing w:before="10"/>
              <w:ind w:left="25"/>
              <w:jc w:val="center"/>
              <w:rPr>
                <w:rFonts w:ascii="Book Antiqua"/>
                <w:b/>
                <w:sz w:val="18"/>
              </w:rPr>
            </w:pPr>
            <w:r>
              <w:rPr>
                <w:rFonts w:ascii="Book Antiqua"/>
                <w:b/>
                <w:color w:val="231F20"/>
                <w:spacing w:val="-2"/>
                <w:sz w:val="18"/>
              </w:rPr>
              <w:t>Description</w:t>
            </w:r>
          </w:p>
        </w:tc>
      </w:tr>
      <w:tr>
        <w:trPr>
          <w:trHeight w:val="708" w:hRule="atLeast"/>
        </w:trPr>
        <w:tc>
          <w:tcPr>
            <w:tcW w:w="1451" w:type="dxa"/>
          </w:tcPr>
          <w:p>
            <w:pPr>
              <w:pStyle w:val="TableParagraph"/>
              <w:ind w:left="44"/>
              <w:rPr>
                <w:sz w:val="18"/>
              </w:rPr>
            </w:pPr>
            <w:r>
              <w:rPr>
                <w:color w:val="231F20"/>
                <w:sz w:val="18"/>
              </w:rPr>
              <w:t>AND</w:t>
            </w:r>
            <w:r>
              <w:rPr>
                <w:color w:val="231F20"/>
                <w:spacing w:val="9"/>
                <w:sz w:val="18"/>
              </w:rPr>
              <w:t> </w:t>
            </w:r>
            <w:r>
              <w:rPr>
                <w:color w:val="231F20"/>
                <w:spacing w:val="-7"/>
                <w:sz w:val="18"/>
              </w:rPr>
              <w:t>&amp;&amp;</w:t>
            </w:r>
          </w:p>
        </w:tc>
        <w:tc>
          <w:tcPr>
            <w:tcW w:w="1324" w:type="dxa"/>
          </w:tcPr>
          <w:p>
            <w:pPr>
              <w:pStyle w:val="TableParagraph"/>
              <w:spacing w:before="205"/>
              <w:rPr>
                <w:sz w:val="18"/>
              </w:rPr>
            </w:pPr>
            <w:r>
              <w:rPr>
                <w:color w:val="231F20"/>
                <w:spacing w:val="-5"/>
                <w:sz w:val="18"/>
              </w:rPr>
              <w:t>AND</w:t>
            </w:r>
          </w:p>
        </w:tc>
        <w:tc>
          <w:tcPr>
            <w:tcW w:w="1749" w:type="dxa"/>
          </w:tcPr>
          <w:p>
            <w:pPr>
              <w:pStyle w:val="TableParagraph"/>
              <w:spacing w:before="205"/>
              <w:rPr>
                <w:sz w:val="18"/>
              </w:rPr>
            </w:pPr>
            <w:r>
              <w:rPr>
                <w:color w:val="231F20"/>
                <w:sz w:val="18"/>
              </w:rPr>
              <w:t>Expr1</w:t>
            </w:r>
            <w:r>
              <w:rPr>
                <w:color w:val="231F20"/>
                <w:spacing w:val="10"/>
                <w:sz w:val="18"/>
              </w:rPr>
              <w:t> </w:t>
            </w:r>
            <w:r>
              <w:rPr>
                <w:color w:val="231F20"/>
                <w:sz w:val="18"/>
              </w:rPr>
              <w:t>$$</w:t>
            </w:r>
            <w:r>
              <w:rPr>
                <w:color w:val="231F20"/>
                <w:spacing w:val="11"/>
                <w:sz w:val="18"/>
              </w:rPr>
              <w:t> </w:t>
            </w:r>
            <w:r>
              <w:rPr>
                <w:color w:val="231F20"/>
                <w:spacing w:val="-2"/>
                <w:sz w:val="18"/>
              </w:rPr>
              <w:t>expr2</w:t>
            </w:r>
          </w:p>
        </w:tc>
        <w:tc>
          <w:tcPr>
            <w:tcW w:w="3009" w:type="dxa"/>
          </w:tcPr>
          <w:p>
            <w:pPr>
              <w:pStyle w:val="TableParagraph"/>
              <w:spacing w:before="17"/>
              <w:ind w:left="0"/>
              <w:rPr>
                <w:rFonts w:ascii="Arial"/>
                <w:i/>
                <w:sz w:val="18"/>
              </w:rPr>
            </w:pPr>
          </w:p>
          <w:p>
            <w:pPr>
              <w:pStyle w:val="TableParagraph"/>
              <w:spacing w:line="216" w:lineRule="auto" w:before="0"/>
              <w:ind w:right="70" w:hanging="1"/>
              <w:rPr>
                <w:sz w:val="18"/>
              </w:rPr>
            </w:pPr>
            <w:r>
              <w:rPr>
                <w:color w:val="231F20"/>
                <w:sz w:val="18"/>
              </w:rPr>
              <w:t>True if both expr1 and expr2 are </w:t>
            </w:r>
            <w:r>
              <w:rPr>
                <w:color w:val="231F20"/>
                <w:spacing w:val="-2"/>
                <w:sz w:val="18"/>
              </w:rPr>
              <w:t>true.</w:t>
            </w:r>
          </w:p>
        </w:tc>
      </w:tr>
      <w:tr>
        <w:trPr>
          <w:trHeight w:val="713" w:hRule="atLeast"/>
        </w:trPr>
        <w:tc>
          <w:tcPr>
            <w:tcW w:w="1451" w:type="dxa"/>
          </w:tcPr>
          <w:p>
            <w:pPr>
              <w:pStyle w:val="TableParagraph"/>
              <w:ind w:left="44"/>
              <w:rPr>
                <w:sz w:val="18"/>
              </w:rPr>
            </w:pPr>
            <w:r>
              <w:rPr>
                <w:color w:val="231F20"/>
                <w:w w:val="105"/>
                <w:sz w:val="18"/>
              </w:rPr>
              <w:t>OR</w:t>
            </w:r>
            <w:r>
              <w:rPr>
                <w:color w:val="231F20"/>
                <w:spacing w:val="-4"/>
                <w:w w:val="105"/>
                <w:sz w:val="18"/>
              </w:rPr>
              <w:t> </w:t>
            </w:r>
            <w:r>
              <w:rPr>
                <w:color w:val="231F20"/>
                <w:spacing w:val="-5"/>
                <w:w w:val="110"/>
                <w:sz w:val="18"/>
              </w:rPr>
              <w:t>||</w:t>
            </w:r>
          </w:p>
        </w:tc>
        <w:tc>
          <w:tcPr>
            <w:tcW w:w="1324" w:type="dxa"/>
          </w:tcPr>
          <w:p>
            <w:pPr>
              <w:pStyle w:val="TableParagraph"/>
              <w:spacing w:before="205"/>
              <w:rPr>
                <w:sz w:val="18"/>
              </w:rPr>
            </w:pPr>
            <w:r>
              <w:rPr>
                <w:color w:val="231F20"/>
                <w:spacing w:val="-5"/>
                <w:sz w:val="18"/>
              </w:rPr>
              <w:t>OR</w:t>
            </w:r>
          </w:p>
        </w:tc>
        <w:tc>
          <w:tcPr>
            <w:tcW w:w="1749" w:type="dxa"/>
          </w:tcPr>
          <w:p>
            <w:pPr>
              <w:pStyle w:val="TableParagraph"/>
              <w:spacing w:before="205"/>
              <w:rPr>
                <w:sz w:val="18"/>
              </w:rPr>
            </w:pPr>
            <w:r>
              <w:rPr>
                <w:color w:val="231F20"/>
                <w:sz w:val="18"/>
              </w:rPr>
              <w:t>Expr1</w:t>
            </w:r>
            <w:r>
              <w:rPr>
                <w:color w:val="231F20"/>
                <w:spacing w:val="10"/>
                <w:sz w:val="18"/>
              </w:rPr>
              <w:t> </w:t>
            </w:r>
            <w:r>
              <w:rPr>
                <w:color w:val="231F20"/>
                <w:sz w:val="18"/>
              </w:rPr>
              <w:t>OR</w:t>
            </w:r>
            <w:r>
              <w:rPr>
                <w:color w:val="231F20"/>
                <w:spacing w:val="10"/>
                <w:sz w:val="18"/>
              </w:rPr>
              <w:t> </w:t>
            </w:r>
            <w:r>
              <w:rPr>
                <w:color w:val="231F20"/>
                <w:spacing w:val="-2"/>
                <w:sz w:val="18"/>
              </w:rPr>
              <w:t>expr2</w:t>
            </w:r>
          </w:p>
        </w:tc>
        <w:tc>
          <w:tcPr>
            <w:tcW w:w="3009" w:type="dxa"/>
          </w:tcPr>
          <w:p>
            <w:pPr>
              <w:pStyle w:val="TableParagraph"/>
              <w:spacing w:before="17"/>
              <w:ind w:left="0"/>
              <w:rPr>
                <w:rFonts w:ascii="Arial"/>
                <w:i/>
                <w:sz w:val="18"/>
              </w:rPr>
            </w:pPr>
          </w:p>
          <w:p>
            <w:pPr>
              <w:pStyle w:val="TableParagraph"/>
              <w:spacing w:line="216" w:lineRule="auto" w:before="0"/>
              <w:ind w:right="70" w:hanging="1"/>
              <w:rPr>
                <w:sz w:val="18"/>
              </w:rPr>
            </w:pPr>
            <w:r>
              <w:rPr>
                <w:color w:val="231F20"/>
                <w:sz w:val="18"/>
              </w:rPr>
              <w:t>True if either expr1 or expr2 are </w:t>
            </w:r>
            <w:r>
              <w:rPr>
                <w:color w:val="231F20"/>
                <w:spacing w:val="-2"/>
                <w:sz w:val="18"/>
              </w:rPr>
              <w:t>true.</w:t>
            </w:r>
          </w:p>
        </w:tc>
      </w:tr>
    </w:tbl>
    <w:p>
      <w:pPr>
        <w:pStyle w:val="BodyText"/>
        <w:spacing w:before="79"/>
        <w:rPr>
          <w:rFonts w:ascii="Arial"/>
          <w:i/>
          <w:sz w:val="18"/>
        </w:rPr>
      </w:pPr>
    </w:p>
    <w:p>
      <w:pPr>
        <w:pStyle w:val="Heading6"/>
        <w:spacing w:before="1"/>
        <w:ind w:left="2232"/>
      </w:pPr>
      <w:r>
        <w:rPr>
          <w:color w:val="231F20"/>
        </w:rPr>
        <w:t>Relational</w:t>
      </w:r>
      <w:r>
        <w:rPr>
          <w:color w:val="231F20"/>
          <w:spacing w:val="6"/>
        </w:rPr>
        <w:t> </w:t>
      </w:r>
      <w:r>
        <w:rPr>
          <w:color w:val="231F20"/>
          <w:spacing w:val="-2"/>
        </w:rPr>
        <w:t>Operators</w:t>
      </w:r>
    </w:p>
    <w:p>
      <w:pPr>
        <w:pStyle w:val="BodyText"/>
        <w:spacing w:line="258" w:lineRule="exact"/>
        <w:ind w:left="2951"/>
        <w:jc w:val="both"/>
      </w:pPr>
      <w:r>
        <w:rPr>
          <w:color w:val="231F20"/>
        </w:rPr>
        <w:t>Relational</w:t>
      </w:r>
      <w:r>
        <w:rPr>
          <w:color w:val="231F20"/>
          <w:spacing w:val="9"/>
        </w:rPr>
        <w:t> </w:t>
      </w:r>
      <w:r>
        <w:rPr>
          <w:color w:val="231F20"/>
        </w:rPr>
        <w:t>operators</w:t>
      </w:r>
      <w:r>
        <w:rPr>
          <w:color w:val="231F20"/>
          <w:spacing w:val="10"/>
        </w:rPr>
        <w:t> </w:t>
      </w:r>
      <w:r>
        <w:rPr>
          <w:color w:val="231F20"/>
        </w:rPr>
        <w:t>are</w:t>
      </w:r>
      <w:r>
        <w:rPr>
          <w:color w:val="231F20"/>
          <w:spacing w:val="9"/>
        </w:rPr>
        <w:t> </w:t>
      </w:r>
      <w:r>
        <w:rPr>
          <w:color w:val="231F20"/>
        </w:rPr>
        <w:t>as</w:t>
      </w:r>
      <w:r>
        <w:rPr>
          <w:color w:val="231F20"/>
          <w:spacing w:val="10"/>
        </w:rPr>
        <w:t> </w:t>
      </w:r>
      <w:r>
        <w:rPr>
          <w:color w:val="231F20"/>
          <w:spacing w:val="-2"/>
        </w:rPr>
        <w:t>follows:</w:t>
      </w:r>
    </w:p>
    <w:p>
      <w:pPr>
        <w:spacing w:before="135"/>
        <w:ind w:left="2282" w:right="0" w:firstLine="0"/>
        <w:jc w:val="left"/>
        <w:rPr>
          <w:rFonts w:ascii="Arial"/>
          <w:i/>
          <w:sz w:val="18"/>
        </w:rPr>
      </w:pPr>
      <w:r>
        <w:rPr>
          <w:rFonts w:ascii="Arial"/>
          <w:i/>
          <w:color w:val="231F20"/>
          <w:sz w:val="18"/>
        </w:rPr>
        <w:t>Table</w:t>
      </w:r>
      <w:r>
        <w:rPr>
          <w:rFonts w:ascii="Arial"/>
          <w:i/>
          <w:color w:val="231F20"/>
          <w:spacing w:val="-13"/>
          <w:sz w:val="18"/>
        </w:rPr>
        <w:t> </w:t>
      </w:r>
      <w:r>
        <w:rPr>
          <w:rFonts w:ascii="Arial"/>
          <w:i/>
          <w:color w:val="231F20"/>
          <w:sz w:val="18"/>
        </w:rPr>
        <w:t>3.</w:t>
      </w:r>
      <w:r>
        <w:rPr>
          <w:rFonts w:ascii="Arial"/>
          <w:i/>
          <w:color w:val="231F20"/>
          <w:spacing w:val="-2"/>
          <w:sz w:val="18"/>
        </w:rPr>
        <w:t> </w:t>
      </w:r>
      <w:r>
        <w:rPr>
          <w:rFonts w:ascii="Arial"/>
          <w:i/>
          <w:color w:val="231F20"/>
          <w:sz w:val="18"/>
        </w:rPr>
        <w:t>Relational</w:t>
      </w:r>
      <w:r>
        <w:rPr>
          <w:rFonts w:ascii="Arial"/>
          <w:i/>
          <w:color w:val="231F20"/>
          <w:spacing w:val="-1"/>
          <w:sz w:val="18"/>
        </w:rPr>
        <w:t> </w:t>
      </w:r>
      <w:r>
        <w:rPr>
          <w:rFonts w:ascii="Arial"/>
          <w:i/>
          <w:color w:val="231F20"/>
          <w:spacing w:val="-2"/>
          <w:sz w:val="18"/>
        </w:rPr>
        <w:t>Operators</w:t>
      </w:r>
    </w:p>
    <w:p>
      <w:pPr>
        <w:pStyle w:val="BodyText"/>
        <w:spacing w:before="11"/>
        <w:rPr>
          <w:rFonts w:ascii="Arial"/>
          <w:i/>
          <w:sz w:val="7"/>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08"/>
        <w:gridCol w:w="1383"/>
        <w:gridCol w:w="1664"/>
        <w:gridCol w:w="2982"/>
      </w:tblGrid>
      <w:tr>
        <w:trPr>
          <w:trHeight w:val="274" w:hRule="atLeast"/>
        </w:trPr>
        <w:tc>
          <w:tcPr>
            <w:tcW w:w="1508" w:type="dxa"/>
          </w:tcPr>
          <w:p>
            <w:pPr>
              <w:pStyle w:val="TableParagraph"/>
              <w:spacing w:before="10"/>
              <w:ind w:left="0" w:right="3"/>
              <w:jc w:val="center"/>
              <w:rPr>
                <w:rFonts w:ascii="Book Antiqua"/>
                <w:b/>
                <w:sz w:val="18"/>
              </w:rPr>
            </w:pPr>
            <w:r>
              <w:rPr>
                <w:rFonts w:ascii="Book Antiqua"/>
                <w:b/>
                <w:color w:val="231F20"/>
                <w:spacing w:val="-2"/>
                <w:sz w:val="18"/>
              </w:rPr>
              <w:t>Symbol</w:t>
            </w:r>
          </w:p>
        </w:tc>
        <w:tc>
          <w:tcPr>
            <w:tcW w:w="1383" w:type="dxa"/>
          </w:tcPr>
          <w:p>
            <w:pPr>
              <w:pStyle w:val="TableParagraph"/>
              <w:spacing w:before="10"/>
              <w:ind w:left="271"/>
              <w:rPr>
                <w:rFonts w:ascii="Book Antiqua"/>
                <w:b/>
                <w:sz w:val="18"/>
              </w:rPr>
            </w:pPr>
            <w:r>
              <w:rPr>
                <w:rFonts w:ascii="Book Antiqua"/>
                <w:b/>
                <w:color w:val="231F20"/>
                <w:spacing w:val="-2"/>
                <w:sz w:val="18"/>
              </w:rPr>
              <w:t>Operation</w:t>
            </w:r>
          </w:p>
        </w:tc>
        <w:tc>
          <w:tcPr>
            <w:tcW w:w="1664" w:type="dxa"/>
          </w:tcPr>
          <w:p>
            <w:pPr>
              <w:pStyle w:val="TableParagraph"/>
              <w:spacing w:before="10"/>
              <w:ind w:left="6"/>
              <w:jc w:val="center"/>
              <w:rPr>
                <w:rFonts w:ascii="Book Antiqua"/>
                <w:b/>
                <w:sz w:val="18"/>
              </w:rPr>
            </w:pPr>
            <w:r>
              <w:rPr>
                <w:rFonts w:ascii="Book Antiqua"/>
                <w:b/>
                <w:color w:val="231F20"/>
                <w:spacing w:val="-2"/>
                <w:sz w:val="18"/>
              </w:rPr>
              <w:t>Example</w:t>
            </w:r>
          </w:p>
        </w:tc>
        <w:tc>
          <w:tcPr>
            <w:tcW w:w="2982" w:type="dxa"/>
          </w:tcPr>
          <w:p>
            <w:pPr>
              <w:pStyle w:val="TableParagraph"/>
              <w:spacing w:before="10"/>
              <w:ind w:left="19"/>
              <w:jc w:val="center"/>
              <w:rPr>
                <w:rFonts w:ascii="Book Antiqua"/>
                <w:b/>
                <w:sz w:val="18"/>
              </w:rPr>
            </w:pPr>
            <w:r>
              <w:rPr>
                <w:rFonts w:ascii="Book Antiqua"/>
                <w:b/>
                <w:color w:val="231F20"/>
                <w:spacing w:val="-2"/>
                <w:sz w:val="18"/>
              </w:rPr>
              <w:t>Description</w:t>
            </w:r>
          </w:p>
        </w:tc>
      </w:tr>
      <w:tr>
        <w:trPr>
          <w:trHeight w:val="309" w:hRule="atLeast"/>
        </w:trPr>
        <w:tc>
          <w:tcPr>
            <w:tcW w:w="1508" w:type="dxa"/>
          </w:tcPr>
          <w:p>
            <w:pPr>
              <w:pStyle w:val="TableParagraph"/>
              <w:ind w:left="0" w:right="3"/>
              <w:jc w:val="center"/>
              <w:rPr>
                <w:sz w:val="18"/>
              </w:rPr>
            </w:pPr>
            <w:r>
              <w:rPr>
                <w:color w:val="231F20"/>
                <w:spacing w:val="-10"/>
                <w:w w:val="120"/>
                <w:sz w:val="18"/>
              </w:rPr>
              <w:t>&lt;</w:t>
            </w:r>
          </w:p>
        </w:tc>
        <w:tc>
          <w:tcPr>
            <w:tcW w:w="1383" w:type="dxa"/>
          </w:tcPr>
          <w:p>
            <w:pPr>
              <w:pStyle w:val="TableParagraph"/>
              <w:rPr>
                <w:sz w:val="18"/>
              </w:rPr>
            </w:pPr>
            <w:r>
              <w:rPr>
                <w:color w:val="231F20"/>
                <w:sz w:val="18"/>
              </w:rPr>
              <w:t>Less</w:t>
            </w:r>
            <w:r>
              <w:rPr>
                <w:color w:val="231F20"/>
                <w:spacing w:val="10"/>
                <w:sz w:val="18"/>
              </w:rPr>
              <w:t> </w:t>
            </w:r>
            <w:r>
              <w:rPr>
                <w:color w:val="231F20"/>
                <w:spacing w:val="-4"/>
                <w:sz w:val="18"/>
              </w:rPr>
              <w:t>than</w:t>
            </w:r>
          </w:p>
        </w:tc>
        <w:tc>
          <w:tcPr>
            <w:tcW w:w="1664" w:type="dxa"/>
          </w:tcPr>
          <w:p>
            <w:pPr>
              <w:pStyle w:val="TableParagraph"/>
              <w:ind w:left="6"/>
              <w:jc w:val="center"/>
              <w:rPr>
                <w:sz w:val="18"/>
              </w:rPr>
            </w:pPr>
            <w:r>
              <w:rPr>
                <w:color w:val="231F20"/>
                <w:w w:val="105"/>
                <w:sz w:val="18"/>
              </w:rPr>
              <w:t>a</w:t>
            </w:r>
            <w:r>
              <w:rPr>
                <w:color w:val="231F20"/>
                <w:spacing w:val="15"/>
                <w:w w:val="105"/>
                <w:sz w:val="18"/>
              </w:rPr>
              <w:t> </w:t>
            </w:r>
            <w:r>
              <w:rPr>
                <w:color w:val="231F20"/>
                <w:w w:val="105"/>
                <w:sz w:val="18"/>
              </w:rPr>
              <w:t>&lt;</w:t>
            </w:r>
            <w:r>
              <w:rPr>
                <w:color w:val="231F20"/>
                <w:spacing w:val="16"/>
                <w:w w:val="105"/>
                <w:sz w:val="18"/>
              </w:rPr>
              <w:t> </w:t>
            </w:r>
            <w:r>
              <w:rPr>
                <w:color w:val="231F20"/>
                <w:spacing w:val="-10"/>
                <w:w w:val="105"/>
                <w:sz w:val="18"/>
              </w:rPr>
              <w:t>b</w:t>
            </w:r>
          </w:p>
        </w:tc>
        <w:tc>
          <w:tcPr>
            <w:tcW w:w="2982" w:type="dxa"/>
          </w:tcPr>
          <w:p>
            <w:pPr>
              <w:pStyle w:val="TableParagraph"/>
              <w:ind w:left="57"/>
              <w:rPr>
                <w:sz w:val="18"/>
              </w:rPr>
            </w:pPr>
            <w:r>
              <w:rPr>
                <w:color w:val="231F20"/>
                <w:sz w:val="18"/>
              </w:rPr>
              <w:t>True</w:t>
            </w:r>
            <w:r>
              <w:rPr>
                <w:color w:val="231F20"/>
                <w:spacing w:val="8"/>
                <w:sz w:val="18"/>
              </w:rPr>
              <w:t> </w:t>
            </w:r>
            <w:r>
              <w:rPr>
                <w:color w:val="231F20"/>
                <w:sz w:val="18"/>
              </w:rPr>
              <w:t>if</w:t>
            </w:r>
            <w:r>
              <w:rPr>
                <w:color w:val="231F20"/>
                <w:spacing w:val="9"/>
                <w:sz w:val="18"/>
              </w:rPr>
              <w:t> </w:t>
            </w:r>
            <w:r>
              <w:rPr>
                <w:color w:val="231F20"/>
                <w:sz w:val="18"/>
              </w:rPr>
              <w:t>a</w:t>
            </w:r>
            <w:r>
              <w:rPr>
                <w:color w:val="231F20"/>
                <w:spacing w:val="8"/>
                <w:sz w:val="18"/>
              </w:rPr>
              <w:t> </w:t>
            </w:r>
            <w:r>
              <w:rPr>
                <w:color w:val="231F20"/>
                <w:sz w:val="18"/>
              </w:rPr>
              <w:t>is</w:t>
            </w:r>
            <w:r>
              <w:rPr>
                <w:color w:val="231F20"/>
                <w:spacing w:val="9"/>
                <w:sz w:val="18"/>
              </w:rPr>
              <w:t> </w:t>
            </w:r>
            <w:r>
              <w:rPr>
                <w:color w:val="231F20"/>
                <w:sz w:val="18"/>
              </w:rPr>
              <w:t>less</w:t>
            </w:r>
            <w:r>
              <w:rPr>
                <w:color w:val="231F20"/>
                <w:spacing w:val="8"/>
                <w:sz w:val="18"/>
              </w:rPr>
              <w:t> </w:t>
            </w:r>
            <w:r>
              <w:rPr>
                <w:color w:val="231F20"/>
                <w:sz w:val="18"/>
              </w:rPr>
              <w:t>than</w:t>
            </w:r>
            <w:r>
              <w:rPr>
                <w:color w:val="231F20"/>
                <w:spacing w:val="9"/>
                <w:sz w:val="18"/>
              </w:rPr>
              <w:t> </w:t>
            </w:r>
            <w:r>
              <w:rPr>
                <w:color w:val="231F20"/>
                <w:spacing w:val="-5"/>
                <w:sz w:val="18"/>
              </w:rPr>
              <w:t>b.</w:t>
            </w:r>
          </w:p>
        </w:tc>
      </w:tr>
      <w:tr>
        <w:trPr>
          <w:trHeight w:val="309" w:hRule="atLeast"/>
        </w:trPr>
        <w:tc>
          <w:tcPr>
            <w:tcW w:w="1508" w:type="dxa"/>
          </w:tcPr>
          <w:p>
            <w:pPr>
              <w:pStyle w:val="TableParagraph"/>
              <w:ind w:left="0" w:right="3"/>
              <w:jc w:val="center"/>
              <w:rPr>
                <w:sz w:val="18"/>
              </w:rPr>
            </w:pPr>
            <w:r>
              <w:rPr>
                <w:color w:val="231F20"/>
                <w:spacing w:val="-10"/>
                <w:w w:val="120"/>
                <w:sz w:val="18"/>
              </w:rPr>
              <w:t>&gt;</w:t>
            </w:r>
          </w:p>
        </w:tc>
        <w:tc>
          <w:tcPr>
            <w:tcW w:w="1383" w:type="dxa"/>
          </w:tcPr>
          <w:p>
            <w:pPr>
              <w:pStyle w:val="TableParagraph"/>
              <w:rPr>
                <w:sz w:val="18"/>
              </w:rPr>
            </w:pPr>
            <w:r>
              <w:rPr>
                <w:color w:val="231F20"/>
                <w:sz w:val="18"/>
              </w:rPr>
              <w:t>Greater</w:t>
            </w:r>
            <w:r>
              <w:rPr>
                <w:color w:val="231F20"/>
                <w:spacing w:val="2"/>
                <w:sz w:val="18"/>
              </w:rPr>
              <w:t> </w:t>
            </w:r>
            <w:r>
              <w:rPr>
                <w:color w:val="231F20"/>
                <w:spacing w:val="-4"/>
                <w:sz w:val="18"/>
              </w:rPr>
              <w:t>than</w:t>
            </w:r>
          </w:p>
        </w:tc>
        <w:tc>
          <w:tcPr>
            <w:tcW w:w="1664" w:type="dxa"/>
          </w:tcPr>
          <w:p>
            <w:pPr>
              <w:pStyle w:val="TableParagraph"/>
              <w:ind w:left="6"/>
              <w:jc w:val="center"/>
              <w:rPr>
                <w:sz w:val="18"/>
              </w:rPr>
            </w:pPr>
            <w:r>
              <w:rPr>
                <w:color w:val="231F20"/>
                <w:sz w:val="18"/>
              </w:rPr>
              <w:t>a</w:t>
            </w:r>
            <w:r>
              <w:rPr>
                <w:color w:val="231F20"/>
                <w:spacing w:val="12"/>
                <w:sz w:val="18"/>
              </w:rPr>
              <w:t> </w:t>
            </w:r>
            <w:r>
              <w:rPr>
                <w:color w:val="231F20"/>
                <w:sz w:val="18"/>
              </w:rPr>
              <w:t>GT</w:t>
            </w:r>
            <w:r>
              <w:rPr>
                <w:color w:val="231F20"/>
                <w:spacing w:val="12"/>
                <w:sz w:val="18"/>
              </w:rPr>
              <w:t> </w:t>
            </w:r>
            <w:r>
              <w:rPr>
                <w:color w:val="231F20"/>
                <w:spacing w:val="-10"/>
                <w:sz w:val="18"/>
              </w:rPr>
              <w:t>b</w:t>
            </w:r>
          </w:p>
        </w:tc>
        <w:tc>
          <w:tcPr>
            <w:tcW w:w="2982" w:type="dxa"/>
          </w:tcPr>
          <w:p>
            <w:pPr>
              <w:pStyle w:val="TableParagraph"/>
              <w:ind w:left="57"/>
              <w:rPr>
                <w:sz w:val="18"/>
              </w:rPr>
            </w:pPr>
            <w:r>
              <w:rPr>
                <w:color w:val="231F20"/>
                <w:sz w:val="18"/>
              </w:rPr>
              <w:t>True</w:t>
            </w:r>
            <w:r>
              <w:rPr>
                <w:color w:val="231F20"/>
                <w:spacing w:val="7"/>
                <w:sz w:val="18"/>
              </w:rPr>
              <w:t> </w:t>
            </w:r>
            <w:r>
              <w:rPr>
                <w:color w:val="231F20"/>
                <w:sz w:val="18"/>
              </w:rPr>
              <w:t>if</w:t>
            </w:r>
            <w:r>
              <w:rPr>
                <w:color w:val="231F20"/>
                <w:spacing w:val="7"/>
                <w:sz w:val="18"/>
              </w:rPr>
              <w:t> </w:t>
            </w:r>
            <w:r>
              <w:rPr>
                <w:color w:val="231F20"/>
                <w:sz w:val="18"/>
              </w:rPr>
              <w:t>a</w:t>
            </w:r>
            <w:r>
              <w:rPr>
                <w:color w:val="231F20"/>
                <w:spacing w:val="8"/>
                <w:sz w:val="18"/>
              </w:rPr>
              <w:t> </w:t>
            </w:r>
            <w:r>
              <w:rPr>
                <w:color w:val="231F20"/>
                <w:sz w:val="18"/>
              </w:rPr>
              <w:t>is</w:t>
            </w:r>
            <w:r>
              <w:rPr>
                <w:color w:val="231F20"/>
                <w:spacing w:val="7"/>
                <w:sz w:val="18"/>
              </w:rPr>
              <w:t> </w:t>
            </w:r>
            <w:r>
              <w:rPr>
                <w:color w:val="231F20"/>
                <w:sz w:val="18"/>
              </w:rPr>
              <w:t>greater</w:t>
            </w:r>
            <w:r>
              <w:rPr>
                <w:color w:val="231F20"/>
                <w:spacing w:val="8"/>
                <w:sz w:val="18"/>
              </w:rPr>
              <w:t> </w:t>
            </w:r>
            <w:r>
              <w:rPr>
                <w:color w:val="231F20"/>
                <w:sz w:val="18"/>
              </w:rPr>
              <w:t>than</w:t>
            </w:r>
            <w:r>
              <w:rPr>
                <w:color w:val="231F20"/>
                <w:spacing w:val="7"/>
                <w:sz w:val="18"/>
              </w:rPr>
              <w:t> </w:t>
            </w:r>
            <w:r>
              <w:rPr>
                <w:color w:val="231F20"/>
                <w:spacing w:val="-5"/>
                <w:sz w:val="18"/>
              </w:rPr>
              <w:t>b.</w:t>
            </w:r>
          </w:p>
        </w:tc>
      </w:tr>
      <w:tr>
        <w:trPr>
          <w:trHeight w:val="309" w:hRule="atLeast"/>
        </w:trPr>
        <w:tc>
          <w:tcPr>
            <w:tcW w:w="1508" w:type="dxa"/>
          </w:tcPr>
          <w:p>
            <w:pPr>
              <w:pStyle w:val="TableParagraph"/>
              <w:ind w:left="0" w:right="3"/>
              <w:jc w:val="center"/>
              <w:rPr>
                <w:sz w:val="18"/>
              </w:rPr>
            </w:pPr>
            <w:r>
              <w:rPr>
                <w:color w:val="231F20"/>
                <w:spacing w:val="-5"/>
                <w:w w:val="120"/>
                <w:sz w:val="18"/>
              </w:rPr>
              <w:t>==</w:t>
            </w:r>
          </w:p>
        </w:tc>
        <w:tc>
          <w:tcPr>
            <w:tcW w:w="1383" w:type="dxa"/>
          </w:tcPr>
          <w:p>
            <w:pPr>
              <w:pStyle w:val="TableParagraph"/>
              <w:rPr>
                <w:sz w:val="18"/>
              </w:rPr>
            </w:pPr>
            <w:r>
              <w:rPr>
                <w:color w:val="231F20"/>
                <w:spacing w:val="-2"/>
                <w:sz w:val="18"/>
              </w:rPr>
              <w:t>Equal</w:t>
            </w:r>
          </w:p>
        </w:tc>
        <w:tc>
          <w:tcPr>
            <w:tcW w:w="1664" w:type="dxa"/>
          </w:tcPr>
          <w:p>
            <w:pPr>
              <w:pStyle w:val="TableParagraph"/>
              <w:ind w:left="6"/>
              <w:jc w:val="center"/>
              <w:rPr>
                <w:sz w:val="18"/>
              </w:rPr>
            </w:pPr>
            <w:r>
              <w:rPr>
                <w:color w:val="231F20"/>
                <w:w w:val="110"/>
                <w:sz w:val="18"/>
              </w:rPr>
              <w:t>a</w:t>
            </w:r>
            <w:r>
              <w:rPr>
                <w:color w:val="231F20"/>
                <w:spacing w:val="13"/>
                <w:w w:val="110"/>
                <w:sz w:val="18"/>
              </w:rPr>
              <w:t> </w:t>
            </w:r>
            <w:r>
              <w:rPr>
                <w:color w:val="231F20"/>
                <w:w w:val="110"/>
                <w:sz w:val="18"/>
              </w:rPr>
              <w:t>==</w:t>
            </w:r>
            <w:r>
              <w:rPr>
                <w:color w:val="231F20"/>
                <w:spacing w:val="14"/>
                <w:w w:val="110"/>
                <w:sz w:val="18"/>
              </w:rPr>
              <w:t> </w:t>
            </w:r>
            <w:r>
              <w:rPr>
                <w:color w:val="231F20"/>
                <w:spacing w:val="-10"/>
                <w:w w:val="110"/>
                <w:sz w:val="18"/>
              </w:rPr>
              <w:t>b</w:t>
            </w:r>
          </w:p>
        </w:tc>
        <w:tc>
          <w:tcPr>
            <w:tcW w:w="2982" w:type="dxa"/>
          </w:tcPr>
          <w:p>
            <w:pPr>
              <w:pStyle w:val="TableParagraph"/>
              <w:ind w:left="57"/>
              <w:rPr>
                <w:sz w:val="18"/>
              </w:rPr>
            </w:pPr>
            <w:r>
              <w:rPr>
                <w:color w:val="231F20"/>
                <w:sz w:val="18"/>
              </w:rPr>
              <w:t>True</w:t>
            </w:r>
            <w:r>
              <w:rPr>
                <w:color w:val="231F20"/>
                <w:spacing w:val="8"/>
                <w:sz w:val="18"/>
              </w:rPr>
              <w:t> </w:t>
            </w:r>
            <w:r>
              <w:rPr>
                <w:color w:val="231F20"/>
                <w:sz w:val="18"/>
              </w:rPr>
              <w:t>if</w:t>
            </w:r>
            <w:r>
              <w:rPr>
                <w:color w:val="231F20"/>
                <w:spacing w:val="9"/>
                <w:sz w:val="18"/>
              </w:rPr>
              <w:t> </w:t>
            </w:r>
            <w:r>
              <w:rPr>
                <w:color w:val="231F20"/>
                <w:sz w:val="18"/>
              </w:rPr>
              <w:t>a</w:t>
            </w:r>
            <w:r>
              <w:rPr>
                <w:color w:val="231F20"/>
                <w:spacing w:val="8"/>
                <w:sz w:val="18"/>
              </w:rPr>
              <w:t> </w:t>
            </w:r>
            <w:r>
              <w:rPr>
                <w:color w:val="231F20"/>
                <w:sz w:val="18"/>
              </w:rPr>
              <w:t>is</w:t>
            </w:r>
            <w:r>
              <w:rPr>
                <w:color w:val="231F20"/>
                <w:spacing w:val="9"/>
                <w:sz w:val="18"/>
              </w:rPr>
              <w:t> </w:t>
            </w:r>
            <w:r>
              <w:rPr>
                <w:color w:val="231F20"/>
                <w:sz w:val="18"/>
              </w:rPr>
              <w:t>equal</w:t>
            </w:r>
            <w:r>
              <w:rPr>
                <w:color w:val="231F20"/>
                <w:spacing w:val="9"/>
                <w:sz w:val="18"/>
              </w:rPr>
              <w:t> </w:t>
            </w:r>
            <w:r>
              <w:rPr>
                <w:color w:val="231F20"/>
                <w:sz w:val="18"/>
              </w:rPr>
              <w:t>to</w:t>
            </w:r>
            <w:r>
              <w:rPr>
                <w:color w:val="231F20"/>
                <w:spacing w:val="8"/>
                <w:sz w:val="18"/>
              </w:rPr>
              <w:t> </w:t>
            </w:r>
            <w:r>
              <w:rPr>
                <w:color w:val="231F20"/>
                <w:spacing w:val="-5"/>
                <w:sz w:val="18"/>
              </w:rPr>
              <w:t>b.</w:t>
            </w:r>
          </w:p>
        </w:tc>
      </w:tr>
      <w:tr>
        <w:trPr>
          <w:trHeight w:val="309" w:hRule="atLeast"/>
        </w:trPr>
        <w:tc>
          <w:tcPr>
            <w:tcW w:w="1508" w:type="dxa"/>
          </w:tcPr>
          <w:p>
            <w:pPr>
              <w:pStyle w:val="TableParagraph"/>
              <w:ind w:left="0" w:right="3"/>
              <w:jc w:val="center"/>
              <w:rPr>
                <w:sz w:val="18"/>
              </w:rPr>
            </w:pPr>
            <w:r>
              <w:rPr>
                <w:color w:val="231F20"/>
                <w:spacing w:val="-5"/>
                <w:w w:val="115"/>
                <w:sz w:val="18"/>
              </w:rPr>
              <w:t>!=</w:t>
            </w:r>
          </w:p>
        </w:tc>
        <w:tc>
          <w:tcPr>
            <w:tcW w:w="1383" w:type="dxa"/>
          </w:tcPr>
          <w:p>
            <w:pPr>
              <w:pStyle w:val="TableParagraph"/>
              <w:rPr>
                <w:sz w:val="18"/>
              </w:rPr>
            </w:pPr>
            <w:r>
              <w:rPr>
                <w:color w:val="231F20"/>
                <w:sz w:val="18"/>
              </w:rPr>
              <w:t>Not</w:t>
            </w:r>
            <w:r>
              <w:rPr>
                <w:color w:val="231F20"/>
                <w:spacing w:val="10"/>
                <w:sz w:val="18"/>
              </w:rPr>
              <w:t> </w:t>
            </w:r>
            <w:r>
              <w:rPr>
                <w:color w:val="231F20"/>
                <w:spacing w:val="-4"/>
                <w:sz w:val="18"/>
              </w:rPr>
              <w:t>equal</w:t>
            </w:r>
          </w:p>
        </w:tc>
        <w:tc>
          <w:tcPr>
            <w:tcW w:w="1664" w:type="dxa"/>
          </w:tcPr>
          <w:p>
            <w:pPr>
              <w:pStyle w:val="TableParagraph"/>
              <w:ind w:left="6"/>
              <w:jc w:val="center"/>
              <w:rPr>
                <w:sz w:val="18"/>
              </w:rPr>
            </w:pPr>
            <w:r>
              <w:rPr>
                <w:color w:val="231F20"/>
                <w:sz w:val="18"/>
              </w:rPr>
              <w:t>a</w:t>
            </w:r>
            <w:r>
              <w:rPr>
                <w:color w:val="231F20"/>
                <w:spacing w:val="12"/>
                <w:sz w:val="18"/>
              </w:rPr>
              <w:t> </w:t>
            </w:r>
            <w:r>
              <w:rPr>
                <w:color w:val="231F20"/>
                <w:sz w:val="18"/>
              </w:rPr>
              <w:t>NE</w:t>
            </w:r>
            <w:r>
              <w:rPr>
                <w:color w:val="231F20"/>
                <w:spacing w:val="12"/>
                <w:sz w:val="18"/>
              </w:rPr>
              <w:t> </w:t>
            </w:r>
            <w:r>
              <w:rPr>
                <w:color w:val="231F20"/>
                <w:spacing w:val="-10"/>
                <w:sz w:val="18"/>
              </w:rPr>
              <w:t>b</w:t>
            </w:r>
          </w:p>
        </w:tc>
        <w:tc>
          <w:tcPr>
            <w:tcW w:w="2982" w:type="dxa"/>
          </w:tcPr>
          <w:p>
            <w:pPr>
              <w:pStyle w:val="TableParagraph"/>
              <w:ind w:left="57"/>
              <w:rPr>
                <w:sz w:val="18"/>
              </w:rPr>
            </w:pPr>
            <w:r>
              <w:rPr>
                <w:color w:val="231F20"/>
                <w:sz w:val="18"/>
              </w:rPr>
              <w:t>True</w:t>
            </w:r>
            <w:r>
              <w:rPr>
                <w:color w:val="231F20"/>
                <w:spacing w:val="9"/>
                <w:sz w:val="18"/>
              </w:rPr>
              <w:t> </w:t>
            </w:r>
            <w:r>
              <w:rPr>
                <w:color w:val="231F20"/>
                <w:sz w:val="18"/>
              </w:rPr>
              <w:t>if</w:t>
            </w:r>
            <w:r>
              <w:rPr>
                <w:color w:val="231F20"/>
                <w:spacing w:val="9"/>
                <w:sz w:val="18"/>
              </w:rPr>
              <w:t> </w:t>
            </w:r>
            <w:r>
              <w:rPr>
                <w:color w:val="231F20"/>
                <w:sz w:val="18"/>
              </w:rPr>
              <w:t>a</w:t>
            </w:r>
            <w:r>
              <w:rPr>
                <w:color w:val="231F20"/>
                <w:spacing w:val="9"/>
                <w:sz w:val="18"/>
              </w:rPr>
              <w:t> </w:t>
            </w:r>
            <w:r>
              <w:rPr>
                <w:color w:val="231F20"/>
                <w:sz w:val="18"/>
              </w:rPr>
              <w:t>is</w:t>
            </w:r>
            <w:r>
              <w:rPr>
                <w:color w:val="231F20"/>
                <w:spacing w:val="9"/>
                <w:sz w:val="18"/>
              </w:rPr>
              <w:t> </w:t>
            </w:r>
            <w:r>
              <w:rPr>
                <w:color w:val="231F20"/>
                <w:sz w:val="18"/>
              </w:rPr>
              <w:t>not</w:t>
            </w:r>
            <w:r>
              <w:rPr>
                <w:color w:val="231F20"/>
                <w:spacing w:val="9"/>
                <w:sz w:val="18"/>
              </w:rPr>
              <w:t> </w:t>
            </w:r>
            <w:r>
              <w:rPr>
                <w:color w:val="231F20"/>
                <w:sz w:val="18"/>
              </w:rPr>
              <w:t>equal</w:t>
            </w:r>
            <w:r>
              <w:rPr>
                <w:color w:val="231F20"/>
                <w:spacing w:val="9"/>
                <w:sz w:val="18"/>
              </w:rPr>
              <w:t> </w:t>
            </w:r>
            <w:r>
              <w:rPr>
                <w:color w:val="231F20"/>
                <w:sz w:val="18"/>
              </w:rPr>
              <w:t>to</w:t>
            </w:r>
            <w:r>
              <w:rPr>
                <w:color w:val="231F20"/>
                <w:spacing w:val="9"/>
                <w:sz w:val="18"/>
              </w:rPr>
              <w:t> </w:t>
            </w:r>
            <w:r>
              <w:rPr>
                <w:color w:val="231F20"/>
                <w:spacing w:val="-5"/>
                <w:sz w:val="18"/>
              </w:rPr>
              <w:t>b.</w:t>
            </w:r>
          </w:p>
        </w:tc>
      </w:tr>
      <w:tr>
        <w:trPr>
          <w:trHeight w:val="528" w:hRule="atLeast"/>
        </w:trPr>
        <w:tc>
          <w:tcPr>
            <w:tcW w:w="1508" w:type="dxa"/>
          </w:tcPr>
          <w:p>
            <w:pPr>
              <w:pStyle w:val="TableParagraph"/>
              <w:ind w:left="0" w:right="3"/>
              <w:jc w:val="center"/>
              <w:rPr>
                <w:sz w:val="18"/>
              </w:rPr>
            </w:pPr>
            <w:r>
              <w:rPr>
                <w:color w:val="231F20"/>
                <w:spacing w:val="-5"/>
                <w:w w:val="120"/>
                <w:sz w:val="18"/>
              </w:rPr>
              <w:t>&lt;=</w:t>
            </w:r>
          </w:p>
        </w:tc>
        <w:tc>
          <w:tcPr>
            <w:tcW w:w="1383" w:type="dxa"/>
          </w:tcPr>
          <w:p>
            <w:pPr>
              <w:pStyle w:val="TableParagraph"/>
              <w:spacing w:line="216" w:lineRule="auto" w:before="44"/>
              <w:rPr>
                <w:sz w:val="18"/>
              </w:rPr>
            </w:pPr>
            <w:r>
              <w:rPr>
                <w:color w:val="231F20"/>
                <w:sz w:val="18"/>
              </w:rPr>
              <w:t>Less</w:t>
            </w:r>
            <w:r>
              <w:rPr>
                <w:color w:val="231F20"/>
                <w:spacing w:val="-5"/>
                <w:sz w:val="18"/>
              </w:rPr>
              <w:t> </w:t>
            </w:r>
            <w:r>
              <w:rPr>
                <w:color w:val="231F20"/>
                <w:sz w:val="18"/>
              </w:rPr>
              <w:t>than</w:t>
            </w:r>
            <w:r>
              <w:rPr>
                <w:color w:val="231F20"/>
                <w:spacing w:val="-5"/>
                <w:sz w:val="18"/>
              </w:rPr>
              <w:t> </w:t>
            </w:r>
            <w:r>
              <w:rPr>
                <w:color w:val="231F20"/>
                <w:sz w:val="18"/>
              </w:rPr>
              <w:t>or </w:t>
            </w:r>
            <w:r>
              <w:rPr>
                <w:color w:val="231F20"/>
                <w:spacing w:val="-2"/>
                <w:sz w:val="18"/>
              </w:rPr>
              <w:t>equal</w:t>
            </w:r>
          </w:p>
        </w:tc>
        <w:tc>
          <w:tcPr>
            <w:tcW w:w="1664" w:type="dxa"/>
          </w:tcPr>
          <w:p>
            <w:pPr>
              <w:pStyle w:val="TableParagraph"/>
              <w:ind w:left="6"/>
              <w:jc w:val="center"/>
              <w:rPr>
                <w:sz w:val="18"/>
              </w:rPr>
            </w:pPr>
            <w:r>
              <w:rPr>
                <w:color w:val="231F20"/>
                <w:w w:val="110"/>
                <w:sz w:val="18"/>
              </w:rPr>
              <w:t>a</w:t>
            </w:r>
            <w:r>
              <w:rPr>
                <w:color w:val="231F20"/>
                <w:spacing w:val="13"/>
                <w:w w:val="110"/>
                <w:sz w:val="18"/>
              </w:rPr>
              <w:t> </w:t>
            </w:r>
            <w:r>
              <w:rPr>
                <w:color w:val="231F20"/>
                <w:w w:val="110"/>
                <w:sz w:val="18"/>
              </w:rPr>
              <w:t>&lt;=</w:t>
            </w:r>
            <w:r>
              <w:rPr>
                <w:color w:val="231F20"/>
                <w:spacing w:val="14"/>
                <w:w w:val="110"/>
                <w:sz w:val="18"/>
              </w:rPr>
              <w:t> </w:t>
            </w:r>
            <w:r>
              <w:rPr>
                <w:color w:val="231F20"/>
                <w:spacing w:val="-10"/>
                <w:w w:val="110"/>
                <w:sz w:val="18"/>
              </w:rPr>
              <w:t>b</w:t>
            </w:r>
          </w:p>
        </w:tc>
        <w:tc>
          <w:tcPr>
            <w:tcW w:w="2982" w:type="dxa"/>
          </w:tcPr>
          <w:p>
            <w:pPr>
              <w:pStyle w:val="TableParagraph"/>
              <w:ind w:left="57"/>
              <w:rPr>
                <w:sz w:val="18"/>
              </w:rPr>
            </w:pPr>
            <w:r>
              <w:rPr>
                <w:color w:val="231F20"/>
                <w:sz w:val="18"/>
              </w:rPr>
              <w:t>True</w:t>
            </w:r>
            <w:r>
              <w:rPr>
                <w:color w:val="231F20"/>
                <w:spacing w:val="9"/>
                <w:sz w:val="18"/>
              </w:rPr>
              <w:t> </w:t>
            </w:r>
            <w:r>
              <w:rPr>
                <w:color w:val="231F20"/>
                <w:sz w:val="18"/>
              </w:rPr>
              <w:t>if</w:t>
            </w:r>
            <w:r>
              <w:rPr>
                <w:color w:val="231F20"/>
                <w:spacing w:val="10"/>
                <w:sz w:val="18"/>
              </w:rPr>
              <w:t> </w:t>
            </w:r>
            <w:r>
              <w:rPr>
                <w:color w:val="231F20"/>
                <w:sz w:val="18"/>
              </w:rPr>
              <w:t>a</w:t>
            </w:r>
            <w:r>
              <w:rPr>
                <w:color w:val="231F20"/>
                <w:spacing w:val="9"/>
                <w:sz w:val="18"/>
              </w:rPr>
              <w:t> </w:t>
            </w:r>
            <w:r>
              <w:rPr>
                <w:color w:val="231F20"/>
                <w:sz w:val="18"/>
              </w:rPr>
              <w:t>is</w:t>
            </w:r>
            <w:r>
              <w:rPr>
                <w:color w:val="231F20"/>
                <w:spacing w:val="10"/>
                <w:sz w:val="18"/>
              </w:rPr>
              <w:t> </w:t>
            </w:r>
            <w:r>
              <w:rPr>
                <w:color w:val="231F20"/>
                <w:sz w:val="18"/>
              </w:rPr>
              <w:t>less</w:t>
            </w:r>
            <w:r>
              <w:rPr>
                <w:color w:val="231F20"/>
                <w:spacing w:val="9"/>
                <w:sz w:val="18"/>
              </w:rPr>
              <w:t> </w:t>
            </w:r>
            <w:r>
              <w:rPr>
                <w:color w:val="231F20"/>
                <w:sz w:val="18"/>
              </w:rPr>
              <w:t>than</w:t>
            </w:r>
            <w:r>
              <w:rPr>
                <w:color w:val="231F20"/>
                <w:spacing w:val="10"/>
                <w:sz w:val="18"/>
              </w:rPr>
              <w:t> </w:t>
            </w:r>
            <w:r>
              <w:rPr>
                <w:color w:val="231F20"/>
                <w:sz w:val="18"/>
              </w:rPr>
              <w:t>or</w:t>
            </w:r>
            <w:r>
              <w:rPr>
                <w:color w:val="231F20"/>
                <w:spacing w:val="9"/>
                <w:sz w:val="18"/>
              </w:rPr>
              <w:t> </w:t>
            </w:r>
            <w:r>
              <w:rPr>
                <w:color w:val="231F20"/>
                <w:sz w:val="18"/>
              </w:rPr>
              <w:t>equal</w:t>
            </w:r>
            <w:r>
              <w:rPr>
                <w:color w:val="231F20"/>
                <w:spacing w:val="10"/>
                <w:sz w:val="18"/>
              </w:rPr>
              <w:t> </w:t>
            </w:r>
            <w:r>
              <w:rPr>
                <w:color w:val="231F20"/>
                <w:sz w:val="18"/>
              </w:rPr>
              <w:t>to</w:t>
            </w:r>
            <w:r>
              <w:rPr>
                <w:color w:val="231F20"/>
                <w:spacing w:val="9"/>
                <w:sz w:val="18"/>
              </w:rPr>
              <w:t> </w:t>
            </w:r>
            <w:r>
              <w:rPr>
                <w:color w:val="231F20"/>
                <w:spacing w:val="-5"/>
                <w:sz w:val="18"/>
              </w:rPr>
              <w:t>b.</w:t>
            </w:r>
          </w:p>
        </w:tc>
      </w:tr>
      <w:tr>
        <w:trPr>
          <w:trHeight w:val="533" w:hRule="atLeast"/>
        </w:trPr>
        <w:tc>
          <w:tcPr>
            <w:tcW w:w="1508" w:type="dxa"/>
          </w:tcPr>
          <w:p>
            <w:pPr>
              <w:pStyle w:val="TableParagraph"/>
              <w:ind w:left="0" w:right="3"/>
              <w:jc w:val="center"/>
              <w:rPr>
                <w:sz w:val="18"/>
              </w:rPr>
            </w:pPr>
            <w:r>
              <w:rPr>
                <w:color w:val="231F20"/>
                <w:spacing w:val="-5"/>
                <w:w w:val="120"/>
                <w:sz w:val="18"/>
              </w:rPr>
              <w:t>&gt;=</w:t>
            </w:r>
          </w:p>
        </w:tc>
        <w:tc>
          <w:tcPr>
            <w:tcW w:w="1383" w:type="dxa"/>
          </w:tcPr>
          <w:p>
            <w:pPr>
              <w:pStyle w:val="TableParagraph"/>
              <w:spacing w:line="216" w:lineRule="auto" w:before="44"/>
              <w:rPr>
                <w:sz w:val="18"/>
              </w:rPr>
            </w:pPr>
            <w:r>
              <w:rPr>
                <w:color w:val="231F20"/>
                <w:sz w:val="18"/>
              </w:rPr>
              <w:t>Greater</w:t>
            </w:r>
            <w:r>
              <w:rPr>
                <w:color w:val="231F20"/>
                <w:spacing w:val="-7"/>
                <w:sz w:val="18"/>
              </w:rPr>
              <w:t> </w:t>
            </w:r>
            <w:r>
              <w:rPr>
                <w:color w:val="231F20"/>
                <w:sz w:val="18"/>
              </w:rPr>
              <w:t>than</w:t>
            </w:r>
            <w:r>
              <w:rPr>
                <w:color w:val="231F20"/>
                <w:spacing w:val="-7"/>
                <w:sz w:val="18"/>
              </w:rPr>
              <w:t> </w:t>
            </w:r>
            <w:r>
              <w:rPr>
                <w:color w:val="231F20"/>
                <w:sz w:val="18"/>
              </w:rPr>
              <w:t>or </w:t>
            </w:r>
            <w:r>
              <w:rPr>
                <w:color w:val="231F20"/>
                <w:spacing w:val="-2"/>
                <w:sz w:val="18"/>
              </w:rPr>
              <w:t>equal</w:t>
            </w:r>
          </w:p>
        </w:tc>
        <w:tc>
          <w:tcPr>
            <w:tcW w:w="1664" w:type="dxa"/>
          </w:tcPr>
          <w:p>
            <w:pPr>
              <w:pStyle w:val="TableParagraph"/>
              <w:ind w:left="6"/>
              <w:jc w:val="center"/>
              <w:rPr>
                <w:sz w:val="18"/>
              </w:rPr>
            </w:pPr>
            <w:r>
              <w:rPr>
                <w:color w:val="231F20"/>
                <w:sz w:val="18"/>
              </w:rPr>
              <w:t>a</w:t>
            </w:r>
            <w:r>
              <w:rPr>
                <w:color w:val="231F20"/>
                <w:spacing w:val="12"/>
                <w:sz w:val="18"/>
              </w:rPr>
              <w:t> </w:t>
            </w:r>
            <w:r>
              <w:rPr>
                <w:color w:val="231F20"/>
                <w:sz w:val="18"/>
              </w:rPr>
              <w:t>GE</w:t>
            </w:r>
            <w:r>
              <w:rPr>
                <w:color w:val="231F20"/>
                <w:spacing w:val="12"/>
                <w:sz w:val="18"/>
              </w:rPr>
              <w:t> </w:t>
            </w:r>
            <w:r>
              <w:rPr>
                <w:color w:val="231F20"/>
                <w:spacing w:val="-10"/>
                <w:sz w:val="18"/>
              </w:rPr>
              <w:t>b</w:t>
            </w:r>
          </w:p>
        </w:tc>
        <w:tc>
          <w:tcPr>
            <w:tcW w:w="2982" w:type="dxa"/>
          </w:tcPr>
          <w:p>
            <w:pPr>
              <w:pStyle w:val="TableParagraph"/>
              <w:spacing w:line="216" w:lineRule="auto" w:before="44"/>
              <w:ind w:left="57" w:right="49"/>
              <w:rPr>
                <w:sz w:val="18"/>
              </w:rPr>
            </w:pPr>
            <w:r>
              <w:rPr>
                <w:color w:val="231F20"/>
                <w:sz w:val="18"/>
              </w:rPr>
              <w:t>True if a is greater than or equal to </w:t>
            </w:r>
            <w:r>
              <w:rPr>
                <w:color w:val="231F20"/>
                <w:spacing w:val="-6"/>
                <w:sz w:val="18"/>
              </w:rPr>
              <w:t>b.</w:t>
            </w:r>
          </w:p>
        </w:tc>
      </w:tr>
    </w:tbl>
    <w:p>
      <w:pPr>
        <w:pStyle w:val="BodyText"/>
        <w:spacing w:before="83"/>
        <w:rPr>
          <w:rFonts w:ascii="Arial"/>
          <w:i/>
          <w:sz w:val="18"/>
        </w:rPr>
      </w:pPr>
    </w:p>
    <w:p>
      <w:pPr>
        <w:pStyle w:val="BodyText"/>
        <w:spacing w:line="213" w:lineRule="auto"/>
        <w:ind w:left="2951" w:right="558"/>
        <w:jc w:val="both"/>
      </w:pPr>
      <w:r>
        <w:rPr>
          <w:color w:val="231F20"/>
        </w:rPr>
        <w:t>Comparisons must be made on like data types—string to string, numbers</w:t>
      </w:r>
      <w:r>
        <w:rPr>
          <w:color w:val="231F20"/>
          <w:spacing w:val="40"/>
        </w:rPr>
        <w:t> </w:t>
      </w:r>
      <w:r>
        <w:rPr>
          <w:color w:val="231F20"/>
        </w:rPr>
        <w:t>to</w:t>
      </w:r>
      <w:r>
        <w:rPr>
          <w:color w:val="231F20"/>
          <w:spacing w:val="11"/>
        </w:rPr>
        <w:t> </w:t>
      </w:r>
      <w:r>
        <w:rPr>
          <w:color w:val="231F20"/>
        </w:rPr>
        <w:t>numbers.</w:t>
      </w:r>
      <w:r>
        <w:rPr>
          <w:color w:val="231F20"/>
          <w:spacing w:val="11"/>
        </w:rPr>
        <w:t> </w:t>
      </w:r>
      <w:r>
        <w:rPr>
          <w:color w:val="231F20"/>
        </w:rPr>
        <w:t>If</w:t>
      </w:r>
      <w:r>
        <w:rPr>
          <w:color w:val="231F20"/>
          <w:spacing w:val="11"/>
        </w:rPr>
        <w:t> </w:t>
      </w:r>
      <w:r>
        <w:rPr>
          <w:color w:val="231F20"/>
        </w:rPr>
        <w:t>the</w:t>
      </w:r>
      <w:r>
        <w:rPr>
          <w:color w:val="231F20"/>
          <w:spacing w:val="11"/>
        </w:rPr>
        <w:t> </w:t>
      </w:r>
      <w:r>
        <w:rPr>
          <w:color w:val="231F20"/>
        </w:rPr>
        <w:t>data</w:t>
      </w:r>
      <w:r>
        <w:rPr>
          <w:color w:val="231F20"/>
          <w:spacing w:val="11"/>
        </w:rPr>
        <w:t> </w:t>
      </w:r>
      <w:r>
        <w:rPr>
          <w:color w:val="231F20"/>
        </w:rPr>
        <w:t>types</w:t>
      </w:r>
      <w:r>
        <w:rPr>
          <w:color w:val="231F20"/>
          <w:spacing w:val="11"/>
        </w:rPr>
        <w:t> </w:t>
      </w:r>
      <w:r>
        <w:rPr>
          <w:color w:val="231F20"/>
        </w:rPr>
        <w:t>are</w:t>
      </w:r>
      <w:r>
        <w:rPr>
          <w:color w:val="231F20"/>
          <w:spacing w:val="11"/>
        </w:rPr>
        <w:t> </w:t>
      </w:r>
      <w:r>
        <w:rPr>
          <w:color w:val="231F20"/>
        </w:rPr>
        <w:t>different,</w:t>
      </w:r>
      <w:r>
        <w:rPr>
          <w:color w:val="231F20"/>
          <w:spacing w:val="11"/>
        </w:rPr>
        <w:t> </w:t>
      </w:r>
      <w:r>
        <w:rPr>
          <w:color w:val="231F20"/>
        </w:rPr>
        <w:t>a</w:t>
      </w:r>
      <w:r>
        <w:rPr>
          <w:color w:val="231F20"/>
          <w:spacing w:val="11"/>
        </w:rPr>
        <w:t> </w:t>
      </w:r>
      <w:r>
        <w:rPr>
          <w:color w:val="231F20"/>
        </w:rPr>
        <w:t>run</w:t>
      </w:r>
      <w:r>
        <w:rPr>
          <w:color w:val="231F20"/>
          <w:spacing w:val="11"/>
        </w:rPr>
        <w:t> </w:t>
      </w:r>
      <w:r>
        <w:rPr>
          <w:color w:val="231F20"/>
        </w:rPr>
        <w:t>time</w:t>
      </w:r>
      <w:r>
        <w:rPr>
          <w:color w:val="231F20"/>
          <w:spacing w:val="11"/>
        </w:rPr>
        <w:t> </w:t>
      </w:r>
      <w:r>
        <w:rPr>
          <w:color w:val="231F20"/>
        </w:rPr>
        <w:t>error</w:t>
      </w:r>
      <w:r>
        <w:rPr>
          <w:color w:val="231F20"/>
          <w:spacing w:val="11"/>
        </w:rPr>
        <w:t> </w:t>
      </w:r>
      <w:r>
        <w:rPr>
          <w:color w:val="231F20"/>
        </w:rPr>
        <w:t>will</w:t>
      </w:r>
      <w:r>
        <w:rPr>
          <w:color w:val="231F20"/>
          <w:spacing w:val="11"/>
        </w:rPr>
        <w:t> </w:t>
      </w:r>
      <w:r>
        <w:rPr>
          <w:color w:val="231F20"/>
        </w:rPr>
        <w:t>be</w:t>
      </w:r>
      <w:r>
        <w:rPr>
          <w:color w:val="231F20"/>
          <w:spacing w:val="11"/>
        </w:rPr>
        <w:t> </w:t>
      </w:r>
      <w:r>
        <w:rPr>
          <w:color w:val="231F20"/>
          <w:spacing w:val="-2"/>
        </w:rPr>
        <w:t>raised.</w:t>
      </w:r>
    </w:p>
    <w:p>
      <w:pPr>
        <w:pStyle w:val="Heading6"/>
        <w:ind w:left="2232"/>
      </w:pPr>
      <w:r>
        <w:rPr>
          <w:color w:val="231F20"/>
        </w:rPr>
        <w:t>String</w:t>
      </w:r>
      <w:r>
        <w:rPr>
          <w:color w:val="231F20"/>
          <w:spacing w:val="10"/>
        </w:rPr>
        <w:t> </w:t>
      </w:r>
      <w:r>
        <w:rPr>
          <w:color w:val="231F20"/>
          <w:spacing w:val="-2"/>
        </w:rPr>
        <w:t>comparisons</w:t>
      </w:r>
    </w:p>
    <w:p>
      <w:pPr>
        <w:pStyle w:val="BodyText"/>
        <w:spacing w:line="213" w:lineRule="auto" w:before="11"/>
        <w:ind w:left="2951" w:right="567"/>
      </w:pPr>
      <w:r>
        <w:rPr>
          <w:color w:val="231F20"/>
        </w:rPr>
        <w:t>Two strings are considered equal if they match character for character </w:t>
      </w:r>
      <w:r>
        <w:rPr>
          <w:color w:val="231F20"/>
        </w:rPr>
        <w:t>and are of the same length. Strings are compared character by character, left to right until all characters have been matched or one of the strings has been exhausted. If the end of one string is encountered before the end of the corresponding string, the strings are considered to be of unequal length</w:t>
      </w:r>
      <w:r>
        <w:rPr>
          <w:color w:val="231F20"/>
          <w:spacing w:val="40"/>
        </w:rPr>
        <w:t> </w:t>
      </w:r>
      <w:r>
        <w:rPr>
          <w:color w:val="231F20"/>
        </w:rPr>
        <w:t>and result in an unequal condition.</w:t>
      </w:r>
    </w:p>
    <w:p>
      <w:pPr>
        <w:pStyle w:val="BodyText"/>
        <w:spacing w:line="213" w:lineRule="auto" w:before="116"/>
        <w:ind w:left="2951" w:right="545"/>
      </w:pPr>
      <w:r>
        <w:rPr>
          <w:color w:val="231F20"/>
        </w:rPr>
        <w:t>If any character in a string does not match the corresponding character </w:t>
      </w:r>
      <w:r>
        <w:rPr>
          <w:color w:val="231F20"/>
        </w:rPr>
        <w:t>in the other string, the comparison stops and the strings are considered not equal. Strings are case-sensitive. Examples:</w:t>
      </w:r>
    </w:p>
    <w:p>
      <w:pPr>
        <w:spacing w:line="230" w:lineRule="auto" w:before="68"/>
        <w:ind w:left="2951" w:right="5605" w:firstLine="0"/>
        <w:jc w:val="left"/>
        <w:rPr>
          <w:rFonts w:ascii="Arial"/>
          <w:sz w:val="18"/>
        </w:rPr>
      </w:pPr>
      <w:r>
        <w:rPr>
          <w:rFonts w:ascii="Arial"/>
          <w:color w:val="231F20"/>
          <w:sz w:val="18"/>
        </w:rPr>
        <w:t>Str1</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"abcdefg"; Str2</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"abcdefg"; Str3</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"abcdef"; Str4</w:t>
      </w:r>
      <w:r>
        <w:rPr>
          <w:rFonts w:ascii="Arial"/>
          <w:color w:val="231F20"/>
          <w:spacing w:val="44"/>
          <w:sz w:val="18"/>
        </w:rPr>
        <w:t> </w:t>
      </w:r>
      <w:r>
        <w:rPr>
          <w:rFonts w:ascii="Arial"/>
          <w:color w:val="231F20"/>
          <w:sz w:val="18"/>
        </w:rPr>
        <w:t>=</w:t>
      </w:r>
      <w:r>
        <w:rPr>
          <w:rFonts w:ascii="Arial"/>
          <w:color w:val="231F20"/>
          <w:spacing w:val="44"/>
          <w:sz w:val="18"/>
        </w:rPr>
        <w:t> </w:t>
      </w:r>
      <w:r>
        <w:rPr>
          <w:rFonts w:ascii="Arial"/>
          <w:color w:val="231F20"/>
          <w:spacing w:val="-2"/>
          <w:w w:val="85"/>
          <w:sz w:val="18"/>
        </w:rPr>
        <w:t>"ABCDEFG";</w:t>
      </w:r>
    </w:p>
    <w:p>
      <w:pPr>
        <w:spacing w:line="230" w:lineRule="auto" w:before="3"/>
        <w:ind w:left="2951" w:right="2112" w:firstLine="0"/>
        <w:jc w:val="left"/>
        <w:rPr>
          <w:rFonts w:ascii="Arial"/>
          <w:sz w:val="18"/>
        </w:rPr>
      </w:pPr>
      <w:r>
        <w:rPr>
          <w:rFonts w:ascii="Arial"/>
          <w:color w:val="231F20"/>
          <w:w w:val="150"/>
          <w:sz w:val="18"/>
        </w:rPr>
        <w:t>If</w:t>
      </w:r>
      <w:r>
        <w:rPr>
          <w:rFonts w:ascii="Arial"/>
          <w:color w:val="231F20"/>
          <w:w w:val="150"/>
          <w:sz w:val="18"/>
        </w:rPr>
        <w:t> </w:t>
      </w:r>
      <w:r>
        <w:rPr>
          <w:rFonts w:ascii="Arial"/>
          <w:color w:val="231F20"/>
          <w:w w:val="115"/>
          <w:sz w:val="18"/>
        </w:rPr>
        <w:t>(str1</w:t>
      </w:r>
      <w:r>
        <w:rPr>
          <w:rFonts w:ascii="Arial"/>
          <w:color w:val="231F20"/>
          <w:spacing w:val="18"/>
          <w:w w:val="115"/>
          <w:sz w:val="18"/>
        </w:rPr>
        <w:t> </w:t>
      </w:r>
      <w:r>
        <w:rPr>
          <w:rFonts w:ascii="Arial"/>
          <w:color w:val="231F20"/>
          <w:w w:val="105"/>
          <w:sz w:val="18"/>
        </w:rPr>
        <w:t>==</w:t>
      </w:r>
      <w:r>
        <w:rPr>
          <w:rFonts w:ascii="Arial"/>
          <w:color w:val="231F20"/>
          <w:w w:val="150"/>
          <w:sz w:val="18"/>
        </w:rPr>
        <w:t> str2)...</w:t>
      </w:r>
      <w:r>
        <w:rPr>
          <w:rFonts w:ascii="Arial"/>
          <w:color w:val="231F20"/>
          <w:w w:val="150"/>
          <w:sz w:val="18"/>
        </w:rPr>
        <w:t> </w:t>
      </w:r>
      <w:r>
        <w:rPr>
          <w:rFonts w:ascii="Arial"/>
          <w:color w:val="231F20"/>
          <w:w w:val="115"/>
          <w:sz w:val="18"/>
        </w:rPr>
        <w:t>results</w:t>
      </w:r>
      <w:r>
        <w:rPr>
          <w:rFonts w:ascii="Arial"/>
          <w:color w:val="231F20"/>
          <w:spacing w:val="18"/>
          <w:w w:val="115"/>
          <w:sz w:val="18"/>
        </w:rPr>
        <w:t> </w:t>
      </w:r>
      <w:r>
        <w:rPr>
          <w:rFonts w:ascii="Arial"/>
          <w:color w:val="231F20"/>
          <w:w w:val="115"/>
          <w:sz w:val="18"/>
        </w:rPr>
        <w:t>in</w:t>
      </w:r>
      <w:r>
        <w:rPr>
          <w:rFonts w:ascii="Arial"/>
          <w:color w:val="231F20"/>
          <w:spacing w:val="18"/>
          <w:w w:val="115"/>
          <w:sz w:val="18"/>
        </w:rPr>
        <w:t> </w:t>
      </w:r>
      <w:r>
        <w:rPr>
          <w:rFonts w:ascii="Arial"/>
          <w:color w:val="231F20"/>
          <w:w w:val="105"/>
          <w:sz w:val="18"/>
        </w:rPr>
        <w:t>an</w:t>
      </w:r>
      <w:r>
        <w:rPr>
          <w:rFonts w:ascii="Arial"/>
          <w:color w:val="231F20"/>
          <w:spacing w:val="18"/>
          <w:w w:val="115"/>
          <w:sz w:val="18"/>
        </w:rPr>
        <w:t> </w:t>
      </w:r>
      <w:r>
        <w:rPr>
          <w:rFonts w:ascii="Arial"/>
          <w:color w:val="231F20"/>
          <w:w w:val="115"/>
          <w:sz w:val="18"/>
        </w:rPr>
        <w:t>equal/true</w:t>
      </w:r>
      <w:r>
        <w:rPr>
          <w:rFonts w:ascii="Arial"/>
          <w:color w:val="231F20"/>
          <w:spacing w:val="18"/>
          <w:w w:val="115"/>
          <w:sz w:val="18"/>
        </w:rPr>
        <w:t> </w:t>
      </w:r>
      <w:r>
        <w:rPr>
          <w:rFonts w:ascii="Arial"/>
          <w:color w:val="231F20"/>
          <w:w w:val="115"/>
          <w:sz w:val="18"/>
        </w:rPr>
        <w:t>conditions </w:t>
      </w:r>
      <w:r>
        <w:rPr>
          <w:rFonts w:ascii="Arial"/>
          <w:color w:val="231F20"/>
          <w:w w:val="150"/>
          <w:sz w:val="18"/>
        </w:rPr>
        <w:t>If</w:t>
      </w:r>
      <w:r>
        <w:rPr>
          <w:rFonts w:ascii="Arial"/>
          <w:color w:val="231F20"/>
          <w:w w:val="150"/>
          <w:sz w:val="18"/>
        </w:rPr>
        <w:t> </w:t>
      </w:r>
      <w:r>
        <w:rPr>
          <w:rFonts w:ascii="Arial"/>
          <w:color w:val="231F20"/>
          <w:w w:val="115"/>
          <w:sz w:val="18"/>
        </w:rPr>
        <w:t>(str1</w:t>
      </w:r>
      <w:r>
        <w:rPr>
          <w:rFonts w:ascii="Arial"/>
          <w:color w:val="231F20"/>
          <w:spacing w:val="30"/>
          <w:w w:val="115"/>
          <w:sz w:val="18"/>
        </w:rPr>
        <w:t> </w:t>
      </w:r>
      <w:r>
        <w:rPr>
          <w:rFonts w:ascii="Arial"/>
          <w:color w:val="231F20"/>
          <w:w w:val="105"/>
          <w:sz w:val="18"/>
        </w:rPr>
        <w:t>==</w:t>
      </w:r>
      <w:r>
        <w:rPr>
          <w:rFonts w:ascii="Arial"/>
          <w:color w:val="231F20"/>
          <w:w w:val="150"/>
          <w:sz w:val="18"/>
        </w:rPr>
        <w:t> str3)....</w:t>
      </w:r>
      <w:r>
        <w:rPr>
          <w:rFonts w:ascii="Arial"/>
          <w:color w:val="231F20"/>
          <w:w w:val="150"/>
          <w:sz w:val="18"/>
        </w:rPr>
        <w:t> </w:t>
      </w:r>
      <w:r>
        <w:rPr>
          <w:rFonts w:ascii="Arial"/>
          <w:color w:val="231F20"/>
          <w:w w:val="115"/>
          <w:sz w:val="18"/>
        </w:rPr>
        <w:t>Results</w:t>
      </w:r>
      <w:r>
        <w:rPr>
          <w:rFonts w:ascii="Arial"/>
          <w:color w:val="231F20"/>
          <w:spacing w:val="30"/>
          <w:w w:val="115"/>
          <w:sz w:val="18"/>
        </w:rPr>
        <w:t> </w:t>
      </w:r>
      <w:r>
        <w:rPr>
          <w:rFonts w:ascii="Arial"/>
          <w:color w:val="231F20"/>
          <w:w w:val="115"/>
          <w:sz w:val="18"/>
        </w:rPr>
        <w:t>in</w:t>
      </w:r>
      <w:r>
        <w:rPr>
          <w:rFonts w:ascii="Arial"/>
          <w:color w:val="231F20"/>
          <w:spacing w:val="30"/>
          <w:w w:val="115"/>
          <w:sz w:val="18"/>
        </w:rPr>
        <w:t> </w:t>
      </w:r>
      <w:r>
        <w:rPr>
          <w:rFonts w:ascii="Arial"/>
          <w:color w:val="231F20"/>
          <w:w w:val="105"/>
          <w:sz w:val="18"/>
        </w:rPr>
        <w:t>a</w:t>
      </w:r>
      <w:r>
        <w:rPr>
          <w:rFonts w:ascii="Arial"/>
          <w:color w:val="231F20"/>
          <w:spacing w:val="30"/>
          <w:w w:val="115"/>
          <w:sz w:val="18"/>
        </w:rPr>
        <w:t> </w:t>
      </w:r>
      <w:r>
        <w:rPr>
          <w:rFonts w:ascii="Arial"/>
          <w:color w:val="231F20"/>
          <w:w w:val="115"/>
          <w:sz w:val="18"/>
        </w:rPr>
        <w:t>not</w:t>
      </w:r>
      <w:r>
        <w:rPr>
          <w:rFonts w:ascii="Arial"/>
          <w:color w:val="231F20"/>
          <w:spacing w:val="30"/>
          <w:w w:val="115"/>
          <w:sz w:val="18"/>
        </w:rPr>
        <w:t> </w:t>
      </w:r>
      <w:r>
        <w:rPr>
          <w:rFonts w:ascii="Arial"/>
          <w:color w:val="231F20"/>
          <w:w w:val="115"/>
          <w:sz w:val="18"/>
        </w:rPr>
        <w:t>equal</w:t>
      </w:r>
      <w:r>
        <w:rPr>
          <w:rFonts w:ascii="Arial"/>
          <w:color w:val="231F20"/>
          <w:spacing w:val="30"/>
          <w:w w:val="115"/>
          <w:sz w:val="18"/>
        </w:rPr>
        <w:t> </w:t>
      </w:r>
      <w:r>
        <w:rPr>
          <w:rFonts w:ascii="Arial"/>
          <w:color w:val="231F20"/>
          <w:w w:val="115"/>
          <w:sz w:val="18"/>
        </w:rPr>
        <w:t>condition </w:t>
      </w:r>
      <w:r>
        <w:rPr>
          <w:rFonts w:ascii="Arial"/>
          <w:color w:val="231F20"/>
          <w:w w:val="105"/>
          <w:sz w:val="18"/>
        </w:rPr>
        <w:t>because</w:t>
      </w:r>
      <w:r>
        <w:rPr>
          <w:rFonts w:ascii="Arial"/>
          <w:color w:val="231F20"/>
          <w:spacing w:val="37"/>
          <w:w w:val="115"/>
          <w:sz w:val="18"/>
        </w:rPr>
        <w:t> </w:t>
      </w:r>
      <w:r>
        <w:rPr>
          <w:rFonts w:ascii="Arial"/>
          <w:color w:val="231F20"/>
          <w:w w:val="115"/>
          <w:sz w:val="18"/>
        </w:rPr>
        <w:t>str3</w:t>
      </w:r>
      <w:r>
        <w:rPr>
          <w:rFonts w:ascii="Arial"/>
          <w:color w:val="231F20"/>
          <w:w w:val="150"/>
          <w:sz w:val="18"/>
        </w:rPr>
        <w:t> is</w:t>
      </w:r>
      <w:r>
        <w:rPr>
          <w:rFonts w:ascii="Arial"/>
          <w:color w:val="231F20"/>
          <w:w w:val="150"/>
          <w:sz w:val="18"/>
        </w:rPr>
        <w:t> </w:t>
      </w:r>
      <w:r>
        <w:rPr>
          <w:rFonts w:ascii="Arial"/>
          <w:color w:val="231F20"/>
          <w:w w:val="115"/>
          <w:sz w:val="18"/>
        </w:rPr>
        <w:t>shorter</w:t>
      </w:r>
      <w:r>
        <w:rPr>
          <w:rFonts w:ascii="Arial"/>
          <w:color w:val="231F20"/>
          <w:spacing w:val="37"/>
          <w:w w:val="115"/>
          <w:sz w:val="18"/>
        </w:rPr>
        <w:t> </w:t>
      </w:r>
      <w:r>
        <w:rPr>
          <w:rFonts w:ascii="Arial"/>
          <w:color w:val="231F20"/>
          <w:w w:val="115"/>
          <w:sz w:val="18"/>
        </w:rPr>
        <w:t>than</w:t>
      </w:r>
      <w:r>
        <w:rPr>
          <w:rFonts w:ascii="Arial"/>
          <w:color w:val="231F20"/>
          <w:spacing w:val="37"/>
          <w:w w:val="115"/>
          <w:sz w:val="18"/>
        </w:rPr>
        <w:t> </w:t>
      </w:r>
      <w:r>
        <w:rPr>
          <w:rFonts w:ascii="Arial"/>
          <w:color w:val="231F20"/>
          <w:w w:val="115"/>
          <w:sz w:val="18"/>
        </w:rPr>
        <w:t>str1</w:t>
      </w:r>
    </w:p>
    <w:p>
      <w:pPr>
        <w:spacing w:line="230" w:lineRule="auto" w:before="3"/>
        <w:ind w:left="2951" w:right="2112" w:firstLine="0"/>
        <w:jc w:val="left"/>
        <w:rPr>
          <w:rFonts w:ascii="Arial"/>
          <w:sz w:val="18"/>
        </w:rPr>
      </w:pPr>
      <w:r>
        <w:rPr>
          <w:rFonts w:ascii="Arial"/>
          <w:color w:val="231F20"/>
          <w:w w:val="150"/>
          <w:sz w:val="18"/>
        </w:rPr>
        <w:t>If</w:t>
      </w:r>
      <w:r>
        <w:rPr>
          <w:rFonts w:ascii="Arial"/>
          <w:color w:val="231F20"/>
          <w:w w:val="150"/>
          <w:sz w:val="18"/>
        </w:rPr>
        <w:t> </w:t>
      </w:r>
      <w:r>
        <w:rPr>
          <w:rFonts w:ascii="Arial"/>
          <w:color w:val="231F20"/>
          <w:w w:val="115"/>
          <w:sz w:val="18"/>
        </w:rPr>
        <w:t>(str1</w:t>
      </w:r>
      <w:r>
        <w:rPr>
          <w:rFonts w:ascii="Arial"/>
          <w:color w:val="231F20"/>
          <w:spacing w:val="23"/>
          <w:w w:val="115"/>
          <w:sz w:val="18"/>
        </w:rPr>
        <w:t> </w:t>
      </w:r>
      <w:r>
        <w:rPr>
          <w:rFonts w:ascii="Arial"/>
          <w:color w:val="231F20"/>
          <w:w w:val="105"/>
          <w:sz w:val="18"/>
        </w:rPr>
        <w:t>==</w:t>
      </w:r>
      <w:r>
        <w:rPr>
          <w:rFonts w:ascii="Arial"/>
          <w:color w:val="231F20"/>
          <w:spacing w:val="23"/>
          <w:w w:val="115"/>
          <w:sz w:val="18"/>
        </w:rPr>
        <w:t> </w:t>
      </w:r>
      <w:r>
        <w:rPr>
          <w:rFonts w:ascii="Arial"/>
          <w:color w:val="231F20"/>
          <w:w w:val="115"/>
          <w:sz w:val="18"/>
        </w:rPr>
        <w:t>str4)</w:t>
      </w:r>
      <w:r>
        <w:rPr>
          <w:rFonts w:ascii="Arial"/>
          <w:color w:val="231F20"/>
          <w:w w:val="150"/>
          <w:sz w:val="18"/>
        </w:rPr>
        <w:t> ...</w:t>
      </w:r>
      <w:r>
        <w:rPr>
          <w:rFonts w:ascii="Arial"/>
          <w:color w:val="231F20"/>
          <w:w w:val="150"/>
          <w:sz w:val="18"/>
        </w:rPr>
        <w:t> </w:t>
      </w:r>
      <w:r>
        <w:rPr>
          <w:rFonts w:ascii="Arial"/>
          <w:color w:val="231F20"/>
          <w:w w:val="115"/>
          <w:sz w:val="18"/>
        </w:rPr>
        <w:t>Results</w:t>
      </w:r>
      <w:r>
        <w:rPr>
          <w:rFonts w:ascii="Arial"/>
          <w:color w:val="231F20"/>
          <w:spacing w:val="23"/>
          <w:w w:val="115"/>
          <w:sz w:val="18"/>
        </w:rPr>
        <w:t> </w:t>
      </w:r>
      <w:r>
        <w:rPr>
          <w:rFonts w:ascii="Arial"/>
          <w:color w:val="231F20"/>
          <w:w w:val="115"/>
          <w:sz w:val="18"/>
        </w:rPr>
        <w:t>in</w:t>
      </w:r>
      <w:r>
        <w:rPr>
          <w:rFonts w:ascii="Arial"/>
          <w:color w:val="231F20"/>
          <w:spacing w:val="23"/>
          <w:w w:val="115"/>
          <w:sz w:val="18"/>
        </w:rPr>
        <w:t> </w:t>
      </w:r>
      <w:r>
        <w:rPr>
          <w:rFonts w:ascii="Arial"/>
          <w:color w:val="231F20"/>
          <w:w w:val="105"/>
          <w:sz w:val="18"/>
        </w:rPr>
        <w:t>a</w:t>
      </w:r>
      <w:r>
        <w:rPr>
          <w:rFonts w:ascii="Arial"/>
          <w:color w:val="231F20"/>
          <w:spacing w:val="23"/>
          <w:w w:val="115"/>
          <w:sz w:val="18"/>
        </w:rPr>
        <w:t> </w:t>
      </w:r>
      <w:r>
        <w:rPr>
          <w:rFonts w:ascii="Arial"/>
          <w:color w:val="231F20"/>
          <w:w w:val="115"/>
          <w:sz w:val="18"/>
        </w:rPr>
        <w:t>not</w:t>
      </w:r>
      <w:r>
        <w:rPr>
          <w:rFonts w:ascii="Arial"/>
          <w:color w:val="231F20"/>
          <w:spacing w:val="23"/>
          <w:w w:val="115"/>
          <w:sz w:val="18"/>
        </w:rPr>
        <w:t> </w:t>
      </w:r>
      <w:r>
        <w:rPr>
          <w:rFonts w:ascii="Arial"/>
          <w:color w:val="231F20"/>
          <w:w w:val="115"/>
          <w:sz w:val="18"/>
        </w:rPr>
        <w:t>equal</w:t>
      </w:r>
      <w:r>
        <w:rPr>
          <w:rFonts w:ascii="Arial"/>
          <w:color w:val="231F20"/>
          <w:spacing w:val="23"/>
          <w:w w:val="115"/>
          <w:sz w:val="18"/>
        </w:rPr>
        <w:t> </w:t>
      </w:r>
      <w:r>
        <w:rPr>
          <w:rFonts w:ascii="Arial"/>
          <w:color w:val="231F20"/>
          <w:w w:val="115"/>
          <w:sz w:val="18"/>
        </w:rPr>
        <w:t>condition </w:t>
      </w:r>
      <w:r>
        <w:rPr>
          <w:rFonts w:ascii="Arial"/>
          <w:color w:val="231F20"/>
          <w:w w:val="105"/>
          <w:sz w:val="18"/>
        </w:rPr>
        <w:t>because</w:t>
      </w:r>
      <w:r>
        <w:rPr>
          <w:rFonts w:ascii="Arial"/>
          <w:color w:val="231F20"/>
          <w:spacing w:val="40"/>
          <w:w w:val="115"/>
          <w:sz w:val="18"/>
        </w:rPr>
        <w:t> </w:t>
      </w:r>
      <w:r>
        <w:rPr>
          <w:rFonts w:ascii="Arial"/>
          <w:color w:val="231F20"/>
          <w:w w:val="115"/>
          <w:sz w:val="18"/>
        </w:rPr>
        <w:t>the</w:t>
      </w:r>
      <w:r>
        <w:rPr>
          <w:rFonts w:ascii="Arial"/>
          <w:color w:val="231F20"/>
          <w:spacing w:val="40"/>
          <w:w w:val="115"/>
          <w:sz w:val="18"/>
        </w:rPr>
        <w:t> </w:t>
      </w:r>
      <w:r>
        <w:rPr>
          <w:rFonts w:ascii="Arial"/>
          <w:color w:val="231F20"/>
          <w:w w:val="115"/>
          <w:sz w:val="18"/>
        </w:rPr>
        <w:t>strings</w:t>
      </w:r>
      <w:r>
        <w:rPr>
          <w:rFonts w:ascii="Arial"/>
          <w:color w:val="231F20"/>
          <w:spacing w:val="40"/>
          <w:w w:val="115"/>
          <w:sz w:val="18"/>
        </w:rPr>
        <w:t> </w:t>
      </w:r>
      <w:r>
        <w:rPr>
          <w:rFonts w:ascii="Arial"/>
          <w:color w:val="231F20"/>
          <w:w w:val="115"/>
          <w:sz w:val="18"/>
        </w:rPr>
        <w:t>are</w:t>
      </w:r>
      <w:r>
        <w:rPr>
          <w:rFonts w:ascii="Arial"/>
          <w:color w:val="231F20"/>
          <w:spacing w:val="40"/>
          <w:w w:val="115"/>
          <w:sz w:val="18"/>
        </w:rPr>
        <w:t> </w:t>
      </w:r>
      <w:r>
        <w:rPr>
          <w:rFonts w:ascii="Arial"/>
          <w:color w:val="231F20"/>
          <w:w w:val="115"/>
          <w:sz w:val="18"/>
        </w:rPr>
        <w:t>of</w:t>
      </w:r>
      <w:r>
        <w:rPr>
          <w:rFonts w:ascii="Arial"/>
          <w:color w:val="231F20"/>
          <w:spacing w:val="40"/>
          <w:w w:val="115"/>
          <w:sz w:val="18"/>
        </w:rPr>
        <w:t> </w:t>
      </w:r>
      <w:r>
        <w:rPr>
          <w:rFonts w:ascii="Arial"/>
          <w:color w:val="231F20"/>
          <w:w w:val="115"/>
          <w:sz w:val="18"/>
        </w:rPr>
        <w:t>different</w:t>
      </w:r>
      <w:r>
        <w:rPr>
          <w:rFonts w:ascii="Arial"/>
          <w:color w:val="231F20"/>
          <w:spacing w:val="40"/>
          <w:w w:val="115"/>
          <w:sz w:val="18"/>
        </w:rPr>
        <w:t> </w:t>
      </w:r>
      <w:r>
        <w:rPr>
          <w:rFonts w:ascii="Arial"/>
          <w:color w:val="231F20"/>
          <w:w w:val="115"/>
          <w:sz w:val="18"/>
        </w:rPr>
        <w:t>case;</w:t>
      </w:r>
    </w:p>
    <w:p>
      <w:pPr>
        <w:pStyle w:val="Heading6"/>
        <w:spacing w:before="130"/>
        <w:ind w:left="2232"/>
      </w:pPr>
      <w:r>
        <w:rPr>
          <w:color w:val="231F20"/>
        </w:rPr>
        <w:t>String</w:t>
      </w:r>
      <w:r>
        <w:rPr>
          <w:color w:val="231F20"/>
          <w:spacing w:val="6"/>
        </w:rPr>
        <w:t> </w:t>
      </w:r>
      <w:r>
        <w:rPr>
          <w:color w:val="231F20"/>
        </w:rPr>
        <w:t>Concatenation</w:t>
      </w:r>
      <w:r>
        <w:rPr>
          <w:color w:val="231F20"/>
          <w:spacing w:val="7"/>
        </w:rPr>
        <w:t> </w:t>
      </w:r>
      <w:r>
        <w:rPr>
          <w:color w:val="231F20"/>
        </w:rPr>
        <w:t>Operator</w:t>
      </w:r>
      <w:r>
        <w:rPr>
          <w:color w:val="231F20"/>
          <w:spacing w:val="7"/>
        </w:rPr>
        <w:t> </w:t>
      </w:r>
      <w:r>
        <w:rPr>
          <w:color w:val="231F20"/>
          <w:spacing w:val="-5"/>
        </w:rPr>
        <w:t>(+)</w:t>
      </w:r>
    </w:p>
    <w:p>
      <w:pPr>
        <w:pStyle w:val="BodyText"/>
        <w:spacing w:line="213" w:lineRule="auto" w:before="11"/>
        <w:ind w:left="2951" w:right="636"/>
      </w:pPr>
      <w:r>
        <w:rPr>
          <w:color w:val="231F20"/>
        </w:rPr>
        <w:t>The Plus(+) operator, when applied to strings, results in the </w:t>
      </w:r>
      <w:r>
        <w:rPr>
          <w:color w:val="231F20"/>
        </w:rPr>
        <w:t>concatenation of the two strings. Example:</w:t>
      </w:r>
    </w:p>
    <w:p>
      <w:pPr>
        <w:spacing w:after="0" w:line="213" w:lineRule="auto"/>
        <w:sectPr>
          <w:pgSz w:w="12240" w:h="15840"/>
          <w:pgMar w:header="0" w:footer="736" w:top="1180" w:bottom="920" w:left="1000" w:right="1060"/>
        </w:sectPr>
      </w:pPr>
    </w:p>
    <w:p>
      <w:pPr>
        <w:spacing w:line="230" w:lineRule="auto" w:before="74"/>
        <w:ind w:left="3190" w:right="5533" w:firstLine="0"/>
        <w:jc w:val="left"/>
        <w:rPr>
          <w:rFonts w:ascii="Arial"/>
          <w:sz w:val="18"/>
        </w:rPr>
      </w:pPr>
      <w:bookmarkStart w:name="_bookmark133" w:id="295"/>
      <w:bookmarkEnd w:id="295"/>
      <w:r>
        <w:rPr/>
      </w:r>
      <w:r>
        <w:rPr>
          <w:rFonts w:ascii="Arial"/>
          <w:color w:val="231F20"/>
          <w:w w:val="105"/>
          <w:sz w:val="18"/>
        </w:rPr>
        <w:t>Str1</w:t>
      </w:r>
      <w:r>
        <w:rPr>
          <w:rFonts w:ascii="Arial"/>
          <w:color w:val="231F20"/>
          <w:spacing w:val="38"/>
          <w:w w:val="105"/>
          <w:sz w:val="18"/>
        </w:rPr>
        <w:t> </w:t>
      </w:r>
      <w:r>
        <w:rPr>
          <w:rFonts w:ascii="Arial"/>
          <w:color w:val="231F20"/>
          <w:w w:val="105"/>
          <w:sz w:val="18"/>
        </w:rPr>
        <w:t>=</w:t>
      </w:r>
      <w:r>
        <w:rPr>
          <w:rFonts w:ascii="Arial"/>
          <w:color w:val="231F20"/>
          <w:spacing w:val="38"/>
          <w:w w:val="105"/>
          <w:sz w:val="18"/>
        </w:rPr>
        <w:t> </w:t>
      </w:r>
      <w:r>
        <w:rPr>
          <w:rFonts w:ascii="Arial"/>
          <w:color w:val="231F20"/>
          <w:w w:val="105"/>
          <w:sz w:val="18"/>
        </w:rPr>
        <w:t>"abc"; Str2</w:t>
      </w:r>
      <w:r>
        <w:rPr>
          <w:rFonts w:ascii="Arial"/>
          <w:color w:val="231F20"/>
          <w:spacing w:val="30"/>
          <w:w w:val="105"/>
          <w:sz w:val="18"/>
        </w:rPr>
        <w:t> </w:t>
      </w:r>
      <w:r>
        <w:rPr>
          <w:rFonts w:ascii="Arial"/>
          <w:color w:val="231F20"/>
          <w:w w:val="105"/>
          <w:sz w:val="18"/>
        </w:rPr>
        <w:t>=</w:t>
      </w:r>
      <w:r>
        <w:rPr>
          <w:rFonts w:ascii="Arial"/>
          <w:color w:val="231F20"/>
          <w:spacing w:val="31"/>
          <w:w w:val="105"/>
          <w:sz w:val="18"/>
        </w:rPr>
        <w:t> </w:t>
      </w:r>
      <w:r>
        <w:rPr>
          <w:rFonts w:ascii="Arial"/>
          <w:color w:val="231F20"/>
          <w:spacing w:val="-2"/>
          <w:w w:val="105"/>
          <w:sz w:val="18"/>
        </w:rPr>
        <w:t>"def";</w:t>
      </w:r>
    </w:p>
    <w:p>
      <w:pPr>
        <w:spacing w:line="202" w:lineRule="exact" w:before="0"/>
        <w:ind w:left="3190" w:right="0" w:firstLine="0"/>
        <w:jc w:val="left"/>
        <w:rPr>
          <w:rFonts w:ascii="Arial"/>
          <w:sz w:val="18"/>
        </w:rPr>
      </w:pPr>
      <w:r>
        <w:rPr>
          <w:rFonts w:ascii="Arial"/>
          <w:color w:val="231F20"/>
          <w:w w:val="110"/>
          <w:sz w:val="18"/>
        </w:rPr>
        <w:t>Str3</w:t>
      </w:r>
      <w:r>
        <w:rPr>
          <w:rFonts w:ascii="Arial"/>
          <w:color w:val="231F20"/>
          <w:spacing w:val="48"/>
          <w:w w:val="110"/>
          <w:sz w:val="18"/>
        </w:rPr>
        <w:t> </w:t>
      </w:r>
      <w:r>
        <w:rPr>
          <w:rFonts w:ascii="Arial"/>
          <w:color w:val="231F20"/>
          <w:w w:val="110"/>
          <w:sz w:val="18"/>
        </w:rPr>
        <w:t>=</w:t>
      </w:r>
      <w:r>
        <w:rPr>
          <w:rFonts w:ascii="Arial"/>
          <w:color w:val="231F20"/>
          <w:spacing w:val="48"/>
          <w:w w:val="110"/>
          <w:sz w:val="18"/>
        </w:rPr>
        <w:t> </w:t>
      </w:r>
      <w:r>
        <w:rPr>
          <w:rFonts w:ascii="Arial"/>
          <w:color w:val="231F20"/>
          <w:w w:val="110"/>
          <w:sz w:val="18"/>
        </w:rPr>
        <w:t>str1</w:t>
      </w:r>
      <w:r>
        <w:rPr>
          <w:rFonts w:ascii="Arial"/>
          <w:color w:val="231F20"/>
          <w:spacing w:val="48"/>
          <w:w w:val="110"/>
          <w:sz w:val="18"/>
        </w:rPr>
        <w:t> </w:t>
      </w:r>
      <w:r>
        <w:rPr>
          <w:rFonts w:ascii="Arial"/>
          <w:color w:val="231F20"/>
          <w:w w:val="110"/>
          <w:sz w:val="18"/>
        </w:rPr>
        <w:t>+</w:t>
      </w:r>
      <w:r>
        <w:rPr>
          <w:rFonts w:ascii="Arial"/>
          <w:color w:val="231F20"/>
          <w:spacing w:val="48"/>
          <w:w w:val="110"/>
          <w:sz w:val="18"/>
        </w:rPr>
        <w:t> </w:t>
      </w:r>
      <w:r>
        <w:rPr>
          <w:rFonts w:ascii="Arial"/>
          <w:color w:val="231F20"/>
          <w:w w:val="110"/>
          <w:sz w:val="18"/>
        </w:rPr>
        <w:t>str2;</w:t>
      </w:r>
      <w:r>
        <w:rPr>
          <w:rFonts w:ascii="Arial"/>
          <w:color w:val="231F20"/>
          <w:spacing w:val="48"/>
          <w:w w:val="110"/>
          <w:sz w:val="18"/>
        </w:rPr>
        <w:t> </w:t>
      </w:r>
      <w:r>
        <w:rPr>
          <w:rFonts w:ascii="Arial"/>
          <w:color w:val="231F20"/>
          <w:w w:val="110"/>
          <w:sz w:val="18"/>
        </w:rPr>
        <w:t>results</w:t>
      </w:r>
      <w:r>
        <w:rPr>
          <w:rFonts w:ascii="Arial"/>
          <w:color w:val="231F20"/>
          <w:spacing w:val="48"/>
          <w:w w:val="110"/>
          <w:sz w:val="18"/>
        </w:rPr>
        <w:t> </w:t>
      </w:r>
      <w:r>
        <w:rPr>
          <w:rFonts w:ascii="Arial"/>
          <w:color w:val="231F20"/>
          <w:w w:val="110"/>
          <w:sz w:val="18"/>
        </w:rPr>
        <w:t>in</w:t>
      </w:r>
      <w:r>
        <w:rPr>
          <w:rFonts w:ascii="Arial"/>
          <w:color w:val="231F20"/>
          <w:spacing w:val="48"/>
          <w:w w:val="110"/>
          <w:sz w:val="18"/>
        </w:rPr>
        <w:t> </w:t>
      </w:r>
      <w:r>
        <w:rPr>
          <w:rFonts w:ascii="Arial"/>
          <w:color w:val="231F20"/>
          <w:spacing w:val="-2"/>
          <w:w w:val="110"/>
          <w:sz w:val="18"/>
        </w:rPr>
        <w:t>"abcdef"</w:t>
      </w:r>
    </w:p>
    <w:p>
      <w:pPr>
        <w:pStyle w:val="Heading4"/>
        <w:spacing w:line="273" w:lineRule="exact" w:before="176"/>
        <w:ind w:left="2472"/>
      </w:pPr>
      <w:bookmarkStart w:name="Flow control statements" w:id="296"/>
      <w:bookmarkEnd w:id="296"/>
      <w:r>
        <w:rPr>
          <w:b w:val="0"/>
        </w:rPr>
      </w:r>
      <w:r>
        <w:rPr>
          <w:color w:val="231F20"/>
        </w:rPr>
        <w:t>Flow</w:t>
      </w:r>
      <w:r>
        <w:rPr>
          <w:color w:val="231F20"/>
          <w:spacing w:val="6"/>
        </w:rPr>
        <w:t> </w:t>
      </w:r>
      <w:r>
        <w:rPr>
          <w:color w:val="231F20"/>
        </w:rPr>
        <w:t>control</w:t>
      </w:r>
      <w:r>
        <w:rPr>
          <w:color w:val="231F20"/>
          <w:spacing w:val="6"/>
        </w:rPr>
        <w:t> </w:t>
      </w:r>
      <w:r>
        <w:rPr>
          <w:color w:val="231F20"/>
          <w:spacing w:val="-2"/>
        </w:rPr>
        <w:t>statements</w:t>
      </w:r>
    </w:p>
    <w:p>
      <w:pPr>
        <w:pStyle w:val="BodyText"/>
        <w:spacing w:line="213" w:lineRule="auto" w:before="20"/>
        <w:ind w:left="2472" w:right="379"/>
      </w:pPr>
      <w:r>
        <w:rPr>
          <w:color w:val="231F20"/>
        </w:rPr>
        <w:t>The script interpreter processes statements sequentially starting with the first statement of the program block. This sequential flow can be controlled with conditional statements that perform branching and iteration. Branching is</w:t>
      </w:r>
      <w:r>
        <w:rPr>
          <w:color w:val="231F20"/>
          <w:spacing w:val="40"/>
        </w:rPr>
        <w:t> </w:t>
      </w:r>
      <w:r>
        <w:rPr>
          <w:color w:val="231F20"/>
        </w:rPr>
        <w:t>controlled with an IF statement that directs execution along a given path. </w:t>
      </w:r>
      <w:r>
        <w:rPr>
          <w:color w:val="231F20"/>
        </w:rPr>
        <w:t>Iteration</w:t>
      </w:r>
      <w:r>
        <w:rPr>
          <w:color w:val="231F20"/>
          <w:spacing w:val="40"/>
        </w:rPr>
        <w:t> </w:t>
      </w:r>
      <w:r>
        <w:rPr>
          <w:color w:val="231F20"/>
        </w:rPr>
        <w:t>is controlled with loop statements that execute one or more statements repeatedly. Recursion is the process of a function calling itself either directly or indirectly through a second function.</w:t>
      </w:r>
    </w:p>
    <w:p>
      <w:pPr>
        <w:pStyle w:val="BodyText"/>
        <w:spacing w:before="212"/>
        <w:ind w:left="2472"/>
      </w:pPr>
      <w:r>
        <w:rPr>
          <w:color w:val="231F20"/>
        </w:rPr>
        <w:t>Control</w:t>
      </w:r>
      <w:r>
        <w:rPr>
          <w:color w:val="231F20"/>
          <w:spacing w:val="5"/>
        </w:rPr>
        <w:t> </w:t>
      </w:r>
      <w:r>
        <w:rPr>
          <w:color w:val="231F20"/>
        </w:rPr>
        <w:t>statements</w:t>
      </w:r>
      <w:r>
        <w:rPr>
          <w:color w:val="231F20"/>
          <w:spacing w:val="6"/>
        </w:rPr>
        <w:t> </w:t>
      </w:r>
      <w:r>
        <w:rPr>
          <w:color w:val="231F20"/>
          <w:spacing w:val="-4"/>
        </w:rPr>
        <w:t>are:</w:t>
      </w:r>
    </w:p>
    <w:p>
      <w:pPr>
        <w:pStyle w:val="BodyText"/>
        <w:spacing w:before="209"/>
        <w:ind w:left="2472"/>
      </w:pPr>
      <w:r>
        <w:rPr>
          <w:color w:val="231F20"/>
          <w:w w:val="105"/>
        </w:rPr>
        <w:t>IF/THEN/ELSE,</w:t>
      </w:r>
      <w:r>
        <w:rPr>
          <w:color w:val="231F20"/>
          <w:spacing w:val="14"/>
          <w:w w:val="105"/>
        </w:rPr>
        <w:t> </w:t>
      </w:r>
      <w:r>
        <w:rPr>
          <w:color w:val="231F20"/>
          <w:w w:val="105"/>
        </w:rPr>
        <w:t>WHILE/BREAK/CONTINUE,</w:t>
      </w:r>
      <w:r>
        <w:rPr>
          <w:color w:val="231F20"/>
          <w:spacing w:val="14"/>
          <w:w w:val="105"/>
        </w:rPr>
        <w:t> </w:t>
      </w:r>
      <w:r>
        <w:rPr>
          <w:color w:val="231F20"/>
          <w:spacing w:val="-2"/>
          <w:w w:val="105"/>
        </w:rPr>
        <w:t>RETURN</w:t>
      </w:r>
    </w:p>
    <w:p>
      <w:pPr>
        <w:pStyle w:val="Heading6"/>
        <w:spacing w:before="111"/>
      </w:pPr>
      <w:r>
        <w:rPr>
          <w:color w:val="231F20"/>
        </w:rPr>
        <w:t>IF</w:t>
      </w:r>
      <w:r>
        <w:rPr>
          <w:color w:val="231F20"/>
          <w:spacing w:val="14"/>
        </w:rPr>
        <w:t> </w:t>
      </w:r>
      <w:r>
        <w:rPr>
          <w:color w:val="231F20"/>
          <w:spacing w:val="-2"/>
        </w:rPr>
        <w:t>statement</w:t>
      </w:r>
    </w:p>
    <w:p>
      <w:pPr>
        <w:pStyle w:val="BodyText"/>
        <w:spacing w:line="213" w:lineRule="auto" w:before="12"/>
        <w:ind w:left="3190" w:right="385"/>
      </w:pPr>
      <w:r>
        <w:rPr>
          <w:color w:val="231F20"/>
        </w:rPr>
        <w:t>The </w:t>
      </w:r>
      <w:r>
        <w:rPr>
          <w:rFonts w:ascii="Book Antiqua"/>
          <w:b/>
          <w:color w:val="231F20"/>
        </w:rPr>
        <w:t>IF </w:t>
      </w:r>
      <w:r>
        <w:rPr>
          <w:color w:val="231F20"/>
        </w:rPr>
        <w:t>statement allows conditional execution based on the evaluation </w:t>
      </w:r>
      <w:r>
        <w:rPr>
          <w:color w:val="231F20"/>
        </w:rPr>
        <w:t>of an expression. </w:t>
      </w:r>
      <w:r>
        <w:rPr>
          <w:rFonts w:ascii="Book Antiqua"/>
          <w:b/>
          <w:color w:val="231F20"/>
        </w:rPr>
        <w:t>IF </w:t>
      </w:r>
      <w:r>
        <w:rPr>
          <w:color w:val="231F20"/>
        </w:rPr>
        <w:t>statements can be nested.</w:t>
      </w:r>
    </w:p>
    <w:p>
      <w:pPr>
        <w:pStyle w:val="BodyText"/>
        <w:spacing w:before="95"/>
        <w:ind w:left="3190"/>
      </w:pPr>
      <w:r>
        <w:rPr>
          <w:color w:val="231F20"/>
          <w:spacing w:val="-2"/>
        </w:rPr>
        <w:t>Syntax:</w:t>
      </w:r>
    </w:p>
    <w:p>
      <w:pPr>
        <w:pStyle w:val="Heading6"/>
        <w:spacing w:line="240" w:lineRule="auto" w:before="111"/>
        <w:ind w:left="3190"/>
      </w:pPr>
      <w:r>
        <w:rPr>
          <w:color w:val="231F20"/>
        </w:rPr>
        <w:t>IF</w:t>
      </w:r>
      <w:r>
        <w:rPr>
          <w:color w:val="231F20"/>
          <w:spacing w:val="8"/>
        </w:rPr>
        <w:t> </w:t>
      </w:r>
      <w:r>
        <w:rPr>
          <w:color w:val="231F20"/>
        </w:rPr>
        <w:t>(condition)</w:t>
      </w:r>
      <w:r>
        <w:rPr>
          <w:color w:val="231F20"/>
          <w:spacing w:val="8"/>
        </w:rPr>
        <w:t> </w:t>
      </w:r>
      <w:r>
        <w:rPr>
          <w:color w:val="231F20"/>
        </w:rPr>
        <w:t>true-statements</w:t>
      </w:r>
      <w:r>
        <w:rPr>
          <w:color w:val="231F20"/>
          <w:spacing w:val="8"/>
        </w:rPr>
        <w:t> </w:t>
      </w:r>
      <w:r>
        <w:rPr>
          <w:color w:val="231F20"/>
        </w:rPr>
        <w:t>[</w:t>
      </w:r>
      <w:r>
        <w:rPr>
          <w:color w:val="231F20"/>
          <w:spacing w:val="8"/>
        </w:rPr>
        <w:t> </w:t>
      </w:r>
      <w:r>
        <w:rPr>
          <w:color w:val="231F20"/>
        </w:rPr>
        <w:t>ELSE</w:t>
      </w:r>
      <w:r>
        <w:rPr>
          <w:color w:val="231F20"/>
          <w:spacing w:val="8"/>
        </w:rPr>
        <w:t> </w:t>
      </w:r>
      <w:r>
        <w:rPr>
          <w:color w:val="231F20"/>
        </w:rPr>
        <w:t>false-statements]</w:t>
      </w:r>
      <w:r>
        <w:rPr>
          <w:color w:val="231F20"/>
          <w:spacing w:val="8"/>
        </w:rPr>
        <w:t> </w:t>
      </w:r>
      <w:r>
        <w:rPr>
          <w:color w:val="231F20"/>
          <w:spacing w:val="-10"/>
        </w:rPr>
        <w:t>;</w:t>
      </w:r>
    </w:p>
    <w:p>
      <w:pPr>
        <w:spacing w:before="142"/>
        <w:ind w:left="2522" w:right="0" w:firstLine="0"/>
        <w:jc w:val="left"/>
        <w:rPr>
          <w:rFonts w:ascii="Arial"/>
          <w:i/>
          <w:sz w:val="18"/>
        </w:rPr>
      </w:pPr>
      <w:r>
        <w:rPr>
          <w:rFonts w:ascii="Arial"/>
          <w:i/>
          <w:color w:val="231F20"/>
          <w:sz w:val="18"/>
        </w:rPr>
        <w:t>Table</w:t>
      </w:r>
      <w:r>
        <w:rPr>
          <w:rFonts w:ascii="Arial"/>
          <w:i/>
          <w:color w:val="231F20"/>
          <w:spacing w:val="-11"/>
          <w:sz w:val="18"/>
        </w:rPr>
        <w:t> </w:t>
      </w:r>
      <w:r>
        <w:rPr>
          <w:rFonts w:ascii="Arial"/>
          <w:i/>
          <w:color w:val="231F20"/>
          <w:sz w:val="18"/>
        </w:rPr>
        <w:t>4.</w:t>
      </w:r>
      <w:r>
        <w:rPr>
          <w:rFonts w:ascii="Arial"/>
          <w:i/>
          <w:color w:val="231F20"/>
          <w:spacing w:val="1"/>
          <w:sz w:val="18"/>
        </w:rPr>
        <w:t> </w:t>
      </w:r>
      <w:r>
        <w:rPr>
          <w:rFonts w:ascii="Arial"/>
          <w:i/>
          <w:color w:val="231F20"/>
          <w:sz w:val="18"/>
        </w:rPr>
        <w:t>If</w:t>
      </w:r>
      <w:r>
        <w:rPr>
          <w:rFonts w:ascii="Arial"/>
          <w:i/>
          <w:color w:val="231F20"/>
          <w:spacing w:val="1"/>
          <w:sz w:val="18"/>
        </w:rPr>
        <w:t> </w:t>
      </w:r>
      <w:r>
        <w:rPr>
          <w:rFonts w:ascii="Arial"/>
          <w:i/>
          <w:color w:val="231F20"/>
          <w:spacing w:val="-2"/>
          <w:sz w:val="18"/>
        </w:rPr>
        <w:t>Statement</w:t>
      </w:r>
    </w:p>
    <w:p>
      <w:pPr>
        <w:pStyle w:val="BodyText"/>
        <w:rPr>
          <w:rFonts w:ascii="Arial"/>
          <w:i/>
          <w:sz w:val="8"/>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09"/>
        <w:gridCol w:w="5524"/>
      </w:tblGrid>
      <w:tr>
        <w:trPr>
          <w:trHeight w:val="274" w:hRule="atLeast"/>
        </w:trPr>
        <w:tc>
          <w:tcPr>
            <w:tcW w:w="2009" w:type="dxa"/>
          </w:tcPr>
          <w:p>
            <w:pPr>
              <w:pStyle w:val="TableParagraph"/>
              <w:spacing w:before="10"/>
              <w:ind w:left="0" w:right="2"/>
              <w:jc w:val="center"/>
              <w:rPr>
                <w:rFonts w:ascii="Book Antiqua"/>
                <w:b/>
                <w:sz w:val="18"/>
              </w:rPr>
            </w:pPr>
            <w:r>
              <w:rPr>
                <w:rFonts w:ascii="Book Antiqua"/>
                <w:b/>
                <w:color w:val="231F20"/>
                <w:spacing w:val="-4"/>
                <w:sz w:val="18"/>
              </w:rPr>
              <w:t>Part</w:t>
            </w:r>
          </w:p>
        </w:tc>
        <w:tc>
          <w:tcPr>
            <w:tcW w:w="5524" w:type="dxa"/>
          </w:tcPr>
          <w:p>
            <w:pPr>
              <w:pStyle w:val="TableParagraph"/>
              <w:spacing w:before="10"/>
              <w:ind w:left="25"/>
              <w:jc w:val="center"/>
              <w:rPr>
                <w:rFonts w:ascii="Book Antiqua"/>
                <w:b/>
                <w:sz w:val="18"/>
              </w:rPr>
            </w:pPr>
            <w:r>
              <w:rPr>
                <w:rFonts w:ascii="Book Antiqua"/>
                <w:b/>
                <w:color w:val="231F20"/>
                <w:spacing w:val="-2"/>
                <w:sz w:val="18"/>
              </w:rPr>
              <w:t>Description</w:t>
            </w:r>
          </w:p>
        </w:tc>
      </w:tr>
      <w:tr>
        <w:trPr>
          <w:trHeight w:val="309" w:hRule="atLeast"/>
        </w:trPr>
        <w:tc>
          <w:tcPr>
            <w:tcW w:w="2009" w:type="dxa"/>
          </w:tcPr>
          <w:p>
            <w:pPr>
              <w:pStyle w:val="TableParagraph"/>
              <w:ind w:left="44"/>
              <w:rPr>
                <w:sz w:val="18"/>
              </w:rPr>
            </w:pPr>
            <w:r>
              <w:rPr>
                <w:color w:val="231F20"/>
                <w:spacing w:val="-5"/>
                <w:sz w:val="18"/>
              </w:rPr>
              <w:t>IF</w:t>
            </w:r>
          </w:p>
        </w:tc>
        <w:tc>
          <w:tcPr>
            <w:tcW w:w="5524" w:type="dxa"/>
          </w:tcPr>
          <w:p>
            <w:pPr>
              <w:pStyle w:val="TableParagraph"/>
              <w:rPr>
                <w:sz w:val="18"/>
              </w:rPr>
            </w:pPr>
            <w:r>
              <w:rPr>
                <w:color w:val="231F20"/>
                <w:sz w:val="18"/>
              </w:rPr>
              <w:t>The</w:t>
            </w:r>
            <w:r>
              <w:rPr>
                <w:color w:val="231F20"/>
                <w:spacing w:val="8"/>
                <w:sz w:val="18"/>
              </w:rPr>
              <w:t> </w:t>
            </w:r>
            <w:r>
              <w:rPr>
                <w:color w:val="231F20"/>
                <w:sz w:val="18"/>
              </w:rPr>
              <w:t>keyword</w:t>
            </w:r>
            <w:r>
              <w:rPr>
                <w:color w:val="231F20"/>
                <w:spacing w:val="9"/>
                <w:sz w:val="18"/>
              </w:rPr>
              <w:t> </w:t>
            </w:r>
            <w:r>
              <w:rPr>
                <w:color w:val="231F20"/>
                <w:sz w:val="18"/>
              </w:rPr>
              <w:t>to</w:t>
            </w:r>
            <w:r>
              <w:rPr>
                <w:color w:val="231F20"/>
                <w:spacing w:val="8"/>
                <w:sz w:val="18"/>
              </w:rPr>
              <w:t> </w:t>
            </w:r>
            <w:r>
              <w:rPr>
                <w:color w:val="231F20"/>
                <w:sz w:val="18"/>
              </w:rPr>
              <w:t>begin</w:t>
            </w:r>
            <w:r>
              <w:rPr>
                <w:color w:val="231F20"/>
                <w:spacing w:val="9"/>
                <w:sz w:val="18"/>
              </w:rPr>
              <w:t> </w:t>
            </w:r>
            <w:r>
              <w:rPr>
                <w:color w:val="231F20"/>
                <w:sz w:val="18"/>
              </w:rPr>
              <w:t>the</w:t>
            </w:r>
            <w:r>
              <w:rPr>
                <w:color w:val="231F20"/>
                <w:spacing w:val="9"/>
                <w:sz w:val="18"/>
              </w:rPr>
              <w:t> </w:t>
            </w:r>
            <w:r>
              <w:rPr>
                <w:color w:val="231F20"/>
                <w:sz w:val="18"/>
              </w:rPr>
              <w:t>control</w:t>
            </w:r>
            <w:r>
              <w:rPr>
                <w:color w:val="231F20"/>
                <w:spacing w:val="8"/>
                <w:sz w:val="18"/>
              </w:rPr>
              <w:t> </w:t>
            </w:r>
            <w:r>
              <w:rPr>
                <w:color w:val="231F20"/>
                <w:spacing w:val="-2"/>
                <w:sz w:val="18"/>
              </w:rPr>
              <w:t>structure.</w:t>
            </w:r>
          </w:p>
        </w:tc>
      </w:tr>
      <w:tr>
        <w:trPr>
          <w:trHeight w:val="528" w:hRule="atLeast"/>
        </w:trPr>
        <w:tc>
          <w:tcPr>
            <w:tcW w:w="2009" w:type="dxa"/>
          </w:tcPr>
          <w:p>
            <w:pPr>
              <w:pStyle w:val="TableParagraph"/>
              <w:ind w:left="44"/>
              <w:rPr>
                <w:sz w:val="18"/>
              </w:rPr>
            </w:pPr>
            <w:r>
              <w:rPr>
                <w:color w:val="231F20"/>
                <w:spacing w:val="-2"/>
                <w:sz w:val="18"/>
              </w:rPr>
              <w:t>Condition</w:t>
            </w:r>
          </w:p>
        </w:tc>
        <w:tc>
          <w:tcPr>
            <w:tcW w:w="5524" w:type="dxa"/>
          </w:tcPr>
          <w:p>
            <w:pPr>
              <w:pStyle w:val="TableParagraph"/>
              <w:spacing w:line="216" w:lineRule="auto" w:before="44"/>
              <w:ind w:hanging="1"/>
              <w:rPr>
                <w:sz w:val="18"/>
              </w:rPr>
            </w:pPr>
            <w:r>
              <w:rPr>
                <w:color w:val="231F20"/>
                <w:sz w:val="18"/>
              </w:rPr>
              <w:t>A numeric or string expression that evaluates true (one) or false </w:t>
            </w:r>
            <w:r>
              <w:rPr>
                <w:color w:val="231F20"/>
                <w:spacing w:val="-2"/>
                <w:sz w:val="18"/>
              </w:rPr>
              <w:t>(zero).</w:t>
            </w:r>
          </w:p>
        </w:tc>
      </w:tr>
      <w:tr>
        <w:trPr>
          <w:trHeight w:val="309" w:hRule="atLeast"/>
        </w:trPr>
        <w:tc>
          <w:tcPr>
            <w:tcW w:w="2009" w:type="dxa"/>
          </w:tcPr>
          <w:p>
            <w:pPr>
              <w:pStyle w:val="TableParagraph"/>
              <w:ind w:left="44"/>
              <w:rPr>
                <w:sz w:val="18"/>
              </w:rPr>
            </w:pPr>
            <w:r>
              <w:rPr>
                <w:color w:val="231F20"/>
                <w:spacing w:val="-6"/>
                <w:sz w:val="18"/>
              </w:rPr>
              <w:t>True-</w:t>
            </w:r>
            <w:r>
              <w:rPr>
                <w:color w:val="231F20"/>
                <w:spacing w:val="-2"/>
                <w:sz w:val="18"/>
              </w:rPr>
              <w:t>statements</w:t>
            </w:r>
          </w:p>
        </w:tc>
        <w:tc>
          <w:tcPr>
            <w:tcW w:w="5524" w:type="dxa"/>
          </w:tcPr>
          <w:p>
            <w:pPr>
              <w:pStyle w:val="TableParagraph"/>
              <w:rPr>
                <w:sz w:val="18"/>
              </w:rPr>
            </w:pPr>
            <w:r>
              <w:rPr>
                <w:color w:val="231F20"/>
                <w:sz w:val="18"/>
              </w:rPr>
              <w:t>Statement(s)</w:t>
            </w:r>
            <w:r>
              <w:rPr>
                <w:color w:val="231F20"/>
                <w:spacing w:val="8"/>
                <w:sz w:val="18"/>
              </w:rPr>
              <w:t> </w:t>
            </w:r>
            <w:r>
              <w:rPr>
                <w:color w:val="231F20"/>
                <w:sz w:val="18"/>
              </w:rPr>
              <w:t>performed</w:t>
            </w:r>
            <w:r>
              <w:rPr>
                <w:color w:val="231F20"/>
                <w:spacing w:val="8"/>
                <w:sz w:val="18"/>
              </w:rPr>
              <w:t> </w:t>
            </w:r>
            <w:r>
              <w:rPr>
                <w:color w:val="231F20"/>
                <w:sz w:val="18"/>
              </w:rPr>
              <w:t>when</w:t>
            </w:r>
            <w:r>
              <w:rPr>
                <w:color w:val="231F20"/>
                <w:spacing w:val="8"/>
                <w:sz w:val="18"/>
              </w:rPr>
              <w:t> </w:t>
            </w:r>
            <w:r>
              <w:rPr>
                <w:color w:val="231F20"/>
                <w:sz w:val="18"/>
              </w:rPr>
              <w:t>the</w:t>
            </w:r>
            <w:r>
              <w:rPr>
                <w:color w:val="231F20"/>
                <w:spacing w:val="9"/>
                <w:sz w:val="18"/>
              </w:rPr>
              <w:t> </w:t>
            </w:r>
            <w:r>
              <w:rPr>
                <w:color w:val="231F20"/>
                <w:sz w:val="18"/>
              </w:rPr>
              <w:t>condition</w:t>
            </w:r>
            <w:r>
              <w:rPr>
                <w:color w:val="231F20"/>
                <w:spacing w:val="8"/>
                <w:sz w:val="18"/>
              </w:rPr>
              <w:t> </w:t>
            </w:r>
            <w:r>
              <w:rPr>
                <w:color w:val="231F20"/>
                <w:sz w:val="18"/>
              </w:rPr>
              <w:t>is</w:t>
            </w:r>
            <w:r>
              <w:rPr>
                <w:color w:val="231F20"/>
                <w:spacing w:val="8"/>
                <w:sz w:val="18"/>
              </w:rPr>
              <w:t> </w:t>
            </w:r>
            <w:r>
              <w:rPr>
                <w:color w:val="231F20"/>
                <w:spacing w:val="-2"/>
                <w:sz w:val="18"/>
              </w:rPr>
              <w:t>true.</w:t>
            </w:r>
          </w:p>
        </w:tc>
      </w:tr>
      <w:tr>
        <w:trPr>
          <w:trHeight w:val="309" w:hRule="atLeast"/>
        </w:trPr>
        <w:tc>
          <w:tcPr>
            <w:tcW w:w="2009" w:type="dxa"/>
          </w:tcPr>
          <w:p>
            <w:pPr>
              <w:pStyle w:val="TableParagraph"/>
              <w:ind w:left="44"/>
              <w:rPr>
                <w:sz w:val="18"/>
              </w:rPr>
            </w:pPr>
            <w:r>
              <w:rPr>
                <w:color w:val="231F20"/>
                <w:spacing w:val="-4"/>
                <w:sz w:val="18"/>
              </w:rPr>
              <w:t>ELSE</w:t>
            </w:r>
          </w:p>
        </w:tc>
        <w:tc>
          <w:tcPr>
            <w:tcW w:w="5524" w:type="dxa"/>
          </w:tcPr>
          <w:p>
            <w:pPr>
              <w:pStyle w:val="TableParagraph"/>
              <w:rPr>
                <w:sz w:val="18"/>
              </w:rPr>
            </w:pPr>
            <w:r>
              <w:rPr>
                <w:color w:val="231F20"/>
                <w:sz w:val="18"/>
              </w:rPr>
              <w:t>(Optional)</w:t>
            </w:r>
            <w:r>
              <w:rPr>
                <w:color w:val="231F20"/>
                <w:spacing w:val="8"/>
                <w:sz w:val="18"/>
              </w:rPr>
              <w:t> </w:t>
            </w:r>
            <w:r>
              <w:rPr>
                <w:color w:val="231F20"/>
                <w:sz w:val="18"/>
              </w:rPr>
              <w:t>Keyword</w:t>
            </w:r>
            <w:r>
              <w:rPr>
                <w:color w:val="231F20"/>
                <w:spacing w:val="8"/>
                <w:sz w:val="18"/>
              </w:rPr>
              <w:t> </w:t>
            </w:r>
            <w:r>
              <w:rPr>
                <w:color w:val="231F20"/>
                <w:sz w:val="18"/>
              </w:rPr>
              <w:t>to</w:t>
            </w:r>
            <w:r>
              <w:rPr>
                <w:color w:val="231F20"/>
                <w:spacing w:val="8"/>
                <w:sz w:val="18"/>
              </w:rPr>
              <w:t> </w:t>
            </w:r>
            <w:r>
              <w:rPr>
                <w:color w:val="231F20"/>
                <w:sz w:val="18"/>
              </w:rPr>
              <w:t>begin</w:t>
            </w:r>
            <w:r>
              <w:rPr>
                <w:color w:val="231F20"/>
                <w:spacing w:val="8"/>
                <w:sz w:val="18"/>
              </w:rPr>
              <w:t> </w:t>
            </w:r>
            <w:r>
              <w:rPr>
                <w:color w:val="231F20"/>
                <w:sz w:val="18"/>
              </w:rPr>
              <w:t>the</w:t>
            </w:r>
            <w:r>
              <w:rPr>
                <w:color w:val="231F20"/>
                <w:spacing w:val="8"/>
                <w:sz w:val="18"/>
              </w:rPr>
              <w:t> </w:t>
            </w:r>
            <w:r>
              <w:rPr>
                <w:color w:val="231F20"/>
                <w:sz w:val="18"/>
              </w:rPr>
              <w:t>False</w:t>
            </w:r>
            <w:r>
              <w:rPr>
                <w:color w:val="231F20"/>
                <w:spacing w:val="8"/>
                <w:sz w:val="18"/>
              </w:rPr>
              <w:t> </w:t>
            </w:r>
            <w:r>
              <w:rPr>
                <w:color w:val="231F20"/>
                <w:sz w:val="18"/>
              </w:rPr>
              <w:t>control</w:t>
            </w:r>
            <w:r>
              <w:rPr>
                <w:color w:val="231F20"/>
                <w:spacing w:val="8"/>
                <w:sz w:val="18"/>
              </w:rPr>
              <w:t> </w:t>
            </w:r>
            <w:r>
              <w:rPr>
                <w:color w:val="231F20"/>
                <w:spacing w:val="-2"/>
                <w:sz w:val="18"/>
              </w:rPr>
              <w:t>flow.</w:t>
            </w:r>
          </w:p>
        </w:tc>
      </w:tr>
      <w:tr>
        <w:trPr>
          <w:trHeight w:val="314" w:hRule="atLeast"/>
        </w:trPr>
        <w:tc>
          <w:tcPr>
            <w:tcW w:w="2009" w:type="dxa"/>
          </w:tcPr>
          <w:p>
            <w:pPr>
              <w:pStyle w:val="TableParagraph"/>
              <w:ind w:left="44"/>
              <w:rPr>
                <w:sz w:val="18"/>
              </w:rPr>
            </w:pPr>
            <w:r>
              <w:rPr>
                <w:color w:val="231F20"/>
                <w:spacing w:val="-2"/>
                <w:sz w:val="18"/>
              </w:rPr>
              <w:t>False-statements</w:t>
            </w:r>
          </w:p>
        </w:tc>
        <w:tc>
          <w:tcPr>
            <w:tcW w:w="5524" w:type="dxa"/>
          </w:tcPr>
          <w:p>
            <w:pPr>
              <w:pStyle w:val="TableParagraph"/>
              <w:rPr>
                <w:sz w:val="18"/>
              </w:rPr>
            </w:pPr>
            <w:r>
              <w:rPr>
                <w:color w:val="231F20"/>
                <w:sz w:val="18"/>
              </w:rPr>
              <w:t>Statement(s)</w:t>
            </w:r>
            <w:r>
              <w:rPr>
                <w:color w:val="231F20"/>
                <w:spacing w:val="8"/>
                <w:sz w:val="18"/>
              </w:rPr>
              <w:t> </w:t>
            </w:r>
            <w:r>
              <w:rPr>
                <w:color w:val="231F20"/>
                <w:sz w:val="18"/>
              </w:rPr>
              <w:t>performed</w:t>
            </w:r>
            <w:r>
              <w:rPr>
                <w:color w:val="231F20"/>
                <w:spacing w:val="9"/>
                <w:sz w:val="18"/>
              </w:rPr>
              <w:t> </w:t>
            </w:r>
            <w:r>
              <w:rPr>
                <w:color w:val="231F20"/>
                <w:sz w:val="18"/>
              </w:rPr>
              <w:t>if</w:t>
            </w:r>
            <w:r>
              <w:rPr>
                <w:color w:val="231F20"/>
                <w:spacing w:val="9"/>
                <w:sz w:val="18"/>
              </w:rPr>
              <w:t> </w:t>
            </w:r>
            <w:r>
              <w:rPr>
                <w:color w:val="231F20"/>
                <w:sz w:val="18"/>
              </w:rPr>
              <w:t>the</w:t>
            </w:r>
            <w:r>
              <w:rPr>
                <w:color w:val="231F20"/>
                <w:spacing w:val="9"/>
                <w:sz w:val="18"/>
              </w:rPr>
              <w:t> </w:t>
            </w:r>
            <w:r>
              <w:rPr>
                <w:color w:val="231F20"/>
                <w:sz w:val="18"/>
              </w:rPr>
              <w:t>condition</w:t>
            </w:r>
            <w:r>
              <w:rPr>
                <w:color w:val="231F20"/>
                <w:spacing w:val="9"/>
                <w:sz w:val="18"/>
              </w:rPr>
              <w:t> </w:t>
            </w:r>
            <w:r>
              <w:rPr>
                <w:color w:val="231F20"/>
                <w:sz w:val="18"/>
              </w:rPr>
              <w:t>is</w:t>
            </w:r>
            <w:r>
              <w:rPr>
                <w:color w:val="231F20"/>
                <w:spacing w:val="9"/>
                <w:sz w:val="18"/>
              </w:rPr>
              <w:t> </w:t>
            </w:r>
            <w:r>
              <w:rPr>
                <w:color w:val="231F20"/>
                <w:spacing w:val="-2"/>
                <w:sz w:val="18"/>
              </w:rPr>
              <w:t>false.</w:t>
            </w:r>
          </w:p>
        </w:tc>
      </w:tr>
    </w:tbl>
    <w:p>
      <w:pPr>
        <w:pStyle w:val="BodyText"/>
        <w:spacing w:before="1"/>
        <w:rPr>
          <w:rFonts w:ascii="Arial"/>
          <w:i/>
          <w:sz w:val="6"/>
        </w:rPr>
      </w:pPr>
    </w:p>
    <w:p>
      <w:pPr>
        <w:spacing w:after="0"/>
        <w:rPr>
          <w:rFonts w:ascii="Arial"/>
          <w:sz w:val="6"/>
        </w:rPr>
        <w:sectPr>
          <w:pgSz w:w="12240" w:h="15840"/>
          <w:pgMar w:header="0" w:footer="736" w:top="1200" w:bottom="920" w:left="1000" w:right="1060"/>
        </w:sect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60"/>
        <w:rPr>
          <w:rFonts w:ascii="Arial"/>
          <w:i/>
        </w:rPr>
      </w:pPr>
    </w:p>
    <w:p>
      <w:pPr>
        <w:pStyle w:val="Heading6"/>
        <w:spacing w:line="240" w:lineRule="auto" w:before="0"/>
      </w:pPr>
      <w:r>
        <w:rPr>
          <w:color w:val="231F20"/>
        </w:rPr>
        <w:t>For</w:t>
      </w:r>
      <w:r>
        <w:rPr>
          <w:color w:val="231F20"/>
          <w:spacing w:val="11"/>
        </w:rPr>
        <w:t> </w:t>
      </w:r>
      <w:r>
        <w:rPr>
          <w:color w:val="231F20"/>
          <w:spacing w:val="-2"/>
        </w:rPr>
        <w:t>statement</w:t>
      </w:r>
    </w:p>
    <w:p>
      <w:pPr>
        <w:pStyle w:val="BodyText"/>
        <w:spacing w:line="194" w:lineRule="auto" w:before="101"/>
        <w:ind w:left="144" w:right="251"/>
      </w:pPr>
      <w:r>
        <w:rPr/>
        <w:br w:type="column"/>
      </w:r>
      <w:r>
        <w:rPr>
          <w:color w:val="231F20"/>
        </w:rPr>
        <w:t>Multiple statements are permitted as part of the true-statements </w:t>
      </w:r>
      <w:r>
        <w:rPr>
          <w:color w:val="231F20"/>
        </w:rPr>
        <w:t>or false-statements. If multiple statements are to be executed, they must appear within a statement block embedded within braces { }. </w:t>
      </w:r>
      <w:r>
        <w:rPr>
          <w:color w:val="231F20"/>
          <w:spacing w:val="-2"/>
        </w:rPr>
        <w:t>Example:</w:t>
      </w:r>
    </w:p>
    <w:p>
      <w:pPr>
        <w:spacing w:line="230" w:lineRule="auto" w:before="72"/>
        <w:ind w:left="144" w:right="2766" w:firstLine="0"/>
        <w:jc w:val="both"/>
        <w:rPr>
          <w:rFonts w:ascii="Arial"/>
          <w:sz w:val="18"/>
        </w:rPr>
      </w:pPr>
      <w:r>
        <w:rPr>
          <w:rFonts w:ascii="Arial"/>
          <w:color w:val="231F20"/>
          <w:w w:val="125"/>
          <w:sz w:val="18"/>
        </w:rPr>
        <w:t>If</w:t>
      </w:r>
      <w:r>
        <w:rPr>
          <w:rFonts w:ascii="Arial"/>
          <w:color w:val="231F20"/>
          <w:spacing w:val="-4"/>
          <w:w w:val="125"/>
          <w:sz w:val="18"/>
        </w:rPr>
        <w:t> </w:t>
      </w:r>
      <w:r>
        <w:rPr>
          <w:rFonts w:ascii="Arial"/>
          <w:color w:val="231F20"/>
          <w:w w:val="125"/>
          <w:sz w:val="18"/>
        </w:rPr>
        <w:t>(userid</w:t>
      </w:r>
      <w:r>
        <w:rPr>
          <w:rFonts w:ascii="Arial"/>
          <w:color w:val="231F20"/>
          <w:spacing w:val="-4"/>
          <w:w w:val="125"/>
          <w:sz w:val="18"/>
        </w:rPr>
        <w:t> </w:t>
      </w:r>
      <w:r>
        <w:rPr>
          <w:rFonts w:ascii="Arial"/>
          <w:color w:val="231F20"/>
          <w:w w:val="125"/>
          <w:sz w:val="18"/>
        </w:rPr>
        <w:t>!=</w:t>
      </w:r>
      <w:r>
        <w:rPr>
          <w:rFonts w:ascii="Arial"/>
          <w:color w:val="231F20"/>
          <w:spacing w:val="-4"/>
          <w:w w:val="125"/>
          <w:sz w:val="18"/>
        </w:rPr>
        <w:t> </w:t>
      </w:r>
      <w:r>
        <w:rPr>
          <w:rFonts w:ascii="Arial"/>
          <w:color w:val="231F20"/>
          <w:w w:val="125"/>
          <w:sz w:val="18"/>
        </w:rPr>
        <w:t>"")</w:t>
      </w:r>
      <w:r>
        <w:rPr>
          <w:rFonts w:ascii="Arial"/>
          <w:color w:val="231F20"/>
          <w:spacing w:val="-4"/>
          <w:w w:val="125"/>
          <w:sz w:val="18"/>
        </w:rPr>
        <w:t> </w:t>
      </w:r>
      <w:r>
        <w:rPr>
          <w:rFonts w:ascii="Arial"/>
          <w:color w:val="231F20"/>
          <w:w w:val="125"/>
          <w:sz w:val="18"/>
        </w:rPr>
        <w:t>setField(userid,1,5); If</w:t>
      </w:r>
      <w:r>
        <w:rPr>
          <w:rFonts w:ascii="Arial"/>
          <w:color w:val="231F20"/>
          <w:spacing w:val="-3"/>
          <w:w w:val="125"/>
          <w:sz w:val="18"/>
        </w:rPr>
        <w:t> </w:t>
      </w:r>
      <w:r>
        <w:rPr>
          <w:rFonts w:ascii="Arial"/>
          <w:color w:val="231F20"/>
          <w:w w:val="125"/>
          <w:sz w:val="18"/>
        </w:rPr>
        <w:t>(userid</w:t>
      </w:r>
      <w:r>
        <w:rPr>
          <w:rFonts w:ascii="Arial"/>
          <w:color w:val="231F20"/>
          <w:spacing w:val="-3"/>
          <w:w w:val="125"/>
          <w:sz w:val="18"/>
        </w:rPr>
        <w:t> </w:t>
      </w:r>
      <w:r>
        <w:rPr>
          <w:rFonts w:ascii="Arial"/>
          <w:color w:val="231F20"/>
          <w:w w:val="125"/>
          <w:sz w:val="18"/>
        </w:rPr>
        <w:t>!=</w:t>
      </w:r>
      <w:r>
        <w:rPr>
          <w:rFonts w:ascii="Arial"/>
          <w:color w:val="231F20"/>
          <w:spacing w:val="-3"/>
          <w:w w:val="125"/>
          <w:sz w:val="18"/>
        </w:rPr>
        <w:t> </w:t>
      </w:r>
      <w:r>
        <w:rPr>
          <w:rFonts w:ascii="Arial"/>
          <w:color w:val="231F20"/>
          <w:w w:val="125"/>
          <w:sz w:val="18"/>
        </w:rPr>
        <w:t>"")</w:t>
      </w:r>
      <w:r>
        <w:rPr>
          <w:rFonts w:ascii="Arial"/>
          <w:color w:val="231F20"/>
          <w:spacing w:val="-3"/>
          <w:w w:val="125"/>
          <w:sz w:val="18"/>
        </w:rPr>
        <w:t> </w:t>
      </w:r>
      <w:r>
        <w:rPr>
          <w:rFonts w:ascii="Arial"/>
          <w:color w:val="231F20"/>
          <w:w w:val="125"/>
          <w:sz w:val="18"/>
        </w:rPr>
        <w:t>setField</w:t>
      </w:r>
      <w:r>
        <w:rPr>
          <w:rFonts w:ascii="Arial"/>
          <w:color w:val="231F20"/>
          <w:spacing w:val="-3"/>
          <w:w w:val="125"/>
          <w:sz w:val="18"/>
        </w:rPr>
        <w:t> </w:t>
      </w:r>
      <w:r>
        <w:rPr>
          <w:rFonts w:ascii="Arial"/>
          <w:color w:val="231F20"/>
          <w:w w:val="125"/>
          <w:sz w:val="18"/>
        </w:rPr>
        <w:t>(userid,1,5) </w:t>
      </w:r>
      <w:r>
        <w:rPr>
          <w:rFonts w:ascii="Arial"/>
          <w:color w:val="231F20"/>
          <w:spacing w:val="-4"/>
          <w:w w:val="130"/>
          <w:sz w:val="18"/>
        </w:rPr>
        <w:t>else</w:t>
      </w:r>
    </w:p>
    <w:p>
      <w:pPr>
        <w:spacing w:line="230" w:lineRule="auto" w:before="2"/>
        <w:ind w:left="144" w:right="2993" w:firstLine="0"/>
        <w:jc w:val="left"/>
        <w:rPr>
          <w:rFonts w:ascii="Arial"/>
          <w:sz w:val="18"/>
        </w:rPr>
      </w:pPr>
      <w:r>
        <w:rPr>
          <w:rFonts w:ascii="Arial"/>
          <w:color w:val="231F20"/>
          <w:w w:val="110"/>
          <w:sz w:val="18"/>
        </w:rPr>
        <w:t>errMsg("Userid</w:t>
      </w:r>
      <w:r>
        <w:rPr>
          <w:rFonts w:ascii="Arial"/>
          <w:color w:val="231F20"/>
          <w:spacing w:val="2"/>
          <w:w w:val="110"/>
          <w:sz w:val="18"/>
        </w:rPr>
        <w:t> </w:t>
      </w:r>
      <w:r>
        <w:rPr>
          <w:rFonts w:ascii="Arial"/>
          <w:color w:val="231F20"/>
          <w:w w:val="110"/>
          <w:sz w:val="18"/>
        </w:rPr>
        <w:t>must</w:t>
      </w:r>
      <w:r>
        <w:rPr>
          <w:rFonts w:ascii="Arial"/>
          <w:color w:val="231F20"/>
          <w:spacing w:val="3"/>
          <w:w w:val="110"/>
          <w:sz w:val="18"/>
        </w:rPr>
        <w:t> </w:t>
      </w:r>
      <w:r>
        <w:rPr>
          <w:rFonts w:ascii="Arial"/>
          <w:color w:val="231F20"/>
          <w:w w:val="110"/>
          <w:sz w:val="18"/>
        </w:rPr>
        <w:t>be</w:t>
      </w:r>
      <w:r>
        <w:rPr>
          <w:rFonts w:ascii="Arial"/>
          <w:color w:val="231F20"/>
          <w:spacing w:val="3"/>
          <w:w w:val="110"/>
          <w:sz w:val="18"/>
        </w:rPr>
        <w:t> </w:t>
      </w:r>
      <w:r>
        <w:rPr>
          <w:rFonts w:ascii="Arial"/>
          <w:color w:val="231F20"/>
          <w:w w:val="110"/>
          <w:sz w:val="18"/>
        </w:rPr>
        <w:t>specified"); </w:t>
      </w:r>
      <w:r>
        <w:rPr>
          <w:rFonts w:ascii="Arial"/>
          <w:color w:val="231F20"/>
          <w:spacing w:val="19"/>
          <w:w w:val="140"/>
          <w:sz w:val="18"/>
        </w:rPr>
        <w:t>If</w:t>
      </w:r>
      <w:r>
        <w:rPr>
          <w:rFonts w:ascii="Arial"/>
          <w:color w:val="231F20"/>
          <w:spacing w:val="-2"/>
          <w:w w:val="140"/>
          <w:sz w:val="18"/>
        </w:rPr>
        <w:t> </w:t>
      </w:r>
      <w:r>
        <w:rPr>
          <w:rFonts w:ascii="Arial"/>
          <w:color w:val="231F20"/>
          <w:w w:val="140"/>
          <w:sz w:val="18"/>
        </w:rPr>
        <w:t>(</w:t>
      </w:r>
      <w:r>
        <w:rPr>
          <w:rFonts w:ascii="Arial"/>
          <w:color w:val="231F20"/>
          <w:w w:val="140"/>
          <w:sz w:val="18"/>
        </w:rPr>
        <w:t> </w:t>
      </w:r>
      <w:r>
        <w:rPr>
          <w:rFonts w:ascii="Arial"/>
          <w:color w:val="231F20"/>
          <w:w w:val="110"/>
          <w:sz w:val="18"/>
        </w:rPr>
        <w:t>op</w:t>
      </w:r>
      <w:r>
        <w:rPr>
          <w:rFonts w:ascii="Arial"/>
          <w:color w:val="231F20"/>
          <w:spacing w:val="19"/>
          <w:w w:val="110"/>
          <w:sz w:val="18"/>
        </w:rPr>
        <w:t> ==</w:t>
      </w:r>
      <w:r>
        <w:rPr>
          <w:rFonts w:ascii="Arial"/>
          <w:color w:val="231F20"/>
          <w:spacing w:val="13"/>
          <w:w w:val="110"/>
          <w:sz w:val="18"/>
        </w:rPr>
        <w:t> </w:t>
      </w:r>
      <w:r>
        <w:rPr>
          <w:rFonts w:ascii="Arial"/>
          <w:color w:val="231F20"/>
          <w:spacing w:val="39"/>
          <w:w w:val="110"/>
          <w:sz w:val="18"/>
        </w:rPr>
        <w:t>5</w:t>
      </w:r>
      <w:r>
        <w:rPr>
          <w:rFonts w:ascii="Arial"/>
          <w:color w:val="231F20"/>
          <w:spacing w:val="13"/>
          <w:w w:val="110"/>
          <w:sz w:val="18"/>
        </w:rPr>
        <w:t> </w:t>
      </w:r>
      <w:r>
        <w:rPr>
          <w:rFonts w:ascii="Arial"/>
          <w:color w:val="231F20"/>
          <w:w w:val="110"/>
          <w:sz w:val="18"/>
        </w:rPr>
        <w:t>)</w:t>
      </w:r>
      <w:r>
        <w:rPr>
          <w:rFonts w:ascii="Arial"/>
          <w:color w:val="231F20"/>
          <w:w w:val="110"/>
          <w:sz w:val="18"/>
        </w:rPr>
        <w:t> </w:t>
      </w:r>
    </w:p>
    <w:p>
      <w:pPr>
        <w:spacing w:line="230" w:lineRule="auto" w:before="2"/>
        <w:ind w:left="144" w:right="2993" w:firstLine="0"/>
        <w:jc w:val="left"/>
        <w:rPr>
          <w:rFonts w:ascii="Arial"/>
          <w:sz w:val="18"/>
        </w:rPr>
      </w:pPr>
      <w:r>
        <w:rPr>
          <w:rFonts w:ascii="Arial"/>
          <w:color w:val="231F20"/>
          <w:w w:val="120"/>
          <w:sz w:val="18"/>
        </w:rPr>
        <w:t>{</w:t>
      </w:r>
      <w:r>
        <w:rPr>
          <w:rFonts w:ascii="Arial"/>
          <w:color w:val="231F20"/>
          <w:spacing w:val="-3"/>
          <w:w w:val="120"/>
          <w:sz w:val="18"/>
        </w:rPr>
        <w:t> </w:t>
      </w:r>
      <w:r>
        <w:rPr>
          <w:rFonts w:ascii="Arial"/>
          <w:color w:val="231F20"/>
          <w:w w:val="120"/>
          <w:sz w:val="18"/>
        </w:rPr>
        <w:t>setField(userid,1,5); </w:t>
      </w:r>
      <w:r>
        <w:rPr>
          <w:rFonts w:ascii="Arial"/>
          <w:color w:val="231F20"/>
          <w:spacing w:val="-2"/>
          <w:w w:val="120"/>
          <w:sz w:val="18"/>
        </w:rPr>
        <w:t>sendKey("Enter");</w:t>
      </w:r>
    </w:p>
    <w:p>
      <w:pPr>
        <w:spacing w:line="198" w:lineRule="exact" w:before="0"/>
        <w:ind w:left="144" w:right="0" w:firstLine="0"/>
        <w:jc w:val="left"/>
        <w:rPr>
          <w:rFonts w:ascii="Arial"/>
          <w:sz w:val="18"/>
        </w:rPr>
      </w:pPr>
      <w:r>
        <w:rPr>
          <w:rFonts w:ascii="Arial"/>
          <w:color w:val="231F20"/>
          <w:spacing w:val="-10"/>
          <w:w w:val="150"/>
          <w:sz w:val="18"/>
        </w:rPr>
        <w:t>}</w:t>
      </w:r>
    </w:p>
    <w:p>
      <w:pPr>
        <w:spacing w:line="200" w:lineRule="exact" w:before="0"/>
        <w:ind w:left="144" w:right="0" w:firstLine="0"/>
        <w:jc w:val="left"/>
        <w:rPr>
          <w:rFonts w:ascii="Arial"/>
          <w:sz w:val="18"/>
        </w:rPr>
      </w:pPr>
      <w:r>
        <w:rPr>
          <w:rFonts w:ascii="Arial"/>
          <w:color w:val="231F20"/>
          <w:spacing w:val="-4"/>
          <w:w w:val="110"/>
          <w:sz w:val="18"/>
        </w:rPr>
        <w:t>else</w:t>
      </w:r>
    </w:p>
    <w:p>
      <w:pPr>
        <w:spacing w:line="230" w:lineRule="auto" w:before="3"/>
        <w:ind w:left="144" w:right="4401" w:firstLine="0"/>
        <w:jc w:val="left"/>
        <w:rPr>
          <w:rFonts w:ascii="Arial"/>
          <w:sz w:val="18"/>
        </w:rPr>
      </w:pPr>
      <w:r>
        <w:rPr>
          <w:rFonts w:ascii="Arial"/>
          <w:color w:val="231F20"/>
          <w:w w:val="170"/>
          <w:sz w:val="18"/>
        </w:rPr>
        <w:t>if</w:t>
      </w:r>
      <w:r>
        <w:rPr>
          <w:rFonts w:ascii="Arial"/>
          <w:color w:val="231F20"/>
          <w:w w:val="170"/>
          <w:sz w:val="18"/>
        </w:rPr>
        <w:t> </w:t>
      </w:r>
      <w:r>
        <w:rPr>
          <w:rFonts w:ascii="Arial"/>
          <w:color w:val="231F20"/>
          <w:w w:val="105"/>
          <w:sz w:val="18"/>
        </w:rPr>
        <w:t>(op</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3) </w:t>
      </w:r>
      <w:r>
        <w:rPr>
          <w:rFonts w:ascii="Arial"/>
          <w:color w:val="231F20"/>
          <w:spacing w:val="-2"/>
          <w:w w:val="105"/>
          <w:sz w:val="18"/>
        </w:rPr>
        <w:t>setField(pswd,2,5); </w:t>
      </w:r>
      <w:r>
        <w:rPr>
          <w:rFonts w:ascii="Arial"/>
          <w:color w:val="231F20"/>
          <w:spacing w:val="-4"/>
          <w:w w:val="105"/>
          <w:sz w:val="18"/>
        </w:rPr>
        <w:t>else</w:t>
      </w:r>
    </w:p>
    <w:p>
      <w:pPr>
        <w:spacing w:line="199" w:lineRule="exact" w:before="0"/>
        <w:ind w:left="144" w:right="0" w:firstLine="0"/>
        <w:jc w:val="left"/>
        <w:rPr>
          <w:rFonts w:ascii="Arial"/>
          <w:sz w:val="18"/>
        </w:rPr>
      </w:pPr>
      <w:r>
        <w:rPr>
          <w:rFonts w:ascii="Arial"/>
          <w:color w:val="231F20"/>
          <w:w w:val="90"/>
          <w:sz w:val="18"/>
        </w:rPr>
        <w:t>msgBox("unknown</w:t>
      </w:r>
      <w:r>
        <w:rPr>
          <w:rFonts w:ascii="Arial"/>
          <w:color w:val="231F20"/>
          <w:spacing w:val="36"/>
          <w:w w:val="105"/>
          <w:sz w:val="18"/>
        </w:rPr>
        <w:t> </w:t>
      </w:r>
      <w:r>
        <w:rPr>
          <w:rFonts w:ascii="Arial"/>
          <w:color w:val="231F20"/>
          <w:spacing w:val="-2"/>
          <w:w w:val="105"/>
          <w:sz w:val="18"/>
        </w:rPr>
        <w:t>operation:);</w:t>
      </w:r>
    </w:p>
    <w:p>
      <w:pPr>
        <w:spacing w:line="203" w:lineRule="exact" w:before="0"/>
        <w:ind w:left="144" w:right="0" w:firstLine="0"/>
        <w:jc w:val="left"/>
        <w:rPr>
          <w:rFonts w:ascii="Arial"/>
          <w:sz w:val="18"/>
        </w:rPr>
      </w:pPr>
      <w:r>
        <w:rPr>
          <w:rFonts w:ascii="Arial"/>
          <w:color w:val="231F20"/>
          <w:w w:val="115"/>
          <w:sz w:val="18"/>
        </w:rPr>
        <w:t>if</w:t>
      </w:r>
      <w:r>
        <w:rPr>
          <w:rFonts w:ascii="Arial"/>
          <w:color w:val="231F20"/>
          <w:spacing w:val="6"/>
          <w:w w:val="115"/>
          <w:sz w:val="18"/>
        </w:rPr>
        <w:t> </w:t>
      </w:r>
      <w:r>
        <w:rPr>
          <w:rFonts w:ascii="Arial"/>
          <w:color w:val="231F20"/>
          <w:w w:val="115"/>
          <w:sz w:val="18"/>
        </w:rPr>
        <w:t>(prompt("enter</w:t>
      </w:r>
      <w:r>
        <w:rPr>
          <w:rFonts w:ascii="Arial"/>
          <w:color w:val="231F20"/>
          <w:spacing w:val="7"/>
          <w:w w:val="115"/>
          <w:sz w:val="18"/>
        </w:rPr>
        <w:t> </w:t>
      </w:r>
      <w:r>
        <w:rPr>
          <w:rFonts w:ascii="Arial"/>
          <w:color w:val="231F20"/>
          <w:sz w:val="18"/>
        </w:rPr>
        <w:t>Name")</w:t>
      </w:r>
      <w:r>
        <w:rPr>
          <w:rFonts w:ascii="Arial"/>
          <w:color w:val="231F20"/>
          <w:spacing w:val="15"/>
          <w:sz w:val="18"/>
        </w:rPr>
        <w:t> </w:t>
      </w:r>
      <w:r>
        <w:rPr>
          <w:rFonts w:ascii="Arial"/>
          <w:color w:val="231F20"/>
          <w:sz w:val="18"/>
        </w:rPr>
        <w:t>==</w:t>
      </w:r>
      <w:r>
        <w:rPr>
          <w:rFonts w:ascii="Arial"/>
          <w:color w:val="231F20"/>
          <w:spacing w:val="7"/>
          <w:w w:val="115"/>
          <w:sz w:val="18"/>
        </w:rPr>
        <w:t> </w:t>
      </w:r>
      <w:r>
        <w:rPr>
          <w:rFonts w:ascii="Arial"/>
          <w:color w:val="231F20"/>
          <w:w w:val="115"/>
          <w:sz w:val="18"/>
        </w:rPr>
        <w:t>"")</w:t>
      </w:r>
      <w:r>
        <w:rPr>
          <w:rFonts w:ascii="Arial"/>
          <w:color w:val="231F20"/>
          <w:spacing w:val="6"/>
          <w:w w:val="115"/>
          <w:sz w:val="18"/>
        </w:rPr>
        <w:t> </w:t>
      </w:r>
      <w:r>
        <w:rPr>
          <w:rFonts w:ascii="Arial"/>
          <w:color w:val="231F20"/>
          <w:sz w:val="18"/>
        </w:rPr>
        <w:t>errMsg("Name</w:t>
      </w:r>
      <w:r>
        <w:rPr>
          <w:rFonts w:ascii="Arial"/>
          <w:color w:val="231F20"/>
          <w:spacing w:val="15"/>
          <w:sz w:val="18"/>
        </w:rPr>
        <w:t> </w:t>
      </w:r>
      <w:r>
        <w:rPr>
          <w:rFonts w:ascii="Arial"/>
          <w:color w:val="231F20"/>
          <w:sz w:val="18"/>
        </w:rPr>
        <w:t>must</w:t>
      </w:r>
      <w:r>
        <w:rPr>
          <w:rFonts w:ascii="Arial"/>
          <w:color w:val="231F20"/>
          <w:spacing w:val="14"/>
          <w:sz w:val="18"/>
        </w:rPr>
        <w:t> </w:t>
      </w:r>
      <w:r>
        <w:rPr>
          <w:rFonts w:ascii="Arial"/>
          <w:color w:val="231F20"/>
          <w:sz w:val="18"/>
        </w:rPr>
        <w:t>be</w:t>
      </w:r>
      <w:r>
        <w:rPr>
          <w:rFonts w:ascii="Arial"/>
          <w:color w:val="231F20"/>
          <w:spacing w:val="7"/>
          <w:w w:val="115"/>
          <w:sz w:val="18"/>
        </w:rPr>
        <w:t> </w:t>
      </w:r>
      <w:r>
        <w:rPr>
          <w:rFonts w:ascii="Arial"/>
          <w:color w:val="231F20"/>
          <w:spacing w:val="-2"/>
          <w:w w:val="115"/>
          <w:sz w:val="18"/>
        </w:rPr>
        <w:t>specified");</w:t>
      </w:r>
    </w:p>
    <w:p>
      <w:pPr>
        <w:spacing w:after="0" w:line="203" w:lineRule="exact"/>
        <w:jc w:val="left"/>
        <w:rPr>
          <w:rFonts w:ascii="Arial"/>
          <w:sz w:val="18"/>
        </w:rPr>
        <w:sectPr>
          <w:type w:val="continuous"/>
          <w:pgSz w:w="12240" w:h="15840"/>
          <w:pgMar w:header="0" w:footer="736" w:top="0" w:bottom="4660" w:left="1000" w:right="1060"/>
          <w:cols w:num="2" w:equalWidth="0">
            <w:col w:w="3725" w:space="40"/>
            <w:col w:w="6415"/>
          </w:cols>
        </w:sectPr>
      </w:pPr>
    </w:p>
    <w:p>
      <w:pPr>
        <w:pStyle w:val="BodyText"/>
        <w:spacing w:line="213" w:lineRule="auto"/>
        <w:ind w:left="3190" w:right="258"/>
      </w:pPr>
      <w:r>
        <w:rPr>
          <w:color w:val="231F20"/>
        </w:rPr>
        <w:t>The </w:t>
      </w:r>
      <w:r>
        <w:rPr>
          <w:rFonts w:ascii="Book Antiqua"/>
          <w:b/>
          <w:color w:val="231F20"/>
        </w:rPr>
        <w:t>For </w:t>
      </w:r>
      <w:r>
        <w:rPr>
          <w:color w:val="231F20"/>
        </w:rPr>
        <w:t>statement allows iterative execution based on the evaluation of an expression. An initializer statement can be executed to establish initial conditions. A conditional expression is used to control the number of </w:t>
      </w:r>
      <w:r>
        <w:rPr>
          <w:color w:val="231F20"/>
        </w:rPr>
        <w:t>times the loop is executed. An update statement is issued each iteration through the loop.</w:t>
      </w:r>
    </w:p>
    <w:p>
      <w:pPr>
        <w:spacing w:after="0" w:line="213" w:lineRule="auto"/>
        <w:sectPr>
          <w:type w:val="continuous"/>
          <w:pgSz w:w="12240" w:h="15840"/>
          <w:pgMar w:header="0" w:footer="736" w:top="0" w:bottom="4660" w:left="1000" w:right="1060"/>
        </w:sectPr>
      </w:pPr>
    </w:p>
    <w:p>
      <w:pPr>
        <w:pStyle w:val="BodyText"/>
        <w:spacing w:before="62"/>
        <w:ind w:left="2951"/>
      </w:pPr>
      <w:r>
        <w:rPr>
          <w:color w:val="231F20"/>
          <w:spacing w:val="-2"/>
        </w:rPr>
        <w:t>Syntax:</w:t>
      </w:r>
    </w:p>
    <w:p>
      <w:pPr>
        <w:pStyle w:val="Heading6"/>
        <w:spacing w:line="240" w:lineRule="auto" w:before="111"/>
        <w:ind w:left="2951"/>
      </w:pPr>
      <w:r>
        <w:rPr>
          <w:color w:val="231F20"/>
        </w:rPr>
        <w:t>FOR</w:t>
      </w:r>
      <w:r>
        <w:rPr>
          <w:color w:val="231F20"/>
          <w:spacing w:val="8"/>
        </w:rPr>
        <w:t> </w:t>
      </w:r>
      <w:r>
        <w:rPr>
          <w:color w:val="231F20"/>
        </w:rPr>
        <w:t>(initial-statement</w:t>
      </w:r>
      <w:r>
        <w:rPr>
          <w:color w:val="231F20"/>
          <w:spacing w:val="8"/>
        </w:rPr>
        <w:t> </w:t>
      </w:r>
      <w:r>
        <w:rPr>
          <w:color w:val="231F20"/>
        </w:rPr>
        <w:t>;</w:t>
      </w:r>
      <w:r>
        <w:rPr>
          <w:color w:val="231F20"/>
          <w:spacing w:val="9"/>
        </w:rPr>
        <w:t> </w:t>
      </w:r>
      <w:r>
        <w:rPr>
          <w:color w:val="231F20"/>
        </w:rPr>
        <w:t>condition</w:t>
      </w:r>
      <w:r>
        <w:rPr>
          <w:color w:val="231F20"/>
          <w:spacing w:val="8"/>
        </w:rPr>
        <w:t> </w:t>
      </w:r>
      <w:r>
        <w:rPr>
          <w:color w:val="231F20"/>
        </w:rPr>
        <w:t>;</w:t>
      </w:r>
      <w:r>
        <w:rPr>
          <w:color w:val="231F20"/>
          <w:spacing w:val="8"/>
        </w:rPr>
        <w:t> </w:t>
      </w:r>
      <w:r>
        <w:rPr>
          <w:color w:val="231F20"/>
        </w:rPr>
        <w:t>update-statement</w:t>
      </w:r>
      <w:r>
        <w:rPr>
          <w:color w:val="231F20"/>
          <w:spacing w:val="9"/>
        </w:rPr>
        <w:t> </w:t>
      </w:r>
      <w:r>
        <w:rPr>
          <w:color w:val="231F20"/>
        </w:rPr>
        <w:t>)</w:t>
      </w:r>
      <w:r>
        <w:rPr>
          <w:color w:val="231F20"/>
          <w:spacing w:val="8"/>
        </w:rPr>
        <w:t> </w:t>
      </w:r>
      <w:r>
        <w:rPr>
          <w:color w:val="231F20"/>
        </w:rPr>
        <w:t>loop-statements</w:t>
      </w:r>
      <w:r>
        <w:rPr>
          <w:color w:val="231F20"/>
          <w:spacing w:val="9"/>
        </w:rPr>
        <w:t> </w:t>
      </w:r>
      <w:r>
        <w:rPr>
          <w:color w:val="231F20"/>
          <w:spacing w:val="-10"/>
        </w:rPr>
        <w:t>;</w:t>
      </w:r>
    </w:p>
    <w:p>
      <w:pPr>
        <w:spacing w:before="142"/>
        <w:ind w:left="2282" w:right="0" w:firstLine="0"/>
        <w:jc w:val="left"/>
        <w:rPr>
          <w:rFonts w:ascii="Arial"/>
          <w:i/>
          <w:sz w:val="18"/>
        </w:rPr>
      </w:pPr>
      <w:r>
        <w:rPr>
          <w:rFonts w:ascii="Arial"/>
          <w:i/>
          <w:color w:val="231F20"/>
          <w:sz w:val="18"/>
        </w:rPr>
        <w:t>Table</w:t>
      </w:r>
      <w:r>
        <w:rPr>
          <w:rFonts w:ascii="Arial"/>
          <w:i/>
          <w:color w:val="231F20"/>
          <w:spacing w:val="-9"/>
          <w:sz w:val="18"/>
        </w:rPr>
        <w:t> </w:t>
      </w:r>
      <w:r>
        <w:rPr>
          <w:rFonts w:ascii="Arial"/>
          <w:i/>
          <w:color w:val="231F20"/>
          <w:sz w:val="18"/>
        </w:rPr>
        <w:t>5. For </w:t>
      </w:r>
      <w:r>
        <w:rPr>
          <w:rFonts w:ascii="Arial"/>
          <w:i/>
          <w:color w:val="231F20"/>
          <w:spacing w:val="-2"/>
          <w:sz w:val="18"/>
        </w:rPr>
        <w:t>Statement</w:t>
      </w:r>
    </w:p>
    <w:p>
      <w:pPr>
        <w:pStyle w:val="BodyText"/>
        <w:spacing w:before="11"/>
        <w:rPr>
          <w:rFonts w:ascii="Arial"/>
          <w:i/>
          <w:sz w:val="7"/>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36"/>
        <w:gridCol w:w="5598"/>
      </w:tblGrid>
      <w:tr>
        <w:trPr>
          <w:trHeight w:val="274" w:hRule="atLeast"/>
        </w:trPr>
        <w:tc>
          <w:tcPr>
            <w:tcW w:w="1936" w:type="dxa"/>
          </w:tcPr>
          <w:p>
            <w:pPr>
              <w:pStyle w:val="TableParagraph"/>
              <w:spacing w:before="10"/>
              <w:ind w:left="0" w:right="3"/>
              <w:jc w:val="center"/>
              <w:rPr>
                <w:rFonts w:ascii="Book Antiqua"/>
                <w:b/>
                <w:sz w:val="18"/>
              </w:rPr>
            </w:pPr>
            <w:r>
              <w:rPr>
                <w:rFonts w:ascii="Book Antiqua"/>
                <w:b/>
                <w:color w:val="231F20"/>
                <w:spacing w:val="-4"/>
                <w:sz w:val="18"/>
              </w:rPr>
              <w:t>Part</w:t>
            </w:r>
          </w:p>
        </w:tc>
        <w:tc>
          <w:tcPr>
            <w:tcW w:w="5598" w:type="dxa"/>
          </w:tcPr>
          <w:p>
            <w:pPr>
              <w:pStyle w:val="TableParagraph"/>
              <w:spacing w:before="10"/>
              <w:ind w:left="24"/>
              <w:jc w:val="center"/>
              <w:rPr>
                <w:rFonts w:ascii="Book Antiqua"/>
                <w:b/>
                <w:sz w:val="18"/>
              </w:rPr>
            </w:pPr>
            <w:r>
              <w:rPr>
                <w:rFonts w:ascii="Book Antiqua"/>
                <w:b/>
                <w:color w:val="231F20"/>
                <w:spacing w:val="-2"/>
                <w:sz w:val="18"/>
              </w:rPr>
              <w:t>Description</w:t>
            </w:r>
          </w:p>
        </w:tc>
      </w:tr>
      <w:tr>
        <w:trPr>
          <w:trHeight w:val="309" w:hRule="atLeast"/>
        </w:trPr>
        <w:tc>
          <w:tcPr>
            <w:tcW w:w="1936" w:type="dxa"/>
          </w:tcPr>
          <w:p>
            <w:pPr>
              <w:pStyle w:val="TableParagraph"/>
              <w:ind w:left="44"/>
              <w:rPr>
                <w:sz w:val="18"/>
              </w:rPr>
            </w:pPr>
            <w:r>
              <w:rPr>
                <w:color w:val="231F20"/>
                <w:spacing w:val="-5"/>
                <w:sz w:val="18"/>
              </w:rPr>
              <w:t>For</w:t>
            </w:r>
          </w:p>
        </w:tc>
        <w:tc>
          <w:tcPr>
            <w:tcW w:w="5598" w:type="dxa"/>
          </w:tcPr>
          <w:p>
            <w:pPr>
              <w:pStyle w:val="TableParagraph"/>
              <w:rPr>
                <w:sz w:val="18"/>
              </w:rPr>
            </w:pPr>
            <w:r>
              <w:rPr>
                <w:color w:val="231F20"/>
                <w:sz w:val="18"/>
              </w:rPr>
              <w:t>The</w:t>
            </w:r>
            <w:r>
              <w:rPr>
                <w:color w:val="231F20"/>
                <w:spacing w:val="8"/>
                <w:sz w:val="18"/>
              </w:rPr>
              <w:t> </w:t>
            </w:r>
            <w:r>
              <w:rPr>
                <w:color w:val="231F20"/>
                <w:sz w:val="18"/>
              </w:rPr>
              <w:t>keyword</w:t>
            </w:r>
            <w:r>
              <w:rPr>
                <w:color w:val="231F20"/>
                <w:spacing w:val="9"/>
                <w:sz w:val="18"/>
              </w:rPr>
              <w:t> </w:t>
            </w:r>
            <w:r>
              <w:rPr>
                <w:color w:val="231F20"/>
                <w:sz w:val="18"/>
              </w:rPr>
              <w:t>to</w:t>
            </w:r>
            <w:r>
              <w:rPr>
                <w:color w:val="231F20"/>
                <w:spacing w:val="9"/>
                <w:sz w:val="18"/>
              </w:rPr>
              <w:t> </w:t>
            </w:r>
            <w:r>
              <w:rPr>
                <w:color w:val="231F20"/>
                <w:sz w:val="18"/>
              </w:rPr>
              <w:t>begin</w:t>
            </w:r>
            <w:r>
              <w:rPr>
                <w:color w:val="231F20"/>
                <w:spacing w:val="9"/>
                <w:sz w:val="18"/>
              </w:rPr>
              <w:t> </w:t>
            </w:r>
            <w:r>
              <w:rPr>
                <w:color w:val="231F20"/>
                <w:sz w:val="18"/>
              </w:rPr>
              <w:t>the</w:t>
            </w:r>
            <w:r>
              <w:rPr>
                <w:color w:val="231F20"/>
                <w:spacing w:val="9"/>
                <w:sz w:val="18"/>
              </w:rPr>
              <w:t> </w:t>
            </w:r>
            <w:r>
              <w:rPr>
                <w:color w:val="231F20"/>
                <w:sz w:val="18"/>
              </w:rPr>
              <w:t>loop</w:t>
            </w:r>
            <w:r>
              <w:rPr>
                <w:color w:val="231F20"/>
                <w:spacing w:val="9"/>
                <w:sz w:val="18"/>
              </w:rPr>
              <w:t> </w:t>
            </w:r>
            <w:r>
              <w:rPr>
                <w:color w:val="231F20"/>
                <w:sz w:val="18"/>
              </w:rPr>
              <w:t>control</w:t>
            </w:r>
            <w:r>
              <w:rPr>
                <w:color w:val="231F20"/>
                <w:spacing w:val="9"/>
                <w:sz w:val="18"/>
              </w:rPr>
              <w:t> </w:t>
            </w:r>
            <w:r>
              <w:rPr>
                <w:color w:val="231F20"/>
                <w:spacing w:val="-2"/>
                <w:sz w:val="18"/>
              </w:rPr>
              <w:t>structure.</w:t>
            </w:r>
          </w:p>
        </w:tc>
      </w:tr>
      <w:tr>
        <w:trPr>
          <w:trHeight w:val="309" w:hRule="atLeast"/>
        </w:trPr>
        <w:tc>
          <w:tcPr>
            <w:tcW w:w="1936" w:type="dxa"/>
          </w:tcPr>
          <w:p>
            <w:pPr>
              <w:pStyle w:val="TableParagraph"/>
              <w:ind w:left="44"/>
              <w:rPr>
                <w:sz w:val="18"/>
              </w:rPr>
            </w:pPr>
            <w:r>
              <w:rPr>
                <w:color w:val="231F20"/>
                <w:spacing w:val="-2"/>
                <w:sz w:val="18"/>
              </w:rPr>
              <w:t>Initial-statement</w:t>
            </w:r>
          </w:p>
        </w:tc>
        <w:tc>
          <w:tcPr>
            <w:tcW w:w="5598" w:type="dxa"/>
          </w:tcPr>
          <w:p>
            <w:pPr>
              <w:pStyle w:val="TableParagraph"/>
              <w:rPr>
                <w:sz w:val="18"/>
              </w:rPr>
            </w:pPr>
            <w:r>
              <w:rPr>
                <w:color w:val="231F20"/>
                <w:sz w:val="18"/>
              </w:rPr>
              <w:t>A</w:t>
            </w:r>
            <w:r>
              <w:rPr>
                <w:color w:val="231F20"/>
                <w:spacing w:val="1"/>
                <w:sz w:val="18"/>
              </w:rPr>
              <w:t> </w:t>
            </w:r>
            <w:r>
              <w:rPr>
                <w:color w:val="231F20"/>
                <w:sz w:val="18"/>
              </w:rPr>
              <w:t>statement</w:t>
            </w:r>
            <w:r>
              <w:rPr>
                <w:color w:val="231F20"/>
                <w:spacing w:val="10"/>
                <w:sz w:val="18"/>
              </w:rPr>
              <w:t> </w:t>
            </w:r>
            <w:r>
              <w:rPr>
                <w:color w:val="231F20"/>
                <w:sz w:val="18"/>
              </w:rPr>
              <w:t>to</w:t>
            </w:r>
            <w:r>
              <w:rPr>
                <w:color w:val="231F20"/>
                <w:spacing w:val="10"/>
                <w:sz w:val="18"/>
              </w:rPr>
              <w:t> </w:t>
            </w:r>
            <w:r>
              <w:rPr>
                <w:color w:val="231F20"/>
                <w:sz w:val="18"/>
              </w:rPr>
              <w:t>be</w:t>
            </w:r>
            <w:r>
              <w:rPr>
                <w:color w:val="231F20"/>
                <w:spacing w:val="11"/>
                <w:sz w:val="18"/>
              </w:rPr>
              <w:t> </w:t>
            </w:r>
            <w:r>
              <w:rPr>
                <w:color w:val="231F20"/>
                <w:sz w:val="18"/>
              </w:rPr>
              <w:t>executed</w:t>
            </w:r>
            <w:r>
              <w:rPr>
                <w:color w:val="231F20"/>
                <w:spacing w:val="10"/>
                <w:sz w:val="18"/>
              </w:rPr>
              <w:t> </w:t>
            </w:r>
            <w:r>
              <w:rPr>
                <w:color w:val="231F20"/>
                <w:sz w:val="18"/>
              </w:rPr>
              <w:t>prior</w:t>
            </w:r>
            <w:r>
              <w:rPr>
                <w:color w:val="231F20"/>
                <w:spacing w:val="11"/>
                <w:sz w:val="18"/>
              </w:rPr>
              <w:t> </w:t>
            </w:r>
            <w:r>
              <w:rPr>
                <w:color w:val="231F20"/>
                <w:sz w:val="18"/>
              </w:rPr>
              <w:t>to</w:t>
            </w:r>
            <w:r>
              <w:rPr>
                <w:color w:val="231F20"/>
                <w:spacing w:val="10"/>
                <w:sz w:val="18"/>
              </w:rPr>
              <w:t> </w:t>
            </w:r>
            <w:r>
              <w:rPr>
                <w:color w:val="231F20"/>
                <w:sz w:val="18"/>
              </w:rPr>
              <w:t>the</w:t>
            </w:r>
            <w:r>
              <w:rPr>
                <w:color w:val="231F20"/>
                <w:spacing w:val="11"/>
                <w:sz w:val="18"/>
              </w:rPr>
              <w:t> </w:t>
            </w:r>
            <w:r>
              <w:rPr>
                <w:color w:val="231F20"/>
                <w:spacing w:val="-2"/>
                <w:sz w:val="18"/>
              </w:rPr>
              <w:t>loop.</w:t>
            </w:r>
          </w:p>
        </w:tc>
      </w:tr>
      <w:tr>
        <w:trPr>
          <w:trHeight w:val="748" w:hRule="atLeast"/>
        </w:trPr>
        <w:tc>
          <w:tcPr>
            <w:tcW w:w="1936" w:type="dxa"/>
          </w:tcPr>
          <w:p>
            <w:pPr>
              <w:pStyle w:val="TableParagraph"/>
              <w:ind w:left="44"/>
              <w:rPr>
                <w:sz w:val="18"/>
              </w:rPr>
            </w:pPr>
            <w:r>
              <w:rPr>
                <w:color w:val="231F20"/>
                <w:spacing w:val="-2"/>
                <w:sz w:val="18"/>
              </w:rPr>
              <w:t>Condition</w:t>
            </w:r>
          </w:p>
        </w:tc>
        <w:tc>
          <w:tcPr>
            <w:tcW w:w="5598" w:type="dxa"/>
          </w:tcPr>
          <w:p>
            <w:pPr>
              <w:pStyle w:val="TableParagraph"/>
              <w:spacing w:line="216" w:lineRule="auto" w:before="44"/>
              <w:ind w:right="55" w:hanging="1"/>
              <w:rPr>
                <w:sz w:val="18"/>
              </w:rPr>
            </w:pPr>
            <w:r>
              <w:rPr>
                <w:color w:val="231F20"/>
                <w:sz w:val="18"/>
              </w:rPr>
              <w:t>A numeric or string expression that evaluates true (one) or false (zero). A</w:t>
            </w:r>
            <w:r>
              <w:rPr>
                <w:color w:val="231F20"/>
                <w:spacing w:val="-1"/>
                <w:sz w:val="18"/>
              </w:rPr>
              <w:t> </w:t>
            </w:r>
            <w:r>
              <w:rPr>
                <w:color w:val="231F20"/>
                <w:sz w:val="18"/>
              </w:rPr>
              <w:t>function that returns an integer result. The loop continues to execute while this condition is true.</w:t>
            </w:r>
          </w:p>
        </w:tc>
      </w:tr>
      <w:tr>
        <w:trPr>
          <w:trHeight w:val="309" w:hRule="atLeast"/>
        </w:trPr>
        <w:tc>
          <w:tcPr>
            <w:tcW w:w="1936" w:type="dxa"/>
          </w:tcPr>
          <w:p>
            <w:pPr>
              <w:pStyle w:val="TableParagraph"/>
              <w:ind w:left="44"/>
              <w:rPr>
                <w:sz w:val="18"/>
              </w:rPr>
            </w:pPr>
            <w:r>
              <w:rPr>
                <w:color w:val="231F20"/>
                <w:spacing w:val="-2"/>
                <w:sz w:val="18"/>
              </w:rPr>
              <w:t>Update-statement</w:t>
            </w:r>
          </w:p>
        </w:tc>
        <w:tc>
          <w:tcPr>
            <w:tcW w:w="5598" w:type="dxa"/>
          </w:tcPr>
          <w:p>
            <w:pPr>
              <w:pStyle w:val="TableParagraph"/>
              <w:rPr>
                <w:sz w:val="18"/>
              </w:rPr>
            </w:pPr>
            <w:r>
              <w:rPr>
                <w:color w:val="231F20"/>
                <w:sz w:val="18"/>
              </w:rPr>
              <w:t>A</w:t>
            </w:r>
            <w:r>
              <w:rPr>
                <w:color w:val="231F20"/>
                <w:spacing w:val="1"/>
                <w:sz w:val="18"/>
              </w:rPr>
              <w:t> </w:t>
            </w:r>
            <w:r>
              <w:rPr>
                <w:color w:val="231F20"/>
                <w:sz w:val="18"/>
              </w:rPr>
              <w:t>statement</w:t>
            </w:r>
            <w:r>
              <w:rPr>
                <w:color w:val="231F20"/>
                <w:spacing w:val="10"/>
                <w:sz w:val="18"/>
              </w:rPr>
              <w:t> </w:t>
            </w:r>
            <w:r>
              <w:rPr>
                <w:color w:val="231F20"/>
                <w:sz w:val="18"/>
              </w:rPr>
              <w:t>that</w:t>
            </w:r>
            <w:r>
              <w:rPr>
                <w:color w:val="231F20"/>
                <w:spacing w:val="11"/>
                <w:sz w:val="18"/>
              </w:rPr>
              <w:t> </w:t>
            </w:r>
            <w:r>
              <w:rPr>
                <w:color w:val="231F20"/>
                <w:sz w:val="18"/>
              </w:rPr>
              <w:t>will</w:t>
            </w:r>
            <w:r>
              <w:rPr>
                <w:color w:val="231F20"/>
                <w:spacing w:val="11"/>
                <w:sz w:val="18"/>
              </w:rPr>
              <w:t> </w:t>
            </w:r>
            <w:r>
              <w:rPr>
                <w:color w:val="231F20"/>
                <w:sz w:val="18"/>
              </w:rPr>
              <w:t>be</w:t>
            </w:r>
            <w:r>
              <w:rPr>
                <w:color w:val="231F20"/>
                <w:spacing w:val="10"/>
                <w:sz w:val="18"/>
              </w:rPr>
              <w:t> </w:t>
            </w:r>
            <w:r>
              <w:rPr>
                <w:color w:val="231F20"/>
                <w:sz w:val="18"/>
              </w:rPr>
              <w:t>executed</w:t>
            </w:r>
            <w:r>
              <w:rPr>
                <w:color w:val="231F20"/>
                <w:spacing w:val="11"/>
                <w:sz w:val="18"/>
              </w:rPr>
              <w:t> </w:t>
            </w:r>
            <w:r>
              <w:rPr>
                <w:color w:val="231F20"/>
                <w:sz w:val="18"/>
              </w:rPr>
              <w:t>at</w:t>
            </w:r>
            <w:r>
              <w:rPr>
                <w:color w:val="231F20"/>
                <w:spacing w:val="10"/>
                <w:sz w:val="18"/>
              </w:rPr>
              <w:t> </w:t>
            </w:r>
            <w:r>
              <w:rPr>
                <w:color w:val="231F20"/>
                <w:sz w:val="18"/>
              </w:rPr>
              <w:t>the</w:t>
            </w:r>
            <w:r>
              <w:rPr>
                <w:color w:val="231F20"/>
                <w:spacing w:val="11"/>
                <w:sz w:val="18"/>
              </w:rPr>
              <w:t> </w:t>
            </w:r>
            <w:r>
              <w:rPr>
                <w:color w:val="231F20"/>
                <w:sz w:val="18"/>
              </w:rPr>
              <w:t>end</w:t>
            </w:r>
            <w:r>
              <w:rPr>
                <w:color w:val="231F20"/>
                <w:spacing w:val="11"/>
                <w:sz w:val="18"/>
              </w:rPr>
              <w:t> </w:t>
            </w:r>
            <w:r>
              <w:rPr>
                <w:color w:val="231F20"/>
                <w:sz w:val="18"/>
              </w:rPr>
              <w:t>of</w:t>
            </w:r>
            <w:r>
              <w:rPr>
                <w:color w:val="231F20"/>
                <w:spacing w:val="10"/>
                <w:sz w:val="18"/>
              </w:rPr>
              <w:t> </w:t>
            </w:r>
            <w:r>
              <w:rPr>
                <w:color w:val="231F20"/>
                <w:sz w:val="18"/>
              </w:rPr>
              <w:t>each</w:t>
            </w:r>
            <w:r>
              <w:rPr>
                <w:color w:val="231F20"/>
                <w:spacing w:val="11"/>
                <w:sz w:val="18"/>
              </w:rPr>
              <w:t> </w:t>
            </w:r>
            <w:r>
              <w:rPr>
                <w:color w:val="231F20"/>
                <w:spacing w:val="-2"/>
                <w:sz w:val="18"/>
              </w:rPr>
              <w:t>iteration.</w:t>
            </w:r>
          </w:p>
        </w:tc>
      </w:tr>
      <w:tr>
        <w:trPr>
          <w:trHeight w:val="314" w:hRule="atLeast"/>
        </w:trPr>
        <w:tc>
          <w:tcPr>
            <w:tcW w:w="1936" w:type="dxa"/>
          </w:tcPr>
          <w:p>
            <w:pPr>
              <w:pStyle w:val="TableParagraph"/>
              <w:ind w:left="44"/>
              <w:rPr>
                <w:sz w:val="18"/>
              </w:rPr>
            </w:pPr>
            <w:r>
              <w:rPr>
                <w:color w:val="231F20"/>
                <w:spacing w:val="-2"/>
                <w:sz w:val="18"/>
              </w:rPr>
              <w:t>Loop-statements</w:t>
            </w:r>
          </w:p>
        </w:tc>
        <w:tc>
          <w:tcPr>
            <w:tcW w:w="5598" w:type="dxa"/>
          </w:tcPr>
          <w:p>
            <w:pPr>
              <w:pStyle w:val="TableParagraph"/>
              <w:rPr>
                <w:sz w:val="18"/>
              </w:rPr>
            </w:pPr>
            <w:r>
              <w:rPr>
                <w:color w:val="231F20"/>
                <w:sz w:val="18"/>
              </w:rPr>
              <w:t>Statement(s)</w:t>
            </w:r>
            <w:r>
              <w:rPr>
                <w:color w:val="231F20"/>
                <w:spacing w:val="8"/>
                <w:sz w:val="18"/>
              </w:rPr>
              <w:t> </w:t>
            </w:r>
            <w:r>
              <w:rPr>
                <w:color w:val="231F20"/>
                <w:sz w:val="18"/>
              </w:rPr>
              <w:t>performed</w:t>
            </w:r>
            <w:r>
              <w:rPr>
                <w:color w:val="231F20"/>
                <w:spacing w:val="8"/>
                <w:sz w:val="18"/>
              </w:rPr>
              <w:t> </w:t>
            </w:r>
            <w:r>
              <w:rPr>
                <w:color w:val="231F20"/>
                <w:sz w:val="18"/>
              </w:rPr>
              <w:t>when</w:t>
            </w:r>
            <w:r>
              <w:rPr>
                <w:color w:val="231F20"/>
                <w:spacing w:val="8"/>
                <w:sz w:val="18"/>
              </w:rPr>
              <w:t> </w:t>
            </w:r>
            <w:r>
              <w:rPr>
                <w:color w:val="231F20"/>
                <w:sz w:val="18"/>
              </w:rPr>
              <w:t>the</w:t>
            </w:r>
            <w:r>
              <w:rPr>
                <w:color w:val="231F20"/>
                <w:spacing w:val="9"/>
                <w:sz w:val="18"/>
              </w:rPr>
              <w:t> </w:t>
            </w:r>
            <w:r>
              <w:rPr>
                <w:color w:val="231F20"/>
                <w:sz w:val="18"/>
              </w:rPr>
              <w:t>condition</w:t>
            </w:r>
            <w:r>
              <w:rPr>
                <w:color w:val="231F20"/>
                <w:spacing w:val="8"/>
                <w:sz w:val="18"/>
              </w:rPr>
              <w:t> </w:t>
            </w:r>
            <w:r>
              <w:rPr>
                <w:color w:val="231F20"/>
                <w:sz w:val="18"/>
              </w:rPr>
              <w:t>is</w:t>
            </w:r>
            <w:r>
              <w:rPr>
                <w:color w:val="231F20"/>
                <w:spacing w:val="8"/>
                <w:sz w:val="18"/>
              </w:rPr>
              <w:t> </w:t>
            </w:r>
            <w:r>
              <w:rPr>
                <w:color w:val="231F20"/>
                <w:spacing w:val="-2"/>
                <w:sz w:val="18"/>
              </w:rPr>
              <w:t>true.</w:t>
            </w:r>
          </w:p>
        </w:tc>
      </w:tr>
    </w:tbl>
    <w:p>
      <w:pPr>
        <w:pStyle w:val="BodyText"/>
        <w:spacing w:line="194" w:lineRule="auto" w:before="171"/>
        <w:ind w:left="3669"/>
      </w:pPr>
      <w:r>
        <w:rPr>
          <w:color w:val="231F20"/>
        </w:rPr>
        <w:t>Multiple statements are permitted as part of the loop-statements. </w:t>
      </w:r>
      <w:r>
        <w:rPr>
          <w:color w:val="231F20"/>
        </w:rPr>
        <w:t>If multiple statements are to be executed, they must appear within a statement block embedded in braces { }. Example:</w:t>
      </w:r>
    </w:p>
    <w:p>
      <w:pPr>
        <w:spacing w:line="230" w:lineRule="auto" w:before="70"/>
        <w:ind w:left="3669" w:right="2478" w:firstLine="0"/>
        <w:jc w:val="left"/>
        <w:rPr>
          <w:rFonts w:ascii="Arial"/>
          <w:sz w:val="18"/>
        </w:rPr>
      </w:pPr>
      <w:r>
        <w:rPr>
          <w:rFonts w:ascii="Arial"/>
          <w:color w:val="231F20"/>
          <w:w w:val="115"/>
          <w:sz w:val="18"/>
        </w:rPr>
        <w:t>For</w:t>
      </w:r>
      <w:r>
        <w:rPr>
          <w:rFonts w:ascii="Arial"/>
          <w:color w:val="231F20"/>
          <w:spacing w:val="12"/>
          <w:w w:val="115"/>
          <w:sz w:val="18"/>
        </w:rPr>
        <w:t> </w:t>
      </w:r>
      <w:r>
        <w:rPr>
          <w:rFonts w:ascii="Arial"/>
          <w:color w:val="231F20"/>
          <w:w w:val="115"/>
          <w:sz w:val="18"/>
        </w:rPr>
        <w:t>(</w:t>
      </w:r>
      <w:r>
        <w:rPr>
          <w:rFonts w:ascii="Arial"/>
          <w:color w:val="231F20"/>
          <w:spacing w:val="12"/>
          <w:w w:val="115"/>
          <w:sz w:val="18"/>
        </w:rPr>
        <w:t> </w:t>
      </w:r>
      <w:r>
        <w:rPr>
          <w:rFonts w:ascii="Arial"/>
          <w:color w:val="231F20"/>
          <w:w w:val="115"/>
          <w:sz w:val="18"/>
        </w:rPr>
        <w:t>i=0;</w:t>
      </w:r>
      <w:r>
        <w:rPr>
          <w:rFonts w:ascii="Arial"/>
          <w:color w:val="231F20"/>
          <w:spacing w:val="12"/>
          <w:w w:val="115"/>
          <w:sz w:val="18"/>
        </w:rPr>
        <w:t> </w:t>
      </w:r>
      <w:r>
        <w:rPr>
          <w:rFonts w:ascii="Arial"/>
          <w:color w:val="231F20"/>
          <w:w w:val="115"/>
          <w:sz w:val="18"/>
        </w:rPr>
        <w:t>i&lt;3;</w:t>
      </w:r>
      <w:r>
        <w:rPr>
          <w:rFonts w:ascii="Arial"/>
          <w:color w:val="231F20"/>
          <w:spacing w:val="12"/>
          <w:w w:val="115"/>
          <w:sz w:val="18"/>
        </w:rPr>
        <w:t> </w:t>
      </w:r>
      <w:r>
        <w:rPr>
          <w:rFonts w:ascii="Arial"/>
          <w:color w:val="231F20"/>
          <w:w w:val="115"/>
          <w:sz w:val="18"/>
        </w:rPr>
        <w:t>i=I+1)</w:t>
      </w:r>
      <w:r>
        <w:rPr>
          <w:rFonts w:ascii="Arial"/>
          <w:color w:val="231F20"/>
          <w:spacing w:val="12"/>
          <w:w w:val="115"/>
          <w:sz w:val="18"/>
        </w:rPr>
        <w:t> </w:t>
      </w:r>
      <w:r>
        <w:rPr>
          <w:rFonts w:ascii="Arial"/>
          <w:color w:val="231F20"/>
          <w:w w:val="115"/>
          <w:sz w:val="18"/>
        </w:rPr>
        <w:t>waitforscreen(1000); </w:t>
      </w:r>
      <w:r>
        <w:rPr>
          <w:rFonts w:ascii="Arial"/>
          <w:color w:val="231F20"/>
          <w:w w:val="120"/>
          <w:sz w:val="18"/>
        </w:rPr>
        <w:t>For</w:t>
      </w:r>
      <w:r>
        <w:rPr>
          <w:rFonts w:ascii="Arial"/>
          <w:color w:val="231F20"/>
          <w:w w:val="120"/>
          <w:sz w:val="18"/>
        </w:rPr>
        <w:t> (</w:t>
      </w:r>
      <w:r>
        <w:rPr>
          <w:rFonts w:ascii="Arial"/>
          <w:color w:val="231F20"/>
          <w:w w:val="120"/>
          <w:sz w:val="18"/>
        </w:rPr>
        <w:t> i=0;</w:t>
      </w:r>
      <w:r>
        <w:rPr>
          <w:rFonts w:ascii="Arial"/>
          <w:color w:val="231F20"/>
          <w:w w:val="120"/>
          <w:sz w:val="18"/>
        </w:rPr>
        <w:t> i&lt;3;</w:t>
      </w:r>
      <w:r>
        <w:rPr>
          <w:rFonts w:ascii="Arial"/>
          <w:color w:val="231F20"/>
          <w:w w:val="120"/>
          <w:sz w:val="18"/>
        </w:rPr>
        <w:t> i=i+1)</w:t>
      </w:r>
    </w:p>
    <w:p>
      <w:pPr>
        <w:spacing w:line="198" w:lineRule="exact" w:before="0"/>
        <w:ind w:left="3669" w:right="0" w:firstLine="0"/>
        <w:jc w:val="left"/>
        <w:rPr>
          <w:rFonts w:ascii="Arial"/>
          <w:sz w:val="18"/>
        </w:rPr>
      </w:pPr>
      <w:r>
        <w:rPr>
          <w:rFonts w:ascii="Arial"/>
          <w:color w:val="231F20"/>
          <w:spacing w:val="-10"/>
          <w:w w:val="150"/>
          <w:sz w:val="18"/>
        </w:rPr>
        <w:t>{</w:t>
      </w:r>
    </w:p>
    <w:p>
      <w:pPr>
        <w:spacing w:line="200" w:lineRule="exact" w:before="0"/>
        <w:ind w:left="3669" w:right="0" w:firstLine="0"/>
        <w:jc w:val="left"/>
        <w:rPr>
          <w:rFonts w:ascii="Arial"/>
          <w:sz w:val="18"/>
        </w:rPr>
      </w:pPr>
      <w:r>
        <w:rPr>
          <w:rFonts w:ascii="Arial"/>
          <w:color w:val="231F20"/>
          <w:spacing w:val="-2"/>
          <w:w w:val="110"/>
          <w:sz w:val="18"/>
        </w:rPr>
        <w:t>sendString(userid);</w:t>
      </w:r>
    </w:p>
    <w:p>
      <w:pPr>
        <w:spacing w:line="200" w:lineRule="exact" w:before="0"/>
        <w:ind w:left="3669" w:right="0" w:firstLine="0"/>
        <w:jc w:val="left"/>
        <w:rPr>
          <w:rFonts w:ascii="Arial"/>
          <w:sz w:val="18"/>
        </w:rPr>
      </w:pPr>
      <w:r>
        <w:rPr>
          <w:rFonts w:ascii="Arial"/>
          <w:color w:val="231F20"/>
          <w:w w:val="170"/>
          <w:sz w:val="18"/>
        </w:rPr>
        <w:t>if</w:t>
      </w:r>
      <w:r>
        <w:rPr>
          <w:rFonts w:ascii="Arial"/>
          <w:color w:val="231F20"/>
          <w:spacing w:val="-19"/>
          <w:w w:val="170"/>
          <w:sz w:val="18"/>
        </w:rPr>
        <w:t> </w:t>
      </w:r>
      <w:r>
        <w:rPr>
          <w:rFonts w:ascii="Arial"/>
          <w:color w:val="231F20"/>
          <w:w w:val="115"/>
          <w:sz w:val="18"/>
        </w:rPr>
        <w:t>(waitforstring</w:t>
      </w:r>
      <w:r>
        <w:rPr>
          <w:rFonts w:ascii="Arial"/>
          <w:color w:val="231F20"/>
          <w:spacing w:val="9"/>
          <w:w w:val="115"/>
          <w:sz w:val="18"/>
        </w:rPr>
        <w:t> </w:t>
      </w:r>
      <w:r>
        <w:rPr>
          <w:rFonts w:ascii="Arial"/>
          <w:color w:val="231F20"/>
          <w:w w:val="115"/>
          <w:sz w:val="18"/>
        </w:rPr>
        <w:t>("Logon</w:t>
      </w:r>
      <w:r>
        <w:rPr>
          <w:rFonts w:ascii="Arial"/>
          <w:color w:val="231F20"/>
          <w:spacing w:val="9"/>
          <w:w w:val="115"/>
          <w:sz w:val="18"/>
        </w:rPr>
        <w:t> </w:t>
      </w:r>
      <w:r>
        <w:rPr>
          <w:rFonts w:ascii="Arial"/>
          <w:color w:val="231F20"/>
          <w:w w:val="115"/>
          <w:sz w:val="18"/>
        </w:rPr>
        <w:t>complete")</w:t>
      </w:r>
      <w:r>
        <w:rPr>
          <w:rFonts w:ascii="Arial"/>
          <w:color w:val="231F20"/>
          <w:spacing w:val="9"/>
          <w:w w:val="115"/>
          <w:sz w:val="18"/>
        </w:rPr>
        <w:t> </w:t>
      </w:r>
      <w:r>
        <w:rPr>
          <w:rFonts w:ascii="Arial"/>
          <w:color w:val="231F20"/>
          <w:w w:val="115"/>
          <w:sz w:val="18"/>
        </w:rPr>
        <w:t>&gt;</w:t>
      </w:r>
      <w:r>
        <w:rPr>
          <w:rFonts w:ascii="Arial"/>
          <w:color w:val="231F20"/>
          <w:spacing w:val="9"/>
          <w:w w:val="115"/>
          <w:sz w:val="18"/>
        </w:rPr>
        <w:t> </w:t>
      </w:r>
      <w:r>
        <w:rPr>
          <w:rFonts w:ascii="Arial"/>
          <w:color w:val="231F20"/>
          <w:spacing w:val="-5"/>
          <w:w w:val="115"/>
          <w:sz w:val="18"/>
        </w:rPr>
        <w:t>0)</w:t>
      </w:r>
    </w:p>
    <w:p>
      <w:pPr>
        <w:spacing w:line="200" w:lineRule="exact" w:before="0"/>
        <w:ind w:left="3669" w:right="0" w:firstLine="0"/>
        <w:jc w:val="left"/>
        <w:rPr>
          <w:rFonts w:ascii="Arial"/>
          <w:sz w:val="18"/>
        </w:rPr>
      </w:pPr>
      <w:r>
        <w:rPr>
          <w:rFonts w:ascii="Arial"/>
          <w:color w:val="231F20"/>
          <w:spacing w:val="-10"/>
          <w:w w:val="150"/>
          <w:sz w:val="18"/>
        </w:rPr>
        <w:t>{</w:t>
      </w:r>
    </w:p>
    <w:p>
      <w:pPr>
        <w:spacing w:line="230" w:lineRule="auto" w:before="3"/>
        <w:ind w:left="3669" w:right="5052" w:firstLine="0"/>
        <w:jc w:val="left"/>
        <w:rPr>
          <w:rFonts w:ascii="Arial"/>
          <w:sz w:val="18"/>
        </w:rPr>
      </w:pPr>
      <w:r>
        <w:rPr>
          <w:rFonts w:ascii="Arial"/>
          <w:color w:val="231F20"/>
          <w:w w:val="105"/>
          <w:sz w:val="18"/>
        </w:rPr>
        <w:t>success</w:t>
      </w:r>
      <w:r>
        <w:rPr>
          <w:rFonts w:ascii="Arial"/>
          <w:color w:val="231F20"/>
          <w:spacing w:val="16"/>
          <w:w w:val="105"/>
          <w:sz w:val="18"/>
        </w:rPr>
        <w:t> </w:t>
      </w:r>
      <w:r>
        <w:rPr>
          <w:rFonts w:ascii="Arial"/>
          <w:color w:val="231F20"/>
          <w:w w:val="105"/>
          <w:sz w:val="18"/>
        </w:rPr>
        <w:t>=</w:t>
      </w:r>
      <w:r>
        <w:rPr>
          <w:rFonts w:ascii="Arial"/>
          <w:color w:val="231F20"/>
          <w:spacing w:val="16"/>
          <w:w w:val="105"/>
          <w:sz w:val="18"/>
        </w:rPr>
        <w:t> </w:t>
      </w:r>
      <w:r>
        <w:rPr>
          <w:rFonts w:ascii="Arial"/>
          <w:color w:val="231F20"/>
          <w:w w:val="105"/>
          <w:sz w:val="18"/>
        </w:rPr>
        <w:t>true; </w:t>
      </w:r>
      <w:r>
        <w:rPr>
          <w:rFonts w:ascii="Arial"/>
          <w:color w:val="231F20"/>
          <w:spacing w:val="-2"/>
          <w:w w:val="105"/>
          <w:sz w:val="18"/>
        </w:rPr>
        <w:t>break;;</w:t>
      </w:r>
    </w:p>
    <w:p>
      <w:pPr>
        <w:spacing w:line="198" w:lineRule="exact" w:before="0"/>
        <w:ind w:left="3669" w:right="0" w:firstLine="0"/>
        <w:jc w:val="left"/>
        <w:rPr>
          <w:rFonts w:ascii="Arial"/>
          <w:sz w:val="18"/>
        </w:rPr>
      </w:pPr>
      <w:r>
        <w:rPr>
          <w:rFonts w:ascii="Arial"/>
          <w:color w:val="231F20"/>
          <w:spacing w:val="-10"/>
          <w:w w:val="150"/>
          <w:sz w:val="18"/>
        </w:rPr>
        <w:t>}</w:t>
      </w:r>
    </w:p>
    <w:p>
      <w:pPr>
        <w:spacing w:line="203" w:lineRule="exact" w:before="0"/>
        <w:ind w:left="3669" w:right="0" w:firstLine="0"/>
        <w:jc w:val="left"/>
        <w:rPr>
          <w:rFonts w:ascii="Arial"/>
          <w:sz w:val="18"/>
        </w:rPr>
      </w:pPr>
      <w:r>
        <w:rPr>
          <w:rFonts w:ascii="Arial"/>
          <w:color w:val="231F20"/>
          <w:spacing w:val="-10"/>
          <w:w w:val="150"/>
          <w:sz w:val="18"/>
        </w:rPr>
        <w:t>}</w:t>
      </w:r>
    </w:p>
    <w:p>
      <w:pPr>
        <w:pStyle w:val="Heading6"/>
        <w:spacing w:before="128"/>
        <w:ind w:left="2232"/>
      </w:pPr>
      <w:r>
        <w:rPr>
          <w:color w:val="231F20"/>
        </w:rPr>
        <w:t>Return</w:t>
      </w:r>
      <w:r>
        <w:rPr>
          <w:color w:val="231F20"/>
          <w:spacing w:val="9"/>
        </w:rPr>
        <w:t> </w:t>
      </w:r>
      <w:r>
        <w:rPr>
          <w:color w:val="231F20"/>
          <w:spacing w:val="-2"/>
        </w:rPr>
        <w:t>statement</w:t>
      </w:r>
    </w:p>
    <w:p>
      <w:pPr>
        <w:pStyle w:val="BodyText"/>
        <w:spacing w:line="213" w:lineRule="auto" w:before="12"/>
        <w:ind w:left="2951" w:right="493"/>
      </w:pPr>
      <w:r>
        <w:rPr>
          <w:color w:val="231F20"/>
        </w:rPr>
        <w:t>Use the </w:t>
      </w:r>
      <w:r>
        <w:rPr>
          <w:rFonts w:ascii="Book Antiqua"/>
          <w:b/>
          <w:color w:val="231F20"/>
        </w:rPr>
        <w:t>Return </w:t>
      </w:r>
      <w:r>
        <w:rPr>
          <w:color w:val="231F20"/>
        </w:rPr>
        <w:t>statement to return from a function or to end the main program block. Program execution resumes at the statement following </w:t>
      </w:r>
      <w:r>
        <w:rPr>
          <w:color w:val="231F20"/>
        </w:rPr>
        <w:t>the point at which a function was called, or exits the script if it is in the main</w:t>
      </w:r>
      <w:r>
        <w:rPr>
          <w:color w:val="231F20"/>
          <w:spacing w:val="40"/>
        </w:rPr>
        <w:t> </w:t>
      </w:r>
      <w:r>
        <w:rPr>
          <w:color w:val="231F20"/>
        </w:rPr>
        <w:t>program block. An optional value can be associated with the return </w:t>
      </w:r>
      <w:r>
        <w:rPr>
          <w:color w:val="231F20"/>
          <w:spacing w:val="-2"/>
        </w:rPr>
        <w:t>statement.</w:t>
      </w:r>
    </w:p>
    <w:p>
      <w:pPr>
        <w:pStyle w:val="BodyText"/>
        <w:spacing w:line="213" w:lineRule="auto" w:before="116"/>
        <w:ind w:left="2951" w:right="636"/>
      </w:pPr>
      <w:r>
        <w:rPr>
          <w:color w:val="231F20"/>
        </w:rPr>
        <w:t>A RETURN statement that is not within a function definition </w:t>
      </w:r>
      <w:r>
        <w:rPr>
          <w:color w:val="231F20"/>
        </w:rPr>
        <w:t>terminates the script.</w:t>
      </w:r>
    </w:p>
    <w:p>
      <w:pPr>
        <w:pStyle w:val="BodyText"/>
        <w:spacing w:before="95"/>
        <w:ind w:left="2951"/>
      </w:pPr>
      <w:r>
        <w:rPr>
          <w:color w:val="231F20"/>
          <w:spacing w:val="-2"/>
        </w:rPr>
        <w:t>Syntax:</w:t>
      </w:r>
    </w:p>
    <w:p>
      <w:pPr>
        <w:pStyle w:val="Heading6"/>
        <w:spacing w:line="240" w:lineRule="auto" w:before="112"/>
        <w:ind w:left="2951"/>
      </w:pPr>
      <w:r>
        <w:rPr>
          <w:color w:val="231F20"/>
        </w:rPr>
        <w:t>RETURN [return-</w:t>
      </w:r>
      <w:r>
        <w:rPr>
          <w:color w:val="231F20"/>
          <w:spacing w:val="-2"/>
        </w:rPr>
        <w:t>value];</w:t>
      </w:r>
    </w:p>
    <w:p>
      <w:pPr>
        <w:spacing w:before="142"/>
        <w:ind w:left="2282" w:right="0" w:firstLine="0"/>
        <w:jc w:val="left"/>
        <w:rPr>
          <w:rFonts w:ascii="Arial"/>
          <w:i/>
          <w:sz w:val="18"/>
        </w:rPr>
      </w:pPr>
      <w:r>
        <w:rPr>
          <w:rFonts w:ascii="Arial"/>
          <w:i/>
          <w:color w:val="231F20"/>
          <w:sz w:val="18"/>
        </w:rPr>
        <w:t>Table</w:t>
      </w:r>
      <w:r>
        <w:rPr>
          <w:rFonts w:ascii="Arial"/>
          <w:i/>
          <w:color w:val="231F20"/>
          <w:spacing w:val="-10"/>
          <w:sz w:val="18"/>
        </w:rPr>
        <w:t> </w:t>
      </w:r>
      <w:r>
        <w:rPr>
          <w:rFonts w:ascii="Arial"/>
          <w:i/>
          <w:color w:val="231F20"/>
          <w:sz w:val="18"/>
        </w:rPr>
        <w:t>6.</w:t>
      </w:r>
      <w:r>
        <w:rPr>
          <w:rFonts w:ascii="Arial"/>
          <w:i/>
          <w:color w:val="231F20"/>
          <w:spacing w:val="-1"/>
          <w:sz w:val="18"/>
        </w:rPr>
        <w:t> </w:t>
      </w:r>
      <w:r>
        <w:rPr>
          <w:rFonts w:ascii="Arial"/>
          <w:i/>
          <w:color w:val="231F20"/>
          <w:sz w:val="18"/>
        </w:rPr>
        <w:t>Return</w:t>
      </w:r>
      <w:r>
        <w:rPr>
          <w:rFonts w:ascii="Arial"/>
          <w:i/>
          <w:color w:val="231F20"/>
          <w:spacing w:val="-1"/>
          <w:sz w:val="18"/>
        </w:rPr>
        <w:t> </w:t>
      </w:r>
      <w:r>
        <w:rPr>
          <w:rFonts w:ascii="Arial"/>
          <w:i/>
          <w:color w:val="231F20"/>
          <w:spacing w:val="-2"/>
          <w:sz w:val="18"/>
        </w:rPr>
        <w:t>Statement</w:t>
      </w:r>
    </w:p>
    <w:p>
      <w:pPr>
        <w:pStyle w:val="BodyText"/>
        <w:spacing w:before="11"/>
        <w:rPr>
          <w:rFonts w:ascii="Arial"/>
          <w:i/>
          <w:sz w:val="7"/>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789"/>
        <w:gridCol w:w="5744"/>
      </w:tblGrid>
      <w:tr>
        <w:trPr>
          <w:trHeight w:val="274" w:hRule="atLeast"/>
        </w:trPr>
        <w:tc>
          <w:tcPr>
            <w:tcW w:w="1789" w:type="dxa"/>
          </w:tcPr>
          <w:p>
            <w:pPr>
              <w:pStyle w:val="TableParagraph"/>
              <w:spacing w:before="10"/>
              <w:ind w:left="0" w:right="2"/>
              <w:jc w:val="center"/>
              <w:rPr>
                <w:rFonts w:ascii="Book Antiqua"/>
                <w:b/>
                <w:sz w:val="18"/>
              </w:rPr>
            </w:pPr>
            <w:r>
              <w:rPr>
                <w:rFonts w:ascii="Book Antiqua"/>
                <w:b/>
                <w:color w:val="231F20"/>
                <w:spacing w:val="-4"/>
                <w:sz w:val="18"/>
              </w:rPr>
              <w:t>Part</w:t>
            </w:r>
          </w:p>
        </w:tc>
        <w:tc>
          <w:tcPr>
            <w:tcW w:w="5744" w:type="dxa"/>
          </w:tcPr>
          <w:p>
            <w:pPr>
              <w:pStyle w:val="TableParagraph"/>
              <w:spacing w:before="10"/>
              <w:ind w:left="26"/>
              <w:jc w:val="center"/>
              <w:rPr>
                <w:rFonts w:ascii="Book Antiqua"/>
                <w:b/>
                <w:sz w:val="18"/>
              </w:rPr>
            </w:pPr>
            <w:r>
              <w:rPr>
                <w:rFonts w:ascii="Book Antiqua"/>
                <w:b/>
                <w:color w:val="231F20"/>
                <w:spacing w:val="-2"/>
                <w:sz w:val="18"/>
              </w:rPr>
              <w:t>Description</w:t>
            </w:r>
          </w:p>
        </w:tc>
      </w:tr>
      <w:tr>
        <w:trPr>
          <w:trHeight w:val="309" w:hRule="atLeast"/>
        </w:trPr>
        <w:tc>
          <w:tcPr>
            <w:tcW w:w="1789" w:type="dxa"/>
          </w:tcPr>
          <w:p>
            <w:pPr>
              <w:pStyle w:val="TableParagraph"/>
              <w:ind w:left="44"/>
              <w:rPr>
                <w:sz w:val="18"/>
              </w:rPr>
            </w:pPr>
            <w:r>
              <w:rPr>
                <w:color w:val="231F20"/>
                <w:spacing w:val="-2"/>
                <w:sz w:val="18"/>
              </w:rPr>
              <w:t>RETURN</w:t>
            </w:r>
          </w:p>
        </w:tc>
        <w:tc>
          <w:tcPr>
            <w:tcW w:w="5744" w:type="dxa"/>
          </w:tcPr>
          <w:p>
            <w:pPr>
              <w:pStyle w:val="TableParagraph"/>
              <w:ind w:left="60"/>
              <w:rPr>
                <w:sz w:val="18"/>
              </w:rPr>
            </w:pPr>
            <w:r>
              <w:rPr>
                <w:color w:val="231F20"/>
                <w:sz w:val="18"/>
              </w:rPr>
              <w:t>The</w:t>
            </w:r>
            <w:r>
              <w:rPr>
                <w:color w:val="231F20"/>
                <w:spacing w:val="9"/>
                <w:sz w:val="18"/>
              </w:rPr>
              <w:t> </w:t>
            </w:r>
            <w:r>
              <w:rPr>
                <w:color w:val="231F20"/>
                <w:sz w:val="18"/>
              </w:rPr>
              <w:t>keyword</w:t>
            </w:r>
            <w:r>
              <w:rPr>
                <w:color w:val="231F20"/>
                <w:spacing w:val="9"/>
                <w:sz w:val="18"/>
              </w:rPr>
              <w:t> </w:t>
            </w:r>
            <w:r>
              <w:rPr>
                <w:color w:val="231F20"/>
                <w:sz w:val="18"/>
              </w:rPr>
              <w:t>to</w:t>
            </w:r>
            <w:r>
              <w:rPr>
                <w:color w:val="231F20"/>
                <w:spacing w:val="9"/>
                <w:sz w:val="18"/>
              </w:rPr>
              <w:t> </w:t>
            </w:r>
            <w:r>
              <w:rPr>
                <w:color w:val="231F20"/>
                <w:sz w:val="18"/>
              </w:rPr>
              <w:t>pass</w:t>
            </w:r>
            <w:r>
              <w:rPr>
                <w:color w:val="231F20"/>
                <w:spacing w:val="9"/>
                <w:sz w:val="18"/>
              </w:rPr>
              <w:t> </w:t>
            </w:r>
            <w:r>
              <w:rPr>
                <w:color w:val="231F20"/>
                <w:sz w:val="18"/>
              </w:rPr>
              <w:t>control</w:t>
            </w:r>
            <w:r>
              <w:rPr>
                <w:color w:val="231F20"/>
                <w:spacing w:val="10"/>
                <w:sz w:val="18"/>
              </w:rPr>
              <w:t> </w:t>
            </w:r>
            <w:r>
              <w:rPr>
                <w:color w:val="231F20"/>
                <w:sz w:val="18"/>
              </w:rPr>
              <w:t>to</w:t>
            </w:r>
            <w:r>
              <w:rPr>
                <w:color w:val="231F20"/>
                <w:spacing w:val="9"/>
                <w:sz w:val="18"/>
              </w:rPr>
              <w:t> </w:t>
            </w:r>
            <w:r>
              <w:rPr>
                <w:color w:val="231F20"/>
                <w:sz w:val="18"/>
              </w:rPr>
              <w:t>the</w:t>
            </w:r>
            <w:r>
              <w:rPr>
                <w:color w:val="231F20"/>
                <w:spacing w:val="9"/>
                <w:sz w:val="18"/>
              </w:rPr>
              <w:t> </w:t>
            </w:r>
            <w:r>
              <w:rPr>
                <w:color w:val="231F20"/>
                <w:sz w:val="18"/>
              </w:rPr>
              <w:t>calling</w:t>
            </w:r>
            <w:r>
              <w:rPr>
                <w:color w:val="231F20"/>
                <w:spacing w:val="9"/>
                <w:sz w:val="18"/>
              </w:rPr>
              <w:t> </w:t>
            </w:r>
            <w:r>
              <w:rPr>
                <w:color w:val="231F20"/>
                <w:spacing w:val="-2"/>
                <w:sz w:val="18"/>
              </w:rPr>
              <w:t>statements.</w:t>
            </w:r>
          </w:p>
        </w:tc>
      </w:tr>
      <w:tr>
        <w:trPr>
          <w:trHeight w:val="533" w:hRule="atLeast"/>
        </w:trPr>
        <w:tc>
          <w:tcPr>
            <w:tcW w:w="1789" w:type="dxa"/>
          </w:tcPr>
          <w:p>
            <w:pPr>
              <w:pStyle w:val="TableParagraph"/>
              <w:ind w:left="44"/>
              <w:rPr>
                <w:sz w:val="18"/>
              </w:rPr>
            </w:pPr>
            <w:r>
              <w:rPr>
                <w:color w:val="231F20"/>
                <w:spacing w:val="-2"/>
                <w:sz w:val="18"/>
              </w:rPr>
              <w:t>return-value</w:t>
            </w:r>
          </w:p>
        </w:tc>
        <w:tc>
          <w:tcPr>
            <w:tcW w:w="5744" w:type="dxa"/>
          </w:tcPr>
          <w:p>
            <w:pPr>
              <w:pStyle w:val="TableParagraph"/>
              <w:spacing w:line="216" w:lineRule="auto" w:before="44"/>
              <w:ind w:left="60" w:hanging="1"/>
              <w:rPr>
                <w:sz w:val="18"/>
              </w:rPr>
            </w:pPr>
            <w:r>
              <w:rPr>
                <w:color w:val="231F20"/>
                <w:sz w:val="18"/>
              </w:rPr>
              <w:t>An optional value to be returned to the caller. This can be a constant value, literal, or expression.</w:t>
            </w:r>
          </w:p>
        </w:tc>
      </w:tr>
    </w:tbl>
    <w:p>
      <w:pPr>
        <w:pStyle w:val="BodyText"/>
        <w:spacing w:before="130"/>
        <w:ind w:left="3669"/>
      </w:pPr>
      <w:r>
        <w:rPr>
          <w:color w:val="231F20"/>
          <w:spacing w:val="-2"/>
        </w:rPr>
        <w:t>Example:</w:t>
      </w:r>
    </w:p>
    <w:p>
      <w:pPr>
        <w:spacing w:line="203" w:lineRule="exact" w:before="51"/>
        <w:ind w:left="3669" w:right="0" w:firstLine="0"/>
        <w:jc w:val="left"/>
        <w:rPr>
          <w:rFonts w:ascii="Arial"/>
          <w:sz w:val="18"/>
        </w:rPr>
      </w:pPr>
      <w:r>
        <w:rPr>
          <w:rFonts w:ascii="Arial"/>
          <w:color w:val="231F20"/>
          <w:spacing w:val="-2"/>
          <w:w w:val="180"/>
          <w:sz w:val="18"/>
        </w:rPr>
        <w:t>.....</w:t>
      </w:r>
    </w:p>
    <w:p>
      <w:pPr>
        <w:spacing w:line="203" w:lineRule="exact" w:before="0"/>
        <w:ind w:left="3669" w:right="0" w:firstLine="0"/>
        <w:jc w:val="left"/>
        <w:rPr>
          <w:rFonts w:ascii="Arial"/>
          <w:sz w:val="18"/>
        </w:rPr>
      </w:pPr>
      <w:r>
        <w:rPr>
          <w:rFonts w:ascii="Arial"/>
          <w:color w:val="231F20"/>
          <w:w w:val="115"/>
          <w:sz w:val="18"/>
        </w:rPr>
        <w:t>return</w:t>
      </w:r>
      <w:r>
        <w:rPr>
          <w:rFonts w:ascii="Arial"/>
          <w:color w:val="231F20"/>
          <w:spacing w:val="26"/>
          <w:w w:val="115"/>
          <w:sz w:val="18"/>
        </w:rPr>
        <w:t> </w:t>
      </w:r>
      <w:r>
        <w:rPr>
          <w:rFonts w:ascii="Arial"/>
          <w:color w:val="231F20"/>
          <w:spacing w:val="-5"/>
          <w:w w:val="115"/>
          <w:sz w:val="18"/>
        </w:rPr>
        <w:t>0;</w:t>
      </w:r>
    </w:p>
    <w:p>
      <w:pPr>
        <w:pStyle w:val="Heading6"/>
        <w:spacing w:before="128"/>
        <w:ind w:left="2232"/>
      </w:pPr>
      <w:r>
        <w:rPr>
          <w:color w:val="231F20"/>
        </w:rPr>
        <w:t>While</w:t>
      </w:r>
      <w:r>
        <w:rPr>
          <w:color w:val="231F20"/>
          <w:spacing w:val="10"/>
        </w:rPr>
        <w:t> </w:t>
      </w:r>
      <w:r>
        <w:rPr>
          <w:color w:val="231F20"/>
          <w:spacing w:val="-2"/>
        </w:rPr>
        <w:t>statement</w:t>
      </w:r>
    </w:p>
    <w:p>
      <w:pPr>
        <w:pStyle w:val="BodyText"/>
        <w:spacing w:line="213" w:lineRule="auto" w:before="11"/>
        <w:ind w:left="2951" w:right="763"/>
      </w:pPr>
      <w:r>
        <w:rPr>
          <w:color w:val="231F20"/>
        </w:rPr>
        <w:t>The </w:t>
      </w:r>
      <w:r>
        <w:rPr>
          <w:rFonts w:ascii="Book Antiqua"/>
          <w:b/>
          <w:color w:val="231F20"/>
        </w:rPr>
        <w:t>While </w:t>
      </w:r>
      <w:r>
        <w:rPr>
          <w:color w:val="231F20"/>
        </w:rPr>
        <w:t>statement executes a series of statements in a loop for as </w:t>
      </w:r>
      <w:r>
        <w:rPr>
          <w:color w:val="231F20"/>
        </w:rPr>
        <w:t>long</w:t>
      </w:r>
      <w:r>
        <w:rPr>
          <w:color w:val="231F20"/>
          <w:spacing w:val="40"/>
        </w:rPr>
        <w:t> </w:t>
      </w:r>
      <w:r>
        <w:rPr>
          <w:color w:val="231F20"/>
        </w:rPr>
        <w:t>as a condition is true.</w:t>
      </w:r>
    </w:p>
    <w:p>
      <w:pPr>
        <w:pStyle w:val="BodyText"/>
        <w:spacing w:before="96"/>
        <w:ind w:left="2951"/>
      </w:pPr>
      <w:r>
        <w:rPr>
          <w:color w:val="231F20"/>
          <w:spacing w:val="-2"/>
        </w:rPr>
        <w:t>Syntax:</w:t>
      </w:r>
    </w:p>
    <w:p>
      <w:pPr>
        <w:pStyle w:val="Heading6"/>
        <w:spacing w:line="240" w:lineRule="auto" w:before="111"/>
        <w:ind w:left="2951"/>
      </w:pPr>
      <w:r>
        <w:rPr>
          <w:color w:val="231F20"/>
        </w:rPr>
        <w:t>WHILE</w:t>
      </w:r>
      <w:r>
        <w:rPr>
          <w:color w:val="231F20"/>
          <w:spacing w:val="7"/>
        </w:rPr>
        <w:t> </w:t>
      </w:r>
      <w:r>
        <w:rPr>
          <w:color w:val="231F20"/>
        </w:rPr>
        <w:t>(expression)</w:t>
      </w:r>
      <w:r>
        <w:rPr>
          <w:color w:val="231F20"/>
          <w:spacing w:val="7"/>
        </w:rPr>
        <w:t> </w:t>
      </w:r>
      <w:r>
        <w:rPr>
          <w:color w:val="231F20"/>
          <w:spacing w:val="-2"/>
        </w:rPr>
        <w:t>statements;</w:t>
      </w:r>
    </w:p>
    <w:p>
      <w:pPr>
        <w:spacing w:after="0" w:line="240" w:lineRule="auto"/>
        <w:sectPr>
          <w:pgSz w:w="12240" w:h="15840"/>
          <w:pgMar w:header="0" w:footer="736" w:top="1180" w:bottom="920" w:left="1000" w:right="1060"/>
        </w:sectPr>
      </w:pPr>
    </w:p>
    <w:p>
      <w:pPr>
        <w:spacing w:before="88"/>
        <w:ind w:left="2522" w:right="0" w:firstLine="0"/>
        <w:jc w:val="left"/>
        <w:rPr>
          <w:rFonts w:ascii="Arial"/>
          <w:i/>
          <w:sz w:val="18"/>
        </w:rPr>
      </w:pPr>
      <w:bookmarkStart w:name="_bookmark134" w:id="297"/>
      <w:bookmarkEnd w:id="297"/>
      <w:r>
        <w:rPr/>
      </w:r>
      <w:r>
        <w:rPr>
          <w:rFonts w:ascii="Arial"/>
          <w:i/>
          <w:color w:val="231F20"/>
          <w:sz w:val="18"/>
        </w:rPr>
        <w:t>Table</w:t>
      </w:r>
      <w:r>
        <w:rPr>
          <w:rFonts w:ascii="Arial"/>
          <w:i/>
          <w:color w:val="231F20"/>
          <w:spacing w:val="-10"/>
          <w:sz w:val="18"/>
        </w:rPr>
        <w:t> </w:t>
      </w:r>
      <w:r>
        <w:rPr>
          <w:rFonts w:ascii="Arial"/>
          <w:i/>
          <w:color w:val="231F20"/>
          <w:sz w:val="18"/>
        </w:rPr>
        <w:t>7. While</w:t>
      </w:r>
      <w:r>
        <w:rPr>
          <w:rFonts w:ascii="Arial"/>
          <w:i/>
          <w:color w:val="231F20"/>
          <w:spacing w:val="-1"/>
          <w:sz w:val="18"/>
        </w:rPr>
        <w:t> </w:t>
      </w:r>
      <w:r>
        <w:rPr>
          <w:rFonts w:ascii="Arial"/>
          <w:i/>
          <w:color w:val="231F20"/>
          <w:spacing w:val="-2"/>
          <w:sz w:val="18"/>
        </w:rPr>
        <w:t>Statement</w:t>
      </w:r>
    </w:p>
    <w:p>
      <w:pPr>
        <w:pStyle w:val="BodyText"/>
        <w:spacing w:before="11"/>
        <w:rPr>
          <w:rFonts w:ascii="Arial"/>
          <w:i/>
          <w:sz w:val="7"/>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63"/>
        <w:gridCol w:w="5671"/>
      </w:tblGrid>
      <w:tr>
        <w:trPr>
          <w:trHeight w:val="274" w:hRule="atLeast"/>
        </w:trPr>
        <w:tc>
          <w:tcPr>
            <w:tcW w:w="1863" w:type="dxa"/>
          </w:tcPr>
          <w:p>
            <w:pPr>
              <w:pStyle w:val="TableParagraph"/>
              <w:spacing w:before="10"/>
              <w:ind w:left="0" w:right="3"/>
              <w:jc w:val="center"/>
              <w:rPr>
                <w:rFonts w:ascii="Book Antiqua"/>
                <w:b/>
                <w:sz w:val="18"/>
              </w:rPr>
            </w:pPr>
            <w:r>
              <w:rPr>
                <w:rFonts w:ascii="Book Antiqua"/>
                <w:b/>
                <w:color w:val="231F20"/>
                <w:spacing w:val="-4"/>
                <w:sz w:val="18"/>
              </w:rPr>
              <w:t>Part</w:t>
            </w:r>
          </w:p>
        </w:tc>
        <w:tc>
          <w:tcPr>
            <w:tcW w:w="5671" w:type="dxa"/>
          </w:tcPr>
          <w:p>
            <w:pPr>
              <w:pStyle w:val="TableParagraph"/>
              <w:spacing w:before="10"/>
              <w:ind w:left="24"/>
              <w:jc w:val="center"/>
              <w:rPr>
                <w:rFonts w:ascii="Book Antiqua"/>
                <w:b/>
                <w:sz w:val="18"/>
              </w:rPr>
            </w:pPr>
            <w:r>
              <w:rPr>
                <w:rFonts w:ascii="Book Antiqua"/>
                <w:b/>
                <w:color w:val="231F20"/>
                <w:spacing w:val="-2"/>
                <w:sz w:val="18"/>
              </w:rPr>
              <w:t>Description</w:t>
            </w:r>
          </w:p>
        </w:tc>
      </w:tr>
      <w:tr>
        <w:trPr>
          <w:trHeight w:val="309" w:hRule="atLeast"/>
        </w:trPr>
        <w:tc>
          <w:tcPr>
            <w:tcW w:w="1863" w:type="dxa"/>
          </w:tcPr>
          <w:p>
            <w:pPr>
              <w:pStyle w:val="TableParagraph"/>
              <w:ind w:left="44"/>
              <w:rPr>
                <w:sz w:val="18"/>
              </w:rPr>
            </w:pPr>
            <w:r>
              <w:rPr>
                <w:color w:val="231F20"/>
                <w:spacing w:val="-2"/>
                <w:sz w:val="18"/>
              </w:rPr>
              <w:t>While</w:t>
            </w:r>
          </w:p>
        </w:tc>
        <w:tc>
          <w:tcPr>
            <w:tcW w:w="5671" w:type="dxa"/>
          </w:tcPr>
          <w:p>
            <w:pPr>
              <w:pStyle w:val="TableParagraph"/>
              <w:rPr>
                <w:sz w:val="18"/>
              </w:rPr>
            </w:pPr>
            <w:r>
              <w:rPr>
                <w:color w:val="231F20"/>
                <w:sz w:val="18"/>
              </w:rPr>
              <w:t>The</w:t>
            </w:r>
            <w:r>
              <w:rPr>
                <w:color w:val="231F20"/>
                <w:spacing w:val="8"/>
                <w:sz w:val="18"/>
              </w:rPr>
              <w:t> </w:t>
            </w:r>
            <w:r>
              <w:rPr>
                <w:color w:val="231F20"/>
                <w:sz w:val="18"/>
              </w:rPr>
              <w:t>keyword</w:t>
            </w:r>
            <w:r>
              <w:rPr>
                <w:color w:val="231F20"/>
                <w:spacing w:val="9"/>
                <w:sz w:val="18"/>
              </w:rPr>
              <w:t> </w:t>
            </w:r>
            <w:r>
              <w:rPr>
                <w:color w:val="231F20"/>
                <w:sz w:val="18"/>
              </w:rPr>
              <w:t>to</w:t>
            </w:r>
            <w:r>
              <w:rPr>
                <w:color w:val="231F20"/>
                <w:spacing w:val="8"/>
                <w:sz w:val="18"/>
              </w:rPr>
              <w:t> </w:t>
            </w:r>
            <w:r>
              <w:rPr>
                <w:color w:val="231F20"/>
                <w:sz w:val="18"/>
              </w:rPr>
              <w:t>begin</w:t>
            </w:r>
            <w:r>
              <w:rPr>
                <w:color w:val="231F20"/>
                <w:spacing w:val="9"/>
                <w:sz w:val="18"/>
              </w:rPr>
              <w:t> </w:t>
            </w:r>
            <w:r>
              <w:rPr>
                <w:color w:val="231F20"/>
                <w:sz w:val="18"/>
              </w:rPr>
              <w:t>the</w:t>
            </w:r>
            <w:r>
              <w:rPr>
                <w:color w:val="231F20"/>
                <w:spacing w:val="9"/>
                <w:sz w:val="18"/>
              </w:rPr>
              <w:t> </w:t>
            </w:r>
            <w:r>
              <w:rPr>
                <w:color w:val="231F20"/>
                <w:sz w:val="18"/>
              </w:rPr>
              <w:t>control</w:t>
            </w:r>
            <w:r>
              <w:rPr>
                <w:color w:val="231F20"/>
                <w:spacing w:val="8"/>
                <w:sz w:val="18"/>
              </w:rPr>
              <w:t> </w:t>
            </w:r>
            <w:r>
              <w:rPr>
                <w:color w:val="231F20"/>
                <w:spacing w:val="-2"/>
                <w:sz w:val="18"/>
              </w:rPr>
              <w:t>structure.</w:t>
            </w:r>
          </w:p>
        </w:tc>
      </w:tr>
      <w:tr>
        <w:trPr>
          <w:trHeight w:val="528" w:hRule="atLeast"/>
        </w:trPr>
        <w:tc>
          <w:tcPr>
            <w:tcW w:w="1863" w:type="dxa"/>
          </w:tcPr>
          <w:p>
            <w:pPr>
              <w:pStyle w:val="TableParagraph"/>
              <w:ind w:left="44"/>
              <w:rPr>
                <w:sz w:val="18"/>
              </w:rPr>
            </w:pPr>
            <w:r>
              <w:rPr>
                <w:color w:val="231F20"/>
                <w:spacing w:val="-2"/>
                <w:sz w:val="18"/>
              </w:rPr>
              <w:t>Condition</w:t>
            </w:r>
          </w:p>
        </w:tc>
        <w:tc>
          <w:tcPr>
            <w:tcW w:w="5671" w:type="dxa"/>
          </w:tcPr>
          <w:p>
            <w:pPr>
              <w:pStyle w:val="TableParagraph"/>
              <w:spacing w:line="216" w:lineRule="auto" w:before="44"/>
              <w:ind w:right="59" w:hanging="1"/>
              <w:rPr>
                <w:sz w:val="18"/>
              </w:rPr>
            </w:pPr>
            <w:r>
              <w:rPr>
                <w:color w:val="231F20"/>
                <w:sz w:val="18"/>
              </w:rPr>
              <w:t>A numeric or string expression that evaluates true (one) or false </w:t>
            </w:r>
            <w:r>
              <w:rPr>
                <w:color w:val="231F20"/>
                <w:spacing w:val="-2"/>
                <w:sz w:val="18"/>
              </w:rPr>
              <w:t>(zero).</w:t>
            </w:r>
          </w:p>
        </w:tc>
      </w:tr>
      <w:tr>
        <w:trPr>
          <w:trHeight w:val="314" w:hRule="atLeast"/>
        </w:trPr>
        <w:tc>
          <w:tcPr>
            <w:tcW w:w="1863" w:type="dxa"/>
          </w:tcPr>
          <w:p>
            <w:pPr>
              <w:pStyle w:val="TableParagraph"/>
              <w:ind w:left="44"/>
              <w:rPr>
                <w:sz w:val="18"/>
              </w:rPr>
            </w:pPr>
            <w:r>
              <w:rPr>
                <w:color w:val="231F20"/>
                <w:spacing w:val="-2"/>
                <w:sz w:val="18"/>
              </w:rPr>
              <w:t>statements</w:t>
            </w:r>
          </w:p>
        </w:tc>
        <w:tc>
          <w:tcPr>
            <w:tcW w:w="5671" w:type="dxa"/>
          </w:tcPr>
          <w:p>
            <w:pPr>
              <w:pStyle w:val="TableParagraph"/>
              <w:rPr>
                <w:sz w:val="18"/>
              </w:rPr>
            </w:pPr>
            <w:r>
              <w:rPr>
                <w:color w:val="231F20"/>
                <w:sz w:val="18"/>
              </w:rPr>
              <w:t>Statement(s)</w:t>
            </w:r>
            <w:r>
              <w:rPr>
                <w:color w:val="231F20"/>
                <w:spacing w:val="7"/>
                <w:sz w:val="18"/>
              </w:rPr>
              <w:t> </w:t>
            </w:r>
            <w:r>
              <w:rPr>
                <w:color w:val="231F20"/>
                <w:sz w:val="18"/>
              </w:rPr>
              <w:t>performed</w:t>
            </w:r>
            <w:r>
              <w:rPr>
                <w:color w:val="231F20"/>
                <w:spacing w:val="7"/>
                <w:sz w:val="18"/>
              </w:rPr>
              <w:t> </w:t>
            </w:r>
            <w:r>
              <w:rPr>
                <w:color w:val="231F20"/>
                <w:sz w:val="18"/>
              </w:rPr>
              <w:t>while</w:t>
            </w:r>
            <w:r>
              <w:rPr>
                <w:color w:val="231F20"/>
                <w:spacing w:val="8"/>
                <w:sz w:val="18"/>
              </w:rPr>
              <w:t> </w:t>
            </w:r>
            <w:r>
              <w:rPr>
                <w:color w:val="231F20"/>
                <w:sz w:val="18"/>
              </w:rPr>
              <w:t>the</w:t>
            </w:r>
            <w:r>
              <w:rPr>
                <w:color w:val="231F20"/>
                <w:spacing w:val="7"/>
                <w:sz w:val="18"/>
              </w:rPr>
              <w:t> </w:t>
            </w:r>
            <w:r>
              <w:rPr>
                <w:color w:val="231F20"/>
                <w:sz w:val="18"/>
              </w:rPr>
              <w:t>condition</w:t>
            </w:r>
            <w:r>
              <w:rPr>
                <w:color w:val="231F20"/>
                <w:spacing w:val="8"/>
                <w:sz w:val="18"/>
              </w:rPr>
              <w:t> </w:t>
            </w:r>
            <w:r>
              <w:rPr>
                <w:color w:val="231F20"/>
                <w:spacing w:val="-2"/>
                <w:sz w:val="18"/>
              </w:rPr>
              <w:t>true.</w:t>
            </w:r>
          </w:p>
        </w:tc>
      </w:tr>
    </w:tbl>
    <w:p>
      <w:pPr>
        <w:pStyle w:val="BodyText"/>
        <w:spacing w:before="131"/>
        <w:ind w:right="1535"/>
        <w:jc w:val="center"/>
      </w:pPr>
      <w:r>
        <w:rPr>
          <w:color w:val="231F20"/>
          <w:spacing w:val="-2"/>
        </w:rPr>
        <w:t>Example:</w:t>
      </w:r>
    </w:p>
    <w:p>
      <w:pPr>
        <w:spacing w:line="203" w:lineRule="exact" w:before="50"/>
        <w:ind w:left="3909" w:right="0" w:firstLine="0"/>
        <w:jc w:val="left"/>
        <w:rPr>
          <w:rFonts w:ascii="Arial"/>
          <w:sz w:val="18"/>
        </w:rPr>
      </w:pPr>
      <w:r>
        <w:rPr>
          <w:rFonts w:ascii="Arial"/>
          <w:color w:val="231F20"/>
          <w:spacing w:val="13"/>
          <w:w w:val="110"/>
          <w:sz w:val="18"/>
        </w:rPr>
        <w:t>cnt</w:t>
      </w:r>
      <w:r>
        <w:rPr>
          <w:rFonts w:ascii="Arial"/>
          <w:color w:val="231F20"/>
          <w:spacing w:val="-14"/>
          <w:w w:val="110"/>
          <w:sz w:val="18"/>
        </w:rPr>
        <w:t> </w:t>
      </w:r>
      <w:r>
        <w:rPr>
          <w:rFonts w:ascii="Arial"/>
          <w:color w:val="231F20"/>
          <w:w w:val="110"/>
          <w:sz w:val="18"/>
        </w:rPr>
        <w:t>=</w:t>
      </w:r>
      <w:r>
        <w:rPr>
          <w:rFonts w:ascii="Arial"/>
          <w:color w:val="231F20"/>
          <w:spacing w:val="19"/>
          <w:w w:val="110"/>
          <w:sz w:val="18"/>
        </w:rPr>
        <w:t> </w:t>
      </w:r>
      <w:r>
        <w:rPr>
          <w:rFonts w:ascii="Arial"/>
          <w:color w:val="231F20"/>
          <w:spacing w:val="-5"/>
          <w:w w:val="110"/>
          <w:sz w:val="18"/>
        </w:rPr>
        <w:t>1;</w:t>
      </w:r>
    </w:p>
    <w:p>
      <w:pPr>
        <w:spacing w:line="200" w:lineRule="exact" w:before="0"/>
        <w:ind w:left="0" w:right="1012" w:firstLine="0"/>
        <w:jc w:val="center"/>
        <w:rPr>
          <w:rFonts w:ascii="Arial"/>
          <w:sz w:val="18"/>
        </w:rPr>
      </w:pPr>
      <w:r>
        <w:rPr>
          <w:rFonts w:ascii="Arial"/>
          <w:color w:val="231F20"/>
          <w:sz w:val="18"/>
        </w:rPr>
        <w:t>WHILE</w:t>
      </w:r>
      <w:r>
        <w:rPr>
          <w:rFonts w:ascii="Arial"/>
          <w:color w:val="231F20"/>
          <w:spacing w:val="10"/>
          <w:sz w:val="18"/>
        </w:rPr>
        <w:t> </w:t>
      </w:r>
      <w:r>
        <w:rPr>
          <w:rFonts w:ascii="Arial"/>
          <w:color w:val="231F20"/>
          <w:sz w:val="18"/>
        </w:rPr>
        <w:t>(cnt</w:t>
      </w:r>
      <w:r>
        <w:rPr>
          <w:rFonts w:ascii="Arial"/>
          <w:color w:val="231F20"/>
          <w:spacing w:val="11"/>
          <w:sz w:val="18"/>
        </w:rPr>
        <w:t> </w:t>
      </w:r>
      <w:r>
        <w:rPr>
          <w:rFonts w:ascii="Arial"/>
          <w:color w:val="231F20"/>
          <w:sz w:val="18"/>
        </w:rPr>
        <w:t>&lt;</w:t>
      </w:r>
      <w:r>
        <w:rPr>
          <w:rFonts w:ascii="Arial"/>
          <w:color w:val="231F20"/>
          <w:spacing w:val="11"/>
          <w:sz w:val="18"/>
        </w:rPr>
        <w:t> </w:t>
      </w:r>
      <w:r>
        <w:rPr>
          <w:rFonts w:ascii="Arial"/>
          <w:color w:val="231F20"/>
          <w:spacing w:val="-5"/>
          <w:sz w:val="18"/>
        </w:rPr>
        <w:t>3)</w:t>
      </w:r>
    </w:p>
    <w:p>
      <w:pPr>
        <w:spacing w:line="200" w:lineRule="exact" w:before="0"/>
        <w:ind w:left="3909" w:right="0" w:firstLine="0"/>
        <w:jc w:val="left"/>
        <w:rPr>
          <w:rFonts w:ascii="Arial"/>
          <w:sz w:val="18"/>
        </w:rPr>
      </w:pPr>
      <w:r>
        <w:rPr>
          <w:rFonts w:ascii="Arial"/>
          <w:color w:val="231F20"/>
          <w:spacing w:val="-10"/>
          <w:w w:val="150"/>
          <w:sz w:val="18"/>
        </w:rPr>
        <w:t>{</w:t>
      </w:r>
    </w:p>
    <w:p>
      <w:pPr>
        <w:spacing w:line="200" w:lineRule="exact" w:before="0"/>
        <w:ind w:left="3909" w:right="0" w:firstLine="0"/>
        <w:jc w:val="left"/>
        <w:rPr>
          <w:rFonts w:ascii="Arial"/>
          <w:sz w:val="18"/>
        </w:rPr>
      </w:pPr>
      <w:r>
        <w:rPr>
          <w:rFonts w:ascii="Arial"/>
          <w:color w:val="231F20"/>
          <w:sz w:val="18"/>
        </w:rPr>
        <w:t>a</w:t>
      </w:r>
      <w:r>
        <w:rPr>
          <w:rFonts w:ascii="Arial"/>
          <w:color w:val="231F20"/>
          <w:spacing w:val="25"/>
          <w:sz w:val="18"/>
        </w:rPr>
        <w:t> </w:t>
      </w:r>
      <w:r>
        <w:rPr>
          <w:rFonts w:ascii="Arial"/>
          <w:color w:val="231F20"/>
          <w:sz w:val="18"/>
        </w:rPr>
        <w:t>=</w:t>
      </w:r>
      <w:r>
        <w:rPr>
          <w:rFonts w:ascii="Arial"/>
          <w:color w:val="231F20"/>
          <w:spacing w:val="26"/>
          <w:sz w:val="18"/>
        </w:rPr>
        <w:t> </w:t>
      </w:r>
      <w:r>
        <w:rPr>
          <w:rFonts w:ascii="Arial"/>
          <w:color w:val="231F20"/>
          <w:spacing w:val="-4"/>
          <w:sz w:val="18"/>
        </w:rPr>
        <w:t>a+1;</w:t>
      </w:r>
    </w:p>
    <w:p>
      <w:pPr>
        <w:spacing w:line="200" w:lineRule="exact" w:before="0"/>
        <w:ind w:left="3909" w:right="0" w:firstLine="0"/>
        <w:jc w:val="left"/>
        <w:rPr>
          <w:rFonts w:ascii="Arial"/>
          <w:sz w:val="18"/>
        </w:rPr>
      </w:pPr>
      <w:r>
        <w:rPr>
          <w:rFonts w:ascii="Arial"/>
          <w:color w:val="231F20"/>
          <w:spacing w:val="13"/>
          <w:w w:val="110"/>
          <w:sz w:val="18"/>
        </w:rPr>
        <w:t>cnt</w:t>
      </w:r>
      <w:r>
        <w:rPr>
          <w:rFonts w:ascii="Arial"/>
          <w:color w:val="231F20"/>
          <w:spacing w:val="-14"/>
          <w:w w:val="110"/>
          <w:sz w:val="18"/>
        </w:rPr>
        <w:t> </w:t>
      </w:r>
      <w:r>
        <w:rPr>
          <w:rFonts w:ascii="Arial"/>
          <w:color w:val="231F20"/>
          <w:w w:val="110"/>
          <w:sz w:val="18"/>
        </w:rPr>
        <w:t>=</w:t>
      </w:r>
      <w:r>
        <w:rPr>
          <w:rFonts w:ascii="Arial"/>
          <w:color w:val="231F20"/>
          <w:spacing w:val="19"/>
          <w:w w:val="110"/>
          <w:sz w:val="18"/>
        </w:rPr>
        <w:t> </w:t>
      </w:r>
      <w:r>
        <w:rPr>
          <w:rFonts w:ascii="Arial"/>
          <w:color w:val="231F20"/>
          <w:spacing w:val="13"/>
          <w:w w:val="110"/>
          <w:sz w:val="18"/>
        </w:rPr>
        <w:t>cnt</w:t>
      </w:r>
      <w:r>
        <w:rPr>
          <w:rFonts w:ascii="Arial"/>
          <w:color w:val="231F20"/>
          <w:spacing w:val="-13"/>
          <w:w w:val="110"/>
          <w:sz w:val="18"/>
        </w:rPr>
        <w:t> </w:t>
      </w:r>
      <w:r>
        <w:rPr>
          <w:rFonts w:ascii="Arial"/>
          <w:color w:val="231F20"/>
          <w:w w:val="110"/>
          <w:sz w:val="18"/>
        </w:rPr>
        <w:t>+</w:t>
      </w:r>
      <w:r>
        <w:rPr>
          <w:rFonts w:ascii="Arial"/>
          <w:color w:val="231F20"/>
          <w:spacing w:val="19"/>
          <w:w w:val="110"/>
          <w:sz w:val="18"/>
        </w:rPr>
        <w:t> </w:t>
      </w:r>
      <w:r>
        <w:rPr>
          <w:rFonts w:ascii="Arial"/>
          <w:color w:val="231F20"/>
          <w:spacing w:val="-5"/>
          <w:w w:val="110"/>
          <w:sz w:val="18"/>
        </w:rPr>
        <w:t>1;</w:t>
      </w:r>
    </w:p>
    <w:p>
      <w:pPr>
        <w:spacing w:line="200" w:lineRule="exact" w:before="0"/>
        <w:ind w:left="3909" w:right="0" w:firstLine="0"/>
        <w:jc w:val="left"/>
        <w:rPr>
          <w:rFonts w:ascii="Arial"/>
          <w:sz w:val="18"/>
        </w:rPr>
      </w:pPr>
      <w:r>
        <w:rPr>
          <w:rFonts w:ascii="Arial"/>
          <w:color w:val="231F20"/>
          <w:spacing w:val="-10"/>
          <w:w w:val="150"/>
          <w:sz w:val="18"/>
        </w:rPr>
        <w:t>}</w:t>
      </w:r>
    </w:p>
    <w:p>
      <w:pPr>
        <w:spacing w:line="203" w:lineRule="exact" w:before="0"/>
        <w:ind w:left="3909" w:right="0" w:firstLine="0"/>
        <w:jc w:val="left"/>
        <w:rPr>
          <w:rFonts w:ascii="Arial"/>
          <w:sz w:val="18"/>
        </w:rPr>
      </w:pPr>
      <w:r>
        <w:rPr>
          <w:rFonts w:ascii="Arial"/>
          <w:color w:val="231F20"/>
          <w:w w:val="150"/>
          <w:sz w:val="18"/>
        </w:rPr>
        <w:t>//</w:t>
      </w:r>
      <w:r>
        <w:rPr>
          <w:rFonts w:ascii="Arial"/>
          <w:color w:val="231F20"/>
          <w:spacing w:val="9"/>
          <w:w w:val="150"/>
          <w:sz w:val="18"/>
        </w:rPr>
        <w:t> </w:t>
      </w:r>
      <w:r>
        <w:rPr>
          <w:rFonts w:ascii="Arial"/>
          <w:color w:val="231F20"/>
          <w:w w:val="125"/>
          <w:sz w:val="18"/>
        </w:rPr>
        <w:t>this</w:t>
      </w:r>
      <w:r>
        <w:rPr>
          <w:rFonts w:ascii="Arial"/>
          <w:color w:val="231F20"/>
          <w:spacing w:val="22"/>
          <w:w w:val="125"/>
          <w:sz w:val="18"/>
        </w:rPr>
        <w:t> </w:t>
      </w:r>
      <w:r>
        <w:rPr>
          <w:rFonts w:ascii="Arial"/>
          <w:color w:val="231F20"/>
          <w:w w:val="125"/>
          <w:sz w:val="18"/>
        </w:rPr>
        <w:t>will</w:t>
      </w:r>
      <w:r>
        <w:rPr>
          <w:rFonts w:ascii="Arial"/>
          <w:color w:val="231F20"/>
          <w:spacing w:val="22"/>
          <w:w w:val="125"/>
          <w:sz w:val="18"/>
        </w:rPr>
        <w:t> </w:t>
      </w:r>
      <w:r>
        <w:rPr>
          <w:rFonts w:ascii="Arial"/>
          <w:color w:val="231F20"/>
          <w:w w:val="110"/>
          <w:sz w:val="18"/>
        </w:rPr>
        <w:t>execute</w:t>
      </w:r>
      <w:r>
        <w:rPr>
          <w:rFonts w:ascii="Arial"/>
          <w:color w:val="231F20"/>
          <w:spacing w:val="29"/>
          <w:w w:val="110"/>
          <w:sz w:val="18"/>
        </w:rPr>
        <w:t> </w:t>
      </w:r>
      <w:r>
        <w:rPr>
          <w:rFonts w:ascii="Arial"/>
          <w:color w:val="231F20"/>
          <w:w w:val="110"/>
          <w:sz w:val="18"/>
        </w:rPr>
        <w:t>the</w:t>
      </w:r>
      <w:r>
        <w:rPr>
          <w:rFonts w:ascii="Arial"/>
          <w:color w:val="231F20"/>
          <w:spacing w:val="29"/>
          <w:w w:val="110"/>
          <w:sz w:val="18"/>
        </w:rPr>
        <w:t> </w:t>
      </w:r>
      <w:r>
        <w:rPr>
          <w:rFonts w:ascii="Arial"/>
          <w:color w:val="231F20"/>
          <w:w w:val="110"/>
          <w:sz w:val="18"/>
        </w:rPr>
        <w:t>loop</w:t>
      </w:r>
      <w:r>
        <w:rPr>
          <w:rFonts w:ascii="Arial"/>
          <w:color w:val="231F20"/>
          <w:spacing w:val="30"/>
          <w:w w:val="110"/>
          <w:sz w:val="18"/>
        </w:rPr>
        <w:t> </w:t>
      </w:r>
      <w:r>
        <w:rPr>
          <w:rFonts w:ascii="Arial"/>
          <w:color w:val="231F20"/>
          <w:w w:val="110"/>
          <w:sz w:val="18"/>
        </w:rPr>
        <w:t>3</w:t>
      </w:r>
      <w:r>
        <w:rPr>
          <w:rFonts w:ascii="Arial"/>
          <w:color w:val="231F20"/>
          <w:spacing w:val="29"/>
          <w:w w:val="110"/>
          <w:sz w:val="18"/>
        </w:rPr>
        <w:t> </w:t>
      </w:r>
      <w:r>
        <w:rPr>
          <w:rFonts w:ascii="Arial"/>
          <w:color w:val="231F20"/>
          <w:spacing w:val="-2"/>
          <w:w w:val="110"/>
          <w:sz w:val="18"/>
        </w:rPr>
        <w:t>times</w:t>
      </w:r>
    </w:p>
    <w:p>
      <w:pPr>
        <w:pStyle w:val="Heading6"/>
        <w:spacing w:before="128"/>
      </w:pPr>
      <w:r>
        <w:rPr>
          <w:color w:val="231F20"/>
        </w:rPr>
        <w:t>Break</w:t>
      </w:r>
      <w:r>
        <w:rPr>
          <w:color w:val="231F20"/>
          <w:spacing w:val="10"/>
        </w:rPr>
        <w:t> </w:t>
      </w:r>
      <w:r>
        <w:rPr>
          <w:color w:val="231F20"/>
          <w:spacing w:val="-2"/>
        </w:rPr>
        <w:t>statement</w:t>
      </w:r>
    </w:p>
    <w:p>
      <w:pPr>
        <w:pStyle w:val="BodyText"/>
        <w:spacing w:line="213" w:lineRule="auto" w:before="12"/>
        <w:ind w:left="3190"/>
      </w:pPr>
      <w:r>
        <w:rPr>
          <w:color w:val="231F20"/>
        </w:rPr>
        <w:t>The </w:t>
      </w:r>
      <w:r>
        <w:rPr>
          <w:rFonts w:ascii="Book Antiqua"/>
          <w:b/>
          <w:color w:val="231F20"/>
        </w:rPr>
        <w:t>Break </w:t>
      </w:r>
      <w:r>
        <w:rPr>
          <w:color w:val="231F20"/>
        </w:rPr>
        <w:t>statement causes control to exit a While loop regardless of </w:t>
      </w:r>
      <w:r>
        <w:rPr>
          <w:color w:val="231F20"/>
        </w:rPr>
        <w:t>the condition controlling the loop.</w:t>
      </w:r>
    </w:p>
    <w:p>
      <w:pPr>
        <w:pStyle w:val="BodyText"/>
        <w:spacing w:before="95"/>
        <w:ind w:left="3190"/>
      </w:pPr>
      <w:r>
        <w:rPr>
          <w:color w:val="231F20"/>
          <w:spacing w:val="-2"/>
        </w:rPr>
        <w:t>Syntax:</w:t>
      </w:r>
    </w:p>
    <w:p>
      <w:pPr>
        <w:pStyle w:val="Heading6"/>
        <w:spacing w:before="111"/>
        <w:ind w:left="3190"/>
      </w:pPr>
      <w:r>
        <w:rPr>
          <w:color w:val="231F20"/>
          <w:spacing w:val="-2"/>
        </w:rPr>
        <w:t>BREAK;</w:t>
      </w:r>
    </w:p>
    <w:p>
      <w:pPr>
        <w:pStyle w:val="BodyText"/>
        <w:spacing w:line="258" w:lineRule="exact"/>
        <w:ind w:right="1535"/>
        <w:jc w:val="center"/>
      </w:pPr>
      <w:r>
        <w:rPr>
          <w:color w:val="231F20"/>
          <w:spacing w:val="-2"/>
        </w:rPr>
        <w:t>Example:</w:t>
      </w:r>
    </w:p>
    <w:p>
      <w:pPr>
        <w:spacing w:line="203" w:lineRule="exact" w:before="56"/>
        <w:ind w:left="3909" w:right="0" w:firstLine="0"/>
        <w:jc w:val="left"/>
        <w:rPr>
          <w:rFonts w:ascii="Arial"/>
          <w:sz w:val="18"/>
        </w:rPr>
      </w:pPr>
      <w:r>
        <w:rPr>
          <w:rFonts w:ascii="Arial"/>
          <w:color w:val="231F20"/>
          <w:w w:val="110"/>
          <w:sz w:val="18"/>
        </w:rPr>
        <w:t>cnt=</w:t>
      </w:r>
      <w:r>
        <w:rPr>
          <w:rFonts w:ascii="Arial"/>
          <w:color w:val="231F20"/>
          <w:spacing w:val="13"/>
          <w:w w:val="110"/>
          <w:sz w:val="18"/>
        </w:rPr>
        <w:t> </w:t>
      </w:r>
      <w:r>
        <w:rPr>
          <w:rFonts w:ascii="Arial"/>
          <w:color w:val="231F20"/>
          <w:spacing w:val="-5"/>
          <w:w w:val="110"/>
          <w:sz w:val="18"/>
        </w:rPr>
        <w:t>1;</w:t>
      </w:r>
    </w:p>
    <w:p>
      <w:pPr>
        <w:spacing w:line="200" w:lineRule="exact" w:before="0"/>
        <w:ind w:left="0" w:right="1012" w:firstLine="0"/>
        <w:jc w:val="center"/>
        <w:rPr>
          <w:rFonts w:ascii="Arial"/>
          <w:sz w:val="18"/>
        </w:rPr>
      </w:pPr>
      <w:r>
        <w:rPr>
          <w:rFonts w:ascii="Arial"/>
          <w:color w:val="231F20"/>
          <w:sz w:val="18"/>
        </w:rPr>
        <w:t>WHILE</w:t>
      </w:r>
      <w:r>
        <w:rPr>
          <w:rFonts w:ascii="Arial"/>
          <w:color w:val="231F20"/>
          <w:spacing w:val="10"/>
          <w:sz w:val="18"/>
        </w:rPr>
        <w:t> </w:t>
      </w:r>
      <w:r>
        <w:rPr>
          <w:rFonts w:ascii="Arial"/>
          <w:color w:val="231F20"/>
          <w:sz w:val="18"/>
        </w:rPr>
        <w:t>(cnt</w:t>
      </w:r>
      <w:r>
        <w:rPr>
          <w:rFonts w:ascii="Arial"/>
          <w:color w:val="231F20"/>
          <w:spacing w:val="11"/>
          <w:sz w:val="18"/>
        </w:rPr>
        <w:t> </w:t>
      </w:r>
      <w:r>
        <w:rPr>
          <w:rFonts w:ascii="Arial"/>
          <w:color w:val="231F20"/>
          <w:sz w:val="18"/>
        </w:rPr>
        <w:t>&lt;</w:t>
      </w:r>
      <w:r>
        <w:rPr>
          <w:rFonts w:ascii="Arial"/>
          <w:color w:val="231F20"/>
          <w:spacing w:val="11"/>
          <w:sz w:val="18"/>
        </w:rPr>
        <w:t> </w:t>
      </w:r>
      <w:r>
        <w:rPr>
          <w:rFonts w:ascii="Arial"/>
          <w:color w:val="231F20"/>
          <w:spacing w:val="-5"/>
          <w:sz w:val="18"/>
        </w:rPr>
        <w:t>3)</w:t>
      </w:r>
    </w:p>
    <w:p>
      <w:pPr>
        <w:spacing w:line="200" w:lineRule="exact" w:before="0"/>
        <w:ind w:left="3909" w:right="0" w:firstLine="0"/>
        <w:jc w:val="left"/>
        <w:rPr>
          <w:rFonts w:ascii="Arial"/>
          <w:sz w:val="18"/>
        </w:rPr>
      </w:pPr>
      <w:r>
        <w:rPr>
          <w:rFonts w:ascii="Arial"/>
          <w:color w:val="231F20"/>
          <w:spacing w:val="-10"/>
          <w:w w:val="150"/>
          <w:sz w:val="18"/>
        </w:rPr>
        <w:t>{</w:t>
      </w:r>
    </w:p>
    <w:p>
      <w:pPr>
        <w:spacing w:line="230" w:lineRule="auto" w:before="3"/>
        <w:ind w:left="3909" w:right="3304" w:firstLine="0"/>
        <w:jc w:val="left"/>
        <w:rPr>
          <w:rFonts w:ascii="Arial"/>
          <w:sz w:val="18"/>
        </w:rPr>
      </w:pPr>
      <w:r>
        <w:rPr>
          <w:rFonts w:ascii="Arial"/>
          <w:color w:val="231F20"/>
          <w:w w:val="110"/>
          <w:sz w:val="18"/>
        </w:rPr>
        <w:t>userid</w:t>
      </w:r>
      <w:r>
        <w:rPr>
          <w:rFonts w:ascii="Arial"/>
          <w:color w:val="231F20"/>
          <w:spacing w:val="10"/>
          <w:w w:val="110"/>
          <w:sz w:val="18"/>
        </w:rPr>
        <w:t> </w:t>
      </w:r>
      <w:r>
        <w:rPr>
          <w:rFonts w:ascii="Arial"/>
          <w:color w:val="231F20"/>
          <w:w w:val="105"/>
          <w:sz w:val="18"/>
        </w:rPr>
        <w:t>=</w:t>
      </w:r>
      <w:r>
        <w:rPr>
          <w:rFonts w:ascii="Arial"/>
          <w:color w:val="231F20"/>
          <w:spacing w:val="10"/>
          <w:w w:val="110"/>
          <w:sz w:val="18"/>
        </w:rPr>
        <w:t> </w:t>
      </w:r>
      <w:r>
        <w:rPr>
          <w:rFonts w:ascii="Arial"/>
          <w:color w:val="231F20"/>
          <w:w w:val="110"/>
          <w:sz w:val="18"/>
        </w:rPr>
        <w:t>prompt("Enter</w:t>
      </w:r>
      <w:r>
        <w:rPr>
          <w:rFonts w:ascii="Arial"/>
          <w:color w:val="231F20"/>
          <w:spacing w:val="10"/>
          <w:w w:val="110"/>
          <w:sz w:val="18"/>
        </w:rPr>
        <w:t> </w:t>
      </w:r>
      <w:r>
        <w:rPr>
          <w:rFonts w:ascii="Arial"/>
          <w:color w:val="231F20"/>
          <w:w w:val="110"/>
          <w:sz w:val="18"/>
        </w:rPr>
        <w:t>Userid"); </w:t>
      </w:r>
      <w:r>
        <w:rPr>
          <w:rFonts w:ascii="Arial"/>
          <w:color w:val="231F20"/>
          <w:w w:val="170"/>
          <w:sz w:val="18"/>
        </w:rPr>
        <w:t>if</w:t>
      </w:r>
      <w:r>
        <w:rPr>
          <w:rFonts w:ascii="Arial"/>
          <w:color w:val="231F20"/>
          <w:w w:val="170"/>
          <w:sz w:val="18"/>
        </w:rPr>
        <w:t> </w:t>
      </w:r>
      <w:r>
        <w:rPr>
          <w:rFonts w:ascii="Arial"/>
          <w:color w:val="231F20"/>
          <w:w w:val="115"/>
          <w:sz w:val="18"/>
        </w:rPr>
        <w:t>(logon(userid)</w:t>
      </w:r>
      <w:r>
        <w:rPr>
          <w:rFonts w:ascii="Arial"/>
          <w:color w:val="231F20"/>
          <w:spacing w:val="40"/>
          <w:w w:val="115"/>
          <w:sz w:val="18"/>
        </w:rPr>
        <w:t> </w:t>
      </w:r>
      <w:r>
        <w:rPr>
          <w:rFonts w:ascii="Arial"/>
          <w:color w:val="231F20"/>
          <w:w w:val="105"/>
          <w:sz w:val="18"/>
        </w:rPr>
        <w:t>==</w:t>
      </w:r>
      <w:r>
        <w:rPr>
          <w:rFonts w:ascii="Arial"/>
          <w:color w:val="231F20"/>
          <w:spacing w:val="40"/>
          <w:w w:val="115"/>
          <w:sz w:val="18"/>
        </w:rPr>
        <w:t> </w:t>
      </w:r>
      <w:r>
        <w:rPr>
          <w:rFonts w:ascii="Arial"/>
          <w:color w:val="231F20"/>
          <w:w w:val="115"/>
          <w:sz w:val="18"/>
        </w:rPr>
        <w:t>1)</w:t>
      </w:r>
      <w:r>
        <w:rPr>
          <w:rFonts w:ascii="Arial"/>
          <w:color w:val="231F20"/>
          <w:spacing w:val="40"/>
          <w:w w:val="115"/>
          <w:sz w:val="18"/>
        </w:rPr>
        <w:t> </w:t>
      </w:r>
      <w:r>
        <w:rPr>
          <w:rFonts w:ascii="Arial"/>
          <w:color w:val="231F20"/>
          <w:w w:val="115"/>
          <w:sz w:val="18"/>
        </w:rPr>
        <w:t>break; </w:t>
      </w:r>
      <w:r>
        <w:rPr>
          <w:rFonts w:ascii="Arial"/>
          <w:color w:val="231F20"/>
          <w:spacing w:val="13"/>
          <w:w w:val="115"/>
          <w:sz w:val="18"/>
        </w:rPr>
        <w:t>cnt</w:t>
      </w:r>
      <w:r>
        <w:rPr>
          <w:rFonts w:ascii="Arial"/>
          <w:color w:val="231F20"/>
          <w:spacing w:val="8"/>
          <w:w w:val="115"/>
          <w:sz w:val="18"/>
        </w:rPr>
        <w:t> </w:t>
      </w:r>
      <w:r>
        <w:rPr>
          <w:rFonts w:ascii="Arial"/>
          <w:color w:val="231F20"/>
          <w:w w:val="115"/>
          <w:sz w:val="18"/>
        </w:rPr>
        <w:t>=</w:t>
      </w:r>
      <w:r>
        <w:rPr>
          <w:rFonts w:ascii="Arial"/>
          <w:color w:val="231F20"/>
          <w:spacing w:val="13"/>
          <w:w w:val="115"/>
          <w:sz w:val="18"/>
        </w:rPr>
        <w:t> cnt</w:t>
      </w:r>
      <w:r>
        <w:rPr>
          <w:rFonts w:ascii="Arial"/>
          <w:color w:val="231F20"/>
          <w:spacing w:val="8"/>
          <w:w w:val="115"/>
          <w:sz w:val="18"/>
        </w:rPr>
        <w:t> </w:t>
      </w:r>
      <w:r>
        <w:rPr>
          <w:rFonts w:ascii="Arial"/>
          <w:color w:val="231F20"/>
          <w:w w:val="115"/>
          <w:sz w:val="18"/>
        </w:rPr>
        <w:t>+</w:t>
      </w:r>
      <w:r>
        <w:rPr>
          <w:rFonts w:ascii="Arial"/>
          <w:color w:val="231F20"/>
          <w:spacing w:val="40"/>
          <w:w w:val="115"/>
          <w:sz w:val="18"/>
        </w:rPr>
        <w:t> </w:t>
      </w:r>
      <w:r>
        <w:rPr>
          <w:rFonts w:ascii="Arial"/>
          <w:color w:val="231F20"/>
          <w:w w:val="115"/>
          <w:sz w:val="18"/>
        </w:rPr>
        <w:t>1;</w:t>
      </w:r>
    </w:p>
    <w:p>
      <w:pPr>
        <w:spacing w:line="203" w:lineRule="exact" w:before="0"/>
        <w:ind w:left="3909" w:right="0" w:firstLine="0"/>
        <w:jc w:val="left"/>
        <w:rPr>
          <w:rFonts w:ascii="Arial"/>
          <w:sz w:val="18"/>
        </w:rPr>
      </w:pPr>
      <w:r>
        <w:rPr>
          <w:rFonts w:ascii="Arial"/>
          <w:color w:val="231F20"/>
          <w:spacing w:val="-10"/>
          <w:w w:val="150"/>
          <w:sz w:val="18"/>
        </w:rPr>
        <w:t>}</w:t>
      </w:r>
    </w:p>
    <w:p>
      <w:pPr>
        <w:pStyle w:val="Heading6"/>
        <w:spacing w:before="128"/>
      </w:pPr>
      <w:r>
        <w:rPr>
          <w:color w:val="231F20"/>
        </w:rPr>
        <w:t>Continue</w:t>
      </w:r>
      <w:r>
        <w:rPr>
          <w:color w:val="231F20"/>
          <w:spacing w:val="7"/>
        </w:rPr>
        <w:t> </w:t>
      </w:r>
      <w:r>
        <w:rPr>
          <w:color w:val="231F20"/>
          <w:spacing w:val="-2"/>
        </w:rPr>
        <w:t>statement</w:t>
      </w:r>
    </w:p>
    <w:p>
      <w:pPr>
        <w:pStyle w:val="BodyText"/>
        <w:spacing w:line="213" w:lineRule="auto" w:before="11"/>
        <w:ind w:left="3190" w:right="385"/>
      </w:pPr>
      <w:r>
        <w:rPr>
          <w:color w:val="231F20"/>
        </w:rPr>
        <w:t>The </w:t>
      </w:r>
      <w:r>
        <w:rPr>
          <w:rFonts w:ascii="Book Antiqua"/>
          <w:b/>
          <w:color w:val="231F20"/>
        </w:rPr>
        <w:t>Continue </w:t>
      </w:r>
      <w:r>
        <w:rPr>
          <w:color w:val="231F20"/>
        </w:rPr>
        <w:t>statement causes the execution of the While loop to </w:t>
      </w:r>
      <w:r>
        <w:rPr>
          <w:color w:val="231F20"/>
        </w:rPr>
        <w:t>resume at the top, without executing the rest of the statements in the block.</w:t>
      </w:r>
    </w:p>
    <w:p>
      <w:pPr>
        <w:pStyle w:val="BodyText"/>
        <w:spacing w:before="96"/>
        <w:ind w:left="3190"/>
      </w:pPr>
      <w:r>
        <w:rPr>
          <w:color w:val="231F20"/>
          <w:spacing w:val="-2"/>
        </w:rPr>
        <w:t>Syntax:</w:t>
      </w:r>
    </w:p>
    <w:p>
      <w:pPr>
        <w:pStyle w:val="Heading6"/>
        <w:spacing w:before="111"/>
        <w:ind w:left="3190"/>
      </w:pPr>
      <w:r>
        <w:rPr>
          <w:color w:val="231F20"/>
          <w:spacing w:val="-2"/>
        </w:rPr>
        <w:t>Continue;</w:t>
      </w:r>
    </w:p>
    <w:p>
      <w:pPr>
        <w:pStyle w:val="BodyText"/>
        <w:spacing w:line="258" w:lineRule="exact"/>
        <w:ind w:right="1535"/>
        <w:jc w:val="center"/>
      </w:pPr>
      <w:r>
        <w:rPr>
          <w:color w:val="231F20"/>
          <w:spacing w:val="-2"/>
        </w:rPr>
        <w:t>Example:</w:t>
      </w:r>
    </w:p>
    <w:p>
      <w:pPr>
        <w:spacing w:line="203" w:lineRule="exact" w:before="55"/>
        <w:ind w:left="3909" w:right="0" w:firstLine="0"/>
        <w:jc w:val="left"/>
        <w:rPr>
          <w:rFonts w:ascii="Arial"/>
          <w:sz w:val="18"/>
        </w:rPr>
      </w:pPr>
      <w:r>
        <w:rPr>
          <w:rFonts w:ascii="Arial"/>
          <w:color w:val="231F20"/>
          <w:w w:val="110"/>
          <w:sz w:val="18"/>
        </w:rPr>
        <w:t>cnt=</w:t>
      </w:r>
      <w:r>
        <w:rPr>
          <w:rFonts w:ascii="Arial"/>
          <w:color w:val="231F20"/>
          <w:spacing w:val="13"/>
          <w:w w:val="110"/>
          <w:sz w:val="18"/>
        </w:rPr>
        <w:t> </w:t>
      </w:r>
      <w:r>
        <w:rPr>
          <w:rFonts w:ascii="Arial"/>
          <w:color w:val="231F20"/>
          <w:spacing w:val="-5"/>
          <w:w w:val="110"/>
          <w:sz w:val="18"/>
        </w:rPr>
        <w:t>1;</w:t>
      </w:r>
    </w:p>
    <w:p>
      <w:pPr>
        <w:spacing w:line="200" w:lineRule="exact" w:before="0"/>
        <w:ind w:left="0" w:right="1012" w:firstLine="0"/>
        <w:jc w:val="center"/>
        <w:rPr>
          <w:rFonts w:ascii="Arial"/>
          <w:sz w:val="18"/>
        </w:rPr>
      </w:pPr>
      <w:r>
        <w:rPr>
          <w:rFonts w:ascii="Arial"/>
          <w:color w:val="231F20"/>
          <w:sz w:val="18"/>
        </w:rPr>
        <w:t>WHILE</w:t>
      </w:r>
      <w:r>
        <w:rPr>
          <w:rFonts w:ascii="Arial"/>
          <w:color w:val="231F20"/>
          <w:spacing w:val="10"/>
          <w:sz w:val="18"/>
        </w:rPr>
        <w:t> </w:t>
      </w:r>
      <w:r>
        <w:rPr>
          <w:rFonts w:ascii="Arial"/>
          <w:color w:val="231F20"/>
          <w:sz w:val="18"/>
        </w:rPr>
        <w:t>(cnt</w:t>
      </w:r>
      <w:r>
        <w:rPr>
          <w:rFonts w:ascii="Arial"/>
          <w:color w:val="231F20"/>
          <w:spacing w:val="11"/>
          <w:sz w:val="18"/>
        </w:rPr>
        <w:t> </w:t>
      </w:r>
      <w:r>
        <w:rPr>
          <w:rFonts w:ascii="Arial"/>
          <w:color w:val="231F20"/>
          <w:sz w:val="18"/>
        </w:rPr>
        <w:t>&lt;</w:t>
      </w:r>
      <w:r>
        <w:rPr>
          <w:rFonts w:ascii="Arial"/>
          <w:color w:val="231F20"/>
          <w:spacing w:val="11"/>
          <w:sz w:val="18"/>
        </w:rPr>
        <w:t> </w:t>
      </w:r>
      <w:r>
        <w:rPr>
          <w:rFonts w:ascii="Arial"/>
          <w:color w:val="231F20"/>
          <w:spacing w:val="-5"/>
          <w:sz w:val="18"/>
        </w:rPr>
        <w:t>3)</w:t>
      </w:r>
    </w:p>
    <w:p>
      <w:pPr>
        <w:spacing w:line="200" w:lineRule="exact" w:before="0"/>
        <w:ind w:left="3909" w:right="0" w:firstLine="0"/>
        <w:jc w:val="left"/>
        <w:rPr>
          <w:rFonts w:ascii="Arial"/>
          <w:sz w:val="18"/>
        </w:rPr>
      </w:pPr>
      <w:r>
        <w:rPr>
          <w:rFonts w:ascii="Arial"/>
          <w:color w:val="231F20"/>
          <w:spacing w:val="-10"/>
          <w:w w:val="150"/>
          <w:sz w:val="18"/>
        </w:rPr>
        <w:t>{</w:t>
      </w:r>
    </w:p>
    <w:p>
      <w:pPr>
        <w:spacing w:line="200" w:lineRule="exact" w:before="0"/>
        <w:ind w:left="3909" w:right="0" w:firstLine="0"/>
        <w:jc w:val="left"/>
        <w:rPr>
          <w:rFonts w:ascii="Arial"/>
          <w:sz w:val="18"/>
        </w:rPr>
      </w:pPr>
      <w:r>
        <w:rPr>
          <w:rFonts w:ascii="Arial"/>
          <w:color w:val="231F20"/>
          <w:w w:val="105"/>
          <w:sz w:val="18"/>
        </w:rPr>
        <w:t>userid</w:t>
      </w:r>
      <w:r>
        <w:rPr>
          <w:rFonts w:ascii="Arial"/>
          <w:color w:val="231F20"/>
          <w:spacing w:val="32"/>
          <w:w w:val="105"/>
          <w:sz w:val="18"/>
        </w:rPr>
        <w:t> </w:t>
      </w:r>
      <w:r>
        <w:rPr>
          <w:rFonts w:ascii="Arial"/>
          <w:color w:val="231F20"/>
          <w:w w:val="105"/>
          <w:sz w:val="18"/>
        </w:rPr>
        <w:t>=</w:t>
      </w:r>
      <w:r>
        <w:rPr>
          <w:rFonts w:ascii="Arial"/>
          <w:color w:val="231F20"/>
          <w:spacing w:val="32"/>
          <w:w w:val="105"/>
          <w:sz w:val="18"/>
        </w:rPr>
        <w:t> </w:t>
      </w:r>
      <w:r>
        <w:rPr>
          <w:rFonts w:ascii="Arial"/>
          <w:color w:val="231F20"/>
          <w:w w:val="105"/>
          <w:sz w:val="18"/>
        </w:rPr>
        <w:t>prompt("Enter</w:t>
      </w:r>
      <w:r>
        <w:rPr>
          <w:rFonts w:ascii="Arial"/>
          <w:color w:val="231F20"/>
          <w:spacing w:val="32"/>
          <w:w w:val="105"/>
          <w:sz w:val="18"/>
        </w:rPr>
        <w:t> </w:t>
      </w:r>
      <w:r>
        <w:rPr>
          <w:rFonts w:ascii="Arial"/>
          <w:color w:val="231F20"/>
          <w:spacing w:val="-2"/>
          <w:w w:val="105"/>
          <w:sz w:val="18"/>
        </w:rPr>
        <w:t>Userid");</w:t>
      </w:r>
    </w:p>
    <w:p>
      <w:pPr>
        <w:spacing w:line="200" w:lineRule="exact" w:before="0"/>
        <w:ind w:left="3909" w:right="0" w:firstLine="0"/>
        <w:jc w:val="left"/>
        <w:rPr>
          <w:rFonts w:ascii="Arial"/>
          <w:sz w:val="18"/>
        </w:rPr>
      </w:pPr>
      <w:r>
        <w:rPr>
          <w:rFonts w:ascii="Arial"/>
          <w:color w:val="231F20"/>
          <w:w w:val="115"/>
          <w:sz w:val="18"/>
        </w:rPr>
        <w:t>if</w:t>
      </w:r>
      <w:r>
        <w:rPr>
          <w:rFonts w:ascii="Arial"/>
          <w:color w:val="231F20"/>
          <w:spacing w:val="15"/>
          <w:w w:val="115"/>
          <w:sz w:val="18"/>
        </w:rPr>
        <w:t> </w:t>
      </w:r>
      <w:r>
        <w:rPr>
          <w:rFonts w:ascii="Arial"/>
          <w:color w:val="231F20"/>
          <w:w w:val="115"/>
          <w:sz w:val="18"/>
        </w:rPr>
        <w:t>(logon(prompt("Enter</w:t>
      </w:r>
      <w:r>
        <w:rPr>
          <w:rFonts w:ascii="Arial"/>
          <w:color w:val="231F20"/>
          <w:spacing w:val="15"/>
          <w:w w:val="115"/>
          <w:sz w:val="18"/>
        </w:rPr>
        <w:t> </w:t>
      </w:r>
      <w:r>
        <w:rPr>
          <w:rFonts w:ascii="Arial"/>
          <w:color w:val="231F20"/>
          <w:w w:val="115"/>
          <w:sz w:val="18"/>
        </w:rPr>
        <w:t>Userid"))</w:t>
      </w:r>
      <w:r>
        <w:rPr>
          <w:rFonts w:ascii="Arial"/>
          <w:color w:val="231F20"/>
          <w:spacing w:val="15"/>
          <w:w w:val="115"/>
          <w:sz w:val="18"/>
        </w:rPr>
        <w:t> </w:t>
      </w:r>
      <w:r>
        <w:rPr>
          <w:rFonts w:ascii="Arial"/>
          <w:color w:val="231F20"/>
          <w:w w:val="115"/>
          <w:sz w:val="18"/>
        </w:rPr>
        <w:t>!=</w:t>
      </w:r>
      <w:r>
        <w:rPr>
          <w:rFonts w:ascii="Arial"/>
          <w:color w:val="231F20"/>
          <w:spacing w:val="15"/>
          <w:w w:val="115"/>
          <w:sz w:val="18"/>
        </w:rPr>
        <w:t> </w:t>
      </w:r>
      <w:r>
        <w:rPr>
          <w:rFonts w:ascii="Arial"/>
          <w:color w:val="231F20"/>
          <w:spacing w:val="-5"/>
          <w:w w:val="115"/>
          <w:sz w:val="18"/>
        </w:rPr>
        <w:t>1)</w:t>
      </w:r>
    </w:p>
    <w:p>
      <w:pPr>
        <w:spacing w:line="200" w:lineRule="exact" w:before="0"/>
        <w:ind w:left="3909" w:right="0" w:firstLine="0"/>
        <w:jc w:val="left"/>
        <w:rPr>
          <w:rFonts w:ascii="Arial"/>
          <w:sz w:val="18"/>
        </w:rPr>
      </w:pPr>
      <w:r>
        <w:rPr>
          <w:rFonts w:ascii="Arial"/>
          <w:color w:val="231F20"/>
          <w:spacing w:val="-10"/>
          <w:w w:val="150"/>
          <w:sz w:val="18"/>
        </w:rPr>
        <w:t>{</w:t>
      </w:r>
    </w:p>
    <w:p>
      <w:pPr>
        <w:spacing w:line="230" w:lineRule="auto" w:before="3"/>
        <w:ind w:left="3909" w:right="3150" w:firstLine="0"/>
        <w:jc w:val="left"/>
        <w:rPr>
          <w:rFonts w:ascii="Arial"/>
          <w:sz w:val="18"/>
        </w:rPr>
      </w:pPr>
      <w:r>
        <w:rPr>
          <w:rFonts w:ascii="Arial"/>
          <w:color w:val="231F20"/>
          <w:spacing w:val="-2"/>
          <w:w w:val="110"/>
          <w:sz w:val="18"/>
        </w:rPr>
        <w:t>msgBox("Invalid</w:t>
      </w:r>
      <w:r>
        <w:rPr>
          <w:rFonts w:ascii="Arial"/>
          <w:color w:val="231F20"/>
          <w:spacing w:val="3"/>
          <w:w w:val="110"/>
          <w:sz w:val="18"/>
        </w:rPr>
        <w:t> </w:t>
      </w:r>
      <w:r>
        <w:rPr>
          <w:rFonts w:ascii="Arial"/>
          <w:color w:val="231F20"/>
          <w:spacing w:val="-2"/>
          <w:w w:val="110"/>
          <w:sz w:val="18"/>
        </w:rPr>
        <w:t>Logon</w:t>
      </w:r>
      <w:r>
        <w:rPr>
          <w:rFonts w:ascii="Arial"/>
          <w:color w:val="231F20"/>
          <w:spacing w:val="3"/>
          <w:w w:val="110"/>
          <w:sz w:val="18"/>
        </w:rPr>
        <w:t> </w:t>
      </w:r>
      <w:r>
        <w:rPr>
          <w:rFonts w:ascii="Arial"/>
          <w:color w:val="231F20"/>
          <w:spacing w:val="-2"/>
          <w:w w:val="110"/>
          <w:sz w:val="18"/>
        </w:rPr>
        <w:t>id"); continue;</w:t>
      </w:r>
    </w:p>
    <w:p>
      <w:pPr>
        <w:spacing w:line="198" w:lineRule="exact" w:before="0"/>
        <w:ind w:left="3909" w:right="0" w:firstLine="0"/>
        <w:jc w:val="left"/>
        <w:rPr>
          <w:rFonts w:ascii="Arial"/>
          <w:sz w:val="18"/>
        </w:rPr>
      </w:pPr>
      <w:r>
        <w:rPr>
          <w:rFonts w:ascii="Arial"/>
          <w:color w:val="231F20"/>
          <w:spacing w:val="-5"/>
          <w:w w:val="165"/>
          <w:sz w:val="18"/>
        </w:rPr>
        <w:t>};</w:t>
      </w:r>
    </w:p>
    <w:p>
      <w:pPr>
        <w:spacing w:line="200" w:lineRule="exact" w:before="0"/>
        <w:ind w:left="3909" w:right="0" w:firstLine="0"/>
        <w:jc w:val="left"/>
        <w:rPr>
          <w:rFonts w:ascii="Arial"/>
          <w:sz w:val="18"/>
        </w:rPr>
      </w:pPr>
      <w:r>
        <w:rPr>
          <w:rFonts w:ascii="Arial"/>
          <w:color w:val="231F20"/>
          <w:w w:val="130"/>
          <w:sz w:val="18"/>
        </w:rPr>
        <w:t>//</w:t>
      </w:r>
      <w:r>
        <w:rPr>
          <w:rFonts w:ascii="Arial"/>
          <w:color w:val="231F20"/>
          <w:spacing w:val="-6"/>
          <w:w w:val="130"/>
          <w:sz w:val="18"/>
        </w:rPr>
        <w:t> </w:t>
      </w:r>
      <w:r>
        <w:rPr>
          <w:rFonts w:ascii="Arial"/>
          <w:color w:val="231F20"/>
          <w:w w:val="115"/>
          <w:sz w:val="18"/>
        </w:rPr>
        <w:t>do</w:t>
      </w:r>
      <w:r>
        <w:rPr>
          <w:rFonts w:ascii="Arial"/>
          <w:color w:val="231F20"/>
          <w:spacing w:val="-6"/>
          <w:w w:val="130"/>
          <w:sz w:val="18"/>
        </w:rPr>
        <w:t> </w:t>
      </w:r>
      <w:r>
        <w:rPr>
          <w:rFonts w:ascii="Arial"/>
          <w:color w:val="231F20"/>
          <w:w w:val="130"/>
          <w:sz w:val="18"/>
        </w:rPr>
        <w:t>other</w:t>
      </w:r>
      <w:r>
        <w:rPr>
          <w:rFonts w:ascii="Arial"/>
          <w:color w:val="231F20"/>
          <w:spacing w:val="-6"/>
          <w:w w:val="130"/>
          <w:sz w:val="18"/>
        </w:rPr>
        <w:t> </w:t>
      </w:r>
      <w:r>
        <w:rPr>
          <w:rFonts w:ascii="Arial"/>
          <w:color w:val="231F20"/>
          <w:spacing w:val="-2"/>
          <w:w w:val="130"/>
          <w:sz w:val="18"/>
        </w:rPr>
        <w:t>logic....</w:t>
      </w:r>
    </w:p>
    <w:p>
      <w:pPr>
        <w:spacing w:line="203" w:lineRule="exact" w:before="0"/>
        <w:ind w:left="3909" w:right="0" w:firstLine="0"/>
        <w:jc w:val="left"/>
        <w:rPr>
          <w:rFonts w:ascii="Arial"/>
          <w:sz w:val="18"/>
        </w:rPr>
      </w:pPr>
      <w:bookmarkStart w:name="User-defined functions" w:id="298"/>
      <w:bookmarkEnd w:id="298"/>
      <w:r>
        <w:rPr/>
      </w:r>
      <w:r>
        <w:rPr>
          <w:rFonts w:ascii="Arial"/>
          <w:color w:val="231F20"/>
          <w:spacing w:val="-10"/>
          <w:w w:val="150"/>
          <w:sz w:val="18"/>
        </w:rPr>
        <w:t>}</w:t>
      </w:r>
    </w:p>
    <w:p>
      <w:pPr>
        <w:pStyle w:val="Heading4"/>
        <w:spacing w:line="273" w:lineRule="exact" w:before="176"/>
        <w:ind w:left="2472"/>
      </w:pPr>
      <w:r>
        <w:rPr>
          <w:color w:val="231F20"/>
        </w:rPr>
        <w:t>User-defined</w:t>
      </w:r>
      <w:r>
        <w:rPr>
          <w:color w:val="231F20"/>
          <w:spacing w:val="-2"/>
        </w:rPr>
        <w:t> functions</w:t>
      </w:r>
    </w:p>
    <w:p>
      <w:pPr>
        <w:pStyle w:val="BodyText"/>
        <w:spacing w:line="213" w:lineRule="auto" w:before="20"/>
        <w:ind w:left="2472" w:right="310"/>
        <w:jc w:val="both"/>
      </w:pPr>
      <w:r>
        <w:rPr>
          <w:color w:val="231F20"/>
        </w:rPr>
        <w:t>User-defined functions make it possible to create structured scripts. User- defined functions must be declared at the beginning of a script. The FUNCTION </w:t>
      </w:r>
      <w:r>
        <w:rPr>
          <w:color w:val="231F20"/>
        </w:rPr>
        <w:t>keyword identifies the block of statements as a user-defined function.</w:t>
      </w:r>
    </w:p>
    <w:p>
      <w:pPr>
        <w:pStyle w:val="BodyText"/>
        <w:spacing w:before="215"/>
        <w:ind w:left="2472"/>
        <w:jc w:val="both"/>
      </w:pPr>
      <w:r>
        <w:rPr>
          <w:color w:val="231F20"/>
        </w:rPr>
        <w:t>The</w:t>
      </w:r>
      <w:r>
        <w:rPr>
          <w:color w:val="231F20"/>
          <w:spacing w:val="10"/>
        </w:rPr>
        <w:t> </w:t>
      </w:r>
      <w:r>
        <w:rPr>
          <w:color w:val="231F20"/>
        </w:rPr>
        <w:t>function</w:t>
      </w:r>
      <w:r>
        <w:rPr>
          <w:color w:val="231F20"/>
          <w:spacing w:val="10"/>
        </w:rPr>
        <w:t> </w:t>
      </w:r>
      <w:r>
        <w:rPr>
          <w:color w:val="231F20"/>
        </w:rPr>
        <w:t>declarations</w:t>
      </w:r>
      <w:r>
        <w:rPr>
          <w:color w:val="231F20"/>
          <w:spacing w:val="11"/>
        </w:rPr>
        <w:t> </w:t>
      </w:r>
      <w:r>
        <w:rPr>
          <w:color w:val="231F20"/>
        </w:rPr>
        <w:t>must</w:t>
      </w:r>
      <w:r>
        <w:rPr>
          <w:color w:val="231F20"/>
          <w:spacing w:val="10"/>
        </w:rPr>
        <w:t> </w:t>
      </w:r>
      <w:r>
        <w:rPr>
          <w:color w:val="231F20"/>
        </w:rPr>
        <w:t>follow</w:t>
      </w:r>
      <w:r>
        <w:rPr>
          <w:color w:val="231F20"/>
          <w:spacing w:val="10"/>
        </w:rPr>
        <w:t> </w:t>
      </w:r>
      <w:r>
        <w:rPr>
          <w:color w:val="231F20"/>
        </w:rPr>
        <w:t>a</w:t>
      </w:r>
      <w:r>
        <w:rPr>
          <w:color w:val="231F20"/>
          <w:spacing w:val="11"/>
        </w:rPr>
        <w:t> </w:t>
      </w:r>
      <w:r>
        <w:rPr>
          <w:color w:val="231F20"/>
        </w:rPr>
        <w:t>specific</w:t>
      </w:r>
      <w:r>
        <w:rPr>
          <w:color w:val="231F20"/>
          <w:spacing w:val="10"/>
        </w:rPr>
        <w:t> </w:t>
      </w:r>
      <w:r>
        <w:rPr>
          <w:color w:val="231F20"/>
          <w:spacing w:val="-2"/>
        </w:rPr>
        <w:t>format:</w:t>
      </w:r>
    </w:p>
    <w:p>
      <w:pPr>
        <w:pStyle w:val="Heading6"/>
        <w:spacing w:line="240" w:lineRule="auto" w:before="111"/>
      </w:pPr>
      <w:r>
        <w:rPr>
          <w:color w:val="231F20"/>
        </w:rPr>
        <w:t>return-type FUNCTION function-name (optional parameters) { optional </w:t>
      </w:r>
      <w:r>
        <w:rPr>
          <w:color w:val="231F20"/>
        </w:rPr>
        <w:t>local variables; statements...}</w:t>
      </w:r>
    </w:p>
    <w:p>
      <w:pPr>
        <w:spacing w:after="0" w:line="240" w:lineRule="auto"/>
        <w:sectPr>
          <w:pgSz w:w="12240" w:h="15840"/>
          <w:pgMar w:header="0" w:footer="736" w:top="1200" w:bottom="920"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09"/>
        <w:gridCol w:w="5524"/>
      </w:tblGrid>
      <w:tr>
        <w:trPr>
          <w:trHeight w:val="274" w:hRule="atLeast"/>
        </w:trPr>
        <w:tc>
          <w:tcPr>
            <w:tcW w:w="2009" w:type="dxa"/>
          </w:tcPr>
          <w:p>
            <w:pPr>
              <w:pStyle w:val="TableParagraph"/>
              <w:spacing w:before="10"/>
              <w:ind w:left="0" w:right="2"/>
              <w:jc w:val="center"/>
              <w:rPr>
                <w:rFonts w:ascii="Book Antiqua"/>
                <w:b/>
                <w:sz w:val="18"/>
              </w:rPr>
            </w:pPr>
            <w:r>
              <w:rPr>
                <w:rFonts w:ascii="Book Antiqua"/>
                <w:b/>
                <w:color w:val="231F20"/>
                <w:spacing w:val="-4"/>
                <w:sz w:val="18"/>
              </w:rPr>
              <w:t>Part</w:t>
            </w:r>
          </w:p>
        </w:tc>
        <w:tc>
          <w:tcPr>
            <w:tcW w:w="5524" w:type="dxa"/>
          </w:tcPr>
          <w:p>
            <w:pPr>
              <w:pStyle w:val="TableParagraph"/>
              <w:spacing w:before="10"/>
              <w:ind w:left="25"/>
              <w:jc w:val="center"/>
              <w:rPr>
                <w:rFonts w:ascii="Book Antiqua"/>
                <w:b/>
                <w:sz w:val="18"/>
              </w:rPr>
            </w:pPr>
            <w:r>
              <w:rPr>
                <w:rFonts w:ascii="Book Antiqua"/>
                <w:b/>
                <w:color w:val="231F20"/>
                <w:spacing w:val="-2"/>
                <w:sz w:val="18"/>
              </w:rPr>
              <w:t>Description</w:t>
            </w:r>
          </w:p>
        </w:tc>
      </w:tr>
      <w:tr>
        <w:trPr>
          <w:trHeight w:val="309" w:hRule="atLeast"/>
        </w:trPr>
        <w:tc>
          <w:tcPr>
            <w:tcW w:w="2009" w:type="dxa"/>
          </w:tcPr>
          <w:p>
            <w:pPr>
              <w:pStyle w:val="TableParagraph"/>
              <w:ind w:left="44"/>
              <w:rPr>
                <w:sz w:val="18"/>
              </w:rPr>
            </w:pPr>
            <w:r>
              <w:rPr>
                <w:color w:val="231F20"/>
                <w:spacing w:val="-2"/>
                <w:sz w:val="18"/>
              </w:rPr>
              <w:t>Return-</w:t>
            </w:r>
            <w:r>
              <w:rPr>
                <w:color w:val="231F20"/>
                <w:spacing w:val="-4"/>
                <w:sz w:val="18"/>
              </w:rPr>
              <w:t>type</w:t>
            </w:r>
          </w:p>
        </w:tc>
        <w:tc>
          <w:tcPr>
            <w:tcW w:w="5524" w:type="dxa"/>
          </w:tcPr>
          <w:p>
            <w:pPr>
              <w:pStyle w:val="TableParagraph"/>
              <w:rPr>
                <w:sz w:val="18"/>
              </w:rPr>
            </w:pPr>
            <w:r>
              <w:rPr>
                <w:color w:val="231F20"/>
                <w:sz w:val="18"/>
              </w:rPr>
              <w:t>The</w:t>
            </w:r>
            <w:r>
              <w:rPr>
                <w:color w:val="231F20"/>
                <w:spacing w:val="9"/>
                <w:sz w:val="18"/>
              </w:rPr>
              <w:t> </w:t>
            </w:r>
            <w:r>
              <w:rPr>
                <w:color w:val="231F20"/>
                <w:sz w:val="18"/>
              </w:rPr>
              <w:t>data-type</w:t>
            </w:r>
            <w:r>
              <w:rPr>
                <w:color w:val="231F20"/>
                <w:spacing w:val="10"/>
                <w:sz w:val="18"/>
              </w:rPr>
              <w:t> </w:t>
            </w:r>
            <w:r>
              <w:rPr>
                <w:color w:val="231F20"/>
                <w:sz w:val="18"/>
              </w:rPr>
              <w:t>of</w:t>
            </w:r>
            <w:r>
              <w:rPr>
                <w:color w:val="231F20"/>
                <w:spacing w:val="10"/>
                <w:sz w:val="18"/>
              </w:rPr>
              <w:t> </w:t>
            </w:r>
            <w:r>
              <w:rPr>
                <w:color w:val="231F20"/>
                <w:sz w:val="18"/>
              </w:rPr>
              <w:t>the</w:t>
            </w:r>
            <w:r>
              <w:rPr>
                <w:color w:val="231F20"/>
                <w:spacing w:val="10"/>
                <w:sz w:val="18"/>
              </w:rPr>
              <w:t> </w:t>
            </w:r>
            <w:r>
              <w:rPr>
                <w:color w:val="231F20"/>
                <w:sz w:val="18"/>
              </w:rPr>
              <w:t>return</w:t>
            </w:r>
            <w:r>
              <w:rPr>
                <w:color w:val="231F20"/>
                <w:spacing w:val="10"/>
                <w:sz w:val="18"/>
              </w:rPr>
              <w:t> </w:t>
            </w:r>
            <w:r>
              <w:rPr>
                <w:color w:val="231F20"/>
                <w:sz w:val="18"/>
              </w:rPr>
              <w:t>value</w:t>
            </w:r>
            <w:r>
              <w:rPr>
                <w:color w:val="231F20"/>
                <w:spacing w:val="10"/>
                <w:sz w:val="18"/>
              </w:rPr>
              <w:t> </w:t>
            </w:r>
            <w:r>
              <w:rPr>
                <w:color w:val="231F20"/>
                <w:sz w:val="18"/>
              </w:rPr>
              <w:t>of</w:t>
            </w:r>
            <w:r>
              <w:rPr>
                <w:color w:val="231F20"/>
                <w:spacing w:val="10"/>
                <w:sz w:val="18"/>
              </w:rPr>
              <w:t> </w:t>
            </w:r>
            <w:r>
              <w:rPr>
                <w:color w:val="231F20"/>
                <w:sz w:val="18"/>
              </w:rPr>
              <w:t>the</w:t>
            </w:r>
            <w:r>
              <w:rPr>
                <w:color w:val="231F20"/>
                <w:spacing w:val="10"/>
                <w:sz w:val="18"/>
              </w:rPr>
              <w:t> </w:t>
            </w:r>
            <w:r>
              <w:rPr>
                <w:color w:val="231F20"/>
                <w:spacing w:val="-2"/>
                <w:sz w:val="18"/>
              </w:rPr>
              <w:t>function.</w:t>
            </w:r>
          </w:p>
        </w:tc>
      </w:tr>
      <w:tr>
        <w:trPr>
          <w:trHeight w:val="309" w:hRule="atLeast"/>
        </w:trPr>
        <w:tc>
          <w:tcPr>
            <w:tcW w:w="2009" w:type="dxa"/>
          </w:tcPr>
          <w:p>
            <w:pPr>
              <w:pStyle w:val="TableParagraph"/>
              <w:ind w:left="44"/>
              <w:rPr>
                <w:sz w:val="18"/>
              </w:rPr>
            </w:pPr>
            <w:r>
              <w:rPr>
                <w:color w:val="231F20"/>
                <w:spacing w:val="-2"/>
                <w:sz w:val="18"/>
              </w:rPr>
              <w:t>FUNCTION</w:t>
            </w:r>
          </w:p>
        </w:tc>
        <w:tc>
          <w:tcPr>
            <w:tcW w:w="5524" w:type="dxa"/>
          </w:tcPr>
          <w:p>
            <w:pPr>
              <w:pStyle w:val="TableParagraph"/>
              <w:rPr>
                <w:sz w:val="18"/>
              </w:rPr>
            </w:pPr>
            <w:r>
              <w:rPr>
                <w:color w:val="231F20"/>
                <w:sz w:val="18"/>
              </w:rPr>
              <w:t>The</w:t>
            </w:r>
            <w:r>
              <w:rPr>
                <w:color w:val="231F20"/>
                <w:spacing w:val="8"/>
                <w:sz w:val="18"/>
              </w:rPr>
              <w:t> </w:t>
            </w:r>
            <w:r>
              <w:rPr>
                <w:color w:val="231F20"/>
                <w:sz w:val="18"/>
              </w:rPr>
              <w:t>keyword</w:t>
            </w:r>
            <w:r>
              <w:rPr>
                <w:color w:val="231F20"/>
                <w:spacing w:val="8"/>
                <w:sz w:val="18"/>
              </w:rPr>
              <w:t> </w:t>
            </w:r>
            <w:r>
              <w:rPr>
                <w:color w:val="231F20"/>
                <w:sz w:val="18"/>
              </w:rPr>
              <w:t>that</w:t>
            </w:r>
            <w:r>
              <w:rPr>
                <w:color w:val="231F20"/>
                <w:spacing w:val="9"/>
                <w:sz w:val="18"/>
              </w:rPr>
              <w:t> </w:t>
            </w:r>
            <w:r>
              <w:rPr>
                <w:color w:val="231F20"/>
                <w:sz w:val="18"/>
              </w:rPr>
              <w:t>identifies</w:t>
            </w:r>
            <w:r>
              <w:rPr>
                <w:color w:val="231F20"/>
                <w:spacing w:val="8"/>
                <w:sz w:val="18"/>
              </w:rPr>
              <w:t> </w:t>
            </w:r>
            <w:r>
              <w:rPr>
                <w:color w:val="231F20"/>
                <w:sz w:val="18"/>
              </w:rPr>
              <w:t>this</w:t>
            </w:r>
            <w:r>
              <w:rPr>
                <w:color w:val="231F20"/>
                <w:spacing w:val="9"/>
                <w:sz w:val="18"/>
              </w:rPr>
              <w:t> </w:t>
            </w:r>
            <w:r>
              <w:rPr>
                <w:color w:val="231F20"/>
                <w:sz w:val="18"/>
              </w:rPr>
              <w:t>as</w:t>
            </w:r>
            <w:r>
              <w:rPr>
                <w:color w:val="231F20"/>
                <w:spacing w:val="8"/>
                <w:sz w:val="18"/>
              </w:rPr>
              <w:t> </w:t>
            </w:r>
            <w:r>
              <w:rPr>
                <w:color w:val="231F20"/>
                <w:sz w:val="18"/>
              </w:rPr>
              <w:t>a</w:t>
            </w:r>
            <w:r>
              <w:rPr>
                <w:color w:val="231F20"/>
                <w:spacing w:val="9"/>
                <w:sz w:val="18"/>
              </w:rPr>
              <w:t> </w:t>
            </w:r>
            <w:r>
              <w:rPr>
                <w:color w:val="231F20"/>
                <w:sz w:val="18"/>
              </w:rPr>
              <w:t>user-defined</w:t>
            </w:r>
            <w:r>
              <w:rPr>
                <w:color w:val="231F20"/>
                <w:spacing w:val="8"/>
                <w:sz w:val="18"/>
              </w:rPr>
              <w:t> </w:t>
            </w:r>
            <w:r>
              <w:rPr>
                <w:color w:val="231F20"/>
                <w:spacing w:val="-2"/>
                <w:sz w:val="18"/>
              </w:rPr>
              <w:t>function.</w:t>
            </w:r>
          </w:p>
        </w:tc>
      </w:tr>
      <w:tr>
        <w:trPr>
          <w:trHeight w:val="528" w:hRule="atLeast"/>
        </w:trPr>
        <w:tc>
          <w:tcPr>
            <w:tcW w:w="2009" w:type="dxa"/>
          </w:tcPr>
          <w:p>
            <w:pPr>
              <w:pStyle w:val="TableParagraph"/>
              <w:ind w:left="44"/>
              <w:rPr>
                <w:sz w:val="18"/>
              </w:rPr>
            </w:pPr>
            <w:r>
              <w:rPr>
                <w:color w:val="231F20"/>
                <w:spacing w:val="-2"/>
                <w:sz w:val="18"/>
              </w:rPr>
              <w:t>Function-</w:t>
            </w:r>
            <w:r>
              <w:rPr>
                <w:color w:val="231F20"/>
                <w:spacing w:val="-4"/>
                <w:sz w:val="18"/>
              </w:rPr>
              <w:t>name</w:t>
            </w:r>
          </w:p>
        </w:tc>
        <w:tc>
          <w:tcPr>
            <w:tcW w:w="5524" w:type="dxa"/>
          </w:tcPr>
          <w:p>
            <w:pPr>
              <w:pStyle w:val="TableParagraph"/>
              <w:spacing w:line="216" w:lineRule="auto" w:before="44"/>
              <w:ind w:right="237" w:hanging="1"/>
              <w:rPr>
                <w:sz w:val="18"/>
              </w:rPr>
            </w:pPr>
            <w:r>
              <w:rPr>
                <w:color w:val="231F20"/>
                <w:sz w:val="18"/>
              </w:rPr>
              <w:t>A unique name that identifies this function. Must follow the naming convention of Identifiers.</w:t>
            </w:r>
          </w:p>
        </w:tc>
      </w:tr>
      <w:tr>
        <w:trPr>
          <w:trHeight w:val="528" w:hRule="atLeast"/>
        </w:trPr>
        <w:tc>
          <w:tcPr>
            <w:tcW w:w="2009" w:type="dxa"/>
          </w:tcPr>
          <w:p>
            <w:pPr>
              <w:pStyle w:val="TableParagraph"/>
              <w:ind w:left="44"/>
              <w:rPr>
                <w:sz w:val="18"/>
              </w:rPr>
            </w:pPr>
            <w:r>
              <w:rPr>
                <w:color w:val="231F20"/>
                <w:sz w:val="18"/>
              </w:rPr>
              <w:t>Optional</w:t>
            </w:r>
            <w:r>
              <w:rPr>
                <w:color w:val="231F20"/>
                <w:spacing w:val="6"/>
                <w:sz w:val="18"/>
              </w:rPr>
              <w:t> </w:t>
            </w:r>
            <w:r>
              <w:rPr>
                <w:color w:val="231F20"/>
                <w:spacing w:val="-2"/>
                <w:sz w:val="18"/>
              </w:rPr>
              <w:t>parameters</w:t>
            </w:r>
          </w:p>
        </w:tc>
        <w:tc>
          <w:tcPr>
            <w:tcW w:w="5524" w:type="dxa"/>
          </w:tcPr>
          <w:p>
            <w:pPr>
              <w:pStyle w:val="TableParagraph"/>
              <w:spacing w:line="216" w:lineRule="auto" w:before="44"/>
              <w:ind w:right="237" w:hanging="1"/>
              <w:rPr>
                <w:sz w:val="18"/>
              </w:rPr>
            </w:pPr>
            <w:r>
              <w:rPr>
                <w:color w:val="231F20"/>
                <w:sz w:val="18"/>
              </w:rPr>
              <w:t>The named parameters (if any) that will be passed to this function. Enclosed in parentheses.</w:t>
            </w:r>
          </w:p>
        </w:tc>
      </w:tr>
      <w:tr>
        <w:trPr>
          <w:trHeight w:val="528" w:hRule="atLeast"/>
        </w:trPr>
        <w:tc>
          <w:tcPr>
            <w:tcW w:w="2009" w:type="dxa"/>
          </w:tcPr>
          <w:p>
            <w:pPr>
              <w:pStyle w:val="TableParagraph"/>
              <w:spacing w:line="216" w:lineRule="auto" w:before="44"/>
              <w:ind w:left="44" w:right="156"/>
              <w:rPr>
                <w:sz w:val="18"/>
              </w:rPr>
            </w:pPr>
            <w:r>
              <w:rPr>
                <w:color w:val="231F20"/>
                <w:sz w:val="18"/>
              </w:rPr>
              <w:t>Optional</w:t>
            </w:r>
            <w:r>
              <w:rPr>
                <w:color w:val="231F20"/>
                <w:spacing w:val="-7"/>
                <w:sz w:val="18"/>
              </w:rPr>
              <w:t> </w:t>
            </w:r>
            <w:r>
              <w:rPr>
                <w:color w:val="231F20"/>
                <w:sz w:val="18"/>
              </w:rPr>
              <w:t>local </w:t>
            </w:r>
            <w:r>
              <w:rPr>
                <w:color w:val="231F20"/>
                <w:spacing w:val="-2"/>
                <w:sz w:val="18"/>
              </w:rPr>
              <w:t>variables</w:t>
            </w:r>
          </w:p>
        </w:tc>
        <w:tc>
          <w:tcPr>
            <w:tcW w:w="5524" w:type="dxa"/>
          </w:tcPr>
          <w:p>
            <w:pPr>
              <w:pStyle w:val="TableParagraph"/>
              <w:rPr>
                <w:sz w:val="18"/>
              </w:rPr>
            </w:pPr>
            <w:r>
              <w:rPr>
                <w:color w:val="231F20"/>
                <w:sz w:val="18"/>
              </w:rPr>
              <w:t>The</w:t>
            </w:r>
            <w:r>
              <w:rPr>
                <w:color w:val="231F20"/>
                <w:spacing w:val="9"/>
                <w:sz w:val="18"/>
              </w:rPr>
              <w:t> </w:t>
            </w:r>
            <w:r>
              <w:rPr>
                <w:color w:val="231F20"/>
                <w:sz w:val="18"/>
              </w:rPr>
              <w:t>declaration</w:t>
            </w:r>
            <w:r>
              <w:rPr>
                <w:color w:val="231F20"/>
                <w:spacing w:val="10"/>
                <w:sz w:val="18"/>
              </w:rPr>
              <w:t> </w:t>
            </w:r>
            <w:r>
              <w:rPr>
                <w:color w:val="231F20"/>
                <w:sz w:val="18"/>
              </w:rPr>
              <w:t>of</w:t>
            </w:r>
            <w:r>
              <w:rPr>
                <w:color w:val="231F20"/>
                <w:spacing w:val="10"/>
                <w:sz w:val="18"/>
              </w:rPr>
              <w:t> </w:t>
            </w:r>
            <w:r>
              <w:rPr>
                <w:color w:val="231F20"/>
                <w:sz w:val="18"/>
              </w:rPr>
              <w:t>any</w:t>
            </w:r>
            <w:r>
              <w:rPr>
                <w:color w:val="231F20"/>
                <w:spacing w:val="9"/>
                <w:sz w:val="18"/>
              </w:rPr>
              <w:t> </w:t>
            </w:r>
            <w:r>
              <w:rPr>
                <w:color w:val="231F20"/>
                <w:sz w:val="18"/>
              </w:rPr>
              <w:t>local</w:t>
            </w:r>
            <w:r>
              <w:rPr>
                <w:color w:val="231F20"/>
                <w:spacing w:val="10"/>
                <w:sz w:val="18"/>
              </w:rPr>
              <w:t> </w:t>
            </w:r>
            <w:r>
              <w:rPr>
                <w:color w:val="231F20"/>
                <w:sz w:val="18"/>
              </w:rPr>
              <w:t>variables</w:t>
            </w:r>
            <w:r>
              <w:rPr>
                <w:color w:val="231F20"/>
                <w:spacing w:val="10"/>
                <w:sz w:val="18"/>
              </w:rPr>
              <w:t> </w:t>
            </w:r>
            <w:r>
              <w:rPr>
                <w:color w:val="231F20"/>
                <w:sz w:val="18"/>
              </w:rPr>
              <w:t>that</w:t>
            </w:r>
            <w:r>
              <w:rPr>
                <w:color w:val="231F20"/>
                <w:spacing w:val="9"/>
                <w:sz w:val="18"/>
              </w:rPr>
              <w:t> </w:t>
            </w:r>
            <w:r>
              <w:rPr>
                <w:color w:val="231F20"/>
                <w:sz w:val="18"/>
              </w:rPr>
              <w:t>this</w:t>
            </w:r>
            <w:r>
              <w:rPr>
                <w:color w:val="231F20"/>
                <w:spacing w:val="10"/>
                <w:sz w:val="18"/>
              </w:rPr>
              <w:t> </w:t>
            </w:r>
            <w:r>
              <w:rPr>
                <w:color w:val="231F20"/>
                <w:sz w:val="18"/>
              </w:rPr>
              <w:t>function</w:t>
            </w:r>
            <w:r>
              <w:rPr>
                <w:color w:val="231F20"/>
                <w:spacing w:val="10"/>
                <w:sz w:val="18"/>
              </w:rPr>
              <w:t> </w:t>
            </w:r>
            <w:r>
              <w:rPr>
                <w:color w:val="231F20"/>
                <w:sz w:val="18"/>
              </w:rPr>
              <w:t>will</w:t>
            </w:r>
            <w:r>
              <w:rPr>
                <w:color w:val="231F20"/>
                <w:spacing w:val="9"/>
                <w:sz w:val="18"/>
              </w:rPr>
              <w:t> </w:t>
            </w:r>
            <w:r>
              <w:rPr>
                <w:color w:val="231F20"/>
                <w:spacing w:val="-4"/>
                <w:sz w:val="18"/>
              </w:rPr>
              <w:t>use.</w:t>
            </w:r>
          </w:p>
        </w:tc>
      </w:tr>
      <w:tr>
        <w:trPr>
          <w:trHeight w:val="533" w:hRule="atLeast"/>
        </w:trPr>
        <w:tc>
          <w:tcPr>
            <w:tcW w:w="2009" w:type="dxa"/>
          </w:tcPr>
          <w:p>
            <w:pPr>
              <w:pStyle w:val="TableParagraph"/>
              <w:ind w:left="44"/>
              <w:rPr>
                <w:sz w:val="18"/>
              </w:rPr>
            </w:pPr>
            <w:r>
              <w:rPr>
                <w:color w:val="231F20"/>
                <w:spacing w:val="-2"/>
                <w:sz w:val="18"/>
              </w:rPr>
              <w:t>statements</w:t>
            </w:r>
          </w:p>
        </w:tc>
        <w:tc>
          <w:tcPr>
            <w:tcW w:w="5524" w:type="dxa"/>
          </w:tcPr>
          <w:p>
            <w:pPr>
              <w:pStyle w:val="TableParagraph"/>
              <w:spacing w:line="216" w:lineRule="auto" w:before="44"/>
              <w:ind w:right="483" w:hanging="1"/>
              <w:rPr>
                <w:sz w:val="18"/>
              </w:rPr>
            </w:pPr>
            <w:r>
              <w:rPr>
                <w:color w:val="231F20"/>
                <w:sz w:val="18"/>
              </w:rPr>
              <w:t>The Statement(s) that will be performed when the function is </w:t>
            </w:r>
            <w:r>
              <w:rPr>
                <w:color w:val="231F20"/>
                <w:spacing w:val="-2"/>
                <w:sz w:val="18"/>
              </w:rPr>
              <w:t>called.</w:t>
            </w:r>
          </w:p>
        </w:tc>
      </w:tr>
    </w:tbl>
    <w:p>
      <w:pPr>
        <w:pStyle w:val="BodyText"/>
        <w:spacing w:before="186"/>
        <w:rPr>
          <w:rFonts w:ascii="Book Antiqua"/>
          <w:b/>
        </w:rPr>
      </w:pPr>
    </w:p>
    <w:p>
      <w:pPr>
        <w:pStyle w:val="BodyText"/>
        <w:spacing w:line="213" w:lineRule="auto"/>
        <w:ind w:left="2232" w:right="545"/>
      </w:pPr>
      <w:bookmarkStart w:name="_bookmark135" w:id="299"/>
      <w:bookmarkEnd w:id="299"/>
      <w:r>
        <w:rPr/>
      </w:r>
      <w:r>
        <w:rPr>
          <w:color w:val="231F20"/>
        </w:rPr>
        <w:t>The rules described in the "Constants and variables" topic apply to the parameters and local variables used in a function. Any optional parameter names are </w:t>
      </w:r>
      <w:r>
        <w:rPr>
          <w:color w:val="231F20"/>
        </w:rPr>
        <w:t>assumed to be local to a function. Other local variables that are unique to a function can be</w:t>
      </w:r>
      <w:r>
        <w:rPr>
          <w:color w:val="231F20"/>
          <w:spacing w:val="40"/>
        </w:rPr>
        <w:t> </w:t>
      </w:r>
      <w:r>
        <w:rPr>
          <w:color w:val="231F20"/>
        </w:rPr>
        <w:t>declared.</w:t>
      </w:r>
      <w:r>
        <w:rPr>
          <w:color w:val="231F20"/>
          <w:spacing w:val="26"/>
        </w:rPr>
        <w:t> </w:t>
      </w:r>
      <w:r>
        <w:rPr>
          <w:color w:val="231F20"/>
        </w:rPr>
        <w:t>The</w:t>
      </w:r>
      <w:r>
        <w:rPr>
          <w:color w:val="231F20"/>
          <w:spacing w:val="26"/>
        </w:rPr>
        <w:t> </w:t>
      </w:r>
      <w:r>
        <w:rPr>
          <w:color w:val="231F20"/>
        </w:rPr>
        <w:t>control</w:t>
      </w:r>
      <w:r>
        <w:rPr>
          <w:color w:val="231F20"/>
          <w:spacing w:val="26"/>
        </w:rPr>
        <w:t> </w:t>
      </w:r>
      <w:r>
        <w:rPr>
          <w:color w:val="231F20"/>
        </w:rPr>
        <w:t>flow</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statements</w:t>
      </w:r>
      <w:r>
        <w:rPr>
          <w:color w:val="231F20"/>
          <w:spacing w:val="26"/>
        </w:rPr>
        <w:t> </w:t>
      </w:r>
      <w:r>
        <w:rPr>
          <w:color w:val="231F20"/>
        </w:rPr>
        <w:t>in</w:t>
      </w:r>
      <w:r>
        <w:rPr>
          <w:color w:val="231F20"/>
          <w:spacing w:val="26"/>
        </w:rPr>
        <w:t> </w:t>
      </w:r>
      <w:r>
        <w:rPr>
          <w:color w:val="231F20"/>
        </w:rPr>
        <w:t>a</w:t>
      </w:r>
      <w:r>
        <w:rPr>
          <w:color w:val="231F20"/>
          <w:spacing w:val="26"/>
        </w:rPr>
        <w:t> </w:t>
      </w:r>
      <w:r>
        <w:rPr>
          <w:color w:val="231F20"/>
        </w:rPr>
        <w:t>function</w:t>
      </w:r>
      <w:r>
        <w:rPr>
          <w:color w:val="231F20"/>
          <w:spacing w:val="26"/>
        </w:rPr>
        <w:t> </w:t>
      </w:r>
      <w:r>
        <w:rPr>
          <w:color w:val="231F20"/>
        </w:rPr>
        <w:t>follow</w:t>
      </w:r>
      <w:r>
        <w:rPr>
          <w:color w:val="231F20"/>
          <w:spacing w:val="26"/>
        </w:rPr>
        <w:t> </w:t>
      </w:r>
      <w:r>
        <w:rPr>
          <w:color w:val="231F20"/>
        </w:rPr>
        <w:t>the</w:t>
      </w:r>
      <w:r>
        <w:rPr>
          <w:color w:val="231F20"/>
          <w:spacing w:val="26"/>
        </w:rPr>
        <w:t> </w:t>
      </w:r>
      <w:r>
        <w:rPr>
          <w:color w:val="231F20"/>
        </w:rPr>
        <w:t>same</w:t>
      </w:r>
      <w:r>
        <w:rPr>
          <w:color w:val="231F20"/>
          <w:spacing w:val="26"/>
        </w:rPr>
        <w:t> </w:t>
      </w:r>
      <w:r>
        <w:rPr>
          <w:color w:val="231F20"/>
        </w:rPr>
        <w:t>rules that apply to normal program statement blocks. A RETURN statement returns control to the point in the program where a function was called. A return value might be passed back as part of the return statement. Example:</w:t>
      </w:r>
    </w:p>
    <w:p>
      <w:pPr>
        <w:spacing w:line="203" w:lineRule="exact" w:before="59"/>
        <w:ind w:left="2232" w:right="0" w:firstLine="0"/>
        <w:jc w:val="left"/>
        <w:rPr>
          <w:rFonts w:ascii="Arial"/>
          <w:sz w:val="18"/>
        </w:rPr>
      </w:pPr>
      <w:r>
        <w:rPr>
          <w:rFonts w:ascii="Arial"/>
          <w:color w:val="231F20"/>
          <w:w w:val="110"/>
          <w:sz w:val="18"/>
        </w:rPr>
        <w:t>int</w:t>
      </w:r>
      <w:r>
        <w:rPr>
          <w:rFonts w:ascii="Arial"/>
          <w:color w:val="231F20"/>
          <w:spacing w:val="22"/>
          <w:w w:val="110"/>
          <w:sz w:val="18"/>
        </w:rPr>
        <w:t> </w:t>
      </w:r>
      <w:r>
        <w:rPr>
          <w:rFonts w:ascii="Arial"/>
          <w:color w:val="231F20"/>
          <w:sz w:val="18"/>
        </w:rPr>
        <w:t>FUNCTION</w:t>
      </w:r>
      <w:r>
        <w:rPr>
          <w:rFonts w:ascii="Arial"/>
          <w:color w:val="231F20"/>
          <w:spacing w:val="27"/>
          <w:sz w:val="18"/>
        </w:rPr>
        <w:t> </w:t>
      </w:r>
      <w:r>
        <w:rPr>
          <w:rFonts w:ascii="Arial"/>
          <w:color w:val="231F20"/>
          <w:sz w:val="18"/>
        </w:rPr>
        <w:t>signonPanel(string</w:t>
      </w:r>
      <w:r>
        <w:rPr>
          <w:rFonts w:ascii="Arial"/>
          <w:color w:val="231F20"/>
          <w:spacing w:val="27"/>
          <w:sz w:val="18"/>
        </w:rPr>
        <w:t> </w:t>
      </w:r>
      <w:r>
        <w:rPr>
          <w:rFonts w:ascii="Arial"/>
          <w:color w:val="231F20"/>
          <w:spacing w:val="-2"/>
          <w:sz w:val="18"/>
        </w:rPr>
        <w:t>arg1)</w:t>
      </w:r>
    </w:p>
    <w:p>
      <w:pPr>
        <w:spacing w:line="200" w:lineRule="exact" w:before="0"/>
        <w:ind w:left="2232" w:right="0" w:firstLine="0"/>
        <w:jc w:val="left"/>
        <w:rPr>
          <w:rFonts w:ascii="Arial"/>
          <w:sz w:val="18"/>
        </w:rPr>
      </w:pPr>
      <w:r>
        <w:rPr>
          <w:rFonts w:ascii="Arial"/>
          <w:color w:val="231F20"/>
          <w:spacing w:val="-10"/>
          <w:w w:val="150"/>
          <w:sz w:val="18"/>
        </w:rPr>
        <w:t>{</w:t>
      </w:r>
    </w:p>
    <w:p>
      <w:pPr>
        <w:spacing w:line="230" w:lineRule="auto" w:before="3"/>
        <w:ind w:left="2232" w:right="4095" w:firstLine="0"/>
        <w:jc w:val="left"/>
        <w:rPr>
          <w:rFonts w:ascii="Arial"/>
          <w:sz w:val="18"/>
        </w:rPr>
      </w:pPr>
      <w:r>
        <w:rPr>
          <w:rFonts w:ascii="Arial"/>
          <w:color w:val="231F20"/>
          <w:w w:val="170"/>
          <w:sz w:val="18"/>
        </w:rPr>
        <w:t>if</w:t>
      </w:r>
      <w:r>
        <w:rPr>
          <w:rFonts w:ascii="Arial"/>
          <w:color w:val="231F20"/>
          <w:w w:val="170"/>
          <w:sz w:val="18"/>
        </w:rPr>
        <w:t> </w:t>
      </w:r>
      <w:r>
        <w:rPr>
          <w:rFonts w:ascii="Arial"/>
          <w:color w:val="231F20"/>
          <w:w w:val="105"/>
          <w:sz w:val="18"/>
        </w:rPr>
        <w:t>((findString(arg1)</w:t>
      </w:r>
      <w:r>
        <w:rPr>
          <w:rFonts w:ascii="Arial"/>
          <w:color w:val="231F20"/>
          <w:spacing w:val="40"/>
          <w:w w:val="105"/>
          <w:sz w:val="18"/>
        </w:rPr>
        <w:t> </w:t>
      </w:r>
      <w:r>
        <w:rPr>
          <w:rFonts w:ascii="Arial"/>
          <w:color w:val="231F20"/>
          <w:w w:val="105"/>
          <w:sz w:val="18"/>
        </w:rPr>
        <w:t>&gt;</w:t>
      </w:r>
      <w:r>
        <w:rPr>
          <w:rFonts w:ascii="Arial"/>
          <w:color w:val="231F20"/>
          <w:spacing w:val="40"/>
          <w:w w:val="105"/>
          <w:sz w:val="18"/>
        </w:rPr>
        <w:t> </w:t>
      </w:r>
      <w:r>
        <w:rPr>
          <w:rFonts w:ascii="Arial"/>
          <w:color w:val="231F20"/>
          <w:w w:val="105"/>
          <w:sz w:val="18"/>
        </w:rPr>
        <w:t>0)</w:t>
      </w:r>
      <w:r>
        <w:rPr>
          <w:rFonts w:ascii="Arial"/>
          <w:color w:val="231F20"/>
          <w:spacing w:val="40"/>
          <w:w w:val="105"/>
          <w:sz w:val="18"/>
        </w:rPr>
        <w:t> </w:t>
      </w:r>
      <w:r>
        <w:rPr>
          <w:rFonts w:ascii="Arial"/>
          <w:color w:val="231F20"/>
          <w:sz w:val="18"/>
        </w:rPr>
        <w:t>AND </w:t>
      </w:r>
      <w:r>
        <w:rPr>
          <w:rFonts w:ascii="Arial"/>
          <w:color w:val="231F20"/>
          <w:w w:val="105"/>
          <w:sz w:val="18"/>
        </w:rPr>
        <w:t>(findString("Sign</w:t>
      </w:r>
      <w:r>
        <w:rPr>
          <w:rFonts w:ascii="Arial"/>
          <w:color w:val="231F20"/>
          <w:spacing w:val="28"/>
          <w:w w:val="105"/>
          <w:sz w:val="18"/>
        </w:rPr>
        <w:t> </w:t>
      </w:r>
      <w:r>
        <w:rPr>
          <w:rFonts w:ascii="Arial"/>
          <w:color w:val="231F20"/>
          <w:sz w:val="18"/>
        </w:rPr>
        <w:t>On</w:t>
      </w:r>
      <w:r>
        <w:rPr>
          <w:rFonts w:ascii="Arial"/>
          <w:color w:val="231F20"/>
          <w:spacing w:val="28"/>
          <w:w w:val="105"/>
          <w:sz w:val="18"/>
        </w:rPr>
        <w:t> </w:t>
      </w:r>
      <w:r>
        <w:rPr>
          <w:rFonts w:ascii="Arial"/>
          <w:color w:val="231F20"/>
          <w:w w:val="105"/>
          <w:sz w:val="18"/>
        </w:rPr>
        <w:t>Panel")</w:t>
      </w:r>
      <w:r>
        <w:rPr>
          <w:rFonts w:ascii="Arial"/>
          <w:color w:val="231F20"/>
          <w:spacing w:val="28"/>
          <w:w w:val="105"/>
          <w:sz w:val="18"/>
        </w:rPr>
        <w:t> </w:t>
      </w:r>
      <w:r>
        <w:rPr>
          <w:rFonts w:ascii="Arial"/>
          <w:color w:val="231F20"/>
          <w:w w:val="105"/>
          <w:sz w:val="18"/>
        </w:rPr>
        <w:t>&gt;</w:t>
      </w:r>
      <w:r>
        <w:rPr>
          <w:rFonts w:ascii="Arial"/>
          <w:color w:val="231F20"/>
          <w:spacing w:val="28"/>
          <w:w w:val="105"/>
          <w:sz w:val="18"/>
        </w:rPr>
        <w:t> </w:t>
      </w:r>
      <w:r>
        <w:rPr>
          <w:rFonts w:ascii="Arial"/>
          <w:color w:val="231F20"/>
          <w:w w:val="105"/>
          <w:sz w:val="18"/>
        </w:rPr>
        <w:t>0)</w:t>
      </w:r>
      <w:r>
        <w:rPr>
          <w:rFonts w:ascii="Arial"/>
          <w:color w:val="231F20"/>
          <w:spacing w:val="28"/>
          <w:w w:val="105"/>
          <w:sz w:val="18"/>
        </w:rPr>
        <w:t> </w:t>
      </w:r>
      <w:r>
        <w:rPr>
          <w:rFonts w:ascii="Arial"/>
          <w:color w:val="231F20"/>
          <w:sz w:val="18"/>
        </w:rPr>
        <w:t>AND </w:t>
      </w:r>
      <w:r>
        <w:rPr>
          <w:rFonts w:ascii="Arial"/>
          <w:color w:val="231F20"/>
          <w:w w:val="105"/>
          <w:sz w:val="18"/>
        </w:rPr>
        <w:t>(findString("Userid")</w:t>
      </w:r>
      <w:r>
        <w:rPr>
          <w:rFonts w:ascii="Arial"/>
          <w:color w:val="231F20"/>
          <w:spacing w:val="40"/>
          <w:w w:val="105"/>
          <w:sz w:val="18"/>
        </w:rPr>
        <w:t> </w:t>
      </w:r>
      <w:r>
        <w:rPr>
          <w:rFonts w:ascii="Arial"/>
          <w:color w:val="231F20"/>
          <w:w w:val="105"/>
          <w:sz w:val="18"/>
        </w:rPr>
        <w:t>&gt;</w:t>
      </w:r>
      <w:r>
        <w:rPr>
          <w:rFonts w:ascii="Arial"/>
          <w:color w:val="231F20"/>
          <w:spacing w:val="40"/>
          <w:w w:val="105"/>
          <w:sz w:val="18"/>
        </w:rPr>
        <w:t> </w:t>
      </w:r>
      <w:r>
        <w:rPr>
          <w:rFonts w:ascii="Arial"/>
          <w:color w:val="231F20"/>
          <w:w w:val="105"/>
          <w:sz w:val="18"/>
        </w:rPr>
        <w:t>0)</w:t>
      </w:r>
      <w:r>
        <w:rPr>
          <w:rFonts w:ascii="Arial"/>
          <w:color w:val="231F20"/>
          <w:spacing w:val="40"/>
          <w:w w:val="105"/>
          <w:sz w:val="18"/>
        </w:rPr>
        <w:t> </w:t>
      </w:r>
      <w:r>
        <w:rPr>
          <w:rFonts w:ascii="Arial"/>
          <w:color w:val="231F20"/>
          <w:sz w:val="18"/>
        </w:rPr>
        <w:t>AND </w:t>
      </w:r>
      <w:r>
        <w:rPr>
          <w:rFonts w:ascii="Arial"/>
          <w:color w:val="231F20"/>
          <w:w w:val="105"/>
          <w:sz w:val="18"/>
        </w:rPr>
        <w:t>(findString("Password")</w:t>
      </w:r>
      <w:r>
        <w:rPr>
          <w:rFonts w:ascii="Arial"/>
          <w:color w:val="231F20"/>
          <w:spacing w:val="40"/>
          <w:w w:val="105"/>
          <w:sz w:val="18"/>
        </w:rPr>
        <w:t> </w:t>
      </w:r>
      <w:r>
        <w:rPr>
          <w:rFonts w:ascii="Arial"/>
          <w:color w:val="231F20"/>
          <w:w w:val="105"/>
          <w:sz w:val="18"/>
        </w:rPr>
        <w:t>&gt;</w:t>
      </w:r>
      <w:r>
        <w:rPr>
          <w:rFonts w:ascii="Arial"/>
          <w:color w:val="231F20"/>
          <w:spacing w:val="40"/>
          <w:w w:val="105"/>
          <w:sz w:val="18"/>
        </w:rPr>
        <w:t> </w:t>
      </w:r>
      <w:r>
        <w:rPr>
          <w:rFonts w:ascii="Arial"/>
          <w:color w:val="231F20"/>
          <w:w w:val="105"/>
          <w:sz w:val="18"/>
        </w:rPr>
        <w:t>0)</w:t>
      </w:r>
      <w:r>
        <w:rPr>
          <w:rFonts w:ascii="Arial"/>
          <w:color w:val="231F20"/>
          <w:spacing w:val="40"/>
          <w:w w:val="120"/>
          <w:sz w:val="18"/>
        </w:rPr>
        <w:t> </w:t>
      </w:r>
      <w:r>
        <w:rPr>
          <w:rFonts w:ascii="Arial"/>
          <w:color w:val="231F20"/>
          <w:w w:val="120"/>
          <w:sz w:val="18"/>
        </w:rPr>
        <w:t>)</w:t>
      </w:r>
    </w:p>
    <w:p>
      <w:pPr>
        <w:spacing w:line="230" w:lineRule="auto" w:before="3"/>
        <w:ind w:left="2232" w:right="7063" w:firstLine="0"/>
        <w:jc w:val="left"/>
        <w:rPr>
          <w:rFonts w:ascii="Arial"/>
          <w:sz w:val="18"/>
        </w:rPr>
      </w:pPr>
      <w:r>
        <w:rPr>
          <w:rFonts w:ascii="Arial"/>
          <w:color w:val="231F20"/>
          <w:w w:val="115"/>
          <w:sz w:val="18"/>
        </w:rPr>
        <w:t>return</w:t>
      </w:r>
      <w:r>
        <w:rPr>
          <w:rFonts w:ascii="Arial"/>
          <w:color w:val="231F20"/>
          <w:w w:val="115"/>
          <w:sz w:val="18"/>
        </w:rPr>
        <w:t> </w:t>
      </w:r>
      <w:r>
        <w:rPr>
          <w:rFonts w:ascii="Arial"/>
          <w:color w:val="231F20"/>
          <w:w w:val="115"/>
          <w:sz w:val="18"/>
        </w:rPr>
        <w:t>0; </w:t>
      </w:r>
      <w:r>
        <w:rPr>
          <w:rFonts w:ascii="Arial"/>
          <w:color w:val="231F20"/>
          <w:spacing w:val="-4"/>
          <w:w w:val="115"/>
          <w:sz w:val="18"/>
        </w:rPr>
        <w:t>else </w:t>
      </w:r>
      <w:r>
        <w:rPr>
          <w:rFonts w:ascii="Arial"/>
          <w:color w:val="231F20"/>
          <w:w w:val="115"/>
          <w:sz w:val="18"/>
        </w:rPr>
        <w:t>return</w:t>
      </w:r>
      <w:r>
        <w:rPr>
          <w:rFonts w:ascii="Arial"/>
          <w:color w:val="231F20"/>
          <w:w w:val="115"/>
          <w:sz w:val="18"/>
        </w:rPr>
        <w:t> 1;</w:t>
      </w:r>
    </w:p>
    <w:p>
      <w:pPr>
        <w:spacing w:line="203" w:lineRule="exact" w:before="0"/>
        <w:ind w:left="2232" w:right="0" w:firstLine="0"/>
        <w:jc w:val="left"/>
        <w:rPr>
          <w:rFonts w:ascii="Arial"/>
          <w:sz w:val="18"/>
        </w:rPr>
      </w:pPr>
      <w:bookmarkStart w:name="Function calls" w:id="300"/>
      <w:bookmarkEnd w:id="300"/>
      <w:r>
        <w:rPr/>
      </w:r>
      <w:r>
        <w:rPr>
          <w:rFonts w:ascii="Arial"/>
          <w:color w:val="231F20"/>
          <w:spacing w:val="-10"/>
          <w:w w:val="150"/>
          <w:sz w:val="18"/>
        </w:rPr>
        <w:t>}</w:t>
      </w:r>
    </w:p>
    <w:p>
      <w:pPr>
        <w:pStyle w:val="Heading4"/>
        <w:spacing w:line="273" w:lineRule="exact" w:before="176"/>
      </w:pPr>
      <w:r>
        <w:rPr>
          <w:color w:val="231F20"/>
        </w:rPr>
        <w:t>Function</w:t>
      </w:r>
      <w:r>
        <w:rPr>
          <w:color w:val="231F20"/>
          <w:spacing w:val="2"/>
        </w:rPr>
        <w:t> </w:t>
      </w:r>
      <w:r>
        <w:rPr>
          <w:color w:val="231F20"/>
          <w:spacing w:val="-2"/>
        </w:rPr>
        <w:t>calls</w:t>
      </w:r>
    </w:p>
    <w:p>
      <w:pPr>
        <w:pStyle w:val="BodyText"/>
        <w:spacing w:line="213" w:lineRule="auto" w:before="20"/>
        <w:ind w:left="2232" w:right="545"/>
      </w:pPr>
      <w:r>
        <w:rPr>
          <w:color w:val="231F20"/>
        </w:rPr>
        <w:t>A function is a uniquely named set of statements that perform a certain task. A function can take a set of arguments to operate on and return a value as a result of</w:t>
      </w:r>
      <w:r>
        <w:rPr>
          <w:color w:val="231F20"/>
          <w:spacing w:val="40"/>
        </w:rPr>
        <w:t> </w:t>
      </w:r>
      <w:r>
        <w:rPr>
          <w:color w:val="231F20"/>
        </w:rPr>
        <w:t>the task it performed. Use a function's value in assignment statements, condition statements or as a program statement.</w:t>
      </w:r>
    </w:p>
    <w:p>
      <w:pPr>
        <w:pStyle w:val="BodyText"/>
        <w:spacing w:line="213" w:lineRule="auto" w:before="237"/>
        <w:ind w:left="2232" w:right="636"/>
      </w:pPr>
      <w:r>
        <w:rPr>
          <w:color w:val="231F20"/>
        </w:rPr>
        <w:t>All functions, whether user-defined or built-in, are called in the same manner: enter the function name followed by the parameters to be passed to the </w:t>
      </w:r>
      <w:r>
        <w:rPr>
          <w:color w:val="231F20"/>
        </w:rPr>
        <w:t>function. </w:t>
      </w:r>
      <w:r>
        <w:rPr>
          <w:color w:val="231F20"/>
          <w:spacing w:val="-2"/>
        </w:rPr>
        <w:t>Example:</w:t>
      </w:r>
    </w:p>
    <w:p>
      <w:pPr>
        <w:spacing w:before="60"/>
        <w:ind w:left="2232" w:right="0" w:firstLine="0"/>
        <w:jc w:val="left"/>
        <w:rPr>
          <w:rFonts w:ascii="Arial"/>
          <w:sz w:val="18"/>
        </w:rPr>
      </w:pPr>
      <w:r>
        <w:rPr>
          <w:rFonts w:ascii="Arial"/>
          <w:color w:val="231F20"/>
          <w:spacing w:val="-2"/>
          <w:sz w:val="18"/>
        </w:rPr>
        <w:t>signonPanel("OMEGAVIEW");</w:t>
      </w:r>
    </w:p>
    <w:p>
      <w:pPr>
        <w:pStyle w:val="BodyText"/>
        <w:spacing w:before="42"/>
        <w:rPr>
          <w:rFonts w:ascii="Arial"/>
          <w:sz w:val="18"/>
        </w:rPr>
      </w:pPr>
    </w:p>
    <w:p>
      <w:pPr>
        <w:pStyle w:val="BodyText"/>
        <w:spacing w:line="213" w:lineRule="auto"/>
        <w:ind w:left="2232" w:right="636"/>
      </w:pPr>
      <w:r>
        <w:rPr>
          <w:color w:val="231F20"/>
        </w:rPr>
        <w:t>A function's value can be used in assignment statements, condition statements </w:t>
      </w:r>
      <w:r>
        <w:rPr>
          <w:color w:val="231F20"/>
        </w:rPr>
        <w:t>or as a program statement. Examples:</w:t>
      </w:r>
    </w:p>
    <w:p>
      <w:pPr>
        <w:spacing w:line="230" w:lineRule="auto" w:before="69"/>
        <w:ind w:left="2232" w:right="4095" w:firstLine="0"/>
        <w:jc w:val="left"/>
        <w:rPr>
          <w:rFonts w:ascii="Arial"/>
          <w:sz w:val="18"/>
        </w:rPr>
      </w:pPr>
      <w:r>
        <w:rPr>
          <w:rFonts w:ascii="Arial"/>
          <w:color w:val="231F20"/>
          <w:sz w:val="18"/>
        </w:rPr>
        <w:t>Result</w:t>
      </w:r>
      <w:r>
        <w:rPr>
          <w:rFonts w:ascii="Arial"/>
          <w:color w:val="231F20"/>
          <w:spacing w:val="31"/>
          <w:sz w:val="18"/>
        </w:rPr>
        <w:t> </w:t>
      </w:r>
      <w:r>
        <w:rPr>
          <w:rFonts w:ascii="Arial"/>
          <w:color w:val="231F20"/>
          <w:sz w:val="18"/>
        </w:rPr>
        <w:t>=</w:t>
      </w:r>
      <w:r>
        <w:rPr>
          <w:rFonts w:ascii="Arial"/>
          <w:color w:val="231F20"/>
          <w:spacing w:val="31"/>
          <w:sz w:val="18"/>
        </w:rPr>
        <w:t> </w:t>
      </w:r>
      <w:r>
        <w:rPr>
          <w:rFonts w:ascii="Arial"/>
          <w:color w:val="231F20"/>
          <w:sz w:val="18"/>
        </w:rPr>
        <w:t>signonPanel</w:t>
      </w:r>
      <w:r>
        <w:rPr>
          <w:rFonts w:ascii="Arial"/>
          <w:color w:val="231F20"/>
          <w:w w:val="150"/>
          <w:sz w:val="18"/>
        </w:rPr>
        <w:t> //</w:t>
      </w:r>
      <w:r>
        <w:rPr>
          <w:rFonts w:ascii="Arial"/>
          <w:color w:val="231F20"/>
          <w:w w:val="150"/>
          <w:sz w:val="18"/>
        </w:rPr>
        <w:t> </w:t>
      </w:r>
      <w:r>
        <w:rPr>
          <w:rFonts w:ascii="Arial"/>
          <w:color w:val="231F20"/>
          <w:sz w:val="18"/>
        </w:rPr>
        <w:t>an</w:t>
      </w:r>
      <w:r>
        <w:rPr>
          <w:rFonts w:ascii="Arial"/>
          <w:color w:val="231F20"/>
          <w:spacing w:val="31"/>
          <w:sz w:val="18"/>
        </w:rPr>
        <w:t> </w:t>
      </w:r>
      <w:r>
        <w:rPr>
          <w:rFonts w:ascii="Arial"/>
          <w:color w:val="231F20"/>
          <w:sz w:val="18"/>
        </w:rPr>
        <w:t>assignment </w:t>
      </w:r>
      <w:r>
        <w:rPr>
          <w:rFonts w:ascii="Arial"/>
          <w:color w:val="231F20"/>
          <w:spacing w:val="-2"/>
          <w:sz w:val="18"/>
        </w:rPr>
        <w:t>("OMEGAVIEW");</w:t>
      </w:r>
    </w:p>
    <w:p>
      <w:pPr>
        <w:spacing w:line="230" w:lineRule="auto" w:before="1"/>
        <w:ind w:left="2232" w:right="2352" w:firstLine="0"/>
        <w:jc w:val="left"/>
        <w:rPr>
          <w:rFonts w:ascii="Arial"/>
          <w:sz w:val="18"/>
        </w:rPr>
      </w:pPr>
      <w:r>
        <w:rPr>
          <w:rFonts w:ascii="Arial"/>
          <w:color w:val="231F20"/>
          <w:w w:val="150"/>
          <w:sz w:val="18"/>
        </w:rPr>
        <w:t>If</w:t>
      </w:r>
      <w:r>
        <w:rPr>
          <w:rFonts w:ascii="Arial"/>
          <w:color w:val="231F20"/>
          <w:spacing w:val="-15"/>
          <w:w w:val="150"/>
          <w:sz w:val="18"/>
        </w:rPr>
        <w:t> </w:t>
      </w:r>
      <w:r>
        <w:rPr>
          <w:rFonts w:ascii="Arial"/>
          <w:color w:val="231F20"/>
          <w:w w:val="105"/>
          <w:sz w:val="18"/>
        </w:rPr>
        <w:t>(signonPanel("OMEGAVIEW")</w:t>
      </w:r>
      <w:r>
        <w:rPr>
          <w:rFonts w:ascii="Arial"/>
          <w:color w:val="231F20"/>
          <w:spacing w:val="7"/>
          <w:w w:val="105"/>
          <w:sz w:val="18"/>
        </w:rPr>
        <w:t> </w:t>
      </w:r>
      <w:r>
        <w:rPr>
          <w:rFonts w:ascii="Arial"/>
          <w:color w:val="231F20"/>
          <w:w w:val="105"/>
          <w:sz w:val="18"/>
        </w:rPr>
        <w:t>==</w:t>
      </w:r>
      <w:r>
        <w:rPr>
          <w:rFonts w:ascii="Arial"/>
          <w:color w:val="231F20"/>
          <w:spacing w:val="-15"/>
          <w:w w:val="150"/>
          <w:sz w:val="18"/>
        </w:rPr>
        <w:t> </w:t>
      </w:r>
      <w:r>
        <w:rPr>
          <w:rFonts w:ascii="Arial"/>
          <w:color w:val="231F20"/>
          <w:w w:val="150"/>
          <w:sz w:val="18"/>
        </w:rPr>
        <w:t>//</w:t>
      </w:r>
      <w:r>
        <w:rPr>
          <w:rFonts w:ascii="Arial"/>
          <w:color w:val="231F20"/>
          <w:spacing w:val="-15"/>
          <w:w w:val="150"/>
          <w:sz w:val="18"/>
        </w:rPr>
        <w:t> </w:t>
      </w:r>
      <w:r>
        <w:rPr>
          <w:rFonts w:ascii="Arial"/>
          <w:color w:val="231F20"/>
          <w:w w:val="105"/>
          <w:sz w:val="18"/>
        </w:rPr>
        <w:t>in</w:t>
      </w:r>
      <w:r>
        <w:rPr>
          <w:rFonts w:ascii="Arial"/>
          <w:color w:val="231F20"/>
          <w:spacing w:val="7"/>
          <w:w w:val="105"/>
          <w:sz w:val="18"/>
        </w:rPr>
        <w:t> </w:t>
      </w:r>
      <w:r>
        <w:rPr>
          <w:rFonts w:ascii="Arial"/>
          <w:color w:val="231F20"/>
          <w:w w:val="105"/>
          <w:sz w:val="18"/>
        </w:rPr>
        <w:t>a</w:t>
      </w:r>
      <w:r>
        <w:rPr>
          <w:rFonts w:ascii="Arial"/>
          <w:color w:val="231F20"/>
          <w:spacing w:val="7"/>
          <w:w w:val="105"/>
          <w:sz w:val="18"/>
        </w:rPr>
        <w:t> </w:t>
      </w:r>
      <w:r>
        <w:rPr>
          <w:rFonts w:ascii="Arial"/>
          <w:color w:val="231F20"/>
          <w:w w:val="105"/>
          <w:sz w:val="18"/>
        </w:rPr>
        <w:t>conditional</w:t>
      </w:r>
      <w:r>
        <w:rPr>
          <w:rFonts w:ascii="Arial"/>
          <w:color w:val="231F20"/>
          <w:spacing w:val="7"/>
          <w:w w:val="105"/>
          <w:sz w:val="18"/>
        </w:rPr>
        <w:t> </w:t>
      </w:r>
      <w:r>
        <w:rPr>
          <w:rFonts w:ascii="Arial"/>
          <w:color w:val="231F20"/>
          <w:w w:val="105"/>
          <w:sz w:val="18"/>
        </w:rPr>
        <w:t>statement; </w:t>
      </w:r>
      <w:r>
        <w:rPr>
          <w:rFonts w:ascii="Arial"/>
          <w:color w:val="231F20"/>
          <w:spacing w:val="-6"/>
          <w:w w:val="105"/>
          <w:sz w:val="18"/>
        </w:rPr>
        <w:t>1)</w:t>
      </w:r>
    </w:p>
    <w:p>
      <w:pPr>
        <w:spacing w:line="202" w:lineRule="exact" w:before="0"/>
        <w:ind w:left="2232" w:right="0" w:firstLine="0"/>
        <w:jc w:val="left"/>
        <w:rPr>
          <w:rFonts w:ascii="Arial"/>
          <w:sz w:val="18"/>
        </w:rPr>
      </w:pPr>
      <w:bookmarkStart w:name="Built-in functions" w:id="301"/>
      <w:bookmarkEnd w:id="301"/>
      <w:r>
        <w:rPr/>
      </w:r>
      <w:r>
        <w:rPr>
          <w:rFonts w:ascii="Arial"/>
          <w:color w:val="231F20"/>
          <w:spacing w:val="-2"/>
          <w:sz w:val="18"/>
        </w:rPr>
        <w:t>SignonPanel("OMEGAVIEW");</w:t>
      </w:r>
      <w:r>
        <w:rPr>
          <w:rFonts w:ascii="Arial"/>
          <w:color w:val="231F20"/>
          <w:spacing w:val="11"/>
          <w:sz w:val="18"/>
        </w:rPr>
        <w:t> </w:t>
      </w:r>
      <w:r>
        <w:rPr>
          <w:rFonts w:ascii="Arial"/>
          <w:color w:val="231F20"/>
          <w:spacing w:val="-2"/>
          <w:sz w:val="18"/>
        </w:rPr>
        <w:t>//</w:t>
      </w:r>
      <w:r>
        <w:rPr>
          <w:rFonts w:ascii="Arial"/>
          <w:color w:val="231F20"/>
          <w:spacing w:val="12"/>
          <w:sz w:val="18"/>
        </w:rPr>
        <w:t> </w:t>
      </w:r>
      <w:r>
        <w:rPr>
          <w:rFonts w:ascii="Arial"/>
          <w:color w:val="231F20"/>
          <w:spacing w:val="-2"/>
          <w:sz w:val="18"/>
        </w:rPr>
        <w:t>as</w:t>
      </w:r>
      <w:r>
        <w:rPr>
          <w:rFonts w:ascii="Arial"/>
          <w:color w:val="231F20"/>
          <w:spacing w:val="11"/>
          <w:sz w:val="18"/>
        </w:rPr>
        <w:t> </w:t>
      </w:r>
      <w:r>
        <w:rPr>
          <w:rFonts w:ascii="Arial"/>
          <w:color w:val="231F20"/>
          <w:spacing w:val="-2"/>
          <w:sz w:val="18"/>
        </w:rPr>
        <w:t>a</w:t>
      </w:r>
      <w:r>
        <w:rPr>
          <w:rFonts w:ascii="Arial"/>
          <w:color w:val="231F20"/>
          <w:spacing w:val="12"/>
          <w:sz w:val="18"/>
        </w:rPr>
        <w:t> </w:t>
      </w:r>
      <w:r>
        <w:rPr>
          <w:rFonts w:ascii="Arial"/>
          <w:color w:val="231F20"/>
          <w:spacing w:val="-2"/>
          <w:sz w:val="18"/>
        </w:rPr>
        <w:t>program</w:t>
      </w:r>
      <w:r>
        <w:rPr>
          <w:rFonts w:ascii="Arial"/>
          <w:color w:val="231F20"/>
          <w:spacing w:val="12"/>
          <w:sz w:val="18"/>
        </w:rPr>
        <w:t> </w:t>
      </w:r>
      <w:r>
        <w:rPr>
          <w:rFonts w:ascii="Arial"/>
          <w:color w:val="231F20"/>
          <w:spacing w:val="-2"/>
          <w:sz w:val="18"/>
        </w:rPr>
        <w:t>statement</w:t>
      </w:r>
    </w:p>
    <w:p>
      <w:pPr>
        <w:pStyle w:val="Heading4"/>
        <w:spacing w:line="273" w:lineRule="exact" w:before="176"/>
      </w:pPr>
      <w:r>
        <w:rPr>
          <w:color w:val="231F20"/>
        </w:rPr>
        <w:t>Built-in</w:t>
      </w:r>
      <w:r>
        <w:rPr>
          <w:color w:val="231F20"/>
          <w:spacing w:val="4"/>
        </w:rPr>
        <w:t> </w:t>
      </w:r>
      <w:r>
        <w:rPr>
          <w:color w:val="231F20"/>
          <w:spacing w:val="-2"/>
        </w:rPr>
        <w:t>functions</w:t>
      </w:r>
    </w:p>
    <w:p>
      <w:pPr>
        <w:pStyle w:val="BodyText"/>
        <w:spacing w:line="213" w:lineRule="auto" w:before="20"/>
        <w:ind w:left="2232" w:right="493"/>
      </w:pPr>
      <w:r>
        <w:rPr>
          <w:color w:val="231F20"/>
        </w:rPr>
        <w:t>The terminal script language has a set of built-in functions that can be used to</w:t>
      </w:r>
      <w:r>
        <w:rPr>
          <w:color w:val="231F20"/>
          <w:spacing w:val="40"/>
        </w:rPr>
        <w:t> </w:t>
      </w:r>
      <w:r>
        <w:rPr>
          <w:color w:val="231F20"/>
        </w:rPr>
        <w:t>manipulate data as well as to control the navigation through a terminal </w:t>
      </w:r>
      <w:r>
        <w:rPr>
          <w:color w:val="231F20"/>
        </w:rPr>
        <w:t>session. Because these functions are already defined internally, they do not have to be declared before using them. Simply type the name of the function.</w:t>
      </w:r>
    </w:p>
    <w:p>
      <w:pPr>
        <w:spacing w:after="0" w:line="213" w:lineRule="auto"/>
        <w:sectPr>
          <w:pgSz w:w="12240" w:h="15840"/>
          <w:pgMar w:header="0" w:footer="736" w:top="1300" w:bottom="920" w:left="1000" w:right="1060"/>
        </w:sectPr>
      </w:pPr>
    </w:p>
    <w:p>
      <w:pPr>
        <w:pStyle w:val="BodyText"/>
        <w:spacing w:line="213" w:lineRule="auto" w:before="85"/>
        <w:ind w:left="2472" w:right="545"/>
      </w:pPr>
      <w:bookmarkStart w:name="_bookmark136" w:id="302"/>
      <w:bookmarkEnd w:id="302"/>
      <w:r>
        <w:rPr/>
      </w:r>
      <w:r>
        <w:rPr>
          <w:color w:val="231F20"/>
        </w:rPr>
        <w:t>The following sections describe the built-in functions and their parameters </w:t>
      </w:r>
      <w:r>
        <w:rPr>
          <w:color w:val="231F20"/>
        </w:rPr>
        <w:t>and return values.</w:t>
      </w:r>
    </w:p>
    <w:p>
      <w:pPr>
        <w:pStyle w:val="BodyText"/>
        <w:spacing w:before="95"/>
        <w:ind w:right="1055"/>
        <w:jc w:val="center"/>
      </w:pPr>
      <w:r>
        <w:rPr>
          <w:rFonts w:ascii="Book Antiqua"/>
          <w:b/>
          <w:color w:val="231F20"/>
        </w:rPr>
        <w:t>Upper</w:t>
      </w:r>
      <w:r>
        <w:rPr>
          <w:rFonts w:ascii="Book Antiqua"/>
          <w:b/>
          <w:color w:val="231F20"/>
          <w:spacing w:val="57"/>
          <w:w w:val="150"/>
        </w:rPr>
        <w:t> </w:t>
      </w:r>
      <w:r>
        <w:rPr>
          <w:color w:val="231F20"/>
        </w:rPr>
        <w:t>Upper</w:t>
      </w:r>
      <w:r>
        <w:rPr>
          <w:color w:val="231F20"/>
          <w:spacing w:val="12"/>
        </w:rPr>
        <w:t> </w:t>
      </w:r>
      <w:r>
        <w:rPr>
          <w:color w:val="231F20"/>
        </w:rPr>
        <w:t>converts</w:t>
      </w:r>
      <w:r>
        <w:rPr>
          <w:color w:val="231F20"/>
          <w:spacing w:val="12"/>
        </w:rPr>
        <w:t> </w:t>
      </w:r>
      <w:r>
        <w:rPr>
          <w:color w:val="231F20"/>
        </w:rPr>
        <w:t>a</w:t>
      </w:r>
      <w:r>
        <w:rPr>
          <w:color w:val="231F20"/>
          <w:spacing w:val="12"/>
        </w:rPr>
        <w:t> </w:t>
      </w:r>
      <w:r>
        <w:rPr>
          <w:color w:val="231F20"/>
        </w:rPr>
        <w:t>string</w:t>
      </w:r>
      <w:r>
        <w:rPr>
          <w:color w:val="231F20"/>
          <w:spacing w:val="12"/>
        </w:rPr>
        <w:t> </w:t>
      </w:r>
      <w:r>
        <w:rPr>
          <w:color w:val="231F20"/>
        </w:rPr>
        <w:t>to</w:t>
      </w:r>
      <w:r>
        <w:rPr>
          <w:color w:val="231F20"/>
          <w:spacing w:val="12"/>
        </w:rPr>
        <w:t> </w:t>
      </w:r>
      <w:r>
        <w:rPr>
          <w:color w:val="231F20"/>
        </w:rPr>
        <w:t>upper</w:t>
      </w:r>
      <w:r>
        <w:rPr>
          <w:color w:val="231F20"/>
          <w:spacing w:val="12"/>
        </w:rPr>
        <w:t> </w:t>
      </w:r>
      <w:r>
        <w:rPr>
          <w:color w:val="231F20"/>
          <w:spacing w:val="-2"/>
        </w:rPr>
        <w:t>case.</w:t>
      </w:r>
    </w:p>
    <w:p>
      <w:pPr>
        <w:spacing w:before="89"/>
        <w:ind w:left="0" w:right="1081" w:firstLine="0"/>
        <w:jc w:val="center"/>
        <w:rPr>
          <w:sz w:val="20"/>
        </w:rPr>
      </w:pPr>
      <w:r>
        <w:rPr>
          <w:rFonts w:ascii="Book Antiqua"/>
          <w:b/>
          <w:color w:val="231F20"/>
          <w:sz w:val="20"/>
        </w:rPr>
        <w:t>Parms</w:t>
      </w:r>
      <w:r>
        <w:rPr>
          <w:rFonts w:ascii="Book Antiqua"/>
          <w:b/>
          <w:color w:val="231F20"/>
          <w:spacing w:val="71"/>
          <w:w w:val="150"/>
          <w:sz w:val="20"/>
        </w:rPr>
        <w:t> </w:t>
      </w:r>
      <w:r>
        <w:rPr>
          <w:color w:val="231F20"/>
          <w:sz w:val="20"/>
        </w:rPr>
        <w:t>String</w:t>
      </w:r>
      <w:r>
        <w:rPr>
          <w:color w:val="231F20"/>
          <w:spacing w:val="13"/>
          <w:sz w:val="20"/>
        </w:rPr>
        <w:t> </w:t>
      </w:r>
      <w:r>
        <w:rPr>
          <w:color w:val="231F20"/>
          <w:sz w:val="20"/>
        </w:rPr>
        <w:t>to</w:t>
      </w:r>
      <w:r>
        <w:rPr>
          <w:color w:val="231F20"/>
          <w:spacing w:val="13"/>
          <w:sz w:val="20"/>
        </w:rPr>
        <w:t> </w:t>
      </w:r>
      <w:r>
        <w:rPr>
          <w:color w:val="231F20"/>
          <w:sz w:val="20"/>
        </w:rPr>
        <w:t>be</w:t>
      </w:r>
      <w:r>
        <w:rPr>
          <w:color w:val="231F20"/>
          <w:spacing w:val="14"/>
          <w:sz w:val="20"/>
        </w:rPr>
        <w:t> </w:t>
      </w:r>
      <w:r>
        <w:rPr>
          <w:color w:val="231F20"/>
          <w:spacing w:val="-2"/>
          <w:sz w:val="20"/>
        </w:rPr>
        <w:t>converted</w:t>
      </w:r>
    </w:p>
    <w:p>
      <w:pPr>
        <w:pStyle w:val="Heading6"/>
        <w:spacing w:line="240" w:lineRule="auto" w:before="112"/>
        <w:ind w:left="3190"/>
      </w:pPr>
      <w:r>
        <w:rPr>
          <w:color w:val="231F20"/>
          <w:spacing w:val="-2"/>
        </w:rPr>
        <w:t>Return</w:t>
      </w:r>
    </w:p>
    <w:p>
      <w:pPr>
        <w:pStyle w:val="BodyText"/>
        <w:spacing w:line="213" w:lineRule="auto"/>
        <w:ind w:left="3909" w:right="385"/>
      </w:pPr>
      <w:r>
        <w:rPr>
          <w:color w:val="231F20"/>
        </w:rPr>
        <w:t>Returns a new string, converted to uppercase. Follows the rules </w:t>
      </w:r>
      <w:r>
        <w:rPr>
          <w:color w:val="231F20"/>
        </w:rPr>
        <w:t>of the language in use.</w:t>
      </w:r>
    </w:p>
    <w:p>
      <w:pPr>
        <w:pStyle w:val="BodyText"/>
        <w:spacing w:before="94"/>
        <w:ind w:left="3190"/>
      </w:pPr>
      <w:r>
        <w:rPr>
          <w:color w:val="231F20"/>
          <w:spacing w:val="-2"/>
        </w:rPr>
        <w:t>Example:</w:t>
      </w:r>
    </w:p>
    <w:p>
      <w:pPr>
        <w:spacing w:line="203" w:lineRule="exact" w:before="56"/>
        <w:ind w:left="3190" w:right="0" w:firstLine="0"/>
        <w:jc w:val="left"/>
        <w:rPr>
          <w:rFonts w:ascii="Arial"/>
          <w:sz w:val="18"/>
        </w:rPr>
      </w:pPr>
      <w:r>
        <w:rPr>
          <w:rFonts w:ascii="Arial"/>
          <w:color w:val="231F20"/>
          <w:w w:val="110"/>
          <w:sz w:val="18"/>
        </w:rPr>
        <w:t>Str</w:t>
      </w:r>
      <w:r>
        <w:rPr>
          <w:rFonts w:ascii="Arial"/>
          <w:color w:val="231F20"/>
          <w:spacing w:val="28"/>
          <w:w w:val="110"/>
          <w:sz w:val="18"/>
        </w:rPr>
        <w:t> </w:t>
      </w:r>
      <w:r>
        <w:rPr>
          <w:rFonts w:ascii="Arial"/>
          <w:color w:val="231F20"/>
          <w:w w:val="110"/>
          <w:sz w:val="18"/>
        </w:rPr>
        <w:t>=</w:t>
      </w:r>
      <w:r>
        <w:rPr>
          <w:rFonts w:ascii="Arial"/>
          <w:color w:val="231F20"/>
          <w:spacing w:val="29"/>
          <w:w w:val="110"/>
          <w:sz w:val="18"/>
        </w:rPr>
        <w:t> </w:t>
      </w:r>
      <w:r>
        <w:rPr>
          <w:rFonts w:ascii="Arial"/>
          <w:color w:val="231F20"/>
          <w:spacing w:val="-2"/>
          <w:w w:val="110"/>
          <w:sz w:val="18"/>
        </w:rPr>
        <w:t>"abc";</w:t>
      </w:r>
    </w:p>
    <w:p>
      <w:pPr>
        <w:spacing w:line="203" w:lineRule="exact" w:before="0"/>
        <w:ind w:left="3190" w:right="0" w:firstLine="0"/>
        <w:jc w:val="left"/>
        <w:rPr>
          <w:rFonts w:ascii="Arial"/>
          <w:sz w:val="18"/>
        </w:rPr>
      </w:pPr>
      <w:r>
        <w:rPr>
          <w:rFonts w:ascii="Arial"/>
          <w:color w:val="231F20"/>
          <w:w w:val="110"/>
          <w:sz w:val="18"/>
        </w:rPr>
        <w:t>Str2</w:t>
      </w:r>
      <w:r>
        <w:rPr>
          <w:rFonts w:ascii="Arial"/>
          <w:color w:val="231F20"/>
          <w:spacing w:val="53"/>
          <w:w w:val="110"/>
          <w:sz w:val="18"/>
        </w:rPr>
        <w:t> </w:t>
      </w:r>
      <w:r>
        <w:rPr>
          <w:rFonts w:ascii="Arial"/>
          <w:color w:val="231F20"/>
          <w:w w:val="110"/>
          <w:sz w:val="18"/>
        </w:rPr>
        <w:t>=</w:t>
      </w:r>
      <w:r>
        <w:rPr>
          <w:rFonts w:ascii="Arial"/>
          <w:color w:val="231F20"/>
          <w:spacing w:val="53"/>
          <w:w w:val="110"/>
          <w:sz w:val="18"/>
        </w:rPr>
        <w:t> </w:t>
      </w:r>
      <w:r>
        <w:rPr>
          <w:rFonts w:ascii="Arial"/>
          <w:color w:val="231F20"/>
          <w:w w:val="110"/>
          <w:sz w:val="18"/>
        </w:rPr>
        <w:t>upper(str);</w:t>
      </w:r>
      <w:r>
        <w:rPr>
          <w:rFonts w:ascii="Arial"/>
          <w:color w:val="231F20"/>
          <w:spacing w:val="34"/>
          <w:w w:val="150"/>
          <w:sz w:val="18"/>
        </w:rPr>
        <w:t> </w:t>
      </w:r>
      <w:r>
        <w:rPr>
          <w:rFonts w:ascii="Arial"/>
          <w:color w:val="231F20"/>
          <w:w w:val="150"/>
          <w:sz w:val="18"/>
        </w:rPr>
        <w:t>//</w:t>
      </w:r>
      <w:r>
        <w:rPr>
          <w:rFonts w:ascii="Arial"/>
          <w:color w:val="231F20"/>
          <w:spacing w:val="33"/>
          <w:w w:val="150"/>
          <w:sz w:val="18"/>
        </w:rPr>
        <w:t> </w:t>
      </w:r>
      <w:r>
        <w:rPr>
          <w:rFonts w:ascii="Arial"/>
          <w:color w:val="231F20"/>
          <w:w w:val="110"/>
          <w:sz w:val="18"/>
        </w:rPr>
        <w:t>str2</w:t>
      </w:r>
      <w:r>
        <w:rPr>
          <w:rFonts w:ascii="Arial"/>
          <w:color w:val="231F20"/>
          <w:spacing w:val="48"/>
          <w:w w:val="120"/>
          <w:sz w:val="18"/>
        </w:rPr>
        <w:t> </w:t>
      </w:r>
      <w:r>
        <w:rPr>
          <w:rFonts w:ascii="Arial"/>
          <w:color w:val="231F20"/>
          <w:w w:val="120"/>
          <w:sz w:val="18"/>
        </w:rPr>
        <w:t>will</w:t>
      </w:r>
      <w:r>
        <w:rPr>
          <w:rFonts w:ascii="Arial"/>
          <w:color w:val="231F20"/>
          <w:spacing w:val="49"/>
          <w:w w:val="120"/>
          <w:sz w:val="18"/>
        </w:rPr>
        <w:t> </w:t>
      </w:r>
      <w:r>
        <w:rPr>
          <w:rFonts w:ascii="Arial"/>
          <w:color w:val="231F20"/>
          <w:w w:val="110"/>
          <w:sz w:val="18"/>
        </w:rPr>
        <w:t>contain</w:t>
      </w:r>
      <w:r>
        <w:rPr>
          <w:rFonts w:ascii="Arial"/>
          <w:color w:val="231F20"/>
          <w:spacing w:val="53"/>
          <w:w w:val="110"/>
          <w:sz w:val="18"/>
        </w:rPr>
        <w:t> </w:t>
      </w:r>
      <w:r>
        <w:rPr>
          <w:rFonts w:ascii="Arial"/>
          <w:color w:val="231F20"/>
          <w:spacing w:val="-2"/>
          <w:w w:val="110"/>
          <w:sz w:val="18"/>
        </w:rPr>
        <w:t>"ABC"</w:t>
      </w:r>
    </w:p>
    <w:p>
      <w:pPr>
        <w:pStyle w:val="BodyText"/>
        <w:spacing w:before="106"/>
        <w:ind w:right="1080"/>
        <w:jc w:val="center"/>
      </w:pPr>
      <w:r>
        <w:rPr>
          <w:rFonts w:ascii="Book Antiqua"/>
          <w:b/>
          <w:color w:val="231F20"/>
        </w:rPr>
        <w:t>Lower</w:t>
      </w:r>
      <w:r>
        <w:rPr>
          <w:rFonts w:ascii="Book Antiqua"/>
          <w:b/>
          <w:color w:val="231F20"/>
          <w:spacing w:val="57"/>
          <w:w w:val="150"/>
        </w:rPr>
        <w:t> </w:t>
      </w:r>
      <w:r>
        <w:rPr>
          <w:color w:val="231F20"/>
        </w:rPr>
        <w:t>Lower</w:t>
      </w:r>
      <w:r>
        <w:rPr>
          <w:color w:val="231F20"/>
          <w:spacing w:val="12"/>
        </w:rPr>
        <w:t> </w:t>
      </w:r>
      <w:r>
        <w:rPr>
          <w:color w:val="231F20"/>
        </w:rPr>
        <w:t>converts</w:t>
      </w:r>
      <w:r>
        <w:rPr>
          <w:color w:val="231F20"/>
          <w:spacing w:val="12"/>
        </w:rPr>
        <w:t> </w:t>
      </w:r>
      <w:r>
        <w:rPr>
          <w:color w:val="231F20"/>
        </w:rPr>
        <w:t>a</w:t>
      </w:r>
      <w:r>
        <w:rPr>
          <w:color w:val="231F20"/>
          <w:spacing w:val="12"/>
        </w:rPr>
        <w:t> </w:t>
      </w:r>
      <w:r>
        <w:rPr>
          <w:color w:val="231F20"/>
        </w:rPr>
        <w:t>string</w:t>
      </w:r>
      <w:r>
        <w:rPr>
          <w:color w:val="231F20"/>
          <w:spacing w:val="12"/>
        </w:rPr>
        <w:t> </w:t>
      </w:r>
      <w:r>
        <w:rPr>
          <w:color w:val="231F20"/>
        </w:rPr>
        <w:t>to</w:t>
      </w:r>
      <w:r>
        <w:rPr>
          <w:color w:val="231F20"/>
          <w:spacing w:val="12"/>
        </w:rPr>
        <w:t> </w:t>
      </w:r>
      <w:r>
        <w:rPr>
          <w:color w:val="231F20"/>
        </w:rPr>
        <w:t>lower</w:t>
      </w:r>
      <w:r>
        <w:rPr>
          <w:color w:val="231F20"/>
          <w:spacing w:val="12"/>
        </w:rPr>
        <w:t> </w:t>
      </w:r>
      <w:r>
        <w:rPr>
          <w:color w:val="231F20"/>
          <w:spacing w:val="-2"/>
        </w:rPr>
        <w:t>case.</w:t>
      </w:r>
    </w:p>
    <w:p>
      <w:pPr>
        <w:spacing w:before="90"/>
        <w:ind w:left="0" w:right="1081" w:firstLine="0"/>
        <w:jc w:val="center"/>
        <w:rPr>
          <w:sz w:val="20"/>
        </w:rPr>
      </w:pPr>
      <w:r>
        <w:rPr>
          <w:rFonts w:ascii="Book Antiqua"/>
          <w:b/>
          <w:color w:val="231F20"/>
          <w:sz w:val="20"/>
        </w:rPr>
        <w:t>Parms</w:t>
      </w:r>
      <w:r>
        <w:rPr>
          <w:rFonts w:ascii="Book Antiqua"/>
          <w:b/>
          <w:color w:val="231F20"/>
          <w:spacing w:val="71"/>
          <w:w w:val="150"/>
          <w:sz w:val="20"/>
        </w:rPr>
        <w:t> </w:t>
      </w:r>
      <w:r>
        <w:rPr>
          <w:color w:val="231F20"/>
          <w:sz w:val="20"/>
        </w:rPr>
        <w:t>String</w:t>
      </w:r>
      <w:r>
        <w:rPr>
          <w:color w:val="231F20"/>
          <w:spacing w:val="13"/>
          <w:sz w:val="20"/>
        </w:rPr>
        <w:t> </w:t>
      </w:r>
      <w:r>
        <w:rPr>
          <w:color w:val="231F20"/>
          <w:sz w:val="20"/>
        </w:rPr>
        <w:t>to</w:t>
      </w:r>
      <w:r>
        <w:rPr>
          <w:color w:val="231F20"/>
          <w:spacing w:val="13"/>
          <w:sz w:val="20"/>
        </w:rPr>
        <w:t> </w:t>
      </w:r>
      <w:r>
        <w:rPr>
          <w:color w:val="231F20"/>
          <w:sz w:val="20"/>
        </w:rPr>
        <w:t>be</w:t>
      </w:r>
      <w:r>
        <w:rPr>
          <w:color w:val="231F20"/>
          <w:spacing w:val="14"/>
          <w:sz w:val="20"/>
        </w:rPr>
        <w:t> </w:t>
      </w:r>
      <w:r>
        <w:rPr>
          <w:color w:val="231F20"/>
          <w:spacing w:val="-2"/>
          <w:sz w:val="20"/>
        </w:rPr>
        <w:t>converted</w:t>
      </w:r>
    </w:p>
    <w:p>
      <w:pPr>
        <w:pStyle w:val="Heading6"/>
        <w:spacing w:line="240" w:lineRule="auto" w:before="111"/>
        <w:ind w:left="3190"/>
      </w:pPr>
      <w:r>
        <w:rPr>
          <w:color w:val="231F20"/>
          <w:spacing w:val="-2"/>
        </w:rPr>
        <w:t>Return</w:t>
      </w:r>
    </w:p>
    <w:p>
      <w:pPr>
        <w:pStyle w:val="BodyText"/>
        <w:spacing w:line="213" w:lineRule="auto"/>
        <w:ind w:left="3909" w:right="274"/>
      </w:pPr>
      <w:r>
        <w:rPr>
          <w:color w:val="231F20"/>
        </w:rPr>
        <w:t>Returns a new string, converted to lowercase. Follows the rules </w:t>
      </w:r>
      <w:r>
        <w:rPr>
          <w:color w:val="231F20"/>
        </w:rPr>
        <w:t>of the language in use.</w:t>
      </w:r>
    </w:p>
    <w:p>
      <w:pPr>
        <w:pStyle w:val="BodyText"/>
        <w:spacing w:before="95"/>
        <w:ind w:left="3190"/>
      </w:pPr>
      <w:r>
        <w:rPr>
          <w:color w:val="231F20"/>
          <w:spacing w:val="-2"/>
        </w:rPr>
        <w:t>Example:</w:t>
      </w:r>
    </w:p>
    <w:p>
      <w:pPr>
        <w:spacing w:line="203" w:lineRule="exact" w:before="55"/>
        <w:ind w:left="3190" w:right="0" w:firstLine="0"/>
        <w:jc w:val="left"/>
        <w:rPr>
          <w:rFonts w:ascii="Arial"/>
          <w:sz w:val="18"/>
        </w:rPr>
      </w:pPr>
      <w:r>
        <w:rPr>
          <w:rFonts w:ascii="Arial"/>
          <w:color w:val="231F20"/>
          <w:sz w:val="18"/>
        </w:rPr>
        <w:t>Str</w:t>
      </w:r>
      <w:r>
        <w:rPr>
          <w:rFonts w:ascii="Arial"/>
          <w:color w:val="231F20"/>
          <w:spacing w:val="50"/>
          <w:sz w:val="18"/>
        </w:rPr>
        <w:t> </w:t>
      </w:r>
      <w:r>
        <w:rPr>
          <w:rFonts w:ascii="Arial"/>
          <w:color w:val="231F20"/>
          <w:sz w:val="18"/>
        </w:rPr>
        <w:t>=</w:t>
      </w:r>
      <w:r>
        <w:rPr>
          <w:rFonts w:ascii="Arial"/>
          <w:color w:val="231F20"/>
          <w:spacing w:val="51"/>
          <w:sz w:val="18"/>
        </w:rPr>
        <w:t> </w:t>
      </w:r>
      <w:r>
        <w:rPr>
          <w:rFonts w:ascii="Arial"/>
          <w:color w:val="231F20"/>
          <w:spacing w:val="-2"/>
          <w:sz w:val="18"/>
        </w:rPr>
        <w:t>"ABC";</w:t>
      </w:r>
    </w:p>
    <w:p>
      <w:pPr>
        <w:spacing w:line="203" w:lineRule="exact" w:before="0"/>
        <w:ind w:left="3190" w:right="0" w:firstLine="0"/>
        <w:jc w:val="left"/>
        <w:rPr>
          <w:rFonts w:ascii="Arial"/>
          <w:sz w:val="18"/>
        </w:rPr>
      </w:pPr>
      <w:r>
        <w:rPr>
          <w:rFonts w:ascii="Arial"/>
          <w:color w:val="231F20"/>
          <w:w w:val="125"/>
          <w:sz w:val="18"/>
        </w:rPr>
        <w:t>Str2</w:t>
      </w:r>
      <w:r>
        <w:rPr>
          <w:rFonts w:ascii="Arial"/>
          <w:color w:val="231F20"/>
          <w:spacing w:val="-4"/>
          <w:w w:val="125"/>
          <w:sz w:val="18"/>
        </w:rPr>
        <w:t> </w:t>
      </w:r>
      <w:r>
        <w:rPr>
          <w:rFonts w:ascii="Arial"/>
          <w:color w:val="231F20"/>
          <w:w w:val="115"/>
          <w:sz w:val="18"/>
        </w:rPr>
        <w:t>=</w:t>
      </w:r>
      <w:r>
        <w:rPr>
          <w:rFonts w:ascii="Arial"/>
          <w:color w:val="231F20"/>
          <w:spacing w:val="-3"/>
          <w:w w:val="125"/>
          <w:sz w:val="18"/>
        </w:rPr>
        <w:t> </w:t>
      </w:r>
      <w:r>
        <w:rPr>
          <w:rFonts w:ascii="Arial"/>
          <w:color w:val="231F20"/>
          <w:w w:val="125"/>
          <w:sz w:val="18"/>
        </w:rPr>
        <w:t>lower(str);</w:t>
      </w:r>
      <w:r>
        <w:rPr>
          <w:rFonts w:ascii="Arial"/>
          <w:color w:val="231F20"/>
          <w:spacing w:val="-3"/>
          <w:w w:val="125"/>
          <w:sz w:val="18"/>
        </w:rPr>
        <w:t> </w:t>
      </w:r>
      <w:r>
        <w:rPr>
          <w:rFonts w:ascii="Arial"/>
          <w:color w:val="231F20"/>
          <w:w w:val="150"/>
          <w:sz w:val="18"/>
        </w:rPr>
        <w:t>//</w:t>
      </w:r>
      <w:r>
        <w:rPr>
          <w:rFonts w:ascii="Arial"/>
          <w:color w:val="231F20"/>
          <w:spacing w:val="-16"/>
          <w:w w:val="150"/>
          <w:sz w:val="18"/>
        </w:rPr>
        <w:t> </w:t>
      </w:r>
      <w:r>
        <w:rPr>
          <w:rFonts w:ascii="Arial"/>
          <w:color w:val="231F20"/>
          <w:w w:val="125"/>
          <w:sz w:val="18"/>
        </w:rPr>
        <w:t>str2</w:t>
      </w:r>
      <w:r>
        <w:rPr>
          <w:rFonts w:ascii="Arial"/>
          <w:color w:val="231F20"/>
          <w:spacing w:val="-4"/>
          <w:w w:val="125"/>
          <w:sz w:val="18"/>
        </w:rPr>
        <w:t> </w:t>
      </w:r>
      <w:r>
        <w:rPr>
          <w:rFonts w:ascii="Arial"/>
          <w:color w:val="231F20"/>
          <w:w w:val="150"/>
          <w:sz w:val="18"/>
        </w:rPr>
        <w:t>will</w:t>
      </w:r>
      <w:r>
        <w:rPr>
          <w:rFonts w:ascii="Arial"/>
          <w:color w:val="231F20"/>
          <w:spacing w:val="-16"/>
          <w:w w:val="150"/>
          <w:sz w:val="18"/>
        </w:rPr>
        <w:t> </w:t>
      </w:r>
      <w:r>
        <w:rPr>
          <w:rFonts w:ascii="Arial"/>
          <w:color w:val="231F20"/>
          <w:w w:val="125"/>
          <w:sz w:val="18"/>
        </w:rPr>
        <w:t>contain</w:t>
      </w:r>
      <w:r>
        <w:rPr>
          <w:rFonts w:ascii="Arial"/>
          <w:color w:val="231F20"/>
          <w:spacing w:val="-3"/>
          <w:w w:val="125"/>
          <w:sz w:val="18"/>
        </w:rPr>
        <w:t> </w:t>
      </w:r>
      <w:r>
        <w:rPr>
          <w:rFonts w:ascii="Arial"/>
          <w:color w:val="231F20"/>
          <w:spacing w:val="-2"/>
          <w:w w:val="125"/>
          <w:sz w:val="18"/>
        </w:rPr>
        <w:t>"abc"</w:t>
      </w:r>
    </w:p>
    <w:p>
      <w:pPr>
        <w:pStyle w:val="BodyText"/>
        <w:spacing w:line="213" w:lineRule="auto" w:before="130"/>
        <w:ind w:left="3190" w:right="493" w:hanging="719"/>
      </w:pPr>
      <w:r>
        <w:rPr>
          <w:rFonts w:ascii="Book Antiqua"/>
          <w:b/>
          <w:color w:val="231F20"/>
        </w:rPr>
        <w:t>Index</w:t>
      </w:r>
      <w:r>
        <w:rPr>
          <w:rFonts w:ascii="Book Antiqua"/>
          <w:b/>
          <w:color w:val="231F20"/>
          <w:spacing w:val="80"/>
          <w:w w:val="150"/>
        </w:rPr>
        <w:t> </w:t>
      </w:r>
      <w:r>
        <w:rPr>
          <w:color w:val="231F20"/>
        </w:rPr>
        <w:t>Index returns the position (index relative to one) of a substring within a</w:t>
      </w:r>
      <w:r>
        <w:rPr>
          <w:color w:val="231F20"/>
          <w:spacing w:val="40"/>
        </w:rPr>
        <w:t> </w:t>
      </w:r>
      <w:r>
        <w:rPr>
          <w:color w:val="231F20"/>
          <w:spacing w:val="-2"/>
        </w:rPr>
        <w:t>String.</w:t>
      </w:r>
    </w:p>
    <w:p>
      <w:pPr>
        <w:pStyle w:val="BodyText"/>
        <w:spacing w:before="95"/>
        <w:ind w:left="3190"/>
      </w:pPr>
      <w:r>
        <w:rPr>
          <w:rFonts w:ascii="Book Antiqua"/>
          <w:b/>
          <w:color w:val="231F20"/>
        </w:rPr>
        <w:t>Parms</w:t>
      </w:r>
      <w:r>
        <w:rPr>
          <w:rFonts w:ascii="Book Antiqua"/>
          <w:b/>
          <w:color w:val="231F20"/>
          <w:spacing w:val="64"/>
          <w:w w:val="150"/>
        </w:rPr>
        <w:t> </w:t>
      </w:r>
      <w:r>
        <w:rPr>
          <w:color w:val="231F20"/>
        </w:rPr>
        <w:t>Target</w:t>
      </w:r>
      <w:r>
        <w:rPr>
          <w:color w:val="231F20"/>
          <w:spacing w:val="10"/>
        </w:rPr>
        <w:t> </w:t>
      </w:r>
      <w:r>
        <w:rPr>
          <w:color w:val="231F20"/>
        </w:rPr>
        <w:t>string</w:t>
      </w:r>
      <w:r>
        <w:rPr>
          <w:color w:val="231F20"/>
          <w:spacing w:val="10"/>
        </w:rPr>
        <w:t> </w:t>
      </w:r>
      <w:r>
        <w:rPr>
          <w:color w:val="231F20"/>
        </w:rPr>
        <w:t>-</w:t>
      </w:r>
      <w:r>
        <w:rPr>
          <w:color w:val="231F20"/>
          <w:spacing w:val="10"/>
        </w:rPr>
        <w:t> </w:t>
      </w:r>
      <w:r>
        <w:rPr>
          <w:color w:val="231F20"/>
        </w:rPr>
        <w:t>string</w:t>
      </w:r>
      <w:r>
        <w:rPr>
          <w:color w:val="231F20"/>
          <w:spacing w:val="10"/>
        </w:rPr>
        <w:t> </w:t>
      </w:r>
      <w:r>
        <w:rPr>
          <w:color w:val="231F20"/>
        </w:rPr>
        <w:t>to</w:t>
      </w:r>
      <w:r>
        <w:rPr>
          <w:color w:val="231F20"/>
          <w:spacing w:val="10"/>
        </w:rPr>
        <w:t> </w:t>
      </w:r>
      <w:r>
        <w:rPr>
          <w:color w:val="231F20"/>
        </w:rPr>
        <w:t>be</w:t>
      </w:r>
      <w:r>
        <w:rPr>
          <w:color w:val="231F20"/>
          <w:spacing w:val="10"/>
        </w:rPr>
        <w:t> </w:t>
      </w:r>
      <w:r>
        <w:rPr>
          <w:color w:val="231F20"/>
          <w:spacing w:val="-2"/>
        </w:rPr>
        <w:t>searched</w:t>
      </w:r>
    </w:p>
    <w:p>
      <w:pPr>
        <w:pStyle w:val="Heading6"/>
        <w:spacing w:line="240" w:lineRule="auto" w:before="111"/>
        <w:ind w:left="3190"/>
      </w:pPr>
      <w:r>
        <w:rPr>
          <w:color w:val="231F20"/>
          <w:spacing w:val="-2"/>
        </w:rPr>
        <w:t>Return</w:t>
      </w:r>
    </w:p>
    <w:p>
      <w:pPr>
        <w:spacing w:after="0" w:line="240" w:lineRule="auto"/>
        <w:sectPr>
          <w:pgSz w:w="12240" w:h="15840"/>
          <w:pgMar w:header="0" w:footer="736" w:top="1180" w:bottom="920" w:left="1000" w:right="1060"/>
        </w:sectPr>
      </w:pPr>
    </w:p>
    <w:p>
      <w:pPr>
        <w:pStyle w:val="BodyText"/>
        <w:rPr>
          <w:rFonts w:ascii="Book Antiqua"/>
          <w:b/>
        </w:rPr>
      </w:pPr>
    </w:p>
    <w:p>
      <w:pPr>
        <w:pStyle w:val="BodyText"/>
        <w:rPr>
          <w:rFonts w:ascii="Book Antiqua"/>
          <w:b/>
        </w:rPr>
      </w:pPr>
    </w:p>
    <w:p>
      <w:pPr>
        <w:pStyle w:val="BodyText"/>
        <w:rPr>
          <w:rFonts w:ascii="Book Antiqua"/>
          <w:b/>
        </w:rPr>
      </w:pPr>
    </w:p>
    <w:p>
      <w:pPr>
        <w:pStyle w:val="BodyText"/>
        <w:spacing w:before="231"/>
        <w:rPr>
          <w:rFonts w:ascii="Book Antiqua"/>
          <w:b/>
        </w:rPr>
      </w:pPr>
    </w:p>
    <w:p>
      <w:pPr>
        <w:spacing w:before="0"/>
        <w:ind w:left="0" w:right="0" w:firstLine="0"/>
        <w:jc w:val="right"/>
        <w:rPr>
          <w:rFonts w:ascii="Book Antiqua"/>
          <w:b/>
          <w:sz w:val="20"/>
        </w:rPr>
      </w:pPr>
      <w:r>
        <w:rPr>
          <w:rFonts w:ascii="Book Antiqua"/>
          <w:b/>
          <w:color w:val="231F20"/>
          <w:spacing w:val="-2"/>
          <w:sz w:val="20"/>
        </w:rPr>
        <w:t>Length</w:t>
      </w:r>
    </w:p>
    <w:p>
      <w:pPr>
        <w:pStyle w:val="BodyText"/>
        <w:spacing w:line="247" w:lineRule="exact"/>
        <w:ind w:left="753"/>
      </w:pPr>
      <w:r>
        <w:rPr/>
        <w:br w:type="column"/>
      </w:r>
      <w:r>
        <w:rPr>
          <w:color w:val="231F20"/>
        </w:rPr>
        <w:t>Returns</w:t>
      </w:r>
      <w:r>
        <w:rPr>
          <w:color w:val="231F20"/>
          <w:spacing w:val="11"/>
        </w:rPr>
        <w:t> </w:t>
      </w:r>
      <w:r>
        <w:rPr>
          <w:color w:val="231F20"/>
        </w:rPr>
        <w:t>the</w:t>
      </w:r>
      <w:r>
        <w:rPr>
          <w:color w:val="231F20"/>
          <w:spacing w:val="11"/>
        </w:rPr>
        <w:t> </w:t>
      </w:r>
      <w:r>
        <w:rPr>
          <w:color w:val="231F20"/>
        </w:rPr>
        <w:t>position</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search</w:t>
      </w:r>
      <w:r>
        <w:rPr>
          <w:color w:val="231F20"/>
          <w:spacing w:val="11"/>
        </w:rPr>
        <w:t> </w:t>
      </w:r>
      <w:r>
        <w:rPr>
          <w:color w:val="231F20"/>
        </w:rPr>
        <w:t>string</w:t>
      </w:r>
      <w:r>
        <w:rPr>
          <w:color w:val="231F20"/>
          <w:spacing w:val="12"/>
        </w:rPr>
        <w:t> </w:t>
      </w:r>
      <w:r>
        <w:rPr>
          <w:color w:val="231F20"/>
        </w:rPr>
        <w:t>or</w:t>
      </w:r>
      <w:r>
        <w:rPr>
          <w:color w:val="231F20"/>
          <w:spacing w:val="11"/>
        </w:rPr>
        <w:t> </w:t>
      </w:r>
      <w:r>
        <w:rPr>
          <w:color w:val="231F20"/>
        </w:rPr>
        <w:t>zero</w:t>
      </w:r>
      <w:r>
        <w:rPr>
          <w:color w:val="231F20"/>
          <w:spacing w:val="11"/>
        </w:rPr>
        <w:t> </w:t>
      </w:r>
      <w:r>
        <w:rPr>
          <w:color w:val="231F20"/>
        </w:rPr>
        <w:t>if</w:t>
      </w:r>
      <w:r>
        <w:rPr>
          <w:color w:val="231F20"/>
          <w:spacing w:val="12"/>
        </w:rPr>
        <w:t> </w:t>
      </w:r>
      <w:r>
        <w:rPr>
          <w:color w:val="231F20"/>
        </w:rPr>
        <w:t>not</w:t>
      </w:r>
      <w:r>
        <w:rPr>
          <w:color w:val="231F20"/>
          <w:spacing w:val="11"/>
        </w:rPr>
        <w:t> </w:t>
      </w:r>
      <w:r>
        <w:rPr>
          <w:color w:val="231F20"/>
          <w:spacing w:val="-2"/>
        </w:rPr>
        <w:t>found</w:t>
      </w:r>
    </w:p>
    <w:p>
      <w:pPr>
        <w:pStyle w:val="BodyText"/>
        <w:spacing w:before="89"/>
        <w:ind w:left="35"/>
      </w:pPr>
      <w:r>
        <w:rPr>
          <w:color w:val="231F20"/>
          <w:spacing w:val="-2"/>
        </w:rPr>
        <w:t>Example:</w:t>
      </w:r>
    </w:p>
    <w:p>
      <w:pPr>
        <w:spacing w:line="203" w:lineRule="exact" w:before="56"/>
        <w:ind w:left="35" w:right="0" w:firstLine="0"/>
        <w:jc w:val="left"/>
        <w:rPr>
          <w:rFonts w:ascii="Arial"/>
          <w:sz w:val="18"/>
        </w:rPr>
      </w:pPr>
      <w:r>
        <w:rPr>
          <w:rFonts w:ascii="Arial"/>
          <w:color w:val="231F20"/>
          <w:w w:val="105"/>
          <w:sz w:val="18"/>
        </w:rPr>
        <w:t>Str</w:t>
      </w:r>
      <w:r>
        <w:rPr>
          <w:rFonts w:ascii="Arial"/>
          <w:color w:val="231F20"/>
          <w:spacing w:val="39"/>
          <w:w w:val="105"/>
          <w:sz w:val="18"/>
        </w:rPr>
        <w:t> </w:t>
      </w:r>
      <w:r>
        <w:rPr>
          <w:rFonts w:ascii="Arial"/>
          <w:color w:val="231F20"/>
          <w:w w:val="105"/>
          <w:sz w:val="18"/>
        </w:rPr>
        <w:t>=</w:t>
      </w:r>
      <w:r>
        <w:rPr>
          <w:rFonts w:ascii="Arial"/>
          <w:color w:val="231F20"/>
          <w:spacing w:val="40"/>
          <w:w w:val="105"/>
          <w:sz w:val="18"/>
        </w:rPr>
        <w:t> </w:t>
      </w:r>
      <w:r>
        <w:rPr>
          <w:rFonts w:ascii="Arial"/>
          <w:color w:val="231F20"/>
          <w:spacing w:val="-2"/>
          <w:w w:val="105"/>
          <w:sz w:val="18"/>
        </w:rPr>
        <w:t>"abcdef";</w:t>
      </w:r>
    </w:p>
    <w:p>
      <w:pPr>
        <w:spacing w:line="203" w:lineRule="exact" w:before="0"/>
        <w:ind w:left="35" w:right="0" w:firstLine="0"/>
        <w:jc w:val="left"/>
        <w:rPr>
          <w:rFonts w:ascii="Arial"/>
          <w:sz w:val="18"/>
        </w:rPr>
      </w:pPr>
      <w:r>
        <w:rPr>
          <w:rFonts w:ascii="Arial"/>
          <w:color w:val="231F20"/>
          <w:w w:val="110"/>
          <w:sz w:val="18"/>
        </w:rPr>
        <w:t>Val</w:t>
      </w:r>
      <w:r>
        <w:rPr>
          <w:rFonts w:ascii="Arial"/>
          <w:color w:val="231F20"/>
          <w:spacing w:val="36"/>
          <w:w w:val="110"/>
          <w:sz w:val="18"/>
        </w:rPr>
        <w:t> </w:t>
      </w:r>
      <w:r>
        <w:rPr>
          <w:rFonts w:ascii="Arial"/>
          <w:color w:val="231F20"/>
          <w:w w:val="110"/>
          <w:sz w:val="18"/>
        </w:rPr>
        <w:t>=</w:t>
      </w:r>
      <w:r>
        <w:rPr>
          <w:rFonts w:ascii="Arial"/>
          <w:color w:val="231F20"/>
          <w:spacing w:val="31"/>
          <w:w w:val="120"/>
          <w:sz w:val="18"/>
        </w:rPr>
        <w:t> </w:t>
      </w:r>
      <w:r>
        <w:rPr>
          <w:rFonts w:ascii="Arial"/>
          <w:color w:val="231F20"/>
          <w:w w:val="120"/>
          <w:sz w:val="18"/>
        </w:rPr>
        <w:t>index(str,"def");</w:t>
      </w:r>
      <w:r>
        <w:rPr>
          <w:rFonts w:ascii="Arial"/>
          <w:color w:val="231F20"/>
          <w:spacing w:val="16"/>
          <w:w w:val="150"/>
          <w:sz w:val="18"/>
        </w:rPr>
        <w:t> </w:t>
      </w:r>
      <w:r>
        <w:rPr>
          <w:rFonts w:ascii="Arial"/>
          <w:color w:val="231F20"/>
          <w:w w:val="150"/>
          <w:sz w:val="18"/>
        </w:rPr>
        <w:t>//</w:t>
      </w:r>
      <w:r>
        <w:rPr>
          <w:rFonts w:ascii="Arial"/>
          <w:color w:val="231F20"/>
          <w:spacing w:val="16"/>
          <w:w w:val="150"/>
          <w:sz w:val="18"/>
        </w:rPr>
        <w:t> </w:t>
      </w:r>
      <w:r>
        <w:rPr>
          <w:rFonts w:ascii="Arial"/>
          <w:color w:val="231F20"/>
          <w:w w:val="120"/>
          <w:sz w:val="18"/>
        </w:rPr>
        <w:t>val</w:t>
      </w:r>
      <w:r>
        <w:rPr>
          <w:rFonts w:ascii="Arial"/>
          <w:color w:val="231F20"/>
          <w:spacing w:val="31"/>
          <w:w w:val="120"/>
          <w:sz w:val="18"/>
        </w:rPr>
        <w:t> </w:t>
      </w:r>
      <w:r>
        <w:rPr>
          <w:rFonts w:ascii="Arial"/>
          <w:color w:val="231F20"/>
          <w:w w:val="120"/>
          <w:sz w:val="18"/>
        </w:rPr>
        <w:t>will</w:t>
      </w:r>
      <w:r>
        <w:rPr>
          <w:rFonts w:ascii="Arial"/>
          <w:color w:val="231F20"/>
          <w:spacing w:val="31"/>
          <w:w w:val="120"/>
          <w:sz w:val="18"/>
        </w:rPr>
        <w:t> </w:t>
      </w:r>
      <w:r>
        <w:rPr>
          <w:rFonts w:ascii="Arial"/>
          <w:color w:val="231F20"/>
          <w:w w:val="120"/>
          <w:sz w:val="18"/>
        </w:rPr>
        <w:t>contain</w:t>
      </w:r>
      <w:r>
        <w:rPr>
          <w:rFonts w:ascii="Arial"/>
          <w:color w:val="231F20"/>
          <w:spacing w:val="31"/>
          <w:w w:val="120"/>
          <w:sz w:val="18"/>
        </w:rPr>
        <w:t> </w:t>
      </w:r>
      <w:r>
        <w:rPr>
          <w:rFonts w:ascii="Arial"/>
          <w:color w:val="231F20"/>
          <w:spacing w:val="-10"/>
          <w:w w:val="110"/>
          <w:sz w:val="18"/>
        </w:rPr>
        <w:t>4</w:t>
      </w:r>
    </w:p>
    <w:p>
      <w:pPr>
        <w:pStyle w:val="BodyText"/>
        <w:spacing w:before="138"/>
        <w:rPr>
          <w:rFonts w:ascii="Arial"/>
          <w:sz w:val="18"/>
        </w:rPr>
      </w:pPr>
    </w:p>
    <w:p>
      <w:pPr>
        <w:pStyle w:val="BodyText"/>
        <w:ind w:left="35"/>
      </w:pPr>
      <w:r>
        <w:rPr>
          <w:color w:val="231F20"/>
        </w:rPr>
        <w:t>Length</w:t>
      </w:r>
      <w:r>
        <w:rPr>
          <w:color w:val="231F20"/>
          <w:spacing w:val="11"/>
        </w:rPr>
        <w:t> </w:t>
      </w:r>
      <w:r>
        <w:rPr>
          <w:color w:val="231F20"/>
        </w:rPr>
        <w:t>returns</w:t>
      </w:r>
      <w:r>
        <w:rPr>
          <w:color w:val="231F20"/>
          <w:spacing w:val="11"/>
        </w:rPr>
        <w:t> </w:t>
      </w:r>
      <w:r>
        <w:rPr>
          <w:color w:val="231F20"/>
        </w:rPr>
        <w:t>the</w:t>
      </w:r>
      <w:r>
        <w:rPr>
          <w:color w:val="231F20"/>
          <w:spacing w:val="11"/>
        </w:rPr>
        <w:t> </w:t>
      </w:r>
      <w:r>
        <w:rPr>
          <w:color w:val="231F20"/>
        </w:rPr>
        <w:t>length</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spacing w:val="-2"/>
        </w:rPr>
        <w:t>string.</w:t>
      </w:r>
    </w:p>
    <w:p>
      <w:pPr>
        <w:spacing w:before="90"/>
        <w:ind w:left="35" w:right="0" w:firstLine="0"/>
        <w:jc w:val="left"/>
        <w:rPr>
          <w:sz w:val="20"/>
        </w:rPr>
      </w:pPr>
      <w:r>
        <w:rPr>
          <w:rFonts w:ascii="Book Antiqua"/>
          <w:b/>
          <w:color w:val="231F20"/>
          <w:sz w:val="20"/>
        </w:rPr>
        <w:t>Parms</w:t>
      </w:r>
      <w:r>
        <w:rPr>
          <w:rFonts w:ascii="Book Antiqua"/>
          <w:b/>
          <w:color w:val="231F20"/>
          <w:spacing w:val="71"/>
          <w:w w:val="150"/>
          <w:sz w:val="20"/>
        </w:rPr>
        <w:t> </w:t>
      </w:r>
      <w:r>
        <w:rPr>
          <w:color w:val="231F20"/>
          <w:sz w:val="20"/>
        </w:rPr>
        <w:t>String</w:t>
      </w:r>
      <w:r>
        <w:rPr>
          <w:color w:val="231F20"/>
          <w:spacing w:val="13"/>
          <w:sz w:val="20"/>
        </w:rPr>
        <w:t> </w:t>
      </w:r>
      <w:r>
        <w:rPr>
          <w:color w:val="231F20"/>
          <w:sz w:val="20"/>
        </w:rPr>
        <w:t>to</w:t>
      </w:r>
      <w:r>
        <w:rPr>
          <w:color w:val="231F20"/>
          <w:spacing w:val="13"/>
          <w:sz w:val="20"/>
        </w:rPr>
        <w:t> </w:t>
      </w:r>
      <w:r>
        <w:rPr>
          <w:color w:val="231F20"/>
          <w:sz w:val="20"/>
        </w:rPr>
        <w:t>be</w:t>
      </w:r>
      <w:r>
        <w:rPr>
          <w:color w:val="231F20"/>
          <w:spacing w:val="14"/>
          <w:sz w:val="20"/>
        </w:rPr>
        <w:t> </w:t>
      </w:r>
      <w:r>
        <w:rPr>
          <w:color w:val="231F20"/>
          <w:spacing w:val="-2"/>
          <w:sz w:val="20"/>
        </w:rPr>
        <w:t>inspected</w:t>
      </w:r>
    </w:p>
    <w:p>
      <w:pPr>
        <w:pStyle w:val="Heading6"/>
        <w:spacing w:line="240" w:lineRule="auto" w:before="111"/>
        <w:ind w:left="35"/>
      </w:pPr>
      <w:r>
        <w:rPr>
          <w:color w:val="231F20"/>
          <w:spacing w:val="-2"/>
        </w:rPr>
        <w:t>Return</w:t>
      </w:r>
    </w:p>
    <w:p>
      <w:pPr>
        <w:spacing w:after="0" w:line="240" w:lineRule="auto"/>
        <w:sectPr>
          <w:type w:val="continuous"/>
          <w:pgSz w:w="12240" w:h="15840"/>
          <w:pgMar w:header="0" w:footer="736" w:top="0" w:bottom="4660" w:left="1000" w:right="1060"/>
          <w:cols w:num="2" w:equalWidth="0">
            <w:col w:w="3116" w:space="40"/>
            <w:col w:w="7024"/>
          </w:cols>
        </w:sectPr>
      </w:pPr>
    </w:p>
    <w:p>
      <w:pPr>
        <w:pStyle w:val="BodyText"/>
        <w:spacing w:line="213" w:lineRule="auto"/>
        <w:ind w:left="3909" w:right="385"/>
      </w:pPr>
      <w:r>
        <w:rPr>
          <w:color w:val="231F20"/>
        </w:rPr>
        <w:t>Returns a numeric value of the length of the string (in </w:t>
      </w:r>
      <w:r>
        <w:rPr>
          <w:color w:val="231F20"/>
        </w:rPr>
        <w:t>characters), or 0 if null string</w:t>
      </w:r>
    </w:p>
    <w:p>
      <w:pPr>
        <w:pStyle w:val="BodyText"/>
        <w:spacing w:before="95"/>
        <w:ind w:left="3190"/>
      </w:pPr>
      <w:r>
        <w:rPr>
          <w:color w:val="231F20"/>
          <w:spacing w:val="-2"/>
        </w:rPr>
        <w:t>Example:</w:t>
      </w:r>
    </w:p>
    <w:p>
      <w:pPr>
        <w:spacing w:line="203" w:lineRule="exact" w:before="56"/>
        <w:ind w:left="3190" w:right="0" w:firstLine="0"/>
        <w:jc w:val="left"/>
        <w:rPr>
          <w:rFonts w:ascii="Arial"/>
          <w:sz w:val="18"/>
        </w:rPr>
      </w:pPr>
      <w:r>
        <w:rPr>
          <w:rFonts w:ascii="Arial"/>
          <w:color w:val="231F20"/>
          <w:w w:val="110"/>
          <w:sz w:val="18"/>
        </w:rPr>
        <w:t>Str</w:t>
      </w:r>
      <w:r>
        <w:rPr>
          <w:rFonts w:ascii="Arial"/>
          <w:color w:val="231F20"/>
          <w:spacing w:val="28"/>
          <w:w w:val="110"/>
          <w:sz w:val="18"/>
        </w:rPr>
        <w:t> </w:t>
      </w:r>
      <w:r>
        <w:rPr>
          <w:rFonts w:ascii="Arial"/>
          <w:color w:val="231F20"/>
          <w:w w:val="110"/>
          <w:sz w:val="18"/>
        </w:rPr>
        <w:t>=</w:t>
      </w:r>
      <w:r>
        <w:rPr>
          <w:rFonts w:ascii="Arial"/>
          <w:color w:val="231F20"/>
          <w:spacing w:val="29"/>
          <w:w w:val="110"/>
          <w:sz w:val="18"/>
        </w:rPr>
        <w:t> </w:t>
      </w:r>
      <w:r>
        <w:rPr>
          <w:rFonts w:ascii="Arial"/>
          <w:color w:val="231F20"/>
          <w:spacing w:val="-2"/>
          <w:w w:val="110"/>
          <w:sz w:val="18"/>
        </w:rPr>
        <w:t>"abc";</w:t>
      </w:r>
    </w:p>
    <w:p>
      <w:pPr>
        <w:spacing w:line="203" w:lineRule="exact" w:before="0"/>
        <w:ind w:left="3190" w:right="0" w:firstLine="0"/>
        <w:jc w:val="left"/>
        <w:rPr>
          <w:rFonts w:ascii="Arial"/>
          <w:sz w:val="18"/>
        </w:rPr>
      </w:pPr>
      <w:r>
        <w:rPr>
          <w:rFonts w:ascii="Arial"/>
          <w:color w:val="231F20"/>
          <w:w w:val="120"/>
          <w:sz w:val="18"/>
        </w:rPr>
        <w:t>Val</w:t>
      </w:r>
      <w:r>
        <w:rPr>
          <w:rFonts w:ascii="Arial"/>
          <w:color w:val="231F20"/>
          <w:spacing w:val="30"/>
          <w:w w:val="120"/>
          <w:sz w:val="18"/>
        </w:rPr>
        <w:t> </w:t>
      </w:r>
      <w:r>
        <w:rPr>
          <w:rFonts w:ascii="Arial"/>
          <w:color w:val="231F20"/>
          <w:w w:val="110"/>
          <w:sz w:val="18"/>
        </w:rPr>
        <w:t>=</w:t>
      </w:r>
      <w:r>
        <w:rPr>
          <w:rFonts w:ascii="Arial"/>
          <w:color w:val="231F20"/>
          <w:spacing w:val="30"/>
          <w:w w:val="120"/>
          <w:sz w:val="18"/>
        </w:rPr>
        <w:t> </w:t>
      </w:r>
      <w:r>
        <w:rPr>
          <w:rFonts w:ascii="Arial"/>
          <w:color w:val="231F20"/>
          <w:w w:val="120"/>
          <w:sz w:val="18"/>
        </w:rPr>
        <w:t>length(str);</w:t>
      </w:r>
      <w:r>
        <w:rPr>
          <w:rFonts w:ascii="Arial"/>
          <w:color w:val="231F20"/>
          <w:spacing w:val="16"/>
          <w:w w:val="150"/>
          <w:sz w:val="18"/>
        </w:rPr>
        <w:t> </w:t>
      </w:r>
      <w:r>
        <w:rPr>
          <w:rFonts w:ascii="Arial"/>
          <w:color w:val="231F20"/>
          <w:w w:val="150"/>
          <w:sz w:val="18"/>
        </w:rPr>
        <w:t>//</w:t>
      </w:r>
      <w:r>
        <w:rPr>
          <w:rFonts w:ascii="Arial"/>
          <w:color w:val="231F20"/>
          <w:spacing w:val="15"/>
          <w:w w:val="150"/>
          <w:sz w:val="18"/>
        </w:rPr>
        <w:t> </w:t>
      </w:r>
      <w:r>
        <w:rPr>
          <w:rFonts w:ascii="Arial"/>
          <w:color w:val="231F20"/>
          <w:w w:val="120"/>
          <w:sz w:val="18"/>
        </w:rPr>
        <w:t>val</w:t>
      </w:r>
      <w:r>
        <w:rPr>
          <w:rFonts w:ascii="Arial"/>
          <w:color w:val="231F20"/>
          <w:spacing w:val="31"/>
          <w:w w:val="120"/>
          <w:sz w:val="18"/>
        </w:rPr>
        <w:t> </w:t>
      </w:r>
      <w:r>
        <w:rPr>
          <w:rFonts w:ascii="Arial"/>
          <w:color w:val="231F20"/>
          <w:w w:val="120"/>
          <w:sz w:val="18"/>
        </w:rPr>
        <w:t>will</w:t>
      </w:r>
      <w:r>
        <w:rPr>
          <w:rFonts w:ascii="Arial"/>
          <w:color w:val="231F20"/>
          <w:spacing w:val="30"/>
          <w:w w:val="120"/>
          <w:sz w:val="18"/>
        </w:rPr>
        <w:t> </w:t>
      </w:r>
      <w:r>
        <w:rPr>
          <w:rFonts w:ascii="Arial"/>
          <w:color w:val="231F20"/>
          <w:w w:val="110"/>
          <w:sz w:val="18"/>
        </w:rPr>
        <w:t>be</w:t>
      </w:r>
      <w:r>
        <w:rPr>
          <w:rFonts w:ascii="Arial"/>
          <w:color w:val="231F20"/>
          <w:spacing w:val="36"/>
          <w:w w:val="110"/>
          <w:sz w:val="18"/>
        </w:rPr>
        <w:t> </w:t>
      </w:r>
      <w:r>
        <w:rPr>
          <w:rFonts w:ascii="Arial"/>
          <w:color w:val="231F20"/>
          <w:spacing w:val="-10"/>
          <w:w w:val="110"/>
          <w:sz w:val="18"/>
        </w:rPr>
        <w:t>3</w:t>
      </w:r>
    </w:p>
    <w:p>
      <w:pPr>
        <w:pStyle w:val="Heading6"/>
        <w:spacing w:before="128"/>
      </w:pPr>
      <w:r>
        <w:rPr>
          <w:color w:val="231F20"/>
          <w:spacing w:val="-2"/>
        </w:rPr>
        <w:t>Substring</w:t>
      </w:r>
    </w:p>
    <w:p>
      <w:pPr>
        <w:pStyle w:val="BodyText"/>
        <w:spacing w:line="213" w:lineRule="auto" w:before="11"/>
        <w:ind w:left="3190" w:right="545"/>
      </w:pPr>
      <w:r>
        <w:rPr>
          <w:color w:val="231F20"/>
        </w:rPr>
        <w:t>Substring returns the portion of the string as specified by the offset </w:t>
      </w:r>
      <w:r>
        <w:rPr>
          <w:color w:val="231F20"/>
        </w:rPr>
        <w:t>and length. It can be abbreviated as Substr.</w:t>
      </w:r>
    </w:p>
    <w:p>
      <w:pPr>
        <w:pStyle w:val="BodyText"/>
        <w:spacing w:before="95"/>
        <w:ind w:left="3190"/>
      </w:pPr>
      <w:r>
        <w:rPr>
          <w:rFonts w:ascii="Book Antiqua"/>
          <w:b/>
          <w:color w:val="231F20"/>
        </w:rPr>
        <w:t>Parms</w:t>
      </w:r>
      <w:r>
        <w:rPr>
          <w:rFonts w:ascii="Book Antiqua"/>
          <w:b/>
          <w:color w:val="231F20"/>
          <w:spacing w:val="64"/>
          <w:w w:val="150"/>
        </w:rPr>
        <w:t> </w:t>
      </w:r>
      <w:r>
        <w:rPr>
          <w:color w:val="231F20"/>
        </w:rPr>
        <w:t>Target</w:t>
      </w:r>
      <w:r>
        <w:rPr>
          <w:color w:val="231F20"/>
          <w:spacing w:val="10"/>
        </w:rPr>
        <w:t> </w:t>
      </w:r>
      <w:r>
        <w:rPr>
          <w:color w:val="231F20"/>
        </w:rPr>
        <w:t>string</w:t>
      </w:r>
      <w:r>
        <w:rPr>
          <w:color w:val="231F20"/>
          <w:spacing w:val="10"/>
        </w:rPr>
        <w:t> </w:t>
      </w:r>
      <w:r>
        <w:rPr>
          <w:color w:val="231F20"/>
        </w:rPr>
        <w:t>-</w:t>
      </w:r>
      <w:r>
        <w:rPr>
          <w:color w:val="231F20"/>
          <w:spacing w:val="10"/>
        </w:rPr>
        <w:t> </w:t>
      </w:r>
      <w:r>
        <w:rPr>
          <w:color w:val="231F20"/>
        </w:rPr>
        <w:t>string</w:t>
      </w:r>
      <w:r>
        <w:rPr>
          <w:color w:val="231F20"/>
          <w:spacing w:val="10"/>
        </w:rPr>
        <w:t> </w:t>
      </w:r>
      <w:r>
        <w:rPr>
          <w:color w:val="231F20"/>
        </w:rPr>
        <w:t>to</w:t>
      </w:r>
      <w:r>
        <w:rPr>
          <w:color w:val="231F20"/>
          <w:spacing w:val="10"/>
        </w:rPr>
        <w:t> </w:t>
      </w:r>
      <w:r>
        <w:rPr>
          <w:color w:val="231F20"/>
        </w:rPr>
        <w:t>be</w:t>
      </w:r>
      <w:r>
        <w:rPr>
          <w:color w:val="231F20"/>
          <w:spacing w:val="10"/>
        </w:rPr>
        <w:t> </w:t>
      </w:r>
      <w:r>
        <w:rPr>
          <w:color w:val="231F20"/>
          <w:spacing w:val="-2"/>
        </w:rPr>
        <w:t>searched</w:t>
      </w:r>
    </w:p>
    <w:p>
      <w:pPr>
        <w:pStyle w:val="BodyText"/>
        <w:spacing w:line="255" w:lineRule="exact" w:before="90"/>
        <w:ind w:left="3909"/>
      </w:pPr>
      <w:r>
        <w:rPr>
          <w:color w:val="231F20"/>
        </w:rPr>
        <w:t>Starting</w:t>
      </w:r>
      <w:r>
        <w:rPr>
          <w:color w:val="231F20"/>
          <w:spacing w:val="10"/>
        </w:rPr>
        <w:t> </w:t>
      </w:r>
      <w:r>
        <w:rPr>
          <w:color w:val="231F20"/>
        </w:rPr>
        <w:t>offset</w:t>
      </w:r>
      <w:r>
        <w:rPr>
          <w:color w:val="231F20"/>
          <w:spacing w:val="11"/>
        </w:rPr>
        <w:t> </w:t>
      </w:r>
      <w:r>
        <w:rPr>
          <w:color w:val="231F20"/>
        </w:rPr>
        <w:t>-</w:t>
      </w:r>
      <w:r>
        <w:rPr>
          <w:color w:val="231F20"/>
          <w:spacing w:val="11"/>
        </w:rPr>
        <w:t> </w:t>
      </w:r>
      <w:r>
        <w:rPr>
          <w:color w:val="231F20"/>
        </w:rPr>
        <w:t>offset</w:t>
      </w:r>
      <w:r>
        <w:rPr>
          <w:color w:val="231F20"/>
          <w:spacing w:val="11"/>
        </w:rPr>
        <w:t> </w:t>
      </w:r>
      <w:r>
        <w:rPr>
          <w:color w:val="231F20"/>
        </w:rPr>
        <w:t>within</w:t>
      </w:r>
      <w:r>
        <w:rPr>
          <w:color w:val="231F20"/>
          <w:spacing w:val="11"/>
        </w:rPr>
        <w:t> </w:t>
      </w:r>
      <w:r>
        <w:rPr>
          <w:color w:val="231F20"/>
        </w:rPr>
        <w:t>the</w:t>
      </w:r>
      <w:r>
        <w:rPr>
          <w:color w:val="231F20"/>
          <w:spacing w:val="11"/>
        </w:rPr>
        <w:t> </w:t>
      </w:r>
      <w:r>
        <w:rPr>
          <w:color w:val="231F20"/>
        </w:rPr>
        <w:t>string</w:t>
      </w:r>
      <w:r>
        <w:rPr>
          <w:color w:val="231F20"/>
          <w:spacing w:val="11"/>
        </w:rPr>
        <w:t> </w:t>
      </w:r>
      <w:r>
        <w:rPr>
          <w:color w:val="231F20"/>
        </w:rPr>
        <w:t>to</w:t>
      </w:r>
      <w:r>
        <w:rPr>
          <w:color w:val="231F20"/>
          <w:spacing w:val="11"/>
        </w:rPr>
        <w:t> </w:t>
      </w:r>
      <w:r>
        <w:rPr>
          <w:color w:val="231F20"/>
        </w:rPr>
        <w:t>start</w:t>
      </w:r>
      <w:r>
        <w:rPr>
          <w:color w:val="231F20"/>
          <w:spacing w:val="11"/>
        </w:rPr>
        <w:t> </w:t>
      </w:r>
      <w:r>
        <w:rPr>
          <w:color w:val="231F20"/>
        </w:rPr>
        <w:t>the</w:t>
      </w:r>
      <w:r>
        <w:rPr>
          <w:color w:val="231F20"/>
          <w:spacing w:val="11"/>
        </w:rPr>
        <w:t> </w:t>
      </w:r>
      <w:r>
        <w:rPr>
          <w:color w:val="231F20"/>
        </w:rPr>
        <w:t>selection</w:t>
      </w:r>
      <w:r>
        <w:rPr>
          <w:color w:val="231F20"/>
          <w:spacing w:val="11"/>
        </w:rPr>
        <w:t> </w:t>
      </w:r>
      <w:r>
        <w:rPr>
          <w:color w:val="231F20"/>
          <w:spacing w:val="-2"/>
        </w:rPr>
        <w:t>Length</w:t>
      </w:r>
    </w:p>
    <w:p>
      <w:pPr>
        <w:pStyle w:val="BodyText"/>
        <w:spacing w:line="255" w:lineRule="exact"/>
        <w:ind w:left="3909"/>
      </w:pPr>
      <w:r>
        <w:rPr>
          <w:color w:val="231F20"/>
        </w:rPr>
        <w:t>-</w:t>
      </w:r>
      <w:r>
        <w:rPr>
          <w:color w:val="231F20"/>
          <w:spacing w:val="13"/>
        </w:rPr>
        <w:t> </w:t>
      </w:r>
      <w:r>
        <w:rPr>
          <w:color w:val="231F20"/>
        </w:rPr>
        <w:t>length</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data</w:t>
      </w:r>
      <w:r>
        <w:rPr>
          <w:color w:val="231F20"/>
          <w:spacing w:val="13"/>
        </w:rPr>
        <w:t> </w:t>
      </w:r>
      <w:r>
        <w:rPr>
          <w:color w:val="231F20"/>
          <w:spacing w:val="-2"/>
        </w:rPr>
        <w:t>desired</w:t>
      </w:r>
    </w:p>
    <w:p>
      <w:pPr>
        <w:pStyle w:val="Heading6"/>
        <w:spacing w:before="111"/>
        <w:ind w:left="3190"/>
      </w:pPr>
      <w:r>
        <w:rPr>
          <w:color w:val="231F20"/>
          <w:spacing w:val="-2"/>
        </w:rPr>
        <w:t>Return</w:t>
      </w:r>
    </w:p>
    <w:p>
      <w:pPr>
        <w:pStyle w:val="BodyText"/>
        <w:spacing w:line="258" w:lineRule="exact"/>
        <w:ind w:left="3909"/>
      </w:pPr>
      <w:r>
        <w:rPr>
          <w:color w:val="231F20"/>
        </w:rPr>
        <w:t>Returns</w:t>
      </w:r>
      <w:r>
        <w:rPr>
          <w:color w:val="231F20"/>
          <w:spacing w:val="9"/>
        </w:rPr>
        <w:t> </w:t>
      </w:r>
      <w:r>
        <w:rPr>
          <w:color w:val="231F20"/>
        </w:rPr>
        <w:t>the</w:t>
      </w:r>
      <w:r>
        <w:rPr>
          <w:color w:val="231F20"/>
          <w:spacing w:val="10"/>
        </w:rPr>
        <w:t> </w:t>
      </w:r>
      <w:r>
        <w:rPr>
          <w:color w:val="231F20"/>
        </w:rPr>
        <w:t>string</w:t>
      </w:r>
      <w:r>
        <w:rPr>
          <w:color w:val="231F20"/>
          <w:spacing w:val="9"/>
        </w:rPr>
        <w:t> </w:t>
      </w:r>
      <w:r>
        <w:rPr>
          <w:color w:val="231F20"/>
        </w:rPr>
        <w:t>that</w:t>
      </w:r>
      <w:r>
        <w:rPr>
          <w:color w:val="231F20"/>
          <w:spacing w:val="10"/>
        </w:rPr>
        <w:t> </w:t>
      </w:r>
      <w:r>
        <w:rPr>
          <w:color w:val="231F20"/>
        </w:rPr>
        <w:t>represents</w:t>
      </w:r>
      <w:r>
        <w:rPr>
          <w:color w:val="231F20"/>
          <w:spacing w:val="10"/>
        </w:rPr>
        <w:t> </w:t>
      </w:r>
      <w:r>
        <w:rPr>
          <w:color w:val="231F20"/>
        </w:rPr>
        <w:t>the</w:t>
      </w:r>
      <w:r>
        <w:rPr>
          <w:color w:val="231F20"/>
          <w:spacing w:val="9"/>
        </w:rPr>
        <w:t> </w:t>
      </w:r>
      <w:r>
        <w:rPr>
          <w:color w:val="231F20"/>
          <w:spacing w:val="-2"/>
        </w:rPr>
        <w:t>selection</w:t>
      </w:r>
    </w:p>
    <w:p>
      <w:pPr>
        <w:spacing w:after="0" w:line="258" w:lineRule="exact"/>
        <w:sectPr>
          <w:type w:val="continuous"/>
          <w:pgSz w:w="12240" w:h="15840"/>
          <w:pgMar w:header="0" w:footer="736" w:top="0" w:bottom="4660" w:left="1000" w:right="1060"/>
        </w:sectPr>
      </w:pPr>
    </w:p>
    <w:p>
      <w:pPr>
        <w:pStyle w:val="BodyText"/>
        <w:spacing w:line="213" w:lineRule="auto" w:before="85"/>
        <w:ind w:left="2951" w:right="763"/>
      </w:pPr>
      <w:r>
        <w:rPr>
          <w:rFonts w:ascii="Book Antiqua"/>
          <w:b/>
          <w:color w:val="231F20"/>
        </w:rPr>
        <w:t>Note:</w:t>
      </w:r>
      <w:r>
        <w:rPr>
          <w:rFonts w:ascii="Book Antiqua"/>
          <w:b/>
          <w:color w:val="231F20"/>
          <w:spacing w:val="40"/>
        </w:rPr>
        <w:t> </w:t>
      </w:r>
      <w:r>
        <w:rPr>
          <w:color w:val="231F20"/>
        </w:rPr>
        <w:t>The length parameter is optional, and if not specified will </w:t>
      </w:r>
      <w:r>
        <w:rPr>
          <w:color w:val="231F20"/>
        </w:rPr>
        <w:t>assume the length up to the end of the target string. If the length exceeds the length of the target string, an error is raised.</w:t>
      </w:r>
    </w:p>
    <w:p>
      <w:pPr>
        <w:pStyle w:val="BodyText"/>
        <w:spacing w:before="94"/>
        <w:ind w:left="2951"/>
      </w:pPr>
      <w:r>
        <w:rPr>
          <w:color w:val="231F20"/>
          <w:spacing w:val="-2"/>
        </w:rPr>
        <w:t>Example:</w:t>
      </w:r>
    </w:p>
    <w:p>
      <w:pPr>
        <w:spacing w:line="203" w:lineRule="exact" w:before="56"/>
        <w:ind w:left="2951" w:right="0" w:firstLine="0"/>
        <w:jc w:val="left"/>
        <w:rPr>
          <w:rFonts w:ascii="Arial"/>
          <w:sz w:val="18"/>
        </w:rPr>
      </w:pPr>
      <w:r>
        <w:rPr>
          <w:rFonts w:ascii="Arial"/>
          <w:color w:val="231F20"/>
          <w:w w:val="105"/>
          <w:sz w:val="18"/>
        </w:rPr>
        <w:t>Str</w:t>
      </w:r>
      <w:r>
        <w:rPr>
          <w:rFonts w:ascii="Arial"/>
          <w:color w:val="231F20"/>
          <w:spacing w:val="39"/>
          <w:w w:val="105"/>
          <w:sz w:val="18"/>
        </w:rPr>
        <w:t> </w:t>
      </w:r>
      <w:r>
        <w:rPr>
          <w:rFonts w:ascii="Arial"/>
          <w:color w:val="231F20"/>
          <w:w w:val="105"/>
          <w:sz w:val="18"/>
        </w:rPr>
        <w:t>=</w:t>
      </w:r>
      <w:r>
        <w:rPr>
          <w:rFonts w:ascii="Arial"/>
          <w:color w:val="231F20"/>
          <w:spacing w:val="40"/>
          <w:w w:val="105"/>
          <w:sz w:val="18"/>
        </w:rPr>
        <w:t> </w:t>
      </w:r>
      <w:r>
        <w:rPr>
          <w:rFonts w:ascii="Arial"/>
          <w:color w:val="231F20"/>
          <w:spacing w:val="-2"/>
          <w:w w:val="105"/>
          <w:sz w:val="18"/>
        </w:rPr>
        <w:t>"abcdef";</w:t>
      </w:r>
    </w:p>
    <w:p>
      <w:pPr>
        <w:spacing w:line="230" w:lineRule="auto" w:before="3"/>
        <w:ind w:left="2951" w:right="2112" w:firstLine="0"/>
        <w:jc w:val="left"/>
        <w:rPr>
          <w:rFonts w:ascii="Arial"/>
          <w:sz w:val="18"/>
        </w:rPr>
      </w:pPr>
      <w:r>
        <w:rPr>
          <w:rFonts w:ascii="Arial"/>
          <w:color w:val="231F20"/>
          <w:w w:val="125"/>
          <w:sz w:val="18"/>
        </w:rPr>
        <w:t>Str2</w:t>
      </w:r>
      <w:r>
        <w:rPr>
          <w:rFonts w:ascii="Arial"/>
          <w:color w:val="231F20"/>
          <w:spacing w:val="-5"/>
          <w:w w:val="125"/>
          <w:sz w:val="18"/>
        </w:rPr>
        <w:t> </w:t>
      </w:r>
      <w:r>
        <w:rPr>
          <w:rFonts w:ascii="Arial"/>
          <w:color w:val="231F20"/>
          <w:w w:val="115"/>
          <w:sz w:val="18"/>
        </w:rPr>
        <w:t>=</w:t>
      </w:r>
      <w:r>
        <w:rPr>
          <w:rFonts w:ascii="Arial"/>
          <w:color w:val="231F20"/>
          <w:spacing w:val="-5"/>
          <w:w w:val="125"/>
          <w:sz w:val="18"/>
        </w:rPr>
        <w:t> </w:t>
      </w:r>
      <w:r>
        <w:rPr>
          <w:rFonts w:ascii="Arial"/>
          <w:color w:val="231F20"/>
          <w:w w:val="125"/>
          <w:sz w:val="18"/>
        </w:rPr>
        <w:t>substring(str,3,3);</w:t>
      </w:r>
      <w:r>
        <w:rPr>
          <w:rFonts w:ascii="Arial"/>
          <w:color w:val="231F20"/>
          <w:spacing w:val="-4"/>
          <w:w w:val="125"/>
          <w:sz w:val="18"/>
        </w:rPr>
        <w:t> </w:t>
      </w:r>
      <w:r>
        <w:rPr>
          <w:rFonts w:ascii="Arial"/>
          <w:color w:val="231F20"/>
          <w:w w:val="150"/>
          <w:sz w:val="18"/>
        </w:rPr>
        <w:t>//</w:t>
      </w:r>
      <w:r>
        <w:rPr>
          <w:rFonts w:ascii="Arial"/>
          <w:color w:val="231F20"/>
          <w:spacing w:val="-18"/>
          <w:w w:val="150"/>
          <w:sz w:val="18"/>
        </w:rPr>
        <w:t> </w:t>
      </w:r>
      <w:r>
        <w:rPr>
          <w:rFonts w:ascii="Arial"/>
          <w:color w:val="231F20"/>
          <w:w w:val="125"/>
          <w:sz w:val="18"/>
        </w:rPr>
        <w:t>str2</w:t>
      </w:r>
      <w:r>
        <w:rPr>
          <w:rFonts w:ascii="Arial"/>
          <w:color w:val="231F20"/>
          <w:spacing w:val="-4"/>
          <w:w w:val="125"/>
          <w:sz w:val="18"/>
        </w:rPr>
        <w:t> </w:t>
      </w:r>
      <w:r>
        <w:rPr>
          <w:rFonts w:ascii="Arial"/>
          <w:color w:val="231F20"/>
          <w:w w:val="125"/>
          <w:sz w:val="18"/>
        </w:rPr>
        <w:t>will</w:t>
      </w:r>
      <w:r>
        <w:rPr>
          <w:rFonts w:ascii="Arial"/>
          <w:color w:val="231F20"/>
          <w:spacing w:val="-5"/>
          <w:w w:val="125"/>
          <w:sz w:val="18"/>
        </w:rPr>
        <w:t> </w:t>
      </w:r>
      <w:r>
        <w:rPr>
          <w:rFonts w:ascii="Arial"/>
          <w:color w:val="231F20"/>
          <w:w w:val="125"/>
          <w:sz w:val="18"/>
        </w:rPr>
        <w:t>contain</w:t>
      </w:r>
      <w:r>
        <w:rPr>
          <w:rFonts w:ascii="Arial"/>
          <w:color w:val="231F20"/>
          <w:spacing w:val="-5"/>
          <w:w w:val="125"/>
          <w:sz w:val="18"/>
        </w:rPr>
        <w:t> </w:t>
      </w:r>
      <w:r>
        <w:rPr>
          <w:rFonts w:ascii="Arial"/>
          <w:color w:val="231F20"/>
          <w:w w:val="125"/>
          <w:sz w:val="18"/>
        </w:rPr>
        <w:t>"def" Str3</w:t>
      </w:r>
      <w:r>
        <w:rPr>
          <w:rFonts w:ascii="Arial"/>
          <w:color w:val="231F20"/>
          <w:w w:val="125"/>
          <w:sz w:val="18"/>
        </w:rPr>
        <w:t> </w:t>
      </w:r>
      <w:r>
        <w:rPr>
          <w:rFonts w:ascii="Arial"/>
          <w:color w:val="231F20"/>
          <w:w w:val="115"/>
          <w:sz w:val="18"/>
        </w:rPr>
        <w:t>=</w:t>
      </w:r>
      <w:r>
        <w:rPr>
          <w:rFonts w:ascii="Arial"/>
          <w:color w:val="231F20"/>
          <w:w w:val="125"/>
          <w:sz w:val="18"/>
        </w:rPr>
        <w:t> substr(str,1);</w:t>
      </w:r>
      <w:r>
        <w:rPr>
          <w:rFonts w:ascii="Arial"/>
          <w:color w:val="231F20"/>
          <w:w w:val="125"/>
          <w:sz w:val="18"/>
        </w:rPr>
        <w:t> </w:t>
      </w:r>
      <w:r>
        <w:rPr>
          <w:rFonts w:ascii="Arial"/>
          <w:color w:val="231F20"/>
          <w:w w:val="150"/>
          <w:sz w:val="18"/>
        </w:rPr>
        <w:t>//</w:t>
      </w:r>
      <w:r>
        <w:rPr>
          <w:rFonts w:ascii="Arial"/>
          <w:color w:val="231F20"/>
          <w:w w:val="150"/>
          <w:sz w:val="18"/>
        </w:rPr>
        <w:t> </w:t>
      </w:r>
      <w:r>
        <w:rPr>
          <w:rFonts w:ascii="Arial"/>
          <w:color w:val="231F20"/>
          <w:w w:val="125"/>
          <w:sz w:val="18"/>
        </w:rPr>
        <w:t>str3</w:t>
      </w:r>
      <w:r>
        <w:rPr>
          <w:rFonts w:ascii="Arial"/>
          <w:color w:val="231F20"/>
          <w:w w:val="125"/>
          <w:sz w:val="18"/>
        </w:rPr>
        <w:t> will</w:t>
      </w:r>
      <w:r>
        <w:rPr>
          <w:rFonts w:ascii="Arial"/>
          <w:color w:val="231F20"/>
          <w:w w:val="125"/>
          <w:sz w:val="18"/>
        </w:rPr>
        <w:t> contain</w:t>
      </w:r>
      <w:r>
        <w:rPr>
          <w:rFonts w:ascii="Arial"/>
          <w:color w:val="231F20"/>
          <w:w w:val="125"/>
          <w:sz w:val="18"/>
        </w:rPr>
        <w:t> "bcdef"</w:t>
      </w:r>
    </w:p>
    <w:p>
      <w:pPr>
        <w:pStyle w:val="BodyText"/>
        <w:tabs>
          <w:tab w:pos="2951" w:val="left" w:leader="none"/>
        </w:tabs>
        <w:spacing w:line="213" w:lineRule="auto" w:before="132"/>
        <w:ind w:left="2951" w:right="545" w:hanging="719"/>
      </w:pPr>
      <w:r>
        <w:rPr>
          <w:rFonts w:ascii="Book Antiqua"/>
          <w:b/>
          <w:color w:val="231F20"/>
          <w:spacing w:val="-4"/>
        </w:rPr>
        <w:t>Min</w:t>
      </w:r>
      <w:r>
        <w:rPr>
          <w:rFonts w:ascii="Book Antiqua"/>
          <w:b/>
          <w:color w:val="231F20"/>
        </w:rPr>
        <w:tab/>
      </w:r>
      <w:r>
        <w:rPr>
          <w:color w:val="231F20"/>
        </w:rPr>
        <w:t>Min compares two numbers and returns the value equal to the lesser of </w:t>
      </w:r>
      <w:r>
        <w:rPr>
          <w:color w:val="231F20"/>
        </w:rPr>
        <w:t>the two numbers.</w:t>
      </w:r>
    </w:p>
    <w:p>
      <w:pPr>
        <w:pStyle w:val="BodyText"/>
        <w:spacing w:line="319" w:lineRule="auto" w:before="95"/>
        <w:ind w:left="3669" w:right="2476" w:hanging="719"/>
      </w:pPr>
      <w:r>
        <w:rPr>
          <w:rFonts w:ascii="Book Antiqua"/>
          <w:b/>
          <w:color w:val="231F20"/>
        </w:rPr>
        <w:t>Parms</w:t>
      </w:r>
      <w:r>
        <w:rPr>
          <w:rFonts w:ascii="Book Antiqua"/>
          <w:b/>
          <w:color w:val="231F20"/>
          <w:spacing w:val="80"/>
        </w:rPr>
        <w:t> </w:t>
      </w:r>
      <w:r>
        <w:rPr>
          <w:color w:val="231F20"/>
        </w:rPr>
        <w:t>Number 1 - the first value to compare Number 2 - the second value to </w:t>
      </w:r>
      <w:r>
        <w:rPr>
          <w:color w:val="231F20"/>
        </w:rPr>
        <w:t>compare</w:t>
      </w:r>
    </w:p>
    <w:p>
      <w:pPr>
        <w:pStyle w:val="Heading6"/>
        <w:spacing w:before="22"/>
        <w:ind w:left="2951"/>
      </w:pPr>
      <w:r>
        <w:rPr>
          <w:color w:val="231F20"/>
          <w:spacing w:val="-2"/>
        </w:rPr>
        <w:t>Return</w:t>
      </w:r>
    </w:p>
    <w:p>
      <w:pPr>
        <w:pStyle w:val="BodyText"/>
        <w:spacing w:line="213" w:lineRule="auto" w:before="12"/>
        <w:ind w:left="3669" w:right="603"/>
      </w:pPr>
      <w:r>
        <w:rPr>
          <w:color w:val="231F20"/>
        </w:rPr>
        <w:t>Returns either Number 1 or Number 2 depending upon which </w:t>
      </w:r>
      <w:r>
        <w:rPr>
          <w:color w:val="231F20"/>
        </w:rPr>
        <w:t>is </w:t>
      </w:r>
      <w:r>
        <w:rPr>
          <w:color w:val="231F20"/>
          <w:spacing w:val="-4"/>
        </w:rPr>
        <w:t>less</w:t>
      </w:r>
    </w:p>
    <w:p>
      <w:pPr>
        <w:pStyle w:val="BodyText"/>
        <w:spacing w:line="232" w:lineRule="auto" w:before="101"/>
        <w:ind w:left="2951"/>
        <w:rPr>
          <w:rFonts w:ascii="Arial"/>
        </w:rPr>
      </w:pPr>
      <w:r>
        <w:rPr>
          <w:color w:val="231F20"/>
          <w:w w:val="115"/>
        </w:rPr>
        <w:t>Example:</w:t>
      </w:r>
      <w:r>
        <w:rPr>
          <w:color w:val="231F20"/>
          <w:spacing w:val="13"/>
          <w:w w:val="115"/>
        </w:rPr>
        <w:t> </w:t>
      </w:r>
      <w:r>
        <w:rPr>
          <w:rFonts w:ascii="Arial"/>
          <w:color w:val="231F20"/>
          <w:w w:val="115"/>
        </w:rPr>
        <w:t>Val1</w:t>
      </w:r>
      <w:r>
        <w:rPr>
          <w:rFonts w:ascii="Arial"/>
          <w:color w:val="231F20"/>
          <w:w w:val="115"/>
        </w:rPr>
        <w:t> </w:t>
      </w:r>
      <w:r>
        <w:rPr>
          <w:rFonts w:ascii="Arial"/>
          <w:color w:val="231F20"/>
          <w:w w:val="105"/>
        </w:rPr>
        <w:t>=</w:t>
      </w:r>
      <w:r>
        <w:rPr>
          <w:rFonts w:ascii="Arial"/>
          <w:color w:val="231F20"/>
          <w:w w:val="115"/>
        </w:rPr>
        <w:t> 10;</w:t>
      </w:r>
      <w:r>
        <w:rPr>
          <w:rFonts w:ascii="Arial"/>
          <w:color w:val="231F20"/>
          <w:w w:val="115"/>
        </w:rPr>
        <w:t> Val2</w:t>
      </w:r>
      <w:r>
        <w:rPr>
          <w:rFonts w:ascii="Arial"/>
          <w:color w:val="231F20"/>
          <w:w w:val="115"/>
        </w:rPr>
        <w:t> </w:t>
      </w:r>
      <w:r>
        <w:rPr>
          <w:rFonts w:ascii="Arial"/>
          <w:color w:val="231F20"/>
          <w:w w:val="105"/>
        </w:rPr>
        <w:t>=</w:t>
      </w:r>
      <w:r>
        <w:rPr>
          <w:rFonts w:ascii="Arial"/>
          <w:color w:val="231F20"/>
          <w:w w:val="115"/>
        </w:rPr>
        <w:t> 20;</w:t>
      </w:r>
      <w:r>
        <w:rPr>
          <w:rFonts w:ascii="Arial"/>
          <w:color w:val="231F20"/>
          <w:w w:val="115"/>
        </w:rPr>
        <w:t> Val3</w:t>
      </w:r>
      <w:r>
        <w:rPr>
          <w:rFonts w:ascii="Arial"/>
          <w:color w:val="231F20"/>
          <w:w w:val="115"/>
        </w:rPr>
        <w:t> </w:t>
      </w:r>
      <w:r>
        <w:rPr>
          <w:rFonts w:ascii="Arial"/>
          <w:color w:val="231F20"/>
          <w:w w:val="105"/>
        </w:rPr>
        <w:t>=</w:t>
      </w:r>
      <w:r>
        <w:rPr>
          <w:rFonts w:ascii="Arial"/>
          <w:color w:val="231F20"/>
          <w:w w:val="115"/>
        </w:rPr>
        <w:t> min(val1,val2);</w:t>
      </w:r>
      <w:r>
        <w:rPr>
          <w:rFonts w:ascii="Arial"/>
          <w:color w:val="231F20"/>
          <w:w w:val="115"/>
        </w:rPr>
        <w:t> //</w:t>
      </w:r>
      <w:r>
        <w:rPr>
          <w:rFonts w:ascii="Arial"/>
          <w:color w:val="231F20"/>
          <w:w w:val="115"/>
        </w:rPr>
        <w:t> val3</w:t>
      </w:r>
      <w:r>
        <w:rPr>
          <w:rFonts w:ascii="Arial"/>
          <w:color w:val="231F20"/>
          <w:w w:val="115"/>
        </w:rPr>
        <w:t> will </w:t>
      </w:r>
      <w:r>
        <w:rPr>
          <w:rFonts w:ascii="Arial"/>
          <w:color w:val="231F20"/>
          <w:w w:val="120"/>
        </w:rPr>
        <w:t>contain</w:t>
      </w:r>
      <w:r>
        <w:rPr>
          <w:rFonts w:ascii="Arial"/>
          <w:color w:val="231F20"/>
          <w:w w:val="120"/>
        </w:rPr>
        <w:t> 10;</w:t>
      </w:r>
    </w:p>
    <w:p>
      <w:pPr>
        <w:pStyle w:val="BodyText"/>
        <w:tabs>
          <w:tab w:pos="2951" w:val="left" w:leader="none"/>
        </w:tabs>
        <w:spacing w:line="213" w:lineRule="auto" w:before="131"/>
        <w:ind w:left="2951" w:right="636" w:hanging="719"/>
      </w:pPr>
      <w:r>
        <w:rPr>
          <w:rFonts w:ascii="Book Antiqua"/>
          <w:b/>
          <w:color w:val="231F20"/>
          <w:spacing w:val="-4"/>
        </w:rPr>
        <w:t>Max</w:t>
      </w:r>
      <w:r>
        <w:rPr>
          <w:rFonts w:ascii="Book Antiqua"/>
          <w:b/>
          <w:color w:val="231F20"/>
        </w:rPr>
        <w:tab/>
      </w:r>
      <w:r>
        <w:rPr>
          <w:color w:val="231F20"/>
        </w:rPr>
        <w:t>Max compares two numbers and returns the value equal to the greater </w:t>
      </w:r>
      <w:r>
        <w:rPr>
          <w:color w:val="231F20"/>
        </w:rPr>
        <w:t>of the two numbers.</w:t>
      </w:r>
    </w:p>
    <w:p>
      <w:pPr>
        <w:pStyle w:val="BodyText"/>
        <w:spacing w:line="319" w:lineRule="auto" w:before="95"/>
        <w:ind w:left="3669" w:right="2476" w:hanging="719"/>
      </w:pPr>
      <w:r>
        <w:rPr>
          <w:rFonts w:ascii="Book Antiqua"/>
          <w:b/>
          <w:color w:val="231F20"/>
        </w:rPr>
        <w:t>Parms</w:t>
      </w:r>
      <w:r>
        <w:rPr>
          <w:rFonts w:ascii="Book Antiqua"/>
          <w:b/>
          <w:color w:val="231F20"/>
          <w:spacing w:val="80"/>
        </w:rPr>
        <w:t> </w:t>
      </w:r>
      <w:r>
        <w:rPr>
          <w:color w:val="231F20"/>
        </w:rPr>
        <w:t>Number 1 - the first value to compare Number 2 - the second value to </w:t>
      </w:r>
      <w:r>
        <w:rPr>
          <w:color w:val="231F20"/>
        </w:rPr>
        <w:t>compare</w:t>
      </w:r>
    </w:p>
    <w:p>
      <w:pPr>
        <w:pStyle w:val="Heading6"/>
        <w:spacing w:before="23"/>
        <w:ind w:left="2951"/>
      </w:pPr>
      <w:r>
        <w:rPr>
          <w:color w:val="231F20"/>
          <w:spacing w:val="-2"/>
        </w:rPr>
        <w:t>Return</w:t>
      </w:r>
    </w:p>
    <w:p>
      <w:pPr>
        <w:pStyle w:val="BodyText"/>
        <w:spacing w:line="213" w:lineRule="auto" w:before="11"/>
        <w:ind w:left="3669" w:right="493"/>
      </w:pPr>
      <w:r>
        <w:rPr>
          <w:color w:val="231F20"/>
        </w:rPr>
        <w:t>Returns either Number 1 or Number 2 depending upon which </w:t>
      </w:r>
      <w:r>
        <w:rPr>
          <w:color w:val="231F20"/>
        </w:rPr>
        <w:t>is </w:t>
      </w:r>
      <w:r>
        <w:rPr>
          <w:color w:val="231F20"/>
          <w:spacing w:val="-2"/>
        </w:rPr>
        <w:t>greater</w:t>
      </w:r>
    </w:p>
    <w:p>
      <w:pPr>
        <w:spacing w:after="0" w:line="213" w:lineRule="auto"/>
        <w:sectPr>
          <w:pgSz w:w="12240" w:h="15840"/>
          <w:pgMar w:header="0" w:footer="736" w:top="1180" w:bottom="920" w:left="1000" w:right="1060"/>
        </w:sectPr>
      </w:pPr>
    </w:p>
    <w:p>
      <w:pPr>
        <w:pStyle w:val="BodyText"/>
      </w:pPr>
    </w:p>
    <w:p>
      <w:pPr>
        <w:pStyle w:val="BodyText"/>
      </w:pPr>
    </w:p>
    <w:p>
      <w:pPr>
        <w:pStyle w:val="BodyText"/>
      </w:pPr>
    </w:p>
    <w:p>
      <w:pPr>
        <w:pStyle w:val="BodyText"/>
        <w:spacing w:before="76"/>
      </w:pPr>
    </w:p>
    <w:p>
      <w:pPr>
        <w:pStyle w:val="Heading6"/>
        <w:spacing w:line="240" w:lineRule="auto" w:before="0"/>
        <w:ind w:left="0"/>
        <w:jc w:val="right"/>
      </w:pPr>
      <w:r>
        <w:rPr>
          <w:color w:val="231F20"/>
          <w:spacing w:val="-2"/>
        </w:rPr>
        <w:t>Prompt</w:t>
      </w:r>
    </w:p>
    <w:p>
      <w:pPr>
        <w:pStyle w:val="BodyText"/>
        <w:spacing w:before="95"/>
        <w:ind w:left="2"/>
      </w:pPr>
      <w:r>
        <w:rPr/>
        <w:br w:type="column"/>
      </w:r>
      <w:r>
        <w:rPr>
          <w:color w:val="231F20"/>
          <w:spacing w:val="-2"/>
        </w:rPr>
        <w:t>Example:</w:t>
      </w:r>
    </w:p>
    <w:p>
      <w:pPr>
        <w:spacing w:line="203" w:lineRule="exact" w:before="56"/>
        <w:ind w:left="2" w:right="0" w:firstLine="0"/>
        <w:jc w:val="left"/>
        <w:rPr>
          <w:rFonts w:ascii="Arial"/>
          <w:sz w:val="18"/>
        </w:rPr>
      </w:pPr>
      <w:r>
        <w:rPr>
          <w:rFonts w:ascii="Arial"/>
          <w:color w:val="231F20"/>
          <w:sz w:val="18"/>
        </w:rPr>
        <w:t>Val1</w:t>
      </w:r>
      <w:r>
        <w:rPr>
          <w:rFonts w:ascii="Arial"/>
          <w:color w:val="231F20"/>
          <w:spacing w:val="29"/>
          <w:sz w:val="18"/>
        </w:rPr>
        <w:t> </w:t>
      </w:r>
      <w:r>
        <w:rPr>
          <w:rFonts w:ascii="Arial"/>
          <w:color w:val="231F20"/>
          <w:sz w:val="18"/>
        </w:rPr>
        <w:t>=</w:t>
      </w:r>
      <w:r>
        <w:rPr>
          <w:rFonts w:ascii="Arial"/>
          <w:color w:val="231F20"/>
          <w:spacing w:val="29"/>
          <w:sz w:val="18"/>
        </w:rPr>
        <w:t> </w:t>
      </w:r>
      <w:r>
        <w:rPr>
          <w:rFonts w:ascii="Arial"/>
          <w:color w:val="231F20"/>
          <w:spacing w:val="-5"/>
          <w:sz w:val="18"/>
        </w:rPr>
        <w:t>10;</w:t>
      </w:r>
    </w:p>
    <w:p>
      <w:pPr>
        <w:spacing w:line="200" w:lineRule="exact" w:before="0"/>
        <w:ind w:left="2" w:right="0" w:firstLine="0"/>
        <w:jc w:val="left"/>
        <w:rPr>
          <w:rFonts w:ascii="Arial"/>
          <w:sz w:val="18"/>
        </w:rPr>
      </w:pPr>
      <w:r>
        <w:rPr>
          <w:rFonts w:ascii="Arial"/>
          <w:color w:val="231F20"/>
          <w:sz w:val="18"/>
        </w:rPr>
        <w:t>Val2</w:t>
      </w:r>
      <w:r>
        <w:rPr>
          <w:rFonts w:ascii="Arial"/>
          <w:color w:val="231F20"/>
          <w:spacing w:val="29"/>
          <w:sz w:val="18"/>
        </w:rPr>
        <w:t> </w:t>
      </w:r>
      <w:r>
        <w:rPr>
          <w:rFonts w:ascii="Arial"/>
          <w:color w:val="231F20"/>
          <w:sz w:val="18"/>
        </w:rPr>
        <w:t>=</w:t>
      </w:r>
      <w:r>
        <w:rPr>
          <w:rFonts w:ascii="Arial"/>
          <w:color w:val="231F20"/>
          <w:spacing w:val="29"/>
          <w:sz w:val="18"/>
        </w:rPr>
        <w:t> </w:t>
      </w:r>
      <w:r>
        <w:rPr>
          <w:rFonts w:ascii="Arial"/>
          <w:color w:val="231F20"/>
          <w:spacing w:val="-5"/>
          <w:sz w:val="18"/>
        </w:rPr>
        <w:t>20;</w:t>
      </w:r>
    </w:p>
    <w:p>
      <w:pPr>
        <w:spacing w:line="203" w:lineRule="exact" w:before="0"/>
        <w:ind w:left="2" w:right="0" w:firstLine="0"/>
        <w:jc w:val="left"/>
        <w:rPr>
          <w:rFonts w:ascii="Arial"/>
          <w:sz w:val="18"/>
        </w:rPr>
      </w:pPr>
      <w:r>
        <w:rPr>
          <w:rFonts w:ascii="Arial"/>
          <w:color w:val="231F20"/>
          <w:w w:val="115"/>
          <w:sz w:val="18"/>
        </w:rPr>
        <w:t>Val3</w:t>
      </w:r>
      <w:r>
        <w:rPr>
          <w:rFonts w:ascii="Arial"/>
          <w:color w:val="231F20"/>
          <w:spacing w:val="20"/>
          <w:w w:val="115"/>
          <w:sz w:val="18"/>
        </w:rPr>
        <w:t> </w:t>
      </w:r>
      <w:r>
        <w:rPr>
          <w:rFonts w:ascii="Arial"/>
          <w:color w:val="231F20"/>
          <w:w w:val="115"/>
          <w:sz w:val="18"/>
        </w:rPr>
        <w:t>=</w:t>
      </w:r>
      <w:r>
        <w:rPr>
          <w:rFonts w:ascii="Arial"/>
          <w:color w:val="231F20"/>
          <w:spacing w:val="20"/>
          <w:w w:val="115"/>
          <w:sz w:val="18"/>
        </w:rPr>
        <w:t> </w:t>
      </w:r>
      <w:r>
        <w:rPr>
          <w:rFonts w:ascii="Arial"/>
          <w:color w:val="231F20"/>
          <w:w w:val="115"/>
          <w:sz w:val="18"/>
        </w:rPr>
        <w:t>max(val1,val2);</w:t>
      </w:r>
      <w:r>
        <w:rPr>
          <w:rFonts w:ascii="Arial"/>
          <w:color w:val="231F20"/>
          <w:spacing w:val="20"/>
          <w:w w:val="115"/>
          <w:sz w:val="18"/>
        </w:rPr>
        <w:t> </w:t>
      </w:r>
      <w:r>
        <w:rPr>
          <w:rFonts w:ascii="Arial"/>
          <w:color w:val="231F20"/>
          <w:w w:val="115"/>
          <w:sz w:val="18"/>
        </w:rPr>
        <w:t>//</w:t>
      </w:r>
      <w:r>
        <w:rPr>
          <w:rFonts w:ascii="Arial"/>
          <w:color w:val="231F20"/>
          <w:spacing w:val="20"/>
          <w:w w:val="115"/>
          <w:sz w:val="18"/>
        </w:rPr>
        <w:t> </w:t>
      </w:r>
      <w:r>
        <w:rPr>
          <w:rFonts w:ascii="Arial"/>
          <w:color w:val="231F20"/>
          <w:w w:val="115"/>
          <w:sz w:val="18"/>
        </w:rPr>
        <w:t>val3</w:t>
      </w:r>
      <w:r>
        <w:rPr>
          <w:rFonts w:ascii="Arial"/>
          <w:color w:val="231F20"/>
          <w:spacing w:val="20"/>
          <w:w w:val="115"/>
          <w:sz w:val="18"/>
        </w:rPr>
        <w:t> </w:t>
      </w:r>
      <w:r>
        <w:rPr>
          <w:rFonts w:ascii="Arial"/>
          <w:color w:val="231F20"/>
          <w:w w:val="115"/>
          <w:sz w:val="18"/>
        </w:rPr>
        <w:t>will</w:t>
      </w:r>
      <w:r>
        <w:rPr>
          <w:rFonts w:ascii="Arial"/>
          <w:color w:val="231F20"/>
          <w:spacing w:val="20"/>
          <w:w w:val="115"/>
          <w:sz w:val="18"/>
        </w:rPr>
        <w:t> </w:t>
      </w:r>
      <w:r>
        <w:rPr>
          <w:rFonts w:ascii="Arial"/>
          <w:color w:val="231F20"/>
          <w:w w:val="115"/>
          <w:sz w:val="18"/>
        </w:rPr>
        <w:t>contain</w:t>
      </w:r>
      <w:r>
        <w:rPr>
          <w:rFonts w:ascii="Arial"/>
          <w:color w:val="231F20"/>
          <w:spacing w:val="20"/>
          <w:w w:val="115"/>
          <w:sz w:val="18"/>
        </w:rPr>
        <w:t> </w:t>
      </w:r>
      <w:r>
        <w:rPr>
          <w:rFonts w:ascii="Arial"/>
          <w:color w:val="231F20"/>
          <w:spacing w:val="-5"/>
          <w:w w:val="115"/>
          <w:sz w:val="18"/>
        </w:rPr>
        <w:t>20;</w:t>
      </w:r>
    </w:p>
    <w:p>
      <w:pPr>
        <w:pStyle w:val="BodyText"/>
        <w:spacing w:before="162"/>
        <w:rPr>
          <w:rFonts w:ascii="Arial"/>
          <w:sz w:val="18"/>
        </w:rPr>
      </w:pPr>
    </w:p>
    <w:p>
      <w:pPr>
        <w:pStyle w:val="BodyText"/>
        <w:spacing w:line="213" w:lineRule="auto"/>
        <w:ind w:left="2" w:right="444"/>
      </w:pPr>
      <w:r>
        <w:rPr>
          <w:color w:val="231F20"/>
        </w:rPr>
        <w:t>Prompt</w:t>
      </w:r>
      <w:r>
        <w:rPr>
          <w:color w:val="231F20"/>
          <w:spacing w:val="16"/>
        </w:rPr>
        <w:t> </w:t>
      </w:r>
      <w:r>
        <w:rPr>
          <w:color w:val="231F20"/>
        </w:rPr>
        <w:t>allows</w:t>
      </w:r>
      <w:r>
        <w:rPr>
          <w:color w:val="231F20"/>
          <w:spacing w:val="16"/>
        </w:rPr>
        <w:t> </w:t>
      </w:r>
      <w:r>
        <w:rPr>
          <w:color w:val="231F20"/>
        </w:rPr>
        <w:t>the</w:t>
      </w:r>
      <w:r>
        <w:rPr>
          <w:color w:val="231F20"/>
          <w:spacing w:val="16"/>
        </w:rPr>
        <w:t> </w:t>
      </w:r>
      <w:r>
        <w:rPr>
          <w:color w:val="231F20"/>
        </w:rPr>
        <w:t>script</w:t>
      </w:r>
      <w:r>
        <w:rPr>
          <w:color w:val="231F20"/>
          <w:spacing w:val="16"/>
        </w:rPr>
        <w:t> </w:t>
      </w:r>
      <w:r>
        <w:rPr>
          <w:color w:val="231F20"/>
        </w:rPr>
        <w:t>to</w:t>
      </w:r>
      <w:r>
        <w:rPr>
          <w:color w:val="231F20"/>
          <w:spacing w:val="16"/>
        </w:rPr>
        <w:t> </w:t>
      </w:r>
      <w:r>
        <w:rPr>
          <w:color w:val="231F20"/>
        </w:rPr>
        <w:t>gather</w:t>
      </w:r>
      <w:r>
        <w:rPr>
          <w:color w:val="231F20"/>
          <w:spacing w:val="16"/>
        </w:rPr>
        <w:t> </w:t>
      </w:r>
      <w:r>
        <w:rPr>
          <w:color w:val="231F20"/>
        </w:rPr>
        <w:t>data</w:t>
      </w:r>
      <w:r>
        <w:rPr>
          <w:color w:val="231F20"/>
          <w:spacing w:val="16"/>
        </w:rPr>
        <w:t> </w:t>
      </w:r>
      <w:r>
        <w:rPr>
          <w:color w:val="231F20"/>
        </w:rPr>
        <w:t>from</w:t>
      </w:r>
      <w:r>
        <w:rPr>
          <w:color w:val="231F20"/>
          <w:spacing w:val="16"/>
        </w:rPr>
        <w:t> </w:t>
      </w:r>
      <w:r>
        <w:rPr>
          <w:color w:val="231F20"/>
        </w:rPr>
        <w:t>a</w:t>
      </w:r>
      <w:r>
        <w:rPr>
          <w:color w:val="231F20"/>
          <w:spacing w:val="16"/>
        </w:rPr>
        <w:t> </w:t>
      </w:r>
      <w:r>
        <w:rPr>
          <w:color w:val="231F20"/>
        </w:rPr>
        <w:t>user</w:t>
      </w:r>
      <w:r>
        <w:rPr>
          <w:color w:val="231F20"/>
          <w:spacing w:val="16"/>
        </w:rPr>
        <w:t> </w:t>
      </w:r>
      <w:r>
        <w:rPr>
          <w:color w:val="231F20"/>
        </w:rPr>
        <w:t>interactively</w:t>
      </w:r>
      <w:r>
        <w:rPr>
          <w:color w:val="231F20"/>
          <w:spacing w:val="16"/>
        </w:rPr>
        <w:t> </w:t>
      </w:r>
      <w:r>
        <w:rPr>
          <w:color w:val="231F20"/>
        </w:rPr>
        <w:t>by</w:t>
      </w:r>
      <w:r>
        <w:rPr>
          <w:color w:val="231F20"/>
          <w:spacing w:val="16"/>
        </w:rPr>
        <w:t> </w:t>
      </w:r>
      <w:r>
        <w:rPr>
          <w:color w:val="231F20"/>
        </w:rPr>
        <w:t>asking a user to enter data. This presents a window with message text and an </w:t>
      </w:r>
      <w:r>
        <w:rPr>
          <w:color w:val="231F20"/>
        </w:rPr>
        <w:t>edit field. It prompts you to enter data. You can either enter data and click </w:t>
      </w:r>
      <w:r>
        <w:rPr>
          <w:rFonts w:ascii="Book Antiqua"/>
          <w:b/>
          <w:color w:val="231F20"/>
        </w:rPr>
        <w:t>OK</w:t>
      </w:r>
      <w:r>
        <w:rPr>
          <w:rFonts w:ascii="Book Antiqua"/>
          <w:b/>
          <w:color w:val="231F20"/>
          <w:spacing w:val="80"/>
        </w:rPr>
        <w:t> </w:t>
      </w:r>
      <w:r>
        <w:rPr>
          <w:color w:val="231F20"/>
        </w:rPr>
        <w:t>or click </w:t>
      </w:r>
      <w:r>
        <w:rPr>
          <w:rFonts w:ascii="Book Antiqua"/>
          <w:b/>
          <w:color w:val="231F20"/>
        </w:rPr>
        <w:t>Cancel </w:t>
      </w:r>
      <w:r>
        <w:rPr>
          <w:color w:val="231F20"/>
        </w:rPr>
        <w:t>to ignore the prompt.</w:t>
      </w:r>
    </w:p>
    <w:p>
      <w:pPr>
        <w:pStyle w:val="BodyText"/>
        <w:spacing w:before="94"/>
        <w:ind w:left="2"/>
      </w:pPr>
      <w:r>
        <w:rPr>
          <w:rFonts w:ascii="Book Antiqua"/>
          <w:b/>
          <w:color w:val="231F20"/>
        </w:rPr>
        <w:t>Parms</w:t>
      </w:r>
      <w:r>
        <w:rPr>
          <w:rFonts w:ascii="Book Antiqua"/>
          <w:b/>
          <w:color w:val="231F20"/>
          <w:spacing w:val="66"/>
          <w:w w:val="150"/>
        </w:rPr>
        <w:t> </w:t>
      </w:r>
      <w:r>
        <w:rPr>
          <w:color w:val="231F20"/>
        </w:rPr>
        <w:t>MsgText</w:t>
      </w:r>
      <w:r>
        <w:rPr>
          <w:color w:val="231F20"/>
          <w:spacing w:val="11"/>
        </w:rPr>
        <w:t> </w:t>
      </w:r>
      <w:r>
        <w:rPr>
          <w:color w:val="231F20"/>
        </w:rPr>
        <w:t>-</w:t>
      </w:r>
      <w:r>
        <w:rPr>
          <w:color w:val="231F20"/>
          <w:spacing w:val="11"/>
        </w:rPr>
        <w:t> </w:t>
      </w:r>
      <w:r>
        <w:rPr>
          <w:color w:val="231F20"/>
        </w:rPr>
        <w:t>text</w:t>
      </w:r>
      <w:r>
        <w:rPr>
          <w:color w:val="231F20"/>
          <w:spacing w:val="11"/>
        </w:rPr>
        <w:t> </w:t>
      </w:r>
      <w:r>
        <w:rPr>
          <w:color w:val="231F20"/>
        </w:rPr>
        <w:t>of</w:t>
      </w:r>
      <w:r>
        <w:rPr>
          <w:color w:val="231F20"/>
          <w:spacing w:val="11"/>
        </w:rPr>
        <w:t> </w:t>
      </w:r>
      <w:r>
        <w:rPr>
          <w:color w:val="231F20"/>
        </w:rPr>
        <w:t>the</w:t>
      </w:r>
      <w:r>
        <w:rPr>
          <w:color w:val="231F20"/>
          <w:spacing w:val="12"/>
        </w:rPr>
        <w:t> </w:t>
      </w:r>
      <w:r>
        <w:rPr>
          <w:color w:val="231F20"/>
        </w:rPr>
        <w:t>message</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displayed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spacing w:val="-2"/>
        </w:rPr>
        <w:t>window</w:t>
      </w:r>
    </w:p>
    <w:p>
      <w:pPr>
        <w:pStyle w:val="BodyText"/>
        <w:spacing w:line="213" w:lineRule="auto" w:before="112"/>
        <w:ind w:left="720" w:right="396"/>
      </w:pPr>
      <w:r>
        <w:rPr>
          <w:color w:val="231F20"/>
        </w:rPr>
        <w:t>PSWD - optional second parm. The keyword PSWD indicates </w:t>
      </w:r>
      <w:r>
        <w:rPr>
          <w:color w:val="231F20"/>
        </w:rPr>
        <w:t>that this is a password type field. The data entered by you does not display, but is represented by a series of asterisks(*) for each character typed.</w:t>
      </w:r>
    </w:p>
    <w:p>
      <w:pPr>
        <w:spacing w:after="0" w:line="213" w:lineRule="auto"/>
        <w:sectPr>
          <w:type w:val="continuous"/>
          <w:pgSz w:w="12240" w:h="15840"/>
          <w:pgMar w:header="0" w:footer="736" w:top="0" w:bottom="4660" w:left="1000" w:right="1060"/>
          <w:cols w:num="2" w:equalWidth="0">
            <w:col w:w="2910" w:space="40"/>
            <w:col w:w="7230"/>
          </w:cols>
        </w:sectPr>
      </w:pPr>
    </w:p>
    <w:p>
      <w:pPr>
        <w:pStyle w:val="Heading6"/>
        <w:spacing w:line="240" w:lineRule="auto" w:before="116"/>
        <w:ind w:left="0"/>
        <w:jc w:val="right"/>
      </w:pPr>
      <w:r>
        <w:rPr>
          <w:color w:val="231F20"/>
          <w:spacing w:val="-2"/>
        </w:rPr>
        <w:t>Return</w:t>
      </w:r>
    </w:p>
    <w:p>
      <w:pPr>
        <w:spacing w:line="240" w:lineRule="auto" w:before="115"/>
        <w:rPr>
          <w:rFonts w:ascii="Book Antiqua"/>
          <w:b/>
          <w:sz w:val="20"/>
        </w:rPr>
      </w:pPr>
      <w:r>
        <w:rPr/>
        <w:br w:type="column"/>
      </w:r>
      <w:r>
        <w:rPr>
          <w:rFonts w:ascii="Book Antiqua"/>
          <w:b/>
          <w:sz w:val="20"/>
        </w:rPr>
      </w:r>
    </w:p>
    <w:p>
      <w:pPr>
        <w:pStyle w:val="BodyText"/>
        <w:spacing w:line="213" w:lineRule="auto" w:before="1"/>
        <w:ind w:left="46" w:right="471"/>
      </w:pPr>
      <w:r>
        <w:rPr>
          <w:color w:val="231F20"/>
        </w:rPr>
        <w:t>Returns the string value of the data entered. If you click </w:t>
      </w:r>
      <w:r>
        <w:rPr>
          <w:rFonts w:ascii="Book Antiqua"/>
          <w:b/>
          <w:color w:val="231F20"/>
        </w:rPr>
        <w:t>Cancel</w:t>
      </w:r>
      <w:r>
        <w:rPr>
          <w:color w:val="231F20"/>
        </w:rPr>
        <w:t>, a null value will be returned. This is different from a null string.</w:t>
      </w:r>
    </w:p>
    <w:p>
      <w:pPr>
        <w:spacing w:after="0" w:line="213" w:lineRule="auto"/>
        <w:sectPr>
          <w:type w:val="continuous"/>
          <w:pgSz w:w="12240" w:h="15840"/>
          <w:pgMar w:header="0" w:footer="736" w:top="0" w:bottom="4660" w:left="1000" w:right="1060"/>
          <w:cols w:num="2" w:equalWidth="0">
            <w:col w:w="3584" w:space="40"/>
            <w:col w:w="6556"/>
          </w:cols>
        </w:sectPr>
      </w:pPr>
    </w:p>
    <w:p>
      <w:pPr>
        <w:pStyle w:val="BodyText"/>
        <w:spacing w:before="95"/>
        <w:ind w:left="2951"/>
      </w:pPr>
      <w:r>
        <w:rPr>
          <w:color w:val="231F20"/>
          <w:spacing w:val="-2"/>
        </w:rPr>
        <w:t>Example:</w:t>
      </w:r>
    </w:p>
    <w:p>
      <w:pPr>
        <w:spacing w:line="230" w:lineRule="auto" w:before="62"/>
        <w:ind w:left="2951" w:right="3726" w:firstLine="0"/>
        <w:jc w:val="left"/>
        <w:rPr>
          <w:rFonts w:ascii="Arial"/>
          <w:sz w:val="18"/>
        </w:rPr>
      </w:pPr>
      <w:r>
        <w:rPr>
          <w:rFonts w:ascii="Arial"/>
          <w:color w:val="231F20"/>
          <w:sz w:val="18"/>
        </w:rPr>
        <w:t>Userid</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prompt("Enter</w:t>
      </w:r>
      <w:r>
        <w:rPr>
          <w:rFonts w:ascii="Arial"/>
          <w:color w:val="231F20"/>
          <w:spacing w:val="40"/>
          <w:sz w:val="18"/>
        </w:rPr>
        <w:t> </w:t>
      </w:r>
      <w:r>
        <w:rPr>
          <w:rFonts w:ascii="Arial"/>
          <w:color w:val="231F20"/>
          <w:sz w:val="18"/>
        </w:rPr>
        <w:t>your</w:t>
      </w:r>
      <w:r>
        <w:rPr>
          <w:rFonts w:ascii="Arial"/>
          <w:color w:val="231F20"/>
          <w:spacing w:val="40"/>
          <w:sz w:val="18"/>
        </w:rPr>
        <w:t> </w:t>
      </w:r>
      <w:r>
        <w:rPr>
          <w:rFonts w:ascii="Arial"/>
          <w:color w:val="231F20"/>
          <w:sz w:val="18"/>
        </w:rPr>
        <w:t>userid") </w:t>
      </w:r>
      <w:r>
        <w:rPr>
          <w:rFonts w:ascii="Arial"/>
          <w:color w:val="231F20"/>
          <w:spacing w:val="-2"/>
          <w:sz w:val="18"/>
        </w:rPr>
        <w:t>Pswd</w:t>
      </w:r>
      <w:r>
        <w:rPr>
          <w:rFonts w:ascii="Arial"/>
          <w:color w:val="231F20"/>
          <w:spacing w:val="21"/>
          <w:sz w:val="18"/>
        </w:rPr>
        <w:t> </w:t>
      </w:r>
      <w:r>
        <w:rPr>
          <w:rFonts w:ascii="Arial"/>
          <w:color w:val="231F20"/>
          <w:spacing w:val="-2"/>
          <w:sz w:val="18"/>
        </w:rPr>
        <w:t>=</w:t>
      </w:r>
      <w:r>
        <w:rPr>
          <w:rFonts w:ascii="Arial"/>
          <w:color w:val="231F20"/>
          <w:spacing w:val="21"/>
          <w:sz w:val="18"/>
        </w:rPr>
        <w:t> </w:t>
      </w:r>
      <w:r>
        <w:rPr>
          <w:rFonts w:ascii="Arial"/>
          <w:color w:val="231F20"/>
          <w:spacing w:val="-2"/>
          <w:sz w:val="18"/>
        </w:rPr>
        <w:t>prompt("Enter</w:t>
      </w:r>
      <w:r>
        <w:rPr>
          <w:rFonts w:ascii="Arial"/>
          <w:color w:val="231F20"/>
          <w:spacing w:val="21"/>
          <w:sz w:val="18"/>
        </w:rPr>
        <w:t> </w:t>
      </w:r>
      <w:r>
        <w:rPr>
          <w:rFonts w:ascii="Arial"/>
          <w:color w:val="231F20"/>
          <w:spacing w:val="-2"/>
          <w:sz w:val="18"/>
        </w:rPr>
        <w:t>password","PSWD");</w:t>
      </w:r>
    </w:p>
    <w:p>
      <w:pPr>
        <w:pStyle w:val="BodyText"/>
        <w:spacing w:line="213" w:lineRule="auto" w:before="132"/>
        <w:ind w:left="2951" w:right="545"/>
      </w:pPr>
      <w:r>
        <w:rPr>
          <w:color w:val="231F20"/>
        </w:rPr>
        <w:t>If you enter a value, it is placed in the variable userid. If you do not enter</w:t>
      </w:r>
      <w:r>
        <w:rPr>
          <w:color w:val="231F20"/>
          <w:spacing w:val="40"/>
        </w:rPr>
        <w:t> </w:t>
      </w:r>
      <w:r>
        <w:rPr>
          <w:color w:val="231F20"/>
        </w:rPr>
        <w:t>any data, and click </w:t>
      </w:r>
      <w:r>
        <w:rPr>
          <w:rFonts w:ascii="Book Antiqua"/>
          <w:b/>
          <w:color w:val="231F20"/>
        </w:rPr>
        <w:t>OK</w:t>
      </w:r>
      <w:r>
        <w:rPr>
          <w:color w:val="231F20"/>
        </w:rPr>
        <w:t>, a null (zero length) string is returned.</w:t>
      </w:r>
    </w:p>
    <w:p>
      <w:pPr>
        <w:pStyle w:val="BodyText"/>
        <w:spacing w:before="95"/>
        <w:ind w:left="2951"/>
      </w:pPr>
      <w:r>
        <w:rPr>
          <w:color w:val="231F20"/>
        </w:rPr>
        <w:t>If</w:t>
      </w:r>
      <w:r>
        <w:rPr>
          <w:color w:val="231F20"/>
          <w:spacing w:val="12"/>
        </w:rPr>
        <w:t> </w:t>
      </w:r>
      <w:r>
        <w:rPr>
          <w:color w:val="231F20"/>
        </w:rPr>
        <w:t>you</w:t>
      </w:r>
      <w:r>
        <w:rPr>
          <w:color w:val="231F20"/>
          <w:spacing w:val="12"/>
        </w:rPr>
        <w:t> </w:t>
      </w:r>
      <w:r>
        <w:rPr>
          <w:color w:val="231F20"/>
        </w:rPr>
        <w:t>click</w:t>
      </w:r>
      <w:r>
        <w:rPr>
          <w:color w:val="231F20"/>
          <w:spacing w:val="13"/>
        </w:rPr>
        <w:t> </w:t>
      </w:r>
      <w:r>
        <w:rPr>
          <w:rFonts w:ascii="Book Antiqua"/>
          <w:b/>
          <w:color w:val="231F20"/>
        </w:rPr>
        <w:t>Cancel</w:t>
      </w:r>
      <w:r>
        <w:rPr>
          <w:color w:val="231F20"/>
        </w:rPr>
        <w:t>,</w:t>
      </w:r>
      <w:r>
        <w:rPr>
          <w:color w:val="231F20"/>
          <w:spacing w:val="12"/>
        </w:rPr>
        <w:t> </w:t>
      </w:r>
      <w:r>
        <w:rPr>
          <w:color w:val="231F20"/>
        </w:rPr>
        <w:t>a</w:t>
      </w:r>
      <w:r>
        <w:rPr>
          <w:color w:val="231F20"/>
          <w:spacing w:val="12"/>
        </w:rPr>
        <w:t> </w:t>
      </w:r>
      <w:r>
        <w:rPr>
          <w:color w:val="231F20"/>
        </w:rPr>
        <w:t>null</w:t>
      </w:r>
      <w:r>
        <w:rPr>
          <w:color w:val="231F20"/>
          <w:spacing w:val="13"/>
        </w:rPr>
        <w:t> </w:t>
      </w:r>
      <w:r>
        <w:rPr>
          <w:color w:val="231F20"/>
        </w:rPr>
        <w:t>pointer</w:t>
      </w:r>
      <w:r>
        <w:rPr>
          <w:color w:val="231F20"/>
          <w:spacing w:val="12"/>
        </w:rPr>
        <w:t> </w:t>
      </w:r>
      <w:r>
        <w:rPr>
          <w:color w:val="231F20"/>
        </w:rPr>
        <w:t>value</w:t>
      </w:r>
      <w:r>
        <w:rPr>
          <w:color w:val="231F20"/>
          <w:spacing w:val="12"/>
        </w:rPr>
        <w:t> </w:t>
      </w:r>
      <w:r>
        <w:rPr>
          <w:color w:val="231F20"/>
        </w:rPr>
        <w:t>is</w:t>
      </w:r>
      <w:r>
        <w:rPr>
          <w:color w:val="231F20"/>
          <w:spacing w:val="13"/>
        </w:rPr>
        <w:t> </w:t>
      </w:r>
      <w:r>
        <w:rPr>
          <w:color w:val="231F20"/>
          <w:spacing w:val="-2"/>
        </w:rPr>
        <w:t>returned.</w:t>
      </w:r>
    </w:p>
    <w:p>
      <w:pPr>
        <w:spacing w:after="0"/>
        <w:sectPr>
          <w:type w:val="continuous"/>
          <w:pgSz w:w="12240" w:h="15840"/>
          <w:pgMar w:header="0" w:footer="736" w:top="0" w:bottom="4660" w:left="1000" w:right="1060"/>
        </w:sectPr>
      </w:pPr>
    </w:p>
    <w:p>
      <w:pPr>
        <w:pStyle w:val="Heading6"/>
        <w:spacing w:before="83"/>
      </w:pPr>
      <w:r>
        <w:rPr>
          <w:color w:val="231F20"/>
          <w:spacing w:val="-2"/>
        </w:rPr>
        <w:t>MsgBox</w:t>
      </w:r>
    </w:p>
    <w:p>
      <w:pPr>
        <w:pStyle w:val="BodyText"/>
        <w:spacing w:line="213" w:lineRule="auto" w:before="12"/>
        <w:ind w:left="3190" w:right="258"/>
      </w:pPr>
      <w:r>
        <w:rPr>
          <w:color w:val="231F20"/>
        </w:rPr>
        <w:t>MsgBox displays a text message on the screen. A message severity type </w:t>
      </w:r>
      <w:r>
        <w:rPr>
          <w:color w:val="231F20"/>
        </w:rPr>
        <w:t>can be associated with the message. This causes the system-defined</w:t>
      </w:r>
      <w:r>
        <w:rPr>
          <w:color w:val="231F20"/>
          <w:spacing w:val="40"/>
        </w:rPr>
        <w:t> </w:t>
      </w:r>
      <w:r>
        <w:rPr>
          <w:color w:val="231F20"/>
        </w:rPr>
        <w:t>messageType icons to be displayed. You can control the type of buttons to appear with the OptionType parameter.</w:t>
      </w:r>
    </w:p>
    <w:p>
      <w:pPr>
        <w:spacing w:before="94"/>
        <w:ind w:left="3190" w:right="0" w:firstLine="0"/>
        <w:jc w:val="left"/>
        <w:rPr>
          <w:sz w:val="20"/>
        </w:rPr>
      </w:pPr>
      <w:r>
        <w:rPr>
          <w:rFonts w:ascii="Book Antiqua"/>
          <w:b/>
          <w:color w:val="231F20"/>
          <w:sz w:val="20"/>
        </w:rPr>
        <w:t>Parms</w:t>
      </w:r>
      <w:r>
        <w:rPr>
          <w:rFonts w:ascii="Book Antiqua"/>
          <w:b/>
          <w:color w:val="231F20"/>
          <w:spacing w:val="77"/>
          <w:w w:val="150"/>
          <w:sz w:val="20"/>
        </w:rPr>
        <w:t> </w:t>
      </w:r>
      <w:r>
        <w:rPr>
          <w:color w:val="231F20"/>
          <w:sz w:val="20"/>
        </w:rPr>
        <w:t>arg</w:t>
      </w:r>
      <w:r>
        <w:rPr>
          <w:color w:val="231F20"/>
          <w:spacing w:val="16"/>
          <w:sz w:val="20"/>
        </w:rPr>
        <w:t> </w:t>
      </w:r>
      <w:r>
        <w:rPr>
          <w:color w:val="231F20"/>
          <w:sz w:val="20"/>
        </w:rPr>
        <w:t>1</w:t>
      </w:r>
      <w:r>
        <w:rPr>
          <w:color w:val="231F20"/>
          <w:spacing w:val="16"/>
          <w:sz w:val="20"/>
        </w:rPr>
        <w:t> </w:t>
      </w:r>
      <w:r>
        <w:rPr>
          <w:color w:val="231F20"/>
          <w:sz w:val="20"/>
        </w:rPr>
        <w:t>=</w:t>
      </w:r>
      <w:r>
        <w:rPr>
          <w:color w:val="231F20"/>
          <w:spacing w:val="16"/>
          <w:sz w:val="20"/>
        </w:rPr>
        <w:t> </w:t>
      </w:r>
      <w:r>
        <w:rPr>
          <w:color w:val="231F20"/>
          <w:sz w:val="20"/>
        </w:rPr>
        <w:t>message</w:t>
      </w:r>
      <w:r>
        <w:rPr>
          <w:color w:val="231F20"/>
          <w:spacing w:val="15"/>
          <w:sz w:val="20"/>
        </w:rPr>
        <w:t> </w:t>
      </w:r>
      <w:r>
        <w:rPr>
          <w:color w:val="231F20"/>
          <w:spacing w:val="-2"/>
          <w:sz w:val="20"/>
        </w:rPr>
        <w:t>string</w:t>
      </w:r>
    </w:p>
    <w:p>
      <w:pPr>
        <w:pStyle w:val="BodyText"/>
        <w:spacing w:line="213" w:lineRule="auto" w:before="112"/>
        <w:ind w:left="3909" w:right="274"/>
      </w:pPr>
      <w:r>
        <w:rPr>
          <w:color w:val="231F20"/>
        </w:rPr>
        <w:t>arg 2 = msg type - a numeric value indicating the type of ICON </w:t>
      </w:r>
      <w:r>
        <w:rPr>
          <w:color w:val="231F20"/>
        </w:rPr>
        <w:t>to</w:t>
      </w:r>
      <w:r>
        <w:rPr>
          <w:color w:val="231F20"/>
          <w:spacing w:val="40"/>
        </w:rPr>
        <w:t> </w:t>
      </w:r>
      <w:r>
        <w:rPr>
          <w:color w:val="231F20"/>
          <w:spacing w:val="-2"/>
        </w:rPr>
        <w:t>display</w:t>
      </w:r>
    </w:p>
    <w:p>
      <w:pPr>
        <w:spacing w:line="203" w:lineRule="exact" w:before="62"/>
        <w:ind w:left="4627" w:right="0" w:firstLine="0"/>
        <w:jc w:val="left"/>
        <w:rPr>
          <w:rFonts w:ascii="Arial"/>
          <w:b/>
          <w:sz w:val="18"/>
        </w:rPr>
      </w:pPr>
      <w:r>
        <w:rPr>
          <w:rFonts w:ascii="Arial"/>
          <w:b/>
          <w:color w:val="231F20"/>
          <w:w w:val="90"/>
          <w:sz w:val="18"/>
        </w:rPr>
        <w:t>0</w:t>
      </w:r>
      <w:r>
        <w:rPr>
          <w:rFonts w:ascii="Arial"/>
          <w:b/>
          <w:color w:val="231F20"/>
          <w:spacing w:val="35"/>
          <w:sz w:val="18"/>
        </w:rPr>
        <w:t> </w:t>
      </w:r>
      <w:r>
        <w:rPr>
          <w:rFonts w:ascii="Arial"/>
          <w:b/>
          <w:color w:val="231F20"/>
          <w:w w:val="90"/>
          <w:sz w:val="18"/>
        </w:rPr>
        <w:t>=</w:t>
      </w:r>
      <w:r>
        <w:rPr>
          <w:rFonts w:ascii="Arial"/>
          <w:b/>
          <w:color w:val="231F20"/>
          <w:spacing w:val="36"/>
          <w:sz w:val="18"/>
        </w:rPr>
        <w:t> </w:t>
      </w:r>
      <w:r>
        <w:rPr>
          <w:rFonts w:ascii="Arial"/>
          <w:b/>
          <w:color w:val="231F20"/>
          <w:spacing w:val="-2"/>
          <w:w w:val="85"/>
          <w:sz w:val="18"/>
        </w:rPr>
        <w:t>ERROR_MESSAGE;</w:t>
      </w:r>
    </w:p>
    <w:p>
      <w:pPr>
        <w:spacing w:line="200" w:lineRule="exact" w:before="0"/>
        <w:ind w:left="4627" w:right="0" w:firstLine="0"/>
        <w:jc w:val="left"/>
        <w:rPr>
          <w:rFonts w:ascii="Arial"/>
          <w:b/>
          <w:sz w:val="18"/>
        </w:rPr>
      </w:pPr>
      <w:r>
        <w:rPr>
          <w:rFonts w:ascii="Arial"/>
          <w:b/>
          <w:color w:val="231F20"/>
          <w:w w:val="90"/>
          <w:sz w:val="18"/>
        </w:rPr>
        <w:t>1</w:t>
      </w:r>
      <w:r>
        <w:rPr>
          <w:rFonts w:ascii="Arial"/>
          <w:b/>
          <w:color w:val="231F20"/>
          <w:spacing w:val="35"/>
          <w:sz w:val="18"/>
        </w:rPr>
        <w:t> </w:t>
      </w:r>
      <w:r>
        <w:rPr>
          <w:rFonts w:ascii="Arial"/>
          <w:b/>
          <w:color w:val="231F20"/>
          <w:w w:val="90"/>
          <w:sz w:val="18"/>
        </w:rPr>
        <w:t>=</w:t>
      </w:r>
      <w:r>
        <w:rPr>
          <w:rFonts w:ascii="Arial"/>
          <w:b/>
          <w:color w:val="231F20"/>
          <w:spacing w:val="36"/>
          <w:sz w:val="18"/>
        </w:rPr>
        <w:t> </w:t>
      </w:r>
      <w:r>
        <w:rPr>
          <w:rFonts w:ascii="Arial"/>
          <w:b/>
          <w:color w:val="231F20"/>
          <w:spacing w:val="-2"/>
          <w:w w:val="85"/>
          <w:sz w:val="18"/>
        </w:rPr>
        <w:t>INFORMATION_MESSAGE;</w:t>
      </w:r>
    </w:p>
    <w:p>
      <w:pPr>
        <w:spacing w:line="200" w:lineRule="exact" w:before="0"/>
        <w:ind w:left="4627" w:right="0" w:firstLine="0"/>
        <w:jc w:val="left"/>
        <w:rPr>
          <w:rFonts w:ascii="Arial"/>
          <w:b/>
          <w:sz w:val="18"/>
        </w:rPr>
      </w:pPr>
      <w:r>
        <w:rPr>
          <w:rFonts w:ascii="Arial"/>
          <w:b/>
          <w:color w:val="231F20"/>
          <w:w w:val="90"/>
          <w:sz w:val="18"/>
        </w:rPr>
        <w:t>2</w:t>
      </w:r>
      <w:r>
        <w:rPr>
          <w:rFonts w:ascii="Arial"/>
          <w:b/>
          <w:color w:val="231F20"/>
          <w:spacing w:val="35"/>
          <w:sz w:val="18"/>
        </w:rPr>
        <w:t> </w:t>
      </w:r>
      <w:r>
        <w:rPr>
          <w:rFonts w:ascii="Arial"/>
          <w:b/>
          <w:color w:val="231F20"/>
          <w:w w:val="90"/>
          <w:sz w:val="18"/>
        </w:rPr>
        <w:t>=</w:t>
      </w:r>
      <w:r>
        <w:rPr>
          <w:rFonts w:ascii="Arial"/>
          <w:b/>
          <w:color w:val="231F20"/>
          <w:spacing w:val="36"/>
          <w:sz w:val="18"/>
        </w:rPr>
        <w:t> </w:t>
      </w:r>
      <w:r>
        <w:rPr>
          <w:rFonts w:ascii="Arial"/>
          <w:b/>
          <w:color w:val="231F20"/>
          <w:spacing w:val="-2"/>
          <w:w w:val="80"/>
          <w:sz w:val="18"/>
        </w:rPr>
        <w:t>WARNING_MESSAGE;</w:t>
      </w:r>
    </w:p>
    <w:p>
      <w:pPr>
        <w:spacing w:line="200" w:lineRule="exact" w:before="0"/>
        <w:ind w:left="4627" w:right="0" w:firstLine="0"/>
        <w:jc w:val="left"/>
        <w:rPr>
          <w:rFonts w:ascii="Arial"/>
          <w:b/>
          <w:sz w:val="18"/>
        </w:rPr>
      </w:pPr>
      <w:r>
        <w:rPr>
          <w:rFonts w:ascii="Arial"/>
          <w:b/>
          <w:color w:val="231F20"/>
          <w:w w:val="90"/>
          <w:sz w:val="18"/>
        </w:rPr>
        <w:t>3</w:t>
      </w:r>
      <w:r>
        <w:rPr>
          <w:rFonts w:ascii="Arial"/>
          <w:b/>
          <w:color w:val="231F20"/>
          <w:spacing w:val="35"/>
          <w:sz w:val="18"/>
        </w:rPr>
        <w:t> </w:t>
      </w:r>
      <w:r>
        <w:rPr>
          <w:rFonts w:ascii="Arial"/>
          <w:b/>
          <w:color w:val="231F20"/>
          <w:w w:val="90"/>
          <w:sz w:val="18"/>
        </w:rPr>
        <w:t>=</w:t>
      </w:r>
      <w:r>
        <w:rPr>
          <w:rFonts w:ascii="Arial"/>
          <w:b/>
          <w:color w:val="231F20"/>
          <w:spacing w:val="36"/>
          <w:sz w:val="18"/>
        </w:rPr>
        <w:t> </w:t>
      </w:r>
      <w:r>
        <w:rPr>
          <w:rFonts w:ascii="Arial"/>
          <w:b/>
          <w:color w:val="231F20"/>
          <w:spacing w:val="-2"/>
          <w:w w:val="85"/>
          <w:sz w:val="18"/>
        </w:rPr>
        <w:t>QUESTION_MESSAGE;</w:t>
      </w:r>
    </w:p>
    <w:p>
      <w:pPr>
        <w:spacing w:line="203" w:lineRule="exact" w:before="0"/>
        <w:ind w:left="4537" w:right="0" w:firstLine="0"/>
        <w:jc w:val="left"/>
        <w:rPr>
          <w:rFonts w:ascii="Arial"/>
          <w:b/>
          <w:sz w:val="18"/>
        </w:rPr>
      </w:pPr>
      <w:r>
        <w:rPr>
          <w:rFonts w:ascii="Arial"/>
          <w:b/>
          <w:color w:val="231F20"/>
          <w:w w:val="80"/>
          <w:sz w:val="18"/>
        </w:rPr>
        <w:t>-1</w:t>
      </w:r>
      <w:r>
        <w:rPr>
          <w:rFonts w:ascii="Arial"/>
          <w:b/>
          <w:color w:val="231F20"/>
          <w:spacing w:val="50"/>
          <w:sz w:val="18"/>
        </w:rPr>
        <w:t> </w:t>
      </w:r>
      <w:r>
        <w:rPr>
          <w:rFonts w:ascii="Arial"/>
          <w:b/>
          <w:color w:val="231F20"/>
          <w:w w:val="80"/>
          <w:sz w:val="18"/>
        </w:rPr>
        <w:t>=</w:t>
      </w:r>
      <w:r>
        <w:rPr>
          <w:rFonts w:ascii="Arial"/>
          <w:b/>
          <w:color w:val="231F20"/>
          <w:spacing w:val="51"/>
          <w:sz w:val="18"/>
        </w:rPr>
        <w:t> </w:t>
      </w:r>
      <w:r>
        <w:rPr>
          <w:rFonts w:ascii="Arial"/>
          <w:b/>
          <w:color w:val="231F20"/>
          <w:w w:val="80"/>
          <w:sz w:val="18"/>
        </w:rPr>
        <w:t>PLAIN_MESSAGE</w:t>
      </w:r>
      <w:r>
        <w:rPr>
          <w:rFonts w:ascii="Arial"/>
          <w:b/>
          <w:color w:val="231F20"/>
          <w:spacing w:val="50"/>
          <w:sz w:val="18"/>
        </w:rPr>
        <w:t> </w:t>
      </w:r>
      <w:r>
        <w:rPr>
          <w:rFonts w:ascii="Arial"/>
          <w:b/>
          <w:color w:val="231F20"/>
          <w:spacing w:val="-2"/>
          <w:w w:val="80"/>
          <w:sz w:val="18"/>
        </w:rPr>
        <w:t>(Default)</w:t>
      </w:r>
    </w:p>
    <w:p>
      <w:pPr>
        <w:pStyle w:val="BodyText"/>
        <w:spacing w:before="42"/>
        <w:rPr>
          <w:rFonts w:ascii="Arial"/>
          <w:b/>
          <w:sz w:val="18"/>
        </w:rPr>
      </w:pPr>
    </w:p>
    <w:p>
      <w:pPr>
        <w:pStyle w:val="BodyText"/>
        <w:spacing w:line="213" w:lineRule="auto"/>
        <w:ind w:left="3909" w:right="545"/>
      </w:pPr>
      <w:r>
        <w:rPr>
          <w:color w:val="231F20"/>
        </w:rPr>
        <w:t>arg 3 = optionType - a numeric value indicating the types </w:t>
      </w:r>
      <w:r>
        <w:rPr>
          <w:color w:val="231F20"/>
        </w:rPr>
        <w:t>of </w:t>
      </w:r>
      <w:r>
        <w:rPr>
          <w:color w:val="231F20"/>
          <w:spacing w:val="-2"/>
        </w:rPr>
        <w:t>buttons</w:t>
      </w:r>
    </w:p>
    <w:p>
      <w:pPr>
        <w:spacing w:line="203" w:lineRule="exact" w:before="61"/>
        <w:ind w:left="4627" w:right="0" w:firstLine="0"/>
        <w:jc w:val="left"/>
        <w:rPr>
          <w:rFonts w:ascii="Arial"/>
          <w:b/>
          <w:sz w:val="18"/>
        </w:rPr>
      </w:pPr>
      <w:r>
        <w:rPr>
          <w:rFonts w:ascii="Arial"/>
          <w:b/>
          <w:color w:val="231F20"/>
          <w:w w:val="85"/>
          <w:sz w:val="18"/>
        </w:rPr>
        <w:t>0</w:t>
      </w:r>
      <w:r>
        <w:rPr>
          <w:rFonts w:ascii="Arial"/>
          <w:b/>
          <w:color w:val="231F20"/>
          <w:spacing w:val="11"/>
          <w:sz w:val="18"/>
        </w:rPr>
        <w:t> </w:t>
      </w:r>
      <w:r>
        <w:rPr>
          <w:rFonts w:ascii="Arial"/>
          <w:b/>
          <w:color w:val="231F20"/>
          <w:w w:val="85"/>
          <w:sz w:val="18"/>
        </w:rPr>
        <w:t>=</w:t>
      </w:r>
      <w:r>
        <w:rPr>
          <w:rFonts w:ascii="Arial"/>
          <w:b/>
          <w:color w:val="231F20"/>
          <w:spacing w:val="11"/>
          <w:sz w:val="18"/>
        </w:rPr>
        <w:t> </w:t>
      </w:r>
      <w:r>
        <w:rPr>
          <w:rFonts w:ascii="Arial"/>
          <w:b/>
          <w:color w:val="231F20"/>
          <w:w w:val="85"/>
          <w:sz w:val="18"/>
        </w:rPr>
        <w:t>YES_NO</w:t>
      </w:r>
      <w:r>
        <w:rPr>
          <w:rFonts w:ascii="Arial"/>
          <w:b/>
          <w:color w:val="231F20"/>
          <w:spacing w:val="11"/>
          <w:sz w:val="18"/>
        </w:rPr>
        <w:t> </w:t>
      </w:r>
      <w:r>
        <w:rPr>
          <w:rFonts w:ascii="Arial"/>
          <w:b/>
          <w:color w:val="231F20"/>
          <w:spacing w:val="-2"/>
          <w:w w:val="85"/>
          <w:sz w:val="18"/>
        </w:rPr>
        <w:t>buttons;</w:t>
      </w:r>
    </w:p>
    <w:p>
      <w:pPr>
        <w:spacing w:line="200" w:lineRule="exact" w:before="0"/>
        <w:ind w:left="4627" w:right="0" w:firstLine="0"/>
        <w:jc w:val="left"/>
        <w:rPr>
          <w:rFonts w:ascii="Arial"/>
          <w:b/>
          <w:sz w:val="18"/>
        </w:rPr>
      </w:pPr>
      <w:r>
        <w:rPr>
          <w:rFonts w:ascii="Arial"/>
          <w:b/>
          <w:color w:val="231F20"/>
          <w:w w:val="75"/>
          <w:sz w:val="18"/>
        </w:rPr>
        <w:t>1</w:t>
      </w:r>
      <w:r>
        <w:rPr>
          <w:rFonts w:ascii="Arial"/>
          <w:b/>
          <w:color w:val="231F20"/>
          <w:spacing w:val="39"/>
          <w:sz w:val="18"/>
        </w:rPr>
        <w:t> </w:t>
      </w:r>
      <w:r>
        <w:rPr>
          <w:rFonts w:ascii="Arial"/>
          <w:b/>
          <w:color w:val="231F20"/>
          <w:w w:val="75"/>
          <w:sz w:val="18"/>
        </w:rPr>
        <w:t>=</w:t>
      </w:r>
      <w:r>
        <w:rPr>
          <w:rFonts w:ascii="Arial"/>
          <w:b/>
          <w:color w:val="231F20"/>
          <w:spacing w:val="40"/>
          <w:sz w:val="18"/>
        </w:rPr>
        <w:t> </w:t>
      </w:r>
      <w:r>
        <w:rPr>
          <w:rFonts w:ascii="Arial"/>
          <w:b/>
          <w:color w:val="231F20"/>
          <w:w w:val="75"/>
          <w:sz w:val="18"/>
        </w:rPr>
        <w:t>YES_NO_CANCEL</w:t>
      </w:r>
      <w:r>
        <w:rPr>
          <w:rFonts w:ascii="Arial"/>
          <w:b/>
          <w:color w:val="231F20"/>
          <w:spacing w:val="40"/>
          <w:sz w:val="18"/>
        </w:rPr>
        <w:t> </w:t>
      </w:r>
      <w:r>
        <w:rPr>
          <w:rFonts w:ascii="Arial"/>
          <w:b/>
          <w:color w:val="231F20"/>
          <w:spacing w:val="-2"/>
          <w:w w:val="75"/>
          <w:sz w:val="18"/>
        </w:rPr>
        <w:t>buttons;</w:t>
      </w:r>
    </w:p>
    <w:p>
      <w:pPr>
        <w:spacing w:line="200" w:lineRule="exact" w:before="0"/>
        <w:ind w:left="4627" w:right="0" w:firstLine="0"/>
        <w:jc w:val="left"/>
        <w:rPr>
          <w:rFonts w:ascii="Arial"/>
          <w:b/>
          <w:sz w:val="18"/>
        </w:rPr>
      </w:pPr>
      <w:r>
        <w:rPr>
          <w:rFonts w:ascii="Arial"/>
          <w:b/>
          <w:color w:val="231F20"/>
          <w:w w:val="80"/>
          <w:sz w:val="18"/>
        </w:rPr>
        <w:t>2</w:t>
      </w:r>
      <w:r>
        <w:rPr>
          <w:rFonts w:ascii="Arial"/>
          <w:b/>
          <w:color w:val="231F20"/>
          <w:spacing w:val="13"/>
          <w:sz w:val="18"/>
        </w:rPr>
        <w:t> </w:t>
      </w:r>
      <w:r>
        <w:rPr>
          <w:rFonts w:ascii="Arial"/>
          <w:b/>
          <w:color w:val="231F20"/>
          <w:w w:val="80"/>
          <w:sz w:val="18"/>
        </w:rPr>
        <w:t>=</w:t>
      </w:r>
      <w:r>
        <w:rPr>
          <w:rFonts w:ascii="Arial"/>
          <w:b/>
          <w:color w:val="231F20"/>
          <w:spacing w:val="14"/>
          <w:sz w:val="18"/>
        </w:rPr>
        <w:t> </w:t>
      </w:r>
      <w:r>
        <w:rPr>
          <w:rFonts w:ascii="Arial"/>
          <w:b/>
          <w:color w:val="231F20"/>
          <w:w w:val="80"/>
          <w:sz w:val="18"/>
        </w:rPr>
        <w:t>OK_CANCEL</w:t>
      </w:r>
      <w:r>
        <w:rPr>
          <w:rFonts w:ascii="Arial"/>
          <w:b/>
          <w:color w:val="231F20"/>
          <w:spacing w:val="14"/>
          <w:sz w:val="18"/>
        </w:rPr>
        <w:t> </w:t>
      </w:r>
      <w:r>
        <w:rPr>
          <w:rFonts w:ascii="Arial"/>
          <w:b/>
          <w:color w:val="231F20"/>
          <w:spacing w:val="-2"/>
          <w:w w:val="80"/>
          <w:sz w:val="18"/>
        </w:rPr>
        <w:t>buttons;</w:t>
      </w:r>
    </w:p>
    <w:p>
      <w:pPr>
        <w:spacing w:line="203" w:lineRule="exact" w:before="0"/>
        <w:ind w:left="4537" w:right="0" w:firstLine="0"/>
        <w:jc w:val="left"/>
        <w:rPr>
          <w:rFonts w:ascii="Arial"/>
          <w:b/>
          <w:sz w:val="18"/>
        </w:rPr>
      </w:pPr>
      <w:r>
        <w:rPr>
          <w:rFonts w:ascii="Arial"/>
          <w:b/>
          <w:color w:val="231F20"/>
          <w:spacing w:val="-6"/>
          <w:sz w:val="18"/>
        </w:rPr>
        <w:t>-1</w:t>
      </w:r>
      <w:r>
        <w:rPr>
          <w:rFonts w:ascii="Arial"/>
          <w:b/>
          <w:color w:val="231F20"/>
          <w:spacing w:val="18"/>
          <w:sz w:val="18"/>
        </w:rPr>
        <w:t> </w:t>
      </w:r>
      <w:r>
        <w:rPr>
          <w:rFonts w:ascii="Arial"/>
          <w:b/>
          <w:color w:val="231F20"/>
          <w:spacing w:val="-6"/>
          <w:sz w:val="18"/>
        </w:rPr>
        <w:t>=</w:t>
      </w:r>
      <w:r>
        <w:rPr>
          <w:rFonts w:ascii="Arial"/>
          <w:b/>
          <w:color w:val="231F20"/>
          <w:spacing w:val="19"/>
          <w:sz w:val="18"/>
        </w:rPr>
        <w:t> </w:t>
      </w:r>
      <w:r>
        <w:rPr>
          <w:rFonts w:ascii="Arial"/>
          <w:b/>
          <w:color w:val="231F20"/>
          <w:spacing w:val="-6"/>
          <w:sz w:val="18"/>
        </w:rPr>
        <w:t>DEFAULT</w:t>
      </w:r>
      <w:r>
        <w:rPr>
          <w:rFonts w:ascii="Arial"/>
          <w:b/>
          <w:color w:val="231F20"/>
          <w:spacing w:val="18"/>
          <w:sz w:val="18"/>
        </w:rPr>
        <w:t> </w:t>
      </w:r>
      <w:r>
        <w:rPr>
          <w:rFonts w:ascii="Arial"/>
          <w:b/>
          <w:color w:val="231F20"/>
          <w:spacing w:val="-6"/>
          <w:sz w:val="18"/>
        </w:rPr>
        <w:t>ok</w:t>
      </w:r>
      <w:r>
        <w:rPr>
          <w:rFonts w:ascii="Arial"/>
          <w:b/>
          <w:color w:val="231F20"/>
          <w:spacing w:val="19"/>
          <w:sz w:val="18"/>
        </w:rPr>
        <w:t> </w:t>
      </w:r>
      <w:r>
        <w:rPr>
          <w:rFonts w:ascii="Arial"/>
          <w:b/>
          <w:color w:val="231F20"/>
          <w:spacing w:val="-6"/>
          <w:sz w:val="18"/>
        </w:rPr>
        <w:t>/cancel</w:t>
      </w:r>
      <w:r>
        <w:rPr>
          <w:rFonts w:ascii="Arial"/>
          <w:b/>
          <w:color w:val="231F20"/>
          <w:spacing w:val="19"/>
          <w:sz w:val="18"/>
        </w:rPr>
        <w:t> </w:t>
      </w:r>
      <w:r>
        <w:rPr>
          <w:rFonts w:ascii="Arial"/>
          <w:b/>
          <w:color w:val="231F20"/>
          <w:spacing w:val="-6"/>
          <w:sz w:val="18"/>
        </w:rPr>
        <w:t>button(default);</w:t>
      </w:r>
    </w:p>
    <w:p>
      <w:pPr>
        <w:pStyle w:val="BodyText"/>
        <w:spacing w:before="42"/>
        <w:rPr>
          <w:rFonts w:ascii="Arial"/>
          <w:b/>
          <w:sz w:val="18"/>
        </w:rPr>
      </w:pPr>
    </w:p>
    <w:p>
      <w:pPr>
        <w:pStyle w:val="BodyText"/>
        <w:spacing w:line="213" w:lineRule="auto"/>
        <w:ind w:left="3909" w:right="545"/>
      </w:pPr>
      <w:r>
        <w:rPr>
          <w:color w:val="231F20"/>
        </w:rPr>
        <w:t>@return = a numeric value representing the button that </w:t>
      </w:r>
      <w:r>
        <w:rPr>
          <w:color w:val="231F20"/>
        </w:rPr>
        <w:t>was pressed to dismiss the window</w:t>
      </w:r>
    </w:p>
    <w:p>
      <w:pPr>
        <w:spacing w:line="203" w:lineRule="exact" w:before="62"/>
        <w:ind w:left="4627" w:right="0" w:firstLine="0"/>
        <w:jc w:val="left"/>
        <w:rPr>
          <w:rFonts w:ascii="Arial"/>
          <w:b/>
          <w:sz w:val="18"/>
        </w:rPr>
      </w:pPr>
      <w:r>
        <w:rPr>
          <w:rFonts w:ascii="Arial"/>
          <w:b/>
          <w:color w:val="231F20"/>
          <w:spacing w:val="-4"/>
          <w:sz w:val="18"/>
        </w:rPr>
        <w:t>0</w:t>
      </w:r>
      <w:r>
        <w:rPr>
          <w:rFonts w:ascii="Arial"/>
          <w:b/>
          <w:color w:val="231F20"/>
          <w:spacing w:val="9"/>
          <w:sz w:val="18"/>
        </w:rPr>
        <w:t> </w:t>
      </w:r>
      <w:r>
        <w:rPr>
          <w:rFonts w:ascii="Arial"/>
          <w:b/>
          <w:color w:val="231F20"/>
          <w:spacing w:val="-4"/>
          <w:sz w:val="18"/>
        </w:rPr>
        <w:t>=</w:t>
      </w:r>
      <w:r>
        <w:rPr>
          <w:rFonts w:ascii="Arial"/>
          <w:b/>
          <w:color w:val="231F20"/>
          <w:spacing w:val="10"/>
          <w:sz w:val="18"/>
        </w:rPr>
        <w:t> </w:t>
      </w:r>
      <w:r>
        <w:rPr>
          <w:rFonts w:ascii="Arial"/>
          <w:b/>
          <w:color w:val="231F20"/>
          <w:spacing w:val="-4"/>
          <w:sz w:val="18"/>
        </w:rPr>
        <w:t>YES</w:t>
      </w:r>
      <w:r>
        <w:rPr>
          <w:rFonts w:ascii="Arial"/>
          <w:b/>
          <w:color w:val="231F20"/>
          <w:spacing w:val="9"/>
          <w:sz w:val="18"/>
        </w:rPr>
        <w:t> </w:t>
      </w:r>
      <w:r>
        <w:rPr>
          <w:rFonts w:ascii="Arial"/>
          <w:b/>
          <w:color w:val="231F20"/>
          <w:spacing w:val="-4"/>
          <w:sz w:val="18"/>
        </w:rPr>
        <w:t>button</w:t>
      </w:r>
      <w:r>
        <w:rPr>
          <w:rFonts w:ascii="Arial"/>
          <w:b/>
          <w:color w:val="231F20"/>
          <w:spacing w:val="10"/>
          <w:sz w:val="18"/>
        </w:rPr>
        <w:t> </w:t>
      </w:r>
      <w:r>
        <w:rPr>
          <w:rFonts w:ascii="Arial"/>
          <w:b/>
          <w:color w:val="231F20"/>
          <w:spacing w:val="-4"/>
          <w:sz w:val="18"/>
        </w:rPr>
        <w:t>or</w:t>
      </w:r>
      <w:r>
        <w:rPr>
          <w:rFonts w:ascii="Arial"/>
          <w:b/>
          <w:color w:val="231F20"/>
          <w:spacing w:val="9"/>
          <w:sz w:val="18"/>
        </w:rPr>
        <w:t> </w:t>
      </w:r>
      <w:r>
        <w:rPr>
          <w:rFonts w:ascii="Arial"/>
          <w:b/>
          <w:color w:val="231F20"/>
          <w:spacing w:val="-4"/>
          <w:sz w:val="18"/>
        </w:rPr>
        <w:t>OK</w:t>
      </w:r>
      <w:r>
        <w:rPr>
          <w:rFonts w:ascii="Arial"/>
          <w:b/>
          <w:color w:val="231F20"/>
          <w:spacing w:val="10"/>
          <w:sz w:val="18"/>
        </w:rPr>
        <w:t> </w:t>
      </w:r>
      <w:r>
        <w:rPr>
          <w:rFonts w:ascii="Arial"/>
          <w:b/>
          <w:color w:val="231F20"/>
          <w:spacing w:val="-4"/>
          <w:sz w:val="18"/>
        </w:rPr>
        <w:t>button;</w:t>
      </w:r>
    </w:p>
    <w:p>
      <w:pPr>
        <w:spacing w:line="200" w:lineRule="exact" w:before="0"/>
        <w:ind w:left="4627" w:right="0" w:firstLine="0"/>
        <w:jc w:val="left"/>
        <w:rPr>
          <w:rFonts w:ascii="Arial"/>
          <w:b/>
          <w:sz w:val="18"/>
        </w:rPr>
      </w:pPr>
      <w:r>
        <w:rPr>
          <w:rFonts w:ascii="Arial"/>
          <w:b/>
          <w:color w:val="231F20"/>
          <w:w w:val="90"/>
          <w:sz w:val="18"/>
        </w:rPr>
        <w:t>1</w:t>
      </w:r>
      <w:r>
        <w:rPr>
          <w:rFonts w:ascii="Arial"/>
          <w:b/>
          <w:color w:val="231F20"/>
          <w:spacing w:val="15"/>
          <w:sz w:val="18"/>
        </w:rPr>
        <w:t> </w:t>
      </w:r>
      <w:r>
        <w:rPr>
          <w:rFonts w:ascii="Arial"/>
          <w:b/>
          <w:color w:val="231F20"/>
          <w:w w:val="90"/>
          <w:sz w:val="18"/>
        </w:rPr>
        <w:t>=</w:t>
      </w:r>
      <w:r>
        <w:rPr>
          <w:rFonts w:ascii="Arial"/>
          <w:b/>
          <w:color w:val="231F20"/>
          <w:spacing w:val="16"/>
          <w:sz w:val="18"/>
        </w:rPr>
        <w:t> </w:t>
      </w:r>
      <w:r>
        <w:rPr>
          <w:rFonts w:ascii="Arial"/>
          <w:b/>
          <w:color w:val="231F20"/>
          <w:w w:val="90"/>
          <w:sz w:val="18"/>
        </w:rPr>
        <w:t>NO</w:t>
      </w:r>
      <w:r>
        <w:rPr>
          <w:rFonts w:ascii="Arial"/>
          <w:b/>
          <w:color w:val="231F20"/>
          <w:spacing w:val="16"/>
          <w:sz w:val="18"/>
        </w:rPr>
        <w:t> </w:t>
      </w:r>
      <w:r>
        <w:rPr>
          <w:rFonts w:ascii="Arial"/>
          <w:b/>
          <w:color w:val="231F20"/>
          <w:spacing w:val="-2"/>
          <w:w w:val="90"/>
          <w:sz w:val="18"/>
        </w:rPr>
        <w:t>button;</w:t>
      </w:r>
    </w:p>
    <w:p>
      <w:pPr>
        <w:spacing w:line="200" w:lineRule="exact" w:before="0"/>
        <w:ind w:left="4627" w:right="0" w:firstLine="0"/>
        <w:jc w:val="left"/>
        <w:rPr>
          <w:rFonts w:ascii="Arial"/>
          <w:b/>
          <w:sz w:val="18"/>
        </w:rPr>
      </w:pPr>
      <w:r>
        <w:rPr>
          <w:rFonts w:ascii="Arial"/>
          <w:b/>
          <w:color w:val="231F20"/>
          <w:w w:val="80"/>
          <w:sz w:val="18"/>
        </w:rPr>
        <w:t>2</w:t>
      </w:r>
      <w:r>
        <w:rPr>
          <w:rFonts w:ascii="Arial"/>
          <w:b/>
          <w:color w:val="231F20"/>
          <w:spacing w:val="21"/>
          <w:sz w:val="18"/>
        </w:rPr>
        <w:t> </w:t>
      </w:r>
      <w:r>
        <w:rPr>
          <w:rFonts w:ascii="Arial"/>
          <w:b/>
          <w:color w:val="231F20"/>
          <w:w w:val="80"/>
          <w:sz w:val="18"/>
        </w:rPr>
        <w:t>=</w:t>
      </w:r>
      <w:r>
        <w:rPr>
          <w:rFonts w:ascii="Arial"/>
          <w:b/>
          <w:color w:val="231F20"/>
          <w:spacing w:val="21"/>
          <w:sz w:val="18"/>
        </w:rPr>
        <w:t> </w:t>
      </w:r>
      <w:r>
        <w:rPr>
          <w:rFonts w:ascii="Arial"/>
          <w:b/>
          <w:color w:val="231F20"/>
          <w:w w:val="80"/>
          <w:sz w:val="18"/>
        </w:rPr>
        <w:t>CANCEL</w:t>
      </w:r>
      <w:r>
        <w:rPr>
          <w:rFonts w:ascii="Arial"/>
          <w:b/>
          <w:color w:val="231F20"/>
          <w:spacing w:val="21"/>
          <w:sz w:val="18"/>
        </w:rPr>
        <w:t> </w:t>
      </w:r>
      <w:r>
        <w:rPr>
          <w:rFonts w:ascii="Arial"/>
          <w:b/>
          <w:color w:val="231F20"/>
          <w:spacing w:val="-2"/>
          <w:w w:val="80"/>
          <w:sz w:val="18"/>
        </w:rPr>
        <w:t>button;</w:t>
      </w:r>
    </w:p>
    <w:p>
      <w:pPr>
        <w:spacing w:line="230" w:lineRule="auto" w:before="3"/>
        <w:ind w:left="4986" w:right="1148" w:hanging="449"/>
        <w:jc w:val="left"/>
        <w:rPr>
          <w:rFonts w:ascii="Arial"/>
          <w:b/>
          <w:sz w:val="18"/>
        </w:rPr>
      </w:pPr>
      <w:r>
        <w:rPr>
          <w:rFonts w:ascii="Arial"/>
          <w:b/>
          <w:color w:val="231F20"/>
          <w:spacing w:val="-4"/>
          <w:sz w:val="18"/>
        </w:rPr>
        <w:t>-1</w:t>
      </w:r>
      <w:r>
        <w:rPr>
          <w:rFonts w:ascii="Arial"/>
          <w:b/>
          <w:color w:val="231F20"/>
          <w:spacing w:val="7"/>
          <w:sz w:val="18"/>
        </w:rPr>
        <w:t> </w:t>
      </w:r>
      <w:r>
        <w:rPr>
          <w:rFonts w:ascii="Arial"/>
          <w:b/>
          <w:color w:val="231F20"/>
          <w:spacing w:val="-4"/>
          <w:sz w:val="18"/>
        </w:rPr>
        <w:t>=</w:t>
      </w:r>
      <w:r>
        <w:rPr>
          <w:rFonts w:ascii="Arial"/>
          <w:b/>
          <w:color w:val="231F20"/>
          <w:spacing w:val="8"/>
          <w:sz w:val="18"/>
        </w:rPr>
        <w:t> </w:t>
      </w:r>
      <w:r>
        <w:rPr>
          <w:rFonts w:ascii="Arial"/>
          <w:b/>
          <w:color w:val="231F20"/>
          <w:spacing w:val="-4"/>
          <w:sz w:val="18"/>
        </w:rPr>
        <w:t>CLOSED.</w:t>
      </w:r>
      <w:r>
        <w:rPr>
          <w:rFonts w:ascii="Arial"/>
          <w:b/>
          <w:color w:val="231F20"/>
          <w:spacing w:val="8"/>
          <w:sz w:val="18"/>
        </w:rPr>
        <w:t> </w:t>
      </w:r>
      <w:r>
        <w:rPr>
          <w:rFonts w:ascii="Arial"/>
          <w:b/>
          <w:color w:val="231F20"/>
          <w:spacing w:val="-4"/>
          <w:sz w:val="18"/>
        </w:rPr>
        <w:t>The</w:t>
      </w:r>
      <w:r>
        <w:rPr>
          <w:rFonts w:ascii="Arial"/>
          <w:b/>
          <w:color w:val="231F20"/>
          <w:spacing w:val="8"/>
          <w:sz w:val="18"/>
        </w:rPr>
        <w:t> </w:t>
      </w:r>
      <w:r>
        <w:rPr>
          <w:rFonts w:ascii="Arial"/>
          <w:b/>
          <w:color w:val="231F20"/>
          <w:spacing w:val="-4"/>
          <w:sz w:val="18"/>
        </w:rPr>
        <w:t>dialog</w:t>
      </w:r>
      <w:r>
        <w:rPr>
          <w:rFonts w:ascii="Arial"/>
          <w:b/>
          <w:color w:val="231F20"/>
          <w:spacing w:val="8"/>
          <w:sz w:val="18"/>
        </w:rPr>
        <w:t> </w:t>
      </w:r>
      <w:r>
        <w:rPr>
          <w:rFonts w:ascii="Arial"/>
          <w:b/>
          <w:color w:val="231F20"/>
          <w:spacing w:val="-4"/>
          <w:sz w:val="18"/>
        </w:rPr>
        <w:t>was</w:t>
      </w:r>
      <w:r>
        <w:rPr>
          <w:rFonts w:ascii="Arial"/>
          <w:b/>
          <w:color w:val="231F20"/>
          <w:spacing w:val="8"/>
          <w:sz w:val="18"/>
        </w:rPr>
        <w:t> </w:t>
      </w:r>
      <w:r>
        <w:rPr>
          <w:rFonts w:ascii="Arial"/>
          <w:b/>
          <w:color w:val="231F20"/>
          <w:spacing w:val="-4"/>
          <w:sz w:val="18"/>
        </w:rPr>
        <w:t>dismissed</w:t>
      </w:r>
      <w:r>
        <w:rPr>
          <w:rFonts w:ascii="Arial"/>
          <w:b/>
          <w:color w:val="231F20"/>
          <w:spacing w:val="7"/>
          <w:sz w:val="18"/>
        </w:rPr>
        <w:t> </w:t>
      </w:r>
      <w:r>
        <w:rPr>
          <w:rFonts w:ascii="Arial"/>
          <w:b/>
          <w:color w:val="231F20"/>
          <w:spacing w:val="-4"/>
          <w:sz w:val="18"/>
        </w:rPr>
        <w:t>by</w:t>
      </w:r>
      <w:r>
        <w:rPr>
          <w:rFonts w:ascii="Arial"/>
          <w:b/>
          <w:color w:val="231F20"/>
          <w:spacing w:val="8"/>
          <w:sz w:val="18"/>
        </w:rPr>
        <w:t> </w:t>
      </w:r>
      <w:r>
        <w:rPr>
          <w:rFonts w:ascii="Arial"/>
          <w:b/>
          <w:color w:val="231F20"/>
          <w:spacing w:val="-4"/>
          <w:sz w:val="18"/>
        </w:rPr>
        <w:t>closing </w:t>
      </w:r>
      <w:r>
        <w:rPr>
          <w:rFonts w:ascii="Arial"/>
          <w:b/>
          <w:color w:val="231F20"/>
          <w:sz w:val="18"/>
        </w:rPr>
        <w:t>the</w:t>
      </w:r>
      <w:r>
        <w:rPr>
          <w:rFonts w:ascii="Arial"/>
          <w:b/>
          <w:color w:val="231F20"/>
          <w:spacing w:val="11"/>
          <w:sz w:val="18"/>
        </w:rPr>
        <w:t> </w:t>
      </w:r>
      <w:r>
        <w:rPr>
          <w:rFonts w:ascii="Arial"/>
          <w:b/>
          <w:color w:val="231F20"/>
          <w:sz w:val="18"/>
        </w:rPr>
        <w:t>dialog</w:t>
      </w:r>
      <w:r>
        <w:rPr>
          <w:rFonts w:ascii="Arial"/>
          <w:b/>
          <w:color w:val="231F20"/>
          <w:spacing w:val="11"/>
          <w:sz w:val="18"/>
        </w:rPr>
        <w:t> </w:t>
      </w:r>
      <w:r>
        <w:rPr>
          <w:rFonts w:ascii="Arial"/>
          <w:b/>
          <w:color w:val="231F20"/>
          <w:sz w:val="18"/>
        </w:rPr>
        <w:t>window</w:t>
      </w:r>
      <w:r>
        <w:rPr>
          <w:rFonts w:ascii="Arial"/>
          <w:b/>
          <w:color w:val="231F20"/>
          <w:w w:val="120"/>
          <w:sz w:val="18"/>
        </w:rPr>
        <w:t> -</w:t>
      </w:r>
      <w:r>
        <w:rPr>
          <w:rFonts w:ascii="Arial"/>
          <w:b/>
          <w:color w:val="231F20"/>
          <w:w w:val="120"/>
          <w:sz w:val="18"/>
        </w:rPr>
        <w:t> </w:t>
      </w:r>
      <w:r>
        <w:rPr>
          <w:rFonts w:ascii="Arial"/>
          <w:b/>
          <w:color w:val="231F20"/>
          <w:sz w:val="18"/>
        </w:rPr>
        <w:t>no</w:t>
      </w:r>
      <w:r>
        <w:rPr>
          <w:rFonts w:ascii="Arial"/>
          <w:b/>
          <w:color w:val="231F20"/>
          <w:spacing w:val="11"/>
          <w:sz w:val="18"/>
        </w:rPr>
        <w:t> </w:t>
      </w:r>
      <w:r>
        <w:rPr>
          <w:rFonts w:ascii="Arial"/>
          <w:b/>
          <w:color w:val="231F20"/>
          <w:sz w:val="18"/>
        </w:rPr>
        <w:t>button</w:t>
      </w:r>
      <w:r>
        <w:rPr>
          <w:rFonts w:ascii="Arial"/>
          <w:b/>
          <w:color w:val="231F20"/>
          <w:spacing w:val="11"/>
          <w:sz w:val="18"/>
        </w:rPr>
        <w:t> </w:t>
      </w:r>
      <w:r>
        <w:rPr>
          <w:rFonts w:ascii="Arial"/>
          <w:b/>
          <w:color w:val="231F20"/>
          <w:sz w:val="18"/>
        </w:rPr>
        <w:t>was</w:t>
      </w:r>
      <w:r>
        <w:rPr>
          <w:rFonts w:ascii="Arial"/>
          <w:b/>
          <w:color w:val="231F20"/>
          <w:spacing w:val="11"/>
          <w:sz w:val="18"/>
        </w:rPr>
        <w:t> </w:t>
      </w:r>
      <w:r>
        <w:rPr>
          <w:rFonts w:ascii="Arial"/>
          <w:b/>
          <w:color w:val="231F20"/>
          <w:sz w:val="18"/>
        </w:rPr>
        <w:t>pressed.</w:t>
      </w:r>
    </w:p>
    <w:p>
      <w:pPr>
        <w:spacing w:line="230" w:lineRule="auto" w:before="2"/>
        <w:ind w:left="4986" w:right="1104" w:hanging="449"/>
        <w:jc w:val="left"/>
        <w:rPr>
          <w:rFonts w:ascii="Arial"/>
          <w:b/>
          <w:sz w:val="18"/>
        </w:rPr>
      </w:pPr>
      <w:r>
        <w:rPr>
          <w:rFonts w:ascii="Arial"/>
          <w:b/>
          <w:color w:val="231F20"/>
          <w:spacing w:val="-6"/>
          <w:sz w:val="18"/>
        </w:rPr>
        <w:t>-2</w:t>
      </w:r>
      <w:r>
        <w:rPr>
          <w:rFonts w:ascii="Arial"/>
          <w:b/>
          <w:color w:val="231F20"/>
          <w:spacing w:val="12"/>
          <w:sz w:val="18"/>
        </w:rPr>
        <w:t> </w:t>
      </w:r>
      <w:r>
        <w:rPr>
          <w:rFonts w:ascii="Arial"/>
          <w:b/>
          <w:color w:val="231F20"/>
          <w:spacing w:val="-6"/>
          <w:sz w:val="18"/>
        </w:rPr>
        <w:t>=</w:t>
      </w:r>
      <w:r>
        <w:rPr>
          <w:rFonts w:ascii="Arial"/>
          <w:b/>
          <w:color w:val="231F20"/>
          <w:spacing w:val="12"/>
          <w:sz w:val="18"/>
        </w:rPr>
        <w:t> </w:t>
      </w:r>
      <w:r>
        <w:rPr>
          <w:rFonts w:ascii="Arial"/>
          <w:b/>
          <w:color w:val="231F20"/>
          <w:spacing w:val="-6"/>
          <w:sz w:val="18"/>
        </w:rPr>
        <w:t>The</w:t>
      </w:r>
      <w:r>
        <w:rPr>
          <w:rFonts w:ascii="Arial"/>
          <w:b/>
          <w:color w:val="231F20"/>
          <w:spacing w:val="12"/>
          <w:sz w:val="18"/>
        </w:rPr>
        <w:t> </w:t>
      </w:r>
      <w:r>
        <w:rPr>
          <w:rFonts w:ascii="Arial"/>
          <w:b/>
          <w:color w:val="231F20"/>
          <w:spacing w:val="-6"/>
          <w:sz w:val="18"/>
        </w:rPr>
        <w:t>message</w:t>
      </w:r>
      <w:r>
        <w:rPr>
          <w:rFonts w:ascii="Arial"/>
          <w:b/>
          <w:color w:val="231F20"/>
          <w:spacing w:val="12"/>
          <w:sz w:val="18"/>
        </w:rPr>
        <w:t> </w:t>
      </w:r>
      <w:r>
        <w:rPr>
          <w:rFonts w:ascii="Arial"/>
          <w:b/>
          <w:color w:val="231F20"/>
          <w:spacing w:val="-6"/>
          <w:sz w:val="18"/>
        </w:rPr>
        <w:t>box</w:t>
      </w:r>
      <w:r>
        <w:rPr>
          <w:rFonts w:ascii="Arial"/>
          <w:b/>
          <w:color w:val="231F20"/>
          <w:spacing w:val="12"/>
          <w:sz w:val="18"/>
        </w:rPr>
        <w:t> </w:t>
      </w:r>
      <w:r>
        <w:rPr>
          <w:rFonts w:ascii="Arial"/>
          <w:b/>
          <w:color w:val="231F20"/>
          <w:spacing w:val="-6"/>
          <w:sz w:val="18"/>
        </w:rPr>
        <w:t>was</w:t>
      </w:r>
      <w:r>
        <w:rPr>
          <w:rFonts w:ascii="Arial"/>
          <w:b/>
          <w:color w:val="231F20"/>
          <w:spacing w:val="12"/>
          <w:sz w:val="18"/>
        </w:rPr>
        <w:t> </w:t>
      </w:r>
      <w:r>
        <w:rPr>
          <w:rFonts w:ascii="Arial"/>
          <w:b/>
          <w:color w:val="231F20"/>
          <w:spacing w:val="-6"/>
          <w:sz w:val="18"/>
        </w:rPr>
        <w:t>not</w:t>
      </w:r>
      <w:r>
        <w:rPr>
          <w:rFonts w:ascii="Arial"/>
          <w:b/>
          <w:color w:val="231F20"/>
          <w:spacing w:val="12"/>
          <w:sz w:val="18"/>
        </w:rPr>
        <w:t> </w:t>
      </w:r>
      <w:r>
        <w:rPr>
          <w:rFonts w:ascii="Arial"/>
          <w:b/>
          <w:color w:val="231F20"/>
          <w:spacing w:val="-6"/>
          <w:sz w:val="18"/>
        </w:rPr>
        <w:t>responded</w:t>
      </w:r>
      <w:r>
        <w:rPr>
          <w:rFonts w:ascii="Arial"/>
          <w:b/>
          <w:color w:val="231F20"/>
          <w:spacing w:val="12"/>
          <w:sz w:val="18"/>
        </w:rPr>
        <w:t> </w:t>
      </w:r>
      <w:r>
        <w:rPr>
          <w:rFonts w:ascii="Arial"/>
          <w:b/>
          <w:color w:val="231F20"/>
          <w:spacing w:val="-6"/>
          <w:sz w:val="18"/>
        </w:rPr>
        <w:t>to</w:t>
      </w:r>
      <w:r>
        <w:rPr>
          <w:rFonts w:ascii="Arial"/>
          <w:b/>
          <w:color w:val="231F20"/>
          <w:spacing w:val="12"/>
          <w:sz w:val="18"/>
        </w:rPr>
        <w:t> </w:t>
      </w:r>
      <w:r>
        <w:rPr>
          <w:rFonts w:ascii="Arial"/>
          <w:b/>
          <w:color w:val="231F20"/>
          <w:spacing w:val="-6"/>
          <w:sz w:val="18"/>
        </w:rPr>
        <w:t>and</w:t>
      </w:r>
      <w:r>
        <w:rPr>
          <w:rFonts w:ascii="Arial"/>
          <w:b/>
          <w:color w:val="231F20"/>
          <w:spacing w:val="12"/>
          <w:sz w:val="18"/>
        </w:rPr>
        <w:t> </w:t>
      </w:r>
      <w:r>
        <w:rPr>
          <w:rFonts w:ascii="Arial"/>
          <w:b/>
          <w:color w:val="231F20"/>
          <w:spacing w:val="-6"/>
          <w:sz w:val="18"/>
        </w:rPr>
        <w:t>the </w:t>
      </w:r>
      <w:r>
        <w:rPr>
          <w:rFonts w:ascii="Arial"/>
          <w:b/>
          <w:color w:val="231F20"/>
          <w:sz w:val="18"/>
        </w:rPr>
        <w:t>timeout</w:t>
      </w:r>
      <w:r>
        <w:rPr>
          <w:rFonts w:ascii="Arial"/>
          <w:b/>
          <w:color w:val="231F20"/>
          <w:spacing w:val="23"/>
          <w:sz w:val="18"/>
        </w:rPr>
        <w:t> </w:t>
      </w:r>
      <w:r>
        <w:rPr>
          <w:rFonts w:ascii="Arial"/>
          <w:b/>
          <w:color w:val="231F20"/>
          <w:sz w:val="18"/>
        </w:rPr>
        <w:t>value</w:t>
      </w:r>
      <w:r>
        <w:rPr>
          <w:rFonts w:ascii="Arial"/>
          <w:b/>
          <w:color w:val="231F20"/>
          <w:spacing w:val="23"/>
          <w:sz w:val="18"/>
        </w:rPr>
        <w:t> </w:t>
      </w:r>
      <w:r>
        <w:rPr>
          <w:rFonts w:ascii="Arial"/>
          <w:b/>
          <w:color w:val="231F20"/>
          <w:sz w:val="18"/>
        </w:rPr>
        <w:t>was</w:t>
      </w:r>
      <w:r>
        <w:rPr>
          <w:rFonts w:ascii="Arial"/>
          <w:b/>
          <w:color w:val="231F20"/>
          <w:spacing w:val="23"/>
          <w:sz w:val="18"/>
        </w:rPr>
        <w:t> </w:t>
      </w:r>
      <w:r>
        <w:rPr>
          <w:rFonts w:ascii="Arial"/>
          <w:b/>
          <w:color w:val="231F20"/>
          <w:sz w:val="18"/>
        </w:rPr>
        <w:t>exceeded</w:t>
      </w:r>
    </w:p>
    <w:p>
      <w:pPr>
        <w:pStyle w:val="BodyText"/>
        <w:spacing w:before="108"/>
        <w:ind w:left="3190"/>
      </w:pPr>
      <w:r>
        <w:rPr>
          <w:color w:val="231F20"/>
          <w:spacing w:val="-2"/>
        </w:rPr>
        <w:t>Example:</w:t>
      </w:r>
    </w:p>
    <w:p>
      <w:pPr>
        <w:spacing w:line="230" w:lineRule="auto" w:before="63"/>
        <w:ind w:left="3190" w:right="545" w:firstLine="0"/>
        <w:jc w:val="left"/>
        <w:rPr>
          <w:rFonts w:ascii="Arial"/>
          <w:sz w:val="18"/>
        </w:rPr>
      </w:pPr>
      <w:r>
        <w:rPr>
          <w:rFonts w:ascii="Arial"/>
          <w:color w:val="231F20"/>
          <w:sz w:val="18"/>
        </w:rPr>
        <w:t>msgBox("The</w:t>
      </w:r>
      <w:r>
        <w:rPr>
          <w:rFonts w:ascii="Arial"/>
          <w:color w:val="231F20"/>
          <w:spacing w:val="32"/>
          <w:sz w:val="18"/>
        </w:rPr>
        <w:t> </w:t>
      </w:r>
      <w:r>
        <w:rPr>
          <w:rFonts w:ascii="Arial"/>
          <w:color w:val="231F20"/>
          <w:sz w:val="18"/>
        </w:rPr>
        <w:t>system</w:t>
      </w:r>
      <w:r>
        <w:rPr>
          <w:rFonts w:ascii="Arial"/>
          <w:color w:val="231F20"/>
          <w:spacing w:val="24"/>
          <w:w w:val="115"/>
          <w:sz w:val="18"/>
        </w:rPr>
        <w:t> </w:t>
      </w:r>
      <w:r>
        <w:rPr>
          <w:rFonts w:ascii="Arial"/>
          <w:color w:val="231F20"/>
          <w:w w:val="115"/>
          <w:sz w:val="18"/>
        </w:rPr>
        <w:t>is</w:t>
      </w:r>
      <w:r>
        <w:rPr>
          <w:rFonts w:ascii="Arial"/>
          <w:color w:val="231F20"/>
          <w:spacing w:val="24"/>
          <w:w w:val="115"/>
          <w:sz w:val="18"/>
        </w:rPr>
        <w:t> </w:t>
      </w:r>
      <w:r>
        <w:rPr>
          <w:rFonts w:ascii="Arial"/>
          <w:color w:val="231F20"/>
          <w:w w:val="115"/>
          <w:sz w:val="18"/>
        </w:rPr>
        <w:t>running");</w:t>
      </w:r>
      <w:r>
        <w:rPr>
          <w:rFonts w:ascii="Arial"/>
          <w:color w:val="231F20"/>
          <w:w w:val="150"/>
          <w:sz w:val="18"/>
        </w:rPr>
        <w:t> //</w:t>
      </w:r>
      <w:r>
        <w:rPr>
          <w:rFonts w:ascii="Arial"/>
          <w:color w:val="231F20"/>
          <w:w w:val="150"/>
          <w:sz w:val="18"/>
        </w:rPr>
        <w:t> </w:t>
      </w:r>
      <w:r>
        <w:rPr>
          <w:rFonts w:ascii="Arial"/>
          <w:color w:val="231F20"/>
          <w:w w:val="115"/>
          <w:sz w:val="18"/>
        </w:rPr>
        <w:t>this</w:t>
      </w:r>
      <w:r>
        <w:rPr>
          <w:rFonts w:ascii="Arial"/>
          <w:color w:val="231F20"/>
          <w:w w:val="120"/>
          <w:sz w:val="18"/>
        </w:rPr>
        <w:t> will</w:t>
      </w:r>
      <w:r>
        <w:rPr>
          <w:rFonts w:ascii="Arial"/>
          <w:color w:val="231F20"/>
          <w:w w:val="120"/>
          <w:sz w:val="18"/>
        </w:rPr>
        <w:t> </w:t>
      </w:r>
      <w:r>
        <w:rPr>
          <w:rFonts w:ascii="Arial"/>
          <w:color w:val="231F20"/>
          <w:w w:val="115"/>
          <w:sz w:val="18"/>
        </w:rPr>
        <w:t>display</w:t>
      </w:r>
      <w:r>
        <w:rPr>
          <w:rFonts w:ascii="Arial"/>
          <w:color w:val="231F20"/>
          <w:spacing w:val="24"/>
          <w:w w:val="115"/>
          <w:sz w:val="18"/>
        </w:rPr>
        <w:t> </w:t>
      </w:r>
      <w:r>
        <w:rPr>
          <w:rFonts w:ascii="Arial"/>
          <w:color w:val="231F20"/>
          <w:sz w:val="18"/>
        </w:rPr>
        <w:t>a</w:t>
      </w:r>
      <w:r>
        <w:rPr>
          <w:rFonts w:ascii="Arial"/>
          <w:color w:val="231F20"/>
          <w:spacing w:val="24"/>
          <w:w w:val="115"/>
          <w:sz w:val="18"/>
        </w:rPr>
        <w:t> </w:t>
      </w:r>
      <w:r>
        <w:rPr>
          <w:rFonts w:ascii="Arial"/>
          <w:color w:val="231F20"/>
          <w:w w:val="115"/>
          <w:sz w:val="18"/>
        </w:rPr>
        <w:t>plain</w:t>
      </w:r>
      <w:r>
        <w:rPr>
          <w:rFonts w:ascii="Arial"/>
          <w:color w:val="231F20"/>
          <w:spacing w:val="24"/>
          <w:w w:val="115"/>
          <w:sz w:val="18"/>
        </w:rPr>
        <w:t> </w:t>
      </w:r>
      <w:r>
        <w:rPr>
          <w:rFonts w:ascii="Arial"/>
          <w:color w:val="231F20"/>
          <w:sz w:val="18"/>
        </w:rPr>
        <w:t>message, </w:t>
      </w:r>
      <w:r>
        <w:rPr>
          <w:rFonts w:ascii="Arial"/>
          <w:color w:val="231F20"/>
          <w:w w:val="115"/>
          <w:sz w:val="18"/>
        </w:rPr>
        <w:t>with</w:t>
      </w:r>
      <w:r>
        <w:rPr>
          <w:rFonts w:ascii="Arial"/>
          <w:color w:val="231F20"/>
          <w:spacing w:val="22"/>
          <w:w w:val="115"/>
          <w:sz w:val="18"/>
        </w:rPr>
        <w:t> </w:t>
      </w:r>
      <w:r>
        <w:rPr>
          <w:rFonts w:ascii="Arial"/>
          <w:color w:val="231F20"/>
          <w:sz w:val="18"/>
        </w:rPr>
        <w:t>OK</w:t>
      </w:r>
      <w:r>
        <w:rPr>
          <w:rFonts w:ascii="Arial"/>
          <w:color w:val="231F20"/>
          <w:spacing w:val="22"/>
          <w:w w:val="115"/>
          <w:sz w:val="18"/>
        </w:rPr>
        <w:t> </w:t>
      </w:r>
      <w:r>
        <w:rPr>
          <w:rFonts w:ascii="Arial"/>
          <w:color w:val="231F20"/>
          <w:w w:val="115"/>
          <w:sz w:val="18"/>
        </w:rPr>
        <w:t>cancel</w:t>
      </w:r>
      <w:r>
        <w:rPr>
          <w:rFonts w:ascii="Arial"/>
          <w:color w:val="231F20"/>
          <w:spacing w:val="22"/>
          <w:w w:val="115"/>
          <w:sz w:val="18"/>
        </w:rPr>
        <w:t> </w:t>
      </w:r>
      <w:r>
        <w:rPr>
          <w:rFonts w:ascii="Arial"/>
          <w:color w:val="231F20"/>
          <w:w w:val="115"/>
          <w:sz w:val="18"/>
        </w:rPr>
        <w:t>button</w:t>
      </w:r>
    </w:p>
    <w:p>
      <w:pPr>
        <w:spacing w:line="230" w:lineRule="auto" w:before="1"/>
        <w:ind w:left="3190" w:right="763" w:firstLine="0"/>
        <w:jc w:val="left"/>
        <w:rPr>
          <w:rFonts w:ascii="Arial"/>
          <w:sz w:val="18"/>
        </w:rPr>
      </w:pPr>
      <w:r>
        <w:rPr>
          <w:rFonts w:ascii="Arial"/>
          <w:color w:val="231F20"/>
          <w:w w:val="110"/>
          <w:sz w:val="18"/>
        </w:rPr>
        <w:t>Val</w:t>
      </w:r>
      <w:r>
        <w:rPr>
          <w:rFonts w:ascii="Arial"/>
          <w:color w:val="231F20"/>
          <w:spacing w:val="23"/>
          <w:w w:val="110"/>
          <w:sz w:val="18"/>
        </w:rPr>
        <w:t> </w:t>
      </w:r>
      <w:r>
        <w:rPr>
          <w:rFonts w:ascii="Arial"/>
          <w:color w:val="231F20"/>
          <w:sz w:val="18"/>
        </w:rPr>
        <w:t>=</w:t>
      </w:r>
      <w:r>
        <w:rPr>
          <w:rFonts w:ascii="Arial"/>
          <w:color w:val="231F20"/>
          <w:spacing w:val="23"/>
          <w:w w:val="110"/>
          <w:sz w:val="18"/>
        </w:rPr>
        <w:t> </w:t>
      </w:r>
      <w:r>
        <w:rPr>
          <w:rFonts w:ascii="Arial"/>
          <w:color w:val="231F20"/>
          <w:w w:val="110"/>
          <w:sz w:val="18"/>
        </w:rPr>
        <w:t>msgBox("Invalid</w:t>
      </w:r>
      <w:r>
        <w:rPr>
          <w:rFonts w:ascii="Arial"/>
          <w:color w:val="231F20"/>
          <w:spacing w:val="23"/>
          <w:w w:val="110"/>
          <w:sz w:val="18"/>
        </w:rPr>
        <w:t> </w:t>
      </w:r>
      <w:r>
        <w:rPr>
          <w:rFonts w:ascii="Arial"/>
          <w:color w:val="231F20"/>
          <w:w w:val="110"/>
          <w:sz w:val="18"/>
        </w:rPr>
        <w:t>signon.</w:t>
      </w:r>
      <w:r>
        <w:rPr>
          <w:rFonts w:ascii="Arial"/>
          <w:color w:val="231F20"/>
          <w:spacing w:val="23"/>
          <w:w w:val="110"/>
          <w:sz w:val="18"/>
        </w:rPr>
        <w:t> </w:t>
      </w:r>
      <w:r>
        <w:rPr>
          <w:rFonts w:ascii="Arial"/>
          <w:color w:val="231F20"/>
          <w:w w:val="110"/>
          <w:sz w:val="18"/>
        </w:rPr>
        <w:t>Retry?",0,1);</w:t>
      </w:r>
      <w:r>
        <w:rPr>
          <w:rFonts w:ascii="Arial"/>
          <w:color w:val="231F20"/>
          <w:w w:val="150"/>
          <w:sz w:val="18"/>
        </w:rPr>
        <w:t> //</w:t>
      </w:r>
      <w:r>
        <w:rPr>
          <w:rFonts w:ascii="Arial"/>
          <w:color w:val="231F20"/>
          <w:w w:val="150"/>
          <w:sz w:val="18"/>
        </w:rPr>
        <w:t> </w:t>
      </w:r>
      <w:r>
        <w:rPr>
          <w:rFonts w:ascii="Arial"/>
          <w:color w:val="231F20"/>
          <w:w w:val="110"/>
          <w:sz w:val="18"/>
        </w:rPr>
        <w:t>this</w:t>
      </w:r>
      <w:r>
        <w:rPr>
          <w:rFonts w:ascii="Arial"/>
          <w:color w:val="231F20"/>
          <w:w w:val="150"/>
          <w:sz w:val="18"/>
        </w:rPr>
        <w:t> will</w:t>
      </w:r>
      <w:r>
        <w:rPr>
          <w:rFonts w:ascii="Arial"/>
          <w:color w:val="231F20"/>
          <w:w w:val="150"/>
          <w:sz w:val="18"/>
        </w:rPr>
        <w:t> </w:t>
      </w:r>
      <w:r>
        <w:rPr>
          <w:rFonts w:ascii="Arial"/>
          <w:color w:val="231F20"/>
          <w:w w:val="110"/>
          <w:sz w:val="18"/>
        </w:rPr>
        <w:t>present</w:t>
      </w:r>
      <w:r>
        <w:rPr>
          <w:rFonts w:ascii="Arial"/>
          <w:color w:val="231F20"/>
          <w:spacing w:val="23"/>
          <w:w w:val="110"/>
          <w:sz w:val="18"/>
        </w:rPr>
        <w:t> </w:t>
      </w:r>
      <w:r>
        <w:rPr>
          <w:rFonts w:ascii="Arial"/>
          <w:color w:val="231F20"/>
          <w:w w:val="110"/>
          <w:sz w:val="18"/>
        </w:rPr>
        <w:t>an </w:t>
      </w:r>
      <w:r>
        <w:rPr>
          <w:rFonts w:ascii="Arial"/>
          <w:color w:val="231F20"/>
          <w:sz w:val="18"/>
        </w:rPr>
        <w:t>Error</w:t>
      </w:r>
      <w:r>
        <w:rPr>
          <w:rFonts w:ascii="Arial"/>
          <w:color w:val="231F20"/>
          <w:spacing w:val="40"/>
          <w:sz w:val="18"/>
        </w:rPr>
        <w:t> </w:t>
      </w:r>
      <w:r>
        <w:rPr>
          <w:rFonts w:ascii="Arial"/>
          <w:color w:val="231F20"/>
          <w:sz w:val="18"/>
        </w:rPr>
        <w:t>type</w:t>
      </w:r>
      <w:r>
        <w:rPr>
          <w:rFonts w:ascii="Arial"/>
          <w:color w:val="231F20"/>
          <w:spacing w:val="40"/>
          <w:sz w:val="18"/>
        </w:rPr>
        <w:t> </w:t>
      </w:r>
      <w:r>
        <w:rPr>
          <w:rFonts w:ascii="Arial"/>
          <w:color w:val="231F20"/>
          <w:sz w:val="18"/>
        </w:rPr>
        <w:t>message,</w:t>
      </w:r>
      <w:r>
        <w:rPr>
          <w:rFonts w:ascii="Arial"/>
          <w:color w:val="231F20"/>
          <w:spacing w:val="40"/>
          <w:sz w:val="18"/>
        </w:rPr>
        <w:t> </w:t>
      </w:r>
      <w:r>
        <w:rPr>
          <w:rFonts w:ascii="Arial"/>
          <w:color w:val="231F20"/>
          <w:sz w:val="18"/>
        </w:rPr>
        <w:t>with</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YES,NO,CANCEL</w:t>
      </w:r>
      <w:r>
        <w:rPr>
          <w:rFonts w:ascii="Arial"/>
          <w:color w:val="231F20"/>
          <w:spacing w:val="40"/>
          <w:sz w:val="18"/>
        </w:rPr>
        <w:t> </w:t>
      </w:r>
      <w:r>
        <w:rPr>
          <w:rFonts w:ascii="Arial"/>
          <w:color w:val="231F20"/>
          <w:sz w:val="18"/>
        </w:rPr>
        <w:t>buttons;</w:t>
      </w:r>
    </w:p>
    <w:p>
      <w:pPr>
        <w:pStyle w:val="BodyText"/>
        <w:spacing w:before="44"/>
        <w:rPr>
          <w:rFonts w:ascii="Arial"/>
          <w:sz w:val="18"/>
        </w:rPr>
      </w:pPr>
    </w:p>
    <w:p>
      <w:pPr>
        <w:pStyle w:val="BodyText"/>
        <w:spacing w:line="213" w:lineRule="auto" w:before="1"/>
        <w:ind w:left="3190" w:right="274"/>
      </w:pPr>
      <w:r>
        <w:rPr>
          <w:rFonts w:ascii="Book Antiqua"/>
          <w:b/>
          <w:color w:val="231F20"/>
        </w:rPr>
        <w:t>Note:</w:t>
      </w:r>
      <w:r>
        <w:rPr>
          <w:rFonts w:ascii="Book Antiqua"/>
          <w:b/>
          <w:color w:val="231F20"/>
          <w:spacing w:val="40"/>
        </w:rPr>
        <w:t> </w:t>
      </w:r>
      <w:r>
        <w:rPr>
          <w:color w:val="231F20"/>
        </w:rPr>
        <w:t>Because the msgBox is waiting for user input, it could take a long time before the user responds. If it is running unattended, the user will never respond, and the script will stall. For this reason, there is a timeout value associated with this function. If the user does not respond within </w:t>
      </w:r>
      <w:r>
        <w:rPr>
          <w:color w:val="231F20"/>
        </w:rPr>
        <w:t>10 minutes,</w:t>
      </w:r>
      <w:r>
        <w:rPr>
          <w:color w:val="231F20"/>
          <w:spacing w:val="11"/>
        </w:rPr>
        <w:t> </w:t>
      </w:r>
      <w:r>
        <w:rPr>
          <w:color w:val="231F20"/>
        </w:rPr>
        <w:t>the</w:t>
      </w:r>
      <w:r>
        <w:rPr>
          <w:color w:val="231F20"/>
          <w:spacing w:val="11"/>
        </w:rPr>
        <w:t> </w:t>
      </w:r>
      <w:r>
        <w:rPr>
          <w:color w:val="231F20"/>
        </w:rPr>
        <w:t>dialog</w:t>
      </w:r>
      <w:r>
        <w:rPr>
          <w:color w:val="231F20"/>
          <w:spacing w:val="12"/>
        </w:rPr>
        <w:t> </w:t>
      </w:r>
      <w:r>
        <w:rPr>
          <w:color w:val="231F20"/>
        </w:rPr>
        <w:t>is</w:t>
      </w:r>
      <w:r>
        <w:rPr>
          <w:color w:val="231F20"/>
          <w:spacing w:val="11"/>
        </w:rPr>
        <w:t> </w:t>
      </w:r>
      <w:r>
        <w:rPr>
          <w:color w:val="231F20"/>
        </w:rPr>
        <w:t>automatically</w:t>
      </w:r>
      <w:r>
        <w:rPr>
          <w:color w:val="231F20"/>
          <w:spacing w:val="11"/>
        </w:rPr>
        <w:t> </w:t>
      </w:r>
      <w:r>
        <w:rPr>
          <w:color w:val="231F20"/>
        </w:rPr>
        <w:t>dismissed</w:t>
      </w:r>
      <w:r>
        <w:rPr>
          <w:color w:val="231F20"/>
          <w:spacing w:val="12"/>
        </w:rPr>
        <w:t> </w:t>
      </w:r>
      <w:r>
        <w:rPr>
          <w:color w:val="231F20"/>
        </w:rPr>
        <w:t>and</w:t>
      </w:r>
      <w:r>
        <w:rPr>
          <w:color w:val="231F20"/>
          <w:spacing w:val="11"/>
        </w:rPr>
        <w:t> </w:t>
      </w:r>
      <w:r>
        <w:rPr>
          <w:color w:val="231F20"/>
        </w:rPr>
        <w:t>a</w:t>
      </w:r>
      <w:r>
        <w:rPr>
          <w:color w:val="231F20"/>
          <w:spacing w:val="11"/>
        </w:rPr>
        <w:t> </w:t>
      </w:r>
      <w:r>
        <w:rPr>
          <w:color w:val="231F20"/>
        </w:rPr>
        <w:t>value</w:t>
      </w:r>
      <w:r>
        <w:rPr>
          <w:color w:val="231F20"/>
          <w:spacing w:val="12"/>
        </w:rPr>
        <w:t> </w:t>
      </w:r>
      <w:r>
        <w:rPr>
          <w:color w:val="231F20"/>
        </w:rPr>
        <w:t>of</w:t>
      </w:r>
      <w:r>
        <w:rPr>
          <w:color w:val="231F20"/>
          <w:spacing w:val="11"/>
        </w:rPr>
        <w:t> </w:t>
      </w:r>
      <w:r>
        <w:rPr>
          <w:color w:val="231F20"/>
        </w:rPr>
        <w:t>-2</w:t>
      </w:r>
      <w:r>
        <w:rPr>
          <w:color w:val="231F20"/>
          <w:spacing w:val="11"/>
        </w:rPr>
        <w:t> </w:t>
      </w:r>
      <w:r>
        <w:rPr>
          <w:color w:val="231F20"/>
          <w:spacing w:val="-2"/>
        </w:rPr>
        <w:t>returned.</w:t>
      </w:r>
    </w:p>
    <w:p>
      <w:pPr>
        <w:pStyle w:val="BodyText"/>
        <w:spacing w:line="360" w:lineRule="exact"/>
        <w:ind w:left="3190" w:right="1623" w:hanging="719"/>
        <w:jc w:val="both"/>
        <w:rPr>
          <w:rFonts w:ascii="Book Antiqua"/>
          <w:b/>
        </w:rPr>
      </w:pPr>
      <w:r>
        <w:rPr>
          <w:rFonts w:ascii="Book Antiqua"/>
          <w:b/>
          <w:color w:val="231F20"/>
        </w:rPr>
        <w:t>Sleep</w:t>
      </w:r>
      <w:r>
        <w:rPr>
          <w:rFonts w:ascii="Book Antiqua"/>
          <w:b/>
          <w:color w:val="231F20"/>
          <w:spacing w:val="80"/>
        </w:rPr>
        <w:t> </w:t>
      </w:r>
      <w:r>
        <w:rPr>
          <w:color w:val="231F20"/>
        </w:rPr>
        <w:t>Sleep suspends the execution for the time interval specified </w:t>
      </w:r>
      <w:r>
        <w:rPr>
          <w:rFonts w:ascii="Book Antiqua"/>
          <w:b/>
          <w:color w:val="231F20"/>
        </w:rPr>
        <w:t>Parms</w:t>
      </w:r>
      <w:r>
        <w:rPr>
          <w:rFonts w:ascii="Book Antiqua"/>
          <w:b/>
          <w:color w:val="231F20"/>
          <w:spacing w:val="40"/>
        </w:rPr>
        <w:t> </w:t>
      </w:r>
      <w:r>
        <w:rPr>
          <w:color w:val="231F20"/>
        </w:rPr>
        <w:t>Time interval1 - the number of milliseconds to </w:t>
      </w:r>
      <w:r>
        <w:rPr>
          <w:color w:val="231F20"/>
        </w:rPr>
        <w:t>wait </w:t>
      </w:r>
      <w:r>
        <w:rPr>
          <w:rFonts w:ascii="Book Antiqua"/>
          <w:b/>
          <w:color w:val="231F20"/>
          <w:spacing w:val="-2"/>
        </w:rPr>
        <w:t>Return</w:t>
      </w:r>
    </w:p>
    <w:p>
      <w:pPr>
        <w:pStyle w:val="BodyText"/>
        <w:spacing w:line="241" w:lineRule="exact"/>
        <w:ind w:left="3909"/>
      </w:pPr>
      <w:r>
        <w:rPr>
          <w:color w:val="231F20"/>
        </w:rPr>
        <w:t>Returns</w:t>
      </w:r>
      <w:r>
        <w:rPr>
          <w:color w:val="231F20"/>
          <w:spacing w:val="11"/>
        </w:rPr>
        <w:t> </w:t>
      </w:r>
      <w:r>
        <w:rPr>
          <w:color w:val="231F20"/>
        </w:rPr>
        <w:t>zero</w:t>
      </w:r>
      <w:r>
        <w:rPr>
          <w:color w:val="231F20"/>
          <w:spacing w:val="11"/>
        </w:rPr>
        <w:t> </w:t>
      </w:r>
      <w:r>
        <w:rPr>
          <w:color w:val="231F20"/>
        </w:rPr>
        <w:t>if</w:t>
      </w:r>
      <w:r>
        <w:rPr>
          <w:color w:val="231F20"/>
          <w:spacing w:val="11"/>
        </w:rPr>
        <w:t> </w:t>
      </w:r>
      <w:r>
        <w:rPr>
          <w:color w:val="231F20"/>
        </w:rPr>
        <w:t>successful;</w:t>
      </w:r>
      <w:r>
        <w:rPr>
          <w:color w:val="231F20"/>
          <w:spacing w:val="12"/>
        </w:rPr>
        <w:t> </w:t>
      </w:r>
      <w:r>
        <w:rPr>
          <w:color w:val="231F20"/>
        </w:rPr>
        <w:t>minus</w:t>
      </w:r>
      <w:r>
        <w:rPr>
          <w:color w:val="231F20"/>
          <w:spacing w:val="11"/>
        </w:rPr>
        <w:t> </w:t>
      </w:r>
      <w:r>
        <w:rPr>
          <w:color w:val="231F20"/>
        </w:rPr>
        <w:t>one</w:t>
      </w:r>
      <w:r>
        <w:rPr>
          <w:color w:val="231F20"/>
          <w:spacing w:val="11"/>
        </w:rPr>
        <w:t> </w:t>
      </w:r>
      <w:r>
        <w:rPr>
          <w:color w:val="231F20"/>
        </w:rPr>
        <w:t>if</w:t>
      </w:r>
      <w:r>
        <w:rPr>
          <w:color w:val="231F20"/>
          <w:spacing w:val="12"/>
        </w:rPr>
        <w:t> </w:t>
      </w:r>
      <w:r>
        <w:rPr>
          <w:color w:val="231F20"/>
        </w:rPr>
        <w:t>an</w:t>
      </w:r>
      <w:r>
        <w:rPr>
          <w:color w:val="231F20"/>
          <w:spacing w:val="11"/>
        </w:rPr>
        <w:t> </w:t>
      </w:r>
      <w:r>
        <w:rPr>
          <w:color w:val="231F20"/>
          <w:spacing w:val="-4"/>
        </w:rPr>
        <w:t>error</w:t>
      </w:r>
    </w:p>
    <w:p>
      <w:pPr>
        <w:pStyle w:val="BodyText"/>
        <w:spacing w:before="89"/>
        <w:ind w:left="3190"/>
      </w:pPr>
      <w:r>
        <w:rPr>
          <w:color w:val="231F20"/>
          <w:spacing w:val="-2"/>
        </w:rPr>
        <w:t>Example:</w:t>
      </w:r>
    </w:p>
    <w:p>
      <w:pPr>
        <w:spacing w:line="230" w:lineRule="auto" w:before="62"/>
        <w:ind w:left="3190" w:right="2916" w:firstLine="0"/>
        <w:jc w:val="left"/>
        <w:rPr>
          <w:rFonts w:ascii="Arial"/>
          <w:sz w:val="18"/>
        </w:rPr>
      </w:pPr>
      <w:r>
        <w:rPr>
          <w:rFonts w:ascii="Arial"/>
          <w:color w:val="231F20"/>
          <w:w w:val="115"/>
          <w:sz w:val="18"/>
        </w:rPr>
        <w:t>Sleep(1000);</w:t>
      </w:r>
      <w:r>
        <w:rPr>
          <w:rFonts w:ascii="Arial"/>
          <w:color w:val="231F20"/>
          <w:spacing w:val="-1"/>
          <w:w w:val="150"/>
          <w:sz w:val="18"/>
        </w:rPr>
        <w:t> </w:t>
      </w:r>
      <w:r>
        <w:rPr>
          <w:rFonts w:ascii="Arial"/>
          <w:color w:val="231F20"/>
          <w:w w:val="150"/>
          <w:sz w:val="18"/>
        </w:rPr>
        <w:t>//</w:t>
      </w:r>
      <w:r>
        <w:rPr>
          <w:rFonts w:ascii="Arial"/>
          <w:color w:val="231F20"/>
          <w:spacing w:val="-1"/>
          <w:w w:val="150"/>
          <w:sz w:val="18"/>
        </w:rPr>
        <w:t> </w:t>
      </w:r>
      <w:r>
        <w:rPr>
          <w:rFonts w:ascii="Arial"/>
          <w:color w:val="231F20"/>
          <w:w w:val="115"/>
          <w:sz w:val="18"/>
        </w:rPr>
        <w:t>sleep</w:t>
      </w:r>
      <w:r>
        <w:rPr>
          <w:rFonts w:ascii="Arial"/>
          <w:color w:val="231F20"/>
          <w:spacing w:val="17"/>
          <w:w w:val="115"/>
          <w:sz w:val="18"/>
        </w:rPr>
        <w:t> </w:t>
      </w:r>
      <w:r>
        <w:rPr>
          <w:rFonts w:ascii="Arial"/>
          <w:color w:val="231F20"/>
          <w:w w:val="115"/>
          <w:sz w:val="18"/>
        </w:rPr>
        <w:t>for</w:t>
      </w:r>
      <w:r>
        <w:rPr>
          <w:rFonts w:ascii="Arial"/>
          <w:color w:val="231F20"/>
          <w:spacing w:val="17"/>
          <w:w w:val="115"/>
          <w:sz w:val="18"/>
        </w:rPr>
        <w:t> </w:t>
      </w:r>
      <w:r>
        <w:rPr>
          <w:rFonts w:ascii="Arial"/>
          <w:color w:val="231F20"/>
          <w:w w:val="115"/>
          <w:sz w:val="18"/>
        </w:rPr>
        <w:t>1</w:t>
      </w:r>
      <w:r>
        <w:rPr>
          <w:rFonts w:ascii="Arial"/>
          <w:color w:val="231F20"/>
          <w:spacing w:val="17"/>
          <w:w w:val="115"/>
          <w:sz w:val="18"/>
        </w:rPr>
        <w:t> </w:t>
      </w:r>
      <w:r>
        <w:rPr>
          <w:rFonts w:ascii="Arial"/>
          <w:color w:val="231F20"/>
          <w:w w:val="115"/>
          <w:sz w:val="18"/>
        </w:rPr>
        <w:t>second; </w:t>
      </w:r>
      <w:r>
        <w:rPr>
          <w:rFonts w:ascii="Arial"/>
          <w:color w:val="231F20"/>
          <w:w w:val="110"/>
          <w:sz w:val="18"/>
        </w:rPr>
        <w:t>Sleep(1000*60);</w:t>
      </w:r>
      <w:r>
        <w:rPr>
          <w:rFonts w:ascii="Arial"/>
          <w:color w:val="231F20"/>
          <w:spacing w:val="12"/>
          <w:w w:val="110"/>
          <w:sz w:val="18"/>
        </w:rPr>
        <w:t> </w:t>
      </w:r>
      <w:r>
        <w:rPr>
          <w:rFonts w:ascii="Arial"/>
          <w:color w:val="231F20"/>
          <w:w w:val="110"/>
          <w:sz w:val="18"/>
        </w:rPr>
        <w:t>//</w:t>
      </w:r>
      <w:r>
        <w:rPr>
          <w:rFonts w:ascii="Arial"/>
          <w:color w:val="231F20"/>
          <w:spacing w:val="12"/>
          <w:w w:val="110"/>
          <w:sz w:val="18"/>
        </w:rPr>
        <w:t> </w:t>
      </w:r>
      <w:r>
        <w:rPr>
          <w:rFonts w:ascii="Arial"/>
          <w:color w:val="231F20"/>
          <w:w w:val="110"/>
          <w:sz w:val="18"/>
        </w:rPr>
        <w:t>sleep</w:t>
      </w:r>
      <w:r>
        <w:rPr>
          <w:rFonts w:ascii="Arial"/>
          <w:color w:val="231F20"/>
          <w:spacing w:val="12"/>
          <w:w w:val="110"/>
          <w:sz w:val="18"/>
        </w:rPr>
        <w:t> </w:t>
      </w:r>
      <w:r>
        <w:rPr>
          <w:rFonts w:ascii="Arial"/>
          <w:color w:val="231F20"/>
          <w:w w:val="110"/>
          <w:sz w:val="18"/>
        </w:rPr>
        <w:t>for</w:t>
      </w:r>
      <w:r>
        <w:rPr>
          <w:rFonts w:ascii="Arial"/>
          <w:color w:val="231F20"/>
          <w:spacing w:val="12"/>
          <w:w w:val="110"/>
          <w:sz w:val="18"/>
        </w:rPr>
        <w:t> </w:t>
      </w:r>
      <w:r>
        <w:rPr>
          <w:rFonts w:ascii="Arial"/>
          <w:color w:val="231F20"/>
          <w:w w:val="110"/>
          <w:sz w:val="18"/>
        </w:rPr>
        <w:t>1</w:t>
      </w:r>
      <w:r>
        <w:rPr>
          <w:rFonts w:ascii="Arial"/>
          <w:color w:val="231F20"/>
          <w:spacing w:val="12"/>
          <w:w w:val="110"/>
          <w:sz w:val="18"/>
        </w:rPr>
        <w:t> </w:t>
      </w:r>
      <w:r>
        <w:rPr>
          <w:rFonts w:ascii="Arial"/>
          <w:color w:val="231F20"/>
          <w:w w:val="110"/>
          <w:sz w:val="18"/>
        </w:rPr>
        <w:t>minute</w:t>
      </w:r>
    </w:p>
    <w:p>
      <w:pPr>
        <w:pStyle w:val="BodyText"/>
        <w:spacing w:before="45"/>
        <w:rPr>
          <w:rFonts w:ascii="Arial"/>
          <w:sz w:val="18"/>
        </w:rPr>
      </w:pPr>
    </w:p>
    <w:p>
      <w:pPr>
        <w:pStyle w:val="BodyText"/>
        <w:spacing w:line="213" w:lineRule="auto"/>
        <w:ind w:left="3190" w:right="385"/>
      </w:pPr>
      <w:r>
        <w:rPr>
          <w:rFonts w:ascii="Book Antiqua"/>
          <w:b/>
          <w:color w:val="231F20"/>
        </w:rPr>
        <w:t>Note:</w:t>
      </w:r>
      <w:r>
        <w:rPr>
          <w:rFonts w:ascii="Book Antiqua"/>
          <w:b/>
          <w:color w:val="231F20"/>
          <w:spacing w:val="40"/>
        </w:rPr>
        <w:t> </w:t>
      </w:r>
      <w:r>
        <w:rPr>
          <w:color w:val="231F20"/>
        </w:rPr>
        <w:t>The maximum amount of time permitted is 15 minutes (1000 * 60 </w:t>
      </w:r>
      <w:r>
        <w:rPr>
          <w:color w:val="231F20"/>
        </w:rPr>
        <w:t>* 15). If it is necessary to wait longer, multiple sleep() functions can be</w:t>
      </w:r>
      <w:r>
        <w:rPr>
          <w:color w:val="231F20"/>
          <w:spacing w:val="40"/>
        </w:rPr>
        <w:t> </w:t>
      </w:r>
      <w:r>
        <w:rPr>
          <w:color w:val="231F20"/>
          <w:spacing w:val="-2"/>
        </w:rPr>
        <w:t>issued.</w:t>
      </w:r>
    </w:p>
    <w:p>
      <w:pPr>
        <w:spacing w:after="0" w:line="213" w:lineRule="auto"/>
        <w:sectPr>
          <w:pgSz w:w="12240" w:h="15840"/>
          <w:pgMar w:header="0" w:footer="736" w:top="1180" w:bottom="920" w:left="1000" w:right="1060"/>
        </w:sectPr>
      </w:pPr>
    </w:p>
    <w:p>
      <w:pPr>
        <w:pStyle w:val="BodyText"/>
        <w:spacing w:line="213" w:lineRule="auto" w:before="85"/>
        <w:ind w:left="2951" w:right="493"/>
      </w:pPr>
      <w:bookmarkStart w:name="_bookmark137" w:id="303"/>
      <w:bookmarkEnd w:id="303"/>
      <w:r>
        <w:rPr/>
      </w:r>
      <w:r>
        <w:rPr>
          <w:rFonts w:ascii="Book Antiqua"/>
          <w:b/>
          <w:color w:val="231F20"/>
        </w:rPr>
        <w:t>Note:</w:t>
      </w:r>
      <w:r>
        <w:rPr>
          <w:rFonts w:ascii="Book Antiqua"/>
          <w:b/>
          <w:color w:val="231F20"/>
          <w:spacing w:val="40"/>
        </w:rPr>
        <w:t> </w:t>
      </w:r>
      <w:r>
        <w:rPr>
          <w:color w:val="231F20"/>
        </w:rPr>
        <w:t>The sleep is an Active wait. The actual internal value is a 1 second wait. The implementation uses a loop counter to issue the 1 second </w:t>
      </w:r>
      <w:r>
        <w:rPr>
          <w:color w:val="231F20"/>
        </w:rPr>
        <w:t>sleep. This prevents a stall condition and allows the script to be stopped or </w:t>
      </w:r>
      <w:bookmarkStart w:name="Emulator functions" w:id="304"/>
      <w:bookmarkEnd w:id="304"/>
      <w:r>
        <w:rPr>
          <w:color w:val="231F20"/>
          <w:spacing w:val="-2"/>
        </w:rPr>
        <w:t>cancelled.</w:t>
      </w:r>
    </w:p>
    <w:p>
      <w:pPr>
        <w:pStyle w:val="Heading4"/>
        <w:spacing w:line="273" w:lineRule="exact" w:before="163"/>
      </w:pPr>
      <w:r>
        <w:rPr>
          <w:color w:val="231F20"/>
        </w:rPr>
        <w:t>Emulator</w:t>
      </w:r>
      <w:r>
        <w:rPr>
          <w:color w:val="231F20"/>
          <w:spacing w:val="2"/>
        </w:rPr>
        <w:t> </w:t>
      </w:r>
      <w:r>
        <w:rPr>
          <w:color w:val="231F20"/>
          <w:spacing w:val="-2"/>
        </w:rPr>
        <w:t>functions</w:t>
      </w:r>
    </w:p>
    <w:p>
      <w:pPr>
        <w:pStyle w:val="BodyText"/>
        <w:spacing w:line="213" w:lineRule="auto" w:before="20"/>
        <w:ind w:left="2232" w:right="636"/>
      </w:pPr>
      <w:r>
        <w:rPr>
          <w:color w:val="231F20"/>
        </w:rPr>
        <w:t>The emulator built-in functions perform actions related to the navigation and display of data in the terminal session. The session must be connected to a host in</w:t>
      </w:r>
      <w:r>
        <w:rPr>
          <w:color w:val="231F20"/>
          <w:spacing w:val="40"/>
        </w:rPr>
        <w:t> </w:t>
      </w:r>
      <w:r>
        <w:rPr>
          <w:color w:val="231F20"/>
        </w:rPr>
        <w:t>order for these functions to execute. If the session is not connected, the function</w:t>
      </w:r>
      <w:r>
        <w:rPr>
          <w:color w:val="231F20"/>
          <w:spacing w:val="80"/>
        </w:rPr>
        <w:t> </w:t>
      </w:r>
      <w:r>
        <w:rPr>
          <w:color w:val="231F20"/>
        </w:rPr>
        <w:t>will return with a default value of zero for numeric return values or a null string</w:t>
      </w:r>
      <w:r>
        <w:rPr>
          <w:color w:val="231F20"/>
          <w:spacing w:val="80"/>
        </w:rPr>
        <w:t> </w:t>
      </w:r>
      <w:r>
        <w:rPr>
          <w:color w:val="231F20"/>
        </w:rPr>
        <w:t>for string values. If the function fails, a negative one (-1) will be returned.</w:t>
      </w:r>
    </w:p>
    <w:p>
      <w:pPr>
        <w:pStyle w:val="BodyText"/>
        <w:spacing w:line="213" w:lineRule="auto" w:before="236"/>
        <w:ind w:left="2232" w:right="414"/>
      </w:pPr>
      <w:r>
        <w:rPr>
          <w:color w:val="231F20"/>
        </w:rPr>
        <w:t>Locations on the screen are referenced by Row/Column or by buffer offset (relative</w:t>
      </w:r>
      <w:r>
        <w:rPr>
          <w:color w:val="231F20"/>
          <w:spacing w:val="40"/>
        </w:rPr>
        <w:t> </w:t>
      </w:r>
      <w:r>
        <w:rPr>
          <w:color w:val="231F20"/>
        </w:rPr>
        <w:t>0). Thus, the top left position would be Row 1, Column 1 or Location 0. Functions</w:t>
      </w:r>
      <w:r>
        <w:rPr>
          <w:color w:val="231F20"/>
          <w:spacing w:val="40"/>
        </w:rPr>
        <w:t> </w:t>
      </w:r>
      <w:r>
        <w:rPr>
          <w:color w:val="231F20"/>
        </w:rPr>
        <w:t>that take a screen position accept either form. Screen locations (buffer offsets) yield different Row/Column values depending on the screen size. For example, if the terminal</w:t>
      </w:r>
      <w:r>
        <w:rPr>
          <w:color w:val="231F20"/>
          <w:spacing w:val="12"/>
        </w:rPr>
        <w:t> </w:t>
      </w:r>
      <w:r>
        <w:rPr>
          <w:color w:val="231F20"/>
        </w:rPr>
        <w:t>has</w:t>
      </w:r>
      <w:r>
        <w:rPr>
          <w:color w:val="231F20"/>
          <w:spacing w:val="12"/>
        </w:rPr>
        <w:t> </w:t>
      </w:r>
      <w:r>
        <w:rPr>
          <w:color w:val="231F20"/>
        </w:rPr>
        <w:t>24</w:t>
      </w:r>
      <w:r>
        <w:rPr>
          <w:color w:val="231F20"/>
          <w:spacing w:val="12"/>
        </w:rPr>
        <w:t> </w:t>
      </w:r>
      <w:r>
        <w:rPr>
          <w:color w:val="231F20"/>
        </w:rPr>
        <w:t>rows</w:t>
      </w:r>
      <w:r>
        <w:rPr>
          <w:color w:val="231F20"/>
          <w:spacing w:val="12"/>
        </w:rPr>
        <w:t> </w:t>
      </w:r>
      <w:r>
        <w:rPr>
          <w:color w:val="231F20"/>
        </w:rPr>
        <w:t>and</w:t>
      </w:r>
      <w:r>
        <w:rPr>
          <w:color w:val="231F20"/>
          <w:spacing w:val="12"/>
        </w:rPr>
        <w:t> </w:t>
      </w:r>
      <w:r>
        <w:rPr>
          <w:color w:val="231F20"/>
        </w:rPr>
        <w:t>80</w:t>
      </w:r>
      <w:r>
        <w:rPr>
          <w:color w:val="231F20"/>
          <w:spacing w:val="12"/>
        </w:rPr>
        <w:t> </w:t>
      </w:r>
      <w:r>
        <w:rPr>
          <w:color w:val="231F20"/>
        </w:rPr>
        <w:t>bytes,</w:t>
      </w:r>
      <w:r>
        <w:rPr>
          <w:color w:val="231F20"/>
          <w:spacing w:val="12"/>
        </w:rPr>
        <w:t> </w:t>
      </w:r>
      <w:r>
        <w:rPr>
          <w:color w:val="231F20"/>
        </w:rPr>
        <w:t>location</w:t>
      </w:r>
      <w:r>
        <w:rPr>
          <w:color w:val="231F20"/>
          <w:spacing w:val="12"/>
        </w:rPr>
        <w:t> </w:t>
      </w:r>
      <w:r>
        <w:rPr>
          <w:color w:val="231F20"/>
        </w:rPr>
        <w:t>80</w:t>
      </w:r>
      <w:r>
        <w:rPr>
          <w:color w:val="231F20"/>
          <w:spacing w:val="12"/>
        </w:rPr>
        <w:t> </w:t>
      </w:r>
      <w:r>
        <w:rPr>
          <w:color w:val="231F20"/>
        </w:rPr>
        <w:t>will</w:t>
      </w:r>
      <w:r>
        <w:rPr>
          <w:color w:val="231F20"/>
          <w:spacing w:val="12"/>
        </w:rPr>
        <w:t> </w:t>
      </w:r>
      <w:r>
        <w:rPr>
          <w:color w:val="231F20"/>
        </w:rPr>
        <w:t>be</w:t>
      </w:r>
      <w:r>
        <w:rPr>
          <w:color w:val="231F20"/>
          <w:spacing w:val="12"/>
        </w:rPr>
        <w:t> </w:t>
      </w:r>
      <w:r>
        <w:rPr>
          <w:color w:val="231F20"/>
        </w:rPr>
        <w:t>row</w:t>
      </w:r>
      <w:r>
        <w:rPr>
          <w:color w:val="231F20"/>
          <w:spacing w:val="12"/>
        </w:rPr>
        <w:t> </w:t>
      </w:r>
      <w:r>
        <w:rPr>
          <w:color w:val="231F20"/>
        </w:rPr>
        <w:t>2,</w:t>
      </w:r>
      <w:r>
        <w:rPr>
          <w:color w:val="231F20"/>
          <w:spacing w:val="12"/>
        </w:rPr>
        <w:t> </w:t>
      </w:r>
      <w:r>
        <w:rPr>
          <w:color w:val="231F20"/>
        </w:rPr>
        <w:t>col</w:t>
      </w:r>
      <w:r>
        <w:rPr>
          <w:color w:val="231F20"/>
          <w:spacing w:val="12"/>
        </w:rPr>
        <w:t> </w:t>
      </w:r>
      <w:r>
        <w:rPr>
          <w:color w:val="231F20"/>
        </w:rPr>
        <w:t>1.</w:t>
      </w:r>
      <w:r>
        <w:rPr>
          <w:color w:val="231F20"/>
          <w:spacing w:val="12"/>
        </w:rPr>
        <w:t> </w:t>
      </w:r>
      <w:r>
        <w:rPr>
          <w:color w:val="231F20"/>
        </w:rPr>
        <w:t>However,</w:t>
      </w:r>
      <w:r>
        <w:rPr>
          <w:color w:val="231F20"/>
          <w:spacing w:val="12"/>
        </w:rPr>
        <w:t> </w:t>
      </w:r>
      <w:r>
        <w:rPr>
          <w:color w:val="231F20"/>
        </w:rPr>
        <w:t>if</w:t>
      </w:r>
      <w:r>
        <w:rPr>
          <w:color w:val="231F20"/>
          <w:spacing w:val="12"/>
        </w:rPr>
        <w:t> </w:t>
      </w:r>
      <w:r>
        <w:rPr>
          <w:color w:val="231F20"/>
        </w:rPr>
        <w:t>it</w:t>
      </w:r>
      <w:r>
        <w:rPr>
          <w:color w:val="231F20"/>
          <w:spacing w:val="12"/>
        </w:rPr>
        <w:t> </w:t>
      </w:r>
      <w:r>
        <w:rPr>
          <w:color w:val="231F20"/>
        </w:rPr>
        <w:t>is a model 5, location 80 will be row 1, col 81.</w:t>
      </w:r>
    </w:p>
    <w:p>
      <w:pPr>
        <w:pStyle w:val="Heading6"/>
        <w:spacing w:before="115"/>
        <w:ind w:left="2232"/>
      </w:pPr>
      <w:r>
        <w:rPr>
          <w:color w:val="231F20"/>
          <w:spacing w:val="-2"/>
        </w:rPr>
        <w:t>Disconnect</w:t>
      </w:r>
    </w:p>
    <w:p>
      <w:pPr>
        <w:pStyle w:val="BodyText"/>
        <w:spacing w:line="213" w:lineRule="auto" w:before="11"/>
        <w:ind w:left="2951" w:right="545"/>
      </w:pPr>
      <w:r>
        <w:rPr>
          <w:color w:val="231F20"/>
        </w:rPr>
        <w:t>Disconnects the current session from the host. The script terminates </w:t>
      </w:r>
      <w:r>
        <w:rPr>
          <w:color w:val="231F20"/>
        </w:rPr>
        <w:t>when the session disconnects.</w:t>
      </w:r>
    </w:p>
    <w:p>
      <w:pPr>
        <w:spacing w:before="95"/>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2"/>
        <w:ind w:left="2951"/>
      </w:pPr>
      <w:r>
        <w:rPr>
          <w:color w:val="231F20"/>
          <w:spacing w:val="-2"/>
        </w:rPr>
        <w:t>Return</w:t>
      </w:r>
    </w:p>
    <w:p>
      <w:pPr>
        <w:pStyle w:val="BodyText"/>
        <w:spacing w:line="246" w:lineRule="exact"/>
        <w:ind w:left="183"/>
        <w:jc w:val="center"/>
      </w:pPr>
      <w:r>
        <w:rPr>
          <w:color w:val="231F20"/>
        </w:rPr>
        <w:t>Returns</w:t>
      </w:r>
      <w:r>
        <w:rPr>
          <w:color w:val="231F20"/>
          <w:spacing w:val="12"/>
        </w:rPr>
        <w:t> </w:t>
      </w:r>
      <w:r>
        <w:rPr>
          <w:color w:val="231F20"/>
        </w:rPr>
        <w:t>0</w:t>
      </w:r>
      <w:r>
        <w:rPr>
          <w:color w:val="231F20"/>
          <w:spacing w:val="13"/>
        </w:rPr>
        <w:t> </w:t>
      </w:r>
      <w:r>
        <w:rPr>
          <w:color w:val="231F20"/>
        </w:rPr>
        <w:t>if</w:t>
      </w:r>
      <w:r>
        <w:rPr>
          <w:color w:val="231F20"/>
          <w:spacing w:val="13"/>
        </w:rPr>
        <w:t> </w:t>
      </w:r>
      <w:r>
        <w:rPr>
          <w:color w:val="231F20"/>
        </w:rPr>
        <w:t>success;</w:t>
      </w:r>
      <w:r>
        <w:rPr>
          <w:color w:val="231F20"/>
          <w:spacing w:val="13"/>
        </w:rPr>
        <w:t> </w:t>
      </w:r>
      <w:r>
        <w:rPr>
          <w:color w:val="231F20"/>
        </w:rPr>
        <w:t>-1</w:t>
      </w:r>
      <w:r>
        <w:rPr>
          <w:color w:val="231F20"/>
          <w:spacing w:val="13"/>
        </w:rPr>
        <w:t> </w:t>
      </w:r>
      <w:r>
        <w:rPr>
          <w:color w:val="231F20"/>
        </w:rPr>
        <w:t>if</w:t>
      </w:r>
      <w:r>
        <w:rPr>
          <w:color w:val="231F20"/>
          <w:spacing w:val="13"/>
        </w:rPr>
        <w:t> </w:t>
      </w:r>
      <w:r>
        <w:rPr>
          <w:color w:val="231F20"/>
        </w:rPr>
        <w:t>an</w:t>
      </w:r>
      <w:r>
        <w:rPr>
          <w:color w:val="231F20"/>
          <w:spacing w:val="13"/>
        </w:rPr>
        <w:t> </w:t>
      </w:r>
      <w:r>
        <w:rPr>
          <w:color w:val="231F20"/>
          <w:spacing w:val="-4"/>
        </w:rPr>
        <w:t>error</w:t>
      </w:r>
    </w:p>
    <w:p>
      <w:pPr>
        <w:pStyle w:val="BodyText"/>
        <w:spacing w:before="89"/>
        <w:ind w:left="2951"/>
      </w:pPr>
      <w:r>
        <w:rPr>
          <w:color w:val="231F20"/>
          <w:spacing w:val="-2"/>
        </w:rPr>
        <w:t>Example:</w:t>
      </w:r>
    </w:p>
    <w:p>
      <w:pPr>
        <w:spacing w:before="56"/>
        <w:ind w:left="2951" w:right="0" w:firstLine="0"/>
        <w:jc w:val="left"/>
        <w:rPr>
          <w:rFonts w:ascii="Arial"/>
          <w:sz w:val="18"/>
        </w:rPr>
      </w:pPr>
      <w:r>
        <w:rPr>
          <w:rFonts w:ascii="Arial"/>
          <w:color w:val="231F20"/>
          <w:w w:val="115"/>
          <w:sz w:val="18"/>
        </w:rPr>
        <w:t>disconnect</w:t>
      </w:r>
      <w:r>
        <w:rPr>
          <w:rFonts w:ascii="Arial"/>
          <w:color w:val="231F20"/>
          <w:spacing w:val="-15"/>
          <w:w w:val="115"/>
          <w:sz w:val="18"/>
        </w:rPr>
        <w:t> </w:t>
      </w:r>
      <w:r>
        <w:rPr>
          <w:rFonts w:ascii="Arial"/>
          <w:color w:val="231F20"/>
          <w:spacing w:val="39"/>
          <w:w w:val="115"/>
          <w:sz w:val="18"/>
        </w:rPr>
        <w:t>a</w:t>
      </w:r>
      <w:r>
        <w:rPr>
          <w:rFonts w:ascii="Arial"/>
          <w:color w:val="231F20"/>
          <w:spacing w:val="-14"/>
          <w:w w:val="115"/>
          <w:sz w:val="18"/>
        </w:rPr>
        <w:t> </w:t>
      </w:r>
      <w:r>
        <w:rPr>
          <w:rFonts w:ascii="Arial"/>
          <w:color w:val="231F20"/>
          <w:w w:val="115"/>
          <w:sz w:val="18"/>
        </w:rPr>
        <w:t>(</w:t>
      </w:r>
      <w:r>
        <w:rPr>
          <w:rFonts w:ascii="Arial"/>
          <w:color w:val="231F20"/>
          <w:spacing w:val="-15"/>
          <w:w w:val="145"/>
          <w:sz w:val="18"/>
        </w:rPr>
        <w:t> </w:t>
      </w:r>
      <w:r>
        <w:rPr>
          <w:rFonts w:ascii="Arial"/>
          <w:color w:val="231F20"/>
          <w:w w:val="145"/>
          <w:sz w:val="18"/>
        </w:rPr>
        <w:t>);</w:t>
      </w:r>
      <w:r>
        <w:rPr>
          <w:rFonts w:ascii="Arial"/>
          <w:color w:val="231F20"/>
          <w:spacing w:val="-9"/>
          <w:w w:val="145"/>
          <w:sz w:val="18"/>
        </w:rPr>
        <w:t> </w:t>
      </w:r>
      <w:r>
        <w:rPr>
          <w:rFonts w:ascii="Arial"/>
          <w:color w:val="231F20"/>
          <w:w w:val="145"/>
          <w:sz w:val="18"/>
        </w:rPr>
        <w:t>//</w:t>
      </w:r>
      <w:r>
        <w:rPr>
          <w:rFonts w:ascii="Arial"/>
          <w:color w:val="231F20"/>
          <w:spacing w:val="-6"/>
          <w:w w:val="145"/>
          <w:sz w:val="18"/>
        </w:rPr>
        <w:t> </w:t>
      </w:r>
      <w:r>
        <w:rPr>
          <w:rFonts w:ascii="Arial"/>
          <w:color w:val="231F20"/>
          <w:w w:val="115"/>
          <w:sz w:val="18"/>
        </w:rPr>
        <w:t>disconnects</w:t>
      </w:r>
      <w:r>
        <w:rPr>
          <w:rFonts w:ascii="Arial"/>
          <w:color w:val="231F20"/>
          <w:spacing w:val="9"/>
          <w:w w:val="115"/>
          <w:sz w:val="18"/>
        </w:rPr>
        <w:t> </w:t>
      </w:r>
      <w:r>
        <w:rPr>
          <w:rFonts w:ascii="Arial"/>
          <w:color w:val="231F20"/>
          <w:w w:val="115"/>
          <w:sz w:val="18"/>
        </w:rPr>
        <w:t>the</w:t>
      </w:r>
      <w:r>
        <w:rPr>
          <w:rFonts w:ascii="Arial"/>
          <w:color w:val="231F20"/>
          <w:spacing w:val="9"/>
          <w:w w:val="115"/>
          <w:sz w:val="18"/>
        </w:rPr>
        <w:t> </w:t>
      </w:r>
      <w:r>
        <w:rPr>
          <w:rFonts w:ascii="Arial"/>
          <w:color w:val="231F20"/>
          <w:w w:val="115"/>
          <w:sz w:val="18"/>
        </w:rPr>
        <w:t>current</w:t>
      </w:r>
      <w:r>
        <w:rPr>
          <w:rFonts w:ascii="Arial"/>
          <w:color w:val="231F20"/>
          <w:spacing w:val="9"/>
          <w:w w:val="115"/>
          <w:sz w:val="18"/>
        </w:rPr>
        <w:t> </w:t>
      </w:r>
      <w:r>
        <w:rPr>
          <w:rFonts w:ascii="Arial"/>
          <w:color w:val="231F20"/>
          <w:spacing w:val="-2"/>
          <w:w w:val="110"/>
          <w:sz w:val="18"/>
        </w:rPr>
        <w:t>session</w:t>
      </w:r>
    </w:p>
    <w:p>
      <w:pPr>
        <w:pStyle w:val="Heading6"/>
        <w:spacing w:before="128"/>
        <w:ind w:left="2232"/>
      </w:pPr>
      <w:r>
        <w:rPr>
          <w:color w:val="231F20"/>
          <w:spacing w:val="-2"/>
        </w:rPr>
        <w:t>FindString</w:t>
      </w:r>
    </w:p>
    <w:p>
      <w:pPr>
        <w:pStyle w:val="BodyText"/>
        <w:spacing w:line="258" w:lineRule="exact"/>
        <w:ind w:left="2951"/>
      </w:pPr>
      <w:r>
        <w:rPr>
          <w:color w:val="231F20"/>
        </w:rPr>
        <w:t>Use</w:t>
      </w:r>
      <w:r>
        <w:rPr>
          <w:color w:val="231F20"/>
          <w:spacing w:val="10"/>
        </w:rPr>
        <w:t> </w:t>
      </w:r>
      <w:r>
        <w:rPr>
          <w:color w:val="231F20"/>
        </w:rPr>
        <w:t>FindSring</w:t>
      </w:r>
      <w:r>
        <w:rPr>
          <w:color w:val="231F20"/>
          <w:spacing w:val="11"/>
        </w:rPr>
        <w:t> </w:t>
      </w:r>
      <w:r>
        <w:rPr>
          <w:color w:val="231F20"/>
        </w:rPr>
        <w:t>to</w:t>
      </w:r>
      <w:r>
        <w:rPr>
          <w:color w:val="231F20"/>
          <w:spacing w:val="11"/>
        </w:rPr>
        <w:t> </w:t>
      </w:r>
      <w:r>
        <w:rPr>
          <w:color w:val="231F20"/>
        </w:rPr>
        <w:t>find</w:t>
      </w:r>
      <w:r>
        <w:rPr>
          <w:color w:val="231F20"/>
          <w:spacing w:val="11"/>
        </w:rPr>
        <w:t> </w:t>
      </w:r>
      <w:r>
        <w:rPr>
          <w:color w:val="231F20"/>
        </w:rPr>
        <w:t>the</w:t>
      </w:r>
      <w:r>
        <w:rPr>
          <w:color w:val="231F20"/>
          <w:spacing w:val="11"/>
        </w:rPr>
        <w:t> </w:t>
      </w:r>
      <w:r>
        <w:rPr>
          <w:color w:val="231F20"/>
        </w:rPr>
        <w:t>string</w:t>
      </w:r>
      <w:r>
        <w:rPr>
          <w:color w:val="231F20"/>
          <w:spacing w:val="11"/>
        </w:rPr>
        <w:t> </w:t>
      </w:r>
      <w:r>
        <w:rPr>
          <w:color w:val="231F20"/>
        </w:rPr>
        <w:t>specified</w:t>
      </w:r>
      <w:r>
        <w:rPr>
          <w:color w:val="231F20"/>
          <w:spacing w:val="11"/>
        </w:rPr>
        <w:t> </w:t>
      </w:r>
      <w:r>
        <w:rPr>
          <w:color w:val="231F20"/>
        </w:rPr>
        <w:t>anywhere</w:t>
      </w:r>
      <w:r>
        <w:rPr>
          <w:color w:val="231F20"/>
          <w:spacing w:val="11"/>
        </w:rPr>
        <w:t> </w:t>
      </w:r>
      <w:r>
        <w:rPr>
          <w:color w:val="231F20"/>
        </w:rPr>
        <w:t>on</w:t>
      </w:r>
      <w:r>
        <w:rPr>
          <w:color w:val="231F20"/>
          <w:spacing w:val="10"/>
        </w:rPr>
        <w:t> </w:t>
      </w:r>
      <w:r>
        <w:rPr>
          <w:color w:val="231F20"/>
        </w:rPr>
        <w:t>the</w:t>
      </w:r>
      <w:r>
        <w:rPr>
          <w:color w:val="231F20"/>
          <w:spacing w:val="11"/>
        </w:rPr>
        <w:t> </w:t>
      </w:r>
      <w:r>
        <w:rPr>
          <w:color w:val="231F20"/>
          <w:spacing w:val="-2"/>
        </w:rPr>
        <w:t>screen.</w:t>
      </w:r>
    </w:p>
    <w:p>
      <w:pPr>
        <w:pStyle w:val="BodyText"/>
        <w:spacing w:before="89"/>
        <w:ind w:left="2951"/>
      </w:pPr>
      <w:r>
        <w:rPr>
          <w:rFonts w:ascii="Book Antiqua"/>
          <w:b/>
          <w:color w:val="231F20"/>
        </w:rPr>
        <w:t>Parms</w:t>
      </w:r>
      <w:r>
        <w:rPr>
          <w:rFonts w:ascii="Book Antiqua"/>
          <w:b/>
          <w:color w:val="231F20"/>
          <w:spacing w:val="68"/>
          <w:w w:val="150"/>
        </w:rPr>
        <w:t> </w:t>
      </w:r>
      <w:r>
        <w:rPr>
          <w:color w:val="231F20"/>
        </w:rPr>
        <w:t>Arg1</w:t>
      </w:r>
      <w:r>
        <w:rPr>
          <w:color w:val="231F20"/>
          <w:spacing w:val="11"/>
        </w:rPr>
        <w:t> </w:t>
      </w:r>
      <w:r>
        <w:rPr>
          <w:color w:val="231F20"/>
        </w:rPr>
        <w:t>-</w:t>
      </w:r>
      <w:r>
        <w:rPr>
          <w:color w:val="231F20"/>
          <w:spacing w:val="12"/>
        </w:rPr>
        <w:t> </w:t>
      </w:r>
      <w:r>
        <w:rPr>
          <w:color w:val="231F20"/>
        </w:rPr>
        <w:t>string</w:t>
      </w:r>
      <w:r>
        <w:rPr>
          <w:color w:val="231F20"/>
          <w:spacing w:val="12"/>
        </w:rPr>
        <w:t> </w:t>
      </w:r>
      <w:r>
        <w:rPr>
          <w:color w:val="231F20"/>
        </w:rPr>
        <w:t>to</w:t>
      </w:r>
      <w:r>
        <w:rPr>
          <w:color w:val="231F20"/>
          <w:spacing w:val="11"/>
        </w:rPr>
        <w:t> </w:t>
      </w:r>
      <w:r>
        <w:rPr>
          <w:color w:val="231F20"/>
        </w:rPr>
        <w:t>search</w:t>
      </w:r>
      <w:r>
        <w:rPr>
          <w:color w:val="231F20"/>
          <w:spacing w:val="12"/>
        </w:rPr>
        <w:t> </w:t>
      </w:r>
      <w:r>
        <w:rPr>
          <w:color w:val="231F20"/>
          <w:spacing w:val="-5"/>
        </w:rPr>
        <w:t>for</w:t>
      </w:r>
    </w:p>
    <w:p>
      <w:pPr>
        <w:pStyle w:val="Heading6"/>
        <w:spacing w:line="240" w:lineRule="auto" w:before="111"/>
        <w:ind w:left="2951"/>
      </w:pPr>
      <w:r>
        <w:rPr>
          <w:color w:val="231F20"/>
          <w:spacing w:val="-2"/>
        </w:rPr>
        <w:t>Return</w:t>
      </w:r>
    </w:p>
    <w:p>
      <w:pPr>
        <w:pStyle w:val="BodyText"/>
        <w:spacing w:line="213" w:lineRule="auto"/>
        <w:ind w:left="3669" w:right="545"/>
      </w:pPr>
      <w:r>
        <w:rPr>
          <w:color w:val="231F20"/>
        </w:rPr>
        <w:t>Returns the location of the string, or -1 if the string was not </w:t>
      </w:r>
      <w:r>
        <w:rPr>
          <w:color w:val="231F20"/>
        </w:rPr>
        <w:t>found</w:t>
      </w:r>
      <w:r>
        <w:rPr>
          <w:color w:val="231F20"/>
          <w:spacing w:val="40"/>
        </w:rPr>
        <w:t> </w:t>
      </w:r>
      <w:r>
        <w:rPr>
          <w:color w:val="231F20"/>
        </w:rPr>
        <w:t>or the session gets disconnected</w:t>
      </w:r>
    </w:p>
    <w:p>
      <w:pPr>
        <w:pStyle w:val="BodyText"/>
        <w:spacing w:before="95"/>
        <w:ind w:left="2951"/>
      </w:pPr>
      <w:r>
        <w:rPr>
          <w:color w:val="231F20"/>
          <w:spacing w:val="-2"/>
        </w:rPr>
        <w:t>Example:</w:t>
      </w:r>
    </w:p>
    <w:p>
      <w:pPr>
        <w:spacing w:line="230" w:lineRule="auto" w:before="63"/>
        <w:ind w:left="2951" w:right="545" w:firstLine="0"/>
        <w:jc w:val="left"/>
        <w:rPr>
          <w:rFonts w:ascii="Arial"/>
          <w:sz w:val="18"/>
        </w:rPr>
      </w:pPr>
      <w:r>
        <w:rPr>
          <w:rFonts w:ascii="Arial"/>
          <w:color w:val="231F20"/>
          <w:w w:val="110"/>
          <w:sz w:val="18"/>
        </w:rPr>
        <w:t>user</w:t>
      </w:r>
      <w:r>
        <w:rPr>
          <w:rFonts w:ascii="Arial"/>
          <w:color w:val="231F20"/>
          <w:spacing w:val="40"/>
          <w:w w:val="110"/>
          <w:sz w:val="18"/>
        </w:rPr>
        <w:t> </w:t>
      </w:r>
      <w:r>
        <w:rPr>
          <w:rFonts w:ascii="Arial"/>
          <w:color w:val="231F20"/>
          <w:w w:val="110"/>
          <w:sz w:val="18"/>
        </w:rPr>
        <w:t>=</w:t>
      </w:r>
      <w:r>
        <w:rPr>
          <w:rFonts w:ascii="Arial"/>
          <w:color w:val="231F20"/>
          <w:spacing w:val="40"/>
          <w:w w:val="110"/>
          <w:sz w:val="18"/>
        </w:rPr>
        <w:t> </w:t>
      </w:r>
      <w:r>
        <w:rPr>
          <w:rFonts w:ascii="Arial"/>
          <w:color w:val="231F20"/>
          <w:w w:val="110"/>
          <w:sz w:val="18"/>
        </w:rPr>
        <w:t>findString("Userid");</w:t>
      </w:r>
      <w:r>
        <w:rPr>
          <w:rFonts w:ascii="Arial"/>
          <w:color w:val="231F20"/>
          <w:w w:val="170"/>
          <w:sz w:val="18"/>
        </w:rPr>
        <w:t> //</w:t>
      </w:r>
      <w:r>
        <w:rPr>
          <w:rFonts w:ascii="Arial"/>
          <w:color w:val="231F20"/>
          <w:w w:val="170"/>
          <w:sz w:val="18"/>
        </w:rPr>
        <w:t> </w:t>
      </w:r>
      <w:r>
        <w:rPr>
          <w:rFonts w:ascii="Arial"/>
          <w:color w:val="231F20"/>
          <w:w w:val="110"/>
          <w:sz w:val="18"/>
        </w:rPr>
        <w:t>find</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"Userid"</w:t>
      </w:r>
      <w:r>
        <w:rPr>
          <w:rFonts w:ascii="Arial"/>
          <w:color w:val="231F20"/>
          <w:spacing w:val="40"/>
          <w:w w:val="110"/>
          <w:sz w:val="18"/>
        </w:rPr>
        <w:t> </w:t>
      </w:r>
      <w:r>
        <w:rPr>
          <w:rFonts w:ascii="Arial"/>
          <w:color w:val="231F20"/>
          <w:w w:val="110"/>
          <w:sz w:val="18"/>
        </w:rPr>
        <w:t>and</w:t>
      </w:r>
      <w:r>
        <w:rPr>
          <w:rFonts w:ascii="Arial"/>
          <w:color w:val="231F20"/>
          <w:spacing w:val="40"/>
          <w:w w:val="110"/>
          <w:sz w:val="18"/>
        </w:rPr>
        <w:t> </w:t>
      </w:r>
      <w:r>
        <w:rPr>
          <w:rFonts w:ascii="Arial"/>
          <w:color w:val="231F20"/>
          <w:w w:val="110"/>
          <w:sz w:val="18"/>
        </w:rPr>
        <w:t>return</w:t>
      </w:r>
      <w:r>
        <w:rPr>
          <w:rFonts w:ascii="Arial"/>
          <w:color w:val="231F20"/>
          <w:w w:val="170"/>
          <w:sz w:val="18"/>
        </w:rPr>
        <w:t> its </w:t>
      </w:r>
      <w:r>
        <w:rPr>
          <w:rFonts w:ascii="Arial"/>
          <w:color w:val="231F20"/>
          <w:w w:val="110"/>
          <w:sz w:val="18"/>
        </w:rPr>
        <w:t>location</w:t>
      </w:r>
      <w:r>
        <w:rPr>
          <w:rFonts w:ascii="Arial"/>
          <w:color w:val="231F20"/>
          <w:spacing w:val="-28"/>
          <w:w w:val="170"/>
          <w:sz w:val="18"/>
        </w:rPr>
        <w:t> </w:t>
      </w:r>
      <w:r>
        <w:rPr>
          <w:rFonts w:ascii="Arial"/>
          <w:color w:val="231F20"/>
          <w:w w:val="170"/>
          <w:sz w:val="18"/>
        </w:rPr>
        <w:t>if</w:t>
      </w:r>
      <w:r>
        <w:rPr>
          <w:rFonts w:ascii="Arial"/>
          <w:color w:val="231F20"/>
          <w:spacing w:val="-21"/>
          <w:w w:val="170"/>
          <w:sz w:val="18"/>
        </w:rPr>
        <w:t> </w:t>
      </w:r>
      <w:r>
        <w:rPr>
          <w:rFonts w:ascii="Arial"/>
          <w:color w:val="231F20"/>
          <w:w w:val="110"/>
          <w:sz w:val="18"/>
        </w:rPr>
        <w:t>((findString("OMEGAVIEW")</w:t>
      </w:r>
      <w:r>
        <w:rPr>
          <w:rFonts w:ascii="Arial"/>
          <w:color w:val="231F20"/>
          <w:spacing w:val="7"/>
          <w:w w:val="110"/>
          <w:sz w:val="18"/>
        </w:rPr>
        <w:t> </w:t>
      </w:r>
      <w:r>
        <w:rPr>
          <w:rFonts w:ascii="Arial"/>
          <w:color w:val="231F20"/>
          <w:w w:val="110"/>
          <w:sz w:val="18"/>
        </w:rPr>
        <w:t>&gt;</w:t>
      </w:r>
      <w:r>
        <w:rPr>
          <w:rFonts w:ascii="Arial"/>
          <w:color w:val="231F20"/>
          <w:spacing w:val="7"/>
          <w:w w:val="110"/>
          <w:sz w:val="18"/>
        </w:rPr>
        <w:t> </w:t>
      </w:r>
      <w:r>
        <w:rPr>
          <w:rFonts w:ascii="Arial"/>
          <w:color w:val="231F20"/>
          <w:w w:val="110"/>
          <w:sz w:val="18"/>
        </w:rPr>
        <w:t>0)</w:t>
      </w:r>
      <w:r>
        <w:rPr>
          <w:rFonts w:ascii="Arial"/>
          <w:color w:val="231F20"/>
          <w:spacing w:val="-23"/>
          <w:w w:val="170"/>
          <w:sz w:val="18"/>
        </w:rPr>
        <w:t> </w:t>
      </w:r>
      <w:r>
        <w:rPr>
          <w:rFonts w:ascii="Arial"/>
          <w:color w:val="231F20"/>
          <w:w w:val="170"/>
          <w:sz w:val="18"/>
        </w:rPr>
        <w:t>//</w:t>
      </w:r>
      <w:r>
        <w:rPr>
          <w:rFonts w:ascii="Arial"/>
          <w:color w:val="231F20"/>
          <w:spacing w:val="-22"/>
          <w:w w:val="170"/>
          <w:sz w:val="18"/>
        </w:rPr>
        <w:t> </w:t>
      </w:r>
      <w:r>
        <w:rPr>
          <w:rFonts w:ascii="Arial"/>
          <w:color w:val="231F20"/>
          <w:w w:val="170"/>
          <w:sz w:val="18"/>
        </w:rPr>
        <w:t>is</w:t>
      </w:r>
      <w:r>
        <w:rPr>
          <w:rFonts w:ascii="Arial"/>
          <w:color w:val="231F20"/>
          <w:spacing w:val="-21"/>
          <w:w w:val="170"/>
          <w:sz w:val="18"/>
        </w:rPr>
        <w:t> </w:t>
      </w:r>
      <w:r>
        <w:rPr>
          <w:rFonts w:ascii="Arial"/>
          <w:color w:val="231F20"/>
          <w:w w:val="110"/>
          <w:sz w:val="18"/>
        </w:rPr>
        <w:t>this</w:t>
      </w:r>
      <w:r>
        <w:rPr>
          <w:rFonts w:ascii="Arial"/>
          <w:color w:val="231F20"/>
          <w:spacing w:val="7"/>
          <w:w w:val="110"/>
          <w:sz w:val="18"/>
        </w:rPr>
        <w:t> </w:t>
      </w:r>
      <w:r>
        <w:rPr>
          <w:rFonts w:ascii="Arial"/>
          <w:color w:val="231F20"/>
          <w:w w:val="110"/>
          <w:sz w:val="18"/>
        </w:rPr>
        <w:t>the</w:t>
      </w:r>
      <w:r>
        <w:rPr>
          <w:rFonts w:ascii="Arial"/>
          <w:color w:val="231F20"/>
          <w:spacing w:val="7"/>
          <w:w w:val="110"/>
          <w:sz w:val="18"/>
        </w:rPr>
        <w:t> </w:t>
      </w:r>
      <w:r>
        <w:rPr>
          <w:rFonts w:ascii="Arial"/>
          <w:color w:val="231F20"/>
          <w:w w:val="110"/>
          <w:sz w:val="18"/>
        </w:rPr>
        <w:t>correct</w:t>
      </w:r>
      <w:r>
        <w:rPr>
          <w:rFonts w:ascii="Arial"/>
          <w:color w:val="231F20"/>
          <w:spacing w:val="7"/>
          <w:w w:val="110"/>
          <w:sz w:val="18"/>
        </w:rPr>
        <w:t> </w:t>
      </w:r>
      <w:r>
        <w:rPr>
          <w:rFonts w:ascii="Arial"/>
          <w:color w:val="231F20"/>
          <w:w w:val="110"/>
          <w:sz w:val="18"/>
        </w:rPr>
        <w:t>screen?</w:t>
      </w:r>
    </w:p>
    <w:p>
      <w:pPr>
        <w:pStyle w:val="Heading6"/>
        <w:spacing w:before="130"/>
        <w:ind w:left="2232"/>
      </w:pPr>
      <w:r>
        <w:rPr>
          <w:color w:val="231F20"/>
          <w:spacing w:val="-2"/>
        </w:rPr>
        <w:t>GetCursor</w:t>
      </w:r>
    </w:p>
    <w:p>
      <w:pPr>
        <w:pStyle w:val="BodyText"/>
        <w:spacing w:line="213" w:lineRule="auto" w:before="11"/>
        <w:ind w:left="2951" w:right="636"/>
      </w:pPr>
      <w:r>
        <w:rPr>
          <w:color w:val="231F20"/>
        </w:rPr>
        <w:t>GetCursor returns the current location of the cursor. This is the </w:t>
      </w:r>
      <w:r>
        <w:rPr>
          <w:color w:val="231F20"/>
        </w:rPr>
        <w:t>buffer </w:t>
      </w:r>
      <w:r>
        <w:rPr>
          <w:color w:val="231F20"/>
          <w:spacing w:val="-2"/>
        </w:rPr>
        <w:t>offset.</w:t>
      </w:r>
    </w:p>
    <w:p>
      <w:pPr>
        <w:spacing w:before="96"/>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1"/>
        <w:ind w:left="2951"/>
      </w:pPr>
      <w:r>
        <w:rPr>
          <w:color w:val="231F20"/>
          <w:spacing w:val="-2"/>
        </w:rPr>
        <w:t>Return</w:t>
      </w:r>
    </w:p>
    <w:p>
      <w:pPr>
        <w:pStyle w:val="BodyText"/>
        <w:spacing w:line="213" w:lineRule="auto"/>
        <w:ind w:left="3669" w:right="636"/>
      </w:pPr>
      <w:r>
        <w:rPr>
          <w:color w:val="231F20"/>
        </w:rPr>
        <w:t>Returns the relative location of the cursor, or -1 if an error </w:t>
      </w:r>
      <w:r>
        <w:rPr>
          <w:color w:val="231F20"/>
        </w:rPr>
        <w:t>occurs or the terminal gets disconnected</w:t>
      </w:r>
    </w:p>
    <w:p>
      <w:pPr>
        <w:pStyle w:val="BodyText"/>
        <w:spacing w:before="95"/>
        <w:ind w:left="2951"/>
      </w:pPr>
      <w:r>
        <w:rPr>
          <w:color w:val="231F20"/>
          <w:spacing w:val="-2"/>
        </w:rPr>
        <w:t>Example:</w:t>
      </w:r>
    </w:p>
    <w:p>
      <w:pPr>
        <w:spacing w:before="55"/>
        <w:ind w:left="2951" w:right="0" w:firstLine="0"/>
        <w:jc w:val="left"/>
        <w:rPr>
          <w:rFonts w:ascii="Arial"/>
          <w:sz w:val="18"/>
        </w:rPr>
      </w:pPr>
      <w:r>
        <w:rPr>
          <w:rFonts w:ascii="Arial"/>
          <w:color w:val="231F20"/>
          <w:w w:val="105"/>
          <w:sz w:val="18"/>
        </w:rPr>
        <w:t>Pos</w:t>
      </w:r>
      <w:r>
        <w:rPr>
          <w:rFonts w:ascii="Arial"/>
          <w:color w:val="231F20"/>
          <w:spacing w:val="46"/>
          <w:w w:val="105"/>
          <w:sz w:val="18"/>
        </w:rPr>
        <w:t> </w:t>
      </w:r>
      <w:r>
        <w:rPr>
          <w:rFonts w:ascii="Arial"/>
          <w:color w:val="231F20"/>
          <w:w w:val="105"/>
          <w:sz w:val="18"/>
        </w:rPr>
        <w:t>=</w:t>
      </w:r>
      <w:r>
        <w:rPr>
          <w:rFonts w:ascii="Arial"/>
          <w:color w:val="231F20"/>
          <w:spacing w:val="47"/>
          <w:w w:val="105"/>
          <w:sz w:val="18"/>
        </w:rPr>
        <w:t> </w:t>
      </w:r>
      <w:r>
        <w:rPr>
          <w:rFonts w:ascii="Arial"/>
          <w:color w:val="231F20"/>
          <w:w w:val="105"/>
          <w:sz w:val="18"/>
        </w:rPr>
        <w:t>getCursor();</w:t>
      </w:r>
      <w:r>
        <w:rPr>
          <w:rFonts w:ascii="Arial"/>
          <w:color w:val="231F20"/>
          <w:spacing w:val="24"/>
          <w:w w:val="150"/>
          <w:sz w:val="18"/>
        </w:rPr>
        <w:t> </w:t>
      </w:r>
      <w:r>
        <w:rPr>
          <w:rFonts w:ascii="Arial"/>
          <w:color w:val="231F20"/>
          <w:w w:val="150"/>
          <w:sz w:val="18"/>
        </w:rPr>
        <w:t>//</w:t>
      </w:r>
      <w:r>
        <w:rPr>
          <w:rFonts w:ascii="Arial"/>
          <w:color w:val="231F20"/>
          <w:spacing w:val="24"/>
          <w:w w:val="150"/>
          <w:sz w:val="18"/>
        </w:rPr>
        <w:t> </w:t>
      </w:r>
      <w:r>
        <w:rPr>
          <w:rFonts w:ascii="Arial"/>
          <w:color w:val="231F20"/>
          <w:w w:val="105"/>
          <w:sz w:val="18"/>
        </w:rPr>
        <w:t>returns</w:t>
      </w:r>
      <w:r>
        <w:rPr>
          <w:rFonts w:ascii="Arial"/>
          <w:color w:val="231F20"/>
          <w:spacing w:val="46"/>
          <w:w w:val="105"/>
          <w:sz w:val="18"/>
        </w:rPr>
        <w:t> </w:t>
      </w:r>
      <w:r>
        <w:rPr>
          <w:rFonts w:ascii="Arial"/>
          <w:color w:val="231F20"/>
          <w:w w:val="105"/>
          <w:sz w:val="18"/>
        </w:rPr>
        <w:t>the</w:t>
      </w:r>
      <w:r>
        <w:rPr>
          <w:rFonts w:ascii="Arial"/>
          <w:color w:val="231F20"/>
          <w:spacing w:val="47"/>
          <w:w w:val="105"/>
          <w:sz w:val="18"/>
        </w:rPr>
        <w:t> </w:t>
      </w:r>
      <w:r>
        <w:rPr>
          <w:rFonts w:ascii="Arial"/>
          <w:color w:val="231F20"/>
          <w:w w:val="105"/>
          <w:sz w:val="18"/>
        </w:rPr>
        <w:t>cursor</w:t>
      </w:r>
      <w:r>
        <w:rPr>
          <w:rFonts w:ascii="Arial"/>
          <w:color w:val="231F20"/>
          <w:spacing w:val="46"/>
          <w:w w:val="105"/>
          <w:sz w:val="18"/>
        </w:rPr>
        <w:t> </w:t>
      </w:r>
      <w:r>
        <w:rPr>
          <w:rFonts w:ascii="Arial"/>
          <w:color w:val="231F20"/>
          <w:spacing w:val="-2"/>
          <w:w w:val="105"/>
          <w:sz w:val="18"/>
        </w:rPr>
        <w:t>position</w:t>
      </w:r>
    </w:p>
    <w:p>
      <w:pPr>
        <w:pStyle w:val="Heading6"/>
        <w:spacing w:before="128"/>
        <w:ind w:left="2232"/>
      </w:pPr>
      <w:r>
        <w:rPr>
          <w:color w:val="231F20"/>
          <w:spacing w:val="-2"/>
        </w:rPr>
        <w:t>GetCursorCol</w:t>
      </w:r>
    </w:p>
    <w:p>
      <w:pPr>
        <w:pStyle w:val="BodyText"/>
        <w:spacing w:line="258" w:lineRule="exact"/>
        <w:ind w:left="2951"/>
      </w:pPr>
      <w:r>
        <w:rPr>
          <w:color w:val="231F20"/>
        </w:rPr>
        <w:t>GetCursorCol</w:t>
      </w:r>
      <w:r>
        <w:rPr>
          <w:color w:val="231F20"/>
          <w:spacing w:val="9"/>
        </w:rPr>
        <w:t> </w:t>
      </w:r>
      <w:r>
        <w:rPr>
          <w:color w:val="231F20"/>
        </w:rPr>
        <w:t>returns</w:t>
      </w:r>
      <w:r>
        <w:rPr>
          <w:color w:val="231F20"/>
          <w:spacing w:val="9"/>
        </w:rPr>
        <w:t> </w:t>
      </w:r>
      <w:r>
        <w:rPr>
          <w:color w:val="231F20"/>
        </w:rPr>
        <w:t>the</w:t>
      </w:r>
      <w:r>
        <w:rPr>
          <w:color w:val="231F20"/>
          <w:spacing w:val="9"/>
        </w:rPr>
        <w:t> </w:t>
      </w:r>
      <w:r>
        <w:rPr>
          <w:color w:val="231F20"/>
        </w:rPr>
        <w:t>current</w:t>
      </w:r>
      <w:r>
        <w:rPr>
          <w:color w:val="231F20"/>
          <w:spacing w:val="9"/>
        </w:rPr>
        <w:t> </w:t>
      </w:r>
      <w:r>
        <w:rPr>
          <w:color w:val="231F20"/>
        </w:rPr>
        <w:t>column</w:t>
      </w:r>
      <w:r>
        <w:rPr>
          <w:color w:val="231F20"/>
          <w:spacing w:val="10"/>
        </w:rPr>
        <w:t> </w:t>
      </w:r>
      <w:r>
        <w:rPr>
          <w:color w:val="231F20"/>
        </w:rPr>
        <w:t>number</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spacing w:val="-2"/>
        </w:rPr>
        <w:t>cursor.</w:t>
      </w:r>
    </w:p>
    <w:p>
      <w:pPr>
        <w:spacing w:before="90"/>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spacing w:after="0"/>
        <w:jc w:val="left"/>
        <w:rPr>
          <w:sz w:val="20"/>
        </w:rPr>
        <w:sectPr>
          <w:pgSz w:w="12240" w:h="15840"/>
          <w:pgMar w:header="0" w:footer="736" w:top="1180" w:bottom="920" w:left="1000" w:right="1060"/>
        </w:sectPr>
      </w:pPr>
    </w:p>
    <w:p>
      <w:pPr>
        <w:pStyle w:val="Heading6"/>
        <w:spacing w:line="240" w:lineRule="auto" w:before="83"/>
        <w:ind w:left="0"/>
        <w:jc w:val="right"/>
      </w:pPr>
      <w:r>
        <w:rPr>
          <w:color w:val="231F20"/>
          <w:spacing w:val="-2"/>
        </w:rPr>
        <w:t>Return</w:t>
      </w:r>
    </w:p>
    <w:p>
      <w:pPr>
        <w:spacing w:line="240" w:lineRule="auto" w:before="83"/>
        <w:rPr>
          <w:rFonts w:ascii="Book Antiqua"/>
          <w:b/>
          <w:sz w:val="20"/>
        </w:rPr>
      </w:pPr>
      <w:r>
        <w:rPr/>
        <w:br w:type="column"/>
      </w:r>
      <w:r>
        <w:rPr>
          <w:rFonts w:ascii="Book Antiqua"/>
          <w:b/>
          <w:sz w:val="20"/>
        </w:rPr>
      </w:r>
    </w:p>
    <w:p>
      <w:pPr>
        <w:pStyle w:val="BodyText"/>
        <w:spacing w:line="213" w:lineRule="auto"/>
        <w:ind w:left="46" w:right="286"/>
      </w:pPr>
      <w:r>
        <w:rPr>
          <w:color w:val="231F20"/>
        </w:rPr>
        <w:t>Returns the integer value of the cursor column number, or -1 if </w:t>
      </w:r>
      <w:r>
        <w:rPr>
          <w:color w:val="231F20"/>
        </w:rPr>
        <w:t>an error occurs or the terminal is disconnected</w:t>
      </w:r>
    </w:p>
    <w:p>
      <w:pPr>
        <w:spacing w:after="0" w:line="213" w:lineRule="auto"/>
        <w:sectPr>
          <w:pgSz w:w="12240" w:h="15840"/>
          <w:pgMar w:header="0" w:footer="736" w:top="1180" w:bottom="920" w:left="1000" w:right="1060"/>
          <w:cols w:num="2" w:equalWidth="0">
            <w:col w:w="3823" w:space="40"/>
            <w:col w:w="6317"/>
          </w:cols>
        </w:sectPr>
      </w:pPr>
    </w:p>
    <w:p>
      <w:pPr>
        <w:pStyle w:val="BodyText"/>
        <w:spacing w:before="95"/>
        <w:ind w:left="3190"/>
      </w:pPr>
      <w:r>
        <w:rPr>
          <w:color w:val="231F20"/>
          <w:spacing w:val="-2"/>
        </w:rPr>
        <w:t>Example:</w:t>
      </w:r>
    </w:p>
    <w:p>
      <w:pPr>
        <w:spacing w:before="56"/>
        <w:ind w:left="3190" w:right="0" w:firstLine="0"/>
        <w:jc w:val="left"/>
        <w:rPr>
          <w:rFonts w:ascii="Arial"/>
          <w:sz w:val="18"/>
        </w:rPr>
      </w:pPr>
      <w:r>
        <w:rPr>
          <w:rFonts w:ascii="Arial"/>
          <w:color w:val="231F20"/>
          <w:w w:val="105"/>
          <w:sz w:val="18"/>
        </w:rPr>
        <w:t>Col</w:t>
      </w:r>
      <w:r>
        <w:rPr>
          <w:rFonts w:ascii="Arial"/>
          <w:color w:val="231F20"/>
          <w:spacing w:val="33"/>
          <w:w w:val="105"/>
          <w:sz w:val="18"/>
        </w:rPr>
        <w:t> </w:t>
      </w:r>
      <w:r>
        <w:rPr>
          <w:rFonts w:ascii="Arial"/>
          <w:color w:val="231F20"/>
          <w:w w:val="105"/>
          <w:sz w:val="18"/>
        </w:rPr>
        <w:t>=</w:t>
      </w:r>
      <w:r>
        <w:rPr>
          <w:rFonts w:ascii="Arial"/>
          <w:color w:val="231F20"/>
          <w:spacing w:val="34"/>
          <w:w w:val="105"/>
          <w:sz w:val="18"/>
        </w:rPr>
        <w:t> </w:t>
      </w:r>
      <w:r>
        <w:rPr>
          <w:rFonts w:ascii="Arial"/>
          <w:color w:val="231F20"/>
          <w:w w:val="105"/>
          <w:sz w:val="18"/>
        </w:rPr>
        <w:t>getCursorCol();</w:t>
      </w:r>
      <w:r>
        <w:rPr>
          <w:rFonts w:ascii="Arial"/>
          <w:color w:val="231F20"/>
          <w:spacing w:val="11"/>
          <w:w w:val="150"/>
          <w:sz w:val="18"/>
        </w:rPr>
        <w:t> </w:t>
      </w:r>
      <w:r>
        <w:rPr>
          <w:rFonts w:ascii="Arial"/>
          <w:color w:val="231F20"/>
          <w:w w:val="150"/>
          <w:sz w:val="18"/>
        </w:rPr>
        <w:t>//</w:t>
      </w:r>
      <w:r>
        <w:rPr>
          <w:rFonts w:ascii="Arial"/>
          <w:color w:val="231F20"/>
          <w:spacing w:val="11"/>
          <w:w w:val="150"/>
          <w:sz w:val="18"/>
        </w:rPr>
        <w:t> </w:t>
      </w:r>
      <w:r>
        <w:rPr>
          <w:rFonts w:ascii="Arial"/>
          <w:color w:val="231F20"/>
          <w:w w:val="105"/>
          <w:sz w:val="18"/>
        </w:rPr>
        <w:t>get</w:t>
      </w:r>
      <w:r>
        <w:rPr>
          <w:rFonts w:ascii="Arial"/>
          <w:color w:val="231F20"/>
          <w:spacing w:val="34"/>
          <w:w w:val="105"/>
          <w:sz w:val="18"/>
        </w:rPr>
        <w:t> </w:t>
      </w:r>
      <w:r>
        <w:rPr>
          <w:rFonts w:ascii="Arial"/>
          <w:color w:val="231F20"/>
          <w:w w:val="105"/>
          <w:sz w:val="18"/>
        </w:rPr>
        <w:t>cursor</w:t>
      </w:r>
      <w:r>
        <w:rPr>
          <w:rFonts w:ascii="Arial"/>
          <w:color w:val="231F20"/>
          <w:spacing w:val="34"/>
          <w:w w:val="105"/>
          <w:sz w:val="18"/>
        </w:rPr>
        <w:t> </w:t>
      </w:r>
      <w:r>
        <w:rPr>
          <w:rFonts w:ascii="Arial"/>
          <w:color w:val="231F20"/>
          <w:w w:val="105"/>
          <w:sz w:val="18"/>
        </w:rPr>
        <w:t>column</w:t>
      </w:r>
      <w:r>
        <w:rPr>
          <w:rFonts w:ascii="Arial"/>
          <w:color w:val="231F20"/>
          <w:spacing w:val="34"/>
          <w:w w:val="105"/>
          <w:sz w:val="18"/>
        </w:rPr>
        <w:t> </w:t>
      </w:r>
      <w:r>
        <w:rPr>
          <w:rFonts w:ascii="Arial"/>
          <w:color w:val="231F20"/>
          <w:spacing w:val="-2"/>
          <w:w w:val="105"/>
          <w:sz w:val="18"/>
        </w:rPr>
        <w:t>number</w:t>
      </w:r>
    </w:p>
    <w:p>
      <w:pPr>
        <w:pStyle w:val="Heading6"/>
        <w:spacing w:before="128"/>
      </w:pPr>
      <w:r>
        <w:rPr>
          <w:color w:val="231F20"/>
          <w:spacing w:val="-2"/>
        </w:rPr>
        <w:t>GetCursorRow</w:t>
      </w:r>
    </w:p>
    <w:p>
      <w:pPr>
        <w:pStyle w:val="BodyText"/>
        <w:spacing w:line="258" w:lineRule="exact"/>
        <w:ind w:left="3190"/>
      </w:pPr>
      <w:r>
        <w:rPr>
          <w:color w:val="231F20"/>
        </w:rPr>
        <w:t>GetCursorRow</w:t>
      </w:r>
      <w:r>
        <w:rPr>
          <w:color w:val="231F20"/>
          <w:spacing w:val="9"/>
        </w:rPr>
        <w:t> </w:t>
      </w:r>
      <w:r>
        <w:rPr>
          <w:color w:val="231F20"/>
        </w:rPr>
        <w:t>returns</w:t>
      </w:r>
      <w:r>
        <w:rPr>
          <w:color w:val="231F20"/>
          <w:spacing w:val="8"/>
        </w:rPr>
        <w:t> </w:t>
      </w:r>
      <w:r>
        <w:rPr>
          <w:color w:val="231F20"/>
        </w:rPr>
        <w:t>the</w:t>
      </w:r>
      <w:r>
        <w:rPr>
          <w:color w:val="231F20"/>
          <w:spacing w:val="9"/>
        </w:rPr>
        <w:t> </w:t>
      </w:r>
      <w:r>
        <w:rPr>
          <w:color w:val="231F20"/>
        </w:rPr>
        <w:t>current</w:t>
      </w:r>
      <w:r>
        <w:rPr>
          <w:color w:val="231F20"/>
          <w:spacing w:val="9"/>
        </w:rPr>
        <w:t> </w:t>
      </w:r>
      <w:r>
        <w:rPr>
          <w:color w:val="231F20"/>
        </w:rPr>
        <w:t>row</w:t>
      </w:r>
      <w:r>
        <w:rPr>
          <w:color w:val="231F20"/>
          <w:spacing w:val="9"/>
        </w:rPr>
        <w:t> </w:t>
      </w:r>
      <w:r>
        <w:rPr>
          <w:color w:val="231F20"/>
        </w:rPr>
        <w:t>number</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spacing w:val="-2"/>
        </w:rPr>
        <w:t>cursor.</w:t>
      </w:r>
    </w:p>
    <w:p>
      <w:pPr>
        <w:spacing w:before="89"/>
        <w:ind w:left="3190"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2"/>
        <w:ind w:left="3190"/>
      </w:pPr>
      <w:r>
        <w:rPr>
          <w:color w:val="231F20"/>
          <w:spacing w:val="-2"/>
        </w:rPr>
        <w:t>Return</w:t>
      </w:r>
    </w:p>
    <w:p>
      <w:pPr>
        <w:pStyle w:val="BodyText"/>
        <w:spacing w:line="213" w:lineRule="auto"/>
        <w:ind w:left="3909" w:right="545"/>
      </w:pPr>
      <w:r>
        <w:rPr>
          <w:color w:val="231F20"/>
        </w:rPr>
        <w:t>Returns the integer value of the cursor row number, or -1 if </w:t>
      </w:r>
      <w:r>
        <w:rPr>
          <w:color w:val="231F20"/>
        </w:rPr>
        <w:t>an error occurs or the terminal is disconnected</w:t>
      </w:r>
    </w:p>
    <w:p>
      <w:pPr>
        <w:pStyle w:val="BodyText"/>
        <w:spacing w:before="94"/>
        <w:ind w:left="3190"/>
      </w:pPr>
      <w:r>
        <w:rPr>
          <w:color w:val="231F20"/>
          <w:spacing w:val="-2"/>
        </w:rPr>
        <w:t>Example:</w:t>
      </w:r>
    </w:p>
    <w:p>
      <w:pPr>
        <w:spacing w:before="56"/>
        <w:ind w:left="3190" w:right="0" w:firstLine="0"/>
        <w:jc w:val="left"/>
        <w:rPr>
          <w:rFonts w:ascii="Arial"/>
          <w:sz w:val="18"/>
        </w:rPr>
      </w:pPr>
      <w:r>
        <w:rPr>
          <w:rFonts w:ascii="Arial"/>
          <w:color w:val="231F20"/>
          <w:sz w:val="18"/>
        </w:rPr>
        <w:t>Row</w:t>
      </w:r>
      <w:r>
        <w:rPr>
          <w:rFonts w:ascii="Arial"/>
          <w:color w:val="231F20"/>
          <w:spacing w:val="35"/>
          <w:sz w:val="18"/>
        </w:rPr>
        <w:t> </w:t>
      </w:r>
      <w:r>
        <w:rPr>
          <w:rFonts w:ascii="Arial"/>
          <w:color w:val="231F20"/>
          <w:sz w:val="18"/>
        </w:rPr>
        <w:t>=</w:t>
      </w:r>
      <w:r>
        <w:rPr>
          <w:rFonts w:ascii="Arial"/>
          <w:color w:val="231F20"/>
          <w:spacing w:val="35"/>
          <w:sz w:val="18"/>
        </w:rPr>
        <w:t> </w:t>
      </w:r>
      <w:r>
        <w:rPr>
          <w:rFonts w:ascii="Arial"/>
          <w:color w:val="231F20"/>
          <w:sz w:val="18"/>
        </w:rPr>
        <w:t>getCursorRow();</w:t>
      </w:r>
      <w:r>
        <w:rPr>
          <w:rFonts w:ascii="Arial"/>
          <w:color w:val="231F20"/>
          <w:spacing w:val="11"/>
          <w:w w:val="150"/>
          <w:sz w:val="18"/>
        </w:rPr>
        <w:t> </w:t>
      </w:r>
      <w:r>
        <w:rPr>
          <w:rFonts w:ascii="Arial"/>
          <w:color w:val="231F20"/>
          <w:w w:val="150"/>
          <w:sz w:val="18"/>
        </w:rPr>
        <w:t>//</w:t>
      </w:r>
      <w:r>
        <w:rPr>
          <w:rFonts w:ascii="Arial"/>
          <w:color w:val="231F20"/>
          <w:spacing w:val="10"/>
          <w:w w:val="150"/>
          <w:sz w:val="18"/>
        </w:rPr>
        <w:t> </w:t>
      </w:r>
      <w:r>
        <w:rPr>
          <w:rFonts w:ascii="Arial"/>
          <w:color w:val="231F20"/>
          <w:sz w:val="18"/>
        </w:rPr>
        <w:t>get</w:t>
      </w:r>
      <w:r>
        <w:rPr>
          <w:rFonts w:ascii="Arial"/>
          <w:color w:val="231F20"/>
          <w:spacing w:val="36"/>
          <w:sz w:val="18"/>
        </w:rPr>
        <w:t> </w:t>
      </w:r>
      <w:r>
        <w:rPr>
          <w:rFonts w:ascii="Arial"/>
          <w:color w:val="231F20"/>
          <w:sz w:val="18"/>
        </w:rPr>
        <w:t>cursor</w:t>
      </w:r>
      <w:r>
        <w:rPr>
          <w:rFonts w:ascii="Arial"/>
          <w:color w:val="231F20"/>
          <w:spacing w:val="35"/>
          <w:sz w:val="18"/>
        </w:rPr>
        <w:t> </w:t>
      </w:r>
      <w:r>
        <w:rPr>
          <w:rFonts w:ascii="Arial"/>
          <w:color w:val="231F20"/>
          <w:sz w:val="18"/>
        </w:rPr>
        <w:t>row</w:t>
      </w:r>
      <w:r>
        <w:rPr>
          <w:rFonts w:ascii="Arial"/>
          <w:color w:val="231F20"/>
          <w:spacing w:val="36"/>
          <w:sz w:val="18"/>
        </w:rPr>
        <w:t> </w:t>
      </w:r>
      <w:r>
        <w:rPr>
          <w:rFonts w:ascii="Arial"/>
          <w:color w:val="231F20"/>
          <w:spacing w:val="-2"/>
          <w:sz w:val="18"/>
        </w:rPr>
        <w:t>number</w:t>
      </w:r>
    </w:p>
    <w:p>
      <w:pPr>
        <w:pStyle w:val="Heading6"/>
        <w:spacing w:before="128"/>
      </w:pPr>
      <w:r>
        <w:rPr>
          <w:color w:val="231F20"/>
          <w:spacing w:val="-2"/>
        </w:rPr>
        <w:t>GetDefaultTimeout</w:t>
      </w:r>
    </w:p>
    <w:p>
      <w:pPr>
        <w:pStyle w:val="BodyText"/>
        <w:spacing w:line="258" w:lineRule="exact"/>
        <w:ind w:left="3190"/>
      </w:pPr>
      <w:r>
        <w:rPr>
          <w:color w:val="231F20"/>
        </w:rPr>
        <w:t>GetDefaultTimeout</w:t>
      </w:r>
      <w:r>
        <w:rPr>
          <w:color w:val="231F20"/>
          <w:spacing w:val="4"/>
        </w:rPr>
        <w:t> </w:t>
      </w:r>
      <w:r>
        <w:rPr>
          <w:color w:val="231F20"/>
        </w:rPr>
        <w:t>returns</w:t>
      </w:r>
      <w:r>
        <w:rPr>
          <w:color w:val="231F20"/>
          <w:spacing w:val="4"/>
        </w:rPr>
        <w:t> </w:t>
      </w:r>
      <w:r>
        <w:rPr>
          <w:color w:val="231F20"/>
        </w:rPr>
        <w:t>the</w:t>
      </w:r>
      <w:r>
        <w:rPr>
          <w:color w:val="231F20"/>
          <w:spacing w:val="5"/>
        </w:rPr>
        <w:t> </w:t>
      </w:r>
      <w:r>
        <w:rPr>
          <w:color w:val="231F20"/>
        </w:rPr>
        <w:t>value</w:t>
      </w:r>
      <w:r>
        <w:rPr>
          <w:color w:val="231F20"/>
          <w:spacing w:val="4"/>
        </w:rPr>
        <w:t> </w:t>
      </w:r>
      <w:r>
        <w:rPr>
          <w:color w:val="231F20"/>
        </w:rPr>
        <w:t>of</w:t>
      </w:r>
      <w:r>
        <w:rPr>
          <w:color w:val="231F20"/>
          <w:spacing w:val="4"/>
        </w:rPr>
        <w:t> </w:t>
      </w:r>
      <w:r>
        <w:rPr>
          <w:color w:val="231F20"/>
        </w:rPr>
        <w:t>the</w:t>
      </w:r>
      <w:r>
        <w:rPr>
          <w:color w:val="231F20"/>
          <w:spacing w:val="5"/>
        </w:rPr>
        <w:t> </w:t>
      </w:r>
      <w:r>
        <w:rPr>
          <w:color w:val="231F20"/>
        </w:rPr>
        <w:t>WaitForScreen</w:t>
      </w:r>
      <w:r>
        <w:rPr>
          <w:color w:val="231F20"/>
          <w:spacing w:val="4"/>
        </w:rPr>
        <w:t> </w:t>
      </w:r>
      <w:r>
        <w:rPr>
          <w:color w:val="231F20"/>
        </w:rPr>
        <w:t>default</w:t>
      </w:r>
      <w:r>
        <w:rPr>
          <w:color w:val="231F20"/>
          <w:spacing w:val="4"/>
        </w:rPr>
        <w:t> </w:t>
      </w:r>
      <w:r>
        <w:rPr>
          <w:color w:val="231F20"/>
          <w:spacing w:val="-2"/>
        </w:rPr>
        <w:t>Timeout.</w:t>
      </w:r>
    </w:p>
    <w:p>
      <w:pPr>
        <w:spacing w:before="89"/>
        <w:ind w:left="3190"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2"/>
        <w:ind w:left="3190"/>
      </w:pPr>
      <w:r>
        <w:rPr>
          <w:color w:val="231F20"/>
          <w:spacing w:val="-2"/>
        </w:rPr>
        <w:t>Return</w:t>
      </w:r>
    </w:p>
    <w:p>
      <w:pPr>
        <w:pStyle w:val="BodyText"/>
        <w:spacing w:line="213" w:lineRule="auto"/>
        <w:ind w:left="3909" w:right="545"/>
      </w:pPr>
      <w:r>
        <w:rPr>
          <w:color w:val="231F20"/>
        </w:rPr>
        <w:t>Returns the value of the WaitForScreen default Timeout </w:t>
      </w:r>
      <w:r>
        <w:rPr>
          <w:color w:val="231F20"/>
        </w:rPr>
        <w:t>in </w:t>
      </w:r>
      <w:r>
        <w:rPr>
          <w:color w:val="231F20"/>
          <w:spacing w:val="-2"/>
        </w:rPr>
        <w:t>milliseconds</w:t>
      </w:r>
    </w:p>
    <w:p>
      <w:pPr>
        <w:pStyle w:val="BodyText"/>
        <w:spacing w:before="95"/>
        <w:ind w:left="3190"/>
      </w:pPr>
      <w:r>
        <w:rPr>
          <w:color w:val="231F20"/>
          <w:spacing w:val="-2"/>
        </w:rPr>
        <w:t>Example:</w:t>
      </w:r>
    </w:p>
    <w:p>
      <w:pPr>
        <w:spacing w:line="203" w:lineRule="exact" w:before="55"/>
        <w:ind w:left="3190" w:right="0" w:firstLine="0"/>
        <w:jc w:val="left"/>
        <w:rPr>
          <w:rFonts w:ascii="Arial"/>
          <w:sz w:val="18"/>
        </w:rPr>
      </w:pPr>
      <w:r>
        <w:rPr>
          <w:rFonts w:ascii="Arial"/>
          <w:color w:val="231F20"/>
          <w:sz w:val="18"/>
        </w:rPr>
        <w:t>TimeoutValue</w:t>
      </w:r>
      <w:r>
        <w:rPr>
          <w:rFonts w:ascii="Arial"/>
          <w:color w:val="231F20"/>
          <w:spacing w:val="14"/>
          <w:sz w:val="18"/>
        </w:rPr>
        <w:t> </w:t>
      </w:r>
      <w:r>
        <w:rPr>
          <w:rFonts w:ascii="Arial"/>
          <w:color w:val="231F20"/>
          <w:sz w:val="18"/>
        </w:rPr>
        <w:t>=</w:t>
      </w:r>
      <w:r>
        <w:rPr>
          <w:rFonts w:ascii="Arial"/>
          <w:color w:val="231F20"/>
          <w:spacing w:val="14"/>
          <w:sz w:val="18"/>
        </w:rPr>
        <w:t> </w:t>
      </w:r>
      <w:r>
        <w:rPr>
          <w:rFonts w:ascii="Arial"/>
          <w:color w:val="231F20"/>
          <w:spacing w:val="-2"/>
          <w:sz w:val="18"/>
        </w:rPr>
        <w:t>getDefaultTimeout();</w:t>
      </w:r>
    </w:p>
    <w:p>
      <w:pPr>
        <w:spacing w:line="203" w:lineRule="exact" w:before="0"/>
        <w:ind w:left="3190" w:right="0" w:firstLine="0"/>
        <w:jc w:val="left"/>
        <w:rPr>
          <w:rFonts w:ascii="Arial"/>
          <w:sz w:val="18"/>
        </w:rPr>
      </w:pPr>
      <w:r>
        <w:rPr>
          <w:rFonts w:ascii="Arial"/>
          <w:color w:val="231F20"/>
          <w:w w:val="150"/>
          <w:sz w:val="18"/>
        </w:rPr>
        <w:t>//</w:t>
      </w:r>
      <w:r>
        <w:rPr>
          <w:rFonts w:ascii="Arial"/>
          <w:color w:val="231F20"/>
          <w:spacing w:val="11"/>
          <w:w w:val="150"/>
          <w:sz w:val="18"/>
        </w:rPr>
        <w:t> </w:t>
      </w:r>
      <w:r>
        <w:rPr>
          <w:rFonts w:ascii="Arial"/>
          <w:color w:val="231F20"/>
          <w:w w:val="110"/>
          <w:sz w:val="18"/>
        </w:rPr>
        <w:t>returns</w:t>
      </w:r>
      <w:r>
        <w:rPr>
          <w:rFonts w:ascii="Arial"/>
          <w:color w:val="231F20"/>
          <w:spacing w:val="31"/>
          <w:w w:val="110"/>
          <w:sz w:val="18"/>
        </w:rPr>
        <w:t> </w:t>
      </w:r>
      <w:r>
        <w:rPr>
          <w:rFonts w:ascii="Arial"/>
          <w:color w:val="231F20"/>
          <w:w w:val="110"/>
          <w:sz w:val="18"/>
        </w:rPr>
        <w:t>the</w:t>
      </w:r>
      <w:r>
        <w:rPr>
          <w:rFonts w:ascii="Arial"/>
          <w:color w:val="231F20"/>
          <w:spacing w:val="32"/>
          <w:w w:val="110"/>
          <w:sz w:val="18"/>
        </w:rPr>
        <w:t> </w:t>
      </w:r>
      <w:r>
        <w:rPr>
          <w:rFonts w:ascii="Arial"/>
          <w:color w:val="231F20"/>
          <w:w w:val="110"/>
          <w:sz w:val="18"/>
        </w:rPr>
        <w:t>cursor</w:t>
      </w:r>
      <w:r>
        <w:rPr>
          <w:rFonts w:ascii="Arial"/>
          <w:color w:val="231F20"/>
          <w:spacing w:val="31"/>
          <w:w w:val="110"/>
          <w:sz w:val="18"/>
        </w:rPr>
        <w:t> </w:t>
      </w:r>
      <w:r>
        <w:rPr>
          <w:rFonts w:ascii="Arial"/>
          <w:color w:val="231F20"/>
          <w:w w:val="110"/>
          <w:sz w:val="18"/>
        </w:rPr>
        <w:t>wait</w:t>
      </w:r>
      <w:r>
        <w:rPr>
          <w:rFonts w:ascii="Arial"/>
          <w:color w:val="231F20"/>
          <w:spacing w:val="31"/>
          <w:w w:val="110"/>
          <w:sz w:val="18"/>
        </w:rPr>
        <w:t> </w:t>
      </w:r>
      <w:r>
        <w:rPr>
          <w:rFonts w:ascii="Arial"/>
          <w:color w:val="231F20"/>
          <w:w w:val="110"/>
          <w:sz w:val="18"/>
        </w:rPr>
        <w:t>for</w:t>
      </w:r>
      <w:r>
        <w:rPr>
          <w:rFonts w:ascii="Arial"/>
          <w:color w:val="231F20"/>
          <w:spacing w:val="32"/>
          <w:w w:val="110"/>
          <w:sz w:val="18"/>
        </w:rPr>
        <w:t> </w:t>
      </w:r>
      <w:r>
        <w:rPr>
          <w:rFonts w:ascii="Arial"/>
          <w:color w:val="231F20"/>
          <w:w w:val="110"/>
          <w:sz w:val="18"/>
        </w:rPr>
        <w:t>screen</w:t>
      </w:r>
      <w:r>
        <w:rPr>
          <w:rFonts w:ascii="Arial"/>
          <w:color w:val="231F20"/>
          <w:spacing w:val="31"/>
          <w:w w:val="110"/>
          <w:sz w:val="18"/>
        </w:rPr>
        <w:t> </w:t>
      </w:r>
      <w:r>
        <w:rPr>
          <w:rFonts w:ascii="Arial"/>
          <w:color w:val="231F20"/>
          <w:w w:val="110"/>
          <w:sz w:val="18"/>
        </w:rPr>
        <w:t>timeout</w:t>
      </w:r>
      <w:r>
        <w:rPr>
          <w:rFonts w:ascii="Arial"/>
          <w:color w:val="231F20"/>
          <w:spacing w:val="31"/>
          <w:w w:val="110"/>
          <w:sz w:val="18"/>
        </w:rPr>
        <w:t> </w:t>
      </w:r>
      <w:r>
        <w:rPr>
          <w:rFonts w:ascii="Arial"/>
          <w:color w:val="231F20"/>
          <w:spacing w:val="-4"/>
          <w:w w:val="110"/>
          <w:sz w:val="18"/>
        </w:rPr>
        <w:t>value</w:t>
      </w:r>
    </w:p>
    <w:p>
      <w:pPr>
        <w:pStyle w:val="Heading6"/>
        <w:spacing w:before="128"/>
      </w:pPr>
      <w:r>
        <w:rPr>
          <w:color w:val="231F20"/>
          <w:spacing w:val="-2"/>
        </w:rPr>
        <w:t>GetField</w:t>
      </w:r>
    </w:p>
    <w:p>
      <w:pPr>
        <w:pStyle w:val="BodyText"/>
        <w:spacing w:line="213" w:lineRule="auto" w:before="12"/>
        <w:ind w:left="3190" w:right="493"/>
      </w:pPr>
      <w:r>
        <w:rPr>
          <w:color w:val="231F20"/>
        </w:rPr>
        <w:t>GetField retrieves the string from the field pointed to by location. </w:t>
      </w:r>
      <w:r>
        <w:rPr>
          <w:color w:val="231F20"/>
        </w:rPr>
        <w:t>The number of characters is determined by the length of the field.</w:t>
      </w:r>
    </w:p>
    <w:p>
      <w:pPr>
        <w:pStyle w:val="BodyText"/>
        <w:spacing w:line="213" w:lineRule="auto" w:before="118"/>
        <w:ind w:left="3909" w:hanging="719"/>
      </w:pPr>
      <w:r>
        <w:rPr>
          <w:rFonts w:ascii="Book Antiqua"/>
          <w:b/>
          <w:color w:val="231F20"/>
        </w:rPr>
        <w:t>Parms</w:t>
      </w:r>
      <w:r>
        <w:rPr>
          <w:rFonts w:ascii="Book Antiqua"/>
          <w:b/>
          <w:color w:val="231F20"/>
          <w:spacing w:val="80"/>
        </w:rPr>
        <w:t> </w:t>
      </w:r>
      <w:r>
        <w:rPr>
          <w:color w:val="231F20"/>
        </w:rPr>
        <w:t>Position - the position of the field on the screen. This can be </w:t>
      </w:r>
      <w:r>
        <w:rPr>
          <w:color w:val="231F20"/>
        </w:rPr>
        <w:t>a ROW,COL or the relative location on the screen.</w:t>
      </w:r>
    </w:p>
    <w:p>
      <w:pPr>
        <w:pStyle w:val="Heading6"/>
        <w:ind w:left="3190"/>
      </w:pPr>
      <w:r>
        <w:rPr>
          <w:color w:val="231F20"/>
          <w:spacing w:val="-2"/>
        </w:rPr>
        <w:t>Return</w:t>
      </w:r>
    </w:p>
    <w:p>
      <w:pPr>
        <w:pStyle w:val="BodyText"/>
        <w:spacing w:line="213" w:lineRule="auto" w:before="12"/>
        <w:ind w:left="3909" w:right="379"/>
      </w:pPr>
      <w:r>
        <w:rPr>
          <w:color w:val="231F20"/>
        </w:rPr>
        <w:t>Returns the string of characters from the field, or a null string if </w:t>
      </w:r>
      <w:r>
        <w:rPr>
          <w:color w:val="231F20"/>
        </w:rPr>
        <w:t>it</w:t>
      </w:r>
      <w:r>
        <w:rPr>
          <w:color w:val="231F20"/>
          <w:spacing w:val="80"/>
        </w:rPr>
        <w:t> </w:t>
      </w:r>
      <w:r>
        <w:rPr>
          <w:color w:val="231F20"/>
        </w:rPr>
        <w:t>is an invalid field position</w:t>
      </w:r>
    </w:p>
    <w:p>
      <w:pPr>
        <w:pStyle w:val="BodyText"/>
        <w:spacing w:before="95"/>
        <w:ind w:left="3190"/>
      </w:pPr>
      <w:r>
        <w:rPr>
          <w:color w:val="231F20"/>
          <w:spacing w:val="-2"/>
        </w:rPr>
        <w:t>Example:</w:t>
      </w:r>
    </w:p>
    <w:p>
      <w:pPr>
        <w:spacing w:line="230" w:lineRule="auto" w:before="62"/>
        <w:ind w:left="3190" w:right="545" w:firstLine="0"/>
        <w:jc w:val="left"/>
        <w:rPr>
          <w:rFonts w:ascii="Arial"/>
          <w:sz w:val="18"/>
        </w:rPr>
      </w:pPr>
      <w:r>
        <w:rPr>
          <w:rFonts w:ascii="Arial"/>
          <w:color w:val="231F20"/>
          <w:w w:val="110"/>
          <w:sz w:val="18"/>
        </w:rPr>
        <w:t>Applid</w:t>
      </w:r>
      <w:r>
        <w:rPr>
          <w:rFonts w:ascii="Arial"/>
          <w:color w:val="231F20"/>
          <w:spacing w:val="28"/>
          <w:w w:val="110"/>
          <w:sz w:val="18"/>
        </w:rPr>
        <w:t> </w:t>
      </w:r>
      <w:r>
        <w:rPr>
          <w:rFonts w:ascii="Arial"/>
          <w:color w:val="231F20"/>
          <w:w w:val="110"/>
          <w:sz w:val="18"/>
        </w:rPr>
        <w:t>=</w:t>
      </w:r>
      <w:r>
        <w:rPr>
          <w:rFonts w:ascii="Arial"/>
          <w:color w:val="231F20"/>
          <w:spacing w:val="28"/>
          <w:w w:val="110"/>
          <w:sz w:val="18"/>
        </w:rPr>
        <w:t> </w:t>
      </w:r>
      <w:r>
        <w:rPr>
          <w:rFonts w:ascii="Arial"/>
          <w:color w:val="231F20"/>
          <w:w w:val="110"/>
          <w:sz w:val="18"/>
        </w:rPr>
        <w:t>getField(5,1);</w:t>
      </w:r>
      <w:r>
        <w:rPr>
          <w:rFonts w:ascii="Arial"/>
          <w:color w:val="231F20"/>
          <w:w w:val="150"/>
          <w:sz w:val="18"/>
        </w:rPr>
        <w:t> //</w:t>
      </w:r>
      <w:r>
        <w:rPr>
          <w:rFonts w:ascii="Arial"/>
          <w:color w:val="231F20"/>
          <w:w w:val="150"/>
          <w:sz w:val="18"/>
        </w:rPr>
        <w:t> </w:t>
      </w:r>
      <w:r>
        <w:rPr>
          <w:rFonts w:ascii="Arial"/>
          <w:color w:val="231F20"/>
          <w:w w:val="110"/>
          <w:sz w:val="18"/>
        </w:rPr>
        <w:t>get</w:t>
      </w:r>
      <w:r>
        <w:rPr>
          <w:rFonts w:ascii="Arial"/>
          <w:color w:val="231F20"/>
          <w:spacing w:val="28"/>
          <w:w w:val="110"/>
          <w:sz w:val="18"/>
        </w:rPr>
        <w:t> </w:t>
      </w:r>
      <w:r>
        <w:rPr>
          <w:rFonts w:ascii="Arial"/>
          <w:color w:val="231F20"/>
          <w:w w:val="110"/>
          <w:sz w:val="18"/>
        </w:rPr>
        <w:t>the</w:t>
      </w:r>
      <w:r>
        <w:rPr>
          <w:rFonts w:ascii="Arial"/>
          <w:color w:val="231F20"/>
          <w:spacing w:val="28"/>
          <w:w w:val="110"/>
          <w:sz w:val="18"/>
        </w:rPr>
        <w:t> </w:t>
      </w:r>
      <w:r>
        <w:rPr>
          <w:rFonts w:ascii="Arial"/>
          <w:color w:val="231F20"/>
          <w:w w:val="110"/>
          <w:sz w:val="18"/>
        </w:rPr>
        <w:t>data</w:t>
      </w:r>
      <w:r>
        <w:rPr>
          <w:rFonts w:ascii="Arial"/>
          <w:color w:val="231F20"/>
          <w:spacing w:val="25"/>
          <w:w w:val="115"/>
          <w:sz w:val="18"/>
        </w:rPr>
        <w:t> </w:t>
      </w:r>
      <w:r>
        <w:rPr>
          <w:rFonts w:ascii="Arial"/>
          <w:color w:val="231F20"/>
          <w:w w:val="115"/>
          <w:sz w:val="18"/>
        </w:rPr>
        <w:t>in</w:t>
      </w:r>
      <w:r>
        <w:rPr>
          <w:rFonts w:ascii="Arial"/>
          <w:color w:val="231F20"/>
          <w:spacing w:val="25"/>
          <w:w w:val="115"/>
          <w:sz w:val="18"/>
        </w:rPr>
        <w:t> </w:t>
      </w:r>
      <w:r>
        <w:rPr>
          <w:rFonts w:ascii="Arial"/>
          <w:color w:val="231F20"/>
          <w:w w:val="110"/>
          <w:sz w:val="18"/>
        </w:rPr>
        <w:t>the</w:t>
      </w:r>
      <w:r>
        <w:rPr>
          <w:rFonts w:ascii="Arial"/>
          <w:color w:val="231F20"/>
          <w:spacing w:val="25"/>
          <w:w w:val="115"/>
          <w:sz w:val="18"/>
        </w:rPr>
        <w:t> </w:t>
      </w:r>
      <w:r>
        <w:rPr>
          <w:rFonts w:ascii="Arial"/>
          <w:color w:val="231F20"/>
          <w:w w:val="115"/>
          <w:sz w:val="18"/>
        </w:rPr>
        <w:t>field</w:t>
      </w:r>
      <w:r>
        <w:rPr>
          <w:rFonts w:ascii="Arial"/>
          <w:color w:val="231F20"/>
          <w:spacing w:val="25"/>
          <w:w w:val="115"/>
          <w:sz w:val="18"/>
        </w:rPr>
        <w:t> </w:t>
      </w:r>
      <w:r>
        <w:rPr>
          <w:rFonts w:ascii="Arial"/>
          <w:color w:val="231F20"/>
          <w:w w:val="110"/>
          <w:sz w:val="18"/>
        </w:rPr>
        <w:t>at</w:t>
      </w:r>
      <w:r>
        <w:rPr>
          <w:rFonts w:ascii="Arial"/>
          <w:color w:val="231F20"/>
          <w:spacing w:val="28"/>
          <w:w w:val="110"/>
          <w:sz w:val="18"/>
        </w:rPr>
        <w:t> </w:t>
      </w:r>
      <w:r>
        <w:rPr>
          <w:rFonts w:ascii="Arial"/>
          <w:color w:val="231F20"/>
          <w:sz w:val="18"/>
        </w:rPr>
        <w:t>Row</w:t>
      </w:r>
      <w:r>
        <w:rPr>
          <w:rFonts w:ascii="Arial"/>
          <w:color w:val="231F20"/>
          <w:spacing w:val="28"/>
          <w:w w:val="110"/>
          <w:sz w:val="18"/>
        </w:rPr>
        <w:t> </w:t>
      </w:r>
      <w:r>
        <w:rPr>
          <w:rFonts w:ascii="Arial"/>
          <w:color w:val="231F20"/>
          <w:w w:val="110"/>
          <w:sz w:val="18"/>
        </w:rPr>
        <w:t>5,</w:t>
      </w:r>
      <w:r>
        <w:rPr>
          <w:rFonts w:ascii="Arial"/>
          <w:color w:val="231F20"/>
          <w:spacing w:val="28"/>
          <w:w w:val="110"/>
          <w:sz w:val="18"/>
        </w:rPr>
        <w:t> </w:t>
      </w:r>
      <w:r>
        <w:rPr>
          <w:rFonts w:ascii="Arial"/>
          <w:color w:val="231F20"/>
          <w:w w:val="110"/>
          <w:sz w:val="18"/>
        </w:rPr>
        <w:t>column</w:t>
      </w:r>
      <w:r>
        <w:rPr>
          <w:rFonts w:ascii="Arial"/>
          <w:color w:val="231F20"/>
          <w:spacing w:val="28"/>
          <w:w w:val="110"/>
          <w:sz w:val="18"/>
        </w:rPr>
        <w:t> </w:t>
      </w:r>
      <w:r>
        <w:rPr>
          <w:rFonts w:ascii="Arial"/>
          <w:color w:val="231F20"/>
          <w:w w:val="110"/>
          <w:sz w:val="18"/>
        </w:rPr>
        <w:t>1 Applid</w:t>
      </w:r>
      <w:r>
        <w:rPr>
          <w:rFonts w:ascii="Arial"/>
          <w:color w:val="231F20"/>
          <w:spacing w:val="40"/>
          <w:w w:val="110"/>
          <w:sz w:val="18"/>
        </w:rPr>
        <w:t> </w:t>
      </w:r>
      <w:r>
        <w:rPr>
          <w:rFonts w:ascii="Arial"/>
          <w:color w:val="231F20"/>
          <w:w w:val="110"/>
          <w:sz w:val="18"/>
        </w:rPr>
        <w:t>=</w:t>
      </w:r>
      <w:r>
        <w:rPr>
          <w:rFonts w:ascii="Arial"/>
          <w:color w:val="231F20"/>
          <w:spacing w:val="40"/>
          <w:w w:val="110"/>
          <w:sz w:val="18"/>
        </w:rPr>
        <w:t> </w:t>
      </w:r>
      <w:r>
        <w:rPr>
          <w:rFonts w:ascii="Arial"/>
          <w:color w:val="231F20"/>
          <w:w w:val="110"/>
          <w:sz w:val="18"/>
        </w:rPr>
        <w:t>getField(80);</w:t>
      </w:r>
      <w:r>
        <w:rPr>
          <w:rFonts w:ascii="Arial"/>
          <w:color w:val="231F20"/>
          <w:w w:val="150"/>
          <w:sz w:val="18"/>
        </w:rPr>
        <w:t> //</w:t>
      </w:r>
      <w:r>
        <w:rPr>
          <w:rFonts w:ascii="Arial"/>
          <w:color w:val="231F20"/>
          <w:w w:val="150"/>
          <w:sz w:val="18"/>
        </w:rPr>
        <w:t> </w:t>
      </w:r>
      <w:r>
        <w:rPr>
          <w:rFonts w:ascii="Arial"/>
          <w:color w:val="231F20"/>
          <w:w w:val="110"/>
          <w:sz w:val="18"/>
        </w:rPr>
        <w:t>get</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data</w:t>
      </w:r>
      <w:r>
        <w:rPr>
          <w:rFonts w:ascii="Arial"/>
          <w:color w:val="231F20"/>
          <w:spacing w:val="40"/>
          <w:w w:val="110"/>
          <w:sz w:val="18"/>
        </w:rPr>
        <w:t> </w:t>
      </w:r>
      <w:r>
        <w:rPr>
          <w:rFonts w:ascii="Arial"/>
          <w:color w:val="231F20"/>
          <w:w w:val="110"/>
          <w:sz w:val="18"/>
        </w:rPr>
        <w:t>from</w:t>
      </w:r>
      <w:r>
        <w:rPr>
          <w:rFonts w:ascii="Arial"/>
          <w:color w:val="231F20"/>
          <w:spacing w:val="40"/>
          <w:w w:val="110"/>
          <w:sz w:val="18"/>
        </w:rPr>
        <w:t> </w:t>
      </w:r>
      <w:r>
        <w:rPr>
          <w:rFonts w:ascii="Arial"/>
          <w:color w:val="231F20"/>
          <w:w w:val="110"/>
          <w:sz w:val="18"/>
        </w:rPr>
        <w:t>the</w:t>
      </w:r>
      <w:r>
        <w:rPr>
          <w:rFonts w:ascii="Arial"/>
          <w:color w:val="231F20"/>
          <w:spacing w:val="40"/>
          <w:w w:val="115"/>
          <w:sz w:val="18"/>
        </w:rPr>
        <w:t> </w:t>
      </w:r>
      <w:r>
        <w:rPr>
          <w:rFonts w:ascii="Arial"/>
          <w:color w:val="231F20"/>
          <w:w w:val="115"/>
          <w:sz w:val="18"/>
        </w:rPr>
        <w:t>field</w:t>
      </w:r>
      <w:r>
        <w:rPr>
          <w:rFonts w:ascii="Arial"/>
          <w:color w:val="231F20"/>
          <w:spacing w:val="40"/>
          <w:w w:val="115"/>
          <w:sz w:val="18"/>
        </w:rPr>
        <w:t> </w:t>
      </w:r>
      <w:r>
        <w:rPr>
          <w:rFonts w:ascii="Arial"/>
          <w:color w:val="231F20"/>
          <w:w w:val="110"/>
          <w:sz w:val="18"/>
        </w:rPr>
        <w:t>at</w:t>
      </w:r>
    </w:p>
    <w:p>
      <w:pPr>
        <w:spacing w:line="202" w:lineRule="exact" w:before="0"/>
        <w:ind w:left="3190" w:right="0" w:firstLine="0"/>
        <w:jc w:val="left"/>
        <w:rPr>
          <w:rFonts w:ascii="Arial"/>
          <w:sz w:val="18"/>
        </w:rPr>
      </w:pPr>
      <w:r>
        <w:rPr>
          <w:rFonts w:ascii="Arial"/>
          <w:color w:val="231F20"/>
          <w:w w:val="105"/>
          <w:sz w:val="18"/>
        </w:rPr>
        <w:t>location</w:t>
      </w:r>
      <w:r>
        <w:rPr>
          <w:rFonts w:ascii="Arial"/>
          <w:color w:val="231F20"/>
          <w:spacing w:val="33"/>
          <w:w w:val="105"/>
          <w:sz w:val="18"/>
        </w:rPr>
        <w:t> </w:t>
      </w:r>
      <w:r>
        <w:rPr>
          <w:rFonts w:ascii="Arial"/>
          <w:color w:val="231F20"/>
          <w:w w:val="105"/>
          <w:sz w:val="18"/>
        </w:rPr>
        <w:t>80</w:t>
      </w:r>
      <w:r>
        <w:rPr>
          <w:rFonts w:ascii="Arial"/>
          <w:color w:val="231F20"/>
          <w:spacing w:val="25"/>
          <w:w w:val="120"/>
          <w:sz w:val="18"/>
        </w:rPr>
        <w:t> </w:t>
      </w:r>
      <w:r>
        <w:rPr>
          <w:rFonts w:ascii="Arial"/>
          <w:color w:val="231F20"/>
          <w:w w:val="120"/>
          <w:sz w:val="18"/>
        </w:rPr>
        <w:t>-</w:t>
      </w:r>
      <w:r>
        <w:rPr>
          <w:rFonts w:ascii="Arial"/>
          <w:color w:val="231F20"/>
          <w:spacing w:val="26"/>
          <w:w w:val="120"/>
          <w:sz w:val="18"/>
        </w:rPr>
        <w:t> </w:t>
      </w:r>
      <w:r>
        <w:rPr>
          <w:rFonts w:ascii="Arial"/>
          <w:color w:val="231F20"/>
          <w:w w:val="105"/>
          <w:sz w:val="18"/>
        </w:rPr>
        <w:t>offset</w:t>
      </w:r>
      <w:r>
        <w:rPr>
          <w:rFonts w:ascii="Arial"/>
          <w:color w:val="231F20"/>
          <w:spacing w:val="33"/>
          <w:w w:val="105"/>
          <w:sz w:val="18"/>
        </w:rPr>
        <w:t> </w:t>
      </w:r>
      <w:r>
        <w:rPr>
          <w:rFonts w:ascii="Arial"/>
          <w:color w:val="231F20"/>
          <w:w w:val="105"/>
          <w:sz w:val="18"/>
        </w:rPr>
        <w:t>80</w:t>
      </w:r>
      <w:r>
        <w:rPr>
          <w:rFonts w:ascii="Arial"/>
          <w:color w:val="231F20"/>
          <w:spacing w:val="33"/>
          <w:w w:val="105"/>
          <w:sz w:val="18"/>
        </w:rPr>
        <w:t> </w:t>
      </w:r>
      <w:r>
        <w:rPr>
          <w:rFonts w:ascii="Arial"/>
          <w:color w:val="231F20"/>
          <w:w w:val="105"/>
          <w:sz w:val="18"/>
        </w:rPr>
        <w:t>(row</w:t>
      </w:r>
      <w:r>
        <w:rPr>
          <w:rFonts w:ascii="Arial"/>
          <w:color w:val="231F20"/>
          <w:spacing w:val="33"/>
          <w:w w:val="105"/>
          <w:sz w:val="18"/>
        </w:rPr>
        <w:t> </w:t>
      </w:r>
      <w:r>
        <w:rPr>
          <w:rFonts w:ascii="Arial"/>
          <w:color w:val="231F20"/>
          <w:w w:val="105"/>
          <w:sz w:val="18"/>
        </w:rPr>
        <w:t>2</w:t>
      </w:r>
      <w:r>
        <w:rPr>
          <w:rFonts w:ascii="Arial"/>
          <w:color w:val="231F20"/>
          <w:spacing w:val="33"/>
          <w:w w:val="105"/>
          <w:sz w:val="18"/>
        </w:rPr>
        <w:t> </w:t>
      </w:r>
      <w:r>
        <w:rPr>
          <w:rFonts w:ascii="Arial"/>
          <w:color w:val="231F20"/>
          <w:w w:val="105"/>
          <w:sz w:val="18"/>
        </w:rPr>
        <w:t>col</w:t>
      </w:r>
      <w:r>
        <w:rPr>
          <w:rFonts w:ascii="Arial"/>
          <w:color w:val="231F20"/>
          <w:spacing w:val="33"/>
          <w:w w:val="105"/>
          <w:sz w:val="18"/>
        </w:rPr>
        <w:t> </w:t>
      </w:r>
      <w:r>
        <w:rPr>
          <w:rFonts w:ascii="Arial"/>
          <w:color w:val="231F20"/>
          <w:w w:val="105"/>
          <w:sz w:val="18"/>
        </w:rPr>
        <w:t>1</w:t>
      </w:r>
      <w:r>
        <w:rPr>
          <w:rFonts w:ascii="Arial"/>
          <w:color w:val="231F20"/>
          <w:spacing w:val="33"/>
          <w:w w:val="105"/>
          <w:sz w:val="18"/>
        </w:rPr>
        <w:t> </w:t>
      </w:r>
      <w:r>
        <w:rPr>
          <w:rFonts w:ascii="Arial"/>
          <w:color w:val="231F20"/>
          <w:w w:val="105"/>
          <w:sz w:val="18"/>
        </w:rPr>
        <w:t>on</w:t>
      </w:r>
      <w:r>
        <w:rPr>
          <w:rFonts w:ascii="Arial"/>
          <w:color w:val="231F20"/>
          <w:spacing w:val="33"/>
          <w:w w:val="105"/>
          <w:sz w:val="18"/>
        </w:rPr>
        <w:t> </w:t>
      </w:r>
      <w:r>
        <w:rPr>
          <w:rFonts w:ascii="Arial"/>
          <w:color w:val="231F20"/>
          <w:w w:val="105"/>
          <w:sz w:val="18"/>
        </w:rPr>
        <w:t>a</w:t>
      </w:r>
      <w:r>
        <w:rPr>
          <w:rFonts w:ascii="Arial"/>
          <w:color w:val="231F20"/>
          <w:spacing w:val="33"/>
          <w:w w:val="105"/>
          <w:sz w:val="18"/>
        </w:rPr>
        <w:t> </w:t>
      </w:r>
      <w:r>
        <w:rPr>
          <w:rFonts w:ascii="Arial"/>
          <w:color w:val="231F20"/>
          <w:w w:val="105"/>
          <w:sz w:val="18"/>
        </w:rPr>
        <w:t>model</w:t>
      </w:r>
      <w:r>
        <w:rPr>
          <w:rFonts w:ascii="Arial"/>
          <w:color w:val="231F20"/>
          <w:spacing w:val="33"/>
          <w:w w:val="105"/>
          <w:sz w:val="18"/>
        </w:rPr>
        <w:t> </w:t>
      </w:r>
      <w:r>
        <w:rPr>
          <w:rFonts w:ascii="Arial"/>
          <w:color w:val="231F20"/>
          <w:spacing w:val="-7"/>
          <w:w w:val="105"/>
          <w:sz w:val="18"/>
        </w:rPr>
        <w:t>2)</w:t>
      </w:r>
    </w:p>
    <w:p>
      <w:pPr>
        <w:pStyle w:val="BodyText"/>
        <w:spacing w:before="42"/>
        <w:rPr>
          <w:rFonts w:ascii="Arial"/>
          <w:sz w:val="18"/>
        </w:rPr>
      </w:pPr>
    </w:p>
    <w:p>
      <w:pPr>
        <w:pStyle w:val="BodyText"/>
        <w:spacing w:line="213" w:lineRule="auto"/>
        <w:ind w:left="3190" w:right="202"/>
      </w:pPr>
      <w:r>
        <w:rPr>
          <w:rFonts w:ascii="Book Antiqua"/>
          <w:b/>
          <w:color w:val="231F20"/>
        </w:rPr>
        <w:t>Note:</w:t>
      </w:r>
      <w:r>
        <w:rPr>
          <w:rFonts w:ascii="Book Antiqua"/>
          <w:b/>
          <w:color w:val="231F20"/>
          <w:spacing w:val="40"/>
        </w:rPr>
        <w:t> </w:t>
      </w:r>
      <w:r>
        <w:rPr>
          <w:color w:val="231F20"/>
        </w:rPr>
        <w:t>The location can be any valid location on the screen. The field containing that address is referenced. Protected or unprotected data can be retrieved.</w:t>
      </w:r>
      <w:r>
        <w:rPr>
          <w:color w:val="231F20"/>
          <w:spacing w:val="21"/>
        </w:rPr>
        <w:t> </w:t>
      </w:r>
      <w:r>
        <w:rPr>
          <w:color w:val="231F20"/>
        </w:rPr>
        <w:t>If</w:t>
      </w:r>
      <w:r>
        <w:rPr>
          <w:color w:val="231F20"/>
          <w:spacing w:val="21"/>
        </w:rPr>
        <w:t> </w:t>
      </w:r>
      <w:r>
        <w:rPr>
          <w:color w:val="231F20"/>
        </w:rPr>
        <w:t>the</w:t>
      </w:r>
      <w:r>
        <w:rPr>
          <w:color w:val="231F20"/>
          <w:spacing w:val="21"/>
        </w:rPr>
        <w:t> </w:t>
      </w:r>
      <w:r>
        <w:rPr>
          <w:color w:val="231F20"/>
        </w:rPr>
        <w:t>location</w:t>
      </w:r>
      <w:r>
        <w:rPr>
          <w:color w:val="231F20"/>
          <w:spacing w:val="21"/>
        </w:rPr>
        <w:t> </w:t>
      </w:r>
      <w:r>
        <w:rPr>
          <w:color w:val="231F20"/>
        </w:rPr>
        <w:t>is</w:t>
      </w:r>
      <w:r>
        <w:rPr>
          <w:color w:val="231F20"/>
          <w:spacing w:val="21"/>
        </w:rPr>
        <w:t> </w:t>
      </w:r>
      <w:r>
        <w:rPr>
          <w:color w:val="231F20"/>
        </w:rPr>
        <w:t>invalid,</w:t>
      </w:r>
      <w:r>
        <w:rPr>
          <w:color w:val="231F20"/>
          <w:spacing w:val="21"/>
        </w:rPr>
        <w:t> </w:t>
      </w:r>
      <w:r>
        <w:rPr>
          <w:color w:val="231F20"/>
        </w:rPr>
        <w:t>an</w:t>
      </w:r>
      <w:r>
        <w:rPr>
          <w:color w:val="231F20"/>
          <w:spacing w:val="21"/>
        </w:rPr>
        <w:t> </w:t>
      </w:r>
      <w:r>
        <w:rPr>
          <w:color w:val="231F20"/>
        </w:rPr>
        <w:t>error</w:t>
      </w:r>
      <w:r>
        <w:rPr>
          <w:color w:val="231F20"/>
          <w:spacing w:val="21"/>
        </w:rPr>
        <w:t> </w:t>
      </w:r>
      <w:r>
        <w:rPr>
          <w:color w:val="231F20"/>
        </w:rPr>
        <w:t>is</w:t>
      </w:r>
      <w:r>
        <w:rPr>
          <w:color w:val="231F20"/>
          <w:spacing w:val="21"/>
        </w:rPr>
        <w:t> </w:t>
      </w:r>
      <w:r>
        <w:rPr>
          <w:color w:val="231F20"/>
        </w:rPr>
        <w:t>generated</w:t>
      </w:r>
      <w:r>
        <w:rPr>
          <w:color w:val="231F20"/>
          <w:spacing w:val="21"/>
        </w:rPr>
        <w:t> </w:t>
      </w:r>
      <w:r>
        <w:rPr>
          <w:color w:val="231F20"/>
        </w:rPr>
        <w:t>and</w:t>
      </w:r>
      <w:r>
        <w:rPr>
          <w:color w:val="231F20"/>
          <w:spacing w:val="21"/>
        </w:rPr>
        <w:t> </w:t>
      </w:r>
      <w:r>
        <w:rPr>
          <w:color w:val="231F20"/>
        </w:rPr>
        <w:t>a</w:t>
      </w:r>
      <w:r>
        <w:rPr>
          <w:color w:val="231F20"/>
          <w:spacing w:val="21"/>
        </w:rPr>
        <w:t> </w:t>
      </w:r>
      <w:r>
        <w:rPr>
          <w:color w:val="231F20"/>
        </w:rPr>
        <w:t>null</w:t>
      </w:r>
      <w:r>
        <w:rPr>
          <w:color w:val="231F20"/>
          <w:spacing w:val="21"/>
        </w:rPr>
        <w:t> </w:t>
      </w:r>
      <w:r>
        <w:rPr>
          <w:color w:val="231F20"/>
        </w:rPr>
        <w:t>string is returned.</w:t>
      </w:r>
    </w:p>
    <w:p>
      <w:pPr>
        <w:pStyle w:val="Heading6"/>
        <w:spacing w:before="116"/>
      </w:pPr>
      <w:r>
        <w:rPr>
          <w:color w:val="231F20"/>
          <w:spacing w:val="-2"/>
        </w:rPr>
        <w:t>GetFontSize</w:t>
      </w:r>
    </w:p>
    <w:p>
      <w:pPr>
        <w:pStyle w:val="BodyText"/>
        <w:spacing w:line="258" w:lineRule="exact"/>
        <w:ind w:left="3190"/>
      </w:pPr>
      <w:r>
        <w:rPr>
          <w:color w:val="231F20"/>
        </w:rPr>
        <w:t>GetFontSize</w:t>
      </w:r>
      <w:r>
        <w:rPr>
          <w:color w:val="231F20"/>
          <w:spacing w:val="9"/>
        </w:rPr>
        <w:t> </w:t>
      </w:r>
      <w:r>
        <w:rPr>
          <w:color w:val="231F20"/>
        </w:rPr>
        <w:t>gets</w:t>
      </w:r>
      <w:r>
        <w:rPr>
          <w:color w:val="231F20"/>
          <w:spacing w:val="9"/>
        </w:rPr>
        <w:t> </w:t>
      </w:r>
      <w:r>
        <w:rPr>
          <w:color w:val="231F20"/>
        </w:rPr>
        <w:t>the</w:t>
      </w:r>
      <w:r>
        <w:rPr>
          <w:color w:val="231F20"/>
          <w:spacing w:val="8"/>
        </w:rPr>
        <w:t> </w:t>
      </w:r>
      <w:r>
        <w:rPr>
          <w:color w:val="231F20"/>
        </w:rPr>
        <w:t>current</w:t>
      </w:r>
      <w:r>
        <w:rPr>
          <w:color w:val="231F20"/>
          <w:spacing w:val="9"/>
        </w:rPr>
        <w:t> </w:t>
      </w:r>
      <w:r>
        <w:rPr>
          <w:color w:val="231F20"/>
        </w:rPr>
        <w:t>Emulator</w:t>
      </w:r>
      <w:r>
        <w:rPr>
          <w:color w:val="231F20"/>
          <w:spacing w:val="9"/>
        </w:rPr>
        <w:t> </w:t>
      </w:r>
      <w:r>
        <w:rPr>
          <w:color w:val="231F20"/>
        </w:rPr>
        <w:t>screen</w:t>
      </w:r>
      <w:r>
        <w:rPr>
          <w:color w:val="231F20"/>
          <w:spacing w:val="9"/>
        </w:rPr>
        <w:t> </w:t>
      </w:r>
      <w:r>
        <w:rPr>
          <w:color w:val="231F20"/>
        </w:rPr>
        <w:t>font</w:t>
      </w:r>
      <w:r>
        <w:rPr>
          <w:color w:val="231F20"/>
          <w:spacing w:val="9"/>
        </w:rPr>
        <w:t> </w:t>
      </w:r>
      <w:r>
        <w:rPr>
          <w:color w:val="231F20"/>
          <w:spacing w:val="-4"/>
        </w:rPr>
        <w:t>size.</w:t>
      </w:r>
    </w:p>
    <w:p>
      <w:pPr>
        <w:spacing w:before="89"/>
        <w:ind w:left="3190"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2"/>
        <w:ind w:left="3190"/>
      </w:pPr>
      <w:r>
        <w:rPr>
          <w:color w:val="231F20"/>
          <w:spacing w:val="-2"/>
        </w:rPr>
        <w:t>Return</w:t>
      </w:r>
    </w:p>
    <w:p>
      <w:pPr>
        <w:pStyle w:val="BodyText"/>
        <w:spacing w:line="246" w:lineRule="exact"/>
        <w:ind w:left="3909"/>
      </w:pPr>
      <w:r>
        <w:rPr>
          <w:color w:val="231F20"/>
        </w:rPr>
        <w:t>Returns</w:t>
      </w:r>
      <w:r>
        <w:rPr>
          <w:color w:val="231F20"/>
          <w:spacing w:val="11"/>
        </w:rPr>
        <w:t> </w:t>
      </w:r>
      <w:r>
        <w:rPr>
          <w:color w:val="231F20"/>
        </w:rPr>
        <w:t>an</w:t>
      </w:r>
      <w:r>
        <w:rPr>
          <w:color w:val="231F20"/>
          <w:spacing w:val="12"/>
        </w:rPr>
        <w:t> </w:t>
      </w:r>
      <w:r>
        <w:rPr>
          <w:color w:val="231F20"/>
        </w:rPr>
        <w:t>integer</w:t>
      </w:r>
      <w:r>
        <w:rPr>
          <w:color w:val="231F20"/>
          <w:spacing w:val="12"/>
        </w:rPr>
        <w:t> </w:t>
      </w:r>
      <w:r>
        <w:rPr>
          <w:color w:val="231F20"/>
        </w:rPr>
        <w:t>value</w:t>
      </w:r>
      <w:r>
        <w:rPr>
          <w:color w:val="231F20"/>
          <w:spacing w:val="12"/>
        </w:rPr>
        <w:t> </w:t>
      </w:r>
      <w:r>
        <w:rPr>
          <w:color w:val="231F20"/>
        </w:rPr>
        <w:t>of</w:t>
      </w:r>
      <w:r>
        <w:rPr>
          <w:color w:val="231F20"/>
          <w:spacing w:val="12"/>
        </w:rPr>
        <w:t> </w:t>
      </w:r>
      <w:r>
        <w:rPr>
          <w:color w:val="231F20"/>
        </w:rPr>
        <w:t>the</w:t>
      </w:r>
      <w:r>
        <w:rPr>
          <w:color w:val="231F20"/>
          <w:spacing w:val="11"/>
        </w:rPr>
        <w:t> </w:t>
      </w:r>
      <w:r>
        <w:rPr>
          <w:color w:val="231F20"/>
        </w:rPr>
        <w:t>Font</w:t>
      </w:r>
      <w:r>
        <w:rPr>
          <w:color w:val="231F20"/>
          <w:spacing w:val="12"/>
        </w:rPr>
        <w:t> </w:t>
      </w:r>
      <w:r>
        <w:rPr>
          <w:color w:val="231F20"/>
        </w:rPr>
        <w:t>point</w:t>
      </w:r>
      <w:r>
        <w:rPr>
          <w:color w:val="231F20"/>
          <w:spacing w:val="12"/>
        </w:rPr>
        <w:t> </w:t>
      </w:r>
      <w:r>
        <w:rPr>
          <w:color w:val="231F20"/>
          <w:spacing w:val="-4"/>
        </w:rPr>
        <w:t>size</w:t>
      </w:r>
    </w:p>
    <w:p>
      <w:pPr>
        <w:pStyle w:val="BodyText"/>
        <w:spacing w:before="89"/>
        <w:ind w:left="3190"/>
      </w:pPr>
      <w:r>
        <w:rPr>
          <w:color w:val="231F20"/>
          <w:spacing w:val="-2"/>
        </w:rPr>
        <w:t>Example:</w:t>
      </w:r>
    </w:p>
    <w:p>
      <w:pPr>
        <w:spacing w:before="56"/>
        <w:ind w:left="3190" w:right="0" w:firstLine="0"/>
        <w:jc w:val="left"/>
        <w:rPr>
          <w:rFonts w:ascii="Arial"/>
          <w:sz w:val="18"/>
        </w:rPr>
      </w:pPr>
      <w:r>
        <w:rPr>
          <w:rFonts w:ascii="Arial"/>
          <w:color w:val="231F20"/>
          <w:w w:val="110"/>
          <w:sz w:val="18"/>
        </w:rPr>
        <w:t>FontSize</w:t>
      </w:r>
      <w:r>
        <w:rPr>
          <w:rFonts w:ascii="Arial"/>
          <w:color w:val="231F20"/>
          <w:spacing w:val="36"/>
          <w:w w:val="110"/>
          <w:sz w:val="18"/>
        </w:rPr>
        <w:t> </w:t>
      </w:r>
      <w:r>
        <w:rPr>
          <w:rFonts w:ascii="Arial"/>
          <w:color w:val="231F20"/>
          <w:w w:val="110"/>
          <w:sz w:val="18"/>
        </w:rPr>
        <w:t>=</w:t>
      </w:r>
      <w:r>
        <w:rPr>
          <w:rFonts w:ascii="Arial"/>
          <w:color w:val="231F20"/>
          <w:spacing w:val="36"/>
          <w:w w:val="110"/>
          <w:sz w:val="18"/>
        </w:rPr>
        <w:t> </w:t>
      </w:r>
      <w:r>
        <w:rPr>
          <w:rFonts w:ascii="Arial"/>
          <w:color w:val="231F20"/>
          <w:w w:val="110"/>
          <w:sz w:val="18"/>
        </w:rPr>
        <w:t>getFontSize();//</w:t>
      </w:r>
      <w:r>
        <w:rPr>
          <w:rFonts w:ascii="Arial"/>
          <w:color w:val="231F20"/>
          <w:spacing w:val="36"/>
          <w:w w:val="110"/>
          <w:sz w:val="18"/>
        </w:rPr>
        <w:t> </w:t>
      </w:r>
      <w:r>
        <w:rPr>
          <w:rFonts w:ascii="Arial"/>
          <w:color w:val="231F20"/>
          <w:w w:val="110"/>
          <w:sz w:val="18"/>
        </w:rPr>
        <w:t>return</w:t>
      </w:r>
      <w:r>
        <w:rPr>
          <w:rFonts w:ascii="Arial"/>
          <w:color w:val="231F20"/>
          <w:spacing w:val="37"/>
          <w:w w:val="110"/>
          <w:sz w:val="18"/>
        </w:rPr>
        <w:t> </w:t>
      </w:r>
      <w:r>
        <w:rPr>
          <w:rFonts w:ascii="Arial"/>
          <w:color w:val="231F20"/>
          <w:w w:val="110"/>
          <w:sz w:val="18"/>
        </w:rPr>
        <w:t>the</w:t>
      </w:r>
      <w:r>
        <w:rPr>
          <w:rFonts w:ascii="Arial"/>
          <w:color w:val="231F20"/>
          <w:spacing w:val="36"/>
          <w:w w:val="110"/>
          <w:sz w:val="18"/>
        </w:rPr>
        <w:t> </w:t>
      </w:r>
      <w:r>
        <w:rPr>
          <w:rFonts w:ascii="Arial"/>
          <w:color w:val="231F20"/>
          <w:w w:val="110"/>
          <w:sz w:val="18"/>
        </w:rPr>
        <w:t>current</w:t>
      </w:r>
      <w:r>
        <w:rPr>
          <w:rFonts w:ascii="Arial"/>
          <w:color w:val="231F20"/>
          <w:spacing w:val="36"/>
          <w:w w:val="110"/>
          <w:sz w:val="18"/>
        </w:rPr>
        <w:t> </w:t>
      </w:r>
      <w:r>
        <w:rPr>
          <w:rFonts w:ascii="Arial"/>
          <w:color w:val="231F20"/>
          <w:w w:val="110"/>
          <w:sz w:val="18"/>
        </w:rPr>
        <w:t>Font</w:t>
      </w:r>
      <w:r>
        <w:rPr>
          <w:rFonts w:ascii="Arial"/>
          <w:color w:val="231F20"/>
          <w:spacing w:val="37"/>
          <w:w w:val="110"/>
          <w:sz w:val="18"/>
        </w:rPr>
        <w:t> </w:t>
      </w:r>
      <w:r>
        <w:rPr>
          <w:rFonts w:ascii="Arial"/>
          <w:color w:val="231F20"/>
          <w:w w:val="110"/>
          <w:sz w:val="18"/>
        </w:rPr>
        <w:t>size</w:t>
      </w:r>
      <w:r>
        <w:rPr>
          <w:rFonts w:ascii="Arial"/>
          <w:color w:val="231F20"/>
          <w:spacing w:val="36"/>
          <w:w w:val="110"/>
          <w:sz w:val="18"/>
        </w:rPr>
        <w:t> </w:t>
      </w:r>
      <w:r>
        <w:rPr>
          <w:rFonts w:ascii="Arial"/>
          <w:color w:val="231F20"/>
          <w:w w:val="110"/>
          <w:sz w:val="18"/>
        </w:rPr>
        <w:t>(in</w:t>
      </w:r>
      <w:r>
        <w:rPr>
          <w:rFonts w:ascii="Arial"/>
          <w:color w:val="231F20"/>
          <w:spacing w:val="36"/>
          <w:w w:val="110"/>
          <w:sz w:val="18"/>
        </w:rPr>
        <w:t> </w:t>
      </w:r>
      <w:r>
        <w:rPr>
          <w:rFonts w:ascii="Arial"/>
          <w:color w:val="231F20"/>
          <w:spacing w:val="-2"/>
          <w:w w:val="110"/>
          <w:sz w:val="18"/>
        </w:rPr>
        <w:t>points)</w:t>
      </w:r>
    </w:p>
    <w:p>
      <w:pPr>
        <w:spacing w:after="0"/>
        <w:jc w:val="left"/>
        <w:rPr>
          <w:rFonts w:ascii="Arial"/>
          <w:sz w:val="18"/>
        </w:rPr>
        <w:sectPr>
          <w:type w:val="continuous"/>
          <w:pgSz w:w="12240" w:h="15840"/>
          <w:pgMar w:header="0" w:footer="736" w:top="0" w:bottom="4660" w:left="1000" w:right="1060"/>
        </w:sectPr>
      </w:pPr>
    </w:p>
    <w:p>
      <w:pPr>
        <w:pStyle w:val="Heading6"/>
        <w:spacing w:before="83"/>
        <w:ind w:left="2232"/>
      </w:pPr>
      <w:r>
        <w:rPr>
          <w:color w:val="231F20"/>
          <w:spacing w:val="-2"/>
        </w:rPr>
        <w:t>GetProperty</w:t>
      </w:r>
    </w:p>
    <w:p>
      <w:pPr>
        <w:pStyle w:val="BodyText"/>
        <w:spacing w:line="258" w:lineRule="exact"/>
        <w:ind w:left="2951"/>
      </w:pPr>
      <w:r>
        <w:rPr>
          <w:color w:val="231F20"/>
        </w:rPr>
        <w:t>GetProperty</w:t>
      </w:r>
      <w:r>
        <w:rPr>
          <w:color w:val="231F20"/>
          <w:spacing w:val="9"/>
        </w:rPr>
        <w:t> </w:t>
      </w:r>
      <w:r>
        <w:rPr>
          <w:color w:val="231F20"/>
        </w:rPr>
        <w:t>retrieves</w:t>
      </w:r>
      <w:r>
        <w:rPr>
          <w:color w:val="231F20"/>
          <w:spacing w:val="10"/>
        </w:rPr>
        <w:t> </w:t>
      </w:r>
      <w:r>
        <w:rPr>
          <w:color w:val="231F20"/>
        </w:rPr>
        <w:t>the</w:t>
      </w:r>
      <w:r>
        <w:rPr>
          <w:color w:val="231F20"/>
          <w:spacing w:val="10"/>
        </w:rPr>
        <w:t> </w:t>
      </w:r>
      <w:r>
        <w:rPr>
          <w:color w:val="231F20"/>
        </w:rPr>
        <w:t>value</w:t>
      </w:r>
      <w:r>
        <w:rPr>
          <w:color w:val="231F20"/>
          <w:spacing w:val="10"/>
        </w:rPr>
        <w:t> </w:t>
      </w:r>
      <w:r>
        <w:rPr>
          <w:color w:val="231F20"/>
        </w:rPr>
        <w:t>of</w:t>
      </w:r>
      <w:r>
        <w:rPr>
          <w:color w:val="231F20"/>
          <w:spacing w:val="10"/>
        </w:rPr>
        <w:t> </w:t>
      </w:r>
      <w:r>
        <w:rPr>
          <w:color w:val="231F20"/>
        </w:rPr>
        <w:t>a</w:t>
      </w:r>
      <w:r>
        <w:rPr>
          <w:color w:val="231F20"/>
          <w:spacing w:val="9"/>
        </w:rPr>
        <w:t> </w:t>
      </w:r>
      <w:r>
        <w:rPr>
          <w:color w:val="231F20"/>
        </w:rPr>
        <w:t>System</w:t>
      </w:r>
      <w:r>
        <w:rPr>
          <w:color w:val="231F20"/>
          <w:spacing w:val="10"/>
        </w:rPr>
        <w:t> </w:t>
      </w:r>
      <w:r>
        <w:rPr>
          <w:color w:val="231F20"/>
          <w:spacing w:val="-2"/>
        </w:rPr>
        <w:t>Property.</w:t>
      </w:r>
    </w:p>
    <w:p>
      <w:pPr>
        <w:pStyle w:val="BodyText"/>
        <w:spacing w:line="213" w:lineRule="auto" w:before="113"/>
        <w:ind w:left="3669" w:right="493" w:hanging="719"/>
      </w:pPr>
      <w:r>
        <w:rPr>
          <w:rFonts w:ascii="Book Antiqua"/>
          <w:b/>
          <w:color w:val="231F20"/>
        </w:rPr>
        <w:t>Parms</w:t>
      </w:r>
      <w:r>
        <w:rPr>
          <w:rFonts w:ascii="Book Antiqua"/>
          <w:b/>
          <w:color w:val="231F20"/>
          <w:spacing w:val="80"/>
        </w:rPr>
        <w:t> </w:t>
      </w:r>
      <w:r>
        <w:rPr>
          <w:color w:val="231F20"/>
        </w:rPr>
        <w:t>PropertyName - the name of the system property to </w:t>
      </w:r>
      <w:r>
        <w:rPr>
          <w:color w:val="231F20"/>
        </w:rPr>
        <w:t>retrieve, enclosed in quotes</w:t>
      </w:r>
    </w:p>
    <w:p>
      <w:pPr>
        <w:pStyle w:val="Heading6"/>
        <w:ind w:left="2951"/>
      </w:pPr>
      <w:r>
        <w:rPr>
          <w:color w:val="231F20"/>
          <w:spacing w:val="-2"/>
        </w:rPr>
        <w:t>Return</w:t>
      </w:r>
    </w:p>
    <w:p>
      <w:pPr>
        <w:pStyle w:val="BodyText"/>
        <w:spacing w:line="258" w:lineRule="exact"/>
        <w:ind w:left="3669"/>
      </w:pPr>
      <w:r>
        <w:rPr>
          <w:color w:val="231F20"/>
        </w:rPr>
        <w:t>Returns</w:t>
      </w:r>
      <w:r>
        <w:rPr>
          <w:color w:val="231F20"/>
          <w:spacing w:val="7"/>
        </w:rPr>
        <w:t> </w:t>
      </w:r>
      <w:r>
        <w:rPr>
          <w:color w:val="231F20"/>
        </w:rPr>
        <w:t>the</w:t>
      </w:r>
      <w:r>
        <w:rPr>
          <w:color w:val="231F20"/>
          <w:spacing w:val="10"/>
        </w:rPr>
        <w:t> </w:t>
      </w:r>
      <w:r>
        <w:rPr>
          <w:color w:val="231F20"/>
        </w:rPr>
        <w:t>value</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property,</w:t>
      </w:r>
      <w:r>
        <w:rPr>
          <w:color w:val="231F20"/>
          <w:spacing w:val="9"/>
        </w:rPr>
        <w:t> </w:t>
      </w:r>
      <w:r>
        <w:rPr>
          <w:color w:val="231F20"/>
        </w:rPr>
        <w:t>or</w:t>
      </w:r>
      <w:r>
        <w:rPr>
          <w:color w:val="231F20"/>
          <w:spacing w:val="10"/>
        </w:rPr>
        <w:t> </w:t>
      </w:r>
      <w:r>
        <w:rPr>
          <w:color w:val="231F20"/>
        </w:rPr>
        <w:t>null</w:t>
      </w:r>
      <w:r>
        <w:rPr>
          <w:color w:val="231F20"/>
          <w:spacing w:val="9"/>
        </w:rPr>
        <w:t> </w:t>
      </w:r>
      <w:r>
        <w:rPr>
          <w:color w:val="231F20"/>
        </w:rPr>
        <w:t>if</w:t>
      </w:r>
      <w:r>
        <w:rPr>
          <w:color w:val="231F20"/>
          <w:spacing w:val="10"/>
        </w:rPr>
        <w:t> </w:t>
      </w:r>
      <w:r>
        <w:rPr>
          <w:color w:val="231F20"/>
        </w:rPr>
        <w:t>not</w:t>
      </w:r>
      <w:r>
        <w:rPr>
          <w:color w:val="231F20"/>
          <w:spacing w:val="10"/>
        </w:rPr>
        <w:t> </w:t>
      </w:r>
      <w:r>
        <w:rPr>
          <w:color w:val="231F20"/>
          <w:spacing w:val="-2"/>
        </w:rPr>
        <w:t>found</w:t>
      </w:r>
    </w:p>
    <w:p>
      <w:pPr>
        <w:pStyle w:val="BodyText"/>
        <w:spacing w:before="89"/>
        <w:ind w:left="2951"/>
      </w:pPr>
      <w:r>
        <w:rPr>
          <w:color w:val="231F20"/>
          <w:spacing w:val="-2"/>
        </w:rPr>
        <w:t>Example:</w:t>
      </w:r>
    </w:p>
    <w:p>
      <w:pPr>
        <w:spacing w:before="56"/>
        <w:ind w:left="2951" w:right="0" w:firstLine="0"/>
        <w:jc w:val="left"/>
        <w:rPr>
          <w:rFonts w:ascii="Arial"/>
          <w:sz w:val="18"/>
        </w:rPr>
      </w:pPr>
      <w:r>
        <w:rPr>
          <w:rFonts w:ascii="Arial"/>
          <w:color w:val="231F20"/>
          <w:w w:val="105"/>
          <w:sz w:val="18"/>
        </w:rPr>
        <w:t>Applid</w:t>
      </w:r>
      <w:r>
        <w:rPr>
          <w:rFonts w:ascii="Arial"/>
          <w:color w:val="231F20"/>
          <w:spacing w:val="19"/>
          <w:w w:val="105"/>
          <w:sz w:val="18"/>
        </w:rPr>
        <w:t> </w:t>
      </w:r>
      <w:r>
        <w:rPr>
          <w:rFonts w:ascii="Arial"/>
          <w:color w:val="231F20"/>
          <w:w w:val="105"/>
          <w:sz w:val="18"/>
        </w:rPr>
        <w:t>=</w:t>
      </w:r>
      <w:r>
        <w:rPr>
          <w:rFonts w:ascii="Arial"/>
          <w:color w:val="231F20"/>
          <w:spacing w:val="20"/>
          <w:w w:val="105"/>
          <w:sz w:val="18"/>
        </w:rPr>
        <w:t> </w:t>
      </w:r>
      <w:r>
        <w:rPr>
          <w:rFonts w:ascii="Arial"/>
          <w:color w:val="231F20"/>
          <w:w w:val="105"/>
          <w:sz w:val="18"/>
        </w:rPr>
        <w:t>getProperty("APPLID")</w:t>
      </w:r>
      <w:r>
        <w:rPr>
          <w:rFonts w:ascii="Arial"/>
          <w:color w:val="231F20"/>
          <w:spacing w:val="-3"/>
          <w:w w:val="150"/>
          <w:sz w:val="18"/>
        </w:rPr>
        <w:t> </w:t>
      </w:r>
      <w:r>
        <w:rPr>
          <w:rFonts w:ascii="Arial"/>
          <w:color w:val="231F20"/>
          <w:w w:val="150"/>
          <w:sz w:val="18"/>
        </w:rPr>
        <w:t>//</w:t>
      </w:r>
      <w:r>
        <w:rPr>
          <w:rFonts w:ascii="Arial"/>
          <w:color w:val="231F20"/>
          <w:spacing w:val="-3"/>
          <w:w w:val="150"/>
          <w:sz w:val="18"/>
        </w:rPr>
        <w:t> </w:t>
      </w:r>
      <w:r>
        <w:rPr>
          <w:rFonts w:ascii="Arial"/>
          <w:color w:val="231F20"/>
          <w:w w:val="105"/>
          <w:sz w:val="18"/>
        </w:rPr>
        <w:t>get</w:t>
      </w:r>
      <w:r>
        <w:rPr>
          <w:rFonts w:ascii="Arial"/>
          <w:color w:val="231F20"/>
          <w:spacing w:val="19"/>
          <w:w w:val="105"/>
          <w:sz w:val="18"/>
        </w:rPr>
        <w:t> </w:t>
      </w:r>
      <w:r>
        <w:rPr>
          <w:rFonts w:ascii="Arial"/>
          <w:color w:val="231F20"/>
          <w:w w:val="105"/>
          <w:sz w:val="18"/>
        </w:rPr>
        <w:t>the</w:t>
      </w:r>
      <w:r>
        <w:rPr>
          <w:rFonts w:ascii="Arial"/>
          <w:color w:val="231F20"/>
          <w:spacing w:val="20"/>
          <w:w w:val="105"/>
          <w:sz w:val="18"/>
        </w:rPr>
        <w:t> </w:t>
      </w:r>
      <w:r>
        <w:rPr>
          <w:rFonts w:ascii="Arial"/>
          <w:color w:val="231F20"/>
          <w:w w:val="105"/>
          <w:sz w:val="18"/>
        </w:rPr>
        <w:t>data</w:t>
      </w:r>
      <w:r>
        <w:rPr>
          <w:rFonts w:ascii="Arial"/>
          <w:color w:val="231F20"/>
          <w:spacing w:val="19"/>
          <w:w w:val="105"/>
          <w:sz w:val="18"/>
        </w:rPr>
        <w:t> </w:t>
      </w:r>
      <w:r>
        <w:rPr>
          <w:rFonts w:ascii="Arial"/>
          <w:color w:val="231F20"/>
          <w:w w:val="105"/>
          <w:sz w:val="18"/>
        </w:rPr>
        <w:t>from</w:t>
      </w:r>
      <w:r>
        <w:rPr>
          <w:rFonts w:ascii="Arial"/>
          <w:color w:val="231F20"/>
          <w:spacing w:val="20"/>
          <w:w w:val="105"/>
          <w:sz w:val="18"/>
        </w:rPr>
        <w:t> </w:t>
      </w:r>
      <w:r>
        <w:rPr>
          <w:rFonts w:ascii="Arial"/>
          <w:color w:val="231F20"/>
          <w:w w:val="105"/>
          <w:sz w:val="18"/>
        </w:rPr>
        <w:t>the</w:t>
      </w:r>
      <w:r>
        <w:rPr>
          <w:rFonts w:ascii="Arial"/>
          <w:color w:val="231F20"/>
          <w:spacing w:val="19"/>
          <w:w w:val="105"/>
          <w:sz w:val="18"/>
        </w:rPr>
        <w:t> </w:t>
      </w:r>
      <w:r>
        <w:rPr>
          <w:rFonts w:ascii="Arial"/>
          <w:color w:val="231F20"/>
          <w:w w:val="105"/>
          <w:sz w:val="18"/>
        </w:rPr>
        <w:t>APPLID</w:t>
      </w:r>
      <w:r>
        <w:rPr>
          <w:rFonts w:ascii="Arial"/>
          <w:color w:val="231F20"/>
          <w:spacing w:val="20"/>
          <w:w w:val="105"/>
          <w:sz w:val="18"/>
        </w:rPr>
        <w:t> </w:t>
      </w:r>
      <w:r>
        <w:rPr>
          <w:rFonts w:ascii="Arial"/>
          <w:color w:val="231F20"/>
          <w:spacing w:val="-2"/>
          <w:w w:val="105"/>
          <w:sz w:val="18"/>
        </w:rPr>
        <w:t>variable</w:t>
      </w:r>
    </w:p>
    <w:p>
      <w:pPr>
        <w:pStyle w:val="Heading6"/>
        <w:spacing w:before="128"/>
        <w:ind w:left="2232"/>
      </w:pPr>
      <w:r>
        <w:rPr>
          <w:color w:val="231F20"/>
          <w:spacing w:val="-2"/>
        </w:rPr>
        <w:t>GetString</w:t>
      </w:r>
    </w:p>
    <w:p>
      <w:pPr>
        <w:pStyle w:val="BodyText"/>
        <w:spacing w:line="213" w:lineRule="auto" w:before="11"/>
        <w:ind w:left="2951" w:right="636"/>
      </w:pPr>
      <w:r>
        <w:rPr>
          <w:color w:val="231F20"/>
        </w:rPr>
        <w:t>GetString retrieves the string from the location on the screen. The </w:t>
      </w:r>
      <w:r>
        <w:rPr>
          <w:color w:val="231F20"/>
        </w:rPr>
        <w:t>number of characters is determined by the length parm.</w:t>
      </w:r>
    </w:p>
    <w:p>
      <w:pPr>
        <w:pStyle w:val="BodyText"/>
        <w:spacing w:line="213" w:lineRule="auto" w:before="119"/>
        <w:ind w:left="3669" w:right="636" w:hanging="719"/>
      </w:pPr>
      <w:r>
        <w:rPr>
          <w:rFonts w:ascii="Book Antiqua"/>
          <w:b/>
          <w:color w:val="231F20"/>
        </w:rPr>
        <w:t>Parms</w:t>
      </w:r>
      <w:r>
        <w:rPr>
          <w:rFonts w:ascii="Book Antiqua"/>
          <w:b/>
          <w:color w:val="231F20"/>
          <w:spacing w:val="80"/>
        </w:rPr>
        <w:t> </w:t>
      </w:r>
      <w:r>
        <w:rPr>
          <w:color w:val="231F20"/>
        </w:rPr>
        <w:t>Position - the position on the screen. This can be a ROW,COL </w:t>
      </w:r>
      <w:r>
        <w:rPr>
          <w:color w:val="231F20"/>
        </w:rPr>
        <w:t>or the relative location on the screen.</w:t>
      </w:r>
    </w:p>
    <w:p>
      <w:pPr>
        <w:pStyle w:val="BodyText"/>
        <w:spacing w:before="95"/>
        <w:ind w:left="3669"/>
      </w:pPr>
      <w:r>
        <w:rPr>
          <w:color w:val="231F20"/>
        </w:rPr>
        <w:t>Length</w:t>
      </w:r>
      <w:r>
        <w:rPr>
          <w:color w:val="231F20"/>
          <w:spacing w:val="11"/>
        </w:rPr>
        <w:t> </w:t>
      </w:r>
      <w:r>
        <w:rPr>
          <w:color w:val="231F20"/>
        </w:rPr>
        <w:t>-</w:t>
      </w:r>
      <w:r>
        <w:rPr>
          <w:color w:val="231F20"/>
          <w:spacing w:val="12"/>
        </w:rPr>
        <w:t> </w:t>
      </w:r>
      <w:r>
        <w:rPr>
          <w:color w:val="231F20"/>
        </w:rPr>
        <w:t>number</w:t>
      </w:r>
      <w:r>
        <w:rPr>
          <w:color w:val="231F20"/>
          <w:spacing w:val="11"/>
        </w:rPr>
        <w:t> </w:t>
      </w:r>
      <w:r>
        <w:rPr>
          <w:color w:val="231F20"/>
        </w:rPr>
        <w:t>of</w:t>
      </w:r>
      <w:r>
        <w:rPr>
          <w:color w:val="231F20"/>
          <w:spacing w:val="12"/>
        </w:rPr>
        <w:t> </w:t>
      </w:r>
      <w:r>
        <w:rPr>
          <w:color w:val="231F20"/>
        </w:rPr>
        <w:t>characters</w:t>
      </w:r>
      <w:r>
        <w:rPr>
          <w:color w:val="231F20"/>
          <w:spacing w:val="12"/>
        </w:rPr>
        <w:t> </w:t>
      </w:r>
      <w:r>
        <w:rPr>
          <w:color w:val="231F20"/>
        </w:rPr>
        <w:t>to</w:t>
      </w:r>
      <w:r>
        <w:rPr>
          <w:color w:val="231F20"/>
          <w:spacing w:val="11"/>
        </w:rPr>
        <w:t> </w:t>
      </w:r>
      <w:r>
        <w:rPr>
          <w:color w:val="231F20"/>
          <w:spacing w:val="-2"/>
        </w:rPr>
        <w:t>retrieve</w:t>
      </w:r>
    </w:p>
    <w:p>
      <w:pPr>
        <w:pStyle w:val="Heading6"/>
        <w:spacing w:before="111"/>
        <w:ind w:left="2951"/>
      </w:pPr>
      <w:r>
        <w:rPr>
          <w:color w:val="231F20"/>
          <w:spacing w:val="-2"/>
        </w:rPr>
        <w:t>Return</w:t>
      </w:r>
    </w:p>
    <w:p>
      <w:pPr>
        <w:pStyle w:val="BodyText"/>
        <w:spacing w:line="258" w:lineRule="exact"/>
        <w:ind w:left="3669"/>
      </w:pPr>
      <w:r>
        <w:rPr>
          <w:color w:val="231F20"/>
        </w:rPr>
        <w:t>Returns</w:t>
      </w:r>
      <w:r>
        <w:rPr>
          <w:color w:val="231F20"/>
          <w:spacing w:val="10"/>
        </w:rPr>
        <w:t> </w:t>
      </w:r>
      <w:r>
        <w:rPr>
          <w:color w:val="231F20"/>
        </w:rPr>
        <w:t>the</w:t>
      </w:r>
      <w:r>
        <w:rPr>
          <w:color w:val="231F20"/>
          <w:spacing w:val="11"/>
        </w:rPr>
        <w:t> </w:t>
      </w:r>
      <w:r>
        <w:rPr>
          <w:color w:val="231F20"/>
        </w:rPr>
        <w:t>string</w:t>
      </w:r>
      <w:r>
        <w:rPr>
          <w:color w:val="231F20"/>
          <w:spacing w:val="11"/>
        </w:rPr>
        <w:t> </w:t>
      </w:r>
      <w:r>
        <w:rPr>
          <w:color w:val="231F20"/>
        </w:rPr>
        <w:t>of</w:t>
      </w:r>
      <w:r>
        <w:rPr>
          <w:color w:val="231F20"/>
          <w:spacing w:val="11"/>
        </w:rPr>
        <w:t> </w:t>
      </w:r>
      <w:r>
        <w:rPr>
          <w:color w:val="231F20"/>
        </w:rPr>
        <w:t>characters</w:t>
      </w:r>
      <w:r>
        <w:rPr>
          <w:color w:val="231F20"/>
          <w:spacing w:val="10"/>
        </w:rPr>
        <w:t> </w:t>
      </w:r>
      <w:r>
        <w:rPr>
          <w:color w:val="231F20"/>
        </w:rPr>
        <w:t>from</w:t>
      </w:r>
      <w:r>
        <w:rPr>
          <w:color w:val="231F20"/>
          <w:spacing w:val="11"/>
        </w:rPr>
        <w:t> </w:t>
      </w:r>
      <w:r>
        <w:rPr>
          <w:color w:val="231F20"/>
        </w:rPr>
        <w:t>the</w:t>
      </w:r>
      <w:r>
        <w:rPr>
          <w:color w:val="231F20"/>
          <w:spacing w:val="11"/>
        </w:rPr>
        <w:t> </w:t>
      </w:r>
      <w:r>
        <w:rPr>
          <w:color w:val="231F20"/>
          <w:spacing w:val="-2"/>
        </w:rPr>
        <w:t>location</w:t>
      </w:r>
    </w:p>
    <w:p>
      <w:pPr>
        <w:pStyle w:val="BodyText"/>
        <w:spacing w:before="90"/>
        <w:ind w:left="2951"/>
      </w:pPr>
      <w:r>
        <w:rPr>
          <w:color w:val="231F20"/>
          <w:spacing w:val="-2"/>
        </w:rPr>
        <w:t>Example:</w:t>
      </w:r>
    </w:p>
    <w:p>
      <w:pPr>
        <w:spacing w:line="230" w:lineRule="auto" w:before="62"/>
        <w:ind w:left="2951" w:right="1504" w:firstLine="0"/>
        <w:jc w:val="left"/>
        <w:rPr>
          <w:rFonts w:ascii="Arial"/>
          <w:sz w:val="18"/>
        </w:rPr>
      </w:pPr>
      <w:r>
        <w:rPr>
          <w:rFonts w:ascii="Arial"/>
          <w:color w:val="231F20"/>
          <w:w w:val="105"/>
          <w:sz w:val="18"/>
        </w:rPr>
        <w:t>Applid</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getString(5,1,16);</w:t>
      </w:r>
      <w:r>
        <w:rPr>
          <w:rFonts w:ascii="Arial"/>
          <w:color w:val="231F20"/>
          <w:w w:val="150"/>
          <w:sz w:val="18"/>
        </w:rPr>
        <w:t> //</w:t>
      </w:r>
      <w:r>
        <w:rPr>
          <w:rFonts w:ascii="Arial"/>
          <w:color w:val="231F20"/>
          <w:w w:val="150"/>
          <w:sz w:val="18"/>
        </w:rPr>
        <w:t> </w:t>
      </w:r>
      <w:r>
        <w:rPr>
          <w:rFonts w:ascii="Arial"/>
          <w:color w:val="231F20"/>
          <w:w w:val="105"/>
          <w:sz w:val="18"/>
        </w:rPr>
        <w:t>get</w:t>
      </w:r>
      <w:r>
        <w:rPr>
          <w:rFonts w:ascii="Arial"/>
          <w:color w:val="231F20"/>
          <w:spacing w:val="40"/>
          <w:w w:val="105"/>
          <w:sz w:val="18"/>
        </w:rPr>
        <w:t> </w:t>
      </w:r>
      <w:r>
        <w:rPr>
          <w:rFonts w:ascii="Arial"/>
          <w:color w:val="231F20"/>
          <w:w w:val="105"/>
          <w:sz w:val="18"/>
        </w:rPr>
        <w:t>16</w:t>
      </w:r>
      <w:r>
        <w:rPr>
          <w:rFonts w:ascii="Arial"/>
          <w:color w:val="231F20"/>
          <w:spacing w:val="40"/>
          <w:w w:val="105"/>
          <w:sz w:val="18"/>
        </w:rPr>
        <w:t> </w:t>
      </w:r>
      <w:r>
        <w:rPr>
          <w:rFonts w:ascii="Arial"/>
          <w:color w:val="231F20"/>
          <w:w w:val="105"/>
          <w:sz w:val="18"/>
        </w:rPr>
        <w:t>characters</w:t>
      </w:r>
      <w:r>
        <w:rPr>
          <w:rFonts w:ascii="Arial"/>
          <w:color w:val="231F20"/>
          <w:spacing w:val="40"/>
          <w:w w:val="105"/>
          <w:sz w:val="18"/>
        </w:rPr>
        <w:t> </w:t>
      </w:r>
      <w:r>
        <w:rPr>
          <w:rFonts w:ascii="Arial"/>
          <w:color w:val="231F20"/>
          <w:w w:val="105"/>
          <w:sz w:val="18"/>
        </w:rPr>
        <w:t>from</w:t>
      </w:r>
      <w:r>
        <w:rPr>
          <w:rFonts w:ascii="Arial"/>
          <w:color w:val="231F20"/>
          <w:spacing w:val="40"/>
          <w:w w:val="105"/>
          <w:sz w:val="18"/>
        </w:rPr>
        <w:t> </w:t>
      </w:r>
      <w:r>
        <w:rPr>
          <w:rFonts w:ascii="Arial"/>
          <w:color w:val="231F20"/>
          <w:w w:val="105"/>
          <w:sz w:val="18"/>
        </w:rPr>
        <w:t>screen location</w:t>
      </w:r>
      <w:r>
        <w:rPr>
          <w:rFonts w:ascii="Arial"/>
          <w:color w:val="231F20"/>
          <w:spacing w:val="40"/>
          <w:w w:val="105"/>
          <w:sz w:val="18"/>
        </w:rPr>
        <w:t> </w:t>
      </w:r>
      <w:r>
        <w:rPr>
          <w:rFonts w:ascii="Arial"/>
          <w:color w:val="231F20"/>
          <w:sz w:val="18"/>
        </w:rPr>
        <w:t>Row</w:t>
      </w:r>
      <w:r>
        <w:rPr>
          <w:rFonts w:ascii="Arial"/>
          <w:color w:val="231F20"/>
          <w:spacing w:val="40"/>
          <w:w w:val="105"/>
          <w:sz w:val="18"/>
        </w:rPr>
        <w:t> </w:t>
      </w:r>
      <w:r>
        <w:rPr>
          <w:rFonts w:ascii="Arial"/>
          <w:color w:val="231F20"/>
          <w:w w:val="105"/>
          <w:sz w:val="18"/>
        </w:rPr>
        <w:t>5,</w:t>
      </w:r>
      <w:r>
        <w:rPr>
          <w:rFonts w:ascii="Arial"/>
          <w:color w:val="231F20"/>
          <w:spacing w:val="40"/>
          <w:w w:val="105"/>
          <w:sz w:val="18"/>
        </w:rPr>
        <w:t> </w:t>
      </w:r>
      <w:r>
        <w:rPr>
          <w:rFonts w:ascii="Arial"/>
          <w:color w:val="231F20"/>
          <w:w w:val="105"/>
          <w:sz w:val="18"/>
        </w:rPr>
        <w:t>column</w:t>
      </w:r>
      <w:r>
        <w:rPr>
          <w:rFonts w:ascii="Arial"/>
          <w:color w:val="231F20"/>
          <w:spacing w:val="40"/>
          <w:w w:val="105"/>
          <w:sz w:val="18"/>
        </w:rPr>
        <w:t> </w:t>
      </w:r>
      <w:r>
        <w:rPr>
          <w:rFonts w:ascii="Arial"/>
          <w:color w:val="231F20"/>
          <w:w w:val="105"/>
          <w:sz w:val="18"/>
        </w:rPr>
        <w:t>1</w:t>
      </w:r>
      <w:r>
        <w:rPr>
          <w:rFonts w:ascii="Arial"/>
          <w:color w:val="231F20"/>
          <w:spacing w:val="80"/>
          <w:w w:val="150"/>
          <w:sz w:val="18"/>
        </w:rPr>
        <w:t> </w:t>
      </w:r>
      <w:r>
        <w:rPr>
          <w:rFonts w:ascii="Arial"/>
          <w:color w:val="231F20"/>
          <w:w w:val="105"/>
          <w:sz w:val="18"/>
        </w:rPr>
        <w:t>Applid</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getString(80,15);</w:t>
      </w:r>
    </w:p>
    <w:p>
      <w:pPr>
        <w:spacing w:line="202" w:lineRule="exact" w:before="0"/>
        <w:ind w:left="2951" w:right="0" w:firstLine="0"/>
        <w:jc w:val="left"/>
        <w:rPr>
          <w:rFonts w:ascii="Arial"/>
          <w:sz w:val="18"/>
        </w:rPr>
      </w:pPr>
      <w:r>
        <w:rPr>
          <w:rFonts w:ascii="Arial"/>
          <w:color w:val="231F20"/>
          <w:w w:val="150"/>
          <w:sz w:val="18"/>
        </w:rPr>
        <w:t>//</w:t>
      </w:r>
      <w:r>
        <w:rPr>
          <w:rFonts w:ascii="Arial"/>
          <w:color w:val="231F20"/>
          <w:spacing w:val="-4"/>
          <w:w w:val="150"/>
          <w:sz w:val="18"/>
        </w:rPr>
        <w:t> </w:t>
      </w:r>
      <w:r>
        <w:rPr>
          <w:rFonts w:ascii="Arial"/>
          <w:color w:val="231F20"/>
          <w:w w:val="110"/>
          <w:sz w:val="18"/>
        </w:rPr>
        <w:t>get</w:t>
      </w:r>
      <w:r>
        <w:rPr>
          <w:rFonts w:ascii="Arial"/>
          <w:color w:val="231F20"/>
          <w:spacing w:val="16"/>
          <w:w w:val="110"/>
          <w:sz w:val="18"/>
        </w:rPr>
        <w:t> </w:t>
      </w:r>
      <w:r>
        <w:rPr>
          <w:rFonts w:ascii="Arial"/>
          <w:color w:val="231F20"/>
          <w:w w:val="110"/>
          <w:sz w:val="18"/>
        </w:rPr>
        <w:t>15</w:t>
      </w:r>
      <w:r>
        <w:rPr>
          <w:rFonts w:ascii="Arial"/>
          <w:color w:val="231F20"/>
          <w:spacing w:val="16"/>
          <w:w w:val="110"/>
          <w:sz w:val="18"/>
        </w:rPr>
        <w:t> </w:t>
      </w:r>
      <w:r>
        <w:rPr>
          <w:rFonts w:ascii="Arial"/>
          <w:color w:val="231F20"/>
          <w:w w:val="110"/>
          <w:sz w:val="18"/>
        </w:rPr>
        <w:t>characters</w:t>
      </w:r>
      <w:r>
        <w:rPr>
          <w:rFonts w:ascii="Arial"/>
          <w:color w:val="231F20"/>
          <w:spacing w:val="16"/>
          <w:w w:val="110"/>
          <w:sz w:val="18"/>
        </w:rPr>
        <w:t> </w:t>
      </w:r>
      <w:r>
        <w:rPr>
          <w:rFonts w:ascii="Arial"/>
          <w:color w:val="231F20"/>
          <w:w w:val="110"/>
          <w:sz w:val="18"/>
        </w:rPr>
        <w:t>from</w:t>
      </w:r>
      <w:r>
        <w:rPr>
          <w:rFonts w:ascii="Arial"/>
          <w:color w:val="231F20"/>
          <w:spacing w:val="16"/>
          <w:w w:val="110"/>
          <w:sz w:val="18"/>
        </w:rPr>
        <w:t> </w:t>
      </w:r>
      <w:r>
        <w:rPr>
          <w:rFonts w:ascii="Arial"/>
          <w:color w:val="231F20"/>
          <w:w w:val="110"/>
          <w:sz w:val="18"/>
        </w:rPr>
        <w:t>location</w:t>
      </w:r>
      <w:r>
        <w:rPr>
          <w:rFonts w:ascii="Arial"/>
          <w:color w:val="231F20"/>
          <w:spacing w:val="16"/>
          <w:w w:val="110"/>
          <w:sz w:val="18"/>
        </w:rPr>
        <w:t> </w:t>
      </w:r>
      <w:r>
        <w:rPr>
          <w:rFonts w:ascii="Arial"/>
          <w:color w:val="231F20"/>
          <w:w w:val="110"/>
          <w:sz w:val="18"/>
        </w:rPr>
        <w:t>80</w:t>
      </w:r>
      <w:r>
        <w:rPr>
          <w:rFonts w:ascii="Arial"/>
          <w:color w:val="231F20"/>
          <w:spacing w:val="-4"/>
          <w:w w:val="150"/>
          <w:sz w:val="18"/>
        </w:rPr>
        <w:t> </w:t>
      </w:r>
      <w:r>
        <w:rPr>
          <w:rFonts w:ascii="Arial"/>
          <w:color w:val="231F20"/>
          <w:w w:val="150"/>
          <w:sz w:val="18"/>
        </w:rPr>
        <w:t>-</w:t>
      </w:r>
      <w:r>
        <w:rPr>
          <w:rFonts w:ascii="Arial"/>
          <w:color w:val="231F20"/>
          <w:spacing w:val="-4"/>
          <w:w w:val="150"/>
          <w:sz w:val="18"/>
        </w:rPr>
        <w:t> </w:t>
      </w:r>
      <w:r>
        <w:rPr>
          <w:rFonts w:ascii="Arial"/>
          <w:color w:val="231F20"/>
          <w:w w:val="110"/>
          <w:sz w:val="18"/>
        </w:rPr>
        <w:t>offset</w:t>
      </w:r>
      <w:r>
        <w:rPr>
          <w:rFonts w:ascii="Arial"/>
          <w:color w:val="231F20"/>
          <w:spacing w:val="16"/>
          <w:w w:val="110"/>
          <w:sz w:val="18"/>
        </w:rPr>
        <w:t> </w:t>
      </w:r>
      <w:r>
        <w:rPr>
          <w:rFonts w:ascii="Arial"/>
          <w:color w:val="231F20"/>
          <w:w w:val="110"/>
          <w:sz w:val="18"/>
        </w:rPr>
        <w:t>80</w:t>
      </w:r>
      <w:r>
        <w:rPr>
          <w:rFonts w:ascii="Arial"/>
          <w:color w:val="231F20"/>
          <w:spacing w:val="16"/>
          <w:w w:val="110"/>
          <w:sz w:val="18"/>
        </w:rPr>
        <w:t> </w:t>
      </w:r>
      <w:r>
        <w:rPr>
          <w:rFonts w:ascii="Arial"/>
          <w:color w:val="231F20"/>
          <w:w w:val="110"/>
          <w:sz w:val="18"/>
        </w:rPr>
        <w:t>(row</w:t>
      </w:r>
      <w:r>
        <w:rPr>
          <w:rFonts w:ascii="Arial"/>
          <w:color w:val="231F20"/>
          <w:spacing w:val="16"/>
          <w:w w:val="110"/>
          <w:sz w:val="18"/>
        </w:rPr>
        <w:t> </w:t>
      </w:r>
      <w:r>
        <w:rPr>
          <w:rFonts w:ascii="Arial"/>
          <w:color w:val="231F20"/>
          <w:w w:val="110"/>
          <w:sz w:val="18"/>
        </w:rPr>
        <w:t>2</w:t>
      </w:r>
      <w:r>
        <w:rPr>
          <w:rFonts w:ascii="Arial"/>
          <w:color w:val="231F20"/>
          <w:spacing w:val="16"/>
          <w:w w:val="110"/>
          <w:sz w:val="18"/>
        </w:rPr>
        <w:t> </w:t>
      </w:r>
      <w:r>
        <w:rPr>
          <w:rFonts w:ascii="Arial"/>
          <w:color w:val="231F20"/>
          <w:w w:val="110"/>
          <w:sz w:val="18"/>
        </w:rPr>
        <w:t>col</w:t>
      </w:r>
      <w:r>
        <w:rPr>
          <w:rFonts w:ascii="Arial"/>
          <w:color w:val="231F20"/>
          <w:spacing w:val="16"/>
          <w:w w:val="110"/>
          <w:sz w:val="18"/>
        </w:rPr>
        <w:t> </w:t>
      </w:r>
      <w:r>
        <w:rPr>
          <w:rFonts w:ascii="Arial"/>
          <w:color w:val="231F20"/>
          <w:w w:val="110"/>
          <w:sz w:val="18"/>
        </w:rPr>
        <w:t>1</w:t>
      </w:r>
      <w:r>
        <w:rPr>
          <w:rFonts w:ascii="Arial"/>
          <w:color w:val="231F20"/>
          <w:spacing w:val="17"/>
          <w:w w:val="110"/>
          <w:sz w:val="18"/>
        </w:rPr>
        <w:t> </w:t>
      </w:r>
      <w:r>
        <w:rPr>
          <w:rFonts w:ascii="Arial"/>
          <w:color w:val="231F20"/>
          <w:w w:val="110"/>
          <w:sz w:val="18"/>
        </w:rPr>
        <w:t>on</w:t>
      </w:r>
      <w:r>
        <w:rPr>
          <w:rFonts w:ascii="Arial"/>
          <w:color w:val="231F20"/>
          <w:spacing w:val="16"/>
          <w:w w:val="110"/>
          <w:sz w:val="18"/>
        </w:rPr>
        <w:t> </w:t>
      </w:r>
      <w:r>
        <w:rPr>
          <w:rFonts w:ascii="Arial"/>
          <w:color w:val="231F20"/>
          <w:w w:val="110"/>
          <w:sz w:val="18"/>
        </w:rPr>
        <w:t>a</w:t>
      </w:r>
      <w:r>
        <w:rPr>
          <w:rFonts w:ascii="Arial"/>
          <w:color w:val="231F20"/>
          <w:spacing w:val="16"/>
          <w:w w:val="110"/>
          <w:sz w:val="18"/>
        </w:rPr>
        <w:t> </w:t>
      </w:r>
      <w:r>
        <w:rPr>
          <w:rFonts w:ascii="Arial"/>
          <w:color w:val="231F20"/>
          <w:w w:val="110"/>
          <w:sz w:val="18"/>
        </w:rPr>
        <w:t>model</w:t>
      </w:r>
      <w:r>
        <w:rPr>
          <w:rFonts w:ascii="Arial"/>
          <w:color w:val="231F20"/>
          <w:spacing w:val="16"/>
          <w:w w:val="110"/>
          <w:sz w:val="18"/>
        </w:rPr>
        <w:t> </w:t>
      </w:r>
      <w:r>
        <w:rPr>
          <w:rFonts w:ascii="Arial"/>
          <w:color w:val="231F20"/>
          <w:spacing w:val="-5"/>
          <w:w w:val="110"/>
          <w:sz w:val="18"/>
        </w:rPr>
        <w:t>2)</w:t>
      </w:r>
    </w:p>
    <w:p>
      <w:pPr>
        <w:pStyle w:val="BodyText"/>
        <w:spacing w:before="42"/>
        <w:rPr>
          <w:rFonts w:ascii="Arial"/>
          <w:sz w:val="18"/>
        </w:rPr>
      </w:pPr>
    </w:p>
    <w:p>
      <w:pPr>
        <w:pStyle w:val="BodyText"/>
        <w:spacing w:line="213" w:lineRule="auto"/>
        <w:ind w:left="2951" w:right="636"/>
      </w:pPr>
      <w:r>
        <w:rPr>
          <w:rFonts w:ascii="Book Antiqua"/>
          <w:b/>
          <w:color w:val="231F20"/>
        </w:rPr>
        <w:t>Note:</w:t>
      </w:r>
      <w:r>
        <w:rPr>
          <w:rFonts w:ascii="Book Antiqua"/>
          <w:b/>
          <w:color w:val="231F20"/>
          <w:spacing w:val="40"/>
        </w:rPr>
        <w:t> </w:t>
      </w:r>
      <w:r>
        <w:rPr>
          <w:color w:val="231F20"/>
        </w:rPr>
        <w:t>The location can be any valid location on the screen, protected </w:t>
      </w:r>
      <w:r>
        <w:rPr>
          <w:color w:val="231F20"/>
        </w:rPr>
        <w:t>or unprotected. If the location is invalid, an error is generated and a null string is returned.</w:t>
      </w:r>
    </w:p>
    <w:p>
      <w:pPr>
        <w:pStyle w:val="BodyText"/>
        <w:tabs>
          <w:tab w:pos="2951" w:val="left" w:leader="none"/>
        </w:tabs>
        <w:spacing w:line="213" w:lineRule="auto" w:before="118"/>
        <w:ind w:left="2951" w:right="545" w:hanging="719"/>
      </w:pPr>
      <w:r>
        <w:rPr>
          <w:rFonts w:ascii="Book Antiqua"/>
          <w:b/>
          <w:color w:val="231F20"/>
          <w:spacing w:val="-4"/>
        </w:rPr>
        <w:t>Hide</w:t>
      </w:r>
      <w:r>
        <w:rPr>
          <w:rFonts w:ascii="Book Antiqua"/>
          <w:b/>
          <w:color w:val="231F20"/>
        </w:rPr>
        <w:tab/>
      </w:r>
      <w:r>
        <w:rPr>
          <w:color w:val="231F20"/>
        </w:rPr>
        <w:t>Hides the terminal screen. This sets the terminal frame to not visible. It is used when it is not desirable to show the actual screens that are being navigated. When the script ends, or the session is disconnected, the </w:t>
      </w:r>
      <w:r>
        <w:rPr>
          <w:color w:val="231F20"/>
        </w:rPr>
        <w:t>screen will be shown.</w:t>
      </w:r>
    </w:p>
    <w:p>
      <w:pPr>
        <w:spacing w:before="94"/>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1"/>
        <w:ind w:left="2951"/>
      </w:pPr>
      <w:r>
        <w:rPr>
          <w:color w:val="231F20"/>
          <w:spacing w:val="-2"/>
        </w:rPr>
        <w:t>Return</w:t>
      </w:r>
    </w:p>
    <w:p>
      <w:pPr>
        <w:pStyle w:val="BodyText"/>
        <w:spacing w:line="213" w:lineRule="auto"/>
        <w:ind w:left="3669"/>
      </w:pPr>
      <w:r>
        <w:rPr>
          <w:color w:val="231F20"/>
        </w:rPr>
        <w:t>Returns 0 if successful, or -1 if there is an error or the terminal gets </w:t>
      </w:r>
      <w:r>
        <w:rPr>
          <w:color w:val="231F20"/>
          <w:spacing w:val="-2"/>
        </w:rPr>
        <w:t>disconnected</w:t>
      </w:r>
    </w:p>
    <w:p>
      <w:pPr>
        <w:pStyle w:val="BodyText"/>
        <w:spacing w:before="95"/>
        <w:ind w:left="2951"/>
      </w:pPr>
      <w:r>
        <w:rPr>
          <w:color w:val="231F20"/>
          <w:spacing w:val="-2"/>
        </w:rPr>
        <w:t>Example:</w:t>
      </w:r>
    </w:p>
    <w:p>
      <w:pPr>
        <w:spacing w:before="56"/>
        <w:ind w:left="2951" w:right="0" w:firstLine="0"/>
        <w:jc w:val="left"/>
        <w:rPr>
          <w:rFonts w:ascii="Arial"/>
          <w:sz w:val="18"/>
        </w:rPr>
      </w:pPr>
      <w:r>
        <w:rPr>
          <w:rFonts w:ascii="Arial"/>
          <w:color w:val="231F20"/>
          <w:w w:val="115"/>
          <w:sz w:val="18"/>
        </w:rPr>
        <w:t>Hide();</w:t>
      </w:r>
      <w:r>
        <w:rPr>
          <w:rFonts w:ascii="Arial"/>
          <w:color w:val="231F20"/>
          <w:spacing w:val="-2"/>
          <w:w w:val="150"/>
          <w:sz w:val="18"/>
        </w:rPr>
        <w:t> </w:t>
      </w:r>
      <w:r>
        <w:rPr>
          <w:rFonts w:ascii="Arial"/>
          <w:color w:val="231F20"/>
          <w:w w:val="150"/>
          <w:sz w:val="18"/>
        </w:rPr>
        <w:t>//</w:t>
      </w:r>
      <w:r>
        <w:rPr>
          <w:rFonts w:ascii="Arial"/>
          <w:color w:val="231F20"/>
          <w:spacing w:val="-1"/>
          <w:w w:val="150"/>
          <w:sz w:val="18"/>
        </w:rPr>
        <w:t> </w:t>
      </w:r>
      <w:r>
        <w:rPr>
          <w:rFonts w:ascii="Arial"/>
          <w:color w:val="231F20"/>
          <w:w w:val="115"/>
          <w:sz w:val="18"/>
        </w:rPr>
        <w:t>set</w:t>
      </w:r>
      <w:r>
        <w:rPr>
          <w:rFonts w:ascii="Arial"/>
          <w:color w:val="231F20"/>
          <w:spacing w:val="16"/>
          <w:w w:val="115"/>
          <w:sz w:val="18"/>
        </w:rPr>
        <w:t> </w:t>
      </w:r>
      <w:r>
        <w:rPr>
          <w:rFonts w:ascii="Arial"/>
          <w:color w:val="231F20"/>
          <w:w w:val="115"/>
          <w:sz w:val="18"/>
        </w:rPr>
        <w:t>the</w:t>
      </w:r>
      <w:r>
        <w:rPr>
          <w:rFonts w:ascii="Arial"/>
          <w:color w:val="231F20"/>
          <w:spacing w:val="16"/>
          <w:w w:val="115"/>
          <w:sz w:val="18"/>
        </w:rPr>
        <w:t> </w:t>
      </w:r>
      <w:r>
        <w:rPr>
          <w:rFonts w:ascii="Arial"/>
          <w:color w:val="231F20"/>
          <w:w w:val="115"/>
          <w:sz w:val="18"/>
        </w:rPr>
        <w:t>terminal</w:t>
      </w:r>
      <w:r>
        <w:rPr>
          <w:rFonts w:ascii="Arial"/>
          <w:color w:val="231F20"/>
          <w:spacing w:val="17"/>
          <w:w w:val="115"/>
          <w:sz w:val="18"/>
        </w:rPr>
        <w:t> </w:t>
      </w:r>
      <w:r>
        <w:rPr>
          <w:rFonts w:ascii="Arial"/>
          <w:color w:val="231F20"/>
          <w:w w:val="105"/>
          <w:sz w:val="18"/>
        </w:rPr>
        <w:t>window</w:t>
      </w:r>
      <w:r>
        <w:rPr>
          <w:rFonts w:ascii="Arial"/>
          <w:color w:val="231F20"/>
          <w:spacing w:val="16"/>
          <w:w w:val="115"/>
          <w:sz w:val="18"/>
        </w:rPr>
        <w:t> </w:t>
      </w:r>
      <w:r>
        <w:rPr>
          <w:rFonts w:ascii="Arial"/>
          <w:color w:val="231F20"/>
          <w:w w:val="115"/>
          <w:sz w:val="18"/>
        </w:rPr>
        <w:t>to</w:t>
      </w:r>
      <w:r>
        <w:rPr>
          <w:rFonts w:ascii="Arial"/>
          <w:color w:val="231F20"/>
          <w:spacing w:val="16"/>
          <w:w w:val="115"/>
          <w:sz w:val="18"/>
        </w:rPr>
        <w:t> </w:t>
      </w:r>
      <w:r>
        <w:rPr>
          <w:rFonts w:ascii="Arial"/>
          <w:color w:val="231F20"/>
          <w:w w:val="115"/>
          <w:sz w:val="18"/>
        </w:rPr>
        <w:t>not</w:t>
      </w:r>
      <w:r>
        <w:rPr>
          <w:rFonts w:ascii="Arial"/>
          <w:color w:val="231F20"/>
          <w:spacing w:val="16"/>
          <w:w w:val="115"/>
          <w:sz w:val="18"/>
        </w:rPr>
        <w:t> </w:t>
      </w:r>
      <w:r>
        <w:rPr>
          <w:rFonts w:ascii="Arial"/>
          <w:color w:val="231F20"/>
          <w:spacing w:val="-2"/>
          <w:w w:val="115"/>
          <w:sz w:val="18"/>
        </w:rPr>
        <w:t>visible</w:t>
      </w:r>
    </w:p>
    <w:p>
      <w:pPr>
        <w:pStyle w:val="Heading6"/>
        <w:spacing w:before="128"/>
        <w:ind w:left="2232"/>
      </w:pPr>
      <w:r>
        <w:rPr>
          <w:color w:val="231F20"/>
          <w:spacing w:val="-2"/>
        </w:rPr>
        <w:t>Screencols</w:t>
      </w:r>
    </w:p>
    <w:p>
      <w:pPr>
        <w:pStyle w:val="BodyText"/>
        <w:spacing w:line="213" w:lineRule="auto" w:before="11"/>
        <w:ind w:left="2951" w:right="636"/>
      </w:pPr>
      <w:r>
        <w:rPr>
          <w:color w:val="231F20"/>
        </w:rPr>
        <w:t>Screencols returns the number of columns on the screen. For a 3270 </w:t>
      </w:r>
      <w:r>
        <w:rPr>
          <w:color w:val="231F20"/>
        </w:rPr>
        <w:t>model</w:t>
      </w:r>
      <w:r>
        <w:rPr>
          <w:color w:val="231F20"/>
          <w:spacing w:val="80"/>
        </w:rPr>
        <w:t> </w:t>
      </w:r>
      <w:r>
        <w:rPr>
          <w:color w:val="231F20"/>
        </w:rPr>
        <w:t>2 this would be 80.</w:t>
      </w:r>
    </w:p>
    <w:p>
      <w:pPr>
        <w:spacing w:before="95"/>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1"/>
        <w:ind w:left="2951"/>
      </w:pPr>
      <w:r>
        <w:rPr>
          <w:color w:val="231F20"/>
          <w:spacing w:val="-2"/>
        </w:rPr>
        <w:t>Return</w:t>
      </w:r>
    </w:p>
    <w:p>
      <w:pPr>
        <w:pStyle w:val="BodyText"/>
        <w:spacing w:line="213" w:lineRule="auto"/>
        <w:ind w:left="3669" w:right="545"/>
      </w:pPr>
      <w:r>
        <w:rPr>
          <w:color w:val="231F20"/>
        </w:rPr>
        <w:t>Returns the number of columns on the screen, or -1 if there is an error or the terminal gets disconnected</w:t>
      </w:r>
    </w:p>
    <w:p>
      <w:pPr>
        <w:pStyle w:val="BodyText"/>
        <w:spacing w:before="95"/>
        <w:ind w:left="2951"/>
      </w:pPr>
      <w:r>
        <w:rPr>
          <w:color w:val="231F20"/>
          <w:spacing w:val="-2"/>
        </w:rPr>
        <w:t>Example:</w:t>
      </w:r>
    </w:p>
    <w:p>
      <w:pPr>
        <w:spacing w:before="56"/>
        <w:ind w:left="2951" w:right="0" w:firstLine="0"/>
        <w:jc w:val="left"/>
        <w:rPr>
          <w:rFonts w:ascii="Arial"/>
          <w:sz w:val="18"/>
        </w:rPr>
      </w:pPr>
      <w:r>
        <w:rPr>
          <w:rFonts w:ascii="Arial"/>
          <w:color w:val="231F20"/>
          <w:w w:val="105"/>
          <w:sz w:val="18"/>
        </w:rPr>
        <w:t>Cols</w:t>
      </w:r>
      <w:r>
        <w:rPr>
          <w:rFonts w:ascii="Arial"/>
          <w:color w:val="231F20"/>
          <w:spacing w:val="35"/>
          <w:w w:val="105"/>
          <w:sz w:val="18"/>
        </w:rPr>
        <w:t> </w:t>
      </w:r>
      <w:r>
        <w:rPr>
          <w:rFonts w:ascii="Arial"/>
          <w:color w:val="231F20"/>
          <w:w w:val="105"/>
          <w:sz w:val="18"/>
        </w:rPr>
        <w:t>=</w:t>
      </w:r>
      <w:r>
        <w:rPr>
          <w:rFonts w:ascii="Arial"/>
          <w:color w:val="231F20"/>
          <w:spacing w:val="35"/>
          <w:w w:val="105"/>
          <w:sz w:val="18"/>
        </w:rPr>
        <w:t> </w:t>
      </w:r>
      <w:r>
        <w:rPr>
          <w:rFonts w:ascii="Arial"/>
          <w:color w:val="231F20"/>
          <w:w w:val="105"/>
          <w:sz w:val="18"/>
        </w:rPr>
        <w:t>screenCols();</w:t>
      </w:r>
      <w:r>
        <w:rPr>
          <w:rFonts w:ascii="Arial"/>
          <w:color w:val="231F20"/>
          <w:spacing w:val="13"/>
          <w:w w:val="150"/>
          <w:sz w:val="18"/>
        </w:rPr>
        <w:t> </w:t>
      </w:r>
      <w:r>
        <w:rPr>
          <w:rFonts w:ascii="Arial"/>
          <w:color w:val="231F20"/>
          <w:w w:val="150"/>
          <w:sz w:val="18"/>
        </w:rPr>
        <w:t>//</w:t>
      </w:r>
      <w:r>
        <w:rPr>
          <w:rFonts w:ascii="Arial"/>
          <w:color w:val="231F20"/>
          <w:spacing w:val="13"/>
          <w:w w:val="150"/>
          <w:sz w:val="18"/>
        </w:rPr>
        <w:t> </w:t>
      </w:r>
      <w:r>
        <w:rPr>
          <w:rFonts w:ascii="Arial"/>
          <w:color w:val="231F20"/>
          <w:w w:val="105"/>
          <w:sz w:val="18"/>
        </w:rPr>
        <w:t>returns</w:t>
      </w:r>
      <w:r>
        <w:rPr>
          <w:rFonts w:ascii="Arial"/>
          <w:color w:val="231F20"/>
          <w:spacing w:val="35"/>
          <w:w w:val="105"/>
          <w:sz w:val="18"/>
        </w:rPr>
        <w:t> </w:t>
      </w:r>
      <w:r>
        <w:rPr>
          <w:rFonts w:ascii="Arial"/>
          <w:color w:val="231F20"/>
          <w:w w:val="105"/>
          <w:sz w:val="18"/>
        </w:rPr>
        <w:t>the</w:t>
      </w:r>
      <w:r>
        <w:rPr>
          <w:rFonts w:ascii="Arial"/>
          <w:color w:val="231F20"/>
          <w:spacing w:val="36"/>
          <w:w w:val="105"/>
          <w:sz w:val="18"/>
        </w:rPr>
        <w:t> </w:t>
      </w:r>
      <w:r>
        <w:rPr>
          <w:rFonts w:ascii="Arial"/>
          <w:color w:val="231F20"/>
          <w:w w:val="105"/>
          <w:sz w:val="18"/>
        </w:rPr>
        <w:t>number</w:t>
      </w:r>
      <w:r>
        <w:rPr>
          <w:rFonts w:ascii="Arial"/>
          <w:color w:val="231F20"/>
          <w:spacing w:val="35"/>
          <w:w w:val="105"/>
          <w:sz w:val="18"/>
        </w:rPr>
        <w:t> </w:t>
      </w:r>
      <w:r>
        <w:rPr>
          <w:rFonts w:ascii="Arial"/>
          <w:color w:val="231F20"/>
          <w:w w:val="105"/>
          <w:sz w:val="18"/>
        </w:rPr>
        <w:t>of</w:t>
      </w:r>
      <w:r>
        <w:rPr>
          <w:rFonts w:ascii="Arial"/>
          <w:color w:val="231F20"/>
          <w:spacing w:val="35"/>
          <w:w w:val="105"/>
          <w:sz w:val="18"/>
        </w:rPr>
        <w:t> </w:t>
      </w:r>
      <w:r>
        <w:rPr>
          <w:rFonts w:ascii="Arial"/>
          <w:color w:val="231F20"/>
          <w:spacing w:val="-2"/>
          <w:w w:val="105"/>
          <w:sz w:val="18"/>
        </w:rPr>
        <w:t>columns</w:t>
      </w:r>
    </w:p>
    <w:p>
      <w:pPr>
        <w:pStyle w:val="Heading6"/>
        <w:spacing w:before="128"/>
        <w:ind w:left="2232"/>
      </w:pPr>
      <w:r>
        <w:rPr>
          <w:color w:val="231F20"/>
          <w:spacing w:val="-2"/>
        </w:rPr>
        <w:t>Screenrows</w:t>
      </w:r>
    </w:p>
    <w:p>
      <w:pPr>
        <w:pStyle w:val="BodyText"/>
        <w:spacing w:line="213" w:lineRule="auto" w:before="11"/>
        <w:ind w:left="2951" w:right="545"/>
      </w:pPr>
      <w:r>
        <w:rPr>
          <w:color w:val="231F20"/>
        </w:rPr>
        <w:t>Screenrows returns the number of rows on the screen. For a 3270 model 2 this would be 24.</w:t>
      </w:r>
    </w:p>
    <w:p>
      <w:pPr>
        <w:spacing w:before="96"/>
        <w:ind w:left="2951"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spacing w:after="0"/>
        <w:jc w:val="left"/>
        <w:rPr>
          <w:sz w:val="20"/>
        </w:rPr>
        <w:sectPr>
          <w:pgSz w:w="12240" w:h="15840"/>
          <w:pgMar w:header="0" w:footer="736" w:top="1180" w:bottom="920" w:left="1000" w:right="1060"/>
        </w:sectPr>
      </w:pPr>
    </w:p>
    <w:p>
      <w:pPr>
        <w:pStyle w:val="Heading6"/>
        <w:spacing w:line="240" w:lineRule="auto" w:before="83"/>
        <w:ind w:left="0"/>
        <w:jc w:val="right"/>
      </w:pPr>
      <w:r>
        <w:rPr>
          <w:color w:val="231F20"/>
          <w:spacing w:val="-2"/>
        </w:rPr>
        <w:t>Return</w:t>
      </w:r>
    </w:p>
    <w:p>
      <w:pPr>
        <w:spacing w:line="240" w:lineRule="auto" w:before="83"/>
        <w:rPr>
          <w:rFonts w:ascii="Book Antiqua"/>
          <w:b/>
          <w:sz w:val="20"/>
        </w:rPr>
      </w:pPr>
      <w:r>
        <w:rPr/>
        <w:br w:type="column"/>
      </w:r>
      <w:r>
        <w:rPr>
          <w:rFonts w:ascii="Book Antiqua"/>
          <w:b/>
          <w:sz w:val="20"/>
        </w:rPr>
      </w:r>
    </w:p>
    <w:p>
      <w:pPr>
        <w:pStyle w:val="BodyText"/>
        <w:spacing w:line="213" w:lineRule="auto"/>
        <w:ind w:left="46" w:right="229"/>
      </w:pPr>
      <w:r>
        <w:rPr>
          <w:color w:val="231F20"/>
        </w:rPr>
        <w:t>Returns the number of rows on the screen, or -1 if there is an error</w:t>
      </w:r>
      <w:r>
        <w:rPr>
          <w:color w:val="231F20"/>
          <w:spacing w:val="40"/>
        </w:rPr>
        <w:t> </w:t>
      </w:r>
      <w:r>
        <w:rPr>
          <w:color w:val="231F20"/>
        </w:rPr>
        <w:t>or the terminal gets disconnected</w:t>
      </w:r>
    </w:p>
    <w:p>
      <w:pPr>
        <w:spacing w:after="0" w:line="213" w:lineRule="auto"/>
        <w:sectPr>
          <w:pgSz w:w="12240" w:h="15840"/>
          <w:pgMar w:header="0" w:footer="736" w:top="1180" w:bottom="920" w:left="1000" w:right="1060"/>
          <w:cols w:num="2" w:equalWidth="0">
            <w:col w:w="3823" w:space="40"/>
            <w:col w:w="6317"/>
          </w:cols>
        </w:sectPr>
      </w:pPr>
    </w:p>
    <w:p>
      <w:pPr>
        <w:pStyle w:val="BodyText"/>
        <w:spacing w:before="95"/>
        <w:ind w:left="3190"/>
      </w:pPr>
      <w:r>
        <w:rPr>
          <w:color w:val="231F20"/>
          <w:spacing w:val="-2"/>
        </w:rPr>
        <w:t>Example:</w:t>
      </w:r>
    </w:p>
    <w:p>
      <w:pPr>
        <w:spacing w:before="56"/>
        <w:ind w:left="3190" w:right="0" w:firstLine="0"/>
        <w:jc w:val="left"/>
        <w:rPr>
          <w:rFonts w:ascii="Arial"/>
          <w:sz w:val="18"/>
        </w:rPr>
      </w:pPr>
      <w:r>
        <w:rPr>
          <w:rFonts w:ascii="Arial"/>
          <w:color w:val="231F20"/>
          <w:sz w:val="18"/>
        </w:rPr>
        <w:t>Rows</w:t>
      </w:r>
      <w:r>
        <w:rPr>
          <w:rFonts w:ascii="Arial"/>
          <w:color w:val="231F20"/>
          <w:spacing w:val="30"/>
          <w:sz w:val="18"/>
        </w:rPr>
        <w:t> </w:t>
      </w:r>
      <w:r>
        <w:rPr>
          <w:rFonts w:ascii="Arial"/>
          <w:color w:val="231F20"/>
          <w:sz w:val="18"/>
        </w:rPr>
        <w:t>=</w:t>
      </w:r>
      <w:r>
        <w:rPr>
          <w:rFonts w:ascii="Arial"/>
          <w:color w:val="231F20"/>
          <w:spacing w:val="31"/>
          <w:sz w:val="18"/>
        </w:rPr>
        <w:t> </w:t>
      </w:r>
      <w:r>
        <w:rPr>
          <w:rFonts w:ascii="Arial"/>
          <w:color w:val="231F20"/>
          <w:sz w:val="18"/>
        </w:rPr>
        <w:t>ScreenRows();</w:t>
      </w:r>
      <w:r>
        <w:rPr>
          <w:rFonts w:ascii="Arial"/>
          <w:color w:val="231F20"/>
          <w:spacing w:val="6"/>
          <w:w w:val="150"/>
          <w:sz w:val="18"/>
        </w:rPr>
        <w:t> </w:t>
      </w:r>
      <w:r>
        <w:rPr>
          <w:rFonts w:ascii="Arial"/>
          <w:color w:val="231F20"/>
          <w:w w:val="150"/>
          <w:sz w:val="18"/>
        </w:rPr>
        <w:t>//</w:t>
      </w:r>
      <w:r>
        <w:rPr>
          <w:rFonts w:ascii="Arial"/>
          <w:color w:val="231F20"/>
          <w:spacing w:val="6"/>
          <w:w w:val="150"/>
          <w:sz w:val="18"/>
        </w:rPr>
        <w:t> </w:t>
      </w:r>
      <w:r>
        <w:rPr>
          <w:rFonts w:ascii="Arial"/>
          <w:color w:val="231F20"/>
          <w:sz w:val="18"/>
        </w:rPr>
        <w:t>returns</w:t>
      </w:r>
      <w:r>
        <w:rPr>
          <w:rFonts w:ascii="Arial"/>
          <w:color w:val="231F20"/>
          <w:spacing w:val="31"/>
          <w:sz w:val="18"/>
        </w:rPr>
        <w:t> </w:t>
      </w:r>
      <w:r>
        <w:rPr>
          <w:rFonts w:ascii="Arial"/>
          <w:color w:val="231F20"/>
          <w:sz w:val="18"/>
        </w:rPr>
        <w:t>the</w:t>
      </w:r>
      <w:r>
        <w:rPr>
          <w:rFonts w:ascii="Arial"/>
          <w:color w:val="231F20"/>
          <w:spacing w:val="31"/>
          <w:sz w:val="18"/>
        </w:rPr>
        <w:t> </w:t>
      </w:r>
      <w:r>
        <w:rPr>
          <w:rFonts w:ascii="Arial"/>
          <w:color w:val="231F20"/>
          <w:sz w:val="18"/>
        </w:rPr>
        <w:t>number</w:t>
      </w:r>
      <w:r>
        <w:rPr>
          <w:rFonts w:ascii="Arial"/>
          <w:color w:val="231F20"/>
          <w:spacing w:val="31"/>
          <w:sz w:val="18"/>
        </w:rPr>
        <w:t> </w:t>
      </w:r>
      <w:r>
        <w:rPr>
          <w:rFonts w:ascii="Arial"/>
          <w:color w:val="231F20"/>
          <w:sz w:val="18"/>
        </w:rPr>
        <w:t>of</w:t>
      </w:r>
      <w:r>
        <w:rPr>
          <w:rFonts w:ascii="Arial"/>
          <w:color w:val="231F20"/>
          <w:spacing w:val="30"/>
          <w:sz w:val="18"/>
        </w:rPr>
        <w:t> </w:t>
      </w:r>
      <w:r>
        <w:rPr>
          <w:rFonts w:ascii="Arial"/>
          <w:color w:val="231F20"/>
          <w:spacing w:val="-4"/>
          <w:sz w:val="18"/>
        </w:rPr>
        <w:t>rows</w:t>
      </w:r>
    </w:p>
    <w:p>
      <w:pPr>
        <w:pStyle w:val="Heading6"/>
        <w:spacing w:before="128"/>
      </w:pPr>
      <w:r>
        <w:rPr>
          <w:color w:val="231F20"/>
          <w:spacing w:val="-2"/>
        </w:rPr>
        <w:t>SendKey</w:t>
      </w:r>
    </w:p>
    <w:p>
      <w:pPr>
        <w:pStyle w:val="BodyText"/>
        <w:spacing w:line="258" w:lineRule="exact"/>
        <w:ind w:left="3190"/>
      </w:pPr>
      <w:r>
        <w:rPr>
          <w:color w:val="231F20"/>
        </w:rPr>
        <w:t>SendKey</w:t>
      </w:r>
      <w:r>
        <w:rPr>
          <w:color w:val="231F20"/>
          <w:spacing w:val="7"/>
        </w:rPr>
        <w:t> </w:t>
      </w:r>
      <w:r>
        <w:rPr>
          <w:color w:val="231F20"/>
        </w:rPr>
        <w:t>simulates</w:t>
      </w:r>
      <w:r>
        <w:rPr>
          <w:color w:val="231F20"/>
          <w:spacing w:val="7"/>
        </w:rPr>
        <w:t> </w:t>
      </w:r>
      <w:r>
        <w:rPr>
          <w:color w:val="231F20"/>
        </w:rPr>
        <w:t>pressing</w:t>
      </w:r>
      <w:r>
        <w:rPr>
          <w:color w:val="231F20"/>
          <w:spacing w:val="7"/>
        </w:rPr>
        <w:t> </w:t>
      </w:r>
      <w:r>
        <w:rPr>
          <w:color w:val="231F20"/>
        </w:rPr>
        <w:t>the</w:t>
      </w:r>
      <w:r>
        <w:rPr>
          <w:color w:val="231F20"/>
          <w:spacing w:val="8"/>
        </w:rPr>
        <w:t> </w:t>
      </w:r>
      <w:r>
        <w:rPr>
          <w:color w:val="231F20"/>
        </w:rPr>
        <w:t>corresponding</w:t>
      </w:r>
      <w:r>
        <w:rPr>
          <w:color w:val="231F20"/>
          <w:spacing w:val="1"/>
        </w:rPr>
        <w:t> </w:t>
      </w:r>
      <w:r>
        <w:rPr>
          <w:color w:val="231F20"/>
        </w:rPr>
        <w:t>AID</w:t>
      </w:r>
      <w:r>
        <w:rPr>
          <w:color w:val="231F20"/>
          <w:spacing w:val="7"/>
        </w:rPr>
        <w:t> </w:t>
      </w:r>
      <w:r>
        <w:rPr>
          <w:color w:val="231F20"/>
          <w:spacing w:val="-4"/>
        </w:rPr>
        <w:t>key.</w:t>
      </w:r>
    </w:p>
    <w:p>
      <w:pPr>
        <w:pStyle w:val="BodyText"/>
        <w:spacing w:before="89"/>
        <w:ind w:left="3190"/>
      </w:pPr>
      <w:r>
        <w:rPr>
          <w:rFonts w:ascii="Book Antiqua"/>
          <w:b/>
          <w:color w:val="231F20"/>
        </w:rPr>
        <w:t>Parms</w:t>
      </w:r>
      <w:r>
        <w:rPr>
          <w:rFonts w:ascii="Book Antiqua"/>
          <w:b/>
          <w:color w:val="231F20"/>
          <w:spacing w:val="66"/>
          <w:w w:val="150"/>
        </w:rPr>
        <w:t> </w:t>
      </w:r>
      <w:r>
        <w:rPr>
          <w:color w:val="231F20"/>
        </w:rPr>
        <w:t>String</w:t>
      </w:r>
      <w:r>
        <w:rPr>
          <w:color w:val="231F20"/>
          <w:spacing w:val="11"/>
        </w:rPr>
        <w:t> </w:t>
      </w:r>
      <w:r>
        <w:rPr>
          <w:color w:val="231F20"/>
        </w:rPr>
        <w:t>representation</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key</w:t>
      </w:r>
      <w:r>
        <w:rPr>
          <w:color w:val="231F20"/>
          <w:spacing w:val="11"/>
        </w:rPr>
        <w:t> </w:t>
      </w:r>
      <w:r>
        <w:rPr>
          <w:color w:val="231F20"/>
        </w:rPr>
        <w:t>to</w:t>
      </w:r>
      <w:r>
        <w:rPr>
          <w:color w:val="231F20"/>
          <w:spacing w:val="11"/>
        </w:rPr>
        <w:t> </w:t>
      </w:r>
      <w:r>
        <w:rPr>
          <w:color w:val="231F20"/>
          <w:spacing w:val="-4"/>
        </w:rPr>
        <w:t>send</w:t>
      </w:r>
    </w:p>
    <w:p>
      <w:pPr>
        <w:pStyle w:val="Heading6"/>
        <w:spacing w:line="240" w:lineRule="auto" w:before="112"/>
        <w:ind w:left="3190"/>
      </w:pPr>
      <w:r>
        <w:rPr>
          <w:color w:val="231F20"/>
          <w:spacing w:val="-2"/>
        </w:rPr>
        <w:t>Return</w:t>
      </w:r>
    </w:p>
    <w:p>
      <w:pPr>
        <w:pStyle w:val="BodyText"/>
        <w:spacing w:line="213" w:lineRule="auto"/>
        <w:ind w:left="3909"/>
      </w:pPr>
      <w:r>
        <w:rPr>
          <w:color w:val="231F20"/>
        </w:rPr>
        <w:t>Returns 0 if successful, or -1 if there is an error or the terminal gets </w:t>
      </w:r>
      <w:r>
        <w:rPr>
          <w:color w:val="231F20"/>
          <w:spacing w:val="-2"/>
        </w:rPr>
        <w:t>disconnected</w:t>
      </w:r>
    </w:p>
    <w:p>
      <w:pPr>
        <w:pStyle w:val="BodyText"/>
        <w:spacing w:before="94"/>
        <w:ind w:left="3190"/>
      </w:pPr>
      <w:r>
        <w:rPr>
          <w:color w:val="231F20"/>
          <w:spacing w:val="-2"/>
        </w:rPr>
        <w:t>Example:</w:t>
      </w:r>
    </w:p>
    <w:p>
      <w:pPr>
        <w:spacing w:line="230" w:lineRule="auto" w:before="63"/>
        <w:ind w:left="3190" w:right="1712" w:firstLine="0"/>
        <w:jc w:val="left"/>
        <w:rPr>
          <w:rFonts w:ascii="Arial"/>
          <w:sz w:val="18"/>
        </w:rPr>
      </w:pPr>
      <w:r>
        <w:rPr>
          <w:rFonts w:ascii="Arial"/>
          <w:color w:val="231F20"/>
          <w:w w:val="105"/>
          <w:sz w:val="18"/>
        </w:rPr>
        <w:t>SendKey</w:t>
      </w:r>
      <w:r>
        <w:rPr>
          <w:rFonts w:ascii="Arial"/>
          <w:color w:val="231F20"/>
          <w:spacing w:val="30"/>
          <w:w w:val="110"/>
          <w:sz w:val="18"/>
        </w:rPr>
        <w:t> </w:t>
      </w:r>
      <w:r>
        <w:rPr>
          <w:rFonts w:ascii="Arial"/>
          <w:color w:val="231F20"/>
          <w:w w:val="110"/>
          <w:sz w:val="18"/>
        </w:rPr>
        <w:t>("Enter");</w:t>
      </w:r>
      <w:r>
        <w:rPr>
          <w:rFonts w:ascii="Arial"/>
          <w:color w:val="231F20"/>
          <w:w w:val="150"/>
          <w:sz w:val="18"/>
        </w:rPr>
        <w:t> //</w:t>
      </w:r>
      <w:r>
        <w:rPr>
          <w:rFonts w:ascii="Arial"/>
          <w:color w:val="231F20"/>
          <w:w w:val="150"/>
          <w:sz w:val="18"/>
        </w:rPr>
        <w:t> </w:t>
      </w:r>
      <w:r>
        <w:rPr>
          <w:rFonts w:ascii="Arial"/>
          <w:color w:val="231F20"/>
          <w:w w:val="105"/>
          <w:sz w:val="18"/>
        </w:rPr>
        <w:t>sends</w:t>
      </w:r>
      <w:r>
        <w:rPr>
          <w:rFonts w:ascii="Arial"/>
          <w:color w:val="231F20"/>
          <w:spacing w:val="30"/>
          <w:w w:val="110"/>
          <w:sz w:val="18"/>
        </w:rPr>
        <w:t> </w:t>
      </w:r>
      <w:r>
        <w:rPr>
          <w:rFonts w:ascii="Arial"/>
          <w:color w:val="231F20"/>
          <w:w w:val="110"/>
          <w:sz w:val="18"/>
        </w:rPr>
        <w:t>the</w:t>
      </w:r>
      <w:r>
        <w:rPr>
          <w:rFonts w:ascii="Arial"/>
          <w:color w:val="231F20"/>
          <w:spacing w:val="30"/>
          <w:w w:val="110"/>
          <w:sz w:val="18"/>
        </w:rPr>
        <w:t> </w:t>
      </w:r>
      <w:r>
        <w:rPr>
          <w:rFonts w:ascii="Arial"/>
          <w:color w:val="231F20"/>
          <w:w w:val="110"/>
          <w:sz w:val="18"/>
        </w:rPr>
        <w:t>Enter</w:t>
      </w:r>
      <w:r>
        <w:rPr>
          <w:rFonts w:ascii="Arial"/>
          <w:color w:val="231F20"/>
          <w:spacing w:val="30"/>
          <w:w w:val="110"/>
          <w:sz w:val="18"/>
        </w:rPr>
        <w:t> </w:t>
      </w:r>
      <w:r>
        <w:rPr>
          <w:rFonts w:ascii="Arial"/>
          <w:color w:val="231F20"/>
          <w:w w:val="110"/>
          <w:sz w:val="18"/>
        </w:rPr>
        <w:t>key.</w:t>
      </w:r>
      <w:r>
        <w:rPr>
          <w:rFonts w:ascii="Arial"/>
          <w:color w:val="231F20"/>
          <w:spacing w:val="30"/>
          <w:w w:val="110"/>
          <w:sz w:val="18"/>
        </w:rPr>
        <w:t> </w:t>
      </w:r>
      <w:r>
        <w:rPr>
          <w:rFonts w:ascii="Arial"/>
          <w:color w:val="231F20"/>
          <w:w w:val="105"/>
          <w:sz w:val="18"/>
        </w:rPr>
        <w:t>Any</w:t>
      </w:r>
      <w:r>
        <w:rPr>
          <w:rFonts w:ascii="Arial"/>
          <w:color w:val="231F20"/>
          <w:spacing w:val="30"/>
          <w:w w:val="110"/>
          <w:sz w:val="18"/>
        </w:rPr>
        <w:t> </w:t>
      </w:r>
      <w:r>
        <w:rPr>
          <w:rFonts w:ascii="Arial"/>
          <w:color w:val="231F20"/>
          <w:w w:val="110"/>
          <w:sz w:val="18"/>
        </w:rPr>
        <w:t>modified data</w:t>
      </w:r>
      <w:r>
        <w:rPr>
          <w:rFonts w:ascii="Arial"/>
          <w:color w:val="231F20"/>
          <w:spacing w:val="18"/>
          <w:w w:val="110"/>
          <w:sz w:val="18"/>
        </w:rPr>
        <w:t> </w:t>
      </w:r>
      <w:r>
        <w:rPr>
          <w:rFonts w:ascii="Arial"/>
          <w:color w:val="231F20"/>
          <w:w w:val="105"/>
          <w:sz w:val="18"/>
        </w:rPr>
        <w:t>on</w:t>
      </w:r>
      <w:r>
        <w:rPr>
          <w:rFonts w:ascii="Arial"/>
          <w:color w:val="231F20"/>
          <w:spacing w:val="18"/>
          <w:w w:val="110"/>
          <w:sz w:val="18"/>
        </w:rPr>
        <w:t> </w:t>
      </w:r>
      <w:r>
        <w:rPr>
          <w:rFonts w:ascii="Arial"/>
          <w:color w:val="231F20"/>
          <w:w w:val="110"/>
          <w:sz w:val="18"/>
        </w:rPr>
        <w:t>the</w:t>
      </w:r>
      <w:r>
        <w:rPr>
          <w:rFonts w:ascii="Arial"/>
          <w:color w:val="231F20"/>
          <w:spacing w:val="18"/>
          <w:w w:val="110"/>
          <w:sz w:val="18"/>
        </w:rPr>
        <w:t> </w:t>
      </w:r>
      <w:r>
        <w:rPr>
          <w:rFonts w:ascii="Arial"/>
          <w:color w:val="231F20"/>
          <w:w w:val="110"/>
          <w:sz w:val="18"/>
        </w:rPr>
        <w:t>screen</w:t>
      </w:r>
      <w:r>
        <w:rPr>
          <w:rFonts w:ascii="Arial"/>
          <w:color w:val="231F20"/>
          <w:w w:val="120"/>
          <w:sz w:val="18"/>
        </w:rPr>
        <w:t> will</w:t>
      </w:r>
      <w:r>
        <w:rPr>
          <w:rFonts w:ascii="Arial"/>
          <w:color w:val="231F20"/>
          <w:w w:val="120"/>
          <w:sz w:val="18"/>
        </w:rPr>
        <w:t> </w:t>
      </w:r>
      <w:r>
        <w:rPr>
          <w:rFonts w:ascii="Arial"/>
          <w:color w:val="231F20"/>
          <w:w w:val="105"/>
          <w:sz w:val="18"/>
        </w:rPr>
        <w:t>be</w:t>
      </w:r>
      <w:r>
        <w:rPr>
          <w:rFonts w:ascii="Arial"/>
          <w:color w:val="231F20"/>
          <w:spacing w:val="18"/>
          <w:w w:val="110"/>
          <w:sz w:val="18"/>
        </w:rPr>
        <w:t> </w:t>
      </w:r>
      <w:r>
        <w:rPr>
          <w:rFonts w:ascii="Arial"/>
          <w:color w:val="231F20"/>
          <w:w w:val="110"/>
          <w:sz w:val="18"/>
        </w:rPr>
        <w:t>sent</w:t>
      </w:r>
      <w:r>
        <w:rPr>
          <w:rFonts w:ascii="Arial"/>
          <w:color w:val="231F20"/>
          <w:spacing w:val="18"/>
          <w:w w:val="110"/>
          <w:sz w:val="18"/>
        </w:rPr>
        <w:t> </w:t>
      </w:r>
      <w:r>
        <w:rPr>
          <w:rFonts w:ascii="Arial"/>
          <w:color w:val="231F20"/>
          <w:w w:val="105"/>
          <w:sz w:val="18"/>
        </w:rPr>
        <w:t>as</w:t>
      </w:r>
      <w:r>
        <w:rPr>
          <w:rFonts w:ascii="Arial"/>
          <w:color w:val="231F20"/>
          <w:spacing w:val="18"/>
          <w:w w:val="110"/>
          <w:sz w:val="18"/>
        </w:rPr>
        <w:t> </w:t>
      </w:r>
      <w:r>
        <w:rPr>
          <w:rFonts w:ascii="Arial"/>
          <w:color w:val="231F20"/>
          <w:w w:val="110"/>
          <w:sz w:val="18"/>
        </w:rPr>
        <w:t>part</w:t>
      </w:r>
      <w:r>
        <w:rPr>
          <w:rFonts w:ascii="Arial"/>
          <w:color w:val="231F20"/>
          <w:spacing w:val="18"/>
          <w:w w:val="110"/>
          <w:sz w:val="18"/>
        </w:rPr>
        <w:t> </w:t>
      </w:r>
      <w:r>
        <w:rPr>
          <w:rFonts w:ascii="Arial"/>
          <w:color w:val="231F20"/>
          <w:w w:val="110"/>
          <w:sz w:val="18"/>
        </w:rPr>
        <w:t>of</w:t>
      </w:r>
      <w:r>
        <w:rPr>
          <w:rFonts w:ascii="Arial"/>
          <w:color w:val="231F20"/>
          <w:spacing w:val="18"/>
          <w:w w:val="110"/>
          <w:sz w:val="18"/>
        </w:rPr>
        <w:t> </w:t>
      </w:r>
      <w:r>
        <w:rPr>
          <w:rFonts w:ascii="Arial"/>
          <w:color w:val="231F20"/>
          <w:w w:val="110"/>
          <w:sz w:val="18"/>
        </w:rPr>
        <w:t>the</w:t>
      </w:r>
      <w:r>
        <w:rPr>
          <w:rFonts w:ascii="Arial"/>
          <w:color w:val="231F20"/>
          <w:spacing w:val="18"/>
          <w:w w:val="110"/>
          <w:sz w:val="18"/>
        </w:rPr>
        <w:t> </w:t>
      </w:r>
      <w:r>
        <w:rPr>
          <w:rFonts w:ascii="Arial"/>
          <w:color w:val="231F20"/>
          <w:w w:val="110"/>
          <w:sz w:val="18"/>
        </w:rPr>
        <w:t>data</w:t>
      </w:r>
      <w:r>
        <w:rPr>
          <w:rFonts w:ascii="Arial"/>
          <w:color w:val="231F20"/>
          <w:spacing w:val="18"/>
          <w:w w:val="110"/>
          <w:sz w:val="18"/>
        </w:rPr>
        <w:t> </w:t>
      </w:r>
      <w:r>
        <w:rPr>
          <w:rFonts w:ascii="Arial"/>
          <w:color w:val="231F20"/>
          <w:w w:val="110"/>
          <w:sz w:val="18"/>
        </w:rPr>
        <w:t>stream.</w:t>
      </w:r>
    </w:p>
    <w:p>
      <w:pPr>
        <w:pStyle w:val="BodyText"/>
        <w:spacing w:before="21"/>
        <w:rPr>
          <w:rFonts w:ascii="Arial"/>
          <w:sz w:val="18"/>
        </w:rPr>
      </w:pPr>
    </w:p>
    <w:p>
      <w:pPr>
        <w:pStyle w:val="BodyText"/>
        <w:ind w:left="3190"/>
      </w:pPr>
      <w:r>
        <w:rPr>
          <w:color w:val="231F20"/>
        </w:rPr>
        <w:t>The</w:t>
      </w:r>
      <w:r>
        <w:rPr>
          <w:color w:val="231F20"/>
          <w:spacing w:val="11"/>
        </w:rPr>
        <w:t> </w:t>
      </w:r>
      <w:r>
        <w:rPr>
          <w:color w:val="231F20"/>
        </w:rPr>
        <w:t>following</w:t>
      </w:r>
      <w:r>
        <w:rPr>
          <w:color w:val="231F20"/>
          <w:spacing w:val="11"/>
        </w:rPr>
        <w:t> </w:t>
      </w:r>
      <w:r>
        <w:rPr>
          <w:color w:val="231F20"/>
        </w:rPr>
        <w:t>values</w:t>
      </w:r>
      <w:r>
        <w:rPr>
          <w:color w:val="231F20"/>
          <w:spacing w:val="12"/>
        </w:rPr>
        <w:t> </w:t>
      </w:r>
      <w:r>
        <w:rPr>
          <w:color w:val="231F20"/>
        </w:rPr>
        <w:t>can</w:t>
      </w:r>
      <w:r>
        <w:rPr>
          <w:color w:val="231F20"/>
          <w:spacing w:val="11"/>
        </w:rPr>
        <w:t> </w:t>
      </w:r>
      <w:r>
        <w:rPr>
          <w:color w:val="231F20"/>
        </w:rPr>
        <w:t>be</w:t>
      </w:r>
      <w:r>
        <w:rPr>
          <w:color w:val="231F20"/>
          <w:spacing w:val="12"/>
        </w:rPr>
        <w:t> </w:t>
      </w:r>
      <w:r>
        <w:rPr>
          <w:color w:val="231F20"/>
          <w:spacing w:val="-2"/>
        </w:rPr>
        <w:t>specified:</w:t>
      </w:r>
    </w:p>
    <w:p>
      <w:pPr>
        <w:pStyle w:val="Heading6"/>
        <w:spacing w:line="240" w:lineRule="auto" w:before="111"/>
        <w:ind w:left="3190"/>
      </w:pPr>
      <w:r>
        <w:rPr>
          <w:color w:val="231F20"/>
          <w:spacing w:val="-2"/>
        </w:rPr>
        <w:t>ENTER</w:t>
      </w:r>
    </w:p>
    <w:p>
      <w:pPr>
        <w:spacing w:after="0" w:line="240" w:lineRule="auto"/>
        <w:sectPr>
          <w:type w:val="continuous"/>
          <w:pgSz w:w="12240" w:h="15840"/>
          <w:pgMar w:header="0" w:footer="736" w:top="0" w:bottom="4660" w:left="1000" w:right="1060"/>
        </w:sectPr>
      </w:pPr>
    </w:p>
    <w:p>
      <w:pPr>
        <w:pStyle w:val="BodyText"/>
        <w:rPr>
          <w:rFonts w:ascii="Book Antiqua"/>
          <w:b/>
        </w:rPr>
      </w:pPr>
    </w:p>
    <w:p>
      <w:pPr>
        <w:pStyle w:val="BodyText"/>
        <w:spacing w:before="115"/>
        <w:rPr>
          <w:rFonts w:ascii="Book Antiqua"/>
          <w:b/>
        </w:rPr>
      </w:pPr>
    </w:p>
    <w:p>
      <w:pPr>
        <w:spacing w:line="595" w:lineRule="auto" w:before="0"/>
        <w:ind w:left="3190" w:right="0" w:firstLine="0"/>
        <w:jc w:val="right"/>
        <w:rPr>
          <w:rFonts w:ascii="Book Antiqua"/>
          <w:b/>
          <w:sz w:val="20"/>
        </w:rPr>
      </w:pPr>
      <w:r>
        <w:rPr>
          <w:rFonts w:ascii="Book Antiqua"/>
          <w:b/>
          <w:color w:val="231F20"/>
          <w:spacing w:val="-2"/>
          <w:sz w:val="20"/>
        </w:rPr>
        <w:t>RESET CLEAR</w:t>
      </w:r>
    </w:p>
    <w:p>
      <w:pPr>
        <w:pStyle w:val="BodyText"/>
        <w:spacing w:line="213" w:lineRule="auto"/>
        <w:ind w:right="489"/>
      </w:pPr>
      <w:r>
        <w:rPr/>
        <w:br w:type="column"/>
      </w:r>
      <w:r>
        <w:rPr>
          <w:color w:val="231F20"/>
        </w:rPr>
        <w:t>Enter key. Sends the modified data, cursor location and the </w:t>
      </w:r>
      <w:r>
        <w:rPr>
          <w:color w:val="231F20"/>
        </w:rPr>
        <w:t>AID </w:t>
      </w:r>
      <w:r>
        <w:rPr>
          <w:color w:val="231F20"/>
          <w:spacing w:val="-4"/>
        </w:rPr>
        <w:t>key.</w:t>
      </w:r>
    </w:p>
    <w:p>
      <w:pPr>
        <w:pStyle w:val="BodyText"/>
        <w:spacing w:line="600" w:lineRule="atLeast" w:before="5"/>
        <w:ind w:right="752"/>
      </w:pPr>
      <w:r>
        <w:rPr>
          <w:color w:val="231F20"/>
        </w:rPr>
        <w:t>Resets and unlocks the keyboard. No data is sent to the </w:t>
      </w:r>
      <w:r>
        <w:rPr>
          <w:color w:val="231F20"/>
        </w:rPr>
        <w:t>host. Sends the CLEAR Aid key. Only the Aid key is sent.</w:t>
      </w:r>
    </w:p>
    <w:p>
      <w:pPr>
        <w:spacing w:after="0" w:line="600" w:lineRule="atLeast"/>
        <w:sectPr>
          <w:type w:val="continuous"/>
          <w:pgSz w:w="12240" w:h="15840"/>
          <w:pgMar w:header="0" w:footer="736" w:top="0" w:bottom="4660" w:left="1000" w:right="1060"/>
          <w:cols w:num="2" w:equalWidth="0">
            <w:col w:w="3879" w:space="31"/>
            <w:col w:w="6270"/>
          </w:cols>
        </w:sectPr>
      </w:pPr>
    </w:p>
    <w:p>
      <w:pPr>
        <w:pStyle w:val="Heading6"/>
        <w:spacing w:before="2"/>
        <w:ind w:left="3190"/>
      </w:pPr>
      <w:r>
        <w:rPr>
          <w:color w:val="231F20"/>
          <w:spacing w:val="-2"/>
        </w:rPr>
        <w:t>SYS_REQ</w:t>
      </w:r>
    </w:p>
    <w:p>
      <w:pPr>
        <w:pStyle w:val="BodyText"/>
        <w:spacing w:line="258" w:lineRule="exact"/>
        <w:ind w:left="425"/>
        <w:jc w:val="center"/>
      </w:pPr>
      <w:r>
        <w:rPr>
          <w:color w:val="231F20"/>
        </w:rPr>
        <w:t>Sends</w:t>
      </w:r>
      <w:r>
        <w:rPr>
          <w:color w:val="231F20"/>
          <w:spacing w:val="10"/>
        </w:rPr>
        <w:t> </w:t>
      </w:r>
      <w:r>
        <w:rPr>
          <w:color w:val="231F20"/>
        </w:rPr>
        <w:t>the</w:t>
      </w:r>
      <w:r>
        <w:rPr>
          <w:color w:val="231F20"/>
          <w:spacing w:val="10"/>
        </w:rPr>
        <w:t> </w:t>
      </w:r>
      <w:r>
        <w:rPr>
          <w:color w:val="231F20"/>
        </w:rPr>
        <w:t>System</w:t>
      </w:r>
      <w:r>
        <w:rPr>
          <w:color w:val="231F20"/>
          <w:spacing w:val="11"/>
        </w:rPr>
        <w:t> </w:t>
      </w:r>
      <w:r>
        <w:rPr>
          <w:color w:val="231F20"/>
        </w:rPr>
        <w:t>Request</w:t>
      </w:r>
      <w:r>
        <w:rPr>
          <w:color w:val="231F20"/>
          <w:spacing w:val="4"/>
        </w:rPr>
        <w:t> </w:t>
      </w:r>
      <w:r>
        <w:rPr>
          <w:color w:val="231F20"/>
          <w:spacing w:val="-4"/>
        </w:rPr>
        <w:t>Aid.</w:t>
      </w:r>
    </w:p>
    <w:p>
      <w:pPr>
        <w:pStyle w:val="Heading6"/>
        <w:spacing w:before="111"/>
        <w:ind w:left="3190"/>
      </w:pPr>
      <w:r>
        <w:rPr>
          <w:color w:val="231F20"/>
          <w:spacing w:val="-2"/>
        </w:rPr>
        <w:t>ERASE_EOF</w:t>
      </w:r>
    </w:p>
    <w:p>
      <w:pPr>
        <w:pStyle w:val="BodyText"/>
        <w:spacing w:line="213" w:lineRule="auto" w:before="11"/>
        <w:ind w:left="3909" w:right="379"/>
      </w:pPr>
      <w:r>
        <w:rPr>
          <w:color w:val="231F20"/>
        </w:rPr>
        <w:t>Clears the Unprotected fields from the current cursor location to</w:t>
      </w:r>
      <w:r>
        <w:rPr>
          <w:color w:val="231F20"/>
          <w:spacing w:val="40"/>
        </w:rPr>
        <w:t> </w:t>
      </w:r>
      <w:r>
        <w:rPr>
          <w:color w:val="231F20"/>
        </w:rPr>
        <w:t>the end of screen. No data is transmitted to the host.The fields </w:t>
      </w:r>
      <w:r>
        <w:rPr>
          <w:color w:val="231F20"/>
        </w:rPr>
        <w:t>are set to nulls.</w:t>
      </w:r>
    </w:p>
    <w:p>
      <w:pPr>
        <w:pStyle w:val="Heading6"/>
        <w:ind w:left="3190"/>
      </w:pPr>
      <w:r>
        <w:rPr>
          <w:color w:val="231F20"/>
          <w:spacing w:val="-2"/>
        </w:rPr>
        <w:t>ERASE_INPUT</w:t>
      </w:r>
    </w:p>
    <w:p>
      <w:pPr>
        <w:pStyle w:val="BodyText"/>
        <w:spacing w:line="258" w:lineRule="exact"/>
        <w:ind w:left="506"/>
        <w:jc w:val="center"/>
      </w:pPr>
      <w:r>
        <w:rPr>
          <w:color w:val="231F20"/>
        </w:rPr>
        <w:t>Clears</w:t>
      </w:r>
      <w:r>
        <w:rPr>
          <w:color w:val="231F20"/>
          <w:spacing w:val="11"/>
        </w:rPr>
        <w:t> </w:t>
      </w:r>
      <w:r>
        <w:rPr>
          <w:color w:val="231F20"/>
        </w:rPr>
        <w:t>the</w:t>
      </w:r>
      <w:r>
        <w:rPr>
          <w:color w:val="231F20"/>
          <w:spacing w:val="11"/>
        </w:rPr>
        <w:t> </w:t>
      </w:r>
      <w:r>
        <w:rPr>
          <w:color w:val="231F20"/>
        </w:rPr>
        <w:t>current</w:t>
      </w:r>
      <w:r>
        <w:rPr>
          <w:color w:val="231F20"/>
          <w:spacing w:val="11"/>
        </w:rPr>
        <w:t> </w:t>
      </w:r>
      <w:r>
        <w:rPr>
          <w:color w:val="231F20"/>
        </w:rPr>
        <w:t>field</w:t>
      </w:r>
      <w:r>
        <w:rPr>
          <w:color w:val="231F20"/>
          <w:spacing w:val="11"/>
        </w:rPr>
        <w:t> </w:t>
      </w:r>
      <w:r>
        <w:rPr>
          <w:color w:val="231F20"/>
        </w:rPr>
        <w:t>to</w:t>
      </w:r>
      <w:r>
        <w:rPr>
          <w:color w:val="231F20"/>
          <w:spacing w:val="11"/>
        </w:rPr>
        <w:t> </w:t>
      </w:r>
      <w:r>
        <w:rPr>
          <w:color w:val="231F20"/>
          <w:spacing w:val="-2"/>
        </w:rPr>
        <w:t>nulls.</w:t>
      </w:r>
    </w:p>
    <w:p>
      <w:pPr>
        <w:pStyle w:val="Heading6"/>
        <w:spacing w:before="111"/>
        <w:ind w:left="3190"/>
      </w:pPr>
      <w:r>
        <w:rPr>
          <w:color w:val="231F20"/>
          <w:spacing w:val="-2"/>
        </w:rPr>
        <w:t>FIELD_MARK</w:t>
      </w:r>
    </w:p>
    <w:p>
      <w:pPr>
        <w:pStyle w:val="BodyText"/>
        <w:spacing w:line="258" w:lineRule="exact"/>
        <w:ind w:left="596"/>
        <w:jc w:val="center"/>
      </w:pPr>
      <w:r>
        <w:rPr>
          <w:color w:val="231F20"/>
        </w:rPr>
        <w:t>Transmits</w:t>
      </w:r>
      <w:r>
        <w:rPr>
          <w:color w:val="231F20"/>
          <w:spacing w:val="5"/>
        </w:rPr>
        <w:t> </w:t>
      </w:r>
      <w:r>
        <w:rPr>
          <w:color w:val="231F20"/>
        </w:rPr>
        <w:t>the</w:t>
      </w:r>
      <w:r>
        <w:rPr>
          <w:color w:val="231F20"/>
          <w:spacing w:val="6"/>
        </w:rPr>
        <w:t> </w:t>
      </w:r>
      <w:r>
        <w:rPr>
          <w:color w:val="231F20"/>
        </w:rPr>
        <w:t>FieldMark</w:t>
      </w:r>
      <w:r>
        <w:rPr>
          <w:color w:val="231F20"/>
          <w:spacing w:val="5"/>
        </w:rPr>
        <w:t> </w:t>
      </w:r>
      <w:r>
        <w:rPr>
          <w:color w:val="231F20"/>
        </w:rPr>
        <w:t>aid</w:t>
      </w:r>
      <w:r>
        <w:rPr>
          <w:color w:val="231F20"/>
          <w:spacing w:val="6"/>
        </w:rPr>
        <w:t> </w:t>
      </w:r>
      <w:r>
        <w:rPr>
          <w:color w:val="231F20"/>
          <w:spacing w:val="-4"/>
        </w:rPr>
        <w:t>key.</w:t>
      </w:r>
    </w:p>
    <w:p>
      <w:pPr>
        <w:pStyle w:val="Heading6"/>
        <w:spacing w:before="111"/>
        <w:ind w:left="3190"/>
      </w:pPr>
      <w:r>
        <w:rPr>
          <w:color w:val="231F20"/>
          <w:spacing w:val="-4"/>
        </w:rPr>
        <w:t>HOME</w:t>
      </w:r>
    </w:p>
    <w:p>
      <w:pPr>
        <w:pStyle w:val="BodyText"/>
        <w:spacing w:line="258" w:lineRule="exact"/>
        <w:ind w:left="3909"/>
      </w:pPr>
      <w:r>
        <w:rPr>
          <w:color w:val="231F20"/>
        </w:rPr>
        <w:t>Puts</w:t>
      </w:r>
      <w:r>
        <w:rPr>
          <w:color w:val="231F20"/>
          <w:spacing w:val="11"/>
        </w:rPr>
        <w:t> </w:t>
      </w:r>
      <w:r>
        <w:rPr>
          <w:color w:val="231F20"/>
        </w:rPr>
        <w:t>the</w:t>
      </w:r>
      <w:r>
        <w:rPr>
          <w:color w:val="231F20"/>
          <w:spacing w:val="12"/>
        </w:rPr>
        <w:t> </w:t>
      </w:r>
      <w:r>
        <w:rPr>
          <w:color w:val="231F20"/>
        </w:rPr>
        <w:t>cursor</w:t>
      </w:r>
      <w:r>
        <w:rPr>
          <w:color w:val="231F20"/>
          <w:spacing w:val="11"/>
        </w:rPr>
        <w:t> </w:t>
      </w:r>
      <w:r>
        <w:rPr>
          <w:color w:val="231F20"/>
        </w:rPr>
        <w:t>at</w:t>
      </w:r>
      <w:r>
        <w:rPr>
          <w:color w:val="231F20"/>
          <w:spacing w:val="12"/>
        </w:rPr>
        <w:t> </w:t>
      </w:r>
      <w:r>
        <w:rPr>
          <w:color w:val="231F20"/>
        </w:rPr>
        <w:t>the</w:t>
      </w:r>
      <w:r>
        <w:rPr>
          <w:color w:val="231F20"/>
          <w:spacing w:val="11"/>
        </w:rPr>
        <w:t> </w:t>
      </w:r>
      <w:r>
        <w:rPr>
          <w:color w:val="231F20"/>
        </w:rPr>
        <w:t>first</w:t>
      </w:r>
      <w:r>
        <w:rPr>
          <w:color w:val="231F20"/>
          <w:spacing w:val="12"/>
        </w:rPr>
        <w:t> </w:t>
      </w:r>
      <w:r>
        <w:rPr>
          <w:color w:val="231F20"/>
        </w:rPr>
        <w:t>unprotected</w:t>
      </w:r>
      <w:r>
        <w:rPr>
          <w:color w:val="231F20"/>
          <w:spacing w:val="12"/>
        </w:rPr>
        <w:t> </w:t>
      </w:r>
      <w:r>
        <w:rPr>
          <w:color w:val="231F20"/>
        </w:rPr>
        <w:t>field</w:t>
      </w:r>
      <w:r>
        <w:rPr>
          <w:color w:val="231F20"/>
          <w:spacing w:val="11"/>
        </w:rPr>
        <w:t> </w:t>
      </w:r>
      <w:r>
        <w:rPr>
          <w:color w:val="231F20"/>
        </w:rPr>
        <w:t>on</w:t>
      </w:r>
      <w:r>
        <w:rPr>
          <w:color w:val="231F20"/>
          <w:spacing w:val="12"/>
        </w:rPr>
        <w:t> </w:t>
      </w:r>
      <w:r>
        <w:rPr>
          <w:color w:val="231F20"/>
        </w:rPr>
        <w:t>the</w:t>
      </w:r>
      <w:r>
        <w:rPr>
          <w:color w:val="231F20"/>
          <w:spacing w:val="11"/>
        </w:rPr>
        <w:t> </w:t>
      </w:r>
      <w:r>
        <w:rPr>
          <w:color w:val="231F20"/>
          <w:spacing w:val="-2"/>
        </w:rPr>
        <w:t>screen.</w:t>
      </w:r>
    </w:p>
    <w:p>
      <w:pPr>
        <w:pStyle w:val="BodyText"/>
        <w:tabs>
          <w:tab w:pos="3909" w:val="left" w:leader="none"/>
        </w:tabs>
        <w:spacing w:before="90"/>
        <w:ind w:left="3190"/>
      </w:pPr>
      <w:r>
        <w:rPr>
          <w:rFonts w:ascii="Book Antiqua"/>
          <w:b/>
          <w:color w:val="231F20"/>
          <w:spacing w:val="-5"/>
        </w:rPr>
        <w:t>TAB</w:t>
      </w:r>
      <w:r>
        <w:rPr>
          <w:rFonts w:ascii="Book Antiqua"/>
          <w:b/>
          <w:color w:val="231F20"/>
        </w:rPr>
        <w:tab/>
      </w:r>
      <w:r>
        <w:rPr>
          <w:color w:val="231F20"/>
        </w:rPr>
        <w:t>Places</w:t>
      </w:r>
      <w:r>
        <w:rPr>
          <w:color w:val="231F20"/>
          <w:spacing w:val="10"/>
        </w:rPr>
        <w:t> </w:t>
      </w:r>
      <w:r>
        <w:rPr>
          <w:color w:val="231F20"/>
        </w:rPr>
        <w:t>the</w:t>
      </w:r>
      <w:r>
        <w:rPr>
          <w:color w:val="231F20"/>
          <w:spacing w:val="11"/>
        </w:rPr>
        <w:t> </w:t>
      </w:r>
      <w:r>
        <w:rPr>
          <w:color w:val="231F20"/>
        </w:rPr>
        <w:t>cursor</w:t>
      </w:r>
      <w:r>
        <w:rPr>
          <w:color w:val="231F20"/>
          <w:spacing w:val="11"/>
        </w:rPr>
        <w:t> </w:t>
      </w:r>
      <w:r>
        <w:rPr>
          <w:color w:val="231F20"/>
        </w:rPr>
        <w:t>at</w:t>
      </w:r>
      <w:r>
        <w:rPr>
          <w:color w:val="231F20"/>
          <w:spacing w:val="10"/>
        </w:rPr>
        <w:t> </w:t>
      </w:r>
      <w:r>
        <w:rPr>
          <w:color w:val="231F20"/>
        </w:rPr>
        <w:t>the</w:t>
      </w:r>
      <w:r>
        <w:rPr>
          <w:color w:val="231F20"/>
          <w:spacing w:val="11"/>
        </w:rPr>
        <w:t> </w:t>
      </w:r>
      <w:r>
        <w:rPr>
          <w:color w:val="231F20"/>
        </w:rPr>
        <w:t>next</w:t>
      </w:r>
      <w:r>
        <w:rPr>
          <w:color w:val="231F20"/>
          <w:spacing w:val="11"/>
        </w:rPr>
        <w:t> </w:t>
      </w:r>
      <w:r>
        <w:rPr>
          <w:color w:val="231F20"/>
        </w:rPr>
        <w:t>unprotected</w:t>
      </w:r>
      <w:r>
        <w:rPr>
          <w:color w:val="231F20"/>
          <w:spacing w:val="11"/>
        </w:rPr>
        <w:t> </w:t>
      </w:r>
      <w:r>
        <w:rPr>
          <w:color w:val="231F20"/>
          <w:spacing w:val="-2"/>
        </w:rPr>
        <w:t>field.</w:t>
      </w:r>
    </w:p>
    <w:p>
      <w:pPr>
        <w:pStyle w:val="Heading6"/>
        <w:spacing w:line="240" w:lineRule="auto" w:before="111"/>
        <w:ind w:left="3190"/>
      </w:pPr>
      <w:r>
        <w:rPr>
          <w:color w:val="231F20"/>
        </w:rPr>
        <w:t>PA1,</w:t>
      </w:r>
      <w:r>
        <w:rPr>
          <w:color w:val="231F20"/>
          <w:spacing w:val="-4"/>
        </w:rPr>
        <w:t> </w:t>
      </w:r>
      <w:r>
        <w:rPr>
          <w:color w:val="231F20"/>
        </w:rPr>
        <w:t>PA2,</w:t>
      </w:r>
      <w:r>
        <w:rPr>
          <w:color w:val="231F20"/>
          <w:spacing w:val="-3"/>
        </w:rPr>
        <w:t> </w:t>
      </w:r>
      <w:r>
        <w:rPr>
          <w:color w:val="231F20"/>
          <w:spacing w:val="-5"/>
        </w:rPr>
        <w:t>PA3</w:t>
      </w:r>
    </w:p>
    <w:p>
      <w:pPr>
        <w:spacing w:before="118"/>
        <w:ind w:left="3190" w:right="0" w:firstLine="0"/>
        <w:jc w:val="left"/>
        <w:rPr>
          <w:rFonts w:ascii="Book Antiqua"/>
          <w:b/>
          <w:sz w:val="20"/>
        </w:rPr>
      </w:pPr>
      <w:r>
        <w:rPr>
          <w:rFonts w:ascii="Book Antiqua"/>
          <w:b/>
          <w:color w:val="231F20"/>
          <w:sz w:val="20"/>
        </w:rPr>
        <w:t>F1</w:t>
      </w:r>
      <w:r>
        <w:rPr>
          <w:rFonts w:ascii="Book Antiqua"/>
          <w:b/>
          <w:color w:val="231F20"/>
          <w:spacing w:val="11"/>
          <w:sz w:val="20"/>
        </w:rPr>
        <w:t> </w:t>
      </w:r>
      <w:r>
        <w:rPr>
          <w:rFonts w:ascii="Book Antiqua"/>
          <w:b/>
          <w:color w:val="231F20"/>
          <w:sz w:val="20"/>
        </w:rPr>
        <w:t>through</w:t>
      </w:r>
      <w:r>
        <w:rPr>
          <w:rFonts w:ascii="Book Antiqua"/>
          <w:b/>
          <w:color w:val="231F20"/>
          <w:spacing w:val="11"/>
          <w:sz w:val="20"/>
        </w:rPr>
        <w:t> </w:t>
      </w:r>
      <w:r>
        <w:rPr>
          <w:rFonts w:ascii="Book Antiqua"/>
          <w:b/>
          <w:color w:val="231F20"/>
          <w:spacing w:val="-5"/>
          <w:sz w:val="20"/>
        </w:rPr>
        <w:t>F24</w:t>
      </w:r>
    </w:p>
    <w:p>
      <w:pPr>
        <w:pStyle w:val="BodyText"/>
        <w:spacing w:before="96"/>
        <w:ind w:left="3190"/>
      </w:pPr>
      <w:r>
        <w:rPr>
          <w:color w:val="231F20"/>
        </w:rPr>
        <w:t>The</w:t>
      </w:r>
      <w:r>
        <w:rPr>
          <w:color w:val="231F20"/>
          <w:spacing w:val="10"/>
        </w:rPr>
        <w:t> </w:t>
      </w:r>
      <w:r>
        <w:rPr>
          <w:color w:val="231F20"/>
        </w:rPr>
        <w:t>following</w:t>
      </w:r>
      <w:r>
        <w:rPr>
          <w:color w:val="231F20"/>
          <w:spacing w:val="11"/>
        </w:rPr>
        <w:t> </w:t>
      </w:r>
      <w:r>
        <w:rPr>
          <w:color w:val="231F20"/>
        </w:rPr>
        <w:t>special</w:t>
      </w:r>
      <w:r>
        <w:rPr>
          <w:color w:val="231F20"/>
          <w:spacing w:val="11"/>
        </w:rPr>
        <w:t> </w:t>
      </w:r>
      <w:r>
        <w:rPr>
          <w:color w:val="231F20"/>
        </w:rPr>
        <w:t>keys</w:t>
      </w:r>
      <w:r>
        <w:rPr>
          <w:color w:val="231F20"/>
          <w:spacing w:val="10"/>
        </w:rPr>
        <w:t> </w:t>
      </w:r>
      <w:r>
        <w:rPr>
          <w:color w:val="231F20"/>
        </w:rPr>
        <w:t>position</w:t>
      </w:r>
      <w:r>
        <w:rPr>
          <w:color w:val="231F20"/>
          <w:spacing w:val="11"/>
        </w:rPr>
        <w:t> </w:t>
      </w:r>
      <w:r>
        <w:rPr>
          <w:color w:val="231F20"/>
        </w:rPr>
        <w:t>the</w:t>
      </w:r>
      <w:r>
        <w:rPr>
          <w:color w:val="231F20"/>
          <w:spacing w:val="11"/>
        </w:rPr>
        <w:t> </w:t>
      </w:r>
      <w:r>
        <w:rPr>
          <w:color w:val="231F20"/>
          <w:spacing w:val="-2"/>
        </w:rPr>
        <w:t>cursor:</w:t>
      </w:r>
    </w:p>
    <w:p>
      <w:pPr>
        <w:pStyle w:val="Heading6"/>
        <w:spacing w:line="240" w:lineRule="auto" w:before="111"/>
        <w:ind w:left="3190"/>
      </w:pPr>
      <w:r>
        <w:rPr>
          <w:color w:val="231F20"/>
          <w:spacing w:val="-4"/>
        </w:rPr>
        <w:t>HOME</w:t>
      </w:r>
    </w:p>
    <w:p>
      <w:pPr>
        <w:pStyle w:val="BodyText"/>
        <w:spacing w:line="247" w:lineRule="exact"/>
        <w:ind w:left="3909"/>
      </w:pPr>
      <w:r>
        <w:rPr>
          <w:color w:val="231F20"/>
        </w:rPr>
        <w:t>Puts</w:t>
      </w:r>
      <w:r>
        <w:rPr>
          <w:color w:val="231F20"/>
          <w:spacing w:val="11"/>
        </w:rPr>
        <w:t> </w:t>
      </w:r>
      <w:r>
        <w:rPr>
          <w:color w:val="231F20"/>
        </w:rPr>
        <w:t>the</w:t>
      </w:r>
      <w:r>
        <w:rPr>
          <w:color w:val="231F20"/>
          <w:spacing w:val="12"/>
        </w:rPr>
        <w:t> </w:t>
      </w:r>
      <w:r>
        <w:rPr>
          <w:color w:val="231F20"/>
        </w:rPr>
        <w:t>cursor</w:t>
      </w:r>
      <w:r>
        <w:rPr>
          <w:color w:val="231F20"/>
          <w:spacing w:val="11"/>
        </w:rPr>
        <w:t> </w:t>
      </w:r>
      <w:r>
        <w:rPr>
          <w:color w:val="231F20"/>
        </w:rPr>
        <w:t>at</w:t>
      </w:r>
      <w:r>
        <w:rPr>
          <w:color w:val="231F20"/>
          <w:spacing w:val="12"/>
        </w:rPr>
        <w:t> </w:t>
      </w:r>
      <w:r>
        <w:rPr>
          <w:color w:val="231F20"/>
        </w:rPr>
        <w:t>the</w:t>
      </w:r>
      <w:r>
        <w:rPr>
          <w:color w:val="231F20"/>
          <w:spacing w:val="11"/>
        </w:rPr>
        <w:t> </w:t>
      </w:r>
      <w:r>
        <w:rPr>
          <w:color w:val="231F20"/>
        </w:rPr>
        <w:t>first</w:t>
      </w:r>
      <w:r>
        <w:rPr>
          <w:color w:val="231F20"/>
          <w:spacing w:val="12"/>
        </w:rPr>
        <w:t> </w:t>
      </w:r>
      <w:r>
        <w:rPr>
          <w:color w:val="231F20"/>
        </w:rPr>
        <w:t>unprotected</w:t>
      </w:r>
      <w:r>
        <w:rPr>
          <w:color w:val="231F20"/>
          <w:spacing w:val="12"/>
        </w:rPr>
        <w:t> </w:t>
      </w:r>
      <w:r>
        <w:rPr>
          <w:color w:val="231F20"/>
        </w:rPr>
        <w:t>field</w:t>
      </w:r>
      <w:r>
        <w:rPr>
          <w:color w:val="231F20"/>
          <w:spacing w:val="11"/>
        </w:rPr>
        <w:t> </w:t>
      </w:r>
      <w:r>
        <w:rPr>
          <w:color w:val="231F20"/>
        </w:rPr>
        <w:t>on</w:t>
      </w:r>
      <w:r>
        <w:rPr>
          <w:color w:val="231F20"/>
          <w:spacing w:val="12"/>
        </w:rPr>
        <w:t> </w:t>
      </w:r>
      <w:r>
        <w:rPr>
          <w:color w:val="231F20"/>
        </w:rPr>
        <w:t>the</w:t>
      </w:r>
      <w:r>
        <w:rPr>
          <w:color w:val="231F20"/>
          <w:spacing w:val="11"/>
        </w:rPr>
        <w:t> </w:t>
      </w:r>
      <w:r>
        <w:rPr>
          <w:color w:val="231F20"/>
          <w:spacing w:val="-2"/>
        </w:rPr>
        <w:t>screen.</w:t>
      </w:r>
    </w:p>
    <w:p>
      <w:pPr>
        <w:pStyle w:val="BodyText"/>
        <w:tabs>
          <w:tab w:pos="3909" w:val="left" w:leader="none"/>
        </w:tabs>
        <w:spacing w:before="89"/>
        <w:ind w:left="3190"/>
      </w:pPr>
      <w:r>
        <w:rPr>
          <w:rFonts w:ascii="Book Antiqua"/>
          <w:b/>
          <w:color w:val="231F20"/>
          <w:spacing w:val="-5"/>
        </w:rPr>
        <w:t>TAB</w:t>
      </w:r>
      <w:r>
        <w:rPr>
          <w:rFonts w:ascii="Book Antiqua"/>
          <w:b/>
          <w:color w:val="231F20"/>
        </w:rPr>
        <w:tab/>
      </w:r>
      <w:r>
        <w:rPr>
          <w:color w:val="231F20"/>
        </w:rPr>
        <w:t>Places</w:t>
      </w:r>
      <w:r>
        <w:rPr>
          <w:color w:val="231F20"/>
          <w:spacing w:val="10"/>
        </w:rPr>
        <w:t> </w:t>
      </w:r>
      <w:r>
        <w:rPr>
          <w:color w:val="231F20"/>
        </w:rPr>
        <w:t>the</w:t>
      </w:r>
      <w:r>
        <w:rPr>
          <w:color w:val="231F20"/>
          <w:spacing w:val="11"/>
        </w:rPr>
        <w:t> </w:t>
      </w:r>
      <w:r>
        <w:rPr>
          <w:color w:val="231F20"/>
        </w:rPr>
        <w:t>cursor</w:t>
      </w:r>
      <w:r>
        <w:rPr>
          <w:color w:val="231F20"/>
          <w:spacing w:val="11"/>
        </w:rPr>
        <w:t> </w:t>
      </w:r>
      <w:r>
        <w:rPr>
          <w:color w:val="231F20"/>
        </w:rPr>
        <w:t>at</w:t>
      </w:r>
      <w:r>
        <w:rPr>
          <w:color w:val="231F20"/>
          <w:spacing w:val="10"/>
        </w:rPr>
        <w:t> </w:t>
      </w:r>
      <w:r>
        <w:rPr>
          <w:color w:val="231F20"/>
        </w:rPr>
        <w:t>the</w:t>
      </w:r>
      <w:r>
        <w:rPr>
          <w:color w:val="231F20"/>
          <w:spacing w:val="11"/>
        </w:rPr>
        <w:t> </w:t>
      </w:r>
      <w:r>
        <w:rPr>
          <w:color w:val="231F20"/>
        </w:rPr>
        <w:t>next</w:t>
      </w:r>
      <w:r>
        <w:rPr>
          <w:color w:val="231F20"/>
          <w:spacing w:val="11"/>
        </w:rPr>
        <w:t> </w:t>
      </w:r>
      <w:r>
        <w:rPr>
          <w:color w:val="231F20"/>
        </w:rPr>
        <w:t>unprotected</w:t>
      </w:r>
      <w:r>
        <w:rPr>
          <w:color w:val="231F20"/>
          <w:spacing w:val="11"/>
        </w:rPr>
        <w:t> </w:t>
      </w:r>
      <w:r>
        <w:rPr>
          <w:color w:val="231F20"/>
          <w:spacing w:val="-2"/>
        </w:rPr>
        <w:t>field.</w:t>
      </w:r>
    </w:p>
    <w:p>
      <w:pPr>
        <w:pStyle w:val="BodyText"/>
        <w:spacing w:line="213" w:lineRule="auto" w:before="232"/>
        <w:ind w:left="3190" w:right="385"/>
      </w:pPr>
      <w:r>
        <w:rPr>
          <w:rFonts w:ascii="Book Antiqua"/>
          <w:b/>
          <w:color w:val="231F20"/>
        </w:rPr>
        <w:t>Note:</w:t>
      </w:r>
      <w:r>
        <w:rPr>
          <w:rFonts w:ascii="Book Antiqua"/>
          <w:b/>
          <w:color w:val="231F20"/>
          <w:spacing w:val="40"/>
        </w:rPr>
        <w:t> </w:t>
      </w:r>
      <w:r>
        <w:rPr>
          <w:color w:val="231F20"/>
        </w:rPr>
        <w:t>The behavior and data that gets transmitted to the host are dependent on the actual key being sent. The Enter and the Function </w:t>
      </w:r>
      <w:r>
        <w:rPr>
          <w:color w:val="231F20"/>
        </w:rPr>
        <w:t>keys</w:t>
      </w:r>
    </w:p>
    <w:p>
      <w:pPr>
        <w:spacing w:after="0" w:line="213" w:lineRule="auto"/>
        <w:sectPr>
          <w:type w:val="continuous"/>
          <w:pgSz w:w="12240" w:h="15840"/>
          <w:pgMar w:header="0" w:footer="736" w:top="0" w:bottom="4660" w:left="1000" w:right="1060"/>
        </w:sectPr>
      </w:pPr>
    </w:p>
    <w:p>
      <w:pPr>
        <w:pStyle w:val="BodyText"/>
        <w:spacing w:line="213" w:lineRule="auto" w:before="85"/>
        <w:ind w:left="2951" w:right="545"/>
      </w:pPr>
      <w:r>
        <w:rPr>
          <w:color w:val="231F20"/>
        </w:rPr>
        <w:t>send any modified data fields, as well as the cursor location and the </w:t>
      </w:r>
      <w:r>
        <w:rPr>
          <w:color w:val="231F20"/>
        </w:rPr>
        <w:t>AID key. The other AID keys send only the AID key.</w:t>
      </w:r>
    </w:p>
    <w:p>
      <w:pPr>
        <w:pStyle w:val="Heading6"/>
        <w:ind w:left="2232"/>
      </w:pPr>
      <w:r>
        <w:rPr>
          <w:color w:val="231F20"/>
          <w:spacing w:val="-2"/>
        </w:rPr>
        <w:t>Sendstring</w:t>
      </w:r>
    </w:p>
    <w:p>
      <w:pPr>
        <w:pStyle w:val="BodyText"/>
        <w:spacing w:line="213" w:lineRule="auto" w:before="11"/>
        <w:ind w:left="2951" w:right="545"/>
      </w:pPr>
      <w:r>
        <w:rPr>
          <w:color w:val="231F20"/>
        </w:rPr>
        <w:t>Sendstring sets the string at the current cursor location and sends the </w:t>
      </w:r>
      <w:r>
        <w:rPr>
          <w:color w:val="231F20"/>
        </w:rPr>
        <w:t>data with the Enter key.</w:t>
      </w:r>
    </w:p>
    <w:p>
      <w:pPr>
        <w:spacing w:before="95"/>
        <w:ind w:left="2951" w:right="0" w:firstLine="0"/>
        <w:jc w:val="left"/>
        <w:rPr>
          <w:sz w:val="20"/>
        </w:rPr>
      </w:pPr>
      <w:r>
        <w:rPr>
          <w:rFonts w:ascii="Book Antiqua"/>
          <w:b/>
          <w:color w:val="231F20"/>
          <w:sz w:val="20"/>
        </w:rPr>
        <w:t>Parms</w:t>
      </w:r>
      <w:r>
        <w:rPr>
          <w:rFonts w:ascii="Book Antiqua"/>
          <w:b/>
          <w:color w:val="231F20"/>
          <w:spacing w:val="71"/>
          <w:w w:val="150"/>
          <w:sz w:val="20"/>
        </w:rPr>
        <w:t> </w:t>
      </w:r>
      <w:r>
        <w:rPr>
          <w:color w:val="231F20"/>
          <w:sz w:val="20"/>
        </w:rPr>
        <w:t>String</w:t>
      </w:r>
      <w:r>
        <w:rPr>
          <w:color w:val="231F20"/>
          <w:spacing w:val="13"/>
          <w:sz w:val="20"/>
        </w:rPr>
        <w:t> </w:t>
      </w:r>
      <w:r>
        <w:rPr>
          <w:color w:val="231F20"/>
          <w:sz w:val="20"/>
        </w:rPr>
        <w:t>to</w:t>
      </w:r>
      <w:r>
        <w:rPr>
          <w:color w:val="231F20"/>
          <w:spacing w:val="13"/>
          <w:sz w:val="20"/>
        </w:rPr>
        <w:t> </w:t>
      </w:r>
      <w:r>
        <w:rPr>
          <w:color w:val="231F20"/>
          <w:sz w:val="20"/>
        </w:rPr>
        <w:t>be</w:t>
      </w:r>
      <w:r>
        <w:rPr>
          <w:color w:val="231F20"/>
          <w:spacing w:val="14"/>
          <w:sz w:val="20"/>
        </w:rPr>
        <w:t> </w:t>
      </w:r>
      <w:r>
        <w:rPr>
          <w:color w:val="231F20"/>
          <w:spacing w:val="-4"/>
          <w:sz w:val="20"/>
        </w:rPr>
        <w:t>sent</w:t>
      </w:r>
    </w:p>
    <w:p>
      <w:pPr>
        <w:pStyle w:val="Heading6"/>
        <w:spacing w:line="240" w:lineRule="auto" w:before="112"/>
        <w:ind w:left="2951"/>
      </w:pPr>
      <w:r>
        <w:rPr>
          <w:color w:val="231F20"/>
          <w:spacing w:val="-2"/>
        </w:rPr>
        <w:t>Return</w:t>
      </w:r>
    </w:p>
    <w:p>
      <w:pPr>
        <w:pStyle w:val="BodyText"/>
        <w:spacing w:line="213" w:lineRule="auto"/>
        <w:ind w:left="3669"/>
      </w:pPr>
      <w:r>
        <w:rPr>
          <w:color w:val="231F20"/>
        </w:rPr>
        <w:t>Returns 0 if successful, or -1 if there is an error or the terminal gets </w:t>
      </w:r>
      <w:r>
        <w:rPr>
          <w:color w:val="231F20"/>
          <w:spacing w:val="-2"/>
        </w:rPr>
        <w:t>disconnected</w:t>
      </w:r>
    </w:p>
    <w:p>
      <w:pPr>
        <w:pStyle w:val="BodyText"/>
        <w:spacing w:before="95"/>
        <w:ind w:left="2951"/>
      </w:pPr>
      <w:r>
        <w:rPr>
          <w:color w:val="231F20"/>
          <w:spacing w:val="-2"/>
        </w:rPr>
        <w:t>Example:</w:t>
      </w:r>
    </w:p>
    <w:p>
      <w:pPr>
        <w:spacing w:line="230" w:lineRule="auto" w:before="62"/>
        <w:ind w:left="2951" w:right="1712" w:firstLine="0"/>
        <w:jc w:val="left"/>
        <w:rPr>
          <w:rFonts w:ascii="Arial"/>
          <w:sz w:val="18"/>
        </w:rPr>
      </w:pPr>
      <w:r>
        <w:rPr>
          <w:rFonts w:ascii="Arial"/>
          <w:color w:val="231F20"/>
          <w:w w:val="110"/>
          <w:sz w:val="18"/>
        </w:rPr>
        <w:t>Sendstring</w:t>
      </w:r>
      <w:r>
        <w:rPr>
          <w:rFonts w:ascii="Arial"/>
          <w:color w:val="231F20"/>
          <w:spacing w:val="40"/>
          <w:w w:val="110"/>
          <w:sz w:val="18"/>
        </w:rPr>
        <w:t> </w:t>
      </w:r>
      <w:r>
        <w:rPr>
          <w:rFonts w:ascii="Arial"/>
          <w:color w:val="231F20"/>
          <w:w w:val="110"/>
          <w:sz w:val="18"/>
        </w:rPr>
        <w:t>("ctsoa");</w:t>
      </w:r>
      <w:r>
        <w:rPr>
          <w:rFonts w:ascii="Arial"/>
          <w:color w:val="231F20"/>
          <w:spacing w:val="40"/>
          <w:w w:val="150"/>
          <w:sz w:val="18"/>
        </w:rPr>
        <w:t> </w:t>
      </w:r>
      <w:r>
        <w:rPr>
          <w:rFonts w:ascii="Arial"/>
          <w:color w:val="231F20"/>
          <w:w w:val="150"/>
          <w:sz w:val="18"/>
        </w:rPr>
        <w:t>//</w:t>
      </w:r>
      <w:r>
        <w:rPr>
          <w:rFonts w:ascii="Arial"/>
          <w:color w:val="231F20"/>
          <w:spacing w:val="40"/>
          <w:w w:val="150"/>
          <w:sz w:val="18"/>
        </w:rPr>
        <w:t> </w:t>
      </w:r>
      <w:r>
        <w:rPr>
          <w:rFonts w:ascii="Arial"/>
          <w:color w:val="231F20"/>
          <w:w w:val="110"/>
          <w:sz w:val="18"/>
        </w:rPr>
        <w:t>enters</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ctsoa</w:t>
      </w:r>
      <w:r>
        <w:rPr>
          <w:rFonts w:ascii="Arial"/>
          <w:color w:val="231F20"/>
          <w:spacing w:val="40"/>
          <w:w w:val="110"/>
          <w:sz w:val="18"/>
        </w:rPr>
        <w:t> </w:t>
      </w:r>
      <w:r>
        <w:rPr>
          <w:rFonts w:ascii="Arial"/>
          <w:color w:val="231F20"/>
          <w:w w:val="110"/>
          <w:sz w:val="18"/>
        </w:rPr>
        <w:t>at</w:t>
      </w:r>
      <w:r>
        <w:rPr>
          <w:rFonts w:ascii="Arial"/>
          <w:color w:val="231F20"/>
          <w:spacing w:val="40"/>
          <w:w w:val="110"/>
          <w:sz w:val="18"/>
        </w:rPr>
        <w:t> </w:t>
      </w:r>
      <w:r>
        <w:rPr>
          <w:rFonts w:ascii="Arial"/>
          <w:color w:val="231F20"/>
          <w:w w:val="110"/>
          <w:sz w:val="18"/>
        </w:rPr>
        <w:t>the current</w:t>
      </w:r>
      <w:r>
        <w:rPr>
          <w:rFonts w:ascii="Arial"/>
          <w:color w:val="231F20"/>
          <w:spacing w:val="11"/>
          <w:w w:val="110"/>
          <w:sz w:val="18"/>
        </w:rPr>
        <w:t> </w:t>
      </w:r>
      <w:r>
        <w:rPr>
          <w:rFonts w:ascii="Arial"/>
          <w:color w:val="231F20"/>
          <w:w w:val="110"/>
          <w:sz w:val="18"/>
        </w:rPr>
        <w:t>cursor</w:t>
      </w:r>
      <w:r>
        <w:rPr>
          <w:rFonts w:ascii="Arial"/>
          <w:color w:val="231F20"/>
          <w:spacing w:val="11"/>
          <w:w w:val="110"/>
          <w:sz w:val="18"/>
        </w:rPr>
        <w:t> </w:t>
      </w:r>
      <w:r>
        <w:rPr>
          <w:rFonts w:ascii="Arial"/>
          <w:color w:val="231F20"/>
          <w:w w:val="110"/>
          <w:sz w:val="18"/>
        </w:rPr>
        <w:t>location</w:t>
      </w:r>
      <w:r>
        <w:rPr>
          <w:rFonts w:ascii="Arial"/>
          <w:color w:val="231F20"/>
          <w:spacing w:val="11"/>
          <w:w w:val="110"/>
          <w:sz w:val="18"/>
        </w:rPr>
        <w:t> </w:t>
      </w:r>
      <w:r>
        <w:rPr>
          <w:rFonts w:ascii="Arial"/>
          <w:color w:val="231F20"/>
          <w:w w:val="110"/>
          <w:sz w:val="18"/>
        </w:rPr>
        <w:t>and</w:t>
      </w:r>
      <w:r>
        <w:rPr>
          <w:rFonts w:ascii="Arial"/>
          <w:color w:val="231F20"/>
          <w:spacing w:val="11"/>
          <w:w w:val="110"/>
          <w:sz w:val="18"/>
        </w:rPr>
        <w:t> </w:t>
      </w:r>
      <w:r>
        <w:rPr>
          <w:rFonts w:ascii="Arial"/>
          <w:color w:val="231F20"/>
          <w:w w:val="110"/>
          <w:sz w:val="18"/>
        </w:rPr>
        <w:t>sends</w:t>
      </w:r>
      <w:r>
        <w:rPr>
          <w:rFonts w:ascii="Arial"/>
          <w:color w:val="231F20"/>
          <w:spacing w:val="11"/>
          <w:w w:val="110"/>
          <w:sz w:val="18"/>
        </w:rPr>
        <w:t> </w:t>
      </w:r>
      <w:r>
        <w:rPr>
          <w:rFonts w:ascii="Arial"/>
          <w:color w:val="231F20"/>
          <w:w w:val="110"/>
          <w:sz w:val="18"/>
        </w:rPr>
        <w:t>the</w:t>
      </w:r>
      <w:r>
        <w:rPr>
          <w:rFonts w:ascii="Arial"/>
          <w:color w:val="231F20"/>
          <w:spacing w:val="11"/>
          <w:w w:val="110"/>
          <w:sz w:val="18"/>
        </w:rPr>
        <w:t> </w:t>
      </w:r>
      <w:r>
        <w:rPr>
          <w:rFonts w:ascii="Arial"/>
          <w:color w:val="231F20"/>
          <w:w w:val="110"/>
          <w:sz w:val="18"/>
        </w:rPr>
        <w:t>data</w:t>
      </w:r>
      <w:r>
        <w:rPr>
          <w:rFonts w:ascii="Arial"/>
          <w:color w:val="231F20"/>
          <w:spacing w:val="11"/>
          <w:w w:val="110"/>
          <w:sz w:val="18"/>
        </w:rPr>
        <w:t> </w:t>
      </w:r>
      <w:r>
        <w:rPr>
          <w:rFonts w:ascii="Arial"/>
          <w:color w:val="231F20"/>
          <w:w w:val="110"/>
          <w:sz w:val="18"/>
        </w:rPr>
        <w:t>with</w:t>
      </w:r>
      <w:r>
        <w:rPr>
          <w:rFonts w:ascii="Arial"/>
          <w:color w:val="231F20"/>
          <w:spacing w:val="11"/>
          <w:w w:val="110"/>
          <w:sz w:val="18"/>
        </w:rPr>
        <w:t> </w:t>
      </w:r>
      <w:r>
        <w:rPr>
          <w:rFonts w:ascii="Arial"/>
          <w:color w:val="231F20"/>
          <w:w w:val="110"/>
          <w:sz w:val="18"/>
        </w:rPr>
        <w:t>the</w:t>
      </w:r>
      <w:r>
        <w:rPr>
          <w:rFonts w:ascii="Arial"/>
          <w:color w:val="231F20"/>
          <w:spacing w:val="11"/>
          <w:w w:val="110"/>
          <w:sz w:val="18"/>
        </w:rPr>
        <w:t> </w:t>
      </w:r>
      <w:r>
        <w:rPr>
          <w:rFonts w:ascii="Arial"/>
          <w:color w:val="231F20"/>
          <w:w w:val="110"/>
          <w:sz w:val="18"/>
        </w:rPr>
        <w:t>Enter</w:t>
      </w:r>
      <w:r>
        <w:rPr>
          <w:rFonts w:ascii="Arial"/>
          <w:color w:val="231F20"/>
          <w:spacing w:val="11"/>
          <w:w w:val="110"/>
          <w:sz w:val="18"/>
        </w:rPr>
        <w:t> </w:t>
      </w:r>
      <w:r>
        <w:rPr>
          <w:rFonts w:ascii="Arial"/>
          <w:color w:val="231F20"/>
          <w:w w:val="110"/>
          <w:sz w:val="18"/>
        </w:rPr>
        <w:t>key</w:t>
      </w:r>
    </w:p>
    <w:p>
      <w:pPr>
        <w:pStyle w:val="Heading6"/>
        <w:spacing w:before="130"/>
        <w:ind w:left="2232"/>
      </w:pPr>
      <w:r>
        <w:rPr>
          <w:color w:val="231F20"/>
          <w:spacing w:val="-2"/>
        </w:rPr>
        <w:t>Setcursor</w:t>
      </w:r>
    </w:p>
    <w:p>
      <w:pPr>
        <w:pStyle w:val="BodyText"/>
        <w:spacing w:line="258" w:lineRule="exact"/>
        <w:ind w:left="2951"/>
      </w:pPr>
      <w:r>
        <w:rPr>
          <w:color w:val="231F20"/>
        </w:rPr>
        <w:t>Setcursor</w:t>
      </w:r>
      <w:r>
        <w:rPr>
          <w:color w:val="231F20"/>
          <w:spacing w:val="11"/>
        </w:rPr>
        <w:t> </w:t>
      </w:r>
      <w:r>
        <w:rPr>
          <w:color w:val="231F20"/>
        </w:rPr>
        <w:t>positions</w:t>
      </w:r>
      <w:r>
        <w:rPr>
          <w:color w:val="231F20"/>
          <w:spacing w:val="11"/>
        </w:rPr>
        <w:t> </w:t>
      </w:r>
      <w:r>
        <w:rPr>
          <w:color w:val="231F20"/>
        </w:rPr>
        <w:t>the</w:t>
      </w:r>
      <w:r>
        <w:rPr>
          <w:color w:val="231F20"/>
          <w:spacing w:val="11"/>
        </w:rPr>
        <w:t> </w:t>
      </w:r>
      <w:r>
        <w:rPr>
          <w:color w:val="231F20"/>
        </w:rPr>
        <w:t>cursor</w:t>
      </w:r>
      <w:r>
        <w:rPr>
          <w:color w:val="231F20"/>
          <w:spacing w:val="11"/>
        </w:rPr>
        <w:t> </w:t>
      </w:r>
      <w:r>
        <w:rPr>
          <w:color w:val="231F20"/>
        </w:rPr>
        <w:t>on</w:t>
      </w:r>
      <w:r>
        <w:rPr>
          <w:color w:val="231F20"/>
          <w:spacing w:val="11"/>
        </w:rPr>
        <w:t> </w:t>
      </w:r>
      <w:r>
        <w:rPr>
          <w:color w:val="231F20"/>
        </w:rPr>
        <w:t>the</w:t>
      </w:r>
      <w:r>
        <w:rPr>
          <w:color w:val="231F20"/>
          <w:spacing w:val="11"/>
        </w:rPr>
        <w:t> </w:t>
      </w:r>
      <w:r>
        <w:rPr>
          <w:color w:val="231F20"/>
          <w:spacing w:val="-2"/>
        </w:rPr>
        <w:t>terminal.</w:t>
      </w:r>
    </w:p>
    <w:p>
      <w:pPr>
        <w:pStyle w:val="BodyText"/>
        <w:spacing w:before="90"/>
        <w:ind w:left="2951"/>
      </w:pPr>
      <w:r>
        <w:rPr>
          <w:rFonts w:ascii="Book Antiqua"/>
          <w:b/>
          <w:color w:val="231F20"/>
        </w:rPr>
        <w:t>Parms</w:t>
      </w:r>
      <w:r>
        <w:rPr>
          <w:rFonts w:ascii="Book Antiqua"/>
          <w:b/>
          <w:color w:val="231F20"/>
          <w:spacing w:val="68"/>
          <w:w w:val="150"/>
        </w:rPr>
        <w:t> </w:t>
      </w:r>
      <w:r>
        <w:rPr>
          <w:color w:val="231F20"/>
        </w:rPr>
        <w:t>Screen</w:t>
      </w:r>
      <w:r>
        <w:rPr>
          <w:color w:val="231F20"/>
          <w:spacing w:val="12"/>
        </w:rPr>
        <w:t> </w:t>
      </w:r>
      <w:r>
        <w:rPr>
          <w:color w:val="231F20"/>
        </w:rPr>
        <w:t>position</w:t>
      </w:r>
      <w:r>
        <w:rPr>
          <w:color w:val="231F20"/>
          <w:spacing w:val="12"/>
        </w:rPr>
        <w:t> </w:t>
      </w:r>
      <w:r>
        <w:rPr>
          <w:color w:val="231F20"/>
        </w:rPr>
        <w:t>can</w:t>
      </w:r>
      <w:r>
        <w:rPr>
          <w:color w:val="231F20"/>
          <w:spacing w:val="12"/>
        </w:rPr>
        <w:t> </w:t>
      </w:r>
      <w:r>
        <w:rPr>
          <w:color w:val="231F20"/>
        </w:rPr>
        <w:t>be</w:t>
      </w:r>
      <w:r>
        <w:rPr>
          <w:color w:val="231F20"/>
          <w:spacing w:val="12"/>
        </w:rPr>
        <w:t> </w:t>
      </w:r>
      <w:r>
        <w:rPr>
          <w:color w:val="231F20"/>
        </w:rPr>
        <w:t>either</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spacing w:val="-2"/>
        </w:rPr>
        <w:t>following:</w:t>
      </w:r>
    </w:p>
    <w:p>
      <w:pPr>
        <w:pStyle w:val="BodyText"/>
        <w:spacing w:line="213" w:lineRule="auto" w:before="112"/>
        <w:ind w:left="3669" w:right="545"/>
      </w:pPr>
      <w:r>
        <w:rPr>
          <w:color w:val="231F20"/>
        </w:rPr>
        <w:t>ROW,COL - the Row and Column to position the cursor Location </w:t>
      </w:r>
      <w:r>
        <w:rPr>
          <w:color w:val="231F20"/>
        </w:rPr>
        <w:t>- the relative location on the screen</w:t>
      </w:r>
    </w:p>
    <w:p>
      <w:pPr>
        <w:pStyle w:val="Heading6"/>
        <w:ind w:left="2951"/>
      </w:pPr>
      <w:r>
        <w:rPr>
          <w:color w:val="231F20"/>
          <w:spacing w:val="-2"/>
        </w:rPr>
        <w:t>Return</w:t>
      </w:r>
    </w:p>
    <w:p>
      <w:pPr>
        <w:pStyle w:val="BodyText"/>
        <w:spacing w:line="213" w:lineRule="auto" w:before="12"/>
        <w:ind w:left="3669" w:right="545"/>
      </w:pPr>
      <w:r>
        <w:rPr>
          <w:color w:val="231F20"/>
        </w:rPr>
        <w:t>Returns the relative location of the cursor, or -1 if there is an error or the terminal gets disconnected</w:t>
      </w:r>
    </w:p>
    <w:p>
      <w:pPr>
        <w:pStyle w:val="BodyText"/>
        <w:spacing w:before="95"/>
        <w:ind w:left="2951"/>
      </w:pPr>
      <w:r>
        <w:rPr>
          <w:color w:val="231F20"/>
          <w:spacing w:val="-2"/>
        </w:rPr>
        <w:t>Example:</w:t>
      </w:r>
    </w:p>
    <w:p>
      <w:pPr>
        <w:spacing w:line="230" w:lineRule="auto" w:before="62"/>
        <w:ind w:left="2951" w:right="0" w:firstLine="0"/>
        <w:jc w:val="left"/>
        <w:rPr>
          <w:rFonts w:ascii="Arial"/>
          <w:sz w:val="18"/>
        </w:rPr>
      </w:pPr>
      <w:r>
        <w:rPr>
          <w:rFonts w:ascii="Arial"/>
          <w:color w:val="231F20"/>
          <w:w w:val="110"/>
          <w:sz w:val="18"/>
        </w:rPr>
        <w:t>SetCursor(1,1);</w:t>
      </w:r>
      <w:r>
        <w:rPr>
          <w:rFonts w:ascii="Arial"/>
          <w:color w:val="231F20"/>
          <w:w w:val="150"/>
          <w:sz w:val="18"/>
        </w:rPr>
        <w:t> //</w:t>
      </w:r>
      <w:r>
        <w:rPr>
          <w:rFonts w:ascii="Arial"/>
          <w:color w:val="231F20"/>
          <w:w w:val="150"/>
          <w:sz w:val="18"/>
        </w:rPr>
        <w:t> </w:t>
      </w:r>
      <w:r>
        <w:rPr>
          <w:rFonts w:ascii="Arial"/>
          <w:color w:val="231F20"/>
          <w:w w:val="110"/>
          <w:sz w:val="18"/>
        </w:rPr>
        <w:t>sets</w:t>
      </w:r>
      <w:r>
        <w:rPr>
          <w:rFonts w:ascii="Arial"/>
          <w:color w:val="231F20"/>
          <w:spacing w:val="31"/>
          <w:w w:val="110"/>
          <w:sz w:val="18"/>
        </w:rPr>
        <w:t> </w:t>
      </w:r>
      <w:r>
        <w:rPr>
          <w:rFonts w:ascii="Arial"/>
          <w:color w:val="231F20"/>
          <w:w w:val="110"/>
          <w:sz w:val="18"/>
        </w:rPr>
        <w:t>the</w:t>
      </w:r>
      <w:r>
        <w:rPr>
          <w:rFonts w:ascii="Arial"/>
          <w:color w:val="231F20"/>
          <w:spacing w:val="31"/>
          <w:w w:val="110"/>
          <w:sz w:val="18"/>
        </w:rPr>
        <w:t> </w:t>
      </w:r>
      <w:r>
        <w:rPr>
          <w:rFonts w:ascii="Arial"/>
          <w:color w:val="231F20"/>
          <w:w w:val="110"/>
          <w:sz w:val="18"/>
        </w:rPr>
        <w:t>cursor</w:t>
      </w:r>
      <w:r>
        <w:rPr>
          <w:rFonts w:ascii="Arial"/>
          <w:color w:val="231F20"/>
          <w:spacing w:val="31"/>
          <w:w w:val="110"/>
          <w:sz w:val="18"/>
        </w:rPr>
        <w:t> </w:t>
      </w:r>
      <w:r>
        <w:rPr>
          <w:rFonts w:ascii="Arial"/>
          <w:color w:val="231F20"/>
          <w:w w:val="110"/>
          <w:sz w:val="18"/>
        </w:rPr>
        <w:t>to</w:t>
      </w:r>
      <w:r>
        <w:rPr>
          <w:rFonts w:ascii="Arial"/>
          <w:color w:val="231F20"/>
          <w:spacing w:val="31"/>
          <w:w w:val="110"/>
          <w:sz w:val="18"/>
        </w:rPr>
        <w:t> </w:t>
      </w:r>
      <w:r>
        <w:rPr>
          <w:rFonts w:ascii="Arial"/>
          <w:color w:val="231F20"/>
          <w:w w:val="110"/>
          <w:sz w:val="18"/>
        </w:rPr>
        <w:t>the</w:t>
      </w:r>
      <w:r>
        <w:rPr>
          <w:rFonts w:ascii="Arial"/>
          <w:color w:val="231F20"/>
          <w:spacing w:val="31"/>
          <w:w w:val="110"/>
          <w:sz w:val="18"/>
        </w:rPr>
        <w:t> </w:t>
      </w:r>
      <w:r>
        <w:rPr>
          <w:rFonts w:ascii="Arial"/>
          <w:color w:val="231F20"/>
          <w:w w:val="110"/>
          <w:sz w:val="18"/>
        </w:rPr>
        <w:t>top</w:t>
      </w:r>
      <w:r>
        <w:rPr>
          <w:rFonts w:ascii="Arial"/>
          <w:color w:val="231F20"/>
          <w:w w:val="150"/>
          <w:sz w:val="18"/>
        </w:rPr>
        <w:t> left</w:t>
      </w:r>
      <w:r>
        <w:rPr>
          <w:rFonts w:ascii="Arial"/>
          <w:color w:val="231F20"/>
          <w:w w:val="150"/>
          <w:sz w:val="18"/>
        </w:rPr>
        <w:t> </w:t>
      </w:r>
      <w:r>
        <w:rPr>
          <w:rFonts w:ascii="Arial"/>
          <w:color w:val="231F20"/>
          <w:w w:val="110"/>
          <w:sz w:val="18"/>
        </w:rPr>
        <w:t>position</w:t>
      </w:r>
      <w:r>
        <w:rPr>
          <w:rFonts w:ascii="Arial"/>
          <w:color w:val="231F20"/>
          <w:spacing w:val="31"/>
          <w:w w:val="110"/>
          <w:sz w:val="18"/>
        </w:rPr>
        <w:t> </w:t>
      </w:r>
      <w:r>
        <w:rPr>
          <w:rFonts w:ascii="Arial"/>
          <w:color w:val="231F20"/>
          <w:w w:val="110"/>
          <w:sz w:val="18"/>
        </w:rPr>
        <w:t>of</w:t>
      </w:r>
      <w:r>
        <w:rPr>
          <w:rFonts w:ascii="Arial"/>
          <w:color w:val="231F20"/>
          <w:spacing w:val="31"/>
          <w:w w:val="110"/>
          <w:sz w:val="18"/>
        </w:rPr>
        <w:t> </w:t>
      </w:r>
      <w:r>
        <w:rPr>
          <w:rFonts w:ascii="Arial"/>
          <w:color w:val="231F20"/>
          <w:w w:val="110"/>
          <w:sz w:val="18"/>
        </w:rPr>
        <w:t>the</w:t>
      </w:r>
      <w:r>
        <w:rPr>
          <w:rFonts w:ascii="Arial"/>
          <w:color w:val="231F20"/>
          <w:spacing w:val="31"/>
          <w:w w:val="110"/>
          <w:sz w:val="18"/>
        </w:rPr>
        <w:t> </w:t>
      </w:r>
      <w:r>
        <w:rPr>
          <w:rFonts w:ascii="Arial"/>
          <w:color w:val="231F20"/>
          <w:w w:val="110"/>
          <w:sz w:val="18"/>
        </w:rPr>
        <w:t>screen SetCursor(80);</w:t>
      </w:r>
      <w:r>
        <w:rPr>
          <w:rFonts w:ascii="Arial"/>
          <w:color w:val="231F20"/>
          <w:w w:val="150"/>
          <w:sz w:val="18"/>
        </w:rPr>
        <w:t> //</w:t>
      </w:r>
      <w:r>
        <w:rPr>
          <w:rFonts w:ascii="Arial"/>
          <w:color w:val="231F20"/>
          <w:w w:val="150"/>
          <w:sz w:val="18"/>
        </w:rPr>
        <w:t> </w:t>
      </w:r>
      <w:r>
        <w:rPr>
          <w:rFonts w:ascii="Arial"/>
          <w:color w:val="231F20"/>
          <w:w w:val="110"/>
          <w:sz w:val="18"/>
        </w:rPr>
        <w:t>sets</w:t>
      </w:r>
      <w:r>
        <w:rPr>
          <w:rFonts w:ascii="Arial"/>
          <w:color w:val="231F20"/>
          <w:spacing w:val="35"/>
          <w:w w:val="110"/>
          <w:sz w:val="18"/>
        </w:rPr>
        <w:t> </w:t>
      </w:r>
      <w:r>
        <w:rPr>
          <w:rFonts w:ascii="Arial"/>
          <w:color w:val="231F20"/>
          <w:w w:val="110"/>
          <w:sz w:val="18"/>
        </w:rPr>
        <w:t>the</w:t>
      </w:r>
      <w:r>
        <w:rPr>
          <w:rFonts w:ascii="Arial"/>
          <w:color w:val="231F20"/>
          <w:spacing w:val="35"/>
          <w:w w:val="110"/>
          <w:sz w:val="18"/>
        </w:rPr>
        <w:t> </w:t>
      </w:r>
      <w:r>
        <w:rPr>
          <w:rFonts w:ascii="Arial"/>
          <w:color w:val="231F20"/>
          <w:w w:val="110"/>
          <w:sz w:val="18"/>
        </w:rPr>
        <w:t>cursor</w:t>
      </w:r>
      <w:r>
        <w:rPr>
          <w:rFonts w:ascii="Arial"/>
          <w:color w:val="231F20"/>
          <w:spacing w:val="35"/>
          <w:w w:val="110"/>
          <w:sz w:val="18"/>
        </w:rPr>
        <w:t> </w:t>
      </w:r>
      <w:r>
        <w:rPr>
          <w:rFonts w:ascii="Arial"/>
          <w:color w:val="231F20"/>
          <w:w w:val="110"/>
          <w:sz w:val="18"/>
        </w:rPr>
        <w:t>to</w:t>
      </w:r>
      <w:r>
        <w:rPr>
          <w:rFonts w:ascii="Arial"/>
          <w:color w:val="231F20"/>
          <w:spacing w:val="35"/>
          <w:w w:val="110"/>
          <w:sz w:val="18"/>
        </w:rPr>
        <w:t> </w:t>
      </w:r>
      <w:r>
        <w:rPr>
          <w:rFonts w:ascii="Arial"/>
          <w:color w:val="231F20"/>
          <w:w w:val="110"/>
          <w:sz w:val="18"/>
        </w:rPr>
        <w:t>offset</w:t>
      </w:r>
      <w:r>
        <w:rPr>
          <w:rFonts w:ascii="Arial"/>
          <w:color w:val="231F20"/>
          <w:spacing w:val="35"/>
          <w:w w:val="110"/>
          <w:sz w:val="18"/>
        </w:rPr>
        <w:t> </w:t>
      </w:r>
      <w:r>
        <w:rPr>
          <w:rFonts w:ascii="Arial"/>
          <w:color w:val="231F20"/>
          <w:w w:val="110"/>
          <w:sz w:val="18"/>
        </w:rPr>
        <w:t>80</w:t>
      </w:r>
      <w:r>
        <w:rPr>
          <w:rFonts w:ascii="Arial"/>
          <w:color w:val="231F20"/>
          <w:spacing w:val="35"/>
          <w:w w:val="110"/>
          <w:sz w:val="18"/>
        </w:rPr>
        <w:t> </w:t>
      </w:r>
      <w:r>
        <w:rPr>
          <w:rFonts w:ascii="Arial"/>
          <w:color w:val="231F20"/>
          <w:w w:val="110"/>
          <w:sz w:val="18"/>
        </w:rPr>
        <w:t>(This</w:t>
      </w:r>
      <w:r>
        <w:rPr>
          <w:rFonts w:ascii="Arial"/>
          <w:color w:val="231F20"/>
          <w:spacing w:val="35"/>
          <w:w w:val="110"/>
          <w:sz w:val="18"/>
        </w:rPr>
        <w:t> </w:t>
      </w:r>
      <w:r>
        <w:rPr>
          <w:rFonts w:ascii="Arial"/>
          <w:color w:val="231F20"/>
          <w:w w:val="110"/>
          <w:sz w:val="18"/>
        </w:rPr>
        <w:t>would</w:t>
      </w:r>
      <w:r>
        <w:rPr>
          <w:rFonts w:ascii="Arial"/>
          <w:color w:val="231F20"/>
          <w:spacing w:val="35"/>
          <w:w w:val="110"/>
          <w:sz w:val="18"/>
        </w:rPr>
        <w:t> </w:t>
      </w:r>
      <w:r>
        <w:rPr>
          <w:rFonts w:ascii="Arial"/>
          <w:color w:val="231F20"/>
          <w:w w:val="110"/>
          <w:sz w:val="18"/>
        </w:rPr>
        <w:t>be</w:t>
      </w:r>
      <w:r>
        <w:rPr>
          <w:rFonts w:ascii="Arial"/>
          <w:color w:val="231F20"/>
          <w:spacing w:val="35"/>
          <w:w w:val="110"/>
          <w:sz w:val="18"/>
        </w:rPr>
        <w:t> </w:t>
      </w:r>
      <w:r>
        <w:rPr>
          <w:rFonts w:ascii="Arial"/>
          <w:color w:val="231F20"/>
          <w:w w:val="110"/>
          <w:sz w:val="18"/>
        </w:rPr>
        <w:t>row</w:t>
      </w:r>
      <w:r>
        <w:rPr>
          <w:rFonts w:ascii="Arial"/>
          <w:color w:val="231F20"/>
          <w:spacing w:val="35"/>
          <w:w w:val="110"/>
          <w:sz w:val="18"/>
        </w:rPr>
        <w:t> </w:t>
      </w:r>
      <w:r>
        <w:rPr>
          <w:rFonts w:ascii="Arial"/>
          <w:color w:val="231F20"/>
          <w:w w:val="110"/>
          <w:sz w:val="18"/>
        </w:rPr>
        <w:t>2,</w:t>
      </w:r>
    </w:p>
    <w:p>
      <w:pPr>
        <w:spacing w:line="202" w:lineRule="exact" w:before="0"/>
        <w:ind w:left="2951" w:right="0" w:firstLine="0"/>
        <w:jc w:val="left"/>
        <w:rPr>
          <w:rFonts w:ascii="Arial"/>
          <w:sz w:val="18"/>
        </w:rPr>
      </w:pPr>
      <w:r>
        <w:rPr>
          <w:rFonts w:ascii="Arial"/>
          <w:color w:val="231F20"/>
          <w:sz w:val="18"/>
        </w:rPr>
        <w:t>col</w:t>
      </w:r>
      <w:r>
        <w:rPr>
          <w:rFonts w:ascii="Arial"/>
          <w:color w:val="231F20"/>
          <w:spacing w:val="29"/>
          <w:sz w:val="18"/>
        </w:rPr>
        <w:t> </w:t>
      </w:r>
      <w:r>
        <w:rPr>
          <w:rFonts w:ascii="Arial"/>
          <w:color w:val="231F20"/>
          <w:sz w:val="18"/>
        </w:rPr>
        <w:t>1</w:t>
      </w:r>
      <w:r>
        <w:rPr>
          <w:rFonts w:ascii="Arial"/>
          <w:color w:val="231F20"/>
          <w:spacing w:val="29"/>
          <w:sz w:val="18"/>
        </w:rPr>
        <w:t> </w:t>
      </w:r>
      <w:r>
        <w:rPr>
          <w:rFonts w:ascii="Arial"/>
          <w:color w:val="231F20"/>
          <w:sz w:val="18"/>
        </w:rPr>
        <w:t>on</w:t>
      </w:r>
      <w:r>
        <w:rPr>
          <w:rFonts w:ascii="Arial"/>
          <w:color w:val="231F20"/>
          <w:spacing w:val="29"/>
          <w:sz w:val="18"/>
        </w:rPr>
        <w:t> </w:t>
      </w:r>
      <w:r>
        <w:rPr>
          <w:rFonts w:ascii="Arial"/>
          <w:color w:val="231F20"/>
          <w:sz w:val="18"/>
        </w:rPr>
        <w:t>a</w:t>
      </w:r>
      <w:r>
        <w:rPr>
          <w:rFonts w:ascii="Arial"/>
          <w:color w:val="231F20"/>
          <w:spacing w:val="29"/>
          <w:sz w:val="18"/>
        </w:rPr>
        <w:t> </w:t>
      </w:r>
      <w:r>
        <w:rPr>
          <w:rFonts w:ascii="Arial"/>
          <w:color w:val="231F20"/>
          <w:sz w:val="18"/>
        </w:rPr>
        <w:t>24x80</w:t>
      </w:r>
      <w:r>
        <w:rPr>
          <w:rFonts w:ascii="Arial"/>
          <w:color w:val="231F20"/>
          <w:spacing w:val="29"/>
          <w:sz w:val="18"/>
        </w:rPr>
        <w:t> </w:t>
      </w:r>
      <w:r>
        <w:rPr>
          <w:rFonts w:ascii="Arial"/>
          <w:color w:val="231F20"/>
          <w:spacing w:val="-2"/>
          <w:sz w:val="18"/>
        </w:rPr>
        <w:t>terminal)</w:t>
      </w:r>
    </w:p>
    <w:p>
      <w:pPr>
        <w:pStyle w:val="Heading6"/>
        <w:spacing w:before="128"/>
        <w:ind w:left="2232"/>
      </w:pPr>
      <w:r>
        <w:rPr>
          <w:color w:val="231F20"/>
          <w:spacing w:val="-2"/>
        </w:rPr>
        <w:t>SetDefaultTimeout</w:t>
      </w:r>
    </w:p>
    <w:p>
      <w:pPr>
        <w:pStyle w:val="BodyText"/>
        <w:spacing w:line="258" w:lineRule="exact"/>
        <w:ind w:left="2951"/>
      </w:pPr>
      <w:r>
        <w:rPr>
          <w:color w:val="231F20"/>
        </w:rPr>
        <w:t>SetDefaultTimeout</w:t>
      </w:r>
      <w:r>
        <w:rPr>
          <w:color w:val="231F20"/>
          <w:spacing w:val="5"/>
        </w:rPr>
        <w:t> </w:t>
      </w:r>
      <w:r>
        <w:rPr>
          <w:color w:val="231F20"/>
        </w:rPr>
        <w:t>sets</w:t>
      </w:r>
      <w:r>
        <w:rPr>
          <w:color w:val="231F20"/>
          <w:spacing w:val="6"/>
        </w:rPr>
        <w:t> </w:t>
      </w:r>
      <w:r>
        <w:rPr>
          <w:color w:val="231F20"/>
        </w:rPr>
        <w:t>the</w:t>
      </w:r>
      <w:r>
        <w:rPr>
          <w:color w:val="231F20"/>
          <w:spacing w:val="6"/>
        </w:rPr>
        <w:t> </w:t>
      </w:r>
      <w:r>
        <w:rPr>
          <w:color w:val="231F20"/>
        </w:rPr>
        <w:t>default</w:t>
      </w:r>
      <w:r>
        <w:rPr>
          <w:color w:val="231F20"/>
          <w:spacing w:val="6"/>
        </w:rPr>
        <w:t> </w:t>
      </w:r>
      <w:r>
        <w:rPr>
          <w:color w:val="231F20"/>
          <w:spacing w:val="-2"/>
        </w:rPr>
        <w:t>timeout.</w:t>
      </w:r>
    </w:p>
    <w:p>
      <w:pPr>
        <w:pStyle w:val="BodyText"/>
        <w:spacing w:line="213" w:lineRule="auto" w:before="113"/>
        <w:ind w:left="3669" w:right="493" w:hanging="719"/>
      </w:pPr>
      <w:r>
        <w:rPr>
          <w:rFonts w:ascii="Book Antiqua"/>
          <w:b/>
          <w:color w:val="231F20"/>
        </w:rPr>
        <w:t>Parms</w:t>
      </w:r>
      <w:r>
        <w:rPr>
          <w:rFonts w:ascii="Book Antiqua"/>
          <w:b/>
          <w:color w:val="231F20"/>
          <w:spacing w:val="80"/>
        </w:rPr>
        <w:t> </w:t>
      </w:r>
      <w:r>
        <w:rPr>
          <w:color w:val="231F20"/>
        </w:rPr>
        <w:t>New wait time, in milliseconds. For example, 1000 is a one </w:t>
      </w:r>
      <w:r>
        <w:rPr>
          <w:color w:val="231F20"/>
        </w:rPr>
        <w:t>second </w:t>
      </w:r>
      <w:r>
        <w:rPr>
          <w:color w:val="231F20"/>
          <w:spacing w:val="-2"/>
        </w:rPr>
        <w:t>wait.</w:t>
      </w:r>
    </w:p>
    <w:p>
      <w:pPr>
        <w:pStyle w:val="Heading6"/>
        <w:ind w:left="2951"/>
      </w:pPr>
      <w:r>
        <w:rPr>
          <w:color w:val="231F20"/>
          <w:spacing w:val="-2"/>
        </w:rPr>
        <w:t>Return</w:t>
      </w:r>
    </w:p>
    <w:p>
      <w:pPr>
        <w:pStyle w:val="BodyText"/>
        <w:spacing w:line="258" w:lineRule="exact"/>
        <w:ind w:left="3669"/>
      </w:pPr>
      <w:r>
        <w:rPr>
          <w:color w:val="231F20"/>
        </w:rPr>
        <w:t>Returns</w:t>
      </w:r>
      <w:r>
        <w:rPr>
          <w:color w:val="231F20"/>
          <w:spacing w:val="5"/>
        </w:rPr>
        <w:t> </w:t>
      </w:r>
      <w:r>
        <w:rPr>
          <w:color w:val="231F20"/>
        </w:rPr>
        <w:t>the</w:t>
      </w:r>
      <w:r>
        <w:rPr>
          <w:color w:val="231F20"/>
          <w:spacing w:val="5"/>
        </w:rPr>
        <w:t> </w:t>
      </w:r>
      <w:r>
        <w:rPr>
          <w:color w:val="231F20"/>
        </w:rPr>
        <w:t>previous</w:t>
      </w:r>
      <w:r>
        <w:rPr>
          <w:color w:val="231F20"/>
          <w:spacing w:val="5"/>
        </w:rPr>
        <w:t> </w:t>
      </w:r>
      <w:r>
        <w:rPr>
          <w:color w:val="231F20"/>
        </w:rPr>
        <w:t>value</w:t>
      </w:r>
      <w:r>
        <w:rPr>
          <w:color w:val="231F20"/>
          <w:spacing w:val="6"/>
        </w:rPr>
        <w:t> </w:t>
      </w:r>
      <w:r>
        <w:rPr>
          <w:color w:val="231F20"/>
        </w:rPr>
        <w:t>of</w:t>
      </w:r>
      <w:r>
        <w:rPr>
          <w:color w:val="231F20"/>
          <w:spacing w:val="5"/>
        </w:rPr>
        <w:t> </w:t>
      </w:r>
      <w:r>
        <w:rPr>
          <w:color w:val="231F20"/>
        </w:rPr>
        <w:t>the</w:t>
      </w:r>
      <w:r>
        <w:rPr>
          <w:color w:val="231F20"/>
          <w:spacing w:val="5"/>
        </w:rPr>
        <w:t> </w:t>
      </w:r>
      <w:r>
        <w:rPr>
          <w:color w:val="231F20"/>
        </w:rPr>
        <w:t>WaitForScreen</w:t>
      </w:r>
      <w:r>
        <w:rPr>
          <w:color w:val="231F20"/>
          <w:spacing w:val="6"/>
        </w:rPr>
        <w:t> </w:t>
      </w:r>
      <w:r>
        <w:rPr>
          <w:color w:val="231F20"/>
        </w:rPr>
        <w:t>Timeout</w:t>
      </w:r>
      <w:r>
        <w:rPr>
          <w:color w:val="231F20"/>
          <w:spacing w:val="5"/>
        </w:rPr>
        <w:t> </w:t>
      </w:r>
      <w:r>
        <w:rPr>
          <w:color w:val="231F20"/>
          <w:spacing w:val="-2"/>
        </w:rPr>
        <w:t>valued</w:t>
      </w:r>
    </w:p>
    <w:p>
      <w:pPr>
        <w:pStyle w:val="BodyText"/>
        <w:spacing w:before="89"/>
        <w:ind w:left="2951"/>
      </w:pPr>
      <w:r>
        <w:rPr>
          <w:color w:val="231F20"/>
          <w:spacing w:val="-2"/>
        </w:rPr>
        <w:t>Example:</w:t>
      </w:r>
    </w:p>
    <w:p>
      <w:pPr>
        <w:spacing w:line="203" w:lineRule="exact" w:before="56"/>
        <w:ind w:left="2951" w:right="0" w:firstLine="0"/>
        <w:jc w:val="left"/>
        <w:rPr>
          <w:rFonts w:ascii="Arial"/>
          <w:sz w:val="18"/>
        </w:rPr>
      </w:pPr>
      <w:r>
        <w:rPr>
          <w:rFonts w:ascii="Arial"/>
          <w:color w:val="231F20"/>
          <w:sz w:val="18"/>
        </w:rPr>
        <w:t>oldTimeoutValue</w:t>
      </w:r>
      <w:r>
        <w:rPr>
          <w:rFonts w:ascii="Arial"/>
          <w:color w:val="231F20"/>
          <w:spacing w:val="24"/>
          <w:sz w:val="18"/>
        </w:rPr>
        <w:t> </w:t>
      </w:r>
      <w:r>
        <w:rPr>
          <w:rFonts w:ascii="Arial"/>
          <w:color w:val="231F20"/>
          <w:sz w:val="18"/>
        </w:rPr>
        <w:t>=</w:t>
      </w:r>
      <w:r>
        <w:rPr>
          <w:rFonts w:ascii="Arial"/>
          <w:color w:val="231F20"/>
          <w:spacing w:val="24"/>
          <w:sz w:val="18"/>
        </w:rPr>
        <w:t> </w:t>
      </w:r>
      <w:r>
        <w:rPr>
          <w:rFonts w:ascii="Arial"/>
          <w:color w:val="231F20"/>
          <w:spacing w:val="-2"/>
          <w:sz w:val="18"/>
        </w:rPr>
        <w:t>setDefaultTimeout(10000);</w:t>
      </w:r>
    </w:p>
    <w:p>
      <w:pPr>
        <w:spacing w:line="203" w:lineRule="exact" w:before="0"/>
        <w:ind w:left="2951" w:right="0" w:firstLine="0"/>
        <w:jc w:val="left"/>
        <w:rPr>
          <w:rFonts w:ascii="Arial"/>
          <w:sz w:val="18"/>
        </w:rPr>
      </w:pPr>
      <w:r>
        <w:rPr>
          <w:rFonts w:ascii="Arial"/>
          <w:color w:val="231F20"/>
          <w:w w:val="150"/>
          <w:sz w:val="18"/>
        </w:rPr>
        <w:t>//</w:t>
      </w:r>
      <w:r>
        <w:rPr>
          <w:rFonts w:ascii="Arial"/>
          <w:color w:val="231F20"/>
          <w:spacing w:val="24"/>
          <w:w w:val="150"/>
          <w:sz w:val="18"/>
        </w:rPr>
        <w:t> </w:t>
      </w:r>
      <w:r>
        <w:rPr>
          <w:rFonts w:ascii="Arial"/>
          <w:color w:val="231F20"/>
          <w:w w:val="105"/>
          <w:sz w:val="18"/>
        </w:rPr>
        <w:t>override</w:t>
      </w:r>
      <w:r>
        <w:rPr>
          <w:rFonts w:ascii="Arial"/>
          <w:color w:val="231F20"/>
          <w:spacing w:val="46"/>
          <w:w w:val="105"/>
          <w:sz w:val="18"/>
        </w:rPr>
        <w:t> </w:t>
      </w:r>
      <w:r>
        <w:rPr>
          <w:rFonts w:ascii="Arial"/>
          <w:color w:val="231F20"/>
          <w:w w:val="105"/>
          <w:sz w:val="18"/>
        </w:rPr>
        <w:t>the</w:t>
      </w:r>
      <w:r>
        <w:rPr>
          <w:rFonts w:ascii="Arial"/>
          <w:color w:val="231F20"/>
          <w:spacing w:val="47"/>
          <w:w w:val="105"/>
          <w:sz w:val="18"/>
        </w:rPr>
        <w:t> </w:t>
      </w:r>
      <w:r>
        <w:rPr>
          <w:rFonts w:ascii="Arial"/>
          <w:color w:val="231F20"/>
          <w:w w:val="105"/>
          <w:sz w:val="18"/>
        </w:rPr>
        <w:t>timeout</w:t>
      </w:r>
      <w:r>
        <w:rPr>
          <w:rFonts w:ascii="Arial"/>
          <w:color w:val="231F20"/>
          <w:spacing w:val="47"/>
          <w:w w:val="105"/>
          <w:sz w:val="18"/>
        </w:rPr>
        <w:t> </w:t>
      </w:r>
      <w:r>
        <w:rPr>
          <w:rFonts w:ascii="Arial"/>
          <w:color w:val="231F20"/>
          <w:w w:val="105"/>
          <w:sz w:val="18"/>
        </w:rPr>
        <w:t>to</w:t>
      </w:r>
      <w:r>
        <w:rPr>
          <w:rFonts w:ascii="Arial"/>
          <w:color w:val="231F20"/>
          <w:spacing w:val="47"/>
          <w:w w:val="105"/>
          <w:sz w:val="18"/>
        </w:rPr>
        <w:t> </w:t>
      </w:r>
      <w:r>
        <w:rPr>
          <w:rFonts w:ascii="Arial"/>
          <w:color w:val="231F20"/>
          <w:w w:val="105"/>
          <w:sz w:val="18"/>
        </w:rPr>
        <w:t>10</w:t>
      </w:r>
      <w:r>
        <w:rPr>
          <w:rFonts w:ascii="Arial"/>
          <w:color w:val="231F20"/>
          <w:spacing w:val="46"/>
          <w:w w:val="105"/>
          <w:sz w:val="18"/>
        </w:rPr>
        <w:t> </w:t>
      </w:r>
      <w:r>
        <w:rPr>
          <w:rFonts w:ascii="Arial"/>
          <w:color w:val="231F20"/>
          <w:spacing w:val="-2"/>
          <w:w w:val="105"/>
          <w:sz w:val="18"/>
        </w:rPr>
        <w:t>seconds</w:t>
      </w:r>
    </w:p>
    <w:p>
      <w:pPr>
        <w:pStyle w:val="Heading6"/>
        <w:spacing w:before="128"/>
        <w:ind w:left="2232"/>
      </w:pPr>
      <w:r>
        <w:rPr>
          <w:color w:val="231F20"/>
          <w:spacing w:val="-2"/>
        </w:rPr>
        <w:t>SetField</w:t>
      </w:r>
    </w:p>
    <w:p>
      <w:pPr>
        <w:pStyle w:val="BodyText"/>
        <w:spacing w:line="213" w:lineRule="auto" w:before="11"/>
        <w:ind w:left="2951" w:right="545"/>
      </w:pPr>
      <w:r>
        <w:rPr>
          <w:color w:val="231F20"/>
        </w:rPr>
        <w:t>SetField places a string in the field containing the designated location </w:t>
      </w:r>
      <w:r>
        <w:rPr>
          <w:color w:val="231F20"/>
        </w:rPr>
        <w:t>The number of characters is determined by the length of the string.</w:t>
      </w:r>
    </w:p>
    <w:p>
      <w:pPr>
        <w:pStyle w:val="BodyText"/>
        <w:spacing w:before="96"/>
        <w:ind w:left="2951"/>
      </w:pPr>
      <w:r>
        <w:rPr>
          <w:rFonts w:ascii="Book Antiqua"/>
          <w:b/>
          <w:color w:val="231F20"/>
        </w:rPr>
        <w:t>Parms</w:t>
      </w:r>
      <w:r>
        <w:rPr>
          <w:rFonts w:ascii="Book Antiqua"/>
          <w:b/>
          <w:color w:val="231F20"/>
          <w:spacing w:val="70"/>
          <w:w w:val="150"/>
        </w:rPr>
        <w:t> </w:t>
      </w:r>
      <w:r>
        <w:rPr>
          <w:color w:val="231F20"/>
        </w:rPr>
        <w:t>String</w:t>
      </w:r>
      <w:r>
        <w:rPr>
          <w:color w:val="231F20"/>
          <w:spacing w:val="13"/>
        </w:rPr>
        <w:t> </w:t>
      </w:r>
      <w:r>
        <w:rPr>
          <w:color w:val="231F20"/>
        </w:rPr>
        <w:t>value</w:t>
      </w:r>
      <w:r>
        <w:rPr>
          <w:color w:val="231F20"/>
          <w:spacing w:val="13"/>
        </w:rPr>
        <w:t> </w:t>
      </w:r>
      <w:r>
        <w:rPr>
          <w:color w:val="231F20"/>
        </w:rPr>
        <w:t>-</w:t>
      </w:r>
      <w:r>
        <w:rPr>
          <w:color w:val="231F20"/>
          <w:spacing w:val="13"/>
        </w:rPr>
        <w:t> </w:t>
      </w:r>
      <w:r>
        <w:rPr>
          <w:color w:val="231F20"/>
        </w:rPr>
        <w:t>the</w:t>
      </w:r>
      <w:r>
        <w:rPr>
          <w:color w:val="231F20"/>
          <w:spacing w:val="13"/>
        </w:rPr>
        <w:t> </w:t>
      </w:r>
      <w:r>
        <w:rPr>
          <w:color w:val="231F20"/>
        </w:rPr>
        <w:t>string</w:t>
      </w:r>
      <w:r>
        <w:rPr>
          <w:color w:val="231F20"/>
          <w:spacing w:val="13"/>
        </w:rPr>
        <w:t> </w:t>
      </w:r>
      <w:r>
        <w:rPr>
          <w:color w:val="231F20"/>
        </w:rPr>
        <w:t>to</w:t>
      </w:r>
      <w:r>
        <w:rPr>
          <w:color w:val="231F20"/>
          <w:spacing w:val="12"/>
        </w:rPr>
        <w:t> </w:t>
      </w:r>
      <w:r>
        <w:rPr>
          <w:color w:val="231F20"/>
        </w:rPr>
        <w:t>be</w:t>
      </w:r>
      <w:r>
        <w:rPr>
          <w:color w:val="231F20"/>
          <w:spacing w:val="13"/>
        </w:rPr>
        <w:t> </w:t>
      </w:r>
      <w:r>
        <w:rPr>
          <w:color w:val="231F20"/>
        </w:rPr>
        <w:t>placed</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spacing w:val="-2"/>
        </w:rPr>
        <w:t>field</w:t>
      </w:r>
    </w:p>
    <w:p>
      <w:pPr>
        <w:pStyle w:val="BodyText"/>
        <w:spacing w:line="213" w:lineRule="auto" w:before="112"/>
        <w:ind w:left="3669" w:right="636"/>
      </w:pPr>
      <w:r>
        <w:rPr>
          <w:color w:val="231F20"/>
        </w:rPr>
        <w:t>Position - a position on the screen that is part of a field.The position must be in an Unprotected field.This can be a </w:t>
      </w:r>
      <w:r>
        <w:rPr>
          <w:color w:val="231F20"/>
        </w:rPr>
        <w:t>ROW,COL or relative location on the screen.</w:t>
      </w:r>
    </w:p>
    <w:p>
      <w:pPr>
        <w:pStyle w:val="Heading6"/>
        <w:ind w:left="2951"/>
      </w:pPr>
      <w:r>
        <w:rPr>
          <w:color w:val="231F20"/>
          <w:spacing w:val="-2"/>
        </w:rPr>
        <w:t>Return</w:t>
      </w:r>
    </w:p>
    <w:p>
      <w:pPr>
        <w:pStyle w:val="BodyText"/>
        <w:spacing w:line="258" w:lineRule="exact"/>
        <w:ind w:left="3669"/>
      </w:pPr>
      <w:r>
        <w:rPr>
          <w:color w:val="231F20"/>
        </w:rPr>
        <w:t>Returns</w:t>
      </w:r>
      <w:r>
        <w:rPr>
          <w:color w:val="231F20"/>
          <w:spacing w:val="12"/>
        </w:rPr>
        <w:t> </w:t>
      </w:r>
      <w:r>
        <w:rPr>
          <w:color w:val="231F20"/>
        </w:rPr>
        <w:t>0</w:t>
      </w:r>
      <w:r>
        <w:rPr>
          <w:color w:val="231F20"/>
          <w:spacing w:val="12"/>
        </w:rPr>
        <w:t> </w:t>
      </w:r>
      <w:r>
        <w:rPr>
          <w:color w:val="231F20"/>
        </w:rPr>
        <w:t>if</w:t>
      </w:r>
      <w:r>
        <w:rPr>
          <w:color w:val="231F20"/>
          <w:spacing w:val="13"/>
        </w:rPr>
        <w:t> </w:t>
      </w:r>
      <w:r>
        <w:rPr>
          <w:color w:val="231F20"/>
        </w:rPr>
        <w:t>successful,</w:t>
      </w:r>
      <w:r>
        <w:rPr>
          <w:color w:val="231F20"/>
          <w:spacing w:val="12"/>
        </w:rPr>
        <w:t> </w:t>
      </w:r>
      <w:r>
        <w:rPr>
          <w:color w:val="231F20"/>
        </w:rPr>
        <w:t>or</w:t>
      </w:r>
      <w:r>
        <w:rPr>
          <w:color w:val="231F20"/>
          <w:spacing w:val="13"/>
        </w:rPr>
        <w:t> </w:t>
      </w:r>
      <w:r>
        <w:rPr>
          <w:color w:val="231F20"/>
        </w:rPr>
        <w:t>-1</w:t>
      </w:r>
      <w:r>
        <w:rPr>
          <w:color w:val="231F20"/>
          <w:spacing w:val="12"/>
        </w:rPr>
        <w:t> </w:t>
      </w:r>
      <w:r>
        <w:rPr>
          <w:color w:val="231F20"/>
        </w:rPr>
        <w:t>if</w:t>
      </w:r>
      <w:r>
        <w:rPr>
          <w:color w:val="231F20"/>
          <w:spacing w:val="13"/>
        </w:rPr>
        <w:t> </w:t>
      </w:r>
      <w:r>
        <w:rPr>
          <w:color w:val="231F20"/>
        </w:rPr>
        <w:t>there</w:t>
      </w:r>
      <w:r>
        <w:rPr>
          <w:color w:val="231F20"/>
          <w:spacing w:val="12"/>
        </w:rPr>
        <w:t> </w:t>
      </w:r>
      <w:r>
        <w:rPr>
          <w:color w:val="231F20"/>
        </w:rPr>
        <w:t>is</w:t>
      </w:r>
      <w:r>
        <w:rPr>
          <w:color w:val="231F20"/>
          <w:spacing w:val="13"/>
        </w:rPr>
        <w:t> </w:t>
      </w:r>
      <w:r>
        <w:rPr>
          <w:color w:val="231F20"/>
        </w:rPr>
        <w:t>an</w:t>
      </w:r>
      <w:r>
        <w:rPr>
          <w:color w:val="231F20"/>
          <w:spacing w:val="12"/>
        </w:rPr>
        <w:t> </w:t>
      </w:r>
      <w:r>
        <w:rPr>
          <w:color w:val="231F20"/>
          <w:spacing w:val="-2"/>
        </w:rPr>
        <w:t>error.</w:t>
      </w:r>
    </w:p>
    <w:p>
      <w:pPr>
        <w:pStyle w:val="BodyText"/>
        <w:spacing w:before="89"/>
        <w:ind w:left="2951"/>
      </w:pPr>
      <w:r>
        <w:rPr>
          <w:color w:val="231F20"/>
          <w:spacing w:val="-2"/>
        </w:rPr>
        <w:t>Example:</w:t>
      </w:r>
    </w:p>
    <w:p>
      <w:pPr>
        <w:spacing w:line="230" w:lineRule="auto" w:before="63"/>
        <w:ind w:left="2951" w:right="1769" w:firstLine="0"/>
        <w:jc w:val="left"/>
        <w:rPr>
          <w:rFonts w:ascii="Arial"/>
          <w:sz w:val="18"/>
        </w:rPr>
      </w:pPr>
      <w:r>
        <w:rPr>
          <w:rFonts w:ascii="Arial"/>
          <w:color w:val="231F20"/>
          <w:w w:val="115"/>
          <w:sz w:val="18"/>
        </w:rPr>
        <w:t>SetField(applid,5,1);</w:t>
      </w:r>
      <w:r>
        <w:rPr>
          <w:rFonts w:ascii="Arial"/>
          <w:color w:val="231F20"/>
          <w:w w:val="150"/>
          <w:sz w:val="18"/>
        </w:rPr>
        <w:t> //</w:t>
      </w:r>
      <w:r>
        <w:rPr>
          <w:rFonts w:ascii="Arial"/>
          <w:color w:val="231F20"/>
          <w:w w:val="150"/>
          <w:sz w:val="18"/>
        </w:rPr>
        <w:t> </w:t>
      </w:r>
      <w:r>
        <w:rPr>
          <w:rFonts w:ascii="Arial"/>
          <w:color w:val="231F20"/>
          <w:w w:val="115"/>
          <w:sz w:val="18"/>
        </w:rPr>
        <w:t>put</w:t>
      </w:r>
      <w:r>
        <w:rPr>
          <w:rFonts w:ascii="Arial"/>
          <w:color w:val="231F20"/>
          <w:spacing w:val="24"/>
          <w:w w:val="115"/>
          <w:sz w:val="18"/>
        </w:rPr>
        <w:t> </w:t>
      </w:r>
      <w:r>
        <w:rPr>
          <w:rFonts w:ascii="Arial"/>
          <w:color w:val="231F20"/>
          <w:w w:val="115"/>
          <w:sz w:val="18"/>
        </w:rPr>
        <w:t>the</w:t>
      </w:r>
      <w:r>
        <w:rPr>
          <w:rFonts w:ascii="Arial"/>
          <w:color w:val="231F20"/>
          <w:spacing w:val="24"/>
          <w:w w:val="115"/>
          <w:sz w:val="18"/>
        </w:rPr>
        <w:t> </w:t>
      </w:r>
      <w:r>
        <w:rPr>
          <w:rFonts w:ascii="Arial"/>
          <w:color w:val="231F20"/>
          <w:w w:val="115"/>
          <w:sz w:val="18"/>
        </w:rPr>
        <w:t>string</w:t>
      </w:r>
      <w:r>
        <w:rPr>
          <w:rFonts w:ascii="Arial"/>
          <w:color w:val="231F20"/>
          <w:spacing w:val="24"/>
          <w:w w:val="115"/>
          <w:sz w:val="18"/>
        </w:rPr>
        <w:t> </w:t>
      </w:r>
      <w:r>
        <w:rPr>
          <w:rFonts w:ascii="Arial"/>
          <w:color w:val="231F20"/>
          <w:w w:val="115"/>
          <w:sz w:val="18"/>
        </w:rPr>
        <w:t>pointed</w:t>
      </w:r>
      <w:r>
        <w:rPr>
          <w:rFonts w:ascii="Arial"/>
          <w:color w:val="231F20"/>
          <w:spacing w:val="24"/>
          <w:w w:val="115"/>
          <w:sz w:val="18"/>
        </w:rPr>
        <w:t> </w:t>
      </w:r>
      <w:r>
        <w:rPr>
          <w:rFonts w:ascii="Arial"/>
          <w:color w:val="231F20"/>
          <w:w w:val="115"/>
          <w:sz w:val="18"/>
        </w:rPr>
        <w:t>to</w:t>
      </w:r>
      <w:r>
        <w:rPr>
          <w:rFonts w:ascii="Arial"/>
          <w:color w:val="231F20"/>
          <w:spacing w:val="24"/>
          <w:w w:val="115"/>
          <w:sz w:val="18"/>
        </w:rPr>
        <w:t> </w:t>
      </w:r>
      <w:r>
        <w:rPr>
          <w:rFonts w:ascii="Arial"/>
          <w:color w:val="231F20"/>
          <w:w w:val="110"/>
          <w:sz w:val="18"/>
        </w:rPr>
        <w:t>by</w:t>
      </w:r>
      <w:r>
        <w:rPr>
          <w:rFonts w:ascii="Arial"/>
          <w:color w:val="231F20"/>
          <w:spacing w:val="24"/>
          <w:w w:val="115"/>
          <w:sz w:val="18"/>
        </w:rPr>
        <w:t> </w:t>
      </w:r>
      <w:r>
        <w:rPr>
          <w:rFonts w:ascii="Arial"/>
          <w:color w:val="231F20"/>
          <w:w w:val="115"/>
          <w:sz w:val="18"/>
        </w:rPr>
        <w:t>applid at</w:t>
      </w:r>
      <w:r>
        <w:rPr>
          <w:rFonts w:ascii="Arial"/>
          <w:color w:val="231F20"/>
          <w:spacing w:val="40"/>
          <w:w w:val="115"/>
          <w:sz w:val="18"/>
        </w:rPr>
        <w:t> </w:t>
      </w:r>
      <w:r>
        <w:rPr>
          <w:rFonts w:ascii="Arial"/>
          <w:color w:val="231F20"/>
          <w:w w:val="115"/>
          <w:sz w:val="18"/>
        </w:rPr>
        <w:t>the</w:t>
      </w:r>
      <w:r>
        <w:rPr>
          <w:rFonts w:ascii="Arial"/>
          <w:color w:val="231F20"/>
          <w:spacing w:val="40"/>
          <w:w w:val="115"/>
          <w:sz w:val="18"/>
        </w:rPr>
        <w:t> </w:t>
      </w:r>
      <w:r>
        <w:rPr>
          <w:rFonts w:ascii="Arial"/>
          <w:color w:val="231F20"/>
          <w:w w:val="115"/>
          <w:sz w:val="18"/>
        </w:rPr>
        <w:t>field</w:t>
      </w:r>
      <w:r>
        <w:rPr>
          <w:rFonts w:ascii="Arial"/>
          <w:color w:val="231F20"/>
          <w:spacing w:val="40"/>
          <w:w w:val="115"/>
          <w:sz w:val="18"/>
        </w:rPr>
        <w:t> </w:t>
      </w:r>
      <w:r>
        <w:rPr>
          <w:rFonts w:ascii="Arial"/>
          <w:color w:val="231F20"/>
          <w:w w:val="115"/>
          <w:sz w:val="18"/>
        </w:rPr>
        <w:t>containing</w:t>
      </w:r>
      <w:r>
        <w:rPr>
          <w:rFonts w:ascii="Arial"/>
          <w:color w:val="231F20"/>
          <w:spacing w:val="40"/>
          <w:w w:val="115"/>
          <w:sz w:val="18"/>
        </w:rPr>
        <w:t> </w:t>
      </w:r>
      <w:r>
        <w:rPr>
          <w:rFonts w:ascii="Arial"/>
          <w:color w:val="231F20"/>
          <w:w w:val="110"/>
          <w:sz w:val="18"/>
        </w:rPr>
        <w:t>row</w:t>
      </w:r>
      <w:r>
        <w:rPr>
          <w:rFonts w:ascii="Arial"/>
          <w:color w:val="231F20"/>
          <w:spacing w:val="40"/>
          <w:w w:val="115"/>
          <w:sz w:val="18"/>
        </w:rPr>
        <w:t> </w:t>
      </w:r>
      <w:r>
        <w:rPr>
          <w:rFonts w:ascii="Arial"/>
          <w:color w:val="231F20"/>
          <w:w w:val="115"/>
          <w:sz w:val="18"/>
        </w:rPr>
        <w:t>5,col</w:t>
      </w:r>
      <w:r>
        <w:rPr>
          <w:rFonts w:ascii="Arial"/>
          <w:color w:val="231F20"/>
          <w:spacing w:val="40"/>
          <w:w w:val="115"/>
          <w:sz w:val="18"/>
        </w:rPr>
        <w:t> </w:t>
      </w:r>
      <w:r>
        <w:rPr>
          <w:rFonts w:ascii="Arial"/>
          <w:color w:val="231F20"/>
          <w:w w:val="110"/>
          <w:sz w:val="18"/>
        </w:rPr>
        <w:t>1</w:t>
      </w:r>
    </w:p>
    <w:p>
      <w:pPr>
        <w:spacing w:line="230" w:lineRule="auto" w:before="1"/>
        <w:ind w:left="2951" w:right="1504" w:firstLine="0"/>
        <w:jc w:val="left"/>
        <w:rPr>
          <w:rFonts w:ascii="Arial"/>
          <w:sz w:val="18"/>
        </w:rPr>
      </w:pPr>
      <w:r>
        <w:rPr>
          <w:rFonts w:ascii="Arial"/>
          <w:color w:val="231F20"/>
          <w:w w:val="110"/>
          <w:sz w:val="18"/>
        </w:rPr>
        <w:t>SetField("ctsoa",80);</w:t>
      </w:r>
      <w:r>
        <w:rPr>
          <w:rFonts w:ascii="Arial"/>
          <w:color w:val="231F20"/>
          <w:spacing w:val="36"/>
          <w:w w:val="150"/>
          <w:sz w:val="18"/>
        </w:rPr>
        <w:t> </w:t>
      </w:r>
      <w:r>
        <w:rPr>
          <w:rFonts w:ascii="Arial"/>
          <w:color w:val="231F20"/>
          <w:w w:val="150"/>
          <w:sz w:val="18"/>
        </w:rPr>
        <w:t>//</w:t>
      </w:r>
      <w:r>
        <w:rPr>
          <w:rFonts w:ascii="Arial"/>
          <w:color w:val="231F20"/>
          <w:spacing w:val="36"/>
          <w:w w:val="150"/>
          <w:sz w:val="18"/>
        </w:rPr>
        <w:t> </w:t>
      </w:r>
      <w:r>
        <w:rPr>
          <w:rFonts w:ascii="Arial"/>
          <w:color w:val="231F20"/>
          <w:w w:val="110"/>
          <w:sz w:val="18"/>
        </w:rPr>
        <w:t>put</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ctsoa</w:t>
      </w:r>
      <w:r>
        <w:rPr>
          <w:rFonts w:ascii="Arial"/>
          <w:color w:val="231F20"/>
          <w:spacing w:val="40"/>
          <w:w w:val="110"/>
          <w:sz w:val="18"/>
        </w:rPr>
        <w:t> </w:t>
      </w:r>
      <w:r>
        <w:rPr>
          <w:rFonts w:ascii="Arial"/>
          <w:color w:val="231F20"/>
          <w:w w:val="110"/>
          <w:sz w:val="18"/>
        </w:rPr>
        <w:t>at</w:t>
      </w:r>
      <w:r>
        <w:rPr>
          <w:rFonts w:ascii="Arial"/>
          <w:color w:val="231F20"/>
          <w:spacing w:val="40"/>
          <w:w w:val="110"/>
          <w:sz w:val="18"/>
        </w:rPr>
        <w:t> </w:t>
      </w:r>
      <w:r>
        <w:rPr>
          <w:rFonts w:ascii="Arial"/>
          <w:color w:val="231F20"/>
          <w:w w:val="110"/>
          <w:sz w:val="18"/>
        </w:rPr>
        <w:t>the</w:t>
      </w:r>
      <w:r>
        <w:rPr>
          <w:rFonts w:ascii="Arial"/>
          <w:color w:val="231F20"/>
          <w:spacing w:val="40"/>
          <w:w w:val="115"/>
          <w:sz w:val="18"/>
        </w:rPr>
        <w:t> </w:t>
      </w:r>
      <w:r>
        <w:rPr>
          <w:rFonts w:ascii="Arial"/>
          <w:color w:val="231F20"/>
          <w:w w:val="115"/>
          <w:sz w:val="18"/>
        </w:rPr>
        <w:t>field </w:t>
      </w:r>
      <w:r>
        <w:rPr>
          <w:rFonts w:ascii="Arial"/>
          <w:color w:val="231F20"/>
          <w:w w:val="110"/>
          <w:sz w:val="18"/>
        </w:rPr>
        <w:t>containing</w:t>
      </w:r>
      <w:r>
        <w:rPr>
          <w:rFonts w:ascii="Arial"/>
          <w:color w:val="231F20"/>
          <w:spacing w:val="31"/>
          <w:w w:val="110"/>
          <w:sz w:val="18"/>
        </w:rPr>
        <w:t> </w:t>
      </w:r>
      <w:r>
        <w:rPr>
          <w:rFonts w:ascii="Arial"/>
          <w:color w:val="231F20"/>
          <w:w w:val="110"/>
          <w:sz w:val="18"/>
        </w:rPr>
        <w:t>offset</w:t>
      </w:r>
      <w:r>
        <w:rPr>
          <w:rFonts w:ascii="Arial"/>
          <w:color w:val="231F20"/>
          <w:spacing w:val="31"/>
          <w:w w:val="110"/>
          <w:sz w:val="18"/>
        </w:rPr>
        <w:t> </w:t>
      </w:r>
      <w:r>
        <w:rPr>
          <w:rFonts w:ascii="Arial"/>
          <w:color w:val="231F20"/>
          <w:w w:val="110"/>
          <w:sz w:val="18"/>
        </w:rPr>
        <w:t>80</w:t>
      </w:r>
      <w:r>
        <w:rPr>
          <w:rFonts w:ascii="Arial"/>
          <w:color w:val="231F20"/>
          <w:spacing w:val="31"/>
          <w:w w:val="110"/>
          <w:sz w:val="18"/>
        </w:rPr>
        <w:t> </w:t>
      </w:r>
      <w:r>
        <w:rPr>
          <w:rFonts w:ascii="Arial"/>
          <w:color w:val="231F20"/>
          <w:w w:val="110"/>
          <w:sz w:val="18"/>
        </w:rPr>
        <w:t>(row</w:t>
      </w:r>
      <w:r>
        <w:rPr>
          <w:rFonts w:ascii="Arial"/>
          <w:color w:val="231F20"/>
          <w:spacing w:val="31"/>
          <w:w w:val="110"/>
          <w:sz w:val="18"/>
        </w:rPr>
        <w:t> </w:t>
      </w:r>
      <w:r>
        <w:rPr>
          <w:rFonts w:ascii="Arial"/>
          <w:color w:val="231F20"/>
          <w:w w:val="110"/>
          <w:sz w:val="18"/>
        </w:rPr>
        <w:t>2</w:t>
      </w:r>
      <w:r>
        <w:rPr>
          <w:rFonts w:ascii="Arial"/>
          <w:color w:val="231F20"/>
          <w:spacing w:val="31"/>
          <w:w w:val="110"/>
          <w:sz w:val="18"/>
        </w:rPr>
        <w:t> </w:t>
      </w:r>
      <w:r>
        <w:rPr>
          <w:rFonts w:ascii="Arial"/>
          <w:color w:val="231F20"/>
          <w:w w:val="110"/>
          <w:sz w:val="18"/>
        </w:rPr>
        <w:t>col</w:t>
      </w:r>
      <w:r>
        <w:rPr>
          <w:rFonts w:ascii="Arial"/>
          <w:color w:val="231F20"/>
          <w:spacing w:val="31"/>
          <w:w w:val="110"/>
          <w:sz w:val="18"/>
        </w:rPr>
        <w:t> </w:t>
      </w:r>
      <w:r>
        <w:rPr>
          <w:rFonts w:ascii="Arial"/>
          <w:color w:val="231F20"/>
          <w:w w:val="110"/>
          <w:sz w:val="18"/>
        </w:rPr>
        <w:t>1</w:t>
      </w:r>
      <w:r>
        <w:rPr>
          <w:rFonts w:ascii="Arial"/>
          <w:color w:val="231F20"/>
          <w:spacing w:val="31"/>
          <w:w w:val="110"/>
          <w:sz w:val="18"/>
        </w:rPr>
        <w:t> </w:t>
      </w:r>
      <w:r>
        <w:rPr>
          <w:rFonts w:ascii="Arial"/>
          <w:color w:val="231F20"/>
          <w:w w:val="110"/>
          <w:sz w:val="18"/>
        </w:rPr>
        <w:t>on</w:t>
      </w:r>
      <w:r>
        <w:rPr>
          <w:rFonts w:ascii="Arial"/>
          <w:color w:val="231F20"/>
          <w:spacing w:val="31"/>
          <w:w w:val="110"/>
          <w:sz w:val="18"/>
        </w:rPr>
        <w:t> </w:t>
      </w:r>
      <w:r>
        <w:rPr>
          <w:rFonts w:ascii="Arial"/>
          <w:color w:val="231F20"/>
          <w:w w:val="110"/>
          <w:sz w:val="18"/>
        </w:rPr>
        <w:t>a</w:t>
      </w:r>
      <w:r>
        <w:rPr>
          <w:rFonts w:ascii="Arial"/>
          <w:color w:val="231F20"/>
          <w:spacing w:val="31"/>
          <w:w w:val="110"/>
          <w:sz w:val="18"/>
        </w:rPr>
        <w:t> </w:t>
      </w:r>
      <w:r>
        <w:rPr>
          <w:rFonts w:ascii="Arial"/>
          <w:color w:val="231F20"/>
          <w:w w:val="110"/>
          <w:sz w:val="18"/>
        </w:rPr>
        <w:t>model</w:t>
      </w:r>
      <w:r>
        <w:rPr>
          <w:rFonts w:ascii="Arial"/>
          <w:color w:val="231F20"/>
          <w:spacing w:val="31"/>
          <w:w w:val="110"/>
          <w:sz w:val="18"/>
        </w:rPr>
        <w:t> </w:t>
      </w:r>
      <w:r>
        <w:rPr>
          <w:rFonts w:ascii="Arial"/>
          <w:color w:val="231F20"/>
          <w:w w:val="110"/>
          <w:sz w:val="18"/>
        </w:rPr>
        <w:t>2)</w:t>
      </w:r>
    </w:p>
    <w:p>
      <w:pPr>
        <w:spacing w:after="0" w:line="230" w:lineRule="auto"/>
        <w:jc w:val="left"/>
        <w:rPr>
          <w:rFonts w:ascii="Arial"/>
          <w:sz w:val="18"/>
        </w:rPr>
        <w:sectPr>
          <w:pgSz w:w="12240" w:h="15840"/>
          <w:pgMar w:header="0" w:footer="736" w:top="1180" w:bottom="920" w:left="1000" w:right="1060"/>
        </w:sectPr>
      </w:pPr>
    </w:p>
    <w:p>
      <w:pPr>
        <w:pStyle w:val="BodyText"/>
        <w:spacing w:line="213" w:lineRule="auto" w:before="85"/>
        <w:ind w:left="3190" w:right="385"/>
      </w:pPr>
      <w:r>
        <w:rPr>
          <w:rFonts w:ascii="Book Antiqua"/>
          <w:b/>
          <w:color w:val="231F20"/>
        </w:rPr>
        <w:t>Note:</w:t>
      </w:r>
      <w:r>
        <w:rPr>
          <w:rFonts w:ascii="Book Antiqua"/>
          <w:b/>
          <w:color w:val="231F20"/>
          <w:spacing w:val="40"/>
        </w:rPr>
        <w:t> </w:t>
      </w:r>
      <w:r>
        <w:rPr>
          <w:color w:val="231F20"/>
        </w:rPr>
        <w:t>If the location on the screen is not an Unprotected field, or if the length exceeds the size of the field, an error will be generated; no data </w:t>
      </w:r>
      <w:r>
        <w:rPr>
          <w:color w:val="231F20"/>
        </w:rPr>
        <w:t>will</w:t>
      </w:r>
      <w:r>
        <w:rPr>
          <w:color w:val="231F20"/>
          <w:spacing w:val="40"/>
        </w:rPr>
        <w:t> </w:t>
      </w:r>
      <w:r>
        <w:rPr>
          <w:color w:val="231F20"/>
        </w:rPr>
        <w:t>be placed.</w:t>
      </w:r>
    </w:p>
    <w:p>
      <w:pPr>
        <w:pStyle w:val="Heading6"/>
        <w:spacing w:before="116"/>
      </w:pPr>
      <w:r>
        <w:rPr>
          <w:color w:val="231F20"/>
          <w:spacing w:val="-2"/>
        </w:rPr>
        <w:t>SetFontSize</w:t>
      </w:r>
    </w:p>
    <w:p>
      <w:pPr>
        <w:pStyle w:val="BodyText"/>
        <w:spacing w:line="258" w:lineRule="exact"/>
        <w:ind w:left="3190"/>
      </w:pPr>
      <w:r>
        <w:rPr>
          <w:color w:val="231F20"/>
        </w:rPr>
        <w:t>Sets</w:t>
      </w:r>
      <w:r>
        <w:rPr>
          <w:color w:val="231F20"/>
          <w:spacing w:val="13"/>
        </w:rPr>
        <w:t> </w:t>
      </w:r>
      <w:r>
        <w:rPr>
          <w:color w:val="231F20"/>
        </w:rPr>
        <w:t>a</w:t>
      </w:r>
      <w:r>
        <w:rPr>
          <w:color w:val="231F20"/>
          <w:spacing w:val="13"/>
        </w:rPr>
        <w:t> </w:t>
      </w:r>
      <w:r>
        <w:rPr>
          <w:color w:val="231F20"/>
        </w:rPr>
        <w:t>new</w:t>
      </w:r>
      <w:r>
        <w:rPr>
          <w:color w:val="231F20"/>
          <w:spacing w:val="13"/>
        </w:rPr>
        <w:t> </w:t>
      </w:r>
      <w:r>
        <w:rPr>
          <w:color w:val="231F20"/>
        </w:rPr>
        <w:t>font</w:t>
      </w:r>
      <w:r>
        <w:rPr>
          <w:color w:val="231F20"/>
          <w:spacing w:val="13"/>
        </w:rPr>
        <w:t> </w:t>
      </w:r>
      <w:r>
        <w:rPr>
          <w:color w:val="231F20"/>
          <w:spacing w:val="-2"/>
        </w:rPr>
        <w:t>size.</w:t>
      </w:r>
    </w:p>
    <w:p>
      <w:pPr>
        <w:pStyle w:val="BodyText"/>
        <w:spacing w:before="90"/>
        <w:ind w:left="3190"/>
      </w:pPr>
      <w:r>
        <w:rPr>
          <w:rFonts w:ascii="Book Antiqua"/>
          <w:b/>
          <w:color w:val="231F20"/>
        </w:rPr>
        <w:t>Parms</w:t>
      </w:r>
      <w:r>
        <w:rPr>
          <w:rFonts w:ascii="Book Antiqua"/>
          <w:b/>
          <w:color w:val="231F20"/>
          <w:spacing w:val="71"/>
          <w:w w:val="150"/>
        </w:rPr>
        <w:t> </w:t>
      </w:r>
      <w:r>
        <w:rPr>
          <w:color w:val="231F20"/>
        </w:rPr>
        <w:t>The</w:t>
      </w:r>
      <w:r>
        <w:rPr>
          <w:color w:val="231F20"/>
          <w:spacing w:val="13"/>
        </w:rPr>
        <w:t> </w:t>
      </w:r>
      <w:r>
        <w:rPr>
          <w:color w:val="231F20"/>
        </w:rPr>
        <w:t>new</w:t>
      </w:r>
      <w:r>
        <w:rPr>
          <w:color w:val="231F20"/>
          <w:spacing w:val="13"/>
        </w:rPr>
        <w:t> </w:t>
      </w:r>
      <w:r>
        <w:rPr>
          <w:color w:val="231F20"/>
        </w:rPr>
        <w:t>font</w:t>
      </w:r>
      <w:r>
        <w:rPr>
          <w:color w:val="231F20"/>
          <w:spacing w:val="13"/>
        </w:rPr>
        <w:t> </w:t>
      </w:r>
      <w:r>
        <w:rPr>
          <w:color w:val="231F20"/>
        </w:rPr>
        <w:t>size,</w:t>
      </w:r>
      <w:r>
        <w:rPr>
          <w:color w:val="231F20"/>
          <w:spacing w:val="13"/>
        </w:rPr>
        <w:t> </w:t>
      </w:r>
      <w:r>
        <w:rPr>
          <w:color w:val="231F20"/>
        </w:rPr>
        <w:t>in</w:t>
      </w:r>
      <w:r>
        <w:rPr>
          <w:color w:val="231F20"/>
          <w:spacing w:val="12"/>
        </w:rPr>
        <w:t> </w:t>
      </w:r>
      <w:r>
        <w:rPr>
          <w:color w:val="231F20"/>
          <w:spacing w:val="-2"/>
        </w:rPr>
        <w:t>points</w:t>
      </w:r>
    </w:p>
    <w:p>
      <w:pPr>
        <w:pStyle w:val="Heading6"/>
        <w:spacing w:line="240" w:lineRule="auto" w:before="111"/>
        <w:ind w:left="3190"/>
      </w:pPr>
      <w:r>
        <w:rPr>
          <w:color w:val="231F20"/>
          <w:spacing w:val="-2"/>
        </w:rPr>
        <w:t>Return</w:t>
      </w:r>
    </w:p>
    <w:p>
      <w:pPr>
        <w:pStyle w:val="BodyText"/>
        <w:spacing w:line="246" w:lineRule="exact"/>
        <w:ind w:left="3909"/>
      </w:pPr>
      <w:r>
        <w:rPr>
          <w:color w:val="231F20"/>
        </w:rPr>
        <w:t>Returns</w:t>
      </w:r>
      <w:r>
        <w:rPr>
          <w:color w:val="231F20"/>
          <w:spacing w:val="11"/>
        </w:rPr>
        <w:t> </w:t>
      </w:r>
      <w:r>
        <w:rPr>
          <w:color w:val="231F20"/>
        </w:rPr>
        <w:t>the</w:t>
      </w:r>
      <w:r>
        <w:rPr>
          <w:color w:val="231F20"/>
          <w:spacing w:val="11"/>
        </w:rPr>
        <w:t> </w:t>
      </w:r>
      <w:r>
        <w:rPr>
          <w:color w:val="231F20"/>
        </w:rPr>
        <w:t>previous</w:t>
      </w:r>
      <w:r>
        <w:rPr>
          <w:color w:val="231F20"/>
          <w:spacing w:val="11"/>
        </w:rPr>
        <w:t> </w:t>
      </w:r>
      <w:r>
        <w:rPr>
          <w:color w:val="231F20"/>
        </w:rPr>
        <w:t>value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font</w:t>
      </w:r>
      <w:r>
        <w:rPr>
          <w:color w:val="231F20"/>
          <w:spacing w:val="11"/>
        </w:rPr>
        <w:t> </w:t>
      </w:r>
      <w:r>
        <w:rPr>
          <w:color w:val="231F20"/>
          <w:spacing w:val="-4"/>
        </w:rPr>
        <w:t>size</w:t>
      </w:r>
    </w:p>
    <w:p>
      <w:pPr>
        <w:pStyle w:val="BodyText"/>
        <w:spacing w:before="89"/>
        <w:ind w:left="3190"/>
      </w:pPr>
      <w:r>
        <w:rPr>
          <w:color w:val="231F20"/>
          <w:spacing w:val="-2"/>
        </w:rPr>
        <w:t>Example:</w:t>
      </w:r>
    </w:p>
    <w:p>
      <w:pPr>
        <w:spacing w:before="56"/>
        <w:ind w:left="3190" w:right="0" w:firstLine="0"/>
        <w:jc w:val="left"/>
        <w:rPr>
          <w:rFonts w:ascii="Arial"/>
          <w:sz w:val="18"/>
        </w:rPr>
      </w:pPr>
      <w:r>
        <w:rPr>
          <w:rFonts w:ascii="Arial"/>
          <w:color w:val="231F20"/>
          <w:w w:val="105"/>
          <w:sz w:val="18"/>
        </w:rPr>
        <w:t>oldFontSize</w:t>
      </w:r>
      <w:r>
        <w:rPr>
          <w:rFonts w:ascii="Arial"/>
          <w:color w:val="231F20"/>
          <w:spacing w:val="32"/>
          <w:w w:val="105"/>
          <w:sz w:val="18"/>
        </w:rPr>
        <w:t> </w:t>
      </w:r>
      <w:r>
        <w:rPr>
          <w:rFonts w:ascii="Arial"/>
          <w:color w:val="231F20"/>
          <w:w w:val="105"/>
          <w:sz w:val="18"/>
        </w:rPr>
        <w:t>=</w:t>
      </w:r>
      <w:r>
        <w:rPr>
          <w:rFonts w:ascii="Arial"/>
          <w:color w:val="231F20"/>
          <w:spacing w:val="33"/>
          <w:w w:val="105"/>
          <w:sz w:val="18"/>
        </w:rPr>
        <w:t> </w:t>
      </w:r>
      <w:r>
        <w:rPr>
          <w:rFonts w:ascii="Arial"/>
          <w:color w:val="231F20"/>
          <w:w w:val="105"/>
          <w:sz w:val="18"/>
        </w:rPr>
        <w:t>setFontSize(16);</w:t>
      </w:r>
      <w:r>
        <w:rPr>
          <w:rFonts w:ascii="Arial"/>
          <w:color w:val="231F20"/>
          <w:spacing w:val="11"/>
          <w:w w:val="150"/>
          <w:sz w:val="18"/>
        </w:rPr>
        <w:t> </w:t>
      </w:r>
      <w:r>
        <w:rPr>
          <w:rFonts w:ascii="Arial"/>
          <w:color w:val="231F20"/>
          <w:w w:val="150"/>
          <w:sz w:val="18"/>
        </w:rPr>
        <w:t>//</w:t>
      </w:r>
      <w:r>
        <w:rPr>
          <w:rFonts w:ascii="Arial"/>
          <w:color w:val="231F20"/>
          <w:spacing w:val="10"/>
          <w:w w:val="150"/>
          <w:sz w:val="18"/>
        </w:rPr>
        <w:t> </w:t>
      </w:r>
      <w:r>
        <w:rPr>
          <w:rFonts w:ascii="Arial"/>
          <w:color w:val="231F20"/>
          <w:w w:val="105"/>
          <w:sz w:val="18"/>
        </w:rPr>
        <w:t>set</w:t>
      </w:r>
      <w:r>
        <w:rPr>
          <w:rFonts w:ascii="Arial"/>
          <w:color w:val="231F20"/>
          <w:spacing w:val="33"/>
          <w:w w:val="105"/>
          <w:sz w:val="18"/>
        </w:rPr>
        <w:t> </w:t>
      </w:r>
      <w:r>
        <w:rPr>
          <w:rFonts w:ascii="Arial"/>
          <w:color w:val="231F20"/>
          <w:w w:val="105"/>
          <w:sz w:val="18"/>
        </w:rPr>
        <w:t>the</w:t>
      </w:r>
      <w:r>
        <w:rPr>
          <w:rFonts w:ascii="Arial"/>
          <w:color w:val="231F20"/>
          <w:spacing w:val="33"/>
          <w:w w:val="105"/>
          <w:sz w:val="18"/>
        </w:rPr>
        <w:t> </w:t>
      </w:r>
      <w:r>
        <w:rPr>
          <w:rFonts w:ascii="Arial"/>
          <w:color w:val="231F20"/>
          <w:w w:val="105"/>
          <w:sz w:val="18"/>
        </w:rPr>
        <w:t>new</w:t>
      </w:r>
      <w:r>
        <w:rPr>
          <w:rFonts w:ascii="Arial"/>
          <w:color w:val="231F20"/>
          <w:spacing w:val="33"/>
          <w:w w:val="105"/>
          <w:sz w:val="18"/>
        </w:rPr>
        <w:t> </w:t>
      </w:r>
      <w:r>
        <w:rPr>
          <w:rFonts w:ascii="Arial"/>
          <w:color w:val="231F20"/>
          <w:w w:val="105"/>
          <w:sz w:val="18"/>
        </w:rPr>
        <w:t>Font</w:t>
      </w:r>
      <w:r>
        <w:rPr>
          <w:rFonts w:ascii="Arial"/>
          <w:color w:val="231F20"/>
          <w:spacing w:val="33"/>
          <w:w w:val="105"/>
          <w:sz w:val="18"/>
        </w:rPr>
        <w:t> </w:t>
      </w:r>
      <w:r>
        <w:rPr>
          <w:rFonts w:ascii="Arial"/>
          <w:color w:val="231F20"/>
          <w:w w:val="105"/>
          <w:sz w:val="18"/>
        </w:rPr>
        <w:t>size</w:t>
      </w:r>
      <w:r>
        <w:rPr>
          <w:rFonts w:ascii="Arial"/>
          <w:color w:val="231F20"/>
          <w:spacing w:val="33"/>
          <w:w w:val="105"/>
          <w:sz w:val="18"/>
        </w:rPr>
        <w:t> </w:t>
      </w:r>
      <w:r>
        <w:rPr>
          <w:rFonts w:ascii="Arial"/>
          <w:color w:val="231F20"/>
          <w:w w:val="105"/>
          <w:sz w:val="18"/>
        </w:rPr>
        <w:t>to</w:t>
      </w:r>
      <w:r>
        <w:rPr>
          <w:rFonts w:ascii="Arial"/>
          <w:color w:val="231F20"/>
          <w:spacing w:val="33"/>
          <w:w w:val="105"/>
          <w:sz w:val="18"/>
        </w:rPr>
        <w:t> </w:t>
      </w:r>
      <w:r>
        <w:rPr>
          <w:rFonts w:ascii="Arial"/>
          <w:color w:val="231F20"/>
          <w:w w:val="105"/>
          <w:sz w:val="18"/>
        </w:rPr>
        <w:t>16</w:t>
      </w:r>
      <w:r>
        <w:rPr>
          <w:rFonts w:ascii="Arial"/>
          <w:color w:val="231F20"/>
          <w:spacing w:val="33"/>
          <w:w w:val="105"/>
          <w:sz w:val="18"/>
        </w:rPr>
        <w:t> </w:t>
      </w:r>
      <w:r>
        <w:rPr>
          <w:rFonts w:ascii="Arial"/>
          <w:color w:val="231F20"/>
          <w:spacing w:val="-5"/>
          <w:w w:val="105"/>
          <w:sz w:val="18"/>
        </w:rPr>
        <w:t>pt</w:t>
      </w:r>
    </w:p>
    <w:p>
      <w:pPr>
        <w:pStyle w:val="Heading6"/>
        <w:spacing w:before="128"/>
      </w:pPr>
      <w:r>
        <w:rPr>
          <w:color w:val="231F20"/>
          <w:spacing w:val="-2"/>
        </w:rPr>
        <w:t>Setstring</w:t>
      </w:r>
    </w:p>
    <w:p>
      <w:pPr>
        <w:pStyle w:val="BodyText"/>
        <w:spacing w:line="213" w:lineRule="auto" w:before="11"/>
        <w:ind w:left="3190" w:right="545"/>
      </w:pPr>
      <w:r>
        <w:rPr>
          <w:color w:val="231F20"/>
        </w:rPr>
        <w:t>Setstring places a string at the designated location on the screen. </w:t>
      </w:r>
      <w:r>
        <w:rPr>
          <w:color w:val="231F20"/>
        </w:rPr>
        <w:t>The number of characters is determined by the length of the string.</w:t>
      </w:r>
    </w:p>
    <w:p>
      <w:pPr>
        <w:pStyle w:val="BodyText"/>
        <w:spacing w:before="95"/>
        <w:ind w:left="3190"/>
      </w:pPr>
      <w:r>
        <w:rPr>
          <w:rFonts w:ascii="Book Antiqua"/>
          <w:b/>
          <w:color w:val="231F20"/>
        </w:rPr>
        <w:t>Parms</w:t>
      </w:r>
      <w:r>
        <w:rPr>
          <w:rFonts w:ascii="Book Antiqua"/>
          <w:b/>
          <w:color w:val="231F20"/>
          <w:spacing w:val="70"/>
          <w:w w:val="150"/>
        </w:rPr>
        <w:t> </w:t>
      </w:r>
      <w:r>
        <w:rPr>
          <w:color w:val="231F20"/>
        </w:rPr>
        <w:t>String</w:t>
      </w:r>
      <w:r>
        <w:rPr>
          <w:color w:val="231F20"/>
          <w:spacing w:val="13"/>
        </w:rPr>
        <w:t> </w:t>
      </w:r>
      <w:r>
        <w:rPr>
          <w:color w:val="231F20"/>
        </w:rPr>
        <w:t>value</w:t>
      </w:r>
      <w:r>
        <w:rPr>
          <w:color w:val="231F20"/>
          <w:spacing w:val="13"/>
        </w:rPr>
        <w:t> </w:t>
      </w:r>
      <w:r>
        <w:rPr>
          <w:color w:val="231F20"/>
        </w:rPr>
        <w:t>-</w:t>
      </w:r>
      <w:r>
        <w:rPr>
          <w:color w:val="231F20"/>
          <w:spacing w:val="13"/>
        </w:rPr>
        <w:t> </w:t>
      </w:r>
      <w:r>
        <w:rPr>
          <w:color w:val="231F20"/>
        </w:rPr>
        <w:t>the</w:t>
      </w:r>
      <w:r>
        <w:rPr>
          <w:color w:val="231F20"/>
          <w:spacing w:val="12"/>
        </w:rPr>
        <w:t> </w:t>
      </w:r>
      <w:r>
        <w:rPr>
          <w:color w:val="231F20"/>
        </w:rPr>
        <w:t>string</w:t>
      </w:r>
      <w:r>
        <w:rPr>
          <w:color w:val="231F20"/>
          <w:spacing w:val="13"/>
        </w:rPr>
        <w:t> </w:t>
      </w:r>
      <w:r>
        <w:rPr>
          <w:color w:val="231F20"/>
        </w:rPr>
        <w:t>to</w:t>
      </w:r>
      <w:r>
        <w:rPr>
          <w:color w:val="231F20"/>
          <w:spacing w:val="13"/>
        </w:rPr>
        <w:t> </w:t>
      </w:r>
      <w:r>
        <w:rPr>
          <w:color w:val="231F20"/>
        </w:rPr>
        <w:t>be</w:t>
      </w:r>
      <w:r>
        <w:rPr>
          <w:color w:val="231F20"/>
          <w:spacing w:val="13"/>
        </w:rPr>
        <w:t> </w:t>
      </w:r>
      <w:r>
        <w:rPr>
          <w:color w:val="231F20"/>
        </w:rPr>
        <w:t>placed</w:t>
      </w:r>
      <w:r>
        <w:rPr>
          <w:color w:val="231F20"/>
          <w:spacing w:val="13"/>
        </w:rPr>
        <w:t> </w:t>
      </w:r>
      <w:r>
        <w:rPr>
          <w:color w:val="231F20"/>
        </w:rPr>
        <w:t>on</w:t>
      </w:r>
      <w:r>
        <w:rPr>
          <w:color w:val="231F20"/>
          <w:spacing w:val="13"/>
        </w:rPr>
        <w:t> </w:t>
      </w:r>
      <w:r>
        <w:rPr>
          <w:color w:val="231F20"/>
        </w:rPr>
        <w:t>the</w:t>
      </w:r>
      <w:r>
        <w:rPr>
          <w:color w:val="231F20"/>
          <w:spacing w:val="12"/>
        </w:rPr>
        <w:t> </w:t>
      </w:r>
      <w:r>
        <w:rPr>
          <w:color w:val="231F20"/>
          <w:spacing w:val="-2"/>
        </w:rPr>
        <w:t>screen:</w:t>
      </w:r>
    </w:p>
    <w:p>
      <w:pPr>
        <w:pStyle w:val="BodyText"/>
        <w:spacing w:line="213" w:lineRule="auto" w:before="113"/>
        <w:ind w:left="3909"/>
      </w:pPr>
      <w:r>
        <w:rPr>
          <w:color w:val="231F20"/>
        </w:rPr>
        <w:t>Position - the position on the screen. This can be a ROW,COL </w:t>
      </w:r>
      <w:r>
        <w:rPr>
          <w:color w:val="231F20"/>
        </w:rPr>
        <w:t>or relative location on the screen.</w:t>
      </w:r>
    </w:p>
    <w:p>
      <w:pPr>
        <w:pStyle w:val="Heading6"/>
        <w:ind w:left="3190"/>
      </w:pPr>
      <w:r>
        <w:rPr>
          <w:color w:val="231F20"/>
          <w:spacing w:val="-2"/>
        </w:rPr>
        <w:t>Return</w:t>
      </w:r>
    </w:p>
    <w:p>
      <w:pPr>
        <w:pStyle w:val="BodyText"/>
        <w:spacing w:line="258" w:lineRule="exact"/>
        <w:ind w:left="3909"/>
      </w:pPr>
      <w:r>
        <w:rPr>
          <w:color w:val="231F20"/>
        </w:rPr>
        <w:t>Returns</w:t>
      </w:r>
      <w:r>
        <w:rPr>
          <w:color w:val="231F20"/>
          <w:spacing w:val="12"/>
        </w:rPr>
        <w:t> </w:t>
      </w:r>
      <w:r>
        <w:rPr>
          <w:color w:val="231F20"/>
        </w:rPr>
        <w:t>0</w:t>
      </w:r>
      <w:r>
        <w:rPr>
          <w:color w:val="231F20"/>
          <w:spacing w:val="12"/>
        </w:rPr>
        <w:t> </w:t>
      </w:r>
      <w:r>
        <w:rPr>
          <w:color w:val="231F20"/>
        </w:rPr>
        <w:t>if</w:t>
      </w:r>
      <w:r>
        <w:rPr>
          <w:color w:val="231F20"/>
          <w:spacing w:val="13"/>
        </w:rPr>
        <w:t> </w:t>
      </w:r>
      <w:r>
        <w:rPr>
          <w:color w:val="231F20"/>
        </w:rPr>
        <w:t>successful,</w:t>
      </w:r>
      <w:r>
        <w:rPr>
          <w:color w:val="231F20"/>
          <w:spacing w:val="12"/>
        </w:rPr>
        <w:t> </w:t>
      </w:r>
      <w:r>
        <w:rPr>
          <w:color w:val="231F20"/>
        </w:rPr>
        <w:t>or</w:t>
      </w:r>
      <w:r>
        <w:rPr>
          <w:color w:val="231F20"/>
          <w:spacing w:val="13"/>
        </w:rPr>
        <w:t> </w:t>
      </w:r>
      <w:r>
        <w:rPr>
          <w:color w:val="231F20"/>
        </w:rPr>
        <w:t>-1</w:t>
      </w:r>
      <w:r>
        <w:rPr>
          <w:color w:val="231F20"/>
          <w:spacing w:val="12"/>
        </w:rPr>
        <w:t> </w:t>
      </w:r>
      <w:r>
        <w:rPr>
          <w:color w:val="231F20"/>
        </w:rPr>
        <w:t>if</w:t>
      </w:r>
      <w:r>
        <w:rPr>
          <w:color w:val="231F20"/>
          <w:spacing w:val="13"/>
        </w:rPr>
        <w:t> </w:t>
      </w:r>
      <w:r>
        <w:rPr>
          <w:color w:val="231F20"/>
        </w:rPr>
        <w:t>there</w:t>
      </w:r>
      <w:r>
        <w:rPr>
          <w:color w:val="231F20"/>
          <w:spacing w:val="12"/>
        </w:rPr>
        <w:t> </w:t>
      </w:r>
      <w:r>
        <w:rPr>
          <w:color w:val="231F20"/>
        </w:rPr>
        <w:t>is</w:t>
      </w:r>
      <w:r>
        <w:rPr>
          <w:color w:val="231F20"/>
          <w:spacing w:val="13"/>
        </w:rPr>
        <w:t> </w:t>
      </w:r>
      <w:r>
        <w:rPr>
          <w:color w:val="231F20"/>
        </w:rPr>
        <w:t>an</w:t>
      </w:r>
      <w:r>
        <w:rPr>
          <w:color w:val="231F20"/>
          <w:spacing w:val="12"/>
        </w:rPr>
        <w:t> </w:t>
      </w:r>
      <w:r>
        <w:rPr>
          <w:color w:val="231F20"/>
          <w:spacing w:val="-4"/>
        </w:rPr>
        <w:t>error</w:t>
      </w:r>
    </w:p>
    <w:p>
      <w:pPr>
        <w:pStyle w:val="BodyText"/>
        <w:spacing w:before="89"/>
        <w:ind w:left="3190"/>
      </w:pPr>
      <w:r>
        <w:rPr>
          <w:color w:val="231F20"/>
          <w:spacing w:val="-2"/>
        </w:rPr>
        <w:t>Example:</w:t>
      </w:r>
    </w:p>
    <w:p>
      <w:pPr>
        <w:spacing w:line="230" w:lineRule="auto" w:before="63"/>
        <w:ind w:left="3190" w:right="2478" w:firstLine="0"/>
        <w:jc w:val="left"/>
        <w:rPr>
          <w:rFonts w:ascii="Arial"/>
          <w:sz w:val="18"/>
        </w:rPr>
      </w:pPr>
      <w:r>
        <w:rPr>
          <w:rFonts w:ascii="Arial"/>
          <w:color w:val="231F20"/>
          <w:w w:val="110"/>
          <w:sz w:val="18"/>
        </w:rPr>
        <w:t>SetString(applid,5,1);</w:t>
      </w:r>
      <w:r>
        <w:rPr>
          <w:rFonts w:ascii="Arial"/>
          <w:color w:val="231F20"/>
          <w:w w:val="150"/>
          <w:sz w:val="18"/>
        </w:rPr>
        <w:t> //</w:t>
      </w:r>
      <w:r>
        <w:rPr>
          <w:rFonts w:ascii="Arial"/>
          <w:color w:val="231F20"/>
          <w:w w:val="150"/>
          <w:sz w:val="18"/>
        </w:rPr>
        <w:t> </w:t>
      </w:r>
      <w:r>
        <w:rPr>
          <w:rFonts w:ascii="Arial"/>
          <w:color w:val="231F20"/>
          <w:w w:val="110"/>
          <w:sz w:val="18"/>
        </w:rPr>
        <w:t>put</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pointed</w:t>
      </w:r>
      <w:r>
        <w:rPr>
          <w:rFonts w:ascii="Arial"/>
          <w:color w:val="231F20"/>
          <w:spacing w:val="40"/>
          <w:w w:val="110"/>
          <w:sz w:val="18"/>
        </w:rPr>
        <w:t> </w:t>
      </w:r>
      <w:r>
        <w:rPr>
          <w:rFonts w:ascii="Arial"/>
          <w:color w:val="231F20"/>
          <w:w w:val="110"/>
          <w:sz w:val="18"/>
        </w:rPr>
        <w:t>to by</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variable</w:t>
      </w:r>
      <w:r>
        <w:rPr>
          <w:rFonts w:ascii="Arial"/>
          <w:color w:val="231F20"/>
          <w:spacing w:val="40"/>
          <w:w w:val="110"/>
          <w:sz w:val="18"/>
        </w:rPr>
        <w:t> </w:t>
      </w:r>
      <w:r>
        <w:rPr>
          <w:rFonts w:ascii="Arial"/>
          <w:color w:val="231F20"/>
          <w:w w:val="110"/>
          <w:sz w:val="18"/>
        </w:rPr>
        <w:t>applid</w:t>
      </w:r>
      <w:r>
        <w:rPr>
          <w:rFonts w:ascii="Arial"/>
          <w:color w:val="231F20"/>
          <w:spacing w:val="40"/>
          <w:w w:val="110"/>
          <w:sz w:val="18"/>
        </w:rPr>
        <w:t> </w:t>
      </w:r>
      <w:r>
        <w:rPr>
          <w:rFonts w:ascii="Arial"/>
          <w:color w:val="231F20"/>
          <w:w w:val="110"/>
          <w:sz w:val="18"/>
        </w:rPr>
        <w:t>at</w:t>
      </w:r>
      <w:r>
        <w:rPr>
          <w:rFonts w:ascii="Arial"/>
          <w:color w:val="231F20"/>
          <w:spacing w:val="40"/>
          <w:w w:val="110"/>
          <w:sz w:val="18"/>
        </w:rPr>
        <w:t> </w:t>
      </w:r>
      <w:r>
        <w:rPr>
          <w:rFonts w:ascii="Arial"/>
          <w:color w:val="231F20"/>
          <w:w w:val="110"/>
          <w:sz w:val="18"/>
        </w:rPr>
        <w:t>row</w:t>
      </w:r>
      <w:r>
        <w:rPr>
          <w:rFonts w:ascii="Arial"/>
          <w:color w:val="231F20"/>
          <w:spacing w:val="40"/>
          <w:w w:val="110"/>
          <w:sz w:val="18"/>
        </w:rPr>
        <w:t> </w:t>
      </w:r>
      <w:r>
        <w:rPr>
          <w:rFonts w:ascii="Arial"/>
          <w:color w:val="231F20"/>
          <w:w w:val="110"/>
          <w:sz w:val="18"/>
        </w:rPr>
        <w:t>5,col</w:t>
      </w:r>
      <w:r>
        <w:rPr>
          <w:rFonts w:ascii="Arial"/>
          <w:color w:val="231F20"/>
          <w:spacing w:val="40"/>
          <w:w w:val="110"/>
          <w:sz w:val="18"/>
        </w:rPr>
        <w:t> </w:t>
      </w:r>
      <w:r>
        <w:rPr>
          <w:rFonts w:ascii="Arial"/>
          <w:color w:val="231F20"/>
          <w:w w:val="110"/>
          <w:sz w:val="18"/>
        </w:rPr>
        <w:t>1 SetString("ctsoa",80);</w:t>
      </w:r>
      <w:r>
        <w:rPr>
          <w:rFonts w:ascii="Arial"/>
          <w:color w:val="231F20"/>
          <w:w w:val="150"/>
          <w:sz w:val="18"/>
        </w:rPr>
        <w:t> //</w:t>
      </w:r>
      <w:r>
        <w:rPr>
          <w:rFonts w:ascii="Arial"/>
          <w:color w:val="231F20"/>
          <w:w w:val="150"/>
          <w:sz w:val="18"/>
        </w:rPr>
        <w:t> </w:t>
      </w:r>
      <w:r>
        <w:rPr>
          <w:rFonts w:ascii="Arial"/>
          <w:color w:val="231F20"/>
          <w:w w:val="110"/>
          <w:sz w:val="18"/>
        </w:rPr>
        <w:t>put</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ctsoa</w:t>
      </w:r>
      <w:r>
        <w:rPr>
          <w:rFonts w:ascii="Arial"/>
          <w:color w:val="231F20"/>
          <w:spacing w:val="40"/>
          <w:w w:val="110"/>
          <w:sz w:val="18"/>
        </w:rPr>
        <w:t> </w:t>
      </w:r>
      <w:r>
        <w:rPr>
          <w:rFonts w:ascii="Arial"/>
          <w:color w:val="231F20"/>
          <w:w w:val="110"/>
          <w:sz w:val="18"/>
        </w:rPr>
        <w:t>at offset</w:t>
      </w:r>
      <w:r>
        <w:rPr>
          <w:rFonts w:ascii="Arial"/>
          <w:color w:val="231F20"/>
          <w:spacing w:val="31"/>
          <w:w w:val="110"/>
          <w:sz w:val="18"/>
        </w:rPr>
        <w:t> </w:t>
      </w:r>
      <w:r>
        <w:rPr>
          <w:rFonts w:ascii="Arial"/>
          <w:color w:val="231F20"/>
          <w:w w:val="110"/>
          <w:sz w:val="18"/>
        </w:rPr>
        <w:t>80</w:t>
      </w:r>
      <w:r>
        <w:rPr>
          <w:rFonts w:ascii="Arial"/>
          <w:color w:val="231F20"/>
          <w:spacing w:val="31"/>
          <w:w w:val="110"/>
          <w:sz w:val="18"/>
        </w:rPr>
        <w:t> </w:t>
      </w:r>
      <w:r>
        <w:rPr>
          <w:rFonts w:ascii="Arial"/>
          <w:color w:val="231F20"/>
          <w:w w:val="110"/>
          <w:sz w:val="18"/>
        </w:rPr>
        <w:t>(row</w:t>
      </w:r>
      <w:r>
        <w:rPr>
          <w:rFonts w:ascii="Arial"/>
          <w:color w:val="231F20"/>
          <w:spacing w:val="31"/>
          <w:w w:val="110"/>
          <w:sz w:val="18"/>
        </w:rPr>
        <w:t> </w:t>
      </w:r>
      <w:r>
        <w:rPr>
          <w:rFonts w:ascii="Arial"/>
          <w:color w:val="231F20"/>
          <w:w w:val="110"/>
          <w:sz w:val="18"/>
        </w:rPr>
        <w:t>2</w:t>
      </w:r>
      <w:r>
        <w:rPr>
          <w:rFonts w:ascii="Arial"/>
          <w:color w:val="231F20"/>
          <w:spacing w:val="31"/>
          <w:w w:val="110"/>
          <w:sz w:val="18"/>
        </w:rPr>
        <w:t> </w:t>
      </w:r>
      <w:r>
        <w:rPr>
          <w:rFonts w:ascii="Arial"/>
          <w:color w:val="231F20"/>
          <w:w w:val="110"/>
          <w:sz w:val="18"/>
        </w:rPr>
        <w:t>col</w:t>
      </w:r>
      <w:r>
        <w:rPr>
          <w:rFonts w:ascii="Arial"/>
          <w:color w:val="231F20"/>
          <w:spacing w:val="31"/>
          <w:w w:val="110"/>
          <w:sz w:val="18"/>
        </w:rPr>
        <w:t> </w:t>
      </w:r>
      <w:r>
        <w:rPr>
          <w:rFonts w:ascii="Arial"/>
          <w:color w:val="231F20"/>
          <w:w w:val="110"/>
          <w:sz w:val="18"/>
        </w:rPr>
        <w:t>1</w:t>
      </w:r>
      <w:r>
        <w:rPr>
          <w:rFonts w:ascii="Arial"/>
          <w:color w:val="231F20"/>
          <w:spacing w:val="31"/>
          <w:w w:val="110"/>
          <w:sz w:val="18"/>
        </w:rPr>
        <w:t> </w:t>
      </w:r>
      <w:r>
        <w:rPr>
          <w:rFonts w:ascii="Arial"/>
          <w:color w:val="231F20"/>
          <w:w w:val="110"/>
          <w:sz w:val="18"/>
        </w:rPr>
        <w:t>on</w:t>
      </w:r>
      <w:r>
        <w:rPr>
          <w:rFonts w:ascii="Arial"/>
          <w:color w:val="231F20"/>
          <w:spacing w:val="31"/>
          <w:w w:val="110"/>
          <w:sz w:val="18"/>
        </w:rPr>
        <w:t> </w:t>
      </w:r>
      <w:r>
        <w:rPr>
          <w:rFonts w:ascii="Arial"/>
          <w:color w:val="231F20"/>
          <w:w w:val="110"/>
          <w:sz w:val="18"/>
        </w:rPr>
        <w:t>a</w:t>
      </w:r>
      <w:r>
        <w:rPr>
          <w:rFonts w:ascii="Arial"/>
          <w:color w:val="231F20"/>
          <w:spacing w:val="31"/>
          <w:w w:val="110"/>
          <w:sz w:val="18"/>
        </w:rPr>
        <w:t> </w:t>
      </w:r>
      <w:r>
        <w:rPr>
          <w:rFonts w:ascii="Arial"/>
          <w:color w:val="231F20"/>
          <w:w w:val="110"/>
          <w:sz w:val="18"/>
        </w:rPr>
        <w:t>model</w:t>
      </w:r>
      <w:r>
        <w:rPr>
          <w:rFonts w:ascii="Arial"/>
          <w:color w:val="231F20"/>
          <w:spacing w:val="31"/>
          <w:w w:val="110"/>
          <w:sz w:val="18"/>
        </w:rPr>
        <w:t> </w:t>
      </w:r>
      <w:r>
        <w:rPr>
          <w:rFonts w:ascii="Arial"/>
          <w:color w:val="231F20"/>
          <w:w w:val="110"/>
          <w:sz w:val="18"/>
        </w:rPr>
        <w:t>2)</w:t>
      </w:r>
    </w:p>
    <w:p>
      <w:pPr>
        <w:pStyle w:val="BodyText"/>
        <w:spacing w:before="46"/>
        <w:rPr>
          <w:rFonts w:ascii="Arial"/>
          <w:sz w:val="18"/>
        </w:rPr>
      </w:pPr>
    </w:p>
    <w:p>
      <w:pPr>
        <w:pStyle w:val="BodyText"/>
        <w:spacing w:line="213" w:lineRule="auto"/>
        <w:ind w:left="3190" w:right="274"/>
      </w:pPr>
      <w:r>
        <w:rPr>
          <w:rFonts w:ascii="Book Antiqua"/>
          <w:b/>
          <w:color w:val="231F20"/>
        </w:rPr>
        <w:t>Note:</w:t>
      </w:r>
      <w:r>
        <w:rPr>
          <w:rFonts w:ascii="Book Antiqua"/>
          <w:b/>
          <w:color w:val="231F20"/>
          <w:spacing w:val="40"/>
        </w:rPr>
        <w:t> </w:t>
      </w:r>
      <w:r>
        <w:rPr>
          <w:color w:val="231F20"/>
        </w:rPr>
        <w:t>If the location on the screen is not an Unprotected field, or if the length exceeds the size of the field, an error will be generated and no </w:t>
      </w:r>
      <w:r>
        <w:rPr>
          <w:color w:val="231F20"/>
        </w:rPr>
        <w:t>data will be placed.</w:t>
      </w:r>
    </w:p>
    <w:p>
      <w:pPr>
        <w:pStyle w:val="BodyText"/>
        <w:spacing w:before="94"/>
        <w:ind w:left="2472"/>
      </w:pPr>
      <w:r>
        <w:rPr>
          <w:rFonts w:ascii="Book Antiqua"/>
          <w:b/>
          <w:color w:val="231F20"/>
        </w:rPr>
        <w:t>Show</w:t>
      </w:r>
      <w:r>
        <w:rPr>
          <w:rFonts w:ascii="Book Antiqua"/>
          <w:b/>
          <w:color w:val="231F20"/>
          <w:spacing w:val="42"/>
        </w:rPr>
        <w:t>  </w:t>
      </w:r>
      <w:r>
        <w:rPr>
          <w:color w:val="231F20"/>
        </w:rPr>
        <w:t>Shows</w:t>
      </w:r>
      <w:r>
        <w:rPr>
          <w:color w:val="231F20"/>
          <w:spacing w:val="11"/>
        </w:rPr>
        <w:t> </w:t>
      </w:r>
      <w:r>
        <w:rPr>
          <w:color w:val="231F20"/>
        </w:rPr>
        <w:t>the</w:t>
      </w:r>
      <w:r>
        <w:rPr>
          <w:color w:val="231F20"/>
          <w:spacing w:val="12"/>
        </w:rPr>
        <w:t> </w:t>
      </w:r>
      <w:r>
        <w:rPr>
          <w:color w:val="231F20"/>
        </w:rPr>
        <w:t>terminal</w:t>
      </w:r>
      <w:r>
        <w:rPr>
          <w:color w:val="231F20"/>
          <w:spacing w:val="12"/>
        </w:rPr>
        <w:t> </w:t>
      </w:r>
      <w:r>
        <w:rPr>
          <w:color w:val="231F20"/>
        </w:rPr>
        <w:t>screen.</w:t>
      </w:r>
      <w:r>
        <w:rPr>
          <w:color w:val="231F20"/>
          <w:spacing w:val="12"/>
        </w:rPr>
        <w:t> </w:t>
      </w:r>
      <w:r>
        <w:rPr>
          <w:color w:val="231F20"/>
        </w:rPr>
        <w:t>This</w:t>
      </w:r>
      <w:r>
        <w:rPr>
          <w:color w:val="231F20"/>
          <w:spacing w:val="11"/>
        </w:rPr>
        <w:t> </w:t>
      </w:r>
      <w:r>
        <w:rPr>
          <w:color w:val="231F20"/>
        </w:rPr>
        <w:t>sets</w:t>
      </w:r>
      <w:r>
        <w:rPr>
          <w:color w:val="231F20"/>
          <w:spacing w:val="12"/>
        </w:rPr>
        <w:t> </w:t>
      </w:r>
      <w:r>
        <w:rPr>
          <w:color w:val="231F20"/>
        </w:rPr>
        <w:t>the</w:t>
      </w:r>
      <w:r>
        <w:rPr>
          <w:color w:val="231F20"/>
          <w:spacing w:val="12"/>
        </w:rPr>
        <w:t> </w:t>
      </w:r>
      <w:r>
        <w:rPr>
          <w:color w:val="231F20"/>
        </w:rPr>
        <w:t>terminal</w:t>
      </w:r>
      <w:r>
        <w:rPr>
          <w:color w:val="231F20"/>
          <w:spacing w:val="11"/>
        </w:rPr>
        <w:t> </w:t>
      </w:r>
      <w:r>
        <w:rPr>
          <w:color w:val="231F20"/>
        </w:rPr>
        <w:t>frame</w:t>
      </w:r>
      <w:r>
        <w:rPr>
          <w:color w:val="231F20"/>
          <w:spacing w:val="12"/>
        </w:rPr>
        <w:t> </w:t>
      </w:r>
      <w:r>
        <w:rPr>
          <w:color w:val="231F20"/>
        </w:rPr>
        <w:t>to</w:t>
      </w:r>
      <w:r>
        <w:rPr>
          <w:color w:val="231F20"/>
          <w:spacing w:val="12"/>
        </w:rPr>
        <w:t> </w:t>
      </w:r>
      <w:r>
        <w:rPr>
          <w:color w:val="231F20"/>
          <w:spacing w:val="-2"/>
        </w:rPr>
        <w:t>visible.</w:t>
      </w:r>
    </w:p>
    <w:p>
      <w:pPr>
        <w:spacing w:before="90"/>
        <w:ind w:left="3190" w:right="0" w:firstLine="0"/>
        <w:jc w:val="left"/>
        <w:rPr>
          <w:sz w:val="20"/>
        </w:rPr>
      </w:pPr>
      <w:r>
        <w:rPr>
          <w:rFonts w:ascii="Book Antiqua"/>
          <w:b/>
          <w:color w:val="231F20"/>
          <w:sz w:val="20"/>
        </w:rPr>
        <w:t>Parms</w:t>
      </w:r>
      <w:r>
        <w:rPr>
          <w:rFonts w:ascii="Book Antiqua"/>
          <w:b/>
          <w:color w:val="231F20"/>
          <w:spacing w:val="72"/>
          <w:w w:val="150"/>
          <w:sz w:val="20"/>
        </w:rPr>
        <w:t> </w:t>
      </w:r>
      <w:r>
        <w:rPr>
          <w:color w:val="231F20"/>
          <w:spacing w:val="-4"/>
          <w:sz w:val="20"/>
        </w:rPr>
        <w:t>None</w:t>
      </w:r>
    </w:p>
    <w:p>
      <w:pPr>
        <w:pStyle w:val="Heading6"/>
        <w:spacing w:line="240" w:lineRule="auto" w:before="111"/>
        <w:ind w:left="3190"/>
      </w:pPr>
      <w:r>
        <w:rPr>
          <w:color w:val="231F20"/>
          <w:spacing w:val="-2"/>
        </w:rPr>
        <w:t>Return</w:t>
      </w:r>
    </w:p>
    <w:p>
      <w:pPr>
        <w:pStyle w:val="BodyText"/>
        <w:spacing w:line="213" w:lineRule="auto"/>
        <w:ind w:left="3909" w:right="385"/>
      </w:pPr>
      <w:r>
        <w:rPr>
          <w:color w:val="231F20"/>
        </w:rPr>
        <w:t>Returns the relative location of the cursor, or -1 if there is an error or the terminal gets disconnected</w:t>
      </w:r>
    </w:p>
    <w:p>
      <w:pPr>
        <w:pStyle w:val="BodyText"/>
        <w:spacing w:before="95"/>
        <w:ind w:left="3190"/>
      </w:pPr>
      <w:r>
        <w:rPr>
          <w:color w:val="231F20"/>
          <w:spacing w:val="-2"/>
        </w:rPr>
        <w:t>Example:</w:t>
      </w:r>
    </w:p>
    <w:p>
      <w:pPr>
        <w:spacing w:before="56"/>
        <w:ind w:left="3190" w:right="0" w:firstLine="0"/>
        <w:jc w:val="left"/>
        <w:rPr>
          <w:rFonts w:ascii="Arial"/>
          <w:sz w:val="18"/>
        </w:rPr>
      </w:pPr>
      <w:r>
        <w:rPr>
          <w:rFonts w:ascii="Arial"/>
          <w:color w:val="231F20"/>
          <w:w w:val="115"/>
          <w:sz w:val="18"/>
        </w:rPr>
        <w:t>Show();</w:t>
      </w:r>
      <w:r>
        <w:rPr>
          <w:rFonts w:ascii="Arial"/>
          <w:color w:val="231F20"/>
          <w:spacing w:val="-14"/>
          <w:w w:val="150"/>
          <w:sz w:val="18"/>
        </w:rPr>
        <w:t> </w:t>
      </w:r>
      <w:r>
        <w:rPr>
          <w:rFonts w:ascii="Arial"/>
          <w:color w:val="231F20"/>
          <w:w w:val="150"/>
          <w:sz w:val="18"/>
        </w:rPr>
        <w:t>//</w:t>
      </w:r>
      <w:r>
        <w:rPr>
          <w:rFonts w:ascii="Arial"/>
          <w:color w:val="231F20"/>
          <w:spacing w:val="-14"/>
          <w:w w:val="150"/>
          <w:sz w:val="18"/>
        </w:rPr>
        <w:t> </w:t>
      </w:r>
      <w:r>
        <w:rPr>
          <w:rFonts w:ascii="Arial"/>
          <w:color w:val="231F20"/>
          <w:w w:val="115"/>
          <w:sz w:val="18"/>
        </w:rPr>
        <w:t>set</w:t>
      </w:r>
      <w:r>
        <w:rPr>
          <w:rFonts w:ascii="Arial"/>
          <w:color w:val="231F20"/>
          <w:spacing w:val="4"/>
          <w:w w:val="115"/>
          <w:sz w:val="18"/>
        </w:rPr>
        <w:t> </w:t>
      </w:r>
      <w:r>
        <w:rPr>
          <w:rFonts w:ascii="Arial"/>
          <w:color w:val="231F20"/>
          <w:w w:val="115"/>
          <w:sz w:val="18"/>
        </w:rPr>
        <w:t>the</w:t>
      </w:r>
      <w:r>
        <w:rPr>
          <w:rFonts w:ascii="Arial"/>
          <w:color w:val="231F20"/>
          <w:spacing w:val="3"/>
          <w:w w:val="115"/>
          <w:sz w:val="18"/>
        </w:rPr>
        <w:t> </w:t>
      </w:r>
      <w:r>
        <w:rPr>
          <w:rFonts w:ascii="Arial"/>
          <w:color w:val="231F20"/>
          <w:w w:val="115"/>
          <w:sz w:val="18"/>
        </w:rPr>
        <w:t>terminal</w:t>
      </w:r>
      <w:r>
        <w:rPr>
          <w:rFonts w:ascii="Arial"/>
          <w:color w:val="231F20"/>
          <w:spacing w:val="4"/>
          <w:w w:val="115"/>
          <w:sz w:val="18"/>
        </w:rPr>
        <w:t> </w:t>
      </w:r>
      <w:r>
        <w:rPr>
          <w:rFonts w:ascii="Arial"/>
          <w:color w:val="231F20"/>
          <w:w w:val="105"/>
          <w:sz w:val="18"/>
        </w:rPr>
        <w:t>window</w:t>
      </w:r>
      <w:r>
        <w:rPr>
          <w:rFonts w:ascii="Arial"/>
          <w:color w:val="231F20"/>
          <w:spacing w:val="4"/>
          <w:w w:val="115"/>
          <w:sz w:val="18"/>
        </w:rPr>
        <w:t> </w:t>
      </w:r>
      <w:r>
        <w:rPr>
          <w:rFonts w:ascii="Arial"/>
          <w:color w:val="231F20"/>
          <w:w w:val="115"/>
          <w:sz w:val="18"/>
        </w:rPr>
        <w:t>to</w:t>
      </w:r>
      <w:r>
        <w:rPr>
          <w:rFonts w:ascii="Arial"/>
          <w:color w:val="231F20"/>
          <w:spacing w:val="4"/>
          <w:w w:val="115"/>
          <w:sz w:val="18"/>
        </w:rPr>
        <w:t> </w:t>
      </w:r>
      <w:r>
        <w:rPr>
          <w:rFonts w:ascii="Arial"/>
          <w:color w:val="231F20"/>
          <w:spacing w:val="-2"/>
          <w:w w:val="115"/>
          <w:sz w:val="18"/>
        </w:rPr>
        <w:t>visible</w:t>
      </w:r>
    </w:p>
    <w:p>
      <w:pPr>
        <w:pStyle w:val="Heading6"/>
        <w:spacing w:before="128"/>
      </w:pPr>
      <w:r>
        <w:rPr>
          <w:color w:val="231F20"/>
          <w:spacing w:val="-2"/>
        </w:rPr>
        <w:t>WaitforScreen</w:t>
      </w:r>
    </w:p>
    <w:p>
      <w:pPr>
        <w:pStyle w:val="BodyText"/>
        <w:spacing w:line="258" w:lineRule="exact"/>
        <w:ind w:left="3190"/>
      </w:pPr>
      <w:r>
        <w:rPr>
          <w:color w:val="231F20"/>
        </w:rPr>
        <w:t>WaitForScreen</w:t>
      </w:r>
      <w:r>
        <w:rPr>
          <w:color w:val="231F20"/>
          <w:spacing w:val="8"/>
        </w:rPr>
        <w:t> </w:t>
      </w:r>
      <w:r>
        <w:rPr>
          <w:color w:val="231F20"/>
        </w:rPr>
        <w:t>waits</w:t>
      </w:r>
      <w:r>
        <w:rPr>
          <w:color w:val="231F20"/>
          <w:spacing w:val="9"/>
        </w:rPr>
        <w:t> </w:t>
      </w:r>
      <w:r>
        <w:rPr>
          <w:color w:val="231F20"/>
        </w:rPr>
        <w:t>for</w:t>
      </w:r>
      <w:r>
        <w:rPr>
          <w:color w:val="231F20"/>
          <w:spacing w:val="9"/>
        </w:rPr>
        <w:t> </w:t>
      </w:r>
      <w:r>
        <w:rPr>
          <w:color w:val="231F20"/>
        </w:rPr>
        <w:t>a</w:t>
      </w:r>
      <w:r>
        <w:rPr>
          <w:color w:val="231F20"/>
          <w:spacing w:val="9"/>
        </w:rPr>
        <w:t> </w:t>
      </w:r>
      <w:r>
        <w:rPr>
          <w:color w:val="231F20"/>
        </w:rPr>
        <w:t>screen</w:t>
      </w:r>
      <w:r>
        <w:rPr>
          <w:color w:val="231F20"/>
          <w:spacing w:val="9"/>
        </w:rPr>
        <w:t> </w:t>
      </w:r>
      <w:r>
        <w:rPr>
          <w:color w:val="231F20"/>
        </w:rPr>
        <w:t>of</w:t>
      </w:r>
      <w:r>
        <w:rPr>
          <w:color w:val="231F20"/>
          <w:spacing w:val="9"/>
        </w:rPr>
        <w:t> </w:t>
      </w:r>
      <w:r>
        <w:rPr>
          <w:color w:val="231F20"/>
        </w:rPr>
        <w:t>data</w:t>
      </w:r>
      <w:r>
        <w:rPr>
          <w:color w:val="231F20"/>
          <w:spacing w:val="8"/>
        </w:rPr>
        <w:t> </w:t>
      </w:r>
      <w:r>
        <w:rPr>
          <w:color w:val="231F20"/>
        </w:rPr>
        <w:t>to</w:t>
      </w:r>
      <w:r>
        <w:rPr>
          <w:color w:val="231F20"/>
          <w:spacing w:val="9"/>
        </w:rPr>
        <w:t> </w:t>
      </w:r>
      <w:r>
        <w:rPr>
          <w:color w:val="231F20"/>
        </w:rPr>
        <w:t>be</w:t>
      </w:r>
      <w:r>
        <w:rPr>
          <w:color w:val="231F20"/>
          <w:spacing w:val="9"/>
        </w:rPr>
        <w:t> </w:t>
      </w:r>
      <w:r>
        <w:rPr>
          <w:color w:val="231F20"/>
        </w:rPr>
        <w:t>received</w:t>
      </w:r>
      <w:r>
        <w:rPr>
          <w:color w:val="231F20"/>
          <w:spacing w:val="9"/>
        </w:rPr>
        <w:t> </w:t>
      </w:r>
      <w:r>
        <w:rPr>
          <w:color w:val="231F20"/>
        </w:rPr>
        <w:t>from</w:t>
      </w:r>
      <w:r>
        <w:rPr>
          <w:color w:val="231F20"/>
          <w:spacing w:val="9"/>
        </w:rPr>
        <w:t> </w:t>
      </w:r>
      <w:r>
        <w:rPr>
          <w:color w:val="231F20"/>
        </w:rPr>
        <w:t>the</w:t>
      </w:r>
      <w:r>
        <w:rPr>
          <w:color w:val="231F20"/>
          <w:spacing w:val="9"/>
        </w:rPr>
        <w:t> </w:t>
      </w:r>
      <w:r>
        <w:rPr>
          <w:color w:val="231F20"/>
          <w:spacing w:val="-2"/>
        </w:rPr>
        <w:t>host.</w:t>
      </w:r>
    </w:p>
    <w:p>
      <w:pPr>
        <w:pStyle w:val="BodyText"/>
        <w:spacing w:line="213" w:lineRule="auto" w:before="112"/>
        <w:ind w:left="3909" w:right="545" w:hanging="719"/>
      </w:pPr>
      <w:r>
        <w:rPr>
          <w:rFonts w:ascii="Book Antiqua"/>
          <w:b/>
          <w:color w:val="231F20"/>
        </w:rPr>
        <w:t>Parms</w:t>
      </w:r>
      <w:r>
        <w:rPr>
          <w:rFonts w:ascii="Book Antiqua"/>
          <w:b/>
          <w:color w:val="231F20"/>
          <w:spacing w:val="80"/>
        </w:rPr>
        <w:t> </w:t>
      </w:r>
      <w:r>
        <w:rPr>
          <w:color w:val="231F20"/>
        </w:rPr>
        <w:t>arg</w:t>
      </w:r>
      <w:r>
        <w:rPr>
          <w:color w:val="231F20"/>
          <w:spacing w:val="-1"/>
        </w:rPr>
        <w:t> </w:t>
      </w:r>
      <w:r>
        <w:rPr>
          <w:color w:val="231F20"/>
          <w:spacing w:val="16"/>
        </w:rPr>
        <w:t>1</w:t>
      </w:r>
      <w:r>
        <w:rPr>
          <w:color w:val="231F20"/>
          <w:spacing w:val="-1"/>
        </w:rPr>
        <w:t> </w:t>
      </w:r>
      <w:r>
        <w:rPr>
          <w:color w:val="231F20"/>
        </w:rPr>
        <w:t>= Timeout value. This is the length of time to wait, </w:t>
      </w:r>
      <w:r>
        <w:rPr>
          <w:color w:val="231F20"/>
        </w:rPr>
        <w:t>in </w:t>
      </w:r>
      <w:r>
        <w:rPr>
          <w:color w:val="231F20"/>
          <w:spacing w:val="-2"/>
        </w:rPr>
        <w:t>milliseconds.</w:t>
      </w:r>
    </w:p>
    <w:p>
      <w:pPr>
        <w:pStyle w:val="BodyText"/>
        <w:spacing w:line="213" w:lineRule="auto" w:before="119"/>
        <w:ind w:left="3909" w:right="258"/>
      </w:pPr>
      <w:r>
        <w:rPr>
          <w:color w:val="231F20"/>
        </w:rPr>
        <w:t>If no data is received by this time, processing continues If no </w:t>
      </w:r>
      <w:r>
        <w:rPr>
          <w:color w:val="231F20"/>
        </w:rPr>
        <w:t>value</w:t>
      </w:r>
      <w:r>
        <w:rPr>
          <w:color w:val="231F20"/>
          <w:spacing w:val="40"/>
        </w:rPr>
        <w:t> </w:t>
      </w:r>
      <w:r>
        <w:rPr>
          <w:color w:val="231F20"/>
        </w:rPr>
        <w:t>is specified, a default of 15 minutes is assume</w:t>
      </w:r>
    </w:p>
    <w:p>
      <w:pPr>
        <w:pStyle w:val="Heading6"/>
        <w:ind w:left="3190"/>
      </w:pPr>
      <w:r>
        <w:rPr>
          <w:color w:val="231F20"/>
          <w:spacing w:val="-2"/>
        </w:rPr>
        <w:t>Return</w:t>
      </w:r>
    </w:p>
    <w:p>
      <w:pPr>
        <w:pStyle w:val="BodyText"/>
        <w:spacing w:line="319" w:lineRule="auto"/>
        <w:ind w:left="3909" w:right="765"/>
      </w:pPr>
      <w:r>
        <w:rPr>
          <w:color w:val="231F20"/>
        </w:rPr>
        <w:t>Returns a numeric value specifying the result of the </w:t>
      </w:r>
      <w:r>
        <w:rPr>
          <w:color w:val="231F20"/>
        </w:rPr>
        <w:t>function:</w:t>
      </w:r>
      <w:r>
        <w:rPr>
          <w:color w:val="231F20"/>
          <w:spacing w:val="40"/>
        </w:rPr>
        <w:t> </w:t>
      </w:r>
      <w:r>
        <w:rPr>
          <w:color w:val="231F20"/>
        </w:rPr>
        <w:t>0 = data was received</w:t>
      </w:r>
    </w:p>
    <w:p>
      <w:pPr>
        <w:pStyle w:val="BodyText"/>
        <w:ind w:left="3909"/>
      </w:pPr>
      <w:r>
        <w:rPr>
          <w:color w:val="231F20"/>
        </w:rPr>
        <w:t>-1</w:t>
      </w:r>
      <w:r>
        <w:rPr>
          <w:color w:val="231F20"/>
          <w:spacing w:val="13"/>
        </w:rPr>
        <w:t> </w:t>
      </w:r>
      <w:r>
        <w:rPr>
          <w:color w:val="231F20"/>
        </w:rPr>
        <w:t>=</w:t>
      </w:r>
      <w:r>
        <w:rPr>
          <w:color w:val="231F20"/>
          <w:spacing w:val="14"/>
        </w:rPr>
        <w:t> </w:t>
      </w:r>
      <w:r>
        <w:rPr>
          <w:color w:val="231F20"/>
        </w:rPr>
        <w:t>timeout.</w:t>
      </w:r>
      <w:r>
        <w:rPr>
          <w:color w:val="231F20"/>
          <w:spacing w:val="14"/>
        </w:rPr>
        <w:t> </w:t>
      </w:r>
      <w:r>
        <w:rPr>
          <w:color w:val="231F20"/>
        </w:rPr>
        <w:t>No</w:t>
      </w:r>
      <w:r>
        <w:rPr>
          <w:color w:val="231F20"/>
          <w:spacing w:val="13"/>
        </w:rPr>
        <w:t> </w:t>
      </w:r>
      <w:r>
        <w:rPr>
          <w:color w:val="231F20"/>
        </w:rPr>
        <w:t>data</w:t>
      </w:r>
      <w:r>
        <w:rPr>
          <w:color w:val="231F20"/>
          <w:spacing w:val="14"/>
        </w:rPr>
        <w:t> </w:t>
      </w:r>
      <w:r>
        <w:rPr>
          <w:color w:val="231F20"/>
        </w:rPr>
        <w:t>was</w:t>
      </w:r>
      <w:r>
        <w:rPr>
          <w:color w:val="231F20"/>
          <w:spacing w:val="14"/>
        </w:rPr>
        <w:t> </w:t>
      </w:r>
      <w:r>
        <w:rPr>
          <w:color w:val="231F20"/>
        </w:rPr>
        <w:t>received</w:t>
      </w:r>
      <w:r>
        <w:rPr>
          <w:color w:val="231F20"/>
          <w:spacing w:val="13"/>
        </w:rPr>
        <w:t> </w:t>
      </w:r>
      <w:r>
        <w:rPr>
          <w:color w:val="231F20"/>
        </w:rPr>
        <w:t>within</w:t>
      </w:r>
      <w:r>
        <w:rPr>
          <w:color w:val="231F20"/>
          <w:spacing w:val="14"/>
        </w:rPr>
        <w:t> </w:t>
      </w:r>
      <w:r>
        <w:rPr>
          <w:color w:val="231F20"/>
        </w:rPr>
        <w:t>the</w:t>
      </w:r>
      <w:r>
        <w:rPr>
          <w:color w:val="231F20"/>
          <w:spacing w:val="14"/>
        </w:rPr>
        <w:t> </w:t>
      </w:r>
      <w:r>
        <w:rPr>
          <w:color w:val="231F20"/>
        </w:rPr>
        <w:t>time</w:t>
      </w:r>
      <w:r>
        <w:rPr>
          <w:color w:val="231F20"/>
          <w:spacing w:val="13"/>
        </w:rPr>
        <w:t> </w:t>
      </w:r>
      <w:r>
        <w:rPr>
          <w:color w:val="231F20"/>
          <w:spacing w:val="-2"/>
        </w:rPr>
        <w:t>specified</w:t>
      </w:r>
    </w:p>
    <w:p>
      <w:pPr>
        <w:pStyle w:val="BodyText"/>
        <w:spacing w:before="78"/>
        <w:ind w:left="3190"/>
      </w:pPr>
      <w:r>
        <w:rPr>
          <w:color w:val="231F20"/>
          <w:spacing w:val="-2"/>
        </w:rPr>
        <w:t>Example:</w:t>
      </w:r>
    </w:p>
    <w:p>
      <w:pPr>
        <w:spacing w:after="0"/>
        <w:sectPr>
          <w:pgSz w:w="12240" w:h="15840"/>
          <w:pgMar w:header="0" w:footer="736" w:top="1180" w:bottom="920" w:left="1000" w:right="1060"/>
        </w:sectPr>
      </w:pPr>
    </w:p>
    <w:p>
      <w:pPr>
        <w:spacing w:line="230" w:lineRule="auto" w:before="74"/>
        <w:ind w:left="2951" w:right="2478" w:firstLine="0"/>
        <w:jc w:val="left"/>
        <w:rPr>
          <w:rFonts w:ascii="Arial"/>
          <w:sz w:val="18"/>
        </w:rPr>
      </w:pPr>
      <w:r>
        <w:rPr>
          <w:rFonts w:ascii="Arial"/>
          <w:color w:val="231F20"/>
          <w:w w:val="115"/>
          <w:sz w:val="18"/>
        </w:rPr>
        <w:t>waitforscreen();</w:t>
      </w:r>
      <w:r>
        <w:rPr>
          <w:rFonts w:ascii="Arial"/>
          <w:color w:val="231F20"/>
          <w:w w:val="150"/>
          <w:sz w:val="18"/>
        </w:rPr>
        <w:t> //</w:t>
      </w:r>
      <w:r>
        <w:rPr>
          <w:rFonts w:ascii="Arial"/>
          <w:color w:val="231F20"/>
          <w:w w:val="150"/>
          <w:sz w:val="18"/>
        </w:rPr>
        <w:t> </w:t>
      </w:r>
      <w:r>
        <w:rPr>
          <w:rFonts w:ascii="Arial"/>
          <w:color w:val="231F20"/>
          <w:w w:val="115"/>
          <w:sz w:val="18"/>
        </w:rPr>
        <w:t>wait</w:t>
      </w:r>
      <w:r>
        <w:rPr>
          <w:rFonts w:ascii="Arial"/>
          <w:color w:val="231F20"/>
          <w:spacing w:val="21"/>
          <w:w w:val="115"/>
          <w:sz w:val="18"/>
        </w:rPr>
        <w:t> </w:t>
      </w:r>
      <w:r>
        <w:rPr>
          <w:rFonts w:ascii="Arial"/>
          <w:color w:val="231F20"/>
          <w:w w:val="115"/>
          <w:sz w:val="18"/>
        </w:rPr>
        <w:t>until</w:t>
      </w:r>
      <w:r>
        <w:rPr>
          <w:rFonts w:ascii="Arial"/>
          <w:color w:val="231F20"/>
          <w:spacing w:val="21"/>
          <w:w w:val="115"/>
          <w:sz w:val="18"/>
        </w:rPr>
        <w:t> </w:t>
      </w:r>
      <w:r>
        <w:rPr>
          <w:rFonts w:ascii="Arial"/>
          <w:color w:val="231F20"/>
          <w:w w:val="110"/>
          <w:sz w:val="18"/>
        </w:rPr>
        <w:t>a</w:t>
      </w:r>
      <w:r>
        <w:rPr>
          <w:rFonts w:ascii="Arial"/>
          <w:color w:val="231F20"/>
          <w:spacing w:val="21"/>
          <w:w w:val="115"/>
          <w:sz w:val="18"/>
        </w:rPr>
        <w:t> </w:t>
      </w:r>
      <w:r>
        <w:rPr>
          <w:rFonts w:ascii="Arial"/>
          <w:color w:val="231F20"/>
          <w:w w:val="115"/>
          <w:sz w:val="18"/>
        </w:rPr>
        <w:t>screen</w:t>
      </w:r>
      <w:r>
        <w:rPr>
          <w:rFonts w:ascii="Arial"/>
          <w:color w:val="231F20"/>
          <w:spacing w:val="21"/>
          <w:w w:val="115"/>
          <w:sz w:val="18"/>
        </w:rPr>
        <w:t> </w:t>
      </w:r>
      <w:r>
        <w:rPr>
          <w:rFonts w:ascii="Arial"/>
          <w:color w:val="231F20"/>
          <w:w w:val="115"/>
          <w:sz w:val="18"/>
        </w:rPr>
        <w:t>is</w:t>
      </w:r>
      <w:r>
        <w:rPr>
          <w:rFonts w:ascii="Arial"/>
          <w:color w:val="231F20"/>
          <w:spacing w:val="21"/>
          <w:w w:val="115"/>
          <w:sz w:val="18"/>
        </w:rPr>
        <w:t> </w:t>
      </w:r>
      <w:r>
        <w:rPr>
          <w:rFonts w:ascii="Arial"/>
          <w:color w:val="231F20"/>
          <w:w w:val="115"/>
          <w:sz w:val="18"/>
        </w:rPr>
        <w:t>received (or</w:t>
      </w:r>
      <w:r>
        <w:rPr>
          <w:rFonts w:ascii="Arial"/>
          <w:color w:val="231F20"/>
          <w:spacing w:val="10"/>
          <w:w w:val="115"/>
          <w:sz w:val="18"/>
        </w:rPr>
        <w:t> </w:t>
      </w:r>
      <w:r>
        <w:rPr>
          <w:rFonts w:ascii="Arial"/>
          <w:color w:val="231F20"/>
          <w:w w:val="110"/>
          <w:sz w:val="18"/>
        </w:rPr>
        <w:t>15</w:t>
      </w:r>
      <w:r>
        <w:rPr>
          <w:rFonts w:ascii="Arial"/>
          <w:color w:val="231F20"/>
          <w:spacing w:val="9"/>
          <w:w w:val="115"/>
          <w:sz w:val="18"/>
        </w:rPr>
        <w:t> </w:t>
      </w:r>
      <w:r>
        <w:rPr>
          <w:rFonts w:ascii="Arial"/>
          <w:color w:val="231F20"/>
          <w:w w:val="115"/>
          <w:sz w:val="18"/>
        </w:rPr>
        <w:t>minutes</w:t>
      </w:r>
      <w:r>
        <w:rPr>
          <w:rFonts w:ascii="Arial"/>
          <w:color w:val="231F20"/>
          <w:spacing w:val="10"/>
          <w:w w:val="115"/>
          <w:sz w:val="18"/>
        </w:rPr>
        <w:t> </w:t>
      </w:r>
      <w:r>
        <w:rPr>
          <w:rFonts w:ascii="Arial"/>
          <w:color w:val="231F20"/>
          <w:w w:val="110"/>
          <w:sz w:val="18"/>
        </w:rPr>
        <w:t>has</w:t>
      </w:r>
      <w:r>
        <w:rPr>
          <w:rFonts w:ascii="Arial"/>
          <w:color w:val="231F20"/>
          <w:spacing w:val="9"/>
          <w:w w:val="115"/>
          <w:sz w:val="18"/>
        </w:rPr>
        <w:t> </w:t>
      </w:r>
      <w:r>
        <w:rPr>
          <w:rFonts w:ascii="Arial"/>
          <w:color w:val="231F20"/>
          <w:w w:val="115"/>
          <w:sz w:val="18"/>
        </w:rPr>
        <w:t>elapsed)</w:t>
      </w:r>
    </w:p>
    <w:p>
      <w:pPr>
        <w:spacing w:line="202" w:lineRule="exact" w:before="0"/>
        <w:ind w:left="2951" w:right="0" w:firstLine="0"/>
        <w:jc w:val="left"/>
        <w:rPr>
          <w:rFonts w:ascii="Arial"/>
          <w:sz w:val="18"/>
        </w:rPr>
      </w:pPr>
      <w:r>
        <w:rPr>
          <w:rFonts w:ascii="Arial"/>
          <w:color w:val="231F20"/>
          <w:w w:val="110"/>
          <w:sz w:val="18"/>
        </w:rPr>
        <w:t>waitforscreen(15*1000)</w:t>
      </w:r>
      <w:r>
        <w:rPr>
          <w:rFonts w:ascii="Arial"/>
          <w:color w:val="231F20"/>
          <w:spacing w:val="3"/>
          <w:w w:val="150"/>
          <w:sz w:val="18"/>
        </w:rPr>
        <w:t> </w:t>
      </w:r>
      <w:r>
        <w:rPr>
          <w:rFonts w:ascii="Arial"/>
          <w:color w:val="231F20"/>
          <w:w w:val="150"/>
          <w:sz w:val="18"/>
        </w:rPr>
        <w:t>//</w:t>
      </w:r>
      <w:r>
        <w:rPr>
          <w:rFonts w:ascii="Arial"/>
          <w:color w:val="231F20"/>
          <w:spacing w:val="4"/>
          <w:w w:val="150"/>
          <w:sz w:val="18"/>
        </w:rPr>
        <w:t> </w:t>
      </w:r>
      <w:r>
        <w:rPr>
          <w:rFonts w:ascii="Arial"/>
          <w:color w:val="231F20"/>
          <w:w w:val="110"/>
          <w:sz w:val="18"/>
        </w:rPr>
        <w:t>wait</w:t>
      </w:r>
      <w:r>
        <w:rPr>
          <w:rFonts w:ascii="Arial"/>
          <w:color w:val="231F20"/>
          <w:spacing w:val="24"/>
          <w:w w:val="110"/>
          <w:sz w:val="18"/>
        </w:rPr>
        <w:t> </w:t>
      </w:r>
      <w:r>
        <w:rPr>
          <w:rFonts w:ascii="Arial"/>
          <w:color w:val="231F20"/>
          <w:w w:val="110"/>
          <w:sz w:val="18"/>
        </w:rPr>
        <w:t>for</w:t>
      </w:r>
      <w:r>
        <w:rPr>
          <w:rFonts w:ascii="Arial"/>
          <w:color w:val="231F20"/>
          <w:spacing w:val="23"/>
          <w:w w:val="110"/>
          <w:sz w:val="18"/>
        </w:rPr>
        <w:t> </w:t>
      </w:r>
      <w:r>
        <w:rPr>
          <w:rFonts w:ascii="Arial"/>
          <w:color w:val="231F20"/>
          <w:w w:val="110"/>
          <w:sz w:val="18"/>
        </w:rPr>
        <w:t>up</w:t>
      </w:r>
      <w:r>
        <w:rPr>
          <w:rFonts w:ascii="Arial"/>
          <w:color w:val="231F20"/>
          <w:spacing w:val="24"/>
          <w:w w:val="110"/>
          <w:sz w:val="18"/>
        </w:rPr>
        <w:t> </w:t>
      </w:r>
      <w:r>
        <w:rPr>
          <w:rFonts w:ascii="Arial"/>
          <w:color w:val="231F20"/>
          <w:w w:val="110"/>
          <w:sz w:val="18"/>
        </w:rPr>
        <w:t>to</w:t>
      </w:r>
      <w:r>
        <w:rPr>
          <w:rFonts w:ascii="Arial"/>
          <w:color w:val="231F20"/>
          <w:spacing w:val="24"/>
          <w:w w:val="110"/>
          <w:sz w:val="18"/>
        </w:rPr>
        <w:t> </w:t>
      </w:r>
      <w:r>
        <w:rPr>
          <w:rFonts w:ascii="Arial"/>
          <w:color w:val="231F20"/>
          <w:w w:val="110"/>
          <w:sz w:val="18"/>
        </w:rPr>
        <w:t>15</w:t>
      </w:r>
      <w:r>
        <w:rPr>
          <w:rFonts w:ascii="Arial"/>
          <w:color w:val="231F20"/>
          <w:spacing w:val="24"/>
          <w:w w:val="110"/>
          <w:sz w:val="18"/>
        </w:rPr>
        <w:t> </w:t>
      </w:r>
      <w:r>
        <w:rPr>
          <w:rFonts w:ascii="Arial"/>
          <w:color w:val="231F20"/>
          <w:spacing w:val="-2"/>
          <w:w w:val="110"/>
          <w:sz w:val="18"/>
        </w:rPr>
        <w:t>seconds</w:t>
      </w:r>
    </w:p>
    <w:p>
      <w:pPr>
        <w:pStyle w:val="BodyText"/>
        <w:spacing w:before="42"/>
        <w:rPr>
          <w:rFonts w:ascii="Arial"/>
          <w:sz w:val="18"/>
        </w:rPr>
      </w:pPr>
    </w:p>
    <w:p>
      <w:pPr>
        <w:pStyle w:val="BodyText"/>
        <w:spacing w:line="213" w:lineRule="auto"/>
        <w:ind w:left="2951" w:right="636"/>
      </w:pPr>
      <w:r>
        <w:rPr>
          <w:rFonts w:ascii="Book Antiqua"/>
          <w:b/>
          <w:color w:val="231F20"/>
        </w:rPr>
        <w:t>Note:</w:t>
      </w:r>
      <w:r>
        <w:rPr>
          <w:rFonts w:ascii="Book Antiqua"/>
          <w:b/>
          <w:color w:val="231F20"/>
          <w:spacing w:val="40"/>
        </w:rPr>
        <w:t> </w:t>
      </w:r>
      <w:r>
        <w:rPr>
          <w:color w:val="231F20"/>
        </w:rPr>
        <w:t>Because the WaitforScreen is waiting for input, it could take a long time before a screen is received. If a stall has occurred and the system is</w:t>
      </w:r>
      <w:r>
        <w:rPr>
          <w:color w:val="231F20"/>
          <w:spacing w:val="40"/>
        </w:rPr>
        <w:t> </w:t>
      </w:r>
      <w:r>
        <w:rPr>
          <w:color w:val="231F20"/>
        </w:rPr>
        <w:t>not responding, the script will stall. For this reason, there is a timeout</w:t>
      </w:r>
      <w:r>
        <w:rPr>
          <w:color w:val="231F20"/>
          <w:spacing w:val="40"/>
        </w:rPr>
        <w:t> </w:t>
      </w:r>
      <w:r>
        <w:rPr>
          <w:color w:val="231F20"/>
        </w:rPr>
        <w:t>value associated with this function. If no data is received for 10 minutes, the wait is cancelled automatically and a value of -1 is returned.</w:t>
      </w:r>
    </w:p>
    <w:p>
      <w:pPr>
        <w:pStyle w:val="Heading6"/>
        <w:spacing w:line="240" w:lineRule="auto" w:before="116"/>
        <w:ind w:left="2232"/>
      </w:pPr>
      <w:r>
        <w:rPr>
          <w:color w:val="231F20"/>
          <w:spacing w:val="-2"/>
        </w:rPr>
        <w:t>WaitForString</w:t>
      </w:r>
    </w:p>
    <w:p>
      <w:pPr>
        <w:pStyle w:val="BodyText"/>
        <w:spacing w:line="213" w:lineRule="auto" w:before="119"/>
        <w:ind w:left="2951" w:right="545"/>
      </w:pPr>
      <w:r>
        <w:rPr>
          <w:color w:val="231F20"/>
        </w:rPr>
        <w:t>WaitForString waits for a screen containing the specified data at </w:t>
      </w:r>
      <w:r>
        <w:rPr>
          <w:color w:val="231F20"/>
        </w:rPr>
        <w:t>the specified location to be received.</w:t>
      </w:r>
    </w:p>
    <w:p>
      <w:pPr>
        <w:pStyle w:val="BodyText"/>
        <w:spacing w:before="95"/>
        <w:ind w:left="2951"/>
      </w:pPr>
      <w:r>
        <w:rPr>
          <w:rFonts w:ascii="Book Antiqua"/>
          <w:b/>
          <w:color w:val="231F20"/>
        </w:rPr>
        <w:t>Parms</w:t>
      </w:r>
      <w:r>
        <w:rPr>
          <w:rFonts w:ascii="Book Antiqua"/>
          <w:b/>
          <w:color w:val="231F20"/>
          <w:spacing w:val="76"/>
          <w:w w:val="150"/>
        </w:rPr>
        <w:t> </w:t>
      </w:r>
      <w:r>
        <w:rPr>
          <w:color w:val="231F20"/>
        </w:rPr>
        <w:t>arg</w:t>
      </w:r>
      <w:r>
        <w:rPr>
          <w:color w:val="231F20"/>
          <w:spacing w:val="15"/>
        </w:rPr>
        <w:t> </w:t>
      </w:r>
      <w:r>
        <w:rPr>
          <w:color w:val="231F20"/>
        </w:rPr>
        <w:t>1</w:t>
      </w:r>
      <w:r>
        <w:rPr>
          <w:color w:val="231F20"/>
          <w:spacing w:val="15"/>
        </w:rPr>
        <w:t> </w:t>
      </w:r>
      <w:r>
        <w:rPr>
          <w:color w:val="231F20"/>
        </w:rPr>
        <w:t>=</w:t>
      </w:r>
      <w:r>
        <w:rPr>
          <w:color w:val="231F20"/>
          <w:spacing w:val="15"/>
        </w:rPr>
        <w:t> </w:t>
      </w:r>
      <w:r>
        <w:rPr>
          <w:color w:val="231F20"/>
        </w:rPr>
        <w:t>The</w:t>
      </w:r>
      <w:r>
        <w:rPr>
          <w:color w:val="231F20"/>
          <w:spacing w:val="15"/>
        </w:rPr>
        <w:t> </w:t>
      </w:r>
      <w:r>
        <w:rPr>
          <w:color w:val="231F20"/>
        </w:rPr>
        <w:t>string</w:t>
      </w:r>
      <w:r>
        <w:rPr>
          <w:color w:val="231F20"/>
          <w:spacing w:val="15"/>
        </w:rPr>
        <w:t> </w:t>
      </w:r>
      <w:r>
        <w:rPr>
          <w:color w:val="231F20"/>
        </w:rPr>
        <w:t>to</w:t>
      </w:r>
      <w:r>
        <w:rPr>
          <w:color w:val="231F20"/>
          <w:spacing w:val="16"/>
        </w:rPr>
        <w:t> </w:t>
      </w:r>
      <w:r>
        <w:rPr>
          <w:color w:val="231F20"/>
        </w:rPr>
        <w:t>wait</w:t>
      </w:r>
      <w:r>
        <w:rPr>
          <w:color w:val="231F20"/>
          <w:spacing w:val="15"/>
        </w:rPr>
        <w:t> </w:t>
      </w:r>
      <w:r>
        <w:rPr>
          <w:color w:val="231F20"/>
          <w:spacing w:val="-5"/>
        </w:rPr>
        <w:t>for</w:t>
      </w:r>
    </w:p>
    <w:p>
      <w:pPr>
        <w:pStyle w:val="BodyText"/>
        <w:spacing w:before="90"/>
        <w:ind w:left="3669"/>
      </w:pPr>
      <w:r>
        <w:rPr>
          <w:color w:val="231F20"/>
        </w:rPr>
        <w:t>arg2</w:t>
      </w:r>
      <w:r>
        <w:rPr>
          <w:color w:val="231F20"/>
          <w:spacing w:val="10"/>
        </w:rPr>
        <w:t> </w:t>
      </w:r>
      <w:r>
        <w:rPr>
          <w:color w:val="231F20"/>
        </w:rPr>
        <w:t>=</w:t>
      </w:r>
      <w:r>
        <w:rPr>
          <w:color w:val="231F20"/>
          <w:spacing w:val="11"/>
        </w:rPr>
        <w:t> </w:t>
      </w:r>
      <w:r>
        <w:rPr>
          <w:color w:val="231F20"/>
        </w:rPr>
        <w:t>The</w:t>
      </w:r>
      <w:r>
        <w:rPr>
          <w:color w:val="231F20"/>
          <w:spacing w:val="11"/>
        </w:rPr>
        <w:t> </w:t>
      </w:r>
      <w:r>
        <w:rPr>
          <w:color w:val="231F20"/>
        </w:rPr>
        <w:t>row,column</w:t>
      </w:r>
      <w:r>
        <w:rPr>
          <w:color w:val="231F20"/>
          <w:spacing w:val="11"/>
        </w:rPr>
        <w:t> </w:t>
      </w:r>
      <w:r>
        <w:rPr>
          <w:color w:val="231F20"/>
        </w:rPr>
        <w:t>position</w:t>
      </w:r>
      <w:r>
        <w:rPr>
          <w:color w:val="231F20"/>
          <w:spacing w:val="10"/>
        </w:rPr>
        <w:t> </w:t>
      </w:r>
      <w:r>
        <w:rPr>
          <w:color w:val="231F20"/>
        </w:rPr>
        <w:t>of</w:t>
      </w:r>
      <w:r>
        <w:rPr>
          <w:color w:val="231F20"/>
          <w:spacing w:val="11"/>
        </w:rPr>
        <w:t> </w:t>
      </w:r>
      <w:r>
        <w:rPr>
          <w:color w:val="231F20"/>
        </w:rPr>
        <w:t>the</w:t>
      </w:r>
      <w:r>
        <w:rPr>
          <w:color w:val="231F20"/>
          <w:spacing w:val="11"/>
        </w:rPr>
        <w:t> </w:t>
      </w:r>
      <w:r>
        <w:rPr>
          <w:color w:val="231F20"/>
          <w:spacing w:val="-4"/>
        </w:rPr>
        <w:t>data</w:t>
      </w:r>
    </w:p>
    <w:p>
      <w:pPr>
        <w:pStyle w:val="BodyText"/>
        <w:spacing w:line="213" w:lineRule="auto" w:before="112"/>
        <w:ind w:left="3669" w:right="545"/>
      </w:pPr>
      <w:r>
        <w:rPr>
          <w:color w:val="231F20"/>
        </w:rPr>
        <w:t>arg3 = Timeout value. This is the length of time to wait, </w:t>
      </w:r>
      <w:r>
        <w:rPr>
          <w:color w:val="231F20"/>
        </w:rPr>
        <w:t>in </w:t>
      </w:r>
      <w:r>
        <w:rPr>
          <w:color w:val="231F20"/>
          <w:spacing w:val="-2"/>
        </w:rPr>
        <w:t>milliseconds.</w:t>
      </w:r>
    </w:p>
    <w:p>
      <w:pPr>
        <w:pStyle w:val="BodyText"/>
        <w:spacing w:line="319" w:lineRule="auto" w:before="95"/>
        <w:ind w:left="3669" w:right="1148"/>
      </w:pPr>
      <w:r>
        <w:rPr>
          <w:color w:val="231F20"/>
        </w:rPr>
        <w:t>If no data is received by this time, processing will </w:t>
      </w:r>
      <w:r>
        <w:rPr>
          <w:color w:val="231F20"/>
        </w:rPr>
        <w:t>continue.</w:t>
      </w:r>
      <w:r>
        <w:rPr>
          <w:color w:val="231F20"/>
          <w:spacing w:val="40"/>
        </w:rPr>
        <w:t> </w:t>
      </w:r>
      <w:r>
        <w:rPr>
          <w:color w:val="231F20"/>
        </w:rPr>
        <w:t>If no value is specified, a default of 15 minutes is assumed</w:t>
      </w:r>
    </w:p>
    <w:p>
      <w:pPr>
        <w:pStyle w:val="Heading6"/>
        <w:spacing w:before="23"/>
        <w:ind w:left="2951"/>
      </w:pPr>
      <w:r>
        <w:rPr>
          <w:color w:val="231F20"/>
          <w:spacing w:val="-2"/>
        </w:rPr>
        <w:t>Return</w:t>
      </w:r>
    </w:p>
    <w:p>
      <w:pPr>
        <w:pStyle w:val="BodyText"/>
        <w:spacing w:line="319" w:lineRule="auto"/>
        <w:ind w:left="3669" w:right="1037"/>
      </w:pPr>
      <w:r>
        <w:rPr>
          <w:color w:val="231F20"/>
        </w:rPr>
        <w:t>Returns a numeric value specifying the result of the </w:t>
      </w:r>
      <w:r>
        <w:rPr>
          <w:color w:val="231F20"/>
        </w:rPr>
        <w:t>function:</w:t>
      </w:r>
      <w:r>
        <w:rPr>
          <w:color w:val="231F20"/>
          <w:spacing w:val="40"/>
        </w:rPr>
        <w:t> </w:t>
      </w:r>
      <w:r>
        <w:rPr>
          <w:color w:val="231F20"/>
        </w:rPr>
        <w:t>0 = data was received</w:t>
      </w:r>
    </w:p>
    <w:p>
      <w:pPr>
        <w:pStyle w:val="BodyText"/>
        <w:ind w:left="3669"/>
      </w:pPr>
      <w:r>
        <w:rPr>
          <w:color w:val="231F20"/>
        </w:rPr>
        <w:t>-1</w:t>
      </w:r>
      <w:r>
        <w:rPr>
          <w:color w:val="231F20"/>
          <w:spacing w:val="13"/>
        </w:rPr>
        <w:t> </w:t>
      </w:r>
      <w:r>
        <w:rPr>
          <w:color w:val="231F20"/>
        </w:rPr>
        <w:t>=</w:t>
      </w:r>
      <w:r>
        <w:rPr>
          <w:color w:val="231F20"/>
          <w:spacing w:val="14"/>
        </w:rPr>
        <w:t> </w:t>
      </w:r>
      <w:r>
        <w:rPr>
          <w:color w:val="231F20"/>
        </w:rPr>
        <w:t>timeout.</w:t>
      </w:r>
      <w:r>
        <w:rPr>
          <w:color w:val="231F20"/>
          <w:spacing w:val="14"/>
        </w:rPr>
        <w:t> </w:t>
      </w:r>
      <w:r>
        <w:rPr>
          <w:color w:val="231F20"/>
        </w:rPr>
        <w:t>No</w:t>
      </w:r>
      <w:r>
        <w:rPr>
          <w:color w:val="231F20"/>
          <w:spacing w:val="13"/>
        </w:rPr>
        <w:t> </w:t>
      </w:r>
      <w:r>
        <w:rPr>
          <w:color w:val="231F20"/>
        </w:rPr>
        <w:t>data</w:t>
      </w:r>
      <w:r>
        <w:rPr>
          <w:color w:val="231F20"/>
          <w:spacing w:val="14"/>
        </w:rPr>
        <w:t> </w:t>
      </w:r>
      <w:r>
        <w:rPr>
          <w:color w:val="231F20"/>
        </w:rPr>
        <w:t>was</w:t>
      </w:r>
      <w:r>
        <w:rPr>
          <w:color w:val="231F20"/>
          <w:spacing w:val="14"/>
        </w:rPr>
        <w:t> </w:t>
      </w:r>
      <w:r>
        <w:rPr>
          <w:color w:val="231F20"/>
        </w:rPr>
        <w:t>received</w:t>
      </w:r>
      <w:r>
        <w:rPr>
          <w:color w:val="231F20"/>
          <w:spacing w:val="13"/>
        </w:rPr>
        <w:t> </w:t>
      </w:r>
      <w:r>
        <w:rPr>
          <w:color w:val="231F20"/>
        </w:rPr>
        <w:t>within</w:t>
      </w:r>
      <w:r>
        <w:rPr>
          <w:color w:val="231F20"/>
          <w:spacing w:val="14"/>
        </w:rPr>
        <w:t> </w:t>
      </w:r>
      <w:r>
        <w:rPr>
          <w:color w:val="231F20"/>
        </w:rPr>
        <w:t>the</w:t>
      </w:r>
      <w:r>
        <w:rPr>
          <w:color w:val="231F20"/>
          <w:spacing w:val="14"/>
        </w:rPr>
        <w:t> </w:t>
      </w:r>
      <w:r>
        <w:rPr>
          <w:color w:val="231F20"/>
        </w:rPr>
        <w:t>time</w:t>
      </w:r>
      <w:r>
        <w:rPr>
          <w:color w:val="231F20"/>
          <w:spacing w:val="13"/>
        </w:rPr>
        <w:t> </w:t>
      </w:r>
      <w:r>
        <w:rPr>
          <w:color w:val="231F20"/>
          <w:spacing w:val="-2"/>
        </w:rPr>
        <w:t>specified</w:t>
      </w:r>
    </w:p>
    <w:p>
      <w:pPr>
        <w:pStyle w:val="BodyText"/>
        <w:spacing w:before="78"/>
        <w:ind w:left="2951"/>
      </w:pPr>
      <w:r>
        <w:rPr>
          <w:color w:val="231F20"/>
          <w:spacing w:val="-2"/>
        </w:rPr>
        <w:t>Example:</w:t>
      </w:r>
    </w:p>
    <w:p>
      <w:pPr>
        <w:spacing w:line="230" w:lineRule="auto" w:before="63"/>
        <w:ind w:left="2951" w:right="1504" w:firstLine="0"/>
        <w:jc w:val="left"/>
        <w:rPr>
          <w:rFonts w:ascii="Arial"/>
          <w:sz w:val="18"/>
        </w:rPr>
      </w:pPr>
      <w:r>
        <w:rPr>
          <w:rFonts w:ascii="Arial"/>
          <w:color w:val="231F20"/>
          <w:w w:val="110"/>
          <w:sz w:val="18"/>
        </w:rPr>
        <w:t>Waitforstring("Userid",5,1);</w:t>
      </w:r>
      <w:r>
        <w:rPr>
          <w:rFonts w:ascii="Arial"/>
          <w:color w:val="231F20"/>
          <w:w w:val="150"/>
          <w:sz w:val="18"/>
        </w:rPr>
        <w:t> //</w:t>
      </w:r>
      <w:r>
        <w:rPr>
          <w:rFonts w:ascii="Arial"/>
          <w:color w:val="231F20"/>
          <w:w w:val="150"/>
          <w:sz w:val="18"/>
        </w:rPr>
        <w:t> </w:t>
      </w:r>
      <w:r>
        <w:rPr>
          <w:rFonts w:ascii="Arial"/>
          <w:color w:val="231F20"/>
          <w:w w:val="110"/>
          <w:sz w:val="18"/>
        </w:rPr>
        <w:t>wait</w:t>
      </w:r>
      <w:r>
        <w:rPr>
          <w:rFonts w:ascii="Arial"/>
          <w:color w:val="231F20"/>
          <w:spacing w:val="40"/>
          <w:w w:val="115"/>
          <w:sz w:val="18"/>
        </w:rPr>
        <w:t> </w:t>
      </w:r>
      <w:r>
        <w:rPr>
          <w:rFonts w:ascii="Arial"/>
          <w:color w:val="231F20"/>
          <w:w w:val="115"/>
          <w:sz w:val="18"/>
        </w:rPr>
        <w:t>until</w:t>
      </w:r>
      <w:r>
        <w:rPr>
          <w:rFonts w:ascii="Arial"/>
          <w:color w:val="231F20"/>
          <w:spacing w:val="40"/>
          <w:w w:val="115"/>
          <w:sz w:val="18"/>
        </w:rPr>
        <w:t> </w:t>
      </w:r>
      <w:r>
        <w:rPr>
          <w:rFonts w:ascii="Arial"/>
          <w:color w:val="231F20"/>
          <w:w w:val="110"/>
          <w:sz w:val="18"/>
        </w:rPr>
        <w:t>a</w:t>
      </w:r>
      <w:r>
        <w:rPr>
          <w:rFonts w:ascii="Arial"/>
          <w:color w:val="231F20"/>
          <w:spacing w:val="40"/>
          <w:w w:val="110"/>
          <w:sz w:val="18"/>
        </w:rPr>
        <w:t> </w:t>
      </w:r>
      <w:r>
        <w:rPr>
          <w:rFonts w:ascii="Arial"/>
          <w:color w:val="231F20"/>
          <w:w w:val="110"/>
          <w:sz w:val="18"/>
        </w:rPr>
        <w:t>screen</w:t>
      </w:r>
      <w:r>
        <w:rPr>
          <w:rFonts w:ascii="Arial"/>
          <w:color w:val="231F20"/>
          <w:spacing w:val="40"/>
          <w:w w:val="115"/>
          <w:sz w:val="18"/>
        </w:rPr>
        <w:t> </w:t>
      </w:r>
      <w:r>
        <w:rPr>
          <w:rFonts w:ascii="Arial"/>
          <w:color w:val="231F20"/>
          <w:w w:val="115"/>
          <w:sz w:val="18"/>
        </w:rPr>
        <w:t>is</w:t>
      </w:r>
      <w:r>
        <w:rPr>
          <w:rFonts w:ascii="Arial"/>
          <w:color w:val="231F20"/>
          <w:spacing w:val="40"/>
          <w:w w:val="115"/>
          <w:sz w:val="18"/>
        </w:rPr>
        <w:t> </w:t>
      </w:r>
      <w:r>
        <w:rPr>
          <w:rFonts w:ascii="Arial"/>
          <w:color w:val="231F20"/>
          <w:w w:val="110"/>
          <w:sz w:val="18"/>
        </w:rPr>
        <w:t>received that</w:t>
      </w:r>
      <w:r>
        <w:rPr>
          <w:rFonts w:ascii="Arial"/>
          <w:color w:val="231F20"/>
          <w:spacing w:val="40"/>
          <w:w w:val="110"/>
          <w:sz w:val="18"/>
        </w:rPr>
        <w:t> </w:t>
      </w:r>
      <w:r>
        <w:rPr>
          <w:rFonts w:ascii="Arial"/>
          <w:color w:val="231F20"/>
          <w:w w:val="110"/>
          <w:sz w:val="18"/>
        </w:rPr>
        <w:t>has</w:t>
      </w:r>
      <w:r>
        <w:rPr>
          <w:rFonts w:ascii="Arial"/>
          <w:color w:val="231F20"/>
          <w:spacing w:val="40"/>
          <w:w w:val="110"/>
          <w:sz w:val="18"/>
        </w:rPr>
        <w:t> </w:t>
      </w:r>
      <w:r>
        <w:rPr>
          <w:rFonts w:ascii="Arial"/>
          <w:color w:val="231F20"/>
          <w:w w:val="110"/>
          <w:sz w:val="18"/>
        </w:rPr>
        <w:t>the</w:t>
      </w:r>
      <w:r>
        <w:rPr>
          <w:rFonts w:ascii="Arial"/>
          <w:color w:val="231F20"/>
          <w:spacing w:val="40"/>
          <w:w w:val="110"/>
          <w:sz w:val="18"/>
        </w:rPr>
        <w:t> </w:t>
      </w:r>
      <w:r>
        <w:rPr>
          <w:rFonts w:ascii="Arial"/>
          <w:color w:val="231F20"/>
          <w:w w:val="110"/>
          <w:sz w:val="18"/>
        </w:rPr>
        <w:t>string</w:t>
      </w:r>
      <w:r>
        <w:rPr>
          <w:rFonts w:ascii="Arial"/>
          <w:color w:val="231F20"/>
          <w:spacing w:val="40"/>
          <w:w w:val="110"/>
          <w:sz w:val="18"/>
        </w:rPr>
        <w:t> </w:t>
      </w:r>
      <w:r>
        <w:rPr>
          <w:rFonts w:ascii="Arial"/>
          <w:color w:val="231F20"/>
          <w:w w:val="110"/>
          <w:sz w:val="18"/>
        </w:rPr>
        <w:t>"Userid"</w:t>
      </w:r>
      <w:r>
        <w:rPr>
          <w:rFonts w:ascii="Arial"/>
          <w:color w:val="231F20"/>
          <w:spacing w:val="40"/>
          <w:w w:val="110"/>
          <w:sz w:val="18"/>
        </w:rPr>
        <w:t> </w:t>
      </w:r>
      <w:r>
        <w:rPr>
          <w:rFonts w:ascii="Arial"/>
          <w:color w:val="231F20"/>
          <w:w w:val="110"/>
          <w:sz w:val="18"/>
        </w:rPr>
        <w:t>at</w:t>
      </w:r>
      <w:r>
        <w:rPr>
          <w:rFonts w:ascii="Arial"/>
          <w:color w:val="231F20"/>
          <w:spacing w:val="40"/>
          <w:w w:val="110"/>
          <w:sz w:val="18"/>
        </w:rPr>
        <w:t> </w:t>
      </w:r>
      <w:r>
        <w:rPr>
          <w:rFonts w:ascii="Arial"/>
          <w:color w:val="231F20"/>
          <w:w w:val="110"/>
          <w:sz w:val="18"/>
        </w:rPr>
        <w:t>row</w:t>
      </w:r>
      <w:r>
        <w:rPr>
          <w:rFonts w:ascii="Arial"/>
          <w:color w:val="231F20"/>
          <w:spacing w:val="40"/>
          <w:w w:val="110"/>
          <w:sz w:val="18"/>
        </w:rPr>
        <w:t> </w:t>
      </w:r>
      <w:r>
        <w:rPr>
          <w:rFonts w:ascii="Arial"/>
          <w:color w:val="231F20"/>
          <w:w w:val="110"/>
          <w:sz w:val="18"/>
        </w:rPr>
        <w:t>5</w:t>
      </w:r>
      <w:r>
        <w:rPr>
          <w:rFonts w:ascii="Arial"/>
          <w:color w:val="231F20"/>
          <w:spacing w:val="40"/>
          <w:w w:val="110"/>
          <w:sz w:val="18"/>
        </w:rPr>
        <w:t> </w:t>
      </w:r>
      <w:r>
        <w:rPr>
          <w:rFonts w:ascii="Arial"/>
          <w:color w:val="231F20"/>
          <w:w w:val="110"/>
          <w:sz w:val="18"/>
        </w:rPr>
        <w:t>col</w:t>
      </w:r>
      <w:r>
        <w:rPr>
          <w:rFonts w:ascii="Arial"/>
          <w:color w:val="231F20"/>
          <w:spacing w:val="40"/>
          <w:w w:val="110"/>
          <w:sz w:val="18"/>
        </w:rPr>
        <w:t> </w:t>
      </w:r>
      <w:r>
        <w:rPr>
          <w:rFonts w:ascii="Arial"/>
          <w:color w:val="231F20"/>
          <w:w w:val="110"/>
          <w:sz w:val="18"/>
        </w:rPr>
        <w:t>1</w:t>
      </w:r>
    </w:p>
    <w:p>
      <w:pPr>
        <w:spacing w:line="202" w:lineRule="exact" w:before="0"/>
        <w:ind w:left="2951" w:right="0" w:firstLine="0"/>
        <w:jc w:val="left"/>
        <w:rPr>
          <w:rFonts w:ascii="Arial"/>
          <w:sz w:val="18"/>
        </w:rPr>
      </w:pPr>
      <w:r>
        <w:rPr>
          <w:rFonts w:ascii="Arial"/>
          <w:color w:val="231F20"/>
          <w:w w:val="110"/>
          <w:sz w:val="18"/>
        </w:rPr>
        <w:t>Waitforstring</w:t>
      </w:r>
      <w:r>
        <w:rPr>
          <w:rFonts w:ascii="Arial"/>
          <w:color w:val="231F20"/>
          <w:spacing w:val="35"/>
          <w:w w:val="110"/>
          <w:sz w:val="18"/>
        </w:rPr>
        <w:t> </w:t>
      </w:r>
      <w:r>
        <w:rPr>
          <w:rFonts w:ascii="Arial"/>
          <w:color w:val="231F20"/>
          <w:w w:val="110"/>
          <w:sz w:val="18"/>
        </w:rPr>
        <w:t>("Userid",5,1</w:t>
      </w:r>
      <w:r>
        <w:rPr>
          <w:rFonts w:ascii="Arial"/>
          <w:color w:val="231F20"/>
          <w:spacing w:val="36"/>
          <w:w w:val="110"/>
          <w:sz w:val="18"/>
        </w:rPr>
        <w:t> </w:t>
      </w:r>
      <w:r>
        <w:rPr>
          <w:rFonts w:ascii="Arial"/>
          <w:color w:val="231F20"/>
          <w:w w:val="110"/>
          <w:sz w:val="18"/>
        </w:rPr>
        <w:t>1000*15)</w:t>
      </w:r>
      <w:r>
        <w:rPr>
          <w:rFonts w:ascii="Arial"/>
          <w:color w:val="231F20"/>
          <w:spacing w:val="16"/>
          <w:w w:val="150"/>
          <w:sz w:val="18"/>
        </w:rPr>
        <w:t> </w:t>
      </w:r>
      <w:r>
        <w:rPr>
          <w:rFonts w:ascii="Arial"/>
          <w:color w:val="231F20"/>
          <w:w w:val="150"/>
          <w:sz w:val="18"/>
        </w:rPr>
        <w:t>//</w:t>
      </w:r>
      <w:r>
        <w:rPr>
          <w:rFonts w:ascii="Arial"/>
          <w:color w:val="231F20"/>
          <w:spacing w:val="16"/>
          <w:w w:val="150"/>
          <w:sz w:val="18"/>
        </w:rPr>
        <w:t> </w:t>
      </w:r>
      <w:r>
        <w:rPr>
          <w:rFonts w:ascii="Arial"/>
          <w:color w:val="231F20"/>
          <w:w w:val="110"/>
          <w:sz w:val="18"/>
        </w:rPr>
        <w:t>wait</w:t>
      </w:r>
      <w:r>
        <w:rPr>
          <w:rFonts w:ascii="Arial"/>
          <w:color w:val="231F20"/>
          <w:spacing w:val="35"/>
          <w:w w:val="110"/>
          <w:sz w:val="18"/>
        </w:rPr>
        <w:t> </w:t>
      </w:r>
      <w:r>
        <w:rPr>
          <w:rFonts w:ascii="Arial"/>
          <w:color w:val="231F20"/>
          <w:w w:val="110"/>
          <w:sz w:val="18"/>
        </w:rPr>
        <w:t>for</w:t>
      </w:r>
      <w:r>
        <w:rPr>
          <w:rFonts w:ascii="Arial"/>
          <w:color w:val="231F20"/>
          <w:spacing w:val="36"/>
          <w:w w:val="110"/>
          <w:sz w:val="18"/>
        </w:rPr>
        <w:t> </w:t>
      </w:r>
      <w:r>
        <w:rPr>
          <w:rFonts w:ascii="Arial"/>
          <w:color w:val="231F20"/>
          <w:w w:val="110"/>
          <w:sz w:val="18"/>
        </w:rPr>
        <w:t>up</w:t>
      </w:r>
      <w:r>
        <w:rPr>
          <w:rFonts w:ascii="Arial"/>
          <w:color w:val="231F20"/>
          <w:spacing w:val="36"/>
          <w:w w:val="110"/>
          <w:sz w:val="18"/>
        </w:rPr>
        <w:t> </w:t>
      </w:r>
      <w:r>
        <w:rPr>
          <w:rFonts w:ascii="Arial"/>
          <w:color w:val="231F20"/>
          <w:w w:val="110"/>
          <w:sz w:val="18"/>
        </w:rPr>
        <w:t>to</w:t>
      </w:r>
      <w:r>
        <w:rPr>
          <w:rFonts w:ascii="Arial"/>
          <w:color w:val="231F20"/>
          <w:spacing w:val="36"/>
          <w:w w:val="110"/>
          <w:sz w:val="18"/>
        </w:rPr>
        <w:t> </w:t>
      </w:r>
      <w:r>
        <w:rPr>
          <w:rFonts w:ascii="Arial"/>
          <w:color w:val="231F20"/>
          <w:w w:val="110"/>
          <w:sz w:val="18"/>
        </w:rPr>
        <w:t>15</w:t>
      </w:r>
      <w:r>
        <w:rPr>
          <w:rFonts w:ascii="Arial"/>
          <w:color w:val="231F20"/>
          <w:spacing w:val="35"/>
          <w:w w:val="110"/>
          <w:sz w:val="18"/>
        </w:rPr>
        <w:t> </w:t>
      </w:r>
      <w:r>
        <w:rPr>
          <w:rFonts w:ascii="Arial"/>
          <w:color w:val="231F20"/>
          <w:spacing w:val="-2"/>
          <w:w w:val="110"/>
          <w:sz w:val="18"/>
        </w:rPr>
        <w:t>seconds</w:t>
      </w:r>
    </w:p>
    <w:p>
      <w:pPr>
        <w:pStyle w:val="BodyText"/>
        <w:spacing w:before="41"/>
        <w:rPr>
          <w:rFonts w:ascii="Arial"/>
          <w:sz w:val="18"/>
        </w:rPr>
      </w:pPr>
    </w:p>
    <w:p>
      <w:pPr>
        <w:pStyle w:val="BodyText"/>
        <w:spacing w:line="213" w:lineRule="auto" w:before="1"/>
        <w:ind w:left="2951" w:right="636"/>
      </w:pPr>
      <w:r>
        <w:rPr>
          <w:rFonts w:ascii="Book Antiqua"/>
          <w:b/>
          <w:color w:val="231F20"/>
        </w:rPr>
        <w:t>Note:</w:t>
      </w:r>
      <w:r>
        <w:rPr>
          <w:rFonts w:ascii="Book Antiqua"/>
          <w:b/>
          <w:color w:val="231F20"/>
          <w:spacing w:val="40"/>
        </w:rPr>
        <w:t> </w:t>
      </w:r>
      <w:r>
        <w:rPr>
          <w:color w:val="231F20"/>
        </w:rPr>
        <w:t>Because the waitforstring is waiting for input, it could take a long time before a screen is received. If a stall has occurred and the system is</w:t>
      </w:r>
      <w:r>
        <w:rPr>
          <w:color w:val="231F20"/>
          <w:spacing w:val="80"/>
        </w:rPr>
        <w:t> </w:t>
      </w:r>
      <w:r>
        <w:rPr>
          <w:color w:val="231F20"/>
        </w:rPr>
        <w:t>not responding, the script will stall. For this reason, there is a timeout</w:t>
      </w:r>
      <w:r>
        <w:rPr>
          <w:color w:val="231F20"/>
          <w:spacing w:val="80"/>
        </w:rPr>
        <w:t> </w:t>
      </w:r>
      <w:r>
        <w:rPr>
          <w:color w:val="231F20"/>
        </w:rPr>
        <w:t>value associated with this function. If no data is received within 10</w:t>
      </w:r>
      <w:r>
        <w:rPr>
          <w:color w:val="231F20"/>
          <w:spacing w:val="40"/>
        </w:rPr>
        <w:t> </w:t>
      </w:r>
      <w:r>
        <w:rPr>
          <w:color w:val="231F20"/>
        </w:rPr>
        <w:t>minutes, the wait will be cancelled automatically and a value of -1 will </w:t>
      </w:r>
      <w:r>
        <w:rPr>
          <w:color w:val="231F20"/>
        </w:rPr>
        <w:t>be </w:t>
      </w:r>
      <w:bookmarkStart w:name="Sample script" w:id="305"/>
      <w:bookmarkEnd w:id="305"/>
      <w:r>
        <w:rPr>
          <w:color w:val="231F20"/>
          <w:spacing w:val="-2"/>
        </w:rPr>
        <w:t>r</w:t>
      </w:r>
      <w:r>
        <w:rPr>
          <w:color w:val="231F20"/>
          <w:spacing w:val="-2"/>
        </w:rPr>
        <w:t>eturned.</w:t>
      </w:r>
    </w:p>
    <w:p>
      <w:pPr>
        <w:pStyle w:val="Heading4"/>
        <w:spacing w:before="162"/>
      </w:pPr>
      <w:r>
        <w:rPr>
          <w:color w:val="231F20"/>
        </w:rPr>
        <w:t>Sample</w:t>
      </w:r>
      <w:r>
        <w:rPr>
          <w:color w:val="231F20"/>
          <w:spacing w:val="4"/>
        </w:rPr>
        <w:t> </w:t>
      </w:r>
      <w:r>
        <w:rPr>
          <w:color w:val="231F20"/>
          <w:spacing w:val="-2"/>
        </w:rPr>
        <w:t>script</w:t>
      </w:r>
    </w:p>
    <w:p>
      <w:pPr>
        <w:pStyle w:val="BodyText"/>
        <w:spacing w:line="213" w:lineRule="auto" w:before="216"/>
        <w:ind w:left="2232" w:right="545"/>
      </w:pPr>
      <w:r>
        <w:rPr>
          <w:color w:val="231F20"/>
        </w:rPr>
        <w:t>The following example shows a sample script for an Omegaview Zoom. It demonstrates the constructs of the scripting language through </w:t>
      </w:r>
      <w:r>
        <w:rPr>
          <w:color w:val="231F20"/>
        </w:rPr>
        <w:t>user-defined functions, local variables, flow control and built-in emulator functions.</w:t>
      </w:r>
    </w:p>
    <w:p>
      <w:pPr>
        <w:spacing w:line="203" w:lineRule="exact" w:before="61"/>
        <w:ind w:left="2232" w:right="0" w:firstLine="0"/>
        <w:jc w:val="left"/>
        <w:rPr>
          <w:rFonts w:ascii="Arial"/>
          <w:sz w:val="18"/>
        </w:rPr>
      </w:pPr>
      <w:r>
        <w:rPr>
          <w:rFonts w:ascii="Arial"/>
          <w:color w:val="231F20"/>
          <w:spacing w:val="-5"/>
          <w:w w:val="150"/>
          <w:sz w:val="18"/>
        </w:rPr>
        <w:t>/*</w:t>
      </w:r>
    </w:p>
    <w:p>
      <w:pPr>
        <w:spacing w:line="230" w:lineRule="auto" w:before="3"/>
        <w:ind w:left="2412" w:right="4095" w:hanging="90"/>
        <w:jc w:val="left"/>
        <w:rPr>
          <w:rFonts w:ascii="Arial"/>
          <w:sz w:val="18"/>
        </w:rPr>
      </w:pPr>
      <w:r>
        <w:rPr>
          <w:rFonts w:ascii="Arial"/>
          <w:color w:val="231F20"/>
          <w:sz w:val="18"/>
        </w:rPr>
        <w:t>Omegaview</w:t>
      </w:r>
      <w:r>
        <w:rPr>
          <w:rFonts w:ascii="Arial"/>
          <w:color w:val="231F20"/>
          <w:spacing w:val="36"/>
          <w:sz w:val="18"/>
        </w:rPr>
        <w:t> </w:t>
      </w:r>
      <w:r>
        <w:rPr>
          <w:rFonts w:ascii="Arial"/>
          <w:color w:val="231F20"/>
          <w:sz w:val="18"/>
        </w:rPr>
        <w:t>Zoom</w:t>
      </w:r>
      <w:r>
        <w:rPr>
          <w:rFonts w:ascii="Arial"/>
          <w:color w:val="231F20"/>
          <w:spacing w:val="36"/>
          <w:sz w:val="18"/>
        </w:rPr>
        <w:t> </w:t>
      </w:r>
      <w:r>
        <w:rPr>
          <w:rFonts w:ascii="Arial"/>
          <w:color w:val="231F20"/>
          <w:sz w:val="18"/>
        </w:rPr>
        <w:t>Emulator</w:t>
      </w:r>
      <w:r>
        <w:rPr>
          <w:rFonts w:ascii="Arial"/>
          <w:color w:val="231F20"/>
          <w:spacing w:val="36"/>
          <w:sz w:val="18"/>
        </w:rPr>
        <w:t> </w:t>
      </w:r>
      <w:r>
        <w:rPr>
          <w:rFonts w:ascii="Arial"/>
          <w:color w:val="231F20"/>
          <w:sz w:val="18"/>
        </w:rPr>
        <w:t>Script Copyright(c)</w:t>
      </w:r>
      <w:r>
        <w:rPr>
          <w:rFonts w:ascii="Arial"/>
          <w:color w:val="231F20"/>
          <w:spacing w:val="40"/>
          <w:sz w:val="18"/>
        </w:rPr>
        <w:t> </w:t>
      </w:r>
      <w:r>
        <w:rPr>
          <w:rFonts w:ascii="Arial"/>
          <w:color w:val="231F20"/>
          <w:sz w:val="18"/>
        </w:rPr>
        <w:t>!IBM</w:t>
      </w:r>
      <w:r>
        <w:rPr>
          <w:rFonts w:ascii="Arial"/>
          <w:color w:val="231F20"/>
          <w:spacing w:val="40"/>
          <w:sz w:val="18"/>
        </w:rPr>
        <w:t> </w:t>
      </w:r>
      <w:r>
        <w:rPr>
          <w:rFonts w:ascii="Arial"/>
          <w:color w:val="231F20"/>
          <w:sz w:val="18"/>
        </w:rPr>
        <w:t>Corporation</w:t>
      </w:r>
      <w:r>
        <w:rPr>
          <w:rFonts w:ascii="Arial"/>
          <w:color w:val="231F20"/>
          <w:spacing w:val="40"/>
          <w:sz w:val="18"/>
        </w:rPr>
        <w:t> </w:t>
      </w:r>
      <w:r>
        <w:rPr>
          <w:rFonts w:ascii="Arial"/>
          <w:color w:val="231F20"/>
          <w:sz w:val="18"/>
        </w:rPr>
        <w:t>2002,</w:t>
      </w:r>
      <w:r>
        <w:rPr>
          <w:rFonts w:ascii="Arial"/>
          <w:color w:val="231F20"/>
          <w:spacing w:val="40"/>
          <w:sz w:val="18"/>
        </w:rPr>
        <w:t> </w:t>
      </w:r>
      <w:r>
        <w:rPr>
          <w:rFonts w:ascii="Arial"/>
          <w:color w:val="231F20"/>
          <w:sz w:val="18"/>
        </w:rPr>
        <w:t>2005</w:t>
      </w:r>
    </w:p>
    <w:p>
      <w:pPr>
        <w:spacing w:line="198" w:lineRule="exact" w:before="0"/>
        <w:ind w:left="2232" w:right="0" w:firstLine="0"/>
        <w:jc w:val="left"/>
        <w:rPr>
          <w:rFonts w:ascii="Arial"/>
          <w:sz w:val="18"/>
        </w:rPr>
      </w:pPr>
      <w:r>
        <w:rPr>
          <w:rFonts w:ascii="Arial"/>
          <w:color w:val="231F20"/>
          <w:spacing w:val="-5"/>
          <w:w w:val="150"/>
          <w:sz w:val="18"/>
        </w:rPr>
        <w:t>*/</w:t>
      </w:r>
    </w:p>
    <w:p>
      <w:pPr>
        <w:spacing w:line="200" w:lineRule="exact" w:before="0"/>
        <w:ind w:left="2232" w:right="0" w:firstLine="0"/>
        <w:jc w:val="left"/>
        <w:rPr>
          <w:rFonts w:ascii="Arial"/>
          <w:sz w:val="18"/>
        </w:rPr>
      </w:pPr>
      <w:r>
        <w:rPr/>
        <mc:AlternateContent>
          <mc:Choice Requires="wps">
            <w:drawing>
              <wp:anchor distT="0" distB="0" distL="0" distR="0" allowOverlap="1" layoutInCell="1" locked="0" behindDoc="0" simplePos="0" relativeHeight="15843840">
                <wp:simplePos x="0" y="0"/>
                <wp:positionH relativeFrom="page">
                  <wp:posOffset>2223936</wp:posOffset>
                </wp:positionH>
                <wp:positionV relativeFrom="paragraph">
                  <wp:posOffset>77075</wp:posOffset>
                </wp:positionV>
                <wp:extent cx="2224405" cy="1270"/>
                <wp:effectExtent l="0" t="0" r="0" b="0"/>
                <wp:wrapNone/>
                <wp:docPr id="1645" name="Graphic 1645"/>
                <wp:cNvGraphicFramePr>
                  <a:graphicFrameLocks/>
                </wp:cNvGraphicFramePr>
                <a:graphic>
                  <a:graphicData uri="http://schemas.microsoft.com/office/word/2010/wordprocessingShape">
                    <wps:wsp>
                      <wps:cNvPr id="1645" name="Graphic 1645"/>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3840" from="175.113098pt,6.068959pt" to="350.227003pt,6.068959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232" w:right="0" w:firstLine="0"/>
        <w:jc w:val="left"/>
        <w:rPr>
          <w:rFonts w:ascii="Arial"/>
          <w:sz w:val="18"/>
        </w:rPr>
      </w:pPr>
      <w:r>
        <w:rPr>
          <w:rFonts w:ascii="Arial"/>
          <w:color w:val="231F20"/>
          <w:w w:val="150"/>
          <w:sz w:val="18"/>
        </w:rPr>
        <w:t>//</w:t>
      </w:r>
      <w:r>
        <w:rPr>
          <w:rFonts w:ascii="Arial"/>
          <w:color w:val="231F20"/>
          <w:spacing w:val="-7"/>
          <w:w w:val="150"/>
          <w:sz w:val="18"/>
        </w:rPr>
        <w:t> </w:t>
      </w:r>
      <w:r>
        <w:rPr>
          <w:rFonts w:ascii="Arial"/>
          <w:color w:val="231F20"/>
          <w:w w:val="105"/>
          <w:sz w:val="18"/>
        </w:rPr>
        <w:t>Check</w:t>
      </w:r>
      <w:r>
        <w:rPr>
          <w:rFonts w:ascii="Arial"/>
          <w:color w:val="231F20"/>
          <w:spacing w:val="12"/>
          <w:w w:val="115"/>
          <w:sz w:val="18"/>
        </w:rPr>
        <w:t> </w:t>
      </w:r>
      <w:r>
        <w:rPr>
          <w:rFonts w:ascii="Arial"/>
          <w:color w:val="231F20"/>
          <w:w w:val="115"/>
          <w:sz w:val="18"/>
        </w:rPr>
        <w:t>for</w:t>
      </w:r>
      <w:r>
        <w:rPr>
          <w:rFonts w:ascii="Arial"/>
          <w:color w:val="231F20"/>
          <w:spacing w:val="11"/>
          <w:w w:val="115"/>
          <w:sz w:val="18"/>
        </w:rPr>
        <w:t> </w:t>
      </w:r>
      <w:r>
        <w:rPr>
          <w:rFonts w:ascii="Arial"/>
          <w:color w:val="231F20"/>
          <w:w w:val="105"/>
          <w:sz w:val="18"/>
        </w:rPr>
        <w:t>Signon</w:t>
      </w:r>
      <w:r>
        <w:rPr>
          <w:rFonts w:ascii="Arial"/>
          <w:color w:val="231F20"/>
          <w:spacing w:val="16"/>
          <w:w w:val="105"/>
          <w:sz w:val="18"/>
        </w:rPr>
        <w:t> </w:t>
      </w:r>
      <w:r>
        <w:rPr>
          <w:rFonts w:ascii="Arial"/>
          <w:color w:val="231F20"/>
          <w:spacing w:val="-4"/>
          <w:w w:val="105"/>
          <w:sz w:val="18"/>
        </w:rPr>
        <w:t>Panel</w:t>
      </w:r>
    </w:p>
    <w:p>
      <w:pPr>
        <w:spacing w:line="200" w:lineRule="exact" w:before="0"/>
        <w:ind w:left="2232" w:right="0" w:firstLine="0"/>
        <w:jc w:val="left"/>
        <w:rPr>
          <w:rFonts w:ascii="Arial"/>
          <w:sz w:val="18"/>
        </w:rPr>
      </w:pPr>
      <w:r>
        <w:rPr>
          <w:rFonts w:ascii="Arial"/>
          <w:color w:val="231F20"/>
          <w:w w:val="155"/>
          <w:sz w:val="18"/>
        </w:rPr>
        <w:t>//</w:t>
      </w:r>
      <w:r>
        <w:rPr>
          <w:rFonts w:ascii="Arial"/>
          <w:color w:val="231F20"/>
          <w:spacing w:val="9"/>
          <w:w w:val="155"/>
          <w:sz w:val="18"/>
        </w:rPr>
        <w:t> </w:t>
      </w:r>
      <w:r>
        <w:rPr>
          <w:rFonts w:ascii="Arial"/>
          <w:color w:val="231F20"/>
          <w:w w:val="105"/>
          <w:sz w:val="18"/>
        </w:rPr>
        <w:t>0</w:t>
      </w:r>
      <w:r>
        <w:rPr>
          <w:rFonts w:ascii="Arial"/>
          <w:color w:val="231F20"/>
          <w:spacing w:val="34"/>
          <w:w w:val="105"/>
          <w:sz w:val="18"/>
        </w:rPr>
        <w:t> </w:t>
      </w:r>
      <w:r>
        <w:rPr>
          <w:rFonts w:ascii="Arial"/>
          <w:color w:val="231F20"/>
          <w:w w:val="105"/>
          <w:sz w:val="18"/>
        </w:rPr>
        <w:t>=</w:t>
      </w:r>
      <w:r>
        <w:rPr>
          <w:rFonts w:ascii="Arial"/>
          <w:color w:val="231F20"/>
          <w:spacing w:val="35"/>
          <w:w w:val="105"/>
          <w:sz w:val="18"/>
        </w:rPr>
        <w:t> </w:t>
      </w:r>
      <w:r>
        <w:rPr>
          <w:rFonts w:ascii="Arial"/>
          <w:color w:val="231F20"/>
          <w:w w:val="105"/>
          <w:sz w:val="18"/>
        </w:rPr>
        <w:t>not</w:t>
      </w:r>
      <w:r>
        <w:rPr>
          <w:rFonts w:ascii="Arial"/>
          <w:color w:val="231F20"/>
          <w:spacing w:val="34"/>
          <w:w w:val="105"/>
          <w:sz w:val="18"/>
        </w:rPr>
        <w:t> </w:t>
      </w:r>
      <w:r>
        <w:rPr>
          <w:rFonts w:ascii="Arial"/>
          <w:color w:val="231F20"/>
          <w:spacing w:val="-2"/>
          <w:w w:val="105"/>
          <w:sz w:val="18"/>
        </w:rPr>
        <w:t>found</w:t>
      </w:r>
    </w:p>
    <w:p>
      <w:pPr>
        <w:spacing w:line="200" w:lineRule="exact" w:before="0"/>
        <w:ind w:left="2232" w:right="0" w:firstLine="0"/>
        <w:jc w:val="left"/>
        <w:rPr>
          <w:rFonts w:ascii="Arial"/>
          <w:sz w:val="18"/>
        </w:rPr>
      </w:pPr>
      <w:r>
        <w:rPr>
          <w:rFonts w:ascii="Arial"/>
          <w:color w:val="231F20"/>
          <w:w w:val="155"/>
          <w:sz w:val="18"/>
        </w:rPr>
        <w:t>//</w:t>
      </w:r>
      <w:r>
        <w:rPr>
          <w:rFonts w:ascii="Arial"/>
          <w:color w:val="231F20"/>
          <w:spacing w:val="7"/>
          <w:w w:val="155"/>
          <w:sz w:val="18"/>
        </w:rPr>
        <w:t> </w:t>
      </w:r>
      <w:r>
        <w:rPr>
          <w:rFonts w:ascii="Arial"/>
          <w:color w:val="231F20"/>
          <w:w w:val="105"/>
          <w:sz w:val="18"/>
        </w:rPr>
        <w:t>1</w:t>
      </w:r>
      <w:r>
        <w:rPr>
          <w:rFonts w:ascii="Arial"/>
          <w:color w:val="231F20"/>
          <w:spacing w:val="32"/>
          <w:w w:val="105"/>
          <w:sz w:val="18"/>
        </w:rPr>
        <w:t> </w:t>
      </w:r>
      <w:r>
        <w:rPr>
          <w:rFonts w:ascii="Arial"/>
          <w:color w:val="231F20"/>
          <w:w w:val="105"/>
          <w:sz w:val="18"/>
        </w:rPr>
        <w:t>=</w:t>
      </w:r>
      <w:r>
        <w:rPr>
          <w:rFonts w:ascii="Arial"/>
          <w:color w:val="231F20"/>
          <w:spacing w:val="32"/>
          <w:w w:val="105"/>
          <w:sz w:val="18"/>
        </w:rPr>
        <w:t> </w:t>
      </w:r>
      <w:r>
        <w:rPr>
          <w:rFonts w:ascii="Arial"/>
          <w:color w:val="231F20"/>
          <w:spacing w:val="-2"/>
          <w:w w:val="105"/>
          <w:sz w:val="18"/>
        </w:rPr>
        <w:t>found</w:t>
      </w:r>
    </w:p>
    <w:p>
      <w:pPr>
        <w:spacing w:line="200" w:lineRule="exact" w:before="0"/>
        <w:ind w:left="2232" w:right="0" w:firstLine="0"/>
        <w:jc w:val="left"/>
        <w:rPr>
          <w:rFonts w:ascii="Arial"/>
          <w:sz w:val="18"/>
        </w:rPr>
      </w:pPr>
      <w:r>
        <w:rPr/>
        <mc:AlternateContent>
          <mc:Choice Requires="wps">
            <w:drawing>
              <wp:anchor distT="0" distB="0" distL="0" distR="0" allowOverlap="1" layoutInCell="1" locked="0" behindDoc="0" simplePos="0" relativeHeight="15844352">
                <wp:simplePos x="0" y="0"/>
                <wp:positionH relativeFrom="page">
                  <wp:posOffset>2223936</wp:posOffset>
                </wp:positionH>
                <wp:positionV relativeFrom="paragraph">
                  <wp:posOffset>77075</wp:posOffset>
                </wp:positionV>
                <wp:extent cx="2224405" cy="1270"/>
                <wp:effectExtent l="0" t="0" r="0" b="0"/>
                <wp:wrapNone/>
                <wp:docPr id="1646" name="Graphic 1646"/>
                <wp:cNvGraphicFramePr>
                  <a:graphicFrameLocks/>
                </wp:cNvGraphicFramePr>
                <a:graphic>
                  <a:graphicData uri="http://schemas.microsoft.com/office/word/2010/wordprocessingShape">
                    <wps:wsp>
                      <wps:cNvPr id="1646" name="Graphic 1646"/>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4352" from="175.113098pt,6.068955pt" to="350.227003pt,6.068955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232" w:right="0" w:firstLine="0"/>
        <w:jc w:val="left"/>
        <w:rPr>
          <w:rFonts w:ascii="Arial"/>
          <w:sz w:val="18"/>
        </w:rPr>
      </w:pPr>
      <w:r>
        <w:rPr>
          <w:rFonts w:ascii="Arial"/>
          <w:color w:val="231F20"/>
          <w:w w:val="90"/>
          <w:sz w:val="18"/>
        </w:rPr>
        <w:t>int</w:t>
      </w:r>
      <w:r>
        <w:rPr>
          <w:rFonts w:ascii="Arial"/>
          <w:color w:val="231F20"/>
          <w:spacing w:val="27"/>
          <w:sz w:val="18"/>
        </w:rPr>
        <w:t> </w:t>
      </w:r>
      <w:r>
        <w:rPr>
          <w:rFonts w:ascii="Arial"/>
          <w:color w:val="231F20"/>
          <w:w w:val="90"/>
          <w:sz w:val="18"/>
        </w:rPr>
        <w:t>FUNCTION</w:t>
      </w:r>
      <w:r>
        <w:rPr>
          <w:rFonts w:ascii="Arial"/>
          <w:color w:val="231F20"/>
          <w:spacing w:val="27"/>
          <w:sz w:val="18"/>
        </w:rPr>
        <w:t> </w:t>
      </w:r>
      <w:r>
        <w:rPr>
          <w:rFonts w:ascii="Arial"/>
          <w:color w:val="231F20"/>
          <w:spacing w:val="-2"/>
          <w:w w:val="90"/>
          <w:sz w:val="18"/>
        </w:rPr>
        <w:t>signonPanel()</w:t>
      </w:r>
    </w:p>
    <w:p>
      <w:pPr>
        <w:spacing w:line="203" w:lineRule="exact" w:before="0"/>
        <w:ind w:left="2232" w:right="0" w:firstLine="0"/>
        <w:jc w:val="left"/>
        <w:rPr>
          <w:rFonts w:ascii="Arial"/>
          <w:sz w:val="18"/>
        </w:rPr>
      </w:pPr>
      <w:r>
        <w:rPr>
          <w:rFonts w:ascii="Arial"/>
          <w:color w:val="231F20"/>
          <w:spacing w:val="-10"/>
          <w:w w:val="150"/>
          <w:sz w:val="18"/>
        </w:rPr>
        <w:t>{</w:t>
      </w:r>
    </w:p>
    <w:p>
      <w:pPr>
        <w:spacing w:line="230" w:lineRule="auto" w:before="0"/>
        <w:ind w:left="2502" w:right="4095" w:hanging="90"/>
        <w:jc w:val="left"/>
        <w:rPr>
          <w:rFonts w:ascii="Arial"/>
          <w:sz w:val="18"/>
        </w:rPr>
      </w:pPr>
      <w:r>
        <w:rPr>
          <w:rFonts w:ascii="Arial"/>
          <w:color w:val="231F20"/>
          <w:spacing w:val="-2"/>
          <w:w w:val="165"/>
          <w:sz w:val="18"/>
        </w:rPr>
        <w:t>if</w:t>
      </w:r>
      <w:r>
        <w:rPr>
          <w:rFonts w:ascii="Arial"/>
          <w:color w:val="231F20"/>
          <w:spacing w:val="-17"/>
          <w:w w:val="165"/>
          <w:sz w:val="18"/>
        </w:rPr>
        <w:t> </w:t>
      </w:r>
      <w:r>
        <w:rPr>
          <w:rFonts w:ascii="Arial"/>
          <w:color w:val="231F20"/>
          <w:spacing w:val="-2"/>
          <w:w w:val="105"/>
          <w:sz w:val="18"/>
        </w:rPr>
        <w:t>((findString("OMEGAVIEW")</w:t>
      </w:r>
      <w:r>
        <w:rPr>
          <w:rFonts w:ascii="Arial"/>
          <w:color w:val="231F20"/>
          <w:spacing w:val="13"/>
          <w:w w:val="105"/>
          <w:sz w:val="18"/>
        </w:rPr>
        <w:t> </w:t>
      </w:r>
      <w:r>
        <w:rPr>
          <w:rFonts w:ascii="Arial"/>
          <w:color w:val="231F20"/>
          <w:spacing w:val="-2"/>
          <w:w w:val="105"/>
          <w:sz w:val="18"/>
        </w:rPr>
        <w:t>&gt;</w:t>
      </w:r>
      <w:r>
        <w:rPr>
          <w:rFonts w:ascii="Arial"/>
          <w:color w:val="231F20"/>
          <w:spacing w:val="13"/>
          <w:w w:val="105"/>
          <w:sz w:val="18"/>
        </w:rPr>
        <w:t> </w:t>
      </w:r>
      <w:r>
        <w:rPr>
          <w:rFonts w:ascii="Arial"/>
          <w:color w:val="231F20"/>
          <w:spacing w:val="-2"/>
          <w:w w:val="105"/>
          <w:sz w:val="18"/>
        </w:rPr>
        <w:t>0)</w:t>
      </w:r>
      <w:r>
        <w:rPr>
          <w:rFonts w:ascii="Arial"/>
          <w:color w:val="231F20"/>
          <w:spacing w:val="13"/>
          <w:w w:val="105"/>
          <w:sz w:val="18"/>
        </w:rPr>
        <w:t> </w:t>
      </w:r>
      <w:r>
        <w:rPr>
          <w:rFonts w:ascii="Arial"/>
          <w:color w:val="231F20"/>
          <w:spacing w:val="-2"/>
          <w:sz w:val="18"/>
        </w:rPr>
        <w:t>AND </w:t>
      </w:r>
      <w:r>
        <w:rPr>
          <w:rFonts w:ascii="Arial"/>
          <w:color w:val="231F20"/>
          <w:w w:val="105"/>
          <w:sz w:val="18"/>
        </w:rPr>
        <w:t>(findString("Sign</w:t>
      </w:r>
      <w:r>
        <w:rPr>
          <w:rFonts w:ascii="Arial"/>
          <w:color w:val="231F20"/>
          <w:spacing w:val="28"/>
          <w:w w:val="105"/>
          <w:sz w:val="18"/>
        </w:rPr>
        <w:t> </w:t>
      </w:r>
      <w:r>
        <w:rPr>
          <w:rFonts w:ascii="Arial"/>
          <w:color w:val="231F20"/>
          <w:sz w:val="18"/>
        </w:rPr>
        <w:t>On</w:t>
      </w:r>
      <w:r>
        <w:rPr>
          <w:rFonts w:ascii="Arial"/>
          <w:color w:val="231F20"/>
          <w:spacing w:val="28"/>
          <w:w w:val="105"/>
          <w:sz w:val="18"/>
        </w:rPr>
        <w:t> </w:t>
      </w:r>
      <w:r>
        <w:rPr>
          <w:rFonts w:ascii="Arial"/>
          <w:color w:val="231F20"/>
          <w:w w:val="105"/>
          <w:sz w:val="18"/>
        </w:rPr>
        <w:t>Panel")</w:t>
      </w:r>
      <w:r>
        <w:rPr>
          <w:rFonts w:ascii="Arial"/>
          <w:color w:val="231F20"/>
          <w:spacing w:val="28"/>
          <w:w w:val="105"/>
          <w:sz w:val="18"/>
        </w:rPr>
        <w:t> </w:t>
      </w:r>
      <w:r>
        <w:rPr>
          <w:rFonts w:ascii="Arial"/>
          <w:color w:val="231F20"/>
          <w:w w:val="105"/>
          <w:sz w:val="18"/>
        </w:rPr>
        <w:t>&gt;</w:t>
      </w:r>
      <w:r>
        <w:rPr>
          <w:rFonts w:ascii="Arial"/>
          <w:color w:val="231F20"/>
          <w:spacing w:val="28"/>
          <w:w w:val="105"/>
          <w:sz w:val="18"/>
        </w:rPr>
        <w:t> </w:t>
      </w:r>
      <w:r>
        <w:rPr>
          <w:rFonts w:ascii="Arial"/>
          <w:color w:val="231F20"/>
          <w:w w:val="105"/>
          <w:sz w:val="18"/>
        </w:rPr>
        <w:t>0)</w:t>
      </w:r>
      <w:r>
        <w:rPr>
          <w:rFonts w:ascii="Arial"/>
          <w:color w:val="231F20"/>
          <w:spacing w:val="28"/>
          <w:w w:val="105"/>
          <w:sz w:val="18"/>
        </w:rPr>
        <w:t> </w:t>
      </w:r>
      <w:r>
        <w:rPr>
          <w:rFonts w:ascii="Arial"/>
          <w:color w:val="231F20"/>
          <w:sz w:val="18"/>
        </w:rPr>
        <w:t>AND </w:t>
      </w:r>
      <w:r>
        <w:rPr>
          <w:rFonts w:ascii="Arial"/>
          <w:color w:val="231F20"/>
          <w:w w:val="105"/>
          <w:sz w:val="18"/>
        </w:rPr>
        <w:t>(findString("Userid")</w:t>
      </w:r>
      <w:r>
        <w:rPr>
          <w:rFonts w:ascii="Arial"/>
          <w:color w:val="231F20"/>
          <w:spacing w:val="40"/>
          <w:w w:val="105"/>
          <w:sz w:val="18"/>
        </w:rPr>
        <w:t> </w:t>
      </w:r>
      <w:r>
        <w:rPr>
          <w:rFonts w:ascii="Arial"/>
          <w:color w:val="231F20"/>
          <w:w w:val="105"/>
          <w:sz w:val="18"/>
        </w:rPr>
        <w:t>&gt;</w:t>
      </w:r>
      <w:r>
        <w:rPr>
          <w:rFonts w:ascii="Arial"/>
          <w:color w:val="231F20"/>
          <w:spacing w:val="40"/>
          <w:w w:val="105"/>
          <w:sz w:val="18"/>
        </w:rPr>
        <w:t> </w:t>
      </w:r>
      <w:r>
        <w:rPr>
          <w:rFonts w:ascii="Arial"/>
          <w:color w:val="231F20"/>
          <w:w w:val="105"/>
          <w:sz w:val="18"/>
        </w:rPr>
        <w:t>0)</w:t>
      </w:r>
      <w:r>
        <w:rPr>
          <w:rFonts w:ascii="Arial"/>
          <w:color w:val="231F20"/>
          <w:spacing w:val="40"/>
          <w:w w:val="105"/>
          <w:sz w:val="18"/>
        </w:rPr>
        <w:t> </w:t>
      </w:r>
      <w:r>
        <w:rPr>
          <w:rFonts w:ascii="Arial"/>
          <w:color w:val="231F20"/>
          <w:sz w:val="18"/>
        </w:rPr>
        <w:t>AND</w:t>
      </w:r>
    </w:p>
    <w:p>
      <w:pPr>
        <w:spacing w:after="0" w:line="230" w:lineRule="auto"/>
        <w:jc w:val="left"/>
        <w:rPr>
          <w:rFonts w:ascii="Arial"/>
          <w:sz w:val="18"/>
        </w:rPr>
        <w:sectPr>
          <w:pgSz w:w="12240" w:h="15840"/>
          <w:pgMar w:header="0" w:footer="736" w:top="1200" w:bottom="920" w:left="1000" w:right="1060"/>
        </w:sectPr>
      </w:pPr>
    </w:p>
    <w:p>
      <w:pPr>
        <w:spacing w:line="230" w:lineRule="auto" w:before="74"/>
        <w:ind w:left="2651" w:right="4693" w:firstLine="89"/>
        <w:jc w:val="left"/>
        <w:rPr>
          <w:rFonts w:ascii="Arial"/>
          <w:sz w:val="18"/>
        </w:rPr>
      </w:pPr>
      <w:r>
        <w:rPr>
          <w:rFonts w:ascii="Arial"/>
          <w:color w:val="231F20"/>
          <w:w w:val="110"/>
          <w:sz w:val="18"/>
        </w:rPr>
        <w:t>(findString("Password")</w:t>
      </w:r>
      <w:r>
        <w:rPr>
          <w:rFonts w:ascii="Arial"/>
          <w:color w:val="231F20"/>
          <w:spacing w:val="28"/>
          <w:w w:val="110"/>
          <w:sz w:val="18"/>
        </w:rPr>
        <w:t> </w:t>
      </w:r>
      <w:r>
        <w:rPr>
          <w:rFonts w:ascii="Arial"/>
          <w:color w:val="231F20"/>
          <w:w w:val="110"/>
          <w:sz w:val="18"/>
        </w:rPr>
        <w:t>&gt;</w:t>
      </w:r>
      <w:r>
        <w:rPr>
          <w:rFonts w:ascii="Arial"/>
          <w:color w:val="231F20"/>
          <w:spacing w:val="28"/>
          <w:w w:val="110"/>
          <w:sz w:val="18"/>
        </w:rPr>
        <w:t> </w:t>
      </w:r>
      <w:r>
        <w:rPr>
          <w:rFonts w:ascii="Arial"/>
          <w:color w:val="231F20"/>
          <w:w w:val="110"/>
          <w:sz w:val="18"/>
        </w:rPr>
        <w:t>0)</w:t>
      </w:r>
      <w:r>
        <w:rPr>
          <w:rFonts w:ascii="Arial"/>
          <w:color w:val="231F20"/>
          <w:w w:val="120"/>
          <w:sz w:val="18"/>
        </w:rPr>
        <w:t> </w:t>
      </w:r>
      <w:r>
        <w:rPr>
          <w:rFonts w:ascii="Arial"/>
          <w:color w:val="231F20"/>
          <w:w w:val="120"/>
          <w:sz w:val="18"/>
        </w:rPr>
        <w:t>) </w:t>
      </w:r>
      <w:r>
        <w:rPr>
          <w:rFonts w:ascii="Arial"/>
          <w:color w:val="231F20"/>
          <w:w w:val="110"/>
          <w:sz w:val="18"/>
        </w:rPr>
        <w:t>return</w:t>
      </w:r>
      <w:r>
        <w:rPr>
          <w:rFonts w:ascii="Arial"/>
          <w:color w:val="231F20"/>
          <w:spacing w:val="40"/>
          <w:w w:val="110"/>
          <w:sz w:val="18"/>
        </w:rPr>
        <w:t> </w:t>
      </w:r>
      <w:r>
        <w:rPr>
          <w:rFonts w:ascii="Arial"/>
          <w:color w:val="231F20"/>
          <w:w w:val="110"/>
          <w:sz w:val="18"/>
        </w:rPr>
        <w:t>TRUE;</w:t>
      </w:r>
    </w:p>
    <w:p>
      <w:pPr>
        <w:spacing w:line="198" w:lineRule="exact" w:before="0"/>
        <w:ind w:left="2651" w:right="0" w:firstLine="0"/>
        <w:jc w:val="left"/>
        <w:rPr>
          <w:rFonts w:ascii="Arial"/>
          <w:sz w:val="18"/>
        </w:rPr>
      </w:pPr>
      <w:r>
        <w:rPr>
          <w:rFonts w:ascii="Arial"/>
          <w:color w:val="231F20"/>
          <w:spacing w:val="-4"/>
          <w:w w:val="110"/>
          <w:sz w:val="18"/>
        </w:rPr>
        <w:t>else</w:t>
      </w:r>
    </w:p>
    <w:p>
      <w:pPr>
        <w:spacing w:line="200" w:lineRule="exact" w:before="0"/>
        <w:ind w:left="2651" w:right="0" w:firstLine="0"/>
        <w:jc w:val="left"/>
        <w:rPr>
          <w:rFonts w:ascii="Arial"/>
          <w:sz w:val="18"/>
        </w:rPr>
      </w:pPr>
      <w:r>
        <w:rPr>
          <w:rFonts w:ascii="Arial"/>
          <w:color w:val="231F20"/>
          <w:sz w:val="18"/>
        </w:rPr>
        <w:t>return</w:t>
      </w:r>
      <w:r>
        <w:rPr>
          <w:rFonts w:ascii="Arial"/>
          <w:color w:val="231F20"/>
          <w:spacing w:val="79"/>
          <w:w w:val="150"/>
          <w:sz w:val="18"/>
        </w:rPr>
        <w:t> </w:t>
      </w:r>
      <w:r>
        <w:rPr>
          <w:rFonts w:ascii="Arial"/>
          <w:color w:val="231F20"/>
          <w:spacing w:val="-2"/>
          <w:sz w:val="18"/>
        </w:rPr>
        <w:t>FALSE;</w:t>
      </w:r>
    </w:p>
    <w:p>
      <w:pPr>
        <w:spacing w:line="203" w:lineRule="exact" w:before="0"/>
        <w:ind w:left="2472" w:right="0" w:firstLine="0"/>
        <w:jc w:val="left"/>
        <w:rPr>
          <w:rFonts w:ascii="Arial"/>
          <w:sz w:val="18"/>
        </w:rPr>
      </w:pPr>
      <w:r>
        <w:rPr>
          <w:rFonts w:ascii="Arial"/>
          <w:color w:val="231F20"/>
          <w:spacing w:val="-10"/>
          <w:w w:val="150"/>
          <w:sz w:val="18"/>
        </w:rPr>
        <w:t>}</w:t>
      </w:r>
    </w:p>
    <w:p>
      <w:pPr>
        <w:spacing w:line="203" w:lineRule="exact" w:before="193"/>
        <w:ind w:left="2472" w:right="0" w:firstLine="0"/>
        <w:jc w:val="left"/>
        <w:rPr>
          <w:rFonts w:ascii="Arial"/>
          <w:sz w:val="18"/>
        </w:rPr>
      </w:pPr>
      <w:r>
        <w:rPr/>
        <mc:AlternateContent>
          <mc:Choice Requires="wps">
            <w:drawing>
              <wp:anchor distT="0" distB="0" distL="0" distR="0" allowOverlap="1" layoutInCell="1" locked="0" behindDoc="0" simplePos="0" relativeHeight="15844864">
                <wp:simplePos x="0" y="0"/>
                <wp:positionH relativeFrom="page">
                  <wp:posOffset>2375999</wp:posOffset>
                </wp:positionH>
                <wp:positionV relativeFrom="paragraph">
                  <wp:posOffset>201688</wp:posOffset>
                </wp:positionV>
                <wp:extent cx="2224405" cy="1270"/>
                <wp:effectExtent l="0" t="0" r="0" b="0"/>
                <wp:wrapNone/>
                <wp:docPr id="1647" name="Graphic 1647"/>
                <wp:cNvGraphicFramePr>
                  <a:graphicFrameLocks/>
                </wp:cNvGraphicFramePr>
                <a:graphic>
                  <a:graphicData uri="http://schemas.microsoft.com/office/word/2010/wordprocessingShape">
                    <wps:wsp>
                      <wps:cNvPr id="1647" name="Graphic 1647"/>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4864" from="187.086594pt,15.880974pt" to="362.200498pt,15.880974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w w:val="150"/>
          <w:sz w:val="18"/>
        </w:rPr>
        <w:t>//</w:t>
      </w:r>
      <w:r>
        <w:rPr>
          <w:rFonts w:ascii="Arial"/>
          <w:color w:val="231F20"/>
          <w:spacing w:val="-9"/>
          <w:w w:val="150"/>
          <w:sz w:val="18"/>
        </w:rPr>
        <w:t> </w:t>
      </w:r>
      <w:r>
        <w:rPr>
          <w:rFonts w:ascii="Arial"/>
          <w:color w:val="231F20"/>
          <w:w w:val="105"/>
          <w:sz w:val="18"/>
        </w:rPr>
        <w:t>Check</w:t>
      </w:r>
      <w:r>
        <w:rPr>
          <w:rFonts w:ascii="Arial"/>
          <w:color w:val="231F20"/>
          <w:spacing w:val="6"/>
          <w:w w:val="120"/>
          <w:sz w:val="18"/>
        </w:rPr>
        <w:t> </w:t>
      </w:r>
      <w:r>
        <w:rPr>
          <w:rFonts w:ascii="Arial"/>
          <w:color w:val="231F20"/>
          <w:w w:val="120"/>
          <w:sz w:val="18"/>
        </w:rPr>
        <w:t>for</w:t>
      </w:r>
      <w:r>
        <w:rPr>
          <w:rFonts w:ascii="Arial"/>
          <w:color w:val="231F20"/>
          <w:spacing w:val="6"/>
          <w:w w:val="120"/>
          <w:sz w:val="18"/>
        </w:rPr>
        <w:t> </w:t>
      </w:r>
      <w:r>
        <w:rPr>
          <w:rFonts w:ascii="Arial"/>
          <w:color w:val="231F20"/>
          <w:w w:val="105"/>
          <w:sz w:val="18"/>
        </w:rPr>
        <w:t>Signon</w:t>
      </w:r>
      <w:r>
        <w:rPr>
          <w:rFonts w:ascii="Arial"/>
          <w:color w:val="231F20"/>
          <w:spacing w:val="14"/>
          <w:w w:val="105"/>
          <w:sz w:val="18"/>
        </w:rPr>
        <w:t> </w:t>
      </w:r>
      <w:r>
        <w:rPr>
          <w:rFonts w:ascii="Arial"/>
          <w:color w:val="231F20"/>
          <w:spacing w:val="-2"/>
          <w:w w:val="105"/>
          <w:sz w:val="18"/>
        </w:rPr>
        <w:t>Error</w:t>
      </w:r>
    </w:p>
    <w:p>
      <w:pPr>
        <w:spacing w:line="200" w:lineRule="exact" w:before="0"/>
        <w:ind w:left="2472" w:right="0" w:firstLine="0"/>
        <w:jc w:val="left"/>
        <w:rPr>
          <w:rFonts w:ascii="Arial"/>
          <w:sz w:val="18"/>
        </w:rPr>
      </w:pPr>
      <w:r>
        <w:rPr>
          <w:rFonts w:ascii="Arial"/>
          <w:color w:val="231F20"/>
          <w:w w:val="175"/>
          <w:sz w:val="18"/>
        </w:rPr>
        <w:t>//</w:t>
      </w:r>
      <w:r>
        <w:rPr>
          <w:rFonts w:ascii="Arial"/>
          <w:color w:val="231F20"/>
          <w:spacing w:val="-2"/>
          <w:w w:val="175"/>
          <w:sz w:val="18"/>
        </w:rPr>
        <w:t>  </w:t>
      </w:r>
      <w:r>
        <w:rPr>
          <w:rFonts w:ascii="Arial"/>
          <w:color w:val="231F20"/>
          <w:w w:val="110"/>
          <w:sz w:val="18"/>
        </w:rPr>
        <w:t>return</w:t>
      </w:r>
      <w:r>
        <w:rPr>
          <w:rFonts w:ascii="Arial"/>
          <w:color w:val="231F20"/>
          <w:spacing w:val="32"/>
          <w:w w:val="110"/>
          <w:sz w:val="18"/>
        </w:rPr>
        <w:t> </w:t>
      </w:r>
      <w:r>
        <w:rPr>
          <w:rFonts w:ascii="Arial"/>
          <w:color w:val="231F20"/>
          <w:w w:val="110"/>
          <w:sz w:val="18"/>
        </w:rPr>
        <w:t>0</w:t>
      </w:r>
      <w:r>
        <w:rPr>
          <w:rFonts w:ascii="Arial"/>
          <w:color w:val="231F20"/>
          <w:spacing w:val="-1"/>
          <w:w w:val="175"/>
          <w:sz w:val="18"/>
        </w:rPr>
        <w:t> </w:t>
      </w:r>
      <w:r>
        <w:rPr>
          <w:rFonts w:ascii="Arial"/>
          <w:color w:val="231F20"/>
          <w:w w:val="175"/>
          <w:sz w:val="18"/>
        </w:rPr>
        <w:t>if</w:t>
      </w:r>
      <w:r>
        <w:rPr>
          <w:rFonts w:ascii="Arial"/>
          <w:color w:val="231F20"/>
          <w:spacing w:val="-2"/>
          <w:w w:val="175"/>
          <w:sz w:val="18"/>
        </w:rPr>
        <w:t> </w:t>
      </w:r>
      <w:r>
        <w:rPr>
          <w:rFonts w:ascii="Arial"/>
          <w:color w:val="231F20"/>
          <w:w w:val="110"/>
          <w:sz w:val="18"/>
        </w:rPr>
        <w:t>no</w:t>
      </w:r>
      <w:r>
        <w:rPr>
          <w:rFonts w:ascii="Arial"/>
          <w:color w:val="231F20"/>
          <w:spacing w:val="31"/>
          <w:w w:val="110"/>
          <w:sz w:val="18"/>
        </w:rPr>
        <w:t> </w:t>
      </w:r>
      <w:r>
        <w:rPr>
          <w:rFonts w:ascii="Arial"/>
          <w:color w:val="231F20"/>
          <w:spacing w:val="-4"/>
          <w:w w:val="110"/>
          <w:sz w:val="18"/>
        </w:rPr>
        <w:t>error</w:t>
      </w:r>
    </w:p>
    <w:p>
      <w:pPr>
        <w:tabs>
          <w:tab w:pos="3729" w:val="left" w:leader="none"/>
        </w:tabs>
        <w:spacing w:line="200" w:lineRule="exact" w:before="0"/>
        <w:ind w:left="2472" w:right="0" w:firstLine="0"/>
        <w:jc w:val="left"/>
        <w:rPr>
          <w:rFonts w:ascii="Arial"/>
          <w:sz w:val="18"/>
        </w:rPr>
      </w:pPr>
      <w:r>
        <w:rPr>
          <w:rFonts w:ascii="Arial"/>
          <w:color w:val="231F20"/>
          <w:spacing w:val="-5"/>
          <w:w w:val="175"/>
          <w:sz w:val="18"/>
        </w:rPr>
        <w:t>//</w:t>
      </w:r>
      <w:r>
        <w:rPr>
          <w:rFonts w:ascii="Arial"/>
          <w:color w:val="231F20"/>
          <w:sz w:val="18"/>
        </w:rPr>
        <w:tab/>
      </w:r>
      <w:r>
        <w:rPr>
          <w:rFonts w:ascii="Arial"/>
          <w:color w:val="231F20"/>
          <w:w w:val="110"/>
          <w:sz w:val="18"/>
        </w:rPr>
        <w:t>1</w:t>
      </w:r>
      <w:r>
        <w:rPr>
          <w:rFonts w:ascii="Arial"/>
          <w:color w:val="231F20"/>
          <w:spacing w:val="-22"/>
          <w:w w:val="160"/>
          <w:sz w:val="18"/>
        </w:rPr>
        <w:t> </w:t>
      </w:r>
      <w:r>
        <w:rPr>
          <w:rFonts w:ascii="Arial"/>
          <w:color w:val="231F20"/>
          <w:w w:val="160"/>
          <w:sz w:val="18"/>
        </w:rPr>
        <w:t>if</w:t>
      </w:r>
      <w:r>
        <w:rPr>
          <w:rFonts w:ascii="Arial"/>
          <w:color w:val="231F20"/>
          <w:spacing w:val="-20"/>
          <w:w w:val="160"/>
          <w:sz w:val="18"/>
        </w:rPr>
        <w:t> </w:t>
      </w:r>
      <w:r>
        <w:rPr>
          <w:rFonts w:ascii="Arial"/>
          <w:color w:val="231F20"/>
          <w:w w:val="110"/>
          <w:sz w:val="18"/>
        </w:rPr>
        <w:t>the</w:t>
      </w:r>
      <w:r>
        <w:rPr>
          <w:rFonts w:ascii="Arial"/>
          <w:color w:val="231F20"/>
          <w:spacing w:val="4"/>
          <w:w w:val="110"/>
          <w:sz w:val="18"/>
        </w:rPr>
        <w:t> </w:t>
      </w:r>
      <w:r>
        <w:rPr>
          <w:rFonts w:ascii="Arial"/>
          <w:color w:val="231F20"/>
          <w:w w:val="110"/>
          <w:sz w:val="18"/>
        </w:rPr>
        <w:t>SignonError</w:t>
      </w:r>
      <w:r>
        <w:rPr>
          <w:rFonts w:ascii="Arial"/>
          <w:color w:val="231F20"/>
          <w:spacing w:val="5"/>
          <w:w w:val="110"/>
          <w:sz w:val="18"/>
        </w:rPr>
        <w:t> </w:t>
      </w:r>
      <w:r>
        <w:rPr>
          <w:rFonts w:ascii="Arial"/>
          <w:color w:val="231F20"/>
          <w:w w:val="110"/>
          <w:sz w:val="18"/>
        </w:rPr>
        <w:t>pop-up</w:t>
      </w:r>
      <w:r>
        <w:rPr>
          <w:rFonts w:ascii="Arial"/>
          <w:color w:val="231F20"/>
          <w:spacing w:val="4"/>
          <w:w w:val="110"/>
          <w:sz w:val="18"/>
        </w:rPr>
        <w:t> </w:t>
      </w:r>
      <w:r>
        <w:rPr>
          <w:rFonts w:ascii="Arial"/>
          <w:color w:val="231F20"/>
          <w:spacing w:val="-2"/>
          <w:w w:val="110"/>
          <w:sz w:val="18"/>
        </w:rPr>
        <w:t>found</w:t>
      </w:r>
    </w:p>
    <w:p>
      <w:pPr>
        <w:spacing w:line="200" w:lineRule="exact" w:before="0"/>
        <w:ind w:left="2472" w:right="0" w:firstLine="0"/>
        <w:jc w:val="left"/>
        <w:rPr>
          <w:rFonts w:ascii="Arial"/>
          <w:sz w:val="18"/>
        </w:rPr>
      </w:pPr>
      <w:r>
        <w:rPr/>
        <mc:AlternateContent>
          <mc:Choice Requires="wps">
            <w:drawing>
              <wp:anchor distT="0" distB="0" distL="0" distR="0" allowOverlap="1" layoutInCell="1" locked="0" behindDoc="0" simplePos="0" relativeHeight="15845376">
                <wp:simplePos x="0" y="0"/>
                <wp:positionH relativeFrom="page">
                  <wp:posOffset>2375999</wp:posOffset>
                </wp:positionH>
                <wp:positionV relativeFrom="paragraph">
                  <wp:posOffset>76776</wp:posOffset>
                </wp:positionV>
                <wp:extent cx="2224405" cy="1270"/>
                <wp:effectExtent l="0" t="0" r="0" b="0"/>
                <wp:wrapNone/>
                <wp:docPr id="1648" name="Graphic 1648"/>
                <wp:cNvGraphicFramePr>
                  <a:graphicFrameLocks/>
                </wp:cNvGraphicFramePr>
                <a:graphic>
                  <a:graphicData uri="http://schemas.microsoft.com/office/word/2010/wordprocessingShape">
                    <wps:wsp>
                      <wps:cNvPr id="1648" name="Graphic 1648"/>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5376" from="187.086594pt,6.045366pt" to="362.200498pt,6.045366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spacing w:val="-2"/>
          <w:sz w:val="18"/>
        </w:rPr>
        <w:t>int</w:t>
      </w:r>
      <w:r>
        <w:rPr>
          <w:rFonts w:ascii="Arial"/>
          <w:color w:val="231F20"/>
          <w:spacing w:val="29"/>
          <w:sz w:val="18"/>
        </w:rPr>
        <w:t> </w:t>
      </w:r>
      <w:r>
        <w:rPr>
          <w:rFonts w:ascii="Arial"/>
          <w:color w:val="231F20"/>
          <w:spacing w:val="-2"/>
          <w:sz w:val="18"/>
        </w:rPr>
        <w:t>FUNCTION</w:t>
      </w:r>
      <w:r>
        <w:rPr>
          <w:rFonts w:ascii="Arial"/>
          <w:color w:val="231F20"/>
          <w:spacing w:val="29"/>
          <w:sz w:val="18"/>
        </w:rPr>
        <w:t> </w:t>
      </w:r>
      <w:r>
        <w:rPr>
          <w:rFonts w:ascii="Arial"/>
          <w:color w:val="231F20"/>
          <w:spacing w:val="-2"/>
          <w:sz w:val="18"/>
        </w:rPr>
        <w:t>signonErrorpop-</w:t>
      </w:r>
      <w:r>
        <w:rPr>
          <w:rFonts w:ascii="Arial"/>
          <w:color w:val="231F20"/>
          <w:spacing w:val="-4"/>
          <w:sz w:val="18"/>
        </w:rPr>
        <w:t>up()</w:t>
      </w:r>
    </w:p>
    <w:p>
      <w:pPr>
        <w:spacing w:line="203" w:lineRule="exact" w:before="0"/>
        <w:ind w:left="2472" w:right="0" w:firstLine="0"/>
        <w:jc w:val="left"/>
        <w:rPr>
          <w:rFonts w:ascii="Arial"/>
          <w:sz w:val="18"/>
        </w:rPr>
      </w:pPr>
      <w:r>
        <w:rPr>
          <w:rFonts w:ascii="Arial"/>
          <w:color w:val="231F20"/>
          <w:spacing w:val="-10"/>
          <w:w w:val="150"/>
          <w:sz w:val="18"/>
        </w:rPr>
        <w:t>{</w:t>
      </w:r>
    </w:p>
    <w:p>
      <w:pPr>
        <w:spacing w:line="230" w:lineRule="auto" w:before="0"/>
        <w:ind w:left="3100" w:right="2916" w:hanging="450"/>
        <w:jc w:val="left"/>
        <w:rPr>
          <w:rFonts w:ascii="Arial"/>
          <w:sz w:val="18"/>
        </w:rPr>
      </w:pPr>
      <w:r>
        <w:rPr>
          <w:rFonts w:ascii="Arial"/>
          <w:color w:val="231F20"/>
          <w:spacing w:val="-2"/>
          <w:w w:val="155"/>
          <w:sz w:val="18"/>
        </w:rPr>
        <w:t>if</w:t>
      </w:r>
      <w:r>
        <w:rPr>
          <w:rFonts w:ascii="Arial"/>
          <w:color w:val="231F20"/>
          <w:spacing w:val="-13"/>
          <w:w w:val="155"/>
          <w:sz w:val="18"/>
        </w:rPr>
        <w:t> </w:t>
      </w:r>
      <w:r>
        <w:rPr>
          <w:rFonts w:ascii="Arial"/>
          <w:color w:val="231F20"/>
          <w:spacing w:val="-2"/>
          <w:w w:val="110"/>
          <w:sz w:val="18"/>
        </w:rPr>
        <w:t>((findString("OMEGAVIEW")</w:t>
      </w:r>
      <w:r>
        <w:rPr>
          <w:rFonts w:ascii="Arial"/>
          <w:color w:val="231F20"/>
          <w:spacing w:val="10"/>
          <w:w w:val="110"/>
          <w:sz w:val="18"/>
        </w:rPr>
        <w:t> </w:t>
      </w:r>
      <w:r>
        <w:rPr>
          <w:rFonts w:ascii="Arial"/>
          <w:color w:val="231F20"/>
          <w:spacing w:val="-2"/>
          <w:sz w:val="18"/>
        </w:rPr>
        <w:t>&gt;</w:t>
      </w:r>
      <w:r>
        <w:rPr>
          <w:rFonts w:ascii="Arial"/>
          <w:color w:val="231F20"/>
          <w:spacing w:val="10"/>
          <w:w w:val="110"/>
          <w:sz w:val="18"/>
        </w:rPr>
        <w:t> </w:t>
      </w:r>
      <w:r>
        <w:rPr>
          <w:rFonts w:ascii="Arial"/>
          <w:color w:val="231F20"/>
          <w:spacing w:val="-2"/>
          <w:w w:val="110"/>
          <w:sz w:val="18"/>
        </w:rPr>
        <w:t>0)</w:t>
      </w:r>
      <w:r>
        <w:rPr>
          <w:rFonts w:ascii="Arial"/>
          <w:color w:val="231F20"/>
          <w:spacing w:val="10"/>
          <w:w w:val="110"/>
          <w:sz w:val="18"/>
        </w:rPr>
        <w:t> </w:t>
      </w:r>
      <w:r>
        <w:rPr>
          <w:rFonts w:ascii="Arial"/>
          <w:color w:val="231F20"/>
          <w:spacing w:val="-2"/>
          <w:sz w:val="18"/>
        </w:rPr>
        <w:t>AND </w:t>
      </w:r>
      <w:r>
        <w:rPr>
          <w:rFonts w:ascii="Arial"/>
          <w:color w:val="231F20"/>
          <w:w w:val="110"/>
          <w:sz w:val="18"/>
        </w:rPr>
        <w:t>(findString("User</w:t>
      </w:r>
      <w:r>
        <w:rPr>
          <w:rFonts w:ascii="Arial"/>
          <w:color w:val="231F20"/>
          <w:spacing w:val="24"/>
          <w:w w:val="110"/>
          <w:sz w:val="18"/>
        </w:rPr>
        <w:t> </w:t>
      </w:r>
      <w:r>
        <w:rPr>
          <w:rFonts w:ascii="Arial"/>
          <w:color w:val="231F20"/>
          <w:w w:val="110"/>
          <w:sz w:val="18"/>
        </w:rPr>
        <w:t>access</w:t>
      </w:r>
      <w:r>
        <w:rPr>
          <w:rFonts w:ascii="Arial"/>
          <w:color w:val="231F20"/>
          <w:spacing w:val="24"/>
          <w:w w:val="110"/>
          <w:sz w:val="18"/>
        </w:rPr>
        <w:t> </w:t>
      </w:r>
      <w:r>
        <w:rPr>
          <w:rFonts w:ascii="Arial"/>
          <w:color w:val="231F20"/>
          <w:w w:val="110"/>
          <w:sz w:val="18"/>
        </w:rPr>
        <w:t>denied")</w:t>
      </w:r>
      <w:r>
        <w:rPr>
          <w:rFonts w:ascii="Arial"/>
          <w:color w:val="231F20"/>
          <w:spacing w:val="24"/>
          <w:w w:val="110"/>
          <w:sz w:val="18"/>
        </w:rPr>
        <w:t> </w:t>
      </w:r>
      <w:r>
        <w:rPr>
          <w:rFonts w:ascii="Arial"/>
          <w:color w:val="231F20"/>
          <w:sz w:val="18"/>
        </w:rPr>
        <w:t>&gt;</w:t>
      </w:r>
      <w:r>
        <w:rPr>
          <w:rFonts w:ascii="Arial"/>
          <w:color w:val="231F20"/>
          <w:spacing w:val="24"/>
          <w:w w:val="110"/>
          <w:sz w:val="18"/>
        </w:rPr>
        <w:t> </w:t>
      </w:r>
      <w:r>
        <w:rPr>
          <w:rFonts w:ascii="Arial"/>
          <w:color w:val="231F20"/>
          <w:w w:val="110"/>
          <w:sz w:val="18"/>
        </w:rPr>
        <w:t>0)</w:t>
      </w:r>
      <w:r>
        <w:rPr>
          <w:rFonts w:ascii="Arial"/>
          <w:color w:val="231F20"/>
          <w:w w:val="120"/>
          <w:sz w:val="18"/>
        </w:rPr>
        <w:t> </w:t>
      </w:r>
      <w:r>
        <w:rPr>
          <w:rFonts w:ascii="Arial"/>
          <w:color w:val="231F20"/>
          <w:w w:val="120"/>
          <w:sz w:val="18"/>
        </w:rPr>
        <w:t>)</w:t>
      </w:r>
    </w:p>
    <w:p>
      <w:pPr>
        <w:spacing w:line="202" w:lineRule="exact" w:before="0"/>
        <w:ind w:left="2651" w:right="0" w:firstLine="0"/>
        <w:jc w:val="left"/>
        <w:rPr>
          <w:rFonts w:ascii="Arial"/>
          <w:sz w:val="18"/>
        </w:rPr>
      </w:pPr>
      <w:r>
        <w:rPr>
          <w:rFonts w:ascii="Arial"/>
          <w:color w:val="231F20"/>
          <w:sz w:val="18"/>
        </w:rPr>
        <w:t>return</w:t>
      </w:r>
      <w:r>
        <w:rPr>
          <w:rFonts w:ascii="Arial"/>
          <w:color w:val="231F20"/>
          <w:spacing w:val="79"/>
          <w:w w:val="150"/>
          <w:sz w:val="18"/>
        </w:rPr>
        <w:t> </w:t>
      </w:r>
      <w:r>
        <w:rPr>
          <w:rFonts w:ascii="Arial"/>
          <w:color w:val="231F20"/>
          <w:spacing w:val="-2"/>
          <w:sz w:val="18"/>
        </w:rPr>
        <w:t>TRUE;</w:t>
      </w:r>
    </w:p>
    <w:p>
      <w:pPr>
        <w:spacing w:line="203" w:lineRule="exact" w:before="191"/>
        <w:ind w:left="2651" w:right="0" w:firstLine="0"/>
        <w:jc w:val="left"/>
        <w:rPr>
          <w:rFonts w:ascii="Arial"/>
          <w:sz w:val="18"/>
        </w:rPr>
      </w:pPr>
      <w:r>
        <w:rPr>
          <w:rFonts w:ascii="Arial"/>
          <w:color w:val="231F20"/>
          <w:sz w:val="18"/>
        </w:rPr>
        <w:t>return</w:t>
      </w:r>
      <w:r>
        <w:rPr>
          <w:rFonts w:ascii="Arial"/>
          <w:color w:val="231F20"/>
          <w:spacing w:val="79"/>
          <w:w w:val="150"/>
          <w:sz w:val="18"/>
        </w:rPr>
        <w:t> </w:t>
      </w:r>
      <w:r>
        <w:rPr>
          <w:rFonts w:ascii="Arial"/>
          <w:color w:val="231F20"/>
          <w:spacing w:val="-2"/>
          <w:sz w:val="18"/>
        </w:rPr>
        <w:t>FALSE;</w:t>
      </w:r>
    </w:p>
    <w:p>
      <w:pPr>
        <w:spacing w:line="203" w:lineRule="exact" w:before="0"/>
        <w:ind w:left="2472" w:right="0" w:firstLine="0"/>
        <w:jc w:val="left"/>
        <w:rPr>
          <w:rFonts w:ascii="Arial"/>
          <w:sz w:val="18"/>
        </w:rPr>
      </w:pPr>
      <w:r>
        <w:rPr>
          <w:rFonts w:ascii="Arial"/>
          <w:color w:val="231F20"/>
          <w:spacing w:val="-10"/>
          <w:w w:val="150"/>
          <w:sz w:val="18"/>
        </w:rPr>
        <w:t>}</w:t>
      </w:r>
    </w:p>
    <w:p>
      <w:pPr>
        <w:spacing w:line="203" w:lineRule="exact" w:before="192"/>
        <w:ind w:left="2472" w:right="0" w:firstLine="0"/>
        <w:jc w:val="left"/>
        <w:rPr>
          <w:rFonts w:ascii="Arial"/>
          <w:sz w:val="18"/>
        </w:rPr>
      </w:pPr>
      <w:r>
        <w:rPr/>
        <mc:AlternateContent>
          <mc:Choice Requires="wps">
            <w:drawing>
              <wp:anchor distT="0" distB="0" distL="0" distR="0" allowOverlap="1" layoutInCell="1" locked="0" behindDoc="0" simplePos="0" relativeHeight="15845888">
                <wp:simplePos x="0" y="0"/>
                <wp:positionH relativeFrom="page">
                  <wp:posOffset>2375999</wp:posOffset>
                </wp:positionH>
                <wp:positionV relativeFrom="paragraph">
                  <wp:posOffset>201431</wp:posOffset>
                </wp:positionV>
                <wp:extent cx="2224405" cy="1270"/>
                <wp:effectExtent l="0" t="0" r="0" b="0"/>
                <wp:wrapNone/>
                <wp:docPr id="1649" name="Graphic 1649"/>
                <wp:cNvGraphicFramePr>
                  <a:graphicFrameLocks/>
                </wp:cNvGraphicFramePr>
                <a:graphic>
                  <a:graphicData uri="http://schemas.microsoft.com/office/word/2010/wordprocessingShape">
                    <wps:wsp>
                      <wps:cNvPr id="1649" name="Graphic 1649"/>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5888" from="187.086594pt,15.860751pt" to="362.200498pt,15.860751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w w:val="90"/>
          <w:sz w:val="18"/>
        </w:rPr>
        <w:t>//</w:t>
      </w:r>
      <w:r>
        <w:rPr>
          <w:rFonts w:ascii="Arial"/>
          <w:color w:val="231F20"/>
          <w:spacing w:val="29"/>
          <w:sz w:val="18"/>
        </w:rPr>
        <w:t> </w:t>
      </w:r>
      <w:r>
        <w:rPr>
          <w:rFonts w:ascii="Arial"/>
          <w:color w:val="231F20"/>
          <w:w w:val="90"/>
          <w:sz w:val="18"/>
        </w:rPr>
        <w:t>Goto</w:t>
      </w:r>
      <w:r>
        <w:rPr>
          <w:rFonts w:ascii="Arial"/>
          <w:color w:val="231F20"/>
          <w:spacing w:val="30"/>
          <w:sz w:val="18"/>
        </w:rPr>
        <w:t> </w:t>
      </w:r>
      <w:r>
        <w:rPr>
          <w:rFonts w:ascii="Arial"/>
          <w:color w:val="231F20"/>
          <w:w w:val="90"/>
          <w:sz w:val="18"/>
        </w:rPr>
        <w:t>Command</w:t>
      </w:r>
      <w:r>
        <w:rPr>
          <w:rFonts w:ascii="Arial"/>
          <w:color w:val="231F20"/>
          <w:spacing w:val="30"/>
          <w:sz w:val="18"/>
        </w:rPr>
        <w:t> </w:t>
      </w:r>
      <w:r>
        <w:rPr>
          <w:rFonts w:ascii="Arial"/>
          <w:color w:val="231F20"/>
          <w:spacing w:val="-2"/>
          <w:w w:val="90"/>
          <w:sz w:val="18"/>
        </w:rPr>
        <w:t>Panel</w:t>
      </w:r>
    </w:p>
    <w:p>
      <w:pPr>
        <w:spacing w:line="200" w:lineRule="exact" w:before="0"/>
        <w:ind w:left="2472" w:right="0" w:firstLine="0"/>
        <w:jc w:val="left"/>
        <w:rPr>
          <w:rFonts w:ascii="Arial"/>
          <w:sz w:val="18"/>
        </w:rPr>
      </w:pPr>
      <w:r>
        <w:rPr>
          <w:rFonts w:ascii="Arial"/>
          <w:color w:val="231F20"/>
          <w:w w:val="155"/>
          <w:sz w:val="18"/>
        </w:rPr>
        <w:t>//</w:t>
      </w:r>
      <w:r>
        <w:rPr>
          <w:rFonts w:ascii="Arial"/>
          <w:color w:val="231F20"/>
          <w:spacing w:val="9"/>
          <w:w w:val="155"/>
          <w:sz w:val="18"/>
        </w:rPr>
        <w:t> </w:t>
      </w:r>
      <w:r>
        <w:rPr>
          <w:rFonts w:ascii="Arial"/>
          <w:color w:val="231F20"/>
          <w:w w:val="105"/>
          <w:sz w:val="18"/>
        </w:rPr>
        <w:t>0</w:t>
      </w:r>
      <w:r>
        <w:rPr>
          <w:rFonts w:ascii="Arial"/>
          <w:color w:val="231F20"/>
          <w:spacing w:val="34"/>
          <w:w w:val="105"/>
          <w:sz w:val="18"/>
        </w:rPr>
        <w:t> </w:t>
      </w:r>
      <w:r>
        <w:rPr>
          <w:rFonts w:ascii="Arial"/>
          <w:color w:val="231F20"/>
          <w:w w:val="105"/>
          <w:sz w:val="18"/>
        </w:rPr>
        <w:t>=</w:t>
      </w:r>
      <w:r>
        <w:rPr>
          <w:rFonts w:ascii="Arial"/>
          <w:color w:val="231F20"/>
          <w:spacing w:val="35"/>
          <w:w w:val="105"/>
          <w:sz w:val="18"/>
        </w:rPr>
        <w:t> </w:t>
      </w:r>
      <w:r>
        <w:rPr>
          <w:rFonts w:ascii="Arial"/>
          <w:color w:val="231F20"/>
          <w:w w:val="105"/>
          <w:sz w:val="18"/>
        </w:rPr>
        <w:t>not</w:t>
      </w:r>
      <w:r>
        <w:rPr>
          <w:rFonts w:ascii="Arial"/>
          <w:color w:val="231F20"/>
          <w:spacing w:val="34"/>
          <w:w w:val="105"/>
          <w:sz w:val="18"/>
        </w:rPr>
        <w:t> </w:t>
      </w:r>
      <w:r>
        <w:rPr>
          <w:rFonts w:ascii="Arial"/>
          <w:color w:val="231F20"/>
          <w:spacing w:val="-2"/>
          <w:w w:val="105"/>
          <w:sz w:val="18"/>
        </w:rPr>
        <w:t>found</w:t>
      </w:r>
    </w:p>
    <w:p>
      <w:pPr>
        <w:spacing w:line="200" w:lineRule="exact" w:before="0"/>
        <w:ind w:left="2472" w:right="0" w:firstLine="0"/>
        <w:jc w:val="left"/>
        <w:rPr>
          <w:rFonts w:ascii="Arial"/>
          <w:sz w:val="18"/>
        </w:rPr>
      </w:pPr>
      <w:r>
        <w:rPr>
          <w:rFonts w:ascii="Arial"/>
          <w:color w:val="231F20"/>
          <w:w w:val="155"/>
          <w:sz w:val="18"/>
        </w:rPr>
        <w:t>//</w:t>
      </w:r>
      <w:r>
        <w:rPr>
          <w:rFonts w:ascii="Arial"/>
          <w:color w:val="231F20"/>
          <w:spacing w:val="7"/>
          <w:w w:val="155"/>
          <w:sz w:val="18"/>
        </w:rPr>
        <w:t> </w:t>
      </w:r>
      <w:r>
        <w:rPr>
          <w:rFonts w:ascii="Arial"/>
          <w:color w:val="231F20"/>
          <w:w w:val="105"/>
          <w:sz w:val="18"/>
        </w:rPr>
        <w:t>1</w:t>
      </w:r>
      <w:r>
        <w:rPr>
          <w:rFonts w:ascii="Arial"/>
          <w:color w:val="231F20"/>
          <w:spacing w:val="32"/>
          <w:w w:val="105"/>
          <w:sz w:val="18"/>
        </w:rPr>
        <w:t> </w:t>
      </w:r>
      <w:r>
        <w:rPr>
          <w:rFonts w:ascii="Arial"/>
          <w:color w:val="231F20"/>
          <w:w w:val="105"/>
          <w:sz w:val="18"/>
        </w:rPr>
        <w:t>=</w:t>
      </w:r>
      <w:r>
        <w:rPr>
          <w:rFonts w:ascii="Arial"/>
          <w:color w:val="231F20"/>
          <w:spacing w:val="32"/>
          <w:w w:val="105"/>
          <w:sz w:val="18"/>
        </w:rPr>
        <w:t> </w:t>
      </w:r>
      <w:r>
        <w:rPr>
          <w:rFonts w:ascii="Arial"/>
          <w:color w:val="231F20"/>
          <w:spacing w:val="-2"/>
          <w:w w:val="105"/>
          <w:sz w:val="18"/>
        </w:rPr>
        <w:t>found</w:t>
      </w:r>
    </w:p>
    <w:p>
      <w:pPr>
        <w:spacing w:line="200" w:lineRule="exact" w:before="0"/>
        <w:ind w:left="2472" w:right="0" w:firstLine="0"/>
        <w:jc w:val="left"/>
        <w:rPr>
          <w:rFonts w:ascii="Arial"/>
          <w:sz w:val="18"/>
        </w:rPr>
      </w:pPr>
      <w:r>
        <w:rPr/>
        <mc:AlternateContent>
          <mc:Choice Requires="wps">
            <w:drawing>
              <wp:anchor distT="0" distB="0" distL="0" distR="0" allowOverlap="1" layoutInCell="1" locked="0" behindDoc="0" simplePos="0" relativeHeight="15846400">
                <wp:simplePos x="0" y="0"/>
                <wp:positionH relativeFrom="page">
                  <wp:posOffset>2375999</wp:posOffset>
                </wp:positionH>
                <wp:positionV relativeFrom="paragraph">
                  <wp:posOffset>77154</wp:posOffset>
                </wp:positionV>
                <wp:extent cx="2224405" cy="1270"/>
                <wp:effectExtent l="0" t="0" r="0" b="0"/>
                <wp:wrapNone/>
                <wp:docPr id="1650" name="Graphic 1650"/>
                <wp:cNvGraphicFramePr>
                  <a:graphicFrameLocks/>
                </wp:cNvGraphicFramePr>
                <a:graphic>
                  <a:graphicData uri="http://schemas.microsoft.com/office/word/2010/wordprocessingShape">
                    <wps:wsp>
                      <wps:cNvPr id="1650" name="Graphic 1650"/>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6400" from="187.086594pt,6.075143pt" to="362.200498pt,6.075143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w w:val="90"/>
          <w:sz w:val="18"/>
        </w:rPr>
        <w:t>int</w:t>
      </w:r>
      <w:r>
        <w:rPr>
          <w:rFonts w:ascii="Arial"/>
          <w:color w:val="231F20"/>
          <w:spacing w:val="27"/>
          <w:sz w:val="18"/>
        </w:rPr>
        <w:t> </w:t>
      </w:r>
      <w:r>
        <w:rPr>
          <w:rFonts w:ascii="Arial"/>
          <w:color w:val="231F20"/>
          <w:w w:val="90"/>
          <w:sz w:val="18"/>
        </w:rPr>
        <w:t>FUNCTION</w:t>
      </w:r>
      <w:r>
        <w:rPr>
          <w:rFonts w:ascii="Arial"/>
          <w:color w:val="231F20"/>
          <w:spacing w:val="27"/>
          <w:sz w:val="18"/>
        </w:rPr>
        <w:t> </w:t>
      </w:r>
      <w:r>
        <w:rPr>
          <w:rFonts w:ascii="Arial"/>
          <w:color w:val="231F20"/>
          <w:spacing w:val="-2"/>
          <w:w w:val="90"/>
          <w:sz w:val="18"/>
        </w:rPr>
        <w:t>gotoCommandPanel()</w:t>
      </w:r>
    </w:p>
    <w:p>
      <w:pPr>
        <w:spacing w:line="203" w:lineRule="exact" w:before="0"/>
        <w:ind w:left="2472" w:right="0" w:firstLine="0"/>
        <w:jc w:val="left"/>
        <w:rPr>
          <w:rFonts w:ascii="Arial"/>
          <w:sz w:val="18"/>
        </w:rPr>
      </w:pPr>
      <w:r>
        <w:rPr>
          <w:rFonts w:ascii="Arial"/>
          <w:color w:val="231F20"/>
          <w:spacing w:val="-10"/>
          <w:w w:val="150"/>
          <w:sz w:val="18"/>
        </w:rPr>
        <w:t>{</w:t>
      </w:r>
    </w:p>
    <w:p>
      <w:pPr>
        <w:spacing w:line="200" w:lineRule="exact" w:before="0"/>
        <w:ind w:left="2651" w:right="0" w:firstLine="0"/>
        <w:jc w:val="left"/>
        <w:rPr>
          <w:rFonts w:ascii="Arial"/>
          <w:sz w:val="18"/>
        </w:rPr>
      </w:pPr>
      <w:r>
        <w:rPr>
          <w:rFonts w:ascii="Arial"/>
          <w:color w:val="231F20"/>
          <w:w w:val="115"/>
          <w:sz w:val="18"/>
        </w:rPr>
        <w:t>rc</w:t>
      </w:r>
      <w:r>
        <w:rPr>
          <w:rFonts w:ascii="Arial"/>
          <w:color w:val="231F20"/>
          <w:spacing w:val="4"/>
          <w:w w:val="115"/>
          <w:sz w:val="18"/>
        </w:rPr>
        <w:t> </w:t>
      </w:r>
      <w:r>
        <w:rPr>
          <w:rFonts w:ascii="Arial"/>
          <w:color w:val="231F20"/>
          <w:w w:val="105"/>
          <w:sz w:val="18"/>
        </w:rPr>
        <w:t>=</w:t>
      </w:r>
      <w:r>
        <w:rPr>
          <w:rFonts w:ascii="Arial"/>
          <w:color w:val="231F20"/>
          <w:spacing w:val="9"/>
          <w:w w:val="105"/>
          <w:sz w:val="18"/>
        </w:rPr>
        <w:t> </w:t>
      </w:r>
      <w:r>
        <w:rPr>
          <w:rFonts w:ascii="Arial"/>
          <w:color w:val="231F20"/>
          <w:w w:val="105"/>
          <w:sz w:val="18"/>
        </w:rPr>
        <w:t>TRUE;</w:t>
      </w:r>
      <w:r>
        <w:rPr>
          <w:rFonts w:ascii="Arial"/>
          <w:color w:val="231F20"/>
          <w:spacing w:val="-14"/>
          <w:w w:val="150"/>
          <w:sz w:val="18"/>
        </w:rPr>
        <w:t> </w:t>
      </w:r>
      <w:r>
        <w:rPr>
          <w:rFonts w:ascii="Arial"/>
          <w:color w:val="231F20"/>
          <w:w w:val="150"/>
          <w:sz w:val="18"/>
        </w:rPr>
        <w:t>//</w:t>
      </w:r>
      <w:r>
        <w:rPr>
          <w:rFonts w:ascii="Arial"/>
          <w:color w:val="231F20"/>
          <w:spacing w:val="-13"/>
          <w:w w:val="150"/>
          <w:sz w:val="18"/>
        </w:rPr>
        <w:t> </w:t>
      </w:r>
      <w:r>
        <w:rPr>
          <w:rFonts w:ascii="Arial"/>
          <w:color w:val="231F20"/>
          <w:w w:val="105"/>
          <w:sz w:val="18"/>
        </w:rPr>
        <w:t>be</w:t>
      </w:r>
      <w:r>
        <w:rPr>
          <w:rFonts w:ascii="Arial"/>
          <w:color w:val="231F20"/>
          <w:spacing w:val="4"/>
          <w:w w:val="115"/>
          <w:sz w:val="18"/>
        </w:rPr>
        <w:t> </w:t>
      </w:r>
      <w:r>
        <w:rPr>
          <w:rFonts w:ascii="Arial"/>
          <w:color w:val="231F20"/>
          <w:spacing w:val="-2"/>
          <w:w w:val="115"/>
          <w:sz w:val="18"/>
        </w:rPr>
        <w:t>optimistic</w:t>
      </w:r>
    </w:p>
    <w:p>
      <w:pPr>
        <w:spacing w:line="203" w:lineRule="exact" w:before="192"/>
        <w:ind w:left="2651" w:right="0" w:firstLine="0"/>
        <w:jc w:val="left"/>
        <w:rPr>
          <w:rFonts w:ascii="Arial"/>
          <w:sz w:val="18"/>
        </w:rPr>
      </w:pPr>
      <w:r>
        <w:rPr>
          <w:rFonts w:ascii="Arial"/>
          <w:color w:val="231F20"/>
          <w:sz w:val="18"/>
        </w:rPr>
        <w:t>if</w:t>
      </w:r>
      <w:r>
        <w:rPr>
          <w:rFonts w:ascii="Arial"/>
          <w:color w:val="231F20"/>
          <w:spacing w:val="32"/>
          <w:sz w:val="18"/>
        </w:rPr>
        <w:t> </w:t>
      </w:r>
      <w:r>
        <w:rPr>
          <w:rFonts w:ascii="Arial"/>
          <w:color w:val="231F20"/>
          <w:sz w:val="18"/>
        </w:rPr>
        <w:t>(findString(CMD_PANEL_ID)</w:t>
      </w:r>
      <w:r>
        <w:rPr>
          <w:rFonts w:ascii="Arial"/>
          <w:color w:val="231F20"/>
          <w:spacing w:val="33"/>
          <w:sz w:val="18"/>
        </w:rPr>
        <w:t> </w:t>
      </w:r>
      <w:r>
        <w:rPr>
          <w:rFonts w:ascii="Arial"/>
          <w:color w:val="231F20"/>
          <w:sz w:val="18"/>
        </w:rPr>
        <w:t>&lt;</w:t>
      </w:r>
      <w:r>
        <w:rPr>
          <w:rFonts w:ascii="Arial"/>
          <w:color w:val="231F20"/>
          <w:spacing w:val="32"/>
          <w:sz w:val="18"/>
        </w:rPr>
        <w:t> </w:t>
      </w:r>
      <w:r>
        <w:rPr>
          <w:rFonts w:ascii="Arial"/>
          <w:color w:val="231F20"/>
          <w:spacing w:val="-5"/>
          <w:sz w:val="18"/>
        </w:rPr>
        <w:t>0)</w:t>
      </w:r>
    </w:p>
    <w:p>
      <w:pPr>
        <w:spacing w:line="203" w:lineRule="exact" w:before="0"/>
        <w:ind w:left="2651" w:right="0" w:firstLine="0"/>
        <w:jc w:val="left"/>
        <w:rPr>
          <w:rFonts w:ascii="Arial"/>
          <w:sz w:val="18"/>
        </w:rPr>
      </w:pPr>
      <w:r>
        <w:rPr>
          <w:rFonts w:ascii="Arial"/>
          <w:color w:val="231F20"/>
          <w:spacing w:val="-10"/>
          <w:w w:val="150"/>
          <w:sz w:val="18"/>
        </w:rPr>
        <w:t>{</w:t>
      </w:r>
    </w:p>
    <w:p>
      <w:pPr>
        <w:spacing w:line="230" w:lineRule="auto" w:before="0"/>
        <w:ind w:left="2921" w:right="4095" w:firstLine="0"/>
        <w:jc w:val="left"/>
        <w:rPr>
          <w:rFonts w:ascii="Arial"/>
          <w:sz w:val="18"/>
        </w:rPr>
      </w:pPr>
      <w:r>
        <w:rPr>
          <w:rFonts w:ascii="Arial"/>
          <w:color w:val="231F20"/>
          <w:spacing w:val="-2"/>
          <w:w w:val="80"/>
          <w:sz w:val="18"/>
        </w:rPr>
        <w:t>sendkey(DEFHOTKEY_CODE);</w:t>
      </w:r>
      <w:r>
        <w:rPr>
          <w:rFonts w:ascii="Arial"/>
          <w:color w:val="231F20"/>
          <w:spacing w:val="-2"/>
          <w:sz w:val="18"/>
        </w:rPr>
        <w:t> waitforScreen();</w:t>
      </w:r>
    </w:p>
    <w:p>
      <w:pPr>
        <w:spacing w:line="230" w:lineRule="auto" w:before="1"/>
        <w:ind w:left="3280" w:right="4197" w:hanging="360"/>
        <w:jc w:val="left"/>
        <w:rPr>
          <w:rFonts w:ascii="Arial"/>
          <w:sz w:val="18"/>
        </w:rPr>
      </w:pPr>
      <w:r>
        <w:rPr>
          <w:rFonts w:ascii="Arial"/>
          <w:color w:val="231F20"/>
          <w:sz w:val="18"/>
        </w:rPr>
        <w:t>if</w:t>
      </w:r>
      <w:r>
        <w:rPr>
          <w:rFonts w:ascii="Arial"/>
          <w:color w:val="231F20"/>
          <w:spacing w:val="33"/>
          <w:sz w:val="18"/>
        </w:rPr>
        <w:t> </w:t>
      </w:r>
      <w:r>
        <w:rPr>
          <w:rFonts w:ascii="Arial"/>
          <w:color w:val="231F20"/>
          <w:sz w:val="18"/>
        </w:rPr>
        <w:t>(findString(CMD_PANEL_ID)</w:t>
      </w:r>
      <w:r>
        <w:rPr>
          <w:rFonts w:ascii="Arial"/>
          <w:color w:val="231F20"/>
          <w:spacing w:val="33"/>
          <w:sz w:val="18"/>
        </w:rPr>
        <w:t> </w:t>
      </w:r>
      <w:r>
        <w:rPr>
          <w:rFonts w:ascii="Arial"/>
          <w:color w:val="231F20"/>
          <w:sz w:val="18"/>
        </w:rPr>
        <w:t>&lt;</w:t>
      </w:r>
      <w:r>
        <w:rPr>
          <w:rFonts w:ascii="Arial"/>
          <w:color w:val="231F20"/>
          <w:spacing w:val="33"/>
          <w:sz w:val="18"/>
        </w:rPr>
        <w:t> </w:t>
      </w:r>
      <w:r>
        <w:rPr>
          <w:rFonts w:ascii="Arial"/>
          <w:color w:val="231F20"/>
          <w:sz w:val="18"/>
        </w:rPr>
        <w:t>0) </w:t>
      </w:r>
      <w:r>
        <w:rPr>
          <w:rFonts w:ascii="Arial"/>
          <w:color w:val="231F20"/>
          <w:w w:val="105"/>
          <w:sz w:val="18"/>
        </w:rPr>
        <w:t>rc</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FALSE;</w:t>
      </w:r>
      <w:r>
        <w:rPr>
          <w:rFonts w:ascii="Arial"/>
          <w:color w:val="231F20"/>
          <w:w w:val="170"/>
          <w:sz w:val="18"/>
        </w:rPr>
        <w:t> //</w:t>
      </w:r>
      <w:r>
        <w:rPr>
          <w:rFonts w:ascii="Arial"/>
          <w:color w:val="231F20"/>
          <w:w w:val="170"/>
          <w:sz w:val="18"/>
        </w:rPr>
        <w:t> </w:t>
      </w:r>
      <w:r>
        <w:rPr>
          <w:rFonts w:ascii="Arial"/>
          <w:color w:val="231F20"/>
          <w:w w:val="105"/>
          <w:sz w:val="18"/>
        </w:rPr>
        <w:t>not</w:t>
      </w:r>
      <w:r>
        <w:rPr>
          <w:rFonts w:ascii="Arial"/>
          <w:color w:val="231F20"/>
          <w:spacing w:val="40"/>
          <w:w w:val="105"/>
          <w:sz w:val="18"/>
        </w:rPr>
        <w:t> </w:t>
      </w:r>
      <w:r>
        <w:rPr>
          <w:rFonts w:ascii="Arial"/>
          <w:color w:val="231F20"/>
          <w:w w:val="105"/>
          <w:sz w:val="18"/>
        </w:rPr>
        <w:t>found</w:t>
      </w:r>
    </w:p>
    <w:p>
      <w:pPr>
        <w:spacing w:before="194"/>
        <w:ind w:left="2651" w:right="0" w:firstLine="0"/>
        <w:jc w:val="left"/>
        <w:rPr>
          <w:rFonts w:ascii="Arial"/>
          <w:sz w:val="18"/>
        </w:rPr>
      </w:pPr>
      <w:r>
        <w:rPr>
          <w:rFonts w:ascii="Arial"/>
          <w:color w:val="231F20"/>
          <w:spacing w:val="-10"/>
          <w:w w:val="150"/>
          <w:sz w:val="18"/>
        </w:rPr>
        <w:t>}</w:t>
      </w:r>
    </w:p>
    <w:p>
      <w:pPr>
        <w:spacing w:line="203" w:lineRule="exact" w:before="193"/>
        <w:ind w:left="2651" w:right="0" w:firstLine="0"/>
        <w:jc w:val="left"/>
        <w:rPr>
          <w:rFonts w:ascii="Arial"/>
          <w:sz w:val="18"/>
        </w:rPr>
      </w:pPr>
      <w:r>
        <w:rPr>
          <w:rFonts w:ascii="Arial"/>
          <w:color w:val="231F20"/>
          <w:w w:val="120"/>
          <w:sz w:val="18"/>
        </w:rPr>
        <w:t>return</w:t>
      </w:r>
      <w:r>
        <w:rPr>
          <w:rFonts w:ascii="Arial"/>
          <w:color w:val="231F20"/>
          <w:w w:val="120"/>
          <w:sz w:val="18"/>
        </w:rPr>
        <w:t> </w:t>
      </w:r>
      <w:r>
        <w:rPr>
          <w:rFonts w:ascii="Arial"/>
          <w:color w:val="231F20"/>
          <w:spacing w:val="-5"/>
          <w:w w:val="120"/>
          <w:sz w:val="18"/>
        </w:rPr>
        <w:t>rc;</w:t>
      </w:r>
    </w:p>
    <w:p>
      <w:pPr>
        <w:spacing w:line="203" w:lineRule="exact" w:before="0"/>
        <w:ind w:left="2472" w:right="0" w:firstLine="0"/>
        <w:jc w:val="left"/>
        <w:rPr>
          <w:rFonts w:ascii="Arial"/>
          <w:sz w:val="18"/>
        </w:rPr>
      </w:pPr>
      <w:r>
        <w:rPr>
          <w:rFonts w:ascii="Arial"/>
          <w:color w:val="231F20"/>
          <w:spacing w:val="-10"/>
          <w:w w:val="150"/>
          <w:sz w:val="18"/>
        </w:rPr>
        <w:t>}</w:t>
      </w:r>
    </w:p>
    <w:p>
      <w:pPr>
        <w:spacing w:line="203" w:lineRule="exact" w:before="192"/>
        <w:ind w:left="2472" w:right="0" w:firstLine="0"/>
        <w:jc w:val="left"/>
        <w:rPr>
          <w:rFonts w:ascii="Arial"/>
          <w:sz w:val="18"/>
        </w:rPr>
      </w:pPr>
      <w:r>
        <w:rPr>
          <w:rFonts w:ascii="Arial"/>
          <w:color w:val="231F20"/>
          <w:w w:val="105"/>
          <w:sz w:val="18"/>
        </w:rPr>
        <w:t>void</w:t>
      </w:r>
      <w:r>
        <w:rPr>
          <w:rFonts w:ascii="Arial"/>
          <w:color w:val="231F20"/>
          <w:spacing w:val="20"/>
          <w:w w:val="105"/>
          <w:sz w:val="18"/>
        </w:rPr>
        <w:t> </w:t>
      </w:r>
      <w:r>
        <w:rPr>
          <w:rFonts w:ascii="Arial"/>
          <w:color w:val="231F20"/>
          <w:sz w:val="18"/>
        </w:rPr>
        <w:t>FUNCTION</w:t>
      </w:r>
      <w:r>
        <w:rPr>
          <w:rFonts w:ascii="Arial"/>
          <w:color w:val="231F20"/>
          <w:spacing w:val="21"/>
          <w:w w:val="105"/>
          <w:sz w:val="18"/>
        </w:rPr>
        <w:t> </w:t>
      </w:r>
      <w:r>
        <w:rPr>
          <w:rFonts w:ascii="Arial"/>
          <w:color w:val="231F20"/>
          <w:w w:val="105"/>
          <w:sz w:val="18"/>
        </w:rPr>
        <w:t>displayError(int</w:t>
      </w:r>
      <w:r>
        <w:rPr>
          <w:rFonts w:ascii="Arial"/>
          <w:color w:val="231F20"/>
          <w:spacing w:val="21"/>
          <w:w w:val="105"/>
          <w:sz w:val="18"/>
        </w:rPr>
        <w:t> </w:t>
      </w:r>
      <w:r>
        <w:rPr>
          <w:rFonts w:ascii="Arial"/>
          <w:color w:val="231F20"/>
          <w:spacing w:val="-2"/>
          <w:w w:val="105"/>
          <w:sz w:val="18"/>
        </w:rPr>
        <w:t>errCode)</w:t>
      </w:r>
    </w:p>
    <w:p>
      <w:pPr>
        <w:spacing w:line="203" w:lineRule="exact" w:before="0"/>
        <w:ind w:left="2472" w:right="0" w:firstLine="0"/>
        <w:jc w:val="left"/>
        <w:rPr>
          <w:rFonts w:ascii="Arial"/>
          <w:sz w:val="18"/>
        </w:rPr>
      </w:pPr>
      <w:r>
        <w:rPr>
          <w:rFonts w:ascii="Arial"/>
          <w:color w:val="231F20"/>
          <w:spacing w:val="-10"/>
          <w:w w:val="150"/>
          <w:sz w:val="18"/>
        </w:rPr>
        <w:t>{</w:t>
      </w:r>
    </w:p>
    <w:p>
      <w:pPr>
        <w:spacing w:line="196" w:lineRule="exact" w:before="0"/>
        <w:ind w:left="2651" w:right="0" w:firstLine="0"/>
        <w:jc w:val="left"/>
        <w:rPr>
          <w:rFonts w:ascii="Arial"/>
          <w:sz w:val="18"/>
        </w:rPr>
      </w:pPr>
      <w:r>
        <w:rPr>
          <w:rFonts w:ascii="Arial"/>
          <w:color w:val="231F20"/>
          <w:w w:val="170"/>
          <w:sz w:val="18"/>
        </w:rPr>
        <w:t>if</w:t>
      </w:r>
      <w:r>
        <w:rPr>
          <w:rFonts w:ascii="Arial"/>
          <w:color w:val="231F20"/>
          <w:spacing w:val="-11"/>
          <w:w w:val="170"/>
          <w:sz w:val="18"/>
        </w:rPr>
        <w:t> </w:t>
      </w:r>
      <w:r>
        <w:rPr>
          <w:rFonts w:ascii="Arial"/>
          <w:color w:val="231F20"/>
          <w:w w:val="105"/>
          <w:sz w:val="18"/>
        </w:rPr>
        <w:t>(errCode</w:t>
      </w:r>
      <w:r>
        <w:rPr>
          <w:rFonts w:ascii="Arial"/>
          <w:color w:val="231F20"/>
          <w:spacing w:val="21"/>
          <w:w w:val="105"/>
          <w:sz w:val="18"/>
        </w:rPr>
        <w:t> </w:t>
      </w:r>
      <w:r>
        <w:rPr>
          <w:rFonts w:ascii="Arial"/>
          <w:color w:val="231F20"/>
          <w:w w:val="105"/>
          <w:sz w:val="18"/>
        </w:rPr>
        <w:t>==</w:t>
      </w:r>
      <w:r>
        <w:rPr>
          <w:rFonts w:ascii="Arial"/>
          <w:color w:val="231F20"/>
          <w:spacing w:val="22"/>
          <w:w w:val="105"/>
          <w:sz w:val="18"/>
        </w:rPr>
        <w:t> </w:t>
      </w:r>
      <w:r>
        <w:rPr>
          <w:rFonts w:ascii="Arial"/>
          <w:color w:val="231F20"/>
          <w:spacing w:val="-5"/>
          <w:w w:val="105"/>
          <w:sz w:val="18"/>
        </w:rPr>
        <w:t>4)</w:t>
      </w:r>
    </w:p>
    <w:p>
      <w:pPr>
        <w:spacing w:line="230" w:lineRule="auto" w:before="3"/>
        <w:ind w:left="2651" w:right="4095" w:firstLine="269"/>
        <w:jc w:val="left"/>
        <w:rPr>
          <w:rFonts w:ascii="Arial"/>
          <w:sz w:val="18"/>
        </w:rPr>
      </w:pPr>
      <w:r>
        <w:rPr>
          <w:rFonts w:ascii="Arial"/>
          <w:color w:val="231F20"/>
          <w:w w:val="105"/>
          <w:sz w:val="18"/>
        </w:rPr>
        <w:t>msgBox("Application</w:t>
      </w:r>
      <w:r>
        <w:rPr>
          <w:rFonts w:ascii="Arial"/>
          <w:color w:val="231F20"/>
          <w:spacing w:val="40"/>
          <w:w w:val="105"/>
          <w:sz w:val="18"/>
        </w:rPr>
        <w:t> </w:t>
      </w:r>
      <w:r>
        <w:rPr>
          <w:rFonts w:ascii="Arial"/>
          <w:color w:val="231F20"/>
          <w:w w:val="105"/>
          <w:sz w:val="18"/>
        </w:rPr>
        <w:t>not</w:t>
      </w:r>
      <w:r>
        <w:rPr>
          <w:rFonts w:ascii="Arial"/>
          <w:color w:val="231F20"/>
          <w:spacing w:val="40"/>
          <w:w w:val="105"/>
          <w:sz w:val="18"/>
        </w:rPr>
        <w:t> </w:t>
      </w:r>
      <w:r>
        <w:rPr>
          <w:rFonts w:ascii="Arial"/>
          <w:color w:val="231F20"/>
          <w:w w:val="105"/>
          <w:sz w:val="18"/>
        </w:rPr>
        <w:t>available"); else</w:t>
      </w:r>
      <w:r>
        <w:rPr>
          <w:rFonts w:ascii="Arial"/>
          <w:color w:val="231F20"/>
          <w:spacing w:val="40"/>
          <w:w w:val="105"/>
          <w:sz w:val="18"/>
        </w:rPr>
        <w:t> </w:t>
      </w:r>
      <w:r>
        <w:rPr>
          <w:rFonts w:ascii="Arial"/>
          <w:color w:val="231F20"/>
          <w:w w:val="105"/>
          <w:sz w:val="18"/>
        </w:rPr>
        <w:t>if(errCode</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8)</w:t>
      </w:r>
    </w:p>
    <w:p>
      <w:pPr>
        <w:spacing w:line="230" w:lineRule="auto" w:before="1"/>
        <w:ind w:left="2651" w:right="2478" w:firstLine="269"/>
        <w:jc w:val="left"/>
        <w:rPr>
          <w:rFonts w:ascii="Arial"/>
          <w:sz w:val="18"/>
        </w:rPr>
      </w:pPr>
      <w:r>
        <w:rPr>
          <w:rFonts w:ascii="Arial"/>
          <w:color w:val="231F20"/>
          <w:w w:val="105"/>
          <w:sz w:val="18"/>
        </w:rPr>
        <w:t>msgBox("Application</w:t>
      </w:r>
      <w:r>
        <w:rPr>
          <w:rFonts w:ascii="Arial"/>
          <w:color w:val="231F20"/>
          <w:spacing w:val="40"/>
          <w:w w:val="105"/>
          <w:sz w:val="18"/>
        </w:rPr>
        <w:t> </w:t>
      </w:r>
      <w:r>
        <w:rPr>
          <w:rFonts w:ascii="Arial"/>
          <w:color w:val="231F20"/>
          <w:w w:val="105"/>
          <w:sz w:val="18"/>
        </w:rPr>
        <w:t>not</w:t>
      </w:r>
      <w:r>
        <w:rPr>
          <w:rFonts w:ascii="Arial"/>
          <w:color w:val="231F20"/>
          <w:spacing w:val="40"/>
          <w:w w:val="105"/>
          <w:sz w:val="18"/>
        </w:rPr>
        <w:t> </w:t>
      </w:r>
      <w:r>
        <w:rPr>
          <w:rFonts w:ascii="Arial"/>
          <w:color w:val="231F20"/>
          <w:w w:val="105"/>
          <w:sz w:val="18"/>
        </w:rPr>
        <w:t>available</w:t>
      </w:r>
      <w:r>
        <w:rPr>
          <w:rFonts w:ascii="Arial"/>
          <w:color w:val="231F20"/>
          <w:w w:val="120"/>
          <w:sz w:val="18"/>
        </w:rPr>
        <w:t> -</w:t>
      </w:r>
      <w:r>
        <w:rPr>
          <w:rFonts w:ascii="Arial"/>
          <w:color w:val="231F20"/>
          <w:w w:val="120"/>
          <w:sz w:val="18"/>
        </w:rPr>
        <w:t> </w:t>
      </w:r>
      <w:r>
        <w:rPr>
          <w:rFonts w:ascii="Arial"/>
          <w:color w:val="231F20"/>
          <w:w w:val="105"/>
          <w:sz w:val="18"/>
        </w:rPr>
        <w:t>no</w:t>
      </w:r>
      <w:r>
        <w:rPr>
          <w:rFonts w:ascii="Arial"/>
          <w:color w:val="231F20"/>
          <w:spacing w:val="40"/>
          <w:w w:val="105"/>
          <w:sz w:val="18"/>
        </w:rPr>
        <w:t> </w:t>
      </w:r>
      <w:r>
        <w:rPr>
          <w:rFonts w:ascii="Arial"/>
          <w:color w:val="231F20"/>
          <w:w w:val="105"/>
          <w:sz w:val="18"/>
        </w:rPr>
        <w:t>signon</w:t>
      </w:r>
      <w:r>
        <w:rPr>
          <w:rFonts w:ascii="Arial"/>
          <w:color w:val="231F20"/>
          <w:spacing w:val="40"/>
          <w:w w:val="105"/>
          <w:sz w:val="18"/>
        </w:rPr>
        <w:t> </w:t>
      </w:r>
      <w:r>
        <w:rPr>
          <w:rFonts w:ascii="Arial"/>
          <w:color w:val="231F20"/>
          <w:w w:val="105"/>
          <w:sz w:val="18"/>
        </w:rPr>
        <w:t>Panel"); else</w:t>
      </w:r>
      <w:r>
        <w:rPr>
          <w:rFonts w:ascii="Arial"/>
          <w:color w:val="231F20"/>
          <w:w w:val="170"/>
          <w:sz w:val="18"/>
        </w:rPr>
        <w:t> if</w:t>
      </w:r>
      <w:r>
        <w:rPr>
          <w:rFonts w:ascii="Arial"/>
          <w:color w:val="231F20"/>
          <w:w w:val="170"/>
          <w:sz w:val="18"/>
        </w:rPr>
        <w:t> </w:t>
      </w:r>
      <w:r>
        <w:rPr>
          <w:rFonts w:ascii="Arial"/>
          <w:color w:val="231F20"/>
          <w:w w:val="105"/>
          <w:sz w:val="18"/>
        </w:rPr>
        <w:t>(errCode</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16)</w:t>
      </w:r>
    </w:p>
    <w:p>
      <w:pPr>
        <w:spacing w:line="230" w:lineRule="auto" w:before="2"/>
        <w:ind w:left="2651" w:right="4095" w:firstLine="269"/>
        <w:jc w:val="left"/>
        <w:rPr>
          <w:rFonts w:ascii="Arial"/>
          <w:sz w:val="18"/>
        </w:rPr>
      </w:pPr>
      <w:r>
        <w:rPr>
          <w:rFonts w:ascii="Arial"/>
          <w:color w:val="231F20"/>
          <w:w w:val="105"/>
          <w:sz w:val="18"/>
        </w:rPr>
        <w:t>msgBox("Invalid</w:t>
      </w:r>
      <w:r>
        <w:rPr>
          <w:rFonts w:ascii="Arial"/>
          <w:color w:val="231F20"/>
          <w:spacing w:val="30"/>
          <w:w w:val="105"/>
          <w:sz w:val="18"/>
        </w:rPr>
        <w:t> </w:t>
      </w:r>
      <w:r>
        <w:rPr>
          <w:rFonts w:ascii="Arial"/>
          <w:color w:val="231F20"/>
          <w:w w:val="105"/>
          <w:sz w:val="18"/>
        </w:rPr>
        <w:t>Signon</w:t>
      </w:r>
      <w:r>
        <w:rPr>
          <w:rFonts w:ascii="Arial"/>
          <w:color w:val="231F20"/>
          <w:spacing w:val="30"/>
          <w:w w:val="105"/>
          <w:sz w:val="18"/>
        </w:rPr>
        <w:t> </w:t>
      </w:r>
      <w:r>
        <w:rPr>
          <w:rFonts w:ascii="Arial"/>
          <w:color w:val="231F20"/>
          <w:w w:val="105"/>
          <w:sz w:val="18"/>
        </w:rPr>
        <w:t>request"); else</w:t>
      </w:r>
      <w:r>
        <w:rPr>
          <w:rFonts w:ascii="Arial"/>
          <w:color w:val="231F20"/>
          <w:w w:val="170"/>
          <w:sz w:val="18"/>
        </w:rPr>
        <w:t> if</w:t>
      </w:r>
      <w:r>
        <w:rPr>
          <w:rFonts w:ascii="Arial"/>
          <w:color w:val="231F20"/>
          <w:w w:val="170"/>
          <w:sz w:val="18"/>
        </w:rPr>
        <w:t> </w:t>
      </w:r>
      <w:r>
        <w:rPr>
          <w:rFonts w:ascii="Arial"/>
          <w:color w:val="231F20"/>
          <w:w w:val="105"/>
          <w:sz w:val="18"/>
        </w:rPr>
        <w:t>(errCode</w:t>
      </w:r>
      <w:r>
        <w:rPr>
          <w:rFonts w:ascii="Arial"/>
          <w:color w:val="231F20"/>
          <w:spacing w:val="40"/>
          <w:w w:val="105"/>
          <w:sz w:val="18"/>
        </w:rPr>
        <w:t> </w:t>
      </w:r>
      <w:r>
        <w:rPr>
          <w:rFonts w:ascii="Arial"/>
          <w:color w:val="231F20"/>
          <w:w w:val="105"/>
          <w:sz w:val="18"/>
        </w:rPr>
        <w:t>==</w:t>
      </w:r>
      <w:r>
        <w:rPr>
          <w:rFonts w:ascii="Arial"/>
          <w:color w:val="231F20"/>
          <w:spacing w:val="40"/>
          <w:w w:val="105"/>
          <w:sz w:val="18"/>
        </w:rPr>
        <w:t> </w:t>
      </w:r>
      <w:r>
        <w:rPr>
          <w:rFonts w:ascii="Arial"/>
          <w:color w:val="231F20"/>
          <w:w w:val="105"/>
          <w:sz w:val="18"/>
        </w:rPr>
        <w:t>24)</w:t>
      </w:r>
    </w:p>
    <w:p>
      <w:pPr>
        <w:spacing w:line="230" w:lineRule="auto" w:before="2"/>
        <w:ind w:left="2651" w:right="2478" w:firstLine="269"/>
        <w:jc w:val="left"/>
        <w:rPr>
          <w:rFonts w:ascii="Arial"/>
          <w:sz w:val="18"/>
        </w:rPr>
      </w:pPr>
      <w:r>
        <w:rPr>
          <w:rFonts w:ascii="Arial"/>
          <w:color w:val="231F20"/>
          <w:sz w:val="18"/>
        </w:rPr>
        <w:t>msgBox</w:t>
      </w:r>
      <w:r>
        <w:rPr>
          <w:rFonts w:ascii="Arial"/>
          <w:color w:val="231F20"/>
          <w:spacing w:val="4"/>
          <w:w w:val="110"/>
          <w:sz w:val="18"/>
        </w:rPr>
        <w:t> </w:t>
      </w:r>
      <w:r>
        <w:rPr>
          <w:rFonts w:ascii="Arial"/>
          <w:color w:val="231F20"/>
          <w:w w:val="110"/>
          <w:sz w:val="18"/>
        </w:rPr>
        <w:t>("Internal</w:t>
      </w:r>
      <w:r>
        <w:rPr>
          <w:rFonts w:ascii="Arial"/>
          <w:color w:val="231F20"/>
          <w:spacing w:val="4"/>
          <w:w w:val="110"/>
          <w:sz w:val="18"/>
        </w:rPr>
        <w:t> </w:t>
      </w:r>
      <w:r>
        <w:rPr>
          <w:rFonts w:ascii="Arial"/>
          <w:color w:val="231F20"/>
          <w:w w:val="110"/>
          <w:sz w:val="18"/>
        </w:rPr>
        <w:t>Error</w:t>
      </w:r>
      <w:r>
        <w:rPr>
          <w:rFonts w:ascii="Arial"/>
          <w:color w:val="231F20"/>
          <w:spacing w:val="-1"/>
          <w:w w:val="120"/>
          <w:sz w:val="18"/>
        </w:rPr>
        <w:t> </w:t>
      </w:r>
      <w:r>
        <w:rPr>
          <w:rFonts w:ascii="Arial"/>
          <w:color w:val="231F20"/>
          <w:w w:val="120"/>
          <w:sz w:val="18"/>
        </w:rPr>
        <w:t>-</w:t>
      </w:r>
      <w:r>
        <w:rPr>
          <w:rFonts w:ascii="Arial"/>
          <w:color w:val="231F20"/>
          <w:spacing w:val="-1"/>
          <w:w w:val="120"/>
          <w:sz w:val="18"/>
        </w:rPr>
        <w:t> </w:t>
      </w:r>
      <w:r>
        <w:rPr>
          <w:rFonts w:ascii="Arial"/>
          <w:color w:val="231F20"/>
          <w:sz w:val="18"/>
        </w:rPr>
        <w:t>command</w:t>
      </w:r>
      <w:r>
        <w:rPr>
          <w:rFonts w:ascii="Arial"/>
          <w:color w:val="231F20"/>
          <w:spacing w:val="4"/>
          <w:w w:val="110"/>
          <w:sz w:val="18"/>
        </w:rPr>
        <w:t> </w:t>
      </w:r>
      <w:r>
        <w:rPr>
          <w:rFonts w:ascii="Arial"/>
          <w:color w:val="231F20"/>
          <w:w w:val="110"/>
          <w:sz w:val="18"/>
        </w:rPr>
        <w:t>Panel</w:t>
      </w:r>
      <w:r>
        <w:rPr>
          <w:rFonts w:ascii="Arial"/>
          <w:color w:val="231F20"/>
          <w:spacing w:val="4"/>
          <w:w w:val="110"/>
          <w:sz w:val="18"/>
        </w:rPr>
        <w:t> </w:t>
      </w:r>
      <w:r>
        <w:rPr>
          <w:rFonts w:ascii="Arial"/>
          <w:color w:val="231F20"/>
          <w:w w:val="110"/>
          <w:sz w:val="18"/>
        </w:rPr>
        <w:t>not</w:t>
      </w:r>
      <w:r>
        <w:rPr>
          <w:rFonts w:ascii="Arial"/>
          <w:color w:val="231F20"/>
          <w:spacing w:val="4"/>
          <w:w w:val="110"/>
          <w:sz w:val="18"/>
        </w:rPr>
        <w:t> </w:t>
      </w:r>
      <w:r>
        <w:rPr>
          <w:rFonts w:ascii="Arial"/>
          <w:color w:val="231F20"/>
          <w:w w:val="110"/>
          <w:sz w:val="18"/>
        </w:rPr>
        <w:t>found"); </w:t>
      </w:r>
      <w:r>
        <w:rPr>
          <w:rFonts w:ascii="Arial"/>
          <w:color w:val="231F20"/>
          <w:spacing w:val="-4"/>
          <w:w w:val="110"/>
          <w:sz w:val="18"/>
        </w:rPr>
        <w:t>else</w:t>
      </w:r>
    </w:p>
    <w:p>
      <w:pPr>
        <w:spacing w:line="198" w:lineRule="exact" w:before="0"/>
        <w:ind w:left="2921" w:right="0" w:firstLine="0"/>
        <w:jc w:val="left"/>
        <w:rPr>
          <w:rFonts w:ascii="Arial"/>
          <w:sz w:val="18"/>
        </w:rPr>
      </w:pPr>
      <w:r>
        <w:rPr>
          <w:rFonts w:ascii="Arial"/>
          <w:color w:val="231F20"/>
          <w:sz w:val="18"/>
        </w:rPr>
        <w:t>msgBox</w:t>
      </w:r>
      <w:r>
        <w:rPr>
          <w:rFonts w:ascii="Arial"/>
          <w:color w:val="231F20"/>
          <w:spacing w:val="25"/>
          <w:sz w:val="18"/>
        </w:rPr>
        <w:t> </w:t>
      </w:r>
      <w:r>
        <w:rPr>
          <w:rFonts w:ascii="Arial"/>
          <w:color w:val="231F20"/>
          <w:sz w:val="18"/>
        </w:rPr>
        <w:t>("Unknown</w:t>
      </w:r>
      <w:r>
        <w:rPr>
          <w:rFonts w:ascii="Arial"/>
          <w:color w:val="231F20"/>
          <w:spacing w:val="25"/>
          <w:sz w:val="18"/>
        </w:rPr>
        <w:t> </w:t>
      </w:r>
      <w:r>
        <w:rPr>
          <w:rFonts w:ascii="Arial"/>
          <w:color w:val="231F20"/>
          <w:sz w:val="18"/>
        </w:rPr>
        <w:t>Error.</w:t>
      </w:r>
      <w:r>
        <w:rPr>
          <w:rFonts w:ascii="Arial"/>
          <w:color w:val="231F20"/>
          <w:spacing w:val="25"/>
          <w:sz w:val="18"/>
        </w:rPr>
        <w:t> </w:t>
      </w:r>
      <w:r>
        <w:rPr>
          <w:rFonts w:ascii="Arial"/>
          <w:color w:val="231F20"/>
          <w:spacing w:val="19"/>
          <w:sz w:val="18"/>
        </w:rPr>
        <w:t>rc</w:t>
      </w:r>
      <w:r>
        <w:rPr>
          <w:rFonts w:ascii="Arial"/>
          <w:color w:val="231F20"/>
          <w:spacing w:val="-8"/>
          <w:sz w:val="18"/>
        </w:rPr>
        <w:t> </w:t>
      </w:r>
      <w:r>
        <w:rPr>
          <w:rFonts w:ascii="Arial"/>
          <w:color w:val="231F20"/>
          <w:spacing w:val="39"/>
          <w:sz w:val="18"/>
        </w:rPr>
        <w:t>=</w:t>
      </w:r>
      <w:r>
        <w:rPr>
          <w:rFonts w:ascii="Arial"/>
          <w:color w:val="231F20"/>
          <w:spacing w:val="-7"/>
          <w:sz w:val="18"/>
        </w:rPr>
        <w:t> </w:t>
      </w:r>
      <w:r>
        <w:rPr>
          <w:rFonts w:ascii="Arial"/>
          <w:color w:val="231F20"/>
          <w:spacing w:val="39"/>
          <w:sz w:val="18"/>
        </w:rPr>
        <w:t>"</w:t>
      </w:r>
      <w:r>
        <w:rPr>
          <w:rFonts w:ascii="Arial"/>
          <w:color w:val="231F20"/>
          <w:spacing w:val="-8"/>
          <w:sz w:val="18"/>
        </w:rPr>
        <w:t> </w:t>
      </w:r>
      <w:r>
        <w:rPr>
          <w:rFonts w:ascii="Arial"/>
          <w:color w:val="231F20"/>
          <w:sz w:val="18"/>
        </w:rPr>
        <w:t>+</w:t>
      </w:r>
      <w:r>
        <w:rPr>
          <w:rFonts w:ascii="Arial"/>
          <w:color w:val="231F20"/>
          <w:spacing w:val="25"/>
          <w:sz w:val="18"/>
        </w:rPr>
        <w:t> </w:t>
      </w:r>
      <w:r>
        <w:rPr>
          <w:rFonts w:ascii="Arial"/>
          <w:color w:val="231F20"/>
          <w:spacing w:val="-2"/>
          <w:sz w:val="18"/>
        </w:rPr>
        <w:t>errCode);</w:t>
      </w:r>
    </w:p>
    <w:p>
      <w:pPr>
        <w:spacing w:line="203" w:lineRule="exact" w:before="0"/>
        <w:ind w:left="2472" w:right="0" w:firstLine="0"/>
        <w:jc w:val="left"/>
        <w:rPr>
          <w:rFonts w:ascii="Arial"/>
          <w:sz w:val="18"/>
        </w:rPr>
      </w:pPr>
      <w:r>
        <w:rPr>
          <w:rFonts w:ascii="Arial"/>
          <w:color w:val="231F20"/>
          <w:spacing w:val="-10"/>
          <w:w w:val="150"/>
          <w:sz w:val="18"/>
        </w:rPr>
        <w:t>}</w:t>
      </w:r>
    </w:p>
    <w:p>
      <w:pPr>
        <w:spacing w:line="196" w:lineRule="exact" w:before="0"/>
        <w:ind w:left="2472" w:right="0" w:firstLine="0"/>
        <w:jc w:val="left"/>
        <w:rPr>
          <w:rFonts w:ascii="Arial"/>
          <w:sz w:val="18"/>
        </w:rPr>
      </w:pPr>
      <w:r>
        <w:rPr/>
        <mc:AlternateContent>
          <mc:Choice Requires="wps">
            <w:drawing>
              <wp:anchor distT="0" distB="0" distL="0" distR="0" allowOverlap="1" layoutInCell="1" locked="0" behindDoc="0" simplePos="0" relativeHeight="15846912">
                <wp:simplePos x="0" y="0"/>
                <wp:positionH relativeFrom="page">
                  <wp:posOffset>2375999</wp:posOffset>
                </wp:positionH>
                <wp:positionV relativeFrom="paragraph">
                  <wp:posOffset>74607</wp:posOffset>
                </wp:positionV>
                <wp:extent cx="2224405" cy="1270"/>
                <wp:effectExtent l="0" t="0" r="0" b="0"/>
                <wp:wrapNone/>
                <wp:docPr id="1651" name="Graphic 1651"/>
                <wp:cNvGraphicFramePr>
                  <a:graphicFrameLocks/>
                </wp:cNvGraphicFramePr>
                <a:graphic>
                  <a:graphicData uri="http://schemas.microsoft.com/office/word/2010/wordprocessingShape">
                    <wps:wsp>
                      <wps:cNvPr id="1651" name="Graphic 1651"/>
                      <wps:cNvSpPr/>
                      <wps:spPr>
                        <a:xfrm>
                          <a:off x="0" y="0"/>
                          <a:ext cx="2224405" cy="1270"/>
                        </a:xfrm>
                        <a:custGeom>
                          <a:avLst/>
                          <a:gdLst/>
                          <a:ahLst/>
                          <a:cxnLst/>
                          <a:rect l="l" t="t" r="r" b="b"/>
                          <a:pathLst>
                            <a:path w="2224405" h="0">
                              <a:moveTo>
                                <a:pt x="0" y="0"/>
                              </a:moveTo>
                              <a:lnTo>
                                <a:pt x="2223946" y="0"/>
                              </a:lnTo>
                            </a:path>
                          </a:pathLst>
                        </a:custGeom>
                        <a:ln w="10606">
                          <a:solidFill>
                            <a:srgbClr val="221E1F"/>
                          </a:solidFill>
                          <a:prstDash val="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6912" from="187.086594pt,5.874571pt" to="362.200498pt,5.874571pt" stroked="true" strokeweight=".835159pt" strokecolor="#221e1f">
                <v:stroke dashstyle="dash"/>
                <w10:wrap type="none"/>
              </v:line>
            </w:pict>
          </mc:Fallback>
        </mc:AlternateContent>
      </w: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w w:val="155"/>
          <w:sz w:val="18"/>
        </w:rPr>
        <w:t>//</w:t>
      </w:r>
      <w:r>
        <w:rPr>
          <w:rFonts w:ascii="Arial"/>
          <w:color w:val="231F20"/>
          <w:spacing w:val="35"/>
          <w:w w:val="155"/>
          <w:sz w:val="18"/>
        </w:rPr>
        <w:t> </w:t>
      </w:r>
      <w:r>
        <w:rPr>
          <w:rFonts w:ascii="Arial"/>
          <w:color w:val="231F20"/>
          <w:spacing w:val="-2"/>
          <w:w w:val="95"/>
          <w:sz w:val="18"/>
        </w:rPr>
        <w:t>LOGON</w:t>
      </w:r>
    </w:p>
    <w:p>
      <w:pPr>
        <w:spacing w:line="200" w:lineRule="exact" w:before="0"/>
        <w:ind w:left="2472" w:right="0" w:firstLine="0"/>
        <w:jc w:val="left"/>
        <w:rPr>
          <w:rFonts w:ascii="Arial"/>
          <w:sz w:val="18"/>
        </w:rPr>
      </w:pPr>
      <w:r>
        <w:rPr>
          <w:rFonts w:ascii="Arial"/>
          <w:color w:val="231F20"/>
          <w:w w:val="125"/>
          <w:sz w:val="18"/>
        </w:rPr>
        <w:t>//</w:t>
      </w:r>
      <w:r>
        <w:rPr>
          <w:rFonts w:ascii="Arial"/>
          <w:color w:val="231F20"/>
          <w:spacing w:val="54"/>
          <w:w w:val="125"/>
          <w:sz w:val="18"/>
        </w:rPr>
        <w:t> </w:t>
      </w:r>
      <w:r>
        <w:rPr>
          <w:rFonts w:ascii="Arial"/>
          <w:color w:val="231F20"/>
          <w:sz w:val="18"/>
        </w:rPr>
        <w:t>@param</w:t>
      </w:r>
      <w:r>
        <w:rPr>
          <w:rFonts w:ascii="Arial"/>
          <w:color w:val="231F20"/>
          <w:spacing w:val="-4"/>
          <w:w w:val="125"/>
          <w:sz w:val="18"/>
        </w:rPr>
        <w:t> </w:t>
      </w:r>
      <w:r>
        <w:rPr>
          <w:rFonts w:ascii="Arial"/>
          <w:color w:val="231F20"/>
          <w:w w:val="125"/>
          <w:sz w:val="18"/>
        </w:rPr>
        <w:t>-</w:t>
      </w:r>
      <w:r>
        <w:rPr>
          <w:rFonts w:ascii="Arial"/>
          <w:color w:val="231F20"/>
          <w:spacing w:val="-4"/>
          <w:w w:val="125"/>
          <w:sz w:val="18"/>
        </w:rPr>
        <w:t> </w:t>
      </w:r>
      <w:r>
        <w:rPr>
          <w:rFonts w:ascii="Arial"/>
          <w:color w:val="231F20"/>
          <w:w w:val="120"/>
          <w:sz w:val="18"/>
        </w:rPr>
        <w:t>user</w:t>
      </w:r>
      <w:r>
        <w:rPr>
          <w:rFonts w:ascii="Arial"/>
          <w:color w:val="231F20"/>
          <w:spacing w:val="-2"/>
          <w:w w:val="120"/>
          <w:sz w:val="18"/>
        </w:rPr>
        <w:t> </w:t>
      </w:r>
      <w:r>
        <w:rPr>
          <w:rFonts w:ascii="Arial"/>
          <w:color w:val="231F20"/>
          <w:spacing w:val="-2"/>
          <w:w w:val="115"/>
          <w:sz w:val="18"/>
        </w:rPr>
        <w:t>userid</w:t>
      </w:r>
    </w:p>
    <w:p>
      <w:pPr>
        <w:spacing w:line="200" w:lineRule="exact" w:before="0"/>
        <w:ind w:left="2472" w:right="0" w:firstLine="0"/>
        <w:jc w:val="left"/>
        <w:rPr>
          <w:rFonts w:ascii="Arial"/>
          <w:sz w:val="18"/>
        </w:rPr>
      </w:pPr>
      <w:r>
        <w:rPr>
          <w:rFonts w:ascii="Arial"/>
          <w:color w:val="231F20"/>
          <w:w w:val="125"/>
          <w:sz w:val="18"/>
        </w:rPr>
        <w:t>//</w:t>
      </w:r>
      <w:r>
        <w:rPr>
          <w:rFonts w:ascii="Arial"/>
          <w:color w:val="231F20"/>
          <w:spacing w:val="54"/>
          <w:w w:val="125"/>
          <w:sz w:val="18"/>
        </w:rPr>
        <w:t> </w:t>
      </w:r>
      <w:r>
        <w:rPr>
          <w:rFonts w:ascii="Arial"/>
          <w:color w:val="231F20"/>
          <w:sz w:val="18"/>
        </w:rPr>
        <w:t>@param</w:t>
      </w:r>
      <w:r>
        <w:rPr>
          <w:rFonts w:ascii="Arial"/>
          <w:color w:val="231F20"/>
          <w:spacing w:val="-4"/>
          <w:w w:val="125"/>
          <w:sz w:val="18"/>
        </w:rPr>
        <w:t> </w:t>
      </w:r>
      <w:r>
        <w:rPr>
          <w:rFonts w:ascii="Arial"/>
          <w:color w:val="231F20"/>
          <w:w w:val="125"/>
          <w:sz w:val="18"/>
        </w:rPr>
        <w:t>-</w:t>
      </w:r>
      <w:r>
        <w:rPr>
          <w:rFonts w:ascii="Arial"/>
          <w:color w:val="231F20"/>
          <w:spacing w:val="-4"/>
          <w:w w:val="125"/>
          <w:sz w:val="18"/>
        </w:rPr>
        <w:t> </w:t>
      </w:r>
      <w:r>
        <w:rPr>
          <w:rFonts w:ascii="Arial"/>
          <w:color w:val="231F20"/>
          <w:sz w:val="18"/>
        </w:rPr>
        <w:t>pswd</w:t>
      </w:r>
      <w:r>
        <w:rPr>
          <w:rFonts w:ascii="Arial"/>
          <w:color w:val="231F20"/>
          <w:spacing w:val="8"/>
          <w:sz w:val="18"/>
        </w:rPr>
        <w:t> </w:t>
      </w:r>
      <w:r>
        <w:rPr>
          <w:rFonts w:ascii="Arial"/>
          <w:color w:val="231F20"/>
          <w:spacing w:val="-2"/>
          <w:sz w:val="18"/>
        </w:rPr>
        <w:t>password</w:t>
      </w:r>
    </w:p>
    <w:p>
      <w:pPr>
        <w:spacing w:line="200" w:lineRule="exact" w:before="0"/>
        <w:ind w:left="2472" w:right="0" w:firstLine="0"/>
        <w:jc w:val="left"/>
        <w:rPr>
          <w:rFonts w:ascii="Arial"/>
          <w:sz w:val="18"/>
        </w:rPr>
      </w:pPr>
      <w:r>
        <w:rPr>
          <w:rFonts w:ascii="Arial"/>
          <w:color w:val="231F20"/>
          <w:spacing w:val="-5"/>
          <w:w w:val="180"/>
          <w:sz w:val="18"/>
        </w:rPr>
        <w:t>//</w:t>
      </w:r>
    </w:p>
    <w:p>
      <w:pPr>
        <w:spacing w:line="200" w:lineRule="exact" w:before="0"/>
        <w:ind w:left="2472" w:right="0" w:firstLine="0"/>
        <w:jc w:val="left"/>
        <w:rPr>
          <w:rFonts w:ascii="Arial"/>
          <w:sz w:val="18"/>
        </w:rPr>
      </w:pPr>
      <w:r>
        <w:rPr>
          <w:rFonts w:ascii="Arial"/>
          <w:color w:val="231F20"/>
          <w:w w:val="150"/>
          <w:sz w:val="18"/>
        </w:rPr>
        <w:t>//</w:t>
      </w:r>
      <w:r>
        <w:rPr>
          <w:rFonts w:ascii="Arial"/>
          <w:color w:val="231F20"/>
          <w:spacing w:val="73"/>
          <w:w w:val="150"/>
          <w:sz w:val="18"/>
        </w:rPr>
        <w:t> </w:t>
      </w:r>
      <w:r>
        <w:rPr>
          <w:rFonts w:ascii="Arial"/>
          <w:color w:val="231F20"/>
          <w:w w:val="110"/>
          <w:sz w:val="18"/>
        </w:rPr>
        <w:t>@returns</w:t>
      </w:r>
      <w:r>
        <w:rPr>
          <w:rFonts w:ascii="Arial"/>
          <w:color w:val="231F20"/>
          <w:spacing w:val="18"/>
          <w:w w:val="110"/>
          <w:sz w:val="18"/>
        </w:rPr>
        <w:t> </w:t>
      </w:r>
      <w:r>
        <w:rPr>
          <w:rFonts w:ascii="Arial"/>
          <w:color w:val="231F20"/>
          <w:w w:val="110"/>
          <w:sz w:val="18"/>
        </w:rPr>
        <w:t>0,</w:t>
      </w:r>
      <w:r>
        <w:rPr>
          <w:rFonts w:ascii="Arial"/>
          <w:color w:val="231F20"/>
          <w:spacing w:val="19"/>
          <w:w w:val="110"/>
          <w:sz w:val="18"/>
        </w:rPr>
        <w:t> </w:t>
      </w:r>
      <w:r>
        <w:rPr>
          <w:rFonts w:ascii="Arial"/>
          <w:color w:val="231F20"/>
          <w:spacing w:val="-2"/>
          <w:w w:val="110"/>
          <w:sz w:val="18"/>
        </w:rPr>
        <w:t>success</w:t>
      </w:r>
    </w:p>
    <w:p>
      <w:pPr>
        <w:tabs>
          <w:tab w:pos="3729" w:val="left" w:leader="none"/>
        </w:tabs>
        <w:spacing w:line="200" w:lineRule="exact" w:before="0"/>
        <w:ind w:left="2472" w:right="0" w:firstLine="0"/>
        <w:jc w:val="left"/>
        <w:rPr>
          <w:rFonts w:ascii="Arial"/>
          <w:sz w:val="18"/>
        </w:rPr>
      </w:pPr>
      <w:r>
        <w:rPr>
          <w:rFonts w:ascii="Arial"/>
          <w:color w:val="231F20"/>
          <w:spacing w:val="-5"/>
          <w:w w:val="150"/>
          <w:sz w:val="18"/>
        </w:rPr>
        <w:t>//</w:t>
      </w:r>
      <w:r>
        <w:rPr>
          <w:rFonts w:ascii="Arial"/>
          <w:color w:val="231F20"/>
          <w:sz w:val="18"/>
        </w:rPr>
        <w:tab/>
      </w:r>
      <w:r>
        <w:rPr>
          <w:rFonts w:ascii="Arial"/>
          <w:color w:val="231F20"/>
          <w:w w:val="110"/>
          <w:sz w:val="18"/>
        </w:rPr>
        <w:t>4,</w:t>
      </w:r>
      <w:r>
        <w:rPr>
          <w:rFonts w:ascii="Arial"/>
          <w:color w:val="231F20"/>
          <w:spacing w:val="18"/>
          <w:w w:val="110"/>
          <w:sz w:val="18"/>
        </w:rPr>
        <w:t> </w:t>
      </w:r>
      <w:r>
        <w:rPr>
          <w:rFonts w:ascii="Arial"/>
          <w:color w:val="231F20"/>
          <w:w w:val="110"/>
          <w:sz w:val="18"/>
        </w:rPr>
        <w:t>no</w:t>
      </w:r>
      <w:r>
        <w:rPr>
          <w:rFonts w:ascii="Arial"/>
          <w:color w:val="231F20"/>
          <w:spacing w:val="19"/>
          <w:w w:val="110"/>
          <w:sz w:val="18"/>
        </w:rPr>
        <w:t> </w:t>
      </w:r>
      <w:r>
        <w:rPr>
          <w:rFonts w:ascii="Arial"/>
          <w:color w:val="231F20"/>
          <w:w w:val="110"/>
          <w:sz w:val="18"/>
        </w:rPr>
        <w:t>logo</w:t>
      </w:r>
      <w:r>
        <w:rPr>
          <w:rFonts w:ascii="Arial"/>
          <w:color w:val="231F20"/>
          <w:spacing w:val="19"/>
          <w:w w:val="110"/>
          <w:sz w:val="18"/>
        </w:rPr>
        <w:t> </w:t>
      </w:r>
      <w:r>
        <w:rPr>
          <w:rFonts w:ascii="Arial"/>
          <w:color w:val="231F20"/>
          <w:spacing w:val="-2"/>
          <w:w w:val="110"/>
          <w:sz w:val="18"/>
        </w:rPr>
        <w:t>screen</w:t>
      </w:r>
    </w:p>
    <w:p>
      <w:pPr>
        <w:tabs>
          <w:tab w:pos="3729" w:val="left" w:leader="none"/>
        </w:tabs>
        <w:spacing w:line="200" w:lineRule="exact" w:before="0"/>
        <w:ind w:left="2472" w:right="0" w:firstLine="0"/>
        <w:jc w:val="left"/>
        <w:rPr>
          <w:rFonts w:ascii="Arial"/>
          <w:sz w:val="18"/>
        </w:rPr>
      </w:pPr>
      <w:r>
        <w:rPr>
          <w:rFonts w:ascii="Arial"/>
          <w:color w:val="231F20"/>
          <w:spacing w:val="-5"/>
          <w:w w:val="150"/>
          <w:sz w:val="18"/>
        </w:rPr>
        <w:t>//</w:t>
      </w:r>
      <w:r>
        <w:rPr>
          <w:rFonts w:ascii="Arial"/>
          <w:color w:val="231F20"/>
          <w:sz w:val="18"/>
        </w:rPr>
        <w:tab/>
      </w:r>
      <w:r>
        <w:rPr>
          <w:rFonts w:ascii="Arial"/>
          <w:color w:val="231F20"/>
          <w:w w:val="105"/>
          <w:sz w:val="18"/>
        </w:rPr>
        <w:t>8,</w:t>
      </w:r>
      <w:r>
        <w:rPr>
          <w:rFonts w:ascii="Arial"/>
          <w:color w:val="231F20"/>
          <w:spacing w:val="25"/>
          <w:w w:val="105"/>
          <w:sz w:val="18"/>
        </w:rPr>
        <w:t> </w:t>
      </w:r>
      <w:r>
        <w:rPr>
          <w:rFonts w:ascii="Arial"/>
          <w:color w:val="231F20"/>
          <w:w w:val="105"/>
          <w:sz w:val="18"/>
        </w:rPr>
        <w:t>no</w:t>
      </w:r>
      <w:r>
        <w:rPr>
          <w:rFonts w:ascii="Arial"/>
          <w:color w:val="231F20"/>
          <w:spacing w:val="26"/>
          <w:w w:val="105"/>
          <w:sz w:val="18"/>
        </w:rPr>
        <w:t> </w:t>
      </w:r>
      <w:r>
        <w:rPr>
          <w:rFonts w:ascii="Arial"/>
          <w:color w:val="231F20"/>
          <w:w w:val="105"/>
          <w:sz w:val="18"/>
        </w:rPr>
        <w:t>signon</w:t>
      </w:r>
      <w:r>
        <w:rPr>
          <w:rFonts w:ascii="Arial"/>
          <w:color w:val="231F20"/>
          <w:spacing w:val="26"/>
          <w:w w:val="105"/>
          <w:sz w:val="18"/>
        </w:rPr>
        <w:t> </w:t>
      </w:r>
      <w:r>
        <w:rPr>
          <w:rFonts w:ascii="Arial"/>
          <w:color w:val="231F20"/>
          <w:spacing w:val="-2"/>
          <w:w w:val="105"/>
          <w:sz w:val="18"/>
        </w:rPr>
        <w:t>Panel</w:t>
      </w:r>
    </w:p>
    <w:p>
      <w:pPr>
        <w:tabs>
          <w:tab w:pos="3549" w:val="left" w:leader="none"/>
        </w:tabs>
        <w:spacing w:line="200" w:lineRule="exact" w:before="0"/>
        <w:ind w:left="2472" w:right="0" w:firstLine="0"/>
        <w:jc w:val="left"/>
        <w:rPr>
          <w:rFonts w:ascii="Arial"/>
          <w:sz w:val="18"/>
        </w:rPr>
      </w:pPr>
      <w:r>
        <w:rPr>
          <w:rFonts w:ascii="Arial"/>
          <w:color w:val="231F20"/>
          <w:spacing w:val="-5"/>
          <w:w w:val="150"/>
          <w:sz w:val="18"/>
        </w:rPr>
        <w:t>//</w:t>
      </w:r>
      <w:r>
        <w:rPr>
          <w:rFonts w:ascii="Arial"/>
          <w:color w:val="231F20"/>
          <w:sz w:val="18"/>
        </w:rPr>
        <w:tab/>
      </w:r>
      <w:r>
        <w:rPr>
          <w:rFonts w:ascii="Arial"/>
          <w:color w:val="231F20"/>
          <w:w w:val="110"/>
          <w:sz w:val="18"/>
        </w:rPr>
        <w:t>16,</w:t>
      </w:r>
      <w:r>
        <w:rPr>
          <w:rFonts w:ascii="Arial"/>
          <w:color w:val="231F20"/>
          <w:spacing w:val="6"/>
          <w:w w:val="110"/>
          <w:sz w:val="18"/>
        </w:rPr>
        <w:t> </w:t>
      </w:r>
      <w:r>
        <w:rPr>
          <w:rFonts w:ascii="Arial"/>
          <w:color w:val="231F20"/>
          <w:w w:val="110"/>
          <w:sz w:val="18"/>
        </w:rPr>
        <w:t>signon</w:t>
      </w:r>
      <w:r>
        <w:rPr>
          <w:rFonts w:ascii="Arial"/>
          <w:color w:val="231F20"/>
          <w:spacing w:val="6"/>
          <w:w w:val="110"/>
          <w:sz w:val="18"/>
        </w:rPr>
        <w:t> </w:t>
      </w:r>
      <w:r>
        <w:rPr>
          <w:rFonts w:ascii="Arial"/>
          <w:color w:val="231F20"/>
          <w:spacing w:val="-4"/>
          <w:w w:val="110"/>
          <w:sz w:val="18"/>
        </w:rPr>
        <w:t>error</w:t>
      </w:r>
    </w:p>
    <w:p>
      <w:pPr>
        <w:tabs>
          <w:tab w:pos="3549" w:val="left" w:leader="none"/>
        </w:tabs>
        <w:spacing w:line="203" w:lineRule="exact" w:before="0"/>
        <w:ind w:left="2472" w:right="0" w:firstLine="0"/>
        <w:jc w:val="left"/>
        <w:rPr>
          <w:rFonts w:ascii="Arial"/>
          <w:sz w:val="18"/>
        </w:rPr>
      </w:pPr>
      <w:r>
        <w:rPr>
          <w:rFonts w:ascii="Arial"/>
          <w:color w:val="231F20"/>
          <w:spacing w:val="-5"/>
          <w:w w:val="150"/>
          <w:sz w:val="18"/>
        </w:rPr>
        <w:t>//</w:t>
      </w:r>
      <w:r>
        <w:rPr>
          <w:rFonts w:ascii="Arial"/>
          <w:color w:val="231F20"/>
          <w:sz w:val="18"/>
        </w:rPr>
        <w:tab/>
      </w:r>
      <w:r>
        <w:rPr>
          <w:rFonts w:ascii="Arial"/>
          <w:color w:val="231F20"/>
          <w:w w:val="90"/>
          <w:sz w:val="18"/>
        </w:rPr>
        <w:t>24,</w:t>
      </w:r>
      <w:r>
        <w:rPr>
          <w:rFonts w:ascii="Arial"/>
          <w:color w:val="231F20"/>
          <w:spacing w:val="23"/>
          <w:sz w:val="18"/>
        </w:rPr>
        <w:t> </w:t>
      </w:r>
      <w:r>
        <w:rPr>
          <w:rFonts w:ascii="Arial"/>
          <w:color w:val="231F20"/>
          <w:w w:val="90"/>
          <w:sz w:val="18"/>
        </w:rPr>
        <w:t>no</w:t>
      </w:r>
      <w:r>
        <w:rPr>
          <w:rFonts w:ascii="Arial"/>
          <w:color w:val="231F20"/>
          <w:spacing w:val="24"/>
          <w:sz w:val="18"/>
        </w:rPr>
        <w:t> </w:t>
      </w:r>
      <w:r>
        <w:rPr>
          <w:rFonts w:ascii="Arial"/>
          <w:color w:val="231F20"/>
          <w:w w:val="90"/>
          <w:sz w:val="18"/>
        </w:rPr>
        <w:t>command</w:t>
      </w:r>
      <w:r>
        <w:rPr>
          <w:rFonts w:ascii="Arial"/>
          <w:color w:val="231F20"/>
          <w:spacing w:val="23"/>
          <w:sz w:val="18"/>
        </w:rPr>
        <w:t> </w:t>
      </w:r>
      <w:r>
        <w:rPr>
          <w:rFonts w:ascii="Arial"/>
          <w:color w:val="231F20"/>
          <w:spacing w:val="-2"/>
          <w:w w:val="90"/>
          <w:sz w:val="18"/>
        </w:rPr>
        <w:t>Panel</w:t>
      </w:r>
    </w:p>
    <w:p>
      <w:pPr>
        <w:pStyle w:val="BodyText"/>
        <w:spacing w:before="184"/>
        <w:rPr>
          <w:rFonts w:ascii="Arial"/>
          <w:sz w:val="18"/>
        </w:rPr>
      </w:pPr>
    </w:p>
    <w:p>
      <w:pPr>
        <w:spacing w:before="0"/>
        <w:ind w:left="2472" w:right="0" w:firstLine="0"/>
        <w:jc w:val="left"/>
        <w:rPr>
          <w:rFonts w:ascii="Arial"/>
          <w:sz w:val="18"/>
        </w:rPr>
      </w:pPr>
      <w:r>
        <w:rPr>
          <w:rFonts w:ascii="Arial"/>
          <w:color w:val="231F20"/>
          <w:w w:val="115"/>
          <w:sz w:val="18"/>
        </w:rPr>
        <w:t>int</w:t>
      </w:r>
      <w:r>
        <w:rPr>
          <w:rFonts w:ascii="Arial"/>
          <w:color w:val="231F20"/>
          <w:spacing w:val="14"/>
          <w:w w:val="115"/>
          <w:sz w:val="18"/>
        </w:rPr>
        <w:t> </w:t>
      </w:r>
      <w:r>
        <w:rPr>
          <w:rFonts w:ascii="Arial"/>
          <w:color w:val="231F20"/>
          <w:sz w:val="18"/>
        </w:rPr>
        <w:t>FUNCTION</w:t>
      </w:r>
      <w:r>
        <w:rPr>
          <w:rFonts w:ascii="Arial"/>
          <w:color w:val="231F20"/>
          <w:spacing w:val="17"/>
          <w:w w:val="110"/>
          <w:sz w:val="18"/>
        </w:rPr>
        <w:t> </w:t>
      </w:r>
      <w:r>
        <w:rPr>
          <w:rFonts w:ascii="Arial"/>
          <w:color w:val="231F20"/>
          <w:w w:val="110"/>
          <w:sz w:val="18"/>
        </w:rPr>
        <w:t>logon(string</w:t>
      </w:r>
      <w:r>
        <w:rPr>
          <w:rFonts w:ascii="Arial"/>
          <w:color w:val="231F20"/>
          <w:spacing w:val="17"/>
          <w:w w:val="110"/>
          <w:sz w:val="18"/>
        </w:rPr>
        <w:t> </w:t>
      </w:r>
      <w:r>
        <w:rPr>
          <w:rFonts w:ascii="Arial"/>
          <w:color w:val="231F20"/>
          <w:w w:val="110"/>
          <w:sz w:val="18"/>
        </w:rPr>
        <w:t>user,string</w:t>
      </w:r>
      <w:r>
        <w:rPr>
          <w:rFonts w:ascii="Arial"/>
          <w:color w:val="231F20"/>
          <w:spacing w:val="17"/>
          <w:w w:val="110"/>
          <w:sz w:val="18"/>
        </w:rPr>
        <w:t> </w:t>
      </w:r>
      <w:r>
        <w:rPr>
          <w:rFonts w:ascii="Arial"/>
          <w:color w:val="231F20"/>
          <w:spacing w:val="-2"/>
          <w:w w:val="110"/>
          <w:sz w:val="18"/>
        </w:rPr>
        <w:t>pswd)</w:t>
      </w:r>
    </w:p>
    <w:p>
      <w:pPr>
        <w:spacing w:after="0"/>
        <w:jc w:val="left"/>
        <w:rPr>
          <w:rFonts w:ascii="Arial"/>
          <w:sz w:val="18"/>
        </w:rPr>
        <w:sectPr>
          <w:pgSz w:w="12240" w:h="15840"/>
          <w:pgMar w:header="0" w:footer="736" w:top="1200" w:bottom="920" w:left="1000" w:right="1060"/>
        </w:sectPr>
      </w:pPr>
    </w:p>
    <w:p>
      <w:pPr>
        <w:spacing w:line="203" w:lineRule="exact" w:before="68"/>
        <w:ind w:left="2232" w:right="0" w:firstLine="0"/>
        <w:jc w:val="left"/>
        <w:rPr>
          <w:rFonts w:ascii="Arial"/>
          <w:sz w:val="18"/>
        </w:rPr>
      </w:pPr>
      <w:r>
        <w:rPr>
          <w:rFonts w:ascii="Arial"/>
          <w:color w:val="231F20"/>
          <w:spacing w:val="-10"/>
          <w:w w:val="150"/>
          <w:sz w:val="18"/>
        </w:rPr>
        <w:t>{</w:t>
      </w:r>
    </w:p>
    <w:p>
      <w:pPr>
        <w:spacing w:line="200" w:lineRule="exact" w:before="0"/>
        <w:ind w:left="2322" w:right="0" w:firstLine="0"/>
        <w:jc w:val="left"/>
        <w:rPr>
          <w:rFonts w:ascii="Arial"/>
          <w:sz w:val="18"/>
        </w:rPr>
      </w:pPr>
      <w:r>
        <w:rPr>
          <w:rFonts w:ascii="Arial"/>
          <w:color w:val="231F20"/>
          <w:spacing w:val="19"/>
          <w:w w:val="115"/>
          <w:sz w:val="18"/>
        </w:rPr>
        <w:t>rc</w:t>
      </w:r>
      <w:r>
        <w:rPr>
          <w:rFonts w:ascii="Arial"/>
          <w:color w:val="231F20"/>
          <w:spacing w:val="-15"/>
          <w:w w:val="115"/>
          <w:sz w:val="18"/>
        </w:rPr>
        <w:t> </w:t>
      </w:r>
      <w:r>
        <w:rPr>
          <w:rFonts w:ascii="Arial"/>
          <w:color w:val="231F20"/>
          <w:w w:val="115"/>
          <w:sz w:val="18"/>
        </w:rPr>
        <w:t>=</w:t>
      </w:r>
      <w:r>
        <w:rPr>
          <w:rFonts w:ascii="Arial"/>
          <w:color w:val="231F20"/>
          <w:spacing w:val="15"/>
          <w:w w:val="115"/>
          <w:sz w:val="18"/>
        </w:rPr>
        <w:t> </w:t>
      </w:r>
      <w:r>
        <w:rPr>
          <w:rFonts w:ascii="Arial"/>
          <w:color w:val="231F20"/>
          <w:spacing w:val="-7"/>
          <w:w w:val="115"/>
          <w:sz w:val="18"/>
        </w:rPr>
        <w:t>0;</w:t>
      </w:r>
    </w:p>
    <w:p>
      <w:pPr>
        <w:spacing w:line="230" w:lineRule="auto" w:before="3"/>
        <w:ind w:left="2412" w:right="5052" w:hanging="90"/>
        <w:jc w:val="left"/>
        <w:rPr>
          <w:rFonts w:ascii="Arial"/>
          <w:sz w:val="18"/>
        </w:rPr>
      </w:pPr>
      <w:r>
        <w:rPr>
          <w:rFonts w:ascii="Arial"/>
          <w:color w:val="231F20"/>
          <w:w w:val="175"/>
          <w:sz w:val="18"/>
        </w:rPr>
        <w:t>if</w:t>
      </w:r>
      <w:r>
        <w:rPr>
          <w:rFonts w:ascii="Arial"/>
          <w:color w:val="231F20"/>
          <w:spacing w:val="-18"/>
          <w:w w:val="175"/>
          <w:sz w:val="18"/>
        </w:rPr>
        <w:t> </w:t>
      </w:r>
      <w:r>
        <w:rPr>
          <w:rFonts w:ascii="Arial"/>
          <w:color w:val="231F20"/>
          <w:w w:val="120"/>
          <w:sz w:val="18"/>
        </w:rPr>
        <w:t>(user</w:t>
      </w:r>
      <w:r>
        <w:rPr>
          <w:rFonts w:ascii="Arial"/>
          <w:color w:val="231F20"/>
          <w:spacing w:val="10"/>
          <w:w w:val="120"/>
          <w:sz w:val="18"/>
        </w:rPr>
        <w:t> </w:t>
      </w:r>
      <w:r>
        <w:rPr>
          <w:rFonts w:ascii="Arial"/>
          <w:color w:val="231F20"/>
          <w:w w:val="105"/>
          <w:sz w:val="18"/>
        </w:rPr>
        <w:t>==</w:t>
      </w:r>
      <w:r>
        <w:rPr>
          <w:rFonts w:ascii="Arial"/>
          <w:color w:val="231F20"/>
          <w:spacing w:val="10"/>
          <w:w w:val="120"/>
          <w:sz w:val="18"/>
        </w:rPr>
        <w:t> </w:t>
      </w:r>
      <w:r>
        <w:rPr>
          <w:rFonts w:ascii="Arial"/>
          <w:color w:val="231F20"/>
          <w:w w:val="120"/>
          <w:sz w:val="18"/>
        </w:rPr>
        <w:t>null</w:t>
      </w:r>
      <w:r>
        <w:rPr>
          <w:rFonts w:ascii="Arial"/>
          <w:color w:val="231F20"/>
          <w:spacing w:val="-18"/>
          <w:w w:val="175"/>
          <w:sz w:val="18"/>
        </w:rPr>
        <w:t> </w:t>
      </w:r>
      <w:r>
        <w:rPr>
          <w:rFonts w:ascii="Arial"/>
          <w:color w:val="231F20"/>
          <w:w w:val="175"/>
          <w:sz w:val="18"/>
        </w:rPr>
        <w:t>||</w:t>
      </w:r>
      <w:r>
        <w:rPr>
          <w:rFonts w:ascii="Arial"/>
          <w:color w:val="231F20"/>
          <w:spacing w:val="-18"/>
          <w:w w:val="175"/>
          <w:sz w:val="18"/>
        </w:rPr>
        <w:t> </w:t>
      </w:r>
      <w:r>
        <w:rPr>
          <w:rFonts w:ascii="Arial"/>
          <w:color w:val="231F20"/>
          <w:w w:val="120"/>
          <w:sz w:val="18"/>
        </w:rPr>
        <w:t>user</w:t>
      </w:r>
      <w:r>
        <w:rPr>
          <w:rFonts w:ascii="Arial"/>
          <w:color w:val="231F20"/>
          <w:spacing w:val="10"/>
          <w:w w:val="120"/>
          <w:sz w:val="18"/>
        </w:rPr>
        <w:t> </w:t>
      </w:r>
      <w:r>
        <w:rPr>
          <w:rFonts w:ascii="Arial"/>
          <w:color w:val="231F20"/>
          <w:w w:val="105"/>
          <w:sz w:val="18"/>
        </w:rPr>
        <w:t>==</w:t>
      </w:r>
      <w:r>
        <w:rPr>
          <w:rFonts w:ascii="Arial"/>
          <w:color w:val="231F20"/>
          <w:w w:val="130"/>
          <w:sz w:val="18"/>
        </w:rPr>
        <w:t> </w:t>
      </w:r>
      <w:r>
        <w:rPr>
          <w:rFonts w:ascii="Arial"/>
          <w:color w:val="231F20"/>
          <w:w w:val="130"/>
          <w:sz w:val="18"/>
        </w:rPr>
        <w:t>"") </w:t>
      </w:r>
      <w:r>
        <w:rPr>
          <w:rFonts w:ascii="Arial"/>
          <w:color w:val="231F20"/>
          <w:w w:val="120"/>
          <w:sz w:val="18"/>
        </w:rPr>
        <w:t>return</w:t>
      </w:r>
      <w:r>
        <w:rPr>
          <w:rFonts w:ascii="Arial"/>
          <w:color w:val="231F20"/>
          <w:w w:val="120"/>
          <w:sz w:val="18"/>
        </w:rPr>
        <w:t> 1;</w:t>
      </w:r>
    </w:p>
    <w:p>
      <w:pPr>
        <w:spacing w:line="230" w:lineRule="auto" w:before="201"/>
        <w:ind w:left="2322" w:right="3707" w:firstLine="0"/>
        <w:jc w:val="left"/>
        <w:rPr>
          <w:rFonts w:ascii="Arial"/>
          <w:sz w:val="18"/>
        </w:rPr>
      </w:pPr>
      <w:r>
        <w:rPr>
          <w:rFonts w:ascii="Arial"/>
          <w:color w:val="231F20"/>
          <w:spacing w:val="-2"/>
          <w:sz w:val="18"/>
        </w:rPr>
        <w:t>sendkey("HOME"); sendkey("TAB");sendkey("TAB");sendkey("TAB"); </w:t>
      </w:r>
      <w:r>
        <w:rPr>
          <w:rFonts w:ascii="Arial"/>
          <w:color w:val="231F20"/>
          <w:w w:val="115"/>
          <w:sz w:val="18"/>
        </w:rPr>
        <w:t>sendstring("VGMVH");</w:t>
      </w:r>
      <w:r>
        <w:rPr>
          <w:rFonts w:ascii="Arial"/>
          <w:color w:val="231F20"/>
          <w:spacing w:val="-18"/>
          <w:w w:val="150"/>
          <w:sz w:val="18"/>
        </w:rPr>
        <w:t> </w:t>
      </w:r>
      <w:r>
        <w:rPr>
          <w:rFonts w:ascii="Arial"/>
          <w:color w:val="231F20"/>
          <w:w w:val="150"/>
          <w:sz w:val="18"/>
        </w:rPr>
        <w:t>//</w:t>
      </w:r>
      <w:r>
        <w:rPr>
          <w:rFonts w:ascii="Arial"/>
          <w:color w:val="231F20"/>
          <w:spacing w:val="-17"/>
          <w:w w:val="150"/>
          <w:sz w:val="18"/>
        </w:rPr>
        <w:t> </w:t>
      </w:r>
      <w:r>
        <w:rPr>
          <w:rFonts w:ascii="Arial"/>
          <w:color w:val="231F20"/>
          <w:w w:val="115"/>
          <w:sz w:val="18"/>
        </w:rPr>
        <w:t>applid </w:t>
      </w:r>
      <w:r>
        <w:rPr>
          <w:rFonts w:ascii="Arial"/>
          <w:color w:val="231F20"/>
          <w:spacing w:val="-2"/>
          <w:w w:val="115"/>
          <w:sz w:val="18"/>
        </w:rPr>
        <w:t>waitforscreen();</w:t>
      </w:r>
    </w:p>
    <w:p>
      <w:pPr>
        <w:spacing w:line="204" w:lineRule="exact" w:before="0"/>
        <w:ind w:left="2322" w:right="0" w:firstLine="0"/>
        <w:jc w:val="left"/>
        <w:rPr>
          <w:rFonts w:ascii="Arial"/>
          <w:sz w:val="18"/>
        </w:rPr>
      </w:pPr>
      <w:r>
        <w:rPr>
          <w:rFonts w:ascii="Arial"/>
          <w:color w:val="231F20"/>
          <w:w w:val="110"/>
          <w:sz w:val="18"/>
        </w:rPr>
        <w:t>waitforscreen();</w:t>
      </w:r>
      <w:r>
        <w:rPr>
          <w:rFonts w:ascii="Arial"/>
          <w:color w:val="231F20"/>
          <w:spacing w:val="-16"/>
          <w:w w:val="150"/>
          <w:sz w:val="18"/>
        </w:rPr>
        <w:t> </w:t>
      </w:r>
      <w:r>
        <w:rPr>
          <w:rFonts w:ascii="Arial"/>
          <w:color w:val="231F20"/>
          <w:w w:val="150"/>
          <w:sz w:val="18"/>
        </w:rPr>
        <w:t>//</w:t>
      </w:r>
      <w:r>
        <w:rPr>
          <w:rFonts w:ascii="Arial"/>
          <w:color w:val="231F20"/>
          <w:spacing w:val="-16"/>
          <w:w w:val="150"/>
          <w:sz w:val="18"/>
        </w:rPr>
        <w:t> </w:t>
      </w:r>
      <w:r>
        <w:rPr>
          <w:rFonts w:ascii="Arial"/>
          <w:color w:val="231F20"/>
          <w:sz w:val="18"/>
        </w:rPr>
        <w:t>OV</w:t>
      </w:r>
      <w:r>
        <w:rPr>
          <w:rFonts w:ascii="Arial"/>
          <w:color w:val="231F20"/>
          <w:spacing w:val="4"/>
          <w:w w:val="110"/>
          <w:sz w:val="18"/>
        </w:rPr>
        <w:t> </w:t>
      </w:r>
      <w:r>
        <w:rPr>
          <w:rFonts w:ascii="Arial"/>
          <w:color w:val="231F20"/>
          <w:w w:val="110"/>
          <w:sz w:val="18"/>
        </w:rPr>
        <w:t>sends</w:t>
      </w:r>
      <w:r>
        <w:rPr>
          <w:rFonts w:ascii="Arial"/>
          <w:color w:val="231F20"/>
          <w:spacing w:val="4"/>
          <w:w w:val="110"/>
          <w:sz w:val="18"/>
        </w:rPr>
        <w:t> </w:t>
      </w:r>
      <w:r>
        <w:rPr>
          <w:rFonts w:ascii="Arial"/>
          <w:color w:val="231F20"/>
          <w:w w:val="110"/>
          <w:sz w:val="18"/>
        </w:rPr>
        <w:t>two</w:t>
      </w:r>
      <w:r>
        <w:rPr>
          <w:rFonts w:ascii="Arial"/>
          <w:color w:val="231F20"/>
          <w:spacing w:val="4"/>
          <w:w w:val="110"/>
          <w:sz w:val="18"/>
        </w:rPr>
        <w:t> </w:t>
      </w:r>
      <w:r>
        <w:rPr>
          <w:rFonts w:ascii="Arial"/>
          <w:color w:val="231F20"/>
          <w:w w:val="110"/>
          <w:sz w:val="18"/>
        </w:rPr>
        <w:t>screens</w:t>
      </w:r>
      <w:r>
        <w:rPr>
          <w:rFonts w:ascii="Arial"/>
          <w:color w:val="231F20"/>
          <w:spacing w:val="4"/>
          <w:w w:val="110"/>
          <w:sz w:val="18"/>
        </w:rPr>
        <w:t> </w:t>
      </w:r>
      <w:r>
        <w:rPr>
          <w:rFonts w:ascii="Arial"/>
          <w:color w:val="231F20"/>
          <w:spacing w:val="-2"/>
          <w:w w:val="110"/>
          <w:sz w:val="18"/>
        </w:rPr>
        <w:t>(unlock)</w:t>
      </w:r>
    </w:p>
    <w:p>
      <w:pPr>
        <w:spacing w:line="203" w:lineRule="exact" w:before="192"/>
        <w:ind w:left="2322" w:right="0" w:firstLine="0"/>
        <w:jc w:val="left"/>
        <w:rPr>
          <w:rFonts w:ascii="Arial"/>
          <w:sz w:val="18"/>
        </w:rPr>
      </w:pPr>
      <w:r>
        <w:rPr>
          <w:rFonts w:ascii="Arial"/>
          <w:color w:val="231F20"/>
          <w:w w:val="115"/>
          <w:sz w:val="18"/>
        </w:rPr>
        <w:t>while</w:t>
      </w:r>
      <w:r>
        <w:rPr>
          <w:rFonts w:ascii="Arial"/>
          <w:color w:val="231F20"/>
          <w:spacing w:val="6"/>
          <w:w w:val="115"/>
          <w:sz w:val="18"/>
        </w:rPr>
        <w:t> </w:t>
      </w:r>
      <w:r>
        <w:rPr>
          <w:rFonts w:ascii="Arial"/>
          <w:color w:val="231F20"/>
          <w:spacing w:val="-5"/>
          <w:w w:val="115"/>
          <w:sz w:val="18"/>
        </w:rPr>
        <w:t>(1)</w:t>
      </w:r>
    </w:p>
    <w:p>
      <w:pPr>
        <w:spacing w:line="203" w:lineRule="exact" w:before="0"/>
        <w:ind w:left="2322" w:right="0" w:firstLine="0"/>
        <w:jc w:val="left"/>
        <w:rPr>
          <w:rFonts w:ascii="Arial"/>
          <w:sz w:val="18"/>
        </w:rPr>
      </w:pPr>
      <w:r>
        <w:rPr>
          <w:rFonts w:ascii="Arial"/>
          <w:color w:val="231F20"/>
          <w:spacing w:val="-10"/>
          <w:w w:val="150"/>
          <w:sz w:val="18"/>
        </w:rPr>
        <w:t>{</w:t>
      </w:r>
    </w:p>
    <w:p>
      <w:pPr>
        <w:spacing w:line="196" w:lineRule="exact" w:before="0"/>
        <w:ind w:left="2502" w:right="0" w:firstLine="0"/>
        <w:jc w:val="left"/>
        <w:rPr>
          <w:rFonts w:ascii="Arial"/>
          <w:sz w:val="18"/>
        </w:rPr>
      </w:pPr>
      <w:r>
        <w:rPr>
          <w:rFonts w:ascii="Arial"/>
          <w:color w:val="231F20"/>
          <w:w w:val="150"/>
          <w:sz w:val="18"/>
        </w:rPr>
        <w:t>if(</w:t>
      </w:r>
      <w:r>
        <w:rPr>
          <w:rFonts w:ascii="Arial"/>
          <w:color w:val="231F20"/>
          <w:w w:val="150"/>
          <w:sz w:val="18"/>
        </w:rPr>
        <w:t> </w:t>
      </w:r>
      <w:r>
        <w:rPr>
          <w:rFonts w:ascii="Arial"/>
          <w:color w:val="231F20"/>
          <w:w w:val="115"/>
          <w:sz w:val="18"/>
        </w:rPr>
        <w:t>findString("Press</w:t>
      </w:r>
      <w:r>
        <w:rPr>
          <w:rFonts w:ascii="Arial"/>
          <w:color w:val="231F20"/>
          <w:spacing w:val="19"/>
          <w:w w:val="115"/>
          <w:sz w:val="18"/>
        </w:rPr>
        <w:t> </w:t>
      </w:r>
      <w:r>
        <w:rPr>
          <w:rFonts w:ascii="Arial"/>
          <w:color w:val="231F20"/>
          <w:w w:val="115"/>
          <w:sz w:val="18"/>
        </w:rPr>
        <w:t>Enter</w:t>
      </w:r>
      <w:r>
        <w:rPr>
          <w:rFonts w:ascii="Arial"/>
          <w:color w:val="231F20"/>
          <w:spacing w:val="18"/>
          <w:w w:val="115"/>
          <w:sz w:val="18"/>
        </w:rPr>
        <w:t> </w:t>
      </w:r>
      <w:r>
        <w:rPr>
          <w:rFonts w:ascii="Arial"/>
          <w:color w:val="231F20"/>
          <w:w w:val="115"/>
          <w:sz w:val="18"/>
        </w:rPr>
        <w:t>to</w:t>
      </w:r>
      <w:r>
        <w:rPr>
          <w:rFonts w:ascii="Arial"/>
          <w:color w:val="231F20"/>
          <w:spacing w:val="18"/>
          <w:w w:val="115"/>
          <w:sz w:val="18"/>
        </w:rPr>
        <w:t> </w:t>
      </w:r>
      <w:r>
        <w:rPr>
          <w:rFonts w:ascii="Arial"/>
          <w:color w:val="231F20"/>
          <w:w w:val="115"/>
          <w:sz w:val="18"/>
        </w:rPr>
        <w:t>begin")</w:t>
      </w:r>
      <w:r>
        <w:rPr>
          <w:rFonts w:ascii="Arial"/>
          <w:color w:val="231F20"/>
          <w:spacing w:val="19"/>
          <w:w w:val="115"/>
          <w:sz w:val="18"/>
        </w:rPr>
        <w:t> </w:t>
      </w:r>
      <w:r>
        <w:rPr>
          <w:rFonts w:ascii="Arial"/>
          <w:color w:val="231F20"/>
          <w:w w:val="115"/>
          <w:sz w:val="18"/>
        </w:rPr>
        <w:t>&lt;</w:t>
      </w:r>
      <w:r>
        <w:rPr>
          <w:rFonts w:ascii="Arial"/>
          <w:color w:val="231F20"/>
          <w:spacing w:val="18"/>
          <w:w w:val="115"/>
          <w:sz w:val="18"/>
        </w:rPr>
        <w:t> </w:t>
      </w:r>
      <w:r>
        <w:rPr>
          <w:rFonts w:ascii="Arial"/>
          <w:color w:val="231F20"/>
          <w:spacing w:val="-5"/>
          <w:w w:val="115"/>
          <w:sz w:val="18"/>
        </w:rPr>
        <w:t>0)</w:t>
      </w:r>
    </w:p>
    <w:p>
      <w:pPr>
        <w:spacing w:line="203" w:lineRule="exact" w:before="0"/>
        <w:ind w:left="2502" w:right="0" w:firstLine="0"/>
        <w:jc w:val="left"/>
        <w:rPr>
          <w:rFonts w:ascii="Arial"/>
          <w:sz w:val="18"/>
        </w:rPr>
      </w:pPr>
      <w:r>
        <w:rPr>
          <w:rFonts w:ascii="Arial"/>
          <w:color w:val="231F20"/>
          <w:spacing w:val="-10"/>
          <w:w w:val="150"/>
          <w:sz w:val="18"/>
        </w:rPr>
        <w:t>{</w:t>
      </w:r>
    </w:p>
    <w:p>
      <w:pPr>
        <w:spacing w:line="230" w:lineRule="auto" w:before="0"/>
        <w:ind w:left="2681" w:right="6351" w:firstLine="0"/>
        <w:jc w:val="left"/>
        <w:rPr>
          <w:rFonts w:ascii="Arial"/>
          <w:sz w:val="18"/>
        </w:rPr>
      </w:pPr>
      <w:r>
        <w:rPr>
          <w:rFonts w:ascii="Arial"/>
          <w:color w:val="231F20"/>
          <w:spacing w:val="19"/>
          <w:w w:val="115"/>
          <w:sz w:val="18"/>
        </w:rPr>
        <w:t>rc</w:t>
      </w:r>
      <w:r>
        <w:rPr>
          <w:rFonts w:ascii="Arial"/>
          <w:color w:val="231F20"/>
          <w:spacing w:val="-15"/>
          <w:w w:val="115"/>
          <w:sz w:val="18"/>
        </w:rPr>
        <w:t> </w:t>
      </w:r>
      <w:r>
        <w:rPr>
          <w:rFonts w:ascii="Arial"/>
          <w:color w:val="231F20"/>
          <w:w w:val="115"/>
          <w:sz w:val="18"/>
        </w:rPr>
        <w:t>=</w:t>
      </w:r>
      <w:r>
        <w:rPr>
          <w:rFonts w:ascii="Arial"/>
          <w:color w:val="231F20"/>
          <w:w w:val="115"/>
          <w:sz w:val="18"/>
        </w:rPr>
        <w:t> </w:t>
      </w:r>
      <w:r>
        <w:rPr>
          <w:rFonts w:ascii="Arial"/>
          <w:color w:val="231F20"/>
          <w:w w:val="115"/>
          <w:sz w:val="18"/>
        </w:rPr>
        <w:t>4; </w:t>
      </w:r>
      <w:r>
        <w:rPr>
          <w:rFonts w:ascii="Arial"/>
          <w:color w:val="231F20"/>
          <w:spacing w:val="-2"/>
          <w:w w:val="115"/>
          <w:sz w:val="18"/>
        </w:rPr>
        <w:t>break;</w:t>
      </w:r>
    </w:p>
    <w:p>
      <w:pPr>
        <w:spacing w:line="202" w:lineRule="exact" w:before="0"/>
        <w:ind w:left="2502" w:right="0" w:firstLine="0"/>
        <w:jc w:val="left"/>
        <w:rPr>
          <w:rFonts w:ascii="Arial"/>
          <w:sz w:val="18"/>
        </w:rPr>
      </w:pPr>
      <w:r>
        <w:rPr>
          <w:rFonts w:ascii="Arial"/>
          <w:color w:val="231F20"/>
          <w:spacing w:val="-10"/>
          <w:w w:val="150"/>
          <w:sz w:val="18"/>
        </w:rPr>
        <w:t>}</w:t>
      </w:r>
    </w:p>
    <w:p>
      <w:pPr>
        <w:spacing w:line="230" w:lineRule="auto" w:before="0"/>
        <w:ind w:left="2502" w:right="5052" w:firstLine="89"/>
        <w:jc w:val="left"/>
        <w:rPr>
          <w:rFonts w:ascii="Arial"/>
          <w:sz w:val="18"/>
        </w:rPr>
      </w:pPr>
      <w:r>
        <w:rPr>
          <w:rFonts w:ascii="Arial"/>
          <w:color w:val="231F20"/>
          <w:spacing w:val="-2"/>
          <w:w w:val="135"/>
          <w:sz w:val="18"/>
        </w:rPr>
        <w:t>//</w:t>
      </w:r>
      <w:r>
        <w:rPr>
          <w:rFonts w:ascii="Arial"/>
          <w:color w:val="231F20"/>
          <w:spacing w:val="-10"/>
          <w:w w:val="135"/>
          <w:sz w:val="18"/>
        </w:rPr>
        <w:t> </w:t>
      </w:r>
      <w:r>
        <w:rPr>
          <w:rFonts w:ascii="Arial"/>
          <w:color w:val="231F20"/>
          <w:spacing w:val="-2"/>
          <w:sz w:val="18"/>
        </w:rPr>
        <w:t>We</w:t>
      </w:r>
      <w:r>
        <w:rPr>
          <w:rFonts w:ascii="Arial"/>
          <w:color w:val="231F20"/>
          <w:spacing w:val="5"/>
          <w:w w:val="105"/>
          <w:sz w:val="18"/>
        </w:rPr>
        <w:t> </w:t>
      </w:r>
      <w:r>
        <w:rPr>
          <w:rFonts w:ascii="Arial"/>
          <w:color w:val="231F20"/>
          <w:spacing w:val="-2"/>
          <w:w w:val="105"/>
          <w:sz w:val="18"/>
        </w:rPr>
        <w:t>have</w:t>
      </w:r>
      <w:r>
        <w:rPr>
          <w:rFonts w:ascii="Arial"/>
          <w:color w:val="231F20"/>
          <w:spacing w:val="6"/>
          <w:w w:val="105"/>
          <w:sz w:val="18"/>
        </w:rPr>
        <w:t> </w:t>
      </w:r>
      <w:r>
        <w:rPr>
          <w:rFonts w:ascii="Arial"/>
          <w:color w:val="231F20"/>
          <w:spacing w:val="-2"/>
          <w:w w:val="105"/>
          <w:sz w:val="18"/>
        </w:rPr>
        <w:t>the</w:t>
      </w:r>
      <w:r>
        <w:rPr>
          <w:rFonts w:ascii="Arial"/>
          <w:color w:val="231F20"/>
          <w:spacing w:val="5"/>
          <w:w w:val="105"/>
          <w:sz w:val="18"/>
        </w:rPr>
        <w:t> </w:t>
      </w:r>
      <w:r>
        <w:rPr>
          <w:rFonts w:ascii="Arial"/>
          <w:color w:val="231F20"/>
          <w:spacing w:val="-2"/>
          <w:w w:val="105"/>
          <w:sz w:val="18"/>
        </w:rPr>
        <w:t>Logo</w:t>
      </w:r>
      <w:r>
        <w:rPr>
          <w:rFonts w:ascii="Arial"/>
          <w:color w:val="231F20"/>
          <w:spacing w:val="5"/>
          <w:w w:val="105"/>
          <w:sz w:val="18"/>
        </w:rPr>
        <w:t> </w:t>
      </w:r>
      <w:r>
        <w:rPr>
          <w:rFonts w:ascii="Arial"/>
          <w:color w:val="231F20"/>
          <w:spacing w:val="-2"/>
          <w:w w:val="105"/>
          <w:sz w:val="18"/>
        </w:rPr>
        <w:t>screen setCursor(1,1); sendkey("ENTER"); waitforScreen();</w:t>
      </w:r>
    </w:p>
    <w:p>
      <w:pPr>
        <w:spacing w:line="230" w:lineRule="auto" w:before="201"/>
        <w:ind w:left="2592" w:right="4803" w:hanging="90"/>
        <w:jc w:val="left"/>
        <w:rPr>
          <w:rFonts w:ascii="Arial"/>
          <w:sz w:val="18"/>
        </w:rPr>
      </w:pPr>
      <w:r>
        <w:rPr>
          <w:rFonts w:ascii="Arial"/>
          <w:color w:val="231F20"/>
          <w:w w:val="170"/>
          <w:sz w:val="18"/>
        </w:rPr>
        <w:t>//</w:t>
      </w:r>
      <w:r>
        <w:rPr>
          <w:rFonts w:ascii="Arial"/>
          <w:color w:val="231F20"/>
          <w:spacing w:val="-10"/>
          <w:w w:val="170"/>
          <w:sz w:val="18"/>
        </w:rPr>
        <w:t> </w:t>
      </w:r>
      <w:r>
        <w:rPr>
          <w:rFonts w:ascii="Arial"/>
          <w:color w:val="231F20"/>
          <w:sz w:val="18"/>
        </w:rPr>
        <w:t>Did</w:t>
      </w:r>
      <w:r>
        <w:rPr>
          <w:rFonts w:ascii="Arial"/>
          <w:color w:val="231F20"/>
          <w:spacing w:val="25"/>
          <w:sz w:val="18"/>
        </w:rPr>
        <w:t> </w:t>
      </w:r>
      <w:r>
        <w:rPr>
          <w:rFonts w:ascii="Arial"/>
          <w:color w:val="231F20"/>
          <w:sz w:val="18"/>
        </w:rPr>
        <w:t>we</w:t>
      </w:r>
      <w:r>
        <w:rPr>
          <w:rFonts w:ascii="Arial"/>
          <w:color w:val="231F20"/>
          <w:spacing w:val="25"/>
          <w:sz w:val="18"/>
        </w:rPr>
        <w:t> </w:t>
      </w:r>
      <w:r>
        <w:rPr>
          <w:rFonts w:ascii="Arial"/>
          <w:color w:val="231F20"/>
          <w:sz w:val="18"/>
        </w:rPr>
        <w:t>get</w:t>
      </w:r>
      <w:r>
        <w:rPr>
          <w:rFonts w:ascii="Arial"/>
          <w:color w:val="231F20"/>
          <w:spacing w:val="25"/>
          <w:sz w:val="18"/>
        </w:rPr>
        <w:t> </w:t>
      </w:r>
      <w:r>
        <w:rPr>
          <w:rFonts w:ascii="Arial"/>
          <w:color w:val="231F20"/>
          <w:sz w:val="18"/>
        </w:rPr>
        <w:t>the</w:t>
      </w:r>
      <w:r>
        <w:rPr>
          <w:rFonts w:ascii="Arial"/>
          <w:color w:val="231F20"/>
          <w:spacing w:val="25"/>
          <w:sz w:val="18"/>
        </w:rPr>
        <w:t> </w:t>
      </w:r>
      <w:r>
        <w:rPr>
          <w:rFonts w:ascii="Arial"/>
          <w:color w:val="231F20"/>
          <w:sz w:val="18"/>
        </w:rPr>
        <w:t>Signon</w:t>
      </w:r>
      <w:r>
        <w:rPr>
          <w:rFonts w:ascii="Arial"/>
          <w:color w:val="231F20"/>
          <w:spacing w:val="25"/>
          <w:sz w:val="18"/>
        </w:rPr>
        <w:t> </w:t>
      </w:r>
      <w:r>
        <w:rPr>
          <w:rFonts w:ascii="Arial"/>
          <w:color w:val="231F20"/>
          <w:sz w:val="18"/>
        </w:rPr>
        <w:t>Panel? </w:t>
      </w:r>
      <w:r>
        <w:rPr>
          <w:rFonts w:ascii="Arial"/>
          <w:color w:val="231F20"/>
          <w:w w:val="170"/>
          <w:sz w:val="18"/>
        </w:rPr>
        <w:t>if</w:t>
      </w:r>
      <w:r>
        <w:rPr>
          <w:rFonts w:ascii="Arial"/>
          <w:color w:val="231F20"/>
          <w:w w:val="170"/>
          <w:sz w:val="18"/>
        </w:rPr>
        <w:t> </w:t>
      </w:r>
      <w:r>
        <w:rPr>
          <w:rFonts w:ascii="Arial"/>
          <w:color w:val="231F20"/>
          <w:sz w:val="18"/>
        </w:rPr>
        <w:t>(signonPanel()</w:t>
      </w:r>
      <w:r>
        <w:rPr>
          <w:rFonts w:ascii="Arial"/>
          <w:color w:val="231F20"/>
          <w:spacing w:val="40"/>
          <w:sz w:val="18"/>
        </w:rPr>
        <w:t> </w:t>
      </w:r>
      <w:r>
        <w:rPr>
          <w:rFonts w:ascii="Arial"/>
          <w:color w:val="231F20"/>
          <w:sz w:val="18"/>
        </w:rPr>
        <w:t>==</w:t>
      </w:r>
      <w:r>
        <w:rPr>
          <w:rFonts w:ascii="Arial"/>
          <w:color w:val="231F20"/>
          <w:spacing w:val="40"/>
          <w:sz w:val="18"/>
        </w:rPr>
        <w:t> </w:t>
      </w:r>
      <w:r>
        <w:rPr>
          <w:rFonts w:ascii="Arial"/>
          <w:color w:val="231F20"/>
          <w:sz w:val="18"/>
        </w:rPr>
        <w:t>FALSE)</w:t>
      </w:r>
    </w:p>
    <w:p>
      <w:pPr>
        <w:spacing w:line="198" w:lineRule="exact" w:before="0"/>
        <w:ind w:left="2771" w:right="0" w:firstLine="0"/>
        <w:jc w:val="left"/>
        <w:rPr>
          <w:rFonts w:ascii="Arial"/>
          <w:sz w:val="18"/>
        </w:rPr>
      </w:pPr>
      <w:r>
        <w:rPr>
          <w:rFonts w:ascii="Arial"/>
          <w:color w:val="231F20"/>
          <w:spacing w:val="-10"/>
          <w:w w:val="150"/>
          <w:sz w:val="18"/>
        </w:rPr>
        <w:t>{</w:t>
      </w:r>
    </w:p>
    <w:p>
      <w:pPr>
        <w:spacing w:line="230" w:lineRule="auto" w:before="3"/>
        <w:ind w:left="2951" w:right="5533" w:hanging="90"/>
        <w:jc w:val="left"/>
        <w:rPr>
          <w:rFonts w:ascii="Arial"/>
          <w:sz w:val="18"/>
        </w:rPr>
      </w:pPr>
      <w:r>
        <w:rPr>
          <w:rFonts w:ascii="Arial"/>
          <w:color w:val="231F20"/>
          <w:w w:val="105"/>
          <w:sz w:val="18"/>
        </w:rPr>
        <w:t>rc</w:t>
      </w:r>
      <w:r>
        <w:rPr>
          <w:rFonts w:ascii="Arial"/>
          <w:color w:val="231F20"/>
          <w:spacing w:val="19"/>
          <w:w w:val="105"/>
          <w:sz w:val="18"/>
        </w:rPr>
        <w:t> </w:t>
      </w:r>
      <w:r>
        <w:rPr>
          <w:rFonts w:ascii="Arial"/>
          <w:color w:val="231F20"/>
          <w:w w:val="105"/>
          <w:sz w:val="18"/>
        </w:rPr>
        <w:t>=</w:t>
      </w:r>
      <w:r>
        <w:rPr>
          <w:rFonts w:ascii="Arial"/>
          <w:color w:val="231F20"/>
          <w:spacing w:val="14"/>
          <w:w w:val="115"/>
          <w:sz w:val="18"/>
        </w:rPr>
        <w:t> </w:t>
      </w:r>
      <w:r>
        <w:rPr>
          <w:rFonts w:ascii="Arial"/>
          <w:color w:val="231F20"/>
          <w:w w:val="115"/>
          <w:sz w:val="18"/>
        </w:rPr>
        <w:t>8;</w:t>
      </w:r>
      <w:r>
        <w:rPr>
          <w:rFonts w:ascii="Arial"/>
          <w:color w:val="231F20"/>
          <w:spacing w:val="-4"/>
          <w:w w:val="150"/>
          <w:sz w:val="18"/>
        </w:rPr>
        <w:t> </w:t>
      </w:r>
      <w:r>
        <w:rPr>
          <w:rFonts w:ascii="Arial"/>
          <w:color w:val="231F20"/>
          <w:w w:val="150"/>
          <w:sz w:val="18"/>
        </w:rPr>
        <w:t>//</w:t>
      </w:r>
      <w:r>
        <w:rPr>
          <w:rFonts w:ascii="Arial"/>
          <w:color w:val="231F20"/>
          <w:spacing w:val="-4"/>
          <w:w w:val="150"/>
          <w:sz w:val="18"/>
        </w:rPr>
        <w:t> </w:t>
      </w:r>
      <w:r>
        <w:rPr>
          <w:rFonts w:ascii="Arial"/>
          <w:color w:val="231F20"/>
          <w:w w:val="105"/>
          <w:sz w:val="18"/>
        </w:rPr>
        <w:t>no</w:t>
      </w:r>
      <w:r>
        <w:rPr>
          <w:rFonts w:ascii="Arial"/>
          <w:color w:val="231F20"/>
          <w:spacing w:val="19"/>
          <w:w w:val="105"/>
          <w:sz w:val="18"/>
        </w:rPr>
        <w:t> </w:t>
      </w:r>
      <w:r>
        <w:rPr>
          <w:rFonts w:ascii="Arial"/>
          <w:color w:val="231F20"/>
          <w:w w:val="105"/>
          <w:sz w:val="18"/>
        </w:rPr>
        <w:t>Logo </w:t>
      </w:r>
      <w:r>
        <w:rPr>
          <w:rFonts w:ascii="Arial"/>
          <w:color w:val="231F20"/>
          <w:spacing w:val="-2"/>
          <w:w w:val="105"/>
          <w:sz w:val="18"/>
        </w:rPr>
        <w:t>break;</w:t>
      </w:r>
    </w:p>
    <w:p>
      <w:pPr>
        <w:spacing w:line="203" w:lineRule="exact" w:before="0"/>
        <w:ind w:left="2771" w:right="0" w:firstLine="0"/>
        <w:jc w:val="left"/>
        <w:rPr>
          <w:rFonts w:ascii="Arial"/>
          <w:sz w:val="18"/>
        </w:rPr>
      </w:pPr>
      <w:r>
        <w:rPr>
          <w:rFonts w:ascii="Arial"/>
          <w:color w:val="231F20"/>
          <w:spacing w:val="-10"/>
          <w:w w:val="150"/>
          <w:sz w:val="18"/>
        </w:rPr>
        <w:t>}</w:t>
      </w:r>
    </w:p>
    <w:p>
      <w:pPr>
        <w:spacing w:line="203" w:lineRule="exact" w:before="192"/>
        <w:ind w:left="2592" w:right="0" w:firstLine="0"/>
        <w:jc w:val="left"/>
        <w:rPr>
          <w:rFonts w:ascii="Arial"/>
          <w:sz w:val="18"/>
        </w:rPr>
      </w:pPr>
      <w:r>
        <w:rPr>
          <w:rFonts w:ascii="Arial"/>
          <w:color w:val="231F20"/>
          <w:w w:val="150"/>
          <w:sz w:val="18"/>
        </w:rPr>
        <w:t>//</w:t>
      </w:r>
      <w:r>
        <w:rPr>
          <w:rFonts w:ascii="Arial"/>
          <w:color w:val="231F20"/>
          <w:spacing w:val="-3"/>
          <w:w w:val="150"/>
          <w:sz w:val="18"/>
        </w:rPr>
        <w:t> </w:t>
      </w:r>
      <w:r>
        <w:rPr>
          <w:rFonts w:ascii="Arial"/>
          <w:color w:val="231F20"/>
          <w:sz w:val="18"/>
        </w:rPr>
        <w:t>do</w:t>
      </w:r>
      <w:r>
        <w:rPr>
          <w:rFonts w:ascii="Arial"/>
          <w:color w:val="231F20"/>
          <w:spacing w:val="22"/>
          <w:sz w:val="18"/>
        </w:rPr>
        <w:t> </w:t>
      </w:r>
      <w:r>
        <w:rPr>
          <w:rFonts w:ascii="Arial"/>
          <w:color w:val="231F20"/>
          <w:sz w:val="18"/>
        </w:rPr>
        <w:t>we</w:t>
      </w:r>
      <w:r>
        <w:rPr>
          <w:rFonts w:ascii="Arial"/>
          <w:color w:val="231F20"/>
          <w:spacing w:val="22"/>
          <w:sz w:val="18"/>
        </w:rPr>
        <w:t> </w:t>
      </w:r>
      <w:r>
        <w:rPr>
          <w:rFonts w:ascii="Arial"/>
          <w:color w:val="231F20"/>
          <w:sz w:val="18"/>
        </w:rPr>
        <w:t>have</w:t>
      </w:r>
      <w:r>
        <w:rPr>
          <w:rFonts w:ascii="Arial"/>
          <w:color w:val="231F20"/>
          <w:spacing w:val="22"/>
          <w:sz w:val="18"/>
        </w:rPr>
        <w:t> </w:t>
      </w:r>
      <w:r>
        <w:rPr>
          <w:rFonts w:ascii="Arial"/>
          <w:color w:val="231F20"/>
          <w:sz w:val="18"/>
        </w:rPr>
        <w:t>the</w:t>
      </w:r>
      <w:r>
        <w:rPr>
          <w:rFonts w:ascii="Arial"/>
          <w:color w:val="231F20"/>
          <w:spacing w:val="23"/>
          <w:sz w:val="18"/>
        </w:rPr>
        <w:t> </w:t>
      </w:r>
      <w:r>
        <w:rPr>
          <w:rFonts w:ascii="Arial"/>
          <w:color w:val="231F20"/>
          <w:sz w:val="18"/>
        </w:rPr>
        <w:t>F11</w:t>
      </w:r>
      <w:r>
        <w:rPr>
          <w:rFonts w:ascii="Arial"/>
          <w:color w:val="231F20"/>
          <w:spacing w:val="22"/>
          <w:sz w:val="18"/>
        </w:rPr>
        <w:t> </w:t>
      </w:r>
      <w:r>
        <w:rPr>
          <w:rFonts w:ascii="Arial"/>
          <w:color w:val="231F20"/>
          <w:spacing w:val="-2"/>
          <w:sz w:val="18"/>
        </w:rPr>
        <w:t>screen?</w:t>
      </w:r>
    </w:p>
    <w:p>
      <w:pPr>
        <w:spacing w:line="200" w:lineRule="exact" w:before="0"/>
        <w:ind w:left="2502" w:right="0" w:firstLine="0"/>
        <w:jc w:val="left"/>
        <w:rPr>
          <w:rFonts w:ascii="Arial"/>
          <w:sz w:val="18"/>
        </w:rPr>
      </w:pPr>
      <w:r>
        <w:rPr>
          <w:rFonts w:ascii="Arial"/>
          <w:color w:val="231F20"/>
          <w:w w:val="120"/>
          <w:sz w:val="18"/>
        </w:rPr>
        <w:t>if</w:t>
      </w:r>
      <w:r>
        <w:rPr>
          <w:rFonts w:ascii="Arial"/>
          <w:color w:val="231F20"/>
          <w:spacing w:val="-1"/>
          <w:w w:val="120"/>
          <w:sz w:val="18"/>
        </w:rPr>
        <w:t> </w:t>
      </w:r>
      <w:r>
        <w:rPr>
          <w:rFonts w:ascii="Arial"/>
          <w:color w:val="231F20"/>
          <w:w w:val="115"/>
          <w:sz w:val="18"/>
        </w:rPr>
        <w:t>(findString("F11=CMW")</w:t>
      </w:r>
      <w:r>
        <w:rPr>
          <w:rFonts w:ascii="Arial"/>
          <w:color w:val="231F20"/>
          <w:spacing w:val="2"/>
          <w:w w:val="115"/>
          <w:sz w:val="18"/>
        </w:rPr>
        <w:t> </w:t>
      </w:r>
      <w:r>
        <w:rPr>
          <w:rFonts w:ascii="Arial"/>
          <w:color w:val="231F20"/>
          <w:w w:val="115"/>
          <w:sz w:val="18"/>
        </w:rPr>
        <w:t>&lt;</w:t>
      </w:r>
      <w:r>
        <w:rPr>
          <w:rFonts w:ascii="Arial"/>
          <w:color w:val="231F20"/>
          <w:spacing w:val="1"/>
          <w:w w:val="115"/>
          <w:sz w:val="18"/>
        </w:rPr>
        <w:t> </w:t>
      </w:r>
      <w:r>
        <w:rPr>
          <w:rFonts w:ascii="Arial"/>
          <w:color w:val="231F20"/>
          <w:w w:val="115"/>
          <w:sz w:val="18"/>
        </w:rPr>
        <w:t>0)</w:t>
      </w:r>
      <w:r>
        <w:rPr>
          <w:rFonts w:ascii="Arial"/>
          <w:color w:val="231F20"/>
          <w:w w:val="120"/>
          <w:sz w:val="18"/>
        </w:rPr>
        <w:t> //</w:t>
      </w:r>
      <w:r>
        <w:rPr>
          <w:rFonts w:ascii="Arial"/>
          <w:color w:val="231F20"/>
          <w:spacing w:val="-1"/>
          <w:w w:val="120"/>
          <w:sz w:val="18"/>
        </w:rPr>
        <w:t> </w:t>
      </w:r>
      <w:r>
        <w:rPr>
          <w:rFonts w:ascii="Arial"/>
          <w:color w:val="231F20"/>
          <w:w w:val="115"/>
          <w:sz w:val="18"/>
        </w:rPr>
        <w:t>not</w:t>
      </w:r>
      <w:r>
        <w:rPr>
          <w:rFonts w:ascii="Arial"/>
          <w:color w:val="231F20"/>
          <w:spacing w:val="2"/>
          <w:w w:val="115"/>
          <w:sz w:val="18"/>
        </w:rPr>
        <w:t> </w:t>
      </w:r>
      <w:r>
        <w:rPr>
          <w:rFonts w:ascii="Arial"/>
          <w:color w:val="231F20"/>
          <w:spacing w:val="-2"/>
          <w:w w:val="115"/>
          <w:sz w:val="18"/>
        </w:rPr>
        <w:t>found</w:t>
      </w:r>
    </w:p>
    <w:p>
      <w:pPr>
        <w:spacing w:line="200" w:lineRule="exact" w:before="0"/>
        <w:ind w:left="2502" w:right="0" w:firstLine="0"/>
        <w:jc w:val="left"/>
        <w:rPr>
          <w:rFonts w:ascii="Arial"/>
          <w:sz w:val="18"/>
        </w:rPr>
      </w:pPr>
      <w:r>
        <w:rPr>
          <w:rFonts w:ascii="Arial"/>
          <w:color w:val="231F20"/>
          <w:spacing w:val="-10"/>
          <w:w w:val="150"/>
          <w:sz w:val="18"/>
        </w:rPr>
        <w:t>{</w:t>
      </w:r>
    </w:p>
    <w:p>
      <w:pPr>
        <w:spacing w:line="230" w:lineRule="auto" w:before="3"/>
        <w:ind w:left="2502" w:right="636" w:firstLine="0"/>
        <w:jc w:val="left"/>
        <w:rPr>
          <w:rFonts w:ascii="Arial"/>
          <w:sz w:val="18"/>
        </w:rPr>
      </w:pPr>
      <w:r>
        <w:rPr>
          <w:rFonts w:ascii="Arial"/>
          <w:color w:val="231F20"/>
          <w:w w:val="150"/>
          <w:sz w:val="18"/>
        </w:rPr>
        <w:t>//</w:t>
      </w:r>
      <w:r>
        <w:rPr>
          <w:rFonts w:ascii="Arial"/>
          <w:color w:val="231F20"/>
          <w:w w:val="150"/>
          <w:sz w:val="18"/>
        </w:rPr>
        <w:t> </w:t>
      </w:r>
      <w:r>
        <w:rPr>
          <w:rFonts w:ascii="Arial"/>
          <w:color w:val="231F20"/>
          <w:w w:val="110"/>
          <w:sz w:val="18"/>
        </w:rPr>
        <w:t>go</w:t>
      </w:r>
      <w:r>
        <w:rPr>
          <w:rFonts w:ascii="Arial"/>
          <w:color w:val="231F20"/>
          <w:spacing w:val="36"/>
          <w:w w:val="110"/>
          <w:sz w:val="18"/>
        </w:rPr>
        <w:t> </w:t>
      </w:r>
      <w:r>
        <w:rPr>
          <w:rFonts w:ascii="Arial"/>
          <w:color w:val="231F20"/>
          <w:w w:val="110"/>
          <w:sz w:val="18"/>
        </w:rPr>
        <w:t>the</w:t>
      </w:r>
      <w:r>
        <w:rPr>
          <w:rFonts w:ascii="Arial"/>
          <w:color w:val="231F20"/>
          <w:spacing w:val="36"/>
          <w:w w:val="110"/>
          <w:sz w:val="18"/>
        </w:rPr>
        <w:t> </w:t>
      </w:r>
      <w:r>
        <w:rPr>
          <w:rFonts w:ascii="Arial"/>
          <w:color w:val="231F20"/>
          <w:w w:val="110"/>
          <w:sz w:val="18"/>
        </w:rPr>
        <w:t>4th</w:t>
      </w:r>
      <w:r>
        <w:rPr>
          <w:rFonts w:ascii="Arial"/>
          <w:color w:val="231F20"/>
          <w:spacing w:val="33"/>
          <w:w w:val="115"/>
          <w:sz w:val="18"/>
        </w:rPr>
        <w:t> </w:t>
      </w:r>
      <w:r>
        <w:rPr>
          <w:rFonts w:ascii="Arial"/>
          <w:color w:val="231F20"/>
          <w:w w:val="115"/>
          <w:sz w:val="18"/>
        </w:rPr>
        <w:t>field</w:t>
      </w:r>
      <w:r>
        <w:rPr>
          <w:rFonts w:ascii="Arial"/>
          <w:color w:val="231F20"/>
          <w:spacing w:val="33"/>
          <w:w w:val="115"/>
          <w:sz w:val="18"/>
        </w:rPr>
        <w:t> </w:t>
      </w:r>
      <w:r>
        <w:rPr>
          <w:rFonts w:ascii="Arial"/>
          <w:color w:val="231F20"/>
          <w:w w:val="110"/>
          <w:sz w:val="18"/>
        </w:rPr>
        <w:t>and</w:t>
      </w:r>
      <w:r>
        <w:rPr>
          <w:rFonts w:ascii="Arial"/>
          <w:color w:val="231F20"/>
          <w:spacing w:val="36"/>
          <w:w w:val="110"/>
          <w:sz w:val="18"/>
        </w:rPr>
        <w:t> </w:t>
      </w:r>
      <w:r>
        <w:rPr>
          <w:rFonts w:ascii="Arial"/>
          <w:color w:val="231F20"/>
          <w:w w:val="110"/>
          <w:sz w:val="18"/>
        </w:rPr>
        <w:t>do</w:t>
      </w:r>
      <w:r>
        <w:rPr>
          <w:rFonts w:ascii="Arial"/>
          <w:color w:val="231F20"/>
          <w:spacing w:val="36"/>
          <w:w w:val="110"/>
          <w:sz w:val="18"/>
        </w:rPr>
        <w:t> </w:t>
      </w:r>
      <w:r>
        <w:rPr>
          <w:rFonts w:ascii="Arial"/>
          <w:color w:val="231F20"/>
          <w:w w:val="110"/>
          <w:sz w:val="18"/>
        </w:rPr>
        <w:t>the</w:t>
      </w:r>
      <w:r>
        <w:rPr>
          <w:rFonts w:ascii="Arial"/>
          <w:color w:val="231F20"/>
          <w:spacing w:val="36"/>
          <w:w w:val="110"/>
          <w:sz w:val="18"/>
        </w:rPr>
        <w:t> </w:t>
      </w:r>
      <w:r>
        <w:rPr>
          <w:rFonts w:ascii="Arial"/>
          <w:color w:val="231F20"/>
          <w:w w:val="110"/>
          <w:sz w:val="18"/>
        </w:rPr>
        <w:t>magic </w:t>
      </w:r>
      <w:r>
        <w:rPr>
          <w:rFonts w:ascii="Arial"/>
          <w:color w:val="231F20"/>
          <w:spacing w:val="-2"/>
          <w:sz w:val="18"/>
        </w:rPr>
        <w:t>sendKey("HOME");sendKey("TAB");sendKey("TAB");sendKey("TAB"); </w:t>
      </w:r>
      <w:r>
        <w:rPr>
          <w:rFonts w:ascii="Arial"/>
          <w:color w:val="231F20"/>
          <w:spacing w:val="-2"/>
          <w:w w:val="110"/>
          <w:sz w:val="18"/>
        </w:rPr>
        <w:t>setString("MVPM");</w:t>
      </w:r>
    </w:p>
    <w:p>
      <w:pPr>
        <w:spacing w:line="230" w:lineRule="auto" w:before="2"/>
        <w:ind w:left="2502" w:right="5533" w:firstLine="0"/>
        <w:jc w:val="left"/>
        <w:rPr>
          <w:rFonts w:ascii="Arial"/>
          <w:sz w:val="18"/>
        </w:rPr>
      </w:pPr>
      <w:r>
        <w:rPr>
          <w:rFonts w:ascii="Arial"/>
          <w:color w:val="231F20"/>
          <w:spacing w:val="-2"/>
          <w:sz w:val="18"/>
        </w:rPr>
        <w:t>sendKey("TAB"); setString("MVPM");</w:t>
      </w:r>
    </w:p>
    <w:p>
      <w:pPr>
        <w:spacing w:line="203" w:lineRule="exact" w:before="195"/>
        <w:ind w:left="2592" w:right="0" w:firstLine="0"/>
        <w:jc w:val="left"/>
        <w:rPr>
          <w:rFonts w:ascii="Arial"/>
          <w:sz w:val="18"/>
        </w:rPr>
      </w:pPr>
      <w:r>
        <w:rPr>
          <w:rFonts w:ascii="Arial"/>
          <w:color w:val="231F20"/>
          <w:spacing w:val="-10"/>
          <w:w w:val="150"/>
          <w:sz w:val="18"/>
        </w:rPr>
        <w:t>}</w:t>
      </w:r>
    </w:p>
    <w:p>
      <w:pPr>
        <w:spacing w:line="200" w:lineRule="exact" w:before="0"/>
        <w:ind w:left="2592" w:right="0" w:firstLine="0"/>
        <w:jc w:val="left"/>
        <w:rPr>
          <w:rFonts w:ascii="Arial"/>
          <w:sz w:val="18"/>
        </w:rPr>
      </w:pPr>
      <w:r>
        <w:rPr>
          <w:rFonts w:ascii="Arial"/>
          <w:color w:val="231F20"/>
          <w:spacing w:val="-4"/>
          <w:w w:val="110"/>
          <w:sz w:val="18"/>
        </w:rPr>
        <w:t>else</w:t>
      </w:r>
    </w:p>
    <w:p>
      <w:pPr>
        <w:spacing w:line="203" w:lineRule="exact" w:before="0"/>
        <w:ind w:left="2502" w:right="0" w:firstLine="0"/>
        <w:jc w:val="left"/>
        <w:rPr>
          <w:rFonts w:ascii="Arial"/>
          <w:sz w:val="18"/>
        </w:rPr>
      </w:pPr>
      <w:r>
        <w:rPr>
          <w:rFonts w:ascii="Arial"/>
          <w:color w:val="231F20"/>
          <w:spacing w:val="-10"/>
          <w:w w:val="150"/>
          <w:sz w:val="18"/>
        </w:rPr>
        <w:t>{</w:t>
      </w:r>
    </w:p>
    <w:p>
      <w:pPr>
        <w:spacing w:line="230" w:lineRule="auto" w:before="0"/>
        <w:ind w:left="2681" w:right="5533" w:firstLine="0"/>
        <w:jc w:val="left"/>
        <w:rPr>
          <w:rFonts w:ascii="Arial"/>
          <w:sz w:val="18"/>
        </w:rPr>
      </w:pPr>
      <w:r>
        <w:rPr>
          <w:rFonts w:ascii="Arial"/>
          <w:color w:val="231F20"/>
          <w:spacing w:val="-2"/>
          <w:w w:val="105"/>
          <w:sz w:val="18"/>
        </w:rPr>
        <w:t>sendKey("F11"); waitforScreen(); setstring("MVPM"); sendKey("F24"); WaitForScreen();</w:t>
      </w:r>
    </w:p>
    <w:p>
      <w:pPr>
        <w:spacing w:line="205" w:lineRule="exact" w:before="0"/>
        <w:ind w:left="2502" w:right="0" w:firstLine="0"/>
        <w:jc w:val="left"/>
        <w:rPr>
          <w:rFonts w:ascii="Arial"/>
          <w:sz w:val="18"/>
        </w:rPr>
      </w:pPr>
      <w:r>
        <w:rPr>
          <w:rFonts w:ascii="Arial"/>
          <w:color w:val="231F20"/>
          <w:spacing w:val="-10"/>
          <w:w w:val="150"/>
          <w:sz w:val="18"/>
        </w:rPr>
        <w:t>}</w:t>
      </w:r>
    </w:p>
    <w:p>
      <w:pPr>
        <w:spacing w:line="230" w:lineRule="auto" w:before="0"/>
        <w:ind w:left="2502" w:right="5052" w:firstLine="0"/>
        <w:jc w:val="left"/>
        <w:rPr>
          <w:rFonts w:ascii="Arial"/>
          <w:sz w:val="18"/>
        </w:rPr>
      </w:pPr>
      <w:r>
        <w:rPr>
          <w:rFonts w:ascii="Arial"/>
          <w:color w:val="231F20"/>
          <w:w w:val="150"/>
          <w:sz w:val="18"/>
        </w:rPr>
        <w:t>//</w:t>
      </w:r>
      <w:r>
        <w:rPr>
          <w:rFonts w:ascii="Arial"/>
          <w:color w:val="231F20"/>
          <w:spacing w:val="-8"/>
          <w:w w:val="150"/>
          <w:sz w:val="18"/>
        </w:rPr>
        <w:t> </w:t>
      </w:r>
      <w:r>
        <w:rPr>
          <w:rFonts w:ascii="Arial"/>
          <w:color w:val="231F20"/>
          <w:w w:val="105"/>
          <w:sz w:val="18"/>
        </w:rPr>
        <w:t>now</w:t>
      </w:r>
      <w:r>
        <w:rPr>
          <w:rFonts w:ascii="Arial"/>
          <w:color w:val="231F20"/>
          <w:spacing w:val="15"/>
          <w:w w:val="105"/>
          <w:sz w:val="18"/>
        </w:rPr>
        <w:t> </w:t>
      </w:r>
      <w:r>
        <w:rPr>
          <w:rFonts w:ascii="Arial"/>
          <w:color w:val="231F20"/>
          <w:w w:val="105"/>
          <w:sz w:val="18"/>
        </w:rPr>
        <w:t>continue</w:t>
      </w:r>
      <w:r>
        <w:rPr>
          <w:rFonts w:ascii="Arial"/>
          <w:color w:val="231F20"/>
          <w:spacing w:val="15"/>
          <w:w w:val="105"/>
          <w:sz w:val="18"/>
        </w:rPr>
        <w:t> </w:t>
      </w:r>
      <w:r>
        <w:rPr>
          <w:rFonts w:ascii="Arial"/>
          <w:color w:val="231F20"/>
          <w:w w:val="105"/>
          <w:sz w:val="18"/>
        </w:rPr>
        <w:t>the</w:t>
      </w:r>
      <w:r>
        <w:rPr>
          <w:rFonts w:ascii="Arial"/>
          <w:color w:val="231F20"/>
          <w:spacing w:val="15"/>
          <w:w w:val="105"/>
          <w:sz w:val="18"/>
        </w:rPr>
        <w:t> </w:t>
      </w:r>
      <w:r>
        <w:rPr>
          <w:rFonts w:ascii="Arial"/>
          <w:color w:val="231F20"/>
          <w:w w:val="105"/>
          <w:sz w:val="18"/>
        </w:rPr>
        <w:t>logon </w:t>
      </w:r>
      <w:r>
        <w:rPr>
          <w:rFonts w:ascii="Arial"/>
          <w:color w:val="231F20"/>
          <w:spacing w:val="-2"/>
          <w:w w:val="105"/>
          <w:sz w:val="18"/>
        </w:rPr>
        <w:t>sendKey("HOME"); setString(user); sendKey("TAB"); setString(pswd); sendKey("ENTER"); waitforScreen();</w:t>
      </w:r>
    </w:p>
    <w:p>
      <w:pPr>
        <w:spacing w:line="203" w:lineRule="exact" w:before="197"/>
        <w:ind w:left="2502" w:right="0" w:firstLine="0"/>
        <w:jc w:val="left"/>
        <w:rPr>
          <w:rFonts w:ascii="Arial"/>
          <w:sz w:val="18"/>
        </w:rPr>
      </w:pPr>
      <w:r>
        <w:rPr>
          <w:rFonts w:ascii="Arial"/>
          <w:color w:val="231F20"/>
          <w:w w:val="170"/>
          <w:sz w:val="18"/>
        </w:rPr>
        <w:t>//</w:t>
      </w:r>
      <w:r>
        <w:rPr>
          <w:rFonts w:ascii="Arial"/>
          <w:color w:val="231F20"/>
          <w:spacing w:val="-2"/>
          <w:w w:val="170"/>
          <w:sz w:val="18"/>
        </w:rPr>
        <w:t> </w:t>
      </w:r>
      <w:r>
        <w:rPr>
          <w:rFonts w:ascii="Arial"/>
          <w:color w:val="231F20"/>
          <w:w w:val="170"/>
          <w:sz w:val="18"/>
        </w:rPr>
        <w:t>if</w:t>
      </w:r>
      <w:r>
        <w:rPr>
          <w:rFonts w:ascii="Arial"/>
          <w:color w:val="231F20"/>
          <w:spacing w:val="-2"/>
          <w:w w:val="170"/>
          <w:sz w:val="18"/>
        </w:rPr>
        <w:t> </w:t>
      </w:r>
      <w:r>
        <w:rPr>
          <w:rFonts w:ascii="Arial"/>
          <w:color w:val="231F20"/>
          <w:w w:val="115"/>
          <w:sz w:val="18"/>
        </w:rPr>
        <w:t>an</w:t>
      </w:r>
      <w:r>
        <w:rPr>
          <w:rFonts w:ascii="Arial"/>
          <w:color w:val="231F20"/>
          <w:spacing w:val="11"/>
          <w:w w:val="145"/>
          <w:sz w:val="18"/>
        </w:rPr>
        <w:t> </w:t>
      </w:r>
      <w:r>
        <w:rPr>
          <w:rFonts w:ascii="Arial"/>
          <w:color w:val="231F20"/>
          <w:spacing w:val="-2"/>
          <w:w w:val="145"/>
          <w:sz w:val="18"/>
        </w:rPr>
        <w:t>error...</w:t>
      </w:r>
    </w:p>
    <w:p>
      <w:pPr>
        <w:spacing w:line="200" w:lineRule="exact" w:before="0"/>
        <w:ind w:left="2502" w:right="0" w:firstLine="0"/>
        <w:jc w:val="left"/>
        <w:rPr>
          <w:rFonts w:ascii="Arial"/>
          <w:sz w:val="18"/>
        </w:rPr>
      </w:pPr>
      <w:r>
        <w:rPr>
          <w:rFonts w:ascii="Arial"/>
          <w:color w:val="231F20"/>
          <w:w w:val="170"/>
          <w:sz w:val="18"/>
        </w:rPr>
        <w:t>if</w:t>
      </w:r>
      <w:r>
        <w:rPr>
          <w:rFonts w:ascii="Arial"/>
          <w:color w:val="231F20"/>
          <w:spacing w:val="41"/>
          <w:w w:val="170"/>
          <w:sz w:val="18"/>
        </w:rPr>
        <w:t> </w:t>
      </w:r>
      <w:r>
        <w:rPr>
          <w:rFonts w:ascii="Arial"/>
          <w:color w:val="231F20"/>
          <w:sz w:val="18"/>
        </w:rPr>
        <w:t>(signonErrorpop-up()</w:t>
      </w:r>
      <w:r>
        <w:rPr>
          <w:rFonts w:ascii="Arial"/>
          <w:color w:val="231F20"/>
          <w:spacing w:val="76"/>
          <w:sz w:val="18"/>
        </w:rPr>
        <w:t> </w:t>
      </w:r>
      <w:r>
        <w:rPr>
          <w:rFonts w:ascii="Arial"/>
          <w:color w:val="231F20"/>
          <w:sz w:val="18"/>
        </w:rPr>
        <w:t>==</w:t>
      </w:r>
      <w:r>
        <w:rPr>
          <w:rFonts w:ascii="Arial"/>
          <w:color w:val="231F20"/>
          <w:spacing w:val="76"/>
          <w:sz w:val="18"/>
        </w:rPr>
        <w:t> </w:t>
      </w:r>
      <w:r>
        <w:rPr>
          <w:rFonts w:ascii="Arial"/>
          <w:color w:val="231F20"/>
          <w:spacing w:val="-2"/>
          <w:sz w:val="18"/>
        </w:rPr>
        <w:t>TRUE)</w:t>
      </w:r>
    </w:p>
    <w:p>
      <w:pPr>
        <w:spacing w:line="203" w:lineRule="exact" w:before="0"/>
        <w:ind w:left="2502" w:right="0" w:firstLine="0"/>
        <w:jc w:val="left"/>
        <w:rPr>
          <w:rFonts w:ascii="Arial"/>
          <w:sz w:val="18"/>
        </w:rPr>
      </w:pPr>
      <w:r>
        <w:rPr>
          <w:rFonts w:ascii="Arial"/>
          <w:color w:val="231F20"/>
          <w:spacing w:val="-10"/>
          <w:w w:val="150"/>
          <w:sz w:val="18"/>
        </w:rPr>
        <w:t>{</w:t>
      </w:r>
    </w:p>
    <w:p>
      <w:pPr>
        <w:spacing w:line="230" w:lineRule="auto" w:before="0"/>
        <w:ind w:left="2681" w:right="2916" w:firstLine="0"/>
        <w:jc w:val="left"/>
        <w:rPr>
          <w:rFonts w:ascii="Arial"/>
          <w:sz w:val="18"/>
        </w:rPr>
      </w:pPr>
      <w:r>
        <w:rPr>
          <w:rFonts w:ascii="Arial"/>
          <w:color w:val="231F20"/>
          <w:w w:val="110"/>
          <w:sz w:val="18"/>
        </w:rPr>
        <w:t>sendkey("F12");</w:t>
      </w:r>
      <w:r>
        <w:rPr>
          <w:rFonts w:ascii="Arial"/>
          <w:color w:val="231F20"/>
          <w:spacing w:val="12"/>
          <w:w w:val="110"/>
          <w:sz w:val="18"/>
        </w:rPr>
        <w:t> </w:t>
      </w:r>
      <w:r>
        <w:rPr>
          <w:rFonts w:ascii="Arial"/>
          <w:color w:val="231F20"/>
          <w:w w:val="110"/>
          <w:sz w:val="18"/>
        </w:rPr>
        <w:t>//</w:t>
      </w:r>
      <w:r>
        <w:rPr>
          <w:rFonts w:ascii="Arial"/>
          <w:color w:val="231F20"/>
          <w:spacing w:val="12"/>
          <w:w w:val="110"/>
          <w:sz w:val="18"/>
        </w:rPr>
        <w:t> </w:t>
      </w:r>
      <w:r>
        <w:rPr>
          <w:rFonts w:ascii="Arial"/>
          <w:color w:val="231F20"/>
          <w:w w:val="110"/>
          <w:sz w:val="18"/>
        </w:rPr>
        <w:t>clear</w:t>
      </w:r>
      <w:r>
        <w:rPr>
          <w:rFonts w:ascii="Arial"/>
          <w:color w:val="231F20"/>
          <w:spacing w:val="12"/>
          <w:w w:val="110"/>
          <w:sz w:val="18"/>
        </w:rPr>
        <w:t> </w:t>
      </w:r>
      <w:r>
        <w:rPr>
          <w:rFonts w:ascii="Arial"/>
          <w:color w:val="231F20"/>
          <w:w w:val="110"/>
          <w:sz w:val="18"/>
        </w:rPr>
        <w:t>the</w:t>
      </w:r>
      <w:r>
        <w:rPr>
          <w:rFonts w:ascii="Arial"/>
          <w:color w:val="231F20"/>
          <w:spacing w:val="12"/>
          <w:w w:val="110"/>
          <w:sz w:val="18"/>
        </w:rPr>
        <w:t> </w:t>
      </w:r>
      <w:r>
        <w:rPr>
          <w:rFonts w:ascii="Arial"/>
          <w:color w:val="231F20"/>
          <w:w w:val="110"/>
          <w:sz w:val="18"/>
        </w:rPr>
        <w:t>pop-up </w:t>
      </w:r>
      <w:r>
        <w:rPr>
          <w:rFonts w:ascii="Arial"/>
          <w:color w:val="231F20"/>
          <w:spacing w:val="-2"/>
          <w:w w:val="115"/>
          <w:sz w:val="18"/>
        </w:rPr>
        <w:t>waitForScreen();</w:t>
      </w:r>
    </w:p>
    <w:p>
      <w:pPr>
        <w:spacing w:line="230" w:lineRule="auto" w:before="1"/>
        <w:ind w:left="2681" w:right="4524" w:firstLine="0"/>
        <w:jc w:val="left"/>
        <w:rPr>
          <w:rFonts w:ascii="Arial"/>
          <w:sz w:val="18"/>
        </w:rPr>
      </w:pPr>
      <w:r>
        <w:rPr>
          <w:rFonts w:ascii="Arial"/>
          <w:color w:val="231F20"/>
          <w:w w:val="110"/>
          <w:sz w:val="18"/>
        </w:rPr>
        <w:t>sendkey("F3");</w:t>
      </w:r>
      <w:r>
        <w:rPr>
          <w:rFonts w:ascii="Arial"/>
          <w:color w:val="231F20"/>
          <w:spacing w:val="-18"/>
          <w:w w:val="150"/>
          <w:sz w:val="18"/>
        </w:rPr>
        <w:t> </w:t>
      </w:r>
      <w:r>
        <w:rPr>
          <w:rFonts w:ascii="Arial"/>
          <w:color w:val="231F20"/>
          <w:w w:val="150"/>
          <w:sz w:val="18"/>
        </w:rPr>
        <w:t>//</w:t>
      </w:r>
      <w:r>
        <w:rPr>
          <w:rFonts w:ascii="Arial"/>
          <w:color w:val="231F20"/>
          <w:spacing w:val="-17"/>
          <w:w w:val="150"/>
          <w:sz w:val="18"/>
        </w:rPr>
        <w:t> </w:t>
      </w:r>
      <w:r>
        <w:rPr>
          <w:rFonts w:ascii="Arial"/>
          <w:color w:val="231F20"/>
          <w:w w:val="110"/>
          <w:sz w:val="18"/>
        </w:rPr>
        <w:t>end</w:t>
      </w:r>
      <w:r>
        <w:rPr>
          <w:rFonts w:ascii="Arial"/>
          <w:color w:val="231F20"/>
          <w:spacing w:val="3"/>
          <w:w w:val="110"/>
          <w:sz w:val="18"/>
        </w:rPr>
        <w:t> </w:t>
      </w:r>
      <w:r>
        <w:rPr>
          <w:rFonts w:ascii="Arial"/>
          <w:color w:val="231F20"/>
          <w:w w:val="110"/>
          <w:sz w:val="18"/>
        </w:rPr>
        <w:t>the</w:t>
      </w:r>
      <w:r>
        <w:rPr>
          <w:rFonts w:ascii="Arial"/>
          <w:color w:val="231F20"/>
          <w:spacing w:val="3"/>
          <w:w w:val="110"/>
          <w:sz w:val="18"/>
        </w:rPr>
        <w:t> </w:t>
      </w:r>
      <w:r>
        <w:rPr>
          <w:rFonts w:ascii="Arial"/>
          <w:color w:val="231F20"/>
          <w:w w:val="110"/>
          <w:sz w:val="18"/>
        </w:rPr>
        <w:t>session </w:t>
      </w:r>
      <w:r>
        <w:rPr>
          <w:rFonts w:ascii="Arial"/>
          <w:color w:val="231F20"/>
          <w:spacing w:val="-2"/>
          <w:w w:val="110"/>
          <w:sz w:val="18"/>
        </w:rPr>
        <w:t>waitForScreen();</w:t>
      </w:r>
    </w:p>
    <w:p>
      <w:pPr>
        <w:spacing w:line="230" w:lineRule="auto" w:before="2"/>
        <w:ind w:left="2681" w:right="5052" w:firstLine="0"/>
        <w:jc w:val="left"/>
        <w:rPr>
          <w:rFonts w:ascii="Arial"/>
          <w:sz w:val="18"/>
        </w:rPr>
      </w:pPr>
      <w:r>
        <w:rPr>
          <w:rFonts w:ascii="Arial"/>
          <w:color w:val="231F20"/>
          <w:w w:val="110"/>
          <w:sz w:val="18"/>
        </w:rPr>
        <w:t>;rc=</w:t>
      </w:r>
      <w:r>
        <w:rPr>
          <w:rFonts w:ascii="Arial"/>
          <w:color w:val="231F20"/>
          <w:spacing w:val="34"/>
          <w:w w:val="110"/>
          <w:sz w:val="18"/>
        </w:rPr>
        <w:t> </w:t>
      </w:r>
      <w:r>
        <w:rPr>
          <w:rFonts w:ascii="Arial"/>
          <w:color w:val="231F20"/>
          <w:w w:val="110"/>
          <w:sz w:val="18"/>
        </w:rPr>
        <w:t>16;</w:t>
      </w:r>
      <w:r>
        <w:rPr>
          <w:rFonts w:ascii="Arial"/>
          <w:color w:val="231F20"/>
          <w:w w:val="150"/>
          <w:sz w:val="18"/>
        </w:rPr>
        <w:t> //</w:t>
      </w:r>
      <w:r>
        <w:rPr>
          <w:rFonts w:ascii="Arial"/>
          <w:color w:val="231F20"/>
          <w:w w:val="150"/>
          <w:sz w:val="18"/>
        </w:rPr>
        <w:t> </w:t>
      </w:r>
      <w:r>
        <w:rPr>
          <w:rFonts w:ascii="Arial"/>
          <w:color w:val="231F20"/>
          <w:w w:val="110"/>
          <w:sz w:val="18"/>
        </w:rPr>
        <w:t>signon</w:t>
      </w:r>
      <w:r>
        <w:rPr>
          <w:rFonts w:ascii="Arial"/>
          <w:color w:val="231F20"/>
          <w:spacing w:val="34"/>
          <w:w w:val="110"/>
          <w:sz w:val="18"/>
        </w:rPr>
        <w:t> </w:t>
      </w:r>
      <w:r>
        <w:rPr>
          <w:rFonts w:ascii="Arial"/>
          <w:color w:val="231F20"/>
          <w:w w:val="110"/>
          <w:sz w:val="18"/>
        </w:rPr>
        <w:t>error </w:t>
      </w:r>
      <w:r>
        <w:rPr>
          <w:rFonts w:ascii="Arial"/>
          <w:color w:val="231F20"/>
          <w:spacing w:val="-2"/>
          <w:w w:val="110"/>
          <w:sz w:val="18"/>
        </w:rPr>
        <w:t>break;</w:t>
      </w:r>
    </w:p>
    <w:p>
      <w:pPr>
        <w:spacing w:line="202" w:lineRule="exact" w:before="0"/>
        <w:ind w:left="2502" w:right="0" w:firstLine="0"/>
        <w:jc w:val="left"/>
        <w:rPr>
          <w:rFonts w:ascii="Arial"/>
          <w:sz w:val="18"/>
        </w:rPr>
      </w:pPr>
      <w:r>
        <w:rPr>
          <w:rFonts w:ascii="Arial"/>
          <w:color w:val="231F20"/>
          <w:spacing w:val="-10"/>
          <w:w w:val="150"/>
          <w:sz w:val="18"/>
        </w:rPr>
        <w:t>}</w:t>
      </w:r>
    </w:p>
    <w:p>
      <w:pPr>
        <w:spacing w:line="200" w:lineRule="exact" w:before="0"/>
        <w:ind w:left="2502" w:right="0" w:firstLine="0"/>
        <w:jc w:val="left"/>
        <w:rPr>
          <w:rFonts w:ascii="Arial"/>
          <w:sz w:val="18"/>
        </w:rPr>
      </w:pPr>
      <w:r>
        <w:rPr>
          <w:rFonts w:ascii="Arial"/>
          <w:color w:val="231F20"/>
          <w:sz w:val="18"/>
        </w:rPr>
        <w:t>rc</w:t>
      </w:r>
      <w:r>
        <w:rPr>
          <w:rFonts w:ascii="Arial"/>
          <w:color w:val="231F20"/>
          <w:spacing w:val="45"/>
          <w:sz w:val="18"/>
        </w:rPr>
        <w:t> </w:t>
      </w:r>
      <w:r>
        <w:rPr>
          <w:rFonts w:ascii="Arial"/>
          <w:color w:val="231F20"/>
          <w:sz w:val="18"/>
        </w:rPr>
        <w:t>=</w:t>
      </w:r>
      <w:r>
        <w:rPr>
          <w:rFonts w:ascii="Arial"/>
          <w:color w:val="231F20"/>
          <w:spacing w:val="45"/>
          <w:sz w:val="18"/>
        </w:rPr>
        <w:t> </w:t>
      </w:r>
      <w:r>
        <w:rPr>
          <w:rFonts w:ascii="Arial"/>
          <w:color w:val="231F20"/>
          <w:spacing w:val="-2"/>
          <w:sz w:val="18"/>
        </w:rPr>
        <w:t>gotoCommandPanel();</w:t>
      </w:r>
    </w:p>
    <w:p>
      <w:pPr>
        <w:spacing w:after="0" w:line="200" w:lineRule="exact"/>
        <w:jc w:val="left"/>
        <w:rPr>
          <w:rFonts w:ascii="Arial"/>
          <w:sz w:val="18"/>
        </w:rPr>
        <w:sectPr>
          <w:pgSz w:w="12240" w:h="15840"/>
          <w:pgMar w:header="0" w:footer="736" w:top="1200" w:bottom="920" w:left="1000" w:right="1060"/>
        </w:sectPr>
      </w:pPr>
    </w:p>
    <w:p>
      <w:pPr>
        <w:spacing w:line="203" w:lineRule="exact" w:before="68"/>
        <w:ind w:left="2741" w:right="0" w:firstLine="0"/>
        <w:jc w:val="left"/>
        <w:rPr>
          <w:rFonts w:ascii="Arial"/>
          <w:sz w:val="18"/>
        </w:rPr>
      </w:pPr>
      <w:r>
        <w:rPr>
          <w:rFonts w:ascii="Arial"/>
          <w:color w:val="231F20"/>
          <w:w w:val="180"/>
          <w:sz w:val="18"/>
        </w:rPr>
        <w:t>if</w:t>
      </w:r>
      <w:r>
        <w:rPr>
          <w:rFonts w:ascii="Arial"/>
          <w:color w:val="231F20"/>
          <w:spacing w:val="-5"/>
          <w:w w:val="180"/>
          <w:sz w:val="18"/>
        </w:rPr>
        <w:t> </w:t>
      </w:r>
      <w:r>
        <w:rPr>
          <w:rFonts w:ascii="Arial"/>
          <w:color w:val="231F20"/>
          <w:w w:val="130"/>
          <w:sz w:val="18"/>
        </w:rPr>
        <w:t>(rc</w:t>
      </w:r>
      <w:r>
        <w:rPr>
          <w:rFonts w:ascii="Arial"/>
          <w:color w:val="231F20"/>
          <w:spacing w:val="21"/>
          <w:w w:val="130"/>
          <w:sz w:val="18"/>
        </w:rPr>
        <w:t> </w:t>
      </w:r>
      <w:r>
        <w:rPr>
          <w:rFonts w:ascii="Arial"/>
          <w:color w:val="231F20"/>
          <w:w w:val="130"/>
          <w:sz w:val="18"/>
        </w:rPr>
        <w:t>!=</w:t>
      </w:r>
      <w:r>
        <w:rPr>
          <w:rFonts w:ascii="Arial"/>
          <w:color w:val="231F20"/>
          <w:spacing w:val="20"/>
          <w:w w:val="130"/>
          <w:sz w:val="18"/>
        </w:rPr>
        <w:t> </w:t>
      </w:r>
      <w:r>
        <w:rPr>
          <w:rFonts w:ascii="Arial"/>
          <w:color w:val="231F20"/>
          <w:spacing w:val="-5"/>
          <w:w w:val="130"/>
          <w:sz w:val="18"/>
        </w:rPr>
        <w:t>1)</w:t>
      </w:r>
    </w:p>
    <w:p>
      <w:pPr>
        <w:spacing w:line="203" w:lineRule="exact" w:before="0"/>
        <w:ind w:left="2921" w:right="0" w:firstLine="0"/>
        <w:jc w:val="left"/>
        <w:rPr>
          <w:rFonts w:ascii="Arial"/>
          <w:sz w:val="18"/>
        </w:rPr>
      </w:pPr>
      <w:r>
        <w:rPr>
          <w:rFonts w:ascii="Arial"/>
          <w:color w:val="231F20"/>
          <w:spacing w:val="-10"/>
          <w:w w:val="150"/>
          <w:sz w:val="18"/>
        </w:rPr>
        <w:t>{</w:t>
      </w:r>
    </w:p>
    <w:p>
      <w:pPr>
        <w:spacing w:line="230" w:lineRule="auto" w:before="0"/>
        <w:ind w:left="3100" w:right="6351" w:firstLine="0"/>
        <w:jc w:val="left"/>
        <w:rPr>
          <w:rFonts w:ascii="Arial"/>
          <w:sz w:val="18"/>
        </w:rPr>
      </w:pPr>
      <w:r>
        <w:rPr>
          <w:rFonts w:ascii="Arial"/>
          <w:color w:val="231F20"/>
          <w:w w:val="105"/>
          <w:sz w:val="18"/>
        </w:rPr>
        <w:t>rc</w:t>
      </w:r>
      <w:r>
        <w:rPr>
          <w:rFonts w:ascii="Arial"/>
          <w:color w:val="231F20"/>
          <w:spacing w:val="23"/>
          <w:w w:val="105"/>
          <w:sz w:val="18"/>
        </w:rPr>
        <w:t> </w:t>
      </w:r>
      <w:r>
        <w:rPr>
          <w:rFonts w:ascii="Arial"/>
          <w:color w:val="231F20"/>
          <w:w w:val="105"/>
          <w:sz w:val="18"/>
        </w:rPr>
        <w:t>=</w:t>
      </w:r>
      <w:r>
        <w:rPr>
          <w:rFonts w:ascii="Arial"/>
          <w:color w:val="231F20"/>
          <w:spacing w:val="23"/>
          <w:w w:val="105"/>
          <w:sz w:val="18"/>
        </w:rPr>
        <w:t> </w:t>
      </w:r>
      <w:r>
        <w:rPr>
          <w:rFonts w:ascii="Arial"/>
          <w:color w:val="231F20"/>
          <w:w w:val="105"/>
          <w:sz w:val="18"/>
        </w:rPr>
        <w:t>24; </w:t>
      </w:r>
      <w:r>
        <w:rPr>
          <w:rFonts w:ascii="Arial"/>
          <w:color w:val="231F20"/>
          <w:spacing w:val="-2"/>
          <w:w w:val="105"/>
          <w:sz w:val="18"/>
        </w:rPr>
        <w:t>break;</w:t>
      </w:r>
    </w:p>
    <w:p>
      <w:pPr>
        <w:spacing w:line="202" w:lineRule="exact" w:before="0"/>
        <w:ind w:left="2921" w:right="0" w:firstLine="0"/>
        <w:jc w:val="left"/>
        <w:rPr>
          <w:rFonts w:ascii="Arial"/>
          <w:sz w:val="18"/>
        </w:rPr>
      </w:pPr>
      <w:r>
        <w:rPr>
          <w:rFonts w:ascii="Arial"/>
          <w:color w:val="231F20"/>
          <w:spacing w:val="-10"/>
          <w:w w:val="150"/>
          <w:sz w:val="18"/>
        </w:rPr>
        <w:t>}</w:t>
      </w:r>
    </w:p>
    <w:p>
      <w:pPr>
        <w:spacing w:line="230" w:lineRule="auto" w:before="0"/>
        <w:ind w:left="2741" w:right="6675" w:firstLine="0"/>
        <w:jc w:val="left"/>
        <w:rPr>
          <w:rFonts w:ascii="Arial"/>
          <w:sz w:val="18"/>
        </w:rPr>
      </w:pPr>
      <w:r>
        <w:rPr>
          <w:rFonts w:ascii="Arial"/>
          <w:color w:val="231F20"/>
          <w:spacing w:val="-4"/>
          <w:w w:val="110"/>
          <w:sz w:val="18"/>
        </w:rPr>
        <w:t>rc=0; </w:t>
      </w:r>
      <w:r>
        <w:rPr>
          <w:rFonts w:ascii="Arial"/>
          <w:color w:val="231F20"/>
          <w:spacing w:val="-2"/>
          <w:sz w:val="18"/>
        </w:rPr>
        <w:t>break;</w:t>
      </w:r>
    </w:p>
    <w:p>
      <w:pPr>
        <w:spacing w:line="202" w:lineRule="exact" w:before="0"/>
        <w:ind w:left="2562" w:right="0" w:firstLine="0"/>
        <w:jc w:val="left"/>
        <w:rPr>
          <w:rFonts w:ascii="Arial"/>
          <w:sz w:val="18"/>
        </w:rPr>
      </w:pPr>
      <w:r>
        <w:rPr>
          <w:rFonts w:ascii="Arial"/>
          <w:color w:val="231F20"/>
          <w:spacing w:val="-10"/>
          <w:w w:val="150"/>
          <w:sz w:val="18"/>
        </w:rPr>
        <w:t>}</w:t>
      </w:r>
    </w:p>
    <w:p>
      <w:pPr>
        <w:pStyle w:val="BodyText"/>
        <w:spacing w:before="190"/>
        <w:rPr>
          <w:rFonts w:ascii="Arial"/>
          <w:sz w:val="18"/>
        </w:rPr>
      </w:pPr>
    </w:p>
    <w:p>
      <w:pPr>
        <w:spacing w:line="230" w:lineRule="auto" w:before="0"/>
        <w:ind w:left="2562" w:right="6716" w:firstLine="0"/>
        <w:jc w:val="left"/>
        <w:rPr>
          <w:rFonts w:ascii="Arial"/>
          <w:sz w:val="18"/>
        </w:rPr>
      </w:pPr>
      <w:r>
        <w:rPr>
          <w:rFonts w:ascii="Arial"/>
          <w:color w:val="231F20"/>
          <w:spacing w:val="-4"/>
          <w:w w:val="145"/>
          <w:sz w:val="18"/>
        </w:rPr>
        <w:t>//</w:t>
      </w:r>
      <w:r>
        <w:rPr>
          <w:rFonts w:ascii="Arial"/>
          <w:color w:val="231F20"/>
          <w:spacing w:val="-15"/>
          <w:w w:val="145"/>
          <w:sz w:val="18"/>
        </w:rPr>
        <w:t> </w:t>
      </w:r>
      <w:r>
        <w:rPr>
          <w:rFonts w:ascii="Arial"/>
          <w:color w:val="231F20"/>
          <w:spacing w:val="-4"/>
          <w:w w:val="110"/>
          <w:sz w:val="18"/>
        </w:rPr>
        <w:t>success </w:t>
      </w:r>
      <w:r>
        <w:rPr>
          <w:rFonts w:ascii="Arial"/>
          <w:color w:val="231F20"/>
          <w:w w:val="110"/>
          <w:sz w:val="18"/>
        </w:rPr>
        <w:t>return</w:t>
      </w:r>
      <w:r>
        <w:rPr>
          <w:rFonts w:ascii="Arial"/>
          <w:color w:val="231F20"/>
          <w:spacing w:val="42"/>
          <w:w w:val="130"/>
          <w:sz w:val="18"/>
        </w:rPr>
        <w:t> </w:t>
      </w:r>
      <w:r>
        <w:rPr>
          <w:rFonts w:ascii="Arial"/>
          <w:color w:val="231F20"/>
          <w:spacing w:val="-5"/>
          <w:w w:val="130"/>
          <w:sz w:val="18"/>
        </w:rPr>
        <w:t>rc;</w:t>
      </w:r>
    </w:p>
    <w:p>
      <w:pPr>
        <w:spacing w:line="202" w:lineRule="exact" w:before="0"/>
        <w:ind w:left="2472" w:right="0" w:firstLine="0"/>
        <w:jc w:val="left"/>
        <w:rPr>
          <w:rFonts w:ascii="Arial"/>
          <w:sz w:val="18"/>
        </w:rPr>
      </w:pPr>
      <w:r>
        <w:rPr>
          <w:rFonts w:ascii="Arial"/>
          <w:color w:val="231F20"/>
          <w:spacing w:val="-10"/>
          <w:w w:val="150"/>
          <w:sz w:val="18"/>
        </w:rPr>
        <w:t>}</w:t>
      </w:r>
    </w:p>
    <w:p>
      <w:pPr>
        <w:spacing w:before="192"/>
        <w:ind w:left="2472" w:right="0" w:firstLine="0"/>
        <w:jc w:val="left"/>
        <w:rPr>
          <w:rFonts w:ascii="Arial"/>
          <w:sz w:val="18"/>
        </w:rPr>
      </w:pPr>
      <w:r>
        <w:rPr>
          <w:rFonts w:ascii="Arial"/>
          <w:color w:val="231F20"/>
          <w:w w:val="150"/>
          <w:sz w:val="18"/>
        </w:rPr>
        <w:t>//</w:t>
      </w:r>
      <w:r>
        <w:rPr>
          <w:rFonts w:ascii="Arial"/>
          <w:color w:val="231F20"/>
          <w:spacing w:val="5"/>
          <w:w w:val="150"/>
          <w:sz w:val="18"/>
        </w:rPr>
        <w:t> </w:t>
      </w:r>
      <w:r>
        <w:rPr>
          <w:rFonts w:ascii="Arial"/>
          <w:color w:val="231F20"/>
          <w:sz w:val="18"/>
        </w:rPr>
        <w:t>Main</w:t>
      </w:r>
      <w:r>
        <w:rPr>
          <w:rFonts w:ascii="Arial"/>
          <w:color w:val="231F20"/>
          <w:spacing w:val="31"/>
          <w:sz w:val="18"/>
        </w:rPr>
        <w:t> </w:t>
      </w:r>
      <w:r>
        <w:rPr>
          <w:rFonts w:ascii="Arial"/>
          <w:color w:val="231F20"/>
          <w:sz w:val="18"/>
        </w:rPr>
        <w:t>Program</w:t>
      </w:r>
      <w:r>
        <w:rPr>
          <w:rFonts w:ascii="Arial"/>
          <w:color w:val="231F20"/>
          <w:spacing w:val="23"/>
          <w:w w:val="115"/>
          <w:sz w:val="18"/>
        </w:rPr>
        <w:t> </w:t>
      </w:r>
      <w:r>
        <w:rPr>
          <w:rFonts w:ascii="Arial"/>
          <w:color w:val="231F20"/>
          <w:w w:val="115"/>
          <w:sz w:val="18"/>
        </w:rPr>
        <w:t>starts</w:t>
      </w:r>
      <w:r>
        <w:rPr>
          <w:rFonts w:ascii="Arial"/>
          <w:color w:val="231F20"/>
          <w:spacing w:val="23"/>
          <w:w w:val="115"/>
          <w:sz w:val="18"/>
        </w:rPr>
        <w:t> </w:t>
      </w:r>
      <w:r>
        <w:rPr>
          <w:rFonts w:ascii="Arial"/>
          <w:color w:val="231F20"/>
          <w:spacing w:val="-4"/>
          <w:w w:val="115"/>
          <w:sz w:val="18"/>
        </w:rPr>
        <w:t>here</w:t>
      </w:r>
    </w:p>
    <w:p>
      <w:pPr>
        <w:spacing w:line="230" w:lineRule="auto" w:before="199"/>
        <w:ind w:left="2472" w:right="5052" w:firstLine="0"/>
        <w:jc w:val="left"/>
        <w:rPr>
          <w:rFonts w:ascii="Arial"/>
          <w:sz w:val="18"/>
        </w:rPr>
      </w:pPr>
      <w:r>
        <w:rPr>
          <w:rFonts w:ascii="Arial"/>
          <w:color w:val="231F20"/>
          <w:w w:val="80"/>
          <w:sz w:val="18"/>
        </w:rPr>
        <w:t>CMD_PANEL_ID</w:t>
      </w:r>
      <w:r>
        <w:rPr>
          <w:rFonts w:ascii="Arial"/>
          <w:color w:val="231F20"/>
          <w:spacing w:val="40"/>
          <w:sz w:val="18"/>
        </w:rPr>
        <w:t> </w:t>
      </w:r>
      <w:r>
        <w:rPr>
          <w:rFonts w:ascii="Arial"/>
          <w:color w:val="231F20"/>
          <w:w w:val="80"/>
          <w:sz w:val="18"/>
        </w:rPr>
        <w:t>=</w:t>
      </w:r>
      <w:r>
        <w:rPr>
          <w:rFonts w:ascii="Arial"/>
          <w:color w:val="231F20"/>
          <w:spacing w:val="40"/>
          <w:sz w:val="18"/>
        </w:rPr>
        <w:t> </w:t>
      </w:r>
      <w:r>
        <w:rPr>
          <w:rFonts w:ascii="Arial"/>
          <w:color w:val="231F20"/>
          <w:w w:val="80"/>
          <w:sz w:val="18"/>
        </w:rPr>
        <w:t>"KMVPMMAI";</w:t>
      </w:r>
      <w:r>
        <w:rPr>
          <w:rFonts w:ascii="Arial"/>
          <w:color w:val="231F20"/>
          <w:w w:val="90"/>
          <w:sz w:val="18"/>
        </w:rPr>
        <w:t> DEFHOTKEY_CODE</w:t>
      </w:r>
      <w:r>
        <w:rPr>
          <w:rFonts w:ascii="Arial"/>
          <w:color w:val="231F20"/>
          <w:spacing w:val="7"/>
          <w:sz w:val="18"/>
        </w:rPr>
        <w:t> </w:t>
      </w:r>
      <w:r>
        <w:rPr>
          <w:rFonts w:ascii="Arial"/>
          <w:color w:val="231F20"/>
          <w:w w:val="90"/>
          <w:sz w:val="18"/>
        </w:rPr>
        <w:t>=</w:t>
      </w:r>
      <w:r>
        <w:rPr>
          <w:rFonts w:ascii="Arial"/>
          <w:color w:val="231F20"/>
          <w:spacing w:val="8"/>
          <w:sz w:val="18"/>
        </w:rPr>
        <w:t> </w:t>
      </w:r>
      <w:r>
        <w:rPr>
          <w:rFonts w:ascii="Arial"/>
          <w:color w:val="231F20"/>
          <w:w w:val="90"/>
          <w:sz w:val="18"/>
        </w:rPr>
        <w:t>"PA2"; </w:t>
      </w:r>
      <w:r>
        <w:rPr>
          <w:rFonts w:ascii="Arial"/>
          <w:color w:val="231F20"/>
          <w:sz w:val="18"/>
        </w:rPr>
        <w:t>EDITKEY_TAG</w:t>
      </w:r>
      <w:r>
        <w:rPr>
          <w:rFonts w:ascii="Arial"/>
          <w:color w:val="231F20"/>
          <w:spacing w:val="7"/>
          <w:sz w:val="18"/>
        </w:rPr>
        <w:t> </w:t>
      </w:r>
      <w:r>
        <w:rPr>
          <w:rFonts w:ascii="Arial"/>
          <w:color w:val="231F20"/>
          <w:sz w:val="18"/>
        </w:rPr>
        <w:t>=</w:t>
      </w:r>
      <w:r>
        <w:rPr>
          <w:rFonts w:ascii="Arial"/>
          <w:color w:val="231F20"/>
          <w:spacing w:val="8"/>
          <w:sz w:val="18"/>
        </w:rPr>
        <w:t> </w:t>
      </w:r>
      <w:r>
        <w:rPr>
          <w:rFonts w:ascii="Arial"/>
          <w:color w:val="231F20"/>
          <w:sz w:val="18"/>
        </w:rPr>
        <w:t>"=Cancel"; </w:t>
      </w:r>
      <w:r>
        <w:rPr>
          <w:rFonts w:ascii="Arial"/>
          <w:color w:val="231F20"/>
          <w:spacing w:val="-6"/>
          <w:sz w:val="18"/>
        </w:rPr>
        <w:t>DEF_EDITKEY_TAG=</w:t>
      </w:r>
      <w:r>
        <w:rPr>
          <w:rFonts w:ascii="Arial"/>
          <w:color w:val="231F20"/>
          <w:spacing w:val="12"/>
          <w:sz w:val="18"/>
        </w:rPr>
        <w:t> </w:t>
      </w:r>
      <w:r>
        <w:rPr>
          <w:rFonts w:ascii="Arial"/>
          <w:color w:val="231F20"/>
          <w:spacing w:val="-6"/>
          <w:sz w:val="18"/>
        </w:rPr>
        <w:t>"F12";</w:t>
      </w:r>
    </w:p>
    <w:p>
      <w:pPr>
        <w:spacing w:line="203" w:lineRule="exact" w:before="196"/>
        <w:ind w:left="2472" w:right="0" w:firstLine="0"/>
        <w:jc w:val="left"/>
        <w:rPr>
          <w:rFonts w:ascii="Arial"/>
          <w:sz w:val="18"/>
        </w:rPr>
      </w:pPr>
      <w:r>
        <w:rPr>
          <w:rFonts w:ascii="Arial"/>
          <w:color w:val="231F20"/>
          <w:w w:val="150"/>
          <w:sz w:val="18"/>
        </w:rPr>
        <w:t>//</w:t>
      </w:r>
      <w:r>
        <w:rPr>
          <w:rFonts w:ascii="Arial"/>
          <w:color w:val="231F20"/>
          <w:spacing w:val="11"/>
          <w:w w:val="150"/>
          <w:sz w:val="18"/>
        </w:rPr>
        <w:t> </w:t>
      </w:r>
      <w:r>
        <w:rPr>
          <w:rFonts w:ascii="Arial"/>
          <w:color w:val="231F20"/>
          <w:w w:val="105"/>
          <w:sz w:val="18"/>
        </w:rPr>
        <w:t>prompt</w:t>
      </w:r>
      <w:r>
        <w:rPr>
          <w:rFonts w:ascii="Arial"/>
          <w:color w:val="231F20"/>
          <w:spacing w:val="28"/>
          <w:w w:val="115"/>
          <w:sz w:val="18"/>
        </w:rPr>
        <w:t> </w:t>
      </w:r>
      <w:r>
        <w:rPr>
          <w:rFonts w:ascii="Arial"/>
          <w:color w:val="231F20"/>
          <w:w w:val="115"/>
          <w:sz w:val="18"/>
        </w:rPr>
        <w:t>for</w:t>
      </w:r>
      <w:r>
        <w:rPr>
          <w:rFonts w:ascii="Arial"/>
          <w:color w:val="231F20"/>
          <w:spacing w:val="29"/>
          <w:w w:val="115"/>
          <w:sz w:val="18"/>
        </w:rPr>
        <w:t> </w:t>
      </w:r>
      <w:r>
        <w:rPr>
          <w:rFonts w:ascii="Arial"/>
          <w:color w:val="231F20"/>
          <w:w w:val="105"/>
          <w:sz w:val="18"/>
        </w:rPr>
        <w:t>the</w:t>
      </w:r>
      <w:r>
        <w:rPr>
          <w:rFonts w:ascii="Arial"/>
          <w:color w:val="231F20"/>
          <w:spacing w:val="33"/>
          <w:w w:val="105"/>
          <w:sz w:val="18"/>
        </w:rPr>
        <w:t> </w:t>
      </w:r>
      <w:r>
        <w:rPr>
          <w:rFonts w:ascii="Arial"/>
          <w:color w:val="231F20"/>
          <w:w w:val="105"/>
          <w:sz w:val="18"/>
        </w:rPr>
        <w:t>userid</w:t>
      </w:r>
      <w:r>
        <w:rPr>
          <w:rFonts w:ascii="Arial"/>
          <w:color w:val="231F20"/>
          <w:spacing w:val="34"/>
          <w:w w:val="105"/>
          <w:sz w:val="18"/>
        </w:rPr>
        <w:t> </w:t>
      </w:r>
      <w:r>
        <w:rPr>
          <w:rFonts w:ascii="Arial"/>
          <w:color w:val="231F20"/>
          <w:w w:val="105"/>
          <w:sz w:val="18"/>
        </w:rPr>
        <w:t>and</w:t>
      </w:r>
      <w:r>
        <w:rPr>
          <w:rFonts w:ascii="Arial"/>
          <w:color w:val="231F20"/>
          <w:spacing w:val="33"/>
          <w:w w:val="105"/>
          <w:sz w:val="18"/>
        </w:rPr>
        <w:t> </w:t>
      </w:r>
      <w:r>
        <w:rPr>
          <w:rFonts w:ascii="Arial"/>
          <w:color w:val="231F20"/>
          <w:spacing w:val="-2"/>
          <w:w w:val="105"/>
          <w:sz w:val="18"/>
        </w:rPr>
        <w:t>password</w:t>
      </w:r>
    </w:p>
    <w:p>
      <w:pPr>
        <w:spacing w:line="230" w:lineRule="auto" w:before="3"/>
        <w:ind w:left="2472" w:right="4095" w:firstLine="0"/>
        <w:jc w:val="left"/>
        <w:rPr>
          <w:rFonts w:ascii="Arial"/>
          <w:sz w:val="18"/>
        </w:rPr>
      </w:pPr>
      <w:r>
        <w:rPr>
          <w:rFonts w:ascii="Arial"/>
          <w:color w:val="231F20"/>
          <w:w w:val="150"/>
          <w:sz w:val="18"/>
        </w:rPr>
        <w:t>//</w:t>
      </w:r>
      <w:r>
        <w:rPr>
          <w:rFonts w:ascii="Arial"/>
          <w:color w:val="231F20"/>
          <w:spacing w:val="-1"/>
          <w:w w:val="150"/>
          <w:sz w:val="18"/>
        </w:rPr>
        <w:t> </w:t>
      </w:r>
      <w:r>
        <w:rPr>
          <w:rFonts w:ascii="Arial"/>
          <w:color w:val="231F20"/>
          <w:w w:val="115"/>
          <w:sz w:val="18"/>
        </w:rPr>
        <w:t>(can</w:t>
      </w:r>
      <w:r>
        <w:rPr>
          <w:rFonts w:ascii="Arial"/>
          <w:color w:val="231F20"/>
          <w:spacing w:val="17"/>
          <w:w w:val="115"/>
          <w:sz w:val="18"/>
        </w:rPr>
        <w:t> </w:t>
      </w:r>
      <w:r>
        <w:rPr>
          <w:rFonts w:ascii="Arial"/>
          <w:color w:val="231F20"/>
          <w:w w:val="115"/>
          <w:sz w:val="18"/>
        </w:rPr>
        <w:t>get</w:t>
      </w:r>
      <w:r>
        <w:rPr>
          <w:rFonts w:ascii="Arial"/>
          <w:color w:val="231F20"/>
          <w:spacing w:val="17"/>
          <w:w w:val="115"/>
          <w:sz w:val="18"/>
        </w:rPr>
        <w:t> </w:t>
      </w:r>
      <w:r>
        <w:rPr>
          <w:rFonts w:ascii="Arial"/>
          <w:color w:val="231F20"/>
          <w:w w:val="115"/>
          <w:sz w:val="18"/>
        </w:rPr>
        <w:t>this</w:t>
      </w:r>
      <w:r>
        <w:rPr>
          <w:rFonts w:ascii="Arial"/>
          <w:color w:val="231F20"/>
          <w:spacing w:val="17"/>
          <w:w w:val="115"/>
          <w:sz w:val="18"/>
        </w:rPr>
        <w:t> </w:t>
      </w:r>
      <w:r>
        <w:rPr>
          <w:rFonts w:ascii="Arial"/>
          <w:color w:val="231F20"/>
          <w:w w:val="115"/>
          <w:sz w:val="18"/>
        </w:rPr>
        <w:t>from</w:t>
      </w:r>
      <w:r>
        <w:rPr>
          <w:rFonts w:ascii="Arial"/>
          <w:color w:val="231F20"/>
          <w:spacing w:val="17"/>
          <w:w w:val="115"/>
          <w:sz w:val="18"/>
        </w:rPr>
        <w:t> </w:t>
      </w:r>
      <w:r>
        <w:rPr>
          <w:rFonts w:ascii="Arial"/>
          <w:color w:val="231F20"/>
          <w:w w:val="110"/>
          <w:sz w:val="18"/>
        </w:rPr>
        <w:t>system</w:t>
      </w:r>
      <w:r>
        <w:rPr>
          <w:rFonts w:ascii="Arial"/>
          <w:color w:val="231F20"/>
          <w:spacing w:val="17"/>
          <w:w w:val="115"/>
          <w:sz w:val="18"/>
        </w:rPr>
        <w:t> </w:t>
      </w:r>
      <w:r>
        <w:rPr>
          <w:rFonts w:ascii="Arial"/>
          <w:color w:val="231F20"/>
          <w:w w:val="115"/>
          <w:sz w:val="18"/>
        </w:rPr>
        <w:t>vars...) userid</w:t>
      </w:r>
      <w:r>
        <w:rPr>
          <w:rFonts w:ascii="Arial"/>
          <w:color w:val="231F20"/>
          <w:spacing w:val="16"/>
          <w:w w:val="115"/>
          <w:sz w:val="18"/>
        </w:rPr>
        <w:t> </w:t>
      </w:r>
      <w:r>
        <w:rPr>
          <w:rFonts w:ascii="Arial"/>
          <w:color w:val="231F20"/>
          <w:w w:val="115"/>
          <w:sz w:val="18"/>
        </w:rPr>
        <w:t>=</w:t>
      </w:r>
      <w:r>
        <w:rPr>
          <w:rFonts w:ascii="Arial"/>
          <w:color w:val="231F20"/>
          <w:spacing w:val="16"/>
          <w:w w:val="115"/>
          <w:sz w:val="18"/>
        </w:rPr>
        <w:t> </w:t>
      </w:r>
      <w:r>
        <w:rPr>
          <w:rFonts w:ascii="Arial"/>
          <w:color w:val="231F20"/>
          <w:w w:val="115"/>
          <w:sz w:val="18"/>
        </w:rPr>
        <w:t>prompt("Enter</w:t>
      </w:r>
      <w:r>
        <w:rPr>
          <w:rFonts w:ascii="Arial"/>
          <w:color w:val="231F20"/>
          <w:spacing w:val="16"/>
          <w:w w:val="115"/>
          <w:sz w:val="18"/>
        </w:rPr>
        <w:t> </w:t>
      </w:r>
      <w:r>
        <w:rPr>
          <w:rFonts w:ascii="Arial"/>
          <w:color w:val="231F20"/>
          <w:w w:val="115"/>
          <w:sz w:val="18"/>
        </w:rPr>
        <w:t>UserID");</w:t>
      </w:r>
    </w:p>
    <w:p>
      <w:pPr>
        <w:spacing w:line="463" w:lineRule="auto" w:before="0"/>
        <w:ind w:left="2472" w:right="3707" w:firstLine="0"/>
        <w:jc w:val="left"/>
        <w:rPr>
          <w:rFonts w:ascii="Arial" w:hAnsi="Arial"/>
          <w:sz w:val="18"/>
        </w:rPr>
      </w:pPr>
      <w:r>
        <w:rPr>
          <w:rFonts w:ascii="Arial" w:hAnsi="Arial"/>
          <w:color w:val="231F20"/>
          <w:w w:val="105"/>
          <w:sz w:val="18"/>
        </w:rPr>
        <w:t>pswd</w:t>
      </w:r>
      <w:r>
        <w:rPr>
          <w:rFonts w:ascii="Arial" w:hAnsi="Arial"/>
          <w:color w:val="231F20"/>
          <w:spacing w:val="5"/>
          <w:w w:val="105"/>
          <w:sz w:val="18"/>
        </w:rPr>
        <w:t> </w:t>
      </w:r>
      <w:r>
        <w:rPr>
          <w:rFonts w:ascii="Arial" w:hAnsi="Arial"/>
          <w:color w:val="231F20"/>
          <w:w w:val="105"/>
          <w:sz w:val="18"/>
        </w:rPr>
        <w:t>=</w:t>
      </w:r>
      <w:r>
        <w:rPr>
          <w:rFonts w:ascii="Arial" w:hAnsi="Arial"/>
          <w:color w:val="231F20"/>
          <w:spacing w:val="5"/>
          <w:w w:val="105"/>
          <w:sz w:val="18"/>
        </w:rPr>
        <w:t> </w:t>
      </w:r>
      <w:r>
        <w:rPr>
          <w:rFonts w:ascii="Arial" w:hAnsi="Arial"/>
          <w:color w:val="231F20"/>
          <w:w w:val="105"/>
          <w:sz w:val="18"/>
        </w:rPr>
        <w:t>prompt("Enter</w:t>
      </w:r>
      <w:r>
        <w:rPr>
          <w:rFonts w:ascii="Arial" w:hAnsi="Arial"/>
          <w:color w:val="231F20"/>
          <w:spacing w:val="6"/>
          <w:w w:val="105"/>
          <w:sz w:val="18"/>
        </w:rPr>
        <w:t> </w:t>
      </w:r>
      <w:r>
        <w:rPr>
          <w:rFonts w:ascii="Arial" w:hAnsi="Arial"/>
          <w:color w:val="231F20"/>
          <w:w w:val="105"/>
          <w:sz w:val="18"/>
        </w:rPr>
        <w:t>Password","PSWD"); hide();</w:t>
      </w:r>
      <w:r>
        <w:rPr>
          <w:rFonts w:ascii="Arial" w:hAnsi="Arial"/>
          <w:color w:val="231F20"/>
          <w:w w:val="150"/>
          <w:sz w:val="18"/>
        </w:rPr>
        <w:t> //</w:t>
      </w:r>
      <w:r>
        <w:rPr>
          <w:rFonts w:ascii="Arial" w:hAnsi="Arial"/>
          <w:color w:val="231F20"/>
          <w:w w:val="150"/>
          <w:sz w:val="18"/>
        </w:rPr>
        <w:t> </w:t>
      </w:r>
      <w:r>
        <w:rPr>
          <w:rFonts w:ascii="Arial" w:hAnsi="Arial"/>
          <w:color w:val="231F20"/>
          <w:w w:val="105"/>
          <w:sz w:val="18"/>
        </w:rPr>
        <w:t>don’t</w:t>
      </w:r>
      <w:r>
        <w:rPr>
          <w:rFonts w:ascii="Arial" w:hAnsi="Arial"/>
          <w:color w:val="231F20"/>
          <w:spacing w:val="40"/>
          <w:w w:val="105"/>
          <w:sz w:val="18"/>
        </w:rPr>
        <w:t> </w:t>
      </w:r>
      <w:r>
        <w:rPr>
          <w:rFonts w:ascii="Arial" w:hAnsi="Arial"/>
          <w:color w:val="231F20"/>
          <w:w w:val="105"/>
          <w:sz w:val="18"/>
        </w:rPr>
        <w:t>show</w:t>
      </w:r>
      <w:r>
        <w:rPr>
          <w:rFonts w:ascii="Arial" w:hAnsi="Arial"/>
          <w:color w:val="231F20"/>
          <w:spacing w:val="40"/>
          <w:w w:val="105"/>
          <w:sz w:val="18"/>
        </w:rPr>
        <w:t> </w:t>
      </w:r>
      <w:r>
        <w:rPr>
          <w:rFonts w:ascii="Arial" w:hAnsi="Arial"/>
          <w:color w:val="231F20"/>
          <w:w w:val="105"/>
          <w:sz w:val="18"/>
        </w:rPr>
        <w:t>them</w:t>
      </w:r>
      <w:r>
        <w:rPr>
          <w:rFonts w:ascii="Arial" w:hAnsi="Arial"/>
          <w:color w:val="231F20"/>
          <w:spacing w:val="40"/>
          <w:w w:val="105"/>
          <w:sz w:val="18"/>
        </w:rPr>
        <w:t> </w:t>
      </w:r>
      <w:r>
        <w:rPr>
          <w:rFonts w:ascii="Arial" w:hAnsi="Arial"/>
          <w:color w:val="231F20"/>
          <w:w w:val="105"/>
          <w:sz w:val="18"/>
        </w:rPr>
        <w:t>the</w:t>
      </w:r>
      <w:r>
        <w:rPr>
          <w:rFonts w:ascii="Arial" w:hAnsi="Arial"/>
          <w:color w:val="231F20"/>
          <w:spacing w:val="40"/>
          <w:w w:val="105"/>
          <w:sz w:val="18"/>
        </w:rPr>
        <w:t> </w:t>
      </w:r>
      <w:r>
        <w:rPr>
          <w:rFonts w:ascii="Arial" w:hAnsi="Arial"/>
          <w:color w:val="231F20"/>
          <w:w w:val="105"/>
          <w:sz w:val="18"/>
        </w:rPr>
        <w:t>screen</w:t>
      </w:r>
      <w:r>
        <w:rPr>
          <w:rFonts w:ascii="Arial" w:hAnsi="Arial"/>
          <w:color w:val="231F20"/>
          <w:spacing w:val="39"/>
          <w:w w:val="115"/>
          <w:sz w:val="18"/>
        </w:rPr>
        <w:t> </w:t>
      </w:r>
      <w:r>
        <w:rPr>
          <w:rFonts w:ascii="Arial" w:hAnsi="Arial"/>
          <w:color w:val="231F20"/>
          <w:w w:val="115"/>
          <w:sz w:val="18"/>
        </w:rPr>
        <w:t>flicker</w:t>
      </w:r>
    </w:p>
    <w:p>
      <w:pPr>
        <w:spacing w:line="203" w:lineRule="exact" w:before="0"/>
        <w:ind w:left="2472" w:right="0" w:firstLine="0"/>
        <w:jc w:val="left"/>
        <w:rPr>
          <w:rFonts w:ascii="Arial"/>
          <w:sz w:val="18"/>
        </w:rPr>
      </w:pPr>
      <w:r>
        <w:rPr>
          <w:rFonts w:ascii="Arial"/>
          <w:color w:val="231F20"/>
          <w:w w:val="150"/>
          <w:sz w:val="18"/>
        </w:rPr>
        <w:t>//</w:t>
      </w:r>
      <w:r>
        <w:rPr>
          <w:rFonts w:ascii="Arial"/>
          <w:color w:val="231F20"/>
          <w:spacing w:val="2"/>
          <w:w w:val="150"/>
          <w:sz w:val="18"/>
        </w:rPr>
        <w:t> </w:t>
      </w:r>
      <w:r>
        <w:rPr>
          <w:rFonts w:ascii="Arial"/>
          <w:color w:val="231F20"/>
          <w:w w:val="110"/>
          <w:sz w:val="18"/>
        </w:rPr>
        <w:t>perform</w:t>
      </w:r>
      <w:r>
        <w:rPr>
          <w:rFonts w:ascii="Arial"/>
          <w:color w:val="231F20"/>
          <w:spacing w:val="23"/>
          <w:w w:val="110"/>
          <w:sz w:val="18"/>
        </w:rPr>
        <w:t> </w:t>
      </w:r>
      <w:r>
        <w:rPr>
          <w:rFonts w:ascii="Arial"/>
          <w:color w:val="231F20"/>
          <w:w w:val="110"/>
          <w:sz w:val="18"/>
        </w:rPr>
        <w:t>the</w:t>
      </w:r>
      <w:r>
        <w:rPr>
          <w:rFonts w:ascii="Arial"/>
          <w:color w:val="231F20"/>
          <w:spacing w:val="22"/>
          <w:w w:val="110"/>
          <w:sz w:val="18"/>
        </w:rPr>
        <w:t> </w:t>
      </w:r>
      <w:r>
        <w:rPr>
          <w:rFonts w:ascii="Arial"/>
          <w:color w:val="231F20"/>
          <w:spacing w:val="-2"/>
          <w:w w:val="110"/>
          <w:sz w:val="18"/>
        </w:rPr>
        <w:t>Logon</w:t>
      </w:r>
    </w:p>
    <w:p>
      <w:pPr>
        <w:spacing w:line="203" w:lineRule="exact" w:before="0"/>
        <w:ind w:left="2472" w:right="0" w:firstLine="0"/>
        <w:jc w:val="left"/>
        <w:rPr>
          <w:rFonts w:ascii="Arial"/>
          <w:sz w:val="18"/>
        </w:rPr>
      </w:pPr>
      <w:r>
        <w:rPr>
          <w:rFonts w:ascii="Arial"/>
          <w:color w:val="231F20"/>
          <w:sz w:val="18"/>
        </w:rPr>
        <w:t>logon_complete</w:t>
      </w:r>
      <w:r>
        <w:rPr>
          <w:rFonts w:ascii="Arial"/>
          <w:color w:val="231F20"/>
          <w:spacing w:val="18"/>
          <w:sz w:val="18"/>
        </w:rPr>
        <w:t> </w:t>
      </w:r>
      <w:r>
        <w:rPr>
          <w:rFonts w:ascii="Arial"/>
          <w:color w:val="231F20"/>
          <w:sz w:val="18"/>
        </w:rPr>
        <w:t>=</w:t>
      </w:r>
      <w:r>
        <w:rPr>
          <w:rFonts w:ascii="Arial"/>
          <w:color w:val="231F20"/>
          <w:spacing w:val="18"/>
          <w:sz w:val="18"/>
        </w:rPr>
        <w:t> </w:t>
      </w:r>
      <w:r>
        <w:rPr>
          <w:rFonts w:ascii="Arial"/>
          <w:color w:val="231F20"/>
          <w:spacing w:val="-2"/>
          <w:sz w:val="18"/>
        </w:rPr>
        <w:t>logon(userid,pswd);</w:t>
      </w:r>
    </w:p>
    <w:p>
      <w:pPr>
        <w:spacing w:line="203" w:lineRule="exact" w:before="187"/>
        <w:ind w:left="2472" w:right="0" w:firstLine="0"/>
        <w:jc w:val="left"/>
        <w:rPr>
          <w:rFonts w:ascii="Arial"/>
          <w:sz w:val="18"/>
        </w:rPr>
      </w:pPr>
      <w:r>
        <w:rPr>
          <w:rFonts w:ascii="Arial"/>
          <w:color w:val="231F20"/>
          <w:w w:val="110"/>
          <w:sz w:val="18"/>
        </w:rPr>
        <w:t>if</w:t>
      </w:r>
      <w:r>
        <w:rPr>
          <w:rFonts w:ascii="Arial"/>
          <w:color w:val="231F20"/>
          <w:spacing w:val="23"/>
          <w:w w:val="110"/>
          <w:sz w:val="18"/>
        </w:rPr>
        <w:t> </w:t>
      </w:r>
      <w:r>
        <w:rPr>
          <w:rFonts w:ascii="Arial"/>
          <w:color w:val="231F20"/>
          <w:w w:val="110"/>
          <w:sz w:val="18"/>
        </w:rPr>
        <w:t>(logon_complete</w:t>
      </w:r>
      <w:r>
        <w:rPr>
          <w:rFonts w:ascii="Arial"/>
          <w:color w:val="231F20"/>
          <w:spacing w:val="23"/>
          <w:w w:val="110"/>
          <w:sz w:val="18"/>
        </w:rPr>
        <w:t> </w:t>
      </w:r>
      <w:r>
        <w:rPr>
          <w:rFonts w:ascii="Arial"/>
          <w:color w:val="231F20"/>
          <w:w w:val="110"/>
          <w:sz w:val="18"/>
        </w:rPr>
        <w:t>!=</w:t>
      </w:r>
      <w:r>
        <w:rPr>
          <w:rFonts w:ascii="Arial"/>
          <w:color w:val="231F20"/>
          <w:spacing w:val="24"/>
          <w:w w:val="110"/>
          <w:sz w:val="18"/>
        </w:rPr>
        <w:t> </w:t>
      </w:r>
      <w:r>
        <w:rPr>
          <w:rFonts w:ascii="Arial"/>
          <w:color w:val="231F20"/>
          <w:spacing w:val="-5"/>
          <w:w w:val="110"/>
          <w:sz w:val="18"/>
        </w:rPr>
        <w:t>0)</w:t>
      </w:r>
    </w:p>
    <w:p>
      <w:pPr>
        <w:spacing w:line="203" w:lineRule="exact" w:before="0"/>
        <w:ind w:left="2472" w:right="0" w:firstLine="0"/>
        <w:jc w:val="left"/>
        <w:rPr>
          <w:rFonts w:ascii="Arial"/>
          <w:sz w:val="18"/>
        </w:rPr>
      </w:pPr>
      <w:r>
        <w:rPr>
          <w:rFonts w:ascii="Arial"/>
          <w:color w:val="231F20"/>
          <w:spacing w:val="-10"/>
          <w:w w:val="150"/>
          <w:sz w:val="18"/>
        </w:rPr>
        <w:t>{</w:t>
      </w:r>
    </w:p>
    <w:p>
      <w:pPr>
        <w:spacing w:line="230" w:lineRule="auto" w:before="0"/>
        <w:ind w:left="2651" w:right="5052" w:firstLine="0"/>
        <w:jc w:val="left"/>
        <w:rPr>
          <w:rFonts w:ascii="Arial"/>
          <w:sz w:val="18"/>
        </w:rPr>
      </w:pPr>
      <w:r>
        <w:rPr>
          <w:rFonts w:ascii="Arial"/>
          <w:color w:val="231F20"/>
          <w:spacing w:val="-2"/>
          <w:sz w:val="18"/>
        </w:rPr>
        <w:t>displayError(logon_complete);</w:t>
      </w:r>
      <w:r>
        <w:rPr>
          <w:rFonts w:ascii="Arial"/>
          <w:color w:val="231F20"/>
          <w:spacing w:val="80"/>
          <w:w w:val="115"/>
          <w:sz w:val="18"/>
        </w:rPr>
        <w:t> </w:t>
      </w:r>
      <w:r>
        <w:rPr>
          <w:rFonts w:ascii="Arial"/>
          <w:color w:val="231F20"/>
          <w:spacing w:val="-2"/>
          <w:w w:val="115"/>
          <w:sz w:val="18"/>
        </w:rPr>
        <w:t>return;</w:t>
      </w:r>
    </w:p>
    <w:p>
      <w:pPr>
        <w:spacing w:line="202" w:lineRule="exact" w:before="0"/>
        <w:ind w:left="2472" w:right="0" w:firstLine="0"/>
        <w:jc w:val="left"/>
        <w:rPr>
          <w:rFonts w:ascii="Arial"/>
          <w:sz w:val="18"/>
        </w:rPr>
      </w:pPr>
      <w:r>
        <w:rPr>
          <w:rFonts w:ascii="Arial"/>
          <w:color w:val="231F20"/>
          <w:spacing w:val="-10"/>
          <w:w w:val="150"/>
          <w:sz w:val="18"/>
        </w:rPr>
        <w:t>}</w:t>
      </w:r>
    </w:p>
    <w:p>
      <w:pPr>
        <w:spacing w:line="203" w:lineRule="exact" w:before="192"/>
        <w:ind w:left="2472" w:right="0" w:firstLine="0"/>
        <w:jc w:val="left"/>
        <w:rPr>
          <w:rFonts w:ascii="Arial"/>
          <w:sz w:val="18"/>
        </w:rPr>
      </w:pPr>
      <w:r>
        <w:rPr>
          <w:rFonts w:ascii="Arial"/>
          <w:color w:val="231F20"/>
          <w:w w:val="150"/>
          <w:sz w:val="18"/>
        </w:rPr>
        <w:t>//</w:t>
      </w:r>
      <w:r>
        <w:rPr>
          <w:rFonts w:ascii="Arial"/>
          <w:color w:val="231F20"/>
          <w:spacing w:val="3"/>
          <w:w w:val="150"/>
          <w:sz w:val="18"/>
        </w:rPr>
        <w:t> </w:t>
      </w:r>
      <w:r>
        <w:rPr>
          <w:rFonts w:ascii="Arial"/>
          <w:color w:val="231F20"/>
          <w:sz w:val="18"/>
        </w:rPr>
        <w:t>Logon</w:t>
      </w:r>
      <w:r>
        <w:rPr>
          <w:rFonts w:ascii="Arial"/>
          <w:color w:val="231F20"/>
          <w:spacing w:val="28"/>
          <w:sz w:val="18"/>
        </w:rPr>
        <w:t> </w:t>
      </w:r>
      <w:r>
        <w:rPr>
          <w:rFonts w:ascii="Arial"/>
          <w:color w:val="231F20"/>
          <w:sz w:val="18"/>
        </w:rPr>
        <w:t>was</w:t>
      </w:r>
      <w:r>
        <w:rPr>
          <w:rFonts w:ascii="Arial"/>
          <w:color w:val="231F20"/>
          <w:spacing w:val="29"/>
          <w:sz w:val="18"/>
        </w:rPr>
        <w:t> </w:t>
      </w:r>
      <w:r>
        <w:rPr>
          <w:rFonts w:ascii="Arial"/>
          <w:color w:val="231F20"/>
          <w:sz w:val="18"/>
        </w:rPr>
        <w:t>successful.</w:t>
      </w:r>
      <w:r>
        <w:rPr>
          <w:rFonts w:ascii="Arial"/>
          <w:color w:val="231F20"/>
          <w:spacing w:val="28"/>
          <w:sz w:val="18"/>
        </w:rPr>
        <w:t> </w:t>
      </w:r>
      <w:r>
        <w:rPr>
          <w:rFonts w:ascii="Arial"/>
          <w:color w:val="231F20"/>
          <w:sz w:val="18"/>
        </w:rPr>
        <w:t>So</w:t>
      </w:r>
      <w:r>
        <w:rPr>
          <w:rFonts w:ascii="Arial"/>
          <w:color w:val="231F20"/>
          <w:spacing w:val="28"/>
          <w:sz w:val="18"/>
        </w:rPr>
        <w:t> </w:t>
      </w:r>
      <w:r>
        <w:rPr>
          <w:rFonts w:ascii="Arial"/>
          <w:color w:val="231F20"/>
          <w:sz w:val="18"/>
        </w:rPr>
        <w:t>Zoom</w:t>
      </w:r>
      <w:r>
        <w:rPr>
          <w:rFonts w:ascii="Arial"/>
          <w:color w:val="231F20"/>
          <w:spacing w:val="29"/>
          <w:sz w:val="18"/>
        </w:rPr>
        <w:t> </w:t>
      </w:r>
      <w:r>
        <w:rPr>
          <w:rFonts w:ascii="Arial"/>
          <w:color w:val="231F20"/>
          <w:sz w:val="18"/>
        </w:rPr>
        <w:t>to</w:t>
      </w:r>
      <w:r>
        <w:rPr>
          <w:rFonts w:ascii="Arial"/>
          <w:color w:val="231F20"/>
          <w:spacing w:val="28"/>
          <w:sz w:val="18"/>
        </w:rPr>
        <w:t> </w:t>
      </w:r>
      <w:r>
        <w:rPr>
          <w:rFonts w:ascii="Arial"/>
          <w:color w:val="231F20"/>
          <w:sz w:val="18"/>
        </w:rPr>
        <w:t>the</w:t>
      </w:r>
      <w:r>
        <w:rPr>
          <w:rFonts w:ascii="Arial"/>
          <w:color w:val="231F20"/>
          <w:spacing w:val="28"/>
          <w:sz w:val="18"/>
        </w:rPr>
        <w:t> </w:t>
      </w:r>
      <w:r>
        <w:rPr>
          <w:rFonts w:ascii="Arial"/>
          <w:color w:val="231F20"/>
          <w:spacing w:val="-2"/>
          <w:w w:val="95"/>
          <w:sz w:val="18"/>
        </w:rPr>
        <w:t>Omegamon</w:t>
      </w:r>
    </w:p>
    <w:p>
      <w:pPr>
        <w:spacing w:line="200" w:lineRule="exact" w:before="0"/>
        <w:ind w:left="2472" w:right="0" w:firstLine="0"/>
        <w:jc w:val="left"/>
        <w:rPr>
          <w:rFonts w:ascii="Arial" w:hAnsi="Arial"/>
          <w:sz w:val="18"/>
        </w:rPr>
      </w:pPr>
      <w:r>
        <w:rPr>
          <w:rFonts w:ascii="Arial" w:hAnsi="Arial"/>
          <w:color w:val="231F20"/>
          <w:w w:val="150"/>
          <w:sz w:val="18"/>
        </w:rPr>
        <w:t>//</w:t>
      </w:r>
      <w:r>
        <w:rPr>
          <w:rFonts w:ascii="Arial" w:hAnsi="Arial"/>
          <w:color w:val="231F20"/>
          <w:spacing w:val="12"/>
          <w:w w:val="150"/>
          <w:sz w:val="18"/>
        </w:rPr>
        <w:t> </w:t>
      </w:r>
      <w:r>
        <w:rPr>
          <w:rFonts w:ascii="Arial" w:hAnsi="Arial"/>
          <w:color w:val="231F20"/>
          <w:w w:val="105"/>
          <w:sz w:val="18"/>
        </w:rPr>
        <w:t>(we’re</w:t>
      </w:r>
      <w:r>
        <w:rPr>
          <w:rFonts w:ascii="Arial" w:hAnsi="Arial"/>
          <w:color w:val="231F20"/>
          <w:spacing w:val="35"/>
          <w:w w:val="105"/>
          <w:sz w:val="18"/>
        </w:rPr>
        <w:t> </w:t>
      </w:r>
      <w:r>
        <w:rPr>
          <w:rFonts w:ascii="Arial" w:hAnsi="Arial"/>
          <w:color w:val="231F20"/>
          <w:w w:val="105"/>
          <w:sz w:val="18"/>
        </w:rPr>
        <w:t>hard</w:t>
      </w:r>
      <w:r>
        <w:rPr>
          <w:rFonts w:ascii="Arial" w:hAnsi="Arial"/>
          <w:color w:val="231F20"/>
          <w:spacing w:val="35"/>
          <w:w w:val="105"/>
          <w:sz w:val="18"/>
        </w:rPr>
        <w:t> </w:t>
      </w:r>
      <w:r>
        <w:rPr>
          <w:rFonts w:ascii="Arial" w:hAnsi="Arial"/>
          <w:color w:val="231F20"/>
          <w:w w:val="105"/>
          <w:sz w:val="18"/>
        </w:rPr>
        <w:t>wire</w:t>
      </w:r>
      <w:r>
        <w:rPr>
          <w:rFonts w:ascii="Arial" w:hAnsi="Arial"/>
          <w:color w:val="231F20"/>
          <w:spacing w:val="35"/>
          <w:w w:val="105"/>
          <w:sz w:val="18"/>
        </w:rPr>
        <w:t> </w:t>
      </w:r>
      <w:r>
        <w:rPr>
          <w:rFonts w:ascii="Arial" w:hAnsi="Arial"/>
          <w:color w:val="231F20"/>
          <w:w w:val="105"/>
          <w:sz w:val="18"/>
        </w:rPr>
        <w:t>to</w:t>
      </w:r>
      <w:r>
        <w:rPr>
          <w:rFonts w:ascii="Arial" w:hAnsi="Arial"/>
          <w:color w:val="231F20"/>
          <w:spacing w:val="35"/>
          <w:w w:val="105"/>
          <w:sz w:val="18"/>
        </w:rPr>
        <w:t> </w:t>
      </w:r>
      <w:r>
        <w:rPr>
          <w:rFonts w:ascii="Arial" w:hAnsi="Arial"/>
          <w:color w:val="231F20"/>
          <w:w w:val="105"/>
          <w:sz w:val="18"/>
        </w:rPr>
        <w:t>IMS</w:t>
      </w:r>
      <w:r>
        <w:rPr>
          <w:rFonts w:ascii="Arial" w:hAnsi="Arial"/>
          <w:color w:val="231F20"/>
          <w:spacing w:val="35"/>
          <w:w w:val="105"/>
          <w:sz w:val="18"/>
        </w:rPr>
        <w:t> </w:t>
      </w:r>
      <w:r>
        <w:rPr>
          <w:rFonts w:ascii="Arial" w:hAnsi="Arial"/>
          <w:color w:val="231F20"/>
          <w:spacing w:val="-2"/>
          <w:w w:val="105"/>
          <w:sz w:val="18"/>
        </w:rPr>
        <w:t>Workload</w:t>
      </w:r>
    </w:p>
    <w:p>
      <w:pPr>
        <w:spacing w:line="200" w:lineRule="exact" w:before="0"/>
        <w:ind w:left="2472" w:right="0" w:firstLine="0"/>
        <w:jc w:val="left"/>
        <w:rPr>
          <w:rFonts w:ascii="Arial"/>
          <w:sz w:val="18"/>
        </w:rPr>
      </w:pPr>
      <w:r>
        <w:rPr>
          <w:rFonts w:ascii="Arial"/>
          <w:color w:val="231F20"/>
          <w:w w:val="150"/>
          <w:sz w:val="18"/>
        </w:rPr>
        <w:t>//</w:t>
      </w:r>
      <w:r>
        <w:rPr>
          <w:rFonts w:ascii="Arial"/>
          <w:color w:val="231F20"/>
          <w:spacing w:val="-10"/>
          <w:w w:val="150"/>
          <w:sz w:val="18"/>
        </w:rPr>
        <w:t> </w:t>
      </w:r>
      <w:r>
        <w:rPr>
          <w:rFonts w:ascii="Arial"/>
          <w:color w:val="231F20"/>
          <w:w w:val="120"/>
          <w:sz w:val="18"/>
        </w:rPr>
        <w:t>until</w:t>
      </w:r>
      <w:r>
        <w:rPr>
          <w:rFonts w:ascii="Arial"/>
          <w:color w:val="231F20"/>
          <w:spacing w:val="6"/>
          <w:w w:val="120"/>
          <w:sz w:val="18"/>
        </w:rPr>
        <w:t> </w:t>
      </w:r>
      <w:r>
        <w:rPr>
          <w:rFonts w:ascii="Arial"/>
          <w:color w:val="231F20"/>
          <w:w w:val="110"/>
          <w:sz w:val="18"/>
        </w:rPr>
        <w:t>system</w:t>
      </w:r>
      <w:r>
        <w:rPr>
          <w:rFonts w:ascii="Arial"/>
          <w:color w:val="231F20"/>
          <w:spacing w:val="11"/>
          <w:w w:val="110"/>
          <w:sz w:val="18"/>
        </w:rPr>
        <w:t> </w:t>
      </w:r>
      <w:r>
        <w:rPr>
          <w:rFonts w:ascii="Arial"/>
          <w:color w:val="231F20"/>
          <w:w w:val="110"/>
          <w:sz w:val="18"/>
        </w:rPr>
        <w:t>parm</w:t>
      </w:r>
      <w:r>
        <w:rPr>
          <w:rFonts w:ascii="Arial"/>
          <w:color w:val="231F20"/>
          <w:spacing w:val="11"/>
          <w:w w:val="110"/>
          <w:sz w:val="18"/>
        </w:rPr>
        <w:t> </w:t>
      </w:r>
      <w:r>
        <w:rPr>
          <w:rFonts w:ascii="Arial"/>
          <w:color w:val="231F20"/>
          <w:w w:val="110"/>
          <w:sz w:val="18"/>
        </w:rPr>
        <w:t>passing</w:t>
      </w:r>
      <w:r>
        <w:rPr>
          <w:rFonts w:ascii="Arial"/>
          <w:color w:val="231F20"/>
          <w:spacing w:val="5"/>
          <w:w w:val="120"/>
          <w:sz w:val="18"/>
        </w:rPr>
        <w:t> </w:t>
      </w:r>
      <w:r>
        <w:rPr>
          <w:rFonts w:ascii="Arial"/>
          <w:color w:val="231F20"/>
          <w:w w:val="120"/>
          <w:sz w:val="18"/>
        </w:rPr>
        <w:t>is</w:t>
      </w:r>
      <w:r>
        <w:rPr>
          <w:rFonts w:ascii="Arial"/>
          <w:color w:val="231F20"/>
          <w:spacing w:val="6"/>
          <w:w w:val="120"/>
          <w:sz w:val="18"/>
        </w:rPr>
        <w:t> </w:t>
      </w:r>
      <w:r>
        <w:rPr>
          <w:rFonts w:ascii="Arial"/>
          <w:color w:val="231F20"/>
          <w:spacing w:val="-2"/>
          <w:w w:val="110"/>
          <w:sz w:val="18"/>
        </w:rPr>
        <w:t>supported)</w:t>
      </w:r>
    </w:p>
    <w:p>
      <w:pPr>
        <w:spacing w:line="230" w:lineRule="auto" w:before="3"/>
        <w:ind w:left="2472" w:right="5605" w:firstLine="0"/>
        <w:jc w:val="left"/>
        <w:rPr>
          <w:rFonts w:ascii="Arial"/>
          <w:sz w:val="18"/>
        </w:rPr>
      </w:pPr>
      <w:r>
        <w:rPr>
          <w:rFonts w:ascii="Arial"/>
          <w:color w:val="231F20"/>
          <w:spacing w:val="-6"/>
          <w:w w:val="150"/>
          <w:sz w:val="18"/>
        </w:rPr>
        <w:t>// </w:t>
      </w:r>
      <w:r>
        <w:rPr>
          <w:rFonts w:ascii="Arial"/>
          <w:color w:val="231F20"/>
          <w:spacing w:val="-2"/>
          <w:sz w:val="18"/>
        </w:rPr>
        <w:t>Setstring("KMVPMZM1"); </w:t>
      </w:r>
      <w:r>
        <w:rPr>
          <w:rFonts w:ascii="Arial"/>
          <w:color w:val="231F20"/>
          <w:spacing w:val="-2"/>
          <w:w w:val="105"/>
          <w:sz w:val="18"/>
        </w:rPr>
        <w:t>sendkey("TAB"); setString("imsdc.wrt");</w:t>
      </w:r>
      <w:r>
        <w:rPr>
          <w:rFonts w:ascii="Arial"/>
          <w:color w:val="231F20"/>
          <w:spacing w:val="80"/>
          <w:w w:val="105"/>
          <w:sz w:val="18"/>
        </w:rPr>
        <w:t> </w:t>
      </w:r>
      <w:r>
        <w:rPr>
          <w:rFonts w:ascii="Arial"/>
          <w:color w:val="231F20"/>
          <w:spacing w:val="-2"/>
          <w:w w:val="105"/>
          <w:sz w:val="18"/>
        </w:rPr>
        <w:t>sendKey("ENTER"); waitforScreen();</w:t>
      </w:r>
    </w:p>
    <w:p>
      <w:pPr>
        <w:spacing w:before="198"/>
        <w:ind w:left="2472" w:right="0" w:firstLine="0"/>
        <w:jc w:val="left"/>
        <w:rPr>
          <w:rFonts w:ascii="Arial"/>
          <w:sz w:val="18"/>
        </w:rPr>
      </w:pPr>
      <w:r>
        <w:rPr>
          <w:rFonts w:ascii="Arial"/>
          <w:color w:val="231F20"/>
          <w:w w:val="105"/>
          <w:sz w:val="18"/>
        </w:rPr>
        <w:t>show();</w:t>
      </w:r>
      <w:r>
        <w:rPr>
          <w:rFonts w:ascii="Arial"/>
          <w:color w:val="231F20"/>
          <w:spacing w:val="-6"/>
          <w:w w:val="150"/>
          <w:sz w:val="18"/>
        </w:rPr>
        <w:t> </w:t>
      </w:r>
      <w:r>
        <w:rPr>
          <w:rFonts w:ascii="Arial"/>
          <w:color w:val="231F20"/>
          <w:w w:val="150"/>
          <w:sz w:val="18"/>
        </w:rPr>
        <w:t>//</w:t>
      </w:r>
      <w:r>
        <w:rPr>
          <w:rFonts w:ascii="Arial"/>
          <w:color w:val="231F20"/>
          <w:spacing w:val="-5"/>
          <w:w w:val="150"/>
          <w:sz w:val="18"/>
        </w:rPr>
        <w:t> </w:t>
      </w:r>
      <w:r>
        <w:rPr>
          <w:rFonts w:ascii="Arial"/>
          <w:color w:val="231F20"/>
          <w:w w:val="105"/>
          <w:sz w:val="18"/>
        </w:rPr>
        <w:t>show</w:t>
      </w:r>
      <w:r>
        <w:rPr>
          <w:rFonts w:ascii="Arial"/>
          <w:color w:val="231F20"/>
          <w:spacing w:val="17"/>
          <w:w w:val="105"/>
          <w:sz w:val="18"/>
        </w:rPr>
        <w:t> </w:t>
      </w:r>
      <w:r>
        <w:rPr>
          <w:rFonts w:ascii="Arial"/>
          <w:color w:val="231F20"/>
          <w:w w:val="105"/>
          <w:sz w:val="18"/>
        </w:rPr>
        <w:t>the</w:t>
      </w:r>
      <w:r>
        <w:rPr>
          <w:rFonts w:ascii="Arial"/>
          <w:color w:val="231F20"/>
          <w:spacing w:val="17"/>
          <w:w w:val="105"/>
          <w:sz w:val="18"/>
        </w:rPr>
        <w:t> </w:t>
      </w:r>
      <w:r>
        <w:rPr>
          <w:rFonts w:ascii="Arial"/>
          <w:color w:val="231F20"/>
          <w:w w:val="105"/>
          <w:sz w:val="18"/>
        </w:rPr>
        <w:t>results</w:t>
      </w:r>
      <w:r>
        <w:rPr>
          <w:rFonts w:ascii="Arial"/>
          <w:color w:val="231F20"/>
          <w:spacing w:val="17"/>
          <w:w w:val="105"/>
          <w:sz w:val="18"/>
        </w:rPr>
        <w:t> </w:t>
      </w:r>
      <w:r>
        <w:rPr>
          <w:rFonts w:ascii="Arial"/>
          <w:color w:val="231F20"/>
          <w:w w:val="105"/>
          <w:sz w:val="18"/>
        </w:rPr>
        <w:t>(should</w:t>
      </w:r>
      <w:r>
        <w:rPr>
          <w:rFonts w:ascii="Arial"/>
          <w:color w:val="231F20"/>
          <w:spacing w:val="17"/>
          <w:w w:val="105"/>
          <w:sz w:val="18"/>
        </w:rPr>
        <w:t> </w:t>
      </w:r>
      <w:r>
        <w:rPr>
          <w:rFonts w:ascii="Arial"/>
          <w:color w:val="231F20"/>
          <w:w w:val="105"/>
          <w:sz w:val="18"/>
        </w:rPr>
        <w:t>be</w:t>
      </w:r>
      <w:r>
        <w:rPr>
          <w:rFonts w:ascii="Arial"/>
          <w:color w:val="231F20"/>
          <w:spacing w:val="17"/>
          <w:w w:val="105"/>
          <w:sz w:val="18"/>
        </w:rPr>
        <w:t> </w:t>
      </w:r>
      <w:r>
        <w:rPr>
          <w:rFonts w:ascii="Arial"/>
          <w:color w:val="231F20"/>
          <w:w w:val="105"/>
          <w:sz w:val="18"/>
        </w:rPr>
        <w:t>the</w:t>
      </w:r>
      <w:r>
        <w:rPr>
          <w:rFonts w:ascii="Arial"/>
          <w:color w:val="231F20"/>
          <w:spacing w:val="17"/>
          <w:w w:val="105"/>
          <w:sz w:val="18"/>
        </w:rPr>
        <w:t> </w:t>
      </w:r>
      <w:r>
        <w:rPr>
          <w:rFonts w:ascii="Arial"/>
          <w:color w:val="231F20"/>
          <w:w w:val="95"/>
          <w:sz w:val="18"/>
        </w:rPr>
        <w:t>Omegamon</w:t>
      </w:r>
      <w:r>
        <w:rPr>
          <w:rFonts w:ascii="Arial"/>
          <w:color w:val="231F20"/>
          <w:spacing w:val="17"/>
          <w:w w:val="105"/>
          <w:sz w:val="18"/>
        </w:rPr>
        <w:t> </w:t>
      </w:r>
      <w:r>
        <w:rPr>
          <w:rFonts w:ascii="Arial"/>
          <w:color w:val="231F20"/>
          <w:spacing w:val="-2"/>
          <w:w w:val="105"/>
          <w:sz w:val="18"/>
        </w:rPr>
        <w:t>screen)</w:t>
      </w:r>
    </w:p>
    <w:p>
      <w:pPr>
        <w:spacing w:line="203" w:lineRule="exact" w:before="192"/>
        <w:ind w:left="2472" w:right="0" w:firstLine="0"/>
        <w:jc w:val="left"/>
        <w:rPr>
          <w:rFonts w:ascii="Arial" w:hAnsi="Arial"/>
          <w:sz w:val="18"/>
        </w:rPr>
      </w:pPr>
      <w:r>
        <w:rPr>
          <w:rFonts w:ascii="Arial" w:hAnsi="Arial"/>
          <w:color w:val="231F20"/>
          <w:spacing w:val="-2"/>
          <w:sz w:val="18"/>
        </w:rPr>
        <w:t>//</w:t>
      </w:r>
      <w:r>
        <w:rPr>
          <w:rFonts w:ascii="Arial" w:hAnsi="Arial"/>
          <w:color w:val="231F20"/>
          <w:spacing w:val="13"/>
          <w:sz w:val="18"/>
        </w:rPr>
        <w:t> </w:t>
      </w:r>
      <w:r>
        <w:rPr>
          <w:rFonts w:ascii="Arial" w:hAnsi="Arial"/>
          <w:color w:val="231F20"/>
          <w:spacing w:val="-2"/>
          <w:sz w:val="18"/>
        </w:rPr>
        <w:t>we</w:t>
      </w:r>
      <w:r>
        <w:rPr>
          <w:rFonts w:ascii="Arial" w:hAnsi="Arial"/>
          <w:color w:val="231F20"/>
          <w:spacing w:val="14"/>
          <w:sz w:val="18"/>
        </w:rPr>
        <w:t> </w:t>
      </w:r>
      <w:r>
        <w:rPr>
          <w:rFonts w:ascii="Arial" w:hAnsi="Arial"/>
          <w:color w:val="231F20"/>
          <w:spacing w:val="-2"/>
          <w:sz w:val="18"/>
        </w:rPr>
        <w:t>don’t</w:t>
      </w:r>
      <w:r>
        <w:rPr>
          <w:rFonts w:ascii="Arial" w:hAnsi="Arial"/>
          <w:color w:val="231F20"/>
          <w:spacing w:val="14"/>
          <w:sz w:val="18"/>
        </w:rPr>
        <w:t> </w:t>
      </w:r>
      <w:r>
        <w:rPr>
          <w:rFonts w:ascii="Arial" w:hAnsi="Arial"/>
          <w:color w:val="231F20"/>
          <w:spacing w:val="-2"/>
          <w:sz w:val="18"/>
        </w:rPr>
        <w:t>want</w:t>
      </w:r>
      <w:r>
        <w:rPr>
          <w:rFonts w:ascii="Arial" w:hAnsi="Arial"/>
          <w:color w:val="231F20"/>
          <w:spacing w:val="14"/>
          <w:sz w:val="18"/>
        </w:rPr>
        <w:t> </w:t>
      </w:r>
      <w:r>
        <w:rPr>
          <w:rFonts w:ascii="Arial" w:hAnsi="Arial"/>
          <w:color w:val="231F20"/>
          <w:spacing w:val="-2"/>
          <w:sz w:val="18"/>
        </w:rPr>
        <w:t>to</w:t>
      </w:r>
      <w:r>
        <w:rPr>
          <w:rFonts w:ascii="Arial" w:hAnsi="Arial"/>
          <w:color w:val="231F20"/>
          <w:spacing w:val="13"/>
          <w:sz w:val="18"/>
        </w:rPr>
        <w:t> </w:t>
      </w:r>
      <w:r>
        <w:rPr>
          <w:rFonts w:ascii="Arial" w:hAnsi="Arial"/>
          <w:color w:val="231F20"/>
          <w:spacing w:val="-2"/>
          <w:sz w:val="18"/>
        </w:rPr>
        <w:t>show</w:t>
      </w:r>
      <w:r>
        <w:rPr>
          <w:rFonts w:ascii="Arial" w:hAnsi="Arial"/>
          <w:color w:val="231F20"/>
          <w:spacing w:val="14"/>
          <w:sz w:val="18"/>
        </w:rPr>
        <w:t> </w:t>
      </w:r>
      <w:r>
        <w:rPr>
          <w:rFonts w:ascii="Arial" w:hAnsi="Arial"/>
          <w:color w:val="231F20"/>
          <w:spacing w:val="-2"/>
          <w:sz w:val="18"/>
        </w:rPr>
        <w:t>the</w:t>
      </w:r>
      <w:r>
        <w:rPr>
          <w:rFonts w:ascii="Arial" w:hAnsi="Arial"/>
          <w:color w:val="231F20"/>
          <w:spacing w:val="14"/>
          <w:sz w:val="18"/>
        </w:rPr>
        <w:t> </w:t>
      </w:r>
      <w:r>
        <w:rPr>
          <w:rFonts w:ascii="Arial" w:hAnsi="Arial"/>
          <w:color w:val="231F20"/>
          <w:spacing w:val="-2"/>
          <w:sz w:val="18"/>
        </w:rPr>
        <w:t>Omegaview</w:t>
      </w:r>
      <w:r>
        <w:rPr>
          <w:rFonts w:ascii="Arial" w:hAnsi="Arial"/>
          <w:color w:val="231F20"/>
          <w:spacing w:val="14"/>
          <w:sz w:val="18"/>
        </w:rPr>
        <w:t> </w:t>
      </w:r>
      <w:r>
        <w:rPr>
          <w:rFonts w:ascii="Arial" w:hAnsi="Arial"/>
          <w:color w:val="231F20"/>
          <w:spacing w:val="-2"/>
          <w:sz w:val="18"/>
        </w:rPr>
        <w:t>Command</w:t>
      </w:r>
      <w:r>
        <w:rPr>
          <w:rFonts w:ascii="Arial" w:hAnsi="Arial"/>
          <w:color w:val="231F20"/>
          <w:spacing w:val="14"/>
          <w:sz w:val="18"/>
        </w:rPr>
        <w:t> </w:t>
      </w:r>
      <w:r>
        <w:rPr>
          <w:rFonts w:ascii="Arial" w:hAnsi="Arial"/>
          <w:color w:val="231F20"/>
          <w:spacing w:val="-2"/>
          <w:sz w:val="18"/>
        </w:rPr>
        <w:t>Screen</w:t>
      </w:r>
    </w:p>
    <w:p>
      <w:pPr>
        <w:spacing w:line="230" w:lineRule="auto" w:before="3"/>
        <w:ind w:left="2472" w:right="2112" w:firstLine="0"/>
        <w:jc w:val="left"/>
        <w:rPr>
          <w:rFonts w:ascii="Arial"/>
          <w:sz w:val="18"/>
        </w:rPr>
      </w:pPr>
      <w:r>
        <w:rPr>
          <w:rFonts w:ascii="Arial"/>
          <w:color w:val="231F20"/>
          <w:w w:val="150"/>
          <w:sz w:val="18"/>
        </w:rPr>
        <w:t>//</w:t>
      </w:r>
      <w:r>
        <w:rPr>
          <w:rFonts w:ascii="Arial"/>
          <w:color w:val="231F20"/>
          <w:spacing w:val="-10"/>
          <w:w w:val="150"/>
          <w:sz w:val="18"/>
        </w:rPr>
        <w:t> </w:t>
      </w:r>
      <w:r>
        <w:rPr>
          <w:rFonts w:ascii="Arial"/>
          <w:color w:val="231F20"/>
          <w:sz w:val="18"/>
        </w:rPr>
        <w:t>so</w:t>
      </w:r>
      <w:r>
        <w:rPr>
          <w:rFonts w:ascii="Arial"/>
          <w:color w:val="231F20"/>
          <w:spacing w:val="15"/>
          <w:sz w:val="18"/>
        </w:rPr>
        <w:t> </w:t>
      </w:r>
      <w:r>
        <w:rPr>
          <w:rFonts w:ascii="Arial"/>
          <w:color w:val="231F20"/>
          <w:sz w:val="18"/>
        </w:rPr>
        <w:t>when</w:t>
      </w:r>
      <w:r>
        <w:rPr>
          <w:rFonts w:ascii="Arial"/>
          <w:color w:val="231F20"/>
          <w:spacing w:val="15"/>
          <w:sz w:val="18"/>
        </w:rPr>
        <w:t> </w:t>
      </w:r>
      <w:r>
        <w:rPr>
          <w:rFonts w:ascii="Arial"/>
          <w:color w:val="231F20"/>
          <w:sz w:val="18"/>
        </w:rPr>
        <w:t>they</w:t>
      </w:r>
      <w:r>
        <w:rPr>
          <w:rFonts w:ascii="Arial"/>
          <w:color w:val="231F20"/>
          <w:spacing w:val="15"/>
          <w:sz w:val="18"/>
        </w:rPr>
        <w:t> </w:t>
      </w:r>
      <w:r>
        <w:rPr>
          <w:rFonts w:ascii="Arial"/>
          <w:color w:val="231F20"/>
          <w:sz w:val="18"/>
        </w:rPr>
        <w:t>dismiss</w:t>
      </w:r>
      <w:r>
        <w:rPr>
          <w:rFonts w:ascii="Arial"/>
          <w:color w:val="231F20"/>
          <w:spacing w:val="15"/>
          <w:sz w:val="18"/>
        </w:rPr>
        <w:t> </w:t>
      </w:r>
      <w:r>
        <w:rPr>
          <w:rFonts w:ascii="Arial"/>
          <w:color w:val="231F20"/>
          <w:sz w:val="18"/>
        </w:rPr>
        <w:t>the</w:t>
      </w:r>
      <w:r>
        <w:rPr>
          <w:rFonts w:ascii="Arial"/>
          <w:color w:val="231F20"/>
          <w:spacing w:val="15"/>
          <w:sz w:val="18"/>
        </w:rPr>
        <w:t> </w:t>
      </w:r>
      <w:r>
        <w:rPr>
          <w:rFonts w:ascii="Arial"/>
          <w:color w:val="231F20"/>
          <w:sz w:val="18"/>
        </w:rPr>
        <w:t>Omegamon</w:t>
      </w:r>
      <w:r>
        <w:rPr>
          <w:rFonts w:ascii="Arial"/>
          <w:color w:val="231F20"/>
          <w:spacing w:val="15"/>
          <w:sz w:val="18"/>
        </w:rPr>
        <w:t> </w:t>
      </w:r>
      <w:r>
        <w:rPr>
          <w:rFonts w:ascii="Arial"/>
          <w:color w:val="231F20"/>
          <w:sz w:val="18"/>
        </w:rPr>
        <w:t>zoom,</w:t>
      </w:r>
      <w:r>
        <w:rPr>
          <w:rFonts w:ascii="Arial"/>
          <w:color w:val="231F20"/>
          <w:spacing w:val="15"/>
          <w:sz w:val="18"/>
        </w:rPr>
        <w:t> </w:t>
      </w:r>
      <w:r>
        <w:rPr>
          <w:rFonts w:ascii="Arial"/>
          <w:color w:val="231F20"/>
          <w:sz w:val="18"/>
        </w:rPr>
        <w:t>we</w:t>
      </w:r>
      <w:r>
        <w:rPr>
          <w:rFonts w:ascii="Arial"/>
          <w:color w:val="231F20"/>
          <w:w w:val="120"/>
          <w:sz w:val="18"/>
        </w:rPr>
        <w:t> will</w:t>
      </w:r>
      <w:r>
        <w:rPr>
          <w:rFonts w:ascii="Arial"/>
          <w:color w:val="231F20"/>
          <w:w w:val="120"/>
          <w:sz w:val="18"/>
        </w:rPr>
        <w:t> </w:t>
      </w:r>
      <w:r>
        <w:rPr>
          <w:rFonts w:ascii="Arial"/>
          <w:color w:val="231F20"/>
          <w:sz w:val="18"/>
        </w:rPr>
        <w:t>disconnect while</w:t>
      </w:r>
      <w:r>
        <w:rPr>
          <w:rFonts w:ascii="Arial"/>
          <w:color w:val="231F20"/>
          <w:w w:val="120"/>
          <w:sz w:val="18"/>
        </w:rPr>
        <w:t> (1)</w:t>
      </w:r>
    </w:p>
    <w:p>
      <w:pPr>
        <w:spacing w:line="202" w:lineRule="exact" w:before="0"/>
        <w:ind w:left="2472" w:right="0" w:firstLine="0"/>
        <w:jc w:val="left"/>
        <w:rPr>
          <w:rFonts w:ascii="Arial"/>
          <w:sz w:val="18"/>
        </w:rPr>
      </w:pPr>
      <w:r>
        <w:rPr>
          <w:rFonts w:ascii="Arial"/>
          <w:color w:val="231F20"/>
          <w:spacing w:val="-10"/>
          <w:w w:val="150"/>
          <w:sz w:val="18"/>
        </w:rPr>
        <w:t>{</w:t>
      </w:r>
    </w:p>
    <w:p>
      <w:pPr>
        <w:spacing w:line="196" w:lineRule="exact" w:before="0"/>
        <w:ind w:left="2651" w:right="0" w:firstLine="0"/>
        <w:jc w:val="left"/>
        <w:rPr>
          <w:rFonts w:ascii="Arial"/>
          <w:sz w:val="18"/>
        </w:rPr>
      </w:pPr>
      <w:r>
        <w:rPr>
          <w:rFonts w:ascii="Arial"/>
          <w:color w:val="231F20"/>
          <w:spacing w:val="-2"/>
          <w:w w:val="105"/>
          <w:sz w:val="18"/>
        </w:rPr>
        <w:t>waitforScreen(20000);</w:t>
      </w:r>
    </w:p>
    <w:p>
      <w:pPr>
        <w:spacing w:line="200" w:lineRule="exact" w:before="0"/>
        <w:ind w:left="2651" w:right="0" w:firstLine="0"/>
        <w:jc w:val="left"/>
        <w:rPr>
          <w:rFonts w:ascii="Arial"/>
          <w:sz w:val="18"/>
        </w:rPr>
      </w:pPr>
      <w:r>
        <w:rPr>
          <w:rFonts w:ascii="Arial"/>
          <w:color w:val="231F20"/>
          <w:sz w:val="18"/>
        </w:rPr>
        <w:t>if</w:t>
      </w:r>
      <w:r>
        <w:rPr>
          <w:rFonts w:ascii="Arial"/>
          <w:color w:val="231F20"/>
          <w:spacing w:val="27"/>
          <w:sz w:val="18"/>
        </w:rPr>
        <w:t> </w:t>
      </w:r>
      <w:r>
        <w:rPr>
          <w:rFonts w:ascii="Arial"/>
          <w:color w:val="231F20"/>
          <w:sz w:val="18"/>
        </w:rPr>
        <w:t>(findString(CMD_PANEL_ID)</w:t>
      </w:r>
      <w:r>
        <w:rPr>
          <w:rFonts w:ascii="Arial"/>
          <w:color w:val="231F20"/>
          <w:spacing w:val="27"/>
          <w:sz w:val="18"/>
        </w:rPr>
        <w:t> </w:t>
      </w:r>
      <w:r>
        <w:rPr>
          <w:rFonts w:ascii="Arial"/>
          <w:color w:val="231F20"/>
          <w:sz w:val="18"/>
        </w:rPr>
        <w:t>&gt;=</w:t>
      </w:r>
      <w:r>
        <w:rPr>
          <w:rFonts w:ascii="Arial"/>
          <w:color w:val="231F20"/>
          <w:spacing w:val="27"/>
          <w:sz w:val="18"/>
        </w:rPr>
        <w:t> </w:t>
      </w:r>
      <w:r>
        <w:rPr>
          <w:rFonts w:ascii="Arial"/>
          <w:color w:val="231F20"/>
          <w:spacing w:val="-5"/>
          <w:sz w:val="18"/>
        </w:rPr>
        <w:t>0)</w:t>
      </w:r>
    </w:p>
    <w:p>
      <w:pPr>
        <w:spacing w:line="203" w:lineRule="exact" w:before="0"/>
        <w:ind w:left="2741" w:right="0" w:firstLine="0"/>
        <w:jc w:val="left"/>
        <w:rPr>
          <w:rFonts w:ascii="Arial"/>
          <w:sz w:val="18"/>
        </w:rPr>
      </w:pPr>
      <w:r>
        <w:rPr>
          <w:rFonts w:ascii="Arial"/>
          <w:color w:val="231F20"/>
          <w:spacing w:val="-10"/>
          <w:w w:val="150"/>
          <w:sz w:val="18"/>
        </w:rPr>
        <w:t>{</w:t>
      </w:r>
    </w:p>
    <w:p>
      <w:pPr>
        <w:spacing w:line="230" w:lineRule="auto" w:before="0"/>
        <w:ind w:left="2921" w:right="4095" w:firstLine="0"/>
        <w:jc w:val="left"/>
        <w:rPr>
          <w:rFonts w:ascii="Arial"/>
          <w:sz w:val="18"/>
        </w:rPr>
      </w:pPr>
      <w:r>
        <w:rPr>
          <w:rFonts w:ascii="Arial"/>
          <w:color w:val="231F20"/>
          <w:spacing w:val="-2"/>
          <w:w w:val="85"/>
          <w:sz w:val="18"/>
        </w:rPr>
        <w:t>sendKey(DEF_EDITKEY_TAG); </w:t>
      </w:r>
      <w:r>
        <w:rPr>
          <w:rFonts w:ascii="Arial"/>
          <w:color w:val="231F20"/>
          <w:spacing w:val="-2"/>
          <w:sz w:val="18"/>
        </w:rPr>
        <w:t>waitforScreen();</w:t>
      </w:r>
    </w:p>
    <w:p>
      <w:pPr>
        <w:spacing w:line="198" w:lineRule="exact" w:before="0"/>
        <w:ind w:left="2921" w:right="0" w:firstLine="0"/>
        <w:jc w:val="left"/>
        <w:rPr>
          <w:rFonts w:ascii="Arial"/>
          <w:sz w:val="18"/>
        </w:rPr>
      </w:pPr>
      <w:r>
        <w:rPr>
          <w:rFonts w:ascii="Arial"/>
          <w:color w:val="231F20"/>
          <w:spacing w:val="-2"/>
          <w:w w:val="105"/>
          <w:sz w:val="18"/>
        </w:rPr>
        <w:t>break;</w:t>
      </w:r>
    </w:p>
    <w:p>
      <w:pPr>
        <w:spacing w:line="200" w:lineRule="exact" w:before="0"/>
        <w:ind w:left="2741" w:right="0" w:firstLine="0"/>
        <w:jc w:val="left"/>
        <w:rPr>
          <w:rFonts w:ascii="Arial"/>
          <w:sz w:val="18"/>
        </w:rPr>
      </w:pPr>
      <w:r>
        <w:rPr>
          <w:rFonts w:ascii="Arial"/>
          <w:color w:val="231F20"/>
          <w:spacing w:val="-10"/>
          <w:w w:val="150"/>
          <w:sz w:val="18"/>
        </w:rPr>
        <w:t>}</w:t>
      </w:r>
    </w:p>
    <w:p>
      <w:pPr>
        <w:spacing w:line="203" w:lineRule="exact" w:before="0"/>
        <w:ind w:left="2562" w:right="0" w:firstLine="0"/>
        <w:jc w:val="left"/>
        <w:rPr>
          <w:rFonts w:ascii="Arial"/>
          <w:sz w:val="18"/>
        </w:rPr>
      </w:pPr>
      <w:r>
        <w:rPr>
          <w:rFonts w:ascii="Arial"/>
          <w:color w:val="231F20"/>
          <w:spacing w:val="-10"/>
          <w:w w:val="150"/>
          <w:sz w:val="18"/>
        </w:rPr>
        <w:t>}</w:t>
      </w:r>
    </w:p>
    <w:p>
      <w:pPr>
        <w:spacing w:after="0" w:line="203" w:lineRule="exact"/>
        <w:jc w:val="left"/>
        <w:rPr>
          <w:rFonts w:ascii="Arial"/>
          <w:sz w:val="18"/>
        </w:rPr>
        <w:sectPr>
          <w:pgSz w:w="12240" w:h="15840"/>
          <w:pgMar w:header="0" w:footer="736" w:top="1200" w:bottom="920" w:left="1000" w:right="1060"/>
        </w:sectPr>
      </w:pPr>
    </w:p>
    <w:p>
      <w:pPr>
        <w:pStyle w:val="BodyText"/>
        <w:spacing w:before="4"/>
        <w:rPr>
          <w:rFonts w:ascii="Arial"/>
          <w:sz w:val="17"/>
        </w:rPr>
      </w:pPr>
    </w:p>
    <w:p>
      <w:pPr>
        <w:spacing w:after="0"/>
        <w:rPr>
          <w:rFonts w:ascii="Arial"/>
          <w:sz w:val="17"/>
        </w:rPr>
        <w:sectPr>
          <w:pgSz w:w="12240" w:h="15840"/>
          <w:pgMar w:header="0" w:footer="736" w:top="1820" w:bottom="920" w:left="1000" w:right="1060"/>
        </w:sectPr>
      </w:pPr>
    </w:p>
    <w:p>
      <w:pPr>
        <w:pStyle w:val="BodyText"/>
        <w:spacing w:line="20" w:lineRule="exact"/>
        <w:ind w:left="436"/>
        <w:rPr>
          <w:rFonts w:ascii="Arial"/>
          <w:sz w:val="2"/>
        </w:rPr>
      </w:pPr>
      <w:bookmarkStart w:name="_bookmark139" w:id="306"/>
      <w:bookmarkEnd w:id="306"/>
      <w:r>
        <w:rPr/>
      </w:r>
      <w:r>
        <w:rPr>
          <w:rFonts w:ascii="Arial"/>
          <w:sz w:val="2"/>
        </w:rPr>
        <mc:AlternateContent>
          <mc:Choice Requires="wps">
            <w:drawing>
              <wp:inline distT="0" distB="0" distL="0" distR="0">
                <wp:extent cx="6082665" cy="25400"/>
                <wp:effectExtent l="19050" t="0" r="3810" b="3175"/>
                <wp:docPr id="1655" name="Group 1655"/>
                <wp:cNvGraphicFramePr>
                  <a:graphicFrameLocks/>
                </wp:cNvGraphicFramePr>
                <a:graphic>
                  <a:graphicData uri="http://schemas.microsoft.com/office/word/2010/wordprocessingGroup">
                    <wpg:wgp>
                      <wpg:cNvPr id="1655" name="Group 1655"/>
                      <wpg:cNvGrpSpPr/>
                      <wpg:grpSpPr>
                        <a:xfrm>
                          <a:off x="0" y="0"/>
                          <a:ext cx="6082665" cy="25400"/>
                          <a:chExt cx="6082665" cy="25400"/>
                        </a:xfrm>
                      </wpg:grpSpPr>
                      <wps:wsp>
                        <wps:cNvPr id="1656" name="Graphic 165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69" coordorigin="0,0" coordsize="9579,40">
                <v:line style="position:absolute" from="0,20" to="9579,20" stroked="true" strokeweight="1.996pt" strokecolor="#231f20">
                  <v:stroke dashstyle="solid"/>
                </v:line>
              </v:group>
            </w:pict>
          </mc:Fallback>
        </mc:AlternateContent>
      </w:r>
      <w:r>
        <w:rPr>
          <w:rFonts w:ascii="Arial"/>
          <w:sz w:val="2"/>
        </w:rPr>
      </w:r>
    </w:p>
    <w:p>
      <w:pPr>
        <w:pStyle w:val="BodyText"/>
        <w:spacing w:before="142"/>
        <w:rPr>
          <w:rFonts w:ascii="Arial"/>
          <w:sz w:val="32"/>
        </w:rPr>
      </w:pPr>
    </w:p>
    <w:p>
      <w:pPr>
        <w:pStyle w:val="Heading2"/>
      </w:pPr>
      <w:bookmarkStart w:name="Chapter 7. Custom queries" w:id="307"/>
      <w:bookmarkEnd w:id="307"/>
      <w:r>
        <w:rPr>
          <w:b w:val="0"/>
        </w:rPr>
      </w:r>
      <w:bookmarkStart w:name="_bookmark138" w:id="308"/>
      <w:bookmarkEnd w:id="308"/>
      <w:r>
        <w:rPr>
          <w:b w:val="0"/>
        </w:rPr>
      </w:r>
      <w:r>
        <w:rPr>
          <w:color w:val="231F20"/>
        </w:rPr>
        <w:t>Chapter</w:t>
      </w:r>
      <w:r>
        <w:rPr>
          <w:color w:val="231F20"/>
          <w:spacing w:val="-9"/>
        </w:rPr>
        <w:t> </w:t>
      </w:r>
      <w:r>
        <w:rPr>
          <w:color w:val="231F20"/>
        </w:rPr>
        <w:t>7.</w:t>
      </w:r>
      <w:r>
        <w:rPr>
          <w:color w:val="231F20"/>
          <w:spacing w:val="7"/>
        </w:rPr>
        <w:t> </w:t>
      </w:r>
      <w:r>
        <w:rPr>
          <w:color w:val="231F20"/>
        </w:rPr>
        <w:t>Custom</w:t>
      </w:r>
      <w:r>
        <w:rPr>
          <w:color w:val="231F20"/>
          <w:spacing w:val="8"/>
        </w:rPr>
        <w:t> </w:t>
      </w:r>
      <w:r>
        <w:rPr>
          <w:color w:val="231F20"/>
          <w:spacing w:val="-2"/>
        </w:rPr>
        <w:t>queries</w:t>
      </w:r>
    </w:p>
    <w:p>
      <w:pPr>
        <w:pStyle w:val="BodyText"/>
        <w:spacing w:line="213" w:lineRule="auto" w:before="304"/>
        <w:ind w:left="2472" w:right="379"/>
      </w:pPr>
      <w:r>
        <w:rPr>
          <w:color w:val="231F20"/>
        </w:rPr>
        <w:t>In views that display monitored data, attribute values from managed systems are retrieved by queries to the Tivoli Enterprise Monitoring Server. You can edit the queries that are used in the predefined workspaces for your monitoring </w:t>
      </w:r>
      <w:r>
        <w:rPr>
          <w:color w:val="231F20"/>
        </w:rPr>
        <w:t>products, or create new queries to populate new views. In addition, you can retrieve data from any JDBC- or ODBC-compliant database to display in a chart or table by writing an SQL SELECT statement.</w:t>
      </w:r>
    </w:p>
    <w:p>
      <w:pPr>
        <w:pStyle w:val="BodyText"/>
        <w:spacing w:before="3"/>
        <w:rPr>
          <w:sz w:val="16"/>
        </w:rPr>
      </w:pPr>
      <w:r>
        <w:rPr/>
        <mc:AlternateContent>
          <mc:Choice Requires="wps">
            <w:drawing>
              <wp:anchor distT="0" distB="0" distL="0" distR="0" allowOverlap="1" layoutInCell="1" locked="0" behindDoc="1" simplePos="0" relativeHeight="487707136">
                <wp:simplePos x="0" y="0"/>
                <wp:positionH relativeFrom="page">
                  <wp:posOffset>912380</wp:posOffset>
                </wp:positionH>
                <wp:positionV relativeFrom="paragraph">
                  <wp:posOffset>154280</wp:posOffset>
                </wp:positionV>
                <wp:extent cx="6082665" cy="1270"/>
                <wp:effectExtent l="0" t="0" r="0" b="0"/>
                <wp:wrapTopAndBottom/>
                <wp:docPr id="1657" name="Graphic 1657"/>
                <wp:cNvGraphicFramePr>
                  <a:graphicFrameLocks/>
                </wp:cNvGraphicFramePr>
                <a:graphic>
                  <a:graphicData uri="http://schemas.microsoft.com/office/word/2010/wordprocessingShape">
                    <wps:wsp>
                      <wps:cNvPr id="1657" name="Graphic 165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48059pt;width:478.95pt;height:.1pt;mso-position-horizontal-relative:page;mso-position-vertical-relative:paragraph;z-index:-15609344;mso-wrap-distance-left:0;mso-wrap-distance-right:0" id="docshape170"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Understanding queries" w:id="309"/>
      <w:bookmarkEnd w:id="309"/>
      <w:r>
        <w:rPr>
          <w:b w:val="0"/>
        </w:rPr>
      </w:r>
      <w:r>
        <w:rPr>
          <w:color w:val="231F20"/>
        </w:rPr>
        <w:t>Understanding</w:t>
      </w:r>
      <w:r>
        <w:rPr>
          <w:color w:val="231F20"/>
          <w:spacing w:val="-5"/>
        </w:rPr>
        <w:t> </w:t>
      </w:r>
      <w:r>
        <w:rPr>
          <w:color w:val="231F20"/>
          <w:spacing w:val="-2"/>
        </w:rPr>
        <w:t>queries</w:t>
      </w:r>
    </w:p>
    <w:p>
      <w:pPr>
        <w:pStyle w:val="BodyText"/>
        <w:spacing w:line="213" w:lineRule="auto" w:before="138"/>
        <w:ind w:left="2472" w:right="385"/>
      </w:pPr>
      <w:r>
        <w:rPr>
          <w:color w:val="231F20"/>
        </w:rPr>
        <w:t>Queries are made to the Tivoli Enterprise Monitoring Server to retrieve sampled attribute values from managed systems for display in workspace chart views, </w:t>
      </w:r>
      <w:r>
        <w:rPr>
          <w:color w:val="231F20"/>
        </w:rPr>
        <w:t>the table view and relational table-based topology views. There are benefits and limitations that you must be aware of when creating custom queries to the monitoring server or SQL queries to a JDBC- or ODBC-compliant data source.</w:t>
      </w:r>
    </w:p>
    <w:p>
      <w:pPr>
        <w:pStyle w:val="Heading6"/>
        <w:spacing w:before="116"/>
      </w:pPr>
      <w:r>
        <w:rPr>
          <w:color w:val="231F20"/>
        </w:rPr>
        <w:t>Queries</w:t>
      </w:r>
      <w:r>
        <w:rPr>
          <w:color w:val="231F20"/>
          <w:spacing w:val="10"/>
        </w:rPr>
        <w:t> </w:t>
      </w:r>
      <w:r>
        <w:rPr>
          <w:color w:val="231F20"/>
        </w:rPr>
        <w:t>to</w:t>
      </w:r>
      <w:r>
        <w:rPr>
          <w:color w:val="231F20"/>
          <w:spacing w:val="10"/>
        </w:rPr>
        <w:t> </w:t>
      </w:r>
      <w:r>
        <w:rPr>
          <w:color w:val="231F20"/>
        </w:rPr>
        <w:t>the</w:t>
      </w:r>
      <w:r>
        <w:rPr>
          <w:color w:val="231F20"/>
          <w:spacing w:val="11"/>
        </w:rPr>
        <w:t> </w:t>
      </w:r>
      <w:r>
        <w:rPr>
          <w:color w:val="231F20"/>
        </w:rPr>
        <w:t>monitoring</w:t>
      </w:r>
      <w:r>
        <w:rPr>
          <w:color w:val="231F20"/>
          <w:spacing w:val="10"/>
        </w:rPr>
        <w:t> </w:t>
      </w:r>
      <w:r>
        <w:rPr>
          <w:color w:val="231F20"/>
          <w:spacing w:val="-2"/>
        </w:rPr>
        <w:t>server</w:t>
      </w:r>
    </w:p>
    <w:p>
      <w:pPr>
        <w:pStyle w:val="BodyText"/>
        <w:spacing w:line="213" w:lineRule="auto" w:before="11"/>
        <w:ind w:left="3190" w:right="385"/>
      </w:pPr>
      <w:r>
        <w:rPr>
          <w:color w:val="231F20"/>
        </w:rPr>
        <w:t>For queries written to the monitoring server, the Queries editor enables</w:t>
      </w:r>
      <w:r>
        <w:rPr>
          <w:color w:val="231F20"/>
          <w:spacing w:val="80"/>
        </w:rPr>
        <w:t> </w:t>
      </w:r>
      <w:r>
        <w:rPr>
          <w:color w:val="231F20"/>
        </w:rPr>
        <w:t>you to add a pre-filter, composed in the same way as a filter for a table or</w:t>
      </w:r>
      <w:r>
        <w:rPr>
          <w:color w:val="231F20"/>
          <w:spacing w:val="40"/>
        </w:rPr>
        <w:t> </w:t>
      </w:r>
      <w:r>
        <w:rPr>
          <w:color w:val="231F20"/>
        </w:rPr>
        <w:t>chart view in the Properties editor. Additionally, you can add a column function to average, count, total, or find the minimum or maximum value</w:t>
      </w:r>
      <w:r>
        <w:rPr>
          <w:color w:val="231F20"/>
          <w:spacing w:val="40"/>
        </w:rPr>
        <w:t> </w:t>
      </w:r>
      <w:r>
        <w:rPr>
          <w:color w:val="231F20"/>
        </w:rPr>
        <w:t>of a column grouping. The example below shows the Tivoli Enterprise Monitoring</w:t>
      </w:r>
      <w:r>
        <w:rPr>
          <w:color w:val="231F20"/>
          <w:spacing w:val="16"/>
        </w:rPr>
        <w:t> </w:t>
      </w:r>
      <w:r>
        <w:rPr>
          <w:color w:val="231F20"/>
        </w:rPr>
        <w:t>Server</w:t>
      </w:r>
      <w:r>
        <w:rPr>
          <w:color w:val="231F20"/>
          <w:spacing w:val="16"/>
        </w:rPr>
        <w:t> </w:t>
      </w:r>
      <w:r>
        <w:rPr>
          <w:color w:val="231F20"/>
        </w:rPr>
        <w:t>query</w:t>
      </w:r>
      <w:r>
        <w:rPr>
          <w:color w:val="231F20"/>
          <w:spacing w:val="16"/>
        </w:rPr>
        <w:t> </w:t>
      </w:r>
      <w:r>
        <w:rPr>
          <w:rFonts w:ascii="Arial"/>
          <w:color w:val="231F20"/>
        </w:rPr>
        <w:t>Open</w:t>
      </w:r>
      <w:r>
        <w:rPr>
          <w:rFonts w:ascii="Arial"/>
          <w:color w:val="231F20"/>
          <w:spacing w:val="10"/>
        </w:rPr>
        <w:t> </w:t>
      </w:r>
      <w:r>
        <w:rPr>
          <w:rFonts w:ascii="Arial"/>
          <w:color w:val="231F20"/>
        </w:rPr>
        <w:t>Events</w:t>
      </w:r>
      <w:r>
        <w:rPr>
          <w:rFonts w:ascii="Arial"/>
          <w:color w:val="231F20"/>
          <w:spacing w:val="10"/>
        </w:rPr>
        <w:t> </w:t>
      </w:r>
      <w:r>
        <w:rPr>
          <w:rFonts w:ascii="Arial"/>
          <w:color w:val="231F20"/>
        </w:rPr>
        <w:t>Count</w:t>
      </w:r>
      <w:r>
        <w:rPr>
          <w:rFonts w:ascii="Arial"/>
          <w:color w:val="231F20"/>
          <w:spacing w:val="-1"/>
          <w:w w:val="120"/>
        </w:rPr>
        <w:t> </w:t>
      </w:r>
      <w:r>
        <w:rPr>
          <w:rFonts w:ascii="Arial"/>
          <w:color w:val="231F20"/>
          <w:w w:val="120"/>
        </w:rPr>
        <w:t>-</w:t>
      </w:r>
      <w:r>
        <w:rPr>
          <w:rFonts w:ascii="Arial"/>
          <w:color w:val="231F20"/>
          <w:spacing w:val="-1"/>
          <w:w w:val="120"/>
        </w:rPr>
        <w:t> </w:t>
      </w:r>
      <w:r>
        <w:rPr>
          <w:rFonts w:ascii="Arial"/>
          <w:color w:val="231F20"/>
        </w:rPr>
        <w:t>Managed</w:t>
      </w:r>
      <w:r>
        <w:rPr>
          <w:rFonts w:ascii="Arial"/>
          <w:color w:val="231F20"/>
          <w:spacing w:val="10"/>
        </w:rPr>
        <w:t> </w:t>
      </w:r>
      <w:r>
        <w:rPr>
          <w:rFonts w:ascii="Arial"/>
          <w:color w:val="231F20"/>
        </w:rPr>
        <w:t>System</w:t>
      </w:r>
      <w:r>
        <w:rPr>
          <w:color w:val="231F20"/>
        </w:rPr>
        <w:t>.</w:t>
      </w:r>
    </w:p>
    <w:p>
      <w:pPr>
        <w:pStyle w:val="BodyText"/>
        <w:spacing w:before="6"/>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16"/>
        <w:gridCol w:w="1422"/>
        <w:gridCol w:w="1434"/>
        <w:gridCol w:w="1434"/>
        <w:gridCol w:w="1422"/>
        <w:gridCol w:w="1407"/>
      </w:tblGrid>
      <w:tr>
        <w:trPr>
          <w:trHeight w:val="493" w:hRule="atLeast"/>
        </w:trPr>
        <w:tc>
          <w:tcPr>
            <w:tcW w:w="416" w:type="dxa"/>
          </w:tcPr>
          <w:p>
            <w:pPr>
              <w:pStyle w:val="TableParagraph"/>
              <w:spacing w:before="0"/>
              <w:ind w:left="0"/>
              <w:rPr>
                <w:rFonts w:ascii="Times New Roman"/>
                <w:sz w:val="20"/>
              </w:rPr>
            </w:pPr>
          </w:p>
        </w:tc>
        <w:tc>
          <w:tcPr>
            <w:tcW w:w="1422" w:type="dxa"/>
          </w:tcPr>
          <w:p>
            <w:pPr>
              <w:pStyle w:val="TableParagraph"/>
              <w:spacing w:line="242" w:lineRule="auto" w:before="10"/>
              <w:rPr>
                <w:rFonts w:ascii="Book Antiqua"/>
                <w:b/>
                <w:sz w:val="18"/>
              </w:rPr>
            </w:pPr>
            <w:r>
              <w:rPr>
                <w:position w:val="-3"/>
              </w:rPr>
              <w:drawing>
                <wp:inline distT="0" distB="0" distL="0" distR="0">
                  <wp:extent cx="101600" cy="101600"/>
                  <wp:effectExtent l="0" t="0" r="0" b="0"/>
                  <wp:docPr id="1658" name="Image 1658"/>
                  <wp:cNvGraphicFramePr>
                    <a:graphicFrameLocks/>
                  </wp:cNvGraphicFramePr>
                  <a:graphic>
                    <a:graphicData uri="http://schemas.openxmlformats.org/drawingml/2006/picture">
                      <pic:pic>
                        <pic:nvPicPr>
                          <pic:cNvPr id="1658" name="Image 1658"/>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Local </w:t>
            </w:r>
            <w:r>
              <w:rPr>
                <w:rFonts w:ascii="Book Antiqua"/>
                <w:b/>
                <w:color w:val="231F20"/>
                <w:spacing w:val="-4"/>
                <w:sz w:val="18"/>
              </w:rPr>
              <w:t>Timestamp</w:t>
            </w:r>
          </w:p>
        </w:tc>
        <w:tc>
          <w:tcPr>
            <w:tcW w:w="1434" w:type="dxa"/>
          </w:tcPr>
          <w:p>
            <w:pPr>
              <w:pStyle w:val="TableParagraph"/>
              <w:spacing w:before="229"/>
              <w:ind w:left="360"/>
              <w:rPr>
                <w:rFonts w:ascii="Book Antiqua"/>
                <w:b/>
                <w:sz w:val="18"/>
              </w:rPr>
            </w:pPr>
            <w:r>
              <w:rPr>
                <w:position w:val="-3"/>
              </w:rPr>
              <w:drawing>
                <wp:inline distT="0" distB="0" distL="0" distR="0">
                  <wp:extent cx="101600" cy="101600"/>
                  <wp:effectExtent l="0" t="0" r="0" b="0"/>
                  <wp:docPr id="1659" name="Image 1659"/>
                  <wp:cNvGraphicFramePr>
                    <a:graphicFrameLocks/>
                  </wp:cNvGraphicFramePr>
                  <a:graphic>
                    <a:graphicData uri="http://schemas.openxmlformats.org/drawingml/2006/picture">
                      <pic:pic>
                        <pic:nvPicPr>
                          <pic:cNvPr id="1659" name="Image 1659"/>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Status</w:t>
            </w:r>
          </w:p>
        </w:tc>
        <w:tc>
          <w:tcPr>
            <w:tcW w:w="1434" w:type="dxa"/>
          </w:tcPr>
          <w:p>
            <w:pPr>
              <w:pStyle w:val="TableParagraph"/>
              <w:spacing w:before="229"/>
              <w:rPr>
                <w:rFonts w:ascii="Book Antiqua"/>
                <w:b/>
                <w:sz w:val="18"/>
              </w:rPr>
            </w:pPr>
            <w:r>
              <w:rPr>
                <w:position w:val="-3"/>
              </w:rPr>
              <w:drawing>
                <wp:inline distT="0" distB="0" distL="0" distR="0">
                  <wp:extent cx="101600" cy="101600"/>
                  <wp:effectExtent l="0" t="0" r="0" b="0"/>
                  <wp:docPr id="1660" name="Image 1660"/>
                  <wp:cNvGraphicFramePr>
                    <a:graphicFrameLocks/>
                  </wp:cNvGraphicFramePr>
                  <a:graphic>
                    <a:graphicData uri="http://schemas.openxmlformats.org/drawingml/2006/picture">
                      <pic:pic>
                        <pic:nvPicPr>
                          <pic:cNvPr id="1660" name="Image 1660"/>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7"/>
                <w:sz w:val="20"/>
              </w:rPr>
              <w:t> </w:t>
            </w:r>
            <w:r>
              <w:rPr>
                <w:rFonts w:ascii="Book Antiqua"/>
                <w:b/>
                <w:color w:val="231F20"/>
                <w:sz w:val="18"/>
              </w:rPr>
              <w:t>Origin</w:t>
            </w:r>
            <w:r>
              <w:rPr>
                <w:rFonts w:ascii="Book Antiqua"/>
                <w:b/>
                <w:color w:val="231F20"/>
                <w:spacing w:val="13"/>
                <w:sz w:val="18"/>
              </w:rPr>
              <w:t> </w:t>
            </w:r>
            <w:r>
              <w:rPr>
                <w:rFonts w:ascii="Book Antiqua"/>
                <w:b/>
                <w:color w:val="231F20"/>
                <w:sz w:val="18"/>
              </w:rPr>
              <w:t>Node</w:t>
            </w:r>
          </w:p>
        </w:tc>
        <w:tc>
          <w:tcPr>
            <w:tcW w:w="1422" w:type="dxa"/>
          </w:tcPr>
          <w:p>
            <w:pPr>
              <w:pStyle w:val="TableParagraph"/>
              <w:spacing w:line="242" w:lineRule="auto" w:before="10"/>
              <w:ind w:left="58"/>
              <w:rPr>
                <w:rFonts w:ascii="Book Antiqua"/>
                <w:b/>
                <w:sz w:val="18"/>
              </w:rPr>
            </w:pPr>
            <w:r>
              <w:rPr>
                <w:position w:val="-3"/>
              </w:rPr>
              <w:drawing>
                <wp:inline distT="0" distB="0" distL="0" distR="0">
                  <wp:extent cx="101600" cy="101600"/>
                  <wp:effectExtent l="0" t="0" r="0" b="0"/>
                  <wp:docPr id="1661" name="Image 1661"/>
                  <wp:cNvGraphicFramePr>
                    <a:graphicFrameLocks/>
                  </wp:cNvGraphicFramePr>
                  <a:graphic>
                    <a:graphicData uri="http://schemas.openxmlformats.org/drawingml/2006/picture">
                      <pic:pic>
                        <pic:nvPicPr>
                          <pic:cNvPr id="1661" name="Image 1661"/>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13"/>
                <w:sz w:val="20"/>
              </w:rPr>
              <w:t> </w:t>
            </w:r>
            <w:r>
              <w:rPr>
                <w:rFonts w:ascii="Book Antiqua"/>
                <w:b/>
                <w:color w:val="231F20"/>
                <w:spacing w:val="-2"/>
                <w:sz w:val="18"/>
              </w:rPr>
              <w:t>Situation </w:t>
            </w:r>
            <w:r>
              <w:rPr>
                <w:rFonts w:ascii="Book Antiqua"/>
                <w:b/>
                <w:color w:val="231F20"/>
                <w:spacing w:val="-4"/>
                <w:sz w:val="18"/>
              </w:rPr>
              <w:t>Name</w:t>
            </w:r>
          </w:p>
        </w:tc>
        <w:tc>
          <w:tcPr>
            <w:tcW w:w="1407" w:type="dxa"/>
          </w:tcPr>
          <w:p>
            <w:pPr>
              <w:pStyle w:val="TableParagraph"/>
              <w:spacing w:before="229"/>
              <w:ind w:left="425"/>
              <w:rPr>
                <w:rFonts w:ascii="Book Antiqua"/>
                <w:b/>
                <w:sz w:val="18"/>
              </w:rPr>
            </w:pPr>
            <w:r>
              <w:rPr/>
              <w:drawing>
                <wp:inline distT="0" distB="0" distL="0" distR="0">
                  <wp:extent cx="69850" cy="63500"/>
                  <wp:effectExtent l="0" t="0" r="0" b="0"/>
                  <wp:docPr id="1662" name="Image 1662"/>
                  <wp:cNvGraphicFramePr>
                    <a:graphicFrameLocks/>
                  </wp:cNvGraphicFramePr>
                  <a:graphic>
                    <a:graphicData uri="http://schemas.openxmlformats.org/drawingml/2006/picture">
                      <pic:pic>
                        <pic:nvPicPr>
                          <pic:cNvPr id="1662" name="Image 1662"/>
                          <pic:cNvPicPr/>
                        </pic:nvPicPr>
                        <pic:blipFill>
                          <a:blip r:embed="rId328" cstate="print"/>
                          <a:stretch>
                            <a:fillRect/>
                          </a:stretch>
                        </pic:blipFill>
                        <pic:spPr>
                          <a:xfrm>
                            <a:off x="0" y="0"/>
                            <a:ext cx="69850" cy="63500"/>
                          </a:xfrm>
                          <a:prstGeom prst="rect">
                            <a:avLst/>
                          </a:prstGeom>
                        </pic:spPr>
                      </pic:pic>
                    </a:graphicData>
                  </a:graphic>
                </wp:inline>
              </w:drawing>
            </w:r>
            <w:r>
              <w:rPr/>
            </w:r>
            <w:r>
              <w:rPr>
                <w:rFonts w:ascii="Times New Roman"/>
                <w:sz w:val="20"/>
              </w:rPr>
              <w:t> </w:t>
            </w:r>
            <w:r>
              <w:rPr>
                <w:rFonts w:ascii="Book Antiqua"/>
                <w:b/>
                <w:color w:val="231F20"/>
                <w:sz w:val="18"/>
              </w:rPr>
              <w:t>Type</w:t>
            </w:r>
          </w:p>
        </w:tc>
      </w:tr>
      <w:tr>
        <w:trPr>
          <w:trHeight w:val="309" w:hRule="atLeast"/>
        </w:trPr>
        <w:tc>
          <w:tcPr>
            <w:tcW w:w="416" w:type="dxa"/>
          </w:tcPr>
          <w:p>
            <w:pPr>
              <w:pStyle w:val="TableParagraph"/>
              <w:ind w:left="44"/>
              <w:rPr>
                <w:sz w:val="18"/>
              </w:rPr>
            </w:pPr>
            <w:r>
              <w:rPr>
                <w:color w:val="231F20"/>
                <w:spacing w:val="-10"/>
                <w:sz w:val="18"/>
              </w:rPr>
              <w:t>1</w:t>
            </w:r>
          </w:p>
        </w:tc>
        <w:tc>
          <w:tcPr>
            <w:tcW w:w="1422" w:type="dxa"/>
          </w:tcPr>
          <w:p>
            <w:pPr>
              <w:pStyle w:val="TableParagraph"/>
              <w:spacing w:before="10"/>
              <w:ind w:left="0"/>
              <w:rPr>
                <w:sz w:val="7"/>
              </w:rPr>
            </w:pPr>
          </w:p>
          <w:p>
            <w:pPr>
              <w:pStyle w:val="TableParagraph"/>
              <w:spacing w:line="130" w:lineRule="exact" w:before="0"/>
              <w:ind w:left="618"/>
              <w:rPr>
                <w:sz w:val="13"/>
              </w:rPr>
            </w:pPr>
            <w:r>
              <w:rPr>
                <w:position w:val="-2"/>
                <w:sz w:val="13"/>
              </w:rPr>
              <w:drawing>
                <wp:inline distT="0" distB="0" distL="0" distR="0">
                  <wp:extent cx="82962" cy="82962"/>
                  <wp:effectExtent l="0" t="0" r="0" b="0"/>
                  <wp:docPr id="1663" name="Image 1663"/>
                  <wp:cNvGraphicFramePr>
                    <a:graphicFrameLocks/>
                  </wp:cNvGraphicFramePr>
                  <a:graphic>
                    <a:graphicData uri="http://schemas.openxmlformats.org/drawingml/2006/picture">
                      <pic:pic>
                        <pic:nvPicPr>
                          <pic:cNvPr id="1663" name="Image 1663"/>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434" w:type="dxa"/>
          </w:tcPr>
          <w:p>
            <w:pPr>
              <w:pStyle w:val="TableParagraph"/>
              <w:spacing w:before="10"/>
              <w:ind w:left="0"/>
              <w:rPr>
                <w:sz w:val="7"/>
              </w:rPr>
            </w:pPr>
          </w:p>
          <w:p>
            <w:pPr>
              <w:pStyle w:val="TableParagraph"/>
              <w:spacing w:line="130" w:lineRule="exact" w:before="0"/>
              <w:ind w:left="624"/>
              <w:rPr>
                <w:sz w:val="13"/>
              </w:rPr>
            </w:pPr>
            <w:r>
              <w:rPr>
                <w:position w:val="-2"/>
                <w:sz w:val="13"/>
              </w:rPr>
              <w:drawing>
                <wp:inline distT="0" distB="0" distL="0" distR="0">
                  <wp:extent cx="82962" cy="82962"/>
                  <wp:effectExtent l="0" t="0" r="0" b="0"/>
                  <wp:docPr id="1664" name="Image 1664"/>
                  <wp:cNvGraphicFramePr>
                    <a:graphicFrameLocks/>
                  </wp:cNvGraphicFramePr>
                  <a:graphic>
                    <a:graphicData uri="http://schemas.openxmlformats.org/drawingml/2006/picture">
                      <pic:pic>
                        <pic:nvPicPr>
                          <pic:cNvPr id="1664" name="Image 1664"/>
                          <pic:cNvPicPr/>
                        </pic:nvPicPr>
                        <pic:blipFill>
                          <a:blip r:embed="rId120" cstate="print"/>
                          <a:stretch>
                            <a:fillRect/>
                          </a:stretch>
                        </pic:blipFill>
                        <pic:spPr>
                          <a:xfrm>
                            <a:off x="0" y="0"/>
                            <a:ext cx="82962" cy="82962"/>
                          </a:xfrm>
                          <a:prstGeom prst="rect">
                            <a:avLst/>
                          </a:prstGeom>
                        </pic:spPr>
                      </pic:pic>
                    </a:graphicData>
                  </a:graphic>
                </wp:inline>
              </w:drawing>
            </w:r>
            <w:r>
              <w:rPr>
                <w:position w:val="-2"/>
                <w:sz w:val="13"/>
              </w:rPr>
            </w:r>
          </w:p>
        </w:tc>
        <w:tc>
          <w:tcPr>
            <w:tcW w:w="1434" w:type="dxa"/>
          </w:tcPr>
          <w:p>
            <w:pPr>
              <w:pStyle w:val="TableParagraph"/>
              <w:spacing w:before="10"/>
              <w:ind w:left="0"/>
              <w:rPr>
                <w:sz w:val="7"/>
              </w:rPr>
            </w:pPr>
          </w:p>
          <w:p>
            <w:pPr>
              <w:pStyle w:val="TableParagraph"/>
              <w:spacing w:line="130" w:lineRule="exact" w:before="0"/>
              <w:ind w:left="623"/>
              <w:rPr>
                <w:sz w:val="13"/>
              </w:rPr>
            </w:pPr>
            <w:r>
              <w:rPr>
                <w:position w:val="-2"/>
                <w:sz w:val="13"/>
              </w:rPr>
              <w:drawing>
                <wp:inline distT="0" distB="0" distL="0" distR="0">
                  <wp:extent cx="82962" cy="82962"/>
                  <wp:effectExtent l="0" t="0" r="0" b="0"/>
                  <wp:docPr id="1665" name="Image 1665"/>
                  <wp:cNvGraphicFramePr>
                    <a:graphicFrameLocks/>
                  </wp:cNvGraphicFramePr>
                  <a:graphic>
                    <a:graphicData uri="http://schemas.openxmlformats.org/drawingml/2006/picture">
                      <pic:pic>
                        <pic:nvPicPr>
                          <pic:cNvPr id="1665" name="Image 1665"/>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422" w:type="dxa"/>
          </w:tcPr>
          <w:p>
            <w:pPr>
              <w:pStyle w:val="TableParagraph"/>
              <w:spacing w:before="10"/>
              <w:ind w:left="0"/>
              <w:rPr>
                <w:sz w:val="7"/>
              </w:rPr>
            </w:pPr>
          </w:p>
          <w:p>
            <w:pPr>
              <w:pStyle w:val="TableParagraph"/>
              <w:spacing w:line="130" w:lineRule="exact" w:before="0"/>
              <w:ind w:left="617"/>
              <w:rPr>
                <w:sz w:val="13"/>
              </w:rPr>
            </w:pPr>
            <w:r>
              <w:rPr>
                <w:position w:val="-2"/>
                <w:sz w:val="13"/>
              </w:rPr>
              <w:drawing>
                <wp:inline distT="0" distB="0" distL="0" distR="0">
                  <wp:extent cx="82962" cy="82962"/>
                  <wp:effectExtent l="0" t="0" r="0" b="0"/>
                  <wp:docPr id="1666" name="Image 1666"/>
                  <wp:cNvGraphicFramePr>
                    <a:graphicFrameLocks/>
                  </wp:cNvGraphicFramePr>
                  <a:graphic>
                    <a:graphicData uri="http://schemas.openxmlformats.org/drawingml/2006/picture">
                      <pic:pic>
                        <pic:nvPicPr>
                          <pic:cNvPr id="1666" name="Image 1666"/>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407" w:type="dxa"/>
          </w:tcPr>
          <w:p>
            <w:pPr>
              <w:pStyle w:val="TableParagraph"/>
              <w:spacing w:before="10"/>
              <w:ind w:left="0"/>
              <w:rPr>
                <w:sz w:val="7"/>
              </w:rPr>
            </w:pPr>
          </w:p>
          <w:p>
            <w:pPr>
              <w:pStyle w:val="TableParagraph"/>
              <w:spacing w:line="130" w:lineRule="exact" w:before="0"/>
              <w:ind w:left="617"/>
              <w:rPr>
                <w:sz w:val="13"/>
              </w:rPr>
            </w:pPr>
            <w:r>
              <w:rPr>
                <w:position w:val="-2"/>
                <w:sz w:val="13"/>
              </w:rPr>
              <w:drawing>
                <wp:inline distT="0" distB="0" distL="0" distR="0">
                  <wp:extent cx="82962" cy="82962"/>
                  <wp:effectExtent l="0" t="0" r="0" b="0"/>
                  <wp:docPr id="1667" name="Image 1667"/>
                  <wp:cNvGraphicFramePr>
                    <a:graphicFrameLocks/>
                  </wp:cNvGraphicFramePr>
                  <a:graphic>
                    <a:graphicData uri="http://schemas.openxmlformats.org/drawingml/2006/picture">
                      <pic:pic>
                        <pic:nvPicPr>
                          <pic:cNvPr id="1667" name="Image 1667"/>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r>
      <w:tr>
        <w:trPr>
          <w:trHeight w:val="309" w:hRule="atLeast"/>
        </w:trPr>
        <w:tc>
          <w:tcPr>
            <w:tcW w:w="416" w:type="dxa"/>
          </w:tcPr>
          <w:p>
            <w:pPr>
              <w:pStyle w:val="TableParagraph"/>
              <w:ind w:left="44"/>
              <w:rPr>
                <w:sz w:val="18"/>
              </w:rPr>
            </w:pPr>
            <w:r>
              <w:rPr>
                <w:color w:val="231F20"/>
                <w:spacing w:val="-10"/>
                <w:sz w:val="18"/>
              </w:rPr>
              <w:t>2</w:t>
            </w:r>
          </w:p>
        </w:tc>
        <w:tc>
          <w:tcPr>
            <w:tcW w:w="1422" w:type="dxa"/>
          </w:tcPr>
          <w:p>
            <w:pPr>
              <w:pStyle w:val="TableParagraph"/>
              <w:spacing w:before="0"/>
              <w:ind w:left="0"/>
              <w:rPr>
                <w:rFonts w:ascii="Times New Roman"/>
                <w:sz w:val="20"/>
              </w:rPr>
            </w:pPr>
          </w:p>
        </w:tc>
        <w:tc>
          <w:tcPr>
            <w:tcW w:w="1434" w:type="dxa"/>
          </w:tcPr>
          <w:p>
            <w:pPr>
              <w:pStyle w:val="TableParagraph"/>
              <w:rPr>
                <w:sz w:val="18"/>
              </w:rPr>
            </w:pPr>
            <w:r>
              <w:rPr>
                <w:color w:val="231F20"/>
                <w:w w:val="110"/>
                <w:sz w:val="18"/>
              </w:rPr>
              <w:t>==</w:t>
            </w:r>
            <w:r>
              <w:rPr>
                <w:color w:val="231F20"/>
                <w:spacing w:val="27"/>
                <w:w w:val="110"/>
                <w:sz w:val="18"/>
              </w:rPr>
              <w:t> </w:t>
            </w:r>
            <w:r>
              <w:rPr>
                <w:color w:val="231F20"/>
                <w:spacing w:val="-4"/>
                <w:w w:val="110"/>
                <w:sz w:val="18"/>
              </w:rPr>
              <w:t>Open</w:t>
            </w:r>
          </w:p>
        </w:tc>
        <w:tc>
          <w:tcPr>
            <w:tcW w:w="1434" w:type="dxa"/>
          </w:tcPr>
          <w:p>
            <w:pPr>
              <w:pStyle w:val="TableParagraph"/>
              <w:rPr>
                <w:sz w:val="18"/>
              </w:rPr>
            </w:pPr>
            <w:r>
              <w:rPr>
                <w:color w:val="231F20"/>
                <w:w w:val="105"/>
                <w:sz w:val="18"/>
              </w:rPr>
              <w:t>==</w:t>
            </w:r>
            <w:r>
              <w:rPr>
                <w:color w:val="231F20"/>
                <w:spacing w:val="38"/>
                <w:w w:val="105"/>
                <w:sz w:val="18"/>
              </w:rPr>
              <w:t> </w:t>
            </w:r>
            <w:r>
              <w:rPr>
                <w:color w:val="231F20"/>
                <w:spacing w:val="-2"/>
                <w:w w:val="105"/>
                <w:sz w:val="18"/>
              </w:rPr>
              <w:t>$NODE$</w:t>
            </w:r>
          </w:p>
        </w:tc>
        <w:tc>
          <w:tcPr>
            <w:tcW w:w="1422" w:type="dxa"/>
          </w:tcPr>
          <w:p>
            <w:pPr>
              <w:pStyle w:val="TableParagraph"/>
              <w:spacing w:before="0"/>
              <w:ind w:left="0"/>
              <w:rPr>
                <w:rFonts w:ascii="Times New Roman"/>
                <w:sz w:val="20"/>
              </w:rPr>
            </w:pPr>
          </w:p>
        </w:tc>
        <w:tc>
          <w:tcPr>
            <w:tcW w:w="1407" w:type="dxa"/>
          </w:tcPr>
          <w:p>
            <w:pPr>
              <w:pStyle w:val="TableParagraph"/>
              <w:spacing w:before="0"/>
              <w:ind w:left="0"/>
              <w:rPr>
                <w:rFonts w:ascii="Times New Roman"/>
                <w:sz w:val="20"/>
              </w:rPr>
            </w:pPr>
          </w:p>
        </w:tc>
      </w:tr>
      <w:tr>
        <w:trPr>
          <w:trHeight w:val="309" w:hRule="atLeast"/>
        </w:trPr>
        <w:tc>
          <w:tcPr>
            <w:tcW w:w="416" w:type="dxa"/>
          </w:tcPr>
          <w:p>
            <w:pPr>
              <w:pStyle w:val="TableParagraph"/>
              <w:ind w:left="44"/>
              <w:rPr>
                <w:sz w:val="18"/>
              </w:rPr>
            </w:pPr>
            <w:r>
              <w:rPr>
                <w:color w:val="231F20"/>
                <w:spacing w:val="-10"/>
                <w:sz w:val="18"/>
              </w:rPr>
              <w:t>3</w:t>
            </w:r>
          </w:p>
        </w:tc>
        <w:tc>
          <w:tcPr>
            <w:tcW w:w="1422" w:type="dxa"/>
          </w:tcPr>
          <w:p>
            <w:pPr>
              <w:pStyle w:val="TableParagraph"/>
              <w:ind w:left="0" w:right="314"/>
              <w:jc w:val="center"/>
              <w:rPr>
                <w:sz w:val="18"/>
              </w:rPr>
            </w:pPr>
            <w:r>
              <w:rPr/>
              <w:drawing>
                <wp:inline distT="0" distB="0" distL="0" distR="0">
                  <wp:extent cx="63500" cy="63500"/>
                  <wp:effectExtent l="0" t="0" r="0" b="0"/>
                  <wp:docPr id="1668" name="Image 1668"/>
                  <wp:cNvGraphicFramePr>
                    <a:graphicFrameLocks/>
                  </wp:cNvGraphicFramePr>
                  <a:graphic>
                    <a:graphicData uri="http://schemas.openxmlformats.org/drawingml/2006/picture">
                      <pic:pic>
                        <pic:nvPicPr>
                          <pic:cNvPr id="1668" name="Image 1668"/>
                          <pic:cNvPicPr/>
                        </pic:nvPicPr>
                        <pic:blipFill>
                          <a:blip r:embed="rId159"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28"/>
                <w:w w:val="110"/>
                <w:sz w:val="18"/>
              </w:rPr>
              <w:t> </w:t>
            </w:r>
            <w:r>
              <w:rPr>
                <w:color w:val="231F20"/>
                <w:w w:val="110"/>
                <w:sz w:val="18"/>
              </w:rPr>
              <w:t>14,000</w:t>
            </w:r>
          </w:p>
        </w:tc>
        <w:tc>
          <w:tcPr>
            <w:tcW w:w="1434" w:type="dxa"/>
          </w:tcPr>
          <w:p>
            <w:pPr>
              <w:pStyle w:val="TableParagraph"/>
              <w:spacing w:before="0"/>
              <w:ind w:left="0"/>
              <w:rPr>
                <w:rFonts w:ascii="Times New Roman"/>
                <w:sz w:val="20"/>
              </w:rPr>
            </w:pPr>
          </w:p>
        </w:tc>
        <w:tc>
          <w:tcPr>
            <w:tcW w:w="1434" w:type="dxa"/>
          </w:tcPr>
          <w:p>
            <w:pPr>
              <w:pStyle w:val="TableParagraph"/>
              <w:spacing w:before="0"/>
              <w:ind w:left="0"/>
              <w:rPr>
                <w:rFonts w:ascii="Times New Roman"/>
                <w:sz w:val="20"/>
              </w:rPr>
            </w:pPr>
          </w:p>
        </w:tc>
        <w:tc>
          <w:tcPr>
            <w:tcW w:w="1422" w:type="dxa"/>
          </w:tcPr>
          <w:p>
            <w:pPr>
              <w:pStyle w:val="TableParagraph"/>
              <w:spacing w:before="0"/>
              <w:ind w:left="0"/>
              <w:rPr>
                <w:rFonts w:ascii="Times New Roman"/>
                <w:sz w:val="20"/>
              </w:rPr>
            </w:pPr>
          </w:p>
        </w:tc>
        <w:tc>
          <w:tcPr>
            <w:tcW w:w="1407" w:type="dxa"/>
          </w:tcPr>
          <w:p>
            <w:pPr>
              <w:pStyle w:val="TableParagraph"/>
              <w:spacing w:before="0"/>
              <w:ind w:left="0"/>
              <w:rPr>
                <w:rFonts w:ascii="Times New Roman"/>
                <w:sz w:val="20"/>
              </w:rPr>
            </w:pPr>
          </w:p>
        </w:tc>
      </w:tr>
      <w:tr>
        <w:trPr>
          <w:trHeight w:val="314" w:hRule="atLeast"/>
        </w:trPr>
        <w:tc>
          <w:tcPr>
            <w:tcW w:w="416" w:type="dxa"/>
          </w:tcPr>
          <w:p>
            <w:pPr>
              <w:pStyle w:val="TableParagraph"/>
              <w:ind w:left="44"/>
              <w:rPr>
                <w:sz w:val="18"/>
              </w:rPr>
            </w:pPr>
            <w:r>
              <w:rPr>
                <w:color w:val="231F20"/>
                <w:spacing w:val="-10"/>
                <w:sz w:val="18"/>
              </w:rPr>
              <w:t>4</w:t>
            </w:r>
          </w:p>
        </w:tc>
        <w:tc>
          <w:tcPr>
            <w:tcW w:w="1422" w:type="dxa"/>
          </w:tcPr>
          <w:p>
            <w:pPr>
              <w:pStyle w:val="TableParagraph"/>
              <w:ind w:left="0" w:right="314"/>
              <w:jc w:val="center"/>
              <w:rPr>
                <w:sz w:val="18"/>
              </w:rPr>
            </w:pPr>
            <w:r>
              <w:rPr/>
              <w:drawing>
                <wp:inline distT="0" distB="0" distL="0" distR="0">
                  <wp:extent cx="63500" cy="63500"/>
                  <wp:effectExtent l="0" t="0" r="0" b="0"/>
                  <wp:docPr id="1669" name="Image 1669"/>
                  <wp:cNvGraphicFramePr>
                    <a:graphicFrameLocks/>
                  </wp:cNvGraphicFramePr>
                  <a:graphic>
                    <a:graphicData uri="http://schemas.openxmlformats.org/drawingml/2006/picture">
                      <pic:pic>
                        <pic:nvPicPr>
                          <pic:cNvPr id="1669" name="Image 1669"/>
                          <pic:cNvPicPr/>
                        </pic:nvPicPr>
                        <pic:blipFill>
                          <a:blip r:embed="rId159" cstate="print"/>
                          <a:stretch>
                            <a:fillRect/>
                          </a:stretch>
                        </pic:blipFill>
                        <pic:spPr>
                          <a:xfrm>
                            <a:off x="0" y="0"/>
                            <a:ext cx="63500" cy="63500"/>
                          </a:xfrm>
                          <a:prstGeom prst="rect">
                            <a:avLst/>
                          </a:prstGeom>
                        </pic:spPr>
                      </pic:pic>
                    </a:graphicData>
                  </a:graphic>
                </wp:inline>
              </w:drawing>
            </w:r>
            <w:r>
              <w:rPr/>
            </w:r>
            <w:r>
              <w:rPr>
                <w:rFonts w:ascii="Times New Roman"/>
                <w:spacing w:val="40"/>
                <w:w w:val="110"/>
                <w:sz w:val="20"/>
              </w:rPr>
              <w:t> </w:t>
            </w:r>
            <w:r>
              <w:rPr>
                <w:color w:val="231F20"/>
                <w:w w:val="110"/>
                <w:sz w:val="18"/>
              </w:rPr>
              <w:t>==</w:t>
            </w:r>
            <w:r>
              <w:rPr>
                <w:color w:val="231F20"/>
                <w:spacing w:val="28"/>
                <w:w w:val="110"/>
                <w:sz w:val="18"/>
              </w:rPr>
              <w:t> </w:t>
            </w:r>
            <w:r>
              <w:rPr>
                <w:color w:val="231F20"/>
                <w:w w:val="110"/>
                <w:sz w:val="18"/>
              </w:rPr>
              <w:t>14,999</w:t>
            </w:r>
          </w:p>
        </w:tc>
        <w:tc>
          <w:tcPr>
            <w:tcW w:w="1434" w:type="dxa"/>
          </w:tcPr>
          <w:p>
            <w:pPr>
              <w:pStyle w:val="TableParagraph"/>
              <w:spacing w:before="0"/>
              <w:ind w:left="0"/>
              <w:rPr>
                <w:rFonts w:ascii="Times New Roman"/>
                <w:sz w:val="20"/>
              </w:rPr>
            </w:pPr>
          </w:p>
        </w:tc>
        <w:tc>
          <w:tcPr>
            <w:tcW w:w="1434" w:type="dxa"/>
          </w:tcPr>
          <w:p>
            <w:pPr>
              <w:pStyle w:val="TableParagraph"/>
              <w:spacing w:before="0"/>
              <w:ind w:left="0"/>
              <w:rPr>
                <w:rFonts w:ascii="Times New Roman"/>
                <w:sz w:val="20"/>
              </w:rPr>
            </w:pPr>
          </w:p>
        </w:tc>
        <w:tc>
          <w:tcPr>
            <w:tcW w:w="1422" w:type="dxa"/>
          </w:tcPr>
          <w:p>
            <w:pPr>
              <w:pStyle w:val="TableParagraph"/>
              <w:spacing w:before="0"/>
              <w:ind w:left="0"/>
              <w:rPr>
                <w:rFonts w:ascii="Times New Roman"/>
                <w:sz w:val="20"/>
              </w:rPr>
            </w:pPr>
          </w:p>
        </w:tc>
        <w:tc>
          <w:tcPr>
            <w:tcW w:w="1407" w:type="dxa"/>
          </w:tcPr>
          <w:p>
            <w:pPr>
              <w:pStyle w:val="TableParagraph"/>
              <w:spacing w:before="0"/>
              <w:ind w:left="0"/>
              <w:rPr>
                <w:rFonts w:ascii="Times New Roman"/>
                <w:sz w:val="20"/>
              </w:rPr>
            </w:pPr>
          </w:p>
        </w:tc>
      </w:tr>
    </w:tbl>
    <w:p>
      <w:pPr>
        <w:pStyle w:val="BodyText"/>
        <w:spacing w:before="19"/>
      </w:pPr>
    </w:p>
    <w:p>
      <w:pPr>
        <w:pStyle w:val="BodyText"/>
        <w:spacing w:line="213" w:lineRule="auto"/>
        <w:ind w:left="3190" w:right="258"/>
      </w:pPr>
      <w:r>
        <w:rPr>
          <w:color w:val="231F20"/>
        </w:rPr>
        <w:t>For most predefined queries, the specification shows == $NODE$ in the column that identifies the system (such as Server Name or Origin Node).</w:t>
      </w:r>
      <w:r>
        <w:rPr>
          <w:color w:val="231F20"/>
          <w:spacing w:val="80"/>
        </w:rPr>
        <w:t> </w:t>
      </w:r>
      <w:r>
        <w:rPr>
          <w:color w:val="231F20"/>
        </w:rPr>
        <w:t>The $NODE$ is a symbol that is replaced by the node name of the agent or</w:t>
      </w:r>
      <w:r>
        <w:rPr>
          <w:color w:val="231F20"/>
          <w:spacing w:val="40"/>
        </w:rPr>
        <w:t> </w:t>
      </w:r>
      <w:r>
        <w:rPr>
          <w:color w:val="231F20"/>
        </w:rPr>
        <w:t>agents associated with the Navigator item where the query is applied. This filter criteria is required to limit the retrieved data to only those agents associated with the Navigator item rather than all agents of that type.</w:t>
      </w:r>
    </w:p>
    <w:p>
      <w:pPr>
        <w:pStyle w:val="BodyText"/>
        <w:spacing w:line="213" w:lineRule="auto" w:before="116"/>
        <w:ind w:left="3190" w:right="258"/>
      </w:pPr>
      <w:r>
        <w:rPr>
          <w:color w:val="231F20"/>
        </w:rPr>
        <w:t>You</w:t>
      </w:r>
      <w:r>
        <w:rPr>
          <w:color w:val="231F20"/>
          <w:spacing w:val="26"/>
        </w:rPr>
        <w:t> </w:t>
      </w:r>
      <w:r>
        <w:rPr>
          <w:color w:val="231F20"/>
        </w:rPr>
        <w:t>can</w:t>
      </w:r>
      <w:r>
        <w:rPr>
          <w:color w:val="231F20"/>
          <w:spacing w:val="26"/>
        </w:rPr>
        <w:t> </w:t>
      </w:r>
      <w:r>
        <w:rPr>
          <w:color w:val="231F20"/>
        </w:rPr>
        <w:t>clear</w:t>
      </w:r>
      <w:r>
        <w:rPr>
          <w:color w:val="231F20"/>
          <w:spacing w:val="26"/>
        </w:rPr>
        <w:t> </w:t>
      </w:r>
      <w:r>
        <w:rPr>
          <w:color w:val="231F20"/>
        </w:rPr>
        <w:t>the</w:t>
      </w:r>
      <w:r>
        <w:rPr>
          <w:color w:val="231F20"/>
          <w:spacing w:val="26"/>
        </w:rPr>
        <w:t> </w:t>
      </w:r>
      <w:r>
        <w:rPr>
          <w:color w:val="231F20"/>
        </w:rPr>
        <w:t>box</w:t>
      </w:r>
      <w:r>
        <w:rPr>
          <w:color w:val="231F20"/>
          <w:spacing w:val="26"/>
        </w:rPr>
        <w:t> </w:t>
      </w:r>
      <w:r>
        <w:rPr>
          <w:color w:val="231F20"/>
        </w:rPr>
        <w:t>below</w:t>
      </w:r>
      <w:r>
        <w:rPr>
          <w:color w:val="231F20"/>
          <w:spacing w:val="26"/>
        </w:rPr>
        <w:t> </w:t>
      </w:r>
      <w:r>
        <w:rPr>
          <w:color w:val="231F20"/>
        </w:rPr>
        <w:t>the</w:t>
      </w:r>
      <w:r>
        <w:rPr>
          <w:color w:val="231F20"/>
          <w:spacing w:val="26"/>
        </w:rPr>
        <w:t> </w:t>
      </w:r>
      <w:r>
        <w:rPr>
          <w:color w:val="231F20"/>
        </w:rPr>
        <w:t>column</w:t>
      </w:r>
      <w:r>
        <w:rPr>
          <w:color w:val="231F20"/>
          <w:spacing w:val="26"/>
        </w:rPr>
        <w:t> </w:t>
      </w:r>
      <w:r>
        <w:rPr>
          <w:color w:val="231F20"/>
        </w:rPr>
        <w:t>heading</w:t>
      </w:r>
      <w:r>
        <w:rPr>
          <w:color w:val="231F20"/>
          <w:spacing w:val="26"/>
        </w:rPr>
        <w:t> </w:t>
      </w:r>
      <w:r>
        <w:rPr>
          <w:color w:val="231F20"/>
        </w:rPr>
        <w:t>for</w:t>
      </w:r>
      <w:r>
        <w:rPr>
          <w:color w:val="231F20"/>
          <w:spacing w:val="26"/>
        </w:rPr>
        <w:t> </w:t>
      </w:r>
      <w:r>
        <w:rPr>
          <w:color w:val="231F20"/>
        </w:rPr>
        <w:t>any</w:t>
      </w:r>
      <w:r>
        <w:rPr>
          <w:color w:val="231F20"/>
          <w:spacing w:val="26"/>
        </w:rPr>
        <w:t> </w:t>
      </w:r>
      <w:r>
        <w:rPr>
          <w:color w:val="231F20"/>
        </w:rPr>
        <w:t>attribute</w:t>
      </w:r>
      <w:r>
        <w:rPr>
          <w:color w:val="231F20"/>
          <w:spacing w:val="26"/>
        </w:rPr>
        <w:t> </w:t>
      </w:r>
      <w:r>
        <w:rPr>
          <w:color w:val="231F20"/>
        </w:rPr>
        <w:t>you want to write a filter against, but which you do not want to retrieve. The example above has a filter written on the Status attribute to show only </w:t>
      </w:r>
      <w:r>
        <w:rPr>
          <w:color w:val="231F20"/>
        </w:rPr>
        <w:t>true situations (== Opened), although the attribute itself will not display in the </w:t>
      </w:r>
      <w:r>
        <w:rPr>
          <w:color w:val="231F20"/>
          <w:spacing w:val="-2"/>
        </w:rPr>
        <w:t>view.</w:t>
      </w:r>
    </w:p>
    <w:p>
      <w:pPr>
        <w:pStyle w:val="BodyText"/>
        <w:spacing w:line="213" w:lineRule="auto" w:before="116"/>
        <w:ind w:left="3190" w:right="258"/>
      </w:pPr>
      <w:r>
        <w:rPr>
          <w:color w:val="231F20"/>
        </w:rPr>
        <w:t>The</w:t>
      </w:r>
      <w:r>
        <w:rPr>
          <w:color w:val="231F20"/>
          <w:spacing w:val="28"/>
        </w:rPr>
        <w:t> </w:t>
      </w:r>
      <w:r>
        <w:rPr>
          <w:color w:val="231F20"/>
        </w:rPr>
        <w:t>query</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above</w:t>
      </w:r>
      <w:r>
        <w:rPr>
          <w:color w:val="231F20"/>
          <w:spacing w:val="28"/>
        </w:rPr>
        <w:t> </w:t>
      </w:r>
      <w:r>
        <w:rPr>
          <w:color w:val="231F20"/>
        </w:rPr>
        <w:t>example</w:t>
      </w:r>
      <w:r>
        <w:rPr>
          <w:color w:val="231F20"/>
          <w:spacing w:val="28"/>
        </w:rPr>
        <w:t> </w:t>
      </w:r>
      <w:r>
        <w:rPr>
          <w:color w:val="231F20"/>
        </w:rPr>
        <w:t>also</w:t>
      </w:r>
      <w:r>
        <w:rPr>
          <w:color w:val="231F20"/>
          <w:spacing w:val="28"/>
        </w:rPr>
        <w:t> </w:t>
      </w:r>
      <w:r>
        <w:rPr>
          <w:color w:val="231F20"/>
        </w:rPr>
        <w:t>shows</w:t>
      </w:r>
      <w:r>
        <w:rPr>
          <w:color w:val="231F20"/>
          <w:spacing w:val="28"/>
        </w:rPr>
        <w:t> </w:t>
      </w:r>
      <w:r>
        <w:rPr>
          <w:color w:val="231F20"/>
        </w:rPr>
        <w:t>the</w:t>
      </w:r>
      <w:r>
        <w:rPr>
          <w:color w:val="231F20"/>
          <w:spacing w:val="15"/>
        </w:rPr>
        <w:t> </w:t>
      </w:r>
      <w:r>
        <w:rPr>
          <w:color w:val="231F20"/>
          <w:spacing w:val="15"/>
        </w:rPr>
        <w:drawing>
          <wp:inline distT="0" distB="0" distL="0" distR="0">
            <wp:extent cx="69850" cy="63500"/>
            <wp:effectExtent l="0" t="0" r="0" b="0"/>
            <wp:docPr id="1670" name="Image 1670"/>
            <wp:cNvGraphicFramePr>
              <a:graphicFrameLocks/>
            </wp:cNvGraphicFramePr>
            <a:graphic>
              <a:graphicData uri="http://schemas.openxmlformats.org/drawingml/2006/picture">
                <pic:pic>
                  <pic:nvPicPr>
                    <pic:cNvPr id="1670" name="Image 1670"/>
                    <pic:cNvPicPr/>
                  </pic:nvPicPr>
                  <pic:blipFill>
                    <a:blip r:embed="rId328" cstate="print"/>
                    <a:stretch>
                      <a:fillRect/>
                    </a:stretch>
                  </pic:blipFill>
                  <pic:spPr>
                    <a:xfrm>
                      <a:off x="0" y="0"/>
                      <a:ext cx="69850" cy="63500"/>
                    </a:xfrm>
                    <a:prstGeom prst="rect">
                      <a:avLst/>
                    </a:prstGeom>
                  </pic:spPr>
                </pic:pic>
              </a:graphicData>
            </a:graphic>
          </wp:inline>
        </w:drawing>
      </w:r>
      <w:r>
        <w:rPr>
          <w:color w:val="231F20"/>
          <w:spacing w:val="15"/>
        </w:rPr>
      </w:r>
      <w:r>
        <w:rPr>
          <w:rFonts w:ascii="Times New Roman"/>
          <w:color w:val="231F20"/>
          <w:spacing w:val="40"/>
        </w:rPr>
        <w:t> </w:t>
      </w:r>
      <w:r>
        <w:rPr>
          <w:color w:val="231F20"/>
        </w:rPr>
        <w:t>COUNT</w:t>
      </w:r>
      <w:r>
        <w:rPr>
          <w:color w:val="231F20"/>
          <w:spacing w:val="28"/>
        </w:rPr>
        <w:t> </w:t>
      </w:r>
      <w:r>
        <w:rPr>
          <w:color w:val="231F20"/>
        </w:rPr>
        <w:t>column function in the Type column. Although not shown in the query editor, the Situation Name was specified as the GROUP BY column (click </w:t>
      </w:r>
      <w:r>
        <w:rPr>
          <w:rFonts w:ascii="Book Antiqua"/>
          <w:b/>
          <w:color w:val="231F20"/>
        </w:rPr>
        <w:t>Advanced</w:t>
      </w:r>
      <w:r>
        <w:rPr>
          <w:color w:val="231F20"/>
        </w:rPr>
        <w:t>). Tivoli Enterprise Portal will keep count of the number of times an event is opened and show the total in the Type column.</w:t>
      </w:r>
    </w:p>
    <w:p>
      <w:pPr>
        <w:pStyle w:val="BodyText"/>
        <w:spacing w:line="213" w:lineRule="auto" w:before="116"/>
        <w:ind w:left="3190" w:right="385"/>
      </w:pPr>
      <w:r>
        <w:rPr>
          <w:color w:val="231F20"/>
        </w:rPr>
        <w:t>Here is an example of the queries for Managed System attributes. If </w:t>
      </w:r>
      <w:r>
        <w:rPr>
          <w:color w:val="231F20"/>
        </w:rPr>
        <w:t>you apply</w:t>
      </w:r>
      <w:r>
        <w:rPr>
          <w:color w:val="231F20"/>
          <w:spacing w:val="10"/>
        </w:rPr>
        <w:t> </w:t>
      </w:r>
      <w:r>
        <w:rPr>
          <w:color w:val="231F20"/>
        </w:rPr>
        <w:t>the</w:t>
      </w:r>
      <w:r>
        <w:rPr>
          <w:color w:val="231F20"/>
          <w:spacing w:val="11"/>
        </w:rPr>
        <w:t> </w:t>
      </w:r>
      <w:r>
        <w:rPr>
          <w:color w:val="231F20"/>
        </w:rPr>
        <w:t>Current</w:t>
      </w:r>
      <w:r>
        <w:rPr>
          <w:color w:val="231F20"/>
          <w:spacing w:val="10"/>
        </w:rPr>
        <w:t> </w:t>
      </w:r>
      <w:r>
        <w:rPr>
          <w:color w:val="231F20"/>
        </w:rPr>
        <w:t>Managed</w:t>
      </w:r>
      <w:r>
        <w:rPr>
          <w:color w:val="231F20"/>
          <w:spacing w:val="11"/>
        </w:rPr>
        <w:t> </w:t>
      </w:r>
      <w:r>
        <w:rPr>
          <w:color w:val="231F20"/>
        </w:rPr>
        <w:t>Systems</w:t>
      </w:r>
      <w:r>
        <w:rPr>
          <w:color w:val="231F20"/>
          <w:spacing w:val="11"/>
        </w:rPr>
        <w:t> </w:t>
      </w:r>
      <w:r>
        <w:rPr>
          <w:color w:val="231F20"/>
        </w:rPr>
        <w:t>Status</w:t>
      </w:r>
      <w:r>
        <w:rPr>
          <w:color w:val="231F20"/>
          <w:spacing w:val="10"/>
        </w:rPr>
        <w:t> </w:t>
      </w:r>
      <w:r>
        <w:rPr>
          <w:color w:val="231F20"/>
        </w:rPr>
        <w:t>query</w:t>
      </w:r>
      <w:r>
        <w:rPr>
          <w:color w:val="231F20"/>
          <w:spacing w:val="11"/>
        </w:rPr>
        <w:t> </w:t>
      </w:r>
      <w:r>
        <w:rPr>
          <w:color w:val="231F20"/>
        </w:rPr>
        <w:t>to</w:t>
      </w:r>
      <w:r>
        <w:rPr>
          <w:color w:val="231F20"/>
          <w:spacing w:val="11"/>
        </w:rPr>
        <w:t> </w:t>
      </w:r>
      <w:r>
        <w:rPr>
          <w:color w:val="231F20"/>
        </w:rPr>
        <w:t>it,</w:t>
      </w:r>
      <w:r>
        <w:rPr>
          <w:color w:val="231F20"/>
          <w:spacing w:val="10"/>
        </w:rPr>
        <w:t> </w:t>
      </w:r>
      <w:r>
        <w:rPr>
          <w:color w:val="231F20"/>
        </w:rPr>
        <w:t>all</w:t>
      </w:r>
      <w:r>
        <w:rPr>
          <w:color w:val="231F20"/>
          <w:spacing w:val="11"/>
        </w:rPr>
        <w:t> </w:t>
      </w:r>
      <w:r>
        <w:rPr>
          <w:color w:val="231F20"/>
        </w:rPr>
        <w:t>attributes</w:t>
      </w:r>
      <w:r>
        <w:rPr>
          <w:color w:val="231F20"/>
          <w:spacing w:val="10"/>
        </w:rPr>
        <w:t> </w:t>
      </w:r>
      <w:r>
        <w:rPr>
          <w:color w:val="231F20"/>
          <w:spacing w:val="-5"/>
        </w:rPr>
        <w:t>are</w:t>
      </w:r>
    </w:p>
    <w:p>
      <w:pPr>
        <w:spacing w:after="0" w:line="213" w:lineRule="auto"/>
        <w:sectPr>
          <w:footerReference w:type="default" r:id="rId326"/>
          <w:footerReference w:type="even" r:id="rId327"/>
          <w:pgSz w:w="12240" w:h="15840"/>
          <w:pgMar w:header="0" w:footer="736" w:top="1300" w:bottom="920" w:left="1000" w:right="1060"/>
          <w:pgNumType w:start="197"/>
        </w:sectPr>
      </w:pPr>
    </w:p>
    <w:p>
      <w:pPr>
        <w:pStyle w:val="BodyText"/>
        <w:spacing w:line="213" w:lineRule="auto" w:before="85"/>
        <w:ind w:left="2951" w:right="493"/>
      </w:pPr>
      <w:bookmarkStart w:name="_bookmark140" w:id="310"/>
      <w:bookmarkEnd w:id="310"/>
      <w:r>
        <w:rPr/>
      </w:r>
      <w:r>
        <w:rPr>
          <w:color w:val="231F20"/>
        </w:rPr>
        <w:t>retrieved; if you apply the Windows Systems Online or Windows Systems Offline query, only 4 attributes are retrieved. With either query you can use the Filters tab in the Properties editor to display fewer attributes.</w:t>
      </w:r>
    </w:p>
    <w:p>
      <w:pPr>
        <w:pStyle w:val="BodyText"/>
        <w:spacing w:before="7" w:after="1"/>
        <w:rPr>
          <w:sz w:val="12"/>
        </w:rPr>
      </w:pPr>
    </w:p>
    <w:tbl>
      <w:tblPr>
        <w:tblW w:w="0" w:type="auto"/>
        <w:jc w:val="left"/>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56"/>
        <w:gridCol w:w="1371"/>
        <w:gridCol w:w="1371"/>
        <w:gridCol w:w="1371"/>
        <w:gridCol w:w="1371"/>
        <w:gridCol w:w="1371"/>
        <w:gridCol w:w="1356"/>
      </w:tblGrid>
      <w:tr>
        <w:trPr>
          <w:trHeight w:val="493" w:hRule="atLeast"/>
        </w:trPr>
        <w:tc>
          <w:tcPr>
            <w:tcW w:w="1356" w:type="dxa"/>
          </w:tcPr>
          <w:p>
            <w:pPr>
              <w:pStyle w:val="TableParagraph"/>
              <w:spacing w:line="242" w:lineRule="auto" w:before="10"/>
              <w:ind w:left="44" w:right="325" w:firstLine="10"/>
              <w:rPr>
                <w:rFonts w:ascii="Book Antiqua"/>
                <w:b/>
                <w:sz w:val="18"/>
              </w:rPr>
            </w:pPr>
            <w:r>
              <w:rPr>
                <w:position w:val="-3"/>
              </w:rPr>
              <w:drawing>
                <wp:inline distT="0" distB="0" distL="0" distR="0">
                  <wp:extent cx="88900" cy="101600"/>
                  <wp:effectExtent l="0" t="0" r="0" b="0"/>
                  <wp:docPr id="1671" name="Image 1671"/>
                  <wp:cNvGraphicFramePr>
                    <a:graphicFrameLocks/>
                  </wp:cNvGraphicFramePr>
                  <a:graphic>
                    <a:graphicData uri="http://schemas.openxmlformats.org/drawingml/2006/picture">
                      <pic:pic>
                        <pic:nvPicPr>
                          <pic:cNvPr id="1671" name="Image 1671"/>
                          <pic:cNvPicPr/>
                        </pic:nvPicPr>
                        <pic:blipFill>
                          <a:blip r:embed="rId83" cstate="print"/>
                          <a:stretch>
                            <a:fillRect/>
                          </a:stretch>
                        </pic:blipFill>
                        <pic:spPr>
                          <a:xfrm>
                            <a:off x="0" y="0"/>
                            <a:ext cx="88900" cy="101600"/>
                          </a:xfrm>
                          <a:prstGeom prst="rect">
                            <a:avLst/>
                          </a:prstGeom>
                        </pic:spPr>
                      </pic:pic>
                    </a:graphicData>
                  </a:graphic>
                </wp:inline>
              </w:drawing>
            </w:r>
            <w:r>
              <w:rPr>
                <w:position w:val="-3"/>
              </w:rPr>
            </w:r>
            <w:r>
              <w:rPr>
                <w:rFonts w:ascii="Times New Roman"/>
                <w:spacing w:val="-13"/>
                <w:sz w:val="20"/>
              </w:rPr>
              <w:t> </w:t>
            </w:r>
            <w:r>
              <w:rPr>
                <w:rFonts w:ascii="Book Antiqua"/>
                <w:b/>
                <w:color w:val="231F20"/>
                <w:sz w:val="18"/>
              </w:rPr>
              <w:t>Managed </w:t>
            </w:r>
            <w:r>
              <w:rPr>
                <w:rFonts w:ascii="Book Antiqua"/>
                <w:b/>
                <w:color w:val="231F20"/>
                <w:spacing w:val="-2"/>
                <w:sz w:val="18"/>
              </w:rPr>
              <w:t>System</w:t>
            </w:r>
          </w:p>
        </w:tc>
        <w:tc>
          <w:tcPr>
            <w:tcW w:w="1371" w:type="dxa"/>
          </w:tcPr>
          <w:p>
            <w:pPr>
              <w:pStyle w:val="TableParagraph"/>
              <w:spacing w:line="242" w:lineRule="auto" w:before="10"/>
              <w:ind w:left="60"/>
              <w:rPr>
                <w:rFonts w:ascii="Book Antiqua"/>
                <w:b/>
                <w:sz w:val="18"/>
              </w:rPr>
            </w:pPr>
            <w:r>
              <w:rPr>
                <w:position w:val="-3"/>
              </w:rPr>
              <w:drawing>
                <wp:inline distT="0" distB="0" distL="0" distR="0">
                  <wp:extent cx="101600" cy="101600"/>
                  <wp:effectExtent l="0" t="0" r="0" b="0"/>
                  <wp:docPr id="1672" name="Image 1672"/>
                  <wp:cNvGraphicFramePr>
                    <a:graphicFrameLocks/>
                  </wp:cNvGraphicFramePr>
                  <a:graphic>
                    <a:graphicData uri="http://schemas.openxmlformats.org/drawingml/2006/picture">
                      <pic:pic>
                        <pic:nvPicPr>
                          <pic:cNvPr id="1672" name="Image 1672"/>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13"/>
                <w:sz w:val="20"/>
              </w:rPr>
              <w:t> </w:t>
            </w:r>
            <w:r>
              <w:rPr>
                <w:rFonts w:ascii="Book Antiqua"/>
                <w:b/>
                <w:color w:val="231F20"/>
                <w:spacing w:val="-2"/>
                <w:sz w:val="18"/>
              </w:rPr>
              <w:t>Managing System</w:t>
            </w:r>
          </w:p>
        </w:tc>
        <w:tc>
          <w:tcPr>
            <w:tcW w:w="1371" w:type="dxa"/>
          </w:tcPr>
          <w:p>
            <w:pPr>
              <w:pStyle w:val="TableParagraph"/>
              <w:spacing w:before="229"/>
              <w:ind w:left="60"/>
              <w:rPr>
                <w:rFonts w:ascii="Book Antiqua"/>
                <w:b/>
                <w:sz w:val="18"/>
              </w:rPr>
            </w:pPr>
            <w:r>
              <w:rPr>
                <w:position w:val="-3"/>
              </w:rPr>
              <w:drawing>
                <wp:inline distT="0" distB="0" distL="0" distR="0">
                  <wp:extent cx="101600" cy="101600"/>
                  <wp:effectExtent l="0" t="0" r="0" b="0"/>
                  <wp:docPr id="1673" name="Image 1673"/>
                  <wp:cNvGraphicFramePr>
                    <a:graphicFrameLocks/>
                  </wp:cNvGraphicFramePr>
                  <a:graphic>
                    <a:graphicData uri="http://schemas.openxmlformats.org/drawingml/2006/picture">
                      <pic:pic>
                        <pic:nvPicPr>
                          <pic:cNvPr id="1673" name="Image 1673"/>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Status</w:t>
            </w:r>
          </w:p>
        </w:tc>
        <w:tc>
          <w:tcPr>
            <w:tcW w:w="1371" w:type="dxa"/>
          </w:tcPr>
          <w:p>
            <w:pPr>
              <w:pStyle w:val="TableParagraph"/>
              <w:spacing w:line="242" w:lineRule="auto" w:before="10"/>
              <w:ind w:left="60" w:right="152"/>
              <w:rPr>
                <w:rFonts w:ascii="Book Antiqua"/>
                <w:b/>
                <w:sz w:val="18"/>
              </w:rPr>
            </w:pPr>
            <w:r>
              <w:rPr>
                <w:position w:val="-3"/>
              </w:rPr>
              <w:drawing>
                <wp:inline distT="0" distB="0" distL="0" distR="0">
                  <wp:extent cx="101600" cy="101600"/>
                  <wp:effectExtent l="0" t="0" r="0" b="0"/>
                  <wp:docPr id="1674" name="Image 1674"/>
                  <wp:cNvGraphicFramePr>
                    <a:graphicFrameLocks/>
                  </wp:cNvGraphicFramePr>
                  <a:graphic>
                    <a:graphicData uri="http://schemas.openxmlformats.org/drawingml/2006/picture">
                      <pic:pic>
                        <pic:nvPicPr>
                          <pic:cNvPr id="1674" name="Image 1674"/>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13"/>
                <w:sz w:val="20"/>
              </w:rPr>
              <w:t> </w:t>
            </w:r>
            <w:r>
              <w:rPr>
                <w:rFonts w:ascii="Book Antiqua"/>
                <w:b/>
                <w:color w:val="231F20"/>
                <w:spacing w:val="-2"/>
                <w:sz w:val="18"/>
              </w:rPr>
              <w:t>Origin </w:t>
            </w:r>
            <w:r>
              <w:rPr>
                <w:rFonts w:ascii="Book Antiqua"/>
                <w:b/>
                <w:color w:val="231F20"/>
                <w:spacing w:val="-4"/>
                <w:sz w:val="18"/>
              </w:rPr>
              <w:t>Node</w:t>
            </w:r>
          </w:p>
        </w:tc>
        <w:tc>
          <w:tcPr>
            <w:tcW w:w="1371" w:type="dxa"/>
          </w:tcPr>
          <w:p>
            <w:pPr>
              <w:pStyle w:val="TableParagraph"/>
              <w:spacing w:before="229"/>
              <w:ind w:left="60"/>
              <w:rPr>
                <w:rFonts w:ascii="Book Antiqua"/>
                <w:b/>
                <w:sz w:val="18"/>
              </w:rPr>
            </w:pPr>
            <w:r>
              <w:rPr>
                <w:position w:val="-3"/>
              </w:rPr>
              <w:drawing>
                <wp:inline distT="0" distB="0" distL="0" distR="0">
                  <wp:extent cx="101600" cy="101600"/>
                  <wp:effectExtent l="0" t="0" r="0" b="0"/>
                  <wp:docPr id="1675" name="Image 1675"/>
                  <wp:cNvGraphicFramePr>
                    <a:graphicFrameLocks/>
                  </wp:cNvGraphicFramePr>
                  <a:graphic>
                    <a:graphicData uri="http://schemas.openxmlformats.org/drawingml/2006/picture">
                      <pic:pic>
                        <pic:nvPicPr>
                          <pic:cNvPr id="1675" name="Image 1675"/>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Name</w:t>
            </w:r>
          </w:p>
        </w:tc>
        <w:tc>
          <w:tcPr>
            <w:tcW w:w="1371" w:type="dxa"/>
          </w:tcPr>
          <w:p>
            <w:pPr>
              <w:pStyle w:val="TableParagraph"/>
              <w:spacing w:before="229"/>
              <w:ind w:left="61"/>
              <w:rPr>
                <w:rFonts w:ascii="Book Antiqua"/>
                <w:b/>
                <w:sz w:val="18"/>
              </w:rPr>
            </w:pPr>
            <w:r>
              <w:rPr>
                <w:position w:val="-3"/>
              </w:rPr>
              <w:drawing>
                <wp:inline distT="0" distB="0" distL="0" distR="0">
                  <wp:extent cx="101600" cy="101600"/>
                  <wp:effectExtent l="0" t="0" r="0" b="0"/>
                  <wp:docPr id="1676" name="Image 1676"/>
                  <wp:cNvGraphicFramePr>
                    <a:graphicFrameLocks/>
                  </wp:cNvGraphicFramePr>
                  <a:graphic>
                    <a:graphicData uri="http://schemas.openxmlformats.org/drawingml/2006/picture">
                      <pic:pic>
                        <pic:nvPicPr>
                          <pic:cNvPr id="1676" name="Image 1676"/>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Product</w:t>
            </w:r>
          </w:p>
        </w:tc>
        <w:tc>
          <w:tcPr>
            <w:tcW w:w="1356" w:type="dxa"/>
          </w:tcPr>
          <w:p>
            <w:pPr>
              <w:pStyle w:val="TableParagraph"/>
              <w:spacing w:before="229"/>
              <w:ind w:left="61"/>
              <w:rPr>
                <w:rFonts w:ascii="Book Antiqua"/>
                <w:b/>
                <w:sz w:val="18"/>
              </w:rPr>
            </w:pPr>
            <w:r>
              <w:rPr>
                <w:position w:val="-3"/>
              </w:rPr>
              <w:drawing>
                <wp:inline distT="0" distB="0" distL="0" distR="0">
                  <wp:extent cx="101600" cy="101600"/>
                  <wp:effectExtent l="0" t="0" r="0" b="0"/>
                  <wp:docPr id="1677" name="Image 1677"/>
                  <wp:cNvGraphicFramePr>
                    <a:graphicFrameLocks/>
                  </wp:cNvGraphicFramePr>
                  <a:graphic>
                    <a:graphicData uri="http://schemas.openxmlformats.org/drawingml/2006/picture">
                      <pic:pic>
                        <pic:nvPicPr>
                          <pic:cNvPr id="1677" name="Image 1677"/>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Version</w:t>
            </w:r>
          </w:p>
        </w:tc>
      </w:tr>
      <w:tr>
        <w:trPr>
          <w:trHeight w:val="748" w:hRule="atLeast"/>
        </w:trPr>
        <w:tc>
          <w:tcPr>
            <w:tcW w:w="1356" w:type="dxa"/>
          </w:tcPr>
          <w:p>
            <w:pPr>
              <w:pStyle w:val="TableParagraph"/>
              <w:spacing w:line="216" w:lineRule="auto" w:before="44"/>
              <w:ind w:left="44" w:firstLine="10"/>
              <w:rPr>
                <w:sz w:val="18"/>
              </w:rPr>
            </w:pPr>
            <w:r>
              <w:rPr>
                <w:position w:val="-3"/>
              </w:rPr>
              <w:drawing>
                <wp:inline distT="0" distB="0" distL="0" distR="0">
                  <wp:extent cx="95250" cy="101600"/>
                  <wp:effectExtent l="0" t="0" r="0" b="0"/>
                  <wp:docPr id="1678" name="Image 1678"/>
                  <wp:cNvGraphicFramePr>
                    <a:graphicFrameLocks/>
                  </wp:cNvGraphicFramePr>
                  <a:graphic>
                    <a:graphicData uri="http://schemas.openxmlformats.org/drawingml/2006/picture">
                      <pic:pic>
                        <pic:nvPicPr>
                          <pic:cNvPr id="1678" name="Image 1678"/>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Current </w:t>
            </w:r>
            <w:r>
              <w:rPr>
                <w:color w:val="231F20"/>
                <w:spacing w:val="-2"/>
                <w:sz w:val="18"/>
              </w:rPr>
              <w:t>Managed </w:t>
            </w:r>
            <w:r>
              <w:rPr>
                <w:color w:val="231F20"/>
                <w:sz w:val="18"/>
              </w:rPr>
              <w:t>Systems</w:t>
            </w:r>
            <w:r>
              <w:rPr>
                <w:color w:val="231F20"/>
                <w:spacing w:val="-7"/>
                <w:sz w:val="18"/>
              </w:rPr>
              <w:t> </w:t>
            </w:r>
            <w:r>
              <w:rPr>
                <w:color w:val="231F20"/>
                <w:sz w:val="18"/>
              </w:rPr>
              <w:t>Status</w:t>
            </w:r>
          </w:p>
        </w:tc>
        <w:tc>
          <w:tcPr>
            <w:tcW w:w="1371" w:type="dxa"/>
          </w:tcPr>
          <w:p>
            <w:pPr>
              <w:pStyle w:val="TableParagraph"/>
              <w:spacing w:line="231" w:lineRule="exact"/>
              <w:ind w:left="11" w:right="1"/>
              <w:jc w:val="center"/>
              <w:rPr>
                <w:sz w:val="18"/>
              </w:rPr>
            </w:pPr>
            <w:r>
              <w:rPr/>
              <w:drawing>
                <wp:inline distT="0" distB="0" distL="0" distR="0">
                  <wp:extent cx="82550" cy="82550"/>
                  <wp:effectExtent l="0" t="0" r="0" b="0"/>
                  <wp:docPr id="1679" name="Image 1679"/>
                  <wp:cNvGraphicFramePr>
                    <a:graphicFrameLocks/>
                  </wp:cNvGraphicFramePr>
                  <a:graphic>
                    <a:graphicData uri="http://schemas.openxmlformats.org/drawingml/2006/picture">
                      <pic:pic>
                        <pic:nvPicPr>
                          <pic:cNvPr id="1679" name="Image 1679"/>
                          <pic:cNvPicPr/>
                        </pic:nvPicPr>
                        <pic:blipFill>
                          <a:blip r:embed="rId329" cstate="print"/>
                          <a:stretch>
                            <a:fillRect/>
                          </a:stretch>
                        </pic:blipFill>
                        <pic:spPr>
                          <a:xfrm>
                            <a:off x="0" y="0"/>
                            <a:ext cx="82550" cy="82550"/>
                          </a:xfrm>
                          <a:prstGeom prst="rect">
                            <a:avLst/>
                          </a:prstGeom>
                        </pic:spPr>
                      </pic:pic>
                    </a:graphicData>
                  </a:graphic>
                </wp:inline>
              </w:drawing>
            </w:r>
            <w:r>
              <w:rPr/>
            </w:r>
            <w:r>
              <w:rPr>
                <w:rFonts w:ascii="Times New Roman"/>
                <w:spacing w:val="40"/>
                <w:w w:val="120"/>
                <w:position w:val="2"/>
                <w:sz w:val="20"/>
              </w:rPr>
              <w:t> </w:t>
            </w:r>
            <w:r>
              <w:rPr>
                <w:color w:val="231F20"/>
                <w:w w:val="120"/>
                <w:position w:val="2"/>
                <w:sz w:val="18"/>
              </w:rPr>
              <w:t>==</w:t>
            </w:r>
          </w:p>
          <w:p>
            <w:pPr>
              <w:pStyle w:val="TableParagraph"/>
              <w:spacing w:line="231" w:lineRule="exact" w:before="0"/>
              <w:ind w:left="11"/>
              <w:jc w:val="center"/>
              <w:rPr>
                <w:sz w:val="18"/>
              </w:rPr>
            </w:pPr>
            <w:r>
              <w:rPr>
                <w:color w:val="231F20"/>
                <w:spacing w:val="-2"/>
                <w:sz w:val="18"/>
              </w:rPr>
              <w:t>$AGENT$</w:t>
            </w:r>
          </w:p>
        </w:tc>
        <w:tc>
          <w:tcPr>
            <w:tcW w:w="1371" w:type="dxa"/>
          </w:tcPr>
          <w:p>
            <w:pPr>
              <w:pStyle w:val="TableParagraph"/>
              <w:spacing w:before="10"/>
              <w:ind w:left="0"/>
              <w:rPr>
                <w:sz w:val="7"/>
              </w:rPr>
            </w:pPr>
          </w:p>
          <w:p>
            <w:pPr>
              <w:pStyle w:val="TableParagraph"/>
              <w:spacing w:line="130" w:lineRule="exact" w:before="0"/>
              <w:ind w:left="593"/>
              <w:rPr>
                <w:sz w:val="13"/>
              </w:rPr>
            </w:pPr>
            <w:r>
              <w:rPr>
                <w:position w:val="-2"/>
                <w:sz w:val="13"/>
              </w:rPr>
              <w:drawing>
                <wp:inline distT="0" distB="0" distL="0" distR="0">
                  <wp:extent cx="82962" cy="82962"/>
                  <wp:effectExtent l="0" t="0" r="0" b="0"/>
                  <wp:docPr id="1680" name="Image 1680"/>
                  <wp:cNvGraphicFramePr>
                    <a:graphicFrameLocks/>
                  </wp:cNvGraphicFramePr>
                  <a:graphic>
                    <a:graphicData uri="http://schemas.openxmlformats.org/drawingml/2006/picture">
                      <pic:pic>
                        <pic:nvPicPr>
                          <pic:cNvPr id="1680" name="Image 1680"/>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71"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81" name="Image 1681"/>
                  <wp:cNvGraphicFramePr>
                    <a:graphicFrameLocks/>
                  </wp:cNvGraphicFramePr>
                  <a:graphic>
                    <a:graphicData uri="http://schemas.openxmlformats.org/drawingml/2006/picture">
                      <pic:pic>
                        <pic:nvPicPr>
                          <pic:cNvPr id="1681" name="Image 1681"/>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71"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82" name="Image 1682"/>
                  <wp:cNvGraphicFramePr>
                    <a:graphicFrameLocks/>
                  </wp:cNvGraphicFramePr>
                  <a:graphic>
                    <a:graphicData uri="http://schemas.openxmlformats.org/drawingml/2006/picture">
                      <pic:pic>
                        <pic:nvPicPr>
                          <pic:cNvPr id="1682" name="Image 1682"/>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71"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83" name="Image 1683"/>
                  <wp:cNvGraphicFramePr>
                    <a:graphicFrameLocks/>
                  </wp:cNvGraphicFramePr>
                  <a:graphic>
                    <a:graphicData uri="http://schemas.openxmlformats.org/drawingml/2006/picture">
                      <pic:pic>
                        <pic:nvPicPr>
                          <pic:cNvPr id="1683" name="Image 1683"/>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56"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84" name="Image 1684"/>
                  <wp:cNvGraphicFramePr>
                    <a:graphicFrameLocks/>
                  </wp:cNvGraphicFramePr>
                  <a:graphic>
                    <a:graphicData uri="http://schemas.openxmlformats.org/drawingml/2006/picture">
                      <pic:pic>
                        <pic:nvPicPr>
                          <pic:cNvPr id="1684" name="Image 1684"/>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r>
      <w:tr>
        <w:trPr>
          <w:trHeight w:val="528" w:hRule="atLeast"/>
        </w:trPr>
        <w:tc>
          <w:tcPr>
            <w:tcW w:w="1356" w:type="dxa"/>
          </w:tcPr>
          <w:p>
            <w:pPr>
              <w:pStyle w:val="TableParagraph"/>
              <w:spacing w:line="216" w:lineRule="auto" w:before="44"/>
              <w:ind w:left="44" w:firstLine="10"/>
              <w:rPr>
                <w:sz w:val="18"/>
              </w:rPr>
            </w:pPr>
            <w:r>
              <w:rPr>
                <w:position w:val="-3"/>
              </w:rPr>
              <w:drawing>
                <wp:inline distT="0" distB="0" distL="0" distR="0">
                  <wp:extent cx="95250" cy="101600"/>
                  <wp:effectExtent l="0" t="0" r="0" b="0"/>
                  <wp:docPr id="1685" name="Image 1685"/>
                  <wp:cNvGraphicFramePr>
                    <a:graphicFrameLocks/>
                  </wp:cNvGraphicFramePr>
                  <a:graphic>
                    <a:graphicData uri="http://schemas.openxmlformats.org/drawingml/2006/picture">
                      <pic:pic>
                        <pic:nvPicPr>
                          <pic:cNvPr id="1685" name="Image 1685"/>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Windows Systems</w:t>
            </w:r>
            <w:r>
              <w:rPr>
                <w:color w:val="231F20"/>
                <w:spacing w:val="-7"/>
                <w:sz w:val="18"/>
              </w:rPr>
              <w:t> </w:t>
            </w:r>
            <w:r>
              <w:rPr>
                <w:color w:val="231F20"/>
                <w:sz w:val="18"/>
              </w:rPr>
              <w:t>Online</w:t>
            </w:r>
          </w:p>
        </w:tc>
        <w:tc>
          <w:tcPr>
            <w:tcW w:w="1371" w:type="dxa"/>
          </w:tcPr>
          <w:p>
            <w:pPr>
              <w:pStyle w:val="TableParagraph"/>
              <w:spacing w:before="0"/>
              <w:ind w:left="0"/>
              <w:rPr>
                <w:rFonts w:ascii="Times New Roman"/>
                <w:sz w:val="18"/>
              </w:rPr>
            </w:pPr>
          </w:p>
        </w:tc>
        <w:tc>
          <w:tcPr>
            <w:tcW w:w="1371" w:type="dxa"/>
          </w:tcPr>
          <w:p>
            <w:pPr>
              <w:pStyle w:val="TableParagraph"/>
              <w:spacing w:before="10"/>
              <w:ind w:left="0"/>
              <w:rPr>
                <w:sz w:val="7"/>
              </w:rPr>
            </w:pPr>
          </w:p>
          <w:p>
            <w:pPr>
              <w:pStyle w:val="TableParagraph"/>
              <w:spacing w:line="130" w:lineRule="exact" w:before="0"/>
              <w:ind w:left="593"/>
              <w:rPr>
                <w:sz w:val="13"/>
              </w:rPr>
            </w:pPr>
            <w:r>
              <w:rPr>
                <w:position w:val="-2"/>
                <w:sz w:val="13"/>
              </w:rPr>
              <w:drawing>
                <wp:inline distT="0" distB="0" distL="0" distR="0">
                  <wp:extent cx="82962" cy="82962"/>
                  <wp:effectExtent l="0" t="0" r="0" b="0"/>
                  <wp:docPr id="1686" name="Image 1686"/>
                  <wp:cNvGraphicFramePr>
                    <a:graphicFrameLocks/>
                  </wp:cNvGraphicFramePr>
                  <a:graphic>
                    <a:graphicData uri="http://schemas.openxmlformats.org/drawingml/2006/picture">
                      <pic:pic>
                        <pic:nvPicPr>
                          <pic:cNvPr id="1686" name="Image 1686"/>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p>
            <w:pPr>
              <w:pStyle w:val="TableParagraph"/>
              <w:spacing w:before="10"/>
              <w:ind w:left="190"/>
              <w:rPr>
                <w:sz w:val="18"/>
              </w:rPr>
            </w:pPr>
            <w:r>
              <w:rPr>
                <w:color w:val="231F20"/>
                <w:spacing w:val="-2"/>
                <w:w w:val="105"/>
                <w:sz w:val="18"/>
              </w:rPr>
              <w:t>=='*ONLINE'</w:t>
            </w:r>
          </w:p>
        </w:tc>
        <w:tc>
          <w:tcPr>
            <w:tcW w:w="1371" w:type="dxa"/>
          </w:tcPr>
          <w:p>
            <w:pPr>
              <w:pStyle w:val="TableParagraph"/>
              <w:spacing w:before="0"/>
              <w:ind w:left="0"/>
              <w:rPr>
                <w:rFonts w:ascii="Times New Roman"/>
                <w:sz w:val="18"/>
              </w:rPr>
            </w:pPr>
          </w:p>
        </w:tc>
        <w:tc>
          <w:tcPr>
            <w:tcW w:w="1371" w:type="dxa"/>
          </w:tcPr>
          <w:p>
            <w:pPr>
              <w:pStyle w:val="TableParagraph"/>
              <w:spacing w:before="10"/>
              <w:ind w:left="0"/>
              <w:rPr>
                <w:sz w:val="7"/>
              </w:rPr>
            </w:pPr>
          </w:p>
          <w:p>
            <w:pPr>
              <w:pStyle w:val="TableParagraph"/>
              <w:spacing w:line="130" w:lineRule="exact" w:before="0"/>
              <w:ind w:left="639"/>
              <w:rPr>
                <w:sz w:val="13"/>
              </w:rPr>
            </w:pPr>
            <w:r>
              <w:rPr>
                <w:position w:val="-2"/>
                <w:sz w:val="13"/>
              </w:rPr>
              <w:drawing>
                <wp:inline distT="0" distB="0" distL="0" distR="0">
                  <wp:extent cx="82962" cy="82962"/>
                  <wp:effectExtent l="0" t="0" r="0" b="0"/>
                  <wp:docPr id="1687" name="Image 1687"/>
                  <wp:cNvGraphicFramePr>
                    <a:graphicFrameLocks/>
                  </wp:cNvGraphicFramePr>
                  <a:graphic>
                    <a:graphicData uri="http://schemas.openxmlformats.org/drawingml/2006/picture">
                      <pic:pic>
                        <pic:nvPicPr>
                          <pic:cNvPr id="1687" name="Image 1687"/>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71" w:type="dxa"/>
          </w:tcPr>
          <w:p>
            <w:pPr>
              <w:pStyle w:val="TableParagraph"/>
              <w:tabs>
                <w:tab w:pos="334" w:val="left" w:leader="none"/>
              </w:tabs>
              <w:ind w:left="0" w:right="229"/>
              <w:jc w:val="right"/>
              <w:rPr>
                <w:sz w:val="18"/>
              </w:rPr>
            </w:pPr>
            <w:r>
              <w:rPr/>
              <w:drawing>
                <wp:inline distT="0" distB="0" distL="0" distR="0">
                  <wp:extent cx="82550" cy="82550"/>
                  <wp:effectExtent l="0" t="0" r="0" b="0"/>
                  <wp:docPr id="1688" name="Image 1688"/>
                  <wp:cNvGraphicFramePr>
                    <a:graphicFrameLocks/>
                  </wp:cNvGraphicFramePr>
                  <a:graphic>
                    <a:graphicData uri="http://schemas.openxmlformats.org/drawingml/2006/picture">
                      <pic:pic>
                        <pic:nvPicPr>
                          <pic:cNvPr id="1688" name="Image 1688"/>
                          <pic:cNvPicPr/>
                        </pic:nvPicPr>
                        <pic:blipFill>
                          <a:blip r:embed="rId329" cstate="print"/>
                          <a:stretch>
                            <a:fillRect/>
                          </a:stretch>
                        </pic:blipFill>
                        <pic:spPr>
                          <a:xfrm>
                            <a:off x="0" y="0"/>
                            <a:ext cx="82550" cy="82550"/>
                          </a:xfrm>
                          <a:prstGeom prst="rect">
                            <a:avLst/>
                          </a:prstGeom>
                        </pic:spPr>
                      </pic:pic>
                    </a:graphicData>
                  </a:graphic>
                </wp:inline>
              </w:drawing>
            </w:r>
            <w:r>
              <w:rPr/>
            </w:r>
            <w:r>
              <w:rPr>
                <w:rFonts w:ascii="Times New Roman"/>
                <w:position w:val="2"/>
                <w:sz w:val="20"/>
              </w:rPr>
              <w:tab/>
            </w:r>
            <w:r>
              <w:rPr>
                <w:color w:val="231F20"/>
                <w:spacing w:val="-2"/>
                <w:w w:val="105"/>
                <w:position w:val="2"/>
                <w:sz w:val="18"/>
              </w:rPr>
              <w:t>=='NT'</w:t>
            </w:r>
          </w:p>
        </w:tc>
        <w:tc>
          <w:tcPr>
            <w:tcW w:w="1356"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89" name="Image 1689"/>
                  <wp:cNvGraphicFramePr>
                    <a:graphicFrameLocks/>
                  </wp:cNvGraphicFramePr>
                  <a:graphic>
                    <a:graphicData uri="http://schemas.openxmlformats.org/drawingml/2006/picture">
                      <pic:pic>
                        <pic:nvPicPr>
                          <pic:cNvPr id="1689" name="Image 1689"/>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r>
      <w:tr>
        <w:trPr>
          <w:trHeight w:val="753" w:hRule="atLeast"/>
        </w:trPr>
        <w:tc>
          <w:tcPr>
            <w:tcW w:w="1356" w:type="dxa"/>
          </w:tcPr>
          <w:p>
            <w:pPr>
              <w:pStyle w:val="TableParagraph"/>
              <w:spacing w:line="216" w:lineRule="auto" w:before="44"/>
              <w:ind w:left="44" w:right="327" w:firstLine="10"/>
              <w:rPr>
                <w:sz w:val="18"/>
              </w:rPr>
            </w:pPr>
            <w:r>
              <w:rPr>
                <w:position w:val="-3"/>
              </w:rPr>
              <w:drawing>
                <wp:inline distT="0" distB="0" distL="0" distR="0">
                  <wp:extent cx="95250" cy="101600"/>
                  <wp:effectExtent l="0" t="0" r="0" b="0"/>
                  <wp:docPr id="1690" name="Image 1690"/>
                  <wp:cNvGraphicFramePr>
                    <a:graphicFrameLocks/>
                  </wp:cNvGraphicFramePr>
                  <a:graphic>
                    <a:graphicData uri="http://schemas.openxmlformats.org/drawingml/2006/picture">
                      <pic:pic>
                        <pic:nvPicPr>
                          <pic:cNvPr id="1690" name="Image 1690"/>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13"/>
                <w:sz w:val="20"/>
              </w:rPr>
              <w:t> </w:t>
            </w:r>
            <w:r>
              <w:rPr>
                <w:color w:val="231F20"/>
                <w:spacing w:val="-2"/>
                <w:sz w:val="18"/>
              </w:rPr>
              <w:t>Windows Systems Offline</w:t>
            </w:r>
          </w:p>
        </w:tc>
        <w:tc>
          <w:tcPr>
            <w:tcW w:w="1371" w:type="dxa"/>
          </w:tcPr>
          <w:p>
            <w:pPr>
              <w:pStyle w:val="TableParagraph"/>
              <w:spacing w:before="0"/>
              <w:ind w:left="0"/>
              <w:rPr>
                <w:rFonts w:ascii="Times New Roman"/>
                <w:sz w:val="18"/>
              </w:rPr>
            </w:pPr>
          </w:p>
        </w:tc>
        <w:tc>
          <w:tcPr>
            <w:tcW w:w="1371" w:type="dxa"/>
          </w:tcPr>
          <w:p>
            <w:pPr>
              <w:pStyle w:val="TableParagraph"/>
              <w:spacing w:before="10"/>
              <w:ind w:left="0"/>
              <w:rPr>
                <w:sz w:val="7"/>
              </w:rPr>
            </w:pPr>
          </w:p>
          <w:p>
            <w:pPr>
              <w:pStyle w:val="TableParagraph"/>
              <w:spacing w:line="130" w:lineRule="exact" w:before="0"/>
              <w:ind w:left="638"/>
              <w:rPr>
                <w:sz w:val="13"/>
              </w:rPr>
            </w:pPr>
            <w:r>
              <w:rPr>
                <w:position w:val="-2"/>
                <w:sz w:val="13"/>
              </w:rPr>
              <w:drawing>
                <wp:inline distT="0" distB="0" distL="0" distR="0">
                  <wp:extent cx="82962" cy="82962"/>
                  <wp:effectExtent l="0" t="0" r="0" b="0"/>
                  <wp:docPr id="1691" name="Image 1691"/>
                  <wp:cNvGraphicFramePr>
                    <a:graphicFrameLocks/>
                  </wp:cNvGraphicFramePr>
                  <a:graphic>
                    <a:graphicData uri="http://schemas.openxmlformats.org/drawingml/2006/picture">
                      <pic:pic>
                        <pic:nvPicPr>
                          <pic:cNvPr id="1691" name="Image 1691"/>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p>
            <w:pPr>
              <w:pStyle w:val="TableParagraph"/>
              <w:spacing w:before="10"/>
              <w:ind w:left="165"/>
              <w:rPr>
                <w:sz w:val="18"/>
              </w:rPr>
            </w:pPr>
            <w:r>
              <w:rPr>
                <w:color w:val="231F20"/>
                <w:spacing w:val="-2"/>
                <w:w w:val="105"/>
                <w:sz w:val="18"/>
              </w:rPr>
              <w:t>=='*OFFLINE'</w:t>
            </w:r>
          </w:p>
        </w:tc>
        <w:tc>
          <w:tcPr>
            <w:tcW w:w="1371" w:type="dxa"/>
          </w:tcPr>
          <w:p>
            <w:pPr>
              <w:pStyle w:val="TableParagraph"/>
              <w:spacing w:before="0"/>
              <w:ind w:left="0"/>
              <w:rPr>
                <w:rFonts w:ascii="Times New Roman"/>
                <w:sz w:val="18"/>
              </w:rPr>
            </w:pPr>
          </w:p>
        </w:tc>
        <w:tc>
          <w:tcPr>
            <w:tcW w:w="1371" w:type="dxa"/>
          </w:tcPr>
          <w:p>
            <w:pPr>
              <w:pStyle w:val="TableParagraph"/>
              <w:spacing w:before="10"/>
              <w:ind w:left="0"/>
              <w:rPr>
                <w:sz w:val="7"/>
              </w:rPr>
            </w:pPr>
          </w:p>
          <w:p>
            <w:pPr>
              <w:pStyle w:val="TableParagraph"/>
              <w:spacing w:line="130" w:lineRule="exact" w:before="0"/>
              <w:ind w:left="639"/>
              <w:rPr>
                <w:sz w:val="13"/>
              </w:rPr>
            </w:pPr>
            <w:r>
              <w:rPr>
                <w:position w:val="-2"/>
                <w:sz w:val="13"/>
              </w:rPr>
              <w:drawing>
                <wp:inline distT="0" distB="0" distL="0" distR="0">
                  <wp:extent cx="82962" cy="82962"/>
                  <wp:effectExtent l="0" t="0" r="0" b="0"/>
                  <wp:docPr id="1692" name="Image 1692"/>
                  <wp:cNvGraphicFramePr>
                    <a:graphicFrameLocks/>
                  </wp:cNvGraphicFramePr>
                  <a:graphic>
                    <a:graphicData uri="http://schemas.openxmlformats.org/drawingml/2006/picture">
                      <pic:pic>
                        <pic:nvPicPr>
                          <pic:cNvPr id="1692" name="Image 1692"/>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c>
          <w:tcPr>
            <w:tcW w:w="1371" w:type="dxa"/>
          </w:tcPr>
          <w:p>
            <w:pPr>
              <w:pStyle w:val="TableParagraph"/>
              <w:tabs>
                <w:tab w:pos="334" w:val="left" w:leader="none"/>
              </w:tabs>
              <w:ind w:left="0" w:right="229"/>
              <w:jc w:val="right"/>
              <w:rPr>
                <w:sz w:val="18"/>
              </w:rPr>
            </w:pPr>
            <w:r>
              <w:rPr/>
              <w:drawing>
                <wp:inline distT="0" distB="0" distL="0" distR="0">
                  <wp:extent cx="82550" cy="82550"/>
                  <wp:effectExtent l="0" t="0" r="0" b="0"/>
                  <wp:docPr id="1693" name="Image 1693"/>
                  <wp:cNvGraphicFramePr>
                    <a:graphicFrameLocks/>
                  </wp:cNvGraphicFramePr>
                  <a:graphic>
                    <a:graphicData uri="http://schemas.openxmlformats.org/drawingml/2006/picture">
                      <pic:pic>
                        <pic:nvPicPr>
                          <pic:cNvPr id="1693" name="Image 1693"/>
                          <pic:cNvPicPr/>
                        </pic:nvPicPr>
                        <pic:blipFill>
                          <a:blip r:embed="rId329" cstate="print"/>
                          <a:stretch>
                            <a:fillRect/>
                          </a:stretch>
                        </pic:blipFill>
                        <pic:spPr>
                          <a:xfrm>
                            <a:off x="0" y="0"/>
                            <a:ext cx="82550" cy="82550"/>
                          </a:xfrm>
                          <a:prstGeom prst="rect">
                            <a:avLst/>
                          </a:prstGeom>
                        </pic:spPr>
                      </pic:pic>
                    </a:graphicData>
                  </a:graphic>
                </wp:inline>
              </w:drawing>
            </w:r>
            <w:r>
              <w:rPr/>
            </w:r>
            <w:r>
              <w:rPr>
                <w:rFonts w:ascii="Times New Roman"/>
                <w:position w:val="2"/>
                <w:sz w:val="20"/>
              </w:rPr>
              <w:tab/>
            </w:r>
            <w:r>
              <w:rPr>
                <w:color w:val="231F20"/>
                <w:spacing w:val="-2"/>
                <w:w w:val="105"/>
                <w:position w:val="2"/>
                <w:sz w:val="18"/>
              </w:rPr>
              <w:t>=='NT'</w:t>
            </w:r>
          </w:p>
        </w:tc>
        <w:tc>
          <w:tcPr>
            <w:tcW w:w="1356" w:type="dxa"/>
          </w:tcPr>
          <w:p>
            <w:pPr>
              <w:pStyle w:val="TableParagraph"/>
              <w:spacing w:before="10"/>
              <w:ind w:left="0"/>
              <w:rPr>
                <w:sz w:val="7"/>
              </w:rPr>
            </w:pPr>
          </w:p>
          <w:p>
            <w:pPr>
              <w:pStyle w:val="TableParagraph"/>
              <w:spacing w:line="130" w:lineRule="exact" w:before="0"/>
              <w:ind w:left="594"/>
              <w:rPr>
                <w:sz w:val="13"/>
              </w:rPr>
            </w:pPr>
            <w:r>
              <w:rPr>
                <w:position w:val="-2"/>
                <w:sz w:val="13"/>
              </w:rPr>
              <w:drawing>
                <wp:inline distT="0" distB="0" distL="0" distR="0">
                  <wp:extent cx="82962" cy="82962"/>
                  <wp:effectExtent l="0" t="0" r="0" b="0"/>
                  <wp:docPr id="1694" name="Image 1694"/>
                  <wp:cNvGraphicFramePr>
                    <a:graphicFrameLocks/>
                  </wp:cNvGraphicFramePr>
                  <a:graphic>
                    <a:graphicData uri="http://schemas.openxmlformats.org/drawingml/2006/picture">
                      <pic:pic>
                        <pic:nvPicPr>
                          <pic:cNvPr id="1694" name="Image 1694"/>
                          <pic:cNvPicPr/>
                        </pic:nvPicPr>
                        <pic:blipFill>
                          <a:blip r:embed="rId329" cstate="print"/>
                          <a:stretch>
                            <a:fillRect/>
                          </a:stretch>
                        </pic:blipFill>
                        <pic:spPr>
                          <a:xfrm>
                            <a:off x="0" y="0"/>
                            <a:ext cx="82962" cy="82962"/>
                          </a:xfrm>
                          <a:prstGeom prst="rect">
                            <a:avLst/>
                          </a:prstGeom>
                        </pic:spPr>
                      </pic:pic>
                    </a:graphicData>
                  </a:graphic>
                </wp:inline>
              </w:drawing>
            </w:r>
            <w:r>
              <w:rPr>
                <w:position w:val="-2"/>
                <w:sz w:val="13"/>
              </w:rPr>
            </w:r>
          </w:p>
        </w:tc>
      </w:tr>
    </w:tbl>
    <w:p>
      <w:pPr>
        <w:pStyle w:val="BodyText"/>
        <w:spacing w:before="19"/>
      </w:pPr>
    </w:p>
    <w:p>
      <w:pPr>
        <w:pStyle w:val="BodyText"/>
        <w:spacing w:line="213" w:lineRule="auto"/>
        <w:ind w:left="2951" w:right="511"/>
      </w:pPr>
      <w:r>
        <w:rPr>
          <w:color w:val="231F20"/>
        </w:rPr>
        <w:t>To determine which queries to use, consider that every attribute you</w:t>
      </w:r>
      <w:r>
        <w:rPr>
          <w:color w:val="231F20"/>
          <w:spacing w:val="40"/>
        </w:rPr>
        <w:t> </w:t>
      </w:r>
      <w:r>
        <w:rPr>
          <w:color w:val="231F20"/>
        </w:rPr>
        <w:t>retrieve adds to the processing time and network traffic, as does every query. If possible, use the same query for more than one view in a workspace and create queries that eliminate unwanted attributes or </w:t>
      </w:r>
      <w:r>
        <w:rPr>
          <w:color w:val="231F20"/>
        </w:rPr>
        <w:t>values.</w:t>
      </w:r>
    </w:p>
    <w:p>
      <w:pPr>
        <w:pStyle w:val="BodyText"/>
        <w:spacing w:line="213" w:lineRule="auto" w:before="117"/>
        <w:ind w:left="2951" w:right="493"/>
      </w:pPr>
      <w:r>
        <w:rPr>
          <w:color w:val="231F20"/>
        </w:rPr>
        <w:t>Your IBM Tivoli Monitoring predefined workspaces use queries to the monitoring server to retrieve attributes from agents. You can also create</w:t>
      </w:r>
      <w:r>
        <w:rPr>
          <w:color w:val="231F20"/>
          <w:spacing w:val="40"/>
        </w:rPr>
        <w:t> </w:t>
      </w:r>
      <w:r>
        <w:rPr>
          <w:color w:val="231F20"/>
        </w:rPr>
        <w:t>your own queries with only the attributes you want to see in the view. </w:t>
      </w:r>
      <w:r>
        <w:rPr>
          <w:color w:val="231F20"/>
        </w:rPr>
        <w:t>The attributes can be from one group only; you cannot mix attributes from different groups in the same query.</w:t>
      </w:r>
    </w:p>
    <w:p>
      <w:pPr>
        <w:pStyle w:val="Heading6"/>
        <w:spacing w:before="115"/>
        <w:ind w:left="2232"/>
      </w:pPr>
      <w:r>
        <w:rPr>
          <w:color w:val="231F20"/>
        </w:rPr>
        <w:t>Queries</w:t>
      </w:r>
      <w:r>
        <w:rPr>
          <w:color w:val="231F20"/>
          <w:spacing w:val="11"/>
        </w:rPr>
        <w:t> </w:t>
      </w:r>
      <w:r>
        <w:rPr>
          <w:color w:val="231F20"/>
        </w:rPr>
        <w:t>to</w:t>
      </w:r>
      <w:r>
        <w:rPr>
          <w:color w:val="231F20"/>
          <w:spacing w:val="11"/>
        </w:rPr>
        <w:t> </w:t>
      </w:r>
      <w:r>
        <w:rPr>
          <w:color w:val="231F20"/>
        </w:rPr>
        <w:t>JDBC</w:t>
      </w:r>
      <w:r>
        <w:rPr>
          <w:color w:val="231F20"/>
          <w:spacing w:val="12"/>
        </w:rPr>
        <w:t> </w:t>
      </w:r>
      <w:r>
        <w:rPr>
          <w:color w:val="231F20"/>
        </w:rPr>
        <w:t>and</w:t>
      </w:r>
      <w:r>
        <w:rPr>
          <w:color w:val="231F20"/>
          <w:spacing w:val="11"/>
        </w:rPr>
        <w:t> </w:t>
      </w:r>
      <w:r>
        <w:rPr>
          <w:color w:val="231F20"/>
        </w:rPr>
        <w:t>ODBC</w:t>
      </w:r>
      <w:r>
        <w:rPr>
          <w:color w:val="231F20"/>
          <w:spacing w:val="11"/>
        </w:rPr>
        <w:t> </w:t>
      </w:r>
      <w:r>
        <w:rPr>
          <w:color w:val="231F20"/>
        </w:rPr>
        <w:t>data</w:t>
      </w:r>
      <w:r>
        <w:rPr>
          <w:color w:val="231F20"/>
          <w:spacing w:val="12"/>
        </w:rPr>
        <w:t> </w:t>
      </w:r>
      <w:r>
        <w:rPr>
          <w:color w:val="231F20"/>
          <w:spacing w:val="-2"/>
        </w:rPr>
        <w:t>sources</w:t>
      </w:r>
    </w:p>
    <w:p>
      <w:pPr>
        <w:pStyle w:val="BodyText"/>
        <w:spacing w:line="213" w:lineRule="auto" w:before="11"/>
        <w:ind w:left="2951" w:right="385"/>
      </w:pPr>
      <w:r>
        <w:rPr>
          <w:color w:val="231F20"/>
        </w:rPr>
        <w:t>The Query editor has a text editor where you can compose free-form SQL queries to any JDBC- or ODBC-compliant databases located on the system where the Tivoli Enterprise Portal server is installed. This gives you the ability to integrate systems management data from monitoring agents </w:t>
      </w:r>
      <w:r>
        <w:rPr>
          <w:color w:val="231F20"/>
        </w:rPr>
        <w:t>with data</w:t>
      </w:r>
      <w:r>
        <w:rPr>
          <w:color w:val="231F20"/>
          <w:spacing w:val="8"/>
        </w:rPr>
        <w:t> </w:t>
      </w:r>
      <w:r>
        <w:rPr>
          <w:color w:val="231F20"/>
        </w:rPr>
        <w:t>from</w:t>
      </w:r>
      <w:r>
        <w:rPr>
          <w:color w:val="231F20"/>
          <w:spacing w:val="10"/>
        </w:rPr>
        <w:t> </w:t>
      </w:r>
      <w:r>
        <w:rPr>
          <w:color w:val="231F20"/>
        </w:rPr>
        <w:t>other</w:t>
      </w:r>
      <w:r>
        <w:rPr>
          <w:color w:val="231F20"/>
          <w:spacing w:val="11"/>
        </w:rPr>
        <w:t> </w:t>
      </w:r>
      <w:r>
        <w:rPr>
          <w:color w:val="231F20"/>
        </w:rPr>
        <w:t>sources,</w:t>
      </w:r>
      <w:r>
        <w:rPr>
          <w:color w:val="231F20"/>
          <w:spacing w:val="10"/>
        </w:rPr>
        <w:t> </w:t>
      </w:r>
      <w:r>
        <w:rPr>
          <w:color w:val="231F20"/>
        </w:rPr>
        <w:t>such</w:t>
      </w:r>
      <w:r>
        <w:rPr>
          <w:color w:val="231F20"/>
          <w:spacing w:val="10"/>
        </w:rPr>
        <w:t> </w:t>
      </w:r>
      <w:r>
        <w:rPr>
          <w:color w:val="231F20"/>
        </w:rPr>
        <w:t>as</w:t>
      </w:r>
      <w:r>
        <w:rPr>
          <w:color w:val="231F20"/>
          <w:spacing w:val="11"/>
        </w:rPr>
        <w:t> </w:t>
      </w:r>
      <w:r>
        <w:rPr>
          <w:color w:val="231F20"/>
        </w:rPr>
        <w:t>a</w:t>
      </w:r>
      <w:r>
        <w:rPr>
          <w:color w:val="231F20"/>
          <w:spacing w:val="10"/>
        </w:rPr>
        <w:t> </w:t>
      </w:r>
      <w:r>
        <w:rPr>
          <w:color w:val="231F20"/>
        </w:rPr>
        <w:t>third-party</w:t>
      </w:r>
      <w:r>
        <w:rPr>
          <w:color w:val="231F20"/>
          <w:spacing w:val="10"/>
        </w:rPr>
        <w:t> </w:t>
      </w:r>
      <w:r>
        <w:rPr>
          <w:color w:val="231F20"/>
        </w:rPr>
        <w:t>database,</w:t>
      </w:r>
      <w:r>
        <w:rPr>
          <w:color w:val="231F20"/>
          <w:spacing w:val="11"/>
        </w:rPr>
        <w:t> </w:t>
      </w:r>
      <w:r>
        <w:rPr>
          <w:color w:val="231F20"/>
        </w:rPr>
        <w:t>in</w:t>
      </w:r>
      <w:r>
        <w:rPr>
          <w:color w:val="231F20"/>
          <w:spacing w:val="10"/>
        </w:rPr>
        <w:t> </w:t>
      </w:r>
      <w:r>
        <w:rPr>
          <w:color w:val="231F20"/>
        </w:rPr>
        <w:t>one</w:t>
      </w:r>
      <w:r>
        <w:rPr>
          <w:color w:val="231F20"/>
          <w:spacing w:val="11"/>
        </w:rPr>
        <w:t> </w:t>
      </w:r>
      <w:r>
        <w:rPr>
          <w:color w:val="231F20"/>
          <w:spacing w:val="-2"/>
        </w:rPr>
        <w:t>workspace.</w:t>
      </w:r>
    </w:p>
    <w:p>
      <w:pPr>
        <w:pStyle w:val="Heading6"/>
        <w:spacing w:before="116"/>
        <w:ind w:left="2232"/>
      </w:pPr>
      <w:r>
        <w:rPr>
          <w:color w:val="231F20"/>
        </w:rPr>
        <w:t>Pre-filters</w:t>
      </w:r>
      <w:r>
        <w:rPr>
          <w:color w:val="231F20"/>
          <w:spacing w:val="7"/>
        </w:rPr>
        <w:t> </w:t>
      </w:r>
      <w:r>
        <w:rPr>
          <w:color w:val="231F20"/>
        </w:rPr>
        <w:t>compared</w:t>
      </w:r>
      <w:r>
        <w:rPr>
          <w:color w:val="231F20"/>
          <w:spacing w:val="7"/>
        </w:rPr>
        <w:t> </w:t>
      </w:r>
      <w:r>
        <w:rPr>
          <w:color w:val="231F20"/>
        </w:rPr>
        <w:t>with</w:t>
      </w:r>
      <w:r>
        <w:rPr>
          <w:color w:val="231F20"/>
          <w:spacing w:val="7"/>
        </w:rPr>
        <w:t> </w:t>
      </w:r>
      <w:r>
        <w:rPr>
          <w:color w:val="231F20"/>
        </w:rPr>
        <w:t>post-</w:t>
      </w:r>
      <w:r>
        <w:rPr>
          <w:color w:val="231F20"/>
          <w:spacing w:val="-2"/>
        </w:rPr>
        <w:t>filters</w:t>
      </w:r>
    </w:p>
    <w:p>
      <w:pPr>
        <w:pStyle w:val="BodyText"/>
        <w:spacing w:line="213" w:lineRule="auto" w:before="11"/>
        <w:ind w:left="2951" w:right="433"/>
      </w:pPr>
      <w:r>
        <w:rPr>
          <w:color w:val="231F20"/>
        </w:rPr>
        <w:t>Your monitoring product has queries for its attribute groups that send a request to the Tivoli Enterprise Monitoring Server for data from managed systems. With the Query editor, you can create your own queries to the monitoring</w:t>
      </w:r>
      <w:r>
        <w:rPr>
          <w:color w:val="231F20"/>
          <w:spacing w:val="12"/>
        </w:rPr>
        <w:t> </w:t>
      </w:r>
      <w:r>
        <w:rPr>
          <w:color w:val="231F20"/>
        </w:rPr>
        <w:t>server</w:t>
      </w:r>
      <w:r>
        <w:rPr>
          <w:color w:val="231F20"/>
          <w:spacing w:val="12"/>
        </w:rPr>
        <w:t> </w:t>
      </w:r>
      <w:r>
        <w:rPr>
          <w:color w:val="231F20"/>
        </w:rPr>
        <w:t>and</w:t>
      </w:r>
      <w:r>
        <w:rPr>
          <w:color w:val="231F20"/>
          <w:spacing w:val="12"/>
        </w:rPr>
        <w:t> </w:t>
      </w:r>
      <w:r>
        <w:rPr>
          <w:color w:val="231F20"/>
        </w:rPr>
        <w:t>add</w:t>
      </w:r>
      <w:r>
        <w:rPr>
          <w:color w:val="231F20"/>
          <w:spacing w:val="12"/>
        </w:rPr>
        <w:t> </w:t>
      </w:r>
      <w:r>
        <w:rPr>
          <w:color w:val="231F20"/>
        </w:rPr>
        <w:t>a</w:t>
      </w:r>
      <w:r>
        <w:rPr>
          <w:color w:val="231F20"/>
          <w:spacing w:val="12"/>
        </w:rPr>
        <w:t> </w:t>
      </w:r>
      <w:r>
        <w:rPr>
          <w:rFonts w:ascii="Book Antiqua"/>
          <w:i/>
          <w:color w:val="231F20"/>
        </w:rPr>
        <w:t>pre-filter</w:t>
      </w:r>
      <w:r>
        <w:rPr>
          <w:rFonts w:ascii="Book Antiqua"/>
          <w:i/>
          <w:color w:val="231F20"/>
          <w:spacing w:val="12"/>
        </w:rPr>
        <w:t> </w:t>
      </w:r>
      <w:r>
        <w:rPr>
          <w:color w:val="231F20"/>
        </w:rPr>
        <w:t>that</w:t>
      </w:r>
      <w:r>
        <w:rPr>
          <w:color w:val="231F20"/>
          <w:spacing w:val="12"/>
        </w:rPr>
        <w:t> </w:t>
      </w:r>
      <w:r>
        <w:rPr>
          <w:color w:val="231F20"/>
        </w:rPr>
        <w:t>is</w:t>
      </w:r>
      <w:r>
        <w:rPr>
          <w:color w:val="231F20"/>
          <w:spacing w:val="12"/>
        </w:rPr>
        <w:t> </w:t>
      </w:r>
      <w:r>
        <w:rPr>
          <w:color w:val="231F20"/>
        </w:rPr>
        <w:t>composed</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same</w:t>
      </w:r>
      <w:r>
        <w:rPr>
          <w:color w:val="231F20"/>
          <w:spacing w:val="12"/>
        </w:rPr>
        <w:t> </w:t>
      </w:r>
      <w:r>
        <w:rPr>
          <w:color w:val="231F20"/>
        </w:rPr>
        <w:t>way</w:t>
      </w:r>
      <w:r>
        <w:rPr>
          <w:color w:val="231F20"/>
          <w:spacing w:val="12"/>
        </w:rPr>
        <w:t> </w:t>
      </w:r>
      <w:r>
        <w:rPr>
          <w:color w:val="231F20"/>
        </w:rPr>
        <w:t>as a </w:t>
      </w:r>
      <w:r>
        <w:rPr>
          <w:rFonts w:ascii="Book Antiqua"/>
          <w:i/>
          <w:color w:val="231F20"/>
        </w:rPr>
        <w:t>post-filter </w:t>
      </w:r>
      <w:r>
        <w:rPr>
          <w:color w:val="231F20"/>
        </w:rPr>
        <w:t>for a table, chart, or relational table based topology view.</w:t>
      </w:r>
    </w:p>
    <w:p>
      <w:pPr>
        <w:pStyle w:val="BodyText"/>
        <w:spacing w:line="213" w:lineRule="auto"/>
        <w:ind w:left="2951" w:right="545"/>
      </w:pPr>
      <w:r>
        <w:rPr>
          <w:color w:val="231F20"/>
        </w:rPr>
        <w:t>Additionally, you can add a column function to average, count, total, or find the minimum or maximum value of a column and group the </w:t>
      </w:r>
      <w:r>
        <w:rPr>
          <w:color w:val="231F20"/>
        </w:rPr>
        <w:t>results </w:t>
      </w:r>
      <w:r>
        <w:rPr>
          <w:color w:val="231F20"/>
          <w:spacing w:val="-2"/>
        </w:rPr>
        <w:t>accordingly.</w:t>
      </w:r>
    </w:p>
    <w:p>
      <w:pPr>
        <w:pStyle w:val="Heading6"/>
        <w:spacing w:before="113"/>
        <w:ind w:left="2232"/>
      </w:pPr>
      <w:r>
        <w:rPr>
          <w:color w:val="231F20"/>
        </w:rPr>
        <w:t>Advanced</w:t>
      </w:r>
      <w:r>
        <w:rPr>
          <w:color w:val="231F20"/>
          <w:spacing w:val="6"/>
        </w:rPr>
        <w:t> </w:t>
      </w:r>
      <w:r>
        <w:rPr>
          <w:color w:val="231F20"/>
          <w:spacing w:val="-2"/>
        </w:rPr>
        <w:t>options</w:t>
      </w:r>
    </w:p>
    <w:p>
      <w:pPr>
        <w:pStyle w:val="BodyText"/>
        <w:spacing w:line="213" w:lineRule="auto" w:before="11"/>
        <w:ind w:left="2951" w:right="763"/>
      </w:pPr>
      <w:r>
        <w:rPr>
          <w:color w:val="231F20"/>
        </w:rPr>
        <w:t>The Query editor has advanced options for sorting the view results, the attribute to group the rows by when a column function is used, and </w:t>
      </w:r>
      <w:r>
        <w:rPr>
          <w:color w:val="231F20"/>
        </w:rPr>
        <w:t>the number of rows to display from the beginning or end of the list of returned values (such as the top ten processes).</w:t>
      </w:r>
    </w:p>
    <w:p>
      <w:pPr>
        <w:pStyle w:val="BodyText"/>
        <w:spacing w:before="4"/>
        <w:rPr>
          <w:sz w:val="16"/>
        </w:rPr>
      </w:pPr>
      <w:r>
        <w:rPr/>
        <mc:AlternateContent>
          <mc:Choice Requires="wps">
            <w:drawing>
              <wp:anchor distT="0" distB="0" distL="0" distR="0" allowOverlap="1" layoutInCell="1" locked="0" behindDoc="1" simplePos="0" relativeHeight="487707648">
                <wp:simplePos x="0" y="0"/>
                <wp:positionH relativeFrom="page">
                  <wp:posOffset>760323</wp:posOffset>
                </wp:positionH>
                <wp:positionV relativeFrom="paragraph">
                  <wp:posOffset>155389</wp:posOffset>
                </wp:positionV>
                <wp:extent cx="6082665" cy="1270"/>
                <wp:effectExtent l="0" t="0" r="0" b="0"/>
                <wp:wrapTopAndBottom/>
                <wp:docPr id="1695" name="Graphic 1695"/>
                <wp:cNvGraphicFramePr>
                  <a:graphicFrameLocks/>
                </wp:cNvGraphicFramePr>
                <a:graphic>
                  <a:graphicData uri="http://schemas.microsoft.com/office/word/2010/wordprocessingShape">
                    <wps:wsp>
                      <wps:cNvPr id="1695" name="Graphic 169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35394pt;width:478.95pt;height:.1pt;mso-position-horizontal-relative:page;mso-position-vertical-relative:paragraph;z-index:-15608832;mso-wrap-distance-left:0;mso-wrap-distance-right:0" id="docshape171"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Queries to the monitoring server" w:id="311"/>
      <w:bookmarkEnd w:id="311"/>
      <w:r>
        <w:rPr>
          <w:b w:val="0"/>
        </w:rPr>
      </w:r>
      <w:r>
        <w:rPr>
          <w:color w:val="231F20"/>
        </w:rPr>
        <w:t>Queries</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monitoring</w:t>
      </w:r>
      <w:r>
        <w:rPr>
          <w:color w:val="231F20"/>
          <w:spacing w:val="7"/>
        </w:rPr>
        <w:t> </w:t>
      </w:r>
      <w:r>
        <w:rPr>
          <w:color w:val="231F20"/>
          <w:spacing w:val="-2"/>
        </w:rPr>
        <w:t>server</w:t>
      </w:r>
    </w:p>
    <w:p>
      <w:pPr>
        <w:pStyle w:val="BodyText"/>
        <w:spacing w:line="213" w:lineRule="auto" w:before="138"/>
        <w:ind w:left="2232" w:right="545"/>
      </w:pPr>
      <w:r>
        <w:rPr>
          <w:color w:val="231F20"/>
        </w:rPr>
        <w:t>Queries are made to the Tivoli Enterprise Monitoring Server to retrieve sampled attribute values from managed systems for display in workspace chart views, </w:t>
      </w:r>
      <w:r>
        <w:rPr>
          <w:color w:val="231F20"/>
        </w:rPr>
        <w:t>the table view and relational table-based topology views.</w:t>
      </w:r>
    </w:p>
    <w:p>
      <w:pPr>
        <w:spacing w:after="0" w:line="213" w:lineRule="auto"/>
        <w:sectPr>
          <w:pgSz w:w="12240" w:h="15840"/>
          <w:pgMar w:header="0" w:footer="736" w:top="1180" w:bottom="920" w:left="1000" w:right="1060"/>
        </w:sectPr>
      </w:pPr>
    </w:p>
    <w:p>
      <w:pPr>
        <w:pStyle w:val="Heading3"/>
        <w:spacing w:before="84"/>
        <w:ind w:left="1574"/>
      </w:pPr>
      <w:bookmarkStart w:name="_bookmark141" w:id="312"/>
      <w:bookmarkEnd w:id="312"/>
      <w:r>
        <w:rPr>
          <w:b w:val="0"/>
        </w:rPr>
      </w:r>
      <w:bookmarkStart w:name="Creating a query to the monitoring serve" w:id="313"/>
      <w:bookmarkEnd w:id="313"/>
      <w:r>
        <w:rPr>
          <w:b w:val="0"/>
        </w:rPr>
      </w:r>
      <w:r>
        <w:rPr>
          <w:color w:val="231F20"/>
        </w:rPr>
        <w:t>Creating</w:t>
      </w:r>
      <w:r>
        <w:rPr>
          <w:color w:val="231F20"/>
          <w:spacing w:val="6"/>
        </w:rPr>
        <w:t> </w:t>
      </w:r>
      <w:r>
        <w:rPr>
          <w:color w:val="231F20"/>
        </w:rPr>
        <w:t>a</w:t>
      </w:r>
      <w:r>
        <w:rPr>
          <w:color w:val="231F20"/>
          <w:spacing w:val="8"/>
        </w:rPr>
        <w:t> </w:t>
      </w:r>
      <w:r>
        <w:rPr>
          <w:color w:val="231F20"/>
        </w:rPr>
        <w:t>query</w:t>
      </w:r>
      <w:r>
        <w:rPr>
          <w:color w:val="231F20"/>
          <w:spacing w:val="8"/>
        </w:rPr>
        <w:t> </w:t>
      </w:r>
      <w:r>
        <w:rPr>
          <w:color w:val="231F20"/>
        </w:rPr>
        <w:t>to</w:t>
      </w:r>
      <w:r>
        <w:rPr>
          <w:color w:val="231F20"/>
          <w:spacing w:val="8"/>
        </w:rPr>
        <w:t> </w:t>
      </w:r>
      <w:r>
        <w:rPr>
          <w:color w:val="231F20"/>
        </w:rPr>
        <w:t>the</w:t>
      </w:r>
      <w:r>
        <w:rPr>
          <w:color w:val="231F20"/>
          <w:spacing w:val="8"/>
        </w:rPr>
        <w:t> </w:t>
      </w:r>
      <w:r>
        <w:rPr>
          <w:color w:val="231F20"/>
        </w:rPr>
        <w:t>monitoring</w:t>
      </w:r>
      <w:r>
        <w:rPr>
          <w:color w:val="231F20"/>
          <w:spacing w:val="8"/>
        </w:rPr>
        <w:t> </w:t>
      </w:r>
      <w:r>
        <w:rPr>
          <w:color w:val="231F20"/>
          <w:spacing w:val="-2"/>
        </w:rPr>
        <w:t>server</w:t>
      </w:r>
    </w:p>
    <w:p>
      <w:pPr>
        <w:pStyle w:val="BodyText"/>
        <w:spacing w:line="213" w:lineRule="auto" w:before="58"/>
        <w:ind w:left="2472" w:right="385"/>
      </w:pPr>
      <w:r>
        <w:rPr>
          <w:color w:val="231F20"/>
        </w:rPr>
        <w:t>You can create a new query to the monitoring server. Use this method to create a query only if you know what symbols the are required by the query.</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58"/>
      </w:pPr>
      <w:r>
        <w:rPr>
          <w:color w:val="231F20"/>
        </w:rPr>
        <w:t>Although you can follow this method to add a new query to the monitoring </w:t>
      </w:r>
      <w:r>
        <w:rPr>
          <w:color w:val="231F20"/>
        </w:rPr>
        <w:t>server, use</w:t>
      </w:r>
      <w:r>
        <w:rPr>
          <w:color w:val="231F20"/>
          <w:spacing w:val="40"/>
        </w:rPr>
        <w:t> </w:t>
      </w:r>
      <w:r>
        <w:rPr>
          <w:color w:val="231F20"/>
          <w:spacing w:val="-14"/>
          <w:position w:val="-1"/>
        </w:rPr>
        <w:drawing>
          <wp:inline distT="0" distB="0" distL="0" distR="0">
            <wp:extent cx="82550" cy="95250"/>
            <wp:effectExtent l="0" t="0" r="0" b="0"/>
            <wp:docPr id="1698" name="Image 1698"/>
            <wp:cNvGraphicFramePr>
              <a:graphicFrameLocks/>
            </wp:cNvGraphicFramePr>
            <a:graphic>
              <a:graphicData uri="http://schemas.openxmlformats.org/drawingml/2006/picture">
                <pic:pic>
                  <pic:nvPicPr>
                    <pic:cNvPr id="1698" name="Image 1698"/>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rPr>
      </w:r>
      <w:r>
        <w:rPr>
          <w:rFonts w:ascii="Times New Roman"/>
          <w:color w:val="231F20"/>
          <w:spacing w:val="80"/>
        </w:rPr>
        <w:t> </w:t>
      </w:r>
      <w:r>
        <w:rPr>
          <w:rFonts w:ascii="Book Antiqua"/>
          <w:b/>
          <w:color w:val="231F20"/>
        </w:rPr>
        <w:t>Create Another Query </w:t>
      </w:r>
      <w:r>
        <w:rPr>
          <w:color w:val="231F20"/>
        </w:rPr>
        <w:t>to ensure the query has the required symbol expression to reference the managed systems to include. Otherwise, no data is retrieved. </w:t>
      </w:r>
      <w:r>
        <w:rPr>
          <w:rFonts w:ascii="Book Antiqua"/>
          <w:b/>
          <w:color w:val="231F20"/>
        </w:rPr>
        <w:t>Exception</w:t>
      </w:r>
      <w:r>
        <w:rPr>
          <w:color w:val="231F20"/>
        </w:rPr>
        <w:t>: When your product is upgraded to a new release with new attributes or attribute groups, the new attributes are not shown in the queries for</w:t>
      </w:r>
      <w:r>
        <w:rPr>
          <w:color w:val="231F20"/>
          <w:spacing w:val="80"/>
        </w:rPr>
        <w:t> </w:t>
      </w:r>
      <w:r>
        <w:rPr>
          <w:color w:val="231F20"/>
        </w:rPr>
        <w:t>that</w:t>
      </w:r>
      <w:r>
        <w:rPr>
          <w:color w:val="231F20"/>
          <w:spacing w:val="26"/>
        </w:rPr>
        <w:t> </w:t>
      </w:r>
      <w:r>
        <w:rPr>
          <w:color w:val="231F20"/>
        </w:rPr>
        <w:t>attribute</w:t>
      </w:r>
      <w:r>
        <w:rPr>
          <w:color w:val="231F20"/>
          <w:spacing w:val="26"/>
        </w:rPr>
        <w:t> </w:t>
      </w:r>
      <w:r>
        <w:rPr>
          <w:color w:val="231F20"/>
        </w:rPr>
        <w:t>group. And</w:t>
      </w:r>
      <w:r>
        <w:rPr>
          <w:color w:val="231F20"/>
          <w:spacing w:val="26"/>
        </w:rPr>
        <w:t> </w:t>
      </w:r>
      <w:r>
        <w:rPr>
          <w:color w:val="231F20"/>
        </w:rPr>
        <w:t>no</w:t>
      </w:r>
      <w:r>
        <w:rPr>
          <w:color w:val="231F20"/>
          <w:spacing w:val="26"/>
        </w:rPr>
        <w:t> </w:t>
      </w:r>
      <w:r>
        <w:rPr>
          <w:color w:val="231F20"/>
        </w:rPr>
        <w:t>new</w:t>
      </w:r>
      <w:r>
        <w:rPr>
          <w:color w:val="231F20"/>
          <w:spacing w:val="26"/>
        </w:rPr>
        <w:t> </w:t>
      </w:r>
      <w:r>
        <w:rPr>
          <w:color w:val="231F20"/>
        </w:rPr>
        <w:t>queries</w:t>
      </w:r>
      <w:r>
        <w:rPr>
          <w:color w:val="231F20"/>
          <w:spacing w:val="26"/>
        </w:rPr>
        <w:t> </w:t>
      </w:r>
      <w:r>
        <w:rPr>
          <w:color w:val="231F20"/>
        </w:rPr>
        <w:t>are</w:t>
      </w:r>
      <w:r>
        <w:rPr>
          <w:color w:val="231F20"/>
          <w:spacing w:val="26"/>
        </w:rPr>
        <w:t> </w:t>
      </w:r>
      <w:r>
        <w:rPr>
          <w:color w:val="231F20"/>
        </w:rPr>
        <w:t>shown</w:t>
      </w:r>
      <w:r>
        <w:rPr>
          <w:color w:val="231F20"/>
          <w:spacing w:val="26"/>
        </w:rPr>
        <w:t> </w:t>
      </w:r>
      <w:r>
        <w:rPr>
          <w:color w:val="231F20"/>
        </w:rPr>
        <w:t>for</w:t>
      </w:r>
      <w:r>
        <w:rPr>
          <w:color w:val="231F20"/>
          <w:spacing w:val="26"/>
        </w:rPr>
        <w:t> </w:t>
      </w:r>
      <w:r>
        <w:rPr>
          <w:color w:val="231F20"/>
        </w:rPr>
        <w:t>new</w:t>
      </w:r>
      <w:r>
        <w:rPr>
          <w:color w:val="231F20"/>
          <w:spacing w:val="26"/>
        </w:rPr>
        <w:t> </w:t>
      </w:r>
      <w:r>
        <w:rPr>
          <w:color w:val="231F20"/>
        </w:rPr>
        <w:t>attribute</w:t>
      </w:r>
      <w:r>
        <w:rPr>
          <w:color w:val="231F20"/>
          <w:spacing w:val="26"/>
        </w:rPr>
        <w:t> </w:t>
      </w:r>
      <w:r>
        <w:rPr>
          <w:color w:val="231F20"/>
        </w:rPr>
        <w:t>groups.</w:t>
      </w:r>
      <w:r>
        <w:rPr>
          <w:color w:val="231F20"/>
          <w:spacing w:val="26"/>
        </w:rPr>
        <w:t> </w:t>
      </w:r>
      <w:r>
        <w:rPr>
          <w:color w:val="231F20"/>
        </w:rPr>
        <w:t>If this exception applies, use this procedure to create a new query.</w:t>
      </w:r>
    </w:p>
    <w:p>
      <w:pPr>
        <w:pStyle w:val="BodyText"/>
        <w:spacing w:line="213" w:lineRule="auto" w:before="235"/>
        <w:ind w:left="2472" w:right="385"/>
      </w:pPr>
      <w:r>
        <w:rPr>
          <w:color w:val="231F20"/>
        </w:rPr>
        <w:t>Your user ID must have permission for Modify Query and for Workspace Author Mode. If you do not see the</w:t>
      </w:r>
      <w:r>
        <w:rPr>
          <w:color w:val="231F20"/>
          <w:spacing w:val="26"/>
        </w:rPr>
        <w:t> </w:t>
      </w:r>
      <w:r>
        <w:rPr>
          <w:color w:val="231F20"/>
          <w:spacing w:val="-25"/>
          <w:position w:val="-1"/>
        </w:rPr>
        <w:drawing>
          <wp:inline distT="0" distB="0" distL="0" distR="0">
            <wp:extent cx="95250" cy="101600"/>
            <wp:effectExtent l="0" t="0" r="0" b="0"/>
            <wp:docPr id="1699" name="Image 1699"/>
            <wp:cNvGraphicFramePr>
              <a:graphicFrameLocks/>
            </wp:cNvGraphicFramePr>
            <a:graphic>
              <a:graphicData uri="http://schemas.openxmlformats.org/drawingml/2006/picture">
                <pic:pic>
                  <pic:nvPicPr>
                    <pic:cNvPr id="1699" name="Image 169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5"/>
        </w:rPr>
        <w:t> </w:t>
      </w:r>
      <w:r>
        <w:rPr>
          <w:rFonts w:ascii="Book Antiqua"/>
          <w:b/>
          <w:color w:val="231F20"/>
        </w:rPr>
        <w:t>Queries </w:t>
      </w:r>
      <w:r>
        <w:rPr>
          <w:color w:val="231F20"/>
        </w:rPr>
        <w:t>tool, your user ID does not have View or</w:t>
      </w:r>
      <w:r>
        <w:rPr>
          <w:color w:val="231F20"/>
          <w:spacing w:val="40"/>
        </w:rPr>
        <w:t> </w:t>
      </w:r>
      <w:r>
        <w:rPr>
          <w:color w:val="231F20"/>
        </w:rPr>
        <w:t>Modify Query permissions. If you can see the tool but it is disabled, your user </w:t>
      </w:r>
      <w:r>
        <w:rPr>
          <w:color w:val="231F20"/>
        </w:rPr>
        <w:t>ID</w:t>
      </w:r>
      <w:r>
        <w:rPr>
          <w:color w:val="231F20"/>
          <w:spacing w:val="40"/>
        </w:rPr>
        <w:t> </w:t>
      </w:r>
      <w:r>
        <w:rPr>
          <w:color w:val="231F20"/>
        </w:rPr>
        <w:t>does not have Workspace Author Mode permission. If you can open the Query editor but the tools are disabled, your user ID does not have Modify Query </w:t>
      </w:r>
      <w:r>
        <w:rPr>
          <w:color w:val="231F20"/>
          <w:spacing w:val="-2"/>
        </w:rPr>
        <w:t>permission.</w:t>
      </w:r>
    </w:p>
    <w:p>
      <w:pPr>
        <w:pStyle w:val="Heading4"/>
        <w:spacing w:before="197"/>
        <w:ind w:left="2472"/>
      </w:pPr>
      <w:r>
        <w:rPr>
          <w:color w:val="231F20"/>
          <w:spacing w:val="-2"/>
        </w:rPr>
        <w:t>Procedure</w:t>
      </w:r>
    </w:p>
    <w:p>
      <w:pPr>
        <w:pStyle w:val="ListParagraph"/>
        <w:numPr>
          <w:ilvl w:val="0"/>
          <w:numId w:val="87"/>
        </w:numPr>
        <w:tabs>
          <w:tab w:pos="2787" w:val="left" w:leader="none"/>
        </w:tabs>
        <w:spacing w:line="240" w:lineRule="auto" w:before="38" w:after="0"/>
        <w:ind w:left="2787" w:right="0" w:hanging="315"/>
        <w:jc w:val="left"/>
        <w:rPr>
          <w:sz w:val="20"/>
        </w:rPr>
      </w:pPr>
      <w:r>
        <w:rPr>
          <w:color w:val="231F20"/>
          <w:sz w:val="20"/>
        </w:rPr>
        <w:t>Complete</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steps</w:t>
      </w:r>
      <w:r>
        <w:rPr>
          <w:color w:val="231F20"/>
          <w:spacing w:val="11"/>
          <w:sz w:val="20"/>
        </w:rPr>
        <w:t> </w:t>
      </w:r>
      <w:r>
        <w:rPr>
          <w:color w:val="231F20"/>
          <w:sz w:val="20"/>
        </w:rPr>
        <w:t>to</w:t>
      </w:r>
      <w:r>
        <w:rPr>
          <w:color w:val="231F20"/>
          <w:spacing w:val="12"/>
          <w:sz w:val="20"/>
        </w:rPr>
        <w:t> </w:t>
      </w: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Query</w:t>
      </w:r>
      <w:r>
        <w:rPr>
          <w:color w:val="231F20"/>
          <w:spacing w:val="12"/>
          <w:sz w:val="20"/>
        </w:rPr>
        <w:t> </w:t>
      </w:r>
      <w:r>
        <w:rPr>
          <w:color w:val="231F20"/>
          <w:spacing w:val="-2"/>
          <w:sz w:val="20"/>
        </w:rPr>
        <w:t>editor:</w:t>
      </w:r>
    </w:p>
    <w:p>
      <w:pPr>
        <w:spacing w:before="30"/>
        <w:ind w:left="2788" w:right="0" w:firstLine="0"/>
        <w:jc w:val="both"/>
        <w:rPr>
          <w:sz w:val="20"/>
        </w:rPr>
      </w:pPr>
      <w:r>
        <w:rPr>
          <w:rFonts w:ascii="Futura MdCn BT"/>
          <w:color w:val="231F20"/>
          <w:sz w:val="20"/>
        </w:rPr>
        <w:t>v</w:t>
      </w:r>
      <w:r>
        <w:rPr>
          <w:rFonts w:ascii="Futura MdCn BT"/>
          <w:color w:val="231F20"/>
          <w:spacing w:val="34"/>
          <w:sz w:val="20"/>
        </w:rPr>
        <w:t>  </w:t>
      </w:r>
      <w:r>
        <w:rPr>
          <w:color w:val="231F20"/>
          <w:sz w:val="20"/>
        </w:rPr>
        <w:t>Click</w:t>
      </w:r>
      <w:r>
        <w:rPr>
          <w:color w:val="231F20"/>
          <w:spacing w:val="25"/>
          <w:sz w:val="20"/>
        </w:rPr>
        <w:t> </w:t>
      </w:r>
      <w:r>
        <w:rPr>
          <w:color w:val="231F20"/>
          <w:spacing w:val="-24"/>
          <w:position w:val="-1"/>
          <w:sz w:val="20"/>
        </w:rPr>
        <w:drawing>
          <wp:inline distT="0" distB="0" distL="0" distR="0">
            <wp:extent cx="95250" cy="101600"/>
            <wp:effectExtent l="0" t="0" r="0" b="0"/>
            <wp:docPr id="1700" name="Image 1700"/>
            <wp:cNvGraphicFramePr>
              <a:graphicFrameLocks/>
            </wp:cNvGraphicFramePr>
            <a:graphic>
              <a:graphicData uri="http://schemas.openxmlformats.org/drawingml/2006/picture">
                <pic:pic>
                  <pic:nvPicPr>
                    <pic:cNvPr id="1700" name="Image 1700"/>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22"/>
          <w:sz w:val="20"/>
        </w:rPr>
        <w:t> </w:t>
      </w:r>
      <w:r>
        <w:rPr>
          <w:rFonts w:ascii="Book Antiqua"/>
          <w:b/>
          <w:color w:val="231F20"/>
          <w:spacing w:val="-2"/>
          <w:sz w:val="20"/>
        </w:rPr>
        <w:t>Queries</w:t>
      </w:r>
      <w:r>
        <w:rPr>
          <w:color w:val="231F20"/>
          <w:spacing w:val="-2"/>
          <w:sz w:val="20"/>
        </w:rPr>
        <w:t>.</w:t>
      </w:r>
    </w:p>
    <w:p>
      <w:pPr>
        <w:spacing w:line="213" w:lineRule="auto" w:before="53"/>
        <w:ind w:left="3004" w:right="499" w:hanging="216"/>
        <w:jc w:val="both"/>
        <w:rPr>
          <w:sz w:val="20"/>
        </w:rPr>
      </w:pPr>
      <w:r>
        <w:rPr>
          <w:rFonts w:ascii="Futura MdCn BT"/>
          <w:color w:val="231F20"/>
          <w:sz w:val="20"/>
        </w:rPr>
        <w:t>v</w:t>
      </w:r>
      <w:r>
        <w:rPr>
          <w:rFonts w:ascii="Futura MdCn BT"/>
          <w:color w:val="231F20"/>
          <w:spacing w:val="80"/>
          <w:sz w:val="20"/>
        </w:rPr>
        <w:t> </w:t>
      </w:r>
      <w:r>
        <w:rPr>
          <w:color w:val="231F20"/>
          <w:sz w:val="20"/>
        </w:rPr>
        <w:t>In the title bar of the table or chart view where you would like to apply a new</w:t>
      </w:r>
      <w:r>
        <w:rPr>
          <w:color w:val="231F20"/>
          <w:spacing w:val="26"/>
          <w:sz w:val="20"/>
        </w:rPr>
        <w:t> </w:t>
      </w:r>
      <w:r>
        <w:rPr>
          <w:color w:val="231F20"/>
          <w:sz w:val="20"/>
        </w:rPr>
        <w:t>query,</w:t>
      </w:r>
      <w:r>
        <w:rPr>
          <w:color w:val="231F20"/>
          <w:spacing w:val="26"/>
          <w:sz w:val="20"/>
        </w:rPr>
        <w:t> </w:t>
      </w:r>
      <w:r>
        <w:rPr>
          <w:color w:val="231F20"/>
          <w:sz w:val="20"/>
        </w:rPr>
        <w:t>click</w:t>
      </w:r>
      <w:r>
        <w:rPr>
          <w:color w:val="231F20"/>
          <w:spacing w:val="40"/>
          <w:sz w:val="20"/>
        </w:rPr>
        <w:t> </w:t>
      </w:r>
      <w:r>
        <w:rPr>
          <w:color w:val="231F20"/>
          <w:spacing w:val="6"/>
          <w:position w:val="1"/>
          <w:sz w:val="20"/>
        </w:rPr>
        <w:drawing>
          <wp:inline distT="0" distB="0" distL="0" distR="0">
            <wp:extent cx="57150" cy="57150"/>
            <wp:effectExtent l="0" t="0" r="0" b="0"/>
            <wp:docPr id="1701" name="Image 1701"/>
            <wp:cNvGraphicFramePr>
              <a:graphicFrameLocks/>
            </wp:cNvGraphicFramePr>
            <a:graphic>
              <a:graphicData uri="http://schemas.openxmlformats.org/drawingml/2006/picture">
                <pic:pic>
                  <pic:nvPicPr>
                    <pic:cNvPr id="1701" name="Image 1701"/>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color w:val="231F20"/>
          <w:spacing w:val="34"/>
          <w:sz w:val="20"/>
        </w:rPr>
        <w:t> </w:t>
      </w:r>
      <w:r>
        <w:rPr>
          <w:rFonts w:ascii="Book Antiqua"/>
          <w:b/>
          <w:color w:val="231F20"/>
          <w:sz w:val="20"/>
        </w:rPr>
        <w:t>Properties</w:t>
      </w:r>
      <w:r>
        <w:rPr>
          <w:rFonts w:ascii="Book Antiqua"/>
          <w:b/>
          <w:color w:val="231F20"/>
          <w:spacing w:val="26"/>
          <w:sz w:val="20"/>
        </w:rPr>
        <w:t> </w:t>
      </w:r>
      <w:r>
        <w:rPr>
          <w:color w:val="231F20"/>
          <w:sz w:val="20"/>
        </w:rPr>
        <w:t>&gt;</w:t>
      </w:r>
      <w:r>
        <w:rPr>
          <w:color w:val="231F20"/>
          <w:spacing w:val="38"/>
          <w:sz w:val="20"/>
        </w:rPr>
        <w:t> </w:t>
      </w:r>
      <w:r>
        <w:rPr>
          <w:color w:val="231F20"/>
          <w:spacing w:val="-24"/>
          <w:position w:val="-1"/>
          <w:sz w:val="20"/>
        </w:rPr>
        <w:drawing>
          <wp:inline distT="0" distB="0" distL="0" distR="0">
            <wp:extent cx="95250" cy="101600"/>
            <wp:effectExtent l="0" t="0" r="0" b="0"/>
            <wp:docPr id="1702" name="Image 1702"/>
            <wp:cNvGraphicFramePr>
              <a:graphicFrameLocks/>
            </wp:cNvGraphicFramePr>
            <a:graphic>
              <a:graphicData uri="http://schemas.openxmlformats.org/drawingml/2006/picture">
                <pic:pic>
                  <pic:nvPicPr>
                    <pic:cNvPr id="1702" name="Image 1702"/>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Click</w:t>
      </w:r>
      <w:r>
        <w:rPr>
          <w:rFonts w:ascii="Book Antiqua"/>
          <w:b/>
          <w:color w:val="231F20"/>
          <w:spacing w:val="26"/>
          <w:sz w:val="20"/>
        </w:rPr>
        <w:t> </w:t>
      </w:r>
      <w:r>
        <w:rPr>
          <w:rFonts w:ascii="Book Antiqua"/>
          <w:b/>
          <w:color w:val="231F20"/>
          <w:sz w:val="20"/>
        </w:rPr>
        <w:t>here</w:t>
      </w:r>
      <w:r>
        <w:rPr>
          <w:rFonts w:ascii="Book Antiqua"/>
          <w:b/>
          <w:color w:val="231F20"/>
          <w:spacing w:val="26"/>
          <w:sz w:val="20"/>
        </w:rPr>
        <w:t> </w:t>
      </w:r>
      <w:r>
        <w:rPr>
          <w:rFonts w:ascii="Book Antiqua"/>
          <w:b/>
          <w:color w:val="231F20"/>
          <w:sz w:val="20"/>
        </w:rPr>
        <w:t>to</w:t>
      </w:r>
      <w:r>
        <w:rPr>
          <w:rFonts w:ascii="Book Antiqua"/>
          <w:b/>
          <w:color w:val="231F20"/>
          <w:spacing w:val="26"/>
          <w:sz w:val="20"/>
        </w:rPr>
        <w:t> </w:t>
      </w:r>
      <w:r>
        <w:rPr>
          <w:rFonts w:ascii="Book Antiqua"/>
          <w:b/>
          <w:color w:val="231F20"/>
          <w:sz w:val="20"/>
        </w:rPr>
        <w:t>assign</w:t>
      </w:r>
      <w:r>
        <w:rPr>
          <w:rFonts w:ascii="Book Antiqua"/>
          <w:b/>
          <w:color w:val="231F20"/>
          <w:spacing w:val="26"/>
          <w:sz w:val="20"/>
        </w:rPr>
        <w:t> </w:t>
      </w:r>
      <w:r>
        <w:rPr>
          <w:rFonts w:ascii="Book Antiqua"/>
          <w:b/>
          <w:color w:val="231F20"/>
          <w:sz w:val="20"/>
        </w:rPr>
        <w:t>a</w:t>
      </w:r>
      <w:r>
        <w:rPr>
          <w:rFonts w:ascii="Book Antiqua"/>
          <w:b/>
          <w:color w:val="231F20"/>
          <w:spacing w:val="26"/>
          <w:sz w:val="20"/>
        </w:rPr>
        <w:t> </w:t>
      </w:r>
      <w:r>
        <w:rPr>
          <w:rFonts w:ascii="Book Antiqua"/>
          <w:b/>
          <w:color w:val="231F20"/>
          <w:sz w:val="20"/>
        </w:rPr>
        <w:t>query</w:t>
      </w:r>
      <w:r>
        <w:rPr>
          <w:color w:val="231F20"/>
          <w:sz w:val="20"/>
        </w:rPr>
        <w:t>.</w:t>
      </w:r>
    </w:p>
    <w:p>
      <w:pPr>
        <w:pStyle w:val="ListParagraph"/>
        <w:numPr>
          <w:ilvl w:val="0"/>
          <w:numId w:val="87"/>
        </w:numPr>
        <w:tabs>
          <w:tab w:pos="2787" w:val="left" w:leader="none"/>
        </w:tabs>
        <w:spacing w:line="240" w:lineRule="auto" w:before="35" w:after="0"/>
        <w:ind w:left="2787" w:right="0" w:hanging="315"/>
        <w:jc w:val="left"/>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1703" name="Image 1703"/>
            <wp:cNvGraphicFramePr>
              <a:graphicFrameLocks/>
            </wp:cNvGraphicFramePr>
            <a:graphic>
              <a:graphicData uri="http://schemas.openxmlformats.org/drawingml/2006/picture">
                <pic:pic>
                  <pic:nvPicPr>
                    <pic:cNvPr id="1703" name="Image 1703"/>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Create</w:t>
      </w:r>
      <w:r>
        <w:rPr>
          <w:rFonts w:ascii="Book Antiqua"/>
          <w:b/>
          <w:color w:val="231F20"/>
          <w:spacing w:val="14"/>
          <w:sz w:val="20"/>
        </w:rPr>
        <w:t> </w:t>
      </w:r>
      <w:r>
        <w:rPr>
          <w:rFonts w:ascii="Book Antiqua"/>
          <w:b/>
          <w:color w:val="231F20"/>
          <w:sz w:val="20"/>
        </w:rPr>
        <w:t>New</w:t>
      </w:r>
      <w:r>
        <w:rPr>
          <w:rFonts w:ascii="Book Antiqua"/>
          <w:b/>
          <w:color w:val="231F20"/>
          <w:spacing w:val="13"/>
          <w:sz w:val="20"/>
        </w:rPr>
        <w:t> </w:t>
      </w:r>
      <w:r>
        <w:rPr>
          <w:rFonts w:ascii="Book Antiqua"/>
          <w:b/>
          <w:color w:val="231F20"/>
          <w:spacing w:val="-2"/>
          <w:sz w:val="20"/>
        </w:rPr>
        <w:t>Query</w:t>
      </w:r>
      <w:r>
        <w:rPr>
          <w:color w:val="231F20"/>
          <w:spacing w:val="-2"/>
          <w:sz w:val="20"/>
        </w:rPr>
        <w:t>.</w:t>
      </w:r>
    </w:p>
    <w:p>
      <w:pPr>
        <w:pStyle w:val="ListParagraph"/>
        <w:numPr>
          <w:ilvl w:val="0"/>
          <w:numId w:val="87"/>
        </w:numPr>
        <w:tabs>
          <w:tab w:pos="2788" w:val="left" w:leader="none"/>
        </w:tabs>
        <w:spacing w:line="213" w:lineRule="auto" w:before="53" w:after="0"/>
        <w:ind w:left="2788" w:right="326" w:hanging="316"/>
        <w:jc w:val="left"/>
        <w:rPr>
          <w:sz w:val="20"/>
        </w:rPr>
      </w:pPr>
      <w:r>
        <w:rPr>
          <w:color w:val="231F20"/>
          <w:sz w:val="20"/>
        </w:rPr>
        <w:t>In the </w:t>
      </w:r>
      <w:r>
        <w:rPr>
          <w:rFonts w:ascii="Book Antiqua"/>
          <w:b/>
          <w:color w:val="231F20"/>
          <w:sz w:val="20"/>
        </w:rPr>
        <w:t>Name </w:t>
      </w:r>
      <w:r>
        <w:rPr>
          <w:color w:val="231F20"/>
          <w:sz w:val="20"/>
        </w:rPr>
        <w:t>field, type a name of up to 32 letters, numbers, underscores</w:t>
      </w:r>
      <w:r>
        <w:rPr>
          <w:color w:val="231F20"/>
          <w:spacing w:val="-2"/>
          <w:sz w:val="20"/>
        </w:rPr>
        <w:t> </w:t>
      </w:r>
      <w:r>
        <w:rPr>
          <w:color w:val="231F20"/>
          <w:spacing w:val="16"/>
          <w:sz w:val="20"/>
        </w:rPr>
        <w:t>(</w:t>
      </w:r>
      <w:r>
        <w:rPr>
          <w:color w:val="231F20"/>
          <w:spacing w:val="-2"/>
          <w:sz w:val="20"/>
        </w:rPr>
        <w:t> </w:t>
      </w:r>
      <w:r>
        <w:rPr>
          <w:color w:val="231F20"/>
          <w:sz w:val="20"/>
        </w:rPr>
        <w:t>_ ),</w:t>
      </w:r>
      <w:r>
        <w:rPr>
          <w:color w:val="231F20"/>
          <w:spacing w:val="40"/>
          <w:sz w:val="20"/>
        </w:rPr>
        <w:t> </w:t>
      </w:r>
      <w:r>
        <w:rPr>
          <w:color w:val="231F20"/>
          <w:sz w:val="20"/>
        </w:rPr>
        <w:t>and spaces; in the </w:t>
      </w:r>
      <w:r>
        <w:rPr>
          <w:rFonts w:ascii="Book Antiqua"/>
          <w:b/>
          <w:color w:val="231F20"/>
          <w:sz w:val="20"/>
        </w:rPr>
        <w:t>Description </w:t>
      </w:r>
      <w:r>
        <w:rPr>
          <w:color w:val="231F20"/>
          <w:sz w:val="20"/>
        </w:rPr>
        <w:t>field, type a description to help users identify what the query does or what it is for, up to 256 characters and spaces. The</w:t>
      </w:r>
      <w:r>
        <w:rPr>
          <w:color w:val="231F20"/>
          <w:spacing w:val="40"/>
          <w:sz w:val="20"/>
        </w:rPr>
        <w:t> </w:t>
      </w:r>
      <w:r>
        <w:rPr>
          <w:color w:val="231F20"/>
          <w:sz w:val="20"/>
        </w:rPr>
        <w:t>Select attribute window opens.</w:t>
      </w:r>
    </w:p>
    <w:p>
      <w:pPr>
        <w:pStyle w:val="ListParagraph"/>
        <w:numPr>
          <w:ilvl w:val="0"/>
          <w:numId w:val="87"/>
        </w:numPr>
        <w:tabs>
          <w:tab w:pos="2787" w:val="left" w:leader="none"/>
        </w:tabs>
        <w:spacing w:line="240" w:lineRule="auto" w:before="34" w:after="0"/>
        <w:ind w:left="2787" w:right="0" w:hanging="315"/>
        <w:jc w:val="left"/>
        <w:rPr>
          <w:sz w:val="20"/>
        </w:rPr>
      </w:pPr>
      <w:r>
        <w:rPr>
          <w:color w:val="231F20"/>
          <w:sz w:val="20"/>
        </w:rPr>
        <w:t>Select</w:t>
      </w:r>
      <w:r>
        <w:rPr>
          <w:color w:val="231F20"/>
          <w:spacing w:val="10"/>
          <w:sz w:val="20"/>
        </w:rPr>
        <w:t> </w:t>
      </w:r>
      <w:r>
        <w:rPr>
          <w:color w:val="231F20"/>
          <w:sz w:val="20"/>
        </w:rPr>
        <w:t>the</w:t>
      </w:r>
      <w:r>
        <w:rPr>
          <w:color w:val="231F20"/>
          <w:spacing w:val="10"/>
          <w:sz w:val="20"/>
        </w:rPr>
        <w:t> </w:t>
      </w:r>
      <w:r>
        <w:rPr>
          <w:color w:val="231F20"/>
          <w:sz w:val="20"/>
        </w:rPr>
        <w:t>Tivoli</w:t>
      </w:r>
      <w:r>
        <w:rPr>
          <w:color w:val="231F20"/>
          <w:spacing w:val="11"/>
          <w:sz w:val="20"/>
        </w:rPr>
        <w:t> </w:t>
      </w:r>
      <w:r>
        <w:rPr>
          <w:color w:val="231F20"/>
          <w:sz w:val="20"/>
        </w:rPr>
        <w:t>product</w:t>
      </w:r>
      <w:r>
        <w:rPr>
          <w:color w:val="231F20"/>
          <w:spacing w:val="10"/>
          <w:sz w:val="20"/>
        </w:rPr>
        <w:t> </w:t>
      </w:r>
      <w:r>
        <w:rPr>
          <w:color w:val="231F20"/>
          <w:sz w:val="20"/>
        </w:rPr>
        <w:t>name</w:t>
      </w:r>
      <w:r>
        <w:rPr>
          <w:color w:val="231F20"/>
          <w:spacing w:val="11"/>
          <w:sz w:val="20"/>
        </w:rPr>
        <w:t> </w:t>
      </w:r>
      <w:r>
        <w:rPr>
          <w:color w:val="231F20"/>
          <w:sz w:val="20"/>
        </w:rPr>
        <w:t>from</w:t>
      </w:r>
      <w:r>
        <w:rPr>
          <w:color w:val="231F20"/>
          <w:spacing w:val="10"/>
          <w:sz w:val="20"/>
        </w:rPr>
        <w:t> </w:t>
      </w:r>
      <w:r>
        <w:rPr>
          <w:color w:val="231F20"/>
          <w:sz w:val="20"/>
        </w:rPr>
        <w:t>the</w:t>
      </w:r>
      <w:r>
        <w:rPr>
          <w:color w:val="231F20"/>
          <w:spacing w:val="10"/>
          <w:sz w:val="20"/>
        </w:rPr>
        <w:t> </w:t>
      </w:r>
      <w:r>
        <w:rPr>
          <w:color w:val="231F20"/>
          <w:sz w:val="20"/>
        </w:rPr>
        <w:t>Category</w:t>
      </w:r>
      <w:r>
        <w:rPr>
          <w:color w:val="231F20"/>
          <w:spacing w:val="10"/>
          <w:sz w:val="20"/>
        </w:rPr>
        <w:t> </w:t>
      </w:r>
      <w:r>
        <w:rPr>
          <w:color w:val="231F20"/>
          <w:spacing w:val="15"/>
          <w:position w:val="-1"/>
          <w:sz w:val="20"/>
        </w:rPr>
        <w:drawing>
          <wp:inline distT="0" distB="0" distL="0" distR="0">
            <wp:extent cx="101600" cy="101600"/>
            <wp:effectExtent l="0" t="0" r="0" b="0"/>
            <wp:docPr id="1704" name="Image 1704"/>
            <wp:cNvGraphicFramePr>
              <a:graphicFrameLocks/>
            </wp:cNvGraphicFramePr>
            <a:graphic>
              <a:graphicData uri="http://schemas.openxmlformats.org/drawingml/2006/picture">
                <pic:pic>
                  <pic:nvPicPr>
                    <pic:cNvPr id="1704" name="Image 1704"/>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1"/>
          <w:sz w:val="20"/>
        </w:rPr>
        <w:t> </w:t>
      </w:r>
      <w:r>
        <w:rPr>
          <w:color w:val="231F20"/>
          <w:sz w:val="20"/>
        </w:rPr>
        <w:t>list,</w:t>
      </w:r>
      <w:r>
        <w:rPr>
          <w:color w:val="231F20"/>
          <w:spacing w:val="11"/>
          <w:sz w:val="20"/>
        </w:rPr>
        <w:t> </w:t>
      </w:r>
      <w:r>
        <w:rPr>
          <w:color w:val="231F20"/>
          <w:sz w:val="20"/>
        </w:rPr>
        <w:t>and</w:t>
      </w:r>
      <w:r>
        <w:rPr>
          <w:color w:val="231F20"/>
          <w:spacing w:val="10"/>
          <w:sz w:val="20"/>
        </w:rPr>
        <w:t> </w:t>
      </w: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ListParagraph"/>
        <w:numPr>
          <w:ilvl w:val="0"/>
          <w:numId w:val="87"/>
        </w:numPr>
        <w:tabs>
          <w:tab w:pos="2788" w:val="left" w:leader="none"/>
        </w:tabs>
        <w:spacing w:line="213" w:lineRule="auto" w:before="52" w:after="0"/>
        <w:ind w:left="2788" w:right="263" w:hanging="316"/>
        <w:jc w:val="left"/>
        <w:rPr>
          <w:sz w:val="20"/>
        </w:rPr>
      </w:pPr>
      <w:r>
        <w:rPr>
          <w:color w:val="231F20"/>
          <w:sz w:val="20"/>
        </w:rPr>
        <w:t>Select the attribute group from the Group list, select the attributes to include from the Item list, and click </w:t>
      </w:r>
      <w:r>
        <w:rPr>
          <w:rFonts w:ascii="Book Antiqua"/>
          <w:b/>
          <w:color w:val="231F20"/>
          <w:sz w:val="20"/>
        </w:rPr>
        <w:t>OK</w:t>
      </w:r>
      <w:r>
        <w:rPr>
          <w:color w:val="231F20"/>
          <w:sz w:val="20"/>
        </w:rPr>
        <w:t>. After selecting one attribute, you can use Ctrl+click to select multiple attributes or Shift+click to select all attributes </w:t>
      </w:r>
      <w:r>
        <w:rPr>
          <w:color w:val="231F20"/>
          <w:sz w:val="20"/>
        </w:rPr>
        <w:t>from the first selection to this one, or click </w:t>
      </w:r>
      <w:r>
        <w:rPr>
          <w:rFonts w:ascii="Book Antiqua"/>
          <w:b/>
          <w:color w:val="231F20"/>
          <w:sz w:val="20"/>
        </w:rPr>
        <w:t>Select All</w:t>
      </w:r>
      <w:r>
        <w:rPr>
          <w:color w:val="231F20"/>
          <w:sz w:val="20"/>
        </w:rPr>
        <w:t>.</w:t>
      </w:r>
    </w:p>
    <w:p>
      <w:pPr>
        <w:pStyle w:val="ListParagraph"/>
        <w:numPr>
          <w:ilvl w:val="0"/>
          <w:numId w:val="87"/>
        </w:numPr>
        <w:tabs>
          <w:tab w:pos="2788" w:val="left" w:leader="none"/>
        </w:tabs>
        <w:spacing w:line="213" w:lineRule="auto" w:before="57" w:after="0"/>
        <w:ind w:left="2788" w:right="166" w:hanging="316"/>
        <w:jc w:val="left"/>
        <w:rPr>
          <w:sz w:val="20"/>
        </w:rPr>
      </w:pPr>
      <w:r>
        <w:rPr>
          <w:color w:val="231F20"/>
          <w:sz w:val="20"/>
        </w:rPr>
        <w:t>Add the same symbol expressions to the specification as those used in the predefined query for this attribute group. Usually, this symbol is the $NODE$ symbol in the column that identifies the computer: System Name, Server </w:t>
      </w:r>
      <w:r>
        <w:rPr>
          <w:color w:val="231F20"/>
          <w:sz w:val="20"/>
        </w:rPr>
        <w:t>Name, Originnode or something similar. If you are not sure what the expressions are, click </w:t>
      </w:r>
      <w:r>
        <w:rPr>
          <w:rFonts w:ascii="Book Antiqua"/>
          <w:b/>
          <w:color w:val="231F20"/>
          <w:sz w:val="20"/>
        </w:rPr>
        <w:t>Apply</w:t>
      </w:r>
      <w:r>
        <w:rPr>
          <w:color w:val="231F20"/>
          <w:sz w:val="20"/>
        </w:rPr>
        <w:t>, open a predefined query for the attribute group that includes a symbol expression. Make note of the column name and any symbol expressions used in the specification, return to your new query, and add the symbol expression to the appropriate column.</w:t>
      </w:r>
    </w:p>
    <w:p>
      <w:pPr>
        <w:pStyle w:val="ListParagraph"/>
        <w:numPr>
          <w:ilvl w:val="0"/>
          <w:numId w:val="87"/>
        </w:numPr>
        <w:tabs>
          <w:tab w:pos="2787" w:val="left" w:leader="none"/>
        </w:tabs>
        <w:spacing w:line="240" w:lineRule="auto" w:before="32" w:after="0"/>
        <w:ind w:left="2787" w:right="0" w:hanging="315"/>
        <w:jc w:val="left"/>
        <w:rPr>
          <w:sz w:val="20"/>
        </w:rPr>
      </w:pPr>
      <w:r>
        <w:rPr>
          <w:color w:val="231F20"/>
          <w:sz w:val="20"/>
        </w:rPr>
        <w:t>Edit</w:t>
      </w:r>
      <w:r>
        <w:rPr>
          <w:color w:val="231F20"/>
          <w:spacing w:val="11"/>
          <w:sz w:val="20"/>
        </w:rPr>
        <w:t> </w:t>
      </w:r>
      <w:r>
        <w:rPr>
          <w:color w:val="231F20"/>
          <w:sz w:val="20"/>
        </w:rPr>
        <w:t>the</w:t>
      </w:r>
      <w:r>
        <w:rPr>
          <w:color w:val="231F20"/>
          <w:spacing w:val="12"/>
          <w:sz w:val="20"/>
        </w:rPr>
        <w:t> </w:t>
      </w:r>
      <w:r>
        <w:rPr>
          <w:color w:val="231F20"/>
          <w:sz w:val="20"/>
        </w:rPr>
        <w:t>specification</w:t>
      </w:r>
      <w:r>
        <w:rPr>
          <w:color w:val="231F20"/>
          <w:spacing w:val="11"/>
          <w:sz w:val="20"/>
        </w:rPr>
        <w:t> </w:t>
      </w:r>
      <w:r>
        <w:rPr>
          <w:color w:val="231F20"/>
          <w:sz w:val="20"/>
        </w:rPr>
        <w:t>for</w:t>
      </w:r>
      <w:r>
        <w:rPr>
          <w:color w:val="231F20"/>
          <w:spacing w:val="12"/>
          <w:sz w:val="20"/>
        </w:rPr>
        <w:t> </w:t>
      </w:r>
      <w:r>
        <w:rPr>
          <w:color w:val="231F20"/>
          <w:sz w:val="20"/>
        </w:rPr>
        <w:t>any</w:t>
      </w:r>
      <w:r>
        <w:rPr>
          <w:color w:val="231F20"/>
          <w:spacing w:val="11"/>
          <w:sz w:val="20"/>
        </w:rPr>
        <w:t> </w:t>
      </w:r>
      <w:r>
        <w:rPr>
          <w:color w:val="231F20"/>
          <w:sz w:val="20"/>
        </w:rPr>
        <w:t>changes</w:t>
      </w:r>
      <w:r>
        <w:rPr>
          <w:color w:val="231F20"/>
          <w:spacing w:val="12"/>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pacing w:val="-2"/>
          <w:sz w:val="20"/>
        </w:rPr>
        <w:t>make:</w:t>
      </w:r>
    </w:p>
    <w:p>
      <w:pPr>
        <w:pStyle w:val="BodyText"/>
        <w:spacing w:line="213" w:lineRule="auto" w:before="52"/>
        <w:ind w:left="3004" w:right="406" w:hanging="216"/>
        <w:jc w:val="both"/>
      </w:pPr>
      <w:r>
        <w:rPr>
          <w:rFonts w:ascii="Futura MdCn BT"/>
          <w:color w:val="231F20"/>
        </w:rPr>
        <w:t>v</w:t>
      </w:r>
      <w:r>
        <w:rPr>
          <w:rFonts w:ascii="Futura MdCn BT"/>
          <w:color w:val="231F20"/>
          <w:spacing w:val="40"/>
        </w:rPr>
        <w:t> </w:t>
      </w:r>
      <w:r>
        <w:rPr>
          <w:color w:val="231F20"/>
        </w:rPr>
        <w:t>Add an attribute to the query by clicking </w:t>
      </w:r>
      <w:r>
        <w:rPr>
          <w:rFonts w:ascii="Book Antiqua"/>
          <w:b/>
          <w:color w:val="231F20"/>
        </w:rPr>
        <w:t>Add Attributes </w:t>
      </w:r>
      <w:r>
        <w:rPr>
          <w:color w:val="231F20"/>
        </w:rPr>
        <w:t>and selecting </w:t>
      </w:r>
      <w:r>
        <w:rPr>
          <w:color w:val="231F20"/>
        </w:rPr>
        <w:t>the</w:t>
      </w:r>
      <w:r>
        <w:rPr>
          <w:color w:val="231F20"/>
        </w:rPr>
        <w:t> attributes you want to include. The attributes available are from the group used in the original query.</w:t>
      </w:r>
    </w:p>
    <w:p>
      <w:pPr>
        <w:pStyle w:val="BodyText"/>
        <w:spacing w:line="255" w:lineRule="exact" w:before="35"/>
        <w:ind w:left="2788"/>
        <w:jc w:val="both"/>
      </w:pPr>
      <w:r>
        <w:rPr>
          <w:rFonts w:ascii="Futura MdCn BT"/>
          <w:color w:val="231F20"/>
        </w:rPr>
        <w:t>v</w:t>
      </w:r>
      <w:r>
        <w:rPr>
          <w:rFonts w:ascii="Futura MdCn BT"/>
          <w:color w:val="231F20"/>
          <w:spacing w:val="30"/>
        </w:rPr>
        <w:t>  </w:t>
      </w:r>
      <w:r>
        <w:rPr>
          <w:color w:val="231F20"/>
        </w:rPr>
        <w:t>Remove</w:t>
      </w:r>
      <w:r>
        <w:rPr>
          <w:color w:val="231F20"/>
          <w:spacing w:val="12"/>
        </w:rPr>
        <w:t> </w:t>
      </w:r>
      <w:r>
        <w:rPr>
          <w:color w:val="231F20"/>
        </w:rPr>
        <w:t>an</w:t>
      </w:r>
      <w:r>
        <w:rPr>
          <w:color w:val="231F20"/>
          <w:spacing w:val="12"/>
        </w:rPr>
        <w:t> </w:t>
      </w:r>
      <w:r>
        <w:rPr>
          <w:color w:val="231F20"/>
        </w:rPr>
        <w:t>attribute</w:t>
      </w:r>
      <w:r>
        <w:rPr>
          <w:color w:val="231F20"/>
          <w:spacing w:val="11"/>
        </w:rPr>
        <w:t> </w:t>
      </w:r>
      <w:r>
        <w:rPr>
          <w:color w:val="231F20"/>
        </w:rPr>
        <w:t>by</w:t>
      </w:r>
      <w:r>
        <w:rPr>
          <w:color w:val="231F20"/>
          <w:spacing w:val="12"/>
        </w:rPr>
        <w:t> </w:t>
      </w:r>
      <w:r>
        <w:rPr>
          <w:color w:val="231F20"/>
        </w:rPr>
        <w:t>right-clicking</w:t>
      </w:r>
      <w:r>
        <w:rPr>
          <w:color w:val="231F20"/>
          <w:spacing w:val="11"/>
        </w:rPr>
        <w:t> </w:t>
      </w:r>
      <w:r>
        <w:rPr>
          <w:color w:val="231F20"/>
        </w:rPr>
        <w:t>the</w:t>
      </w:r>
      <w:r>
        <w:rPr>
          <w:color w:val="231F20"/>
          <w:spacing w:val="11"/>
        </w:rPr>
        <w:t> </w:t>
      </w:r>
      <w:r>
        <w:rPr>
          <w:color w:val="231F20"/>
        </w:rPr>
        <w:t>column</w:t>
      </w:r>
      <w:r>
        <w:rPr>
          <w:color w:val="231F20"/>
          <w:spacing w:val="12"/>
        </w:rPr>
        <w:t> </w:t>
      </w:r>
      <w:r>
        <w:rPr>
          <w:color w:val="231F20"/>
        </w:rPr>
        <w:t>heading</w:t>
      </w:r>
      <w:r>
        <w:rPr>
          <w:color w:val="231F20"/>
          <w:spacing w:val="11"/>
        </w:rPr>
        <w:t> </w:t>
      </w:r>
      <w:r>
        <w:rPr>
          <w:color w:val="231F20"/>
        </w:rPr>
        <w:t>and</w:t>
      </w:r>
      <w:r>
        <w:rPr>
          <w:color w:val="231F20"/>
          <w:spacing w:val="12"/>
        </w:rPr>
        <w:t> </w:t>
      </w:r>
      <w:r>
        <w:rPr>
          <w:color w:val="231F20"/>
          <w:spacing w:val="-2"/>
        </w:rPr>
        <w:t>clicking</w:t>
      </w:r>
    </w:p>
    <w:p>
      <w:pPr>
        <w:pStyle w:val="BodyText"/>
        <w:spacing w:line="255" w:lineRule="exact"/>
        <w:ind w:left="3014"/>
        <w:jc w:val="both"/>
      </w:pPr>
      <w:r>
        <w:rPr>
          <w:position w:val="-1"/>
        </w:rPr>
        <w:drawing>
          <wp:inline distT="0" distB="0" distL="0" distR="0">
            <wp:extent cx="95250" cy="101600"/>
            <wp:effectExtent l="0" t="0" r="0" b="0"/>
            <wp:docPr id="1705" name="Image 1705"/>
            <wp:cNvGraphicFramePr>
              <a:graphicFrameLocks/>
            </wp:cNvGraphicFramePr>
            <a:graphic>
              <a:graphicData uri="http://schemas.openxmlformats.org/drawingml/2006/picture">
                <pic:pic>
                  <pic:nvPicPr>
                    <pic:cNvPr id="1705" name="Image 1705"/>
                    <pic:cNvPicPr/>
                  </pic:nvPicPr>
                  <pic:blipFill>
                    <a:blip r:embed="rId269"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rPr>
        <w:t> </w:t>
      </w:r>
      <w:r>
        <w:rPr>
          <w:rFonts w:ascii="Book Antiqua"/>
          <w:b/>
          <w:color w:val="231F20"/>
        </w:rPr>
        <w:t>Delete</w:t>
      </w:r>
      <w:r>
        <w:rPr>
          <w:color w:val="231F20"/>
        </w:rPr>
        <w:t>.</w:t>
      </w:r>
      <w:r>
        <w:rPr>
          <w:color w:val="231F20"/>
          <w:spacing w:val="10"/>
        </w:rPr>
        <w:t> </w:t>
      </w:r>
      <w:r>
        <w:rPr>
          <w:color w:val="231F20"/>
        </w:rPr>
        <w:t>(You</w:t>
      </w:r>
      <w:r>
        <w:rPr>
          <w:color w:val="231F20"/>
          <w:spacing w:val="10"/>
        </w:rPr>
        <w:t> </w:t>
      </w:r>
      <w:r>
        <w:rPr>
          <w:color w:val="231F20"/>
        </w:rPr>
        <w:t>can</w:t>
      </w:r>
      <w:r>
        <w:rPr>
          <w:color w:val="231F20"/>
          <w:spacing w:val="10"/>
        </w:rPr>
        <w:t> </w:t>
      </w:r>
      <w:r>
        <w:rPr>
          <w:color w:val="231F20"/>
        </w:rPr>
        <w:t>also</w:t>
      </w:r>
      <w:r>
        <w:rPr>
          <w:color w:val="231F20"/>
          <w:spacing w:val="10"/>
        </w:rPr>
        <w:t> </w:t>
      </w:r>
      <w:r>
        <w:rPr>
          <w:color w:val="231F20"/>
        </w:rPr>
        <w:t>right-click</w:t>
      </w:r>
      <w:r>
        <w:rPr>
          <w:color w:val="231F20"/>
          <w:spacing w:val="10"/>
        </w:rPr>
        <w:t> </w:t>
      </w:r>
      <w:r>
        <w:rPr>
          <w:color w:val="231F20"/>
        </w:rPr>
        <w:t>a</w:t>
      </w:r>
      <w:r>
        <w:rPr>
          <w:color w:val="231F20"/>
          <w:spacing w:val="10"/>
        </w:rPr>
        <w:t> </w:t>
      </w:r>
      <w:r>
        <w:rPr>
          <w:color w:val="231F20"/>
        </w:rPr>
        <w:t>row</w:t>
      </w:r>
      <w:r>
        <w:rPr>
          <w:color w:val="231F20"/>
          <w:spacing w:val="10"/>
        </w:rPr>
        <w:t> </w:t>
      </w:r>
      <w:r>
        <w:rPr>
          <w:color w:val="231F20"/>
        </w:rPr>
        <w:t>and</w:t>
      </w:r>
      <w:r>
        <w:rPr>
          <w:color w:val="231F20"/>
          <w:spacing w:val="10"/>
        </w:rPr>
        <w:t> </w:t>
      </w:r>
      <w:r>
        <w:rPr>
          <w:color w:val="231F20"/>
        </w:rPr>
        <w:t>delete</w:t>
      </w:r>
      <w:r>
        <w:rPr>
          <w:color w:val="231F20"/>
          <w:spacing w:val="10"/>
        </w:rPr>
        <w:t> </w:t>
      </w:r>
      <w:r>
        <w:rPr>
          <w:color w:val="231F20"/>
        </w:rPr>
        <w:t>it.)</w:t>
      </w:r>
    </w:p>
    <w:p>
      <w:pPr>
        <w:pStyle w:val="BodyText"/>
        <w:spacing w:line="208" w:lineRule="auto" w:before="62"/>
        <w:ind w:left="3004" w:right="615" w:hanging="216"/>
        <w:jc w:val="both"/>
      </w:pPr>
      <w:r>
        <w:rPr>
          <w:rFonts w:ascii="Futura MdCn BT"/>
          <w:color w:val="231F20"/>
        </w:rPr>
        <w:t>v</w:t>
      </w:r>
      <w:r>
        <w:rPr>
          <w:rFonts w:ascii="Futura MdCn BT"/>
          <w:color w:val="231F20"/>
          <w:spacing w:val="40"/>
        </w:rPr>
        <w:t> </w:t>
      </w:r>
      <w:r>
        <w:rPr>
          <w:color w:val="231F20"/>
        </w:rPr>
        <w:t>Include an attribute in the filter, but do not retrieve it by clearing </w:t>
      </w:r>
      <w:r>
        <w:rPr>
          <w:color w:val="231F20"/>
          <w:spacing w:val="14"/>
        </w:rPr>
        <w:drawing>
          <wp:inline distT="0" distB="0" distL="0" distR="0">
            <wp:extent cx="82550" cy="82550"/>
            <wp:effectExtent l="0" t="0" r="0" b="0"/>
            <wp:docPr id="1706" name="Image 1706"/>
            <wp:cNvGraphicFramePr>
              <a:graphicFrameLocks/>
            </wp:cNvGraphicFramePr>
            <a:graphic>
              <a:graphicData uri="http://schemas.openxmlformats.org/drawingml/2006/picture">
                <pic:pic>
                  <pic:nvPicPr>
                    <pic:cNvPr id="1706" name="Image 1706"/>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4"/>
        </w:rPr>
      </w:r>
      <w:r>
        <w:rPr>
          <w:rFonts w:ascii="Times New Roman"/>
          <w:color w:val="231F20"/>
          <w:spacing w:val="14"/>
        </w:rPr>
        <w:t> </w:t>
      </w:r>
      <w:r>
        <w:rPr>
          <w:color w:val="231F20"/>
        </w:rPr>
        <w:t>that </w:t>
      </w:r>
      <w:r>
        <w:rPr>
          <w:color w:val="231F20"/>
          <w:spacing w:val="-2"/>
        </w:rPr>
        <w:t>column.</w:t>
      </w:r>
    </w:p>
    <w:p>
      <w:pPr>
        <w:spacing w:after="0" w:line="208" w:lineRule="auto"/>
        <w:jc w:val="both"/>
        <w:sectPr>
          <w:footerReference w:type="default" r:id="rId330"/>
          <w:footerReference w:type="even" r:id="rId331"/>
          <w:pgSz w:w="12240" w:h="15840"/>
          <w:pgMar w:header="0" w:footer="736" w:top="1160" w:bottom="920" w:left="1000" w:right="1060"/>
          <w:pgNumType w:start="199"/>
        </w:sectPr>
      </w:pPr>
    </w:p>
    <w:p>
      <w:pPr>
        <w:pStyle w:val="BodyText"/>
        <w:spacing w:line="257" w:lineRule="exact" w:before="62"/>
        <w:ind w:left="2548"/>
      </w:pPr>
      <w:r>
        <w:rPr>
          <w:rFonts w:ascii="Futura MdCn BT"/>
          <w:color w:val="231F20"/>
        </w:rPr>
        <w:t>v</w:t>
      </w:r>
      <w:r>
        <w:rPr>
          <w:rFonts w:ascii="Futura MdCn BT"/>
          <w:color w:val="231F20"/>
          <w:spacing w:val="78"/>
          <w:w w:val="150"/>
        </w:rPr>
        <w:t> </w:t>
      </w:r>
      <w:r>
        <w:rPr>
          <w:color w:val="231F20"/>
        </w:rPr>
        <w:t>Clear</w:t>
      </w:r>
      <w:r>
        <w:rPr>
          <w:color w:val="231F20"/>
          <w:spacing w:val="10"/>
        </w:rPr>
        <w:t> </w:t>
      </w:r>
      <w:r>
        <w:rPr>
          <w:color w:val="231F20"/>
        </w:rPr>
        <w:t>the</w:t>
      </w:r>
      <w:r>
        <w:rPr>
          <w:color w:val="231F20"/>
          <w:spacing w:val="11"/>
        </w:rPr>
        <w:t> </w:t>
      </w:r>
      <w:r>
        <w:rPr>
          <w:color w:val="231F20"/>
        </w:rPr>
        <w:t>filter</w:t>
      </w:r>
      <w:r>
        <w:rPr>
          <w:color w:val="231F20"/>
          <w:spacing w:val="11"/>
        </w:rPr>
        <w:t> </w:t>
      </w:r>
      <w:r>
        <w:rPr>
          <w:color w:val="231F20"/>
        </w:rPr>
        <w:t>criteria</w:t>
      </w:r>
      <w:r>
        <w:rPr>
          <w:color w:val="231F20"/>
          <w:spacing w:val="10"/>
        </w:rPr>
        <w:t> </w:t>
      </w:r>
      <w:r>
        <w:rPr>
          <w:color w:val="231F20"/>
        </w:rPr>
        <w:t>by</w:t>
      </w:r>
      <w:r>
        <w:rPr>
          <w:color w:val="231F20"/>
          <w:spacing w:val="11"/>
        </w:rPr>
        <w:t> </w:t>
      </w:r>
      <w:r>
        <w:rPr>
          <w:color w:val="231F20"/>
        </w:rPr>
        <w:t>right-clicking</w:t>
      </w:r>
      <w:r>
        <w:rPr>
          <w:color w:val="231F20"/>
          <w:spacing w:val="10"/>
        </w:rPr>
        <w:t> </w:t>
      </w:r>
      <w:r>
        <w:rPr>
          <w:color w:val="231F20"/>
        </w:rPr>
        <w:t>the</w:t>
      </w:r>
      <w:r>
        <w:rPr>
          <w:color w:val="231F20"/>
          <w:spacing w:val="11"/>
        </w:rPr>
        <w:t> </w:t>
      </w:r>
      <w:r>
        <w:rPr>
          <w:color w:val="231F20"/>
        </w:rPr>
        <w:t>cell,</w:t>
      </w:r>
      <w:r>
        <w:rPr>
          <w:color w:val="231F20"/>
          <w:spacing w:val="10"/>
        </w:rPr>
        <w:t> </w:t>
      </w:r>
      <w:r>
        <w:rPr>
          <w:color w:val="231F20"/>
        </w:rPr>
        <w:t>column,</w:t>
      </w:r>
      <w:r>
        <w:rPr>
          <w:color w:val="231F20"/>
          <w:spacing w:val="11"/>
        </w:rPr>
        <w:t> </w:t>
      </w:r>
      <w:r>
        <w:rPr>
          <w:color w:val="231F20"/>
        </w:rPr>
        <w:t>or</w:t>
      </w:r>
      <w:r>
        <w:rPr>
          <w:color w:val="231F20"/>
          <w:spacing w:val="10"/>
        </w:rPr>
        <w:t> </w:t>
      </w:r>
      <w:r>
        <w:rPr>
          <w:color w:val="231F20"/>
        </w:rPr>
        <w:t>row,</w:t>
      </w:r>
      <w:r>
        <w:rPr>
          <w:color w:val="231F20"/>
          <w:spacing w:val="11"/>
        </w:rPr>
        <w:t> </w:t>
      </w:r>
      <w:r>
        <w:rPr>
          <w:color w:val="231F20"/>
        </w:rPr>
        <w:t>and</w:t>
      </w:r>
      <w:r>
        <w:rPr>
          <w:color w:val="231F20"/>
          <w:spacing w:val="10"/>
        </w:rPr>
        <w:t> </w:t>
      </w:r>
      <w:r>
        <w:rPr>
          <w:color w:val="231F20"/>
          <w:spacing w:val="-2"/>
        </w:rPr>
        <w:t>clicking</w:t>
      </w:r>
    </w:p>
    <w:p>
      <w:pPr>
        <w:pStyle w:val="Heading6"/>
        <w:spacing w:line="257" w:lineRule="exact" w:before="0"/>
        <w:ind w:left="2764"/>
        <w:jc w:val="both"/>
        <w:rPr>
          <w:rFonts w:ascii="Palatino Linotype"/>
          <w:b w:val="0"/>
        </w:rPr>
      </w:pPr>
      <w:r>
        <w:rPr>
          <w:b w:val="0"/>
        </w:rPr>
        <w:drawing>
          <wp:inline distT="0" distB="0" distL="0" distR="0">
            <wp:extent cx="101600" cy="88900"/>
            <wp:effectExtent l="0" t="0" r="0" b="0"/>
            <wp:docPr id="1707" name="Image 1707"/>
            <wp:cNvGraphicFramePr>
              <a:graphicFrameLocks/>
            </wp:cNvGraphicFramePr>
            <a:graphic>
              <a:graphicData uri="http://schemas.openxmlformats.org/drawingml/2006/picture">
                <pic:pic>
                  <pic:nvPicPr>
                    <pic:cNvPr id="1707" name="Image 1707"/>
                    <pic:cNvPicPr/>
                  </pic:nvPicPr>
                  <pic:blipFill>
                    <a:blip r:embed="rId133" cstate="print"/>
                    <a:stretch>
                      <a:fillRect/>
                    </a:stretch>
                  </pic:blipFill>
                  <pic:spPr>
                    <a:xfrm>
                      <a:off x="0" y="0"/>
                      <a:ext cx="101600" cy="88900"/>
                    </a:xfrm>
                    <a:prstGeom prst="rect">
                      <a:avLst/>
                    </a:prstGeom>
                  </pic:spPr>
                </pic:pic>
              </a:graphicData>
            </a:graphic>
          </wp:inline>
        </w:drawing>
      </w:r>
      <w:r>
        <w:rPr>
          <w:b w:val="0"/>
        </w:rPr>
      </w:r>
      <w:r>
        <w:rPr>
          <w:rFonts w:ascii="Times New Roman"/>
          <w:b w:val="0"/>
          <w:position w:val="1"/>
        </w:rPr>
        <w:t> </w:t>
      </w:r>
      <w:r>
        <w:rPr>
          <w:color w:val="231F20"/>
          <w:position w:val="1"/>
        </w:rPr>
        <w:t>Clear</w:t>
      </w:r>
      <w:r>
        <w:rPr>
          <w:color w:val="231F20"/>
          <w:spacing w:val="18"/>
          <w:position w:val="1"/>
        </w:rPr>
        <w:t> </w:t>
      </w:r>
      <w:r>
        <w:rPr>
          <w:color w:val="231F20"/>
          <w:position w:val="1"/>
        </w:rPr>
        <w:t>Contents</w:t>
      </w:r>
      <w:r>
        <w:rPr>
          <w:rFonts w:ascii="Palatino Linotype"/>
          <w:b w:val="0"/>
          <w:color w:val="231F20"/>
          <w:position w:val="1"/>
        </w:rPr>
        <w:t>.</w:t>
      </w:r>
    </w:p>
    <w:p>
      <w:pPr>
        <w:pStyle w:val="BodyText"/>
        <w:spacing w:before="24"/>
        <w:ind w:left="2548"/>
      </w:pPr>
      <w:r>
        <w:rPr>
          <w:rFonts w:ascii="Futura MdCn BT"/>
          <w:color w:val="231F20"/>
        </w:rPr>
        <w:t>v</w:t>
      </w:r>
      <w:r>
        <w:rPr>
          <w:rFonts w:ascii="Futura MdCn BT"/>
          <w:color w:val="231F20"/>
          <w:spacing w:val="31"/>
        </w:rPr>
        <w:t>  </w:t>
      </w:r>
      <w:r>
        <w:rPr>
          <w:color w:val="231F20"/>
        </w:rPr>
        <w:t>Insert</w:t>
      </w:r>
      <w:r>
        <w:rPr>
          <w:color w:val="231F20"/>
          <w:spacing w:val="12"/>
        </w:rPr>
        <w:t> </w:t>
      </w:r>
      <w:r>
        <w:rPr>
          <w:color w:val="231F20"/>
        </w:rPr>
        <w:t>a</w:t>
      </w:r>
      <w:r>
        <w:rPr>
          <w:color w:val="231F20"/>
          <w:spacing w:val="12"/>
        </w:rPr>
        <w:t> </w:t>
      </w:r>
      <w:r>
        <w:rPr>
          <w:color w:val="231F20"/>
        </w:rPr>
        <w:t>row</w:t>
      </w:r>
      <w:r>
        <w:rPr>
          <w:color w:val="231F20"/>
          <w:spacing w:val="12"/>
        </w:rPr>
        <w:t> </w:t>
      </w:r>
      <w:r>
        <w:rPr>
          <w:color w:val="231F20"/>
        </w:rPr>
        <w:t>by</w:t>
      </w:r>
      <w:r>
        <w:rPr>
          <w:color w:val="231F20"/>
          <w:spacing w:val="12"/>
        </w:rPr>
        <w:t> </w:t>
      </w:r>
      <w:r>
        <w:rPr>
          <w:color w:val="231F20"/>
        </w:rPr>
        <w:t>right-clicking</w:t>
      </w:r>
      <w:r>
        <w:rPr>
          <w:color w:val="231F20"/>
          <w:spacing w:val="11"/>
        </w:rPr>
        <w:t> </w:t>
      </w:r>
      <w:r>
        <w:rPr>
          <w:color w:val="231F20"/>
        </w:rPr>
        <w:t>the</w:t>
      </w:r>
      <w:r>
        <w:rPr>
          <w:color w:val="231F20"/>
          <w:spacing w:val="12"/>
        </w:rPr>
        <w:t> </w:t>
      </w:r>
      <w:r>
        <w:rPr>
          <w:color w:val="231F20"/>
        </w:rPr>
        <w:t>row</w:t>
      </w:r>
      <w:r>
        <w:rPr>
          <w:color w:val="231F20"/>
          <w:spacing w:val="12"/>
        </w:rPr>
        <w:t> </w:t>
      </w:r>
      <w:r>
        <w:rPr>
          <w:color w:val="231F20"/>
        </w:rPr>
        <w:t>and</w:t>
      </w:r>
      <w:r>
        <w:rPr>
          <w:color w:val="231F20"/>
          <w:spacing w:val="12"/>
        </w:rPr>
        <w:t> </w:t>
      </w:r>
      <w:r>
        <w:rPr>
          <w:color w:val="231F20"/>
        </w:rPr>
        <w:t>clicking</w:t>
      </w:r>
      <w:r>
        <w:rPr>
          <w:color w:val="231F20"/>
          <w:spacing w:val="11"/>
        </w:rPr>
        <w:t> </w:t>
      </w:r>
      <w:r>
        <w:rPr>
          <w:color w:val="231F20"/>
          <w:spacing w:val="15"/>
          <w:position w:val="-1"/>
        </w:rPr>
        <w:drawing>
          <wp:inline distT="0" distB="0" distL="0" distR="0">
            <wp:extent cx="95250" cy="95250"/>
            <wp:effectExtent l="0" t="0" r="0" b="0"/>
            <wp:docPr id="1708" name="Image 1708"/>
            <wp:cNvGraphicFramePr>
              <a:graphicFrameLocks/>
            </wp:cNvGraphicFramePr>
            <a:graphic>
              <a:graphicData uri="http://schemas.openxmlformats.org/drawingml/2006/picture">
                <pic:pic>
                  <pic:nvPicPr>
                    <pic:cNvPr id="1708" name="Image 1708"/>
                    <pic:cNvPicPr/>
                  </pic:nvPicPr>
                  <pic:blipFill>
                    <a:blip r:embed="rId333"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8"/>
        </w:rPr>
        <w:t> </w:t>
      </w:r>
      <w:r>
        <w:rPr>
          <w:rFonts w:ascii="Book Antiqua"/>
          <w:b/>
          <w:color w:val="231F20"/>
          <w:spacing w:val="-2"/>
        </w:rPr>
        <w:t>Insert</w:t>
      </w:r>
      <w:r>
        <w:rPr>
          <w:color w:val="231F20"/>
          <w:spacing w:val="-2"/>
        </w:rPr>
        <w:t>.</w:t>
      </w:r>
    </w:p>
    <w:p>
      <w:pPr>
        <w:pStyle w:val="BodyText"/>
        <w:spacing w:line="213" w:lineRule="auto" w:before="53"/>
        <w:ind w:left="2764" w:right="1083" w:hanging="216"/>
      </w:pPr>
      <w:r>
        <w:rPr>
          <w:rFonts w:ascii="Futura MdCn BT"/>
          <w:color w:val="231F20"/>
        </w:rPr>
        <w:t>v</w:t>
      </w:r>
      <w:r>
        <w:rPr>
          <w:rFonts w:ascii="Futura MdCn BT"/>
          <w:color w:val="231F20"/>
          <w:spacing w:val="80"/>
        </w:rPr>
        <w:t> </w:t>
      </w:r>
      <w:r>
        <w:rPr>
          <w:color w:val="231F20"/>
        </w:rPr>
        <w:t>Cut, copy, or paste by right-clicking the cell or row and clicking </w:t>
      </w:r>
      <w:r>
        <w:rPr>
          <w:color w:val="231F20"/>
          <w:spacing w:val="14"/>
          <w:position w:val="-1"/>
        </w:rPr>
        <w:drawing>
          <wp:inline distT="0" distB="0" distL="0" distR="0">
            <wp:extent cx="101600" cy="101600"/>
            <wp:effectExtent l="0" t="0" r="0" b="0"/>
            <wp:docPr id="1709" name="Image 1709"/>
            <wp:cNvGraphicFramePr>
              <a:graphicFrameLocks/>
            </wp:cNvGraphicFramePr>
            <a:graphic>
              <a:graphicData uri="http://schemas.openxmlformats.org/drawingml/2006/picture">
                <pic:pic>
                  <pic:nvPicPr>
                    <pic:cNvPr id="1709" name="Image 1709"/>
                    <pic:cNvPicPr/>
                  </pic:nvPicPr>
                  <pic:blipFill>
                    <a:blip r:embed="rId334"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15"/>
        </w:rPr>
        <w:t> </w:t>
      </w:r>
      <w:r>
        <w:rPr>
          <w:rFonts w:ascii="Book Antiqua"/>
          <w:b/>
          <w:color w:val="231F20"/>
        </w:rPr>
        <w:t>Cut</w:t>
      </w:r>
      <w:r>
        <w:rPr>
          <w:color w:val="231F20"/>
        </w:rPr>
        <w:t>,</w:t>
      </w:r>
      <w:r>
        <w:rPr>
          <w:color w:val="231F20"/>
          <w:spacing w:val="80"/>
        </w:rPr>
        <w:t> </w:t>
      </w:r>
      <w:r>
        <w:rPr>
          <w:color w:val="231F20"/>
          <w:position w:val="-1"/>
        </w:rPr>
        <w:drawing>
          <wp:inline distT="0" distB="0" distL="0" distR="0">
            <wp:extent cx="82550" cy="95250"/>
            <wp:effectExtent l="0" t="0" r="0" b="0"/>
            <wp:docPr id="1710" name="Image 1710"/>
            <wp:cNvGraphicFramePr>
              <a:graphicFrameLocks/>
            </wp:cNvGraphicFramePr>
            <a:graphic>
              <a:graphicData uri="http://schemas.openxmlformats.org/drawingml/2006/picture">
                <pic:pic>
                  <pic:nvPicPr>
                    <pic:cNvPr id="1710" name="Image 1710"/>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position w:val="-1"/>
        </w:rPr>
      </w:r>
      <w:r>
        <w:rPr>
          <w:rFonts w:ascii="Times New Roman"/>
          <w:color w:val="231F20"/>
        </w:rPr>
        <w:t> </w:t>
      </w:r>
      <w:r>
        <w:rPr>
          <w:rFonts w:ascii="Book Antiqua"/>
          <w:b/>
          <w:color w:val="231F20"/>
        </w:rPr>
        <w:t>Copy</w:t>
      </w:r>
      <w:r>
        <w:rPr>
          <w:color w:val="231F20"/>
        </w:rPr>
        <w:t>, or</w:t>
      </w:r>
      <w:r>
        <w:rPr>
          <w:color w:val="231F20"/>
          <w:spacing w:val="39"/>
        </w:rPr>
        <w:t> </w:t>
      </w:r>
      <w:r>
        <w:rPr>
          <w:color w:val="231F20"/>
          <w:spacing w:val="-24"/>
          <w:position w:val="-1"/>
        </w:rPr>
        <w:drawing>
          <wp:inline distT="0" distB="0" distL="0" distR="0">
            <wp:extent cx="95250" cy="101600"/>
            <wp:effectExtent l="0" t="0" r="0" b="0"/>
            <wp:docPr id="1711" name="Image 1711"/>
            <wp:cNvGraphicFramePr>
              <a:graphicFrameLocks/>
            </wp:cNvGraphicFramePr>
            <a:graphic>
              <a:graphicData uri="http://schemas.openxmlformats.org/drawingml/2006/picture">
                <pic:pic>
                  <pic:nvPicPr>
                    <pic:cNvPr id="1711" name="Image 1711"/>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36"/>
        </w:rPr>
        <w:t> </w:t>
      </w:r>
      <w:r>
        <w:rPr>
          <w:rFonts w:ascii="Book Antiqua"/>
          <w:b/>
          <w:color w:val="231F20"/>
        </w:rPr>
        <w:t>Paste</w:t>
      </w:r>
      <w:r>
        <w:rPr>
          <w:color w:val="231F20"/>
        </w:rPr>
        <w:t>. When you paste, the contents of the clipboard overwrites the cell or row.</w:t>
      </w:r>
    </w:p>
    <w:p>
      <w:pPr>
        <w:pStyle w:val="BodyText"/>
        <w:spacing w:before="34"/>
        <w:ind w:left="2548"/>
      </w:pPr>
      <w:r>
        <w:rPr>
          <w:rFonts w:ascii="Futura MdCn BT"/>
          <w:color w:val="231F20"/>
        </w:rPr>
        <w:t>v</w:t>
      </w:r>
      <w:r>
        <w:rPr>
          <w:rFonts w:ascii="Futura MdCn BT"/>
          <w:color w:val="231F20"/>
          <w:spacing w:val="32"/>
        </w:rPr>
        <w:t>  </w:t>
      </w:r>
      <w:r>
        <w:rPr>
          <w:color w:val="231F20"/>
        </w:rPr>
        <w:t>Add</w:t>
      </w:r>
      <w:r>
        <w:rPr>
          <w:color w:val="231F20"/>
          <w:spacing w:val="13"/>
        </w:rPr>
        <w:t> </w:t>
      </w:r>
      <w:r>
        <w:rPr>
          <w:color w:val="231F20"/>
        </w:rPr>
        <w:t>filter</w:t>
      </w:r>
      <w:r>
        <w:rPr>
          <w:color w:val="231F20"/>
          <w:spacing w:val="12"/>
        </w:rPr>
        <w:t> </w:t>
      </w:r>
      <w:r>
        <w:rPr>
          <w:color w:val="231F20"/>
        </w:rPr>
        <w:t>criteria</w:t>
      </w:r>
      <w:r>
        <w:rPr>
          <w:color w:val="231F20"/>
          <w:spacing w:val="13"/>
        </w:rPr>
        <w:t> </w:t>
      </w:r>
      <w:r>
        <w:rPr>
          <w:color w:val="231F20"/>
        </w:rPr>
        <w:t>by</w:t>
      </w:r>
      <w:r>
        <w:rPr>
          <w:color w:val="231F20"/>
          <w:spacing w:val="13"/>
        </w:rPr>
        <w:t> </w:t>
      </w:r>
      <w:r>
        <w:rPr>
          <w:color w:val="231F20"/>
        </w:rPr>
        <w:t>clicking</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cell</w:t>
      </w:r>
      <w:r>
        <w:rPr>
          <w:color w:val="231F20"/>
          <w:spacing w:val="12"/>
        </w:rPr>
        <w:t> </w:t>
      </w:r>
      <w:r>
        <w:rPr>
          <w:color w:val="231F20"/>
        </w:rPr>
        <w:t>and</w:t>
      </w:r>
      <w:r>
        <w:rPr>
          <w:color w:val="231F20"/>
          <w:spacing w:val="13"/>
        </w:rPr>
        <w:t> </w:t>
      </w:r>
      <w:r>
        <w:rPr>
          <w:color w:val="231F20"/>
        </w:rPr>
        <w:t>writing</w:t>
      </w:r>
      <w:r>
        <w:rPr>
          <w:color w:val="231F20"/>
          <w:spacing w:val="13"/>
        </w:rPr>
        <w:t> </w:t>
      </w:r>
      <w:r>
        <w:rPr>
          <w:color w:val="231F20"/>
        </w:rPr>
        <w:t>the</w:t>
      </w:r>
      <w:r>
        <w:rPr>
          <w:color w:val="231F20"/>
          <w:spacing w:val="13"/>
        </w:rPr>
        <w:t> </w:t>
      </w:r>
      <w:r>
        <w:rPr>
          <w:color w:val="231F20"/>
          <w:spacing w:val="-2"/>
        </w:rPr>
        <w:t>expression.</w:t>
      </w:r>
    </w:p>
    <w:p>
      <w:pPr>
        <w:pStyle w:val="BodyText"/>
        <w:spacing w:line="213" w:lineRule="auto" w:before="53"/>
        <w:ind w:left="2764" w:right="603" w:hanging="216"/>
      </w:pPr>
      <w:r>
        <w:rPr>
          <w:rFonts w:ascii="Futura MdCn BT"/>
          <w:color w:val="231F20"/>
        </w:rPr>
        <w:t>v</w:t>
      </w:r>
      <w:r>
        <w:rPr>
          <w:rFonts w:ascii="Futura MdCn BT"/>
          <w:color w:val="231F20"/>
          <w:spacing w:val="80"/>
        </w:rPr>
        <w:t> </w:t>
      </w:r>
      <w:r>
        <w:rPr>
          <w:color w:val="231F20"/>
        </w:rPr>
        <w:t>Add a column function by clicking in the column heading and selecting a</w:t>
      </w:r>
      <w:r>
        <w:rPr>
          <w:color w:val="231F20"/>
          <w:spacing w:val="40"/>
        </w:rPr>
        <w:t> </w:t>
      </w:r>
      <w:r>
        <w:rPr>
          <w:color w:val="231F20"/>
        </w:rPr>
        <w:t>function from the list; then click </w:t>
      </w:r>
      <w:r>
        <w:rPr>
          <w:rFonts w:ascii="Book Antiqua"/>
          <w:b/>
          <w:color w:val="231F20"/>
        </w:rPr>
        <w:t>Advanced </w:t>
      </w:r>
      <w:r>
        <w:rPr>
          <w:color w:val="231F20"/>
        </w:rPr>
        <w:t>and select the column to Group </w:t>
      </w:r>
      <w:r>
        <w:rPr>
          <w:color w:val="231F20"/>
          <w:spacing w:val="-4"/>
        </w:rPr>
        <w:t>By.</w:t>
      </w:r>
    </w:p>
    <w:p>
      <w:pPr>
        <w:pStyle w:val="BodyText"/>
        <w:spacing w:line="213" w:lineRule="auto" w:before="58"/>
        <w:ind w:left="2764" w:right="585" w:hanging="216"/>
        <w:jc w:val="both"/>
      </w:pPr>
      <w:r>
        <w:rPr>
          <w:rFonts w:ascii="Futura MdCn BT"/>
          <w:color w:val="231F20"/>
        </w:rPr>
        <w:t>v</w:t>
      </w:r>
      <w:r>
        <w:rPr>
          <w:rFonts w:ascii="Futura MdCn BT"/>
          <w:color w:val="231F20"/>
          <w:spacing w:val="80"/>
        </w:rPr>
        <w:t> </w:t>
      </w:r>
      <w:r>
        <w:rPr>
          <w:color w:val="231F20"/>
        </w:rPr>
        <w:t>Specify a sort order by clicking </w:t>
      </w:r>
      <w:r>
        <w:rPr>
          <w:rFonts w:ascii="Book Antiqua"/>
          <w:b/>
          <w:color w:val="231F20"/>
        </w:rPr>
        <w:t>Advanced</w:t>
      </w:r>
      <w:r>
        <w:rPr>
          <w:color w:val="231F20"/>
        </w:rPr>
        <w:t>, and selecting the column to </w:t>
      </w:r>
      <w:r>
        <w:rPr>
          <w:color w:val="231F20"/>
        </w:rPr>
        <w:t>Sort</w:t>
      </w:r>
      <w:r>
        <w:rPr>
          <w:color w:val="231F20"/>
        </w:rPr>
        <w:t> By. Note that if you selected a Group By column, you cannot also specify a sort order.</w:t>
      </w:r>
    </w:p>
    <w:p>
      <w:pPr>
        <w:pStyle w:val="BodyText"/>
        <w:spacing w:line="213" w:lineRule="auto" w:before="58"/>
        <w:ind w:left="2764" w:right="813" w:hanging="216"/>
        <w:jc w:val="both"/>
      </w:pPr>
      <w:r>
        <w:rPr>
          <w:rFonts w:ascii="Futura MdCn BT"/>
          <w:color w:val="231F20"/>
        </w:rPr>
        <w:t>v</w:t>
      </w:r>
      <w:r>
        <w:rPr>
          <w:rFonts w:ascii="Futura MdCn BT"/>
          <w:color w:val="231F20"/>
          <w:spacing w:val="40"/>
        </w:rPr>
        <w:t> </w:t>
      </w:r>
      <w:r>
        <w:rPr>
          <w:color w:val="231F20"/>
        </w:rPr>
        <w:t>Adjust column order by dragging a column heading and dropping at </w:t>
      </w:r>
      <w:r>
        <w:rPr>
          <w:color w:val="231F20"/>
        </w:rPr>
        <w:t>the</w:t>
      </w:r>
      <w:r>
        <w:rPr>
          <w:color w:val="231F20"/>
        </w:rPr>
        <w:t> insertion point.</w:t>
      </w:r>
    </w:p>
    <w:p>
      <w:pPr>
        <w:pStyle w:val="BodyText"/>
        <w:spacing w:line="216" w:lineRule="auto" w:before="56"/>
        <w:ind w:left="2764" w:right="634" w:hanging="216"/>
        <w:jc w:val="both"/>
      </w:pPr>
      <w:r>
        <w:rPr>
          <w:rFonts w:ascii="Futura MdCn BT"/>
          <w:color w:val="231F20"/>
        </w:rPr>
        <w:t>v</w:t>
      </w:r>
      <w:r>
        <w:rPr>
          <w:rFonts w:ascii="Futura MdCn BT"/>
          <w:color w:val="231F20"/>
          <w:spacing w:val="40"/>
        </w:rPr>
        <w:t> </w:t>
      </w:r>
      <w:r>
        <w:rPr>
          <w:color w:val="231F20"/>
        </w:rPr>
        <w:t>Restrict the rows (data series) that show in the table view or bar chart to a specific number. Restrict the first rows retrieved from the monitoring </w:t>
      </w:r>
      <w:r>
        <w:rPr>
          <w:color w:val="231F20"/>
        </w:rPr>
        <w:t>agent</w:t>
      </w:r>
      <w:r>
        <w:rPr>
          <w:color w:val="231F20"/>
        </w:rPr>
        <w:t> or the most recent (last rows) by clicking </w:t>
      </w:r>
      <w:r>
        <w:rPr>
          <w:rFonts w:ascii="Book Antiqua"/>
          <w:b/>
          <w:color w:val="231F20"/>
        </w:rPr>
        <w:t>Advanced</w:t>
      </w:r>
      <w:r>
        <w:rPr>
          <w:color w:val="231F20"/>
        </w:rPr>
        <w:t>, selecting </w:t>
      </w:r>
      <w:r>
        <w:rPr>
          <w:color w:val="231F20"/>
          <w:spacing w:val="15"/>
        </w:rPr>
        <w:drawing>
          <wp:inline distT="0" distB="0" distL="0" distR="0">
            <wp:extent cx="88900" cy="82550"/>
            <wp:effectExtent l="0" t="0" r="0" b="0"/>
            <wp:docPr id="1712" name="Image 1712"/>
            <wp:cNvGraphicFramePr>
              <a:graphicFrameLocks/>
            </wp:cNvGraphicFramePr>
            <a:graphic>
              <a:graphicData uri="http://schemas.openxmlformats.org/drawingml/2006/picture">
                <pic:pic>
                  <pic:nvPicPr>
                    <pic:cNvPr id="1712" name="Image 1712"/>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0"/>
        </w:rPr>
        <w:t> </w:t>
      </w:r>
      <w:r>
        <w:rPr>
          <w:rFonts w:ascii="Book Antiqua"/>
          <w:b/>
          <w:color w:val="231F20"/>
        </w:rPr>
        <w:t>First </w:t>
      </w:r>
      <w:r>
        <w:rPr>
          <w:color w:val="231F20"/>
        </w:rPr>
        <w:t>or</w:t>
      </w:r>
    </w:p>
    <w:p>
      <w:pPr>
        <w:pStyle w:val="BodyText"/>
        <w:spacing w:line="244" w:lineRule="exact"/>
        <w:ind w:left="2764"/>
        <w:jc w:val="both"/>
      </w:pPr>
      <w:r>
        <w:rPr/>
        <w:drawing>
          <wp:inline distT="0" distB="0" distL="0" distR="0">
            <wp:extent cx="88900" cy="82550"/>
            <wp:effectExtent l="0" t="0" r="0" b="0"/>
            <wp:docPr id="1713" name="Image 1713"/>
            <wp:cNvGraphicFramePr>
              <a:graphicFrameLocks/>
            </wp:cNvGraphicFramePr>
            <a:graphic>
              <a:graphicData uri="http://schemas.openxmlformats.org/drawingml/2006/picture">
                <pic:pic>
                  <pic:nvPicPr>
                    <pic:cNvPr id="1713" name="Image 1713"/>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
        </w:rPr>
        <w:t> </w:t>
      </w:r>
      <w:r>
        <w:rPr>
          <w:rFonts w:ascii="Book Antiqua"/>
          <w:b/>
          <w:color w:val="231F20"/>
        </w:rPr>
        <w:t>Last</w:t>
      </w:r>
      <w:r>
        <w:rPr>
          <w:color w:val="231F20"/>
        </w:rPr>
        <w:t>,</w:t>
      </w:r>
      <w:r>
        <w:rPr>
          <w:color w:val="231F20"/>
          <w:spacing w:val="13"/>
        </w:rPr>
        <w:t> </w:t>
      </w:r>
      <w:r>
        <w:rPr>
          <w:color w:val="231F20"/>
        </w:rPr>
        <w:t>and</w:t>
      </w:r>
      <w:r>
        <w:rPr>
          <w:color w:val="231F20"/>
          <w:spacing w:val="13"/>
        </w:rPr>
        <w:t> </w:t>
      </w:r>
      <w:r>
        <w:rPr>
          <w:color w:val="231F20"/>
        </w:rPr>
        <w:t>specifying</w:t>
      </w:r>
      <w:r>
        <w:rPr>
          <w:color w:val="231F20"/>
          <w:spacing w:val="13"/>
        </w:rPr>
        <w:t> </w:t>
      </w:r>
      <w:r>
        <w:rPr>
          <w:color w:val="231F20"/>
        </w:rPr>
        <w:t>the</w:t>
      </w:r>
      <w:r>
        <w:rPr>
          <w:color w:val="231F20"/>
          <w:spacing w:val="13"/>
        </w:rPr>
        <w:t> </w:t>
      </w:r>
      <w:r>
        <w:rPr>
          <w:color w:val="231F20"/>
          <w:spacing w:val="16"/>
          <w:position w:val="-5"/>
        </w:rPr>
        <w:drawing>
          <wp:inline distT="0" distB="0" distL="0" distR="0">
            <wp:extent cx="298450" cy="127000"/>
            <wp:effectExtent l="0" t="0" r="0" b="0"/>
            <wp:docPr id="1714" name="Image 1714"/>
            <wp:cNvGraphicFramePr>
              <a:graphicFrameLocks/>
            </wp:cNvGraphicFramePr>
            <a:graphic>
              <a:graphicData uri="http://schemas.openxmlformats.org/drawingml/2006/picture">
                <pic:pic>
                  <pic:nvPicPr>
                    <pic:cNvPr id="1714" name="Image 1714"/>
                    <pic:cNvPicPr/>
                  </pic:nvPicPr>
                  <pic:blipFill>
                    <a:blip r:embed="rId336" cstate="print"/>
                    <a:stretch>
                      <a:fillRect/>
                    </a:stretch>
                  </pic:blipFill>
                  <pic:spPr>
                    <a:xfrm>
                      <a:off x="0" y="0"/>
                      <a:ext cx="298450" cy="127000"/>
                    </a:xfrm>
                    <a:prstGeom prst="rect">
                      <a:avLst/>
                    </a:prstGeom>
                  </pic:spPr>
                </pic:pic>
              </a:graphicData>
            </a:graphic>
          </wp:inline>
        </w:drawing>
      </w:r>
      <w:r>
        <w:rPr>
          <w:color w:val="231F20"/>
          <w:spacing w:val="16"/>
          <w:position w:val="-5"/>
        </w:rPr>
      </w:r>
      <w:r>
        <w:rPr>
          <w:rFonts w:ascii="Times New Roman"/>
          <w:color w:val="231F20"/>
          <w:spacing w:val="54"/>
        </w:rPr>
        <w:t> </w:t>
      </w:r>
      <w:r>
        <w:rPr>
          <w:color w:val="231F20"/>
        </w:rPr>
        <w:t>the</w:t>
      </w:r>
      <w:r>
        <w:rPr>
          <w:color w:val="231F20"/>
          <w:spacing w:val="13"/>
        </w:rPr>
        <w:t> </w:t>
      </w:r>
      <w:r>
        <w:rPr>
          <w:color w:val="231F20"/>
        </w:rPr>
        <w:t>number</w:t>
      </w:r>
      <w:r>
        <w:rPr>
          <w:color w:val="231F20"/>
          <w:spacing w:val="13"/>
        </w:rPr>
        <w:t> </w:t>
      </w:r>
      <w:r>
        <w:rPr>
          <w:color w:val="231F20"/>
        </w:rPr>
        <w:t>or</w:t>
      </w:r>
      <w:r>
        <w:rPr>
          <w:color w:val="231F20"/>
          <w:spacing w:val="13"/>
        </w:rPr>
        <w:t> </w:t>
      </w:r>
      <w:r>
        <w:rPr>
          <w:color w:val="231F20"/>
        </w:rPr>
        <w:t>rows</w:t>
      </w:r>
      <w:r>
        <w:rPr>
          <w:color w:val="231F20"/>
          <w:spacing w:val="13"/>
        </w:rPr>
        <w:t> </w:t>
      </w:r>
      <w:r>
        <w:rPr>
          <w:color w:val="231F20"/>
        </w:rPr>
        <w:t>to</w:t>
      </w:r>
      <w:r>
        <w:rPr>
          <w:color w:val="231F20"/>
          <w:spacing w:val="13"/>
        </w:rPr>
        <w:t> </w:t>
      </w:r>
      <w:r>
        <w:rPr>
          <w:color w:val="231F20"/>
        </w:rPr>
        <w:t>retrieve.</w:t>
      </w:r>
    </w:p>
    <w:p>
      <w:pPr>
        <w:pStyle w:val="ListParagraph"/>
        <w:numPr>
          <w:ilvl w:val="0"/>
          <w:numId w:val="87"/>
        </w:numPr>
        <w:tabs>
          <w:tab w:pos="2548" w:val="left" w:leader="none"/>
        </w:tabs>
        <w:spacing w:line="213" w:lineRule="auto" w:before="48" w:after="0"/>
        <w:ind w:left="2548" w:right="765" w:hanging="316"/>
        <w:jc w:val="both"/>
        <w:rPr>
          <w:sz w:val="20"/>
        </w:rPr>
      </w:pPr>
      <w:r>
        <w:rPr>
          <w:color w:val="231F20"/>
          <w:sz w:val="20"/>
        </w:rPr>
        <w:t>Optional. If you opened the Query editor from the view properties, you can change the list of managed systems the query will extract data from.</w:t>
      </w:r>
    </w:p>
    <w:p>
      <w:pPr>
        <w:pStyle w:val="ListParagraph"/>
        <w:numPr>
          <w:ilvl w:val="1"/>
          <w:numId w:val="87"/>
        </w:numPr>
        <w:tabs>
          <w:tab w:pos="2863" w:val="left" w:leader="none"/>
        </w:tabs>
        <w:spacing w:line="240" w:lineRule="auto" w:before="35" w:after="0"/>
        <w:ind w:left="2863" w:right="0" w:hanging="315"/>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b/>
          <w:color w:val="231F20"/>
          <w:sz w:val="20"/>
        </w:rPr>
        <w:t>Query</w:t>
      </w:r>
      <w:r>
        <w:rPr>
          <w:rFonts w:ascii="Book Antiqua"/>
          <w:b/>
          <w:color w:val="231F20"/>
          <w:spacing w:val="11"/>
          <w:sz w:val="20"/>
        </w:rPr>
        <w:t> </w:t>
      </w:r>
      <w:r>
        <w:rPr>
          <w:rFonts w:ascii="Book Antiqua"/>
          <w:b/>
          <w:color w:val="231F20"/>
          <w:sz w:val="20"/>
        </w:rPr>
        <w:t>Results</w:t>
      </w:r>
      <w:r>
        <w:rPr>
          <w:rFonts w:ascii="Book Antiqua"/>
          <w:b/>
          <w:color w:val="231F20"/>
          <w:spacing w:val="11"/>
          <w:sz w:val="20"/>
        </w:rPr>
        <w:t> </w:t>
      </w:r>
      <w:r>
        <w:rPr>
          <w:rFonts w:ascii="Book Antiqua"/>
          <w:b/>
          <w:color w:val="231F20"/>
          <w:sz w:val="20"/>
        </w:rPr>
        <w:t>Source</w:t>
      </w:r>
      <w:r>
        <w:rPr>
          <w:rFonts w:ascii="Book Antiqua"/>
          <w:b/>
          <w:color w:val="231F20"/>
          <w:spacing w:val="10"/>
          <w:sz w:val="20"/>
        </w:rPr>
        <w:t> </w:t>
      </w:r>
      <w:r>
        <w:rPr>
          <w:color w:val="231F20"/>
          <w:spacing w:val="-4"/>
          <w:sz w:val="20"/>
        </w:rPr>
        <w:t>tab.</w:t>
      </w:r>
    </w:p>
    <w:p>
      <w:pPr>
        <w:pStyle w:val="ListParagraph"/>
        <w:numPr>
          <w:ilvl w:val="1"/>
          <w:numId w:val="87"/>
        </w:numPr>
        <w:tabs>
          <w:tab w:pos="2864" w:val="left" w:leader="none"/>
        </w:tabs>
        <w:spacing w:line="208" w:lineRule="auto" w:before="62" w:after="0"/>
        <w:ind w:left="2864" w:right="540" w:hanging="316"/>
        <w:jc w:val="left"/>
        <w:rPr>
          <w:sz w:val="20"/>
        </w:rPr>
      </w:pPr>
      <w:r>
        <w:rPr>
          <w:color w:val="231F20"/>
          <w:sz w:val="20"/>
        </w:rPr>
        <w:t>Select </w:t>
      </w:r>
      <w:r>
        <w:rPr>
          <w:color w:val="231F20"/>
          <w:spacing w:val="16"/>
          <w:sz w:val="20"/>
        </w:rPr>
        <w:drawing>
          <wp:inline distT="0" distB="0" distL="0" distR="0">
            <wp:extent cx="88900" cy="82550"/>
            <wp:effectExtent l="0" t="0" r="0" b="0"/>
            <wp:docPr id="1715" name="Image 1715"/>
            <wp:cNvGraphicFramePr>
              <a:graphicFrameLocks/>
            </wp:cNvGraphicFramePr>
            <a:graphic>
              <a:graphicData uri="http://schemas.openxmlformats.org/drawingml/2006/picture">
                <pic:pic>
                  <pic:nvPicPr>
                    <pic:cNvPr id="1715" name="Image 1715"/>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Let user assign explicitly</w:t>
      </w:r>
      <w:r>
        <w:rPr>
          <w:color w:val="231F20"/>
          <w:sz w:val="20"/>
        </w:rPr>
        <w:t>, then</w:t>
      </w:r>
      <w:r>
        <w:rPr>
          <w:color w:val="231F20"/>
          <w:spacing w:val="40"/>
          <w:sz w:val="20"/>
        </w:rPr>
        <w:t> </w:t>
      </w:r>
      <w:r>
        <w:rPr>
          <w:color w:val="231F20"/>
          <w:spacing w:val="-14"/>
          <w:position w:val="1"/>
          <w:sz w:val="20"/>
        </w:rPr>
        <w:drawing>
          <wp:inline distT="0" distB="0" distL="0" distR="0">
            <wp:extent cx="44450" cy="76200"/>
            <wp:effectExtent l="0" t="0" r="0" b="0"/>
            <wp:docPr id="1716" name="Image 1716"/>
            <wp:cNvGraphicFramePr>
              <a:graphicFrameLocks/>
            </wp:cNvGraphicFramePr>
            <a:graphic>
              <a:graphicData uri="http://schemas.openxmlformats.org/drawingml/2006/picture">
                <pic:pic>
                  <pic:nvPicPr>
                    <pic:cNvPr id="1716" name="Image 1716"/>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remove managed systems from</w:t>
      </w:r>
      <w:r>
        <w:rPr>
          <w:color w:val="231F20"/>
          <w:spacing w:val="40"/>
          <w:sz w:val="20"/>
        </w:rPr>
        <w:t> </w:t>
      </w:r>
      <w:r>
        <w:rPr>
          <w:color w:val="231F20"/>
          <w:sz w:val="20"/>
        </w:rPr>
        <w:t>the </w:t>
      </w:r>
      <w:r>
        <w:rPr>
          <w:rFonts w:ascii="Book Antiqua"/>
          <w:b/>
          <w:color w:val="231F20"/>
          <w:sz w:val="20"/>
        </w:rPr>
        <w:t>Assigned </w:t>
      </w:r>
      <w:r>
        <w:rPr>
          <w:color w:val="231F20"/>
          <w:sz w:val="20"/>
        </w:rPr>
        <w:t>list and</w:t>
      </w:r>
      <w:r>
        <w:rPr>
          <w:color w:val="231F20"/>
          <w:spacing w:val="40"/>
          <w:sz w:val="20"/>
        </w:rPr>
        <w:t> </w:t>
      </w:r>
      <w:r>
        <w:rPr>
          <w:color w:val="231F20"/>
          <w:spacing w:val="16"/>
          <w:position w:val="1"/>
          <w:sz w:val="20"/>
        </w:rPr>
        <w:drawing>
          <wp:inline distT="0" distB="0" distL="0" distR="0">
            <wp:extent cx="44450" cy="76200"/>
            <wp:effectExtent l="0" t="0" r="0" b="0"/>
            <wp:docPr id="1717" name="Image 1717"/>
            <wp:cNvGraphicFramePr>
              <a:graphicFrameLocks/>
            </wp:cNvGraphicFramePr>
            <a:graphic>
              <a:graphicData uri="http://schemas.openxmlformats.org/drawingml/2006/picture">
                <pic:pic>
                  <pic:nvPicPr>
                    <pic:cNvPr id="1717" name="Image 1717"/>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add them from the </w:t>
      </w:r>
      <w:r>
        <w:rPr>
          <w:rFonts w:ascii="Book Antiqua"/>
          <w:b/>
          <w:color w:val="231F20"/>
          <w:sz w:val="20"/>
        </w:rPr>
        <w:t>Available </w:t>
      </w:r>
      <w:r>
        <w:rPr>
          <w:color w:val="231F20"/>
          <w:sz w:val="20"/>
        </w:rPr>
        <w:t>list.</w:t>
      </w:r>
    </w:p>
    <w:p>
      <w:pPr>
        <w:pStyle w:val="BodyText"/>
        <w:spacing w:line="213" w:lineRule="auto" w:before="120"/>
        <w:ind w:left="2548" w:right="636"/>
      </w:pPr>
      <w:r>
        <w:rPr>
          <w:color w:val="231F20"/>
        </w:rPr>
        <w:t>Regardless of the managed systems assigned to a query, a gauge chart can</w:t>
      </w:r>
      <w:r>
        <w:rPr>
          <w:color w:val="231F20"/>
          <w:spacing w:val="80"/>
        </w:rPr>
        <w:t> </w:t>
      </w:r>
      <w:r>
        <w:rPr>
          <w:color w:val="231F20"/>
        </w:rPr>
        <w:t>show data from only one managed system. If you are using the query in a workspace where multiple systems are applicable, such as at the </w:t>
      </w:r>
      <w:r>
        <w:rPr>
          <w:color w:val="231F20"/>
          <w:spacing w:val="15"/>
          <w:position w:val="-1"/>
        </w:rPr>
        <w:drawing>
          <wp:inline distT="0" distB="0" distL="0" distR="0">
            <wp:extent cx="95250" cy="101600"/>
            <wp:effectExtent l="0" t="0" r="0" b="0"/>
            <wp:docPr id="1718" name="Image 1718"/>
            <wp:cNvGraphicFramePr>
              <a:graphicFrameLocks/>
            </wp:cNvGraphicFramePr>
            <a:graphic>
              <a:graphicData uri="http://schemas.openxmlformats.org/drawingml/2006/picture">
                <pic:pic>
                  <pic:nvPicPr>
                    <pic:cNvPr id="1718" name="Image 171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7"/>
        </w:rPr>
        <w:t> </w:t>
      </w:r>
      <w:r>
        <w:rPr>
          <w:color w:val="231F20"/>
        </w:rPr>
        <w:t>Enterprise-</w:t>
      </w:r>
      <w:r>
        <w:rPr>
          <w:color w:val="231F20"/>
          <w:spacing w:val="40"/>
        </w:rPr>
        <w:t> </w:t>
      </w:r>
      <w:r>
        <w:rPr>
          <w:color w:val="231F20"/>
        </w:rPr>
        <w:t>or </w:t>
      </w:r>
      <w:r>
        <w:rPr>
          <w:color w:val="231F20"/>
          <w:spacing w:val="16"/>
          <w:position w:val="-1"/>
        </w:rPr>
        <w:drawing>
          <wp:inline distT="0" distB="0" distL="0" distR="0">
            <wp:extent cx="101600" cy="95250"/>
            <wp:effectExtent l="0" t="0" r="0" b="0"/>
            <wp:docPr id="1719" name="Image 1719"/>
            <wp:cNvGraphicFramePr>
              <a:graphicFrameLocks/>
            </wp:cNvGraphicFramePr>
            <a:graphic>
              <a:graphicData uri="http://schemas.openxmlformats.org/drawingml/2006/picture">
                <pic:pic>
                  <pic:nvPicPr>
                    <pic:cNvPr id="1719" name="Image 1719"/>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Platform level of the Navigator Physical view, the data shown is from the first managed system in the </w:t>
      </w:r>
      <w:r>
        <w:rPr>
          <w:rFonts w:ascii="Book Antiqua"/>
          <w:b/>
          <w:color w:val="231F20"/>
        </w:rPr>
        <w:t>Assigned </w:t>
      </w:r>
      <w:r>
        <w:rPr>
          <w:color w:val="231F20"/>
        </w:rPr>
        <w:t>list.</w:t>
      </w:r>
    </w:p>
    <w:p>
      <w:pPr>
        <w:pStyle w:val="ListParagraph"/>
        <w:numPr>
          <w:ilvl w:val="0"/>
          <w:numId w:val="87"/>
        </w:numPr>
        <w:tabs>
          <w:tab w:pos="2548" w:val="left" w:leader="none"/>
        </w:tabs>
        <w:spacing w:line="213" w:lineRule="auto" w:before="57" w:after="0"/>
        <w:ind w:left="2548" w:right="688" w:hanging="316"/>
        <w:jc w:val="both"/>
        <w:rPr>
          <w:sz w:val="20"/>
        </w:rPr>
      </w:pPr>
      <w:r>
        <w:rPr>
          <w:color w:val="231F20"/>
          <w:sz w:val="20"/>
        </w:rPr>
        <w:t>When you are finished, click </w:t>
      </w:r>
      <w:r>
        <w:rPr>
          <w:rFonts w:ascii="Book Antiqua"/>
          <w:b/>
          <w:color w:val="231F20"/>
          <w:sz w:val="20"/>
        </w:rPr>
        <w:t>Apply </w:t>
      </w:r>
      <w:r>
        <w:rPr>
          <w:color w:val="231F20"/>
          <w:sz w:val="20"/>
        </w:rPr>
        <w:t>to save the query and keep the window open or click </w:t>
      </w:r>
      <w:r>
        <w:rPr>
          <w:rFonts w:ascii="Book Antiqua"/>
          <w:b/>
          <w:color w:val="231F20"/>
          <w:sz w:val="20"/>
        </w:rPr>
        <w:t>OK </w:t>
      </w:r>
      <w:r>
        <w:rPr>
          <w:color w:val="231F20"/>
          <w:sz w:val="20"/>
        </w:rPr>
        <w:t>to save the query and close the window. If you opened the Query editor from the Properties window, clicking </w:t>
      </w:r>
      <w:r>
        <w:rPr>
          <w:rFonts w:ascii="Book Antiqua"/>
          <w:b/>
          <w:color w:val="231F20"/>
          <w:sz w:val="20"/>
        </w:rPr>
        <w:t>OK </w:t>
      </w:r>
      <w:r>
        <w:rPr>
          <w:color w:val="231F20"/>
          <w:sz w:val="20"/>
        </w:rPr>
        <w:t>also selects the query for the current view.</w:t>
      </w:r>
    </w:p>
    <w:p>
      <w:pPr>
        <w:pStyle w:val="Heading4"/>
        <w:spacing w:before="198"/>
        <w:jc w:val="both"/>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before="218"/>
        <w:ind w:left="2232"/>
        <w:jc w:val="both"/>
      </w:pPr>
      <w:r>
        <w:rPr>
          <w:color w:val="231F20"/>
        </w:rPr>
        <w:t>Be</w:t>
      </w:r>
      <w:r>
        <w:rPr>
          <w:color w:val="231F20"/>
          <w:spacing w:val="11"/>
        </w:rPr>
        <w:t> </w:t>
      </w:r>
      <w:r>
        <w:rPr>
          <w:color w:val="231F20"/>
        </w:rPr>
        <w:t>aware</w:t>
      </w:r>
      <w:r>
        <w:rPr>
          <w:color w:val="231F20"/>
          <w:spacing w:val="12"/>
        </w:rPr>
        <w:t> </w:t>
      </w:r>
      <w:r>
        <w:rPr>
          <w:color w:val="231F20"/>
        </w:rPr>
        <w:t>of</w:t>
      </w:r>
      <w:r>
        <w:rPr>
          <w:color w:val="231F20"/>
          <w:spacing w:val="11"/>
        </w:rPr>
        <w:t> </w:t>
      </w:r>
      <w:r>
        <w:rPr>
          <w:color w:val="231F20"/>
        </w:rPr>
        <w:t>these</w:t>
      </w:r>
      <w:r>
        <w:rPr>
          <w:color w:val="231F20"/>
          <w:spacing w:val="12"/>
        </w:rPr>
        <w:t> </w:t>
      </w:r>
      <w:r>
        <w:rPr>
          <w:color w:val="231F20"/>
          <w:spacing w:val="-2"/>
        </w:rPr>
        <w:t>limitations:</w:t>
      </w:r>
    </w:p>
    <w:p>
      <w:pPr>
        <w:pStyle w:val="ListParagraph"/>
        <w:numPr>
          <w:ilvl w:val="0"/>
          <w:numId w:val="88"/>
        </w:numPr>
        <w:tabs>
          <w:tab w:pos="2548" w:val="left" w:leader="none"/>
          <w:tab w:pos="2613" w:val="left" w:leader="none"/>
        </w:tabs>
        <w:spacing w:line="213" w:lineRule="auto" w:before="53" w:after="0"/>
        <w:ind w:left="2548" w:right="1220" w:hanging="316"/>
        <w:jc w:val="both"/>
        <w:rPr>
          <w:sz w:val="20"/>
        </w:rPr>
      </w:pPr>
      <w:r>
        <w:rPr>
          <w:color w:val="231F20"/>
          <w:sz w:val="20"/>
        </w:rPr>
        <w:tab/>
        <w:t>The attributes in a query can be from one group only; you cannot mix attributes from different groups in the same query.</w:t>
      </w:r>
    </w:p>
    <w:p>
      <w:pPr>
        <w:pStyle w:val="ListParagraph"/>
        <w:numPr>
          <w:ilvl w:val="0"/>
          <w:numId w:val="88"/>
        </w:numPr>
        <w:tabs>
          <w:tab w:pos="2548" w:val="left" w:leader="none"/>
          <w:tab w:pos="2613" w:val="left" w:leader="none"/>
        </w:tabs>
        <w:spacing w:line="213" w:lineRule="auto" w:before="58" w:after="0"/>
        <w:ind w:left="2548" w:right="570" w:hanging="316"/>
        <w:jc w:val="both"/>
        <w:rPr>
          <w:sz w:val="20"/>
        </w:rPr>
      </w:pPr>
      <w:r>
        <w:rPr>
          <w:color w:val="231F20"/>
          <w:sz w:val="20"/>
        </w:rPr>
        <w:tab/>
        <w:t>Even if data collection has been started, you cannot use the time span feature</w:t>
      </w:r>
      <w:r>
        <w:rPr>
          <w:color w:val="231F20"/>
          <w:spacing w:val="80"/>
          <w:sz w:val="20"/>
        </w:rPr>
        <w:t> </w:t>
      </w:r>
      <w:r>
        <w:rPr>
          <w:color w:val="231F20"/>
          <w:sz w:val="20"/>
        </w:rPr>
        <w:t>if the query for the chart or table includes any column functions. If this is the case, you can select or create another query to enable</w:t>
      </w:r>
      <w:r>
        <w:rPr>
          <w:color w:val="231F20"/>
          <w:spacing w:val="36"/>
          <w:sz w:val="20"/>
        </w:rPr>
        <w:t> </w:t>
      </w:r>
      <w:r>
        <w:rPr>
          <w:color w:val="231F20"/>
          <w:spacing w:val="-25"/>
          <w:position w:val="-1"/>
          <w:sz w:val="20"/>
        </w:rPr>
        <w:drawing>
          <wp:inline distT="0" distB="0" distL="0" distR="0">
            <wp:extent cx="95250" cy="95250"/>
            <wp:effectExtent l="0" t="0" r="0" b="0"/>
            <wp:docPr id="1720" name="Image 1720"/>
            <wp:cNvGraphicFramePr>
              <a:graphicFrameLocks/>
            </wp:cNvGraphicFramePr>
            <a:graphic>
              <a:graphicData uri="http://schemas.openxmlformats.org/drawingml/2006/picture">
                <pic:pic>
                  <pic:nvPicPr>
                    <pic:cNvPr id="1720" name="Image 1720"/>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Time Span</w:t>
      </w:r>
      <w:r>
        <w:rPr>
          <w:color w:val="231F20"/>
          <w:sz w:val="20"/>
        </w:rPr>
        <w:t>.</w:t>
      </w:r>
    </w:p>
    <w:p>
      <w:pPr>
        <w:pStyle w:val="ListParagraph"/>
        <w:numPr>
          <w:ilvl w:val="0"/>
          <w:numId w:val="88"/>
        </w:numPr>
        <w:tabs>
          <w:tab w:pos="2548" w:val="left" w:leader="none"/>
          <w:tab w:pos="2615" w:val="left" w:leader="none"/>
        </w:tabs>
        <w:spacing w:line="213" w:lineRule="auto" w:before="58" w:after="0"/>
        <w:ind w:left="2548" w:right="474" w:hanging="316"/>
        <w:jc w:val="left"/>
        <w:rPr>
          <w:sz w:val="20"/>
        </w:rPr>
      </w:pPr>
      <w:r>
        <w:rPr>
          <w:rFonts w:ascii="Arial"/>
          <w:color w:val="231F20"/>
          <w:sz w:val="20"/>
        </w:rPr>
        <w:tab/>
      </w:r>
      <w:r>
        <w:rPr>
          <w:color w:val="231F20"/>
          <w:sz w:val="20"/>
        </w:rPr>
        <w:t>The </w:t>
      </w:r>
      <w:r>
        <w:rPr>
          <w:rFonts w:ascii="Book Antiqua"/>
          <w:b/>
          <w:color w:val="231F20"/>
          <w:sz w:val="20"/>
        </w:rPr>
        <w:t>Sort by </w:t>
      </w:r>
      <w:r>
        <w:rPr>
          <w:color w:val="231F20"/>
          <w:sz w:val="20"/>
        </w:rPr>
        <w:t>advanced query function is incompatible with the historical reporting feature. The view will not be sorted even if you have specified a sort order in the query. Nonetheless, while a table view that specifies a time span is displayed in a workspace, you can still sort it by clicking a column heading.</w:t>
      </w:r>
    </w:p>
    <w:p>
      <w:pPr>
        <w:pStyle w:val="BodyText"/>
        <w:spacing w:line="213" w:lineRule="auto" w:before="57"/>
        <w:ind w:left="2548" w:right="545"/>
      </w:pPr>
      <w:r>
        <w:rPr>
          <w:color w:val="231F20"/>
        </w:rPr>
        <w:t>Similarly, the </w:t>
      </w:r>
      <w:r>
        <w:rPr>
          <w:rFonts w:ascii="Book Antiqua"/>
          <w:b/>
          <w:color w:val="231F20"/>
        </w:rPr>
        <w:t>Sort by </w:t>
      </w:r>
      <w:r>
        <w:rPr>
          <w:color w:val="231F20"/>
        </w:rPr>
        <w:t>and </w:t>
      </w:r>
      <w:r>
        <w:rPr>
          <w:rFonts w:ascii="Book Antiqua"/>
          <w:b/>
          <w:color w:val="231F20"/>
        </w:rPr>
        <w:t>Group by </w:t>
      </w:r>
      <w:r>
        <w:rPr>
          <w:color w:val="231F20"/>
        </w:rPr>
        <w:t>advanced query functions are </w:t>
      </w:r>
      <w:r>
        <w:rPr>
          <w:color w:val="231F20"/>
        </w:rPr>
        <w:t>unavailable for views that specify a time span within the last 24 hours, that is, views that</w:t>
      </w:r>
      <w:r>
        <w:rPr>
          <w:color w:val="231F20"/>
          <w:spacing w:val="40"/>
        </w:rPr>
        <w:t> </w:t>
      </w:r>
      <w:r>
        <w:rPr>
          <w:color w:val="231F20"/>
        </w:rPr>
        <w:t>draw from short-term history. (The first 24-hour retrieval from short-term history can be reduced or eliminated by adjusting the KFW_REPORT_TERM_BREAK_POINT value in the Tivoli Enterprise Portal Server environment file.)</w:t>
      </w:r>
    </w:p>
    <w:p>
      <w:pPr>
        <w:spacing w:after="0" w:line="213" w:lineRule="auto"/>
        <w:sectPr>
          <w:pgSz w:w="12240" w:h="15840"/>
          <w:pgMar w:header="0" w:footer="736" w:top="1180" w:bottom="920" w:left="1000" w:right="1060"/>
        </w:sectPr>
      </w:pPr>
    </w:p>
    <w:p>
      <w:pPr>
        <w:pStyle w:val="Heading3"/>
        <w:spacing w:before="84"/>
        <w:ind w:left="0" w:right="572"/>
        <w:jc w:val="center"/>
      </w:pPr>
      <w:bookmarkStart w:name="_bookmark142" w:id="314"/>
      <w:bookmarkEnd w:id="314"/>
      <w:r>
        <w:rPr>
          <w:b w:val="0"/>
        </w:rPr>
      </w:r>
      <w:bookmarkStart w:name="Creating another query to the monitoring" w:id="315"/>
      <w:bookmarkEnd w:id="315"/>
      <w:r>
        <w:rPr>
          <w:b w:val="0"/>
        </w:rPr>
      </w:r>
      <w:r>
        <w:rPr>
          <w:color w:val="231F20"/>
        </w:rPr>
        <w:t>Creating</w:t>
      </w:r>
      <w:r>
        <w:rPr>
          <w:color w:val="231F20"/>
          <w:spacing w:val="6"/>
        </w:rPr>
        <w:t> </w:t>
      </w:r>
      <w:r>
        <w:rPr>
          <w:color w:val="231F20"/>
        </w:rPr>
        <w:t>another</w:t>
      </w:r>
      <w:r>
        <w:rPr>
          <w:color w:val="231F20"/>
          <w:spacing w:val="7"/>
        </w:rPr>
        <w:t> </w:t>
      </w:r>
      <w:r>
        <w:rPr>
          <w:color w:val="231F20"/>
        </w:rPr>
        <w:t>query</w:t>
      </w:r>
      <w:r>
        <w:rPr>
          <w:color w:val="231F20"/>
          <w:spacing w:val="6"/>
        </w:rPr>
        <w:t> </w:t>
      </w:r>
      <w:r>
        <w:rPr>
          <w:color w:val="231F20"/>
        </w:rPr>
        <w:t>to</w:t>
      </w:r>
      <w:r>
        <w:rPr>
          <w:color w:val="231F20"/>
          <w:spacing w:val="7"/>
        </w:rPr>
        <w:t> </w:t>
      </w:r>
      <w:r>
        <w:rPr>
          <w:color w:val="231F20"/>
        </w:rPr>
        <w:t>the</w:t>
      </w:r>
      <w:r>
        <w:rPr>
          <w:color w:val="231F20"/>
          <w:spacing w:val="6"/>
        </w:rPr>
        <w:t> </w:t>
      </w:r>
      <w:r>
        <w:rPr>
          <w:color w:val="231F20"/>
        </w:rPr>
        <w:t>monitoring</w:t>
      </w:r>
      <w:r>
        <w:rPr>
          <w:color w:val="231F20"/>
          <w:spacing w:val="7"/>
        </w:rPr>
        <w:t> </w:t>
      </w:r>
      <w:r>
        <w:rPr>
          <w:color w:val="231F20"/>
          <w:spacing w:val="-2"/>
        </w:rPr>
        <w:t>server</w:t>
      </w:r>
    </w:p>
    <w:p>
      <w:pPr>
        <w:pStyle w:val="BodyText"/>
        <w:spacing w:line="213" w:lineRule="auto" w:before="58"/>
        <w:ind w:left="2472"/>
      </w:pPr>
      <w:r>
        <w:rPr>
          <w:color w:val="231F20"/>
        </w:rPr>
        <w:t>Use this method to create Tivoli Enterprise Monitoring Server queries and to </w:t>
      </w:r>
      <w:r>
        <w:rPr>
          <w:color w:val="231F20"/>
        </w:rPr>
        <w:t>create queries similar to existing ones.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385"/>
      </w:pPr>
      <w:r>
        <w:rPr>
          <w:color w:val="231F20"/>
        </w:rPr>
        <w:t>Your user ID must have permission for Modify Query and for Workspace Author Mode. If you do not see the</w:t>
      </w:r>
      <w:r>
        <w:rPr>
          <w:color w:val="231F20"/>
          <w:spacing w:val="26"/>
        </w:rPr>
        <w:t> </w:t>
      </w:r>
      <w:r>
        <w:rPr>
          <w:color w:val="231F20"/>
          <w:spacing w:val="-25"/>
          <w:position w:val="-1"/>
        </w:rPr>
        <w:drawing>
          <wp:inline distT="0" distB="0" distL="0" distR="0">
            <wp:extent cx="95250" cy="101600"/>
            <wp:effectExtent l="0" t="0" r="0" b="0"/>
            <wp:docPr id="1721" name="Image 1721"/>
            <wp:cNvGraphicFramePr>
              <a:graphicFrameLocks/>
            </wp:cNvGraphicFramePr>
            <a:graphic>
              <a:graphicData uri="http://schemas.openxmlformats.org/drawingml/2006/picture">
                <pic:pic>
                  <pic:nvPicPr>
                    <pic:cNvPr id="1721" name="Image 1721"/>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5"/>
        </w:rPr>
        <w:t> </w:t>
      </w:r>
      <w:r>
        <w:rPr>
          <w:rFonts w:ascii="Book Antiqua"/>
          <w:b/>
          <w:color w:val="231F20"/>
        </w:rPr>
        <w:t>Queries </w:t>
      </w:r>
      <w:r>
        <w:rPr>
          <w:color w:val="231F20"/>
        </w:rPr>
        <w:t>tool, your user ID does not have View or</w:t>
      </w:r>
      <w:r>
        <w:rPr>
          <w:color w:val="231F20"/>
          <w:spacing w:val="40"/>
        </w:rPr>
        <w:t> </w:t>
      </w:r>
      <w:r>
        <w:rPr>
          <w:color w:val="231F20"/>
        </w:rPr>
        <w:t>Modify Query permissions. If you can see the tool but it is disabled, your user </w:t>
      </w:r>
      <w:r>
        <w:rPr>
          <w:color w:val="231F20"/>
        </w:rPr>
        <w:t>ID</w:t>
      </w:r>
      <w:r>
        <w:rPr>
          <w:color w:val="231F20"/>
          <w:spacing w:val="40"/>
        </w:rPr>
        <w:t> </w:t>
      </w:r>
      <w:r>
        <w:rPr>
          <w:color w:val="231F20"/>
        </w:rPr>
        <w:t>does not have Workspace Author Mode permission. If you can open the Query editor but the tools are disabled, your user ID does not have Modify Query </w:t>
      </w:r>
      <w:r>
        <w:rPr>
          <w:color w:val="231F20"/>
          <w:spacing w:val="-2"/>
        </w:rPr>
        <w:t>permission.</w:t>
      </w:r>
    </w:p>
    <w:p>
      <w:pPr>
        <w:pStyle w:val="BodyText"/>
        <w:spacing w:line="213" w:lineRule="auto" w:before="235"/>
        <w:ind w:left="2472" w:right="488"/>
      </w:pPr>
      <w:r>
        <w:rPr>
          <w:color w:val="231F20"/>
        </w:rPr>
        <w:t>If your product has been upgraded to a new release, with new attributes or attribute groups added, and you see no new attributes in the query or queries for that attribute group or you see no query for a new attribute group, do not use</w:t>
      </w:r>
      <w:r>
        <w:rPr>
          <w:color w:val="231F20"/>
          <w:spacing w:val="80"/>
        </w:rPr>
        <w:t> </w:t>
      </w:r>
      <w:r>
        <w:rPr>
          <w:color w:val="231F20"/>
        </w:rPr>
        <w:t>these steps. Instead, use the procedure for creating a new query.</w:t>
      </w:r>
    </w:p>
    <w:p>
      <w:pPr>
        <w:pStyle w:val="Heading4"/>
        <w:spacing w:before="199"/>
        <w:ind w:left="2472"/>
      </w:pPr>
      <w:r>
        <w:rPr>
          <w:color w:val="231F20"/>
          <w:spacing w:val="-2"/>
        </w:rPr>
        <w:t>Procedure</w:t>
      </w:r>
    </w:p>
    <w:p>
      <w:pPr>
        <w:pStyle w:val="ListParagraph"/>
        <w:numPr>
          <w:ilvl w:val="1"/>
          <w:numId w:val="88"/>
        </w:numPr>
        <w:tabs>
          <w:tab w:pos="2787" w:val="left" w:leader="none"/>
        </w:tabs>
        <w:spacing w:line="240" w:lineRule="auto" w:before="38" w:after="0"/>
        <w:ind w:left="2787" w:right="0" w:hanging="315"/>
        <w:jc w:val="left"/>
        <w:rPr>
          <w:sz w:val="20"/>
        </w:rPr>
      </w:pPr>
      <w:r>
        <w:rPr>
          <w:color w:val="231F20"/>
          <w:sz w:val="20"/>
        </w:rPr>
        <w:t>Complete</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steps</w:t>
      </w:r>
      <w:r>
        <w:rPr>
          <w:color w:val="231F20"/>
          <w:spacing w:val="11"/>
          <w:sz w:val="20"/>
        </w:rPr>
        <w:t> </w:t>
      </w:r>
      <w:r>
        <w:rPr>
          <w:color w:val="231F20"/>
          <w:sz w:val="20"/>
        </w:rPr>
        <w:t>to</w:t>
      </w:r>
      <w:r>
        <w:rPr>
          <w:color w:val="231F20"/>
          <w:spacing w:val="12"/>
          <w:sz w:val="20"/>
        </w:rPr>
        <w:t> </w:t>
      </w: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Query</w:t>
      </w:r>
      <w:r>
        <w:rPr>
          <w:color w:val="231F20"/>
          <w:spacing w:val="12"/>
          <w:sz w:val="20"/>
        </w:rPr>
        <w:t> </w:t>
      </w:r>
      <w:r>
        <w:rPr>
          <w:color w:val="231F20"/>
          <w:spacing w:val="-2"/>
          <w:sz w:val="20"/>
        </w:rPr>
        <w:t>editor:</w:t>
      </w:r>
    </w:p>
    <w:p>
      <w:pPr>
        <w:spacing w:before="30"/>
        <w:ind w:left="2788" w:right="0" w:firstLine="0"/>
        <w:jc w:val="both"/>
        <w:rPr>
          <w:sz w:val="20"/>
        </w:rPr>
      </w:pPr>
      <w:r>
        <w:rPr>
          <w:rFonts w:ascii="Futura MdCn BT"/>
          <w:color w:val="231F20"/>
          <w:sz w:val="20"/>
        </w:rPr>
        <w:t>v</w:t>
      </w:r>
      <w:r>
        <w:rPr>
          <w:rFonts w:ascii="Futura MdCn BT"/>
          <w:color w:val="231F20"/>
          <w:spacing w:val="34"/>
          <w:sz w:val="20"/>
        </w:rPr>
        <w:t>  </w:t>
      </w:r>
      <w:r>
        <w:rPr>
          <w:color w:val="231F20"/>
          <w:sz w:val="20"/>
        </w:rPr>
        <w:t>Click</w:t>
      </w:r>
      <w:r>
        <w:rPr>
          <w:color w:val="231F20"/>
          <w:spacing w:val="25"/>
          <w:sz w:val="20"/>
        </w:rPr>
        <w:t> </w:t>
      </w:r>
      <w:r>
        <w:rPr>
          <w:color w:val="231F20"/>
          <w:spacing w:val="-24"/>
          <w:position w:val="-1"/>
          <w:sz w:val="20"/>
        </w:rPr>
        <w:drawing>
          <wp:inline distT="0" distB="0" distL="0" distR="0">
            <wp:extent cx="95250" cy="101600"/>
            <wp:effectExtent l="0" t="0" r="0" b="0"/>
            <wp:docPr id="1722" name="Image 1722"/>
            <wp:cNvGraphicFramePr>
              <a:graphicFrameLocks/>
            </wp:cNvGraphicFramePr>
            <a:graphic>
              <a:graphicData uri="http://schemas.openxmlformats.org/drawingml/2006/picture">
                <pic:pic>
                  <pic:nvPicPr>
                    <pic:cNvPr id="1722" name="Image 1722"/>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22"/>
          <w:sz w:val="20"/>
        </w:rPr>
        <w:t> </w:t>
      </w:r>
      <w:r>
        <w:rPr>
          <w:rFonts w:ascii="Book Antiqua"/>
          <w:b/>
          <w:color w:val="231F20"/>
          <w:spacing w:val="-2"/>
          <w:sz w:val="20"/>
        </w:rPr>
        <w:t>Queries</w:t>
      </w:r>
      <w:r>
        <w:rPr>
          <w:color w:val="231F20"/>
          <w:spacing w:val="-2"/>
          <w:sz w:val="20"/>
        </w:rPr>
        <w:t>.</w:t>
      </w:r>
    </w:p>
    <w:p>
      <w:pPr>
        <w:spacing w:line="213" w:lineRule="auto" w:before="53"/>
        <w:ind w:left="300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In the title bar of the table or chart view where you would like to apply the</w:t>
      </w:r>
      <w:r>
        <w:rPr>
          <w:color w:val="231F20"/>
          <w:spacing w:val="80"/>
          <w:sz w:val="20"/>
        </w:rPr>
        <w:t> </w:t>
      </w:r>
      <w:r>
        <w:rPr>
          <w:color w:val="231F20"/>
          <w:sz w:val="20"/>
        </w:rPr>
        <w:t>new</w:t>
      </w:r>
      <w:r>
        <w:rPr>
          <w:color w:val="231F20"/>
          <w:spacing w:val="25"/>
          <w:sz w:val="20"/>
        </w:rPr>
        <w:t> </w:t>
      </w:r>
      <w:r>
        <w:rPr>
          <w:color w:val="231F20"/>
          <w:sz w:val="20"/>
        </w:rPr>
        <w:t>query,</w:t>
      </w:r>
      <w:r>
        <w:rPr>
          <w:color w:val="231F20"/>
          <w:spacing w:val="25"/>
          <w:sz w:val="20"/>
        </w:rPr>
        <w:t> </w:t>
      </w:r>
      <w:r>
        <w:rPr>
          <w:color w:val="231F20"/>
          <w:sz w:val="20"/>
        </w:rPr>
        <w:t>click</w:t>
      </w:r>
      <w:r>
        <w:rPr>
          <w:color w:val="231F20"/>
          <w:spacing w:val="40"/>
          <w:sz w:val="20"/>
        </w:rPr>
        <w:t> </w:t>
      </w:r>
      <w:r>
        <w:rPr>
          <w:color w:val="231F20"/>
          <w:spacing w:val="6"/>
          <w:position w:val="1"/>
          <w:sz w:val="20"/>
        </w:rPr>
        <w:drawing>
          <wp:inline distT="0" distB="0" distL="0" distR="0">
            <wp:extent cx="57150" cy="57150"/>
            <wp:effectExtent l="0" t="0" r="0" b="0"/>
            <wp:docPr id="1723" name="Image 1723"/>
            <wp:cNvGraphicFramePr>
              <a:graphicFrameLocks/>
            </wp:cNvGraphicFramePr>
            <a:graphic>
              <a:graphicData uri="http://schemas.openxmlformats.org/drawingml/2006/picture">
                <pic:pic>
                  <pic:nvPicPr>
                    <pic:cNvPr id="1723" name="Image 1723"/>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color w:val="231F20"/>
          <w:spacing w:val="33"/>
          <w:sz w:val="20"/>
        </w:rPr>
        <w:t> </w:t>
      </w:r>
      <w:r>
        <w:rPr>
          <w:rFonts w:ascii="Book Antiqua"/>
          <w:b/>
          <w:color w:val="231F20"/>
          <w:sz w:val="20"/>
        </w:rPr>
        <w:t>Properties</w:t>
      </w:r>
      <w:r>
        <w:rPr>
          <w:rFonts w:ascii="Book Antiqua"/>
          <w:b/>
          <w:color w:val="231F20"/>
          <w:spacing w:val="25"/>
          <w:sz w:val="20"/>
        </w:rPr>
        <w:t> </w:t>
      </w:r>
      <w:r>
        <w:rPr>
          <w:color w:val="231F20"/>
          <w:sz w:val="20"/>
        </w:rPr>
        <w:t>&gt;</w:t>
      </w:r>
      <w:r>
        <w:rPr>
          <w:color w:val="231F20"/>
          <w:spacing w:val="80"/>
          <w:w w:val="150"/>
          <w:sz w:val="20"/>
        </w:rPr>
        <w:t> </w:t>
      </w:r>
      <w:r>
        <w:rPr>
          <w:color w:val="231F20"/>
          <w:spacing w:val="-25"/>
          <w:position w:val="-1"/>
          <w:sz w:val="20"/>
        </w:rPr>
        <w:drawing>
          <wp:inline distT="0" distB="0" distL="0" distR="0">
            <wp:extent cx="95250" cy="101600"/>
            <wp:effectExtent l="0" t="0" r="0" b="0"/>
            <wp:docPr id="1724" name="Image 1724"/>
            <wp:cNvGraphicFramePr>
              <a:graphicFrameLocks/>
            </wp:cNvGraphicFramePr>
            <a:graphic>
              <a:graphicData uri="http://schemas.openxmlformats.org/drawingml/2006/picture">
                <pic:pic>
                  <pic:nvPicPr>
                    <pic:cNvPr id="1724" name="Image 1724"/>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Click</w:t>
      </w:r>
      <w:r>
        <w:rPr>
          <w:rFonts w:ascii="Book Antiqua"/>
          <w:b/>
          <w:color w:val="231F20"/>
          <w:spacing w:val="25"/>
          <w:sz w:val="20"/>
        </w:rPr>
        <w:t> </w:t>
      </w:r>
      <w:r>
        <w:rPr>
          <w:rFonts w:ascii="Book Antiqua"/>
          <w:b/>
          <w:color w:val="231F20"/>
          <w:sz w:val="20"/>
        </w:rPr>
        <w:t>here</w:t>
      </w:r>
      <w:r>
        <w:rPr>
          <w:rFonts w:ascii="Book Antiqua"/>
          <w:b/>
          <w:color w:val="231F20"/>
          <w:spacing w:val="25"/>
          <w:sz w:val="20"/>
        </w:rPr>
        <w:t> </w:t>
      </w:r>
      <w:r>
        <w:rPr>
          <w:rFonts w:ascii="Book Antiqua"/>
          <w:b/>
          <w:color w:val="231F20"/>
          <w:sz w:val="20"/>
        </w:rPr>
        <w:t>to</w:t>
      </w:r>
      <w:r>
        <w:rPr>
          <w:rFonts w:ascii="Book Antiqua"/>
          <w:b/>
          <w:color w:val="231F20"/>
          <w:spacing w:val="25"/>
          <w:sz w:val="20"/>
        </w:rPr>
        <w:t> </w:t>
      </w:r>
      <w:r>
        <w:rPr>
          <w:rFonts w:ascii="Book Antiqua"/>
          <w:b/>
          <w:color w:val="231F20"/>
          <w:sz w:val="20"/>
        </w:rPr>
        <w:t>assign</w:t>
      </w:r>
      <w:r>
        <w:rPr>
          <w:rFonts w:ascii="Book Antiqua"/>
          <w:b/>
          <w:color w:val="231F20"/>
          <w:spacing w:val="25"/>
          <w:sz w:val="20"/>
        </w:rPr>
        <w:t> </w:t>
      </w:r>
      <w:r>
        <w:rPr>
          <w:rFonts w:ascii="Book Antiqua"/>
          <w:b/>
          <w:color w:val="231F20"/>
          <w:sz w:val="20"/>
        </w:rPr>
        <w:t>a</w:t>
      </w:r>
      <w:r>
        <w:rPr>
          <w:rFonts w:ascii="Book Antiqua"/>
          <w:b/>
          <w:color w:val="231F20"/>
          <w:spacing w:val="25"/>
          <w:sz w:val="20"/>
        </w:rPr>
        <w:t> </w:t>
      </w:r>
      <w:r>
        <w:rPr>
          <w:rFonts w:ascii="Book Antiqua"/>
          <w:b/>
          <w:color w:val="231F20"/>
          <w:sz w:val="20"/>
        </w:rPr>
        <w:t>query</w:t>
      </w:r>
      <w:r>
        <w:rPr>
          <w:color w:val="231F20"/>
          <w:sz w:val="20"/>
        </w:rPr>
        <w:t>.</w:t>
      </w:r>
    </w:p>
    <w:p>
      <w:pPr>
        <w:pStyle w:val="ListParagraph"/>
        <w:numPr>
          <w:ilvl w:val="1"/>
          <w:numId w:val="88"/>
        </w:numPr>
        <w:tabs>
          <w:tab w:pos="2788" w:val="left" w:leader="none"/>
        </w:tabs>
        <w:spacing w:line="213" w:lineRule="auto" w:before="58" w:after="0"/>
        <w:ind w:left="2788" w:right="424" w:hanging="316"/>
        <w:jc w:val="left"/>
        <w:rPr>
          <w:sz w:val="20"/>
        </w:rPr>
      </w:pPr>
      <w:r>
        <w:rPr>
          <w:color w:val="231F20"/>
          <w:sz w:val="20"/>
        </w:rPr>
        <w:t>Click</w:t>
      </w:r>
      <w:r>
        <w:rPr>
          <w:color w:val="231F20"/>
          <w:spacing w:val="40"/>
          <w:sz w:val="20"/>
        </w:rPr>
        <w:t> </w:t>
      </w:r>
      <w:r>
        <w:rPr>
          <w:color w:val="231F20"/>
          <w:spacing w:val="6"/>
          <w:sz w:val="20"/>
        </w:rPr>
        <w:drawing>
          <wp:inline distT="0" distB="0" distL="0" distR="0">
            <wp:extent cx="69850" cy="69850"/>
            <wp:effectExtent l="0" t="0" r="0" b="0"/>
            <wp:docPr id="1725" name="Image 1725"/>
            <wp:cNvGraphicFramePr>
              <a:graphicFrameLocks/>
            </wp:cNvGraphicFramePr>
            <a:graphic>
              <a:graphicData uri="http://schemas.openxmlformats.org/drawingml/2006/picture">
                <pic:pic>
                  <pic:nvPicPr>
                    <pic:cNvPr id="1725" name="Image 172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80"/>
          <w:sz w:val="20"/>
        </w:rPr>
        <w:t> </w:t>
      </w:r>
      <w:r>
        <w:rPr>
          <w:color w:val="231F20"/>
          <w:sz w:val="20"/>
        </w:rPr>
        <w:t>to expand the</w:t>
      </w:r>
      <w:r>
        <w:rPr>
          <w:color w:val="231F20"/>
          <w:spacing w:val="19"/>
          <w:sz w:val="20"/>
        </w:rPr>
        <w:t> </w:t>
      </w:r>
      <w:r>
        <w:rPr>
          <w:color w:val="231F20"/>
          <w:spacing w:val="-24"/>
          <w:position w:val="-1"/>
          <w:sz w:val="20"/>
        </w:rPr>
        <w:drawing>
          <wp:inline distT="0" distB="0" distL="0" distR="0">
            <wp:extent cx="95250" cy="95250"/>
            <wp:effectExtent l="0" t="0" r="0" b="0"/>
            <wp:docPr id="1726" name="Image 1726"/>
            <wp:cNvGraphicFramePr>
              <a:graphicFrameLocks/>
            </wp:cNvGraphicFramePr>
            <a:graphic>
              <a:graphicData uri="http://schemas.openxmlformats.org/drawingml/2006/picture">
                <pic:pic>
                  <pic:nvPicPr>
                    <pic:cNvPr id="1726" name="Image 1726"/>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6"/>
          <w:sz w:val="20"/>
        </w:rPr>
        <w:t> </w:t>
      </w:r>
      <w:r>
        <w:rPr>
          <w:color w:val="231F20"/>
          <w:sz w:val="20"/>
        </w:rPr>
        <w:t>Monitoring agents and</w:t>
      </w:r>
      <w:r>
        <w:rPr>
          <w:color w:val="231F20"/>
          <w:spacing w:val="18"/>
          <w:sz w:val="20"/>
        </w:rPr>
        <w:t> </w:t>
      </w:r>
      <w:r>
        <w:rPr>
          <w:color w:val="231F20"/>
          <w:spacing w:val="-25"/>
          <w:position w:val="-1"/>
          <w:sz w:val="20"/>
        </w:rPr>
        <w:drawing>
          <wp:inline distT="0" distB="0" distL="0" distR="0">
            <wp:extent cx="88900" cy="101600"/>
            <wp:effectExtent l="0" t="0" r="0" b="0"/>
            <wp:docPr id="1727" name="Image 1727"/>
            <wp:cNvGraphicFramePr>
              <a:graphicFrameLocks/>
            </wp:cNvGraphicFramePr>
            <a:graphic>
              <a:graphicData uri="http://schemas.openxmlformats.org/drawingml/2006/picture">
                <pic:pic>
                  <pic:nvPicPr>
                    <pic:cNvPr id="1727" name="Image 1727"/>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26"/>
          <w:sz w:val="20"/>
        </w:rPr>
        <w:t> </w:t>
      </w:r>
      <w:r>
        <w:rPr>
          <w:color w:val="231F20"/>
          <w:sz w:val="20"/>
        </w:rPr>
        <w:t>attribute group folders </w:t>
      </w:r>
      <w:r>
        <w:rPr>
          <w:color w:val="231F20"/>
          <w:sz w:val="20"/>
        </w:rPr>
        <w:t>to see the queries.</w:t>
      </w:r>
    </w:p>
    <w:p>
      <w:pPr>
        <w:pStyle w:val="ListParagraph"/>
        <w:numPr>
          <w:ilvl w:val="1"/>
          <w:numId w:val="88"/>
        </w:numPr>
        <w:tabs>
          <w:tab w:pos="2788" w:val="left" w:leader="none"/>
        </w:tabs>
        <w:spacing w:line="213" w:lineRule="auto" w:before="59" w:after="0"/>
        <w:ind w:left="2788" w:right="326" w:hanging="316"/>
        <w:jc w:val="left"/>
        <w:rPr>
          <w:sz w:val="20"/>
        </w:rPr>
      </w:pPr>
      <w:r>
        <w:rPr>
          <w:color w:val="231F20"/>
          <w:sz w:val="20"/>
        </w:rPr>
        <w:t>Find a query similar to the one you want, select the query and click</w:t>
      </w:r>
      <w:r>
        <w:rPr>
          <w:color w:val="231F20"/>
          <w:spacing w:val="29"/>
          <w:sz w:val="20"/>
        </w:rPr>
        <w:t> </w:t>
      </w:r>
      <w:r>
        <w:rPr>
          <w:color w:val="231F20"/>
          <w:spacing w:val="-16"/>
          <w:position w:val="-1"/>
          <w:sz w:val="20"/>
        </w:rPr>
        <w:drawing>
          <wp:inline distT="0" distB="0" distL="0" distR="0">
            <wp:extent cx="82550" cy="95250"/>
            <wp:effectExtent l="0" t="0" r="0" b="0"/>
            <wp:docPr id="1728" name="Image 1728"/>
            <wp:cNvGraphicFramePr>
              <a:graphicFrameLocks/>
            </wp:cNvGraphicFramePr>
            <a:graphic>
              <a:graphicData uri="http://schemas.openxmlformats.org/drawingml/2006/picture">
                <pic:pic>
                  <pic:nvPicPr>
                    <pic:cNvPr id="1728" name="Image 1728"/>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6"/>
          <w:position w:val="-1"/>
          <w:sz w:val="20"/>
        </w:rPr>
      </w:r>
      <w:r>
        <w:rPr>
          <w:rFonts w:ascii="Times New Roman"/>
          <w:color w:val="231F20"/>
          <w:spacing w:val="80"/>
          <w:sz w:val="20"/>
        </w:rPr>
        <w:t> </w:t>
      </w:r>
      <w:r>
        <w:rPr>
          <w:rFonts w:ascii="Book Antiqua"/>
          <w:b/>
          <w:color w:val="231F20"/>
          <w:sz w:val="20"/>
        </w:rPr>
        <w:t>Create Another Query</w:t>
      </w:r>
      <w:r>
        <w:rPr>
          <w:color w:val="231F20"/>
          <w:sz w:val="20"/>
        </w:rPr>
        <w:t>.</w:t>
      </w:r>
    </w:p>
    <w:p>
      <w:pPr>
        <w:pStyle w:val="ListParagraph"/>
        <w:numPr>
          <w:ilvl w:val="1"/>
          <w:numId w:val="88"/>
        </w:numPr>
        <w:tabs>
          <w:tab w:pos="2788" w:val="left" w:leader="none"/>
        </w:tabs>
        <w:spacing w:line="213" w:lineRule="auto" w:before="58" w:after="0"/>
        <w:ind w:left="2788" w:right="354" w:hanging="316"/>
        <w:jc w:val="left"/>
        <w:rPr>
          <w:sz w:val="20"/>
        </w:rPr>
      </w:pPr>
      <w:r>
        <w:rPr>
          <w:color w:val="231F20"/>
          <w:sz w:val="20"/>
        </w:rPr>
        <w:t>In the </w:t>
      </w:r>
      <w:r>
        <w:rPr>
          <w:rFonts w:ascii="Book Antiqua"/>
          <w:b/>
          <w:color w:val="231F20"/>
          <w:sz w:val="20"/>
        </w:rPr>
        <w:t>Name </w:t>
      </w:r>
      <w:r>
        <w:rPr>
          <w:color w:val="231F20"/>
          <w:sz w:val="20"/>
        </w:rPr>
        <w:t>field, type a name of up to 32 letters, numbers, underscores (_)</w:t>
      </w:r>
      <w:r>
        <w:rPr>
          <w:color w:val="231F20"/>
          <w:spacing w:val="40"/>
          <w:sz w:val="20"/>
        </w:rPr>
        <w:t> </w:t>
      </w:r>
      <w:r>
        <w:rPr>
          <w:color w:val="231F20"/>
          <w:sz w:val="20"/>
        </w:rPr>
        <w:t>and spaces, then click </w:t>
      </w:r>
      <w:r>
        <w:rPr>
          <w:rFonts w:ascii="Book Antiqua"/>
          <w:b/>
          <w:color w:val="231F20"/>
          <w:sz w:val="20"/>
        </w:rPr>
        <w:t>OK</w:t>
      </w:r>
      <w:r>
        <w:rPr>
          <w:color w:val="231F20"/>
          <w:sz w:val="20"/>
        </w:rPr>
        <w:t>. A duplicate of the original query is displayed </w:t>
      </w:r>
      <w:r>
        <w:rPr>
          <w:color w:val="231F20"/>
          <w:sz w:val="20"/>
        </w:rPr>
        <w:t>with the name you entered.</w:t>
      </w:r>
    </w:p>
    <w:p>
      <w:pPr>
        <w:pStyle w:val="ListParagraph"/>
        <w:numPr>
          <w:ilvl w:val="1"/>
          <w:numId w:val="88"/>
        </w:numPr>
        <w:tabs>
          <w:tab w:pos="2787" w:val="left" w:leader="none"/>
        </w:tabs>
        <w:spacing w:line="240" w:lineRule="auto" w:before="35" w:after="0"/>
        <w:ind w:left="2787" w:right="0" w:hanging="315"/>
        <w:jc w:val="left"/>
        <w:rPr>
          <w:sz w:val="20"/>
        </w:rPr>
      </w:pP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Description</w:t>
      </w:r>
      <w:r>
        <w:rPr>
          <w:rFonts w:ascii="Book Antiqua"/>
          <w:b/>
          <w:color w:val="231F20"/>
          <w:spacing w:val="12"/>
          <w:sz w:val="20"/>
        </w:rPr>
        <w:t> </w:t>
      </w:r>
      <w:r>
        <w:rPr>
          <w:color w:val="231F20"/>
          <w:sz w:val="20"/>
        </w:rPr>
        <w:t>field,</w:t>
      </w:r>
      <w:r>
        <w:rPr>
          <w:color w:val="231F20"/>
          <w:spacing w:val="12"/>
          <w:sz w:val="20"/>
        </w:rPr>
        <w:t> </w:t>
      </w:r>
      <w:r>
        <w:rPr>
          <w:color w:val="231F20"/>
          <w:sz w:val="20"/>
        </w:rPr>
        <w:t>type</w:t>
      </w:r>
      <w:r>
        <w:rPr>
          <w:color w:val="231F20"/>
          <w:spacing w:val="12"/>
          <w:sz w:val="20"/>
        </w:rPr>
        <w:t> </w:t>
      </w:r>
      <w:r>
        <w:rPr>
          <w:color w:val="231F20"/>
          <w:sz w:val="20"/>
        </w:rPr>
        <w:t>a</w:t>
      </w:r>
      <w:r>
        <w:rPr>
          <w:color w:val="231F20"/>
          <w:spacing w:val="12"/>
          <w:sz w:val="20"/>
        </w:rPr>
        <w:t> </w:t>
      </w:r>
      <w:r>
        <w:rPr>
          <w:color w:val="231F20"/>
          <w:sz w:val="20"/>
        </w:rPr>
        <w:t>new</w:t>
      </w:r>
      <w:r>
        <w:rPr>
          <w:color w:val="231F20"/>
          <w:spacing w:val="12"/>
          <w:sz w:val="20"/>
        </w:rPr>
        <w:t> </w:t>
      </w:r>
      <w:r>
        <w:rPr>
          <w:color w:val="231F20"/>
          <w:spacing w:val="-2"/>
          <w:sz w:val="20"/>
        </w:rPr>
        <w:t>description.</w:t>
      </w:r>
    </w:p>
    <w:p>
      <w:pPr>
        <w:pStyle w:val="ListParagraph"/>
        <w:numPr>
          <w:ilvl w:val="1"/>
          <w:numId w:val="88"/>
        </w:numPr>
        <w:tabs>
          <w:tab w:pos="2787" w:val="left" w:leader="none"/>
        </w:tabs>
        <w:spacing w:line="240" w:lineRule="auto" w:before="29" w:after="0"/>
        <w:ind w:left="2787" w:right="0" w:hanging="315"/>
        <w:jc w:val="left"/>
        <w:rPr>
          <w:sz w:val="20"/>
        </w:rPr>
      </w:pPr>
      <w:r>
        <w:rPr>
          <w:color w:val="231F20"/>
          <w:sz w:val="20"/>
        </w:rPr>
        <w:t>Edit</w:t>
      </w:r>
      <w:r>
        <w:rPr>
          <w:color w:val="231F20"/>
          <w:spacing w:val="11"/>
          <w:sz w:val="20"/>
        </w:rPr>
        <w:t> </w:t>
      </w:r>
      <w:r>
        <w:rPr>
          <w:color w:val="231F20"/>
          <w:sz w:val="20"/>
        </w:rPr>
        <w:t>the</w:t>
      </w:r>
      <w:r>
        <w:rPr>
          <w:color w:val="231F20"/>
          <w:spacing w:val="12"/>
          <w:sz w:val="20"/>
        </w:rPr>
        <w:t> </w:t>
      </w:r>
      <w:r>
        <w:rPr>
          <w:color w:val="231F20"/>
          <w:sz w:val="20"/>
        </w:rPr>
        <w:t>specification</w:t>
      </w:r>
      <w:r>
        <w:rPr>
          <w:color w:val="231F20"/>
          <w:spacing w:val="11"/>
          <w:sz w:val="20"/>
        </w:rPr>
        <w:t> </w:t>
      </w:r>
      <w:r>
        <w:rPr>
          <w:color w:val="231F20"/>
          <w:sz w:val="20"/>
        </w:rPr>
        <w:t>for</w:t>
      </w:r>
      <w:r>
        <w:rPr>
          <w:color w:val="231F20"/>
          <w:spacing w:val="12"/>
          <w:sz w:val="20"/>
        </w:rPr>
        <w:t> </w:t>
      </w:r>
      <w:r>
        <w:rPr>
          <w:color w:val="231F20"/>
          <w:sz w:val="20"/>
        </w:rPr>
        <w:t>any</w:t>
      </w:r>
      <w:r>
        <w:rPr>
          <w:color w:val="231F20"/>
          <w:spacing w:val="11"/>
          <w:sz w:val="20"/>
        </w:rPr>
        <w:t> </w:t>
      </w:r>
      <w:r>
        <w:rPr>
          <w:color w:val="231F20"/>
          <w:sz w:val="20"/>
        </w:rPr>
        <w:t>changes</w:t>
      </w:r>
      <w:r>
        <w:rPr>
          <w:color w:val="231F20"/>
          <w:spacing w:val="12"/>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pacing w:val="-2"/>
          <w:sz w:val="20"/>
        </w:rPr>
        <w:t>make:</w:t>
      </w:r>
    </w:p>
    <w:p>
      <w:pPr>
        <w:pStyle w:val="BodyText"/>
        <w:spacing w:line="213" w:lineRule="auto" w:before="53"/>
        <w:ind w:left="3004" w:right="406" w:hanging="216"/>
        <w:jc w:val="both"/>
      </w:pPr>
      <w:r>
        <w:rPr>
          <w:rFonts w:ascii="Futura MdCn BT"/>
          <w:color w:val="231F20"/>
        </w:rPr>
        <w:t>v</w:t>
      </w:r>
      <w:r>
        <w:rPr>
          <w:rFonts w:ascii="Futura MdCn BT"/>
          <w:color w:val="231F20"/>
          <w:spacing w:val="40"/>
        </w:rPr>
        <w:t> </w:t>
      </w:r>
      <w:r>
        <w:rPr>
          <w:color w:val="231F20"/>
        </w:rPr>
        <w:t>Add an attribute to the query by clicking </w:t>
      </w:r>
      <w:r>
        <w:rPr>
          <w:rFonts w:ascii="Book Antiqua"/>
          <w:b/>
          <w:color w:val="231F20"/>
        </w:rPr>
        <w:t>Add Attributes </w:t>
      </w:r>
      <w:r>
        <w:rPr>
          <w:color w:val="231F20"/>
        </w:rPr>
        <w:t>and selecting </w:t>
      </w:r>
      <w:r>
        <w:rPr>
          <w:color w:val="231F20"/>
        </w:rPr>
        <w:t>the</w:t>
      </w:r>
      <w:r>
        <w:rPr>
          <w:color w:val="231F20"/>
        </w:rPr>
        <w:t> attributes you want to include. The attributes available are from the group used in the original query.</w:t>
      </w:r>
    </w:p>
    <w:p>
      <w:pPr>
        <w:pStyle w:val="BodyText"/>
        <w:spacing w:line="255" w:lineRule="exact" w:before="35"/>
        <w:ind w:left="2788"/>
        <w:jc w:val="both"/>
      </w:pPr>
      <w:r>
        <w:rPr>
          <w:rFonts w:ascii="Futura MdCn BT"/>
          <w:color w:val="231F20"/>
        </w:rPr>
        <w:t>v</w:t>
      </w:r>
      <w:r>
        <w:rPr>
          <w:rFonts w:ascii="Futura MdCn BT"/>
          <w:color w:val="231F20"/>
          <w:spacing w:val="30"/>
        </w:rPr>
        <w:t>  </w:t>
      </w:r>
      <w:r>
        <w:rPr>
          <w:color w:val="231F20"/>
        </w:rPr>
        <w:t>Remove</w:t>
      </w:r>
      <w:r>
        <w:rPr>
          <w:color w:val="231F20"/>
          <w:spacing w:val="12"/>
        </w:rPr>
        <w:t> </w:t>
      </w:r>
      <w:r>
        <w:rPr>
          <w:color w:val="231F20"/>
        </w:rPr>
        <w:t>an</w:t>
      </w:r>
      <w:r>
        <w:rPr>
          <w:color w:val="231F20"/>
          <w:spacing w:val="12"/>
        </w:rPr>
        <w:t> </w:t>
      </w:r>
      <w:r>
        <w:rPr>
          <w:color w:val="231F20"/>
        </w:rPr>
        <w:t>attribute</w:t>
      </w:r>
      <w:r>
        <w:rPr>
          <w:color w:val="231F20"/>
          <w:spacing w:val="11"/>
        </w:rPr>
        <w:t> </w:t>
      </w:r>
      <w:r>
        <w:rPr>
          <w:color w:val="231F20"/>
        </w:rPr>
        <w:t>by</w:t>
      </w:r>
      <w:r>
        <w:rPr>
          <w:color w:val="231F20"/>
          <w:spacing w:val="12"/>
        </w:rPr>
        <w:t> </w:t>
      </w:r>
      <w:r>
        <w:rPr>
          <w:color w:val="231F20"/>
        </w:rPr>
        <w:t>right-clicking</w:t>
      </w:r>
      <w:r>
        <w:rPr>
          <w:color w:val="231F20"/>
          <w:spacing w:val="11"/>
        </w:rPr>
        <w:t> </w:t>
      </w:r>
      <w:r>
        <w:rPr>
          <w:color w:val="231F20"/>
        </w:rPr>
        <w:t>the</w:t>
      </w:r>
      <w:r>
        <w:rPr>
          <w:color w:val="231F20"/>
          <w:spacing w:val="11"/>
        </w:rPr>
        <w:t> </w:t>
      </w:r>
      <w:r>
        <w:rPr>
          <w:color w:val="231F20"/>
        </w:rPr>
        <w:t>column</w:t>
      </w:r>
      <w:r>
        <w:rPr>
          <w:color w:val="231F20"/>
          <w:spacing w:val="12"/>
        </w:rPr>
        <w:t> </w:t>
      </w:r>
      <w:r>
        <w:rPr>
          <w:color w:val="231F20"/>
        </w:rPr>
        <w:t>heading</w:t>
      </w:r>
      <w:r>
        <w:rPr>
          <w:color w:val="231F20"/>
          <w:spacing w:val="11"/>
        </w:rPr>
        <w:t> </w:t>
      </w:r>
      <w:r>
        <w:rPr>
          <w:color w:val="231F20"/>
        </w:rPr>
        <w:t>and</w:t>
      </w:r>
      <w:r>
        <w:rPr>
          <w:color w:val="231F20"/>
          <w:spacing w:val="12"/>
        </w:rPr>
        <w:t> </w:t>
      </w:r>
      <w:r>
        <w:rPr>
          <w:color w:val="231F20"/>
          <w:spacing w:val="-2"/>
        </w:rPr>
        <w:t>clicking</w:t>
      </w:r>
    </w:p>
    <w:p>
      <w:pPr>
        <w:pStyle w:val="BodyText"/>
        <w:spacing w:line="255" w:lineRule="exact"/>
        <w:ind w:left="3014"/>
        <w:jc w:val="both"/>
      </w:pPr>
      <w:r>
        <w:rPr>
          <w:position w:val="-1"/>
        </w:rPr>
        <w:drawing>
          <wp:inline distT="0" distB="0" distL="0" distR="0">
            <wp:extent cx="95250" cy="101600"/>
            <wp:effectExtent l="0" t="0" r="0" b="0"/>
            <wp:docPr id="1729" name="Image 1729"/>
            <wp:cNvGraphicFramePr>
              <a:graphicFrameLocks/>
            </wp:cNvGraphicFramePr>
            <a:graphic>
              <a:graphicData uri="http://schemas.openxmlformats.org/drawingml/2006/picture">
                <pic:pic>
                  <pic:nvPicPr>
                    <pic:cNvPr id="1729" name="Image 1729"/>
                    <pic:cNvPicPr/>
                  </pic:nvPicPr>
                  <pic:blipFill>
                    <a:blip r:embed="rId269"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rPr>
        <w:t> </w:t>
      </w:r>
      <w:r>
        <w:rPr>
          <w:rFonts w:ascii="Book Antiqua"/>
          <w:b/>
          <w:color w:val="231F20"/>
        </w:rPr>
        <w:t>Delete</w:t>
      </w:r>
      <w:r>
        <w:rPr>
          <w:color w:val="231F20"/>
        </w:rPr>
        <w:t>.</w:t>
      </w:r>
      <w:r>
        <w:rPr>
          <w:color w:val="231F20"/>
          <w:spacing w:val="10"/>
        </w:rPr>
        <w:t> </w:t>
      </w:r>
      <w:r>
        <w:rPr>
          <w:color w:val="231F20"/>
        </w:rPr>
        <w:t>(You</w:t>
      </w:r>
      <w:r>
        <w:rPr>
          <w:color w:val="231F20"/>
          <w:spacing w:val="10"/>
        </w:rPr>
        <w:t> </w:t>
      </w:r>
      <w:r>
        <w:rPr>
          <w:color w:val="231F20"/>
        </w:rPr>
        <w:t>can</w:t>
      </w:r>
      <w:r>
        <w:rPr>
          <w:color w:val="231F20"/>
          <w:spacing w:val="10"/>
        </w:rPr>
        <w:t> </w:t>
      </w:r>
      <w:r>
        <w:rPr>
          <w:color w:val="231F20"/>
        </w:rPr>
        <w:t>also</w:t>
      </w:r>
      <w:r>
        <w:rPr>
          <w:color w:val="231F20"/>
          <w:spacing w:val="10"/>
        </w:rPr>
        <w:t> </w:t>
      </w:r>
      <w:r>
        <w:rPr>
          <w:color w:val="231F20"/>
        </w:rPr>
        <w:t>right-click</w:t>
      </w:r>
      <w:r>
        <w:rPr>
          <w:color w:val="231F20"/>
          <w:spacing w:val="10"/>
        </w:rPr>
        <w:t> </w:t>
      </w:r>
      <w:r>
        <w:rPr>
          <w:color w:val="231F20"/>
        </w:rPr>
        <w:t>a</w:t>
      </w:r>
      <w:r>
        <w:rPr>
          <w:color w:val="231F20"/>
          <w:spacing w:val="10"/>
        </w:rPr>
        <w:t> </w:t>
      </w:r>
      <w:r>
        <w:rPr>
          <w:color w:val="231F20"/>
        </w:rPr>
        <w:t>row</w:t>
      </w:r>
      <w:r>
        <w:rPr>
          <w:color w:val="231F20"/>
          <w:spacing w:val="10"/>
        </w:rPr>
        <w:t> </w:t>
      </w:r>
      <w:r>
        <w:rPr>
          <w:color w:val="231F20"/>
        </w:rPr>
        <w:t>and</w:t>
      </w:r>
      <w:r>
        <w:rPr>
          <w:color w:val="231F20"/>
          <w:spacing w:val="10"/>
        </w:rPr>
        <w:t> </w:t>
      </w:r>
      <w:r>
        <w:rPr>
          <w:color w:val="231F20"/>
        </w:rPr>
        <w:t>delete</w:t>
      </w:r>
      <w:r>
        <w:rPr>
          <w:color w:val="231F20"/>
          <w:spacing w:val="10"/>
        </w:rPr>
        <w:t> </w:t>
      </w:r>
      <w:r>
        <w:rPr>
          <w:color w:val="231F20"/>
        </w:rPr>
        <w:t>it.)</w:t>
      </w:r>
    </w:p>
    <w:p>
      <w:pPr>
        <w:pStyle w:val="BodyText"/>
        <w:spacing w:line="208" w:lineRule="auto" w:before="62"/>
        <w:ind w:left="3004" w:right="493" w:hanging="216"/>
      </w:pPr>
      <w:r>
        <w:rPr>
          <w:rFonts w:ascii="Futura MdCn BT"/>
          <w:color w:val="231F20"/>
        </w:rPr>
        <w:t>v</w:t>
      </w:r>
      <w:r>
        <w:rPr>
          <w:rFonts w:ascii="Futura MdCn BT"/>
          <w:color w:val="231F20"/>
          <w:spacing w:val="80"/>
        </w:rPr>
        <w:t> </w:t>
      </w:r>
      <w:r>
        <w:rPr>
          <w:color w:val="231F20"/>
        </w:rPr>
        <w:t>Include an attribute in the filter, but do not retrieve it by clearing </w:t>
      </w:r>
      <w:r>
        <w:rPr>
          <w:color w:val="231F20"/>
          <w:spacing w:val="14"/>
        </w:rPr>
        <w:drawing>
          <wp:inline distT="0" distB="0" distL="0" distR="0">
            <wp:extent cx="82550" cy="82550"/>
            <wp:effectExtent l="0" t="0" r="0" b="0"/>
            <wp:docPr id="1730" name="Image 1730"/>
            <wp:cNvGraphicFramePr>
              <a:graphicFrameLocks/>
            </wp:cNvGraphicFramePr>
            <a:graphic>
              <a:graphicData uri="http://schemas.openxmlformats.org/drawingml/2006/picture">
                <pic:pic>
                  <pic:nvPicPr>
                    <pic:cNvPr id="1730" name="Image 173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4"/>
        </w:rPr>
      </w:r>
      <w:r>
        <w:rPr>
          <w:rFonts w:ascii="Times New Roman"/>
          <w:color w:val="231F20"/>
          <w:spacing w:val="40"/>
        </w:rPr>
        <w:t> </w:t>
      </w:r>
      <w:r>
        <w:rPr>
          <w:color w:val="231F20"/>
        </w:rPr>
        <w:t>that</w:t>
      </w:r>
      <w:r>
        <w:rPr>
          <w:color w:val="231F20"/>
          <w:spacing w:val="40"/>
        </w:rPr>
        <w:t> </w:t>
      </w:r>
      <w:r>
        <w:rPr>
          <w:color w:val="231F20"/>
          <w:spacing w:val="-2"/>
        </w:rPr>
        <w:t>column.</w:t>
      </w:r>
    </w:p>
    <w:p>
      <w:pPr>
        <w:pStyle w:val="BodyText"/>
        <w:spacing w:line="257" w:lineRule="exact" w:before="37"/>
        <w:ind w:left="2788"/>
      </w:pPr>
      <w:r>
        <w:rPr>
          <w:rFonts w:ascii="Futura MdCn BT"/>
          <w:color w:val="231F20"/>
        </w:rPr>
        <w:t>v</w:t>
      </w:r>
      <w:r>
        <w:rPr>
          <w:rFonts w:ascii="Futura MdCn BT"/>
          <w:color w:val="231F20"/>
          <w:spacing w:val="78"/>
          <w:w w:val="150"/>
        </w:rPr>
        <w:t> </w:t>
      </w:r>
      <w:r>
        <w:rPr>
          <w:color w:val="231F20"/>
        </w:rPr>
        <w:t>Clear</w:t>
      </w:r>
      <w:r>
        <w:rPr>
          <w:color w:val="231F20"/>
          <w:spacing w:val="10"/>
        </w:rPr>
        <w:t> </w:t>
      </w:r>
      <w:r>
        <w:rPr>
          <w:color w:val="231F20"/>
        </w:rPr>
        <w:t>the</w:t>
      </w:r>
      <w:r>
        <w:rPr>
          <w:color w:val="231F20"/>
          <w:spacing w:val="11"/>
        </w:rPr>
        <w:t> </w:t>
      </w:r>
      <w:r>
        <w:rPr>
          <w:color w:val="231F20"/>
        </w:rPr>
        <w:t>filter</w:t>
      </w:r>
      <w:r>
        <w:rPr>
          <w:color w:val="231F20"/>
          <w:spacing w:val="11"/>
        </w:rPr>
        <w:t> </w:t>
      </w:r>
      <w:r>
        <w:rPr>
          <w:color w:val="231F20"/>
        </w:rPr>
        <w:t>criteria</w:t>
      </w:r>
      <w:r>
        <w:rPr>
          <w:color w:val="231F20"/>
          <w:spacing w:val="10"/>
        </w:rPr>
        <w:t> </w:t>
      </w:r>
      <w:r>
        <w:rPr>
          <w:color w:val="231F20"/>
        </w:rPr>
        <w:t>by</w:t>
      </w:r>
      <w:r>
        <w:rPr>
          <w:color w:val="231F20"/>
          <w:spacing w:val="11"/>
        </w:rPr>
        <w:t> </w:t>
      </w:r>
      <w:r>
        <w:rPr>
          <w:color w:val="231F20"/>
        </w:rPr>
        <w:t>right-clicking</w:t>
      </w:r>
      <w:r>
        <w:rPr>
          <w:color w:val="231F20"/>
          <w:spacing w:val="10"/>
        </w:rPr>
        <w:t> </w:t>
      </w:r>
      <w:r>
        <w:rPr>
          <w:color w:val="231F20"/>
        </w:rPr>
        <w:t>the</w:t>
      </w:r>
      <w:r>
        <w:rPr>
          <w:color w:val="231F20"/>
          <w:spacing w:val="11"/>
        </w:rPr>
        <w:t> </w:t>
      </w:r>
      <w:r>
        <w:rPr>
          <w:color w:val="231F20"/>
        </w:rPr>
        <w:t>cell,</w:t>
      </w:r>
      <w:r>
        <w:rPr>
          <w:color w:val="231F20"/>
          <w:spacing w:val="10"/>
        </w:rPr>
        <w:t> </w:t>
      </w:r>
      <w:r>
        <w:rPr>
          <w:color w:val="231F20"/>
        </w:rPr>
        <w:t>column,</w:t>
      </w:r>
      <w:r>
        <w:rPr>
          <w:color w:val="231F20"/>
          <w:spacing w:val="11"/>
        </w:rPr>
        <w:t> </w:t>
      </w:r>
      <w:r>
        <w:rPr>
          <w:color w:val="231F20"/>
        </w:rPr>
        <w:t>or</w:t>
      </w:r>
      <w:r>
        <w:rPr>
          <w:color w:val="231F20"/>
          <w:spacing w:val="10"/>
        </w:rPr>
        <w:t> </w:t>
      </w:r>
      <w:r>
        <w:rPr>
          <w:color w:val="231F20"/>
        </w:rPr>
        <w:t>row,</w:t>
      </w:r>
      <w:r>
        <w:rPr>
          <w:color w:val="231F20"/>
          <w:spacing w:val="11"/>
        </w:rPr>
        <w:t> </w:t>
      </w:r>
      <w:r>
        <w:rPr>
          <w:color w:val="231F20"/>
        </w:rPr>
        <w:t>and</w:t>
      </w:r>
      <w:r>
        <w:rPr>
          <w:color w:val="231F20"/>
          <w:spacing w:val="10"/>
        </w:rPr>
        <w:t> </w:t>
      </w:r>
      <w:r>
        <w:rPr>
          <w:color w:val="231F20"/>
          <w:spacing w:val="-2"/>
        </w:rPr>
        <w:t>clicking</w:t>
      </w:r>
    </w:p>
    <w:p>
      <w:pPr>
        <w:pStyle w:val="Heading6"/>
        <w:spacing w:line="257" w:lineRule="exact" w:before="0"/>
        <w:ind w:left="3004"/>
        <w:jc w:val="both"/>
        <w:rPr>
          <w:rFonts w:ascii="Palatino Linotype"/>
          <w:b w:val="0"/>
        </w:rPr>
      </w:pPr>
      <w:r>
        <w:rPr>
          <w:b w:val="0"/>
        </w:rPr>
        <w:drawing>
          <wp:inline distT="0" distB="0" distL="0" distR="0">
            <wp:extent cx="101600" cy="88900"/>
            <wp:effectExtent l="0" t="0" r="0" b="0"/>
            <wp:docPr id="1731" name="Image 1731"/>
            <wp:cNvGraphicFramePr>
              <a:graphicFrameLocks/>
            </wp:cNvGraphicFramePr>
            <a:graphic>
              <a:graphicData uri="http://schemas.openxmlformats.org/drawingml/2006/picture">
                <pic:pic>
                  <pic:nvPicPr>
                    <pic:cNvPr id="1731" name="Image 1731"/>
                    <pic:cNvPicPr/>
                  </pic:nvPicPr>
                  <pic:blipFill>
                    <a:blip r:embed="rId133" cstate="print"/>
                    <a:stretch>
                      <a:fillRect/>
                    </a:stretch>
                  </pic:blipFill>
                  <pic:spPr>
                    <a:xfrm>
                      <a:off x="0" y="0"/>
                      <a:ext cx="101600" cy="88900"/>
                    </a:xfrm>
                    <a:prstGeom prst="rect">
                      <a:avLst/>
                    </a:prstGeom>
                  </pic:spPr>
                </pic:pic>
              </a:graphicData>
            </a:graphic>
          </wp:inline>
        </w:drawing>
      </w:r>
      <w:r>
        <w:rPr>
          <w:b w:val="0"/>
        </w:rPr>
      </w:r>
      <w:r>
        <w:rPr>
          <w:rFonts w:ascii="Times New Roman"/>
          <w:b w:val="0"/>
          <w:position w:val="1"/>
        </w:rPr>
        <w:t> </w:t>
      </w:r>
      <w:r>
        <w:rPr>
          <w:color w:val="231F20"/>
          <w:position w:val="1"/>
        </w:rPr>
        <w:t>Clear</w:t>
      </w:r>
      <w:r>
        <w:rPr>
          <w:color w:val="231F20"/>
          <w:spacing w:val="18"/>
          <w:position w:val="1"/>
        </w:rPr>
        <w:t> </w:t>
      </w:r>
      <w:r>
        <w:rPr>
          <w:color w:val="231F20"/>
          <w:position w:val="1"/>
        </w:rPr>
        <w:t>Contents</w:t>
      </w:r>
      <w:r>
        <w:rPr>
          <w:rFonts w:ascii="Palatino Linotype"/>
          <w:b w:val="0"/>
          <w:color w:val="231F20"/>
          <w:position w:val="1"/>
        </w:rPr>
        <w:t>.</w:t>
      </w:r>
    </w:p>
    <w:p>
      <w:pPr>
        <w:pStyle w:val="BodyText"/>
        <w:spacing w:before="24"/>
        <w:ind w:left="2788"/>
      </w:pPr>
      <w:r>
        <w:rPr>
          <w:rFonts w:ascii="Futura MdCn BT"/>
          <w:color w:val="231F20"/>
        </w:rPr>
        <w:t>v</w:t>
      </w:r>
      <w:r>
        <w:rPr>
          <w:rFonts w:ascii="Futura MdCn BT"/>
          <w:color w:val="231F20"/>
          <w:spacing w:val="31"/>
        </w:rPr>
        <w:t>  </w:t>
      </w:r>
      <w:r>
        <w:rPr>
          <w:color w:val="231F20"/>
        </w:rPr>
        <w:t>Insert</w:t>
      </w:r>
      <w:r>
        <w:rPr>
          <w:color w:val="231F20"/>
          <w:spacing w:val="12"/>
        </w:rPr>
        <w:t> </w:t>
      </w:r>
      <w:r>
        <w:rPr>
          <w:color w:val="231F20"/>
        </w:rPr>
        <w:t>a</w:t>
      </w:r>
      <w:r>
        <w:rPr>
          <w:color w:val="231F20"/>
          <w:spacing w:val="12"/>
        </w:rPr>
        <w:t> </w:t>
      </w:r>
      <w:r>
        <w:rPr>
          <w:color w:val="231F20"/>
        </w:rPr>
        <w:t>row</w:t>
      </w:r>
      <w:r>
        <w:rPr>
          <w:color w:val="231F20"/>
          <w:spacing w:val="12"/>
        </w:rPr>
        <w:t> </w:t>
      </w:r>
      <w:r>
        <w:rPr>
          <w:color w:val="231F20"/>
        </w:rPr>
        <w:t>by</w:t>
      </w:r>
      <w:r>
        <w:rPr>
          <w:color w:val="231F20"/>
          <w:spacing w:val="12"/>
        </w:rPr>
        <w:t> </w:t>
      </w:r>
      <w:r>
        <w:rPr>
          <w:color w:val="231F20"/>
        </w:rPr>
        <w:t>right-clicking</w:t>
      </w:r>
      <w:r>
        <w:rPr>
          <w:color w:val="231F20"/>
          <w:spacing w:val="11"/>
        </w:rPr>
        <w:t> </w:t>
      </w:r>
      <w:r>
        <w:rPr>
          <w:color w:val="231F20"/>
        </w:rPr>
        <w:t>the</w:t>
      </w:r>
      <w:r>
        <w:rPr>
          <w:color w:val="231F20"/>
          <w:spacing w:val="12"/>
        </w:rPr>
        <w:t> </w:t>
      </w:r>
      <w:r>
        <w:rPr>
          <w:color w:val="231F20"/>
        </w:rPr>
        <w:t>row</w:t>
      </w:r>
      <w:r>
        <w:rPr>
          <w:color w:val="231F20"/>
          <w:spacing w:val="12"/>
        </w:rPr>
        <w:t> </w:t>
      </w:r>
      <w:r>
        <w:rPr>
          <w:color w:val="231F20"/>
        </w:rPr>
        <w:t>and</w:t>
      </w:r>
      <w:r>
        <w:rPr>
          <w:color w:val="231F20"/>
          <w:spacing w:val="12"/>
        </w:rPr>
        <w:t> </w:t>
      </w:r>
      <w:r>
        <w:rPr>
          <w:color w:val="231F20"/>
        </w:rPr>
        <w:t>clicking</w:t>
      </w:r>
      <w:r>
        <w:rPr>
          <w:color w:val="231F20"/>
          <w:spacing w:val="11"/>
        </w:rPr>
        <w:t> </w:t>
      </w:r>
      <w:r>
        <w:rPr>
          <w:color w:val="231F20"/>
          <w:spacing w:val="15"/>
          <w:position w:val="-1"/>
        </w:rPr>
        <w:drawing>
          <wp:inline distT="0" distB="0" distL="0" distR="0">
            <wp:extent cx="95250" cy="95250"/>
            <wp:effectExtent l="0" t="0" r="0" b="0"/>
            <wp:docPr id="1732" name="Image 1732"/>
            <wp:cNvGraphicFramePr>
              <a:graphicFrameLocks/>
            </wp:cNvGraphicFramePr>
            <a:graphic>
              <a:graphicData uri="http://schemas.openxmlformats.org/drawingml/2006/picture">
                <pic:pic>
                  <pic:nvPicPr>
                    <pic:cNvPr id="1732" name="Image 1732"/>
                    <pic:cNvPicPr/>
                  </pic:nvPicPr>
                  <pic:blipFill>
                    <a:blip r:embed="rId333"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8"/>
        </w:rPr>
        <w:t> </w:t>
      </w:r>
      <w:r>
        <w:rPr>
          <w:rFonts w:ascii="Book Antiqua"/>
          <w:b/>
          <w:color w:val="231F20"/>
          <w:spacing w:val="-2"/>
        </w:rPr>
        <w:t>Insert</w:t>
      </w:r>
      <w:r>
        <w:rPr>
          <w:color w:val="231F20"/>
          <w:spacing w:val="-2"/>
        </w:rPr>
        <w:t>.</w:t>
      </w:r>
    </w:p>
    <w:p>
      <w:pPr>
        <w:pStyle w:val="BodyText"/>
        <w:spacing w:line="213" w:lineRule="auto" w:before="53"/>
        <w:ind w:left="3004" w:right="865" w:hanging="216"/>
      </w:pPr>
      <w:r>
        <w:rPr>
          <w:rFonts w:ascii="Futura MdCn BT"/>
          <w:color w:val="231F20"/>
        </w:rPr>
        <w:t>v</w:t>
      </w:r>
      <w:r>
        <w:rPr>
          <w:rFonts w:ascii="Futura MdCn BT"/>
          <w:color w:val="231F20"/>
          <w:spacing w:val="80"/>
        </w:rPr>
        <w:t> </w:t>
      </w:r>
      <w:r>
        <w:rPr>
          <w:color w:val="231F20"/>
        </w:rPr>
        <w:t>Cut, copy, or paste by right-clicking the cell or row and clicking </w:t>
      </w:r>
      <w:r>
        <w:rPr>
          <w:color w:val="231F20"/>
          <w:spacing w:val="14"/>
          <w:position w:val="-1"/>
        </w:rPr>
        <w:drawing>
          <wp:inline distT="0" distB="0" distL="0" distR="0">
            <wp:extent cx="101600" cy="101600"/>
            <wp:effectExtent l="0" t="0" r="0" b="0"/>
            <wp:docPr id="1733" name="Image 1733"/>
            <wp:cNvGraphicFramePr>
              <a:graphicFrameLocks/>
            </wp:cNvGraphicFramePr>
            <a:graphic>
              <a:graphicData uri="http://schemas.openxmlformats.org/drawingml/2006/picture">
                <pic:pic>
                  <pic:nvPicPr>
                    <pic:cNvPr id="1733" name="Image 1733"/>
                    <pic:cNvPicPr/>
                  </pic:nvPicPr>
                  <pic:blipFill>
                    <a:blip r:embed="rId334"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15"/>
        </w:rPr>
        <w:t> </w:t>
      </w:r>
      <w:r>
        <w:rPr>
          <w:rFonts w:ascii="Book Antiqua"/>
          <w:b/>
          <w:color w:val="231F20"/>
        </w:rPr>
        <w:t>Cut</w:t>
      </w:r>
      <w:r>
        <w:rPr>
          <w:color w:val="231F20"/>
        </w:rPr>
        <w:t>,</w:t>
      </w:r>
      <w:r>
        <w:rPr>
          <w:color w:val="231F20"/>
          <w:spacing w:val="80"/>
        </w:rPr>
        <w:t> </w:t>
      </w:r>
      <w:r>
        <w:rPr>
          <w:color w:val="231F20"/>
          <w:position w:val="-1"/>
        </w:rPr>
        <w:drawing>
          <wp:inline distT="0" distB="0" distL="0" distR="0">
            <wp:extent cx="82550" cy="95250"/>
            <wp:effectExtent l="0" t="0" r="0" b="0"/>
            <wp:docPr id="1734" name="Image 1734"/>
            <wp:cNvGraphicFramePr>
              <a:graphicFrameLocks/>
            </wp:cNvGraphicFramePr>
            <a:graphic>
              <a:graphicData uri="http://schemas.openxmlformats.org/drawingml/2006/picture">
                <pic:pic>
                  <pic:nvPicPr>
                    <pic:cNvPr id="1734" name="Image 1734"/>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position w:val="-1"/>
        </w:rPr>
      </w:r>
      <w:r>
        <w:rPr>
          <w:rFonts w:ascii="Times New Roman"/>
          <w:color w:val="231F20"/>
        </w:rPr>
        <w:t> </w:t>
      </w:r>
      <w:r>
        <w:rPr>
          <w:rFonts w:ascii="Book Antiqua"/>
          <w:b/>
          <w:color w:val="231F20"/>
        </w:rPr>
        <w:t>Copy</w:t>
      </w:r>
      <w:r>
        <w:rPr>
          <w:color w:val="231F20"/>
        </w:rPr>
        <w:t>, or</w:t>
      </w:r>
      <w:r>
        <w:rPr>
          <w:color w:val="231F20"/>
          <w:spacing w:val="39"/>
        </w:rPr>
        <w:t> </w:t>
      </w:r>
      <w:r>
        <w:rPr>
          <w:color w:val="231F20"/>
          <w:spacing w:val="-24"/>
          <w:position w:val="-1"/>
        </w:rPr>
        <w:drawing>
          <wp:inline distT="0" distB="0" distL="0" distR="0">
            <wp:extent cx="95249" cy="101600"/>
            <wp:effectExtent l="0" t="0" r="0" b="0"/>
            <wp:docPr id="1735" name="Image 1735"/>
            <wp:cNvGraphicFramePr>
              <a:graphicFrameLocks/>
            </wp:cNvGraphicFramePr>
            <a:graphic>
              <a:graphicData uri="http://schemas.openxmlformats.org/drawingml/2006/picture">
                <pic:pic>
                  <pic:nvPicPr>
                    <pic:cNvPr id="1735" name="Image 1735"/>
                    <pic:cNvPicPr/>
                  </pic:nvPicPr>
                  <pic:blipFill>
                    <a:blip r:embed="rId335" cstate="print"/>
                    <a:stretch>
                      <a:fillRect/>
                    </a:stretch>
                  </pic:blipFill>
                  <pic:spPr>
                    <a:xfrm>
                      <a:off x="0" y="0"/>
                      <a:ext cx="95249" cy="101600"/>
                    </a:xfrm>
                    <a:prstGeom prst="rect">
                      <a:avLst/>
                    </a:prstGeom>
                  </pic:spPr>
                </pic:pic>
              </a:graphicData>
            </a:graphic>
          </wp:inline>
        </w:drawing>
      </w:r>
      <w:r>
        <w:rPr>
          <w:color w:val="231F20"/>
          <w:spacing w:val="-24"/>
          <w:position w:val="-1"/>
        </w:rPr>
      </w:r>
      <w:r>
        <w:rPr>
          <w:rFonts w:ascii="Times New Roman"/>
          <w:color w:val="231F20"/>
          <w:spacing w:val="36"/>
        </w:rPr>
        <w:t> </w:t>
      </w:r>
      <w:r>
        <w:rPr>
          <w:rFonts w:ascii="Book Antiqua"/>
          <w:b/>
          <w:color w:val="231F20"/>
        </w:rPr>
        <w:t>Paste</w:t>
      </w:r>
      <w:r>
        <w:rPr>
          <w:color w:val="231F20"/>
        </w:rPr>
        <w:t>. When you paste, the contents of the clipboard overwrites the cell or row.</w:t>
      </w:r>
    </w:p>
    <w:p>
      <w:pPr>
        <w:pStyle w:val="BodyText"/>
        <w:spacing w:before="35"/>
        <w:ind w:left="2788"/>
      </w:pPr>
      <w:r>
        <w:rPr>
          <w:rFonts w:ascii="Futura MdCn BT"/>
          <w:color w:val="231F20"/>
        </w:rPr>
        <w:t>v</w:t>
      </w:r>
      <w:r>
        <w:rPr>
          <w:rFonts w:ascii="Futura MdCn BT"/>
          <w:color w:val="231F20"/>
          <w:spacing w:val="32"/>
        </w:rPr>
        <w:t>  </w:t>
      </w:r>
      <w:r>
        <w:rPr>
          <w:color w:val="231F20"/>
        </w:rPr>
        <w:t>Add</w:t>
      </w:r>
      <w:r>
        <w:rPr>
          <w:color w:val="231F20"/>
          <w:spacing w:val="13"/>
        </w:rPr>
        <w:t> </w:t>
      </w:r>
      <w:r>
        <w:rPr>
          <w:color w:val="231F20"/>
        </w:rPr>
        <w:t>filter</w:t>
      </w:r>
      <w:r>
        <w:rPr>
          <w:color w:val="231F20"/>
          <w:spacing w:val="12"/>
        </w:rPr>
        <w:t> </w:t>
      </w:r>
      <w:r>
        <w:rPr>
          <w:color w:val="231F20"/>
        </w:rPr>
        <w:t>criteria</w:t>
      </w:r>
      <w:r>
        <w:rPr>
          <w:color w:val="231F20"/>
          <w:spacing w:val="13"/>
        </w:rPr>
        <w:t> </w:t>
      </w:r>
      <w:r>
        <w:rPr>
          <w:color w:val="231F20"/>
        </w:rPr>
        <w:t>by</w:t>
      </w:r>
      <w:r>
        <w:rPr>
          <w:color w:val="231F20"/>
          <w:spacing w:val="13"/>
        </w:rPr>
        <w:t> </w:t>
      </w:r>
      <w:r>
        <w:rPr>
          <w:color w:val="231F20"/>
        </w:rPr>
        <w:t>clicking</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rPr>
        <w:t>cell</w:t>
      </w:r>
      <w:r>
        <w:rPr>
          <w:color w:val="231F20"/>
          <w:spacing w:val="12"/>
        </w:rPr>
        <w:t> </w:t>
      </w:r>
      <w:r>
        <w:rPr>
          <w:color w:val="231F20"/>
        </w:rPr>
        <w:t>and</w:t>
      </w:r>
      <w:r>
        <w:rPr>
          <w:color w:val="231F20"/>
          <w:spacing w:val="13"/>
        </w:rPr>
        <w:t> </w:t>
      </w:r>
      <w:r>
        <w:rPr>
          <w:color w:val="231F20"/>
        </w:rPr>
        <w:t>writing</w:t>
      </w:r>
      <w:r>
        <w:rPr>
          <w:color w:val="231F20"/>
          <w:spacing w:val="13"/>
        </w:rPr>
        <w:t> </w:t>
      </w:r>
      <w:r>
        <w:rPr>
          <w:color w:val="231F20"/>
        </w:rPr>
        <w:t>the</w:t>
      </w:r>
      <w:r>
        <w:rPr>
          <w:color w:val="231F20"/>
          <w:spacing w:val="13"/>
        </w:rPr>
        <w:t> </w:t>
      </w:r>
      <w:r>
        <w:rPr>
          <w:color w:val="231F20"/>
          <w:spacing w:val="-2"/>
        </w:rPr>
        <w:t>expression.</w:t>
      </w:r>
    </w:p>
    <w:p>
      <w:pPr>
        <w:pStyle w:val="BodyText"/>
        <w:spacing w:line="213" w:lineRule="auto" w:before="52"/>
        <w:ind w:left="3004" w:right="385" w:hanging="216"/>
      </w:pPr>
      <w:r>
        <w:rPr>
          <w:rFonts w:ascii="Futura MdCn BT"/>
          <w:color w:val="231F20"/>
        </w:rPr>
        <w:t>v</w:t>
      </w:r>
      <w:r>
        <w:rPr>
          <w:rFonts w:ascii="Futura MdCn BT"/>
          <w:color w:val="231F20"/>
          <w:spacing w:val="80"/>
        </w:rPr>
        <w:t> </w:t>
      </w:r>
      <w:r>
        <w:rPr>
          <w:color w:val="231F20"/>
        </w:rPr>
        <w:t>Add a column function by clicking in the column heading and selecting a</w:t>
      </w:r>
      <w:r>
        <w:rPr>
          <w:color w:val="231F20"/>
          <w:spacing w:val="40"/>
        </w:rPr>
        <w:t> </w:t>
      </w:r>
      <w:r>
        <w:rPr>
          <w:color w:val="231F20"/>
        </w:rPr>
        <w:t>function from the list; then click </w:t>
      </w:r>
      <w:r>
        <w:rPr>
          <w:rFonts w:ascii="Book Antiqua"/>
          <w:b/>
          <w:color w:val="231F20"/>
        </w:rPr>
        <w:t>Advanced </w:t>
      </w:r>
      <w:r>
        <w:rPr>
          <w:color w:val="231F20"/>
        </w:rPr>
        <w:t>and select the column to </w:t>
      </w:r>
      <w:r>
        <w:rPr>
          <w:color w:val="231F20"/>
        </w:rPr>
        <w:t>Group</w:t>
      </w:r>
      <w:r>
        <w:rPr>
          <w:color w:val="231F20"/>
        </w:rPr>
        <w:t> </w:t>
      </w:r>
      <w:r>
        <w:rPr>
          <w:color w:val="231F20"/>
          <w:spacing w:val="-4"/>
        </w:rPr>
        <w:t>By.</w:t>
      </w:r>
    </w:p>
    <w:p>
      <w:pPr>
        <w:spacing w:after="0" w:line="213" w:lineRule="auto"/>
        <w:sectPr>
          <w:pgSz w:w="12240" w:h="15840"/>
          <w:pgMar w:header="0" w:footer="736" w:top="1160" w:bottom="920" w:left="1000" w:right="1060"/>
        </w:sectPr>
      </w:pPr>
    </w:p>
    <w:p>
      <w:pPr>
        <w:pStyle w:val="BodyText"/>
        <w:spacing w:line="213" w:lineRule="auto" w:before="85"/>
        <w:ind w:left="2764" w:right="585" w:hanging="216"/>
        <w:jc w:val="both"/>
      </w:pPr>
      <w:bookmarkStart w:name="_bookmark143" w:id="316"/>
      <w:bookmarkEnd w:id="316"/>
      <w:r>
        <w:rPr/>
      </w:r>
      <w:r>
        <w:rPr>
          <w:rFonts w:ascii="Futura MdCn BT"/>
          <w:color w:val="231F20"/>
        </w:rPr>
        <w:t>v</w:t>
      </w:r>
      <w:r>
        <w:rPr>
          <w:rFonts w:ascii="Futura MdCn BT"/>
          <w:color w:val="231F20"/>
          <w:spacing w:val="80"/>
        </w:rPr>
        <w:t> </w:t>
      </w:r>
      <w:r>
        <w:rPr>
          <w:color w:val="231F20"/>
        </w:rPr>
        <w:t>Specify a sort order by clicking </w:t>
      </w:r>
      <w:r>
        <w:rPr>
          <w:rFonts w:ascii="Book Antiqua"/>
          <w:b/>
          <w:color w:val="231F20"/>
        </w:rPr>
        <w:t>Advanced</w:t>
      </w:r>
      <w:r>
        <w:rPr>
          <w:color w:val="231F20"/>
        </w:rPr>
        <w:t>, and selecting the column to </w:t>
      </w:r>
      <w:r>
        <w:rPr>
          <w:color w:val="231F20"/>
        </w:rPr>
        <w:t>Sort</w:t>
      </w:r>
      <w:r>
        <w:rPr>
          <w:color w:val="231F20"/>
        </w:rPr>
        <w:t> By. Note that if you selected a Group By column, you cannot also specify a sort order.</w:t>
      </w:r>
    </w:p>
    <w:p>
      <w:pPr>
        <w:pStyle w:val="BodyText"/>
        <w:spacing w:line="213" w:lineRule="auto" w:before="57"/>
        <w:ind w:left="2764" w:right="813" w:hanging="216"/>
        <w:jc w:val="both"/>
      </w:pPr>
      <w:r>
        <w:rPr>
          <w:rFonts w:ascii="Futura MdCn BT"/>
          <w:color w:val="231F20"/>
        </w:rPr>
        <w:t>v</w:t>
      </w:r>
      <w:r>
        <w:rPr>
          <w:rFonts w:ascii="Futura MdCn BT"/>
          <w:color w:val="231F20"/>
          <w:spacing w:val="40"/>
        </w:rPr>
        <w:t> </w:t>
      </w:r>
      <w:r>
        <w:rPr>
          <w:color w:val="231F20"/>
        </w:rPr>
        <w:t>Adjust column order by dragging a column heading and dropping at </w:t>
      </w:r>
      <w:r>
        <w:rPr>
          <w:color w:val="231F20"/>
        </w:rPr>
        <w:t>the</w:t>
      </w:r>
      <w:r>
        <w:rPr>
          <w:color w:val="231F20"/>
        </w:rPr>
        <w:t> insertion point.</w:t>
      </w:r>
    </w:p>
    <w:p>
      <w:pPr>
        <w:pStyle w:val="BodyText"/>
        <w:spacing w:line="216" w:lineRule="auto" w:before="57"/>
        <w:ind w:left="2764" w:right="634" w:hanging="216"/>
        <w:jc w:val="both"/>
      </w:pPr>
      <w:r>
        <w:rPr>
          <w:rFonts w:ascii="Futura MdCn BT"/>
          <w:color w:val="231F20"/>
        </w:rPr>
        <w:t>v</w:t>
      </w:r>
      <w:r>
        <w:rPr>
          <w:rFonts w:ascii="Futura MdCn BT"/>
          <w:color w:val="231F20"/>
          <w:spacing w:val="40"/>
        </w:rPr>
        <w:t> </w:t>
      </w:r>
      <w:r>
        <w:rPr>
          <w:color w:val="231F20"/>
        </w:rPr>
        <w:t>Restrict the rows (data series) that show in the table view or bar chart to a specific number. Restrict the first rows retrieved from the monitoring </w:t>
      </w:r>
      <w:r>
        <w:rPr>
          <w:color w:val="231F20"/>
        </w:rPr>
        <w:t>agent</w:t>
      </w:r>
      <w:r>
        <w:rPr>
          <w:color w:val="231F20"/>
        </w:rPr>
        <w:t> or the most recent (last rows) by clicking </w:t>
      </w:r>
      <w:r>
        <w:rPr>
          <w:rFonts w:ascii="Book Antiqua"/>
          <w:b/>
          <w:color w:val="231F20"/>
        </w:rPr>
        <w:t>Advanced</w:t>
      </w:r>
      <w:r>
        <w:rPr>
          <w:color w:val="231F20"/>
        </w:rPr>
        <w:t>, selecting </w:t>
      </w:r>
      <w:r>
        <w:rPr>
          <w:color w:val="231F20"/>
          <w:spacing w:val="15"/>
        </w:rPr>
        <w:drawing>
          <wp:inline distT="0" distB="0" distL="0" distR="0">
            <wp:extent cx="88900" cy="82550"/>
            <wp:effectExtent l="0" t="0" r="0" b="0"/>
            <wp:docPr id="1736" name="Image 1736"/>
            <wp:cNvGraphicFramePr>
              <a:graphicFrameLocks/>
            </wp:cNvGraphicFramePr>
            <a:graphic>
              <a:graphicData uri="http://schemas.openxmlformats.org/drawingml/2006/picture">
                <pic:pic>
                  <pic:nvPicPr>
                    <pic:cNvPr id="1736" name="Image 1736"/>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0"/>
        </w:rPr>
        <w:t> </w:t>
      </w:r>
      <w:r>
        <w:rPr>
          <w:rFonts w:ascii="Book Antiqua"/>
          <w:b/>
          <w:color w:val="231F20"/>
        </w:rPr>
        <w:t>First </w:t>
      </w:r>
      <w:r>
        <w:rPr>
          <w:color w:val="231F20"/>
        </w:rPr>
        <w:t>or</w:t>
      </w:r>
    </w:p>
    <w:p>
      <w:pPr>
        <w:pStyle w:val="BodyText"/>
        <w:spacing w:line="244" w:lineRule="exact"/>
        <w:ind w:left="2764"/>
        <w:jc w:val="both"/>
      </w:pPr>
      <w:r>
        <w:rPr/>
        <w:drawing>
          <wp:inline distT="0" distB="0" distL="0" distR="0">
            <wp:extent cx="88900" cy="82550"/>
            <wp:effectExtent l="0" t="0" r="0" b="0"/>
            <wp:docPr id="1737" name="Image 1737"/>
            <wp:cNvGraphicFramePr>
              <a:graphicFrameLocks/>
            </wp:cNvGraphicFramePr>
            <a:graphic>
              <a:graphicData uri="http://schemas.openxmlformats.org/drawingml/2006/picture">
                <pic:pic>
                  <pic:nvPicPr>
                    <pic:cNvPr id="1737" name="Image 1737"/>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
        </w:rPr>
        <w:t> </w:t>
      </w:r>
      <w:r>
        <w:rPr>
          <w:rFonts w:ascii="Book Antiqua"/>
          <w:b/>
          <w:color w:val="231F20"/>
        </w:rPr>
        <w:t>Last</w:t>
      </w:r>
      <w:r>
        <w:rPr>
          <w:color w:val="231F20"/>
        </w:rPr>
        <w:t>,</w:t>
      </w:r>
      <w:r>
        <w:rPr>
          <w:color w:val="231F20"/>
          <w:spacing w:val="13"/>
        </w:rPr>
        <w:t> </w:t>
      </w:r>
      <w:r>
        <w:rPr>
          <w:color w:val="231F20"/>
        </w:rPr>
        <w:t>and</w:t>
      </w:r>
      <w:r>
        <w:rPr>
          <w:color w:val="231F20"/>
          <w:spacing w:val="13"/>
        </w:rPr>
        <w:t> </w:t>
      </w:r>
      <w:r>
        <w:rPr>
          <w:color w:val="231F20"/>
        </w:rPr>
        <w:t>specifying</w:t>
      </w:r>
      <w:r>
        <w:rPr>
          <w:color w:val="231F20"/>
          <w:spacing w:val="13"/>
        </w:rPr>
        <w:t> </w:t>
      </w:r>
      <w:r>
        <w:rPr>
          <w:color w:val="231F20"/>
        </w:rPr>
        <w:t>the</w:t>
      </w:r>
      <w:r>
        <w:rPr>
          <w:color w:val="231F20"/>
          <w:spacing w:val="13"/>
        </w:rPr>
        <w:t> </w:t>
      </w:r>
      <w:r>
        <w:rPr>
          <w:color w:val="231F20"/>
          <w:spacing w:val="16"/>
          <w:position w:val="-5"/>
        </w:rPr>
        <w:drawing>
          <wp:inline distT="0" distB="0" distL="0" distR="0">
            <wp:extent cx="298450" cy="127000"/>
            <wp:effectExtent l="0" t="0" r="0" b="0"/>
            <wp:docPr id="1738" name="Image 1738"/>
            <wp:cNvGraphicFramePr>
              <a:graphicFrameLocks/>
            </wp:cNvGraphicFramePr>
            <a:graphic>
              <a:graphicData uri="http://schemas.openxmlformats.org/drawingml/2006/picture">
                <pic:pic>
                  <pic:nvPicPr>
                    <pic:cNvPr id="1738" name="Image 1738"/>
                    <pic:cNvPicPr/>
                  </pic:nvPicPr>
                  <pic:blipFill>
                    <a:blip r:embed="rId336" cstate="print"/>
                    <a:stretch>
                      <a:fillRect/>
                    </a:stretch>
                  </pic:blipFill>
                  <pic:spPr>
                    <a:xfrm>
                      <a:off x="0" y="0"/>
                      <a:ext cx="298450" cy="127000"/>
                    </a:xfrm>
                    <a:prstGeom prst="rect">
                      <a:avLst/>
                    </a:prstGeom>
                  </pic:spPr>
                </pic:pic>
              </a:graphicData>
            </a:graphic>
          </wp:inline>
        </w:drawing>
      </w:r>
      <w:r>
        <w:rPr>
          <w:color w:val="231F20"/>
          <w:spacing w:val="16"/>
          <w:position w:val="-5"/>
        </w:rPr>
      </w:r>
      <w:r>
        <w:rPr>
          <w:rFonts w:ascii="Times New Roman"/>
          <w:color w:val="231F20"/>
          <w:spacing w:val="54"/>
        </w:rPr>
        <w:t> </w:t>
      </w:r>
      <w:r>
        <w:rPr>
          <w:color w:val="231F20"/>
        </w:rPr>
        <w:t>the</w:t>
      </w:r>
      <w:r>
        <w:rPr>
          <w:color w:val="231F20"/>
          <w:spacing w:val="13"/>
        </w:rPr>
        <w:t> </w:t>
      </w:r>
      <w:r>
        <w:rPr>
          <w:color w:val="231F20"/>
        </w:rPr>
        <w:t>number</w:t>
      </w:r>
      <w:r>
        <w:rPr>
          <w:color w:val="231F20"/>
          <w:spacing w:val="13"/>
        </w:rPr>
        <w:t> </w:t>
      </w:r>
      <w:r>
        <w:rPr>
          <w:color w:val="231F20"/>
        </w:rPr>
        <w:t>or</w:t>
      </w:r>
      <w:r>
        <w:rPr>
          <w:color w:val="231F20"/>
          <w:spacing w:val="13"/>
        </w:rPr>
        <w:t> </w:t>
      </w:r>
      <w:r>
        <w:rPr>
          <w:color w:val="231F20"/>
        </w:rPr>
        <w:t>rows</w:t>
      </w:r>
      <w:r>
        <w:rPr>
          <w:color w:val="231F20"/>
          <w:spacing w:val="13"/>
        </w:rPr>
        <w:t> </w:t>
      </w:r>
      <w:r>
        <w:rPr>
          <w:color w:val="231F20"/>
        </w:rPr>
        <w:t>to</w:t>
      </w:r>
      <w:r>
        <w:rPr>
          <w:color w:val="231F20"/>
          <w:spacing w:val="13"/>
        </w:rPr>
        <w:t> </w:t>
      </w:r>
      <w:r>
        <w:rPr>
          <w:color w:val="231F20"/>
        </w:rPr>
        <w:t>retrieve.</w:t>
      </w:r>
    </w:p>
    <w:p>
      <w:pPr>
        <w:pStyle w:val="ListParagraph"/>
        <w:numPr>
          <w:ilvl w:val="1"/>
          <w:numId w:val="88"/>
        </w:numPr>
        <w:tabs>
          <w:tab w:pos="2548" w:val="left" w:leader="none"/>
        </w:tabs>
        <w:spacing w:line="213" w:lineRule="auto" w:before="48" w:after="0"/>
        <w:ind w:left="2548" w:right="765" w:hanging="316"/>
        <w:jc w:val="both"/>
        <w:rPr>
          <w:sz w:val="20"/>
        </w:rPr>
      </w:pPr>
      <w:r>
        <w:rPr>
          <w:color w:val="231F20"/>
          <w:sz w:val="20"/>
        </w:rPr>
        <w:t>Optional. If you opened the Query editor from the view properties, you can change the list of managed systems the query will extract data from.</w:t>
      </w:r>
    </w:p>
    <w:p>
      <w:pPr>
        <w:pStyle w:val="ListParagraph"/>
        <w:numPr>
          <w:ilvl w:val="2"/>
          <w:numId w:val="88"/>
        </w:numPr>
        <w:tabs>
          <w:tab w:pos="2863" w:val="left" w:leader="none"/>
        </w:tabs>
        <w:spacing w:line="240" w:lineRule="auto" w:before="35" w:after="0"/>
        <w:ind w:left="2863" w:right="0" w:hanging="315"/>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b/>
          <w:color w:val="231F20"/>
          <w:sz w:val="20"/>
        </w:rPr>
        <w:t>Query</w:t>
      </w:r>
      <w:r>
        <w:rPr>
          <w:rFonts w:ascii="Book Antiqua"/>
          <w:b/>
          <w:color w:val="231F20"/>
          <w:spacing w:val="11"/>
          <w:sz w:val="20"/>
        </w:rPr>
        <w:t> </w:t>
      </w:r>
      <w:r>
        <w:rPr>
          <w:rFonts w:ascii="Book Antiqua"/>
          <w:b/>
          <w:color w:val="231F20"/>
          <w:sz w:val="20"/>
        </w:rPr>
        <w:t>Results</w:t>
      </w:r>
      <w:r>
        <w:rPr>
          <w:rFonts w:ascii="Book Antiqua"/>
          <w:b/>
          <w:color w:val="231F20"/>
          <w:spacing w:val="11"/>
          <w:sz w:val="20"/>
        </w:rPr>
        <w:t> </w:t>
      </w:r>
      <w:r>
        <w:rPr>
          <w:rFonts w:ascii="Book Antiqua"/>
          <w:b/>
          <w:color w:val="231F20"/>
          <w:sz w:val="20"/>
        </w:rPr>
        <w:t>Source</w:t>
      </w:r>
      <w:r>
        <w:rPr>
          <w:rFonts w:ascii="Book Antiqua"/>
          <w:b/>
          <w:color w:val="231F20"/>
          <w:spacing w:val="10"/>
          <w:sz w:val="20"/>
        </w:rPr>
        <w:t> </w:t>
      </w:r>
      <w:r>
        <w:rPr>
          <w:color w:val="231F20"/>
          <w:spacing w:val="-4"/>
          <w:sz w:val="20"/>
        </w:rPr>
        <w:t>tab.</w:t>
      </w:r>
    </w:p>
    <w:p>
      <w:pPr>
        <w:pStyle w:val="ListParagraph"/>
        <w:numPr>
          <w:ilvl w:val="2"/>
          <w:numId w:val="88"/>
        </w:numPr>
        <w:tabs>
          <w:tab w:pos="2864" w:val="left" w:leader="none"/>
        </w:tabs>
        <w:spacing w:line="208" w:lineRule="auto" w:before="62" w:after="0"/>
        <w:ind w:left="2864" w:right="540" w:hanging="316"/>
        <w:jc w:val="left"/>
        <w:rPr>
          <w:sz w:val="20"/>
        </w:rPr>
      </w:pPr>
      <w:r>
        <w:rPr>
          <w:color w:val="231F20"/>
          <w:sz w:val="20"/>
        </w:rPr>
        <w:t>Select </w:t>
      </w:r>
      <w:r>
        <w:rPr>
          <w:color w:val="231F20"/>
          <w:spacing w:val="16"/>
          <w:sz w:val="20"/>
        </w:rPr>
        <w:drawing>
          <wp:inline distT="0" distB="0" distL="0" distR="0">
            <wp:extent cx="88900" cy="82550"/>
            <wp:effectExtent l="0" t="0" r="0" b="0"/>
            <wp:docPr id="1739" name="Image 1739"/>
            <wp:cNvGraphicFramePr>
              <a:graphicFrameLocks/>
            </wp:cNvGraphicFramePr>
            <a:graphic>
              <a:graphicData uri="http://schemas.openxmlformats.org/drawingml/2006/picture">
                <pic:pic>
                  <pic:nvPicPr>
                    <pic:cNvPr id="1739" name="Image 1739"/>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Let user assign explicitly</w:t>
      </w:r>
      <w:r>
        <w:rPr>
          <w:color w:val="231F20"/>
          <w:sz w:val="20"/>
        </w:rPr>
        <w:t>, then</w:t>
      </w:r>
      <w:r>
        <w:rPr>
          <w:color w:val="231F20"/>
          <w:spacing w:val="40"/>
          <w:sz w:val="20"/>
        </w:rPr>
        <w:t> </w:t>
      </w:r>
      <w:r>
        <w:rPr>
          <w:color w:val="231F20"/>
          <w:spacing w:val="-14"/>
          <w:position w:val="1"/>
          <w:sz w:val="20"/>
        </w:rPr>
        <w:drawing>
          <wp:inline distT="0" distB="0" distL="0" distR="0">
            <wp:extent cx="44450" cy="76200"/>
            <wp:effectExtent l="0" t="0" r="0" b="0"/>
            <wp:docPr id="1740" name="Image 1740"/>
            <wp:cNvGraphicFramePr>
              <a:graphicFrameLocks/>
            </wp:cNvGraphicFramePr>
            <a:graphic>
              <a:graphicData uri="http://schemas.openxmlformats.org/drawingml/2006/picture">
                <pic:pic>
                  <pic:nvPicPr>
                    <pic:cNvPr id="1740" name="Image 1740"/>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remove managed systems from</w:t>
      </w:r>
      <w:r>
        <w:rPr>
          <w:color w:val="231F20"/>
          <w:spacing w:val="40"/>
          <w:sz w:val="20"/>
        </w:rPr>
        <w:t> </w:t>
      </w:r>
      <w:r>
        <w:rPr>
          <w:color w:val="231F20"/>
          <w:sz w:val="20"/>
        </w:rPr>
        <w:t>the </w:t>
      </w:r>
      <w:r>
        <w:rPr>
          <w:rFonts w:ascii="Book Antiqua"/>
          <w:b/>
          <w:color w:val="231F20"/>
          <w:sz w:val="20"/>
        </w:rPr>
        <w:t>Assigned </w:t>
      </w:r>
      <w:r>
        <w:rPr>
          <w:color w:val="231F20"/>
          <w:sz w:val="20"/>
        </w:rPr>
        <w:t>list and</w:t>
      </w:r>
      <w:r>
        <w:rPr>
          <w:color w:val="231F20"/>
          <w:spacing w:val="40"/>
          <w:sz w:val="20"/>
        </w:rPr>
        <w:t> </w:t>
      </w:r>
      <w:r>
        <w:rPr>
          <w:color w:val="231F20"/>
          <w:spacing w:val="16"/>
          <w:position w:val="1"/>
          <w:sz w:val="20"/>
        </w:rPr>
        <w:drawing>
          <wp:inline distT="0" distB="0" distL="0" distR="0">
            <wp:extent cx="44450" cy="76200"/>
            <wp:effectExtent l="0" t="0" r="0" b="0"/>
            <wp:docPr id="1741" name="Image 1741"/>
            <wp:cNvGraphicFramePr>
              <a:graphicFrameLocks/>
            </wp:cNvGraphicFramePr>
            <a:graphic>
              <a:graphicData uri="http://schemas.openxmlformats.org/drawingml/2006/picture">
                <pic:pic>
                  <pic:nvPicPr>
                    <pic:cNvPr id="1741" name="Image 1741"/>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add them from the </w:t>
      </w:r>
      <w:r>
        <w:rPr>
          <w:rFonts w:ascii="Book Antiqua"/>
          <w:b/>
          <w:color w:val="231F20"/>
          <w:sz w:val="20"/>
        </w:rPr>
        <w:t>Available </w:t>
      </w:r>
      <w:r>
        <w:rPr>
          <w:color w:val="231F20"/>
          <w:sz w:val="20"/>
        </w:rPr>
        <w:t>list.</w:t>
      </w:r>
    </w:p>
    <w:p>
      <w:pPr>
        <w:pStyle w:val="BodyText"/>
        <w:spacing w:line="213" w:lineRule="auto" w:before="120"/>
        <w:ind w:left="2548" w:right="636"/>
      </w:pPr>
      <w:r>
        <w:rPr>
          <w:color w:val="231F20"/>
        </w:rPr>
        <w:t>Regardless of the managed systems assigned to a query, a gauge chart can</w:t>
      </w:r>
      <w:r>
        <w:rPr>
          <w:color w:val="231F20"/>
          <w:spacing w:val="80"/>
        </w:rPr>
        <w:t> </w:t>
      </w:r>
      <w:r>
        <w:rPr>
          <w:color w:val="231F20"/>
        </w:rPr>
        <w:t>show data from only one managed system. If you are using the query in a workspace where multiple systems are applicable, such as at the </w:t>
      </w:r>
      <w:r>
        <w:rPr>
          <w:color w:val="231F20"/>
          <w:spacing w:val="15"/>
          <w:position w:val="-1"/>
        </w:rPr>
        <w:drawing>
          <wp:inline distT="0" distB="0" distL="0" distR="0">
            <wp:extent cx="95250" cy="101600"/>
            <wp:effectExtent l="0" t="0" r="0" b="0"/>
            <wp:docPr id="1742" name="Image 1742"/>
            <wp:cNvGraphicFramePr>
              <a:graphicFrameLocks/>
            </wp:cNvGraphicFramePr>
            <a:graphic>
              <a:graphicData uri="http://schemas.openxmlformats.org/drawingml/2006/picture">
                <pic:pic>
                  <pic:nvPicPr>
                    <pic:cNvPr id="1742" name="Image 1742"/>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7"/>
        </w:rPr>
        <w:t> </w:t>
      </w:r>
      <w:r>
        <w:rPr>
          <w:color w:val="231F20"/>
        </w:rPr>
        <w:t>Enterprise-</w:t>
      </w:r>
      <w:r>
        <w:rPr>
          <w:color w:val="231F20"/>
          <w:spacing w:val="40"/>
        </w:rPr>
        <w:t> </w:t>
      </w:r>
      <w:r>
        <w:rPr>
          <w:color w:val="231F20"/>
        </w:rPr>
        <w:t>or </w:t>
      </w:r>
      <w:r>
        <w:rPr>
          <w:color w:val="231F20"/>
          <w:spacing w:val="16"/>
          <w:position w:val="-1"/>
        </w:rPr>
        <w:drawing>
          <wp:inline distT="0" distB="0" distL="0" distR="0">
            <wp:extent cx="101600" cy="95250"/>
            <wp:effectExtent l="0" t="0" r="0" b="0"/>
            <wp:docPr id="1743" name="Image 1743"/>
            <wp:cNvGraphicFramePr>
              <a:graphicFrameLocks/>
            </wp:cNvGraphicFramePr>
            <a:graphic>
              <a:graphicData uri="http://schemas.openxmlformats.org/drawingml/2006/picture">
                <pic:pic>
                  <pic:nvPicPr>
                    <pic:cNvPr id="1743" name="Image 1743"/>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Platform level of the Navigator Physical view, the data shown is from the first managed system in the </w:t>
      </w:r>
      <w:r>
        <w:rPr>
          <w:rFonts w:ascii="Book Antiqua"/>
          <w:b/>
          <w:color w:val="231F20"/>
        </w:rPr>
        <w:t>Assigned </w:t>
      </w:r>
      <w:r>
        <w:rPr>
          <w:color w:val="231F20"/>
        </w:rPr>
        <w:t>list.</w:t>
      </w:r>
    </w:p>
    <w:p>
      <w:pPr>
        <w:pStyle w:val="ListParagraph"/>
        <w:numPr>
          <w:ilvl w:val="1"/>
          <w:numId w:val="88"/>
        </w:numPr>
        <w:tabs>
          <w:tab w:pos="2548" w:val="left" w:leader="none"/>
        </w:tabs>
        <w:spacing w:line="213" w:lineRule="auto" w:before="56" w:after="0"/>
        <w:ind w:left="2548" w:right="688" w:hanging="316"/>
        <w:jc w:val="both"/>
        <w:rPr>
          <w:sz w:val="20"/>
        </w:rPr>
      </w:pPr>
      <w:r>
        <w:rPr>
          <w:color w:val="231F20"/>
          <w:sz w:val="20"/>
        </w:rPr>
        <w:t>When you are finished, click </w:t>
      </w:r>
      <w:r>
        <w:rPr>
          <w:rFonts w:ascii="Book Antiqua"/>
          <w:b/>
          <w:color w:val="231F20"/>
          <w:sz w:val="20"/>
        </w:rPr>
        <w:t>Apply </w:t>
      </w:r>
      <w:r>
        <w:rPr>
          <w:color w:val="231F20"/>
          <w:sz w:val="20"/>
        </w:rPr>
        <w:t>to save the query and keep the window open or click </w:t>
      </w:r>
      <w:r>
        <w:rPr>
          <w:rFonts w:ascii="Book Antiqua"/>
          <w:b/>
          <w:color w:val="231F20"/>
          <w:sz w:val="20"/>
        </w:rPr>
        <w:t>OK </w:t>
      </w:r>
      <w:r>
        <w:rPr>
          <w:color w:val="231F20"/>
          <w:sz w:val="20"/>
        </w:rPr>
        <w:t>to save the query and close the window. If you opened the Query editor from the Properties window, clicking </w:t>
      </w:r>
      <w:r>
        <w:rPr>
          <w:rFonts w:ascii="Book Antiqua"/>
          <w:b/>
          <w:color w:val="231F20"/>
          <w:sz w:val="20"/>
        </w:rPr>
        <w:t>OK </w:t>
      </w:r>
      <w:r>
        <w:rPr>
          <w:color w:val="231F20"/>
          <w:sz w:val="20"/>
        </w:rPr>
        <w:t>also selects the query for the current view.</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30"/>
        <w:ind w:left="2232"/>
      </w:pPr>
      <w:hyperlink w:history="true" w:anchor="_bookmark318">
        <w:r>
          <w:rPr>
            <w:color w:val="231F20"/>
          </w:rPr>
          <w:t>Appendix</w:t>
        </w:r>
        <w:r>
          <w:rPr>
            <w:color w:val="231F20"/>
            <w:spacing w:val="-6"/>
          </w:rPr>
          <w:t> </w:t>
        </w:r>
        <w:r>
          <w:rPr>
            <w:color w:val="231F20"/>
          </w:rPr>
          <w:t>A,</w:t>
        </w:r>
        <w:r>
          <w:rPr>
            <w:color w:val="231F20"/>
            <w:spacing w:val="10"/>
          </w:rPr>
          <w:t> </w:t>
        </w:r>
        <w:r>
          <w:rPr>
            <w:color w:val="231F20"/>
          </w:rPr>
          <w:t>“Formula</w:t>
        </w:r>
        <w:r>
          <w:rPr>
            <w:color w:val="231F20"/>
            <w:spacing w:val="9"/>
          </w:rPr>
          <w:t> </w:t>
        </w:r>
        <w:r>
          <w:rPr>
            <w:color w:val="231F20"/>
          </w:rPr>
          <w:t>functions,”</w:t>
        </w:r>
        <w:r>
          <w:rPr>
            <w:color w:val="231F20"/>
            <w:spacing w:val="10"/>
          </w:rPr>
          <w:t> </w:t>
        </w:r>
        <w:r>
          <w:rPr>
            <w:color w:val="231F20"/>
          </w:rPr>
          <w:t>on</w:t>
        </w:r>
        <w:r>
          <w:rPr>
            <w:color w:val="231F20"/>
            <w:spacing w:val="10"/>
          </w:rPr>
          <w:t> </w:t>
        </w:r>
        <w:r>
          <w:rPr>
            <w:color w:val="231F20"/>
          </w:rPr>
          <w:t>page</w:t>
        </w:r>
        <w:r>
          <w:rPr>
            <w:color w:val="231F20"/>
            <w:spacing w:val="10"/>
          </w:rPr>
          <w:t> </w:t>
        </w:r>
        <w:r>
          <w:rPr>
            <w:color w:val="231F20"/>
            <w:spacing w:val="-5"/>
          </w:rPr>
          <w:t>411</w:t>
        </w:r>
      </w:hyperlink>
    </w:p>
    <w:p>
      <w:pPr>
        <w:pStyle w:val="BodyText"/>
        <w:spacing w:line="213" w:lineRule="auto" w:before="8"/>
        <w:ind w:left="2232" w:right="545"/>
      </w:pPr>
      <w:r>
        <w:rPr>
          <w:color w:val="231F20"/>
        </w:rPr>
        <w:t>Use the functions provided in these editors to write formulas: Situation, </w:t>
      </w:r>
      <w:r>
        <w:rPr>
          <w:color w:val="231F20"/>
        </w:rPr>
        <w:t>Query, Properties Filters tab, and Properties Thresholds tab.</w:t>
      </w:r>
    </w:p>
    <w:p>
      <w:pPr>
        <w:pStyle w:val="Heading3"/>
        <w:spacing w:before="217"/>
        <w:ind w:left="0" w:right="538"/>
        <w:jc w:val="center"/>
      </w:pPr>
      <w:bookmarkStart w:name="Adding symbols in queries to the monitor" w:id="317"/>
      <w:bookmarkEnd w:id="317"/>
      <w:r>
        <w:rPr>
          <w:b w:val="0"/>
        </w:rPr>
      </w:r>
      <w:r>
        <w:rPr>
          <w:color w:val="231F20"/>
        </w:rPr>
        <w:t>Adding</w:t>
      </w:r>
      <w:r>
        <w:rPr>
          <w:color w:val="231F20"/>
          <w:spacing w:val="7"/>
        </w:rPr>
        <w:t> </w:t>
      </w:r>
      <w:r>
        <w:rPr>
          <w:color w:val="231F20"/>
        </w:rPr>
        <w:t>symbols</w:t>
      </w:r>
      <w:r>
        <w:rPr>
          <w:color w:val="231F20"/>
          <w:spacing w:val="7"/>
        </w:rPr>
        <w:t> </w:t>
      </w:r>
      <w:r>
        <w:rPr>
          <w:color w:val="231F20"/>
        </w:rPr>
        <w:t>in</w:t>
      </w:r>
      <w:r>
        <w:rPr>
          <w:color w:val="231F20"/>
          <w:spacing w:val="7"/>
        </w:rPr>
        <w:t> </w:t>
      </w:r>
      <w:r>
        <w:rPr>
          <w:color w:val="231F20"/>
        </w:rPr>
        <w:t>queries</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monitoring</w:t>
      </w:r>
      <w:r>
        <w:rPr>
          <w:color w:val="231F20"/>
          <w:spacing w:val="8"/>
        </w:rPr>
        <w:t> </w:t>
      </w:r>
      <w:r>
        <w:rPr>
          <w:color w:val="231F20"/>
          <w:spacing w:val="-2"/>
        </w:rPr>
        <w:t>server</w:t>
      </w:r>
    </w:p>
    <w:p>
      <w:pPr>
        <w:pStyle w:val="BodyText"/>
        <w:spacing w:line="213" w:lineRule="auto" w:before="58"/>
        <w:ind w:left="2232" w:right="545"/>
      </w:pPr>
      <w:r>
        <w:rPr>
          <w:color w:val="231F20"/>
        </w:rPr>
        <w:t>Most predefined queries include a == $NODE$ (or similar) variable expression </w:t>
      </w:r>
      <w:r>
        <w:rPr>
          <w:color w:val="231F20"/>
        </w:rPr>
        <w:t>that identifies the managed systems. The </w:t>
      </w:r>
      <w:r>
        <w:rPr>
          <w:rFonts w:ascii="Arial"/>
          <w:color w:val="231F20"/>
        </w:rPr>
        <w:t>$NODE$ </w:t>
      </w:r>
      <w:r>
        <w:rPr>
          <w:color w:val="231F20"/>
        </w:rPr>
        <w:t>symbol resolves to the node name of each</w:t>
      </w:r>
      <w:r>
        <w:rPr>
          <w:color w:val="231F20"/>
          <w:spacing w:val="27"/>
        </w:rPr>
        <w:t> </w:t>
      </w:r>
      <w:r>
        <w:rPr>
          <w:color w:val="231F20"/>
        </w:rPr>
        <w:t>agent</w:t>
      </w:r>
      <w:r>
        <w:rPr>
          <w:color w:val="231F20"/>
          <w:spacing w:val="27"/>
        </w:rPr>
        <w:t> </w:t>
      </w:r>
      <w:r>
        <w:rPr>
          <w:color w:val="231F20"/>
        </w:rPr>
        <w:t>associated</w:t>
      </w:r>
      <w:r>
        <w:rPr>
          <w:color w:val="231F20"/>
          <w:spacing w:val="27"/>
        </w:rPr>
        <w:t> </w:t>
      </w:r>
      <w:r>
        <w:rPr>
          <w:color w:val="231F20"/>
        </w:rPr>
        <w:t>with</w:t>
      </w:r>
      <w:r>
        <w:rPr>
          <w:color w:val="231F20"/>
          <w:spacing w:val="27"/>
        </w:rPr>
        <w:t> </w:t>
      </w:r>
      <w:r>
        <w:rPr>
          <w:color w:val="231F20"/>
        </w:rPr>
        <w:t>the</w:t>
      </w:r>
      <w:r>
        <w:rPr>
          <w:color w:val="231F20"/>
          <w:spacing w:val="27"/>
        </w:rPr>
        <w:t> </w:t>
      </w:r>
      <w:r>
        <w:rPr>
          <w:color w:val="231F20"/>
        </w:rPr>
        <w:t>Navigator</w:t>
      </w:r>
      <w:r>
        <w:rPr>
          <w:color w:val="231F20"/>
          <w:spacing w:val="27"/>
        </w:rPr>
        <w:t> </w:t>
      </w:r>
      <w:r>
        <w:rPr>
          <w:color w:val="231F20"/>
        </w:rPr>
        <w:t>item</w:t>
      </w:r>
      <w:r>
        <w:rPr>
          <w:color w:val="231F20"/>
          <w:spacing w:val="27"/>
        </w:rPr>
        <w:t> </w:t>
      </w:r>
      <w:r>
        <w:rPr>
          <w:color w:val="231F20"/>
        </w:rPr>
        <w:t>and</w:t>
      </w:r>
      <w:r>
        <w:rPr>
          <w:color w:val="231F20"/>
          <w:spacing w:val="27"/>
        </w:rPr>
        <w:t> </w:t>
      </w:r>
      <w:r>
        <w:rPr>
          <w:color w:val="231F20"/>
        </w:rPr>
        <w:t>serves</w:t>
      </w:r>
      <w:r>
        <w:rPr>
          <w:color w:val="231F20"/>
          <w:spacing w:val="27"/>
        </w:rPr>
        <w:t> </w:t>
      </w:r>
      <w:r>
        <w:rPr>
          <w:color w:val="231F20"/>
        </w:rPr>
        <w:t>to</w:t>
      </w:r>
      <w:r>
        <w:rPr>
          <w:color w:val="231F20"/>
          <w:spacing w:val="27"/>
        </w:rPr>
        <w:t> </w:t>
      </w:r>
      <w:r>
        <w:rPr>
          <w:color w:val="231F20"/>
        </w:rPr>
        <w:t>limit</w:t>
      </w:r>
      <w:r>
        <w:rPr>
          <w:color w:val="231F20"/>
          <w:spacing w:val="27"/>
        </w:rPr>
        <w:t> </w:t>
      </w:r>
      <w:r>
        <w:rPr>
          <w:color w:val="231F20"/>
        </w:rPr>
        <w:t>the</w:t>
      </w:r>
      <w:r>
        <w:rPr>
          <w:color w:val="231F20"/>
          <w:spacing w:val="27"/>
        </w:rPr>
        <w:t> </w:t>
      </w:r>
      <w:r>
        <w:rPr>
          <w:color w:val="231F20"/>
        </w:rPr>
        <w:t>retrieved data to those agents rather than all agents of that type in your enterprise.</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You can also add your own symbols (variables) to a query to provide more customization options in the Link Wizard. To check for or to add a symbol to a query, complete the following steps:</w:t>
      </w:r>
    </w:p>
    <w:p>
      <w:pPr>
        <w:pStyle w:val="Heading4"/>
        <w:spacing w:before="199"/>
      </w:pPr>
      <w:r>
        <w:rPr>
          <w:color w:val="231F20"/>
          <w:spacing w:val="-2"/>
        </w:rPr>
        <w:t>Procedure</w:t>
      </w:r>
    </w:p>
    <w:p>
      <w:pPr>
        <w:pStyle w:val="ListParagraph"/>
        <w:numPr>
          <w:ilvl w:val="0"/>
          <w:numId w:val="89"/>
        </w:numPr>
        <w:tabs>
          <w:tab w:pos="2548" w:val="left" w:leader="none"/>
        </w:tabs>
        <w:spacing w:line="213" w:lineRule="auto" w:before="62" w:after="0"/>
        <w:ind w:left="2548" w:right="1415" w:hanging="316"/>
        <w:jc w:val="left"/>
        <w:rPr>
          <w:sz w:val="20"/>
        </w:rPr>
      </w:pPr>
      <w:r>
        <w:rPr>
          <w:color w:val="231F20"/>
          <w:sz w:val="20"/>
        </w:rPr>
        <w:t>Open the workspace to which you plan to link (the target, or link to, </w:t>
      </w:r>
      <w:r>
        <w:rPr>
          <w:color w:val="231F20"/>
          <w:spacing w:val="-2"/>
          <w:sz w:val="20"/>
        </w:rPr>
        <w:t>workspace).</w:t>
      </w:r>
    </w:p>
    <w:p>
      <w:pPr>
        <w:pStyle w:val="ListParagraph"/>
        <w:numPr>
          <w:ilvl w:val="0"/>
          <w:numId w:val="89"/>
        </w:numPr>
        <w:tabs>
          <w:tab w:pos="2548" w:val="left" w:leader="none"/>
        </w:tabs>
        <w:spacing w:line="213" w:lineRule="auto" w:before="58" w:after="0"/>
        <w:ind w:left="2548" w:right="414" w:hanging="316"/>
        <w:jc w:val="left"/>
        <w:rPr>
          <w:sz w:val="20"/>
        </w:rPr>
      </w:pPr>
      <w:r>
        <w:rPr>
          <w:color w:val="231F20"/>
          <w:sz w:val="20"/>
        </w:rPr>
        <w:t>Right-click the table or chart. This view has a key field you want to reference in</w:t>
      </w:r>
      <w:r>
        <w:rPr>
          <w:color w:val="231F20"/>
          <w:spacing w:val="40"/>
          <w:sz w:val="20"/>
        </w:rPr>
        <w:t> </w:t>
      </w:r>
      <w:r>
        <w:rPr>
          <w:color w:val="231F20"/>
          <w:sz w:val="20"/>
        </w:rPr>
        <w:t>the</w:t>
      </w:r>
      <w:r>
        <w:rPr>
          <w:color w:val="231F20"/>
          <w:spacing w:val="24"/>
          <w:sz w:val="20"/>
        </w:rPr>
        <w:t> </w:t>
      </w:r>
      <w:r>
        <w:rPr>
          <w:color w:val="231F20"/>
          <w:sz w:val="20"/>
        </w:rPr>
        <w:t>link</w:t>
      </w:r>
      <w:r>
        <w:rPr>
          <w:color w:val="231F20"/>
          <w:spacing w:val="24"/>
          <w:sz w:val="20"/>
        </w:rPr>
        <w:t> </w:t>
      </w:r>
      <w:r>
        <w:rPr>
          <w:color w:val="231F20"/>
          <w:sz w:val="20"/>
        </w:rPr>
        <w:t>definition.</w:t>
      </w:r>
      <w:r>
        <w:rPr>
          <w:color w:val="231F20"/>
          <w:spacing w:val="24"/>
          <w:sz w:val="20"/>
        </w:rPr>
        <w:t> </w:t>
      </w:r>
      <w:r>
        <w:rPr>
          <w:color w:val="231F20"/>
          <w:sz w:val="20"/>
        </w:rPr>
        <w:t>Typically,</w:t>
      </w:r>
      <w:r>
        <w:rPr>
          <w:color w:val="231F20"/>
          <w:spacing w:val="24"/>
          <w:sz w:val="20"/>
        </w:rPr>
        <w:t> </w:t>
      </w:r>
      <w:r>
        <w:rPr>
          <w:color w:val="231F20"/>
          <w:sz w:val="20"/>
        </w:rPr>
        <w:t>it</w:t>
      </w:r>
      <w:r>
        <w:rPr>
          <w:color w:val="231F20"/>
          <w:spacing w:val="24"/>
          <w:sz w:val="20"/>
        </w:rPr>
        <w:t> </w:t>
      </w:r>
      <w:r>
        <w:rPr>
          <w:color w:val="231F20"/>
          <w:sz w:val="20"/>
        </w:rPr>
        <w:t>is</w:t>
      </w:r>
      <w:r>
        <w:rPr>
          <w:color w:val="231F20"/>
          <w:spacing w:val="24"/>
          <w:sz w:val="20"/>
        </w:rPr>
        <w:t> </w:t>
      </w:r>
      <w:r>
        <w:rPr>
          <w:color w:val="231F20"/>
          <w:sz w:val="20"/>
        </w:rPr>
        <w:t>the</w:t>
      </w:r>
      <w:r>
        <w:rPr>
          <w:color w:val="231F20"/>
          <w:spacing w:val="24"/>
          <w:sz w:val="20"/>
        </w:rPr>
        <w:t> </w:t>
      </w:r>
      <w:r>
        <w:rPr>
          <w:color w:val="231F20"/>
          <w:sz w:val="20"/>
        </w:rPr>
        <w:t>view</w:t>
      </w:r>
      <w:r>
        <w:rPr>
          <w:color w:val="231F20"/>
          <w:spacing w:val="24"/>
          <w:sz w:val="20"/>
        </w:rPr>
        <w:t> </w:t>
      </w:r>
      <w:r>
        <w:rPr>
          <w:color w:val="231F20"/>
          <w:sz w:val="20"/>
        </w:rPr>
        <w:t>that</w:t>
      </w:r>
      <w:r>
        <w:rPr>
          <w:color w:val="231F20"/>
          <w:spacing w:val="24"/>
          <w:sz w:val="20"/>
        </w:rPr>
        <w:t> </w:t>
      </w:r>
      <w:r>
        <w:rPr>
          <w:color w:val="231F20"/>
          <w:sz w:val="20"/>
        </w:rPr>
        <w:t>will</w:t>
      </w:r>
      <w:r>
        <w:rPr>
          <w:color w:val="231F20"/>
          <w:spacing w:val="24"/>
          <w:sz w:val="20"/>
        </w:rPr>
        <w:t> </w:t>
      </w:r>
      <w:r>
        <w:rPr>
          <w:color w:val="231F20"/>
          <w:sz w:val="20"/>
        </w:rPr>
        <w:t>show</w:t>
      </w:r>
      <w:r>
        <w:rPr>
          <w:color w:val="231F20"/>
          <w:spacing w:val="24"/>
          <w:sz w:val="20"/>
        </w:rPr>
        <w:t> </w:t>
      </w:r>
      <w:r>
        <w:rPr>
          <w:color w:val="231F20"/>
          <w:sz w:val="20"/>
        </w:rPr>
        <w:t>details</w:t>
      </w:r>
      <w:r>
        <w:rPr>
          <w:color w:val="231F20"/>
          <w:spacing w:val="24"/>
          <w:sz w:val="20"/>
        </w:rPr>
        <w:t> </w:t>
      </w:r>
      <w:r>
        <w:rPr>
          <w:color w:val="231F20"/>
          <w:sz w:val="20"/>
        </w:rPr>
        <w:t>for</w:t>
      </w:r>
      <w:r>
        <w:rPr>
          <w:color w:val="231F20"/>
          <w:spacing w:val="24"/>
          <w:sz w:val="20"/>
        </w:rPr>
        <w:t> </w:t>
      </w:r>
      <w:r>
        <w:rPr>
          <w:color w:val="231F20"/>
          <w:sz w:val="20"/>
        </w:rPr>
        <w:t>an</w:t>
      </w:r>
      <w:r>
        <w:rPr>
          <w:color w:val="231F20"/>
          <w:sz w:val="20"/>
        </w:rPr>
        <w:t> attribute from the row where you launched the link.</w:t>
      </w:r>
    </w:p>
    <w:p>
      <w:pPr>
        <w:pStyle w:val="Heading6"/>
        <w:numPr>
          <w:ilvl w:val="0"/>
          <w:numId w:val="89"/>
        </w:numPr>
        <w:tabs>
          <w:tab w:pos="2547" w:val="left" w:leader="none"/>
        </w:tabs>
        <w:spacing w:line="240" w:lineRule="auto" w:before="35" w:after="0"/>
        <w:ind w:left="2547" w:right="0" w:hanging="315"/>
        <w:jc w:val="left"/>
        <w:rPr>
          <w:rFonts w:ascii="Palatino Linotype"/>
          <w:b w:val="0"/>
        </w:rPr>
      </w:pPr>
      <w:r>
        <w:rPr>
          <w:rFonts w:ascii="Palatino Linotype"/>
          <w:b w:val="0"/>
          <w:color w:val="231F20"/>
        </w:rPr>
        <w:t>Click</w:t>
      </w:r>
      <w:r>
        <w:rPr>
          <w:rFonts w:ascii="Palatino Linotype"/>
          <w:b w:val="0"/>
          <w:color w:val="231F20"/>
          <w:spacing w:val="11"/>
        </w:rPr>
        <w:t> </w:t>
      </w:r>
      <w:r>
        <w:rPr>
          <w:rFonts w:ascii="Palatino Linotype"/>
          <w:b w:val="0"/>
          <w:color w:val="231F20"/>
          <w:spacing w:val="16"/>
          <w:position w:val="-1"/>
        </w:rPr>
        <w:drawing>
          <wp:inline distT="0" distB="0" distL="0" distR="0">
            <wp:extent cx="101600" cy="95250"/>
            <wp:effectExtent l="0" t="0" r="0" b="0"/>
            <wp:docPr id="1744" name="Image 1744"/>
            <wp:cNvGraphicFramePr>
              <a:graphicFrameLocks/>
            </wp:cNvGraphicFramePr>
            <a:graphic>
              <a:graphicData uri="http://schemas.openxmlformats.org/drawingml/2006/picture">
                <pic:pic>
                  <pic:nvPicPr>
                    <pic:cNvPr id="1744" name="Image 1744"/>
                    <pic:cNvPicPr/>
                  </pic:nvPicPr>
                  <pic:blipFill>
                    <a:blip r:embed="rId28" cstate="print"/>
                    <a:stretch>
                      <a:fillRect/>
                    </a:stretch>
                  </pic:blipFill>
                  <pic:spPr>
                    <a:xfrm>
                      <a:off x="0" y="0"/>
                      <a:ext cx="101600" cy="95250"/>
                    </a:xfrm>
                    <a:prstGeom prst="rect">
                      <a:avLst/>
                    </a:prstGeom>
                  </pic:spPr>
                </pic:pic>
              </a:graphicData>
            </a:graphic>
          </wp:inline>
        </w:drawing>
      </w:r>
      <w:r>
        <w:rPr>
          <w:rFonts w:ascii="Palatino Linotype"/>
          <w:b w:val="0"/>
          <w:color w:val="231F20"/>
          <w:spacing w:val="16"/>
          <w:position w:val="-1"/>
        </w:rPr>
      </w:r>
      <w:r>
        <w:rPr>
          <w:rFonts w:ascii="Times New Roman"/>
          <w:b w:val="0"/>
          <w:color w:val="231F20"/>
          <w:spacing w:val="-17"/>
        </w:rPr>
        <w:t> </w:t>
      </w:r>
      <w:r>
        <w:rPr>
          <w:color w:val="231F20"/>
        </w:rPr>
        <w:t>Properties</w:t>
      </w:r>
      <w:r>
        <w:rPr>
          <w:color w:val="231F20"/>
          <w:spacing w:val="13"/>
        </w:rPr>
        <w:t> </w:t>
      </w:r>
      <w:r>
        <w:rPr>
          <w:color w:val="231F20"/>
        </w:rPr>
        <w:t>&gt;</w:t>
      </w:r>
      <w:r>
        <w:rPr>
          <w:color w:val="231F20"/>
          <w:spacing w:val="22"/>
        </w:rPr>
        <w:t> </w:t>
      </w:r>
      <w:r>
        <w:rPr>
          <w:color w:val="231F20"/>
          <w:spacing w:val="-24"/>
          <w:position w:val="-1"/>
        </w:rPr>
        <w:drawing>
          <wp:inline distT="0" distB="0" distL="0" distR="0">
            <wp:extent cx="95250" cy="101600"/>
            <wp:effectExtent l="0" t="0" r="0" b="0"/>
            <wp:docPr id="1745" name="Image 1745"/>
            <wp:cNvGraphicFramePr>
              <a:graphicFrameLocks/>
            </wp:cNvGraphicFramePr>
            <a:graphic>
              <a:graphicData uri="http://schemas.openxmlformats.org/drawingml/2006/picture">
                <pic:pic>
                  <pic:nvPicPr>
                    <pic:cNvPr id="1745" name="Image 1745"/>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b w:val="0"/>
          <w:color w:val="231F20"/>
          <w:spacing w:val="58"/>
          <w:w w:val="150"/>
        </w:rPr>
        <w:t> </w:t>
      </w:r>
      <w:r>
        <w:rPr>
          <w:color w:val="231F20"/>
        </w:rPr>
        <w:t>Click</w:t>
      </w:r>
      <w:r>
        <w:rPr>
          <w:color w:val="231F20"/>
          <w:spacing w:val="13"/>
        </w:rPr>
        <w:t> </w:t>
      </w:r>
      <w:r>
        <w:rPr>
          <w:color w:val="231F20"/>
        </w:rPr>
        <w:t>here</w:t>
      </w:r>
      <w:r>
        <w:rPr>
          <w:color w:val="231F20"/>
          <w:spacing w:val="13"/>
        </w:rPr>
        <w:t> </w:t>
      </w:r>
      <w:r>
        <w:rPr>
          <w:color w:val="231F20"/>
        </w:rPr>
        <w:t>to</w:t>
      </w:r>
      <w:r>
        <w:rPr>
          <w:color w:val="231F20"/>
          <w:spacing w:val="13"/>
        </w:rPr>
        <w:t> </w:t>
      </w:r>
      <w:r>
        <w:rPr>
          <w:color w:val="231F20"/>
        </w:rPr>
        <w:t>assign</w:t>
      </w:r>
      <w:r>
        <w:rPr>
          <w:color w:val="231F20"/>
          <w:spacing w:val="13"/>
        </w:rPr>
        <w:t> </w:t>
      </w:r>
      <w:r>
        <w:rPr>
          <w:color w:val="231F20"/>
        </w:rPr>
        <w:t>a</w:t>
      </w:r>
      <w:r>
        <w:rPr>
          <w:color w:val="231F20"/>
          <w:spacing w:val="13"/>
        </w:rPr>
        <w:t> </w:t>
      </w:r>
      <w:r>
        <w:rPr>
          <w:color w:val="231F20"/>
          <w:spacing w:val="-2"/>
        </w:rPr>
        <w:t>query</w:t>
      </w:r>
      <w:r>
        <w:rPr>
          <w:rFonts w:ascii="Palatino Linotype"/>
          <w:b w:val="0"/>
          <w:color w:val="231F20"/>
          <w:spacing w:val="-2"/>
        </w:rPr>
        <w:t>.</w:t>
      </w:r>
    </w:p>
    <w:p>
      <w:pPr>
        <w:pStyle w:val="ListParagraph"/>
        <w:numPr>
          <w:ilvl w:val="0"/>
          <w:numId w:val="89"/>
        </w:numPr>
        <w:tabs>
          <w:tab w:pos="2548" w:val="left" w:leader="none"/>
        </w:tabs>
        <w:spacing w:line="213" w:lineRule="auto" w:before="53" w:after="0"/>
        <w:ind w:left="2548" w:right="531" w:hanging="316"/>
        <w:jc w:val="left"/>
        <w:rPr>
          <w:sz w:val="20"/>
        </w:rPr>
      </w:pPr>
      <w:r>
        <w:rPr>
          <w:color w:val="231F20"/>
          <w:sz w:val="20"/>
        </w:rPr>
        <w:t>In the Query editor, review the query specification to see that it has a symbol defined for the attribute on which you want to build the custom link. </w:t>
      </w:r>
      <w:r>
        <w:rPr>
          <w:color w:val="231F20"/>
          <w:sz w:val="20"/>
        </w:rPr>
        <w:t>Symbols are surrounded by dollar signs ($) .</w:t>
      </w:r>
    </w:p>
    <w:p>
      <w:pPr>
        <w:pStyle w:val="ListParagraph"/>
        <w:numPr>
          <w:ilvl w:val="0"/>
          <w:numId w:val="89"/>
        </w:numPr>
        <w:tabs>
          <w:tab w:pos="2548" w:val="left" w:leader="none"/>
        </w:tabs>
        <w:spacing w:line="213" w:lineRule="auto" w:before="57" w:after="0"/>
        <w:ind w:left="2548" w:right="790" w:hanging="316"/>
        <w:jc w:val="left"/>
        <w:rPr>
          <w:sz w:val="20"/>
        </w:rPr>
      </w:pPr>
      <w:r>
        <w:rPr>
          <w:color w:val="231F20"/>
          <w:sz w:val="20"/>
        </w:rPr>
        <w:t>If the attribute has no symbol, create your own by typing </w:t>
      </w:r>
      <w:r>
        <w:rPr>
          <w:rFonts w:ascii="Arial"/>
          <w:color w:val="231F20"/>
          <w:sz w:val="20"/>
        </w:rPr>
        <w:t>$mysymbol$</w:t>
      </w:r>
      <w:r>
        <w:rPr>
          <w:rFonts w:ascii="Arial"/>
          <w:color w:val="231F20"/>
          <w:spacing w:val="-4"/>
          <w:sz w:val="20"/>
        </w:rPr>
        <w:t> </w:t>
      </w:r>
      <w:r>
        <w:rPr>
          <w:color w:val="231F20"/>
          <w:sz w:val="20"/>
        </w:rPr>
        <w:t>in the first cell in that column, where </w:t>
      </w:r>
      <w:r>
        <w:rPr>
          <w:rFonts w:ascii="Arial"/>
          <w:color w:val="231F20"/>
          <w:sz w:val="20"/>
        </w:rPr>
        <w:t>mysymbol </w:t>
      </w:r>
      <w:r>
        <w:rPr>
          <w:color w:val="231F20"/>
          <w:sz w:val="20"/>
        </w:rPr>
        <w:t>is a one-word name. If the query</w:t>
      </w:r>
    </w:p>
    <w:p>
      <w:pPr>
        <w:spacing w:after="0" w:line="213" w:lineRule="auto"/>
        <w:jc w:val="left"/>
        <w:rPr>
          <w:sz w:val="20"/>
        </w:rPr>
        <w:sectPr>
          <w:pgSz w:w="12240" w:h="15840"/>
          <w:pgMar w:header="0" w:footer="736" w:top="1180" w:bottom="920" w:left="1000" w:right="1060"/>
        </w:sectPr>
      </w:pPr>
    </w:p>
    <w:p>
      <w:pPr>
        <w:pStyle w:val="BodyText"/>
        <w:spacing w:line="213" w:lineRule="auto" w:before="85"/>
        <w:ind w:left="2788" w:right="235"/>
        <w:jc w:val="both"/>
      </w:pPr>
      <w:bookmarkStart w:name="_bookmark144" w:id="318"/>
      <w:bookmarkEnd w:id="318"/>
      <w:r>
        <w:rPr/>
      </w:r>
      <w:r>
        <w:rPr>
          <w:color w:val="231F20"/>
          <w:spacing w:val="-6"/>
        </w:rPr>
        <w:t>already</w:t>
      </w:r>
      <w:r>
        <w:rPr>
          <w:color w:val="231F20"/>
          <w:spacing w:val="-7"/>
        </w:rPr>
        <w:t> </w:t>
      </w:r>
      <w:r>
        <w:rPr>
          <w:color w:val="231F20"/>
          <w:spacing w:val="-6"/>
        </w:rPr>
        <w:t>has a</w:t>
      </w:r>
      <w:r>
        <w:rPr>
          <w:color w:val="231F20"/>
          <w:spacing w:val="-7"/>
        </w:rPr>
        <w:t> </w:t>
      </w:r>
      <w:r>
        <w:rPr>
          <w:color w:val="231F20"/>
          <w:spacing w:val="-6"/>
        </w:rPr>
        <w:t>symbol (or</w:t>
      </w:r>
      <w:r>
        <w:rPr>
          <w:color w:val="231F20"/>
          <w:spacing w:val="-7"/>
        </w:rPr>
        <w:t> </w:t>
      </w:r>
      <w:r>
        <w:rPr>
          <w:color w:val="231F20"/>
          <w:spacing w:val="-6"/>
        </w:rPr>
        <w:t>symbols) defined,</w:t>
      </w:r>
      <w:r>
        <w:rPr>
          <w:color w:val="231F20"/>
          <w:spacing w:val="-7"/>
        </w:rPr>
        <w:t> </w:t>
      </w:r>
      <w:r>
        <w:rPr>
          <w:color w:val="231F20"/>
          <w:spacing w:val="-6"/>
        </w:rPr>
        <w:t>such as</w:t>
      </w:r>
      <w:r>
        <w:rPr>
          <w:color w:val="231F20"/>
          <w:spacing w:val="-7"/>
        </w:rPr>
        <w:t> </w:t>
      </w:r>
      <w:r>
        <w:rPr>
          <w:rFonts w:ascii="Arial"/>
          <w:color w:val="231F20"/>
          <w:spacing w:val="-6"/>
        </w:rPr>
        <w:t>$WTPROCESS.IDPROCESS$</w:t>
      </w:r>
      <w:r>
        <w:rPr>
          <w:color w:val="231F20"/>
          <w:spacing w:val="-6"/>
        </w:rPr>
        <w:t>, be </w:t>
      </w:r>
      <w:r>
        <w:rPr>
          <w:color w:val="231F20"/>
        </w:rPr>
        <w:t>sure to add your symbol to the same row of the specification to create an AND </w:t>
      </w:r>
      <w:r>
        <w:rPr>
          <w:color w:val="231F20"/>
          <w:spacing w:val="-2"/>
        </w:rPr>
        <w:t>expression.</w:t>
      </w:r>
    </w:p>
    <w:p>
      <w:pPr>
        <w:pStyle w:val="BodyText"/>
        <w:spacing w:line="213" w:lineRule="auto" w:before="57"/>
        <w:ind w:left="2788"/>
      </w:pPr>
      <w:r>
        <w:rPr>
          <w:color w:val="231F20"/>
        </w:rPr>
        <w:t>You can create a symbol for any column whose value can be used to restrict the number</w:t>
      </w:r>
      <w:r>
        <w:rPr>
          <w:color w:val="231F20"/>
          <w:spacing w:val="27"/>
        </w:rPr>
        <w:t> </w:t>
      </w:r>
      <w:r>
        <w:rPr>
          <w:color w:val="231F20"/>
        </w:rPr>
        <w:t>of</w:t>
      </w:r>
      <w:r>
        <w:rPr>
          <w:color w:val="231F20"/>
          <w:spacing w:val="27"/>
        </w:rPr>
        <w:t> </w:t>
      </w:r>
      <w:r>
        <w:rPr>
          <w:color w:val="231F20"/>
        </w:rPr>
        <w:t>rows</w:t>
      </w:r>
      <w:r>
        <w:rPr>
          <w:color w:val="231F20"/>
          <w:spacing w:val="27"/>
        </w:rPr>
        <w:t> </w:t>
      </w:r>
      <w:r>
        <w:rPr>
          <w:color w:val="231F20"/>
        </w:rPr>
        <w:t>returned.</w:t>
      </w:r>
      <w:r>
        <w:rPr>
          <w:color w:val="231F20"/>
          <w:spacing w:val="27"/>
        </w:rPr>
        <w:t> </w:t>
      </w:r>
      <w:r>
        <w:rPr>
          <w:color w:val="231F20"/>
        </w:rPr>
        <w:t>If</w:t>
      </w:r>
      <w:r>
        <w:rPr>
          <w:color w:val="231F20"/>
          <w:spacing w:val="27"/>
        </w:rPr>
        <w:t> </w:t>
      </w:r>
      <w:r>
        <w:rPr>
          <w:color w:val="231F20"/>
        </w:rPr>
        <w:t>the</w:t>
      </w:r>
      <w:r>
        <w:rPr>
          <w:color w:val="231F20"/>
          <w:spacing w:val="27"/>
        </w:rPr>
        <w:t> </w:t>
      </w:r>
      <w:r>
        <w:rPr>
          <w:color w:val="231F20"/>
        </w:rPr>
        <w:t>symbol</w:t>
      </w:r>
      <w:r>
        <w:rPr>
          <w:color w:val="231F20"/>
          <w:spacing w:val="27"/>
        </w:rPr>
        <w:t> </w:t>
      </w:r>
      <w:r>
        <w:rPr>
          <w:color w:val="231F20"/>
        </w:rPr>
        <w:t>resolves</w:t>
      </w:r>
      <w:r>
        <w:rPr>
          <w:color w:val="231F20"/>
          <w:spacing w:val="27"/>
        </w:rPr>
        <w:t> </w:t>
      </w:r>
      <w:r>
        <w:rPr>
          <w:color w:val="231F20"/>
        </w:rPr>
        <w:t>to</w:t>
      </w:r>
      <w:r>
        <w:rPr>
          <w:color w:val="231F20"/>
          <w:spacing w:val="27"/>
        </w:rPr>
        <w:t> </w:t>
      </w:r>
      <w:r>
        <w:rPr>
          <w:color w:val="231F20"/>
        </w:rPr>
        <w:t>a</w:t>
      </w:r>
      <w:r>
        <w:rPr>
          <w:color w:val="231F20"/>
          <w:spacing w:val="27"/>
        </w:rPr>
        <w:t> </w:t>
      </w:r>
      <w:r>
        <w:rPr>
          <w:color w:val="231F20"/>
        </w:rPr>
        <w:t>non-null</w:t>
      </w:r>
      <w:r>
        <w:rPr>
          <w:color w:val="231F20"/>
          <w:spacing w:val="27"/>
        </w:rPr>
        <w:t> </w:t>
      </w:r>
      <w:r>
        <w:rPr>
          <w:color w:val="231F20"/>
        </w:rPr>
        <w:t>value,</w:t>
      </w:r>
      <w:r>
        <w:rPr>
          <w:color w:val="231F20"/>
          <w:spacing w:val="27"/>
        </w:rPr>
        <w:t> </w:t>
      </w:r>
      <w:r>
        <w:rPr>
          <w:color w:val="231F20"/>
        </w:rPr>
        <w:t>a restricting where clause is added; if not, it is skipped.</w:t>
      </w:r>
    </w:p>
    <w:p>
      <w:pPr>
        <w:pStyle w:val="ListParagraph"/>
        <w:numPr>
          <w:ilvl w:val="0"/>
          <w:numId w:val="89"/>
        </w:numPr>
        <w:tabs>
          <w:tab w:pos="2787" w:val="left" w:leader="none"/>
        </w:tabs>
        <w:spacing w:line="240" w:lineRule="auto" w:before="35" w:after="0"/>
        <w:ind w:left="2787" w:right="0" w:hanging="315"/>
        <w:jc w:val="left"/>
        <w:rPr>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2"/>
          <w:sz w:val="20"/>
        </w:rPr>
        <w:t> </w:t>
      </w:r>
      <w:r>
        <w:rPr>
          <w:color w:val="231F20"/>
          <w:sz w:val="20"/>
        </w:rPr>
        <w:t>save</w:t>
      </w:r>
      <w:r>
        <w:rPr>
          <w:color w:val="231F20"/>
          <w:spacing w:val="12"/>
          <w:sz w:val="20"/>
        </w:rPr>
        <w:t> </w:t>
      </w:r>
      <w:r>
        <w:rPr>
          <w:color w:val="231F20"/>
          <w:sz w:val="20"/>
        </w:rPr>
        <w:t>your</w:t>
      </w:r>
      <w:r>
        <w:rPr>
          <w:color w:val="231F20"/>
          <w:spacing w:val="13"/>
          <w:sz w:val="20"/>
        </w:rPr>
        <w:t> </w:t>
      </w:r>
      <w:r>
        <w:rPr>
          <w:color w:val="231F20"/>
          <w:sz w:val="20"/>
        </w:rPr>
        <w:t>changes</w:t>
      </w:r>
      <w:r>
        <w:rPr>
          <w:color w:val="231F20"/>
          <w:spacing w:val="12"/>
          <w:sz w:val="20"/>
        </w:rPr>
        <w:t> </w:t>
      </w:r>
      <w:r>
        <w:rPr>
          <w:color w:val="231F20"/>
          <w:sz w:val="20"/>
        </w:rPr>
        <w:t>to</w:t>
      </w:r>
      <w:r>
        <w:rPr>
          <w:color w:val="231F20"/>
          <w:spacing w:val="12"/>
          <w:sz w:val="20"/>
        </w:rPr>
        <w:t> </w:t>
      </w:r>
      <w:r>
        <w:rPr>
          <w:color w:val="231F20"/>
          <w:sz w:val="20"/>
        </w:rPr>
        <w:t>the</w:t>
      </w:r>
      <w:r>
        <w:rPr>
          <w:color w:val="231F20"/>
          <w:spacing w:val="12"/>
          <w:sz w:val="20"/>
        </w:rPr>
        <w:t> </w:t>
      </w:r>
      <w:r>
        <w:rPr>
          <w:color w:val="231F20"/>
          <w:sz w:val="20"/>
        </w:rPr>
        <w:t>query</w:t>
      </w:r>
      <w:r>
        <w:rPr>
          <w:color w:val="231F20"/>
          <w:spacing w:val="13"/>
          <w:sz w:val="20"/>
        </w:rPr>
        <w:t> </w:t>
      </w:r>
      <w:r>
        <w:rPr>
          <w:color w:val="231F20"/>
          <w:sz w:val="20"/>
        </w:rPr>
        <w:t>and</w:t>
      </w:r>
      <w:r>
        <w:rPr>
          <w:color w:val="231F20"/>
          <w:spacing w:val="12"/>
          <w:sz w:val="20"/>
        </w:rPr>
        <w:t> </w:t>
      </w:r>
      <w:r>
        <w:rPr>
          <w:color w:val="231F20"/>
          <w:sz w:val="20"/>
        </w:rPr>
        <w:t>close</w:t>
      </w:r>
      <w:r>
        <w:rPr>
          <w:color w:val="231F20"/>
          <w:spacing w:val="12"/>
          <w:sz w:val="20"/>
        </w:rPr>
        <w:t> </w:t>
      </w:r>
      <w:r>
        <w:rPr>
          <w:color w:val="231F20"/>
          <w:sz w:val="20"/>
        </w:rPr>
        <w:t>the</w:t>
      </w:r>
      <w:r>
        <w:rPr>
          <w:color w:val="231F20"/>
          <w:spacing w:val="12"/>
          <w:sz w:val="20"/>
        </w:rPr>
        <w:t> </w:t>
      </w:r>
      <w:r>
        <w:rPr>
          <w:color w:val="231F20"/>
          <w:spacing w:val="-2"/>
          <w:sz w:val="20"/>
        </w:rPr>
        <w:t>window.</w:t>
      </w:r>
    </w:p>
    <w:p>
      <w:pPr>
        <w:pStyle w:val="ListParagraph"/>
        <w:numPr>
          <w:ilvl w:val="0"/>
          <w:numId w:val="89"/>
        </w:numPr>
        <w:tabs>
          <w:tab w:pos="2787" w:val="left" w:leader="none"/>
        </w:tabs>
        <w:spacing w:line="240" w:lineRule="auto" w:before="30" w:after="0"/>
        <w:ind w:left="2787" w:right="0" w:hanging="315"/>
        <w:jc w:val="left"/>
        <w:rPr>
          <w:sz w:val="20"/>
        </w:rPr>
      </w:pPr>
      <w:r>
        <w:rPr>
          <w:color w:val="231F20"/>
          <w:sz w:val="20"/>
        </w:rPr>
        <w:t>Repeat</w:t>
      </w:r>
      <w:r>
        <w:rPr>
          <w:color w:val="231F20"/>
          <w:spacing w:val="11"/>
          <w:sz w:val="20"/>
        </w:rPr>
        <w:t> </w:t>
      </w:r>
      <w:r>
        <w:rPr>
          <w:color w:val="231F20"/>
          <w:sz w:val="20"/>
        </w:rPr>
        <w:t>these</w:t>
      </w:r>
      <w:r>
        <w:rPr>
          <w:color w:val="231F20"/>
          <w:spacing w:val="12"/>
          <w:sz w:val="20"/>
        </w:rPr>
        <w:t> </w:t>
      </w:r>
      <w:r>
        <w:rPr>
          <w:color w:val="231F20"/>
          <w:sz w:val="20"/>
        </w:rPr>
        <w:t>steps</w:t>
      </w:r>
      <w:r>
        <w:rPr>
          <w:color w:val="231F20"/>
          <w:spacing w:val="12"/>
          <w:sz w:val="20"/>
        </w:rPr>
        <w:t> </w:t>
      </w:r>
      <w:r>
        <w:rPr>
          <w:color w:val="231F20"/>
          <w:sz w:val="20"/>
        </w:rPr>
        <w:t>for</w:t>
      </w:r>
      <w:r>
        <w:rPr>
          <w:color w:val="231F20"/>
          <w:spacing w:val="11"/>
          <w:sz w:val="20"/>
        </w:rPr>
        <w:t> </w:t>
      </w:r>
      <w:r>
        <w:rPr>
          <w:color w:val="231F20"/>
          <w:sz w:val="20"/>
        </w:rPr>
        <w:t>any</w:t>
      </w:r>
      <w:r>
        <w:rPr>
          <w:color w:val="231F20"/>
          <w:spacing w:val="12"/>
          <w:sz w:val="20"/>
        </w:rPr>
        <w:t> </w:t>
      </w:r>
      <w:r>
        <w:rPr>
          <w:color w:val="231F20"/>
          <w:sz w:val="20"/>
        </w:rPr>
        <w:t>other</w:t>
      </w:r>
      <w:r>
        <w:rPr>
          <w:color w:val="231F20"/>
          <w:spacing w:val="12"/>
          <w:sz w:val="20"/>
        </w:rPr>
        <w:t> </w:t>
      </w:r>
      <w:r>
        <w:rPr>
          <w:color w:val="231F20"/>
          <w:sz w:val="20"/>
        </w:rPr>
        <w:t>views</w:t>
      </w:r>
      <w:r>
        <w:rPr>
          <w:color w:val="231F20"/>
          <w:spacing w:val="12"/>
          <w:sz w:val="20"/>
        </w:rPr>
        <w:t> </w:t>
      </w:r>
      <w:r>
        <w:rPr>
          <w:color w:val="231F20"/>
          <w:sz w:val="20"/>
        </w:rPr>
        <w:t>whose</w:t>
      </w:r>
      <w:r>
        <w:rPr>
          <w:color w:val="231F20"/>
          <w:spacing w:val="11"/>
          <w:sz w:val="20"/>
        </w:rPr>
        <w:t> </w:t>
      </w:r>
      <w:r>
        <w:rPr>
          <w:color w:val="231F20"/>
          <w:sz w:val="20"/>
        </w:rPr>
        <w:t>query</w:t>
      </w:r>
      <w:r>
        <w:rPr>
          <w:color w:val="231F20"/>
          <w:spacing w:val="12"/>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to</w:t>
      </w:r>
      <w:r>
        <w:rPr>
          <w:color w:val="231F20"/>
          <w:spacing w:val="12"/>
          <w:sz w:val="20"/>
        </w:rPr>
        <w:t> </w:t>
      </w:r>
      <w:r>
        <w:rPr>
          <w:color w:val="231F20"/>
          <w:spacing w:val="-2"/>
          <w:sz w:val="20"/>
        </w:rPr>
        <w:t>check.</w:t>
      </w:r>
    </w:p>
    <w:p>
      <w:pPr>
        <w:pStyle w:val="Heading4"/>
        <w:spacing w:before="194"/>
        <w:ind w:left="0" w:right="6840"/>
        <w:jc w:val="right"/>
      </w:pPr>
      <w:r>
        <w:rPr>
          <w:color w:val="231F20"/>
          <w:spacing w:val="-2"/>
        </w:rPr>
        <w:t>Results</w:t>
      </w:r>
    </w:p>
    <w:p>
      <w:pPr>
        <w:pStyle w:val="BodyText"/>
        <w:spacing w:line="213" w:lineRule="auto" w:before="241"/>
        <w:ind w:left="2472" w:right="375"/>
        <w:jc w:val="both"/>
      </w:pPr>
      <w:r>
        <w:rPr>
          <w:color w:val="231F20"/>
        </w:rPr>
        <w:t>When you are finished, you can open the source workspace for the link and </w:t>
      </w:r>
      <w:r>
        <w:rPr>
          <w:color w:val="231F20"/>
        </w:rPr>
        <w:t>start the Link Wizard from the chart or table row. The symbol you added is displayed</w:t>
      </w:r>
      <w:r>
        <w:rPr>
          <w:color w:val="231F20"/>
          <w:spacing w:val="40"/>
        </w:rPr>
        <w:t> </w:t>
      </w:r>
      <w:r>
        <w:rPr>
          <w:color w:val="231F20"/>
        </w:rPr>
        <w:t>in the list of symbols available for the query.</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Use a one-word name surrounded by dollar signs, as in $mysymbol$, </w:t>
      </w:r>
      <w:r>
        <w:rPr>
          <w:color w:val="231F20"/>
        </w:rPr>
        <w:t>wher</w:t>
      </w:r>
      <w:r>
        <w:rPr>
          <w:color w:val="231F20"/>
        </w:rPr>
        <w:t>e</w:t>
      </w:r>
      <w:r>
        <w:rPr>
          <w:color w:val="231F20"/>
        </w:rPr>
        <w:t> mysymbol is the symbol name.</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Do not use the same name as one of your monitoring agent attributes. </w:t>
      </w:r>
      <w:r>
        <w:rPr>
          <w:color w:val="231F20"/>
        </w:rPr>
        <w:t>For</w:t>
      </w:r>
      <w:r>
        <w:rPr>
          <w:color w:val="231F20"/>
          <w:spacing w:val="40"/>
        </w:rPr>
        <w:t> </w:t>
      </w:r>
      <w:r>
        <w:rPr>
          <w:color w:val="231F20"/>
        </w:rPr>
        <w:t>example, $MYNODE$ is acceptable, but not $NODE$.</w:t>
      </w:r>
    </w:p>
    <w:p>
      <w:pPr>
        <w:pStyle w:val="BodyText"/>
        <w:spacing w:line="213" w:lineRule="auto" w:before="59"/>
        <w:ind w:left="2688" w:right="493" w:hanging="216"/>
      </w:pPr>
      <w:r>
        <w:rPr>
          <w:rFonts w:ascii="Futura MdCn BT"/>
          <w:color w:val="231F20"/>
        </w:rPr>
        <w:t>v</w:t>
      </w:r>
      <w:r>
        <w:rPr>
          <w:rFonts w:ascii="Futura MdCn BT"/>
          <w:color w:val="231F20"/>
          <w:spacing w:val="80"/>
        </w:rPr>
        <w:t> </w:t>
      </w:r>
      <w:r>
        <w:rPr>
          <w:color w:val="231F20"/>
        </w:rPr>
        <w:t>When the link is launched, a symbol is resolved to a value enclosed in single</w:t>
      </w:r>
      <w:r>
        <w:rPr>
          <w:color w:val="231F20"/>
          <w:spacing w:val="40"/>
        </w:rPr>
        <w:t> </w:t>
      </w:r>
      <w:r>
        <w:rPr>
          <w:color w:val="231F20"/>
        </w:rPr>
        <w:t>quote marks if it is anything other than an integer. An integer resolves </w:t>
      </w:r>
      <w:r>
        <w:rPr>
          <w:color w:val="231F20"/>
        </w:rPr>
        <w:t>without</w:t>
      </w:r>
      <w:r>
        <w:rPr>
          <w:color w:val="231F20"/>
        </w:rPr>
        <w:t> the quotes.</w:t>
      </w:r>
    </w:p>
    <w:p>
      <w:pPr>
        <w:pStyle w:val="BodyText"/>
        <w:spacing w:before="4"/>
        <w:rPr>
          <w:sz w:val="16"/>
        </w:rPr>
      </w:pPr>
      <w:r>
        <w:rPr/>
        <mc:AlternateContent>
          <mc:Choice Requires="wps">
            <w:drawing>
              <wp:anchor distT="0" distB="0" distL="0" distR="0" allowOverlap="1" layoutInCell="1" locked="0" behindDoc="1" simplePos="0" relativeHeight="487708160">
                <wp:simplePos x="0" y="0"/>
                <wp:positionH relativeFrom="page">
                  <wp:posOffset>912380</wp:posOffset>
                </wp:positionH>
                <wp:positionV relativeFrom="paragraph">
                  <wp:posOffset>155472</wp:posOffset>
                </wp:positionV>
                <wp:extent cx="6082665" cy="1270"/>
                <wp:effectExtent l="0" t="0" r="0" b="0"/>
                <wp:wrapTopAndBottom/>
                <wp:docPr id="1746" name="Graphic 1746"/>
                <wp:cNvGraphicFramePr>
                  <a:graphicFrameLocks/>
                </wp:cNvGraphicFramePr>
                <a:graphic>
                  <a:graphicData uri="http://schemas.microsoft.com/office/word/2010/wordprocessingShape">
                    <wps:wsp>
                      <wps:cNvPr id="1746" name="Graphic 174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41906pt;width:478.95pt;height:.1pt;mso-position-horizontal-relative:page;mso-position-vertical-relative:paragraph;z-index:-15608320;mso-wrap-distance-left:0;mso-wrap-distance-right:0" id="docshape174" coordorigin="1437,245" coordsize="9579,0" path="m1437,245l11016,245e" filled="false" stroked="true" strokeweight=".499pt" strokecolor="#231f20">
                <v:path arrowok="t"/>
                <v:stroke dashstyle="solid"/>
                <w10:wrap type="topAndBottom"/>
              </v:shape>
            </w:pict>
          </mc:Fallback>
        </mc:AlternateContent>
      </w:r>
    </w:p>
    <w:p>
      <w:pPr>
        <w:pStyle w:val="Heading3"/>
        <w:ind w:left="0" w:right="6791"/>
        <w:jc w:val="right"/>
      </w:pPr>
      <w:bookmarkStart w:name="Queries to a database" w:id="319"/>
      <w:bookmarkEnd w:id="319"/>
      <w:r>
        <w:rPr>
          <w:b w:val="0"/>
        </w:rPr>
      </w:r>
      <w:r>
        <w:rPr>
          <w:color w:val="231F20"/>
        </w:rPr>
        <w:t>Queries</w:t>
      </w:r>
      <w:r>
        <w:rPr>
          <w:color w:val="231F20"/>
          <w:spacing w:val="10"/>
        </w:rPr>
        <w:t> </w:t>
      </w:r>
      <w:r>
        <w:rPr>
          <w:color w:val="231F20"/>
        </w:rPr>
        <w:t>to</w:t>
      </w:r>
      <w:r>
        <w:rPr>
          <w:color w:val="231F20"/>
          <w:spacing w:val="10"/>
        </w:rPr>
        <w:t> </w:t>
      </w:r>
      <w:r>
        <w:rPr>
          <w:color w:val="231F20"/>
        </w:rPr>
        <w:t>a</w:t>
      </w:r>
      <w:r>
        <w:rPr>
          <w:color w:val="231F20"/>
          <w:spacing w:val="10"/>
        </w:rPr>
        <w:t> </w:t>
      </w:r>
      <w:r>
        <w:rPr>
          <w:color w:val="231F20"/>
          <w:spacing w:val="-2"/>
        </w:rPr>
        <w:t>database</w:t>
      </w:r>
    </w:p>
    <w:p>
      <w:pPr>
        <w:pStyle w:val="BodyText"/>
        <w:spacing w:line="213" w:lineRule="auto" w:before="138"/>
        <w:ind w:left="2472" w:right="202"/>
      </w:pPr>
      <w:r>
        <w:rPr>
          <w:color w:val="231F20"/>
        </w:rPr>
        <w:t>The</w:t>
      </w:r>
      <w:r>
        <w:rPr>
          <w:color w:val="231F20"/>
          <w:spacing w:val="23"/>
        </w:rPr>
        <w:t> </w:t>
      </w:r>
      <w:r>
        <w:rPr>
          <w:color w:val="231F20"/>
        </w:rPr>
        <w:t>Query</w:t>
      </w:r>
      <w:r>
        <w:rPr>
          <w:color w:val="231F20"/>
          <w:spacing w:val="23"/>
        </w:rPr>
        <w:t> </w:t>
      </w:r>
      <w:r>
        <w:rPr>
          <w:color w:val="231F20"/>
        </w:rPr>
        <w:t>editor</w:t>
      </w:r>
      <w:r>
        <w:rPr>
          <w:color w:val="231F20"/>
          <w:spacing w:val="23"/>
        </w:rPr>
        <w:t> </w:t>
      </w:r>
      <w:r>
        <w:rPr>
          <w:color w:val="231F20"/>
        </w:rPr>
        <w:t>has</w:t>
      </w:r>
      <w:r>
        <w:rPr>
          <w:color w:val="231F20"/>
          <w:spacing w:val="23"/>
        </w:rPr>
        <w:t> </w:t>
      </w:r>
      <w:r>
        <w:rPr>
          <w:color w:val="231F20"/>
        </w:rPr>
        <w:t>a</w:t>
      </w:r>
      <w:r>
        <w:rPr>
          <w:color w:val="231F20"/>
          <w:spacing w:val="23"/>
        </w:rPr>
        <w:t> </w:t>
      </w:r>
      <w:r>
        <w:rPr>
          <w:color w:val="231F20"/>
        </w:rPr>
        <w:t>text</w:t>
      </w:r>
      <w:r>
        <w:rPr>
          <w:color w:val="231F20"/>
          <w:spacing w:val="23"/>
        </w:rPr>
        <w:t> </w:t>
      </w:r>
      <w:r>
        <w:rPr>
          <w:color w:val="231F20"/>
        </w:rPr>
        <w:t>editor</w:t>
      </w:r>
      <w:r>
        <w:rPr>
          <w:color w:val="231F20"/>
          <w:spacing w:val="23"/>
        </w:rPr>
        <w:t> </w:t>
      </w:r>
      <w:r>
        <w:rPr>
          <w:color w:val="231F20"/>
        </w:rPr>
        <w:t>where</w:t>
      </w:r>
      <w:r>
        <w:rPr>
          <w:color w:val="231F20"/>
          <w:spacing w:val="23"/>
        </w:rPr>
        <w:t> </w:t>
      </w:r>
      <w:r>
        <w:rPr>
          <w:color w:val="231F20"/>
        </w:rPr>
        <w:t>you</w:t>
      </w:r>
      <w:r>
        <w:rPr>
          <w:color w:val="231F20"/>
          <w:spacing w:val="23"/>
        </w:rPr>
        <w:t> </w:t>
      </w:r>
      <w:r>
        <w:rPr>
          <w:color w:val="231F20"/>
        </w:rPr>
        <w:t>can</w:t>
      </w:r>
      <w:r>
        <w:rPr>
          <w:color w:val="231F20"/>
          <w:spacing w:val="23"/>
        </w:rPr>
        <w:t> </w:t>
      </w:r>
      <w:r>
        <w:rPr>
          <w:color w:val="231F20"/>
        </w:rPr>
        <w:t>compose</w:t>
      </w:r>
      <w:r>
        <w:rPr>
          <w:color w:val="231F20"/>
          <w:spacing w:val="23"/>
        </w:rPr>
        <w:t> </w:t>
      </w:r>
      <w:r>
        <w:rPr>
          <w:color w:val="231F20"/>
        </w:rPr>
        <w:t>free-form</w:t>
      </w:r>
      <w:r>
        <w:rPr>
          <w:color w:val="231F20"/>
          <w:spacing w:val="23"/>
        </w:rPr>
        <w:t> </w:t>
      </w:r>
      <w:r>
        <w:rPr>
          <w:color w:val="231F20"/>
        </w:rPr>
        <w:t>SQL queries to any JDBC- or ODBC-compliant databases located on the system where the </w:t>
      </w:r>
      <w:r>
        <w:rPr>
          <w:color w:val="231F20"/>
        </w:rPr>
        <w:t>Tivoli Enterprise Portal server is installed.</w:t>
      </w:r>
    </w:p>
    <w:p>
      <w:pPr>
        <w:pStyle w:val="Heading3"/>
        <w:spacing w:before="217"/>
        <w:ind w:left="1574"/>
      </w:pPr>
      <w:bookmarkStart w:name="Creating a query to a JDBC or ODBC datab" w:id="320"/>
      <w:bookmarkEnd w:id="320"/>
      <w:r>
        <w:rPr>
          <w:b w:val="0"/>
        </w:rPr>
      </w:r>
      <w:r>
        <w:rPr>
          <w:color w:val="231F20"/>
        </w:rPr>
        <w:t>Creating</w:t>
      </w:r>
      <w:r>
        <w:rPr>
          <w:color w:val="231F20"/>
          <w:spacing w:val="9"/>
        </w:rPr>
        <w:t> </w:t>
      </w:r>
      <w:r>
        <w:rPr>
          <w:color w:val="231F20"/>
        </w:rPr>
        <w:t>a</w:t>
      </w:r>
      <w:r>
        <w:rPr>
          <w:color w:val="231F20"/>
          <w:spacing w:val="10"/>
        </w:rPr>
        <w:t> </w:t>
      </w:r>
      <w:r>
        <w:rPr>
          <w:color w:val="231F20"/>
        </w:rPr>
        <w:t>query</w:t>
      </w:r>
      <w:r>
        <w:rPr>
          <w:color w:val="231F20"/>
          <w:spacing w:val="9"/>
        </w:rPr>
        <w:t> </w:t>
      </w:r>
      <w:r>
        <w:rPr>
          <w:color w:val="231F20"/>
        </w:rPr>
        <w:t>to</w:t>
      </w:r>
      <w:r>
        <w:rPr>
          <w:color w:val="231F20"/>
          <w:spacing w:val="10"/>
        </w:rPr>
        <w:t> </w:t>
      </w:r>
      <w:r>
        <w:rPr>
          <w:color w:val="231F20"/>
        </w:rPr>
        <w:t>a</w:t>
      </w:r>
      <w:r>
        <w:rPr>
          <w:color w:val="231F20"/>
          <w:spacing w:val="9"/>
        </w:rPr>
        <w:t> </w:t>
      </w:r>
      <w:r>
        <w:rPr>
          <w:color w:val="231F20"/>
        </w:rPr>
        <w:t>JDBC</w:t>
      </w:r>
      <w:r>
        <w:rPr>
          <w:color w:val="231F20"/>
          <w:spacing w:val="10"/>
        </w:rPr>
        <w:t> </w:t>
      </w:r>
      <w:r>
        <w:rPr>
          <w:color w:val="231F20"/>
        </w:rPr>
        <w:t>or</w:t>
      </w:r>
      <w:r>
        <w:rPr>
          <w:color w:val="231F20"/>
          <w:spacing w:val="10"/>
        </w:rPr>
        <w:t> </w:t>
      </w:r>
      <w:r>
        <w:rPr>
          <w:color w:val="231F20"/>
        </w:rPr>
        <w:t>ODBC</w:t>
      </w:r>
      <w:r>
        <w:rPr>
          <w:color w:val="231F20"/>
          <w:spacing w:val="9"/>
        </w:rPr>
        <w:t> </w:t>
      </w:r>
      <w:r>
        <w:rPr>
          <w:color w:val="231F20"/>
          <w:spacing w:val="-2"/>
        </w:rPr>
        <w:t>database</w:t>
      </w:r>
    </w:p>
    <w:p>
      <w:pPr>
        <w:pStyle w:val="BodyText"/>
        <w:spacing w:line="213" w:lineRule="auto" w:before="58"/>
        <w:ind w:left="2472" w:right="278"/>
      </w:pPr>
      <w:r>
        <w:rPr>
          <w:color w:val="231F20"/>
        </w:rPr>
        <w:t>The Query editor has a text editor for composing free-form SQL statements to </w:t>
      </w:r>
      <w:r>
        <w:rPr>
          <w:color w:val="231F20"/>
        </w:rPr>
        <w:t>any JDBC- or ODBC-compliant database located on the computer where the Tivoli Enterprise Portal server is installed.</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379"/>
      </w:pPr>
      <w:r>
        <w:rPr>
          <w:color w:val="231F20"/>
        </w:rPr>
        <w:t>Your user ID must have Modify Query permission for this function. If you do not</w:t>
      </w:r>
      <w:r>
        <w:rPr>
          <w:color w:val="231F20"/>
          <w:spacing w:val="40"/>
        </w:rPr>
        <w:t> </w:t>
      </w:r>
      <w:r>
        <w:rPr>
          <w:color w:val="231F20"/>
        </w:rPr>
        <w:t>see the Queries tool, your user ID does not have View or Modify Query</w:t>
      </w:r>
      <w:r>
        <w:rPr>
          <w:color w:val="231F20"/>
          <w:spacing w:val="80"/>
        </w:rPr>
        <w:t> </w:t>
      </w:r>
      <w:r>
        <w:rPr>
          <w:color w:val="231F20"/>
        </w:rPr>
        <w:t>permissions; if you can open the Query editor but the tools are disabled, your </w:t>
      </w:r>
      <w:r>
        <w:rPr>
          <w:color w:val="231F20"/>
        </w:rPr>
        <w:t>user ID does not have Modify Query permission.</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58"/>
      </w:pPr>
      <w:r>
        <w:rPr>
          <w:color w:val="231F20"/>
        </w:rPr>
        <w:t>Use this task to create a new query of JDBC or ODBC attributes, thus enabling </w:t>
      </w:r>
      <w:r>
        <w:rPr>
          <w:color w:val="231F20"/>
        </w:rPr>
        <w:t>you</w:t>
      </w:r>
      <w:r>
        <w:rPr>
          <w:color w:val="231F20"/>
          <w:spacing w:val="80"/>
        </w:rPr>
        <w:t> </w:t>
      </w:r>
      <w:r>
        <w:rPr>
          <w:color w:val="231F20"/>
        </w:rPr>
        <w:t>to</w:t>
      </w:r>
      <w:r>
        <w:rPr>
          <w:color w:val="231F20"/>
          <w:spacing w:val="29"/>
        </w:rPr>
        <w:t> </w:t>
      </w:r>
      <w:r>
        <w:rPr>
          <w:color w:val="231F20"/>
        </w:rPr>
        <w:t>integrate</w:t>
      </w:r>
      <w:r>
        <w:rPr>
          <w:color w:val="231F20"/>
          <w:spacing w:val="29"/>
        </w:rPr>
        <w:t> </w:t>
      </w:r>
      <w:r>
        <w:rPr>
          <w:color w:val="231F20"/>
        </w:rPr>
        <w:t>systems</w:t>
      </w:r>
      <w:r>
        <w:rPr>
          <w:color w:val="231F20"/>
          <w:spacing w:val="29"/>
        </w:rPr>
        <w:t> </w:t>
      </w:r>
      <w:r>
        <w:rPr>
          <w:color w:val="231F20"/>
        </w:rPr>
        <w:t>management</w:t>
      </w:r>
      <w:r>
        <w:rPr>
          <w:color w:val="231F20"/>
          <w:spacing w:val="29"/>
        </w:rPr>
        <w:t> </w:t>
      </w:r>
      <w:r>
        <w:rPr>
          <w:color w:val="231F20"/>
        </w:rPr>
        <w:t>data</w:t>
      </w:r>
      <w:r>
        <w:rPr>
          <w:color w:val="231F20"/>
          <w:spacing w:val="29"/>
        </w:rPr>
        <w:t> </w:t>
      </w:r>
      <w:r>
        <w:rPr>
          <w:color w:val="231F20"/>
        </w:rPr>
        <w:t>from</w:t>
      </w:r>
      <w:r>
        <w:rPr>
          <w:color w:val="231F20"/>
          <w:spacing w:val="29"/>
        </w:rPr>
        <w:t> </w:t>
      </w:r>
      <w:r>
        <w:rPr>
          <w:color w:val="231F20"/>
        </w:rPr>
        <w:t>monitoring</w:t>
      </w:r>
      <w:r>
        <w:rPr>
          <w:color w:val="231F20"/>
          <w:spacing w:val="29"/>
        </w:rPr>
        <w:t> </w:t>
      </w:r>
      <w:r>
        <w:rPr>
          <w:color w:val="231F20"/>
        </w:rPr>
        <w:t>agents</w:t>
      </w:r>
      <w:r>
        <w:rPr>
          <w:color w:val="231F20"/>
          <w:spacing w:val="29"/>
        </w:rPr>
        <w:t> </w:t>
      </w:r>
      <w:r>
        <w:rPr>
          <w:color w:val="231F20"/>
        </w:rPr>
        <w:t>with</w:t>
      </w:r>
      <w:r>
        <w:rPr>
          <w:color w:val="231F20"/>
          <w:spacing w:val="29"/>
        </w:rPr>
        <w:t> </w:t>
      </w:r>
      <w:r>
        <w:rPr>
          <w:color w:val="231F20"/>
        </w:rPr>
        <w:t>data</w:t>
      </w:r>
      <w:r>
        <w:rPr>
          <w:color w:val="231F20"/>
          <w:spacing w:val="29"/>
        </w:rPr>
        <w:t> </w:t>
      </w:r>
      <w:r>
        <w:rPr>
          <w:color w:val="231F20"/>
        </w:rPr>
        <w:t>from other sources in one workspace.</w:t>
      </w:r>
    </w:p>
    <w:p>
      <w:pPr>
        <w:pStyle w:val="Heading4"/>
        <w:spacing w:before="199"/>
        <w:ind w:left="2472"/>
      </w:pPr>
      <w:r>
        <w:rPr>
          <w:color w:val="231F20"/>
          <w:spacing w:val="-2"/>
        </w:rPr>
        <w:t>Procedure</w:t>
      </w:r>
    </w:p>
    <w:p>
      <w:pPr>
        <w:pStyle w:val="ListParagraph"/>
        <w:numPr>
          <w:ilvl w:val="0"/>
          <w:numId w:val="90"/>
        </w:numPr>
        <w:tabs>
          <w:tab w:pos="2787" w:val="left" w:leader="none"/>
        </w:tabs>
        <w:spacing w:line="240" w:lineRule="auto" w:before="39" w:after="0"/>
        <w:ind w:left="2787" w:right="0" w:hanging="315"/>
        <w:jc w:val="left"/>
        <w:rPr>
          <w:sz w:val="20"/>
        </w:rPr>
      </w:pPr>
      <w:r>
        <w:rPr>
          <w:color w:val="231F20"/>
          <w:sz w:val="20"/>
        </w:rPr>
        <w:t>Do</w:t>
      </w:r>
      <w:r>
        <w:rPr>
          <w:color w:val="231F20"/>
          <w:spacing w:val="11"/>
          <w:sz w:val="20"/>
        </w:rPr>
        <w:t> </w:t>
      </w:r>
      <w:r>
        <w:rPr>
          <w:color w:val="231F20"/>
          <w:sz w:val="20"/>
        </w:rPr>
        <w:t>either</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actions</w:t>
      </w:r>
      <w:r>
        <w:rPr>
          <w:color w:val="231F20"/>
          <w:spacing w:val="12"/>
          <w:sz w:val="20"/>
        </w:rPr>
        <w:t> </w:t>
      </w:r>
      <w:r>
        <w:rPr>
          <w:color w:val="231F20"/>
          <w:sz w:val="20"/>
        </w:rPr>
        <w:t>to</w:t>
      </w:r>
      <w:r>
        <w:rPr>
          <w:color w:val="231F20"/>
          <w:spacing w:val="11"/>
          <w:sz w:val="20"/>
        </w:rPr>
        <w:t> </w:t>
      </w:r>
      <w:r>
        <w:rPr>
          <w:color w:val="231F20"/>
          <w:sz w:val="20"/>
        </w:rPr>
        <w:t>open</w:t>
      </w:r>
      <w:r>
        <w:rPr>
          <w:color w:val="231F20"/>
          <w:spacing w:val="12"/>
          <w:sz w:val="20"/>
        </w:rPr>
        <w:t> </w:t>
      </w:r>
      <w:r>
        <w:rPr>
          <w:color w:val="231F20"/>
          <w:sz w:val="20"/>
        </w:rPr>
        <w:t>the</w:t>
      </w:r>
      <w:r>
        <w:rPr>
          <w:color w:val="231F20"/>
          <w:spacing w:val="12"/>
          <w:sz w:val="20"/>
        </w:rPr>
        <w:t> </w:t>
      </w:r>
      <w:r>
        <w:rPr>
          <w:color w:val="231F20"/>
          <w:sz w:val="20"/>
        </w:rPr>
        <w:t>Query</w:t>
      </w:r>
      <w:r>
        <w:rPr>
          <w:color w:val="231F20"/>
          <w:spacing w:val="12"/>
          <w:sz w:val="20"/>
        </w:rPr>
        <w:t> </w:t>
      </w:r>
      <w:r>
        <w:rPr>
          <w:color w:val="231F20"/>
          <w:spacing w:val="-2"/>
          <w:sz w:val="20"/>
        </w:rPr>
        <w:t>editor:</w:t>
      </w:r>
    </w:p>
    <w:p>
      <w:pPr>
        <w:spacing w:before="29"/>
        <w:ind w:left="2788" w:right="0" w:firstLine="0"/>
        <w:jc w:val="left"/>
        <w:rPr>
          <w:sz w:val="20"/>
        </w:rPr>
      </w:pPr>
      <w:r>
        <w:rPr>
          <w:rFonts w:ascii="Futura MdCn BT"/>
          <w:color w:val="231F20"/>
          <w:sz w:val="20"/>
        </w:rPr>
        <w:t>v</w:t>
      </w:r>
      <w:r>
        <w:rPr>
          <w:rFonts w:ascii="Futura MdCn BT"/>
          <w:color w:val="231F20"/>
          <w:spacing w:val="33"/>
          <w:sz w:val="20"/>
        </w:rPr>
        <w:t>  </w:t>
      </w:r>
      <w:r>
        <w:rPr>
          <w:color w:val="231F20"/>
          <w:sz w:val="20"/>
        </w:rPr>
        <w:t>Click</w:t>
      </w:r>
      <w:r>
        <w:rPr>
          <w:color w:val="231F20"/>
          <w:spacing w:val="23"/>
          <w:sz w:val="20"/>
        </w:rPr>
        <w:t> </w:t>
      </w:r>
      <w:r>
        <w:rPr>
          <w:color w:val="231F20"/>
          <w:spacing w:val="-24"/>
          <w:position w:val="-1"/>
          <w:sz w:val="20"/>
        </w:rPr>
        <w:drawing>
          <wp:inline distT="0" distB="0" distL="0" distR="0">
            <wp:extent cx="95250" cy="101600"/>
            <wp:effectExtent l="0" t="0" r="0" b="0"/>
            <wp:docPr id="1747" name="Image 1747"/>
            <wp:cNvGraphicFramePr>
              <a:graphicFrameLocks/>
            </wp:cNvGraphicFramePr>
            <a:graphic>
              <a:graphicData uri="http://schemas.openxmlformats.org/drawingml/2006/picture">
                <pic:pic>
                  <pic:nvPicPr>
                    <pic:cNvPr id="1747" name="Image 1747"/>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9"/>
          <w:w w:val="150"/>
          <w:sz w:val="20"/>
        </w:rPr>
        <w:t> </w:t>
      </w:r>
      <w:r>
        <w:rPr>
          <w:rFonts w:ascii="Book Antiqua"/>
          <w:b/>
          <w:color w:val="231F20"/>
          <w:sz w:val="20"/>
        </w:rPr>
        <w:t>Query</w:t>
      </w:r>
      <w:r>
        <w:rPr>
          <w:rFonts w:ascii="Book Antiqua"/>
          <w:b/>
          <w:color w:val="231F20"/>
          <w:spacing w:val="14"/>
          <w:sz w:val="20"/>
        </w:rPr>
        <w:t> </w:t>
      </w:r>
      <w:r>
        <w:rPr>
          <w:rFonts w:ascii="Book Antiqua"/>
          <w:b/>
          <w:color w:val="231F20"/>
          <w:sz w:val="20"/>
        </w:rPr>
        <w:t>editor</w:t>
      </w:r>
      <w:r>
        <w:rPr>
          <w:rFonts w:ascii="Book Antiqua"/>
          <w:b/>
          <w:color w:val="231F20"/>
          <w:spacing w:val="13"/>
          <w:sz w:val="20"/>
        </w:rPr>
        <w:t> </w:t>
      </w:r>
      <w:r>
        <w:rPr>
          <w:color w:val="231F20"/>
          <w:sz w:val="20"/>
        </w:rPr>
        <w:t>in</w:t>
      </w:r>
      <w:r>
        <w:rPr>
          <w:color w:val="231F20"/>
          <w:spacing w:val="14"/>
          <w:sz w:val="20"/>
        </w:rPr>
        <w:t> </w:t>
      </w:r>
      <w:r>
        <w:rPr>
          <w:color w:val="231F20"/>
          <w:sz w:val="20"/>
        </w:rPr>
        <w:t>the</w:t>
      </w:r>
      <w:r>
        <w:rPr>
          <w:color w:val="231F20"/>
          <w:spacing w:val="13"/>
          <w:sz w:val="20"/>
        </w:rPr>
        <w:t> </w:t>
      </w:r>
      <w:r>
        <w:rPr>
          <w:color w:val="231F20"/>
          <w:sz w:val="20"/>
        </w:rPr>
        <w:t>main</w:t>
      </w:r>
      <w:r>
        <w:rPr>
          <w:color w:val="231F20"/>
          <w:spacing w:val="14"/>
          <w:sz w:val="20"/>
        </w:rPr>
        <w:t> </w:t>
      </w:r>
      <w:r>
        <w:rPr>
          <w:color w:val="231F20"/>
          <w:spacing w:val="-2"/>
          <w:sz w:val="20"/>
        </w:rPr>
        <w:t>toolbar.</w:t>
      </w:r>
    </w:p>
    <w:p>
      <w:pPr>
        <w:pStyle w:val="BodyText"/>
        <w:spacing w:line="255" w:lineRule="exact" w:before="30"/>
        <w:ind w:left="2788"/>
      </w:pPr>
      <w:r>
        <w:rPr>
          <w:rFonts w:ascii="Futura MdCn BT"/>
          <w:color w:val="231F20"/>
        </w:rPr>
        <w:t>v</w:t>
      </w:r>
      <w:r>
        <w:rPr>
          <w:rFonts w:ascii="Futura MdCn BT"/>
          <w:color w:val="231F20"/>
          <w:spacing w:val="30"/>
        </w:rPr>
        <w:t>  </w:t>
      </w:r>
      <w:r>
        <w:rPr>
          <w:color w:val="231F20"/>
        </w:rPr>
        <w:t>In</w:t>
      </w:r>
      <w:r>
        <w:rPr>
          <w:color w:val="231F20"/>
          <w:spacing w:val="12"/>
        </w:rPr>
        <w:t> </w:t>
      </w:r>
      <w:r>
        <w:rPr>
          <w:color w:val="231F20"/>
        </w:rPr>
        <w:t>the</w:t>
      </w:r>
      <w:r>
        <w:rPr>
          <w:color w:val="231F20"/>
          <w:spacing w:val="11"/>
        </w:rPr>
        <w:t> </w:t>
      </w:r>
      <w:r>
        <w:rPr>
          <w:color w:val="231F20"/>
        </w:rPr>
        <w:t>title</w:t>
      </w:r>
      <w:r>
        <w:rPr>
          <w:color w:val="231F20"/>
          <w:spacing w:val="12"/>
        </w:rPr>
        <w:t> </w:t>
      </w:r>
      <w:r>
        <w:rPr>
          <w:color w:val="231F20"/>
        </w:rPr>
        <w:t>bar</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view</w:t>
      </w:r>
      <w:r>
        <w:rPr>
          <w:color w:val="231F20"/>
          <w:spacing w:val="11"/>
        </w:rPr>
        <w:t> </w:t>
      </w:r>
      <w:r>
        <w:rPr>
          <w:color w:val="231F20"/>
        </w:rPr>
        <w:t>where</w:t>
      </w:r>
      <w:r>
        <w:rPr>
          <w:color w:val="231F20"/>
          <w:spacing w:val="12"/>
        </w:rPr>
        <w:t> </w:t>
      </w:r>
      <w:r>
        <w:rPr>
          <w:color w:val="231F20"/>
        </w:rPr>
        <w:t>you</w:t>
      </w:r>
      <w:r>
        <w:rPr>
          <w:color w:val="231F20"/>
          <w:spacing w:val="11"/>
        </w:rPr>
        <w:t> </w:t>
      </w:r>
      <w:r>
        <w:rPr>
          <w:color w:val="231F20"/>
        </w:rPr>
        <w:t>want</w:t>
      </w:r>
      <w:r>
        <w:rPr>
          <w:color w:val="231F20"/>
          <w:spacing w:val="12"/>
        </w:rPr>
        <w:t> </w:t>
      </w:r>
      <w:r>
        <w:rPr>
          <w:color w:val="231F20"/>
        </w:rPr>
        <w:t>to</w:t>
      </w:r>
      <w:r>
        <w:rPr>
          <w:color w:val="231F20"/>
          <w:spacing w:val="11"/>
        </w:rPr>
        <w:t> </w:t>
      </w:r>
      <w:r>
        <w:rPr>
          <w:color w:val="231F20"/>
        </w:rPr>
        <w:t>apply</w:t>
      </w:r>
      <w:r>
        <w:rPr>
          <w:color w:val="231F20"/>
          <w:spacing w:val="11"/>
        </w:rPr>
        <w:t> </w:t>
      </w:r>
      <w:r>
        <w:rPr>
          <w:color w:val="231F20"/>
        </w:rPr>
        <w:t>the</w:t>
      </w:r>
      <w:r>
        <w:rPr>
          <w:color w:val="231F20"/>
          <w:spacing w:val="12"/>
        </w:rPr>
        <w:t> </w:t>
      </w:r>
      <w:r>
        <w:rPr>
          <w:color w:val="231F20"/>
        </w:rPr>
        <w:t>new</w:t>
      </w:r>
      <w:r>
        <w:rPr>
          <w:color w:val="231F20"/>
          <w:spacing w:val="11"/>
        </w:rPr>
        <w:t> </w:t>
      </w:r>
      <w:r>
        <w:rPr>
          <w:color w:val="231F20"/>
        </w:rPr>
        <w:t>query,</w:t>
      </w:r>
      <w:r>
        <w:rPr>
          <w:color w:val="231F20"/>
          <w:spacing w:val="12"/>
        </w:rPr>
        <w:t> </w:t>
      </w:r>
      <w:r>
        <w:rPr>
          <w:color w:val="231F20"/>
          <w:spacing w:val="-2"/>
        </w:rPr>
        <w:t>click</w:t>
      </w:r>
    </w:p>
    <w:p>
      <w:pPr>
        <w:pStyle w:val="Heading6"/>
        <w:spacing w:line="255" w:lineRule="exact" w:before="0"/>
        <w:ind w:left="3044"/>
        <w:rPr>
          <w:rFonts w:ascii="Palatino Linotype"/>
          <w:b w:val="0"/>
        </w:rPr>
      </w:pPr>
      <w:r>
        <w:rPr>
          <w:b w:val="0"/>
          <w:position w:val="1"/>
        </w:rPr>
        <w:drawing>
          <wp:inline distT="0" distB="0" distL="0" distR="0">
            <wp:extent cx="57150" cy="57150"/>
            <wp:effectExtent l="0" t="0" r="0" b="0"/>
            <wp:docPr id="1748" name="Image 1748"/>
            <wp:cNvGraphicFramePr>
              <a:graphicFrameLocks/>
            </wp:cNvGraphicFramePr>
            <a:graphic>
              <a:graphicData uri="http://schemas.openxmlformats.org/drawingml/2006/picture">
                <pic:pic>
                  <pic:nvPicPr>
                    <pic:cNvPr id="1748" name="Image 1748"/>
                    <pic:cNvPicPr/>
                  </pic:nvPicPr>
                  <pic:blipFill>
                    <a:blip r:embed="rId62" cstate="print"/>
                    <a:stretch>
                      <a:fillRect/>
                    </a:stretch>
                  </pic:blipFill>
                  <pic:spPr>
                    <a:xfrm>
                      <a:off x="0" y="0"/>
                      <a:ext cx="57150" cy="57150"/>
                    </a:xfrm>
                    <a:prstGeom prst="rect">
                      <a:avLst/>
                    </a:prstGeom>
                  </pic:spPr>
                </pic:pic>
              </a:graphicData>
            </a:graphic>
          </wp:inline>
        </w:drawing>
      </w:r>
      <w:r>
        <w:rPr>
          <w:b w:val="0"/>
          <w:position w:val="1"/>
        </w:rPr>
      </w:r>
      <w:r>
        <w:rPr>
          <w:rFonts w:ascii="Times New Roman"/>
          <w:b w:val="0"/>
          <w:spacing w:val="30"/>
        </w:rPr>
        <w:t> </w:t>
      </w:r>
      <w:r>
        <w:rPr>
          <w:color w:val="231F20"/>
        </w:rPr>
        <w:t>Properties</w:t>
      </w:r>
      <w:r>
        <w:rPr>
          <w:color w:val="231F20"/>
          <w:spacing w:val="17"/>
        </w:rPr>
        <w:t> </w:t>
      </w:r>
      <w:r>
        <w:rPr>
          <w:color w:val="231F20"/>
        </w:rPr>
        <w:t>&gt;</w:t>
      </w:r>
      <w:r>
        <w:rPr>
          <w:color w:val="231F20"/>
          <w:spacing w:val="27"/>
        </w:rPr>
        <w:t> </w:t>
      </w:r>
      <w:r>
        <w:rPr>
          <w:color w:val="231F20"/>
          <w:spacing w:val="-24"/>
          <w:position w:val="-1"/>
        </w:rPr>
        <w:drawing>
          <wp:inline distT="0" distB="0" distL="0" distR="0">
            <wp:extent cx="95250" cy="101600"/>
            <wp:effectExtent l="0" t="0" r="0" b="0"/>
            <wp:docPr id="1749" name="Image 1749"/>
            <wp:cNvGraphicFramePr>
              <a:graphicFrameLocks/>
            </wp:cNvGraphicFramePr>
            <a:graphic>
              <a:graphicData uri="http://schemas.openxmlformats.org/drawingml/2006/picture">
                <pic:pic>
                  <pic:nvPicPr>
                    <pic:cNvPr id="1749" name="Image 174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b w:val="0"/>
          <w:color w:val="231F20"/>
          <w:spacing w:val="24"/>
        </w:rPr>
        <w:t> </w:t>
      </w:r>
      <w:r>
        <w:rPr>
          <w:color w:val="231F20"/>
        </w:rPr>
        <w:t>Click</w:t>
      </w:r>
      <w:r>
        <w:rPr>
          <w:color w:val="231F20"/>
          <w:spacing w:val="17"/>
        </w:rPr>
        <w:t> </w:t>
      </w:r>
      <w:r>
        <w:rPr>
          <w:color w:val="231F20"/>
        </w:rPr>
        <w:t>here</w:t>
      </w:r>
      <w:r>
        <w:rPr>
          <w:color w:val="231F20"/>
          <w:spacing w:val="17"/>
        </w:rPr>
        <w:t> </w:t>
      </w:r>
      <w:r>
        <w:rPr>
          <w:color w:val="231F20"/>
        </w:rPr>
        <w:t>to</w:t>
      </w:r>
      <w:r>
        <w:rPr>
          <w:color w:val="231F20"/>
          <w:spacing w:val="17"/>
        </w:rPr>
        <w:t> </w:t>
      </w:r>
      <w:r>
        <w:rPr>
          <w:color w:val="231F20"/>
        </w:rPr>
        <w:t>assign</w:t>
      </w:r>
      <w:r>
        <w:rPr>
          <w:color w:val="231F20"/>
          <w:spacing w:val="17"/>
        </w:rPr>
        <w:t> </w:t>
      </w:r>
      <w:r>
        <w:rPr>
          <w:color w:val="231F20"/>
        </w:rPr>
        <w:t>a</w:t>
      </w:r>
      <w:r>
        <w:rPr>
          <w:color w:val="231F20"/>
          <w:spacing w:val="17"/>
        </w:rPr>
        <w:t> </w:t>
      </w:r>
      <w:r>
        <w:rPr>
          <w:color w:val="231F20"/>
        </w:rPr>
        <w:t>query</w:t>
      </w:r>
      <w:r>
        <w:rPr>
          <w:rFonts w:ascii="Palatino Linotype"/>
          <w:b w:val="0"/>
          <w:color w:val="231F20"/>
        </w:rPr>
        <w:t>.</w:t>
      </w:r>
    </w:p>
    <w:p>
      <w:pPr>
        <w:pStyle w:val="ListParagraph"/>
        <w:numPr>
          <w:ilvl w:val="0"/>
          <w:numId w:val="90"/>
        </w:numPr>
        <w:tabs>
          <w:tab w:pos="2787" w:val="left" w:leader="none"/>
        </w:tabs>
        <w:spacing w:line="240" w:lineRule="auto" w:before="29" w:after="0"/>
        <w:ind w:left="2787" w:right="0" w:hanging="315"/>
        <w:jc w:val="left"/>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1750" name="Image 1750"/>
            <wp:cNvGraphicFramePr>
              <a:graphicFrameLocks/>
            </wp:cNvGraphicFramePr>
            <a:graphic>
              <a:graphicData uri="http://schemas.openxmlformats.org/drawingml/2006/picture">
                <pic:pic>
                  <pic:nvPicPr>
                    <pic:cNvPr id="1750" name="Image 1750"/>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Create</w:t>
      </w:r>
      <w:r>
        <w:rPr>
          <w:rFonts w:ascii="Book Antiqua"/>
          <w:b/>
          <w:color w:val="231F20"/>
          <w:spacing w:val="14"/>
          <w:sz w:val="20"/>
        </w:rPr>
        <w:t> </w:t>
      </w:r>
      <w:r>
        <w:rPr>
          <w:rFonts w:ascii="Book Antiqua"/>
          <w:b/>
          <w:color w:val="231F20"/>
          <w:sz w:val="20"/>
        </w:rPr>
        <w:t>New</w:t>
      </w:r>
      <w:r>
        <w:rPr>
          <w:rFonts w:ascii="Book Antiqua"/>
          <w:b/>
          <w:color w:val="231F20"/>
          <w:spacing w:val="13"/>
          <w:sz w:val="20"/>
        </w:rPr>
        <w:t> </w:t>
      </w:r>
      <w:r>
        <w:rPr>
          <w:rFonts w:ascii="Book Antiqua"/>
          <w:b/>
          <w:color w:val="231F20"/>
          <w:spacing w:val="-2"/>
          <w:sz w:val="20"/>
        </w:rPr>
        <w:t>Query</w:t>
      </w:r>
      <w:r>
        <w:rPr>
          <w:color w:val="231F20"/>
          <w:spacing w:val="-2"/>
          <w:sz w:val="20"/>
        </w:rPr>
        <w:t>.</w:t>
      </w:r>
    </w:p>
    <w:p>
      <w:pPr>
        <w:spacing w:after="0" w:line="240" w:lineRule="auto"/>
        <w:jc w:val="left"/>
        <w:rPr>
          <w:sz w:val="20"/>
        </w:rPr>
        <w:sectPr>
          <w:pgSz w:w="12240" w:h="15840"/>
          <w:pgMar w:header="0" w:footer="736" w:top="1180" w:bottom="920" w:left="1000" w:right="1060"/>
        </w:sectPr>
      </w:pPr>
    </w:p>
    <w:p>
      <w:pPr>
        <w:pStyle w:val="ListParagraph"/>
        <w:numPr>
          <w:ilvl w:val="0"/>
          <w:numId w:val="90"/>
        </w:numPr>
        <w:tabs>
          <w:tab w:pos="2548" w:val="left" w:leader="none"/>
        </w:tabs>
        <w:spacing w:line="213" w:lineRule="auto" w:before="85" w:after="0"/>
        <w:ind w:left="2548" w:right="481" w:hanging="316"/>
        <w:jc w:val="left"/>
        <w:rPr>
          <w:sz w:val="20"/>
        </w:rPr>
      </w:pPr>
      <w:bookmarkStart w:name="_bookmark145" w:id="321"/>
      <w:bookmarkEnd w:id="321"/>
      <w:r>
        <w:rPr/>
      </w:r>
      <w:r>
        <w:rPr>
          <w:color w:val="231F20"/>
          <w:sz w:val="20"/>
        </w:rPr>
        <w:t>In</w:t>
      </w:r>
      <w:r>
        <w:rPr>
          <w:color w:val="231F20"/>
          <w:spacing w:val="26"/>
          <w:sz w:val="20"/>
        </w:rPr>
        <w:t> </w:t>
      </w:r>
      <w:r>
        <w:rPr>
          <w:color w:val="231F20"/>
          <w:sz w:val="20"/>
        </w:rPr>
        <w:t>the</w:t>
      </w:r>
      <w:r>
        <w:rPr>
          <w:color w:val="231F20"/>
          <w:spacing w:val="26"/>
          <w:sz w:val="20"/>
        </w:rPr>
        <w:t> </w:t>
      </w:r>
      <w:r>
        <w:rPr>
          <w:rFonts w:ascii="Book Antiqua"/>
          <w:b/>
          <w:color w:val="231F20"/>
          <w:sz w:val="20"/>
        </w:rPr>
        <w:t>Name</w:t>
      </w:r>
      <w:r>
        <w:rPr>
          <w:rFonts w:ascii="Book Antiqua"/>
          <w:b/>
          <w:color w:val="231F20"/>
          <w:spacing w:val="26"/>
          <w:sz w:val="20"/>
        </w:rPr>
        <w:t> </w:t>
      </w:r>
      <w:r>
        <w:rPr>
          <w:color w:val="231F20"/>
          <w:sz w:val="20"/>
        </w:rPr>
        <w:t>field,</w:t>
      </w:r>
      <w:r>
        <w:rPr>
          <w:color w:val="231F20"/>
          <w:spacing w:val="26"/>
          <w:sz w:val="20"/>
        </w:rPr>
        <w:t> </w:t>
      </w:r>
      <w:r>
        <w:rPr>
          <w:color w:val="231F20"/>
          <w:sz w:val="20"/>
        </w:rPr>
        <w:t>type</w:t>
      </w:r>
      <w:r>
        <w:rPr>
          <w:color w:val="231F20"/>
          <w:spacing w:val="26"/>
          <w:sz w:val="20"/>
        </w:rPr>
        <w:t> </w:t>
      </w:r>
      <w:r>
        <w:rPr>
          <w:color w:val="231F20"/>
          <w:sz w:val="20"/>
        </w:rPr>
        <w:t>a</w:t>
      </w:r>
      <w:r>
        <w:rPr>
          <w:color w:val="231F20"/>
          <w:spacing w:val="26"/>
          <w:sz w:val="20"/>
        </w:rPr>
        <w:t> </w:t>
      </w:r>
      <w:r>
        <w:rPr>
          <w:color w:val="231F20"/>
          <w:sz w:val="20"/>
        </w:rPr>
        <w:t>name</w:t>
      </w:r>
      <w:r>
        <w:rPr>
          <w:color w:val="231F20"/>
          <w:spacing w:val="26"/>
          <w:sz w:val="20"/>
        </w:rPr>
        <w:t> </w:t>
      </w:r>
      <w:r>
        <w:rPr>
          <w:color w:val="231F20"/>
          <w:sz w:val="20"/>
        </w:rPr>
        <w:t>of</w:t>
      </w:r>
      <w:r>
        <w:rPr>
          <w:color w:val="231F20"/>
          <w:spacing w:val="26"/>
          <w:sz w:val="20"/>
        </w:rPr>
        <w:t> </w:t>
      </w:r>
      <w:r>
        <w:rPr>
          <w:color w:val="231F20"/>
          <w:sz w:val="20"/>
        </w:rPr>
        <w:t>up</w:t>
      </w:r>
      <w:r>
        <w:rPr>
          <w:color w:val="231F20"/>
          <w:spacing w:val="26"/>
          <w:sz w:val="20"/>
        </w:rPr>
        <w:t> </w:t>
      </w:r>
      <w:r>
        <w:rPr>
          <w:color w:val="231F20"/>
          <w:sz w:val="20"/>
        </w:rPr>
        <w:t>to</w:t>
      </w:r>
      <w:r>
        <w:rPr>
          <w:color w:val="231F20"/>
          <w:spacing w:val="26"/>
          <w:sz w:val="20"/>
        </w:rPr>
        <w:t> </w:t>
      </w:r>
      <w:r>
        <w:rPr>
          <w:color w:val="231F20"/>
          <w:sz w:val="20"/>
        </w:rPr>
        <w:t>32</w:t>
      </w:r>
      <w:r>
        <w:rPr>
          <w:color w:val="231F20"/>
          <w:spacing w:val="26"/>
          <w:sz w:val="20"/>
        </w:rPr>
        <w:t> </w:t>
      </w:r>
      <w:r>
        <w:rPr>
          <w:color w:val="231F20"/>
          <w:sz w:val="20"/>
        </w:rPr>
        <w:t>letters,</w:t>
      </w:r>
      <w:r>
        <w:rPr>
          <w:color w:val="231F20"/>
          <w:spacing w:val="26"/>
          <w:sz w:val="20"/>
        </w:rPr>
        <w:t> </w:t>
      </w:r>
      <w:r>
        <w:rPr>
          <w:color w:val="231F20"/>
          <w:sz w:val="20"/>
        </w:rPr>
        <w:t>numbers,</w:t>
      </w:r>
      <w:r>
        <w:rPr>
          <w:color w:val="231F20"/>
          <w:spacing w:val="26"/>
          <w:sz w:val="20"/>
        </w:rPr>
        <w:t> </w:t>
      </w:r>
      <w:r>
        <w:rPr>
          <w:color w:val="231F20"/>
          <w:sz w:val="20"/>
        </w:rPr>
        <w:t>underscores</w:t>
      </w:r>
      <w:r>
        <w:rPr>
          <w:color w:val="231F20"/>
          <w:spacing w:val="26"/>
          <w:sz w:val="20"/>
        </w:rPr>
        <w:t> </w:t>
      </w:r>
      <w:r>
        <w:rPr>
          <w:color w:val="231F20"/>
          <w:sz w:val="20"/>
        </w:rPr>
        <w:t>(_) and spaces and, optionally, in the </w:t>
      </w:r>
      <w:r>
        <w:rPr>
          <w:rFonts w:ascii="Book Antiqua"/>
          <w:b/>
          <w:color w:val="231F20"/>
          <w:sz w:val="20"/>
        </w:rPr>
        <w:t>Description </w:t>
      </w:r>
      <w:r>
        <w:rPr>
          <w:color w:val="231F20"/>
          <w:sz w:val="20"/>
        </w:rPr>
        <w:t>field, type a description of up to 256 characters and spaces.</w:t>
      </w:r>
    </w:p>
    <w:p>
      <w:pPr>
        <w:pStyle w:val="ListParagraph"/>
        <w:numPr>
          <w:ilvl w:val="0"/>
          <w:numId w:val="90"/>
        </w:numPr>
        <w:tabs>
          <w:tab w:pos="2548" w:val="left" w:leader="none"/>
        </w:tabs>
        <w:spacing w:line="213" w:lineRule="auto" w:before="57" w:after="0"/>
        <w:ind w:left="2548" w:right="628" w:hanging="316"/>
        <w:jc w:val="left"/>
        <w:rPr>
          <w:sz w:val="20"/>
        </w:rPr>
      </w:pPr>
      <w:r>
        <w:rPr>
          <w:color w:val="231F20"/>
          <w:sz w:val="20"/>
        </w:rPr>
        <w:t>From the </w:t>
      </w:r>
      <w:r>
        <w:rPr>
          <w:rFonts w:ascii="Book Antiqua"/>
          <w:b/>
          <w:color w:val="231F20"/>
          <w:sz w:val="20"/>
        </w:rPr>
        <w:t>Category </w:t>
      </w:r>
      <w:r>
        <w:rPr>
          <w:rFonts w:ascii="Book Antiqua"/>
          <w:b/>
          <w:color w:val="231F20"/>
          <w:spacing w:val="15"/>
          <w:position w:val="-1"/>
          <w:sz w:val="20"/>
        </w:rPr>
        <w:drawing>
          <wp:inline distT="0" distB="0" distL="0" distR="0">
            <wp:extent cx="101600" cy="101600"/>
            <wp:effectExtent l="0" t="0" r="0" b="0"/>
            <wp:docPr id="1751" name="Image 1751"/>
            <wp:cNvGraphicFramePr>
              <a:graphicFrameLocks/>
            </wp:cNvGraphicFramePr>
            <a:graphic>
              <a:graphicData uri="http://schemas.openxmlformats.org/drawingml/2006/picture">
                <pic:pic>
                  <pic:nvPicPr>
                    <pic:cNvPr id="1751" name="Image 1751"/>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40"/>
          <w:sz w:val="20"/>
        </w:rPr>
        <w:t> </w:t>
      </w:r>
      <w:r>
        <w:rPr>
          <w:color w:val="231F20"/>
          <w:sz w:val="20"/>
        </w:rPr>
        <w:t>list, select the folder where you want the new query to appear in the Queries tree.</w:t>
      </w:r>
    </w:p>
    <w:p>
      <w:pPr>
        <w:pStyle w:val="ListParagraph"/>
        <w:numPr>
          <w:ilvl w:val="0"/>
          <w:numId w:val="90"/>
        </w:numPr>
        <w:tabs>
          <w:tab w:pos="2548" w:val="left" w:leader="none"/>
        </w:tabs>
        <w:spacing w:line="213" w:lineRule="auto" w:before="59" w:after="0"/>
        <w:ind w:left="2548" w:right="677" w:hanging="316"/>
        <w:jc w:val="both"/>
        <w:rPr>
          <w:sz w:val="20"/>
        </w:rPr>
      </w:pPr>
      <w:r>
        <w:rPr>
          <w:color w:val="231F20"/>
          <w:sz w:val="20"/>
        </w:rPr>
        <w:t>Select a JDBC or ODBC database in the </w:t>
      </w:r>
      <w:r>
        <w:rPr>
          <w:rFonts w:ascii="Book Antiqua"/>
          <w:b/>
          <w:color w:val="231F20"/>
          <w:sz w:val="20"/>
        </w:rPr>
        <w:t>Data Sources </w:t>
      </w:r>
      <w:r>
        <w:rPr>
          <w:color w:val="231F20"/>
          <w:sz w:val="20"/>
        </w:rPr>
        <w:t>list. </w:t>
      </w:r>
      <w:r>
        <w:rPr>
          <w:color w:val="231F20"/>
          <w:spacing w:val="-25"/>
          <w:position w:val="-1"/>
          <w:sz w:val="20"/>
        </w:rPr>
        <w:drawing>
          <wp:inline distT="0" distB="0" distL="0" distR="0">
            <wp:extent cx="95250" cy="95250"/>
            <wp:effectExtent l="0" t="0" r="0" b="0"/>
            <wp:docPr id="1752" name="Image 1752"/>
            <wp:cNvGraphicFramePr>
              <a:graphicFrameLocks/>
            </wp:cNvGraphicFramePr>
            <a:graphic>
              <a:graphicData uri="http://schemas.openxmlformats.org/drawingml/2006/picture">
                <pic:pic>
                  <pic:nvPicPr>
                    <pic:cNvPr id="1752" name="Image 1752"/>
                    <pic:cNvPicPr/>
                  </pic:nvPicPr>
                  <pic:blipFill>
                    <a:blip r:embed="rId168"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40"/>
          <w:sz w:val="20"/>
        </w:rPr>
        <w:t> </w:t>
      </w:r>
      <w:r>
        <w:rPr>
          <w:color w:val="231F20"/>
          <w:sz w:val="20"/>
        </w:rPr>
        <w:t>Custom SQL is selected for you. If you do not see the database for which you want to create the query, it must be added through Manage Tivoli Monitoring Services.</w:t>
      </w:r>
    </w:p>
    <w:p>
      <w:pPr>
        <w:pStyle w:val="ListParagraph"/>
        <w:numPr>
          <w:ilvl w:val="0"/>
          <w:numId w:val="90"/>
        </w:numPr>
        <w:tabs>
          <w:tab w:pos="2548" w:val="left" w:leader="none"/>
        </w:tabs>
        <w:spacing w:line="213" w:lineRule="auto" w:before="58" w:after="0"/>
        <w:ind w:left="2548" w:right="698" w:hanging="316"/>
        <w:jc w:val="left"/>
        <w:rPr>
          <w:sz w:val="20"/>
        </w:rPr>
      </w:pPr>
      <w:r>
        <w:rPr>
          <w:color w:val="231F20"/>
          <w:sz w:val="20"/>
        </w:rPr>
        <w:t>Click </w:t>
      </w:r>
      <w:r>
        <w:rPr>
          <w:rFonts w:ascii="Book Antiqua"/>
          <w:b/>
          <w:color w:val="231F20"/>
          <w:sz w:val="20"/>
        </w:rPr>
        <w:t>OK</w:t>
      </w:r>
      <w:r>
        <w:rPr>
          <w:color w:val="231F20"/>
          <w:sz w:val="20"/>
        </w:rPr>
        <w:t>. The new query is displayed in the Queries tree under </w:t>
      </w:r>
      <w:r>
        <w:rPr>
          <w:color w:val="231F20"/>
          <w:spacing w:val="-25"/>
          <w:position w:val="-1"/>
          <w:sz w:val="20"/>
        </w:rPr>
        <w:drawing>
          <wp:inline distT="0" distB="0" distL="0" distR="0">
            <wp:extent cx="95250" cy="95250"/>
            <wp:effectExtent l="0" t="0" r="0" b="0"/>
            <wp:docPr id="1753" name="Image 1753"/>
            <wp:cNvGraphicFramePr>
              <a:graphicFrameLocks/>
            </wp:cNvGraphicFramePr>
            <a:graphic>
              <a:graphicData uri="http://schemas.openxmlformats.org/drawingml/2006/picture">
                <pic:pic>
                  <pic:nvPicPr>
                    <pic:cNvPr id="1753" name="Image 1753"/>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36"/>
          <w:sz w:val="20"/>
        </w:rPr>
        <w:t> </w:t>
      </w:r>
      <w:r>
        <w:rPr>
          <w:rFonts w:ascii="Book Antiqua"/>
          <w:i/>
          <w:color w:val="231F20"/>
          <w:sz w:val="20"/>
        </w:rPr>
        <w:t>Folder</w:t>
      </w:r>
      <w:r>
        <w:rPr>
          <w:rFonts w:ascii="Book Antiqua"/>
          <w:i/>
          <w:color w:val="231F20"/>
          <w:sz w:val="20"/>
        </w:rPr>
        <w:t> </w:t>
      </w:r>
      <w:r>
        <w:rPr>
          <w:color w:val="231F20"/>
          <w:sz w:val="20"/>
        </w:rPr>
        <w:t>(where </w:t>
      </w:r>
      <w:r>
        <w:rPr>
          <w:rFonts w:ascii="Book Antiqua"/>
          <w:i/>
          <w:color w:val="231F20"/>
          <w:sz w:val="20"/>
        </w:rPr>
        <w:t>Folder </w:t>
      </w:r>
      <w:r>
        <w:rPr>
          <w:color w:val="231F20"/>
          <w:sz w:val="20"/>
        </w:rPr>
        <w:t>is the Category you selected) in the </w:t>
      </w:r>
      <w:r>
        <w:rPr>
          <w:color w:val="231F20"/>
          <w:spacing w:val="-25"/>
          <w:position w:val="-1"/>
          <w:sz w:val="20"/>
        </w:rPr>
        <w:drawing>
          <wp:inline distT="0" distB="0" distL="0" distR="0">
            <wp:extent cx="88900" cy="101600"/>
            <wp:effectExtent l="0" t="0" r="0" b="0"/>
            <wp:docPr id="1754" name="Image 1754"/>
            <wp:cNvGraphicFramePr>
              <a:graphicFrameLocks/>
            </wp:cNvGraphicFramePr>
            <a:graphic>
              <a:graphicData uri="http://schemas.openxmlformats.org/drawingml/2006/picture">
                <pic:pic>
                  <pic:nvPicPr>
                    <pic:cNvPr id="1754" name="Image 175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24"/>
          <w:sz w:val="20"/>
        </w:rPr>
        <w:t> </w:t>
      </w:r>
      <w:r>
        <w:rPr>
          <w:color w:val="231F20"/>
          <w:sz w:val="20"/>
        </w:rPr>
        <w:t>Custom_SQL folder. </w:t>
      </w:r>
      <w:r>
        <w:rPr>
          <w:color w:val="231F20"/>
          <w:sz w:val="20"/>
        </w:rPr>
        <w:t>The </w:t>
      </w:r>
      <w:r>
        <w:rPr>
          <w:rFonts w:ascii="Book Antiqua"/>
          <w:b/>
          <w:color w:val="231F20"/>
          <w:sz w:val="20"/>
        </w:rPr>
        <w:t>Specification </w:t>
      </w:r>
      <w:r>
        <w:rPr>
          <w:color w:val="231F20"/>
          <w:sz w:val="20"/>
        </w:rPr>
        <w:t>tab opens with a Custom SQL text box for you to enter SQL </w:t>
      </w:r>
      <w:r>
        <w:rPr>
          <w:color w:val="231F20"/>
          <w:spacing w:val="-2"/>
          <w:sz w:val="20"/>
        </w:rPr>
        <w:t>commands.</w:t>
      </w:r>
    </w:p>
    <w:p>
      <w:pPr>
        <w:pStyle w:val="ListParagraph"/>
        <w:numPr>
          <w:ilvl w:val="0"/>
          <w:numId w:val="90"/>
        </w:numPr>
        <w:tabs>
          <w:tab w:pos="2548" w:val="left" w:leader="none"/>
        </w:tabs>
        <w:spacing w:line="213" w:lineRule="auto" w:before="57" w:after="0"/>
        <w:ind w:left="2548" w:right="636" w:hanging="316"/>
        <w:jc w:val="left"/>
        <w:rPr>
          <w:sz w:val="20"/>
        </w:rPr>
      </w:pPr>
      <w:r>
        <w:rPr>
          <w:color w:val="231F20"/>
          <w:sz w:val="20"/>
        </w:rPr>
        <w:t>Write an SQL SELECT statement in the text box using the correct syntax. You must be familiar with SQL commands and syntax to write a valid SQL </w:t>
      </w:r>
      <w:r>
        <w:rPr>
          <w:color w:val="231F20"/>
          <w:sz w:val="20"/>
        </w:rPr>
        <w:t>query.</w:t>
      </w:r>
    </w:p>
    <w:p>
      <w:pPr>
        <w:pStyle w:val="ListParagraph"/>
        <w:numPr>
          <w:ilvl w:val="0"/>
          <w:numId w:val="90"/>
        </w:numPr>
        <w:tabs>
          <w:tab w:pos="2548" w:val="left" w:leader="none"/>
        </w:tabs>
        <w:spacing w:line="213" w:lineRule="auto" w:before="59" w:after="0"/>
        <w:ind w:left="2548" w:right="524" w:hanging="316"/>
        <w:jc w:val="left"/>
        <w:rPr>
          <w:sz w:val="20"/>
        </w:rPr>
      </w:pPr>
      <w:r>
        <w:rPr>
          <w:color w:val="231F20"/>
          <w:sz w:val="20"/>
        </w:rPr>
        <w:t>When you are finished writing the SQL statement, click </w:t>
      </w:r>
      <w:r>
        <w:rPr>
          <w:rFonts w:ascii="Book Antiqua"/>
          <w:b/>
          <w:color w:val="231F20"/>
          <w:sz w:val="20"/>
        </w:rPr>
        <w:t>Apply </w:t>
      </w:r>
      <w:r>
        <w:rPr>
          <w:color w:val="231F20"/>
          <w:sz w:val="20"/>
        </w:rPr>
        <w:t>to save the</w:t>
      </w:r>
      <w:r>
        <w:rPr>
          <w:color w:val="231F20"/>
          <w:spacing w:val="80"/>
          <w:sz w:val="20"/>
        </w:rPr>
        <w:t> </w:t>
      </w:r>
      <w:r>
        <w:rPr>
          <w:color w:val="231F20"/>
          <w:sz w:val="20"/>
        </w:rPr>
        <w:t>query and keep the window open; or click </w:t>
      </w:r>
      <w:r>
        <w:rPr>
          <w:rFonts w:ascii="Book Antiqua"/>
          <w:b/>
          <w:color w:val="231F20"/>
          <w:sz w:val="20"/>
        </w:rPr>
        <w:t>OK </w:t>
      </w:r>
      <w:r>
        <w:rPr>
          <w:color w:val="231F20"/>
          <w:sz w:val="20"/>
        </w:rPr>
        <w:t>to save the query and close the</w:t>
      </w:r>
      <w:r>
        <w:rPr>
          <w:color w:val="231F20"/>
          <w:spacing w:val="40"/>
          <w:sz w:val="20"/>
        </w:rPr>
        <w:t> </w:t>
      </w:r>
      <w:r>
        <w:rPr>
          <w:color w:val="231F20"/>
          <w:spacing w:val="-2"/>
          <w:sz w:val="20"/>
        </w:rPr>
        <w:t>window.</w:t>
      </w:r>
    </w:p>
    <w:p>
      <w:pPr>
        <w:pStyle w:val="Heading4"/>
        <w:spacing w:before="199"/>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4"/>
      </w:pPr>
      <w:r>
        <w:rPr>
          <w:color w:val="231F20"/>
        </w:rPr>
        <w:t>If the view remains empty after you assign the query, the query has not been</w:t>
      </w:r>
      <w:r>
        <w:rPr>
          <w:color w:val="231F20"/>
          <w:spacing w:val="40"/>
        </w:rPr>
        <w:t> </w:t>
      </w:r>
      <w:r>
        <w:rPr>
          <w:color w:val="231F20"/>
        </w:rPr>
        <w:t>entered correctly. Review the notes for JDBC or ODBC database queries and return to the Query editor to edit the SELECT statement as needed.</w:t>
      </w:r>
    </w:p>
    <w:p>
      <w:pPr>
        <w:pStyle w:val="Heading3"/>
        <w:spacing w:before="217"/>
        <w:ind w:left="1334"/>
      </w:pPr>
      <w:bookmarkStart w:name="Notes on queries to a JDBC or ODBC datab" w:id="322"/>
      <w:bookmarkEnd w:id="322"/>
      <w:r>
        <w:rPr>
          <w:b w:val="0"/>
        </w:rPr>
      </w:r>
      <w:r>
        <w:rPr>
          <w:color w:val="231F20"/>
        </w:rPr>
        <w:t>Notes</w:t>
      </w:r>
      <w:r>
        <w:rPr>
          <w:color w:val="231F20"/>
          <w:spacing w:val="9"/>
        </w:rPr>
        <w:t> </w:t>
      </w:r>
      <w:r>
        <w:rPr>
          <w:color w:val="231F20"/>
        </w:rPr>
        <w:t>on</w:t>
      </w:r>
      <w:r>
        <w:rPr>
          <w:color w:val="231F20"/>
          <w:spacing w:val="10"/>
        </w:rPr>
        <w:t> </w:t>
      </w:r>
      <w:r>
        <w:rPr>
          <w:color w:val="231F20"/>
        </w:rPr>
        <w:t>queries</w:t>
      </w:r>
      <w:r>
        <w:rPr>
          <w:color w:val="231F20"/>
          <w:spacing w:val="9"/>
        </w:rPr>
        <w:t> </w:t>
      </w:r>
      <w:r>
        <w:rPr>
          <w:color w:val="231F20"/>
        </w:rPr>
        <w:t>to</w:t>
      </w:r>
      <w:r>
        <w:rPr>
          <w:color w:val="231F20"/>
          <w:spacing w:val="9"/>
        </w:rPr>
        <w:t> </w:t>
      </w:r>
      <w:r>
        <w:rPr>
          <w:color w:val="231F20"/>
        </w:rPr>
        <w:t>a</w:t>
      </w:r>
      <w:r>
        <w:rPr>
          <w:color w:val="231F20"/>
          <w:spacing w:val="10"/>
        </w:rPr>
        <w:t> </w:t>
      </w:r>
      <w:r>
        <w:rPr>
          <w:color w:val="231F20"/>
        </w:rPr>
        <w:t>JDBC</w:t>
      </w:r>
      <w:r>
        <w:rPr>
          <w:color w:val="231F20"/>
          <w:spacing w:val="9"/>
        </w:rPr>
        <w:t> </w:t>
      </w:r>
      <w:r>
        <w:rPr>
          <w:color w:val="231F20"/>
        </w:rPr>
        <w:t>or</w:t>
      </w:r>
      <w:r>
        <w:rPr>
          <w:color w:val="231F20"/>
          <w:spacing w:val="10"/>
        </w:rPr>
        <w:t> </w:t>
      </w:r>
      <w:r>
        <w:rPr>
          <w:color w:val="231F20"/>
        </w:rPr>
        <w:t>ODBC</w:t>
      </w:r>
      <w:r>
        <w:rPr>
          <w:color w:val="231F20"/>
          <w:spacing w:val="9"/>
        </w:rPr>
        <w:t> </w:t>
      </w:r>
      <w:r>
        <w:rPr>
          <w:color w:val="231F20"/>
          <w:spacing w:val="-2"/>
        </w:rPr>
        <w:t>database</w:t>
      </w:r>
    </w:p>
    <w:p>
      <w:pPr>
        <w:pStyle w:val="BodyText"/>
        <w:spacing w:line="213" w:lineRule="auto" w:before="58"/>
        <w:ind w:left="2232" w:right="493"/>
      </w:pPr>
      <w:r>
        <w:rPr>
          <w:color w:val="231F20"/>
        </w:rPr>
        <w:t>Consult these notes about SQL statements written to a JDBC or ODBC database </w:t>
      </w:r>
      <w:r>
        <w:rPr>
          <w:color w:val="231F20"/>
        </w:rPr>
        <w:t>to ensure data is returned successfully.</w:t>
      </w:r>
    </w:p>
    <w:p>
      <w:pPr>
        <w:pStyle w:val="Heading6"/>
        <w:ind w:left="2232"/>
      </w:pPr>
      <w:r>
        <w:rPr>
          <w:color w:val="231F20"/>
        </w:rPr>
        <w:t>Date</w:t>
      </w:r>
      <w:r>
        <w:rPr>
          <w:color w:val="231F20"/>
          <w:spacing w:val="11"/>
        </w:rPr>
        <w:t> </w:t>
      </w:r>
      <w:r>
        <w:rPr>
          <w:color w:val="231F20"/>
        </w:rPr>
        <w:t>and</w:t>
      </w:r>
      <w:r>
        <w:rPr>
          <w:color w:val="231F20"/>
          <w:spacing w:val="11"/>
        </w:rPr>
        <w:t> </w:t>
      </w:r>
      <w:r>
        <w:rPr>
          <w:color w:val="231F20"/>
        </w:rPr>
        <w:t>time</w:t>
      </w:r>
      <w:r>
        <w:rPr>
          <w:color w:val="231F20"/>
          <w:spacing w:val="11"/>
        </w:rPr>
        <w:t> </w:t>
      </w:r>
      <w:r>
        <w:rPr>
          <w:color w:val="231F20"/>
        </w:rPr>
        <w:t>format</w:t>
      </w:r>
      <w:r>
        <w:rPr>
          <w:color w:val="231F20"/>
          <w:spacing w:val="11"/>
        </w:rPr>
        <w:t> </w:t>
      </w:r>
      <w:r>
        <w:rPr>
          <w:color w:val="231F20"/>
        </w:rPr>
        <w:t>varies</w:t>
      </w:r>
      <w:r>
        <w:rPr>
          <w:color w:val="231F20"/>
          <w:spacing w:val="11"/>
        </w:rPr>
        <w:t> </w:t>
      </w:r>
      <w:r>
        <w:rPr>
          <w:color w:val="231F20"/>
        </w:rPr>
        <w:t>among</w:t>
      </w:r>
      <w:r>
        <w:rPr>
          <w:color w:val="231F20"/>
          <w:spacing w:val="11"/>
        </w:rPr>
        <w:t> </w:t>
      </w:r>
      <w:r>
        <w:rPr>
          <w:color w:val="231F20"/>
          <w:spacing w:val="-2"/>
        </w:rPr>
        <w:t>databases</w:t>
      </w:r>
    </w:p>
    <w:p>
      <w:pPr>
        <w:pStyle w:val="BodyText"/>
        <w:spacing w:line="213" w:lineRule="auto" w:before="11"/>
        <w:ind w:left="2951" w:right="545"/>
      </w:pPr>
      <w:r>
        <w:rPr>
          <w:color w:val="231F20"/>
        </w:rPr>
        <w:t>You must know the format and write the appropriate SQL code against it when selecting by date. Otherwise, the statement might be not be valid </w:t>
      </w:r>
      <w:r>
        <w:rPr>
          <w:color w:val="231F20"/>
        </w:rPr>
        <w:t>for the database to which the request is directed.</w:t>
      </w:r>
    </w:p>
    <w:p>
      <w:pPr>
        <w:pStyle w:val="Heading6"/>
        <w:ind w:left="2232"/>
      </w:pPr>
      <w:r>
        <w:rPr>
          <w:color w:val="231F20"/>
        </w:rPr>
        <w:t>Database</w:t>
      </w:r>
      <w:r>
        <w:rPr>
          <w:color w:val="231F20"/>
          <w:spacing w:val="9"/>
        </w:rPr>
        <w:t> </w:t>
      </w:r>
      <w:r>
        <w:rPr>
          <w:color w:val="231F20"/>
        </w:rPr>
        <w:t>user</w:t>
      </w:r>
      <w:r>
        <w:rPr>
          <w:color w:val="231F20"/>
          <w:spacing w:val="10"/>
        </w:rPr>
        <w:t> </w:t>
      </w:r>
      <w:r>
        <w:rPr>
          <w:color w:val="231F20"/>
          <w:spacing w:val="-5"/>
        </w:rPr>
        <w:t>IDs</w:t>
      </w:r>
    </w:p>
    <w:p>
      <w:pPr>
        <w:pStyle w:val="BodyText"/>
        <w:spacing w:line="213" w:lineRule="auto" w:before="11"/>
        <w:ind w:left="2951" w:right="636"/>
      </w:pPr>
      <w:r>
        <w:rPr>
          <w:color w:val="231F20"/>
        </w:rPr>
        <w:t>Anyone with permission to create custom queries has access to all the JDBC and ODBC DSNs (Data Source Names) that were created on the same computer as the Tivoli Enterprise Portal Server. Add database </w:t>
      </w:r>
      <w:r>
        <w:rPr>
          <w:color w:val="231F20"/>
        </w:rPr>
        <w:t>user IDs (to be used in the DSN) to your database software to restrict user access to only those tables, columns, and so on, allowed by your organization's security policies.</w:t>
      </w:r>
    </w:p>
    <w:p>
      <w:pPr>
        <w:pStyle w:val="Heading6"/>
        <w:spacing w:before="114"/>
        <w:ind w:left="2232"/>
      </w:pPr>
      <w:r>
        <w:rPr>
          <w:color w:val="231F20"/>
        </w:rPr>
        <w:t>Symbolic</w:t>
      </w:r>
      <w:r>
        <w:rPr>
          <w:color w:val="231F20"/>
          <w:spacing w:val="7"/>
        </w:rPr>
        <w:t> </w:t>
      </w:r>
      <w:r>
        <w:rPr>
          <w:color w:val="231F20"/>
          <w:spacing w:val="-2"/>
        </w:rPr>
        <w:t>variables</w:t>
      </w:r>
    </w:p>
    <w:p>
      <w:pPr>
        <w:pStyle w:val="BodyText"/>
        <w:spacing w:line="213" w:lineRule="auto" w:before="12"/>
        <w:ind w:left="2951" w:right="636"/>
      </w:pPr>
      <w:r>
        <w:rPr>
          <w:color w:val="231F20"/>
        </w:rPr>
        <w:t>If you included a symbol in the statement, you are prompted to enter a value for the symbol when you apply the query to a table or chart view. The value you enter filters the data that is displayed in the view, but is temporary and cannot be saved with the workspace.</w:t>
      </w:r>
    </w:p>
    <w:p>
      <w:pPr>
        <w:pStyle w:val="Heading6"/>
        <w:spacing w:before="116"/>
        <w:ind w:left="2232"/>
      </w:pPr>
      <w:r>
        <w:rPr>
          <w:color w:val="231F20"/>
        </w:rPr>
        <w:t>Column</w:t>
      </w:r>
      <w:r>
        <w:rPr>
          <w:color w:val="231F20"/>
          <w:spacing w:val="11"/>
        </w:rPr>
        <w:t> </w:t>
      </w:r>
      <w:r>
        <w:rPr>
          <w:color w:val="231F20"/>
        </w:rPr>
        <w:t>functions</w:t>
      </w:r>
      <w:r>
        <w:rPr>
          <w:color w:val="231F20"/>
          <w:spacing w:val="12"/>
        </w:rPr>
        <w:t> </w:t>
      </w:r>
      <w:r>
        <w:rPr>
          <w:color w:val="231F20"/>
        </w:rPr>
        <w:t>in</w:t>
      </w:r>
      <w:r>
        <w:rPr>
          <w:color w:val="231F20"/>
          <w:spacing w:val="11"/>
        </w:rPr>
        <w:t> </w:t>
      </w:r>
      <w:r>
        <w:rPr>
          <w:color w:val="231F20"/>
        </w:rPr>
        <w:t>a</w:t>
      </w:r>
      <w:r>
        <w:rPr>
          <w:color w:val="231F20"/>
          <w:spacing w:val="12"/>
        </w:rPr>
        <w:t> </w:t>
      </w:r>
      <w:r>
        <w:rPr>
          <w:color w:val="231F20"/>
        </w:rPr>
        <w:t>statement</w:t>
      </w:r>
      <w:r>
        <w:rPr>
          <w:color w:val="231F20"/>
          <w:spacing w:val="11"/>
        </w:rPr>
        <w:t> </w:t>
      </w:r>
      <w:r>
        <w:rPr>
          <w:color w:val="231F20"/>
        </w:rPr>
        <w:t>that</w:t>
      </w:r>
      <w:r>
        <w:rPr>
          <w:color w:val="231F20"/>
          <w:spacing w:val="12"/>
        </w:rPr>
        <w:t> </w:t>
      </w:r>
      <w:r>
        <w:rPr>
          <w:color w:val="231F20"/>
        </w:rPr>
        <w:t>has</w:t>
      </w:r>
      <w:r>
        <w:rPr>
          <w:color w:val="231F20"/>
          <w:spacing w:val="11"/>
        </w:rPr>
        <w:t> </w:t>
      </w:r>
      <w:r>
        <w:rPr>
          <w:color w:val="231F20"/>
        </w:rPr>
        <w:t>a</w:t>
      </w:r>
      <w:r>
        <w:rPr>
          <w:color w:val="231F20"/>
          <w:spacing w:val="12"/>
        </w:rPr>
        <w:t> </w:t>
      </w:r>
      <w:r>
        <w:rPr>
          <w:color w:val="231F20"/>
          <w:spacing w:val="-4"/>
        </w:rPr>
        <w:t>JOIN</w:t>
      </w:r>
    </w:p>
    <w:p>
      <w:pPr>
        <w:pStyle w:val="BodyText"/>
        <w:spacing w:line="213" w:lineRule="auto" w:before="11"/>
        <w:ind w:left="2951" w:right="567"/>
      </w:pPr>
      <w:r>
        <w:rPr>
          <w:color w:val="231F20"/>
        </w:rPr>
        <w:t>When a custom SQL statement contains a JOIN command, the Tivoli Enterprise Portal does not set the table name property in the request sent</w:t>
      </w:r>
      <w:r>
        <w:rPr>
          <w:color w:val="231F20"/>
          <w:spacing w:val="40"/>
        </w:rPr>
        <w:t> </w:t>
      </w:r>
      <w:r>
        <w:rPr>
          <w:color w:val="231F20"/>
        </w:rPr>
        <w:t>to the Tivoli Enterprise Portal Server. Normally, the portal server determines the table name from the result set returned from the </w:t>
      </w:r>
      <w:r>
        <w:rPr>
          <w:color w:val="231F20"/>
        </w:rPr>
        <w:t>database. However, when a column function (such as COUNT, MAX, or MIN) is used</w:t>
      </w:r>
      <w:r>
        <w:rPr>
          <w:color w:val="231F20"/>
          <w:spacing w:val="23"/>
        </w:rPr>
        <w:t> </w:t>
      </w:r>
      <w:r>
        <w:rPr>
          <w:color w:val="231F20"/>
        </w:rPr>
        <w:t>on</w:t>
      </w:r>
      <w:r>
        <w:rPr>
          <w:color w:val="231F20"/>
          <w:spacing w:val="23"/>
        </w:rPr>
        <w:t> </w:t>
      </w:r>
      <w:r>
        <w:rPr>
          <w:color w:val="231F20"/>
        </w:rPr>
        <w:t>one</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columns</w:t>
      </w:r>
      <w:r>
        <w:rPr>
          <w:color w:val="231F20"/>
          <w:spacing w:val="23"/>
        </w:rPr>
        <w:t> </w:t>
      </w:r>
      <w:r>
        <w:rPr>
          <w:color w:val="231F20"/>
        </w:rPr>
        <w:t>in</w:t>
      </w:r>
      <w:r>
        <w:rPr>
          <w:color w:val="231F20"/>
          <w:spacing w:val="23"/>
        </w:rPr>
        <w:t> </w:t>
      </w:r>
      <w:r>
        <w:rPr>
          <w:color w:val="231F20"/>
        </w:rPr>
        <w:t>the</w:t>
      </w:r>
      <w:r>
        <w:rPr>
          <w:color w:val="231F20"/>
          <w:spacing w:val="23"/>
        </w:rPr>
        <w:t> </w:t>
      </w:r>
      <w:r>
        <w:rPr>
          <w:color w:val="231F20"/>
        </w:rPr>
        <w:t>request,</w:t>
      </w:r>
      <w:r>
        <w:rPr>
          <w:color w:val="231F20"/>
          <w:spacing w:val="23"/>
        </w:rPr>
        <w:t> </w:t>
      </w:r>
      <w:r>
        <w:rPr>
          <w:color w:val="231F20"/>
        </w:rPr>
        <w:t>the</w:t>
      </w:r>
      <w:r>
        <w:rPr>
          <w:color w:val="231F20"/>
          <w:spacing w:val="23"/>
        </w:rPr>
        <w:t> </w:t>
      </w:r>
      <w:r>
        <w:rPr>
          <w:color w:val="231F20"/>
        </w:rPr>
        <w:t>result</w:t>
      </w:r>
      <w:r>
        <w:rPr>
          <w:color w:val="231F20"/>
          <w:spacing w:val="23"/>
        </w:rPr>
        <w:t> </w:t>
      </w:r>
      <w:r>
        <w:rPr>
          <w:color w:val="231F20"/>
        </w:rPr>
        <w:t>set</w:t>
      </w:r>
      <w:r>
        <w:rPr>
          <w:color w:val="231F20"/>
          <w:spacing w:val="23"/>
        </w:rPr>
        <w:t> </w:t>
      </w:r>
      <w:r>
        <w:rPr>
          <w:color w:val="231F20"/>
        </w:rPr>
        <w:t>meta</w:t>
      </w:r>
      <w:r>
        <w:rPr>
          <w:color w:val="231F20"/>
          <w:spacing w:val="23"/>
        </w:rPr>
        <w:t> </w:t>
      </w:r>
      <w:r>
        <w:rPr>
          <w:color w:val="231F20"/>
        </w:rPr>
        <w:t>data</w:t>
      </w:r>
      <w:r>
        <w:rPr>
          <w:color w:val="231F20"/>
          <w:spacing w:val="23"/>
        </w:rPr>
        <w:t> </w:t>
      </w:r>
      <w:r>
        <w:rPr>
          <w:color w:val="231F20"/>
        </w:rPr>
        <w:t>does</w:t>
      </w:r>
    </w:p>
    <w:p>
      <w:pPr>
        <w:spacing w:after="0" w:line="213" w:lineRule="auto"/>
        <w:sectPr>
          <w:pgSz w:w="12240" w:h="15840"/>
          <w:pgMar w:header="0" w:footer="736" w:top="1180" w:bottom="920" w:left="1000" w:right="1060"/>
        </w:sectPr>
      </w:pPr>
    </w:p>
    <w:p>
      <w:pPr>
        <w:pStyle w:val="BodyText"/>
        <w:spacing w:line="213" w:lineRule="auto" w:before="85"/>
        <w:ind w:left="3190" w:right="378"/>
        <w:jc w:val="both"/>
      </w:pPr>
      <w:bookmarkStart w:name="_bookmark146" w:id="323"/>
      <w:bookmarkEnd w:id="323"/>
      <w:r>
        <w:rPr/>
      </w:r>
      <w:r>
        <w:rPr>
          <w:color w:val="231F20"/>
        </w:rPr>
        <w:t>not provide a table name for that column. With no table name, the portal client treats the column as a text attribute, which means that it cannot be rendered in a chart view.</w:t>
      </w:r>
    </w:p>
    <w:p>
      <w:pPr>
        <w:pStyle w:val="BodyText"/>
        <w:spacing w:line="213" w:lineRule="auto" w:before="117"/>
        <w:ind w:left="3190" w:right="402"/>
      </w:pPr>
      <w:r>
        <w:rPr>
          <w:color w:val="231F20"/>
        </w:rPr>
        <w:t>To ensure that the column data type is set correctly, provide an alias for any column in the SELECT statement that uses a column function. The alias must be in the form </w:t>
      </w:r>
      <w:r>
        <w:rPr>
          <w:rFonts w:ascii="Arial"/>
          <w:b/>
          <w:color w:val="231F20"/>
        </w:rPr>
        <w:t>table.column</w:t>
      </w:r>
      <w:r>
        <w:rPr>
          <w:color w:val="231F20"/>
        </w:rPr>
        <w:t>. The table and column values </w:t>
      </w:r>
      <w:r>
        <w:rPr>
          <w:color w:val="231F20"/>
        </w:rPr>
        <w:t>can be arbitrary strings, and do not need to match the actual table or column name in the database. The value supplied for </w:t>
      </w:r>
      <w:r>
        <w:rPr>
          <w:rFonts w:ascii="Arial"/>
          <w:b/>
          <w:color w:val="231F20"/>
        </w:rPr>
        <w:t>column </w:t>
      </w:r>
      <w:r>
        <w:rPr>
          <w:color w:val="231F20"/>
        </w:rPr>
        <w:t>is the column heading. In the attribute selection dialog, the value for </w:t>
      </w:r>
      <w:r>
        <w:rPr>
          <w:rFonts w:ascii="Arial"/>
          <w:b/>
          <w:color w:val="231F20"/>
        </w:rPr>
        <w:t>table </w:t>
      </w:r>
      <w:r>
        <w:rPr>
          <w:color w:val="231F20"/>
        </w:rPr>
        <w:t>is the</w:t>
      </w:r>
      <w:r>
        <w:rPr>
          <w:color w:val="231F20"/>
          <w:spacing w:val="40"/>
        </w:rPr>
        <w:t> </w:t>
      </w:r>
      <w:r>
        <w:rPr>
          <w:color w:val="231F20"/>
        </w:rPr>
        <w:t>attribute group, and the value for </w:t>
      </w:r>
      <w:r>
        <w:rPr>
          <w:rFonts w:ascii="Arial"/>
          <w:b/>
          <w:color w:val="231F20"/>
        </w:rPr>
        <w:t>column </w:t>
      </w:r>
      <w:r>
        <w:rPr>
          <w:color w:val="231F20"/>
        </w:rPr>
        <w:t>is the attribute item.</w:t>
      </w:r>
    </w:p>
    <w:p>
      <w:pPr>
        <w:pStyle w:val="BodyText"/>
        <w:spacing w:line="213" w:lineRule="auto" w:before="115"/>
        <w:ind w:left="3190" w:right="385"/>
      </w:pPr>
      <w:r>
        <w:rPr>
          <w:color w:val="231F20"/>
        </w:rPr>
        <w:t>In the </w:t>
      </w:r>
      <w:r>
        <w:rPr>
          <w:rFonts w:ascii="Book Antiqua"/>
          <w:b/>
          <w:color w:val="231F20"/>
        </w:rPr>
        <w:t>Before </w:t>
      </w:r>
      <w:r>
        <w:rPr>
          <w:color w:val="231F20"/>
        </w:rPr>
        <w:t>sample, the data returned from the statement renders properly in a table view but cannot be selected in the </w:t>
      </w:r>
      <w:r>
        <w:rPr>
          <w:color w:val="231F20"/>
          <w:spacing w:val="15"/>
          <w:position w:val="-1"/>
        </w:rPr>
        <w:drawing>
          <wp:inline distT="0" distB="0" distL="0" distR="0">
            <wp:extent cx="101600" cy="95250"/>
            <wp:effectExtent l="0" t="0" r="0" b="0"/>
            <wp:docPr id="1755" name="Image 1755"/>
            <wp:cNvGraphicFramePr>
              <a:graphicFrameLocks/>
            </wp:cNvGraphicFramePr>
            <a:graphic>
              <a:graphicData uri="http://schemas.openxmlformats.org/drawingml/2006/picture">
                <pic:pic>
                  <pic:nvPicPr>
                    <pic:cNvPr id="1755" name="Image 1755"/>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Properties editor</w:t>
      </w:r>
      <w:r>
        <w:rPr>
          <w:color w:val="231F20"/>
          <w:spacing w:val="80"/>
        </w:rPr>
        <w:t> </w:t>
      </w:r>
      <w:r>
        <w:rPr>
          <w:color w:val="231F20"/>
          <w:position w:val="-1"/>
        </w:rPr>
        <w:drawing>
          <wp:inline distT="0" distB="0" distL="0" distR="0">
            <wp:extent cx="95250" cy="101600"/>
            <wp:effectExtent l="0" t="0" r="0" b="0"/>
            <wp:docPr id="1756" name="Image 1756"/>
            <wp:cNvGraphicFramePr>
              <a:graphicFrameLocks/>
            </wp:cNvGraphicFramePr>
            <a:graphic>
              <a:graphicData uri="http://schemas.openxmlformats.org/drawingml/2006/picture">
                <pic:pic>
                  <pic:nvPicPr>
                    <pic:cNvPr id="1756" name="Image 1756"/>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Filters tab for any chart views because the returned values are read as text attributes. The </w:t>
      </w:r>
      <w:r>
        <w:rPr>
          <w:rFonts w:ascii="Book Antiqua"/>
          <w:b/>
          <w:color w:val="231F20"/>
        </w:rPr>
        <w:t>After </w:t>
      </w:r>
      <w:r>
        <w:rPr>
          <w:color w:val="231F20"/>
        </w:rPr>
        <w:t>sample shows how the statement was edited to create an alias to explicitly state the table name for TYPE and COUNT.</w:t>
      </w:r>
    </w:p>
    <w:p>
      <w:pPr>
        <w:pStyle w:val="Heading6"/>
        <w:spacing w:line="240" w:lineRule="auto" w:before="116"/>
        <w:ind w:left="3190"/>
      </w:pPr>
      <w:r>
        <w:rPr>
          <w:color w:val="231F20"/>
          <w:spacing w:val="-2"/>
        </w:rPr>
        <w:t>Before</w:t>
      </w:r>
    </w:p>
    <w:p>
      <w:pPr>
        <w:spacing w:after="0" w:line="240" w:lineRule="auto"/>
        <w:sectPr>
          <w:pgSz w:w="12240" w:h="15840"/>
          <w:pgMar w:header="0" w:footer="736" w:top="1180" w:bottom="920" w:left="1000" w:right="1060"/>
        </w:sectPr>
      </w:pPr>
    </w:p>
    <w:p>
      <w:pPr>
        <w:pStyle w:val="BodyText"/>
        <w:rPr>
          <w:rFonts w:ascii="Book Antiqua"/>
          <w:b/>
        </w:rPr>
      </w:pPr>
    </w:p>
    <w:p>
      <w:pPr>
        <w:pStyle w:val="BodyText"/>
        <w:rPr>
          <w:rFonts w:ascii="Book Antiqua"/>
          <w:b/>
        </w:rPr>
      </w:pPr>
    </w:p>
    <w:p>
      <w:pPr>
        <w:pStyle w:val="BodyText"/>
        <w:spacing w:before="13"/>
        <w:rPr>
          <w:rFonts w:ascii="Book Antiqua"/>
          <w:b/>
        </w:rPr>
      </w:pPr>
    </w:p>
    <w:p>
      <w:pPr>
        <w:spacing w:before="0"/>
        <w:ind w:left="0" w:right="0" w:firstLine="0"/>
        <w:jc w:val="right"/>
        <w:rPr>
          <w:rFonts w:ascii="Book Antiqua"/>
          <w:b/>
          <w:sz w:val="20"/>
        </w:rPr>
      </w:pPr>
      <w:r>
        <w:rPr>
          <w:rFonts w:ascii="Book Antiqua"/>
          <w:b/>
          <w:color w:val="231F20"/>
          <w:spacing w:val="-2"/>
          <w:sz w:val="20"/>
        </w:rPr>
        <w:t>After</w:t>
      </w:r>
    </w:p>
    <w:p>
      <w:pPr>
        <w:spacing w:line="230" w:lineRule="auto" w:before="9"/>
        <w:ind w:left="201" w:right="3395" w:firstLine="0"/>
        <w:jc w:val="left"/>
        <w:rPr>
          <w:rFonts w:ascii="Arial"/>
          <w:sz w:val="18"/>
        </w:rPr>
      </w:pPr>
      <w:r>
        <w:rPr/>
        <w:br w:type="column"/>
      </w:r>
      <w:r>
        <w:rPr>
          <w:rFonts w:ascii="Arial"/>
          <w:color w:val="231F20"/>
          <w:w w:val="90"/>
          <w:sz w:val="18"/>
        </w:rPr>
        <w:t>SELECT</w:t>
      </w:r>
      <w:r>
        <w:rPr>
          <w:rFonts w:ascii="Arial"/>
          <w:color w:val="231F20"/>
          <w:spacing w:val="8"/>
          <w:sz w:val="18"/>
        </w:rPr>
        <w:t> </w:t>
      </w:r>
      <w:r>
        <w:rPr>
          <w:rFonts w:ascii="Arial"/>
          <w:color w:val="231F20"/>
          <w:w w:val="90"/>
          <w:sz w:val="18"/>
        </w:rPr>
        <w:t>COUNT(column1)</w:t>
      </w:r>
      <w:r>
        <w:rPr>
          <w:rFonts w:ascii="Arial"/>
          <w:color w:val="231F20"/>
          <w:spacing w:val="8"/>
          <w:sz w:val="18"/>
        </w:rPr>
        <w:t> </w:t>
      </w:r>
      <w:r>
        <w:rPr>
          <w:rFonts w:ascii="Arial"/>
          <w:color w:val="231F20"/>
          <w:w w:val="90"/>
          <w:sz w:val="18"/>
        </w:rPr>
        <w:t>item_count </w:t>
      </w:r>
      <w:r>
        <w:rPr>
          <w:rFonts w:ascii="Arial"/>
          <w:color w:val="231F20"/>
          <w:w w:val="95"/>
          <w:sz w:val="18"/>
        </w:rPr>
        <w:t>FROM</w:t>
      </w:r>
      <w:r>
        <w:rPr>
          <w:rFonts w:ascii="Arial"/>
          <w:color w:val="231F20"/>
          <w:spacing w:val="40"/>
          <w:sz w:val="18"/>
        </w:rPr>
        <w:t> </w:t>
      </w:r>
      <w:r>
        <w:rPr>
          <w:rFonts w:ascii="Arial"/>
          <w:color w:val="231F20"/>
          <w:w w:val="95"/>
          <w:sz w:val="18"/>
        </w:rPr>
        <w:t>table1</w:t>
      </w:r>
    </w:p>
    <w:p>
      <w:pPr>
        <w:spacing w:line="202" w:lineRule="exact" w:before="0"/>
        <w:ind w:left="201" w:right="0" w:firstLine="0"/>
        <w:jc w:val="left"/>
        <w:rPr>
          <w:rFonts w:ascii="Arial"/>
          <w:sz w:val="18"/>
        </w:rPr>
      </w:pPr>
      <w:r>
        <w:rPr>
          <w:rFonts w:ascii="Arial"/>
          <w:color w:val="231F20"/>
          <w:spacing w:val="-4"/>
          <w:sz w:val="18"/>
        </w:rPr>
        <w:t>LEFT</w:t>
      </w:r>
      <w:r>
        <w:rPr>
          <w:rFonts w:ascii="Arial"/>
          <w:color w:val="231F20"/>
          <w:spacing w:val="8"/>
          <w:sz w:val="18"/>
        </w:rPr>
        <w:t> </w:t>
      </w:r>
      <w:r>
        <w:rPr>
          <w:rFonts w:ascii="Arial"/>
          <w:color w:val="231F20"/>
          <w:spacing w:val="-4"/>
          <w:sz w:val="18"/>
        </w:rPr>
        <w:t>OUTER</w:t>
      </w:r>
      <w:r>
        <w:rPr>
          <w:rFonts w:ascii="Arial"/>
          <w:color w:val="231F20"/>
          <w:spacing w:val="8"/>
          <w:sz w:val="18"/>
        </w:rPr>
        <w:t> </w:t>
      </w:r>
      <w:r>
        <w:rPr>
          <w:rFonts w:ascii="Arial"/>
          <w:color w:val="231F20"/>
          <w:spacing w:val="-4"/>
          <w:sz w:val="18"/>
        </w:rPr>
        <w:t>JOIN</w:t>
      </w:r>
      <w:r>
        <w:rPr>
          <w:rFonts w:ascii="Arial"/>
          <w:color w:val="231F20"/>
          <w:spacing w:val="9"/>
          <w:sz w:val="18"/>
        </w:rPr>
        <w:t> </w:t>
      </w:r>
      <w:r>
        <w:rPr>
          <w:rFonts w:ascii="Arial"/>
          <w:color w:val="231F20"/>
          <w:spacing w:val="-4"/>
          <w:sz w:val="18"/>
        </w:rPr>
        <w:t>table2</w:t>
      </w:r>
      <w:r>
        <w:rPr>
          <w:rFonts w:ascii="Arial"/>
          <w:color w:val="231F20"/>
          <w:spacing w:val="8"/>
          <w:sz w:val="18"/>
        </w:rPr>
        <w:t> </w:t>
      </w:r>
      <w:r>
        <w:rPr>
          <w:rFonts w:ascii="Arial"/>
          <w:color w:val="231F20"/>
          <w:spacing w:val="-4"/>
          <w:sz w:val="18"/>
        </w:rPr>
        <w:t>ON</w:t>
      </w:r>
      <w:r>
        <w:rPr>
          <w:rFonts w:ascii="Arial"/>
          <w:color w:val="231F20"/>
          <w:spacing w:val="8"/>
          <w:sz w:val="18"/>
        </w:rPr>
        <w:t> </w:t>
      </w:r>
      <w:r>
        <w:rPr>
          <w:rFonts w:ascii="Arial"/>
          <w:color w:val="231F20"/>
          <w:spacing w:val="-4"/>
          <w:sz w:val="18"/>
        </w:rPr>
        <w:t>table1.column1</w:t>
      </w:r>
      <w:r>
        <w:rPr>
          <w:rFonts w:ascii="Arial"/>
          <w:color w:val="231F20"/>
          <w:spacing w:val="9"/>
          <w:sz w:val="18"/>
        </w:rPr>
        <w:t> </w:t>
      </w:r>
      <w:r>
        <w:rPr>
          <w:rFonts w:ascii="Arial"/>
          <w:color w:val="231F20"/>
          <w:spacing w:val="-4"/>
          <w:sz w:val="18"/>
        </w:rPr>
        <w:t>=</w:t>
      </w:r>
      <w:r>
        <w:rPr>
          <w:rFonts w:ascii="Arial"/>
          <w:color w:val="231F20"/>
          <w:spacing w:val="8"/>
          <w:sz w:val="18"/>
        </w:rPr>
        <w:t> </w:t>
      </w:r>
      <w:r>
        <w:rPr>
          <w:rFonts w:ascii="Arial"/>
          <w:color w:val="231F20"/>
          <w:spacing w:val="-4"/>
          <w:sz w:val="18"/>
        </w:rPr>
        <w:t>table2.column1</w:t>
      </w:r>
    </w:p>
    <w:p>
      <w:pPr>
        <w:pStyle w:val="BodyText"/>
        <w:spacing w:before="171"/>
        <w:rPr>
          <w:rFonts w:ascii="Arial"/>
          <w:sz w:val="18"/>
        </w:rPr>
      </w:pPr>
    </w:p>
    <w:p>
      <w:pPr>
        <w:spacing w:line="230" w:lineRule="auto" w:before="0"/>
        <w:ind w:left="201" w:right="1981" w:firstLine="0"/>
        <w:jc w:val="left"/>
        <w:rPr>
          <w:rFonts w:ascii="Arial"/>
          <w:sz w:val="18"/>
        </w:rPr>
      </w:pPr>
      <w:r>
        <w:rPr>
          <w:rFonts w:ascii="Arial"/>
          <w:color w:val="231F20"/>
          <w:w w:val="90"/>
          <w:sz w:val="18"/>
        </w:rPr>
        <w:t>SELECT</w:t>
      </w:r>
      <w:r>
        <w:rPr>
          <w:rFonts w:ascii="Arial"/>
          <w:color w:val="231F20"/>
          <w:spacing w:val="40"/>
          <w:sz w:val="18"/>
        </w:rPr>
        <w:t> </w:t>
      </w:r>
      <w:r>
        <w:rPr>
          <w:rFonts w:ascii="Arial"/>
          <w:color w:val="231F20"/>
          <w:w w:val="90"/>
          <w:sz w:val="18"/>
        </w:rPr>
        <w:t>COUNT(column1)</w:t>
      </w:r>
      <w:r>
        <w:rPr>
          <w:rFonts w:ascii="Arial"/>
          <w:color w:val="231F20"/>
          <w:spacing w:val="40"/>
          <w:sz w:val="18"/>
        </w:rPr>
        <w:t> </w:t>
      </w:r>
      <w:r>
        <w:rPr>
          <w:rFonts w:ascii="Arial"/>
          <w:color w:val="231F20"/>
          <w:w w:val="90"/>
          <w:sz w:val="18"/>
        </w:rPr>
        <w:t>"my_group.item_count" </w:t>
      </w:r>
      <w:r>
        <w:rPr>
          <w:rFonts w:ascii="Arial"/>
          <w:color w:val="231F20"/>
          <w:sz w:val="18"/>
        </w:rPr>
        <w:t>FROM</w:t>
      </w:r>
      <w:r>
        <w:rPr>
          <w:rFonts w:ascii="Arial"/>
          <w:color w:val="231F20"/>
          <w:spacing w:val="40"/>
          <w:sz w:val="18"/>
        </w:rPr>
        <w:t> </w:t>
      </w:r>
      <w:r>
        <w:rPr>
          <w:rFonts w:ascii="Arial"/>
          <w:color w:val="231F20"/>
          <w:sz w:val="18"/>
        </w:rPr>
        <w:t>table1</w:t>
      </w:r>
    </w:p>
    <w:p>
      <w:pPr>
        <w:spacing w:line="202" w:lineRule="exact" w:before="0"/>
        <w:ind w:left="201" w:right="0" w:firstLine="0"/>
        <w:jc w:val="left"/>
        <w:rPr>
          <w:rFonts w:ascii="Arial"/>
          <w:sz w:val="18"/>
        </w:rPr>
      </w:pPr>
      <w:r>
        <w:rPr>
          <w:rFonts w:ascii="Arial"/>
          <w:color w:val="231F20"/>
          <w:spacing w:val="-4"/>
          <w:sz w:val="18"/>
        </w:rPr>
        <w:t>LEFT</w:t>
      </w:r>
      <w:r>
        <w:rPr>
          <w:rFonts w:ascii="Arial"/>
          <w:color w:val="231F20"/>
          <w:spacing w:val="8"/>
          <w:sz w:val="18"/>
        </w:rPr>
        <w:t> </w:t>
      </w:r>
      <w:r>
        <w:rPr>
          <w:rFonts w:ascii="Arial"/>
          <w:color w:val="231F20"/>
          <w:spacing w:val="-4"/>
          <w:sz w:val="18"/>
        </w:rPr>
        <w:t>OUTER</w:t>
      </w:r>
      <w:r>
        <w:rPr>
          <w:rFonts w:ascii="Arial"/>
          <w:color w:val="231F20"/>
          <w:spacing w:val="8"/>
          <w:sz w:val="18"/>
        </w:rPr>
        <w:t> </w:t>
      </w:r>
      <w:r>
        <w:rPr>
          <w:rFonts w:ascii="Arial"/>
          <w:color w:val="231F20"/>
          <w:spacing w:val="-4"/>
          <w:sz w:val="18"/>
        </w:rPr>
        <w:t>JOIN</w:t>
      </w:r>
      <w:r>
        <w:rPr>
          <w:rFonts w:ascii="Arial"/>
          <w:color w:val="231F20"/>
          <w:spacing w:val="9"/>
          <w:sz w:val="18"/>
        </w:rPr>
        <w:t> </w:t>
      </w:r>
      <w:r>
        <w:rPr>
          <w:rFonts w:ascii="Arial"/>
          <w:color w:val="231F20"/>
          <w:spacing w:val="-4"/>
          <w:sz w:val="18"/>
        </w:rPr>
        <w:t>table2</w:t>
      </w:r>
      <w:r>
        <w:rPr>
          <w:rFonts w:ascii="Arial"/>
          <w:color w:val="231F20"/>
          <w:spacing w:val="8"/>
          <w:sz w:val="18"/>
        </w:rPr>
        <w:t> </w:t>
      </w:r>
      <w:r>
        <w:rPr>
          <w:rFonts w:ascii="Arial"/>
          <w:color w:val="231F20"/>
          <w:spacing w:val="-4"/>
          <w:sz w:val="18"/>
        </w:rPr>
        <w:t>ON</w:t>
      </w:r>
      <w:r>
        <w:rPr>
          <w:rFonts w:ascii="Arial"/>
          <w:color w:val="231F20"/>
          <w:spacing w:val="8"/>
          <w:sz w:val="18"/>
        </w:rPr>
        <w:t> </w:t>
      </w:r>
      <w:r>
        <w:rPr>
          <w:rFonts w:ascii="Arial"/>
          <w:color w:val="231F20"/>
          <w:spacing w:val="-4"/>
          <w:sz w:val="18"/>
        </w:rPr>
        <w:t>table1.column1</w:t>
      </w:r>
      <w:r>
        <w:rPr>
          <w:rFonts w:ascii="Arial"/>
          <w:color w:val="231F20"/>
          <w:spacing w:val="9"/>
          <w:sz w:val="18"/>
        </w:rPr>
        <w:t> </w:t>
      </w:r>
      <w:r>
        <w:rPr>
          <w:rFonts w:ascii="Arial"/>
          <w:color w:val="231F20"/>
          <w:spacing w:val="-4"/>
          <w:sz w:val="18"/>
        </w:rPr>
        <w:t>=</w:t>
      </w:r>
      <w:r>
        <w:rPr>
          <w:rFonts w:ascii="Arial"/>
          <w:color w:val="231F20"/>
          <w:spacing w:val="8"/>
          <w:sz w:val="18"/>
        </w:rPr>
        <w:t> </w:t>
      </w:r>
      <w:r>
        <w:rPr>
          <w:rFonts w:ascii="Arial"/>
          <w:color w:val="231F20"/>
          <w:spacing w:val="-4"/>
          <w:sz w:val="18"/>
        </w:rPr>
        <w:t>table2.column1</w:t>
      </w:r>
    </w:p>
    <w:p>
      <w:pPr>
        <w:spacing w:after="0" w:line="202" w:lineRule="exact"/>
        <w:jc w:val="left"/>
        <w:rPr>
          <w:rFonts w:ascii="Arial"/>
          <w:sz w:val="18"/>
        </w:rPr>
        <w:sectPr>
          <w:type w:val="continuous"/>
          <w:pgSz w:w="12240" w:h="15840"/>
          <w:pgMar w:header="0" w:footer="736" w:top="0" w:bottom="4660" w:left="1000" w:right="1060"/>
          <w:cols w:num="2" w:equalWidth="0">
            <w:col w:w="3668" w:space="40"/>
            <w:col w:w="6472"/>
          </w:cols>
        </w:sectPr>
      </w:pPr>
    </w:p>
    <w:p>
      <w:pPr>
        <w:pStyle w:val="Heading3"/>
        <w:spacing w:before="228"/>
        <w:ind w:left="661" w:right="538"/>
        <w:jc w:val="center"/>
      </w:pPr>
      <w:bookmarkStart w:name="Creating another query to a JDBC or ODBC" w:id="324"/>
      <w:bookmarkEnd w:id="324"/>
      <w:r>
        <w:rPr>
          <w:b w:val="0"/>
        </w:rPr>
      </w:r>
      <w:r>
        <w:rPr>
          <w:color w:val="231F20"/>
        </w:rPr>
        <w:t>Creating</w:t>
      </w:r>
      <w:r>
        <w:rPr>
          <w:color w:val="231F20"/>
          <w:spacing w:val="8"/>
        </w:rPr>
        <w:t> </w:t>
      </w:r>
      <w:r>
        <w:rPr>
          <w:color w:val="231F20"/>
        </w:rPr>
        <w:t>another</w:t>
      </w:r>
      <w:r>
        <w:rPr>
          <w:color w:val="231F20"/>
          <w:spacing w:val="8"/>
        </w:rPr>
        <w:t> </w:t>
      </w:r>
      <w:r>
        <w:rPr>
          <w:color w:val="231F20"/>
        </w:rPr>
        <w:t>query</w:t>
      </w:r>
      <w:r>
        <w:rPr>
          <w:color w:val="231F20"/>
          <w:spacing w:val="9"/>
        </w:rPr>
        <w:t> </w:t>
      </w:r>
      <w:r>
        <w:rPr>
          <w:color w:val="231F20"/>
        </w:rPr>
        <w:t>to</w:t>
      </w:r>
      <w:r>
        <w:rPr>
          <w:color w:val="231F20"/>
          <w:spacing w:val="8"/>
        </w:rPr>
        <w:t> </w:t>
      </w:r>
      <w:r>
        <w:rPr>
          <w:color w:val="231F20"/>
        </w:rPr>
        <w:t>a</w:t>
      </w:r>
      <w:r>
        <w:rPr>
          <w:color w:val="231F20"/>
          <w:spacing w:val="9"/>
        </w:rPr>
        <w:t> </w:t>
      </w:r>
      <w:r>
        <w:rPr>
          <w:color w:val="231F20"/>
        </w:rPr>
        <w:t>JDBC</w:t>
      </w:r>
      <w:r>
        <w:rPr>
          <w:color w:val="231F20"/>
          <w:spacing w:val="8"/>
        </w:rPr>
        <w:t> </w:t>
      </w:r>
      <w:r>
        <w:rPr>
          <w:color w:val="231F20"/>
        </w:rPr>
        <w:t>or</w:t>
      </w:r>
      <w:r>
        <w:rPr>
          <w:color w:val="231F20"/>
          <w:spacing w:val="9"/>
        </w:rPr>
        <w:t> </w:t>
      </w:r>
      <w:r>
        <w:rPr>
          <w:color w:val="231F20"/>
        </w:rPr>
        <w:t>ODBC</w:t>
      </w:r>
      <w:r>
        <w:rPr>
          <w:color w:val="231F20"/>
          <w:spacing w:val="8"/>
        </w:rPr>
        <w:t> </w:t>
      </w:r>
      <w:r>
        <w:rPr>
          <w:color w:val="231F20"/>
          <w:spacing w:val="-2"/>
        </w:rPr>
        <w:t>database</w:t>
      </w:r>
    </w:p>
    <w:p>
      <w:pPr>
        <w:pStyle w:val="BodyText"/>
        <w:spacing w:line="213" w:lineRule="auto" w:before="59"/>
        <w:ind w:left="2472" w:right="493"/>
      </w:pPr>
      <w:r>
        <w:rPr>
          <w:color w:val="231F20"/>
        </w:rPr>
        <w:t>If you want to create a query that is similar to an existing one, you can copy the</w:t>
      </w:r>
      <w:r>
        <w:rPr>
          <w:color w:val="231F20"/>
          <w:spacing w:val="80"/>
        </w:rPr>
        <w:t> </w:t>
      </w:r>
      <w:r>
        <w:rPr>
          <w:color w:val="231F20"/>
        </w:rPr>
        <w:t>original and edit the new query.</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472"/>
      </w:pPr>
      <w:r>
        <w:rPr>
          <w:color w:val="231F20"/>
        </w:rPr>
        <w:t>To</w:t>
      </w:r>
      <w:r>
        <w:rPr>
          <w:color w:val="231F20"/>
          <w:spacing w:val="8"/>
        </w:rPr>
        <w:t> </w:t>
      </w:r>
      <w:r>
        <w:rPr>
          <w:color w:val="231F20"/>
        </w:rPr>
        <w:t>create</w:t>
      </w:r>
      <w:r>
        <w:rPr>
          <w:color w:val="231F20"/>
          <w:spacing w:val="9"/>
        </w:rPr>
        <w:t> </w:t>
      </w:r>
      <w:r>
        <w:rPr>
          <w:color w:val="231F20"/>
        </w:rPr>
        <w:t>another</w:t>
      </w:r>
      <w:r>
        <w:rPr>
          <w:color w:val="231F20"/>
          <w:spacing w:val="8"/>
        </w:rPr>
        <w:t> </w:t>
      </w:r>
      <w:r>
        <w:rPr>
          <w:color w:val="231F20"/>
        </w:rPr>
        <w:t>query</w:t>
      </w:r>
      <w:r>
        <w:rPr>
          <w:color w:val="231F20"/>
          <w:spacing w:val="9"/>
        </w:rPr>
        <w:t> </w:t>
      </w:r>
      <w:r>
        <w:rPr>
          <w:color w:val="231F20"/>
        </w:rPr>
        <w:t>to</w:t>
      </w:r>
      <w:r>
        <w:rPr>
          <w:color w:val="231F20"/>
          <w:spacing w:val="8"/>
        </w:rPr>
        <w:t> </w:t>
      </w:r>
      <w:r>
        <w:rPr>
          <w:color w:val="231F20"/>
        </w:rPr>
        <w:t>an</w:t>
      </w:r>
      <w:r>
        <w:rPr>
          <w:color w:val="231F20"/>
          <w:spacing w:val="9"/>
        </w:rPr>
        <w:t> </w:t>
      </w:r>
      <w:r>
        <w:rPr>
          <w:color w:val="231F20"/>
        </w:rPr>
        <w:t>ODBC</w:t>
      </w:r>
      <w:r>
        <w:rPr>
          <w:color w:val="231F20"/>
          <w:spacing w:val="8"/>
        </w:rPr>
        <w:t> </w:t>
      </w:r>
      <w:r>
        <w:rPr>
          <w:color w:val="231F20"/>
          <w:spacing w:val="-2"/>
        </w:rPr>
        <w:t>database:</w:t>
      </w:r>
    </w:p>
    <w:p>
      <w:pPr>
        <w:pStyle w:val="Heading4"/>
        <w:spacing w:before="194"/>
        <w:ind w:left="2472"/>
      </w:pPr>
      <w:r>
        <w:rPr>
          <w:color w:val="231F20"/>
          <w:spacing w:val="-2"/>
        </w:rPr>
        <w:t>Procedure</w:t>
      </w:r>
    </w:p>
    <w:p>
      <w:pPr>
        <w:pStyle w:val="ListParagraph"/>
        <w:numPr>
          <w:ilvl w:val="0"/>
          <w:numId w:val="91"/>
        </w:numPr>
        <w:tabs>
          <w:tab w:pos="2787" w:val="left" w:leader="none"/>
        </w:tabs>
        <w:spacing w:line="240" w:lineRule="auto" w:before="38" w:after="0"/>
        <w:ind w:left="2787" w:right="0" w:hanging="315"/>
        <w:jc w:val="left"/>
        <w:rPr>
          <w:sz w:val="20"/>
        </w:rPr>
      </w:pPr>
      <w:r>
        <w:rPr>
          <w:color w:val="231F20"/>
          <w:sz w:val="20"/>
        </w:rPr>
        <w:t>Do</w:t>
      </w:r>
      <w:r>
        <w:rPr>
          <w:color w:val="231F20"/>
          <w:spacing w:val="12"/>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3"/>
          <w:sz w:val="20"/>
        </w:rPr>
        <w:t> </w:t>
      </w:r>
      <w:r>
        <w:rPr>
          <w:color w:val="231F20"/>
          <w:sz w:val="20"/>
        </w:rPr>
        <w:t>Query</w:t>
      </w:r>
      <w:r>
        <w:rPr>
          <w:color w:val="231F20"/>
          <w:spacing w:val="12"/>
          <w:sz w:val="20"/>
        </w:rPr>
        <w:t> </w:t>
      </w:r>
      <w:r>
        <w:rPr>
          <w:color w:val="231F20"/>
          <w:spacing w:val="-2"/>
          <w:sz w:val="20"/>
        </w:rPr>
        <w:t>editor:</w:t>
      </w:r>
    </w:p>
    <w:p>
      <w:pPr>
        <w:spacing w:before="30"/>
        <w:ind w:left="2788" w:right="0" w:firstLine="0"/>
        <w:jc w:val="left"/>
        <w:rPr>
          <w:sz w:val="20"/>
        </w:rPr>
      </w:pPr>
      <w:r>
        <w:rPr>
          <w:rFonts w:ascii="Futura MdCn BT"/>
          <w:color w:val="231F20"/>
          <w:sz w:val="20"/>
        </w:rPr>
        <w:t>v</w:t>
      </w:r>
      <w:r>
        <w:rPr>
          <w:rFonts w:ascii="Futura MdCn BT"/>
          <w:color w:val="231F20"/>
          <w:spacing w:val="34"/>
          <w:sz w:val="20"/>
        </w:rPr>
        <w:t>  </w:t>
      </w:r>
      <w:r>
        <w:rPr>
          <w:color w:val="231F20"/>
          <w:sz w:val="20"/>
        </w:rPr>
        <w:t>Click</w:t>
      </w:r>
      <w:r>
        <w:rPr>
          <w:color w:val="231F20"/>
          <w:spacing w:val="26"/>
          <w:sz w:val="20"/>
        </w:rPr>
        <w:t> </w:t>
      </w:r>
      <w:r>
        <w:rPr>
          <w:color w:val="231F20"/>
          <w:spacing w:val="-24"/>
          <w:position w:val="-1"/>
          <w:sz w:val="20"/>
        </w:rPr>
        <w:drawing>
          <wp:inline distT="0" distB="0" distL="0" distR="0">
            <wp:extent cx="95250" cy="101600"/>
            <wp:effectExtent l="0" t="0" r="0" b="0"/>
            <wp:docPr id="1757" name="Image 1757"/>
            <wp:cNvGraphicFramePr>
              <a:graphicFrameLocks/>
            </wp:cNvGraphicFramePr>
            <a:graphic>
              <a:graphicData uri="http://schemas.openxmlformats.org/drawingml/2006/picture">
                <pic:pic>
                  <pic:nvPicPr>
                    <pic:cNvPr id="1757" name="Image 1757"/>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62"/>
          <w:w w:val="150"/>
          <w:sz w:val="20"/>
        </w:rPr>
        <w:t> </w:t>
      </w:r>
      <w:r>
        <w:rPr>
          <w:rFonts w:ascii="Book Antiqua"/>
          <w:b/>
          <w:color w:val="231F20"/>
          <w:spacing w:val="-2"/>
          <w:sz w:val="20"/>
        </w:rPr>
        <w:t>Queries</w:t>
      </w:r>
      <w:r>
        <w:rPr>
          <w:color w:val="231F20"/>
          <w:spacing w:val="-2"/>
          <w:sz w:val="20"/>
        </w:rPr>
        <w:t>.</w:t>
      </w:r>
    </w:p>
    <w:p>
      <w:pPr>
        <w:spacing w:line="213" w:lineRule="auto" w:before="52"/>
        <w:ind w:left="300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In the title bar of the table or chart view where you would like to apply the</w:t>
      </w:r>
      <w:r>
        <w:rPr>
          <w:color w:val="231F20"/>
          <w:spacing w:val="80"/>
          <w:sz w:val="20"/>
        </w:rPr>
        <w:t> </w:t>
      </w:r>
      <w:r>
        <w:rPr>
          <w:color w:val="231F20"/>
          <w:sz w:val="20"/>
        </w:rPr>
        <w:t>new</w:t>
      </w:r>
      <w:r>
        <w:rPr>
          <w:color w:val="231F20"/>
          <w:spacing w:val="25"/>
          <w:sz w:val="20"/>
        </w:rPr>
        <w:t> </w:t>
      </w:r>
      <w:r>
        <w:rPr>
          <w:color w:val="231F20"/>
          <w:sz w:val="20"/>
        </w:rPr>
        <w:t>query,</w:t>
      </w:r>
      <w:r>
        <w:rPr>
          <w:color w:val="231F20"/>
          <w:spacing w:val="25"/>
          <w:sz w:val="20"/>
        </w:rPr>
        <w:t> </w:t>
      </w:r>
      <w:r>
        <w:rPr>
          <w:color w:val="231F20"/>
          <w:sz w:val="20"/>
        </w:rPr>
        <w:t>click</w:t>
      </w:r>
      <w:r>
        <w:rPr>
          <w:color w:val="231F20"/>
          <w:spacing w:val="40"/>
          <w:sz w:val="20"/>
        </w:rPr>
        <w:t> </w:t>
      </w:r>
      <w:r>
        <w:rPr>
          <w:color w:val="231F20"/>
          <w:spacing w:val="6"/>
          <w:position w:val="1"/>
          <w:sz w:val="20"/>
        </w:rPr>
        <w:drawing>
          <wp:inline distT="0" distB="0" distL="0" distR="0">
            <wp:extent cx="57150" cy="57150"/>
            <wp:effectExtent l="0" t="0" r="0" b="0"/>
            <wp:docPr id="1758" name="Image 1758"/>
            <wp:cNvGraphicFramePr>
              <a:graphicFrameLocks/>
            </wp:cNvGraphicFramePr>
            <a:graphic>
              <a:graphicData uri="http://schemas.openxmlformats.org/drawingml/2006/picture">
                <pic:pic>
                  <pic:nvPicPr>
                    <pic:cNvPr id="1758" name="Image 1758"/>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6"/>
          <w:position w:val="1"/>
          <w:sz w:val="20"/>
        </w:rPr>
      </w:r>
      <w:r>
        <w:rPr>
          <w:rFonts w:ascii="Times New Roman"/>
          <w:color w:val="231F20"/>
          <w:spacing w:val="80"/>
          <w:sz w:val="20"/>
        </w:rPr>
        <w:t> </w:t>
      </w:r>
      <w:r>
        <w:rPr>
          <w:rFonts w:ascii="Book Antiqua"/>
          <w:b/>
          <w:color w:val="231F20"/>
          <w:sz w:val="20"/>
        </w:rPr>
        <w:t>Properties</w:t>
      </w:r>
      <w:r>
        <w:rPr>
          <w:rFonts w:ascii="Book Antiqua"/>
          <w:b/>
          <w:color w:val="231F20"/>
          <w:spacing w:val="25"/>
          <w:sz w:val="20"/>
        </w:rPr>
        <w:t> </w:t>
      </w:r>
      <w:r>
        <w:rPr>
          <w:color w:val="231F20"/>
          <w:sz w:val="20"/>
        </w:rPr>
        <w:t>&gt;</w:t>
      </w:r>
      <w:r>
        <w:rPr>
          <w:color w:val="231F20"/>
          <w:spacing w:val="37"/>
          <w:sz w:val="20"/>
        </w:rPr>
        <w:t> </w:t>
      </w:r>
      <w:r>
        <w:rPr>
          <w:color w:val="231F20"/>
          <w:spacing w:val="-24"/>
          <w:position w:val="-1"/>
          <w:sz w:val="20"/>
        </w:rPr>
        <w:drawing>
          <wp:inline distT="0" distB="0" distL="0" distR="0">
            <wp:extent cx="95250" cy="101600"/>
            <wp:effectExtent l="0" t="0" r="0" b="0"/>
            <wp:docPr id="1759" name="Image 1759"/>
            <wp:cNvGraphicFramePr>
              <a:graphicFrameLocks/>
            </wp:cNvGraphicFramePr>
            <a:graphic>
              <a:graphicData uri="http://schemas.openxmlformats.org/drawingml/2006/picture">
                <pic:pic>
                  <pic:nvPicPr>
                    <pic:cNvPr id="1759" name="Image 175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i/>
          <w:color w:val="231F20"/>
          <w:sz w:val="20"/>
        </w:rPr>
        <w:t>Click</w:t>
      </w:r>
      <w:r>
        <w:rPr>
          <w:rFonts w:ascii="Book Antiqua"/>
          <w:i/>
          <w:color w:val="231F20"/>
          <w:spacing w:val="25"/>
          <w:sz w:val="20"/>
        </w:rPr>
        <w:t> </w:t>
      </w:r>
      <w:r>
        <w:rPr>
          <w:rFonts w:ascii="Book Antiqua"/>
          <w:i/>
          <w:color w:val="231F20"/>
          <w:sz w:val="20"/>
        </w:rPr>
        <w:t>here</w:t>
      </w:r>
      <w:r>
        <w:rPr>
          <w:rFonts w:ascii="Book Antiqua"/>
          <w:i/>
          <w:color w:val="231F20"/>
          <w:spacing w:val="25"/>
          <w:sz w:val="20"/>
        </w:rPr>
        <w:t> </w:t>
      </w:r>
      <w:r>
        <w:rPr>
          <w:rFonts w:ascii="Book Antiqua"/>
          <w:i/>
          <w:color w:val="231F20"/>
          <w:sz w:val="20"/>
        </w:rPr>
        <w:t>to</w:t>
      </w:r>
      <w:r>
        <w:rPr>
          <w:rFonts w:ascii="Book Antiqua"/>
          <w:i/>
          <w:color w:val="231F20"/>
          <w:spacing w:val="25"/>
          <w:sz w:val="20"/>
        </w:rPr>
        <w:t> </w:t>
      </w:r>
      <w:r>
        <w:rPr>
          <w:rFonts w:ascii="Book Antiqua"/>
          <w:i/>
          <w:color w:val="231F20"/>
          <w:sz w:val="20"/>
        </w:rPr>
        <w:t>assign</w:t>
      </w:r>
      <w:r>
        <w:rPr>
          <w:rFonts w:ascii="Book Antiqua"/>
          <w:i/>
          <w:color w:val="231F20"/>
          <w:spacing w:val="25"/>
          <w:sz w:val="20"/>
        </w:rPr>
        <w:t> </w:t>
      </w:r>
      <w:r>
        <w:rPr>
          <w:rFonts w:ascii="Book Antiqua"/>
          <w:i/>
          <w:color w:val="231F20"/>
          <w:sz w:val="20"/>
        </w:rPr>
        <w:t>a</w:t>
      </w:r>
      <w:r>
        <w:rPr>
          <w:rFonts w:ascii="Book Antiqua"/>
          <w:i/>
          <w:color w:val="231F20"/>
          <w:spacing w:val="25"/>
          <w:sz w:val="20"/>
        </w:rPr>
        <w:t> </w:t>
      </w:r>
      <w:r>
        <w:rPr>
          <w:rFonts w:ascii="Book Antiqua"/>
          <w:i/>
          <w:color w:val="231F20"/>
          <w:sz w:val="20"/>
        </w:rPr>
        <w:t>query</w:t>
      </w:r>
      <w:r>
        <w:rPr>
          <w:color w:val="231F20"/>
          <w:sz w:val="20"/>
        </w:rPr>
        <w:t>.</w:t>
      </w:r>
    </w:p>
    <w:p>
      <w:pPr>
        <w:pStyle w:val="ListParagraph"/>
        <w:numPr>
          <w:ilvl w:val="0"/>
          <w:numId w:val="91"/>
        </w:numPr>
        <w:tabs>
          <w:tab w:pos="2786" w:val="left" w:leader="none"/>
          <w:tab w:pos="2788" w:val="left" w:leader="none"/>
        </w:tabs>
        <w:spacing w:line="213" w:lineRule="auto" w:before="59" w:after="0"/>
        <w:ind w:left="2788" w:right="212" w:hanging="317"/>
        <w:jc w:val="left"/>
        <w:rPr>
          <w:sz w:val="20"/>
        </w:rPr>
      </w:pPr>
      <w:r>
        <w:rPr>
          <w:color w:val="231F20"/>
          <w:sz w:val="20"/>
        </w:rPr>
        <w:t>Click</w:t>
      </w:r>
      <w:r>
        <w:rPr>
          <w:color w:val="231F20"/>
          <w:spacing w:val="40"/>
          <w:sz w:val="20"/>
        </w:rPr>
        <w:t> </w:t>
      </w:r>
      <w:r>
        <w:rPr>
          <w:color w:val="231F20"/>
          <w:spacing w:val="6"/>
          <w:sz w:val="20"/>
        </w:rPr>
        <w:drawing>
          <wp:inline distT="0" distB="0" distL="0" distR="0">
            <wp:extent cx="69850" cy="69850"/>
            <wp:effectExtent l="0" t="0" r="0" b="0"/>
            <wp:docPr id="1760" name="Image 1760"/>
            <wp:cNvGraphicFramePr>
              <a:graphicFrameLocks/>
            </wp:cNvGraphicFramePr>
            <a:graphic>
              <a:graphicData uri="http://schemas.openxmlformats.org/drawingml/2006/picture">
                <pic:pic>
                  <pic:nvPicPr>
                    <pic:cNvPr id="1760" name="Image 1760"/>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80"/>
          <w:sz w:val="20"/>
        </w:rPr>
        <w:t> </w:t>
      </w:r>
      <w:r>
        <w:rPr>
          <w:color w:val="231F20"/>
          <w:sz w:val="20"/>
        </w:rPr>
        <w:t>to expand the </w:t>
      </w:r>
      <w:r>
        <w:rPr>
          <w:color w:val="231F20"/>
          <w:spacing w:val="-24"/>
          <w:position w:val="-1"/>
          <w:sz w:val="20"/>
        </w:rPr>
        <w:drawing>
          <wp:inline distT="0" distB="0" distL="0" distR="0">
            <wp:extent cx="95250" cy="95250"/>
            <wp:effectExtent l="0" t="0" r="0" b="0"/>
            <wp:docPr id="1761" name="Image 1761"/>
            <wp:cNvGraphicFramePr>
              <a:graphicFrameLocks/>
            </wp:cNvGraphicFramePr>
            <a:graphic>
              <a:graphicData uri="http://schemas.openxmlformats.org/drawingml/2006/picture">
                <pic:pic>
                  <pic:nvPicPr>
                    <pic:cNvPr id="1761" name="Image 1761"/>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6"/>
          <w:sz w:val="20"/>
        </w:rPr>
        <w:t> </w:t>
      </w:r>
      <w:r>
        <w:rPr>
          <w:color w:val="231F20"/>
          <w:sz w:val="20"/>
        </w:rPr>
        <w:t>Tivoli Enterprise Monitoring Agents and </w:t>
      </w:r>
      <w:r>
        <w:rPr>
          <w:color w:val="231F20"/>
          <w:spacing w:val="-25"/>
          <w:position w:val="-1"/>
          <w:sz w:val="20"/>
        </w:rPr>
        <w:drawing>
          <wp:inline distT="0" distB="0" distL="0" distR="0">
            <wp:extent cx="88900" cy="101600"/>
            <wp:effectExtent l="0" t="0" r="0" b="0"/>
            <wp:docPr id="1762" name="Image 1762"/>
            <wp:cNvGraphicFramePr>
              <a:graphicFrameLocks/>
            </wp:cNvGraphicFramePr>
            <a:graphic>
              <a:graphicData uri="http://schemas.openxmlformats.org/drawingml/2006/picture">
                <pic:pic>
                  <pic:nvPicPr>
                    <pic:cNvPr id="1762" name="Image 176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color w:val="231F20"/>
          <w:sz w:val="20"/>
        </w:rPr>
        <w:t>attribute group folders to see the queries.</w:t>
      </w:r>
    </w:p>
    <w:p>
      <w:pPr>
        <w:pStyle w:val="ListParagraph"/>
        <w:numPr>
          <w:ilvl w:val="0"/>
          <w:numId w:val="91"/>
        </w:numPr>
        <w:tabs>
          <w:tab w:pos="2788" w:val="left" w:leader="none"/>
        </w:tabs>
        <w:spacing w:line="213" w:lineRule="auto" w:before="58" w:after="0"/>
        <w:ind w:left="2788" w:right="326" w:hanging="316"/>
        <w:jc w:val="left"/>
        <w:rPr>
          <w:sz w:val="20"/>
        </w:rPr>
      </w:pPr>
      <w:r>
        <w:rPr>
          <w:color w:val="231F20"/>
          <w:sz w:val="20"/>
        </w:rPr>
        <w:t>Find a query similar to the one you want, select the query and click</w:t>
      </w:r>
      <w:r>
        <w:rPr>
          <w:color w:val="231F20"/>
          <w:spacing w:val="29"/>
          <w:sz w:val="20"/>
        </w:rPr>
        <w:t> </w:t>
      </w:r>
      <w:r>
        <w:rPr>
          <w:color w:val="231F20"/>
          <w:spacing w:val="-16"/>
          <w:position w:val="-1"/>
          <w:sz w:val="20"/>
        </w:rPr>
        <w:drawing>
          <wp:inline distT="0" distB="0" distL="0" distR="0">
            <wp:extent cx="82550" cy="95250"/>
            <wp:effectExtent l="0" t="0" r="0" b="0"/>
            <wp:docPr id="1763" name="Image 1763"/>
            <wp:cNvGraphicFramePr>
              <a:graphicFrameLocks/>
            </wp:cNvGraphicFramePr>
            <a:graphic>
              <a:graphicData uri="http://schemas.openxmlformats.org/drawingml/2006/picture">
                <pic:pic>
                  <pic:nvPicPr>
                    <pic:cNvPr id="1763" name="Image 1763"/>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6"/>
          <w:position w:val="-1"/>
          <w:sz w:val="20"/>
        </w:rPr>
      </w:r>
      <w:r>
        <w:rPr>
          <w:rFonts w:ascii="Times New Roman"/>
          <w:color w:val="231F20"/>
          <w:spacing w:val="80"/>
          <w:sz w:val="20"/>
        </w:rPr>
        <w:t> </w:t>
      </w:r>
      <w:r>
        <w:rPr>
          <w:rFonts w:ascii="Book Antiqua"/>
          <w:b/>
          <w:color w:val="231F20"/>
          <w:sz w:val="20"/>
        </w:rPr>
        <w:t>Create Another Query</w:t>
      </w:r>
      <w:r>
        <w:rPr>
          <w:color w:val="231F20"/>
          <w:sz w:val="20"/>
        </w:rPr>
        <w:t>.</w:t>
      </w:r>
    </w:p>
    <w:p>
      <w:pPr>
        <w:pStyle w:val="ListParagraph"/>
        <w:numPr>
          <w:ilvl w:val="0"/>
          <w:numId w:val="91"/>
        </w:numPr>
        <w:tabs>
          <w:tab w:pos="2788" w:val="left" w:leader="none"/>
        </w:tabs>
        <w:spacing w:line="213" w:lineRule="auto" w:before="59" w:after="0"/>
        <w:ind w:left="2788" w:right="354" w:hanging="316"/>
        <w:jc w:val="left"/>
        <w:rPr>
          <w:sz w:val="20"/>
        </w:rPr>
      </w:pPr>
      <w:r>
        <w:rPr>
          <w:color w:val="231F20"/>
          <w:sz w:val="20"/>
        </w:rPr>
        <w:t>In the </w:t>
      </w:r>
      <w:r>
        <w:rPr>
          <w:rFonts w:ascii="Book Antiqua"/>
          <w:b/>
          <w:color w:val="231F20"/>
          <w:sz w:val="20"/>
        </w:rPr>
        <w:t>Name </w:t>
      </w:r>
      <w:r>
        <w:rPr>
          <w:color w:val="231F20"/>
          <w:sz w:val="20"/>
        </w:rPr>
        <w:t>field, type a name of up to 32 letters, numbers, underscores (_)</w:t>
      </w:r>
      <w:r>
        <w:rPr>
          <w:color w:val="231F20"/>
          <w:spacing w:val="40"/>
          <w:sz w:val="20"/>
        </w:rPr>
        <w:t> </w:t>
      </w:r>
      <w:r>
        <w:rPr>
          <w:color w:val="231F20"/>
          <w:sz w:val="20"/>
        </w:rPr>
        <w:t>and spaces, then click </w:t>
      </w:r>
      <w:r>
        <w:rPr>
          <w:rFonts w:ascii="Book Antiqua"/>
          <w:b/>
          <w:color w:val="231F20"/>
          <w:sz w:val="20"/>
        </w:rPr>
        <w:t>OK</w:t>
      </w:r>
      <w:r>
        <w:rPr>
          <w:color w:val="231F20"/>
          <w:sz w:val="20"/>
        </w:rPr>
        <w:t>. A duplicate of the original query is displayed </w:t>
      </w:r>
      <w:r>
        <w:rPr>
          <w:color w:val="231F20"/>
          <w:sz w:val="20"/>
        </w:rPr>
        <w:t>with the name you entered.</w:t>
      </w:r>
    </w:p>
    <w:p>
      <w:pPr>
        <w:pStyle w:val="ListParagraph"/>
        <w:numPr>
          <w:ilvl w:val="0"/>
          <w:numId w:val="91"/>
        </w:numPr>
        <w:tabs>
          <w:tab w:pos="2787" w:val="left" w:leader="none"/>
        </w:tabs>
        <w:spacing w:line="240" w:lineRule="auto" w:before="35" w:after="0"/>
        <w:ind w:left="2787" w:right="0" w:hanging="315"/>
        <w:jc w:val="left"/>
        <w:rPr>
          <w:sz w:val="20"/>
        </w:rPr>
      </w:pP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Description</w:t>
      </w:r>
      <w:r>
        <w:rPr>
          <w:rFonts w:ascii="Book Antiqua"/>
          <w:b/>
          <w:color w:val="231F20"/>
          <w:spacing w:val="12"/>
          <w:sz w:val="20"/>
        </w:rPr>
        <w:t> </w:t>
      </w:r>
      <w:r>
        <w:rPr>
          <w:color w:val="231F20"/>
          <w:sz w:val="20"/>
        </w:rPr>
        <w:t>field,</w:t>
      </w:r>
      <w:r>
        <w:rPr>
          <w:color w:val="231F20"/>
          <w:spacing w:val="12"/>
          <w:sz w:val="20"/>
        </w:rPr>
        <w:t> </w:t>
      </w:r>
      <w:r>
        <w:rPr>
          <w:color w:val="231F20"/>
          <w:sz w:val="20"/>
        </w:rPr>
        <w:t>type</w:t>
      </w:r>
      <w:r>
        <w:rPr>
          <w:color w:val="231F20"/>
          <w:spacing w:val="12"/>
          <w:sz w:val="20"/>
        </w:rPr>
        <w:t> </w:t>
      </w:r>
      <w:r>
        <w:rPr>
          <w:color w:val="231F20"/>
          <w:sz w:val="20"/>
        </w:rPr>
        <w:t>a</w:t>
      </w:r>
      <w:r>
        <w:rPr>
          <w:color w:val="231F20"/>
          <w:spacing w:val="12"/>
          <w:sz w:val="20"/>
        </w:rPr>
        <w:t> </w:t>
      </w:r>
      <w:r>
        <w:rPr>
          <w:color w:val="231F20"/>
          <w:sz w:val="20"/>
        </w:rPr>
        <w:t>new</w:t>
      </w:r>
      <w:r>
        <w:rPr>
          <w:color w:val="231F20"/>
          <w:spacing w:val="12"/>
          <w:sz w:val="20"/>
        </w:rPr>
        <w:t> </w:t>
      </w:r>
      <w:r>
        <w:rPr>
          <w:color w:val="231F20"/>
          <w:spacing w:val="-2"/>
          <w:sz w:val="20"/>
        </w:rPr>
        <w:t>description.</w:t>
      </w:r>
    </w:p>
    <w:p>
      <w:pPr>
        <w:pStyle w:val="ListParagraph"/>
        <w:numPr>
          <w:ilvl w:val="0"/>
          <w:numId w:val="91"/>
        </w:numPr>
        <w:tabs>
          <w:tab w:pos="2788" w:val="left" w:leader="none"/>
        </w:tabs>
        <w:spacing w:line="213" w:lineRule="auto" w:before="52" w:after="0"/>
        <w:ind w:left="2788" w:right="918" w:hanging="316"/>
        <w:jc w:val="left"/>
        <w:rPr>
          <w:sz w:val="20"/>
        </w:rPr>
      </w:pPr>
      <w:r>
        <w:rPr>
          <w:color w:val="231F20"/>
          <w:sz w:val="20"/>
        </w:rPr>
        <w:t>Edit the specification for any changes you want to make to the </w:t>
      </w:r>
      <w:r>
        <w:rPr>
          <w:color w:val="231F20"/>
          <w:sz w:val="20"/>
        </w:rPr>
        <w:t>SELECT </w:t>
      </w:r>
      <w:r>
        <w:rPr>
          <w:color w:val="231F20"/>
          <w:spacing w:val="-2"/>
          <w:sz w:val="20"/>
        </w:rPr>
        <w:t>statement.</w:t>
      </w:r>
    </w:p>
    <w:p>
      <w:pPr>
        <w:pStyle w:val="ListParagraph"/>
        <w:numPr>
          <w:ilvl w:val="0"/>
          <w:numId w:val="91"/>
        </w:numPr>
        <w:tabs>
          <w:tab w:pos="2787" w:val="left" w:leader="none"/>
        </w:tabs>
        <w:spacing w:line="255" w:lineRule="exact" w:before="36" w:after="0"/>
        <w:ind w:left="2787" w:right="0" w:hanging="315"/>
        <w:jc w:val="left"/>
        <w:rPr>
          <w:sz w:val="20"/>
        </w:rPr>
      </w:pPr>
      <w:r>
        <w:rPr>
          <w:color w:val="231F20"/>
          <w:sz w:val="20"/>
        </w:rPr>
        <w:t>When</w:t>
      </w:r>
      <w:r>
        <w:rPr>
          <w:color w:val="231F20"/>
          <w:spacing w:val="11"/>
          <w:sz w:val="20"/>
        </w:rPr>
        <w:t> </w:t>
      </w:r>
      <w:r>
        <w:rPr>
          <w:color w:val="231F20"/>
          <w:sz w:val="20"/>
        </w:rPr>
        <w:t>you</w:t>
      </w:r>
      <w:r>
        <w:rPr>
          <w:color w:val="231F20"/>
          <w:spacing w:val="12"/>
          <w:sz w:val="20"/>
        </w:rPr>
        <w:t> </w:t>
      </w:r>
      <w:r>
        <w:rPr>
          <w:color w:val="231F20"/>
          <w:sz w:val="20"/>
        </w:rPr>
        <w:t>are</w:t>
      </w:r>
      <w:r>
        <w:rPr>
          <w:color w:val="231F20"/>
          <w:spacing w:val="11"/>
          <w:sz w:val="20"/>
        </w:rPr>
        <w:t> </w:t>
      </w:r>
      <w:r>
        <w:rPr>
          <w:color w:val="231F20"/>
          <w:sz w:val="20"/>
        </w:rPr>
        <w:t>done,</w:t>
      </w:r>
      <w:r>
        <w:rPr>
          <w:color w:val="231F20"/>
          <w:spacing w:val="12"/>
          <w:sz w:val="20"/>
        </w:rPr>
        <w:t> </w:t>
      </w:r>
      <w:r>
        <w:rPr>
          <w:color w:val="231F20"/>
          <w:sz w:val="20"/>
        </w:rPr>
        <w:t>click</w:t>
      </w:r>
      <w:r>
        <w:rPr>
          <w:color w:val="231F20"/>
          <w:spacing w:val="11"/>
          <w:sz w:val="20"/>
        </w:rPr>
        <w:t> </w:t>
      </w:r>
      <w:r>
        <w:rPr>
          <w:rFonts w:ascii="Book Antiqua"/>
          <w:b/>
          <w:color w:val="231F20"/>
          <w:sz w:val="20"/>
        </w:rPr>
        <w:t>Apply</w:t>
      </w:r>
      <w:r>
        <w:rPr>
          <w:rFonts w:ascii="Book Antiqua"/>
          <w:b/>
          <w:color w:val="231F20"/>
          <w:spacing w:val="12"/>
          <w:sz w:val="20"/>
        </w:rPr>
        <w:t> </w:t>
      </w:r>
      <w:r>
        <w:rPr>
          <w:color w:val="231F20"/>
          <w:sz w:val="20"/>
        </w:rPr>
        <w:t>to</w:t>
      </w:r>
      <w:r>
        <w:rPr>
          <w:color w:val="231F20"/>
          <w:spacing w:val="12"/>
          <w:sz w:val="20"/>
        </w:rPr>
        <w:t> </w:t>
      </w:r>
      <w:r>
        <w:rPr>
          <w:color w:val="231F20"/>
          <w:sz w:val="20"/>
        </w:rPr>
        <w:t>save</w:t>
      </w:r>
      <w:r>
        <w:rPr>
          <w:color w:val="231F20"/>
          <w:spacing w:val="11"/>
          <w:sz w:val="20"/>
        </w:rPr>
        <w:t> </w:t>
      </w:r>
      <w:r>
        <w:rPr>
          <w:color w:val="231F20"/>
          <w:sz w:val="20"/>
        </w:rPr>
        <w:t>the</w:t>
      </w:r>
      <w:r>
        <w:rPr>
          <w:color w:val="231F20"/>
          <w:spacing w:val="12"/>
          <w:sz w:val="20"/>
        </w:rPr>
        <w:t> </w:t>
      </w:r>
      <w:r>
        <w:rPr>
          <w:color w:val="231F20"/>
          <w:sz w:val="20"/>
        </w:rPr>
        <w:t>query</w:t>
      </w:r>
      <w:r>
        <w:rPr>
          <w:color w:val="231F20"/>
          <w:spacing w:val="11"/>
          <w:sz w:val="20"/>
        </w:rPr>
        <w:t> </w:t>
      </w:r>
      <w:r>
        <w:rPr>
          <w:color w:val="231F20"/>
          <w:sz w:val="20"/>
        </w:rPr>
        <w:t>and</w:t>
      </w:r>
      <w:r>
        <w:rPr>
          <w:color w:val="231F20"/>
          <w:spacing w:val="12"/>
          <w:sz w:val="20"/>
        </w:rPr>
        <w:t> </w:t>
      </w:r>
      <w:r>
        <w:rPr>
          <w:color w:val="231F20"/>
          <w:sz w:val="20"/>
        </w:rPr>
        <w:t>keep</w:t>
      </w:r>
      <w:r>
        <w:rPr>
          <w:color w:val="231F20"/>
          <w:spacing w:val="12"/>
          <w:sz w:val="20"/>
        </w:rPr>
        <w:t> </w:t>
      </w:r>
      <w:r>
        <w:rPr>
          <w:color w:val="231F20"/>
          <w:sz w:val="20"/>
        </w:rPr>
        <w:t>the</w:t>
      </w:r>
      <w:r>
        <w:rPr>
          <w:color w:val="231F20"/>
          <w:spacing w:val="11"/>
          <w:sz w:val="20"/>
        </w:rPr>
        <w:t> </w:t>
      </w:r>
      <w:r>
        <w:rPr>
          <w:color w:val="231F20"/>
          <w:sz w:val="20"/>
        </w:rPr>
        <w:t>window</w:t>
      </w:r>
      <w:r>
        <w:rPr>
          <w:color w:val="231F20"/>
          <w:spacing w:val="12"/>
          <w:sz w:val="20"/>
        </w:rPr>
        <w:t> </w:t>
      </w:r>
      <w:r>
        <w:rPr>
          <w:color w:val="231F20"/>
          <w:spacing w:val="-2"/>
          <w:sz w:val="20"/>
        </w:rPr>
        <w:t>open;</w:t>
      </w:r>
    </w:p>
    <w:p>
      <w:pPr>
        <w:pStyle w:val="BodyText"/>
        <w:spacing w:line="255" w:lineRule="exact"/>
        <w:ind w:left="2788"/>
      </w:pPr>
      <w:r>
        <w:rPr>
          <w:color w:val="231F20"/>
        </w:rPr>
        <w:t>-OR-</w:t>
      </w:r>
      <w:r>
        <w:rPr>
          <w:color w:val="231F20"/>
          <w:spacing w:val="12"/>
        </w:rPr>
        <w:t> </w:t>
      </w:r>
      <w:r>
        <w:rPr>
          <w:color w:val="231F20"/>
        </w:rPr>
        <w:t>click</w:t>
      </w:r>
      <w:r>
        <w:rPr>
          <w:color w:val="231F20"/>
          <w:spacing w:val="12"/>
        </w:rPr>
        <w:t> </w:t>
      </w:r>
      <w:r>
        <w:rPr>
          <w:rFonts w:ascii="Book Antiqua"/>
          <w:b/>
          <w:color w:val="231F20"/>
        </w:rPr>
        <w:t>OK</w:t>
      </w:r>
      <w:r>
        <w:rPr>
          <w:rFonts w:ascii="Book Antiqua"/>
          <w:b/>
          <w:color w:val="231F20"/>
          <w:spacing w:val="13"/>
        </w:rPr>
        <w:t> </w:t>
      </w:r>
      <w:r>
        <w:rPr>
          <w:color w:val="231F20"/>
        </w:rPr>
        <w:t>to</w:t>
      </w:r>
      <w:r>
        <w:rPr>
          <w:color w:val="231F20"/>
          <w:spacing w:val="12"/>
        </w:rPr>
        <w:t> </w:t>
      </w:r>
      <w:r>
        <w:rPr>
          <w:color w:val="231F20"/>
        </w:rPr>
        <w:t>save</w:t>
      </w:r>
      <w:r>
        <w:rPr>
          <w:color w:val="231F20"/>
          <w:spacing w:val="13"/>
        </w:rPr>
        <w:t> </w:t>
      </w:r>
      <w:r>
        <w:rPr>
          <w:color w:val="231F20"/>
        </w:rPr>
        <w:t>the</w:t>
      </w:r>
      <w:r>
        <w:rPr>
          <w:color w:val="231F20"/>
          <w:spacing w:val="12"/>
        </w:rPr>
        <w:t> </w:t>
      </w:r>
      <w:r>
        <w:rPr>
          <w:color w:val="231F20"/>
        </w:rPr>
        <w:t>query</w:t>
      </w:r>
      <w:r>
        <w:rPr>
          <w:color w:val="231F20"/>
          <w:spacing w:val="13"/>
        </w:rPr>
        <w:t> </w:t>
      </w:r>
      <w:r>
        <w:rPr>
          <w:color w:val="231F20"/>
        </w:rPr>
        <w:t>and</w:t>
      </w:r>
      <w:r>
        <w:rPr>
          <w:color w:val="231F20"/>
          <w:spacing w:val="12"/>
        </w:rPr>
        <w:t> </w:t>
      </w:r>
      <w:r>
        <w:rPr>
          <w:color w:val="231F20"/>
        </w:rPr>
        <w:t>close</w:t>
      </w:r>
      <w:r>
        <w:rPr>
          <w:color w:val="231F20"/>
          <w:spacing w:val="12"/>
        </w:rPr>
        <w:t> </w:t>
      </w:r>
      <w:r>
        <w:rPr>
          <w:color w:val="231F20"/>
        </w:rPr>
        <w:t>the</w:t>
      </w:r>
      <w:r>
        <w:rPr>
          <w:color w:val="231F20"/>
          <w:spacing w:val="13"/>
        </w:rPr>
        <w:t> </w:t>
      </w:r>
      <w:r>
        <w:rPr>
          <w:color w:val="231F20"/>
          <w:spacing w:val="-2"/>
        </w:rPr>
        <w:t>window.</w:t>
      </w:r>
    </w:p>
    <w:p>
      <w:pPr>
        <w:spacing w:after="0" w:line="255" w:lineRule="exact"/>
        <w:sectPr>
          <w:type w:val="continuous"/>
          <w:pgSz w:w="12240" w:h="15840"/>
          <w:pgMar w:header="0" w:footer="736" w:top="0" w:bottom="4660" w:left="1000" w:right="1060"/>
        </w:sectPr>
      </w:pPr>
    </w:p>
    <w:p>
      <w:pPr>
        <w:pStyle w:val="Heading3"/>
        <w:spacing w:before="84"/>
        <w:ind w:left="1334"/>
      </w:pPr>
      <w:bookmarkStart w:name="_bookmark147" w:id="325"/>
      <w:bookmarkEnd w:id="325"/>
      <w:r>
        <w:rPr>
          <w:b w:val="0"/>
        </w:rPr>
      </w:r>
      <w:bookmarkStart w:name="Symbols in creating queries to JDBC or O" w:id="326"/>
      <w:bookmarkEnd w:id="326"/>
      <w:r>
        <w:rPr>
          <w:b w:val="0"/>
        </w:rPr>
      </w:r>
      <w:r>
        <w:rPr>
          <w:color w:val="231F20"/>
        </w:rPr>
        <w:t>Symbols</w:t>
      </w:r>
      <w:r>
        <w:rPr>
          <w:color w:val="231F20"/>
          <w:spacing w:val="8"/>
        </w:rPr>
        <w:t> </w:t>
      </w:r>
      <w:r>
        <w:rPr>
          <w:color w:val="231F20"/>
        </w:rPr>
        <w:t>in</w:t>
      </w:r>
      <w:r>
        <w:rPr>
          <w:color w:val="231F20"/>
          <w:spacing w:val="8"/>
        </w:rPr>
        <w:t> </w:t>
      </w:r>
      <w:r>
        <w:rPr>
          <w:color w:val="231F20"/>
        </w:rPr>
        <w:t>creating</w:t>
      </w:r>
      <w:r>
        <w:rPr>
          <w:color w:val="231F20"/>
          <w:spacing w:val="8"/>
        </w:rPr>
        <w:t> </w:t>
      </w:r>
      <w:r>
        <w:rPr>
          <w:color w:val="231F20"/>
        </w:rPr>
        <w:t>queries</w:t>
      </w:r>
      <w:r>
        <w:rPr>
          <w:color w:val="231F20"/>
          <w:spacing w:val="8"/>
        </w:rPr>
        <w:t> </w:t>
      </w:r>
      <w:r>
        <w:rPr>
          <w:color w:val="231F20"/>
        </w:rPr>
        <w:t>to</w:t>
      </w:r>
      <w:r>
        <w:rPr>
          <w:color w:val="231F20"/>
          <w:spacing w:val="8"/>
        </w:rPr>
        <w:t> </w:t>
      </w:r>
      <w:r>
        <w:rPr>
          <w:color w:val="231F20"/>
        </w:rPr>
        <w:t>JDBC</w:t>
      </w:r>
      <w:r>
        <w:rPr>
          <w:color w:val="231F20"/>
          <w:spacing w:val="8"/>
        </w:rPr>
        <w:t> </w:t>
      </w:r>
      <w:r>
        <w:rPr>
          <w:color w:val="231F20"/>
        </w:rPr>
        <w:t>or</w:t>
      </w:r>
      <w:r>
        <w:rPr>
          <w:color w:val="231F20"/>
          <w:spacing w:val="8"/>
        </w:rPr>
        <w:t> </w:t>
      </w:r>
      <w:r>
        <w:rPr>
          <w:color w:val="231F20"/>
        </w:rPr>
        <w:t>ODBC</w:t>
      </w:r>
      <w:r>
        <w:rPr>
          <w:color w:val="231F20"/>
          <w:spacing w:val="8"/>
        </w:rPr>
        <w:t> </w:t>
      </w:r>
      <w:r>
        <w:rPr>
          <w:color w:val="231F20"/>
        </w:rPr>
        <w:t>data</w:t>
      </w:r>
      <w:r>
        <w:rPr>
          <w:color w:val="231F20"/>
          <w:spacing w:val="8"/>
        </w:rPr>
        <w:t> </w:t>
      </w:r>
      <w:r>
        <w:rPr>
          <w:color w:val="231F20"/>
          <w:spacing w:val="-2"/>
        </w:rPr>
        <w:t>sources</w:t>
      </w:r>
    </w:p>
    <w:p>
      <w:pPr>
        <w:pStyle w:val="BodyText"/>
        <w:spacing w:line="255" w:lineRule="exact" w:before="35"/>
        <w:ind w:left="2232"/>
      </w:pPr>
      <w:r>
        <w:rPr>
          <w:color w:val="231F20"/>
        </w:rPr>
        <w:t>You</w:t>
      </w:r>
      <w:r>
        <w:rPr>
          <w:color w:val="231F20"/>
          <w:spacing w:val="9"/>
        </w:rPr>
        <w:t> </w:t>
      </w:r>
      <w:r>
        <w:rPr>
          <w:color w:val="231F20"/>
        </w:rPr>
        <w:t>can</w:t>
      </w:r>
      <w:r>
        <w:rPr>
          <w:color w:val="231F20"/>
          <w:spacing w:val="9"/>
        </w:rPr>
        <w:t> </w:t>
      </w:r>
      <w:r>
        <w:rPr>
          <w:color w:val="231F20"/>
        </w:rPr>
        <w:t>use</w:t>
      </w:r>
      <w:r>
        <w:rPr>
          <w:color w:val="231F20"/>
          <w:spacing w:val="10"/>
        </w:rPr>
        <w:t> </w:t>
      </w:r>
      <w:r>
        <w:rPr>
          <w:color w:val="231F20"/>
        </w:rPr>
        <w:t>symbols</w:t>
      </w:r>
      <w:r>
        <w:rPr>
          <w:color w:val="231F20"/>
          <w:spacing w:val="9"/>
        </w:rPr>
        <w:t> </w:t>
      </w:r>
      <w:r>
        <w:rPr>
          <w:color w:val="231F20"/>
        </w:rPr>
        <w:t>(variables)</w:t>
      </w:r>
      <w:r>
        <w:rPr>
          <w:color w:val="231F20"/>
          <w:spacing w:val="10"/>
        </w:rPr>
        <w:t> </w:t>
      </w:r>
      <w:r>
        <w:rPr>
          <w:color w:val="231F20"/>
        </w:rPr>
        <w:t>in</w:t>
      </w:r>
      <w:r>
        <w:rPr>
          <w:color w:val="231F20"/>
          <w:spacing w:val="9"/>
        </w:rPr>
        <w:t> </w:t>
      </w:r>
      <w:r>
        <w:rPr>
          <w:color w:val="231F20"/>
        </w:rPr>
        <w:t>custom</w:t>
      </w:r>
      <w:r>
        <w:rPr>
          <w:color w:val="231F20"/>
          <w:spacing w:val="10"/>
        </w:rPr>
        <w:t> </w:t>
      </w:r>
      <w:r>
        <w:rPr>
          <w:color w:val="231F20"/>
        </w:rPr>
        <w:t>SQL</w:t>
      </w:r>
      <w:r>
        <w:rPr>
          <w:color w:val="231F20"/>
          <w:spacing w:val="3"/>
        </w:rPr>
        <w:t> </w:t>
      </w:r>
      <w:r>
        <w:rPr>
          <w:color w:val="231F20"/>
        </w:rPr>
        <w:t>queries</w:t>
      </w:r>
      <w:r>
        <w:rPr>
          <w:color w:val="231F20"/>
          <w:spacing w:val="9"/>
        </w:rPr>
        <w:t> </w:t>
      </w:r>
      <w:r>
        <w:rPr>
          <w:color w:val="231F20"/>
        </w:rPr>
        <w:t>to</w:t>
      </w:r>
      <w:r>
        <w:rPr>
          <w:color w:val="231F20"/>
          <w:spacing w:val="10"/>
        </w:rPr>
        <w:t> </w:t>
      </w:r>
      <w:r>
        <w:rPr>
          <w:color w:val="231F20"/>
        </w:rPr>
        <w:t>JDBC-</w:t>
      </w:r>
      <w:r>
        <w:rPr>
          <w:color w:val="231F20"/>
          <w:spacing w:val="9"/>
        </w:rPr>
        <w:t> </w:t>
      </w:r>
      <w:r>
        <w:rPr>
          <w:color w:val="231F20"/>
          <w:spacing w:val="-5"/>
        </w:rPr>
        <w:t>or</w:t>
      </w:r>
    </w:p>
    <w:p>
      <w:pPr>
        <w:pStyle w:val="BodyText"/>
        <w:spacing w:line="213" w:lineRule="auto" w:before="8"/>
        <w:ind w:left="2232" w:right="455"/>
      </w:pPr>
      <w:r>
        <w:rPr>
          <w:color w:val="231F20"/>
        </w:rPr>
        <w:t>ODBC-compliant data sources. The reason you would add a symbol to a custom</w:t>
      </w:r>
      <w:r>
        <w:rPr>
          <w:color w:val="231F20"/>
          <w:spacing w:val="40"/>
        </w:rPr>
        <w:t> </w:t>
      </w:r>
      <w:r>
        <w:rPr>
          <w:color w:val="231F20"/>
        </w:rPr>
        <w:t>SQL query</w:t>
      </w:r>
      <w:r>
        <w:rPr>
          <w:color w:val="231F20"/>
          <w:spacing w:val="11"/>
        </w:rPr>
        <w:t> </w:t>
      </w:r>
      <w:r>
        <w:rPr>
          <w:color w:val="231F20"/>
        </w:rPr>
        <w:t>is</w:t>
      </w:r>
      <w:r>
        <w:rPr>
          <w:color w:val="231F20"/>
          <w:spacing w:val="11"/>
        </w:rPr>
        <w:t> </w:t>
      </w:r>
      <w:r>
        <w:rPr>
          <w:color w:val="231F20"/>
        </w:rPr>
        <w:t>to</w:t>
      </w:r>
      <w:r>
        <w:rPr>
          <w:color w:val="231F20"/>
          <w:spacing w:val="11"/>
        </w:rPr>
        <w:t> </w:t>
      </w:r>
      <w:r>
        <w:rPr>
          <w:color w:val="231F20"/>
        </w:rPr>
        <w:t>build</w:t>
      </w:r>
      <w:r>
        <w:rPr>
          <w:color w:val="231F20"/>
          <w:spacing w:val="11"/>
        </w:rPr>
        <w:t> </w:t>
      </w:r>
      <w:r>
        <w:rPr>
          <w:color w:val="231F20"/>
        </w:rPr>
        <w:t>a</w:t>
      </w:r>
      <w:r>
        <w:rPr>
          <w:color w:val="231F20"/>
          <w:spacing w:val="11"/>
        </w:rPr>
        <w:t> </w:t>
      </w:r>
      <w:r>
        <w:rPr>
          <w:color w:val="231F20"/>
        </w:rPr>
        <w:t>filtered</w:t>
      </w:r>
      <w:r>
        <w:rPr>
          <w:color w:val="231F20"/>
          <w:spacing w:val="11"/>
        </w:rPr>
        <w:t> </w:t>
      </w:r>
      <w:r>
        <w:rPr>
          <w:color w:val="231F20"/>
        </w:rPr>
        <w:t>link</w:t>
      </w:r>
      <w:r>
        <w:rPr>
          <w:color w:val="231F20"/>
          <w:spacing w:val="11"/>
        </w:rPr>
        <w:t> </w:t>
      </w:r>
      <w:r>
        <w:rPr>
          <w:color w:val="231F20"/>
        </w:rPr>
        <w:t>(using</w:t>
      </w:r>
      <w:r>
        <w:rPr>
          <w:color w:val="231F20"/>
          <w:spacing w:val="11"/>
        </w:rPr>
        <w:t> </w:t>
      </w:r>
      <w:r>
        <w:rPr>
          <w:color w:val="231F20"/>
        </w:rPr>
        <w:t>the</w:t>
      </w:r>
      <w:r>
        <w:rPr>
          <w:color w:val="231F20"/>
          <w:spacing w:val="11"/>
        </w:rPr>
        <w:t> </w:t>
      </w:r>
      <w:r>
        <w:rPr>
          <w:color w:val="231F20"/>
        </w:rPr>
        <w:t>Link</w:t>
      </w:r>
      <w:r>
        <w:rPr>
          <w:color w:val="231F20"/>
          <w:spacing w:val="11"/>
        </w:rPr>
        <w:t> </w:t>
      </w:r>
      <w:r>
        <w:rPr>
          <w:color w:val="231F20"/>
        </w:rPr>
        <w:t>Wizard)</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workspace</w:t>
      </w:r>
      <w:r>
        <w:rPr>
          <w:color w:val="231F20"/>
          <w:spacing w:val="11"/>
        </w:rPr>
        <w:t> </w:t>
      </w:r>
      <w:r>
        <w:rPr>
          <w:color w:val="231F20"/>
        </w:rPr>
        <w:t>with a</w:t>
      </w:r>
      <w:r>
        <w:rPr>
          <w:color w:val="231F20"/>
          <w:spacing w:val="20"/>
        </w:rPr>
        <w:t> </w:t>
      </w:r>
      <w:r>
        <w:rPr>
          <w:color w:val="231F20"/>
        </w:rPr>
        <w:t>table</w:t>
      </w:r>
      <w:r>
        <w:rPr>
          <w:color w:val="231F20"/>
          <w:spacing w:val="20"/>
        </w:rPr>
        <w:t> </w:t>
      </w:r>
      <w:r>
        <w:rPr>
          <w:color w:val="231F20"/>
        </w:rPr>
        <w:t>or</w:t>
      </w:r>
      <w:r>
        <w:rPr>
          <w:color w:val="231F20"/>
          <w:spacing w:val="20"/>
        </w:rPr>
        <w:t> </w:t>
      </w:r>
      <w:r>
        <w:rPr>
          <w:color w:val="231F20"/>
        </w:rPr>
        <w:t>chart</w:t>
      </w:r>
      <w:r>
        <w:rPr>
          <w:color w:val="231F20"/>
          <w:spacing w:val="20"/>
        </w:rPr>
        <w:t> </w:t>
      </w:r>
      <w:r>
        <w:rPr>
          <w:color w:val="231F20"/>
        </w:rPr>
        <w:t>that</w:t>
      </w:r>
      <w:r>
        <w:rPr>
          <w:color w:val="231F20"/>
          <w:spacing w:val="20"/>
        </w:rPr>
        <w:t> </w:t>
      </w:r>
      <w:r>
        <w:rPr>
          <w:color w:val="231F20"/>
        </w:rPr>
        <w:t>uses</w:t>
      </w:r>
      <w:r>
        <w:rPr>
          <w:color w:val="231F20"/>
          <w:spacing w:val="20"/>
        </w:rPr>
        <w:t> </w:t>
      </w:r>
      <w:r>
        <w:rPr>
          <w:color w:val="231F20"/>
        </w:rPr>
        <w:t>this</w:t>
      </w:r>
      <w:r>
        <w:rPr>
          <w:color w:val="231F20"/>
          <w:spacing w:val="20"/>
        </w:rPr>
        <w:t> </w:t>
      </w:r>
      <w:r>
        <w:rPr>
          <w:color w:val="231F20"/>
        </w:rPr>
        <w:t>query.</w:t>
      </w:r>
      <w:r>
        <w:rPr>
          <w:color w:val="231F20"/>
          <w:spacing w:val="20"/>
        </w:rPr>
        <w:t> </w:t>
      </w:r>
      <w:r>
        <w:rPr>
          <w:color w:val="231F20"/>
        </w:rPr>
        <w:t>For</w:t>
      </w:r>
      <w:r>
        <w:rPr>
          <w:color w:val="231F20"/>
          <w:spacing w:val="20"/>
        </w:rPr>
        <w:t> </w:t>
      </w:r>
      <w:r>
        <w:rPr>
          <w:color w:val="231F20"/>
        </w:rPr>
        <w:t>example,</w:t>
      </w:r>
      <w:r>
        <w:rPr>
          <w:color w:val="231F20"/>
          <w:spacing w:val="20"/>
        </w:rPr>
        <w:t> </w:t>
      </w:r>
      <w:r>
        <w:rPr>
          <w:color w:val="231F20"/>
        </w:rPr>
        <w:t>if</w:t>
      </w:r>
      <w:r>
        <w:rPr>
          <w:color w:val="231F20"/>
          <w:spacing w:val="20"/>
        </w:rPr>
        <w:t> </w:t>
      </w:r>
      <w:r>
        <w:rPr>
          <w:color w:val="231F20"/>
        </w:rPr>
        <w:t>you</w:t>
      </w:r>
      <w:r>
        <w:rPr>
          <w:color w:val="231F20"/>
          <w:spacing w:val="20"/>
        </w:rPr>
        <w:t> </w:t>
      </w:r>
      <w:r>
        <w:rPr>
          <w:color w:val="231F20"/>
        </w:rPr>
        <w:t>are</w:t>
      </w:r>
      <w:r>
        <w:rPr>
          <w:color w:val="231F20"/>
          <w:spacing w:val="20"/>
        </w:rPr>
        <w:t> </w:t>
      </w:r>
      <w:r>
        <w:rPr>
          <w:color w:val="231F20"/>
        </w:rPr>
        <w:t>building</w:t>
      </w:r>
      <w:r>
        <w:rPr>
          <w:color w:val="231F20"/>
          <w:spacing w:val="20"/>
        </w:rPr>
        <w:t> </w:t>
      </w:r>
      <w:r>
        <w:rPr>
          <w:color w:val="231F20"/>
        </w:rPr>
        <w:t>a</w:t>
      </w:r>
      <w:r>
        <w:rPr>
          <w:color w:val="231F20"/>
          <w:spacing w:val="20"/>
        </w:rPr>
        <w:t> </w:t>
      </w:r>
      <w:r>
        <w:rPr>
          <w:color w:val="231F20"/>
        </w:rPr>
        <w:t>link</w:t>
      </w:r>
      <w:r>
        <w:rPr>
          <w:color w:val="231F20"/>
          <w:spacing w:val="20"/>
        </w:rPr>
        <w:t> </w:t>
      </w:r>
      <w:r>
        <w:rPr>
          <w:color w:val="231F20"/>
        </w:rPr>
        <w:t>based on the data source attribute for system name, the symbol might be $myhostname$.</w:t>
      </w:r>
    </w:p>
    <w:p>
      <w:pPr>
        <w:pStyle w:val="BodyText"/>
        <w:spacing w:line="213" w:lineRule="auto" w:before="236"/>
        <w:ind w:left="2232" w:right="636"/>
      </w:pPr>
      <w:r>
        <w:rPr>
          <w:color w:val="231F20"/>
        </w:rPr>
        <w:t>When you apply the query to a table or chart, you will be prompted to enter a</w:t>
      </w:r>
      <w:r>
        <w:rPr>
          <w:color w:val="231F20"/>
          <w:spacing w:val="80"/>
          <w:w w:val="150"/>
        </w:rPr>
        <w:t> </w:t>
      </w:r>
      <w:r>
        <w:rPr>
          <w:color w:val="231F20"/>
        </w:rPr>
        <w:t>value for the variable as soon as you click </w:t>
      </w:r>
      <w:r>
        <w:rPr>
          <w:rFonts w:ascii="Book Antiqua"/>
          <w:b/>
          <w:color w:val="231F20"/>
        </w:rPr>
        <w:t>Apply </w:t>
      </w:r>
      <w:r>
        <w:rPr>
          <w:color w:val="231F20"/>
        </w:rPr>
        <w:t>or </w:t>
      </w:r>
      <w:r>
        <w:rPr>
          <w:rFonts w:ascii="Book Antiqua"/>
          <w:b/>
          <w:color w:val="231F20"/>
        </w:rPr>
        <w:t>OK</w:t>
      </w:r>
      <w:r>
        <w:rPr>
          <w:color w:val="231F20"/>
        </w:rPr>
        <w:t>. The value filters the data</w:t>
      </w:r>
      <w:r>
        <w:rPr>
          <w:color w:val="231F20"/>
          <w:spacing w:val="40"/>
        </w:rPr>
        <w:t> </w:t>
      </w:r>
      <w:r>
        <w:rPr>
          <w:color w:val="231F20"/>
        </w:rPr>
        <w:t>that will show in the view, but is temporary and cannot be saved with the </w:t>
      </w:r>
      <w:r>
        <w:rPr>
          <w:color w:val="231F20"/>
          <w:spacing w:val="-2"/>
        </w:rPr>
        <w:t>workspace.</w:t>
      </w:r>
    </w:p>
    <w:p>
      <w:pPr>
        <w:pStyle w:val="BodyText"/>
        <w:spacing w:line="213" w:lineRule="auto" w:before="58"/>
        <w:ind w:left="2448" w:right="545" w:hanging="216"/>
      </w:pPr>
      <w:r>
        <w:rPr>
          <w:rFonts w:ascii="Futura MdCn BT"/>
          <w:color w:val="231F20"/>
        </w:rPr>
        <w:t>v</w:t>
      </w:r>
      <w:r>
        <w:rPr>
          <w:rFonts w:ascii="Futura MdCn BT"/>
          <w:color w:val="231F20"/>
          <w:spacing w:val="80"/>
        </w:rPr>
        <w:t> </w:t>
      </w:r>
      <w:r>
        <w:rPr>
          <w:color w:val="231F20"/>
        </w:rPr>
        <w:t>Use a one-word name surrounded by dollar signs, as in </w:t>
      </w:r>
      <w:r>
        <w:rPr>
          <w:rFonts w:ascii="Arial"/>
          <w:color w:val="231F20"/>
        </w:rPr>
        <w:t>$mysymbol$</w:t>
      </w:r>
      <w:r>
        <w:rPr>
          <w:color w:val="231F20"/>
        </w:rPr>
        <w:t>, where mysymbol is the symbol name.</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When the link is launched, a symbol is resolved to a value enclosed in single</w:t>
      </w:r>
      <w:r>
        <w:rPr>
          <w:color w:val="231F20"/>
          <w:spacing w:val="40"/>
        </w:rPr>
        <w:t> </w:t>
      </w:r>
      <w:r>
        <w:rPr>
          <w:color w:val="231F20"/>
        </w:rPr>
        <w:t>quotation marks if it is anything other than an integer. An integer resolves</w:t>
      </w:r>
      <w:r>
        <w:rPr>
          <w:color w:val="231F20"/>
          <w:spacing w:val="80"/>
        </w:rPr>
        <w:t> </w:t>
      </w:r>
      <w:r>
        <w:rPr>
          <w:color w:val="231F20"/>
        </w:rPr>
        <w:t>without the quotation marks. If you are referencing the symbol in a custom SQL statement and you do not want the quote marks included in the resolved value, add a pound sign after the first dollar sign, as in </w:t>
      </w:r>
      <w:r>
        <w:rPr>
          <w:rFonts w:ascii="Arial"/>
          <w:color w:val="231F20"/>
        </w:rPr>
        <w:t>$#noquotes$</w:t>
      </w:r>
      <w:r>
        <w:rPr>
          <w:color w:val="231F20"/>
        </w:rPr>
        <w:t>, where noquotes </w:t>
      </w:r>
      <w:r>
        <w:rPr>
          <w:color w:val="231F20"/>
        </w:rPr>
        <w:t>is</w:t>
      </w:r>
      <w:r>
        <w:rPr>
          <w:color w:val="231F20"/>
        </w:rPr>
        <w:t> the symbol name. This notation is required for numeric data types.</w:t>
      </w:r>
    </w:p>
    <w:p>
      <w:pPr>
        <w:pStyle w:val="BodyText"/>
        <w:spacing w:before="33"/>
        <w:ind w:left="2448"/>
      </w:pPr>
      <w:r>
        <w:rPr>
          <w:color w:val="231F20"/>
          <w:spacing w:val="-2"/>
        </w:rPr>
        <w:t>Example:</w:t>
      </w:r>
    </w:p>
    <w:p>
      <w:pPr>
        <w:spacing w:before="56"/>
        <w:ind w:left="2448" w:right="0" w:firstLine="0"/>
        <w:jc w:val="left"/>
        <w:rPr>
          <w:rFonts w:ascii="Arial"/>
          <w:sz w:val="18"/>
        </w:rPr>
      </w:pPr>
      <w:r>
        <w:rPr>
          <w:rFonts w:ascii="Arial"/>
          <w:color w:val="231F20"/>
          <w:w w:val="75"/>
          <w:sz w:val="18"/>
        </w:rPr>
        <w:t>SELECT</w:t>
      </w:r>
      <w:r>
        <w:rPr>
          <w:rFonts w:ascii="Arial"/>
          <w:color w:val="231F20"/>
          <w:spacing w:val="21"/>
          <w:sz w:val="18"/>
        </w:rPr>
        <w:t> </w:t>
      </w:r>
      <w:r>
        <w:rPr>
          <w:rFonts w:ascii="Arial"/>
          <w:color w:val="231F20"/>
          <w:w w:val="75"/>
          <w:sz w:val="18"/>
        </w:rPr>
        <w:t>*</w:t>
      </w:r>
      <w:r>
        <w:rPr>
          <w:rFonts w:ascii="Arial"/>
          <w:color w:val="231F20"/>
          <w:spacing w:val="21"/>
          <w:sz w:val="18"/>
        </w:rPr>
        <w:t> </w:t>
      </w:r>
      <w:r>
        <w:rPr>
          <w:rFonts w:ascii="Arial"/>
          <w:color w:val="231F20"/>
          <w:w w:val="75"/>
          <w:sz w:val="18"/>
        </w:rPr>
        <w:t>FROM</w:t>
      </w:r>
      <w:r>
        <w:rPr>
          <w:rFonts w:ascii="Arial"/>
          <w:color w:val="231F20"/>
          <w:spacing w:val="22"/>
          <w:sz w:val="18"/>
        </w:rPr>
        <w:t> </w:t>
      </w:r>
      <w:r>
        <w:rPr>
          <w:rFonts w:ascii="Arial"/>
          <w:color w:val="231F20"/>
          <w:w w:val="75"/>
          <w:sz w:val="18"/>
        </w:rPr>
        <w:t>MYTABLE</w:t>
      </w:r>
      <w:r>
        <w:rPr>
          <w:rFonts w:ascii="Arial"/>
          <w:color w:val="231F20"/>
          <w:spacing w:val="21"/>
          <w:sz w:val="18"/>
        </w:rPr>
        <w:t> </w:t>
      </w:r>
      <w:r>
        <w:rPr>
          <w:rFonts w:ascii="Arial"/>
          <w:color w:val="231F20"/>
          <w:w w:val="75"/>
          <w:sz w:val="18"/>
        </w:rPr>
        <w:t>WHERE</w:t>
      </w:r>
      <w:r>
        <w:rPr>
          <w:rFonts w:ascii="Arial"/>
          <w:color w:val="231F20"/>
          <w:spacing w:val="21"/>
          <w:sz w:val="18"/>
        </w:rPr>
        <w:t> </w:t>
      </w:r>
      <w:r>
        <w:rPr>
          <w:rFonts w:ascii="Arial"/>
          <w:color w:val="231F20"/>
          <w:w w:val="75"/>
          <w:sz w:val="18"/>
        </w:rPr>
        <w:t>MYCOLUMN</w:t>
      </w:r>
      <w:r>
        <w:rPr>
          <w:rFonts w:ascii="Arial"/>
          <w:color w:val="231F20"/>
          <w:spacing w:val="22"/>
          <w:sz w:val="18"/>
        </w:rPr>
        <w:t> </w:t>
      </w:r>
      <w:r>
        <w:rPr>
          <w:rFonts w:ascii="Arial"/>
          <w:color w:val="231F20"/>
          <w:w w:val="75"/>
          <w:sz w:val="18"/>
        </w:rPr>
        <w:t>=</w:t>
      </w:r>
      <w:r>
        <w:rPr>
          <w:rFonts w:ascii="Arial"/>
          <w:color w:val="231F20"/>
          <w:spacing w:val="21"/>
          <w:sz w:val="18"/>
        </w:rPr>
        <w:t> </w:t>
      </w:r>
      <w:r>
        <w:rPr>
          <w:rFonts w:ascii="Arial"/>
          <w:color w:val="231F20"/>
          <w:spacing w:val="-2"/>
          <w:w w:val="75"/>
          <w:sz w:val="18"/>
        </w:rPr>
        <w:t>$#myNumber$</w:t>
      </w:r>
    </w:p>
    <w:p>
      <w:pPr>
        <w:pStyle w:val="BodyText"/>
        <w:spacing w:before="18"/>
        <w:rPr>
          <w:rFonts w:ascii="Arial"/>
          <w:sz w:val="18"/>
        </w:rPr>
      </w:pPr>
    </w:p>
    <w:p>
      <w:pPr>
        <w:pStyle w:val="BodyText"/>
        <w:ind w:left="2448"/>
      </w:pPr>
      <w:r>
        <w:rPr>
          <w:color w:val="231F20"/>
        </w:rPr>
        <w:t>The</w:t>
      </w:r>
      <w:r>
        <w:rPr>
          <w:color w:val="231F20"/>
          <w:spacing w:val="-5"/>
        </w:rPr>
        <w:t> </w:t>
      </w:r>
      <w:r>
        <w:rPr>
          <w:color w:val="231F20"/>
        </w:rPr>
        <w:t>value</w:t>
      </w:r>
      <w:r>
        <w:rPr>
          <w:color w:val="231F20"/>
          <w:spacing w:val="-4"/>
        </w:rPr>
        <w:t> </w:t>
      </w:r>
      <w:r>
        <w:rPr>
          <w:color w:val="231F20"/>
        </w:rPr>
        <w:t>of</w:t>
      </w:r>
      <w:r>
        <w:rPr>
          <w:color w:val="231F20"/>
          <w:spacing w:val="-4"/>
        </w:rPr>
        <w:t> </w:t>
      </w:r>
      <w:r>
        <w:rPr>
          <w:color w:val="231F20"/>
        </w:rPr>
        <w:t>the</w:t>
      </w:r>
      <w:r>
        <w:rPr>
          <w:color w:val="231F20"/>
          <w:spacing w:val="-4"/>
        </w:rPr>
        <w:t> </w:t>
      </w:r>
      <w:r>
        <w:rPr>
          <w:rFonts w:ascii="Arial"/>
          <w:color w:val="231F20"/>
        </w:rPr>
        <w:t>$#myNumber$</w:t>
      </w:r>
      <w:r>
        <w:rPr>
          <w:rFonts w:ascii="Arial"/>
          <w:color w:val="231F20"/>
          <w:spacing w:val="-10"/>
        </w:rPr>
        <w:t> </w:t>
      </w:r>
      <w:r>
        <w:rPr>
          <w:color w:val="231F20"/>
        </w:rPr>
        <w:t>symbol</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number</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5</w:t>
      </w:r>
      <w:r>
        <w:rPr>
          <w:color w:val="231F20"/>
          <w:spacing w:val="-5"/>
        </w:rPr>
        <w:t> </w:t>
      </w:r>
      <w:r>
        <w:rPr>
          <w:color w:val="231F20"/>
        </w:rPr>
        <w:t>or</w:t>
      </w:r>
      <w:r>
        <w:rPr>
          <w:color w:val="231F20"/>
          <w:spacing w:val="-4"/>
        </w:rPr>
        <w:t> </w:t>
      </w:r>
      <w:r>
        <w:rPr>
          <w:color w:val="231F20"/>
          <w:spacing w:val="-2"/>
        </w:rPr>
        <w:t>345).</w:t>
      </w:r>
    </w:p>
    <w:p>
      <w:pPr>
        <w:pStyle w:val="Heading3"/>
        <w:spacing w:before="212"/>
        <w:ind w:left="1334"/>
      </w:pPr>
      <w:bookmarkStart w:name="Adding a database to the Data Source lis" w:id="327"/>
      <w:bookmarkEnd w:id="327"/>
      <w:r>
        <w:rPr>
          <w:b w:val="0"/>
        </w:rPr>
      </w:r>
      <w:r>
        <w:rPr>
          <w:color w:val="231F20"/>
        </w:rPr>
        <w:t>Adding</w:t>
      </w:r>
      <w:r>
        <w:rPr>
          <w:color w:val="231F20"/>
          <w:spacing w:val="8"/>
        </w:rPr>
        <w:t> </w:t>
      </w:r>
      <w:r>
        <w:rPr>
          <w:color w:val="231F20"/>
        </w:rPr>
        <w:t>a</w:t>
      </w:r>
      <w:r>
        <w:rPr>
          <w:color w:val="231F20"/>
          <w:spacing w:val="8"/>
        </w:rPr>
        <w:t> </w:t>
      </w:r>
      <w:r>
        <w:rPr>
          <w:color w:val="231F20"/>
        </w:rPr>
        <w:t>database</w:t>
      </w:r>
      <w:r>
        <w:rPr>
          <w:color w:val="231F20"/>
          <w:spacing w:val="9"/>
        </w:rPr>
        <w:t> </w:t>
      </w:r>
      <w:r>
        <w:rPr>
          <w:color w:val="231F20"/>
        </w:rPr>
        <w:t>to</w:t>
      </w:r>
      <w:r>
        <w:rPr>
          <w:color w:val="231F20"/>
          <w:spacing w:val="8"/>
        </w:rPr>
        <w:t> </w:t>
      </w:r>
      <w:r>
        <w:rPr>
          <w:color w:val="231F20"/>
        </w:rPr>
        <w:t>the</w:t>
      </w:r>
      <w:r>
        <w:rPr>
          <w:color w:val="231F20"/>
          <w:spacing w:val="9"/>
        </w:rPr>
        <w:t> </w:t>
      </w:r>
      <w:r>
        <w:rPr>
          <w:color w:val="231F20"/>
        </w:rPr>
        <w:t>Data</w:t>
      </w:r>
      <w:r>
        <w:rPr>
          <w:color w:val="231F20"/>
          <w:spacing w:val="8"/>
        </w:rPr>
        <w:t> </w:t>
      </w:r>
      <w:r>
        <w:rPr>
          <w:color w:val="231F20"/>
        </w:rPr>
        <w:t>Source</w:t>
      </w:r>
      <w:r>
        <w:rPr>
          <w:color w:val="231F20"/>
          <w:spacing w:val="9"/>
        </w:rPr>
        <w:t> </w:t>
      </w:r>
      <w:r>
        <w:rPr>
          <w:color w:val="231F20"/>
          <w:spacing w:val="-4"/>
        </w:rPr>
        <w:t>list</w:t>
      </w:r>
    </w:p>
    <w:p>
      <w:pPr>
        <w:pStyle w:val="BodyText"/>
        <w:spacing w:line="213" w:lineRule="auto" w:before="58"/>
        <w:ind w:left="2232" w:right="636"/>
      </w:pPr>
      <w:r>
        <w:rPr>
          <w:color w:val="231F20"/>
        </w:rPr>
        <w:t>The Data Source area of the Create Query window lists the databases available for</w:t>
      </w:r>
      <w:r>
        <w:rPr>
          <w:color w:val="231F20"/>
          <w:spacing w:val="80"/>
          <w:w w:val="150"/>
        </w:rPr>
        <w:t> </w:t>
      </w:r>
      <w:r>
        <w:rPr>
          <w:color w:val="231F20"/>
        </w:rPr>
        <w:t>a query. The databases that are shown are read from the database server on the system where the Tivoli Enterprise Portal Server was installed. If you do not see</w:t>
      </w:r>
      <w:r>
        <w:rPr>
          <w:color w:val="231F20"/>
          <w:spacing w:val="80"/>
          <w:w w:val="150"/>
        </w:rPr>
        <w:t> </w:t>
      </w:r>
      <w:r>
        <w:rPr>
          <w:color w:val="231F20"/>
        </w:rPr>
        <w:t>the database for which you want to write a query in the list, you must add it</w:t>
      </w:r>
      <w:r>
        <w:rPr>
          <w:color w:val="231F20"/>
          <w:spacing w:val="40"/>
        </w:rPr>
        <w:t> </w:t>
      </w:r>
      <w:r>
        <w:rPr>
          <w:color w:val="231F20"/>
        </w:rPr>
        <w:t>through Manage Tivoli Monitoring Services.</w:t>
      </w:r>
    </w:p>
    <w:p>
      <w:pPr>
        <w:pStyle w:val="Heading4"/>
        <w:spacing w:before="198"/>
      </w:pPr>
      <w:r>
        <w:rPr>
          <w:color w:val="231F20"/>
        </w:rPr>
        <w:t>About</w:t>
      </w:r>
      <w:r>
        <w:rPr>
          <w:color w:val="231F20"/>
          <w:spacing w:val="7"/>
        </w:rPr>
        <w:t> </w:t>
      </w:r>
      <w:r>
        <w:rPr>
          <w:color w:val="231F20"/>
        </w:rPr>
        <w:t>this</w:t>
      </w:r>
      <w:r>
        <w:rPr>
          <w:color w:val="231F20"/>
          <w:spacing w:val="7"/>
        </w:rPr>
        <w:t> </w:t>
      </w:r>
      <w:r>
        <w:rPr>
          <w:color w:val="231F20"/>
          <w:spacing w:val="-4"/>
        </w:rPr>
        <w:t>task</w:t>
      </w:r>
    </w:p>
    <w:p>
      <w:pPr>
        <w:spacing w:line="255" w:lineRule="exact" w:before="218"/>
        <w:ind w:left="2232" w:right="0" w:firstLine="0"/>
        <w:jc w:val="left"/>
        <w:rPr>
          <w:sz w:val="20"/>
        </w:rPr>
      </w:pPr>
      <w:r>
        <w:rPr>
          <w:color w:val="231F20"/>
          <w:sz w:val="20"/>
        </w:rPr>
        <w:t>You</w:t>
      </w:r>
      <w:r>
        <w:rPr>
          <w:color w:val="231F20"/>
          <w:spacing w:val="4"/>
          <w:sz w:val="20"/>
        </w:rPr>
        <w:t> </w:t>
      </w:r>
      <w:r>
        <w:rPr>
          <w:color w:val="231F20"/>
          <w:sz w:val="20"/>
        </w:rPr>
        <w:t>can</w:t>
      </w:r>
      <w:r>
        <w:rPr>
          <w:color w:val="231F20"/>
          <w:spacing w:val="5"/>
          <w:sz w:val="20"/>
        </w:rPr>
        <w:t> </w:t>
      </w:r>
      <w:r>
        <w:rPr>
          <w:color w:val="231F20"/>
          <w:sz w:val="20"/>
        </w:rPr>
        <w:t>also</w:t>
      </w:r>
      <w:r>
        <w:rPr>
          <w:color w:val="231F20"/>
          <w:spacing w:val="5"/>
          <w:sz w:val="20"/>
        </w:rPr>
        <w:t> </w:t>
      </w:r>
      <w:r>
        <w:rPr>
          <w:color w:val="231F20"/>
          <w:sz w:val="20"/>
        </w:rPr>
        <w:t>use</w:t>
      </w:r>
      <w:r>
        <w:rPr>
          <w:color w:val="231F20"/>
          <w:spacing w:val="5"/>
          <w:sz w:val="20"/>
        </w:rPr>
        <w:t> </w:t>
      </w:r>
      <w:r>
        <w:rPr>
          <w:color w:val="231F20"/>
          <w:sz w:val="20"/>
        </w:rPr>
        <w:t>the</w:t>
      </w:r>
      <w:r>
        <w:rPr>
          <w:color w:val="231F20"/>
          <w:spacing w:val="4"/>
          <w:sz w:val="20"/>
        </w:rPr>
        <w:t> </w:t>
      </w:r>
      <w:r>
        <w:rPr>
          <w:rFonts w:ascii="Arial"/>
          <w:b/>
          <w:color w:val="231F20"/>
          <w:sz w:val="20"/>
        </w:rPr>
        <w:t>tacmd</w:t>
      </w:r>
      <w:r>
        <w:rPr>
          <w:rFonts w:ascii="Arial"/>
          <w:b/>
          <w:color w:val="231F20"/>
          <w:spacing w:val="-1"/>
          <w:sz w:val="20"/>
        </w:rPr>
        <w:t> </w:t>
      </w:r>
      <w:r>
        <w:rPr>
          <w:rFonts w:ascii="Arial"/>
          <w:b/>
          <w:color w:val="231F20"/>
          <w:sz w:val="20"/>
        </w:rPr>
        <w:t>configurePortalServer</w:t>
      </w:r>
      <w:r>
        <w:rPr>
          <w:rFonts w:ascii="Arial"/>
          <w:b/>
          <w:color w:val="231F20"/>
          <w:spacing w:val="-1"/>
          <w:sz w:val="20"/>
        </w:rPr>
        <w:t> </w:t>
      </w:r>
      <w:r>
        <w:rPr>
          <w:color w:val="231F20"/>
          <w:sz w:val="20"/>
        </w:rPr>
        <w:t>to</w:t>
      </w:r>
      <w:r>
        <w:rPr>
          <w:color w:val="231F20"/>
          <w:spacing w:val="5"/>
          <w:sz w:val="20"/>
        </w:rPr>
        <w:t> </w:t>
      </w:r>
      <w:r>
        <w:rPr>
          <w:color w:val="231F20"/>
          <w:sz w:val="20"/>
        </w:rPr>
        <w:t>complete</w:t>
      </w:r>
      <w:r>
        <w:rPr>
          <w:color w:val="231F20"/>
          <w:spacing w:val="5"/>
          <w:sz w:val="20"/>
        </w:rPr>
        <w:t> </w:t>
      </w:r>
      <w:r>
        <w:rPr>
          <w:color w:val="231F20"/>
          <w:sz w:val="20"/>
        </w:rPr>
        <w:t>this</w:t>
      </w:r>
      <w:r>
        <w:rPr>
          <w:color w:val="231F20"/>
          <w:spacing w:val="5"/>
          <w:sz w:val="20"/>
        </w:rPr>
        <w:t> </w:t>
      </w:r>
      <w:r>
        <w:rPr>
          <w:color w:val="231F20"/>
          <w:sz w:val="20"/>
        </w:rPr>
        <w:t>task.</w:t>
      </w:r>
      <w:r>
        <w:rPr>
          <w:color w:val="231F20"/>
          <w:spacing w:val="4"/>
          <w:sz w:val="20"/>
        </w:rPr>
        <w:t> </w:t>
      </w:r>
      <w:r>
        <w:rPr>
          <w:color w:val="231F20"/>
          <w:sz w:val="20"/>
        </w:rPr>
        <w:t>See</w:t>
      </w:r>
      <w:r>
        <w:rPr>
          <w:color w:val="231F20"/>
          <w:spacing w:val="5"/>
          <w:sz w:val="20"/>
        </w:rPr>
        <w:t> </w:t>
      </w:r>
      <w:r>
        <w:rPr>
          <w:color w:val="231F20"/>
          <w:spacing w:val="-5"/>
          <w:sz w:val="20"/>
        </w:rPr>
        <w:t>the</w:t>
      </w:r>
    </w:p>
    <w:p>
      <w:pPr>
        <w:spacing w:line="255" w:lineRule="exact" w:before="0"/>
        <w:ind w:left="2232" w:right="0" w:firstLine="0"/>
        <w:jc w:val="left"/>
        <w:rPr>
          <w:sz w:val="20"/>
        </w:rPr>
      </w:pPr>
      <w:r>
        <w:rPr>
          <w:rFonts w:ascii="Book Antiqua"/>
          <w:i/>
          <w:color w:val="231F20"/>
          <w:sz w:val="20"/>
        </w:rPr>
        <w:t>IBM</w:t>
      </w:r>
      <w:r>
        <w:rPr>
          <w:rFonts w:ascii="Book Antiqua"/>
          <w:i/>
          <w:color w:val="231F20"/>
          <w:spacing w:val="7"/>
          <w:sz w:val="20"/>
        </w:rPr>
        <w:t> </w:t>
      </w:r>
      <w:r>
        <w:rPr>
          <w:rFonts w:ascii="Book Antiqua"/>
          <w:i/>
          <w:color w:val="231F20"/>
          <w:sz w:val="20"/>
        </w:rPr>
        <w:t>Tivoli</w:t>
      </w:r>
      <w:r>
        <w:rPr>
          <w:rFonts w:ascii="Book Antiqua"/>
          <w:i/>
          <w:color w:val="231F20"/>
          <w:spacing w:val="7"/>
          <w:sz w:val="20"/>
        </w:rPr>
        <w:t> </w:t>
      </w:r>
      <w:r>
        <w:rPr>
          <w:rFonts w:ascii="Book Antiqua"/>
          <w:i/>
          <w:color w:val="231F20"/>
          <w:sz w:val="20"/>
        </w:rPr>
        <w:t>Monitoring</w:t>
      </w:r>
      <w:r>
        <w:rPr>
          <w:rFonts w:ascii="Book Antiqua"/>
          <w:i/>
          <w:color w:val="231F20"/>
          <w:spacing w:val="8"/>
          <w:sz w:val="20"/>
        </w:rPr>
        <w:t> </w:t>
      </w:r>
      <w:r>
        <w:rPr>
          <w:rFonts w:ascii="Book Antiqua"/>
          <w:i/>
          <w:color w:val="231F20"/>
          <w:sz w:val="20"/>
        </w:rPr>
        <w:t>Command</w:t>
      </w:r>
      <w:r>
        <w:rPr>
          <w:rFonts w:ascii="Book Antiqua"/>
          <w:i/>
          <w:color w:val="231F20"/>
          <w:spacing w:val="7"/>
          <w:sz w:val="20"/>
        </w:rPr>
        <w:t> </w:t>
      </w:r>
      <w:r>
        <w:rPr>
          <w:rFonts w:ascii="Book Antiqua"/>
          <w:i/>
          <w:color w:val="231F20"/>
          <w:sz w:val="20"/>
        </w:rPr>
        <w:t>Reference</w:t>
      </w:r>
      <w:r>
        <w:rPr>
          <w:rFonts w:ascii="Book Antiqua"/>
          <w:i/>
          <w:color w:val="231F20"/>
          <w:spacing w:val="8"/>
          <w:sz w:val="20"/>
        </w:rPr>
        <w:t> </w:t>
      </w:r>
      <w:r>
        <w:rPr>
          <w:color w:val="231F20"/>
          <w:sz w:val="20"/>
        </w:rPr>
        <w:t>for</w:t>
      </w:r>
      <w:r>
        <w:rPr>
          <w:color w:val="231F20"/>
          <w:spacing w:val="7"/>
          <w:sz w:val="20"/>
        </w:rPr>
        <w:t> </w:t>
      </w:r>
      <w:r>
        <w:rPr>
          <w:color w:val="231F20"/>
          <w:sz w:val="20"/>
        </w:rPr>
        <w:t>more</w:t>
      </w:r>
      <w:r>
        <w:rPr>
          <w:color w:val="231F20"/>
          <w:spacing w:val="7"/>
          <w:sz w:val="20"/>
        </w:rPr>
        <w:t> </w:t>
      </w:r>
      <w:r>
        <w:rPr>
          <w:color w:val="231F20"/>
          <w:spacing w:val="-2"/>
          <w:sz w:val="20"/>
        </w:rPr>
        <w:t>information.</w:t>
      </w:r>
    </w:p>
    <w:p>
      <w:pPr>
        <w:pStyle w:val="BodyText"/>
        <w:spacing w:line="213" w:lineRule="auto" w:before="232"/>
        <w:ind w:left="2232" w:right="493"/>
      </w:pPr>
      <w:r>
        <w:rPr>
          <w:rFonts w:ascii="Book Antiqua"/>
          <w:b/>
          <w:color w:val="231F20"/>
        </w:rPr>
        <w:t>Restriction:</w:t>
      </w:r>
      <w:r>
        <w:rPr>
          <w:rFonts w:ascii="Book Antiqua"/>
          <w:b/>
          <w:color w:val="231F20"/>
          <w:spacing w:val="80"/>
        </w:rPr>
        <w:t> </w:t>
      </w:r>
      <w:r>
        <w:rPr>
          <w:color w:val="231F20"/>
        </w:rPr>
        <w:t>The ODBC interface is not supported on Linux and UNIX. Because </w:t>
      </w:r>
      <w:r>
        <w:rPr>
          <w:color w:val="231F20"/>
        </w:rPr>
        <w:t>of </w:t>
      </w:r>
      <w:r>
        <w:rPr>
          <w:color w:val="231F20"/>
          <w:w w:val="90"/>
        </w:rPr>
        <w:t>this limitation, the </w:t>
      </w:r>
      <w:r>
        <w:rPr>
          <w:rFonts w:ascii="Arial"/>
          <w:color w:val="231F20"/>
          <w:w w:val="90"/>
        </w:rPr>
        <w:t>CONNECTION_TYPE=DB2 </w:t>
      </w:r>
      <w:r>
        <w:rPr>
          <w:color w:val="231F20"/>
          <w:w w:val="90"/>
        </w:rPr>
        <w:t>is used.</w:t>
      </w:r>
    </w:p>
    <w:p>
      <w:pPr>
        <w:pStyle w:val="BodyText"/>
        <w:spacing w:before="215"/>
        <w:ind w:left="2232"/>
      </w:pPr>
      <w:r>
        <w:rPr>
          <w:color w:val="231F20"/>
        </w:rPr>
        <w:t>To</w:t>
      </w:r>
      <w:r>
        <w:rPr>
          <w:color w:val="231F20"/>
          <w:spacing w:val="10"/>
        </w:rPr>
        <w:t> </w:t>
      </w:r>
      <w:r>
        <w:rPr>
          <w:color w:val="231F20"/>
        </w:rPr>
        <w:t>add</w:t>
      </w:r>
      <w:r>
        <w:rPr>
          <w:color w:val="231F20"/>
          <w:spacing w:val="10"/>
        </w:rPr>
        <w:t> </w:t>
      </w:r>
      <w:r>
        <w:rPr>
          <w:color w:val="231F20"/>
        </w:rPr>
        <w:t>a</w:t>
      </w:r>
      <w:r>
        <w:rPr>
          <w:color w:val="231F20"/>
          <w:spacing w:val="10"/>
        </w:rPr>
        <w:t> </w:t>
      </w:r>
      <w:r>
        <w:rPr>
          <w:color w:val="231F20"/>
        </w:rPr>
        <w:t>database</w:t>
      </w:r>
      <w:r>
        <w:rPr>
          <w:color w:val="231F20"/>
          <w:spacing w:val="11"/>
        </w:rPr>
        <w:t> </w:t>
      </w:r>
      <w:r>
        <w:rPr>
          <w:color w:val="231F20"/>
        </w:rPr>
        <w:t>to</w:t>
      </w:r>
      <w:r>
        <w:rPr>
          <w:color w:val="231F20"/>
          <w:spacing w:val="10"/>
        </w:rPr>
        <w:t> </w:t>
      </w:r>
      <w:r>
        <w:rPr>
          <w:color w:val="231F20"/>
        </w:rPr>
        <w:t>the</w:t>
      </w:r>
      <w:r>
        <w:rPr>
          <w:color w:val="231F20"/>
          <w:spacing w:val="10"/>
        </w:rPr>
        <w:t> </w:t>
      </w:r>
      <w:r>
        <w:rPr>
          <w:color w:val="231F20"/>
        </w:rPr>
        <w:t>Data</w:t>
      </w:r>
      <w:r>
        <w:rPr>
          <w:color w:val="231F20"/>
          <w:spacing w:val="10"/>
        </w:rPr>
        <w:t> </w:t>
      </w:r>
      <w:r>
        <w:rPr>
          <w:color w:val="231F20"/>
        </w:rPr>
        <w:t>Source</w:t>
      </w:r>
      <w:r>
        <w:rPr>
          <w:color w:val="231F20"/>
          <w:spacing w:val="11"/>
        </w:rPr>
        <w:t> </w:t>
      </w:r>
      <w:r>
        <w:rPr>
          <w:color w:val="231F20"/>
        </w:rPr>
        <w:t>list</w:t>
      </w:r>
      <w:r>
        <w:rPr>
          <w:color w:val="231F20"/>
          <w:spacing w:val="10"/>
        </w:rPr>
        <w:t> </w:t>
      </w:r>
      <w:r>
        <w:rPr>
          <w:color w:val="231F20"/>
        </w:rPr>
        <w:t>on</w:t>
      </w:r>
      <w:r>
        <w:rPr>
          <w:color w:val="231F20"/>
          <w:spacing w:val="10"/>
        </w:rPr>
        <w:t> </w:t>
      </w:r>
      <w:r>
        <w:rPr>
          <w:color w:val="231F20"/>
          <w:spacing w:val="-2"/>
        </w:rPr>
        <w:t>Windows:</w:t>
      </w:r>
    </w:p>
    <w:p>
      <w:pPr>
        <w:pStyle w:val="Heading4"/>
        <w:spacing w:before="194"/>
      </w:pPr>
      <w:r>
        <w:rPr>
          <w:color w:val="231F20"/>
          <w:spacing w:val="-2"/>
        </w:rPr>
        <w:t>Procedure</w:t>
      </w:r>
    </w:p>
    <w:p>
      <w:pPr>
        <w:pStyle w:val="ListParagraph"/>
        <w:numPr>
          <w:ilvl w:val="0"/>
          <w:numId w:val="92"/>
        </w:numPr>
        <w:tabs>
          <w:tab w:pos="2548" w:val="left" w:leader="none"/>
        </w:tabs>
        <w:spacing w:line="225" w:lineRule="auto" w:before="51" w:after="0"/>
        <w:ind w:left="2548" w:right="734" w:hanging="316"/>
        <w:jc w:val="left"/>
        <w:rPr>
          <w:sz w:val="20"/>
        </w:rPr>
      </w:pPr>
      <w:r>
        <w:rPr>
          <w:color w:val="231F20"/>
          <w:sz w:val="20"/>
        </w:rPr>
        <w:t>On the computer where the Tivoli Enterprise Portal Server is installed, click </w:t>
      </w:r>
      <w:r>
        <w:rPr>
          <w:rFonts w:ascii="Book Antiqua"/>
          <w:b/>
          <w:color w:val="231F20"/>
          <w:sz w:val="20"/>
        </w:rPr>
        <w:t>Start &gt; Programs &gt; IBM Tivoli Monitoring &gt; </w:t>
      </w:r>
      <w:r>
        <w:rPr>
          <w:rFonts w:ascii="Book Antiqua"/>
          <w:b/>
          <w:color w:val="231F20"/>
          <w:spacing w:val="15"/>
          <w:position w:val="-1"/>
          <w:sz w:val="20"/>
        </w:rPr>
        <w:drawing>
          <wp:inline distT="0" distB="0" distL="0" distR="0">
            <wp:extent cx="76200" cy="101600"/>
            <wp:effectExtent l="0" t="0" r="0" b="0"/>
            <wp:docPr id="1764" name="Image 1764"/>
            <wp:cNvGraphicFramePr>
              <a:graphicFrameLocks/>
            </wp:cNvGraphicFramePr>
            <a:graphic>
              <a:graphicData uri="http://schemas.openxmlformats.org/drawingml/2006/picture">
                <pic:pic>
                  <pic:nvPicPr>
                    <pic:cNvPr id="1764" name="Image 1764"/>
                    <pic:cNvPicPr/>
                  </pic:nvPicPr>
                  <pic:blipFill>
                    <a:blip r:embed="rId338" cstate="print"/>
                    <a:stretch>
                      <a:fillRect/>
                    </a:stretch>
                  </pic:blipFill>
                  <pic:spPr>
                    <a:xfrm>
                      <a:off x="0" y="0"/>
                      <a:ext cx="762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40"/>
          <w:sz w:val="20"/>
        </w:rPr>
        <w:t> </w:t>
      </w:r>
      <w:r>
        <w:rPr>
          <w:rFonts w:ascii="Book Antiqua"/>
          <w:b/>
          <w:color w:val="231F20"/>
          <w:sz w:val="20"/>
        </w:rPr>
        <w:t>Manage Tivoli Monitoring </w:t>
      </w:r>
      <w:r>
        <w:rPr>
          <w:rFonts w:ascii="Book Antiqua"/>
          <w:b/>
          <w:color w:val="231F20"/>
          <w:spacing w:val="-2"/>
          <w:sz w:val="20"/>
        </w:rPr>
        <w:t>Services</w:t>
      </w:r>
      <w:r>
        <w:rPr>
          <w:color w:val="231F20"/>
          <w:spacing w:val="-2"/>
          <w:sz w:val="20"/>
        </w:rPr>
        <w:t>.</w:t>
      </w:r>
    </w:p>
    <w:p>
      <w:pPr>
        <w:pStyle w:val="ListParagraph"/>
        <w:numPr>
          <w:ilvl w:val="0"/>
          <w:numId w:val="92"/>
        </w:numPr>
        <w:tabs>
          <w:tab w:pos="2548" w:val="left" w:leader="none"/>
        </w:tabs>
        <w:spacing w:line="213" w:lineRule="auto" w:before="55" w:after="0"/>
        <w:ind w:left="2548" w:right="499" w:hanging="316"/>
        <w:jc w:val="left"/>
        <w:rPr>
          <w:sz w:val="20"/>
        </w:rPr>
      </w:pPr>
      <w:r>
        <w:rPr>
          <w:color w:val="231F20"/>
          <w:sz w:val="20"/>
        </w:rPr>
        <w:t>Right-click the Tivoli Enterprise Portal Server name and click </w:t>
      </w:r>
      <w:r>
        <w:rPr>
          <w:rFonts w:ascii="Book Antiqua"/>
          <w:b/>
          <w:color w:val="231F20"/>
          <w:sz w:val="20"/>
        </w:rPr>
        <w:t>Advanced &gt; </w:t>
      </w:r>
      <w:r>
        <w:rPr>
          <w:rFonts w:ascii="Book Antiqua"/>
          <w:b/>
          <w:color w:val="231F20"/>
          <w:sz w:val="20"/>
        </w:rPr>
        <w:t>Edit ENV File</w:t>
      </w:r>
      <w:r>
        <w:rPr>
          <w:color w:val="231F20"/>
          <w:sz w:val="20"/>
        </w:rPr>
        <w:t>.</w:t>
      </w:r>
    </w:p>
    <w:p>
      <w:pPr>
        <w:pStyle w:val="ListParagraph"/>
        <w:numPr>
          <w:ilvl w:val="0"/>
          <w:numId w:val="92"/>
        </w:numPr>
        <w:tabs>
          <w:tab w:pos="2547" w:val="left" w:leader="none"/>
        </w:tabs>
        <w:spacing w:line="240" w:lineRule="auto" w:before="35" w:after="0"/>
        <w:ind w:left="2547" w:right="0" w:hanging="315"/>
        <w:jc w:val="left"/>
        <w:rPr>
          <w:sz w:val="20"/>
        </w:rPr>
      </w:pPr>
      <w:r>
        <w:rPr>
          <w:color w:val="231F20"/>
          <w:sz w:val="20"/>
        </w:rPr>
        <w:t>Find</w:t>
      </w:r>
      <w:r>
        <w:rPr>
          <w:color w:val="231F20"/>
          <w:spacing w:val="11"/>
          <w:sz w:val="20"/>
        </w:rPr>
        <w:t> </w:t>
      </w:r>
      <w:r>
        <w:rPr>
          <w:color w:val="231F20"/>
          <w:sz w:val="20"/>
        </w:rPr>
        <w:t>the</w:t>
      </w:r>
      <w:r>
        <w:rPr>
          <w:color w:val="231F20"/>
          <w:spacing w:val="11"/>
          <w:sz w:val="20"/>
        </w:rPr>
        <w:t> </w:t>
      </w:r>
      <w:r>
        <w:rPr>
          <w:color w:val="231F20"/>
          <w:sz w:val="20"/>
        </w:rPr>
        <w:t>section</w:t>
      </w:r>
      <w:r>
        <w:rPr>
          <w:color w:val="231F20"/>
          <w:spacing w:val="11"/>
          <w:sz w:val="20"/>
        </w:rPr>
        <w:t> </w:t>
      </w:r>
      <w:r>
        <w:rPr>
          <w:color w:val="231F20"/>
          <w:sz w:val="20"/>
        </w:rPr>
        <w:t>entitled</w:t>
      </w:r>
      <w:r>
        <w:rPr>
          <w:color w:val="231F20"/>
          <w:spacing w:val="11"/>
          <w:sz w:val="20"/>
        </w:rPr>
        <w:t> </w:t>
      </w:r>
      <w:r>
        <w:rPr>
          <w:color w:val="231F20"/>
          <w:spacing w:val="-2"/>
          <w:sz w:val="20"/>
        </w:rPr>
        <w:t>KFW_ODBC_*.</w:t>
      </w:r>
    </w:p>
    <w:p>
      <w:pPr>
        <w:pStyle w:val="ListParagraph"/>
        <w:numPr>
          <w:ilvl w:val="0"/>
          <w:numId w:val="92"/>
        </w:numPr>
        <w:tabs>
          <w:tab w:pos="2547" w:val="left" w:leader="none"/>
        </w:tabs>
        <w:spacing w:line="240" w:lineRule="auto" w:before="30" w:after="0"/>
        <w:ind w:left="2547" w:right="0" w:hanging="315"/>
        <w:jc w:val="left"/>
        <w:rPr>
          <w:sz w:val="20"/>
        </w:rPr>
      </w:pPr>
      <w:r>
        <w:rPr>
          <w:color w:val="231F20"/>
          <w:sz w:val="20"/>
        </w:rPr>
        <w:t>Delete</w:t>
      </w:r>
      <w:r>
        <w:rPr>
          <w:color w:val="231F20"/>
          <w:spacing w:val="11"/>
          <w:sz w:val="20"/>
        </w:rPr>
        <w:t> </w:t>
      </w:r>
      <w:r>
        <w:rPr>
          <w:color w:val="231F20"/>
          <w:sz w:val="20"/>
        </w:rPr>
        <w:t>the</w:t>
      </w:r>
      <w:r>
        <w:rPr>
          <w:color w:val="231F20"/>
          <w:spacing w:val="12"/>
          <w:sz w:val="20"/>
        </w:rPr>
        <w:t> </w:t>
      </w:r>
      <w:r>
        <w:rPr>
          <w:color w:val="231F20"/>
          <w:sz w:val="20"/>
        </w:rPr>
        <w:t>#</w:t>
      </w:r>
      <w:r>
        <w:rPr>
          <w:color w:val="231F20"/>
          <w:spacing w:val="11"/>
          <w:sz w:val="20"/>
        </w:rPr>
        <w:t> </w:t>
      </w:r>
      <w:r>
        <w:rPr>
          <w:color w:val="231F20"/>
          <w:sz w:val="20"/>
        </w:rPr>
        <w:t>remark</w:t>
      </w:r>
      <w:r>
        <w:rPr>
          <w:color w:val="231F20"/>
          <w:spacing w:val="12"/>
          <w:sz w:val="20"/>
        </w:rPr>
        <w:t> </w:t>
      </w:r>
      <w:r>
        <w:rPr>
          <w:color w:val="231F20"/>
          <w:sz w:val="20"/>
        </w:rPr>
        <w:t>symbol</w:t>
      </w:r>
      <w:r>
        <w:rPr>
          <w:color w:val="231F20"/>
          <w:spacing w:val="12"/>
          <w:sz w:val="20"/>
        </w:rPr>
        <w:t> </w:t>
      </w:r>
      <w:r>
        <w:rPr>
          <w:color w:val="231F20"/>
          <w:sz w:val="20"/>
        </w:rPr>
        <w:t>at</w:t>
      </w:r>
      <w:r>
        <w:rPr>
          <w:color w:val="231F20"/>
          <w:spacing w:val="11"/>
          <w:sz w:val="20"/>
        </w:rPr>
        <w:t> </w:t>
      </w:r>
      <w:r>
        <w:rPr>
          <w:color w:val="231F20"/>
          <w:sz w:val="20"/>
        </w:rPr>
        <w:t>the</w:t>
      </w:r>
      <w:r>
        <w:rPr>
          <w:color w:val="231F20"/>
          <w:spacing w:val="12"/>
          <w:sz w:val="20"/>
        </w:rPr>
        <w:t> </w:t>
      </w:r>
      <w:r>
        <w:rPr>
          <w:color w:val="231F20"/>
          <w:sz w:val="20"/>
        </w:rPr>
        <w:t>beginning</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DSUSER1</w:t>
      </w:r>
      <w:r>
        <w:rPr>
          <w:color w:val="231F20"/>
          <w:spacing w:val="11"/>
          <w:sz w:val="20"/>
        </w:rPr>
        <w:t> </w:t>
      </w:r>
      <w:r>
        <w:rPr>
          <w:color w:val="231F20"/>
          <w:spacing w:val="-2"/>
          <w:sz w:val="20"/>
        </w:rPr>
        <w:t>entry.</w:t>
      </w:r>
    </w:p>
    <w:p>
      <w:pPr>
        <w:pStyle w:val="ListParagraph"/>
        <w:numPr>
          <w:ilvl w:val="0"/>
          <w:numId w:val="92"/>
        </w:numPr>
        <w:tabs>
          <w:tab w:pos="2547" w:val="left" w:leader="none"/>
        </w:tabs>
        <w:spacing w:line="240" w:lineRule="auto" w:before="30" w:after="0"/>
        <w:ind w:left="2547" w:right="0" w:hanging="315"/>
        <w:jc w:val="left"/>
        <w:rPr>
          <w:sz w:val="20"/>
        </w:rPr>
      </w:pPr>
      <w:r>
        <w:rPr>
          <w:color w:val="231F20"/>
          <w:sz w:val="20"/>
        </w:rPr>
        <w:t>Edit</w:t>
      </w:r>
      <w:r>
        <w:rPr>
          <w:color w:val="231F20"/>
          <w:spacing w:val="11"/>
          <w:sz w:val="20"/>
        </w:rPr>
        <w:t> </w:t>
      </w:r>
      <w:r>
        <w:rPr>
          <w:color w:val="231F20"/>
          <w:sz w:val="20"/>
        </w:rPr>
        <w:t>the</w:t>
      </w:r>
      <w:r>
        <w:rPr>
          <w:color w:val="231F20"/>
          <w:spacing w:val="11"/>
          <w:sz w:val="20"/>
        </w:rPr>
        <w:t> </w:t>
      </w:r>
      <w:r>
        <w:rPr>
          <w:color w:val="231F20"/>
          <w:sz w:val="20"/>
        </w:rPr>
        <w:t>DSUSER1</w:t>
      </w:r>
      <w:r>
        <w:rPr>
          <w:color w:val="231F20"/>
          <w:spacing w:val="12"/>
          <w:sz w:val="20"/>
        </w:rPr>
        <w:t> </w:t>
      </w:r>
      <w:r>
        <w:rPr>
          <w:color w:val="231F20"/>
          <w:sz w:val="20"/>
        </w:rPr>
        <w:t>entry</w:t>
      </w:r>
      <w:r>
        <w:rPr>
          <w:color w:val="231F20"/>
          <w:spacing w:val="11"/>
          <w:sz w:val="20"/>
        </w:rPr>
        <w:t> </w:t>
      </w:r>
      <w:r>
        <w:rPr>
          <w:color w:val="231F20"/>
          <w:sz w:val="20"/>
        </w:rPr>
        <w:t>for</w:t>
      </w:r>
      <w:r>
        <w:rPr>
          <w:color w:val="231F20"/>
          <w:spacing w:val="12"/>
          <w:sz w:val="20"/>
        </w:rPr>
        <w:t> </w:t>
      </w:r>
      <w:r>
        <w:rPr>
          <w:color w:val="231F20"/>
          <w:sz w:val="20"/>
        </w:rPr>
        <w:t>your</w:t>
      </w:r>
      <w:r>
        <w:rPr>
          <w:color w:val="231F20"/>
          <w:spacing w:val="11"/>
          <w:sz w:val="20"/>
        </w:rPr>
        <w:t> </w:t>
      </w:r>
      <w:r>
        <w:rPr>
          <w:color w:val="231F20"/>
          <w:sz w:val="20"/>
        </w:rPr>
        <w:t>data</w:t>
      </w:r>
      <w:r>
        <w:rPr>
          <w:color w:val="231F20"/>
          <w:spacing w:val="11"/>
          <w:sz w:val="20"/>
        </w:rPr>
        <w:t> </w:t>
      </w:r>
      <w:r>
        <w:rPr>
          <w:color w:val="231F20"/>
          <w:sz w:val="20"/>
        </w:rPr>
        <w:t>set</w:t>
      </w:r>
      <w:r>
        <w:rPr>
          <w:color w:val="231F20"/>
          <w:spacing w:val="12"/>
          <w:sz w:val="20"/>
        </w:rPr>
        <w:t> </w:t>
      </w:r>
      <w:r>
        <w:rPr>
          <w:color w:val="231F20"/>
          <w:sz w:val="20"/>
        </w:rPr>
        <w:t>name,</w:t>
      </w:r>
      <w:r>
        <w:rPr>
          <w:color w:val="231F20"/>
          <w:spacing w:val="11"/>
          <w:sz w:val="20"/>
        </w:rPr>
        <w:t> </w:t>
      </w:r>
      <w:r>
        <w:rPr>
          <w:color w:val="231F20"/>
          <w:sz w:val="20"/>
        </w:rPr>
        <w:t>username</w:t>
      </w:r>
      <w:r>
        <w:rPr>
          <w:color w:val="231F20"/>
          <w:spacing w:val="12"/>
          <w:sz w:val="20"/>
        </w:rPr>
        <w:t> </w:t>
      </w:r>
      <w:r>
        <w:rPr>
          <w:color w:val="231F20"/>
          <w:sz w:val="20"/>
        </w:rPr>
        <w:t>and</w:t>
      </w:r>
      <w:r>
        <w:rPr>
          <w:color w:val="231F20"/>
          <w:spacing w:val="11"/>
          <w:sz w:val="20"/>
        </w:rPr>
        <w:t> </w:t>
      </w:r>
      <w:r>
        <w:rPr>
          <w:color w:val="231F20"/>
          <w:spacing w:val="-2"/>
          <w:sz w:val="20"/>
        </w:rPr>
        <w:t>password:</w:t>
      </w:r>
    </w:p>
    <w:p>
      <w:pPr>
        <w:spacing w:before="55"/>
        <w:ind w:left="2548" w:right="0" w:firstLine="0"/>
        <w:jc w:val="left"/>
        <w:rPr>
          <w:rFonts w:ascii="Arial" w:hAnsi="Arial"/>
          <w:sz w:val="18"/>
        </w:rPr>
      </w:pPr>
      <w:r>
        <w:rPr>
          <w:rFonts w:ascii="Arial" w:hAnsi="Arial"/>
          <w:color w:val="231F20"/>
          <w:spacing w:val="-2"/>
          <w:w w:val="85"/>
          <w:sz w:val="18"/>
        </w:rPr>
        <w:t>DSUSER1=“DSN=myODBC;UID=mUsername;PWD=myPassword”</w:t>
      </w:r>
    </w:p>
    <w:p>
      <w:pPr>
        <w:pStyle w:val="BodyText"/>
        <w:spacing w:before="19"/>
        <w:rPr>
          <w:rFonts w:ascii="Arial"/>
          <w:sz w:val="18"/>
        </w:rPr>
      </w:pPr>
    </w:p>
    <w:p>
      <w:pPr>
        <w:pStyle w:val="BodyText"/>
        <w:ind w:left="2548"/>
      </w:pPr>
      <w:r>
        <w:rPr>
          <w:color w:val="231F20"/>
          <w:spacing w:val="-2"/>
        </w:rPr>
        <w:t>where</w:t>
      </w:r>
    </w:p>
    <w:p>
      <w:pPr>
        <w:spacing w:after="0"/>
        <w:sectPr>
          <w:pgSz w:w="12240" w:h="15840"/>
          <w:pgMar w:header="0" w:footer="736" w:top="1160" w:bottom="920" w:left="1000" w:right="1060"/>
        </w:sectPr>
      </w:pPr>
    </w:p>
    <w:p>
      <w:pPr>
        <w:pStyle w:val="BodyText"/>
        <w:spacing w:before="62"/>
        <w:ind w:left="2788"/>
      </w:pPr>
      <w:bookmarkStart w:name="_bookmark148" w:id="328"/>
      <w:bookmarkEnd w:id="328"/>
      <w:r>
        <w:rPr/>
      </w:r>
      <w:r>
        <w:rPr>
          <w:rFonts w:ascii="Futura MdCn BT"/>
          <w:color w:val="231F20"/>
        </w:rPr>
        <w:t>v</w:t>
      </w:r>
      <w:r>
        <w:rPr>
          <w:rFonts w:ascii="Futura MdCn BT"/>
          <w:color w:val="231F20"/>
          <w:spacing w:val="65"/>
          <w:w w:val="150"/>
        </w:rPr>
        <w:t> </w:t>
      </w:r>
      <w:r>
        <w:rPr>
          <w:rFonts w:ascii="Arial"/>
          <w:color w:val="231F20"/>
        </w:rPr>
        <w:t>DSN</w:t>
      </w:r>
      <w:r>
        <w:rPr>
          <w:rFonts w:ascii="Arial"/>
          <w:color w:val="231F20"/>
          <w:spacing w:val="-1"/>
        </w:rPr>
        <w:t> </w:t>
      </w:r>
      <w:r>
        <w:rPr>
          <w:color w:val="231F20"/>
        </w:rPr>
        <w:t>is</w:t>
      </w:r>
      <w:r>
        <w:rPr>
          <w:color w:val="231F20"/>
          <w:spacing w:val="5"/>
        </w:rPr>
        <w:t> </w:t>
      </w:r>
      <w:r>
        <w:rPr>
          <w:color w:val="231F20"/>
        </w:rPr>
        <w:t>the</w:t>
      </w:r>
      <w:r>
        <w:rPr>
          <w:color w:val="231F20"/>
          <w:spacing w:val="5"/>
        </w:rPr>
        <w:t> </w:t>
      </w:r>
      <w:r>
        <w:rPr>
          <w:color w:val="231F20"/>
        </w:rPr>
        <w:t>ODBC</w:t>
      </w:r>
      <w:r>
        <w:rPr>
          <w:color w:val="231F20"/>
          <w:spacing w:val="5"/>
        </w:rPr>
        <w:t> </w:t>
      </w:r>
      <w:r>
        <w:rPr>
          <w:color w:val="231F20"/>
        </w:rPr>
        <w:t>data</w:t>
      </w:r>
      <w:r>
        <w:rPr>
          <w:color w:val="231F20"/>
          <w:spacing w:val="5"/>
        </w:rPr>
        <w:t> </w:t>
      </w:r>
      <w:r>
        <w:rPr>
          <w:color w:val="231F20"/>
        </w:rPr>
        <w:t>source</w:t>
      </w:r>
      <w:r>
        <w:rPr>
          <w:color w:val="231F20"/>
          <w:spacing w:val="4"/>
        </w:rPr>
        <w:t> </w:t>
      </w:r>
      <w:r>
        <w:rPr>
          <w:color w:val="231F20"/>
        </w:rPr>
        <w:t>name</w:t>
      </w:r>
      <w:r>
        <w:rPr>
          <w:color w:val="231F20"/>
          <w:spacing w:val="5"/>
        </w:rPr>
        <w:t> </w:t>
      </w:r>
      <w:r>
        <w:rPr>
          <w:color w:val="231F20"/>
        </w:rPr>
        <w:t>as</w:t>
      </w:r>
      <w:r>
        <w:rPr>
          <w:color w:val="231F20"/>
          <w:spacing w:val="5"/>
        </w:rPr>
        <w:t> </w:t>
      </w:r>
      <w:r>
        <w:rPr>
          <w:color w:val="231F20"/>
        </w:rPr>
        <w:t>it</w:t>
      </w:r>
      <w:r>
        <w:rPr>
          <w:color w:val="231F20"/>
          <w:spacing w:val="5"/>
        </w:rPr>
        <w:t> </w:t>
      </w:r>
      <w:r>
        <w:rPr>
          <w:color w:val="231F20"/>
        </w:rPr>
        <w:t>is</w:t>
      </w:r>
      <w:r>
        <w:rPr>
          <w:color w:val="231F20"/>
          <w:spacing w:val="5"/>
        </w:rPr>
        <w:t> </w:t>
      </w:r>
      <w:r>
        <w:rPr>
          <w:color w:val="231F20"/>
        </w:rPr>
        <w:t>displayed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database</w:t>
      </w:r>
      <w:r>
        <w:rPr>
          <w:color w:val="231F20"/>
          <w:spacing w:val="4"/>
        </w:rPr>
        <w:t> </w:t>
      </w:r>
      <w:r>
        <w:rPr>
          <w:color w:val="231F20"/>
          <w:spacing w:val="-2"/>
        </w:rPr>
        <w:t>server.</w:t>
      </w:r>
    </w:p>
    <w:p>
      <w:pPr>
        <w:pStyle w:val="BodyText"/>
        <w:spacing w:before="29"/>
        <w:ind w:left="2788"/>
      </w:pPr>
      <w:r>
        <w:rPr>
          <w:rFonts w:ascii="Futura MdCn BT"/>
          <w:color w:val="231F20"/>
        </w:rPr>
        <w:t>v</w:t>
      </w:r>
      <w:r>
        <w:rPr>
          <w:rFonts w:ascii="Futura MdCn BT"/>
          <w:color w:val="231F20"/>
          <w:spacing w:val="74"/>
          <w:w w:val="150"/>
        </w:rPr>
        <w:t> </w:t>
      </w:r>
      <w:r>
        <w:rPr>
          <w:rFonts w:ascii="Arial"/>
          <w:color w:val="231F20"/>
        </w:rPr>
        <w:t>UID</w:t>
      </w:r>
      <w:r>
        <w:rPr>
          <w:rFonts w:ascii="Arial"/>
          <w:color w:val="231F20"/>
          <w:spacing w:val="3"/>
        </w:rPr>
        <w:t> </w:t>
      </w:r>
      <w:r>
        <w:rPr>
          <w:color w:val="231F20"/>
        </w:rPr>
        <w:t>is</w:t>
      </w:r>
      <w:r>
        <w:rPr>
          <w:color w:val="231F20"/>
          <w:spacing w:val="9"/>
        </w:rPr>
        <w:t> </w:t>
      </w:r>
      <w:r>
        <w:rPr>
          <w:color w:val="231F20"/>
        </w:rPr>
        <w:t>the</w:t>
      </w:r>
      <w:r>
        <w:rPr>
          <w:color w:val="231F20"/>
          <w:spacing w:val="9"/>
        </w:rPr>
        <w:t> </w:t>
      </w:r>
      <w:r>
        <w:rPr>
          <w:color w:val="231F20"/>
        </w:rPr>
        <w:t>user</w:t>
      </w:r>
      <w:r>
        <w:rPr>
          <w:color w:val="231F20"/>
          <w:spacing w:val="9"/>
        </w:rPr>
        <w:t> </w:t>
      </w:r>
      <w:r>
        <w:rPr>
          <w:color w:val="231F20"/>
        </w:rPr>
        <w:t>ID</w:t>
      </w:r>
      <w:r>
        <w:rPr>
          <w:color w:val="231F20"/>
          <w:spacing w:val="9"/>
        </w:rPr>
        <w:t> </w:t>
      </w:r>
      <w:r>
        <w:rPr>
          <w:color w:val="231F20"/>
        </w:rPr>
        <w:t>for</w:t>
      </w:r>
      <w:r>
        <w:rPr>
          <w:color w:val="231F20"/>
          <w:spacing w:val="9"/>
        </w:rPr>
        <w:t> </w:t>
      </w:r>
      <w:r>
        <w:rPr>
          <w:color w:val="231F20"/>
        </w:rPr>
        <w:t>accessing</w:t>
      </w:r>
      <w:r>
        <w:rPr>
          <w:color w:val="231F20"/>
          <w:spacing w:val="9"/>
        </w:rPr>
        <w:t> </w:t>
      </w:r>
      <w:r>
        <w:rPr>
          <w:color w:val="231F20"/>
        </w:rPr>
        <w:t>the</w:t>
      </w:r>
      <w:r>
        <w:rPr>
          <w:color w:val="231F20"/>
          <w:spacing w:val="9"/>
        </w:rPr>
        <w:t> </w:t>
      </w:r>
      <w:r>
        <w:rPr>
          <w:color w:val="231F20"/>
          <w:spacing w:val="-2"/>
        </w:rPr>
        <w:t>database.</w:t>
      </w:r>
    </w:p>
    <w:p>
      <w:pPr>
        <w:pStyle w:val="BodyText"/>
        <w:spacing w:before="30"/>
        <w:ind w:left="2788"/>
      </w:pPr>
      <w:r>
        <w:rPr>
          <w:rFonts w:ascii="Futura MdCn BT"/>
          <w:color w:val="231F20"/>
        </w:rPr>
        <w:t>v</w:t>
      </w:r>
      <w:r>
        <w:rPr>
          <w:rFonts w:ascii="Futura MdCn BT"/>
          <w:color w:val="231F20"/>
          <w:spacing w:val="69"/>
        </w:rPr>
        <w:t> </w:t>
      </w:r>
      <w:r>
        <w:rPr>
          <w:rFonts w:ascii="Arial"/>
          <w:color w:val="231F20"/>
        </w:rPr>
        <w:t>PWD</w:t>
      </w:r>
      <w:r>
        <w:rPr>
          <w:color w:val="231F20"/>
        </w:rPr>
        <w:t>,</w:t>
      </w:r>
      <w:r>
        <w:rPr>
          <w:color w:val="231F20"/>
          <w:spacing w:val="-1"/>
        </w:rPr>
        <w:t> </w:t>
      </w:r>
      <w:r>
        <w:rPr>
          <w:color w:val="231F20"/>
        </w:rPr>
        <w:t>if</w:t>
      </w:r>
      <w:r>
        <w:rPr>
          <w:color w:val="231F20"/>
          <w:spacing w:val="-2"/>
        </w:rPr>
        <w:t> </w:t>
      </w:r>
      <w:r>
        <w:rPr>
          <w:color w:val="231F20"/>
        </w:rPr>
        <w:t>used,</w:t>
      </w:r>
      <w:r>
        <w:rPr>
          <w:color w:val="231F20"/>
          <w:spacing w:val="-2"/>
        </w:rPr>
        <w:t> </w:t>
      </w:r>
      <w:r>
        <w:rPr>
          <w:color w:val="231F20"/>
        </w:rPr>
        <w:t>is</w:t>
      </w:r>
      <w:r>
        <w:rPr>
          <w:color w:val="231F20"/>
          <w:spacing w:val="-2"/>
        </w:rPr>
        <w:t> </w:t>
      </w:r>
      <w:r>
        <w:rPr>
          <w:color w:val="231F20"/>
        </w:rPr>
        <w:t>the</w:t>
      </w:r>
      <w:r>
        <w:rPr>
          <w:color w:val="231F20"/>
          <w:spacing w:val="-2"/>
        </w:rPr>
        <w:t> </w:t>
      </w:r>
      <w:r>
        <w:rPr>
          <w:color w:val="231F20"/>
        </w:rPr>
        <w:t>password</w:t>
      </w:r>
      <w:r>
        <w:rPr>
          <w:color w:val="231F20"/>
          <w:spacing w:val="-1"/>
        </w:rPr>
        <w:t> </w:t>
      </w:r>
      <w:r>
        <w:rPr>
          <w:color w:val="231F20"/>
        </w:rPr>
        <w:t>for</w:t>
      </w:r>
      <w:r>
        <w:rPr>
          <w:color w:val="231F20"/>
          <w:spacing w:val="-2"/>
        </w:rPr>
        <w:t> </w:t>
      </w:r>
      <w:r>
        <w:rPr>
          <w:color w:val="231F20"/>
        </w:rPr>
        <w:t>the</w:t>
      </w:r>
      <w:r>
        <w:rPr>
          <w:color w:val="231F20"/>
          <w:spacing w:val="-2"/>
        </w:rPr>
        <w:t> </w:t>
      </w:r>
      <w:r>
        <w:rPr>
          <w:color w:val="231F20"/>
        </w:rPr>
        <w:t>user</w:t>
      </w:r>
      <w:r>
        <w:rPr>
          <w:color w:val="231F20"/>
          <w:spacing w:val="-2"/>
        </w:rPr>
        <w:t> </w:t>
      </w:r>
      <w:r>
        <w:rPr>
          <w:color w:val="231F20"/>
          <w:spacing w:val="-5"/>
        </w:rPr>
        <w:t>ID.</w:t>
      </w:r>
    </w:p>
    <w:p>
      <w:pPr>
        <w:pStyle w:val="BodyText"/>
        <w:spacing w:line="213" w:lineRule="auto" w:before="112"/>
        <w:ind w:left="2788" w:right="1104"/>
      </w:pPr>
      <w:r>
        <w:rPr>
          <w:color w:val="231F20"/>
        </w:rPr>
        <w:t>Each property is a key=value pair and is separated by a semi-colon </w:t>
      </w:r>
      <w:r>
        <w:rPr>
          <w:color w:val="231F20"/>
        </w:rPr>
        <w:t>(;). </w:t>
      </w:r>
      <w:r>
        <w:rPr>
          <w:color w:val="231F20"/>
          <w:spacing w:val="-2"/>
        </w:rPr>
        <w:t>Other</w:t>
      </w:r>
      <w:r>
        <w:rPr>
          <w:color w:val="231F20"/>
          <w:spacing w:val="-8"/>
        </w:rPr>
        <w:t> </w:t>
      </w:r>
      <w:r>
        <w:rPr>
          <w:color w:val="231F20"/>
          <w:spacing w:val="-2"/>
        </w:rPr>
        <w:t>key=value</w:t>
      </w:r>
      <w:r>
        <w:rPr>
          <w:color w:val="231F20"/>
          <w:spacing w:val="-7"/>
        </w:rPr>
        <w:t> </w:t>
      </w:r>
      <w:r>
        <w:rPr>
          <w:color w:val="231F20"/>
          <w:spacing w:val="-2"/>
        </w:rPr>
        <w:t>pairs</w:t>
      </w:r>
      <w:r>
        <w:rPr>
          <w:color w:val="231F20"/>
          <w:spacing w:val="-7"/>
        </w:rPr>
        <w:t> </w:t>
      </w:r>
      <w:r>
        <w:rPr>
          <w:color w:val="231F20"/>
          <w:spacing w:val="-2"/>
        </w:rPr>
        <w:t>can</w:t>
      </w:r>
      <w:r>
        <w:rPr>
          <w:color w:val="231F20"/>
          <w:spacing w:val="-7"/>
        </w:rPr>
        <w:t> </w:t>
      </w:r>
      <w:r>
        <w:rPr>
          <w:color w:val="231F20"/>
          <w:spacing w:val="-2"/>
        </w:rPr>
        <w:t>be</w:t>
      </w:r>
      <w:r>
        <w:rPr>
          <w:color w:val="231F20"/>
          <w:spacing w:val="-7"/>
        </w:rPr>
        <w:t> </w:t>
      </w:r>
      <w:r>
        <w:rPr>
          <w:color w:val="231F20"/>
          <w:spacing w:val="-2"/>
        </w:rPr>
        <w:t>added</w:t>
      </w:r>
      <w:r>
        <w:rPr>
          <w:color w:val="231F20"/>
          <w:spacing w:val="-7"/>
        </w:rPr>
        <w:t> </w:t>
      </w:r>
      <w:r>
        <w:rPr>
          <w:color w:val="231F20"/>
          <w:spacing w:val="-2"/>
        </w:rPr>
        <w:t>such</w:t>
      </w:r>
      <w:r>
        <w:rPr>
          <w:color w:val="231F20"/>
          <w:spacing w:val="-7"/>
        </w:rPr>
        <w:t> </w:t>
      </w:r>
      <w:r>
        <w:rPr>
          <w:color w:val="231F20"/>
          <w:spacing w:val="-2"/>
        </w:rPr>
        <w:t>as:</w:t>
      </w:r>
      <w:r>
        <w:rPr>
          <w:color w:val="231F20"/>
          <w:spacing w:val="-7"/>
        </w:rPr>
        <w:t> </w:t>
      </w:r>
      <w:r>
        <w:rPr>
          <w:rFonts w:ascii="Arial"/>
          <w:color w:val="231F20"/>
          <w:spacing w:val="-2"/>
        </w:rPr>
        <w:t>CONNECTION_TYPE</w:t>
      </w:r>
      <w:r>
        <w:rPr>
          <w:color w:val="231F20"/>
          <w:spacing w:val="-2"/>
        </w:rPr>
        <w:t>, </w:t>
      </w:r>
      <w:r>
        <w:rPr>
          <w:rFonts w:ascii="Arial"/>
          <w:color w:val="231F20"/>
          <w:w w:val="80"/>
        </w:rPr>
        <w:t>CONNECTION_LIMIT</w:t>
      </w:r>
      <w:r>
        <w:rPr>
          <w:color w:val="231F20"/>
          <w:w w:val="80"/>
        </w:rPr>
        <w:t>,</w:t>
      </w:r>
      <w:r>
        <w:rPr>
          <w:color w:val="231F20"/>
        </w:rPr>
        <w:t> </w:t>
      </w:r>
      <w:r>
        <w:rPr>
          <w:rFonts w:ascii="Arial"/>
          <w:color w:val="231F20"/>
          <w:w w:val="80"/>
        </w:rPr>
        <w:t>KFWJDBCDRIVER</w:t>
      </w:r>
      <w:r>
        <w:rPr>
          <w:color w:val="231F20"/>
          <w:w w:val="80"/>
        </w:rPr>
        <w:t>,</w:t>
      </w:r>
      <w:r>
        <w:rPr>
          <w:color w:val="231F20"/>
        </w:rPr>
        <w:t> </w:t>
      </w:r>
      <w:r>
        <w:rPr>
          <w:color w:val="231F20"/>
          <w:w w:val="80"/>
        </w:rPr>
        <w:t>and</w:t>
      </w:r>
      <w:r>
        <w:rPr>
          <w:color w:val="231F20"/>
        </w:rPr>
        <w:t> </w:t>
      </w:r>
      <w:r>
        <w:rPr>
          <w:rFonts w:ascii="Arial"/>
          <w:color w:val="231F20"/>
          <w:w w:val="80"/>
        </w:rPr>
        <w:t>KFWDSURL</w:t>
      </w:r>
      <w:r>
        <w:rPr>
          <w:color w:val="231F20"/>
          <w:w w:val="80"/>
        </w:rPr>
        <w:t>.</w:t>
      </w:r>
    </w:p>
    <w:p>
      <w:pPr>
        <w:pStyle w:val="BodyText"/>
        <w:spacing w:line="213" w:lineRule="auto"/>
        <w:ind w:left="2788" w:right="545"/>
      </w:pPr>
      <w:r>
        <w:rPr>
          <w:color w:val="231F20"/>
        </w:rPr>
        <w:t>The information provided for the entry creates your datasource </w:t>
      </w:r>
      <w:r>
        <w:rPr>
          <w:color w:val="231F20"/>
        </w:rPr>
        <w:t>connection </w:t>
      </w:r>
      <w:r>
        <w:rPr>
          <w:color w:val="231F20"/>
          <w:spacing w:val="-2"/>
        </w:rPr>
        <w:t>string.</w:t>
      </w:r>
    </w:p>
    <w:p>
      <w:pPr>
        <w:pStyle w:val="ListParagraph"/>
        <w:numPr>
          <w:ilvl w:val="0"/>
          <w:numId w:val="92"/>
        </w:numPr>
        <w:tabs>
          <w:tab w:pos="2788" w:val="left" w:leader="none"/>
        </w:tabs>
        <w:spacing w:line="213" w:lineRule="auto" w:before="57" w:after="0"/>
        <w:ind w:left="2788" w:right="933" w:hanging="316"/>
        <w:jc w:val="left"/>
        <w:rPr>
          <w:sz w:val="20"/>
        </w:rPr>
      </w:pPr>
      <w:r>
        <w:rPr>
          <w:color w:val="231F20"/>
          <w:sz w:val="20"/>
        </w:rPr>
        <w:t>Continue to add new lines for other data sources, from DSUSER2 up </w:t>
      </w:r>
      <w:r>
        <w:rPr>
          <w:color w:val="231F20"/>
          <w:sz w:val="20"/>
        </w:rPr>
        <w:t>to </w:t>
      </w:r>
      <w:r>
        <w:rPr>
          <w:color w:val="231F20"/>
          <w:spacing w:val="-2"/>
          <w:sz w:val="20"/>
        </w:rPr>
        <w:t>DSUSER9.</w:t>
      </w:r>
    </w:p>
    <w:p>
      <w:pPr>
        <w:pStyle w:val="ListParagraph"/>
        <w:numPr>
          <w:ilvl w:val="0"/>
          <w:numId w:val="92"/>
        </w:numPr>
        <w:tabs>
          <w:tab w:pos="2787" w:val="left" w:leader="none"/>
        </w:tabs>
        <w:spacing w:line="240" w:lineRule="auto" w:before="35" w:after="0"/>
        <w:ind w:left="2787" w:right="0" w:hanging="315"/>
        <w:jc w:val="left"/>
        <w:rPr>
          <w:sz w:val="20"/>
        </w:rPr>
      </w:pPr>
      <w:r>
        <w:rPr>
          <w:color w:val="231F20"/>
          <w:sz w:val="20"/>
        </w:rPr>
        <w:t>Close</w:t>
      </w:r>
      <w:r>
        <w:rPr>
          <w:color w:val="231F20"/>
          <w:spacing w:val="10"/>
          <w:sz w:val="20"/>
        </w:rPr>
        <w:t> </w:t>
      </w:r>
      <w:r>
        <w:rPr>
          <w:color w:val="231F20"/>
          <w:sz w:val="20"/>
        </w:rPr>
        <w:t>the</w:t>
      </w:r>
      <w:r>
        <w:rPr>
          <w:color w:val="231F20"/>
          <w:spacing w:val="10"/>
          <w:sz w:val="20"/>
        </w:rPr>
        <w:t> </w:t>
      </w:r>
      <w:r>
        <w:rPr>
          <w:color w:val="231F20"/>
          <w:sz w:val="20"/>
        </w:rPr>
        <w:t>text</w:t>
      </w:r>
      <w:r>
        <w:rPr>
          <w:color w:val="231F20"/>
          <w:spacing w:val="10"/>
          <w:sz w:val="20"/>
        </w:rPr>
        <w:t> </w:t>
      </w:r>
      <w:r>
        <w:rPr>
          <w:color w:val="231F20"/>
          <w:sz w:val="20"/>
        </w:rPr>
        <w:t>editor</w:t>
      </w:r>
      <w:r>
        <w:rPr>
          <w:color w:val="231F20"/>
          <w:spacing w:val="11"/>
          <w:sz w:val="20"/>
        </w:rPr>
        <w:t> </w:t>
      </w:r>
      <w:r>
        <w:rPr>
          <w:color w:val="231F20"/>
          <w:sz w:val="20"/>
        </w:rPr>
        <w:t>and</w:t>
      </w:r>
      <w:r>
        <w:rPr>
          <w:color w:val="231F20"/>
          <w:spacing w:val="10"/>
          <w:sz w:val="20"/>
        </w:rPr>
        <w:t> </w:t>
      </w:r>
      <w:r>
        <w:rPr>
          <w:color w:val="231F20"/>
          <w:sz w:val="20"/>
        </w:rPr>
        <w:t>answer</w:t>
      </w:r>
      <w:r>
        <w:rPr>
          <w:color w:val="231F20"/>
          <w:spacing w:val="10"/>
          <w:sz w:val="20"/>
        </w:rPr>
        <w:t> </w:t>
      </w:r>
      <w:r>
        <w:rPr>
          <w:rFonts w:ascii="Book Antiqua"/>
          <w:b/>
          <w:color w:val="231F20"/>
          <w:sz w:val="20"/>
        </w:rPr>
        <w:t>Yes</w:t>
      </w:r>
      <w:r>
        <w:rPr>
          <w:rFonts w:ascii="Book Antiqua"/>
          <w:b/>
          <w:color w:val="231F20"/>
          <w:spacing w:val="11"/>
          <w:sz w:val="20"/>
        </w:rPr>
        <w:t> </w:t>
      </w:r>
      <w:r>
        <w:rPr>
          <w:color w:val="231F20"/>
          <w:sz w:val="20"/>
        </w:rPr>
        <w:t>to</w:t>
      </w:r>
      <w:r>
        <w:rPr>
          <w:color w:val="231F20"/>
          <w:spacing w:val="10"/>
          <w:sz w:val="20"/>
        </w:rPr>
        <w:t> </w:t>
      </w:r>
      <w:r>
        <w:rPr>
          <w:color w:val="231F20"/>
          <w:sz w:val="20"/>
        </w:rPr>
        <w:t>the</w:t>
      </w:r>
      <w:r>
        <w:rPr>
          <w:color w:val="231F20"/>
          <w:spacing w:val="10"/>
          <w:sz w:val="20"/>
        </w:rPr>
        <w:t> </w:t>
      </w:r>
      <w:r>
        <w:rPr>
          <w:color w:val="231F20"/>
          <w:sz w:val="20"/>
        </w:rPr>
        <w:t>prompt</w:t>
      </w:r>
      <w:r>
        <w:rPr>
          <w:color w:val="231F20"/>
          <w:spacing w:val="11"/>
          <w:sz w:val="20"/>
        </w:rPr>
        <w:t> </w:t>
      </w:r>
      <w:r>
        <w:rPr>
          <w:color w:val="231F20"/>
          <w:sz w:val="20"/>
        </w:rPr>
        <w:t>to</w:t>
      </w:r>
      <w:r>
        <w:rPr>
          <w:color w:val="231F20"/>
          <w:spacing w:val="10"/>
          <w:sz w:val="20"/>
        </w:rPr>
        <w:t> </w:t>
      </w:r>
      <w:r>
        <w:rPr>
          <w:color w:val="231F20"/>
          <w:sz w:val="20"/>
        </w:rPr>
        <w:t>recycle</w:t>
      </w:r>
      <w:r>
        <w:rPr>
          <w:color w:val="231F20"/>
          <w:spacing w:val="10"/>
          <w:sz w:val="20"/>
        </w:rPr>
        <w:t> </w:t>
      </w:r>
      <w:r>
        <w:rPr>
          <w:color w:val="231F20"/>
          <w:sz w:val="20"/>
        </w:rPr>
        <w:t>the</w:t>
      </w:r>
      <w:r>
        <w:rPr>
          <w:color w:val="231F20"/>
          <w:spacing w:val="11"/>
          <w:sz w:val="20"/>
        </w:rPr>
        <w:t> </w:t>
      </w:r>
      <w:r>
        <w:rPr>
          <w:color w:val="231F20"/>
          <w:sz w:val="20"/>
        </w:rPr>
        <w:t>portal</w:t>
      </w:r>
      <w:r>
        <w:rPr>
          <w:color w:val="231F20"/>
          <w:spacing w:val="10"/>
          <w:sz w:val="20"/>
        </w:rPr>
        <w:t> </w:t>
      </w:r>
      <w:r>
        <w:rPr>
          <w:color w:val="231F20"/>
          <w:spacing w:val="-2"/>
          <w:sz w:val="20"/>
        </w:rPr>
        <w:t>server.</w:t>
      </w:r>
    </w:p>
    <w:p>
      <w:pPr>
        <w:pStyle w:val="BodyText"/>
        <w:spacing w:line="213" w:lineRule="auto" w:before="232"/>
        <w:ind w:left="2788" w:right="545"/>
      </w:pPr>
      <w:r>
        <w:rPr>
          <w:rFonts w:ascii="Book Antiqua"/>
          <w:b/>
          <w:color w:val="231F20"/>
        </w:rPr>
        <w:t>Note:</w:t>
      </w:r>
      <w:r>
        <w:rPr>
          <w:rFonts w:ascii="Book Antiqua"/>
          <w:b/>
          <w:color w:val="231F20"/>
          <w:spacing w:val="40"/>
        </w:rPr>
        <w:t> </w:t>
      </w:r>
      <w:r>
        <w:rPr>
          <w:color w:val="231F20"/>
        </w:rPr>
        <w:t>The database you want to reference must be in the ODBC Data Source registry on the Tivoli Enterprise Portal Server. If it is not, consult your Windows system administrator.</w:t>
      </w:r>
    </w:p>
    <w:p>
      <w:pPr>
        <w:pStyle w:val="ListParagraph"/>
        <w:numPr>
          <w:ilvl w:val="0"/>
          <w:numId w:val="92"/>
        </w:numPr>
        <w:tabs>
          <w:tab w:pos="2787" w:val="left" w:leader="none"/>
        </w:tabs>
        <w:spacing w:line="240" w:lineRule="auto" w:before="35" w:after="0"/>
        <w:ind w:left="2787" w:right="0" w:hanging="315"/>
        <w:jc w:val="left"/>
        <w:rPr>
          <w:sz w:val="20"/>
        </w:rPr>
      </w:pPr>
      <w:r>
        <w:rPr>
          <w:color w:val="231F20"/>
          <w:sz w:val="20"/>
        </w:rPr>
        <w:t>Recycle</w:t>
      </w:r>
      <w:r>
        <w:rPr>
          <w:color w:val="231F20"/>
          <w:spacing w:val="11"/>
          <w:sz w:val="20"/>
        </w:rPr>
        <w:t> </w:t>
      </w:r>
      <w:r>
        <w:rPr>
          <w:color w:val="231F20"/>
          <w:sz w:val="20"/>
        </w:rPr>
        <w:t>the</w:t>
      </w:r>
      <w:r>
        <w:rPr>
          <w:color w:val="231F20"/>
          <w:spacing w:val="11"/>
          <w:sz w:val="20"/>
        </w:rPr>
        <w:t> </w:t>
      </w:r>
      <w:r>
        <w:rPr>
          <w:color w:val="231F20"/>
          <w:sz w:val="20"/>
        </w:rPr>
        <w:t>portal</w:t>
      </w:r>
      <w:r>
        <w:rPr>
          <w:color w:val="231F20"/>
          <w:spacing w:val="11"/>
          <w:sz w:val="20"/>
        </w:rPr>
        <w:t> </w:t>
      </w:r>
      <w:r>
        <w:rPr>
          <w:color w:val="231F20"/>
          <w:spacing w:val="-2"/>
          <w:sz w:val="20"/>
        </w:rPr>
        <w:t>server.</w:t>
      </w:r>
    </w:p>
    <w:p>
      <w:pPr>
        <w:pStyle w:val="BodyText"/>
        <w:spacing w:before="13"/>
        <w:rPr>
          <w:sz w:val="15"/>
        </w:rPr>
      </w:pPr>
      <w:r>
        <w:rPr/>
        <mc:AlternateContent>
          <mc:Choice Requires="wps">
            <w:drawing>
              <wp:anchor distT="0" distB="0" distL="0" distR="0" allowOverlap="1" layoutInCell="1" locked="0" behindDoc="1" simplePos="0" relativeHeight="487708672">
                <wp:simplePos x="0" y="0"/>
                <wp:positionH relativeFrom="page">
                  <wp:posOffset>912380</wp:posOffset>
                </wp:positionH>
                <wp:positionV relativeFrom="paragraph">
                  <wp:posOffset>152211</wp:posOffset>
                </wp:positionV>
                <wp:extent cx="6082665" cy="1270"/>
                <wp:effectExtent l="0" t="0" r="0" b="0"/>
                <wp:wrapTopAndBottom/>
                <wp:docPr id="1765" name="Graphic 1765"/>
                <wp:cNvGraphicFramePr>
                  <a:graphicFrameLocks/>
                </wp:cNvGraphicFramePr>
                <a:graphic>
                  <a:graphicData uri="http://schemas.microsoft.com/office/word/2010/wordprocessingShape">
                    <wps:wsp>
                      <wps:cNvPr id="1765" name="Graphic 1765"/>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85168pt;width:478.95pt;height:.1pt;mso-position-horizontal-relative:page;mso-position-vertical-relative:paragraph;z-index:-15607808;mso-wrap-distance-left:0;mso-wrap-distance-right:0" id="docshape175"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Editing a query" w:id="329"/>
      <w:bookmarkEnd w:id="329"/>
      <w:r>
        <w:rPr>
          <w:b w:val="0"/>
        </w:rPr>
      </w:r>
      <w:r>
        <w:rPr>
          <w:color w:val="231F20"/>
        </w:rPr>
        <w:t>Editing</w:t>
      </w:r>
      <w:r>
        <w:rPr>
          <w:color w:val="231F20"/>
          <w:spacing w:val="9"/>
        </w:rPr>
        <w:t> </w:t>
      </w:r>
      <w:r>
        <w:rPr>
          <w:color w:val="231F20"/>
        </w:rPr>
        <w:t>a</w:t>
      </w:r>
      <w:r>
        <w:rPr>
          <w:color w:val="231F20"/>
          <w:spacing w:val="9"/>
        </w:rPr>
        <w:t> </w:t>
      </w:r>
      <w:r>
        <w:rPr>
          <w:color w:val="231F20"/>
          <w:spacing w:val="-2"/>
        </w:rPr>
        <w:t>query</w:t>
      </w:r>
    </w:p>
    <w:p>
      <w:pPr>
        <w:pStyle w:val="BodyText"/>
        <w:spacing w:line="213" w:lineRule="auto" w:before="138"/>
        <w:ind w:left="2472" w:right="545"/>
      </w:pPr>
      <w:r>
        <w:rPr>
          <w:color w:val="231F20"/>
        </w:rPr>
        <w:t>You can edit any of the queries you have created for the monitoring server or for an ODBC-compliant database. You might want to modify a query to add a filter that keeps unnecessary data from cluttering the view and slowing the return of data, for example.</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385"/>
      </w:pPr>
      <w:r>
        <w:rPr>
          <w:color w:val="231F20"/>
        </w:rPr>
        <w:t>Your user ID must have permission for Modify Query and for Workspace Author Mode. If you do not see the</w:t>
      </w:r>
      <w:r>
        <w:rPr>
          <w:color w:val="231F20"/>
          <w:spacing w:val="26"/>
        </w:rPr>
        <w:t> </w:t>
      </w:r>
      <w:r>
        <w:rPr>
          <w:color w:val="231F20"/>
          <w:spacing w:val="-25"/>
          <w:position w:val="-1"/>
        </w:rPr>
        <w:drawing>
          <wp:inline distT="0" distB="0" distL="0" distR="0">
            <wp:extent cx="95250" cy="101600"/>
            <wp:effectExtent l="0" t="0" r="0" b="0"/>
            <wp:docPr id="1766" name="Image 1766"/>
            <wp:cNvGraphicFramePr>
              <a:graphicFrameLocks/>
            </wp:cNvGraphicFramePr>
            <a:graphic>
              <a:graphicData uri="http://schemas.openxmlformats.org/drawingml/2006/picture">
                <pic:pic>
                  <pic:nvPicPr>
                    <pic:cNvPr id="1766" name="Image 1766"/>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5"/>
        </w:rPr>
        <w:t> </w:t>
      </w:r>
      <w:r>
        <w:rPr>
          <w:rFonts w:ascii="Book Antiqua"/>
          <w:b/>
          <w:color w:val="231F20"/>
        </w:rPr>
        <w:t>Queries </w:t>
      </w:r>
      <w:r>
        <w:rPr>
          <w:color w:val="231F20"/>
        </w:rPr>
        <w:t>tool, your user ID does not have View or</w:t>
      </w:r>
      <w:r>
        <w:rPr>
          <w:color w:val="231F20"/>
          <w:spacing w:val="40"/>
        </w:rPr>
        <w:t> </w:t>
      </w:r>
      <w:r>
        <w:rPr>
          <w:color w:val="231F20"/>
        </w:rPr>
        <w:t>Modify Query permissions. If you can see the tool but it is disabled, your user </w:t>
      </w:r>
      <w:r>
        <w:rPr>
          <w:color w:val="231F20"/>
        </w:rPr>
        <w:t>ID</w:t>
      </w:r>
      <w:r>
        <w:rPr>
          <w:color w:val="231F20"/>
          <w:spacing w:val="40"/>
        </w:rPr>
        <w:t> </w:t>
      </w:r>
      <w:r>
        <w:rPr>
          <w:color w:val="231F20"/>
        </w:rPr>
        <w:t>does not have Workspace Author Mode permission. If you can open the Query editor but the tools are disabled, your user ID does not have Modify Query </w:t>
      </w:r>
      <w:r>
        <w:rPr>
          <w:color w:val="231F20"/>
          <w:spacing w:val="-2"/>
        </w:rPr>
        <w:t>permission.</w:t>
      </w:r>
    </w:p>
    <w:p>
      <w:pPr>
        <w:pStyle w:val="Heading4"/>
        <w:spacing w:before="197"/>
        <w:ind w:left="2472"/>
      </w:pPr>
      <w:r>
        <w:rPr>
          <w:color w:val="231F20"/>
          <w:spacing w:val="-2"/>
        </w:rPr>
        <w:t>Procedure</w:t>
      </w:r>
    </w:p>
    <w:p>
      <w:pPr>
        <w:pStyle w:val="ListParagraph"/>
        <w:numPr>
          <w:ilvl w:val="0"/>
          <w:numId w:val="93"/>
        </w:numPr>
        <w:tabs>
          <w:tab w:pos="2787" w:val="left" w:leader="none"/>
        </w:tabs>
        <w:spacing w:line="240" w:lineRule="auto" w:before="39" w:after="0"/>
        <w:ind w:left="2787" w:right="0" w:hanging="315"/>
        <w:jc w:val="left"/>
        <w:rPr>
          <w:sz w:val="20"/>
        </w:rPr>
      </w:pPr>
      <w:r>
        <w:rPr>
          <w:color w:val="231F20"/>
          <w:sz w:val="20"/>
        </w:rPr>
        <w:t>Complete</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steps</w:t>
      </w:r>
      <w:r>
        <w:rPr>
          <w:color w:val="231F20"/>
          <w:spacing w:val="11"/>
          <w:sz w:val="20"/>
        </w:rPr>
        <w:t> </w:t>
      </w:r>
      <w:r>
        <w:rPr>
          <w:color w:val="231F20"/>
          <w:sz w:val="20"/>
        </w:rPr>
        <w:t>to</w:t>
      </w:r>
      <w:r>
        <w:rPr>
          <w:color w:val="231F20"/>
          <w:spacing w:val="12"/>
          <w:sz w:val="20"/>
        </w:rPr>
        <w:t> </w:t>
      </w: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Query</w:t>
      </w:r>
      <w:r>
        <w:rPr>
          <w:color w:val="231F20"/>
          <w:spacing w:val="12"/>
          <w:sz w:val="20"/>
        </w:rPr>
        <w:t> </w:t>
      </w:r>
      <w:r>
        <w:rPr>
          <w:color w:val="231F20"/>
          <w:spacing w:val="-2"/>
          <w:sz w:val="20"/>
        </w:rPr>
        <w:t>editor:</w:t>
      </w:r>
    </w:p>
    <w:p>
      <w:pPr>
        <w:spacing w:before="29"/>
        <w:ind w:left="2788" w:right="0" w:firstLine="0"/>
        <w:jc w:val="left"/>
        <w:rPr>
          <w:sz w:val="20"/>
        </w:rPr>
      </w:pPr>
      <w:r>
        <w:rPr>
          <w:rFonts w:ascii="Futura MdCn BT"/>
          <w:color w:val="231F20"/>
          <w:sz w:val="20"/>
        </w:rPr>
        <w:t>v</w:t>
      </w:r>
      <w:r>
        <w:rPr>
          <w:rFonts w:ascii="Futura MdCn BT"/>
          <w:color w:val="231F20"/>
          <w:spacing w:val="33"/>
          <w:sz w:val="20"/>
        </w:rPr>
        <w:t>  </w:t>
      </w:r>
      <w:r>
        <w:rPr>
          <w:color w:val="231F20"/>
          <w:sz w:val="20"/>
        </w:rPr>
        <w:t>Click</w:t>
      </w:r>
      <w:r>
        <w:rPr>
          <w:color w:val="231F20"/>
          <w:spacing w:val="26"/>
          <w:sz w:val="20"/>
        </w:rPr>
        <w:t> </w:t>
      </w:r>
      <w:r>
        <w:rPr>
          <w:color w:val="231F20"/>
          <w:spacing w:val="-24"/>
          <w:position w:val="-1"/>
          <w:sz w:val="20"/>
        </w:rPr>
        <w:drawing>
          <wp:inline distT="0" distB="0" distL="0" distR="0">
            <wp:extent cx="95250" cy="101600"/>
            <wp:effectExtent l="0" t="0" r="0" b="0"/>
            <wp:docPr id="1767" name="Image 1767"/>
            <wp:cNvGraphicFramePr>
              <a:graphicFrameLocks/>
            </wp:cNvGraphicFramePr>
            <a:graphic>
              <a:graphicData uri="http://schemas.openxmlformats.org/drawingml/2006/picture">
                <pic:pic>
                  <pic:nvPicPr>
                    <pic:cNvPr id="1767" name="Image 1767"/>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60"/>
          <w:w w:val="150"/>
          <w:sz w:val="20"/>
        </w:rPr>
        <w:t> </w:t>
      </w:r>
      <w:r>
        <w:rPr>
          <w:rFonts w:ascii="Book Antiqua"/>
          <w:b/>
          <w:color w:val="231F20"/>
          <w:sz w:val="20"/>
        </w:rPr>
        <w:t>Query</w:t>
      </w:r>
      <w:r>
        <w:rPr>
          <w:rFonts w:ascii="Book Antiqua"/>
          <w:b/>
          <w:color w:val="231F20"/>
          <w:spacing w:val="15"/>
          <w:sz w:val="20"/>
        </w:rPr>
        <w:t> </w:t>
      </w:r>
      <w:r>
        <w:rPr>
          <w:rFonts w:ascii="Book Antiqua"/>
          <w:b/>
          <w:color w:val="231F20"/>
          <w:spacing w:val="-2"/>
          <w:sz w:val="20"/>
        </w:rPr>
        <w:t>Editor</w:t>
      </w:r>
      <w:r>
        <w:rPr>
          <w:color w:val="231F20"/>
          <w:spacing w:val="-2"/>
          <w:sz w:val="20"/>
        </w:rPr>
        <w:t>.</w:t>
      </w:r>
    </w:p>
    <w:p>
      <w:pPr>
        <w:spacing w:before="30"/>
        <w:ind w:left="2788" w:right="0" w:firstLine="0"/>
        <w:jc w:val="left"/>
        <w:rPr>
          <w:sz w:val="20"/>
        </w:rPr>
      </w:pPr>
      <w:r>
        <w:rPr>
          <w:rFonts w:ascii="Futura MdCn BT"/>
          <w:color w:val="231F20"/>
          <w:sz w:val="20"/>
        </w:rPr>
        <w:t>v</w:t>
      </w:r>
      <w:r>
        <w:rPr>
          <w:rFonts w:ascii="Futura MdCn BT"/>
          <w:color w:val="231F20"/>
          <w:spacing w:val="32"/>
          <w:sz w:val="20"/>
        </w:rPr>
        <w:t>  </w:t>
      </w:r>
      <w:r>
        <w:rPr>
          <w:color w:val="231F20"/>
          <w:sz w:val="20"/>
        </w:rPr>
        <w:t>In</w:t>
      </w:r>
      <w:r>
        <w:rPr>
          <w:color w:val="231F20"/>
          <w:spacing w:val="14"/>
          <w:sz w:val="20"/>
        </w:rPr>
        <w:t> </w:t>
      </w:r>
      <w:r>
        <w:rPr>
          <w:color w:val="231F20"/>
          <w:sz w:val="20"/>
        </w:rPr>
        <w:t>the</w:t>
      </w:r>
      <w:r>
        <w:rPr>
          <w:color w:val="231F20"/>
          <w:spacing w:val="13"/>
          <w:sz w:val="20"/>
        </w:rPr>
        <w:t> </w:t>
      </w:r>
      <w:r>
        <w:rPr>
          <w:color w:val="231F20"/>
          <w:sz w:val="20"/>
        </w:rPr>
        <w:t>view</w:t>
      </w:r>
      <w:r>
        <w:rPr>
          <w:color w:val="231F20"/>
          <w:spacing w:val="13"/>
          <w:sz w:val="20"/>
        </w:rPr>
        <w:t> </w:t>
      </w:r>
      <w:r>
        <w:rPr>
          <w:color w:val="231F20"/>
          <w:sz w:val="20"/>
        </w:rPr>
        <w:t>whose</w:t>
      </w:r>
      <w:r>
        <w:rPr>
          <w:color w:val="231F20"/>
          <w:spacing w:val="14"/>
          <w:sz w:val="20"/>
        </w:rPr>
        <w:t> </w:t>
      </w:r>
      <w:r>
        <w:rPr>
          <w:color w:val="231F20"/>
          <w:sz w:val="20"/>
        </w:rPr>
        <w:t>query</w:t>
      </w:r>
      <w:r>
        <w:rPr>
          <w:color w:val="231F20"/>
          <w:spacing w:val="13"/>
          <w:sz w:val="20"/>
        </w:rPr>
        <w:t> </w:t>
      </w:r>
      <w:r>
        <w:rPr>
          <w:color w:val="231F20"/>
          <w:sz w:val="20"/>
        </w:rPr>
        <w:t>you</w:t>
      </w:r>
      <w:r>
        <w:rPr>
          <w:color w:val="231F20"/>
          <w:spacing w:val="13"/>
          <w:sz w:val="20"/>
        </w:rPr>
        <w:t> </w:t>
      </w:r>
      <w:r>
        <w:rPr>
          <w:color w:val="231F20"/>
          <w:sz w:val="20"/>
        </w:rPr>
        <w:t>want</w:t>
      </w:r>
      <w:r>
        <w:rPr>
          <w:color w:val="231F20"/>
          <w:spacing w:val="13"/>
          <w:sz w:val="20"/>
        </w:rPr>
        <w:t> </w:t>
      </w:r>
      <w:r>
        <w:rPr>
          <w:color w:val="231F20"/>
          <w:sz w:val="20"/>
        </w:rPr>
        <w:t>to</w:t>
      </w:r>
      <w:r>
        <w:rPr>
          <w:color w:val="231F20"/>
          <w:spacing w:val="14"/>
          <w:sz w:val="20"/>
        </w:rPr>
        <w:t> </w:t>
      </w:r>
      <w:r>
        <w:rPr>
          <w:color w:val="231F20"/>
          <w:sz w:val="20"/>
        </w:rPr>
        <w:t>edit,</w:t>
      </w:r>
      <w:r>
        <w:rPr>
          <w:color w:val="231F20"/>
          <w:spacing w:val="13"/>
          <w:sz w:val="20"/>
        </w:rPr>
        <w:t> </w:t>
      </w:r>
      <w:r>
        <w:rPr>
          <w:color w:val="231F20"/>
          <w:sz w:val="20"/>
        </w:rPr>
        <w:t>click</w:t>
      </w:r>
      <w:r>
        <w:rPr>
          <w:color w:val="231F20"/>
          <w:spacing w:val="51"/>
          <w:sz w:val="20"/>
        </w:rPr>
        <w:t> </w:t>
      </w:r>
      <w:r>
        <w:rPr>
          <w:color w:val="231F20"/>
          <w:spacing w:val="5"/>
          <w:position w:val="1"/>
          <w:sz w:val="20"/>
        </w:rPr>
        <w:drawing>
          <wp:inline distT="0" distB="0" distL="0" distR="0">
            <wp:extent cx="57150" cy="57150"/>
            <wp:effectExtent l="0" t="0" r="0" b="0"/>
            <wp:docPr id="1768" name="Image 1768"/>
            <wp:cNvGraphicFramePr>
              <a:graphicFrameLocks/>
            </wp:cNvGraphicFramePr>
            <a:graphic>
              <a:graphicData uri="http://schemas.openxmlformats.org/drawingml/2006/picture">
                <pic:pic>
                  <pic:nvPicPr>
                    <pic:cNvPr id="1768" name="Image 1768"/>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20"/>
          <w:sz w:val="20"/>
        </w:rPr>
        <w:t> </w:t>
      </w:r>
      <w:r>
        <w:rPr>
          <w:rFonts w:ascii="Book Antiqua"/>
          <w:b/>
          <w:color w:val="231F20"/>
          <w:sz w:val="20"/>
        </w:rPr>
        <w:t>Edit</w:t>
      </w:r>
      <w:r>
        <w:rPr>
          <w:rFonts w:ascii="Book Antiqua"/>
          <w:b/>
          <w:color w:val="231F20"/>
          <w:spacing w:val="14"/>
          <w:sz w:val="20"/>
        </w:rPr>
        <w:t> </w:t>
      </w:r>
      <w:r>
        <w:rPr>
          <w:rFonts w:ascii="Book Antiqua"/>
          <w:b/>
          <w:color w:val="231F20"/>
          <w:spacing w:val="-2"/>
          <w:sz w:val="20"/>
        </w:rPr>
        <w:t>Properties</w:t>
      </w:r>
      <w:r>
        <w:rPr>
          <w:color w:val="231F20"/>
          <w:spacing w:val="-2"/>
          <w:sz w:val="20"/>
        </w:rPr>
        <w:t>.</w:t>
      </w:r>
    </w:p>
    <w:p>
      <w:pPr>
        <w:pStyle w:val="BodyText"/>
        <w:spacing w:before="29"/>
        <w:ind w:left="2788"/>
      </w:pPr>
      <w:r>
        <w:rPr>
          <w:rFonts w:ascii="Futura MdCn BT"/>
          <w:color w:val="231F20"/>
        </w:rPr>
        <w:t>v</w:t>
      </w:r>
      <w:r>
        <w:rPr>
          <w:rFonts w:ascii="Futura MdCn BT"/>
          <w:color w:val="231F20"/>
          <w:spacing w:val="31"/>
        </w:rPr>
        <w:t>  </w:t>
      </w:r>
      <w:r>
        <w:rPr>
          <w:color w:val="231F20"/>
        </w:rPr>
        <w:t>Click</w:t>
      </w:r>
      <w:r>
        <w:rPr>
          <w:color w:val="231F20"/>
          <w:spacing w:val="11"/>
        </w:rPr>
        <w:t> </w:t>
      </w:r>
      <w:r>
        <w:rPr>
          <w:color w:val="231F20"/>
          <w:spacing w:val="16"/>
          <w:position w:val="-1"/>
        </w:rPr>
        <w:drawing>
          <wp:inline distT="0" distB="0" distL="0" distR="0">
            <wp:extent cx="101600" cy="95250"/>
            <wp:effectExtent l="0" t="0" r="0" b="0"/>
            <wp:docPr id="1769" name="Image 1769"/>
            <wp:cNvGraphicFramePr>
              <a:graphicFrameLocks/>
            </wp:cNvGraphicFramePr>
            <a:graphic>
              <a:graphicData uri="http://schemas.openxmlformats.org/drawingml/2006/picture">
                <pic:pic>
                  <pic:nvPicPr>
                    <pic:cNvPr id="1769" name="Image 1769"/>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3"/>
        </w:rPr>
        <w:t> </w:t>
      </w:r>
      <w:r>
        <w:rPr>
          <w:rFonts w:ascii="Book Antiqua"/>
          <w:b/>
          <w:color w:val="231F20"/>
        </w:rPr>
        <w:t>Properties</w:t>
      </w:r>
      <w:r>
        <w:rPr>
          <w:rFonts w:ascii="Book Antiqua"/>
          <w:b/>
          <w:color w:val="231F20"/>
          <w:spacing w:val="12"/>
        </w:rPr>
        <w:t> </w:t>
      </w:r>
      <w:r>
        <w:rPr>
          <w:color w:val="231F20"/>
        </w:rPr>
        <w:t>and</w:t>
      </w:r>
      <w:r>
        <w:rPr>
          <w:color w:val="231F20"/>
          <w:spacing w:val="12"/>
        </w:rPr>
        <w:t> </w:t>
      </w:r>
      <w:r>
        <w:rPr>
          <w:color w:val="231F20"/>
        </w:rPr>
        <w:t>select</w:t>
      </w:r>
      <w:r>
        <w:rPr>
          <w:color w:val="231F20"/>
          <w:spacing w:val="11"/>
        </w:rPr>
        <w:t> </w:t>
      </w:r>
      <w:r>
        <w:rPr>
          <w:color w:val="231F20"/>
        </w:rPr>
        <w:t>the</w:t>
      </w:r>
      <w:r>
        <w:rPr>
          <w:color w:val="231F20"/>
          <w:spacing w:val="12"/>
        </w:rPr>
        <w:t> </w:t>
      </w:r>
      <w:r>
        <w:rPr>
          <w:color w:val="231F20"/>
        </w:rPr>
        <w:t>view</w:t>
      </w:r>
      <w:r>
        <w:rPr>
          <w:color w:val="231F20"/>
          <w:spacing w:val="12"/>
        </w:rPr>
        <w:t> </w:t>
      </w:r>
      <w:r>
        <w:rPr>
          <w:color w:val="231F20"/>
        </w:rPr>
        <w:t>from</w:t>
      </w:r>
      <w:r>
        <w:rPr>
          <w:color w:val="231F20"/>
          <w:spacing w:val="12"/>
        </w:rPr>
        <w:t> </w:t>
      </w:r>
      <w:r>
        <w:rPr>
          <w:color w:val="231F20"/>
        </w:rPr>
        <w:t>the</w:t>
      </w:r>
      <w:r>
        <w:rPr>
          <w:color w:val="231F20"/>
          <w:spacing w:val="12"/>
        </w:rPr>
        <w:t> </w:t>
      </w:r>
      <w:r>
        <w:rPr>
          <w:color w:val="231F20"/>
        </w:rPr>
        <w:t>Properties</w:t>
      </w:r>
      <w:r>
        <w:rPr>
          <w:color w:val="231F20"/>
          <w:spacing w:val="11"/>
        </w:rPr>
        <w:t> </w:t>
      </w:r>
      <w:r>
        <w:rPr>
          <w:color w:val="231F20"/>
          <w:spacing w:val="-2"/>
        </w:rPr>
        <w:t>tree.</w:t>
      </w:r>
    </w:p>
    <w:p>
      <w:pPr>
        <w:pStyle w:val="ListParagraph"/>
        <w:numPr>
          <w:ilvl w:val="0"/>
          <w:numId w:val="93"/>
        </w:numPr>
        <w:tabs>
          <w:tab w:pos="2788" w:val="left" w:leader="none"/>
          <w:tab w:pos="2827" w:val="left" w:leader="none"/>
        </w:tabs>
        <w:spacing w:line="213" w:lineRule="auto" w:before="53" w:after="0"/>
        <w:ind w:left="2788" w:right="481" w:hanging="316"/>
        <w:jc w:val="left"/>
        <w:rPr>
          <w:sz w:val="20"/>
        </w:rPr>
      </w:pPr>
      <w:r>
        <w:rPr>
          <w:rFonts w:ascii="Arial"/>
          <w:color w:val="231F20"/>
          <w:sz w:val="20"/>
        </w:rPr>
        <w:tab/>
      </w:r>
      <w:r>
        <w:rPr>
          <w:rFonts w:ascii="Arial"/>
          <w:color w:val="231F20"/>
          <w:spacing w:val="22"/>
          <w:sz w:val="20"/>
        </w:rPr>
        <w:drawing>
          <wp:inline distT="0" distB="0" distL="0" distR="0">
            <wp:extent cx="69850" cy="69850"/>
            <wp:effectExtent l="0" t="0" r="0" b="0"/>
            <wp:docPr id="1770" name="Image 1770"/>
            <wp:cNvGraphicFramePr>
              <a:graphicFrameLocks/>
            </wp:cNvGraphicFramePr>
            <a:graphic>
              <a:graphicData uri="http://schemas.openxmlformats.org/drawingml/2006/picture">
                <pic:pic>
                  <pic:nvPicPr>
                    <pic:cNvPr id="1770" name="Image 1770"/>
                    <pic:cNvPicPr/>
                  </pic:nvPicPr>
                  <pic:blipFill>
                    <a:blip r:embed="rId89" cstate="print"/>
                    <a:stretch>
                      <a:fillRect/>
                    </a:stretch>
                  </pic:blipFill>
                  <pic:spPr>
                    <a:xfrm>
                      <a:off x="0" y="0"/>
                      <a:ext cx="69850" cy="69850"/>
                    </a:xfrm>
                    <a:prstGeom prst="rect">
                      <a:avLst/>
                    </a:prstGeom>
                  </pic:spPr>
                </pic:pic>
              </a:graphicData>
            </a:graphic>
          </wp:inline>
        </w:drawing>
      </w:r>
      <w:r>
        <w:rPr>
          <w:rFonts w:ascii="Arial"/>
          <w:color w:val="231F20"/>
          <w:spacing w:val="22"/>
          <w:sz w:val="20"/>
        </w:rPr>
      </w:r>
      <w:r>
        <w:rPr>
          <w:rFonts w:ascii="Times New Roman"/>
          <w:color w:val="231F20"/>
          <w:spacing w:val="78"/>
          <w:sz w:val="20"/>
        </w:rPr>
        <w:t> </w:t>
      </w:r>
      <w:r>
        <w:rPr>
          <w:color w:val="231F20"/>
          <w:sz w:val="20"/>
        </w:rPr>
        <w:t>Expand the</w:t>
      </w:r>
      <w:r>
        <w:rPr>
          <w:color w:val="231F20"/>
          <w:spacing w:val="18"/>
          <w:sz w:val="20"/>
        </w:rPr>
        <w:t> </w:t>
      </w:r>
      <w:r>
        <w:rPr>
          <w:color w:val="231F20"/>
          <w:spacing w:val="-24"/>
          <w:position w:val="-1"/>
          <w:sz w:val="20"/>
        </w:rPr>
        <w:drawing>
          <wp:inline distT="0" distB="0" distL="0" distR="0">
            <wp:extent cx="95250" cy="95250"/>
            <wp:effectExtent l="0" t="0" r="0" b="0"/>
            <wp:docPr id="1771" name="Image 1771"/>
            <wp:cNvGraphicFramePr>
              <a:graphicFrameLocks/>
            </wp:cNvGraphicFramePr>
            <a:graphic>
              <a:graphicData uri="http://schemas.openxmlformats.org/drawingml/2006/picture">
                <pic:pic>
                  <pic:nvPicPr>
                    <pic:cNvPr id="1771" name="Image 1771"/>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5"/>
          <w:sz w:val="20"/>
        </w:rPr>
        <w:t> </w:t>
      </w:r>
      <w:r>
        <w:rPr>
          <w:color w:val="231F20"/>
          <w:sz w:val="20"/>
        </w:rPr>
        <w:t>Tivoli Enterprise Monitoring Agents and</w:t>
      </w:r>
      <w:r>
        <w:rPr>
          <w:color w:val="231F20"/>
          <w:spacing w:val="17"/>
          <w:sz w:val="20"/>
        </w:rPr>
        <w:t> </w:t>
      </w:r>
      <w:r>
        <w:rPr>
          <w:color w:val="231F20"/>
          <w:spacing w:val="-25"/>
          <w:position w:val="-1"/>
          <w:sz w:val="20"/>
        </w:rPr>
        <w:drawing>
          <wp:inline distT="0" distB="0" distL="0" distR="0">
            <wp:extent cx="88900" cy="101600"/>
            <wp:effectExtent l="0" t="0" r="0" b="0"/>
            <wp:docPr id="1772" name="Image 1772"/>
            <wp:cNvGraphicFramePr>
              <a:graphicFrameLocks/>
            </wp:cNvGraphicFramePr>
            <a:graphic>
              <a:graphicData uri="http://schemas.openxmlformats.org/drawingml/2006/picture">
                <pic:pic>
                  <pic:nvPicPr>
                    <pic:cNvPr id="1772" name="Image 177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sz w:val="20"/>
        </w:rPr>
      </w:r>
      <w:r>
        <w:rPr>
          <w:rFonts w:ascii="Times New Roman"/>
          <w:color w:val="231F20"/>
          <w:spacing w:val="25"/>
          <w:sz w:val="20"/>
        </w:rPr>
        <w:t> </w:t>
      </w:r>
      <w:r>
        <w:rPr>
          <w:color w:val="231F20"/>
          <w:sz w:val="20"/>
        </w:rPr>
        <w:t>attribute </w:t>
      </w:r>
      <w:r>
        <w:rPr>
          <w:color w:val="231F20"/>
          <w:sz w:val="20"/>
        </w:rPr>
        <w:t>group folders to see the queries.</w:t>
      </w:r>
    </w:p>
    <w:p>
      <w:pPr>
        <w:pStyle w:val="ListParagraph"/>
        <w:numPr>
          <w:ilvl w:val="0"/>
          <w:numId w:val="93"/>
        </w:numPr>
        <w:tabs>
          <w:tab w:pos="2786" w:val="left" w:leader="none"/>
          <w:tab w:pos="2788" w:val="left" w:leader="none"/>
        </w:tabs>
        <w:spacing w:line="213" w:lineRule="auto" w:before="59" w:after="0"/>
        <w:ind w:left="2788" w:right="298" w:hanging="317"/>
        <w:jc w:val="left"/>
        <w:rPr>
          <w:sz w:val="20"/>
        </w:rPr>
      </w:pPr>
      <w:r>
        <w:rPr>
          <w:color w:val="231F20"/>
          <w:sz w:val="20"/>
        </w:rPr>
        <w:t>Select the</w:t>
      </w:r>
      <w:r>
        <w:rPr>
          <w:color w:val="231F20"/>
          <w:spacing w:val="20"/>
          <w:sz w:val="20"/>
        </w:rPr>
        <w:t> </w:t>
      </w:r>
      <w:r>
        <w:rPr>
          <w:color w:val="231F20"/>
          <w:spacing w:val="-24"/>
          <w:position w:val="-1"/>
          <w:sz w:val="20"/>
        </w:rPr>
        <w:drawing>
          <wp:inline distT="0" distB="0" distL="0" distR="0">
            <wp:extent cx="95250" cy="101600"/>
            <wp:effectExtent l="0" t="0" r="0" b="0"/>
            <wp:docPr id="1773" name="Image 1773"/>
            <wp:cNvGraphicFramePr>
              <a:graphicFrameLocks/>
            </wp:cNvGraphicFramePr>
            <a:graphic>
              <a:graphicData uri="http://schemas.openxmlformats.org/drawingml/2006/picture">
                <pic:pic>
                  <pic:nvPicPr>
                    <pic:cNvPr id="1773" name="Image 1773"/>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9"/>
          <w:sz w:val="20"/>
        </w:rPr>
        <w:t> </w:t>
      </w:r>
      <w:r>
        <w:rPr>
          <w:color w:val="231F20"/>
          <w:sz w:val="20"/>
        </w:rPr>
        <w:t>Query that you want to edit. The query specification is </w:t>
      </w:r>
      <w:r>
        <w:rPr>
          <w:color w:val="231F20"/>
          <w:sz w:val="20"/>
        </w:rPr>
        <w:t>displayed in the right frame.</w:t>
      </w:r>
    </w:p>
    <w:p>
      <w:pPr>
        <w:pStyle w:val="ListParagraph"/>
        <w:numPr>
          <w:ilvl w:val="0"/>
          <w:numId w:val="93"/>
        </w:numPr>
        <w:tabs>
          <w:tab w:pos="2787" w:val="left" w:leader="none"/>
        </w:tabs>
        <w:spacing w:line="240" w:lineRule="auto" w:before="35" w:after="0"/>
        <w:ind w:left="2787" w:right="0" w:hanging="315"/>
        <w:jc w:val="left"/>
        <w:rPr>
          <w:sz w:val="20"/>
        </w:rPr>
      </w:pPr>
      <w:r>
        <w:rPr>
          <w:color w:val="231F20"/>
          <w:sz w:val="20"/>
        </w:rPr>
        <w:t>Edit</w:t>
      </w:r>
      <w:r>
        <w:rPr>
          <w:color w:val="231F20"/>
          <w:spacing w:val="11"/>
          <w:sz w:val="20"/>
        </w:rPr>
        <w:t> </w:t>
      </w:r>
      <w:r>
        <w:rPr>
          <w:color w:val="231F20"/>
          <w:sz w:val="20"/>
        </w:rPr>
        <w:t>the</w:t>
      </w:r>
      <w:r>
        <w:rPr>
          <w:color w:val="231F20"/>
          <w:spacing w:val="12"/>
          <w:sz w:val="20"/>
        </w:rPr>
        <w:t> </w:t>
      </w:r>
      <w:r>
        <w:rPr>
          <w:color w:val="231F20"/>
          <w:sz w:val="20"/>
        </w:rPr>
        <w:t>specification</w:t>
      </w:r>
      <w:r>
        <w:rPr>
          <w:color w:val="231F20"/>
          <w:spacing w:val="11"/>
          <w:sz w:val="20"/>
        </w:rPr>
        <w:t> </w:t>
      </w:r>
      <w:r>
        <w:rPr>
          <w:color w:val="231F20"/>
          <w:sz w:val="20"/>
        </w:rPr>
        <w:t>for</w:t>
      </w:r>
      <w:r>
        <w:rPr>
          <w:color w:val="231F20"/>
          <w:spacing w:val="12"/>
          <w:sz w:val="20"/>
        </w:rPr>
        <w:t> </w:t>
      </w:r>
      <w:r>
        <w:rPr>
          <w:color w:val="231F20"/>
          <w:sz w:val="20"/>
        </w:rPr>
        <w:t>any</w:t>
      </w:r>
      <w:r>
        <w:rPr>
          <w:color w:val="231F20"/>
          <w:spacing w:val="11"/>
          <w:sz w:val="20"/>
        </w:rPr>
        <w:t> </w:t>
      </w:r>
      <w:r>
        <w:rPr>
          <w:color w:val="231F20"/>
          <w:sz w:val="20"/>
        </w:rPr>
        <w:t>changes</w:t>
      </w:r>
      <w:r>
        <w:rPr>
          <w:color w:val="231F20"/>
          <w:spacing w:val="12"/>
          <w:sz w:val="20"/>
        </w:rPr>
        <w:t> </w:t>
      </w:r>
      <w:r>
        <w:rPr>
          <w:color w:val="231F20"/>
          <w:sz w:val="20"/>
        </w:rPr>
        <w:t>you</w:t>
      </w:r>
      <w:r>
        <w:rPr>
          <w:color w:val="231F20"/>
          <w:spacing w:val="11"/>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pacing w:val="-2"/>
          <w:sz w:val="20"/>
        </w:rPr>
        <w:t>make.</w:t>
      </w:r>
    </w:p>
    <w:p>
      <w:pPr>
        <w:pStyle w:val="BodyText"/>
        <w:spacing w:before="29"/>
        <w:ind w:left="2788"/>
      </w:pPr>
      <w:r>
        <w:rPr>
          <w:rFonts w:ascii="Futura MdCn BT"/>
          <w:color w:val="231F20"/>
        </w:rPr>
        <w:t>v</w:t>
      </w:r>
      <w:r>
        <w:rPr>
          <w:rFonts w:ascii="Futura MdCn BT"/>
          <w:color w:val="231F20"/>
          <w:spacing w:val="31"/>
        </w:rPr>
        <w:t>  </w:t>
      </w:r>
      <w:r>
        <w:rPr>
          <w:color w:val="231F20"/>
        </w:rPr>
        <w:t>For</w:t>
      </w:r>
      <w:r>
        <w:rPr>
          <w:color w:val="231F20"/>
          <w:spacing w:val="14"/>
        </w:rPr>
        <w:t> </w:t>
      </w:r>
      <w:r>
        <w:rPr>
          <w:color w:val="231F20"/>
        </w:rPr>
        <w:t>monitoring</w:t>
      </w:r>
      <w:r>
        <w:rPr>
          <w:color w:val="231F20"/>
          <w:spacing w:val="12"/>
        </w:rPr>
        <w:t> </w:t>
      </w:r>
      <w:r>
        <w:rPr>
          <w:color w:val="231F20"/>
        </w:rPr>
        <w:t>server</w:t>
      </w:r>
      <w:r>
        <w:rPr>
          <w:color w:val="231F20"/>
          <w:spacing w:val="12"/>
        </w:rPr>
        <w:t> </w:t>
      </w:r>
      <w:r>
        <w:rPr>
          <w:color w:val="231F20"/>
          <w:spacing w:val="-2"/>
        </w:rPr>
        <w:t>queries:</w:t>
      </w:r>
    </w:p>
    <w:p>
      <w:pPr>
        <w:pStyle w:val="Heading6"/>
        <w:spacing w:before="112"/>
        <w:ind w:left="3004"/>
      </w:pPr>
      <w:r>
        <w:rPr>
          <w:color w:val="231F20"/>
        </w:rPr>
        <w:t>Add</w:t>
      </w:r>
      <w:r>
        <w:rPr>
          <w:color w:val="231F20"/>
          <w:spacing w:val="12"/>
        </w:rPr>
        <w:t> </w:t>
      </w:r>
      <w:r>
        <w:rPr>
          <w:color w:val="231F20"/>
        </w:rPr>
        <w:t>an</w:t>
      </w:r>
      <w:r>
        <w:rPr>
          <w:color w:val="231F20"/>
          <w:spacing w:val="12"/>
        </w:rPr>
        <w:t> </w:t>
      </w:r>
      <w:r>
        <w:rPr>
          <w:color w:val="231F20"/>
        </w:rPr>
        <w:t>attribute</w:t>
      </w:r>
      <w:r>
        <w:rPr>
          <w:color w:val="231F20"/>
          <w:spacing w:val="12"/>
        </w:rPr>
        <w:t> </w:t>
      </w:r>
      <w:r>
        <w:rPr>
          <w:color w:val="231F20"/>
        </w:rPr>
        <w:t>to</w:t>
      </w:r>
      <w:r>
        <w:rPr>
          <w:color w:val="231F20"/>
          <w:spacing w:val="12"/>
        </w:rPr>
        <w:t> </w:t>
      </w:r>
      <w:r>
        <w:rPr>
          <w:color w:val="231F20"/>
        </w:rPr>
        <w:t>the</w:t>
      </w:r>
      <w:r>
        <w:rPr>
          <w:color w:val="231F20"/>
          <w:spacing w:val="13"/>
        </w:rPr>
        <w:t> </w:t>
      </w:r>
      <w:r>
        <w:rPr>
          <w:color w:val="231F20"/>
          <w:spacing w:val="-2"/>
        </w:rPr>
        <w:t>query</w:t>
      </w:r>
    </w:p>
    <w:p>
      <w:pPr>
        <w:pStyle w:val="BodyText"/>
        <w:spacing w:line="213" w:lineRule="auto" w:before="11"/>
        <w:ind w:left="3722" w:right="545"/>
      </w:pPr>
      <w:r>
        <w:rPr>
          <w:color w:val="231F20"/>
        </w:rPr>
        <w:t>Click </w:t>
      </w:r>
      <w:r>
        <w:rPr>
          <w:rFonts w:ascii="Book Antiqua"/>
          <w:b/>
          <w:color w:val="231F20"/>
        </w:rPr>
        <w:t>Add Attributes </w:t>
      </w:r>
      <w:r>
        <w:rPr>
          <w:color w:val="231F20"/>
        </w:rPr>
        <w:t>and select the attributes to include. The attributes available are from the group used in the original </w:t>
      </w:r>
      <w:r>
        <w:rPr>
          <w:color w:val="231F20"/>
        </w:rPr>
        <w:t>query.</w:t>
      </w:r>
    </w:p>
    <w:p>
      <w:pPr>
        <w:pStyle w:val="Heading6"/>
        <w:ind w:left="3004"/>
      </w:pPr>
      <w:r>
        <w:rPr>
          <w:color w:val="231F20"/>
        </w:rPr>
        <w:t>Remove</w:t>
      </w:r>
      <w:r>
        <w:rPr>
          <w:color w:val="231F20"/>
          <w:spacing w:val="11"/>
        </w:rPr>
        <w:t> </w:t>
      </w:r>
      <w:r>
        <w:rPr>
          <w:color w:val="231F20"/>
        </w:rPr>
        <w:t>an</w:t>
      </w:r>
      <w:r>
        <w:rPr>
          <w:color w:val="231F20"/>
          <w:spacing w:val="11"/>
        </w:rPr>
        <w:t> </w:t>
      </w:r>
      <w:r>
        <w:rPr>
          <w:color w:val="231F20"/>
          <w:spacing w:val="-2"/>
        </w:rPr>
        <w:t>attribute</w:t>
      </w:r>
    </w:p>
    <w:p>
      <w:pPr>
        <w:pStyle w:val="BodyText"/>
        <w:spacing w:line="213" w:lineRule="auto" w:before="12"/>
        <w:ind w:left="3722" w:right="643"/>
      </w:pPr>
      <w:r>
        <w:rPr>
          <w:color w:val="231F20"/>
        </w:rPr>
        <w:t>Right-click the column heading and click</w:t>
      </w:r>
      <w:r>
        <w:rPr>
          <w:color w:val="231F20"/>
          <w:spacing w:val="15"/>
        </w:rPr>
        <w:t> </w:t>
      </w:r>
      <w:r>
        <w:rPr>
          <w:color w:val="231F20"/>
          <w:spacing w:val="-25"/>
          <w:position w:val="-1"/>
        </w:rPr>
        <w:drawing>
          <wp:inline distT="0" distB="0" distL="0" distR="0">
            <wp:extent cx="95250" cy="101600"/>
            <wp:effectExtent l="0" t="0" r="0" b="0"/>
            <wp:docPr id="1774" name="Image 1774"/>
            <wp:cNvGraphicFramePr>
              <a:graphicFrameLocks/>
            </wp:cNvGraphicFramePr>
            <a:graphic>
              <a:graphicData uri="http://schemas.openxmlformats.org/drawingml/2006/picture">
                <pic:pic>
                  <pic:nvPicPr>
                    <pic:cNvPr id="1774" name="Image 1774"/>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4"/>
        </w:rPr>
        <w:t> </w:t>
      </w:r>
      <w:r>
        <w:rPr>
          <w:rFonts w:ascii="Book Antiqua"/>
          <w:b/>
          <w:color w:val="231F20"/>
        </w:rPr>
        <w:t>Delete</w:t>
      </w:r>
      <w:r>
        <w:rPr>
          <w:color w:val="231F20"/>
        </w:rPr>
        <w:t>. You can </w:t>
      </w:r>
      <w:r>
        <w:rPr>
          <w:color w:val="231F20"/>
        </w:rPr>
        <w:t>also right-click a row and delete it.</w:t>
      </w:r>
    </w:p>
    <w:p>
      <w:pPr>
        <w:spacing w:after="0" w:line="213" w:lineRule="auto"/>
        <w:sectPr>
          <w:pgSz w:w="12240" w:h="15840"/>
          <w:pgMar w:header="0" w:footer="736" w:top="1180" w:bottom="920" w:left="1000" w:right="1060"/>
        </w:sectPr>
      </w:pPr>
    </w:p>
    <w:p>
      <w:pPr>
        <w:pStyle w:val="Heading6"/>
        <w:spacing w:line="232" w:lineRule="exact" w:before="83"/>
        <w:ind w:left="2764"/>
      </w:pPr>
      <w:r>
        <w:rPr>
          <w:color w:val="231F20"/>
        </w:rPr>
        <w:t>Include</w:t>
      </w:r>
      <w:r>
        <w:rPr>
          <w:color w:val="231F20"/>
          <w:spacing w:val="11"/>
        </w:rPr>
        <w:t> </w:t>
      </w:r>
      <w:r>
        <w:rPr>
          <w:color w:val="231F20"/>
        </w:rPr>
        <w:t>an</w:t>
      </w:r>
      <w:r>
        <w:rPr>
          <w:color w:val="231F20"/>
          <w:spacing w:val="12"/>
        </w:rPr>
        <w:t> </w:t>
      </w:r>
      <w:r>
        <w:rPr>
          <w:color w:val="231F20"/>
        </w:rPr>
        <w:t>attribute</w:t>
      </w:r>
      <w:r>
        <w:rPr>
          <w:color w:val="231F20"/>
          <w:spacing w:val="12"/>
        </w:rPr>
        <w:t> </w:t>
      </w:r>
      <w:r>
        <w:rPr>
          <w:color w:val="231F20"/>
        </w:rPr>
        <w:t>in</w:t>
      </w:r>
      <w:r>
        <w:rPr>
          <w:color w:val="231F20"/>
          <w:spacing w:val="12"/>
        </w:rPr>
        <w:t> </w:t>
      </w:r>
      <w:r>
        <w:rPr>
          <w:color w:val="231F20"/>
        </w:rPr>
        <w:t>the</w:t>
      </w:r>
      <w:r>
        <w:rPr>
          <w:color w:val="231F20"/>
          <w:spacing w:val="11"/>
        </w:rPr>
        <w:t> </w:t>
      </w:r>
      <w:r>
        <w:rPr>
          <w:color w:val="231F20"/>
        </w:rPr>
        <w:t>filter</w:t>
      </w:r>
      <w:r>
        <w:rPr>
          <w:color w:val="231F20"/>
          <w:spacing w:val="12"/>
        </w:rPr>
        <w:t> </w:t>
      </w:r>
      <w:r>
        <w:rPr>
          <w:color w:val="231F20"/>
        </w:rPr>
        <w:t>but</w:t>
      </w:r>
      <w:r>
        <w:rPr>
          <w:color w:val="231F20"/>
          <w:spacing w:val="12"/>
        </w:rPr>
        <w:t> </w:t>
      </w:r>
      <w:r>
        <w:rPr>
          <w:color w:val="231F20"/>
        </w:rPr>
        <w:t>not</w:t>
      </w:r>
      <w:r>
        <w:rPr>
          <w:color w:val="231F20"/>
          <w:spacing w:val="12"/>
        </w:rPr>
        <w:t> </w:t>
      </w:r>
      <w:r>
        <w:rPr>
          <w:color w:val="231F20"/>
        </w:rPr>
        <w:t>retrieve</w:t>
      </w:r>
      <w:r>
        <w:rPr>
          <w:color w:val="231F20"/>
          <w:spacing w:val="11"/>
        </w:rPr>
        <w:t> </w:t>
      </w:r>
      <w:r>
        <w:rPr>
          <w:color w:val="231F20"/>
        </w:rPr>
        <w:t>the</w:t>
      </w:r>
      <w:r>
        <w:rPr>
          <w:color w:val="231F20"/>
          <w:spacing w:val="12"/>
        </w:rPr>
        <w:t> </w:t>
      </w:r>
      <w:r>
        <w:rPr>
          <w:color w:val="231F20"/>
          <w:spacing w:val="-2"/>
        </w:rPr>
        <w:t>value</w:t>
      </w:r>
    </w:p>
    <w:p>
      <w:pPr>
        <w:pStyle w:val="BodyText"/>
        <w:spacing w:line="261" w:lineRule="exact"/>
        <w:ind w:left="3483"/>
      </w:pPr>
      <w:r>
        <w:rPr>
          <w:color w:val="231F20"/>
        </w:rPr>
        <w:t>Clear</w:t>
      </w:r>
      <w:r>
        <w:rPr>
          <w:color w:val="231F20"/>
          <w:spacing w:val="13"/>
        </w:rPr>
        <w:t> </w:t>
      </w:r>
      <w:r>
        <w:rPr>
          <w:color w:val="231F20"/>
        </w:rPr>
        <w:t>the</w:t>
      </w:r>
      <w:r>
        <w:rPr>
          <w:color w:val="231F20"/>
          <w:spacing w:val="13"/>
        </w:rPr>
        <w:t> </w:t>
      </w:r>
      <w:r>
        <w:rPr>
          <w:color w:val="231F20"/>
          <w:spacing w:val="16"/>
        </w:rPr>
        <w:drawing>
          <wp:inline distT="0" distB="0" distL="0" distR="0">
            <wp:extent cx="82550" cy="82550"/>
            <wp:effectExtent l="0" t="0" r="0" b="0"/>
            <wp:docPr id="1775" name="Image 1775"/>
            <wp:cNvGraphicFramePr>
              <a:graphicFrameLocks/>
            </wp:cNvGraphicFramePr>
            <a:graphic>
              <a:graphicData uri="http://schemas.openxmlformats.org/drawingml/2006/picture">
                <pic:pic>
                  <pic:nvPicPr>
                    <pic:cNvPr id="1775" name="Image 1775"/>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55"/>
        </w:rPr>
        <w:t> </w:t>
      </w:r>
      <w:r>
        <w:rPr>
          <w:color w:val="231F20"/>
        </w:rPr>
        <w:t>check</w:t>
      </w:r>
      <w:r>
        <w:rPr>
          <w:color w:val="231F20"/>
          <w:spacing w:val="13"/>
        </w:rPr>
        <w:t> </w:t>
      </w:r>
      <w:r>
        <w:rPr>
          <w:color w:val="231F20"/>
        </w:rPr>
        <w:t>box</w:t>
      </w:r>
      <w:r>
        <w:rPr>
          <w:color w:val="231F20"/>
          <w:spacing w:val="13"/>
        </w:rPr>
        <w:t> </w:t>
      </w:r>
      <w:r>
        <w:rPr>
          <w:color w:val="231F20"/>
        </w:rPr>
        <w:t>for</w:t>
      </w:r>
      <w:r>
        <w:rPr>
          <w:color w:val="231F20"/>
          <w:spacing w:val="14"/>
        </w:rPr>
        <w:t> </w:t>
      </w:r>
      <w:r>
        <w:rPr>
          <w:color w:val="231F20"/>
        </w:rPr>
        <w:t>that</w:t>
      </w:r>
      <w:r>
        <w:rPr>
          <w:color w:val="231F20"/>
          <w:spacing w:val="13"/>
        </w:rPr>
        <w:t> </w:t>
      </w:r>
      <w:r>
        <w:rPr>
          <w:color w:val="231F20"/>
          <w:spacing w:val="-2"/>
        </w:rPr>
        <w:t>column.</w:t>
      </w:r>
    </w:p>
    <w:p>
      <w:pPr>
        <w:pStyle w:val="Heading6"/>
        <w:spacing w:line="232" w:lineRule="exact" w:before="107"/>
        <w:ind w:left="2764"/>
      </w:pPr>
      <w:r>
        <w:rPr>
          <w:color w:val="231F20"/>
        </w:rPr>
        <w:t>Delete</w:t>
      </w:r>
      <w:r>
        <w:rPr>
          <w:color w:val="231F20"/>
          <w:spacing w:val="11"/>
        </w:rPr>
        <w:t> </w:t>
      </w:r>
      <w:r>
        <w:rPr>
          <w:color w:val="231F20"/>
        </w:rPr>
        <w:t>the</w:t>
      </w:r>
      <w:r>
        <w:rPr>
          <w:color w:val="231F20"/>
          <w:spacing w:val="12"/>
        </w:rPr>
        <w:t> </w:t>
      </w:r>
      <w:r>
        <w:rPr>
          <w:color w:val="231F20"/>
        </w:rPr>
        <w:t>filter</w:t>
      </w:r>
      <w:r>
        <w:rPr>
          <w:color w:val="231F20"/>
          <w:spacing w:val="11"/>
        </w:rPr>
        <w:t> </w:t>
      </w:r>
      <w:r>
        <w:rPr>
          <w:color w:val="231F20"/>
          <w:spacing w:val="-2"/>
        </w:rPr>
        <w:t>criteria</w:t>
      </w:r>
    </w:p>
    <w:p>
      <w:pPr>
        <w:spacing w:line="261" w:lineRule="exact" w:before="0"/>
        <w:ind w:left="3483" w:right="0" w:firstLine="0"/>
        <w:jc w:val="left"/>
        <w:rPr>
          <w:sz w:val="20"/>
        </w:rPr>
      </w:pPr>
      <w:r>
        <w:rPr>
          <w:color w:val="231F20"/>
          <w:position w:val="1"/>
          <w:sz w:val="20"/>
        </w:rPr>
        <w:t>Right-click</w:t>
      </w:r>
      <w:r>
        <w:rPr>
          <w:color w:val="231F20"/>
          <w:spacing w:val="8"/>
          <w:position w:val="1"/>
          <w:sz w:val="20"/>
        </w:rPr>
        <w:t> </w:t>
      </w:r>
      <w:r>
        <w:rPr>
          <w:color w:val="231F20"/>
          <w:position w:val="1"/>
          <w:sz w:val="20"/>
        </w:rPr>
        <w:t>the</w:t>
      </w:r>
      <w:r>
        <w:rPr>
          <w:color w:val="231F20"/>
          <w:spacing w:val="12"/>
          <w:position w:val="1"/>
          <w:sz w:val="20"/>
        </w:rPr>
        <w:t> </w:t>
      </w:r>
      <w:r>
        <w:rPr>
          <w:color w:val="231F20"/>
          <w:position w:val="1"/>
          <w:sz w:val="20"/>
        </w:rPr>
        <w:t>cell,</w:t>
      </w:r>
      <w:r>
        <w:rPr>
          <w:color w:val="231F20"/>
          <w:spacing w:val="11"/>
          <w:position w:val="1"/>
          <w:sz w:val="20"/>
        </w:rPr>
        <w:t> </w:t>
      </w:r>
      <w:r>
        <w:rPr>
          <w:color w:val="231F20"/>
          <w:position w:val="1"/>
          <w:sz w:val="20"/>
        </w:rPr>
        <w:t>column,</w:t>
      </w:r>
      <w:r>
        <w:rPr>
          <w:color w:val="231F20"/>
          <w:spacing w:val="11"/>
          <w:position w:val="1"/>
          <w:sz w:val="20"/>
        </w:rPr>
        <w:t> </w:t>
      </w:r>
      <w:r>
        <w:rPr>
          <w:color w:val="231F20"/>
          <w:position w:val="1"/>
          <w:sz w:val="20"/>
        </w:rPr>
        <w:t>or</w:t>
      </w:r>
      <w:r>
        <w:rPr>
          <w:color w:val="231F20"/>
          <w:spacing w:val="11"/>
          <w:position w:val="1"/>
          <w:sz w:val="20"/>
        </w:rPr>
        <w:t> </w:t>
      </w:r>
      <w:r>
        <w:rPr>
          <w:color w:val="231F20"/>
          <w:position w:val="1"/>
          <w:sz w:val="20"/>
        </w:rPr>
        <w:t>row</w:t>
      </w:r>
      <w:r>
        <w:rPr>
          <w:color w:val="231F20"/>
          <w:spacing w:val="12"/>
          <w:position w:val="1"/>
          <w:sz w:val="20"/>
        </w:rPr>
        <w:t> </w:t>
      </w:r>
      <w:r>
        <w:rPr>
          <w:color w:val="231F20"/>
          <w:position w:val="1"/>
          <w:sz w:val="20"/>
        </w:rPr>
        <w:t>and</w:t>
      </w:r>
      <w:r>
        <w:rPr>
          <w:color w:val="231F20"/>
          <w:spacing w:val="11"/>
          <w:position w:val="1"/>
          <w:sz w:val="20"/>
        </w:rPr>
        <w:t> </w:t>
      </w:r>
      <w:r>
        <w:rPr>
          <w:color w:val="231F20"/>
          <w:position w:val="1"/>
          <w:sz w:val="20"/>
        </w:rPr>
        <w:t>click</w:t>
      </w:r>
      <w:r>
        <w:rPr>
          <w:color w:val="231F20"/>
          <w:spacing w:val="10"/>
          <w:position w:val="1"/>
          <w:sz w:val="20"/>
        </w:rPr>
        <w:t> </w:t>
      </w:r>
      <w:r>
        <w:rPr>
          <w:color w:val="231F20"/>
          <w:spacing w:val="15"/>
          <w:sz w:val="20"/>
        </w:rPr>
        <w:drawing>
          <wp:inline distT="0" distB="0" distL="0" distR="0">
            <wp:extent cx="101600" cy="88900"/>
            <wp:effectExtent l="0" t="0" r="0" b="0"/>
            <wp:docPr id="1776" name="Image 1776"/>
            <wp:cNvGraphicFramePr>
              <a:graphicFrameLocks/>
            </wp:cNvGraphicFramePr>
            <a:graphic>
              <a:graphicData uri="http://schemas.openxmlformats.org/drawingml/2006/picture">
                <pic:pic>
                  <pic:nvPicPr>
                    <pic:cNvPr id="1776" name="Image 1776"/>
                    <pic:cNvPicPr/>
                  </pic:nvPicPr>
                  <pic:blipFill>
                    <a:blip r:embed="rId133" cstate="print"/>
                    <a:stretch>
                      <a:fillRect/>
                    </a:stretch>
                  </pic:blipFill>
                  <pic:spPr>
                    <a:xfrm>
                      <a:off x="0" y="0"/>
                      <a:ext cx="101600" cy="88900"/>
                    </a:xfrm>
                    <a:prstGeom prst="rect">
                      <a:avLst/>
                    </a:prstGeom>
                  </pic:spPr>
                </pic:pic>
              </a:graphicData>
            </a:graphic>
          </wp:inline>
        </w:drawing>
      </w:r>
      <w:r>
        <w:rPr>
          <w:color w:val="231F20"/>
          <w:spacing w:val="15"/>
          <w:sz w:val="20"/>
        </w:rPr>
      </w:r>
      <w:r>
        <w:rPr>
          <w:rFonts w:ascii="Times New Roman"/>
          <w:color w:val="231F20"/>
          <w:spacing w:val="-16"/>
          <w:position w:val="1"/>
          <w:sz w:val="20"/>
        </w:rPr>
        <w:t> </w:t>
      </w:r>
      <w:r>
        <w:rPr>
          <w:rFonts w:ascii="Book Antiqua"/>
          <w:b/>
          <w:color w:val="231F20"/>
          <w:position w:val="1"/>
          <w:sz w:val="20"/>
        </w:rPr>
        <w:t>Clear</w:t>
      </w:r>
      <w:r>
        <w:rPr>
          <w:rFonts w:ascii="Book Antiqua"/>
          <w:b/>
          <w:color w:val="231F20"/>
          <w:spacing w:val="12"/>
          <w:position w:val="1"/>
          <w:sz w:val="20"/>
        </w:rPr>
        <w:t> </w:t>
      </w:r>
      <w:r>
        <w:rPr>
          <w:rFonts w:ascii="Book Antiqua"/>
          <w:b/>
          <w:color w:val="231F20"/>
          <w:spacing w:val="-2"/>
          <w:position w:val="1"/>
          <w:sz w:val="20"/>
        </w:rPr>
        <w:t>Contents</w:t>
      </w:r>
      <w:r>
        <w:rPr>
          <w:color w:val="231F20"/>
          <w:spacing w:val="-2"/>
          <w:position w:val="1"/>
          <w:sz w:val="20"/>
        </w:rPr>
        <w:t>.</w:t>
      </w:r>
    </w:p>
    <w:p>
      <w:pPr>
        <w:pStyle w:val="Heading6"/>
        <w:spacing w:before="106"/>
        <w:ind w:left="2764"/>
      </w:pPr>
      <w:r>
        <w:rPr>
          <w:color w:val="231F20"/>
        </w:rPr>
        <w:t>Insert</w:t>
      </w:r>
      <w:r>
        <w:rPr>
          <w:color w:val="231F20"/>
          <w:spacing w:val="12"/>
        </w:rPr>
        <w:t> </w:t>
      </w:r>
      <w:r>
        <w:rPr>
          <w:color w:val="231F20"/>
        </w:rPr>
        <w:t>a</w:t>
      </w:r>
      <w:r>
        <w:rPr>
          <w:color w:val="231F20"/>
          <w:spacing w:val="13"/>
        </w:rPr>
        <w:t> </w:t>
      </w:r>
      <w:r>
        <w:rPr>
          <w:color w:val="231F20"/>
          <w:spacing w:val="-5"/>
        </w:rPr>
        <w:t>row</w:t>
      </w:r>
    </w:p>
    <w:p>
      <w:pPr>
        <w:pStyle w:val="BodyText"/>
        <w:spacing w:line="258" w:lineRule="exact"/>
        <w:ind w:left="3483"/>
      </w:pPr>
      <w:r>
        <w:rPr>
          <w:color w:val="231F20"/>
        </w:rPr>
        <w:t>Right-click</w:t>
      </w:r>
      <w:r>
        <w:rPr>
          <w:color w:val="231F20"/>
          <w:spacing w:val="11"/>
        </w:rPr>
        <w:t> </w:t>
      </w:r>
      <w:r>
        <w:rPr>
          <w:color w:val="231F20"/>
        </w:rPr>
        <w:t>a</w:t>
      </w:r>
      <w:r>
        <w:rPr>
          <w:color w:val="231F20"/>
          <w:spacing w:val="11"/>
        </w:rPr>
        <w:t> </w:t>
      </w:r>
      <w:r>
        <w:rPr>
          <w:color w:val="231F20"/>
        </w:rPr>
        <w:t>row</w:t>
      </w:r>
      <w:r>
        <w:rPr>
          <w:color w:val="231F20"/>
          <w:spacing w:val="12"/>
        </w:rPr>
        <w:t> </w:t>
      </w:r>
      <w:r>
        <w:rPr>
          <w:color w:val="231F20"/>
        </w:rPr>
        <w:t>and</w:t>
      </w:r>
      <w:r>
        <w:rPr>
          <w:color w:val="231F20"/>
          <w:spacing w:val="11"/>
        </w:rPr>
        <w:t> </w:t>
      </w:r>
      <w:r>
        <w:rPr>
          <w:color w:val="231F20"/>
        </w:rPr>
        <w:t>click</w:t>
      </w:r>
      <w:r>
        <w:rPr>
          <w:color w:val="231F20"/>
          <w:spacing w:val="11"/>
        </w:rPr>
        <w:t> </w:t>
      </w:r>
      <w:r>
        <w:rPr>
          <w:color w:val="231F20"/>
          <w:spacing w:val="15"/>
          <w:position w:val="-1"/>
        </w:rPr>
        <w:drawing>
          <wp:inline distT="0" distB="0" distL="0" distR="0">
            <wp:extent cx="95250" cy="95250"/>
            <wp:effectExtent l="0" t="0" r="0" b="0"/>
            <wp:docPr id="1777" name="Image 1777"/>
            <wp:cNvGraphicFramePr>
              <a:graphicFrameLocks/>
            </wp:cNvGraphicFramePr>
            <a:graphic>
              <a:graphicData uri="http://schemas.openxmlformats.org/drawingml/2006/picture">
                <pic:pic>
                  <pic:nvPicPr>
                    <pic:cNvPr id="1777" name="Image 1777"/>
                    <pic:cNvPicPr/>
                  </pic:nvPicPr>
                  <pic:blipFill>
                    <a:blip r:embed="rId333"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9"/>
        </w:rPr>
        <w:t> </w:t>
      </w:r>
      <w:r>
        <w:rPr>
          <w:rFonts w:ascii="Book Antiqua"/>
          <w:b/>
          <w:color w:val="231F20"/>
          <w:spacing w:val="-2"/>
        </w:rPr>
        <w:t>Insert</w:t>
      </w:r>
      <w:r>
        <w:rPr>
          <w:color w:val="231F20"/>
          <w:spacing w:val="-2"/>
        </w:rPr>
        <w:t>.</w:t>
      </w:r>
    </w:p>
    <w:p>
      <w:pPr>
        <w:pStyle w:val="Heading6"/>
        <w:spacing w:before="111"/>
        <w:ind w:left="2764"/>
      </w:pPr>
      <w:r>
        <w:rPr>
          <w:color w:val="231F20"/>
        </w:rPr>
        <w:t>Cut,</w:t>
      </w:r>
      <w:r>
        <w:rPr>
          <w:color w:val="231F20"/>
          <w:spacing w:val="6"/>
        </w:rPr>
        <w:t> </w:t>
      </w:r>
      <w:r>
        <w:rPr>
          <w:color w:val="231F20"/>
        </w:rPr>
        <w:t>copy,</w:t>
      </w:r>
      <w:r>
        <w:rPr>
          <w:color w:val="231F20"/>
          <w:spacing w:val="6"/>
        </w:rPr>
        <w:t> </w:t>
      </w:r>
      <w:r>
        <w:rPr>
          <w:color w:val="231F20"/>
        </w:rPr>
        <w:t>or</w:t>
      </w:r>
      <w:r>
        <w:rPr>
          <w:color w:val="231F20"/>
          <w:spacing w:val="6"/>
        </w:rPr>
        <w:t> </w:t>
      </w:r>
      <w:r>
        <w:rPr>
          <w:color w:val="231F20"/>
          <w:spacing w:val="-2"/>
        </w:rPr>
        <w:t>paste</w:t>
      </w:r>
    </w:p>
    <w:p>
      <w:pPr>
        <w:pStyle w:val="BodyText"/>
        <w:spacing w:line="213" w:lineRule="auto" w:before="12"/>
        <w:ind w:left="3483" w:right="545"/>
      </w:pPr>
      <w:r>
        <w:rPr>
          <w:color w:val="231F20"/>
        </w:rPr>
        <w:t>Right-click the cell or row and click </w:t>
      </w:r>
      <w:r>
        <w:rPr>
          <w:color w:val="231F20"/>
          <w:spacing w:val="15"/>
          <w:position w:val="-1"/>
        </w:rPr>
        <w:drawing>
          <wp:inline distT="0" distB="0" distL="0" distR="0">
            <wp:extent cx="101600" cy="101600"/>
            <wp:effectExtent l="0" t="0" r="0" b="0"/>
            <wp:docPr id="1778" name="Image 1778"/>
            <wp:cNvGraphicFramePr>
              <a:graphicFrameLocks/>
            </wp:cNvGraphicFramePr>
            <a:graphic>
              <a:graphicData uri="http://schemas.openxmlformats.org/drawingml/2006/picture">
                <pic:pic>
                  <pic:nvPicPr>
                    <pic:cNvPr id="1778" name="Image 1778"/>
                    <pic:cNvPicPr/>
                  </pic:nvPicPr>
                  <pic:blipFill>
                    <a:blip r:embed="rId334"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1"/>
        </w:rPr>
        <w:t> </w:t>
      </w:r>
      <w:r>
        <w:rPr>
          <w:rFonts w:ascii="Book Antiqua"/>
          <w:b/>
          <w:color w:val="231F20"/>
        </w:rPr>
        <w:t>Cut</w:t>
      </w:r>
      <w:r>
        <w:rPr>
          <w:color w:val="231F20"/>
        </w:rPr>
        <w:t>,</w:t>
      </w:r>
      <w:r>
        <w:rPr>
          <w:color w:val="231F20"/>
          <w:spacing w:val="40"/>
        </w:rPr>
        <w:t> </w:t>
      </w:r>
      <w:r>
        <w:rPr>
          <w:color w:val="231F20"/>
          <w:spacing w:val="-14"/>
          <w:position w:val="-1"/>
        </w:rPr>
        <w:drawing>
          <wp:inline distT="0" distB="0" distL="0" distR="0">
            <wp:extent cx="82550" cy="95250"/>
            <wp:effectExtent l="0" t="0" r="0" b="0"/>
            <wp:docPr id="1779" name="Image 1779"/>
            <wp:cNvGraphicFramePr>
              <a:graphicFrameLocks/>
            </wp:cNvGraphicFramePr>
            <a:graphic>
              <a:graphicData uri="http://schemas.openxmlformats.org/drawingml/2006/picture">
                <pic:pic>
                  <pic:nvPicPr>
                    <pic:cNvPr id="1779" name="Image 1779"/>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rPr>
      </w:r>
      <w:r>
        <w:rPr>
          <w:rFonts w:ascii="Times New Roman"/>
          <w:color w:val="231F20"/>
          <w:spacing w:val="35"/>
        </w:rPr>
        <w:t> </w:t>
      </w:r>
      <w:r>
        <w:rPr>
          <w:rFonts w:ascii="Book Antiqua"/>
          <w:b/>
          <w:color w:val="231F20"/>
        </w:rPr>
        <w:t>Copy</w:t>
      </w:r>
      <w:r>
        <w:rPr>
          <w:color w:val="231F20"/>
        </w:rPr>
        <w:t>, or</w:t>
      </w:r>
      <w:r>
        <w:rPr>
          <w:color w:val="231F20"/>
          <w:spacing w:val="38"/>
        </w:rPr>
        <w:t> </w:t>
      </w:r>
      <w:r>
        <w:rPr>
          <w:color w:val="231F20"/>
          <w:spacing w:val="-24"/>
          <w:position w:val="-1"/>
        </w:rPr>
        <w:drawing>
          <wp:inline distT="0" distB="0" distL="0" distR="0">
            <wp:extent cx="95250" cy="101600"/>
            <wp:effectExtent l="0" t="0" r="0" b="0"/>
            <wp:docPr id="1780" name="Image 1780"/>
            <wp:cNvGraphicFramePr>
              <a:graphicFrameLocks/>
            </wp:cNvGraphicFramePr>
            <a:graphic>
              <a:graphicData uri="http://schemas.openxmlformats.org/drawingml/2006/picture">
                <pic:pic>
                  <pic:nvPicPr>
                    <pic:cNvPr id="1780" name="Image 1780"/>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35"/>
        </w:rPr>
        <w:t> </w:t>
      </w:r>
      <w:r>
        <w:rPr>
          <w:rFonts w:ascii="Book Antiqua"/>
          <w:b/>
          <w:color w:val="231F20"/>
        </w:rPr>
        <w:t>Paste</w:t>
      </w:r>
      <w:r>
        <w:rPr>
          <w:color w:val="231F20"/>
        </w:rPr>
        <w:t>. When you paste, the contents of the clipboard overwrites the cell </w:t>
      </w:r>
      <w:r>
        <w:rPr>
          <w:color w:val="231F20"/>
        </w:rPr>
        <w:t>or </w:t>
      </w:r>
      <w:r>
        <w:rPr>
          <w:color w:val="231F20"/>
          <w:spacing w:val="-4"/>
        </w:rPr>
        <w:t>row.</w:t>
      </w:r>
    </w:p>
    <w:p>
      <w:pPr>
        <w:pStyle w:val="Heading6"/>
        <w:spacing w:before="116"/>
        <w:ind w:left="2764"/>
      </w:pPr>
      <w:r>
        <w:rPr>
          <w:color w:val="231F20"/>
        </w:rPr>
        <w:t>Add</w:t>
      </w:r>
      <w:r>
        <w:rPr>
          <w:color w:val="231F20"/>
          <w:spacing w:val="11"/>
        </w:rPr>
        <w:t> </w:t>
      </w:r>
      <w:r>
        <w:rPr>
          <w:color w:val="231F20"/>
        </w:rPr>
        <w:t>filter</w:t>
      </w:r>
      <w:r>
        <w:rPr>
          <w:color w:val="231F20"/>
          <w:spacing w:val="12"/>
        </w:rPr>
        <w:t> </w:t>
      </w:r>
      <w:r>
        <w:rPr>
          <w:color w:val="231F20"/>
          <w:spacing w:val="-2"/>
        </w:rPr>
        <w:t>criteria</w:t>
      </w:r>
    </w:p>
    <w:p>
      <w:pPr>
        <w:pStyle w:val="BodyText"/>
        <w:spacing w:line="258" w:lineRule="exact"/>
        <w:ind w:left="3483"/>
      </w:pPr>
      <w:r>
        <w:rPr>
          <w:color w:val="231F20"/>
        </w:rPr>
        <w:t>Click</w:t>
      </w:r>
      <w:r>
        <w:rPr>
          <w:color w:val="231F20"/>
          <w:spacing w:val="12"/>
        </w:rPr>
        <w:t> </w:t>
      </w:r>
      <w:r>
        <w:rPr>
          <w:color w:val="231F20"/>
        </w:rPr>
        <w:t>in</w:t>
      </w:r>
      <w:r>
        <w:rPr>
          <w:color w:val="231F20"/>
          <w:spacing w:val="13"/>
        </w:rPr>
        <w:t> </w:t>
      </w:r>
      <w:r>
        <w:rPr>
          <w:color w:val="231F20"/>
        </w:rPr>
        <w:t>a</w:t>
      </w:r>
      <w:r>
        <w:rPr>
          <w:color w:val="231F20"/>
          <w:spacing w:val="13"/>
        </w:rPr>
        <w:t> </w:t>
      </w:r>
      <w:r>
        <w:rPr>
          <w:color w:val="231F20"/>
        </w:rPr>
        <w:t>cell</w:t>
      </w:r>
      <w:r>
        <w:rPr>
          <w:color w:val="231F20"/>
          <w:spacing w:val="13"/>
        </w:rPr>
        <w:t> </w:t>
      </w:r>
      <w:r>
        <w:rPr>
          <w:color w:val="231F20"/>
        </w:rPr>
        <w:t>and</w:t>
      </w:r>
      <w:r>
        <w:rPr>
          <w:color w:val="231F20"/>
          <w:spacing w:val="13"/>
        </w:rPr>
        <w:t> </w:t>
      </w:r>
      <w:r>
        <w:rPr>
          <w:color w:val="231F20"/>
        </w:rPr>
        <w:t>write</w:t>
      </w:r>
      <w:r>
        <w:rPr>
          <w:color w:val="231F20"/>
          <w:spacing w:val="13"/>
        </w:rPr>
        <w:t> </w:t>
      </w:r>
      <w:r>
        <w:rPr>
          <w:color w:val="231F20"/>
        </w:rPr>
        <w:t>the</w:t>
      </w:r>
      <w:r>
        <w:rPr>
          <w:color w:val="231F20"/>
          <w:spacing w:val="13"/>
        </w:rPr>
        <w:t> </w:t>
      </w:r>
      <w:r>
        <w:rPr>
          <w:color w:val="231F20"/>
          <w:spacing w:val="-2"/>
        </w:rPr>
        <w:t>expression.</w:t>
      </w:r>
    </w:p>
    <w:p>
      <w:pPr>
        <w:pStyle w:val="Heading6"/>
        <w:spacing w:before="111"/>
        <w:ind w:left="2764"/>
      </w:pPr>
      <w:r>
        <w:rPr>
          <w:color w:val="231F20"/>
        </w:rPr>
        <w:t>Reorder</w:t>
      </w:r>
      <w:r>
        <w:rPr>
          <w:color w:val="231F20"/>
          <w:spacing w:val="10"/>
        </w:rPr>
        <w:t> </w:t>
      </w:r>
      <w:r>
        <w:rPr>
          <w:color w:val="231F20"/>
        </w:rPr>
        <w:t>the</w:t>
      </w:r>
      <w:r>
        <w:rPr>
          <w:color w:val="231F20"/>
          <w:spacing w:val="11"/>
        </w:rPr>
        <w:t> </w:t>
      </w:r>
      <w:r>
        <w:rPr>
          <w:color w:val="231F20"/>
          <w:spacing w:val="-2"/>
        </w:rPr>
        <w:t>columns</w:t>
      </w:r>
    </w:p>
    <w:p>
      <w:pPr>
        <w:pStyle w:val="BodyText"/>
        <w:spacing w:line="213" w:lineRule="auto" w:before="12"/>
        <w:ind w:left="3483" w:right="493"/>
      </w:pPr>
      <w:r>
        <w:rPr>
          <w:color w:val="231F20"/>
        </w:rPr>
        <w:t>Drag a column heading and drop it at the insertion point. Views </w:t>
      </w:r>
      <w:r>
        <w:rPr>
          <w:color w:val="231F20"/>
        </w:rPr>
        <w:t>that use this query are displayed with this column order. Users can drag columns in the workspace view to rearrange them and, if the workspace is saved the new order becomes permanent until another query is applied to the view or the columns reordered and the workspace is saved again.</w:t>
      </w:r>
    </w:p>
    <w:p>
      <w:pPr>
        <w:pStyle w:val="Heading6"/>
        <w:spacing w:before="114"/>
        <w:ind w:left="2764"/>
      </w:pPr>
      <w:r>
        <w:rPr>
          <w:color w:val="231F20"/>
        </w:rPr>
        <w:t>Specify</w:t>
      </w:r>
      <w:r>
        <w:rPr>
          <w:color w:val="231F20"/>
          <w:spacing w:val="12"/>
        </w:rPr>
        <w:t> </w:t>
      </w:r>
      <w:r>
        <w:rPr>
          <w:color w:val="231F20"/>
        </w:rPr>
        <w:t>a</w:t>
      </w:r>
      <w:r>
        <w:rPr>
          <w:color w:val="231F20"/>
          <w:spacing w:val="12"/>
        </w:rPr>
        <w:t> </w:t>
      </w:r>
      <w:r>
        <w:rPr>
          <w:color w:val="231F20"/>
        </w:rPr>
        <w:t>sort</w:t>
      </w:r>
      <w:r>
        <w:rPr>
          <w:color w:val="231F20"/>
          <w:spacing w:val="12"/>
        </w:rPr>
        <w:t> </w:t>
      </w:r>
      <w:r>
        <w:rPr>
          <w:color w:val="231F20"/>
          <w:spacing w:val="-2"/>
        </w:rPr>
        <w:t>order</w:t>
      </w:r>
    </w:p>
    <w:p>
      <w:pPr>
        <w:pStyle w:val="BodyText"/>
        <w:spacing w:line="213" w:lineRule="auto" w:before="11"/>
        <w:ind w:left="3483" w:right="636"/>
      </w:pPr>
      <w:r>
        <w:rPr>
          <w:color w:val="231F20"/>
        </w:rPr>
        <w:t>Click </w:t>
      </w:r>
      <w:r>
        <w:rPr>
          <w:rFonts w:ascii="Book Antiqua"/>
          <w:b/>
          <w:color w:val="231F20"/>
        </w:rPr>
        <w:t>Advanced </w:t>
      </w:r>
      <w:r>
        <w:rPr>
          <w:color w:val="231F20"/>
        </w:rPr>
        <w:t>and select the </w:t>
      </w:r>
      <w:r>
        <w:rPr>
          <w:rFonts w:ascii="Book Antiqua"/>
          <w:b/>
          <w:color w:val="231F20"/>
        </w:rPr>
        <w:t>Sort By </w:t>
      </w:r>
      <w:r>
        <w:rPr>
          <w:color w:val="231F20"/>
        </w:rPr>
        <w:t>column from the </w:t>
      </w:r>
      <w:r>
        <w:rPr>
          <w:color w:val="231F20"/>
          <w:spacing w:val="15"/>
          <w:position w:val="-1"/>
        </w:rPr>
        <w:drawing>
          <wp:inline distT="0" distB="0" distL="0" distR="0">
            <wp:extent cx="101600" cy="101600"/>
            <wp:effectExtent l="0" t="0" r="0" b="0"/>
            <wp:docPr id="1781" name="Image 1781"/>
            <wp:cNvGraphicFramePr>
              <a:graphicFrameLocks/>
            </wp:cNvGraphicFramePr>
            <a:graphic>
              <a:graphicData uri="http://schemas.openxmlformats.org/drawingml/2006/picture">
                <pic:pic>
                  <pic:nvPicPr>
                    <pic:cNvPr id="1781" name="Image 178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list. Note that if you selected a </w:t>
      </w:r>
      <w:r>
        <w:rPr>
          <w:rFonts w:ascii="Book Antiqua"/>
          <w:b/>
          <w:color w:val="231F20"/>
        </w:rPr>
        <w:t>Group By </w:t>
      </w:r>
      <w:r>
        <w:rPr>
          <w:color w:val="231F20"/>
        </w:rPr>
        <w:t>column, you cannot also specify a</w:t>
      </w:r>
      <w:r>
        <w:rPr>
          <w:color w:val="231F20"/>
          <w:spacing w:val="80"/>
          <w:w w:val="150"/>
        </w:rPr>
        <w:t> </w:t>
      </w:r>
      <w:r>
        <w:rPr>
          <w:color w:val="231F20"/>
        </w:rPr>
        <w:t>sort order.</w:t>
      </w:r>
    </w:p>
    <w:p>
      <w:pPr>
        <w:pStyle w:val="BodyText"/>
        <w:spacing w:line="213" w:lineRule="auto" w:before="118"/>
        <w:ind w:left="3483" w:right="636"/>
      </w:pPr>
      <w:r>
        <w:rPr>
          <w:color w:val="231F20"/>
        </w:rPr>
        <w:t>If your environment has multiple monitoring servers, the sorting is done independently at each monitoring server and then returned </w:t>
      </w:r>
      <w:r>
        <w:rPr>
          <w:color w:val="231F20"/>
        </w:rPr>
        <w:t>to the portal without resorting the merged values. You can sort the rows returned after they are displayed in the view.</w:t>
      </w:r>
    </w:p>
    <w:p>
      <w:pPr>
        <w:pStyle w:val="Heading6"/>
        <w:spacing w:line="233" w:lineRule="exact" w:before="116"/>
        <w:ind w:left="2764"/>
      </w:pPr>
      <w:r>
        <w:rPr>
          <w:color w:val="231F20"/>
        </w:rPr>
        <w:t>Specify</w:t>
      </w:r>
      <w:r>
        <w:rPr>
          <w:color w:val="231F20"/>
          <w:spacing w:val="12"/>
        </w:rPr>
        <w:t> </w:t>
      </w:r>
      <w:r>
        <w:rPr>
          <w:color w:val="231F20"/>
        </w:rPr>
        <w:t>the</w:t>
      </w:r>
      <w:r>
        <w:rPr>
          <w:color w:val="231F20"/>
          <w:spacing w:val="13"/>
        </w:rPr>
        <w:t> </w:t>
      </w:r>
      <w:r>
        <w:rPr>
          <w:color w:val="231F20"/>
        </w:rPr>
        <w:t>first</w:t>
      </w:r>
      <w:r>
        <w:rPr>
          <w:color w:val="231F20"/>
          <w:spacing w:val="13"/>
        </w:rPr>
        <w:t> </w:t>
      </w:r>
      <w:r>
        <w:rPr>
          <w:color w:val="231F20"/>
        </w:rPr>
        <w:t>or</w:t>
      </w:r>
      <w:r>
        <w:rPr>
          <w:color w:val="231F20"/>
          <w:spacing w:val="13"/>
        </w:rPr>
        <w:t> </w:t>
      </w:r>
      <w:r>
        <w:rPr>
          <w:color w:val="231F20"/>
        </w:rPr>
        <w:t>last</w:t>
      </w:r>
      <w:r>
        <w:rPr>
          <w:color w:val="231F20"/>
          <w:spacing w:val="12"/>
        </w:rPr>
        <w:t> </w:t>
      </w:r>
      <w:r>
        <w:rPr>
          <w:b w:val="0"/>
          <w:i/>
          <w:color w:val="231F20"/>
        </w:rPr>
        <w:t>n</w:t>
      </w:r>
      <w:r>
        <w:rPr>
          <w:b w:val="0"/>
          <w:i/>
          <w:color w:val="231F20"/>
          <w:spacing w:val="13"/>
        </w:rPr>
        <w:t> </w:t>
      </w:r>
      <w:r>
        <w:rPr>
          <w:color w:val="231F20"/>
        </w:rPr>
        <w:t>rows</w:t>
      </w:r>
      <w:r>
        <w:rPr>
          <w:color w:val="231F20"/>
          <w:spacing w:val="13"/>
        </w:rPr>
        <w:t> </w:t>
      </w:r>
      <w:r>
        <w:rPr>
          <w:color w:val="231F20"/>
        </w:rPr>
        <w:t>to</w:t>
      </w:r>
      <w:r>
        <w:rPr>
          <w:color w:val="231F20"/>
          <w:spacing w:val="13"/>
        </w:rPr>
        <w:t> </w:t>
      </w:r>
      <w:r>
        <w:rPr>
          <w:color w:val="231F20"/>
          <w:spacing w:val="-2"/>
        </w:rPr>
        <w:t>return</w:t>
      </w:r>
    </w:p>
    <w:p>
      <w:pPr>
        <w:pStyle w:val="BodyText"/>
        <w:spacing w:line="211" w:lineRule="auto" w:before="14"/>
        <w:ind w:left="3483" w:right="493" w:hanging="1"/>
      </w:pPr>
      <w:r>
        <w:rPr>
          <w:color w:val="231F20"/>
        </w:rPr>
        <w:t>Click </w:t>
      </w:r>
      <w:r>
        <w:rPr>
          <w:rFonts w:ascii="Book Antiqua"/>
          <w:b/>
          <w:color w:val="231F20"/>
        </w:rPr>
        <w:t>Advanced</w:t>
      </w:r>
      <w:r>
        <w:rPr>
          <w:color w:val="231F20"/>
        </w:rPr>
        <w:t>, select </w:t>
      </w:r>
      <w:r>
        <w:rPr>
          <w:color w:val="231F20"/>
          <w:spacing w:val="16"/>
        </w:rPr>
        <w:drawing>
          <wp:inline distT="0" distB="0" distL="0" distR="0">
            <wp:extent cx="88900" cy="82550"/>
            <wp:effectExtent l="0" t="0" r="0" b="0"/>
            <wp:docPr id="1782" name="Image 1782"/>
            <wp:cNvGraphicFramePr>
              <a:graphicFrameLocks/>
            </wp:cNvGraphicFramePr>
            <a:graphic>
              <a:graphicData uri="http://schemas.openxmlformats.org/drawingml/2006/picture">
                <pic:pic>
                  <pic:nvPicPr>
                    <pic:cNvPr id="1782" name="Image 1782"/>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1"/>
        </w:rPr>
        <w:t> </w:t>
      </w:r>
      <w:r>
        <w:rPr>
          <w:rFonts w:ascii="Book Antiqua"/>
          <w:b/>
          <w:color w:val="231F20"/>
        </w:rPr>
        <w:t>First </w:t>
      </w:r>
      <w:r>
        <w:rPr>
          <w:color w:val="231F20"/>
        </w:rPr>
        <w:t>or </w:t>
      </w:r>
      <w:r>
        <w:rPr>
          <w:color w:val="231F20"/>
          <w:spacing w:val="16"/>
        </w:rPr>
        <w:drawing>
          <wp:inline distT="0" distB="0" distL="0" distR="0">
            <wp:extent cx="88900" cy="82550"/>
            <wp:effectExtent l="0" t="0" r="0" b="0"/>
            <wp:docPr id="1783" name="Image 1783"/>
            <wp:cNvGraphicFramePr>
              <a:graphicFrameLocks/>
            </wp:cNvGraphicFramePr>
            <a:graphic>
              <a:graphicData uri="http://schemas.openxmlformats.org/drawingml/2006/picture">
                <pic:pic>
                  <pic:nvPicPr>
                    <pic:cNvPr id="1783" name="Image 1783"/>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1"/>
        </w:rPr>
        <w:t> </w:t>
      </w:r>
      <w:r>
        <w:rPr>
          <w:rFonts w:ascii="Book Antiqua"/>
          <w:b/>
          <w:color w:val="231F20"/>
        </w:rPr>
        <w:t>Last</w:t>
      </w:r>
      <w:r>
        <w:rPr>
          <w:color w:val="231F20"/>
        </w:rPr>
        <w:t>, then use the </w:t>
      </w:r>
      <w:r>
        <w:rPr>
          <w:color w:val="231F20"/>
          <w:spacing w:val="16"/>
          <w:position w:val="-5"/>
        </w:rPr>
        <w:drawing>
          <wp:inline distT="0" distB="0" distL="0" distR="0">
            <wp:extent cx="298450" cy="127000"/>
            <wp:effectExtent l="0" t="0" r="0" b="0"/>
            <wp:docPr id="1784" name="Image 1784"/>
            <wp:cNvGraphicFramePr>
              <a:graphicFrameLocks/>
            </wp:cNvGraphicFramePr>
            <a:graphic>
              <a:graphicData uri="http://schemas.openxmlformats.org/drawingml/2006/picture">
                <pic:pic>
                  <pic:nvPicPr>
                    <pic:cNvPr id="1784" name="Image 1784"/>
                    <pic:cNvPicPr/>
                  </pic:nvPicPr>
                  <pic:blipFill>
                    <a:blip r:embed="rId336" cstate="print"/>
                    <a:stretch>
                      <a:fillRect/>
                    </a:stretch>
                  </pic:blipFill>
                  <pic:spPr>
                    <a:xfrm>
                      <a:off x="0" y="0"/>
                      <a:ext cx="298450" cy="127000"/>
                    </a:xfrm>
                    <a:prstGeom prst="rect">
                      <a:avLst/>
                    </a:prstGeom>
                  </pic:spPr>
                </pic:pic>
              </a:graphicData>
            </a:graphic>
          </wp:inline>
        </w:drawing>
      </w:r>
      <w:r>
        <w:rPr>
          <w:color w:val="231F20"/>
          <w:spacing w:val="16"/>
          <w:position w:val="-5"/>
        </w:rPr>
      </w:r>
      <w:r>
        <w:rPr>
          <w:rFonts w:ascii="Times New Roman"/>
          <w:color w:val="231F20"/>
          <w:spacing w:val="40"/>
        </w:rPr>
        <w:t> </w:t>
      </w:r>
      <w:r>
        <w:rPr>
          <w:color w:val="231F20"/>
        </w:rPr>
        <w:t>spin control to adjust the number of rows to retrieve or type the </w:t>
      </w:r>
      <w:r>
        <w:rPr>
          <w:color w:val="231F20"/>
        </w:rPr>
        <w:t>number directly into the text box.</w:t>
      </w:r>
    </w:p>
    <w:p>
      <w:pPr>
        <w:pStyle w:val="BodyText"/>
        <w:spacing w:line="213" w:lineRule="auto" w:before="119"/>
        <w:ind w:left="3483" w:right="636"/>
      </w:pPr>
      <w:r>
        <w:rPr>
          <w:color w:val="231F20"/>
        </w:rPr>
        <w:t>This is the number of rows to retrieve from </w:t>
      </w:r>
      <w:r>
        <w:rPr>
          <w:rFonts w:ascii="Book Antiqua"/>
          <w:i/>
          <w:color w:val="231F20"/>
        </w:rPr>
        <w:t>each </w:t>
      </w:r>
      <w:r>
        <w:rPr>
          <w:color w:val="231F20"/>
        </w:rPr>
        <w:t>Tivoli Enterprise Monitoring Server in your monitored environment. For example, if your environment has a hub monitoring server with one remote monitoring server and you select the last 5 rows, the view shows </w:t>
      </w:r>
      <w:r>
        <w:rPr>
          <w:color w:val="231F20"/>
        </w:rPr>
        <w:t>10 rows of data: 5 from the hub and 5 from the remote. The data is sorted for each server individually. In table views, you can click a column heading to sort the results from all servers.</w:t>
      </w:r>
    </w:p>
    <w:p>
      <w:pPr>
        <w:pStyle w:val="Heading6"/>
        <w:spacing w:before="114"/>
        <w:ind w:left="2764"/>
      </w:pPr>
      <w:r>
        <w:rPr>
          <w:color w:val="231F20"/>
        </w:rPr>
        <w:t>Apply</w:t>
      </w:r>
      <w:r>
        <w:rPr>
          <w:color w:val="231F20"/>
          <w:spacing w:val="11"/>
        </w:rPr>
        <w:t> </w:t>
      </w:r>
      <w:r>
        <w:rPr>
          <w:color w:val="231F20"/>
        </w:rPr>
        <w:t>a</w:t>
      </w:r>
      <w:r>
        <w:rPr>
          <w:color w:val="231F20"/>
          <w:spacing w:val="12"/>
        </w:rPr>
        <w:t> </w:t>
      </w:r>
      <w:r>
        <w:rPr>
          <w:color w:val="231F20"/>
        </w:rPr>
        <w:t>group</w:t>
      </w:r>
      <w:r>
        <w:rPr>
          <w:color w:val="231F20"/>
          <w:spacing w:val="12"/>
        </w:rPr>
        <w:t> </w:t>
      </w:r>
      <w:r>
        <w:rPr>
          <w:color w:val="231F20"/>
          <w:spacing w:val="-2"/>
        </w:rPr>
        <w:t>function</w:t>
      </w:r>
    </w:p>
    <w:p>
      <w:pPr>
        <w:pStyle w:val="BodyText"/>
        <w:spacing w:line="213" w:lineRule="auto" w:before="11"/>
        <w:ind w:left="3483" w:right="639"/>
        <w:jc w:val="both"/>
      </w:pPr>
      <w:r>
        <w:rPr>
          <w:color w:val="231F20"/>
        </w:rPr>
        <w:t>Click </w:t>
      </w:r>
      <w:r>
        <w:rPr>
          <w:color w:val="231F20"/>
          <w:spacing w:val="16"/>
          <w:position w:val="-1"/>
        </w:rPr>
        <w:drawing>
          <wp:inline distT="0" distB="0" distL="0" distR="0">
            <wp:extent cx="101600" cy="101600"/>
            <wp:effectExtent l="0" t="0" r="0" b="0"/>
            <wp:docPr id="1785" name="Image 1785"/>
            <wp:cNvGraphicFramePr>
              <a:graphicFrameLocks/>
            </wp:cNvGraphicFramePr>
            <a:graphic>
              <a:graphicData uri="http://schemas.openxmlformats.org/drawingml/2006/picture">
                <pic:pic>
                  <pic:nvPicPr>
                    <pic:cNvPr id="1785" name="Image 1785"/>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Formula in the column heading and select from the list of available group functions. The icon in the column heading </w:t>
      </w:r>
      <w:r>
        <w:rPr>
          <w:color w:val="231F20"/>
        </w:rPr>
        <w:t>changes to the icon for the chosen function:</w:t>
      </w:r>
    </w:p>
    <w:p>
      <w:pPr>
        <w:spacing w:line="314" w:lineRule="auto" w:before="161"/>
        <w:ind w:left="2232" w:right="6058" w:firstLine="0"/>
        <w:jc w:val="left"/>
        <w:rPr>
          <w:sz w:val="18"/>
        </w:rPr>
      </w:pPr>
      <w:r>
        <w:rPr/>
        <w:drawing>
          <wp:inline distT="0" distB="0" distL="0" distR="0">
            <wp:extent cx="88900" cy="88900"/>
            <wp:effectExtent l="0" t="0" r="0" b="0"/>
            <wp:docPr id="1786" name="Image 1786"/>
            <wp:cNvGraphicFramePr>
              <a:graphicFrameLocks/>
            </wp:cNvGraphicFramePr>
            <a:graphic>
              <a:graphicData uri="http://schemas.openxmlformats.org/drawingml/2006/picture">
                <pic:pic>
                  <pic:nvPicPr>
                    <pic:cNvPr id="1786" name="Image 1786"/>
                    <pic:cNvPicPr/>
                  </pic:nvPicPr>
                  <pic:blipFill>
                    <a:blip r:embed="rId339"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Minimum in group </w:t>
      </w:r>
      <w:r>
        <w:rPr>
          <w:color w:val="231F20"/>
          <w:sz w:val="18"/>
        </w:rPr>
        <w:drawing>
          <wp:inline distT="0" distB="0" distL="0" distR="0">
            <wp:extent cx="88900" cy="88900"/>
            <wp:effectExtent l="0" t="0" r="0" b="0"/>
            <wp:docPr id="1787" name="Image 1787"/>
            <wp:cNvGraphicFramePr>
              <a:graphicFrameLocks/>
            </wp:cNvGraphicFramePr>
            <a:graphic>
              <a:graphicData uri="http://schemas.openxmlformats.org/drawingml/2006/picture">
                <pic:pic>
                  <pic:nvPicPr>
                    <pic:cNvPr id="1787" name="Image 1787"/>
                    <pic:cNvPicPr/>
                  </pic:nvPicPr>
                  <pic:blipFill>
                    <a:blip r:embed="rId340"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38"/>
          <w:position w:val="2"/>
          <w:sz w:val="18"/>
        </w:rPr>
        <w:t> </w:t>
      </w:r>
      <w:r>
        <w:rPr>
          <w:color w:val="231F20"/>
          <w:position w:val="2"/>
          <w:sz w:val="18"/>
        </w:rPr>
        <w:t>Maximum</w:t>
      </w:r>
      <w:r>
        <w:rPr>
          <w:color w:val="231F20"/>
          <w:spacing w:val="3"/>
          <w:position w:val="2"/>
          <w:sz w:val="18"/>
        </w:rPr>
        <w:t> </w:t>
      </w:r>
      <w:r>
        <w:rPr>
          <w:color w:val="231F20"/>
          <w:position w:val="2"/>
          <w:sz w:val="18"/>
        </w:rPr>
        <w:t>in</w:t>
      </w:r>
      <w:r>
        <w:rPr>
          <w:color w:val="231F20"/>
          <w:spacing w:val="3"/>
          <w:position w:val="2"/>
          <w:sz w:val="18"/>
        </w:rPr>
        <w:t> </w:t>
      </w:r>
      <w:r>
        <w:rPr>
          <w:color w:val="231F20"/>
          <w:position w:val="2"/>
          <w:sz w:val="18"/>
        </w:rPr>
        <w:t>group</w:t>
      </w:r>
    </w:p>
    <w:p>
      <w:pPr>
        <w:spacing w:line="314" w:lineRule="auto" w:before="2"/>
        <w:ind w:left="2232" w:right="5605" w:firstLine="0"/>
        <w:jc w:val="left"/>
        <w:rPr>
          <w:sz w:val="18"/>
        </w:rPr>
      </w:pPr>
      <w:r>
        <w:rPr/>
        <w:drawing>
          <wp:inline distT="0" distB="0" distL="0" distR="0">
            <wp:extent cx="81492" cy="74082"/>
            <wp:effectExtent l="0" t="0" r="0" b="0"/>
            <wp:docPr id="1788" name="Image 1788"/>
            <wp:cNvGraphicFramePr>
              <a:graphicFrameLocks/>
            </wp:cNvGraphicFramePr>
            <a:graphic>
              <a:graphicData uri="http://schemas.openxmlformats.org/drawingml/2006/picture">
                <pic:pic>
                  <pic:nvPicPr>
                    <pic:cNvPr id="1788" name="Image 1788"/>
                    <pic:cNvPicPr/>
                  </pic:nvPicPr>
                  <pic:blipFill>
                    <a:blip r:embed="rId328" cstate="print"/>
                    <a:stretch>
                      <a:fillRect/>
                    </a:stretch>
                  </pic:blipFill>
                  <pic:spPr>
                    <a:xfrm>
                      <a:off x="0" y="0"/>
                      <a:ext cx="81492" cy="74082"/>
                    </a:xfrm>
                    <a:prstGeom prst="rect">
                      <a:avLst/>
                    </a:prstGeom>
                  </pic:spPr>
                </pic:pic>
              </a:graphicData>
            </a:graphic>
          </wp:inline>
        </w:drawing>
      </w:r>
      <w:r>
        <w:rPr/>
      </w:r>
      <w:r>
        <w:rPr>
          <w:rFonts w:ascii="Times New Roman"/>
          <w:spacing w:val="40"/>
          <w:sz w:val="20"/>
        </w:rPr>
        <w:t> </w:t>
      </w:r>
      <w:r>
        <w:rPr>
          <w:color w:val="231F20"/>
          <w:sz w:val="18"/>
        </w:rPr>
        <w:t>Count of group </w:t>
      </w:r>
      <w:r>
        <w:rPr>
          <w:color w:val="231F20"/>
          <w:sz w:val="18"/>
        </w:rPr>
        <w:t>members </w:t>
      </w:r>
      <w:r>
        <w:rPr>
          <w:color w:val="231F20"/>
          <w:sz w:val="18"/>
        </w:rPr>
        <w:drawing>
          <wp:inline distT="0" distB="0" distL="0" distR="0">
            <wp:extent cx="88900" cy="88900"/>
            <wp:effectExtent l="0" t="0" r="0" b="0"/>
            <wp:docPr id="1789" name="Image 1789"/>
            <wp:cNvGraphicFramePr>
              <a:graphicFrameLocks/>
            </wp:cNvGraphicFramePr>
            <a:graphic>
              <a:graphicData uri="http://schemas.openxmlformats.org/drawingml/2006/picture">
                <pic:pic>
                  <pic:nvPicPr>
                    <pic:cNvPr id="1789" name="Image 1789"/>
                    <pic:cNvPicPr/>
                  </pic:nvPicPr>
                  <pic:blipFill>
                    <a:blip r:embed="rId341"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40"/>
          <w:position w:val="2"/>
          <w:sz w:val="18"/>
        </w:rPr>
        <w:t> </w:t>
      </w:r>
      <w:r>
        <w:rPr>
          <w:color w:val="231F20"/>
          <w:position w:val="2"/>
          <w:sz w:val="18"/>
        </w:rPr>
        <w:t>Sum of group</w:t>
      </w:r>
    </w:p>
    <w:p>
      <w:pPr>
        <w:spacing w:before="3"/>
        <w:ind w:left="2232" w:right="0" w:firstLine="0"/>
        <w:jc w:val="left"/>
        <w:rPr>
          <w:sz w:val="18"/>
        </w:rPr>
      </w:pPr>
      <w:r>
        <w:rPr/>
        <w:drawing>
          <wp:inline distT="0" distB="0" distL="0" distR="0">
            <wp:extent cx="88900" cy="88900"/>
            <wp:effectExtent l="0" t="0" r="0" b="0"/>
            <wp:docPr id="1790" name="Image 1790"/>
            <wp:cNvGraphicFramePr>
              <a:graphicFrameLocks/>
            </wp:cNvGraphicFramePr>
            <a:graphic>
              <a:graphicData uri="http://schemas.openxmlformats.org/drawingml/2006/picture">
                <pic:pic>
                  <pic:nvPicPr>
                    <pic:cNvPr id="1790" name="Image 1790"/>
                    <pic:cNvPicPr/>
                  </pic:nvPicPr>
                  <pic:blipFill>
                    <a:blip r:embed="rId342"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Average of group</w:t>
      </w:r>
    </w:p>
    <w:p>
      <w:pPr>
        <w:spacing w:before="175"/>
        <w:ind w:left="3483" w:right="0" w:firstLine="0"/>
        <w:jc w:val="both"/>
        <w:rPr>
          <w:sz w:val="20"/>
        </w:rPr>
      </w:pPr>
      <w:r>
        <w:rPr>
          <w:color w:val="231F20"/>
          <w:sz w:val="20"/>
        </w:rPr>
        <w:t>Click</w:t>
      </w:r>
      <w:r>
        <w:rPr>
          <w:color w:val="231F20"/>
          <w:spacing w:val="11"/>
          <w:sz w:val="20"/>
        </w:rPr>
        <w:t> </w:t>
      </w:r>
      <w:r>
        <w:rPr>
          <w:rFonts w:ascii="Book Antiqua"/>
          <w:b/>
          <w:color w:val="231F20"/>
          <w:sz w:val="20"/>
        </w:rPr>
        <w:t>Advanced</w:t>
      </w:r>
      <w:r>
        <w:rPr>
          <w:rFonts w:ascii="Book Antiqua"/>
          <w:b/>
          <w:color w:val="231F20"/>
          <w:spacing w:val="12"/>
          <w:sz w:val="20"/>
        </w:rPr>
        <w:t> </w:t>
      </w:r>
      <w:r>
        <w:rPr>
          <w:color w:val="231F20"/>
          <w:sz w:val="20"/>
        </w:rPr>
        <w:t>and</w:t>
      </w:r>
      <w:r>
        <w:rPr>
          <w:color w:val="231F20"/>
          <w:spacing w:val="11"/>
          <w:sz w:val="20"/>
        </w:rPr>
        <w:t> </w:t>
      </w:r>
      <w:r>
        <w:rPr>
          <w:color w:val="231F20"/>
          <w:sz w:val="20"/>
        </w:rPr>
        <w:t>select</w:t>
      </w:r>
      <w:r>
        <w:rPr>
          <w:color w:val="231F20"/>
          <w:spacing w:val="12"/>
          <w:sz w:val="20"/>
        </w:rPr>
        <w:t> </w:t>
      </w:r>
      <w:r>
        <w:rPr>
          <w:color w:val="231F20"/>
          <w:sz w:val="20"/>
        </w:rPr>
        <w:t>the</w:t>
      </w:r>
      <w:r>
        <w:rPr>
          <w:color w:val="231F20"/>
          <w:spacing w:val="11"/>
          <w:sz w:val="20"/>
        </w:rPr>
        <w:t> </w:t>
      </w:r>
      <w:r>
        <w:rPr>
          <w:rFonts w:ascii="Book Antiqua"/>
          <w:b/>
          <w:color w:val="231F20"/>
          <w:sz w:val="20"/>
        </w:rPr>
        <w:t>Group</w:t>
      </w:r>
      <w:r>
        <w:rPr>
          <w:rFonts w:ascii="Book Antiqua"/>
          <w:b/>
          <w:color w:val="231F20"/>
          <w:spacing w:val="12"/>
          <w:sz w:val="20"/>
        </w:rPr>
        <w:t> </w:t>
      </w:r>
      <w:r>
        <w:rPr>
          <w:rFonts w:ascii="Book Antiqua"/>
          <w:b/>
          <w:color w:val="231F20"/>
          <w:sz w:val="20"/>
        </w:rPr>
        <w:t>By</w:t>
      </w:r>
      <w:r>
        <w:rPr>
          <w:rFonts w:ascii="Book Antiqua"/>
          <w:b/>
          <w:color w:val="231F20"/>
          <w:spacing w:val="11"/>
          <w:sz w:val="20"/>
        </w:rPr>
        <w:t> </w:t>
      </w:r>
      <w:r>
        <w:rPr>
          <w:color w:val="231F20"/>
          <w:sz w:val="20"/>
        </w:rPr>
        <w:t>column</w:t>
      </w:r>
      <w:r>
        <w:rPr>
          <w:color w:val="231F20"/>
          <w:spacing w:val="12"/>
          <w:sz w:val="20"/>
        </w:rPr>
        <w:t> </w:t>
      </w:r>
      <w:r>
        <w:rPr>
          <w:color w:val="231F20"/>
          <w:sz w:val="20"/>
        </w:rPr>
        <w:t>from</w:t>
      </w:r>
      <w:r>
        <w:rPr>
          <w:color w:val="231F20"/>
          <w:spacing w:val="12"/>
          <w:sz w:val="20"/>
        </w:rPr>
        <w:t> </w:t>
      </w:r>
      <w:r>
        <w:rPr>
          <w:color w:val="231F20"/>
          <w:sz w:val="20"/>
        </w:rPr>
        <w:t>the</w:t>
      </w:r>
      <w:r>
        <w:rPr>
          <w:color w:val="231F20"/>
          <w:spacing w:val="10"/>
          <w:sz w:val="20"/>
        </w:rPr>
        <w:t> </w:t>
      </w:r>
      <w:r>
        <w:rPr>
          <w:color w:val="231F20"/>
          <w:spacing w:val="15"/>
          <w:position w:val="-3"/>
          <w:sz w:val="20"/>
        </w:rPr>
        <w:drawing>
          <wp:inline distT="0" distB="0" distL="0" distR="0">
            <wp:extent cx="101600" cy="101600"/>
            <wp:effectExtent l="0" t="0" r="0" b="0"/>
            <wp:docPr id="1791" name="Image 1791"/>
            <wp:cNvGraphicFramePr>
              <a:graphicFrameLocks/>
            </wp:cNvGraphicFramePr>
            <a:graphic>
              <a:graphicData uri="http://schemas.openxmlformats.org/drawingml/2006/picture">
                <pic:pic>
                  <pic:nvPicPr>
                    <pic:cNvPr id="1791" name="Image 179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3"/>
          <w:sz w:val="20"/>
        </w:rPr>
      </w:r>
      <w:r>
        <w:rPr>
          <w:rFonts w:ascii="Times New Roman"/>
          <w:color w:val="231F20"/>
          <w:spacing w:val="43"/>
          <w:sz w:val="20"/>
        </w:rPr>
        <w:t> </w:t>
      </w:r>
      <w:r>
        <w:rPr>
          <w:color w:val="231F20"/>
          <w:spacing w:val="-2"/>
          <w:sz w:val="20"/>
        </w:rPr>
        <w:t>list.</w:t>
      </w:r>
    </w:p>
    <w:p>
      <w:pPr>
        <w:spacing w:after="0"/>
        <w:jc w:val="both"/>
        <w:rPr>
          <w:sz w:val="20"/>
        </w:rPr>
        <w:sectPr>
          <w:pgSz w:w="12240" w:h="15840"/>
          <w:pgMar w:header="0" w:footer="736" w:top="1180" w:bottom="920" w:left="1000" w:right="1060"/>
        </w:sectPr>
      </w:pPr>
    </w:p>
    <w:p>
      <w:pPr>
        <w:pStyle w:val="BodyText"/>
        <w:spacing w:before="62"/>
        <w:ind w:left="2788"/>
      </w:pPr>
      <w:bookmarkStart w:name="_bookmark149" w:id="330"/>
      <w:bookmarkEnd w:id="330"/>
      <w:r>
        <w:rPr/>
      </w:r>
      <w:r>
        <w:rPr>
          <w:rFonts w:ascii="Futura MdCn BT"/>
          <w:color w:val="231F20"/>
        </w:rPr>
        <w:t>v</w:t>
      </w:r>
      <w:r>
        <w:rPr>
          <w:rFonts w:ascii="Futura MdCn BT"/>
          <w:color w:val="231F20"/>
          <w:spacing w:val="31"/>
        </w:rPr>
        <w:t>  </w:t>
      </w:r>
      <w:r>
        <w:rPr>
          <w:color w:val="231F20"/>
        </w:rPr>
        <w:t>For</w:t>
      </w:r>
      <w:r>
        <w:rPr>
          <w:color w:val="231F20"/>
          <w:spacing w:val="13"/>
        </w:rPr>
        <w:t> </w:t>
      </w:r>
      <w:r>
        <w:rPr>
          <w:color w:val="231F20"/>
        </w:rPr>
        <w:t>ODBC</w:t>
      </w:r>
      <w:r>
        <w:rPr>
          <w:color w:val="231F20"/>
          <w:spacing w:val="13"/>
        </w:rPr>
        <w:t> </w:t>
      </w:r>
      <w:r>
        <w:rPr>
          <w:color w:val="231F20"/>
        </w:rPr>
        <w:t>queries,</w:t>
      </w:r>
      <w:r>
        <w:rPr>
          <w:color w:val="231F20"/>
          <w:spacing w:val="12"/>
        </w:rPr>
        <w:t> </w:t>
      </w:r>
      <w:r>
        <w:rPr>
          <w:color w:val="231F20"/>
        </w:rPr>
        <w:t>edit</w:t>
      </w:r>
      <w:r>
        <w:rPr>
          <w:color w:val="231F20"/>
          <w:spacing w:val="13"/>
        </w:rPr>
        <w:t> </w:t>
      </w:r>
      <w:r>
        <w:rPr>
          <w:color w:val="231F20"/>
        </w:rPr>
        <w:t>the</w:t>
      </w:r>
      <w:r>
        <w:rPr>
          <w:color w:val="231F20"/>
          <w:spacing w:val="12"/>
        </w:rPr>
        <w:t> </w:t>
      </w:r>
      <w:r>
        <w:rPr>
          <w:color w:val="231F20"/>
        </w:rPr>
        <w:t>SELECT</w:t>
      </w:r>
      <w:r>
        <w:rPr>
          <w:color w:val="231F20"/>
          <w:spacing w:val="13"/>
        </w:rPr>
        <w:t> </w:t>
      </w:r>
      <w:r>
        <w:rPr>
          <w:color w:val="231F20"/>
          <w:spacing w:val="-2"/>
        </w:rPr>
        <w:t>statement.</w:t>
      </w:r>
    </w:p>
    <w:p>
      <w:pPr>
        <w:pStyle w:val="ListParagraph"/>
        <w:numPr>
          <w:ilvl w:val="0"/>
          <w:numId w:val="93"/>
        </w:numPr>
        <w:tabs>
          <w:tab w:pos="2788" w:val="left" w:leader="none"/>
        </w:tabs>
        <w:spacing w:line="213" w:lineRule="auto" w:before="52" w:after="0"/>
        <w:ind w:left="2788" w:right="526" w:hanging="316"/>
        <w:jc w:val="both"/>
        <w:rPr>
          <w:sz w:val="20"/>
        </w:rPr>
      </w:pPr>
      <w:r>
        <w:rPr>
          <w:color w:val="231F20"/>
          <w:sz w:val="20"/>
        </w:rPr>
        <w:t>Optional. If you opened the Query editor from the view properties, you can change the list of managed systems the query will extract data from.</w:t>
      </w:r>
    </w:p>
    <w:p>
      <w:pPr>
        <w:pStyle w:val="ListParagraph"/>
        <w:numPr>
          <w:ilvl w:val="1"/>
          <w:numId w:val="93"/>
        </w:numPr>
        <w:tabs>
          <w:tab w:pos="3103" w:val="left" w:leader="none"/>
        </w:tabs>
        <w:spacing w:line="240" w:lineRule="auto" w:before="36" w:after="0"/>
        <w:ind w:left="3103" w:right="0" w:hanging="315"/>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b/>
          <w:color w:val="231F20"/>
          <w:sz w:val="20"/>
        </w:rPr>
        <w:t>Query</w:t>
      </w:r>
      <w:r>
        <w:rPr>
          <w:rFonts w:ascii="Book Antiqua"/>
          <w:b/>
          <w:color w:val="231F20"/>
          <w:spacing w:val="11"/>
          <w:sz w:val="20"/>
        </w:rPr>
        <w:t> </w:t>
      </w:r>
      <w:r>
        <w:rPr>
          <w:rFonts w:ascii="Book Antiqua"/>
          <w:b/>
          <w:color w:val="231F20"/>
          <w:sz w:val="20"/>
        </w:rPr>
        <w:t>Results</w:t>
      </w:r>
      <w:r>
        <w:rPr>
          <w:rFonts w:ascii="Book Antiqua"/>
          <w:b/>
          <w:color w:val="231F20"/>
          <w:spacing w:val="11"/>
          <w:sz w:val="20"/>
        </w:rPr>
        <w:t> </w:t>
      </w:r>
      <w:r>
        <w:rPr>
          <w:rFonts w:ascii="Book Antiqua"/>
          <w:b/>
          <w:color w:val="231F20"/>
          <w:sz w:val="20"/>
        </w:rPr>
        <w:t>Source</w:t>
      </w:r>
      <w:r>
        <w:rPr>
          <w:rFonts w:ascii="Book Antiqua"/>
          <w:b/>
          <w:color w:val="231F20"/>
          <w:spacing w:val="10"/>
          <w:sz w:val="20"/>
        </w:rPr>
        <w:t> </w:t>
      </w:r>
      <w:r>
        <w:rPr>
          <w:color w:val="231F20"/>
          <w:spacing w:val="-4"/>
          <w:sz w:val="20"/>
        </w:rPr>
        <w:t>tab.</w:t>
      </w:r>
    </w:p>
    <w:p>
      <w:pPr>
        <w:pStyle w:val="ListParagraph"/>
        <w:numPr>
          <w:ilvl w:val="1"/>
          <w:numId w:val="93"/>
        </w:numPr>
        <w:tabs>
          <w:tab w:pos="3104" w:val="left" w:leader="none"/>
        </w:tabs>
        <w:spacing w:line="208" w:lineRule="auto" w:before="61" w:after="0"/>
        <w:ind w:left="3104" w:right="301" w:hanging="316"/>
        <w:jc w:val="left"/>
        <w:rPr>
          <w:sz w:val="20"/>
        </w:rPr>
      </w:pPr>
      <w:r>
        <w:rPr>
          <w:color w:val="231F20"/>
          <w:sz w:val="20"/>
        </w:rPr>
        <w:t>Select </w:t>
      </w:r>
      <w:r>
        <w:rPr>
          <w:color w:val="231F20"/>
          <w:spacing w:val="16"/>
          <w:sz w:val="20"/>
        </w:rPr>
        <w:drawing>
          <wp:inline distT="0" distB="0" distL="0" distR="0">
            <wp:extent cx="88900" cy="82550"/>
            <wp:effectExtent l="0" t="0" r="0" b="0"/>
            <wp:docPr id="1792" name="Image 1792"/>
            <wp:cNvGraphicFramePr>
              <a:graphicFrameLocks/>
            </wp:cNvGraphicFramePr>
            <a:graphic>
              <a:graphicData uri="http://schemas.openxmlformats.org/drawingml/2006/picture">
                <pic:pic>
                  <pic:nvPicPr>
                    <pic:cNvPr id="1792" name="Image 1792"/>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Let user assign explicitly</w:t>
      </w:r>
      <w:r>
        <w:rPr>
          <w:color w:val="231F20"/>
          <w:sz w:val="20"/>
        </w:rPr>
        <w:t>, then</w:t>
      </w:r>
      <w:r>
        <w:rPr>
          <w:color w:val="231F20"/>
          <w:spacing w:val="40"/>
          <w:sz w:val="20"/>
        </w:rPr>
        <w:t> </w:t>
      </w:r>
      <w:r>
        <w:rPr>
          <w:color w:val="231F20"/>
          <w:spacing w:val="-14"/>
          <w:position w:val="1"/>
          <w:sz w:val="20"/>
        </w:rPr>
        <w:drawing>
          <wp:inline distT="0" distB="0" distL="0" distR="0">
            <wp:extent cx="44450" cy="76200"/>
            <wp:effectExtent l="0" t="0" r="0" b="0"/>
            <wp:docPr id="1793" name="Image 1793"/>
            <wp:cNvGraphicFramePr>
              <a:graphicFrameLocks/>
            </wp:cNvGraphicFramePr>
            <a:graphic>
              <a:graphicData uri="http://schemas.openxmlformats.org/drawingml/2006/picture">
                <pic:pic>
                  <pic:nvPicPr>
                    <pic:cNvPr id="1793" name="Image 1793"/>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remove managed systems from</w:t>
      </w:r>
      <w:r>
        <w:rPr>
          <w:color w:val="231F20"/>
          <w:spacing w:val="40"/>
          <w:sz w:val="20"/>
        </w:rPr>
        <w:t> </w:t>
      </w:r>
      <w:r>
        <w:rPr>
          <w:color w:val="231F20"/>
          <w:sz w:val="20"/>
        </w:rPr>
        <w:t>the </w:t>
      </w:r>
      <w:r>
        <w:rPr>
          <w:rFonts w:ascii="Book Antiqua"/>
          <w:b/>
          <w:color w:val="231F20"/>
          <w:sz w:val="20"/>
        </w:rPr>
        <w:t>Assigned </w:t>
      </w:r>
      <w:r>
        <w:rPr>
          <w:color w:val="231F20"/>
          <w:sz w:val="20"/>
        </w:rPr>
        <w:t>list and</w:t>
      </w:r>
      <w:r>
        <w:rPr>
          <w:color w:val="231F20"/>
          <w:spacing w:val="40"/>
          <w:sz w:val="20"/>
        </w:rPr>
        <w:t> </w:t>
      </w:r>
      <w:r>
        <w:rPr>
          <w:color w:val="231F20"/>
          <w:spacing w:val="16"/>
          <w:position w:val="1"/>
          <w:sz w:val="20"/>
        </w:rPr>
        <w:drawing>
          <wp:inline distT="0" distB="0" distL="0" distR="0">
            <wp:extent cx="44450" cy="76200"/>
            <wp:effectExtent l="0" t="0" r="0" b="0"/>
            <wp:docPr id="1794" name="Image 1794"/>
            <wp:cNvGraphicFramePr>
              <a:graphicFrameLocks/>
            </wp:cNvGraphicFramePr>
            <a:graphic>
              <a:graphicData uri="http://schemas.openxmlformats.org/drawingml/2006/picture">
                <pic:pic>
                  <pic:nvPicPr>
                    <pic:cNvPr id="1794" name="Image 179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add them from the </w:t>
      </w:r>
      <w:r>
        <w:rPr>
          <w:rFonts w:ascii="Book Antiqua"/>
          <w:b/>
          <w:color w:val="231F20"/>
          <w:sz w:val="20"/>
        </w:rPr>
        <w:t>Available </w:t>
      </w:r>
      <w:r>
        <w:rPr>
          <w:color w:val="231F20"/>
          <w:sz w:val="20"/>
        </w:rPr>
        <w:t>list.</w:t>
      </w:r>
    </w:p>
    <w:p>
      <w:pPr>
        <w:pStyle w:val="BodyText"/>
        <w:spacing w:line="213" w:lineRule="auto" w:before="120"/>
        <w:ind w:left="2788" w:right="379"/>
      </w:pPr>
      <w:r>
        <w:rPr>
          <w:color w:val="231F20"/>
        </w:rPr>
        <w:t>Regardless of the managed systems assigned to a query, a gauge chart can</w:t>
      </w:r>
      <w:r>
        <w:rPr>
          <w:color w:val="231F20"/>
          <w:spacing w:val="80"/>
        </w:rPr>
        <w:t> </w:t>
      </w:r>
      <w:r>
        <w:rPr>
          <w:color w:val="231F20"/>
        </w:rPr>
        <w:t>show data from only one managed system. If you are using the query in a workspace where multiple systems are applicable, such as at the </w:t>
      </w:r>
      <w:r>
        <w:rPr>
          <w:color w:val="231F20"/>
          <w:spacing w:val="15"/>
          <w:position w:val="-1"/>
        </w:rPr>
        <w:drawing>
          <wp:inline distT="0" distB="0" distL="0" distR="0">
            <wp:extent cx="95250" cy="101600"/>
            <wp:effectExtent l="0" t="0" r="0" b="0"/>
            <wp:docPr id="1795" name="Image 1795"/>
            <wp:cNvGraphicFramePr>
              <a:graphicFrameLocks/>
            </wp:cNvGraphicFramePr>
            <a:graphic>
              <a:graphicData uri="http://schemas.openxmlformats.org/drawingml/2006/picture">
                <pic:pic>
                  <pic:nvPicPr>
                    <pic:cNvPr id="1795" name="Image 1795"/>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7"/>
        </w:rPr>
        <w:t> </w:t>
      </w:r>
      <w:r>
        <w:rPr>
          <w:color w:val="231F20"/>
        </w:rPr>
        <w:t>Enterprise-</w:t>
      </w:r>
      <w:r>
        <w:rPr>
          <w:color w:val="231F20"/>
          <w:spacing w:val="40"/>
        </w:rPr>
        <w:t> </w:t>
      </w:r>
      <w:r>
        <w:rPr>
          <w:color w:val="231F20"/>
        </w:rPr>
        <w:t>or </w:t>
      </w:r>
      <w:r>
        <w:rPr>
          <w:color w:val="231F20"/>
          <w:spacing w:val="16"/>
          <w:position w:val="-1"/>
        </w:rPr>
        <w:drawing>
          <wp:inline distT="0" distB="0" distL="0" distR="0">
            <wp:extent cx="101600" cy="95250"/>
            <wp:effectExtent l="0" t="0" r="0" b="0"/>
            <wp:docPr id="1796" name="Image 1796"/>
            <wp:cNvGraphicFramePr>
              <a:graphicFrameLocks/>
            </wp:cNvGraphicFramePr>
            <a:graphic>
              <a:graphicData uri="http://schemas.openxmlformats.org/drawingml/2006/picture">
                <pic:pic>
                  <pic:nvPicPr>
                    <pic:cNvPr id="1796" name="Image 1796"/>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Platform level of the Navigator Physical view, the data shown is from the first managed system in the </w:t>
      </w:r>
      <w:r>
        <w:rPr>
          <w:rFonts w:ascii="Book Antiqua"/>
          <w:b/>
          <w:color w:val="231F20"/>
        </w:rPr>
        <w:t>Assigned </w:t>
      </w:r>
      <w:r>
        <w:rPr>
          <w:color w:val="231F20"/>
        </w:rPr>
        <w:t>list.</w:t>
      </w:r>
    </w:p>
    <w:p>
      <w:pPr>
        <w:pStyle w:val="ListParagraph"/>
        <w:numPr>
          <w:ilvl w:val="0"/>
          <w:numId w:val="93"/>
        </w:numPr>
        <w:tabs>
          <w:tab w:pos="2788" w:val="left" w:leader="none"/>
        </w:tabs>
        <w:spacing w:line="213" w:lineRule="auto" w:before="57" w:after="0"/>
        <w:ind w:left="2788" w:right="448" w:hanging="316"/>
        <w:jc w:val="both"/>
        <w:rPr>
          <w:sz w:val="20"/>
        </w:rPr>
      </w:pPr>
      <w:r>
        <w:rPr>
          <w:color w:val="231F20"/>
          <w:sz w:val="20"/>
        </w:rPr>
        <w:t>When you are finished, click </w:t>
      </w:r>
      <w:r>
        <w:rPr>
          <w:rFonts w:ascii="Book Antiqua"/>
          <w:b/>
          <w:color w:val="231F20"/>
          <w:sz w:val="20"/>
        </w:rPr>
        <w:t>Apply </w:t>
      </w:r>
      <w:r>
        <w:rPr>
          <w:color w:val="231F20"/>
          <w:sz w:val="20"/>
        </w:rPr>
        <w:t>to save the query and keep the window open or click </w:t>
      </w:r>
      <w:r>
        <w:rPr>
          <w:rFonts w:ascii="Book Antiqua"/>
          <w:b/>
          <w:color w:val="231F20"/>
          <w:sz w:val="20"/>
        </w:rPr>
        <w:t>OK </w:t>
      </w:r>
      <w:r>
        <w:rPr>
          <w:color w:val="231F20"/>
          <w:sz w:val="20"/>
        </w:rPr>
        <w:t>to save the query and close the window. If you opened the Query editor from the Properties window, clicking </w:t>
      </w:r>
      <w:r>
        <w:rPr>
          <w:rFonts w:ascii="Book Antiqua"/>
          <w:b/>
          <w:color w:val="231F20"/>
          <w:sz w:val="20"/>
        </w:rPr>
        <w:t>OK </w:t>
      </w:r>
      <w:r>
        <w:rPr>
          <w:color w:val="231F20"/>
          <w:sz w:val="20"/>
        </w:rPr>
        <w:t>also selects the query for the current view.</w:t>
      </w:r>
    </w:p>
    <w:p>
      <w:pPr>
        <w:pStyle w:val="Heading6"/>
        <w:spacing w:line="240" w:lineRule="auto" w:before="34"/>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29"/>
        <w:ind w:left="2472"/>
      </w:pPr>
      <w:hyperlink w:history="true" w:anchor="_bookmark318">
        <w:r>
          <w:rPr>
            <w:color w:val="231F20"/>
          </w:rPr>
          <w:t>Appendix</w:t>
        </w:r>
        <w:r>
          <w:rPr>
            <w:color w:val="231F20"/>
            <w:spacing w:val="-6"/>
          </w:rPr>
          <w:t> </w:t>
        </w:r>
        <w:r>
          <w:rPr>
            <w:color w:val="231F20"/>
          </w:rPr>
          <w:t>A,</w:t>
        </w:r>
        <w:r>
          <w:rPr>
            <w:color w:val="231F20"/>
            <w:spacing w:val="10"/>
          </w:rPr>
          <w:t> </w:t>
        </w:r>
        <w:r>
          <w:rPr>
            <w:color w:val="231F20"/>
          </w:rPr>
          <w:t>“Formula</w:t>
        </w:r>
        <w:r>
          <w:rPr>
            <w:color w:val="231F20"/>
            <w:spacing w:val="9"/>
          </w:rPr>
          <w:t> </w:t>
        </w:r>
        <w:r>
          <w:rPr>
            <w:color w:val="231F20"/>
          </w:rPr>
          <w:t>functions,”</w:t>
        </w:r>
        <w:r>
          <w:rPr>
            <w:color w:val="231F20"/>
            <w:spacing w:val="10"/>
          </w:rPr>
          <w:t> </w:t>
        </w:r>
        <w:r>
          <w:rPr>
            <w:color w:val="231F20"/>
          </w:rPr>
          <w:t>on</w:t>
        </w:r>
        <w:r>
          <w:rPr>
            <w:color w:val="231F20"/>
            <w:spacing w:val="10"/>
          </w:rPr>
          <w:t> </w:t>
        </w:r>
        <w:r>
          <w:rPr>
            <w:color w:val="231F20"/>
          </w:rPr>
          <w:t>page</w:t>
        </w:r>
        <w:r>
          <w:rPr>
            <w:color w:val="231F20"/>
            <w:spacing w:val="10"/>
          </w:rPr>
          <w:t> </w:t>
        </w:r>
        <w:r>
          <w:rPr>
            <w:color w:val="231F20"/>
            <w:spacing w:val="-5"/>
          </w:rPr>
          <w:t>411</w:t>
        </w:r>
      </w:hyperlink>
    </w:p>
    <w:p>
      <w:pPr>
        <w:pStyle w:val="BodyText"/>
        <w:spacing w:line="213" w:lineRule="auto" w:before="8"/>
        <w:ind w:left="2472"/>
      </w:pPr>
      <w:r>
        <w:rPr>
          <w:color w:val="231F20"/>
        </w:rPr>
        <w:t>Use the functions provided in these editors to write formulas: Situation, </w:t>
      </w:r>
      <w:r>
        <w:rPr>
          <w:color w:val="231F20"/>
        </w:rPr>
        <w:t>Query, Properties Filters tab, and Properties Thresholds tab.</w:t>
      </w:r>
    </w:p>
    <w:p>
      <w:pPr>
        <w:pStyle w:val="BodyText"/>
        <w:spacing w:before="6"/>
        <w:rPr>
          <w:sz w:val="16"/>
        </w:rPr>
      </w:pPr>
      <w:r>
        <w:rPr/>
        <mc:AlternateContent>
          <mc:Choice Requires="wps">
            <w:drawing>
              <wp:anchor distT="0" distB="0" distL="0" distR="0" allowOverlap="1" layoutInCell="1" locked="0" behindDoc="1" simplePos="0" relativeHeight="487709184">
                <wp:simplePos x="0" y="0"/>
                <wp:positionH relativeFrom="page">
                  <wp:posOffset>912380</wp:posOffset>
                </wp:positionH>
                <wp:positionV relativeFrom="paragraph">
                  <wp:posOffset>156247</wp:posOffset>
                </wp:positionV>
                <wp:extent cx="6082665" cy="1270"/>
                <wp:effectExtent l="0" t="0" r="0" b="0"/>
                <wp:wrapTopAndBottom/>
                <wp:docPr id="1797" name="Graphic 1797"/>
                <wp:cNvGraphicFramePr>
                  <a:graphicFrameLocks/>
                </wp:cNvGraphicFramePr>
                <a:graphic>
                  <a:graphicData uri="http://schemas.microsoft.com/office/word/2010/wordprocessingShape">
                    <wps:wsp>
                      <wps:cNvPr id="1797" name="Graphic 179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302943pt;width:478.95pt;height:.1pt;mso-position-horizontal-relative:page;mso-position-vertical-relative:paragraph;z-index:-15607296;mso-wrap-distance-left:0;mso-wrap-distance-right:0" id="docshape176"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Deleting a query" w:id="331"/>
      <w:bookmarkEnd w:id="331"/>
      <w:r>
        <w:rPr>
          <w:b w:val="0"/>
        </w:rPr>
      </w:r>
      <w:r>
        <w:rPr>
          <w:color w:val="231F20"/>
        </w:rPr>
        <w:t>Deleting</w:t>
      </w:r>
      <w:r>
        <w:rPr>
          <w:color w:val="231F20"/>
          <w:spacing w:val="8"/>
        </w:rPr>
        <w:t> </w:t>
      </w:r>
      <w:r>
        <w:rPr>
          <w:color w:val="231F20"/>
        </w:rPr>
        <w:t>a</w:t>
      </w:r>
      <w:r>
        <w:rPr>
          <w:color w:val="231F20"/>
          <w:spacing w:val="9"/>
        </w:rPr>
        <w:t> </w:t>
      </w:r>
      <w:r>
        <w:rPr>
          <w:color w:val="231F20"/>
          <w:spacing w:val="-2"/>
        </w:rPr>
        <w:t>query</w:t>
      </w:r>
    </w:p>
    <w:p>
      <w:pPr>
        <w:pStyle w:val="BodyText"/>
        <w:spacing w:line="213" w:lineRule="auto" w:before="138"/>
        <w:ind w:left="2472" w:right="493"/>
      </w:pPr>
      <w:r>
        <w:rPr>
          <w:color w:val="231F20"/>
        </w:rPr>
        <w:t>When you no longer need a query for any purpose, you can clean up the </w:t>
      </w:r>
      <w:r>
        <w:rPr>
          <w:color w:val="231F20"/>
        </w:rPr>
        <w:t>Query</w:t>
      </w:r>
      <w:r>
        <w:rPr>
          <w:color w:val="231F20"/>
          <w:spacing w:val="40"/>
        </w:rPr>
        <w:t> </w:t>
      </w:r>
      <w:r>
        <w:rPr>
          <w:color w:val="231F20"/>
        </w:rPr>
        <w:t>editor tree by deleting it.</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firstLine="20"/>
      </w:pPr>
      <w:r>
        <w:rPr>
          <w:position w:val="-1"/>
        </w:rPr>
        <w:drawing>
          <wp:inline distT="0" distB="0" distL="0" distR="0">
            <wp:extent cx="82550" cy="101600"/>
            <wp:effectExtent l="0" t="0" r="0" b="0"/>
            <wp:docPr id="1798" name="Image 1798"/>
            <wp:cNvGraphicFramePr>
              <a:graphicFrameLocks/>
            </wp:cNvGraphicFramePr>
            <a:graphic>
              <a:graphicData uri="http://schemas.openxmlformats.org/drawingml/2006/picture">
                <pic:pic>
                  <pic:nvPicPr>
                    <pic:cNvPr id="1798" name="Image 1798"/>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69"/>
        </w:rPr>
        <w:t> </w:t>
      </w:r>
      <w:r>
        <w:rPr>
          <w:color w:val="231F20"/>
        </w:rPr>
        <w:t>If you do not see the Queries tool, your user ID does not have View or Modify</w:t>
      </w:r>
      <w:r>
        <w:rPr>
          <w:color w:val="231F20"/>
          <w:spacing w:val="40"/>
        </w:rPr>
        <w:t> </w:t>
      </w:r>
      <w:r>
        <w:rPr>
          <w:color w:val="231F20"/>
        </w:rPr>
        <w:t>Query permissions. If you can open the Query editor but the tools are disabled, your user ID does not have Modify Query permission.</w:t>
      </w:r>
    </w:p>
    <w:p>
      <w:pPr>
        <w:pStyle w:val="Heading4"/>
        <w:ind w:left="2472"/>
      </w:pPr>
      <w:r>
        <w:rPr>
          <w:color w:val="231F20"/>
          <w:spacing w:val="-2"/>
        </w:rPr>
        <w:t>Procedure</w:t>
      </w:r>
    </w:p>
    <w:p>
      <w:pPr>
        <w:pStyle w:val="ListParagraph"/>
        <w:numPr>
          <w:ilvl w:val="0"/>
          <w:numId w:val="94"/>
        </w:numPr>
        <w:tabs>
          <w:tab w:pos="2787" w:val="left" w:leader="none"/>
        </w:tabs>
        <w:spacing w:line="240" w:lineRule="auto" w:before="38" w:after="0"/>
        <w:ind w:left="2787" w:right="0" w:hanging="315"/>
        <w:jc w:val="left"/>
        <w:rPr>
          <w:sz w:val="20"/>
        </w:rPr>
      </w:pPr>
      <w:r>
        <w:rPr>
          <w:color w:val="231F20"/>
          <w:sz w:val="20"/>
        </w:rPr>
        <w:t>Do</w:t>
      </w:r>
      <w:r>
        <w:rPr>
          <w:color w:val="231F20"/>
          <w:spacing w:val="12"/>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3"/>
          <w:sz w:val="20"/>
        </w:rPr>
        <w:t> </w:t>
      </w:r>
      <w:r>
        <w:rPr>
          <w:color w:val="231F20"/>
          <w:sz w:val="20"/>
        </w:rPr>
        <w:t>following</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the</w:t>
      </w:r>
      <w:r>
        <w:rPr>
          <w:color w:val="231F20"/>
          <w:spacing w:val="13"/>
          <w:sz w:val="20"/>
        </w:rPr>
        <w:t> </w:t>
      </w:r>
      <w:r>
        <w:rPr>
          <w:color w:val="231F20"/>
          <w:sz w:val="20"/>
        </w:rPr>
        <w:t>Query</w:t>
      </w:r>
      <w:r>
        <w:rPr>
          <w:color w:val="231F20"/>
          <w:spacing w:val="12"/>
          <w:sz w:val="20"/>
        </w:rPr>
        <w:t> </w:t>
      </w:r>
      <w:r>
        <w:rPr>
          <w:color w:val="231F20"/>
          <w:spacing w:val="-2"/>
          <w:sz w:val="20"/>
        </w:rPr>
        <w:t>editor:</w:t>
      </w:r>
    </w:p>
    <w:p>
      <w:pPr>
        <w:spacing w:before="30"/>
        <w:ind w:left="2788" w:right="0" w:firstLine="0"/>
        <w:jc w:val="left"/>
        <w:rPr>
          <w:sz w:val="20"/>
        </w:rPr>
      </w:pPr>
      <w:r>
        <w:rPr>
          <w:rFonts w:ascii="Futura MdCn BT"/>
          <w:color w:val="231F20"/>
          <w:sz w:val="20"/>
        </w:rPr>
        <w:t>v</w:t>
      </w:r>
      <w:r>
        <w:rPr>
          <w:rFonts w:ascii="Futura MdCn BT"/>
          <w:color w:val="231F20"/>
          <w:spacing w:val="33"/>
          <w:sz w:val="20"/>
        </w:rPr>
        <w:t>  </w:t>
      </w:r>
      <w:r>
        <w:rPr>
          <w:color w:val="231F20"/>
          <w:sz w:val="20"/>
        </w:rPr>
        <w:t>Click</w:t>
      </w:r>
      <w:r>
        <w:rPr>
          <w:color w:val="231F20"/>
          <w:spacing w:val="26"/>
          <w:sz w:val="20"/>
        </w:rPr>
        <w:t> </w:t>
      </w:r>
      <w:r>
        <w:rPr>
          <w:color w:val="231F20"/>
          <w:spacing w:val="-24"/>
          <w:position w:val="-1"/>
          <w:sz w:val="20"/>
        </w:rPr>
        <w:drawing>
          <wp:inline distT="0" distB="0" distL="0" distR="0">
            <wp:extent cx="95250" cy="101600"/>
            <wp:effectExtent l="0" t="0" r="0" b="0"/>
            <wp:docPr id="1799" name="Image 1799"/>
            <wp:cNvGraphicFramePr>
              <a:graphicFrameLocks/>
            </wp:cNvGraphicFramePr>
            <a:graphic>
              <a:graphicData uri="http://schemas.openxmlformats.org/drawingml/2006/picture">
                <pic:pic>
                  <pic:nvPicPr>
                    <pic:cNvPr id="1799" name="Image 1799"/>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60"/>
          <w:w w:val="150"/>
          <w:sz w:val="20"/>
        </w:rPr>
        <w:t> </w:t>
      </w:r>
      <w:r>
        <w:rPr>
          <w:rFonts w:ascii="Book Antiqua"/>
          <w:b/>
          <w:color w:val="231F20"/>
          <w:sz w:val="20"/>
        </w:rPr>
        <w:t>Query</w:t>
      </w:r>
      <w:r>
        <w:rPr>
          <w:rFonts w:ascii="Book Antiqua"/>
          <w:b/>
          <w:color w:val="231F20"/>
          <w:spacing w:val="15"/>
          <w:sz w:val="20"/>
        </w:rPr>
        <w:t> </w:t>
      </w:r>
      <w:r>
        <w:rPr>
          <w:rFonts w:ascii="Book Antiqua"/>
          <w:b/>
          <w:color w:val="231F20"/>
          <w:spacing w:val="-2"/>
          <w:sz w:val="20"/>
        </w:rPr>
        <w:t>Editor</w:t>
      </w:r>
      <w:r>
        <w:rPr>
          <w:color w:val="231F20"/>
          <w:spacing w:val="-2"/>
          <w:sz w:val="20"/>
        </w:rPr>
        <w:t>.</w:t>
      </w:r>
    </w:p>
    <w:p>
      <w:pPr>
        <w:pStyle w:val="BodyText"/>
        <w:spacing w:before="29"/>
        <w:ind w:left="2788"/>
      </w:pPr>
      <w:r>
        <w:rPr>
          <w:rFonts w:ascii="Futura MdCn BT"/>
          <w:color w:val="231F20"/>
        </w:rPr>
        <w:t>v</w:t>
      </w:r>
      <w:r>
        <w:rPr>
          <w:rFonts w:ascii="Futura MdCn BT"/>
          <w:color w:val="231F20"/>
          <w:spacing w:val="32"/>
        </w:rPr>
        <w:t>  </w:t>
      </w:r>
      <w:r>
        <w:rPr>
          <w:color w:val="231F20"/>
        </w:rPr>
        <w:t>In</w:t>
      </w:r>
      <w:r>
        <w:rPr>
          <w:color w:val="231F20"/>
          <w:spacing w:val="14"/>
        </w:rPr>
        <w:t> </w:t>
      </w:r>
      <w:r>
        <w:rPr>
          <w:color w:val="231F20"/>
        </w:rPr>
        <w:t>the</w:t>
      </w:r>
      <w:r>
        <w:rPr>
          <w:color w:val="231F20"/>
          <w:spacing w:val="13"/>
        </w:rPr>
        <w:t> </w:t>
      </w:r>
      <w:r>
        <w:rPr>
          <w:color w:val="231F20"/>
        </w:rPr>
        <w:t>view</w:t>
      </w:r>
      <w:r>
        <w:rPr>
          <w:color w:val="231F20"/>
          <w:spacing w:val="13"/>
        </w:rPr>
        <w:t> </w:t>
      </w:r>
      <w:r>
        <w:rPr>
          <w:color w:val="231F20"/>
        </w:rPr>
        <w:t>whose</w:t>
      </w:r>
      <w:r>
        <w:rPr>
          <w:color w:val="231F20"/>
          <w:spacing w:val="13"/>
        </w:rPr>
        <w:t> </w:t>
      </w:r>
      <w:r>
        <w:rPr>
          <w:color w:val="231F20"/>
        </w:rPr>
        <w:t>query</w:t>
      </w:r>
      <w:r>
        <w:rPr>
          <w:color w:val="231F20"/>
          <w:spacing w:val="13"/>
        </w:rPr>
        <w:t> </w:t>
      </w:r>
      <w:r>
        <w:rPr>
          <w:color w:val="231F20"/>
        </w:rPr>
        <w:t>you</w:t>
      </w:r>
      <w:r>
        <w:rPr>
          <w:color w:val="231F20"/>
          <w:spacing w:val="14"/>
        </w:rPr>
        <w:t> </w:t>
      </w:r>
      <w:r>
        <w:rPr>
          <w:color w:val="231F20"/>
        </w:rPr>
        <w:t>want</w:t>
      </w:r>
      <w:r>
        <w:rPr>
          <w:color w:val="231F20"/>
          <w:spacing w:val="13"/>
        </w:rPr>
        <w:t> </w:t>
      </w:r>
      <w:r>
        <w:rPr>
          <w:color w:val="231F20"/>
        </w:rPr>
        <w:t>to</w:t>
      </w:r>
      <w:r>
        <w:rPr>
          <w:color w:val="231F20"/>
          <w:spacing w:val="13"/>
        </w:rPr>
        <w:t> </w:t>
      </w:r>
      <w:r>
        <w:rPr>
          <w:color w:val="231F20"/>
        </w:rPr>
        <w:t>delete,</w:t>
      </w:r>
      <w:r>
        <w:rPr>
          <w:color w:val="231F20"/>
          <w:spacing w:val="13"/>
        </w:rPr>
        <w:t> </w:t>
      </w:r>
      <w:r>
        <w:rPr>
          <w:color w:val="231F20"/>
        </w:rPr>
        <w:t>click</w:t>
      </w:r>
      <w:r>
        <w:rPr>
          <w:color w:val="231F20"/>
          <w:spacing w:val="51"/>
        </w:rPr>
        <w:t> </w:t>
      </w:r>
      <w:r>
        <w:rPr>
          <w:color w:val="231F20"/>
          <w:spacing w:val="5"/>
          <w:position w:val="1"/>
        </w:rPr>
        <w:drawing>
          <wp:inline distT="0" distB="0" distL="0" distR="0">
            <wp:extent cx="57150" cy="57150"/>
            <wp:effectExtent l="0" t="0" r="0" b="0"/>
            <wp:docPr id="1800" name="Image 1800"/>
            <wp:cNvGraphicFramePr>
              <a:graphicFrameLocks/>
            </wp:cNvGraphicFramePr>
            <a:graphic>
              <a:graphicData uri="http://schemas.openxmlformats.org/drawingml/2006/picture">
                <pic:pic>
                  <pic:nvPicPr>
                    <pic:cNvPr id="1800" name="Image 1800"/>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rPr>
      </w:r>
      <w:r>
        <w:rPr>
          <w:rFonts w:ascii="Times New Roman"/>
          <w:color w:val="231F20"/>
          <w:spacing w:val="21"/>
        </w:rPr>
        <w:t> </w:t>
      </w:r>
      <w:r>
        <w:rPr>
          <w:rFonts w:ascii="Book Antiqua"/>
          <w:b/>
          <w:color w:val="231F20"/>
          <w:spacing w:val="-2"/>
        </w:rPr>
        <w:t>Properties</w:t>
      </w:r>
      <w:r>
        <w:rPr>
          <w:color w:val="231F20"/>
          <w:spacing w:val="-2"/>
        </w:rPr>
        <w:t>.</w:t>
      </w:r>
    </w:p>
    <w:p>
      <w:pPr>
        <w:pStyle w:val="BodyText"/>
        <w:spacing w:before="30"/>
        <w:ind w:left="2788"/>
      </w:pPr>
      <w:r>
        <w:rPr>
          <w:rFonts w:ascii="Futura MdCn BT"/>
          <w:color w:val="231F20"/>
        </w:rPr>
        <w:t>v</w:t>
      </w:r>
      <w:r>
        <w:rPr>
          <w:rFonts w:ascii="Futura MdCn BT"/>
          <w:color w:val="231F20"/>
          <w:spacing w:val="31"/>
        </w:rPr>
        <w:t>  </w:t>
      </w:r>
      <w:r>
        <w:rPr>
          <w:color w:val="231F20"/>
        </w:rPr>
        <w:t>Click</w:t>
      </w:r>
      <w:r>
        <w:rPr>
          <w:color w:val="231F20"/>
          <w:spacing w:val="11"/>
        </w:rPr>
        <w:t> </w:t>
      </w:r>
      <w:r>
        <w:rPr>
          <w:color w:val="231F20"/>
          <w:spacing w:val="16"/>
          <w:position w:val="-1"/>
        </w:rPr>
        <w:drawing>
          <wp:inline distT="0" distB="0" distL="0" distR="0">
            <wp:extent cx="101600" cy="95250"/>
            <wp:effectExtent l="0" t="0" r="0" b="0"/>
            <wp:docPr id="1801" name="Image 1801"/>
            <wp:cNvGraphicFramePr>
              <a:graphicFrameLocks/>
            </wp:cNvGraphicFramePr>
            <a:graphic>
              <a:graphicData uri="http://schemas.openxmlformats.org/drawingml/2006/picture">
                <pic:pic>
                  <pic:nvPicPr>
                    <pic:cNvPr id="1801" name="Image 1801"/>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3"/>
        </w:rPr>
        <w:t> </w:t>
      </w:r>
      <w:r>
        <w:rPr>
          <w:rFonts w:ascii="Book Antiqua"/>
          <w:b/>
          <w:color w:val="231F20"/>
        </w:rPr>
        <w:t>Properties</w:t>
      </w:r>
      <w:r>
        <w:rPr>
          <w:rFonts w:ascii="Book Antiqua"/>
          <w:b/>
          <w:color w:val="231F20"/>
          <w:spacing w:val="12"/>
        </w:rPr>
        <w:t> </w:t>
      </w:r>
      <w:r>
        <w:rPr>
          <w:color w:val="231F20"/>
        </w:rPr>
        <w:t>and</w:t>
      </w:r>
      <w:r>
        <w:rPr>
          <w:color w:val="231F20"/>
          <w:spacing w:val="12"/>
        </w:rPr>
        <w:t> </w:t>
      </w:r>
      <w:r>
        <w:rPr>
          <w:color w:val="231F20"/>
        </w:rPr>
        <w:t>select</w:t>
      </w:r>
      <w:r>
        <w:rPr>
          <w:color w:val="231F20"/>
          <w:spacing w:val="11"/>
        </w:rPr>
        <w:t> </w:t>
      </w:r>
      <w:r>
        <w:rPr>
          <w:color w:val="231F20"/>
        </w:rPr>
        <w:t>the</w:t>
      </w:r>
      <w:r>
        <w:rPr>
          <w:color w:val="231F20"/>
          <w:spacing w:val="12"/>
        </w:rPr>
        <w:t> </w:t>
      </w:r>
      <w:r>
        <w:rPr>
          <w:color w:val="231F20"/>
        </w:rPr>
        <w:t>view</w:t>
      </w:r>
      <w:r>
        <w:rPr>
          <w:color w:val="231F20"/>
          <w:spacing w:val="12"/>
        </w:rPr>
        <w:t> </w:t>
      </w:r>
      <w:r>
        <w:rPr>
          <w:color w:val="231F20"/>
        </w:rPr>
        <w:t>from</w:t>
      </w:r>
      <w:r>
        <w:rPr>
          <w:color w:val="231F20"/>
          <w:spacing w:val="12"/>
        </w:rPr>
        <w:t> </w:t>
      </w:r>
      <w:r>
        <w:rPr>
          <w:color w:val="231F20"/>
        </w:rPr>
        <w:t>the</w:t>
      </w:r>
      <w:r>
        <w:rPr>
          <w:color w:val="231F20"/>
          <w:spacing w:val="12"/>
        </w:rPr>
        <w:t> </w:t>
      </w:r>
      <w:r>
        <w:rPr>
          <w:color w:val="231F20"/>
        </w:rPr>
        <w:t>Properties</w:t>
      </w:r>
      <w:r>
        <w:rPr>
          <w:color w:val="231F20"/>
          <w:spacing w:val="11"/>
        </w:rPr>
        <w:t> </w:t>
      </w:r>
      <w:r>
        <w:rPr>
          <w:color w:val="231F20"/>
          <w:spacing w:val="-2"/>
        </w:rPr>
        <w:t>tree.</w:t>
      </w:r>
    </w:p>
    <w:p>
      <w:pPr>
        <w:pStyle w:val="ListParagraph"/>
        <w:numPr>
          <w:ilvl w:val="0"/>
          <w:numId w:val="94"/>
        </w:numPr>
        <w:tabs>
          <w:tab w:pos="2788" w:val="left" w:leader="none"/>
        </w:tabs>
        <w:spacing w:line="213" w:lineRule="auto" w:before="52" w:after="0"/>
        <w:ind w:left="2788" w:right="502" w:hanging="316"/>
        <w:jc w:val="left"/>
        <w:rPr>
          <w:sz w:val="20"/>
        </w:rPr>
      </w:pPr>
      <w:r>
        <w:rPr>
          <w:color w:val="231F20"/>
          <w:sz w:val="20"/>
        </w:rPr>
        <w:t>Select the </w:t>
      </w:r>
      <w:r>
        <w:rPr>
          <w:color w:val="231F20"/>
          <w:spacing w:val="-24"/>
          <w:position w:val="-1"/>
          <w:sz w:val="20"/>
        </w:rPr>
        <w:drawing>
          <wp:inline distT="0" distB="0" distL="0" distR="0">
            <wp:extent cx="95250" cy="101600"/>
            <wp:effectExtent l="0" t="0" r="0" b="0"/>
            <wp:docPr id="1802" name="Image 1802"/>
            <wp:cNvGraphicFramePr>
              <a:graphicFrameLocks/>
            </wp:cNvGraphicFramePr>
            <a:graphic>
              <a:graphicData uri="http://schemas.openxmlformats.org/drawingml/2006/picture">
                <pic:pic>
                  <pic:nvPicPr>
                    <pic:cNvPr id="1802" name="Image 1802"/>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8"/>
          <w:sz w:val="20"/>
        </w:rPr>
        <w:t> </w:t>
      </w:r>
      <w:r>
        <w:rPr>
          <w:color w:val="231F20"/>
          <w:sz w:val="20"/>
        </w:rPr>
        <w:t>Query name in the tree. The query specification is displayed </w:t>
      </w:r>
      <w:r>
        <w:rPr>
          <w:color w:val="231F20"/>
          <w:sz w:val="20"/>
        </w:rPr>
        <w:t>in the right frame.</w:t>
      </w:r>
    </w:p>
    <w:p>
      <w:pPr>
        <w:pStyle w:val="ListParagraph"/>
        <w:numPr>
          <w:ilvl w:val="0"/>
          <w:numId w:val="94"/>
        </w:numPr>
        <w:tabs>
          <w:tab w:pos="2786" w:val="left" w:leader="none"/>
          <w:tab w:pos="2788" w:val="left" w:leader="none"/>
        </w:tabs>
        <w:spacing w:line="213" w:lineRule="auto" w:before="59" w:after="0"/>
        <w:ind w:left="2788" w:right="381" w:hanging="317"/>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101600"/>
            <wp:effectExtent l="0" t="0" r="0" b="0"/>
            <wp:docPr id="1803" name="Image 1803"/>
            <wp:cNvGraphicFramePr>
              <a:graphicFrameLocks/>
            </wp:cNvGraphicFramePr>
            <a:graphic>
              <a:graphicData uri="http://schemas.openxmlformats.org/drawingml/2006/picture">
                <pic:pic>
                  <pic:nvPicPr>
                    <pic:cNvPr id="1803" name="Image 1803"/>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rFonts w:ascii="Book Antiqua"/>
          <w:b/>
          <w:color w:val="231F20"/>
          <w:sz w:val="20"/>
        </w:rPr>
        <w:t>Delete Query</w:t>
      </w:r>
      <w:r>
        <w:rPr>
          <w:color w:val="231F20"/>
          <w:sz w:val="20"/>
        </w:rPr>
        <w:t>. If the Delete Query tool is disabled, your user ID </w:t>
      </w:r>
      <w:r>
        <w:rPr>
          <w:color w:val="231F20"/>
          <w:sz w:val="20"/>
        </w:rPr>
        <w:t>does not have Modify Query permission.</w:t>
      </w:r>
    </w:p>
    <w:p>
      <w:pPr>
        <w:pStyle w:val="BodyText"/>
        <w:spacing w:line="213" w:lineRule="auto" w:before="58"/>
        <w:ind w:left="2788" w:right="274"/>
      </w:pPr>
      <w:r>
        <w:rPr>
          <w:color w:val="231F20"/>
        </w:rPr>
        <w:t>If a Navigator item is associated with a query, you will not be able to delete the</w:t>
      </w:r>
      <w:r>
        <w:rPr>
          <w:color w:val="231F20"/>
          <w:spacing w:val="40"/>
        </w:rPr>
        <w:t> </w:t>
      </w:r>
      <w:r>
        <w:rPr>
          <w:color w:val="231F20"/>
          <w:spacing w:val="-2"/>
        </w:rPr>
        <w:t>query.</w:t>
      </w:r>
    </w:p>
    <w:p>
      <w:pPr>
        <w:pStyle w:val="BodyText"/>
        <w:spacing w:line="213" w:lineRule="auto" w:before="239"/>
        <w:ind w:left="2788" w:right="385"/>
      </w:pPr>
      <w:r>
        <w:rPr>
          <w:rFonts w:ascii="Book Antiqua"/>
          <w:b/>
          <w:color w:val="231F20"/>
        </w:rPr>
        <w:t>Note:</w:t>
      </w:r>
      <w:r>
        <w:rPr>
          <w:rFonts w:ascii="Book Antiqua"/>
          <w:b/>
          <w:color w:val="231F20"/>
          <w:spacing w:val="40"/>
        </w:rPr>
        <w:t> </w:t>
      </w:r>
      <w:r>
        <w:rPr>
          <w:color w:val="231F20"/>
        </w:rPr>
        <w:t>If you delete a query that is being used by a view, the view is no longer</w:t>
      </w:r>
      <w:r>
        <w:rPr>
          <w:color w:val="231F20"/>
          <w:spacing w:val="40"/>
        </w:rPr>
        <w:t> </w:t>
      </w:r>
      <w:r>
        <w:rPr>
          <w:color w:val="231F20"/>
        </w:rPr>
        <w:t>associated with a query and contains no data when you next open its</w:t>
      </w:r>
      <w:r>
        <w:rPr>
          <w:color w:val="231F20"/>
          <w:spacing w:val="40"/>
        </w:rPr>
        <w:t> </w:t>
      </w:r>
      <w:r>
        <w:rPr>
          <w:color w:val="231F20"/>
          <w:spacing w:val="-2"/>
        </w:rPr>
        <w:t>workspace.</w:t>
      </w:r>
    </w:p>
    <w:p>
      <w:pPr>
        <w:pStyle w:val="ListParagraph"/>
        <w:numPr>
          <w:ilvl w:val="0"/>
          <w:numId w:val="94"/>
        </w:numPr>
        <w:tabs>
          <w:tab w:pos="2787" w:val="left" w:leader="none"/>
        </w:tabs>
        <w:spacing w:line="240" w:lineRule="auto" w:before="34" w:after="0"/>
        <w:ind w:left="2787" w:right="0" w:hanging="315"/>
        <w:jc w:val="left"/>
        <w:rPr>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3"/>
          <w:sz w:val="20"/>
        </w:rPr>
        <w:t> </w:t>
      </w:r>
      <w:r>
        <w:rPr>
          <w:color w:val="231F20"/>
          <w:sz w:val="20"/>
        </w:rPr>
        <w:t>to</w:t>
      </w:r>
      <w:r>
        <w:rPr>
          <w:color w:val="231F20"/>
          <w:spacing w:val="13"/>
          <w:sz w:val="20"/>
        </w:rPr>
        <w:t> </w:t>
      </w:r>
      <w:r>
        <w:rPr>
          <w:color w:val="231F20"/>
          <w:spacing w:val="-2"/>
          <w:sz w:val="20"/>
        </w:rPr>
        <w:t>confirm.</w:t>
      </w:r>
    </w:p>
    <w:p>
      <w:pPr>
        <w:spacing w:after="0" w:line="240" w:lineRule="auto"/>
        <w:jc w:val="left"/>
        <w:rPr>
          <w:sz w:val="20"/>
        </w:rPr>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150" w:id="332"/>
      <w:bookmarkEnd w:id="332"/>
      <w:r>
        <w:rPr/>
      </w:r>
      <w:r>
        <w:rPr>
          <w:sz w:val="2"/>
        </w:rPr>
        <mc:AlternateContent>
          <mc:Choice Requires="wps">
            <w:drawing>
              <wp:inline distT="0" distB="0" distL="0" distR="0">
                <wp:extent cx="6082665" cy="6350"/>
                <wp:effectExtent l="9525" t="0" r="0" b="3175"/>
                <wp:docPr id="1804" name="Group 1804"/>
                <wp:cNvGraphicFramePr>
                  <a:graphicFrameLocks/>
                </wp:cNvGraphicFramePr>
                <a:graphic>
                  <a:graphicData uri="http://schemas.microsoft.com/office/word/2010/wordprocessingGroup">
                    <wpg:wgp>
                      <wpg:cNvPr id="1804" name="Group 1804"/>
                      <wpg:cNvGrpSpPr/>
                      <wpg:grpSpPr>
                        <a:xfrm>
                          <a:off x="0" y="0"/>
                          <a:ext cx="6082665" cy="6350"/>
                          <a:chExt cx="6082665" cy="6350"/>
                        </a:xfrm>
                      </wpg:grpSpPr>
                      <wps:wsp>
                        <wps:cNvPr id="1805" name="Graphic 1805"/>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177"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Tivoli Enterprise Monitoring Server pred" w:id="333"/>
      <w:bookmarkEnd w:id="333"/>
      <w:r>
        <w:rPr>
          <w:b w:val="0"/>
        </w:rPr>
      </w:r>
      <w:r>
        <w:rPr>
          <w:color w:val="231F20"/>
        </w:rPr>
        <w:t>Tivoli</w:t>
      </w:r>
      <w:r>
        <w:rPr>
          <w:color w:val="231F20"/>
          <w:spacing w:val="2"/>
        </w:rPr>
        <w:t> </w:t>
      </w:r>
      <w:r>
        <w:rPr>
          <w:color w:val="231F20"/>
        </w:rPr>
        <w:t>Enterprise</w:t>
      </w:r>
      <w:r>
        <w:rPr>
          <w:color w:val="231F20"/>
          <w:spacing w:val="2"/>
        </w:rPr>
        <w:t> </w:t>
      </w:r>
      <w:r>
        <w:rPr>
          <w:color w:val="231F20"/>
        </w:rPr>
        <w:t>Monitoring</w:t>
      </w:r>
      <w:r>
        <w:rPr>
          <w:color w:val="231F20"/>
          <w:spacing w:val="2"/>
        </w:rPr>
        <w:t> </w:t>
      </w:r>
      <w:r>
        <w:rPr>
          <w:color w:val="231F20"/>
        </w:rPr>
        <w:t>Server</w:t>
      </w:r>
      <w:r>
        <w:rPr>
          <w:color w:val="231F20"/>
          <w:spacing w:val="3"/>
        </w:rPr>
        <w:t> </w:t>
      </w:r>
      <w:r>
        <w:rPr>
          <w:color w:val="231F20"/>
        </w:rPr>
        <w:t>predefined</w:t>
      </w:r>
      <w:r>
        <w:rPr>
          <w:color w:val="231F20"/>
          <w:spacing w:val="2"/>
        </w:rPr>
        <w:t> </w:t>
      </w:r>
      <w:r>
        <w:rPr>
          <w:color w:val="231F20"/>
          <w:spacing w:val="-2"/>
        </w:rPr>
        <w:t>queries</w:t>
      </w:r>
    </w:p>
    <w:p>
      <w:pPr>
        <w:pStyle w:val="BodyText"/>
        <w:spacing w:line="213" w:lineRule="auto" w:before="138"/>
        <w:ind w:left="2232" w:right="545"/>
      </w:pPr>
      <w:r>
        <w:rPr>
          <w:color w:val="231F20"/>
        </w:rPr>
        <w:t>Every IBM Tivoli Monitoring product is shipped with a set of predefined queries that you can apply to a table or chart view. This topic describes the queries</w:t>
      </w:r>
      <w:r>
        <w:rPr>
          <w:color w:val="231F20"/>
          <w:spacing w:val="40"/>
        </w:rPr>
        <w:t> </w:t>
      </w:r>
      <w:r>
        <w:rPr>
          <w:color w:val="231F20"/>
        </w:rPr>
        <w:t>delivered as part of the Tivoli Management Services infrastructure. The Tivoli Enterprise Monitoring Server queries are available for every item in the </w:t>
      </w:r>
      <w:r>
        <w:rPr>
          <w:color w:val="231F20"/>
        </w:rPr>
        <w:t>Navigator.</w:t>
      </w:r>
    </w:p>
    <w:p>
      <w:pPr>
        <w:spacing w:line="213" w:lineRule="auto" w:before="237"/>
        <w:ind w:left="2232" w:right="603" w:firstLine="0"/>
        <w:jc w:val="left"/>
        <w:rPr>
          <w:sz w:val="20"/>
        </w:rPr>
      </w:pPr>
      <w:r>
        <w:rPr>
          <w:color w:val="231F20"/>
          <w:sz w:val="20"/>
        </w:rPr>
        <w:t>Expand the </w:t>
      </w:r>
      <w:r>
        <w:rPr>
          <w:color w:val="231F20"/>
          <w:spacing w:val="-24"/>
          <w:position w:val="-1"/>
          <w:sz w:val="20"/>
        </w:rPr>
        <w:drawing>
          <wp:inline distT="0" distB="0" distL="0" distR="0">
            <wp:extent cx="95250" cy="95250"/>
            <wp:effectExtent l="0" t="0" r="0" b="0"/>
            <wp:docPr id="1806" name="Image 1806"/>
            <wp:cNvGraphicFramePr>
              <a:graphicFrameLocks/>
            </wp:cNvGraphicFramePr>
            <a:graphic>
              <a:graphicData uri="http://schemas.openxmlformats.org/drawingml/2006/picture">
                <pic:pic>
                  <pic:nvPicPr>
                    <pic:cNvPr id="1806" name="Image 1806"/>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5"/>
          <w:sz w:val="20"/>
        </w:rPr>
        <w:t> </w:t>
      </w:r>
      <w:r>
        <w:rPr>
          <w:rFonts w:ascii="Book Antiqua"/>
          <w:b/>
          <w:color w:val="231F20"/>
          <w:sz w:val="20"/>
        </w:rPr>
        <w:t>Tivoli Enterprise Monitoring Server </w:t>
      </w:r>
      <w:r>
        <w:rPr>
          <w:color w:val="231F20"/>
          <w:sz w:val="20"/>
        </w:rPr>
        <w:t>branch of the Queries tree </w:t>
      </w:r>
      <w:r>
        <w:rPr>
          <w:color w:val="231F20"/>
          <w:sz w:val="20"/>
        </w:rPr>
        <w:t>to see these query groups:</w:t>
      </w:r>
    </w:p>
    <w:p>
      <w:pPr>
        <w:pStyle w:val="Heading6"/>
        <w:ind w:left="2242"/>
      </w:pPr>
      <w:r>
        <w:rPr>
          <w:b w:val="0"/>
          <w:position w:val="-1"/>
        </w:rPr>
        <w:drawing>
          <wp:inline distT="0" distB="0" distL="0" distR="0">
            <wp:extent cx="88900" cy="101600"/>
            <wp:effectExtent l="0" t="0" r="0" b="0"/>
            <wp:docPr id="1807" name="Image 1807"/>
            <wp:cNvGraphicFramePr>
              <a:graphicFrameLocks/>
            </wp:cNvGraphicFramePr>
            <a:graphic>
              <a:graphicData uri="http://schemas.openxmlformats.org/drawingml/2006/picture">
                <pic:pic>
                  <pic:nvPicPr>
                    <pic:cNvPr id="1807" name="Image 1807"/>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spacing w:val="80"/>
        </w:rPr>
        <w:t> </w:t>
      </w:r>
      <w:r>
        <w:rPr>
          <w:color w:val="231F20"/>
        </w:rPr>
        <w:t>Agent</w:t>
      </w:r>
      <w:r>
        <w:rPr>
          <w:color w:val="231F20"/>
          <w:spacing w:val="33"/>
        </w:rPr>
        <w:t> </w:t>
      </w:r>
      <w:r>
        <w:rPr>
          <w:color w:val="231F20"/>
        </w:rPr>
        <w:t>Operations</w:t>
      </w:r>
      <w:r>
        <w:rPr>
          <w:color w:val="231F20"/>
          <w:spacing w:val="33"/>
        </w:rPr>
        <w:t> </w:t>
      </w:r>
      <w:r>
        <w:rPr>
          <w:color w:val="231F20"/>
        </w:rPr>
        <w:t>Log</w:t>
      </w:r>
    </w:p>
    <w:p>
      <w:pPr>
        <w:pStyle w:val="BodyText"/>
        <w:spacing w:line="213" w:lineRule="auto" w:before="11"/>
        <w:ind w:left="2951" w:right="545"/>
      </w:pPr>
      <w:r>
        <w:rPr>
          <w:color w:val="231F20"/>
        </w:rPr>
        <w:t>This log and the EIB Change Log are good diagnostic tools to use </w:t>
      </w:r>
      <w:r>
        <w:rPr>
          <w:color w:val="231F20"/>
        </w:rPr>
        <w:t>when problems arise such as a true situation that is not raising an alert as expected. They also provide information that can help in planning optimization strategies.</w:t>
      </w:r>
    </w:p>
    <w:p>
      <w:pPr>
        <w:pStyle w:val="BodyText"/>
        <w:spacing w:line="213" w:lineRule="auto" w:before="117"/>
        <w:ind w:left="2951" w:right="603" w:firstLine="10"/>
      </w:pPr>
      <w:r>
        <w:rPr>
          <w:position w:val="-1"/>
        </w:rPr>
        <w:drawing>
          <wp:inline distT="0" distB="0" distL="0" distR="0">
            <wp:extent cx="95250" cy="101600"/>
            <wp:effectExtent l="0" t="0" r="0" b="0"/>
            <wp:docPr id="1808" name="Image 1808"/>
            <wp:cNvGraphicFramePr>
              <a:graphicFrameLocks/>
            </wp:cNvGraphicFramePr>
            <a:graphic>
              <a:graphicData uri="http://schemas.openxmlformats.org/drawingml/2006/picture">
                <pic:pic>
                  <pic:nvPicPr>
                    <pic:cNvPr id="1808" name="Image 1808"/>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rFonts w:ascii="Book Antiqua"/>
          <w:i/>
          <w:color w:val="231F20"/>
        </w:rPr>
        <w:t>Agent Operations Log </w:t>
      </w:r>
      <w:r>
        <w:rPr>
          <w:color w:val="231F20"/>
        </w:rPr>
        <w:t>provides information about situation and connectivity messages that occur on the managed system associated </w:t>
      </w:r>
      <w:r>
        <w:rPr>
          <w:color w:val="231F20"/>
        </w:rPr>
        <w:t>with the Navigator physical view item or the link source. It is useful for diagnostic research with IBM Support.</w:t>
      </w:r>
    </w:p>
    <w:p>
      <w:pPr>
        <w:pStyle w:val="Heading6"/>
        <w:spacing w:before="116"/>
        <w:ind w:left="2242"/>
      </w:pPr>
      <w:r>
        <w:rPr>
          <w:b w:val="0"/>
          <w:position w:val="-1"/>
        </w:rPr>
        <w:drawing>
          <wp:inline distT="0" distB="0" distL="0" distR="0">
            <wp:extent cx="88900" cy="101600"/>
            <wp:effectExtent l="0" t="0" r="0" b="0"/>
            <wp:docPr id="1809" name="Image 1809"/>
            <wp:cNvGraphicFramePr>
              <a:graphicFrameLocks/>
            </wp:cNvGraphicFramePr>
            <a:graphic>
              <a:graphicData uri="http://schemas.openxmlformats.org/drawingml/2006/picture">
                <pic:pic>
                  <pic:nvPicPr>
                    <pic:cNvPr id="1809" name="Image 1809"/>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spacing w:val="80"/>
        </w:rPr>
        <w:t> </w:t>
      </w:r>
      <w:r>
        <w:rPr>
          <w:color w:val="231F20"/>
        </w:rPr>
        <w:t>Catalog Check</w:t>
      </w:r>
    </w:p>
    <w:p>
      <w:pPr>
        <w:pStyle w:val="BodyText"/>
        <w:spacing w:line="213" w:lineRule="auto" w:before="12"/>
        <w:ind w:left="2951" w:right="488"/>
      </w:pPr>
      <w:r>
        <w:rPr>
          <w:color w:val="231F20"/>
        </w:rPr>
        <w:t>The Catalog Check queries compare the application catalogs of the hub</w:t>
      </w:r>
      <w:r>
        <w:rPr>
          <w:color w:val="231F20"/>
          <w:spacing w:val="40"/>
        </w:rPr>
        <w:t> </w:t>
      </w:r>
      <w:r>
        <w:rPr>
          <w:color w:val="231F20"/>
        </w:rPr>
        <w:t>Tivoli Enterprise Monitoring Server with those of the remote monitoring servers and report any discrepancies. These queries are used in the </w:t>
      </w:r>
      <w:r>
        <w:rPr>
          <w:color w:val="231F20"/>
        </w:rPr>
        <w:t>Manage Tivoli Enterprise Monitoring Servers workspaces:</w:t>
      </w:r>
    </w:p>
    <w:p>
      <w:pPr>
        <w:spacing w:line="357" w:lineRule="auto" w:before="118"/>
        <w:ind w:left="2961" w:right="4524" w:firstLine="0"/>
        <w:jc w:val="left"/>
        <w:rPr>
          <w:rFonts w:ascii="Book Antiqua"/>
          <w:i/>
          <w:sz w:val="20"/>
        </w:rPr>
      </w:pPr>
      <w:r>
        <w:rPr>
          <w:position w:val="-1"/>
        </w:rPr>
        <w:drawing>
          <wp:inline distT="0" distB="0" distL="0" distR="0">
            <wp:extent cx="95250" cy="101600"/>
            <wp:effectExtent l="0" t="0" r="0" b="0"/>
            <wp:docPr id="1810" name="Image 1810"/>
            <wp:cNvGraphicFramePr>
              <a:graphicFrameLocks/>
            </wp:cNvGraphicFramePr>
            <a:graphic>
              <a:graphicData uri="http://schemas.openxmlformats.org/drawingml/2006/picture">
                <pic:pic>
                  <pic:nvPicPr>
                    <pic:cNvPr id="1810" name="Image 1810"/>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Compare Enterprise </w:t>
      </w:r>
      <w:r>
        <w:rPr>
          <w:rFonts w:ascii="Book Antiqua"/>
          <w:i/>
          <w:color w:val="231F20"/>
          <w:sz w:val="20"/>
        </w:rPr>
        <w:t>Catalogs</w:t>
      </w:r>
      <w:r>
        <w:rPr>
          <w:rFonts w:ascii="Book Antiqua"/>
          <w:i/>
          <w:color w:val="231F20"/>
          <w:sz w:val="20"/>
        </w:rPr>
        <w:t> </w:t>
      </w:r>
      <w:r>
        <w:rPr>
          <w:rFonts w:ascii="Book Antiqua"/>
          <w:i/>
          <w:color w:val="231F20"/>
          <w:position w:val="-1"/>
          <w:sz w:val="20"/>
        </w:rPr>
        <w:drawing>
          <wp:inline distT="0" distB="0" distL="0" distR="0">
            <wp:extent cx="95250" cy="101600"/>
            <wp:effectExtent l="0" t="0" r="0" b="0"/>
            <wp:docPr id="1811" name="Image 1811"/>
            <wp:cNvGraphicFramePr>
              <a:graphicFrameLocks/>
            </wp:cNvGraphicFramePr>
            <a:graphic>
              <a:graphicData uri="http://schemas.openxmlformats.org/drawingml/2006/picture">
                <pic:pic>
                  <pic:nvPicPr>
                    <pic:cNvPr id="1811" name="Image 1811"/>
                    <pic:cNvPicPr/>
                  </pic:nvPicPr>
                  <pic:blipFill>
                    <a:blip r:embed="rId33" cstate="print"/>
                    <a:stretch>
                      <a:fillRect/>
                    </a:stretch>
                  </pic:blipFill>
                  <pic:spPr>
                    <a:xfrm>
                      <a:off x="0" y="0"/>
                      <a:ext cx="95250" cy="101600"/>
                    </a:xfrm>
                    <a:prstGeom prst="rect">
                      <a:avLst/>
                    </a:prstGeom>
                  </pic:spPr>
                </pic:pic>
              </a:graphicData>
            </a:graphic>
          </wp:inline>
        </w:drawing>
      </w:r>
      <w:r>
        <w:rPr>
          <w:rFonts w:ascii="Book Antiqua"/>
          <w:i/>
          <w:color w:val="231F20"/>
          <w:position w:val="-1"/>
          <w:sz w:val="20"/>
        </w:rPr>
      </w:r>
      <w:r>
        <w:rPr>
          <w:rFonts w:ascii="Times New Roman"/>
          <w:color w:val="231F20"/>
          <w:spacing w:val="40"/>
          <w:sz w:val="20"/>
        </w:rPr>
        <w:t> </w:t>
      </w:r>
      <w:r>
        <w:rPr>
          <w:rFonts w:ascii="Book Antiqua"/>
          <w:i/>
          <w:color w:val="231F20"/>
          <w:sz w:val="20"/>
        </w:rPr>
        <w:t>Compare TEMS Catalogs</w:t>
      </w:r>
    </w:p>
    <w:p>
      <w:pPr>
        <w:pStyle w:val="Heading6"/>
        <w:spacing w:line="226" w:lineRule="exact" w:before="0"/>
        <w:ind w:left="2242"/>
      </w:pPr>
      <w:r>
        <w:rPr>
          <w:b w:val="0"/>
          <w:position w:val="-1"/>
        </w:rPr>
        <w:drawing>
          <wp:inline distT="0" distB="0" distL="0" distR="0">
            <wp:extent cx="88900" cy="101600"/>
            <wp:effectExtent l="0" t="0" r="0" b="0"/>
            <wp:docPr id="1812" name="Image 1812"/>
            <wp:cNvGraphicFramePr>
              <a:graphicFrameLocks/>
            </wp:cNvGraphicFramePr>
            <a:graphic>
              <a:graphicData uri="http://schemas.openxmlformats.org/drawingml/2006/picture">
                <pic:pic>
                  <pic:nvPicPr>
                    <pic:cNvPr id="1812" name="Image 1812"/>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Custom</w:t>
      </w:r>
      <w:r>
        <w:rPr>
          <w:color w:val="231F20"/>
          <w:spacing w:val="22"/>
        </w:rPr>
        <w:t> </w:t>
      </w:r>
      <w:r>
        <w:rPr>
          <w:color w:val="231F20"/>
        </w:rPr>
        <w:t>SQL</w:t>
      </w:r>
    </w:p>
    <w:p>
      <w:pPr>
        <w:pStyle w:val="BodyText"/>
        <w:spacing w:line="213" w:lineRule="auto" w:before="12"/>
        <w:ind w:left="2951" w:right="502"/>
      </w:pPr>
      <w:r>
        <w:rPr>
          <w:color w:val="231F20"/>
        </w:rPr>
        <w:t>The custom SQL (Structured Query Language) queries provide </w:t>
      </w:r>
      <w:r>
        <w:rPr>
          <w:color w:val="231F20"/>
        </w:rPr>
        <w:t>information that the portal server (TEPS) database gathers from the hub Tivoli</w:t>
      </w:r>
      <w:r>
        <w:rPr>
          <w:color w:val="231F20"/>
          <w:spacing w:val="80"/>
        </w:rPr>
        <w:t> </w:t>
      </w:r>
      <w:r>
        <w:rPr>
          <w:color w:val="231F20"/>
        </w:rPr>
        <w:t>Enterprise Monitoring Server. These queries are for the Situation Event Results workspace and the Self-Monitoring Topology workspace.</w:t>
      </w:r>
    </w:p>
    <w:p>
      <w:pPr>
        <w:pStyle w:val="Heading6"/>
        <w:spacing w:before="115"/>
        <w:ind w:left="2242"/>
      </w:pPr>
      <w:r>
        <w:rPr>
          <w:b w:val="0"/>
          <w:position w:val="-1"/>
        </w:rPr>
        <w:drawing>
          <wp:inline distT="0" distB="0" distL="0" distR="0">
            <wp:extent cx="88900" cy="101600"/>
            <wp:effectExtent l="0" t="0" r="0" b="0"/>
            <wp:docPr id="1813" name="Image 1813"/>
            <wp:cNvGraphicFramePr>
              <a:graphicFrameLocks/>
            </wp:cNvGraphicFramePr>
            <a:graphic>
              <a:graphicData uri="http://schemas.openxmlformats.org/drawingml/2006/picture">
                <pic:pic>
                  <pic:nvPicPr>
                    <pic:cNvPr id="1813" name="Image 1813"/>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EIB</w:t>
      </w:r>
      <w:r>
        <w:rPr>
          <w:color w:val="231F20"/>
          <w:spacing w:val="18"/>
        </w:rPr>
        <w:t> </w:t>
      </w:r>
      <w:r>
        <w:rPr>
          <w:color w:val="231F20"/>
        </w:rPr>
        <w:t>Change</w:t>
      </w:r>
      <w:r>
        <w:rPr>
          <w:color w:val="231F20"/>
          <w:spacing w:val="18"/>
        </w:rPr>
        <w:t> </w:t>
      </w:r>
      <w:r>
        <w:rPr>
          <w:color w:val="231F20"/>
        </w:rPr>
        <w:t>Log</w:t>
      </w:r>
    </w:p>
    <w:p>
      <w:pPr>
        <w:pStyle w:val="BodyText"/>
        <w:spacing w:line="213" w:lineRule="auto" w:before="12"/>
        <w:ind w:left="2951" w:right="545"/>
      </w:pPr>
      <w:r>
        <w:rPr>
          <w:color w:val="231F20"/>
        </w:rPr>
        <w:t>The Enterprise Information Base log, like the Agent Operations log, </w:t>
      </w:r>
      <w:r>
        <w:rPr>
          <w:color w:val="231F20"/>
        </w:rPr>
        <w:t>is stored on the hub monitoring server.</w:t>
      </w:r>
    </w:p>
    <w:p>
      <w:pPr>
        <w:pStyle w:val="BodyText"/>
        <w:spacing w:line="213" w:lineRule="auto" w:before="118"/>
        <w:ind w:left="2951" w:right="603" w:firstLine="10"/>
      </w:pPr>
      <w:r>
        <w:rPr>
          <w:position w:val="-1"/>
        </w:rPr>
        <w:drawing>
          <wp:inline distT="0" distB="0" distL="0" distR="0">
            <wp:extent cx="95250" cy="101600"/>
            <wp:effectExtent l="0" t="0" r="0" b="0"/>
            <wp:docPr id="1814" name="Image 1814"/>
            <wp:cNvGraphicFramePr>
              <a:graphicFrameLocks/>
            </wp:cNvGraphicFramePr>
            <a:graphic>
              <a:graphicData uri="http://schemas.openxmlformats.org/drawingml/2006/picture">
                <pic:pic>
                  <pic:nvPicPr>
                    <pic:cNvPr id="1814" name="Image 1814"/>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rFonts w:ascii="Book Antiqua"/>
          <w:i/>
          <w:color w:val="231F20"/>
        </w:rPr>
        <w:t>EIB Change Log </w:t>
      </w:r>
      <w:r>
        <w:rPr>
          <w:color w:val="231F20"/>
        </w:rPr>
        <w:t>provides information about changes to Enterprise Information Base objects such as situations. It is useful mainly for diagnostic research with IBM Support. This is an ODBC query of the </w:t>
      </w:r>
      <w:r>
        <w:rPr>
          <w:color w:val="231F20"/>
        </w:rPr>
        <w:t>EIB Change Log attributes.</w:t>
      </w:r>
    </w:p>
    <w:p>
      <w:pPr>
        <w:pStyle w:val="Heading6"/>
        <w:spacing w:before="116"/>
        <w:ind w:left="2242"/>
      </w:pPr>
      <w:r>
        <w:rPr>
          <w:b w:val="0"/>
          <w:position w:val="-1"/>
        </w:rPr>
        <w:drawing>
          <wp:inline distT="0" distB="0" distL="0" distR="0">
            <wp:extent cx="88900" cy="101600"/>
            <wp:effectExtent l="0" t="0" r="0" b="0"/>
            <wp:docPr id="1815" name="Image 1815"/>
            <wp:cNvGraphicFramePr>
              <a:graphicFrameLocks/>
            </wp:cNvGraphicFramePr>
            <a:graphic>
              <a:graphicData uri="http://schemas.openxmlformats.org/drawingml/2006/picture">
                <pic:pic>
                  <pic:nvPicPr>
                    <pic:cNvPr id="1815" name="Image 1815"/>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ITM</w:t>
      </w:r>
      <w:r>
        <w:rPr>
          <w:color w:val="231F20"/>
          <w:spacing w:val="19"/>
        </w:rPr>
        <w:t> </w:t>
      </w:r>
      <w:r>
        <w:rPr>
          <w:color w:val="231F20"/>
        </w:rPr>
        <w:t>Audit</w:t>
      </w:r>
      <w:r>
        <w:rPr>
          <w:color w:val="231F20"/>
          <w:spacing w:val="19"/>
        </w:rPr>
        <w:t> </w:t>
      </w:r>
      <w:r>
        <w:rPr>
          <w:color w:val="231F20"/>
        </w:rPr>
        <w:t>Log</w:t>
      </w:r>
    </w:p>
    <w:p>
      <w:pPr>
        <w:pStyle w:val="BodyText"/>
        <w:spacing w:line="258" w:lineRule="exact"/>
        <w:ind w:left="2951"/>
      </w:pPr>
      <w:r>
        <w:rPr>
          <w:color w:val="231F20"/>
        </w:rPr>
        <w:t>The</w:t>
      </w:r>
      <w:r>
        <w:rPr>
          <w:color w:val="231F20"/>
          <w:spacing w:val="11"/>
        </w:rPr>
        <w:t> </w:t>
      </w:r>
      <w:r>
        <w:rPr>
          <w:color w:val="231F20"/>
        </w:rPr>
        <w:t>ITM</w:t>
      </w:r>
      <w:r>
        <w:rPr>
          <w:color w:val="231F20"/>
          <w:spacing w:val="5"/>
        </w:rPr>
        <w:t> </w:t>
      </w:r>
      <w:r>
        <w:rPr>
          <w:color w:val="231F20"/>
        </w:rPr>
        <w:t>Audit</w:t>
      </w:r>
      <w:r>
        <w:rPr>
          <w:color w:val="231F20"/>
          <w:spacing w:val="11"/>
        </w:rPr>
        <w:t> </w:t>
      </w:r>
      <w:r>
        <w:rPr>
          <w:color w:val="231F20"/>
        </w:rPr>
        <w:t>Log</w:t>
      </w:r>
      <w:r>
        <w:rPr>
          <w:color w:val="231F20"/>
          <w:spacing w:val="11"/>
        </w:rPr>
        <w:t> </w:t>
      </w:r>
      <w:r>
        <w:rPr>
          <w:color w:val="231F20"/>
        </w:rPr>
        <w:t>query</w:t>
      </w:r>
      <w:r>
        <w:rPr>
          <w:color w:val="231F20"/>
          <w:spacing w:val="12"/>
        </w:rPr>
        <w:t> </w:t>
      </w:r>
      <w:r>
        <w:rPr>
          <w:color w:val="231F20"/>
        </w:rPr>
        <w:t>is</w:t>
      </w:r>
      <w:r>
        <w:rPr>
          <w:color w:val="231F20"/>
          <w:spacing w:val="11"/>
        </w:rPr>
        <w:t> </w:t>
      </w:r>
      <w:r>
        <w:rPr>
          <w:color w:val="231F20"/>
        </w:rPr>
        <w:t>stored</w:t>
      </w:r>
      <w:r>
        <w:rPr>
          <w:color w:val="231F20"/>
          <w:spacing w:val="12"/>
        </w:rPr>
        <w:t> </w:t>
      </w:r>
      <w:r>
        <w:rPr>
          <w:color w:val="231F20"/>
        </w:rPr>
        <w:t>on</w:t>
      </w:r>
      <w:r>
        <w:rPr>
          <w:color w:val="231F20"/>
          <w:spacing w:val="11"/>
        </w:rPr>
        <w:t> </w:t>
      </w:r>
      <w:r>
        <w:rPr>
          <w:color w:val="231F20"/>
        </w:rPr>
        <w:t>the</w:t>
      </w:r>
      <w:r>
        <w:rPr>
          <w:color w:val="231F20"/>
          <w:spacing w:val="11"/>
        </w:rPr>
        <w:t> </w:t>
      </w:r>
      <w:r>
        <w:rPr>
          <w:color w:val="231F20"/>
        </w:rPr>
        <w:t>hub</w:t>
      </w:r>
      <w:r>
        <w:rPr>
          <w:color w:val="231F20"/>
          <w:spacing w:val="12"/>
        </w:rPr>
        <w:t> </w:t>
      </w:r>
      <w:r>
        <w:rPr>
          <w:color w:val="231F20"/>
        </w:rPr>
        <w:t>monitoring</w:t>
      </w:r>
      <w:r>
        <w:rPr>
          <w:color w:val="231F20"/>
          <w:spacing w:val="11"/>
        </w:rPr>
        <w:t> </w:t>
      </w:r>
      <w:r>
        <w:rPr>
          <w:color w:val="231F20"/>
          <w:spacing w:val="-2"/>
        </w:rPr>
        <w:t>server.</w:t>
      </w:r>
    </w:p>
    <w:p>
      <w:pPr>
        <w:pStyle w:val="BodyText"/>
        <w:spacing w:line="213" w:lineRule="auto" w:before="113"/>
        <w:ind w:left="2951" w:right="545" w:firstLine="10"/>
      </w:pPr>
      <w:r>
        <w:rPr>
          <w:position w:val="-1"/>
        </w:rPr>
        <w:drawing>
          <wp:inline distT="0" distB="0" distL="0" distR="0">
            <wp:extent cx="95250" cy="101600"/>
            <wp:effectExtent l="0" t="0" r="0" b="0"/>
            <wp:docPr id="1816" name="Image 1816"/>
            <wp:cNvGraphicFramePr>
              <a:graphicFrameLocks/>
            </wp:cNvGraphicFramePr>
            <a:graphic>
              <a:graphicData uri="http://schemas.openxmlformats.org/drawingml/2006/picture">
                <pic:pic>
                  <pic:nvPicPr>
                    <pic:cNvPr id="1816" name="Image 1816"/>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rPr>
        <w:t> </w:t>
      </w:r>
      <w:r>
        <w:rPr>
          <w:rFonts w:ascii="Book Antiqua"/>
          <w:i/>
          <w:color w:val="231F20"/>
        </w:rPr>
        <w:t>ITM Audit Log </w:t>
      </w:r>
      <w:r>
        <w:rPr>
          <w:color w:val="231F20"/>
        </w:rPr>
        <w:t>provides information on critical state-changing events </w:t>
      </w:r>
      <w:r>
        <w:rPr>
          <w:color w:val="231F20"/>
        </w:rPr>
        <w:t>in the monitoring environment.</w:t>
      </w:r>
    </w:p>
    <w:p>
      <w:pPr>
        <w:pStyle w:val="Heading6"/>
        <w:ind w:left="2242"/>
      </w:pPr>
      <w:r>
        <w:rPr>
          <w:b w:val="0"/>
          <w:position w:val="-1"/>
        </w:rPr>
        <w:drawing>
          <wp:inline distT="0" distB="0" distL="0" distR="0">
            <wp:extent cx="88900" cy="101600"/>
            <wp:effectExtent l="0" t="0" r="0" b="0"/>
            <wp:docPr id="1817" name="Image 1817"/>
            <wp:cNvGraphicFramePr>
              <a:graphicFrameLocks/>
            </wp:cNvGraphicFramePr>
            <a:graphic>
              <a:graphicData uri="http://schemas.openxmlformats.org/drawingml/2006/picture">
                <pic:pic>
                  <pic:nvPicPr>
                    <pic:cNvPr id="1817" name="Image 1817"/>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Managed</w:t>
      </w:r>
      <w:r>
        <w:rPr>
          <w:color w:val="231F20"/>
          <w:spacing w:val="21"/>
        </w:rPr>
        <w:t> </w:t>
      </w:r>
      <w:r>
        <w:rPr>
          <w:color w:val="231F20"/>
        </w:rPr>
        <w:t>System</w:t>
      </w:r>
    </w:p>
    <w:p>
      <w:pPr>
        <w:pStyle w:val="BodyText"/>
        <w:spacing w:line="213" w:lineRule="auto" w:before="11"/>
        <w:ind w:left="2951" w:right="636"/>
      </w:pPr>
      <w:r>
        <w:rPr>
          <w:color w:val="231F20"/>
        </w:rPr>
        <w:t>The Managed Systems queries are used to check vital heartbeat information</w:t>
      </w:r>
      <w:r>
        <w:rPr>
          <w:color w:val="231F20"/>
          <w:spacing w:val="8"/>
        </w:rPr>
        <w:t> </w:t>
      </w:r>
      <w:r>
        <w:rPr>
          <w:color w:val="231F20"/>
        </w:rPr>
        <w:t>from</w:t>
      </w:r>
      <w:r>
        <w:rPr>
          <w:color w:val="231F20"/>
          <w:spacing w:val="9"/>
        </w:rPr>
        <w:t> </w:t>
      </w:r>
      <w:r>
        <w:rPr>
          <w:color w:val="231F20"/>
        </w:rPr>
        <w:t>the</w:t>
      </w:r>
      <w:r>
        <w:rPr>
          <w:color w:val="231F20"/>
          <w:spacing w:val="9"/>
        </w:rPr>
        <w:t> </w:t>
      </w:r>
      <w:r>
        <w:rPr>
          <w:color w:val="231F20"/>
        </w:rPr>
        <w:t>monitoring</w:t>
      </w:r>
      <w:r>
        <w:rPr>
          <w:color w:val="231F20"/>
          <w:spacing w:val="9"/>
        </w:rPr>
        <w:t> </w:t>
      </w:r>
      <w:r>
        <w:rPr>
          <w:color w:val="231F20"/>
        </w:rPr>
        <w:t>server</w:t>
      </w:r>
      <w:r>
        <w:rPr>
          <w:color w:val="231F20"/>
          <w:spacing w:val="8"/>
        </w:rPr>
        <w:t> </w:t>
      </w:r>
      <w:r>
        <w:rPr>
          <w:color w:val="231F20"/>
        </w:rPr>
        <w:t>and</w:t>
      </w:r>
      <w:r>
        <w:rPr>
          <w:color w:val="231F20"/>
          <w:spacing w:val="9"/>
        </w:rPr>
        <w:t> </w:t>
      </w:r>
      <w:r>
        <w:rPr>
          <w:color w:val="231F20"/>
        </w:rPr>
        <w:t>monitoring</w:t>
      </w:r>
      <w:r>
        <w:rPr>
          <w:color w:val="231F20"/>
          <w:spacing w:val="9"/>
        </w:rPr>
        <w:t> </w:t>
      </w:r>
      <w:r>
        <w:rPr>
          <w:color w:val="231F20"/>
          <w:spacing w:val="-2"/>
        </w:rPr>
        <w:t>agents.</w:t>
      </w:r>
    </w:p>
    <w:p>
      <w:pPr>
        <w:pStyle w:val="BodyText"/>
        <w:spacing w:line="213" w:lineRule="auto" w:before="118"/>
        <w:ind w:left="2951" w:right="603" w:firstLine="10"/>
      </w:pPr>
      <w:r>
        <w:rPr>
          <w:position w:val="-1"/>
        </w:rPr>
        <w:drawing>
          <wp:inline distT="0" distB="0" distL="0" distR="0">
            <wp:extent cx="95250" cy="101600"/>
            <wp:effectExtent l="0" t="0" r="0" b="0"/>
            <wp:docPr id="1818" name="Image 1818"/>
            <wp:cNvGraphicFramePr>
              <a:graphicFrameLocks/>
            </wp:cNvGraphicFramePr>
            <a:graphic>
              <a:graphicData uri="http://schemas.openxmlformats.org/drawingml/2006/picture">
                <pic:pic>
                  <pic:nvPicPr>
                    <pic:cNvPr id="1818" name="Image 1818"/>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rPr>
        <w:t> </w:t>
      </w:r>
      <w:r>
        <w:rPr>
          <w:rFonts w:ascii="Book Antiqua"/>
          <w:i/>
          <w:color w:val="231F20"/>
        </w:rPr>
        <w:t>Current Managed Systems Status</w:t>
      </w:r>
      <w:r>
        <w:rPr>
          <w:color w:val="231F20"/>
        </w:rPr>
        <w:t>, when applied to a table view, </w:t>
      </w:r>
      <w:r>
        <w:rPr>
          <w:color w:val="231F20"/>
        </w:rPr>
        <w:t>displays all the Managed Systems attributes. It displays such information as the agent product code and the host name and IP address of the managed system. The Enterprise Navigator item has a Managed System Status workspace that uses this query. A threshold was applied to the Status column that highlights any offline managed systems.</w:t>
      </w:r>
    </w:p>
    <w:p>
      <w:pPr>
        <w:spacing w:after="0" w:line="213" w:lineRule="auto"/>
        <w:sectPr>
          <w:pgSz w:w="12240" w:h="15840"/>
          <w:pgMar w:header="0" w:footer="736" w:top="1220" w:bottom="920" w:left="1000" w:right="1060"/>
        </w:sectPr>
      </w:pPr>
    </w:p>
    <w:p>
      <w:pPr>
        <w:spacing w:line="213" w:lineRule="auto" w:before="85"/>
        <w:ind w:left="3190" w:right="385" w:firstLine="10"/>
        <w:jc w:val="left"/>
        <w:rPr>
          <w:sz w:val="20"/>
        </w:rPr>
      </w:pPr>
      <w:bookmarkStart w:name="_bookmark151" w:id="334"/>
      <w:bookmarkEnd w:id="334"/>
      <w:r>
        <w:rPr/>
      </w:r>
      <w:r>
        <w:rPr>
          <w:position w:val="-1"/>
        </w:rPr>
        <w:drawing>
          <wp:inline distT="0" distB="0" distL="0" distR="0">
            <wp:extent cx="95250" cy="101600"/>
            <wp:effectExtent l="0" t="0" r="0" b="0"/>
            <wp:docPr id="1819" name="Image 1819"/>
            <wp:cNvGraphicFramePr>
              <a:graphicFrameLocks/>
            </wp:cNvGraphicFramePr>
            <a:graphic>
              <a:graphicData uri="http://schemas.openxmlformats.org/drawingml/2006/picture">
                <pic:pic>
                  <pic:nvPicPr>
                    <pic:cNvPr id="1819" name="Image 1819"/>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sz w:val="20"/>
        </w:rPr>
        <w:t> </w:t>
      </w:r>
      <w:r>
        <w:rPr>
          <w:rFonts w:ascii="Book Antiqua"/>
          <w:i/>
          <w:color w:val="231F20"/>
          <w:sz w:val="20"/>
        </w:rPr>
        <w:t>ITV Managed System Count </w:t>
      </w:r>
      <w:r>
        <w:rPr>
          <w:color w:val="231F20"/>
          <w:sz w:val="20"/>
        </w:rPr>
        <w:t>is a count of the managed systems </w:t>
      </w:r>
      <w:r>
        <w:rPr>
          <w:color w:val="231F20"/>
          <w:sz w:val="20"/>
        </w:rPr>
        <w:t>reporting to each monitoring server.</w:t>
      </w:r>
    </w:p>
    <w:p>
      <w:pPr>
        <w:spacing w:before="120"/>
        <w:ind w:left="3200" w:right="0" w:firstLine="0"/>
        <w:jc w:val="left"/>
        <w:rPr>
          <w:rFonts w:ascii="Book Antiqua"/>
          <w:i/>
          <w:sz w:val="20"/>
        </w:rPr>
      </w:pPr>
      <w:r>
        <w:rPr>
          <w:position w:val="-1"/>
        </w:rPr>
        <w:drawing>
          <wp:inline distT="0" distB="0" distL="0" distR="0">
            <wp:extent cx="95250" cy="101600"/>
            <wp:effectExtent l="0" t="0" r="0" b="0"/>
            <wp:docPr id="1820" name="Image 1820"/>
            <wp:cNvGraphicFramePr>
              <a:graphicFrameLocks/>
            </wp:cNvGraphicFramePr>
            <a:graphic>
              <a:graphicData uri="http://schemas.openxmlformats.org/drawingml/2006/picture">
                <pic:pic>
                  <pic:nvPicPr>
                    <pic:cNvPr id="1820" name="Image 1820"/>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sz w:val="20"/>
        </w:rPr>
        <w:t> </w:t>
      </w:r>
      <w:r>
        <w:rPr>
          <w:rFonts w:ascii="Book Antiqua"/>
          <w:i/>
          <w:color w:val="231F20"/>
          <w:sz w:val="20"/>
        </w:rPr>
        <w:t>Tivoli</w:t>
      </w:r>
      <w:r>
        <w:rPr>
          <w:rFonts w:ascii="Book Antiqua"/>
          <w:i/>
          <w:color w:val="231F20"/>
          <w:spacing w:val="24"/>
          <w:sz w:val="20"/>
        </w:rPr>
        <w:t> </w:t>
      </w:r>
      <w:r>
        <w:rPr>
          <w:rFonts w:ascii="Book Antiqua"/>
          <w:i/>
          <w:color w:val="231F20"/>
          <w:sz w:val="20"/>
        </w:rPr>
        <w:t>Enterprise</w:t>
      </w:r>
      <w:r>
        <w:rPr>
          <w:rFonts w:ascii="Book Antiqua"/>
          <w:i/>
          <w:color w:val="231F20"/>
          <w:spacing w:val="24"/>
          <w:sz w:val="20"/>
        </w:rPr>
        <w:t> </w:t>
      </w:r>
      <w:r>
        <w:rPr>
          <w:rFonts w:ascii="Book Antiqua"/>
          <w:i/>
          <w:color w:val="231F20"/>
          <w:sz w:val="20"/>
        </w:rPr>
        <w:t>Monitoring</w:t>
      </w:r>
      <w:r>
        <w:rPr>
          <w:rFonts w:ascii="Book Antiqua"/>
          <w:i/>
          <w:color w:val="231F20"/>
          <w:spacing w:val="24"/>
          <w:sz w:val="20"/>
        </w:rPr>
        <w:t> </w:t>
      </w:r>
      <w:r>
        <w:rPr>
          <w:rFonts w:ascii="Book Antiqua"/>
          <w:i/>
          <w:color w:val="231F20"/>
          <w:sz w:val="20"/>
        </w:rPr>
        <w:t>Servers</w:t>
      </w:r>
    </w:p>
    <w:p>
      <w:pPr>
        <w:pStyle w:val="BodyText"/>
        <w:spacing w:line="213" w:lineRule="auto" w:before="116"/>
        <w:ind w:left="3190" w:firstLine="10"/>
      </w:pPr>
      <w:r>
        <w:rPr>
          <w:position w:val="-1"/>
        </w:rPr>
        <w:drawing>
          <wp:inline distT="0" distB="0" distL="0" distR="0">
            <wp:extent cx="95250" cy="101600"/>
            <wp:effectExtent l="0" t="0" r="0" b="0"/>
            <wp:docPr id="1821" name="Image 1821"/>
            <wp:cNvGraphicFramePr>
              <a:graphicFrameLocks/>
            </wp:cNvGraphicFramePr>
            <a:graphic>
              <a:graphicData uri="http://schemas.openxmlformats.org/drawingml/2006/picture">
                <pic:pic>
                  <pic:nvPicPr>
                    <pic:cNvPr id="1821" name="Image 1821"/>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rPr>
        <w:t> </w:t>
      </w:r>
      <w:r>
        <w:rPr>
          <w:rFonts w:ascii="Book Antiqua"/>
          <w:i/>
          <w:color w:val="231F20"/>
        </w:rPr>
        <w:t>Windows Systems Online </w:t>
      </w:r>
      <w:r>
        <w:rPr>
          <w:color w:val="231F20"/>
        </w:rPr>
        <w:t>lists the Windows OS managed systems that </w:t>
      </w:r>
      <w:r>
        <w:rPr>
          <w:color w:val="231F20"/>
        </w:rPr>
        <w:t>are online. Other OS agents have similar queries.</w:t>
      </w:r>
    </w:p>
    <w:p>
      <w:pPr>
        <w:pStyle w:val="BodyText"/>
        <w:spacing w:line="213" w:lineRule="auto" w:before="119"/>
        <w:ind w:left="3190" w:firstLine="10"/>
      </w:pPr>
      <w:r>
        <w:rPr>
          <w:position w:val="-1"/>
        </w:rPr>
        <w:drawing>
          <wp:inline distT="0" distB="0" distL="0" distR="0">
            <wp:extent cx="95250" cy="101600"/>
            <wp:effectExtent l="0" t="0" r="0" b="0"/>
            <wp:docPr id="1822" name="Image 1822"/>
            <wp:cNvGraphicFramePr>
              <a:graphicFrameLocks/>
            </wp:cNvGraphicFramePr>
            <a:graphic>
              <a:graphicData uri="http://schemas.openxmlformats.org/drawingml/2006/picture">
                <pic:pic>
                  <pic:nvPicPr>
                    <pic:cNvPr id="1822" name="Image 1822"/>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rPr>
        <w:t> </w:t>
      </w:r>
      <w:r>
        <w:rPr>
          <w:rFonts w:ascii="Book Antiqua"/>
          <w:i/>
          <w:color w:val="231F20"/>
        </w:rPr>
        <w:t>Windows Systems Offline </w:t>
      </w:r>
      <w:r>
        <w:rPr>
          <w:color w:val="231F20"/>
        </w:rPr>
        <w:t>lists the Windows OS managed systems that </w:t>
      </w:r>
      <w:r>
        <w:rPr>
          <w:color w:val="231F20"/>
        </w:rPr>
        <w:t>are unavailable. Other OS agents have similar queries.</w:t>
      </w:r>
    </w:p>
    <w:p>
      <w:pPr>
        <w:pStyle w:val="Heading6"/>
        <w:spacing w:line="240" w:lineRule="auto"/>
        <w:ind w:left="2482"/>
      </w:pPr>
      <w:r>
        <w:rPr>
          <w:b w:val="0"/>
          <w:position w:val="-1"/>
        </w:rPr>
        <w:drawing>
          <wp:inline distT="0" distB="0" distL="0" distR="0">
            <wp:extent cx="88900" cy="101600"/>
            <wp:effectExtent l="0" t="0" r="0" b="0"/>
            <wp:docPr id="1823" name="Image 1823"/>
            <wp:cNvGraphicFramePr>
              <a:graphicFrameLocks/>
            </wp:cNvGraphicFramePr>
            <a:graphic>
              <a:graphicData uri="http://schemas.openxmlformats.org/drawingml/2006/picture">
                <pic:pic>
                  <pic:nvPicPr>
                    <pic:cNvPr id="1823" name="Image 1823"/>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Situation</w:t>
      </w:r>
      <w:r>
        <w:rPr>
          <w:color w:val="231F20"/>
          <w:spacing w:val="21"/>
        </w:rPr>
        <w:t> </w:t>
      </w:r>
      <w:r>
        <w:rPr>
          <w:color w:val="231F20"/>
        </w:rPr>
        <w:t>Definition</w:t>
      </w:r>
    </w:p>
    <w:p>
      <w:pPr>
        <w:pStyle w:val="BodyText"/>
        <w:spacing w:line="213" w:lineRule="auto" w:before="119"/>
        <w:ind w:left="3190" w:firstLine="10"/>
      </w:pPr>
      <w:r>
        <w:rPr>
          <w:position w:val="-1"/>
        </w:rPr>
        <w:drawing>
          <wp:inline distT="0" distB="0" distL="0" distR="0">
            <wp:extent cx="95250" cy="101600"/>
            <wp:effectExtent l="0" t="0" r="0" b="0"/>
            <wp:docPr id="1824" name="Image 1824"/>
            <wp:cNvGraphicFramePr>
              <a:graphicFrameLocks/>
            </wp:cNvGraphicFramePr>
            <a:graphic>
              <a:graphicData uri="http://schemas.openxmlformats.org/drawingml/2006/picture">
                <pic:pic>
                  <pic:nvPicPr>
                    <pic:cNvPr id="1824" name="Image 1824"/>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rFonts w:ascii="Book Antiqua"/>
          <w:i/>
          <w:color w:val="231F20"/>
        </w:rPr>
        <w:t>Situation Definition </w:t>
      </w:r>
      <w:r>
        <w:rPr>
          <w:color w:val="231F20"/>
        </w:rPr>
        <w:t>uses the Situation Definition attributes to retrieve information that describe every aspect of the situations defined to this </w:t>
      </w:r>
      <w:r>
        <w:rPr>
          <w:color w:val="231F20"/>
        </w:rPr>
        <w:t>hub monitoring server.</w:t>
      </w:r>
    </w:p>
    <w:p>
      <w:pPr>
        <w:pStyle w:val="Heading6"/>
        <w:spacing w:before="116"/>
        <w:ind w:left="2482"/>
      </w:pPr>
      <w:r>
        <w:rPr>
          <w:b w:val="0"/>
          <w:position w:val="-1"/>
        </w:rPr>
        <w:drawing>
          <wp:inline distT="0" distB="0" distL="0" distR="0">
            <wp:extent cx="88900" cy="101600"/>
            <wp:effectExtent l="0" t="0" r="0" b="0"/>
            <wp:docPr id="1825" name="Image 1825"/>
            <wp:cNvGraphicFramePr>
              <a:graphicFrameLocks/>
            </wp:cNvGraphicFramePr>
            <a:graphic>
              <a:graphicData uri="http://schemas.openxmlformats.org/drawingml/2006/picture">
                <pic:pic>
                  <pic:nvPicPr>
                    <pic:cNvPr id="1825" name="Image 1825"/>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Situation</w:t>
      </w:r>
      <w:r>
        <w:rPr>
          <w:color w:val="231F20"/>
          <w:spacing w:val="18"/>
        </w:rPr>
        <w:t> </w:t>
      </w:r>
      <w:r>
        <w:rPr>
          <w:color w:val="231F20"/>
        </w:rPr>
        <w:t>State</w:t>
      </w:r>
      <w:r>
        <w:rPr>
          <w:color w:val="231F20"/>
          <w:spacing w:val="18"/>
        </w:rPr>
        <w:t> </w:t>
      </w:r>
      <w:r>
        <w:rPr>
          <w:color w:val="231F20"/>
        </w:rPr>
        <w:t>Events</w:t>
      </w:r>
    </w:p>
    <w:p>
      <w:pPr>
        <w:pStyle w:val="BodyText"/>
        <w:spacing w:line="213" w:lineRule="auto" w:before="12"/>
        <w:ind w:left="3190" w:right="545"/>
      </w:pPr>
      <w:r>
        <w:rPr>
          <w:color w:val="231F20"/>
        </w:rPr>
        <w:t>The Situation State Events queries collect status information on </w:t>
      </w:r>
      <w:r>
        <w:rPr>
          <w:color w:val="231F20"/>
        </w:rPr>
        <w:t>situation </w:t>
      </w:r>
      <w:r>
        <w:rPr>
          <w:color w:val="231F20"/>
          <w:spacing w:val="-2"/>
        </w:rPr>
        <w:t>events.</w:t>
      </w:r>
    </w:p>
    <w:p>
      <w:pPr>
        <w:spacing w:line="357" w:lineRule="auto" w:before="120"/>
        <w:ind w:left="3200" w:right="4420" w:firstLine="0"/>
        <w:jc w:val="left"/>
        <w:rPr>
          <w:rFonts w:ascii="Book Antiqua"/>
          <w:i/>
          <w:sz w:val="20"/>
        </w:rPr>
      </w:pPr>
      <w:r>
        <w:rPr>
          <w:position w:val="-1"/>
        </w:rPr>
        <w:drawing>
          <wp:inline distT="0" distB="0" distL="0" distR="0">
            <wp:extent cx="95250" cy="101599"/>
            <wp:effectExtent l="0" t="0" r="0" b="0"/>
            <wp:docPr id="1826" name="Image 1826"/>
            <wp:cNvGraphicFramePr>
              <a:graphicFrameLocks/>
            </wp:cNvGraphicFramePr>
            <a:graphic>
              <a:graphicData uri="http://schemas.openxmlformats.org/drawingml/2006/picture">
                <pic:pic>
                  <pic:nvPicPr>
                    <pic:cNvPr id="1826" name="Image 1826"/>
                    <pic:cNvPicPr/>
                  </pic:nvPicPr>
                  <pic:blipFill>
                    <a:blip r:embed="rId33" cstate="print"/>
                    <a:stretch>
                      <a:fillRect/>
                    </a:stretch>
                  </pic:blipFill>
                  <pic:spPr>
                    <a:xfrm>
                      <a:off x="0" y="0"/>
                      <a:ext cx="95250" cy="101599"/>
                    </a:xfrm>
                    <a:prstGeom prst="rect">
                      <a:avLst/>
                    </a:prstGeom>
                  </pic:spPr>
                </pic:pic>
              </a:graphicData>
            </a:graphic>
          </wp:inline>
        </w:drawing>
      </w:r>
      <w:r>
        <w:rPr>
          <w:position w:val="-1"/>
        </w:rPr>
      </w:r>
      <w:r>
        <w:rPr>
          <w:rFonts w:ascii="Times New Roman"/>
          <w:spacing w:val="-8"/>
          <w:sz w:val="20"/>
        </w:rPr>
        <w:t> </w:t>
      </w:r>
      <w:r>
        <w:rPr>
          <w:rFonts w:ascii="Book Antiqua"/>
          <w:i/>
          <w:color w:val="231F20"/>
          <w:sz w:val="20"/>
        </w:rPr>
        <w:t>Events by Owner Using </w:t>
      </w:r>
      <w:r>
        <w:rPr>
          <w:rFonts w:ascii="Book Antiqua"/>
          <w:i/>
          <w:color w:val="231F20"/>
          <w:sz w:val="20"/>
        </w:rPr>
        <w:t>ID</w:t>
      </w:r>
      <w:r>
        <w:rPr>
          <w:rFonts w:ascii="Book Antiqua"/>
          <w:i/>
          <w:color w:val="231F20"/>
          <w:sz w:val="20"/>
        </w:rPr>
        <w:t> </w:t>
      </w:r>
      <w:r>
        <w:rPr>
          <w:rFonts w:ascii="Book Antiqua"/>
          <w:i/>
          <w:color w:val="231F20"/>
          <w:position w:val="-1"/>
          <w:sz w:val="20"/>
        </w:rPr>
        <w:drawing>
          <wp:inline distT="0" distB="0" distL="0" distR="0">
            <wp:extent cx="95250" cy="101600"/>
            <wp:effectExtent l="0" t="0" r="0" b="0"/>
            <wp:docPr id="1827" name="Image 1827"/>
            <wp:cNvGraphicFramePr>
              <a:graphicFrameLocks/>
            </wp:cNvGraphicFramePr>
            <a:graphic>
              <a:graphicData uri="http://schemas.openxmlformats.org/drawingml/2006/picture">
                <pic:pic>
                  <pic:nvPicPr>
                    <pic:cNvPr id="1827" name="Image 1827"/>
                    <pic:cNvPicPr/>
                  </pic:nvPicPr>
                  <pic:blipFill>
                    <a:blip r:embed="rId33" cstate="print"/>
                    <a:stretch>
                      <a:fillRect/>
                    </a:stretch>
                  </pic:blipFill>
                  <pic:spPr>
                    <a:xfrm>
                      <a:off x="0" y="0"/>
                      <a:ext cx="95250" cy="101600"/>
                    </a:xfrm>
                    <a:prstGeom prst="rect">
                      <a:avLst/>
                    </a:prstGeom>
                  </pic:spPr>
                </pic:pic>
              </a:graphicData>
            </a:graphic>
          </wp:inline>
        </w:drawing>
      </w:r>
      <w:r>
        <w:rPr>
          <w:rFonts w:ascii="Book Antiqua"/>
          <w:i/>
          <w:color w:val="231F20"/>
          <w:position w:val="-1"/>
          <w:sz w:val="20"/>
        </w:rPr>
      </w:r>
      <w:r>
        <w:rPr>
          <w:rFonts w:ascii="Times New Roman"/>
          <w:color w:val="231F20"/>
          <w:sz w:val="20"/>
        </w:rPr>
        <w:t> </w:t>
      </w:r>
      <w:r>
        <w:rPr>
          <w:rFonts w:ascii="Book Antiqua"/>
          <w:i/>
          <w:color w:val="231F20"/>
          <w:sz w:val="20"/>
        </w:rPr>
        <w:t>Selected Event Using ID</w:t>
      </w:r>
    </w:p>
    <w:p>
      <w:pPr>
        <w:pStyle w:val="BodyText"/>
        <w:spacing w:line="213" w:lineRule="auto"/>
        <w:ind w:left="3190" w:right="258" w:firstLine="10"/>
      </w:pPr>
      <w:r>
        <w:rPr>
          <w:position w:val="-1"/>
        </w:rPr>
        <w:drawing>
          <wp:inline distT="0" distB="0" distL="0" distR="0">
            <wp:extent cx="95250" cy="101600"/>
            <wp:effectExtent l="0" t="0" r="0" b="0"/>
            <wp:docPr id="1828" name="Image 1828"/>
            <wp:cNvGraphicFramePr>
              <a:graphicFrameLocks/>
            </wp:cNvGraphicFramePr>
            <a:graphic>
              <a:graphicData uri="http://schemas.openxmlformats.org/drawingml/2006/picture">
                <pic:pic>
                  <pic:nvPicPr>
                    <pic:cNvPr id="1828" name="Image 1828"/>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rPr>
        <w:t> </w:t>
      </w:r>
      <w:r>
        <w:rPr>
          <w:rFonts w:ascii="Book Antiqua"/>
          <w:i/>
          <w:color w:val="231F20"/>
        </w:rPr>
        <w:t>Similar Events by Situation Name </w:t>
      </w:r>
      <w:r>
        <w:rPr>
          <w:color w:val="231F20"/>
        </w:rPr>
        <w:t>lists all the events for the same </w:t>
      </w:r>
      <w:r>
        <w:rPr>
          <w:color w:val="231F20"/>
        </w:rPr>
        <w:t>situation. Such events would occur when the situation is true on more than one managed</w:t>
      </w:r>
      <w:r>
        <w:rPr>
          <w:color w:val="231F20"/>
          <w:spacing w:val="29"/>
        </w:rPr>
        <w:t> </w:t>
      </w:r>
      <w:r>
        <w:rPr>
          <w:color w:val="231F20"/>
        </w:rPr>
        <w:t>system</w:t>
      </w:r>
      <w:r>
        <w:rPr>
          <w:color w:val="231F20"/>
          <w:spacing w:val="29"/>
        </w:rPr>
        <w:t> </w:t>
      </w:r>
      <w:r>
        <w:rPr>
          <w:color w:val="231F20"/>
        </w:rPr>
        <w:t>or</w:t>
      </w:r>
      <w:r>
        <w:rPr>
          <w:color w:val="231F20"/>
          <w:spacing w:val="29"/>
        </w:rPr>
        <w:t> </w:t>
      </w:r>
      <w:r>
        <w:rPr>
          <w:color w:val="231F20"/>
        </w:rPr>
        <w:t>the</w:t>
      </w:r>
      <w:r>
        <w:rPr>
          <w:color w:val="231F20"/>
          <w:spacing w:val="29"/>
        </w:rPr>
        <w:t> </w:t>
      </w:r>
      <w:r>
        <w:rPr>
          <w:color w:val="231F20"/>
        </w:rPr>
        <w:t>situation</w:t>
      </w:r>
      <w:r>
        <w:rPr>
          <w:color w:val="231F20"/>
          <w:spacing w:val="29"/>
        </w:rPr>
        <w:t> </w:t>
      </w:r>
      <w:r>
        <w:rPr>
          <w:color w:val="231F20"/>
        </w:rPr>
        <w:t>is</w:t>
      </w:r>
      <w:r>
        <w:rPr>
          <w:color w:val="231F20"/>
          <w:spacing w:val="29"/>
        </w:rPr>
        <w:t> </w:t>
      </w:r>
      <w:r>
        <w:rPr>
          <w:color w:val="231F20"/>
        </w:rPr>
        <w:t>true</w:t>
      </w:r>
      <w:r>
        <w:rPr>
          <w:color w:val="231F20"/>
          <w:spacing w:val="29"/>
        </w:rPr>
        <w:t> </w:t>
      </w:r>
      <w:r>
        <w:rPr>
          <w:color w:val="231F20"/>
        </w:rPr>
        <w:t>on</w:t>
      </w:r>
      <w:r>
        <w:rPr>
          <w:color w:val="231F20"/>
          <w:spacing w:val="29"/>
        </w:rPr>
        <w:t> </w:t>
      </w:r>
      <w:r>
        <w:rPr>
          <w:color w:val="231F20"/>
        </w:rPr>
        <w:t>the</w:t>
      </w:r>
      <w:r>
        <w:rPr>
          <w:color w:val="231F20"/>
          <w:spacing w:val="29"/>
        </w:rPr>
        <w:t> </w:t>
      </w:r>
      <w:r>
        <w:rPr>
          <w:color w:val="231F20"/>
        </w:rPr>
        <w:t>same</w:t>
      </w:r>
      <w:r>
        <w:rPr>
          <w:color w:val="231F20"/>
          <w:spacing w:val="29"/>
        </w:rPr>
        <w:t> </w:t>
      </w:r>
      <w:r>
        <w:rPr>
          <w:color w:val="231F20"/>
        </w:rPr>
        <w:t>managed</w:t>
      </w:r>
      <w:r>
        <w:rPr>
          <w:color w:val="231F20"/>
          <w:spacing w:val="29"/>
        </w:rPr>
        <w:t> </w:t>
      </w:r>
      <w:r>
        <w:rPr>
          <w:color w:val="231F20"/>
        </w:rPr>
        <w:t>system more than once (a display item was defined in the Advanced Situation options window). You can see table views that use this query: From the Enterprise Status workspace, right-click the </w:t>
      </w:r>
      <w:r>
        <w:rPr>
          <w:color w:val="231F20"/>
          <w:spacing w:val="15"/>
          <w:position w:val="-1"/>
        </w:rPr>
        <w:drawing>
          <wp:inline distT="0" distB="0" distL="0" distR="0">
            <wp:extent cx="101600" cy="101600"/>
            <wp:effectExtent l="0" t="0" r="0" b="0"/>
            <wp:docPr id="1829" name="Image 1829"/>
            <wp:cNvGraphicFramePr>
              <a:graphicFrameLocks/>
            </wp:cNvGraphicFramePr>
            <a:graphic>
              <a:graphicData uri="http://schemas.openxmlformats.org/drawingml/2006/picture">
                <pic:pic>
                  <pic:nvPicPr>
                    <pic:cNvPr id="1829" name="Image 1829"/>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7"/>
        </w:rPr>
        <w:t> </w:t>
      </w:r>
      <w:r>
        <w:rPr>
          <w:color w:val="231F20"/>
        </w:rPr>
        <w:t>link anchor for an acknowledgement in the My Acknowledged Events view, and click Event Details - Similar by Situation Name.</w:t>
      </w:r>
    </w:p>
    <w:p>
      <w:pPr>
        <w:pStyle w:val="BodyText"/>
        <w:spacing w:line="213" w:lineRule="auto" w:before="112"/>
        <w:ind w:left="3190" w:right="385" w:firstLine="10"/>
      </w:pPr>
      <w:r>
        <w:rPr>
          <w:position w:val="-1"/>
        </w:rPr>
        <w:drawing>
          <wp:inline distT="0" distB="0" distL="0" distR="0">
            <wp:extent cx="95250" cy="101600"/>
            <wp:effectExtent l="0" t="0" r="0" b="0"/>
            <wp:docPr id="1830" name="Image 1830"/>
            <wp:cNvGraphicFramePr>
              <a:graphicFrameLocks/>
            </wp:cNvGraphicFramePr>
            <a:graphic>
              <a:graphicData uri="http://schemas.openxmlformats.org/drawingml/2006/picture">
                <pic:pic>
                  <pic:nvPicPr>
                    <pic:cNvPr id="1830" name="Image 1830"/>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rFonts w:ascii="Book Antiqua"/>
          <w:i/>
          <w:color w:val="231F20"/>
        </w:rPr>
        <w:t>Similar Events by Source </w:t>
      </w:r>
      <w:r>
        <w:rPr>
          <w:color w:val="231F20"/>
        </w:rPr>
        <w:t>lists all the events from the same managed</w:t>
      </w:r>
      <w:r>
        <w:rPr>
          <w:color w:val="231F20"/>
          <w:spacing w:val="40"/>
        </w:rPr>
        <w:t> </w:t>
      </w:r>
      <w:r>
        <w:rPr>
          <w:color w:val="231F20"/>
        </w:rPr>
        <w:t>system as the event you are viewing. You can see table views that use this query: From the Enterprise Status workspace, right-click the </w:t>
      </w:r>
      <w:r>
        <w:rPr>
          <w:color w:val="231F20"/>
          <w:spacing w:val="15"/>
          <w:position w:val="-1"/>
        </w:rPr>
        <w:drawing>
          <wp:inline distT="0" distB="0" distL="0" distR="0">
            <wp:extent cx="101600" cy="101600"/>
            <wp:effectExtent l="0" t="0" r="0" b="0"/>
            <wp:docPr id="1831" name="Image 1831"/>
            <wp:cNvGraphicFramePr>
              <a:graphicFrameLocks/>
            </wp:cNvGraphicFramePr>
            <a:graphic>
              <a:graphicData uri="http://schemas.openxmlformats.org/drawingml/2006/picture">
                <pic:pic>
                  <pic:nvPicPr>
                    <pic:cNvPr id="1831" name="Image 1831"/>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color w:val="231F20"/>
        </w:rPr>
        <w:t>link anchor for an acknowledgement in the My Acknowledged Events view, and click Event Details - Similar by Source.</w:t>
      </w:r>
    </w:p>
    <w:p>
      <w:pPr>
        <w:pStyle w:val="BodyText"/>
        <w:spacing w:line="213" w:lineRule="auto" w:before="117"/>
        <w:ind w:left="3190" w:right="545" w:firstLine="10"/>
      </w:pPr>
      <w:r>
        <w:rPr>
          <w:position w:val="-1"/>
        </w:rPr>
        <w:drawing>
          <wp:inline distT="0" distB="0" distL="0" distR="0">
            <wp:extent cx="95250" cy="101600"/>
            <wp:effectExtent l="0" t="0" r="0" b="0"/>
            <wp:docPr id="1832" name="Image 1832"/>
            <wp:cNvGraphicFramePr>
              <a:graphicFrameLocks/>
            </wp:cNvGraphicFramePr>
            <a:graphic>
              <a:graphicData uri="http://schemas.openxmlformats.org/drawingml/2006/picture">
                <pic:pic>
                  <pic:nvPicPr>
                    <pic:cNvPr id="1832" name="Image 1832"/>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rPr>
        <w:t> </w:t>
      </w:r>
      <w:r>
        <w:rPr>
          <w:rFonts w:ascii="Book Antiqua"/>
          <w:i/>
          <w:color w:val="231F20"/>
        </w:rPr>
        <w:t>Similar Events by Resource </w:t>
      </w:r>
      <w:r>
        <w:rPr>
          <w:color w:val="231F20"/>
        </w:rPr>
        <w:t>lists all the events for situations that were defined with the same attribute group as the one used for this </w:t>
      </w:r>
      <w:r>
        <w:rPr>
          <w:color w:val="231F20"/>
        </w:rPr>
        <w:t>situation. You can see table views that use this query: From the Enterprise Status workspace, right-click the </w:t>
      </w:r>
      <w:r>
        <w:rPr>
          <w:color w:val="231F20"/>
          <w:spacing w:val="15"/>
          <w:position w:val="-1"/>
        </w:rPr>
        <w:drawing>
          <wp:inline distT="0" distB="0" distL="0" distR="0">
            <wp:extent cx="101600" cy="101600"/>
            <wp:effectExtent l="0" t="0" r="0" b="0"/>
            <wp:docPr id="1833" name="Image 1833"/>
            <wp:cNvGraphicFramePr>
              <a:graphicFrameLocks/>
            </wp:cNvGraphicFramePr>
            <a:graphic>
              <a:graphicData uri="http://schemas.openxmlformats.org/drawingml/2006/picture">
                <pic:pic>
                  <pic:nvPicPr>
                    <pic:cNvPr id="1833" name="Image 183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color w:val="231F20"/>
        </w:rPr>
        <w:t>link anchor for an acknowledgement in the My Acknowledged Events view, and click Event Details - Similar by </w:t>
      </w:r>
      <w:r>
        <w:rPr>
          <w:color w:val="231F20"/>
          <w:spacing w:val="-2"/>
        </w:rPr>
        <w:t>Resource.</w:t>
      </w:r>
    </w:p>
    <w:p>
      <w:pPr>
        <w:spacing w:before="92"/>
        <w:ind w:left="3200" w:right="0" w:firstLine="0"/>
        <w:jc w:val="left"/>
        <w:rPr>
          <w:sz w:val="20"/>
        </w:rPr>
      </w:pPr>
      <w:r>
        <w:rPr>
          <w:position w:val="-1"/>
        </w:rPr>
        <w:drawing>
          <wp:inline distT="0" distB="0" distL="0" distR="0">
            <wp:extent cx="95250" cy="101600"/>
            <wp:effectExtent l="0" t="0" r="0" b="0"/>
            <wp:docPr id="1834" name="Image 1834"/>
            <wp:cNvGraphicFramePr>
              <a:graphicFrameLocks/>
            </wp:cNvGraphicFramePr>
            <a:graphic>
              <a:graphicData uri="http://schemas.openxmlformats.org/drawingml/2006/picture">
                <pic:pic>
                  <pic:nvPicPr>
                    <pic:cNvPr id="1834" name="Image 1834"/>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sz w:val="20"/>
        </w:rPr>
        <w:t> </w:t>
      </w:r>
      <w:r>
        <w:rPr>
          <w:rFonts w:ascii="Book Antiqua"/>
          <w:i/>
          <w:color w:val="231F20"/>
          <w:sz w:val="20"/>
        </w:rPr>
        <w:t>Events</w:t>
      </w:r>
      <w:r>
        <w:rPr>
          <w:rFonts w:ascii="Book Antiqua"/>
          <w:i/>
          <w:color w:val="231F20"/>
          <w:spacing w:val="12"/>
          <w:sz w:val="20"/>
        </w:rPr>
        <w:t> </w:t>
      </w:r>
      <w:r>
        <w:rPr>
          <w:rFonts w:ascii="Book Antiqua"/>
          <w:i/>
          <w:color w:val="231F20"/>
          <w:sz w:val="20"/>
        </w:rPr>
        <w:t>by</w:t>
      </w:r>
      <w:r>
        <w:rPr>
          <w:rFonts w:ascii="Book Antiqua"/>
          <w:i/>
          <w:color w:val="231F20"/>
          <w:spacing w:val="12"/>
          <w:sz w:val="20"/>
        </w:rPr>
        <w:t> </w:t>
      </w:r>
      <w:r>
        <w:rPr>
          <w:rFonts w:ascii="Book Antiqua"/>
          <w:i/>
          <w:color w:val="231F20"/>
          <w:sz w:val="20"/>
        </w:rPr>
        <w:t>Owner</w:t>
      </w:r>
      <w:r>
        <w:rPr>
          <w:rFonts w:ascii="Book Antiqua"/>
          <w:i/>
          <w:color w:val="231F20"/>
          <w:spacing w:val="12"/>
          <w:sz w:val="20"/>
        </w:rPr>
        <w:t> </w:t>
      </w:r>
      <w:r>
        <w:rPr>
          <w:rFonts w:ascii="Book Antiqua"/>
          <w:i/>
          <w:color w:val="231F20"/>
          <w:sz w:val="20"/>
        </w:rPr>
        <w:t>Using</w:t>
      </w:r>
      <w:r>
        <w:rPr>
          <w:rFonts w:ascii="Book Antiqua"/>
          <w:i/>
          <w:color w:val="231F20"/>
          <w:spacing w:val="12"/>
          <w:sz w:val="20"/>
        </w:rPr>
        <w:t> </w:t>
      </w:r>
      <w:r>
        <w:rPr>
          <w:rFonts w:ascii="Book Antiqua"/>
          <w:i/>
          <w:color w:val="231F20"/>
          <w:sz w:val="20"/>
        </w:rPr>
        <w:t>Name</w:t>
      </w:r>
      <w:r>
        <w:rPr>
          <w:rFonts w:ascii="Book Antiqua"/>
          <w:i/>
          <w:color w:val="231F20"/>
          <w:spacing w:val="12"/>
          <w:sz w:val="20"/>
        </w:rPr>
        <w:t> </w:t>
      </w:r>
      <w:r>
        <w:rPr>
          <w:color w:val="231F20"/>
          <w:sz w:val="20"/>
        </w:rPr>
        <w:t>returns</w:t>
      </w:r>
      <w:r>
        <w:rPr>
          <w:color w:val="231F20"/>
          <w:spacing w:val="12"/>
          <w:sz w:val="20"/>
        </w:rPr>
        <w:t> </w:t>
      </w:r>
      <w:r>
        <w:rPr>
          <w:color w:val="231F20"/>
          <w:sz w:val="20"/>
        </w:rPr>
        <w:t>all</w:t>
      </w:r>
      <w:r>
        <w:rPr>
          <w:color w:val="231F20"/>
          <w:spacing w:val="12"/>
          <w:sz w:val="20"/>
        </w:rPr>
        <w:t> </w:t>
      </w:r>
      <w:r>
        <w:rPr>
          <w:color w:val="231F20"/>
          <w:sz w:val="20"/>
        </w:rPr>
        <w:t>the</w:t>
      </w:r>
      <w:r>
        <w:rPr>
          <w:color w:val="231F20"/>
          <w:spacing w:val="12"/>
          <w:sz w:val="20"/>
        </w:rPr>
        <w:t> </w:t>
      </w:r>
      <w:r>
        <w:rPr>
          <w:color w:val="231F20"/>
          <w:sz w:val="20"/>
        </w:rPr>
        <w:t>events</w:t>
      </w:r>
      <w:r>
        <w:rPr>
          <w:color w:val="231F20"/>
          <w:spacing w:val="12"/>
          <w:sz w:val="20"/>
        </w:rPr>
        <w:t> </w:t>
      </w:r>
      <w:r>
        <w:rPr>
          <w:color w:val="231F20"/>
          <w:sz w:val="20"/>
        </w:rPr>
        <w:t>by</w:t>
      </w:r>
      <w:r>
        <w:rPr>
          <w:color w:val="231F20"/>
          <w:spacing w:val="12"/>
          <w:sz w:val="20"/>
        </w:rPr>
        <w:t> </w:t>
      </w:r>
      <w:r>
        <w:rPr>
          <w:color w:val="231F20"/>
          <w:sz w:val="20"/>
        </w:rPr>
        <w:t>owner.</w:t>
      </w:r>
    </w:p>
    <w:p>
      <w:pPr>
        <w:spacing w:before="90"/>
        <w:ind w:left="3200" w:right="0" w:firstLine="0"/>
        <w:jc w:val="left"/>
        <w:rPr>
          <w:sz w:val="20"/>
        </w:rPr>
      </w:pPr>
      <w:r>
        <w:rPr>
          <w:position w:val="-1"/>
        </w:rPr>
        <w:drawing>
          <wp:inline distT="0" distB="0" distL="0" distR="0">
            <wp:extent cx="95250" cy="101600"/>
            <wp:effectExtent l="0" t="0" r="0" b="0"/>
            <wp:docPr id="1835" name="Image 1835"/>
            <wp:cNvGraphicFramePr>
              <a:graphicFrameLocks/>
            </wp:cNvGraphicFramePr>
            <a:graphic>
              <a:graphicData uri="http://schemas.openxmlformats.org/drawingml/2006/picture">
                <pic:pic>
                  <pic:nvPicPr>
                    <pic:cNvPr id="1835" name="Image 1835"/>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sz w:val="20"/>
        </w:rPr>
        <w:t> </w:t>
      </w:r>
      <w:r>
        <w:rPr>
          <w:rFonts w:ascii="Book Antiqua"/>
          <w:i/>
          <w:color w:val="231F20"/>
          <w:sz w:val="20"/>
        </w:rPr>
        <w:t>Selected</w:t>
      </w:r>
      <w:r>
        <w:rPr>
          <w:rFonts w:ascii="Book Antiqua"/>
          <w:i/>
          <w:color w:val="231F20"/>
          <w:spacing w:val="12"/>
          <w:sz w:val="20"/>
        </w:rPr>
        <w:t> </w:t>
      </w:r>
      <w:r>
        <w:rPr>
          <w:rFonts w:ascii="Book Antiqua"/>
          <w:i/>
          <w:color w:val="231F20"/>
          <w:sz w:val="20"/>
        </w:rPr>
        <w:t>Event</w:t>
      </w:r>
      <w:r>
        <w:rPr>
          <w:rFonts w:ascii="Book Antiqua"/>
          <w:i/>
          <w:color w:val="231F20"/>
          <w:spacing w:val="12"/>
          <w:sz w:val="20"/>
        </w:rPr>
        <w:t> </w:t>
      </w:r>
      <w:r>
        <w:rPr>
          <w:rFonts w:ascii="Book Antiqua"/>
          <w:i/>
          <w:color w:val="231F20"/>
          <w:sz w:val="20"/>
        </w:rPr>
        <w:t>Using</w:t>
      </w:r>
      <w:r>
        <w:rPr>
          <w:rFonts w:ascii="Book Antiqua"/>
          <w:i/>
          <w:color w:val="231F20"/>
          <w:spacing w:val="12"/>
          <w:sz w:val="20"/>
        </w:rPr>
        <w:t> </w:t>
      </w:r>
      <w:r>
        <w:rPr>
          <w:rFonts w:ascii="Book Antiqua"/>
          <w:i/>
          <w:color w:val="231F20"/>
          <w:sz w:val="20"/>
        </w:rPr>
        <w:t>Name</w:t>
      </w:r>
      <w:r>
        <w:rPr>
          <w:rFonts w:ascii="Book Antiqua"/>
          <w:i/>
          <w:color w:val="231F20"/>
          <w:spacing w:val="12"/>
          <w:sz w:val="20"/>
        </w:rPr>
        <w:t> </w:t>
      </w:r>
      <w:r>
        <w:rPr>
          <w:color w:val="231F20"/>
          <w:sz w:val="20"/>
        </w:rPr>
        <w:t>returns</w:t>
      </w:r>
      <w:r>
        <w:rPr>
          <w:color w:val="231F20"/>
          <w:spacing w:val="12"/>
          <w:sz w:val="20"/>
        </w:rPr>
        <w:t> </w:t>
      </w:r>
      <w:r>
        <w:rPr>
          <w:color w:val="231F20"/>
          <w:sz w:val="20"/>
        </w:rPr>
        <w:t>all</w:t>
      </w:r>
      <w:r>
        <w:rPr>
          <w:color w:val="231F20"/>
          <w:spacing w:val="12"/>
          <w:sz w:val="20"/>
        </w:rPr>
        <w:t> </w:t>
      </w:r>
      <w:r>
        <w:rPr>
          <w:color w:val="231F20"/>
          <w:sz w:val="20"/>
        </w:rPr>
        <w:t>events</w:t>
      </w:r>
      <w:r>
        <w:rPr>
          <w:color w:val="231F20"/>
          <w:spacing w:val="12"/>
          <w:sz w:val="20"/>
        </w:rPr>
        <w:t> </w:t>
      </w:r>
      <w:r>
        <w:rPr>
          <w:color w:val="231F20"/>
          <w:sz w:val="20"/>
        </w:rPr>
        <w:t>by</w:t>
      </w:r>
      <w:r>
        <w:rPr>
          <w:color w:val="231F20"/>
          <w:spacing w:val="12"/>
          <w:sz w:val="20"/>
        </w:rPr>
        <w:t> </w:t>
      </w:r>
      <w:r>
        <w:rPr>
          <w:color w:val="231F20"/>
          <w:sz w:val="20"/>
        </w:rPr>
        <w:t>their</w:t>
      </w:r>
      <w:r>
        <w:rPr>
          <w:color w:val="231F20"/>
          <w:spacing w:val="12"/>
          <w:sz w:val="20"/>
        </w:rPr>
        <w:t> </w:t>
      </w:r>
      <w:r>
        <w:rPr>
          <w:color w:val="231F20"/>
          <w:sz w:val="20"/>
        </w:rPr>
        <w:t>short</w:t>
      </w:r>
      <w:r>
        <w:rPr>
          <w:color w:val="231F20"/>
          <w:spacing w:val="12"/>
          <w:sz w:val="20"/>
        </w:rPr>
        <w:t> </w:t>
      </w:r>
      <w:r>
        <w:rPr>
          <w:color w:val="231F20"/>
          <w:sz w:val="20"/>
        </w:rPr>
        <w:t>name.</w:t>
      </w:r>
    </w:p>
    <w:p>
      <w:pPr>
        <w:spacing w:line="213" w:lineRule="auto" w:before="112"/>
        <w:ind w:left="3190" w:right="545" w:firstLine="10"/>
        <w:jc w:val="left"/>
        <w:rPr>
          <w:sz w:val="20"/>
        </w:rPr>
      </w:pPr>
      <w:r>
        <w:rPr>
          <w:position w:val="-1"/>
        </w:rPr>
        <w:drawing>
          <wp:inline distT="0" distB="0" distL="0" distR="0">
            <wp:extent cx="95250" cy="101600"/>
            <wp:effectExtent l="0" t="0" r="0" b="0"/>
            <wp:docPr id="1836" name="Image 1836"/>
            <wp:cNvGraphicFramePr>
              <a:graphicFrameLocks/>
            </wp:cNvGraphicFramePr>
            <a:graphic>
              <a:graphicData uri="http://schemas.openxmlformats.org/drawingml/2006/picture">
                <pic:pic>
                  <pic:nvPicPr>
                    <pic:cNvPr id="1836" name="Image 1836"/>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sz w:val="20"/>
        </w:rPr>
        <w:t> </w:t>
      </w:r>
      <w:r>
        <w:rPr>
          <w:rFonts w:ascii="Book Antiqua"/>
          <w:i/>
          <w:color w:val="231F20"/>
          <w:sz w:val="20"/>
        </w:rPr>
        <w:t>Similar Events by Situation Display Name </w:t>
      </w:r>
      <w:r>
        <w:rPr>
          <w:color w:val="231F20"/>
          <w:sz w:val="20"/>
        </w:rPr>
        <w:t>return all events by their </w:t>
      </w:r>
      <w:r>
        <w:rPr>
          <w:color w:val="231F20"/>
          <w:sz w:val="20"/>
        </w:rPr>
        <w:t>full </w:t>
      </w:r>
      <w:r>
        <w:rPr>
          <w:color w:val="231F20"/>
          <w:spacing w:val="-2"/>
          <w:sz w:val="20"/>
        </w:rPr>
        <w:t>name.</w:t>
      </w:r>
    </w:p>
    <w:p>
      <w:pPr>
        <w:spacing w:line="357" w:lineRule="auto" w:before="120"/>
        <w:ind w:left="3200" w:right="1849" w:firstLine="0"/>
        <w:jc w:val="left"/>
        <w:rPr>
          <w:rFonts w:ascii="Book Antiqua"/>
          <w:i/>
          <w:sz w:val="20"/>
        </w:rPr>
      </w:pPr>
      <w:r>
        <w:rPr>
          <w:position w:val="-1"/>
        </w:rPr>
        <w:drawing>
          <wp:inline distT="0" distB="0" distL="0" distR="0">
            <wp:extent cx="95250" cy="101600"/>
            <wp:effectExtent l="0" t="0" r="0" b="0"/>
            <wp:docPr id="1837" name="Image 1837"/>
            <wp:cNvGraphicFramePr>
              <a:graphicFrameLocks/>
            </wp:cNvGraphicFramePr>
            <a:graphic>
              <a:graphicData uri="http://schemas.openxmlformats.org/drawingml/2006/picture">
                <pic:pic>
                  <pic:nvPicPr>
                    <pic:cNvPr id="1837" name="Image 1837"/>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z w:val="20"/>
        </w:rPr>
        <w:t> </w:t>
      </w:r>
      <w:r>
        <w:rPr>
          <w:rFonts w:ascii="Book Antiqua"/>
          <w:i/>
          <w:color w:val="231F20"/>
          <w:sz w:val="20"/>
        </w:rPr>
        <w:t>Similar</w:t>
      </w:r>
      <w:r>
        <w:rPr>
          <w:rFonts w:ascii="Book Antiqua"/>
          <w:i/>
          <w:color w:val="231F20"/>
          <w:spacing w:val="33"/>
          <w:sz w:val="20"/>
        </w:rPr>
        <w:t> </w:t>
      </w:r>
      <w:r>
        <w:rPr>
          <w:rFonts w:ascii="Book Antiqua"/>
          <w:i/>
          <w:color w:val="231F20"/>
          <w:sz w:val="20"/>
        </w:rPr>
        <w:t>Events</w:t>
      </w:r>
      <w:r>
        <w:rPr>
          <w:rFonts w:ascii="Book Antiqua"/>
          <w:i/>
          <w:color w:val="231F20"/>
          <w:spacing w:val="33"/>
          <w:sz w:val="20"/>
        </w:rPr>
        <w:t> </w:t>
      </w:r>
      <w:r>
        <w:rPr>
          <w:rFonts w:ascii="Book Antiqua"/>
          <w:i/>
          <w:color w:val="231F20"/>
          <w:sz w:val="20"/>
        </w:rPr>
        <w:t>by</w:t>
      </w:r>
      <w:r>
        <w:rPr>
          <w:rFonts w:ascii="Book Antiqua"/>
          <w:i/>
          <w:color w:val="231F20"/>
          <w:spacing w:val="33"/>
          <w:sz w:val="20"/>
        </w:rPr>
        <w:t> </w:t>
      </w:r>
      <w:r>
        <w:rPr>
          <w:rFonts w:ascii="Book Antiqua"/>
          <w:i/>
          <w:color w:val="231F20"/>
          <w:sz w:val="20"/>
        </w:rPr>
        <w:t>Source</w:t>
      </w:r>
      <w:r>
        <w:rPr>
          <w:rFonts w:ascii="Book Antiqua"/>
          <w:i/>
          <w:color w:val="231F20"/>
          <w:spacing w:val="33"/>
          <w:sz w:val="20"/>
        </w:rPr>
        <w:t> </w:t>
      </w:r>
      <w:r>
        <w:rPr>
          <w:rFonts w:ascii="Book Antiqua"/>
          <w:i/>
          <w:color w:val="231F20"/>
          <w:sz w:val="20"/>
        </w:rPr>
        <w:t>using</w:t>
      </w:r>
      <w:r>
        <w:rPr>
          <w:rFonts w:ascii="Book Antiqua"/>
          <w:i/>
          <w:color w:val="231F20"/>
          <w:spacing w:val="33"/>
          <w:sz w:val="20"/>
        </w:rPr>
        <w:t> </w:t>
      </w:r>
      <w:r>
        <w:rPr>
          <w:rFonts w:ascii="Book Antiqua"/>
          <w:i/>
          <w:color w:val="231F20"/>
          <w:sz w:val="20"/>
        </w:rPr>
        <w:t>Situation</w:t>
      </w:r>
      <w:r>
        <w:rPr>
          <w:rFonts w:ascii="Book Antiqua"/>
          <w:i/>
          <w:color w:val="231F20"/>
          <w:spacing w:val="33"/>
          <w:sz w:val="20"/>
        </w:rPr>
        <w:t> </w:t>
      </w:r>
      <w:r>
        <w:rPr>
          <w:rFonts w:ascii="Book Antiqua"/>
          <w:i/>
          <w:color w:val="231F20"/>
          <w:sz w:val="20"/>
        </w:rPr>
        <w:t>Display</w:t>
      </w:r>
      <w:r>
        <w:rPr>
          <w:rFonts w:ascii="Book Antiqua"/>
          <w:i/>
          <w:color w:val="231F20"/>
          <w:spacing w:val="33"/>
          <w:sz w:val="20"/>
        </w:rPr>
        <w:t> </w:t>
      </w:r>
      <w:r>
        <w:rPr>
          <w:rFonts w:ascii="Book Antiqua"/>
          <w:i/>
          <w:color w:val="231F20"/>
          <w:sz w:val="20"/>
        </w:rPr>
        <w:t>Name</w:t>
      </w:r>
      <w:r>
        <w:rPr>
          <w:rFonts w:ascii="Book Antiqua"/>
          <w:i/>
          <w:color w:val="231F20"/>
          <w:sz w:val="20"/>
        </w:rPr>
        <w:t> </w:t>
      </w:r>
      <w:r>
        <w:rPr>
          <w:rFonts w:ascii="Book Antiqua"/>
          <w:i/>
          <w:color w:val="231F20"/>
          <w:position w:val="-1"/>
          <w:sz w:val="20"/>
        </w:rPr>
        <w:drawing>
          <wp:inline distT="0" distB="0" distL="0" distR="0">
            <wp:extent cx="95250" cy="101600"/>
            <wp:effectExtent l="0" t="0" r="0" b="0"/>
            <wp:docPr id="1838" name="Image 1838"/>
            <wp:cNvGraphicFramePr>
              <a:graphicFrameLocks/>
            </wp:cNvGraphicFramePr>
            <a:graphic>
              <a:graphicData uri="http://schemas.openxmlformats.org/drawingml/2006/picture">
                <pic:pic>
                  <pic:nvPicPr>
                    <pic:cNvPr id="1838" name="Image 1838"/>
                    <pic:cNvPicPr/>
                  </pic:nvPicPr>
                  <pic:blipFill>
                    <a:blip r:embed="rId33" cstate="print"/>
                    <a:stretch>
                      <a:fillRect/>
                    </a:stretch>
                  </pic:blipFill>
                  <pic:spPr>
                    <a:xfrm>
                      <a:off x="0" y="0"/>
                      <a:ext cx="95250" cy="101600"/>
                    </a:xfrm>
                    <a:prstGeom prst="rect">
                      <a:avLst/>
                    </a:prstGeom>
                  </pic:spPr>
                </pic:pic>
              </a:graphicData>
            </a:graphic>
          </wp:inline>
        </w:drawing>
      </w:r>
      <w:r>
        <w:rPr>
          <w:rFonts w:ascii="Book Antiqua"/>
          <w:i/>
          <w:color w:val="231F20"/>
          <w:position w:val="-1"/>
          <w:sz w:val="20"/>
        </w:rPr>
      </w:r>
      <w:r>
        <w:rPr>
          <w:rFonts w:ascii="Times New Roman"/>
          <w:color w:val="231F20"/>
          <w:spacing w:val="-6"/>
          <w:sz w:val="20"/>
        </w:rPr>
        <w:t> </w:t>
      </w:r>
      <w:r>
        <w:rPr>
          <w:rFonts w:ascii="Book Antiqua"/>
          <w:i/>
          <w:color w:val="231F20"/>
          <w:sz w:val="20"/>
        </w:rPr>
        <w:t>Similar Events by Resource using Situation Display </w:t>
      </w:r>
      <w:r>
        <w:rPr>
          <w:rFonts w:ascii="Book Antiqua"/>
          <w:i/>
          <w:color w:val="231F20"/>
          <w:sz w:val="20"/>
        </w:rPr>
        <w:t>Name</w:t>
      </w:r>
    </w:p>
    <w:p>
      <w:pPr>
        <w:pStyle w:val="Heading6"/>
        <w:spacing w:line="238" w:lineRule="exact" w:before="0"/>
        <w:ind w:left="2482"/>
      </w:pPr>
      <w:r>
        <w:rPr>
          <w:b w:val="0"/>
          <w:position w:val="-1"/>
        </w:rPr>
        <w:drawing>
          <wp:inline distT="0" distB="0" distL="0" distR="0">
            <wp:extent cx="88900" cy="101600"/>
            <wp:effectExtent l="0" t="0" r="0" b="0"/>
            <wp:docPr id="1839" name="Image 1839"/>
            <wp:cNvGraphicFramePr>
              <a:graphicFrameLocks/>
            </wp:cNvGraphicFramePr>
            <a:graphic>
              <a:graphicData uri="http://schemas.openxmlformats.org/drawingml/2006/picture">
                <pic:pic>
                  <pic:nvPicPr>
                    <pic:cNvPr id="1839" name="Image 1839"/>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Situation</w:t>
      </w:r>
      <w:r>
        <w:rPr>
          <w:color w:val="231F20"/>
          <w:spacing w:val="21"/>
        </w:rPr>
        <w:t> </w:t>
      </w:r>
      <w:r>
        <w:rPr>
          <w:color w:val="231F20"/>
        </w:rPr>
        <w:t>Status</w:t>
      </w:r>
    </w:p>
    <w:p>
      <w:pPr>
        <w:spacing w:before="121"/>
        <w:ind w:left="3200" w:right="0" w:firstLine="0"/>
        <w:jc w:val="left"/>
        <w:rPr>
          <w:rFonts w:ascii="Book Antiqua"/>
          <w:i/>
          <w:sz w:val="20"/>
        </w:rPr>
      </w:pPr>
      <w:r>
        <w:rPr>
          <w:position w:val="-1"/>
        </w:rPr>
        <w:drawing>
          <wp:inline distT="0" distB="0" distL="0" distR="0">
            <wp:extent cx="95250" cy="101600"/>
            <wp:effectExtent l="0" t="0" r="0" b="0"/>
            <wp:docPr id="1840" name="Image 1840"/>
            <wp:cNvGraphicFramePr>
              <a:graphicFrameLocks/>
            </wp:cNvGraphicFramePr>
            <a:graphic>
              <a:graphicData uri="http://schemas.openxmlformats.org/drawingml/2006/picture">
                <pic:pic>
                  <pic:nvPicPr>
                    <pic:cNvPr id="1840" name="Image 1840"/>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3"/>
          <w:sz w:val="20"/>
        </w:rPr>
        <w:t> </w:t>
      </w:r>
      <w:r>
        <w:rPr>
          <w:rFonts w:ascii="Book Antiqua"/>
          <w:i/>
          <w:color w:val="231F20"/>
          <w:sz w:val="20"/>
        </w:rPr>
        <w:t>Situation</w:t>
      </w:r>
      <w:r>
        <w:rPr>
          <w:rFonts w:ascii="Book Antiqua"/>
          <w:i/>
          <w:color w:val="231F20"/>
          <w:spacing w:val="14"/>
          <w:sz w:val="20"/>
        </w:rPr>
        <w:t> </w:t>
      </w:r>
      <w:r>
        <w:rPr>
          <w:rFonts w:ascii="Book Antiqua"/>
          <w:i/>
          <w:color w:val="231F20"/>
          <w:sz w:val="20"/>
        </w:rPr>
        <w:t>Status</w:t>
      </w:r>
      <w:r>
        <w:rPr>
          <w:rFonts w:ascii="Book Antiqua"/>
          <w:i/>
          <w:color w:val="231F20"/>
          <w:spacing w:val="14"/>
          <w:sz w:val="20"/>
        </w:rPr>
        <w:t> </w:t>
      </w:r>
      <w:r>
        <w:rPr>
          <w:rFonts w:ascii="Book Antiqua"/>
          <w:i/>
          <w:color w:val="231F20"/>
          <w:sz w:val="20"/>
        </w:rPr>
        <w:t>Detail</w:t>
      </w:r>
    </w:p>
    <w:p>
      <w:pPr>
        <w:spacing w:before="119"/>
        <w:ind w:left="3200" w:right="0" w:firstLine="0"/>
        <w:jc w:val="left"/>
        <w:rPr>
          <w:rFonts w:ascii="Book Antiqua"/>
          <w:i/>
          <w:sz w:val="20"/>
        </w:rPr>
      </w:pPr>
      <w:r>
        <w:rPr>
          <w:position w:val="-1"/>
        </w:rPr>
        <w:drawing>
          <wp:inline distT="0" distB="0" distL="0" distR="0">
            <wp:extent cx="95250" cy="101600"/>
            <wp:effectExtent l="0" t="0" r="0" b="0"/>
            <wp:docPr id="1841" name="Image 1841"/>
            <wp:cNvGraphicFramePr>
              <a:graphicFrameLocks/>
            </wp:cNvGraphicFramePr>
            <a:graphic>
              <a:graphicData uri="http://schemas.openxmlformats.org/drawingml/2006/picture">
                <pic:pic>
                  <pic:nvPicPr>
                    <pic:cNvPr id="1841" name="Image 1841"/>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3"/>
          <w:sz w:val="20"/>
        </w:rPr>
        <w:t> </w:t>
      </w:r>
      <w:r>
        <w:rPr>
          <w:rFonts w:ascii="Book Antiqua"/>
          <w:i/>
          <w:color w:val="231F20"/>
          <w:sz w:val="20"/>
        </w:rPr>
        <w:t>Situation</w:t>
      </w:r>
      <w:r>
        <w:rPr>
          <w:rFonts w:ascii="Book Antiqua"/>
          <w:i/>
          <w:color w:val="231F20"/>
          <w:spacing w:val="14"/>
          <w:sz w:val="20"/>
        </w:rPr>
        <w:t> </w:t>
      </w:r>
      <w:r>
        <w:rPr>
          <w:rFonts w:ascii="Book Antiqua"/>
          <w:i/>
          <w:color w:val="231F20"/>
          <w:sz w:val="20"/>
        </w:rPr>
        <w:t>Status</w:t>
      </w:r>
      <w:r>
        <w:rPr>
          <w:rFonts w:ascii="Book Antiqua"/>
          <w:i/>
          <w:color w:val="231F20"/>
          <w:spacing w:val="14"/>
          <w:sz w:val="20"/>
        </w:rPr>
        <w:t> </w:t>
      </w:r>
      <w:r>
        <w:rPr>
          <w:rFonts w:ascii="Book Antiqua"/>
          <w:i/>
          <w:color w:val="231F20"/>
          <w:sz w:val="20"/>
        </w:rPr>
        <w:t>Summary</w:t>
      </w:r>
    </w:p>
    <w:p>
      <w:pPr>
        <w:spacing w:after="0"/>
        <w:jc w:val="left"/>
        <w:rPr>
          <w:rFonts w:ascii="Book Antiqua"/>
          <w:sz w:val="20"/>
        </w:rPr>
        <w:sectPr>
          <w:pgSz w:w="12240" w:h="15840"/>
          <w:pgMar w:header="0" w:footer="736" w:top="1180" w:bottom="920" w:left="1000" w:right="1060"/>
        </w:sectPr>
      </w:pPr>
    </w:p>
    <w:p>
      <w:pPr>
        <w:pStyle w:val="Heading6"/>
        <w:spacing w:before="83"/>
        <w:ind w:left="2242"/>
      </w:pPr>
      <w:bookmarkStart w:name="_bookmark152" w:id="335"/>
      <w:bookmarkEnd w:id="335"/>
      <w:r>
        <w:rPr>
          <w:b w:val="0"/>
        </w:rPr>
      </w:r>
      <w:r>
        <w:rPr>
          <w:b w:val="0"/>
          <w:position w:val="-1"/>
        </w:rPr>
        <w:drawing>
          <wp:inline distT="0" distB="0" distL="0" distR="0">
            <wp:extent cx="88900" cy="101600"/>
            <wp:effectExtent l="0" t="0" r="0" b="0"/>
            <wp:docPr id="1842" name="Image 1842"/>
            <wp:cNvGraphicFramePr>
              <a:graphicFrameLocks/>
            </wp:cNvGraphicFramePr>
            <a:graphic>
              <a:graphicData uri="http://schemas.openxmlformats.org/drawingml/2006/picture">
                <pic:pic>
                  <pic:nvPicPr>
                    <pic:cNvPr id="1842" name="Image 1842"/>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Situation</w:t>
      </w:r>
      <w:r>
        <w:rPr>
          <w:color w:val="231F20"/>
          <w:spacing w:val="17"/>
        </w:rPr>
        <w:t> </w:t>
      </w:r>
      <w:r>
        <w:rPr>
          <w:color w:val="231F20"/>
        </w:rPr>
        <w:t>Status</w:t>
      </w:r>
      <w:r>
        <w:rPr>
          <w:color w:val="231F20"/>
          <w:spacing w:val="17"/>
        </w:rPr>
        <w:t> </w:t>
      </w:r>
      <w:r>
        <w:rPr>
          <w:color w:val="231F20"/>
        </w:rPr>
        <w:t>Current</w:t>
      </w:r>
    </w:p>
    <w:p>
      <w:pPr>
        <w:pStyle w:val="BodyText"/>
        <w:spacing w:line="213" w:lineRule="auto" w:before="12"/>
        <w:ind w:left="2951"/>
      </w:pPr>
      <w:r>
        <w:rPr>
          <w:color w:val="231F20"/>
        </w:rPr>
        <w:t>These queries use the Active Situation Status attributes to display </w:t>
      </w:r>
      <w:r>
        <w:rPr>
          <w:color w:val="231F20"/>
        </w:rPr>
        <w:t>status information on situations and policies that are running.</w:t>
      </w:r>
    </w:p>
    <w:p>
      <w:pPr>
        <w:spacing w:line="213" w:lineRule="auto" w:before="118"/>
        <w:ind w:left="2951" w:right="0" w:firstLine="10"/>
        <w:jc w:val="left"/>
        <w:rPr>
          <w:sz w:val="20"/>
        </w:rPr>
      </w:pPr>
      <w:r>
        <w:rPr>
          <w:position w:val="-1"/>
        </w:rPr>
        <w:drawing>
          <wp:inline distT="0" distB="0" distL="0" distR="0">
            <wp:extent cx="95250" cy="101600"/>
            <wp:effectExtent l="0" t="0" r="0" b="0"/>
            <wp:docPr id="1843" name="Image 1843"/>
            <wp:cNvGraphicFramePr>
              <a:graphicFrameLocks/>
            </wp:cNvGraphicFramePr>
            <a:graphic>
              <a:graphicData uri="http://schemas.openxmlformats.org/drawingml/2006/picture">
                <pic:pic>
                  <pic:nvPicPr>
                    <pic:cNvPr id="1843" name="Image 1843"/>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sz w:val="20"/>
        </w:rPr>
        <w:t> </w:t>
      </w:r>
      <w:r>
        <w:rPr>
          <w:rFonts w:ascii="Book Antiqua"/>
          <w:i/>
          <w:color w:val="231F20"/>
          <w:sz w:val="20"/>
        </w:rPr>
        <w:t>Alternate Current Situation Status </w:t>
      </w:r>
      <w:r>
        <w:rPr>
          <w:color w:val="231F20"/>
          <w:sz w:val="20"/>
        </w:rPr>
        <w:t>is an alternate query for message </w:t>
      </w:r>
      <w:r>
        <w:rPr>
          <w:color w:val="231F20"/>
          <w:sz w:val="20"/>
        </w:rPr>
        <w:t>log </w:t>
      </w:r>
      <w:r>
        <w:rPr>
          <w:color w:val="231F20"/>
          <w:spacing w:val="-2"/>
          <w:sz w:val="20"/>
        </w:rPr>
        <w:t>initialization.</w:t>
      </w:r>
    </w:p>
    <w:p>
      <w:pPr>
        <w:spacing w:before="120"/>
        <w:ind w:left="2961" w:right="0" w:firstLine="0"/>
        <w:jc w:val="left"/>
        <w:rPr>
          <w:rFonts w:ascii="Book Antiqua"/>
          <w:i/>
          <w:sz w:val="20"/>
        </w:rPr>
      </w:pPr>
      <w:r>
        <w:rPr>
          <w:position w:val="-1"/>
        </w:rPr>
        <w:drawing>
          <wp:inline distT="0" distB="0" distL="0" distR="0">
            <wp:extent cx="95250" cy="101600"/>
            <wp:effectExtent l="0" t="0" r="0" b="0"/>
            <wp:docPr id="1844" name="Image 1844"/>
            <wp:cNvGraphicFramePr>
              <a:graphicFrameLocks/>
            </wp:cNvGraphicFramePr>
            <a:graphic>
              <a:graphicData uri="http://schemas.openxmlformats.org/drawingml/2006/picture">
                <pic:pic>
                  <pic:nvPicPr>
                    <pic:cNvPr id="1844" name="Image 1844"/>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sz w:val="20"/>
        </w:rPr>
        <w:t> </w:t>
      </w:r>
      <w:r>
        <w:rPr>
          <w:rFonts w:ascii="Book Antiqua"/>
          <w:i/>
          <w:color w:val="231F20"/>
          <w:sz w:val="20"/>
        </w:rPr>
        <w:t>Current</w:t>
      </w:r>
      <w:r>
        <w:rPr>
          <w:rFonts w:ascii="Book Antiqua"/>
          <w:i/>
          <w:color w:val="231F20"/>
          <w:spacing w:val="11"/>
          <w:sz w:val="20"/>
        </w:rPr>
        <w:t> </w:t>
      </w:r>
      <w:r>
        <w:rPr>
          <w:rFonts w:ascii="Book Antiqua"/>
          <w:i/>
          <w:color w:val="231F20"/>
          <w:sz w:val="20"/>
        </w:rPr>
        <w:t>Active</w:t>
      </w:r>
      <w:r>
        <w:rPr>
          <w:rFonts w:ascii="Book Antiqua"/>
          <w:i/>
          <w:color w:val="231F20"/>
          <w:spacing w:val="11"/>
          <w:sz w:val="20"/>
        </w:rPr>
        <w:t> </w:t>
      </w:r>
      <w:r>
        <w:rPr>
          <w:rFonts w:ascii="Book Antiqua"/>
          <w:i/>
          <w:color w:val="231F20"/>
          <w:sz w:val="20"/>
        </w:rPr>
        <w:t>Situation</w:t>
      </w:r>
      <w:r>
        <w:rPr>
          <w:rFonts w:ascii="Book Antiqua"/>
          <w:i/>
          <w:color w:val="231F20"/>
          <w:spacing w:val="11"/>
          <w:sz w:val="20"/>
        </w:rPr>
        <w:t> </w:t>
      </w:r>
      <w:r>
        <w:rPr>
          <w:rFonts w:ascii="Book Antiqua"/>
          <w:i/>
          <w:color w:val="231F20"/>
          <w:sz w:val="20"/>
        </w:rPr>
        <w:t>Status</w:t>
      </w:r>
      <w:r>
        <w:rPr>
          <w:rFonts w:ascii="Book Antiqua"/>
          <w:i/>
          <w:color w:val="231F20"/>
          <w:spacing w:val="11"/>
          <w:sz w:val="20"/>
        </w:rPr>
        <w:t> </w:t>
      </w:r>
      <w:r>
        <w:rPr>
          <w:rFonts w:ascii="Book Antiqua"/>
          <w:i/>
          <w:color w:val="231F20"/>
          <w:sz w:val="20"/>
        </w:rPr>
        <w:t>Using</w:t>
      </w:r>
      <w:r>
        <w:rPr>
          <w:rFonts w:ascii="Book Antiqua"/>
          <w:i/>
          <w:color w:val="231F20"/>
          <w:spacing w:val="11"/>
          <w:sz w:val="20"/>
        </w:rPr>
        <w:t> </w:t>
      </w:r>
      <w:r>
        <w:rPr>
          <w:rFonts w:ascii="Book Antiqua"/>
          <w:i/>
          <w:color w:val="231F20"/>
          <w:sz w:val="20"/>
        </w:rPr>
        <w:t>ID</w:t>
      </w:r>
    </w:p>
    <w:p>
      <w:pPr>
        <w:spacing w:line="213" w:lineRule="auto" w:before="117"/>
        <w:ind w:left="2951" w:right="545" w:firstLine="10"/>
        <w:jc w:val="left"/>
        <w:rPr>
          <w:sz w:val="20"/>
        </w:rPr>
      </w:pPr>
      <w:r>
        <w:rPr>
          <w:position w:val="-1"/>
        </w:rPr>
        <w:drawing>
          <wp:inline distT="0" distB="0" distL="0" distR="0">
            <wp:extent cx="95250" cy="101600"/>
            <wp:effectExtent l="0" t="0" r="0" b="0"/>
            <wp:docPr id="1845" name="Image 1845"/>
            <wp:cNvGraphicFramePr>
              <a:graphicFrameLocks/>
            </wp:cNvGraphicFramePr>
            <a:graphic>
              <a:graphicData uri="http://schemas.openxmlformats.org/drawingml/2006/picture">
                <pic:pic>
                  <pic:nvPicPr>
                    <pic:cNvPr id="1845" name="Image 1845"/>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sz w:val="20"/>
        </w:rPr>
        <w:t> </w:t>
      </w:r>
      <w:r>
        <w:rPr>
          <w:rFonts w:ascii="Book Antiqua"/>
          <w:i/>
          <w:color w:val="231F20"/>
          <w:sz w:val="20"/>
        </w:rPr>
        <w:t>Pure Event Occurrences Using ID </w:t>
      </w:r>
      <w:r>
        <w:rPr>
          <w:color w:val="231F20"/>
          <w:sz w:val="20"/>
        </w:rPr>
        <w:t>displays the situations with pure </w:t>
      </w:r>
      <w:r>
        <w:rPr>
          <w:color w:val="231F20"/>
          <w:sz w:val="20"/>
        </w:rPr>
        <w:t>events opened when applied to a table view.</w:t>
      </w:r>
    </w:p>
    <w:p>
      <w:pPr>
        <w:spacing w:before="120"/>
        <w:ind w:left="2961" w:right="0" w:firstLine="0"/>
        <w:jc w:val="left"/>
        <w:rPr>
          <w:rFonts w:ascii="Book Antiqua"/>
          <w:i/>
          <w:sz w:val="20"/>
        </w:rPr>
      </w:pPr>
      <w:r>
        <w:rPr>
          <w:position w:val="-1"/>
        </w:rPr>
        <w:drawing>
          <wp:inline distT="0" distB="0" distL="0" distR="0">
            <wp:extent cx="95250" cy="101600"/>
            <wp:effectExtent l="0" t="0" r="0" b="0"/>
            <wp:docPr id="1846" name="Image 1846"/>
            <wp:cNvGraphicFramePr>
              <a:graphicFrameLocks/>
            </wp:cNvGraphicFramePr>
            <a:graphic>
              <a:graphicData uri="http://schemas.openxmlformats.org/drawingml/2006/picture">
                <pic:pic>
                  <pic:nvPicPr>
                    <pic:cNvPr id="1846" name="Image 1846"/>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sz w:val="20"/>
        </w:rPr>
        <w:t> </w:t>
      </w:r>
      <w:r>
        <w:rPr>
          <w:rFonts w:ascii="Book Antiqua"/>
          <w:i/>
          <w:color w:val="231F20"/>
          <w:sz w:val="20"/>
        </w:rPr>
        <w:t>Current</w:t>
      </w:r>
      <w:r>
        <w:rPr>
          <w:rFonts w:ascii="Book Antiqua"/>
          <w:i/>
          <w:color w:val="231F20"/>
          <w:spacing w:val="11"/>
          <w:sz w:val="20"/>
        </w:rPr>
        <w:t> </w:t>
      </w:r>
      <w:r>
        <w:rPr>
          <w:rFonts w:ascii="Book Antiqua"/>
          <w:i/>
          <w:color w:val="231F20"/>
          <w:sz w:val="20"/>
        </w:rPr>
        <w:t>Active</w:t>
      </w:r>
      <w:r>
        <w:rPr>
          <w:rFonts w:ascii="Book Antiqua"/>
          <w:i/>
          <w:color w:val="231F20"/>
          <w:spacing w:val="11"/>
          <w:sz w:val="20"/>
        </w:rPr>
        <w:t> </w:t>
      </w:r>
      <w:r>
        <w:rPr>
          <w:rFonts w:ascii="Book Antiqua"/>
          <w:i/>
          <w:color w:val="231F20"/>
          <w:sz w:val="20"/>
        </w:rPr>
        <w:t>Situation</w:t>
      </w:r>
      <w:r>
        <w:rPr>
          <w:rFonts w:ascii="Book Antiqua"/>
          <w:i/>
          <w:color w:val="231F20"/>
          <w:spacing w:val="11"/>
          <w:sz w:val="20"/>
        </w:rPr>
        <w:t> </w:t>
      </w:r>
      <w:r>
        <w:rPr>
          <w:rFonts w:ascii="Book Antiqua"/>
          <w:i/>
          <w:color w:val="231F20"/>
          <w:sz w:val="20"/>
        </w:rPr>
        <w:t>Status</w:t>
      </w:r>
      <w:r>
        <w:rPr>
          <w:rFonts w:ascii="Book Antiqua"/>
          <w:i/>
          <w:color w:val="231F20"/>
          <w:spacing w:val="11"/>
          <w:sz w:val="20"/>
        </w:rPr>
        <w:t> </w:t>
      </w:r>
      <w:r>
        <w:rPr>
          <w:rFonts w:ascii="Book Antiqua"/>
          <w:i/>
          <w:color w:val="231F20"/>
          <w:sz w:val="20"/>
        </w:rPr>
        <w:t>Using</w:t>
      </w:r>
      <w:r>
        <w:rPr>
          <w:rFonts w:ascii="Book Antiqua"/>
          <w:i/>
          <w:color w:val="231F20"/>
          <w:spacing w:val="11"/>
          <w:sz w:val="20"/>
        </w:rPr>
        <w:t> </w:t>
      </w:r>
      <w:r>
        <w:rPr>
          <w:rFonts w:ascii="Book Antiqua"/>
          <w:i/>
          <w:color w:val="231F20"/>
          <w:sz w:val="20"/>
        </w:rPr>
        <w:t>Name</w:t>
      </w:r>
    </w:p>
    <w:p>
      <w:pPr>
        <w:spacing w:line="213" w:lineRule="auto" w:before="116"/>
        <w:ind w:left="2951" w:right="493" w:firstLine="10"/>
        <w:jc w:val="left"/>
        <w:rPr>
          <w:sz w:val="20"/>
        </w:rPr>
      </w:pPr>
      <w:r>
        <w:rPr>
          <w:position w:val="-1"/>
        </w:rPr>
        <w:drawing>
          <wp:inline distT="0" distB="0" distL="0" distR="0">
            <wp:extent cx="95250" cy="101600"/>
            <wp:effectExtent l="0" t="0" r="0" b="0"/>
            <wp:docPr id="1847" name="Image 1847"/>
            <wp:cNvGraphicFramePr>
              <a:graphicFrameLocks/>
            </wp:cNvGraphicFramePr>
            <a:graphic>
              <a:graphicData uri="http://schemas.openxmlformats.org/drawingml/2006/picture">
                <pic:pic>
                  <pic:nvPicPr>
                    <pic:cNvPr id="1847" name="Image 1847"/>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6"/>
          <w:sz w:val="20"/>
        </w:rPr>
        <w:t> </w:t>
      </w:r>
      <w:r>
        <w:rPr>
          <w:rFonts w:ascii="Book Antiqua"/>
          <w:i/>
          <w:color w:val="231F20"/>
          <w:sz w:val="20"/>
        </w:rPr>
        <w:t>Pure Event Occurrences Using Name </w:t>
      </w:r>
      <w:r>
        <w:rPr>
          <w:color w:val="231F20"/>
          <w:sz w:val="20"/>
        </w:rPr>
        <w:t>displays the situations with </w:t>
      </w:r>
      <w:r>
        <w:rPr>
          <w:color w:val="231F20"/>
          <w:sz w:val="20"/>
        </w:rPr>
        <w:t>pure events opened when applied to a table view.</w:t>
      </w:r>
    </w:p>
    <w:p>
      <w:pPr>
        <w:pStyle w:val="Heading6"/>
        <w:ind w:left="2242"/>
      </w:pPr>
      <w:r>
        <w:rPr>
          <w:b w:val="0"/>
          <w:position w:val="-1"/>
        </w:rPr>
        <w:drawing>
          <wp:inline distT="0" distB="0" distL="0" distR="0">
            <wp:extent cx="88900" cy="101600"/>
            <wp:effectExtent l="0" t="0" r="0" b="0"/>
            <wp:docPr id="1848" name="Image 1848"/>
            <wp:cNvGraphicFramePr>
              <a:graphicFrameLocks/>
            </wp:cNvGraphicFramePr>
            <a:graphic>
              <a:graphicData uri="http://schemas.openxmlformats.org/drawingml/2006/picture">
                <pic:pic>
                  <pic:nvPicPr>
                    <pic:cNvPr id="1848" name="Image 1848"/>
                    <pic:cNvPicPr/>
                  </pic:nvPicPr>
                  <pic:blipFill>
                    <a:blip r:embed="rId83" cstate="print"/>
                    <a:stretch>
                      <a:fillRect/>
                    </a:stretch>
                  </pic:blipFill>
                  <pic:spPr>
                    <a:xfrm>
                      <a:off x="0" y="0"/>
                      <a:ext cx="88900" cy="101600"/>
                    </a:xfrm>
                    <a:prstGeom prst="rect">
                      <a:avLst/>
                    </a:prstGeom>
                  </pic:spPr>
                </pic:pic>
              </a:graphicData>
            </a:graphic>
          </wp:inline>
        </w:drawing>
      </w:r>
      <w:r>
        <w:rPr>
          <w:b w:val="0"/>
          <w:position w:val="-1"/>
        </w:rPr>
      </w:r>
      <w:r>
        <w:rPr>
          <w:rFonts w:ascii="Times New Roman"/>
          <w:b w:val="0"/>
        </w:rPr>
        <w:t> </w:t>
      </w:r>
      <w:r>
        <w:rPr>
          <w:color w:val="231F20"/>
        </w:rPr>
        <w:t>Situation</w:t>
      </w:r>
      <w:r>
        <w:rPr>
          <w:color w:val="231F20"/>
          <w:spacing w:val="17"/>
        </w:rPr>
        <w:t> </w:t>
      </w:r>
      <w:r>
        <w:rPr>
          <w:color w:val="231F20"/>
        </w:rPr>
        <w:t>Status</w:t>
      </w:r>
      <w:r>
        <w:rPr>
          <w:color w:val="231F20"/>
          <w:spacing w:val="17"/>
        </w:rPr>
        <w:t> </w:t>
      </w:r>
      <w:r>
        <w:rPr>
          <w:color w:val="231F20"/>
        </w:rPr>
        <w:t>Log</w:t>
      </w:r>
    </w:p>
    <w:p>
      <w:pPr>
        <w:pStyle w:val="BodyText"/>
        <w:spacing w:line="213" w:lineRule="auto" w:before="12"/>
        <w:ind w:left="2951" w:right="545"/>
      </w:pPr>
      <w:r>
        <w:rPr>
          <w:color w:val="231F20"/>
        </w:rPr>
        <w:t>These queries use the Situation Status attributes to display </w:t>
      </w:r>
      <w:r>
        <w:rPr>
          <w:color w:val="231F20"/>
        </w:rPr>
        <w:t>status information on started situations and policies.</w:t>
      </w:r>
    </w:p>
    <w:p>
      <w:pPr>
        <w:spacing w:line="213" w:lineRule="auto" w:before="118"/>
        <w:ind w:left="2951" w:right="442" w:firstLine="10"/>
        <w:jc w:val="left"/>
        <w:rPr>
          <w:sz w:val="20"/>
        </w:rPr>
      </w:pPr>
      <w:r>
        <w:rPr>
          <w:position w:val="-1"/>
        </w:rPr>
        <w:drawing>
          <wp:inline distT="0" distB="0" distL="0" distR="0">
            <wp:extent cx="95250" cy="101599"/>
            <wp:effectExtent l="0" t="0" r="0" b="0"/>
            <wp:docPr id="1849" name="Image 1849"/>
            <wp:cNvGraphicFramePr>
              <a:graphicFrameLocks/>
            </wp:cNvGraphicFramePr>
            <a:graphic>
              <a:graphicData uri="http://schemas.openxmlformats.org/drawingml/2006/picture">
                <pic:pic>
                  <pic:nvPicPr>
                    <pic:cNvPr id="1849" name="Image 1849"/>
                    <pic:cNvPicPr/>
                  </pic:nvPicPr>
                  <pic:blipFill>
                    <a:blip r:embed="rId33" cstate="print"/>
                    <a:stretch>
                      <a:fillRect/>
                    </a:stretch>
                  </pic:blipFill>
                  <pic:spPr>
                    <a:xfrm>
                      <a:off x="0" y="0"/>
                      <a:ext cx="95250" cy="101599"/>
                    </a:xfrm>
                    <a:prstGeom prst="rect">
                      <a:avLst/>
                    </a:prstGeom>
                  </pic:spPr>
                </pic:pic>
              </a:graphicData>
            </a:graphic>
          </wp:inline>
        </w:drawing>
      </w:r>
      <w:r>
        <w:rPr>
          <w:position w:val="-1"/>
        </w:rPr>
      </w:r>
      <w:r>
        <w:rPr>
          <w:rFonts w:ascii="Times New Roman"/>
          <w:sz w:val="20"/>
        </w:rPr>
        <w:t> </w:t>
      </w:r>
      <w:r>
        <w:rPr>
          <w:rFonts w:ascii="Book Antiqua"/>
          <w:i/>
          <w:color w:val="231F20"/>
          <w:sz w:val="20"/>
        </w:rPr>
        <w:t>Open</w:t>
      </w:r>
      <w:r>
        <w:rPr>
          <w:rFonts w:ascii="Book Antiqua"/>
          <w:i/>
          <w:color w:val="231F20"/>
          <w:spacing w:val="27"/>
          <w:sz w:val="20"/>
        </w:rPr>
        <w:t> </w:t>
      </w:r>
      <w:r>
        <w:rPr>
          <w:rFonts w:ascii="Book Antiqua"/>
          <w:i/>
          <w:color w:val="231F20"/>
          <w:sz w:val="20"/>
        </w:rPr>
        <w:t>Events</w:t>
      </w:r>
      <w:r>
        <w:rPr>
          <w:rFonts w:ascii="Book Antiqua"/>
          <w:i/>
          <w:color w:val="231F20"/>
          <w:spacing w:val="27"/>
          <w:sz w:val="20"/>
        </w:rPr>
        <w:t> </w:t>
      </w:r>
      <w:r>
        <w:rPr>
          <w:rFonts w:ascii="Book Antiqua"/>
          <w:i/>
          <w:color w:val="231F20"/>
          <w:sz w:val="20"/>
        </w:rPr>
        <w:t>Count</w:t>
      </w:r>
      <w:r>
        <w:rPr>
          <w:rFonts w:ascii="Book Antiqua"/>
          <w:i/>
          <w:color w:val="231F20"/>
          <w:spacing w:val="27"/>
          <w:sz w:val="20"/>
        </w:rPr>
        <w:t> </w:t>
      </w:r>
      <w:r>
        <w:rPr>
          <w:rFonts w:ascii="Book Antiqua"/>
          <w:i/>
          <w:color w:val="231F20"/>
          <w:sz w:val="20"/>
        </w:rPr>
        <w:t>Using</w:t>
      </w:r>
      <w:r>
        <w:rPr>
          <w:rFonts w:ascii="Book Antiqua"/>
          <w:i/>
          <w:color w:val="231F20"/>
          <w:spacing w:val="27"/>
          <w:sz w:val="20"/>
        </w:rPr>
        <w:t> </w:t>
      </w:r>
      <w:r>
        <w:rPr>
          <w:rFonts w:ascii="Book Antiqua"/>
          <w:i/>
          <w:color w:val="231F20"/>
          <w:sz w:val="20"/>
        </w:rPr>
        <w:t>ID</w:t>
      </w:r>
      <w:r>
        <w:rPr>
          <w:rFonts w:ascii="Book Antiqua"/>
          <w:i/>
          <w:color w:val="231F20"/>
          <w:spacing w:val="27"/>
          <w:sz w:val="20"/>
        </w:rPr>
        <w:t> </w:t>
      </w:r>
      <w:r>
        <w:rPr>
          <w:rFonts w:ascii="Book Antiqua"/>
          <w:i/>
          <w:color w:val="231F20"/>
          <w:sz w:val="20"/>
        </w:rPr>
        <w:t>-</w:t>
      </w:r>
      <w:r>
        <w:rPr>
          <w:rFonts w:ascii="Book Antiqua"/>
          <w:i/>
          <w:color w:val="231F20"/>
          <w:spacing w:val="27"/>
          <w:sz w:val="20"/>
        </w:rPr>
        <w:t> </w:t>
      </w:r>
      <w:r>
        <w:rPr>
          <w:rFonts w:ascii="Book Antiqua"/>
          <w:i/>
          <w:color w:val="231F20"/>
          <w:sz w:val="20"/>
        </w:rPr>
        <w:t>Enterprise</w:t>
      </w:r>
      <w:r>
        <w:rPr>
          <w:rFonts w:ascii="Book Antiqua"/>
          <w:i/>
          <w:color w:val="231F20"/>
          <w:spacing w:val="27"/>
          <w:sz w:val="20"/>
        </w:rPr>
        <w:t> </w:t>
      </w:r>
      <w:r>
        <w:rPr>
          <w:color w:val="231F20"/>
          <w:sz w:val="20"/>
        </w:rPr>
        <w:t>shows</w:t>
      </w:r>
      <w:r>
        <w:rPr>
          <w:color w:val="231F20"/>
          <w:spacing w:val="27"/>
          <w:sz w:val="20"/>
        </w:rPr>
        <w:t> </w:t>
      </w:r>
      <w:r>
        <w:rPr>
          <w:color w:val="231F20"/>
          <w:sz w:val="20"/>
        </w:rPr>
        <w:t>the</w:t>
      </w:r>
      <w:r>
        <w:rPr>
          <w:color w:val="231F20"/>
          <w:spacing w:val="27"/>
          <w:sz w:val="20"/>
        </w:rPr>
        <w:t> </w:t>
      </w:r>
      <w:r>
        <w:rPr>
          <w:color w:val="231F20"/>
          <w:sz w:val="20"/>
        </w:rPr>
        <w:t>every</w:t>
      </w:r>
      <w:r>
        <w:rPr>
          <w:color w:val="231F20"/>
          <w:spacing w:val="27"/>
          <w:sz w:val="20"/>
        </w:rPr>
        <w:t> </w:t>
      </w:r>
      <w:r>
        <w:rPr>
          <w:color w:val="231F20"/>
          <w:sz w:val="20"/>
        </w:rPr>
        <w:t>open</w:t>
      </w:r>
      <w:r>
        <w:rPr>
          <w:color w:val="231F20"/>
          <w:spacing w:val="27"/>
          <w:sz w:val="20"/>
        </w:rPr>
        <w:t> </w:t>
      </w:r>
      <w:r>
        <w:rPr>
          <w:color w:val="231F20"/>
          <w:sz w:val="20"/>
        </w:rPr>
        <w:t>event</w:t>
      </w:r>
      <w:r>
        <w:rPr>
          <w:color w:val="231F20"/>
          <w:spacing w:val="27"/>
          <w:sz w:val="20"/>
        </w:rPr>
        <w:t> </w:t>
      </w:r>
      <w:r>
        <w:rPr>
          <w:color w:val="231F20"/>
          <w:sz w:val="20"/>
        </w:rPr>
        <w:t>on the Enterprise and the number of intervals the situation has been true </w:t>
      </w:r>
      <w:r>
        <w:rPr>
          <w:color w:val="231F20"/>
          <w:sz w:val="20"/>
        </w:rPr>
        <w:t>since</w:t>
      </w:r>
      <w:r>
        <w:rPr>
          <w:color w:val="231F20"/>
          <w:spacing w:val="80"/>
          <w:sz w:val="20"/>
        </w:rPr>
        <w:t> </w:t>
      </w:r>
      <w:r>
        <w:rPr>
          <w:color w:val="231F20"/>
          <w:sz w:val="20"/>
        </w:rPr>
        <w:t>it was started.</w:t>
      </w:r>
    </w:p>
    <w:p>
      <w:pPr>
        <w:spacing w:line="213" w:lineRule="auto" w:before="118"/>
        <w:ind w:left="2951" w:right="763" w:firstLine="10"/>
        <w:jc w:val="left"/>
        <w:rPr>
          <w:sz w:val="20"/>
        </w:rPr>
      </w:pPr>
      <w:r>
        <w:rPr>
          <w:position w:val="-1"/>
        </w:rPr>
        <w:drawing>
          <wp:inline distT="0" distB="0" distL="0" distR="0">
            <wp:extent cx="95250" cy="101600"/>
            <wp:effectExtent l="0" t="0" r="0" b="0"/>
            <wp:docPr id="1850" name="Image 1850"/>
            <wp:cNvGraphicFramePr>
              <a:graphicFrameLocks/>
            </wp:cNvGraphicFramePr>
            <a:graphic>
              <a:graphicData uri="http://schemas.openxmlformats.org/drawingml/2006/picture">
                <pic:pic>
                  <pic:nvPicPr>
                    <pic:cNvPr id="1850" name="Image 1850"/>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z w:val="20"/>
        </w:rPr>
        <w:t> </w:t>
      </w:r>
      <w:r>
        <w:rPr>
          <w:rFonts w:ascii="Book Antiqua"/>
          <w:i/>
          <w:color w:val="231F20"/>
          <w:sz w:val="20"/>
        </w:rPr>
        <w:t>Open Events Count Using ID - Managed System </w:t>
      </w:r>
      <w:r>
        <w:rPr>
          <w:color w:val="231F20"/>
          <w:sz w:val="20"/>
        </w:rPr>
        <w:t>shows the every open event on the managed system and the number of intervals the </w:t>
      </w:r>
      <w:r>
        <w:rPr>
          <w:color w:val="231F20"/>
          <w:sz w:val="20"/>
        </w:rPr>
        <w:t>situation has been true since it was started.</w:t>
      </w:r>
    </w:p>
    <w:p>
      <w:pPr>
        <w:pStyle w:val="BodyText"/>
        <w:spacing w:line="213" w:lineRule="auto" w:before="117"/>
        <w:ind w:left="2951" w:right="545" w:firstLine="10"/>
      </w:pPr>
      <w:r>
        <w:rPr>
          <w:position w:val="-1"/>
        </w:rPr>
        <w:drawing>
          <wp:inline distT="0" distB="0" distL="0" distR="0">
            <wp:extent cx="95250" cy="101600"/>
            <wp:effectExtent l="0" t="0" r="0" b="0"/>
            <wp:docPr id="1851" name="Image 1851"/>
            <wp:cNvGraphicFramePr>
              <a:graphicFrameLocks/>
            </wp:cNvGraphicFramePr>
            <a:graphic>
              <a:graphicData uri="http://schemas.openxmlformats.org/drawingml/2006/picture">
                <pic:pic>
                  <pic:nvPicPr>
                    <pic:cNvPr id="1851" name="Image 1851"/>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rPr>
        <w:t> </w:t>
      </w:r>
      <w:r>
        <w:rPr>
          <w:rFonts w:ascii="Book Antiqua"/>
          <w:i/>
          <w:color w:val="231F20"/>
        </w:rPr>
        <w:t>Situation Status Log </w:t>
      </w:r>
      <w:r>
        <w:rPr>
          <w:color w:val="231F20"/>
        </w:rPr>
        <w:t>shows the status of the situations on this </w:t>
      </w:r>
      <w:r>
        <w:rPr>
          <w:color w:val="231F20"/>
        </w:rPr>
        <w:t>managed system. It is similar to the message log view.</w:t>
      </w:r>
    </w:p>
    <w:p>
      <w:pPr>
        <w:spacing w:line="213" w:lineRule="auto" w:before="119"/>
        <w:ind w:left="2951" w:right="627" w:firstLine="10"/>
        <w:jc w:val="both"/>
        <w:rPr>
          <w:sz w:val="20"/>
        </w:rPr>
      </w:pPr>
      <w:r>
        <w:rPr>
          <w:position w:val="-1"/>
        </w:rPr>
        <w:drawing>
          <wp:inline distT="0" distB="0" distL="0" distR="0">
            <wp:extent cx="95250" cy="101600"/>
            <wp:effectExtent l="0" t="0" r="0" b="0"/>
            <wp:docPr id="1852" name="Image 1852"/>
            <wp:cNvGraphicFramePr>
              <a:graphicFrameLocks/>
            </wp:cNvGraphicFramePr>
            <a:graphic>
              <a:graphicData uri="http://schemas.openxmlformats.org/drawingml/2006/picture">
                <pic:pic>
                  <pic:nvPicPr>
                    <pic:cNvPr id="1852" name="Image 1852"/>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sz w:val="20"/>
        </w:rPr>
        <w:t> </w:t>
      </w:r>
      <w:r>
        <w:rPr>
          <w:rFonts w:ascii="Book Antiqua"/>
          <w:i/>
          <w:color w:val="231F20"/>
          <w:sz w:val="20"/>
        </w:rPr>
        <w:t>Open Events Count Using Name - Enterprise </w:t>
      </w:r>
      <w:r>
        <w:rPr>
          <w:color w:val="231F20"/>
          <w:sz w:val="20"/>
        </w:rPr>
        <w:t>shows the every open event on the Enterprise and the number of intervals the situation has been </w:t>
      </w:r>
      <w:r>
        <w:rPr>
          <w:color w:val="231F20"/>
          <w:sz w:val="20"/>
        </w:rPr>
        <w:t>true since it was started.</w:t>
      </w:r>
    </w:p>
    <w:p>
      <w:pPr>
        <w:spacing w:line="213" w:lineRule="auto" w:before="118"/>
        <w:ind w:left="2951" w:right="636" w:firstLine="10"/>
        <w:jc w:val="left"/>
        <w:rPr>
          <w:sz w:val="20"/>
        </w:rPr>
      </w:pPr>
      <w:r>
        <w:rPr>
          <w:position w:val="-1"/>
        </w:rPr>
        <w:drawing>
          <wp:inline distT="0" distB="0" distL="0" distR="0">
            <wp:extent cx="95250" cy="101600"/>
            <wp:effectExtent l="0" t="0" r="0" b="0"/>
            <wp:docPr id="1853" name="Image 1853"/>
            <wp:cNvGraphicFramePr>
              <a:graphicFrameLocks/>
            </wp:cNvGraphicFramePr>
            <a:graphic>
              <a:graphicData uri="http://schemas.openxmlformats.org/drawingml/2006/picture">
                <pic:pic>
                  <pic:nvPicPr>
                    <pic:cNvPr id="1853" name="Image 1853"/>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
          <w:sz w:val="20"/>
        </w:rPr>
        <w:t> </w:t>
      </w:r>
      <w:r>
        <w:rPr>
          <w:rFonts w:ascii="Book Antiqua"/>
          <w:i/>
          <w:color w:val="231F20"/>
          <w:sz w:val="20"/>
        </w:rPr>
        <w:t>Open Events Count Using Name - Managed System </w:t>
      </w:r>
      <w:r>
        <w:rPr>
          <w:color w:val="231F20"/>
          <w:sz w:val="20"/>
        </w:rPr>
        <w:t>shows the every </w:t>
      </w:r>
      <w:r>
        <w:rPr>
          <w:color w:val="231F20"/>
          <w:sz w:val="20"/>
        </w:rPr>
        <w:t>open event on the managed system and the number of intervals the situation has been true since it was started.</w:t>
      </w:r>
    </w:p>
    <w:p>
      <w:pPr>
        <w:spacing w:after="0" w:line="213" w:lineRule="auto"/>
        <w:jc w:val="left"/>
        <w:rPr>
          <w:sz w:val="20"/>
        </w:rPr>
        <w:sectPr>
          <w:pgSz w:w="12240" w:h="15840"/>
          <w:pgMar w:header="0" w:footer="736" w:top="1180" w:bottom="920" w:left="1000" w:right="1060"/>
        </w:sectPr>
      </w:pPr>
    </w:p>
    <w:p>
      <w:pPr>
        <w:pStyle w:val="BodyText"/>
        <w:spacing w:line="20" w:lineRule="exact"/>
        <w:ind w:left="436"/>
        <w:rPr>
          <w:sz w:val="2"/>
        </w:rPr>
      </w:pPr>
      <w:bookmarkStart w:name="_bookmark153" w:id="336"/>
      <w:bookmarkEnd w:id="336"/>
      <w:r>
        <w:rPr/>
      </w:r>
      <w:r>
        <w:rPr>
          <w:sz w:val="2"/>
        </w:rPr>
        <mc:AlternateContent>
          <mc:Choice Requires="wps">
            <w:drawing>
              <wp:inline distT="0" distB="0" distL="0" distR="0">
                <wp:extent cx="6082665" cy="25400"/>
                <wp:effectExtent l="19050" t="0" r="3810" b="3175"/>
                <wp:docPr id="1857" name="Group 1857"/>
                <wp:cNvGraphicFramePr>
                  <a:graphicFrameLocks/>
                </wp:cNvGraphicFramePr>
                <a:graphic>
                  <a:graphicData uri="http://schemas.microsoft.com/office/word/2010/wordprocessingGroup">
                    <wpg:wgp>
                      <wpg:cNvPr id="1857" name="Group 1857"/>
                      <wpg:cNvGrpSpPr/>
                      <wpg:grpSpPr>
                        <a:xfrm>
                          <a:off x="0" y="0"/>
                          <a:ext cx="6082665" cy="25400"/>
                          <a:chExt cx="6082665" cy="25400"/>
                        </a:xfrm>
                      </wpg:grpSpPr>
                      <wps:wsp>
                        <wps:cNvPr id="1858" name="Graphic 1858"/>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81"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8. Historical reporting" w:id="337"/>
      <w:bookmarkEnd w:id="337"/>
      <w:r>
        <w:rPr>
          <w:b w:val="0"/>
        </w:rPr>
      </w:r>
      <w:r>
        <w:rPr>
          <w:color w:val="231F20"/>
        </w:rPr>
        <w:t>Chapter</w:t>
      </w:r>
      <w:r>
        <w:rPr>
          <w:color w:val="231F20"/>
          <w:spacing w:val="-10"/>
        </w:rPr>
        <w:t> </w:t>
      </w:r>
      <w:r>
        <w:rPr>
          <w:color w:val="231F20"/>
        </w:rPr>
        <w:t>8.</w:t>
      </w:r>
      <w:r>
        <w:rPr>
          <w:color w:val="231F20"/>
          <w:spacing w:val="7"/>
        </w:rPr>
        <w:t> </w:t>
      </w:r>
      <w:r>
        <w:rPr>
          <w:color w:val="231F20"/>
        </w:rPr>
        <w:t>Historical</w:t>
      </w:r>
      <w:r>
        <w:rPr>
          <w:color w:val="231F20"/>
          <w:spacing w:val="6"/>
        </w:rPr>
        <w:t> </w:t>
      </w:r>
      <w:r>
        <w:rPr>
          <w:color w:val="231F20"/>
          <w:spacing w:val="-2"/>
        </w:rPr>
        <w:t>reporting</w:t>
      </w:r>
    </w:p>
    <w:p>
      <w:pPr>
        <w:pStyle w:val="BodyText"/>
        <w:spacing w:line="213" w:lineRule="auto" w:before="304"/>
        <w:ind w:left="2472" w:right="545"/>
      </w:pPr>
      <w:r>
        <w:rPr>
          <w:color w:val="231F20"/>
        </w:rPr>
        <w:t>Tivoli Enterprise Portal provides historical data collection and reporting capabilities. If historical data collection has been configured and started for an attribute group on the managed systems specified, you can set a time span </w:t>
      </w:r>
      <w:r>
        <w:rPr>
          <w:color w:val="231F20"/>
        </w:rPr>
        <w:t>for retrieving historical data into a query-based view.</w:t>
      </w:r>
    </w:p>
    <w:p>
      <w:pPr>
        <w:pStyle w:val="BodyText"/>
        <w:spacing w:before="4"/>
        <w:rPr>
          <w:sz w:val="16"/>
        </w:rPr>
      </w:pPr>
      <w:r>
        <w:rPr/>
        <mc:AlternateContent>
          <mc:Choice Requires="wps">
            <w:drawing>
              <wp:anchor distT="0" distB="0" distL="0" distR="0" allowOverlap="1" layoutInCell="1" locked="0" behindDoc="1" simplePos="0" relativeHeight="487710720">
                <wp:simplePos x="0" y="0"/>
                <wp:positionH relativeFrom="page">
                  <wp:posOffset>912380</wp:posOffset>
                </wp:positionH>
                <wp:positionV relativeFrom="paragraph">
                  <wp:posOffset>155281</wp:posOffset>
                </wp:positionV>
                <wp:extent cx="6082665" cy="1270"/>
                <wp:effectExtent l="0" t="0" r="0" b="0"/>
                <wp:wrapTopAndBottom/>
                <wp:docPr id="1859" name="Graphic 1859"/>
                <wp:cNvGraphicFramePr>
                  <a:graphicFrameLocks/>
                </wp:cNvGraphicFramePr>
                <a:graphic>
                  <a:graphicData uri="http://schemas.microsoft.com/office/word/2010/wordprocessingShape">
                    <wps:wsp>
                      <wps:cNvPr id="1859" name="Graphic 185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26914pt;width:478.95pt;height:.1pt;mso-position-horizontal-relative:page;mso-position-vertical-relative:paragraph;z-index:-15605760;mso-wrap-distance-left:0;mso-wrap-distance-right:0" id="docshape182"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Overview of historical data collection a" w:id="338"/>
      <w:bookmarkEnd w:id="338"/>
      <w:r>
        <w:rPr>
          <w:b w:val="0"/>
        </w:rPr>
      </w:r>
      <w:r>
        <w:rPr>
          <w:color w:val="231F20"/>
        </w:rPr>
        <w:t>Overview</w:t>
      </w:r>
      <w:r>
        <w:rPr>
          <w:color w:val="231F20"/>
          <w:spacing w:val="6"/>
        </w:rPr>
        <w:t> </w:t>
      </w:r>
      <w:r>
        <w:rPr>
          <w:color w:val="231F20"/>
        </w:rPr>
        <w:t>of</w:t>
      </w:r>
      <w:r>
        <w:rPr>
          <w:color w:val="231F20"/>
          <w:spacing w:val="6"/>
        </w:rPr>
        <w:t> </w:t>
      </w:r>
      <w:r>
        <w:rPr>
          <w:color w:val="231F20"/>
        </w:rPr>
        <w:t>historical</w:t>
      </w:r>
      <w:r>
        <w:rPr>
          <w:color w:val="231F20"/>
          <w:spacing w:val="7"/>
        </w:rPr>
        <w:t> </w:t>
      </w:r>
      <w:r>
        <w:rPr>
          <w:color w:val="231F20"/>
        </w:rPr>
        <w:t>data</w:t>
      </w:r>
      <w:r>
        <w:rPr>
          <w:color w:val="231F20"/>
          <w:spacing w:val="6"/>
        </w:rPr>
        <w:t> </w:t>
      </w:r>
      <w:r>
        <w:rPr>
          <w:color w:val="231F20"/>
        </w:rPr>
        <w:t>collection</w:t>
      </w:r>
      <w:r>
        <w:rPr>
          <w:color w:val="231F20"/>
          <w:spacing w:val="7"/>
        </w:rPr>
        <w:t> </w:t>
      </w:r>
      <w:r>
        <w:rPr>
          <w:color w:val="231F20"/>
        </w:rPr>
        <w:t>and</w:t>
      </w:r>
      <w:r>
        <w:rPr>
          <w:color w:val="231F20"/>
          <w:spacing w:val="6"/>
        </w:rPr>
        <w:t> </w:t>
      </w:r>
      <w:r>
        <w:rPr>
          <w:color w:val="231F20"/>
          <w:spacing w:val="-2"/>
        </w:rPr>
        <w:t>reporting</w:t>
      </w:r>
    </w:p>
    <w:p>
      <w:pPr>
        <w:pStyle w:val="BodyText"/>
        <w:spacing w:line="213" w:lineRule="auto" w:before="138"/>
        <w:ind w:left="2472" w:right="385"/>
      </w:pPr>
      <w:r>
        <w:rPr>
          <w:color w:val="231F20"/>
        </w:rPr>
        <w:t>Use historical data collection and reporting to gather useful metrics about your managed network. You can also use historical data with the chart baselining </w:t>
      </w:r>
      <w:r>
        <w:rPr>
          <w:color w:val="231F20"/>
        </w:rPr>
        <w:t>tools for predictive analysis and in situation modeling for key performance indicators.</w:t>
      </w:r>
    </w:p>
    <w:p>
      <w:pPr>
        <w:pStyle w:val="Heading6"/>
      </w:pPr>
      <w:r>
        <w:rPr>
          <w:color w:val="231F20"/>
        </w:rPr>
        <w:t>How</w:t>
      </w:r>
      <w:r>
        <w:rPr>
          <w:color w:val="231F20"/>
          <w:spacing w:val="9"/>
        </w:rPr>
        <w:t> </w:t>
      </w:r>
      <w:r>
        <w:rPr>
          <w:color w:val="231F20"/>
        </w:rPr>
        <w:t>historical</w:t>
      </w:r>
      <w:r>
        <w:rPr>
          <w:color w:val="231F20"/>
          <w:spacing w:val="10"/>
        </w:rPr>
        <w:t> </w:t>
      </w:r>
      <w:r>
        <w:rPr>
          <w:color w:val="231F20"/>
        </w:rPr>
        <w:t>data</w:t>
      </w:r>
      <w:r>
        <w:rPr>
          <w:color w:val="231F20"/>
          <w:spacing w:val="10"/>
        </w:rPr>
        <w:t> </w:t>
      </w:r>
      <w:r>
        <w:rPr>
          <w:color w:val="231F20"/>
        </w:rPr>
        <w:t>collection</w:t>
      </w:r>
      <w:r>
        <w:rPr>
          <w:color w:val="231F20"/>
          <w:spacing w:val="9"/>
        </w:rPr>
        <w:t> </w:t>
      </w:r>
      <w:r>
        <w:rPr>
          <w:color w:val="231F20"/>
        </w:rPr>
        <w:t>and</w:t>
      </w:r>
      <w:r>
        <w:rPr>
          <w:color w:val="231F20"/>
          <w:spacing w:val="10"/>
        </w:rPr>
        <w:t> </w:t>
      </w:r>
      <w:r>
        <w:rPr>
          <w:color w:val="231F20"/>
        </w:rPr>
        <w:t>reporting</w:t>
      </w:r>
      <w:r>
        <w:rPr>
          <w:color w:val="231F20"/>
          <w:spacing w:val="10"/>
        </w:rPr>
        <w:t> </w:t>
      </w:r>
      <w:r>
        <w:rPr>
          <w:color w:val="231F20"/>
          <w:spacing w:val="-2"/>
        </w:rPr>
        <w:t>works</w:t>
      </w:r>
    </w:p>
    <w:p>
      <w:pPr>
        <w:pStyle w:val="BodyText"/>
        <w:spacing w:line="213" w:lineRule="auto" w:before="11"/>
        <w:ind w:left="3190" w:right="230"/>
      </w:pPr>
      <w:r>
        <w:rPr>
          <w:color w:val="231F20"/>
        </w:rPr>
        <w:t>After historical data collection has been configured and started, data samples are collected and saved in history files at either the monitoring agent or the monitoring server for the short term. The data is stored in tables, one for each attribute group for which data is being collected. If </w:t>
      </w:r>
      <w:r>
        <w:rPr>
          <w:color w:val="231F20"/>
        </w:rPr>
        <w:t>the Tivoli</w:t>
      </w:r>
      <w:r>
        <w:rPr>
          <w:color w:val="231F20"/>
          <w:spacing w:val="12"/>
        </w:rPr>
        <w:t> </w:t>
      </w:r>
      <w:r>
        <w:rPr>
          <w:color w:val="231F20"/>
        </w:rPr>
        <w:t>data</w:t>
      </w:r>
      <w:r>
        <w:rPr>
          <w:color w:val="231F20"/>
          <w:spacing w:val="12"/>
        </w:rPr>
        <w:t> </w:t>
      </w:r>
      <w:r>
        <w:rPr>
          <w:color w:val="231F20"/>
        </w:rPr>
        <w:t>warehousing</w:t>
      </w:r>
      <w:r>
        <w:rPr>
          <w:color w:val="231F20"/>
          <w:spacing w:val="12"/>
        </w:rPr>
        <w:t> </w:t>
      </w:r>
      <w:r>
        <w:rPr>
          <w:color w:val="231F20"/>
        </w:rPr>
        <w:t>facility</w:t>
      </w:r>
      <w:r>
        <w:rPr>
          <w:color w:val="231F20"/>
          <w:spacing w:val="12"/>
        </w:rPr>
        <w:t> </w:t>
      </w:r>
      <w:r>
        <w:rPr>
          <w:color w:val="231F20"/>
        </w:rPr>
        <w:t>has</w:t>
      </w:r>
      <w:r>
        <w:rPr>
          <w:color w:val="231F20"/>
          <w:spacing w:val="12"/>
        </w:rPr>
        <w:t> </w:t>
      </w:r>
      <w:r>
        <w:rPr>
          <w:color w:val="231F20"/>
        </w:rPr>
        <w:t>been</w:t>
      </w:r>
      <w:r>
        <w:rPr>
          <w:color w:val="231F20"/>
          <w:spacing w:val="12"/>
        </w:rPr>
        <w:t> </w:t>
      </w:r>
      <w:r>
        <w:rPr>
          <w:color w:val="231F20"/>
        </w:rPr>
        <w:t>set</w:t>
      </w:r>
      <w:r>
        <w:rPr>
          <w:color w:val="231F20"/>
          <w:spacing w:val="12"/>
        </w:rPr>
        <w:t> </w:t>
      </w:r>
      <w:r>
        <w:rPr>
          <w:color w:val="231F20"/>
        </w:rPr>
        <w:t>up,</w:t>
      </w:r>
      <w:r>
        <w:rPr>
          <w:color w:val="231F20"/>
          <w:spacing w:val="12"/>
        </w:rPr>
        <w:t> </w:t>
      </w:r>
      <w:r>
        <w:rPr>
          <w:color w:val="231F20"/>
        </w:rPr>
        <w:t>you</w:t>
      </w:r>
      <w:r>
        <w:rPr>
          <w:color w:val="231F20"/>
          <w:spacing w:val="12"/>
        </w:rPr>
        <w:t> </w:t>
      </w:r>
      <w:r>
        <w:rPr>
          <w:color w:val="231F20"/>
        </w:rPr>
        <w:t>can</w:t>
      </w:r>
      <w:r>
        <w:rPr>
          <w:color w:val="231F20"/>
          <w:spacing w:val="12"/>
        </w:rPr>
        <w:t> </w:t>
      </w:r>
      <w:r>
        <w:rPr>
          <w:color w:val="231F20"/>
        </w:rPr>
        <w:t>move</w:t>
      </w:r>
      <w:r>
        <w:rPr>
          <w:color w:val="231F20"/>
          <w:spacing w:val="12"/>
        </w:rPr>
        <w:t> </w:t>
      </w:r>
      <w:r>
        <w:rPr>
          <w:color w:val="231F20"/>
        </w:rPr>
        <w:t>the</w:t>
      </w:r>
      <w:r>
        <w:rPr>
          <w:color w:val="231F20"/>
          <w:spacing w:val="12"/>
        </w:rPr>
        <w:t> </w:t>
      </w:r>
      <w:r>
        <w:rPr>
          <w:color w:val="231F20"/>
        </w:rPr>
        <w:t>data</w:t>
      </w:r>
      <w:r>
        <w:rPr>
          <w:color w:val="231F20"/>
          <w:spacing w:val="12"/>
        </w:rPr>
        <w:t> </w:t>
      </w:r>
      <w:r>
        <w:rPr>
          <w:color w:val="231F20"/>
        </w:rPr>
        <w:t>to a relational database for longer term storage.</w:t>
      </w:r>
    </w:p>
    <w:p>
      <w:pPr>
        <w:pStyle w:val="BodyText"/>
        <w:spacing w:line="213" w:lineRule="auto" w:before="116"/>
        <w:ind w:left="3190" w:right="185"/>
      </w:pPr>
      <w:r>
        <w:rPr>
          <w:color w:val="231F20"/>
        </w:rPr>
        <w:t>The History Collection Configuration window enables you to configure historical data collection for individual attribute groups and specify from which</w:t>
      </w:r>
      <w:r>
        <w:rPr>
          <w:color w:val="231F20"/>
          <w:spacing w:val="30"/>
        </w:rPr>
        <w:t> </w:t>
      </w:r>
      <w:r>
        <w:rPr>
          <w:color w:val="231F20"/>
        </w:rPr>
        <w:t>managed</w:t>
      </w:r>
      <w:r>
        <w:rPr>
          <w:color w:val="231F20"/>
          <w:spacing w:val="30"/>
        </w:rPr>
        <w:t> </w:t>
      </w:r>
      <w:r>
        <w:rPr>
          <w:color w:val="231F20"/>
        </w:rPr>
        <w:t>systems</w:t>
      </w:r>
      <w:r>
        <w:rPr>
          <w:color w:val="231F20"/>
          <w:spacing w:val="30"/>
        </w:rPr>
        <w:t> </w:t>
      </w:r>
      <w:r>
        <w:rPr>
          <w:color w:val="231F20"/>
        </w:rPr>
        <w:t>to</w:t>
      </w:r>
      <w:r>
        <w:rPr>
          <w:color w:val="231F20"/>
          <w:spacing w:val="30"/>
        </w:rPr>
        <w:t> </w:t>
      </w:r>
      <w:r>
        <w:rPr>
          <w:color w:val="231F20"/>
        </w:rPr>
        <w:t>collect,</w:t>
      </w:r>
      <w:r>
        <w:rPr>
          <w:color w:val="231F20"/>
          <w:spacing w:val="30"/>
        </w:rPr>
        <w:t> </w:t>
      </w:r>
      <w:r>
        <w:rPr>
          <w:color w:val="231F20"/>
        </w:rPr>
        <w:t>how</w:t>
      </w:r>
      <w:r>
        <w:rPr>
          <w:color w:val="231F20"/>
          <w:spacing w:val="30"/>
        </w:rPr>
        <w:t> </w:t>
      </w:r>
      <w:r>
        <w:rPr>
          <w:color w:val="231F20"/>
        </w:rPr>
        <w:t>frequently</w:t>
      </w:r>
      <w:r>
        <w:rPr>
          <w:color w:val="231F20"/>
          <w:spacing w:val="30"/>
        </w:rPr>
        <w:t> </w:t>
      </w:r>
      <w:r>
        <w:rPr>
          <w:color w:val="231F20"/>
        </w:rPr>
        <w:t>to</w:t>
      </w:r>
      <w:r>
        <w:rPr>
          <w:color w:val="231F20"/>
          <w:spacing w:val="30"/>
        </w:rPr>
        <w:t> </w:t>
      </w:r>
      <w:r>
        <w:rPr>
          <w:color w:val="231F20"/>
        </w:rPr>
        <w:t>collect</w:t>
      </w:r>
      <w:r>
        <w:rPr>
          <w:color w:val="231F20"/>
          <w:spacing w:val="30"/>
        </w:rPr>
        <w:t> </w:t>
      </w:r>
      <w:r>
        <w:rPr>
          <w:color w:val="231F20"/>
        </w:rPr>
        <w:t>the</w:t>
      </w:r>
      <w:r>
        <w:rPr>
          <w:color w:val="231F20"/>
          <w:spacing w:val="30"/>
        </w:rPr>
        <w:t> </w:t>
      </w:r>
      <w:r>
        <w:rPr>
          <w:color w:val="231F20"/>
        </w:rPr>
        <w:t>data, where</w:t>
      </w:r>
      <w:r>
        <w:rPr>
          <w:color w:val="231F20"/>
          <w:spacing w:val="17"/>
        </w:rPr>
        <w:t> </w:t>
      </w:r>
      <w:r>
        <w:rPr>
          <w:color w:val="231F20"/>
        </w:rPr>
        <w:t>to</w:t>
      </w:r>
      <w:r>
        <w:rPr>
          <w:color w:val="231F20"/>
          <w:spacing w:val="17"/>
        </w:rPr>
        <w:t> </w:t>
      </w:r>
      <w:r>
        <w:rPr>
          <w:color w:val="231F20"/>
        </w:rPr>
        <w:t>store</w:t>
      </w:r>
      <w:r>
        <w:rPr>
          <w:color w:val="231F20"/>
          <w:spacing w:val="17"/>
        </w:rPr>
        <w:t> </w:t>
      </w:r>
      <w:r>
        <w:rPr>
          <w:color w:val="231F20"/>
        </w:rPr>
        <w:t>it</w:t>
      </w:r>
      <w:r>
        <w:rPr>
          <w:color w:val="231F20"/>
          <w:spacing w:val="17"/>
        </w:rPr>
        <w:t> </w:t>
      </w:r>
      <w:r>
        <w:rPr>
          <w:color w:val="231F20"/>
        </w:rPr>
        <w:t>for</w:t>
      </w:r>
      <w:r>
        <w:rPr>
          <w:color w:val="231F20"/>
          <w:spacing w:val="17"/>
        </w:rPr>
        <w:t> </w:t>
      </w:r>
      <w:r>
        <w:rPr>
          <w:color w:val="231F20"/>
        </w:rPr>
        <w:t>the</w:t>
      </w:r>
      <w:r>
        <w:rPr>
          <w:color w:val="231F20"/>
          <w:spacing w:val="17"/>
        </w:rPr>
        <w:t> </w:t>
      </w:r>
      <w:r>
        <w:rPr>
          <w:color w:val="231F20"/>
        </w:rPr>
        <w:t>short-term,</w:t>
      </w:r>
      <w:r>
        <w:rPr>
          <w:color w:val="231F20"/>
          <w:spacing w:val="17"/>
        </w:rPr>
        <w:t> </w:t>
      </w:r>
      <w:r>
        <w:rPr>
          <w:color w:val="231F20"/>
        </w:rPr>
        <w:t>and</w:t>
      </w:r>
      <w:r>
        <w:rPr>
          <w:color w:val="231F20"/>
          <w:spacing w:val="17"/>
        </w:rPr>
        <w:t> </w:t>
      </w:r>
      <w:r>
        <w:rPr>
          <w:color w:val="231F20"/>
        </w:rPr>
        <w:t>whether</w:t>
      </w:r>
      <w:r>
        <w:rPr>
          <w:color w:val="231F20"/>
          <w:spacing w:val="17"/>
        </w:rPr>
        <w:t> </w:t>
      </w:r>
      <w:r>
        <w:rPr>
          <w:color w:val="231F20"/>
        </w:rPr>
        <w:t>to</w:t>
      </w:r>
      <w:r>
        <w:rPr>
          <w:color w:val="231F20"/>
          <w:spacing w:val="17"/>
        </w:rPr>
        <w:t> </w:t>
      </w:r>
      <w:r>
        <w:rPr>
          <w:color w:val="231F20"/>
        </w:rPr>
        <w:t>save</w:t>
      </w:r>
      <w:r>
        <w:rPr>
          <w:color w:val="231F20"/>
          <w:spacing w:val="17"/>
        </w:rPr>
        <w:t> </w:t>
      </w:r>
      <w:r>
        <w:rPr>
          <w:color w:val="231F20"/>
        </w:rPr>
        <w:t>data</w:t>
      </w:r>
      <w:r>
        <w:rPr>
          <w:color w:val="231F20"/>
          <w:spacing w:val="17"/>
        </w:rPr>
        <w:t> </w:t>
      </w:r>
      <w:r>
        <w:rPr>
          <w:color w:val="231F20"/>
        </w:rPr>
        <w:t>long-term</w:t>
      </w:r>
      <w:r>
        <w:rPr>
          <w:color w:val="231F20"/>
          <w:spacing w:val="17"/>
        </w:rPr>
        <w:t> </w:t>
      </w:r>
      <w:r>
        <w:rPr>
          <w:color w:val="231F20"/>
        </w:rPr>
        <w:t>to a data warehouse. You can create multiple historical collections for an attribute group, each with different collection settings and managed </w:t>
      </w:r>
      <w:r>
        <w:rPr>
          <w:color w:val="231F20"/>
        </w:rPr>
        <w:t>system distributions, and you can write filtering formulas to collect only the data samples that meet the filter criteria.</w:t>
      </w:r>
    </w:p>
    <w:p>
      <w:pPr>
        <w:pStyle w:val="BodyText"/>
        <w:spacing w:line="213" w:lineRule="auto" w:before="114"/>
        <w:ind w:left="3190" w:right="258"/>
      </w:pPr>
      <w:r>
        <w:rPr>
          <w:color w:val="231F20"/>
        </w:rPr>
        <w:t>The Object Group editor enables you to combine historical data collections into groups and assign managed systems. With historical collection </w:t>
      </w:r>
      <w:r>
        <w:rPr>
          <w:color w:val="231F20"/>
        </w:rPr>
        <w:t>groups you can easily turn on and turn off historical data collection at specific managed systems or groups of managed systems by changing the </w:t>
      </w:r>
      <w:r>
        <w:rPr>
          <w:color w:val="231F20"/>
          <w:spacing w:val="-2"/>
        </w:rPr>
        <w:t>distribution.</w:t>
      </w:r>
    </w:p>
    <w:p>
      <w:pPr>
        <w:pStyle w:val="Heading6"/>
        <w:spacing w:before="115"/>
      </w:pPr>
      <w:r>
        <w:rPr>
          <w:color w:val="231F20"/>
        </w:rPr>
        <w:t>Viewing</w:t>
      </w:r>
      <w:r>
        <w:rPr>
          <w:color w:val="231F20"/>
          <w:spacing w:val="2"/>
        </w:rPr>
        <w:t> </w:t>
      </w:r>
      <w:r>
        <w:rPr>
          <w:color w:val="231F20"/>
        </w:rPr>
        <w:t>historical</w:t>
      </w:r>
      <w:r>
        <w:rPr>
          <w:color w:val="231F20"/>
          <w:spacing w:val="2"/>
        </w:rPr>
        <w:t> </w:t>
      </w:r>
      <w:r>
        <w:rPr>
          <w:color w:val="231F20"/>
          <w:spacing w:val="-4"/>
        </w:rPr>
        <w:t>data</w:t>
      </w:r>
    </w:p>
    <w:p>
      <w:pPr>
        <w:pStyle w:val="BodyText"/>
        <w:spacing w:line="213" w:lineRule="auto" w:before="12"/>
        <w:ind w:left="3190" w:right="640"/>
      </w:pPr>
      <w:r>
        <w:rPr>
          <w:color w:val="231F20"/>
        </w:rPr>
        <w:t>After data collection has been configured and started for an attribute group, historical data for that group can be retrieved and displayed </w:t>
      </w:r>
      <w:r>
        <w:rPr>
          <w:color w:val="231F20"/>
        </w:rPr>
        <w:t>in query-based views (chart views, table view, and the topology view).</w:t>
      </w:r>
    </w:p>
    <w:p>
      <w:pPr>
        <w:pStyle w:val="BodyText"/>
        <w:spacing w:line="213" w:lineRule="auto" w:before="118"/>
        <w:ind w:left="3190" w:right="258"/>
      </w:pPr>
      <w:r>
        <w:rPr>
          <w:color w:val="231F20"/>
        </w:rPr>
        <w:t>You know that historical data collection has been enabled for the </w:t>
      </w:r>
      <w:r>
        <w:rPr>
          <w:color w:val="231F20"/>
        </w:rPr>
        <w:t>attributes in a view when you can see </w:t>
      </w:r>
      <w:r>
        <w:rPr>
          <w:color w:val="231F20"/>
          <w:spacing w:val="-25"/>
          <w:position w:val="-1"/>
        </w:rPr>
        <w:drawing>
          <wp:inline distT="0" distB="0" distL="0" distR="0">
            <wp:extent cx="95250" cy="95250"/>
            <wp:effectExtent l="0" t="0" r="0" b="0"/>
            <wp:docPr id="1860" name="Image 1860"/>
            <wp:cNvGraphicFramePr>
              <a:graphicFrameLocks/>
            </wp:cNvGraphicFramePr>
            <a:graphic>
              <a:graphicData uri="http://schemas.openxmlformats.org/drawingml/2006/picture">
                <pic:pic>
                  <pic:nvPicPr>
                    <pic:cNvPr id="1860" name="Image 1860"/>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26"/>
        </w:rPr>
        <w:t> </w:t>
      </w:r>
      <w:r>
        <w:rPr>
          <w:rFonts w:ascii="Book Antiqua"/>
          <w:b/>
          <w:color w:val="231F20"/>
        </w:rPr>
        <w:t>Time Span </w:t>
      </w:r>
      <w:r>
        <w:rPr>
          <w:color w:val="231F20"/>
        </w:rPr>
        <w:t>in the view's toolbar. The view shows current data samplings unless you use this tool to specify a broader time period. The first 24 hours of collected data is retrieved from the</w:t>
      </w:r>
    </w:p>
    <w:p>
      <w:pPr>
        <w:pStyle w:val="BodyText"/>
        <w:spacing w:line="213" w:lineRule="auto"/>
        <w:ind w:left="3190"/>
      </w:pPr>
      <w:r>
        <w:rPr>
          <w:color w:val="231F20"/>
        </w:rPr>
        <w:t>short-term history files; beyond 24 hours, the data is pulled from the </w:t>
      </w:r>
      <w:r>
        <w:rPr>
          <w:color w:val="231F20"/>
        </w:rPr>
        <w:t>data </w:t>
      </w:r>
      <w:r>
        <w:rPr>
          <w:color w:val="231F20"/>
          <w:spacing w:val="-2"/>
        </w:rPr>
        <w:t>warehouse.</w:t>
      </w:r>
    </w:p>
    <w:p>
      <w:pPr>
        <w:pStyle w:val="BodyText"/>
        <w:spacing w:line="213" w:lineRule="auto" w:before="115"/>
        <w:ind w:left="3190" w:right="969"/>
        <w:jc w:val="both"/>
      </w:pPr>
      <w:r>
        <w:rPr>
          <w:color w:val="231F20"/>
        </w:rPr>
        <w:t>Historical data is valuable for use in chart baselining and situation modeling. Applying historical data to chart baselines and situation modeling enables you to perform predictive analysis and fine </w:t>
      </w:r>
      <w:r>
        <w:rPr>
          <w:color w:val="231F20"/>
        </w:rPr>
        <w:t>tune </w:t>
      </w:r>
      <w:r>
        <w:rPr>
          <w:color w:val="231F20"/>
          <w:spacing w:val="-2"/>
        </w:rPr>
        <w:t>situations.</w:t>
      </w:r>
    </w:p>
    <w:p>
      <w:pPr>
        <w:pStyle w:val="BodyText"/>
        <w:spacing w:line="213" w:lineRule="auto" w:before="117"/>
        <w:ind w:left="3190" w:right="310"/>
        <w:jc w:val="both"/>
      </w:pPr>
      <w:r>
        <w:rPr>
          <w:color w:val="231F20"/>
        </w:rPr>
        <w:t>Requests that return large amounts of data can negatively affect the performance</w:t>
      </w:r>
      <w:r>
        <w:rPr>
          <w:color w:val="231F20"/>
          <w:spacing w:val="9"/>
        </w:rPr>
        <w:t> </w:t>
      </w:r>
      <w:r>
        <w:rPr>
          <w:color w:val="231F20"/>
        </w:rPr>
        <w:t>of</w:t>
      </w:r>
      <w:r>
        <w:rPr>
          <w:color w:val="231F20"/>
          <w:spacing w:val="9"/>
        </w:rPr>
        <w:t> </w:t>
      </w:r>
      <w:r>
        <w:rPr>
          <w:color w:val="231F20"/>
        </w:rPr>
        <w:t>monitoring</w:t>
      </w:r>
      <w:r>
        <w:rPr>
          <w:color w:val="231F20"/>
          <w:spacing w:val="9"/>
        </w:rPr>
        <w:t> </w:t>
      </w:r>
      <w:r>
        <w:rPr>
          <w:color w:val="231F20"/>
        </w:rPr>
        <w:t>servers,</w:t>
      </w:r>
      <w:r>
        <w:rPr>
          <w:color w:val="231F20"/>
          <w:spacing w:val="10"/>
        </w:rPr>
        <w:t> </w:t>
      </w:r>
      <w:r>
        <w:rPr>
          <w:color w:val="231F20"/>
        </w:rPr>
        <w:t>monitoring</w:t>
      </w:r>
      <w:r>
        <w:rPr>
          <w:color w:val="231F20"/>
          <w:spacing w:val="9"/>
        </w:rPr>
        <w:t> </w:t>
      </w:r>
      <w:r>
        <w:rPr>
          <w:color w:val="231F20"/>
        </w:rPr>
        <w:t>agents,</w:t>
      </w:r>
      <w:r>
        <w:rPr>
          <w:color w:val="231F20"/>
          <w:spacing w:val="9"/>
        </w:rPr>
        <w:t> </w:t>
      </w:r>
      <w:r>
        <w:rPr>
          <w:color w:val="231F20"/>
        </w:rPr>
        <w:t>and</w:t>
      </w:r>
      <w:r>
        <w:rPr>
          <w:color w:val="231F20"/>
          <w:spacing w:val="10"/>
        </w:rPr>
        <w:t> </w:t>
      </w:r>
      <w:r>
        <w:rPr>
          <w:color w:val="231F20"/>
        </w:rPr>
        <w:t>your</w:t>
      </w:r>
      <w:r>
        <w:rPr>
          <w:color w:val="231F20"/>
          <w:spacing w:val="9"/>
        </w:rPr>
        <w:t> </w:t>
      </w:r>
      <w:r>
        <w:rPr>
          <w:color w:val="231F20"/>
          <w:spacing w:val="-2"/>
        </w:rPr>
        <w:t>network.</w:t>
      </w:r>
    </w:p>
    <w:p>
      <w:pPr>
        <w:spacing w:after="0" w:line="213" w:lineRule="auto"/>
        <w:jc w:val="both"/>
        <w:sectPr>
          <w:footerReference w:type="default" r:id="rId343"/>
          <w:footerReference w:type="even" r:id="rId344"/>
          <w:pgSz w:w="12240" w:h="15840"/>
          <w:pgMar w:header="0" w:footer="736" w:top="1300" w:bottom="920" w:left="1000" w:right="1060"/>
          <w:pgNumType w:start="213"/>
        </w:sectPr>
      </w:pPr>
    </w:p>
    <w:p>
      <w:pPr>
        <w:pStyle w:val="BodyText"/>
        <w:spacing w:line="213" w:lineRule="auto" w:before="85"/>
        <w:ind w:left="2951" w:right="636"/>
      </w:pPr>
      <w:bookmarkStart w:name="_bookmark154" w:id="339"/>
      <w:bookmarkEnd w:id="339"/>
      <w:r>
        <w:rPr/>
      </w:r>
      <w:r>
        <w:rPr>
          <w:color w:val="231F20"/>
        </w:rPr>
        <w:t>For attributes or views that return considerable amounts of data, try </w:t>
      </w:r>
      <w:r>
        <w:rPr>
          <w:color w:val="231F20"/>
        </w:rPr>
        <w:t>to limit the time span to as short a period as will provide the required </w:t>
      </w:r>
      <w:r>
        <w:rPr>
          <w:color w:val="231F20"/>
          <w:spacing w:val="-2"/>
        </w:rPr>
        <w:t>information.</w:t>
      </w:r>
    </w:p>
    <w:p>
      <w:pPr>
        <w:pStyle w:val="BodyText"/>
        <w:spacing w:line="213" w:lineRule="auto" w:before="117"/>
        <w:ind w:left="2951" w:right="545"/>
      </w:pPr>
      <w:r>
        <w:rPr>
          <w:color w:val="231F20"/>
        </w:rPr>
        <w:t>Be aware that if this is a newly configured historical data collection, you</w:t>
      </w:r>
      <w:r>
        <w:rPr>
          <w:color w:val="231F20"/>
          <w:spacing w:val="80"/>
        </w:rPr>
        <w:t> </w:t>
      </w:r>
      <w:r>
        <w:rPr>
          <w:color w:val="231F20"/>
        </w:rPr>
        <w:t>will see the historical data samples that have been collected and no more. For example, if you created a historical collection and assigned it to a historical collection group an hour ago, you will see only the last 1 hour </w:t>
      </w:r>
      <w:r>
        <w:rPr>
          <w:color w:val="231F20"/>
        </w:rPr>
        <w:t>in the chart or table view even if you selected, say, the last 8 hours.</w:t>
      </w:r>
    </w:p>
    <w:p>
      <w:pPr>
        <w:pStyle w:val="Heading6"/>
        <w:spacing w:before="116"/>
        <w:ind w:left="2232"/>
      </w:pPr>
      <w:r>
        <w:rPr>
          <w:color w:val="231F20"/>
        </w:rPr>
        <w:t>Historical</w:t>
      </w:r>
      <w:r>
        <w:rPr>
          <w:color w:val="231F20"/>
          <w:spacing w:val="6"/>
        </w:rPr>
        <w:t> </w:t>
      </w:r>
      <w:r>
        <w:rPr>
          <w:color w:val="231F20"/>
        </w:rPr>
        <w:t>navigation</w:t>
      </w:r>
      <w:r>
        <w:rPr>
          <w:color w:val="231F20"/>
          <w:spacing w:val="7"/>
        </w:rPr>
        <w:t> </w:t>
      </w:r>
      <w:r>
        <w:rPr>
          <w:color w:val="231F20"/>
          <w:spacing w:val="-4"/>
        </w:rPr>
        <w:t>mode</w:t>
      </w:r>
    </w:p>
    <w:p>
      <w:pPr>
        <w:pStyle w:val="BodyText"/>
        <w:spacing w:line="213" w:lineRule="auto" w:before="11"/>
        <w:ind w:left="2951" w:right="385"/>
      </w:pPr>
      <w:r>
        <w:rPr>
          <w:color w:val="231F20"/>
        </w:rPr>
        <w:t>The</w:t>
      </w:r>
      <w:r>
        <w:rPr>
          <w:color w:val="231F20"/>
          <w:spacing w:val="20"/>
        </w:rPr>
        <w:t> </w:t>
      </w:r>
      <w:r>
        <w:rPr>
          <w:color w:val="231F20"/>
          <w:spacing w:val="-24"/>
          <w:position w:val="-1"/>
        </w:rPr>
        <w:drawing>
          <wp:inline distT="0" distB="0" distL="0" distR="0">
            <wp:extent cx="95250" cy="95250"/>
            <wp:effectExtent l="0" t="0" r="0" b="0"/>
            <wp:docPr id="1861" name="Image 1861"/>
            <wp:cNvGraphicFramePr>
              <a:graphicFrameLocks/>
            </wp:cNvGraphicFramePr>
            <a:graphic>
              <a:graphicData uri="http://schemas.openxmlformats.org/drawingml/2006/picture">
                <pic:pic>
                  <pic:nvPicPr>
                    <pic:cNvPr id="1861" name="Image 1861"/>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7"/>
        </w:rPr>
        <w:t> </w:t>
      </w:r>
      <w:r>
        <w:rPr>
          <w:rFonts w:ascii="Book Antiqua"/>
          <w:b/>
          <w:color w:val="231F20"/>
        </w:rPr>
        <w:t>Set historical navigation mode </w:t>
      </w:r>
      <w:r>
        <w:rPr>
          <w:color w:val="231F20"/>
        </w:rPr>
        <w:t>tool at the end of the main toolbar </w:t>
      </w:r>
      <w:r>
        <w:rPr>
          <w:color w:val="231F20"/>
        </w:rPr>
        <w:t>is for</w:t>
      </w:r>
      <w:r>
        <w:rPr>
          <w:color w:val="231F20"/>
          <w:spacing w:val="26"/>
        </w:rPr>
        <w:t> </w:t>
      </w:r>
      <w:r>
        <w:rPr>
          <w:color w:val="231F20"/>
        </w:rPr>
        <w:t>a</w:t>
      </w:r>
      <w:r>
        <w:rPr>
          <w:color w:val="231F20"/>
          <w:spacing w:val="26"/>
        </w:rPr>
        <w:t> </w:t>
      </w:r>
      <w:r>
        <w:rPr>
          <w:color w:val="231F20"/>
        </w:rPr>
        <w:t>different</w:t>
      </w:r>
      <w:r>
        <w:rPr>
          <w:color w:val="231F20"/>
          <w:spacing w:val="26"/>
        </w:rPr>
        <w:t> </w:t>
      </w:r>
      <w:r>
        <w:rPr>
          <w:color w:val="231F20"/>
        </w:rPr>
        <w:t>purpose:</w:t>
      </w:r>
      <w:r>
        <w:rPr>
          <w:color w:val="231F20"/>
          <w:spacing w:val="26"/>
        </w:rPr>
        <w:t> </w:t>
      </w:r>
      <w:r>
        <w:rPr>
          <w:color w:val="231F20"/>
        </w:rPr>
        <w:t>It</w:t>
      </w:r>
      <w:r>
        <w:rPr>
          <w:color w:val="231F20"/>
          <w:spacing w:val="26"/>
        </w:rPr>
        <w:t> </w:t>
      </w:r>
      <w:r>
        <w:rPr>
          <w:color w:val="231F20"/>
        </w:rPr>
        <w:t>enables</w:t>
      </w:r>
      <w:r>
        <w:rPr>
          <w:color w:val="231F20"/>
          <w:spacing w:val="26"/>
        </w:rPr>
        <w:t> </w:t>
      </w:r>
      <w:r>
        <w:rPr>
          <w:color w:val="231F20"/>
        </w:rPr>
        <w:t>you</w:t>
      </w:r>
      <w:r>
        <w:rPr>
          <w:color w:val="231F20"/>
          <w:spacing w:val="26"/>
        </w:rPr>
        <w:t> </w:t>
      </w:r>
      <w:r>
        <w:rPr>
          <w:color w:val="231F20"/>
        </w:rPr>
        <w:t>to</w:t>
      </w:r>
      <w:r>
        <w:rPr>
          <w:color w:val="231F20"/>
          <w:spacing w:val="26"/>
        </w:rPr>
        <w:t> </w:t>
      </w:r>
      <w:r>
        <w:rPr>
          <w:color w:val="231F20"/>
        </w:rPr>
        <w:t>set</w:t>
      </w:r>
      <w:r>
        <w:rPr>
          <w:color w:val="231F20"/>
          <w:spacing w:val="26"/>
        </w:rPr>
        <w:t> </w:t>
      </w:r>
      <w:r>
        <w:rPr>
          <w:color w:val="231F20"/>
        </w:rPr>
        <w:t>a</w:t>
      </w:r>
      <w:r>
        <w:rPr>
          <w:color w:val="231F20"/>
          <w:spacing w:val="26"/>
        </w:rPr>
        <w:t> </w:t>
      </w:r>
      <w:r>
        <w:rPr>
          <w:color w:val="231F20"/>
        </w:rPr>
        <w:t>time</w:t>
      </w:r>
      <w:r>
        <w:rPr>
          <w:color w:val="231F20"/>
          <w:spacing w:val="26"/>
        </w:rPr>
        <w:t> </w:t>
      </w:r>
      <w:r>
        <w:rPr>
          <w:color w:val="231F20"/>
        </w:rPr>
        <w:t>span</w:t>
      </w:r>
      <w:r>
        <w:rPr>
          <w:color w:val="231F20"/>
          <w:spacing w:val="26"/>
        </w:rPr>
        <w:t> </w:t>
      </w:r>
      <w:r>
        <w:rPr>
          <w:color w:val="231F20"/>
        </w:rPr>
        <w:t>that</w:t>
      </w:r>
      <w:r>
        <w:rPr>
          <w:color w:val="231F20"/>
          <w:spacing w:val="26"/>
        </w:rPr>
        <w:t> </w:t>
      </w:r>
      <w:r>
        <w:rPr>
          <w:color w:val="231F20"/>
        </w:rPr>
        <w:t>is synchronized</w:t>
      </w:r>
      <w:r>
        <w:rPr>
          <w:color w:val="231F20"/>
          <w:spacing w:val="27"/>
        </w:rPr>
        <w:t> </w:t>
      </w:r>
      <w:r>
        <w:rPr>
          <w:color w:val="231F20"/>
        </w:rPr>
        <w:t>so</w:t>
      </w:r>
      <w:r>
        <w:rPr>
          <w:color w:val="231F20"/>
          <w:spacing w:val="27"/>
        </w:rPr>
        <w:t> </w:t>
      </w:r>
      <w:r>
        <w:rPr>
          <w:color w:val="231F20"/>
        </w:rPr>
        <w:t>that</w:t>
      </w:r>
      <w:r>
        <w:rPr>
          <w:color w:val="231F20"/>
          <w:spacing w:val="27"/>
        </w:rPr>
        <w:t> </w:t>
      </w:r>
      <w:r>
        <w:rPr>
          <w:color w:val="231F20"/>
        </w:rPr>
        <w:t>you</w:t>
      </w:r>
      <w:r>
        <w:rPr>
          <w:color w:val="231F20"/>
          <w:spacing w:val="27"/>
        </w:rPr>
        <w:t> </w:t>
      </w:r>
      <w:r>
        <w:rPr>
          <w:color w:val="231F20"/>
        </w:rPr>
        <w:t>can</w:t>
      </w:r>
      <w:r>
        <w:rPr>
          <w:color w:val="231F20"/>
          <w:spacing w:val="27"/>
        </w:rPr>
        <w:t> </w:t>
      </w:r>
      <w:r>
        <w:rPr>
          <w:color w:val="231F20"/>
        </w:rPr>
        <w:t>see</w:t>
      </w:r>
      <w:r>
        <w:rPr>
          <w:color w:val="231F20"/>
          <w:spacing w:val="27"/>
        </w:rPr>
        <w:t> </w:t>
      </w:r>
      <w:r>
        <w:rPr>
          <w:color w:val="231F20"/>
        </w:rPr>
        <w:t>the</w:t>
      </w:r>
      <w:r>
        <w:rPr>
          <w:color w:val="231F20"/>
          <w:spacing w:val="27"/>
        </w:rPr>
        <w:t> </w:t>
      </w:r>
      <w:r>
        <w:rPr>
          <w:color w:val="231F20"/>
        </w:rPr>
        <w:t>same</w:t>
      </w:r>
      <w:r>
        <w:rPr>
          <w:color w:val="231F20"/>
          <w:spacing w:val="27"/>
        </w:rPr>
        <w:t> </w:t>
      </w:r>
      <w:r>
        <w:rPr>
          <w:color w:val="231F20"/>
        </w:rPr>
        <w:t>time</w:t>
      </w:r>
      <w:r>
        <w:rPr>
          <w:color w:val="231F20"/>
          <w:spacing w:val="27"/>
        </w:rPr>
        <w:t> </w:t>
      </w:r>
      <w:r>
        <w:rPr>
          <w:color w:val="231F20"/>
        </w:rPr>
        <w:t>range</w:t>
      </w:r>
      <w:r>
        <w:rPr>
          <w:color w:val="231F20"/>
          <w:spacing w:val="27"/>
        </w:rPr>
        <w:t> </w:t>
      </w:r>
      <w:r>
        <w:rPr>
          <w:color w:val="231F20"/>
        </w:rPr>
        <w:t>in</w:t>
      </w:r>
      <w:r>
        <w:rPr>
          <w:color w:val="231F20"/>
          <w:spacing w:val="27"/>
        </w:rPr>
        <w:t> </w:t>
      </w:r>
      <w:r>
        <w:rPr>
          <w:color w:val="231F20"/>
        </w:rPr>
        <w:t>workspaces</w:t>
      </w:r>
      <w:r>
        <w:rPr>
          <w:color w:val="231F20"/>
          <w:spacing w:val="27"/>
        </w:rPr>
        <w:t> </w:t>
      </w:r>
      <w:r>
        <w:rPr>
          <w:color w:val="231F20"/>
        </w:rPr>
        <w:t>as you move among them, and compare those values.</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jc w:val="both"/>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8"/>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BodyText"/>
        <w:spacing w:before="5"/>
        <w:rPr>
          <w:sz w:val="16"/>
        </w:rPr>
      </w:pPr>
      <w:r>
        <w:rPr/>
        <mc:AlternateContent>
          <mc:Choice Requires="wps">
            <w:drawing>
              <wp:anchor distT="0" distB="0" distL="0" distR="0" allowOverlap="1" layoutInCell="1" locked="0" behindDoc="1" simplePos="0" relativeHeight="487711232">
                <wp:simplePos x="0" y="0"/>
                <wp:positionH relativeFrom="page">
                  <wp:posOffset>760323</wp:posOffset>
                </wp:positionH>
                <wp:positionV relativeFrom="paragraph">
                  <wp:posOffset>155802</wp:posOffset>
                </wp:positionV>
                <wp:extent cx="6082665" cy="1270"/>
                <wp:effectExtent l="0" t="0" r="0" b="0"/>
                <wp:wrapTopAndBottom/>
                <wp:docPr id="1862" name="Graphic 1862"/>
                <wp:cNvGraphicFramePr>
                  <a:graphicFrameLocks/>
                </wp:cNvGraphicFramePr>
                <a:graphic>
                  <a:graphicData uri="http://schemas.microsoft.com/office/word/2010/wordprocessingShape">
                    <wps:wsp>
                      <wps:cNvPr id="1862" name="Graphic 186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7928pt;width:478.95pt;height:.1pt;mso-position-horizontal-relative:page;mso-position-vertical-relative:paragraph;z-index:-15605248;mso-wrap-distance-left:0;mso-wrap-distance-right:0" id="docshape183" coordorigin="1197,245" coordsize="9579,0" path="m1197,245l10776,245e" filled="false" stroked="true" strokeweight=".499pt" strokecolor="#231f20">
                <v:path arrowok="t"/>
                <v:stroke dashstyle="solid"/>
                <w10:wrap type="topAndBottom"/>
              </v:shape>
            </w:pict>
          </mc:Fallback>
        </mc:AlternateContent>
      </w:r>
    </w:p>
    <w:p>
      <w:pPr>
        <w:pStyle w:val="Heading3"/>
        <w:ind w:left="0" w:right="5960"/>
        <w:jc w:val="right"/>
      </w:pPr>
      <w:bookmarkStart w:name="Setting a time span to display" w:id="340"/>
      <w:bookmarkEnd w:id="340"/>
      <w:r>
        <w:rPr>
          <w:b w:val="0"/>
        </w:rPr>
      </w:r>
      <w:r>
        <w:rPr>
          <w:color w:val="231F20"/>
        </w:rPr>
        <w:t>Setting</w:t>
      </w:r>
      <w:r>
        <w:rPr>
          <w:color w:val="231F20"/>
          <w:spacing w:val="9"/>
        </w:rPr>
        <w:t> </w:t>
      </w:r>
      <w:r>
        <w:rPr>
          <w:color w:val="231F20"/>
        </w:rPr>
        <w:t>a</w:t>
      </w:r>
      <w:r>
        <w:rPr>
          <w:color w:val="231F20"/>
          <w:spacing w:val="10"/>
        </w:rPr>
        <w:t> </w:t>
      </w:r>
      <w:r>
        <w:rPr>
          <w:color w:val="231F20"/>
        </w:rPr>
        <w:t>time</w:t>
      </w:r>
      <w:r>
        <w:rPr>
          <w:color w:val="231F20"/>
          <w:spacing w:val="10"/>
        </w:rPr>
        <w:t> </w:t>
      </w:r>
      <w:r>
        <w:rPr>
          <w:color w:val="231F20"/>
        </w:rPr>
        <w:t>span</w:t>
      </w:r>
      <w:r>
        <w:rPr>
          <w:color w:val="231F20"/>
          <w:spacing w:val="10"/>
        </w:rPr>
        <w:t> </w:t>
      </w:r>
      <w:r>
        <w:rPr>
          <w:color w:val="231F20"/>
        </w:rPr>
        <w:t>to</w:t>
      </w:r>
      <w:r>
        <w:rPr>
          <w:color w:val="231F20"/>
          <w:spacing w:val="10"/>
        </w:rPr>
        <w:t> </w:t>
      </w:r>
      <w:r>
        <w:rPr>
          <w:color w:val="231F20"/>
          <w:spacing w:val="-2"/>
        </w:rPr>
        <w:t>display</w:t>
      </w:r>
    </w:p>
    <w:p>
      <w:pPr>
        <w:pStyle w:val="BodyText"/>
        <w:spacing w:line="213" w:lineRule="auto" w:before="138"/>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Heading4"/>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88"/>
      </w:pPr>
      <w:r>
        <w:rPr>
          <w:color w:val="231F20"/>
        </w:rPr>
        <w:t>Historical data collection must be configured and distributed to the managed</w:t>
      </w:r>
      <w:r>
        <w:rPr>
          <w:color w:val="231F20"/>
          <w:spacing w:val="40"/>
        </w:rPr>
        <w:t> </w:t>
      </w:r>
      <w:r>
        <w:rPr>
          <w:color w:val="231F20"/>
        </w:rPr>
        <w:t>systems that you are querying data from. Otherwise, </w:t>
      </w:r>
      <w:r>
        <w:rPr>
          <w:color w:val="231F20"/>
          <w:spacing w:val="-25"/>
          <w:position w:val="-1"/>
        </w:rPr>
        <w:drawing>
          <wp:inline distT="0" distB="0" distL="0" distR="0">
            <wp:extent cx="95250" cy="95250"/>
            <wp:effectExtent l="0" t="0" r="0" b="0"/>
            <wp:docPr id="1863" name="Image 1863"/>
            <wp:cNvGraphicFramePr>
              <a:graphicFrameLocks/>
            </wp:cNvGraphicFramePr>
            <a:graphic>
              <a:graphicData uri="http://schemas.openxmlformats.org/drawingml/2006/picture">
                <pic:pic>
                  <pic:nvPicPr>
                    <pic:cNvPr id="1863" name="Image 1863"/>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16"/>
        </w:rPr>
        <w:t> </w:t>
      </w:r>
      <w:r>
        <w:rPr>
          <w:rFonts w:ascii="Book Antiqua"/>
          <w:b/>
          <w:color w:val="231F20"/>
        </w:rPr>
        <w:t>Time Span </w:t>
      </w:r>
      <w:r>
        <w:rPr>
          <w:color w:val="231F20"/>
        </w:rPr>
        <w:t>is not </w:t>
      </w:r>
      <w:r>
        <w:rPr>
          <w:color w:val="231F20"/>
        </w:rPr>
        <w:t>displayed in the toolbar of the query-based view.</w:t>
      </w:r>
    </w:p>
    <w:p>
      <w:pPr>
        <w:pStyle w:val="BodyText"/>
        <w:spacing w:line="213" w:lineRule="auto" w:before="237"/>
        <w:ind w:left="2232" w:right="545"/>
      </w:pPr>
      <w:r>
        <w:rPr>
          <w:color w:val="231F20"/>
        </w:rPr>
        <w:t>Some attributes groups, such as Situation Status and the Windows Event Log, are historical in nature and show all their entries without you having to specify a time span. For these types of attribute groups, you do not need to configure history collection unless you want to roll off to a data warehouse for long-term storage or limit the amount of data displayed. Thus, the time span feature, rather than</w:t>
      </w:r>
      <w:r>
        <w:rPr>
          <w:color w:val="231F20"/>
          <w:spacing w:val="80"/>
        </w:rPr>
        <w:t> </w:t>
      </w:r>
      <w:r>
        <w:rPr>
          <w:color w:val="231F20"/>
        </w:rPr>
        <w:t>showing more data, limits the data reported to the time period indicated.</w:t>
      </w:r>
    </w:p>
    <w:p>
      <w:pPr>
        <w:pStyle w:val="BodyText"/>
        <w:spacing w:line="213" w:lineRule="auto" w:before="236"/>
        <w:ind w:left="2232" w:right="545"/>
      </w:pPr>
      <w:r>
        <w:rPr>
          <w:color w:val="231F20"/>
        </w:rPr>
        <w:t>Even if data collection has been started, you cannot use the time span feature if the</w:t>
      </w:r>
      <w:r>
        <w:rPr>
          <w:color w:val="231F20"/>
          <w:spacing w:val="40"/>
        </w:rPr>
        <w:t> </w:t>
      </w:r>
      <w:r>
        <w:rPr>
          <w:color w:val="231F20"/>
        </w:rPr>
        <w:t>query for the chart or table includes any column functions. If this is the case, you</w:t>
      </w:r>
      <w:r>
        <w:rPr>
          <w:color w:val="231F20"/>
          <w:spacing w:val="80"/>
          <w:w w:val="150"/>
        </w:rPr>
        <w:t> </w:t>
      </w:r>
      <w:r>
        <w:rPr>
          <w:color w:val="231F20"/>
        </w:rPr>
        <w:t>can select or create another query to enable</w:t>
      </w:r>
      <w:r>
        <w:rPr>
          <w:color w:val="231F20"/>
          <w:spacing w:val="38"/>
        </w:rPr>
        <w:t> </w:t>
      </w:r>
      <w:r>
        <w:rPr>
          <w:color w:val="231F20"/>
          <w:spacing w:val="-25"/>
          <w:position w:val="-1"/>
        </w:rPr>
        <w:drawing>
          <wp:inline distT="0" distB="0" distL="0" distR="0">
            <wp:extent cx="95250" cy="95250"/>
            <wp:effectExtent l="0" t="0" r="0" b="0"/>
            <wp:docPr id="1864" name="Image 1864"/>
            <wp:cNvGraphicFramePr>
              <a:graphicFrameLocks/>
            </wp:cNvGraphicFramePr>
            <a:graphic>
              <a:graphicData uri="http://schemas.openxmlformats.org/drawingml/2006/picture">
                <pic:pic>
                  <pic:nvPicPr>
                    <pic:cNvPr id="1864" name="Image 1864"/>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Time Span</w:t>
      </w:r>
      <w:r>
        <w:rPr>
          <w:color w:val="231F20"/>
        </w:rPr>
        <w: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Take these steps to broaden the time range of data beyond the current data </w:t>
      </w:r>
      <w:r>
        <w:rPr>
          <w:color w:val="231F20"/>
          <w:spacing w:val="-2"/>
        </w:rPr>
        <w:t>samplings.</w:t>
      </w:r>
    </w:p>
    <w:p>
      <w:pPr>
        <w:pStyle w:val="Heading4"/>
      </w:pPr>
      <w:r>
        <w:rPr>
          <w:color w:val="231F20"/>
          <w:spacing w:val="-2"/>
        </w:rPr>
        <w:t>Procedure</w:t>
      </w:r>
    </w:p>
    <w:p>
      <w:pPr>
        <w:pStyle w:val="ListParagraph"/>
        <w:numPr>
          <w:ilvl w:val="0"/>
          <w:numId w:val="95"/>
        </w:numPr>
        <w:tabs>
          <w:tab w:pos="2548" w:val="left" w:leader="none"/>
        </w:tabs>
        <w:spacing w:line="213" w:lineRule="auto" w:before="62" w:after="0"/>
        <w:ind w:left="2548" w:right="1090" w:hanging="316"/>
        <w:jc w:val="left"/>
        <w:rPr>
          <w:sz w:val="20"/>
        </w:rPr>
      </w:pPr>
      <w:r>
        <w:rPr>
          <w:color w:val="231F20"/>
          <w:sz w:val="20"/>
        </w:rPr>
        <w:t>Open the workspace containing the chart, table, or relational </w:t>
      </w:r>
      <w:r>
        <w:rPr>
          <w:color w:val="231F20"/>
          <w:sz w:val="20"/>
        </w:rPr>
        <w:t>table-based topology view where you want to see historical data.</w:t>
      </w:r>
    </w:p>
    <w:p>
      <w:pPr>
        <w:pStyle w:val="ListParagraph"/>
        <w:numPr>
          <w:ilvl w:val="0"/>
          <w:numId w:val="95"/>
        </w:numPr>
        <w:tabs>
          <w:tab w:pos="2547" w:val="left" w:leader="none"/>
        </w:tabs>
        <w:spacing w:line="240" w:lineRule="auto" w:before="35" w:after="0"/>
        <w:ind w:left="2547" w:right="0" w:hanging="315"/>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95250"/>
            <wp:effectExtent l="0" t="0" r="0" b="0"/>
            <wp:docPr id="1865" name="Image 1865"/>
            <wp:cNvGraphicFramePr>
              <a:graphicFrameLocks/>
            </wp:cNvGraphicFramePr>
            <a:graphic>
              <a:graphicData uri="http://schemas.openxmlformats.org/drawingml/2006/picture">
                <pic:pic>
                  <pic:nvPicPr>
                    <pic:cNvPr id="1865" name="Image 1865"/>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Time</w:t>
      </w:r>
      <w:r>
        <w:rPr>
          <w:rFonts w:ascii="Book Antiqua"/>
          <w:b/>
          <w:color w:val="231F20"/>
          <w:spacing w:val="11"/>
          <w:sz w:val="20"/>
        </w:rPr>
        <w:t> </w:t>
      </w:r>
      <w:r>
        <w:rPr>
          <w:rFonts w:ascii="Book Antiqua"/>
          <w:b/>
          <w:color w:val="231F20"/>
          <w:sz w:val="20"/>
        </w:rPr>
        <w:t>Span</w:t>
      </w:r>
      <w:r>
        <w:rPr>
          <w:rFonts w:ascii="Book Antiqua"/>
          <w:b/>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view's</w:t>
      </w:r>
      <w:r>
        <w:rPr>
          <w:color w:val="231F20"/>
          <w:spacing w:val="11"/>
          <w:sz w:val="20"/>
        </w:rPr>
        <w:t> </w:t>
      </w:r>
      <w:r>
        <w:rPr>
          <w:color w:val="231F20"/>
          <w:spacing w:val="-2"/>
          <w:sz w:val="20"/>
        </w:rPr>
        <w:t>toolbar.</w:t>
      </w:r>
    </w:p>
    <w:p>
      <w:pPr>
        <w:pStyle w:val="ListParagraph"/>
        <w:numPr>
          <w:ilvl w:val="0"/>
          <w:numId w:val="95"/>
        </w:numPr>
        <w:tabs>
          <w:tab w:pos="2548" w:val="left" w:leader="none"/>
        </w:tabs>
        <w:spacing w:line="213" w:lineRule="auto" w:before="53" w:after="0"/>
        <w:ind w:left="2548" w:right="786" w:hanging="316"/>
        <w:jc w:val="left"/>
        <w:rPr>
          <w:sz w:val="20"/>
        </w:rPr>
      </w:pPr>
      <w:r>
        <w:rPr>
          <w:color w:val="231F20"/>
          <w:sz w:val="20"/>
        </w:rPr>
        <w:t>Select a time frame: </w:t>
      </w:r>
      <w:r>
        <w:rPr>
          <w:rFonts w:ascii="Book Antiqua"/>
          <w:b/>
          <w:color w:val="231F20"/>
          <w:sz w:val="20"/>
        </w:rPr>
        <w:t>Real time plus Last _ Hours </w:t>
      </w:r>
      <w:r>
        <w:rPr>
          <w:color w:val="231F20"/>
          <w:sz w:val="20"/>
        </w:rPr>
        <w:t>(enabled for bar, plot, and area charts only), </w:t>
      </w:r>
      <w:r>
        <w:rPr>
          <w:rFonts w:ascii="Book Antiqua"/>
          <w:b/>
          <w:color w:val="231F20"/>
          <w:sz w:val="20"/>
        </w:rPr>
        <w:t>Last _ Hours </w:t>
      </w:r>
      <w:r>
        <w:rPr>
          <w:color w:val="231F20"/>
          <w:sz w:val="20"/>
        </w:rPr>
        <w:t>(or Days, Weeks, or Months, if the data is warehoused), or </w:t>
      </w:r>
      <w:r>
        <w:rPr>
          <w:rFonts w:ascii="Book Antiqua"/>
          <w:b/>
          <w:color w:val="231F20"/>
          <w:sz w:val="20"/>
        </w:rPr>
        <w:t>Custom</w:t>
      </w:r>
      <w:r>
        <w:rPr>
          <w:color w:val="231F20"/>
          <w:sz w:val="20"/>
        </w:rPr>
        <w:t>.</w:t>
      </w:r>
    </w:p>
    <w:p>
      <w:pPr>
        <w:spacing w:after="0" w:line="213" w:lineRule="auto"/>
        <w:jc w:val="left"/>
        <w:rPr>
          <w:sz w:val="20"/>
        </w:rPr>
        <w:sectPr>
          <w:pgSz w:w="12240" w:h="15840"/>
          <w:pgMar w:header="0" w:footer="736" w:top="1180" w:bottom="920" w:left="1000" w:right="1060"/>
        </w:sectPr>
      </w:pPr>
    </w:p>
    <w:p>
      <w:pPr>
        <w:pStyle w:val="ListParagraph"/>
        <w:numPr>
          <w:ilvl w:val="0"/>
          <w:numId w:val="95"/>
        </w:numPr>
        <w:tabs>
          <w:tab w:pos="2787" w:val="left" w:leader="none"/>
        </w:tabs>
        <w:spacing w:line="240" w:lineRule="auto" w:before="62" w:after="0"/>
        <w:ind w:left="2787" w:right="0" w:hanging="315"/>
        <w:jc w:val="left"/>
        <w:rPr>
          <w:sz w:val="20"/>
        </w:rPr>
      </w:pPr>
      <w:r>
        <w:rPr>
          <w:color w:val="231F20"/>
          <w:sz w:val="20"/>
        </w:rPr>
        <w:t>If</w:t>
      </w:r>
      <w:r>
        <w:rPr>
          <w:color w:val="231F20"/>
          <w:spacing w:val="11"/>
          <w:sz w:val="20"/>
        </w:rPr>
        <w:t> </w:t>
      </w:r>
      <w:r>
        <w:rPr>
          <w:color w:val="231F20"/>
          <w:sz w:val="20"/>
        </w:rPr>
        <w:t>you</w:t>
      </w:r>
      <w:r>
        <w:rPr>
          <w:color w:val="231F20"/>
          <w:spacing w:val="12"/>
          <w:sz w:val="20"/>
        </w:rPr>
        <w:t> </w:t>
      </w:r>
      <w:r>
        <w:rPr>
          <w:color w:val="231F20"/>
          <w:sz w:val="20"/>
        </w:rPr>
        <w:t>selected</w:t>
      </w:r>
      <w:r>
        <w:rPr>
          <w:color w:val="231F20"/>
          <w:spacing w:val="12"/>
          <w:sz w:val="20"/>
        </w:rPr>
        <w:t> </w:t>
      </w:r>
      <w:r>
        <w:rPr>
          <w:rFonts w:ascii="Book Antiqua"/>
          <w:b/>
          <w:color w:val="231F20"/>
          <w:sz w:val="20"/>
        </w:rPr>
        <w:t>Last</w:t>
      </w:r>
      <w:r>
        <w:rPr>
          <w:rFonts w:ascii="Book Antiqua"/>
          <w:b/>
          <w:color w:val="231F20"/>
          <w:spacing w:val="12"/>
          <w:sz w:val="20"/>
        </w:rPr>
        <w:t> </w:t>
      </w:r>
      <w:r>
        <w:rPr>
          <w:color w:val="231F20"/>
          <w:sz w:val="20"/>
        </w:rPr>
        <w:t>or</w:t>
      </w:r>
      <w:r>
        <w:rPr>
          <w:color w:val="231F20"/>
          <w:spacing w:val="12"/>
          <w:sz w:val="20"/>
        </w:rPr>
        <w:t> </w:t>
      </w:r>
      <w:r>
        <w:rPr>
          <w:rFonts w:ascii="Book Antiqua"/>
          <w:b/>
          <w:color w:val="231F20"/>
          <w:sz w:val="20"/>
        </w:rPr>
        <w:t>Custom</w:t>
      </w:r>
      <w:r>
        <w:rPr>
          <w:color w:val="231F20"/>
          <w:sz w:val="20"/>
        </w:rPr>
        <w:t>,</w:t>
      </w:r>
      <w:r>
        <w:rPr>
          <w:color w:val="231F20"/>
          <w:spacing w:val="12"/>
          <w:sz w:val="20"/>
        </w:rPr>
        <w:t> </w:t>
      </w:r>
      <w:r>
        <w:rPr>
          <w:color w:val="231F20"/>
          <w:sz w:val="20"/>
        </w:rPr>
        <w:t>specify</w:t>
      </w:r>
      <w:r>
        <w:rPr>
          <w:color w:val="231F20"/>
          <w:spacing w:val="12"/>
          <w:sz w:val="20"/>
        </w:rPr>
        <w:t> </w:t>
      </w:r>
      <w:r>
        <w:rPr>
          <w:color w:val="231F20"/>
          <w:sz w:val="20"/>
        </w:rPr>
        <w:t>the</w:t>
      </w:r>
      <w:r>
        <w:rPr>
          <w:color w:val="231F20"/>
          <w:spacing w:val="12"/>
          <w:sz w:val="20"/>
        </w:rPr>
        <w:t> </w:t>
      </w:r>
      <w:r>
        <w:rPr>
          <w:color w:val="231F20"/>
          <w:sz w:val="20"/>
        </w:rPr>
        <w:t>range</w:t>
      </w:r>
      <w:r>
        <w:rPr>
          <w:color w:val="231F20"/>
          <w:spacing w:val="12"/>
          <w:sz w:val="20"/>
        </w:rPr>
        <w:t> </w:t>
      </w:r>
      <w:r>
        <w:rPr>
          <w:color w:val="231F20"/>
          <w:sz w:val="20"/>
        </w:rPr>
        <w:t>of</w:t>
      </w:r>
      <w:r>
        <w:rPr>
          <w:color w:val="231F20"/>
          <w:spacing w:val="12"/>
          <w:sz w:val="20"/>
        </w:rPr>
        <w:t> </w:t>
      </w:r>
      <w:r>
        <w:rPr>
          <w:color w:val="231F20"/>
          <w:spacing w:val="-2"/>
          <w:sz w:val="20"/>
        </w:rPr>
        <w:t>data:</w:t>
      </w:r>
    </w:p>
    <w:p>
      <w:pPr>
        <w:pStyle w:val="BodyText"/>
        <w:spacing w:before="29"/>
        <w:ind w:left="2788"/>
      </w:pPr>
      <w:r>
        <w:rPr>
          <w:rFonts w:ascii="Futura MdCn BT"/>
          <w:color w:val="231F20"/>
        </w:rPr>
        <w:t>v</w:t>
      </w:r>
      <w:r>
        <w:rPr>
          <w:rFonts w:ascii="Futura MdCn BT"/>
          <w:color w:val="231F20"/>
          <w:spacing w:val="32"/>
        </w:rPr>
        <w:t>  </w:t>
      </w:r>
      <w:r>
        <w:rPr>
          <w:color w:val="231F20"/>
        </w:rPr>
        <w:t>Detailed</w:t>
      </w:r>
      <w:r>
        <w:rPr>
          <w:color w:val="231F20"/>
          <w:spacing w:val="13"/>
        </w:rPr>
        <w:t> </w:t>
      </w:r>
      <w:r>
        <w:rPr>
          <w:color w:val="231F20"/>
        </w:rPr>
        <w:t>data</w:t>
      </w:r>
      <w:r>
        <w:rPr>
          <w:color w:val="231F20"/>
          <w:spacing w:val="13"/>
        </w:rPr>
        <w:t> </w:t>
      </w:r>
      <w:r>
        <w:rPr>
          <w:color w:val="231F20"/>
        </w:rPr>
        <w:t>is</w:t>
      </w:r>
      <w:r>
        <w:rPr>
          <w:color w:val="231F20"/>
          <w:spacing w:val="13"/>
        </w:rPr>
        <w:t> </w:t>
      </w:r>
      <w:r>
        <w:rPr>
          <w:color w:val="231F20"/>
        </w:rPr>
        <w:t>all</w:t>
      </w:r>
      <w:r>
        <w:rPr>
          <w:color w:val="231F20"/>
          <w:spacing w:val="13"/>
        </w:rPr>
        <w:t> </w:t>
      </w:r>
      <w:r>
        <w:rPr>
          <w:color w:val="231F20"/>
        </w:rPr>
        <w:t>the</w:t>
      </w:r>
      <w:r>
        <w:rPr>
          <w:color w:val="231F20"/>
          <w:spacing w:val="13"/>
        </w:rPr>
        <w:t> </w:t>
      </w:r>
      <w:r>
        <w:rPr>
          <w:color w:val="231F20"/>
        </w:rPr>
        <w:t>data</w:t>
      </w:r>
      <w:r>
        <w:rPr>
          <w:color w:val="231F20"/>
          <w:spacing w:val="12"/>
        </w:rPr>
        <w:t> </w:t>
      </w:r>
      <w:r>
        <w:rPr>
          <w:color w:val="231F20"/>
        </w:rPr>
        <w:t>collected</w:t>
      </w:r>
      <w:r>
        <w:rPr>
          <w:color w:val="231F20"/>
          <w:spacing w:val="13"/>
        </w:rPr>
        <w:t> </w:t>
      </w:r>
      <w:r>
        <w:rPr>
          <w:color w:val="231F20"/>
        </w:rPr>
        <w:t>for</w:t>
      </w:r>
      <w:r>
        <w:rPr>
          <w:color w:val="231F20"/>
          <w:spacing w:val="13"/>
        </w:rPr>
        <w:t> </w:t>
      </w:r>
      <w:r>
        <w:rPr>
          <w:color w:val="231F20"/>
        </w:rPr>
        <w:t>the</w:t>
      </w:r>
      <w:r>
        <w:rPr>
          <w:color w:val="231F20"/>
          <w:spacing w:val="13"/>
        </w:rPr>
        <w:t> </w:t>
      </w:r>
      <w:r>
        <w:rPr>
          <w:color w:val="231F20"/>
          <w:spacing w:val="-2"/>
        </w:rPr>
        <w:t>agent.</w:t>
      </w:r>
    </w:p>
    <w:p>
      <w:pPr>
        <w:pStyle w:val="BodyText"/>
        <w:spacing w:line="213" w:lineRule="auto" w:before="53"/>
        <w:ind w:left="3004" w:right="385" w:hanging="216"/>
      </w:pPr>
      <w:r>
        <w:rPr>
          <w:rFonts w:ascii="Futura MdCn BT"/>
          <w:color w:val="231F20"/>
        </w:rPr>
        <w:t>v</w:t>
      </w:r>
      <w:r>
        <w:rPr>
          <w:rFonts w:ascii="Futura MdCn BT"/>
          <w:color w:val="231F20"/>
          <w:spacing w:val="80"/>
        </w:rPr>
        <w:t> </w:t>
      </w:r>
      <w:r>
        <w:rPr>
          <w:color w:val="231F20"/>
        </w:rPr>
        <w:t>Summarized data is data that is aggregated across the specified time frame. Set the time frame interval, work shift, and the days. This option is </w:t>
      </w:r>
      <w:r>
        <w:rPr>
          <w:color w:val="231F20"/>
        </w:rPr>
        <w:t>disabled</w:t>
      </w:r>
      <w:r>
        <w:rPr>
          <w:color w:val="231F20"/>
          <w:spacing w:val="80"/>
        </w:rPr>
        <w:t> </w:t>
      </w:r>
      <w:r>
        <w:rPr>
          <w:color w:val="231F20"/>
        </w:rPr>
        <w:t>if no data warehouse and summarization schedule were configured for this attribute group.</w:t>
      </w:r>
    </w:p>
    <w:p>
      <w:pPr>
        <w:pStyle w:val="BodyText"/>
        <w:spacing w:line="211" w:lineRule="auto" w:before="59"/>
        <w:ind w:left="3004" w:right="379" w:hanging="216"/>
      </w:pPr>
      <w:r>
        <w:rPr>
          <w:rFonts w:ascii="Futura MdCn BT"/>
          <w:color w:val="231F20"/>
        </w:rPr>
        <w:t>v</w:t>
      </w:r>
      <w:r>
        <w:rPr>
          <w:rFonts w:ascii="Futura MdCn BT"/>
          <w:color w:val="231F20"/>
          <w:spacing w:val="80"/>
        </w:rPr>
        <w:t> </w:t>
      </w:r>
      <w:r>
        <w:rPr>
          <w:color w:val="231F20"/>
        </w:rPr>
        <w:t>To set a custom time frame, click inside the </w:t>
      </w:r>
      <w:r>
        <w:rPr>
          <w:rFonts w:ascii="Book Antiqua"/>
          <w:b/>
          <w:color w:val="231F20"/>
        </w:rPr>
        <w:t>Start Time </w:t>
      </w:r>
      <w:r>
        <w:rPr>
          <w:color w:val="231F20"/>
        </w:rPr>
        <w:t>and </w:t>
      </w:r>
      <w:r>
        <w:rPr>
          <w:rFonts w:ascii="Book Antiqua"/>
          <w:b/>
          <w:color w:val="231F20"/>
        </w:rPr>
        <w:t>End Time </w:t>
      </w:r>
      <w:r>
        <w:rPr>
          <w:color w:val="231F20"/>
        </w:rPr>
        <w:t>fields</w:t>
      </w:r>
      <w:r>
        <w:rPr>
          <w:color w:val="231F20"/>
          <w:spacing w:val="80"/>
        </w:rPr>
        <w:t> </w:t>
      </w:r>
      <w:r>
        <w:rPr>
          <w:color w:val="231F20"/>
        </w:rPr>
        <w:t>to open the date editor. Use the </w:t>
      </w:r>
      <w:r>
        <w:rPr>
          <w:color w:val="231F20"/>
          <w:spacing w:val="15"/>
          <w:position w:val="-5"/>
        </w:rPr>
        <w:drawing>
          <wp:inline distT="0" distB="0" distL="0" distR="0">
            <wp:extent cx="69850" cy="127000"/>
            <wp:effectExtent l="0" t="0" r="0" b="0"/>
            <wp:docPr id="1868" name="Image 1868"/>
            <wp:cNvGraphicFramePr>
              <a:graphicFrameLocks/>
            </wp:cNvGraphicFramePr>
            <a:graphic>
              <a:graphicData uri="http://schemas.openxmlformats.org/drawingml/2006/picture">
                <pic:pic>
                  <pic:nvPicPr>
                    <pic:cNvPr id="1868" name="Image 1868"/>
                    <pic:cNvPicPr/>
                  </pic:nvPicPr>
                  <pic:blipFill>
                    <a:blip r:embed="rId146" cstate="print"/>
                    <a:stretch>
                      <a:fillRect/>
                    </a:stretch>
                  </pic:blipFill>
                  <pic:spPr>
                    <a:xfrm>
                      <a:off x="0" y="0"/>
                      <a:ext cx="69850" cy="127000"/>
                    </a:xfrm>
                    <a:prstGeom prst="rect">
                      <a:avLst/>
                    </a:prstGeom>
                  </pic:spPr>
                </pic:pic>
              </a:graphicData>
            </a:graphic>
          </wp:inline>
        </w:drawing>
      </w:r>
      <w:r>
        <w:rPr>
          <w:color w:val="231F20"/>
          <w:spacing w:val="15"/>
          <w:position w:val="-5"/>
        </w:rPr>
      </w:r>
      <w:r>
        <w:rPr>
          <w:rFonts w:ascii="Times New Roman"/>
          <w:color w:val="231F20"/>
          <w:spacing w:val="40"/>
        </w:rPr>
        <w:t> </w:t>
      </w:r>
      <w:r>
        <w:rPr>
          <w:color w:val="231F20"/>
        </w:rPr>
        <w:t>spin boxes to adjust the time, year, or month; and click the calendar day. </w:t>
      </w:r>
      <w:r>
        <w:rPr>
          <w:rFonts w:ascii="Book Antiqua"/>
          <w:b/>
          <w:color w:val="231F20"/>
        </w:rPr>
        <w:t>HH:MM:SS AM/PM </w:t>
      </w:r>
      <w:r>
        <w:rPr>
          <w:color w:val="231F20"/>
        </w:rPr>
        <w:t>is initially set to </w:t>
      </w:r>
      <w:r>
        <w:rPr>
          <w:color w:val="231F20"/>
        </w:rPr>
        <w:t>the</w:t>
      </w:r>
      <w:r>
        <w:rPr>
          <w:color w:val="231F20"/>
        </w:rPr>
        <w:t> current time.</w:t>
      </w:r>
    </w:p>
    <w:p>
      <w:pPr>
        <w:pStyle w:val="BodyText"/>
        <w:spacing w:line="213" w:lineRule="auto" w:before="61"/>
        <w:ind w:left="3004" w:right="274" w:hanging="216"/>
      </w:pPr>
      <w:r>
        <w:rPr>
          <w:rFonts w:ascii="Futura MdCn BT"/>
          <w:color w:val="231F20"/>
        </w:rPr>
        <w:t>v</w:t>
      </w:r>
      <w:r>
        <w:rPr>
          <w:rFonts w:ascii="Futura MdCn BT"/>
          <w:color w:val="231F20"/>
          <w:spacing w:val="80"/>
        </w:rPr>
        <w:t> </w:t>
      </w:r>
      <w:r>
        <w:rPr>
          <w:color w:val="231F20"/>
        </w:rPr>
        <w:t>To</w:t>
      </w:r>
      <w:r>
        <w:rPr>
          <w:color w:val="231F20"/>
          <w:spacing w:val="22"/>
        </w:rPr>
        <w:t> </w:t>
      </w:r>
      <w:r>
        <w:rPr>
          <w:color w:val="231F20"/>
        </w:rPr>
        <w:t>apply</w:t>
      </w:r>
      <w:r>
        <w:rPr>
          <w:color w:val="231F20"/>
          <w:spacing w:val="22"/>
        </w:rPr>
        <w:t> </w:t>
      </w:r>
      <w:r>
        <w:rPr>
          <w:color w:val="231F20"/>
        </w:rPr>
        <w:t>the</w:t>
      </w:r>
      <w:r>
        <w:rPr>
          <w:color w:val="231F20"/>
          <w:spacing w:val="22"/>
        </w:rPr>
        <w:t> </w:t>
      </w:r>
      <w:r>
        <w:rPr>
          <w:color w:val="231F20"/>
        </w:rPr>
        <w:t>time</w:t>
      </w:r>
      <w:r>
        <w:rPr>
          <w:color w:val="231F20"/>
          <w:spacing w:val="22"/>
        </w:rPr>
        <w:t> </w:t>
      </w:r>
      <w:r>
        <w:rPr>
          <w:color w:val="231F20"/>
        </w:rPr>
        <w:t>span</w:t>
      </w:r>
      <w:r>
        <w:rPr>
          <w:color w:val="231F20"/>
          <w:spacing w:val="22"/>
        </w:rPr>
        <w:t> </w:t>
      </w:r>
      <w:r>
        <w:rPr>
          <w:color w:val="231F20"/>
        </w:rPr>
        <w:t>to</w:t>
      </w:r>
      <w:r>
        <w:rPr>
          <w:color w:val="231F20"/>
          <w:spacing w:val="22"/>
        </w:rPr>
        <w:t> </w:t>
      </w:r>
      <w:r>
        <w:rPr>
          <w:color w:val="231F20"/>
        </w:rPr>
        <w:t>all</w:t>
      </w:r>
      <w:r>
        <w:rPr>
          <w:color w:val="231F20"/>
          <w:spacing w:val="22"/>
        </w:rPr>
        <w:t> </w:t>
      </w:r>
      <w:r>
        <w:rPr>
          <w:color w:val="231F20"/>
        </w:rPr>
        <w:t>views</w:t>
      </w:r>
      <w:r>
        <w:rPr>
          <w:color w:val="231F20"/>
          <w:spacing w:val="22"/>
        </w:rPr>
        <w:t> </w:t>
      </w:r>
      <w:r>
        <w:rPr>
          <w:color w:val="231F20"/>
        </w:rPr>
        <w:t>that</w:t>
      </w:r>
      <w:r>
        <w:rPr>
          <w:color w:val="231F20"/>
          <w:spacing w:val="22"/>
        </w:rPr>
        <w:t> </w:t>
      </w:r>
      <w:r>
        <w:rPr>
          <w:color w:val="231F20"/>
        </w:rPr>
        <w:t>use</w:t>
      </w:r>
      <w:r>
        <w:rPr>
          <w:color w:val="231F20"/>
          <w:spacing w:val="22"/>
        </w:rPr>
        <w:t> </w:t>
      </w:r>
      <w:r>
        <w:rPr>
          <w:color w:val="231F20"/>
        </w:rPr>
        <w:t>the</w:t>
      </w:r>
      <w:r>
        <w:rPr>
          <w:color w:val="231F20"/>
          <w:spacing w:val="22"/>
        </w:rPr>
        <w:t> </w:t>
      </w:r>
      <w:r>
        <w:rPr>
          <w:color w:val="231F20"/>
        </w:rPr>
        <w:t>same</w:t>
      </w:r>
      <w:r>
        <w:rPr>
          <w:color w:val="231F20"/>
          <w:spacing w:val="22"/>
        </w:rPr>
        <w:t> </w:t>
      </w:r>
      <w:r>
        <w:rPr>
          <w:color w:val="231F20"/>
        </w:rPr>
        <w:t>query</w:t>
      </w:r>
      <w:r>
        <w:rPr>
          <w:color w:val="231F20"/>
          <w:spacing w:val="22"/>
        </w:rPr>
        <w:t> </w:t>
      </w:r>
      <w:r>
        <w:rPr>
          <w:color w:val="231F20"/>
        </w:rPr>
        <w:t>as</w:t>
      </w:r>
      <w:r>
        <w:rPr>
          <w:color w:val="231F20"/>
          <w:spacing w:val="22"/>
        </w:rPr>
        <w:t> </w:t>
      </w:r>
      <w:r>
        <w:rPr>
          <w:color w:val="231F20"/>
        </w:rPr>
        <w:t>this</w:t>
      </w:r>
      <w:r>
        <w:rPr>
          <w:color w:val="231F20"/>
          <w:spacing w:val="22"/>
        </w:rPr>
        <w:t> </w:t>
      </w:r>
      <w:r>
        <w:rPr>
          <w:color w:val="231F20"/>
        </w:rPr>
        <w:t>view, select </w:t>
      </w:r>
      <w:r>
        <w:rPr>
          <w:color w:val="231F20"/>
          <w:spacing w:val="16"/>
        </w:rPr>
        <w:drawing>
          <wp:inline distT="0" distB="0" distL="0" distR="0">
            <wp:extent cx="82550" cy="82550"/>
            <wp:effectExtent l="0" t="0" r="0" b="0"/>
            <wp:docPr id="1869" name="Image 1869"/>
            <wp:cNvGraphicFramePr>
              <a:graphicFrameLocks/>
            </wp:cNvGraphicFramePr>
            <a:graphic>
              <a:graphicData uri="http://schemas.openxmlformats.org/drawingml/2006/picture">
                <pic:pic>
                  <pic:nvPicPr>
                    <pic:cNvPr id="1869" name="Image 1869"/>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rFonts w:ascii="Book Antiqua"/>
          <w:b/>
          <w:color w:val="231F20"/>
        </w:rPr>
        <w:t>Apply to all views associated with this view's query</w:t>
      </w:r>
      <w:r>
        <w:rPr>
          <w:color w:val="231F20"/>
        </w:rPr>
        <w:t>. When this option is enabled, the query is modified to include the time span set here, </w:t>
      </w:r>
      <w:r>
        <w:rPr>
          <w:color w:val="231F20"/>
        </w:rPr>
        <w:t>so</w:t>
      </w:r>
      <w:r>
        <w:rPr>
          <w:color w:val="231F20"/>
        </w:rPr>
        <w:t> any other views using this query report the same time range.</w:t>
      </w:r>
    </w:p>
    <w:p>
      <w:pPr>
        <w:pStyle w:val="BodyText"/>
        <w:spacing w:line="213" w:lineRule="auto" w:before="57"/>
        <w:ind w:left="3004" w:right="274" w:hanging="216"/>
      </w:pPr>
      <w:r>
        <w:rPr>
          <w:rFonts w:ascii="Futura MdCn BT"/>
          <w:color w:val="231F20"/>
        </w:rPr>
        <w:t>v</w:t>
      </w:r>
      <w:r>
        <w:rPr>
          <w:rFonts w:ascii="Futura MdCn BT"/>
          <w:color w:val="231F20"/>
          <w:spacing w:val="80"/>
        </w:rPr>
        <w:t> </w:t>
      </w:r>
      <w:r>
        <w:rPr>
          <w:color w:val="231F20"/>
        </w:rPr>
        <w:t>The </w:t>
      </w:r>
      <w:r>
        <w:rPr>
          <w:rFonts w:ascii="Book Antiqua"/>
          <w:b/>
          <w:color w:val="231F20"/>
        </w:rPr>
        <w:t>Timestamp </w:t>
      </w:r>
      <w:r>
        <w:rPr>
          <w:color w:val="231F20"/>
        </w:rPr>
        <w:t>column that is added to the historical view can show either the global timestamp (the default) or local. Select </w:t>
      </w:r>
      <w:r>
        <w:rPr>
          <w:color w:val="231F20"/>
          <w:spacing w:val="15"/>
        </w:rPr>
        <w:drawing>
          <wp:inline distT="0" distB="0" distL="0" distR="0">
            <wp:extent cx="82550" cy="82550"/>
            <wp:effectExtent l="0" t="0" r="0" b="0"/>
            <wp:docPr id="1870" name="Image 1870"/>
            <wp:cNvGraphicFramePr>
              <a:graphicFrameLocks/>
            </wp:cNvGraphicFramePr>
            <a:graphic>
              <a:graphicData uri="http://schemas.openxmlformats.org/drawingml/2006/picture">
                <pic:pic>
                  <pic:nvPicPr>
                    <pic:cNvPr id="1870" name="Image 187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Hub time </w:t>
      </w:r>
      <w:r>
        <w:rPr>
          <w:color w:val="231F20"/>
        </w:rPr>
        <w:t>to reflect the time at the Hub Tivoli Enterprise Monitoring Server rather than at the Tivoli Enterprise Portal Server or portal client.</w:t>
      </w:r>
    </w:p>
    <w:p>
      <w:pPr>
        <w:pStyle w:val="Heading4"/>
        <w:spacing w:before="199"/>
        <w:ind w:left="2472"/>
      </w:pPr>
      <w:r>
        <w:rPr>
          <w:color w:val="231F20"/>
          <w:spacing w:val="-2"/>
        </w:rPr>
        <w:t>Results</w:t>
      </w:r>
    </w:p>
    <w:p>
      <w:pPr>
        <w:pStyle w:val="BodyText"/>
        <w:spacing w:line="213" w:lineRule="auto" w:before="241"/>
        <w:ind w:left="2472" w:right="493"/>
      </w:pPr>
      <w:r>
        <w:rPr>
          <w:color w:val="231F20"/>
        </w:rPr>
        <w:t>After you click </w:t>
      </w:r>
      <w:r>
        <w:rPr>
          <w:rFonts w:ascii="Book Antiqua"/>
          <w:b/>
          <w:color w:val="231F20"/>
        </w:rPr>
        <w:t>OK</w:t>
      </w:r>
      <w:r>
        <w:rPr>
          <w:color w:val="231F20"/>
        </w:rPr>
        <w:t>, the view shows data from the time span you specified. If the</w:t>
      </w:r>
      <w:r>
        <w:rPr>
          <w:color w:val="231F20"/>
          <w:spacing w:val="40"/>
        </w:rPr>
        <w:t> </w:t>
      </w:r>
      <w:r>
        <w:rPr>
          <w:color w:val="231F20"/>
        </w:rPr>
        <w:t>view is a table, a timestamp is displayed as the first column and is accurate to </w:t>
      </w:r>
      <w:r>
        <w:rPr>
          <w:color w:val="231F20"/>
        </w:rPr>
        <w:t>the</w:t>
      </w:r>
      <w:r>
        <w:rPr>
          <w:color w:val="231F20"/>
          <w:spacing w:val="40"/>
        </w:rPr>
        <w:t> </w:t>
      </w:r>
      <w:r>
        <w:rPr>
          <w:color w:val="231F20"/>
        </w:rPr>
        <w:t>nearest minute; seconds are displayed as 00.</w:t>
      </w:r>
    </w:p>
    <w:p>
      <w:pPr>
        <w:pStyle w:val="BodyText"/>
        <w:spacing w:line="213" w:lineRule="auto" w:before="237"/>
        <w:ind w:left="2472" w:right="385"/>
      </w:pPr>
      <w:r>
        <w:rPr>
          <w:color w:val="231F20"/>
        </w:rPr>
        <w:t>If</w:t>
      </w:r>
      <w:r>
        <w:rPr>
          <w:color w:val="231F20"/>
          <w:spacing w:val="18"/>
        </w:rPr>
        <w:t> </w:t>
      </w:r>
      <w:r>
        <w:rPr>
          <w:color w:val="231F20"/>
        </w:rPr>
        <w:t>you</w:t>
      </w:r>
      <w:r>
        <w:rPr>
          <w:color w:val="231F20"/>
          <w:spacing w:val="18"/>
        </w:rPr>
        <w:t> </w:t>
      </w:r>
      <w:r>
        <w:rPr>
          <w:color w:val="231F20"/>
        </w:rPr>
        <w:t>see</w:t>
      </w:r>
      <w:r>
        <w:rPr>
          <w:color w:val="231F20"/>
          <w:spacing w:val="18"/>
        </w:rPr>
        <w:t> </w:t>
      </w:r>
      <w:r>
        <w:rPr>
          <w:rFonts w:ascii="Arial"/>
          <w:color w:val="231F20"/>
        </w:rPr>
        <w:t>null </w:t>
      </w:r>
      <w:r>
        <w:rPr>
          <w:color w:val="231F20"/>
        </w:rPr>
        <w:t>as</w:t>
      </w:r>
      <w:r>
        <w:rPr>
          <w:color w:val="231F20"/>
          <w:spacing w:val="18"/>
        </w:rPr>
        <w:t> </w:t>
      </w:r>
      <w:r>
        <w:rPr>
          <w:color w:val="231F20"/>
        </w:rPr>
        <w:t>the</w:t>
      </w:r>
      <w:r>
        <w:rPr>
          <w:color w:val="231F20"/>
          <w:spacing w:val="18"/>
        </w:rPr>
        <w:t> </w:t>
      </w:r>
      <w:r>
        <w:rPr>
          <w:color w:val="231F20"/>
        </w:rPr>
        <w:t>value</w:t>
      </w:r>
      <w:r>
        <w:rPr>
          <w:color w:val="231F20"/>
          <w:spacing w:val="18"/>
        </w:rPr>
        <w:t> </w:t>
      </w:r>
      <w:r>
        <w:rPr>
          <w:color w:val="231F20"/>
        </w:rPr>
        <w:t>of</w:t>
      </w:r>
      <w:r>
        <w:rPr>
          <w:color w:val="231F20"/>
          <w:spacing w:val="18"/>
        </w:rPr>
        <w:t> </w:t>
      </w:r>
      <w:r>
        <w:rPr>
          <w:color w:val="231F20"/>
        </w:rPr>
        <w:t>a</w:t>
      </w:r>
      <w:r>
        <w:rPr>
          <w:color w:val="231F20"/>
          <w:spacing w:val="18"/>
        </w:rPr>
        <w:t> </w:t>
      </w:r>
      <w:r>
        <w:rPr>
          <w:color w:val="231F20"/>
        </w:rPr>
        <w:t>table</w:t>
      </w:r>
      <w:r>
        <w:rPr>
          <w:color w:val="231F20"/>
          <w:spacing w:val="18"/>
        </w:rPr>
        <w:t> </w:t>
      </w:r>
      <w:r>
        <w:rPr>
          <w:color w:val="231F20"/>
        </w:rPr>
        <w:t>cell</w:t>
      </w:r>
      <w:r>
        <w:rPr>
          <w:color w:val="231F20"/>
          <w:spacing w:val="18"/>
        </w:rPr>
        <w:t> </w:t>
      </w:r>
      <w:r>
        <w:rPr>
          <w:color w:val="231F20"/>
        </w:rPr>
        <w:t>or</w:t>
      </w:r>
      <w:r>
        <w:rPr>
          <w:color w:val="231F20"/>
          <w:spacing w:val="18"/>
        </w:rPr>
        <w:t> </w:t>
      </w:r>
      <w:r>
        <w:rPr>
          <w:color w:val="231F20"/>
        </w:rPr>
        <w:t>chart</w:t>
      </w:r>
      <w:r>
        <w:rPr>
          <w:color w:val="231F20"/>
          <w:spacing w:val="18"/>
        </w:rPr>
        <w:t> </w:t>
      </w:r>
      <w:r>
        <w:rPr>
          <w:color w:val="231F20"/>
        </w:rPr>
        <w:t>point,</w:t>
      </w:r>
      <w:r>
        <w:rPr>
          <w:color w:val="231F20"/>
          <w:spacing w:val="18"/>
        </w:rPr>
        <w:t> </w:t>
      </w:r>
      <w:r>
        <w:rPr>
          <w:color w:val="231F20"/>
        </w:rPr>
        <w:t>it</w:t>
      </w:r>
      <w:r>
        <w:rPr>
          <w:color w:val="231F20"/>
          <w:spacing w:val="18"/>
        </w:rPr>
        <w:t> </w:t>
      </w:r>
      <w:r>
        <w:rPr>
          <w:color w:val="231F20"/>
        </w:rPr>
        <w:t>means</w:t>
      </w:r>
      <w:r>
        <w:rPr>
          <w:color w:val="231F20"/>
          <w:spacing w:val="18"/>
        </w:rPr>
        <w:t> </w:t>
      </w:r>
      <w:r>
        <w:rPr>
          <w:color w:val="231F20"/>
        </w:rPr>
        <w:t>that</w:t>
      </w:r>
      <w:r>
        <w:rPr>
          <w:color w:val="231F20"/>
          <w:spacing w:val="18"/>
        </w:rPr>
        <w:t> </w:t>
      </w:r>
      <w:r>
        <w:rPr>
          <w:color w:val="231F20"/>
        </w:rPr>
        <w:t>no</w:t>
      </w:r>
      <w:r>
        <w:rPr>
          <w:color w:val="231F20"/>
          <w:spacing w:val="18"/>
        </w:rPr>
        <w:t> </w:t>
      </w:r>
      <w:r>
        <w:rPr>
          <w:color w:val="231F20"/>
        </w:rPr>
        <w:t>value was stored in the Tivoli Data Warehouse. This happens when values that were identified as invalid are reported from a monitoring agent for a given summarization period.</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262"/>
      </w:pPr>
      <w:r>
        <w:rPr>
          <w:color w:val="231F20"/>
        </w:rPr>
        <w:t>The sort function is incompatible with the historical reporting feature. If you are using</w:t>
      </w:r>
      <w:r>
        <w:rPr>
          <w:color w:val="231F20"/>
          <w:spacing w:val="20"/>
        </w:rPr>
        <w:t> </w:t>
      </w:r>
      <w:r>
        <w:rPr>
          <w:color w:val="231F20"/>
          <w:spacing w:val="-24"/>
          <w:position w:val="-1"/>
        </w:rPr>
        <w:drawing>
          <wp:inline distT="0" distB="0" distL="0" distR="0">
            <wp:extent cx="95250" cy="95250"/>
            <wp:effectExtent l="0" t="0" r="0" b="0"/>
            <wp:docPr id="1871" name="Image 1871"/>
            <wp:cNvGraphicFramePr>
              <a:graphicFrameLocks/>
            </wp:cNvGraphicFramePr>
            <a:graphic>
              <a:graphicData uri="http://schemas.openxmlformats.org/drawingml/2006/picture">
                <pic:pic>
                  <pic:nvPicPr>
                    <pic:cNvPr id="1871" name="Image 1871"/>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8"/>
        </w:rPr>
        <w:t> </w:t>
      </w:r>
      <w:r>
        <w:rPr>
          <w:rFonts w:ascii="Book Antiqua"/>
          <w:b/>
          <w:color w:val="231F20"/>
        </w:rPr>
        <w:t>Time Span </w:t>
      </w:r>
      <w:r>
        <w:rPr>
          <w:color w:val="231F20"/>
        </w:rPr>
        <w:t>to retrieve historical data, the chart or table is not sorted </w:t>
      </w:r>
      <w:r>
        <w:rPr>
          <w:color w:val="231F20"/>
        </w:rPr>
        <w:t>even</w:t>
      </w:r>
      <w:r>
        <w:rPr>
          <w:color w:val="231F20"/>
          <w:spacing w:val="80"/>
        </w:rPr>
        <w:t> </w:t>
      </w:r>
      <w:r>
        <w:rPr>
          <w:color w:val="231F20"/>
        </w:rPr>
        <w:t>if</w:t>
      </w:r>
      <w:r>
        <w:rPr>
          <w:color w:val="231F20"/>
          <w:spacing w:val="11"/>
        </w:rPr>
        <w:t> </w:t>
      </w:r>
      <w:r>
        <w:rPr>
          <w:color w:val="231F20"/>
        </w:rPr>
        <w:t>you</w:t>
      </w:r>
      <w:r>
        <w:rPr>
          <w:color w:val="231F20"/>
          <w:spacing w:val="11"/>
        </w:rPr>
        <w:t> </w:t>
      </w:r>
      <w:r>
        <w:rPr>
          <w:color w:val="231F20"/>
        </w:rPr>
        <w:t>have</w:t>
      </w:r>
      <w:r>
        <w:rPr>
          <w:color w:val="231F20"/>
          <w:spacing w:val="11"/>
        </w:rPr>
        <w:t> </w:t>
      </w:r>
      <w:r>
        <w:rPr>
          <w:color w:val="231F20"/>
        </w:rPr>
        <w:t>specified</w:t>
      </w:r>
      <w:r>
        <w:rPr>
          <w:color w:val="231F20"/>
          <w:spacing w:val="11"/>
        </w:rPr>
        <w:t> </w:t>
      </w:r>
      <w:r>
        <w:rPr>
          <w:color w:val="231F20"/>
        </w:rPr>
        <w:t>a</w:t>
      </w:r>
      <w:r>
        <w:rPr>
          <w:color w:val="231F20"/>
          <w:spacing w:val="11"/>
        </w:rPr>
        <w:t> </w:t>
      </w:r>
      <w:r>
        <w:rPr>
          <w:color w:val="231F20"/>
        </w:rPr>
        <w:t>sort</w:t>
      </w:r>
      <w:r>
        <w:rPr>
          <w:color w:val="231F20"/>
          <w:spacing w:val="11"/>
        </w:rPr>
        <w:t> </w:t>
      </w:r>
      <w:r>
        <w:rPr>
          <w:color w:val="231F20"/>
        </w:rPr>
        <w:t>order</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query. You</w:t>
      </w:r>
      <w:r>
        <w:rPr>
          <w:color w:val="231F20"/>
          <w:spacing w:val="11"/>
        </w:rPr>
        <w:t> </w:t>
      </w:r>
      <w:r>
        <w:rPr>
          <w:color w:val="231F20"/>
        </w:rPr>
        <w:t>can</w:t>
      </w:r>
      <w:r>
        <w:rPr>
          <w:color w:val="231F20"/>
          <w:spacing w:val="11"/>
        </w:rPr>
        <w:t> </w:t>
      </w:r>
      <w:r>
        <w:rPr>
          <w:color w:val="231F20"/>
        </w:rPr>
        <w:t>still</w:t>
      </w:r>
      <w:r>
        <w:rPr>
          <w:color w:val="231F20"/>
          <w:spacing w:val="11"/>
        </w:rPr>
        <w:t> </w:t>
      </w:r>
      <w:r>
        <w:rPr>
          <w:color w:val="231F20"/>
        </w:rPr>
        <w:t>sort</w:t>
      </w:r>
      <w:r>
        <w:rPr>
          <w:color w:val="231F20"/>
          <w:spacing w:val="11"/>
        </w:rPr>
        <w:t> </w:t>
      </w:r>
      <w:r>
        <w:rPr>
          <w:color w:val="231F20"/>
        </w:rPr>
        <w:t>a</w:t>
      </w:r>
      <w:r>
        <w:rPr>
          <w:color w:val="231F20"/>
          <w:spacing w:val="11"/>
        </w:rPr>
        <w:t> </w:t>
      </w:r>
      <w:r>
        <w:rPr>
          <w:color w:val="231F20"/>
        </w:rPr>
        <w:t>table</w:t>
      </w:r>
      <w:r>
        <w:rPr>
          <w:color w:val="231F20"/>
          <w:spacing w:val="11"/>
        </w:rPr>
        <w:t> </w:t>
      </w:r>
      <w:r>
        <w:rPr>
          <w:color w:val="231F20"/>
        </w:rPr>
        <w:t>by</w:t>
      </w:r>
      <w:r>
        <w:rPr>
          <w:color w:val="231F20"/>
          <w:spacing w:val="11"/>
        </w:rPr>
        <w:t> </w:t>
      </w:r>
      <w:r>
        <w:rPr>
          <w:color w:val="231F20"/>
        </w:rPr>
        <w:t>clicking a column heading.</w:t>
      </w:r>
    </w:p>
    <w:p>
      <w:pPr>
        <w:pStyle w:val="BodyText"/>
        <w:spacing w:line="213" w:lineRule="auto" w:before="237"/>
        <w:ind w:left="2472" w:right="274"/>
      </w:pPr>
      <w:r>
        <w:rPr>
          <w:color w:val="231F20"/>
        </w:rPr>
        <w:t>After support for an updated product has been applied to the portal server, it is possible to get a request error message about a missing or unknown column name</w:t>
      </w:r>
      <w:r>
        <w:rPr>
          <w:color w:val="231F20"/>
          <w:spacing w:val="80"/>
        </w:rPr>
        <w:t> </w:t>
      </w:r>
      <w:r>
        <w:rPr>
          <w:color w:val="231F20"/>
        </w:rPr>
        <w:t>in the view's status bar after you set a time span with </w:t>
      </w:r>
      <w:r>
        <w:rPr>
          <w:color w:val="231F20"/>
          <w:spacing w:val="15"/>
        </w:rPr>
        <w:drawing>
          <wp:inline distT="0" distB="0" distL="0" distR="0">
            <wp:extent cx="82550" cy="82550"/>
            <wp:effectExtent l="0" t="0" r="0" b="0"/>
            <wp:docPr id="1872" name="Image 1872"/>
            <wp:cNvGraphicFramePr>
              <a:graphicFrameLocks/>
            </wp:cNvGraphicFramePr>
            <a:graphic>
              <a:graphicData uri="http://schemas.openxmlformats.org/drawingml/2006/picture">
                <pic:pic>
                  <pic:nvPicPr>
                    <pic:cNvPr id="1872" name="Image 187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Use summarized data</w:t>
      </w:r>
      <w:r>
        <w:rPr>
          <w:rFonts w:ascii="Book Antiqua"/>
          <w:b/>
          <w:color w:val="231F20"/>
          <w:spacing w:val="40"/>
        </w:rPr>
        <w:t> </w:t>
      </w:r>
      <w:r>
        <w:rPr>
          <w:color w:val="231F20"/>
        </w:rPr>
        <w:t>selected. Wait until after the next scheduled summarization and pruning </w:t>
      </w:r>
      <w:r>
        <w:rPr>
          <w:color w:val="231F20"/>
        </w:rPr>
        <w:t>procedure has</w:t>
      </w:r>
      <w:r>
        <w:rPr>
          <w:color w:val="231F20"/>
          <w:spacing w:val="27"/>
        </w:rPr>
        <w:t> </w:t>
      </w:r>
      <w:r>
        <w:rPr>
          <w:color w:val="231F20"/>
        </w:rPr>
        <w:t>taken</w:t>
      </w:r>
      <w:r>
        <w:rPr>
          <w:color w:val="231F20"/>
          <w:spacing w:val="27"/>
        </w:rPr>
        <w:t> </w:t>
      </w:r>
      <w:r>
        <w:rPr>
          <w:color w:val="231F20"/>
        </w:rPr>
        <w:t>place</w:t>
      </w:r>
      <w:r>
        <w:rPr>
          <w:color w:val="231F20"/>
          <w:spacing w:val="27"/>
        </w:rPr>
        <w:t> </w:t>
      </w:r>
      <w:r>
        <w:rPr>
          <w:color w:val="231F20"/>
        </w:rPr>
        <w:t>before</w:t>
      </w:r>
      <w:r>
        <w:rPr>
          <w:color w:val="231F20"/>
          <w:spacing w:val="27"/>
        </w:rPr>
        <w:t> </w:t>
      </w:r>
      <w:r>
        <w:rPr>
          <w:color w:val="231F20"/>
        </w:rPr>
        <w:t>viewing</w:t>
      </w:r>
      <w:r>
        <w:rPr>
          <w:color w:val="231F20"/>
          <w:spacing w:val="27"/>
        </w:rPr>
        <w:t> </w:t>
      </w:r>
      <w:r>
        <w:rPr>
          <w:color w:val="231F20"/>
        </w:rPr>
        <w:t>the</w:t>
      </w:r>
      <w:r>
        <w:rPr>
          <w:color w:val="231F20"/>
          <w:spacing w:val="27"/>
        </w:rPr>
        <w:t> </w:t>
      </w:r>
      <w:r>
        <w:rPr>
          <w:color w:val="231F20"/>
        </w:rPr>
        <w:t>summarized</w:t>
      </w:r>
      <w:r>
        <w:rPr>
          <w:color w:val="231F20"/>
          <w:spacing w:val="27"/>
        </w:rPr>
        <w:t> </w:t>
      </w:r>
      <w:r>
        <w:rPr>
          <w:color w:val="231F20"/>
        </w:rPr>
        <w:t>data.</w:t>
      </w:r>
      <w:r>
        <w:rPr>
          <w:color w:val="231F20"/>
          <w:spacing w:val="27"/>
        </w:rPr>
        <w:t> </w:t>
      </w:r>
      <w:r>
        <w:rPr>
          <w:color w:val="231F20"/>
        </w:rPr>
        <w:t>If</w:t>
      </w:r>
      <w:r>
        <w:rPr>
          <w:color w:val="231F20"/>
          <w:spacing w:val="27"/>
        </w:rPr>
        <w:t> </w:t>
      </w:r>
      <w:r>
        <w:rPr>
          <w:color w:val="231F20"/>
        </w:rPr>
        <w:t>need</w:t>
      </w:r>
      <w:r>
        <w:rPr>
          <w:color w:val="231F20"/>
          <w:spacing w:val="27"/>
        </w:rPr>
        <w:t> </w:t>
      </w:r>
      <w:r>
        <w:rPr>
          <w:color w:val="231F20"/>
        </w:rPr>
        <w:t>be,</w:t>
      </w:r>
      <w:r>
        <w:rPr>
          <w:color w:val="231F20"/>
          <w:spacing w:val="27"/>
        </w:rPr>
        <w:t> </w:t>
      </w:r>
      <w:r>
        <w:rPr>
          <w:color w:val="231F20"/>
        </w:rPr>
        <w:t>you</w:t>
      </w:r>
      <w:r>
        <w:rPr>
          <w:color w:val="231F20"/>
          <w:spacing w:val="27"/>
        </w:rPr>
        <w:t> </w:t>
      </w:r>
      <w:r>
        <w:rPr>
          <w:color w:val="231F20"/>
        </w:rPr>
        <w:t>can reschedule summarization and pruning to run sooner.</w:t>
      </w:r>
    </w:p>
    <w:p>
      <w:pPr>
        <w:spacing w:after="0" w:line="213" w:lineRule="auto"/>
        <w:sectPr>
          <w:footerReference w:type="default" r:id="rId345"/>
          <w:footerReference w:type="even" r:id="rId346"/>
          <w:pgSz w:w="12240" w:h="15840"/>
          <w:pgMar w:header="0" w:footer="736" w:top="1180" w:bottom="920" w:left="1000" w:right="1060"/>
          <w:pgNumType w:start="215"/>
        </w:sectPr>
      </w:pPr>
    </w:p>
    <w:p>
      <w:pPr>
        <w:pStyle w:val="Heading6"/>
        <w:spacing w:line="240" w:lineRule="auto" w:before="62"/>
        <w:ind w:left="2232"/>
        <w:rPr>
          <w:rFonts w:ascii="Palatino Linotype"/>
          <w:b w:val="0"/>
        </w:rPr>
      </w:pPr>
      <w:bookmarkStart w:name="_bookmark155" w:id="341"/>
      <w:bookmarkEnd w:id="341"/>
      <w:r>
        <w:rPr>
          <w:b w:val="0"/>
        </w:rPr>
      </w: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29"/>
        <w:ind w:left="2232"/>
      </w:pPr>
      <w:hyperlink w:history="true" w:anchor="_bookmark153">
        <w:r>
          <w:rPr>
            <w:color w:val="231F20"/>
          </w:rPr>
          <w:t>“Overview</w:t>
        </w:r>
        <w:r>
          <w:rPr>
            <w:color w:val="231F20"/>
            <w:spacing w:val="9"/>
          </w:rPr>
          <w:t> </w:t>
        </w:r>
        <w:r>
          <w:rPr>
            <w:color w:val="231F20"/>
          </w:rPr>
          <w:t>of</w:t>
        </w:r>
        <w:r>
          <w:rPr>
            <w:color w:val="231F20"/>
            <w:spacing w:val="10"/>
          </w:rPr>
          <w:t> </w:t>
        </w:r>
        <w:r>
          <w:rPr>
            <w:color w:val="231F20"/>
          </w:rPr>
          <w:t>historical</w:t>
        </w:r>
        <w:r>
          <w:rPr>
            <w:color w:val="231F20"/>
            <w:spacing w:val="10"/>
          </w:rPr>
          <w:t> </w:t>
        </w:r>
        <w:r>
          <w:rPr>
            <w:color w:val="231F20"/>
          </w:rPr>
          <w:t>data</w:t>
        </w:r>
        <w:r>
          <w:rPr>
            <w:color w:val="231F20"/>
            <w:spacing w:val="10"/>
          </w:rPr>
          <w:t> </w:t>
        </w:r>
        <w:r>
          <w:rPr>
            <w:color w:val="231F20"/>
          </w:rPr>
          <w:t>collection</w:t>
        </w:r>
        <w:r>
          <w:rPr>
            <w:color w:val="231F20"/>
            <w:spacing w:val="10"/>
          </w:rPr>
          <w:t> </w:t>
        </w:r>
        <w:r>
          <w:rPr>
            <w:color w:val="231F20"/>
          </w:rPr>
          <w:t>and</w:t>
        </w:r>
        <w:r>
          <w:rPr>
            <w:color w:val="231F20"/>
            <w:spacing w:val="10"/>
          </w:rPr>
          <w:t> </w:t>
        </w:r>
        <w:r>
          <w:rPr>
            <w:color w:val="231F20"/>
          </w:rPr>
          <w:t>reporting”</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5"/>
          </w:rPr>
          <w:t>213</w:t>
        </w:r>
      </w:hyperlink>
    </w:p>
    <w:p>
      <w:pPr>
        <w:pStyle w:val="BodyText"/>
        <w:spacing w:line="213" w:lineRule="auto" w:before="8"/>
        <w:ind w:left="2232" w:right="545"/>
      </w:pPr>
      <w:r>
        <w:rPr>
          <w:color w:val="231F20"/>
        </w:rPr>
        <w:t>Use historical data collection and reporting to gather useful metrics about your managed network. You can also use historical data with the chart baselining </w:t>
      </w:r>
      <w:r>
        <w:rPr>
          <w:color w:val="231F20"/>
        </w:rPr>
        <w:t>tools for predictive analysis and in situation modeling for key performance indicators.</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155">
        <w:r>
          <w:rPr>
            <w:color w:val="231F20"/>
          </w:rPr>
          <w:t>“Discontinuing</w:t>
        </w:r>
        <w:r>
          <w:rPr>
            <w:color w:val="231F20"/>
            <w:spacing w:val="5"/>
          </w:rPr>
          <w:t> </w:t>
        </w:r>
        <w:r>
          <w:rPr>
            <w:color w:val="231F20"/>
          </w:rPr>
          <w:t>historical</w:t>
        </w:r>
        <w:r>
          <w:rPr>
            <w:color w:val="231F20"/>
            <w:spacing w:val="5"/>
          </w:rPr>
          <w:t> </w:t>
        </w:r>
        <w:r>
          <w:rPr>
            <w:color w:val="231F20"/>
            <w:spacing w:val="-2"/>
          </w:rPr>
          <w:t>reporting”</w:t>
        </w:r>
      </w:hyperlink>
    </w:p>
    <w:p>
      <w:pPr>
        <w:pStyle w:val="BodyText"/>
        <w:spacing w:line="213" w:lineRule="auto" w:before="8"/>
        <w:ind w:left="2232" w:right="545"/>
      </w:pPr>
      <w:r>
        <w:rPr>
          <w:color w:val="231F20"/>
        </w:rPr>
        <w:t>For views that have a time span set to show data samplings over a range of time,</w:t>
      </w:r>
      <w:r>
        <w:rPr>
          <w:color w:val="231F20"/>
          <w:spacing w:val="40"/>
        </w:rPr>
        <w:t> </w:t>
      </w:r>
      <w:r>
        <w:rPr>
          <w:color w:val="231F20"/>
        </w:rPr>
        <w:t>you can remove the time span and display real-time data only.</w:t>
      </w:r>
    </w:p>
    <w:p>
      <w:pPr>
        <w:pStyle w:val="BodyText"/>
        <w:spacing w:before="5"/>
        <w:rPr>
          <w:sz w:val="16"/>
        </w:rPr>
      </w:pPr>
      <w:r>
        <w:rPr/>
        <mc:AlternateContent>
          <mc:Choice Requires="wps">
            <w:drawing>
              <wp:anchor distT="0" distB="0" distL="0" distR="0" allowOverlap="1" layoutInCell="1" locked="0" behindDoc="1" simplePos="0" relativeHeight="487711744">
                <wp:simplePos x="0" y="0"/>
                <wp:positionH relativeFrom="page">
                  <wp:posOffset>760323</wp:posOffset>
                </wp:positionH>
                <wp:positionV relativeFrom="paragraph">
                  <wp:posOffset>156106</wp:posOffset>
                </wp:positionV>
                <wp:extent cx="6082665" cy="1270"/>
                <wp:effectExtent l="0" t="0" r="0" b="0"/>
                <wp:wrapTopAndBottom/>
                <wp:docPr id="1873" name="Graphic 1873"/>
                <wp:cNvGraphicFramePr>
                  <a:graphicFrameLocks/>
                </wp:cNvGraphicFramePr>
                <a:graphic>
                  <a:graphicData uri="http://schemas.microsoft.com/office/word/2010/wordprocessingShape">
                    <wps:wsp>
                      <wps:cNvPr id="1873" name="Graphic 1873"/>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91845pt;width:478.95pt;height:.1pt;mso-position-horizontal-relative:page;mso-position-vertical-relative:paragraph;z-index:-15604736;mso-wrap-distance-left:0;mso-wrap-distance-right:0" id="docshape186"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Discontinuing historical reporting" w:id="342"/>
      <w:bookmarkEnd w:id="342"/>
      <w:r>
        <w:rPr>
          <w:b w:val="0"/>
        </w:rPr>
      </w:r>
      <w:r>
        <w:rPr>
          <w:color w:val="231F20"/>
        </w:rPr>
        <w:t>Discontinuing</w:t>
      </w:r>
      <w:r>
        <w:rPr>
          <w:color w:val="231F20"/>
          <w:spacing w:val="-1"/>
        </w:rPr>
        <w:t> </w:t>
      </w:r>
      <w:r>
        <w:rPr>
          <w:color w:val="231F20"/>
        </w:rPr>
        <w:t>historical</w:t>
      </w:r>
      <w:r>
        <w:rPr>
          <w:color w:val="231F20"/>
          <w:spacing w:val="-1"/>
        </w:rPr>
        <w:t> </w:t>
      </w:r>
      <w:r>
        <w:rPr>
          <w:color w:val="231F20"/>
          <w:spacing w:val="-2"/>
        </w:rPr>
        <w:t>reporting</w:t>
      </w:r>
    </w:p>
    <w:p>
      <w:pPr>
        <w:pStyle w:val="BodyText"/>
        <w:spacing w:line="213" w:lineRule="auto" w:before="138"/>
        <w:ind w:left="2232" w:right="545"/>
      </w:pPr>
      <w:r>
        <w:rPr>
          <w:color w:val="231F20"/>
        </w:rPr>
        <w:t>For views that have a time span set to show data samplings over a range of time,</w:t>
      </w:r>
      <w:r>
        <w:rPr>
          <w:color w:val="231F20"/>
          <w:spacing w:val="40"/>
        </w:rPr>
        <w:t> </w:t>
      </w:r>
      <w:r>
        <w:rPr>
          <w:color w:val="231F20"/>
        </w:rPr>
        <w:t>you can remove the time span and display real-time data only.</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9"/>
        </w:rPr>
        <w:t> </w:t>
      </w:r>
      <w:r>
        <w:rPr>
          <w:color w:val="231F20"/>
        </w:rPr>
        <w:t>change</w:t>
      </w:r>
      <w:r>
        <w:rPr>
          <w:color w:val="231F20"/>
          <w:spacing w:val="9"/>
        </w:rPr>
        <w:t> </w:t>
      </w:r>
      <w:r>
        <w:rPr>
          <w:color w:val="231F20"/>
        </w:rPr>
        <w:t>the</w:t>
      </w:r>
      <w:r>
        <w:rPr>
          <w:color w:val="231F20"/>
          <w:spacing w:val="9"/>
        </w:rPr>
        <w:t> </w:t>
      </w:r>
      <w:r>
        <w:rPr>
          <w:color w:val="231F20"/>
        </w:rPr>
        <w:t>view</w:t>
      </w:r>
      <w:r>
        <w:rPr>
          <w:color w:val="231F20"/>
          <w:spacing w:val="9"/>
        </w:rPr>
        <w:t> </w:t>
      </w:r>
      <w:r>
        <w:rPr>
          <w:color w:val="231F20"/>
        </w:rPr>
        <w:t>to</w:t>
      </w:r>
      <w:r>
        <w:rPr>
          <w:color w:val="231F20"/>
          <w:spacing w:val="9"/>
        </w:rPr>
        <w:t> </w:t>
      </w:r>
      <w:r>
        <w:rPr>
          <w:color w:val="231F20"/>
        </w:rPr>
        <w:t>show</w:t>
      </w:r>
      <w:r>
        <w:rPr>
          <w:color w:val="231F20"/>
          <w:spacing w:val="9"/>
        </w:rPr>
        <w:t> </w:t>
      </w:r>
      <w:r>
        <w:rPr>
          <w:color w:val="231F20"/>
        </w:rPr>
        <w:t>current</w:t>
      </w:r>
      <w:r>
        <w:rPr>
          <w:color w:val="231F20"/>
          <w:spacing w:val="9"/>
        </w:rPr>
        <w:t> </w:t>
      </w:r>
      <w:r>
        <w:rPr>
          <w:color w:val="231F20"/>
        </w:rPr>
        <w:t>data</w:t>
      </w:r>
      <w:r>
        <w:rPr>
          <w:color w:val="231F20"/>
          <w:spacing w:val="9"/>
        </w:rPr>
        <w:t> </w:t>
      </w:r>
      <w:r>
        <w:rPr>
          <w:color w:val="231F20"/>
        </w:rPr>
        <w:t>samplings,</w:t>
      </w:r>
      <w:r>
        <w:rPr>
          <w:color w:val="231F20"/>
          <w:spacing w:val="9"/>
        </w:rPr>
        <w:t> </w:t>
      </w:r>
      <w:r>
        <w:rPr>
          <w:color w:val="231F20"/>
        </w:rPr>
        <w:t>perform</w:t>
      </w:r>
      <w:r>
        <w:rPr>
          <w:color w:val="231F20"/>
          <w:spacing w:val="9"/>
        </w:rPr>
        <w:t> </w:t>
      </w:r>
      <w:r>
        <w:rPr>
          <w:color w:val="231F20"/>
        </w:rPr>
        <w:t>the</w:t>
      </w:r>
      <w:r>
        <w:rPr>
          <w:color w:val="231F20"/>
          <w:spacing w:val="9"/>
        </w:rPr>
        <w:t> </w:t>
      </w:r>
      <w:r>
        <w:rPr>
          <w:color w:val="231F20"/>
        </w:rPr>
        <w:t>following</w:t>
      </w:r>
      <w:r>
        <w:rPr>
          <w:color w:val="231F20"/>
          <w:spacing w:val="9"/>
        </w:rPr>
        <w:t> </w:t>
      </w:r>
      <w:r>
        <w:rPr>
          <w:color w:val="231F20"/>
          <w:spacing w:val="-2"/>
        </w:rPr>
        <w:t>steps:</w:t>
      </w:r>
    </w:p>
    <w:p>
      <w:pPr>
        <w:pStyle w:val="Heading4"/>
        <w:spacing w:before="194"/>
      </w:pPr>
      <w:r>
        <w:rPr>
          <w:color w:val="231F20"/>
          <w:spacing w:val="-2"/>
        </w:rPr>
        <w:t>Procedure</w:t>
      </w:r>
    </w:p>
    <w:p>
      <w:pPr>
        <w:pStyle w:val="ListParagraph"/>
        <w:numPr>
          <w:ilvl w:val="0"/>
          <w:numId w:val="96"/>
        </w:numPr>
        <w:tabs>
          <w:tab w:pos="2548" w:val="left" w:leader="none"/>
        </w:tabs>
        <w:spacing w:line="213" w:lineRule="auto" w:before="62" w:after="0"/>
        <w:ind w:left="2548" w:right="582" w:hanging="316"/>
        <w:jc w:val="left"/>
        <w:rPr>
          <w:sz w:val="20"/>
        </w:rPr>
      </w:pPr>
      <w:r>
        <w:rPr>
          <w:color w:val="231F20"/>
          <w:sz w:val="20"/>
        </w:rPr>
        <w:t>Open the workspace with the view from which you want to remove historical </w:t>
      </w:r>
      <w:r>
        <w:rPr>
          <w:color w:val="231F20"/>
          <w:spacing w:val="-2"/>
          <w:sz w:val="20"/>
        </w:rPr>
        <w:t>reporting.</w:t>
      </w:r>
    </w:p>
    <w:p>
      <w:pPr>
        <w:pStyle w:val="ListParagraph"/>
        <w:numPr>
          <w:ilvl w:val="0"/>
          <w:numId w:val="96"/>
        </w:numPr>
        <w:tabs>
          <w:tab w:pos="2547" w:val="left" w:leader="none"/>
        </w:tabs>
        <w:spacing w:line="240" w:lineRule="auto" w:before="35" w:after="0"/>
        <w:ind w:left="2547" w:right="0" w:hanging="315"/>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95250"/>
            <wp:effectExtent l="0" t="0" r="0" b="0"/>
            <wp:docPr id="1874" name="Image 1874"/>
            <wp:cNvGraphicFramePr>
              <a:graphicFrameLocks/>
            </wp:cNvGraphicFramePr>
            <a:graphic>
              <a:graphicData uri="http://schemas.openxmlformats.org/drawingml/2006/picture">
                <pic:pic>
                  <pic:nvPicPr>
                    <pic:cNvPr id="1874" name="Image 1874"/>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Time</w:t>
      </w:r>
      <w:r>
        <w:rPr>
          <w:rFonts w:ascii="Book Antiqua"/>
          <w:b/>
          <w:color w:val="231F20"/>
          <w:spacing w:val="11"/>
          <w:sz w:val="20"/>
        </w:rPr>
        <w:t> </w:t>
      </w:r>
      <w:r>
        <w:rPr>
          <w:rFonts w:ascii="Book Antiqua"/>
          <w:b/>
          <w:color w:val="231F20"/>
          <w:sz w:val="20"/>
        </w:rPr>
        <w:t>Span</w:t>
      </w:r>
      <w:r>
        <w:rPr>
          <w:rFonts w:ascii="Book Antiqua"/>
          <w:b/>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view's</w:t>
      </w:r>
      <w:r>
        <w:rPr>
          <w:color w:val="231F20"/>
          <w:spacing w:val="11"/>
          <w:sz w:val="20"/>
        </w:rPr>
        <w:t> </w:t>
      </w:r>
      <w:r>
        <w:rPr>
          <w:color w:val="231F20"/>
          <w:spacing w:val="-2"/>
          <w:sz w:val="20"/>
        </w:rPr>
        <w:t>toolbar.</w:t>
      </w:r>
    </w:p>
    <w:p>
      <w:pPr>
        <w:pStyle w:val="ListParagraph"/>
        <w:numPr>
          <w:ilvl w:val="0"/>
          <w:numId w:val="96"/>
        </w:numPr>
        <w:tabs>
          <w:tab w:pos="2547" w:val="left" w:leader="none"/>
        </w:tabs>
        <w:spacing w:line="240" w:lineRule="auto" w:before="35" w:after="0"/>
        <w:ind w:left="2547" w:right="0" w:hanging="315"/>
        <w:jc w:val="left"/>
        <w:rPr>
          <w:sz w:val="20"/>
        </w:rPr>
      </w:pPr>
      <w:r>
        <w:rPr>
          <w:color w:val="231F20"/>
          <w:sz w:val="20"/>
        </w:rPr>
        <w:t>Select</w:t>
      </w:r>
      <w:r>
        <w:rPr>
          <w:color w:val="231F20"/>
          <w:spacing w:val="13"/>
          <w:sz w:val="20"/>
        </w:rPr>
        <w:t> </w:t>
      </w:r>
      <w:r>
        <w:rPr>
          <w:color w:val="231F20"/>
          <w:spacing w:val="16"/>
          <w:sz w:val="20"/>
        </w:rPr>
        <w:drawing>
          <wp:inline distT="0" distB="0" distL="0" distR="0">
            <wp:extent cx="88900" cy="82550"/>
            <wp:effectExtent l="0" t="0" r="0" b="0"/>
            <wp:docPr id="1875" name="Image 1875"/>
            <wp:cNvGraphicFramePr>
              <a:graphicFrameLocks/>
            </wp:cNvGraphicFramePr>
            <a:graphic>
              <a:graphicData uri="http://schemas.openxmlformats.org/drawingml/2006/picture">
                <pic:pic>
                  <pic:nvPicPr>
                    <pic:cNvPr id="1875" name="Image 187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46"/>
          <w:sz w:val="20"/>
        </w:rPr>
        <w:t> </w:t>
      </w:r>
      <w:r>
        <w:rPr>
          <w:rFonts w:ascii="Book Antiqua"/>
          <w:b/>
          <w:color w:val="231F20"/>
          <w:sz w:val="20"/>
        </w:rPr>
        <w:t>Real</w:t>
      </w:r>
      <w:r>
        <w:rPr>
          <w:rFonts w:ascii="Book Antiqua"/>
          <w:b/>
          <w:color w:val="231F20"/>
          <w:spacing w:val="13"/>
          <w:sz w:val="20"/>
        </w:rPr>
        <w:t> </w:t>
      </w:r>
      <w:r>
        <w:rPr>
          <w:rFonts w:ascii="Book Antiqua"/>
          <w:b/>
          <w:color w:val="231F20"/>
          <w:spacing w:val="-4"/>
          <w:sz w:val="20"/>
        </w:rPr>
        <w:t>time</w:t>
      </w:r>
      <w:r>
        <w:rPr>
          <w:color w:val="231F20"/>
          <w:spacing w:val="-4"/>
          <w:sz w:val="20"/>
        </w:rPr>
        <w:t>.</w:t>
      </w:r>
    </w:p>
    <w:p>
      <w:pPr>
        <w:pStyle w:val="ListParagraph"/>
        <w:numPr>
          <w:ilvl w:val="0"/>
          <w:numId w:val="96"/>
        </w:numPr>
        <w:tabs>
          <w:tab w:pos="2547" w:val="left" w:leader="none"/>
        </w:tabs>
        <w:spacing w:line="240" w:lineRule="auto" w:before="24" w:after="0"/>
        <w:ind w:left="2547" w:right="0" w:hanging="315"/>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Heading4"/>
        <w:spacing w:before="194"/>
      </w:pPr>
      <w:r>
        <w:rPr>
          <w:color w:val="231F20"/>
          <w:spacing w:val="-2"/>
        </w:rPr>
        <w:t>Results</w:t>
      </w:r>
    </w:p>
    <w:p>
      <w:pPr>
        <w:pStyle w:val="BodyText"/>
        <w:spacing w:line="213" w:lineRule="auto" w:before="242"/>
        <w:ind w:left="2232" w:right="545"/>
      </w:pPr>
      <w:r>
        <w:rPr>
          <w:color w:val="231F20"/>
        </w:rPr>
        <w:t>If this is a table view, the leftmost time stamp column is no longer displayed. The view now shows data from the current sampling only. The exception is views of attribute groups that are normally historical, such as the Situation Status and the Event Log: When </w:t>
      </w:r>
      <w:r>
        <w:rPr>
          <w:rFonts w:ascii="Book Antiqua"/>
          <w:b/>
          <w:color w:val="231F20"/>
        </w:rPr>
        <w:t>Real time </w:t>
      </w:r>
      <w:r>
        <w:rPr>
          <w:color w:val="231F20"/>
        </w:rPr>
        <w:t>is selected, attribute groups show all data they have collected, up to 2000 of the most recent entries.</w:t>
      </w:r>
    </w:p>
    <w:p>
      <w:pPr>
        <w:pStyle w:val="Heading6"/>
        <w:spacing w:line="240" w:lineRule="auto" w:before="33"/>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jc w:val="both"/>
      </w:pPr>
      <w:hyperlink w:history="true" w:anchor="_bookmark32">
        <w:r>
          <w:rPr>
            <w:color w:val="231F20"/>
          </w:rPr>
          <w:t>“Setting</w:t>
        </w:r>
        <w:r>
          <w:rPr>
            <w:color w:val="231F20"/>
            <w:spacing w:val="11"/>
          </w:rPr>
          <w:t> </w:t>
        </w:r>
        <w:r>
          <w:rPr>
            <w:color w:val="231F20"/>
          </w:rPr>
          <w:t>a</w:t>
        </w:r>
        <w:r>
          <w:rPr>
            <w:color w:val="231F20"/>
            <w:spacing w:val="12"/>
          </w:rPr>
          <w:t> </w:t>
        </w:r>
        <w:r>
          <w:rPr>
            <w:color w:val="231F20"/>
          </w:rPr>
          <w:t>time</w:t>
        </w:r>
        <w:r>
          <w:rPr>
            <w:color w:val="231F20"/>
            <w:spacing w:val="12"/>
          </w:rPr>
          <w:t> </w:t>
        </w:r>
        <w:r>
          <w:rPr>
            <w:color w:val="231F20"/>
          </w:rPr>
          <w:t>span</w:t>
        </w:r>
        <w:r>
          <w:rPr>
            <w:color w:val="231F20"/>
            <w:spacing w:val="12"/>
          </w:rPr>
          <w:t> </w:t>
        </w:r>
        <w:r>
          <w:rPr>
            <w:color w:val="231F20"/>
          </w:rPr>
          <w:t>to</w:t>
        </w:r>
        <w:r>
          <w:rPr>
            <w:color w:val="231F20"/>
            <w:spacing w:val="12"/>
          </w:rPr>
          <w:t> </w:t>
        </w:r>
        <w:r>
          <w:rPr>
            <w:color w:val="231F20"/>
          </w:rPr>
          <w:t>display”</w:t>
        </w:r>
        <w:r>
          <w:rPr>
            <w:color w:val="231F20"/>
            <w:spacing w:val="12"/>
          </w:rPr>
          <w:t> </w:t>
        </w:r>
        <w:r>
          <w:rPr>
            <w:color w:val="231F20"/>
          </w:rPr>
          <w:t>on</w:t>
        </w:r>
        <w:r>
          <w:rPr>
            <w:color w:val="231F20"/>
            <w:spacing w:val="12"/>
          </w:rPr>
          <w:t> </w:t>
        </w:r>
        <w:r>
          <w:rPr>
            <w:color w:val="231F20"/>
          </w:rPr>
          <w:t>page</w:t>
        </w:r>
        <w:r>
          <w:rPr>
            <w:color w:val="231F20"/>
            <w:spacing w:val="12"/>
          </w:rPr>
          <w:t> </w:t>
        </w:r>
        <w:r>
          <w:rPr>
            <w:color w:val="231F20"/>
            <w:spacing w:val="-5"/>
          </w:rPr>
          <w:t>42</w:t>
        </w:r>
      </w:hyperlink>
    </w:p>
    <w:p>
      <w:pPr>
        <w:pStyle w:val="BodyText"/>
        <w:spacing w:line="213" w:lineRule="auto" w:before="7"/>
        <w:ind w:left="2232" w:right="485"/>
        <w:jc w:val="both"/>
      </w:pPr>
      <w:r>
        <w:rPr>
          <w:color w:val="231F20"/>
        </w:rPr>
        <w:t>You can have the Tivoli Enterprise Portal log data samplings into history files or a database for display in a table or chart. These historical data enabled views have </w:t>
      </w:r>
      <w:r>
        <w:rPr>
          <w:color w:val="231F20"/>
        </w:rPr>
        <w:t>a tool for setting a range of previous data samples to be reported.</w:t>
      </w:r>
    </w:p>
    <w:p>
      <w:pPr>
        <w:pStyle w:val="BodyText"/>
        <w:spacing w:before="5"/>
        <w:rPr>
          <w:sz w:val="16"/>
        </w:rPr>
      </w:pPr>
      <w:r>
        <w:rPr/>
        <mc:AlternateContent>
          <mc:Choice Requires="wps">
            <w:drawing>
              <wp:anchor distT="0" distB="0" distL="0" distR="0" allowOverlap="1" layoutInCell="1" locked="0" behindDoc="1" simplePos="0" relativeHeight="487712256">
                <wp:simplePos x="0" y="0"/>
                <wp:positionH relativeFrom="page">
                  <wp:posOffset>760323</wp:posOffset>
                </wp:positionH>
                <wp:positionV relativeFrom="paragraph">
                  <wp:posOffset>155851</wp:posOffset>
                </wp:positionV>
                <wp:extent cx="6082665" cy="1270"/>
                <wp:effectExtent l="0" t="0" r="0" b="0"/>
                <wp:wrapTopAndBottom/>
                <wp:docPr id="1876" name="Graphic 1876"/>
                <wp:cNvGraphicFramePr>
                  <a:graphicFrameLocks/>
                </wp:cNvGraphicFramePr>
                <a:graphic>
                  <a:graphicData uri="http://schemas.microsoft.com/office/word/2010/wordprocessingShape">
                    <wps:wsp>
                      <wps:cNvPr id="1876" name="Graphic 187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71789pt;width:478.95pt;height:.1pt;mso-position-horizontal-relative:page;mso-position-vertical-relative:paragraph;z-index:-15604224;mso-wrap-distance-left:0;mso-wrap-distance-right:0" id="docshape187"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Turning on historical navigation mode" w:id="343"/>
      <w:bookmarkEnd w:id="343"/>
      <w:r>
        <w:rPr>
          <w:b w:val="0"/>
        </w:rPr>
      </w:r>
      <w:r>
        <w:rPr>
          <w:color w:val="231F20"/>
        </w:rPr>
        <w:t>Turning</w:t>
      </w:r>
      <w:r>
        <w:rPr>
          <w:color w:val="231F20"/>
          <w:spacing w:val="-1"/>
        </w:rPr>
        <w:t> </w:t>
      </w:r>
      <w:r>
        <w:rPr>
          <w:color w:val="231F20"/>
        </w:rPr>
        <w:t>on historical navigation</w:t>
      </w:r>
      <w:r>
        <w:rPr>
          <w:color w:val="231F20"/>
          <w:spacing w:val="-1"/>
        </w:rPr>
        <w:t> </w:t>
      </w:r>
      <w:r>
        <w:rPr>
          <w:color w:val="231F20"/>
          <w:spacing w:val="-4"/>
        </w:rPr>
        <w:t>mode</w:t>
      </w:r>
    </w:p>
    <w:p>
      <w:pPr>
        <w:pStyle w:val="BodyText"/>
        <w:spacing w:line="213" w:lineRule="auto" w:before="138"/>
        <w:ind w:left="2232" w:right="636"/>
      </w:pPr>
      <w:r>
        <w:rPr>
          <w:color w:val="231F20"/>
        </w:rPr>
        <w:t>Use historical navigation mode to synchronize workspaces and retain the </w:t>
      </w:r>
      <w:r>
        <w:rPr>
          <w:color w:val="231F20"/>
        </w:rPr>
        <w:t>same time period as you switch from one workspace to another.</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Whenever you open a workspace, the latest values are retrieved to the query-based views. Open or link to another workspace and the data is retrieved at a different time. For performance analysis, you can specify a time span to use for the workspaces that get opened. Historical navigation mode is easily started and stopped, and you can adjust the time span. Follow these steps to start historical navigation mode.</w:t>
      </w:r>
    </w:p>
    <w:p>
      <w:pPr>
        <w:spacing w:after="0" w:line="213" w:lineRule="auto"/>
        <w:sectPr>
          <w:pgSz w:w="12240" w:h="15840"/>
          <w:pgMar w:header="0" w:footer="736" w:top="1180" w:bottom="920" w:left="1000" w:right="1060"/>
        </w:sectPr>
      </w:pPr>
    </w:p>
    <w:p>
      <w:pPr>
        <w:pStyle w:val="Heading4"/>
        <w:spacing w:before="86"/>
        <w:ind w:left="2472"/>
      </w:pPr>
      <w:bookmarkStart w:name="_bookmark156" w:id="344"/>
      <w:bookmarkEnd w:id="344"/>
      <w:r>
        <w:rPr>
          <w:b w:val="0"/>
        </w:rPr>
      </w:r>
      <w:r>
        <w:rPr>
          <w:color w:val="231F20"/>
          <w:spacing w:val="-2"/>
        </w:rPr>
        <w:t>Procedure</w:t>
      </w:r>
    </w:p>
    <w:p>
      <w:pPr>
        <w:pStyle w:val="ListParagraph"/>
        <w:numPr>
          <w:ilvl w:val="1"/>
          <w:numId w:val="96"/>
        </w:numPr>
        <w:tabs>
          <w:tab w:pos="2853" w:val="left" w:leader="none"/>
        </w:tabs>
        <w:spacing w:line="240" w:lineRule="auto" w:before="39" w:after="0"/>
        <w:ind w:left="2853" w:right="0" w:hanging="381"/>
        <w:jc w:val="both"/>
        <w:rPr>
          <w:sz w:val="20"/>
        </w:rPr>
      </w:pPr>
      <w:r>
        <w:rPr>
          <w:color w:val="231F20"/>
          <w:sz w:val="20"/>
        </w:rPr>
        <w:t>Do</w:t>
      </w:r>
      <w:r>
        <w:rPr>
          <w:color w:val="231F20"/>
          <w:spacing w:val="12"/>
          <w:sz w:val="20"/>
        </w:rPr>
        <w:t> </w:t>
      </w:r>
      <w:r>
        <w:rPr>
          <w:color w:val="231F20"/>
          <w:sz w:val="20"/>
        </w:rPr>
        <w:t>either</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pacing w:val="-2"/>
          <w:sz w:val="20"/>
        </w:rPr>
        <w:t>following:</w:t>
      </w:r>
    </w:p>
    <w:p>
      <w:pPr>
        <w:spacing w:before="29"/>
        <w:ind w:left="2788" w:right="0" w:firstLine="0"/>
        <w:jc w:val="both"/>
        <w:rPr>
          <w:sz w:val="20"/>
        </w:rPr>
      </w:pPr>
      <w:r>
        <w:rPr>
          <w:rFonts w:ascii="Futura MdCn BT"/>
          <w:color w:val="231F20"/>
          <w:sz w:val="20"/>
        </w:rPr>
        <w:t>v</w:t>
      </w:r>
      <w:r>
        <w:rPr>
          <w:rFonts w:ascii="Futura MdCn BT"/>
          <w:color w:val="231F20"/>
          <w:spacing w:val="32"/>
          <w:sz w:val="20"/>
        </w:rPr>
        <w:t>  </w:t>
      </w:r>
      <w:r>
        <w:rPr>
          <w:color w:val="231F20"/>
          <w:sz w:val="20"/>
        </w:rPr>
        <w:t>Click</w:t>
      </w:r>
      <w:r>
        <w:rPr>
          <w:color w:val="231F20"/>
          <w:spacing w:val="22"/>
          <w:sz w:val="20"/>
        </w:rPr>
        <w:t> </w:t>
      </w:r>
      <w:r>
        <w:rPr>
          <w:color w:val="231F20"/>
          <w:spacing w:val="-24"/>
          <w:position w:val="-1"/>
          <w:sz w:val="20"/>
        </w:rPr>
        <w:drawing>
          <wp:inline distT="0" distB="0" distL="0" distR="0">
            <wp:extent cx="95250" cy="95250"/>
            <wp:effectExtent l="0" t="0" r="0" b="0"/>
            <wp:docPr id="1877" name="Image 1877"/>
            <wp:cNvGraphicFramePr>
              <a:graphicFrameLocks/>
            </wp:cNvGraphicFramePr>
            <a:graphic>
              <a:graphicData uri="http://schemas.openxmlformats.org/drawingml/2006/picture">
                <pic:pic>
                  <pic:nvPicPr>
                    <pic:cNvPr id="1877" name="Image 1877"/>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Set</w:t>
      </w:r>
      <w:r>
        <w:rPr>
          <w:rFonts w:ascii="Book Antiqua"/>
          <w:b/>
          <w:color w:val="231F20"/>
          <w:spacing w:val="13"/>
          <w:sz w:val="20"/>
        </w:rPr>
        <w:t> </w:t>
      </w:r>
      <w:r>
        <w:rPr>
          <w:rFonts w:ascii="Book Antiqua"/>
          <w:b/>
          <w:color w:val="231F20"/>
          <w:sz w:val="20"/>
        </w:rPr>
        <w:t>historical</w:t>
      </w:r>
      <w:r>
        <w:rPr>
          <w:rFonts w:ascii="Book Antiqua"/>
          <w:b/>
          <w:color w:val="231F20"/>
          <w:spacing w:val="13"/>
          <w:sz w:val="20"/>
        </w:rPr>
        <w:t> </w:t>
      </w:r>
      <w:r>
        <w:rPr>
          <w:rFonts w:ascii="Book Antiqua"/>
          <w:b/>
          <w:color w:val="231F20"/>
          <w:sz w:val="20"/>
        </w:rPr>
        <w:t>navigation</w:t>
      </w:r>
      <w:r>
        <w:rPr>
          <w:rFonts w:ascii="Book Antiqua"/>
          <w:b/>
          <w:color w:val="231F20"/>
          <w:spacing w:val="12"/>
          <w:sz w:val="20"/>
        </w:rPr>
        <w:t> </w:t>
      </w:r>
      <w:r>
        <w:rPr>
          <w:rFonts w:ascii="Book Antiqua"/>
          <w:b/>
          <w:color w:val="231F20"/>
          <w:sz w:val="20"/>
        </w:rPr>
        <w:t>mode</w:t>
      </w:r>
      <w:r>
        <w:rPr>
          <w:rFonts w:ascii="Book Antiqua"/>
          <w:b/>
          <w:color w:val="231F20"/>
          <w:spacing w:val="13"/>
          <w:sz w:val="20"/>
        </w:rPr>
        <w:t> </w:t>
      </w:r>
      <w:r>
        <w:rPr>
          <w:color w:val="231F20"/>
          <w:sz w:val="20"/>
        </w:rPr>
        <w:t>at</w:t>
      </w:r>
      <w:r>
        <w:rPr>
          <w:color w:val="231F20"/>
          <w:spacing w:val="13"/>
          <w:sz w:val="20"/>
        </w:rPr>
        <w:t> </w:t>
      </w:r>
      <w:r>
        <w:rPr>
          <w:color w:val="231F20"/>
          <w:sz w:val="20"/>
        </w:rPr>
        <w:t>the</w:t>
      </w:r>
      <w:r>
        <w:rPr>
          <w:color w:val="231F20"/>
          <w:spacing w:val="12"/>
          <w:sz w:val="20"/>
        </w:rPr>
        <w:t> </w:t>
      </w:r>
      <w:r>
        <w:rPr>
          <w:color w:val="231F20"/>
          <w:sz w:val="20"/>
        </w:rPr>
        <w:t>end</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main</w:t>
      </w:r>
      <w:r>
        <w:rPr>
          <w:color w:val="231F20"/>
          <w:spacing w:val="13"/>
          <w:sz w:val="20"/>
        </w:rPr>
        <w:t> </w:t>
      </w:r>
      <w:r>
        <w:rPr>
          <w:color w:val="231F20"/>
          <w:spacing w:val="-2"/>
          <w:sz w:val="20"/>
        </w:rPr>
        <w:t>toolbar.</w:t>
      </w:r>
    </w:p>
    <w:p>
      <w:pPr>
        <w:pStyle w:val="BodyText"/>
        <w:spacing w:line="213" w:lineRule="auto" w:before="53"/>
        <w:ind w:left="3004" w:right="362" w:hanging="216"/>
        <w:jc w:val="both"/>
      </w:pPr>
      <w:r>
        <w:rPr>
          <w:rFonts w:ascii="Futura MdCn BT"/>
          <w:color w:val="231F20"/>
        </w:rPr>
        <w:t>v</w:t>
      </w:r>
      <w:r>
        <w:rPr>
          <w:rFonts w:ascii="Futura MdCn BT"/>
          <w:color w:val="231F20"/>
          <w:spacing w:val="80"/>
        </w:rPr>
        <w:t> </w:t>
      </w:r>
      <w:r>
        <w:rPr>
          <w:color w:val="231F20"/>
        </w:rPr>
        <w:t>Click </w:t>
      </w:r>
      <w:r>
        <w:rPr>
          <w:color w:val="231F20"/>
          <w:spacing w:val="-24"/>
          <w:position w:val="-1"/>
        </w:rPr>
        <w:drawing>
          <wp:inline distT="0" distB="0" distL="0" distR="0">
            <wp:extent cx="95250" cy="95250"/>
            <wp:effectExtent l="0" t="0" r="0" b="0"/>
            <wp:docPr id="1878" name="Image 1878"/>
            <wp:cNvGraphicFramePr>
              <a:graphicFrameLocks/>
            </wp:cNvGraphicFramePr>
            <a:graphic>
              <a:graphicData uri="http://schemas.openxmlformats.org/drawingml/2006/picture">
                <pic:pic>
                  <pic:nvPicPr>
                    <pic:cNvPr id="1878" name="Image 1878"/>
                    <pic:cNvPicPr/>
                  </pic:nvPicPr>
                  <pic:blipFill>
                    <a:blip r:embed="rId61"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0"/>
        </w:rPr>
        <w:t> </w:t>
      </w:r>
      <w:r>
        <w:rPr>
          <w:rFonts w:ascii="Book Antiqua"/>
          <w:b/>
          <w:color w:val="231F20"/>
        </w:rPr>
        <w:t>Select time span </w:t>
      </w:r>
      <w:r>
        <w:rPr>
          <w:color w:val="231F20"/>
        </w:rPr>
        <w:t>in the view toolbar. The time span tool shows for views of attribute groups that historical data collection has been </w:t>
      </w:r>
      <w:r>
        <w:rPr>
          <w:color w:val="231F20"/>
        </w:rPr>
        <w:t>configured</w:t>
      </w:r>
      <w:r>
        <w:rPr>
          <w:color w:val="231F20"/>
        </w:rPr>
        <w:t> for and started or that are historical in nature.</w:t>
      </w:r>
    </w:p>
    <w:p>
      <w:pPr>
        <w:pStyle w:val="ListParagraph"/>
        <w:numPr>
          <w:ilvl w:val="1"/>
          <w:numId w:val="96"/>
        </w:numPr>
        <w:tabs>
          <w:tab w:pos="2787" w:val="left" w:leader="none"/>
        </w:tabs>
        <w:spacing w:line="240" w:lineRule="auto" w:before="35" w:after="0"/>
        <w:ind w:left="2787" w:right="0" w:hanging="315"/>
        <w:jc w:val="both"/>
        <w:rPr>
          <w:sz w:val="20"/>
        </w:rPr>
      </w:pPr>
      <w:r>
        <w:rPr>
          <w:color w:val="231F20"/>
          <w:sz w:val="20"/>
        </w:rPr>
        <w:t>Set</w:t>
      </w:r>
      <w:r>
        <w:rPr>
          <w:color w:val="231F20"/>
          <w:spacing w:val="12"/>
          <w:sz w:val="20"/>
        </w:rPr>
        <w:t> </w:t>
      </w:r>
      <w:r>
        <w:rPr>
          <w:color w:val="231F20"/>
          <w:sz w:val="20"/>
        </w:rPr>
        <w:t>the</w:t>
      </w:r>
      <w:r>
        <w:rPr>
          <w:color w:val="231F20"/>
          <w:spacing w:val="13"/>
          <w:sz w:val="20"/>
        </w:rPr>
        <w:t> </w:t>
      </w:r>
      <w:r>
        <w:rPr>
          <w:color w:val="231F20"/>
          <w:sz w:val="20"/>
        </w:rPr>
        <w:t>time</w:t>
      </w:r>
      <w:r>
        <w:rPr>
          <w:color w:val="231F20"/>
          <w:spacing w:val="13"/>
          <w:sz w:val="20"/>
        </w:rPr>
        <w:t> </w:t>
      </w:r>
      <w:r>
        <w:rPr>
          <w:color w:val="231F20"/>
          <w:spacing w:val="-2"/>
          <w:sz w:val="20"/>
        </w:rPr>
        <w:t>span.</w:t>
      </w:r>
    </w:p>
    <w:p>
      <w:pPr>
        <w:pStyle w:val="Heading6"/>
        <w:numPr>
          <w:ilvl w:val="1"/>
          <w:numId w:val="96"/>
        </w:numPr>
        <w:tabs>
          <w:tab w:pos="2787" w:val="left" w:leader="none"/>
        </w:tabs>
        <w:spacing w:line="240" w:lineRule="auto" w:before="34" w:after="0"/>
        <w:ind w:left="2787" w:right="0" w:hanging="315"/>
        <w:jc w:val="left"/>
        <w:rPr>
          <w:rFonts w:ascii="Palatino Linotype"/>
          <w:b w:val="0"/>
        </w:rPr>
      </w:pPr>
      <w:r>
        <w:rPr>
          <w:rFonts w:ascii="Palatino Linotype"/>
          <w:b w:val="0"/>
          <w:color w:val="231F20"/>
        </w:rPr>
        <w:t>Select</w:t>
      </w:r>
      <w:r>
        <w:rPr>
          <w:rFonts w:ascii="Palatino Linotype"/>
          <w:b w:val="0"/>
          <w:color w:val="231F20"/>
          <w:spacing w:val="11"/>
        </w:rPr>
        <w:t> </w:t>
      </w:r>
      <w:r>
        <w:rPr>
          <w:rFonts w:ascii="Palatino Linotype"/>
          <w:b w:val="0"/>
          <w:color w:val="231F20"/>
          <w:spacing w:val="16"/>
        </w:rPr>
        <w:drawing>
          <wp:inline distT="0" distB="0" distL="0" distR="0">
            <wp:extent cx="82550" cy="82550"/>
            <wp:effectExtent l="0" t="0" r="0" b="0"/>
            <wp:docPr id="1879" name="Image 1879"/>
            <wp:cNvGraphicFramePr>
              <a:graphicFrameLocks/>
            </wp:cNvGraphicFramePr>
            <a:graphic>
              <a:graphicData uri="http://schemas.openxmlformats.org/drawingml/2006/picture">
                <pic:pic>
                  <pic:nvPicPr>
                    <pic:cNvPr id="1879" name="Image 1879"/>
                    <pic:cNvPicPr/>
                  </pic:nvPicPr>
                  <pic:blipFill>
                    <a:blip r:embed="rId87" cstate="print"/>
                    <a:stretch>
                      <a:fillRect/>
                    </a:stretch>
                  </pic:blipFill>
                  <pic:spPr>
                    <a:xfrm>
                      <a:off x="0" y="0"/>
                      <a:ext cx="82550" cy="82550"/>
                    </a:xfrm>
                    <a:prstGeom prst="rect">
                      <a:avLst/>
                    </a:prstGeom>
                  </pic:spPr>
                </pic:pic>
              </a:graphicData>
            </a:graphic>
          </wp:inline>
        </w:drawing>
      </w:r>
      <w:r>
        <w:rPr>
          <w:rFonts w:ascii="Palatino Linotype"/>
          <w:b w:val="0"/>
          <w:color w:val="231F20"/>
          <w:spacing w:val="16"/>
        </w:rPr>
      </w:r>
      <w:r>
        <w:rPr>
          <w:rFonts w:ascii="Times New Roman"/>
          <w:b w:val="0"/>
          <w:color w:val="231F20"/>
          <w:spacing w:val="-10"/>
        </w:rPr>
        <w:t> </w:t>
      </w:r>
      <w:r>
        <w:rPr>
          <w:color w:val="231F20"/>
        </w:rPr>
        <w:t>Lock</w:t>
      </w:r>
      <w:r>
        <w:rPr>
          <w:color w:val="231F20"/>
          <w:spacing w:val="12"/>
        </w:rPr>
        <w:t> </w:t>
      </w:r>
      <w:r>
        <w:rPr>
          <w:color w:val="231F20"/>
        </w:rPr>
        <w:t>time</w:t>
      </w:r>
      <w:r>
        <w:rPr>
          <w:color w:val="231F20"/>
          <w:spacing w:val="11"/>
        </w:rPr>
        <w:t> </w:t>
      </w:r>
      <w:r>
        <w:rPr>
          <w:color w:val="231F20"/>
        </w:rPr>
        <w:t>span</w:t>
      </w:r>
      <w:r>
        <w:rPr>
          <w:color w:val="231F20"/>
          <w:spacing w:val="12"/>
        </w:rPr>
        <w:t> </w:t>
      </w:r>
      <w:r>
        <w:rPr>
          <w:color w:val="231F20"/>
        </w:rPr>
        <w:t>for</w:t>
      </w:r>
      <w:r>
        <w:rPr>
          <w:color w:val="231F20"/>
          <w:spacing w:val="11"/>
        </w:rPr>
        <w:t> </w:t>
      </w:r>
      <w:r>
        <w:rPr>
          <w:color w:val="231F20"/>
        </w:rPr>
        <w:t>Historical</w:t>
      </w:r>
      <w:r>
        <w:rPr>
          <w:color w:val="231F20"/>
          <w:spacing w:val="12"/>
        </w:rPr>
        <w:t> </w:t>
      </w:r>
      <w:r>
        <w:rPr>
          <w:color w:val="231F20"/>
          <w:spacing w:val="-2"/>
        </w:rPr>
        <w:t>Navigation</w:t>
      </w:r>
      <w:r>
        <w:rPr>
          <w:rFonts w:ascii="Palatino Linotype"/>
          <w:b w:val="0"/>
          <w:color w:val="231F20"/>
          <w:spacing w:val="-2"/>
        </w:rPr>
        <w:t>.</w:t>
      </w:r>
    </w:p>
    <w:p>
      <w:pPr>
        <w:pStyle w:val="ListParagraph"/>
        <w:numPr>
          <w:ilvl w:val="1"/>
          <w:numId w:val="96"/>
        </w:numPr>
        <w:tabs>
          <w:tab w:pos="2788" w:val="left" w:leader="none"/>
        </w:tabs>
        <w:spacing w:line="218" w:lineRule="auto" w:before="44" w:after="0"/>
        <w:ind w:left="2788" w:right="519" w:hanging="316"/>
        <w:jc w:val="left"/>
        <w:rPr>
          <w:sz w:val="20"/>
        </w:rPr>
      </w:pPr>
      <w:r>
        <w:rPr>
          <w:color w:val="231F20"/>
          <w:sz w:val="20"/>
        </w:rPr>
        <w:t>If you want to base the time span on the Hub monitoring server's clock and</w:t>
      </w:r>
      <w:r>
        <w:rPr>
          <w:color w:val="231F20"/>
          <w:spacing w:val="40"/>
          <w:sz w:val="20"/>
        </w:rPr>
        <w:t> </w:t>
      </w:r>
      <w:r>
        <w:rPr>
          <w:color w:val="231F20"/>
          <w:sz w:val="20"/>
        </w:rPr>
        <w:t>time zone, select </w:t>
      </w:r>
      <w:r>
        <w:rPr>
          <w:color w:val="231F20"/>
          <w:spacing w:val="16"/>
          <w:sz w:val="20"/>
        </w:rPr>
        <w:drawing>
          <wp:inline distT="0" distB="0" distL="0" distR="0">
            <wp:extent cx="82550" cy="82550"/>
            <wp:effectExtent l="0" t="0" r="0" b="0"/>
            <wp:docPr id="1880" name="Image 1880"/>
            <wp:cNvGraphicFramePr>
              <a:graphicFrameLocks/>
            </wp:cNvGraphicFramePr>
            <a:graphic>
              <a:graphicData uri="http://schemas.openxmlformats.org/drawingml/2006/picture">
                <pic:pic>
                  <pic:nvPicPr>
                    <pic:cNvPr id="1880" name="Image 188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Use Hub time</w:t>
      </w:r>
      <w:r>
        <w:rPr>
          <w:color w:val="231F20"/>
          <w:sz w:val="20"/>
        </w:rPr>
        <w:t>.</w:t>
      </w:r>
    </w:p>
    <w:p>
      <w:pPr>
        <w:pStyle w:val="ListParagraph"/>
        <w:numPr>
          <w:ilvl w:val="1"/>
          <w:numId w:val="96"/>
        </w:numPr>
        <w:tabs>
          <w:tab w:pos="2788" w:val="left" w:leader="none"/>
        </w:tabs>
        <w:spacing w:line="213" w:lineRule="auto" w:before="52" w:after="0"/>
        <w:ind w:left="2788" w:right="213" w:hanging="316"/>
        <w:jc w:val="left"/>
        <w:rPr>
          <w:sz w:val="20"/>
        </w:rPr>
      </w:pPr>
      <w:r>
        <w:rPr>
          <w:color w:val="231F20"/>
          <w:sz w:val="20"/>
        </w:rPr>
        <w:t>Click </w:t>
      </w:r>
      <w:r>
        <w:rPr>
          <w:rFonts w:ascii="Book Antiqua"/>
          <w:b/>
          <w:color w:val="231F20"/>
          <w:sz w:val="20"/>
        </w:rPr>
        <w:t>OK</w:t>
      </w:r>
      <w:r>
        <w:rPr>
          <w:color w:val="231F20"/>
          <w:sz w:val="20"/>
        </w:rPr>
        <w:t>. From now on, workspaces that are opened will display data</w:t>
      </w:r>
      <w:r>
        <w:rPr>
          <w:color w:val="231F20"/>
          <w:spacing w:val="80"/>
          <w:sz w:val="20"/>
        </w:rPr>
        <w:t> </w:t>
      </w:r>
      <w:r>
        <w:rPr>
          <w:color w:val="231F20"/>
          <w:sz w:val="20"/>
        </w:rPr>
        <w:t>according to the time span settings, as indicated by the appearance of the </w:t>
      </w:r>
      <w:r>
        <w:rPr>
          <w:color w:val="231F20"/>
          <w:sz w:val="20"/>
        </w:rPr>
        <w:t>Reset historical navigation mode tool. The status bar also shows an indicator of the time span.</w:t>
      </w:r>
    </w:p>
    <w:p>
      <w:pPr>
        <w:pStyle w:val="ListParagraph"/>
        <w:numPr>
          <w:ilvl w:val="1"/>
          <w:numId w:val="96"/>
        </w:numPr>
        <w:tabs>
          <w:tab w:pos="2788" w:val="left" w:leader="none"/>
        </w:tabs>
        <w:spacing w:line="213" w:lineRule="auto" w:before="57" w:after="0"/>
        <w:ind w:left="2788" w:right="581" w:hanging="316"/>
        <w:jc w:val="left"/>
        <w:rPr>
          <w:sz w:val="20"/>
        </w:rPr>
      </w:pPr>
      <w:r>
        <w:rPr>
          <w:color w:val="231F20"/>
          <w:sz w:val="20"/>
        </w:rPr>
        <w:t>When you are ready to deactivate historical navigation mode, click </w:t>
      </w:r>
      <w:r>
        <w:rPr>
          <w:color w:val="231F20"/>
          <w:spacing w:val="15"/>
          <w:position w:val="-1"/>
          <w:sz w:val="20"/>
        </w:rPr>
        <w:drawing>
          <wp:inline distT="0" distB="0" distL="0" distR="0">
            <wp:extent cx="101600" cy="101600"/>
            <wp:effectExtent l="0" t="0" r="0" b="0"/>
            <wp:docPr id="1881" name="Image 1881"/>
            <wp:cNvGraphicFramePr>
              <a:graphicFrameLocks/>
            </wp:cNvGraphicFramePr>
            <a:graphic>
              <a:graphicData uri="http://schemas.openxmlformats.org/drawingml/2006/picture">
                <pic:pic>
                  <pic:nvPicPr>
                    <pic:cNvPr id="1881" name="Image 1881"/>
                    <pic:cNvPicPr/>
                  </pic:nvPicPr>
                  <pic:blipFill>
                    <a:blip r:embed="rId347"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Reset historical navigation mode</w:t>
      </w:r>
      <w:r>
        <w:rPr>
          <w:color w:val="231F20"/>
          <w:sz w:val="20"/>
        </w:rPr>
        <w:t>, then clear </w:t>
      </w:r>
      <w:r>
        <w:rPr>
          <w:color w:val="231F20"/>
          <w:spacing w:val="15"/>
          <w:sz w:val="20"/>
        </w:rPr>
        <w:drawing>
          <wp:inline distT="0" distB="0" distL="0" distR="0">
            <wp:extent cx="82550" cy="82550"/>
            <wp:effectExtent l="0" t="0" r="0" b="0"/>
            <wp:docPr id="1882" name="Image 1882"/>
            <wp:cNvGraphicFramePr>
              <a:graphicFrameLocks/>
            </wp:cNvGraphicFramePr>
            <a:graphic>
              <a:graphicData uri="http://schemas.openxmlformats.org/drawingml/2006/picture">
                <pic:pic>
                  <pic:nvPicPr>
                    <pic:cNvPr id="1882" name="Image 188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
          <w:sz w:val="20"/>
        </w:rPr>
        <w:t> </w:t>
      </w:r>
      <w:r>
        <w:rPr>
          <w:rFonts w:ascii="Book Antiqua"/>
          <w:b/>
          <w:color w:val="231F20"/>
          <w:sz w:val="20"/>
        </w:rPr>
        <w:t>Lock time span for Historical </w:t>
      </w:r>
      <w:r>
        <w:rPr>
          <w:rFonts w:ascii="Book Antiqua"/>
          <w:b/>
          <w:color w:val="231F20"/>
          <w:spacing w:val="-2"/>
          <w:sz w:val="20"/>
        </w:rPr>
        <w:t>Navigation</w:t>
      </w:r>
      <w:r>
        <w:rPr>
          <w:color w:val="231F20"/>
          <w:spacing w:val="-2"/>
          <w:sz w:val="20"/>
        </w:rPr>
        <w:t>.</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169"/>
      </w:pPr>
      <w:r>
        <w:rPr>
          <w:color w:val="231F20"/>
        </w:rPr>
        <w:t>Not all workspace views are able to display a time span or the range that you have</w:t>
      </w:r>
      <w:r>
        <w:rPr>
          <w:color w:val="231F20"/>
          <w:spacing w:val="40"/>
        </w:rPr>
        <w:t> </w:t>
      </w:r>
      <w:r>
        <w:rPr>
          <w:color w:val="231F20"/>
        </w:rPr>
        <w:t>specified.</w:t>
      </w:r>
      <w:r>
        <w:rPr>
          <w:color w:val="231F20"/>
          <w:spacing w:val="26"/>
        </w:rPr>
        <w:t> </w:t>
      </w:r>
      <w:r>
        <w:rPr>
          <w:color w:val="231F20"/>
        </w:rPr>
        <w:t>In</w:t>
      </w:r>
      <w:r>
        <w:rPr>
          <w:color w:val="231F20"/>
          <w:spacing w:val="26"/>
        </w:rPr>
        <w:t> </w:t>
      </w:r>
      <w:r>
        <w:rPr>
          <w:color w:val="231F20"/>
        </w:rPr>
        <w:t>this</w:t>
      </w:r>
      <w:r>
        <w:rPr>
          <w:color w:val="231F20"/>
          <w:spacing w:val="26"/>
        </w:rPr>
        <w:t> </w:t>
      </w:r>
      <w:r>
        <w:rPr>
          <w:color w:val="231F20"/>
        </w:rPr>
        <w:t>case,</w:t>
      </w:r>
      <w:r>
        <w:rPr>
          <w:color w:val="231F20"/>
          <w:spacing w:val="26"/>
        </w:rPr>
        <w:t> </w:t>
      </w:r>
      <w:r>
        <w:rPr>
          <w:color w:val="231F20"/>
        </w:rPr>
        <w:t>no</w:t>
      </w:r>
      <w:r>
        <w:rPr>
          <w:color w:val="231F20"/>
          <w:spacing w:val="26"/>
        </w:rPr>
        <w:t> </w:t>
      </w:r>
      <w:r>
        <w:rPr>
          <w:color w:val="231F20"/>
        </w:rPr>
        <w:t>values</w:t>
      </w:r>
      <w:r>
        <w:rPr>
          <w:color w:val="231F20"/>
          <w:spacing w:val="26"/>
        </w:rPr>
        <w:t> </w:t>
      </w:r>
      <w:r>
        <w:rPr>
          <w:color w:val="231F20"/>
        </w:rPr>
        <w:t>are</w:t>
      </w:r>
      <w:r>
        <w:rPr>
          <w:color w:val="231F20"/>
          <w:spacing w:val="26"/>
        </w:rPr>
        <w:t> </w:t>
      </w:r>
      <w:r>
        <w:rPr>
          <w:color w:val="231F20"/>
        </w:rPr>
        <w:t>displayed</w:t>
      </w:r>
      <w:r>
        <w:rPr>
          <w:color w:val="231F20"/>
          <w:spacing w:val="26"/>
        </w:rPr>
        <w:t> </w:t>
      </w:r>
      <w:r>
        <w:rPr>
          <w:color w:val="231F20"/>
        </w:rPr>
        <w:t>and</w:t>
      </w:r>
      <w:r>
        <w:rPr>
          <w:color w:val="231F20"/>
          <w:spacing w:val="26"/>
        </w:rPr>
        <w:t> </w:t>
      </w:r>
      <w:r>
        <w:rPr>
          <w:color w:val="231F20"/>
        </w:rPr>
        <w:t>a</w:t>
      </w:r>
      <w:r>
        <w:rPr>
          <w:color w:val="231F20"/>
          <w:spacing w:val="26"/>
        </w:rPr>
        <w:t> </w:t>
      </w:r>
      <w:r>
        <w:rPr>
          <w:color w:val="231F20"/>
        </w:rPr>
        <w:t>message</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view's</w:t>
      </w:r>
      <w:r>
        <w:rPr>
          <w:color w:val="231F20"/>
          <w:spacing w:val="26"/>
        </w:rPr>
        <w:t> </w:t>
      </w:r>
      <w:r>
        <w:rPr>
          <w:color w:val="231F20"/>
        </w:rPr>
        <w:t>status bar</w:t>
      </w:r>
      <w:r>
        <w:rPr>
          <w:color w:val="231F20"/>
          <w:spacing w:val="26"/>
        </w:rPr>
        <w:t> </w:t>
      </w:r>
      <w:r>
        <w:rPr>
          <w:color w:val="231F20"/>
        </w:rPr>
        <w:t>says</w:t>
      </w:r>
      <w:r>
        <w:rPr>
          <w:color w:val="231F20"/>
          <w:spacing w:val="26"/>
        </w:rPr>
        <w:t> </w:t>
      </w:r>
      <w:r>
        <w:rPr>
          <w:color w:val="231F20"/>
        </w:rPr>
        <w:t>that</w:t>
      </w:r>
      <w:r>
        <w:rPr>
          <w:color w:val="231F20"/>
          <w:spacing w:val="26"/>
        </w:rPr>
        <w:t> </w:t>
      </w:r>
      <w:r>
        <w:rPr>
          <w:color w:val="231F20"/>
        </w:rPr>
        <w:t>the</w:t>
      </w:r>
      <w:r>
        <w:rPr>
          <w:color w:val="231F20"/>
          <w:spacing w:val="26"/>
        </w:rPr>
        <w:t> </w:t>
      </w:r>
      <w:r>
        <w:rPr>
          <w:color w:val="231F20"/>
        </w:rPr>
        <w:t>query</w:t>
      </w:r>
      <w:r>
        <w:rPr>
          <w:color w:val="231F20"/>
          <w:spacing w:val="26"/>
        </w:rPr>
        <w:t> </w:t>
      </w:r>
      <w:r>
        <w:rPr>
          <w:color w:val="231F20"/>
        </w:rPr>
        <w:t>assigned</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view</w:t>
      </w:r>
      <w:r>
        <w:rPr>
          <w:color w:val="231F20"/>
          <w:spacing w:val="26"/>
        </w:rPr>
        <w:t> </w:t>
      </w:r>
      <w:r>
        <w:rPr>
          <w:color w:val="231F20"/>
        </w:rPr>
        <w:t>does</w:t>
      </w:r>
      <w:r>
        <w:rPr>
          <w:color w:val="231F20"/>
          <w:spacing w:val="26"/>
        </w:rPr>
        <w:t> </w:t>
      </w:r>
      <w:r>
        <w:rPr>
          <w:color w:val="231F20"/>
        </w:rPr>
        <w:t>not</w:t>
      </w:r>
      <w:r>
        <w:rPr>
          <w:color w:val="231F20"/>
          <w:spacing w:val="26"/>
        </w:rPr>
        <w:t> </w:t>
      </w:r>
      <w:r>
        <w:rPr>
          <w:color w:val="231F20"/>
        </w:rPr>
        <w:t>support</w:t>
      </w:r>
      <w:r>
        <w:rPr>
          <w:color w:val="231F20"/>
          <w:spacing w:val="26"/>
        </w:rPr>
        <w:t> </w:t>
      </w:r>
      <w:r>
        <w:rPr>
          <w:color w:val="231F20"/>
        </w:rPr>
        <w:t>a</w:t>
      </w:r>
      <w:r>
        <w:rPr>
          <w:color w:val="231F20"/>
          <w:spacing w:val="26"/>
        </w:rPr>
        <w:t> </w:t>
      </w:r>
      <w:r>
        <w:rPr>
          <w:color w:val="231F20"/>
        </w:rPr>
        <w:t>historical</w:t>
      </w:r>
      <w:r>
        <w:rPr>
          <w:color w:val="231F20"/>
          <w:spacing w:val="26"/>
        </w:rPr>
        <w:t> </w:t>
      </w:r>
      <w:r>
        <w:rPr>
          <w:color w:val="231F20"/>
        </w:rPr>
        <w:t>time range. It is likely that historical data collection has not been configured for the attribute group shown in the view or there is no historical data to report. Exit historical navigation mode to remove this message. To see historical data in this</w:t>
      </w:r>
      <w:r>
        <w:rPr>
          <w:color w:val="231F20"/>
          <w:spacing w:val="40"/>
        </w:rPr>
        <w:t> </w:t>
      </w:r>
      <w:r>
        <w:rPr>
          <w:color w:val="231F20"/>
        </w:rPr>
        <w:t>view, you must first configure historical data collection for the attribute group referenced</w:t>
      </w:r>
      <w:r>
        <w:rPr>
          <w:color w:val="231F20"/>
          <w:spacing w:val="24"/>
        </w:rPr>
        <w:t> </w:t>
      </w:r>
      <w:r>
        <w:rPr>
          <w:color w:val="231F20"/>
        </w:rPr>
        <w:t>by</w:t>
      </w:r>
      <w:r>
        <w:rPr>
          <w:color w:val="231F20"/>
          <w:spacing w:val="24"/>
        </w:rPr>
        <w:t> </w:t>
      </w:r>
      <w:r>
        <w:rPr>
          <w:color w:val="231F20"/>
        </w:rPr>
        <w:t>the</w:t>
      </w:r>
      <w:r>
        <w:rPr>
          <w:color w:val="231F20"/>
          <w:spacing w:val="24"/>
        </w:rPr>
        <w:t> </w:t>
      </w:r>
      <w:r>
        <w:rPr>
          <w:color w:val="231F20"/>
        </w:rPr>
        <w:t>query,</w:t>
      </w:r>
      <w:r>
        <w:rPr>
          <w:color w:val="231F20"/>
          <w:spacing w:val="24"/>
        </w:rPr>
        <w:t> </w:t>
      </w:r>
      <w:r>
        <w:rPr>
          <w:color w:val="231F20"/>
        </w:rPr>
        <w:t>then</w:t>
      </w:r>
      <w:r>
        <w:rPr>
          <w:color w:val="231F20"/>
          <w:spacing w:val="24"/>
        </w:rPr>
        <w:t> </w:t>
      </w:r>
      <w:r>
        <w:rPr>
          <w:color w:val="231F20"/>
        </w:rPr>
        <w:t>start</w:t>
      </w:r>
      <w:r>
        <w:rPr>
          <w:color w:val="231F20"/>
          <w:spacing w:val="24"/>
        </w:rPr>
        <w:t> </w:t>
      </w:r>
      <w:r>
        <w:rPr>
          <w:color w:val="231F20"/>
        </w:rPr>
        <w:t>collection</w:t>
      </w:r>
      <w:r>
        <w:rPr>
          <w:color w:val="231F20"/>
          <w:spacing w:val="24"/>
        </w:rPr>
        <w:t> </w:t>
      </w:r>
      <w:r>
        <w:rPr>
          <w:color w:val="231F20"/>
        </w:rPr>
        <w:t>and</w:t>
      </w:r>
      <w:r>
        <w:rPr>
          <w:color w:val="231F20"/>
          <w:spacing w:val="24"/>
        </w:rPr>
        <w:t> </w:t>
      </w:r>
      <w:r>
        <w:rPr>
          <w:color w:val="231F20"/>
        </w:rPr>
        <w:t>wait</w:t>
      </w:r>
      <w:r>
        <w:rPr>
          <w:color w:val="231F20"/>
          <w:spacing w:val="24"/>
        </w:rPr>
        <w:t> </w:t>
      </w:r>
      <w:r>
        <w:rPr>
          <w:color w:val="231F20"/>
        </w:rPr>
        <w:t>a</w:t>
      </w:r>
      <w:r>
        <w:rPr>
          <w:color w:val="231F20"/>
          <w:spacing w:val="24"/>
        </w:rPr>
        <w:t> </w:t>
      </w:r>
      <w:r>
        <w:rPr>
          <w:color w:val="231F20"/>
        </w:rPr>
        <w:t>sufficient</w:t>
      </w:r>
      <w:r>
        <w:rPr>
          <w:color w:val="231F20"/>
          <w:spacing w:val="24"/>
        </w:rPr>
        <w:t> </w:t>
      </w:r>
      <w:r>
        <w:rPr>
          <w:color w:val="231F20"/>
        </w:rPr>
        <w:t>period</w:t>
      </w:r>
      <w:r>
        <w:rPr>
          <w:color w:val="231F20"/>
          <w:spacing w:val="24"/>
        </w:rPr>
        <w:t> </w:t>
      </w:r>
      <w:r>
        <w:rPr>
          <w:color w:val="231F20"/>
        </w:rPr>
        <w:t>of</w:t>
      </w:r>
      <w:r>
        <w:rPr>
          <w:color w:val="231F20"/>
          <w:spacing w:val="24"/>
        </w:rPr>
        <w:t> </w:t>
      </w:r>
      <w:r>
        <w:rPr>
          <w:color w:val="231F20"/>
        </w:rPr>
        <w:t>time for historical data to be gathered before displaying the view again.</w:t>
      </w:r>
    </w:p>
    <w:p>
      <w:pPr>
        <w:pStyle w:val="BodyText"/>
        <w:spacing w:before="1"/>
        <w:rPr>
          <w:sz w:val="16"/>
        </w:rPr>
      </w:pPr>
      <w:r>
        <w:rPr/>
        <mc:AlternateContent>
          <mc:Choice Requires="wps">
            <w:drawing>
              <wp:anchor distT="0" distB="0" distL="0" distR="0" allowOverlap="1" layoutInCell="1" locked="0" behindDoc="1" simplePos="0" relativeHeight="487712768">
                <wp:simplePos x="0" y="0"/>
                <wp:positionH relativeFrom="page">
                  <wp:posOffset>912380</wp:posOffset>
                </wp:positionH>
                <wp:positionV relativeFrom="paragraph">
                  <wp:posOffset>153163</wp:posOffset>
                </wp:positionV>
                <wp:extent cx="6082665" cy="1270"/>
                <wp:effectExtent l="0" t="0" r="0" b="0"/>
                <wp:wrapTopAndBottom/>
                <wp:docPr id="1883" name="Graphic 1883"/>
                <wp:cNvGraphicFramePr>
                  <a:graphicFrameLocks/>
                </wp:cNvGraphicFramePr>
                <a:graphic>
                  <a:graphicData uri="http://schemas.microsoft.com/office/word/2010/wordprocessingShape">
                    <wps:wsp>
                      <wps:cNvPr id="1883" name="Graphic 1883"/>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60119pt;width:478.95pt;height:.1pt;mso-position-horizontal-relative:page;mso-position-vertical-relative:paragraph;z-index:-15603712;mso-wrap-distance-left:0;mso-wrap-distance-right:0" id="docshape188" coordorigin="1437,241" coordsize="9579,0" path="m1437,241l11016,241e" filled="false" stroked="true" strokeweight=".499pt" strokecolor="#231f20">
                <v:path arrowok="t"/>
                <v:stroke dashstyle="solid"/>
                <w10:wrap type="topAndBottom"/>
              </v:shape>
            </w:pict>
          </mc:Fallback>
        </mc:AlternateContent>
      </w:r>
    </w:p>
    <w:p>
      <w:pPr>
        <w:pStyle w:val="Heading3"/>
      </w:pPr>
      <w:bookmarkStart w:name="Historical collection configuration" w:id="345"/>
      <w:bookmarkEnd w:id="345"/>
      <w:r>
        <w:rPr>
          <w:b w:val="0"/>
        </w:rPr>
      </w:r>
      <w:r>
        <w:rPr>
          <w:color w:val="231F20"/>
        </w:rPr>
        <w:t>Historical</w:t>
      </w:r>
      <w:r>
        <w:rPr>
          <w:color w:val="231F20"/>
          <w:spacing w:val="2"/>
        </w:rPr>
        <w:t> </w:t>
      </w:r>
      <w:r>
        <w:rPr>
          <w:color w:val="231F20"/>
        </w:rPr>
        <w:t>collection</w:t>
      </w:r>
      <w:r>
        <w:rPr>
          <w:color w:val="231F20"/>
          <w:spacing w:val="2"/>
        </w:rPr>
        <w:t> </w:t>
      </w:r>
      <w:r>
        <w:rPr>
          <w:color w:val="231F20"/>
          <w:spacing w:val="-2"/>
        </w:rPr>
        <w:t>configuration</w:t>
      </w:r>
    </w:p>
    <w:p>
      <w:pPr>
        <w:pStyle w:val="BodyText"/>
        <w:spacing w:line="213" w:lineRule="auto" w:before="138"/>
        <w:ind w:left="2472" w:right="493"/>
      </w:pPr>
      <w:r>
        <w:rPr>
          <w:color w:val="231F20"/>
        </w:rPr>
        <w:t>To make historical data available for reporting in workspace views, you </w:t>
      </w:r>
      <w:r>
        <w:rPr>
          <w:color w:val="231F20"/>
        </w:rPr>
        <w:t>must configure and start historical data collection for the appropriate products and attribute groups. This is done through the History Collection Configuration </w:t>
      </w:r>
      <w:bookmarkStart w:name="Understanding historical configuration" w:id="346"/>
      <w:bookmarkEnd w:id="346"/>
      <w:r>
        <w:rPr>
          <w:color w:val="231F20"/>
          <w:spacing w:val="-2"/>
        </w:rPr>
        <w:t>windo</w:t>
      </w:r>
      <w:r>
        <w:rPr>
          <w:color w:val="231F20"/>
          <w:spacing w:val="-2"/>
        </w:rPr>
        <w:t>w.</w:t>
      </w:r>
    </w:p>
    <w:p>
      <w:pPr>
        <w:pStyle w:val="Heading3"/>
        <w:spacing w:before="216"/>
        <w:ind w:left="1574"/>
      </w:pPr>
      <w:r>
        <w:rPr>
          <w:color w:val="231F20"/>
        </w:rPr>
        <w:t>Understanding</w:t>
      </w:r>
      <w:r>
        <w:rPr>
          <w:color w:val="231F20"/>
          <w:spacing w:val="-2"/>
        </w:rPr>
        <w:t> </w:t>
      </w:r>
      <w:r>
        <w:rPr>
          <w:color w:val="231F20"/>
        </w:rPr>
        <w:t>historical</w:t>
      </w:r>
      <w:r>
        <w:rPr>
          <w:color w:val="231F20"/>
          <w:spacing w:val="-1"/>
        </w:rPr>
        <w:t> </w:t>
      </w:r>
      <w:r>
        <w:rPr>
          <w:color w:val="231F20"/>
          <w:spacing w:val="-2"/>
        </w:rPr>
        <w:t>configuration</w:t>
      </w:r>
    </w:p>
    <w:p>
      <w:pPr>
        <w:pStyle w:val="BodyText"/>
        <w:spacing w:line="213" w:lineRule="auto" w:before="58"/>
        <w:ind w:left="2472" w:right="274"/>
      </w:pPr>
      <w:r>
        <w:rPr>
          <w:color w:val="231F20"/>
        </w:rPr>
        <w:t>It is necessary to configure historical data collection for attribute groups and distribute to managed systems before users can see historical data in the Tivoli Enterprise Portal. Read this topic to understand the configuration settings and </w:t>
      </w:r>
      <w:r>
        <w:rPr>
          <w:color w:val="231F20"/>
        </w:rPr>
        <w:t>their </w:t>
      </w:r>
      <w:r>
        <w:rPr>
          <w:color w:val="231F20"/>
          <w:spacing w:val="-2"/>
        </w:rPr>
        <w:t>implications.</w:t>
      </w:r>
    </w:p>
    <w:p>
      <w:pPr>
        <w:pStyle w:val="Heading6"/>
        <w:spacing w:before="116"/>
      </w:pPr>
      <w:r>
        <w:rPr>
          <w:color w:val="231F20"/>
        </w:rPr>
        <w:t>Configure</w:t>
      </w:r>
      <w:r>
        <w:rPr>
          <w:color w:val="231F20"/>
          <w:spacing w:val="8"/>
        </w:rPr>
        <w:t> </w:t>
      </w:r>
      <w:r>
        <w:rPr>
          <w:color w:val="231F20"/>
        </w:rPr>
        <w:t>historical</w:t>
      </w:r>
      <w:r>
        <w:rPr>
          <w:color w:val="231F20"/>
          <w:spacing w:val="8"/>
        </w:rPr>
        <w:t> </w:t>
      </w:r>
      <w:r>
        <w:rPr>
          <w:color w:val="231F20"/>
        </w:rPr>
        <w:t>data</w:t>
      </w:r>
      <w:r>
        <w:rPr>
          <w:color w:val="231F20"/>
          <w:spacing w:val="9"/>
        </w:rPr>
        <w:t> </w:t>
      </w:r>
      <w:r>
        <w:rPr>
          <w:color w:val="231F20"/>
        </w:rPr>
        <w:t>collection</w:t>
      </w:r>
      <w:r>
        <w:rPr>
          <w:color w:val="231F20"/>
          <w:spacing w:val="8"/>
        </w:rPr>
        <w:t> </w:t>
      </w:r>
      <w:r>
        <w:rPr>
          <w:color w:val="231F20"/>
          <w:spacing w:val="-2"/>
        </w:rPr>
        <w:t>first</w:t>
      </w:r>
    </w:p>
    <w:p>
      <w:pPr>
        <w:pStyle w:val="BodyText"/>
        <w:spacing w:line="213" w:lineRule="auto" w:before="12"/>
        <w:ind w:left="3190" w:right="338"/>
      </w:pPr>
      <w:r>
        <w:rPr>
          <w:color w:val="231F20"/>
        </w:rPr>
        <w:t>Customization of the Tivoli Enterprise Portal is best begun with</w:t>
      </w:r>
      <w:r>
        <w:rPr>
          <w:color w:val="231F20"/>
          <w:spacing w:val="80"/>
        </w:rPr>
        <w:t> </w:t>
      </w:r>
      <w:r>
        <w:rPr>
          <w:color w:val="231F20"/>
        </w:rPr>
        <w:t>configuring historical data collection. Until then, no historical data is available for the predefined historical workspaces that your product might offer, for situation modeling, or for chart baselining, all of which enable</w:t>
      </w:r>
      <w:r>
        <w:rPr>
          <w:color w:val="231F20"/>
          <w:spacing w:val="80"/>
          <w:w w:val="150"/>
        </w:rPr>
        <w:t> </w:t>
      </w:r>
      <w:r>
        <w:rPr>
          <w:color w:val="231F20"/>
        </w:rPr>
        <w:t>you to perform in-depth analysis and health assessments of your </w:t>
      </w:r>
      <w:r>
        <w:rPr>
          <w:color w:val="231F20"/>
        </w:rPr>
        <w:t>managed </w:t>
      </w:r>
      <w:r>
        <w:rPr>
          <w:color w:val="231F20"/>
          <w:spacing w:val="-2"/>
        </w:rPr>
        <w:t>environment.</w:t>
      </w:r>
    </w:p>
    <w:p>
      <w:pPr>
        <w:pStyle w:val="Heading6"/>
        <w:spacing w:before="114"/>
      </w:pPr>
      <w:r>
        <w:rPr>
          <w:color w:val="231F20"/>
        </w:rPr>
        <w:t>Distribute</w:t>
      </w:r>
      <w:r>
        <w:rPr>
          <w:color w:val="231F20"/>
          <w:spacing w:val="9"/>
        </w:rPr>
        <w:t> </w:t>
      </w:r>
      <w:r>
        <w:rPr>
          <w:color w:val="231F20"/>
        </w:rPr>
        <w:t>to</w:t>
      </w:r>
      <w:r>
        <w:rPr>
          <w:color w:val="231F20"/>
          <w:spacing w:val="10"/>
        </w:rPr>
        <w:t> </w:t>
      </w:r>
      <w:r>
        <w:rPr>
          <w:color w:val="231F20"/>
        </w:rPr>
        <w:t>Managed</w:t>
      </w:r>
      <w:r>
        <w:rPr>
          <w:color w:val="231F20"/>
          <w:spacing w:val="9"/>
        </w:rPr>
        <w:t> </w:t>
      </w:r>
      <w:r>
        <w:rPr>
          <w:color w:val="231F20"/>
        </w:rPr>
        <w:t>System</w:t>
      </w:r>
      <w:r>
        <w:rPr>
          <w:color w:val="231F20"/>
          <w:spacing w:val="10"/>
        </w:rPr>
        <w:t> </w:t>
      </w:r>
      <w:r>
        <w:rPr>
          <w:color w:val="231F20"/>
        </w:rPr>
        <w:t>(Agent)</w:t>
      </w:r>
      <w:r>
        <w:rPr>
          <w:color w:val="231F20"/>
          <w:spacing w:val="9"/>
        </w:rPr>
        <w:t> </w:t>
      </w:r>
      <w:r>
        <w:rPr>
          <w:color w:val="231F20"/>
        </w:rPr>
        <w:t>or</w:t>
      </w:r>
      <w:r>
        <w:rPr>
          <w:color w:val="231F20"/>
          <w:spacing w:val="10"/>
        </w:rPr>
        <w:t> </w:t>
      </w:r>
      <w:r>
        <w:rPr>
          <w:color w:val="231F20"/>
        </w:rPr>
        <w:t>Managing</w:t>
      </w:r>
      <w:r>
        <w:rPr>
          <w:color w:val="231F20"/>
          <w:spacing w:val="10"/>
        </w:rPr>
        <w:t> </w:t>
      </w:r>
      <w:r>
        <w:rPr>
          <w:color w:val="231F20"/>
        </w:rPr>
        <w:t>System</w:t>
      </w:r>
      <w:r>
        <w:rPr>
          <w:color w:val="231F20"/>
          <w:spacing w:val="9"/>
        </w:rPr>
        <w:t> </w:t>
      </w:r>
      <w:r>
        <w:rPr>
          <w:color w:val="231F20"/>
          <w:spacing w:val="-2"/>
        </w:rPr>
        <w:t>(TEMS)</w:t>
      </w:r>
    </w:p>
    <w:p>
      <w:pPr>
        <w:pStyle w:val="BodyText"/>
        <w:spacing w:line="213" w:lineRule="auto" w:before="11"/>
        <w:ind w:left="3190" w:right="493"/>
      </w:pPr>
      <w:r>
        <w:rPr>
          <w:color w:val="231F20"/>
        </w:rPr>
        <w:t>In a historical collection, the first decision made regarding distribution </w:t>
      </w:r>
      <w:r>
        <w:rPr>
          <w:color w:val="231F20"/>
        </w:rPr>
        <w:t>is the method:</w:t>
      </w:r>
    </w:p>
    <w:p>
      <w:pPr>
        <w:spacing w:after="0" w:line="213" w:lineRule="auto"/>
        <w:sectPr>
          <w:pgSz w:w="12240" w:h="15840"/>
          <w:pgMar w:header="0" w:footer="736" w:top="1140" w:bottom="920" w:left="1000" w:right="1060"/>
        </w:sectPr>
      </w:pPr>
    </w:p>
    <w:p>
      <w:pPr>
        <w:pStyle w:val="BodyText"/>
        <w:spacing w:line="213" w:lineRule="auto" w:before="85"/>
        <w:ind w:left="2951" w:right="461"/>
      </w:pPr>
      <w:r>
        <w:rPr>
          <w:rFonts w:ascii="Book Antiqua"/>
          <w:b/>
          <w:color w:val="231F20"/>
        </w:rPr>
        <w:t>Managed System (Agent) </w:t>
      </w:r>
      <w:r>
        <w:rPr>
          <w:color w:val="231F20"/>
        </w:rPr>
        <w:t>is the default method and requires that any managed system in the distribution connect to a Tivoli Enterprise Monitoring</w:t>
      </w:r>
      <w:r>
        <w:rPr>
          <w:color w:val="231F20"/>
          <w:spacing w:val="22"/>
        </w:rPr>
        <w:t> </w:t>
      </w:r>
      <w:r>
        <w:rPr>
          <w:color w:val="231F20"/>
        </w:rPr>
        <w:t>Server</w:t>
      </w:r>
      <w:r>
        <w:rPr>
          <w:color w:val="231F20"/>
          <w:spacing w:val="22"/>
        </w:rPr>
        <w:t> </w:t>
      </w:r>
      <w:r>
        <w:rPr>
          <w:color w:val="231F20"/>
        </w:rPr>
        <w:t>Version</w:t>
      </w:r>
      <w:r>
        <w:rPr>
          <w:color w:val="231F20"/>
          <w:spacing w:val="22"/>
        </w:rPr>
        <w:t> </w:t>
      </w:r>
      <w:r>
        <w:rPr>
          <w:color w:val="231F20"/>
        </w:rPr>
        <w:t>6.2.2</w:t>
      </w:r>
      <w:r>
        <w:rPr>
          <w:color w:val="231F20"/>
          <w:spacing w:val="22"/>
        </w:rPr>
        <w:t> </w:t>
      </w:r>
      <w:r>
        <w:rPr>
          <w:color w:val="231F20"/>
        </w:rPr>
        <w:t>or</w:t>
      </w:r>
      <w:r>
        <w:rPr>
          <w:color w:val="231F20"/>
          <w:spacing w:val="22"/>
        </w:rPr>
        <w:t> </w:t>
      </w:r>
      <w:r>
        <w:rPr>
          <w:color w:val="231F20"/>
        </w:rPr>
        <w:t>later.</w:t>
      </w:r>
      <w:r>
        <w:rPr>
          <w:color w:val="231F20"/>
          <w:spacing w:val="22"/>
        </w:rPr>
        <w:t> </w:t>
      </w:r>
      <w:r>
        <w:rPr>
          <w:color w:val="231F20"/>
        </w:rPr>
        <w:t>The</w:t>
      </w:r>
      <w:r>
        <w:rPr>
          <w:color w:val="231F20"/>
          <w:spacing w:val="22"/>
        </w:rPr>
        <w:t> </w:t>
      </w:r>
      <w:r>
        <w:rPr>
          <w:color w:val="231F20"/>
        </w:rPr>
        <w:t>distribution</w:t>
      </w:r>
      <w:r>
        <w:rPr>
          <w:color w:val="231F20"/>
          <w:spacing w:val="22"/>
        </w:rPr>
        <w:t> </w:t>
      </w:r>
      <w:r>
        <w:rPr>
          <w:color w:val="231F20"/>
        </w:rPr>
        <w:t>goes</w:t>
      </w:r>
      <w:r>
        <w:rPr>
          <w:color w:val="231F20"/>
          <w:spacing w:val="22"/>
        </w:rPr>
        <w:t> </w:t>
      </w:r>
      <w:r>
        <w:rPr>
          <w:color w:val="231F20"/>
        </w:rPr>
        <w:t>to</w:t>
      </w:r>
      <w:r>
        <w:rPr>
          <w:color w:val="231F20"/>
          <w:spacing w:val="22"/>
        </w:rPr>
        <w:t> </w:t>
      </w:r>
      <w:r>
        <w:rPr>
          <w:color w:val="231F20"/>
        </w:rPr>
        <w:t>a</w:t>
      </w:r>
      <w:r>
        <w:rPr>
          <w:color w:val="231F20"/>
          <w:spacing w:val="22"/>
        </w:rPr>
        <w:t> </w:t>
      </w:r>
      <w:r>
        <w:rPr>
          <w:color w:val="231F20"/>
        </w:rPr>
        <w:t>subset of managed systems: the managed systems of that agent type that are assigned individually or as part of a managed system group. </w:t>
      </w:r>
      <w:r>
        <w:rPr>
          <w:color w:val="231F20"/>
        </w:rPr>
        <w:t>Alternatively, you can choose to assign managed systems for distribution to a historical configuration group that the collection belongs to.</w:t>
      </w:r>
    </w:p>
    <w:p>
      <w:pPr>
        <w:pStyle w:val="BodyText"/>
        <w:spacing w:line="213" w:lineRule="auto" w:before="115"/>
        <w:ind w:left="2951" w:right="545"/>
      </w:pPr>
      <w:r>
        <w:rPr>
          <w:color w:val="231F20"/>
        </w:rPr>
        <w:t>Historical configuration groups provide a way to group historical collections that have the same distribution requirements. The managed system distribution list can be assigned for the group rather than to </w:t>
      </w:r>
      <w:r>
        <w:rPr>
          <w:color w:val="231F20"/>
        </w:rPr>
        <w:t>each collection individually.</w:t>
      </w:r>
    </w:p>
    <w:p>
      <w:pPr>
        <w:pStyle w:val="BodyText"/>
        <w:spacing w:line="213" w:lineRule="auto" w:before="117"/>
        <w:ind w:left="2951" w:right="545"/>
      </w:pPr>
      <w:r>
        <w:rPr>
          <w:rFonts w:ascii="Book Antiqua"/>
          <w:b/>
          <w:color w:val="231F20"/>
        </w:rPr>
        <w:t>Managing System (TEMS) </w:t>
      </w:r>
      <w:r>
        <w:rPr>
          <w:color w:val="231F20"/>
        </w:rPr>
        <w:t>is the method that was used for distribution in IBM Tivoli Monitoring Version 6.2.1 and earlier; it is the required method for distribution if the managed system connects to a V6.2.1 or earlier monitoring server. The distribution is to managed systems of that agent</w:t>
      </w:r>
      <w:r>
        <w:rPr>
          <w:color w:val="231F20"/>
          <w:spacing w:val="40"/>
        </w:rPr>
        <w:t> </w:t>
      </w:r>
      <w:r>
        <w:rPr>
          <w:color w:val="231F20"/>
        </w:rPr>
        <w:t>type that are connected to the Tivoli Enterprise Monitoring Server. If the Managing System (TEMS) method has been chosen for a collection definition, that collection becomes ineligible for membership in a </w:t>
      </w:r>
      <w:r>
        <w:rPr>
          <w:color w:val="231F20"/>
        </w:rPr>
        <w:t>historical configuration group.</w:t>
      </w:r>
    </w:p>
    <w:p>
      <w:pPr>
        <w:pStyle w:val="Heading6"/>
        <w:spacing w:before="113"/>
        <w:ind w:left="2232"/>
      </w:pPr>
      <w:r>
        <w:rPr>
          <w:color w:val="231F20"/>
        </w:rPr>
        <w:t>Upgraded</w:t>
      </w:r>
      <w:r>
        <w:rPr>
          <w:color w:val="231F20"/>
          <w:spacing w:val="8"/>
        </w:rPr>
        <w:t> </w:t>
      </w:r>
      <w:r>
        <w:rPr>
          <w:color w:val="231F20"/>
        </w:rPr>
        <w:t>historical</w:t>
      </w:r>
      <w:r>
        <w:rPr>
          <w:color w:val="231F20"/>
          <w:spacing w:val="9"/>
        </w:rPr>
        <w:t> </w:t>
      </w:r>
      <w:r>
        <w:rPr>
          <w:color w:val="231F20"/>
        </w:rPr>
        <w:t>configuration</w:t>
      </w:r>
      <w:r>
        <w:rPr>
          <w:color w:val="231F20"/>
          <w:spacing w:val="9"/>
        </w:rPr>
        <w:t> </w:t>
      </w:r>
      <w:r>
        <w:rPr>
          <w:color w:val="231F20"/>
        </w:rPr>
        <w:t>from</w:t>
      </w:r>
      <w:r>
        <w:rPr>
          <w:color w:val="231F20"/>
          <w:spacing w:val="9"/>
        </w:rPr>
        <w:t> </w:t>
      </w:r>
      <w:r>
        <w:rPr>
          <w:color w:val="231F20"/>
        </w:rPr>
        <w:t>an</w:t>
      </w:r>
      <w:r>
        <w:rPr>
          <w:color w:val="231F20"/>
          <w:spacing w:val="9"/>
        </w:rPr>
        <w:t> </w:t>
      </w:r>
      <w:r>
        <w:rPr>
          <w:color w:val="231F20"/>
        </w:rPr>
        <w:t>earlier</w:t>
      </w:r>
      <w:r>
        <w:rPr>
          <w:color w:val="231F20"/>
          <w:spacing w:val="9"/>
        </w:rPr>
        <w:t> </w:t>
      </w:r>
      <w:r>
        <w:rPr>
          <w:color w:val="231F20"/>
          <w:spacing w:val="-2"/>
        </w:rPr>
        <w:t>version</w:t>
      </w:r>
    </w:p>
    <w:p>
      <w:pPr>
        <w:pStyle w:val="BodyText"/>
        <w:spacing w:line="213" w:lineRule="auto" w:before="11"/>
        <w:ind w:left="2951" w:right="385"/>
      </w:pPr>
      <w:r>
        <w:rPr>
          <w:color w:val="231F20"/>
        </w:rPr>
        <w:t>If you have upgraded to Tivoli Management Services Version 6.2.2 or later from</w:t>
      </w:r>
      <w:r>
        <w:rPr>
          <w:color w:val="231F20"/>
          <w:spacing w:val="26"/>
        </w:rPr>
        <w:t> </w:t>
      </w:r>
      <w:r>
        <w:rPr>
          <w:color w:val="231F20"/>
        </w:rPr>
        <w:t>a</w:t>
      </w:r>
      <w:r>
        <w:rPr>
          <w:color w:val="231F20"/>
          <w:spacing w:val="26"/>
        </w:rPr>
        <w:t> </w:t>
      </w:r>
      <w:r>
        <w:rPr>
          <w:color w:val="231F20"/>
        </w:rPr>
        <w:t>release</w:t>
      </w:r>
      <w:r>
        <w:rPr>
          <w:color w:val="231F20"/>
          <w:spacing w:val="26"/>
        </w:rPr>
        <w:t> </w:t>
      </w:r>
      <w:r>
        <w:rPr>
          <w:color w:val="231F20"/>
        </w:rPr>
        <w:t>prior</w:t>
      </w:r>
      <w:r>
        <w:rPr>
          <w:color w:val="231F20"/>
          <w:spacing w:val="26"/>
        </w:rPr>
        <w:t> </w:t>
      </w:r>
      <w:r>
        <w:rPr>
          <w:color w:val="231F20"/>
        </w:rPr>
        <w:t>to</w:t>
      </w:r>
      <w:r>
        <w:rPr>
          <w:color w:val="231F20"/>
          <w:spacing w:val="26"/>
        </w:rPr>
        <w:t> </w:t>
      </w:r>
      <w:r>
        <w:rPr>
          <w:color w:val="231F20"/>
        </w:rPr>
        <w:t>Version</w:t>
      </w:r>
      <w:r>
        <w:rPr>
          <w:color w:val="231F20"/>
          <w:spacing w:val="26"/>
        </w:rPr>
        <w:t> </w:t>
      </w:r>
      <w:r>
        <w:rPr>
          <w:color w:val="231F20"/>
        </w:rPr>
        <w:t>6.2.2,</w:t>
      </w:r>
      <w:r>
        <w:rPr>
          <w:color w:val="231F20"/>
          <w:spacing w:val="26"/>
        </w:rPr>
        <w:t> </w:t>
      </w:r>
      <w:r>
        <w:rPr>
          <w:color w:val="231F20"/>
        </w:rPr>
        <w:t>you</w:t>
      </w:r>
      <w:r>
        <w:rPr>
          <w:color w:val="231F20"/>
          <w:spacing w:val="26"/>
        </w:rPr>
        <w:t> </w:t>
      </w:r>
      <w:r>
        <w:rPr>
          <w:color w:val="231F20"/>
        </w:rPr>
        <w:t>get</w:t>
      </w:r>
      <w:r>
        <w:rPr>
          <w:color w:val="231F20"/>
          <w:spacing w:val="26"/>
        </w:rPr>
        <w:t> </w:t>
      </w:r>
      <w:r>
        <w:rPr>
          <w:color w:val="231F20"/>
        </w:rPr>
        <w:t>a</w:t>
      </w:r>
      <w:r>
        <w:rPr>
          <w:color w:val="231F20"/>
          <w:spacing w:val="26"/>
        </w:rPr>
        <w:t> </w:t>
      </w:r>
      <w:r>
        <w:rPr>
          <w:color w:val="231F20"/>
        </w:rPr>
        <w:t>historical</w:t>
      </w:r>
      <w:r>
        <w:rPr>
          <w:color w:val="231F20"/>
          <w:spacing w:val="26"/>
        </w:rPr>
        <w:t> </w:t>
      </w:r>
      <w:r>
        <w:rPr>
          <w:color w:val="231F20"/>
        </w:rPr>
        <w:t>collection definition for each attribute group that was configured and the </w:t>
      </w:r>
      <w:r>
        <w:rPr>
          <w:color w:val="231F20"/>
        </w:rPr>
        <w:t>distribution method is unchanged: </w:t>
      </w:r>
      <w:r>
        <w:rPr>
          <w:rFonts w:ascii="Book Antiqua" w:hAnsi="Book Antiqua"/>
          <w:b/>
          <w:color w:val="231F20"/>
        </w:rPr>
        <w:t>Managing System (TEMS)</w:t>
      </w:r>
      <w:r>
        <w:rPr>
          <w:color w:val="231F20"/>
        </w:rPr>
        <w:t>. If you would like to use the distribution techniques that are available when distribution is by managed system, change the distribution method for each collection definition to </w:t>
      </w:r>
      <w:r>
        <w:rPr>
          <w:rFonts w:ascii="Book Antiqua" w:hAnsi="Book Antiqua"/>
          <w:b/>
          <w:color w:val="231F20"/>
        </w:rPr>
        <w:t>Managed System (Agent)</w:t>
      </w:r>
      <w:r>
        <w:rPr>
          <w:color w:val="231F20"/>
        </w:rPr>
        <w:t>. (See the link to “Changing the distribution method” at the end of this topic.)</w:t>
      </w:r>
    </w:p>
    <w:p>
      <w:pPr>
        <w:pStyle w:val="Heading6"/>
        <w:spacing w:line="240" w:lineRule="auto" w:before="113"/>
        <w:ind w:left="2232" w:right="545"/>
      </w:pPr>
      <w:r>
        <w:rPr>
          <w:color w:val="231F20"/>
        </w:rPr>
        <w:t>Managed System distribution through the historical collection or through </w:t>
      </w:r>
      <w:r>
        <w:rPr>
          <w:color w:val="231F20"/>
        </w:rPr>
        <w:t>the historical configuration group</w:t>
      </w:r>
    </w:p>
    <w:p>
      <w:pPr>
        <w:pStyle w:val="BodyText"/>
        <w:spacing w:line="213" w:lineRule="auto"/>
        <w:ind w:left="2951" w:right="545"/>
      </w:pPr>
      <w:r>
        <w:rPr>
          <w:color w:val="231F20"/>
        </w:rPr>
        <w:t>You can assign a managed system (or managed system group or both) </w:t>
      </w:r>
      <w:r>
        <w:rPr>
          <w:color w:val="231F20"/>
        </w:rPr>
        <w:t>to the individual historical collection definition, a historical configuration group or to a managed system group that is assigned to the collection or historical group.</w:t>
      </w:r>
    </w:p>
    <w:p>
      <w:pPr>
        <w:pStyle w:val="BodyText"/>
        <w:spacing w:line="213" w:lineRule="auto" w:before="115"/>
        <w:ind w:left="2951" w:right="511"/>
      </w:pPr>
      <w:r>
        <w:rPr>
          <w:color w:val="231F20"/>
        </w:rPr>
        <w:t>As a best practice, develop a way to organize managed system distribution for historical data collection. It is possible for a managed system to be referenced more than once for the same historical collection definition. For example, the managed system might be have been assigned in the Distribution tab for the collection definition and the collection is a member</w:t>
      </w:r>
      <w:r>
        <w:rPr>
          <w:color w:val="231F20"/>
          <w:spacing w:val="40"/>
        </w:rPr>
        <w:t> </w:t>
      </w:r>
      <w:r>
        <w:rPr>
          <w:color w:val="231F20"/>
        </w:rPr>
        <w:t>of a historical configuration group that also has that managed system assigned. You need not be concerned with data being collected multiple times on that managed system for this collection definition, but be aware</w:t>
      </w:r>
      <w:r>
        <w:rPr>
          <w:color w:val="231F20"/>
          <w:spacing w:val="40"/>
        </w:rPr>
        <w:t> </w:t>
      </w:r>
      <w:r>
        <w:rPr>
          <w:color w:val="231F20"/>
        </w:rPr>
        <w:t>that if you intend to stop data collection on that managed system by removing it (or a managed system group it belongs to) from the</w:t>
      </w:r>
      <w:r>
        <w:rPr>
          <w:color w:val="231F20"/>
          <w:spacing w:val="80"/>
        </w:rPr>
        <w:t> </w:t>
      </w:r>
      <w:r>
        <w:rPr>
          <w:color w:val="231F20"/>
        </w:rPr>
        <w:t>distribution, data collection will continue to occur. This will go on until the managed system is removed from all group distributions that the </w:t>
      </w:r>
      <w:r>
        <w:rPr>
          <w:color w:val="231F20"/>
        </w:rPr>
        <w:t>collection is a member of.</w:t>
      </w:r>
    </w:p>
    <w:p>
      <w:pPr>
        <w:pStyle w:val="Heading6"/>
        <w:spacing w:before="110"/>
        <w:ind w:left="2232"/>
      </w:pPr>
      <w:r>
        <w:rPr>
          <w:color w:val="231F20"/>
        </w:rPr>
        <w:t>Distributing</w:t>
      </w:r>
      <w:r>
        <w:rPr>
          <w:color w:val="231F20"/>
          <w:spacing w:val="10"/>
        </w:rPr>
        <w:t> </w:t>
      </w:r>
      <w:r>
        <w:rPr>
          <w:color w:val="231F20"/>
        </w:rPr>
        <w:t>a</w:t>
      </w:r>
      <w:r>
        <w:rPr>
          <w:color w:val="231F20"/>
          <w:spacing w:val="10"/>
        </w:rPr>
        <w:t> </w:t>
      </w:r>
      <w:r>
        <w:rPr>
          <w:color w:val="231F20"/>
        </w:rPr>
        <w:t>historical</w:t>
      </w:r>
      <w:r>
        <w:rPr>
          <w:color w:val="231F20"/>
          <w:spacing w:val="11"/>
        </w:rPr>
        <w:t> </w:t>
      </w:r>
      <w:r>
        <w:rPr>
          <w:color w:val="231F20"/>
        </w:rPr>
        <w:t>collection</w:t>
      </w:r>
      <w:r>
        <w:rPr>
          <w:color w:val="231F20"/>
          <w:spacing w:val="10"/>
        </w:rPr>
        <w:t> </w:t>
      </w:r>
      <w:r>
        <w:rPr>
          <w:color w:val="231F20"/>
        </w:rPr>
        <w:t>to</w:t>
      </w:r>
      <w:r>
        <w:rPr>
          <w:color w:val="231F20"/>
          <w:spacing w:val="10"/>
        </w:rPr>
        <w:t> </w:t>
      </w:r>
      <w:r>
        <w:rPr>
          <w:color w:val="231F20"/>
        </w:rPr>
        <w:t>a</w:t>
      </w:r>
      <w:r>
        <w:rPr>
          <w:color w:val="231F20"/>
          <w:spacing w:val="11"/>
        </w:rPr>
        <w:t> </w:t>
      </w:r>
      <w:r>
        <w:rPr>
          <w:color w:val="231F20"/>
        </w:rPr>
        <w:t>new</w:t>
      </w:r>
      <w:r>
        <w:rPr>
          <w:color w:val="231F20"/>
          <w:spacing w:val="10"/>
        </w:rPr>
        <w:t> </w:t>
      </w:r>
      <w:r>
        <w:rPr>
          <w:color w:val="231F20"/>
        </w:rPr>
        <w:t>managed</w:t>
      </w:r>
      <w:r>
        <w:rPr>
          <w:color w:val="231F20"/>
          <w:spacing w:val="11"/>
        </w:rPr>
        <w:t> </w:t>
      </w:r>
      <w:r>
        <w:rPr>
          <w:color w:val="231F20"/>
          <w:spacing w:val="-2"/>
        </w:rPr>
        <w:t>system</w:t>
      </w:r>
    </w:p>
    <w:p>
      <w:pPr>
        <w:pStyle w:val="BodyText"/>
        <w:spacing w:line="213" w:lineRule="auto" w:before="11"/>
        <w:ind w:left="2951" w:right="493"/>
      </w:pPr>
      <w:r>
        <w:rPr>
          <w:color w:val="231F20"/>
        </w:rPr>
        <w:t>After a new managed system is added to your managed environment, data collection begins immediately if the new managed system is assigned to a managed system group that a collection definition is distributed to or if </w:t>
      </w:r>
      <w:r>
        <w:rPr>
          <w:color w:val="231F20"/>
        </w:rPr>
        <w:t>the</w:t>
      </w:r>
    </w:p>
    <w:p>
      <w:pPr>
        <w:spacing w:after="0" w:line="213" w:lineRule="auto"/>
        <w:sectPr>
          <w:pgSz w:w="12240" w:h="15840"/>
          <w:pgMar w:header="0" w:footer="736" w:top="1180" w:bottom="920" w:left="1000" w:right="1060"/>
        </w:sectPr>
      </w:pPr>
    </w:p>
    <w:p>
      <w:pPr>
        <w:pStyle w:val="BodyText"/>
        <w:spacing w:line="213" w:lineRule="auto" w:before="85"/>
        <w:ind w:left="3190" w:right="385"/>
      </w:pPr>
      <w:r>
        <w:rPr>
          <w:color w:val="231F20"/>
        </w:rPr>
        <w:t>data collection method is to </w:t>
      </w:r>
      <w:r>
        <w:rPr>
          <w:rFonts w:ascii="Book Antiqua"/>
          <w:b/>
          <w:color w:val="231F20"/>
        </w:rPr>
        <w:t>Managing System (TEMS) </w:t>
      </w:r>
      <w:r>
        <w:rPr>
          <w:color w:val="231F20"/>
        </w:rPr>
        <w:t>and the new managed system connects to the Tivoli Enterprise Monitoring Server </w:t>
      </w:r>
      <w:r>
        <w:rPr>
          <w:color w:val="231F20"/>
        </w:rPr>
        <w:t>that was specified.</w:t>
      </w:r>
    </w:p>
    <w:p>
      <w:pPr>
        <w:pStyle w:val="BodyText"/>
        <w:spacing w:line="213" w:lineRule="auto" w:before="117"/>
        <w:ind w:left="3190" w:right="258"/>
      </w:pPr>
      <w:r>
        <w:rPr>
          <w:color w:val="231F20"/>
        </w:rPr>
        <w:t>For</w:t>
      </w:r>
      <w:r>
        <w:rPr>
          <w:color w:val="231F20"/>
          <w:spacing w:val="30"/>
        </w:rPr>
        <w:t> </w:t>
      </w:r>
      <w:r>
        <w:rPr>
          <w:color w:val="231F20"/>
        </w:rPr>
        <w:t>example,</w:t>
      </w:r>
      <w:r>
        <w:rPr>
          <w:color w:val="231F20"/>
          <w:spacing w:val="30"/>
        </w:rPr>
        <w:t> </w:t>
      </w:r>
      <w:r>
        <w:rPr>
          <w:color w:val="231F20"/>
        </w:rPr>
        <w:t>a</w:t>
      </w:r>
      <w:r>
        <w:rPr>
          <w:color w:val="231F20"/>
          <w:spacing w:val="30"/>
        </w:rPr>
        <w:t> </w:t>
      </w:r>
      <w:r>
        <w:rPr>
          <w:color w:val="231F20"/>
        </w:rPr>
        <w:t>new</w:t>
      </w:r>
      <w:r>
        <w:rPr>
          <w:color w:val="231F20"/>
          <w:spacing w:val="30"/>
        </w:rPr>
        <w:t> </w:t>
      </w:r>
      <w:r>
        <w:rPr>
          <w:color w:val="231F20"/>
        </w:rPr>
        <w:t>Linux</w:t>
      </w:r>
      <w:r>
        <w:rPr>
          <w:color w:val="231F20"/>
          <w:spacing w:val="30"/>
        </w:rPr>
        <w:t> </w:t>
      </w:r>
      <w:r>
        <w:rPr>
          <w:color w:val="231F20"/>
        </w:rPr>
        <w:t>managed</w:t>
      </w:r>
      <w:r>
        <w:rPr>
          <w:color w:val="231F20"/>
          <w:spacing w:val="30"/>
        </w:rPr>
        <w:t> </w:t>
      </w:r>
      <w:r>
        <w:rPr>
          <w:color w:val="231F20"/>
        </w:rPr>
        <w:t>system</w:t>
      </w:r>
      <w:r>
        <w:rPr>
          <w:color w:val="231F20"/>
          <w:spacing w:val="30"/>
        </w:rPr>
        <w:t> </w:t>
      </w:r>
      <w:r>
        <w:rPr>
          <w:color w:val="231F20"/>
        </w:rPr>
        <w:t>is</w:t>
      </w:r>
      <w:r>
        <w:rPr>
          <w:color w:val="231F20"/>
          <w:spacing w:val="30"/>
        </w:rPr>
        <w:t> </w:t>
      </w:r>
      <w:r>
        <w:rPr>
          <w:color w:val="231F20"/>
        </w:rPr>
        <w:t>automatically</w:t>
      </w:r>
      <w:r>
        <w:rPr>
          <w:color w:val="231F20"/>
          <w:spacing w:val="30"/>
        </w:rPr>
        <w:t> </w:t>
      </w:r>
      <w:r>
        <w:rPr>
          <w:color w:val="231F20"/>
        </w:rPr>
        <w:t>assigned</w:t>
      </w:r>
      <w:r>
        <w:rPr>
          <w:color w:val="231F20"/>
          <w:spacing w:val="30"/>
        </w:rPr>
        <w:t> </w:t>
      </w:r>
      <w:r>
        <w:rPr>
          <w:color w:val="231F20"/>
        </w:rPr>
        <w:t>to the *LZ_SYSTEM predefined managed system group. If the historical collection is distributed to *LZ_SYSTEM, then historical data collection begins on the new managed system. Otherwise, you must add the new managed system to the historical collection distribution directly, to a managed system group that the collection is distributed to, or to the distribution of a historical configuration group that the historical </w:t>
      </w:r>
      <w:r>
        <w:rPr>
          <w:color w:val="231F20"/>
        </w:rPr>
        <w:t>collection is a member of.</w:t>
      </w:r>
    </w:p>
    <w:p>
      <w:pPr>
        <w:pStyle w:val="Heading6"/>
        <w:spacing w:before="113"/>
      </w:pPr>
      <w:r>
        <w:rPr>
          <w:color w:val="231F20"/>
        </w:rPr>
        <w:t>Effect</w:t>
      </w:r>
      <w:r>
        <w:rPr>
          <w:color w:val="231F20"/>
          <w:spacing w:val="10"/>
        </w:rPr>
        <w:t> </w:t>
      </w:r>
      <w:r>
        <w:rPr>
          <w:color w:val="231F20"/>
        </w:rPr>
        <w:t>of</w:t>
      </w:r>
      <w:r>
        <w:rPr>
          <w:color w:val="231F20"/>
          <w:spacing w:val="11"/>
        </w:rPr>
        <w:t> </w:t>
      </w:r>
      <w:r>
        <w:rPr>
          <w:color w:val="231F20"/>
        </w:rPr>
        <w:t>editing</w:t>
      </w:r>
      <w:r>
        <w:rPr>
          <w:color w:val="231F20"/>
          <w:spacing w:val="11"/>
        </w:rPr>
        <w:t> </w:t>
      </w:r>
      <w:r>
        <w:rPr>
          <w:color w:val="231F20"/>
        </w:rPr>
        <w:t>a</w:t>
      </w:r>
      <w:r>
        <w:rPr>
          <w:color w:val="231F20"/>
          <w:spacing w:val="10"/>
        </w:rPr>
        <w:t> </w:t>
      </w:r>
      <w:r>
        <w:rPr>
          <w:color w:val="231F20"/>
        </w:rPr>
        <w:t>managed</w:t>
      </w:r>
      <w:r>
        <w:rPr>
          <w:color w:val="231F20"/>
          <w:spacing w:val="11"/>
        </w:rPr>
        <w:t> </w:t>
      </w:r>
      <w:r>
        <w:rPr>
          <w:color w:val="231F20"/>
        </w:rPr>
        <w:t>system</w:t>
      </w:r>
      <w:r>
        <w:rPr>
          <w:color w:val="231F20"/>
          <w:spacing w:val="11"/>
        </w:rPr>
        <w:t> </w:t>
      </w:r>
      <w:r>
        <w:rPr>
          <w:color w:val="231F20"/>
        </w:rPr>
        <w:t>group</w:t>
      </w:r>
      <w:r>
        <w:rPr>
          <w:color w:val="231F20"/>
          <w:spacing w:val="11"/>
        </w:rPr>
        <w:t> </w:t>
      </w:r>
      <w:r>
        <w:rPr>
          <w:color w:val="231F20"/>
        </w:rPr>
        <w:t>on</w:t>
      </w:r>
      <w:r>
        <w:rPr>
          <w:color w:val="231F20"/>
          <w:spacing w:val="10"/>
        </w:rPr>
        <w:t> </w:t>
      </w:r>
      <w:r>
        <w:rPr>
          <w:color w:val="231F20"/>
        </w:rPr>
        <w:t>the</w:t>
      </w:r>
      <w:r>
        <w:rPr>
          <w:color w:val="231F20"/>
          <w:spacing w:val="11"/>
        </w:rPr>
        <w:t> </w:t>
      </w:r>
      <w:r>
        <w:rPr>
          <w:color w:val="231F20"/>
        </w:rPr>
        <w:t>historical</w:t>
      </w:r>
      <w:r>
        <w:rPr>
          <w:color w:val="231F20"/>
          <w:spacing w:val="11"/>
        </w:rPr>
        <w:t> </w:t>
      </w:r>
      <w:r>
        <w:rPr>
          <w:color w:val="231F20"/>
          <w:spacing w:val="-2"/>
        </w:rPr>
        <w:t>collection</w:t>
      </w:r>
    </w:p>
    <w:p>
      <w:pPr>
        <w:pStyle w:val="BodyText"/>
        <w:spacing w:line="213" w:lineRule="auto" w:before="12"/>
        <w:ind w:left="3190" w:right="545"/>
      </w:pPr>
      <w:r>
        <w:rPr>
          <w:color w:val="231F20"/>
        </w:rPr>
        <w:t>When a managed system group gets updated, which is typically when </w:t>
      </w:r>
      <w:r>
        <w:rPr>
          <w:color w:val="231F20"/>
        </w:rPr>
        <w:t>a constituent managed system is removed or a managed system is added, any historical collection that includes that group is redistributed to all managed systems in the group and collection is restarted.</w:t>
      </w:r>
    </w:p>
    <w:p>
      <w:pPr>
        <w:pStyle w:val="BodyText"/>
        <w:spacing w:line="213" w:lineRule="auto" w:before="117"/>
        <w:ind w:left="3190" w:right="234"/>
      </w:pPr>
      <w:r>
        <w:rPr>
          <w:color w:val="231F20"/>
        </w:rPr>
        <w:t>The redistribution and restarting of data collection can result in some gaps</w:t>
      </w:r>
      <w:r>
        <w:rPr>
          <w:color w:val="231F20"/>
          <w:spacing w:val="40"/>
        </w:rPr>
        <w:t> </w:t>
      </w:r>
      <w:r>
        <w:rPr>
          <w:color w:val="231F20"/>
        </w:rPr>
        <w:t>in</w:t>
      </w:r>
      <w:r>
        <w:rPr>
          <w:color w:val="231F20"/>
          <w:spacing w:val="29"/>
        </w:rPr>
        <w:t> </w:t>
      </w:r>
      <w:r>
        <w:rPr>
          <w:color w:val="231F20"/>
        </w:rPr>
        <w:t>the</w:t>
      </w:r>
      <w:r>
        <w:rPr>
          <w:color w:val="231F20"/>
          <w:spacing w:val="29"/>
        </w:rPr>
        <w:t> </w:t>
      </w:r>
      <w:r>
        <w:rPr>
          <w:color w:val="231F20"/>
        </w:rPr>
        <w:t>data</w:t>
      </w:r>
      <w:r>
        <w:rPr>
          <w:color w:val="231F20"/>
          <w:spacing w:val="29"/>
        </w:rPr>
        <w:t> </w:t>
      </w:r>
      <w:r>
        <w:rPr>
          <w:color w:val="231F20"/>
        </w:rPr>
        <w:t>if</w:t>
      </w:r>
      <w:r>
        <w:rPr>
          <w:color w:val="231F20"/>
          <w:spacing w:val="29"/>
        </w:rPr>
        <w:t> </w:t>
      </w:r>
      <w:r>
        <w:rPr>
          <w:color w:val="231F20"/>
        </w:rPr>
        <w:t>the</w:t>
      </w:r>
      <w:r>
        <w:rPr>
          <w:color w:val="231F20"/>
          <w:spacing w:val="29"/>
        </w:rPr>
        <w:t> </w:t>
      </w:r>
      <w:r>
        <w:rPr>
          <w:color w:val="231F20"/>
        </w:rPr>
        <w:t>collection</w:t>
      </w:r>
      <w:r>
        <w:rPr>
          <w:color w:val="231F20"/>
          <w:spacing w:val="29"/>
        </w:rPr>
        <w:t> </w:t>
      </w:r>
      <w:r>
        <w:rPr>
          <w:color w:val="231F20"/>
        </w:rPr>
        <w:t>interval</w:t>
      </w:r>
      <w:r>
        <w:rPr>
          <w:color w:val="231F20"/>
          <w:spacing w:val="29"/>
        </w:rPr>
        <w:t> </w:t>
      </w:r>
      <w:r>
        <w:rPr>
          <w:color w:val="231F20"/>
        </w:rPr>
        <w:t>is</w:t>
      </w:r>
      <w:r>
        <w:rPr>
          <w:color w:val="231F20"/>
          <w:spacing w:val="29"/>
        </w:rPr>
        <w:t> </w:t>
      </w:r>
      <w:r>
        <w:rPr>
          <w:color w:val="231F20"/>
        </w:rPr>
        <w:t>frequent,</w:t>
      </w:r>
      <w:r>
        <w:rPr>
          <w:color w:val="231F20"/>
          <w:spacing w:val="29"/>
        </w:rPr>
        <w:t> </w:t>
      </w:r>
      <w:r>
        <w:rPr>
          <w:color w:val="231F20"/>
        </w:rPr>
        <w:t>because</w:t>
      </w:r>
      <w:r>
        <w:rPr>
          <w:color w:val="231F20"/>
          <w:spacing w:val="29"/>
        </w:rPr>
        <w:t> </w:t>
      </w:r>
      <w:r>
        <w:rPr>
          <w:color w:val="231F20"/>
        </w:rPr>
        <w:t>collection</w:t>
      </w:r>
      <w:r>
        <w:rPr>
          <w:color w:val="231F20"/>
          <w:spacing w:val="29"/>
        </w:rPr>
        <w:t> </w:t>
      </w:r>
      <w:r>
        <w:rPr>
          <w:color w:val="231F20"/>
        </w:rPr>
        <w:t>is aligned with time boundaries. For example, if the collection interval is 15 minutes</w:t>
      </w:r>
      <w:r>
        <w:rPr>
          <w:color w:val="231F20"/>
          <w:spacing w:val="23"/>
        </w:rPr>
        <w:t> </w:t>
      </w:r>
      <w:r>
        <w:rPr>
          <w:color w:val="231F20"/>
        </w:rPr>
        <w:t>and</w:t>
      </w:r>
      <w:r>
        <w:rPr>
          <w:color w:val="231F20"/>
          <w:spacing w:val="23"/>
        </w:rPr>
        <w:t> </w:t>
      </w:r>
      <w:r>
        <w:rPr>
          <w:color w:val="231F20"/>
        </w:rPr>
        <w:t>collection</w:t>
      </w:r>
      <w:r>
        <w:rPr>
          <w:color w:val="231F20"/>
          <w:spacing w:val="23"/>
        </w:rPr>
        <w:t> </w:t>
      </w:r>
      <w:r>
        <w:rPr>
          <w:color w:val="231F20"/>
        </w:rPr>
        <w:t>was</w:t>
      </w:r>
      <w:r>
        <w:rPr>
          <w:color w:val="231F20"/>
          <w:spacing w:val="23"/>
        </w:rPr>
        <w:t> </w:t>
      </w:r>
      <w:r>
        <w:rPr>
          <w:color w:val="231F20"/>
        </w:rPr>
        <w:t>started</w:t>
      </w:r>
      <w:r>
        <w:rPr>
          <w:color w:val="231F20"/>
          <w:spacing w:val="23"/>
        </w:rPr>
        <w:t> </w:t>
      </w:r>
      <w:r>
        <w:rPr>
          <w:color w:val="231F20"/>
        </w:rPr>
        <w:t>at</w:t>
      </w:r>
      <w:r>
        <w:rPr>
          <w:color w:val="231F20"/>
          <w:spacing w:val="23"/>
        </w:rPr>
        <w:t> </w:t>
      </w:r>
      <w:r>
        <w:rPr>
          <w:color w:val="231F20"/>
        </w:rPr>
        <w:t>3:16,</w:t>
      </w:r>
      <w:r>
        <w:rPr>
          <w:color w:val="231F20"/>
          <w:spacing w:val="23"/>
        </w:rPr>
        <w:t> </w:t>
      </w:r>
      <w:r>
        <w:rPr>
          <w:color w:val="231F20"/>
        </w:rPr>
        <w:t>the</w:t>
      </w:r>
      <w:r>
        <w:rPr>
          <w:color w:val="231F20"/>
          <w:spacing w:val="23"/>
        </w:rPr>
        <w:t> </w:t>
      </w:r>
      <w:r>
        <w:rPr>
          <w:color w:val="231F20"/>
        </w:rPr>
        <w:t>first</w:t>
      </w:r>
      <w:r>
        <w:rPr>
          <w:color w:val="231F20"/>
          <w:spacing w:val="23"/>
        </w:rPr>
        <w:t> </w:t>
      </w:r>
      <w:r>
        <w:rPr>
          <w:color w:val="231F20"/>
        </w:rPr>
        <w:t>sampling</w:t>
      </w:r>
      <w:r>
        <w:rPr>
          <w:color w:val="231F20"/>
          <w:spacing w:val="23"/>
        </w:rPr>
        <w:t> </w:t>
      </w:r>
      <w:r>
        <w:rPr>
          <w:color w:val="231F20"/>
        </w:rPr>
        <w:t>is</w:t>
      </w:r>
      <w:r>
        <w:rPr>
          <w:color w:val="231F20"/>
          <w:spacing w:val="23"/>
        </w:rPr>
        <w:t> </w:t>
      </w:r>
      <w:r>
        <w:rPr>
          <w:color w:val="231F20"/>
        </w:rPr>
        <w:t>at</w:t>
      </w:r>
      <w:r>
        <w:rPr>
          <w:color w:val="231F20"/>
          <w:spacing w:val="23"/>
        </w:rPr>
        <w:t> </w:t>
      </w:r>
      <w:r>
        <w:rPr>
          <w:color w:val="231F20"/>
        </w:rPr>
        <w:t>3:30;</w:t>
      </w:r>
      <w:r>
        <w:rPr>
          <w:color w:val="231F20"/>
          <w:spacing w:val="23"/>
        </w:rPr>
        <w:t> </w:t>
      </w:r>
      <w:r>
        <w:rPr>
          <w:color w:val="231F20"/>
        </w:rPr>
        <w:t>or if the last collection was at 4:15 and an update to the managed system</w:t>
      </w:r>
      <w:r>
        <w:rPr>
          <w:color w:val="231F20"/>
          <w:spacing w:val="80"/>
          <w:w w:val="150"/>
        </w:rPr>
        <w:t> </w:t>
      </w:r>
      <w:r>
        <w:rPr>
          <w:color w:val="231F20"/>
        </w:rPr>
        <w:t>group causes the 4:30 collection to be missed, the next data collection </w:t>
      </w:r>
      <w:r>
        <w:rPr>
          <w:color w:val="231F20"/>
        </w:rPr>
        <w:t>takes place at 4:45.</w:t>
      </w:r>
    </w:p>
    <w:p>
      <w:pPr>
        <w:pStyle w:val="Heading6"/>
        <w:spacing w:line="240" w:lineRule="auto" w:before="114"/>
      </w:pPr>
      <w:r>
        <w:rPr>
          <w:color w:val="231F20"/>
        </w:rPr>
        <w:t>Multiple</w:t>
      </w:r>
      <w:r>
        <w:rPr>
          <w:color w:val="231F20"/>
          <w:spacing w:val="9"/>
        </w:rPr>
        <w:t> </w:t>
      </w:r>
      <w:r>
        <w:rPr>
          <w:color w:val="231F20"/>
        </w:rPr>
        <w:t>collection</w:t>
      </w:r>
      <w:r>
        <w:rPr>
          <w:color w:val="231F20"/>
          <w:spacing w:val="10"/>
        </w:rPr>
        <w:t> </w:t>
      </w:r>
      <w:r>
        <w:rPr>
          <w:color w:val="231F20"/>
        </w:rPr>
        <w:t>definitions</w:t>
      </w:r>
      <w:r>
        <w:rPr>
          <w:color w:val="231F20"/>
          <w:spacing w:val="9"/>
        </w:rPr>
        <w:t> </w:t>
      </w:r>
      <w:r>
        <w:rPr>
          <w:color w:val="231F20"/>
        </w:rPr>
        <w:t>for</w:t>
      </w:r>
      <w:r>
        <w:rPr>
          <w:color w:val="231F20"/>
          <w:spacing w:val="10"/>
        </w:rPr>
        <w:t> </w:t>
      </w:r>
      <w:r>
        <w:rPr>
          <w:color w:val="231F20"/>
        </w:rPr>
        <w:t>the</w:t>
      </w:r>
      <w:r>
        <w:rPr>
          <w:color w:val="231F20"/>
          <w:spacing w:val="9"/>
        </w:rPr>
        <w:t> </w:t>
      </w:r>
      <w:r>
        <w:rPr>
          <w:color w:val="231F20"/>
        </w:rPr>
        <w:t>same</w:t>
      </w:r>
      <w:r>
        <w:rPr>
          <w:color w:val="231F20"/>
          <w:spacing w:val="10"/>
        </w:rPr>
        <w:t> </w:t>
      </w:r>
      <w:r>
        <w:rPr>
          <w:color w:val="231F20"/>
        </w:rPr>
        <w:t>attribute</w:t>
      </w:r>
      <w:r>
        <w:rPr>
          <w:color w:val="231F20"/>
          <w:spacing w:val="9"/>
        </w:rPr>
        <w:t> </w:t>
      </w:r>
      <w:r>
        <w:rPr>
          <w:color w:val="231F20"/>
          <w:spacing w:val="-2"/>
        </w:rPr>
        <w:t>group</w:t>
      </w:r>
    </w:p>
    <w:p>
      <w:pPr>
        <w:pStyle w:val="BodyText"/>
        <w:spacing w:line="213" w:lineRule="auto" w:before="119"/>
        <w:ind w:left="3190" w:right="258"/>
      </w:pPr>
      <w:r>
        <w:rPr>
          <w:color w:val="231F20"/>
        </w:rPr>
        <w:t>You</w:t>
      </w:r>
      <w:r>
        <w:rPr>
          <w:color w:val="231F20"/>
          <w:spacing w:val="27"/>
        </w:rPr>
        <w:t> </w:t>
      </w:r>
      <w:r>
        <w:rPr>
          <w:color w:val="231F20"/>
        </w:rPr>
        <w:t>can</w:t>
      </w:r>
      <w:r>
        <w:rPr>
          <w:color w:val="231F20"/>
          <w:spacing w:val="27"/>
        </w:rPr>
        <w:t> </w:t>
      </w:r>
      <w:r>
        <w:rPr>
          <w:color w:val="231F20"/>
        </w:rPr>
        <w:t>create</w:t>
      </w:r>
      <w:r>
        <w:rPr>
          <w:color w:val="231F20"/>
          <w:spacing w:val="27"/>
        </w:rPr>
        <w:t> </w:t>
      </w:r>
      <w:r>
        <w:rPr>
          <w:color w:val="231F20"/>
        </w:rPr>
        <w:t>another</w:t>
      </w:r>
      <w:r>
        <w:rPr>
          <w:color w:val="231F20"/>
          <w:spacing w:val="27"/>
        </w:rPr>
        <w:t> </w:t>
      </w:r>
      <w:r>
        <w:rPr>
          <w:color w:val="231F20"/>
        </w:rPr>
        <w:t>copy</w:t>
      </w:r>
      <w:r>
        <w:rPr>
          <w:color w:val="231F20"/>
          <w:spacing w:val="27"/>
        </w:rPr>
        <w:t> </w:t>
      </w:r>
      <w:r>
        <w:rPr>
          <w:color w:val="231F20"/>
        </w:rPr>
        <w:t>of</w:t>
      </w:r>
      <w:r>
        <w:rPr>
          <w:color w:val="231F20"/>
          <w:spacing w:val="27"/>
        </w:rPr>
        <w:t> </w:t>
      </w:r>
      <w:r>
        <w:rPr>
          <w:color w:val="231F20"/>
        </w:rPr>
        <w:t>a</w:t>
      </w:r>
      <w:r>
        <w:rPr>
          <w:color w:val="231F20"/>
          <w:spacing w:val="27"/>
        </w:rPr>
        <w:t> </w:t>
      </w:r>
      <w:r>
        <w:rPr>
          <w:color w:val="231F20"/>
        </w:rPr>
        <w:t>collection</w:t>
      </w:r>
      <w:r>
        <w:rPr>
          <w:color w:val="231F20"/>
          <w:spacing w:val="27"/>
        </w:rPr>
        <w:t> </w:t>
      </w:r>
      <w:r>
        <w:rPr>
          <w:color w:val="231F20"/>
        </w:rPr>
        <w:t>definition</w:t>
      </w:r>
      <w:r>
        <w:rPr>
          <w:color w:val="231F20"/>
          <w:spacing w:val="27"/>
        </w:rPr>
        <w:t> </w:t>
      </w:r>
      <w:r>
        <w:rPr>
          <w:color w:val="231F20"/>
        </w:rPr>
        <w:t>for</w:t>
      </w:r>
      <w:r>
        <w:rPr>
          <w:color w:val="231F20"/>
          <w:spacing w:val="27"/>
        </w:rPr>
        <w:t> </w:t>
      </w:r>
      <w:r>
        <w:rPr>
          <w:color w:val="231F20"/>
        </w:rPr>
        <w:t>an</w:t>
      </w:r>
      <w:r>
        <w:rPr>
          <w:color w:val="231F20"/>
          <w:spacing w:val="27"/>
        </w:rPr>
        <w:t> </w:t>
      </w:r>
      <w:r>
        <w:rPr>
          <w:color w:val="231F20"/>
        </w:rPr>
        <w:t>attribute group, then configure the copy for different values for any of these criteria: collection interval, warehouse interval, managed system distribution, or attribute</w:t>
      </w:r>
      <w:r>
        <w:rPr>
          <w:color w:val="231F20"/>
          <w:spacing w:val="31"/>
        </w:rPr>
        <w:t> </w:t>
      </w:r>
      <w:r>
        <w:rPr>
          <w:color w:val="231F20"/>
        </w:rPr>
        <w:t>filtering.</w:t>
      </w:r>
      <w:r>
        <w:rPr>
          <w:color w:val="231F20"/>
          <w:spacing w:val="31"/>
        </w:rPr>
        <w:t> </w:t>
      </w:r>
      <w:r>
        <w:rPr>
          <w:color w:val="231F20"/>
        </w:rPr>
        <w:t>What</w:t>
      </w:r>
      <w:r>
        <w:rPr>
          <w:color w:val="231F20"/>
          <w:spacing w:val="31"/>
        </w:rPr>
        <w:t> </w:t>
      </w:r>
      <w:r>
        <w:rPr>
          <w:color w:val="231F20"/>
        </w:rPr>
        <w:t>remains</w:t>
      </w:r>
      <w:r>
        <w:rPr>
          <w:color w:val="231F20"/>
          <w:spacing w:val="31"/>
        </w:rPr>
        <w:t> </w:t>
      </w:r>
      <w:r>
        <w:rPr>
          <w:color w:val="231F20"/>
        </w:rPr>
        <w:t>the</w:t>
      </w:r>
      <w:r>
        <w:rPr>
          <w:color w:val="231F20"/>
          <w:spacing w:val="31"/>
        </w:rPr>
        <w:t> </w:t>
      </w:r>
      <w:r>
        <w:rPr>
          <w:color w:val="231F20"/>
        </w:rPr>
        <w:t>same</w:t>
      </w:r>
      <w:r>
        <w:rPr>
          <w:color w:val="231F20"/>
          <w:spacing w:val="31"/>
        </w:rPr>
        <w:t> </w:t>
      </w:r>
      <w:r>
        <w:rPr>
          <w:color w:val="231F20"/>
        </w:rPr>
        <w:t>for</w:t>
      </w:r>
      <w:r>
        <w:rPr>
          <w:color w:val="231F20"/>
          <w:spacing w:val="31"/>
        </w:rPr>
        <w:t> </w:t>
      </w:r>
      <w:r>
        <w:rPr>
          <w:color w:val="231F20"/>
        </w:rPr>
        <w:t>every</w:t>
      </w:r>
      <w:r>
        <w:rPr>
          <w:color w:val="231F20"/>
          <w:spacing w:val="31"/>
        </w:rPr>
        <w:t> </w:t>
      </w:r>
      <w:r>
        <w:rPr>
          <w:color w:val="231F20"/>
        </w:rPr>
        <w:t>historical</w:t>
      </w:r>
      <w:r>
        <w:rPr>
          <w:color w:val="231F20"/>
          <w:spacing w:val="31"/>
        </w:rPr>
        <w:t> </w:t>
      </w:r>
      <w:r>
        <w:rPr>
          <w:color w:val="231F20"/>
        </w:rPr>
        <w:t>collection that is defined for an attribute group, however, is the Collection Location (TEMA or TEMS) and the settings for Summarization and Pruning.</w:t>
      </w:r>
    </w:p>
    <w:p>
      <w:pPr>
        <w:pStyle w:val="BodyText"/>
        <w:spacing w:line="213" w:lineRule="auto" w:before="116"/>
        <w:ind w:left="3190"/>
      </w:pPr>
      <w:r>
        <w:rPr>
          <w:color w:val="231F20"/>
        </w:rPr>
        <w:t>To illustrate some of the possibilities, here is an example of three collection definitions for the Process attribute group:</w:t>
      </w:r>
    </w:p>
    <w:p>
      <w:pPr>
        <w:pStyle w:val="BodyText"/>
        <w:spacing w:line="213" w:lineRule="auto" w:before="58"/>
        <w:ind w:left="3406" w:hanging="216"/>
      </w:pPr>
      <w:r>
        <w:rPr>
          <w:rFonts w:ascii="Futura MdCn BT"/>
          <w:color w:val="231F20"/>
        </w:rPr>
        <w:t>v</w:t>
      </w:r>
      <w:r>
        <w:rPr>
          <w:rFonts w:ascii="Futura MdCn BT"/>
          <w:color w:val="231F20"/>
          <w:spacing w:val="80"/>
        </w:rPr>
        <w:t> </w:t>
      </w:r>
      <w:r>
        <w:rPr>
          <w:rFonts w:ascii="Book Antiqua"/>
          <w:b/>
          <w:color w:val="231F20"/>
        </w:rPr>
        <w:t>Process transaction servers </w:t>
      </w:r>
      <w:r>
        <w:rPr>
          <w:color w:val="231F20"/>
        </w:rPr>
        <w:t>has a 1-minute collection interval, a </w:t>
      </w:r>
      <w:r>
        <w:rPr>
          <w:color w:val="231F20"/>
        </w:rPr>
        <w:t>1-hour</w:t>
      </w:r>
      <w:r>
        <w:rPr>
          <w:color w:val="231F20"/>
        </w:rPr>
        <w:t> warehousing interval, and is distributed to a few critical servers.</w:t>
      </w:r>
    </w:p>
    <w:p>
      <w:pPr>
        <w:pStyle w:val="BodyText"/>
        <w:spacing w:line="213" w:lineRule="auto" w:before="59"/>
        <w:ind w:left="3406" w:hanging="216"/>
      </w:pPr>
      <w:r>
        <w:rPr>
          <w:rFonts w:ascii="Futura MdCn BT"/>
          <w:color w:val="231F20"/>
        </w:rPr>
        <w:t>v</w:t>
      </w:r>
      <w:r>
        <w:rPr>
          <w:rFonts w:ascii="Futura MdCn BT"/>
          <w:color w:val="231F20"/>
          <w:spacing w:val="80"/>
        </w:rPr>
        <w:t> </w:t>
      </w:r>
      <w:r>
        <w:rPr>
          <w:rFonts w:ascii="Book Antiqua"/>
          <w:b/>
          <w:color w:val="231F20"/>
        </w:rPr>
        <w:t>Process database servers </w:t>
      </w:r>
      <w:r>
        <w:rPr>
          <w:color w:val="231F20"/>
        </w:rPr>
        <w:t>has a 15-minute collection interval, data warehousing every 12 hours, and is distributed to database </w:t>
      </w:r>
      <w:r>
        <w:rPr>
          <w:color w:val="231F20"/>
        </w:rPr>
        <w:t>servers.</w:t>
      </w:r>
    </w:p>
    <w:p>
      <w:pPr>
        <w:pStyle w:val="BodyText"/>
        <w:spacing w:line="213" w:lineRule="auto" w:before="58"/>
        <w:ind w:left="3406" w:right="274" w:hanging="216"/>
      </w:pPr>
      <w:r>
        <w:rPr>
          <w:rFonts w:ascii="Futura MdCn BT"/>
          <w:color w:val="231F20"/>
        </w:rPr>
        <w:t>v</w:t>
      </w:r>
      <w:r>
        <w:rPr>
          <w:rFonts w:ascii="Futura MdCn BT"/>
          <w:color w:val="231F20"/>
          <w:spacing w:val="80"/>
        </w:rPr>
        <w:t> </w:t>
      </w:r>
      <w:r>
        <w:rPr>
          <w:rFonts w:ascii="Book Antiqua"/>
          <w:b/>
          <w:color w:val="231F20"/>
        </w:rPr>
        <w:t>Process staff systems </w:t>
      </w:r>
      <w:r>
        <w:rPr>
          <w:color w:val="231F20"/>
        </w:rPr>
        <w:t>has a 1-hour collection interval, data </w:t>
      </w:r>
      <w:r>
        <w:rPr>
          <w:color w:val="231F20"/>
        </w:rPr>
        <w:t>warehousing</w:t>
      </w:r>
      <w:r>
        <w:rPr>
          <w:color w:val="231F20"/>
        </w:rPr>
        <w:t> every 24 hours, and is distributed to a general use group of managed </w:t>
      </w:r>
      <w:r>
        <w:rPr>
          <w:color w:val="231F20"/>
          <w:spacing w:val="-2"/>
        </w:rPr>
        <w:t>systems.</w:t>
      </w:r>
    </w:p>
    <w:p>
      <w:pPr>
        <w:pStyle w:val="BodyText"/>
        <w:spacing w:line="213" w:lineRule="auto" w:before="118"/>
        <w:ind w:left="3190" w:right="182"/>
        <w:jc w:val="both"/>
      </w:pPr>
      <w:r>
        <w:rPr>
          <w:color w:val="231F20"/>
        </w:rPr>
        <w:t>The original and the two copied collection definitions have their </w:t>
      </w:r>
      <w:r>
        <w:rPr>
          <w:color w:val="231F20"/>
        </w:rPr>
        <w:t>short-term history files saved at the same place (TEMA or TEMS) and follow the same summarization and pruning schedule.</w:t>
      </w:r>
    </w:p>
    <w:p>
      <w:pPr>
        <w:pStyle w:val="BodyText"/>
        <w:spacing w:line="213" w:lineRule="auto" w:before="118"/>
        <w:ind w:left="3190" w:right="274"/>
        <w:rPr>
          <w:rFonts w:ascii="Arial"/>
          <w:b/>
        </w:rPr>
      </w:pPr>
      <w:r>
        <w:rPr>
          <w:color w:val="231F20"/>
        </w:rPr>
        <w:t>As stated earlier, it is important for you to develop a way to organize how managed systems are assigned to historical distributions. When you</w:t>
      </w:r>
      <w:r>
        <w:rPr>
          <w:color w:val="231F20"/>
          <w:spacing w:val="40"/>
        </w:rPr>
        <w:t> </w:t>
      </w:r>
      <w:r>
        <w:rPr>
          <w:color w:val="231F20"/>
          <w:spacing w:val="-15"/>
          <w:position w:val="-1"/>
        </w:rPr>
        <w:drawing>
          <wp:inline distT="0" distB="0" distL="0" distR="0">
            <wp:extent cx="82550" cy="95250"/>
            <wp:effectExtent l="0" t="0" r="0" b="0"/>
            <wp:docPr id="1884" name="Image 1884"/>
            <wp:cNvGraphicFramePr>
              <a:graphicFrameLocks/>
            </wp:cNvGraphicFramePr>
            <a:graphic>
              <a:graphicData uri="http://schemas.openxmlformats.org/drawingml/2006/picture">
                <pic:pic>
                  <pic:nvPicPr>
                    <pic:cNvPr id="1884" name="Image 1884"/>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rPr>
      </w:r>
      <w:r>
        <w:rPr>
          <w:rFonts w:ascii="Times New Roman"/>
          <w:color w:val="231F20"/>
          <w:position w:val="-1"/>
        </w:rPr>
        <w:t> </w:t>
      </w:r>
      <w:r>
        <w:rPr>
          <w:rFonts w:ascii="Book Antiqua"/>
          <w:b/>
          <w:color w:val="231F20"/>
        </w:rPr>
        <w:t>Create another collection</w:t>
      </w:r>
      <w:r>
        <w:rPr>
          <w:color w:val="231F20"/>
        </w:rPr>
        <w:t>, the managed system distribution from the</w:t>
      </w:r>
      <w:r>
        <w:rPr>
          <w:color w:val="231F20"/>
          <w:spacing w:val="40"/>
        </w:rPr>
        <w:t> </w:t>
      </w:r>
      <w:r>
        <w:rPr>
          <w:color w:val="231F20"/>
        </w:rPr>
        <w:t>original collection definition is not copied from the original collection. This</w:t>
      </w:r>
      <w:r>
        <w:rPr>
          <w:color w:val="231F20"/>
          <w:spacing w:val="80"/>
        </w:rPr>
        <w:t> </w:t>
      </w:r>
      <w:r>
        <w:rPr>
          <w:color w:val="231F20"/>
        </w:rPr>
        <w:t>is</w:t>
      </w:r>
      <w:r>
        <w:rPr>
          <w:color w:val="231F20"/>
          <w:spacing w:val="27"/>
        </w:rPr>
        <w:t> </w:t>
      </w:r>
      <w:r>
        <w:rPr>
          <w:color w:val="231F20"/>
        </w:rPr>
        <w:t>to</w:t>
      </w:r>
      <w:r>
        <w:rPr>
          <w:color w:val="231F20"/>
          <w:spacing w:val="27"/>
        </w:rPr>
        <w:t> </w:t>
      </w:r>
      <w:r>
        <w:rPr>
          <w:color w:val="231F20"/>
        </w:rPr>
        <w:t>help</w:t>
      </w:r>
      <w:r>
        <w:rPr>
          <w:color w:val="231F20"/>
          <w:spacing w:val="27"/>
        </w:rPr>
        <w:t> </w:t>
      </w:r>
      <w:r>
        <w:rPr>
          <w:color w:val="231F20"/>
        </w:rPr>
        <w:t>ensure</w:t>
      </w:r>
      <w:r>
        <w:rPr>
          <w:color w:val="231F20"/>
          <w:spacing w:val="27"/>
        </w:rPr>
        <w:t> </w:t>
      </w:r>
      <w:r>
        <w:rPr>
          <w:color w:val="231F20"/>
        </w:rPr>
        <w:t>that</w:t>
      </w:r>
      <w:r>
        <w:rPr>
          <w:color w:val="231F20"/>
          <w:spacing w:val="27"/>
        </w:rPr>
        <w:t> </w:t>
      </w:r>
      <w:r>
        <w:rPr>
          <w:color w:val="231F20"/>
        </w:rPr>
        <w:t>you</w:t>
      </w:r>
      <w:r>
        <w:rPr>
          <w:color w:val="231F20"/>
          <w:spacing w:val="27"/>
        </w:rPr>
        <w:t> </w:t>
      </w:r>
      <w:r>
        <w:rPr>
          <w:color w:val="231F20"/>
        </w:rPr>
        <w:t>do</w:t>
      </w:r>
      <w:r>
        <w:rPr>
          <w:color w:val="231F20"/>
          <w:spacing w:val="27"/>
        </w:rPr>
        <w:t> </w:t>
      </w:r>
      <w:r>
        <w:rPr>
          <w:color w:val="231F20"/>
        </w:rPr>
        <w:t>not</w:t>
      </w:r>
      <w:r>
        <w:rPr>
          <w:color w:val="231F20"/>
          <w:spacing w:val="27"/>
        </w:rPr>
        <w:t> </w:t>
      </w:r>
      <w:r>
        <w:rPr>
          <w:color w:val="231F20"/>
        </w:rPr>
        <w:t>assign</w:t>
      </w:r>
      <w:r>
        <w:rPr>
          <w:color w:val="231F20"/>
          <w:spacing w:val="27"/>
        </w:rPr>
        <w:t> </w:t>
      </w:r>
      <w:r>
        <w:rPr>
          <w:color w:val="231F20"/>
        </w:rPr>
        <w:t>the</w:t>
      </w:r>
      <w:r>
        <w:rPr>
          <w:color w:val="231F20"/>
          <w:spacing w:val="27"/>
        </w:rPr>
        <w:t> </w:t>
      </w:r>
      <w:r>
        <w:rPr>
          <w:color w:val="231F20"/>
        </w:rPr>
        <w:t>same</w:t>
      </w:r>
      <w:r>
        <w:rPr>
          <w:color w:val="231F20"/>
          <w:spacing w:val="27"/>
        </w:rPr>
        <w:t> </w:t>
      </w:r>
      <w:r>
        <w:rPr>
          <w:color w:val="231F20"/>
        </w:rPr>
        <w:t>managed</w:t>
      </w:r>
      <w:r>
        <w:rPr>
          <w:color w:val="231F20"/>
          <w:spacing w:val="27"/>
        </w:rPr>
        <w:t> </w:t>
      </w:r>
      <w:r>
        <w:rPr>
          <w:color w:val="231F20"/>
        </w:rPr>
        <w:t>systems</w:t>
      </w:r>
      <w:r>
        <w:rPr>
          <w:color w:val="231F20"/>
          <w:spacing w:val="27"/>
        </w:rPr>
        <w:t> </w:t>
      </w:r>
      <w:r>
        <w:rPr>
          <w:color w:val="231F20"/>
        </w:rPr>
        <w:t>to other collection definitions for the attribute group. If you do, historical </w:t>
      </w:r>
      <w:r>
        <w:rPr>
          <w:color w:val="231F20"/>
        </w:rPr>
        <w:t>data samples will be taken for each collection definition, a symptom of which is the occurrence of duplicate rows in a table view. Group functions, such as averages, will have skewed results also. If this happens, use the CLI </w:t>
      </w:r>
      <w:r>
        <w:rPr>
          <w:rFonts w:ascii="Arial"/>
          <w:b/>
          <w:color w:val="231F20"/>
        </w:rPr>
        <w:t>tacmd</w:t>
      </w:r>
    </w:p>
    <w:p>
      <w:pPr>
        <w:spacing w:after="0" w:line="213" w:lineRule="auto"/>
        <w:rPr>
          <w:rFonts w:ascii="Arial"/>
        </w:rPr>
        <w:sectPr>
          <w:pgSz w:w="12240" w:h="15840"/>
          <w:pgMar w:header="0" w:footer="736" w:top="1180" w:bottom="920" w:left="1000" w:right="1060"/>
        </w:sectPr>
      </w:pPr>
    </w:p>
    <w:p>
      <w:pPr>
        <w:pStyle w:val="BodyText"/>
        <w:spacing w:line="213" w:lineRule="auto" w:before="85"/>
        <w:ind w:left="2951" w:right="636"/>
      </w:pPr>
      <w:r>
        <w:rPr>
          <w:rFonts w:ascii="Arial"/>
          <w:b/>
          <w:color w:val="231F20"/>
          <w:w w:val="105"/>
        </w:rPr>
        <w:t>histListCollections </w:t>
      </w:r>
      <w:r>
        <w:rPr>
          <w:color w:val="231F20"/>
          <w:w w:val="105"/>
        </w:rPr>
        <w:t>(see </w:t>
      </w:r>
      <w:hyperlink r:id="rId348">
        <w:r>
          <w:rPr>
            <w:rFonts w:ascii="Book Antiqua"/>
            <w:i/>
            <w:color w:val="231F20"/>
            <w:w w:val="105"/>
          </w:rPr>
          <w:t>IBM Tivoli Monitoring Command Reference</w:t>
        </w:r>
      </w:hyperlink>
      <w:r>
        <w:rPr>
          <w:rFonts w:ascii="Book Antiqua"/>
          <w:i/>
          <w:color w:val="231F20"/>
          <w:w w:val="105"/>
        </w:rPr>
        <w:t> </w:t>
      </w:r>
      <w:hyperlink r:id="rId349">
        <w:r>
          <w:rPr>
            <w:color w:val="231F20"/>
            <w:spacing w:val="-2"/>
            <w:w w:val="105"/>
          </w:rPr>
          <w:t>(http://pic.dhe.ibm.com/infocenter/tivihelp/v61r1/topic/</w:t>
        </w:r>
      </w:hyperlink>
      <w:r>
        <w:rPr>
          <w:color w:val="231F20"/>
          <w:spacing w:val="80"/>
          <w:w w:val="105"/>
        </w:rPr>
        <w:t> </w:t>
      </w:r>
      <w:r>
        <w:rPr>
          <w:color w:val="231F20"/>
          <w:w w:val="105"/>
        </w:rPr>
        <w:t>com.ibm.itm.doc_6.3/cmdref/itm_cmdref.htm)) to list the historical </w:t>
      </w:r>
      <w:r>
        <w:rPr>
          <w:color w:val="231F20"/>
        </w:rPr>
        <w:t>collection distributions, then remove the managed system reference </w:t>
      </w:r>
      <w:r>
        <w:rPr>
          <w:color w:val="231F20"/>
        </w:rPr>
        <w:t>from </w:t>
      </w:r>
      <w:r>
        <w:rPr>
          <w:color w:val="231F20"/>
          <w:w w:val="105"/>
        </w:rPr>
        <w:t>all but one of the collections for the attribute group.</w:t>
      </w:r>
    </w:p>
    <w:p>
      <w:pPr>
        <w:pStyle w:val="Heading6"/>
        <w:spacing w:before="115"/>
        <w:ind w:left="2232"/>
      </w:pPr>
      <w:r>
        <w:rPr>
          <w:color w:val="231F20"/>
        </w:rPr>
        <w:t>Historical</w:t>
      </w:r>
      <w:r>
        <w:rPr>
          <w:color w:val="231F20"/>
          <w:spacing w:val="7"/>
        </w:rPr>
        <w:t> </w:t>
      </w:r>
      <w:r>
        <w:rPr>
          <w:color w:val="231F20"/>
        </w:rPr>
        <w:t>attribute</w:t>
      </w:r>
      <w:r>
        <w:rPr>
          <w:color w:val="231F20"/>
          <w:spacing w:val="8"/>
        </w:rPr>
        <w:t> </w:t>
      </w:r>
      <w:r>
        <w:rPr>
          <w:color w:val="231F20"/>
          <w:spacing w:val="-2"/>
        </w:rPr>
        <w:t>groups</w:t>
      </w:r>
    </w:p>
    <w:p>
      <w:pPr>
        <w:pStyle w:val="BodyText"/>
        <w:spacing w:line="213" w:lineRule="auto" w:before="11"/>
        <w:ind w:left="2951" w:right="545"/>
      </w:pPr>
      <w:r>
        <w:rPr>
          <w:color w:val="231F20"/>
        </w:rPr>
        <w:t>Some attributes groups, such as Situation Status and Windows Event </w:t>
      </w:r>
      <w:r>
        <w:rPr>
          <w:color w:val="231F20"/>
        </w:rPr>
        <w:t>Log, are historical in nature and show all their entries without your having to specify a time span. You do not need to configure history collection for these attribute groups unless you want to roll off to a data warehouse or limit the data reported.</w:t>
      </w:r>
    </w:p>
    <w:p>
      <w:pPr>
        <w:pStyle w:val="Heading6"/>
        <w:spacing w:line="240" w:lineRule="auto" w:before="115"/>
        <w:ind w:left="2232" w:right="545"/>
      </w:pPr>
      <w:r>
        <w:rPr>
          <w:color w:val="231F20"/>
        </w:rPr>
        <w:t>Configurable elements of collections for an attribute group and </w:t>
      </w:r>
      <w:r>
        <w:rPr>
          <w:color w:val="231F20"/>
        </w:rPr>
        <w:t>their </w:t>
      </w:r>
      <w:r>
        <w:rPr>
          <w:color w:val="231F20"/>
          <w:spacing w:val="-2"/>
        </w:rPr>
        <w:t>dependencies</w:t>
      </w:r>
    </w:p>
    <w:p>
      <w:pPr>
        <w:pStyle w:val="BodyText"/>
        <w:spacing w:line="213" w:lineRule="auto"/>
        <w:ind w:left="2951" w:right="493"/>
      </w:pPr>
      <w:r>
        <w:rPr>
          <w:rFonts w:ascii="Book Antiqua"/>
          <w:b/>
          <w:color w:val="231F20"/>
        </w:rPr>
        <w:t>Summarization and pruning </w:t>
      </w:r>
      <w:r>
        <w:rPr>
          <w:color w:val="231F20"/>
        </w:rPr>
        <w:t>is configured by attribute group; not by </w:t>
      </w:r>
      <w:r>
        <w:rPr>
          <w:color w:val="231F20"/>
        </w:rPr>
        <w:t>the collection definitions, and can be configured independently of collection </w:t>
      </w:r>
      <w:r>
        <w:rPr>
          <w:color w:val="231F20"/>
          <w:spacing w:val="-2"/>
        </w:rPr>
        <w:t>definitions.</w:t>
      </w:r>
    </w:p>
    <w:p>
      <w:pPr>
        <w:pStyle w:val="BodyText"/>
        <w:spacing w:line="213" w:lineRule="auto" w:before="116"/>
        <w:ind w:left="2951" w:right="545"/>
      </w:pPr>
      <w:r>
        <w:rPr>
          <w:rFonts w:ascii="Book Antiqua"/>
          <w:b/>
          <w:color w:val="231F20"/>
        </w:rPr>
        <w:t>Collection interval</w:t>
      </w:r>
      <w:r>
        <w:rPr>
          <w:color w:val="231F20"/>
        </w:rPr>
        <w:t>, the frequency that data samples are taken at the managed system and saved to the short-term history file, can be </w:t>
      </w:r>
      <w:r>
        <w:rPr>
          <w:color w:val="231F20"/>
        </w:rPr>
        <w:t>different for each collection definition.</w:t>
      </w:r>
    </w:p>
    <w:p>
      <w:pPr>
        <w:pStyle w:val="BodyText"/>
        <w:spacing w:line="213" w:lineRule="auto" w:before="118"/>
        <w:ind w:left="2951" w:right="545"/>
      </w:pPr>
      <w:r>
        <w:rPr>
          <w:rFonts w:ascii="Book Antiqua"/>
          <w:b/>
          <w:color w:val="231F20"/>
        </w:rPr>
        <w:t>Collection location </w:t>
      </w:r>
      <w:r>
        <w:rPr>
          <w:color w:val="231F20"/>
        </w:rPr>
        <w:t>for the short-term history file can be at the managed system or the monitoring server it connects to. There is one short-term history file for an attribute group per managed system; whatever was set for the first collection is used by all collection definitions for that </w:t>
      </w:r>
      <w:r>
        <w:rPr>
          <w:color w:val="231F20"/>
        </w:rPr>
        <w:t>attribute </w:t>
      </w:r>
      <w:r>
        <w:rPr>
          <w:color w:val="231F20"/>
          <w:spacing w:val="-2"/>
        </w:rPr>
        <w:t>group.</w:t>
      </w:r>
    </w:p>
    <w:p>
      <w:pPr>
        <w:pStyle w:val="BodyText"/>
        <w:spacing w:line="213" w:lineRule="auto" w:before="116"/>
        <w:ind w:left="2951" w:right="636"/>
      </w:pPr>
      <w:r>
        <w:rPr>
          <w:rFonts w:ascii="Book Antiqua"/>
          <w:b/>
          <w:color w:val="231F20"/>
        </w:rPr>
        <w:t>Warehouse interval</w:t>
      </w:r>
      <w:r>
        <w:rPr>
          <w:color w:val="231F20"/>
        </w:rPr>
        <w:t>, for controlling how often historical data is </w:t>
      </w:r>
      <w:r>
        <w:rPr>
          <w:color w:val="231F20"/>
        </w:rPr>
        <w:t>copied from the short-term history file to the data warehouse, can be set differently for each collection definition.</w:t>
      </w:r>
    </w:p>
    <w:p>
      <w:pPr>
        <w:pStyle w:val="Heading6"/>
        <w:spacing w:line="252" w:lineRule="exact" w:before="100"/>
        <w:ind w:left="2951"/>
      </w:pPr>
      <w:r>
        <w:rPr>
          <w:color w:val="231F20"/>
        </w:rPr>
        <w:t>Distribute</w:t>
      </w:r>
      <w:r>
        <w:rPr>
          <w:color w:val="231F20"/>
          <w:spacing w:val="4"/>
        </w:rPr>
        <w:t> </w:t>
      </w:r>
      <w:r>
        <w:rPr>
          <w:color w:val="231F20"/>
        </w:rPr>
        <w:t>to</w:t>
      </w:r>
      <w:r>
        <w:rPr>
          <w:color w:val="231F20"/>
          <w:spacing w:val="10"/>
        </w:rPr>
        <w:t> </w:t>
      </w:r>
      <w:r>
        <w:rPr>
          <w:color w:val="231F20"/>
          <w:spacing w:val="16"/>
        </w:rPr>
        <w:drawing>
          <wp:inline distT="0" distB="0" distL="0" distR="0">
            <wp:extent cx="88900" cy="82550"/>
            <wp:effectExtent l="0" t="0" r="0" b="0"/>
            <wp:docPr id="1885" name="Image 1885"/>
            <wp:cNvGraphicFramePr>
              <a:graphicFrameLocks/>
            </wp:cNvGraphicFramePr>
            <a:graphic>
              <a:graphicData uri="http://schemas.openxmlformats.org/drawingml/2006/picture">
                <pic:pic>
                  <pic:nvPicPr>
                    <pic:cNvPr id="1885" name="Image 188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b w:val="0"/>
          <w:color w:val="231F20"/>
          <w:spacing w:val="-17"/>
        </w:rPr>
        <w:t> </w:t>
      </w:r>
      <w:r>
        <w:rPr>
          <w:color w:val="231F20"/>
        </w:rPr>
        <w:t>Managed</w:t>
      </w:r>
      <w:r>
        <w:rPr>
          <w:color w:val="231F20"/>
          <w:spacing w:val="11"/>
        </w:rPr>
        <w:t> </w:t>
      </w:r>
      <w:r>
        <w:rPr>
          <w:color w:val="231F20"/>
        </w:rPr>
        <w:t>System</w:t>
      </w:r>
      <w:r>
        <w:rPr>
          <w:color w:val="231F20"/>
          <w:spacing w:val="10"/>
        </w:rPr>
        <w:t> </w:t>
      </w:r>
      <w:r>
        <w:rPr>
          <w:color w:val="231F20"/>
        </w:rPr>
        <w:t>(Agent)</w:t>
      </w:r>
      <w:r>
        <w:rPr>
          <w:color w:val="231F20"/>
          <w:spacing w:val="10"/>
        </w:rPr>
        <w:t> </w:t>
      </w:r>
      <w:r>
        <w:rPr>
          <w:rFonts w:ascii="Palatino Linotype"/>
          <w:b w:val="0"/>
          <w:color w:val="231F20"/>
        </w:rPr>
        <w:t>or</w:t>
      </w:r>
      <w:r>
        <w:rPr>
          <w:rFonts w:ascii="Palatino Linotype"/>
          <w:b w:val="0"/>
          <w:color w:val="231F20"/>
          <w:spacing w:val="11"/>
        </w:rPr>
        <w:t> </w:t>
      </w:r>
      <w:r>
        <w:rPr>
          <w:rFonts w:ascii="Palatino Linotype"/>
          <w:b w:val="0"/>
          <w:color w:val="231F20"/>
          <w:spacing w:val="16"/>
        </w:rPr>
        <w:drawing>
          <wp:inline distT="0" distB="0" distL="0" distR="0">
            <wp:extent cx="88900" cy="82550"/>
            <wp:effectExtent l="0" t="0" r="0" b="0"/>
            <wp:docPr id="1886" name="Image 1886"/>
            <wp:cNvGraphicFramePr>
              <a:graphicFrameLocks/>
            </wp:cNvGraphicFramePr>
            <a:graphic>
              <a:graphicData uri="http://schemas.openxmlformats.org/drawingml/2006/picture">
                <pic:pic>
                  <pic:nvPicPr>
                    <pic:cNvPr id="1886" name="Image 1886"/>
                    <pic:cNvPicPr/>
                  </pic:nvPicPr>
                  <pic:blipFill>
                    <a:blip r:embed="rId182" cstate="print"/>
                    <a:stretch>
                      <a:fillRect/>
                    </a:stretch>
                  </pic:blipFill>
                  <pic:spPr>
                    <a:xfrm>
                      <a:off x="0" y="0"/>
                      <a:ext cx="88900" cy="82550"/>
                    </a:xfrm>
                    <a:prstGeom prst="rect">
                      <a:avLst/>
                    </a:prstGeom>
                  </pic:spPr>
                </pic:pic>
              </a:graphicData>
            </a:graphic>
          </wp:inline>
        </w:drawing>
      </w:r>
      <w:r>
        <w:rPr>
          <w:rFonts w:ascii="Palatino Linotype"/>
          <w:b w:val="0"/>
          <w:color w:val="231F20"/>
          <w:spacing w:val="16"/>
        </w:rPr>
      </w:r>
      <w:r>
        <w:rPr>
          <w:rFonts w:ascii="Times New Roman"/>
          <w:b w:val="0"/>
          <w:color w:val="231F20"/>
          <w:spacing w:val="-17"/>
        </w:rPr>
        <w:t> </w:t>
      </w:r>
      <w:r>
        <w:rPr>
          <w:color w:val="231F20"/>
        </w:rPr>
        <w:t>Managing</w:t>
      </w:r>
      <w:r>
        <w:rPr>
          <w:color w:val="231F20"/>
          <w:spacing w:val="10"/>
        </w:rPr>
        <w:t> </w:t>
      </w:r>
      <w:r>
        <w:rPr>
          <w:color w:val="231F20"/>
        </w:rPr>
        <w:t>System</w:t>
      </w:r>
      <w:r>
        <w:rPr>
          <w:color w:val="231F20"/>
          <w:spacing w:val="10"/>
        </w:rPr>
        <w:t> </w:t>
      </w:r>
      <w:r>
        <w:rPr>
          <w:color w:val="231F20"/>
          <w:spacing w:val="-2"/>
        </w:rPr>
        <w:t>(TEMS)</w:t>
      </w:r>
    </w:p>
    <w:p>
      <w:pPr>
        <w:pStyle w:val="BodyText"/>
        <w:spacing w:line="252" w:lineRule="exact"/>
        <w:ind w:left="2951"/>
      </w:pPr>
      <w:r>
        <w:rPr>
          <w:color w:val="231F20"/>
        </w:rPr>
        <w:t>can</w:t>
      </w:r>
      <w:r>
        <w:rPr>
          <w:color w:val="231F20"/>
          <w:spacing w:val="10"/>
        </w:rPr>
        <w:t> </w:t>
      </w:r>
      <w:r>
        <w:rPr>
          <w:color w:val="231F20"/>
        </w:rPr>
        <w:t>be</w:t>
      </w:r>
      <w:r>
        <w:rPr>
          <w:color w:val="231F20"/>
          <w:spacing w:val="10"/>
        </w:rPr>
        <w:t> </w:t>
      </w:r>
      <w:r>
        <w:rPr>
          <w:color w:val="231F20"/>
        </w:rPr>
        <w:t>set</w:t>
      </w:r>
      <w:r>
        <w:rPr>
          <w:color w:val="231F20"/>
          <w:spacing w:val="10"/>
        </w:rPr>
        <w:t> </w:t>
      </w:r>
      <w:r>
        <w:rPr>
          <w:color w:val="231F20"/>
        </w:rPr>
        <w:t>differently</w:t>
      </w:r>
      <w:r>
        <w:rPr>
          <w:color w:val="231F20"/>
          <w:spacing w:val="11"/>
        </w:rPr>
        <w:t> </w:t>
      </w:r>
      <w:r>
        <w:rPr>
          <w:color w:val="231F20"/>
        </w:rPr>
        <w:t>for</w:t>
      </w:r>
      <w:r>
        <w:rPr>
          <w:color w:val="231F20"/>
          <w:spacing w:val="10"/>
        </w:rPr>
        <w:t> </w:t>
      </w:r>
      <w:r>
        <w:rPr>
          <w:color w:val="231F20"/>
        </w:rPr>
        <w:t>each</w:t>
      </w:r>
      <w:r>
        <w:rPr>
          <w:color w:val="231F20"/>
          <w:spacing w:val="10"/>
        </w:rPr>
        <w:t> </w:t>
      </w:r>
      <w:r>
        <w:rPr>
          <w:color w:val="231F20"/>
        </w:rPr>
        <w:t>collection</w:t>
      </w:r>
      <w:r>
        <w:rPr>
          <w:color w:val="231F20"/>
          <w:spacing w:val="11"/>
        </w:rPr>
        <w:t> </w:t>
      </w:r>
      <w:r>
        <w:rPr>
          <w:color w:val="231F20"/>
          <w:spacing w:val="-2"/>
        </w:rPr>
        <w:t>definition.</w:t>
      </w:r>
    </w:p>
    <w:p>
      <w:pPr>
        <w:pStyle w:val="BodyText"/>
        <w:spacing w:line="213" w:lineRule="auto" w:before="112"/>
        <w:ind w:left="2951"/>
      </w:pPr>
      <w:r>
        <w:rPr>
          <w:color w:val="231F20"/>
        </w:rPr>
        <w:t>When this is set to </w:t>
      </w:r>
      <w:r>
        <w:rPr>
          <w:rFonts w:ascii="Book Antiqua"/>
          <w:i/>
          <w:color w:val="231F20"/>
        </w:rPr>
        <w:t>Managing System</w:t>
      </w:r>
      <w:r>
        <w:rPr>
          <w:color w:val="231F20"/>
        </w:rPr>
        <w:t>, distribution is to all managed </w:t>
      </w:r>
      <w:r>
        <w:rPr>
          <w:color w:val="231F20"/>
        </w:rPr>
        <w:t>systems connected to the monitoring server; the ability to selectively distribute the collection on managed systems is disabled.</w:t>
      </w:r>
    </w:p>
    <w:p>
      <w:pPr>
        <w:pStyle w:val="BodyText"/>
        <w:spacing w:line="213" w:lineRule="auto" w:before="118"/>
        <w:ind w:left="2951" w:right="545"/>
      </w:pPr>
      <w:r>
        <w:rPr>
          <w:color w:val="231F20"/>
        </w:rPr>
        <w:t>When this is set to </w:t>
      </w:r>
      <w:r>
        <w:rPr>
          <w:rFonts w:ascii="Book Antiqua"/>
          <w:i/>
          <w:color w:val="231F20"/>
        </w:rPr>
        <w:t>Managed System</w:t>
      </w:r>
      <w:r>
        <w:rPr>
          <w:color w:val="231F20"/>
        </w:rPr>
        <w:t>, you have the option of assigning managed systems to the individual collection definition in the Distribution tab or to a historical configuration group that the collection is a member </w:t>
      </w:r>
      <w:r>
        <w:rPr>
          <w:color w:val="231F20"/>
        </w:rPr>
        <w:t>of</w:t>
      </w:r>
      <w:r>
        <w:rPr>
          <w:color w:val="231F20"/>
          <w:spacing w:val="40"/>
        </w:rPr>
        <w:t> </w:t>
      </w:r>
      <w:r>
        <w:rPr>
          <w:color w:val="231F20"/>
        </w:rPr>
        <w:t>or both. And managed systems can be assigned individually or as a managed system group.</w:t>
      </w:r>
    </w:p>
    <w:p>
      <w:pPr>
        <w:pStyle w:val="BodyText"/>
        <w:spacing w:line="213" w:lineRule="auto" w:before="116"/>
        <w:ind w:left="2951" w:right="636"/>
      </w:pPr>
      <w:r>
        <w:rPr>
          <w:rFonts w:ascii="Book Antiqua"/>
          <w:b/>
          <w:color w:val="231F20"/>
        </w:rPr>
        <w:t>Filter </w:t>
      </w:r>
      <w:r>
        <w:rPr>
          <w:color w:val="231F20"/>
        </w:rPr>
        <w:t>criteria for preventing the collection of unwanted data is</w:t>
      </w:r>
      <w:r>
        <w:rPr>
          <w:color w:val="231F20"/>
          <w:spacing w:val="80"/>
        </w:rPr>
        <w:t> </w:t>
      </w:r>
      <w:r>
        <w:rPr>
          <w:color w:val="231F20"/>
        </w:rPr>
        <w:t>configurable for each collection definition. Applying filters to historical</w:t>
      </w:r>
      <w:r>
        <w:rPr>
          <w:color w:val="231F20"/>
          <w:spacing w:val="40"/>
        </w:rPr>
        <w:t> </w:t>
      </w:r>
      <w:r>
        <w:rPr>
          <w:color w:val="231F20"/>
        </w:rPr>
        <w:t>data collection can help reduce network traffic and wasted disk space </w:t>
      </w:r>
      <w:r>
        <w:rPr>
          <w:color w:val="231F20"/>
        </w:rPr>
        <w:t>and can improve summarization and pruning performance.</w:t>
      </w:r>
    </w:p>
    <w:p>
      <w:pPr>
        <w:pStyle w:val="BodyText"/>
        <w:spacing w:line="213" w:lineRule="auto" w:before="117"/>
        <w:ind w:left="2951" w:right="545"/>
      </w:pPr>
      <w:r>
        <w:rPr>
          <w:color w:val="231F20"/>
        </w:rPr>
        <w:t>Be aware that filtered data collection can affect the results of trending calculations that are performed with chart baselining and situation</w:t>
      </w:r>
      <w:r>
        <w:rPr>
          <w:color w:val="231F20"/>
          <w:spacing w:val="40"/>
        </w:rPr>
        <w:t> </w:t>
      </w:r>
      <w:r>
        <w:rPr>
          <w:color w:val="231F20"/>
        </w:rPr>
        <w:t>modeling and of query-based views that include historical data. For example, a filter to collect only rows where the process uses 80% or more CPU means that a calculation of average values will be only of values </w:t>
      </w:r>
      <w:r>
        <w:rPr>
          <w:color w:val="231F20"/>
        </w:rPr>
        <w:t>80% and higher, rather than of all values.</w:t>
      </w:r>
    </w:p>
    <w:p>
      <w:pPr>
        <w:spacing w:after="0" w:line="213" w:lineRule="auto"/>
        <w:sectPr>
          <w:pgSz w:w="12240" w:h="15840"/>
          <w:pgMar w:header="0" w:footer="736" w:top="1180" w:bottom="920" w:left="1000" w:right="1060"/>
        </w:sectPr>
      </w:pPr>
    </w:p>
    <w:p>
      <w:pPr>
        <w:pStyle w:val="Heading3"/>
        <w:spacing w:before="84"/>
        <w:ind w:left="1574"/>
      </w:pPr>
      <w:bookmarkStart w:name="_bookmark157" w:id="347"/>
      <w:bookmarkEnd w:id="347"/>
      <w:r>
        <w:rPr>
          <w:b w:val="0"/>
        </w:rPr>
      </w:r>
      <w:bookmarkStart w:name="Creating a historical collection" w:id="348"/>
      <w:bookmarkEnd w:id="348"/>
      <w:r>
        <w:rPr>
          <w:b w:val="0"/>
        </w:rPr>
      </w:r>
      <w:r>
        <w:rPr>
          <w:color w:val="231F20"/>
        </w:rPr>
        <w:t>Creating</w:t>
      </w:r>
      <w:r>
        <w:rPr>
          <w:color w:val="231F20"/>
          <w:spacing w:val="6"/>
        </w:rPr>
        <w:t> </w:t>
      </w:r>
      <w:r>
        <w:rPr>
          <w:color w:val="231F20"/>
        </w:rPr>
        <w:t>a</w:t>
      </w:r>
      <w:r>
        <w:rPr>
          <w:color w:val="231F20"/>
          <w:spacing w:val="7"/>
        </w:rPr>
        <w:t> </w:t>
      </w:r>
      <w:r>
        <w:rPr>
          <w:color w:val="231F20"/>
        </w:rPr>
        <w:t>historical</w:t>
      </w:r>
      <w:r>
        <w:rPr>
          <w:color w:val="231F20"/>
          <w:spacing w:val="6"/>
        </w:rPr>
        <w:t> </w:t>
      </w:r>
      <w:r>
        <w:rPr>
          <w:color w:val="231F20"/>
          <w:spacing w:val="-2"/>
        </w:rPr>
        <w:t>collection</w:t>
      </w:r>
    </w:p>
    <w:p>
      <w:pPr>
        <w:pStyle w:val="BodyText"/>
        <w:spacing w:line="213" w:lineRule="auto" w:before="58"/>
        <w:ind w:left="2472" w:right="258"/>
      </w:pPr>
      <w:r>
        <w:rPr>
          <w:color w:val="231F20"/>
        </w:rPr>
        <w:t>A historical data collection specifies the attribute group to collect data from, where</w:t>
      </w:r>
      <w:r>
        <w:rPr>
          <w:color w:val="231F20"/>
          <w:spacing w:val="40"/>
        </w:rPr>
        <w:t> </w:t>
      </w:r>
      <w:r>
        <w:rPr>
          <w:color w:val="231F20"/>
        </w:rPr>
        <w:t>to store the historical data, and other information such as the collection frequency and distribution. Create a historical collection definition for every attribute group that you want to collect historical data for. You can then retrieve the historical data into query-based views.</w:t>
      </w:r>
    </w:p>
    <w:p>
      <w:pPr>
        <w:pStyle w:val="Heading4"/>
        <w:spacing w:before="198"/>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58"/>
      </w:pPr>
      <w:r>
        <w:rPr>
          <w:color w:val="231F20"/>
        </w:rPr>
        <w:t>Your user ID must have Configure History permission to open the History Collection Configuration window. If you do not have this permission, you will </w:t>
      </w:r>
      <w:r>
        <w:rPr>
          <w:color w:val="231F20"/>
        </w:rPr>
        <w:t>not see the menu item or tool for historical configuration.</w:t>
      </w:r>
    </w:p>
    <w:p>
      <w:pPr>
        <w:pStyle w:val="BodyText"/>
        <w:spacing w:line="213" w:lineRule="auto" w:before="237"/>
        <w:ind w:left="2472" w:right="493"/>
      </w:pPr>
      <w:r>
        <w:rPr>
          <w:color w:val="231F20"/>
        </w:rPr>
        <w:t>The CCC Logs apply to all managed systems: Agent Operations Log, ITM </w:t>
      </w:r>
      <w:r>
        <w:rPr>
          <w:color w:val="231F20"/>
        </w:rPr>
        <w:t>Audit, and Universal Messages. The Policy_Status and System_Status attributes do not record historical data. Typical environments do not use the EIB Change Log and Situation Status Log attribute groups.</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pPr>
      <w:r>
        <w:rPr>
          <w:color w:val="231F20"/>
        </w:rPr>
        <w:t>Complete these steps for each attribute group that you want to collect historical data from on specified managed systems or managed system groups or on all </w:t>
      </w:r>
      <w:r>
        <w:rPr>
          <w:color w:val="231F20"/>
        </w:rPr>
        <w:t>the managed systems that connect to a Tivoli Enterprise Monitoring Server:</w:t>
      </w:r>
    </w:p>
    <w:p>
      <w:pPr>
        <w:pStyle w:val="Heading4"/>
        <w:spacing w:before="199"/>
        <w:ind w:left="2472"/>
      </w:pPr>
      <w:r>
        <w:rPr>
          <w:color w:val="231F20"/>
          <w:spacing w:val="-2"/>
        </w:rPr>
        <w:t>Procedure</w:t>
      </w:r>
    </w:p>
    <w:p>
      <w:pPr>
        <w:pStyle w:val="ListParagraph"/>
        <w:numPr>
          <w:ilvl w:val="0"/>
          <w:numId w:val="97"/>
        </w:numPr>
        <w:tabs>
          <w:tab w:pos="2899" w:val="left" w:leader="none"/>
        </w:tabs>
        <w:spacing w:line="213" w:lineRule="auto" w:before="62" w:after="0"/>
        <w:ind w:left="2899" w:right="383"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887" name="Image 1887"/>
            <wp:cNvGraphicFramePr>
              <a:graphicFrameLocks/>
            </wp:cNvGraphicFramePr>
            <a:graphic>
              <a:graphicData uri="http://schemas.openxmlformats.org/drawingml/2006/picture">
                <pic:pic>
                  <pic:nvPicPr>
                    <pic:cNvPr id="1887" name="Image 1887"/>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History Configuration </w:t>
      </w:r>
      <w:r>
        <w:rPr>
          <w:color w:val="231F20"/>
          <w:sz w:val="20"/>
        </w:rPr>
        <w:t>to open the History Collection Configuration </w:t>
      </w:r>
      <w:r>
        <w:rPr>
          <w:color w:val="231F20"/>
          <w:spacing w:val="-2"/>
          <w:sz w:val="20"/>
        </w:rPr>
        <w:t>window.</w:t>
      </w:r>
    </w:p>
    <w:p>
      <w:pPr>
        <w:pStyle w:val="ListParagraph"/>
        <w:numPr>
          <w:ilvl w:val="0"/>
          <w:numId w:val="97"/>
        </w:numPr>
        <w:tabs>
          <w:tab w:pos="2899" w:val="left" w:leader="none"/>
        </w:tabs>
        <w:spacing w:line="213" w:lineRule="auto" w:before="58" w:after="0"/>
        <w:ind w:left="2899" w:right="350" w:hanging="316"/>
        <w:jc w:val="left"/>
        <w:rPr>
          <w:sz w:val="20"/>
        </w:rPr>
      </w:pPr>
      <w:r>
        <w:rPr>
          <w:color w:val="231F20"/>
          <w:sz w:val="20"/>
        </w:rPr>
        <w:t>Click</w:t>
      </w:r>
      <w:r>
        <w:rPr>
          <w:color w:val="231F20"/>
          <w:spacing w:val="17"/>
          <w:sz w:val="20"/>
        </w:rPr>
        <w:t> </w:t>
      </w:r>
      <w:r>
        <w:rPr>
          <w:color w:val="231F20"/>
          <w:spacing w:val="-24"/>
          <w:position w:val="-1"/>
          <w:sz w:val="20"/>
        </w:rPr>
        <w:drawing>
          <wp:inline distT="0" distB="0" distL="0" distR="0">
            <wp:extent cx="95250" cy="101600"/>
            <wp:effectExtent l="0" t="0" r="0" b="0"/>
            <wp:docPr id="1888" name="Image 1888"/>
            <wp:cNvGraphicFramePr>
              <a:graphicFrameLocks/>
            </wp:cNvGraphicFramePr>
            <a:graphic>
              <a:graphicData uri="http://schemas.openxmlformats.org/drawingml/2006/picture">
                <pic:pic>
                  <pic:nvPicPr>
                    <pic:cNvPr id="1888" name="Image 188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4"/>
          <w:sz w:val="20"/>
        </w:rPr>
        <w:t> </w:t>
      </w:r>
      <w:r>
        <w:rPr>
          <w:rFonts w:ascii="Book Antiqua"/>
          <w:b/>
          <w:color w:val="231F20"/>
          <w:sz w:val="20"/>
        </w:rPr>
        <w:t>Create a new collection</w:t>
      </w:r>
      <w:r>
        <w:rPr>
          <w:color w:val="231F20"/>
          <w:sz w:val="20"/>
        </w:rPr>
        <w:t>. If you first click a</w:t>
      </w:r>
      <w:r>
        <w:rPr>
          <w:color w:val="231F20"/>
          <w:spacing w:val="16"/>
          <w:sz w:val="20"/>
        </w:rPr>
        <w:t> </w:t>
      </w:r>
      <w:r>
        <w:rPr>
          <w:color w:val="231F20"/>
          <w:spacing w:val="-25"/>
          <w:position w:val="-1"/>
          <w:sz w:val="20"/>
        </w:rPr>
        <w:drawing>
          <wp:inline distT="0" distB="0" distL="0" distR="0">
            <wp:extent cx="95250" cy="95250"/>
            <wp:effectExtent l="0" t="0" r="0" b="0"/>
            <wp:docPr id="1889" name="Image 1889"/>
            <wp:cNvGraphicFramePr>
              <a:graphicFrameLocks/>
            </wp:cNvGraphicFramePr>
            <a:graphic>
              <a:graphicData uri="http://schemas.openxmlformats.org/drawingml/2006/picture">
                <pic:pic>
                  <pic:nvPicPr>
                    <pic:cNvPr id="1889" name="Image 188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5"/>
          <w:sz w:val="20"/>
        </w:rPr>
        <w:t> </w:t>
      </w:r>
      <w:r>
        <w:rPr>
          <w:color w:val="231F20"/>
          <w:sz w:val="20"/>
        </w:rPr>
        <w:t>Monitored </w:t>
      </w:r>
      <w:r>
        <w:rPr>
          <w:color w:val="231F20"/>
          <w:sz w:val="20"/>
        </w:rPr>
        <w:t>Application (or right-click and click</w:t>
      </w:r>
      <w:r>
        <w:rPr>
          <w:color w:val="231F20"/>
          <w:spacing w:val="20"/>
          <w:sz w:val="20"/>
        </w:rPr>
        <w:t> </w:t>
      </w:r>
      <w:r>
        <w:rPr>
          <w:color w:val="231F20"/>
          <w:spacing w:val="-25"/>
          <w:position w:val="-1"/>
          <w:sz w:val="20"/>
        </w:rPr>
        <w:drawing>
          <wp:inline distT="0" distB="0" distL="0" distR="0">
            <wp:extent cx="95250" cy="101600"/>
            <wp:effectExtent l="0" t="0" r="0" b="0"/>
            <wp:docPr id="1890" name="Image 1890"/>
            <wp:cNvGraphicFramePr>
              <a:graphicFrameLocks/>
            </wp:cNvGraphicFramePr>
            <a:graphic>
              <a:graphicData uri="http://schemas.openxmlformats.org/drawingml/2006/picture">
                <pic:pic>
                  <pic:nvPicPr>
                    <pic:cNvPr id="1890" name="Image 1890"/>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9"/>
          <w:sz w:val="20"/>
        </w:rPr>
        <w:t> </w:t>
      </w:r>
      <w:r>
        <w:rPr>
          <w:color w:val="231F20"/>
          <w:sz w:val="20"/>
        </w:rPr>
        <w:t>), </w:t>
      </w:r>
      <w:r>
        <w:rPr>
          <w:rFonts w:ascii="Book Antiqua"/>
          <w:b/>
          <w:color w:val="231F20"/>
          <w:sz w:val="20"/>
        </w:rPr>
        <w:t>Monitored Application </w:t>
      </w:r>
      <w:r>
        <w:rPr>
          <w:color w:val="231F20"/>
          <w:sz w:val="20"/>
        </w:rPr>
        <w:t>will be selected for you.</w:t>
      </w:r>
    </w:p>
    <w:p>
      <w:pPr>
        <w:pStyle w:val="ListParagraph"/>
        <w:numPr>
          <w:ilvl w:val="0"/>
          <w:numId w:val="97"/>
        </w:numPr>
        <w:tabs>
          <w:tab w:pos="2899" w:val="left" w:leader="none"/>
        </w:tabs>
        <w:spacing w:line="213" w:lineRule="auto" w:before="59" w:after="0"/>
        <w:ind w:left="2899" w:right="326" w:hanging="316"/>
        <w:jc w:val="left"/>
        <w:rPr>
          <w:sz w:val="20"/>
        </w:rPr>
      </w:pPr>
      <w:r>
        <w:rPr>
          <w:color w:val="231F20"/>
          <w:sz w:val="20"/>
        </w:rPr>
        <w:t>Enter a </w:t>
      </w:r>
      <w:r>
        <w:rPr>
          <w:rFonts w:ascii="Book Antiqua"/>
          <w:b/>
          <w:color w:val="231F20"/>
          <w:sz w:val="20"/>
        </w:rPr>
        <w:t>Name </w:t>
      </w:r>
      <w:r>
        <w:rPr>
          <w:color w:val="231F20"/>
          <w:sz w:val="20"/>
        </w:rPr>
        <w:t>of up to 256 bytes. A short name is also given to the collection</w:t>
      </w:r>
      <w:r>
        <w:rPr>
          <w:color w:val="231F20"/>
          <w:spacing w:val="40"/>
          <w:sz w:val="20"/>
        </w:rPr>
        <w:t> </w:t>
      </w:r>
      <w:r>
        <w:rPr>
          <w:color w:val="231F20"/>
          <w:sz w:val="20"/>
        </w:rPr>
        <w:t>and is shown in the middle section of the status bar.</w:t>
      </w:r>
    </w:p>
    <w:p>
      <w:pPr>
        <w:pStyle w:val="ListParagraph"/>
        <w:numPr>
          <w:ilvl w:val="0"/>
          <w:numId w:val="97"/>
        </w:numPr>
        <w:tabs>
          <w:tab w:pos="2898" w:val="left" w:leader="none"/>
        </w:tabs>
        <w:spacing w:line="240" w:lineRule="auto" w:before="35" w:after="0"/>
        <w:ind w:left="2898" w:right="0" w:hanging="315"/>
        <w:jc w:val="left"/>
        <w:rPr>
          <w:sz w:val="20"/>
        </w:rPr>
      </w:pPr>
      <w:r>
        <w:rPr>
          <w:color w:val="231F20"/>
          <w:sz w:val="20"/>
        </w:rPr>
        <w:t>Optional:</w:t>
      </w:r>
      <w:r>
        <w:rPr>
          <w:color w:val="231F20"/>
          <w:spacing w:val="11"/>
          <w:sz w:val="20"/>
        </w:rPr>
        <w:t> </w:t>
      </w:r>
      <w:r>
        <w:rPr>
          <w:color w:val="231F20"/>
          <w:sz w:val="20"/>
        </w:rPr>
        <w:t>Enter</w:t>
      </w:r>
      <w:r>
        <w:rPr>
          <w:color w:val="231F20"/>
          <w:spacing w:val="11"/>
          <w:sz w:val="20"/>
        </w:rPr>
        <w:t> </w:t>
      </w:r>
      <w:r>
        <w:rPr>
          <w:color w:val="231F20"/>
          <w:sz w:val="20"/>
        </w:rPr>
        <w:t>a</w:t>
      </w:r>
      <w:r>
        <w:rPr>
          <w:color w:val="231F20"/>
          <w:spacing w:val="12"/>
          <w:sz w:val="20"/>
        </w:rPr>
        <w:t> </w:t>
      </w:r>
      <w:r>
        <w:rPr>
          <w:rFonts w:ascii="Book Antiqua"/>
          <w:b/>
          <w:color w:val="231F20"/>
          <w:sz w:val="20"/>
        </w:rPr>
        <w:t>Description</w:t>
      </w:r>
      <w:r>
        <w:rPr>
          <w:rFonts w:ascii="Book Antiqua"/>
          <w:b/>
          <w:color w:val="231F20"/>
          <w:spacing w:val="11"/>
          <w:sz w:val="20"/>
        </w:rPr>
        <w:t> </w:t>
      </w:r>
      <w:r>
        <w:rPr>
          <w:color w:val="231F20"/>
          <w:sz w:val="20"/>
        </w:rPr>
        <w:t>for</w:t>
      </w:r>
      <w:r>
        <w:rPr>
          <w:color w:val="231F20"/>
          <w:spacing w:val="12"/>
          <w:sz w:val="20"/>
        </w:rPr>
        <w:t> </w:t>
      </w:r>
      <w:r>
        <w:rPr>
          <w:color w:val="231F20"/>
          <w:sz w:val="20"/>
        </w:rPr>
        <w:t>the</w:t>
      </w:r>
      <w:r>
        <w:rPr>
          <w:color w:val="231F20"/>
          <w:spacing w:val="11"/>
          <w:sz w:val="20"/>
        </w:rPr>
        <w:t> </w:t>
      </w:r>
      <w:r>
        <w:rPr>
          <w:color w:val="231F20"/>
          <w:sz w:val="20"/>
        </w:rPr>
        <w:t>collection,</w:t>
      </w:r>
      <w:r>
        <w:rPr>
          <w:color w:val="231F20"/>
          <w:spacing w:val="12"/>
          <w:sz w:val="20"/>
        </w:rPr>
        <w:t> </w:t>
      </w:r>
      <w:r>
        <w:rPr>
          <w:color w:val="231F20"/>
          <w:sz w:val="20"/>
        </w:rPr>
        <w:t>up</w:t>
      </w:r>
      <w:r>
        <w:rPr>
          <w:color w:val="231F20"/>
          <w:spacing w:val="11"/>
          <w:sz w:val="20"/>
        </w:rPr>
        <w:t> </w:t>
      </w:r>
      <w:r>
        <w:rPr>
          <w:color w:val="231F20"/>
          <w:sz w:val="20"/>
        </w:rPr>
        <w:t>to</w:t>
      </w:r>
      <w:r>
        <w:rPr>
          <w:color w:val="231F20"/>
          <w:spacing w:val="12"/>
          <w:sz w:val="20"/>
        </w:rPr>
        <w:t> </w:t>
      </w:r>
      <w:r>
        <w:rPr>
          <w:color w:val="231F20"/>
          <w:sz w:val="20"/>
        </w:rPr>
        <w:t>64</w:t>
      </w:r>
      <w:r>
        <w:rPr>
          <w:color w:val="231F20"/>
          <w:spacing w:val="11"/>
          <w:sz w:val="20"/>
        </w:rPr>
        <w:t> </w:t>
      </w:r>
      <w:r>
        <w:rPr>
          <w:color w:val="231F20"/>
          <w:spacing w:val="-2"/>
          <w:sz w:val="20"/>
        </w:rPr>
        <w:t>bytes.</w:t>
      </w:r>
    </w:p>
    <w:p>
      <w:pPr>
        <w:pStyle w:val="ListParagraph"/>
        <w:numPr>
          <w:ilvl w:val="0"/>
          <w:numId w:val="97"/>
        </w:numPr>
        <w:tabs>
          <w:tab w:pos="2898" w:val="left" w:leader="none"/>
        </w:tabs>
        <w:spacing w:line="240" w:lineRule="auto" w:before="30" w:after="0"/>
        <w:ind w:left="2898" w:right="0" w:hanging="315"/>
        <w:jc w:val="left"/>
        <w:rPr>
          <w:sz w:val="20"/>
        </w:rPr>
      </w:pPr>
      <w:r>
        <w:rPr>
          <w:color w:val="231F20"/>
          <w:sz w:val="20"/>
        </w:rPr>
        <w:t>Select</w:t>
      </w:r>
      <w:r>
        <w:rPr>
          <w:color w:val="231F20"/>
          <w:spacing w:val="7"/>
          <w:sz w:val="20"/>
        </w:rPr>
        <w:t> </w:t>
      </w:r>
      <w:r>
        <w:rPr>
          <w:color w:val="231F20"/>
          <w:sz w:val="20"/>
        </w:rPr>
        <w:t>a</w:t>
      </w:r>
      <w:r>
        <w:rPr>
          <w:color w:val="231F20"/>
          <w:spacing w:val="10"/>
          <w:sz w:val="20"/>
        </w:rPr>
        <w:t> </w:t>
      </w:r>
      <w:r>
        <w:rPr>
          <w:rFonts w:ascii="Book Antiqua"/>
          <w:b/>
          <w:color w:val="231F20"/>
          <w:sz w:val="20"/>
        </w:rPr>
        <w:t>Monitored</w:t>
      </w:r>
      <w:r>
        <w:rPr>
          <w:rFonts w:ascii="Book Antiqua"/>
          <w:b/>
          <w:color w:val="231F20"/>
          <w:spacing w:val="10"/>
          <w:sz w:val="20"/>
        </w:rPr>
        <w:t> </w:t>
      </w:r>
      <w:r>
        <w:rPr>
          <w:rFonts w:ascii="Book Antiqua"/>
          <w:b/>
          <w:color w:val="231F20"/>
          <w:sz w:val="20"/>
        </w:rPr>
        <w:t>Application</w:t>
      </w:r>
      <w:r>
        <w:rPr>
          <w:rFonts w:ascii="Book Antiqua"/>
          <w:b/>
          <w:color w:val="231F20"/>
          <w:spacing w:val="10"/>
          <w:sz w:val="20"/>
        </w:rPr>
        <w:t> </w:t>
      </w:r>
      <w:r>
        <w:rPr>
          <w:color w:val="231F20"/>
          <w:sz w:val="20"/>
        </w:rPr>
        <w:t>from</w:t>
      </w:r>
      <w:r>
        <w:rPr>
          <w:color w:val="231F20"/>
          <w:spacing w:val="10"/>
          <w:sz w:val="20"/>
        </w:rPr>
        <w:t> </w:t>
      </w:r>
      <w:r>
        <w:rPr>
          <w:color w:val="231F20"/>
          <w:sz w:val="20"/>
        </w:rPr>
        <w:t>the</w:t>
      </w:r>
      <w:r>
        <w:rPr>
          <w:color w:val="231F20"/>
          <w:spacing w:val="10"/>
          <w:sz w:val="20"/>
        </w:rPr>
        <w:t> </w:t>
      </w:r>
      <w:r>
        <w:rPr>
          <w:color w:val="231F20"/>
          <w:spacing w:val="15"/>
          <w:position w:val="-1"/>
          <w:sz w:val="20"/>
        </w:rPr>
        <w:drawing>
          <wp:inline distT="0" distB="0" distL="0" distR="0">
            <wp:extent cx="101600" cy="101600"/>
            <wp:effectExtent l="0" t="0" r="0" b="0"/>
            <wp:docPr id="1891" name="Image 1891"/>
            <wp:cNvGraphicFramePr>
              <a:graphicFrameLocks/>
            </wp:cNvGraphicFramePr>
            <a:graphic>
              <a:graphicData uri="http://schemas.openxmlformats.org/drawingml/2006/picture">
                <pic:pic>
                  <pic:nvPicPr>
                    <pic:cNvPr id="1891" name="Image 189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color w:val="231F20"/>
          <w:spacing w:val="-2"/>
          <w:sz w:val="20"/>
        </w:rPr>
        <w:t>list.</w:t>
      </w:r>
    </w:p>
    <w:p>
      <w:pPr>
        <w:pStyle w:val="ListParagraph"/>
        <w:numPr>
          <w:ilvl w:val="0"/>
          <w:numId w:val="97"/>
        </w:numPr>
        <w:tabs>
          <w:tab w:pos="2899" w:val="left" w:leader="none"/>
        </w:tabs>
        <w:spacing w:line="213" w:lineRule="auto" w:before="53" w:after="0"/>
        <w:ind w:left="2899" w:right="163" w:hanging="316"/>
        <w:jc w:val="both"/>
        <w:rPr>
          <w:sz w:val="20"/>
        </w:rPr>
      </w:pPr>
      <w:r>
        <w:rPr>
          <w:color w:val="231F20"/>
          <w:sz w:val="20"/>
        </w:rPr>
        <w:t>Select an </w:t>
      </w:r>
      <w:r>
        <w:rPr>
          <w:rFonts w:ascii="Book Antiqua"/>
          <w:b/>
          <w:color w:val="231F20"/>
          <w:sz w:val="20"/>
        </w:rPr>
        <w:t>Attribute Group </w:t>
      </w:r>
      <w:r>
        <w:rPr>
          <w:color w:val="231F20"/>
          <w:sz w:val="20"/>
        </w:rPr>
        <w:t>from the </w:t>
      </w:r>
      <w:r>
        <w:rPr>
          <w:color w:val="231F20"/>
          <w:spacing w:val="15"/>
          <w:position w:val="-1"/>
          <w:sz w:val="20"/>
        </w:rPr>
        <w:drawing>
          <wp:inline distT="0" distB="0" distL="0" distR="0">
            <wp:extent cx="101600" cy="101600"/>
            <wp:effectExtent l="0" t="0" r="0" b="0"/>
            <wp:docPr id="1892" name="Image 1892"/>
            <wp:cNvGraphicFramePr>
              <a:graphicFrameLocks/>
            </wp:cNvGraphicFramePr>
            <a:graphic>
              <a:graphicData uri="http://schemas.openxmlformats.org/drawingml/2006/picture">
                <pic:pic>
                  <pic:nvPicPr>
                    <pic:cNvPr id="1892" name="Image 1892"/>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3"/>
          <w:sz w:val="20"/>
        </w:rPr>
        <w:t> </w:t>
      </w:r>
      <w:r>
        <w:rPr>
          <w:color w:val="231F20"/>
          <w:sz w:val="20"/>
        </w:rPr>
        <w:t>list. Not all the product attribute groups necessarily display: only those that are appropriate for historical collection </w:t>
      </w:r>
      <w:r>
        <w:rPr>
          <w:color w:val="231F20"/>
          <w:sz w:val="20"/>
        </w:rPr>
        <w:t>and </w:t>
      </w:r>
      <w:r>
        <w:rPr>
          <w:color w:val="231F20"/>
          <w:spacing w:val="-2"/>
          <w:sz w:val="20"/>
        </w:rPr>
        <w:t>reporting.</w:t>
      </w:r>
    </w:p>
    <w:p>
      <w:pPr>
        <w:pStyle w:val="ListParagraph"/>
        <w:numPr>
          <w:ilvl w:val="0"/>
          <w:numId w:val="97"/>
        </w:numPr>
        <w:tabs>
          <w:tab w:pos="2899" w:val="left" w:leader="none"/>
        </w:tabs>
        <w:spacing w:line="213" w:lineRule="auto" w:before="57" w:after="0"/>
        <w:ind w:left="2899" w:right="365" w:hanging="316"/>
        <w:jc w:val="both"/>
        <w:rPr>
          <w:sz w:val="20"/>
        </w:rPr>
      </w:pPr>
      <w:r>
        <w:rPr>
          <w:color w:val="231F20"/>
          <w:sz w:val="20"/>
        </w:rPr>
        <w:t>Click </w:t>
      </w:r>
      <w:r>
        <w:rPr>
          <w:rFonts w:ascii="Book Antiqua"/>
          <w:b/>
          <w:color w:val="231F20"/>
          <w:sz w:val="20"/>
        </w:rPr>
        <w:t>OK </w:t>
      </w:r>
      <w:r>
        <w:rPr>
          <w:color w:val="231F20"/>
          <w:sz w:val="20"/>
        </w:rPr>
        <w:t>to open the configuration tabs for the collection. The branch of </w:t>
      </w:r>
      <w:r>
        <w:rPr>
          <w:color w:val="231F20"/>
          <w:sz w:val="20"/>
        </w:rPr>
        <w:t>the monitored applications expands to show the new collection. At this point, it has not been distributed to the managed systems.</w:t>
      </w:r>
    </w:p>
    <w:p>
      <w:pPr>
        <w:pStyle w:val="ListParagraph"/>
        <w:numPr>
          <w:ilvl w:val="0"/>
          <w:numId w:val="97"/>
        </w:numPr>
        <w:tabs>
          <w:tab w:pos="2898" w:val="left" w:leader="none"/>
        </w:tabs>
        <w:spacing w:line="240" w:lineRule="auto" w:before="35" w:after="0"/>
        <w:ind w:left="2898" w:right="0" w:hanging="315"/>
        <w:jc w:val="both"/>
        <w:rPr>
          <w:sz w:val="20"/>
        </w:rPr>
      </w:pPr>
      <w:r>
        <w:rPr>
          <w:color w:val="231F20"/>
          <w:sz w:val="20"/>
        </w:rPr>
        <w:t>Complete</w:t>
      </w:r>
      <w:r>
        <w:rPr>
          <w:color w:val="231F20"/>
          <w:spacing w:val="11"/>
          <w:sz w:val="20"/>
        </w:rPr>
        <w:t> </w:t>
      </w:r>
      <w:r>
        <w:rPr>
          <w:color w:val="231F20"/>
          <w:sz w:val="20"/>
        </w:rPr>
        <w:t>the</w:t>
      </w:r>
      <w:r>
        <w:rPr>
          <w:color w:val="231F20"/>
          <w:spacing w:val="12"/>
          <w:sz w:val="20"/>
        </w:rPr>
        <w:t> </w:t>
      </w:r>
      <w:r>
        <w:rPr>
          <w:color w:val="231F20"/>
          <w:sz w:val="20"/>
        </w:rPr>
        <w:t>fields</w:t>
      </w:r>
      <w:r>
        <w:rPr>
          <w:color w:val="231F20"/>
          <w:spacing w:val="12"/>
          <w:sz w:val="20"/>
        </w:rPr>
        <w:t> </w:t>
      </w: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Basic</w:t>
      </w:r>
      <w:r>
        <w:rPr>
          <w:rFonts w:ascii="Book Antiqua"/>
          <w:b/>
          <w:color w:val="231F20"/>
          <w:spacing w:val="12"/>
          <w:sz w:val="20"/>
        </w:rPr>
        <w:t> </w:t>
      </w:r>
      <w:r>
        <w:rPr>
          <w:color w:val="231F20"/>
          <w:spacing w:val="-4"/>
          <w:sz w:val="20"/>
        </w:rPr>
        <w:t>tab:</w:t>
      </w:r>
    </w:p>
    <w:p>
      <w:pPr>
        <w:pStyle w:val="ListParagraph"/>
        <w:numPr>
          <w:ilvl w:val="1"/>
          <w:numId w:val="97"/>
        </w:numPr>
        <w:tabs>
          <w:tab w:pos="3215" w:val="left" w:leader="none"/>
        </w:tabs>
        <w:spacing w:line="213" w:lineRule="auto" w:before="53" w:after="0"/>
        <w:ind w:left="3215" w:right="250" w:hanging="316"/>
        <w:jc w:val="left"/>
        <w:rPr>
          <w:sz w:val="20"/>
        </w:rPr>
      </w:pPr>
      <w:r>
        <w:rPr>
          <w:rFonts w:ascii="Book Antiqua"/>
          <w:b/>
          <w:color w:val="231F20"/>
          <w:sz w:val="20"/>
        </w:rPr>
        <w:t>Collection Interval </w:t>
      </w:r>
      <w:r>
        <w:rPr>
          <w:color w:val="231F20"/>
          <w:sz w:val="20"/>
        </w:rPr>
        <w:t>is the frequency of data transmission to the short-term history file on the computer where the data is saved (Tivoli Enterprise Monitoring Agent or Tivoli Enterprise Monitoring Server). The options </w:t>
      </w:r>
      <w:r>
        <w:rPr>
          <w:color w:val="231F20"/>
          <w:sz w:val="20"/>
        </w:rPr>
        <w:t>are every 1, 5, 15, or 30 minutes, every hour, or once per day. The default interval is 15 minutes.</w:t>
      </w:r>
    </w:p>
    <w:p>
      <w:pPr>
        <w:pStyle w:val="BodyText"/>
        <w:spacing w:line="213" w:lineRule="auto"/>
        <w:ind w:left="3215" w:right="385"/>
      </w:pPr>
      <w:r>
        <w:rPr>
          <w:color w:val="231F20"/>
        </w:rPr>
        <w:t>The shorter the interval, the faster and larger the history file grows. This can overload the database, warehouse proxy, and summarization and pruning agent. For example, if you set a 1-minute collection interval for Process data, expect the summarization and pruning for that attribute group to take a long time. Such a short interval should be enabled for </w:t>
      </w:r>
      <w:r>
        <w:rPr>
          <w:color w:val="231F20"/>
        </w:rPr>
        <w:t>an attribute group only if it is critical in your work.</w:t>
      </w:r>
    </w:p>
    <w:p>
      <w:pPr>
        <w:pStyle w:val="ListParagraph"/>
        <w:numPr>
          <w:ilvl w:val="1"/>
          <w:numId w:val="97"/>
        </w:numPr>
        <w:tabs>
          <w:tab w:pos="3215" w:val="left" w:leader="none"/>
        </w:tabs>
        <w:spacing w:line="213" w:lineRule="auto" w:before="52" w:after="0"/>
        <w:ind w:left="3215" w:right="353" w:hanging="316"/>
        <w:jc w:val="left"/>
        <w:rPr>
          <w:sz w:val="20"/>
        </w:rPr>
      </w:pPr>
      <w:r>
        <w:rPr>
          <w:rFonts w:ascii="Book Antiqua"/>
          <w:b/>
          <w:color w:val="231F20"/>
          <w:sz w:val="20"/>
        </w:rPr>
        <w:t>Collection Location </w:t>
      </w:r>
      <w:r>
        <w:rPr>
          <w:color w:val="231F20"/>
          <w:sz w:val="20"/>
        </w:rPr>
        <w:t>is where the short-term historical data file resides: </w:t>
      </w:r>
      <w:r>
        <w:rPr>
          <w:color w:val="231F20"/>
          <w:sz w:val="20"/>
        </w:rPr>
        <w:t>at the TEMA (Tivoli Enterprise Monitoring Agent) or the TEMS (Tivoli</w:t>
      </w:r>
    </w:p>
    <w:p>
      <w:pPr>
        <w:spacing w:after="0" w:line="213" w:lineRule="auto"/>
        <w:jc w:val="left"/>
        <w:rPr>
          <w:sz w:val="20"/>
        </w:rPr>
        <w:sectPr>
          <w:pgSz w:w="12240" w:h="15840"/>
          <w:pgMar w:header="0" w:footer="736" w:top="1160" w:bottom="920" w:left="1000" w:right="1060"/>
        </w:sectPr>
      </w:pPr>
    </w:p>
    <w:p>
      <w:pPr>
        <w:pStyle w:val="BodyText"/>
        <w:spacing w:line="213" w:lineRule="auto" w:before="85"/>
        <w:ind w:left="2975" w:right="636"/>
      </w:pPr>
      <w:bookmarkStart w:name="_bookmark158" w:id="349"/>
      <w:bookmarkEnd w:id="349"/>
      <w:r>
        <w:rPr/>
      </w:r>
      <w:r>
        <w:rPr>
          <w:color w:val="231F20"/>
        </w:rPr>
        <w:t>Enterprise Monitoring Server). The default location is TEMA, </w:t>
      </w:r>
      <w:r>
        <w:rPr>
          <w:color w:val="231F20"/>
        </w:rPr>
        <w:t>which minimizes the performance impact on the monitoring server from historical data management.</w:t>
      </w:r>
    </w:p>
    <w:p>
      <w:pPr>
        <w:pStyle w:val="BodyText"/>
        <w:spacing w:line="213" w:lineRule="auto"/>
        <w:ind w:left="2975" w:right="488"/>
      </w:pPr>
      <w:r>
        <w:rPr>
          <w:color w:val="231F20"/>
        </w:rPr>
        <w:t>If you are filtering the historical collection (step </w:t>
      </w:r>
      <w:hyperlink w:history="true" w:anchor="_bookmark158">
        <w:r>
          <w:rPr>
            <w:color w:val="231F20"/>
          </w:rPr>
          <w:t>9),</w:t>
        </w:r>
      </w:hyperlink>
      <w:r>
        <w:rPr>
          <w:color w:val="231F20"/>
        </w:rPr>
        <w:t> collection at the </w:t>
      </w:r>
      <w:r>
        <w:rPr>
          <w:color w:val="231F20"/>
        </w:rPr>
        <w:t>TEMA also</w:t>
      </w:r>
      <w:r>
        <w:rPr>
          <w:color w:val="231F20"/>
          <w:spacing w:val="22"/>
        </w:rPr>
        <w:t> </w:t>
      </w:r>
      <w:r>
        <w:rPr>
          <w:color w:val="231F20"/>
        </w:rPr>
        <w:t>gives</w:t>
      </w:r>
      <w:r>
        <w:rPr>
          <w:color w:val="231F20"/>
          <w:spacing w:val="22"/>
        </w:rPr>
        <w:t> </w:t>
      </w:r>
      <w:r>
        <w:rPr>
          <w:color w:val="231F20"/>
        </w:rPr>
        <w:t>you</w:t>
      </w:r>
      <w:r>
        <w:rPr>
          <w:color w:val="231F20"/>
          <w:spacing w:val="22"/>
        </w:rPr>
        <w:t> </w:t>
      </w:r>
      <w:r>
        <w:rPr>
          <w:color w:val="231F20"/>
        </w:rPr>
        <w:t>more</w:t>
      </w:r>
      <w:r>
        <w:rPr>
          <w:color w:val="231F20"/>
          <w:spacing w:val="22"/>
        </w:rPr>
        <w:t> </w:t>
      </w:r>
      <w:r>
        <w:rPr>
          <w:color w:val="231F20"/>
        </w:rPr>
        <w:t>space</w:t>
      </w:r>
      <w:r>
        <w:rPr>
          <w:color w:val="231F20"/>
          <w:spacing w:val="22"/>
        </w:rPr>
        <w:t> </w:t>
      </w:r>
      <w:r>
        <w:rPr>
          <w:color w:val="231F20"/>
        </w:rPr>
        <w:t>for</w:t>
      </w:r>
      <w:r>
        <w:rPr>
          <w:color w:val="231F20"/>
          <w:spacing w:val="22"/>
        </w:rPr>
        <w:t> </w:t>
      </w:r>
      <w:r>
        <w:rPr>
          <w:color w:val="231F20"/>
        </w:rPr>
        <w:t>composing</w:t>
      </w:r>
      <w:r>
        <w:rPr>
          <w:color w:val="231F20"/>
          <w:spacing w:val="22"/>
        </w:rPr>
        <w:t> </w:t>
      </w:r>
      <w:r>
        <w:rPr>
          <w:color w:val="231F20"/>
        </w:rPr>
        <w:t>the</w:t>
      </w:r>
      <w:r>
        <w:rPr>
          <w:color w:val="231F20"/>
          <w:spacing w:val="22"/>
        </w:rPr>
        <w:t> </w:t>
      </w:r>
      <w:r>
        <w:rPr>
          <w:color w:val="231F20"/>
        </w:rPr>
        <w:t>filter.</w:t>
      </w:r>
      <w:r>
        <w:rPr>
          <w:color w:val="231F20"/>
          <w:spacing w:val="22"/>
        </w:rPr>
        <w:t> </w:t>
      </w:r>
      <w:r>
        <w:rPr>
          <w:color w:val="231F20"/>
        </w:rPr>
        <w:t>The</w:t>
      </w:r>
      <w:r>
        <w:rPr>
          <w:color w:val="231F20"/>
          <w:spacing w:val="22"/>
        </w:rPr>
        <w:t> </w:t>
      </w:r>
      <w:r>
        <w:rPr>
          <w:color w:val="231F20"/>
        </w:rPr>
        <w:t>formula</w:t>
      </w:r>
      <w:r>
        <w:rPr>
          <w:color w:val="231F20"/>
          <w:spacing w:val="22"/>
        </w:rPr>
        <w:t> </w:t>
      </w:r>
      <w:r>
        <w:rPr>
          <w:color w:val="231F20"/>
        </w:rPr>
        <w:t>example at</w:t>
      </w:r>
      <w:r>
        <w:rPr>
          <w:color w:val="231F20"/>
          <w:spacing w:val="27"/>
        </w:rPr>
        <w:t> </w:t>
      </w:r>
      <w:r>
        <w:rPr>
          <w:color w:val="231F20"/>
        </w:rPr>
        <w:t>the</w:t>
      </w:r>
      <w:r>
        <w:rPr>
          <w:color w:val="231F20"/>
          <w:spacing w:val="27"/>
        </w:rPr>
        <w:t> </w:t>
      </w:r>
      <w:r>
        <w:rPr>
          <w:color w:val="231F20"/>
        </w:rPr>
        <w:t>end</w:t>
      </w:r>
      <w:r>
        <w:rPr>
          <w:color w:val="231F20"/>
          <w:spacing w:val="27"/>
        </w:rPr>
        <w:t> </w:t>
      </w:r>
      <w:r>
        <w:rPr>
          <w:color w:val="231F20"/>
        </w:rPr>
        <w:t>of</w:t>
      </w:r>
      <w:r>
        <w:rPr>
          <w:color w:val="231F20"/>
          <w:spacing w:val="27"/>
        </w:rPr>
        <w:t> </w:t>
      </w:r>
      <w:r>
        <w:rPr>
          <w:color w:val="231F20"/>
        </w:rPr>
        <w:t>this</w:t>
      </w:r>
      <w:r>
        <w:rPr>
          <w:color w:val="231F20"/>
          <w:spacing w:val="27"/>
        </w:rPr>
        <w:t> </w:t>
      </w:r>
      <w:r>
        <w:rPr>
          <w:color w:val="231F20"/>
        </w:rPr>
        <w:t>topic</w:t>
      </w:r>
      <w:r>
        <w:rPr>
          <w:color w:val="231F20"/>
          <w:spacing w:val="27"/>
        </w:rPr>
        <w:t> </w:t>
      </w:r>
      <w:r>
        <w:rPr>
          <w:color w:val="231F20"/>
        </w:rPr>
        <w:t>takes</w:t>
      </w:r>
      <w:r>
        <w:rPr>
          <w:color w:val="231F20"/>
          <w:spacing w:val="27"/>
        </w:rPr>
        <w:t> </w:t>
      </w:r>
      <w:r>
        <w:rPr>
          <w:color w:val="231F20"/>
        </w:rPr>
        <w:t>up</w:t>
      </w:r>
      <w:r>
        <w:rPr>
          <w:color w:val="231F20"/>
          <w:spacing w:val="27"/>
        </w:rPr>
        <w:t> </w:t>
      </w:r>
      <w:r>
        <w:rPr>
          <w:color w:val="231F20"/>
        </w:rPr>
        <w:t>63%</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formula</w:t>
      </w:r>
      <w:r>
        <w:rPr>
          <w:color w:val="231F20"/>
          <w:spacing w:val="27"/>
        </w:rPr>
        <w:t> </w:t>
      </w:r>
      <w:r>
        <w:rPr>
          <w:color w:val="231F20"/>
        </w:rPr>
        <w:t>storage</w:t>
      </w:r>
      <w:r>
        <w:rPr>
          <w:color w:val="231F20"/>
          <w:spacing w:val="27"/>
        </w:rPr>
        <w:t> </w:t>
      </w:r>
      <w:r>
        <w:rPr>
          <w:color w:val="231F20"/>
        </w:rPr>
        <w:t>when collection is set to TEMS; and 31% when collection is set to TEMA..</w:t>
      </w:r>
    </w:p>
    <w:p>
      <w:pPr>
        <w:pStyle w:val="BodyText"/>
        <w:spacing w:line="213" w:lineRule="auto"/>
        <w:ind w:left="2975" w:right="545"/>
      </w:pPr>
      <w:r>
        <w:rPr>
          <w:color w:val="231F20"/>
        </w:rPr>
        <w:t>Note, however, that TEMS might be a better choice for certain environments. Also, the OMEGAMON XE on z/OS product requires </w:t>
      </w:r>
      <w:r>
        <w:rPr>
          <w:color w:val="231F20"/>
        </w:rPr>
        <w:t>that the data be stored at the monitoring server.</w:t>
      </w:r>
    </w:p>
    <w:p>
      <w:pPr>
        <w:pStyle w:val="ListParagraph"/>
        <w:numPr>
          <w:ilvl w:val="1"/>
          <w:numId w:val="97"/>
        </w:numPr>
        <w:tabs>
          <w:tab w:pos="2962" w:val="left" w:leader="none"/>
          <w:tab w:pos="2964" w:val="left" w:leader="none"/>
        </w:tabs>
        <w:spacing w:line="213" w:lineRule="auto" w:before="53" w:after="0"/>
        <w:ind w:left="2964" w:right="436" w:hanging="305"/>
        <w:jc w:val="left"/>
        <w:rPr>
          <w:sz w:val="20"/>
        </w:rPr>
      </w:pPr>
      <w:r>
        <w:rPr>
          <w:rFonts w:ascii="Book Antiqua"/>
          <w:b/>
          <w:color w:val="231F20"/>
          <w:sz w:val="20"/>
        </w:rPr>
        <w:t>Warehouse Interval </w:t>
      </w:r>
      <w:r>
        <w:rPr>
          <w:color w:val="231F20"/>
          <w:sz w:val="20"/>
        </w:rPr>
        <w:t>determines whether the collected data is warehoused and how often. The options are 15 minutes, 30 minutes, 1 hour, 12 hours, 1 day, or Off.</w:t>
      </w:r>
    </w:p>
    <w:p>
      <w:pPr>
        <w:pStyle w:val="BodyText"/>
        <w:spacing w:line="213" w:lineRule="auto"/>
        <w:ind w:left="2964" w:right="545"/>
      </w:pPr>
      <w:r>
        <w:rPr>
          <w:color w:val="231F20"/>
        </w:rPr>
        <w:t>A more frequent warehousing interval enables quicker availability of warehoused data for retrieval. Shorter intervals cause some additional processing to check for and transmit newly collected data; and there are more frequent elevated levels of transmission activity, but for shorter durations. Regardless of the warehouse interval, the most recent 24 </w:t>
      </w:r>
      <w:r>
        <w:rPr>
          <w:color w:val="231F20"/>
        </w:rPr>
        <w:t>hours are always available in the short-term history files. If you use Tivoli Common Reporting, note that queries are to the data warehouse only.</w:t>
      </w:r>
    </w:p>
    <w:p>
      <w:pPr>
        <w:pStyle w:val="ListParagraph"/>
        <w:numPr>
          <w:ilvl w:val="0"/>
          <w:numId w:val="97"/>
        </w:numPr>
        <w:tabs>
          <w:tab w:pos="2659" w:val="left" w:leader="none"/>
        </w:tabs>
        <w:spacing w:line="213" w:lineRule="auto" w:before="53" w:after="0"/>
        <w:ind w:left="2659" w:right="445" w:hanging="316"/>
        <w:jc w:val="left"/>
        <w:rPr>
          <w:sz w:val="20"/>
        </w:rPr>
      </w:pPr>
      <w:r>
        <w:rPr>
          <w:color w:val="231F20"/>
          <w:sz w:val="20"/>
        </w:rPr>
        <w:t>If you want to restrict the collection of samples to only those that meet certain conditions, click the </w:t>
      </w:r>
      <w:r>
        <w:rPr>
          <w:rFonts w:ascii="Book Antiqua"/>
          <w:b/>
          <w:color w:val="231F20"/>
          <w:sz w:val="20"/>
        </w:rPr>
        <w:t>Filter </w:t>
      </w:r>
      <w:r>
        <w:rPr>
          <w:color w:val="231F20"/>
          <w:sz w:val="20"/>
        </w:rPr>
        <w:t>tab and compose the formula:</w:t>
      </w:r>
    </w:p>
    <w:p>
      <w:pPr>
        <w:pStyle w:val="ListParagraph"/>
        <w:numPr>
          <w:ilvl w:val="1"/>
          <w:numId w:val="97"/>
        </w:numPr>
        <w:tabs>
          <w:tab w:pos="2974" w:val="left" w:leader="none"/>
        </w:tabs>
        <w:spacing w:line="240" w:lineRule="auto" w:before="35" w:after="0"/>
        <w:ind w:left="2974" w:right="0" w:hanging="315"/>
        <w:jc w:val="left"/>
        <w:rPr>
          <w:sz w:val="20"/>
        </w:rPr>
      </w:pPr>
      <w:r>
        <w:rPr>
          <w:color w:val="231F20"/>
          <w:sz w:val="20"/>
        </w:rPr>
        <w:t>Click</w:t>
      </w:r>
      <w:r>
        <w:rPr>
          <w:color w:val="231F20"/>
          <w:spacing w:val="11"/>
          <w:sz w:val="20"/>
        </w:rPr>
        <w:t> </w:t>
      </w:r>
      <w:r>
        <w:rPr>
          <w:rFonts w:ascii="Book Antiqua"/>
          <w:b/>
          <w:color w:val="231F20"/>
          <w:sz w:val="20"/>
        </w:rPr>
        <w:t>Add</w:t>
      </w:r>
      <w:r>
        <w:rPr>
          <w:rFonts w:ascii="Book Antiqua"/>
          <w:b/>
          <w:color w:val="231F20"/>
          <w:spacing w:val="12"/>
          <w:sz w:val="20"/>
        </w:rPr>
        <w:t> </w:t>
      </w:r>
      <w:r>
        <w:rPr>
          <w:rFonts w:ascii="Book Antiqua"/>
          <w:b/>
          <w:color w:val="231F20"/>
          <w:spacing w:val="-2"/>
          <w:sz w:val="20"/>
        </w:rPr>
        <w:t>Attributes</w:t>
      </w:r>
      <w:r>
        <w:rPr>
          <w:color w:val="231F20"/>
          <w:spacing w:val="-2"/>
          <w:sz w:val="20"/>
        </w:rPr>
        <w:t>.</w:t>
      </w:r>
    </w:p>
    <w:p>
      <w:pPr>
        <w:pStyle w:val="ListParagraph"/>
        <w:numPr>
          <w:ilvl w:val="1"/>
          <w:numId w:val="97"/>
        </w:numPr>
        <w:tabs>
          <w:tab w:pos="2975" w:val="left" w:leader="none"/>
        </w:tabs>
        <w:spacing w:line="213" w:lineRule="auto" w:before="53" w:after="0"/>
        <w:ind w:left="2975" w:right="739" w:hanging="316"/>
        <w:jc w:val="left"/>
        <w:rPr>
          <w:sz w:val="20"/>
        </w:rPr>
      </w:pPr>
      <w:r>
        <w:rPr>
          <w:color w:val="231F20"/>
          <w:sz w:val="20"/>
        </w:rPr>
        <w:t>Select the attribute to filter on and click </w:t>
      </w:r>
      <w:r>
        <w:rPr>
          <w:rFonts w:ascii="Book Antiqua"/>
          <w:b/>
          <w:color w:val="231F20"/>
          <w:sz w:val="20"/>
        </w:rPr>
        <w:t>OK</w:t>
      </w:r>
      <w:r>
        <w:rPr>
          <w:color w:val="231F20"/>
          <w:sz w:val="20"/>
        </w:rPr>
        <w:t>. You can use Ctrl + click to</w:t>
      </w:r>
      <w:r>
        <w:rPr>
          <w:color w:val="231F20"/>
          <w:spacing w:val="40"/>
          <w:sz w:val="20"/>
        </w:rPr>
        <w:t> </w:t>
      </w:r>
      <w:r>
        <w:rPr>
          <w:color w:val="231F20"/>
          <w:sz w:val="20"/>
        </w:rPr>
        <w:t>select multiple attributes, Shift + click to select all entries between the attribute previously selected and this one, or </w:t>
      </w:r>
      <w:r>
        <w:rPr>
          <w:rFonts w:ascii="Book Antiqua"/>
          <w:b/>
          <w:color w:val="231F20"/>
          <w:sz w:val="20"/>
        </w:rPr>
        <w:t>Select All </w:t>
      </w:r>
      <w:r>
        <w:rPr>
          <w:color w:val="231F20"/>
          <w:sz w:val="20"/>
        </w:rPr>
        <w:t>to select every </w:t>
      </w:r>
      <w:r>
        <w:rPr>
          <w:color w:val="231F20"/>
          <w:spacing w:val="-2"/>
          <w:sz w:val="20"/>
        </w:rPr>
        <w:t>attribute.</w:t>
      </w:r>
    </w:p>
    <w:p>
      <w:pPr>
        <w:pStyle w:val="ListParagraph"/>
        <w:numPr>
          <w:ilvl w:val="1"/>
          <w:numId w:val="97"/>
        </w:numPr>
        <w:tabs>
          <w:tab w:pos="2962" w:val="left" w:leader="none"/>
          <w:tab w:pos="2964" w:val="left" w:leader="none"/>
        </w:tabs>
        <w:spacing w:line="213" w:lineRule="auto" w:before="57" w:after="0"/>
        <w:ind w:left="2964" w:right="452" w:hanging="305"/>
        <w:jc w:val="left"/>
        <w:rPr>
          <w:sz w:val="20"/>
        </w:rPr>
      </w:pPr>
      <w:r>
        <w:rPr>
          <w:color w:val="231F20"/>
          <w:sz w:val="20"/>
        </w:rPr>
        <w:t>For each attribute selected, click inside the cell under the column heading and compose an expression </w:t>
      </w:r>
      <w:r>
        <w:rPr>
          <w:color w:val="231F20"/>
          <w:spacing w:val="15"/>
          <w:position w:val="-1"/>
          <w:sz w:val="20"/>
        </w:rPr>
        <w:drawing>
          <wp:inline distT="0" distB="0" distL="0" distR="0">
            <wp:extent cx="558800" cy="101600"/>
            <wp:effectExtent l="0" t="0" r="0" b="0"/>
            <wp:docPr id="1893" name="Image 1893"/>
            <wp:cNvGraphicFramePr>
              <a:graphicFrameLocks/>
            </wp:cNvGraphicFramePr>
            <a:graphic>
              <a:graphicData uri="http://schemas.openxmlformats.org/drawingml/2006/picture">
                <pic:pic>
                  <pic:nvPicPr>
                    <pic:cNvPr id="1893" name="Image 1893"/>
                    <pic:cNvPicPr/>
                  </pic:nvPicPr>
                  <pic:blipFill>
                    <a:blip r:embed="rId194" cstate="print"/>
                    <a:stretch>
                      <a:fillRect/>
                    </a:stretch>
                  </pic:blipFill>
                  <pic:spPr>
                    <a:xfrm>
                      <a:off x="0" y="0"/>
                      <a:ext cx="558800" cy="10160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consisting of a function, a relational operator and a test value:</w:t>
      </w:r>
    </w:p>
    <w:p>
      <w:pPr>
        <w:pStyle w:val="BodyText"/>
        <w:spacing w:line="213" w:lineRule="auto"/>
        <w:ind w:left="2964" w:right="545"/>
      </w:pPr>
      <w:r>
        <w:rPr>
          <w:color w:val="231F20"/>
        </w:rPr>
        <w:t>To change the function, click </w:t>
      </w:r>
      <w:r>
        <w:rPr>
          <w:color w:val="231F20"/>
          <w:spacing w:val="15"/>
          <w:position w:val="-1"/>
        </w:rPr>
        <w:drawing>
          <wp:inline distT="0" distB="0" distL="0" distR="0">
            <wp:extent cx="152400" cy="101600"/>
            <wp:effectExtent l="0" t="0" r="0" b="0"/>
            <wp:docPr id="1894" name="Image 1894"/>
            <wp:cNvGraphicFramePr>
              <a:graphicFrameLocks/>
            </wp:cNvGraphicFramePr>
            <a:graphic>
              <a:graphicData uri="http://schemas.openxmlformats.org/drawingml/2006/picture">
                <pic:pic>
                  <pic:nvPicPr>
                    <pic:cNvPr id="1894" name="Image 1894"/>
                    <pic:cNvPicPr/>
                  </pic:nvPicPr>
                  <pic:blipFill>
                    <a:blip r:embed="rId191" cstate="print"/>
                    <a:stretch>
                      <a:fillRect/>
                    </a:stretch>
                  </pic:blipFill>
                  <pic:spPr>
                    <a:xfrm>
                      <a:off x="0" y="0"/>
                      <a:ext cx="152400" cy="101600"/>
                    </a:xfrm>
                    <a:prstGeom prst="rect">
                      <a:avLst/>
                    </a:prstGeom>
                  </pic:spPr>
                </pic:pic>
              </a:graphicData>
            </a:graphic>
          </wp:inline>
        </w:drawing>
      </w:r>
      <w:r>
        <w:rPr>
          <w:color w:val="231F20"/>
          <w:spacing w:val="15"/>
          <w:position w:val="-1"/>
        </w:rPr>
      </w:r>
      <w:r>
        <w:rPr>
          <w:rFonts w:ascii="Times New Roman" w:hAnsi="Times New Roman"/>
          <w:color w:val="231F20"/>
          <w:spacing w:val="40"/>
        </w:rPr>
        <w:t> </w:t>
      </w:r>
      <w:r>
        <w:rPr>
          <w:color w:val="231F20"/>
        </w:rPr>
        <w:t>Value (or Compare date and time for a</w:t>
      </w:r>
      <w:r>
        <w:rPr>
          <w:color w:val="231F20"/>
          <w:spacing w:val="80"/>
        </w:rPr>
        <w:t> </w:t>
      </w:r>
      <w:r>
        <w:rPr>
          <w:color w:val="231F20"/>
        </w:rPr>
        <w:t>time attribute) and select one from the list. See </w:t>
      </w:r>
      <w:hyperlink w:history="true" w:anchor="_bookmark318">
        <w:r>
          <w:rPr>
            <w:color w:val="231F20"/>
          </w:rPr>
          <w:t>Appendix A, “Formula</w:t>
        </w:r>
      </w:hyperlink>
      <w:r>
        <w:rPr>
          <w:color w:val="231F20"/>
        </w:rPr>
        <w:t> </w:t>
      </w:r>
      <w:hyperlink w:history="true" w:anchor="_bookmark318">
        <w:r>
          <w:rPr>
            <w:color w:val="231F20"/>
          </w:rPr>
          <w:t>functions,” on page 411</w:t>
        </w:r>
      </w:hyperlink>
      <w:r>
        <w:rPr>
          <w:color w:val="231F20"/>
        </w:rPr>
        <w:t> for the syntax, description, and an example of </w:t>
      </w:r>
      <w:r>
        <w:rPr>
          <w:color w:val="231F20"/>
        </w:rPr>
        <w:t>each </w:t>
      </w:r>
      <w:r>
        <w:rPr>
          <w:color w:val="231F20"/>
          <w:spacing w:val="-2"/>
        </w:rPr>
        <w:t>function.</w:t>
      </w:r>
    </w:p>
    <w:p>
      <w:pPr>
        <w:pStyle w:val="BodyText"/>
        <w:spacing w:line="213" w:lineRule="auto"/>
        <w:ind w:left="2964" w:right="545"/>
      </w:pPr>
      <w:r>
        <w:rPr>
          <w:color w:val="231F20"/>
        </w:rPr>
        <w:t>To change the relational operator, click </w:t>
      </w:r>
      <w:r>
        <w:rPr>
          <w:color w:val="231F20"/>
          <w:spacing w:val="15"/>
          <w:position w:val="-1"/>
        </w:rPr>
        <w:drawing>
          <wp:inline distT="0" distB="0" distL="0" distR="0">
            <wp:extent cx="152400" cy="95250"/>
            <wp:effectExtent l="0" t="0" r="0" b="0"/>
            <wp:docPr id="1895" name="Image 1895"/>
            <wp:cNvGraphicFramePr>
              <a:graphicFrameLocks/>
            </wp:cNvGraphicFramePr>
            <a:graphic>
              <a:graphicData uri="http://schemas.openxmlformats.org/drawingml/2006/picture">
                <pic:pic>
                  <pic:nvPicPr>
                    <pic:cNvPr id="1895" name="Image 1895"/>
                    <pic:cNvPicPr/>
                  </pic:nvPicPr>
                  <pic:blipFill>
                    <a:blip r:embed="rId350" cstate="print"/>
                    <a:stretch>
                      <a:fillRect/>
                    </a:stretch>
                  </pic:blipFill>
                  <pic:spPr>
                    <a:xfrm>
                      <a:off x="0" y="0"/>
                      <a:ext cx="1524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equal and select another operator from the list.</w:t>
      </w:r>
    </w:p>
    <w:p>
      <w:pPr>
        <w:pStyle w:val="BodyText"/>
        <w:spacing w:line="250" w:lineRule="exact"/>
        <w:ind w:left="2964"/>
      </w:pPr>
      <w:r>
        <w:rPr>
          <w:color w:val="231F20"/>
        </w:rPr>
        <w:t>Click</w:t>
      </w:r>
      <w:r>
        <w:rPr>
          <w:color w:val="231F20"/>
          <w:spacing w:val="12"/>
        </w:rPr>
        <w:t> </w:t>
      </w:r>
      <w:r>
        <w:rPr>
          <w:color w:val="231F20"/>
        </w:rPr>
        <w:t>inside</w:t>
      </w:r>
      <w:r>
        <w:rPr>
          <w:color w:val="231F20"/>
          <w:spacing w:val="13"/>
        </w:rPr>
        <w:t> </w:t>
      </w:r>
      <w:r>
        <w:rPr>
          <w:color w:val="231F20"/>
        </w:rPr>
        <w:t>the</w:t>
      </w:r>
      <w:r>
        <w:rPr>
          <w:color w:val="231F20"/>
          <w:spacing w:val="13"/>
        </w:rPr>
        <w:t> </w:t>
      </w:r>
      <w:r>
        <w:rPr>
          <w:color w:val="231F20"/>
          <w:spacing w:val="16"/>
        </w:rPr>
        <w:drawing>
          <wp:inline distT="0" distB="0" distL="0" distR="0">
            <wp:extent cx="158750" cy="82550"/>
            <wp:effectExtent l="0" t="0" r="0" b="0"/>
            <wp:docPr id="1896" name="Image 1896"/>
            <wp:cNvGraphicFramePr>
              <a:graphicFrameLocks/>
            </wp:cNvGraphicFramePr>
            <a:graphic>
              <a:graphicData uri="http://schemas.openxmlformats.org/drawingml/2006/picture">
                <pic:pic>
                  <pic:nvPicPr>
                    <pic:cNvPr id="1896" name="Image 1896"/>
                    <pic:cNvPicPr/>
                  </pic:nvPicPr>
                  <pic:blipFill>
                    <a:blip r:embed="rId192" cstate="print"/>
                    <a:stretch>
                      <a:fillRect/>
                    </a:stretch>
                  </pic:blipFill>
                  <pic:spPr>
                    <a:xfrm>
                      <a:off x="0" y="0"/>
                      <a:ext cx="158750" cy="82550"/>
                    </a:xfrm>
                    <a:prstGeom prst="rect">
                      <a:avLst/>
                    </a:prstGeom>
                  </pic:spPr>
                </pic:pic>
              </a:graphicData>
            </a:graphic>
          </wp:inline>
        </w:drawing>
      </w:r>
      <w:r>
        <w:rPr>
          <w:color w:val="231F20"/>
          <w:spacing w:val="16"/>
        </w:rPr>
      </w:r>
      <w:r>
        <w:rPr>
          <w:rFonts w:ascii="Times New Roman"/>
          <w:color w:val="231F20"/>
          <w:spacing w:val="54"/>
        </w:rPr>
        <w:t> </w:t>
      </w:r>
      <w:r>
        <w:rPr>
          <w:color w:val="231F20"/>
        </w:rPr>
        <w:t>text</w:t>
      </w:r>
      <w:r>
        <w:rPr>
          <w:color w:val="231F20"/>
          <w:spacing w:val="13"/>
        </w:rPr>
        <w:t> </w:t>
      </w:r>
      <w:r>
        <w:rPr>
          <w:color w:val="231F20"/>
        </w:rPr>
        <w:t>box</w:t>
      </w:r>
      <w:r>
        <w:rPr>
          <w:color w:val="231F20"/>
          <w:spacing w:val="13"/>
        </w:rPr>
        <w:t> </w:t>
      </w:r>
      <w:r>
        <w:rPr>
          <w:color w:val="231F20"/>
        </w:rPr>
        <w:t>and</w:t>
      </w:r>
      <w:r>
        <w:rPr>
          <w:color w:val="231F20"/>
          <w:spacing w:val="12"/>
        </w:rPr>
        <w:t> </w:t>
      </w:r>
      <w:r>
        <w:rPr>
          <w:color w:val="231F20"/>
        </w:rPr>
        <w:t>enter</w:t>
      </w:r>
      <w:r>
        <w:rPr>
          <w:color w:val="231F20"/>
          <w:spacing w:val="13"/>
        </w:rPr>
        <w:t> </w:t>
      </w:r>
      <w:r>
        <w:rPr>
          <w:color w:val="231F20"/>
        </w:rPr>
        <w:t>or</w:t>
      </w:r>
      <w:r>
        <w:rPr>
          <w:color w:val="231F20"/>
          <w:spacing w:val="13"/>
        </w:rPr>
        <w:t> </w:t>
      </w:r>
      <w:r>
        <w:rPr>
          <w:color w:val="231F20"/>
        </w:rPr>
        <w:t>select</w:t>
      </w:r>
      <w:r>
        <w:rPr>
          <w:color w:val="231F20"/>
          <w:spacing w:val="13"/>
        </w:rPr>
        <w:t> </w:t>
      </w:r>
      <w:r>
        <w:rPr>
          <w:color w:val="231F20"/>
        </w:rPr>
        <w:t>the</w:t>
      </w:r>
      <w:r>
        <w:rPr>
          <w:color w:val="231F20"/>
          <w:spacing w:val="13"/>
        </w:rPr>
        <w:t> </w:t>
      </w:r>
      <w:r>
        <w:rPr>
          <w:color w:val="231F20"/>
          <w:spacing w:val="-2"/>
        </w:rPr>
        <w:t>value.</w:t>
      </w:r>
    </w:p>
    <w:p>
      <w:pPr>
        <w:pStyle w:val="ListParagraph"/>
        <w:numPr>
          <w:ilvl w:val="1"/>
          <w:numId w:val="97"/>
        </w:numPr>
        <w:tabs>
          <w:tab w:pos="2975" w:val="left" w:leader="none"/>
        </w:tabs>
        <w:spacing w:line="213" w:lineRule="auto" w:before="43" w:after="0"/>
        <w:ind w:left="2975" w:right="716" w:hanging="316"/>
        <w:jc w:val="left"/>
        <w:rPr>
          <w:sz w:val="20"/>
        </w:rPr>
      </w:pPr>
      <w:r>
        <w:rPr>
          <w:color w:val="231F20"/>
          <w:sz w:val="20"/>
        </w:rPr>
        <w:t>Keep multiple expressions in the same row if they must all be met (Boolean AND logic) and on separate rows if any of them might be </w:t>
      </w:r>
      <w:r>
        <w:rPr>
          <w:color w:val="231F20"/>
          <w:sz w:val="20"/>
        </w:rPr>
        <w:t>met (Boolean OR logic) for the sample to be saved in the short-term history </w:t>
      </w:r>
      <w:r>
        <w:rPr>
          <w:color w:val="231F20"/>
          <w:spacing w:val="-2"/>
          <w:sz w:val="20"/>
        </w:rPr>
        <w:t>file.</w:t>
      </w:r>
    </w:p>
    <w:p>
      <w:pPr>
        <w:pStyle w:val="ListParagraph"/>
        <w:numPr>
          <w:ilvl w:val="1"/>
          <w:numId w:val="97"/>
        </w:numPr>
        <w:tabs>
          <w:tab w:pos="2975" w:val="left" w:leader="none"/>
        </w:tabs>
        <w:spacing w:line="213" w:lineRule="auto" w:before="57" w:after="0"/>
        <w:ind w:left="2975" w:right="617" w:hanging="316"/>
        <w:jc w:val="left"/>
        <w:rPr>
          <w:sz w:val="20"/>
        </w:rPr>
      </w:pPr>
      <w:r>
        <w:rPr>
          <w:color w:val="231F20"/>
          <w:sz w:val="20"/>
        </w:rPr>
        <w:t>Select the same attribute twice if you want to collect a range, such as &gt; 1</w:t>
      </w:r>
      <w:r>
        <w:rPr>
          <w:color w:val="231F20"/>
          <w:spacing w:val="40"/>
          <w:sz w:val="20"/>
        </w:rPr>
        <w:t> </w:t>
      </w:r>
      <w:r>
        <w:rPr>
          <w:color w:val="231F20"/>
          <w:sz w:val="20"/>
        </w:rPr>
        <w:t>AND &lt; 90. Use </w:t>
      </w:r>
      <w:r>
        <w:rPr>
          <w:rFonts w:ascii="Book Antiqua"/>
          <w:b/>
          <w:color w:val="231F20"/>
          <w:sz w:val="20"/>
        </w:rPr>
        <w:t>Add Attributes </w:t>
      </w:r>
      <w:r>
        <w:rPr>
          <w:color w:val="231F20"/>
          <w:sz w:val="20"/>
        </w:rPr>
        <w:t>to select the attribute again. (See the second example at the end of this topic.)</w:t>
      </w:r>
    </w:p>
    <w:p>
      <w:pPr>
        <w:pStyle w:val="ListParagraph"/>
        <w:numPr>
          <w:ilvl w:val="1"/>
          <w:numId w:val="97"/>
        </w:numPr>
        <w:tabs>
          <w:tab w:pos="2918" w:val="left" w:leader="none"/>
        </w:tabs>
        <w:spacing w:line="255" w:lineRule="exact" w:before="35" w:after="0"/>
        <w:ind w:left="2918" w:right="0" w:hanging="259"/>
        <w:jc w:val="left"/>
        <w:rPr>
          <w:sz w:val="20"/>
        </w:rPr>
      </w:pPr>
      <w:r>
        <w:rPr>
          <w:color w:val="231F20"/>
          <w:sz w:val="20"/>
        </w:rPr>
        <w:t>Confirm</w:t>
      </w:r>
      <w:r>
        <w:rPr>
          <w:color w:val="231F20"/>
          <w:spacing w:val="10"/>
          <w:sz w:val="20"/>
        </w:rPr>
        <w:t> </w:t>
      </w:r>
      <w:r>
        <w:rPr>
          <w:color w:val="231F20"/>
          <w:sz w:val="20"/>
        </w:rPr>
        <w:t>that</w:t>
      </w:r>
      <w:r>
        <w:rPr>
          <w:color w:val="231F20"/>
          <w:spacing w:val="11"/>
          <w:sz w:val="20"/>
        </w:rPr>
        <w:t> </w:t>
      </w:r>
      <w:r>
        <w:rPr>
          <w:color w:val="231F20"/>
          <w:sz w:val="20"/>
        </w:rPr>
        <w:t>the</w:t>
      </w:r>
      <w:r>
        <w:rPr>
          <w:color w:val="231F20"/>
          <w:spacing w:val="10"/>
          <w:sz w:val="20"/>
        </w:rPr>
        <w:t> </w:t>
      </w:r>
      <w:r>
        <w:rPr>
          <w:rFonts w:ascii="Book Antiqua"/>
          <w:b/>
          <w:color w:val="231F20"/>
          <w:sz w:val="20"/>
        </w:rPr>
        <w:t>Formula</w:t>
      </w:r>
      <w:r>
        <w:rPr>
          <w:rFonts w:ascii="Book Antiqua"/>
          <w:b/>
          <w:color w:val="231F20"/>
          <w:spacing w:val="11"/>
          <w:sz w:val="20"/>
        </w:rPr>
        <w:t> </w:t>
      </w:r>
      <w:r>
        <w:rPr>
          <w:rFonts w:ascii="Book Antiqua"/>
          <w:b/>
          <w:color w:val="231F20"/>
          <w:sz w:val="20"/>
        </w:rPr>
        <w:t>capacity</w:t>
      </w:r>
      <w:r>
        <w:rPr>
          <w:rFonts w:ascii="Book Antiqua"/>
          <w:b/>
          <w:color w:val="231F20"/>
          <w:spacing w:val="11"/>
          <w:sz w:val="20"/>
        </w:rPr>
        <w:t> </w:t>
      </w:r>
      <w:r>
        <w:rPr>
          <w:color w:val="231F20"/>
          <w:sz w:val="20"/>
        </w:rPr>
        <w:t>counter</w:t>
      </w:r>
      <w:r>
        <w:rPr>
          <w:color w:val="231F20"/>
          <w:spacing w:val="10"/>
          <w:sz w:val="20"/>
        </w:rPr>
        <w:t> </w:t>
      </w:r>
      <w:r>
        <w:rPr>
          <w:color w:val="231F20"/>
          <w:sz w:val="20"/>
        </w:rPr>
        <w:t>is</w:t>
      </w:r>
      <w:r>
        <w:rPr>
          <w:color w:val="231F20"/>
          <w:spacing w:val="11"/>
          <w:sz w:val="20"/>
        </w:rPr>
        <w:t> </w:t>
      </w:r>
      <w:r>
        <w:rPr>
          <w:color w:val="231F20"/>
          <w:sz w:val="20"/>
        </w:rPr>
        <w:t>below</w:t>
      </w:r>
      <w:r>
        <w:rPr>
          <w:color w:val="231F20"/>
          <w:spacing w:val="10"/>
          <w:sz w:val="20"/>
        </w:rPr>
        <w:t> </w:t>
      </w:r>
      <w:r>
        <w:rPr>
          <w:color w:val="231F20"/>
          <w:sz w:val="20"/>
        </w:rPr>
        <w:t>100%.</w:t>
      </w:r>
      <w:r>
        <w:rPr>
          <w:color w:val="231F20"/>
          <w:spacing w:val="11"/>
          <w:sz w:val="20"/>
        </w:rPr>
        <w:t> </w:t>
      </w:r>
      <w:r>
        <w:rPr>
          <w:color w:val="231F20"/>
          <w:sz w:val="20"/>
        </w:rPr>
        <w:t>Setting</w:t>
      </w:r>
      <w:r>
        <w:rPr>
          <w:color w:val="231F20"/>
          <w:spacing w:val="11"/>
          <w:sz w:val="20"/>
        </w:rPr>
        <w:t> </w:t>
      </w:r>
      <w:r>
        <w:rPr>
          <w:color w:val="231F20"/>
          <w:spacing w:val="-5"/>
          <w:sz w:val="20"/>
        </w:rPr>
        <w:t>the</w:t>
      </w:r>
    </w:p>
    <w:p>
      <w:pPr>
        <w:spacing w:line="255" w:lineRule="exact" w:before="0"/>
        <w:ind w:left="2920" w:right="0" w:firstLine="0"/>
        <w:jc w:val="left"/>
        <w:rPr>
          <w:sz w:val="20"/>
        </w:rPr>
      </w:pPr>
      <w:r>
        <w:rPr>
          <w:rFonts w:ascii="Book Antiqua"/>
          <w:b/>
          <w:color w:val="231F20"/>
          <w:sz w:val="20"/>
        </w:rPr>
        <w:t>Collection</w:t>
      </w:r>
      <w:r>
        <w:rPr>
          <w:rFonts w:ascii="Book Antiqua"/>
          <w:b/>
          <w:color w:val="231F20"/>
          <w:spacing w:val="11"/>
          <w:sz w:val="20"/>
        </w:rPr>
        <w:t> </w:t>
      </w:r>
      <w:r>
        <w:rPr>
          <w:rFonts w:ascii="Book Antiqua"/>
          <w:b/>
          <w:color w:val="231F20"/>
          <w:sz w:val="20"/>
        </w:rPr>
        <w:t>Location</w:t>
      </w:r>
      <w:r>
        <w:rPr>
          <w:rFonts w:ascii="Book Antiqua"/>
          <w:b/>
          <w:color w:val="231F20"/>
          <w:spacing w:val="12"/>
          <w:sz w:val="20"/>
        </w:rPr>
        <w:t> </w:t>
      </w:r>
      <w:r>
        <w:rPr>
          <w:color w:val="231F20"/>
          <w:sz w:val="20"/>
        </w:rPr>
        <w:t>(step</w:t>
      </w:r>
      <w:r>
        <w:rPr>
          <w:color w:val="231F20"/>
          <w:spacing w:val="11"/>
          <w:sz w:val="20"/>
        </w:rPr>
        <w:t> </w:t>
      </w:r>
      <w:hyperlink w:history="true" w:anchor="_bookmark157">
        <w:r>
          <w:rPr>
            <w:color w:val="231F20"/>
            <w:sz w:val="20"/>
          </w:rPr>
          <w:t>8</w:t>
        </w:r>
        <w:r>
          <w:rPr>
            <w:color w:val="231F20"/>
            <w:spacing w:val="12"/>
            <w:sz w:val="20"/>
          </w:rPr>
          <w:t> </w:t>
        </w:r>
        <w:r>
          <w:rPr>
            <w:color w:val="231F20"/>
            <w:sz w:val="20"/>
          </w:rPr>
          <w:t>on</w:t>
        </w:r>
        <w:r>
          <w:rPr>
            <w:color w:val="231F20"/>
            <w:spacing w:val="12"/>
            <w:sz w:val="20"/>
          </w:rPr>
          <w:t> </w:t>
        </w:r>
        <w:r>
          <w:rPr>
            <w:color w:val="231F20"/>
            <w:sz w:val="20"/>
          </w:rPr>
          <w:t>page</w:t>
        </w:r>
        <w:r>
          <w:rPr>
            <w:color w:val="231F20"/>
            <w:spacing w:val="11"/>
            <w:sz w:val="20"/>
          </w:rPr>
          <w:t> </w:t>
        </w:r>
        <w:r>
          <w:rPr>
            <w:color w:val="231F20"/>
            <w:sz w:val="20"/>
          </w:rPr>
          <w:t>221)</w:t>
        </w:r>
      </w:hyperlink>
      <w:r>
        <w:rPr>
          <w:color w:val="231F20"/>
          <w:spacing w:val="12"/>
          <w:sz w:val="20"/>
        </w:rPr>
        <w:t> </w:t>
      </w:r>
      <w:r>
        <w:rPr>
          <w:color w:val="231F20"/>
          <w:sz w:val="20"/>
        </w:rPr>
        <w:t>to</w:t>
      </w:r>
      <w:r>
        <w:rPr>
          <w:color w:val="231F20"/>
          <w:spacing w:val="12"/>
          <w:sz w:val="20"/>
        </w:rPr>
        <w:t> </w:t>
      </w:r>
      <w:r>
        <w:rPr>
          <w:rFonts w:ascii="Book Antiqua"/>
          <w:b/>
          <w:color w:val="231F20"/>
          <w:sz w:val="20"/>
        </w:rPr>
        <w:t>TEMA</w:t>
      </w:r>
      <w:r>
        <w:rPr>
          <w:rFonts w:ascii="Book Antiqua"/>
          <w:b/>
          <w:color w:val="231F20"/>
          <w:spacing w:val="11"/>
          <w:sz w:val="20"/>
        </w:rPr>
        <w:t> </w:t>
      </w:r>
      <w:r>
        <w:rPr>
          <w:color w:val="231F20"/>
          <w:sz w:val="20"/>
        </w:rPr>
        <w:t>gives</w:t>
      </w:r>
      <w:r>
        <w:rPr>
          <w:color w:val="231F20"/>
          <w:spacing w:val="12"/>
          <w:sz w:val="20"/>
        </w:rPr>
        <w:t> </w:t>
      </w:r>
      <w:r>
        <w:rPr>
          <w:color w:val="231F20"/>
          <w:sz w:val="20"/>
        </w:rPr>
        <w:t>the</w:t>
      </w:r>
      <w:r>
        <w:rPr>
          <w:color w:val="231F20"/>
          <w:spacing w:val="11"/>
          <w:sz w:val="20"/>
        </w:rPr>
        <w:t> </w:t>
      </w:r>
      <w:r>
        <w:rPr>
          <w:color w:val="231F20"/>
          <w:sz w:val="20"/>
        </w:rPr>
        <w:t>most</w:t>
      </w:r>
      <w:r>
        <w:rPr>
          <w:color w:val="231F20"/>
          <w:spacing w:val="12"/>
          <w:sz w:val="20"/>
        </w:rPr>
        <w:t> </w:t>
      </w:r>
      <w:r>
        <w:rPr>
          <w:color w:val="231F20"/>
          <w:spacing w:val="-2"/>
          <w:sz w:val="20"/>
        </w:rPr>
        <w:t>space.</w:t>
      </w:r>
    </w:p>
    <w:p>
      <w:pPr>
        <w:pStyle w:val="ListParagraph"/>
        <w:numPr>
          <w:ilvl w:val="0"/>
          <w:numId w:val="87"/>
        </w:numPr>
        <w:tabs>
          <w:tab w:pos="2659" w:val="left" w:leader="none"/>
        </w:tabs>
        <w:spacing w:line="240" w:lineRule="auto" w:before="29" w:after="0"/>
        <w:ind w:left="2659" w:right="0" w:hanging="427"/>
        <w:jc w:val="left"/>
        <w:rPr>
          <w:sz w:val="20"/>
        </w:rPr>
      </w:pPr>
      <w:r>
        <w:rPr>
          <w:color w:val="231F20"/>
          <w:sz w:val="20"/>
        </w:rPr>
        <w:t>Click</w:t>
      </w:r>
      <w:r>
        <w:rPr>
          <w:color w:val="231F20"/>
          <w:spacing w:val="12"/>
          <w:sz w:val="20"/>
        </w:rPr>
        <w:t> </w:t>
      </w:r>
      <w:r>
        <w:rPr>
          <w:rFonts w:ascii="Book Antiqua"/>
          <w:b/>
          <w:color w:val="231F20"/>
          <w:sz w:val="20"/>
        </w:rPr>
        <w:t>Apply</w:t>
      </w:r>
      <w:r>
        <w:rPr>
          <w:rFonts w:ascii="Book Antiqua"/>
          <w:b/>
          <w:color w:val="231F20"/>
          <w:spacing w:val="12"/>
          <w:sz w:val="20"/>
        </w:rPr>
        <w:t> </w:t>
      </w:r>
      <w:r>
        <w:rPr>
          <w:color w:val="231F20"/>
          <w:sz w:val="20"/>
        </w:rPr>
        <w:t>to</w:t>
      </w:r>
      <w:r>
        <w:rPr>
          <w:color w:val="231F20"/>
          <w:spacing w:val="12"/>
          <w:sz w:val="20"/>
        </w:rPr>
        <w:t> </w:t>
      </w:r>
      <w:r>
        <w:rPr>
          <w:color w:val="231F20"/>
          <w:sz w:val="20"/>
        </w:rPr>
        <w:t>save</w:t>
      </w:r>
      <w:r>
        <w:rPr>
          <w:color w:val="231F20"/>
          <w:spacing w:val="12"/>
          <w:sz w:val="20"/>
        </w:rPr>
        <w:t> </w:t>
      </w:r>
      <w:r>
        <w:rPr>
          <w:color w:val="231F20"/>
          <w:sz w:val="20"/>
        </w:rPr>
        <w:t>the</w:t>
      </w:r>
      <w:r>
        <w:rPr>
          <w:color w:val="231F20"/>
          <w:spacing w:val="13"/>
          <w:sz w:val="20"/>
        </w:rPr>
        <w:t> </w:t>
      </w:r>
      <w:r>
        <w:rPr>
          <w:color w:val="231F20"/>
          <w:spacing w:val="-2"/>
          <w:sz w:val="20"/>
        </w:rPr>
        <w:t>collection.</w:t>
      </w:r>
    </w:p>
    <w:p>
      <w:pPr>
        <w:pStyle w:val="Heading4"/>
        <w:spacing w:before="194"/>
      </w:pPr>
      <w:r>
        <w:rPr>
          <w:color w:val="231F20"/>
          <w:spacing w:val="-2"/>
        </w:rPr>
        <w:t>Results</w:t>
      </w:r>
    </w:p>
    <w:p>
      <w:pPr>
        <w:pStyle w:val="BodyText"/>
        <w:spacing w:line="213" w:lineRule="auto" w:before="242"/>
        <w:ind w:left="2232" w:right="636"/>
      </w:pPr>
      <w:r>
        <w:rPr>
          <w:color w:val="231F20"/>
        </w:rPr>
        <w:t>The collection name appears in the monitored application branch of the tree </w:t>
      </w:r>
      <w:r>
        <w:rPr>
          <w:color w:val="231F20"/>
        </w:rPr>
        <w:t>with an icon to indicate that it is not distributed to managed systems: </w:t>
      </w:r>
      <w:r>
        <w:rPr>
          <w:color w:val="231F20"/>
          <w:spacing w:val="15"/>
          <w:position w:val="-1"/>
        </w:rPr>
        <w:drawing>
          <wp:inline distT="0" distB="0" distL="0" distR="0">
            <wp:extent cx="101600" cy="101600"/>
            <wp:effectExtent l="0" t="0" r="0" b="0"/>
            <wp:docPr id="1897" name="Image 1897"/>
            <wp:cNvGraphicFramePr>
              <a:graphicFrameLocks/>
            </wp:cNvGraphicFramePr>
            <a:graphic>
              <a:graphicData uri="http://schemas.openxmlformats.org/drawingml/2006/picture">
                <pic:pic>
                  <pic:nvPicPr>
                    <pic:cNvPr id="1897" name="Image 1897"/>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0"/>
        </w:rPr>
        <w:t> </w:t>
      </w:r>
      <w:r>
        <w:rPr>
          <w:color w:val="231F20"/>
        </w:rPr>
        <w:t>.</w:t>
      </w:r>
    </w:p>
    <w:p>
      <w:pPr>
        <w:spacing w:after="0" w:line="213" w:lineRule="auto"/>
        <w:sectPr>
          <w:pgSz w:w="12240" w:h="15840"/>
          <w:pgMar w:header="0" w:footer="736" w:top="1180" w:bottom="920" w:left="1000" w:right="1060"/>
        </w:sectPr>
      </w:pPr>
    </w:p>
    <w:p>
      <w:pPr>
        <w:pStyle w:val="Heading4"/>
        <w:spacing w:before="86"/>
        <w:ind w:left="2472"/>
      </w:pPr>
      <w:bookmarkStart w:name="_bookmark159" w:id="350"/>
      <w:bookmarkEnd w:id="350"/>
      <w:r>
        <w:rPr>
          <w:b w:val="0"/>
        </w:rPr>
      </w:r>
      <w:r>
        <w:rPr>
          <w:color w:val="231F20"/>
          <w:spacing w:val="-2"/>
        </w:rPr>
        <w:t>Example</w:t>
      </w:r>
    </w:p>
    <w:p>
      <w:pPr>
        <w:spacing w:line="213" w:lineRule="auto" w:before="242"/>
        <w:ind w:left="2472" w:right="258" w:firstLine="0"/>
        <w:jc w:val="left"/>
        <w:rPr>
          <w:sz w:val="20"/>
        </w:rPr>
      </w:pPr>
      <w:r>
        <w:rPr>
          <w:color w:val="231F20"/>
          <w:sz w:val="20"/>
        </w:rPr>
        <w:t>This is a historical collection called “ProcessInformation”. The settings in the </w:t>
      </w:r>
      <w:r>
        <w:rPr>
          <w:rFonts w:ascii="Book Antiqua" w:hAnsi="Book Antiqua"/>
          <w:b/>
          <w:color w:val="231F20"/>
          <w:sz w:val="20"/>
        </w:rPr>
        <w:t>Basic </w:t>
      </w:r>
      <w:r>
        <w:rPr>
          <w:color w:val="231F20"/>
          <w:sz w:val="20"/>
        </w:rPr>
        <w:t>tab use the defaults: </w:t>
      </w:r>
      <w:r>
        <w:rPr>
          <w:rFonts w:ascii="Book Antiqua" w:hAnsi="Book Antiqua"/>
          <w:b/>
          <w:color w:val="231F20"/>
          <w:sz w:val="20"/>
        </w:rPr>
        <w:t>Collection Interval </w:t>
      </w:r>
      <w:r>
        <w:rPr>
          <w:color w:val="231F20"/>
          <w:sz w:val="20"/>
        </w:rPr>
        <w:t>of 5 minutes; </w:t>
      </w:r>
      <w:r>
        <w:rPr>
          <w:rFonts w:ascii="Book Antiqua" w:hAnsi="Book Antiqua"/>
          <w:b/>
          <w:color w:val="231F20"/>
          <w:sz w:val="20"/>
        </w:rPr>
        <w:t>Collection Location </w:t>
      </w:r>
      <w:r>
        <w:rPr>
          <w:color w:val="231F20"/>
          <w:sz w:val="20"/>
        </w:rPr>
        <w:t>at the TEMA;</w:t>
      </w:r>
      <w:r>
        <w:rPr>
          <w:color w:val="231F20"/>
          <w:spacing w:val="26"/>
          <w:sz w:val="20"/>
        </w:rPr>
        <w:t> </w:t>
      </w:r>
      <w:r>
        <w:rPr>
          <w:color w:val="231F20"/>
          <w:sz w:val="20"/>
        </w:rPr>
        <w:t>and</w:t>
      </w:r>
      <w:r>
        <w:rPr>
          <w:color w:val="231F20"/>
          <w:spacing w:val="26"/>
          <w:sz w:val="20"/>
        </w:rPr>
        <w:t> </w:t>
      </w:r>
      <w:r>
        <w:rPr>
          <w:rFonts w:ascii="Book Antiqua" w:hAnsi="Book Antiqua"/>
          <w:b/>
          <w:color w:val="231F20"/>
          <w:sz w:val="20"/>
        </w:rPr>
        <w:t>Warehouse</w:t>
      </w:r>
      <w:r>
        <w:rPr>
          <w:rFonts w:ascii="Book Antiqua" w:hAnsi="Book Antiqua"/>
          <w:b/>
          <w:color w:val="231F20"/>
          <w:spacing w:val="26"/>
          <w:sz w:val="20"/>
        </w:rPr>
        <w:t> </w:t>
      </w:r>
      <w:r>
        <w:rPr>
          <w:rFonts w:ascii="Book Antiqua" w:hAnsi="Book Antiqua"/>
          <w:b/>
          <w:color w:val="231F20"/>
          <w:sz w:val="20"/>
        </w:rPr>
        <w:t>Interval</w:t>
      </w:r>
      <w:r>
        <w:rPr>
          <w:rFonts w:ascii="Book Antiqua" w:hAnsi="Book Antiqua"/>
          <w:b/>
          <w:color w:val="231F20"/>
          <w:spacing w:val="26"/>
          <w:sz w:val="20"/>
        </w:rPr>
        <w:t> </w:t>
      </w:r>
      <w:r>
        <w:rPr>
          <w:color w:val="231F20"/>
          <w:sz w:val="20"/>
        </w:rPr>
        <w:t>of</w:t>
      </w:r>
      <w:r>
        <w:rPr>
          <w:color w:val="231F20"/>
          <w:spacing w:val="26"/>
          <w:sz w:val="20"/>
        </w:rPr>
        <w:t> </w:t>
      </w:r>
      <w:r>
        <w:rPr>
          <w:color w:val="231F20"/>
          <w:sz w:val="20"/>
        </w:rPr>
        <w:t>15</w:t>
      </w:r>
      <w:r>
        <w:rPr>
          <w:color w:val="231F20"/>
          <w:spacing w:val="26"/>
          <w:sz w:val="20"/>
        </w:rPr>
        <w:t> </w:t>
      </w:r>
      <w:r>
        <w:rPr>
          <w:color w:val="231F20"/>
          <w:sz w:val="20"/>
        </w:rPr>
        <w:t>minutes.</w:t>
      </w:r>
      <w:r>
        <w:rPr>
          <w:color w:val="231F20"/>
          <w:spacing w:val="26"/>
          <w:sz w:val="20"/>
        </w:rPr>
        <w:t> </w:t>
      </w:r>
      <w:r>
        <w:rPr>
          <w:color w:val="231F20"/>
          <w:sz w:val="20"/>
        </w:rPr>
        <w:t>The</w:t>
      </w:r>
      <w:r>
        <w:rPr>
          <w:color w:val="231F20"/>
          <w:spacing w:val="26"/>
          <w:sz w:val="20"/>
        </w:rPr>
        <w:t> </w:t>
      </w:r>
      <w:r>
        <w:rPr>
          <w:rFonts w:ascii="Book Antiqua" w:hAnsi="Book Antiqua"/>
          <w:b/>
          <w:color w:val="231F20"/>
          <w:sz w:val="20"/>
        </w:rPr>
        <w:t>Filter</w:t>
      </w:r>
      <w:r>
        <w:rPr>
          <w:rFonts w:ascii="Book Antiqua" w:hAnsi="Book Antiqua"/>
          <w:b/>
          <w:color w:val="231F20"/>
          <w:spacing w:val="26"/>
          <w:sz w:val="20"/>
        </w:rPr>
        <w:t> </w:t>
      </w:r>
      <w:r>
        <w:rPr>
          <w:color w:val="231F20"/>
          <w:sz w:val="20"/>
        </w:rPr>
        <w:t>tab</w:t>
      </w:r>
      <w:r>
        <w:rPr>
          <w:color w:val="231F20"/>
          <w:spacing w:val="26"/>
          <w:sz w:val="20"/>
        </w:rPr>
        <w:t> </w:t>
      </w:r>
      <w:r>
        <w:rPr>
          <w:color w:val="231F20"/>
          <w:sz w:val="20"/>
        </w:rPr>
        <w:t>has</w:t>
      </w:r>
      <w:r>
        <w:rPr>
          <w:color w:val="231F20"/>
          <w:spacing w:val="26"/>
          <w:sz w:val="20"/>
        </w:rPr>
        <w:t> </w:t>
      </w:r>
      <w:r>
        <w:rPr>
          <w:color w:val="231F20"/>
          <w:sz w:val="20"/>
        </w:rPr>
        <w:t>a</w:t>
      </w:r>
      <w:r>
        <w:rPr>
          <w:color w:val="231F20"/>
          <w:spacing w:val="26"/>
          <w:sz w:val="20"/>
        </w:rPr>
        <w:t> </w:t>
      </w:r>
      <w:r>
        <w:rPr>
          <w:color w:val="231F20"/>
          <w:sz w:val="20"/>
        </w:rPr>
        <w:t>formula</w:t>
      </w:r>
      <w:r>
        <w:rPr>
          <w:color w:val="231F20"/>
          <w:sz w:val="20"/>
        </w:rPr>
        <w:t> written</w:t>
      </w:r>
      <w:r>
        <w:rPr>
          <w:color w:val="231F20"/>
          <w:spacing w:val="26"/>
          <w:sz w:val="20"/>
        </w:rPr>
        <w:t> </w:t>
      </w:r>
      <w:r>
        <w:rPr>
          <w:color w:val="231F20"/>
          <w:sz w:val="20"/>
        </w:rPr>
        <w:t>to</w:t>
      </w:r>
      <w:r>
        <w:rPr>
          <w:color w:val="231F20"/>
          <w:spacing w:val="26"/>
          <w:sz w:val="20"/>
        </w:rPr>
        <w:t> </w:t>
      </w:r>
      <w:r>
        <w:rPr>
          <w:color w:val="231F20"/>
          <w:sz w:val="20"/>
        </w:rPr>
        <w:t>collect</w:t>
      </w:r>
      <w:r>
        <w:rPr>
          <w:color w:val="231F20"/>
          <w:spacing w:val="26"/>
          <w:sz w:val="20"/>
        </w:rPr>
        <w:t> </w:t>
      </w:r>
      <w:r>
        <w:rPr>
          <w:color w:val="231F20"/>
          <w:sz w:val="20"/>
        </w:rPr>
        <w:t>the</w:t>
      </w:r>
      <w:r>
        <w:rPr>
          <w:color w:val="231F20"/>
          <w:spacing w:val="26"/>
          <w:sz w:val="20"/>
        </w:rPr>
        <w:t> </w:t>
      </w:r>
      <w:r>
        <w:rPr>
          <w:color w:val="231F20"/>
          <w:sz w:val="20"/>
        </w:rPr>
        <w:t>sample</w:t>
      </w:r>
      <w:r>
        <w:rPr>
          <w:color w:val="231F20"/>
          <w:spacing w:val="26"/>
          <w:sz w:val="20"/>
        </w:rPr>
        <w:t> </w:t>
      </w:r>
      <w:r>
        <w:rPr>
          <w:color w:val="231F20"/>
          <w:sz w:val="20"/>
        </w:rPr>
        <w:t>if</w:t>
      </w:r>
      <w:r>
        <w:rPr>
          <w:color w:val="231F20"/>
          <w:spacing w:val="26"/>
          <w:sz w:val="20"/>
        </w:rPr>
        <w:t> </w:t>
      </w:r>
      <w:r>
        <w:rPr>
          <w:color w:val="231F20"/>
          <w:sz w:val="20"/>
        </w:rPr>
        <w:t>one</w:t>
      </w:r>
      <w:r>
        <w:rPr>
          <w:color w:val="231F20"/>
          <w:spacing w:val="26"/>
          <w:sz w:val="20"/>
        </w:rPr>
        <w:t> </w:t>
      </w:r>
      <w:r>
        <w:rPr>
          <w:color w:val="231F20"/>
          <w:sz w:val="20"/>
        </w:rPr>
        <w:t>of</w:t>
      </w:r>
      <w:r>
        <w:rPr>
          <w:color w:val="231F20"/>
          <w:spacing w:val="26"/>
          <w:sz w:val="20"/>
        </w:rPr>
        <w:t> </w:t>
      </w:r>
      <w:r>
        <w:rPr>
          <w:color w:val="231F20"/>
          <w:sz w:val="20"/>
        </w:rPr>
        <w:t>these</w:t>
      </w:r>
      <w:r>
        <w:rPr>
          <w:color w:val="231F20"/>
          <w:spacing w:val="26"/>
          <w:sz w:val="20"/>
        </w:rPr>
        <w:t> </w:t>
      </w:r>
      <w:r>
        <w:rPr>
          <w:color w:val="231F20"/>
          <w:sz w:val="20"/>
        </w:rPr>
        <w:t>two</w:t>
      </w:r>
      <w:r>
        <w:rPr>
          <w:color w:val="231F20"/>
          <w:spacing w:val="26"/>
          <w:sz w:val="20"/>
        </w:rPr>
        <w:t> </w:t>
      </w:r>
      <w:r>
        <w:rPr>
          <w:color w:val="231F20"/>
          <w:sz w:val="20"/>
        </w:rPr>
        <w:t>conditions</w:t>
      </w:r>
      <w:r>
        <w:rPr>
          <w:color w:val="231F20"/>
          <w:spacing w:val="26"/>
          <w:sz w:val="20"/>
        </w:rPr>
        <w:t> </w:t>
      </w:r>
      <w:r>
        <w:rPr>
          <w:color w:val="231F20"/>
          <w:sz w:val="20"/>
        </w:rPr>
        <w:t>is</w:t>
      </w:r>
      <w:r>
        <w:rPr>
          <w:color w:val="231F20"/>
          <w:spacing w:val="26"/>
          <w:sz w:val="20"/>
        </w:rPr>
        <w:t> </w:t>
      </w:r>
      <w:r>
        <w:rPr>
          <w:color w:val="231F20"/>
          <w:sz w:val="20"/>
        </w:rPr>
        <w:t>met:</w:t>
      </w:r>
      <w:r>
        <w:rPr>
          <w:color w:val="231F20"/>
          <w:spacing w:val="26"/>
          <w:sz w:val="20"/>
        </w:rPr>
        <w:t> </w:t>
      </w:r>
      <w:r>
        <w:rPr>
          <w:color w:val="231F20"/>
          <w:sz w:val="20"/>
        </w:rPr>
        <w:t>the</w:t>
      </w:r>
      <w:r>
        <w:rPr>
          <w:color w:val="231F20"/>
          <w:spacing w:val="26"/>
          <w:sz w:val="20"/>
        </w:rPr>
        <w:t> </w:t>
      </w:r>
      <w:r>
        <w:rPr>
          <w:color w:val="231F20"/>
          <w:sz w:val="20"/>
        </w:rPr>
        <w:t>process name is </w:t>
      </w:r>
      <w:r>
        <w:rPr>
          <w:rFonts w:ascii="Book Antiqua" w:hAnsi="Book Antiqua"/>
          <w:i/>
          <w:color w:val="231F20"/>
          <w:sz w:val="20"/>
        </w:rPr>
        <w:t>VirusScan</w:t>
      </w:r>
      <w:r>
        <w:rPr>
          <w:color w:val="231F20"/>
          <w:sz w:val="20"/>
        </w:rPr>
        <w:t>; OR the process name is </w:t>
      </w:r>
      <w:r>
        <w:rPr>
          <w:rFonts w:ascii="Book Antiqua" w:hAnsi="Book Antiqua"/>
          <w:i/>
          <w:color w:val="231F20"/>
          <w:sz w:val="20"/>
        </w:rPr>
        <w:t>java </w:t>
      </w:r>
      <w:r>
        <w:rPr>
          <w:color w:val="231F20"/>
          <w:sz w:val="20"/>
        </w:rPr>
        <w:t>and is taking more than </w:t>
      </w:r>
      <w:r>
        <w:rPr>
          <w:rFonts w:ascii="Book Antiqua" w:hAnsi="Book Antiqua"/>
          <w:i/>
          <w:color w:val="231F20"/>
          <w:sz w:val="20"/>
        </w:rPr>
        <w:t>50% </w:t>
      </w:r>
      <w:r>
        <w:rPr>
          <w:color w:val="231F20"/>
          <w:sz w:val="20"/>
        </w:rPr>
        <w:t>of the</w:t>
      </w:r>
      <w:r>
        <w:rPr>
          <w:color w:val="231F20"/>
          <w:spacing w:val="40"/>
          <w:sz w:val="20"/>
        </w:rPr>
        <w:t> </w:t>
      </w:r>
      <w:r>
        <w:rPr>
          <w:color w:val="231F20"/>
          <w:sz w:val="20"/>
        </w:rPr>
        <w:t>processor time on the </w:t>
      </w:r>
      <w:r>
        <w:rPr>
          <w:rFonts w:ascii="Book Antiqua" w:hAnsi="Book Antiqua"/>
          <w:i/>
          <w:color w:val="231F20"/>
          <w:sz w:val="20"/>
        </w:rPr>
        <w:t>North012 </w:t>
      </w:r>
      <w:r>
        <w:rPr>
          <w:color w:val="231F20"/>
          <w:sz w:val="20"/>
        </w:rPr>
        <w:t>Windows system, the </w:t>
      </w:r>
      <w:r>
        <w:rPr>
          <w:rFonts w:ascii="Book Antiqua" w:hAnsi="Book Antiqua"/>
          <w:i/>
          <w:color w:val="231F20"/>
          <w:sz w:val="20"/>
        </w:rPr>
        <w:t>South007 </w:t>
      </w:r>
      <w:r>
        <w:rPr>
          <w:color w:val="231F20"/>
          <w:sz w:val="20"/>
        </w:rPr>
        <w:t>Windows system, or </w:t>
      </w:r>
      <w:r>
        <w:rPr>
          <w:color w:val="231F20"/>
          <w:spacing w:val="-2"/>
          <w:sz w:val="20"/>
        </w:rPr>
        <w:t>both.</w:t>
      </w:r>
    </w:p>
    <w:p>
      <w:pPr>
        <w:pStyle w:val="BodyText"/>
        <w:spacing w:before="5"/>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19"/>
        <w:gridCol w:w="1407"/>
        <w:gridCol w:w="1622"/>
        <w:gridCol w:w="4183"/>
      </w:tblGrid>
      <w:tr>
        <w:trPr>
          <w:trHeight w:val="274" w:hRule="atLeast"/>
        </w:trPr>
        <w:tc>
          <w:tcPr>
            <w:tcW w:w="319" w:type="dxa"/>
          </w:tcPr>
          <w:p>
            <w:pPr>
              <w:pStyle w:val="TableParagraph"/>
              <w:spacing w:before="0"/>
              <w:ind w:left="0"/>
              <w:rPr>
                <w:rFonts w:ascii="Times New Roman"/>
                <w:sz w:val="18"/>
              </w:rPr>
            </w:pPr>
          </w:p>
        </w:tc>
        <w:tc>
          <w:tcPr>
            <w:tcW w:w="1407" w:type="dxa"/>
          </w:tcPr>
          <w:p>
            <w:pPr>
              <w:pStyle w:val="TableParagraph"/>
              <w:spacing w:before="10"/>
              <w:ind w:left="60"/>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622" w:type="dxa"/>
          </w:tcPr>
          <w:p>
            <w:pPr>
              <w:pStyle w:val="TableParagraph"/>
              <w:spacing w:before="10"/>
              <w:ind w:left="61"/>
              <w:rPr>
                <w:rFonts w:ascii="Book Antiqua"/>
                <w:b/>
                <w:sz w:val="18"/>
              </w:rPr>
            </w:pPr>
            <w:r>
              <w:rPr>
                <w:rFonts w:ascii="Book Antiqua"/>
                <w:b/>
                <w:color w:val="231F20"/>
                <w:sz w:val="18"/>
              </w:rPr>
              <w:t>%</w:t>
            </w:r>
            <w:r>
              <w:rPr>
                <w:rFonts w:ascii="Book Antiqua"/>
                <w:b/>
                <w:color w:val="231F20"/>
                <w:spacing w:val="9"/>
                <w:sz w:val="18"/>
              </w:rPr>
              <w:t> </w:t>
            </w:r>
            <w:r>
              <w:rPr>
                <w:rFonts w:ascii="Book Antiqua"/>
                <w:b/>
                <w:color w:val="231F20"/>
                <w:sz w:val="18"/>
              </w:rPr>
              <w:t>Processor</w:t>
            </w:r>
            <w:r>
              <w:rPr>
                <w:rFonts w:ascii="Book Antiqua"/>
                <w:b/>
                <w:color w:val="231F20"/>
                <w:spacing w:val="9"/>
                <w:sz w:val="18"/>
              </w:rPr>
              <w:t> </w:t>
            </w:r>
            <w:r>
              <w:rPr>
                <w:rFonts w:ascii="Book Antiqua"/>
                <w:b/>
                <w:color w:val="231F20"/>
                <w:spacing w:val="-4"/>
                <w:sz w:val="18"/>
              </w:rPr>
              <w:t>Time</w:t>
            </w:r>
          </w:p>
        </w:tc>
        <w:tc>
          <w:tcPr>
            <w:tcW w:w="4183" w:type="dxa"/>
          </w:tcPr>
          <w:p>
            <w:pPr>
              <w:pStyle w:val="TableParagraph"/>
              <w:spacing w:before="10"/>
              <w:ind w:left="61"/>
              <w:rPr>
                <w:rFonts w:ascii="Book Antiqua"/>
                <w:b/>
                <w:sz w:val="18"/>
              </w:rPr>
            </w:pPr>
            <w:r>
              <w:rPr>
                <w:rFonts w:ascii="Book Antiqua"/>
                <w:b/>
                <w:color w:val="231F20"/>
                <w:sz w:val="18"/>
              </w:rPr>
              <w:t>Server</w:t>
            </w:r>
            <w:r>
              <w:rPr>
                <w:rFonts w:ascii="Book Antiqua"/>
                <w:b/>
                <w:color w:val="231F20"/>
                <w:spacing w:val="8"/>
                <w:sz w:val="18"/>
              </w:rPr>
              <w:t> </w:t>
            </w:r>
            <w:r>
              <w:rPr>
                <w:rFonts w:ascii="Book Antiqua"/>
                <w:b/>
                <w:color w:val="231F20"/>
                <w:spacing w:val="-4"/>
                <w:sz w:val="18"/>
              </w:rPr>
              <w:t>Name</w:t>
            </w:r>
          </w:p>
        </w:tc>
      </w:tr>
      <w:tr>
        <w:trPr>
          <w:trHeight w:val="309" w:hRule="atLeast"/>
        </w:trPr>
        <w:tc>
          <w:tcPr>
            <w:tcW w:w="319" w:type="dxa"/>
          </w:tcPr>
          <w:p>
            <w:pPr>
              <w:pStyle w:val="TableParagraph"/>
              <w:ind w:left="0" w:right="127"/>
              <w:jc w:val="center"/>
              <w:rPr>
                <w:sz w:val="18"/>
              </w:rPr>
            </w:pPr>
            <w:r>
              <w:rPr>
                <w:color w:val="231F20"/>
                <w:spacing w:val="-10"/>
                <w:sz w:val="18"/>
              </w:rPr>
              <w:t>1</w:t>
            </w:r>
          </w:p>
        </w:tc>
        <w:tc>
          <w:tcPr>
            <w:tcW w:w="1407" w:type="dxa"/>
          </w:tcPr>
          <w:p>
            <w:pPr>
              <w:pStyle w:val="TableParagraph"/>
              <w:ind w:left="60"/>
              <w:rPr>
                <w:sz w:val="18"/>
              </w:rPr>
            </w:pPr>
            <w:r>
              <w:rPr>
                <w:color w:val="231F20"/>
                <w:spacing w:val="-2"/>
                <w:w w:val="105"/>
                <w:sz w:val="18"/>
              </w:rPr>
              <w:t>==VirusScan</w:t>
            </w:r>
          </w:p>
        </w:tc>
        <w:tc>
          <w:tcPr>
            <w:tcW w:w="1622" w:type="dxa"/>
          </w:tcPr>
          <w:p>
            <w:pPr>
              <w:pStyle w:val="TableParagraph"/>
              <w:spacing w:before="0"/>
              <w:ind w:left="0"/>
              <w:rPr>
                <w:rFonts w:ascii="Times New Roman"/>
                <w:sz w:val="18"/>
              </w:rPr>
            </w:pPr>
          </w:p>
        </w:tc>
        <w:tc>
          <w:tcPr>
            <w:tcW w:w="4183" w:type="dxa"/>
          </w:tcPr>
          <w:p>
            <w:pPr>
              <w:pStyle w:val="TableParagraph"/>
              <w:spacing w:before="0"/>
              <w:ind w:left="0"/>
              <w:rPr>
                <w:rFonts w:ascii="Times New Roman"/>
                <w:sz w:val="18"/>
              </w:rPr>
            </w:pPr>
          </w:p>
        </w:tc>
      </w:tr>
      <w:tr>
        <w:trPr>
          <w:trHeight w:val="314" w:hRule="atLeast"/>
        </w:trPr>
        <w:tc>
          <w:tcPr>
            <w:tcW w:w="319" w:type="dxa"/>
          </w:tcPr>
          <w:p>
            <w:pPr>
              <w:pStyle w:val="TableParagraph"/>
              <w:ind w:left="0" w:right="127"/>
              <w:jc w:val="center"/>
              <w:rPr>
                <w:sz w:val="18"/>
              </w:rPr>
            </w:pPr>
            <w:r>
              <w:rPr>
                <w:color w:val="231F20"/>
                <w:spacing w:val="-10"/>
                <w:sz w:val="18"/>
              </w:rPr>
              <w:t>2</w:t>
            </w:r>
          </w:p>
        </w:tc>
        <w:tc>
          <w:tcPr>
            <w:tcW w:w="1407" w:type="dxa"/>
          </w:tcPr>
          <w:p>
            <w:pPr>
              <w:pStyle w:val="TableParagraph"/>
              <w:ind w:left="60"/>
              <w:rPr>
                <w:sz w:val="18"/>
              </w:rPr>
            </w:pPr>
            <w:r>
              <w:rPr>
                <w:color w:val="231F20"/>
                <w:spacing w:val="-2"/>
                <w:w w:val="105"/>
                <w:sz w:val="18"/>
              </w:rPr>
              <w:t>==java</w:t>
            </w:r>
          </w:p>
        </w:tc>
        <w:tc>
          <w:tcPr>
            <w:tcW w:w="1622" w:type="dxa"/>
          </w:tcPr>
          <w:p>
            <w:pPr>
              <w:pStyle w:val="TableParagraph"/>
              <w:ind w:left="61"/>
              <w:rPr>
                <w:sz w:val="18"/>
              </w:rPr>
            </w:pPr>
            <w:r>
              <w:rPr>
                <w:color w:val="231F20"/>
                <w:spacing w:val="-5"/>
                <w:w w:val="105"/>
                <w:sz w:val="18"/>
              </w:rPr>
              <w:t>&gt;50</w:t>
            </w:r>
          </w:p>
        </w:tc>
        <w:tc>
          <w:tcPr>
            <w:tcW w:w="4183" w:type="dxa"/>
          </w:tcPr>
          <w:p>
            <w:pPr>
              <w:pStyle w:val="TableParagraph"/>
              <w:ind w:left="61"/>
              <w:rPr>
                <w:sz w:val="18"/>
              </w:rPr>
            </w:pPr>
            <w:r>
              <w:rPr>
                <w:color w:val="231F20"/>
                <w:sz w:val="18"/>
              </w:rPr>
              <w:t>('Primary:North012:NT',</w:t>
            </w:r>
            <w:r>
              <w:rPr>
                <w:color w:val="231F20"/>
                <w:spacing w:val="-6"/>
                <w:sz w:val="18"/>
              </w:rPr>
              <w:t> </w:t>
            </w:r>
            <w:r>
              <w:rPr>
                <w:color w:val="231F20"/>
                <w:spacing w:val="-2"/>
                <w:sz w:val="18"/>
              </w:rPr>
              <w:t>'Primary:South007:NT')</w:t>
            </w:r>
          </w:p>
        </w:tc>
      </w:tr>
    </w:tbl>
    <w:p>
      <w:pPr>
        <w:pStyle w:val="BodyText"/>
        <w:spacing w:before="137"/>
      </w:pPr>
    </w:p>
    <w:p>
      <w:pPr>
        <w:pStyle w:val="BodyText"/>
        <w:spacing w:line="213" w:lineRule="auto" w:before="1"/>
        <w:ind w:left="2472" w:right="545"/>
      </w:pPr>
      <w:r>
        <w:rPr>
          <w:color w:val="231F20"/>
        </w:rPr>
        <w:t>The IN operator was selected for entering the server list, as you can see </w:t>
      </w:r>
      <w:r>
        <w:rPr>
          <w:color w:val="231F20"/>
        </w:rPr>
        <w:t>when viewing the formula in </w:t>
      </w:r>
      <w:r>
        <w:rPr>
          <w:color w:val="231F20"/>
          <w:spacing w:val="15"/>
          <w:position w:val="-1"/>
        </w:rPr>
        <w:drawing>
          <wp:inline distT="0" distB="0" distL="0" distR="0">
            <wp:extent cx="101600" cy="101600"/>
            <wp:effectExtent l="0" t="0" r="0" b="0"/>
            <wp:docPr id="1898" name="Image 1898"/>
            <wp:cNvGraphicFramePr>
              <a:graphicFrameLocks/>
            </wp:cNvGraphicFramePr>
            <a:graphic>
              <a:graphicData uri="http://schemas.openxmlformats.org/drawingml/2006/picture">
                <pic:pic>
                  <pic:nvPicPr>
                    <pic:cNvPr id="1898" name="Image 1898"/>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
        </w:rPr>
        <w:t> </w:t>
      </w:r>
      <w:r>
        <w:rPr>
          <w:color w:val="231F20"/>
        </w:rPr>
        <w:t>:</w:t>
      </w:r>
    </w:p>
    <w:p>
      <w:pPr>
        <w:spacing w:line="230" w:lineRule="auto" w:before="68"/>
        <w:ind w:left="2472" w:right="1104" w:firstLine="0"/>
        <w:jc w:val="left"/>
        <w:rPr>
          <w:rFonts w:ascii="Arial" w:hAnsi="Arial"/>
          <w:sz w:val="18"/>
        </w:rPr>
      </w:pPr>
      <w:r>
        <w:rPr>
          <w:rFonts w:ascii="Arial" w:hAnsi="Arial"/>
          <w:color w:val="231F20"/>
          <w:w w:val="90"/>
          <w:sz w:val="18"/>
        </w:rPr>
        <w:t>(Process</w:t>
      </w:r>
      <w:r>
        <w:rPr>
          <w:rFonts w:ascii="Arial" w:hAnsi="Arial"/>
          <w:color w:val="231F20"/>
          <w:spacing w:val="40"/>
          <w:sz w:val="18"/>
        </w:rPr>
        <w:t> </w:t>
      </w:r>
      <w:r>
        <w:rPr>
          <w:rFonts w:ascii="Arial" w:hAnsi="Arial"/>
          <w:color w:val="231F20"/>
          <w:w w:val="90"/>
          <w:sz w:val="18"/>
        </w:rPr>
        <w:t>Name==VirusScan)</w:t>
      </w:r>
      <w:r>
        <w:rPr>
          <w:rFonts w:ascii="Arial" w:hAnsi="Arial"/>
          <w:color w:val="231F20"/>
          <w:spacing w:val="40"/>
          <w:sz w:val="18"/>
        </w:rPr>
        <w:t> </w:t>
      </w:r>
      <w:r>
        <w:rPr>
          <w:rFonts w:ascii="Arial" w:hAnsi="Arial"/>
          <w:color w:val="231F20"/>
          <w:w w:val="90"/>
          <w:sz w:val="18"/>
        </w:rPr>
        <w:t>OR</w:t>
      </w:r>
      <w:r>
        <w:rPr>
          <w:rFonts w:ascii="Arial" w:hAnsi="Arial"/>
          <w:color w:val="231F20"/>
          <w:spacing w:val="40"/>
          <w:sz w:val="18"/>
        </w:rPr>
        <w:t> </w:t>
      </w:r>
      <w:r>
        <w:rPr>
          <w:rFonts w:ascii="Arial" w:hAnsi="Arial"/>
          <w:color w:val="231F20"/>
          <w:w w:val="90"/>
          <w:sz w:val="18"/>
        </w:rPr>
        <w:t>(Process</w:t>
      </w:r>
      <w:r>
        <w:rPr>
          <w:rFonts w:ascii="Arial" w:hAnsi="Arial"/>
          <w:color w:val="231F20"/>
          <w:spacing w:val="40"/>
          <w:sz w:val="18"/>
        </w:rPr>
        <w:t> </w:t>
      </w:r>
      <w:r>
        <w:rPr>
          <w:rFonts w:ascii="Arial" w:hAnsi="Arial"/>
          <w:color w:val="231F20"/>
          <w:w w:val="90"/>
          <w:sz w:val="18"/>
        </w:rPr>
        <w:t>Name==java</w:t>
      </w:r>
      <w:r>
        <w:rPr>
          <w:rFonts w:ascii="Arial" w:hAnsi="Arial"/>
          <w:color w:val="231F20"/>
          <w:spacing w:val="40"/>
          <w:sz w:val="18"/>
        </w:rPr>
        <w:t> </w:t>
      </w:r>
      <w:r>
        <w:rPr>
          <w:rFonts w:ascii="Arial" w:hAnsi="Arial"/>
          <w:color w:val="231F20"/>
          <w:w w:val="90"/>
          <w:sz w:val="18"/>
        </w:rPr>
        <w:t>AND</w:t>
      </w:r>
      <w:r>
        <w:rPr>
          <w:rFonts w:ascii="Arial" w:hAnsi="Arial"/>
          <w:color w:val="231F20"/>
          <w:spacing w:val="40"/>
          <w:sz w:val="18"/>
        </w:rPr>
        <w:t> </w:t>
      </w:r>
      <w:r>
        <w:rPr>
          <w:rFonts w:ascii="Arial" w:hAnsi="Arial"/>
          <w:color w:val="231F20"/>
          <w:w w:val="90"/>
          <w:sz w:val="18"/>
        </w:rPr>
        <w:t>%Processor</w:t>
      </w:r>
      <w:r>
        <w:rPr>
          <w:rFonts w:ascii="Arial" w:hAnsi="Arial"/>
          <w:color w:val="231F20"/>
          <w:spacing w:val="40"/>
          <w:sz w:val="18"/>
        </w:rPr>
        <w:t> </w:t>
      </w:r>
      <w:r>
        <w:rPr>
          <w:rFonts w:ascii="Arial" w:hAnsi="Arial"/>
          <w:color w:val="231F20"/>
          <w:w w:val="90"/>
          <w:sz w:val="18"/>
        </w:rPr>
        <w:t>Time</w:t>
      </w:r>
      <w:r>
        <w:rPr>
          <w:rFonts w:ascii="Arial" w:hAnsi="Arial"/>
          <w:color w:val="231F20"/>
          <w:spacing w:val="40"/>
          <w:sz w:val="18"/>
        </w:rPr>
        <w:t> </w:t>
      </w:r>
      <w:r>
        <w:rPr>
          <w:rFonts w:ascii="Arial" w:hAnsi="Arial"/>
          <w:color w:val="231F20"/>
          <w:w w:val="90"/>
          <w:sz w:val="18"/>
        </w:rPr>
        <w:t>&gt;50 </w:t>
      </w:r>
      <w:r>
        <w:rPr>
          <w:rFonts w:ascii="Arial" w:hAnsi="Arial"/>
          <w:color w:val="231F20"/>
          <w:sz w:val="18"/>
        </w:rPr>
        <w:t>AND</w:t>
      </w:r>
      <w:r>
        <w:rPr>
          <w:rFonts w:ascii="Arial" w:hAnsi="Arial"/>
          <w:color w:val="231F20"/>
          <w:spacing w:val="40"/>
          <w:sz w:val="18"/>
        </w:rPr>
        <w:t> </w:t>
      </w:r>
      <w:r>
        <w:rPr>
          <w:rFonts w:ascii="Arial" w:hAnsi="Arial"/>
          <w:color w:val="231F20"/>
          <w:sz w:val="18"/>
        </w:rPr>
        <w:t>Server</w:t>
      </w:r>
      <w:r>
        <w:rPr>
          <w:rFonts w:ascii="Arial" w:hAnsi="Arial"/>
          <w:color w:val="231F20"/>
          <w:spacing w:val="40"/>
          <w:sz w:val="18"/>
        </w:rPr>
        <w:t> </w:t>
      </w:r>
      <w:r>
        <w:rPr>
          <w:rFonts w:ascii="Arial" w:hAnsi="Arial"/>
          <w:color w:val="231F20"/>
          <w:sz w:val="18"/>
        </w:rPr>
        <w:t>Name</w:t>
      </w:r>
      <w:r>
        <w:rPr>
          <w:rFonts w:ascii="Arial" w:hAnsi="Arial"/>
          <w:color w:val="231F20"/>
          <w:spacing w:val="40"/>
          <w:sz w:val="18"/>
        </w:rPr>
        <w:t> </w:t>
      </w:r>
      <w:r>
        <w:rPr>
          <w:rFonts w:ascii="Arial" w:hAnsi="Arial"/>
          <w:color w:val="231F20"/>
          <w:sz w:val="18"/>
        </w:rPr>
        <w:t>*IN</w:t>
      </w:r>
      <w:r>
        <w:rPr>
          <w:rFonts w:ascii="Arial" w:hAnsi="Arial"/>
          <w:color w:val="231F20"/>
          <w:spacing w:val="40"/>
          <w:sz w:val="18"/>
        </w:rPr>
        <w:t> </w:t>
      </w:r>
      <w:r>
        <w:rPr>
          <w:rFonts w:ascii="Arial" w:hAnsi="Arial"/>
          <w:color w:val="231F20"/>
          <w:sz w:val="18"/>
        </w:rPr>
        <w:t>(’Primary:North012:NT’,’Primary:South007:NT’))</w:t>
      </w:r>
    </w:p>
    <w:p>
      <w:pPr>
        <w:pStyle w:val="BodyText"/>
        <w:spacing w:before="21"/>
        <w:rPr>
          <w:rFonts w:ascii="Arial"/>
          <w:sz w:val="18"/>
        </w:rPr>
      </w:pPr>
    </w:p>
    <w:p>
      <w:pPr>
        <w:pStyle w:val="BodyText"/>
        <w:ind w:left="2472"/>
      </w:pPr>
      <w:r>
        <w:rPr>
          <w:color w:val="231F20"/>
        </w:rPr>
        <w:t>The</w:t>
      </w:r>
      <w:r>
        <w:rPr>
          <w:color w:val="231F20"/>
          <w:spacing w:val="10"/>
        </w:rPr>
        <w:t> </w:t>
      </w:r>
      <w:r>
        <w:rPr>
          <w:color w:val="231F20"/>
        </w:rPr>
        <w:t>following</w:t>
      </w:r>
      <w:r>
        <w:rPr>
          <w:color w:val="231F20"/>
          <w:spacing w:val="11"/>
        </w:rPr>
        <w:t> </w:t>
      </w:r>
      <w:r>
        <w:rPr>
          <w:color w:val="231F20"/>
        </w:rPr>
        <w:t>example</w:t>
      </w:r>
      <w:r>
        <w:rPr>
          <w:color w:val="231F20"/>
          <w:spacing w:val="10"/>
        </w:rPr>
        <w:t> </w:t>
      </w:r>
      <w:r>
        <w:rPr>
          <w:color w:val="231F20"/>
        </w:rPr>
        <w:t>shows</w:t>
      </w:r>
      <w:r>
        <w:rPr>
          <w:color w:val="231F20"/>
          <w:spacing w:val="11"/>
        </w:rPr>
        <w:t> </w:t>
      </w:r>
      <w:r>
        <w:rPr>
          <w:color w:val="231F20"/>
        </w:rPr>
        <w:t>a</w:t>
      </w:r>
      <w:r>
        <w:rPr>
          <w:color w:val="231F20"/>
          <w:spacing w:val="10"/>
        </w:rPr>
        <w:t> </w:t>
      </w:r>
      <w:r>
        <w:rPr>
          <w:color w:val="231F20"/>
        </w:rPr>
        <w:t>filter</w:t>
      </w:r>
      <w:r>
        <w:rPr>
          <w:color w:val="231F20"/>
          <w:spacing w:val="11"/>
        </w:rPr>
        <w:t> </w:t>
      </w:r>
      <w:r>
        <w:rPr>
          <w:color w:val="231F20"/>
        </w:rPr>
        <w:t>formula</w:t>
      </w:r>
      <w:r>
        <w:rPr>
          <w:color w:val="231F20"/>
          <w:spacing w:val="10"/>
        </w:rPr>
        <w:t> </w:t>
      </w:r>
      <w:r>
        <w:rPr>
          <w:color w:val="231F20"/>
        </w:rPr>
        <w:t>with</w:t>
      </w:r>
      <w:r>
        <w:rPr>
          <w:color w:val="231F20"/>
          <w:spacing w:val="11"/>
        </w:rPr>
        <w:t> </w:t>
      </w:r>
      <w:r>
        <w:rPr>
          <w:color w:val="231F20"/>
        </w:rPr>
        <w:t>a</w:t>
      </w:r>
      <w:r>
        <w:rPr>
          <w:color w:val="231F20"/>
          <w:spacing w:val="10"/>
        </w:rPr>
        <w:t> </w:t>
      </w:r>
      <w:r>
        <w:rPr>
          <w:color w:val="231F20"/>
        </w:rPr>
        <w:t>repeating</w:t>
      </w:r>
      <w:r>
        <w:rPr>
          <w:color w:val="231F20"/>
          <w:spacing w:val="11"/>
        </w:rPr>
        <w:t> </w:t>
      </w:r>
      <w:r>
        <w:rPr>
          <w:color w:val="231F20"/>
          <w:spacing w:val="-2"/>
        </w:rPr>
        <w:t>attribute:</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48"/>
        <w:gridCol w:w="3550"/>
        <w:gridCol w:w="3535"/>
      </w:tblGrid>
      <w:tr>
        <w:trPr>
          <w:trHeight w:val="274" w:hRule="atLeast"/>
        </w:trPr>
        <w:tc>
          <w:tcPr>
            <w:tcW w:w="448" w:type="dxa"/>
          </w:tcPr>
          <w:p>
            <w:pPr>
              <w:pStyle w:val="TableParagraph"/>
              <w:spacing w:before="0"/>
              <w:ind w:left="0"/>
              <w:rPr>
                <w:rFonts w:ascii="Times New Roman"/>
                <w:sz w:val="18"/>
              </w:rPr>
            </w:pPr>
          </w:p>
        </w:tc>
        <w:tc>
          <w:tcPr>
            <w:tcW w:w="3550" w:type="dxa"/>
          </w:tcPr>
          <w:p>
            <w:pPr>
              <w:pStyle w:val="TableParagraph"/>
              <w:spacing w:before="10"/>
              <w:rPr>
                <w:rFonts w:ascii="Book Antiqua"/>
                <w:b/>
                <w:sz w:val="18"/>
              </w:rPr>
            </w:pPr>
            <w:r>
              <w:rPr>
                <w:rFonts w:ascii="Book Antiqua"/>
                <w:b/>
                <w:color w:val="231F20"/>
                <w:sz w:val="18"/>
              </w:rPr>
              <w:t>%</w:t>
            </w:r>
            <w:r>
              <w:rPr>
                <w:rFonts w:ascii="Book Antiqua"/>
                <w:b/>
                <w:color w:val="231F20"/>
                <w:spacing w:val="9"/>
                <w:sz w:val="18"/>
              </w:rPr>
              <w:t> </w:t>
            </w:r>
            <w:r>
              <w:rPr>
                <w:rFonts w:ascii="Book Antiqua"/>
                <w:b/>
                <w:color w:val="231F20"/>
                <w:sz w:val="18"/>
              </w:rPr>
              <w:t>Processor</w:t>
            </w:r>
            <w:r>
              <w:rPr>
                <w:rFonts w:ascii="Book Antiqua"/>
                <w:b/>
                <w:color w:val="231F20"/>
                <w:spacing w:val="9"/>
                <w:sz w:val="18"/>
              </w:rPr>
              <w:t> </w:t>
            </w:r>
            <w:r>
              <w:rPr>
                <w:rFonts w:ascii="Book Antiqua"/>
                <w:b/>
                <w:color w:val="231F20"/>
                <w:spacing w:val="-4"/>
                <w:sz w:val="18"/>
              </w:rPr>
              <w:t>Time</w:t>
            </w:r>
          </w:p>
        </w:tc>
        <w:tc>
          <w:tcPr>
            <w:tcW w:w="3535" w:type="dxa"/>
          </w:tcPr>
          <w:p>
            <w:pPr>
              <w:pStyle w:val="TableParagraph"/>
              <w:spacing w:before="10"/>
              <w:rPr>
                <w:rFonts w:ascii="Book Antiqua"/>
                <w:b/>
                <w:sz w:val="18"/>
              </w:rPr>
            </w:pPr>
            <w:r>
              <w:rPr>
                <w:rFonts w:ascii="Book Antiqua"/>
                <w:b/>
                <w:color w:val="231F20"/>
                <w:sz w:val="18"/>
              </w:rPr>
              <w:t>%</w:t>
            </w:r>
            <w:r>
              <w:rPr>
                <w:rFonts w:ascii="Book Antiqua"/>
                <w:b/>
                <w:color w:val="231F20"/>
                <w:spacing w:val="9"/>
                <w:sz w:val="18"/>
              </w:rPr>
              <w:t> </w:t>
            </w:r>
            <w:r>
              <w:rPr>
                <w:rFonts w:ascii="Book Antiqua"/>
                <w:b/>
                <w:color w:val="231F20"/>
                <w:sz w:val="18"/>
              </w:rPr>
              <w:t>Processor</w:t>
            </w:r>
            <w:r>
              <w:rPr>
                <w:rFonts w:ascii="Book Antiqua"/>
                <w:b/>
                <w:color w:val="231F20"/>
                <w:spacing w:val="9"/>
                <w:sz w:val="18"/>
              </w:rPr>
              <w:t> </w:t>
            </w:r>
            <w:r>
              <w:rPr>
                <w:rFonts w:ascii="Book Antiqua"/>
                <w:b/>
                <w:color w:val="231F20"/>
                <w:spacing w:val="-4"/>
                <w:sz w:val="18"/>
              </w:rPr>
              <w:t>Time</w:t>
            </w:r>
          </w:p>
        </w:tc>
      </w:tr>
      <w:tr>
        <w:trPr>
          <w:trHeight w:val="314" w:hRule="atLeast"/>
        </w:trPr>
        <w:tc>
          <w:tcPr>
            <w:tcW w:w="448" w:type="dxa"/>
          </w:tcPr>
          <w:p>
            <w:pPr>
              <w:pStyle w:val="TableParagraph"/>
              <w:ind w:left="44"/>
              <w:rPr>
                <w:sz w:val="18"/>
              </w:rPr>
            </w:pPr>
            <w:r>
              <w:rPr>
                <w:color w:val="231F20"/>
                <w:spacing w:val="-10"/>
                <w:sz w:val="18"/>
              </w:rPr>
              <w:t>1</w:t>
            </w:r>
          </w:p>
        </w:tc>
        <w:tc>
          <w:tcPr>
            <w:tcW w:w="3550" w:type="dxa"/>
          </w:tcPr>
          <w:p>
            <w:pPr>
              <w:pStyle w:val="TableParagraph"/>
              <w:rPr>
                <w:sz w:val="18"/>
              </w:rPr>
            </w:pPr>
            <w:r>
              <w:rPr>
                <w:color w:val="231F20"/>
                <w:spacing w:val="-5"/>
                <w:w w:val="105"/>
                <w:sz w:val="18"/>
              </w:rPr>
              <w:t>&gt;40</w:t>
            </w:r>
          </w:p>
        </w:tc>
        <w:tc>
          <w:tcPr>
            <w:tcW w:w="3535" w:type="dxa"/>
          </w:tcPr>
          <w:p>
            <w:pPr>
              <w:pStyle w:val="TableParagraph"/>
              <w:rPr>
                <w:sz w:val="18"/>
              </w:rPr>
            </w:pPr>
            <w:r>
              <w:rPr>
                <w:color w:val="231F20"/>
                <w:spacing w:val="-5"/>
                <w:w w:val="105"/>
                <w:sz w:val="18"/>
              </w:rPr>
              <w:t>&lt;60</w:t>
            </w:r>
          </w:p>
        </w:tc>
      </w:tr>
    </w:tbl>
    <w:p>
      <w:pPr>
        <w:pStyle w:val="BodyText"/>
        <w:spacing w:before="99"/>
      </w:pPr>
    </w:p>
    <w:p>
      <w:pPr>
        <w:pStyle w:val="Heading4"/>
        <w:spacing w:before="0"/>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402"/>
      </w:pPr>
      <w:r>
        <w:rPr>
          <w:color w:val="231F20"/>
        </w:rPr>
        <w:t>After creating a new collection definition, you must distribute it to the managed systems where you want to take data samples. You can assign the managed</w:t>
      </w:r>
      <w:r>
        <w:rPr>
          <w:color w:val="231F20"/>
          <w:spacing w:val="40"/>
        </w:rPr>
        <w:t> </w:t>
      </w:r>
      <w:r>
        <w:rPr>
          <w:color w:val="231F20"/>
        </w:rPr>
        <w:t>systems to distribute the collection to in the Distribution tab or assign the</w:t>
      </w:r>
      <w:r>
        <w:rPr>
          <w:color w:val="231F20"/>
          <w:spacing w:val="80"/>
          <w:w w:val="150"/>
        </w:rPr>
        <w:t> </w:t>
      </w:r>
      <w:r>
        <w:rPr>
          <w:color w:val="231F20"/>
        </w:rPr>
        <w:t>collection to a historical configuration group that has a distribution. If you are </w:t>
      </w:r>
      <w:r>
        <w:rPr>
          <w:color w:val="231F20"/>
        </w:rPr>
        <w:t>not ready to distribute the collection, you can do so at a later time.</w:t>
      </w:r>
    </w:p>
    <w:p>
      <w:pPr>
        <w:pStyle w:val="BodyText"/>
        <w:spacing w:line="213" w:lineRule="auto" w:before="236"/>
        <w:ind w:left="2472" w:right="274"/>
      </w:pPr>
      <w:r>
        <w:rPr>
          <w:color w:val="231F20"/>
        </w:rPr>
        <w:t>If you added a filter to restrict the collection data samples to samples that meet the</w:t>
      </w:r>
      <w:r>
        <w:rPr>
          <w:color w:val="231F20"/>
          <w:spacing w:val="40"/>
        </w:rPr>
        <w:t> </w:t>
      </w:r>
      <w:r>
        <w:rPr>
          <w:color w:val="231F20"/>
        </w:rPr>
        <w:t>criteria, test the formula to make sure that the intended data is being collected. It </w:t>
      </w:r>
      <w:r>
        <w:rPr>
          <w:color w:val="231F20"/>
        </w:rPr>
        <w:t>is</w:t>
      </w:r>
      <w:r>
        <w:rPr>
          <w:color w:val="231F20"/>
          <w:spacing w:val="40"/>
        </w:rPr>
        <w:t> </w:t>
      </w:r>
      <w:r>
        <w:rPr>
          <w:color w:val="231F20"/>
        </w:rPr>
        <w:t>possible to enter an incorrect value, which might result in no data being collected.</w:t>
      </w:r>
      <w:r>
        <w:rPr>
          <w:color w:val="231F20"/>
          <w:spacing w:val="80"/>
        </w:rPr>
        <w:t> </w:t>
      </w:r>
      <w:r>
        <w:rPr>
          <w:color w:val="231F20"/>
        </w:rPr>
        <w:t>To test the filter formula, wait until enough historical data has been collected to</w:t>
      </w:r>
      <w:r>
        <w:rPr>
          <w:color w:val="231F20"/>
          <w:spacing w:val="40"/>
        </w:rPr>
        <w:t> </w:t>
      </w:r>
      <w:r>
        <w:rPr>
          <w:color w:val="231F20"/>
        </w:rPr>
        <w:t>show in a historical table view of the attributes. Then set a time span for the table</w:t>
      </w:r>
      <w:r>
        <w:rPr>
          <w:color w:val="231F20"/>
          <w:spacing w:val="40"/>
        </w:rPr>
        <w:t> </w:t>
      </w:r>
      <w:r>
        <w:rPr>
          <w:color w:val="231F20"/>
        </w:rPr>
        <w:t>view. If no rows are retrieved to the table view, review the filter formula for typographical or value errors.</w:t>
      </w:r>
    </w:p>
    <w:p>
      <w:pPr>
        <w:pStyle w:val="Heading6"/>
        <w:spacing w:line="240" w:lineRule="auto" w:before="32"/>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55" w:lineRule="exact" w:before="30"/>
        <w:ind w:left="2472"/>
      </w:pPr>
      <w:hyperlink w:history="true" w:anchor="_bookmark289">
        <w:r>
          <w:rPr>
            <w:color w:val="231F20"/>
          </w:rPr>
          <w:t>Managed</w:t>
        </w:r>
        <w:r>
          <w:rPr>
            <w:color w:val="231F20"/>
            <w:spacing w:val="8"/>
          </w:rPr>
          <w:t> </w:t>
        </w:r>
        <w:r>
          <w:rPr>
            <w:color w:val="231F20"/>
          </w:rPr>
          <w:t>system</w:t>
        </w:r>
        <w:r>
          <w:rPr>
            <w:color w:val="231F20"/>
            <w:spacing w:val="9"/>
          </w:rPr>
          <w:t> </w:t>
        </w:r>
        <w:r>
          <w:rPr>
            <w:color w:val="231F20"/>
            <w:spacing w:val="-2"/>
          </w:rPr>
          <w:t>groups</w:t>
        </w:r>
      </w:hyperlink>
    </w:p>
    <w:p>
      <w:pPr>
        <w:pStyle w:val="BodyText"/>
        <w:spacing w:line="213" w:lineRule="auto" w:before="8"/>
        <w:ind w:left="2472" w:right="258"/>
      </w:pPr>
      <w:r>
        <w:rPr>
          <w:color w:val="231F20"/>
        </w:rPr>
        <w:t>A managed system group is a named collection of managed systems. When distributing a situation, policy, or historical collection configuration to managed systems, or when assigning managed systems to a custom Navigator view, you </w:t>
      </w:r>
      <w:r>
        <w:rPr>
          <w:color w:val="231F20"/>
        </w:rPr>
        <w:t>can </w:t>
      </w:r>
      <w:bookmarkStart w:name="Distributing a historical collection" w:id="351"/>
      <w:bookmarkEnd w:id="351"/>
      <w:r>
        <w:rPr>
          <w:color w:val="231F20"/>
        </w:rPr>
        <w:t>specify</w:t>
      </w:r>
      <w:r>
        <w:rPr>
          <w:color w:val="231F20"/>
        </w:rPr>
        <w:t> a managed system group (or groups).</w:t>
      </w:r>
    </w:p>
    <w:p>
      <w:pPr>
        <w:pStyle w:val="Heading3"/>
        <w:spacing w:before="216"/>
        <w:ind w:left="1574"/>
      </w:pPr>
      <w:r>
        <w:rPr>
          <w:color w:val="231F20"/>
        </w:rPr>
        <w:t>Distributing</w:t>
      </w:r>
      <w:r>
        <w:rPr>
          <w:color w:val="231F20"/>
          <w:spacing w:val="5"/>
        </w:rPr>
        <w:t> </w:t>
      </w:r>
      <w:r>
        <w:rPr>
          <w:color w:val="231F20"/>
        </w:rPr>
        <w:t>a</w:t>
      </w:r>
      <w:r>
        <w:rPr>
          <w:color w:val="231F20"/>
          <w:spacing w:val="5"/>
        </w:rPr>
        <w:t> </w:t>
      </w:r>
      <w:r>
        <w:rPr>
          <w:color w:val="231F20"/>
        </w:rPr>
        <w:t>historical</w:t>
      </w:r>
      <w:r>
        <w:rPr>
          <w:color w:val="231F20"/>
          <w:spacing w:val="5"/>
        </w:rPr>
        <w:t> </w:t>
      </w:r>
      <w:r>
        <w:rPr>
          <w:color w:val="231F20"/>
          <w:spacing w:val="-2"/>
        </w:rPr>
        <w:t>collection</w:t>
      </w:r>
    </w:p>
    <w:p>
      <w:pPr>
        <w:pStyle w:val="BodyText"/>
        <w:spacing w:line="213" w:lineRule="auto" w:before="58"/>
        <w:ind w:left="2472" w:right="202"/>
      </w:pPr>
      <w:r>
        <w:rPr>
          <w:color w:val="231F20"/>
        </w:rPr>
        <w:t>Distribute</w:t>
      </w:r>
      <w:r>
        <w:rPr>
          <w:color w:val="231F20"/>
          <w:spacing w:val="21"/>
        </w:rPr>
        <w:t> </w:t>
      </w:r>
      <w:r>
        <w:rPr>
          <w:color w:val="231F20"/>
        </w:rPr>
        <w:t>a</w:t>
      </w:r>
      <w:r>
        <w:rPr>
          <w:color w:val="231F20"/>
          <w:spacing w:val="21"/>
        </w:rPr>
        <w:t> </w:t>
      </w:r>
      <w:r>
        <w:rPr>
          <w:color w:val="231F20"/>
        </w:rPr>
        <w:t>historical</w:t>
      </w:r>
      <w:r>
        <w:rPr>
          <w:color w:val="231F20"/>
          <w:spacing w:val="21"/>
        </w:rPr>
        <w:t> </w:t>
      </w:r>
      <w:r>
        <w:rPr>
          <w:color w:val="231F20"/>
        </w:rPr>
        <w:t>collection</w:t>
      </w:r>
      <w:r>
        <w:rPr>
          <w:color w:val="231F20"/>
          <w:spacing w:val="21"/>
        </w:rPr>
        <w:t> </w:t>
      </w:r>
      <w:r>
        <w:rPr>
          <w:color w:val="231F20"/>
        </w:rPr>
        <w:t>definition</w:t>
      </w:r>
      <w:r>
        <w:rPr>
          <w:color w:val="231F20"/>
          <w:spacing w:val="21"/>
        </w:rPr>
        <w:t> </w:t>
      </w:r>
      <w:r>
        <w:rPr>
          <w:color w:val="231F20"/>
        </w:rPr>
        <w:t>to</w:t>
      </w:r>
      <w:r>
        <w:rPr>
          <w:color w:val="231F20"/>
          <w:spacing w:val="21"/>
        </w:rPr>
        <w:t> </w:t>
      </w:r>
      <w:r>
        <w:rPr>
          <w:color w:val="231F20"/>
        </w:rPr>
        <w:t>the</w:t>
      </w:r>
      <w:r>
        <w:rPr>
          <w:color w:val="231F20"/>
          <w:spacing w:val="21"/>
        </w:rPr>
        <w:t> </w:t>
      </w:r>
      <w:r>
        <w:rPr>
          <w:color w:val="231F20"/>
        </w:rPr>
        <w:t>managed</w:t>
      </w:r>
      <w:r>
        <w:rPr>
          <w:color w:val="231F20"/>
          <w:spacing w:val="21"/>
        </w:rPr>
        <w:t> </w:t>
      </w:r>
      <w:r>
        <w:rPr>
          <w:color w:val="231F20"/>
        </w:rPr>
        <w:t>systems</w:t>
      </w:r>
      <w:r>
        <w:rPr>
          <w:color w:val="231F20"/>
          <w:spacing w:val="21"/>
        </w:rPr>
        <w:t> </w:t>
      </w:r>
      <w:r>
        <w:rPr>
          <w:color w:val="231F20"/>
        </w:rPr>
        <w:t>that</w:t>
      </w:r>
      <w:r>
        <w:rPr>
          <w:color w:val="231F20"/>
          <w:spacing w:val="21"/>
        </w:rPr>
        <w:t> </w:t>
      </w:r>
      <w:r>
        <w:rPr>
          <w:color w:val="231F20"/>
        </w:rPr>
        <w:t>you</w:t>
      </w:r>
      <w:r>
        <w:rPr>
          <w:color w:val="231F20"/>
          <w:spacing w:val="21"/>
        </w:rPr>
        <w:t> </w:t>
      </w:r>
      <w:r>
        <w:rPr>
          <w:color w:val="231F20"/>
        </w:rPr>
        <w:t>want to save data samples from. Data collection begins as soon as you save the distribution. Edit the distribution list whenever you want to start or stop </w:t>
      </w:r>
      <w:r>
        <w:rPr>
          <w:color w:val="231F20"/>
        </w:rPr>
        <w:t>historical sampling on certain managed systems or managed system groups.</w:t>
      </w:r>
    </w:p>
    <w:p>
      <w:pPr>
        <w:spacing w:after="0" w:line="213" w:lineRule="auto"/>
        <w:sectPr>
          <w:pgSz w:w="12240" w:h="15840"/>
          <w:pgMar w:header="0" w:footer="736" w:top="1140" w:bottom="920" w:left="1000" w:right="1060"/>
        </w:sectPr>
      </w:pPr>
    </w:p>
    <w:p>
      <w:pPr>
        <w:pStyle w:val="Heading4"/>
        <w:spacing w:before="86"/>
      </w:pPr>
      <w:bookmarkStart w:name="_bookmark160" w:id="352"/>
      <w:bookmarkEnd w:id="352"/>
      <w:r>
        <w:rPr>
          <w:b w:val="0"/>
        </w:rPr>
      </w: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709"/>
        <w:jc w:val="both"/>
      </w:pPr>
      <w:r>
        <w:rPr>
          <w:color w:val="231F20"/>
        </w:rPr>
        <w:t>After you create a new historical collection definition or create another, the next step is to select the distribution method (Managed System or Managing </w:t>
      </w:r>
      <w:r>
        <w:rPr>
          <w:color w:val="231F20"/>
        </w:rPr>
        <w:t>System) and assign managed systems to the distribution list.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11"/>
        <w:jc w:val="both"/>
      </w:pPr>
      <w:r>
        <w:rPr>
          <w:color w:val="231F20"/>
        </w:rPr>
        <w:t>Take these steps to create or edit the managed system distribution for a historical collection definition:</w:t>
      </w:r>
    </w:p>
    <w:p>
      <w:pPr>
        <w:pStyle w:val="Heading4"/>
      </w:pPr>
      <w:r>
        <w:rPr>
          <w:color w:val="231F20"/>
          <w:spacing w:val="-2"/>
        </w:rPr>
        <w:t>Procedure</w:t>
      </w:r>
    </w:p>
    <w:p>
      <w:pPr>
        <w:pStyle w:val="ListParagraph"/>
        <w:numPr>
          <w:ilvl w:val="0"/>
          <w:numId w:val="98"/>
        </w:numPr>
        <w:tabs>
          <w:tab w:pos="2548" w:val="left" w:leader="none"/>
        </w:tabs>
        <w:spacing w:line="213" w:lineRule="auto" w:before="61" w:after="0"/>
        <w:ind w:left="2548" w:right="772" w:hanging="316"/>
        <w:jc w:val="both"/>
        <w:rPr>
          <w:sz w:val="20"/>
        </w:rPr>
      </w:pPr>
      <w:r>
        <w:rPr>
          <w:color w:val="231F20"/>
          <w:sz w:val="20"/>
        </w:rPr>
        <w:t>If the History Collection Configuration window is not open, click </w:t>
      </w:r>
      <w:r>
        <w:rPr>
          <w:color w:val="231F20"/>
          <w:spacing w:val="14"/>
          <w:position w:val="-1"/>
          <w:sz w:val="20"/>
        </w:rPr>
        <w:drawing>
          <wp:inline distT="0" distB="0" distL="0" distR="0">
            <wp:extent cx="101600" cy="95250"/>
            <wp:effectExtent l="0" t="0" r="0" b="0"/>
            <wp:docPr id="1899" name="Image 1899"/>
            <wp:cNvGraphicFramePr>
              <a:graphicFrameLocks/>
            </wp:cNvGraphicFramePr>
            <a:graphic>
              <a:graphicData uri="http://schemas.openxmlformats.org/drawingml/2006/picture">
                <pic:pic>
                  <pic:nvPicPr>
                    <pic:cNvPr id="1899" name="Image 1899"/>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4"/>
          <w:position w:val="-1"/>
          <w:sz w:val="20"/>
        </w:rPr>
      </w:r>
      <w:r>
        <w:rPr>
          <w:rFonts w:ascii="Times New Roman"/>
          <w:color w:val="231F20"/>
          <w:spacing w:val="-13"/>
          <w:sz w:val="20"/>
        </w:rPr>
        <w:t> </w:t>
      </w:r>
      <w:r>
        <w:rPr>
          <w:rFonts w:ascii="Book Antiqua"/>
          <w:b/>
          <w:color w:val="231F20"/>
          <w:sz w:val="20"/>
        </w:rPr>
        <w:t>History Configuration</w:t>
      </w:r>
      <w:r>
        <w:rPr>
          <w:color w:val="231F20"/>
          <w:sz w:val="20"/>
        </w:rPr>
        <w:t>, click the </w:t>
      </w:r>
      <w:r>
        <w:rPr>
          <w:rFonts w:ascii="Book Antiqua"/>
          <w:b/>
          <w:color w:val="231F20"/>
          <w:sz w:val="20"/>
        </w:rPr>
        <w:t>Monitored Application</w:t>
      </w:r>
      <w:r>
        <w:rPr>
          <w:color w:val="231F20"/>
          <w:sz w:val="20"/>
        </w:rPr>
        <w:t>, then click the </w:t>
      </w:r>
      <w:r>
        <w:rPr>
          <w:color w:val="231F20"/>
          <w:spacing w:val="15"/>
          <w:position w:val="-1"/>
          <w:sz w:val="20"/>
        </w:rPr>
        <w:drawing>
          <wp:inline distT="0" distB="0" distL="0" distR="0">
            <wp:extent cx="101600" cy="101600"/>
            <wp:effectExtent l="0" t="0" r="0" b="0"/>
            <wp:docPr id="1900" name="Image 1900"/>
            <wp:cNvGraphicFramePr>
              <a:graphicFrameLocks/>
            </wp:cNvGraphicFramePr>
            <a:graphic>
              <a:graphicData uri="http://schemas.openxmlformats.org/drawingml/2006/picture">
                <pic:pic>
                  <pic:nvPicPr>
                    <pic:cNvPr id="1900" name="Image 1900"/>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historical collection definition that you want to distribute.</w:t>
      </w:r>
    </w:p>
    <w:p>
      <w:pPr>
        <w:pStyle w:val="ListParagraph"/>
        <w:numPr>
          <w:ilvl w:val="0"/>
          <w:numId w:val="98"/>
        </w:numPr>
        <w:tabs>
          <w:tab w:pos="2547" w:val="left" w:leader="none"/>
        </w:tabs>
        <w:spacing w:line="240" w:lineRule="auto" w:before="35" w:after="0"/>
        <w:ind w:left="2547" w:right="0" w:hanging="315"/>
        <w:jc w:val="both"/>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b/>
          <w:color w:val="231F20"/>
          <w:sz w:val="20"/>
        </w:rPr>
        <w:t>Distribution</w:t>
      </w:r>
      <w:r>
        <w:rPr>
          <w:rFonts w:ascii="Book Antiqua"/>
          <w:b/>
          <w:color w:val="231F20"/>
          <w:spacing w:val="10"/>
          <w:sz w:val="20"/>
        </w:rPr>
        <w:t> </w:t>
      </w:r>
      <w:r>
        <w:rPr>
          <w:color w:val="231F20"/>
          <w:sz w:val="20"/>
        </w:rPr>
        <w:t>tab</w:t>
      </w:r>
      <w:r>
        <w:rPr>
          <w:color w:val="231F20"/>
          <w:spacing w:val="11"/>
          <w:sz w:val="20"/>
        </w:rPr>
        <w:t> </w:t>
      </w:r>
      <w:r>
        <w:rPr>
          <w:color w:val="231F20"/>
          <w:sz w:val="20"/>
        </w:rPr>
        <w:t>and</w:t>
      </w:r>
      <w:r>
        <w:rPr>
          <w:color w:val="231F20"/>
          <w:spacing w:val="11"/>
          <w:sz w:val="20"/>
        </w:rPr>
        <w:t> </w:t>
      </w:r>
      <w:r>
        <w:rPr>
          <w:color w:val="231F20"/>
          <w:sz w:val="20"/>
        </w:rPr>
        <w:t>select</w:t>
      </w:r>
      <w:r>
        <w:rPr>
          <w:color w:val="231F20"/>
          <w:spacing w:val="10"/>
          <w:sz w:val="20"/>
        </w:rPr>
        <w:t> </w:t>
      </w:r>
      <w:r>
        <w:rPr>
          <w:color w:val="231F20"/>
          <w:sz w:val="20"/>
        </w:rPr>
        <w:t>the</w:t>
      </w:r>
      <w:r>
        <w:rPr>
          <w:color w:val="231F20"/>
          <w:spacing w:val="11"/>
          <w:sz w:val="20"/>
        </w:rPr>
        <w:t> </w:t>
      </w:r>
      <w:r>
        <w:rPr>
          <w:color w:val="231F20"/>
          <w:sz w:val="20"/>
        </w:rPr>
        <w:t>distribution</w:t>
      </w:r>
      <w:r>
        <w:rPr>
          <w:color w:val="231F20"/>
          <w:spacing w:val="10"/>
          <w:sz w:val="20"/>
        </w:rPr>
        <w:t> </w:t>
      </w:r>
      <w:r>
        <w:rPr>
          <w:color w:val="231F20"/>
          <w:spacing w:val="-2"/>
          <w:sz w:val="20"/>
        </w:rPr>
        <w:t>method:</w:t>
      </w:r>
    </w:p>
    <w:p>
      <w:pPr>
        <w:pStyle w:val="BodyText"/>
        <w:spacing w:line="211" w:lineRule="auto" w:before="60"/>
        <w:ind w:left="2764" w:right="763" w:hanging="216"/>
      </w:pPr>
      <w:r>
        <w:rPr>
          <w:rFonts w:ascii="Futura MdCn BT"/>
          <w:color w:val="231F20"/>
        </w:rPr>
        <w:t>v</w:t>
      </w:r>
      <w:r>
        <w:rPr>
          <w:rFonts w:ascii="Futura MdCn BT"/>
          <w:color w:val="231F20"/>
          <w:spacing w:val="80"/>
        </w:rPr>
        <w:t> </w:t>
      </w:r>
      <w:r>
        <w:rPr>
          <w:rFonts w:ascii="Futura MdCn BT"/>
          <w:color w:val="231F20"/>
          <w:spacing w:val="-5"/>
        </w:rPr>
        <w:drawing>
          <wp:inline distT="0" distB="0" distL="0" distR="0">
            <wp:extent cx="88900" cy="82550"/>
            <wp:effectExtent l="0" t="0" r="0" b="0"/>
            <wp:docPr id="1901" name="Image 1901"/>
            <wp:cNvGraphicFramePr>
              <a:graphicFrameLocks/>
            </wp:cNvGraphicFramePr>
            <a:graphic>
              <a:graphicData uri="http://schemas.openxmlformats.org/drawingml/2006/picture">
                <pic:pic>
                  <pic:nvPicPr>
                    <pic:cNvPr id="1901" name="Image 1901"/>
                    <pic:cNvPicPr/>
                  </pic:nvPicPr>
                  <pic:blipFill>
                    <a:blip r:embed="rId140" cstate="print"/>
                    <a:stretch>
                      <a:fillRect/>
                    </a:stretch>
                  </pic:blipFill>
                  <pic:spPr>
                    <a:xfrm>
                      <a:off x="0" y="0"/>
                      <a:ext cx="88900" cy="82550"/>
                    </a:xfrm>
                    <a:prstGeom prst="rect">
                      <a:avLst/>
                    </a:prstGeom>
                  </pic:spPr>
                </pic:pic>
              </a:graphicData>
            </a:graphic>
          </wp:inline>
        </w:drawing>
      </w:r>
      <w:r>
        <w:rPr>
          <w:rFonts w:ascii="Futura MdCn BT"/>
          <w:color w:val="231F20"/>
          <w:spacing w:val="-5"/>
        </w:rPr>
      </w:r>
      <w:r>
        <w:rPr>
          <w:rFonts w:ascii="Times New Roman"/>
          <w:color w:val="231F20"/>
          <w:spacing w:val="40"/>
        </w:rPr>
        <w:t> </w:t>
      </w:r>
      <w:r>
        <w:rPr>
          <w:rFonts w:ascii="Book Antiqua"/>
          <w:b/>
          <w:color w:val="231F20"/>
        </w:rPr>
        <w:t>Managed System (Agent) </w:t>
      </w:r>
      <w:r>
        <w:rPr>
          <w:color w:val="231F20"/>
        </w:rPr>
        <w:t>to select managed systems and managed system groups individually. You can also add the collection definition to a historical configuration group to adopt the group's distribution.</w:t>
      </w:r>
    </w:p>
    <w:p>
      <w:pPr>
        <w:pStyle w:val="BodyText"/>
        <w:spacing w:line="211" w:lineRule="auto" w:before="66"/>
        <w:ind w:left="2764" w:right="603" w:hanging="216"/>
      </w:pPr>
      <w:r>
        <w:rPr>
          <w:rFonts w:ascii="Futura MdCn BT"/>
          <w:color w:val="231F20"/>
        </w:rPr>
        <w:t>v</w:t>
      </w:r>
      <w:r>
        <w:rPr>
          <w:rFonts w:ascii="Futura MdCn BT"/>
          <w:color w:val="231F20"/>
          <w:spacing w:val="80"/>
        </w:rPr>
        <w:t> </w:t>
      </w:r>
      <w:r>
        <w:rPr>
          <w:rFonts w:ascii="Futura MdCn BT"/>
          <w:color w:val="231F20"/>
          <w:spacing w:val="-5"/>
        </w:rPr>
        <w:drawing>
          <wp:inline distT="0" distB="0" distL="0" distR="0">
            <wp:extent cx="88900" cy="82550"/>
            <wp:effectExtent l="0" t="0" r="0" b="0"/>
            <wp:docPr id="1902" name="Image 1902"/>
            <wp:cNvGraphicFramePr>
              <a:graphicFrameLocks/>
            </wp:cNvGraphicFramePr>
            <a:graphic>
              <a:graphicData uri="http://schemas.openxmlformats.org/drawingml/2006/picture">
                <pic:pic>
                  <pic:nvPicPr>
                    <pic:cNvPr id="1902" name="Image 1902"/>
                    <pic:cNvPicPr/>
                  </pic:nvPicPr>
                  <pic:blipFill>
                    <a:blip r:embed="rId182" cstate="print"/>
                    <a:stretch>
                      <a:fillRect/>
                    </a:stretch>
                  </pic:blipFill>
                  <pic:spPr>
                    <a:xfrm>
                      <a:off x="0" y="0"/>
                      <a:ext cx="88900" cy="82550"/>
                    </a:xfrm>
                    <a:prstGeom prst="rect">
                      <a:avLst/>
                    </a:prstGeom>
                  </pic:spPr>
                </pic:pic>
              </a:graphicData>
            </a:graphic>
          </wp:inline>
        </w:drawing>
      </w:r>
      <w:r>
        <w:rPr>
          <w:rFonts w:ascii="Futura MdCn BT"/>
          <w:color w:val="231F20"/>
          <w:spacing w:val="-5"/>
        </w:rPr>
      </w:r>
      <w:r>
        <w:rPr>
          <w:rFonts w:ascii="Times New Roman"/>
          <w:color w:val="231F20"/>
          <w:spacing w:val="40"/>
        </w:rPr>
        <w:t> </w:t>
      </w:r>
      <w:r>
        <w:rPr>
          <w:rFonts w:ascii="Book Antiqua"/>
          <w:b/>
          <w:color w:val="231F20"/>
        </w:rPr>
        <w:t>Managing System (TEMS) </w:t>
      </w:r>
      <w:r>
        <w:rPr>
          <w:color w:val="231F20"/>
        </w:rPr>
        <w:t>to select all the agents that connect to this</w:t>
      </w:r>
      <w:r>
        <w:rPr>
          <w:color w:val="231F20"/>
          <w:spacing w:val="40"/>
        </w:rPr>
        <w:t> </w:t>
      </w:r>
      <w:r>
        <w:rPr>
          <w:color w:val="231F20"/>
        </w:rPr>
        <w:t>monitoring server. This method makes the collection ineligible for </w:t>
      </w:r>
      <w:r>
        <w:rPr>
          <w:color w:val="231F20"/>
        </w:rPr>
        <w:t>inclusion</w:t>
      </w:r>
      <w:r>
        <w:rPr>
          <w:color w:val="231F20"/>
        </w:rPr>
        <w:t> in a historical configuration group.</w:t>
      </w:r>
    </w:p>
    <w:p>
      <w:pPr>
        <w:pStyle w:val="BodyText"/>
        <w:spacing w:line="213" w:lineRule="auto" w:before="119"/>
        <w:ind w:left="2548" w:right="545"/>
      </w:pPr>
      <w:r>
        <w:rPr>
          <w:color w:val="231F20"/>
        </w:rPr>
        <w:t>In the following example, if you chose distribution by </w:t>
      </w:r>
      <w:r>
        <w:rPr>
          <w:rFonts w:ascii="Book Antiqua"/>
          <w:i/>
          <w:color w:val="231F20"/>
        </w:rPr>
        <w:t>managed system </w:t>
      </w:r>
      <w:r>
        <w:rPr>
          <w:rFonts w:ascii="Book Antiqua"/>
          <w:i/>
          <w:color w:val="231F20"/>
        </w:rPr>
        <w:t>(agent)</w:t>
      </w:r>
      <w:r>
        <w:rPr>
          <w:color w:val="231F20"/>
        </w:rPr>
        <w:t>, you could select any of the agents to distribute the collection to; if you chose</w:t>
      </w:r>
      <w:r>
        <w:rPr>
          <w:color w:val="231F20"/>
          <w:spacing w:val="40"/>
        </w:rPr>
        <w:t> </w:t>
      </w:r>
      <w:r>
        <w:rPr>
          <w:color w:val="231F20"/>
        </w:rPr>
        <w:t>distribution by </w:t>
      </w:r>
      <w:r>
        <w:rPr>
          <w:rFonts w:ascii="Book Antiqua"/>
          <w:i/>
          <w:color w:val="231F20"/>
        </w:rPr>
        <w:t>managing system (TEMS)</w:t>
      </w:r>
      <w:r>
        <w:rPr>
          <w:color w:val="231F20"/>
        </w:rPr>
        <w:t>, selecting the East Tivoli Enterprise Monitoring Server distributes the collection to the 1, 2, and 4 agents and you cannot remove any of them or add agents from the West monitoring server.</w:t>
      </w:r>
    </w:p>
    <w:p>
      <w:pPr>
        <w:pStyle w:val="BodyText"/>
        <w:spacing w:before="3"/>
        <w:rPr>
          <w:sz w:val="11"/>
        </w:rPr>
      </w:pPr>
      <w:r>
        <w:rPr/>
        <w:drawing>
          <wp:anchor distT="0" distB="0" distL="0" distR="0" allowOverlap="1" layoutInCell="1" locked="0" behindDoc="1" simplePos="0" relativeHeight="487713280">
            <wp:simplePos x="0" y="0"/>
            <wp:positionH relativeFrom="page">
              <wp:posOffset>3347532</wp:posOffset>
            </wp:positionH>
            <wp:positionV relativeFrom="paragraph">
              <wp:posOffset>111697</wp:posOffset>
            </wp:positionV>
            <wp:extent cx="2367914" cy="2158365"/>
            <wp:effectExtent l="0" t="0" r="0" b="0"/>
            <wp:wrapTopAndBottom/>
            <wp:docPr id="1903" name="Image 1903"/>
            <wp:cNvGraphicFramePr>
              <a:graphicFrameLocks/>
            </wp:cNvGraphicFramePr>
            <a:graphic>
              <a:graphicData uri="http://schemas.openxmlformats.org/drawingml/2006/picture">
                <pic:pic>
                  <pic:nvPicPr>
                    <pic:cNvPr id="1903" name="Image 1903"/>
                    <pic:cNvPicPr/>
                  </pic:nvPicPr>
                  <pic:blipFill>
                    <a:blip r:embed="rId352" cstate="print"/>
                    <a:stretch>
                      <a:fillRect/>
                    </a:stretch>
                  </pic:blipFill>
                  <pic:spPr>
                    <a:xfrm>
                      <a:off x="0" y="0"/>
                      <a:ext cx="2367914" cy="2158365"/>
                    </a:xfrm>
                    <a:prstGeom prst="rect">
                      <a:avLst/>
                    </a:prstGeom>
                  </pic:spPr>
                </pic:pic>
              </a:graphicData>
            </a:graphic>
          </wp:anchor>
        </w:drawing>
      </w:r>
    </w:p>
    <w:p>
      <w:pPr>
        <w:spacing w:line="213" w:lineRule="auto" w:before="163"/>
        <w:ind w:left="2548" w:right="545" w:firstLine="0"/>
        <w:jc w:val="left"/>
        <w:rPr>
          <w:sz w:val="20"/>
        </w:rPr>
      </w:pPr>
      <w:r>
        <w:rPr>
          <w:rFonts w:ascii="Book Antiqua"/>
          <w:b/>
          <w:color w:val="231F20"/>
          <w:sz w:val="20"/>
        </w:rPr>
        <w:t>Available Systems </w:t>
      </w:r>
      <w:r>
        <w:rPr>
          <w:color w:val="231F20"/>
          <w:sz w:val="20"/>
        </w:rPr>
        <w:t>shows the monitoring agents or monitoring servers for assignment and </w:t>
      </w:r>
      <w:r>
        <w:rPr>
          <w:rFonts w:ascii="Book Antiqua"/>
          <w:b/>
          <w:color w:val="231F20"/>
          <w:sz w:val="20"/>
        </w:rPr>
        <w:t>Available Managed System Groups </w:t>
      </w:r>
      <w:r>
        <w:rPr>
          <w:color w:val="231F20"/>
          <w:sz w:val="20"/>
        </w:rPr>
        <w:t>shows the available managed system groups. You can click </w:t>
      </w:r>
      <w:r>
        <w:rPr>
          <w:rFonts w:ascii="Book Antiqua"/>
          <w:b/>
          <w:color w:val="231F20"/>
          <w:sz w:val="20"/>
        </w:rPr>
        <w:t>Edit Managed System Groups </w:t>
      </w:r>
      <w:r>
        <w:rPr>
          <w:color w:val="231F20"/>
          <w:sz w:val="20"/>
        </w:rPr>
        <w:t>to open the Object Group editor for creating and editing managed system groups.</w:t>
      </w:r>
    </w:p>
    <w:p>
      <w:pPr>
        <w:pStyle w:val="ListParagraph"/>
        <w:numPr>
          <w:ilvl w:val="0"/>
          <w:numId w:val="98"/>
        </w:numPr>
        <w:tabs>
          <w:tab w:pos="2548" w:val="left" w:leader="none"/>
        </w:tabs>
        <w:spacing w:line="211" w:lineRule="auto" w:before="64" w:after="0"/>
        <w:ind w:left="2548" w:right="691" w:hanging="316"/>
        <w:jc w:val="left"/>
        <w:rPr>
          <w:sz w:val="20"/>
        </w:rPr>
      </w:pPr>
      <w:r>
        <w:rPr>
          <w:color w:val="231F20"/>
          <w:sz w:val="20"/>
        </w:rPr>
        <w:t>If you selected </w:t>
      </w:r>
      <w:r>
        <w:rPr>
          <w:color w:val="231F20"/>
          <w:spacing w:val="16"/>
          <w:sz w:val="20"/>
        </w:rPr>
        <w:drawing>
          <wp:inline distT="0" distB="0" distL="0" distR="0">
            <wp:extent cx="88900" cy="82550"/>
            <wp:effectExtent l="0" t="0" r="0" b="0"/>
            <wp:docPr id="1904" name="Image 1904"/>
            <wp:cNvGraphicFramePr>
              <a:graphicFrameLocks/>
            </wp:cNvGraphicFramePr>
            <a:graphic>
              <a:graphicData uri="http://schemas.openxmlformats.org/drawingml/2006/picture">
                <pic:pic>
                  <pic:nvPicPr>
                    <pic:cNvPr id="1904" name="Image 1904"/>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0"/>
          <w:sz w:val="20"/>
        </w:rPr>
        <w:t> </w:t>
      </w:r>
      <w:r>
        <w:rPr>
          <w:rFonts w:ascii="Book Antiqua"/>
          <w:b/>
          <w:color w:val="231F20"/>
          <w:sz w:val="20"/>
        </w:rPr>
        <w:t>Managing System (TEMS)</w:t>
      </w:r>
      <w:r>
        <w:rPr>
          <w:color w:val="231F20"/>
          <w:sz w:val="20"/>
        </w:rPr>
        <w:t>, select the monitoring server whose managed systems you want to start collecting data for, and</w:t>
      </w:r>
      <w:r>
        <w:rPr>
          <w:color w:val="231F20"/>
          <w:spacing w:val="-11"/>
          <w:sz w:val="20"/>
        </w:rPr>
        <w:t> </w:t>
      </w:r>
      <w:r>
        <w:rPr>
          <w:color w:val="231F20"/>
          <w:spacing w:val="-7"/>
          <w:position w:val="1"/>
          <w:sz w:val="20"/>
        </w:rPr>
        <w:drawing>
          <wp:inline distT="0" distB="0" distL="0" distR="0">
            <wp:extent cx="40005" cy="68580"/>
            <wp:effectExtent l="0" t="0" r="0" b="0"/>
            <wp:docPr id="1905" name="Image 1905"/>
            <wp:cNvGraphicFramePr>
              <a:graphicFrameLocks/>
            </wp:cNvGraphicFramePr>
            <a:graphic>
              <a:graphicData uri="http://schemas.openxmlformats.org/drawingml/2006/picture">
                <pic:pic>
                  <pic:nvPicPr>
                    <pic:cNvPr id="1905" name="Image 1905"/>
                    <pic:cNvPicPr/>
                  </pic:nvPicPr>
                  <pic:blipFill>
                    <a:blip r:embed="rId153" cstate="print"/>
                    <a:stretch>
                      <a:fillRect/>
                    </a:stretch>
                  </pic:blipFill>
                  <pic:spPr>
                    <a:xfrm>
                      <a:off x="0" y="0"/>
                      <a:ext cx="40005" cy="68580"/>
                    </a:xfrm>
                    <a:prstGeom prst="rect">
                      <a:avLst/>
                    </a:prstGeom>
                  </pic:spPr>
                </pic:pic>
              </a:graphicData>
            </a:graphic>
          </wp:inline>
        </w:drawing>
      </w:r>
      <w:r>
        <w:rPr>
          <w:color w:val="231F20"/>
          <w:spacing w:val="-7"/>
          <w:position w:val="1"/>
          <w:sz w:val="20"/>
        </w:rPr>
      </w:r>
      <w:r>
        <w:rPr>
          <w:rFonts w:ascii="Times New Roman"/>
          <w:color w:val="231F20"/>
          <w:spacing w:val="40"/>
          <w:sz w:val="20"/>
        </w:rPr>
        <w:t> </w:t>
      </w:r>
      <w:r>
        <w:rPr>
          <w:color w:val="231F20"/>
          <w:sz w:val="20"/>
        </w:rPr>
        <w:t>move </w:t>
      </w:r>
      <w:r>
        <w:rPr>
          <w:color w:val="231F20"/>
          <w:sz w:val="20"/>
        </w:rPr>
        <w:t>to the </w:t>
      </w:r>
      <w:r>
        <w:rPr>
          <w:rFonts w:ascii="Book Antiqua"/>
          <w:b/>
          <w:color w:val="231F20"/>
          <w:sz w:val="20"/>
        </w:rPr>
        <w:t>Start collection on </w:t>
      </w:r>
      <w:r>
        <w:rPr>
          <w:color w:val="231F20"/>
          <w:sz w:val="20"/>
        </w:rPr>
        <w:t>list.</w:t>
      </w:r>
    </w:p>
    <w:p>
      <w:pPr>
        <w:pStyle w:val="ListParagraph"/>
        <w:numPr>
          <w:ilvl w:val="0"/>
          <w:numId w:val="98"/>
        </w:numPr>
        <w:tabs>
          <w:tab w:pos="2546" w:val="left" w:leader="none"/>
          <w:tab w:pos="2548" w:val="left" w:leader="none"/>
        </w:tabs>
        <w:spacing w:line="208" w:lineRule="auto" w:before="68" w:after="0"/>
        <w:ind w:left="2548" w:right="443" w:hanging="317"/>
        <w:jc w:val="left"/>
        <w:rPr>
          <w:sz w:val="20"/>
        </w:rPr>
      </w:pPr>
      <w:r>
        <w:rPr>
          <w:color w:val="231F20"/>
          <w:sz w:val="20"/>
        </w:rPr>
        <w:t>If you selected </w:t>
      </w:r>
      <w:r>
        <w:rPr>
          <w:color w:val="231F20"/>
          <w:spacing w:val="16"/>
          <w:sz w:val="20"/>
        </w:rPr>
        <w:drawing>
          <wp:inline distT="0" distB="0" distL="0" distR="0">
            <wp:extent cx="88900" cy="82550"/>
            <wp:effectExtent l="0" t="0" r="0" b="0"/>
            <wp:docPr id="1906" name="Image 1906"/>
            <wp:cNvGraphicFramePr>
              <a:graphicFrameLocks/>
            </wp:cNvGraphicFramePr>
            <a:graphic>
              <a:graphicData uri="http://schemas.openxmlformats.org/drawingml/2006/picture">
                <pic:pic>
                  <pic:nvPicPr>
                    <pic:cNvPr id="1906" name="Image 190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Managed System (Agent)</w:t>
      </w:r>
      <w:r>
        <w:rPr>
          <w:color w:val="231F20"/>
          <w:sz w:val="20"/>
        </w:rPr>
        <w:t>, distribute to the managed systems where you want to start data collection:</w:t>
      </w:r>
    </w:p>
    <w:p>
      <w:pPr>
        <w:spacing w:line="255" w:lineRule="exact" w:before="37"/>
        <w:ind w:left="2548" w:right="0" w:firstLine="0"/>
        <w:jc w:val="left"/>
        <w:rPr>
          <w:rFonts w:ascii="Book Antiqua"/>
          <w:b/>
          <w:sz w:val="20"/>
        </w:rPr>
      </w:pPr>
      <w:r>
        <w:rPr>
          <w:rFonts w:ascii="Futura MdCn BT"/>
          <w:color w:val="231F20"/>
          <w:sz w:val="20"/>
        </w:rPr>
        <w:t>v</w:t>
      </w:r>
      <w:r>
        <w:rPr>
          <w:rFonts w:ascii="Futura MdCn BT"/>
          <w:color w:val="231F20"/>
          <w:spacing w:val="77"/>
          <w:w w:val="150"/>
          <w:sz w:val="20"/>
        </w:rPr>
        <w:t> </w:t>
      </w:r>
      <w:r>
        <w:rPr>
          <w:color w:val="231F20"/>
          <w:sz w:val="20"/>
        </w:rPr>
        <w:t>Assign</w:t>
      </w:r>
      <w:r>
        <w:rPr>
          <w:color w:val="231F20"/>
          <w:spacing w:val="10"/>
          <w:sz w:val="20"/>
        </w:rPr>
        <w:t> </w:t>
      </w:r>
      <w:r>
        <w:rPr>
          <w:color w:val="231F20"/>
          <w:sz w:val="20"/>
        </w:rPr>
        <w:t>managed</w:t>
      </w:r>
      <w:r>
        <w:rPr>
          <w:color w:val="231F20"/>
          <w:spacing w:val="10"/>
          <w:sz w:val="20"/>
        </w:rPr>
        <w:t> </w:t>
      </w:r>
      <w:r>
        <w:rPr>
          <w:color w:val="231F20"/>
          <w:sz w:val="20"/>
        </w:rPr>
        <w:t>systems</w:t>
      </w:r>
      <w:r>
        <w:rPr>
          <w:color w:val="231F20"/>
          <w:spacing w:val="10"/>
          <w:sz w:val="20"/>
        </w:rPr>
        <w:t> </w:t>
      </w:r>
      <w:r>
        <w:rPr>
          <w:color w:val="231F20"/>
          <w:sz w:val="20"/>
        </w:rPr>
        <w:t>to</w:t>
      </w:r>
      <w:r>
        <w:rPr>
          <w:color w:val="231F20"/>
          <w:spacing w:val="10"/>
          <w:sz w:val="20"/>
        </w:rPr>
        <w:t> </w:t>
      </w:r>
      <w:r>
        <w:rPr>
          <w:color w:val="231F20"/>
          <w:sz w:val="20"/>
        </w:rPr>
        <w:t>the</w:t>
      </w:r>
      <w:r>
        <w:rPr>
          <w:color w:val="231F20"/>
          <w:spacing w:val="9"/>
          <w:sz w:val="20"/>
        </w:rPr>
        <w:t> </w:t>
      </w:r>
      <w:r>
        <w:rPr>
          <w:color w:val="231F20"/>
          <w:sz w:val="20"/>
        </w:rPr>
        <w:t>collection:</w:t>
      </w:r>
      <w:r>
        <w:rPr>
          <w:color w:val="231F20"/>
          <w:spacing w:val="10"/>
          <w:sz w:val="20"/>
        </w:rPr>
        <w:t> </w:t>
      </w:r>
      <w:r>
        <w:rPr>
          <w:color w:val="231F20"/>
          <w:sz w:val="20"/>
        </w:rPr>
        <w:t>Select</w:t>
      </w:r>
      <w:r>
        <w:rPr>
          <w:color w:val="231F20"/>
          <w:spacing w:val="10"/>
          <w:sz w:val="20"/>
        </w:rPr>
        <w:t> </w:t>
      </w:r>
      <w:r>
        <w:rPr>
          <w:color w:val="231F20"/>
          <w:sz w:val="20"/>
        </w:rPr>
        <w:t>from</w:t>
      </w:r>
      <w:r>
        <w:rPr>
          <w:color w:val="231F20"/>
          <w:spacing w:val="10"/>
          <w:sz w:val="20"/>
        </w:rPr>
        <w:t> </w:t>
      </w:r>
      <w:r>
        <w:rPr>
          <w:color w:val="231F20"/>
          <w:sz w:val="20"/>
        </w:rPr>
        <w:t>the</w:t>
      </w:r>
      <w:r>
        <w:rPr>
          <w:color w:val="231F20"/>
          <w:spacing w:val="10"/>
          <w:sz w:val="20"/>
        </w:rPr>
        <w:t> </w:t>
      </w:r>
      <w:r>
        <w:rPr>
          <w:rFonts w:ascii="Book Antiqua"/>
          <w:b/>
          <w:color w:val="231F20"/>
          <w:sz w:val="20"/>
        </w:rPr>
        <w:t>Available</w:t>
      </w:r>
      <w:r>
        <w:rPr>
          <w:rFonts w:ascii="Book Antiqua"/>
          <w:b/>
          <w:color w:val="231F20"/>
          <w:spacing w:val="10"/>
          <w:sz w:val="20"/>
        </w:rPr>
        <w:t> </w:t>
      </w:r>
      <w:r>
        <w:rPr>
          <w:rFonts w:ascii="Book Antiqua"/>
          <w:b/>
          <w:color w:val="231F20"/>
          <w:spacing w:val="-2"/>
          <w:sz w:val="20"/>
        </w:rPr>
        <w:t>Systems</w:t>
      </w:r>
    </w:p>
    <w:p>
      <w:pPr>
        <w:spacing w:line="255" w:lineRule="exact" w:before="0"/>
        <w:ind w:left="2764" w:right="0" w:firstLine="0"/>
        <w:jc w:val="left"/>
        <w:rPr>
          <w:rFonts w:ascii="Book Antiqua"/>
          <w:b/>
          <w:sz w:val="20"/>
        </w:rPr>
      </w:pPr>
      <w:r>
        <w:rPr>
          <w:color w:val="231F20"/>
          <w:sz w:val="20"/>
        </w:rPr>
        <w:t>or</w:t>
      </w:r>
      <w:r>
        <w:rPr>
          <w:color w:val="231F20"/>
          <w:spacing w:val="11"/>
          <w:sz w:val="20"/>
        </w:rPr>
        <w:t> </w:t>
      </w:r>
      <w:r>
        <w:rPr>
          <w:rFonts w:ascii="Book Antiqua"/>
          <w:b/>
          <w:color w:val="231F20"/>
          <w:sz w:val="20"/>
        </w:rPr>
        <w:t>Available</w:t>
      </w:r>
      <w:r>
        <w:rPr>
          <w:rFonts w:ascii="Book Antiqua"/>
          <w:b/>
          <w:color w:val="231F20"/>
          <w:spacing w:val="11"/>
          <w:sz w:val="20"/>
        </w:rPr>
        <w:t> </w:t>
      </w:r>
      <w:r>
        <w:rPr>
          <w:rFonts w:ascii="Book Antiqua"/>
          <w:b/>
          <w:color w:val="231F20"/>
          <w:sz w:val="20"/>
        </w:rPr>
        <w:t>Managed</w:t>
      </w:r>
      <w:r>
        <w:rPr>
          <w:rFonts w:ascii="Book Antiqua"/>
          <w:b/>
          <w:color w:val="231F20"/>
          <w:spacing w:val="11"/>
          <w:sz w:val="20"/>
        </w:rPr>
        <w:t> </w:t>
      </w:r>
      <w:r>
        <w:rPr>
          <w:rFonts w:ascii="Book Antiqua"/>
          <w:b/>
          <w:color w:val="231F20"/>
          <w:sz w:val="20"/>
        </w:rPr>
        <w:t>System</w:t>
      </w:r>
      <w:r>
        <w:rPr>
          <w:rFonts w:ascii="Book Antiqua"/>
          <w:b/>
          <w:color w:val="231F20"/>
          <w:spacing w:val="11"/>
          <w:sz w:val="20"/>
        </w:rPr>
        <w:t> </w:t>
      </w:r>
      <w:r>
        <w:rPr>
          <w:rFonts w:ascii="Book Antiqua"/>
          <w:b/>
          <w:color w:val="231F20"/>
          <w:sz w:val="20"/>
        </w:rPr>
        <w:t>Groups</w:t>
      </w:r>
      <w:r>
        <w:rPr>
          <w:rFonts w:ascii="Book Antiqua"/>
          <w:b/>
          <w:color w:val="231F20"/>
          <w:spacing w:val="12"/>
          <w:sz w:val="20"/>
        </w:rPr>
        <w:t> </w:t>
      </w:r>
      <w:r>
        <w:rPr>
          <w:color w:val="231F20"/>
          <w:sz w:val="20"/>
        </w:rPr>
        <w:t>list,</w:t>
      </w:r>
      <w:r>
        <w:rPr>
          <w:color w:val="231F20"/>
          <w:spacing w:val="11"/>
          <w:sz w:val="20"/>
        </w:rPr>
        <w:t> </w:t>
      </w:r>
      <w:r>
        <w:rPr>
          <w:color w:val="231F20"/>
          <w:sz w:val="20"/>
        </w:rPr>
        <w:t>then</w:t>
      </w:r>
      <w:r>
        <w:rPr>
          <w:color w:val="231F20"/>
          <w:spacing w:val="52"/>
          <w:sz w:val="20"/>
        </w:rPr>
        <w:t> </w:t>
      </w:r>
      <w:r>
        <w:rPr>
          <w:color w:val="231F20"/>
          <w:spacing w:val="10"/>
          <w:position w:val="1"/>
          <w:sz w:val="20"/>
        </w:rPr>
        <w:drawing>
          <wp:inline distT="0" distB="0" distL="0" distR="0">
            <wp:extent cx="40005" cy="68579"/>
            <wp:effectExtent l="0" t="0" r="0" b="0"/>
            <wp:docPr id="1907" name="Image 1907"/>
            <wp:cNvGraphicFramePr>
              <a:graphicFrameLocks/>
            </wp:cNvGraphicFramePr>
            <a:graphic>
              <a:graphicData uri="http://schemas.openxmlformats.org/drawingml/2006/picture">
                <pic:pic>
                  <pic:nvPicPr>
                    <pic:cNvPr id="1907" name="Image 1907"/>
                    <pic:cNvPicPr/>
                  </pic:nvPicPr>
                  <pic:blipFill>
                    <a:blip r:embed="rId153" cstate="print"/>
                    <a:stretch>
                      <a:fillRect/>
                    </a:stretch>
                  </pic:blipFill>
                  <pic:spPr>
                    <a:xfrm>
                      <a:off x="0" y="0"/>
                      <a:ext cx="40005" cy="68579"/>
                    </a:xfrm>
                    <a:prstGeom prst="rect">
                      <a:avLst/>
                    </a:prstGeom>
                  </pic:spPr>
                </pic:pic>
              </a:graphicData>
            </a:graphic>
          </wp:inline>
        </w:drawing>
      </w:r>
      <w:r>
        <w:rPr>
          <w:color w:val="231F20"/>
          <w:spacing w:val="10"/>
          <w:position w:val="1"/>
          <w:sz w:val="20"/>
        </w:rPr>
      </w:r>
      <w:r>
        <w:rPr>
          <w:rFonts w:ascii="Times New Roman"/>
          <w:color w:val="231F20"/>
          <w:spacing w:val="32"/>
          <w:sz w:val="20"/>
        </w:rPr>
        <w:t>  </w:t>
      </w:r>
      <w:r>
        <w:rPr>
          <w:color w:val="231F20"/>
          <w:sz w:val="20"/>
        </w:rPr>
        <w:t>move</w:t>
      </w:r>
      <w:r>
        <w:rPr>
          <w:color w:val="231F20"/>
          <w:spacing w:val="12"/>
          <w:sz w:val="20"/>
        </w:rPr>
        <w:t> </w:t>
      </w:r>
      <w:r>
        <w:rPr>
          <w:color w:val="231F20"/>
          <w:sz w:val="20"/>
        </w:rPr>
        <w:t>to</w:t>
      </w:r>
      <w:r>
        <w:rPr>
          <w:color w:val="231F20"/>
          <w:spacing w:val="11"/>
          <w:sz w:val="20"/>
        </w:rPr>
        <w:t> </w:t>
      </w:r>
      <w:r>
        <w:rPr>
          <w:color w:val="231F20"/>
          <w:sz w:val="20"/>
        </w:rPr>
        <w:t>the</w:t>
      </w:r>
      <w:r>
        <w:rPr>
          <w:color w:val="231F20"/>
          <w:spacing w:val="11"/>
          <w:sz w:val="20"/>
        </w:rPr>
        <w:t> </w:t>
      </w:r>
      <w:r>
        <w:rPr>
          <w:rFonts w:ascii="Book Antiqua"/>
          <w:b/>
          <w:color w:val="231F20"/>
          <w:spacing w:val="-2"/>
          <w:sz w:val="20"/>
        </w:rPr>
        <w:t>Start</w:t>
      </w:r>
    </w:p>
    <w:p>
      <w:pPr>
        <w:spacing w:after="0" w:line="255" w:lineRule="exact"/>
        <w:jc w:val="left"/>
        <w:rPr>
          <w:rFonts w:ascii="Book Antiqua"/>
          <w:sz w:val="20"/>
        </w:rPr>
        <w:sectPr>
          <w:pgSz w:w="12240" w:h="15840"/>
          <w:pgMar w:header="0" w:footer="736" w:top="1140" w:bottom="920" w:left="1000" w:right="1060"/>
        </w:sectPr>
      </w:pPr>
    </w:p>
    <w:p>
      <w:pPr>
        <w:pStyle w:val="BodyText"/>
        <w:spacing w:line="213" w:lineRule="auto" w:before="85"/>
        <w:ind w:left="3004" w:right="330"/>
        <w:jc w:val="both"/>
      </w:pPr>
      <w:r>
        <w:rPr>
          <w:rFonts w:ascii="Book Antiqua"/>
          <w:b/>
          <w:color w:val="231F20"/>
        </w:rPr>
        <w:t>collection on </w:t>
      </w:r>
      <w:r>
        <w:rPr>
          <w:color w:val="231F20"/>
        </w:rPr>
        <w:t>list. Distribution to an individual historical collection is </w:t>
      </w:r>
      <w:r>
        <w:rPr>
          <w:color w:val="231F20"/>
        </w:rPr>
        <w:t>useful when the managed system assignments vary for each collection definition.</w:t>
      </w:r>
    </w:p>
    <w:p>
      <w:pPr>
        <w:pStyle w:val="BodyText"/>
        <w:spacing w:line="213" w:lineRule="auto" w:before="58"/>
        <w:ind w:left="3004" w:right="177" w:hanging="216"/>
        <w:jc w:val="both"/>
      </w:pPr>
      <w:r>
        <w:rPr>
          <w:rFonts w:ascii="Futura MdCn BT"/>
          <w:color w:val="231F20"/>
        </w:rPr>
        <w:t>v</w:t>
      </w:r>
      <w:r>
        <w:rPr>
          <w:rFonts w:ascii="Futura MdCn BT"/>
          <w:color w:val="231F20"/>
          <w:spacing w:val="40"/>
        </w:rPr>
        <w:t> </w:t>
      </w:r>
      <w:r>
        <w:rPr>
          <w:color w:val="231F20"/>
        </w:rPr>
        <w:t>Assign managed systems to a historical configuration group for the </w:t>
      </w:r>
      <w:r>
        <w:rPr>
          <w:color w:val="231F20"/>
        </w:rPr>
        <w:t>collection</w:t>
      </w:r>
      <w:r>
        <w:rPr>
          <w:color w:val="231F20"/>
        </w:rPr>
        <w:t> definition. Distribution to a historical group is useful when the distribution </w:t>
      </w:r>
      <w:r>
        <w:rPr>
          <w:color w:val="231F20"/>
        </w:rPr>
        <w:t>is</w:t>
      </w:r>
      <w:r>
        <w:rPr>
          <w:color w:val="231F20"/>
        </w:rPr>
        <w:t> the same for multiple collection definitions.</w:t>
      </w:r>
    </w:p>
    <w:p>
      <w:pPr>
        <w:pStyle w:val="ListParagraph"/>
        <w:numPr>
          <w:ilvl w:val="0"/>
          <w:numId w:val="99"/>
        </w:numPr>
        <w:tabs>
          <w:tab w:pos="3319" w:val="left" w:leader="none"/>
        </w:tabs>
        <w:spacing w:line="240" w:lineRule="auto" w:before="35" w:after="0"/>
        <w:ind w:left="3319" w:right="0" w:hanging="315"/>
        <w:jc w:val="left"/>
        <w:rPr>
          <w:sz w:val="20"/>
        </w:rPr>
      </w:pPr>
      <w:r>
        <w:rPr>
          <w:color w:val="231F20"/>
          <w:sz w:val="20"/>
        </w:rPr>
        <w:t>Click</w:t>
      </w:r>
      <w:r>
        <w:rPr>
          <w:color w:val="231F20"/>
          <w:spacing w:val="11"/>
          <w:sz w:val="20"/>
        </w:rPr>
        <w:t> </w:t>
      </w:r>
      <w:r>
        <w:rPr>
          <w:rFonts w:ascii="Book Antiqua"/>
          <w:b/>
          <w:color w:val="231F20"/>
          <w:spacing w:val="-2"/>
          <w:sz w:val="20"/>
        </w:rPr>
        <w:t>Group</w:t>
      </w:r>
      <w:r>
        <w:rPr>
          <w:color w:val="231F20"/>
          <w:spacing w:val="-2"/>
          <w:sz w:val="20"/>
        </w:rPr>
        <w:t>.</w:t>
      </w:r>
    </w:p>
    <w:p>
      <w:pPr>
        <w:pStyle w:val="ListParagraph"/>
        <w:numPr>
          <w:ilvl w:val="0"/>
          <w:numId w:val="99"/>
        </w:numPr>
        <w:tabs>
          <w:tab w:pos="3320" w:val="left" w:leader="none"/>
        </w:tabs>
        <w:spacing w:line="213" w:lineRule="auto" w:before="53" w:after="0"/>
        <w:ind w:left="3320" w:right="470" w:hanging="316"/>
        <w:jc w:val="left"/>
        <w:rPr>
          <w:sz w:val="20"/>
        </w:rPr>
      </w:pPr>
      <w:r>
        <w:rPr>
          <w:color w:val="231F20"/>
          <w:sz w:val="20"/>
        </w:rPr>
        <w:t>Click </w:t>
      </w:r>
      <w:r>
        <w:rPr>
          <w:rFonts w:ascii="Book Antiqua"/>
          <w:b/>
          <w:color w:val="231F20"/>
          <w:sz w:val="20"/>
        </w:rPr>
        <w:t>Create a new object group</w:t>
      </w:r>
      <w:r>
        <w:rPr>
          <w:color w:val="231F20"/>
          <w:sz w:val="20"/>
        </w:rPr>
        <w:t>; or click </w:t>
      </w:r>
      <w:r>
        <w:rPr>
          <w:rFonts w:ascii="Book Antiqua"/>
          <w:b/>
          <w:color w:val="231F20"/>
          <w:sz w:val="20"/>
        </w:rPr>
        <w:t>Update an existing object group </w:t>
      </w:r>
      <w:r>
        <w:rPr>
          <w:color w:val="231F20"/>
          <w:sz w:val="20"/>
        </w:rPr>
        <w:t>if a historical group has already been created that this </w:t>
      </w:r>
      <w:r>
        <w:rPr>
          <w:color w:val="231F20"/>
          <w:sz w:val="20"/>
        </w:rPr>
        <w:t>collection can become a member of.</w:t>
      </w:r>
    </w:p>
    <w:p>
      <w:pPr>
        <w:pStyle w:val="ListParagraph"/>
        <w:numPr>
          <w:ilvl w:val="0"/>
          <w:numId w:val="99"/>
        </w:numPr>
        <w:tabs>
          <w:tab w:pos="3307" w:val="left" w:leader="none"/>
        </w:tabs>
        <w:spacing w:line="255" w:lineRule="exact" w:before="34" w:after="0"/>
        <w:ind w:left="3307" w:right="0" w:hanging="303"/>
        <w:jc w:val="left"/>
        <w:rPr>
          <w:sz w:val="20"/>
        </w:rPr>
      </w:pPr>
      <w:r>
        <w:rPr>
          <w:color w:val="231F20"/>
          <w:sz w:val="20"/>
        </w:rPr>
        <w:t>In</w:t>
      </w:r>
      <w:r>
        <w:rPr>
          <w:color w:val="231F20"/>
          <w:spacing w:val="11"/>
          <w:sz w:val="20"/>
        </w:rPr>
        <w:t> </w:t>
      </w:r>
      <w:r>
        <w:rPr>
          <w:color w:val="231F20"/>
          <w:sz w:val="20"/>
        </w:rPr>
        <w:t>the</w:t>
      </w:r>
      <w:r>
        <w:rPr>
          <w:color w:val="231F20"/>
          <w:spacing w:val="11"/>
          <w:sz w:val="20"/>
        </w:rPr>
        <w:t> </w:t>
      </w:r>
      <w:r>
        <w:rPr>
          <w:rFonts w:ascii="Book Antiqua"/>
          <w:b/>
          <w:color w:val="231F20"/>
          <w:sz w:val="20"/>
        </w:rPr>
        <w:t>Members</w:t>
      </w:r>
      <w:r>
        <w:rPr>
          <w:rFonts w:ascii="Book Antiqua"/>
          <w:b/>
          <w:color w:val="231F20"/>
          <w:spacing w:val="11"/>
          <w:sz w:val="20"/>
        </w:rPr>
        <w:t> </w:t>
      </w:r>
      <w:r>
        <w:rPr>
          <w:color w:val="231F20"/>
          <w:sz w:val="20"/>
        </w:rPr>
        <w:t>tab,</w:t>
      </w:r>
      <w:r>
        <w:rPr>
          <w:color w:val="231F20"/>
          <w:spacing w:val="11"/>
          <w:sz w:val="20"/>
        </w:rPr>
        <w:t> </w:t>
      </w:r>
      <w:r>
        <w:rPr>
          <w:color w:val="231F20"/>
          <w:sz w:val="20"/>
        </w:rPr>
        <w:t>select</w:t>
      </w:r>
      <w:r>
        <w:rPr>
          <w:color w:val="231F20"/>
          <w:spacing w:val="11"/>
          <w:sz w:val="20"/>
        </w:rPr>
        <w:t> </w:t>
      </w:r>
      <w:r>
        <w:rPr>
          <w:color w:val="231F20"/>
          <w:sz w:val="20"/>
        </w:rPr>
        <w:t>a</w:t>
      </w:r>
      <w:r>
        <w:rPr>
          <w:color w:val="231F20"/>
          <w:spacing w:val="12"/>
          <w:sz w:val="20"/>
        </w:rPr>
        <w:t> </w:t>
      </w:r>
      <w:r>
        <w:rPr>
          <w:color w:val="231F20"/>
          <w:sz w:val="20"/>
        </w:rPr>
        <w:t>historical</w:t>
      </w:r>
      <w:r>
        <w:rPr>
          <w:color w:val="231F20"/>
          <w:spacing w:val="11"/>
          <w:sz w:val="20"/>
        </w:rPr>
        <w:t> </w:t>
      </w:r>
      <w:r>
        <w:rPr>
          <w:color w:val="231F20"/>
          <w:sz w:val="20"/>
        </w:rPr>
        <w:t>collection</w:t>
      </w:r>
      <w:r>
        <w:rPr>
          <w:color w:val="231F20"/>
          <w:spacing w:val="11"/>
          <w:sz w:val="20"/>
        </w:rPr>
        <w:t> </w:t>
      </w:r>
      <w:r>
        <w:rPr>
          <w:color w:val="231F20"/>
          <w:sz w:val="20"/>
        </w:rPr>
        <w:t>from</w:t>
      </w:r>
      <w:r>
        <w:rPr>
          <w:color w:val="231F20"/>
          <w:spacing w:val="11"/>
          <w:sz w:val="20"/>
        </w:rPr>
        <w:t> </w:t>
      </w:r>
      <w:r>
        <w:rPr>
          <w:color w:val="231F20"/>
          <w:sz w:val="20"/>
        </w:rPr>
        <w:t>the</w:t>
      </w:r>
      <w:r>
        <w:rPr>
          <w:color w:val="231F20"/>
          <w:spacing w:val="11"/>
          <w:sz w:val="20"/>
        </w:rPr>
        <w:t> </w:t>
      </w:r>
      <w:r>
        <w:rPr>
          <w:color w:val="231F20"/>
          <w:sz w:val="20"/>
        </w:rPr>
        <w:t>list</w:t>
      </w:r>
      <w:r>
        <w:rPr>
          <w:color w:val="231F20"/>
          <w:spacing w:val="12"/>
          <w:sz w:val="20"/>
        </w:rPr>
        <w:t> </w:t>
      </w:r>
      <w:r>
        <w:rPr>
          <w:color w:val="231F20"/>
          <w:spacing w:val="-5"/>
          <w:sz w:val="20"/>
        </w:rPr>
        <w:t>of</w:t>
      </w:r>
    </w:p>
    <w:p>
      <w:pPr>
        <w:spacing w:line="255" w:lineRule="exact" w:before="0"/>
        <w:ind w:left="3309" w:right="0" w:firstLine="0"/>
        <w:jc w:val="left"/>
        <w:rPr>
          <w:sz w:val="20"/>
        </w:rPr>
      </w:pPr>
      <w:r>
        <w:rPr>
          <w:rFonts w:ascii="Book Antiqua"/>
          <w:b/>
          <w:color w:val="231F20"/>
          <w:sz w:val="20"/>
        </w:rPr>
        <w:t>Available</w:t>
      </w:r>
      <w:r>
        <w:rPr>
          <w:rFonts w:ascii="Book Antiqua"/>
          <w:b/>
          <w:color w:val="231F20"/>
          <w:spacing w:val="10"/>
          <w:sz w:val="20"/>
        </w:rPr>
        <w:t> </w:t>
      </w:r>
      <w:r>
        <w:rPr>
          <w:rFonts w:ascii="Book Antiqua"/>
          <w:b/>
          <w:color w:val="231F20"/>
          <w:sz w:val="20"/>
        </w:rPr>
        <w:t>Members</w:t>
      </w:r>
      <w:r>
        <w:rPr>
          <w:rFonts w:ascii="Book Antiqua"/>
          <w:b/>
          <w:color w:val="231F20"/>
          <w:spacing w:val="11"/>
          <w:sz w:val="20"/>
        </w:rPr>
        <w:t> </w:t>
      </w:r>
      <w:r>
        <w:rPr>
          <w:color w:val="231F20"/>
          <w:sz w:val="20"/>
        </w:rPr>
        <w:t>and</w:t>
      </w:r>
      <w:r>
        <w:rPr>
          <w:color w:val="231F20"/>
          <w:spacing w:val="56"/>
          <w:sz w:val="20"/>
        </w:rPr>
        <w:t> </w:t>
      </w:r>
      <w:r>
        <w:rPr>
          <w:color w:val="231F20"/>
          <w:spacing w:val="16"/>
          <w:position w:val="1"/>
          <w:sz w:val="20"/>
        </w:rPr>
        <w:drawing>
          <wp:inline distT="0" distB="0" distL="0" distR="0">
            <wp:extent cx="44450" cy="76200"/>
            <wp:effectExtent l="0" t="0" r="0" b="0"/>
            <wp:docPr id="1908" name="Image 1908"/>
            <wp:cNvGraphicFramePr>
              <a:graphicFrameLocks/>
            </wp:cNvGraphicFramePr>
            <a:graphic>
              <a:graphicData uri="http://schemas.openxmlformats.org/drawingml/2006/picture">
                <pic:pic>
                  <pic:nvPicPr>
                    <pic:cNvPr id="1908" name="Image 190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54"/>
          <w:sz w:val="20"/>
        </w:rPr>
        <w:t> </w:t>
      </w:r>
      <w:r>
        <w:rPr>
          <w:color w:val="231F20"/>
          <w:sz w:val="20"/>
        </w:rPr>
        <w:t>move</w:t>
      </w:r>
      <w:r>
        <w:rPr>
          <w:color w:val="231F20"/>
          <w:spacing w:val="10"/>
          <w:sz w:val="20"/>
        </w:rPr>
        <w:t> </w:t>
      </w:r>
      <w:r>
        <w:rPr>
          <w:color w:val="231F20"/>
          <w:sz w:val="20"/>
        </w:rPr>
        <w:t>it</w:t>
      </w:r>
      <w:r>
        <w:rPr>
          <w:color w:val="231F20"/>
          <w:spacing w:val="11"/>
          <w:sz w:val="20"/>
        </w:rPr>
        <w:t> </w:t>
      </w:r>
      <w:r>
        <w:rPr>
          <w:color w:val="231F20"/>
          <w:sz w:val="20"/>
        </w:rPr>
        <w:t>to</w:t>
      </w:r>
      <w:r>
        <w:rPr>
          <w:color w:val="231F20"/>
          <w:spacing w:val="10"/>
          <w:sz w:val="20"/>
        </w:rPr>
        <w:t> </w:t>
      </w:r>
      <w:r>
        <w:rPr>
          <w:color w:val="231F20"/>
          <w:sz w:val="20"/>
        </w:rPr>
        <w:t>the</w:t>
      </w:r>
      <w:r>
        <w:rPr>
          <w:color w:val="231F20"/>
          <w:spacing w:val="11"/>
          <w:sz w:val="20"/>
        </w:rPr>
        <w:t> </w:t>
      </w:r>
      <w:r>
        <w:rPr>
          <w:rFonts w:ascii="Book Antiqua"/>
          <w:b/>
          <w:color w:val="231F20"/>
          <w:sz w:val="20"/>
        </w:rPr>
        <w:t>Assigned</w:t>
      </w:r>
      <w:r>
        <w:rPr>
          <w:rFonts w:ascii="Book Antiqua"/>
          <w:b/>
          <w:color w:val="231F20"/>
          <w:spacing w:val="10"/>
          <w:sz w:val="20"/>
        </w:rPr>
        <w:t> </w:t>
      </w:r>
      <w:r>
        <w:rPr>
          <w:rFonts w:ascii="Book Antiqua"/>
          <w:b/>
          <w:color w:val="231F20"/>
          <w:sz w:val="20"/>
        </w:rPr>
        <w:t>Members</w:t>
      </w:r>
      <w:r>
        <w:rPr>
          <w:rFonts w:ascii="Book Antiqua"/>
          <w:b/>
          <w:color w:val="231F20"/>
          <w:spacing w:val="11"/>
          <w:sz w:val="20"/>
        </w:rPr>
        <w:t> </w:t>
      </w:r>
      <w:r>
        <w:rPr>
          <w:color w:val="231F20"/>
          <w:spacing w:val="-2"/>
          <w:sz w:val="20"/>
        </w:rPr>
        <w:t>list.</w:t>
      </w:r>
    </w:p>
    <w:p>
      <w:pPr>
        <w:pStyle w:val="ListParagraph"/>
        <w:numPr>
          <w:ilvl w:val="0"/>
          <w:numId w:val="99"/>
        </w:numPr>
        <w:tabs>
          <w:tab w:pos="3320" w:val="left" w:leader="none"/>
        </w:tabs>
        <w:spacing w:line="213" w:lineRule="auto" w:before="53" w:after="0"/>
        <w:ind w:left="3320" w:right="383" w:hanging="316"/>
        <w:jc w:val="left"/>
        <w:rPr>
          <w:sz w:val="20"/>
        </w:rPr>
      </w:pPr>
      <w:r>
        <w:rPr>
          <w:color w:val="231F20"/>
          <w:sz w:val="20"/>
        </w:rPr>
        <w:t>In the </w:t>
      </w:r>
      <w:r>
        <w:rPr>
          <w:rFonts w:ascii="Book Antiqua"/>
          <w:b/>
          <w:color w:val="231F20"/>
          <w:sz w:val="20"/>
        </w:rPr>
        <w:t>Distributions </w:t>
      </w:r>
      <w:r>
        <w:rPr>
          <w:color w:val="231F20"/>
          <w:sz w:val="20"/>
        </w:rPr>
        <w:t>tab, select the managed systems and managed system groups to assign to the historical configuration group. Select a managed system group to see its constituent objects in the </w:t>
      </w:r>
      <w:r>
        <w:rPr>
          <w:rFonts w:ascii="Book Antiqua"/>
          <w:b/>
          <w:color w:val="231F20"/>
          <w:sz w:val="20"/>
        </w:rPr>
        <w:t>Selected Assigned Object Members </w:t>
      </w:r>
      <w:r>
        <w:rPr>
          <w:color w:val="231F20"/>
          <w:sz w:val="20"/>
        </w:rPr>
        <w:t>or </w:t>
      </w:r>
      <w:r>
        <w:rPr>
          <w:rFonts w:ascii="Book Antiqua"/>
          <w:b/>
          <w:color w:val="231F20"/>
          <w:sz w:val="20"/>
        </w:rPr>
        <w:t>Selected Available Object Members </w:t>
      </w:r>
      <w:r>
        <w:rPr>
          <w:color w:val="231F20"/>
          <w:sz w:val="20"/>
        </w:rPr>
        <w:t>list.</w:t>
      </w:r>
    </w:p>
    <w:p>
      <w:pPr>
        <w:pStyle w:val="ListParagraph"/>
        <w:numPr>
          <w:ilvl w:val="0"/>
          <w:numId w:val="99"/>
        </w:numPr>
        <w:tabs>
          <w:tab w:pos="3320" w:val="left" w:leader="none"/>
        </w:tabs>
        <w:spacing w:line="213" w:lineRule="auto" w:before="57" w:after="0"/>
        <w:ind w:left="3320" w:right="946" w:hanging="316"/>
        <w:jc w:val="left"/>
        <w:rPr>
          <w:sz w:val="20"/>
        </w:rPr>
      </w:pPr>
      <w:r>
        <w:rPr>
          <w:color w:val="231F20"/>
          <w:sz w:val="20"/>
        </w:rPr>
        <w:t>Click </w:t>
      </w:r>
      <w:r>
        <w:rPr>
          <w:rFonts w:ascii="Book Antiqua"/>
          <w:b/>
          <w:color w:val="231F20"/>
          <w:sz w:val="20"/>
        </w:rPr>
        <w:t>OK </w:t>
      </w:r>
      <w:r>
        <w:rPr>
          <w:color w:val="231F20"/>
          <w:sz w:val="20"/>
        </w:rPr>
        <w:t>to save the historical group and return to the </w:t>
      </w:r>
      <w:r>
        <w:rPr>
          <w:color w:val="231F20"/>
          <w:sz w:val="20"/>
        </w:rPr>
        <w:t>Historical Collection Configuration window.</w:t>
      </w:r>
    </w:p>
    <w:p>
      <w:pPr>
        <w:pStyle w:val="BodyText"/>
        <w:spacing w:line="213" w:lineRule="auto" w:before="118"/>
        <w:ind w:left="3004" w:right="313"/>
      </w:pPr>
      <w:r>
        <w:rPr>
          <w:color w:val="231F20"/>
        </w:rPr>
        <w:t>The distribution from the historical configuration group (or groups) that the collection belongs to is shown in the </w:t>
      </w:r>
      <w:r>
        <w:rPr>
          <w:rFonts w:ascii="Book Antiqua"/>
          <w:b/>
          <w:color w:val="231F20"/>
        </w:rPr>
        <w:t>Start collection on </w:t>
      </w:r>
      <w:r>
        <w:rPr>
          <w:color w:val="231F20"/>
        </w:rPr>
        <w:t>list; the entries are dimmed to indicate that they were assigned through a historical</w:t>
      </w:r>
      <w:r>
        <w:rPr>
          <w:color w:val="231F20"/>
          <w:spacing w:val="80"/>
        </w:rPr>
        <w:t> </w:t>
      </w:r>
      <w:r>
        <w:rPr>
          <w:color w:val="231F20"/>
        </w:rPr>
        <w:t>configuration group and cannot be changed from here. You can right-click a dimmed entry and click </w:t>
      </w:r>
      <w:r>
        <w:rPr>
          <w:rFonts w:ascii="Book Antiqua"/>
          <w:b/>
          <w:color w:val="231F20"/>
        </w:rPr>
        <w:t>Show Groups </w:t>
      </w:r>
      <w:r>
        <w:rPr>
          <w:color w:val="231F20"/>
        </w:rPr>
        <w:t>to see the historical groups it </w:t>
      </w:r>
      <w:r>
        <w:rPr>
          <w:color w:val="231F20"/>
        </w:rPr>
        <w:t>belongs </w:t>
      </w:r>
      <w:r>
        <w:rPr>
          <w:color w:val="231F20"/>
          <w:spacing w:val="-4"/>
        </w:rPr>
        <w:t>to.</w:t>
      </w:r>
    </w:p>
    <w:p>
      <w:pPr>
        <w:pStyle w:val="ListParagraph"/>
        <w:numPr>
          <w:ilvl w:val="0"/>
          <w:numId w:val="95"/>
        </w:numPr>
        <w:tabs>
          <w:tab w:pos="2788" w:val="left" w:leader="none"/>
        </w:tabs>
        <w:spacing w:line="213" w:lineRule="auto" w:before="56" w:after="0"/>
        <w:ind w:left="2788" w:right="538" w:hanging="316"/>
        <w:jc w:val="left"/>
        <w:rPr>
          <w:sz w:val="20"/>
        </w:rPr>
      </w:pPr>
      <w:r>
        <w:rPr>
          <w:color w:val="231F20"/>
          <w:sz w:val="20"/>
        </w:rPr>
        <w:t>Click </w:t>
      </w:r>
      <w:r>
        <w:rPr>
          <w:rFonts w:ascii="Book Antiqua"/>
          <w:b/>
          <w:color w:val="231F20"/>
          <w:sz w:val="20"/>
        </w:rPr>
        <w:t>Apply </w:t>
      </w:r>
      <w:r>
        <w:rPr>
          <w:color w:val="231F20"/>
          <w:sz w:val="20"/>
        </w:rPr>
        <w:t>to save the collection definition and start data collection on </w:t>
      </w:r>
      <w:r>
        <w:rPr>
          <w:color w:val="231F20"/>
          <w:sz w:val="20"/>
        </w:rPr>
        <w:t>the managed systems.</w:t>
      </w:r>
    </w:p>
    <w:p>
      <w:pPr>
        <w:pStyle w:val="Heading4"/>
        <w:ind w:left="2472"/>
      </w:pPr>
      <w:r>
        <w:rPr>
          <w:color w:val="231F20"/>
          <w:spacing w:val="-2"/>
        </w:rPr>
        <w:t>Results</w:t>
      </w:r>
    </w:p>
    <w:p>
      <w:pPr>
        <w:pStyle w:val="BodyText"/>
        <w:spacing w:line="213" w:lineRule="auto" w:before="241"/>
        <w:ind w:left="2472"/>
      </w:pPr>
      <w:r>
        <w:rPr>
          <w:color w:val="231F20"/>
        </w:rPr>
        <w:t>The collection shows in the tree as </w:t>
      </w:r>
      <w:r>
        <w:rPr>
          <w:color w:val="231F20"/>
          <w:spacing w:val="-25"/>
          <w:position w:val="-1"/>
        </w:rPr>
        <w:drawing>
          <wp:inline distT="0" distB="0" distL="0" distR="0">
            <wp:extent cx="95250" cy="95250"/>
            <wp:effectExtent l="0" t="0" r="0" b="0"/>
            <wp:docPr id="1909" name="Image 1909"/>
            <wp:cNvGraphicFramePr>
              <a:graphicFrameLocks/>
            </wp:cNvGraphicFramePr>
            <a:graphic>
              <a:graphicData uri="http://schemas.openxmlformats.org/drawingml/2006/picture">
                <pic:pic>
                  <pic:nvPicPr>
                    <pic:cNvPr id="1909" name="Image 1909"/>
                    <pic:cNvPicPr/>
                  </pic:nvPicPr>
                  <pic:blipFill>
                    <a:blip r:embed="rId353"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9"/>
        </w:rPr>
        <w:t> </w:t>
      </w:r>
      <w:r>
        <w:rPr>
          <w:color w:val="231F20"/>
        </w:rPr>
        <w:t>distributed to indicate that data collection </w:t>
      </w:r>
      <w:r>
        <w:rPr>
          <w:color w:val="231F20"/>
        </w:rPr>
        <w:t>is taking place on the assigned managed systems.</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385"/>
      </w:pPr>
      <w:r>
        <w:rPr>
          <w:color w:val="231F20"/>
        </w:rPr>
        <w:t>Click the</w:t>
      </w:r>
      <w:r>
        <w:rPr>
          <w:color w:val="231F20"/>
          <w:spacing w:val="30"/>
        </w:rPr>
        <w:t> </w:t>
      </w:r>
      <w:r>
        <w:rPr>
          <w:color w:val="231F20"/>
          <w:spacing w:val="-24"/>
          <w:position w:val="-1"/>
        </w:rPr>
        <w:drawing>
          <wp:inline distT="0" distB="0" distL="0" distR="0">
            <wp:extent cx="95250" cy="95250"/>
            <wp:effectExtent l="0" t="0" r="0" b="0"/>
            <wp:docPr id="1910" name="Image 1910"/>
            <wp:cNvGraphicFramePr>
              <a:graphicFrameLocks/>
            </wp:cNvGraphicFramePr>
            <a:graphic>
              <a:graphicData uri="http://schemas.openxmlformats.org/drawingml/2006/picture">
                <pic:pic>
                  <pic:nvPicPr>
                    <pic:cNvPr id="1910" name="Image 1910"/>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monitored application name in the tree and, in the right frame, find</w:t>
      </w:r>
      <w:r>
        <w:rPr>
          <w:color w:val="231F20"/>
          <w:spacing w:val="40"/>
        </w:rPr>
        <w:t> </w:t>
      </w:r>
      <w:r>
        <w:rPr>
          <w:color w:val="231F20"/>
        </w:rPr>
        <w:t>the attribute group for the collection that you just configured. The attribute </w:t>
      </w:r>
      <w:r>
        <w:rPr>
          <w:color w:val="231F20"/>
        </w:rPr>
        <w:t>group</w:t>
      </w:r>
      <w:r>
        <w:rPr>
          <w:color w:val="231F20"/>
          <w:spacing w:val="40"/>
        </w:rPr>
        <w:t> </w:t>
      </w:r>
      <w:r>
        <w:rPr>
          <w:color w:val="231F20"/>
        </w:rPr>
        <w:t>is prefixed with a </w:t>
      </w:r>
      <w:r>
        <w:rPr>
          <w:color w:val="231F20"/>
          <w:spacing w:val="16"/>
          <w:position w:val="-3"/>
        </w:rPr>
        <w:drawing>
          <wp:inline distT="0" distB="0" distL="0" distR="0">
            <wp:extent cx="114300" cy="108585"/>
            <wp:effectExtent l="0" t="0" r="0" b="0"/>
            <wp:docPr id="1911" name="Image 1911"/>
            <wp:cNvGraphicFramePr>
              <a:graphicFrameLocks/>
            </wp:cNvGraphicFramePr>
            <a:graphic>
              <a:graphicData uri="http://schemas.openxmlformats.org/drawingml/2006/picture">
                <pic:pic>
                  <pic:nvPicPr>
                    <pic:cNvPr id="1911" name="Image 1911"/>
                    <pic:cNvPicPr/>
                  </pic:nvPicPr>
                  <pic:blipFill>
                    <a:blip r:embed="rId354" cstate="print"/>
                    <a:stretch>
                      <a:fillRect/>
                    </a:stretch>
                  </pic:blipFill>
                  <pic:spPr>
                    <a:xfrm>
                      <a:off x="0" y="0"/>
                      <a:ext cx="114300" cy="108585"/>
                    </a:xfrm>
                    <a:prstGeom prst="rect">
                      <a:avLst/>
                    </a:prstGeom>
                  </pic:spPr>
                </pic:pic>
              </a:graphicData>
            </a:graphic>
          </wp:inline>
        </w:drawing>
      </w:r>
      <w:r>
        <w:rPr>
          <w:color w:val="231F20"/>
          <w:spacing w:val="16"/>
          <w:position w:val="-3"/>
        </w:rPr>
      </w:r>
      <w:r>
        <w:rPr>
          <w:rFonts w:ascii="Times New Roman"/>
          <w:color w:val="231F20"/>
          <w:spacing w:val="16"/>
        </w:rPr>
        <w:t> </w:t>
      </w:r>
      <w:r>
        <w:rPr>
          <w:rFonts w:ascii="Book Antiqua"/>
          <w:b/>
          <w:color w:val="231F20"/>
        </w:rPr>
        <w:t>Data collection started </w:t>
      </w:r>
      <w:r>
        <w:rPr>
          <w:color w:val="231F20"/>
        </w:rPr>
        <w:t>icon.</w:t>
      </w:r>
    </w:p>
    <w:p>
      <w:pPr>
        <w:pStyle w:val="BodyText"/>
        <w:spacing w:line="213" w:lineRule="auto" w:before="238"/>
        <w:ind w:left="2472" w:right="385"/>
      </w:pPr>
      <w:r>
        <w:rPr>
          <w:color w:val="231F20"/>
        </w:rPr>
        <w:t>If the collection definition has a warehouse interval, you need to configure summarization and pruning for the attribute group if you have not already done </w:t>
      </w:r>
      <w:r>
        <w:rPr>
          <w:color w:val="231F20"/>
          <w:spacing w:val="-4"/>
        </w:rPr>
        <w:t>so.</w:t>
      </w:r>
    </w:p>
    <w:p>
      <w:pPr>
        <w:pStyle w:val="BodyText"/>
        <w:spacing w:line="213" w:lineRule="auto" w:before="237"/>
        <w:ind w:left="2472" w:right="385"/>
      </w:pPr>
      <w:r>
        <w:rPr>
          <w:color w:val="231F20"/>
        </w:rPr>
        <w:t>After historical data samples have been saved to the short-term history files, </w:t>
      </w:r>
      <w:r>
        <w:rPr>
          <w:color w:val="231F20"/>
        </w:rPr>
        <w:t>you can</w:t>
      </w:r>
      <w:r>
        <w:rPr>
          <w:color w:val="231F20"/>
          <w:spacing w:val="11"/>
        </w:rPr>
        <w:t> </w:t>
      </w:r>
      <w:r>
        <w:rPr>
          <w:color w:val="231F20"/>
        </w:rPr>
        <w:t>create</w:t>
      </w:r>
      <w:r>
        <w:rPr>
          <w:color w:val="231F20"/>
          <w:spacing w:val="11"/>
        </w:rPr>
        <w:t> </w:t>
      </w:r>
      <w:r>
        <w:rPr>
          <w:color w:val="231F20"/>
        </w:rPr>
        <w:t>query-based</w:t>
      </w:r>
      <w:r>
        <w:rPr>
          <w:color w:val="231F20"/>
          <w:spacing w:val="11"/>
        </w:rPr>
        <w:t> </w:t>
      </w:r>
      <w:r>
        <w:rPr>
          <w:color w:val="231F20"/>
        </w:rPr>
        <w:t>views</w:t>
      </w:r>
      <w:r>
        <w:rPr>
          <w:color w:val="231F20"/>
          <w:spacing w:val="12"/>
        </w:rPr>
        <w:t> </w:t>
      </w:r>
      <w:r>
        <w:rPr>
          <w:color w:val="231F20"/>
        </w:rPr>
        <w:t>and</w:t>
      </w:r>
      <w:r>
        <w:rPr>
          <w:color w:val="231F20"/>
          <w:spacing w:val="11"/>
        </w:rPr>
        <w:t> </w:t>
      </w:r>
      <w:r>
        <w:rPr>
          <w:color w:val="231F20"/>
        </w:rPr>
        <w:t>select</w:t>
      </w:r>
      <w:r>
        <w:rPr>
          <w:color w:val="231F20"/>
          <w:spacing w:val="11"/>
        </w:rPr>
        <w:t> </w:t>
      </w:r>
      <w:r>
        <w:rPr>
          <w:color w:val="231F20"/>
        </w:rPr>
        <w:t>a</w:t>
      </w:r>
      <w:r>
        <w:rPr>
          <w:color w:val="231F20"/>
          <w:spacing w:val="11"/>
        </w:rPr>
        <w:t> </w:t>
      </w:r>
      <w:r>
        <w:rPr>
          <w:color w:val="231F20"/>
        </w:rPr>
        <w:t>time</w:t>
      </w:r>
      <w:r>
        <w:rPr>
          <w:color w:val="231F20"/>
          <w:spacing w:val="12"/>
        </w:rPr>
        <w:t> </w:t>
      </w:r>
      <w:r>
        <w:rPr>
          <w:color w:val="231F20"/>
        </w:rPr>
        <w:t>span</w:t>
      </w:r>
      <w:r>
        <w:rPr>
          <w:color w:val="231F20"/>
          <w:spacing w:val="11"/>
        </w:rPr>
        <w:t> </w:t>
      </w:r>
      <w:r>
        <w:rPr>
          <w:color w:val="231F20"/>
        </w:rPr>
        <w:t>of</w:t>
      </w:r>
      <w:r>
        <w:rPr>
          <w:color w:val="231F20"/>
          <w:spacing w:val="11"/>
        </w:rPr>
        <w:t> </w:t>
      </w:r>
      <w:r>
        <w:rPr>
          <w:color w:val="231F20"/>
        </w:rPr>
        <w:t>historical</w:t>
      </w:r>
      <w:r>
        <w:rPr>
          <w:color w:val="231F20"/>
          <w:spacing w:val="11"/>
        </w:rPr>
        <w:t> </w:t>
      </w:r>
      <w:r>
        <w:rPr>
          <w:color w:val="231F20"/>
        </w:rPr>
        <w:t>data</w:t>
      </w:r>
      <w:r>
        <w:rPr>
          <w:color w:val="231F20"/>
          <w:spacing w:val="12"/>
        </w:rPr>
        <w:t> </w:t>
      </w:r>
      <w:r>
        <w:rPr>
          <w:color w:val="231F20"/>
        </w:rPr>
        <w:t>to</w:t>
      </w:r>
      <w:r>
        <w:rPr>
          <w:color w:val="231F20"/>
          <w:spacing w:val="11"/>
        </w:rPr>
        <w:t> </w:t>
      </w:r>
      <w:r>
        <w:rPr>
          <w:color w:val="231F20"/>
          <w:spacing w:val="-2"/>
        </w:rPr>
        <w:t>display.</w:t>
      </w:r>
    </w:p>
    <w:p>
      <w:pPr>
        <w:pStyle w:val="BodyText"/>
        <w:spacing w:line="213" w:lineRule="auto" w:before="238"/>
        <w:ind w:left="2472" w:right="385"/>
      </w:pPr>
      <w:r>
        <w:rPr>
          <w:color w:val="231F20"/>
        </w:rPr>
        <w:t>After data collection has begun, the </w:t>
      </w:r>
      <w:r>
        <w:rPr>
          <w:rFonts w:ascii="Book Antiqua" w:hAnsi="Book Antiqua"/>
          <w:b/>
          <w:color w:val="231F20"/>
        </w:rPr>
        <w:t>Distribution </w:t>
      </w:r>
      <w:r>
        <w:rPr>
          <w:color w:val="231F20"/>
        </w:rPr>
        <w:t>method radio buttons are disabled. If you want to enable them to change the distribution method, you </w:t>
      </w:r>
      <w:r>
        <w:rPr>
          <w:color w:val="231F20"/>
        </w:rPr>
        <w:t>must first remove the current distributions as described in the topic, “Changing the Distribution Method”.</w:t>
      </w:r>
    </w:p>
    <w:p>
      <w:pPr>
        <w:spacing w:after="0" w:line="213" w:lineRule="auto"/>
        <w:sectPr>
          <w:pgSz w:w="12240" w:h="15840"/>
          <w:pgMar w:header="0" w:footer="736" w:top="1180" w:bottom="920" w:left="1000" w:right="1060"/>
        </w:sectPr>
      </w:pPr>
    </w:p>
    <w:p>
      <w:pPr>
        <w:pStyle w:val="Heading6"/>
        <w:spacing w:line="240" w:lineRule="auto" w:before="62"/>
        <w:ind w:left="2232"/>
        <w:rPr>
          <w:rFonts w:ascii="Palatino Linotype"/>
          <w:b w:val="0"/>
        </w:rPr>
      </w:pPr>
      <w:bookmarkStart w:name="_bookmark161" w:id="353"/>
      <w:bookmarkEnd w:id="353"/>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290">
        <w:r>
          <w:rPr>
            <w:color w:val="231F20"/>
          </w:rPr>
          <w:t>Creating</w:t>
        </w:r>
        <w:r>
          <w:rPr>
            <w:color w:val="231F20"/>
            <w:spacing w:val="9"/>
          </w:rPr>
          <w:t> </w:t>
        </w:r>
        <w:r>
          <w:rPr>
            <w:color w:val="231F20"/>
          </w:rPr>
          <w:t>a</w:t>
        </w:r>
        <w:r>
          <w:rPr>
            <w:color w:val="231F20"/>
            <w:spacing w:val="9"/>
          </w:rPr>
          <w:t> </w:t>
        </w:r>
        <w:r>
          <w:rPr>
            <w:color w:val="231F20"/>
          </w:rPr>
          <w:t>managed</w:t>
        </w:r>
        <w:r>
          <w:rPr>
            <w:color w:val="231F20"/>
            <w:spacing w:val="9"/>
          </w:rPr>
          <w:t> </w:t>
        </w:r>
        <w:r>
          <w:rPr>
            <w:color w:val="231F20"/>
          </w:rPr>
          <w:t>system</w:t>
        </w:r>
        <w:r>
          <w:rPr>
            <w:color w:val="231F20"/>
            <w:spacing w:val="9"/>
          </w:rPr>
          <w:t> </w:t>
        </w:r>
        <w:r>
          <w:rPr>
            <w:color w:val="231F20"/>
            <w:spacing w:val="-2"/>
          </w:rPr>
          <w:t>group</w:t>
        </w:r>
      </w:hyperlink>
    </w:p>
    <w:p>
      <w:pPr>
        <w:pStyle w:val="BodyText"/>
        <w:spacing w:line="213" w:lineRule="auto" w:before="8"/>
        <w:ind w:left="2232" w:right="545"/>
      </w:pPr>
      <w:r>
        <w:rPr>
          <w:color w:val="231F20"/>
        </w:rPr>
        <w:t>Organize managed systems into named groups that can be assigned to the distribution of situations, policies, historical collections, queries, and </w:t>
      </w:r>
      <w:r>
        <w:rPr>
          <w:color w:val="231F20"/>
        </w:rPr>
        <w:t>dynamic Navigator items in custom Navigator views.</w:t>
      </w:r>
    </w:p>
    <w:p>
      <w:pPr>
        <w:pStyle w:val="Heading3"/>
        <w:spacing w:before="217"/>
        <w:ind w:left="1113" w:right="538"/>
        <w:jc w:val="center"/>
      </w:pPr>
      <w:bookmarkStart w:name="Configuring summarization and pruning fo" w:id="354"/>
      <w:bookmarkEnd w:id="354"/>
      <w:r>
        <w:rPr>
          <w:b w:val="0"/>
        </w:rPr>
      </w:r>
      <w:r>
        <w:rPr>
          <w:color w:val="231F20"/>
        </w:rPr>
        <w:t>Configuring</w:t>
      </w:r>
      <w:r>
        <w:rPr>
          <w:color w:val="231F20"/>
          <w:spacing w:val="4"/>
        </w:rPr>
        <w:t> </w:t>
      </w:r>
      <w:r>
        <w:rPr>
          <w:color w:val="231F20"/>
        </w:rPr>
        <w:t>summarization</w:t>
      </w:r>
      <w:r>
        <w:rPr>
          <w:color w:val="231F20"/>
          <w:spacing w:val="4"/>
        </w:rPr>
        <w:t> </w:t>
      </w:r>
      <w:r>
        <w:rPr>
          <w:color w:val="231F20"/>
        </w:rPr>
        <w:t>and</w:t>
      </w:r>
      <w:r>
        <w:rPr>
          <w:color w:val="231F20"/>
          <w:spacing w:val="4"/>
        </w:rPr>
        <w:t> </w:t>
      </w:r>
      <w:r>
        <w:rPr>
          <w:color w:val="231F20"/>
        </w:rPr>
        <w:t>pruning</w:t>
      </w:r>
      <w:r>
        <w:rPr>
          <w:color w:val="231F20"/>
          <w:spacing w:val="4"/>
        </w:rPr>
        <w:t> </w:t>
      </w:r>
      <w:r>
        <w:rPr>
          <w:color w:val="231F20"/>
        </w:rPr>
        <w:t>for</w:t>
      </w:r>
      <w:r>
        <w:rPr>
          <w:color w:val="231F20"/>
          <w:spacing w:val="4"/>
        </w:rPr>
        <w:t> </w:t>
      </w:r>
      <w:r>
        <w:rPr>
          <w:color w:val="231F20"/>
        </w:rPr>
        <w:t>attribute</w:t>
      </w:r>
      <w:r>
        <w:rPr>
          <w:color w:val="231F20"/>
          <w:spacing w:val="4"/>
        </w:rPr>
        <w:t> </w:t>
      </w:r>
      <w:r>
        <w:rPr>
          <w:color w:val="231F20"/>
          <w:spacing w:val="-2"/>
        </w:rPr>
        <w:t>groups</w:t>
      </w:r>
    </w:p>
    <w:p>
      <w:pPr>
        <w:pStyle w:val="BodyText"/>
        <w:spacing w:line="213" w:lineRule="auto" w:before="58"/>
        <w:ind w:left="2232" w:right="545"/>
      </w:pPr>
      <w:r>
        <w:rPr>
          <w:color w:val="231F20"/>
        </w:rPr>
        <w:t>Configure summarization and pruning for the Tivoli Data Warehouse to aggregate data and keep the database size at a manageable level.</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spacing w:line="213" w:lineRule="auto" w:before="241"/>
        <w:ind w:left="2232" w:right="636" w:firstLine="0"/>
        <w:jc w:val="left"/>
        <w:rPr>
          <w:sz w:val="20"/>
        </w:rPr>
      </w:pPr>
      <w:r>
        <w:rPr>
          <w:color w:val="231F20"/>
          <w:sz w:val="20"/>
        </w:rPr>
        <w:t>The summarization and pruning agent must be installed, configured, and </w:t>
      </w:r>
      <w:r>
        <w:rPr>
          <w:color w:val="231F20"/>
          <w:sz w:val="20"/>
        </w:rPr>
        <w:t>started as described in the </w:t>
      </w:r>
      <w:r>
        <w:rPr>
          <w:rFonts w:ascii="Book Antiqua"/>
          <w:i/>
          <w:color w:val="231F20"/>
          <w:sz w:val="20"/>
        </w:rPr>
        <w:t>IBM Tivoli Monitoring Installation and Setup Guide</w:t>
      </w:r>
      <w:r>
        <w:rPr>
          <w:color w:val="231F20"/>
          <w:sz w:val="20"/>
        </w:rPr>
        <w:t>.</w:t>
      </w:r>
    </w:p>
    <w:p>
      <w:pPr>
        <w:pStyle w:val="BodyText"/>
        <w:spacing w:line="213" w:lineRule="auto" w:before="238"/>
        <w:ind w:left="2232" w:right="493"/>
      </w:pPr>
      <w:r>
        <w:rPr>
          <w:color w:val="231F20"/>
        </w:rPr>
        <w:t>Your user ID must have Configure History permission to open the History Collection Configuration window. If you do not have this permission, you will </w:t>
      </w:r>
      <w:r>
        <w:rPr>
          <w:color w:val="231F20"/>
        </w:rPr>
        <w:t>not see the menu item or tool for historical configuration.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440"/>
      </w:pPr>
      <w:r>
        <w:rPr>
          <w:color w:val="231F20"/>
        </w:rPr>
        <w:t>Although summarization and pruning is not mandatory for warehoused data, it keeps</w:t>
      </w:r>
      <w:r>
        <w:rPr>
          <w:color w:val="231F20"/>
          <w:spacing w:val="26"/>
        </w:rPr>
        <w:t> </w:t>
      </w:r>
      <w:r>
        <w:rPr>
          <w:color w:val="231F20"/>
        </w:rPr>
        <w:t>the</w:t>
      </w:r>
      <w:r>
        <w:rPr>
          <w:color w:val="231F20"/>
          <w:spacing w:val="26"/>
        </w:rPr>
        <w:t> </w:t>
      </w:r>
      <w:r>
        <w:rPr>
          <w:color w:val="231F20"/>
        </w:rPr>
        <w:t>database</w:t>
      </w:r>
      <w:r>
        <w:rPr>
          <w:color w:val="231F20"/>
          <w:spacing w:val="26"/>
        </w:rPr>
        <w:t> </w:t>
      </w:r>
      <w:r>
        <w:rPr>
          <w:color w:val="231F20"/>
        </w:rPr>
        <w:t>from</w:t>
      </w:r>
      <w:r>
        <w:rPr>
          <w:color w:val="231F20"/>
          <w:spacing w:val="26"/>
        </w:rPr>
        <w:t> </w:t>
      </w:r>
      <w:r>
        <w:rPr>
          <w:color w:val="231F20"/>
        </w:rPr>
        <w:t>growing</w:t>
      </w:r>
      <w:r>
        <w:rPr>
          <w:color w:val="231F20"/>
          <w:spacing w:val="26"/>
        </w:rPr>
        <w:t> </w:t>
      </w:r>
      <w:r>
        <w:rPr>
          <w:color w:val="231F20"/>
        </w:rPr>
        <w:t>to</w:t>
      </w:r>
      <w:r>
        <w:rPr>
          <w:color w:val="231F20"/>
          <w:spacing w:val="26"/>
        </w:rPr>
        <w:t> </w:t>
      </w:r>
      <w:r>
        <w:rPr>
          <w:color w:val="231F20"/>
        </w:rPr>
        <w:t>an</w:t>
      </w:r>
      <w:r>
        <w:rPr>
          <w:color w:val="231F20"/>
          <w:spacing w:val="26"/>
        </w:rPr>
        <w:t> </w:t>
      </w:r>
      <w:r>
        <w:rPr>
          <w:color w:val="231F20"/>
        </w:rPr>
        <w:t>unwieldy</w:t>
      </w:r>
      <w:r>
        <w:rPr>
          <w:color w:val="231F20"/>
          <w:spacing w:val="26"/>
        </w:rPr>
        <w:t> </w:t>
      </w:r>
      <w:r>
        <w:rPr>
          <w:color w:val="231F20"/>
        </w:rPr>
        <w:t>size</w:t>
      </w:r>
      <w:r>
        <w:rPr>
          <w:color w:val="231F20"/>
          <w:spacing w:val="26"/>
        </w:rPr>
        <w:t> </w:t>
      </w:r>
      <w:r>
        <w:rPr>
          <w:color w:val="231F20"/>
        </w:rPr>
        <w:t>and</w:t>
      </w:r>
      <w:r>
        <w:rPr>
          <w:color w:val="231F20"/>
          <w:spacing w:val="26"/>
        </w:rPr>
        <w:t> </w:t>
      </w:r>
      <w:r>
        <w:rPr>
          <w:color w:val="231F20"/>
        </w:rPr>
        <w:t>minimizes</w:t>
      </w:r>
      <w:r>
        <w:rPr>
          <w:color w:val="231F20"/>
          <w:spacing w:val="26"/>
        </w:rPr>
        <w:t> </w:t>
      </w:r>
      <w:r>
        <w:rPr>
          <w:color w:val="231F20"/>
        </w:rPr>
        <w:t>the</w:t>
      </w:r>
      <w:r>
        <w:rPr>
          <w:color w:val="231F20"/>
          <w:spacing w:val="26"/>
        </w:rPr>
        <w:t> </w:t>
      </w:r>
      <w:r>
        <w:rPr>
          <w:color w:val="231F20"/>
        </w:rPr>
        <w:t>amount of data that gets retrieved to the Tivoli Enterprise Portal. Even if data collection </w:t>
      </w:r>
      <w:r>
        <w:rPr>
          <w:color w:val="231F20"/>
        </w:rPr>
        <w:t>for an attribute group has not been configured, you can set up summarization and pruning. If no collections have been created and distributed for an attribute group, no</w:t>
      </w:r>
      <w:r>
        <w:rPr>
          <w:color w:val="231F20"/>
          <w:spacing w:val="27"/>
        </w:rPr>
        <w:t> </w:t>
      </w:r>
      <w:r>
        <w:rPr>
          <w:color w:val="231F20"/>
        </w:rPr>
        <w:t>data</w:t>
      </w:r>
      <w:r>
        <w:rPr>
          <w:color w:val="231F20"/>
          <w:spacing w:val="27"/>
        </w:rPr>
        <w:t> </w:t>
      </w:r>
      <w:r>
        <w:rPr>
          <w:color w:val="231F20"/>
        </w:rPr>
        <w:t>goes</w:t>
      </w:r>
      <w:r>
        <w:rPr>
          <w:color w:val="231F20"/>
          <w:spacing w:val="27"/>
        </w:rPr>
        <w:t> </w:t>
      </w:r>
      <w:r>
        <w:rPr>
          <w:color w:val="231F20"/>
        </w:rPr>
        <w:t>to</w:t>
      </w:r>
      <w:r>
        <w:rPr>
          <w:color w:val="231F20"/>
          <w:spacing w:val="27"/>
        </w:rPr>
        <w:t> </w:t>
      </w:r>
      <w:r>
        <w:rPr>
          <w:color w:val="231F20"/>
        </w:rPr>
        <w:t>the</w:t>
      </w:r>
      <w:r>
        <w:rPr>
          <w:color w:val="231F20"/>
          <w:spacing w:val="27"/>
        </w:rPr>
        <w:t> </w:t>
      </w:r>
      <w:r>
        <w:rPr>
          <w:color w:val="231F20"/>
        </w:rPr>
        <w:t>warehouse,</w:t>
      </w:r>
      <w:r>
        <w:rPr>
          <w:color w:val="231F20"/>
          <w:spacing w:val="27"/>
        </w:rPr>
        <w:t> </w:t>
      </w:r>
      <w:r>
        <w:rPr>
          <w:color w:val="231F20"/>
        </w:rPr>
        <w:t>and</w:t>
      </w:r>
      <w:r>
        <w:rPr>
          <w:color w:val="231F20"/>
          <w:spacing w:val="27"/>
        </w:rPr>
        <w:t> </w:t>
      </w:r>
      <w:r>
        <w:rPr>
          <w:color w:val="231F20"/>
        </w:rPr>
        <w:t>summarization</w:t>
      </w:r>
      <w:r>
        <w:rPr>
          <w:color w:val="231F20"/>
          <w:spacing w:val="27"/>
        </w:rPr>
        <w:t> </w:t>
      </w:r>
      <w:r>
        <w:rPr>
          <w:color w:val="231F20"/>
        </w:rPr>
        <w:t>and</w:t>
      </w:r>
      <w:r>
        <w:rPr>
          <w:color w:val="231F20"/>
          <w:spacing w:val="27"/>
        </w:rPr>
        <w:t> </w:t>
      </w:r>
      <w:r>
        <w:rPr>
          <w:color w:val="231F20"/>
        </w:rPr>
        <w:t>pruning</w:t>
      </w:r>
      <w:r>
        <w:rPr>
          <w:color w:val="231F20"/>
          <w:spacing w:val="27"/>
        </w:rPr>
        <w:t> </w:t>
      </w:r>
      <w:r>
        <w:rPr>
          <w:color w:val="231F20"/>
        </w:rPr>
        <w:t>does</w:t>
      </w:r>
      <w:r>
        <w:rPr>
          <w:color w:val="231F20"/>
          <w:spacing w:val="27"/>
        </w:rPr>
        <w:t> </w:t>
      </w:r>
      <w:r>
        <w:rPr>
          <w:color w:val="231F20"/>
        </w:rPr>
        <w:t>not</w:t>
      </w:r>
      <w:r>
        <w:rPr>
          <w:color w:val="231F20"/>
          <w:spacing w:val="27"/>
        </w:rPr>
        <w:t> </w:t>
      </w:r>
      <w:r>
        <w:rPr>
          <w:color w:val="231F20"/>
        </w:rPr>
        <w:t>take </w:t>
      </w:r>
      <w:r>
        <w:rPr>
          <w:color w:val="231F20"/>
          <w:spacing w:val="-2"/>
        </w:rPr>
        <w:t>place.</w:t>
      </w:r>
    </w:p>
    <w:p>
      <w:pPr>
        <w:pStyle w:val="Heading4"/>
        <w:spacing w:before="197"/>
      </w:pPr>
      <w:r>
        <w:rPr>
          <w:color w:val="231F20"/>
          <w:spacing w:val="-2"/>
        </w:rPr>
        <w:t>Procedure</w:t>
      </w:r>
    </w:p>
    <w:p>
      <w:pPr>
        <w:pStyle w:val="ListParagraph"/>
        <w:numPr>
          <w:ilvl w:val="0"/>
          <w:numId w:val="100"/>
        </w:numPr>
        <w:tabs>
          <w:tab w:pos="2548" w:val="left" w:leader="none"/>
        </w:tabs>
        <w:spacing w:line="213" w:lineRule="auto" w:before="61" w:after="0"/>
        <w:ind w:left="2548" w:right="772" w:hanging="316"/>
        <w:jc w:val="left"/>
        <w:rPr>
          <w:sz w:val="20"/>
        </w:rPr>
      </w:pPr>
      <w:r>
        <w:rPr>
          <w:color w:val="231F20"/>
          <w:sz w:val="20"/>
        </w:rPr>
        <w:t>If the History Collection Configuration window is not open, click </w:t>
      </w:r>
      <w:r>
        <w:rPr>
          <w:color w:val="231F20"/>
          <w:spacing w:val="14"/>
          <w:position w:val="-1"/>
          <w:sz w:val="20"/>
        </w:rPr>
        <w:drawing>
          <wp:inline distT="0" distB="0" distL="0" distR="0">
            <wp:extent cx="101600" cy="95250"/>
            <wp:effectExtent l="0" t="0" r="0" b="0"/>
            <wp:docPr id="1912" name="Image 1912"/>
            <wp:cNvGraphicFramePr>
              <a:graphicFrameLocks/>
            </wp:cNvGraphicFramePr>
            <a:graphic>
              <a:graphicData uri="http://schemas.openxmlformats.org/drawingml/2006/picture">
                <pic:pic>
                  <pic:nvPicPr>
                    <pic:cNvPr id="1912" name="Image 1912"/>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4"/>
          <w:position w:val="-1"/>
          <w:sz w:val="20"/>
        </w:rPr>
      </w:r>
      <w:r>
        <w:rPr>
          <w:rFonts w:ascii="Times New Roman"/>
          <w:color w:val="231F20"/>
          <w:spacing w:val="-15"/>
          <w:sz w:val="20"/>
        </w:rPr>
        <w:t> </w:t>
      </w:r>
      <w:r>
        <w:rPr>
          <w:rFonts w:ascii="Book Antiqua"/>
          <w:b/>
          <w:color w:val="231F20"/>
          <w:sz w:val="20"/>
        </w:rPr>
        <w:t>History </w:t>
      </w:r>
      <w:r>
        <w:rPr>
          <w:rFonts w:ascii="Book Antiqua"/>
          <w:b/>
          <w:color w:val="231F20"/>
          <w:spacing w:val="-2"/>
          <w:sz w:val="20"/>
        </w:rPr>
        <w:t>Configuration</w:t>
      </w:r>
      <w:r>
        <w:rPr>
          <w:color w:val="231F20"/>
          <w:spacing w:val="-2"/>
          <w:sz w:val="20"/>
        </w:rPr>
        <w:t>.</w:t>
      </w:r>
    </w:p>
    <w:p>
      <w:pPr>
        <w:pStyle w:val="ListParagraph"/>
        <w:numPr>
          <w:ilvl w:val="0"/>
          <w:numId w:val="100"/>
        </w:numPr>
        <w:tabs>
          <w:tab w:pos="2547" w:val="left" w:leader="none"/>
        </w:tabs>
        <w:spacing w:line="240" w:lineRule="auto" w:before="36" w:after="0"/>
        <w:ind w:left="2547" w:right="0" w:hanging="315"/>
        <w:jc w:val="left"/>
        <w:rPr>
          <w:sz w:val="20"/>
        </w:rPr>
      </w:pPr>
      <w:r>
        <w:rPr>
          <w:color w:val="231F20"/>
          <w:sz w:val="20"/>
        </w:rPr>
        <w:t>Select</w:t>
      </w:r>
      <w:r>
        <w:rPr>
          <w:color w:val="231F20"/>
          <w:spacing w:val="9"/>
          <w:sz w:val="20"/>
        </w:rPr>
        <w:t> </w:t>
      </w:r>
      <w:r>
        <w:rPr>
          <w:color w:val="231F20"/>
          <w:sz w:val="20"/>
        </w:rPr>
        <w:t>a</w:t>
      </w:r>
      <w:r>
        <w:rPr>
          <w:color w:val="231F20"/>
          <w:spacing w:val="10"/>
          <w:sz w:val="20"/>
        </w:rPr>
        <w:t> </w:t>
      </w:r>
      <w:r>
        <w:rPr>
          <w:rFonts w:ascii="Book Antiqua"/>
          <w:b/>
          <w:color w:val="231F20"/>
          <w:sz w:val="20"/>
        </w:rPr>
        <w:t>Monitored</w:t>
      </w:r>
      <w:r>
        <w:rPr>
          <w:rFonts w:ascii="Book Antiqua"/>
          <w:b/>
          <w:color w:val="231F20"/>
          <w:spacing w:val="10"/>
          <w:sz w:val="20"/>
        </w:rPr>
        <w:t> </w:t>
      </w:r>
      <w:r>
        <w:rPr>
          <w:rFonts w:ascii="Book Antiqua"/>
          <w:b/>
          <w:color w:val="231F20"/>
          <w:sz w:val="20"/>
        </w:rPr>
        <w:t>Application</w:t>
      </w:r>
      <w:r>
        <w:rPr>
          <w:rFonts w:ascii="Book Antiqua"/>
          <w:b/>
          <w:color w:val="231F20"/>
          <w:spacing w:val="9"/>
          <w:sz w:val="20"/>
        </w:rPr>
        <w:t> </w:t>
      </w:r>
      <w:r>
        <w:rPr>
          <w:color w:val="231F20"/>
          <w:sz w:val="20"/>
        </w:rPr>
        <w:t>from</w:t>
      </w:r>
      <w:r>
        <w:rPr>
          <w:color w:val="231F20"/>
          <w:spacing w:val="10"/>
          <w:sz w:val="20"/>
        </w:rPr>
        <w:t> </w:t>
      </w:r>
      <w:r>
        <w:rPr>
          <w:color w:val="231F20"/>
          <w:sz w:val="20"/>
        </w:rPr>
        <w:t>the</w:t>
      </w:r>
      <w:r>
        <w:rPr>
          <w:color w:val="231F20"/>
          <w:spacing w:val="10"/>
          <w:sz w:val="20"/>
        </w:rPr>
        <w:t> </w:t>
      </w:r>
      <w:r>
        <w:rPr>
          <w:color w:val="231F20"/>
          <w:spacing w:val="-2"/>
          <w:sz w:val="20"/>
        </w:rPr>
        <w:t>tree.</w:t>
      </w:r>
    </w:p>
    <w:p>
      <w:pPr>
        <w:pStyle w:val="ListParagraph"/>
        <w:numPr>
          <w:ilvl w:val="0"/>
          <w:numId w:val="100"/>
        </w:numPr>
        <w:tabs>
          <w:tab w:pos="2548" w:val="left" w:leader="none"/>
        </w:tabs>
        <w:spacing w:line="213" w:lineRule="auto" w:before="52" w:after="0"/>
        <w:ind w:left="2548" w:right="472" w:hanging="316"/>
        <w:jc w:val="left"/>
        <w:rPr>
          <w:sz w:val="20"/>
        </w:rPr>
      </w:pPr>
      <w:r>
        <w:rPr>
          <w:color w:val="231F20"/>
          <w:sz w:val="20"/>
        </w:rPr>
        <w:t>Review the attribute groups in the table. If summarization and pruning has already been configured for an attribute group, the values will be shown in the summarization and pruning cells. Collapse the tree, drag the borders, or scroll the table right to see all the cells.</w:t>
      </w:r>
    </w:p>
    <w:p>
      <w:pPr>
        <w:pStyle w:val="ListParagraph"/>
        <w:numPr>
          <w:ilvl w:val="0"/>
          <w:numId w:val="100"/>
        </w:numPr>
        <w:tabs>
          <w:tab w:pos="2548" w:val="left" w:leader="none"/>
        </w:tabs>
        <w:spacing w:line="213" w:lineRule="auto" w:before="58" w:after="0"/>
        <w:ind w:left="2548" w:right="404" w:hanging="316"/>
        <w:jc w:val="left"/>
        <w:rPr>
          <w:sz w:val="20"/>
        </w:rPr>
      </w:pPr>
      <w:r>
        <w:rPr>
          <w:color w:val="231F20"/>
          <w:sz w:val="20"/>
        </w:rPr>
        <w:t>Select one or more attribute groups to configure. You can select multiple groups with Ctrl+click, or Shift+click to select all groups from the first one selected to</w:t>
      </w:r>
      <w:r>
        <w:rPr>
          <w:color w:val="231F20"/>
          <w:spacing w:val="80"/>
          <w:sz w:val="20"/>
        </w:rPr>
        <w:t> </w:t>
      </w:r>
      <w:r>
        <w:rPr>
          <w:color w:val="231F20"/>
          <w:sz w:val="20"/>
        </w:rPr>
        <w:t>this point. The settings of the first group selected continue to display, regardless of</w:t>
      </w:r>
      <w:r>
        <w:rPr>
          <w:color w:val="231F20"/>
          <w:spacing w:val="26"/>
          <w:sz w:val="20"/>
        </w:rPr>
        <w:t> </w:t>
      </w:r>
      <w:r>
        <w:rPr>
          <w:color w:val="231F20"/>
          <w:sz w:val="20"/>
        </w:rPr>
        <w:t>the</w:t>
      </w:r>
      <w:r>
        <w:rPr>
          <w:color w:val="231F20"/>
          <w:spacing w:val="26"/>
          <w:sz w:val="20"/>
        </w:rPr>
        <w:t> </w:t>
      </w:r>
      <w:r>
        <w:rPr>
          <w:color w:val="231F20"/>
          <w:sz w:val="20"/>
        </w:rPr>
        <w:t>settings</w:t>
      </w:r>
      <w:r>
        <w:rPr>
          <w:color w:val="231F20"/>
          <w:spacing w:val="26"/>
          <w:sz w:val="20"/>
        </w:rPr>
        <w:t> </w:t>
      </w:r>
      <w:r>
        <w:rPr>
          <w:color w:val="231F20"/>
          <w:sz w:val="20"/>
        </w:rPr>
        <w:t>in</w:t>
      </w:r>
      <w:r>
        <w:rPr>
          <w:color w:val="231F20"/>
          <w:spacing w:val="26"/>
          <w:sz w:val="20"/>
        </w:rPr>
        <w:t> </w:t>
      </w:r>
      <w:r>
        <w:rPr>
          <w:color w:val="231F20"/>
          <w:sz w:val="20"/>
        </w:rPr>
        <w:t>any</w:t>
      </w:r>
      <w:r>
        <w:rPr>
          <w:color w:val="231F20"/>
          <w:spacing w:val="26"/>
          <w:sz w:val="20"/>
        </w:rPr>
        <w:t> </w:t>
      </w:r>
      <w:r>
        <w:rPr>
          <w:color w:val="231F20"/>
          <w:sz w:val="20"/>
        </w:rPr>
        <w:t>of</w:t>
      </w:r>
      <w:r>
        <w:rPr>
          <w:color w:val="231F20"/>
          <w:spacing w:val="26"/>
          <w:sz w:val="20"/>
        </w:rPr>
        <w:t> </w:t>
      </w:r>
      <w:r>
        <w:rPr>
          <w:color w:val="231F20"/>
          <w:sz w:val="20"/>
        </w:rPr>
        <w:t>the</w:t>
      </w:r>
      <w:r>
        <w:rPr>
          <w:color w:val="231F20"/>
          <w:spacing w:val="26"/>
          <w:sz w:val="20"/>
        </w:rPr>
        <w:t> </w:t>
      </w:r>
      <w:r>
        <w:rPr>
          <w:color w:val="231F20"/>
          <w:sz w:val="20"/>
        </w:rPr>
        <w:t>other</w:t>
      </w:r>
      <w:r>
        <w:rPr>
          <w:color w:val="231F20"/>
          <w:spacing w:val="26"/>
          <w:sz w:val="20"/>
        </w:rPr>
        <w:t> </w:t>
      </w:r>
      <w:r>
        <w:rPr>
          <w:color w:val="231F20"/>
          <w:sz w:val="20"/>
        </w:rPr>
        <w:t>selected</w:t>
      </w:r>
      <w:r>
        <w:rPr>
          <w:color w:val="231F20"/>
          <w:spacing w:val="26"/>
          <w:sz w:val="20"/>
        </w:rPr>
        <w:t> </w:t>
      </w:r>
      <w:r>
        <w:rPr>
          <w:color w:val="231F20"/>
          <w:sz w:val="20"/>
        </w:rPr>
        <w:t>groups.</w:t>
      </w:r>
      <w:r>
        <w:rPr>
          <w:color w:val="231F20"/>
          <w:spacing w:val="26"/>
          <w:sz w:val="20"/>
        </w:rPr>
        <w:t> </w:t>
      </w:r>
      <w:r>
        <w:rPr>
          <w:color w:val="231F20"/>
          <w:sz w:val="20"/>
        </w:rPr>
        <w:t>This</w:t>
      </w:r>
      <w:r>
        <w:rPr>
          <w:color w:val="231F20"/>
          <w:spacing w:val="26"/>
          <w:sz w:val="20"/>
        </w:rPr>
        <w:t> </w:t>
      </w:r>
      <w:r>
        <w:rPr>
          <w:color w:val="231F20"/>
          <w:sz w:val="20"/>
        </w:rPr>
        <w:t>enables</w:t>
      </w:r>
      <w:r>
        <w:rPr>
          <w:color w:val="231F20"/>
          <w:spacing w:val="26"/>
          <w:sz w:val="20"/>
        </w:rPr>
        <w:t> </w:t>
      </w:r>
      <w:r>
        <w:rPr>
          <w:color w:val="231F20"/>
          <w:sz w:val="20"/>
        </w:rPr>
        <w:t>you</w:t>
      </w:r>
      <w:r>
        <w:rPr>
          <w:color w:val="231F20"/>
          <w:spacing w:val="26"/>
          <w:sz w:val="20"/>
        </w:rPr>
        <w:t> </w:t>
      </w:r>
      <w:r>
        <w:rPr>
          <w:color w:val="231F20"/>
          <w:sz w:val="20"/>
        </w:rPr>
        <w:t>to</w:t>
      </w:r>
      <w:r>
        <w:rPr>
          <w:color w:val="231F20"/>
          <w:spacing w:val="26"/>
          <w:sz w:val="20"/>
        </w:rPr>
        <w:t> </w:t>
      </w:r>
      <w:r>
        <w:rPr>
          <w:color w:val="231F20"/>
          <w:sz w:val="20"/>
        </w:rPr>
        <w:t>adjust the configuration controls once and apply the same settings to all selected attribute groups. Use the </w:t>
      </w:r>
      <w:r>
        <w:rPr>
          <w:rFonts w:ascii="Book Antiqua"/>
          <w:b/>
          <w:color w:val="231F20"/>
          <w:sz w:val="20"/>
        </w:rPr>
        <w:t>Clear all </w:t>
      </w:r>
      <w:r>
        <w:rPr>
          <w:color w:val="231F20"/>
          <w:sz w:val="20"/>
        </w:rPr>
        <w:t>button if you want to clear all the fields and</w:t>
      </w:r>
      <w:r>
        <w:rPr>
          <w:color w:val="231F20"/>
          <w:spacing w:val="40"/>
          <w:sz w:val="20"/>
        </w:rPr>
        <w:t> </w:t>
      </w:r>
      <w:r>
        <w:rPr>
          <w:color w:val="231F20"/>
          <w:sz w:val="20"/>
        </w:rPr>
        <w:t>start over.</w:t>
      </w:r>
    </w:p>
    <w:p>
      <w:pPr>
        <w:pStyle w:val="ListParagraph"/>
        <w:numPr>
          <w:ilvl w:val="0"/>
          <w:numId w:val="100"/>
        </w:numPr>
        <w:tabs>
          <w:tab w:pos="2548" w:val="left" w:leader="none"/>
        </w:tabs>
        <w:spacing w:line="213" w:lineRule="auto" w:before="55" w:after="0"/>
        <w:ind w:left="2548" w:right="784" w:hanging="316"/>
        <w:jc w:val="left"/>
        <w:rPr>
          <w:sz w:val="20"/>
        </w:rPr>
      </w:pPr>
      <w:r>
        <w:rPr>
          <w:color w:val="231F20"/>
          <w:sz w:val="20"/>
        </w:rPr>
        <w:t>In the </w:t>
      </w:r>
      <w:r>
        <w:rPr>
          <w:rFonts w:ascii="Book Antiqua"/>
          <w:b/>
          <w:color w:val="231F20"/>
          <w:sz w:val="20"/>
        </w:rPr>
        <w:t>Summarization </w:t>
      </w:r>
      <w:r>
        <w:rPr>
          <w:color w:val="231F20"/>
          <w:sz w:val="20"/>
        </w:rPr>
        <w:t>area, select the check box for every time period to be aggregated: Yearly, Quarterly, Monthly, Weekly, Daily, and Hourly.</w:t>
      </w:r>
    </w:p>
    <w:p>
      <w:pPr>
        <w:pStyle w:val="ListParagraph"/>
        <w:numPr>
          <w:ilvl w:val="0"/>
          <w:numId w:val="100"/>
        </w:numPr>
        <w:tabs>
          <w:tab w:pos="2548" w:val="left" w:leader="none"/>
        </w:tabs>
        <w:spacing w:line="213" w:lineRule="auto" w:before="58" w:after="0"/>
        <w:ind w:left="2548" w:right="496" w:hanging="316"/>
        <w:jc w:val="left"/>
        <w:rPr>
          <w:sz w:val="20"/>
        </w:rPr>
      </w:pPr>
      <w:r>
        <w:rPr>
          <w:color w:val="231F20"/>
          <w:sz w:val="20"/>
        </w:rPr>
        <w:t>In the </w:t>
      </w:r>
      <w:r>
        <w:rPr>
          <w:rFonts w:ascii="Book Antiqua"/>
          <w:b/>
          <w:color w:val="231F20"/>
          <w:sz w:val="20"/>
        </w:rPr>
        <w:t>Pruning </w:t>
      </w:r>
      <w:r>
        <w:rPr>
          <w:color w:val="231F20"/>
          <w:sz w:val="20"/>
        </w:rPr>
        <w:t>area, select the check box for every time period to be pruned: Yearly,</w:t>
      </w:r>
      <w:r>
        <w:rPr>
          <w:color w:val="231F20"/>
          <w:spacing w:val="-3"/>
          <w:sz w:val="20"/>
        </w:rPr>
        <w:t> </w:t>
      </w:r>
      <w:r>
        <w:rPr>
          <w:color w:val="231F20"/>
          <w:sz w:val="20"/>
        </w:rPr>
        <w:t>Quarterly,</w:t>
      </w:r>
      <w:r>
        <w:rPr>
          <w:color w:val="231F20"/>
          <w:spacing w:val="-3"/>
          <w:sz w:val="20"/>
        </w:rPr>
        <w:t> </w:t>
      </w:r>
      <w:r>
        <w:rPr>
          <w:color w:val="231F20"/>
          <w:sz w:val="20"/>
        </w:rPr>
        <w:t>Monthly,</w:t>
      </w:r>
      <w:r>
        <w:rPr>
          <w:color w:val="231F20"/>
          <w:spacing w:val="-3"/>
          <w:sz w:val="20"/>
        </w:rPr>
        <w:t> </w:t>
      </w:r>
      <w:r>
        <w:rPr>
          <w:color w:val="231F20"/>
          <w:sz w:val="20"/>
        </w:rPr>
        <w:t>Weekly,</w:t>
      </w:r>
      <w:r>
        <w:rPr>
          <w:color w:val="231F20"/>
          <w:spacing w:val="-3"/>
          <w:sz w:val="20"/>
        </w:rPr>
        <w:t> </w:t>
      </w:r>
      <w:r>
        <w:rPr>
          <w:color w:val="231F20"/>
          <w:sz w:val="20"/>
        </w:rPr>
        <w:t>Daily,</w:t>
      </w:r>
      <w:r>
        <w:rPr>
          <w:color w:val="231F20"/>
          <w:spacing w:val="-3"/>
          <w:sz w:val="20"/>
        </w:rPr>
        <w:t> </w:t>
      </w:r>
      <w:r>
        <w:rPr>
          <w:color w:val="231F20"/>
          <w:sz w:val="20"/>
        </w:rPr>
        <w:t>and</w:t>
      </w:r>
      <w:r>
        <w:rPr>
          <w:color w:val="231F20"/>
          <w:spacing w:val="-3"/>
          <w:sz w:val="20"/>
        </w:rPr>
        <w:t> </w:t>
      </w:r>
      <w:r>
        <w:rPr>
          <w:color w:val="231F20"/>
          <w:sz w:val="20"/>
        </w:rPr>
        <w:t>Hourly.</w:t>
      </w:r>
      <w:r>
        <w:rPr>
          <w:color w:val="231F20"/>
          <w:spacing w:val="-3"/>
          <w:sz w:val="20"/>
        </w:rPr>
        <w:t> </w:t>
      </w:r>
      <w:r>
        <w:rPr>
          <w:color w:val="231F20"/>
          <w:sz w:val="20"/>
        </w:rPr>
        <w:t>If</w:t>
      </w:r>
      <w:r>
        <w:rPr>
          <w:color w:val="231F20"/>
          <w:spacing w:val="-3"/>
          <w:sz w:val="20"/>
        </w:rPr>
        <w:t> </w:t>
      </w:r>
      <w:r>
        <w:rPr>
          <w:color w:val="231F20"/>
          <w:sz w:val="20"/>
        </w:rPr>
        <w:t>you</w:t>
      </w:r>
      <w:r>
        <w:rPr>
          <w:color w:val="231F20"/>
          <w:spacing w:val="-3"/>
          <w:sz w:val="20"/>
        </w:rPr>
        <w:t> </w:t>
      </w:r>
      <w:r>
        <w:rPr>
          <w:color w:val="231F20"/>
          <w:sz w:val="20"/>
        </w:rPr>
        <w:t>also</w:t>
      </w:r>
      <w:r>
        <w:rPr>
          <w:color w:val="231F20"/>
          <w:spacing w:val="-3"/>
          <w:sz w:val="20"/>
        </w:rPr>
        <w:t> </w:t>
      </w:r>
      <w:r>
        <w:rPr>
          <w:color w:val="231F20"/>
          <w:sz w:val="20"/>
        </w:rPr>
        <w:t>want</w:t>
      </w:r>
      <w:r>
        <w:rPr>
          <w:color w:val="231F20"/>
          <w:spacing w:val="-3"/>
          <w:sz w:val="20"/>
        </w:rPr>
        <w:t> </w:t>
      </w:r>
      <w:r>
        <w:rPr>
          <w:color w:val="231F20"/>
          <w:sz w:val="20"/>
        </w:rPr>
        <w:t>to</w:t>
      </w:r>
      <w:r>
        <w:rPr>
          <w:color w:val="231F20"/>
          <w:spacing w:val="-3"/>
          <w:sz w:val="20"/>
        </w:rPr>
        <w:t> </w:t>
      </w:r>
      <w:r>
        <w:rPr>
          <w:color w:val="231F20"/>
          <w:sz w:val="20"/>
        </w:rPr>
        <w:t>keep the original data samples, select the </w:t>
      </w:r>
      <w:r>
        <w:rPr>
          <w:rFonts w:ascii="Book Antiqua"/>
          <w:b/>
          <w:color w:val="231F20"/>
          <w:sz w:val="20"/>
        </w:rPr>
        <w:t>Detailed data </w:t>
      </w:r>
      <w:r>
        <w:rPr>
          <w:color w:val="231F20"/>
          <w:sz w:val="20"/>
        </w:rPr>
        <w:t>check box. In the corresponding fields, specify the number of days, months, or years to keep the </w:t>
      </w:r>
      <w:r>
        <w:rPr>
          <w:color w:val="231F20"/>
          <w:spacing w:val="-2"/>
          <w:sz w:val="20"/>
        </w:rPr>
        <w:t>data.</w:t>
      </w:r>
    </w:p>
    <w:p>
      <w:pPr>
        <w:spacing w:after="0" w:line="213" w:lineRule="auto"/>
        <w:jc w:val="left"/>
        <w:rPr>
          <w:sz w:val="20"/>
        </w:rPr>
        <w:sectPr>
          <w:pgSz w:w="12240" w:h="15840"/>
          <w:pgMar w:header="0" w:footer="736" w:top="1180" w:bottom="920" w:left="1000" w:right="1060"/>
        </w:sectPr>
      </w:pPr>
    </w:p>
    <w:p>
      <w:pPr>
        <w:pStyle w:val="ListParagraph"/>
        <w:numPr>
          <w:ilvl w:val="0"/>
          <w:numId w:val="100"/>
        </w:numPr>
        <w:tabs>
          <w:tab w:pos="2788" w:val="left" w:leader="none"/>
        </w:tabs>
        <w:spacing w:line="213" w:lineRule="auto" w:before="85" w:after="0"/>
        <w:ind w:left="2788" w:right="757" w:hanging="316"/>
        <w:jc w:val="left"/>
        <w:rPr>
          <w:sz w:val="20"/>
        </w:rPr>
      </w:pPr>
      <w:bookmarkStart w:name="_bookmark162" w:id="355"/>
      <w:bookmarkEnd w:id="355"/>
      <w:r>
        <w:rPr/>
      </w:r>
      <w:r>
        <w:rPr>
          <w:color w:val="231F20"/>
          <w:sz w:val="20"/>
        </w:rPr>
        <w:t>Click </w:t>
      </w:r>
      <w:r>
        <w:rPr>
          <w:rFonts w:ascii="Book Antiqua"/>
          <w:b/>
          <w:color w:val="231F20"/>
          <w:sz w:val="20"/>
        </w:rPr>
        <w:t>Apply </w:t>
      </w:r>
      <w:r>
        <w:rPr>
          <w:color w:val="231F20"/>
          <w:sz w:val="20"/>
        </w:rPr>
        <w:t>to save the configuration for the attribute groups that were selected. The summarization and pruning cells for the attribute group </w:t>
      </w:r>
      <w:r>
        <w:rPr>
          <w:color w:val="231F20"/>
          <w:sz w:val="20"/>
        </w:rPr>
        <w:t>are updated to reflect the new settings.</w:t>
      </w:r>
    </w:p>
    <w:p>
      <w:pPr>
        <w:pStyle w:val="Heading4"/>
        <w:spacing w:before="199"/>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385"/>
      </w:pPr>
      <w:r>
        <w:rPr>
          <w:color w:val="231F20"/>
        </w:rPr>
        <w:t>The next time summarization and pruning takes place, the summarization and pruning agent applies the configuration to the long-term data stored in the data warehouse. Wait for the next scheduled time period to elapse before expecting to see any summarized data.</w:t>
      </w:r>
    </w:p>
    <w:p>
      <w:pPr>
        <w:pStyle w:val="Heading3"/>
        <w:spacing w:before="216"/>
        <w:ind w:left="1574"/>
      </w:pPr>
      <w:bookmarkStart w:name="Creating another historical collection" w:id="356"/>
      <w:bookmarkEnd w:id="356"/>
      <w:r>
        <w:rPr>
          <w:b w:val="0"/>
        </w:rPr>
      </w:r>
      <w:r>
        <w:rPr>
          <w:color w:val="231F20"/>
        </w:rPr>
        <w:t>Creating</w:t>
      </w:r>
      <w:r>
        <w:rPr>
          <w:color w:val="231F20"/>
          <w:spacing w:val="3"/>
        </w:rPr>
        <w:t> </w:t>
      </w:r>
      <w:r>
        <w:rPr>
          <w:color w:val="231F20"/>
        </w:rPr>
        <w:t>another</w:t>
      </w:r>
      <w:r>
        <w:rPr>
          <w:color w:val="231F20"/>
          <w:spacing w:val="4"/>
        </w:rPr>
        <w:t> </w:t>
      </w:r>
      <w:r>
        <w:rPr>
          <w:color w:val="231F20"/>
        </w:rPr>
        <w:t>historical</w:t>
      </w:r>
      <w:r>
        <w:rPr>
          <w:color w:val="231F20"/>
          <w:spacing w:val="3"/>
        </w:rPr>
        <w:t> </w:t>
      </w:r>
      <w:r>
        <w:rPr>
          <w:color w:val="231F20"/>
          <w:spacing w:val="-2"/>
        </w:rPr>
        <w:t>collection</w:t>
      </w:r>
    </w:p>
    <w:p>
      <w:pPr>
        <w:pStyle w:val="BodyText"/>
        <w:spacing w:line="213" w:lineRule="auto" w:before="58"/>
        <w:ind w:left="2472"/>
      </w:pPr>
      <w:r>
        <w:rPr>
          <w:color w:val="231F20"/>
        </w:rPr>
        <w:t>After historical collection definitions have been created, use the History </w:t>
      </w:r>
      <w:r>
        <w:rPr>
          <w:color w:val="231F20"/>
        </w:rPr>
        <w:t>Collection Configuration window to create duplicates that you can customize for different collection intervals, warehousing intervals, and distribution.</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58"/>
      </w:pPr>
      <w:r>
        <w:rPr>
          <w:color w:val="231F20"/>
        </w:rPr>
        <w:t>Your user ID must have Configure History permission to open the History Collection Configuration window. If you do not have this permission, you will </w:t>
      </w:r>
      <w:r>
        <w:rPr>
          <w:color w:val="231F20"/>
        </w:rPr>
        <w:t>not see the menu item or tool for historical configuration.</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Take</w:t>
      </w:r>
      <w:r>
        <w:rPr>
          <w:color w:val="231F20"/>
          <w:spacing w:val="9"/>
        </w:rPr>
        <w:t> </w:t>
      </w:r>
      <w:r>
        <w:rPr>
          <w:color w:val="231F20"/>
        </w:rPr>
        <w:t>these</w:t>
      </w:r>
      <w:r>
        <w:rPr>
          <w:color w:val="231F20"/>
          <w:spacing w:val="10"/>
        </w:rPr>
        <w:t> </w:t>
      </w:r>
      <w:r>
        <w:rPr>
          <w:color w:val="231F20"/>
        </w:rPr>
        <w:t>steps</w:t>
      </w:r>
      <w:r>
        <w:rPr>
          <w:color w:val="231F20"/>
          <w:spacing w:val="9"/>
        </w:rPr>
        <w:t> </w:t>
      </w:r>
      <w:r>
        <w:rPr>
          <w:color w:val="231F20"/>
        </w:rPr>
        <w:t>to</w:t>
      </w:r>
      <w:r>
        <w:rPr>
          <w:color w:val="231F20"/>
          <w:spacing w:val="10"/>
        </w:rPr>
        <w:t> </w:t>
      </w:r>
      <w:r>
        <w:rPr>
          <w:color w:val="231F20"/>
        </w:rPr>
        <w:t>copy</w:t>
      </w:r>
      <w:r>
        <w:rPr>
          <w:color w:val="231F20"/>
          <w:spacing w:val="9"/>
        </w:rPr>
        <w:t> </w:t>
      </w:r>
      <w:r>
        <w:rPr>
          <w:color w:val="231F20"/>
        </w:rPr>
        <w:t>a</w:t>
      </w:r>
      <w:r>
        <w:rPr>
          <w:color w:val="231F20"/>
          <w:spacing w:val="10"/>
        </w:rPr>
        <w:t> </w:t>
      </w:r>
      <w:r>
        <w:rPr>
          <w:color w:val="231F20"/>
        </w:rPr>
        <w:t>historical</w:t>
      </w:r>
      <w:r>
        <w:rPr>
          <w:color w:val="231F20"/>
          <w:spacing w:val="9"/>
        </w:rPr>
        <w:t> </w:t>
      </w:r>
      <w:r>
        <w:rPr>
          <w:color w:val="231F20"/>
        </w:rPr>
        <w:t>data</w:t>
      </w:r>
      <w:r>
        <w:rPr>
          <w:color w:val="231F20"/>
          <w:spacing w:val="10"/>
        </w:rPr>
        <w:t> </w:t>
      </w:r>
      <w:r>
        <w:rPr>
          <w:color w:val="231F20"/>
          <w:spacing w:val="-2"/>
        </w:rPr>
        <w:t>collection:</w:t>
      </w:r>
    </w:p>
    <w:p>
      <w:pPr>
        <w:pStyle w:val="Heading4"/>
        <w:spacing w:before="194"/>
        <w:ind w:left="2472"/>
      </w:pPr>
      <w:r>
        <w:rPr>
          <w:color w:val="231F20"/>
          <w:spacing w:val="-2"/>
        </w:rPr>
        <w:t>Procedure</w:t>
      </w:r>
    </w:p>
    <w:p>
      <w:pPr>
        <w:pStyle w:val="ListParagraph"/>
        <w:numPr>
          <w:ilvl w:val="0"/>
          <w:numId w:val="101"/>
        </w:numPr>
        <w:tabs>
          <w:tab w:pos="2788" w:val="left" w:leader="none"/>
        </w:tabs>
        <w:spacing w:line="213" w:lineRule="auto" w:before="61" w:after="0"/>
        <w:ind w:left="2788" w:right="494"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913" name="Image 1913"/>
            <wp:cNvGraphicFramePr>
              <a:graphicFrameLocks/>
            </wp:cNvGraphicFramePr>
            <a:graphic>
              <a:graphicData uri="http://schemas.openxmlformats.org/drawingml/2006/picture">
                <pic:pic>
                  <pic:nvPicPr>
                    <pic:cNvPr id="1913" name="Image 1913"/>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History Configuration </w:t>
      </w:r>
      <w:r>
        <w:rPr>
          <w:color w:val="231F20"/>
          <w:sz w:val="20"/>
        </w:rPr>
        <w:t>to open the History Collection Configuration </w:t>
      </w:r>
      <w:r>
        <w:rPr>
          <w:color w:val="231F20"/>
          <w:spacing w:val="-2"/>
          <w:sz w:val="20"/>
        </w:rPr>
        <w:t>window.</w:t>
      </w:r>
    </w:p>
    <w:p>
      <w:pPr>
        <w:pStyle w:val="ListParagraph"/>
        <w:numPr>
          <w:ilvl w:val="0"/>
          <w:numId w:val="101"/>
        </w:numPr>
        <w:tabs>
          <w:tab w:pos="2787" w:val="left" w:leader="none"/>
        </w:tabs>
        <w:spacing w:line="240" w:lineRule="auto" w:before="36"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22"/>
          <w:sz w:val="20"/>
        </w:rPr>
        <w:t> </w:t>
      </w:r>
      <w:r>
        <w:rPr>
          <w:color w:val="231F20"/>
          <w:spacing w:val="-24"/>
          <w:position w:val="-1"/>
          <w:sz w:val="20"/>
        </w:rPr>
        <w:drawing>
          <wp:inline distT="0" distB="0" distL="0" distR="0">
            <wp:extent cx="95250" cy="95250"/>
            <wp:effectExtent l="0" t="0" r="0" b="0"/>
            <wp:docPr id="1914" name="Image 1914"/>
            <wp:cNvGraphicFramePr>
              <a:graphicFrameLocks/>
            </wp:cNvGraphicFramePr>
            <a:graphic>
              <a:graphicData uri="http://schemas.openxmlformats.org/drawingml/2006/picture">
                <pic:pic>
                  <pic:nvPicPr>
                    <pic:cNvPr id="1914" name="Image 1914"/>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5"/>
          <w:w w:val="150"/>
          <w:sz w:val="20"/>
        </w:rPr>
        <w:t> </w:t>
      </w:r>
      <w:r>
        <w:rPr>
          <w:color w:val="231F20"/>
          <w:sz w:val="20"/>
        </w:rPr>
        <w:t>managed</w:t>
      </w:r>
      <w:r>
        <w:rPr>
          <w:color w:val="231F20"/>
          <w:spacing w:val="12"/>
          <w:sz w:val="20"/>
        </w:rPr>
        <w:t> </w:t>
      </w:r>
      <w:r>
        <w:rPr>
          <w:color w:val="231F20"/>
          <w:sz w:val="20"/>
        </w:rPr>
        <w:t>application,</w:t>
      </w:r>
      <w:r>
        <w:rPr>
          <w:color w:val="231F20"/>
          <w:spacing w:val="12"/>
          <w:sz w:val="20"/>
        </w:rPr>
        <w:t> </w:t>
      </w:r>
      <w:r>
        <w:rPr>
          <w:color w:val="231F20"/>
          <w:sz w:val="20"/>
        </w:rPr>
        <w:t>then</w:t>
      </w:r>
      <w:r>
        <w:rPr>
          <w:color w:val="231F20"/>
          <w:spacing w:val="12"/>
          <w:sz w:val="20"/>
        </w:rPr>
        <w:t> </w:t>
      </w:r>
      <w:r>
        <w:rPr>
          <w:color w:val="231F20"/>
          <w:sz w:val="20"/>
        </w:rPr>
        <w:t>the</w:t>
      </w:r>
      <w:r>
        <w:rPr>
          <w:color w:val="231F20"/>
          <w:spacing w:val="12"/>
          <w:sz w:val="20"/>
        </w:rPr>
        <w:t> </w:t>
      </w:r>
      <w:r>
        <w:rPr>
          <w:color w:val="231F20"/>
          <w:sz w:val="20"/>
        </w:rPr>
        <w:t>collection</w:t>
      </w:r>
      <w:r>
        <w:rPr>
          <w:color w:val="231F20"/>
          <w:spacing w:val="12"/>
          <w:sz w:val="20"/>
        </w:rPr>
        <w:t> </w:t>
      </w:r>
      <w:r>
        <w:rPr>
          <w:color w:val="231F20"/>
          <w:sz w:val="20"/>
        </w:rPr>
        <w:t>that</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pacing w:val="-2"/>
          <w:sz w:val="20"/>
        </w:rPr>
        <w:t>copy.</w:t>
      </w:r>
    </w:p>
    <w:p>
      <w:pPr>
        <w:pStyle w:val="ListParagraph"/>
        <w:numPr>
          <w:ilvl w:val="0"/>
          <w:numId w:val="101"/>
        </w:numPr>
        <w:tabs>
          <w:tab w:pos="2787" w:val="left" w:leader="none"/>
        </w:tabs>
        <w:spacing w:line="240" w:lineRule="auto" w:before="29" w:after="0"/>
        <w:ind w:left="2787" w:right="0" w:hanging="315"/>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95250"/>
            <wp:effectExtent l="0" t="0" r="0" b="0"/>
            <wp:docPr id="1915" name="Image 1915"/>
            <wp:cNvGraphicFramePr>
              <a:graphicFrameLocks/>
            </wp:cNvGraphicFramePr>
            <a:graphic>
              <a:graphicData uri="http://schemas.openxmlformats.org/drawingml/2006/picture">
                <pic:pic>
                  <pic:nvPicPr>
                    <pic:cNvPr id="1915" name="Image 1915"/>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sz w:val="20"/>
        </w:rPr>
      </w:r>
      <w:r>
        <w:rPr>
          <w:rFonts w:ascii="Times New Roman"/>
          <w:color w:val="231F20"/>
          <w:spacing w:val="19"/>
          <w:sz w:val="20"/>
        </w:rPr>
        <w:t> </w:t>
      </w:r>
      <w:r>
        <w:rPr>
          <w:rFonts w:ascii="Book Antiqua"/>
          <w:b/>
          <w:color w:val="231F20"/>
          <w:sz w:val="20"/>
        </w:rPr>
        <w:t>Create</w:t>
      </w:r>
      <w:r>
        <w:rPr>
          <w:rFonts w:ascii="Book Antiqua"/>
          <w:b/>
          <w:color w:val="231F20"/>
          <w:spacing w:val="12"/>
          <w:sz w:val="20"/>
        </w:rPr>
        <w:t> </w:t>
      </w:r>
      <w:r>
        <w:rPr>
          <w:rFonts w:ascii="Book Antiqua"/>
          <w:b/>
          <w:color w:val="231F20"/>
          <w:sz w:val="20"/>
        </w:rPr>
        <w:t>another</w:t>
      </w:r>
      <w:r>
        <w:rPr>
          <w:rFonts w:ascii="Book Antiqua"/>
          <w:b/>
          <w:color w:val="231F20"/>
          <w:spacing w:val="12"/>
          <w:sz w:val="20"/>
        </w:rPr>
        <w:t> </w:t>
      </w:r>
      <w:r>
        <w:rPr>
          <w:rFonts w:ascii="Book Antiqua"/>
          <w:b/>
          <w:color w:val="231F20"/>
          <w:spacing w:val="-2"/>
          <w:sz w:val="20"/>
        </w:rPr>
        <w:t>collection</w:t>
      </w:r>
      <w:r>
        <w:rPr>
          <w:color w:val="231F20"/>
          <w:spacing w:val="-2"/>
          <w:sz w:val="20"/>
        </w:rPr>
        <w:t>.</w:t>
      </w:r>
    </w:p>
    <w:p>
      <w:pPr>
        <w:pStyle w:val="ListParagraph"/>
        <w:numPr>
          <w:ilvl w:val="0"/>
          <w:numId w:val="101"/>
        </w:numPr>
        <w:tabs>
          <w:tab w:pos="2787" w:val="left" w:leader="none"/>
        </w:tabs>
        <w:spacing w:line="255" w:lineRule="exact" w:before="30" w:after="0"/>
        <w:ind w:left="2787" w:right="0" w:hanging="315"/>
        <w:jc w:val="left"/>
        <w:rPr>
          <w:sz w:val="20"/>
        </w:rPr>
      </w:pPr>
      <w:r>
        <w:rPr>
          <w:color w:val="231F20"/>
          <w:sz w:val="20"/>
        </w:rPr>
        <w:t>Enter</w:t>
      </w:r>
      <w:r>
        <w:rPr>
          <w:color w:val="231F20"/>
          <w:spacing w:val="9"/>
          <w:sz w:val="20"/>
        </w:rPr>
        <w:t> </w:t>
      </w:r>
      <w:r>
        <w:rPr>
          <w:color w:val="231F20"/>
          <w:sz w:val="20"/>
        </w:rPr>
        <w:t>a</w:t>
      </w:r>
      <w:r>
        <w:rPr>
          <w:color w:val="231F20"/>
          <w:spacing w:val="9"/>
          <w:sz w:val="20"/>
        </w:rPr>
        <w:t> </w:t>
      </w:r>
      <w:r>
        <w:rPr>
          <w:color w:val="231F20"/>
          <w:sz w:val="20"/>
        </w:rPr>
        <w:t>new</w:t>
      </w:r>
      <w:r>
        <w:rPr>
          <w:color w:val="231F20"/>
          <w:spacing w:val="9"/>
          <w:sz w:val="20"/>
        </w:rPr>
        <w:t> </w:t>
      </w:r>
      <w:r>
        <w:rPr>
          <w:color w:val="231F20"/>
          <w:sz w:val="20"/>
        </w:rPr>
        <w:t>name</w:t>
      </w:r>
      <w:r>
        <w:rPr>
          <w:color w:val="231F20"/>
          <w:spacing w:val="9"/>
          <w:sz w:val="20"/>
        </w:rPr>
        <w:t> </w:t>
      </w:r>
      <w:r>
        <w:rPr>
          <w:color w:val="231F20"/>
          <w:sz w:val="20"/>
        </w:rPr>
        <w:t>for</w:t>
      </w:r>
      <w:r>
        <w:rPr>
          <w:color w:val="231F20"/>
          <w:spacing w:val="9"/>
          <w:sz w:val="20"/>
        </w:rPr>
        <w:t> </w:t>
      </w:r>
      <w:r>
        <w:rPr>
          <w:color w:val="231F20"/>
          <w:sz w:val="20"/>
        </w:rPr>
        <w:t>the</w:t>
      </w:r>
      <w:r>
        <w:rPr>
          <w:color w:val="231F20"/>
          <w:spacing w:val="9"/>
          <w:sz w:val="20"/>
        </w:rPr>
        <w:t> </w:t>
      </w:r>
      <w:r>
        <w:rPr>
          <w:color w:val="231F20"/>
          <w:sz w:val="20"/>
        </w:rPr>
        <w:t>collection</w:t>
      </w:r>
      <w:r>
        <w:rPr>
          <w:color w:val="231F20"/>
          <w:spacing w:val="9"/>
          <w:sz w:val="20"/>
        </w:rPr>
        <w:t> </w:t>
      </w:r>
      <w:r>
        <w:rPr>
          <w:color w:val="231F20"/>
          <w:sz w:val="20"/>
        </w:rPr>
        <w:t>and,</w:t>
      </w:r>
      <w:r>
        <w:rPr>
          <w:color w:val="231F20"/>
          <w:spacing w:val="9"/>
          <w:sz w:val="20"/>
        </w:rPr>
        <w:t> </w:t>
      </w:r>
      <w:r>
        <w:rPr>
          <w:color w:val="231F20"/>
          <w:sz w:val="20"/>
        </w:rPr>
        <w:t>optionally,</w:t>
      </w:r>
      <w:r>
        <w:rPr>
          <w:color w:val="231F20"/>
          <w:spacing w:val="9"/>
          <w:sz w:val="20"/>
        </w:rPr>
        <w:t> </w:t>
      </w:r>
      <w:r>
        <w:rPr>
          <w:color w:val="231F20"/>
          <w:sz w:val="20"/>
        </w:rPr>
        <w:t>a</w:t>
      </w:r>
      <w:r>
        <w:rPr>
          <w:color w:val="231F20"/>
          <w:spacing w:val="9"/>
          <w:sz w:val="20"/>
        </w:rPr>
        <w:t> </w:t>
      </w:r>
      <w:r>
        <w:rPr>
          <w:color w:val="231F20"/>
          <w:sz w:val="20"/>
        </w:rPr>
        <w:t>description.</w:t>
      </w:r>
      <w:r>
        <w:rPr>
          <w:color w:val="231F20"/>
          <w:spacing w:val="9"/>
          <w:sz w:val="20"/>
        </w:rPr>
        <w:t> </w:t>
      </w:r>
      <w:r>
        <w:rPr>
          <w:color w:val="231F20"/>
          <w:spacing w:val="-5"/>
          <w:sz w:val="20"/>
        </w:rPr>
        <w:t>The</w:t>
      </w:r>
    </w:p>
    <w:p>
      <w:pPr>
        <w:spacing w:line="255" w:lineRule="exact" w:before="0"/>
        <w:ind w:left="2788" w:right="0" w:firstLine="0"/>
        <w:jc w:val="left"/>
        <w:rPr>
          <w:sz w:val="20"/>
        </w:rPr>
      </w:pPr>
      <w:r>
        <w:rPr>
          <w:rFonts w:ascii="Book Antiqua"/>
          <w:b/>
          <w:color w:val="231F20"/>
          <w:sz w:val="20"/>
        </w:rPr>
        <w:t>Monitored</w:t>
      </w:r>
      <w:r>
        <w:rPr>
          <w:rFonts w:ascii="Book Antiqua"/>
          <w:b/>
          <w:color w:val="231F20"/>
          <w:spacing w:val="8"/>
          <w:sz w:val="20"/>
        </w:rPr>
        <w:t> </w:t>
      </w:r>
      <w:r>
        <w:rPr>
          <w:rFonts w:ascii="Book Antiqua"/>
          <w:b/>
          <w:color w:val="231F20"/>
          <w:sz w:val="20"/>
        </w:rPr>
        <w:t>Application</w:t>
      </w:r>
      <w:r>
        <w:rPr>
          <w:rFonts w:ascii="Book Antiqua"/>
          <w:b/>
          <w:color w:val="231F20"/>
          <w:spacing w:val="9"/>
          <w:sz w:val="20"/>
        </w:rPr>
        <w:t> </w:t>
      </w:r>
      <w:r>
        <w:rPr>
          <w:color w:val="231F20"/>
          <w:sz w:val="20"/>
        </w:rPr>
        <w:t>and</w:t>
      </w:r>
      <w:r>
        <w:rPr>
          <w:color w:val="231F20"/>
          <w:spacing w:val="9"/>
          <w:sz w:val="20"/>
        </w:rPr>
        <w:t> </w:t>
      </w:r>
      <w:r>
        <w:rPr>
          <w:rFonts w:ascii="Book Antiqua"/>
          <w:b/>
          <w:color w:val="231F20"/>
          <w:sz w:val="20"/>
        </w:rPr>
        <w:t>Attribute</w:t>
      </w:r>
      <w:r>
        <w:rPr>
          <w:rFonts w:ascii="Book Antiqua"/>
          <w:b/>
          <w:color w:val="231F20"/>
          <w:spacing w:val="9"/>
          <w:sz w:val="20"/>
        </w:rPr>
        <w:t> </w:t>
      </w:r>
      <w:r>
        <w:rPr>
          <w:rFonts w:ascii="Book Antiqua"/>
          <w:b/>
          <w:color w:val="231F20"/>
          <w:sz w:val="20"/>
        </w:rPr>
        <w:t>Group</w:t>
      </w:r>
      <w:r>
        <w:rPr>
          <w:rFonts w:ascii="Book Antiqua"/>
          <w:b/>
          <w:color w:val="231F20"/>
          <w:spacing w:val="9"/>
          <w:sz w:val="20"/>
        </w:rPr>
        <w:t> </w:t>
      </w:r>
      <w:r>
        <w:rPr>
          <w:color w:val="231F20"/>
          <w:sz w:val="20"/>
        </w:rPr>
        <w:t>fields</w:t>
      </w:r>
      <w:r>
        <w:rPr>
          <w:color w:val="231F20"/>
          <w:spacing w:val="9"/>
          <w:sz w:val="20"/>
        </w:rPr>
        <w:t> </w:t>
      </w:r>
      <w:r>
        <w:rPr>
          <w:color w:val="231F20"/>
          <w:sz w:val="20"/>
        </w:rPr>
        <w:t>are</w:t>
      </w:r>
      <w:r>
        <w:rPr>
          <w:color w:val="231F20"/>
          <w:spacing w:val="8"/>
          <w:sz w:val="20"/>
        </w:rPr>
        <w:t> </w:t>
      </w:r>
      <w:r>
        <w:rPr>
          <w:color w:val="231F20"/>
          <w:spacing w:val="-2"/>
          <w:sz w:val="20"/>
        </w:rPr>
        <w:t>disabled.</w:t>
      </w:r>
    </w:p>
    <w:p>
      <w:pPr>
        <w:pStyle w:val="ListParagraph"/>
        <w:numPr>
          <w:ilvl w:val="0"/>
          <w:numId w:val="101"/>
        </w:numPr>
        <w:tabs>
          <w:tab w:pos="2788" w:val="left" w:leader="none"/>
        </w:tabs>
        <w:spacing w:line="213" w:lineRule="auto" w:before="52" w:after="0"/>
        <w:ind w:left="2788" w:right="177" w:hanging="316"/>
        <w:jc w:val="left"/>
        <w:rPr>
          <w:sz w:val="20"/>
        </w:rPr>
      </w:pPr>
      <w:r>
        <w:rPr>
          <w:color w:val="231F20"/>
          <w:sz w:val="20"/>
        </w:rPr>
        <w:t>Click </w:t>
      </w:r>
      <w:r>
        <w:rPr>
          <w:rFonts w:ascii="Book Antiqua"/>
          <w:b/>
          <w:color w:val="231F20"/>
          <w:sz w:val="20"/>
        </w:rPr>
        <w:t>OK </w:t>
      </w:r>
      <w:r>
        <w:rPr>
          <w:color w:val="231F20"/>
          <w:sz w:val="20"/>
        </w:rPr>
        <w:t>to open the configuration tabs for the collection, make any changes </w:t>
      </w:r>
      <w:r>
        <w:rPr>
          <w:color w:val="231F20"/>
          <w:sz w:val="20"/>
        </w:rPr>
        <w:t>to the intervals, and assign the managed systems to distribute the collection to.</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258"/>
      </w:pPr>
      <w:r>
        <w:rPr>
          <w:color w:val="231F20"/>
        </w:rPr>
        <w:t>Other than the </w:t>
      </w:r>
      <w:r>
        <w:rPr>
          <w:rFonts w:ascii="Book Antiqua"/>
          <w:b/>
          <w:color w:val="231F20"/>
        </w:rPr>
        <w:t>Collection Location</w:t>
      </w:r>
      <w:r>
        <w:rPr>
          <w:color w:val="231F20"/>
        </w:rPr>
        <w:t>, which uses what was specified for the </w:t>
      </w:r>
      <w:r>
        <w:rPr>
          <w:color w:val="231F20"/>
        </w:rPr>
        <w:t>original collection definition, configure the data collection just as you would a new</w:t>
      </w:r>
      <w:r>
        <w:rPr>
          <w:color w:val="231F20"/>
          <w:spacing w:val="40"/>
        </w:rPr>
        <w:t> </w:t>
      </w:r>
      <w:r>
        <w:rPr>
          <w:color w:val="231F20"/>
        </w:rPr>
        <w:t>collection. You can change the collection and warehouse intervals, and you must </w:t>
      </w:r>
      <w:bookmarkStart w:name="Creating a historical configuration grou" w:id="357"/>
      <w:bookmarkEnd w:id="357"/>
      <w:r>
        <w:rPr>
          <w:color w:val="231F20"/>
        </w:rPr>
        <w:t>specify</w:t>
      </w:r>
      <w:r>
        <w:rPr>
          <w:color w:val="231F20"/>
        </w:rPr>
        <w:t> the distribution.</w:t>
      </w:r>
    </w:p>
    <w:p>
      <w:pPr>
        <w:pStyle w:val="Heading3"/>
        <w:spacing w:before="215"/>
        <w:ind w:left="1574"/>
      </w:pPr>
      <w:r>
        <w:rPr>
          <w:color w:val="231F20"/>
        </w:rPr>
        <w:t>Creating</w:t>
      </w:r>
      <w:r>
        <w:rPr>
          <w:color w:val="231F20"/>
          <w:spacing w:val="4"/>
        </w:rPr>
        <w:t> </w:t>
      </w:r>
      <w:r>
        <w:rPr>
          <w:color w:val="231F20"/>
        </w:rPr>
        <w:t>a</w:t>
      </w:r>
      <w:r>
        <w:rPr>
          <w:color w:val="231F20"/>
          <w:spacing w:val="4"/>
        </w:rPr>
        <w:t> </w:t>
      </w:r>
      <w:r>
        <w:rPr>
          <w:color w:val="231F20"/>
        </w:rPr>
        <w:t>historical</w:t>
      </w:r>
      <w:r>
        <w:rPr>
          <w:color w:val="231F20"/>
          <w:spacing w:val="4"/>
        </w:rPr>
        <w:t> </w:t>
      </w:r>
      <w:r>
        <w:rPr>
          <w:color w:val="231F20"/>
        </w:rPr>
        <w:t>configuration</w:t>
      </w:r>
      <w:r>
        <w:rPr>
          <w:color w:val="231F20"/>
          <w:spacing w:val="4"/>
        </w:rPr>
        <w:t> </w:t>
      </w:r>
      <w:r>
        <w:rPr>
          <w:color w:val="231F20"/>
          <w:spacing w:val="-2"/>
        </w:rPr>
        <w:t>group</w:t>
      </w:r>
    </w:p>
    <w:p>
      <w:pPr>
        <w:pStyle w:val="BodyText"/>
        <w:spacing w:line="213" w:lineRule="auto" w:before="59"/>
        <w:ind w:left="2472" w:right="545"/>
      </w:pPr>
      <w:r>
        <w:rPr>
          <w:color w:val="231F20"/>
        </w:rPr>
        <w:t>Organize the historical collections that you have defined into named groups </w:t>
      </w:r>
      <w:r>
        <w:rPr>
          <w:color w:val="231F20"/>
        </w:rPr>
        <w:t>that can be managed collectively.</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472" w:right="274"/>
      </w:pPr>
      <w:r>
        <w:rPr>
          <w:color w:val="231F20"/>
        </w:rPr>
        <w:t>Historical configuration groups are made up of historical data collections that </w:t>
      </w:r>
      <w:r>
        <w:rPr>
          <w:color w:val="231F20"/>
        </w:rPr>
        <w:t>were defined in the History Collection Configuration window. Create the historical collections that you intend to include in the historical group before opening the Object Group editor.</w:t>
      </w:r>
    </w:p>
    <w:p>
      <w:pPr>
        <w:spacing w:after="0" w:line="213" w:lineRule="auto"/>
        <w:sectPr>
          <w:pgSz w:w="12240" w:h="15840"/>
          <w:pgMar w:header="0" w:footer="736" w:top="1180" w:bottom="920" w:left="1000" w:right="1060"/>
        </w:sectPr>
      </w:pPr>
    </w:p>
    <w:p>
      <w:pPr>
        <w:pStyle w:val="BodyText"/>
        <w:spacing w:line="213" w:lineRule="auto" w:before="85"/>
        <w:ind w:left="2232" w:right="493"/>
      </w:pPr>
      <w:r>
        <w:rPr>
          <w:color w:val="231F20"/>
        </w:rPr>
        <w:t>This feature is available when the Tivoli Enterprise Portal Server and Tivoli Enterprise Monitoring Server are at Version 6.2.2 or later and the historical data collection that you want to add to the group is configured for </w:t>
      </w:r>
      <w:r>
        <w:rPr>
          <w:rFonts w:ascii="Book Antiqua"/>
          <w:b/>
          <w:color w:val="231F20"/>
        </w:rPr>
        <w:t>Managed System (Agent) </w:t>
      </w:r>
      <w:r>
        <w:rPr>
          <w:color w:val="231F20"/>
        </w:rPr>
        <w:t>as the distribution method.</w:t>
      </w:r>
    </w:p>
    <w:p>
      <w:pPr>
        <w:pStyle w:val="Heading4"/>
        <w:spacing w:before="198"/>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7"/>
        </w:rPr>
        <w:t> </w:t>
      </w:r>
      <w:r>
        <w:rPr>
          <w:color w:val="231F20"/>
        </w:rPr>
        <w:t>these</w:t>
      </w:r>
      <w:r>
        <w:rPr>
          <w:color w:val="231F20"/>
          <w:spacing w:val="8"/>
        </w:rPr>
        <w:t> </w:t>
      </w:r>
      <w:r>
        <w:rPr>
          <w:color w:val="231F20"/>
        </w:rPr>
        <w:t>steps</w:t>
      </w:r>
      <w:r>
        <w:rPr>
          <w:color w:val="231F20"/>
          <w:spacing w:val="8"/>
        </w:rPr>
        <w:t> </w:t>
      </w:r>
      <w:r>
        <w:rPr>
          <w:color w:val="231F20"/>
        </w:rPr>
        <w:t>to</w:t>
      </w:r>
      <w:r>
        <w:rPr>
          <w:color w:val="231F20"/>
          <w:spacing w:val="8"/>
        </w:rPr>
        <w:t> </w:t>
      </w:r>
      <w:r>
        <w:rPr>
          <w:color w:val="231F20"/>
        </w:rPr>
        <w:t>create</w:t>
      </w:r>
      <w:r>
        <w:rPr>
          <w:color w:val="231F20"/>
          <w:spacing w:val="8"/>
        </w:rPr>
        <w:t> </w:t>
      </w:r>
      <w:r>
        <w:rPr>
          <w:color w:val="231F20"/>
        </w:rPr>
        <w:t>a</w:t>
      </w:r>
      <w:r>
        <w:rPr>
          <w:color w:val="231F20"/>
          <w:spacing w:val="8"/>
        </w:rPr>
        <w:t> </w:t>
      </w:r>
      <w:r>
        <w:rPr>
          <w:color w:val="231F20"/>
        </w:rPr>
        <w:t>historical</w:t>
      </w:r>
      <w:r>
        <w:rPr>
          <w:color w:val="231F20"/>
          <w:spacing w:val="8"/>
        </w:rPr>
        <w:t> </w:t>
      </w:r>
      <w:r>
        <w:rPr>
          <w:color w:val="231F20"/>
        </w:rPr>
        <w:t>configuration</w:t>
      </w:r>
      <w:r>
        <w:rPr>
          <w:color w:val="231F20"/>
          <w:spacing w:val="8"/>
        </w:rPr>
        <w:t> </w:t>
      </w:r>
      <w:r>
        <w:rPr>
          <w:color w:val="231F20"/>
          <w:spacing w:val="-2"/>
        </w:rPr>
        <w:t>group:</w:t>
      </w:r>
    </w:p>
    <w:p>
      <w:pPr>
        <w:pStyle w:val="Heading4"/>
        <w:spacing w:before="194"/>
      </w:pPr>
      <w:r>
        <w:rPr>
          <w:color w:val="231F20"/>
          <w:spacing w:val="-2"/>
        </w:rPr>
        <w:t>Procedure</w:t>
      </w:r>
    </w:p>
    <w:p>
      <w:pPr>
        <w:pStyle w:val="ListParagraph"/>
        <w:numPr>
          <w:ilvl w:val="0"/>
          <w:numId w:val="102"/>
        </w:numPr>
        <w:tabs>
          <w:tab w:pos="2547" w:val="left" w:leader="none"/>
        </w:tabs>
        <w:spacing w:line="240" w:lineRule="auto" w:before="39" w:after="0"/>
        <w:ind w:left="254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Object</w:t>
      </w:r>
      <w:r>
        <w:rPr>
          <w:color w:val="231F20"/>
          <w:spacing w:val="11"/>
          <w:sz w:val="20"/>
        </w:rPr>
        <w:t> </w:t>
      </w:r>
      <w:r>
        <w:rPr>
          <w:color w:val="231F20"/>
          <w:sz w:val="20"/>
        </w:rPr>
        <w:t>group</w:t>
      </w:r>
      <w:r>
        <w:rPr>
          <w:color w:val="231F20"/>
          <w:spacing w:val="10"/>
          <w:sz w:val="20"/>
        </w:rPr>
        <w:t> </w:t>
      </w:r>
      <w:r>
        <w:rPr>
          <w:color w:val="231F20"/>
          <w:sz w:val="20"/>
        </w:rPr>
        <w:t>editor</w:t>
      </w:r>
      <w:r>
        <w:rPr>
          <w:color w:val="231F20"/>
          <w:spacing w:val="11"/>
          <w:sz w:val="20"/>
        </w:rPr>
        <w:t> </w:t>
      </w:r>
      <w:r>
        <w:rPr>
          <w:color w:val="231F20"/>
          <w:sz w:val="20"/>
        </w:rPr>
        <w:t>from</w:t>
      </w:r>
      <w:r>
        <w:rPr>
          <w:color w:val="231F20"/>
          <w:spacing w:val="11"/>
          <w:sz w:val="20"/>
        </w:rPr>
        <w:t> </w:t>
      </w:r>
      <w:r>
        <w:rPr>
          <w:color w:val="231F20"/>
          <w:sz w:val="20"/>
        </w:rPr>
        <w:t>either</w:t>
      </w:r>
      <w:r>
        <w:rPr>
          <w:color w:val="231F20"/>
          <w:spacing w:val="10"/>
          <w:sz w:val="20"/>
        </w:rPr>
        <w:t> </w:t>
      </w:r>
      <w:r>
        <w:rPr>
          <w:color w:val="231F20"/>
          <w:sz w:val="20"/>
        </w:rPr>
        <w:t>of</w:t>
      </w:r>
      <w:r>
        <w:rPr>
          <w:color w:val="231F20"/>
          <w:spacing w:val="11"/>
          <w:sz w:val="20"/>
        </w:rPr>
        <w:t> </w:t>
      </w:r>
      <w:r>
        <w:rPr>
          <w:color w:val="231F20"/>
          <w:sz w:val="20"/>
        </w:rPr>
        <w:t>these</w:t>
      </w:r>
      <w:r>
        <w:rPr>
          <w:color w:val="231F20"/>
          <w:spacing w:val="11"/>
          <w:sz w:val="20"/>
        </w:rPr>
        <w:t> </w:t>
      </w:r>
      <w:r>
        <w:rPr>
          <w:color w:val="231F20"/>
          <w:spacing w:val="-2"/>
          <w:sz w:val="20"/>
        </w:rPr>
        <w:t>locations:</w:t>
      </w:r>
    </w:p>
    <w:p>
      <w:pPr>
        <w:spacing w:before="29"/>
        <w:ind w:left="2548" w:right="0" w:firstLine="0"/>
        <w:jc w:val="left"/>
        <w:rPr>
          <w:sz w:val="20"/>
        </w:rPr>
      </w:pPr>
      <w:r>
        <w:rPr>
          <w:rFonts w:ascii="Futura MdCn BT"/>
          <w:color w:val="231F20"/>
          <w:sz w:val="20"/>
        </w:rPr>
        <w:t>v</w:t>
      </w:r>
      <w:r>
        <w:rPr>
          <w:rFonts w:ascii="Futura MdCn BT"/>
          <w:color w:val="231F20"/>
          <w:spacing w:val="30"/>
          <w:sz w:val="20"/>
        </w:rPr>
        <w:t>  </w:t>
      </w:r>
      <w:r>
        <w:rPr>
          <w:color w:val="231F20"/>
          <w:sz w:val="20"/>
        </w:rPr>
        <w:t>Click</w:t>
      </w:r>
      <w:r>
        <w:rPr>
          <w:color w:val="231F20"/>
          <w:spacing w:val="13"/>
          <w:sz w:val="20"/>
        </w:rPr>
        <w:t> </w:t>
      </w:r>
      <w:r>
        <w:rPr>
          <w:color w:val="231F20"/>
          <w:spacing w:val="16"/>
          <w:position w:val="-1"/>
          <w:sz w:val="20"/>
        </w:rPr>
        <w:drawing>
          <wp:inline distT="0" distB="0" distL="0" distR="0">
            <wp:extent cx="95250" cy="95250"/>
            <wp:effectExtent l="0" t="0" r="0" b="0"/>
            <wp:docPr id="1916" name="Image 1916"/>
            <wp:cNvGraphicFramePr>
              <a:graphicFrameLocks/>
            </wp:cNvGraphicFramePr>
            <a:graphic>
              <a:graphicData uri="http://schemas.openxmlformats.org/drawingml/2006/picture">
                <pic:pic>
                  <pic:nvPicPr>
                    <pic:cNvPr id="1916" name="Image 1916"/>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z w:val="20"/>
        </w:rPr>
        <w:t>editor</w:t>
      </w:r>
      <w:r>
        <w:rPr>
          <w:color w:val="231F20"/>
          <w:sz w:val="20"/>
        </w:rPr>
        <w:t>,</w:t>
      </w:r>
      <w:r>
        <w:rPr>
          <w:color w:val="231F20"/>
          <w:spacing w:val="12"/>
          <w:sz w:val="20"/>
        </w:rPr>
        <w:t> </w:t>
      </w:r>
      <w:r>
        <w:rPr>
          <w:color w:val="231F20"/>
          <w:sz w:val="20"/>
        </w:rPr>
        <w:t>then</w:t>
      </w:r>
      <w:r>
        <w:rPr>
          <w:color w:val="231F20"/>
          <w:spacing w:val="12"/>
          <w:sz w:val="20"/>
        </w:rPr>
        <w:t> </w:t>
      </w:r>
      <w:r>
        <w:rPr>
          <w:color w:val="231F20"/>
          <w:sz w:val="20"/>
        </w:rPr>
        <w:t>click</w:t>
      </w:r>
      <w:r>
        <w:rPr>
          <w:color w:val="231F20"/>
          <w:spacing w:val="12"/>
          <w:sz w:val="20"/>
        </w:rPr>
        <w:t> </w:t>
      </w:r>
      <w:r>
        <w:rPr>
          <w:color w:val="231F20"/>
          <w:spacing w:val="15"/>
          <w:position w:val="-1"/>
          <w:sz w:val="20"/>
        </w:rPr>
        <w:drawing>
          <wp:inline distT="0" distB="0" distL="0" distR="0">
            <wp:extent cx="101600" cy="95250"/>
            <wp:effectExtent l="0" t="0" r="0" b="0"/>
            <wp:docPr id="1917" name="Image 1917"/>
            <wp:cNvGraphicFramePr>
              <a:graphicFrameLocks/>
            </wp:cNvGraphicFramePr>
            <a:graphic>
              <a:graphicData uri="http://schemas.openxmlformats.org/drawingml/2006/picture">
                <pic:pic>
                  <pic:nvPicPr>
                    <pic:cNvPr id="1917" name="Image 1917"/>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Historical</w:t>
      </w:r>
      <w:r>
        <w:rPr>
          <w:rFonts w:ascii="Book Antiqua"/>
          <w:b/>
          <w:color w:val="231F20"/>
          <w:spacing w:val="12"/>
          <w:sz w:val="20"/>
        </w:rPr>
        <w:t> </w:t>
      </w:r>
      <w:r>
        <w:rPr>
          <w:rFonts w:ascii="Book Antiqua"/>
          <w:b/>
          <w:color w:val="231F20"/>
          <w:spacing w:val="-2"/>
          <w:sz w:val="20"/>
        </w:rPr>
        <w:t>configurations</w:t>
      </w:r>
      <w:r>
        <w:rPr>
          <w:color w:val="231F20"/>
          <w:spacing w:val="-2"/>
          <w:sz w:val="20"/>
        </w:rPr>
        <w:t>.</w:t>
      </w:r>
    </w:p>
    <w:p>
      <w:pPr>
        <w:pStyle w:val="BodyText"/>
        <w:spacing w:line="213" w:lineRule="auto" w:before="53"/>
        <w:ind w:left="2764" w:right="525" w:hanging="216"/>
        <w:jc w:val="both"/>
      </w:pPr>
      <w:r>
        <w:rPr>
          <w:rFonts w:ascii="Futura MdCn BT"/>
          <w:color w:val="231F20"/>
        </w:rPr>
        <w:t>v</w:t>
      </w:r>
      <w:r>
        <w:rPr>
          <w:rFonts w:ascii="Futura MdCn BT"/>
          <w:color w:val="231F20"/>
          <w:spacing w:val="40"/>
        </w:rPr>
        <w:t> </w:t>
      </w:r>
      <w:r>
        <w:rPr>
          <w:color w:val="231F20"/>
        </w:rPr>
        <w:t>If the History Collection Configuration window, is not open, click </w:t>
      </w:r>
      <w:r>
        <w:rPr>
          <w:color w:val="231F20"/>
          <w:spacing w:val="14"/>
          <w:position w:val="-1"/>
        </w:rPr>
        <w:drawing>
          <wp:inline distT="0" distB="0" distL="0" distR="0">
            <wp:extent cx="101600" cy="95250"/>
            <wp:effectExtent l="0" t="0" r="0" b="0"/>
            <wp:docPr id="1918" name="Image 1918"/>
            <wp:cNvGraphicFramePr>
              <a:graphicFrameLocks/>
            </wp:cNvGraphicFramePr>
            <a:graphic>
              <a:graphicData uri="http://schemas.openxmlformats.org/drawingml/2006/picture">
                <pic:pic>
                  <pic:nvPicPr>
                    <pic:cNvPr id="1918" name="Image 1918"/>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4"/>
          <w:position w:val="-1"/>
        </w:rPr>
      </w:r>
      <w:r>
        <w:rPr>
          <w:rFonts w:ascii="Times New Roman"/>
          <w:color w:val="231F20"/>
          <w:spacing w:val="-13"/>
        </w:rPr>
        <w:t> </w:t>
      </w:r>
      <w:r>
        <w:rPr>
          <w:rFonts w:ascii="Book Antiqua"/>
          <w:b/>
          <w:color w:val="231F20"/>
        </w:rPr>
        <w:t>History Configuration</w:t>
      </w:r>
      <w:r>
        <w:rPr>
          <w:color w:val="231F20"/>
        </w:rPr>
        <w:t>. Click a </w:t>
      </w:r>
      <w:r>
        <w:rPr>
          <w:color w:val="231F20"/>
          <w:spacing w:val="-25"/>
          <w:position w:val="-1"/>
        </w:rPr>
        <w:drawing>
          <wp:inline distT="0" distB="0" distL="0" distR="0">
            <wp:extent cx="95250" cy="95250"/>
            <wp:effectExtent l="0" t="0" r="0" b="0"/>
            <wp:docPr id="1919" name="Image 1919"/>
            <wp:cNvGraphicFramePr>
              <a:graphicFrameLocks/>
            </wp:cNvGraphicFramePr>
            <a:graphic>
              <a:graphicData uri="http://schemas.openxmlformats.org/drawingml/2006/picture">
                <pic:pic>
                  <pic:nvPicPr>
                    <pic:cNvPr id="1919" name="Image 191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22"/>
        </w:rPr>
        <w:t> </w:t>
      </w:r>
      <w:r>
        <w:rPr>
          <w:color w:val="231F20"/>
        </w:rPr>
        <w:t>monitored application, click an </w:t>
      </w:r>
      <w:r>
        <w:rPr>
          <w:color w:val="231F20"/>
          <w:spacing w:val="15"/>
          <w:position w:val="-1"/>
        </w:rPr>
        <w:drawing>
          <wp:inline distT="0" distB="0" distL="0" distR="0">
            <wp:extent cx="101600" cy="101600"/>
            <wp:effectExtent l="0" t="0" r="0" b="0"/>
            <wp:docPr id="1920" name="Image 1920"/>
            <wp:cNvGraphicFramePr>
              <a:graphicFrameLocks/>
            </wp:cNvGraphicFramePr>
            <a:graphic>
              <a:graphicData uri="http://schemas.openxmlformats.org/drawingml/2006/picture">
                <pic:pic>
                  <pic:nvPicPr>
                    <pic:cNvPr id="1920" name="Image 1920"/>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color w:val="231F20"/>
        </w:rPr>
        <w:t>undistributed or </w:t>
      </w:r>
      <w:r>
        <w:rPr>
          <w:color w:val="231F20"/>
          <w:position w:val="-1"/>
        </w:rPr>
        <w:drawing>
          <wp:inline distT="0" distB="0" distL="0" distR="0">
            <wp:extent cx="95250" cy="95250"/>
            <wp:effectExtent l="0" t="0" r="0" b="0"/>
            <wp:docPr id="1921" name="Image 1921"/>
            <wp:cNvGraphicFramePr>
              <a:graphicFrameLocks/>
            </wp:cNvGraphicFramePr>
            <a:graphic>
              <a:graphicData uri="http://schemas.openxmlformats.org/drawingml/2006/picture">
                <pic:pic>
                  <pic:nvPicPr>
                    <pic:cNvPr id="1921" name="Image 1921"/>
                    <pic:cNvPicPr/>
                  </pic:nvPicPr>
                  <pic:blipFill>
                    <a:blip r:embed="rId353"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rPr>
        <w:t> </w:t>
      </w:r>
      <w:r>
        <w:rPr>
          <w:color w:val="231F20"/>
        </w:rPr>
        <w:t>distributed historical collection definition, then click </w:t>
      </w:r>
      <w:r>
        <w:rPr>
          <w:rFonts w:ascii="Book Antiqua"/>
          <w:b/>
          <w:color w:val="231F20"/>
        </w:rPr>
        <w:t>Group</w:t>
      </w:r>
      <w:r>
        <w:rPr>
          <w:color w:val="231F20"/>
        </w:rPr>
        <w:t>.</w:t>
      </w:r>
    </w:p>
    <w:p>
      <w:pPr>
        <w:pStyle w:val="ListParagraph"/>
        <w:numPr>
          <w:ilvl w:val="0"/>
          <w:numId w:val="102"/>
        </w:numPr>
        <w:tabs>
          <w:tab w:pos="2547" w:val="left" w:leader="none"/>
        </w:tabs>
        <w:spacing w:line="240" w:lineRule="auto" w:before="35" w:after="0"/>
        <w:ind w:left="2547" w:right="0" w:hanging="315"/>
        <w:jc w:val="left"/>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1922" name="Image 1922"/>
            <wp:cNvGraphicFramePr>
              <a:graphicFrameLocks/>
            </wp:cNvGraphicFramePr>
            <a:graphic>
              <a:graphicData uri="http://schemas.openxmlformats.org/drawingml/2006/picture">
                <pic:pic>
                  <pic:nvPicPr>
                    <pic:cNvPr id="1922" name="Image 1922"/>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Create</w:t>
      </w:r>
      <w:r>
        <w:rPr>
          <w:rFonts w:ascii="Book Antiqua"/>
          <w:b/>
          <w:color w:val="231F20"/>
          <w:spacing w:val="13"/>
          <w:sz w:val="20"/>
        </w:rPr>
        <w:t> </w:t>
      </w:r>
      <w:r>
        <w:rPr>
          <w:rFonts w:ascii="Book Antiqua"/>
          <w:b/>
          <w:color w:val="231F20"/>
          <w:sz w:val="20"/>
        </w:rPr>
        <w:t>a</w:t>
      </w:r>
      <w:r>
        <w:rPr>
          <w:rFonts w:ascii="Book Antiqua"/>
          <w:b/>
          <w:color w:val="231F20"/>
          <w:spacing w:val="12"/>
          <w:sz w:val="20"/>
        </w:rPr>
        <w:t> </w:t>
      </w:r>
      <w:r>
        <w:rPr>
          <w:rFonts w:ascii="Book Antiqua"/>
          <w:b/>
          <w:color w:val="231F20"/>
          <w:sz w:val="20"/>
        </w:rPr>
        <w:t>new</w:t>
      </w:r>
      <w:r>
        <w:rPr>
          <w:rFonts w:ascii="Book Antiqua"/>
          <w:b/>
          <w:color w:val="231F20"/>
          <w:spacing w:val="13"/>
          <w:sz w:val="20"/>
        </w:rPr>
        <w:t> </w:t>
      </w:r>
      <w:r>
        <w:rPr>
          <w:rFonts w:ascii="Book Antiqua"/>
          <w:b/>
          <w:color w:val="231F20"/>
          <w:sz w:val="20"/>
        </w:rPr>
        <w:t>object</w:t>
      </w:r>
      <w:r>
        <w:rPr>
          <w:rFonts w:ascii="Book Antiqua"/>
          <w:b/>
          <w:color w:val="231F20"/>
          <w:spacing w:val="13"/>
          <w:sz w:val="20"/>
        </w:rPr>
        <w:t> </w:t>
      </w:r>
      <w:r>
        <w:rPr>
          <w:rFonts w:ascii="Book Antiqua"/>
          <w:b/>
          <w:color w:val="231F20"/>
          <w:spacing w:val="-2"/>
          <w:sz w:val="20"/>
        </w:rPr>
        <w:t>group</w:t>
      </w:r>
      <w:r>
        <w:rPr>
          <w:color w:val="231F20"/>
          <w:spacing w:val="-2"/>
          <w:sz w:val="20"/>
        </w:rPr>
        <w:t>.</w:t>
      </w:r>
    </w:p>
    <w:p>
      <w:pPr>
        <w:pStyle w:val="ListParagraph"/>
        <w:numPr>
          <w:ilvl w:val="0"/>
          <w:numId w:val="102"/>
        </w:numPr>
        <w:tabs>
          <w:tab w:pos="2548" w:val="left" w:leader="none"/>
        </w:tabs>
        <w:spacing w:line="213" w:lineRule="auto" w:before="52" w:after="0"/>
        <w:ind w:left="2548" w:right="668" w:hanging="316"/>
        <w:jc w:val="left"/>
        <w:rPr>
          <w:sz w:val="20"/>
        </w:rPr>
      </w:pPr>
      <w:r>
        <w:rPr>
          <w:color w:val="231F20"/>
          <w:sz w:val="20"/>
        </w:rPr>
        <w:t>Type a name for the historical group and, optionally, a description, then click </w:t>
      </w:r>
      <w:r>
        <w:rPr>
          <w:rFonts w:ascii="Book Antiqua"/>
          <w:b/>
          <w:color w:val="231F20"/>
          <w:sz w:val="20"/>
        </w:rPr>
        <w:t>OK</w:t>
      </w:r>
      <w:r>
        <w:rPr>
          <w:color w:val="231F20"/>
          <w:sz w:val="20"/>
        </w:rPr>
        <w:t>. The new historical configuration group is displayed in the </w:t>
      </w:r>
      <w:r>
        <w:rPr>
          <w:color w:val="231F20"/>
          <w:spacing w:val="15"/>
          <w:position w:val="-1"/>
          <w:sz w:val="20"/>
        </w:rPr>
        <w:drawing>
          <wp:inline distT="0" distB="0" distL="0" distR="0">
            <wp:extent cx="101600" cy="95250"/>
            <wp:effectExtent l="0" t="0" r="0" b="0"/>
            <wp:docPr id="1923" name="Image 1923"/>
            <wp:cNvGraphicFramePr>
              <a:graphicFrameLocks/>
            </wp:cNvGraphicFramePr>
            <a:graphic>
              <a:graphicData uri="http://schemas.openxmlformats.org/drawingml/2006/picture">
                <pic:pic>
                  <pic:nvPicPr>
                    <pic:cNvPr id="1923" name="Image 1923"/>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4"/>
          <w:sz w:val="20"/>
        </w:rPr>
        <w:t> </w:t>
      </w:r>
      <w:r>
        <w:rPr>
          <w:rFonts w:ascii="Book Antiqua"/>
          <w:b/>
          <w:color w:val="231F20"/>
          <w:sz w:val="20"/>
        </w:rPr>
        <w:t>Historical configurations </w:t>
      </w:r>
      <w:r>
        <w:rPr>
          <w:color w:val="231F20"/>
          <w:sz w:val="20"/>
        </w:rPr>
        <w:t>branch.</w:t>
      </w:r>
    </w:p>
    <w:p>
      <w:pPr>
        <w:pStyle w:val="ListParagraph"/>
        <w:numPr>
          <w:ilvl w:val="0"/>
          <w:numId w:val="102"/>
        </w:numPr>
        <w:tabs>
          <w:tab w:pos="2548" w:val="left" w:leader="none"/>
        </w:tabs>
        <w:spacing w:line="213" w:lineRule="auto" w:before="58" w:after="0"/>
        <w:ind w:left="2548" w:right="599" w:hanging="316"/>
        <w:jc w:val="left"/>
        <w:rPr>
          <w:sz w:val="20"/>
        </w:rPr>
      </w:pPr>
      <w:r>
        <w:rPr>
          <w:color w:val="231F20"/>
          <w:sz w:val="20"/>
        </w:rPr>
        <w:t>In the </w:t>
      </w:r>
      <w:r>
        <w:rPr>
          <w:rFonts w:ascii="Book Antiqua" w:hAnsi="Book Antiqua"/>
          <w:b/>
          <w:color w:val="231F20"/>
          <w:sz w:val="20"/>
        </w:rPr>
        <w:t>Members </w:t>
      </w:r>
      <w:r>
        <w:rPr>
          <w:color w:val="231F20"/>
          <w:sz w:val="20"/>
        </w:rPr>
        <w:t>tab, select a historical collection from the list of </w:t>
      </w:r>
      <w:r>
        <w:rPr>
          <w:rFonts w:ascii="Book Antiqua" w:hAnsi="Book Antiqua"/>
          <w:b/>
          <w:color w:val="231F20"/>
          <w:sz w:val="20"/>
        </w:rPr>
        <w:t>Available Members </w:t>
      </w:r>
      <w:r>
        <w:rPr>
          <w:color w:val="231F20"/>
          <w:sz w:val="20"/>
        </w:rPr>
        <w:t>and</w:t>
      </w:r>
      <w:r>
        <w:rPr>
          <w:color w:val="231F20"/>
          <w:spacing w:val="40"/>
          <w:sz w:val="20"/>
        </w:rPr>
        <w:t> </w:t>
      </w:r>
      <w:r>
        <w:rPr>
          <w:color w:val="231F20"/>
          <w:spacing w:val="16"/>
          <w:position w:val="1"/>
          <w:sz w:val="20"/>
        </w:rPr>
        <w:drawing>
          <wp:inline distT="0" distB="0" distL="0" distR="0">
            <wp:extent cx="44450" cy="76200"/>
            <wp:effectExtent l="0" t="0" r="0" b="0"/>
            <wp:docPr id="1924" name="Image 1924"/>
            <wp:cNvGraphicFramePr>
              <a:graphicFrameLocks/>
            </wp:cNvGraphicFramePr>
            <a:graphic>
              <a:graphicData uri="http://schemas.openxmlformats.org/drawingml/2006/picture">
                <pic:pic>
                  <pic:nvPicPr>
                    <pic:cNvPr id="1924" name="Image 192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hAnsi="Times New Roman"/>
          <w:color w:val="231F20"/>
          <w:spacing w:val="40"/>
          <w:sz w:val="20"/>
        </w:rPr>
        <w:t> </w:t>
      </w:r>
      <w:r>
        <w:rPr>
          <w:color w:val="231F20"/>
          <w:sz w:val="20"/>
        </w:rPr>
        <w:t>move it to the </w:t>
      </w:r>
      <w:r>
        <w:rPr>
          <w:rFonts w:ascii="Book Antiqua" w:hAnsi="Book Antiqua"/>
          <w:b/>
          <w:color w:val="231F20"/>
          <w:sz w:val="20"/>
        </w:rPr>
        <w:t>Assigned Members </w:t>
      </w:r>
      <w:r>
        <w:rPr>
          <w:color w:val="231F20"/>
          <w:sz w:val="20"/>
        </w:rPr>
        <w:t>list. You can select</w:t>
      </w:r>
      <w:r>
        <w:rPr>
          <w:color w:val="231F20"/>
          <w:spacing w:val="80"/>
          <w:sz w:val="20"/>
        </w:rPr>
        <w:t> </w:t>
      </w:r>
      <w:r>
        <w:rPr>
          <w:color w:val="231F20"/>
          <w:sz w:val="20"/>
        </w:rPr>
        <w:t>multiple collection definitions for an attribute group by holding down Ctrl while clicking; or use Shift+click to select all entries between this and the </w:t>
      </w:r>
      <w:r>
        <w:rPr>
          <w:color w:val="231F20"/>
          <w:sz w:val="20"/>
        </w:rPr>
        <w:t>first selection. Historical collections that are configured for “Managing System (TEMS)” distribution are not displayed in the list.</w:t>
      </w:r>
    </w:p>
    <w:p>
      <w:pPr>
        <w:pStyle w:val="ListParagraph"/>
        <w:numPr>
          <w:ilvl w:val="0"/>
          <w:numId w:val="102"/>
        </w:numPr>
        <w:tabs>
          <w:tab w:pos="2548" w:val="left" w:leader="none"/>
        </w:tabs>
        <w:spacing w:line="213" w:lineRule="auto" w:before="56" w:after="0"/>
        <w:ind w:left="2548" w:right="539" w:hanging="316"/>
        <w:jc w:val="left"/>
        <w:rPr>
          <w:sz w:val="20"/>
        </w:rPr>
      </w:pPr>
      <w:r>
        <w:rPr>
          <w:color w:val="231F20"/>
          <w:sz w:val="20"/>
        </w:rPr>
        <w:t>If you have historical configuration groups available and want to assign a</w:t>
      </w:r>
      <w:r>
        <w:rPr>
          <w:color w:val="231F20"/>
          <w:spacing w:val="40"/>
          <w:sz w:val="20"/>
        </w:rPr>
        <w:t> </w:t>
      </w:r>
      <w:r>
        <w:rPr>
          <w:color w:val="231F20"/>
          <w:sz w:val="20"/>
        </w:rPr>
        <w:t>group</w:t>
      </w:r>
      <w:r>
        <w:rPr>
          <w:color w:val="231F20"/>
          <w:spacing w:val="13"/>
          <w:sz w:val="20"/>
        </w:rPr>
        <w:t> </w:t>
      </w:r>
      <w:r>
        <w:rPr>
          <w:color w:val="231F20"/>
          <w:sz w:val="20"/>
        </w:rPr>
        <w:t>to</w:t>
      </w:r>
      <w:r>
        <w:rPr>
          <w:color w:val="231F20"/>
          <w:spacing w:val="13"/>
          <w:sz w:val="20"/>
        </w:rPr>
        <w:t> </w:t>
      </w:r>
      <w:r>
        <w:rPr>
          <w:color w:val="231F20"/>
          <w:sz w:val="20"/>
        </w:rPr>
        <w:t>this</w:t>
      </w:r>
      <w:r>
        <w:rPr>
          <w:color w:val="231F20"/>
          <w:spacing w:val="13"/>
          <w:sz w:val="20"/>
        </w:rPr>
        <w:t> </w:t>
      </w:r>
      <w:r>
        <w:rPr>
          <w:color w:val="231F20"/>
          <w:sz w:val="20"/>
        </w:rPr>
        <w:t>one,</w:t>
      </w:r>
      <w:r>
        <w:rPr>
          <w:color w:val="231F20"/>
          <w:spacing w:val="13"/>
          <w:sz w:val="20"/>
        </w:rPr>
        <w:t> </w:t>
      </w:r>
      <w:r>
        <w:rPr>
          <w:color w:val="231F20"/>
          <w:sz w:val="20"/>
        </w:rPr>
        <w:t>click</w:t>
      </w:r>
      <w:r>
        <w:rPr>
          <w:color w:val="231F20"/>
          <w:spacing w:val="13"/>
          <w:sz w:val="20"/>
        </w:rPr>
        <w:t> </w:t>
      </w:r>
      <w:r>
        <w:rPr>
          <w:color w:val="231F20"/>
          <w:sz w:val="20"/>
        </w:rPr>
        <w:t>the</w:t>
      </w:r>
      <w:r>
        <w:rPr>
          <w:color w:val="231F20"/>
          <w:spacing w:val="13"/>
          <w:sz w:val="20"/>
        </w:rPr>
        <w:t> </w:t>
      </w:r>
      <w:r>
        <w:rPr>
          <w:rFonts w:ascii="Book Antiqua"/>
          <w:b/>
          <w:color w:val="231F20"/>
          <w:sz w:val="20"/>
        </w:rPr>
        <w:t>Member</w:t>
      </w:r>
      <w:r>
        <w:rPr>
          <w:rFonts w:ascii="Book Antiqua"/>
          <w:b/>
          <w:color w:val="231F20"/>
          <w:spacing w:val="13"/>
          <w:sz w:val="20"/>
        </w:rPr>
        <w:t> </w:t>
      </w:r>
      <w:r>
        <w:rPr>
          <w:rFonts w:ascii="Book Antiqua"/>
          <w:b/>
          <w:color w:val="231F20"/>
          <w:sz w:val="20"/>
        </w:rPr>
        <w:t>of</w:t>
      </w:r>
      <w:r>
        <w:rPr>
          <w:rFonts w:ascii="Book Antiqua"/>
          <w:b/>
          <w:color w:val="231F20"/>
          <w:spacing w:val="13"/>
          <w:sz w:val="20"/>
        </w:rPr>
        <w:t> </w:t>
      </w:r>
      <w:r>
        <w:rPr>
          <w:color w:val="231F20"/>
          <w:sz w:val="20"/>
        </w:rPr>
        <w:t>tab,</w:t>
      </w:r>
      <w:r>
        <w:rPr>
          <w:color w:val="231F20"/>
          <w:spacing w:val="13"/>
          <w:sz w:val="20"/>
        </w:rPr>
        <w:t> </w:t>
      </w:r>
      <w:r>
        <w:rPr>
          <w:color w:val="231F20"/>
          <w:sz w:val="20"/>
        </w:rPr>
        <w:t>then</w:t>
      </w:r>
      <w:r>
        <w:rPr>
          <w:color w:val="231F20"/>
          <w:spacing w:val="13"/>
          <w:sz w:val="20"/>
        </w:rPr>
        <w:t> </w:t>
      </w:r>
      <w:r>
        <w:rPr>
          <w:color w:val="231F20"/>
          <w:sz w:val="20"/>
        </w:rPr>
        <w:t>select</w:t>
      </w:r>
      <w:r>
        <w:rPr>
          <w:color w:val="231F20"/>
          <w:spacing w:val="13"/>
          <w:sz w:val="20"/>
        </w:rPr>
        <w:t> </w:t>
      </w:r>
      <w:r>
        <w:rPr>
          <w:color w:val="231F20"/>
          <w:sz w:val="20"/>
        </w:rPr>
        <w:t>a</w:t>
      </w:r>
      <w:r>
        <w:rPr>
          <w:color w:val="231F20"/>
          <w:spacing w:val="13"/>
          <w:sz w:val="20"/>
        </w:rPr>
        <w:t> </w:t>
      </w:r>
      <w:r>
        <w:rPr>
          <w:color w:val="231F20"/>
          <w:sz w:val="20"/>
        </w:rPr>
        <w:t>group</w:t>
      </w:r>
      <w:r>
        <w:rPr>
          <w:color w:val="231F20"/>
          <w:spacing w:val="13"/>
          <w:sz w:val="20"/>
        </w:rPr>
        <w:t> </w:t>
      </w:r>
      <w:r>
        <w:rPr>
          <w:color w:val="231F20"/>
          <w:sz w:val="20"/>
        </w:rPr>
        <w:t>and</w:t>
      </w:r>
      <w:r>
        <w:rPr>
          <w:color w:val="231F20"/>
          <w:spacing w:val="40"/>
          <w:sz w:val="20"/>
        </w:rPr>
        <w:t> </w:t>
      </w:r>
      <w:r>
        <w:rPr>
          <w:color w:val="231F20"/>
          <w:spacing w:val="14"/>
          <w:position w:val="1"/>
          <w:sz w:val="20"/>
        </w:rPr>
        <w:drawing>
          <wp:inline distT="0" distB="0" distL="0" distR="0">
            <wp:extent cx="44450" cy="76200"/>
            <wp:effectExtent l="0" t="0" r="0" b="0"/>
            <wp:docPr id="1925" name="Image 1925"/>
            <wp:cNvGraphicFramePr>
              <a:graphicFrameLocks/>
            </wp:cNvGraphicFramePr>
            <a:graphic>
              <a:graphicData uri="http://schemas.openxmlformats.org/drawingml/2006/picture">
                <pic:pic>
                  <pic:nvPicPr>
                    <pic:cNvPr id="1925" name="Image 1925"/>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move</w:t>
      </w:r>
      <w:r>
        <w:rPr>
          <w:color w:val="231F20"/>
          <w:spacing w:val="13"/>
          <w:sz w:val="20"/>
        </w:rPr>
        <w:t> </w:t>
      </w:r>
      <w:r>
        <w:rPr>
          <w:color w:val="231F20"/>
          <w:sz w:val="20"/>
        </w:rPr>
        <w:t>it to the </w:t>
      </w:r>
      <w:r>
        <w:rPr>
          <w:rFonts w:ascii="Book Antiqua"/>
          <w:b/>
          <w:color w:val="231F20"/>
          <w:sz w:val="20"/>
        </w:rPr>
        <w:t>Assigned Members Of </w:t>
      </w:r>
      <w:r>
        <w:rPr>
          <w:color w:val="231F20"/>
          <w:sz w:val="20"/>
        </w:rPr>
        <w:t>list.</w:t>
      </w:r>
    </w:p>
    <w:p>
      <w:pPr>
        <w:pStyle w:val="ListParagraph"/>
        <w:numPr>
          <w:ilvl w:val="0"/>
          <w:numId w:val="102"/>
        </w:numPr>
        <w:tabs>
          <w:tab w:pos="2548" w:val="left" w:leader="none"/>
        </w:tabs>
        <w:spacing w:line="213" w:lineRule="auto" w:before="58" w:after="0"/>
        <w:ind w:left="2548" w:right="456" w:hanging="316"/>
        <w:jc w:val="left"/>
        <w:rPr>
          <w:sz w:val="20"/>
        </w:rPr>
      </w:pPr>
      <w:r>
        <w:rPr>
          <w:color w:val="231F20"/>
          <w:sz w:val="20"/>
        </w:rPr>
        <w:t>In the </w:t>
      </w:r>
      <w:r>
        <w:rPr>
          <w:rFonts w:ascii="Book Antiqua"/>
          <w:b/>
          <w:color w:val="231F20"/>
          <w:sz w:val="20"/>
        </w:rPr>
        <w:t>Distributions </w:t>
      </w:r>
      <w:r>
        <w:rPr>
          <w:color w:val="231F20"/>
          <w:sz w:val="20"/>
        </w:rPr>
        <w:t>tab, select the managed systems and managed system groups to assign to the historical configuration group. Select a managed </w:t>
      </w:r>
      <w:r>
        <w:rPr>
          <w:color w:val="231F20"/>
          <w:sz w:val="20"/>
        </w:rPr>
        <w:t>system group</w:t>
      </w:r>
      <w:r>
        <w:rPr>
          <w:color w:val="231F20"/>
          <w:spacing w:val="22"/>
          <w:sz w:val="20"/>
        </w:rPr>
        <w:t> </w:t>
      </w:r>
      <w:r>
        <w:rPr>
          <w:color w:val="231F20"/>
          <w:sz w:val="20"/>
        </w:rPr>
        <w:t>to</w:t>
      </w:r>
      <w:r>
        <w:rPr>
          <w:color w:val="231F20"/>
          <w:spacing w:val="22"/>
          <w:sz w:val="20"/>
        </w:rPr>
        <w:t> </w:t>
      </w:r>
      <w:r>
        <w:rPr>
          <w:color w:val="231F20"/>
          <w:sz w:val="20"/>
        </w:rPr>
        <w:t>see</w:t>
      </w:r>
      <w:r>
        <w:rPr>
          <w:color w:val="231F20"/>
          <w:spacing w:val="22"/>
          <w:sz w:val="20"/>
        </w:rPr>
        <w:t> </w:t>
      </w:r>
      <w:r>
        <w:rPr>
          <w:color w:val="231F20"/>
          <w:sz w:val="20"/>
        </w:rPr>
        <w:t>its</w:t>
      </w:r>
      <w:r>
        <w:rPr>
          <w:color w:val="231F20"/>
          <w:spacing w:val="22"/>
          <w:sz w:val="20"/>
        </w:rPr>
        <w:t> </w:t>
      </w:r>
      <w:r>
        <w:rPr>
          <w:color w:val="231F20"/>
          <w:sz w:val="20"/>
        </w:rPr>
        <w:t>constituent</w:t>
      </w:r>
      <w:r>
        <w:rPr>
          <w:color w:val="231F20"/>
          <w:spacing w:val="22"/>
          <w:sz w:val="20"/>
        </w:rPr>
        <w:t> </w:t>
      </w:r>
      <w:r>
        <w:rPr>
          <w:color w:val="231F20"/>
          <w:sz w:val="20"/>
        </w:rPr>
        <w:t>objects</w:t>
      </w:r>
      <w:r>
        <w:rPr>
          <w:color w:val="231F20"/>
          <w:spacing w:val="22"/>
          <w:sz w:val="20"/>
        </w:rPr>
        <w:t> </w:t>
      </w:r>
      <w:r>
        <w:rPr>
          <w:color w:val="231F20"/>
          <w:sz w:val="20"/>
        </w:rPr>
        <w:t>in</w:t>
      </w:r>
      <w:r>
        <w:rPr>
          <w:color w:val="231F20"/>
          <w:spacing w:val="22"/>
          <w:sz w:val="20"/>
        </w:rPr>
        <w:t> </w:t>
      </w:r>
      <w:r>
        <w:rPr>
          <w:color w:val="231F20"/>
          <w:sz w:val="20"/>
        </w:rPr>
        <w:t>the</w:t>
      </w:r>
      <w:r>
        <w:rPr>
          <w:color w:val="231F20"/>
          <w:spacing w:val="22"/>
          <w:sz w:val="20"/>
        </w:rPr>
        <w:t> </w:t>
      </w:r>
      <w:r>
        <w:rPr>
          <w:rFonts w:ascii="Book Antiqua"/>
          <w:b/>
          <w:color w:val="231F20"/>
          <w:sz w:val="20"/>
        </w:rPr>
        <w:t>Selected</w:t>
      </w:r>
      <w:r>
        <w:rPr>
          <w:rFonts w:ascii="Book Antiqua"/>
          <w:b/>
          <w:color w:val="231F20"/>
          <w:spacing w:val="22"/>
          <w:sz w:val="20"/>
        </w:rPr>
        <w:t> </w:t>
      </w:r>
      <w:r>
        <w:rPr>
          <w:rFonts w:ascii="Book Antiqua"/>
          <w:b/>
          <w:color w:val="231F20"/>
          <w:sz w:val="20"/>
        </w:rPr>
        <w:t>Assigned</w:t>
      </w:r>
      <w:r>
        <w:rPr>
          <w:rFonts w:ascii="Book Antiqua"/>
          <w:b/>
          <w:color w:val="231F20"/>
          <w:spacing w:val="22"/>
          <w:sz w:val="20"/>
        </w:rPr>
        <w:t> </w:t>
      </w:r>
      <w:r>
        <w:rPr>
          <w:rFonts w:ascii="Book Antiqua"/>
          <w:b/>
          <w:color w:val="231F20"/>
          <w:sz w:val="20"/>
        </w:rPr>
        <w:t>Object</w:t>
      </w:r>
      <w:r>
        <w:rPr>
          <w:rFonts w:ascii="Book Antiqua"/>
          <w:b/>
          <w:color w:val="231F20"/>
          <w:spacing w:val="22"/>
          <w:sz w:val="20"/>
        </w:rPr>
        <w:t> </w:t>
      </w:r>
      <w:r>
        <w:rPr>
          <w:rFonts w:ascii="Book Antiqua"/>
          <w:b/>
          <w:color w:val="231F20"/>
          <w:sz w:val="20"/>
        </w:rPr>
        <w:t>Members </w:t>
      </w:r>
      <w:r>
        <w:rPr>
          <w:color w:val="231F20"/>
          <w:sz w:val="20"/>
        </w:rPr>
        <w:t>or </w:t>
      </w:r>
      <w:r>
        <w:rPr>
          <w:rFonts w:ascii="Book Antiqua"/>
          <w:b/>
          <w:color w:val="231F20"/>
          <w:sz w:val="20"/>
        </w:rPr>
        <w:t>Selected Available Object Members </w:t>
      </w:r>
      <w:r>
        <w:rPr>
          <w:color w:val="231F20"/>
          <w:sz w:val="20"/>
        </w:rPr>
        <w:t>list.</w:t>
      </w:r>
    </w:p>
    <w:p>
      <w:pPr>
        <w:pStyle w:val="ListParagraph"/>
        <w:numPr>
          <w:ilvl w:val="0"/>
          <w:numId w:val="102"/>
        </w:numPr>
        <w:tabs>
          <w:tab w:pos="2547" w:val="left" w:leader="none"/>
        </w:tabs>
        <w:spacing w:line="255" w:lineRule="exact" w:before="34" w:after="0"/>
        <w:ind w:left="2547" w:right="0" w:hanging="315"/>
        <w:jc w:val="left"/>
        <w:rPr>
          <w:sz w:val="20"/>
        </w:rPr>
      </w:pPr>
      <w:r>
        <w:rPr>
          <w:color w:val="231F20"/>
          <w:sz w:val="20"/>
        </w:rPr>
        <w:t>Save</w:t>
      </w:r>
      <w:r>
        <w:rPr>
          <w:color w:val="231F20"/>
          <w:spacing w:val="11"/>
          <w:sz w:val="20"/>
        </w:rPr>
        <w:t> </w:t>
      </w:r>
      <w:r>
        <w:rPr>
          <w:color w:val="231F20"/>
          <w:sz w:val="20"/>
        </w:rPr>
        <w:t>your</w:t>
      </w:r>
      <w:r>
        <w:rPr>
          <w:color w:val="231F20"/>
          <w:spacing w:val="12"/>
          <w:sz w:val="20"/>
        </w:rPr>
        <w:t> </w:t>
      </w:r>
      <w:r>
        <w:rPr>
          <w:color w:val="231F20"/>
          <w:sz w:val="20"/>
        </w:rPr>
        <w:t>changes</w:t>
      </w:r>
      <w:r>
        <w:rPr>
          <w:color w:val="231F20"/>
          <w:spacing w:val="12"/>
          <w:sz w:val="20"/>
        </w:rPr>
        <w:t> </w:t>
      </w:r>
      <w:r>
        <w:rPr>
          <w:color w:val="231F20"/>
          <w:sz w:val="20"/>
        </w:rPr>
        <w:t>and</w:t>
      </w:r>
      <w:r>
        <w:rPr>
          <w:color w:val="231F20"/>
          <w:spacing w:val="11"/>
          <w:sz w:val="20"/>
        </w:rPr>
        <w:t> </w:t>
      </w:r>
      <w:r>
        <w:rPr>
          <w:color w:val="231F20"/>
          <w:sz w:val="20"/>
        </w:rPr>
        <w:t>either</w:t>
      </w:r>
      <w:r>
        <w:rPr>
          <w:color w:val="231F20"/>
          <w:spacing w:val="12"/>
          <w:sz w:val="20"/>
        </w:rPr>
        <w:t> </w:t>
      </w:r>
      <w:r>
        <w:rPr>
          <w:color w:val="231F20"/>
          <w:sz w:val="20"/>
        </w:rPr>
        <w:t>keep</w:t>
      </w:r>
      <w:r>
        <w:rPr>
          <w:color w:val="231F20"/>
          <w:spacing w:val="12"/>
          <w:sz w:val="20"/>
        </w:rPr>
        <w:t> </w:t>
      </w:r>
      <w:r>
        <w:rPr>
          <w:color w:val="231F20"/>
          <w:sz w:val="20"/>
        </w:rPr>
        <w:t>the</w:t>
      </w:r>
      <w:r>
        <w:rPr>
          <w:color w:val="231F20"/>
          <w:spacing w:val="12"/>
          <w:sz w:val="20"/>
        </w:rPr>
        <w:t> </w:t>
      </w:r>
      <w:r>
        <w:rPr>
          <w:color w:val="231F20"/>
          <w:sz w:val="20"/>
        </w:rPr>
        <w:t>editor</w:t>
      </w:r>
      <w:r>
        <w:rPr>
          <w:color w:val="231F20"/>
          <w:spacing w:val="11"/>
          <w:sz w:val="20"/>
        </w:rPr>
        <w:t> </w:t>
      </w:r>
      <w:r>
        <w:rPr>
          <w:color w:val="231F20"/>
          <w:sz w:val="20"/>
        </w:rPr>
        <w:t>open</w:t>
      </w:r>
      <w:r>
        <w:rPr>
          <w:color w:val="231F20"/>
          <w:spacing w:val="12"/>
          <w:sz w:val="20"/>
        </w:rPr>
        <w:t> </w:t>
      </w:r>
      <w:r>
        <w:rPr>
          <w:color w:val="231F20"/>
          <w:sz w:val="20"/>
        </w:rPr>
        <w:t>with</w:t>
      </w:r>
      <w:r>
        <w:rPr>
          <w:color w:val="231F20"/>
          <w:spacing w:val="12"/>
          <w:sz w:val="20"/>
        </w:rPr>
        <w:t> </w:t>
      </w:r>
      <w:r>
        <w:rPr>
          <w:rFonts w:ascii="Book Antiqua"/>
          <w:b/>
          <w:color w:val="231F20"/>
          <w:sz w:val="20"/>
        </w:rPr>
        <w:t>Apply</w:t>
      </w:r>
      <w:r>
        <w:rPr>
          <w:rFonts w:ascii="Book Antiqua"/>
          <w:b/>
          <w:color w:val="231F20"/>
          <w:spacing w:val="11"/>
          <w:sz w:val="20"/>
        </w:rPr>
        <w:t> </w:t>
      </w:r>
      <w:r>
        <w:rPr>
          <w:color w:val="231F20"/>
          <w:sz w:val="20"/>
        </w:rPr>
        <w:t>or</w:t>
      </w:r>
      <w:r>
        <w:rPr>
          <w:color w:val="231F20"/>
          <w:spacing w:val="12"/>
          <w:sz w:val="20"/>
        </w:rPr>
        <w:t> </w:t>
      </w:r>
      <w:r>
        <w:rPr>
          <w:color w:val="231F20"/>
          <w:sz w:val="20"/>
        </w:rPr>
        <w:t>exit</w:t>
      </w:r>
      <w:r>
        <w:rPr>
          <w:color w:val="231F20"/>
          <w:spacing w:val="12"/>
          <w:sz w:val="20"/>
        </w:rPr>
        <w:t> </w:t>
      </w:r>
      <w:r>
        <w:rPr>
          <w:color w:val="231F20"/>
          <w:spacing w:val="-4"/>
          <w:sz w:val="20"/>
        </w:rPr>
        <w:t>with</w:t>
      </w:r>
    </w:p>
    <w:p>
      <w:pPr>
        <w:spacing w:line="255" w:lineRule="exact" w:before="0"/>
        <w:ind w:left="2548" w:right="0" w:firstLine="0"/>
        <w:jc w:val="left"/>
        <w:rPr>
          <w:sz w:val="20"/>
        </w:rPr>
      </w:pPr>
      <w:r>
        <w:rPr>
          <w:rFonts w:ascii="Book Antiqua"/>
          <w:b/>
          <w:color w:val="231F20"/>
          <w:spacing w:val="-5"/>
          <w:sz w:val="20"/>
        </w:rPr>
        <w:t>OK</w:t>
      </w:r>
      <w:r>
        <w:rPr>
          <w:color w:val="231F20"/>
          <w:spacing w:val="-5"/>
          <w:sz w:val="20"/>
        </w:rPr>
        <w:t>.</w:t>
      </w:r>
    </w:p>
    <w:p>
      <w:pPr>
        <w:pStyle w:val="Heading4"/>
        <w:spacing w:before="194"/>
      </w:pPr>
      <w:r>
        <w:rPr>
          <w:color w:val="231F20"/>
          <w:spacing w:val="-2"/>
        </w:rPr>
        <w:t>Results</w:t>
      </w:r>
    </w:p>
    <w:p>
      <w:pPr>
        <w:pStyle w:val="BodyText"/>
        <w:spacing w:line="213" w:lineRule="auto" w:before="241"/>
        <w:ind w:left="2232" w:right="614"/>
        <w:jc w:val="both"/>
      </w:pPr>
      <w:r>
        <w:rPr>
          <w:color w:val="231F20"/>
        </w:rPr>
        <w:t>The historical configuration group is now available to all users who log onto the same portal server. Historical data samples are collected to the short-term </w:t>
      </w:r>
      <w:r>
        <w:rPr>
          <w:color w:val="231F20"/>
        </w:rPr>
        <w:t>history files for the managed systems in the distribution.</w:t>
      </w:r>
    </w:p>
    <w:p>
      <w:pPr>
        <w:pStyle w:val="BodyText"/>
        <w:spacing w:line="213" w:lineRule="auto" w:before="237"/>
        <w:ind w:left="2232" w:right="545"/>
      </w:pPr>
      <w:r>
        <w:rPr>
          <w:color w:val="231F20"/>
        </w:rPr>
        <w:t>When you next view the historical data collection in the History Collection Configuration window, the Distribution tab shows the historical configuration group in the </w:t>
      </w:r>
      <w:r>
        <w:rPr>
          <w:rFonts w:ascii="Book Antiqua"/>
          <w:b/>
          <w:color w:val="231F20"/>
        </w:rPr>
        <w:t>Start collection on </w:t>
      </w:r>
      <w:r>
        <w:rPr>
          <w:color w:val="231F20"/>
        </w:rPr>
        <w:t>list. The group name is disabled (dimmed); you cannot remove it from the distribution. To do that, you would return to the Object group editor and remove the historical collection from the historical group.</w:t>
      </w:r>
    </w:p>
    <w:p>
      <w:pPr>
        <w:spacing w:after="0" w:line="213" w:lineRule="auto"/>
        <w:sectPr>
          <w:pgSz w:w="12240" w:h="15840"/>
          <w:pgMar w:header="0" w:footer="736" w:top="1180" w:bottom="920" w:left="1000" w:right="1060"/>
        </w:sectPr>
      </w:pPr>
    </w:p>
    <w:p>
      <w:pPr>
        <w:pStyle w:val="Heading6"/>
        <w:spacing w:line="240" w:lineRule="auto" w:before="62"/>
        <w:rPr>
          <w:rFonts w:ascii="Palatino Linotype"/>
          <w:b w:val="0"/>
        </w:rPr>
      </w:pPr>
      <w:bookmarkStart w:name="_bookmark163" w:id="358"/>
      <w:bookmarkEnd w:id="358"/>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472"/>
      </w:pPr>
      <w:hyperlink w:history="true" w:anchor="_bookmark290">
        <w:r>
          <w:rPr>
            <w:color w:val="231F20"/>
          </w:rPr>
          <w:t>Creating</w:t>
        </w:r>
        <w:r>
          <w:rPr>
            <w:color w:val="231F20"/>
            <w:spacing w:val="9"/>
          </w:rPr>
          <w:t> </w:t>
        </w:r>
        <w:r>
          <w:rPr>
            <w:color w:val="231F20"/>
          </w:rPr>
          <w:t>a</w:t>
        </w:r>
        <w:r>
          <w:rPr>
            <w:color w:val="231F20"/>
            <w:spacing w:val="9"/>
          </w:rPr>
          <w:t> </w:t>
        </w:r>
        <w:r>
          <w:rPr>
            <w:color w:val="231F20"/>
          </w:rPr>
          <w:t>managed</w:t>
        </w:r>
        <w:r>
          <w:rPr>
            <w:color w:val="231F20"/>
            <w:spacing w:val="9"/>
          </w:rPr>
          <w:t> </w:t>
        </w:r>
        <w:r>
          <w:rPr>
            <w:color w:val="231F20"/>
          </w:rPr>
          <w:t>system</w:t>
        </w:r>
        <w:r>
          <w:rPr>
            <w:color w:val="231F20"/>
            <w:spacing w:val="9"/>
          </w:rPr>
          <w:t> </w:t>
        </w:r>
        <w:r>
          <w:rPr>
            <w:color w:val="231F20"/>
            <w:spacing w:val="-2"/>
          </w:rPr>
          <w:t>group</w:t>
        </w:r>
      </w:hyperlink>
    </w:p>
    <w:p>
      <w:pPr>
        <w:pStyle w:val="BodyText"/>
        <w:spacing w:line="213" w:lineRule="auto" w:before="8"/>
        <w:ind w:left="2472" w:right="493"/>
      </w:pPr>
      <w:r>
        <w:rPr>
          <w:color w:val="231F20"/>
        </w:rPr>
        <w:t>Organize managed systems into named groups that can be assigned to the distribution of situations, policies, historical collections, queries, and </w:t>
      </w:r>
      <w:r>
        <w:rPr>
          <w:color w:val="231F20"/>
        </w:rPr>
        <w:t>dynamic Navigator items in custom Navigator views.</w:t>
      </w:r>
    </w:p>
    <w:p>
      <w:pPr>
        <w:pStyle w:val="Heading3"/>
        <w:spacing w:before="217"/>
        <w:ind w:left="1574"/>
      </w:pPr>
      <w:bookmarkStart w:name="Stopping data collection" w:id="359"/>
      <w:bookmarkEnd w:id="359"/>
      <w:r>
        <w:rPr>
          <w:b w:val="0"/>
        </w:rPr>
      </w:r>
      <w:r>
        <w:rPr>
          <w:color w:val="231F20"/>
        </w:rPr>
        <w:t>Stopping</w:t>
      </w:r>
      <w:r>
        <w:rPr>
          <w:color w:val="231F20"/>
          <w:spacing w:val="6"/>
        </w:rPr>
        <w:t> </w:t>
      </w:r>
      <w:r>
        <w:rPr>
          <w:color w:val="231F20"/>
        </w:rPr>
        <w:t>data</w:t>
      </w:r>
      <w:r>
        <w:rPr>
          <w:color w:val="231F20"/>
          <w:spacing w:val="6"/>
        </w:rPr>
        <w:t> </w:t>
      </w:r>
      <w:r>
        <w:rPr>
          <w:color w:val="231F20"/>
          <w:spacing w:val="-2"/>
        </w:rPr>
        <w:t>collection</w:t>
      </w:r>
    </w:p>
    <w:p>
      <w:pPr>
        <w:pStyle w:val="BodyText"/>
        <w:spacing w:line="213" w:lineRule="auto" w:before="58"/>
        <w:ind w:left="2472" w:right="537"/>
        <w:jc w:val="both"/>
      </w:pPr>
      <w:r>
        <w:rPr>
          <w:color w:val="231F20"/>
        </w:rPr>
        <w:t>Stop data collection on one or more managed systems for a historical collection definition when you are no longer interested in gathering data on the </w:t>
      </w:r>
      <w:r>
        <w:rPr>
          <w:color w:val="231F20"/>
        </w:rPr>
        <w:t>managed system or would like to temporarily disable data collection.</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58"/>
      </w:pPr>
      <w:r>
        <w:rPr>
          <w:color w:val="231F20"/>
        </w:rPr>
        <w:t>Your user ID must have Configure History permission to open the History Collection Configuration window. If you do not have this permission, you will </w:t>
      </w:r>
      <w:r>
        <w:rPr>
          <w:color w:val="231F20"/>
        </w:rPr>
        <w:t>not see the tool for historical configuration.</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58"/>
      </w:pPr>
      <w:r>
        <w:rPr>
          <w:color w:val="231F20"/>
        </w:rPr>
        <w:t>The</w:t>
      </w:r>
      <w:r>
        <w:rPr>
          <w:color w:val="231F20"/>
          <w:spacing w:val="27"/>
        </w:rPr>
        <w:t> </w:t>
      </w:r>
      <w:r>
        <w:rPr>
          <w:color w:val="231F20"/>
        </w:rPr>
        <w:t>historical</w:t>
      </w:r>
      <w:r>
        <w:rPr>
          <w:color w:val="231F20"/>
          <w:spacing w:val="27"/>
        </w:rPr>
        <w:t> </w:t>
      </w:r>
      <w:r>
        <w:rPr>
          <w:color w:val="231F20"/>
        </w:rPr>
        <w:t>collections</w:t>
      </w:r>
      <w:r>
        <w:rPr>
          <w:color w:val="231F20"/>
          <w:spacing w:val="27"/>
        </w:rPr>
        <w:t> </w:t>
      </w:r>
      <w:r>
        <w:rPr>
          <w:color w:val="231F20"/>
        </w:rPr>
        <w:t>for</w:t>
      </w:r>
      <w:r>
        <w:rPr>
          <w:color w:val="231F20"/>
          <w:spacing w:val="27"/>
        </w:rPr>
        <w:t> </w:t>
      </w:r>
      <w:r>
        <w:rPr>
          <w:color w:val="231F20"/>
        </w:rPr>
        <w:t>an</w:t>
      </w:r>
      <w:r>
        <w:rPr>
          <w:color w:val="231F20"/>
          <w:spacing w:val="27"/>
        </w:rPr>
        <w:t> </w:t>
      </w:r>
      <w:r>
        <w:rPr>
          <w:color w:val="231F20"/>
        </w:rPr>
        <w:t>attribute</w:t>
      </w:r>
      <w:r>
        <w:rPr>
          <w:color w:val="231F20"/>
          <w:spacing w:val="27"/>
        </w:rPr>
        <w:t> </w:t>
      </w:r>
      <w:r>
        <w:rPr>
          <w:color w:val="231F20"/>
        </w:rPr>
        <w:t>group</w:t>
      </w:r>
      <w:r>
        <w:rPr>
          <w:color w:val="231F20"/>
          <w:spacing w:val="27"/>
        </w:rPr>
        <w:t> </w:t>
      </w:r>
      <w:r>
        <w:rPr>
          <w:color w:val="231F20"/>
        </w:rPr>
        <w:t>can</w:t>
      </w:r>
      <w:r>
        <w:rPr>
          <w:color w:val="231F20"/>
          <w:spacing w:val="27"/>
        </w:rPr>
        <w:t> </w:t>
      </w:r>
      <w:r>
        <w:rPr>
          <w:color w:val="231F20"/>
        </w:rPr>
        <w:t>be</w:t>
      </w:r>
      <w:r>
        <w:rPr>
          <w:color w:val="231F20"/>
          <w:spacing w:val="27"/>
        </w:rPr>
        <w:t> </w:t>
      </w:r>
      <w:r>
        <w:rPr>
          <w:color w:val="231F20"/>
        </w:rPr>
        <w:t>edited</w:t>
      </w:r>
      <w:r>
        <w:rPr>
          <w:color w:val="231F20"/>
          <w:spacing w:val="27"/>
        </w:rPr>
        <w:t> </w:t>
      </w:r>
      <w:r>
        <w:rPr>
          <w:color w:val="231F20"/>
        </w:rPr>
        <w:t>to</w:t>
      </w:r>
      <w:r>
        <w:rPr>
          <w:color w:val="231F20"/>
          <w:spacing w:val="27"/>
        </w:rPr>
        <w:t> </w:t>
      </w:r>
      <w:r>
        <w:rPr>
          <w:color w:val="231F20"/>
        </w:rPr>
        <w:t>stop</w:t>
      </w:r>
      <w:r>
        <w:rPr>
          <w:color w:val="231F20"/>
          <w:spacing w:val="27"/>
        </w:rPr>
        <w:t> </w:t>
      </w:r>
      <w:r>
        <w:rPr>
          <w:color w:val="231F20"/>
        </w:rPr>
        <w:t>data collection on some or all of the managed systems in the distribution list. The managed systems that remain in the distribution continue to collect historical </w:t>
      </w:r>
      <w:r>
        <w:rPr>
          <w:color w:val="231F20"/>
        </w:rPr>
        <w:t>data. Take these steps to stop data collection on a managed system or managed system </w:t>
      </w:r>
      <w:r>
        <w:rPr>
          <w:color w:val="231F20"/>
          <w:spacing w:val="-2"/>
        </w:rPr>
        <w:t>group:</w:t>
      </w:r>
    </w:p>
    <w:p>
      <w:pPr>
        <w:pStyle w:val="Heading4"/>
        <w:spacing w:before="198"/>
        <w:ind w:left="2472"/>
      </w:pPr>
      <w:r>
        <w:rPr>
          <w:color w:val="231F20"/>
          <w:spacing w:val="-2"/>
        </w:rPr>
        <w:t>Procedure</w:t>
      </w:r>
    </w:p>
    <w:p>
      <w:pPr>
        <w:pStyle w:val="ListParagraph"/>
        <w:numPr>
          <w:ilvl w:val="1"/>
          <w:numId w:val="102"/>
        </w:numPr>
        <w:tabs>
          <w:tab w:pos="2788" w:val="left" w:leader="none"/>
        </w:tabs>
        <w:spacing w:line="213" w:lineRule="auto" w:before="62" w:after="0"/>
        <w:ind w:left="2788" w:right="494"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926" name="Image 1926"/>
            <wp:cNvGraphicFramePr>
              <a:graphicFrameLocks/>
            </wp:cNvGraphicFramePr>
            <a:graphic>
              <a:graphicData uri="http://schemas.openxmlformats.org/drawingml/2006/picture">
                <pic:pic>
                  <pic:nvPicPr>
                    <pic:cNvPr id="1926" name="Image 1926"/>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History Configuration </w:t>
      </w:r>
      <w:r>
        <w:rPr>
          <w:color w:val="231F20"/>
          <w:sz w:val="20"/>
        </w:rPr>
        <w:t>to open the History Collection Configuration </w:t>
      </w:r>
      <w:r>
        <w:rPr>
          <w:color w:val="231F20"/>
          <w:spacing w:val="-2"/>
          <w:sz w:val="20"/>
        </w:rPr>
        <w:t>window.</w:t>
      </w:r>
    </w:p>
    <w:p>
      <w:pPr>
        <w:pStyle w:val="ListParagraph"/>
        <w:numPr>
          <w:ilvl w:val="1"/>
          <w:numId w:val="102"/>
        </w:numPr>
        <w:tabs>
          <w:tab w:pos="2787" w:val="left" w:leader="none"/>
        </w:tabs>
        <w:spacing w:line="240" w:lineRule="auto" w:before="35" w:after="0"/>
        <w:ind w:left="2787" w:right="0" w:hanging="315"/>
        <w:jc w:val="left"/>
        <w:rPr>
          <w:sz w:val="20"/>
        </w:rPr>
      </w:pPr>
      <w:r>
        <w:rPr>
          <w:color w:val="231F20"/>
          <w:sz w:val="20"/>
        </w:rPr>
        <w:t>Click</w:t>
      </w:r>
      <w:r>
        <w:rPr>
          <w:color w:val="231F20"/>
          <w:spacing w:val="10"/>
          <w:sz w:val="20"/>
        </w:rPr>
        <w:t> </w:t>
      </w:r>
      <w:r>
        <w:rPr>
          <w:color w:val="231F20"/>
          <w:sz w:val="20"/>
        </w:rPr>
        <w:t>the</w:t>
      </w:r>
      <w:r>
        <w:rPr>
          <w:color w:val="231F20"/>
          <w:spacing w:val="19"/>
          <w:sz w:val="20"/>
        </w:rPr>
        <w:t> </w:t>
      </w:r>
      <w:r>
        <w:rPr>
          <w:color w:val="231F20"/>
          <w:spacing w:val="-24"/>
          <w:position w:val="-1"/>
          <w:sz w:val="20"/>
        </w:rPr>
        <w:drawing>
          <wp:inline distT="0" distB="0" distL="0" distR="0">
            <wp:extent cx="95250" cy="95250"/>
            <wp:effectExtent l="0" t="0" r="0" b="0"/>
            <wp:docPr id="1927" name="Image 1927"/>
            <wp:cNvGraphicFramePr>
              <a:graphicFrameLocks/>
            </wp:cNvGraphicFramePr>
            <a:graphic>
              <a:graphicData uri="http://schemas.openxmlformats.org/drawingml/2006/picture">
                <pic:pic>
                  <pic:nvPicPr>
                    <pic:cNvPr id="1927" name="Image 1927"/>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color w:val="231F20"/>
          <w:sz w:val="20"/>
        </w:rPr>
        <w:t>monitored</w:t>
      </w:r>
      <w:r>
        <w:rPr>
          <w:color w:val="231F20"/>
          <w:spacing w:val="10"/>
          <w:sz w:val="20"/>
        </w:rPr>
        <w:t> </w:t>
      </w:r>
      <w:r>
        <w:rPr>
          <w:color w:val="231F20"/>
          <w:sz w:val="20"/>
        </w:rPr>
        <w:t>application</w:t>
      </w:r>
      <w:r>
        <w:rPr>
          <w:color w:val="231F20"/>
          <w:spacing w:val="10"/>
          <w:sz w:val="20"/>
        </w:rPr>
        <w:t> </w:t>
      </w:r>
      <w:r>
        <w:rPr>
          <w:color w:val="231F20"/>
          <w:sz w:val="20"/>
        </w:rPr>
        <w:t>(agent</w:t>
      </w:r>
      <w:r>
        <w:rPr>
          <w:color w:val="231F20"/>
          <w:spacing w:val="10"/>
          <w:sz w:val="20"/>
        </w:rPr>
        <w:t> </w:t>
      </w:r>
      <w:r>
        <w:rPr>
          <w:color w:val="231F20"/>
          <w:spacing w:val="-2"/>
          <w:sz w:val="20"/>
        </w:rPr>
        <w:t>type).</w:t>
      </w:r>
    </w:p>
    <w:p>
      <w:pPr>
        <w:pStyle w:val="ListParagraph"/>
        <w:numPr>
          <w:ilvl w:val="1"/>
          <w:numId w:val="102"/>
        </w:numPr>
        <w:tabs>
          <w:tab w:pos="2787" w:val="left" w:leader="none"/>
        </w:tabs>
        <w:spacing w:line="240" w:lineRule="auto" w:before="30"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22"/>
          <w:sz w:val="20"/>
        </w:rPr>
        <w:t> </w:t>
      </w:r>
      <w:r>
        <w:rPr>
          <w:color w:val="231F20"/>
          <w:spacing w:val="-24"/>
          <w:position w:val="-1"/>
          <w:sz w:val="20"/>
        </w:rPr>
        <w:drawing>
          <wp:inline distT="0" distB="0" distL="0" distR="0">
            <wp:extent cx="95250" cy="95250"/>
            <wp:effectExtent l="0" t="0" r="0" b="0"/>
            <wp:docPr id="1928" name="Image 1928"/>
            <wp:cNvGraphicFramePr>
              <a:graphicFrameLocks/>
            </wp:cNvGraphicFramePr>
            <a:graphic>
              <a:graphicData uri="http://schemas.openxmlformats.org/drawingml/2006/picture">
                <pic:pic>
                  <pic:nvPicPr>
                    <pic:cNvPr id="1928" name="Image 1928"/>
                    <pic:cNvPicPr/>
                  </pic:nvPicPr>
                  <pic:blipFill>
                    <a:blip r:embed="rId353"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5"/>
          <w:w w:val="150"/>
          <w:sz w:val="20"/>
        </w:rPr>
        <w:t> </w:t>
      </w:r>
      <w:r>
        <w:rPr>
          <w:color w:val="231F20"/>
          <w:sz w:val="20"/>
        </w:rPr>
        <w:t>collection</w:t>
      </w:r>
      <w:r>
        <w:rPr>
          <w:color w:val="231F20"/>
          <w:spacing w:val="12"/>
          <w:sz w:val="20"/>
        </w:rPr>
        <w:t> </w:t>
      </w:r>
      <w:r>
        <w:rPr>
          <w:color w:val="231F20"/>
          <w:sz w:val="20"/>
        </w:rPr>
        <w:t>that</w:t>
      </w:r>
      <w:r>
        <w:rPr>
          <w:color w:val="231F20"/>
          <w:spacing w:val="12"/>
          <w:sz w:val="20"/>
        </w:rPr>
        <w:t> </w:t>
      </w:r>
      <w:r>
        <w:rPr>
          <w:color w:val="231F20"/>
          <w:sz w:val="20"/>
        </w:rPr>
        <w:t>the</w:t>
      </w:r>
      <w:r>
        <w:rPr>
          <w:color w:val="231F20"/>
          <w:spacing w:val="12"/>
          <w:sz w:val="20"/>
        </w:rPr>
        <w:t> </w:t>
      </w:r>
      <w:r>
        <w:rPr>
          <w:color w:val="231F20"/>
          <w:sz w:val="20"/>
        </w:rPr>
        <w:t>managed</w:t>
      </w:r>
      <w:r>
        <w:rPr>
          <w:color w:val="231F20"/>
          <w:spacing w:val="12"/>
          <w:sz w:val="20"/>
        </w:rPr>
        <w:t> </w:t>
      </w:r>
      <w:r>
        <w:rPr>
          <w:color w:val="231F20"/>
          <w:sz w:val="20"/>
        </w:rPr>
        <w:t>system</w:t>
      </w:r>
      <w:r>
        <w:rPr>
          <w:color w:val="231F20"/>
          <w:spacing w:val="12"/>
          <w:sz w:val="20"/>
        </w:rPr>
        <w:t> </w:t>
      </w:r>
      <w:r>
        <w:rPr>
          <w:color w:val="231F20"/>
          <w:sz w:val="20"/>
        </w:rPr>
        <w:t>is</w:t>
      </w:r>
      <w:r>
        <w:rPr>
          <w:color w:val="231F20"/>
          <w:spacing w:val="12"/>
          <w:sz w:val="20"/>
        </w:rPr>
        <w:t> </w:t>
      </w:r>
      <w:r>
        <w:rPr>
          <w:color w:val="231F20"/>
          <w:sz w:val="20"/>
        </w:rPr>
        <w:t>assigned</w:t>
      </w:r>
      <w:r>
        <w:rPr>
          <w:color w:val="231F20"/>
          <w:spacing w:val="12"/>
          <w:sz w:val="20"/>
        </w:rPr>
        <w:t> </w:t>
      </w:r>
      <w:r>
        <w:rPr>
          <w:color w:val="231F20"/>
          <w:spacing w:val="-5"/>
          <w:sz w:val="20"/>
        </w:rPr>
        <w:t>to.</w:t>
      </w:r>
    </w:p>
    <w:p>
      <w:pPr>
        <w:pStyle w:val="ListParagraph"/>
        <w:numPr>
          <w:ilvl w:val="1"/>
          <w:numId w:val="102"/>
        </w:numPr>
        <w:tabs>
          <w:tab w:pos="2787" w:val="left" w:leader="none"/>
        </w:tabs>
        <w:spacing w:line="240" w:lineRule="auto" w:before="29" w:after="0"/>
        <w:ind w:left="2787" w:right="0" w:hanging="315"/>
        <w:jc w:val="left"/>
        <w:rPr>
          <w:sz w:val="20"/>
        </w:rPr>
      </w:pPr>
      <w:r>
        <w:rPr>
          <w:color w:val="231F20"/>
          <w:sz w:val="20"/>
        </w:rPr>
        <w:t>For</w:t>
      </w:r>
      <w:r>
        <w:rPr>
          <w:color w:val="231F20"/>
          <w:spacing w:val="10"/>
          <w:sz w:val="20"/>
        </w:rPr>
        <w:t> </w:t>
      </w:r>
      <w:r>
        <w:rPr>
          <w:color w:val="231F20"/>
          <w:sz w:val="20"/>
        </w:rPr>
        <w:t>managed</w:t>
      </w:r>
      <w:r>
        <w:rPr>
          <w:color w:val="231F20"/>
          <w:spacing w:val="11"/>
          <w:sz w:val="20"/>
        </w:rPr>
        <w:t> </w:t>
      </w:r>
      <w:r>
        <w:rPr>
          <w:color w:val="231F20"/>
          <w:sz w:val="20"/>
        </w:rPr>
        <w:t>systems</w:t>
      </w:r>
      <w:r>
        <w:rPr>
          <w:color w:val="231F20"/>
          <w:spacing w:val="10"/>
          <w:sz w:val="20"/>
        </w:rPr>
        <w:t> </w:t>
      </w:r>
      <w:r>
        <w:rPr>
          <w:color w:val="231F20"/>
          <w:sz w:val="20"/>
        </w:rPr>
        <w:t>that</w:t>
      </w:r>
      <w:r>
        <w:rPr>
          <w:color w:val="231F20"/>
          <w:spacing w:val="11"/>
          <w:sz w:val="20"/>
        </w:rPr>
        <w:t> </w:t>
      </w:r>
      <w:r>
        <w:rPr>
          <w:color w:val="231F20"/>
          <w:sz w:val="20"/>
        </w:rPr>
        <w:t>are</w:t>
      </w:r>
      <w:r>
        <w:rPr>
          <w:color w:val="231F20"/>
          <w:spacing w:val="10"/>
          <w:sz w:val="20"/>
        </w:rPr>
        <w:t> </w:t>
      </w:r>
      <w:r>
        <w:rPr>
          <w:color w:val="231F20"/>
          <w:sz w:val="20"/>
        </w:rPr>
        <w:t>assigned</w:t>
      </w:r>
      <w:r>
        <w:rPr>
          <w:color w:val="231F20"/>
          <w:spacing w:val="11"/>
          <w:sz w:val="20"/>
        </w:rPr>
        <w:t> </w:t>
      </w:r>
      <w:r>
        <w:rPr>
          <w:color w:val="231F20"/>
          <w:sz w:val="20"/>
        </w:rPr>
        <w:t>to</w:t>
      </w:r>
      <w:r>
        <w:rPr>
          <w:color w:val="231F20"/>
          <w:spacing w:val="10"/>
          <w:sz w:val="20"/>
        </w:rPr>
        <w:t> </w:t>
      </w:r>
      <w:r>
        <w:rPr>
          <w:color w:val="231F20"/>
          <w:sz w:val="20"/>
        </w:rPr>
        <w:t>the</w:t>
      </w:r>
      <w:r>
        <w:rPr>
          <w:color w:val="231F20"/>
          <w:spacing w:val="11"/>
          <w:sz w:val="20"/>
        </w:rPr>
        <w:t> </w:t>
      </w:r>
      <w:r>
        <w:rPr>
          <w:color w:val="231F20"/>
          <w:sz w:val="20"/>
        </w:rPr>
        <w:t>historical</w:t>
      </w:r>
      <w:r>
        <w:rPr>
          <w:color w:val="231F20"/>
          <w:spacing w:val="11"/>
          <w:sz w:val="20"/>
        </w:rPr>
        <w:t> </w:t>
      </w:r>
      <w:r>
        <w:rPr>
          <w:color w:val="231F20"/>
          <w:spacing w:val="-2"/>
          <w:sz w:val="20"/>
        </w:rPr>
        <w:t>collection:</w:t>
      </w:r>
    </w:p>
    <w:p>
      <w:pPr>
        <w:pStyle w:val="ListParagraph"/>
        <w:numPr>
          <w:ilvl w:val="2"/>
          <w:numId w:val="102"/>
        </w:numPr>
        <w:tabs>
          <w:tab w:pos="3102" w:val="left" w:leader="none"/>
          <w:tab w:pos="3104" w:val="left" w:leader="none"/>
        </w:tabs>
        <w:spacing w:line="213" w:lineRule="auto" w:before="53" w:after="0"/>
        <w:ind w:left="3104" w:right="522" w:hanging="317"/>
        <w:jc w:val="left"/>
        <w:rPr>
          <w:sz w:val="20"/>
        </w:rPr>
      </w:pPr>
      <w:r>
        <w:rPr>
          <w:color w:val="231F20"/>
          <w:sz w:val="20"/>
        </w:rPr>
        <w:t>Click the </w:t>
      </w:r>
      <w:r>
        <w:rPr>
          <w:rFonts w:ascii="Book Antiqua"/>
          <w:b/>
          <w:color w:val="231F20"/>
          <w:sz w:val="20"/>
        </w:rPr>
        <w:t>Distribution </w:t>
      </w:r>
      <w:r>
        <w:rPr>
          <w:color w:val="231F20"/>
          <w:sz w:val="20"/>
        </w:rPr>
        <w:t>tab to see the managed systems, managed </w:t>
      </w:r>
      <w:r>
        <w:rPr>
          <w:color w:val="231F20"/>
          <w:sz w:val="20"/>
        </w:rPr>
        <w:t>system groups, and historical object groups that collection is occurring on.</w:t>
      </w:r>
    </w:p>
    <w:p>
      <w:pPr>
        <w:pStyle w:val="ListParagraph"/>
        <w:numPr>
          <w:ilvl w:val="2"/>
          <w:numId w:val="102"/>
        </w:numPr>
        <w:tabs>
          <w:tab w:pos="3104" w:val="left" w:leader="none"/>
        </w:tabs>
        <w:spacing w:line="213" w:lineRule="auto" w:before="59" w:after="0"/>
        <w:ind w:left="3104" w:right="330" w:hanging="316"/>
        <w:jc w:val="left"/>
        <w:rPr>
          <w:sz w:val="20"/>
        </w:rPr>
      </w:pPr>
      <w:r>
        <w:rPr>
          <w:color w:val="231F20"/>
          <w:sz w:val="20"/>
        </w:rPr>
        <w:t>In the </w:t>
      </w:r>
      <w:r>
        <w:rPr>
          <w:rFonts w:ascii="Book Antiqua"/>
          <w:b/>
          <w:color w:val="231F20"/>
          <w:sz w:val="20"/>
        </w:rPr>
        <w:t>Start collection on </w:t>
      </w:r>
      <w:r>
        <w:rPr>
          <w:color w:val="231F20"/>
          <w:sz w:val="20"/>
        </w:rPr>
        <w:t>list, click the managed systems or managed systems groups (or both) that you want to stop collection on and</w:t>
      </w:r>
      <w:r>
        <w:rPr>
          <w:color w:val="231F20"/>
          <w:spacing w:val="75"/>
          <w:sz w:val="20"/>
        </w:rPr>
        <w:t> </w:t>
      </w:r>
      <w:r>
        <w:rPr>
          <w:color w:val="231F20"/>
          <w:spacing w:val="-16"/>
          <w:position w:val="1"/>
          <w:sz w:val="20"/>
        </w:rPr>
        <w:drawing>
          <wp:inline distT="0" distB="0" distL="0" distR="0">
            <wp:extent cx="44450" cy="76200"/>
            <wp:effectExtent l="0" t="0" r="0" b="0"/>
            <wp:docPr id="1929" name="Image 1929"/>
            <wp:cNvGraphicFramePr>
              <a:graphicFrameLocks/>
            </wp:cNvGraphicFramePr>
            <a:graphic>
              <a:graphicData uri="http://schemas.openxmlformats.org/drawingml/2006/picture">
                <pic:pic>
                  <pic:nvPicPr>
                    <pic:cNvPr id="1929" name="Image 1929"/>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80"/>
          <w:sz w:val="20"/>
        </w:rPr>
        <w:t> </w:t>
      </w:r>
      <w:r>
        <w:rPr>
          <w:color w:val="231F20"/>
          <w:sz w:val="20"/>
        </w:rPr>
        <w:t>move them back to the </w:t>
      </w:r>
      <w:r>
        <w:rPr>
          <w:rFonts w:ascii="Book Antiqua"/>
          <w:b/>
          <w:color w:val="231F20"/>
          <w:sz w:val="20"/>
        </w:rPr>
        <w:t>Available </w:t>
      </w:r>
      <w:r>
        <w:rPr>
          <w:color w:val="231F20"/>
          <w:sz w:val="20"/>
        </w:rPr>
        <w:t>list. You can also use Ctrl+click to select</w:t>
      </w:r>
      <w:r>
        <w:rPr>
          <w:color w:val="231F20"/>
          <w:spacing w:val="40"/>
          <w:sz w:val="20"/>
        </w:rPr>
        <w:t> </w:t>
      </w:r>
      <w:r>
        <w:rPr>
          <w:color w:val="231F20"/>
          <w:sz w:val="20"/>
        </w:rPr>
        <w:t>multiple items and Shift+click to select all items between the item last selected and this one.</w:t>
      </w:r>
    </w:p>
    <w:p>
      <w:pPr>
        <w:pStyle w:val="ListParagraph"/>
        <w:numPr>
          <w:ilvl w:val="2"/>
          <w:numId w:val="102"/>
        </w:numPr>
        <w:tabs>
          <w:tab w:pos="3091" w:val="left" w:leader="none"/>
          <w:tab w:pos="3093" w:val="left" w:leader="none"/>
        </w:tabs>
        <w:spacing w:line="213" w:lineRule="auto" w:before="56" w:after="0"/>
        <w:ind w:left="3093" w:right="200" w:hanging="305"/>
        <w:jc w:val="left"/>
        <w:rPr>
          <w:sz w:val="20"/>
        </w:rPr>
      </w:pPr>
      <w:r>
        <w:rPr>
          <w:color w:val="231F20"/>
          <w:sz w:val="20"/>
        </w:rPr>
        <w:t>If this is a historical object group, the name is disabled as are any managed systems and managed system groups that are assigned to the distribution through the historical group. Right-click a name and click</w:t>
      </w:r>
      <w:r>
        <w:rPr>
          <w:color w:val="231F20"/>
          <w:spacing w:val="30"/>
          <w:sz w:val="20"/>
        </w:rPr>
        <w:t> </w:t>
      </w:r>
      <w:r>
        <w:rPr>
          <w:color w:val="231F20"/>
          <w:spacing w:val="-25"/>
          <w:position w:val="-1"/>
          <w:sz w:val="20"/>
        </w:rPr>
        <w:drawing>
          <wp:inline distT="0" distB="0" distL="0" distR="0">
            <wp:extent cx="88900" cy="88900"/>
            <wp:effectExtent l="0" t="0" r="0" b="0"/>
            <wp:docPr id="1930" name="Image 1930"/>
            <wp:cNvGraphicFramePr>
              <a:graphicFrameLocks/>
            </wp:cNvGraphicFramePr>
            <a:graphic>
              <a:graphicData uri="http://schemas.openxmlformats.org/drawingml/2006/picture">
                <pic:pic>
                  <pic:nvPicPr>
                    <pic:cNvPr id="1930" name="Image 1930"/>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5"/>
          <w:position w:val="-1"/>
          <w:sz w:val="20"/>
        </w:rPr>
      </w:r>
      <w:r>
        <w:rPr>
          <w:rFonts w:ascii="Times New Roman"/>
          <w:color w:val="231F20"/>
          <w:spacing w:val="39"/>
          <w:sz w:val="20"/>
        </w:rPr>
        <w:t> </w:t>
      </w:r>
      <w:r>
        <w:rPr>
          <w:rFonts w:ascii="Book Antiqua"/>
          <w:b/>
          <w:color w:val="231F20"/>
          <w:sz w:val="20"/>
        </w:rPr>
        <w:t>Show Groups</w:t>
      </w:r>
      <w:r>
        <w:rPr>
          <w:rFonts w:ascii="Book Antiqua"/>
          <w:b/>
          <w:color w:val="231F20"/>
          <w:spacing w:val="80"/>
          <w:sz w:val="20"/>
        </w:rPr>
        <w:t> </w:t>
      </w:r>
      <w:r>
        <w:rPr>
          <w:color w:val="231F20"/>
          <w:sz w:val="20"/>
        </w:rPr>
        <w:t>to see the historical configuration group it was distributed to, then </w:t>
      </w:r>
      <w:r>
        <w:rPr>
          <w:color w:val="231F20"/>
          <w:sz w:val="20"/>
        </w:rPr>
        <w:t>complete the next step.</w:t>
      </w:r>
    </w:p>
    <w:p>
      <w:pPr>
        <w:pStyle w:val="ListParagraph"/>
        <w:numPr>
          <w:ilvl w:val="1"/>
          <w:numId w:val="102"/>
        </w:numPr>
        <w:tabs>
          <w:tab w:pos="2787" w:val="left" w:leader="none"/>
        </w:tabs>
        <w:spacing w:line="240" w:lineRule="auto" w:before="33" w:after="0"/>
        <w:ind w:left="2787" w:right="0" w:hanging="315"/>
        <w:jc w:val="left"/>
        <w:rPr>
          <w:sz w:val="20"/>
        </w:rPr>
      </w:pPr>
      <w:r>
        <w:rPr>
          <w:color w:val="231F20"/>
          <w:sz w:val="20"/>
        </w:rPr>
        <w:t>For</w:t>
      </w:r>
      <w:r>
        <w:rPr>
          <w:color w:val="231F20"/>
          <w:spacing w:val="10"/>
          <w:sz w:val="20"/>
        </w:rPr>
        <w:t> </w:t>
      </w:r>
      <w:r>
        <w:rPr>
          <w:color w:val="231F20"/>
          <w:sz w:val="20"/>
        </w:rPr>
        <w:t>managed</w:t>
      </w:r>
      <w:r>
        <w:rPr>
          <w:color w:val="231F20"/>
          <w:spacing w:val="10"/>
          <w:sz w:val="20"/>
        </w:rPr>
        <w:t> </w:t>
      </w:r>
      <w:r>
        <w:rPr>
          <w:color w:val="231F20"/>
          <w:sz w:val="20"/>
        </w:rPr>
        <w:t>systems</w:t>
      </w:r>
      <w:r>
        <w:rPr>
          <w:color w:val="231F20"/>
          <w:spacing w:val="10"/>
          <w:sz w:val="20"/>
        </w:rPr>
        <w:t> </w:t>
      </w:r>
      <w:r>
        <w:rPr>
          <w:color w:val="231F20"/>
          <w:sz w:val="20"/>
        </w:rPr>
        <w:t>that</w:t>
      </w:r>
      <w:r>
        <w:rPr>
          <w:color w:val="231F20"/>
          <w:spacing w:val="10"/>
          <w:sz w:val="20"/>
        </w:rPr>
        <w:t> </w:t>
      </w:r>
      <w:r>
        <w:rPr>
          <w:color w:val="231F20"/>
          <w:sz w:val="20"/>
        </w:rPr>
        <w:t>are</w:t>
      </w:r>
      <w:r>
        <w:rPr>
          <w:color w:val="231F20"/>
          <w:spacing w:val="10"/>
          <w:sz w:val="20"/>
        </w:rPr>
        <w:t> </w:t>
      </w:r>
      <w:r>
        <w:rPr>
          <w:color w:val="231F20"/>
          <w:sz w:val="20"/>
        </w:rPr>
        <w:t>assigned</w:t>
      </w:r>
      <w:r>
        <w:rPr>
          <w:color w:val="231F20"/>
          <w:spacing w:val="10"/>
          <w:sz w:val="20"/>
        </w:rPr>
        <w:t> </w:t>
      </w:r>
      <w:r>
        <w:rPr>
          <w:color w:val="231F20"/>
          <w:sz w:val="20"/>
        </w:rPr>
        <w:t>to</w:t>
      </w:r>
      <w:r>
        <w:rPr>
          <w:color w:val="231F20"/>
          <w:spacing w:val="10"/>
          <w:sz w:val="20"/>
        </w:rPr>
        <w:t> </w:t>
      </w:r>
      <w:r>
        <w:rPr>
          <w:color w:val="231F20"/>
          <w:sz w:val="20"/>
        </w:rPr>
        <w:t>a</w:t>
      </w:r>
      <w:r>
        <w:rPr>
          <w:color w:val="231F20"/>
          <w:spacing w:val="10"/>
          <w:sz w:val="20"/>
        </w:rPr>
        <w:t> </w:t>
      </w:r>
      <w:r>
        <w:rPr>
          <w:color w:val="231F20"/>
          <w:sz w:val="20"/>
        </w:rPr>
        <w:t>historical</w:t>
      </w:r>
      <w:r>
        <w:rPr>
          <w:color w:val="231F20"/>
          <w:spacing w:val="10"/>
          <w:sz w:val="20"/>
        </w:rPr>
        <w:t> </w:t>
      </w:r>
      <w:r>
        <w:rPr>
          <w:color w:val="231F20"/>
          <w:sz w:val="20"/>
        </w:rPr>
        <w:t>configuration</w:t>
      </w:r>
      <w:r>
        <w:rPr>
          <w:color w:val="231F20"/>
          <w:spacing w:val="10"/>
          <w:sz w:val="20"/>
        </w:rPr>
        <w:t> </w:t>
      </w:r>
      <w:r>
        <w:rPr>
          <w:color w:val="231F20"/>
          <w:spacing w:val="-2"/>
          <w:sz w:val="20"/>
        </w:rPr>
        <w:t>group:</w:t>
      </w:r>
    </w:p>
    <w:p>
      <w:pPr>
        <w:pStyle w:val="ListParagraph"/>
        <w:numPr>
          <w:ilvl w:val="2"/>
          <w:numId w:val="102"/>
        </w:numPr>
        <w:tabs>
          <w:tab w:pos="3103" w:val="left" w:leader="none"/>
        </w:tabs>
        <w:spacing w:line="240" w:lineRule="auto" w:before="30" w:after="0"/>
        <w:ind w:left="3103" w:right="0" w:hanging="315"/>
        <w:jc w:val="left"/>
        <w:rPr>
          <w:sz w:val="20"/>
        </w:rPr>
      </w:pPr>
      <w:r>
        <w:rPr>
          <w:color w:val="231F20"/>
          <w:sz w:val="20"/>
        </w:rPr>
        <w:t>Click</w:t>
      </w:r>
      <w:r>
        <w:rPr>
          <w:color w:val="231F20"/>
          <w:spacing w:val="11"/>
          <w:sz w:val="20"/>
        </w:rPr>
        <w:t> </w:t>
      </w:r>
      <w:r>
        <w:rPr>
          <w:rFonts w:ascii="Book Antiqua"/>
          <w:b/>
          <w:color w:val="231F20"/>
          <w:spacing w:val="-2"/>
          <w:sz w:val="20"/>
        </w:rPr>
        <w:t>Group</w:t>
      </w:r>
      <w:r>
        <w:rPr>
          <w:color w:val="231F20"/>
          <w:spacing w:val="-2"/>
          <w:sz w:val="20"/>
        </w:rPr>
        <w:t>.</w:t>
      </w:r>
    </w:p>
    <w:p>
      <w:pPr>
        <w:pStyle w:val="ListParagraph"/>
        <w:numPr>
          <w:ilvl w:val="2"/>
          <w:numId w:val="102"/>
        </w:numPr>
        <w:tabs>
          <w:tab w:pos="3103" w:val="left" w:leader="none"/>
        </w:tabs>
        <w:spacing w:line="240" w:lineRule="auto" w:before="29" w:after="0"/>
        <w:ind w:left="3103" w:right="0" w:hanging="315"/>
        <w:jc w:val="left"/>
        <w:rPr>
          <w:sz w:val="20"/>
        </w:rPr>
      </w:pPr>
      <w:r>
        <w:rPr>
          <w:color w:val="231F20"/>
          <w:sz w:val="20"/>
        </w:rPr>
        <w:t>Click</w:t>
      </w:r>
      <w:r>
        <w:rPr>
          <w:color w:val="231F20"/>
          <w:spacing w:val="8"/>
          <w:sz w:val="20"/>
        </w:rPr>
        <w:t> </w:t>
      </w:r>
      <w:r>
        <w:rPr>
          <w:color w:val="231F20"/>
          <w:sz w:val="20"/>
        </w:rPr>
        <w:t>the</w:t>
      </w:r>
      <w:r>
        <w:rPr>
          <w:color w:val="231F20"/>
          <w:spacing w:val="21"/>
          <w:sz w:val="20"/>
        </w:rPr>
        <w:t> </w:t>
      </w:r>
      <w:r>
        <w:rPr>
          <w:color w:val="231F20"/>
          <w:spacing w:val="-24"/>
          <w:position w:val="-1"/>
          <w:sz w:val="20"/>
        </w:rPr>
        <w:drawing>
          <wp:inline distT="0" distB="0" distL="0" distR="0">
            <wp:extent cx="88900" cy="88900"/>
            <wp:effectExtent l="0" t="0" r="0" b="0"/>
            <wp:docPr id="1931" name="Image 1931"/>
            <wp:cNvGraphicFramePr>
              <a:graphicFrameLocks/>
            </wp:cNvGraphicFramePr>
            <a:graphic>
              <a:graphicData uri="http://schemas.openxmlformats.org/drawingml/2006/picture">
                <pic:pic>
                  <pic:nvPicPr>
                    <pic:cNvPr id="1931" name="Image 1931"/>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sz w:val="20"/>
        </w:rPr>
      </w:r>
      <w:r>
        <w:rPr>
          <w:rFonts w:ascii="Times New Roman"/>
          <w:color w:val="231F20"/>
          <w:spacing w:val="63"/>
          <w:w w:val="150"/>
          <w:sz w:val="20"/>
        </w:rPr>
        <w:t> </w:t>
      </w:r>
      <w:r>
        <w:rPr>
          <w:color w:val="231F20"/>
          <w:sz w:val="20"/>
        </w:rPr>
        <w:t>historical</w:t>
      </w:r>
      <w:r>
        <w:rPr>
          <w:color w:val="231F20"/>
          <w:spacing w:val="11"/>
          <w:sz w:val="20"/>
        </w:rPr>
        <w:t> </w:t>
      </w:r>
      <w:r>
        <w:rPr>
          <w:color w:val="231F20"/>
          <w:sz w:val="20"/>
        </w:rPr>
        <w:t>group</w:t>
      </w:r>
      <w:r>
        <w:rPr>
          <w:color w:val="231F20"/>
          <w:spacing w:val="12"/>
          <w:sz w:val="20"/>
        </w:rPr>
        <w:t> </w:t>
      </w:r>
      <w:r>
        <w:rPr>
          <w:color w:val="231F20"/>
          <w:sz w:val="20"/>
        </w:rPr>
        <w:t>in</w:t>
      </w:r>
      <w:r>
        <w:rPr>
          <w:color w:val="231F20"/>
          <w:spacing w:val="11"/>
          <w:sz w:val="20"/>
        </w:rPr>
        <w:t> </w:t>
      </w:r>
      <w:r>
        <w:rPr>
          <w:color w:val="231F20"/>
          <w:sz w:val="20"/>
        </w:rPr>
        <w:t>the</w:t>
      </w:r>
      <w:r>
        <w:rPr>
          <w:color w:val="231F20"/>
          <w:spacing w:val="10"/>
          <w:sz w:val="20"/>
        </w:rPr>
        <w:t> </w:t>
      </w:r>
      <w:r>
        <w:rPr>
          <w:color w:val="231F20"/>
          <w:spacing w:val="15"/>
          <w:position w:val="-1"/>
          <w:sz w:val="20"/>
        </w:rPr>
        <w:drawing>
          <wp:inline distT="0" distB="0" distL="0" distR="0">
            <wp:extent cx="101600" cy="95250"/>
            <wp:effectExtent l="0" t="0" r="0" b="0"/>
            <wp:docPr id="1932" name="Image 1932"/>
            <wp:cNvGraphicFramePr>
              <a:graphicFrameLocks/>
            </wp:cNvGraphicFramePr>
            <a:graphic>
              <a:graphicData uri="http://schemas.openxmlformats.org/drawingml/2006/picture">
                <pic:pic>
                  <pic:nvPicPr>
                    <pic:cNvPr id="1932" name="Image 1932"/>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Historical</w:t>
      </w:r>
      <w:r>
        <w:rPr>
          <w:rFonts w:ascii="Book Antiqua"/>
          <w:b/>
          <w:color w:val="231F20"/>
          <w:spacing w:val="11"/>
          <w:sz w:val="20"/>
        </w:rPr>
        <w:t> </w:t>
      </w:r>
      <w:r>
        <w:rPr>
          <w:rFonts w:ascii="Book Antiqua"/>
          <w:b/>
          <w:color w:val="231F20"/>
          <w:sz w:val="20"/>
        </w:rPr>
        <w:t>configurations</w:t>
      </w:r>
      <w:r>
        <w:rPr>
          <w:rFonts w:ascii="Book Antiqua"/>
          <w:b/>
          <w:color w:val="231F20"/>
          <w:spacing w:val="12"/>
          <w:sz w:val="20"/>
        </w:rPr>
        <w:t> </w:t>
      </w:r>
      <w:r>
        <w:rPr>
          <w:color w:val="231F20"/>
          <w:spacing w:val="-2"/>
          <w:sz w:val="20"/>
        </w:rPr>
        <w:t>branch.</w:t>
      </w:r>
    </w:p>
    <w:p>
      <w:pPr>
        <w:pStyle w:val="ListParagraph"/>
        <w:numPr>
          <w:ilvl w:val="2"/>
          <w:numId w:val="102"/>
        </w:numPr>
        <w:tabs>
          <w:tab w:pos="3091" w:val="left" w:leader="none"/>
        </w:tabs>
        <w:spacing w:line="240" w:lineRule="auto" w:before="30" w:after="0"/>
        <w:ind w:left="3091" w:right="0" w:hanging="303"/>
        <w:jc w:val="left"/>
        <w:rPr>
          <w:sz w:val="20"/>
        </w:rPr>
      </w:pPr>
      <w:r>
        <w:rPr>
          <w:color w:val="231F20"/>
          <w:sz w:val="20"/>
        </w:rPr>
        <w:t>Click</w:t>
      </w:r>
      <w:r>
        <w:rPr>
          <w:color w:val="231F20"/>
          <w:spacing w:val="9"/>
          <w:sz w:val="20"/>
        </w:rPr>
        <w:t> </w:t>
      </w:r>
      <w:r>
        <w:rPr>
          <w:color w:val="231F20"/>
          <w:sz w:val="20"/>
        </w:rPr>
        <w:t>the</w:t>
      </w:r>
      <w:r>
        <w:rPr>
          <w:color w:val="231F20"/>
          <w:spacing w:val="9"/>
          <w:sz w:val="20"/>
        </w:rPr>
        <w:t> </w:t>
      </w:r>
      <w:r>
        <w:rPr>
          <w:rFonts w:ascii="Book Antiqua"/>
          <w:b/>
          <w:color w:val="231F20"/>
          <w:sz w:val="20"/>
        </w:rPr>
        <w:t>Distributions</w:t>
      </w:r>
      <w:r>
        <w:rPr>
          <w:rFonts w:ascii="Book Antiqua"/>
          <w:b/>
          <w:color w:val="231F20"/>
          <w:spacing w:val="10"/>
          <w:sz w:val="20"/>
        </w:rPr>
        <w:t> </w:t>
      </w:r>
      <w:r>
        <w:rPr>
          <w:color w:val="231F20"/>
          <w:spacing w:val="-4"/>
          <w:sz w:val="20"/>
        </w:rPr>
        <w:t>tab.</w:t>
      </w:r>
    </w:p>
    <w:p>
      <w:pPr>
        <w:pStyle w:val="ListParagraph"/>
        <w:numPr>
          <w:ilvl w:val="2"/>
          <w:numId w:val="102"/>
        </w:numPr>
        <w:tabs>
          <w:tab w:pos="3104" w:val="left" w:leader="none"/>
        </w:tabs>
        <w:spacing w:line="213" w:lineRule="auto" w:before="53" w:after="0"/>
        <w:ind w:left="3104" w:right="182" w:hanging="316"/>
        <w:jc w:val="left"/>
        <w:rPr>
          <w:sz w:val="20"/>
        </w:rPr>
      </w:pPr>
      <w:r>
        <w:rPr>
          <w:color w:val="231F20"/>
          <w:sz w:val="20"/>
        </w:rPr>
        <w:t>In the </w:t>
      </w:r>
      <w:r>
        <w:rPr>
          <w:rFonts w:ascii="Book Antiqua"/>
          <w:b/>
          <w:color w:val="231F20"/>
          <w:sz w:val="20"/>
        </w:rPr>
        <w:t>Assigned managed systems </w:t>
      </w:r>
      <w:r>
        <w:rPr>
          <w:color w:val="231F20"/>
          <w:sz w:val="20"/>
        </w:rPr>
        <w:t>list, click the systems or groups (or both) that you want to stop collection on and </w:t>
      </w:r>
      <w:r>
        <w:rPr>
          <w:color w:val="231F20"/>
          <w:spacing w:val="19"/>
          <w:position w:val="1"/>
          <w:sz w:val="20"/>
        </w:rPr>
        <w:drawing>
          <wp:inline distT="0" distB="0" distL="0" distR="0">
            <wp:extent cx="44450" cy="76200"/>
            <wp:effectExtent l="0" t="0" r="0" b="0"/>
            <wp:docPr id="1933" name="Image 1933"/>
            <wp:cNvGraphicFramePr>
              <a:graphicFrameLocks/>
            </wp:cNvGraphicFramePr>
            <a:graphic>
              <a:graphicData uri="http://schemas.openxmlformats.org/drawingml/2006/picture">
                <pic:pic>
                  <pic:nvPicPr>
                    <pic:cNvPr id="1933" name="Image 1933"/>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9"/>
          <w:position w:val="1"/>
          <w:sz w:val="20"/>
        </w:rPr>
      </w:r>
      <w:r>
        <w:rPr>
          <w:rFonts w:ascii="Times New Roman"/>
          <w:color w:val="231F20"/>
          <w:spacing w:val="19"/>
          <w:sz w:val="20"/>
        </w:rPr>
        <w:t> </w:t>
      </w:r>
      <w:r>
        <w:rPr>
          <w:color w:val="231F20"/>
          <w:sz w:val="20"/>
        </w:rPr>
        <w:t>move them back to the </w:t>
      </w:r>
      <w:r>
        <w:rPr>
          <w:rFonts w:ascii="Book Antiqua"/>
          <w:b/>
          <w:color w:val="231F20"/>
          <w:sz w:val="20"/>
        </w:rPr>
        <w:t>Available </w:t>
      </w:r>
      <w:r>
        <w:rPr>
          <w:color w:val="231F20"/>
          <w:spacing w:val="-2"/>
          <w:sz w:val="20"/>
        </w:rPr>
        <w:t>list.</w:t>
      </w:r>
    </w:p>
    <w:p>
      <w:pPr>
        <w:pStyle w:val="ListParagraph"/>
        <w:numPr>
          <w:ilvl w:val="1"/>
          <w:numId w:val="102"/>
        </w:numPr>
        <w:tabs>
          <w:tab w:pos="2787" w:val="left" w:leader="none"/>
        </w:tabs>
        <w:spacing w:line="240" w:lineRule="auto" w:before="34" w:after="0"/>
        <w:ind w:left="2787" w:right="0" w:hanging="315"/>
        <w:jc w:val="left"/>
        <w:rPr>
          <w:sz w:val="20"/>
        </w:rPr>
      </w:pPr>
      <w:r>
        <w:rPr>
          <w:color w:val="231F20"/>
          <w:sz w:val="20"/>
        </w:rPr>
        <w:t>To</w:t>
      </w:r>
      <w:r>
        <w:rPr>
          <w:color w:val="231F20"/>
          <w:spacing w:val="10"/>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z w:val="20"/>
        </w:rPr>
        <w:t>changes,</w:t>
      </w:r>
      <w:r>
        <w:rPr>
          <w:color w:val="231F20"/>
          <w:spacing w:val="11"/>
          <w:sz w:val="20"/>
        </w:rPr>
        <w:t> </w:t>
      </w:r>
      <w:r>
        <w:rPr>
          <w:color w:val="231F20"/>
          <w:sz w:val="20"/>
        </w:rPr>
        <w:t>click</w:t>
      </w:r>
      <w:r>
        <w:rPr>
          <w:color w:val="231F20"/>
          <w:spacing w:val="10"/>
          <w:sz w:val="20"/>
        </w:rPr>
        <w:t> </w:t>
      </w:r>
      <w:r>
        <w:rPr>
          <w:rFonts w:ascii="Book Antiqua"/>
          <w:b/>
          <w:color w:val="231F20"/>
          <w:sz w:val="20"/>
        </w:rPr>
        <w:t>Apply</w:t>
      </w:r>
      <w:r>
        <w:rPr>
          <w:rFonts w:ascii="Book Antiqua"/>
          <w:b/>
          <w:color w:val="231F20"/>
          <w:spacing w:val="11"/>
          <w:sz w:val="20"/>
        </w:rPr>
        <w:t> </w:t>
      </w:r>
      <w:r>
        <w:rPr>
          <w:color w:val="231F20"/>
          <w:sz w:val="20"/>
        </w:rPr>
        <w:t>to</w:t>
      </w:r>
      <w:r>
        <w:rPr>
          <w:color w:val="231F20"/>
          <w:spacing w:val="11"/>
          <w:sz w:val="20"/>
        </w:rPr>
        <w:t> </w:t>
      </w:r>
      <w:r>
        <w:rPr>
          <w:color w:val="231F20"/>
          <w:sz w:val="20"/>
        </w:rPr>
        <w:t>keep</w:t>
      </w:r>
      <w:r>
        <w:rPr>
          <w:color w:val="231F20"/>
          <w:spacing w:val="11"/>
          <w:sz w:val="20"/>
        </w:rPr>
        <w:t> </w:t>
      </w:r>
      <w:r>
        <w:rPr>
          <w:color w:val="231F20"/>
          <w:sz w:val="20"/>
        </w:rPr>
        <w:t>the</w:t>
      </w:r>
      <w:r>
        <w:rPr>
          <w:color w:val="231F20"/>
          <w:spacing w:val="10"/>
          <w:sz w:val="20"/>
        </w:rPr>
        <w:t> </w:t>
      </w:r>
      <w:r>
        <w:rPr>
          <w:color w:val="231F20"/>
          <w:sz w:val="20"/>
        </w:rPr>
        <w:t>window</w:t>
      </w:r>
      <w:r>
        <w:rPr>
          <w:color w:val="231F20"/>
          <w:spacing w:val="11"/>
          <w:sz w:val="20"/>
        </w:rPr>
        <w:t> </w:t>
      </w:r>
      <w:r>
        <w:rPr>
          <w:color w:val="231F20"/>
          <w:sz w:val="20"/>
        </w:rPr>
        <w:t>open</w:t>
      </w:r>
      <w:r>
        <w:rPr>
          <w:color w:val="231F20"/>
          <w:spacing w:val="11"/>
          <w:sz w:val="20"/>
        </w:rPr>
        <w:t> </w:t>
      </w:r>
      <w:r>
        <w:rPr>
          <w:color w:val="231F20"/>
          <w:sz w:val="20"/>
        </w:rPr>
        <w:t>or</w:t>
      </w:r>
      <w:r>
        <w:rPr>
          <w:color w:val="231F20"/>
          <w:spacing w:val="11"/>
          <w:sz w:val="20"/>
        </w:rPr>
        <w:t> </w:t>
      </w:r>
      <w:r>
        <w:rPr>
          <w:rFonts w:ascii="Book Antiqua"/>
          <w:b/>
          <w:color w:val="231F20"/>
          <w:sz w:val="20"/>
        </w:rPr>
        <w:t>OK</w:t>
      </w:r>
      <w:r>
        <w:rPr>
          <w:rFonts w:ascii="Book Antiqua"/>
          <w:b/>
          <w:color w:val="231F20"/>
          <w:spacing w:val="10"/>
          <w:sz w:val="20"/>
        </w:rPr>
        <w:t> </w:t>
      </w:r>
      <w:r>
        <w:rPr>
          <w:color w:val="231F20"/>
          <w:sz w:val="20"/>
        </w:rPr>
        <w:t>to</w:t>
      </w:r>
      <w:r>
        <w:rPr>
          <w:color w:val="231F20"/>
          <w:spacing w:val="11"/>
          <w:sz w:val="20"/>
        </w:rPr>
        <w:t> </w:t>
      </w:r>
      <w:r>
        <w:rPr>
          <w:color w:val="231F20"/>
          <w:sz w:val="20"/>
        </w:rPr>
        <w:t>close</w:t>
      </w:r>
      <w:r>
        <w:rPr>
          <w:color w:val="231F20"/>
          <w:spacing w:val="11"/>
          <w:sz w:val="20"/>
        </w:rPr>
        <w:t> </w:t>
      </w:r>
      <w:r>
        <w:rPr>
          <w:color w:val="231F20"/>
          <w:spacing w:val="-5"/>
          <w:sz w:val="20"/>
        </w:rPr>
        <w:t>it.</w:t>
      </w:r>
    </w:p>
    <w:p>
      <w:pPr>
        <w:spacing w:after="0" w:line="240" w:lineRule="auto"/>
        <w:jc w:val="left"/>
        <w:rPr>
          <w:sz w:val="20"/>
        </w:rPr>
        <w:sectPr>
          <w:pgSz w:w="12240" w:h="15840"/>
          <w:pgMar w:header="0" w:footer="736" w:top="1180" w:bottom="920" w:left="1000" w:right="1060"/>
        </w:sectPr>
      </w:pPr>
    </w:p>
    <w:p>
      <w:pPr>
        <w:pStyle w:val="Heading4"/>
        <w:spacing w:before="86"/>
      </w:pPr>
      <w:bookmarkStart w:name="_bookmark164" w:id="360"/>
      <w:bookmarkEnd w:id="360"/>
      <w:r>
        <w:rPr>
          <w:b w:val="0"/>
        </w:rPr>
      </w:r>
      <w:r>
        <w:rPr>
          <w:color w:val="231F20"/>
          <w:spacing w:val="-2"/>
        </w:rPr>
        <w:t>Results</w:t>
      </w:r>
    </w:p>
    <w:p>
      <w:pPr>
        <w:pStyle w:val="BodyText"/>
        <w:spacing w:line="213" w:lineRule="auto" w:before="242"/>
        <w:ind w:left="2232" w:right="636"/>
      </w:pPr>
      <w:r>
        <w:rPr>
          <w:color w:val="231F20"/>
        </w:rPr>
        <w:t>Historical data collection no longer occurs on the managed systems that you moved out of the </w:t>
      </w:r>
      <w:r>
        <w:rPr>
          <w:rFonts w:ascii="Book Antiqua"/>
          <w:b/>
          <w:color w:val="231F20"/>
        </w:rPr>
        <w:t>Start collection on </w:t>
      </w:r>
      <w:r>
        <w:rPr>
          <w:color w:val="231F20"/>
        </w:rPr>
        <w:t>list for the historical collection definition </w:t>
      </w:r>
      <w:r>
        <w:rPr>
          <w:color w:val="231F20"/>
        </w:rPr>
        <w:t>or that you moved out of the </w:t>
      </w:r>
      <w:r>
        <w:rPr>
          <w:rFonts w:ascii="Book Antiqua"/>
          <w:b/>
          <w:color w:val="231F20"/>
        </w:rPr>
        <w:t>Assigned managed systems </w:t>
      </w:r>
      <w:r>
        <w:rPr>
          <w:color w:val="231F20"/>
        </w:rPr>
        <w:t>list for the historical configuration group.</w:t>
      </w:r>
    </w:p>
    <w:p>
      <w:pPr>
        <w:pStyle w:val="BodyText"/>
        <w:spacing w:line="213" w:lineRule="auto" w:before="236"/>
        <w:ind w:left="2232" w:right="683"/>
        <w:jc w:val="both"/>
      </w:pPr>
      <w:r>
        <w:rPr>
          <w:color w:val="231F20"/>
        </w:rPr>
        <w:t>If data collection was stopped on all managed systems that were assigned to </w:t>
      </w:r>
      <w:r>
        <w:rPr>
          <w:color w:val="231F20"/>
        </w:rPr>
        <w:t>the historical collection, its icon changes to indicate that it is </w:t>
      </w:r>
      <w:r>
        <w:rPr>
          <w:color w:val="231F20"/>
          <w:spacing w:val="15"/>
          <w:position w:val="-1"/>
        </w:rPr>
        <w:drawing>
          <wp:inline distT="0" distB="0" distL="0" distR="0">
            <wp:extent cx="101600" cy="101600"/>
            <wp:effectExtent l="0" t="0" r="0" b="0"/>
            <wp:docPr id="1934" name="Image 1934"/>
            <wp:cNvGraphicFramePr>
              <a:graphicFrameLocks/>
            </wp:cNvGraphicFramePr>
            <a:graphic>
              <a:graphicData uri="http://schemas.openxmlformats.org/drawingml/2006/picture">
                <pic:pic>
                  <pic:nvPicPr>
                    <pic:cNvPr id="1934" name="Image 1934"/>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not distributed.</w:t>
      </w:r>
    </w:p>
    <w:p>
      <w:pPr>
        <w:pStyle w:val="BodyText"/>
        <w:spacing w:line="213" w:lineRule="auto"/>
        <w:ind w:left="2232" w:right="691"/>
        <w:jc w:val="both"/>
      </w:pPr>
      <w:r>
        <w:rPr>
          <w:color w:val="231F20"/>
        </w:rPr>
        <w:t>Likewise, if data collection was stopped on all managed systems for an </w:t>
      </w:r>
      <w:r>
        <w:rPr>
          <w:color w:val="231F20"/>
        </w:rPr>
        <w:t>attribute group, the </w:t>
      </w:r>
      <w:r>
        <w:rPr>
          <w:color w:val="231F20"/>
          <w:spacing w:val="16"/>
          <w:position w:val="-4"/>
        </w:rPr>
        <w:drawing>
          <wp:inline distT="0" distB="0" distL="0" distR="0">
            <wp:extent cx="127000" cy="120650"/>
            <wp:effectExtent l="0" t="0" r="0" b="0"/>
            <wp:docPr id="1935" name="Image 1935"/>
            <wp:cNvGraphicFramePr>
              <a:graphicFrameLocks/>
            </wp:cNvGraphicFramePr>
            <a:graphic>
              <a:graphicData uri="http://schemas.openxmlformats.org/drawingml/2006/picture">
                <pic:pic>
                  <pic:nvPicPr>
                    <pic:cNvPr id="1935" name="Image 1935"/>
                    <pic:cNvPicPr/>
                  </pic:nvPicPr>
                  <pic:blipFill>
                    <a:blip r:embed="rId354" cstate="print"/>
                    <a:stretch>
                      <a:fillRect/>
                    </a:stretch>
                  </pic:blipFill>
                  <pic:spPr>
                    <a:xfrm>
                      <a:off x="0" y="0"/>
                      <a:ext cx="127000" cy="120650"/>
                    </a:xfrm>
                    <a:prstGeom prst="rect">
                      <a:avLst/>
                    </a:prstGeom>
                  </pic:spPr>
                </pic:pic>
              </a:graphicData>
            </a:graphic>
          </wp:inline>
        </w:drawing>
      </w:r>
      <w:r>
        <w:rPr>
          <w:color w:val="231F20"/>
          <w:spacing w:val="16"/>
          <w:position w:val="-4"/>
        </w:rPr>
      </w:r>
      <w:r>
        <w:rPr>
          <w:rFonts w:ascii="Times New Roman"/>
          <w:color w:val="231F20"/>
          <w:spacing w:val="16"/>
        </w:rPr>
        <w:t> </w:t>
      </w:r>
      <w:r>
        <w:rPr>
          <w:color w:val="231F20"/>
        </w:rPr>
        <w:t>icon that indicates data collection is started in the summarization and pruning table no longer displays.</w:t>
      </w:r>
    </w:p>
    <w:p>
      <w:pPr>
        <w:pStyle w:val="Heading4"/>
        <w:spacing w:before="198"/>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If you want to verify that you removed a managed system or managed </w:t>
      </w:r>
      <w:r>
        <w:rPr>
          <w:color w:val="231F20"/>
        </w:rPr>
        <w:t>system group from all historical collection definitions, you can use the </w:t>
      </w:r>
      <w:r>
        <w:rPr>
          <w:rFonts w:ascii="Arial"/>
          <w:b/>
          <w:color w:val="231F20"/>
        </w:rPr>
        <w:t>tacmd histlistcollections</w:t>
      </w:r>
      <w:r>
        <w:rPr>
          <w:rFonts w:ascii="Arial"/>
          <w:b/>
          <w:color w:val="231F20"/>
          <w:spacing w:val="38"/>
        </w:rPr>
        <w:t> </w:t>
      </w:r>
      <w:r>
        <w:rPr>
          <w:color w:val="231F20"/>
        </w:rPr>
        <w:t>command</w:t>
      </w:r>
      <w:r>
        <w:rPr>
          <w:color w:val="231F20"/>
          <w:spacing w:val="40"/>
        </w:rPr>
        <w:t> </w:t>
      </w:r>
      <w:r>
        <w:rPr>
          <w:color w:val="231F20"/>
        </w:rPr>
        <w:t>to</w:t>
      </w:r>
      <w:r>
        <w:rPr>
          <w:color w:val="231F20"/>
          <w:spacing w:val="40"/>
        </w:rPr>
        <w:t> </w:t>
      </w:r>
      <w:r>
        <w:rPr>
          <w:color w:val="231F20"/>
        </w:rPr>
        <w:t>list</w:t>
      </w:r>
      <w:r>
        <w:rPr>
          <w:color w:val="231F20"/>
          <w:spacing w:val="40"/>
        </w:rPr>
        <w:t> </w:t>
      </w:r>
      <w:r>
        <w:rPr>
          <w:color w:val="231F20"/>
        </w:rPr>
        <w:t>all</w:t>
      </w:r>
      <w:r>
        <w:rPr>
          <w:color w:val="231F20"/>
          <w:spacing w:val="40"/>
        </w:rPr>
        <w:t> </w:t>
      </w:r>
      <w:r>
        <w:rPr>
          <w:color w:val="231F20"/>
        </w:rPr>
        <w:t>the</w:t>
      </w:r>
      <w:r>
        <w:rPr>
          <w:color w:val="231F20"/>
          <w:spacing w:val="40"/>
        </w:rPr>
        <w:t> </w:t>
      </w:r>
      <w:r>
        <w:rPr>
          <w:color w:val="231F20"/>
        </w:rPr>
        <w:t>collections</w:t>
      </w:r>
      <w:r>
        <w:rPr>
          <w:color w:val="231F20"/>
          <w:spacing w:val="40"/>
        </w:rPr>
        <w:t> </w:t>
      </w:r>
      <w:r>
        <w:rPr>
          <w:color w:val="231F20"/>
        </w:rPr>
        <w:t>that</w:t>
      </w:r>
      <w:r>
        <w:rPr>
          <w:color w:val="231F20"/>
          <w:spacing w:val="40"/>
        </w:rPr>
        <w:t> </w:t>
      </w:r>
      <w:r>
        <w:rPr>
          <w:color w:val="231F20"/>
        </w:rPr>
        <w:t>are</w:t>
      </w:r>
      <w:r>
        <w:rPr>
          <w:color w:val="231F20"/>
          <w:spacing w:val="40"/>
        </w:rPr>
        <w:t> </w:t>
      </w:r>
      <w:r>
        <w:rPr>
          <w:color w:val="231F20"/>
        </w:rPr>
        <w:t>started</w:t>
      </w:r>
      <w:r>
        <w:rPr>
          <w:color w:val="231F20"/>
          <w:spacing w:val="40"/>
        </w:rPr>
        <w:t> </w:t>
      </w:r>
      <w:r>
        <w:rPr>
          <w:color w:val="231F20"/>
        </w:rPr>
        <w:t>for</w:t>
      </w:r>
      <w:r>
        <w:rPr>
          <w:color w:val="231F20"/>
          <w:spacing w:val="40"/>
        </w:rPr>
        <w:t> </w:t>
      </w:r>
      <w:r>
        <w:rPr>
          <w:color w:val="231F20"/>
        </w:rPr>
        <w:t>a managed system or managed system group.</w:t>
      </w:r>
    </w:p>
    <w:p>
      <w:pPr>
        <w:pStyle w:val="BodyText"/>
        <w:spacing w:line="213" w:lineRule="auto" w:before="237"/>
        <w:ind w:left="2232" w:right="493" w:hanging="1"/>
      </w:pPr>
      <w:r>
        <w:rPr>
          <w:color w:val="231F20"/>
        </w:rPr>
        <w:t>For</w:t>
      </w:r>
      <w:r>
        <w:rPr>
          <w:color w:val="231F20"/>
          <w:spacing w:val="40"/>
        </w:rPr>
        <w:t> </w:t>
      </w:r>
      <w:r>
        <w:rPr>
          <w:color w:val="231F20"/>
        </w:rPr>
        <w:t>example,</w:t>
      </w:r>
      <w:r>
        <w:rPr>
          <w:color w:val="231F20"/>
          <w:spacing w:val="40"/>
        </w:rPr>
        <w:t> </w:t>
      </w:r>
      <w:r>
        <w:rPr>
          <w:rFonts w:ascii="Arial"/>
          <w:color w:val="231F20"/>
        </w:rPr>
        <w:t>histListCollections</w:t>
      </w:r>
      <w:r>
        <w:rPr>
          <w:rFonts w:ascii="Arial"/>
          <w:color w:val="231F20"/>
          <w:spacing w:val="40"/>
        </w:rPr>
        <w:t> </w:t>
      </w:r>
      <w:r>
        <w:rPr>
          <w:rFonts w:ascii="Arial"/>
          <w:color w:val="231F20"/>
        </w:rPr>
        <w:t>-m</w:t>
      </w:r>
      <w:r>
        <w:rPr>
          <w:rFonts w:ascii="Arial"/>
          <w:color w:val="231F20"/>
          <w:spacing w:val="40"/>
        </w:rPr>
        <w:t> </w:t>
      </w:r>
      <w:r>
        <w:rPr>
          <w:rFonts w:ascii="Arial"/>
          <w:color w:val="231F20"/>
        </w:rPr>
        <w:t>Primary:BRAZIL:NT</w:t>
      </w:r>
      <w:r>
        <w:rPr>
          <w:rFonts w:ascii="Arial"/>
          <w:color w:val="231F20"/>
          <w:spacing w:val="40"/>
        </w:rPr>
        <w:t> </w:t>
      </w:r>
      <w:r>
        <w:rPr>
          <w:color w:val="231F20"/>
        </w:rPr>
        <w:t>shows</w:t>
      </w:r>
      <w:r>
        <w:rPr>
          <w:color w:val="231F20"/>
          <w:spacing w:val="40"/>
        </w:rPr>
        <w:t> </w:t>
      </w:r>
      <w:r>
        <w:rPr>
          <w:color w:val="231F20"/>
        </w:rPr>
        <w:t>all</w:t>
      </w:r>
      <w:r>
        <w:rPr>
          <w:color w:val="231F20"/>
          <w:spacing w:val="40"/>
        </w:rPr>
        <w:t> </w:t>
      </w:r>
      <w:r>
        <w:rPr>
          <w:color w:val="231F20"/>
        </w:rPr>
        <w:t>historical collections that are started on the managed system called Primary:BRAZIL:NT. </w:t>
      </w:r>
      <w:r>
        <w:rPr>
          <w:color w:val="231F20"/>
        </w:rPr>
        <w:t>See the </w:t>
      </w:r>
      <w:r>
        <w:rPr>
          <w:rFonts w:ascii="Book Antiqua"/>
          <w:i/>
          <w:color w:val="231F20"/>
        </w:rPr>
        <w:t>IBM Tivoli Monitoring Command Reference </w:t>
      </w:r>
      <w:r>
        <w:rPr>
          <w:color w:val="231F20"/>
        </w:rPr>
        <w:t>for more information.</w:t>
      </w:r>
    </w:p>
    <w:p>
      <w:pPr>
        <w:pStyle w:val="BodyText"/>
        <w:spacing w:line="213" w:lineRule="auto" w:before="238"/>
        <w:ind w:left="2232" w:right="385"/>
      </w:pPr>
      <w:r>
        <w:rPr>
          <w:color w:val="231F20"/>
        </w:rPr>
        <w:t>If</w:t>
      </w:r>
      <w:r>
        <w:rPr>
          <w:color w:val="231F20"/>
          <w:spacing w:val="27"/>
        </w:rPr>
        <w:t> </w:t>
      </w:r>
      <w:r>
        <w:rPr>
          <w:color w:val="231F20"/>
        </w:rPr>
        <w:t>your</w:t>
      </w:r>
      <w:r>
        <w:rPr>
          <w:color w:val="231F20"/>
          <w:spacing w:val="27"/>
        </w:rPr>
        <w:t> </w:t>
      </w:r>
      <w:r>
        <w:rPr>
          <w:color w:val="231F20"/>
        </w:rPr>
        <w:t>intention</w:t>
      </w:r>
      <w:r>
        <w:rPr>
          <w:color w:val="231F20"/>
          <w:spacing w:val="27"/>
        </w:rPr>
        <w:t> </w:t>
      </w:r>
      <w:r>
        <w:rPr>
          <w:color w:val="231F20"/>
        </w:rPr>
        <w:t>is</w:t>
      </w:r>
      <w:r>
        <w:rPr>
          <w:color w:val="231F20"/>
          <w:spacing w:val="27"/>
        </w:rPr>
        <w:t> </w:t>
      </w:r>
      <w:r>
        <w:rPr>
          <w:color w:val="231F20"/>
        </w:rPr>
        <w:t>to</w:t>
      </w:r>
      <w:r>
        <w:rPr>
          <w:color w:val="231F20"/>
          <w:spacing w:val="27"/>
        </w:rPr>
        <w:t> </w:t>
      </w:r>
      <w:r>
        <w:rPr>
          <w:color w:val="231F20"/>
        </w:rPr>
        <w:t>stop</w:t>
      </w:r>
      <w:r>
        <w:rPr>
          <w:color w:val="231F20"/>
          <w:spacing w:val="27"/>
        </w:rPr>
        <w:t> </w:t>
      </w:r>
      <w:r>
        <w:rPr>
          <w:color w:val="231F20"/>
        </w:rPr>
        <w:t>data</w:t>
      </w:r>
      <w:r>
        <w:rPr>
          <w:color w:val="231F20"/>
          <w:spacing w:val="27"/>
        </w:rPr>
        <w:t> </w:t>
      </w:r>
      <w:r>
        <w:rPr>
          <w:color w:val="231F20"/>
        </w:rPr>
        <w:t>collection</w:t>
      </w:r>
      <w:r>
        <w:rPr>
          <w:color w:val="231F20"/>
          <w:spacing w:val="27"/>
        </w:rPr>
        <w:t> </w:t>
      </w:r>
      <w:r>
        <w:rPr>
          <w:color w:val="231F20"/>
        </w:rPr>
        <w:t>on</w:t>
      </w:r>
      <w:r>
        <w:rPr>
          <w:color w:val="231F20"/>
          <w:spacing w:val="27"/>
        </w:rPr>
        <w:t> </w:t>
      </w:r>
      <w:r>
        <w:rPr>
          <w:color w:val="231F20"/>
        </w:rPr>
        <w:t>all</w:t>
      </w:r>
      <w:r>
        <w:rPr>
          <w:color w:val="231F20"/>
          <w:spacing w:val="27"/>
        </w:rPr>
        <w:t> </w:t>
      </w:r>
      <w:r>
        <w:rPr>
          <w:color w:val="231F20"/>
        </w:rPr>
        <w:t>managed</w:t>
      </w:r>
      <w:r>
        <w:rPr>
          <w:color w:val="231F20"/>
          <w:spacing w:val="27"/>
        </w:rPr>
        <w:t> </w:t>
      </w:r>
      <w:r>
        <w:rPr>
          <w:color w:val="231F20"/>
        </w:rPr>
        <w:t>systems</w:t>
      </w:r>
      <w:r>
        <w:rPr>
          <w:color w:val="231F20"/>
          <w:spacing w:val="27"/>
        </w:rPr>
        <w:t> </w:t>
      </w:r>
      <w:r>
        <w:rPr>
          <w:color w:val="231F20"/>
        </w:rPr>
        <w:t>for</w:t>
      </w:r>
      <w:r>
        <w:rPr>
          <w:color w:val="231F20"/>
          <w:spacing w:val="27"/>
        </w:rPr>
        <w:t> </w:t>
      </w:r>
      <w:r>
        <w:rPr>
          <w:color w:val="231F20"/>
        </w:rPr>
        <w:t>this collection permanently, delete the historical collection definition; if your intention </w:t>
      </w:r>
      <w:r>
        <w:rPr>
          <w:color w:val="231F20"/>
        </w:rPr>
        <w:t>is to stop data collection for the entire attribute group, delete all the collection definitions that were created for it.</w:t>
      </w:r>
    </w:p>
    <w:p>
      <w:pPr>
        <w:pStyle w:val="Heading3"/>
        <w:spacing w:before="216"/>
        <w:ind w:left="1334"/>
      </w:pPr>
      <w:bookmarkStart w:name="Starting data collection" w:id="361"/>
      <w:bookmarkEnd w:id="361"/>
      <w:r>
        <w:rPr>
          <w:b w:val="0"/>
        </w:rPr>
      </w:r>
      <w:r>
        <w:rPr>
          <w:color w:val="231F20"/>
        </w:rPr>
        <w:t>Starting</w:t>
      </w:r>
      <w:r>
        <w:rPr>
          <w:color w:val="231F20"/>
          <w:spacing w:val="6"/>
        </w:rPr>
        <w:t> </w:t>
      </w:r>
      <w:r>
        <w:rPr>
          <w:color w:val="231F20"/>
        </w:rPr>
        <w:t>data</w:t>
      </w:r>
      <w:r>
        <w:rPr>
          <w:color w:val="231F20"/>
          <w:spacing w:val="7"/>
        </w:rPr>
        <w:t> </w:t>
      </w:r>
      <w:r>
        <w:rPr>
          <w:color w:val="231F20"/>
          <w:spacing w:val="-2"/>
        </w:rPr>
        <w:t>collection</w:t>
      </w:r>
    </w:p>
    <w:p>
      <w:pPr>
        <w:pStyle w:val="BodyText"/>
        <w:spacing w:line="213" w:lineRule="auto" w:before="58"/>
        <w:ind w:left="2232"/>
      </w:pPr>
      <w:r>
        <w:rPr>
          <w:color w:val="231F20"/>
        </w:rPr>
        <w:t>You can start collection of historical data for attribute groups on selected </w:t>
      </w:r>
      <w:r>
        <w:rPr>
          <w:color w:val="231F20"/>
        </w:rPr>
        <w:t>managed systems and whenever you have managed systems that you want to add.</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93"/>
      </w:pPr>
      <w:r>
        <w:rPr>
          <w:color w:val="231F20"/>
        </w:rPr>
        <w:t>Your user ID must have Configure History permission to open the History Collection Configuration window. If you do not have this permission, you will </w:t>
      </w:r>
      <w:r>
        <w:rPr>
          <w:color w:val="231F20"/>
        </w:rPr>
        <w:t>not see the menu item or tool for historical configuration.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After you distribute the collection definitions to managed systems, data </w:t>
      </w:r>
      <w:r>
        <w:rPr>
          <w:color w:val="231F20"/>
        </w:rPr>
        <w:t>collection begins automatically. If data collection has been stopped for any of the managed systems in the distribution, complete these steps to resume collection. Complete these steps also if you want add new managed systems to the distribution.</w:t>
      </w:r>
    </w:p>
    <w:p>
      <w:pPr>
        <w:pStyle w:val="Heading4"/>
        <w:spacing w:before="199"/>
      </w:pPr>
      <w:r>
        <w:rPr>
          <w:color w:val="231F20"/>
          <w:spacing w:val="-2"/>
        </w:rPr>
        <w:t>Procedure</w:t>
      </w:r>
    </w:p>
    <w:p>
      <w:pPr>
        <w:pStyle w:val="ListParagraph"/>
        <w:numPr>
          <w:ilvl w:val="0"/>
          <w:numId w:val="103"/>
        </w:numPr>
        <w:tabs>
          <w:tab w:pos="2548" w:val="left" w:leader="none"/>
        </w:tabs>
        <w:spacing w:line="213" w:lineRule="auto" w:before="61" w:after="0"/>
        <w:ind w:left="2548" w:right="734"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936" name="Image 1936"/>
            <wp:cNvGraphicFramePr>
              <a:graphicFrameLocks/>
            </wp:cNvGraphicFramePr>
            <a:graphic>
              <a:graphicData uri="http://schemas.openxmlformats.org/drawingml/2006/picture">
                <pic:pic>
                  <pic:nvPicPr>
                    <pic:cNvPr id="1936" name="Image 1936"/>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History Configuration </w:t>
      </w:r>
      <w:r>
        <w:rPr>
          <w:color w:val="231F20"/>
          <w:sz w:val="20"/>
        </w:rPr>
        <w:t>to open the History Collection Configuration </w:t>
      </w:r>
      <w:r>
        <w:rPr>
          <w:color w:val="231F20"/>
          <w:spacing w:val="-2"/>
          <w:sz w:val="20"/>
        </w:rPr>
        <w:t>window.</w:t>
      </w:r>
    </w:p>
    <w:p>
      <w:pPr>
        <w:pStyle w:val="ListParagraph"/>
        <w:numPr>
          <w:ilvl w:val="0"/>
          <w:numId w:val="103"/>
        </w:numPr>
        <w:tabs>
          <w:tab w:pos="2547" w:val="left" w:leader="none"/>
        </w:tabs>
        <w:spacing w:line="240" w:lineRule="auto" w:before="36" w:after="0"/>
        <w:ind w:left="2547" w:right="0" w:hanging="315"/>
        <w:jc w:val="left"/>
        <w:rPr>
          <w:sz w:val="20"/>
        </w:rPr>
      </w:pPr>
      <w:r>
        <w:rPr>
          <w:color w:val="231F20"/>
          <w:sz w:val="20"/>
        </w:rPr>
        <w:t>Click</w:t>
      </w:r>
      <w:r>
        <w:rPr>
          <w:color w:val="231F20"/>
          <w:spacing w:val="10"/>
          <w:sz w:val="20"/>
        </w:rPr>
        <w:t> </w:t>
      </w:r>
      <w:r>
        <w:rPr>
          <w:color w:val="231F20"/>
          <w:sz w:val="20"/>
        </w:rPr>
        <w:t>the</w:t>
      </w:r>
      <w:r>
        <w:rPr>
          <w:color w:val="231F20"/>
          <w:spacing w:val="19"/>
          <w:sz w:val="20"/>
        </w:rPr>
        <w:t> </w:t>
      </w:r>
      <w:r>
        <w:rPr>
          <w:color w:val="231F20"/>
          <w:spacing w:val="-24"/>
          <w:position w:val="-1"/>
          <w:sz w:val="20"/>
        </w:rPr>
        <w:drawing>
          <wp:inline distT="0" distB="0" distL="0" distR="0">
            <wp:extent cx="95250" cy="95250"/>
            <wp:effectExtent l="0" t="0" r="0" b="0"/>
            <wp:docPr id="1937" name="Image 1937"/>
            <wp:cNvGraphicFramePr>
              <a:graphicFrameLocks/>
            </wp:cNvGraphicFramePr>
            <a:graphic>
              <a:graphicData uri="http://schemas.openxmlformats.org/drawingml/2006/picture">
                <pic:pic>
                  <pic:nvPicPr>
                    <pic:cNvPr id="1937" name="Image 1937"/>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7"/>
          <w:sz w:val="20"/>
        </w:rPr>
        <w:t> </w:t>
      </w:r>
      <w:r>
        <w:rPr>
          <w:color w:val="231F20"/>
          <w:sz w:val="20"/>
        </w:rPr>
        <w:t>monitored</w:t>
      </w:r>
      <w:r>
        <w:rPr>
          <w:color w:val="231F20"/>
          <w:spacing w:val="10"/>
          <w:sz w:val="20"/>
        </w:rPr>
        <w:t> </w:t>
      </w:r>
      <w:r>
        <w:rPr>
          <w:color w:val="231F20"/>
          <w:sz w:val="20"/>
        </w:rPr>
        <w:t>application</w:t>
      </w:r>
      <w:r>
        <w:rPr>
          <w:color w:val="231F20"/>
          <w:spacing w:val="10"/>
          <w:sz w:val="20"/>
        </w:rPr>
        <w:t> </w:t>
      </w:r>
      <w:r>
        <w:rPr>
          <w:color w:val="231F20"/>
          <w:sz w:val="20"/>
        </w:rPr>
        <w:t>(agent</w:t>
      </w:r>
      <w:r>
        <w:rPr>
          <w:color w:val="231F20"/>
          <w:spacing w:val="10"/>
          <w:sz w:val="20"/>
        </w:rPr>
        <w:t> </w:t>
      </w:r>
      <w:r>
        <w:rPr>
          <w:color w:val="231F20"/>
          <w:spacing w:val="-2"/>
          <w:sz w:val="20"/>
        </w:rPr>
        <w:t>type).</w:t>
      </w:r>
    </w:p>
    <w:p>
      <w:pPr>
        <w:pStyle w:val="ListParagraph"/>
        <w:numPr>
          <w:ilvl w:val="0"/>
          <w:numId w:val="103"/>
        </w:numPr>
        <w:tabs>
          <w:tab w:pos="2548" w:val="left" w:leader="none"/>
        </w:tabs>
        <w:spacing w:line="213" w:lineRule="auto" w:before="52" w:after="0"/>
        <w:ind w:left="2548" w:right="604" w:hanging="316"/>
        <w:jc w:val="left"/>
        <w:rPr>
          <w:sz w:val="20"/>
        </w:rPr>
      </w:pPr>
      <w:r>
        <w:rPr>
          <w:color w:val="231F20"/>
          <w:sz w:val="20"/>
        </w:rPr>
        <w:t>In the expanded branch, click the </w:t>
      </w:r>
      <w:r>
        <w:rPr>
          <w:color w:val="231F20"/>
          <w:spacing w:val="15"/>
          <w:position w:val="-1"/>
          <w:sz w:val="20"/>
        </w:rPr>
        <w:drawing>
          <wp:inline distT="0" distB="0" distL="0" distR="0">
            <wp:extent cx="101600" cy="101600"/>
            <wp:effectExtent l="0" t="0" r="0" b="0"/>
            <wp:docPr id="1938" name="Image 1938"/>
            <wp:cNvGraphicFramePr>
              <a:graphicFrameLocks/>
            </wp:cNvGraphicFramePr>
            <a:graphic>
              <a:graphicData uri="http://schemas.openxmlformats.org/drawingml/2006/picture">
                <pic:pic>
                  <pic:nvPicPr>
                    <pic:cNvPr id="1938" name="Image 1938"/>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undistributed or </w:t>
      </w:r>
      <w:r>
        <w:rPr>
          <w:color w:val="231F20"/>
          <w:spacing w:val="-24"/>
          <w:position w:val="-1"/>
          <w:sz w:val="20"/>
        </w:rPr>
        <w:drawing>
          <wp:inline distT="0" distB="0" distL="0" distR="0">
            <wp:extent cx="95250" cy="95250"/>
            <wp:effectExtent l="0" t="0" r="0" b="0"/>
            <wp:docPr id="1939" name="Image 1939"/>
            <wp:cNvGraphicFramePr>
              <a:graphicFrameLocks/>
            </wp:cNvGraphicFramePr>
            <a:graphic>
              <a:graphicData uri="http://schemas.openxmlformats.org/drawingml/2006/picture">
                <pic:pic>
                  <pic:nvPicPr>
                    <pic:cNvPr id="1939" name="Image 1939"/>
                    <pic:cNvPicPr/>
                  </pic:nvPicPr>
                  <pic:blipFill>
                    <a:blip r:embed="rId353"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color w:val="231F20"/>
          <w:sz w:val="20"/>
        </w:rPr>
        <w:t>distributed </w:t>
      </w:r>
      <w:r>
        <w:rPr>
          <w:color w:val="231F20"/>
          <w:sz w:val="20"/>
        </w:rPr>
        <w:t>historical collection that you want to start on managed systems.</w:t>
      </w:r>
    </w:p>
    <w:p>
      <w:pPr>
        <w:spacing w:after="0" w:line="213" w:lineRule="auto"/>
        <w:jc w:val="left"/>
        <w:rPr>
          <w:sz w:val="20"/>
        </w:rPr>
        <w:sectPr>
          <w:pgSz w:w="12240" w:h="15840"/>
          <w:pgMar w:header="0" w:footer="736" w:top="1140" w:bottom="920" w:left="1000" w:right="1060"/>
        </w:sectPr>
      </w:pPr>
    </w:p>
    <w:p>
      <w:pPr>
        <w:pStyle w:val="ListParagraph"/>
        <w:numPr>
          <w:ilvl w:val="0"/>
          <w:numId w:val="103"/>
        </w:numPr>
        <w:tabs>
          <w:tab w:pos="2788" w:val="left" w:leader="none"/>
        </w:tabs>
        <w:spacing w:line="213" w:lineRule="auto" w:before="85" w:after="0"/>
        <w:ind w:left="2788" w:right="419" w:hanging="316"/>
        <w:jc w:val="left"/>
        <w:rPr>
          <w:sz w:val="20"/>
        </w:rPr>
      </w:pPr>
      <w:bookmarkStart w:name="_bookmark165" w:id="362"/>
      <w:bookmarkEnd w:id="362"/>
      <w:r>
        <w:rPr/>
      </w:r>
      <w:r>
        <w:rPr>
          <w:color w:val="231F20"/>
          <w:sz w:val="20"/>
        </w:rPr>
        <w:t>Assign managed systems to the collection or add the collection to a </w:t>
      </w:r>
      <w:r>
        <w:rPr>
          <w:color w:val="231F20"/>
          <w:sz w:val="20"/>
        </w:rPr>
        <w:t>historical configuration group to use its distribution. See </w:t>
      </w:r>
      <w:hyperlink w:history="true" w:anchor="_bookmark159">
        <w:r>
          <w:rPr>
            <w:color w:val="231F20"/>
            <w:sz w:val="20"/>
          </w:rPr>
          <w:t>“Distributing a historical</w:t>
        </w:r>
      </w:hyperlink>
      <w:r>
        <w:rPr>
          <w:color w:val="231F20"/>
          <w:sz w:val="20"/>
        </w:rPr>
        <w:t> </w:t>
      </w:r>
      <w:hyperlink w:history="true" w:anchor="_bookmark159">
        <w:r>
          <w:rPr>
            <w:color w:val="231F20"/>
            <w:sz w:val="20"/>
          </w:rPr>
          <w:t>collection” on page 223</w:t>
        </w:r>
      </w:hyperlink>
      <w:r>
        <w:rPr>
          <w:color w:val="231F20"/>
          <w:sz w:val="20"/>
        </w:rPr>
        <w:t> for details.</w:t>
      </w:r>
    </w:p>
    <w:p>
      <w:pPr>
        <w:pStyle w:val="ListParagraph"/>
        <w:numPr>
          <w:ilvl w:val="0"/>
          <w:numId w:val="103"/>
        </w:numPr>
        <w:tabs>
          <w:tab w:pos="2788" w:val="left" w:leader="none"/>
        </w:tabs>
        <w:spacing w:line="213" w:lineRule="auto" w:before="57" w:after="0"/>
        <w:ind w:left="2788" w:right="308" w:hanging="316"/>
        <w:jc w:val="left"/>
        <w:rPr>
          <w:sz w:val="20"/>
        </w:rPr>
      </w:pPr>
      <w:r>
        <w:rPr>
          <w:color w:val="231F20"/>
          <w:sz w:val="20"/>
        </w:rPr>
        <w:t>To save the revised distribution and begin data collection on the managed systems that you added, click </w:t>
      </w:r>
      <w:r>
        <w:rPr>
          <w:rFonts w:ascii="Book Antiqua"/>
          <w:b/>
          <w:color w:val="231F20"/>
          <w:sz w:val="20"/>
        </w:rPr>
        <w:t>Apply </w:t>
      </w:r>
      <w:r>
        <w:rPr>
          <w:color w:val="231F20"/>
          <w:sz w:val="20"/>
        </w:rPr>
        <w:t>to keep the window open or </w:t>
      </w:r>
      <w:r>
        <w:rPr>
          <w:rFonts w:ascii="Book Antiqua"/>
          <w:b/>
          <w:color w:val="231F20"/>
          <w:sz w:val="20"/>
        </w:rPr>
        <w:t>OK </w:t>
      </w:r>
      <w:r>
        <w:rPr>
          <w:color w:val="231F20"/>
          <w:sz w:val="20"/>
        </w:rPr>
        <w:t>to </w:t>
      </w:r>
      <w:r>
        <w:rPr>
          <w:color w:val="231F20"/>
          <w:sz w:val="20"/>
        </w:rPr>
        <w:t>close</w:t>
      </w:r>
      <w:r>
        <w:rPr>
          <w:color w:val="231F20"/>
          <w:spacing w:val="80"/>
          <w:sz w:val="20"/>
        </w:rPr>
        <w:t> </w:t>
      </w:r>
      <w:r>
        <w:rPr>
          <w:color w:val="231F20"/>
          <w:spacing w:val="-4"/>
          <w:sz w:val="20"/>
        </w:rPr>
        <w:t>it.</w:t>
      </w:r>
    </w:p>
    <w:p>
      <w:pPr>
        <w:pStyle w:val="Heading3"/>
        <w:spacing w:before="217"/>
        <w:ind w:left="1574"/>
      </w:pPr>
      <w:bookmarkStart w:name="Changing the distribution method" w:id="363"/>
      <w:bookmarkEnd w:id="363"/>
      <w:r>
        <w:rPr>
          <w:b w:val="0"/>
        </w:rPr>
      </w:r>
      <w:r>
        <w:rPr>
          <w:color w:val="231F20"/>
        </w:rPr>
        <w:t>Changing</w:t>
      </w:r>
      <w:r>
        <w:rPr>
          <w:color w:val="231F20"/>
          <w:spacing w:val="4"/>
        </w:rPr>
        <w:t> </w:t>
      </w:r>
      <w:r>
        <w:rPr>
          <w:color w:val="231F20"/>
        </w:rPr>
        <w:t>the</w:t>
      </w:r>
      <w:r>
        <w:rPr>
          <w:color w:val="231F20"/>
          <w:spacing w:val="4"/>
        </w:rPr>
        <w:t> </w:t>
      </w:r>
      <w:r>
        <w:rPr>
          <w:color w:val="231F20"/>
        </w:rPr>
        <w:t>distribution</w:t>
      </w:r>
      <w:r>
        <w:rPr>
          <w:color w:val="231F20"/>
          <w:spacing w:val="4"/>
        </w:rPr>
        <w:t> </w:t>
      </w:r>
      <w:r>
        <w:rPr>
          <w:color w:val="231F20"/>
          <w:spacing w:val="-2"/>
        </w:rPr>
        <w:t>method</w:t>
      </w:r>
    </w:p>
    <w:p>
      <w:pPr>
        <w:spacing w:line="213" w:lineRule="auto" w:before="58"/>
        <w:ind w:left="2472" w:right="545" w:firstLine="0"/>
        <w:jc w:val="left"/>
        <w:rPr>
          <w:sz w:val="20"/>
        </w:rPr>
      </w:pPr>
      <w:r>
        <w:rPr>
          <w:color w:val="231F20"/>
          <w:sz w:val="20"/>
        </w:rPr>
        <w:t>Change the distribution method from </w:t>
      </w:r>
      <w:r>
        <w:rPr>
          <w:rFonts w:ascii="Book Antiqua"/>
          <w:b/>
          <w:color w:val="231F20"/>
          <w:sz w:val="20"/>
        </w:rPr>
        <w:t>Managing System (TEMS) </w:t>
      </w:r>
      <w:r>
        <w:rPr>
          <w:color w:val="231F20"/>
          <w:sz w:val="20"/>
        </w:rPr>
        <w:t>to </w:t>
      </w:r>
      <w:r>
        <w:rPr>
          <w:rFonts w:ascii="Book Antiqua"/>
          <w:b/>
          <w:color w:val="231F20"/>
          <w:sz w:val="20"/>
        </w:rPr>
        <w:t>Managed System (Agent) </w:t>
      </w:r>
      <w:r>
        <w:rPr>
          <w:color w:val="231F20"/>
          <w:sz w:val="20"/>
        </w:rPr>
        <w:t>to enable the historical collection definition to be added to a historical object group.</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258"/>
      </w:pPr>
      <w:r>
        <w:rPr>
          <w:color w:val="231F20"/>
        </w:rPr>
        <w:t>If you have upgraded to Tivoli Management Services Version 6.2.2 from a </w:t>
      </w:r>
      <w:r>
        <w:rPr>
          <w:color w:val="231F20"/>
        </w:rPr>
        <w:t>previous version, you will see a historical collection for each attribute group that was configured,</w:t>
      </w:r>
      <w:r>
        <w:rPr>
          <w:color w:val="231F20"/>
          <w:spacing w:val="28"/>
        </w:rPr>
        <w:t> </w:t>
      </w:r>
      <w:r>
        <w:rPr>
          <w:color w:val="231F20"/>
        </w:rPr>
        <w:t>and</w:t>
      </w:r>
      <w:r>
        <w:rPr>
          <w:color w:val="231F20"/>
          <w:spacing w:val="28"/>
        </w:rPr>
        <w:t> </w:t>
      </w:r>
      <w:r>
        <w:rPr>
          <w:color w:val="231F20"/>
        </w:rPr>
        <w:t>the</w:t>
      </w:r>
      <w:r>
        <w:rPr>
          <w:color w:val="231F20"/>
          <w:spacing w:val="28"/>
        </w:rPr>
        <w:t> </w:t>
      </w:r>
      <w:r>
        <w:rPr>
          <w:color w:val="231F20"/>
        </w:rPr>
        <w:t>distribution</w:t>
      </w:r>
      <w:r>
        <w:rPr>
          <w:color w:val="231F20"/>
          <w:spacing w:val="28"/>
        </w:rPr>
        <w:t> </w:t>
      </w:r>
      <w:r>
        <w:rPr>
          <w:color w:val="231F20"/>
        </w:rPr>
        <w:t>method</w:t>
      </w:r>
      <w:r>
        <w:rPr>
          <w:color w:val="231F20"/>
          <w:spacing w:val="28"/>
        </w:rPr>
        <w:t> </w:t>
      </w:r>
      <w:r>
        <w:rPr>
          <w:color w:val="231F20"/>
        </w:rPr>
        <w:t>will</w:t>
      </w:r>
      <w:r>
        <w:rPr>
          <w:color w:val="231F20"/>
          <w:spacing w:val="28"/>
        </w:rPr>
        <w:t> </w:t>
      </w:r>
      <w:r>
        <w:rPr>
          <w:color w:val="231F20"/>
        </w:rPr>
        <w:t>be</w:t>
      </w:r>
      <w:r>
        <w:rPr>
          <w:color w:val="231F20"/>
          <w:spacing w:val="28"/>
        </w:rPr>
        <w:t> </w:t>
      </w:r>
      <w:r>
        <w:rPr>
          <w:color w:val="231F20"/>
        </w:rPr>
        <w:t>as</w:t>
      </w:r>
      <w:r>
        <w:rPr>
          <w:color w:val="231F20"/>
          <w:spacing w:val="28"/>
        </w:rPr>
        <w:t> </w:t>
      </w:r>
      <w:r>
        <w:rPr>
          <w:color w:val="231F20"/>
        </w:rPr>
        <w:t>it</w:t>
      </w:r>
      <w:r>
        <w:rPr>
          <w:color w:val="231F20"/>
          <w:spacing w:val="28"/>
        </w:rPr>
        <w:t> </w:t>
      </w:r>
      <w:r>
        <w:rPr>
          <w:color w:val="231F20"/>
        </w:rPr>
        <w:t>was</w:t>
      </w:r>
      <w:r>
        <w:rPr>
          <w:color w:val="231F20"/>
          <w:spacing w:val="28"/>
        </w:rPr>
        <w:t> </w:t>
      </w:r>
      <w:r>
        <w:rPr>
          <w:color w:val="231F20"/>
        </w:rPr>
        <w:t>before:</w:t>
      </w:r>
      <w:r>
        <w:rPr>
          <w:color w:val="231F20"/>
          <w:spacing w:val="28"/>
        </w:rPr>
        <w:t> </w:t>
      </w:r>
      <w:r>
        <w:rPr>
          <w:rFonts w:ascii="Book Antiqua"/>
          <w:b/>
          <w:color w:val="231F20"/>
        </w:rPr>
        <w:t>Managing System (TEMS)</w:t>
      </w:r>
      <w:r>
        <w:rPr>
          <w:color w:val="231F20"/>
        </w:rPr>
        <w:t>. Complete these steps if you want to change the distribution</w:t>
      </w:r>
      <w:r>
        <w:rPr>
          <w:color w:val="231F20"/>
          <w:spacing w:val="40"/>
        </w:rPr>
        <w:t> </w:t>
      </w:r>
      <w:r>
        <w:rPr>
          <w:color w:val="231F20"/>
        </w:rPr>
        <w:t>method for each historical collection to </w:t>
      </w:r>
      <w:r>
        <w:rPr>
          <w:rFonts w:ascii="Book Antiqua"/>
          <w:b/>
          <w:color w:val="231F20"/>
        </w:rPr>
        <w:t>Managed System (Agent)</w:t>
      </w:r>
      <w:r>
        <w:rPr>
          <w:color w:val="231F20"/>
        </w:rPr>
        <w:t>.</w:t>
      </w:r>
    </w:p>
    <w:p>
      <w:pPr>
        <w:pStyle w:val="BodyText"/>
        <w:spacing w:line="213" w:lineRule="auto" w:before="236"/>
        <w:ind w:left="2472" w:right="258"/>
      </w:pPr>
      <w:r>
        <w:rPr>
          <w:color w:val="231F20"/>
        </w:rPr>
        <w:t>If, instead, you want to change the distribution method from Managed System to Managing System, the procedure is the same except that it can be more involved if</w:t>
      </w:r>
      <w:r>
        <w:rPr>
          <w:color w:val="231F20"/>
          <w:spacing w:val="80"/>
        </w:rPr>
        <w:t> </w:t>
      </w:r>
      <w:r>
        <w:rPr>
          <w:color w:val="231F20"/>
        </w:rPr>
        <w:t>an</w:t>
      </w:r>
      <w:r>
        <w:rPr>
          <w:color w:val="231F20"/>
          <w:spacing w:val="25"/>
        </w:rPr>
        <w:t> </w:t>
      </w:r>
      <w:r>
        <w:rPr>
          <w:color w:val="231F20"/>
        </w:rPr>
        <w:t>entry</w:t>
      </w:r>
      <w:r>
        <w:rPr>
          <w:color w:val="231F20"/>
          <w:spacing w:val="25"/>
        </w:rPr>
        <w:t> </w:t>
      </w:r>
      <w:r>
        <w:rPr>
          <w:color w:val="231F20"/>
        </w:rPr>
        <w:t>in</w:t>
      </w:r>
      <w:r>
        <w:rPr>
          <w:color w:val="231F20"/>
          <w:spacing w:val="25"/>
        </w:rPr>
        <w:t> </w:t>
      </w:r>
      <w:r>
        <w:rPr>
          <w:color w:val="231F20"/>
        </w:rPr>
        <w:t>the</w:t>
      </w:r>
      <w:r>
        <w:rPr>
          <w:color w:val="231F20"/>
          <w:spacing w:val="25"/>
        </w:rPr>
        <w:t> </w:t>
      </w:r>
      <w:r>
        <w:rPr>
          <w:rFonts w:ascii="Book Antiqua" w:hAnsi="Book Antiqua"/>
          <w:b/>
          <w:color w:val="231F20"/>
        </w:rPr>
        <w:t>Start</w:t>
      </w:r>
      <w:r>
        <w:rPr>
          <w:rFonts w:ascii="Book Antiqua" w:hAnsi="Book Antiqua"/>
          <w:b/>
          <w:color w:val="231F20"/>
          <w:spacing w:val="25"/>
        </w:rPr>
        <w:t> </w:t>
      </w:r>
      <w:r>
        <w:rPr>
          <w:rFonts w:ascii="Book Antiqua" w:hAnsi="Book Antiqua"/>
          <w:b/>
          <w:color w:val="231F20"/>
        </w:rPr>
        <w:t>collection</w:t>
      </w:r>
      <w:r>
        <w:rPr>
          <w:rFonts w:ascii="Book Antiqua" w:hAnsi="Book Antiqua"/>
          <w:b/>
          <w:color w:val="231F20"/>
          <w:spacing w:val="25"/>
        </w:rPr>
        <w:t> </w:t>
      </w:r>
      <w:r>
        <w:rPr>
          <w:rFonts w:ascii="Book Antiqua" w:hAnsi="Book Antiqua"/>
          <w:b/>
          <w:color w:val="231F20"/>
        </w:rPr>
        <w:t>on</w:t>
      </w:r>
      <w:r>
        <w:rPr>
          <w:rFonts w:ascii="Book Antiqua" w:hAnsi="Book Antiqua"/>
          <w:b/>
          <w:color w:val="231F20"/>
          <w:spacing w:val="25"/>
        </w:rPr>
        <w:t> </w:t>
      </w:r>
      <w:r>
        <w:rPr>
          <w:color w:val="231F20"/>
        </w:rPr>
        <w:t>list</w:t>
      </w:r>
      <w:r>
        <w:rPr>
          <w:color w:val="231F20"/>
          <w:spacing w:val="25"/>
        </w:rPr>
        <w:t> </w:t>
      </w:r>
      <w:r>
        <w:rPr>
          <w:color w:val="231F20"/>
        </w:rPr>
        <w:t>is</w:t>
      </w:r>
      <w:r>
        <w:rPr>
          <w:color w:val="231F20"/>
          <w:spacing w:val="25"/>
        </w:rPr>
        <w:t> </w:t>
      </w:r>
      <w:r>
        <w:rPr>
          <w:color w:val="231F20"/>
        </w:rPr>
        <w:t>disabled. A disabled</w:t>
      </w:r>
      <w:r>
        <w:rPr>
          <w:color w:val="231F20"/>
          <w:spacing w:val="25"/>
        </w:rPr>
        <w:t> </w:t>
      </w:r>
      <w:r>
        <w:rPr>
          <w:color w:val="231F20"/>
        </w:rPr>
        <w:t>entry</w:t>
      </w:r>
      <w:r>
        <w:rPr>
          <w:color w:val="231F20"/>
          <w:spacing w:val="25"/>
        </w:rPr>
        <w:t> </w:t>
      </w:r>
      <w:r>
        <w:rPr>
          <w:color w:val="231F20"/>
        </w:rPr>
        <w:t>means</w:t>
      </w:r>
      <w:r>
        <w:rPr>
          <w:color w:val="231F20"/>
          <w:spacing w:val="25"/>
        </w:rPr>
        <w:t> </w:t>
      </w:r>
      <w:r>
        <w:rPr>
          <w:color w:val="231F20"/>
        </w:rPr>
        <w:t>that</w:t>
      </w:r>
      <w:r>
        <w:rPr>
          <w:color w:val="231F20"/>
          <w:spacing w:val="25"/>
        </w:rPr>
        <w:t> </w:t>
      </w:r>
      <w:r>
        <w:rPr>
          <w:color w:val="231F20"/>
        </w:rPr>
        <w:t>it was added to the distribution as part of a historical configuration object group. If</w:t>
      </w:r>
      <w:r>
        <w:rPr>
          <w:color w:val="231F20"/>
          <w:spacing w:val="80"/>
        </w:rPr>
        <w:t> </w:t>
      </w:r>
      <w:r>
        <w:rPr>
          <w:color w:val="231F20"/>
        </w:rPr>
        <w:t>any of the collection belongs to one or more historical groups, you must remove it from any historical group that it belongs to that has a distribution before you can remove it from the </w:t>
      </w:r>
      <w:r>
        <w:rPr>
          <w:rFonts w:ascii="Book Antiqua" w:hAnsi="Book Antiqua"/>
          <w:b/>
          <w:color w:val="231F20"/>
        </w:rPr>
        <w:t>Start collection on </w:t>
      </w:r>
      <w:r>
        <w:rPr>
          <w:color w:val="231F20"/>
        </w:rPr>
        <w:t>list. The topic on “Stopping data collection” has instructions for removing managed systems from the distribution of a </w:t>
      </w:r>
      <w:r>
        <w:rPr>
          <w:color w:val="231F20"/>
        </w:rPr>
        <w:t>historical object group.</w:t>
      </w:r>
    </w:p>
    <w:p>
      <w:pPr>
        <w:pStyle w:val="Heading4"/>
        <w:spacing w:before="195"/>
        <w:ind w:left="2472"/>
      </w:pPr>
      <w:r>
        <w:rPr>
          <w:color w:val="231F20"/>
          <w:spacing w:val="-2"/>
        </w:rPr>
        <w:t>Procedure</w:t>
      </w:r>
    </w:p>
    <w:p>
      <w:pPr>
        <w:pStyle w:val="ListParagraph"/>
        <w:numPr>
          <w:ilvl w:val="0"/>
          <w:numId w:val="104"/>
        </w:numPr>
        <w:tabs>
          <w:tab w:pos="2788" w:val="left" w:leader="none"/>
        </w:tabs>
        <w:spacing w:line="213" w:lineRule="auto" w:before="61" w:after="0"/>
        <w:ind w:left="2788" w:right="533" w:hanging="316"/>
        <w:jc w:val="left"/>
        <w:rPr>
          <w:sz w:val="20"/>
        </w:rPr>
      </w:pPr>
      <w:r>
        <w:rPr>
          <w:color w:val="231F20"/>
          <w:sz w:val="20"/>
        </w:rPr>
        <w:t>If the History Collection Configuration window is not open, click </w:t>
      </w:r>
      <w:r>
        <w:rPr>
          <w:color w:val="231F20"/>
          <w:spacing w:val="14"/>
          <w:position w:val="-1"/>
          <w:sz w:val="20"/>
        </w:rPr>
        <w:drawing>
          <wp:inline distT="0" distB="0" distL="0" distR="0">
            <wp:extent cx="101600" cy="95250"/>
            <wp:effectExtent l="0" t="0" r="0" b="0"/>
            <wp:docPr id="1940" name="Image 1940"/>
            <wp:cNvGraphicFramePr>
              <a:graphicFrameLocks/>
            </wp:cNvGraphicFramePr>
            <a:graphic>
              <a:graphicData uri="http://schemas.openxmlformats.org/drawingml/2006/picture">
                <pic:pic>
                  <pic:nvPicPr>
                    <pic:cNvPr id="1940" name="Image 1940"/>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4"/>
          <w:position w:val="-1"/>
          <w:sz w:val="20"/>
        </w:rPr>
      </w:r>
      <w:r>
        <w:rPr>
          <w:rFonts w:ascii="Times New Roman"/>
          <w:color w:val="231F20"/>
          <w:spacing w:val="-15"/>
          <w:sz w:val="20"/>
        </w:rPr>
        <w:t> </w:t>
      </w:r>
      <w:r>
        <w:rPr>
          <w:rFonts w:ascii="Book Antiqua"/>
          <w:b/>
          <w:color w:val="231F20"/>
          <w:sz w:val="20"/>
        </w:rPr>
        <w:t>History Configuration</w:t>
      </w:r>
      <w:r>
        <w:rPr>
          <w:color w:val="231F20"/>
          <w:sz w:val="20"/>
        </w:rPr>
        <w:t>, click the </w:t>
      </w:r>
      <w:r>
        <w:rPr>
          <w:rFonts w:ascii="Book Antiqua"/>
          <w:b/>
          <w:color w:val="231F20"/>
          <w:sz w:val="20"/>
        </w:rPr>
        <w:t>Monitored Application</w:t>
      </w:r>
      <w:r>
        <w:rPr>
          <w:color w:val="231F20"/>
          <w:sz w:val="20"/>
        </w:rPr>
        <w:t>, then click the historical collection name to open the definition.</w:t>
      </w:r>
    </w:p>
    <w:p>
      <w:pPr>
        <w:pStyle w:val="ListParagraph"/>
        <w:numPr>
          <w:ilvl w:val="0"/>
          <w:numId w:val="104"/>
        </w:numPr>
        <w:tabs>
          <w:tab w:pos="2787" w:val="left" w:leader="none"/>
        </w:tabs>
        <w:spacing w:line="240" w:lineRule="auto" w:before="35" w:after="0"/>
        <w:ind w:left="2787" w:right="0" w:hanging="315"/>
        <w:jc w:val="left"/>
        <w:rPr>
          <w:sz w:val="20"/>
        </w:rPr>
      </w:pPr>
      <w:r>
        <w:rPr>
          <w:color w:val="231F20"/>
          <w:sz w:val="20"/>
        </w:rPr>
        <w:t>Click</w:t>
      </w:r>
      <w:r>
        <w:rPr>
          <w:color w:val="231F20"/>
          <w:spacing w:val="9"/>
          <w:sz w:val="20"/>
        </w:rPr>
        <w:t> </w:t>
      </w:r>
      <w:r>
        <w:rPr>
          <w:color w:val="231F20"/>
          <w:sz w:val="20"/>
        </w:rPr>
        <w:t>the</w:t>
      </w:r>
      <w:r>
        <w:rPr>
          <w:color w:val="231F20"/>
          <w:spacing w:val="10"/>
          <w:sz w:val="20"/>
        </w:rPr>
        <w:t> </w:t>
      </w:r>
      <w:r>
        <w:rPr>
          <w:rFonts w:ascii="Book Antiqua"/>
          <w:b/>
          <w:color w:val="231F20"/>
          <w:sz w:val="20"/>
        </w:rPr>
        <w:t>Distribution</w:t>
      </w:r>
      <w:r>
        <w:rPr>
          <w:rFonts w:ascii="Book Antiqua"/>
          <w:b/>
          <w:color w:val="231F20"/>
          <w:spacing w:val="10"/>
          <w:sz w:val="20"/>
        </w:rPr>
        <w:t> </w:t>
      </w:r>
      <w:r>
        <w:rPr>
          <w:color w:val="231F20"/>
          <w:spacing w:val="-4"/>
          <w:sz w:val="20"/>
        </w:rPr>
        <w:t>tab.</w:t>
      </w:r>
    </w:p>
    <w:p>
      <w:pPr>
        <w:pStyle w:val="ListParagraph"/>
        <w:numPr>
          <w:ilvl w:val="0"/>
          <w:numId w:val="104"/>
        </w:numPr>
        <w:tabs>
          <w:tab w:pos="2786" w:val="left" w:leader="none"/>
          <w:tab w:pos="2788" w:val="left" w:leader="none"/>
        </w:tabs>
        <w:spacing w:line="213" w:lineRule="auto" w:before="53" w:after="0"/>
        <w:ind w:left="2788" w:right="264" w:hanging="317"/>
        <w:jc w:val="left"/>
        <w:rPr>
          <w:sz w:val="20"/>
        </w:rPr>
      </w:pPr>
      <w:r>
        <w:rPr>
          <w:color w:val="231F20"/>
          <w:sz w:val="20"/>
        </w:rPr>
        <w:t>Select all entries in the </w:t>
      </w:r>
      <w:r>
        <w:rPr>
          <w:rFonts w:ascii="Book Antiqua"/>
          <w:b/>
          <w:color w:val="231F20"/>
          <w:sz w:val="20"/>
        </w:rPr>
        <w:t>Start collection on </w:t>
      </w:r>
      <w:r>
        <w:rPr>
          <w:color w:val="231F20"/>
          <w:sz w:val="20"/>
        </w:rPr>
        <w:t>list, and</w:t>
      </w:r>
      <w:r>
        <w:rPr>
          <w:color w:val="231F20"/>
          <w:spacing w:val="80"/>
          <w:sz w:val="20"/>
        </w:rPr>
        <w:t> </w:t>
      </w:r>
      <w:r>
        <w:rPr>
          <w:color w:val="231F20"/>
          <w:spacing w:val="-15"/>
          <w:position w:val="1"/>
          <w:sz w:val="20"/>
        </w:rPr>
        <w:drawing>
          <wp:inline distT="0" distB="0" distL="0" distR="0">
            <wp:extent cx="44450" cy="76200"/>
            <wp:effectExtent l="0" t="0" r="0" b="0"/>
            <wp:docPr id="1941" name="Image 1941"/>
            <wp:cNvGraphicFramePr>
              <a:graphicFrameLocks/>
            </wp:cNvGraphicFramePr>
            <a:graphic>
              <a:graphicData uri="http://schemas.openxmlformats.org/drawingml/2006/picture">
                <pic:pic>
                  <pic:nvPicPr>
                    <pic:cNvPr id="1941" name="Image 1941"/>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80"/>
          <w:w w:val="150"/>
          <w:sz w:val="20"/>
        </w:rPr>
        <w:t> </w:t>
      </w:r>
      <w:r>
        <w:rPr>
          <w:color w:val="231F20"/>
          <w:sz w:val="20"/>
        </w:rPr>
        <w:t>move them to the</w:t>
      </w:r>
      <w:r>
        <w:rPr>
          <w:color w:val="231F20"/>
          <w:spacing w:val="40"/>
          <w:sz w:val="20"/>
        </w:rPr>
        <w:t> </w:t>
      </w:r>
      <w:r>
        <w:rPr>
          <w:rFonts w:ascii="Book Antiqua"/>
          <w:b/>
          <w:color w:val="231F20"/>
          <w:sz w:val="20"/>
        </w:rPr>
        <w:t>Available </w:t>
      </w:r>
      <w:r>
        <w:rPr>
          <w:color w:val="231F20"/>
          <w:sz w:val="20"/>
        </w:rPr>
        <w:t>list. After clicking the first entry, you can Shift+click the last entry </w:t>
      </w:r>
      <w:r>
        <w:rPr>
          <w:color w:val="231F20"/>
          <w:sz w:val="20"/>
        </w:rPr>
        <w:t>to select all of them.</w:t>
      </w:r>
    </w:p>
    <w:p>
      <w:pPr>
        <w:pStyle w:val="ListParagraph"/>
        <w:numPr>
          <w:ilvl w:val="0"/>
          <w:numId w:val="104"/>
        </w:numPr>
        <w:tabs>
          <w:tab w:pos="2787" w:val="left" w:leader="none"/>
        </w:tabs>
        <w:spacing w:line="240" w:lineRule="auto" w:before="35" w:after="0"/>
        <w:ind w:left="2787" w:right="0" w:hanging="315"/>
        <w:jc w:val="left"/>
        <w:rPr>
          <w:sz w:val="20"/>
        </w:rPr>
      </w:pPr>
      <w:r>
        <w:rPr>
          <w:color w:val="231F20"/>
          <w:sz w:val="20"/>
        </w:rPr>
        <w:t>Click</w:t>
      </w:r>
      <w:r>
        <w:rPr>
          <w:color w:val="231F20"/>
          <w:spacing w:val="11"/>
          <w:sz w:val="20"/>
        </w:rPr>
        <w:t> </w:t>
      </w:r>
      <w:r>
        <w:rPr>
          <w:rFonts w:ascii="Book Antiqua"/>
          <w:b/>
          <w:color w:val="231F20"/>
          <w:spacing w:val="-2"/>
          <w:sz w:val="20"/>
        </w:rPr>
        <w:t>Apply</w:t>
      </w:r>
      <w:r>
        <w:rPr>
          <w:color w:val="231F20"/>
          <w:spacing w:val="-2"/>
          <w:sz w:val="20"/>
        </w:rPr>
        <w:t>.</w:t>
      </w:r>
    </w:p>
    <w:p>
      <w:pPr>
        <w:pStyle w:val="Heading4"/>
        <w:spacing w:before="19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pPr>
      <w:r>
        <w:rPr>
          <w:color w:val="231F20"/>
        </w:rPr>
        <w:t>You can now assign managed systems to the distribution here or add the </w:t>
      </w:r>
      <w:r>
        <w:rPr>
          <w:color w:val="231F20"/>
        </w:rPr>
        <w:t>historical </w:t>
      </w:r>
      <w:bookmarkStart w:name="Removing a historical data collection" w:id="364"/>
      <w:bookmarkEnd w:id="364"/>
      <w:r>
        <w:rPr>
          <w:color w:val="231F20"/>
        </w:rPr>
        <w:t>definition</w:t>
      </w:r>
      <w:r>
        <w:rPr>
          <w:color w:val="231F20"/>
        </w:rPr>
        <w:t> to a historical object group to use the distribution of the group.</w:t>
      </w:r>
    </w:p>
    <w:p>
      <w:pPr>
        <w:pStyle w:val="Heading3"/>
        <w:spacing w:before="217"/>
        <w:ind w:left="1574"/>
      </w:pPr>
      <w:r>
        <w:rPr>
          <w:color w:val="231F20"/>
        </w:rPr>
        <w:t>Removing</w:t>
      </w:r>
      <w:r>
        <w:rPr>
          <w:color w:val="231F20"/>
          <w:spacing w:val="6"/>
        </w:rPr>
        <w:t> </w:t>
      </w:r>
      <w:r>
        <w:rPr>
          <w:color w:val="231F20"/>
        </w:rPr>
        <w:t>a</w:t>
      </w:r>
      <w:r>
        <w:rPr>
          <w:color w:val="231F20"/>
          <w:spacing w:val="7"/>
        </w:rPr>
        <w:t> </w:t>
      </w:r>
      <w:r>
        <w:rPr>
          <w:color w:val="231F20"/>
        </w:rPr>
        <w:t>historical</w:t>
      </w:r>
      <w:r>
        <w:rPr>
          <w:color w:val="231F20"/>
          <w:spacing w:val="7"/>
        </w:rPr>
        <w:t> </w:t>
      </w:r>
      <w:r>
        <w:rPr>
          <w:color w:val="231F20"/>
        </w:rPr>
        <w:t>data</w:t>
      </w:r>
      <w:r>
        <w:rPr>
          <w:color w:val="231F20"/>
          <w:spacing w:val="6"/>
        </w:rPr>
        <w:t> </w:t>
      </w:r>
      <w:r>
        <w:rPr>
          <w:color w:val="231F20"/>
          <w:spacing w:val="-2"/>
        </w:rPr>
        <w:t>collection</w:t>
      </w:r>
    </w:p>
    <w:p>
      <w:pPr>
        <w:pStyle w:val="BodyText"/>
        <w:spacing w:line="213" w:lineRule="auto" w:before="58"/>
        <w:ind w:left="2472" w:right="545"/>
      </w:pPr>
      <w:r>
        <w:rPr>
          <w:color w:val="231F20"/>
        </w:rPr>
        <w:t>Use the History Collection Configuration window to remove any </w:t>
      </w:r>
      <w:r>
        <w:rPr>
          <w:color w:val="231F20"/>
        </w:rPr>
        <w:t>unnecessary historical data collection definitions.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58"/>
      </w:pPr>
      <w:r>
        <w:rPr>
          <w:color w:val="231F20"/>
        </w:rPr>
        <w:t>Your user ID must have Configure History permission to open the History Collection Configuration window. If you do not have this permission, you will </w:t>
      </w:r>
      <w:r>
        <w:rPr>
          <w:color w:val="231F20"/>
        </w:rPr>
        <w:t>not see the menu item or tool for historical configuration.</w:t>
      </w:r>
    </w:p>
    <w:p>
      <w:pPr>
        <w:spacing w:after="0" w:line="213" w:lineRule="auto"/>
        <w:sectPr>
          <w:pgSz w:w="12240" w:h="15840"/>
          <w:pgMar w:header="0" w:footer="736" w:top="1180" w:bottom="920" w:left="1000" w:right="1060"/>
        </w:sectPr>
      </w:pPr>
    </w:p>
    <w:p>
      <w:pPr>
        <w:pStyle w:val="Heading4"/>
        <w:spacing w:before="86"/>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545"/>
      </w:pPr>
      <w:r>
        <w:rPr>
          <w:color w:val="231F20"/>
        </w:rPr>
        <w:t>Take these steps to remove a historical collection definition and thereby no longer collect</w:t>
      </w:r>
      <w:r>
        <w:rPr>
          <w:color w:val="231F20"/>
          <w:spacing w:val="27"/>
        </w:rPr>
        <w:t> </w:t>
      </w:r>
      <w:r>
        <w:rPr>
          <w:color w:val="231F20"/>
        </w:rPr>
        <w:t>data</w:t>
      </w:r>
      <w:r>
        <w:rPr>
          <w:color w:val="231F20"/>
          <w:spacing w:val="27"/>
        </w:rPr>
        <w:t> </w:t>
      </w:r>
      <w:r>
        <w:rPr>
          <w:color w:val="231F20"/>
        </w:rPr>
        <w:t>for</w:t>
      </w:r>
      <w:r>
        <w:rPr>
          <w:color w:val="231F20"/>
          <w:spacing w:val="27"/>
        </w:rPr>
        <w:t> </w:t>
      </w:r>
      <w:r>
        <w:rPr>
          <w:color w:val="231F20"/>
        </w:rPr>
        <w:t>the</w:t>
      </w:r>
      <w:r>
        <w:rPr>
          <w:color w:val="231F20"/>
          <w:spacing w:val="27"/>
        </w:rPr>
        <w:t> </w:t>
      </w:r>
      <w:r>
        <w:rPr>
          <w:color w:val="231F20"/>
        </w:rPr>
        <w:t>attribute</w:t>
      </w:r>
      <w:r>
        <w:rPr>
          <w:color w:val="231F20"/>
          <w:spacing w:val="27"/>
        </w:rPr>
        <w:t> </w:t>
      </w:r>
      <w:r>
        <w:rPr>
          <w:color w:val="231F20"/>
        </w:rPr>
        <w:t>group</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assigned</w:t>
      </w:r>
      <w:r>
        <w:rPr>
          <w:color w:val="231F20"/>
          <w:spacing w:val="27"/>
        </w:rPr>
        <w:t> </w:t>
      </w:r>
      <w:r>
        <w:rPr>
          <w:color w:val="231F20"/>
        </w:rPr>
        <w:t>managed</w:t>
      </w:r>
      <w:r>
        <w:rPr>
          <w:color w:val="231F20"/>
          <w:spacing w:val="27"/>
        </w:rPr>
        <w:t> </w:t>
      </w:r>
      <w:r>
        <w:rPr>
          <w:color w:val="231F20"/>
        </w:rPr>
        <w:t>systems.</w:t>
      </w:r>
      <w:r>
        <w:rPr>
          <w:color w:val="231F20"/>
          <w:spacing w:val="27"/>
        </w:rPr>
        <w:t> </w:t>
      </w:r>
      <w:r>
        <w:rPr>
          <w:color w:val="231F20"/>
        </w:rPr>
        <w:t>Be</w:t>
      </w:r>
      <w:r>
        <w:rPr>
          <w:color w:val="231F20"/>
          <w:spacing w:val="27"/>
        </w:rPr>
        <w:t> </w:t>
      </w:r>
      <w:r>
        <w:rPr>
          <w:color w:val="231F20"/>
        </w:rPr>
        <w:t>aware that if there are multiple collection definitions for the same attribute group, you must delete all of them before data collection will be discontinued for the </w:t>
      </w:r>
      <w:r>
        <w:rPr>
          <w:color w:val="231F20"/>
        </w:rPr>
        <w:t>attribute </w:t>
      </w:r>
      <w:r>
        <w:rPr>
          <w:color w:val="231F20"/>
          <w:spacing w:val="-2"/>
        </w:rPr>
        <w:t>group.</w:t>
      </w:r>
    </w:p>
    <w:p>
      <w:pPr>
        <w:pStyle w:val="Heading4"/>
        <w:spacing w:before="197"/>
      </w:pPr>
      <w:r>
        <w:rPr>
          <w:color w:val="231F20"/>
          <w:spacing w:val="-2"/>
        </w:rPr>
        <w:t>Procedure</w:t>
      </w:r>
    </w:p>
    <w:p>
      <w:pPr>
        <w:pStyle w:val="ListParagraph"/>
        <w:numPr>
          <w:ilvl w:val="0"/>
          <w:numId w:val="105"/>
        </w:numPr>
        <w:tabs>
          <w:tab w:pos="2546" w:val="left" w:leader="none"/>
          <w:tab w:pos="2548" w:val="left" w:leader="none"/>
        </w:tabs>
        <w:spacing w:line="213" w:lineRule="auto" w:before="62" w:after="0"/>
        <w:ind w:left="2548" w:right="667" w:hanging="317"/>
        <w:jc w:val="left"/>
        <w:rPr>
          <w:sz w:val="20"/>
        </w:rPr>
      </w:pPr>
      <w:r>
        <w:rPr>
          <w:color w:val="231F20"/>
          <w:sz w:val="20"/>
        </w:rPr>
        <w:t>Click </w:t>
      </w:r>
      <w:r>
        <w:rPr>
          <w:color w:val="231F20"/>
          <w:spacing w:val="16"/>
          <w:position w:val="-1"/>
          <w:sz w:val="20"/>
        </w:rPr>
        <w:drawing>
          <wp:inline distT="0" distB="0" distL="0" distR="0">
            <wp:extent cx="101600" cy="95250"/>
            <wp:effectExtent l="0" t="0" r="0" b="0"/>
            <wp:docPr id="1942" name="Image 1942"/>
            <wp:cNvGraphicFramePr>
              <a:graphicFrameLocks/>
            </wp:cNvGraphicFramePr>
            <a:graphic>
              <a:graphicData uri="http://schemas.openxmlformats.org/drawingml/2006/picture">
                <pic:pic>
                  <pic:nvPicPr>
                    <pic:cNvPr id="1942" name="Image 1942"/>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History Configuration </w:t>
      </w:r>
      <w:r>
        <w:rPr>
          <w:color w:val="231F20"/>
          <w:sz w:val="20"/>
        </w:rPr>
        <w:t>to open the History Collection Configuration </w:t>
      </w:r>
      <w:r>
        <w:rPr>
          <w:color w:val="231F20"/>
          <w:spacing w:val="-2"/>
          <w:sz w:val="20"/>
        </w:rPr>
        <w:t>window.</w:t>
      </w:r>
    </w:p>
    <w:p>
      <w:pPr>
        <w:pStyle w:val="ListParagraph"/>
        <w:numPr>
          <w:ilvl w:val="0"/>
          <w:numId w:val="105"/>
        </w:numPr>
        <w:tabs>
          <w:tab w:pos="2547" w:val="left" w:leader="none"/>
        </w:tabs>
        <w:spacing w:line="240" w:lineRule="auto" w:before="35" w:after="0"/>
        <w:ind w:left="2547" w:right="0" w:hanging="315"/>
        <w:jc w:val="left"/>
        <w:rPr>
          <w:sz w:val="20"/>
        </w:rPr>
      </w:pPr>
      <w:r>
        <w:rPr>
          <w:color w:val="231F20"/>
          <w:sz w:val="20"/>
        </w:rPr>
        <w:t>Click</w:t>
      </w:r>
      <w:r>
        <w:rPr>
          <w:color w:val="231F20"/>
          <w:spacing w:val="11"/>
          <w:sz w:val="20"/>
        </w:rPr>
        <w:t> </w:t>
      </w:r>
      <w:r>
        <w:rPr>
          <w:color w:val="231F20"/>
          <w:sz w:val="20"/>
        </w:rPr>
        <w:t>the</w:t>
      </w:r>
      <w:r>
        <w:rPr>
          <w:color w:val="231F20"/>
          <w:spacing w:val="20"/>
          <w:sz w:val="20"/>
        </w:rPr>
        <w:t> </w:t>
      </w:r>
      <w:r>
        <w:rPr>
          <w:color w:val="231F20"/>
          <w:spacing w:val="-24"/>
          <w:position w:val="-1"/>
          <w:sz w:val="20"/>
        </w:rPr>
        <w:drawing>
          <wp:inline distT="0" distB="0" distL="0" distR="0">
            <wp:extent cx="95250" cy="95250"/>
            <wp:effectExtent l="0" t="0" r="0" b="0"/>
            <wp:docPr id="1943" name="Image 1943"/>
            <wp:cNvGraphicFramePr>
              <a:graphicFrameLocks/>
            </wp:cNvGraphicFramePr>
            <a:graphic>
              <a:graphicData uri="http://schemas.openxmlformats.org/drawingml/2006/picture">
                <pic:pic>
                  <pic:nvPicPr>
                    <pic:cNvPr id="1943" name="Image 1943"/>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8"/>
          <w:sz w:val="20"/>
        </w:rPr>
        <w:t> </w:t>
      </w:r>
      <w:r>
        <w:rPr>
          <w:color w:val="231F20"/>
          <w:sz w:val="20"/>
        </w:rPr>
        <w:t>monitored</w:t>
      </w:r>
      <w:r>
        <w:rPr>
          <w:color w:val="231F20"/>
          <w:spacing w:val="11"/>
          <w:sz w:val="20"/>
        </w:rPr>
        <w:t> </w:t>
      </w:r>
      <w:r>
        <w:rPr>
          <w:color w:val="231F20"/>
          <w:sz w:val="20"/>
        </w:rPr>
        <w:t>application</w:t>
      </w:r>
      <w:r>
        <w:rPr>
          <w:color w:val="231F20"/>
          <w:spacing w:val="11"/>
          <w:sz w:val="20"/>
        </w:rPr>
        <w:t> </w:t>
      </w:r>
      <w:r>
        <w:rPr>
          <w:color w:val="231F20"/>
          <w:sz w:val="20"/>
        </w:rPr>
        <w:t>(agent</w:t>
      </w:r>
      <w:r>
        <w:rPr>
          <w:color w:val="231F20"/>
          <w:spacing w:val="11"/>
          <w:sz w:val="20"/>
        </w:rPr>
        <w:t> </w:t>
      </w:r>
      <w:r>
        <w:rPr>
          <w:color w:val="231F20"/>
          <w:spacing w:val="-2"/>
          <w:sz w:val="20"/>
        </w:rPr>
        <w:t>type).</w:t>
      </w:r>
    </w:p>
    <w:p>
      <w:pPr>
        <w:pStyle w:val="ListParagraph"/>
        <w:numPr>
          <w:ilvl w:val="0"/>
          <w:numId w:val="105"/>
        </w:numPr>
        <w:tabs>
          <w:tab w:pos="2548" w:val="left" w:leader="none"/>
        </w:tabs>
        <w:spacing w:line="213" w:lineRule="auto" w:before="53" w:after="0"/>
        <w:ind w:left="2548" w:right="761" w:hanging="316"/>
        <w:jc w:val="left"/>
        <w:rPr>
          <w:sz w:val="20"/>
        </w:rPr>
      </w:pPr>
      <w:r>
        <w:rPr>
          <w:color w:val="231F20"/>
          <w:sz w:val="20"/>
        </w:rPr>
        <w:t>In the expanded branch, select the historical collection that you want to unconfigure. You can use Ctrl + click to select multiple collections or Shift +</w:t>
      </w:r>
      <w:r>
        <w:rPr>
          <w:color w:val="231F20"/>
          <w:spacing w:val="40"/>
          <w:sz w:val="20"/>
        </w:rPr>
        <w:t> </w:t>
      </w:r>
      <w:r>
        <w:rPr>
          <w:color w:val="231F20"/>
          <w:sz w:val="20"/>
        </w:rPr>
        <w:t>click to select all between the one previously selected and this one.</w:t>
      </w:r>
    </w:p>
    <w:p>
      <w:pPr>
        <w:pStyle w:val="ListParagraph"/>
        <w:numPr>
          <w:ilvl w:val="0"/>
          <w:numId w:val="105"/>
        </w:numPr>
        <w:tabs>
          <w:tab w:pos="2547" w:val="left" w:leader="none"/>
        </w:tabs>
        <w:spacing w:line="240" w:lineRule="auto" w:before="35" w:after="0"/>
        <w:ind w:left="2547" w:right="0" w:hanging="315"/>
        <w:jc w:val="left"/>
        <w:rPr>
          <w:sz w:val="20"/>
        </w:rPr>
      </w:pPr>
      <w:r>
        <w:rPr>
          <w:color w:val="231F20"/>
          <w:sz w:val="20"/>
        </w:rPr>
        <w:t>Click</w:t>
      </w:r>
      <w:r>
        <w:rPr>
          <w:color w:val="231F20"/>
          <w:spacing w:val="23"/>
          <w:sz w:val="20"/>
        </w:rPr>
        <w:t> </w:t>
      </w:r>
      <w:r>
        <w:rPr>
          <w:color w:val="231F20"/>
          <w:spacing w:val="-24"/>
          <w:position w:val="-1"/>
          <w:sz w:val="20"/>
        </w:rPr>
        <w:drawing>
          <wp:inline distT="0" distB="0" distL="0" distR="0">
            <wp:extent cx="95250" cy="101600"/>
            <wp:effectExtent l="0" t="0" r="0" b="0"/>
            <wp:docPr id="1944" name="Image 1944"/>
            <wp:cNvGraphicFramePr>
              <a:graphicFrameLocks/>
            </wp:cNvGraphicFramePr>
            <a:graphic>
              <a:graphicData uri="http://schemas.openxmlformats.org/drawingml/2006/picture">
                <pic:pic>
                  <pic:nvPicPr>
                    <pic:cNvPr id="1944" name="Image 1944"/>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Delete</w:t>
      </w:r>
      <w:r>
        <w:rPr>
          <w:rFonts w:ascii="Book Antiqua"/>
          <w:b/>
          <w:color w:val="231F20"/>
          <w:spacing w:val="14"/>
          <w:sz w:val="20"/>
        </w:rPr>
        <w:t> </w:t>
      </w:r>
      <w:r>
        <w:rPr>
          <w:rFonts w:ascii="Book Antiqua"/>
          <w:b/>
          <w:color w:val="231F20"/>
          <w:spacing w:val="-2"/>
          <w:sz w:val="20"/>
        </w:rPr>
        <w:t>collection</w:t>
      </w:r>
      <w:r>
        <w:rPr>
          <w:color w:val="231F20"/>
          <w:spacing w:val="-2"/>
          <w:sz w:val="20"/>
        </w:rPr>
        <w:t>.</w:t>
      </w:r>
    </w:p>
    <w:p>
      <w:pPr>
        <w:pStyle w:val="ListParagraph"/>
        <w:numPr>
          <w:ilvl w:val="0"/>
          <w:numId w:val="105"/>
        </w:numPr>
        <w:tabs>
          <w:tab w:pos="2548" w:val="left" w:leader="none"/>
        </w:tabs>
        <w:spacing w:line="213" w:lineRule="auto" w:before="52" w:after="0"/>
        <w:ind w:left="2548" w:right="1003" w:hanging="316"/>
        <w:jc w:val="left"/>
        <w:rPr>
          <w:sz w:val="20"/>
        </w:rPr>
      </w:pPr>
      <w:r>
        <w:rPr>
          <w:color w:val="231F20"/>
          <w:sz w:val="20"/>
        </w:rPr>
        <w:t>Confirm the deletion of the historical collection definition to </w:t>
      </w:r>
      <w:r>
        <w:rPr>
          <w:color w:val="231F20"/>
          <w:sz w:val="20"/>
        </w:rPr>
        <w:t>permanently remove it.</w:t>
      </w:r>
    </w:p>
    <w:p>
      <w:pPr>
        <w:pStyle w:val="Heading4"/>
      </w:pPr>
      <w:r>
        <w:rPr>
          <w:color w:val="231F20"/>
          <w:spacing w:val="-2"/>
        </w:rPr>
        <w:t>Results</w:t>
      </w:r>
    </w:p>
    <w:p>
      <w:pPr>
        <w:pStyle w:val="BodyText"/>
        <w:spacing w:line="213" w:lineRule="auto" w:before="242"/>
        <w:ind w:left="2232" w:right="544"/>
      </w:pPr>
      <w:r>
        <w:rPr>
          <w:color w:val="231F20"/>
        </w:rPr>
        <w:t>Data collection stops for the historical collection definition on all managed </w:t>
      </w:r>
      <w:r>
        <w:rPr>
          <w:color w:val="231F20"/>
        </w:rPr>
        <w:t>systems</w:t>
      </w:r>
      <w:r>
        <w:rPr>
          <w:color w:val="231F20"/>
          <w:spacing w:val="40"/>
        </w:rPr>
        <w:t> </w:t>
      </w:r>
      <w:r>
        <w:rPr>
          <w:color w:val="231F20"/>
        </w:rPr>
        <w:t>it was distributed to. The historical data collected up to this point continues to remain in the short-term history files and data warehouse.</w:t>
      </w:r>
    </w:p>
    <w:p>
      <w:pPr>
        <w:spacing w:after="0" w:line="213" w:lineRule="auto"/>
        <w:sectPr>
          <w:pgSz w:w="12240" w:h="15840"/>
          <w:pgMar w:header="0" w:footer="736" w:top="1140" w:bottom="920" w:left="1000" w:right="1060"/>
        </w:sectPr>
      </w:pPr>
    </w:p>
    <w:p>
      <w:pPr>
        <w:pStyle w:val="BodyText"/>
        <w:spacing w:line="20" w:lineRule="exact"/>
        <w:ind w:left="436"/>
        <w:rPr>
          <w:sz w:val="2"/>
        </w:rPr>
      </w:pPr>
      <w:bookmarkStart w:name="_bookmark167" w:id="365"/>
      <w:bookmarkEnd w:id="365"/>
      <w:r>
        <w:rPr/>
      </w:r>
      <w:r>
        <w:rPr>
          <w:sz w:val="2"/>
        </w:rPr>
        <mc:AlternateContent>
          <mc:Choice Requires="wps">
            <w:drawing>
              <wp:inline distT="0" distB="0" distL="0" distR="0">
                <wp:extent cx="6082665" cy="25400"/>
                <wp:effectExtent l="19050" t="0" r="3810" b="3175"/>
                <wp:docPr id="1948" name="Group 1948"/>
                <wp:cNvGraphicFramePr>
                  <a:graphicFrameLocks/>
                </wp:cNvGraphicFramePr>
                <a:graphic>
                  <a:graphicData uri="http://schemas.microsoft.com/office/word/2010/wordprocessingGroup">
                    <wpg:wgp>
                      <wpg:cNvPr id="1948" name="Group 1948"/>
                      <wpg:cNvGrpSpPr/>
                      <wpg:grpSpPr>
                        <a:xfrm>
                          <a:off x="0" y="0"/>
                          <a:ext cx="6082665" cy="25400"/>
                          <a:chExt cx="6082665" cy="25400"/>
                        </a:xfrm>
                      </wpg:grpSpPr>
                      <wps:wsp>
                        <wps:cNvPr id="1949" name="Graphic 1949"/>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192"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9. Navigator views for logical o" w:id="366"/>
      <w:bookmarkEnd w:id="366"/>
      <w:r>
        <w:rPr>
          <w:b w:val="0"/>
        </w:rPr>
      </w:r>
      <w:bookmarkStart w:name="_bookmark166" w:id="367"/>
      <w:bookmarkEnd w:id="367"/>
      <w:r>
        <w:rPr>
          <w:b w:val="0"/>
        </w:rPr>
      </w:r>
      <w:r>
        <w:rPr>
          <w:color w:val="231F20"/>
        </w:rPr>
        <w:t>Chapter</w:t>
      </w:r>
      <w:r>
        <w:rPr>
          <w:color w:val="231F20"/>
          <w:spacing w:val="-9"/>
        </w:rPr>
        <w:t> </w:t>
      </w:r>
      <w:r>
        <w:rPr>
          <w:color w:val="231F20"/>
        </w:rPr>
        <w:t>9.</w:t>
      </w:r>
      <w:r>
        <w:rPr>
          <w:color w:val="231F20"/>
          <w:spacing w:val="8"/>
        </w:rPr>
        <w:t> </w:t>
      </w:r>
      <w:r>
        <w:rPr>
          <w:color w:val="231F20"/>
        </w:rPr>
        <w:t>Navigator</w:t>
      </w:r>
      <w:r>
        <w:rPr>
          <w:color w:val="231F20"/>
          <w:spacing w:val="8"/>
        </w:rPr>
        <w:t> </w:t>
      </w:r>
      <w:r>
        <w:rPr>
          <w:color w:val="231F20"/>
        </w:rPr>
        <w:t>views</w:t>
      </w:r>
      <w:r>
        <w:rPr>
          <w:color w:val="231F20"/>
          <w:spacing w:val="8"/>
        </w:rPr>
        <w:t> </w:t>
      </w:r>
      <w:r>
        <w:rPr>
          <w:color w:val="231F20"/>
        </w:rPr>
        <w:t>for</w:t>
      </w:r>
      <w:r>
        <w:rPr>
          <w:color w:val="231F20"/>
          <w:spacing w:val="8"/>
        </w:rPr>
        <w:t> </w:t>
      </w:r>
      <w:r>
        <w:rPr>
          <w:color w:val="231F20"/>
        </w:rPr>
        <w:t>logical</w:t>
      </w:r>
      <w:r>
        <w:rPr>
          <w:color w:val="231F20"/>
          <w:spacing w:val="8"/>
        </w:rPr>
        <w:t> </w:t>
      </w:r>
      <w:r>
        <w:rPr>
          <w:color w:val="231F20"/>
          <w:spacing w:val="-2"/>
        </w:rPr>
        <w:t>organization</w:t>
      </w:r>
    </w:p>
    <w:p>
      <w:pPr>
        <w:pStyle w:val="BodyText"/>
        <w:spacing w:line="213" w:lineRule="auto" w:before="304"/>
        <w:ind w:left="2472" w:right="545"/>
      </w:pPr>
      <w:r>
        <w:rPr>
          <w:color w:val="231F20"/>
        </w:rPr>
        <w:t>Create custom Navigator views to organize your monitored environment </w:t>
      </w:r>
      <w:r>
        <w:rPr>
          <w:color w:val="231F20"/>
        </w:rPr>
        <w:t>into logical hierarchical groupings. You can also create Navigator views and build workspaces that are targeted for specific points of view, such as executive, operator, or subject matter expert for an application domain.</w:t>
      </w:r>
    </w:p>
    <w:p>
      <w:pPr>
        <w:pStyle w:val="BodyText"/>
        <w:spacing w:line="213" w:lineRule="auto" w:before="237"/>
        <w:ind w:left="2472" w:right="379"/>
      </w:pPr>
      <w:r>
        <w:rPr>
          <w:color w:val="231F20"/>
        </w:rPr>
        <w:t>The Navigator editor enables you to create new Navigator views and build a hierarchical structure by creating new </w:t>
      </w:r>
      <w:r>
        <w:rPr>
          <w:rFonts w:ascii="Book Antiqua"/>
          <w:i/>
          <w:color w:val="231F20"/>
        </w:rPr>
        <w:t>child </w:t>
      </w:r>
      <w:r>
        <w:rPr>
          <w:color w:val="231F20"/>
        </w:rPr>
        <w:t>items as branches in the tree and sharing items from a source Navigator view with the new (target) view. You can assign managed system groups to dynamically update Navigator items </w:t>
      </w:r>
      <w:r>
        <w:rPr>
          <w:color w:val="231F20"/>
        </w:rPr>
        <w:t>whenever the group is edited.</w:t>
      </w:r>
    </w:p>
    <w:p>
      <w:pPr>
        <w:pStyle w:val="BodyText"/>
        <w:spacing w:before="3"/>
        <w:rPr>
          <w:sz w:val="16"/>
        </w:rPr>
      </w:pPr>
      <w:r>
        <w:rPr/>
        <mc:AlternateContent>
          <mc:Choice Requires="wps">
            <w:drawing>
              <wp:anchor distT="0" distB="0" distL="0" distR="0" allowOverlap="1" layoutInCell="1" locked="0" behindDoc="1" simplePos="0" relativeHeight="487714304">
                <wp:simplePos x="0" y="0"/>
                <wp:positionH relativeFrom="page">
                  <wp:posOffset>912380</wp:posOffset>
                </wp:positionH>
                <wp:positionV relativeFrom="paragraph">
                  <wp:posOffset>154724</wp:posOffset>
                </wp:positionV>
                <wp:extent cx="6082665" cy="1270"/>
                <wp:effectExtent l="0" t="0" r="0" b="0"/>
                <wp:wrapTopAndBottom/>
                <wp:docPr id="1950" name="Graphic 1950"/>
                <wp:cNvGraphicFramePr>
                  <a:graphicFrameLocks/>
                </wp:cNvGraphicFramePr>
                <a:graphic>
                  <a:graphicData uri="http://schemas.microsoft.com/office/word/2010/wordprocessingShape">
                    <wps:wsp>
                      <wps:cNvPr id="1950" name="Graphic 195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83025pt;width:478.95pt;height:.1pt;mso-position-horizontal-relative:page;mso-position-vertical-relative:paragraph;z-index:-15602176;mso-wrap-distance-left:0;mso-wrap-distance-right:0" id="docshape193"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Custom Navigator view characteristics" w:id="368"/>
      <w:bookmarkEnd w:id="368"/>
      <w:r>
        <w:rPr>
          <w:b w:val="0"/>
        </w:rPr>
      </w:r>
      <w:r>
        <w:rPr>
          <w:color w:val="231F20"/>
        </w:rPr>
        <w:t>Custom</w:t>
      </w:r>
      <w:r>
        <w:rPr>
          <w:color w:val="231F20"/>
          <w:spacing w:val="5"/>
        </w:rPr>
        <w:t> </w:t>
      </w:r>
      <w:r>
        <w:rPr>
          <w:color w:val="231F20"/>
        </w:rPr>
        <w:t>Navigator</w:t>
      </w:r>
      <w:r>
        <w:rPr>
          <w:color w:val="231F20"/>
          <w:spacing w:val="5"/>
        </w:rPr>
        <w:t> </w:t>
      </w:r>
      <w:r>
        <w:rPr>
          <w:color w:val="231F20"/>
        </w:rPr>
        <w:t>view</w:t>
      </w:r>
      <w:r>
        <w:rPr>
          <w:color w:val="231F20"/>
          <w:spacing w:val="5"/>
        </w:rPr>
        <w:t> </w:t>
      </w:r>
      <w:r>
        <w:rPr>
          <w:color w:val="231F20"/>
          <w:spacing w:val="-2"/>
        </w:rPr>
        <w:t>characteristics</w:t>
      </w:r>
    </w:p>
    <w:p>
      <w:pPr>
        <w:pStyle w:val="BodyText"/>
        <w:spacing w:line="213" w:lineRule="auto" w:before="138"/>
        <w:ind w:left="2472"/>
      </w:pPr>
      <w:r>
        <w:rPr>
          <w:color w:val="231F20"/>
        </w:rPr>
        <w:t>Custom Navigator views and the Navigator Physical view have characteristics </w:t>
      </w:r>
      <w:r>
        <w:rPr>
          <w:color w:val="231F20"/>
        </w:rPr>
        <w:t>that distinguish them from one another. Understanding these distinctions and the customization options can help you design the most effective Navigator views.</w:t>
      </w:r>
    </w:p>
    <w:p>
      <w:pPr>
        <w:pStyle w:val="Heading6"/>
      </w:pPr>
      <w:r>
        <w:rPr>
          <w:color w:val="231F20"/>
        </w:rPr>
        <w:t>Navigator</w:t>
      </w:r>
      <w:r>
        <w:rPr>
          <w:color w:val="231F20"/>
          <w:spacing w:val="7"/>
        </w:rPr>
        <w:t> </w:t>
      </w:r>
      <w:r>
        <w:rPr>
          <w:color w:val="231F20"/>
        </w:rPr>
        <w:t>Physical</w:t>
      </w:r>
      <w:r>
        <w:rPr>
          <w:color w:val="231F20"/>
          <w:spacing w:val="8"/>
        </w:rPr>
        <w:t> </w:t>
      </w:r>
      <w:r>
        <w:rPr>
          <w:color w:val="231F20"/>
          <w:spacing w:val="-4"/>
        </w:rPr>
        <w:t>view</w:t>
      </w:r>
    </w:p>
    <w:p>
      <w:pPr>
        <w:pStyle w:val="BodyText"/>
        <w:spacing w:line="213" w:lineRule="auto" w:before="11"/>
        <w:ind w:left="3190" w:right="274"/>
      </w:pPr>
      <w:r>
        <w:rPr>
          <w:color w:val="231F20"/>
        </w:rPr>
        <w:t>The Navigator Physical view is the default Navigator view. It shows </w:t>
      </w:r>
      <w:r>
        <w:rPr>
          <w:color w:val="231F20"/>
        </w:rPr>
        <w:t>your monitored enterprise as a physical mapping of managed systems by their node names and operating systems. The Navigator Physical view is a discovered view: as managed systems are added to the monitored environment, the Tivoli Enterprise Portal Server discovers them and displays them in the Navigator view.</w:t>
      </w:r>
    </w:p>
    <w:p>
      <w:pPr>
        <w:pStyle w:val="BodyText"/>
        <w:spacing w:line="213" w:lineRule="auto" w:before="116"/>
        <w:ind w:left="3190" w:right="545"/>
      </w:pPr>
      <w:r>
        <w:rPr>
          <w:color w:val="231F20"/>
        </w:rPr>
        <w:t>As well as showing the physical hierarchy of your environment, the Navigator gives you visual indication of situation events that occur on managed systems associated with a Navigator item and organizes </w:t>
      </w:r>
      <w:r>
        <w:rPr>
          <w:color w:val="231F20"/>
        </w:rPr>
        <w:t>your </w:t>
      </w:r>
      <w:r>
        <w:rPr>
          <w:color w:val="231F20"/>
          <w:spacing w:val="-2"/>
        </w:rPr>
        <w:t>workspaces.</w:t>
      </w:r>
    </w:p>
    <w:p>
      <w:pPr>
        <w:pStyle w:val="BodyText"/>
        <w:spacing w:line="213" w:lineRule="auto" w:before="117"/>
        <w:ind w:left="3190" w:right="385"/>
      </w:pPr>
      <w:r>
        <w:rPr>
          <w:color w:val="231F20"/>
        </w:rPr>
        <w:t>You can create situations and associate them with the Navigator items where you want to see alert indicators and you can create workspaces </w:t>
      </w:r>
      <w:r>
        <w:rPr>
          <w:color w:val="231F20"/>
        </w:rPr>
        <w:t>and report data from the managed systems assigned to that branch of the tree. But you cannot edit the Navigator Physical view itself.</w:t>
      </w:r>
    </w:p>
    <w:p>
      <w:pPr>
        <w:pStyle w:val="Heading6"/>
        <w:spacing w:before="116"/>
      </w:pPr>
      <w:r>
        <w:rPr>
          <w:color w:val="231F20"/>
        </w:rPr>
        <w:t>Custom</w:t>
      </w:r>
      <w:r>
        <w:rPr>
          <w:color w:val="231F20"/>
          <w:spacing w:val="7"/>
        </w:rPr>
        <w:t> </w:t>
      </w:r>
      <w:r>
        <w:rPr>
          <w:color w:val="231F20"/>
        </w:rPr>
        <w:t>Navigator</w:t>
      </w:r>
      <w:r>
        <w:rPr>
          <w:color w:val="231F20"/>
          <w:spacing w:val="8"/>
        </w:rPr>
        <w:t> </w:t>
      </w:r>
      <w:r>
        <w:rPr>
          <w:color w:val="231F20"/>
          <w:spacing w:val="-2"/>
        </w:rPr>
        <w:t>views</w:t>
      </w:r>
    </w:p>
    <w:p>
      <w:pPr>
        <w:pStyle w:val="BodyText"/>
        <w:spacing w:line="213" w:lineRule="auto" w:before="11"/>
        <w:ind w:left="3190" w:right="385"/>
      </w:pPr>
      <w:r>
        <w:rPr>
          <w:color w:val="231F20"/>
        </w:rPr>
        <w:t>You can create Navigator views for logical hierarchies, such as by location or business application. With custom Navigator views, you can create Navigator items and determine their managed system assignments. You can add Navigator items either by dragging and dropping them from a source Navigator view to the target view or by creating them manually.</w:t>
      </w:r>
    </w:p>
    <w:p>
      <w:pPr>
        <w:pStyle w:val="BodyText"/>
        <w:spacing w:line="213" w:lineRule="auto" w:before="117"/>
        <w:ind w:left="3190" w:right="493"/>
      </w:pPr>
      <w:r>
        <w:rPr>
          <w:color w:val="231F20"/>
        </w:rPr>
        <w:t>The drag and drop method </w:t>
      </w:r>
      <w:r>
        <w:rPr>
          <w:rFonts w:ascii="Book Antiqua"/>
          <w:i/>
          <w:color w:val="231F20"/>
        </w:rPr>
        <w:t>shares </w:t>
      </w:r>
      <w:r>
        <w:rPr>
          <w:color w:val="231F20"/>
        </w:rPr>
        <w:t>the item in the source and target Navigator views. When you share an item, all managed system assignments, workspaces, and situations associated with the source </w:t>
      </w:r>
      <w:r>
        <w:rPr>
          <w:color w:val="231F20"/>
        </w:rPr>
        <w:t>item are applied. Future changes to one item are applied to the other. A </w:t>
      </w:r>
      <w:r>
        <w:rPr>
          <w:color w:val="231F20"/>
          <w:spacing w:val="4"/>
        </w:rPr>
        <w:drawing>
          <wp:inline distT="0" distB="0" distL="0" distR="0">
            <wp:extent cx="44450" cy="44450"/>
            <wp:effectExtent l="0" t="0" r="0" b="0"/>
            <wp:docPr id="1951" name="Image 1951"/>
            <wp:cNvGraphicFramePr>
              <a:graphicFrameLocks/>
            </wp:cNvGraphicFramePr>
            <a:graphic>
              <a:graphicData uri="http://schemas.openxmlformats.org/drawingml/2006/picture">
                <pic:pic>
                  <pic:nvPicPr>
                    <pic:cNvPr id="1951" name="Image 1951"/>
                    <pic:cNvPicPr/>
                  </pic:nvPicPr>
                  <pic:blipFill>
                    <a:blip r:embed="rId105" cstate="print"/>
                    <a:stretch>
                      <a:fillRect/>
                    </a:stretch>
                  </pic:blipFill>
                  <pic:spPr>
                    <a:xfrm>
                      <a:off x="0" y="0"/>
                      <a:ext cx="44450" cy="44450"/>
                    </a:xfrm>
                    <a:prstGeom prst="rect">
                      <a:avLst/>
                    </a:prstGeom>
                  </pic:spPr>
                </pic:pic>
              </a:graphicData>
            </a:graphic>
          </wp:inline>
        </w:drawing>
      </w:r>
      <w:r>
        <w:rPr>
          <w:color w:val="231F20"/>
          <w:spacing w:val="4"/>
        </w:rPr>
      </w:r>
    </w:p>
    <w:p>
      <w:pPr>
        <w:pStyle w:val="BodyText"/>
        <w:spacing w:line="213" w:lineRule="auto"/>
        <w:ind w:left="3190" w:right="258"/>
      </w:pPr>
      <w:r>
        <w:rPr>
          <w:rFonts w:ascii="Book Antiqua"/>
          <w:b/>
          <w:color w:val="231F20"/>
        </w:rPr>
        <w:t>shared </w:t>
      </w:r>
      <w:r>
        <w:rPr>
          <w:color w:val="231F20"/>
        </w:rPr>
        <w:t>icon is displayed over the source and target Navigator item icons. </w:t>
      </w:r>
      <w:r>
        <w:rPr>
          <w:color w:val="231F20"/>
        </w:rPr>
        <w:t>It provides a visual reminder of the relationship so that you do not unintentionally change or delete an item from one Navigator view that</w:t>
      </w:r>
      <w:r>
        <w:rPr>
          <w:color w:val="231F20"/>
          <w:spacing w:val="40"/>
        </w:rPr>
        <w:t> </w:t>
      </w:r>
      <w:r>
        <w:rPr>
          <w:color w:val="231F20"/>
        </w:rPr>
        <w:t>might affect another view. You cannot change the managed system assignments of Navigator items that were shared using the drag and drop </w:t>
      </w:r>
      <w:r>
        <w:rPr>
          <w:color w:val="231F20"/>
          <w:spacing w:val="-2"/>
        </w:rPr>
        <w:t>method.</w:t>
      </w:r>
    </w:p>
    <w:p>
      <w:pPr>
        <w:spacing w:after="0" w:line="213" w:lineRule="auto"/>
        <w:sectPr>
          <w:footerReference w:type="default" r:id="rId356"/>
          <w:footerReference w:type="even" r:id="rId357"/>
          <w:pgSz w:w="12240" w:h="15840"/>
          <w:pgMar w:header="0" w:footer="736" w:top="1300" w:bottom="920" w:left="1000" w:right="1060"/>
          <w:pgNumType w:start="233"/>
        </w:sectPr>
      </w:pPr>
    </w:p>
    <w:p>
      <w:pPr>
        <w:pStyle w:val="BodyText"/>
        <w:spacing w:line="213" w:lineRule="auto" w:before="85"/>
        <w:ind w:left="2951"/>
      </w:pPr>
      <w:bookmarkStart w:name="_bookmark168" w:id="369"/>
      <w:bookmarkEnd w:id="369"/>
      <w:r>
        <w:rPr/>
      </w:r>
      <w:r>
        <w:rPr>
          <w:color w:val="231F20"/>
        </w:rPr>
        <w:t>For Navigator items added with </w:t>
      </w:r>
      <w:r>
        <w:rPr>
          <w:color w:val="231F20"/>
          <w:spacing w:val="-25"/>
          <w:position w:val="-1"/>
        </w:rPr>
        <w:drawing>
          <wp:inline distT="0" distB="0" distL="0" distR="0">
            <wp:extent cx="95250" cy="95250"/>
            <wp:effectExtent l="0" t="0" r="0" b="0"/>
            <wp:docPr id="1952" name="Image 1952"/>
            <wp:cNvGraphicFramePr>
              <a:graphicFrameLocks/>
            </wp:cNvGraphicFramePr>
            <a:graphic>
              <a:graphicData uri="http://schemas.openxmlformats.org/drawingml/2006/picture">
                <pic:pic>
                  <pic:nvPicPr>
                    <pic:cNvPr id="1952" name="Image 1952"/>
                    <pic:cNvPicPr/>
                  </pic:nvPicPr>
                  <pic:blipFill>
                    <a:blip r:embed="rId35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7"/>
        </w:rPr>
        <w:t> </w:t>
      </w:r>
      <w:r>
        <w:rPr>
          <w:rFonts w:ascii="Book Antiqua"/>
          <w:b/>
          <w:color w:val="231F20"/>
        </w:rPr>
        <w:t>Create child item</w:t>
      </w:r>
      <w:r>
        <w:rPr>
          <w:color w:val="231F20"/>
        </w:rPr>
        <w:t>, you control </w:t>
      </w:r>
      <w:r>
        <w:rPr>
          <w:color w:val="231F20"/>
        </w:rPr>
        <w:t>the management system assignments:</w:t>
      </w:r>
    </w:p>
    <w:p>
      <w:pPr>
        <w:pStyle w:val="BodyText"/>
        <w:spacing w:line="213" w:lineRule="auto" w:before="58"/>
        <w:ind w:left="3167" w:right="511" w:hanging="216"/>
      </w:pPr>
      <w:r>
        <w:rPr>
          <w:rFonts w:ascii="Futura MdCn BT"/>
          <w:color w:val="231F20"/>
        </w:rPr>
        <w:t>v</w:t>
      </w:r>
      <w:r>
        <w:rPr>
          <w:rFonts w:ascii="Futura MdCn BT"/>
          <w:color w:val="231F20"/>
          <w:spacing w:val="80"/>
        </w:rPr>
        <w:t> </w:t>
      </w:r>
      <w:r>
        <w:rPr>
          <w:color w:val="231F20"/>
        </w:rPr>
        <w:t>Navigator items with no managed systems assigned cannot have</w:t>
      </w:r>
      <w:r>
        <w:rPr>
          <w:color w:val="231F20"/>
          <w:spacing w:val="40"/>
        </w:rPr>
        <w:t> </w:t>
      </w:r>
      <w:r>
        <w:rPr>
          <w:color w:val="231F20"/>
        </w:rPr>
        <w:t>situations associated with them, thus no alert indicators are displayed </w:t>
      </w:r>
      <w:r>
        <w:rPr>
          <w:color w:val="231F20"/>
        </w:rPr>
        <w:t>on</w:t>
      </w:r>
      <w:r>
        <w:rPr>
          <w:color w:val="231F20"/>
        </w:rPr>
        <w:t> the item except as part of the roll-up display of events. This might be</w:t>
      </w:r>
      <w:r>
        <w:rPr>
          <w:color w:val="231F20"/>
          <w:spacing w:val="80"/>
        </w:rPr>
        <w:t> </w:t>
      </w:r>
      <w:r>
        <w:rPr>
          <w:color w:val="231F20"/>
        </w:rPr>
        <w:t>what you want for a container (parent) Navigator item.</w:t>
      </w:r>
    </w:p>
    <w:p>
      <w:pPr>
        <w:pStyle w:val="BodyText"/>
        <w:spacing w:line="213" w:lineRule="auto" w:before="57"/>
        <w:ind w:left="3167" w:right="545" w:hanging="216"/>
      </w:pPr>
      <w:r>
        <w:rPr>
          <w:rFonts w:ascii="Futura MdCn BT"/>
          <w:color w:val="231F20"/>
        </w:rPr>
        <w:t>v</w:t>
      </w:r>
      <w:r>
        <w:rPr>
          <w:rFonts w:ascii="Futura MdCn BT"/>
          <w:color w:val="231F20"/>
          <w:spacing w:val="80"/>
        </w:rPr>
        <w:t> </w:t>
      </w:r>
      <w:r>
        <w:rPr>
          <w:color w:val="231F20"/>
        </w:rPr>
        <w:t>Navigator items can have managed system assigned </w:t>
      </w:r>
      <w:r>
        <w:rPr>
          <w:rFonts w:ascii="Book Antiqua"/>
          <w:i/>
          <w:color w:val="231F20"/>
        </w:rPr>
        <w:t>statically</w:t>
      </w:r>
      <w:r>
        <w:rPr>
          <w:color w:val="231F20"/>
        </w:rPr>
        <w:t>. When creating the item, you assign managed systems or managed system groups (or both) through the </w:t>
      </w:r>
      <w:r>
        <w:rPr>
          <w:rFonts w:ascii="Book Antiqua"/>
          <w:b/>
          <w:color w:val="231F20"/>
        </w:rPr>
        <w:t>Monitored Resources </w:t>
      </w:r>
      <w:r>
        <w:rPr>
          <w:color w:val="231F20"/>
        </w:rPr>
        <w:t>tab of the Navigator item properties. Initially, static items are not shared with other items </w:t>
      </w:r>
      <w:r>
        <w:rPr>
          <w:color w:val="231F20"/>
        </w:rPr>
        <w:t>nor</w:t>
      </w:r>
      <w:r>
        <w:rPr>
          <w:color w:val="231F20"/>
        </w:rPr>
        <w:t> are situations associated with them.</w:t>
      </w:r>
    </w:p>
    <w:p>
      <w:pPr>
        <w:pStyle w:val="BodyText"/>
        <w:spacing w:line="213" w:lineRule="auto" w:before="57"/>
        <w:ind w:left="3167" w:right="545" w:hanging="216"/>
      </w:pPr>
      <w:r>
        <w:rPr>
          <w:rFonts w:ascii="Futura MdCn BT" w:hAnsi="Futura MdCn BT"/>
          <w:color w:val="231F20"/>
        </w:rPr>
        <w:t>v</w:t>
      </w:r>
      <w:r>
        <w:rPr>
          <w:rFonts w:ascii="Futura MdCn BT" w:hAnsi="Futura MdCn BT"/>
          <w:color w:val="231F20"/>
          <w:spacing w:val="80"/>
        </w:rPr>
        <w:t> </w:t>
      </w:r>
      <w:r>
        <w:rPr>
          <w:color w:val="231F20"/>
        </w:rPr>
        <w:t>Navigator items can have managed systems assigned </w:t>
      </w:r>
      <w:r>
        <w:rPr>
          <w:rFonts w:ascii="Book Antiqua" w:hAnsi="Book Antiqua"/>
          <w:i/>
          <w:color w:val="231F20"/>
        </w:rPr>
        <w:t>dynamically</w:t>
      </w:r>
      <w:r>
        <w:rPr>
          <w:color w:val="231F20"/>
        </w:rPr>
        <w:t>. When creating the item, you assign a managed system group (or groups) through the </w:t>
      </w:r>
      <w:r>
        <w:rPr>
          <w:rFonts w:ascii="Book Antiqua" w:hAnsi="Book Antiqua"/>
          <w:b/>
          <w:color w:val="231F20"/>
        </w:rPr>
        <w:t>Dynamic Items </w:t>
      </w:r>
      <w:r>
        <w:rPr>
          <w:color w:val="231F20"/>
        </w:rPr>
        <w:t>tab. The Navigator item is then populated</w:t>
      </w:r>
      <w:r>
        <w:rPr>
          <w:color w:val="231F20"/>
          <w:spacing w:val="80"/>
        </w:rPr>
        <w:t> </w:t>
      </w:r>
      <w:r>
        <w:rPr>
          <w:color w:val="231F20"/>
        </w:rPr>
        <w:t>by all the managed systems that belong to that group. For example, </w:t>
      </w:r>
      <w:r>
        <w:rPr>
          <w:color w:val="231F20"/>
        </w:rPr>
        <w:t>you</w:t>
      </w:r>
      <w:r>
        <w:rPr>
          <w:color w:val="231F20"/>
        </w:rPr>
        <w:t> might have a Navigator item named “Far West” with “Arizona” and “California” managed system groups assigned as dynamic items. Any managed systems added or removed from those groups are reflected in the “Far West” branch. The items at the</w:t>
      </w:r>
      <w:r>
        <w:rPr>
          <w:color w:val="231F20"/>
          <w:spacing w:val="26"/>
        </w:rPr>
        <w:t> </w:t>
      </w:r>
      <w:r>
        <w:rPr>
          <w:color w:val="231F20"/>
          <w:spacing w:val="-25"/>
          <w:position w:val="-1"/>
        </w:rPr>
        <w:drawing>
          <wp:inline distT="0" distB="0" distL="0" distR="0">
            <wp:extent cx="95250" cy="95250"/>
            <wp:effectExtent l="0" t="0" r="0" b="0"/>
            <wp:docPr id="1953" name="Image 1953"/>
            <wp:cNvGraphicFramePr>
              <a:graphicFrameLocks/>
            </wp:cNvGraphicFramePr>
            <a:graphic>
              <a:graphicData uri="http://schemas.openxmlformats.org/drawingml/2006/picture">
                <pic:pic>
                  <pic:nvPicPr>
                    <pic:cNvPr id="1953" name="Image 1953"/>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hAnsi="Times New Roman"/>
          <w:color w:val="231F20"/>
          <w:spacing w:val="80"/>
        </w:rPr>
        <w:t> </w:t>
      </w:r>
      <w:r>
        <w:rPr>
          <w:color w:val="231F20"/>
        </w:rPr>
        <w:t>agent and</w:t>
      </w:r>
      <w:r>
        <w:rPr>
          <w:color w:val="231F20"/>
          <w:spacing w:val="27"/>
        </w:rPr>
        <w:t> </w:t>
      </w:r>
      <w:r>
        <w:rPr>
          <w:color w:val="231F20"/>
          <w:spacing w:val="-24"/>
          <w:position w:val="-1"/>
        </w:rPr>
        <w:drawing>
          <wp:inline distT="0" distB="0" distL="0" distR="0">
            <wp:extent cx="88900" cy="101600"/>
            <wp:effectExtent l="0" t="0" r="0" b="0"/>
            <wp:docPr id="1954" name="Image 1954"/>
            <wp:cNvGraphicFramePr>
              <a:graphicFrameLocks/>
            </wp:cNvGraphicFramePr>
            <a:graphic>
              <a:graphicData uri="http://schemas.openxmlformats.org/drawingml/2006/picture">
                <pic:pic>
                  <pic:nvPicPr>
                    <pic:cNvPr id="1954" name="Image 195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hAnsi="Times New Roman"/>
          <w:color w:val="231F20"/>
          <w:spacing w:val="80"/>
        </w:rPr>
        <w:t> </w:t>
      </w:r>
      <w:r>
        <w:rPr>
          <w:color w:val="231F20"/>
        </w:rPr>
        <w:t>attribute level are shared from the Navigator Physical view.</w:t>
      </w:r>
    </w:p>
    <w:p>
      <w:pPr>
        <w:pStyle w:val="BodyText"/>
        <w:spacing w:line="225" w:lineRule="exact"/>
        <w:ind w:left="3167"/>
      </w:pPr>
      <w:r>
        <w:rPr>
          <w:position w:val="-1"/>
        </w:rPr>
        <w:drawing>
          <wp:inline distT="0" distB="0" distL="0" distR="0">
            <wp:extent cx="101600" cy="95250"/>
            <wp:effectExtent l="0" t="0" r="0" b="0"/>
            <wp:docPr id="1955" name="Image 1955"/>
            <wp:cNvGraphicFramePr>
              <a:graphicFrameLocks/>
            </wp:cNvGraphicFramePr>
            <a:graphic>
              <a:graphicData uri="http://schemas.openxmlformats.org/drawingml/2006/picture">
                <pic:pic>
                  <pic:nvPicPr>
                    <pic:cNvPr id="1955" name="Image 195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Support</w:t>
      </w:r>
    </w:p>
    <w:p>
      <w:pPr>
        <w:pStyle w:val="BodyText"/>
        <w:spacing w:line="239" w:lineRule="exact"/>
        <w:ind w:left="3506"/>
      </w:pPr>
      <w:r>
        <w:rPr/>
        <w:drawing>
          <wp:inline distT="0" distB="0" distL="0" distR="0">
            <wp:extent cx="69850" cy="69850"/>
            <wp:effectExtent l="0" t="0" r="0" b="0"/>
            <wp:docPr id="1956" name="Image 1956"/>
            <wp:cNvGraphicFramePr>
              <a:graphicFrameLocks/>
            </wp:cNvGraphicFramePr>
            <a:graphic>
              <a:graphicData uri="http://schemas.openxmlformats.org/drawingml/2006/picture">
                <pic:pic>
                  <pic:nvPicPr>
                    <pic:cNvPr id="1956" name="Image 1956"/>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1957" name="Image 1957"/>
            <wp:cNvGraphicFramePr>
              <a:graphicFrameLocks/>
            </wp:cNvGraphicFramePr>
            <a:graphic>
              <a:graphicData uri="http://schemas.openxmlformats.org/drawingml/2006/picture">
                <pic:pic>
                  <pic:nvPicPr>
                    <pic:cNvPr id="1957" name="Image 1957"/>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Far West</w:t>
      </w:r>
    </w:p>
    <w:p>
      <w:pPr>
        <w:pStyle w:val="BodyText"/>
        <w:spacing w:line="239" w:lineRule="exact"/>
        <w:ind w:left="3805"/>
      </w:pPr>
      <w:r>
        <w:rPr/>
        <w:drawing>
          <wp:inline distT="0" distB="0" distL="0" distR="0">
            <wp:extent cx="69850" cy="69850"/>
            <wp:effectExtent l="0" t="0" r="0" b="0"/>
            <wp:docPr id="1958" name="Image 1958"/>
            <wp:cNvGraphicFramePr>
              <a:graphicFrameLocks/>
            </wp:cNvGraphicFramePr>
            <a:graphic>
              <a:graphicData uri="http://schemas.openxmlformats.org/drawingml/2006/picture">
                <pic:pic>
                  <pic:nvPicPr>
                    <pic:cNvPr id="1958" name="Image 1958"/>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899" cy="88900"/>
            <wp:effectExtent l="0" t="0" r="0" b="0"/>
            <wp:docPr id="1959" name="Image 1959"/>
            <wp:cNvGraphicFramePr>
              <a:graphicFrameLocks/>
            </wp:cNvGraphicFramePr>
            <a:graphic>
              <a:graphicData uri="http://schemas.openxmlformats.org/drawingml/2006/picture">
                <pic:pic>
                  <pic:nvPicPr>
                    <pic:cNvPr id="1959" name="Image 1959"/>
                    <pic:cNvPicPr/>
                  </pic:nvPicPr>
                  <pic:blipFill>
                    <a:blip r:embed="rId355" cstate="print"/>
                    <a:stretch>
                      <a:fillRect/>
                    </a:stretch>
                  </pic:blipFill>
                  <pic:spPr>
                    <a:xfrm>
                      <a:off x="0" y="0"/>
                      <a:ext cx="88899" cy="889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Arizona</w:t>
      </w:r>
    </w:p>
    <w:p>
      <w:pPr>
        <w:pStyle w:val="BodyText"/>
        <w:spacing w:line="239" w:lineRule="exact"/>
        <w:ind w:left="3805"/>
      </w:pPr>
      <w:r>
        <w:rPr/>
        <w:drawing>
          <wp:inline distT="0" distB="0" distL="0" distR="0">
            <wp:extent cx="69850" cy="69850"/>
            <wp:effectExtent l="0" t="0" r="0" b="0"/>
            <wp:docPr id="1960" name="Image 1960"/>
            <wp:cNvGraphicFramePr>
              <a:graphicFrameLocks/>
            </wp:cNvGraphicFramePr>
            <a:graphic>
              <a:graphicData uri="http://schemas.openxmlformats.org/drawingml/2006/picture">
                <pic:pic>
                  <pic:nvPicPr>
                    <pic:cNvPr id="1960" name="Image 1960"/>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899" cy="88900"/>
            <wp:effectExtent l="0" t="0" r="0" b="0"/>
            <wp:docPr id="1961" name="Image 1961"/>
            <wp:cNvGraphicFramePr>
              <a:graphicFrameLocks/>
            </wp:cNvGraphicFramePr>
            <a:graphic>
              <a:graphicData uri="http://schemas.openxmlformats.org/drawingml/2006/picture">
                <pic:pic>
                  <pic:nvPicPr>
                    <pic:cNvPr id="1961" name="Image 1961"/>
                    <pic:cNvPicPr/>
                  </pic:nvPicPr>
                  <pic:blipFill>
                    <a:blip r:embed="rId355" cstate="print"/>
                    <a:stretch>
                      <a:fillRect/>
                    </a:stretch>
                  </pic:blipFill>
                  <pic:spPr>
                    <a:xfrm>
                      <a:off x="0" y="0"/>
                      <a:ext cx="88899" cy="889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California</w:t>
      </w:r>
    </w:p>
    <w:p>
      <w:pPr>
        <w:pStyle w:val="BodyText"/>
        <w:spacing w:line="239" w:lineRule="exact"/>
        <w:ind w:left="4271"/>
      </w:pPr>
      <w:r>
        <w:rPr/>
        <w:drawing>
          <wp:inline distT="0" distB="0" distL="0" distR="0">
            <wp:extent cx="69850" cy="69850"/>
            <wp:effectExtent l="0" t="0" r="0" b="0"/>
            <wp:docPr id="1962" name="Image 1962"/>
            <wp:cNvGraphicFramePr>
              <a:graphicFrameLocks/>
            </wp:cNvGraphicFramePr>
            <a:graphic>
              <a:graphicData uri="http://schemas.openxmlformats.org/drawingml/2006/picture">
                <pic:pic>
                  <pic:nvPicPr>
                    <pic:cNvPr id="1962" name="Image 1962"/>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1963" name="Image 1963"/>
            <wp:cNvGraphicFramePr>
              <a:graphicFrameLocks/>
            </wp:cNvGraphicFramePr>
            <a:graphic>
              <a:graphicData uri="http://schemas.openxmlformats.org/drawingml/2006/picture">
                <pic:pic>
                  <pic:nvPicPr>
                    <pic:cNvPr id="1963" name="Image 1963"/>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JOSE95101</w:t>
      </w:r>
    </w:p>
    <w:p>
      <w:pPr>
        <w:pStyle w:val="BodyText"/>
        <w:spacing w:line="213" w:lineRule="auto" w:before="8"/>
        <w:ind w:left="4238" w:right="3867" w:firstLine="33"/>
      </w:pPr>
      <w:r>
        <w:rPr/>
        <w:drawing>
          <wp:inline distT="0" distB="0" distL="0" distR="0">
            <wp:extent cx="69850" cy="69850"/>
            <wp:effectExtent l="0" t="0" r="0" b="0"/>
            <wp:docPr id="1964" name="Image 1964"/>
            <wp:cNvGraphicFramePr>
              <a:graphicFrameLocks/>
            </wp:cNvGraphicFramePr>
            <a:graphic>
              <a:graphicData uri="http://schemas.openxmlformats.org/drawingml/2006/picture">
                <pic:pic>
                  <pic:nvPicPr>
                    <pic:cNvPr id="1964" name="Image 1964"/>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spacing w:val="30"/>
          <w:position w:val="-1"/>
        </w:rPr>
        <w:t> </w:t>
      </w:r>
      <w:r>
        <w:rPr>
          <w:rFonts w:ascii="Times New Roman"/>
          <w:spacing w:val="-1"/>
          <w:position w:val="-1"/>
        </w:rPr>
        <w:drawing>
          <wp:inline distT="0" distB="0" distL="0" distR="0">
            <wp:extent cx="101600" cy="95250"/>
            <wp:effectExtent l="0" t="0" r="0" b="0"/>
            <wp:docPr id="1965" name="Image 1965"/>
            <wp:cNvGraphicFramePr>
              <a:graphicFrameLocks/>
            </wp:cNvGraphicFramePr>
            <a:graphic>
              <a:graphicData uri="http://schemas.openxmlformats.org/drawingml/2006/picture">
                <pic:pic>
                  <pic:nvPicPr>
                    <pic:cNvPr id="1965" name="Image 1965"/>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LEANDRO94579 </w:t>
      </w:r>
      <w:r>
        <w:rPr>
          <w:color w:val="231F20"/>
        </w:rPr>
        <w:drawing>
          <wp:inline distT="0" distB="0" distL="0" distR="0">
            <wp:extent cx="69850" cy="69850"/>
            <wp:effectExtent l="0" t="0" r="0" b="0"/>
            <wp:docPr id="1966" name="Image 1966"/>
            <wp:cNvGraphicFramePr>
              <a:graphicFrameLocks/>
            </wp:cNvGraphicFramePr>
            <a:graphic>
              <a:graphicData uri="http://schemas.openxmlformats.org/drawingml/2006/picture">
                <pic:pic>
                  <pic:nvPicPr>
                    <pic:cNvPr id="1966" name="Image 1966"/>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1967" name="Image 1967"/>
            <wp:cNvGraphicFramePr>
              <a:graphicFrameLocks/>
            </wp:cNvGraphicFramePr>
            <a:graphic>
              <a:graphicData uri="http://schemas.openxmlformats.org/drawingml/2006/picture">
                <pic:pic>
                  <pic:nvPicPr>
                    <pic:cNvPr id="1967" name="Image 1967"/>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MARINO91108</w:t>
      </w:r>
    </w:p>
    <w:p>
      <w:pPr>
        <w:pStyle w:val="BodyText"/>
        <w:spacing w:line="230" w:lineRule="exact"/>
        <w:ind w:left="4637"/>
      </w:pPr>
      <w:r>
        <w:rPr/>
        <w:drawing>
          <wp:inline distT="0" distB="0" distL="0" distR="0">
            <wp:extent cx="69850" cy="69850"/>
            <wp:effectExtent l="0" t="0" r="0" b="0"/>
            <wp:docPr id="1968" name="Image 1968"/>
            <wp:cNvGraphicFramePr>
              <a:graphicFrameLocks/>
            </wp:cNvGraphicFramePr>
            <a:graphic>
              <a:graphicData uri="http://schemas.openxmlformats.org/drawingml/2006/picture">
                <pic:pic>
                  <pic:nvPicPr>
                    <pic:cNvPr id="1968" name="Image 1968"/>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95250" cy="95250"/>
            <wp:effectExtent l="0" t="0" r="0" b="0"/>
            <wp:docPr id="1969" name="Image 1969"/>
            <wp:cNvGraphicFramePr>
              <a:graphicFrameLocks/>
            </wp:cNvGraphicFramePr>
            <a:graphic>
              <a:graphicData uri="http://schemas.openxmlformats.org/drawingml/2006/picture">
                <pic:pic>
                  <pic:nvPicPr>
                    <pic:cNvPr id="1969" name="Image 1969"/>
                    <pic:cNvPicPr/>
                  </pic:nvPicPr>
                  <pic:blipFill>
                    <a:blip r:embed="rId84" cstate="print"/>
                    <a:stretch>
                      <a:fillRect/>
                    </a:stretch>
                  </pic:blipFill>
                  <pic:spPr>
                    <a:xfrm>
                      <a:off x="0" y="0"/>
                      <a:ext cx="95250" cy="9525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UNIX OS</w:t>
      </w:r>
    </w:p>
    <w:p>
      <w:pPr>
        <w:pStyle w:val="BodyText"/>
        <w:spacing w:line="239" w:lineRule="exact"/>
        <w:ind w:left="5036"/>
      </w:pPr>
      <w:r>
        <w:rPr/>
        <w:drawing>
          <wp:inline distT="0" distB="0" distL="0" distR="0">
            <wp:extent cx="69850" cy="69850"/>
            <wp:effectExtent l="0" t="0" r="0" b="0"/>
            <wp:docPr id="1970" name="Image 1970"/>
            <wp:cNvGraphicFramePr>
              <a:graphicFrameLocks/>
            </wp:cNvGraphicFramePr>
            <a:graphic>
              <a:graphicData uri="http://schemas.openxmlformats.org/drawingml/2006/picture">
                <pic:pic>
                  <pic:nvPicPr>
                    <pic:cNvPr id="1970" name="Image 1970"/>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900" cy="101600"/>
            <wp:effectExtent l="0" t="0" r="0" b="0"/>
            <wp:docPr id="1971" name="Image 1971"/>
            <wp:cNvGraphicFramePr>
              <a:graphicFrameLocks/>
            </wp:cNvGraphicFramePr>
            <a:graphic>
              <a:graphicData uri="http://schemas.openxmlformats.org/drawingml/2006/picture">
                <pic:pic>
                  <pic:nvPicPr>
                    <pic:cNvPr id="1971" name="Image 1971"/>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Disk Usage</w:t>
      </w:r>
    </w:p>
    <w:p>
      <w:pPr>
        <w:pStyle w:val="BodyText"/>
        <w:spacing w:line="213" w:lineRule="auto" w:before="8"/>
        <w:ind w:left="5036" w:right="3153" w:firstLine="33"/>
      </w:pPr>
      <w:r>
        <w:rPr/>
        <w:drawing>
          <wp:inline distT="0" distB="0" distL="0" distR="0">
            <wp:extent cx="69850" cy="69850"/>
            <wp:effectExtent l="0" t="0" r="0" b="0"/>
            <wp:docPr id="1972" name="Image 1972"/>
            <wp:cNvGraphicFramePr>
              <a:graphicFrameLocks/>
            </wp:cNvGraphicFramePr>
            <a:graphic>
              <a:graphicData uri="http://schemas.openxmlformats.org/drawingml/2006/picture">
                <pic:pic>
                  <pic:nvPicPr>
                    <pic:cNvPr id="1972" name="Image 1972"/>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900" cy="101600"/>
            <wp:effectExtent l="0" t="0" r="0" b="0"/>
            <wp:docPr id="1973" name="Image 1973"/>
            <wp:cNvGraphicFramePr>
              <a:graphicFrameLocks/>
            </wp:cNvGraphicFramePr>
            <a:graphic>
              <a:graphicData uri="http://schemas.openxmlformats.org/drawingml/2006/picture">
                <pic:pic>
                  <pic:nvPicPr>
                    <pic:cNvPr id="1973" name="Image 1973"/>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File Information </w:t>
      </w:r>
      <w:r>
        <w:rPr>
          <w:color w:val="231F20"/>
        </w:rPr>
        <w:drawing>
          <wp:inline distT="0" distB="0" distL="0" distR="0">
            <wp:extent cx="69850" cy="69850"/>
            <wp:effectExtent l="0" t="0" r="0" b="0"/>
            <wp:docPr id="1974" name="Image 1974"/>
            <wp:cNvGraphicFramePr>
              <a:graphicFrameLocks/>
            </wp:cNvGraphicFramePr>
            <a:graphic>
              <a:graphicData uri="http://schemas.openxmlformats.org/drawingml/2006/picture">
                <pic:pic>
                  <pic:nvPicPr>
                    <pic:cNvPr id="1974" name="Image 1974"/>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9"/>
          <w:position w:val="-1"/>
        </w:rPr>
        <w:drawing>
          <wp:inline distT="0" distB="0" distL="0" distR="0">
            <wp:extent cx="88900" cy="101600"/>
            <wp:effectExtent l="0" t="0" r="0" b="0"/>
            <wp:docPr id="1975" name="Image 1975"/>
            <wp:cNvGraphicFramePr>
              <a:graphicFrameLocks/>
            </wp:cNvGraphicFramePr>
            <a:graphic>
              <a:graphicData uri="http://schemas.openxmlformats.org/drawingml/2006/picture">
                <pic:pic>
                  <pic:nvPicPr>
                    <pic:cNvPr id="1975" name="Image 1975"/>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color w:val="231F20"/>
          <w:spacing w:val="9"/>
          <w:position w:val="-1"/>
        </w:rPr>
      </w:r>
      <w:r>
        <w:rPr>
          <w:rFonts w:ascii="Times New Roman"/>
          <w:color w:val="231F20"/>
          <w:spacing w:val="40"/>
        </w:rPr>
        <w:t> </w:t>
      </w:r>
      <w:r>
        <w:rPr>
          <w:color w:val="231F20"/>
        </w:rPr>
        <w:t>Network</w:t>
      </w:r>
    </w:p>
    <w:p>
      <w:pPr>
        <w:spacing w:line="230" w:lineRule="exact" w:before="0"/>
        <w:ind w:left="5069" w:right="0" w:firstLine="0"/>
        <w:jc w:val="left"/>
        <w:rPr>
          <w:sz w:val="20"/>
        </w:rPr>
      </w:pPr>
      <w:r>
        <w:rPr/>
        <w:drawing>
          <wp:inline distT="0" distB="0" distL="0" distR="0">
            <wp:extent cx="69850" cy="69850"/>
            <wp:effectExtent l="0" t="0" r="0" b="0"/>
            <wp:docPr id="1976" name="Image 1976"/>
            <wp:cNvGraphicFramePr>
              <a:graphicFrameLocks/>
            </wp:cNvGraphicFramePr>
            <a:graphic>
              <a:graphicData uri="http://schemas.openxmlformats.org/drawingml/2006/picture">
                <pic:pic>
                  <pic:nvPicPr>
                    <pic:cNvPr id="1976" name="Image 1976"/>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sz w:val="20"/>
        </w:rPr>
        <w:t> </w:t>
      </w:r>
      <w:r>
        <w:rPr>
          <w:rFonts w:ascii="Times New Roman"/>
          <w:spacing w:val="9"/>
          <w:position w:val="-1"/>
          <w:sz w:val="20"/>
        </w:rPr>
        <w:drawing>
          <wp:inline distT="0" distB="0" distL="0" distR="0">
            <wp:extent cx="88900" cy="101600"/>
            <wp:effectExtent l="0" t="0" r="0" b="0"/>
            <wp:docPr id="1977" name="Image 1977"/>
            <wp:cNvGraphicFramePr>
              <a:graphicFrameLocks/>
            </wp:cNvGraphicFramePr>
            <a:graphic>
              <a:graphicData uri="http://schemas.openxmlformats.org/drawingml/2006/picture">
                <pic:pic>
                  <pic:nvPicPr>
                    <pic:cNvPr id="1977" name="Image 1977"/>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sz w:val="20"/>
        </w:rPr>
      </w:r>
      <w:r>
        <w:rPr>
          <w:rFonts w:ascii="Times New Roman"/>
          <w:spacing w:val="40"/>
          <w:sz w:val="20"/>
        </w:rPr>
        <w:t> </w:t>
      </w:r>
      <w:r>
        <w:rPr>
          <w:color w:val="231F20"/>
          <w:sz w:val="20"/>
        </w:rPr>
        <w:t>...</w:t>
      </w:r>
    </w:p>
    <w:p>
      <w:pPr>
        <w:pStyle w:val="BodyText"/>
        <w:spacing w:line="213" w:lineRule="auto" w:before="8"/>
        <w:ind w:left="3167" w:right="636"/>
      </w:pPr>
      <w:r>
        <w:rPr>
          <w:color w:val="231F20"/>
        </w:rPr>
        <w:t>Options for dynamic members enable you to hide any or all of these items: </w:t>
      </w:r>
      <w:r>
        <w:rPr>
          <w:color w:val="231F20"/>
          <w:spacing w:val="-24"/>
          <w:position w:val="-1"/>
        </w:rPr>
        <w:drawing>
          <wp:inline distT="0" distB="0" distL="0" distR="0">
            <wp:extent cx="88900" cy="88900"/>
            <wp:effectExtent l="0" t="0" r="0" b="0"/>
            <wp:docPr id="1978" name="Image 1978"/>
            <wp:cNvGraphicFramePr>
              <a:graphicFrameLocks/>
            </wp:cNvGraphicFramePr>
            <a:graphic>
              <a:graphicData uri="http://schemas.openxmlformats.org/drawingml/2006/picture">
                <pic:pic>
                  <pic:nvPicPr>
                    <pic:cNvPr id="1978" name="Image 1978"/>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group level, </w:t>
      </w:r>
      <w:r>
        <w:rPr>
          <w:color w:val="231F20"/>
          <w:spacing w:val="16"/>
          <w:position w:val="-1"/>
        </w:rPr>
        <w:drawing>
          <wp:inline distT="0" distB="0" distL="0" distR="0">
            <wp:extent cx="101600" cy="95250"/>
            <wp:effectExtent l="0" t="0" r="0" b="0"/>
            <wp:docPr id="1979" name="Image 1979"/>
            <wp:cNvGraphicFramePr>
              <a:graphicFrameLocks/>
            </wp:cNvGraphicFramePr>
            <a:graphic>
              <a:graphicData uri="http://schemas.openxmlformats.org/drawingml/2006/picture">
                <pic:pic>
                  <pic:nvPicPr>
                    <pic:cNvPr id="1979" name="Image 1979"/>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node level, or </w:t>
      </w:r>
      <w:r>
        <w:rPr>
          <w:color w:val="231F20"/>
          <w:spacing w:val="-24"/>
          <w:position w:val="-1"/>
        </w:rPr>
        <w:drawing>
          <wp:inline distT="0" distB="0" distL="0" distR="0">
            <wp:extent cx="88900" cy="101600"/>
            <wp:effectExtent l="0" t="0" r="0" b="0"/>
            <wp:docPr id="1980" name="Image 1980"/>
            <wp:cNvGraphicFramePr>
              <a:graphicFrameLocks/>
            </wp:cNvGraphicFramePr>
            <a:graphic>
              <a:graphicData uri="http://schemas.openxmlformats.org/drawingml/2006/picture">
                <pic:pic>
                  <pic:nvPicPr>
                    <pic:cNvPr id="1980" name="Image 1980"/>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attribute level. For </w:t>
      </w:r>
      <w:r>
        <w:rPr>
          <w:color w:val="231F20"/>
        </w:rPr>
        <w:t>example, the Support branch looks like this when all options are disabled:</w:t>
      </w:r>
    </w:p>
    <w:p>
      <w:pPr>
        <w:pStyle w:val="BodyText"/>
        <w:spacing w:line="230" w:lineRule="exact"/>
        <w:ind w:left="3167"/>
      </w:pPr>
      <w:r>
        <w:rPr>
          <w:position w:val="-1"/>
        </w:rPr>
        <w:drawing>
          <wp:inline distT="0" distB="0" distL="0" distR="0">
            <wp:extent cx="101600" cy="95250"/>
            <wp:effectExtent l="0" t="0" r="0" b="0"/>
            <wp:docPr id="1981" name="Image 1981"/>
            <wp:cNvGraphicFramePr>
              <a:graphicFrameLocks/>
            </wp:cNvGraphicFramePr>
            <a:graphic>
              <a:graphicData uri="http://schemas.openxmlformats.org/drawingml/2006/picture">
                <pic:pic>
                  <pic:nvPicPr>
                    <pic:cNvPr id="1981" name="Image 198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Support</w:t>
      </w:r>
    </w:p>
    <w:p>
      <w:pPr>
        <w:pStyle w:val="BodyText"/>
        <w:spacing w:line="239" w:lineRule="exact"/>
        <w:ind w:left="3506"/>
      </w:pPr>
      <w:r>
        <w:rPr/>
        <w:drawing>
          <wp:inline distT="0" distB="0" distL="0" distR="0">
            <wp:extent cx="69850" cy="69850"/>
            <wp:effectExtent l="0" t="0" r="0" b="0"/>
            <wp:docPr id="1982" name="Image 1982"/>
            <wp:cNvGraphicFramePr>
              <a:graphicFrameLocks/>
            </wp:cNvGraphicFramePr>
            <a:graphic>
              <a:graphicData uri="http://schemas.openxmlformats.org/drawingml/2006/picture">
                <pic:pic>
                  <pic:nvPicPr>
                    <pic:cNvPr id="1982" name="Image 1982"/>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1983" name="Image 1983"/>
            <wp:cNvGraphicFramePr>
              <a:graphicFrameLocks/>
            </wp:cNvGraphicFramePr>
            <a:graphic>
              <a:graphicData uri="http://schemas.openxmlformats.org/drawingml/2006/picture">
                <pic:pic>
                  <pic:nvPicPr>
                    <pic:cNvPr id="1983" name="Image 1983"/>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Far West</w:t>
      </w:r>
    </w:p>
    <w:p>
      <w:pPr>
        <w:pStyle w:val="BodyText"/>
        <w:spacing w:line="255" w:lineRule="exact"/>
        <w:ind w:left="3805"/>
      </w:pPr>
      <w:r>
        <w:rPr/>
        <w:drawing>
          <wp:inline distT="0" distB="0" distL="0" distR="0">
            <wp:extent cx="69850" cy="69850"/>
            <wp:effectExtent l="0" t="0" r="0" b="0"/>
            <wp:docPr id="1984" name="Image 1984"/>
            <wp:cNvGraphicFramePr>
              <a:graphicFrameLocks/>
            </wp:cNvGraphicFramePr>
            <a:graphic>
              <a:graphicData uri="http://schemas.openxmlformats.org/drawingml/2006/picture">
                <pic:pic>
                  <pic:nvPicPr>
                    <pic:cNvPr id="1984" name="Image 1984"/>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95249" cy="95250"/>
            <wp:effectExtent l="0" t="0" r="0" b="0"/>
            <wp:docPr id="1985" name="Image 1985"/>
            <wp:cNvGraphicFramePr>
              <a:graphicFrameLocks/>
            </wp:cNvGraphicFramePr>
            <a:graphic>
              <a:graphicData uri="http://schemas.openxmlformats.org/drawingml/2006/picture">
                <pic:pic>
                  <pic:nvPicPr>
                    <pic:cNvPr id="1985" name="Image 1985"/>
                    <pic:cNvPicPr/>
                  </pic:nvPicPr>
                  <pic:blipFill>
                    <a:blip r:embed="rId84" cstate="print"/>
                    <a:stretch>
                      <a:fillRect/>
                    </a:stretch>
                  </pic:blipFill>
                  <pic:spPr>
                    <a:xfrm>
                      <a:off x="0" y="0"/>
                      <a:ext cx="95249" cy="9525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UNIX OS</w:t>
      </w:r>
    </w:p>
    <w:p>
      <w:pPr>
        <w:pStyle w:val="BodyText"/>
        <w:spacing w:line="213" w:lineRule="auto" w:before="52"/>
        <w:ind w:left="3167" w:right="507" w:hanging="216"/>
        <w:jc w:val="both"/>
      </w:pPr>
      <w:r>
        <w:rPr>
          <w:rFonts w:ascii="Futura MdCn BT"/>
          <w:color w:val="231F20"/>
        </w:rPr>
        <w:t>v</w:t>
      </w:r>
      <w:r>
        <w:rPr>
          <w:rFonts w:ascii="Futura MdCn BT"/>
          <w:color w:val="231F20"/>
          <w:spacing w:val="40"/>
        </w:rPr>
        <w:t> </w:t>
      </w:r>
      <w:r>
        <w:rPr>
          <w:color w:val="231F20"/>
        </w:rPr>
        <w:t>You can assign managed systems and managed system groups to a </w:t>
      </w:r>
      <w:r>
        <w:rPr>
          <w:color w:val="231F20"/>
        </w:rPr>
        <w:t>new</w:t>
      </w:r>
      <w:r>
        <w:rPr>
          <w:color w:val="231F20"/>
        </w:rPr>
        <w:t> Navigator item, including the assignment of managed system groups as dynamic members.</w:t>
      </w:r>
    </w:p>
    <w:p>
      <w:pPr>
        <w:pStyle w:val="BodyText"/>
        <w:spacing w:before="5"/>
        <w:rPr>
          <w:sz w:val="16"/>
        </w:rPr>
      </w:pPr>
      <w:r>
        <w:rPr/>
        <mc:AlternateContent>
          <mc:Choice Requires="wps">
            <w:drawing>
              <wp:anchor distT="0" distB="0" distL="0" distR="0" allowOverlap="1" layoutInCell="1" locked="0" behindDoc="1" simplePos="0" relativeHeight="487714816">
                <wp:simplePos x="0" y="0"/>
                <wp:positionH relativeFrom="page">
                  <wp:posOffset>760323</wp:posOffset>
                </wp:positionH>
                <wp:positionV relativeFrom="paragraph">
                  <wp:posOffset>155721</wp:posOffset>
                </wp:positionV>
                <wp:extent cx="6082665" cy="1270"/>
                <wp:effectExtent l="0" t="0" r="0" b="0"/>
                <wp:wrapTopAndBottom/>
                <wp:docPr id="1986" name="Graphic 1986"/>
                <wp:cNvGraphicFramePr>
                  <a:graphicFrameLocks/>
                </wp:cNvGraphicFramePr>
                <a:graphic>
                  <a:graphicData uri="http://schemas.microsoft.com/office/word/2010/wordprocessingShape">
                    <wps:wsp>
                      <wps:cNvPr id="1986" name="Graphic 198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61547pt;width:478.95pt;height:.1pt;mso-position-horizontal-relative:page;mso-position-vertical-relative:paragraph;z-index:-15601664;mso-wrap-distance-left:0;mso-wrap-distance-right:0" id="docshape194" coordorigin="1197,245" coordsize="9579,0" path="m1197,245l10776,245e" filled="false" stroked="true" strokeweight=".499pt" strokecolor="#231f20">
                <v:path arrowok="t"/>
                <v:stroke dashstyle="solid"/>
                <w10:wrap type="topAndBottom"/>
              </v:shape>
            </w:pict>
          </mc:Fallback>
        </mc:AlternateContent>
      </w:r>
    </w:p>
    <w:p>
      <w:pPr>
        <w:pStyle w:val="Heading3"/>
        <w:ind w:left="0" w:right="5882"/>
        <w:jc w:val="right"/>
      </w:pPr>
      <w:bookmarkStart w:name="Creating a new Navigator view" w:id="370"/>
      <w:bookmarkEnd w:id="370"/>
      <w:r>
        <w:rPr>
          <w:b w:val="0"/>
        </w:rPr>
      </w:r>
      <w:r>
        <w:rPr>
          <w:color w:val="231F20"/>
        </w:rPr>
        <w:t>Creating</w:t>
      </w:r>
      <w:r>
        <w:rPr>
          <w:color w:val="231F20"/>
          <w:spacing w:val="7"/>
        </w:rPr>
        <w:t> </w:t>
      </w:r>
      <w:r>
        <w:rPr>
          <w:color w:val="231F20"/>
        </w:rPr>
        <w:t>a</w:t>
      </w:r>
      <w:r>
        <w:rPr>
          <w:color w:val="231F20"/>
          <w:spacing w:val="7"/>
        </w:rPr>
        <w:t> </w:t>
      </w:r>
      <w:r>
        <w:rPr>
          <w:color w:val="231F20"/>
        </w:rPr>
        <w:t>new</w:t>
      </w:r>
      <w:r>
        <w:rPr>
          <w:color w:val="231F20"/>
          <w:spacing w:val="7"/>
        </w:rPr>
        <w:t> </w:t>
      </w:r>
      <w:r>
        <w:rPr>
          <w:color w:val="231F20"/>
        </w:rPr>
        <w:t>Navigator</w:t>
      </w:r>
      <w:r>
        <w:rPr>
          <w:color w:val="231F20"/>
          <w:spacing w:val="7"/>
        </w:rPr>
        <w:t> </w:t>
      </w:r>
      <w:r>
        <w:rPr>
          <w:color w:val="231F20"/>
          <w:spacing w:val="-4"/>
        </w:rPr>
        <w:t>view</w:t>
      </w:r>
    </w:p>
    <w:p>
      <w:pPr>
        <w:pStyle w:val="BodyText"/>
        <w:spacing w:line="213" w:lineRule="auto" w:before="138"/>
        <w:ind w:left="2232" w:right="545"/>
      </w:pPr>
      <w:r>
        <w:rPr>
          <w:color w:val="231F20"/>
        </w:rPr>
        <w:t>The Navigator Physical view is organized by managed systems. Create custom Navigator views to organize your enterprise differently, such as by geography or user role.</w:t>
      </w:r>
    </w:p>
    <w:p>
      <w:pPr>
        <w:pStyle w:val="Heading4"/>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spacing w:line="255" w:lineRule="exact" w:before="218"/>
        <w:ind w:left="2232" w:right="0" w:firstLine="0"/>
        <w:jc w:val="left"/>
        <w:rPr>
          <w:rFonts w:ascii="Book Antiqua"/>
          <w:i/>
          <w:sz w:val="20"/>
        </w:rPr>
      </w:pPr>
      <w:r>
        <w:rPr>
          <w:color w:val="231F20"/>
          <w:sz w:val="20"/>
        </w:rPr>
        <w:t>Your</w:t>
      </w:r>
      <w:r>
        <w:rPr>
          <w:color w:val="231F20"/>
          <w:spacing w:val="9"/>
          <w:sz w:val="20"/>
        </w:rPr>
        <w:t> </w:t>
      </w:r>
      <w:r>
        <w:rPr>
          <w:color w:val="231F20"/>
          <w:sz w:val="20"/>
        </w:rPr>
        <w:t>user</w:t>
      </w:r>
      <w:r>
        <w:rPr>
          <w:color w:val="231F20"/>
          <w:spacing w:val="9"/>
          <w:sz w:val="20"/>
        </w:rPr>
        <w:t> </w:t>
      </w:r>
      <w:r>
        <w:rPr>
          <w:color w:val="231F20"/>
          <w:sz w:val="20"/>
        </w:rPr>
        <w:t>ID</w:t>
      </w:r>
      <w:r>
        <w:rPr>
          <w:color w:val="231F20"/>
          <w:spacing w:val="9"/>
          <w:sz w:val="20"/>
        </w:rPr>
        <w:t> </w:t>
      </w:r>
      <w:r>
        <w:rPr>
          <w:color w:val="231F20"/>
          <w:sz w:val="20"/>
        </w:rPr>
        <w:t>must</w:t>
      </w:r>
      <w:r>
        <w:rPr>
          <w:color w:val="231F20"/>
          <w:spacing w:val="9"/>
          <w:sz w:val="20"/>
        </w:rPr>
        <w:t> </w:t>
      </w:r>
      <w:r>
        <w:rPr>
          <w:color w:val="231F20"/>
          <w:sz w:val="20"/>
        </w:rPr>
        <w:t>have</w:t>
      </w:r>
      <w:r>
        <w:rPr>
          <w:color w:val="231F20"/>
          <w:spacing w:val="10"/>
          <w:sz w:val="20"/>
        </w:rPr>
        <w:t> </w:t>
      </w:r>
      <w:r>
        <w:rPr>
          <w:color w:val="231F20"/>
          <w:sz w:val="20"/>
        </w:rPr>
        <w:t>Modify</w:t>
      </w:r>
      <w:r>
        <w:rPr>
          <w:color w:val="231F20"/>
          <w:spacing w:val="9"/>
          <w:sz w:val="20"/>
        </w:rPr>
        <w:t> </w:t>
      </w:r>
      <w:r>
        <w:rPr>
          <w:color w:val="231F20"/>
          <w:sz w:val="20"/>
        </w:rPr>
        <w:t>permission</w:t>
      </w:r>
      <w:r>
        <w:rPr>
          <w:color w:val="231F20"/>
          <w:spacing w:val="9"/>
          <w:sz w:val="20"/>
        </w:rPr>
        <w:t> </w:t>
      </w:r>
      <w:r>
        <w:rPr>
          <w:color w:val="231F20"/>
          <w:sz w:val="20"/>
        </w:rPr>
        <w:t>enabled</w:t>
      </w:r>
      <w:r>
        <w:rPr>
          <w:color w:val="231F20"/>
          <w:spacing w:val="9"/>
          <w:sz w:val="20"/>
        </w:rPr>
        <w:t> </w:t>
      </w:r>
      <w:r>
        <w:rPr>
          <w:color w:val="231F20"/>
          <w:sz w:val="20"/>
        </w:rPr>
        <w:t>for</w:t>
      </w:r>
      <w:r>
        <w:rPr>
          <w:color w:val="231F20"/>
          <w:spacing w:val="9"/>
          <w:sz w:val="20"/>
        </w:rPr>
        <w:t> </w:t>
      </w:r>
      <w:r>
        <w:rPr>
          <w:color w:val="231F20"/>
          <w:sz w:val="20"/>
        </w:rPr>
        <w:t>the</w:t>
      </w:r>
      <w:r>
        <w:rPr>
          <w:color w:val="231F20"/>
          <w:spacing w:val="10"/>
          <w:sz w:val="20"/>
        </w:rPr>
        <w:t> </w:t>
      </w:r>
      <w:r>
        <w:rPr>
          <w:rFonts w:ascii="Book Antiqua"/>
          <w:i/>
          <w:color w:val="231F20"/>
          <w:sz w:val="20"/>
        </w:rPr>
        <w:t>Custom</w:t>
      </w:r>
      <w:r>
        <w:rPr>
          <w:rFonts w:ascii="Book Antiqua"/>
          <w:i/>
          <w:color w:val="231F20"/>
          <w:spacing w:val="9"/>
          <w:sz w:val="20"/>
        </w:rPr>
        <w:t> </w:t>
      </w:r>
      <w:r>
        <w:rPr>
          <w:rFonts w:ascii="Book Antiqua"/>
          <w:i/>
          <w:color w:val="231F20"/>
          <w:sz w:val="20"/>
        </w:rPr>
        <w:t>Navigator</w:t>
      </w:r>
      <w:r>
        <w:rPr>
          <w:rFonts w:ascii="Book Antiqua"/>
          <w:i/>
          <w:color w:val="231F20"/>
          <w:spacing w:val="9"/>
          <w:sz w:val="20"/>
        </w:rPr>
        <w:t> </w:t>
      </w:r>
      <w:r>
        <w:rPr>
          <w:rFonts w:ascii="Book Antiqua"/>
          <w:i/>
          <w:color w:val="231F20"/>
          <w:spacing w:val="-2"/>
          <w:sz w:val="20"/>
        </w:rPr>
        <w:t>Views</w:t>
      </w:r>
    </w:p>
    <w:p>
      <w:pPr>
        <w:pStyle w:val="BodyText"/>
        <w:spacing w:line="255" w:lineRule="exact"/>
        <w:ind w:left="2232"/>
      </w:pPr>
      <w:r>
        <w:rPr>
          <w:color w:val="231F20"/>
          <w:spacing w:val="-2"/>
        </w:rPr>
        <w:t>feature.</w:t>
      </w:r>
    </w:p>
    <w:p>
      <w:pPr>
        <w:spacing w:after="0" w:line="255" w:lineRule="exact"/>
        <w:sectPr>
          <w:pgSz w:w="12240" w:h="15840"/>
          <w:pgMar w:header="0" w:footer="736" w:top="1180" w:bottom="920" w:left="1000" w:right="1060"/>
        </w:sectPr>
      </w:pPr>
    </w:p>
    <w:p>
      <w:pPr>
        <w:pStyle w:val="Heading4"/>
        <w:spacing w:before="86"/>
        <w:ind w:left="2472"/>
      </w:pPr>
      <w:r>
        <w:rPr>
          <w:color w:val="231F20"/>
          <w:spacing w:val="-2"/>
        </w:rPr>
        <w:t>Procedure</w:t>
      </w:r>
    </w:p>
    <w:p>
      <w:pPr>
        <w:pStyle w:val="ListParagraph"/>
        <w:numPr>
          <w:ilvl w:val="0"/>
          <w:numId w:val="106"/>
        </w:numPr>
        <w:tabs>
          <w:tab w:pos="2788" w:val="left" w:leader="none"/>
        </w:tabs>
        <w:spacing w:line="213" w:lineRule="auto" w:before="62" w:after="0"/>
        <w:ind w:left="2788" w:right="345" w:hanging="316"/>
        <w:jc w:val="left"/>
        <w:rPr>
          <w:sz w:val="20"/>
        </w:rPr>
      </w:pPr>
      <w:r>
        <w:rPr>
          <w:color w:val="231F20"/>
          <w:sz w:val="20"/>
        </w:rPr>
        <w:t>In the Navigator toolbar, click </w:t>
      </w:r>
      <w:r>
        <w:rPr>
          <w:color w:val="231F20"/>
          <w:spacing w:val="-25"/>
          <w:position w:val="-1"/>
          <w:sz w:val="20"/>
        </w:rPr>
        <w:drawing>
          <wp:inline distT="0" distB="0" distL="0" distR="0">
            <wp:extent cx="95250" cy="101600"/>
            <wp:effectExtent l="0" t="0" r="0" b="0"/>
            <wp:docPr id="1989" name="Image 1989"/>
            <wp:cNvGraphicFramePr>
              <a:graphicFrameLocks/>
            </wp:cNvGraphicFramePr>
            <a:graphic>
              <a:graphicData uri="http://schemas.openxmlformats.org/drawingml/2006/picture">
                <pic:pic>
                  <pic:nvPicPr>
                    <pic:cNvPr id="1989" name="Image 1989"/>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Edit Navigator View</w:t>
      </w:r>
      <w:r>
        <w:rPr>
          <w:color w:val="231F20"/>
          <w:sz w:val="20"/>
        </w:rPr>
        <w:t>. The Edit Navigator View window opens with the Navigator Physical view as the Source View on the right and the Logical view or most recently opened Navigator view as </w:t>
      </w:r>
      <w:r>
        <w:rPr>
          <w:color w:val="231F20"/>
          <w:sz w:val="20"/>
        </w:rPr>
        <w:t>the Target View for editing.</w:t>
      </w:r>
    </w:p>
    <w:p>
      <w:pPr>
        <w:pStyle w:val="ListParagraph"/>
        <w:numPr>
          <w:ilvl w:val="0"/>
          <w:numId w:val="106"/>
        </w:numPr>
        <w:tabs>
          <w:tab w:pos="2786" w:val="left" w:leader="none"/>
          <w:tab w:pos="2788" w:val="left" w:leader="none"/>
        </w:tabs>
        <w:spacing w:line="213" w:lineRule="auto" w:before="57" w:after="0"/>
        <w:ind w:left="2788" w:right="506" w:hanging="317"/>
        <w:jc w:val="left"/>
        <w:rPr>
          <w:sz w:val="20"/>
        </w:rPr>
      </w:pPr>
      <w:r>
        <w:rPr>
          <w:color w:val="231F20"/>
          <w:sz w:val="20"/>
        </w:rPr>
        <w:t>Click </w:t>
      </w:r>
      <w:r>
        <w:rPr>
          <w:color w:val="231F20"/>
          <w:spacing w:val="-24"/>
          <w:position w:val="-1"/>
          <w:sz w:val="20"/>
        </w:rPr>
        <w:drawing>
          <wp:inline distT="0" distB="0" distL="0" distR="0">
            <wp:extent cx="95250" cy="101600"/>
            <wp:effectExtent l="0" t="0" r="0" b="0"/>
            <wp:docPr id="1990" name="Image 1990"/>
            <wp:cNvGraphicFramePr>
              <a:graphicFrameLocks/>
            </wp:cNvGraphicFramePr>
            <a:graphic>
              <a:graphicData uri="http://schemas.openxmlformats.org/drawingml/2006/picture">
                <pic:pic>
                  <pic:nvPicPr>
                    <pic:cNvPr id="1990" name="Image 1990"/>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rFonts w:ascii="Book Antiqua"/>
          <w:b/>
          <w:color w:val="231F20"/>
          <w:sz w:val="20"/>
        </w:rPr>
        <w:t>Create New Navigator View</w:t>
      </w:r>
      <w:r>
        <w:rPr>
          <w:color w:val="231F20"/>
          <w:sz w:val="20"/>
        </w:rPr>
        <w:t>. A window opens for you to enter </w:t>
      </w:r>
      <w:r>
        <w:rPr>
          <w:color w:val="231F20"/>
          <w:sz w:val="20"/>
        </w:rPr>
        <w:t>the Navigator view identity.</w:t>
      </w:r>
    </w:p>
    <w:p>
      <w:pPr>
        <w:pStyle w:val="ListParagraph"/>
        <w:numPr>
          <w:ilvl w:val="0"/>
          <w:numId w:val="106"/>
        </w:numPr>
        <w:tabs>
          <w:tab w:pos="2788" w:val="left" w:leader="none"/>
        </w:tabs>
        <w:spacing w:line="213" w:lineRule="auto" w:before="59" w:after="0"/>
        <w:ind w:left="2788" w:right="280" w:hanging="316"/>
        <w:jc w:val="left"/>
        <w:rPr>
          <w:sz w:val="20"/>
        </w:rPr>
      </w:pPr>
      <w:r>
        <w:rPr>
          <w:color w:val="231F20"/>
          <w:sz w:val="20"/>
        </w:rPr>
        <w:t>Type a name for the Navigator and, optionally, a description, then click </w:t>
      </w:r>
      <w:r>
        <w:rPr>
          <w:rFonts w:ascii="Book Antiqua"/>
          <w:b/>
          <w:color w:val="231F20"/>
          <w:sz w:val="20"/>
        </w:rPr>
        <w:t>OK</w:t>
      </w:r>
      <w:r>
        <w:rPr>
          <w:color w:val="231F20"/>
          <w:sz w:val="20"/>
        </w:rPr>
        <w:t>. After you click </w:t>
      </w:r>
      <w:r>
        <w:rPr>
          <w:rFonts w:ascii="Book Antiqua"/>
          <w:b/>
          <w:color w:val="231F20"/>
          <w:sz w:val="20"/>
        </w:rPr>
        <w:t>OK</w:t>
      </w:r>
      <w:r>
        <w:rPr>
          <w:color w:val="231F20"/>
          <w:sz w:val="20"/>
        </w:rPr>
        <w:t>, the Navigator view name is displayed as the </w:t>
      </w:r>
      <w:r>
        <w:rPr>
          <w:color w:val="231F20"/>
          <w:spacing w:val="15"/>
          <w:position w:val="-1"/>
          <w:sz w:val="20"/>
        </w:rPr>
        <w:drawing>
          <wp:inline distT="0" distB="0" distL="0" distR="0">
            <wp:extent cx="101600" cy="95250"/>
            <wp:effectExtent l="0" t="0" r="0" b="0"/>
            <wp:docPr id="1991" name="Image 1991"/>
            <wp:cNvGraphicFramePr>
              <a:graphicFrameLocks/>
            </wp:cNvGraphicFramePr>
            <a:graphic>
              <a:graphicData uri="http://schemas.openxmlformats.org/drawingml/2006/picture">
                <pic:pic>
                  <pic:nvPicPr>
                    <pic:cNvPr id="1991" name="Image 1991"/>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enterprise</w:t>
      </w:r>
      <w:r>
        <w:rPr>
          <w:color w:val="231F20"/>
          <w:spacing w:val="40"/>
          <w:sz w:val="20"/>
        </w:rPr>
        <w:t> </w:t>
      </w:r>
      <w:r>
        <w:rPr>
          <w:color w:val="231F20"/>
          <w:sz w:val="20"/>
        </w:rPr>
        <w:t>item. If, instead, you get a message that the name already exists, enter a</w:t>
      </w:r>
      <w:r>
        <w:rPr>
          <w:color w:val="231F20"/>
          <w:spacing w:val="40"/>
          <w:sz w:val="20"/>
        </w:rPr>
        <w:t> </w:t>
      </w:r>
      <w:r>
        <w:rPr>
          <w:color w:val="231F20"/>
          <w:sz w:val="20"/>
        </w:rPr>
        <w:t>different name. Because Navigator views are assigned to user IDs, you might not be able to see Navigator views that other users have created and it is therefore possible to enter duplicate names.</w:t>
      </w:r>
    </w:p>
    <w:p>
      <w:pPr>
        <w:pStyle w:val="ListParagraph"/>
        <w:numPr>
          <w:ilvl w:val="0"/>
          <w:numId w:val="106"/>
        </w:numPr>
        <w:tabs>
          <w:tab w:pos="2787" w:val="left" w:leader="none"/>
        </w:tabs>
        <w:spacing w:line="240" w:lineRule="auto" w:before="32" w:after="0"/>
        <w:ind w:left="2787" w:right="0" w:hanging="315"/>
        <w:jc w:val="left"/>
        <w:rPr>
          <w:sz w:val="20"/>
        </w:rPr>
      </w:pPr>
      <w:r>
        <w:rPr>
          <w:color w:val="231F20"/>
          <w:sz w:val="20"/>
        </w:rPr>
        <w:t>Take</w:t>
      </w:r>
      <w:r>
        <w:rPr>
          <w:color w:val="231F20"/>
          <w:spacing w:val="9"/>
          <w:sz w:val="20"/>
        </w:rPr>
        <w:t> </w:t>
      </w:r>
      <w:r>
        <w:rPr>
          <w:color w:val="231F20"/>
          <w:sz w:val="20"/>
        </w:rPr>
        <w:t>any</w:t>
      </w:r>
      <w:r>
        <w:rPr>
          <w:color w:val="231F20"/>
          <w:spacing w:val="9"/>
          <w:sz w:val="20"/>
        </w:rPr>
        <w:t> </w:t>
      </w:r>
      <w:r>
        <w:rPr>
          <w:color w:val="231F20"/>
          <w:sz w:val="20"/>
        </w:rPr>
        <w:t>of</w:t>
      </w:r>
      <w:r>
        <w:rPr>
          <w:color w:val="231F20"/>
          <w:spacing w:val="9"/>
          <w:sz w:val="20"/>
        </w:rPr>
        <w:t> </w:t>
      </w:r>
      <w:r>
        <w:rPr>
          <w:color w:val="231F20"/>
          <w:sz w:val="20"/>
        </w:rPr>
        <w:t>the</w:t>
      </w:r>
      <w:r>
        <w:rPr>
          <w:color w:val="231F20"/>
          <w:spacing w:val="9"/>
          <w:sz w:val="20"/>
        </w:rPr>
        <w:t> </w:t>
      </w:r>
      <w:r>
        <w:rPr>
          <w:color w:val="231F20"/>
          <w:sz w:val="20"/>
        </w:rPr>
        <w:t>following</w:t>
      </w:r>
      <w:r>
        <w:rPr>
          <w:color w:val="231F20"/>
          <w:spacing w:val="10"/>
          <w:sz w:val="20"/>
        </w:rPr>
        <w:t> </w:t>
      </w:r>
      <w:r>
        <w:rPr>
          <w:color w:val="231F20"/>
          <w:sz w:val="20"/>
        </w:rPr>
        <w:t>steps</w:t>
      </w:r>
      <w:r>
        <w:rPr>
          <w:color w:val="231F20"/>
          <w:spacing w:val="9"/>
          <w:sz w:val="20"/>
        </w:rPr>
        <w:t> </w:t>
      </w:r>
      <w:r>
        <w:rPr>
          <w:color w:val="231F20"/>
          <w:sz w:val="20"/>
        </w:rPr>
        <w:t>to</w:t>
      </w:r>
      <w:r>
        <w:rPr>
          <w:color w:val="231F20"/>
          <w:spacing w:val="9"/>
          <w:sz w:val="20"/>
        </w:rPr>
        <w:t> </w:t>
      </w:r>
      <w:r>
        <w:rPr>
          <w:color w:val="231F20"/>
          <w:sz w:val="20"/>
        </w:rPr>
        <w:t>populate</w:t>
      </w:r>
      <w:r>
        <w:rPr>
          <w:color w:val="231F20"/>
          <w:spacing w:val="9"/>
          <w:sz w:val="20"/>
        </w:rPr>
        <w:t> </w:t>
      </w:r>
      <w:r>
        <w:rPr>
          <w:color w:val="231F20"/>
          <w:sz w:val="20"/>
        </w:rPr>
        <w:t>the</w:t>
      </w:r>
      <w:r>
        <w:rPr>
          <w:color w:val="231F20"/>
          <w:spacing w:val="9"/>
          <w:sz w:val="20"/>
        </w:rPr>
        <w:t> </w:t>
      </w:r>
      <w:r>
        <w:rPr>
          <w:color w:val="231F20"/>
          <w:sz w:val="20"/>
        </w:rPr>
        <w:t>target</w:t>
      </w:r>
      <w:r>
        <w:rPr>
          <w:color w:val="231F20"/>
          <w:spacing w:val="10"/>
          <w:sz w:val="20"/>
        </w:rPr>
        <w:t> </w:t>
      </w:r>
      <w:r>
        <w:rPr>
          <w:color w:val="231F20"/>
          <w:sz w:val="20"/>
        </w:rPr>
        <w:t>Navigator</w:t>
      </w:r>
      <w:r>
        <w:rPr>
          <w:color w:val="231F20"/>
          <w:spacing w:val="9"/>
          <w:sz w:val="20"/>
        </w:rPr>
        <w:t> </w:t>
      </w:r>
      <w:r>
        <w:rPr>
          <w:color w:val="231F20"/>
          <w:spacing w:val="-2"/>
          <w:sz w:val="20"/>
        </w:rPr>
        <w:t>view:</w:t>
      </w:r>
    </w:p>
    <w:p>
      <w:pPr>
        <w:pStyle w:val="BodyText"/>
        <w:spacing w:line="255" w:lineRule="exact" w:before="30"/>
        <w:ind w:left="2788"/>
      </w:pPr>
      <w:r>
        <w:rPr>
          <w:rFonts w:ascii="Futura MdCn BT"/>
          <w:color w:val="231F20"/>
        </w:rPr>
        <w:t>v</w:t>
      </w:r>
      <w:r>
        <w:rPr>
          <w:rFonts w:ascii="Futura MdCn BT"/>
          <w:color w:val="231F20"/>
          <w:spacing w:val="78"/>
          <w:w w:val="150"/>
        </w:rPr>
        <w:t> </w:t>
      </w:r>
      <w:r>
        <w:rPr>
          <w:color w:val="231F20"/>
        </w:rPr>
        <w:t>To</w:t>
      </w:r>
      <w:r>
        <w:rPr>
          <w:color w:val="231F20"/>
          <w:spacing w:val="10"/>
        </w:rPr>
        <w:t> </w:t>
      </w:r>
      <w:r>
        <w:rPr>
          <w:color w:val="231F20"/>
        </w:rPr>
        <w:t>create</w:t>
      </w:r>
      <w:r>
        <w:rPr>
          <w:color w:val="231F20"/>
          <w:spacing w:val="11"/>
        </w:rPr>
        <w:t> </w:t>
      </w:r>
      <w:r>
        <w:rPr>
          <w:color w:val="231F20"/>
        </w:rPr>
        <w:t>a</w:t>
      </w:r>
      <w:r>
        <w:rPr>
          <w:color w:val="231F20"/>
          <w:spacing w:val="10"/>
        </w:rPr>
        <w:t> </w:t>
      </w:r>
      <w:r>
        <w:rPr>
          <w:color w:val="231F20"/>
        </w:rPr>
        <w:t>new</w:t>
      </w:r>
      <w:r>
        <w:rPr>
          <w:color w:val="231F20"/>
          <w:spacing w:val="11"/>
        </w:rPr>
        <w:t> </w:t>
      </w:r>
      <w:r>
        <w:rPr>
          <w:color w:val="231F20"/>
        </w:rPr>
        <w:t>Navigator</w:t>
      </w:r>
      <w:r>
        <w:rPr>
          <w:color w:val="231F20"/>
          <w:spacing w:val="10"/>
        </w:rPr>
        <w:t> </w:t>
      </w:r>
      <w:r>
        <w:rPr>
          <w:color w:val="231F20"/>
        </w:rPr>
        <w:t>item,</w:t>
      </w:r>
      <w:r>
        <w:rPr>
          <w:color w:val="231F20"/>
          <w:spacing w:val="11"/>
        </w:rPr>
        <w:t> </w:t>
      </w:r>
      <w:r>
        <w:rPr>
          <w:color w:val="231F20"/>
        </w:rPr>
        <w:t>select</w:t>
      </w:r>
      <w:r>
        <w:rPr>
          <w:color w:val="231F20"/>
          <w:spacing w:val="10"/>
        </w:rPr>
        <w:t> </w:t>
      </w:r>
      <w:r>
        <w:rPr>
          <w:color w:val="231F20"/>
        </w:rPr>
        <w:t>or</w:t>
      </w:r>
      <w:r>
        <w:rPr>
          <w:color w:val="231F20"/>
          <w:spacing w:val="10"/>
        </w:rPr>
        <w:t> </w:t>
      </w:r>
      <w:r>
        <w:rPr>
          <w:color w:val="231F20"/>
        </w:rPr>
        <w:t>right-click</w:t>
      </w:r>
      <w:r>
        <w:rPr>
          <w:color w:val="231F20"/>
          <w:spacing w:val="11"/>
        </w:rPr>
        <w:t> </w:t>
      </w:r>
      <w:r>
        <w:rPr>
          <w:color w:val="231F20"/>
        </w:rPr>
        <w:t>the</w:t>
      </w:r>
      <w:r>
        <w:rPr>
          <w:color w:val="231F20"/>
          <w:spacing w:val="10"/>
        </w:rPr>
        <w:t> </w:t>
      </w:r>
      <w:r>
        <w:rPr>
          <w:color w:val="231F20"/>
        </w:rPr>
        <w:t>parent</w:t>
      </w:r>
      <w:r>
        <w:rPr>
          <w:color w:val="231F20"/>
          <w:spacing w:val="11"/>
        </w:rPr>
        <w:t> </w:t>
      </w:r>
      <w:r>
        <w:rPr>
          <w:color w:val="231F20"/>
        </w:rPr>
        <w:t>item</w:t>
      </w:r>
      <w:r>
        <w:rPr>
          <w:color w:val="231F20"/>
          <w:spacing w:val="10"/>
        </w:rPr>
        <w:t> </w:t>
      </w:r>
      <w:r>
        <w:rPr>
          <w:color w:val="231F20"/>
        </w:rPr>
        <w:t>and</w:t>
      </w:r>
      <w:r>
        <w:rPr>
          <w:color w:val="231F20"/>
          <w:spacing w:val="11"/>
        </w:rPr>
        <w:t> </w:t>
      </w:r>
      <w:r>
        <w:rPr>
          <w:color w:val="231F20"/>
          <w:spacing w:val="-2"/>
        </w:rPr>
        <w:t>click</w:t>
      </w:r>
    </w:p>
    <w:p>
      <w:pPr>
        <w:spacing w:line="255" w:lineRule="exact" w:before="0"/>
        <w:ind w:left="3014" w:right="0" w:firstLine="0"/>
        <w:jc w:val="left"/>
        <w:rPr>
          <w:sz w:val="20"/>
        </w:rPr>
      </w:pPr>
      <w:r>
        <w:rPr>
          <w:position w:val="-1"/>
        </w:rPr>
        <w:drawing>
          <wp:inline distT="0" distB="0" distL="0" distR="0">
            <wp:extent cx="95250" cy="95250"/>
            <wp:effectExtent l="0" t="0" r="0" b="0"/>
            <wp:docPr id="1992" name="Image 1992"/>
            <wp:cNvGraphicFramePr>
              <a:graphicFrameLocks/>
            </wp:cNvGraphicFramePr>
            <a:graphic>
              <a:graphicData uri="http://schemas.openxmlformats.org/drawingml/2006/picture">
                <pic:pic>
                  <pic:nvPicPr>
                    <pic:cNvPr id="1992" name="Image 1992"/>
                    <pic:cNvPicPr/>
                  </pic:nvPicPr>
                  <pic:blipFill>
                    <a:blip r:embed="rId358"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69"/>
          <w:sz w:val="20"/>
        </w:rPr>
        <w:t> </w:t>
      </w:r>
      <w:r>
        <w:rPr>
          <w:rFonts w:ascii="Book Antiqua" w:hAnsi="Book Antiqua"/>
          <w:b/>
          <w:color w:val="231F20"/>
          <w:sz w:val="20"/>
        </w:rPr>
        <w:t>Create</w:t>
      </w:r>
      <w:r>
        <w:rPr>
          <w:rFonts w:ascii="Book Antiqua" w:hAnsi="Book Antiqua"/>
          <w:b/>
          <w:color w:val="231F20"/>
          <w:spacing w:val="18"/>
          <w:sz w:val="20"/>
        </w:rPr>
        <w:t> </w:t>
      </w:r>
      <w:r>
        <w:rPr>
          <w:rFonts w:ascii="Book Antiqua" w:hAnsi="Book Antiqua"/>
          <w:b/>
          <w:color w:val="231F20"/>
          <w:sz w:val="20"/>
        </w:rPr>
        <w:t>Child</w:t>
      </w:r>
      <w:r>
        <w:rPr>
          <w:rFonts w:ascii="Book Antiqua" w:hAnsi="Book Antiqua"/>
          <w:b/>
          <w:color w:val="231F20"/>
          <w:spacing w:val="18"/>
          <w:sz w:val="20"/>
        </w:rPr>
        <w:t> </w:t>
      </w:r>
      <w:r>
        <w:rPr>
          <w:rFonts w:ascii="Book Antiqua" w:hAnsi="Book Antiqua"/>
          <w:b/>
          <w:color w:val="231F20"/>
          <w:sz w:val="20"/>
        </w:rPr>
        <w:t>Item</w:t>
      </w:r>
      <w:r>
        <w:rPr>
          <w:color w:val="231F20"/>
          <w:sz w:val="20"/>
        </w:rPr>
        <w:t>.</w:t>
      </w:r>
      <w:r>
        <w:rPr>
          <w:color w:val="231F20"/>
          <w:spacing w:val="18"/>
          <w:sz w:val="20"/>
        </w:rPr>
        <w:t> </w:t>
      </w:r>
      <w:r>
        <w:rPr>
          <w:color w:val="231F20"/>
          <w:sz w:val="20"/>
        </w:rPr>
        <w:t>See</w:t>
      </w:r>
      <w:r>
        <w:rPr>
          <w:color w:val="231F20"/>
          <w:spacing w:val="18"/>
          <w:sz w:val="20"/>
        </w:rPr>
        <w:t> </w:t>
      </w:r>
      <w:hyperlink w:history="true" w:anchor="_bookmark169">
        <w:r>
          <w:rPr>
            <w:color w:val="231F20"/>
            <w:sz w:val="20"/>
          </w:rPr>
          <w:t>“Adding</w:t>
        </w:r>
        <w:r>
          <w:rPr>
            <w:color w:val="231F20"/>
            <w:spacing w:val="18"/>
            <w:sz w:val="20"/>
          </w:rPr>
          <w:t> </w:t>
        </w:r>
        <w:r>
          <w:rPr>
            <w:color w:val="231F20"/>
            <w:sz w:val="20"/>
          </w:rPr>
          <w:t>a</w:t>
        </w:r>
        <w:r>
          <w:rPr>
            <w:color w:val="231F20"/>
            <w:spacing w:val="18"/>
            <w:sz w:val="20"/>
          </w:rPr>
          <w:t> </w:t>
        </w:r>
        <w:r>
          <w:rPr>
            <w:color w:val="231F20"/>
            <w:sz w:val="20"/>
          </w:rPr>
          <w:t>child</w:t>
        </w:r>
        <w:r>
          <w:rPr>
            <w:color w:val="231F20"/>
            <w:spacing w:val="18"/>
            <w:sz w:val="20"/>
          </w:rPr>
          <w:t> </w:t>
        </w:r>
        <w:r>
          <w:rPr>
            <w:color w:val="231F20"/>
            <w:sz w:val="20"/>
          </w:rPr>
          <w:t>item”</w:t>
        </w:r>
        <w:r>
          <w:rPr>
            <w:color w:val="231F20"/>
            <w:spacing w:val="18"/>
            <w:sz w:val="20"/>
          </w:rPr>
          <w:t> </w:t>
        </w:r>
        <w:r>
          <w:rPr>
            <w:color w:val="231F20"/>
            <w:sz w:val="20"/>
          </w:rPr>
          <w:t>on</w:t>
        </w:r>
        <w:r>
          <w:rPr>
            <w:color w:val="231F20"/>
            <w:spacing w:val="18"/>
            <w:sz w:val="20"/>
          </w:rPr>
          <w:t> </w:t>
        </w:r>
        <w:r>
          <w:rPr>
            <w:color w:val="231F20"/>
            <w:sz w:val="20"/>
          </w:rPr>
          <w:t>page</w:t>
        </w:r>
        <w:r>
          <w:rPr>
            <w:color w:val="231F20"/>
            <w:spacing w:val="18"/>
            <w:sz w:val="20"/>
          </w:rPr>
          <w:t> </w:t>
        </w:r>
        <w:r>
          <w:rPr>
            <w:color w:val="231F20"/>
            <w:sz w:val="20"/>
          </w:rPr>
          <w:t>236.</w:t>
        </w:r>
      </w:hyperlink>
    </w:p>
    <w:p>
      <w:pPr>
        <w:pStyle w:val="BodyText"/>
        <w:spacing w:line="213" w:lineRule="auto" w:before="53"/>
        <w:ind w:left="3004" w:right="274" w:hanging="216"/>
      </w:pPr>
      <w:r>
        <w:rPr>
          <w:rFonts w:ascii="Futura MdCn BT"/>
          <w:color w:val="231F20"/>
        </w:rPr>
        <w:t>v</w:t>
      </w:r>
      <w:r>
        <w:rPr>
          <w:rFonts w:ascii="Futura MdCn BT"/>
          <w:color w:val="231F20"/>
          <w:spacing w:val="80"/>
        </w:rPr>
        <w:t> </w:t>
      </w:r>
      <w:r>
        <w:rPr>
          <w:color w:val="231F20"/>
        </w:rPr>
        <w:t>To share a Navigator item, drag it from the source view on the right to the</w:t>
      </w:r>
      <w:r>
        <w:rPr>
          <w:color w:val="231F20"/>
          <w:spacing w:val="40"/>
        </w:rPr>
        <w:t> </w:t>
      </w:r>
      <w:r>
        <w:rPr>
          <w:color w:val="231F20"/>
        </w:rPr>
        <w:t>target on the left and drop it on the item it should follow. (After selecting the first item, use Ctrl+click to select other items or Shift+click to select all items</w:t>
      </w:r>
      <w:r>
        <w:rPr>
          <w:color w:val="231F20"/>
          <w:spacing w:val="40"/>
        </w:rPr>
        <w:t> </w:t>
      </w:r>
      <w:r>
        <w:rPr>
          <w:color w:val="231F20"/>
        </w:rPr>
        <w:t>between</w:t>
      </w:r>
      <w:r>
        <w:rPr>
          <w:color w:val="231F20"/>
          <w:spacing w:val="27"/>
        </w:rPr>
        <w:t> </w:t>
      </w:r>
      <w:r>
        <w:rPr>
          <w:color w:val="231F20"/>
        </w:rPr>
        <w:t>the</w:t>
      </w:r>
      <w:r>
        <w:rPr>
          <w:color w:val="231F20"/>
          <w:spacing w:val="27"/>
        </w:rPr>
        <w:t> </w:t>
      </w:r>
      <w:r>
        <w:rPr>
          <w:color w:val="231F20"/>
        </w:rPr>
        <w:t>first</w:t>
      </w:r>
      <w:r>
        <w:rPr>
          <w:color w:val="231F20"/>
          <w:spacing w:val="27"/>
        </w:rPr>
        <w:t> </w:t>
      </w:r>
      <w:r>
        <w:rPr>
          <w:color w:val="231F20"/>
        </w:rPr>
        <w:t>selection</w:t>
      </w:r>
      <w:r>
        <w:rPr>
          <w:color w:val="231F20"/>
          <w:spacing w:val="27"/>
        </w:rPr>
        <w:t> </w:t>
      </w:r>
      <w:r>
        <w:rPr>
          <w:color w:val="231F20"/>
        </w:rPr>
        <w:t>and</w:t>
      </w:r>
      <w:r>
        <w:rPr>
          <w:color w:val="231F20"/>
          <w:spacing w:val="27"/>
        </w:rPr>
        <w:t> </w:t>
      </w:r>
      <w:r>
        <w:rPr>
          <w:color w:val="231F20"/>
        </w:rPr>
        <w:t>this</w:t>
      </w:r>
      <w:r>
        <w:rPr>
          <w:color w:val="231F20"/>
          <w:spacing w:val="27"/>
        </w:rPr>
        <w:t> </w:t>
      </w:r>
      <w:r>
        <w:rPr>
          <w:color w:val="231F20"/>
        </w:rPr>
        <w:t>one.)</w:t>
      </w:r>
      <w:r>
        <w:rPr>
          <w:color w:val="231F20"/>
          <w:spacing w:val="27"/>
        </w:rPr>
        <w:t> </w:t>
      </w:r>
      <w:r>
        <w:rPr>
          <w:color w:val="231F20"/>
        </w:rPr>
        <w:t>If</w:t>
      </w:r>
      <w:r>
        <w:rPr>
          <w:color w:val="231F20"/>
          <w:spacing w:val="27"/>
        </w:rPr>
        <w:t> </w:t>
      </w:r>
      <w:r>
        <w:rPr>
          <w:color w:val="231F20"/>
        </w:rPr>
        <w:t>you</w:t>
      </w:r>
      <w:r>
        <w:rPr>
          <w:color w:val="231F20"/>
          <w:spacing w:val="27"/>
        </w:rPr>
        <w:t> </w:t>
      </w:r>
      <w:r>
        <w:rPr>
          <w:color w:val="231F20"/>
        </w:rPr>
        <w:t>want</w:t>
      </w:r>
      <w:r>
        <w:rPr>
          <w:color w:val="231F20"/>
          <w:spacing w:val="27"/>
        </w:rPr>
        <w:t> </w:t>
      </w:r>
      <w:r>
        <w:rPr>
          <w:color w:val="231F20"/>
        </w:rPr>
        <w:t>to</w:t>
      </w:r>
      <w:r>
        <w:rPr>
          <w:color w:val="231F20"/>
          <w:spacing w:val="27"/>
        </w:rPr>
        <w:t> </w:t>
      </w:r>
      <w:r>
        <w:rPr>
          <w:color w:val="231F20"/>
        </w:rPr>
        <w:t>share</w:t>
      </w:r>
      <w:r>
        <w:rPr>
          <w:color w:val="231F20"/>
          <w:spacing w:val="27"/>
        </w:rPr>
        <w:t> </w:t>
      </w:r>
      <w:r>
        <w:rPr>
          <w:color w:val="231F20"/>
        </w:rPr>
        <w:t>Navigator items from a different source view than the one displaying, select the view to use from the </w:t>
      </w:r>
      <w:r>
        <w:rPr>
          <w:rFonts w:ascii="Book Antiqua"/>
          <w:b/>
          <w:color w:val="231F20"/>
        </w:rPr>
        <w:t>Source View </w:t>
      </w:r>
      <w:r>
        <w:rPr>
          <w:rFonts w:ascii="Book Antiqua"/>
          <w:b/>
          <w:color w:val="231F20"/>
          <w:spacing w:val="16"/>
          <w:position w:val="-1"/>
        </w:rPr>
        <w:drawing>
          <wp:inline distT="0" distB="0" distL="0" distR="0">
            <wp:extent cx="101600" cy="101600"/>
            <wp:effectExtent l="0" t="0" r="0" b="0"/>
            <wp:docPr id="1993" name="Image 1993"/>
            <wp:cNvGraphicFramePr>
              <a:graphicFrameLocks/>
            </wp:cNvGraphicFramePr>
            <a:graphic>
              <a:graphicData uri="http://schemas.openxmlformats.org/drawingml/2006/picture">
                <pic:pic>
                  <pic:nvPicPr>
                    <pic:cNvPr id="1993" name="Image 1993"/>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rPr>
      </w:r>
      <w:r>
        <w:rPr>
          <w:rFonts w:ascii="Times New Roman"/>
          <w:color w:val="231F20"/>
          <w:spacing w:val="16"/>
        </w:rPr>
        <w:t> </w:t>
      </w:r>
      <w:r>
        <w:rPr>
          <w:color w:val="231F20"/>
        </w:rPr>
        <w:t>list.</w:t>
      </w:r>
    </w:p>
    <w:p>
      <w:pPr>
        <w:pStyle w:val="BodyText"/>
        <w:spacing w:line="213" w:lineRule="auto" w:before="55"/>
        <w:ind w:left="3004" w:right="274" w:hanging="216"/>
      </w:pPr>
      <w:r>
        <w:rPr>
          <w:rFonts w:ascii="Futura MdCn BT"/>
          <w:color w:val="231F20"/>
        </w:rPr>
        <w:t>v</w:t>
      </w:r>
      <w:r>
        <w:rPr>
          <w:rFonts w:ascii="Futura MdCn BT"/>
          <w:color w:val="231F20"/>
          <w:spacing w:val="80"/>
          <w:w w:val="150"/>
        </w:rPr>
        <w:t> </w:t>
      </w:r>
      <w:r>
        <w:rPr>
          <w:color w:val="231F20"/>
        </w:rPr>
        <w:t>To</w:t>
      </w:r>
      <w:r>
        <w:rPr>
          <w:color w:val="231F20"/>
          <w:spacing w:val="25"/>
        </w:rPr>
        <w:t> </w:t>
      </w:r>
      <w:r>
        <w:rPr>
          <w:color w:val="231F20"/>
        </w:rPr>
        <w:t>assign</w:t>
      </w:r>
      <w:r>
        <w:rPr>
          <w:color w:val="231F20"/>
          <w:spacing w:val="25"/>
        </w:rPr>
        <w:t> </w:t>
      </w:r>
      <w:r>
        <w:rPr>
          <w:color w:val="231F20"/>
        </w:rPr>
        <w:t>managed</w:t>
      </w:r>
      <w:r>
        <w:rPr>
          <w:color w:val="231F20"/>
          <w:spacing w:val="25"/>
        </w:rPr>
        <w:t> </w:t>
      </w:r>
      <w:r>
        <w:rPr>
          <w:color w:val="231F20"/>
        </w:rPr>
        <w:t>systems</w:t>
      </w:r>
      <w:r>
        <w:rPr>
          <w:color w:val="231F20"/>
          <w:spacing w:val="25"/>
        </w:rPr>
        <w:t> </w:t>
      </w:r>
      <w:r>
        <w:rPr>
          <w:color w:val="231F20"/>
        </w:rPr>
        <w:t>to</w:t>
      </w:r>
      <w:r>
        <w:rPr>
          <w:color w:val="231F20"/>
          <w:spacing w:val="25"/>
        </w:rPr>
        <w:t> </w:t>
      </w:r>
      <w:r>
        <w:rPr>
          <w:color w:val="231F20"/>
        </w:rPr>
        <w:t>a</w:t>
      </w:r>
      <w:r>
        <w:rPr>
          <w:color w:val="231F20"/>
          <w:spacing w:val="25"/>
        </w:rPr>
        <w:t> </w:t>
      </w:r>
      <w:r>
        <w:rPr>
          <w:color w:val="231F20"/>
        </w:rPr>
        <w:t>Navigator</w:t>
      </w:r>
      <w:r>
        <w:rPr>
          <w:color w:val="231F20"/>
          <w:spacing w:val="25"/>
        </w:rPr>
        <w:t> </w:t>
      </w:r>
      <w:r>
        <w:rPr>
          <w:color w:val="231F20"/>
        </w:rPr>
        <w:t>item,</w:t>
      </w:r>
      <w:r>
        <w:rPr>
          <w:color w:val="231F20"/>
          <w:spacing w:val="25"/>
        </w:rPr>
        <w:t> </w:t>
      </w:r>
      <w:r>
        <w:rPr>
          <w:color w:val="231F20"/>
        </w:rPr>
        <w:t>right-click</w:t>
      </w:r>
      <w:r>
        <w:rPr>
          <w:color w:val="231F20"/>
          <w:spacing w:val="25"/>
        </w:rPr>
        <w:t> </w:t>
      </w:r>
      <w:r>
        <w:rPr>
          <w:color w:val="231F20"/>
        </w:rPr>
        <w:t>the</w:t>
      </w:r>
      <w:r>
        <w:rPr>
          <w:color w:val="231F20"/>
          <w:spacing w:val="25"/>
        </w:rPr>
        <w:t> </w:t>
      </w:r>
      <w:r>
        <w:rPr>
          <w:color w:val="231F20"/>
        </w:rPr>
        <w:t>item</w:t>
      </w:r>
      <w:r>
        <w:rPr>
          <w:color w:val="231F20"/>
          <w:spacing w:val="25"/>
        </w:rPr>
        <w:t> </w:t>
      </w:r>
      <w:r>
        <w:rPr>
          <w:color w:val="231F20"/>
        </w:rPr>
        <w:t>and click </w:t>
      </w:r>
      <w:r>
        <w:rPr>
          <w:color w:val="231F20"/>
          <w:spacing w:val="16"/>
          <w:position w:val="-1"/>
        </w:rPr>
        <w:drawing>
          <wp:inline distT="0" distB="0" distL="0" distR="0">
            <wp:extent cx="101600" cy="95250"/>
            <wp:effectExtent l="0" t="0" r="0" b="0"/>
            <wp:docPr id="1994" name="Image 1994"/>
            <wp:cNvGraphicFramePr>
              <a:graphicFrameLocks/>
            </wp:cNvGraphicFramePr>
            <a:graphic>
              <a:graphicData uri="http://schemas.openxmlformats.org/drawingml/2006/picture">
                <pic:pic>
                  <pic:nvPicPr>
                    <pic:cNvPr id="1994" name="Image 1994"/>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Properties</w:t>
      </w:r>
      <w:r>
        <w:rPr>
          <w:color w:val="231F20"/>
        </w:rPr>
        <w:t>. The managed system assignments make the item eligible for situation association and are referenced in query-based views.</w:t>
      </w:r>
    </w:p>
    <w:p>
      <w:pPr>
        <w:pStyle w:val="ListParagraph"/>
        <w:numPr>
          <w:ilvl w:val="0"/>
          <w:numId w:val="107"/>
        </w:numPr>
        <w:tabs>
          <w:tab w:pos="3252" w:val="left" w:leader="none"/>
        </w:tabs>
        <w:spacing w:line="240" w:lineRule="auto" w:before="35" w:after="0"/>
        <w:ind w:left="3252" w:right="0" w:hanging="248"/>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hAnsi="Book Antiqua"/>
          <w:b/>
          <w:color w:val="231F20"/>
          <w:sz w:val="20"/>
        </w:rPr>
        <w:t>Monitored</w:t>
      </w:r>
      <w:r>
        <w:rPr>
          <w:rFonts w:ascii="Book Antiqua" w:hAnsi="Book Antiqua"/>
          <w:b/>
          <w:color w:val="231F20"/>
          <w:spacing w:val="11"/>
          <w:sz w:val="20"/>
        </w:rPr>
        <w:t> </w:t>
      </w:r>
      <w:r>
        <w:rPr>
          <w:rFonts w:ascii="Book Antiqua" w:hAnsi="Book Antiqua"/>
          <w:b/>
          <w:color w:val="231F20"/>
          <w:sz w:val="20"/>
        </w:rPr>
        <w:t>resources</w:t>
      </w:r>
      <w:r>
        <w:rPr>
          <w:rFonts w:ascii="Book Antiqua" w:hAnsi="Book Antiqua"/>
          <w:b/>
          <w:color w:val="231F20"/>
          <w:spacing w:val="11"/>
          <w:sz w:val="20"/>
        </w:rPr>
        <w:t> </w:t>
      </w:r>
      <w:r>
        <w:rPr>
          <w:color w:val="231F20"/>
          <w:sz w:val="20"/>
        </w:rPr>
        <w:t>tab</w:t>
      </w:r>
      <w:r>
        <w:rPr>
          <w:color w:val="231F20"/>
          <w:spacing w:val="10"/>
          <w:sz w:val="20"/>
        </w:rPr>
        <w:t> </w:t>
      </w:r>
      <w:r>
        <w:rPr>
          <w:color w:val="231F20"/>
          <w:sz w:val="20"/>
        </w:rPr>
        <w:t>for</w:t>
      </w:r>
      <w:r>
        <w:rPr>
          <w:color w:val="231F20"/>
          <w:spacing w:val="11"/>
          <w:sz w:val="20"/>
        </w:rPr>
        <w:t> </w:t>
      </w:r>
      <w:r>
        <w:rPr>
          <w:color w:val="231F20"/>
          <w:sz w:val="20"/>
        </w:rPr>
        <w:t>assignments</w:t>
      </w:r>
      <w:r>
        <w:rPr>
          <w:color w:val="231F20"/>
          <w:spacing w:val="11"/>
          <w:sz w:val="20"/>
        </w:rPr>
        <w:t> </w:t>
      </w:r>
      <w:r>
        <w:rPr>
          <w:color w:val="231F20"/>
          <w:sz w:val="20"/>
        </w:rPr>
        <w:t>to</w:t>
      </w:r>
      <w:r>
        <w:rPr>
          <w:color w:val="231F20"/>
          <w:spacing w:val="11"/>
          <w:sz w:val="20"/>
        </w:rPr>
        <w:t> </w:t>
      </w:r>
      <w:r>
        <w:rPr>
          <w:color w:val="231F20"/>
          <w:sz w:val="20"/>
        </w:rPr>
        <w:t>this</w:t>
      </w:r>
      <w:r>
        <w:rPr>
          <w:color w:val="231F20"/>
          <w:spacing w:val="11"/>
          <w:sz w:val="20"/>
        </w:rPr>
        <w:t> </w:t>
      </w:r>
      <w:r>
        <w:rPr>
          <w:color w:val="231F20"/>
          <w:spacing w:val="-2"/>
          <w:sz w:val="20"/>
        </w:rPr>
        <w:t>item.</w:t>
      </w:r>
    </w:p>
    <w:p>
      <w:pPr>
        <w:pStyle w:val="ListParagraph"/>
        <w:numPr>
          <w:ilvl w:val="0"/>
          <w:numId w:val="107"/>
        </w:numPr>
        <w:tabs>
          <w:tab w:pos="3252" w:val="left" w:leader="none"/>
        </w:tabs>
        <w:spacing w:line="255" w:lineRule="exact" w:before="30" w:after="0"/>
        <w:ind w:left="3252" w:right="0" w:hanging="248"/>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rFonts w:ascii="Book Antiqua" w:hAnsi="Book Antiqua"/>
          <w:b/>
          <w:color w:val="231F20"/>
          <w:sz w:val="20"/>
        </w:rPr>
        <w:t>Dynamic</w:t>
      </w:r>
      <w:r>
        <w:rPr>
          <w:rFonts w:ascii="Book Antiqua" w:hAnsi="Book Antiqua"/>
          <w:b/>
          <w:color w:val="231F20"/>
          <w:spacing w:val="11"/>
          <w:sz w:val="20"/>
        </w:rPr>
        <w:t> </w:t>
      </w:r>
      <w:r>
        <w:rPr>
          <w:rFonts w:ascii="Book Antiqua" w:hAnsi="Book Antiqua"/>
          <w:b/>
          <w:color w:val="231F20"/>
          <w:sz w:val="20"/>
        </w:rPr>
        <w:t>items</w:t>
      </w:r>
      <w:r>
        <w:rPr>
          <w:rFonts w:ascii="Book Antiqua" w:hAnsi="Book Antiqua"/>
          <w:b/>
          <w:color w:val="231F20"/>
          <w:spacing w:val="11"/>
          <w:sz w:val="20"/>
        </w:rPr>
        <w:t> </w:t>
      </w:r>
      <w:r>
        <w:rPr>
          <w:color w:val="231F20"/>
          <w:sz w:val="20"/>
        </w:rPr>
        <w:t>tab</w:t>
      </w:r>
      <w:r>
        <w:rPr>
          <w:color w:val="231F20"/>
          <w:spacing w:val="11"/>
          <w:sz w:val="20"/>
        </w:rPr>
        <w:t> </w:t>
      </w:r>
      <w:r>
        <w:rPr>
          <w:color w:val="231F20"/>
          <w:sz w:val="20"/>
        </w:rPr>
        <w:t>for</w:t>
      </w:r>
      <w:r>
        <w:rPr>
          <w:color w:val="231F20"/>
          <w:spacing w:val="11"/>
          <w:sz w:val="20"/>
        </w:rPr>
        <w:t> </w:t>
      </w:r>
      <w:r>
        <w:rPr>
          <w:color w:val="231F20"/>
          <w:sz w:val="20"/>
        </w:rPr>
        <w:t>dynamic</w:t>
      </w:r>
      <w:r>
        <w:rPr>
          <w:color w:val="231F20"/>
          <w:spacing w:val="11"/>
          <w:sz w:val="20"/>
        </w:rPr>
        <w:t> </w:t>
      </w:r>
      <w:r>
        <w:rPr>
          <w:color w:val="231F20"/>
          <w:sz w:val="20"/>
        </w:rPr>
        <w:t>child</w:t>
      </w:r>
      <w:r>
        <w:rPr>
          <w:color w:val="231F20"/>
          <w:spacing w:val="11"/>
          <w:sz w:val="20"/>
        </w:rPr>
        <w:t> </w:t>
      </w:r>
      <w:r>
        <w:rPr>
          <w:color w:val="231F20"/>
          <w:sz w:val="20"/>
        </w:rPr>
        <w:t>assignments</w:t>
      </w:r>
      <w:r>
        <w:rPr>
          <w:color w:val="231F20"/>
          <w:spacing w:val="11"/>
          <w:sz w:val="20"/>
        </w:rPr>
        <w:t> </w:t>
      </w:r>
      <w:r>
        <w:rPr>
          <w:color w:val="231F20"/>
          <w:sz w:val="20"/>
        </w:rPr>
        <w:t>to</w:t>
      </w:r>
      <w:r>
        <w:rPr>
          <w:color w:val="231F20"/>
          <w:spacing w:val="11"/>
          <w:sz w:val="20"/>
        </w:rPr>
        <w:t> </w:t>
      </w:r>
      <w:r>
        <w:rPr>
          <w:color w:val="231F20"/>
          <w:sz w:val="20"/>
        </w:rPr>
        <w:t>this</w:t>
      </w:r>
      <w:r>
        <w:rPr>
          <w:color w:val="231F20"/>
          <w:spacing w:val="11"/>
          <w:sz w:val="20"/>
        </w:rPr>
        <w:t> </w:t>
      </w:r>
      <w:r>
        <w:rPr>
          <w:color w:val="231F20"/>
          <w:spacing w:val="-2"/>
          <w:sz w:val="20"/>
        </w:rPr>
        <w:t>item.</w:t>
      </w:r>
    </w:p>
    <w:p>
      <w:pPr>
        <w:pStyle w:val="BodyText"/>
        <w:spacing w:line="255" w:lineRule="exact"/>
        <w:ind w:left="3253"/>
      </w:pPr>
      <w:r>
        <w:rPr>
          <w:color w:val="231F20"/>
        </w:rPr>
        <w:t>See</w:t>
      </w:r>
      <w:r>
        <w:rPr>
          <w:color w:val="231F20"/>
          <w:spacing w:val="9"/>
        </w:rPr>
        <w:t> </w:t>
      </w:r>
      <w:hyperlink w:history="true" w:anchor="_bookmark177">
        <w:r>
          <w:rPr>
            <w:color w:val="231F20"/>
          </w:rPr>
          <w:t>“Navigator</w:t>
        </w:r>
        <w:r>
          <w:rPr>
            <w:color w:val="231F20"/>
            <w:spacing w:val="10"/>
          </w:rPr>
          <w:t> </w:t>
        </w:r>
        <w:r>
          <w:rPr>
            <w:color w:val="231F20"/>
          </w:rPr>
          <w:t>item</w:t>
        </w:r>
        <w:r>
          <w:rPr>
            <w:color w:val="231F20"/>
            <w:spacing w:val="10"/>
          </w:rPr>
          <w:t> </w:t>
        </w:r>
        <w:r>
          <w:rPr>
            <w:color w:val="231F20"/>
          </w:rPr>
          <w:t>properties”</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4"/>
          </w:rPr>
          <w:t>242.</w:t>
        </w:r>
      </w:hyperlink>
    </w:p>
    <w:p>
      <w:pPr>
        <w:pStyle w:val="ListParagraph"/>
        <w:numPr>
          <w:ilvl w:val="0"/>
          <w:numId w:val="107"/>
        </w:numPr>
        <w:tabs>
          <w:tab w:pos="3251" w:val="left" w:leader="none"/>
          <w:tab w:pos="3253" w:val="left" w:leader="none"/>
        </w:tabs>
        <w:spacing w:line="213" w:lineRule="auto" w:before="52" w:after="0"/>
        <w:ind w:left="3253" w:right="210" w:hanging="250"/>
        <w:jc w:val="both"/>
        <w:rPr>
          <w:sz w:val="20"/>
        </w:rPr>
      </w:pPr>
      <w:r>
        <w:rPr>
          <w:color w:val="231F20"/>
          <w:sz w:val="20"/>
        </w:rPr>
        <w:t>Click</w:t>
      </w:r>
      <w:r>
        <w:rPr>
          <w:color w:val="231F20"/>
          <w:spacing w:val="18"/>
          <w:sz w:val="20"/>
        </w:rPr>
        <w:t> </w:t>
      </w:r>
      <w:r>
        <w:rPr>
          <w:color w:val="231F20"/>
          <w:sz w:val="20"/>
        </w:rPr>
        <w:t>the</w:t>
      </w:r>
      <w:r>
        <w:rPr>
          <w:color w:val="231F20"/>
          <w:spacing w:val="18"/>
          <w:sz w:val="20"/>
        </w:rPr>
        <w:t> </w:t>
      </w:r>
      <w:r>
        <w:rPr>
          <w:rFonts w:ascii="Book Antiqua" w:hAnsi="Book Antiqua"/>
          <w:b/>
          <w:color w:val="231F20"/>
          <w:sz w:val="20"/>
        </w:rPr>
        <w:t>Symbols</w:t>
      </w:r>
      <w:r>
        <w:rPr>
          <w:rFonts w:ascii="Book Antiqua" w:hAnsi="Book Antiqua"/>
          <w:b/>
          <w:color w:val="231F20"/>
          <w:spacing w:val="18"/>
          <w:sz w:val="20"/>
        </w:rPr>
        <w:t> </w:t>
      </w:r>
      <w:r>
        <w:rPr>
          <w:color w:val="231F20"/>
          <w:sz w:val="20"/>
        </w:rPr>
        <w:t>tab</w:t>
      </w:r>
      <w:r>
        <w:rPr>
          <w:color w:val="231F20"/>
          <w:spacing w:val="18"/>
          <w:sz w:val="20"/>
        </w:rPr>
        <w:t> </w:t>
      </w:r>
      <w:r>
        <w:rPr>
          <w:color w:val="231F20"/>
          <w:sz w:val="20"/>
        </w:rPr>
        <w:t>to</w:t>
      </w:r>
      <w:r>
        <w:rPr>
          <w:color w:val="231F20"/>
          <w:spacing w:val="18"/>
          <w:sz w:val="20"/>
        </w:rPr>
        <w:t> </w:t>
      </w:r>
      <w:r>
        <w:rPr>
          <w:color w:val="231F20"/>
          <w:sz w:val="20"/>
        </w:rPr>
        <w:t>define</w:t>
      </w:r>
      <w:r>
        <w:rPr>
          <w:color w:val="231F20"/>
          <w:spacing w:val="18"/>
          <w:sz w:val="20"/>
        </w:rPr>
        <w:t> </w:t>
      </w:r>
      <w:r>
        <w:rPr>
          <w:color w:val="231F20"/>
          <w:sz w:val="20"/>
        </w:rPr>
        <w:t>symbol</w:t>
      </w:r>
      <w:r>
        <w:rPr>
          <w:color w:val="231F20"/>
          <w:spacing w:val="18"/>
          <w:sz w:val="20"/>
        </w:rPr>
        <w:t> </w:t>
      </w:r>
      <w:r>
        <w:rPr>
          <w:color w:val="231F20"/>
          <w:sz w:val="20"/>
        </w:rPr>
        <w:t>name/value</w:t>
      </w:r>
      <w:r>
        <w:rPr>
          <w:color w:val="231F20"/>
          <w:spacing w:val="18"/>
          <w:sz w:val="20"/>
        </w:rPr>
        <w:t> </w:t>
      </w:r>
      <w:r>
        <w:rPr>
          <w:color w:val="231F20"/>
          <w:sz w:val="20"/>
        </w:rPr>
        <w:t>pairs</w:t>
      </w:r>
      <w:r>
        <w:rPr>
          <w:color w:val="231F20"/>
          <w:spacing w:val="18"/>
          <w:sz w:val="20"/>
        </w:rPr>
        <w:t> </w:t>
      </w:r>
      <w:r>
        <w:rPr>
          <w:color w:val="231F20"/>
          <w:sz w:val="20"/>
        </w:rPr>
        <w:t>associated</w:t>
      </w:r>
      <w:r>
        <w:rPr>
          <w:color w:val="231F20"/>
          <w:spacing w:val="18"/>
          <w:sz w:val="20"/>
        </w:rPr>
        <w:t> </w:t>
      </w:r>
      <w:r>
        <w:rPr>
          <w:color w:val="231F20"/>
          <w:sz w:val="20"/>
        </w:rPr>
        <w:t>with a physical or logical navigator node. See </w:t>
      </w:r>
      <w:hyperlink w:history="true" w:anchor="_bookmark178">
        <w:r>
          <w:rPr>
            <w:color w:val="231F20"/>
            <w:sz w:val="20"/>
          </w:rPr>
          <w:t>“Adding or editing a symbol” </w:t>
        </w:r>
        <w:r>
          <w:rPr>
            <w:color w:val="231F20"/>
            <w:sz w:val="20"/>
          </w:rPr>
          <w:t>on</w:t>
        </w:r>
      </w:hyperlink>
      <w:r>
        <w:rPr>
          <w:color w:val="231F20"/>
          <w:sz w:val="20"/>
        </w:rPr>
        <w:t> </w:t>
      </w:r>
      <w:hyperlink w:history="true" w:anchor="_bookmark178">
        <w:r>
          <w:rPr>
            <w:color w:val="231F20"/>
            <w:sz w:val="20"/>
          </w:rPr>
          <w:t>page 245.</w:t>
        </w:r>
      </w:hyperlink>
    </w:p>
    <w:p>
      <w:pPr>
        <w:pStyle w:val="BodyText"/>
        <w:spacing w:line="252" w:lineRule="exact" w:before="100"/>
        <w:ind w:left="3044"/>
        <w:jc w:val="both"/>
      </w:pPr>
      <w:r>
        <w:rPr/>
        <w:drawing>
          <wp:inline distT="0" distB="0" distL="0" distR="0">
            <wp:extent cx="50800" cy="95250"/>
            <wp:effectExtent l="0" t="0" r="0" b="0"/>
            <wp:docPr id="1995" name="Image 1995"/>
            <wp:cNvGraphicFramePr>
              <a:graphicFrameLocks/>
            </wp:cNvGraphicFramePr>
            <a:graphic>
              <a:graphicData uri="http://schemas.openxmlformats.org/drawingml/2006/picture">
                <pic:pic>
                  <pic:nvPicPr>
                    <pic:cNvPr id="1995" name="Image 1995"/>
                    <pic:cNvPicPr/>
                  </pic:nvPicPr>
                  <pic:blipFill>
                    <a:blip r:embed="rId361" cstate="print"/>
                    <a:stretch>
                      <a:fillRect/>
                    </a:stretch>
                  </pic:blipFill>
                  <pic:spPr>
                    <a:xfrm>
                      <a:off x="0" y="0"/>
                      <a:ext cx="50800" cy="95250"/>
                    </a:xfrm>
                    <a:prstGeom prst="rect">
                      <a:avLst/>
                    </a:prstGeom>
                  </pic:spPr>
                </pic:pic>
              </a:graphicData>
            </a:graphic>
          </wp:inline>
        </w:drawing>
      </w:r>
      <w:r>
        <w:rPr/>
      </w:r>
      <w:r>
        <w:rPr>
          <w:rFonts w:ascii="Times New Roman"/>
          <w:spacing w:val="37"/>
          <w:position w:val="1"/>
        </w:rPr>
        <w:t> </w:t>
      </w:r>
      <w:r>
        <w:rPr>
          <w:color w:val="231F20"/>
          <w:position w:val="1"/>
        </w:rPr>
        <w:t>A best</w:t>
      </w:r>
      <w:r>
        <w:rPr>
          <w:color w:val="231F20"/>
          <w:spacing w:val="15"/>
          <w:position w:val="1"/>
        </w:rPr>
        <w:t> </w:t>
      </w:r>
      <w:r>
        <w:rPr>
          <w:color w:val="231F20"/>
          <w:position w:val="1"/>
        </w:rPr>
        <w:t>practice</w:t>
      </w:r>
      <w:r>
        <w:rPr>
          <w:color w:val="231F20"/>
          <w:spacing w:val="15"/>
          <w:position w:val="1"/>
        </w:rPr>
        <w:t> </w:t>
      </w:r>
      <w:r>
        <w:rPr>
          <w:color w:val="231F20"/>
          <w:position w:val="1"/>
        </w:rPr>
        <w:t>is</w:t>
      </w:r>
      <w:r>
        <w:rPr>
          <w:color w:val="231F20"/>
          <w:spacing w:val="15"/>
          <w:position w:val="1"/>
        </w:rPr>
        <w:t> </w:t>
      </w:r>
      <w:r>
        <w:rPr>
          <w:color w:val="231F20"/>
          <w:position w:val="1"/>
        </w:rPr>
        <w:t>to</w:t>
      </w:r>
      <w:r>
        <w:rPr>
          <w:color w:val="231F20"/>
          <w:spacing w:val="15"/>
          <w:position w:val="1"/>
        </w:rPr>
        <w:t> </w:t>
      </w:r>
      <w:r>
        <w:rPr>
          <w:color w:val="231F20"/>
          <w:position w:val="1"/>
        </w:rPr>
        <w:t>assign</w:t>
      </w:r>
      <w:r>
        <w:rPr>
          <w:color w:val="231F20"/>
          <w:spacing w:val="15"/>
          <w:position w:val="1"/>
        </w:rPr>
        <w:t> </w:t>
      </w:r>
      <w:r>
        <w:rPr>
          <w:color w:val="231F20"/>
          <w:position w:val="1"/>
        </w:rPr>
        <w:t>managed</w:t>
      </w:r>
      <w:r>
        <w:rPr>
          <w:color w:val="231F20"/>
          <w:spacing w:val="15"/>
          <w:position w:val="1"/>
        </w:rPr>
        <w:t> </w:t>
      </w:r>
      <w:r>
        <w:rPr>
          <w:color w:val="231F20"/>
          <w:position w:val="1"/>
        </w:rPr>
        <w:t>systems</w:t>
      </w:r>
      <w:r>
        <w:rPr>
          <w:color w:val="231F20"/>
          <w:spacing w:val="15"/>
          <w:position w:val="1"/>
        </w:rPr>
        <w:t> </w:t>
      </w:r>
      <w:r>
        <w:rPr>
          <w:color w:val="231F20"/>
          <w:position w:val="1"/>
        </w:rPr>
        <w:t>to</w:t>
      </w:r>
      <w:r>
        <w:rPr>
          <w:color w:val="231F20"/>
          <w:spacing w:val="15"/>
          <w:position w:val="1"/>
        </w:rPr>
        <w:t> </w:t>
      </w:r>
      <w:r>
        <w:rPr>
          <w:color w:val="231F20"/>
          <w:position w:val="1"/>
        </w:rPr>
        <w:t>a</w:t>
      </w:r>
      <w:r>
        <w:rPr>
          <w:color w:val="231F20"/>
          <w:spacing w:val="15"/>
          <w:position w:val="1"/>
        </w:rPr>
        <w:t> </w:t>
      </w:r>
      <w:r>
        <w:rPr>
          <w:color w:val="231F20"/>
          <w:position w:val="1"/>
        </w:rPr>
        <w:t>Navigator</w:t>
      </w:r>
      <w:r>
        <w:rPr>
          <w:color w:val="231F20"/>
          <w:spacing w:val="15"/>
          <w:position w:val="1"/>
        </w:rPr>
        <w:t> </w:t>
      </w:r>
      <w:r>
        <w:rPr>
          <w:color w:val="231F20"/>
          <w:position w:val="1"/>
        </w:rPr>
        <w:t>item</w:t>
      </w:r>
      <w:r>
        <w:rPr>
          <w:color w:val="231F20"/>
          <w:spacing w:val="15"/>
          <w:position w:val="1"/>
        </w:rPr>
        <w:t> </w:t>
      </w:r>
      <w:r>
        <w:rPr>
          <w:color w:val="231F20"/>
          <w:position w:val="1"/>
        </w:rPr>
        <w:t>from</w:t>
      </w:r>
      <w:r>
        <w:rPr>
          <w:color w:val="231F20"/>
          <w:spacing w:val="15"/>
          <w:position w:val="1"/>
        </w:rPr>
        <w:t> </w:t>
      </w:r>
      <w:r>
        <w:rPr>
          <w:color w:val="231F20"/>
          <w:position w:val="1"/>
        </w:rPr>
        <w:t>the</w:t>
      </w:r>
    </w:p>
    <w:p>
      <w:pPr>
        <w:spacing w:line="252" w:lineRule="exact" w:before="0"/>
        <w:ind w:left="3004" w:right="0" w:firstLine="0"/>
        <w:jc w:val="both"/>
        <w:rPr>
          <w:sz w:val="20"/>
        </w:rPr>
      </w:pPr>
      <w:r>
        <w:rPr>
          <w:rFonts w:ascii="Book Antiqua"/>
          <w:b/>
          <w:color w:val="231F20"/>
          <w:sz w:val="20"/>
        </w:rPr>
        <w:t>Monitored</w:t>
      </w:r>
      <w:r>
        <w:rPr>
          <w:rFonts w:ascii="Book Antiqua"/>
          <w:b/>
          <w:color w:val="231F20"/>
          <w:spacing w:val="10"/>
          <w:sz w:val="20"/>
        </w:rPr>
        <w:t> </w:t>
      </w:r>
      <w:r>
        <w:rPr>
          <w:rFonts w:ascii="Book Antiqua"/>
          <w:b/>
          <w:color w:val="231F20"/>
          <w:sz w:val="20"/>
        </w:rPr>
        <w:t>resources</w:t>
      </w:r>
      <w:r>
        <w:rPr>
          <w:rFonts w:ascii="Book Antiqua"/>
          <w:b/>
          <w:color w:val="231F20"/>
          <w:spacing w:val="11"/>
          <w:sz w:val="20"/>
        </w:rPr>
        <w:t> </w:t>
      </w:r>
      <w:r>
        <w:rPr>
          <w:color w:val="231F20"/>
          <w:sz w:val="20"/>
        </w:rPr>
        <w:t>tab</w:t>
      </w:r>
      <w:r>
        <w:rPr>
          <w:color w:val="231F20"/>
          <w:spacing w:val="11"/>
          <w:sz w:val="20"/>
        </w:rPr>
        <w:t> </w:t>
      </w:r>
      <w:r>
        <w:rPr>
          <w:color w:val="231F20"/>
          <w:sz w:val="20"/>
        </w:rPr>
        <w:t>or</w:t>
      </w:r>
      <w:r>
        <w:rPr>
          <w:color w:val="231F20"/>
          <w:spacing w:val="10"/>
          <w:sz w:val="20"/>
        </w:rPr>
        <w:t> </w:t>
      </w:r>
      <w:r>
        <w:rPr>
          <w:rFonts w:ascii="Book Antiqua"/>
          <w:b/>
          <w:color w:val="231F20"/>
          <w:sz w:val="20"/>
        </w:rPr>
        <w:t>Dynamic</w:t>
      </w:r>
      <w:r>
        <w:rPr>
          <w:rFonts w:ascii="Book Antiqua"/>
          <w:b/>
          <w:color w:val="231F20"/>
          <w:spacing w:val="11"/>
          <w:sz w:val="20"/>
        </w:rPr>
        <w:t> </w:t>
      </w:r>
      <w:r>
        <w:rPr>
          <w:rFonts w:ascii="Book Antiqua"/>
          <w:b/>
          <w:color w:val="231F20"/>
          <w:sz w:val="20"/>
        </w:rPr>
        <w:t>items</w:t>
      </w:r>
      <w:r>
        <w:rPr>
          <w:color w:val="231F20"/>
          <w:sz w:val="20"/>
        </w:rPr>
        <w:t>,</w:t>
      </w:r>
      <w:r>
        <w:rPr>
          <w:color w:val="231F20"/>
          <w:spacing w:val="11"/>
          <w:sz w:val="20"/>
        </w:rPr>
        <w:t> </w:t>
      </w:r>
      <w:r>
        <w:rPr>
          <w:color w:val="231F20"/>
          <w:sz w:val="20"/>
        </w:rPr>
        <w:t>but</w:t>
      </w:r>
      <w:r>
        <w:rPr>
          <w:color w:val="231F20"/>
          <w:spacing w:val="10"/>
          <w:sz w:val="20"/>
        </w:rPr>
        <w:t> </w:t>
      </w:r>
      <w:r>
        <w:rPr>
          <w:color w:val="231F20"/>
          <w:sz w:val="20"/>
        </w:rPr>
        <w:t>not</w:t>
      </w:r>
      <w:r>
        <w:rPr>
          <w:color w:val="231F20"/>
          <w:spacing w:val="11"/>
          <w:sz w:val="20"/>
        </w:rPr>
        <w:t> </w:t>
      </w:r>
      <w:r>
        <w:rPr>
          <w:color w:val="231F20"/>
          <w:spacing w:val="-2"/>
          <w:sz w:val="20"/>
        </w:rPr>
        <w:t>both.</w:t>
      </w:r>
    </w:p>
    <w:p>
      <w:pPr>
        <w:pStyle w:val="BodyText"/>
        <w:spacing w:line="213" w:lineRule="auto" w:before="52"/>
        <w:ind w:left="3004" w:right="258" w:hanging="216"/>
      </w:pPr>
      <w:r>
        <w:rPr>
          <w:rFonts w:ascii="Futura MdCn BT"/>
          <w:color w:val="231F20"/>
        </w:rPr>
        <w:t>v</w:t>
      </w:r>
      <w:r>
        <w:rPr>
          <w:rFonts w:ascii="Futura MdCn BT"/>
          <w:color w:val="231F20"/>
          <w:spacing w:val="80"/>
        </w:rPr>
        <w:t> </w:t>
      </w:r>
      <w:r>
        <w:rPr>
          <w:color w:val="231F20"/>
        </w:rPr>
        <w:t>To find out if the Navigator item is assigned to other Navigator views or assigned multiple times to this or other Navigator views, right-click the item and click </w:t>
      </w:r>
      <w:r>
        <w:rPr>
          <w:color w:val="231F20"/>
          <w:spacing w:val="16"/>
          <w:position w:val="-1"/>
        </w:rPr>
        <w:drawing>
          <wp:inline distT="0" distB="0" distL="0" distR="0">
            <wp:extent cx="101600" cy="88900"/>
            <wp:effectExtent l="0" t="0" r="0" b="0"/>
            <wp:docPr id="1996" name="Image 1996"/>
            <wp:cNvGraphicFramePr>
              <a:graphicFrameLocks/>
            </wp:cNvGraphicFramePr>
            <a:graphic>
              <a:graphicData uri="http://schemas.openxmlformats.org/drawingml/2006/picture">
                <pic:pic>
                  <pic:nvPicPr>
                    <pic:cNvPr id="1996" name="Image 1996"/>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11"/>
        </w:rPr>
        <w:t> </w:t>
      </w:r>
      <w:r>
        <w:rPr>
          <w:rFonts w:ascii="Book Antiqua"/>
          <w:b/>
          <w:color w:val="231F20"/>
        </w:rPr>
        <w:t>Show Navigator List</w:t>
      </w:r>
      <w:r>
        <w:rPr>
          <w:color w:val="231F20"/>
        </w:rPr>
        <w:t>. A number in parentheses after the view name indicates that there are multiple instances of this Navigator item in </w:t>
      </w:r>
      <w:r>
        <w:rPr>
          <w:color w:val="231F20"/>
        </w:rPr>
        <w:t>the</w:t>
      </w:r>
      <w:r>
        <w:rPr>
          <w:color w:val="231F20"/>
        </w:rPr>
        <w:t> Navigator view. You can also switch to another Navigator view in the list.</w:t>
      </w:r>
    </w:p>
    <w:p>
      <w:pPr>
        <w:pStyle w:val="BodyText"/>
        <w:spacing w:line="213" w:lineRule="auto" w:before="57"/>
        <w:ind w:left="3004" w:right="385" w:hanging="216"/>
      </w:pPr>
      <w:r>
        <w:rPr>
          <w:rFonts w:ascii="Futura MdCn BT"/>
          <w:color w:val="231F20"/>
        </w:rPr>
        <w:t>v</w:t>
      </w:r>
      <w:r>
        <w:rPr>
          <w:rFonts w:ascii="Futura MdCn BT"/>
          <w:color w:val="231F20"/>
          <w:spacing w:val="80"/>
        </w:rPr>
        <w:t> </w:t>
      </w:r>
      <w:r>
        <w:rPr>
          <w:color w:val="231F20"/>
        </w:rPr>
        <w:t>To rename an item, right-click it and click </w:t>
      </w:r>
      <w:r>
        <w:rPr>
          <w:color w:val="231F20"/>
          <w:spacing w:val="15"/>
          <w:position w:val="-1"/>
        </w:rPr>
        <w:drawing>
          <wp:inline distT="0" distB="0" distL="0" distR="0">
            <wp:extent cx="101600" cy="95250"/>
            <wp:effectExtent l="0" t="0" r="0" b="0"/>
            <wp:docPr id="1997" name="Image 1997"/>
            <wp:cNvGraphicFramePr>
              <a:graphicFrameLocks/>
            </wp:cNvGraphicFramePr>
            <a:graphic>
              <a:graphicData uri="http://schemas.openxmlformats.org/drawingml/2006/picture">
                <pic:pic>
                  <pic:nvPicPr>
                    <pic:cNvPr id="1997" name="Image 1997"/>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Properties</w:t>
      </w:r>
      <w:r>
        <w:rPr>
          <w:color w:val="231F20"/>
        </w:rPr>
        <w:t>; to rename the view, click </w:t>
      </w:r>
      <w:r>
        <w:rPr>
          <w:color w:val="231F20"/>
          <w:spacing w:val="16"/>
          <w:position w:val="-1"/>
        </w:rPr>
        <w:drawing>
          <wp:inline distT="0" distB="0" distL="0" distR="0">
            <wp:extent cx="101600" cy="95250"/>
            <wp:effectExtent l="0" t="0" r="0" b="0"/>
            <wp:docPr id="1998" name="Image 1998"/>
            <wp:cNvGraphicFramePr>
              <a:graphicFrameLocks/>
            </wp:cNvGraphicFramePr>
            <a:graphic>
              <a:graphicData uri="http://schemas.openxmlformats.org/drawingml/2006/picture">
                <pic:pic>
                  <pic:nvPicPr>
                    <pic:cNvPr id="1998" name="Image 1998"/>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Properties</w:t>
      </w:r>
      <w:r>
        <w:rPr>
          <w:color w:val="231F20"/>
        </w:rPr>
        <w:t>. Edit the name and description as needed.</w:t>
      </w:r>
    </w:p>
    <w:p>
      <w:pPr>
        <w:pStyle w:val="BodyText"/>
        <w:spacing w:before="35"/>
        <w:ind w:left="2788"/>
      </w:pPr>
      <w:r>
        <w:rPr>
          <w:rFonts w:ascii="Futura MdCn BT"/>
          <w:color w:val="231F20"/>
        </w:rPr>
        <w:t>v</w:t>
      </w:r>
      <w:r>
        <w:rPr>
          <w:rFonts w:ascii="Futura MdCn BT"/>
          <w:color w:val="231F20"/>
          <w:spacing w:val="30"/>
        </w:rPr>
        <w:t>  </w:t>
      </w:r>
      <w:r>
        <w:rPr>
          <w:color w:val="231F20"/>
        </w:rPr>
        <w:t>To</w:t>
      </w:r>
      <w:r>
        <w:rPr>
          <w:color w:val="231F20"/>
          <w:spacing w:val="13"/>
        </w:rPr>
        <w:t> </w:t>
      </w:r>
      <w:r>
        <w:rPr>
          <w:color w:val="231F20"/>
        </w:rPr>
        <w:t>delete</w:t>
      </w:r>
      <w:r>
        <w:rPr>
          <w:color w:val="231F20"/>
          <w:spacing w:val="11"/>
        </w:rPr>
        <w:t> </w:t>
      </w:r>
      <w:r>
        <w:rPr>
          <w:color w:val="231F20"/>
        </w:rPr>
        <w:t>a</w:t>
      </w:r>
      <w:r>
        <w:rPr>
          <w:color w:val="231F20"/>
          <w:spacing w:val="12"/>
        </w:rPr>
        <w:t> </w:t>
      </w:r>
      <w:r>
        <w:rPr>
          <w:color w:val="231F20"/>
        </w:rPr>
        <w:t>Navigator</w:t>
      </w:r>
      <w:r>
        <w:rPr>
          <w:color w:val="231F20"/>
          <w:spacing w:val="11"/>
        </w:rPr>
        <w:t> </w:t>
      </w:r>
      <w:r>
        <w:rPr>
          <w:color w:val="231F20"/>
        </w:rPr>
        <w:t>item,</w:t>
      </w:r>
      <w:r>
        <w:rPr>
          <w:color w:val="231F20"/>
          <w:spacing w:val="12"/>
        </w:rPr>
        <w:t> </w:t>
      </w:r>
      <w:r>
        <w:rPr>
          <w:color w:val="231F20"/>
        </w:rPr>
        <w:t>select</w:t>
      </w:r>
      <w:r>
        <w:rPr>
          <w:color w:val="231F20"/>
          <w:spacing w:val="12"/>
        </w:rPr>
        <w:t> </w:t>
      </w:r>
      <w:r>
        <w:rPr>
          <w:color w:val="231F20"/>
        </w:rPr>
        <w:t>it</w:t>
      </w:r>
      <w:r>
        <w:rPr>
          <w:color w:val="231F20"/>
          <w:spacing w:val="11"/>
        </w:rPr>
        <w:t> </w:t>
      </w:r>
      <w:r>
        <w:rPr>
          <w:color w:val="231F20"/>
        </w:rPr>
        <w:t>and</w:t>
      </w:r>
      <w:r>
        <w:rPr>
          <w:color w:val="231F20"/>
          <w:spacing w:val="12"/>
        </w:rPr>
        <w:t> </w:t>
      </w:r>
      <w:r>
        <w:rPr>
          <w:color w:val="231F20"/>
        </w:rPr>
        <w:t>click</w:t>
      </w:r>
      <w:r>
        <w:rPr>
          <w:color w:val="231F20"/>
          <w:spacing w:val="10"/>
        </w:rPr>
        <w:t> </w:t>
      </w:r>
      <w:r>
        <w:rPr>
          <w:color w:val="231F20"/>
          <w:spacing w:val="15"/>
          <w:position w:val="-1"/>
        </w:rPr>
        <w:drawing>
          <wp:inline distT="0" distB="0" distL="0" distR="0">
            <wp:extent cx="101600" cy="101600"/>
            <wp:effectExtent l="0" t="0" r="0" b="0"/>
            <wp:docPr id="1999" name="Image 1999"/>
            <wp:cNvGraphicFramePr>
              <a:graphicFrameLocks/>
            </wp:cNvGraphicFramePr>
            <a:graphic>
              <a:graphicData uri="http://schemas.openxmlformats.org/drawingml/2006/picture">
                <pic:pic>
                  <pic:nvPicPr>
                    <pic:cNvPr id="1999" name="Image 1999"/>
                    <pic:cNvPicPr/>
                  </pic:nvPicPr>
                  <pic:blipFill>
                    <a:blip r:embed="rId362"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4"/>
        </w:rPr>
        <w:t> </w:t>
      </w:r>
      <w:r>
        <w:rPr>
          <w:rFonts w:ascii="Book Antiqua"/>
          <w:b/>
          <w:color w:val="231F20"/>
        </w:rPr>
        <w:t>Delete</w:t>
      </w:r>
      <w:r>
        <w:rPr>
          <w:rFonts w:ascii="Book Antiqua"/>
          <w:b/>
          <w:color w:val="231F20"/>
          <w:spacing w:val="11"/>
        </w:rPr>
        <w:t> </w:t>
      </w:r>
      <w:r>
        <w:rPr>
          <w:rFonts w:ascii="Book Antiqua"/>
          <w:b/>
          <w:color w:val="231F20"/>
          <w:spacing w:val="-2"/>
        </w:rPr>
        <w:t>Item</w:t>
      </w:r>
      <w:r>
        <w:rPr>
          <w:color w:val="231F20"/>
          <w:spacing w:val="-2"/>
        </w:rPr>
        <w:t>.</w:t>
      </w:r>
    </w:p>
    <w:p>
      <w:pPr>
        <w:pStyle w:val="ListParagraph"/>
        <w:numPr>
          <w:ilvl w:val="0"/>
          <w:numId w:val="106"/>
        </w:numPr>
        <w:tabs>
          <w:tab w:pos="2788" w:val="left" w:leader="none"/>
        </w:tabs>
        <w:spacing w:line="213" w:lineRule="auto" w:before="53" w:after="0"/>
        <w:ind w:left="2788" w:right="445" w:hanging="316"/>
        <w:jc w:val="left"/>
        <w:rPr>
          <w:sz w:val="20"/>
        </w:rPr>
      </w:pPr>
      <w:r>
        <w:rPr>
          <w:color w:val="231F20"/>
          <w:sz w:val="20"/>
        </w:rPr>
        <w:t>Click </w:t>
      </w:r>
      <w:r>
        <w:rPr>
          <w:rFonts w:ascii="Book Antiqua"/>
          <w:b/>
          <w:color w:val="231F20"/>
          <w:sz w:val="20"/>
        </w:rPr>
        <w:t>Apply </w:t>
      </w:r>
      <w:r>
        <w:rPr>
          <w:color w:val="231F20"/>
          <w:sz w:val="20"/>
        </w:rPr>
        <w:t>to save your changes to the Navigator view and keep the </w:t>
      </w:r>
      <w:r>
        <w:rPr>
          <w:color w:val="231F20"/>
          <w:sz w:val="20"/>
        </w:rPr>
        <w:t>editor open; or click </w:t>
      </w:r>
      <w:r>
        <w:rPr>
          <w:rFonts w:ascii="Book Antiqua"/>
          <w:b/>
          <w:color w:val="231F20"/>
          <w:sz w:val="20"/>
        </w:rPr>
        <w:t>OK </w:t>
      </w:r>
      <w:r>
        <w:rPr>
          <w:color w:val="231F20"/>
          <w:sz w:val="20"/>
        </w:rPr>
        <w:t>to save your changes and close the window.</w:t>
      </w:r>
    </w:p>
    <w:p>
      <w:pPr>
        <w:pStyle w:val="Heading4"/>
        <w:ind w:left="2472"/>
      </w:pPr>
      <w:r>
        <w:rPr>
          <w:color w:val="231F20"/>
          <w:spacing w:val="-2"/>
        </w:rPr>
        <w:t>Results</w:t>
      </w:r>
    </w:p>
    <w:p>
      <w:pPr>
        <w:pStyle w:val="BodyText"/>
        <w:spacing w:line="213" w:lineRule="auto" w:before="241"/>
        <w:ind w:left="2472"/>
      </w:pPr>
      <w:r>
        <w:rPr>
          <w:color w:val="231F20"/>
        </w:rPr>
        <w:t>The new Navigator view is displayed in the Navigator view list. Shared </w:t>
      </w:r>
      <w:r>
        <w:rPr>
          <w:color w:val="231F20"/>
        </w:rPr>
        <w:t>Navigator items and dynamic Navigator items show alert indicators for any open events for associated situations. Shared Navigator items also share the workspaces from the source item; all other Navigator items have undefined workspaces.</w:t>
      </w:r>
    </w:p>
    <w:p>
      <w:pPr>
        <w:spacing w:after="0" w:line="213" w:lineRule="auto"/>
        <w:sectPr>
          <w:footerReference w:type="default" r:id="rId359"/>
          <w:footerReference w:type="even" r:id="rId360"/>
          <w:pgSz w:w="12240" w:h="15840"/>
          <w:pgMar w:header="0" w:footer="736" w:top="1140" w:bottom="920" w:left="1000" w:right="1060"/>
          <w:pgNumType w:start="235"/>
        </w:sectPr>
      </w:pPr>
    </w:p>
    <w:p>
      <w:pPr>
        <w:pStyle w:val="BodyText"/>
        <w:spacing w:line="213" w:lineRule="auto" w:before="85"/>
        <w:ind w:left="2232" w:right="511"/>
      </w:pPr>
      <w:bookmarkStart w:name="_bookmark169" w:id="371"/>
      <w:bookmarkEnd w:id="371"/>
      <w:r>
        <w:rPr/>
      </w:r>
      <w:r>
        <w:rPr>
          <w:rFonts w:ascii="Book Antiqua"/>
          <w:b/>
          <w:color w:val="231F20"/>
        </w:rPr>
        <w:t>Note:</w:t>
      </w:r>
      <w:r>
        <w:rPr>
          <w:rFonts w:ascii="Book Antiqua"/>
          <w:b/>
          <w:color w:val="231F20"/>
          <w:spacing w:val="40"/>
        </w:rPr>
        <w:t> </w:t>
      </w:r>
      <w:r>
        <w:rPr>
          <w:color w:val="231F20"/>
        </w:rPr>
        <w:t>In</w:t>
      </w:r>
      <w:r>
        <w:rPr>
          <w:color w:val="231F20"/>
          <w:spacing w:val="26"/>
        </w:rPr>
        <w:t> </w:t>
      </w:r>
      <w:r>
        <w:rPr>
          <w:color w:val="231F20"/>
        </w:rPr>
        <w:t>the</w:t>
      </w:r>
      <w:r>
        <w:rPr>
          <w:color w:val="231F20"/>
          <w:spacing w:val="26"/>
        </w:rPr>
        <w:t> </w:t>
      </w:r>
      <w:r>
        <w:rPr>
          <w:color w:val="231F20"/>
        </w:rPr>
        <w:t>Navigator</w:t>
      </w:r>
      <w:r>
        <w:rPr>
          <w:color w:val="231F20"/>
          <w:spacing w:val="26"/>
        </w:rPr>
        <w:t> </w:t>
      </w:r>
      <w:r>
        <w:rPr>
          <w:color w:val="231F20"/>
        </w:rPr>
        <w:t>Physical</w:t>
      </w:r>
      <w:r>
        <w:rPr>
          <w:color w:val="231F20"/>
          <w:spacing w:val="26"/>
        </w:rPr>
        <w:t> </w:t>
      </w:r>
      <w:r>
        <w:rPr>
          <w:color w:val="231F20"/>
        </w:rPr>
        <w:t>view,</w:t>
      </w:r>
      <w:r>
        <w:rPr>
          <w:color w:val="231F20"/>
          <w:spacing w:val="26"/>
        </w:rPr>
        <w:t> </w:t>
      </w: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indicates</w:t>
      </w:r>
      <w:r>
        <w:rPr>
          <w:color w:val="231F20"/>
          <w:spacing w:val="26"/>
        </w:rPr>
        <w:t> </w:t>
      </w:r>
      <w:r>
        <w:rPr>
          <w:color w:val="231F20"/>
        </w:rPr>
        <w:t>an</w:t>
      </w:r>
      <w:r>
        <w:rPr>
          <w:color w:val="231F20"/>
          <w:spacing w:val="26"/>
        </w:rPr>
        <w:t> </w:t>
      </w:r>
      <w:r>
        <w:rPr>
          <w:color w:val="231F20"/>
        </w:rPr>
        <w:t>agent has gone offline by dimming the agent branch for that system. This indication</w:t>
      </w:r>
      <w:r>
        <w:rPr>
          <w:color w:val="231F20"/>
          <w:spacing w:val="80"/>
          <w:w w:val="150"/>
        </w:rPr>
        <w:t> </w:t>
      </w:r>
      <w:r>
        <w:rPr>
          <w:color w:val="231F20"/>
        </w:rPr>
        <w:t>occurs in custom Navigator views as well. However, if you share an attribute-level item from the Navigator Physical view with a custom view without sharing its</w:t>
      </w:r>
      <w:r>
        <w:rPr>
          <w:color w:val="231F20"/>
          <w:spacing w:val="40"/>
        </w:rPr>
        <w:t> </w:t>
      </w:r>
      <w:r>
        <w:rPr>
          <w:color w:val="231F20"/>
        </w:rPr>
        <w:t>parent agent-level item, you receive no indication when the agent is offline: The attribute item appears normal but when you open its workspace, any chart or </w:t>
      </w:r>
      <w:r>
        <w:rPr>
          <w:color w:val="231F20"/>
        </w:rPr>
        <w:t>table views show no information.</w:t>
      </w:r>
    </w:p>
    <w:p>
      <w:pPr>
        <w:pStyle w:val="Heading4"/>
        <w:spacing w:before="196"/>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62"/>
        <w:ind w:left="2448" w:right="603" w:hanging="216"/>
      </w:pPr>
      <w:r>
        <w:rPr>
          <w:rFonts w:ascii="Futura MdCn BT"/>
          <w:color w:val="231F20"/>
        </w:rPr>
        <w:t>v</w:t>
      </w:r>
      <w:r>
        <w:rPr>
          <w:rFonts w:ascii="Futura MdCn BT"/>
          <w:color w:val="231F20"/>
          <w:spacing w:val="80"/>
        </w:rPr>
        <w:t> </w:t>
      </w:r>
      <w:r>
        <w:rPr>
          <w:color w:val="231F20"/>
        </w:rPr>
        <w:t>Open the new Navigator view and review the items to confirm that they reflect</w:t>
      </w:r>
      <w:r>
        <w:rPr>
          <w:color w:val="231F20"/>
          <w:spacing w:val="40"/>
        </w:rPr>
        <w:t> </w:t>
      </w:r>
      <w:r>
        <w:rPr>
          <w:color w:val="231F20"/>
        </w:rPr>
        <w:t>the managed system and dynamic member assignments that you created.</w:t>
      </w:r>
    </w:p>
    <w:p>
      <w:pPr>
        <w:pStyle w:val="BodyText"/>
        <w:spacing w:before="35"/>
        <w:ind w:left="2232"/>
      </w:pPr>
      <w:r>
        <w:rPr>
          <w:rFonts w:ascii="Futura MdCn BT"/>
          <w:color w:val="231F20"/>
        </w:rPr>
        <w:t>v</w:t>
      </w:r>
      <w:r>
        <w:rPr>
          <w:rFonts w:ascii="Futura MdCn BT"/>
          <w:color w:val="231F20"/>
          <w:spacing w:val="30"/>
        </w:rPr>
        <w:t>  </w:t>
      </w:r>
      <w:r>
        <w:rPr>
          <w:color w:val="231F20"/>
        </w:rPr>
        <w:t>Create</w:t>
      </w:r>
      <w:r>
        <w:rPr>
          <w:color w:val="231F20"/>
          <w:spacing w:val="12"/>
        </w:rPr>
        <w:t> </w:t>
      </w:r>
      <w:r>
        <w:rPr>
          <w:color w:val="231F20"/>
        </w:rPr>
        <w:t>workspaces</w:t>
      </w:r>
      <w:r>
        <w:rPr>
          <w:color w:val="231F20"/>
          <w:spacing w:val="11"/>
        </w:rPr>
        <w:t> </w:t>
      </w:r>
      <w:r>
        <w:rPr>
          <w:color w:val="231F20"/>
        </w:rPr>
        <w:t>for</w:t>
      </w:r>
      <w:r>
        <w:rPr>
          <w:color w:val="231F20"/>
          <w:spacing w:val="11"/>
        </w:rPr>
        <w:t> </w:t>
      </w:r>
      <w:r>
        <w:rPr>
          <w:color w:val="231F20"/>
        </w:rPr>
        <w:t>Navigator</w:t>
      </w:r>
      <w:r>
        <w:rPr>
          <w:color w:val="231F20"/>
          <w:spacing w:val="11"/>
        </w:rPr>
        <w:t> </w:t>
      </w:r>
      <w:r>
        <w:rPr>
          <w:color w:val="231F20"/>
        </w:rPr>
        <w:t>items</w:t>
      </w:r>
      <w:r>
        <w:rPr>
          <w:color w:val="231F20"/>
          <w:spacing w:val="12"/>
        </w:rPr>
        <w:t> </w:t>
      </w:r>
      <w:r>
        <w:rPr>
          <w:color w:val="231F20"/>
        </w:rPr>
        <w:t>that</w:t>
      </w:r>
      <w:r>
        <w:rPr>
          <w:color w:val="231F20"/>
          <w:spacing w:val="11"/>
        </w:rPr>
        <w:t> </w:t>
      </w:r>
      <w:r>
        <w:rPr>
          <w:color w:val="231F20"/>
        </w:rPr>
        <w:t>have</w:t>
      </w:r>
      <w:r>
        <w:rPr>
          <w:color w:val="231F20"/>
          <w:spacing w:val="11"/>
        </w:rPr>
        <w:t> </w:t>
      </w:r>
      <w:r>
        <w:rPr>
          <w:color w:val="231F20"/>
        </w:rPr>
        <w:t>none</w:t>
      </w:r>
      <w:r>
        <w:rPr>
          <w:color w:val="231F20"/>
          <w:spacing w:val="11"/>
        </w:rPr>
        <w:t> </w:t>
      </w:r>
      <w:r>
        <w:rPr>
          <w:color w:val="231F20"/>
          <w:spacing w:val="-2"/>
        </w:rPr>
        <w:t>defined.</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If</w:t>
      </w:r>
      <w:r>
        <w:rPr>
          <w:color w:val="231F20"/>
          <w:spacing w:val="20"/>
        </w:rPr>
        <w:t> </w:t>
      </w:r>
      <w:r>
        <w:rPr>
          <w:color w:val="231F20"/>
        </w:rPr>
        <w:t>you</w:t>
      </w:r>
      <w:r>
        <w:rPr>
          <w:color w:val="231F20"/>
          <w:spacing w:val="20"/>
        </w:rPr>
        <w:t> </w:t>
      </w:r>
      <w:r>
        <w:rPr>
          <w:color w:val="231F20"/>
        </w:rPr>
        <w:t>want</w:t>
      </w:r>
      <w:r>
        <w:rPr>
          <w:color w:val="231F20"/>
          <w:spacing w:val="20"/>
        </w:rPr>
        <w:t> </w:t>
      </w:r>
      <w:r>
        <w:rPr>
          <w:color w:val="231F20"/>
        </w:rPr>
        <w:t>the</w:t>
      </w:r>
      <w:r>
        <w:rPr>
          <w:color w:val="231F20"/>
          <w:spacing w:val="20"/>
        </w:rPr>
        <w:t> </w:t>
      </w:r>
      <w:r>
        <w:rPr>
          <w:color w:val="231F20"/>
        </w:rPr>
        <w:t>new</w:t>
      </w:r>
      <w:r>
        <w:rPr>
          <w:color w:val="231F20"/>
          <w:spacing w:val="20"/>
        </w:rPr>
        <w:t> </w:t>
      </w:r>
      <w:r>
        <w:rPr>
          <w:color w:val="231F20"/>
        </w:rPr>
        <w:t>Navigator</w:t>
      </w:r>
      <w:r>
        <w:rPr>
          <w:color w:val="231F20"/>
          <w:spacing w:val="20"/>
        </w:rPr>
        <w:t> </w:t>
      </w:r>
      <w:r>
        <w:rPr>
          <w:color w:val="231F20"/>
        </w:rPr>
        <w:t>view</w:t>
      </w:r>
      <w:r>
        <w:rPr>
          <w:color w:val="231F20"/>
          <w:spacing w:val="20"/>
        </w:rPr>
        <w:t> </w:t>
      </w:r>
      <w:r>
        <w:rPr>
          <w:color w:val="231F20"/>
        </w:rPr>
        <w:t>to</w:t>
      </w:r>
      <w:r>
        <w:rPr>
          <w:color w:val="231F20"/>
          <w:spacing w:val="20"/>
        </w:rPr>
        <w:t> </w:t>
      </w:r>
      <w:r>
        <w:rPr>
          <w:color w:val="231F20"/>
        </w:rPr>
        <w:t>be</w:t>
      </w:r>
      <w:r>
        <w:rPr>
          <w:color w:val="231F20"/>
          <w:spacing w:val="20"/>
        </w:rPr>
        <w:t> </w:t>
      </w:r>
      <w:r>
        <w:rPr>
          <w:color w:val="231F20"/>
        </w:rPr>
        <w:t>available</w:t>
      </w:r>
      <w:r>
        <w:rPr>
          <w:color w:val="231F20"/>
          <w:spacing w:val="20"/>
        </w:rPr>
        <w:t> </w:t>
      </w:r>
      <w:r>
        <w:rPr>
          <w:color w:val="231F20"/>
        </w:rPr>
        <w:t>to</w:t>
      </w:r>
      <w:r>
        <w:rPr>
          <w:color w:val="231F20"/>
          <w:spacing w:val="20"/>
        </w:rPr>
        <w:t> </w:t>
      </w:r>
      <w:r>
        <w:rPr>
          <w:color w:val="231F20"/>
        </w:rPr>
        <w:t>other</w:t>
      </w:r>
      <w:r>
        <w:rPr>
          <w:color w:val="231F20"/>
          <w:spacing w:val="20"/>
        </w:rPr>
        <w:t> </w:t>
      </w:r>
      <w:r>
        <w:rPr>
          <w:color w:val="231F20"/>
        </w:rPr>
        <w:t>users,</w:t>
      </w:r>
      <w:r>
        <w:rPr>
          <w:color w:val="231F20"/>
          <w:spacing w:val="20"/>
        </w:rPr>
        <w:t> </w:t>
      </w:r>
      <w:r>
        <w:rPr>
          <w:color w:val="231F20"/>
        </w:rPr>
        <w:t>assign</w:t>
      </w:r>
      <w:r>
        <w:rPr>
          <w:color w:val="231F20"/>
          <w:spacing w:val="20"/>
        </w:rPr>
        <w:t> </w:t>
      </w:r>
      <w:r>
        <w:rPr>
          <w:color w:val="231F20"/>
        </w:rPr>
        <w:t>it</w:t>
      </w:r>
      <w:r>
        <w:rPr>
          <w:color w:val="231F20"/>
          <w:spacing w:val="20"/>
        </w:rPr>
        <w:t> </w:t>
      </w:r>
      <w:r>
        <w:rPr>
          <w:color w:val="231F20"/>
        </w:rPr>
        <w:t>in the Navigator views tab of the Administer Users window. You can also assign a user to a specific branch in the Navigator, called the </w:t>
      </w:r>
      <w:r>
        <w:rPr>
          <w:rFonts w:ascii="Book Antiqua"/>
          <w:i/>
          <w:color w:val="231F20"/>
        </w:rPr>
        <w:t>Assigned Root</w:t>
      </w:r>
      <w:r>
        <w:rPr>
          <w:color w:val="231F20"/>
        </w:rPr>
        <w:t>, or grant the user access to a specific set of agents, called </w:t>
      </w:r>
      <w:r>
        <w:rPr>
          <w:rFonts w:ascii="Book Antiqua"/>
          <w:i/>
          <w:color w:val="231F20"/>
        </w:rPr>
        <w:t>Allowed Applications</w:t>
      </w:r>
      <w:r>
        <w:rPr>
          <w:color w:val="231F20"/>
        </w:rPr>
        <w:t>.</w:t>
      </w:r>
    </w:p>
    <w:p>
      <w:pPr>
        <w:pStyle w:val="BodyText"/>
        <w:spacing w:line="213" w:lineRule="auto" w:before="57"/>
        <w:ind w:left="2448" w:right="493" w:hanging="216"/>
      </w:pPr>
      <w:r>
        <w:rPr>
          <w:rFonts w:ascii="Futura MdCn BT"/>
          <w:color w:val="231F20"/>
        </w:rPr>
        <w:t>v</w:t>
      </w:r>
      <w:r>
        <w:rPr>
          <w:rFonts w:ascii="Futura MdCn BT"/>
          <w:color w:val="231F20"/>
          <w:spacing w:val="80"/>
        </w:rPr>
        <w:t> </w:t>
      </w:r>
      <w:r>
        <w:rPr>
          <w:color w:val="231F20"/>
        </w:rPr>
        <w:t>For items that are not shared, alert indicators for situation events do not automatically show on the Navigator item for every assigned managed system that also has a situation distributed to it. If you want alert indicators, you </w:t>
      </w:r>
      <w:r>
        <w:rPr>
          <w:color w:val="231F20"/>
        </w:rPr>
        <w:t>must</w:t>
      </w:r>
      <w:r>
        <w:rPr>
          <w:color w:val="231F20"/>
        </w:rPr>
        <w:t> associate the situation with a Navigator item.</w:t>
      </w:r>
    </w:p>
    <w:p>
      <w:pPr>
        <w:pStyle w:val="BodyText"/>
        <w:spacing w:line="213" w:lineRule="auto" w:before="57"/>
        <w:ind w:left="2448" w:right="603" w:hanging="216"/>
      </w:pPr>
      <w:r>
        <w:rPr>
          <w:rFonts w:ascii="Futura MdCn BT"/>
          <w:color w:val="231F20"/>
        </w:rPr>
        <w:t>v</w:t>
      </w:r>
      <w:r>
        <w:rPr>
          <w:rFonts w:ascii="Futura MdCn BT"/>
          <w:color w:val="231F20"/>
          <w:spacing w:val="80"/>
        </w:rPr>
        <w:t> </w:t>
      </w:r>
      <w:r>
        <w:rPr>
          <w:color w:val="231F20"/>
        </w:rPr>
        <w:t>For items with static managed system assignments, any new managed </w:t>
      </w:r>
      <w:r>
        <w:rPr>
          <w:color w:val="231F20"/>
        </w:rPr>
        <w:t>systems</w:t>
      </w:r>
      <w:r>
        <w:rPr>
          <w:color w:val="231F20"/>
        </w:rPr>
        <w:t> that come online that you want in the view must be added through the Navigator item properties or by dragging and dropping from the Navigator Physical view to the target view in the Navigator editor.</w:t>
      </w:r>
    </w:p>
    <w:p>
      <w:pPr>
        <w:pStyle w:val="Heading6"/>
        <w:spacing w:line="240" w:lineRule="auto" w:before="34"/>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169">
        <w:r>
          <w:rPr>
            <w:color w:val="231F20"/>
          </w:rPr>
          <w:t>“Adding</w:t>
        </w:r>
        <w:r>
          <w:rPr>
            <w:color w:val="231F20"/>
            <w:spacing w:val="11"/>
          </w:rPr>
          <w:t> </w:t>
        </w:r>
        <w:r>
          <w:rPr>
            <w:color w:val="231F20"/>
          </w:rPr>
          <w:t>a</w:t>
        </w:r>
        <w:r>
          <w:rPr>
            <w:color w:val="231F20"/>
            <w:spacing w:val="12"/>
          </w:rPr>
          <w:t> </w:t>
        </w:r>
        <w:r>
          <w:rPr>
            <w:color w:val="231F20"/>
          </w:rPr>
          <w:t>child</w:t>
        </w:r>
        <w:r>
          <w:rPr>
            <w:color w:val="231F20"/>
            <w:spacing w:val="11"/>
          </w:rPr>
          <w:t> </w:t>
        </w:r>
        <w:r>
          <w:rPr>
            <w:color w:val="231F20"/>
            <w:spacing w:val="-2"/>
          </w:rPr>
          <w:t>item”</w:t>
        </w:r>
      </w:hyperlink>
    </w:p>
    <w:p>
      <w:pPr>
        <w:pStyle w:val="BodyText"/>
        <w:spacing w:line="213" w:lineRule="auto" w:before="8"/>
        <w:ind w:left="2232" w:right="545"/>
      </w:pPr>
      <w:r>
        <w:rPr>
          <w:color w:val="231F20"/>
        </w:rPr>
        <w:t>Use </w:t>
      </w:r>
      <w:r>
        <w:rPr>
          <w:color w:val="231F20"/>
          <w:spacing w:val="-24"/>
          <w:position w:val="-1"/>
        </w:rPr>
        <w:drawing>
          <wp:inline distT="0" distB="0" distL="0" distR="0">
            <wp:extent cx="95250" cy="95250"/>
            <wp:effectExtent l="0" t="0" r="0" b="0"/>
            <wp:docPr id="2000" name="Image 2000"/>
            <wp:cNvGraphicFramePr>
              <a:graphicFrameLocks/>
            </wp:cNvGraphicFramePr>
            <a:graphic>
              <a:graphicData uri="http://schemas.openxmlformats.org/drawingml/2006/picture">
                <pic:pic>
                  <pic:nvPicPr>
                    <pic:cNvPr id="2000" name="Image 2000"/>
                    <pic:cNvPicPr/>
                  </pic:nvPicPr>
                  <pic:blipFill>
                    <a:blip r:embed="rId35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9"/>
        </w:rPr>
        <w:t> </w:t>
      </w:r>
      <w:r>
        <w:rPr>
          <w:rFonts w:ascii="Book Antiqua"/>
          <w:b/>
          <w:color w:val="231F20"/>
        </w:rPr>
        <w:t>Create Child Item </w:t>
      </w:r>
      <w:r>
        <w:rPr>
          <w:color w:val="231F20"/>
        </w:rPr>
        <w:t>in the Navigator editor to add a Navigator item </w:t>
      </w:r>
      <w:r>
        <w:rPr>
          <w:color w:val="231F20"/>
        </w:rPr>
        <w:t>within the selected branch of the custom Navigator view.</w:t>
      </w:r>
    </w:p>
    <w:p>
      <w:pPr>
        <w:pStyle w:val="BodyText"/>
        <w:spacing w:line="255" w:lineRule="exact" w:before="35"/>
        <w:ind w:left="2232"/>
      </w:pPr>
      <w:hyperlink w:history="true" w:anchor="_bookmark172">
        <w:r>
          <w:rPr>
            <w:color w:val="231F20"/>
          </w:rPr>
          <w:t>“Editing</w:t>
        </w:r>
        <w:r>
          <w:rPr>
            <w:color w:val="231F20"/>
            <w:spacing w:val="9"/>
          </w:rPr>
          <w:t> </w:t>
        </w:r>
        <w:r>
          <w:rPr>
            <w:color w:val="231F20"/>
          </w:rPr>
          <w:t>Navigator</w:t>
        </w:r>
        <w:r>
          <w:rPr>
            <w:color w:val="231F20"/>
            <w:spacing w:val="9"/>
          </w:rPr>
          <w:t> </w:t>
        </w:r>
        <w:r>
          <w:rPr>
            <w:color w:val="231F20"/>
          </w:rPr>
          <w:t>item</w:t>
        </w:r>
        <w:r>
          <w:rPr>
            <w:color w:val="231F20"/>
            <w:spacing w:val="9"/>
          </w:rPr>
          <w:t> </w:t>
        </w:r>
        <w:r>
          <w:rPr>
            <w:color w:val="231F20"/>
          </w:rPr>
          <w:t>properties”</w:t>
        </w:r>
        <w:r>
          <w:rPr>
            <w:color w:val="231F20"/>
            <w:spacing w:val="9"/>
          </w:rPr>
          <w:t> </w:t>
        </w:r>
        <w:r>
          <w:rPr>
            <w:color w:val="231F20"/>
          </w:rPr>
          <w:t>on</w:t>
        </w:r>
        <w:r>
          <w:rPr>
            <w:color w:val="231F20"/>
            <w:spacing w:val="9"/>
          </w:rPr>
          <w:t> </w:t>
        </w:r>
        <w:r>
          <w:rPr>
            <w:color w:val="231F20"/>
          </w:rPr>
          <w:t>page</w:t>
        </w:r>
        <w:r>
          <w:rPr>
            <w:color w:val="231F20"/>
            <w:spacing w:val="9"/>
          </w:rPr>
          <w:t> </w:t>
        </w:r>
        <w:r>
          <w:rPr>
            <w:color w:val="231F20"/>
            <w:spacing w:val="-5"/>
          </w:rPr>
          <w:t>239</w:t>
        </w:r>
      </w:hyperlink>
    </w:p>
    <w:p>
      <w:pPr>
        <w:pStyle w:val="BodyText"/>
        <w:spacing w:line="213" w:lineRule="auto" w:before="8"/>
        <w:ind w:left="2232" w:right="493"/>
      </w:pPr>
      <w:r>
        <w:rPr>
          <w:color w:val="231F20"/>
        </w:rPr>
        <w:t>Open the Navigator item properties to see and edit the name, description, </w:t>
      </w:r>
      <w:r>
        <w:rPr>
          <w:color w:val="231F20"/>
        </w:rPr>
        <w:t>and managed system assignments.</w:t>
      </w:r>
    </w:p>
    <w:p>
      <w:pPr>
        <w:pStyle w:val="BodyText"/>
        <w:spacing w:line="255" w:lineRule="exact" w:before="35"/>
        <w:ind w:left="2232"/>
      </w:pPr>
      <w:hyperlink w:history="true" w:anchor="_bookmark174">
        <w:r>
          <w:rPr>
            <w:color w:val="231F20"/>
          </w:rPr>
          <w:t>“Deleting</w:t>
        </w:r>
        <w:r>
          <w:rPr>
            <w:color w:val="231F20"/>
            <w:spacing w:val="11"/>
          </w:rPr>
          <w:t> </w:t>
        </w:r>
        <w:r>
          <w:rPr>
            <w:color w:val="231F20"/>
          </w:rPr>
          <w:t>a</w:t>
        </w:r>
        <w:r>
          <w:rPr>
            <w:color w:val="231F20"/>
            <w:spacing w:val="11"/>
          </w:rPr>
          <w:t> </w:t>
        </w:r>
        <w:r>
          <w:rPr>
            <w:color w:val="231F20"/>
          </w:rPr>
          <w:t>Navigator</w:t>
        </w:r>
        <w:r>
          <w:rPr>
            <w:color w:val="231F20"/>
            <w:spacing w:val="12"/>
          </w:rPr>
          <w:t> </w:t>
        </w:r>
        <w:r>
          <w:rPr>
            <w:color w:val="231F20"/>
          </w:rPr>
          <w:t>view</w:t>
        </w:r>
        <w:r>
          <w:rPr>
            <w:color w:val="231F20"/>
            <w:spacing w:val="11"/>
          </w:rPr>
          <w:t> </w:t>
        </w:r>
        <w:r>
          <w:rPr>
            <w:color w:val="231F20"/>
          </w:rPr>
          <w:t>or</w:t>
        </w:r>
        <w:r>
          <w:rPr>
            <w:color w:val="231F20"/>
            <w:spacing w:val="12"/>
          </w:rPr>
          <w:t> </w:t>
        </w:r>
        <w:r>
          <w:rPr>
            <w:color w:val="231F20"/>
          </w:rPr>
          <w:t>item”</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5"/>
          </w:rPr>
          <w:t>240</w:t>
        </w:r>
      </w:hyperlink>
    </w:p>
    <w:p>
      <w:pPr>
        <w:pStyle w:val="BodyText"/>
        <w:spacing w:line="255" w:lineRule="exact"/>
        <w:ind w:left="2232"/>
      </w:pPr>
      <w:r>
        <w:rPr>
          <w:color w:val="231F20"/>
        </w:rPr>
        <w:t>Use</w:t>
      </w:r>
      <w:r>
        <w:rPr>
          <w:color w:val="231F20"/>
          <w:spacing w:val="11"/>
        </w:rPr>
        <w:t> </w:t>
      </w:r>
      <w:r>
        <w:rPr>
          <w:color w:val="231F20"/>
        </w:rPr>
        <w:t>the</w:t>
      </w:r>
      <w:r>
        <w:rPr>
          <w:color w:val="231F20"/>
          <w:spacing w:val="12"/>
        </w:rPr>
        <w:t> </w:t>
      </w:r>
      <w:r>
        <w:rPr>
          <w:color w:val="231F20"/>
        </w:rPr>
        <w:t>Navigator</w:t>
      </w:r>
      <w:r>
        <w:rPr>
          <w:color w:val="231F20"/>
          <w:spacing w:val="12"/>
        </w:rPr>
        <w:t> </w:t>
      </w:r>
      <w:r>
        <w:rPr>
          <w:color w:val="231F20"/>
        </w:rPr>
        <w:t>editor</w:t>
      </w:r>
      <w:r>
        <w:rPr>
          <w:color w:val="231F20"/>
          <w:spacing w:val="11"/>
        </w:rPr>
        <w:t> </w:t>
      </w:r>
      <w:r>
        <w:rPr>
          <w:color w:val="231F20"/>
        </w:rPr>
        <w:t>to</w:t>
      </w:r>
      <w:r>
        <w:rPr>
          <w:color w:val="231F20"/>
          <w:spacing w:val="12"/>
        </w:rPr>
        <w:t> </w:t>
      </w:r>
      <w:r>
        <w:rPr>
          <w:color w:val="231F20"/>
        </w:rPr>
        <w:t>delete</w:t>
      </w:r>
      <w:r>
        <w:rPr>
          <w:color w:val="231F20"/>
          <w:spacing w:val="12"/>
        </w:rPr>
        <w:t> </w:t>
      </w:r>
      <w:r>
        <w:rPr>
          <w:color w:val="231F20"/>
        </w:rPr>
        <w:t>a</w:t>
      </w:r>
      <w:r>
        <w:rPr>
          <w:color w:val="231F20"/>
          <w:spacing w:val="12"/>
        </w:rPr>
        <w:t> </w:t>
      </w:r>
      <w:r>
        <w:rPr>
          <w:color w:val="231F20"/>
        </w:rPr>
        <w:t>Navigator</w:t>
      </w:r>
      <w:r>
        <w:rPr>
          <w:color w:val="231F20"/>
          <w:spacing w:val="11"/>
        </w:rPr>
        <w:t> </w:t>
      </w:r>
      <w:r>
        <w:rPr>
          <w:color w:val="231F20"/>
        </w:rPr>
        <w:t>view</w:t>
      </w:r>
      <w:r>
        <w:rPr>
          <w:color w:val="231F20"/>
          <w:spacing w:val="12"/>
        </w:rPr>
        <w:t> </w:t>
      </w:r>
      <w:r>
        <w:rPr>
          <w:color w:val="231F20"/>
        </w:rPr>
        <w:t>or</w:t>
      </w:r>
      <w:r>
        <w:rPr>
          <w:color w:val="231F20"/>
          <w:spacing w:val="12"/>
        </w:rPr>
        <w:t> </w:t>
      </w:r>
      <w:r>
        <w:rPr>
          <w:color w:val="231F20"/>
        </w:rPr>
        <w:t>any</w:t>
      </w:r>
      <w:r>
        <w:rPr>
          <w:color w:val="231F20"/>
          <w:spacing w:val="11"/>
        </w:rPr>
        <w:t> </w:t>
      </w:r>
      <w:r>
        <w:rPr>
          <w:color w:val="231F20"/>
        </w:rPr>
        <w:t>of</w:t>
      </w:r>
      <w:r>
        <w:rPr>
          <w:color w:val="231F20"/>
          <w:spacing w:val="12"/>
        </w:rPr>
        <w:t> </w:t>
      </w:r>
      <w:r>
        <w:rPr>
          <w:color w:val="231F20"/>
        </w:rPr>
        <w:t>its</w:t>
      </w:r>
      <w:r>
        <w:rPr>
          <w:color w:val="231F20"/>
          <w:spacing w:val="12"/>
        </w:rPr>
        <w:t> </w:t>
      </w:r>
      <w:r>
        <w:rPr>
          <w:color w:val="231F20"/>
        </w:rPr>
        <w:t>Navigator</w:t>
      </w:r>
      <w:r>
        <w:rPr>
          <w:color w:val="231F20"/>
          <w:spacing w:val="12"/>
        </w:rPr>
        <w:t> </w:t>
      </w:r>
      <w:r>
        <w:rPr>
          <w:color w:val="231F20"/>
          <w:spacing w:val="-2"/>
        </w:rPr>
        <w:t>items.</w:t>
      </w:r>
    </w:p>
    <w:p>
      <w:pPr>
        <w:pStyle w:val="BodyText"/>
        <w:spacing w:line="255" w:lineRule="exact" w:before="30"/>
        <w:ind w:left="2232"/>
      </w:pPr>
      <w:hyperlink w:history="true" w:anchor="_bookmark209">
        <w:r>
          <w:rPr>
            <w:color w:val="231F20"/>
          </w:rPr>
          <w:t>“Associating</w:t>
        </w:r>
        <w:r>
          <w:rPr>
            <w:color w:val="231F20"/>
            <w:spacing w:val="10"/>
          </w:rPr>
          <w:t> </w:t>
        </w:r>
        <w:r>
          <w:rPr>
            <w:color w:val="231F20"/>
          </w:rPr>
          <w:t>a</w:t>
        </w:r>
        <w:r>
          <w:rPr>
            <w:color w:val="231F20"/>
            <w:spacing w:val="10"/>
          </w:rPr>
          <w:t> </w:t>
        </w:r>
        <w:r>
          <w:rPr>
            <w:color w:val="231F20"/>
          </w:rPr>
          <w:t>situation”</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283</w:t>
        </w:r>
      </w:hyperlink>
    </w:p>
    <w:p>
      <w:pPr>
        <w:pStyle w:val="BodyText"/>
        <w:spacing w:line="213" w:lineRule="auto" w:before="8"/>
        <w:ind w:left="2232" w:right="763"/>
      </w:pPr>
      <w:r>
        <w:rPr>
          <w:color w:val="231F20"/>
        </w:rPr>
        <w:t>If you access the Situation editor through the toolbar to create situations, no alert will be visible in the Navigator when the situation becomes true until you</w:t>
      </w:r>
      <w:r>
        <w:rPr>
          <w:color w:val="231F20"/>
          <w:spacing w:val="40"/>
        </w:rPr>
        <w:t> </w:t>
      </w:r>
      <w:r>
        <w:rPr>
          <w:color w:val="231F20"/>
        </w:rPr>
        <w:t>associate the situations with a Navigator item.</w:t>
      </w:r>
    </w:p>
    <w:p>
      <w:pPr>
        <w:pStyle w:val="BodyText"/>
        <w:spacing w:before="5"/>
        <w:rPr>
          <w:sz w:val="16"/>
        </w:rPr>
      </w:pPr>
      <w:r>
        <w:rPr/>
        <mc:AlternateContent>
          <mc:Choice Requires="wps">
            <w:drawing>
              <wp:anchor distT="0" distB="0" distL="0" distR="0" allowOverlap="1" layoutInCell="1" locked="0" behindDoc="1" simplePos="0" relativeHeight="487715328">
                <wp:simplePos x="0" y="0"/>
                <wp:positionH relativeFrom="page">
                  <wp:posOffset>760323</wp:posOffset>
                </wp:positionH>
                <wp:positionV relativeFrom="paragraph">
                  <wp:posOffset>155495</wp:posOffset>
                </wp:positionV>
                <wp:extent cx="6082665" cy="1270"/>
                <wp:effectExtent l="0" t="0" r="0" b="0"/>
                <wp:wrapTopAndBottom/>
                <wp:docPr id="2001" name="Graphic 2001"/>
                <wp:cNvGraphicFramePr>
                  <a:graphicFrameLocks/>
                </wp:cNvGraphicFramePr>
                <a:graphic>
                  <a:graphicData uri="http://schemas.microsoft.com/office/word/2010/wordprocessingShape">
                    <wps:wsp>
                      <wps:cNvPr id="2001" name="Graphic 200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4374pt;width:478.95pt;height:.1pt;mso-position-horizontal-relative:page;mso-position-vertical-relative:paragraph;z-index:-15601152;mso-wrap-distance-left:0;mso-wrap-distance-right:0" id="docshape197"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Adding a child item" w:id="372"/>
      <w:bookmarkEnd w:id="372"/>
      <w:r>
        <w:rPr>
          <w:b w:val="0"/>
        </w:rPr>
      </w:r>
      <w:r>
        <w:rPr>
          <w:color w:val="231F20"/>
        </w:rPr>
        <w:t>Adding</w:t>
      </w:r>
      <w:r>
        <w:rPr>
          <w:color w:val="231F20"/>
          <w:spacing w:val="9"/>
        </w:rPr>
        <w:t> </w:t>
      </w:r>
      <w:r>
        <w:rPr>
          <w:color w:val="231F20"/>
        </w:rPr>
        <w:t>a</w:t>
      </w:r>
      <w:r>
        <w:rPr>
          <w:color w:val="231F20"/>
          <w:spacing w:val="9"/>
        </w:rPr>
        <w:t> </w:t>
      </w:r>
      <w:r>
        <w:rPr>
          <w:color w:val="231F20"/>
        </w:rPr>
        <w:t>child</w:t>
      </w:r>
      <w:r>
        <w:rPr>
          <w:color w:val="231F20"/>
          <w:spacing w:val="9"/>
        </w:rPr>
        <w:t> </w:t>
      </w:r>
      <w:r>
        <w:rPr>
          <w:color w:val="231F20"/>
          <w:spacing w:val="-4"/>
        </w:rPr>
        <w:t>item</w:t>
      </w:r>
    </w:p>
    <w:p>
      <w:pPr>
        <w:pStyle w:val="BodyText"/>
        <w:spacing w:line="213" w:lineRule="auto" w:before="138"/>
        <w:ind w:left="2232" w:right="603" w:hanging="1"/>
      </w:pPr>
      <w:r>
        <w:rPr>
          <w:color w:val="231F20"/>
        </w:rPr>
        <w:t>Use </w:t>
      </w:r>
      <w:r>
        <w:rPr>
          <w:color w:val="231F20"/>
          <w:spacing w:val="-24"/>
          <w:position w:val="-1"/>
        </w:rPr>
        <w:drawing>
          <wp:inline distT="0" distB="0" distL="0" distR="0">
            <wp:extent cx="95250" cy="95250"/>
            <wp:effectExtent l="0" t="0" r="0" b="0"/>
            <wp:docPr id="2002" name="Image 2002"/>
            <wp:cNvGraphicFramePr>
              <a:graphicFrameLocks/>
            </wp:cNvGraphicFramePr>
            <a:graphic>
              <a:graphicData uri="http://schemas.openxmlformats.org/drawingml/2006/picture">
                <pic:pic>
                  <pic:nvPicPr>
                    <pic:cNvPr id="2002" name="Image 2002"/>
                    <pic:cNvPicPr/>
                  </pic:nvPicPr>
                  <pic:blipFill>
                    <a:blip r:embed="rId35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9"/>
        </w:rPr>
        <w:t> </w:t>
      </w:r>
      <w:r>
        <w:rPr>
          <w:rFonts w:ascii="Book Antiqua"/>
          <w:b/>
          <w:color w:val="231F20"/>
        </w:rPr>
        <w:t>Create Child Item </w:t>
      </w:r>
      <w:r>
        <w:rPr>
          <w:color w:val="231F20"/>
        </w:rPr>
        <w:t>in the Navigator editor to add a Navigator item </w:t>
      </w:r>
      <w:r>
        <w:rPr>
          <w:color w:val="231F20"/>
        </w:rPr>
        <w:t>within the selected branch of the custom Navigator view.</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Use</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steps</w:t>
      </w:r>
      <w:r>
        <w:rPr>
          <w:color w:val="231F20"/>
          <w:spacing w:val="12"/>
        </w:rPr>
        <w:t> </w:t>
      </w:r>
      <w:r>
        <w:rPr>
          <w:color w:val="231F20"/>
        </w:rPr>
        <w:t>to</w:t>
      </w:r>
      <w:r>
        <w:rPr>
          <w:color w:val="231F20"/>
          <w:spacing w:val="12"/>
        </w:rPr>
        <w:t> </w:t>
      </w:r>
      <w:r>
        <w:rPr>
          <w:color w:val="231F20"/>
        </w:rPr>
        <w:t>add</w:t>
      </w:r>
      <w:r>
        <w:rPr>
          <w:color w:val="231F20"/>
          <w:spacing w:val="12"/>
        </w:rPr>
        <w:t> </w:t>
      </w:r>
      <w:r>
        <w:rPr>
          <w:color w:val="231F20"/>
        </w:rPr>
        <w:t>a</w:t>
      </w:r>
      <w:r>
        <w:rPr>
          <w:color w:val="231F20"/>
          <w:spacing w:val="12"/>
        </w:rPr>
        <w:t> </w:t>
      </w:r>
      <w:r>
        <w:rPr>
          <w:color w:val="231F20"/>
        </w:rPr>
        <w:t>child</w:t>
      </w:r>
      <w:r>
        <w:rPr>
          <w:color w:val="231F20"/>
          <w:spacing w:val="12"/>
        </w:rPr>
        <w:t> </w:t>
      </w:r>
      <w:r>
        <w:rPr>
          <w:color w:val="231F20"/>
        </w:rPr>
        <w:t>item</w:t>
      </w:r>
      <w:r>
        <w:rPr>
          <w:color w:val="231F20"/>
          <w:spacing w:val="12"/>
        </w:rPr>
        <w:t> </w:t>
      </w:r>
      <w:r>
        <w:rPr>
          <w:color w:val="231F20"/>
        </w:rPr>
        <w:t>to</w:t>
      </w:r>
      <w:r>
        <w:rPr>
          <w:color w:val="231F20"/>
          <w:spacing w:val="12"/>
        </w:rPr>
        <w:t> </w:t>
      </w:r>
      <w:r>
        <w:rPr>
          <w:color w:val="231F20"/>
        </w:rPr>
        <w:t>a</w:t>
      </w:r>
      <w:r>
        <w:rPr>
          <w:color w:val="231F20"/>
          <w:spacing w:val="12"/>
        </w:rPr>
        <w:t> </w:t>
      </w:r>
      <w:r>
        <w:rPr>
          <w:color w:val="231F20"/>
        </w:rPr>
        <w:t>custom</w:t>
      </w:r>
      <w:r>
        <w:rPr>
          <w:color w:val="231F20"/>
          <w:spacing w:val="12"/>
        </w:rPr>
        <w:t> </w:t>
      </w:r>
      <w:r>
        <w:rPr>
          <w:color w:val="231F20"/>
        </w:rPr>
        <w:t>Navigator</w:t>
      </w:r>
      <w:r>
        <w:rPr>
          <w:color w:val="231F20"/>
          <w:spacing w:val="12"/>
        </w:rPr>
        <w:t> </w:t>
      </w:r>
      <w:r>
        <w:rPr>
          <w:color w:val="231F20"/>
          <w:spacing w:val="-2"/>
        </w:rPr>
        <w:t>view:</w:t>
      </w:r>
    </w:p>
    <w:p>
      <w:pPr>
        <w:pStyle w:val="Heading4"/>
        <w:spacing w:before="194"/>
      </w:pPr>
      <w:r>
        <w:rPr>
          <w:color w:val="231F20"/>
          <w:spacing w:val="-2"/>
        </w:rPr>
        <w:t>Procedure</w:t>
      </w:r>
    </w:p>
    <w:p>
      <w:pPr>
        <w:pStyle w:val="ListParagraph"/>
        <w:numPr>
          <w:ilvl w:val="0"/>
          <w:numId w:val="108"/>
        </w:numPr>
        <w:tabs>
          <w:tab w:pos="2548" w:val="left" w:leader="none"/>
        </w:tabs>
        <w:spacing w:line="213" w:lineRule="auto" w:before="62" w:after="0"/>
        <w:ind w:left="2548" w:right="1176" w:hanging="316"/>
        <w:jc w:val="left"/>
        <w:rPr>
          <w:sz w:val="20"/>
        </w:rPr>
      </w:pPr>
      <w:r>
        <w:rPr>
          <w:color w:val="231F20"/>
          <w:sz w:val="20"/>
        </w:rPr>
        <w:t>If the Navigator editor is not open, click </w:t>
      </w:r>
      <w:r>
        <w:rPr>
          <w:color w:val="231F20"/>
          <w:spacing w:val="-25"/>
          <w:position w:val="-1"/>
          <w:sz w:val="20"/>
        </w:rPr>
        <w:drawing>
          <wp:inline distT="0" distB="0" distL="0" distR="0">
            <wp:extent cx="95250" cy="101600"/>
            <wp:effectExtent l="0" t="0" r="0" b="0"/>
            <wp:docPr id="2003" name="Image 2003"/>
            <wp:cNvGraphicFramePr>
              <a:graphicFrameLocks/>
            </wp:cNvGraphicFramePr>
            <a:graphic>
              <a:graphicData uri="http://schemas.openxmlformats.org/drawingml/2006/picture">
                <pic:pic>
                  <pic:nvPicPr>
                    <pic:cNvPr id="2003" name="Image 200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8"/>
          <w:sz w:val="20"/>
        </w:rPr>
        <w:t> </w:t>
      </w:r>
      <w:r>
        <w:rPr>
          <w:rFonts w:ascii="Book Antiqua"/>
          <w:b/>
          <w:color w:val="231F20"/>
          <w:sz w:val="20"/>
        </w:rPr>
        <w:t>Edit Navigator View </w:t>
      </w:r>
      <w:r>
        <w:rPr>
          <w:color w:val="231F20"/>
          <w:sz w:val="20"/>
        </w:rPr>
        <w:t>in </w:t>
      </w:r>
      <w:r>
        <w:rPr>
          <w:color w:val="231F20"/>
          <w:sz w:val="20"/>
        </w:rPr>
        <w:t>the Navigator toolbar.</w:t>
      </w:r>
    </w:p>
    <w:p>
      <w:pPr>
        <w:pStyle w:val="ListParagraph"/>
        <w:numPr>
          <w:ilvl w:val="0"/>
          <w:numId w:val="108"/>
        </w:numPr>
        <w:tabs>
          <w:tab w:pos="2548" w:val="left" w:leader="none"/>
        </w:tabs>
        <w:spacing w:line="213" w:lineRule="auto" w:before="58" w:after="0"/>
        <w:ind w:left="2548" w:right="812" w:hanging="316"/>
        <w:jc w:val="left"/>
        <w:rPr>
          <w:sz w:val="20"/>
        </w:rPr>
      </w:pPr>
      <w:r>
        <w:rPr>
          <w:color w:val="231F20"/>
          <w:sz w:val="20"/>
        </w:rPr>
        <w:t>If the Navigator view that you want to work with is not displayed, select it</w:t>
      </w:r>
      <w:r>
        <w:rPr>
          <w:color w:val="231F20"/>
          <w:spacing w:val="40"/>
          <w:sz w:val="20"/>
        </w:rPr>
        <w:t> </w:t>
      </w:r>
      <w:r>
        <w:rPr>
          <w:color w:val="231F20"/>
          <w:sz w:val="20"/>
        </w:rPr>
        <w:t>from the </w:t>
      </w:r>
      <w:r>
        <w:rPr>
          <w:rFonts w:ascii="Book Antiqua"/>
          <w:b/>
          <w:color w:val="231F20"/>
          <w:sz w:val="20"/>
        </w:rPr>
        <w:t>Target View </w:t>
      </w:r>
      <w:r>
        <w:rPr>
          <w:rFonts w:ascii="Book Antiqua"/>
          <w:b/>
          <w:color w:val="231F20"/>
          <w:spacing w:val="16"/>
          <w:position w:val="-1"/>
          <w:sz w:val="20"/>
        </w:rPr>
        <w:drawing>
          <wp:inline distT="0" distB="0" distL="0" distR="0">
            <wp:extent cx="101600" cy="101600"/>
            <wp:effectExtent l="0" t="0" r="0" b="0"/>
            <wp:docPr id="2004" name="Image 2004"/>
            <wp:cNvGraphicFramePr>
              <a:graphicFrameLocks/>
            </wp:cNvGraphicFramePr>
            <a:graphic>
              <a:graphicData uri="http://schemas.openxmlformats.org/drawingml/2006/picture">
                <pic:pic>
                  <pic:nvPicPr>
                    <pic:cNvPr id="2004" name="Image 2004"/>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16"/>
          <w:sz w:val="20"/>
        </w:rPr>
        <w:t> </w:t>
      </w:r>
      <w:r>
        <w:rPr>
          <w:color w:val="231F20"/>
          <w:sz w:val="20"/>
        </w:rPr>
        <w:t>list.</w:t>
      </w:r>
    </w:p>
    <w:p>
      <w:pPr>
        <w:spacing w:after="0" w:line="213" w:lineRule="auto"/>
        <w:jc w:val="left"/>
        <w:rPr>
          <w:sz w:val="20"/>
        </w:rPr>
        <w:sectPr>
          <w:pgSz w:w="12240" w:h="15840"/>
          <w:pgMar w:header="0" w:footer="736" w:top="1180" w:bottom="920" w:left="1000" w:right="1060"/>
        </w:sectPr>
      </w:pPr>
    </w:p>
    <w:p>
      <w:pPr>
        <w:pStyle w:val="ListParagraph"/>
        <w:numPr>
          <w:ilvl w:val="0"/>
          <w:numId w:val="108"/>
        </w:numPr>
        <w:tabs>
          <w:tab w:pos="2788" w:val="left" w:leader="none"/>
        </w:tabs>
        <w:spacing w:line="213" w:lineRule="auto" w:before="85" w:after="0"/>
        <w:ind w:left="2788" w:right="234" w:hanging="316"/>
        <w:jc w:val="left"/>
        <w:rPr>
          <w:sz w:val="20"/>
        </w:rPr>
      </w:pPr>
      <w:bookmarkStart w:name="_bookmark170" w:id="373"/>
      <w:bookmarkEnd w:id="373"/>
      <w:r>
        <w:rPr/>
      </w:r>
      <w:r>
        <w:rPr>
          <w:color w:val="231F20"/>
          <w:sz w:val="20"/>
        </w:rPr>
        <w:t>Select the parent item in the target view. The item has a border around it when</w:t>
      </w:r>
      <w:r>
        <w:rPr>
          <w:color w:val="231F20"/>
          <w:spacing w:val="80"/>
          <w:sz w:val="20"/>
        </w:rPr>
        <w:t> </w:t>
      </w:r>
      <w:r>
        <w:rPr>
          <w:color w:val="231F20"/>
          <w:sz w:val="20"/>
        </w:rPr>
        <w:t>it is selected.</w:t>
      </w:r>
    </w:p>
    <w:p>
      <w:pPr>
        <w:pStyle w:val="ListParagraph"/>
        <w:numPr>
          <w:ilvl w:val="0"/>
          <w:numId w:val="108"/>
        </w:numPr>
        <w:tabs>
          <w:tab w:pos="2787" w:val="left" w:leader="none"/>
        </w:tabs>
        <w:spacing w:line="240" w:lineRule="auto" w:before="35" w:after="0"/>
        <w:ind w:left="2787" w:right="0" w:hanging="315"/>
        <w:jc w:val="left"/>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95250"/>
            <wp:effectExtent l="0" t="0" r="0" b="0"/>
            <wp:docPr id="2005" name="Image 2005"/>
            <wp:cNvGraphicFramePr>
              <a:graphicFrameLocks/>
            </wp:cNvGraphicFramePr>
            <a:graphic>
              <a:graphicData uri="http://schemas.openxmlformats.org/drawingml/2006/picture">
                <pic:pic>
                  <pic:nvPicPr>
                    <pic:cNvPr id="2005" name="Image 2005"/>
                    <pic:cNvPicPr/>
                  </pic:nvPicPr>
                  <pic:blipFill>
                    <a:blip r:embed="rId35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Create</w:t>
      </w:r>
      <w:r>
        <w:rPr>
          <w:rFonts w:ascii="Book Antiqua"/>
          <w:b/>
          <w:color w:val="231F20"/>
          <w:spacing w:val="13"/>
          <w:sz w:val="20"/>
        </w:rPr>
        <w:t> </w:t>
      </w:r>
      <w:r>
        <w:rPr>
          <w:rFonts w:ascii="Book Antiqua"/>
          <w:b/>
          <w:color w:val="231F20"/>
          <w:sz w:val="20"/>
        </w:rPr>
        <w:t>Child</w:t>
      </w:r>
      <w:r>
        <w:rPr>
          <w:rFonts w:ascii="Book Antiqua"/>
          <w:b/>
          <w:color w:val="231F20"/>
          <w:spacing w:val="13"/>
          <w:sz w:val="20"/>
        </w:rPr>
        <w:t> </w:t>
      </w:r>
      <w:r>
        <w:rPr>
          <w:rFonts w:ascii="Book Antiqua"/>
          <w:b/>
          <w:color w:val="231F20"/>
          <w:spacing w:val="-4"/>
          <w:sz w:val="20"/>
        </w:rPr>
        <w:t>Item</w:t>
      </w:r>
      <w:r>
        <w:rPr>
          <w:color w:val="231F20"/>
          <w:spacing w:val="-4"/>
          <w:sz w:val="20"/>
        </w:rPr>
        <w:t>.</w:t>
      </w:r>
    </w:p>
    <w:p>
      <w:pPr>
        <w:pStyle w:val="ListParagraph"/>
        <w:numPr>
          <w:ilvl w:val="0"/>
          <w:numId w:val="108"/>
        </w:numPr>
        <w:tabs>
          <w:tab w:pos="2788" w:val="left" w:leader="none"/>
        </w:tabs>
        <w:spacing w:line="213" w:lineRule="auto" w:before="53" w:after="0"/>
        <w:ind w:left="2788" w:right="490" w:hanging="316"/>
        <w:jc w:val="left"/>
        <w:rPr>
          <w:sz w:val="20"/>
        </w:rPr>
      </w:pPr>
      <w:r>
        <w:rPr>
          <w:color w:val="231F20"/>
          <w:sz w:val="20"/>
        </w:rPr>
        <w:t>In the Create New Navigator Item window, type a name and description for the item. The name is displayed in the Navigator view; the description is displayed only in this window.</w:t>
      </w:r>
    </w:p>
    <w:p>
      <w:pPr>
        <w:pStyle w:val="ListParagraph"/>
        <w:numPr>
          <w:ilvl w:val="0"/>
          <w:numId w:val="108"/>
        </w:numPr>
        <w:tabs>
          <w:tab w:pos="2788" w:val="left" w:leader="none"/>
        </w:tabs>
        <w:spacing w:line="213" w:lineRule="auto" w:before="58" w:after="0"/>
        <w:ind w:left="2788" w:right="300" w:hanging="316"/>
        <w:jc w:val="left"/>
        <w:rPr>
          <w:sz w:val="20"/>
        </w:rPr>
      </w:pPr>
      <w:r>
        <w:rPr>
          <w:color w:val="231F20"/>
          <w:sz w:val="20"/>
        </w:rPr>
        <w:t>Make static or dynamic managed system assignments: Select the managed systems or managed system groups whose situations you want to associate</w:t>
      </w:r>
      <w:r>
        <w:rPr>
          <w:color w:val="231F20"/>
          <w:spacing w:val="40"/>
          <w:sz w:val="20"/>
        </w:rPr>
        <w:t> </w:t>
      </w:r>
      <w:r>
        <w:rPr>
          <w:color w:val="231F20"/>
          <w:sz w:val="20"/>
        </w:rPr>
        <w:t>with the Navigator item, and click</w:t>
      </w:r>
      <w:r>
        <w:rPr>
          <w:color w:val="231F20"/>
          <w:spacing w:val="40"/>
          <w:sz w:val="20"/>
        </w:rPr>
        <w:t> </w:t>
      </w:r>
      <w:r>
        <w:rPr>
          <w:color w:val="231F20"/>
          <w:spacing w:val="15"/>
          <w:position w:val="1"/>
          <w:sz w:val="20"/>
        </w:rPr>
        <w:drawing>
          <wp:inline distT="0" distB="0" distL="0" distR="0">
            <wp:extent cx="44450" cy="76200"/>
            <wp:effectExtent l="0" t="0" r="0" b="0"/>
            <wp:docPr id="2006" name="Image 2006"/>
            <wp:cNvGraphicFramePr>
              <a:graphicFrameLocks/>
            </wp:cNvGraphicFramePr>
            <a:graphic>
              <a:graphicData uri="http://schemas.openxmlformats.org/drawingml/2006/picture">
                <pic:pic>
                  <pic:nvPicPr>
                    <pic:cNvPr id="2006" name="Image 2006"/>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to move them to the </w:t>
      </w:r>
      <w:r>
        <w:rPr>
          <w:rFonts w:ascii="Book Antiqua"/>
          <w:b/>
          <w:color w:val="231F20"/>
          <w:sz w:val="20"/>
        </w:rPr>
        <w:t>Assigned </w:t>
      </w:r>
      <w:r>
        <w:rPr>
          <w:color w:val="231F20"/>
          <w:sz w:val="20"/>
        </w:rPr>
        <w:t>list.</w:t>
      </w:r>
      <w:r>
        <w:rPr>
          <w:color w:val="231F20"/>
          <w:spacing w:val="80"/>
          <w:sz w:val="20"/>
        </w:rPr>
        <w:t> </w:t>
      </w:r>
      <w:r>
        <w:rPr>
          <w:color w:val="231F20"/>
          <w:sz w:val="20"/>
        </w:rPr>
        <w:t>Queries for workspace views are applied to the assigned managed systems by default. Alert indicators are displayed for events that are opened for </w:t>
      </w:r>
      <w:r>
        <w:rPr>
          <w:color w:val="231F20"/>
          <w:sz w:val="20"/>
        </w:rPr>
        <w:t>situations associated with the Navigator item.</w:t>
      </w:r>
    </w:p>
    <w:p>
      <w:pPr>
        <w:pStyle w:val="BodyText"/>
        <w:spacing w:line="213" w:lineRule="auto" w:before="55"/>
        <w:ind w:left="3004" w:right="274" w:hanging="216"/>
      </w:pPr>
      <w:r>
        <w:rPr>
          <w:rFonts w:ascii="Futura MdCn BT"/>
          <w:color w:val="231F20"/>
        </w:rPr>
        <w:t>v</w:t>
      </w:r>
      <w:r>
        <w:rPr>
          <w:rFonts w:ascii="Futura MdCn BT"/>
          <w:color w:val="231F20"/>
          <w:spacing w:val="80"/>
        </w:rPr>
        <w:t> </w:t>
      </w:r>
      <w:r>
        <w:rPr>
          <w:color w:val="231F20"/>
        </w:rPr>
        <w:t>For assignments to this Navigator item, click the </w:t>
      </w:r>
      <w:r>
        <w:rPr>
          <w:color w:val="231F20"/>
          <w:spacing w:val="-25"/>
          <w:position w:val="-1"/>
        </w:rPr>
        <w:drawing>
          <wp:inline distT="0" distB="0" distL="0" distR="0">
            <wp:extent cx="95250" cy="95250"/>
            <wp:effectExtent l="0" t="0" r="0" b="0"/>
            <wp:docPr id="2007" name="Image 2007"/>
            <wp:cNvGraphicFramePr>
              <a:graphicFrameLocks/>
            </wp:cNvGraphicFramePr>
            <a:graphic>
              <a:graphicData uri="http://schemas.openxmlformats.org/drawingml/2006/picture">
                <pic:pic>
                  <pic:nvPicPr>
                    <pic:cNvPr id="2007" name="Image 2007"/>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9"/>
        </w:rPr>
        <w:t> </w:t>
      </w:r>
      <w:r>
        <w:rPr>
          <w:rFonts w:ascii="Book Antiqua"/>
          <w:b/>
          <w:color w:val="231F20"/>
        </w:rPr>
        <w:t>Monitored resources </w:t>
      </w:r>
      <w:r>
        <w:rPr>
          <w:color w:val="231F20"/>
        </w:rPr>
        <w:t>tab,</w:t>
      </w:r>
      <w:r>
        <w:rPr>
          <w:color w:val="231F20"/>
        </w:rPr>
        <w:t> select the managed systems or managed system groups whose situations you want</w:t>
      </w:r>
      <w:r>
        <w:rPr>
          <w:color w:val="231F20"/>
          <w:spacing w:val="27"/>
        </w:rPr>
        <w:t> </w:t>
      </w:r>
      <w:r>
        <w:rPr>
          <w:color w:val="231F20"/>
        </w:rPr>
        <w:t>to</w:t>
      </w:r>
      <w:r>
        <w:rPr>
          <w:color w:val="231F20"/>
          <w:spacing w:val="27"/>
        </w:rPr>
        <w:t> </w:t>
      </w:r>
      <w:r>
        <w:rPr>
          <w:color w:val="231F20"/>
        </w:rPr>
        <w:t>associate</w:t>
      </w:r>
      <w:r>
        <w:rPr>
          <w:color w:val="231F20"/>
          <w:spacing w:val="27"/>
        </w:rPr>
        <w:t> </w:t>
      </w:r>
      <w:r>
        <w:rPr>
          <w:color w:val="231F20"/>
        </w:rPr>
        <w:t>with</w:t>
      </w:r>
      <w:r>
        <w:rPr>
          <w:color w:val="231F20"/>
          <w:spacing w:val="27"/>
        </w:rPr>
        <w:t> </w:t>
      </w:r>
      <w:r>
        <w:rPr>
          <w:color w:val="231F20"/>
        </w:rPr>
        <w:t>the</w:t>
      </w:r>
      <w:r>
        <w:rPr>
          <w:color w:val="231F20"/>
          <w:spacing w:val="27"/>
        </w:rPr>
        <w:t> </w:t>
      </w:r>
      <w:r>
        <w:rPr>
          <w:color w:val="231F20"/>
        </w:rPr>
        <w:t>Navigator</w:t>
      </w:r>
      <w:r>
        <w:rPr>
          <w:color w:val="231F20"/>
          <w:spacing w:val="27"/>
        </w:rPr>
        <w:t> </w:t>
      </w:r>
      <w:r>
        <w:rPr>
          <w:color w:val="231F20"/>
        </w:rPr>
        <w:t>item,</w:t>
      </w:r>
      <w:r>
        <w:rPr>
          <w:color w:val="231F20"/>
          <w:spacing w:val="27"/>
        </w:rPr>
        <w:t> </w:t>
      </w:r>
      <w:r>
        <w:rPr>
          <w:color w:val="231F20"/>
        </w:rPr>
        <w:t>and</w:t>
      </w:r>
      <w:r>
        <w:rPr>
          <w:color w:val="231F20"/>
          <w:spacing w:val="80"/>
        </w:rPr>
        <w:t> </w:t>
      </w:r>
      <w:r>
        <w:rPr>
          <w:color w:val="231F20"/>
          <w:spacing w:val="15"/>
          <w:position w:val="1"/>
        </w:rPr>
        <w:drawing>
          <wp:inline distT="0" distB="0" distL="0" distR="0">
            <wp:extent cx="44450" cy="76200"/>
            <wp:effectExtent l="0" t="0" r="0" b="0"/>
            <wp:docPr id="2008" name="Image 2008"/>
            <wp:cNvGraphicFramePr>
              <a:graphicFrameLocks/>
            </wp:cNvGraphicFramePr>
            <a:graphic>
              <a:graphicData uri="http://schemas.openxmlformats.org/drawingml/2006/picture">
                <pic:pic>
                  <pic:nvPicPr>
                    <pic:cNvPr id="2008" name="Image 200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80"/>
        </w:rPr>
        <w:t> </w:t>
      </w:r>
      <w:r>
        <w:rPr>
          <w:color w:val="231F20"/>
        </w:rPr>
        <w:t>move</w:t>
      </w:r>
      <w:r>
        <w:rPr>
          <w:color w:val="231F20"/>
          <w:spacing w:val="27"/>
        </w:rPr>
        <w:t> </w:t>
      </w:r>
      <w:r>
        <w:rPr>
          <w:color w:val="231F20"/>
        </w:rPr>
        <w:t>them</w:t>
      </w:r>
      <w:r>
        <w:rPr>
          <w:color w:val="231F20"/>
          <w:spacing w:val="27"/>
        </w:rPr>
        <w:t> </w:t>
      </w:r>
      <w:r>
        <w:rPr>
          <w:color w:val="231F20"/>
        </w:rPr>
        <w:t>to</w:t>
      </w:r>
      <w:r>
        <w:rPr>
          <w:color w:val="231F20"/>
          <w:spacing w:val="27"/>
        </w:rPr>
        <w:t> </w:t>
      </w:r>
      <w:r>
        <w:rPr>
          <w:color w:val="231F20"/>
        </w:rPr>
        <w:t>the </w:t>
      </w:r>
      <w:r>
        <w:rPr>
          <w:rFonts w:ascii="Book Antiqua"/>
          <w:b/>
          <w:color w:val="231F20"/>
        </w:rPr>
        <w:t>Assigned </w:t>
      </w:r>
      <w:r>
        <w:rPr>
          <w:color w:val="231F20"/>
        </w:rPr>
        <w:t>list.</w:t>
      </w:r>
    </w:p>
    <w:p>
      <w:pPr>
        <w:pStyle w:val="BodyText"/>
        <w:spacing w:line="213" w:lineRule="auto" w:before="58"/>
        <w:ind w:left="3004" w:right="258" w:hanging="216"/>
      </w:pPr>
      <w:r>
        <w:rPr>
          <w:rFonts w:ascii="Futura MdCn BT" w:hAnsi="Futura MdCn BT"/>
          <w:color w:val="231F20"/>
        </w:rPr>
        <w:t>v</w:t>
      </w:r>
      <w:r>
        <w:rPr>
          <w:rFonts w:ascii="Futura MdCn BT" w:hAnsi="Futura MdCn BT"/>
          <w:color w:val="231F20"/>
          <w:spacing w:val="80"/>
        </w:rPr>
        <w:t> </w:t>
      </w:r>
      <w:r>
        <w:rPr>
          <w:color w:val="231F20"/>
        </w:rPr>
        <w:t>For dynamic child assignments to this Navigator item, click the</w:t>
      </w:r>
      <w:r>
        <w:rPr>
          <w:color w:val="231F20"/>
          <w:spacing w:val="24"/>
        </w:rPr>
        <w:t> </w:t>
      </w:r>
      <w:r>
        <w:rPr>
          <w:color w:val="231F20"/>
          <w:spacing w:val="-25"/>
          <w:position w:val="-1"/>
        </w:rPr>
        <w:drawing>
          <wp:inline distT="0" distB="0" distL="0" distR="0">
            <wp:extent cx="88900" cy="88900"/>
            <wp:effectExtent l="0" t="0" r="0" b="0"/>
            <wp:docPr id="2009" name="Image 2009"/>
            <wp:cNvGraphicFramePr>
              <a:graphicFrameLocks/>
            </wp:cNvGraphicFramePr>
            <a:graphic>
              <a:graphicData uri="http://schemas.openxmlformats.org/drawingml/2006/picture">
                <pic:pic>
                  <pic:nvPicPr>
                    <pic:cNvPr id="2009" name="Image 2009"/>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5"/>
          <w:position w:val="-1"/>
        </w:rPr>
      </w:r>
      <w:r>
        <w:rPr>
          <w:rFonts w:ascii="Times New Roman" w:hAnsi="Times New Roman"/>
          <w:color w:val="231F20"/>
          <w:spacing w:val="80"/>
        </w:rPr>
        <w:t> </w:t>
      </w:r>
      <w:r>
        <w:rPr>
          <w:rFonts w:ascii="Book Antiqua" w:hAnsi="Book Antiqua"/>
          <w:b/>
          <w:color w:val="231F20"/>
        </w:rPr>
        <w:t>Dynamic items </w:t>
      </w:r>
      <w:r>
        <w:rPr>
          <w:color w:val="231F20"/>
        </w:rPr>
        <w:t>tab, select the managed system groups to assign to the Navigator </w:t>
      </w:r>
      <w:r>
        <w:rPr>
          <w:color w:val="231F20"/>
        </w:rPr>
        <w:t>item,</w:t>
      </w:r>
      <w:r>
        <w:rPr>
          <w:color w:val="231F20"/>
        </w:rPr>
        <w:t> and</w:t>
      </w:r>
      <w:r>
        <w:rPr>
          <w:color w:val="231F20"/>
          <w:spacing w:val="80"/>
        </w:rPr>
        <w:t> </w:t>
      </w:r>
      <w:r>
        <w:rPr>
          <w:color w:val="231F20"/>
          <w:spacing w:val="16"/>
          <w:position w:val="1"/>
        </w:rPr>
        <w:drawing>
          <wp:inline distT="0" distB="0" distL="0" distR="0">
            <wp:extent cx="44450" cy="76200"/>
            <wp:effectExtent l="0" t="0" r="0" b="0"/>
            <wp:docPr id="2010" name="Image 2010"/>
            <wp:cNvGraphicFramePr>
              <a:graphicFrameLocks/>
            </wp:cNvGraphicFramePr>
            <a:graphic>
              <a:graphicData uri="http://schemas.openxmlformats.org/drawingml/2006/picture">
                <pic:pic>
                  <pic:nvPicPr>
                    <pic:cNvPr id="2010" name="Image 2010"/>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rPr>
      </w:r>
      <w:r>
        <w:rPr>
          <w:rFonts w:ascii="Times New Roman" w:hAnsi="Times New Roman"/>
          <w:color w:val="231F20"/>
          <w:spacing w:val="80"/>
        </w:rPr>
        <w:t> </w:t>
      </w:r>
      <w:r>
        <w:rPr>
          <w:color w:val="231F20"/>
        </w:rPr>
        <w:t>move</w:t>
      </w:r>
      <w:r>
        <w:rPr>
          <w:color w:val="231F20"/>
          <w:spacing w:val="26"/>
        </w:rPr>
        <w:t> </w:t>
      </w:r>
      <w:r>
        <w:rPr>
          <w:color w:val="231F20"/>
        </w:rPr>
        <w:t>them</w:t>
      </w:r>
      <w:r>
        <w:rPr>
          <w:color w:val="231F20"/>
          <w:spacing w:val="26"/>
        </w:rPr>
        <w:t> </w:t>
      </w:r>
      <w:r>
        <w:rPr>
          <w:color w:val="231F20"/>
        </w:rPr>
        <w:t>to</w:t>
      </w:r>
      <w:r>
        <w:rPr>
          <w:color w:val="231F20"/>
          <w:spacing w:val="26"/>
        </w:rPr>
        <w:t> </w:t>
      </w:r>
      <w:r>
        <w:rPr>
          <w:color w:val="231F20"/>
        </w:rPr>
        <w:t>the</w:t>
      </w:r>
      <w:r>
        <w:rPr>
          <w:color w:val="231F20"/>
          <w:spacing w:val="26"/>
        </w:rPr>
        <w:t> </w:t>
      </w:r>
      <w:r>
        <w:rPr>
          <w:rFonts w:ascii="Book Antiqua" w:hAnsi="Book Antiqua"/>
          <w:b/>
          <w:color w:val="231F20"/>
        </w:rPr>
        <w:t>Assigned</w:t>
      </w:r>
      <w:r>
        <w:rPr>
          <w:rFonts w:ascii="Book Antiqua" w:hAnsi="Book Antiqua"/>
          <w:b/>
          <w:color w:val="231F20"/>
          <w:spacing w:val="26"/>
        </w:rPr>
        <w:t> </w:t>
      </w:r>
      <w:r>
        <w:rPr>
          <w:rFonts w:ascii="Book Antiqua" w:hAnsi="Book Antiqua"/>
          <w:b/>
          <w:color w:val="231F20"/>
        </w:rPr>
        <w:t>Members</w:t>
      </w:r>
      <w:r>
        <w:rPr>
          <w:rFonts w:ascii="Book Antiqua" w:hAnsi="Book Antiqua"/>
          <w:b/>
          <w:color w:val="231F20"/>
          <w:spacing w:val="26"/>
        </w:rPr>
        <w:t> </w:t>
      </w:r>
      <w:r>
        <w:rPr>
          <w:color w:val="231F20"/>
        </w:rPr>
        <w:t>list.</w:t>
      </w:r>
      <w:r>
        <w:rPr>
          <w:color w:val="231F20"/>
          <w:spacing w:val="26"/>
        </w:rPr>
        <w:t> </w:t>
      </w:r>
      <w:r>
        <w:rPr>
          <w:color w:val="231F20"/>
        </w:rPr>
        <w:t>Click</w:t>
      </w:r>
      <w:r>
        <w:rPr>
          <w:color w:val="231F20"/>
          <w:spacing w:val="15"/>
        </w:rPr>
        <w:t> </w:t>
      </w:r>
      <w:r>
        <w:rPr>
          <w:color w:val="231F20"/>
          <w:spacing w:val="15"/>
          <w:position w:val="-1"/>
        </w:rPr>
        <w:drawing>
          <wp:inline distT="0" distB="0" distL="0" distR="0">
            <wp:extent cx="101600" cy="95250"/>
            <wp:effectExtent l="0" t="0" r="0" b="0"/>
            <wp:docPr id="2011" name="Image 2011"/>
            <wp:cNvGraphicFramePr>
              <a:graphicFrameLocks/>
            </wp:cNvGraphicFramePr>
            <a:graphic>
              <a:graphicData uri="http://schemas.openxmlformats.org/drawingml/2006/picture">
                <pic:pic>
                  <pic:nvPicPr>
                    <pic:cNvPr id="2011" name="Image 2011"/>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hAnsi="Times New Roman"/>
          <w:color w:val="231F20"/>
          <w:spacing w:val="66"/>
        </w:rPr>
        <w:t> </w:t>
      </w:r>
      <w:r>
        <w:rPr>
          <w:rFonts w:ascii="Book Antiqua" w:hAnsi="Book Antiqua"/>
          <w:b/>
          <w:color w:val="231F20"/>
        </w:rPr>
        <w:t>Options</w:t>
      </w:r>
      <w:r>
        <w:rPr>
          <w:rFonts w:ascii="Book Antiqua" w:hAnsi="Book Antiqua"/>
          <w:b/>
          <w:color w:val="231F20"/>
          <w:spacing w:val="26"/>
        </w:rPr>
        <w:t> </w:t>
      </w:r>
      <w:r>
        <w:rPr>
          <w:color w:val="231F20"/>
        </w:rPr>
        <w:t>to</w:t>
      </w:r>
      <w:r>
        <w:rPr>
          <w:color w:val="231F20"/>
        </w:rPr>
        <w:t> change how branch dynamic items are displayed (described in </w:t>
      </w:r>
      <w:hyperlink w:history="true" w:anchor="_bookmark178">
        <w:r>
          <w:rPr>
            <w:color w:val="231F20"/>
          </w:rPr>
          <w:t>“Assigned</w:t>
        </w:r>
      </w:hyperlink>
      <w:r>
        <w:rPr>
          <w:color w:val="231F20"/>
        </w:rPr>
        <w:t> </w:t>
      </w:r>
      <w:hyperlink w:history="true" w:anchor="_bookmark178">
        <w:r>
          <w:rPr>
            <w:color w:val="231F20"/>
          </w:rPr>
          <w:t>member options” on page 245).</w:t>
        </w:r>
      </w:hyperlink>
    </w:p>
    <w:p>
      <w:pPr>
        <w:pStyle w:val="BodyText"/>
        <w:spacing w:line="213" w:lineRule="auto" w:before="56"/>
        <w:ind w:left="3004" w:right="274" w:hanging="216"/>
      </w:pPr>
      <w:r>
        <w:rPr>
          <w:rFonts w:ascii="Futura MdCn BT" w:hAnsi="Futura MdCn BT"/>
          <w:color w:val="231F20"/>
        </w:rPr>
        <w:t>v</w:t>
      </w:r>
      <w:r>
        <w:rPr>
          <w:rFonts w:ascii="Futura MdCn BT" w:hAnsi="Futura MdCn BT"/>
          <w:color w:val="231F20"/>
          <w:spacing w:val="80"/>
        </w:rPr>
        <w:t> </w:t>
      </w:r>
      <w:r>
        <w:rPr>
          <w:color w:val="231F20"/>
        </w:rPr>
        <w:t>If you are assigning managed system groups to the Navigator item, you can click </w:t>
      </w:r>
      <w:r>
        <w:rPr>
          <w:rFonts w:ascii="Book Antiqua" w:hAnsi="Book Antiqua"/>
          <w:b/>
          <w:color w:val="231F20"/>
        </w:rPr>
        <w:t>Edit Managed System Groups </w:t>
      </w:r>
      <w:r>
        <w:rPr>
          <w:color w:val="231F20"/>
        </w:rPr>
        <w:t>to open the Object Group editor: select </w:t>
      </w:r>
      <w:r>
        <w:rPr>
          <w:color w:val="231F20"/>
        </w:rPr>
        <w:t>a</w:t>
      </w:r>
      <w:r>
        <w:rPr>
          <w:color w:val="231F20"/>
        </w:rPr>
        <w:t> managed system group to see and edit the membership; select a managed system type (select </w:t>
      </w:r>
      <w:r>
        <w:rPr>
          <w:color w:val="231F20"/>
          <w:spacing w:val="-24"/>
          <w:position w:val="-1"/>
        </w:rPr>
        <w:drawing>
          <wp:inline distT="0" distB="0" distL="0" distR="0">
            <wp:extent cx="95250" cy="95250"/>
            <wp:effectExtent l="0" t="0" r="0" b="0"/>
            <wp:docPr id="2012" name="Image 2012"/>
            <wp:cNvGraphicFramePr>
              <a:graphicFrameLocks/>
            </wp:cNvGraphicFramePr>
            <a:graphic>
              <a:graphicData uri="http://schemas.openxmlformats.org/drawingml/2006/picture">
                <pic:pic>
                  <pic:nvPicPr>
                    <pic:cNvPr id="2012" name="Image 2012"/>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hAnsi="Times New Roman"/>
          <w:color w:val="231F20"/>
          <w:spacing w:val="80"/>
        </w:rPr>
        <w:t> </w:t>
      </w:r>
      <w:r>
        <w:rPr>
          <w:rFonts w:ascii="Book Antiqua" w:hAnsi="Book Antiqua"/>
          <w:b/>
          <w:color w:val="231F20"/>
        </w:rPr>
        <w:t>All Managed Systems </w:t>
      </w:r>
      <w:r>
        <w:rPr>
          <w:color w:val="231F20"/>
        </w:rPr>
        <w:t>if you want to assign managed systems from different managed system types) and click</w:t>
      </w:r>
      <w:r>
        <w:rPr>
          <w:color w:val="231F20"/>
          <w:spacing w:val="40"/>
        </w:rPr>
        <w:t> </w:t>
      </w:r>
      <w:r>
        <w:rPr>
          <w:color w:val="231F20"/>
          <w:spacing w:val="-25"/>
          <w:position w:val="-1"/>
        </w:rPr>
        <w:drawing>
          <wp:inline distT="0" distB="0" distL="0" distR="0">
            <wp:extent cx="95250" cy="101600"/>
            <wp:effectExtent l="0" t="0" r="0" b="0"/>
            <wp:docPr id="2013" name="Image 2013"/>
            <wp:cNvGraphicFramePr>
              <a:graphicFrameLocks/>
            </wp:cNvGraphicFramePr>
            <a:graphic>
              <a:graphicData uri="http://schemas.openxmlformats.org/drawingml/2006/picture">
                <pic:pic>
                  <pic:nvPicPr>
                    <pic:cNvPr id="2013" name="Image 2013"/>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hAnsi="Times New Roman"/>
          <w:color w:val="231F20"/>
          <w:spacing w:val="38"/>
        </w:rPr>
        <w:t> </w:t>
      </w:r>
      <w:r>
        <w:rPr>
          <w:rFonts w:ascii="Book Antiqua" w:hAnsi="Book Antiqua"/>
          <w:b/>
          <w:color w:val="231F20"/>
        </w:rPr>
        <w:t>Create New Group</w:t>
      </w:r>
      <w:r>
        <w:rPr>
          <w:rFonts w:ascii="Book Antiqua" w:hAnsi="Book Antiqua"/>
          <w:b/>
          <w:color w:val="231F20"/>
          <w:spacing w:val="27"/>
        </w:rPr>
        <w:t> </w:t>
      </w:r>
      <w:r>
        <w:rPr>
          <w:color w:val="231F20"/>
        </w:rPr>
        <w:t>or</w:t>
      </w:r>
      <w:r>
        <w:rPr>
          <w:color w:val="231F20"/>
          <w:spacing w:val="40"/>
        </w:rPr>
        <w:t> </w:t>
      </w:r>
      <w:r>
        <w:rPr>
          <w:color w:val="231F20"/>
          <w:spacing w:val="-14"/>
          <w:position w:val="-1"/>
        </w:rPr>
        <w:drawing>
          <wp:inline distT="0" distB="0" distL="0" distR="0">
            <wp:extent cx="82550" cy="95250"/>
            <wp:effectExtent l="0" t="0" r="0" b="0"/>
            <wp:docPr id="2014" name="Image 2014"/>
            <wp:cNvGraphicFramePr>
              <a:graphicFrameLocks/>
            </wp:cNvGraphicFramePr>
            <a:graphic>
              <a:graphicData uri="http://schemas.openxmlformats.org/drawingml/2006/picture">
                <pic:pic>
                  <pic:nvPicPr>
                    <pic:cNvPr id="2014" name="Image 2014"/>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rPr>
      </w:r>
      <w:r>
        <w:rPr>
          <w:rFonts w:ascii="Times New Roman" w:hAnsi="Times New Roman"/>
          <w:color w:val="231F20"/>
          <w:spacing w:val="35"/>
        </w:rPr>
        <w:t> </w:t>
      </w:r>
      <w:r>
        <w:rPr>
          <w:rFonts w:ascii="Book Antiqua" w:hAnsi="Book Antiqua"/>
          <w:b/>
          <w:color w:val="231F20"/>
        </w:rPr>
        <w:t>Create</w:t>
      </w:r>
      <w:r>
        <w:rPr>
          <w:rFonts w:ascii="Book Antiqua" w:hAnsi="Book Antiqua"/>
          <w:b/>
          <w:color w:val="231F20"/>
          <w:spacing w:val="27"/>
        </w:rPr>
        <w:t> </w:t>
      </w:r>
      <w:r>
        <w:rPr>
          <w:rFonts w:ascii="Book Antiqua" w:hAnsi="Book Antiqua"/>
          <w:b/>
          <w:color w:val="231F20"/>
        </w:rPr>
        <w:t>Another</w:t>
      </w:r>
      <w:r>
        <w:rPr>
          <w:rFonts w:ascii="Book Antiqua" w:hAnsi="Book Antiqua"/>
          <w:b/>
          <w:color w:val="231F20"/>
          <w:spacing w:val="27"/>
        </w:rPr>
        <w:t> </w:t>
      </w:r>
      <w:r>
        <w:rPr>
          <w:rFonts w:ascii="Book Antiqua" w:hAnsi="Book Antiqua"/>
          <w:b/>
          <w:color w:val="231F20"/>
        </w:rPr>
        <w:t>Group</w:t>
      </w:r>
      <w:r>
        <w:rPr>
          <w:rFonts w:ascii="Book Antiqua" w:hAnsi="Book Antiqua"/>
          <w:b/>
          <w:color w:val="231F20"/>
          <w:spacing w:val="27"/>
        </w:rPr>
        <w:t> </w:t>
      </w:r>
      <w:r>
        <w:rPr>
          <w:color w:val="231F20"/>
        </w:rPr>
        <w:t>to</w:t>
      </w:r>
      <w:r>
        <w:rPr>
          <w:color w:val="231F20"/>
          <w:spacing w:val="27"/>
        </w:rPr>
        <w:t> </w:t>
      </w:r>
      <w:r>
        <w:rPr>
          <w:color w:val="231F20"/>
        </w:rPr>
        <w:t>add</w:t>
      </w:r>
      <w:r>
        <w:rPr>
          <w:color w:val="231F20"/>
          <w:spacing w:val="27"/>
        </w:rPr>
        <w:t> </w:t>
      </w:r>
      <w:r>
        <w:rPr>
          <w:color w:val="231F20"/>
        </w:rPr>
        <w:t>a</w:t>
      </w:r>
      <w:r>
        <w:rPr>
          <w:color w:val="231F20"/>
          <w:spacing w:val="27"/>
        </w:rPr>
        <w:t> </w:t>
      </w:r>
      <w:r>
        <w:rPr>
          <w:color w:val="231F20"/>
        </w:rPr>
        <w:t>new</w:t>
      </w:r>
      <w:r>
        <w:rPr>
          <w:color w:val="231F20"/>
          <w:spacing w:val="27"/>
        </w:rPr>
        <w:t> </w:t>
      </w:r>
      <w:r>
        <w:rPr>
          <w:color w:val="231F20"/>
        </w:rPr>
        <w:t>managed</w:t>
      </w:r>
      <w:r>
        <w:rPr>
          <w:color w:val="231F20"/>
          <w:spacing w:val="27"/>
        </w:rPr>
        <w:t> </w:t>
      </w:r>
      <w:r>
        <w:rPr>
          <w:color w:val="231F20"/>
        </w:rPr>
        <w:t>system</w:t>
      </w:r>
      <w:r>
        <w:rPr>
          <w:color w:val="231F20"/>
          <w:spacing w:val="27"/>
        </w:rPr>
        <w:t> </w:t>
      </w:r>
      <w:r>
        <w:rPr>
          <w:color w:val="231F20"/>
        </w:rPr>
        <w:t>group (see </w:t>
      </w:r>
      <w:hyperlink w:history="true" w:anchor="_bookmark291">
        <w:r>
          <w:rPr>
            <w:color w:val="231F20"/>
          </w:rPr>
          <w:t>“Creating a managed system group” on page 383).</w:t>
        </w:r>
      </w:hyperlink>
    </w:p>
    <w:p>
      <w:pPr>
        <w:pStyle w:val="BodyText"/>
        <w:spacing w:line="211" w:lineRule="auto" w:before="57"/>
        <w:ind w:left="3004" w:right="230" w:hanging="216"/>
      </w:pPr>
      <w:r>
        <w:rPr>
          <w:rFonts w:ascii="Futura MdCn BT" w:hAnsi="Futura MdCn BT"/>
          <w:color w:val="231F20"/>
        </w:rPr>
        <w:t>v</w:t>
      </w:r>
      <w:r>
        <w:rPr>
          <w:rFonts w:ascii="Futura MdCn BT" w:hAnsi="Futura MdCn BT"/>
          <w:color w:val="231F20"/>
          <w:spacing w:val="80"/>
          <w:w w:val="150"/>
        </w:rPr>
        <w:t> </w:t>
      </w:r>
      <w:r>
        <w:rPr>
          <w:color w:val="231F20"/>
        </w:rPr>
        <w:t>Click</w:t>
      </w:r>
      <w:r>
        <w:rPr>
          <w:color w:val="231F20"/>
          <w:spacing w:val="15"/>
        </w:rPr>
        <w:t> </w:t>
      </w:r>
      <w:r>
        <w:rPr>
          <w:color w:val="231F20"/>
        </w:rPr>
        <w:t>the</w:t>
      </w:r>
      <w:r>
        <w:rPr>
          <w:color w:val="231F20"/>
          <w:spacing w:val="24"/>
        </w:rPr>
        <w:t> </w:t>
      </w:r>
      <w:r>
        <w:rPr>
          <w:color w:val="231F20"/>
          <w:spacing w:val="-25"/>
          <w:position w:val="-5"/>
        </w:rPr>
        <w:drawing>
          <wp:inline distT="0" distB="0" distL="0" distR="0">
            <wp:extent cx="109728" cy="109727"/>
            <wp:effectExtent l="0" t="0" r="0" b="0"/>
            <wp:docPr id="2015" name="Image 2015"/>
            <wp:cNvGraphicFramePr>
              <a:graphicFrameLocks/>
            </wp:cNvGraphicFramePr>
            <a:graphic>
              <a:graphicData uri="http://schemas.openxmlformats.org/drawingml/2006/picture">
                <pic:pic>
                  <pic:nvPicPr>
                    <pic:cNvPr id="2015" name="Image 2015"/>
                    <pic:cNvPicPr/>
                  </pic:nvPicPr>
                  <pic:blipFill>
                    <a:blip r:embed="rId363" cstate="print"/>
                    <a:stretch>
                      <a:fillRect/>
                    </a:stretch>
                  </pic:blipFill>
                  <pic:spPr>
                    <a:xfrm>
                      <a:off x="0" y="0"/>
                      <a:ext cx="109728" cy="109727"/>
                    </a:xfrm>
                    <a:prstGeom prst="rect">
                      <a:avLst/>
                    </a:prstGeom>
                  </pic:spPr>
                </pic:pic>
              </a:graphicData>
            </a:graphic>
          </wp:inline>
        </w:drawing>
      </w:r>
      <w:r>
        <w:rPr>
          <w:color w:val="231F20"/>
          <w:spacing w:val="-25"/>
          <w:position w:val="-5"/>
        </w:rPr>
      </w:r>
      <w:r>
        <w:rPr>
          <w:rFonts w:ascii="Times New Roman" w:hAnsi="Times New Roman"/>
          <w:color w:val="231F20"/>
          <w:spacing w:val="40"/>
        </w:rPr>
        <w:t> </w:t>
      </w:r>
      <w:r>
        <w:rPr>
          <w:rFonts w:ascii="Book Antiqua" w:hAnsi="Book Antiqua"/>
          <w:b/>
          <w:color w:val="231F20"/>
        </w:rPr>
        <w:t>Symbols</w:t>
      </w:r>
      <w:r>
        <w:rPr>
          <w:rFonts w:ascii="Book Antiqua" w:hAnsi="Book Antiqua"/>
          <w:b/>
          <w:color w:val="231F20"/>
          <w:spacing w:val="15"/>
        </w:rPr>
        <w:t> </w:t>
      </w:r>
      <w:r>
        <w:rPr>
          <w:color w:val="231F20"/>
        </w:rPr>
        <w:t>tab</w:t>
      </w:r>
      <w:r>
        <w:rPr>
          <w:color w:val="231F20"/>
          <w:spacing w:val="15"/>
        </w:rPr>
        <w:t> </w:t>
      </w:r>
      <w:r>
        <w:rPr>
          <w:color w:val="231F20"/>
        </w:rPr>
        <w:t>to</w:t>
      </w:r>
      <w:r>
        <w:rPr>
          <w:color w:val="231F20"/>
          <w:spacing w:val="15"/>
        </w:rPr>
        <w:t> </w:t>
      </w:r>
      <w:r>
        <w:rPr>
          <w:color w:val="231F20"/>
        </w:rPr>
        <w:t>define</w:t>
      </w:r>
      <w:r>
        <w:rPr>
          <w:color w:val="231F20"/>
          <w:spacing w:val="15"/>
        </w:rPr>
        <w:t> </w:t>
      </w:r>
      <w:r>
        <w:rPr>
          <w:color w:val="231F20"/>
        </w:rPr>
        <w:t>symbol</w:t>
      </w:r>
      <w:r>
        <w:rPr>
          <w:color w:val="231F20"/>
          <w:spacing w:val="15"/>
        </w:rPr>
        <w:t> </w:t>
      </w:r>
      <w:r>
        <w:rPr>
          <w:color w:val="231F20"/>
        </w:rPr>
        <w:t>name/value</w:t>
      </w:r>
      <w:r>
        <w:rPr>
          <w:color w:val="231F20"/>
          <w:spacing w:val="15"/>
        </w:rPr>
        <w:t> </w:t>
      </w:r>
      <w:r>
        <w:rPr>
          <w:color w:val="231F20"/>
        </w:rPr>
        <w:t>pairs</w:t>
      </w:r>
      <w:r>
        <w:rPr>
          <w:color w:val="231F20"/>
          <w:spacing w:val="15"/>
        </w:rPr>
        <w:t> </w:t>
      </w:r>
      <w:r>
        <w:rPr>
          <w:color w:val="231F20"/>
        </w:rPr>
        <w:t>associated</w:t>
      </w:r>
      <w:r>
        <w:rPr>
          <w:color w:val="231F20"/>
          <w:spacing w:val="15"/>
        </w:rPr>
        <w:t> </w:t>
      </w:r>
      <w:r>
        <w:rPr>
          <w:color w:val="231F20"/>
        </w:rPr>
        <w:t>with</w:t>
      </w:r>
      <w:r>
        <w:rPr>
          <w:color w:val="231F20"/>
        </w:rPr>
        <w:t> a physical or logical navigator node. See </w:t>
      </w:r>
      <w:hyperlink w:history="true" w:anchor="_bookmark178">
        <w:r>
          <w:rPr>
            <w:color w:val="231F20"/>
          </w:rPr>
          <w:t>“Adding or editing a symbol” on</w:t>
        </w:r>
      </w:hyperlink>
      <w:r>
        <w:rPr>
          <w:color w:val="231F20"/>
        </w:rPr>
        <w:t> </w:t>
      </w:r>
      <w:hyperlink w:history="true" w:anchor="_bookmark178">
        <w:r>
          <w:rPr>
            <w:color w:val="231F20"/>
          </w:rPr>
          <w:t>page 245.</w:t>
        </w:r>
      </w:hyperlink>
    </w:p>
    <w:p>
      <w:pPr>
        <w:pStyle w:val="BodyText"/>
        <w:spacing w:line="252" w:lineRule="exact" w:before="101"/>
        <w:ind w:left="2828"/>
      </w:pPr>
      <w:r>
        <w:rPr/>
        <w:drawing>
          <wp:inline distT="0" distB="0" distL="0" distR="0">
            <wp:extent cx="50800" cy="95250"/>
            <wp:effectExtent l="0" t="0" r="0" b="0"/>
            <wp:docPr id="2016" name="Image 2016"/>
            <wp:cNvGraphicFramePr>
              <a:graphicFrameLocks/>
            </wp:cNvGraphicFramePr>
            <a:graphic>
              <a:graphicData uri="http://schemas.openxmlformats.org/drawingml/2006/picture">
                <pic:pic>
                  <pic:nvPicPr>
                    <pic:cNvPr id="2016" name="Image 2016"/>
                    <pic:cNvPicPr/>
                  </pic:nvPicPr>
                  <pic:blipFill>
                    <a:blip r:embed="rId361" cstate="print"/>
                    <a:stretch>
                      <a:fillRect/>
                    </a:stretch>
                  </pic:blipFill>
                  <pic:spPr>
                    <a:xfrm>
                      <a:off x="0" y="0"/>
                      <a:ext cx="50800" cy="95250"/>
                    </a:xfrm>
                    <a:prstGeom prst="rect">
                      <a:avLst/>
                    </a:prstGeom>
                  </pic:spPr>
                </pic:pic>
              </a:graphicData>
            </a:graphic>
          </wp:inline>
        </w:drawing>
      </w:r>
      <w:r>
        <w:rPr/>
      </w:r>
      <w:r>
        <w:rPr>
          <w:rFonts w:ascii="Times New Roman"/>
          <w:spacing w:val="37"/>
          <w:position w:val="1"/>
        </w:rPr>
        <w:t> </w:t>
      </w:r>
      <w:r>
        <w:rPr>
          <w:color w:val="231F20"/>
          <w:position w:val="1"/>
        </w:rPr>
        <w:t>A best</w:t>
      </w:r>
      <w:r>
        <w:rPr>
          <w:color w:val="231F20"/>
          <w:spacing w:val="15"/>
          <w:position w:val="1"/>
        </w:rPr>
        <w:t> </w:t>
      </w:r>
      <w:r>
        <w:rPr>
          <w:color w:val="231F20"/>
          <w:position w:val="1"/>
        </w:rPr>
        <w:t>practice</w:t>
      </w:r>
      <w:r>
        <w:rPr>
          <w:color w:val="231F20"/>
          <w:spacing w:val="15"/>
          <w:position w:val="1"/>
        </w:rPr>
        <w:t> </w:t>
      </w:r>
      <w:r>
        <w:rPr>
          <w:color w:val="231F20"/>
          <w:position w:val="1"/>
        </w:rPr>
        <w:t>is</w:t>
      </w:r>
      <w:r>
        <w:rPr>
          <w:color w:val="231F20"/>
          <w:spacing w:val="15"/>
          <w:position w:val="1"/>
        </w:rPr>
        <w:t> </w:t>
      </w:r>
      <w:r>
        <w:rPr>
          <w:color w:val="231F20"/>
          <w:position w:val="1"/>
        </w:rPr>
        <w:t>to</w:t>
      </w:r>
      <w:r>
        <w:rPr>
          <w:color w:val="231F20"/>
          <w:spacing w:val="15"/>
          <w:position w:val="1"/>
        </w:rPr>
        <w:t> </w:t>
      </w:r>
      <w:r>
        <w:rPr>
          <w:color w:val="231F20"/>
          <w:position w:val="1"/>
        </w:rPr>
        <w:t>assign</w:t>
      </w:r>
      <w:r>
        <w:rPr>
          <w:color w:val="231F20"/>
          <w:spacing w:val="15"/>
          <w:position w:val="1"/>
        </w:rPr>
        <w:t> </w:t>
      </w:r>
      <w:r>
        <w:rPr>
          <w:color w:val="231F20"/>
          <w:position w:val="1"/>
        </w:rPr>
        <w:t>managed</w:t>
      </w:r>
      <w:r>
        <w:rPr>
          <w:color w:val="231F20"/>
          <w:spacing w:val="15"/>
          <w:position w:val="1"/>
        </w:rPr>
        <w:t> </w:t>
      </w:r>
      <w:r>
        <w:rPr>
          <w:color w:val="231F20"/>
          <w:position w:val="1"/>
        </w:rPr>
        <w:t>systems</w:t>
      </w:r>
      <w:r>
        <w:rPr>
          <w:color w:val="231F20"/>
          <w:spacing w:val="15"/>
          <w:position w:val="1"/>
        </w:rPr>
        <w:t> </w:t>
      </w:r>
      <w:r>
        <w:rPr>
          <w:color w:val="231F20"/>
          <w:position w:val="1"/>
        </w:rPr>
        <w:t>to</w:t>
      </w:r>
      <w:r>
        <w:rPr>
          <w:color w:val="231F20"/>
          <w:spacing w:val="15"/>
          <w:position w:val="1"/>
        </w:rPr>
        <w:t> </w:t>
      </w:r>
      <w:r>
        <w:rPr>
          <w:color w:val="231F20"/>
          <w:position w:val="1"/>
        </w:rPr>
        <w:t>a</w:t>
      </w:r>
      <w:r>
        <w:rPr>
          <w:color w:val="231F20"/>
          <w:spacing w:val="15"/>
          <w:position w:val="1"/>
        </w:rPr>
        <w:t> </w:t>
      </w:r>
      <w:r>
        <w:rPr>
          <w:color w:val="231F20"/>
          <w:position w:val="1"/>
        </w:rPr>
        <w:t>Navigator</w:t>
      </w:r>
      <w:r>
        <w:rPr>
          <w:color w:val="231F20"/>
          <w:spacing w:val="15"/>
          <w:position w:val="1"/>
        </w:rPr>
        <w:t> </w:t>
      </w:r>
      <w:r>
        <w:rPr>
          <w:color w:val="231F20"/>
          <w:position w:val="1"/>
        </w:rPr>
        <w:t>item</w:t>
      </w:r>
      <w:r>
        <w:rPr>
          <w:color w:val="231F20"/>
          <w:spacing w:val="15"/>
          <w:position w:val="1"/>
        </w:rPr>
        <w:t> </w:t>
      </w:r>
      <w:r>
        <w:rPr>
          <w:color w:val="231F20"/>
          <w:position w:val="1"/>
        </w:rPr>
        <w:t>from</w:t>
      </w:r>
      <w:r>
        <w:rPr>
          <w:color w:val="231F20"/>
          <w:spacing w:val="15"/>
          <w:position w:val="1"/>
        </w:rPr>
        <w:t> </w:t>
      </w:r>
      <w:r>
        <w:rPr>
          <w:color w:val="231F20"/>
          <w:position w:val="1"/>
        </w:rPr>
        <w:t>the</w:t>
      </w:r>
    </w:p>
    <w:p>
      <w:pPr>
        <w:spacing w:line="252" w:lineRule="exact" w:before="0"/>
        <w:ind w:left="2788" w:right="0" w:firstLine="0"/>
        <w:jc w:val="left"/>
        <w:rPr>
          <w:sz w:val="20"/>
        </w:rPr>
      </w:pPr>
      <w:r>
        <w:rPr>
          <w:rFonts w:ascii="Book Antiqua"/>
          <w:b/>
          <w:color w:val="231F20"/>
          <w:sz w:val="20"/>
        </w:rPr>
        <w:t>Monitored</w:t>
      </w:r>
      <w:r>
        <w:rPr>
          <w:rFonts w:ascii="Book Antiqua"/>
          <w:b/>
          <w:color w:val="231F20"/>
          <w:spacing w:val="10"/>
          <w:sz w:val="20"/>
        </w:rPr>
        <w:t> </w:t>
      </w:r>
      <w:r>
        <w:rPr>
          <w:rFonts w:ascii="Book Antiqua"/>
          <w:b/>
          <w:color w:val="231F20"/>
          <w:sz w:val="20"/>
        </w:rPr>
        <w:t>resources</w:t>
      </w:r>
      <w:r>
        <w:rPr>
          <w:rFonts w:ascii="Book Antiqua"/>
          <w:b/>
          <w:color w:val="231F20"/>
          <w:spacing w:val="11"/>
          <w:sz w:val="20"/>
        </w:rPr>
        <w:t> </w:t>
      </w:r>
      <w:r>
        <w:rPr>
          <w:color w:val="231F20"/>
          <w:sz w:val="20"/>
        </w:rPr>
        <w:t>tab</w:t>
      </w:r>
      <w:r>
        <w:rPr>
          <w:color w:val="231F20"/>
          <w:spacing w:val="11"/>
          <w:sz w:val="20"/>
        </w:rPr>
        <w:t> </w:t>
      </w:r>
      <w:r>
        <w:rPr>
          <w:color w:val="231F20"/>
          <w:sz w:val="20"/>
        </w:rPr>
        <w:t>or</w:t>
      </w:r>
      <w:r>
        <w:rPr>
          <w:color w:val="231F20"/>
          <w:spacing w:val="10"/>
          <w:sz w:val="20"/>
        </w:rPr>
        <w:t> </w:t>
      </w:r>
      <w:r>
        <w:rPr>
          <w:rFonts w:ascii="Book Antiqua"/>
          <w:b/>
          <w:color w:val="231F20"/>
          <w:sz w:val="20"/>
        </w:rPr>
        <w:t>Dynamic</w:t>
      </w:r>
      <w:r>
        <w:rPr>
          <w:rFonts w:ascii="Book Antiqua"/>
          <w:b/>
          <w:color w:val="231F20"/>
          <w:spacing w:val="11"/>
          <w:sz w:val="20"/>
        </w:rPr>
        <w:t> </w:t>
      </w:r>
      <w:r>
        <w:rPr>
          <w:rFonts w:ascii="Book Antiqua"/>
          <w:b/>
          <w:color w:val="231F20"/>
          <w:sz w:val="20"/>
        </w:rPr>
        <w:t>items</w:t>
      </w:r>
      <w:r>
        <w:rPr>
          <w:color w:val="231F20"/>
          <w:sz w:val="20"/>
        </w:rPr>
        <w:t>,</w:t>
      </w:r>
      <w:r>
        <w:rPr>
          <w:color w:val="231F20"/>
          <w:spacing w:val="11"/>
          <w:sz w:val="20"/>
        </w:rPr>
        <w:t> </w:t>
      </w:r>
      <w:r>
        <w:rPr>
          <w:color w:val="231F20"/>
          <w:sz w:val="20"/>
        </w:rPr>
        <w:t>but</w:t>
      </w:r>
      <w:r>
        <w:rPr>
          <w:color w:val="231F20"/>
          <w:spacing w:val="10"/>
          <w:sz w:val="20"/>
        </w:rPr>
        <w:t> </w:t>
      </w:r>
      <w:r>
        <w:rPr>
          <w:color w:val="231F20"/>
          <w:sz w:val="20"/>
        </w:rPr>
        <w:t>not</w:t>
      </w:r>
      <w:r>
        <w:rPr>
          <w:color w:val="231F20"/>
          <w:spacing w:val="11"/>
          <w:sz w:val="20"/>
        </w:rPr>
        <w:t> </w:t>
      </w:r>
      <w:r>
        <w:rPr>
          <w:color w:val="231F20"/>
          <w:spacing w:val="-2"/>
          <w:sz w:val="20"/>
        </w:rPr>
        <w:t>both.</w:t>
      </w:r>
    </w:p>
    <w:p>
      <w:pPr>
        <w:pStyle w:val="ListParagraph"/>
        <w:numPr>
          <w:ilvl w:val="0"/>
          <w:numId w:val="108"/>
        </w:numPr>
        <w:tabs>
          <w:tab w:pos="2787" w:val="left" w:leader="none"/>
        </w:tabs>
        <w:spacing w:line="240" w:lineRule="auto" w:before="29" w:after="0"/>
        <w:ind w:left="2787" w:right="0" w:hanging="315"/>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Heading4"/>
        <w:spacing w:before="194"/>
        <w:ind w:left="2472"/>
      </w:pPr>
      <w:r>
        <w:rPr>
          <w:color w:val="231F20"/>
          <w:spacing w:val="-2"/>
        </w:rPr>
        <w:t>Results</w:t>
      </w:r>
    </w:p>
    <w:p>
      <w:pPr>
        <w:pStyle w:val="BodyText"/>
        <w:spacing w:line="213" w:lineRule="auto" w:before="62"/>
        <w:ind w:left="2688" w:right="493" w:hanging="216"/>
      </w:pPr>
      <w:r>
        <w:rPr>
          <w:rFonts w:ascii="Futura MdCn BT"/>
          <w:color w:val="231F20"/>
        </w:rPr>
        <w:t>v</w:t>
      </w:r>
      <w:r>
        <w:rPr>
          <w:rFonts w:ascii="Futura MdCn BT"/>
          <w:color w:val="231F20"/>
          <w:spacing w:val="80"/>
        </w:rPr>
        <w:t> </w:t>
      </w:r>
      <w:r>
        <w:rPr>
          <w:color w:val="231F20"/>
        </w:rPr>
        <w:t>The child item is displayed within the parent item hierarchy, below any other child items, with this icon: </w:t>
      </w:r>
      <w:r>
        <w:rPr>
          <w:color w:val="231F20"/>
          <w:spacing w:val="15"/>
          <w:position w:val="-1"/>
        </w:rPr>
        <w:drawing>
          <wp:inline distT="0" distB="0" distL="0" distR="0">
            <wp:extent cx="101600" cy="95250"/>
            <wp:effectExtent l="0" t="0" r="0" b="0"/>
            <wp:docPr id="2017" name="Image 2017"/>
            <wp:cNvGraphicFramePr>
              <a:graphicFrameLocks/>
            </wp:cNvGraphicFramePr>
            <a:graphic>
              <a:graphicData uri="http://schemas.openxmlformats.org/drawingml/2006/picture">
                <pic:pic>
                  <pic:nvPicPr>
                    <pic:cNvPr id="2017" name="Image 2017"/>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2"/>
        </w:rPr>
        <w:t> </w:t>
      </w:r>
      <w:r>
        <w:rPr>
          <w:color w:val="231F20"/>
        </w:rPr>
        <w:t>.</w:t>
      </w:r>
    </w:p>
    <w:p>
      <w:pPr>
        <w:pStyle w:val="BodyText"/>
        <w:spacing w:line="255" w:lineRule="exact" w:before="35"/>
        <w:ind w:left="2472"/>
      </w:pPr>
      <w:r>
        <w:rPr>
          <w:rFonts w:ascii="Futura MdCn BT"/>
          <w:color w:val="231F20"/>
        </w:rPr>
        <w:t>v</w:t>
      </w:r>
      <w:r>
        <w:rPr>
          <w:rFonts w:ascii="Futura MdCn BT"/>
          <w:color w:val="231F20"/>
          <w:spacing w:val="31"/>
        </w:rPr>
        <w:t>  </w:t>
      </w:r>
      <w:r>
        <w:rPr>
          <w:color w:val="231F20"/>
        </w:rPr>
        <w:t>A</w:t>
      </w:r>
      <w:r>
        <w:rPr>
          <w:color w:val="231F20"/>
          <w:spacing w:val="3"/>
        </w:rPr>
        <w:t> </w:t>
      </w:r>
      <w:r>
        <w:rPr>
          <w:color w:val="231F20"/>
          <w:spacing w:val="5"/>
        </w:rPr>
        <w:drawing>
          <wp:inline distT="0" distB="0" distL="0" distR="0">
            <wp:extent cx="44450" cy="44450"/>
            <wp:effectExtent l="0" t="0" r="0" b="0"/>
            <wp:docPr id="2018" name="Image 2018"/>
            <wp:cNvGraphicFramePr>
              <a:graphicFrameLocks/>
            </wp:cNvGraphicFramePr>
            <a:graphic>
              <a:graphicData uri="http://schemas.openxmlformats.org/drawingml/2006/picture">
                <pic:pic>
                  <pic:nvPicPr>
                    <pic:cNvPr id="2018" name="Image 2018"/>
                    <pic:cNvPicPr/>
                  </pic:nvPicPr>
                  <pic:blipFill>
                    <a:blip r:embed="rId105" cstate="print"/>
                    <a:stretch>
                      <a:fillRect/>
                    </a:stretch>
                  </pic:blipFill>
                  <pic:spPr>
                    <a:xfrm>
                      <a:off x="0" y="0"/>
                      <a:ext cx="44450" cy="44450"/>
                    </a:xfrm>
                    <a:prstGeom prst="rect">
                      <a:avLst/>
                    </a:prstGeom>
                  </pic:spPr>
                </pic:pic>
              </a:graphicData>
            </a:graphic>
          </wp:inline>
        </w:drawing>
      </w:r>
      <w:r>
        <w:rPr>
          <w:color w:val="231F20"/>
          <w:spacing w:val="5"/>
        </w:rPr>
      </w:r>
      <w:r>
        <w:rPr>
          <w:rFonts w:ascii="Times New Roman"/>
          <w:color w:val="231F20"/>
          <w:spacing w:val="64"/>
        </w:rPr>
        <w:t> </w:t>
      </w:r>
      <w:r>
        <w:rPr>
          <w:color w:val="231F20"/>
        </w:rPr>
        <w:t>shared</w:t>
      </w:r>
      <w:r>
        <w:rPr>
          <w:color w:val="231F20"/>
          <w:spacing w:val="12"/>
        </w:rPr>
        <w:t> </w:t>
      </w:r>
      <w:r>
        <w:rPr>
          <w:color w:val="231F20"/>
        </w:rPr>
        <w:t>icon</w:t>
      </w:r>
      <w:r>
        <w:rPr>
          <w:color w:val="231F20"/>
          <w:spacing w:val="13"/>
        </w:rPr>
        <w:t> </w:t>
      </w:r>
      <w:r>
        <w:rPr>
          <w:color w:val="231F20"/>
        </w:rPr>
        <w:t>is</w:t>
      </w:r>
      <w:r>
        <w:rPr>
          <w:color w:val="231F20"/>
          <w:spacing w:val="12"/>
        </w:rPr>
        <w:t> </w:t>
      </w:r>
      <w:r>
        <w:rPr>
          <w:color w:val="231F20"/>
        </w:rPr>
        <w:t>displayed</w:t>
      </w:r>
      <w:r>
        <w:rPr>
          <w:color w:val="231F20"/>
          <w:spacing w:val="12"/>
        </w:rPr>
        <w:t> </w:t>
      </w:r>
      <w:r>
        <w:rPr>
          <w:color w:val="231F20"/>
        </w:rPr>
        <w:t>over</w:t>
      </w:r>
      <w:r>
        <w:rPr>
          <w:color w:val="231F20"/>
          <w:spacing w:val="13"/>
        </w:rPr>
        <w:t> </w:t>
      </w:r>
      <w:r>
        <w:rPr>
          <w:color w:val="231F20"/>
        </w:rPr>
        <w:t>the</w:t>
      </w:r>
      <w:r>
        <w:rPr>
          <w:color w:val="231F20"/>
          <w:spacing w:val="12"/>
        </w:rPr>
        <w:t> </w:t>
      </w:r>
      <w:r>
        <w:rPr>
          <w:color w:val="231F20"/>
        </w:rPr>
        <w:t>Navigator</w:t>
      </w:r>
      <w:r>
        <w:rPr>
          <w:color w:val="231F20"/>
          <w:spacing w:val="13"/>
        </w:rPr>
        <w:t> </w:t>
      </w:r>
      <w:r>
        <w:rPr>
          <w:color w:val="231F20"/>
        </w:rPr>
        <w:t>items</w:t>
      </w:r>
      <w:r>
        <w:rPr>
          <w:color w:val="231F20"/>
          <w:spacing w:val="12"/>
        </w:rPr>
        <w:t> </w:t>
      </w:r>
      <w:r>
        <w:rPr>
          <w:color w:val="231F20"/>
        </w:rPr>
        <w:t>that</w:t>
      </w:r>
      <w:r>
        <w:rPr>
          <w:color w:val="231F20"/>
          <w:spacing w:val="12"/>
        </w:rPr>
        <w:t> </w:t>
      </w:r>
      <w:r>
        <w:rPr>
          <w:color w:val="231F20"/>
        </w:rPr>
        <w:t>have</w:t>
      </w:r>
      <w:r>
        <w:rPr>
          <w:color w:val="231F20"/>
          <w:spacing w:val="13"/>
        </w:rPr>
        <w:t> </w:t>
      </w:r>
      <w:r>
        <w:rPr>
          <w:color w:val="231F20"/>
        </w:rPr>
        <w:t>been</w:t>
      </w:r>
      <w:r>
        <w:rPr>
          <w:color w:val="231F20"/>
          <w:spacing w:val="12"/>
        </w:rPr>
        <w:t> </w:t>
      </w:r>
      <w:r>
        <w:rPr>
          <w:color w:val="231F20"/>
          <w:spacing w:val="-2"/>
        </w:rPr>
        <w:t>shared.</w:t>
      </w:r>
    </w:p>
    <w:p>
      <w:pPr>
        <w:pStyle w:val="BodyText"/>
        <w:spacing w:line="213" w:lineRule="auto" w:before="8"/>
        <w:ind w:left="2688"/>
      </w:pPr>
      <w:r>
        <w:rPr>
          <w:color w:val="231F20"/>
        </w:rPr>
        <w:t>This indicator serves as a reminder so that you do not unintentionally change </w:t>
      </w:r>
      <w:r>
        <w:rPr>
          <w:color w:val="231F20"/>
        </w:rPr>
        <w:t>or delete an item from one Navigator view that might affect another view.</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A dimmed </w:t>
      </w:r>
      <w:r>
        <w:rPr>
          <w:rFonts w:ascii="Book Antiqua"/>
          <w:b/>
          <w:color w:val="231F20"/>
        </w:rPr>
        <w:t>&lt;Dynamic members&gt; </w:t>
      </w:r>
      <w:r>
        <w:rPr>
          <w:color w:val="231F20"/>
        </w:rPr>
        <w:t>child item indicates that managed systems </w:t>
      </w:r>
      <w:r>
        <w:rPr>
          <w:color w:val="231F20"/>
        </w:rPr>
        <w:t>ar</w:t>
      </w:r>
      <w:r>
        <w:rPr>
          <w:color w:val="231F20"/>
        </w:rPr>
        <w:t>e</w:t>
      </w:r>
      <w:r>
        <w:rPr>
          <w:color w:val="231F20"/>
        </w:rPr>
        <w:t> assigned dynamically.</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545"/>
      </w:pPr>
      <w:r>
        <w:rPr>
          <w:color w:val="231F20"/>
        </w:rPr>
        <w:t>If the child item is in the wrong branch, you can drag it to the desired location to</w:t>
      </w:r>
      <w:r>
        <w:rPr>
          <w:color w:val="231F20"/>
          <w:spacing w:val="80"/>
        </w:rPr>
        <w:t> </w:t>
      </w:r>
      <w:r>
        <w:rPr>
          <w:color w:val="231F20"/>
        </w:rPr>
        <w:t>create a duplicate item there, then delete the original item.</w:t>
      </w:r>
    </w:p>
    <w:p>
      <w:pPr>
        <w:pStyle w:val="BodyText"/>
        <w:spacing w:before="5"/>
        <w:rPr>
          <w:sz w:val="16"/>
        </w:rPr>
      </w:pPr>
      <w:r>
        <w:rPr/>
        <mc:AlternateContent>
          <mc:Choice Requires="wps">
            <w:drawing>
              <wp:anchor distT="0" distB="0" distL="0" distR="0" allowOverlap="1" layoutInCell="1" locked="0" behindDoc="1" simplePos="0" relativeHeight="487715840">
                <wp:simplePos x="0" y="0"/>
                <wp:positionH relativeFrom="page">
                  <wp:posOffset>912380</wp:posOffset>
                </wp:positionH>
                <wp:positionV relativeFrom="paragraph">
                  <wp:posOffset>155950</wp:posOffset>
                </wp:positionV>
                <wp:extent cx="6082665" cy="1270"/>
                <wp:effectExtent l="0" t="0" r="0" b="0"/>
                <wp:wrapTopAndBottom/>
                <wp:docPr id="2019" name="Graphic 2019"/>
                <wp:cNvGraphicFramePr>
                  <a:graphicFrameLocks/>
                </wp:cNvGraphicFramePr>
                <a:graphic>
                  <a:graphicData uri="http://schemas.microsoft.com/office/word/2010/wordprocessingShape">
                    <wps:wsp>
                      <wps:cNvPr id="2019" name="Graphic 201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79606pt;width:478.95pt;height:.1pt;mso-position-horizontal-relative:page;mso-position-vertical-relative:paragraph;z-index:-15600640;mso-wrap-distance-left:0;mso-wrap-distance-right:0" id="docshape198"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Editing a Navigator view" w:id="374"/>
      <w:bookmarkEnd w:id="374"/>
      <w:r>
        <w:rPr>
          <w:b w:val="0"/>
        </w:rPr>
      </w:r>
      <w:r>
        <w:rPr>
          <w:color w:val="231F20"/>
        </w:rPr>
        <w:t>Editing</w:t>
      </w:r>
      <w:r>
        <w:rPr>
          <w:color w:val="231F20"/>
          <w:spacing w:val="7"/>
        </w:rPr>
        <w:t> </w:t>
      </w:r>
      <w:r>
        <w:rPr>
          <w:color w:val="231F20"/>
        </w:rPr>
        <w:t>a</w:t>
      </w:r>
      <w:r>
        <w:rPr>
          <w:color w:val="231F20"/>
          <w:spacing w:val="7"/>
        </w:rPr>
        <w:t> </w:t>
      </w:r>
      <w:r>
        <w:rPr>
          <w:color w:val="231F20"/>
        </w:rPr>
        <w:t>Navigator</w:t>
      </w:r>
      <w:r>
        <w:rPr>
          <w:color w:val="231F20"/>
          <w:spacing w:val="7"/>
        </w:rPr>
        <w:t> </w:t>
      </w:r>
      <w:r>
        <w:rPr>
          <w:color w:val="231F20"/>
          <w:spacing w:val="-4"/>
        </w:rPr>
        <w:t>view</w:t>
      </w:r>
    </w:p>
    <w:p>
      <w:pPr>
        <w:pStyle w:val="BodyText"/>
        <w:spacing w:line="213" w:lineRule="auto" w:before="138"/>
        <w:ind w:left="2472"/>
      </w:pPr>
      <w:r>
        <w:rPr>
          <w:color w:val="231F20"/>
        </w:rPr>
        <w:t>Use the Navigator editor to edit the Navigator view and the managed systems </w:t>
      </w:r>
      <w:r>
        <w:rPr>
          <w:color w:val="231F20"/>
        </w:rPr>
        <w:t>or dynamic members assigned to the items.</w:t>
      </w:r>
    </w:p>
    <w:p>
      <w:pPr>
        <w:spacing w:after="0" w:line="213" w:lineRule="auto"/>
        <w:sectPr>
          <w:pgSz w:w="12240" w:h="15840"/>
          <w:pgMar w:header="0" w:footer="736" w:top="1180" w:bottom="920" w:left="1000" w:right="1060"/>
        </w:sectPr>
      </w:pPr>
    </w:p>
    <w:p>
      <w:pPr>
        <w:pStyle w:val="Heading4"/>
        <w:spacing w:before="86"/>
      </w:pPr>
      <w:bookmarkStart w:name="_bookmark171" w:id="375"/>
      <w:bookmarkEnd w:id="375"/>
      <w:r>
        <w:rPr>
          <w:b w:val="0"/>
        </w:rPr>
      </w:r>
      <w:r>
        <w:rPr>
          <w:color w:val="231F20"/>
          <w:spacing w:val="-2"/>
        </w:rPr>
        <w:t>Procedure</w:t>
      </w:r>
    </w:p>
    <w:p>
      <w:pPr>
        <w:pStyle w:val="ListParagraph"/>
        <w:numPr>
          <w:ilvl w:val="0"/>
          <w:numId w:val="109"/>
        </w:numPr>
        <w:tabs>
          <w:tab w:pos="2548" w:val="left" w:leader="none"/>
        </w:tabs>
        <w:spacing w:line="213" w:lineRule="auto" w:before="62" w:after="0"/>
        <w:ind w:left="2548" w:right="750" w:hanging="316"/>
        <w:jc w:val="both"/>
        <w:rPr>
          <w:sz w:val="20"/>
        </w:rPr>
      </w:pPr>
      <w:r>
        <w:rPr>
          <w:color w:val="231F20"/>
          <w:sz w:val="20"/>
        </w:rPr>
        <w:t>Select the Navigator view you want to edit from the </w:t>
      </w:r>
      <w:r>
        <w:rPr>
          <w:color w:val="231F20"/>
          <w:spacing w:val="15"/>
          <w:position w:val="-1"/>
          <w:sz w:val="20"/>
        </w:rPr>
        <w:drawing>
          <wp:inline distT="0" distB="0" distL="0" distR="0">
            <wp:extent cx="101600" cy="101600"/>
            <wp:effectExtent l="0" t="0" r="0" b="0"/>
            <wp:docPr id="2020" name="Image 2020"/>
            <wp:cNvGraphicFramePr>
              <a:graphicFrameLocks/>
            </wp:cNvGraphicFramePr>
            <a:graphic>
              <a:graphicData uri="http://schemas.openxmlformats.org/drawingml/2006/picture">
                <pic:pic>
                  <pic:nvPicPr>
                    <pic:cNvPr id="2020" name="Image 202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color w:val="231F20"/>
          <w:sz w:val="20"/>
        </w:rPr>
        <w:t>list in the Navigator toolbar. You cannot edit the Navigator Physical view.</w:t>
      </w:r>
    </w:p>
    <w:p>
      <w:pPr>
        <w:pStyle w:val="ListParagraph"/>
        <w:numPr>
          <w:ilvl w:val="0"/>
          <w:numId w:val="109"/>
        </w:numPr>
        <w:tabs>
          <w:tab w:pos="2547" w:val="left" w:leader="none"/>
        </w:tabs>
        <w:spacing w:line="240" w:lineRule="auto" w:before="35" w:after="0"/>
        <w:ind w:left="2547" w:right="0" w:hanging="315"/>
        <w:jc w:val="both"/>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2021" name="Image 2021"/>
            <wp:cNvGraphicFramePr>
              <a:graphicFrameLocks/>
            </wp:cNvGraphicFramePr>
            <a:graphic>
              <a:graphicData uri="http://schemas.openxmlformats.org/drawingml/2006/picture">
                <pic:pic>
                  <pic:nvPicPr>
                    <pic:cNvPr id="2021" name="Image 2021"/>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7"/>
          <w:w w:val="150"/>
          <w:sz w:val="20"/>
        </w:rPr>
        <w:t> </w:t>
      </w:r>
      <w:r>
        <w:rPr>
          <w:rFonts w:ascii="Book Antiqua"/>
          <w:b/>
          <w:color w:val="231F20"/>
          <w:sz w:val="20"/>
        </w:rPr>
        <w:t>Edit</w:t>
      </w:r>
      <w:r>
        <w:rPr>
          <w:rFonts w:ascii="Book Antiqua"/>
          <w:b/>
          <w:color w:val="231F20"/>
          <w:spacing w:val="12"/>
          <w:sz w:val="20"/>
        </w:rPr>
        <w:t> </w:t>
      </w:r>
      <w:r>
        <w:rPr>
          <w:rFonts w:ascii="Book Antiqua"/>
          <w:b/>
          <w:color w:val="231F20"/>
          <w:sz w:val="20"/>
        </w:rPr>
        <w:t>Navigator</w:t>
      </w:r>
      <w:r>
        <w:rPr>
          <w:rFonts w:ascii="Book Antiqua"/>
          <w:b/>
          <w:color w:val="231F20"/>
          <w:spacing w:val="13"/>
          <w:sz w:val="20"/>
        </w:rPr>
        <w:t> </w:t>
      </w:r>
      <w:r>
        <w:rPr>
          <w:rFonts w:ascii="Book Antiqua"/>
          <w:b/>
          <w:color w:val="231F20"/>
          <w:spacing w:val="-2"/>
          <w:sz w:val="20"/>
        </w:rPr>
        <w:t>View</w:t>
      </w:r>
      <w:r>
        <w:rPr>
          <w:color w:val="231F20"/>
          <w:spacing w:val="-2"/>
          <w:sz w:val="20"/>
        </w:rPr>
        <w:t>.</w:t>
      </w:r>
    </w:p>
    <w:p>
      <w:pPr>
        <w:pStyle w:val="ListParagraph"/>
        <w:numPr>
          <w:ilvl w:val="0"/>
          <w:numId w:val="109"/>
        </w:numPr>
        <w:tabs>
          <w:tab w:pos="2548" w:val="left" w:leader="none"/>
        </w:tabs>
        <w:spacing w:line="213" w:lineRule="auto" w:before="53" w:after="0"/>
        <w:ind w:left="2548" w:right="649" w:hanging="316"/>
        <w:jc w:val="both"/>
        <w:rPr>
          <w:sz w:val="20"/>
        </w:rPr>
      </w:pPr>
      <w:r>
        <w:rPr>
          <w:color w:val="231F20"/>
          <w:sz w:val="20"/>
        </w:rPr>
        <w:t>If the Navigator view you want to edit is not displayed as the target, select it from the </w:t>
      </w:r>
      <w:r>
        <w:rPr>
          <w:rFonts w:ascii="Book Antiqua"/>
          <w:b/>
          <w:color w:val="231F20"/>
          <w:sz w:val="20"/>
        </w:rPr>
        <w:t>Target View </w:t>
      </w:r>
      <w:r>
        <w:rPr>
          <w:rFonts w:ascii="Book Antiqua"/>
          <w:b/>
          <w:color w:val="231F20"/>
          <w:spacing w:val="16"/>
          <w:position w:val="-1"/>
          <w:sz w:val="20"/>
        </w:rPr>
        <w:drawing>
          <wp:inline distT="0" distB="0" distL="0" distR="0">
            <wp:extent cx="101600" cy="101600"/>
            <wp:effectExtent l="0" t="0" r="0" b="0"/>
            <wp:docPr id="2022" name="Image 2022"/>
            <wp:cNvGraphicFramePr>
              <a:graphicFrameLocks/>
            </wp:cNvGraphicFramePr>
            <a:graphic>
              <a:graphicData uri="http://schemas.openxmlformats.org/drawingml/2006/picture">
                <pic:pic>
                  <pic:nvPicPr>
                    <pic:cNvPr id="2022" name="Image 2022"/>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16"/>
          <w:sz w:val="20"/>
        </w:rPr>
        <w:t> </w:t>
      </w:r>
      <w:r>
        <w:rPr>
          <w:color w:val="231F20"/>
          <w:sz w:val="20"/>
        </w:rPr>
        <w:t>list. Likewise, you can select a different source from the </w:t>
      </w:r>
      <w:r>
        <w:rPr>
          <w:rFonts w:ascii="Book Antiqua"/>
          <w:b/>
          <w:color w:val="231F20"/>
          <w:sz w:val="20"/>
        </w:rPr>
        <w:t>Source View </w:t>
      </w:r>
      <w:r>
        <w:rPr>
          <w:color w:val="231F20"/>
          <w:sz w:val="20"/>
        </w:rPr>
        <w:t>list.</w:t>
      </w:r>
    </w:p>
    <w:p>
      <w:pPr>
        <w:pStyle w:val="ListParagraph"/>
        <w:numPr>
          <w:ilvl w:val="0"/>
          <w:numId w:val="109"/>
        </w:numPr>
        <w:tabs>
          <w:tab w:pos="2547" w:val="left" w:leader="none"/>
        </w:tabs>
        <w:spacing w:line="240" w:lineRule="auto" w:before="35" w:after="0"/>
        <w:ind w:left="2547" w:right="0" w:hanging="315"/>
        <w:jc w:val="both"/>
        <w:rPr>
          <w:sz w:val="20"/>
        </w:rPr>
      </w:pPr>
      <w:r>
        <w:rPr>
          <w:color w:val="231F20"/>
          <w:sz w:val="20"/>
        </w:rPr>
        <w:t>Take</w:t>
      </w:r>
      <w:r>
        <w:rPr>
          <w:color w:val="231F20"/>
          <w:spacing w:val="9"/>
          <w:sz w:val="20"/>
        </w:rPr>
        <w:t> </w:t>
      </w:r>
      <w:r>
        <w:rPr>
          <w:color w:val="231F20"/>
          <w:sz w:val="20"/>
        </w:rPr>
        <w:t>any</w:t>
      </w:r>
      <w:r>
        <w:rPr>
          <w:color w:val="231F20"/>
          <w:spacing w:val="9"/>
          <w:sz w:val="20"/>
        </w:rPr>
        <w:t> </w:t>
      </w:r>
      <w:r>
        <w:rPr>
          <w:color w:val="231F20"/>
          <w:sz w:val="20"/>
        </w:rPr>
        <w:t>of</w:t>
      </w:r>
      <w:r>
        <w:rPr>
          <w:color w:val="231F20"/>
          <w:spacing w:val="9"/>
          <w:sz w:val="20"/>
        </w:rPr>
        <w:t> </w:t>
      </w:r>
      <w:r>
        <w:rPr>
          <w:color w:val="231F20"/>
          <w:sz w:val="20"/>
        </w:rPr>
        <w:t>the</w:t>
      </w:r>
      <w:r>
        <w:rPr>
          <w:color w:val="231F20"/>
          <w:spacing w:val="9"/>
          <w:sz w:val="20"/>
        </w:rPr>
        <w:t> </w:t>
      </w:r>
      <w:r>
        <w:rPr>
          <w:color w:val="231F20"/>
          <w:sz w:val="20"/>
        </w:rPr>
        <w:t>following</w:t>
      </w:r>
      <w:r>
        <w:rPr>
          <w:color w:val="231F20"/>
          <w:spacing w:val="10"/>
          <w:sz w:val="20"/>
        </w:rPr>
        <w:t> </w:t>
      </w:r>
      <w:r>
        <w:rPr>
          <w:color w:val="231F20"/>
          <w:sz w:val="20"/>
        </w:rPr>
        <w:t>steps</w:t>
      </w:r>
      <w:r>
        <w:rPr>
          <w:color w:val="231F20"/>
          <w:spacing w:val="9"/>
          <w:sz w:val="20"/>
        </w:rPr>
        <w:t> </w:t>
      </w:r>
      <w:r>
        <w:rPr>
          <w:color w:val="231F20"/>
          <w:sz w:val="20"/>
        </w:rPr>
        <w:t>to</w:t>
      </w:r>
      <w:r>
        <w:rPr>
          <w:color w:val="231F20"/>
          <w:spacing w:val="9"/>
          <w:sz w:val="20"/>
        </w:rPr>
        <w:t> </w:t>
      </w:r>
      <w:r>
        <w:rPr>
          <w:color w:val="231F20"/>
          <w:sz w:val="20"/>
        </w:rPr>
        <w:t>populate</w:t>
      </w:r>
      <w:r>
        <w:rPr>
          <w:color w:val="231F20"/>
          <w:spacing w:val="9"/>
          <w:sz w:val="20"/>
        </w:rPr>
        <w:t> </w:t>
      </w:r>
      <w:r>
        <w:rPr>
          <w:color w:val="231F20"/>
          <w:sz w:val="20"/>
        </w:rPr>
        <w:t>the</w:t>
      </w:r>
      <w:r>
        <w:rPr>
          <w:color w:val="231F20"/>
          <w:spacing w:val="9"/>
          <w:sz w:val="20"/>
        </w:rPr>
        <w:t> </w:t>
      </w:r>
      <w:r>
        <w:rPr>
          <w:color w:val="231F20"/>
          <w:sz w:val="20"/>
        </w:rPr>
        <w:t>target</w:t>
      </w:r>
      <w:r>
        <w:rPr>
          <w:color w:val="231F20"/>
          <w:spacing w:val="10"/>
          <w:sz w:val="20"/>
        </w:rPr>
        <w:t> </w:t>
      </w:r>
      <w:r>
        <w:rPr>
          <w:color w:val="231F20"/>
          <w:sz w:val="20"/>
        </w:rPr>
        <w:t>Navigator</w:t>
      </w:r>
      <w:r>
        <w:rPr>
          <w:color w:val="231F20"/>
          <w:spacing w:val="9"/>
          <w:sz w:val="20"/>
        </w:rPr>
        <w:t> </w:t>
      </w:r>
      <w:r>
        <w:rPr>
          <w:color w:val="231F20"/>
          <w:spacing w:val="-2"/>
          <w:sz w:val="20"/>
        </w:rPr>
        <w:t>view:</w:t>
      </w:r>
    </w:p>
    <w:p>
      <w:pPr>
        <w:pStyle w:val="BodyText"/>
        <w:spacing w:line="255" w:lineRule="exact" w:before="29"/>
        <w:ind w:left="2548"/>
        <w:jc w:val="both"/>
      </w:pPr>
      <w:r>
        <w:rPr>
          <w:rFonts w:ascii="Futura MdCn BT"/>
          <w:color w:val="231F20"/>
        </w:rPr>
        <w:t>v</w:t>
      </w:r>
      <w:r>
        <w:rPr>
          <w:rFonts w:ascii="Futura MdCn BT"/>
          <w:color w:val="231F20"/>
          <w:spacing w:val="78"/>
          <w:w w:val="150"/>
        </w:rPr>
        <w:t> </w:t>
      </w:r>
      <w:r>
        <w:rPr>
          <w:color w:val="231F20"/>
        </w:rPr>
        <w:t>To</w:t>
      </w:r>
      <w:r>
        <w:rPr>
          <w:color w:val="231F20"/>
          <w:spacing w:val="10"/>
        </w:rPr>
        <w:t> </w:t>
      </w:r>
      <w:r>
        <w:rPr>
          <w:color w:val="231F20"/>
        </w:rPr>
        <w:t>create</w:t>
      </w:r>
      <w:r>
        <w:rPr>
          <w:color w:val="231F20"/>
          <w:spacing w:val="11"/>
        </w:rPr>
        <w:t> </w:t>
      </w:r>
      <w:r>
        <w:rPr>
          <w:color w:val="231F20"/>
        </w:rPr>
        <w:t>a</w:t>
      </w:r>
      <w:r>
        <w:rPr>
          <w:color w:val="231F20"/>
          <w:spacing w:val="10"/>
        </w:rPr>
        <w:t> </w:t>
      </w:r>
      <w:r>
        <w:rPr>
          <w:color w:val="231F20"/>
        </w:rPr>
        <w:t>new</w:t>
      </w:r>
      <w:r>
        <w:rPr>
          <w:color w:val="231F20"/>
          <w:spacing w:val="11"/>
        </w:rPr>
        <w:t> </w:t>
      </w:r>
      <w:r>
        <w:rPr>
          <w:color w:val="231F20"/>
        </w:rPr>
        <w:t>Navigator</w:t>
      </w:r>
      <w:r>
        <w:rPr>
          <w:color w:val="231F20"/>
          <w:spacing w:val="10"/>
        </w:rPr>
        <w:t> </w:t>
      </w:r>
      <w:r>
        <w:rPr>
          <w:color w:val="231F20"/>
        </w:rPr>
        <w:t>item,</w:t>
      </w:r>
      <w:r>
        <w:rPr>
          <w:color w:val="231F20"/>
          <w:spacing w:val="11"/>
        </w:rPr>
        <w:t> </w:t>
      </w:r>
      <w:r>
        <w:rPr>
          <w:color w:val="231F20"/>
        </w:rPr>
        <w:t>select</w:t>
      </w:r>
      <w:r>
        <w:rPr>
          <w:color w:val="231F20"/>
          <w:spacing w:val="10"/>
        </w:rPr>
        <w:t> </w:t>
      </w:r>
      <w:r>
        <w:rPr>
          <w:color w:val="231F20"/>
        </w:rPr>
        <w:t>or</w:t>
      </w:r>
      <w:r>
        <w:rPr>
          <w:color w:val="231F20"/>
          <w:spacing w:val="10"/>
        </w:rPr>
        <w:t> </w:t>
      </w:r>
      <w:r>
        <w:rPr>
          <w:color w:val="231F20"/>
        </w:rPr>
        <w:t>right-click</w:t>
      </w:r>
      <w:r>
        <w:rPr>
          <w:color w:val="231F20"/>
          <w:spacing w:val="11"/>
        </w:rPr>
        <w:t> </w:t>
      </w:r>
      <w:r>
        <w:rPr>
          <w:color w:val="231F20"/>
        </w:rPr>
        <w:t>the</w:t>
      </w:r>
      <w:r>
        <w:rPr>
          <w:color w:val="231F20"/>
          <w:spacing w:val="10"/>
        </w:rPr>
        <w:t> </w:t>
      </w:r>
      <w:r>
        <w:rPr>
          <w:color w:val="231F20"/>
        </w:rPr>
        <w:t>parent</w:t>
      </w:r>
      <w:r>
        <w:rPr>
          <w:color w:val="231F20"/>
          <w:spacing w:val="11"/>
        </w:rPr>
        <w:t> </w:t>
      </w:r>
      <w:r>
        <w:rPr>
          <w:color w:val="231F20"/>
        </w:rPr>
        <w:t>item</w:t>
      </w:r>
      <w:r>
        <w:rPr>
          <w:color w:val="231F20"/>
          <w:spacing w:val="10"/>
        </w:rPr>
        <w:t> </w:t>
      </w:r>
      <w:r>
        <w:rPr>
          <w:color w:val="231F20"/>
        </w:rPr>
        <w:t>and</w:t>
      </w:r>
      <w:r>
        <w:rPr>
          <w:color w:val="231F20"/>
          <w:spacing w:val="11"/>
        </w:rPr>
        <w:t> </w:t>
      </w:r>
      <w:r>
        <w:rPr>
          <w:color w:val="231F20"/>
          <w:spacing w:val="-2"/>
        </w:rPr>
        <w:t>click</w:t>
      </w:r>
    </w:p>
    <w:p>
      <w:pPr>
        <w:spacing w:line="255" w:lineRule="exact" w:before="0"/>
        <w:ind w:left="2774" w:right="0" w:firstLine="0"/>
        <w:jc w:val="both"/>
        <w:rPr>
          <w:sz w:val="20"/>
        </w:rPr>
      </w:pPr>
      <w:r>
        <w:rPr>
          <w:position w:val="-1"/>
        </w:rPr>
        <w:drawing>
          <wp:inline distT="0" distB="0" distL="0" distR="0">
            <wp:extent cx="95250" cy="95250"/>
            <wp:effectExtent l="0" t="0" r="0" b="0"/>
            <wp:docPr id="2023" name="Image 2023"/>
            <wp:cNvGraphicFramePr>
              <a:graphicFrameLocks/>
            </wp:cNvGraphicFramePr>
            <a:graphic>
              <a:graphicData uri="http://schemas.openxmlformats.org/drawingml/2006/picture">
                <pic:pic>
                  <pic:nvPicPr>
                    <pic:cNvPr id="2023" name="Image 2023"/>
                    <pic:cNvPicPr/>
                  </pic:nvPicPr>
                  <pic:blipFill>
                    <a:blip r:embed="rId358"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69"/>
          <w:sz w:val="20"/>
        </w:rPr>
        <w:t> </w:t>
      </w:r>
      <w:r>
        <w:rPr>
          <w:rFonts w:ascii="Book Antiqua" w:hAnsi="Book Antiqua"/>
          <w:b/>
          <w:color w:val="231F20"/>
          <w:sz w:val="20"/>
        </w:rPr>
        <w:t>Create</w:t>
      </w:r>
      <w:r>
        <w:rPr>
          <w:rFonts w:ascii="Book Antiqua" w:hAnsi="Book Antiqua"/>
          <w:b/>
          <w:color w:val="231F20"/>
          <w:spacing w:val="18"/>
          <w:sz w:val="20"/>
        </w:rPr>
        <w:t> </w:t>
      </w:r>
      <w:r>
        <w:rPr>
          <w:rFonts w:ascii="Book Antiqua" w:hAnsi="Book Antiqua"/>
          <w:b/>
          <w:color w:val="231F20"/>
          <w:sz w:val="20"/>
        </w:rPr>
        <w:t>Child</w:t>
      </w:r>
      <w:r>
        <w:rPr>
          <w:rFonts w:ascii="Book Antiqua" w:hAnsi="Book Antiqua"/>
          <w:b/>
          <w:color w:val="231F20"/>
          <w:spacing w:val="18"/>
          <w:sz w:val="20"/>
        </w:rPr>
        <w:t> </w:t>
      </w:r>
      <w:r>
        <w:rPr>
          <w:rFonts w:ascii="Book Antiqua" w:hAnsi="Book Antiqua"/>
          <w:b/>
          <w:color w:val="231F20"/>
          <w:sz w:val="20"/>
        </w:rPr>
        <w:t>Item</w:t>
      </w:r>
      <w:r>
        <w:rPr>
          <w:color w:val="231F20"/>
          <w:sz w:val="20"/>
        </w:rPr>
        <w:t>.</w:t>
      </w:r>
      <w:r>
        <w:rPr>
          <w:color w:val="231F20"/>
          <w:spacing w:val="18"/>
          <w:sz w:val="20"/>
        </w:rPr>
        <w:t> </w:t>
      </w:r>
      <w:r>
        <w:rPr>
          <w:color w:val="231F20"/>
          <w:sz w:val="20"/>
        </w:rPr>
        <w:t>See</w:t>
      </w:r>
      <w:r>
        <w:rPr>
          <w:color w:val="231F20"/>
          <w:spacing w:val="18"/>
          <w:sz w:val="20"/>
        </w:rPr>
        <w:t> </w:t>
      </w:r>
      <w:hyperlink w:history="true" w:anchor="_bookmark169">
        <w:r>
          <w:rPr>
            <w:color w:val="231F20"/>
            <w:sz w:val="20"/>
          </w:rPr>
          <w:t>“Adding</w:t>
        </w:r>
        <w:r>
          <w:rPr>
            <w:color w:val="231F20"/>
            <w:spacing w:val="18"/>
            <w:sz w:val="20"/>
          </w:rPr>
          <w:t> </w:t>
        </w:r>
        <w:r>
          <w:rPr>
            <w:color w:val="231F20"/>
            <w:sz w:val="20"/>
          </w:rPr>
          <w:t>a</w:t>
        </w:r>
        <w:r>
          <w:rPr>
            <w:color w:val="231F20"/>
            <w:spacing w:val="18"/>
            <w:sz w:val="20"/>
          </w:rPr>
          <w:t> </w:t>
        </w:r>
        <w:r>
          <w:rPr>
            <w:color w:val="231F20"/>
            <w:sz w:val="20"/>
          </w:rPr>
          <w:t>child</w:t>
        </w:r>
        <w:r>
          <w:rPr>
            <w:color w:val="231F20"/>
            <w:spacing w:val="18"/>
            <w:sz w:val="20"/>
          </w:rPr>
          <w:t> </w:t>
        </w:r>
        <w:r>
          <w:rPr>
            <w:color w:val="231F20"/>
            <w:sz w:val="20"/>
          </w:rPr>
          <w:t>item”</w:t>
        </w:r>
        <w:r>
          <w:rPr>
            <w:color w:val="231F20"/>
            <w:spacing w:val="18"/>
            <w:sz w:val="20"/>
          </w:rPr>
          <w:t> </w:t>
        </w:r>
        <w:r>
          <w:rPr>
            <w:color w:val="231F20"/>
            <w:sz w:val="20"/>
          </w:rPr>
          <w:t>on</w:t>
        </w:r>
        <w:r>
          <w:rPr>
            <w:color w:val="231F20"/>
            <w:spacing w:val="18"/>
            <w:sz w:val="20"/>
          </w:rPr>
          <w:t> </w:t>
        </w:r>
        <w:r>
          <w:rPr>
            <w:color w:val="231F20"/>
            <w:sz w:val="20"/>
          </w:rPr>
          <w:t>page</w:t>
        </w:r>
        <w:r>
          <w:rPr>
            <w:color w:val="231F20"/>
            <w:spacing w:val="18"/>
            <w:sz w:val="20"/>
          </w:rPr>
          <w:t> </w:t>
        </w:r>
        <w:r>
          <w:rPr>
            <w:color w:val="231F20"/>
            <w:sz w:val="20"/>
          </w:rPr>
          <w:t>236.</w:t>
        </w:r>
      </w:hyperlink>
    </w:p>
    <w:p>
      <w:pPr>
        <w:pStyle w:val="BodyText"/>
        <w:spacing w:line="213" w:lineRule="auto" w:before="53"/>
        <w:ind w:left="2764" w:right="493" w:hanging="216"/>
      </w:pPr>
      <w:r>
        <w:rPr>
          <w:rFonts w:ascii="Futura MdCn BT"/>
          <w:color w:val="231F20"/>
        </w:rPr>
        <w:t>v</w:t>
      </w:r>
      <w:r>
        <w:rPr>
          <w:rFonts w:ascii="Futura MdCn BT"/>
          <w:color w:val="231F20"/>
          <w:spacing w:val="80"/>
        </w:rPr>
        <w:t> </w:t>
      </w:r>
      <w:r>
        <w:rPr>
          <w:color w:val="231F20"/>
        </w:rPr>
        <w:t>To share a Navigator item, drag it from the source view on the right to the</w:t>
      </w:r>
      <w:r>
        <w:rPr>
          <w:color w:val="231F20"/>
          <w:spacing w:val="40"/>
        </w:rPr>
        <w:t> </w:t>
      </w:r>
      <w:r>
        <w:rPr>
          <w:color w:val="231F20"/>
        </w:rPr>
        <w:t>target on the left and drop it on the item it should follow. (After selecting the first item, use Ctrl+click to select other items or Shift+click to select all items</w:t>
      </w:r>
      <w:r>
        <w:rPr>
          <w:color w:val="231F20"/>
          <w:spacing w:val="40"/>
        </w:rPr>
        <w:t> </w:t>
      </w:r>
      <w:r>
        <w:rPr>
          <w:color w:val="231F20"/>
        </w:rPr>
        <w:t>between</w:t>
      </w:r>
      <w:r>
        <w:rPr>
          <w:color w:val="231F20"/>
          <w:spacing w:val="27"/>
        </w:rPr>
        <w:t> </w:t>
      </w:r>
      <w:r>
        <w:rPr>
          <w:color w:val="231F20"/>
        </w:rPr>
        <w:t>the</w:t>
      </w:r>
      <w:r>
        <w:rPr>
          <w:color w:val="231F20"/>
          <w:spacing w:val="27"/>
        </w:rPr>
        <w:t> </w:t>
      </w:r>
      <w:r>
        <w:rPr>
          <w:color w:val="231F20"/>
        </w:rPr>
        <w:t>first</w:t>
      </w:r>
      <w:r>
        <w:rPr>
          <w:color w:val="231F20"/>
          <w:spacing w:val="27"/>
        </w:rPr>
        <w:t> </w:t>
      </w:r>
      <w:r>
        <w:rPr>
          <w:color w:val="231F20"/>
        </w:rPr>
        <w:t>selection</w:t>
      </w:r>
      <w:r>
        <w:rPr>
          <w:color w:val="231F20"/>
          <w:spacing w:val="27"/>
        </w:rPr>
        <w:t> </w:t>
      </w:r>
      <w:r>
        <w:rPr>
          <w:color w:val="231F20"/>
        </w:rPr>
        <w:t>and</w:t>
      </w:r>
      <w:r>
        <w:rPr>
          <w:color w:val="231F20"/>
          <w:spacing w:val="27"/>
        </w:rPr>
        <w:t> </w:t>
      </w:r>
      <w:r>
        <w:rPr>
          <w:color w:val="231F20"/>
        </w:rPr>
        <w:t>this</w:t>
      </w:r>
      <w:r>
        <w:rPr>
          <w:color w:val="231F20"/>
          <w:spacing w:val="27"/>
        </w:rPr>
        <w:t> </w:t>
      </w:r>
      <w:r>
        <w:rPr>
          <w:color w:val="231F20"/>
        </w:rPr>
        <w:t>one.)</w:t>
      </w:r>
      <w:r>
        <w:rPr>
          <w:color w:val="231F20"/>
          <w:spacing w:val="27"/>
        </w:rPr>
        <w:t> </w:t>
      </w:r>
      <w:r>
        <w:rPr>
          <w:color w:val="231F20"/>
        </w:rPr>
        <w:t>If</w:t>
      </w:r>
      <w:r>
        <w:rPr>
          <w:color w:val="231F20"/>
          <w:spacing w:val="27"/>
        </w:rPr>
        <w:t> </w:t>
      </w:r>
      <w:r>
        <w:rPr>
          <w:color w:val="231F20"/>
        </w:rPr>
        <w:t>you</w:t>
      </w:r>
      <w:r>
        <w:rPr>
          <w:color w:val="231F20"/>
          <w:spacing w:val="27"/>
        </w:rPr>
        <w:t> </w:t>
      </w:r>
      <w:r>
        <w:rPr>
          <w:color w:val="231F20"/>
        </w:rPr>
        <w:t>want</w:t>
      </w:r>
      <w:r>
        <w:rPr>
          <w:color w:val="231F20"/>
          <w:spacing w:val="27"/>
        </w:rPr>
        <w:t> </w:t>
      </w:r>
      <w:r>
        <w:rPr>
          <w:color w:val="231F20"/>
        </w:rPr>
        <w:t>to</w:t>
      </w:r>
      <w:r>
        <w:rPr>
          <w:color w:val="231F20"/>
          <w:spacing w:val="27"/>
        </w:rPr>
        <w:t> </w:t>
      </w:r>
      <w:r>
        <w:rPr>
          <w:color w:val="231F20"/>
        </w:rPr>
        <w:t>share</w:t>
      </w:r>
      <w:r>
        <w:rPr>
          <w:color w:val="231F20"/>
          <w:spacing w:val="27"/>
        </w:rPr>
        <w:t> </w:t>
      </w:r>
      <w:r>
        <w:rPr>
          <w:color w:val="231F20"/>
        </w:rPr>
        <w:t>Navigator items from a different source view than the one displaying, select the view to use from the </w:t>
      </w:r>
      <w:r>
        <w:rPr>
          <w:rFonts w:ascii="Book Antiqua"/>
          <w:b/>
          <w:color w:val="231F20"/>
        </w:rPr>
        <w:t>Source View </w:t>
      </w:r>
      <w:r>
        <w:rPr>
          <w:rFonts w:ascii="Book Antiqua"/>
          <w:b/>
          <w:color w:val="231F20"/>
          <w:spacing w:val="16"/>
          <w:position w:val="-1"/>
        </w:rPr>
        <w:drawing>
          <wp:inline distT="0" distB="0" distL="0" distR="0">
            <wp:extent cx="101600" cy="101600"/>
            <wp:effectExtent l="0" t="0" r="0" b="0"/>
            <wp:docPr id="2024" name="Image 2024"/>
            <wp:cNvGraphicFramePr>
              <a:graphicFrameLocks/>
            </wp:cNvGraphicFramePr>
            <a:graphic>
              <a:graphicData uri="http://schemas.openxmlformats.org/drawingml/2006/picture">
                <pic:pic>
                  <pic:nvPicPr>
                    <pic:cNvPr id="2024" name="Image 2024"/>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rPr>
      </w:r>
      <w:r>
        <w:rPr>
          <w:rFonts w:ascii="Times New Roman"/>
          <w:color w:val="231F20"/>
          <w:spacing w:val="16"/>
        </w:rPr>
        <w:t> </w:t>
      </w:r>
      <w:r>
        <w:rPr>
          <w:color w:val="231F20"/>
        </w:rPr>
        <w:t>list.</w:t>
      </w:r>
    </w:p>
    <w:p>
      <w:pPr>
        <w:pStyle w:val="BodyText"/>
        <w:spacing w:line="213" w:lineRule="auto" w:before="56"/>
        <w:ind w:left="2764" w:right="545" w:hanging="216"/>
      </w:pPr>
      <w:r>
        <w:rPr>
          <w:rFonts w:ascii="Futura MdCn BT"/>
          <w:color w:val="231F20"/>
        </w:rPr>
        <w:t>v</w:t>
      </w:r>
      <w:r>
        <w:rPr>
          <w:rFonts w:ascii="Futura MdCn BT"/>
          <w:color w:val="231F20"/>
          <w:spacing w:val="80"/>
          <w:w w:val="150"/>
        </w:rPr>
        <w:t> </w:t>
      </w:r>
      <w:r>
        <w:rPr>
          <w:color w:val="231F20"/>
        </w:rPr>
        <w:t>To</w:t>
      </w:r>
      <w:r>
        <w:rPr>
          <w:color w:val="231F20"/>
          <w:spacing w:val="25"/>
        </w:rPr>
        <w:t> </w:t>
      </w:r>
      <w:r>
        <w:rPr>
          <w:color w:val="231F20"/>
        </w:rPr>
        <w:t>assign</w:t>
      </w:r>
      <w:r>
        <w:rPr>
          <w:color w:val="231F20"/>
          <w:spacing w:val="25"/>
        </w:rPr>
        <w:t> </w:t>
      </w:r>
      <w:r>
        <w:rPr>
          <w:color w:val="231F20"/>
        </w:rPr>
        <w:t>managed</w:t>
      </w:r>
      <w:r>
        <w:rPr>
          <w:color w:val="231F20"/>
          <w:spacing w:val="25"/>
        </w:rPr>
        <w:t> </w:t>
      </w:r>
      <w:r>
        <w:rPr>
          <w:color w:val="231F20"/>
        </w:rPr>
        <w:t>systems</w:t>
      </w:r>
      <w:r>
        <w:rPr>
          <w:color w:val="231F20"/>
          <w:spacing w:val="25"/>
        </w:rPr>
        <w:t> </w:t>
      </w:r>
      <w:r>
        <w:rPr>
          <w:color w:val="231F20"/>
        </w:rPr>
        <w:t>to</w:t>
      </w:r>
      <w:r>
        <w:rPr>
          <w:color w:val="231F20"/>
          <w:spacing w:val="25"/>
        </w:rPr>
        <w:t> </w:t>
      </w:r>
      <w:r>
        <w:rPr>
          <w:color w:val="231F20"/>
        </w:rPr>
        <w:t>a</w:t>
      </w:r>
      <w:r>
        <w:rPr>
          <w:color w:val="231F20"/>
          <w:spacing w:val="25"/>
        </w:rPr>
        <w:t> </w:t>
      </w:r>
      <w:r>
        <w:rPr>
          <w:color w:val="231F20"/>
        </w:rPr>
        <w:t>Navigator</w:t>
      </w:r>
      <w:r>
        <w:rPr>
          <w:color w:val="231F20"/>
          <w:spacing w:val="25"/>
        </w:rPr>
        <w:t> </w:t>
      </w:r>
      <w:r>
        <w:rPr>
          <w:color w:val="231F20"/>
        </w:rPr>
        <w:t>item,</w:t>
      </w:r>
      <w:r>
        <w:rPr>
          <w:color w:val="231F20"/>
          <w:spacing w:val="25"/>
        </w:rPr>
        <w:t> </w:t>
      </w:r>
      <w:r>
        <w:rPr>
          <w:color w:val="231F20"/>
        </w:rPr>
        <w:t>right-click</w:t>
      </w:r>
      <w:r>
        <w:rPr>
          <w:color w:val="231F20"/>
          <w:spacing w:val="25"/>
        </w:rPr>
        <w:t> </w:t>
      </w:r>
      <w:r>
        <w:rPr>
          <w:color w:val="231F20"/>
        </w:rPr>
        <w:t>the</w:t>
      </w:r>
      <w:r>
        <w:rPr>
          <w:color w:val="231F20"/>
          <w:spacing w:val="25"/>
        </w:rPr>
        <w:t> </w:t>
      </w:r>
      <w:r>
        <w:rPr>
          <w:color w:val="231F20"/>
        </w:rPr>
        <w:t>item</w:t>
      </w:r>
      <w:r>
        <w:rPr>
          <w:color w:val="231F20"/>
          <w:spacing w:val="25"/>
        </w:rPr>
        <w:t> </w:t>
      </w:r>
      <w:r>
        <w:rPr>
          <w:color w:val="231F20"/>
        </w:rPr>
        <w:t>and click </w:t>
      </w:r>
      <w:r>
        <w:rPr>
          <w:color w:val="231F20"/>
          <w:spacing w:val="16"/>
          <w:position w:val="-1"/>
        </w:rPr>
        <w:drawing>
          <wp:inline distT="0" distB="0" distL="0" distR="0">
            <wp:extent cx="101600" cy="95250"/>
            <wp:effectExtent l="0" t="0" r="0" b="0"/>
            <wp:docPr id="2025" name="Image 2025"/>
            <wp:cNvGraphicFramePr>
              <a:graphicFrameLocks/>
            </wp:cNvGraphicFramePr>
            <a:graphic>
              <a:graphicData uri="http://schemas.openxmlformats.org/drawingml/2006/picture">
                <pic:pic>
                  <pic:nvPicPr>
                    <pic:cNvPr id="2025" name="Image 2025"/>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Properties</w:t>
      </w:r>
      <w:r>
        <w:rPr>
          <w:color w:val="231F20"/>
        </w:rPr>
        <w:t>. The managed system assignments make the item eligible for situation association and are referenced in query-based views.</w:t>
      </w:r>
    </w:p>
    <w:p>
      <w:pPr>
        <w:pStyle w:val="ListParagraph"/>
        <w:numPr>
          <w:ilvl w:val="0"/>
          <w:numId w:val="110"/>
        </w:numPr>
        <w:tabs>
          <w:tab w:pos="3012" w:val="left" w:leader="none"/>
        </w:tabs>
        <w:spacing w:line="240" w:lineRule="auto" w:before="34" w:after="0"/>
        <w:ind w:left="3012" w:right="0" w:hanging="248"/>
        <w:jc w:val="left"/>
        <w:rPr>
          <w:sz w:val="20"/>
        </w:rPr>
      </w:pPr>
      <w:r>
        <w:rPr>
          <w:color w:val="231F20"/>
          <w:sz w:val="20"/>
        </w:rPr>
        <w:t>Click</w:t>
      </w:r>
      <w:r>
        <w:rPr>
          <w:color w:val="231F20"/>
          <w:spacing w:val="10"/>
          <w:sz w:val="20"/>
        </w:rPr>
        <w:t> </w:t>
      </w:r>
      <w:r>
        <w:rPr>
          <w:color w:val="231F20"/>
          <w:sz w:val="20"/>
        </w:rPr>
        <w:t>the</w:t>
      </w:r>
      <w:r>
        <w:rPr>
          <w:color w:val="231F20"/>
          <w:spacing w:val="11"/>
          <w:sz w:val="20"/>
        </w:rPr>
        <w:t> </w:t>
      </w:r>
      <w:r>
        <w:rPr>
          <w:rFonts w:ascii="Book Antiqua" w:hAnsi="Book Antiqua"/>
          <w:b/>
          <w:color w:val="231F20"/>
          <w:sz w:val="20"/>
        </w:rPr>
        <w:t>Monitored</w:t>
      </w:r>
      <w:r>
        <w:rPr>
          <w:rFonts w:ascii="Book Antiqua" w:hAnsi="Book Antiqua"/>
          <w:b/>
          <w:color w:val="231F20"/>
          <w:spacing w:val="11"/>
          <w:sz w:val="20"/>
        </w:rPr>
        <w:t> </w:t>
      </w:r>
      <w:r>
        <w:rPr>
          <w:rFonts w:ascii="Book Antiqua" w:hAnsi="Book Antiqua"/>
          <w:b/>
          <w:color w:val="231F20"/>
          <w:sz w:val="20"/>
        </w:rPr>
        <w:t>resources</w:t>
      </w:r>
      <w:r>
        <w:rPr>
          <w:rFonts w:ascii="Book Antiqua" w:hAnsi="Book Antiqua"/>
          <w:b/>
          <w:color w:val="231F20"/>
          <w:spacing w:val="11"/>
          <w:sz w:val="20"/>
        </w:rPr>
        <w:t> </w:t>
      </w:r>
      <w:r>
        <w:rPr>
          <w:color w:val="231F20"/>
          <w:sz w:val="20"/>
        </w:rPr>
        <w:t>tab</w:t>
      </w:r>
      <w:r>
        <w:rPr>
          <w:color w:val="231F20"/>
          <w:spacing w:val="10"/>
          <w:sz w:val="20"/>
        </w:rPr>
        <w:t> </w:t>
      </w:r>
      <w:r>
        <w:rPr>
          <w:color w:val="231F20"/>
          <w:sz w:val="20"/>
        </w:rPr>
        <w:t>for</w:t>
      </w:r>
      <w:r>
        <w:rPr>
          <w:color w:val="231F20"/>
          <w:spacing w:val="11"/>
          <w:sz w:val="20"/>
        </w:rPr>
        <w:t> </w:t>
      </w:r>
      <w:r>
        <w:rPr>
          <w:color w:val="231F20"/>
          <w:sz w:val="20"/>
        </w:rPr>
        <w:t>assignments</w:t>
      </w:r>
      <w:r>
        <w:rPr>
          <w:color w:val="231F20"/>
          <w:spacing w:val="11"/>
          <w:sz w:val="20"/>
        </w:rPr>
        <w:t> </w:t>
      </w:r>
      <w:r>
        <w:rPr>
          <w:color w:val="231F20"/>
          <w:sz w:val="20"/>
        </w:rPr>
        <w:t>to</w:t>
      </w:r>
      <w:r>
        <w:rPr>
          <w:color w:val="231F20"/>
          <w:spacing w:val="11"/>
          <w:sz w:val="20"/>
        </w:rPr>
        <w:t> </w:t>
      </w:r>
      <w:r>
        <w:rPr>
          <w:color w:val="231F20"/>
          <w:sz w:val="20"/>
        </w:rPr>
        <w:t>this</w:t>
      </w:r>
      <w:r>
        <w:rPr>
          <w:color w:val="231F20"/>
          <w:spacing w:val="11"/>
          <w:sz w:val="20"/>
        </w:rPr>
        <w:t> </w:t>
      </w:r>
      <w:r>
        <w:rPr>
          <w:color w:val="231F20"/>
          <w:spacing w:val="-2"/>
          <w:sz w:val="20"/>
        </w:rPr>
        <w:t>item.</w:t>
      </w:r>
    </w:p>
    <w:p>
      <w:pPr>
        <w:pStyle w:val="ListParagraph"/>
        <w:numPr>
          <w:ilvl w:val="0"/>
          <w:numId w:val="110"/>
        </w:numPr>
        <w:tabs>
          <w:tab w:pos="3012" w:val="left" w:leader="none"/>
        </w:tabs>
        <w:spacing w:line="255" w:lineRule="exact" w:before="30" w:after="0"/>
        <w:ind w:left="3012" w:right="0" w:hanging="248"/>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rFonts w:ascii="Book Antiqua" w:hAnsi="Book Antiqua"/>
          <w:b/>
          <w:color w:val="231F20"/>
          <w:sz w:val="20"/>
        </w:rPr>
        <w:t>Dynamic</w:t>
      </w:r>
      <w:r>
        <w:rPr>
          <w:rFonts w:ascii="Book Antiqua" w:hAnsi="Book Antiqua"/>
          <w:b/>
          <w:color w:val="231F20"/>
          <w:spacing w:val="11"/>
          <w:sz w:val="20"/>
        </w:rPr>
        <w:t> </w:t>
      </w:r>
      <w:r>
        <w:rPr>
          <w:rFonts w:ascii="Book Antiqua" w:hAnsi="Book Antiqua"/>
          <w:b/>
          <w:color w:val="231F20"/>
          <w:sz w:val="20"/>
        </w:rPr>
        <w:t>items</w:t>
      </w:r>
      <w:r>
        <w:rPr>
          <w:rFonts w:ascii="Book Antiqua" w:hAnsi="Book Antiqua"/>
          <w:b/>
          <w:color w:val="231F20"/>
          <w:spacing w:val="11"/>
          <w:sz w:val="20"/>
        </w:rPr>
        <w:t> </w:t>
      </w:r>
      <w:r>
        <w:rPr>
          <w:color w:val="231F20"/>
          <w:sz w:val="20"/>
        </w:rPr>
        <w:t>tab</w:t>
      </w:r>
      <w:r>
        <w:rPr>
          <w:color w:val="231F20"/>
          <w:spacing w:val="11"/>
          <w:sz w:val="20"/>
        </w:rPr>
        <w:t> </w:t>
      </w:r>
      <w:r>
        <w:rPr>
          <w:color w:val="231F20"/>
          <w:sz w:val="20"/>
        </w:rPr>
        <w:t>for</w:t>
      </w:r>
      <w:r>
        <w:rPr>
          <w:color w:val="231F20"/>
          <w:spacing w:val="11"/>
          <w:sz w:val="20"/>
        </w:rPr>
        <w:t> </w:t>
      </w:r>
      <w:r>
        <w:rPr>
          <w:color w:val="231F20"/>
          <w:sz w:val="20"/>
        </w:rPr>
        <w:t>dynamic</w:t>
      </w:r>
      <w:r>
        <w:rPr>
          <w:color w:val="231F20"/>
          <w:spacing w:val="11"/>
          <w:sz w:val="20"/>
        </w:rPr>
        <w:t> </w:t>
      </w:r>
      <w:r>
        <w:rPr>
          <w:color w:val="231F20"/>
          <w:sz w:val="20"/>
        </w:rPr>
        <w:t>child</w:t>
      </w:r>
      <w:r>
        <w:rPr>
          <w:color w:val="231F20"/>
          <w:spacing w:val="11"/>
          <w:sz w:val="20"/>
        </w:rPr>
        <w:t> </w:t>
      </w:r>
      <w:r>
        <w:rPr>
          <w:color w:val="231F20"/>
          <w:sz w:val="20"/>
        </w:rPr>
        <w:t>assignments</w:t>
      </w:r>
      <w:r>
        <w:rPr>
          <w:color w:val="231F20"/>
          <w:spacing w:val="11"/>
          <w:sz w:val="20"/>
        </w:rPr>
        <w:t> </w:t>
      </w:r>
      <w:r>
        <w:rPr>
          <w:color w:val="231F20"/>
          <w:sz w:val="20"/>
        </w:rPr>
        <w:t>to</w:t>
      </w:r>
      <w:r>
        <w:rPr>
          <w:color w:val="231F20"/>
          <w:spacing w:val="11"/>
          <w:sz w:val="20"/>
        </w:rPr>
        <w:t> </w:t>
      </w:r>
      <w:r>
        <w:rPr>
          <w:color w:val="231F20"/>
          <w:sz w:val="20"/>
        </w:rPr>
        <w:t>this</w:t>
      </w:r>
      <w:r>
        <w:rPr>
          <w:color w:val="231F20"/>
          <w:spacing w:val="11"/>
          <w:sz w:val="20"/>
        </w:rPr>
        <w:t> </w:t>
      </w:r>
      <w:r>
        <w:rPr>
          <w:color w:val="231F20"/>
          <w:spacing w:val="-2"/>
          <w:sz w:val="20"/>
        </w:rPr>
        <w:t>item.</w:t>
      </w:r>
    </w:p>
    <w:p>
      <w:pPr>
        <w:pStyle w:val="BodyText"/>
        <w:spacing w:line="255" w:lineRule="exact"/>
        <w:ind w:left="3014"/>
      </w:pPr>
      <w:r>
        <w:rPr>
          <w:color w:val="231F20"/>
        </w:rPr>
        <w:t>See</w:t>
      </w:r>
      <w:r>
        <w:rPr>
          <w:color w:val="231F20"/>
          <w:spacing w:val="9"/>
        </w:rPr>
        <w:t> </w:t>
      </w:r>
      <w:hyperlink w:history="true" w:anchor="_bookmark177">
        <w:r>
          <w:rPr>
            <w:color w:val="231F20"/>
          </w:rPr>
          <w:t>“Navigator</w:t>
        </w:r>
        <w:r>
          <w:rPr>
            <w:color w:val="231F20"/>
            <w:spacing w:val="10"/>
          </w:rPr>
          <w:t> </w:t>
        </w:r>
        <w:r>
          <w:rPr>
            <w:color w:val="231F20"/>
          </w:rPr>
          <w:t>item</w:t>
        </w:r>
        <w:r>
          <w:rPr>
            <w:color w:val="231F20"/>
            <w:spacing w:val="10"/>
          </w:rPr>
          <w:t> </w:t>
        </w:r>
        <w:r>
          <w:rPr>
            <w:color w:val="231F20"/>
          </w:rPr>
          <w:t>properties”</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4"/>
          </w:rPr>
          <w:t>242.</w:t>
        </w:r>
      </w:hyperlink>
    </w:p>
    <w:p>
      <w:pPr>
        <w:pStyle w:val="ListParagraph"/>
        <w:numPr>
          <w:ilvl w:val="0"/>
          <w:numId w:val="110"/>
        </w:numPr>
        <w:tabs>
          <w:tab w:pos="3012" w:val="left" w:leader="none"/>
          <w:tab w:pos="3014" w:val="left" w:leader="none"/>
        </w:tabs>
        <w:spacing w:line="213" w:lineRule="auto" w:before="53" w:after="0"/>
        <w:ind w:left="3014" w:right="449" w:hanging="250"/>
        <w:jc w:val="both"/>
        <w:rPr>
          <w:sz w:val="20"/>
        </w:rPr>
      </w:pPr>
      <w:r>
        <w:rPr>
          <w:color w:val="231F20"/>
          <w:sz w:val="20"/>
        </w:rPr>
        <w:t>Click</w:t>
      </w:r>
      <w:r>
        <w:rPr>
          <w:color w:val="231F20"/>
          <w:spacing w:val="18"/>
          <w:sz w:val="20"/>
        </w:rPr>
        <w:t> </w:t>
      </w:r>
      <w:r>
        <w:rPr>
          <w:color w:val="231F20"/>
          <w:sz w:val="20"/>
        </w:rPr>
        <w:t>the</w:t>
      </w:r>
      <w:r>
        <w:rPr>
          <w:color w:val="231F20"/>
          <w:spacing w:val="18"/>
          <w:sz w:val="20"/>
        </w:rPr>
        <w:t> </w:t>
      </w:r>
      <w:r>
        <w:rPr>
          <w:rFonts w:ascii="Book Antiqua" w:hAnsi="Book Antiqua"/>
          <w:b/>
          <w:color w:val="231F20"/>
          <w:sz w:val="20"/>
        </w:rPr>
        <w:t>Symbols</w:t>
      </w:r>
      <w:r>
        <w:rPr>
          <w:rFonts w:ascii="Book Antiqua" w:hAnsi="Book Antiqua"/>
          <w:b/>
          <w:color w:val="231F20"/>
          <w:spacing w:val="18"/>
          <w:sz w:val="20"/>
        </w:rPr>
        <w:t> </w:t>
      </w:r>
      <w:r>
        <w:rPr>
          <w:color w:val="231F20"/>
          <w:sz w:val="20"/>
        </w:rPr>
        <w:t>tab</w:t>
      </w:r>
      <w:r>
        <w:rPr>
          <w:color w:val="231F20"/>
          <w:spacing w:val="18"/>
          <w:sz w:val="20"/>
        </w:rPr>
        <w:t> </w:t>
      </w:r>
      <w:r>
        <w:rPr>
          <w:color w:val="231F20"/>
          <w:sz w:val="20"/>
        </w:rPr>
        <w:t>to</w:t>
      </w:r>
      <w:r>
        <w:rPr>
          <w:color w:val="231F20"/>
          <w:spacing w:val="18"/>
          <w:sz w:val="20"/>
        </w:rPr>
        <w:t> </w:t>
      </w:r>
      <w:r>
        <w:rPr>
          <w:color w:val="231F20"/>
          <w:sz w:val="20"/>
        </w:rPr>
        <w:t>define</w:t>
      </w:r>
      <w:r>
        <w:rPr>
          <w:color w:val="231F20"/>
          <w:spacing w:val="18"/>
          <w:sz w:val="20"/>
        </w:rPr>
        <w:t> </w:t>
      </w:r>
      <w:r>
        <w:rPr>
          <w:color w:val="231F20"/>
          <w:sz w:val="20"/>
        </w:rPr>
        <w:t>symbol</w:t>
      </w:r>
      <w:r>
        <w:rPr>
          <w:color w:val="231F20"/>
          <w:spacing w:val="18"/>
          <w:sz w:val="20"/>
        </w:rPr>
        <w:t> </w:t>
      </w:r>
      <w:r>
        <w:rPr>
          <w:color w:val="231F20"/>
          <w:sz w:val="20"/>
        </w:rPr>
        <w:t>name/value</w:t>
      </w:r>
      <w:r>
        <w:rPr>
          <w:color w:val="231F20"/>
          <w:spacing w:val="18"/>
          <w:sz w:val="20"/>
        </w:rPr>
        <w:t> </w:t>
      </w:r>
      <w:r>
        <w:rPr>
          <w:color w:val="231F20"/>
          <w:sz w:val="20"/>
        </w:rPr>
        <w:t>pairs</w:t>
      </w:r>
      <w:r>
        <w:rPr>
          <w:color w:val="231F20"/>
          <w:spacing w:val="18"/>
          <w:sz w:val="20"/>
        </w:rPr>
        <w:t> </w:t>
      </w:r>
      <w:r>
        <w:rPr>
          <w:color w:val="231F20"/>
          <w:sz w:val="20"/>
        </w:rPr>
        <w:t>associated</w:t>
      </w:r>
      <w:r>
        <w:rPr>
          <w:color w:val="231F20"/>
          <w:spacing w:val="18"/>
          <w:sz w:val="20"/>
        </w:rPr>
        <w:t> </w:t>
      </w:r>
      <w:r>
        <w:rPr>
          <w:color w:val="231F20"/>
          <w:sz w:val="20"/>
        </w:rPr>
        <w:t>with a physical or logical navigator node. See </w:t>
      </w:r>
      <w:hyperlink w:history="true" w:anchor="_bookmark178">
        <w:r>
          <w:rPr>
            <w:color w:val="231F20"/>
            <w:sz w:val="20"/>
          </w:rPr>
          <w:t>“Adding or editing a symbol” </w:t>
        </w:r>
        <w:r>
          <w:rPr>
            <w:color w:val="231F20"/>
            <w:sz w:val="20"/>
          </w:rPr>
          <w:t>on</w:t>
        </w:r>
      </w:hyperlink>
      <w:r>
        <w:rPr>
          <w:color w:val="231F20"/>
          <w:sz w:val="20"/>
        </w:rPr>
        <w:t> </w:t>
      </w:r>
      <w:hyperlink w:history="true" w:anchor="_bookmark178">
        <w:r>
          <w:rPr>
            <w:color w:val="231F20"/>
            <w:sz w:val="20"/>
          </w:rPr>
          <w:t>page 245.</w:t>
        </w:r>
      </w:hyperlink>
    </w:p>
    <w:p>
      <w:pPr>
        <w:pStyle w:val="BodyText"/>
        <w:spacing w:line="252" w:lineRule="exact" w:before="99"/>
        <w:ind w:left="2804"/>
        <w:jc w:val="both"/>
      </w:pPr>
      <w:r>
        <w:rPr/>
        <w:drawing>
          <wp:inline distT="0" distB="0" distL="0" distR="0">
            <wp:extent cx="50800" cy="95250"/>
            <wp:effectExtent l="0" t="0" r="0" b="0"/>
            <wp:docPr id="2026" name="Image 2026"/>
            <wp:cNvGraphicFramePr>
              <a:graphicFrameLocks/>
            </wp:cNvGraphicFramePr>
            <a:graphic>
              <a:graphicData uri="http://schemas.openxmlformats.org/drawingml/2006/picture">
                <pic:pic>
                  <pic:nvPicPr>
                    <pic:cNvPr id="2026" name="Image 2026"/>
                    <pic:cNvPicPr/>
                  </pic:nvPicPr>
                  <pic:blipFill>
                    <a:blip r:embed="rId361" cstate="print"/>
                    <a:stretch>
                      <a:fillRect/>
                    </a:stretch>
                  </pic:blipFill>
                  <pic:spPr>
                    <a:xfrm>
                      <a:off x="0" y="0"/>
                      <a:ext cx="50800" cy="95250"/>
                    </a:xfrm>
                    <a:prstGeom prst="rect">
                      <a:avLst/>
                    </a:prstGeom>
                  </pic:spPr>
                </pic:pic>
              </a:graphicData>
            </a:graphic>
          </wp:inline>
        </w:drawing>
      </w:r>
      <w:r>
        <w:rPr/>
      </w:r>
      <w:r>
        <w:rPr>
          <w:rFonts w:ascii="Times New Roman"/>
          <w:spacing w:val="37"/>
          <w:position w:val="1"/>
        </w:rPr>
        <w:t> </w:t>
      </w:r>
      <w:r>
        <w:rPr>
          <w:color w:val="231F20"/>
          <w:position w:val="1"/>
        </w:rPr>
        <w:t>A best</w:t>
      </w:r>
      <w:r>
        <w:rPr>
          <w:color w:val="231F20"/>
          <w:spacing w:val="15"/>
          <w:position w:val="1"/>
        </w:rPr>
        <w:t> </w:t>
      </w:r>
      <w:r>
        <w:rPr>
          <w:color w:val="231F20"/>
          <w:position w:val="1"/>
        </w:rPr>
        <w:t>practice</w:t>
      </w:r>
      <w:r>
        <w:rPr>
          <w:color w:val="231F20"/>
          <w:spacing w:val="15"/>
          <w:position w:val="1"/>
        </w:rPr>
        <w:t> </w:t>
      </w:r>
      <w:r>
        <w:rPr>
          <w:color w:val="231F20"/>
          <w:position w:val="1"/>
        </w:rPr>
        <w:t>is</w:t>
      </w:r>
      <w:r>
        <w:rPr>
          <w:color w:val="231F20"/>
          <w:spacing w:val="15"/>
          <w:position w:val="1"/>
        </w:rPr>
        <w:t> </w:t>
      </w:r>
      <w:r>
        <w:rPr>
          <w:color w:val="231F20"/>
          <w:position w:val="1"/>
        </w:rPr>
        <w:t>to</w:t>
      </w:r>
      <w:r>
        <w:rPr>
          <w:color w:val="231F20"/>
          <w:spacing w:val="15"/>
          <w:position w:val="1"/>
        </w:rPr>
        <w:t> </w:t>
      </w:r>
      <w:r>
        <w:rPr>
          <w:color w:val="231F20"/>
          <w:position w:val="1"/>
        </w:rPr>
        <w:t>assign</w:t>
      </w:r>
      <w:r>
        <w:rPr>
          <w:color w:val="231F20"/>
          <w:spacing w:val="15"/>
          <w:position w:val="1"/>
        </w:rPr>
        <w:t> </w:t>
      </w:r>
      <w:r>
        <w:rPr>
          <w:color w:val="231F20"/>
          <w:position w:val="1"/>
        </w:rPr>
        <w:t>managed</w:t>
      </w:r>
      <w:r>
        <w:rPr>
          <w:color w:val="231F20"/>
          <w:spacing w:val="15"/>
          <w:position w:val="1"/>
        </w:rPr>
        <w:t> </w:t>
      </w:r>
      <w:r>
        <w:rPr>
          <w:color w:val="231F20"/>
          <w:position w:val="1"/>
        </w:rPr>
        <w:t>systems</w:t>
      </w:r>
      <w:r>
        <w:rPr>
          <w:color w:val="231F20"/>
          <w:spacing w:val="15"/>
          <w:position w:val="1"/>
        </w:rPr>
        <w:t> </w:t>
      </w:r>
      <w:r>
        <w:rPr>
          <w:color w:val="231F20"/>
          <w:position w:val="1"/>
        </w:rPr>
        <w:t>to</w:t>
      </w:r>
      <w:r>
        <w:rPr>
          <w:color w:val="231F20"/>
          <w:spacing w:val="15"/>
          <w:position w:val="1"/>
        </w:rPr>
        <w:t> </w:t>
      </w:r>
      <w:r>
        <w:rPr>
          <w:color w:val="231F20"/>
          <w:position w:val="1"/>
        </w:rPr>
        <w:t>a</w:t>
      </w:r>
      <w:r>
        <w:rPr>
          <w:color w:val="231F20"/>
          <w:spacing w:val="15"/>
          <w:position w:val="1"/>
        </w:rPr>
        <w:t> </w:t>
      </w:r>
      <w:r>
        <w:rPr>
          <w:color w:val="231F20"/>
          <w:position w:val="1"/>
        </w:rPr>
        <w:t>Navigator</w:t>
      </w:r>
      <w:r>
        <w:rPr>
          <w:color w:val="231F20"/>
          <w:spacing w:val="15"/>
          <w:position w:val="1"/>
        </w:rPr>
        <w:t> </w:t>
      </w:r>
      <w:r>
        <w:rPr>
          <w:color w:val="231F20"/>
          <w:position w:val="1"/>
        </w:rPr>
        <w:t>item</w:t>
      </w:r>
      <w:r>
        <w:rPr>
          <w:color w:val="231F20"/>
          <w:spacing w:val="15"/>
          <w:position w:val="1"/>
        </w:rPr>
        <w:t> </w:t>
      </w:r>
      <w:r>
        <w:rPr>
          <w:color w:val="231F20"/>
          <w:position w:val="1"/>
        </w:rPr>
        <w:t>from</w:t>
      </w:r>
      <w:r>
        <w:rPr>
          <w:color w:val="231F20"/>
          <w:spacing w:val="15"/>
          <w:position w:val="1"/>
        </w:rPr>
        <w:t> </w:t>
      </w:r>
      <w:r>
        <w:rPr>
          <w:color w:val="231F20"/>
          <w:position w:val="1"/>
        </w:rPr>
        <w:t>the</w:t>
      </w:r>
    </w:p>
    <w:p>
      <w:pPr>
        <w:spacing w:line="252" w:lineRule="exact" w:before="0"/>
        <w:ind w:left="2764" w:right="0" w:firstLine="0"/>
        <w:jc w:val="left"/>
        <w:rPr>
          <w:sz w:val="20"/>
        </w:rPr>
      </w:pPr>
      <w:r>
        <w:rPr>
          <w:rFonts w:ascii="Book Antiqua"/>
          <w:b/>
          <w:color w:val="231F20"/>
          <w:sz w:val="20"/>
        </w:rPr>
        <w:t>Monitored</w:t>
      </w:r>
      <w:r>
        <w:rPr>
          <w:rFonts w:ascii="Book Antiqua"/>
          <w:b/>
          <w:color w:val="231F20"/>
          <w:spacing w:val="10"/>
          <w:sz w:val="20"/>
        </w:rPr>
        <w:t> </w:t>
      </w:r>
      <w:r>
        <w:rPr>
          <w:rFonts w:ascii="Book Antiqua"/>
          <w:b/>
          <w:color w:val="231F20"/>
          <w:sz w:val="20"/>
        </w:rPr>
        <w:t>resources</w:t>
      </w:r>
      <w:r>
        <w:rPr>
          <w:rFonts w:ascii="Book Antiqua"/>
          <w:b/>
          <w:color w:val="231F20"/>
          <w:spacing w:val="11"/>
          <w:sz w:val="20"/>
        </w:rPr>
        <w:t> </w:t>
      </w:r>
      <w:r>
        <w:rPr>
          <w:color w:val="231F20"/>
          <w:sz w:val="20"/>
        </w:rPr>
        <w:t>tab</w:t>
      </w:r>
      <w:r>
        <w:rPr>
          <w:color w:val="231F20"/>
          <w:spacing w:val="11"/>
          <w:sz w:val="20"/>
        </w:rPr>
        <w:t> </w:t>
      </w:r>
      <w:r>
        <w:rPr>
          <w:color w:val="231F20"/>
          <w:sz w:val="20"/>
        </w:rPr>
        <w:t>or</w:t>
      </w:r>
      <w:r>
        <w:rPr>
          <w:color w:val="231F20"/>
          <w:spacing w:val="10"/>
          <w:sz w:val="20"/>
        </w:rPr>
        <w:t> </w:t>
      </w:r>
      <w:r>
        <w:rPr>
          <w:rFonts w:ascii="Book Antiqua"/>
          <w:b/>
          <w:color w:val="231F20"/>
          <w:sz w:val="20"/>
        </w:rPr>
        <w:t>Dynamic</w:t>
      </w:r>
      <w:r>
        <w:rPr>
          <w:rFonts w:ascii="Book Antiqua"/>
          <w:b/>
          <w:color w:val="231F20"/>
          <w:spacing w:val="11"/>
          <w:sz w:val="20"/>
        </w:rPr>
        <w:t> </w:t>
      </w:r>
      <w:r>
        <w:rPr>
          <w:rFonts w:ascii="Book Antiqua"/>
          <w:b/>
          <w:color w:val="231F20"/>
          <w:sz w:val="20"/>
        </w:rPr>
        <w:t>items</w:t>
      </w:r>
      <w:r>
        <w:rPr>
          <w:color w:val="231F20"/>
          <w:sz w:val="20"/>
        </w:rPr>
        <w:t>,</w:t>
      </w:r>
      <w:r>
        <w:rPr>
          <w:color w:val="231F20"/>
          <w:spacing w:val="11"/>
          <w:sz w:val="20"/>
        </w:rPr>
        <w:t> </w:t>
      </w:r>
      <w:r>
        <w:rPr>
          <w:color w:val="231F20"/>
          <w:sz w:val="20"/>
        </w:rPr>
        <w:t>but</w:t>
      </w:r>
      <w:r>
        <w:rPr>
          <w:color w:val="231F20"/>
          <w:spacing w:val="10"/>
          <w:sz w:val="20"/>
        </w:rPr>
        <w:t> </w:t>
      </w:r>
      <w:r>
        <w:rPr>
          <w:color w:val="231F20"/>
          <w:sz w:val="20"/>
        </w:rPr>
        <w:t>not</w:t>
      </w:r>
      <w:r>
        <w:rPr>
          <w:color w:val="231F20"/>
          <w:spacing w:val="11"/>
          <w:sz w:val="20"/>
        </w:rPr>
        <w:t> </w:t>
      </w:r>
      <w:r>
        <w:rPr>
          <w:color w:val="231F20"/>
          <w:spacing w:val="-2"/>
          <w:sz w:val="20"/>
        </w:rPr>
        <w:t>both.</w:t>
      </w:r>
    </w:p>
    <w:p>
      <w:pPr>
        <w:pStyle w:val="BodyText"/>
        <w:spacing w:line="213" w:lineRule="auto" w:before="53"/>
        <w:ind w:left="2764" w:right="493" w:hanging="216"/>
      </w:pPr>
      <w:r>
        <w:rPr>
          <w:rFonts w:ascii="Futura MdCn BT"/>
          <w:color w:val="231F20"/>
        </w:rPr>
        <w:t>v</w:t>
      </w:r>
      <w:r>
        <w:rPr>
          <w:rFonts w:ascii="Futura MdCn BT"/>
          <w:color w:val="231F20"/>
          <w:spacing w:val="80"/>
        </w:rPr>
        <w:t> </w:t>
      </w:r>
      <w:r>
        <w:rPr>
          <w:color w:val="231F20"/>
        </w:rPr>
        <w:t>To find out if the Navigator item is assigned to other Navigator views or assigned multiple times to this or other Navigator views, right-click the item and click </w:t>
      </w:r>
      <w:r>
        <w:rPr>
          <w:color w:val="231F20"/>
          <w:spacing w:val="16"/>
          <w:position w:val="-1"/>
        </w:rPr>
        <w:drawing>
          <wp:inline distT="0" distB="0" distL="0" distR="0">
            <wp:extent cx="101600" cy="88900"/>
            <wp:effectExtent l="0" t="0" r="0" b="0"/>
            <wp:docPr id="2027" name="Image 2027"/>
            <wp:cNvGraphicFramePr>
              <a:graphicFrameLocks/>
            </wp:cNvGraphicFramePr>
            <a:graphic>
              <a:graphicData uri="http://schemas.openxmlformats.org/drawingml/2006/picture">
                <pic:pic>
                  <pic:nvPicPr>
                    <pic:cNvPr id="2027" name="Image 2027"/>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11"/>
        </w:rPr>
        <w:t> </w:t>
      </w:r>
      <w:r>
        <w:rPr>
          <w:rFonts w:ascii="Book Antiqua"/>
          <w:b/>
          <w:color w:val="231F20"/>
        </w:rPr>
        <w:t>Show Navigator List</w:t>
      </w:r>
      <w:r>
        <w:rPr>
          <w:color w:val="231F20"/>
        </w:rPr>
        <w:t>. A number in parentheses after the view name indicates that there are multiple instances of this Navigator item in </w:t>
      </w:r>
      <w:r>
        <w:rPr>
          <w:color w:val="231F20"/>
        </w:rPr>
        <w:t>the</w:t>
      </w:r>
      <w:r>
        <w:rPr>
          <w:color w:val="231F20"/>
        </w:rPr>
        <w:t> Navigator view. You can also switch to another Navigator view in the list.</w:t>
      </w:r>
    </w:p>
    <w:p>
      <w:pPr>
        <w:pStyle w:val="BodyText"/>
        <w:spacing w:line="213" w:lineRule="auto" w:before="56"/>
        <w:ind w:left="2764" w:right="545" w:hanging="216"/>
      </w:pPr>
      <w:r>
        <w:rPr>
          <w:rFonts w:ascii="Futura MdCn BT"/>
          <w:color w:val="231F20"/>
        </w:rPr>
        <w:t>v</w:t>
      </w:r>
      <w:r>
        <w:rPr>
          <w:rFonts w:ascii="Futura MdCn BT"/>
          <w:color w:val="231F20"/>
          <w:spacing w:val="80"/>
        </w:rPr>
        <w:t> </w:t>
      </w:r>
      <w:r>
        <w:rPr>
          <w:color w:val="231F20"/>
        </w:rPr>
        <w:t>To rename an item, right-click it and click </w:t>
      </w:r>
      <w:r>
        <w:rPr>
          <w:color w:val="231F20"/>
          <w:spacing w:val="15"/>
          <w:position w:val="-1"/>
        </w:rPr>
        <w:drawing>
          <wp:inline distT="0" distB="0" distL="0" distR="0">
            <wp:extent cx="101600" cy="95250"/>
            <wp:effectExtent l="0" t="0" r="0" b="0"/>
            <wp:docPr id="2028" name="Image 2028"/>
            <wp:cNvGraphicFramePr>
              <a:graphicFrameLocks/>
            </wp:cNvGraphicFramePr>
            <a:graphic>
              <a:graphicData uri="http://schemas.openxmlformats.org/drawingml/2006/picture">
                <pic:pic>
                  <pic:nvPicPr>
                    <pic:cNvPr id="2028" name="Image 2028"/>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Properties</w:t>
      </w:r>
      <w:r>
        <w:rPr>
          <w:color w:val="231F20"/>
        </w:rPr>
        <w:t>; to rename the view, click </w:t>
      </w:r>
      <w:r>
        <w:rPr>
          <w:color w:val="231F20"/>
          <w:spacing w:val="16"/>
          <w:position w:val="-1"/>
        </w:rPr>
        <w:drawing>
          <wp:inline distT="0" distB="0" distL="0" distR="0">
            <wp:extent cx="101600" cy="95250"/>
            <wp:effectExtent l="0" t="0" r="0" b="0"/>
            <wp:docPr id="2029" name="Image 2029"/>
            <wp:cNvGraphicFramePr>
              <a:graphicFrameLocks/>
            </wp:cNvGraphicFramePr>
            <a:graphic>
              <a:graphicData uri="http://schemas.openxmlformats.org/drawingml/2006/picture">
                <pic:pic>
                  <pic:nvPicPr>
                    <pic:cNvPr id="2029" name="Image 2029"/>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Properties</w:t>
      </w:r>
      <w:r>
        <w:rPr>
          <w:color w:val="231F20"/>
        </w:rPr>
        <w:t>. Edit the name and description as needed.</w:t>
      </w:r>
    </w:p>
    <w:p>
      <w:pPr>
        <w:pStyle w:val="BodyText"/>
        <w:spacing w:before="36"/>
        <w:ind w:left="2548"/>
      </w:pPr>
      <w:r>
        <w:rPr>
          <w:rFonts w:ascii="Futura MdCn BT"/>
          <w:color w:val="231F20"/>
        </w:rPr>
        <w:t>v</w:t>
      </w:r>
      <w:r>
        <w:rPr>
          <w:rFonts w:ascii="Futura MdCn BT"/>
          <w:color w:val="231F20"/>
          <w:spacing w:val="30"/>
        </w:rPr>
        <w:t>  </w:t>
      </w:r>
      <w:r>
        <w:rPr>
          <w:color w:val="231F20"/>
        </w:rPr>
        <w:t>To</w:t>
      </w:r>
      <w:r>
        <w:rPr>
          <w:color w:val="231F20"/>
          <w:spacing w:val="13"/>
        </w:rPr>
        <w:t> </w:t>
      </w:r>
      <w:r>
        <w:rPr>
          <w:color w:val="231F20"/>
        </w:rPr>
        <w:t>delete</w:t>
      </w:r>
      <w:r>
        <w:rPr>
          <w:color w:val="231F20"/>
          <w:spacing w:val="11"/>
        </w:rPr>
        <w:t> </w:t>
      </w:r>
      <w:r>
        <w:rPr>
          <w:color w:val="231F20"/>
        </w:rPr>
        <w:t>a</w:t>
      </w:r>
      <w:r>
        <w:rPr>
          <w:color w:val="231F20"/>
          <w:spacing w:val="12"/>
        </w:rPr>
        <w:t> </w:t>
      </w:r>
      <w:r>
        <w:rPr>
          <w:color w:val="231F20"/>
        </w:rPr>
        <w:t>Navigator</w:t>
      </w:r>
      <w:r>
        <w:rPr>
          <w:color w:val="231F20"/>
          <w:spacing w:val="11"/>
        </w:rPr>
        <w:t> </w:t>
      </w:r>
      <w:r>
        <w:rPr>
          <w:color w:val="231F20"/>
        </w:rPr>
        <w:t>item,</w:t>
      </w:r>
      <w:r>
        <w:rPr>
          <w:color w:val="231F20"/>
          <w:spacing w:val="12"/>
        </w:rPr>
        <w:t> </w:t>
      </w:r>
      <w:r>
        <w:rPr>
          <w:color w:val="231F20"/>
        </w:rPr>
        <w:t>select</w:t>
      </w:r>
      <w:r>
        <w:rPr>
          <w:color w:val="231F20"/>
          <w:spacing w:val="12"/>
        </w:rPr>
        <w:t> </w:t>
      </w:r>
      <w:r>
        <w:rPr>
          <w:color w:val="231F20"/>
        </w:rPr>
        <w:t>it</w:t>
      </w:r>
      <w:r>
        <w:rPr>
          <w:color w:val="231F20"/>
          <w:spacing w:val="11"/>
        </w:rPr>
        <w:t> </w:t>
      </w:r>
      <w:r>
        <w:rPr>
          <w:color w:val="231F20"/>
        </w:rPr>
        <w:t>and</w:t>
      </w:r>
      <w:r>
        <w:rPr>
          <w:color w:val="231F20"/>
          <w:spacing w:val="12"/>
        </w:rPr>
        <w:t> </w:t>
      </w:r>
      <w:r>
        <w:rPr>
          <w:color w:val="231F20"/>
        </w:rPr>
        <w:t>click</w:t>
      </w:r>
      <w:r>
        <w:rPr>
          <w:color w:val="231F20"/>
          <w:spacing w:val="10"/>
        </w:rPr>
        <w:t> </w:t>
      </w:r>
      <w:r>
        <w:rPr>
          <w:color w:val="231F20"/>
          <w:spacing w:val="15"/>
          <w:position w:val="-1"/>
        </w:rPr>
        <w:drawing>
          <wp:inline distT="0" distB="0" distL="0" distR="0">
            <wp:extent cx="101600" cy="101600"/>
            <wp:effectExtent l="0" t="0" r="0" b="0"/>
            <wp:docPr id="2030" name="Image 2030"/>
            <wp:cNvGraphicFramePr>
              <a:graphicFrameLocks/>
            </wp:cNvGraphicFramePr>
            <a:graphic>
              <a:graphicData uri="http://schemas.openxmlformats.org/drawingml/2006/picture">
                <pic:pic>
                  <pic:nvPicPr>
                    <pic:cNvPr id="2030" name="Image 2030"/>
                    <pic:cNvPicPr/>
                  </pic:nvPicPr>
                  <pic:blipFill>
                    <a:blip r:embed="rId362"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4"/>
        </w:rPr>
        <w:t> </w:t>
      </w:r>
      <w:r>
        <w:rPr>
          <w:rFonts w:ascii="Book Antiqua"/>
          <w:b/>
          <w:color w:val="231F20"/>
        </w:rPr>
        <w:t>Delete</w:t>
      </w:r>
      <w:r>
        <w:rPr>
          <w:rFonts w:ascii="Book Antiqua"/>
          <w:b/>
          <w:color w:val="231F20"/>
          <w:spacing w:val="11"/>
        </w:rPr>
        <w:t> </w:t>
      </w:r>
      <w:r>
        <w:rPr>
          <w:rFonts w:ascii="Book Antiqua"/>
          <w:b/>
          <w:color w:val="231F20"/>
          <w:spacing w:val="-2"/>
        </w:rPr>
        <w:t>Item</w:t>
      </w:r>
      <w:r>
        <w:rPr>
          <w:color w:val="231F20"/>
          <w:spacing w:val="-2"/>
        </w:rPr>
        <w:t>.</w:t>
      </w:r>
    </w:p>
    <w:p>
      <w:pPr>
        <w:pStyle w:val="ListParagraph"/>
        <w:numPr>
          <w:ilvl w:val="0"/>
          <w:numId w:val="109"/>
        </w:numPr>
        <w:tabs>
          <w:tab w:pos="2548" w:val="left" w:leader="none"/>
        </w:tabs>
        <w:spacing w:line="213" w:lineRule="auto" w:before="52" w:after="0"/>
        <w:ind w:left="2548" w:right="684" w:hanging="316"/>
        <w:jc w:val="left"/>
        <w:rPr>
          <w:sz w:val="20"/>
        </w:rPr>
      </w:pPr>
      <w:r>
        <w:rPr>
          <w:color w:val="231F20"/>
          <w:sz w:val="20"/>
        </w:rPr>
        <w:t>Click </w:t>
      </w:r>
      <w:r>
        <w:rPr>
          <w:rFonts w:ascii="Book Antiqua"/>
          <w:b/>
          <w:color w:val="231F20"/>
          <w:sz w:val="20"/>
        </w:rPr>
        <w:t>Apply </w:t>
      </w:r>
      <w:r>
        <w:rPr>
          <w:color w:val="231F20"/>
          <w:sz w:val="20"/>
        </w:rPr>
        <w:t>to save your changes to the Navigator view and keep the editor open; or click </w:t>
      </w:r>
      <w:r>
        <w:rPr>
          <w:rFonts w:ascii="Book Antiqua"/>
          <w:b/>
          <w:color w:val="231F20"/>
          <w:sz w:val="20"/>
        </w:rPr>
        <w:t>OK </w:t>
      </w:r>
      <w:r>
        <w:rPr>
          <w:color w:val="231F20"/>
          <w:sz w:val="20"/>
        </w:rPr>
        <w:t>to save your changes and close the window.</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spacing w:line="213" w:lineRule="auto" w:before="241"/>
        <w:ind w:left="2232" w:right="545" w:firstLine="0"/>
        <w:jc w:val="left"/>
        <w:rPr>
          <w:sz w:val="20"/>
        </w:rPr>
      </w:pPr>
      <w:r>
        <w:rPr>
          <w:color w:val="231F20"/>
          <w:sz w:val="20"/>
        </w:rPr>
        <w:t>Click the activated </w:t>
      </w:r>
      <w:r>
        <w:rPr>
          <w:color w:val="231F20"/>
          <w:spacing w:val="-24"/>
          <w:position w:val="-1"/>
          <w:sz w:val="20"/>
        </w:rPr>
        <w:drawing>
          <wp:inline distT="0" distB="0" distL="0" distR="0">
            <wp:extent cx="95250" cy="101600"/>
            <wp:effectExtent l="0" t="0" r="0" b="0"/>
            <wp:docPr id="2031" name="Image 2031"/>
            <wp:cNvGraphicFramePr>
              <a:graphicFrameLocks/>
            </wp:cNvGraphicFramePr>
            <a:graphic>
              <a:graphicData uri="http://schemas.openxmlformats.org/drawingml/2006/picture">
                <pic:pic>
                  <pic:nvPicPr>
                    <pic:cNvPr id="2031" name="Image 2031"/>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rFonts w:ascii="Book Antiqua"/>
          <w:b/>
          <w:color w:val="231F20"/>
          <w:sz w:val="20"/>
        </w:rPr>
        <w:t>Navigator updates pending </w:t>
      </w:r>
      <w:r>
        <w:rPr>
          <w:color w:val="231F20"/>
          <w:sz w:val="20"/>
        </w:rPr>
        <w:t>tool in the Navigator toolbar </w:t>
      </w:r>
      <w:r>
        <w:rPr>
          <w:color w:val="231F20"/>
          <w:sz w:val="20"/>
        </w:rPr>
        <w:t>to refresh the Navigator view.</w:t>
      </w:r>
    </w:p>
    <w:p>
      <w:pPr>
        <w:spacing w:after="0" w:line="213" w:lineRule="auto"/>
        <w:jc w:val="left"/>
        <w:rPr>
          <w:sz w:val="20"/>
        </w:rPr>
        <w:sectPr>
          <w:pgSz w:w="12240" w:h="15840"/>
          <w:pgMar w:header="0" w:footer="736" w:top="1140" w:bottom="920" w:left="1000" w:right="1060"/>
        </w:sectPr>
      </w:pPr>
    </w:p>
    <w:p>
      <w:pPr>
        <w:pStyle w:val="Heading6"/>
        <w:spacing w:line="240" w:lineRule="auto" w:before="62"/>
        <w:rPr>
          <w:rFonts w:ascii="Palatino Linotype"/>
          <w:b w:val="0"/>
        </w:rPr>
      </w:pPr>
      <w:bookmarkStart w:name="_bookmark172" w:id="376"/>
      <w:bookmarkEnd w:id="376"/>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472"/>
      </w:pPr>
      <w:hyperlink w:history="true" w:anchor="_bookmark172">
        <w:r>
          <w:rPr>
            <w:color w:val="231F20"/>
          </w:rPr>
          <w:t>“Editing</w:t>
        </w:r>
        <w:r>
          <w:rPr>
            <w:color w:val="231F20"/>
            <w:spacing w:val="9"/>
          </w:rPr>
          <w:t> </w:t>
        </w:r>
        <w:r>
          <w:rPr>
            <w:color w:val="231F20"/>
          </w:rPr>
          <w:t>Navigator</w:t>
        </w:r>
        <w:r>
          <w:rPr>
            <w:color w:val="231F20"/>
            <w:spacing w:val="9"/>
          </w:rPr>
          <w:t> </w:t>
        </w:r>
        <w:r>
          <w:rPr>
            <w:color w:val="231F20"/>
          </w:rPr>
          <w:t>item</w:t>
        </w:r>
        <w:r>
          <w:rPr>
            <w:color w:val="231F20"/>
            <w:spacing w:val="9"/>
          </w:rPr>
          <w:t> </w:t>
        </w:r>
        <w:r>
          <w:rPr>
            <w:color w:val="231F20"/>
            <w:spacing w:val="-2"/>
          </w:rPr>
          <w:t>properties”</w:t>
        </w:r>
      </w:hyperlink>
    </w:p>
    <w:p>
      <w:pPr>
        <w:pStyle w:val="BodyText"/>
        <w:spacing w:line="213" w:lineRule="auto" w:before="8"/>
        <w:ind w:left="2472" w:right="493"/>
      </w:pPr>
      <w:r>
        <w:rPr>
          <w:color w:val="231F20"/>
        </w:rPr>
        <w:t>Open the Navigator item properties to see and edit the name, description, </w:t>
      </w:r>
      <w:r>
        <w:rPr>
          <w:color w:val="231F20"/>
        </w:rPr>
        <w:t>and managed system assignments.</w:t>
      </w:r>
    </w:p>
    <w:p>
      <w:pPr>
        <w:pStyle w:val="BodyText"/>
        <w:spacing w:line="255" w:lineRule="exact" w:before="35"/>
        <w:ind w:left="2472"/>
      </w:pPr>
      <w:hyperlink w:history="true" w:anchor="_bookmark174">
        <w:r>
          <w:rPr>
            <w:color w:val="231F20"/>
          </w:rPr>
          <w:t>“Renaming</w:t>
        </w:r>
        <w:r>
          <w:rPr>
            <w:color w:val="231F20"/>
            <w:spacing w:val="11"/>
          </w:rPr>
          <w:t> </w:t>
        </w:r>
        <w:r>
          <w:rPr>
            <w:color w:val="231F20"/>
          </w:rPr>
          <w:t>a</w:t>
        </w:r>
        <w:r>
          <w:rPr>
            <w:color w:val="231F20"/>
            <w:spacing w:val="11"/>
          </w:rPr>
          <w:t> </w:t>
        </w:r>
        <w:r>
          <w:rPr>
            <w:color w:val="231F20"/>
          </w:rPr>
          <w:t>Navigator</w:t>
        </w:r>
        <w:r>
          <w:rPr>
            <w:color w:val="231F20"/>
            <w:spacing w:val="11"/>
          </w:rPr>
          <w:t> </w:t>
        </w:r>
        <w:r>
          <w:rPr>
            <w:color w:val="231F20"/>
          </w:rPr>
          <w:t>view</w:t>
        </w:r>
        <w:r>
          <w:rPr>
            <w:color w:val="231F20"/>
            <w:spacing w:val="12"/>
          </w:rPr>
          <w:t> </w:t>
        </w:r>
        <w:r>
          <w:rPr>
            <w:color w:val="231F20"/>
          </w:rPr>
          <w:t>or</w:t>
        </w:r>
        <w:r>
          <w:rPr>
            <w:color w:val="231F20"/>
            <w:spacing w:val="11"/>
          </w:rPr>
          <w:t> </w:t>
        </w:r>
        <w:r>
          <w:rPr>
            <w:color w:val="231F20"/>
          </w:rPr>
          <w:t>item”</w:t>
        </w:r>
        <w:r>
          <w:rPr>
            <w:color w:val="231F20"/>
            <w:spacing w:val="11"/>
          </w:rPr>
          <w:t> </w:t>
        </w:r>
        <w:r>
          <w:rPr>
            <w:color w:val="231F20"/>
          </w:rPr>
          <w:t>on</w:t>
        </w:r>
        <w:r>
          <w:rPr>
            <w:color w:val="231F20"/>
            <w:spacing w:val="11"/>
          </w:rPr>
          <w:t> </w:t>
        </w:r>
        <w:r>
          <w:rPr>
            <w:color w:val="231F20"/>
          </w:rPr>
          <w:t>page</w:t>
        </w:r>
        <w:r>
          <w:rPr>
            <w:color w:val="231F20"/>
            <w:spacing w:val="12"/>
          </w:rPr>
          <w:t> </w:t>
        </w:r>
        <w:r>
          <w:rPr>
            <w:color w:val="231F20"/>
            <w:spacing w:val="-5"/>
          </w:rPr>
          <w:t>240</w:t>
        </w:r>
      </w:hyperlink>
    </w:p>
    <w:p>
      <w:pPr>
        <w:pStyle w:val="BodyText"/>
        <w:spacing w:line="213" w:lineRule="auto" w:before="8"/>
        <w:ind w:left="2472" w:right="258"/>
      </w:pPr>
      <w:r>
        <w:rPr>
          <w:color w:val="231F20"/>
        </w:rPr>
        <w:t>Use the Navigator editor to rename a Navigator view or any of its Navigator </w:t>
      </w:r>
      <w:r>
        <w:rPr>
          <w:color w:val="231F20"/>
        </w:rPr>
        <w:t>items</w:t>
      </w:r>
      <w:r>
        <w:rPr>
          <w:color w:val="231F20"/>
          <w:spacing w:val="40"/>
        </w:rPr>
        <w:t> </w:t>
      </w:r>
      <w:r>
        <w:rPr>
          <w:color w:val="231F20"/>
        </w:rPr>
        <w:t>or to edit the description.</w:t>
      </w:r>
    </w:p>
    <w:p>
      <w:pPr>
        <w:pStyle w:val="BodyText"/>
        <w:spacing w:line="255" w:lineRule="exact" w:before="36"/>
        <w:ind w:left="2472"/>
      </w:pPr>
      <w:hyperlink w:history="true" w:anchor="_bookmark174">
        <w:r>
          <w:rPr>
            <w:color w:val="231F20"/>
          </w:rPr>
          <w:t>“Deleting</w:t>
        </w:r>
        <w:r>
          <w:rPr>
            <w:color w:val="231F20"/>
            <w:spacing w:val="11"/>
          </w:rPr>
          <w:t> </w:t>
        </w:r>
        <w:r>
          <w:rPr>
            <w:color w:val="231F20"/>
          </w:rPr>
          <w:t>a</w:t>
        </w:r>
        <w:r>
          <w:rPr>
            <w:color w:val="231F20"/>
            <w:spacing w:val="11"/>
          </w:rPr>
          <w:t> </w:t>
        </w:r>
        <w:r>
          <w:rPr>
            <w:color w:val="231F20"/>
          </w:rPr>
          <w:t>Navigator</w:t>
        </w:r>
        <w:r>
          <w:rPr>
            <w:color w:val="231F20"/>
            <w:spacing w:val="12"/>
          </w:rPr>
          <w:t> </w:t>
        </w:r>
        <w:r>
          <w:rPr>
            <w:color w:val="231F20"/>
          </w:rPr>
          <w:t>view</w:t>
        </w:r>
        <w:r>
          <w:rPr>
            <w:color w:val="231F20"/>
            <w:spacing w:val="11"/>
          </w:rPr>
          <w:t> </w:t>
        </w:r>
        <w:r>
          <w:rPr>
            <w:color w:val="231F20"/>
          </w:rPr>
          <w:t>or</w:t>
        </w:r>
        <w:r>
          <w:rPr>
            <w:color w:val="231F20"/>
            <w:spacing w:val="12"/>
          </w:rPr>
          <w:t> </w:t>
        </w:r>
        <w:r>
          <w:rPr>
            <w:color w:val="231F20"/>
          </w:rPr>
          <w:t>item”</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5"/>
          </w:rPr>
          <w:t>240</w:t>
        </w:r>
      </w:hyperlink>
    </w:p>
    <w:p>
      <w:pPr>
        <w:pStyle w:val="BodyText"/>
        <w:spacing w:line="255" w:lineRule="exact"/>
        <w:ind w:left="2472"/>
      </w:pPr>
      <w:r>
        <w:rPr>
          <w:color w:val="231F20"/>
        </w:rPr>
        <w:t>Use</w:t>
      </w:r>
      <w:r>
        <w:rPr>
          <w:color w:val="231F20"/>
          <w:spacing w:val="11"/>
        </w:rPr>
        <w:t> </w:t>
      </w:r>
      <w:r>
        <w:rPr>
          <w:color w:val="231F20"/>
        </w:rPr>
        <w:t>the</w:t>
      </w:r>
      <w:r>
        <w:rPr>
          <w:color w:val="231F20"/>
          <w:spacing w:val="12"/>
        </w:rPr>
        <w:t> </w:t>
      </w:r>
      <w:r>
        <w:rPr>
          <w:color w:val="231F20"/>
        </w:rPr>
        <w:t>Navigator</w:t>
      </w:r>
      <w:r>
        <w:rPr>
          <w:color w:val="231F20"/>
          <w:spacing w:val="12"/>
        </w:rPr>
        <w:t> </w:t>
      </w:r>
      <w:r>
        <w:rPr>
          <w:color w:val="231F20"/>
        </w:rPr>
        <w:t>editor</w:t>
      </w:r>
      <w:r>
        <w:rPr>
          <w:color w:val="231F20"/>
          <w:spacing w:val="11"/>
        </w:rPr>
        <w:t> </w:t>
      </w:r>
      <w:r>
        <w:rPr>
          <w:color w:val="231F20"/>
        </w:rPr>
        <w:t>to</w:t>
      </w:r>
      <w:r>
        <w:rPr>
          <w:color w:val="231F20"/>
          <w:spacing w:val="12"/>
        </w:rPr>
        <w:t> </w:t>
      </w:r>
      <w:r>
        <w:rPr>
          <w:color w:val="231F20"/>
        </w:rPr>
        <w:t>delete</w:t>
      </w:r>
      <w:r>
        <w:rPr>
          <w:color w:val="231F20"/>
          <w:spacing w:val="12"/>
        </w:rPr>
        <w:t> </w:t>
      </w:r>
      <w:r>
        <w:rPr>
          <w:color w:val="231F20"/>
        </w:rPr>
        <w:t>a</w:t>
      </w:r>
      <w:r>
        <w:rPr>
          <w:color w:val="231F20"/>
          <w:spacing w:val="12"/>
        </w:rPr>
        <w:t> </w:t>
      </w:r>
      <w:r>
        <w:rPr>
          <w:color w:val="231F20"/>
        </w:rPr>
        <w:t>Navigator</w:t>
      </w:r>
      <w:r>
        <w:rPr>
          <w:color w:val="231F20"/>
          <w:spacing w:val="11"/>
        </w:rPr>
        <w:t> </w:t>
      </w:r>
      <w:r>
        <w:rPr>
          <w:color w:val="231F20"/>
        </w:rPr>
        <w:t>view</w:t>
      </w:r>
      <w:r>
        <w:rPr>
          <w:color w:val="231F20"/>
          <w:spacing w:val="12"/>
        </w:rPr>
        <w:t> </w:t>
      </w:r>
      <w:r>
        <w:rPr>
          <w:color w:val="231F20"/>
        </w:rPr>
        <w:t>or</w:t>
      </w:r>
      <w:r>
        <w:rPr>
          <w:color w:val="231F20"/>
          <w:spacing w:val="12"/>
        </w:rPr>
        <w:t> </w:t>
      </w:r>
      <w:r>
        <w:rPr>
          <w:color w:val="231F20"/>
        </w:rPr>
        <w:t>any</w:t>
      </w:r>
      <w:r>
        <w:rPr>
          <w:color w:val="231F20"/>
          <w:spacing w:val="11"/>
        </w:rPr>
        <w:t> </w:t>
      </w:r>
      <w:r>
        <w:rPr>
          <w:color w:val="231F20"/>
        </w:rPr>
        <w:t>of</w:t>
      </w:r>
      <w:r>
        <w:rPr>
          <w:color w:val="231F20"/>
          <w:spacing w:val="12"/>
        </w:rPr>
        <w:t> </w:t>
      </w:r>
      <w:r>
        <w:rPr>
          <w:color w:val="231F20"/>
        </w:rPr>
        <w:t>its</w:t>
      </w:r>
      <w:r>
        <w:rPr>
          <w:color w:val="231F20"/>
          <w:spacing w:val="12"/>
        </w:rPr>
        <w:t> </w:t>
      </w:r>
      <w:r>
        <w:rPr>
          <w:color w:val="231F20"/>
        </w:rPr>
        <w:t>Navigator</w:t>
      </w:r>
      <w:r>
        <w:rPr>
          <w:color w:val="231F20"/>
          <w:spacing w:val="12"/>
        </w:rPr>
        <w:t> </w:t>
      </w:r>
      <w:r>
        <w:rPr>
          <w:color w:val="231F20"/>
          <w:spacing w:val="-2"/>
        </w:rPr>
        <w:t>items.</w:t>
      </w:r>
    </w:p>
    <w:p>
      <w:pPr>
        <w:pStyle w:val="BodyText"/>
        <w:spacing w:before="13"/>
        <w:rPr>
          <w:sz w:val="15"/>
        </w:rPr>
      </w:pPr>
      <w:r>
        <w:rPr/>
        <mc:AlternateContent>
          <mc:Choice Requires="wps">
            <w:drawing>
              <wp:anchor distT="0" distB="0" distL="0" distR="0" allowOverlap="1" layoutInCell="1" locked="0" behindDoc="1" simplePos="0" relativeHeight="487716352">
                <wp:simplePos x="0" y="0"/>
                <wp:positionH relativeFrom="page">
                  <wp:posOffset>912380</wp:posOffset>
                </wp:positionH>
                <wp:positionV relativeFrom="paragraph">
                  <wp:posOffset>152088</wp:posOffset>
                </wp:positionV>
                <wp:extent cx="6082665" cy="1270"/>
                <wp:effectExtent l="0" t="0" r="0" b="0"/>
                <wp:wrapTopAndBottom/>
                <wp:docPr id="2032" name="Graphic 2032"/>
                <wp:cNvGraphicFramePr>
                  <a:graphicFrameLocks/>
                </wp:cNvGraphicFramePr>
                <a:graphic>
                  <a:graphicData uri="http://schemas.microsoft.com/office/word/2010/wordprocessingShape">
                    <wps:wsp>
                      <wps:cNvPr id="2032" name="Graphic 203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75482pt;width:478.95pt;height:.1pt;mso-position-horizontal-relative:page;mso-position-vertical-relative:paragraph;z-index:-15600128;mso-wrap-distance-left:0;mso-wrap-distance-right:0" id="docshape199"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Editing Navigator item properties" w:id="377"/>
      <w:bookmarkEnd w:id="377"/>
      <w:r>
        <w:rPr>
          <w:b w:val="0"/>
        </w:rPr>
      </w:r>
      <w:r>
        <w:rPr>
          <w:color w:val="231F20"/>
        </w:rPr>
        <w:t>Editing</w:t>
      </w:r>
      <w:r>
        <w:rPr>
          <w:color w:val="231F20"/>
          <w:spacing w:val="5"/>
        </w:rPr>
        <w:t> </w:t>
      </w:r>
      <w:r>
        <w:rPr>
          <w:color w:val="231F20"/>
        </w:rPr>
        <w:t>Navigator</w:t>
      </w:r>
      <w:r>
        <w:rPr>
          <w:color w:val="231F20"/>
          <w:spacing w:val="6"/>
        </w:rPr>
        <w:t> </w:t>
      </w:r>
      <w:r>
        <w:rPr>
          <w:color w:val="231F20"/>
        </w:rPr>
        <w:t>item</w:t>
      </w:r>
      <w:r>
        <w:rPr>
          <w:color w:val="231F20"/>
          <w:spacing w:val="5"/>
        </w:rPr>
        <w:t> </w:t>
      </w:r>
      <w:r>
        <w:rPr>
          <w:color w:val="231F20"/>
          <w:spacing w:val="-2"/>
        </w:rPr>
        <w:t>properties</w:t>
      </w:r>
    </w:p>
    <w:p>
      <w:pPr>
        <w:pStyle w:val="BodyText"/>
        <w:spacing w:line="213" w:lineRule="auto" w:before="138"/>
        <w:ind w:left="2472" w:right="493"/>
      </w:pPr>
      <w:r>
        <w:rPr>
          <w:color w:val="231F20"/>
        </w:rPr>
        <w:t>Open the Navigator item properties to see and edit the name, description, </w:t>
      </w:r>
      <w:r>
        <w:rPr>
          <w:color w:val="231F20"/>
        </w:rPr>
        <w:t>and managed system assignments.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385"/>
      </w:pPr>
      <w:r>
        <w:rPr>
          <w:color w:val="231F20"/>
        </w:rPr>
        <w:t>You can open the Navigator item properties in the Navigator view or in the Navigator editor. When the item properties are opened from the Navigator view, managed system assignments cannot be edited unless the Navigator item is not shared.</w:t>
      </w:r>
      <w:r>
        <w:rPr>
          <w:color w:val="231F20"/>
          <w:spacing w:val="13"/>
        </w:rPr>
        <w:t> </w:t>
      </w:r>
      <w:r>
        <w:rPr>
          <w:color w:val="231F20"/>
        </w:rPr>
        <w:t>(A shared</w:t>
      </w:r>
      <w:r>
        <w:rPr>
          <w:color w:val="231F20"/>
          <w:spacing w:val="13"/>
        </w:rPr>
        <w:t> </w:t>
      </w:r>
      <w:r>
        <w:rPr>
          <w:color w:val="231F20"/>
        </w:rPr>
        <w:t>item</w:t>
      </w:r>
      <w:r>
        <w:rPr>
          <w:color w:val="231F20"/>
          <w:spacing w:val="13"/>
        </w:rPr>
        <w:t> </w:t>
      </w:r>
      <w:r>
        <w:rPr>
          <w:color w:val="231F20"/>
        </w:rPr>
        <w:t>is</w:t>
      </w:r>
      <w:r>
        <w:rPr>
          <w:color w:val="231F20"/>
          <w:spacing w:val="13"/>
        </w:rPr>
        <w:t> </w:t>
      </w:r>
      <w:r>
        <w:rPr>
          <w:color w:val="231F20"/>
        </w:rPr>
        <w:t>indicated</w:t>
      </w:r>
      <w:r>
        <w:rPr>
          <w:color w:val="231F20"/>
          <w:spacing w:val="13"/>
        </w:rPr>
        <w:t> </w:t>
      </w:r>
      <w:r>
        <w:rPr>
          <w:color w:val="231F20"/>
        </w:rPr>
        <w:t>by</w:t>
      </w:r>
      <w:r>
        <w:rPr>
          <w:color w:val="231F20"/>
          <w:spacing w:val="13"/>
        </w:rPr>
        <w:t> </w:t>
      </w:r>
      <w:r>
        <w:rPr>
          <w:color w:val="231F20"/>
        </w:rPr>
        <w:t>a </w:t>
      </w:r>
      <w:r>
        <w:rPr>
          <w:color w:val="231F20"/>
          <w:spacing w:val="15"/>
        </w:rPr>
        <w:drawing>
          <wp:inline distT="0" distB="0" distL="0" distR="0">
            <wp:extent cx="77787" cy="77787"/>
            <wp:effectExtent l="0" t="0" r="0" b="0"/>
            <wp:docPr id="2033" name="Image 2033"/>
            <wp:cNvGraphicFramePr>
              <a:graphicFrameLocks/>
            </wp:cNvGraphicFramePr>
            <a:graphic>
              <a:graphicData uri="http://schemas.openxmlformats.org/drawingml/2006/picture">
                <pic:pic>
                  <pic:nvPicPr>
                    <pic:cNvPr id="2033" name="Image 2033"/>
                    <pic:cNvPicPr/>
                  </pic:nvPicPr>
                  <pic:blipFill>
                    <a:blip r:embed="rId105" cstate="print"/>
                    <a:stretch>
                      <a:fillRect/>
                    </a:stretch>
                  </pic:blipFill>
                  <pic:spPr>
                    <a:xfrm>
                      <a:off x="0" y="0"/>
                      <a:ext cx="77787" cy="77787"/>
                    </a:xfrm>
                    <a:prstGeom prst="rect">
                      <a:avLst/>
                    </a:prstGeom>
                  </pic:spPr>
                </pic:pic>
              </a:graphicData>
            </a:graphic>
          </wp:inline>
        </w:drawing>
      </w:r>
      <w:r>
        <w:rPr>
          <w:color w:val="231F20"/>
          <w:spacing w:val="15"/>
        </w:rPr>
      </w:r>
      <w:r>
        <w:rPr>
          <w:rFonts w:ascii="Times New Roman"/>
          <w:color w:val="231F20"/>
          <w:spacing w:val="63"/>
        </w:rPr>
        <w:t> </w:t>
      </w:r>
      <w:r>
        <w:rPr>
          <w:color w:val="231F20"/>
        </w:rPr>
        <w:t>shared</w:t>
      </w:r>
      <w:r>
        <w:rPr>
          <w:color w:val="231F20"/>
          <w:spacing w:val="13"/>
        </w:rPr>
        <w:t> </w:t>
      </w:r>
      <w:r>
        <w:rPr>
          <w:color w:val="231F20"/>
        </w:rPr>
        <w:t>icon</w:t>
      </w:r>
      <w:r>
        <w:rPr>
          <w:color w:val="231F20"/>
          <w:spacing w:val="13"/>
        </w:rPr>
        <w:t> </w:t>
      </w:r>
      <w:r>
        <w:rPr>
          <w:color w:val="231F20"/>
        </w:rPr>
        <w:t>over</w:t>
      </w:r>
      <w:r>
        <w:rPr>
          <w:color w:val="231F20"/>
          <w:spacing w:val="13"/>
        </w:rPr>
        <w:t> </w:t>
      </w:r>
      <w:r>
        <w:rPr>
          <w:color w:val="231F20"/>
        </w:rPr>
        <w:t>the</w:t>
      </w:r>
      <w:r>
        <w:rPr>
          <w:color w:val="231F20"/>
          <w:spacing w:val="13"/>
        </w:rPr>
        <w:t> </w:t>
      </w:r>
      <w:r>
        <w:rPr>
          <w:color w:val="231F20"/>
        </w:rPr>
        <w:t>Navigator</w:t>
      </w:r>
      <w:r>
        <w:rPr>
          <w:color w:val="231F20"/>
          <w:spacing w:val="13"/>
        </w:rPr>
        <w:t> </w:t>
      </w:r>
      <w:r>
        <w:rPr>
          <w:color w:val="231F20"/>
        </w:rPr>
        <w:t>item.)</w:t>
      </w:r>
    </w:p>
    <w:p>
      <w:pPr>
        <w:pStyle w:val="BodyText"/>
        <w:spacing w:before="214"/>
        <w:ind w:left="2472"/>
      </w:pPr>
      <w:r>
        <w:rPr>
          <w:color w:val="231F20"/>
        </w:rPr>
        <w:t>You</w:t>
      </w:r>
      <w:r>
        <w:rPr>
          <w:color w:val="231F20"/>
          <w:spacing w:val="8"/>
        </w:rPr>
        <w:t> </w:t>
      </w:r>
      <w:r>
        <w:rPr>
          <w:color w:val="231F20"/>
        </w:rPr>
        <w:t>cannot</w:t>
      </w:r>
      <w:r>
        <w:rPr>
          <w:color w:val="231F20"/>
          <w:spacing w:val="8"/>
        </w:rPr>
        <w:t> </w:t>
      </w:r>
      <w:r>
        <w:rPr>
          <w:color w:val="231F20"/>
        </w:rPr>
        <w:t>edit</w:t>
      </w:r>
      <w:r>
        <w:rPr>
          <w:color w:val="231F20"/>
          <w:spacing w:val="8"/>
        </w:rPr>
        <w:t> </w:t>
      </w:r>
      <w:r>
        <w:rPr>
          <w:color w:val="231F20"/>
        </w:rPr>
        <w:t>the</w:t>
      </w:r>
      <w:r>
        <w:rPr>
          <w:color w:val="231F20"/>
          <w:spacing w:val="8"/>
        </w:rPr>
        <w:t> </w:t>
      </w:r>
      <w:r>
        <w:rPr>
          <w:color w:val="231F20"/>
        </w:rPr>
        <w:t>Navigator</w:t>
      </w:r>
      <w:r>
        <w:rPr>
          <w:color w:val="231F20"/>
          <w:spacing w:val="9"/>
        </w:rPr>
        <w:t> </w:t>
      </w:r>
      <w:r>
        <w:rPr>
          <w:color w:val="231F20"/>
        </w:rPr>
        <w:t>Physical</w:t>
      </w:r>
      <w:r>
        <w:rPr>
          <w:color w:val="231F20"/>
          <w:spacing w:val="8"/>
        </w:rPr>
        <w:t> </w:t>
      </w:r>
      <w:r>
        <w:rPr>
          <w:color w:val="231F20"/>
        </w:rPr>
        <w:t>view</w:t>
      </w:r>
      <w:r>
        <w:rPr>
          <w:color w:val="231F20"/>
          <w:spacing w:val="8"/>
        </w:rPr>
        <w:t> </w:t>
      </w:r>
      <w:r>
        <w:rPr>
          <w:color w:val="231F20"/>
        </w:rPr>
        <w:t>managed</w:t>
      </w:r>
      <w:r>
        <w:rPr>
          <w:color w:val="231F20"/>
          <w:spacing w:val="8"/>
        </w:rPr>
        <w:t> </w:t>
      </w:r>
      <w:r>
        <w:rPr>
          <w:color w:val="231F20"/>
        </w:rPr>
        <w:t>system</w:t>
      </w:r>
      <w:r>
        <w:rPr>
          <w:color w:val="231F20"/>
          <w:spacing w:val="9"/>
        </w:rPr>
        <w:t> </w:t>
      </w:r>
      <w:r>
        <w:rPr>
          <w:color w:val="231F20"/>
          <w:spacing w:val="-2"/>
        </w:rPr>
        <w:t>assignments.</w:t>
      </w:r>
    </w:p>
    <w:p>
      <w:pPr>
        <w:pStyle w:val="Heading4"/>
        <w:spacing w:before="194"/>
        <w:ind w:left="2472"/>
      </w:pPr>
      <w:r>
        <w:rPr>
          <w:color w:val="231F20"/>
          <w:spacing w:val="-2"/>
        </w:rPr>
        <w:t>Procedure</w:t>
      </w:r>
    </w:p>
    <w:p>
      <w:pPr>
        <w:pStyle w:val="ListParagraph"/>
        <w:numPr>
          <w:ilvl w:val="1"/>
          <w:numId w:val="109"/>
        </w:numPr>
        <w:tabs>
          <w:tab w:pos="2787" w:val="left" w:leader="none"/>
        </w:tabs>
        <w:spacing w:line="240" w:lineRule="auto" w:before="39" w:after="0"/>
        <w:ind w:left="2787" w:right="0" w:hanging="315"/>
        <w:jc w:val="both"/>
        <w:rPr>
          <w:sz w:val="20"/>
        </w:rPr>
      </w:pPr>
      <w:r>
        <w:rPr>
          <w:color w:val="231F20"/>
          <w:sz w:val="20"/>
        </w:rPr>
        <w:t>Open</w:t>
      </w:r>
      <w:r>
        <w:rPr>
          <w:color w:val="231F20"/>
          <w:spacing w:val="10"/>
          <w:sz w:val="20"/>
        </w:rPr>
        <w:t> </w:t>
      </w:r>
      <w:r>
        <w:rPr>
          <w:color w:val="231F20"/>
          <w:sz w:val="20"/>
        </w:rPr>
        <w:t>the</w:t>
      </w:r>
      <w:r>
        <w:rPr>
          <w:color w:val="231F20"/>
          <w:spacing w:val="10"/>
          <w:sz w:val="20"/>
        </w:rPr>
        <w:t> </w:t>
      </w:r>
      <w:r>
        <w:rPr>
          <w:color w:val="231F20"/>
          <w:sz w:val="20"/>
        </w:rPr>
        <w:t>Navigator</w:t>
      </w:r>
      <w:r>
        <w:rPr>
          <w:color w:val="231F20"/>
          <w:spacing w:val="10"/>
          <w:sz w:val="20"/>
        </w:rPr>
        <w:t> </w:t>
      </w:r>
      <w:r>
        <w:rPr>
          <w:color w:val="231F20"/>
          <w:sz w:val="20"/>
        </w:rPr>
        <w:t>item</w:t>
      </w:r>
      <w:r>
        <w:rPr>
          <w:color w:val="231F20"/>
          <w:spacing w:val="10"/>
          <w:sz w:val="20"/>
        </w:rPr>
        <w:t> </w:t>
      </w:r>
      <w:r>
        <w:rPr>
          <w:color w:val="231F20"/>
          <w:sz w:val="20"/>
        </w:rPr>
        <w:t>properties</w:t>
      </w:r>
      <w:r>
        <w:rPr>
          <w:color w:val="231F20"/>
          <w:spacing w:val="10"/>
          <w:sz w:val="20"/>
        </w:rPr>
        <w:t> </w:t>
      </w:r>
      <w:r>
        <w:rPr>
          <w:color w:val="231F20"/>
          <w:sz w:val="20"/>
        </w:rPr>
        <w:t>from</w:t>
      </w:r>
      <w:r>
        <w:rPr>
          <w:color w:val="231F20"/>
          <w:spacing w:val="11"/>
          <w:sz w:val="20"/>
        </w:rPr>
        <w:t> </w:t>
      </w:r>
      <w:r>
        <w:rPr>
          <w:color w:val="231F20"/>
          <w:sz w:val="20"/>
        </w:rPr>
        <w:t>one</w:t>
      </w:r>
      <w:r>
        <w:rPr>
          <w:color w:val="231F20"/>
          <w:spacing w:val="10"/>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z w:val="20"/>
        </w:rPr>
        <w:t>following</w:t>
      </w:r>
      <w:r>
        <w:rPr>
          <w:color w:val="231F20"/>
          <w:spacing w:val="10"/>
          <w:sz w:val="20"/>
        </w:rPr>
        <w:t> </w:t>
      </w:r>
      <w:r>
        <w:rPr>
          <w:color w:val="231F20"/>
          <w:spacing w:val="-2"/>
          <w:sz w:val="20"/>
        </w:rPr>
        <w:t>places:</w:t>
      </w:r>
    </w:p>
    <w:p>
      <w:pPr>
        <w:pStyle w:val="BodyText"/>
        <w:spacing w:before="29"/>
        <w:ind w:left="2788"/>
        <w:jc w:val="both"/>
      </w:pPr>
      <w:r>
        <w:rPr>
          <w:rFonts w:ascii="Futura MdCn BT"/>
          <w:color w:val="231F20"/>
        </w:rPr>
        <w:t>v</w:t>
      </w:r>
      <w:r>
        <w:rPr>
          <w:rFonts w:ascii="Futura MdCn BT"/>
          <w:color w:val="231F20"/>
          <w:spacing w:val="31"/>
        </w:rPr>
        <w:t>  </w:t>
      </w:r>
      <w:r>
        <w:rPr>
          <w:color w:val="231F20"/>
        </w:rPr>
        <w:t>Right-click</w:t>
      </w:r>
      <w:r>
        <w:rPr>
          <w:color w:val="231F20"/>
          <w:spacing w:val="14"/>
        </w:rPr>
        <w:t> </w:t>
      </w:r>
      <w:r>
        <w:rPr>
          <w:color w:val="231F20"/>
        </w:rPr>
        <w:t>the</w:t>
      </w:r>
      <w:r>
        <w:rPr>
          <w:color w:val="231F20"/>
          <w:spacing w:val="13"/>
        </w:rPr>
        <w:t> </w:t>
      </w:r>
      <w:r>
        <w:rPr>
          <w:color w:val="231F20"/>
        </w:rPr>
        <w:t>Navigator</w:t>
      </w:r>
      <w:r>
        <w:rPr>
          <w:color w:val="231F20"/>
          <w:spacing w:val="12"/>
        </w:rPr>
        <w:t> </w:t>
      </w:r>
      <w:r>
        <w:rPr>
          <w:color w:val="231F20"/>
        </w:rPr>
        <w:t>item</w:t>
      </w:r>
      <w:r>
        <w:rPr>
          <w:color w:val="231F20"/>
          <w:spacing w:val="13"/>
        </w:rPr>
        <w:t> </w:t>
      </w:r>
      <w:r>
        <w:rPr>
          <w:color w:val="231F20"/>
        </w:rPr>
        <w:t>and</w:t>
      </w:r>
      <w:r>
        <w:rPr>
          <w:color w:val="231F20"/>
          <w:spacing w:val="13"/>
        </w:rPr>
        <w:t> </w:t>
      </w:r>
      <w:r>
        <w:rPr>
          <w:color w:val="231F20"/>
        </w:rPr>
        <w:t>click</w:t>
      </w:r>
      <w:r>
        <w:rPr>
          <w:color w:val="231F20"/>
          <w:spacing w:val="11"/>
        </w:rPr>
        <w:t> </w:t>
      </w:r>
      <w:r>
        <w:rPr>
          <w:color w:val="231F20"/>
          <w:spacing w:val="15"/>
          <w:position w:val="-1"/>
        </w:rPr>
        <w:drawing>
          <wp:inline distT="0" distB="0" distL="0" distR="0">
            <wp:extent cx="101600" cy="95250"/>
            <wp:effectExtent l="0" t="0" r="0" b="0"/>
            <wp:docPr id="2034" name="Image 2034"/>
            <wp:cNvGraphicFramePr>
              <a:graphicFrameLocks/>
            </wp:cNvGraphicFramePr>
            <a:graphic>
              <a:graphicData uri="http://schemas.openxmlformats.org/drawingml/2006/picture">
                <pic:pic>
                  <pic:nvPicPr>
                    <pic:cNvPr id="2034" name="Image 2034"/>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5"/>
        </w:rPr>
        <w:t> </w:t>
      </w:r>
      <w:r>
        <w:rPr>
          <w:rFonts w:ascii="Book Antiqua"/>
          <w:b/>
          <w:color w:val="231F20"/>
          <w:spacing w:val="-2"/>
        </w:rPr>
        <w:t>Properties</w:t>
      </w:r>
      <w:r>
        <w:rPr>
          <w:color w:val="231F20"/>
          <w:spacing w:val="-2"/>
        </w:rPr>
        <w:t>.</w:t>
      </w:r>
    </w:p>
    <w:p>
      <w:pPr>
        <w:spacing w:line="213" w:lineRule="auto" w:before="53"/>
        <w:ind w:left="3004" w:right="827" w:hanging="216"/>
        <w:jc w:val="both"/>
        <w:rPr>
          <w:sz w:val="20"/>
        </w:rPr>
      </w:pPr>
      <w:r>
        <w:rPr>
          <w:rFonts w:ascii="Futura MdCn BT"/>
          <w:color w:val="231F20"/>
          <w:sz w:val="20"/>
        </w:rPr>
        <w:t>v</w:t>
      </w:r>
      <w:r>
        <w:rPr>
          <w:rFonts w:ascii="Futura MdCn BT"/>
          <w:color w:val="231F20"/>
          <w:spacing w:val="40"/>
          <w:sz w:val="20"/>
        </w:rPr>
        <w:t> </w:t>
      </w:r>
      <w:r>
        <w:rPr>
          <w:color w:val="231F20"/>
          <w:sz w:val="20"/>
        </w:rPr>
        <w:t>In the Navigator toolbar, click </w:t>
      </w:r>
      <w:r>
        <w:rPr>
          <w:color w:val="231F20"/>
          <w:spacing w:val="-25"/>
          <w:position w:val="-1"/>
          <w:sz w:val="20"/>
        </w:rPr>
        <w:drawing>
          <wp:inline distT="0" distB="0" distL="0" distR="0">
            <wp:extent cx="95250" cy="101600"/>
            <wp:effectExtent l="0" t="0" r="0" b="0"/>
            <wp:docPr id="2035" name="Image 2035"/>
            <wp:cNvGraphicFramePr>
              <a:graphicFrameLocks/>
            </wp:cNvGraphicFramePr>
            <a:graphic>
              <a:graphicData uri="http://schemas.openxmlformats.org/drawingml/2006/picture">
                <pic:pic>
                  <pic:nvPicPr>
                    <pic:cNvPr id="2035" name="Image 2035"/>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40"/>
          <w:sz w:val="20"/>
        </w:rPr>
        <w:t> </w:t>
      </w:r>
      <w:r>
        <w:rPr>
          <w:rFonts w:ascii="Book Antiqua"/>
          <w:b/>
          <w:color w:val="231F20"/>
          <w:sz w:val="20"/>
        </w:rPr>
        <w:t>Edit Navigator View</w:t>
      </w:r>
      <w:r>
        <w:rPr>
          <w:color w:val="231F20"/>
          <w:sz w:val="20"/>
        </w:rPr>
        <w:t>. Right-click </w:t>
      </w:r>
      <w:r>
        <w:rPr>
          <w:color w:val="231F20"/>
          <w:sz w:val="20"/>
        </w:rPr>
        <w:t>the</w:t>
      </w:r>
      <w:r>
        <w:rPr>
          <w:color w:val="231F20"/>
          <w:sz w:val="20"/>
        </w:rPr>
        <w:t> Navigator item and click </w:t>
      </w:r>
      <w:r>
        <w:rPr>
          <w:color w:val="231F20"/>
          <w:spacing w:val="16"/>
          <w:position w:val="-1"/>
          <w:sz w:val="20"/>
        </w:rPr>
        <w:drawing>
          <wp:inline distT="0" distB="0" distL="0" distR="0">
            <wp:extent cx="101600" cy="95250"/>
            <wp:effectExtent l="0" t="0" r="0" b="0"/>
            <wp:docPr id="2036" name="Image 2036"/>
            <wp:cNvGraphicFramePr>
              <a:graphicFrameLocks/>
            </wp:cNvGraphicFramePr>
            <a:graphic>
              <a:graphicData uri="http://schemas.openxmlformats.org/drawingml/2006/picture">
                <pic:pic>
                  <pic:nvPicPr>
                    <pic:cNvPr id="2036" name="Image 2036"/>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Properties</w:t>
      </w:r>
      <w:r>
        <w:rPr>
          <w:color w:val="231F20"/>
          <w:sz w:val="20"/>
        </w:rPr>
        <w:t>.</w:t>
      </w:r>
    </w:p>
    <w:p>
      <w:pPr>
        <w:pStyle w:val="ListParagraph"/>
        <w:numPr>
          <w:ilvl w:val="1"/>
          <w:numId w:val="109"/>
        </w:numPr>
        <w:tabs>
          <w:tab w:pos="2788" w:val="left" w:leader="none"/>
        </w:tabs>
        <w:spacing w:line="213" w:lineRule="auto" w:before="58" w:after="0"/>
        <w:ind w:left="2788" w:right="271" w:hanging="316"/>
        <w:jc w:val="both"/>
        <w:rPr>
          <w:sz w:val="20"/>
        </w:rPr>
      </w:pPr>
      <w:r>
        <w:rPr>
          <w:color w:val="231F20"/>
          <w:sz w:val="20"/>
        </w:rPr>
        <w:t>Edit the name and description as needed. The name is shown in the </w:t>
      </w:r>
      <w:r>
        <w:rPr>
          <w:color w:val="231F20"/>
          <w:sz w:val="20"/>
        </w:rPr>
        <w:t>Navigator view and the description displays when you move the mouse pointer over the name in the tabbed list at the bottom of the view.</w:t>
      </w:r>
    </w:p>
    <w:p>
      <w:pPr>
        <w:pStyle w:val="ListParagraph"/>
        <w:numPr>
          <w:ilvl w:val="1"/>
          <w:numId w:val="109"/>
        </w:numPr>
        <w:tabs>
          <w:tab w:pos="2788" w:val="left" w:leader="none"/>
        </w:tabs>
        <w:spacing w:line="213" w:lineRule="auto" w:before="58" w:after="0"/>
        <w:ind w:left="2788" w:right="167" w:hanging="316"/>
        <w:jc w:val="left"/>
        <w:rPr>
          <w:sz w:val="20"/>
        </w:rPr>
      </w:pPr>
      <w:r>
        <w:rPr>
          <w:color w:val="231F20"/>
          <w:sz w:val="20"/>
        </w:rPr>
        <w:t>Edit</w:t>
      </w:r>
      <w:r>
        <w:rPr>
          <w:color w:val="231F20"/>
          <w:spacing w:val="29"/>
          <w:sz w:val="20"/>
        </w:rPr>
        <w:t> </w:t>
      </w:r>
      <w:r>
        <w:rPr>
          <w:color w:val="231F20"/>
          <w:sz w:val="20"/>
        </w:rPr>
        <w:t>the</w:t>
      </w:r>
      <w:r>
        <w:rPr>
          <w:color w:val="231F20"/>
          <w:spacing w:val="29"/>
          <w:sz w:val="20"/>
        </w:rPr>
        <w:t> </w:t>
      </w:r>
      <w:r>
        <w:rPr>
          <w:color w:val="231F20"/>
          <w:sz w:val="20"/>
        </w:rPr>
        <w:t>managed</w:t>
      </w:r>
      <w:r>
        <w:rPr>
          <w:color w:val="231F20"/>
          <w:spacing w:val="29"/>
          <w:sz w:val="20"/>
        </w:rPr>
        <w:t> </w:t>
      </w:r>
      <w:r>
        <w:rPr>
          <w:color w:val="231F20"/>
          <w:sz w:val="20"/>
        </w:rPr>
        <w:t>system</w:t>
      </w:r>
      <w:r>
        <w:rPr>
          <w:color w:val="231F20"/>
          <w:spacing w:val="29"/>
          <w:sz w:val="20"/>
        </w:rPr>
        <w:t> </w:t>
      </w:r>
      <w:r>
        <w:rPr>
          <w:color w:val="231F20"/>
          <w:sz w:val="20"/>
        </w:rPr>
        <w:t>assignments</w:t>
      </w:r>
      <w:r>
        <w:rPr>
          <w:color w:val="231F20"/>
          <w:spacing w:val="29"/>
          <w:sz w:val="20"/>
        </w:rPr>
        <w:t> </w:t>
      </w:r>
      <w:r>
        <w:rPr>
          <w:color w:val="231F20"/>
          <w:sz w:val="20"/>
        </w:rPr>
        <w:t>as</w:t>
      </w:r>
      <w:r>
        <w:rPr>
          <w:color w:val="231F20"/>
          <w:spacing w:val="29"/>
          <w:sz w:val="20"/>
        </w:rPr>
        <w:t> </w:t>
      </w:r>
      <w:r>
        <w:rPr>
          <w:color w:val="231F20"/>
          <w:sz w:val="20"/>
        </w:rPr>
        <w:t>needed.</w:t>
      </w:r>
      <w:r>
        <w:rPr>
          <w:color w:val="231F20"/>
          <w:spacing w:val="29"/>
          <w:sz w:val="20"/>
        </w:rPr>
        <w:t> </w:t>
      </w:r>
      <w:r>
        <w:rPr>
          <w:color w:val="231F20"/>
          <w:sz w:val="20"/>
        </w:rPr>
        <w:t>The</w:t>
      </w:r>
      <w:r>
        <w:rPr>
          <w:color w:val="231F20"/>
          <w:spacing w:val="21"/>
          <w:sz w:val="20"/>
        </w:rPr>
        <w:t> </w:t>
      </w:r>
      <w:r>
        <w:rPr>
          <w:color w:val="231F20"/>
          <w:sz w:val="20"/>
        </w:rPr>
        <w:t>Assigned</w:t>
      </w:r>
      <w:r>
        <w:rPr>
          <w:color w:val="231F20"/>
          <w:spacing w:val="29"/>
          <w:sz w:val="20"/>
        </w:rPr>
        <w:t> </w:t>
      </w:r>
      <w:r>
        <w:rPr>
          <w:color w:val="231F20"/>
          <w:sz w:val="20"/>
        </w:rPr>
        <w:t>list</w:t>
      </w:r>
      <w:r>
        <w:rPr>
          <w:color w:val="231F20"/>
          <w:spacing w:val="29"/>
          <w:sz w:val="20"/>
        </w:rPr>
        <w:t> </w:t>
      </w:r>
      <w:r>
        <w:rPr>
          <w:color w:val="231F20"/>
          <w:sz w:val="20"/>
        </w:rPr>
        <w:t>has</w:t>
      </w:r>
      <w:r>
        <w:rPr>
          <w:color w:val="231F20"/>
          <w:spacing w:val="29"/>
          <w:sz w:val="20"/>
        </w:rPr>
        <w:t> </w:t>
      </w:r>
      <w:r>
        <w:rPr>
          <w:color w:val="231F20"/>
          <w:sz w:val="20"/>
        </w:rPr>
        <w:t>no effect on the availability of queries for the workspace, only the event indicators for situations. If you have no managed systems assigned to this Navigator </w:t>
      </w:r>
      <w:r>
        <w:rPr>
          <w:color w:val="231F20"/>
          <w:sz w:val="20"/>
        </w:rPr>
        <w:t>item, no events are displayed for it unless they are part of a roll-up display of events,</w:t>
      </w:r>
      <w:r>
        <w:rPr>
          <w:color w:val="231F20"/>
          <w:spacing w:val="40"/>
          <w:sz w:val="20"/>
        </w:rPr>
        <w:t> </w:t>
      </w:r>
      <w:r>
        <w:rPr>
          <w:color w:val="231F20"/>
          <w:sz w:val="20"/>
        </w:rPr>
        <w:t>and the Situation editor will not be available from the pop-up menu.</w:t>
      </w:r>
    </w:p>
    <w:p>
      <w:pPr>
        <w:pStyle w:val="BodyText"/>
        <w:spacing w:line="213" w:lineRule="auto" w:before="57"/>
        <w:ind w:left="3004" w:right="545"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95250" cy="95250"/>
            <wp:effectExtent l="0" t="0" r="0" b="0"/>
            <wp:docPr id="2037" name="Image 2037"/>
            <wp:cNvGraphicFramePr>
              <a:graphicFrameLocks/>
            </wp:cNvGraphicFramePr>
            <a:graphic>
              <a:graphicData uri="http://schemas.openxmlformats.org/drawingml/2006/picture">
                <pic:pic>
                  <pic:nvPicPr>
                    <pic:cNvPr id="2037" name="Image 2037"/>
                    <pic:cNvPicPr/>
                  </pic:nvPicPr>
                  <pic:blipFill>
                    <a:blip r:embed="rId84" cstate="print"/>
                    <a:stretch>
                      <a:fillRect/>
                    </a:stretch>
                  </pic:blipFill>
                  <pic:spPr>
                    <a:xfrm>
                      <a:off x="0" y="0"/>
                      <a:ext cx="95250" cy="95250"/>
                    </a:xfrm>
                    <a:prstGeom prst="rect">
                      <a:avLst/>
                    </a:prstGeom>
                  </pic:spPr>
                </pic:pic>
              </a:graphicData>
            </a:graphic>
          </wp:inline>
        </w:drawing>
      </w:r>
      <w:r>
        <w:rPr>
          <w:rFonts w:ascii="Futura MdCn BT"/>
          <w:color w:val="231F20"/>
          <w:spacing w:val="5"/>
          <w:position w:val="-1"/>
        </w:rPr>
      </w:r>
      <w:r>
        <w:rPr>
          <w:rFonts w:ascii="Times New Roman"/>
          <w:color w:val="231F20"/>
          <w:spacing w:val="40"/>
        </w:rPr>
        <w:t> </w:t>
      </w:r>
      <w:r>
        <w:rPr>
          <w:rFonts w:ascii="Book Antiqua"/>
          <w:b/>
          <w:color w:val="231F20"/>
        </w:rPr>
        <w:t>Monitored resources </w:t>
      </w:r>
      <w:r>
        <w:rPr>
          <w:color w:val="231F20"/>
        </w:rPr>
        <w:t>shows the managed systems that were assigned through this tab or by shared Navigator items. If the Assigned list is populated but unavailable (dimmed), the assignments were created by sharing items from the Source Navigator view with the Target view.</w:t>
      </w:r>
    </w:p>
    <w:p>
      <w:pPr>
        <w:pStyle w:val="BodyText"/>
        <w:spacing w:line="213" w:lineRule="auto" w:before="57"/>
        <w:ind w:left="3004" w:right="274"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88900" cy="88900"/>
            <wp:effectExtent l="0" t="0" r="0" b="0"/>
            <wp:docPr id="2038" name="Image 2038"/>
            <wp:cNvGraphicFramePr>
              <a:graphicFrameLocks/>
            </wp:cNvGraphicFramePr>
            <a:graphic>
              <a:graphicData uri="http://schemas.openxmlformats.org/drawingml/2006/picture">
                <pic:pic>
                  <pic:nvPicPr>
                    <pic:cNvPr id="2038" name="Image 2038"/>
                    <pic:cNvPicPr/>
                  </pic:nvPicPr>
                  <pic:blipFill>
                    <a:blip r:embed="rId355" cstate="print"/>
                    <a:stretch>
                      <a:fillRect/>
                    </a:stretch>
                  </pic:blipFill>
                  <pic:spPr>
                    <a:xfrm>
                      <a:off x="0" y="0"/>
                      <a:ext cx="88900" cy="88900"/>
                    </a:xfrm>
                    <a:prstGeom prst="rect">
                      <a:avLst/>
                    </a:prstGeom>
                  </pic:spPr>
                </pic:pic>
              </a:graphicData>
            </a:graphic>
          </wp:inline>
        </w:drawing>
      </w:r>
      <w:r>
        <w:rPr>
          <w:rFonts w:ascii="Futura MdCn BT"/>
          <w:color w:val="231F20"/>
          <w:spacing w:val="5"/>
          <w:position w:val="-1"/>
        </w:rPr>
      </w:r>
      <w:r>
        <w:rPr>
          <w:rFonts w:ascii="Times New Roman"/>
          <w:color w:val="231F20"/>
          <w:spacing w:val="40"/>
        </w:rPr>
        <w:t> </w:t>
      </w:r>
      <w:r>
        <w:rPr>
          <w:rFonts w:ascii="Book Antiqua"/>
          <w:b/>
          <w:color w:val="231F20"/>
        </w:rPr>
        <w:t>Dynamic items </w:t>
      </w:r>
      <w:r>
        <w:rPr>
          <w:color w:val="231F20"/>
        </w:rPr>
        <w:t>shows the managed system groups that were assigned through this tab. Use the tab to assign managed system groups to the Navigator item as </w:t>
      </w:r>
      <w:r>
        <w:rPr>
          <w:rFonts w:ascii="Book Antiqua"/>
          <w:i/>
          <w:color w:val="231F20"/>
        </w:rPr>
        <w:t>dynamic members </w:t>
      </w:r>
      <w:r>
        <w:rPr>
          <w:color w:val="231F20"/>
        </w:rPr>
        <w:t>(child items) so that the Navigator item and the items it contains are updated automatically when managed systems are added to or removed from the managed system groups. Select a </w:t>
      </w:r>
      <w:r>
        <w:rPr>
          <w:color w:val="231F20"/>
        </w:rPr>
        <w:t>member</w:t>
      </w:r>
      <w:r>
        <w:rPr>
          <w:color w:val="231F20"/>
        </w:rPr>
        <w:t> and click </w:t>
      </w:r>
      <w:r>
        <w:rPr>
          <w:color w:val="231F20"/>
          <w:spacing w:val="16"/>
          <w:position w:val="-1"/>
        </w:rPr>
        <w:drawing>
          <wp:inline distT="0" distB="0" distL="0" distR="0">
            <wp:extent cx="101600" cy="95250"/>
            <wp:effectExtent l="0" t="0" r="0" b="0"/>
            <wp:docPr id="2039" name="Image 2039"/>
            <wp:cNvGraphicFramePr>
              <a:graphicFrameLocks/>
            </wp:cNvGraphicFramePr>
            <a:graphic>
              <a:graphicData uri="http://schemas.openxmlformats.org/drawingml/2006/picture">
                <pic:pic>
                  <pic:nvPicPr>
                    <pic:cNvPr id="2039" name="Image 2039"/>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Options </w:t>
      </w:r>
      <w:r>
        <w:rPr>
          <w:color w:val="231F20"/>
        </w:rPr>
        <w:t>to change the dynamic Navigator item levels that are displayed in the branch.</w:t>
      </w:r>
    </w:p>
    <w:p>
      <w:pPr>
        <w:pStyle w:val="BodyText"/>
        <w:spacing w:line="211" w:lineRule="auto" w:before="56"/>
        <w:ind w:left="3004" w:right="545" w:hanging="216"/>
      </w:pPr>
      <w:r>
        <w:rPr>
          <w:rFonts w:ascii="Futura MdCn BT" w:hAnsi="Futura MdCn BT"/>
          <w:color w:val="231F20"/>
        </w:rPr>
        <w:t>v</w:t>
      </w:r>
      <w:r>
        <w:rPr>
          <w:rFonts w:ascii="Futura MdCn BT" w:hAnsi="Futura MdCn BT"/>
          <w:color w:val="231F20"/>
          <w:spacing w:val="80"/>
        </w:rPr>
        <w:t> </w:t>
      </w:r>
      <w:r>
        <w:rPr>
          <w:rFonts w:ascii="Futura MdCn BT" w:hAnsi="Futura MdCn BT"/>
          <w:color w:val="231F20"/>
          <w:spacing w:val="4"/>
          <w:position w:val="-5"/>
        </w:rPr>
        <w:drawing>
          <wp:inline distT="0" distB="0" distL="0" distR="0">
            <wp:extent cx="109728" cy="109728"/>
            <wp:effectExtent l="0" t="0" r="0" b="0"/>
            <wp:docPr id="2040" name="Image 2040"/>
            <wp:cNvGraphicFramePr>
              <a:graphicFrameLocks/>
            </wp:cNvGraphicFramePr>
            <a:graphic>
              <a:graphicData uri="http://schemas.openxmlformats.org/drawingml/2006/picture">
                <pic:pic>
                  <pic:nvPicPr>
                    <pic:cNvPr id="2040" name="Image 2040"/>
                    <pic:cNvPicPr/>
                  </pic:nvPicPr>
                  <pic:blipFill>
                    <a:blip r:embed="rId363" cstate="print"/>
                    <a:stretch>
                      <a:fillRect/>
                    </a:stretch>
                  </pic:blipFill>
                  <pic:spPr>
                    <a:xfrm>
                      <a:off x="0" y="0"/>
                      <a:ext cx="109728" cy="109728"/>
                    </a:xfrm>
                    <a:prstGeom prst="rect">
                      <a:avLst/>
                    </a:prstGeom>
                  </pic:spPr>
                </pic:pic>
              </a:graphicData>
            </a:graphic>
          </wp:inline>
        </w:drawing>
      </w:r>
      <w:r>
        <w:rPr>
          <w:rFonts w:ascii="Futura MdCn BT" w:hAnsi="Futura MdCn BT"/>
          <w:color w:val="231F20"/>
          <w:spacing w:val="4"/>
          <w:position w:val="-5"/>
        </w:rPr>
      </w:r>
      <w:r>
        <w:rPr>
          <w:rFonts w:ascii="Times New Roman" w:hAnsi="Times New Roman"/>
          <w:color w:val="231F20"/>
          <w:spacing w:val="4"/>
        </w:rPr>
        <w:t> </w:t>
      </w:r>
      <w:r>
        <w:rPr>
          <w:rFonts w:ascii="Book Antiqua" w:hAnsi="Book Antiqua"/>
          <w:b/>
          <w:color w:val="231F20"/>
        </w:rPr>
        <w:t>Symbols </w:t>
      </w:r>
      <w:r>
        <w:rPr>
          <w:color w:val="231F20"/>
        </w:rPr>
        <w:t>shows the symbol name/value pairs associated with a physical</w:t>
      </w:r>
      <w:r>
        <w:rPr>
          <w:color w:val="231F20"/>
          <w:spacing w:val="80"/>
        </w:rPr>
        <w:t> </w:t>
      </w:r>
      <w:r>
        <w:rPr>
          <w:color w:val="231F20"/>
        </w:rPr>
        <w:t>or logical navigator node. You can also define Take Action commands that reference these symbol names. See </w:t>
      </w:r>
      <w:hyperlink w:history="true" w:anchor="_bookmark178">
        <w:r>
          <w:rPr>
            <w:color w:val="231F20"/>
          </w:rPr>
          <w:t>“Adding or editing a symbol” on page</w:t>
        </w:r>
      </w:hyperlink>
      <w:r>
        <w:rPr>
          <w:color w:val="231F20"/>
        </w:rPr>
        <w:t> </w:t>
      </w:r>
      <w:hyperlink w:history="true" w:anchor="_bookmark178">
        <w:r>
          <w:rPr>
            <w:color w:val="231F20"/>
            <w:spacing w:val="-4"/>
          </w:rPr>
          <w:t>245.</w:t>
        </w:r>
      </w:hyperlink>
    </w:p>
    <w:p>
      <w:pPr>
        <w:spacing w:after="0" w:line="211" w:lineRule="auto"/>
        <w:sectPr>
          <w:pgSz w:w="12240" w:h="15840"/>
          <w:pgMar w:header="0" w:footer="736" w:top="1180" w:bottom="920" w:left="1000" w:right="1060"/>
        </w:sectPr>
      </w:pPr>
    </w:p>
    <w:p>
      <w:pPr>
        <w:pStyle w:val="Heading4"/>
        <w:spacing w:before="86"/>
      </w:pPr>
      <w:bookmarkStart w:name="_bookmark174" w:id="378"/>
      <w:bookmarkEnd w:id="378"/>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spacing w:line="213" w:lineRule="auto" w:before="242"/>
        <w:ind w:left="2232" w:right="545" w:firstLine="0"/>
        <w:jc w:val="left"/>
        <w:rPr>
          <w:sz w:val="20"/>
        </w:rPr>
      </w:pPr>
      <w:r>
        <w:rPr>
          <w:color w:val="231F20"/>
          <w:sz w:val="20"/>
        </w:rPr>
        <w:t>Click the activated </w:t>
      </w:r>
      <w:r>
        <w:rPr>
          <w:color w:val="231F20"/>
          <w:spacing w:val="-24"/>
          <w:position w:val="-1"/>
          <w:sz w:val="20"/>
        </w:rPr>
        <w:drawing>
          <wp:inline distT="0" distB="0" distL="0" distR="0">
            <wp:extent cx="95250" cy="101600"/>
            <wp:effectExtent l="0" t="0" r="0" b="0"/>
            <wp:docPr id="2041" name="Image 2041"/>
            <wp:cNvGraphicFramePr>
              <a:graphicFrameLocks/>
            </wp:cNvGraphicFramePr>
            <a:graphic>
              <a:graphicData uri="http://schemas.openxmlformats.org/drawingml/2006/picture">
                <pic:pic>
                  <pic:nvPicPr>
                    <pic:cNvPr id="2041" name="Image 2041"/>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rFonts w:ascii="Book Antiqua"/>
          <w:b/>
          <w:color w:val="231F20"/>
          <w:sz w:val="20"/>
        </w:rPr>
        <w:t>Navigator updates pending </w:t>
      </w:r>
      <w:r>
        <w:rPr>
          <w:color w:val="231F20"/>
          <w:sz w:val="20"/>
        </w:rPr>
        <w:t>tool in the Navigator toolbar </w:t>
      </w:r>
      <w:r>
        <w:rPr>
          <w:color w:val="231F20"/>
          <w:sz w:val="20"/>
        </w:rPr>
        <w:t>to refresh the Navigator view.</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170">
        <w:r>
          <w:rPr>
            <w:color w:val="231F20"/>
          </w:rPr>
          <w:t>“Editing</w:t>
        </w:r>
        <w:r>
          <w:rPr>
            <w:color w:val="231F20"/>
            <w:spacing w:val="11"/>
          </w:rPr>
          <w:t> </w:t>
        </w:r>
        <w:r>
          <w:rPr>
            <w:color w:val="231F20"/>
          </w:rPr>
          <w:t>a</w:t>
        </w:r>
        <w:r>
          <w:rPr>
            <w:color w:val="231F20"/>
            <w:spacing w:val="11"/>
          </w:rPr>
          <w:t> </w:t>
        </w:r>
        <w:r>
          <w:rPr>
            <w:color w:val="231F20"/>
          </w:rPr>
          <w:t>Navigator</w:t>
        </w:r>
        <w:r>
          <w:rPr>
            <w:color w:val="231F20"/>
            <w:spacing w:val="11"/>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237</w:t>
        </w:r>
      </w:hyperlink>
    </w:p>
    <w:p>
      <w:pPr>
        <w:pStyle w:val="BodyText"/>
        <w:spacing w:line="213" w:lineRule="auto" w:before="7"/>
        <w:ind w:left="2232" w:right="545"/>
      </w:pPr>
      <w:r>
        <w:rPr>
          <w:color w:val="231F20"/>
        </w:rPr>
        <w:t>Use the Navigator editor to edit the Navigator view and the managed systems </w:t>
      </w:r>
      <w:r>
        <w:rPr>
          <w:color w:val="231F20"/>
        </w:rPr>
        <w:t>or dynamic members assigned to the items.</w:t>
      </w:r>
    </w:p>
    <w:p>
      <w:pPr>
        <w:pStyle w:val="BodyText"/>
        <w:spacing w:before="6"/>
        <w:rPr>
          <w:sz w:val="16"/>
        </w:rPr>
      </w:pPr>
      <w:r>
        <w:rPr/>
        <mc:AlternateContent>
          <mc:Choice Requires="wps">
            <w:drawing>
              <wp:anchor distT="0" distB="0" distL="0" distR="0" allowOverlap="1" layoutInCell="1" locked="0" behindDoc="1" simplePos="0" relativeHeight="487716864">
                <wp:simplePos x="0" y="0"/>
                <wp:positionH relativeFrom="page">
                  <wp:posOffset>760323</wp:posOffset>
                </wp:positionH>
                <wp:positionV relativeFrom="paragraph">
                  <wp:posOffset>156296</wp:posOffset>
                </wp:positionV>
                <wp:extent cx="6082665" cy="1270"/>
                <wp:effectExtent l="0" t="0" r="0" b="0"/>
                <wp:wrapTopAndBottom/>
                <wp:docPr id="2042" name="Graphic 2042"/>
                <wp:cNvGraphicFramePr>
                  <a:graphicFrameLocks/>
                </wp:cNvGraphicFramePr>
                <a:graphic>
                  <a:graphicData uri="http://schemas.microsoft.com/office/word/2010/wordprocessingShape">
                    <wps:wsp>
                      <wps:cNvPr id="2042" name="Graphic 204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6828pt;width:478.95pt;height:.1pt;mso-position-horizontal-relative:page;mso-position-vertical-relative:paragraph;z-index:-15599616;mso-wrap-distance-left:0;mso-wrap-distance-right:0" id="docshape200"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Renaming a Navigator view or item" w:id="379"/>
      <w:bookmarkEnd w:id="379"/>
      <w:r>
        <w:rPr>
          <w:b w:val="0"/>
        </w:rPr>
      </w:r>
      <w:r>
        <w:rPr>
          <w:color w:val="231F20"/>
        </w:rPr>
        <w:t>Renaming</w:t>
      </w:r>
      <w:r>
        <w:rPr>
          <w:color w:val="231F20"/>
          <w:spacing w:val="7"/>
        </w:rPr>
        <w:t> </w:t>
      </w:r>
      <w:r>
        <w:rPr>
          <w:color w:val="231F20"/>
        </w:rPr>
        <w:t>a</w:t>
      </w:r>
      <w:r>
        <w:rPr>
          <w:color w:val="231F20"/>
          <w:spacing w:val="8"/>
        </w:rPr>
        <w:t> </w:t>
      </w:r>
      <w:r>
        <w:rPr>
          <w:color w:val="231F20"/>
        </w:rPr>
        <w:t>Navigator</w:t>
      </w:r>
      <w:r>
        <w:rPr>
          <w:color w:val="231F20"/>
          <w:spacing w:val="7"/>
        </w:rPr>
        <w:t> </w:t>
      </w:r>
      <w:r>
        <w:rPr>
          <w:color w:val="231F20"/>
        </w:rPr>
        <w:t>view</w:t>
      </w:r>
      <w:r>
        <w:rPr>
          <w:color w:val="231F20"/>
          <w:spacing w:val="8"/>
        </w:rPr>
        <w:t> </w:t>
      </w:r>
      <w:r>
        <w:rPr>
          <w:color w:val="231F20"/>
        </w:rPr>
        <w:t>or</w:t>
      </w:r>
      <w:r>
        <w:rPr>
          <w:color w:val="231F20"/>
          <w:spacing w:val="8"/>
        </w:rPr>
        <w:t> </w:t>
      </w:r>
      <w:r>
        <w:rPr>
          <w:color w:val="231F20"/>
          <w:spacing w:val="-4"/>
        </w:rPr>
        <w:t>item</w:t>
      </w:r>
    </w:p>
    <w:p>
      <w:pPr>
        <w:pStyle w:val="BodyText"/>
        <w:spacing w:line="213" w:lineRule="auto" w:before="138"/>
        <w:ind w:left="2232" w:right="545"/>
      </w:pPr>
      <w:r>
        <w:rPr>
          <w:color w:val="231F20"/>
        </w:rPr>
        <w:t>Use the Navigator editor to rename a Navigator view or any of its Navigator items</w:t>
      </w:r>
      <w:r>
        <w:rPr>
          <w:color w:val="231F20"/>
          <w:spacing w:val="40"/>
        </w:rPr>
        <w:t> </w:t>
      </w:r>
      <w:r>
        <w:rPr>
          <w:color w:val="231F20"/>
        </w:rPr>
        <w:t>or to edit the description.</w:t>
      </w:r>
    </w:p>
    <w:p>
      <w:pPr>
        <w:pStyle w:val="Heading4"/>
      </w:pPr>
      <w:r>
        <w:rPr>
          <w:color w:val="231F20"/>
          <w:spacing w:val="-2"/>
        </w:rPr>
        <w:t>Procedure</w:t>
      </w:r>
    </w:p>
    <w:p>
      <w:pPr>
        <w:pStyle w:val="ListParagraph"/>
        <w:numPr>
          <w:ilvl w:val="0"/>
          <w:numId w:val="111"/>
        </w:numPr>
        <w:tabs>
          <w:tab w:pos="2547" w:val="left" w:leader="none"/>
        </w:tabs>
        <w:spacing w:line="240" w:lineRule="auto" w:before="39" w:after="0"/>
        <w:ind w:left="2547" w:right="0" w:hanging="315"/>
        <w:jc w:val="left"/>
        <w:rPr>
          <w:sz w:val="20"/>
        </w:rPr>
      </w:pP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Navigator</w:t>
      </w:r>
      <w:r>
        <w:rPr>
          <w:color w:val="231F20"/>
          <w:spacing w:val="11"/>
          <w:sz w:val="20"/>
        </w:rPr>
        <w:t> </w:t>
      </w:r>
      <w:r>
        <w:rPr>
          <w:color w:val="231F20"/>
          <w:sz w:val="20"/>
        </w:rPr>
        <w:t>toolbar,</w:t>
      </w:r>
      <w:r>
        <w:rPr>
          <w:color w:val="231F20"/>
          <w:spacing w:val="10"/>
          <w:sz w:val="20"/>
        </w:rPr>
        <w:t> </w:t>
      </w:r>
      <w:r>
        <w:rPr>
          <w:color w:val="231F20"/>
          <w:sz w:val="20"/>
        </w:rPr>
        <w:t>click</w:t>
      </w:r>
      <w:r>
        <w:rPr>
          <w:color w:val="231F20"/>
          <w:spacing w:val="18"/>
          <w:sz w:val="20"/>
        </w:rPr>
        <w:t> </w:t>
      </w:r>
      <w:r>
        <w:rPr>
          <w:color w:val="231F20"/>
          <w:spacing w:val="-25"/>
          <w:position w:val="-1"/>
          <w:sz w:val="20"/>
        </w:rPr>
        <w:drawing>
          <wp:inline distT="0" distB="0" distL="0" distR="0">
            <wp:extent cx="95250" cy="101600"/>
            <wp:effectExtent l="0" t="0" r="0" b="0"/>
            <wp:docPr id="2043" name="Image 2043"/>
            <wp:cNvGraphicFramePr>
              <a:graphicFrameLocks/>
            </wp:cNvGraphicFramePr>
            <a:graphic>
              <a:graphicData uri="http://schemas.openxmlformats.org/drawingml/2006/picture">
                <pic:pic>
                  <pic:nvPicPr>
                    <pic:cNvPr id="2043" name="Image 204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8"/>
          <w:sz w:val="20"/>
        </w:rPr>
        <w:t> </w:t>
      </w:r>
      <w:r>
        <w:rPr>
          <w:rFonts w:ascii="Book Antiqua"/>
          <w:b/>
          <w:color w:val="231F20"/>
          <w:sz w:val="20"/>
        </w:rPr>
        <w:t>Edit</w:t>
      </w:r>
      <w:r>
        <w:rPr>
          <w:rFonts w:ascii="Book Antiqua"/>
          <w:b/>
          <w:color w:val="231F20"/>
          <w:spacing w:val="11"/>
          <w:sz w:val="20"/>
        </w:rPr>
        <w:t> </w:t>
      </w:r>
      <w:r>
        <w:rPr>
          <w:rFonts w:ascii="Book Antiqua"/>
          <w:b/>
          <w:color w:val="231F20"/>
          <w:sz w:val="20"/>
        </w:rPr>
        <w:t>Navigator</w:t>
      </w:r>
      <w:r>
        <w:rPr>
          <w:rFonts w:ascii="Book Antiqua"/>
          <w:b/>
          <w:color w:val="231F20"/>
          <w:spacing w:val="10"/>
          <w:sz w:val="20"/>
        </w:rPr>
        <w:t> </w:t>
      </w:r>
      <w:r>
        <w:rPr>
          <w:rFonts w:ascii="Book Antiqua"/>
          <w:b/>
          <w:color w:val="231F20"/>
          <w:spacing w:val="-2"/>
          <w:sz w:val="20"/>
        </w:rPr>
        <w:t>View</w:t>
      </w:r>
      <w:r>
        <w:rPr>
          <w:color w:val="231F20"/>
          <w:spacing w:val="-2"/>
          <w:sz w:val="20"/>
        </w:rPr>
        <w:t>.</w:t>
      </w:r>
    </w:p>
    <w:p>
      <w:pPr>
        <w:pStyle w:val="ListParagraph"/>
        <w:numPr>
          <w:ilvl w:val="0"/>
          <w:numId w:val="111"/>
        </w:numPr>
        <w:tabs>
          <w:tab w:pos="2548" w:val="left" w:leader="none"/>
        </w:tabs>
        <w:spacing w:line="213" w:lineRule="auto" w:before="52" w:after="0"/>
        <w:ind w:left="2548" w:right="526" w:hanging="316"/>
        <w:jc w:val="left"/>
        <w:rPr>
          <w:sz w:val="20"/>
        </w:rPr>
      </w:pPr>
      <w:r>
        <w:rPr>
          <w:color w:val="231F20"/>
          <w:sz w:val="20"/>
        </w:rPr>
        <w:t>If the Navigator view whose item you want to rename is not displaying, select</w:t>
      </w:r>
      <w:r>
        <w:rPr>
          <w:color w:val="231F20"/>
          <w:spacing w:val="80"/>
          <w:sz w:val="20"/>
        </w:rPr>
        <w:t> </w:t>
      </w:r>
      <w:r>
        <w:rPr>
          <w:color w:val="231F20"/>
          <w:sz w:val="20"/>
        </w:rPr>
        <w:t>it from the </w:t>
      </w:r>
      <w:r>
        <w:rPr>
          <w:rFonts w:ascii="Book Antiqua"/>
          <w:b/>
          <w:color w:val="231F20"/>
          <w:sz w:val="20"/>
        </w:rPr>
        <w:t>Target View </w:t>
      </w:r>
      <w:r>
        <w:rPr>
          <w:rFonts w:ascii="Book Antiqua"/>
          <w:b/>
          <w:color w:val="231F20"/>
          <w:spacing w:val="15"/>
          <w:position w:val="-1"/>
          <w:sz w:val="20"/>
        </w:rPr>
        <w:drawing>
          <wp:inline distT="0" distB="0" distL="0" distR="0">
            <wp:extent cx="101600" cy="101600"/>
            <wp:effectExtent l="0" t="0" r="0" b="0"/>
            <wp:docPr id="2044" name="Image 2044"/>
            <wp:cNvGraphicFramePr>
              <a:graphicFrameLocks/>
            </wp:cNvGraphicFramePr>
            <a:graphic>
              <a:graphicData uri="http://schemas.openxmlformats.org/drawingml/2006/picture">
                <pic:pic>
                  <pic:nvPicPr>
                    <pic:cNvPr id="2044" name="Image 2044"/>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15"/>
          <w:sz w:val="20"/>
        </w:rPr>
        <w:t> </w:t>
      </w:r>
      <w:r>
        <w:rPr>
          <w:color w:val="231F20"/>
          <w:sz w:val="20"/>
        </w:rPr>
        <w:t>list.</w:t>
      </w:r>
    </w:p>
    <w:p>
      <w:pPr>
        <w:pStyle w:val="ListParagraph"/>
        <w:numPr>
          <w:ilvl w:val="0"/>
          <w:numId w:val="111"/>
        </w:numPr>
        <w:tabs>
          <w:tab w:pos="2546" w:val="left" w:leader="none"/>
          <w:tab w:pos="2548" w:val="left" w:leader="none"/>
        </w:tabs>
        <w:spacing w:line="213" w:lineRule="auto" w:before="59" w:after="0"/>
        <w:ind w:left="2548" w:right="682" w:hanging="317"/>
        <w:jc w:val="left"/>
        <w:rPr>
          <w:sz w:val="20"/>
        </w:rPr>
      </w:pPr>
      <w:r>
        <w:rPr>
          <w:color w:val="231F20"/>
          <w:sz w:val="20"/>
        </w:rPr>
        <w:t>To rename the Navigator view, click </w:t>
      </w:r>
      <w:r>
        <w:rPr>
          <w:color w:val="231F20"/>
          <w:spacing w:val="15"/>
          <w:position w:val="-1"/>
          <w:sz w:val="20"/>
        </w:rPr>
        <w:drawing>
          <wp:inline distT="0" distB="0" distL="0" distR="0">
            <wp:extent cx="101600" cy="95250"/>
            <wp:effectExtent l="0" t="0" r="0" b="0"/>
            <wp:docPr id="2045" name="Image 2045"/>
            <wp:cNvGraphicFramePr>
              <a:graphicFrameLocks/>
            </wp:cNvGraphicFramePr>
            <a:graphic>
              <a:graphicData uri="http://schemas.openxmlformats.org/drawingml/2006/picture">
                <pic:pic>
                  <pic:nvPicPr>
                    <pic:cNvPr id="2045" name="Image 2045"/>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Properties </w:t>
      </w:r>
      <w:r>
        <w:rPr>
          <w:color w:val="231F20"/>
          <w:sz w:val="20"/>
        </w:rPr>
        <w:t>in the </w:t>
      </w:r>
      <w:r>
        <w:rPr>
          <w:rFonts w:ascii="Book Antiqua"/>
          <w:b/>
          <w:color w:val="231F20"/>
          <w:sz w:val="20"/>
        </w:rPr>
        <w:t>Target View </w:t>
      </w:r>
      <w:r>
        <w:rPr>
          <w:color w:val="231F20"/>
          <w:sz w:val="20"/>
        </w:rPr>
        <w:t>toolbar. Type the new name in the </w:t>
      </w:r>
      <w:r>
        <w:rPr>
          <w:rFonts w:ascii="Book Antiqua"/>
          <w:b/>
          <w:color w:val="231F20"/>
          <w:sz w:val="20"/>
        </w:rPr>
        <w:t>Name </w:t>
      </w:r>
      <w:r>
        <w:rPr>
          <w:color w:val="231F20"/>
          <w:sz w:val="20"/>
        </w:rPr>
        <w:t>field, add or change the description in the </w:t>
      </w:r>
      <w:r>
        <w:rPr>
          <w:rFonts w:ascii="Book Antiqua"/>
          <w:b/>
          <w:color w:val="231F20"/>
          <w:sz w:val="20"/>
        </w:rPr>
        <w:t>Description </w:t>
      </w:r>
      <w:r>
        <w:rPr>
          <w:color w:val="231F20"/>
          <w:sz w:val="20"/>
        </w:rPr>
        <w:t>field, and click </w:t>
      </w:r>
      <w:r>
        <w:rPr>
          <w:rFonts w:ascii="Book Antiqua"/>
          <w:b/>
          <w:color w:val="231F20"/>
          <w:sz w:val="20"/>
        </w:rPr>
        <w:t>OK</w:t>
      </w:r>
      <w:r>
        <w:rPr>
          <w:color w:val="231F20"/>
          <w:sz w:val="20"/>
        </w:rPr>
        <w:t>.</w:t>
      </w:r>
    </w:p>
    <w:p>
      <w:pPr>
        <w:pStyle w:val="ListParagraph"/>
        <w:numPr>
          <w:ilvl w:val="0"/>
          <w:numId w:val="111"/>
        </w:numPr>
        <w:tabs>
          <w:tab w:pos="2548" w:val="left" w:leader="none"/>
        </w:tabs>
        <w:spacing w:line="213" w:lineRule="auto" w:before="58" w:after="0"/>
        <w:ind w:left="2548" w:right="647" w:hanging="316"/>
        <w:jc w:val="left"/>
        <w:rPr>
          <w:sz w:val="20"/>
        </w:rPr>
      </w:pPr>
      <w:r>
        <w:rPr>
          <w:color w:val="231F20"/>
          <w:sz w:val="20"/>
        </w:rPr>
        <w:t>To rename a Navigator item, right-click the item and click </w:t>
      </w:r>
      <w:r>
        <w:rPr>
          <w:color w:val="231F20"/>
          <w:spacing w:val="15"/>
          <w:position w:val="-1"/>
          <w:sz w:val="20"/>
        </w:rPr>
        <w:drawing>
          <wp:inline distT="0" distB="0" distL="0" distR="0">
            <wp:extent cx="101600" cy="95250"/>
            <wp:effectExtent l="0" t="0" r="0" b="0"/>
            <wp:docPr id="2046" name="Image 2046"/>
            <wp:cNvGraphicFramePr>
              <a:graphicFrameLocks/>
            </wp:cNvGraphicFramePr>
            <a:graphic>
              <a:graphicData uri="http://schemas.openxmlformats.org/drawingml/2006/picture">
                <pic:pic>
                  <pic:nvPicPr>
                    <pic:cNvPr id="2046" name="Image 2046"/>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Properties</w:t>
      </w:r>
      <w:r>
        <w:rPr>
          <w:color w:val="231F20"/>
          <w:sz w:val="20"/>
        </w:rPr>
        <w:t>. Type the new name in the </w:t>
      </w:r>
      <w:r>
        <w:rPr>
          <w:rFonts w:ascii="Book Antiqua"/>
          <w:b/>
          <w:color w:val="231F20"/>
          <w:sz w:val="20"/>
        </w:rPr>
        <w:t>Name </w:t>
      </w:r>
      <w:r>
        <w:rPr>
          <w:color w:val="231F20"/>
          <w:sz w:val="20"/>
        </w:rPr>
        <w:t>field, add or change the description in the </w:t>
      </w:r>
      <w:r>
        <w:rPr>
          <w:rFonts w:ascii="Book Antiqua"/>
          <w:b/>
          <w:color w:val="231F20"/>
          <w:sz w:val="20"/>
        </w:rPr>
        <w:t>Description </w:t>
      </w:r>
      <w:r>
        <w:rPr>
          <w:color w:val="231F20"/>
          <w:sz w:val="20"/>
        </w:rPr>
        <w:t>field, and click </w:t>
      </w:r>
      <w:r>
        <w:rPr>
          <w:rFonts w:ascii="Book Antiqua"/>
          <w:b/>
          <w:color w:val="231F20"/>
          <w:sz w:val="20"/>
        </w:rPr>
        <w:t>OK</w:t>
      </w:r>
      <w:r>
        <w:rPr>
          <w:color w:val="231F20"/>
          <w:sz w:val="20"/>
        </w:rPr>
        <w:t>.</w:t>
      </w:r>
    </w:p>
    <w:p>
      <w:pPr>
        <w:pStyle w:val="Heading4"/>
        <w:spacing w:before="199"/>
      </w:pPr>
      <w:r>
        <w:rPr>
          <w:color w:val="231F20"/>
          <w:spacing w:val="-2"/>
        </w:rPr>
        <w:t>Results</w:t>
      </w:r>
    </w:p>
    <w:p>
      <w:pPr>
        <w:pStyle w:val="BodyText"/>
        <w:spacing w:line="213" w:lineRule="auto" w:before="241"/>
        <w:ind w:left="2232" w:right="763"/>
      </w:pPr>
      <w:r>
        <w:rPr>
          <w:color w:val="231F20"/>
        </w:rPr>
        <w:t>The Navigator view description is displayed in a flyover message box when </w:t>
      </w:r>
      <w:r>
        <w:rPr>
          <w:color w:val="231F20"/>
        </w:rPr>
        <w:t>you move the mouse pointer over its </w:t>
      </w:r>
      <w:r>
        <w:rPr>
          <w:color w:val="231F20"/>
          <w:spacing w:val="15"/>
          <w:position w:val="-1"/>
        </w:rPr>
        <w:drawing>
          <wp:inline distT="0" distB="0" distL="0" distR="0">
            <wp:extent cx="101600" cy="88900"/>
            <wp:effectExtent l="0" t="0" r="0" b="0"/>
            <wp:docPr id="2047" name="Image 2047"/>
            <wp:cNvGraphicFramePr>
              <a:graphicFrameLocks/>
            </wp:cNvGraphicFramePr>
            <a:graphic>
              <a:graphicData uri="http://schemas.openxmlformats.org/drawingml/2006/picture">
                <pic:pic>
                  <pic:nvPicPr>
                    <pic:cNvPr id="2047" name="Image 2047"/>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tab; the Navigator item description is displayed only in this Properties window.</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170">
        <w:r>
          <w:rPr>
            <w:color w:val="231F20"/>
          </w:rPr>
          <w:t>“Editing</w:t>
        </w:r>
        <w:r>
          <w:rPr>
            <w:color w:val="231F20"/>
            <w:spacing w:val="11"/>
          </w:rPr>
          <w:t> </w:t>
        </w:r>
        <w:r>
          <w:rPr>
            <w:color w:val="231F20"/>
          </w:rPr>
          <w:t>a</w:t>
        </w:r>
        <w:r>
          <w:rPr>
            <w:color w:val="231F20"/>
            <w:spacing w:val="11"/>
          </w:rPr>
          <w:t> </w:t>
        </w:r>
        <w:r>
          <w:rPr>
            <w:color w:val="231F20"/>
          </w:rPr>
          <w:t>Navigator</w:t>
        </w:r>
        <w:r>
          <w:rPr>
            <w:color w:val="231F20"/>
            <w:spacing w:val="11"/>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237</w:t>
        </w:r>
      </w:hyperlink>
    </w:p>
    <w:p>
      <w:pPr>
        <w:pStyle w:val="BodyText"/>
        <w:spacing w:line="213" w:lineRule="auto" w:before="8"/>
        <w:ind w:left="2232" w:right="545"/>
      </w:pPr>
      <w:r>
        <w:rPr>
          <w:color w:val="231F20"/>
        </w:rPr>
        <w:t>Use the Navigator editor to edit the Navigator view and the managed systems </w:t>
      </w:r>
      <w:r>
        <w:rPr>
          <w:color w:val="231F20"/>
        </w:rPr>
        <w:t>or dynamic members assigned to the items.</w:t>
      </w:r>
    </w:p>
    <w:p>
      <w:pPr>
        <w:pStyle w:val="BodyText"/>
        <w:spacing w:before="6"/>
        <w:rPr>
          <w:sz w:val="16"/>
        </w:rPr>
      </w:pPr>
      <w:r>
        <w:rPr/>
        <mc:AlternateContent>
          <mc:Choice Requires="wps">
            <w:drawing>
              <wp:anchor distT="0" distB="0" distL="0" distR="0" allowOverlap="1" layoutInCell="1" locked="0" behindDoc="1" simplePos="0" relativeHeight="487717376">
                <wp:simplePos x="0" y="0"/>
                <wp:positionH relativeFrom="page">
                  <wp:posOffset>760323</wp:posOffset>
                </wp:positionH>
                <wp:positionV relativeFrom="paragraph">
                  <wp:posOffset>156231</wp:posOffset>
                </wp:positionV>
                <wp:extent cx="6082665" cy="1270"/>
                <wp:effectExtent l="0" t="0" r="0" b="0"/>
                <wp:wrapTopAndBottom/>
                <wp:docPr id="2048" name="Graphic 2048"/>
                <wp:cNvGraphicFramePr>
                  <a:graphicFrameLocks/>
                </wp:cNvGraphicFramePr>
                <a:graphic>
                  <a:graphicData uri="http://schemas.microsoft.com/office/word/2010/wordprocessingShape">
                    <wps:wsp>
                      <wps:cNvPr id="2048" name="Graphic 204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1717pt;width:478.95pt;height:.1pt;mso-position-horizontal-relative:page;mso-position-vertical-relative:paragraph;z-index:-15599104;mso-wrap-distance-left:0;mso-wrap-distance-right:0" id="docshape201"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Deleting a Navigator view or item" w:id="380"/>
      <w:bookmarkEnd w:id="380"/>
      <w:r>
        <w:rPr>
          <w:b w:val="0"/>
        </w:rPr>
      </w:r>
      <w:r>
        <w:rPr>
          <w:color w:val="231F20"/>
        </w:rPr>
        <w:t>Deleting</w:t>
      </w:r>
      <w:r>
        <w:rPr>
          <w:color w:val="231F20"/>
          <w:spacing w:val="8"/>
        </w:rPr>
        <w:t> </w:t>
      </w:r>
      <w:r>
        <w:rPr>
          <w:color w:val="231F20"/>
        </w:rPr>
        <w:t>a</w:t>
      </w:r>
      <w:r>
        <w:rPr>
          <w:color w:val="231F20"/>
          <w:spacing w:val="8"/>
        </w:rPr>
        <w:t> </w:t>
      </w:r>
      <w:r>
        <w:rPr>
          <w:color w:val="231F20"/>
        </w:rPr>
        <w:t>Navigator</w:t>
      </w:r>
      <w:r>
        <w:rPr>
          <w:color w:val="231F20"/>
          <w:spacing w:val="8"/>
        </w:rPr>
        <w:t> </w:t>
      </w:r>
      <w:r>
        <w:rPr>
          <w:color w:val="231F20"/>
        </w:rPr>
        <w:t>view</w:t>
      </w:r>
      <w:r>
        <w:rPr>
          <w:color w:val="231F20"/>
          <w:spacing w:val="8"/>
        </w:rPr>
        <w:t> </w:t>
      </w:r>
      <w:r>
        <w:rPr>
          <w:color w:val="231F20"/>
        </w:rPr>
        <w:t>or</w:t>
      </w:r>
      <w:r>
        <w:rPr>
          <w:color w:val="231F20"/>
          <w:spacing w:val="8"/>
        </w:rPr>
        <w:t> </w:t>
      </w:r>
      <w:bookmarkStart w:name="_bookmark173" w:id="381"/>
      <w:bookmarkEnd w:id="381"/>
      <w:r>
        <w:rPr>
          <w:color w:val="231F20"/>
          <w:spacing w:val="-4"/>
        </w:rPr>
        <w:t>item</w:t>
      </w:r>
    </w:p>
    <w:p>
      <w:pPr>
        <w:pStyle w:val="BodyText"/>
        <w:spacing w:before="115"/>
        <w:ind w:left="2232"/>
      </w:pPr>
      <w:r>
        <w:rPr>
          <w:color w:val="231F20"/>
        </w:rPr>
        <w:t>Use</w:t>
      </w:r>
      <w:r>
        <w:rPr>
          <w:color w:val="231F20"/>
          <w:spacing w:val="11"/>
        </w:rPr>
        <w:t> </w:t>
      </w:r>
      <w:r>
        <w:rPr>
          <w:color w:val="231F20"/>
        </w:rPr>
        <w:t>the</w:t>
      </w:r>
      <w:r>
        <w:rPr>
          <w:color w:val="231F20"/>
          <w:spacing w:val="12"/>
        </w:rPr>
        <w:t> </w:t>
      </w:r>
      <w:r>
        <w:rPr>
          <w:color w:val="231F20"/>
        </w:rPr>
        <w:t>Navigator</w:t>
      </w:r>
      <w:r>
        <w:rPr>
          <w:color w:val="231F20"/>
          <w:spacing w:val="12"/>
        </w:rPr>
        <w:t> </w:t>
      </w:r>
      <w:r>
        <w:rPr>
          <w:color w:val="231F20"/>
        </w:rPr>
        <w:t>editor</w:t>
      </w:r>
      <w:r>
        <w:rPr>
          <w:color w:val="231F20"/>
          <w:spacing w:val="11"/>
        </w:rPr>
        <w:t> </w:t>
      </w:r>
      <w:r>
        <w:rPr>
          <w:color w:val="231F20"/>
        </w:rPr>
        <w:t>to</w:t>
      </w:r>
      <w:r>
        <w:rPr>
          <w:color w:val="231F20"/>
          <w:spacing w:val="12"/>
        </w:rPr>
        <w:t> </w:t>
      </w:r>
      <w:r>
        <w:rPr>
          <w:color w:val="231F20"/>
        </w:rPr>
        <w:t>delete</w:t>
      </w:r>
      <w:r>
        <w:rPr>
          <w:color w:val="231F20"/>
          <w:spacing w:val="12"/>
        </w:rPr>
        <w:t> </w:t>
      </w:r>
      <w:r>
        <w:rPr>
          <w:color w:val="231F20"/>
        </w:rPr>
        <w:t>a</w:t>
      </w:r>
      <w:r>
        <w:rPr>
          <w:color w:val="231F20"/>
          <w:spacing w:val="12"/>
        </w:rPr>
        <w:t> </w:t>
      </w:r>
      <w:r>
        <w:rPr>
          <w:color w:val="231F20"/>
        </w:rPr>
        <w:t>Navigator</w:t>
      </w:r>
      <w:r>
        <w:rPr>
          <w:color w:val="231F20"/>
          <w:spacing w:val="11"/>
        </w:rPr>
        <w:t> </w:t>
      </w:r>
      <w:r>
        <w:rPr>
          <w:color w:val="231F20"/>
        </w:rPr>
        <w:t>view</w:t>
      </w:r>
      <w:r>
        <w:rPr>
          <w:color w:val="231F20"/>
          <w:spacing w:val="12"/>
        </w:rPr>
        <w:t> </w:t>
      </w:r>
      <w:r>
        <w:rPr>
          <w:color w:val="231F20"/>
        </w:rPr>
        <w:t>or</w:t>
      </w:r>
      <w:r>
        <w:rPr>
          <w:color w:val="231F20"/>
          <w:spacing w:val="12"/>
        </w:rPr>
        <w:t> </w:t>
      </w:r>
      <w:r>
        <w:rPr>
          <w:color w:val="231F20"/>
        </w:rPr>
        <w:t>any</w:t>
      </w:r>
      <w:r>
        <w:rPr>
          <w:color w:val="231F20"/>
          <w:spacing w:val="11"/>
        </w:rPr>
        <w:t> </w:t>
      </w:r>
      <w:r>
        <w:rPr>
          <w:color w:val="231F20"/>
        </w:rPr>
        <w:t>of</w:t>
      </w:r>
      <w:r>
        <w:rPr>
          <w:color w:val="231F20"/>
          <w:spacing w:val="12"/>
        </w:rPr>
        <w:t> </w:t>
      </w:r>
      <w:r>
        <w:rPr>
          <w:color w:val="231F20"/>
        </w:rPr>
        <w:t>its</w:t>
      </w:r>
      <w:r>
        <w:rPr>
          <w:color w:val="231F20"/>
          <w:spacing w:val="12"/>
        </w:rPr>
        <w:t> </w:t>
      </w:r>
      <w:r>
        <w:rPr>
          <w:color w:val="231F20"/>
        </w:rPr>
        <w:t>Navigator</w:t>
      </w:r>
      <w:r>
        <w:rPr>
          <w:color w:val="231F20"/>
          <w:spacing w:val="12"/>
        </w:rPr>
        <w:t> </w:t>
      </w:r>
      <w:r>
        <w:rPr>
          <w:color w:val="231F20"/>
          <w:spacing w:val="-2"/>
        </w:rPr>
        <w:t>items.</w:t>
      </w:r>
    </w:p>
    <w:p>
      <w:pPr>
        <w:pStyle w:val="Heading4"/>
        <w:spacing w:before="19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93"/>
      </w:pPr>
      <w:r>
        <w:rPr>
          <w:color w:val="231F20"/>
        </w:rPr>
        <w:t>Be careful when deleting Navigator items. A </w:t>
      </w:r>
      <w:r>
        <w:rPr>
          <w:color w:val="231F20"/>
          <w:spacing w:val="4"/>
        </w:rPr>
        <w:drawing>
          <wp:inline distT="0" distB="0" distL="0" distR="0">
            <wp:extent cx="44450" cy="44450"/>
            <wp:effectExtent l="0" t="0" r="0" b="0"/>
            <wp:docPr id="2049" name="Image 2049"/>
            <wp:cNvGraphicFramePr>
              <a:graphicFrameLocks/>
            </wp:cNvGraphicFramePr>
            <a:graphic>
              <a:graphicData uri="http://schemas.openxmlformats.org/drawingml/2006/picture">
                <pic:pic>
                  <pic:nvPicPr>
                    <pic:cNvPr id="2049" name="Image 2049"/>
                    <pic:cNvPicPr/>
                  </pic:nvPicPr>
                  <pic:blipFill>
                    <a:blip r:embed="rId105" cstate="print"/>
                    <a:stretch>
                      <a:fillRect/>
                    </a:stretch>
                  </pic:blipFill>
                  <pic:spPr>
                    <a:xfrm>
                      <a:off x="0" y="0"/>
                      <a:ext cx="44450" cy="44450"/>
                    </a:xfrm>
                    <a:prstGeom prst="rect">
                      <a:avLst/>
                    </a:prstGeom>
                  </pic:spPr>
                </pic:pic>
              </a:graphicData>
            </a:graphic>
          </wp:inline>
        </w:drawing>
      </w:r>
      <w:r>
        <w:rPr>
          <w:color w:val="231F20"/>
          <w:spacing w:val="4"/>
        </w:rPr>
      </w:r>
      <w:r>
        <w:rPr>
          <w:rFonts w:ascii="Times New Roman"/>
          <w:color w:val="231F20"/>
          <w:spacing w:val="40"/>
        </w:rPr>
        <w:t> </w:t>
      </w:r>
      <w:r>
        <w:rPr>
          <w:color w:val="231F20"/>
        </w:rPr>
        <w:t>shared icon is displayed over the source and target Navigator item icons to indicate a relationship with another item. This indicator serves as a reminder of the dependency so that you do not unintentionally change or delete an item from one Navigator view that might</w:t>
      </w:r>
    </w:p>
    <w:p>
      <w:pPr>
        <w:pStyle w:val="BodyText"/>
        <w:spacing w:line="213" w:lineRule="auto"/>
        <w:ind w:left="2232" w:right="545"/>
      </w:pPr>
      <w:r>
        <w:rPr>
          <w:color w:val="231F20"/>
        </w:rPr>
        <w:t>affect another view. To see the Navigator views this item is assigned to, right-click the item and click </w:t>
      </w:r>
      <w:r>
        <w:rPr>
          <w:color w:val="231F20"/>
          <w:spacing w:val="16"/>
          <w:position w:val="-1"/>
        </w:rPr>
        <w:drawing>
          <wp:inline distT="0" distB="0" distL="0" distR="0">
            <wp:extent cx="101600" cy="88900"/>
            <wp:effectExtent l="0" t="0" r="0" b="0"/>
            <wp:docPr id="2050" name="Image 2050"/>
            <wp:cNvGraphicFramePr>
              <a:graphicFrameLocks/>
            </wp:cNvGraphicFramePr>
            <a:graphic>
              <a:graphicData uri="http://schemas.openxmlformats.org/drawingml/2006/picture">
                <pic:pic>
                  <pic:nvPicPr>
                    <pic:cNvPr id="2050" name="Image 2050"/>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6"/>
        </w:rPr>
        <w:t> </w:t>
      </w:r>
      <w:r>
        <w:rPr>
          <w:rFonts w:ascii="Book Antiqua"/>
          <w:b/>
          <w:color w:val="231F20"/>
        </w:rPr>
        <w:t>Show Navigator List</w:t>
      </w:r>
      <w:r>
        <w:rPr>
          <w:color w:val="231F20"/>
        </w:rPr>
        <w:t>.</w:t>
      </w:r>
    </w:p>
    <w:p>
      <w:pPr>
        <w:pStyle w:val="Heading4"/>
        <w:spacing w:before="198"/>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Complete</w:t>
      </w:r>
      <w:r>
        <w:rPr>
          <w:color w:val="231F20"/>
          <w:spacing w:val="11"/>
        </w:rPr>
        <w:t> </w:t>
      </w:r>
      <w:r>
        <w:rPr>
          <w:color w:val="231F20"/>
        </w:rPr>
        <w:t>the</w:t>
      </w:r>
      <w:r>
        <w:rPr>
          <w:color w:val="231F20"/>
          <w:spacing w:val="11"/>
        </w:rPr>
        <w:t> </w:t>
      </w:r>
      <w:r>
        <w:rPr>
          <w:color w:val="231F20"/>
        </w:rPr>
        <w:t>following</w:t>
      </w:r>
      <w:r>
        <w:rPr>
          <w:color w:val="231F20"/>
          <w:spacing w:val="11"/>
        </w:rPr>
        <w:t> </w:t>
      </w:r>
      <w:r>
        <w:rPr>
          <w:color w:val="231F20"/>
        </w:rPr>
        <w:t>steps</w:t>
      </w:r>
      <w:r>
        <w:rPr>
          <w:color w:val="231F20"/>
          <w:spacing w:val="11"/>
        </w:rPr>
        <w:t> </w:t>
      </w:r>
      <w:r>
        <w:rPr>
          <w:color w:val="231F20"/>
        </w:rPr>
        <w:t>to</w:t>
      </w:r>
      <w:r>
        <w:rPr>
          <w:color w:val="231F20"/>
          <w:spacing w:val="12"/>
        </w:rPr>
        <w:t> </w:t>
      </w:r>
      <w:r>
        <w:rPr>
          <w:color w:val="231F20"/>
        </w:rPr>
        <w:t>delete</w:t>
      </w:r>
      <w:r>
        <w:rPr>
          <w:color w:val="231F20"/>
          <w:spacing w:val="11"/>
        </w:rPr>
        <w:t> </w:t>
      </w:r>
      <w:r>
        <w:rPr>
          <w:color w:val="231F20"/>
        </w:rPr>
        <w:t>a</w:t>
      </w:r>
      <w:r>
        <w:rPr>
          <w:color w:val="231F20"/>
          <w:spacing w:val="11"/>
        </w:rPr>
        <w:t> </w:t>
      </w:r>
      <w:r>
        <w:rPr>
          <w:color w:val="231F20"/>
        </w:rPr>
        <w:t>Navigator</w:t>
      </w:r>
      <w:r>
        <w:rPr>
          <w:color w:val="231F20"/>
          <w:spacing w:val="11"/>
        </w:rPr>
        <w:t> </w:t>
      </w:r>
      <w:r>
        <w:rPr>
          <w:color w:val="231F20"/>
        </w:rPr>
        <w:t>view</w:t>
      </w:r>
      <w:r>
        <w:rPr>
          <w:color w:val="231F20"/>
          <w:spacing w:val="12"/>
        </w:rPr>
        <w:t> </w:t>
      </w:r>
      <w:r>
        <w:rPr>
          <w:color w:val="231F20"/>
        </w:rPr>
        <w:t>or</w:t>
      </w:r>
      <w:r>
        <w:rPr>
          <w:color w:val="231F20"/>
          <w:spacing w:val="11"/>
        </w:rPr>
        <w:t> </w:t>
      </w:r>
      <w:r>
        <w:rPr>
          <w:color w:val="231F20"/>
          <w:spacing w:val="-2"/>
        </w:rPr>
        <w:t>item:</w:t>
      </w:r>
    </w:p>
    <w:p>
      <w:pPr>
        <w:pStyle w:val="Heading4"/>
        <w:spacing w:before="194"/>
      </w:pPr>
      <w:r>
        <w:rPr>
          <w:color w:val="231F20"/>
          <w:spacing w:val="-2"/>
        </w:rPr>
        <w:t>Procedure</w:t>
      </w:r>
    </w:p>
    <w:p>
      <w:pPr>
        <w:pStyle w:val="ListParagraph"/>
        <w:numPr>
          <w:ilvl w:val="0"/>
          <w:numId w:val="112"/>
        </w:numPr>
        <w:tabs>
          <w:tab w:pos="2547" w:val="left" w:leader="none"/>
        </w:tabs>
        <w:spacing w:line="240" w:lineRule="auto" w:before="38" w:after="0"/>
        <w:ind w:left="2547" w:right="0" w:hanging="315"/>
        <w:jc w:val="left"/>
        <w:rPr>
          <w:sz w:val="20"/>
        </w:rPr>
      </w:pP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Navigator</w:t>
      </w:r>
      <w:r>
        <w:rPr>
          <w:color w:val="231F20"/>
          <w:spacing w:val="11"/>
          <w:sz w:val="20"/>
        </w:rPr>
        <w:t> </w:t>
      </w:r>
      <w:r>
        <w:rPr>
          <w:color w:val="231F20"/>
          <w:sz w:val="20"/>
        </w:rPr>
        <w:t>toolbar,</w:t>
      </w:r>
      <w:r>
        <w:rPr>
          <w:color w:val="231F20"/>
          <w:spacing w:val="10"/>
          <w:sz w:val="20"/>
        </w:rPr>
        <w:t> </w:t>
      </w:r>
      <w:r>
        <w:rPr>
          <w:color w:val="231F20"/>
          <w:sz w:val="20"/>
        </w:rPr>
        <w:t>click</w:t>
      </w:r>
      <w:r>
        <w:rPr>
          <w:color w:val="231F20"/>
          <w:spacing w:val="18"/>
          <w:sz w:val="20"/>
        </w:rPr>
        <w:t> </w:t>
      </w:r>
      <w:r>
        <w:rPr>
          <w:color w:val="231F20"/>
          <w:spacing w:val="-25"/>
          <w:position w:val="-1"/>
          <w:sz w:val="20"/>
        </w:rPr>
        <w:drawing>
          <wp:inline distT="0" distB="0" distL="0" distR="0">
            <wp:extent cx="95250" cy="101600"/>
            <wp:effectExtent l="0" t="0" r="0" b="0"/>
            <wp:docPr id="2051" name="Image 2051"/>
            <wp:cNvGraphicFramePr>
              <a:graphicFrameLocks/>
            </wp:cNvGraphicFramePr>
            <a:graphic>
              <a:graphicData uri="http://schemas.openxmlformats.org/drawingml/2006/picture">
                <pic:pic>
                  <pic:nvPicPr>
                    <pic:cNvPr id="2051" name="Image 2051"/>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8"/>
          <w:sz w:val="20"/>
        </w:rPr>
        <w:t> </w:t>
      </w:r>
      <w:r>
        <w:rPr>
          <w:rFonts w:ascii="Book Antiqua"/>
          <w:b/>
          <w:color w:val="231F20"/>
          <w:sz w:val="20"/>
        </w:rPr>
        <w:t>Edit</w:t>
      </w:r>
      <w:r>
        <w:rPr>
          <w:rFonts w:ascii="Book Antiqua"/>
          <w:b/>
          <w:color w:val="231F20"/>
          <w:spacing w:val="11"/>
          <w:sz w:val="20"/>
        </w:rPr>
        <w:t> </w:t>
      </w:r>
      <w:r>
        <w:rPr>
          <w:rFonts w:ascii="Book Antiqua"/>
          <w:b/>
          <w:color w:val="231F20"/>
          <w:sz w:val="20"/>
        </w:rPr>
        <w:t>Navigator</w:t>
      </w:r>
      <w:r>
        <w:rPr>
          <w:rFonts w:ascii="Book Antiqua"/>
          <w:b/>
          <w:color w:val="231F20"/>
          <w:spacing w:val="10"/>
          <w:sz w:val="20"/>
        </w:rPr>
        <w:t> </w:t>
      </w:r>
      <w:r>
        <w:rPr>
          <w:rFonts w:ascii="Book Antiqua"/>
          <w:b/>
          <w:color w:val="231F20"/>
          <w:spacing w:val="-2"/>
          <w:sz w:val="20"/>
        </w:rPr>
        <w:t>View</w:t>
      </w:r>
      <w:r>
        <w:rPr>
          <w:color w:val="231F20"/>
          <w:spacing w:val="-2"/>
          <w:sz w:val="20"/>
        </w:rPr>
        <w:t>.</w:t>
      </w:r>
    </w:p>
    <w:p>
      <w:pPr>
        <w:spacing w:after="0" w:line="240" w:lineRule="auto"/>
        <w:jc w:val="left"/>
        <w:rPr>
          <w:sz w:val="20"/>
        </w:rPr>
        <w:sectPr>
          <w:pgSz w:w="12240" w:h="15840"/>
          <w:pgMar w:header="0" w:footer="736" w:top="1140" w:bottom="920" w:left="1000" w:right="1060"/>
        </w:sectPr>
      </w:pPr>
    </w:p>
    <w:p>
      <w:pPr>
        <w:pStyle w:val="ListParagraph"/>
        <w:numPr>
          <w:ilvl w:val="0"/>
          <w:numId w:val="112"/>
        </w:numPr>
        <w:tabs>
          <w:tab w:pos="2788" w:val="left" w:leader="none"/>
        </w:tabs>
        <w:spacing w:line="213" w:lineRule="auto" w:before="85" w:after="0"/>
        <w:ind w:left="2788" w:right="365" w:hanging="316"/>
        <w:jc w:val="left"/>
        <w:rPr>
          <w:sz w:val="20"/>
        </w:rPr>
      </w:pPr>
      <w:bookmarkStart w:name="_bookmark175" w:id="382"/>
      <w:bookmarkEnd w:id="382"/>
      <w:r>
        <w:rPr/>
      </w:r>
      <w:r>
        <w:rPr>
          <w:color w:val="231F20"/>
          <w:sz w:val="20"/>
        </w:rPr>
        <w:t>If the Navigator view you want to delete or whose item you want to delete is</w:t>
      </w:r>
      <w:r>
        <w:rPr>
          <w:color w:val="231F20"/>
          <w:spacing w:val="40"/>
          <w:sz w:val="20"/>
        </w:rPr>
        <w:t> </w:t>
      </w:r>
      <w:r>
        <w:rPr>
          <w:color w:val="231F20"/>
          <w:sz w:val="20"/>
        </w:rPr>
        <w:t>not displayed, select it from the </w:t>
      </w:r>
      <w:r>
        <w:rPr>
          <w:rFonts w:ascii="Book Antiqua"/>
          <w:b/>
          <w:color w:val="231F20"/>
          <w:sz w:val="20"/>
        </w:rPr>
        <w:t>Target View </w:t>
      </w:r>
      <w:r>
        <w:rPr>
          <w:rFonts w:ascii="Book Antiqua"/>
          <w:b/>
          <w:color w:val="231F20"/>
          <w:spacing w:val="15"/>
          <w:position w:val="-1"/>
          <w:sz w:val="20"/>
        </w:rPr>
        <w:drawing>
          <wp:inline distT="0" distB="0" distL="0" distR="0">
            <wp:extent cx="101600" cy="101600"/>
            <wp:effectExtent l="0" t="0" r="0" b="0"/>
            <wp:docPr id="2052" name="Image 2052"/>
            <wp:cNvGraphicFramePr>
              <a:graphicFrameLocks/>
            </wp:cNvGraphicFramePr>
            <a:graphic>
              <a:graphicData uri="http://schemas.openxmlformats.org/drawingml/2006/picture">
                <pic:pic>
                  <pic:nvPicPr>
                    <pic:cNvPr id="2052" name="Image 2052"/>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sz w:val="20"/>
        </w:rPr>
      </w:r>
      <w:r>
        <w:rPr>
          <w:rFonts w:ascii="Times New Roman"/>
          <w:color w:val="231F20"/>
          <w:spacing w:val="15"/>
          <w:sz w:val="20"/>
        </w:rPr>
        <w:t> </w:t>
      </w:r>
      <w:r>
        <w:rPr>
          <w:color w:val="231F20"/>
          <w:sz w:val="20"/>
        </w:rPr>
        <w:t>list.</w:t>
      </w:r>
    </w:p>
    <w:p>
      <w:pPr>
        <w:pStyle w:val="ListParagraph"/>
        <w:numPr>
          <w:ilvl w:val="0"/>
          <w:numId w:val="112"/>
        </w:numPr>
        <w:tabs>
          <w:tab w:pos="2787" w:val="left" w:leader="none"/>
        </w:tabs>
        <w:spacing w:line="240" w:lineRule="auto" w:before="35" w:after="0"/>
        <w:ind w:left="2787" w:right="0" w:hanging="315"/>
        <w:jc w:val="left"/>
        <w:rPr>
          <w:sz w:val="20"/>
        </w:rPr>
      </w:pPr>
      <w:r>
        <w:rPr>
          <w:color w:val="231F20"/>
          <w:sz w:val="20"/>
        </w:rPr>
        <w:t>Take</w:t>
      </w:r>
      <w:r>
        <w:rPr>
          <w:color w:val="231F20"/>
          <w:spacing w:val="8"/>
          <w:sz w:val="20"/>
        </w:rPr>
        <w:t> </w:t>
      </w:r>
      <w:r>
        <w:rPr>
          <w:color w:val="231F20"/>
          <w:sz w:val="20"/>
        </w:rPr>
        <w:t>one</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following</w:t>
      </w:r>
      <w:r>
        <w:rPr>
          <w:color w:val="231F20"/>
          <w:spacing w:val="8"/>
          <w:sz w:val="20"/>
        </w:rPr>
        <w:t> </w:t>
      </w:r>
      <w:r>
        <w:rPr>
          <w:color w:val="231F20"/>
          <w:spacing w:val="-2"/>
          <w:sz w:val="20"/>
        </w:rPr>
        <w:t>actions:</w:t>
      </w:r>
    </w:p>
    <w:p>
      <w:pPr>
        <w:spacing w:line="213" w:lineRule="auto" w:before="53"/>
        <w:ind w:left="300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To delete the Navigator view, click </w:t>
      </w:r>
      <w:r>
        <w:rPr>
          <w:color w:val="231F20"/>
          <w:spacing w:val="-25"/>
          <w:position w:val="-1"/>
          <w:sz w:val="20"/>
        </w:rPr>
        <w:drawing>
          <wp:inline distT="0" distB="0" distL="0" distR="0">
            <wp:extent cx="95250" cy="101600"/>
            <wp:effectExtent l="0" t="0" r="0" b="0"/>
            <wp:docPr id="2053" name="Image 2053"/>
            <wp:cNvGraphicFramePr>
              <a:graphicFrameLocks/>
            </wp:cNvGraphicFramePr>
            <a:graphic>
              <a:graphicData uri="http://schemas.openxmlformats.org/drawingml/2006/picture">
                <pic:pic>
                  <pic:nvPicPr>
                    <pic:cNvPr id="2053" name="Image 2053"/>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3"/>
          <w:sz w:val="20"/>
        </w:rPr>
        <w:t> </w:t>
      </w:r>
      <w:r>
        <w:rPr>
          <w:rFonts w:ascii="Book Antiqua"/>
          <w:b/>
          <w:color w:val="231F20"/>
          <w:sz w:val="20"/>
        </w:rPr>
        <w:t>Delete Navigator View</w:t>
      </w:r>
      <w:r>
        <w:rPr>
          <w:color w:val="231F20"/>
          <w:sz w:val="20"/>
        </w:rPr>
        <w:t>. When </w:t>
      </w:r>
      <w:r>
        <w:rPr>
          <w:color w:val="231F20"/>
          <w:sz w:val="20"/>
        </w:rPr>
        <w:t>a</w:t>
      </w:r>
      <w:r>
        <w:rPr>
          <w:color w:val="231F20"/>
          <w:sz w:val="20"/>
        </w:rPr>
        <w:t> message asks if you are sure, click </w:t>
      </w:r>
      <w:r>
        <w:rPr>
          <w:rFonts w:ascii="Book Antiqua"/>
          <w:b/>
          <w:color w:val="231F20"/>
          <w:sz w:val="20"/>
        </w:rPr>
        <w:t>Yes </w:t>
      </w:r>
      <w:r>
        <w:rPr>
          <w:color w:val="231F20"/>
          <w:sz w:val="20"/>
        </w:rPr>
        <w:t>or click </w:t>
      </w:r>
      <w:r>
        <w:rPr>
          <w:rFonts w:ascii="Book Antiqua"/>
          <w:b/>
          <w:color w:val="231F20"/>
          <w:sz w:val="20"/>
        </w:rPr>
        <w:t>No </w:t>
      </w:r>
      <w:r>
        <w:rPr>
          <w:color w:val="231F20"/>
          <w:sz w:val="20"/>
        </w:rPr>
        <w:t>to cancel.</w:t>
      </w:r>
    </w:p>
    <w:p>
      <w:pPr>
        <w:pStyle w:val="BodyText"/>
        <w:spacing w:line="213" w:lineRule="auto" w:before="58"/>
        <w:ind w:left="3004" w:right="274" w:hanging="216"/>
      </w:pPr>
      <w:r>
        <w:rPr>
          <w:rFonts w:ascii="Futura MdCn BT"/>
          <w:color w:val="231F20"/>
        </w:rPr>
        <w:t>v</w:t>
      </w:r>
      <w:r>
        <w:rPr>
          <w:rFonts w:ascii="Futura MdCn BT"/>
          <w:color w:val="231F20"/>
          <w:spacing w:val="80"/>
        </w:rPr>
        <w:t> </w:t>
      </w:r>
      <w:r>
        <w:rPr>
          <w:color w:val="231F20"/>
        </w:rPr>
        <w:t>To delete an item, select it and click </w:t>
      </w:r>
      <w:r>
        <w:rPr>
          <w:color w:val="231F20"/>
          <w:spacing w:val="15"/>
          <w:position w:val="-1"/>
        </w:rPr>
        <w:drawing>
          <wp:inline distT="0" distB="0" distL="0" distR="0">
            <wp:extent cx="101600" cy="101600"/>
            <wp:effectExtent l="0" t="0" r="0" b="0"/>
            <wp:docPr id="2054" name="Image 2054"/>
            <wp:cNvGraphicFramePr>
              <a:graphicFrameLocks/>
            </wp:cNvGraphicFramePr>
            <a:graphic>
              <a:graphicData uri="http://schemas.openxmlformats.org/drawingml/2006/picture">
                <pic:pic>
                  <pic:nvPicPr>
                    <pic:cNvPr id="2054" name="Image 2054"/>
                    <pic:cNvPicPr/>
                  </pic:nvPicPr>
                  <pic:blipFill>
                    <a:blip r:embed="rId362"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Delete Item</w:t>
      </w:r>
      <w:r>
        <w:rPr>
          <w:color w:val="231F20"/>
        </w:rPr>
        <w:t>. When a message asks if</w:t>
      </w:r>
      <w:r>
        <w:rPr>
          <w:color w:val="231F20"/>
          <w:spacing w:val="40"/>
        </w:rPr>
        <w:t> </w:t>
      </w:r>
      <w:r>
        <w:rPr>
          <w:color w:val="231F20"/>
        </w:rPr>
        <w:t>you are sure, click </w:t>
      </w:r>
      <w:r>
        <w:rPr>
          <w:rFonts w:ascii="Book Antiqua"/>
          <w:b/>
          <w:color w:val="231F20"/>
        </w:rPr>
        <w:t>Yes </w:t>
      </w:r>
      <w:r>
        <w:rPr>
          <w:color w:val="231F20"/>
        </w:rPr>
        <w:t>or click </w:t>
      </w:r>
      <w:r>
        <w:rPr>
          <w:rFonts w:ascii="Book Antiqua"/>
          <w:b/>
          <w:color w:val="231F20"/>
        </w:rPr>
        <w:t>No </w:t>
      </w:r>
      <w:r>
        <w:rPr>
          <w:color w:val="231F20"/>
        </w:rPr>
        <w:t>to cancel.</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tabs>
          <w:tab w:pos="2754" w:val="left" w:leader="none"/>
        </w:tabs>
        <w:spacing w:line="213" w:lineRule="auto" w:before="62"/>
        <w:ind w:left="2688" w:right="493" w:hanging="216"/>
      </w:pPr>
      <w:r>
        <w:rPr>
          <w:rFonts w:ascii="Futura MdCn BT"/>
          <w:color w:val="231F20"/>
          <w:spacing w:val="-10"/>
        </w:rPr>
        <w:t>v</w:t>
      </w:r>
      <w:r>
        <w:rPr>
          <w:rFonts w:ascii="Futura MdCn BT"/>
          <w:color w:val="231F20"/>
        </w:rPr>
        <w:tab/>
        <w:tab/>
      </w:r>
      <w:r>
        <w:rPr>
          <w:color w:val="231F20"/>
        </w:rPr>
        <w:t>If you delete the current Navigator view (the one showing when you </w:t>
      </w:r>
      <w:r>
        <w:rPr>
          <w:color w:val="231F20"/>
        </w:rPr>
        <w:t>opened</w:t>
      </w:r>
      <w:r>
        <w:rPr>
          <w:color w:val="231F20"/>
        </w:rPr>
        <w:t> the Navigator editor),</w:t>
      </w:r>
      <w:r>
        <w:rPr>
          <w:color w:val="231F20"/>
          <w:spacing w:val="40"/>
        </w:rPr>
        <w:t> </w:t>
      </w:r>
      <w:r>
        <w:rPr>
          <w:color w:val="231F20"/>
          <w:spacing w:val="-25"/>
          <w:position w:val="-1"/>
        </w:rPr>
        <w:drawing>
          <wp:inline distT="0" distB="0" distL="0" distR="0">
            <wp:extent cx="95250" cy="101600"/>
            <wp:effectExtent l="0" t="0" r="0" b="0"/>
            <wp:docPr id="2055" name="Image 2055"/>
            <wp:cNvGraphicFramePr>
              <a:graphicFrameLocks/>
            </wp:cNvGraphicFramePr>
            <a:graphic>
              <a:graphicData uri="http://schemas.openxmlformats.org/drawingml/2006/picture">
                <pic:pic>
                  <pic:nvPicPr>
                    <pic:cNvPr id="2055" name="Image 2055"/>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40"/>
        </w:rPr>
        <w:t> </w:t>
      </w:r>
      <w:r>
        <w:rPr>
          <w:rFonts w:ascii="Book Antiqua"/>
          <w:b/>
          <w:color w:val="231F20"/>
        </w:rPr>
        <w:t>Navigator updates pending </w:t>
      </w:r>
      <w:r>
        <w:rPr>
          <w:color w:val="231F20"/>
        </w:rPr>
        <w:t>is displayed in the Navigator view toolbar. Click this tool to remove the deleted Navigator view and open the next Navigator view.</w:t>
      </w:r>
    </w:p>
    <w:p>
      <w:pPr>
        <w:pStyle w:val="BodyText"/>
        <w:tabs>
          <w:tab w:pos="2754" w:val="left" w:leader="none"/>
        </w:tabs>
        <w:spacing w:line="213" w:lineRule="auto" w:before="57"/>
        <w:ind w:left="2688" w:right="274" w:hanging="216"/>
      </w:pPr>
      <w:r>
        <w:rPr>
          <w:rFonts w:ascii="Futura MdCn BT"/>
          <w:color w:val="231F20"/>
          <w:spacing w:val="-10"/>
        </w:rPr>
        <w:t>v</w:t>
      </w:r>
      <w:r>
        <w:rPr>
          <w:rFonts w:ascii="Futura MdCn BT"/>
          <w:color w:val="231F20"/>
        </w:rPr>
        <w:tab/>
        <w:tab/>
      </w:r>
      <w:r>
        <w:rPr>
          <w:color w:val="231F20"/>
        </w:rPr>
        <w:t>Deleted</w:t>
      </w:r>
      <w:r>
        <w:rPr>
          <w:color w:val="231F20"/>
          <w:spacing w:val="28"/>
        </w:rPr>
        <w:t> </w:t>
      </w:r>
      <w:r>
        <w:rPr>
          <w:color w:val="231F20"/>
        </w:rPr>
        <w:t>Navigator</w:t>
      </w:r>
      <w:r>
        <w:rPr>
          <w:color w:val="231F20"/>
          <w:spacing w:val="28"/>
        </w:rPr>
        <w:t> </w:t>
      </w:r>
      <w:r>
        <w:rPr>
          <w:color w:val="231F20"/>
        </w:rPr>
        <w:t>items</w:t>
      </w:r>
      <w:r>
        <w:rPr>
          <w:color w:val="231F20"/>
          <w:spacing w:val="28"/>
        </w:rPr>
        <w:t> </w:t>
      </w:r>
      <w:r>
        <w:rPr>
          <w:color w:val="231F20"/>
        </w:rPr>
        <w:t>are</w:t>
      </w:r>
      <w:r>
        <w:rPr>
          <w:color w:val="231F20"/>
          <w:spacing w:val="28"/>
        </w:rPr>
        <w:t> </w:t>
      </w:r>
      <w:r>
        <w:rPr>
          <w:color w:val="231F20"/>
        </w:rPr>
        <w:t>not</w:t>
      </w:r>
      <w:r>
        <w:rPr>
          <w:color w:val="231F20"/>
          <w:spacing w:val="28"/>
        </w:rPr>
        <w:t> </w:t>
      </w:r>
      <w:r>
        <w:rPr>
          <w:color w:val="231F20"/>
        </w:rPr>
        <w:t>removed</w:t>
      </w:r>
      <w:r>
        <w:rPr>
          <w:color w:val="231F20"/>
          <w:spacing w:val="28"/>
        </w:rPr>
        <w:t> </w:t>
      </w:r>
      <w:r>
        <w:rPr>
          <w:color w:val="231F20"/>
        </w:rPr>
        <w:t>from</w:t>
      </w:r>
      <w:r>
        <w:rPr>
          <w:color w:val="231F20"/>
          <w:spacing w:val="28"/>
        </w:rPr>
        <w:t> </w:t>
      </w:r>
      <w:r>
        <w:rPr>
          <w:color w:val="231F20"/>
        </w:rPr>
        <w:t>any</w:t>
      </w:r>
      <w:r>
        <w:rPr>
          <w:color w:val="231F20"/>
          <w:spacing w:val="28"/>
        </w:rPr>
        <w:t> </w:t>
      </w:r>
      <w:r>
        <w:rPr>
          <w:color w:val="231F20"/>
        </w:rPr>
        <w:t>graphic</w:t>
      </w:r>
      <w:r>
        <w:rPr>
          <w:color w:val="231F20"/>
          <w:spacing w:val="28"/>
        </w:rPr>
        <w:t> </w:t>
      </w:r>
      <w:r>
        <w:rPr>
          <w:color w:val="231F20"/>
        </w:rPr>
        <w:t>views</w:t>
      </w:r>
      <w:r>
        <w:rPr>
          <w:color w:val="231F20"/>
          <w:spacing w:val="28"/>
        </w:rPr>
        <w:t> </w:t>
      </w:r>
      <w:r>
        <w:rPr>
          <w:color w:val="231F20"/>
        </w:rPr>
        <w:t>that</w:t>
      </w:r>
      <w:r>
        <w:rPr>
          <w:color w:val="231F20"/>
          <w:spacing w:val="28"/>
        </w:rPr>
        <w:t> </w:t>
      </w:r>
      <w:r>
        <w:rPr>
          <w:color w:val="231F20"/>
        </w:rPr>
        <w:t>you have created in workspaces for the Navigator view. You need to delete the items manually from the view itself.</w:t>
      </w:r>
    </w:p>
    <w:p>
      <w:pPr>
        <w:pStyle w:val="BodyText"/>
        <w:spacing w:line="213" w:lineRule="auto" w:before="58"/>
        <w:ind w:left="2688" w:right="188" w:hanging="216"/>
      </w:pPr>
      <w:r>
        <w:rPr>
          <w:rFonts w:ascii="Futura MdCn BT"/>
          <w:color w:val="231F20"/>
        </w:rPr>
        <w:t>v</w:t>
      </w:r>
      <w:r>
        <w:rPr>
          <w:rFonts w:ascii="Futura MdCn BT"/>
          <w:color w:val="231F20"/>
          <w:spacing w:val="80"/>
        </w:rPr>
        <w:t> </w:t>
      </w:r>
      <w:r>
        <w:rPr>
          <w:color w:val="231F20"/>
        </w:rPr>
        <w:t>When an agent is removed from the managed network, </w:t>
      </w:r>
      <w:r>
        <w:rPr>
          <w:color w:val="231F20"/>
          <w:spacing w:val="-25"/>
          <w:position w:val="-1"/>
        </w:rPr>
        <w:drawing>
          <wp:inline distT="0" distB="0" distL="0" distR="0">
            <wp:extent cx="95250" cy="101599"/>
            <wp:effectExtent l="0" t="0" r="0" b="0"/>
            <wp:docPr id="2056" name="Image 2056"/>
            <wp:cNvGraphicFramePr>
              <a:graphicFrameLocks/>
            </wp:cNvGraphicFramePr>
            <a:graphic>
              <a:graphicData uri="http://schemas.openxmlformats.org/drawingml/2006/picture">
                <pic:pic>
                  <pic:nvPicPr>
                    <pic:cNvPr id="2056" name="Image 2056"/>
                    <pic:cNvPicPr/>
                  </pic:nvPicPr>
                  <pic:blipFill>
                    <a:blip r:embed="rId39" cstate="print"/>
                    <a:stretch>
                      <a:fillRect/>
                    </a:stretch>
                  </pic:blipFill>
                  <pic:spPr>
                    <a:xfrm>
                      <a:off x="0" y="0"/>
                      <a:ext cx="95250" cy="101599"/>
                    </a:xfrm>
                    <a:prstGeom prst="rect">
                      <a:avLst/>
                    </a:prstGeom>
                  </pic:spPr>
                </pic:pic>
              </a:graphicData>
            </a:graphic>
          </wp:inline>
        </w:drawing>
      </w:r>
      <w:r>
        <w:rPr>
          <w:color w:val="231F20"/>
          <w:spacing w:val="-25"/>
          <w:position w:val="-1"/>
        </w:rPr>
      </w:r>
      <w:r>
        <w:rPr>
          <w:rFonts w:ascii="Times New Roman"/>
          <w:color w:val="231F20"/>
          <w:spacing w:val="35"/>
        </w:rPr>
        <w:t> </w:t>
      </w:r>
      <w:r>
        <w:rPr>
          <w:rFonts w:ascii="Book Antiqua"/>
          <w:b/>
          <w:color w:val="231F20"/>
        </w:rPr>
        <w:t>Navigator updates pending</w:t>
      </w:r>
      <w:r>
        <w:rPr>
          <w:rFonts w:ascii="Book Antiqua"/>
          <w:b/>
          <w:color w:val="231F20"/>
          <w:spacing w:val="27"/>
        </w:rPr>
        <w:t> </w:t>
      </w:r>
      <w:r>
        <w:rPr>
          <w:color w:val="231F20"/>
        </w:rPr>
        <w:t>is</w:t>
      </w:r>
      <w:r>
        <w:rPr>
          <w:color w:val="231F20"/>
          <w:spacing w:val="27"/>
        </w:rPr>
        <w:t> </w:t>
      </w:r>
      <w:r>
        <w:rPr>
          <w:color w:val="231F20"/>
        </w:rPr>
        <w:t>displayed</w:t>
      </w:r>
      <w:r>
        <w:rPr>
          <w:color w:val="231F20"/>
          <w:spacing w:val="27"/>
        </w:rPr>
        <w:t> </w:t>
      </w:r>
      <w:r>
        <w:rPr>
          <w:color w:val="231F20"/>
        </w:rPr>
        <w:t>in</w:t>
      </w:r>
      <w:r>
        <w:rPr>
          <w:color w:val="231F20"/>
          <w:spacing w:val="27"/>
        </w:rPr>
        <w:t> </w:t>
      </w:r>
      <w:r>
        <w:rPr>
          <w:color w:val="231F20"/>
        </w:rPr>
        <w:t>the</w:t>
      </w:r>
      <w:r>
        <w:rPr>
          <w:color w:val="231F20"/>
          <w:spacing w:val="27"/>
        </w:rPr>
        <w:t> </w:t>
      </w:r>
      <w:r>
        <w:rPr>
          <w:color w:val="231F20"/>
        </w:rPr>
        <w:t>Navigator</w:t>
      </w:r>
      <w:r>
        <w:rPr>
          <w:color w:val="231F20"/>
          <w:spacing w:val="27"/>
        </w:rPr>
        <w:t> </w:t>
      </w:r>
      <w:r>
        <w:rPr>
          <w:color w:val="231F20"/>
        </w:rPr>
        <w:t>Physical</w:t>
      </w:r>
      <w:r>
        <w:rPr>
          <w:color w:val="231F20"/>
          <w:spacing w:val="27"/>
        </w:rPr>
        <w:t> </w:t>
      </w:r>
      <w:r>
        <w:rPr>
          <w:color w:val="231F20"/>
        </w:rPr>
        <w:t>view</w:t>
      </w:r>
      <w:r>
        <w:rPr>
          <w:color w:val="231F20"/>
          <w:spacing w:val="27"/>
        </w:rPr>
        <w:t> </w:t>
      </w:r>
      <w:r>
        <w:rPr>
          <w:color w:val="231F20"/>
        </w:rPr>
        <w:t>toolbar</w:t>
      </w:r>
      <w:r>
        <w:rPr>
          <w:color w:val="231F20"/>
          <w:spacing w:val="27"/>
        </w:rPr>
        <w:t> </w:t>
      </w:r>
      <w:r>
        <w:rPr>
          <w:color w:val="231F20"/>
        </w:rPr>
        <w:t>for</w:t>
      </w:r>
      <w:r>
        <w:rPr>
          <w:color w:val="231F20"/>
          <w:spacing w:val="27"/>
        </w:rPr>
        <w:t> </w:t>
      </w:r>
      <w:r>
        <w:rPr>
          <w:color w:val="231F20"/>
        </w:rPr>
        <w:t>you</w:t>
      </w:r>
      <w:r>
        <w:rPr>
          <w:color w:val="231F20"/>
          <w:spacing w:val="27"/>
        </w:rPr>
        <w:t> </w:t>
      </w:r>
      <w:r>
        <w:rPr>
          <w:color w:val="231F20"/>
        </w:rPr>
        <w:t>to</w:t>
      </w:r>
      <w:r>
        <w:rPr>
          <w:color w:val="231F20"/>
          <w:spacing w:val="27"/>
        </w:rPr>
        <w:t> </w:t>
      </w:r>
      <w:r>
        <w:rPr>
          <w:color w:val="231F20"/>
        </w:rPr>
        <w:t>refresh the</w:t>
      </w:r>
      <w:r>
        <w:rPr>
          <w:color w:val="231F20"/>
          <w:spacing w:val="28"/>
        </w:rPr>
        <w:t> </w:t>
      </w:r>
      <w:r>
        <w:rPr>
          <w:color w:val="231F20"/>
        </w:rPr>
        <w:t>view.</w:t>
      </w:r>
      <w:r>
        <w:rPr>
          <w:color w:val="231F20"/>
          <w:spacing w:val="28"/>
        </w:rPr>
        <w:t> </w:t>
      </w:r>
      <w:r>
        <w:rPr>
          <w:color w:val="231F20"/>
        </w:rPr>
        <w:t>This</w:t>
      </w:r>
      <w:r>
        <w:rPr>
          <w:color w:val="231F20"/>
          <w:spacing w:val="28"/>
        </w:rPr>
        <w:t> </w:t>
      </w:r>
      <w:r>
        <w:rPr>
          <w:color w:val="231F20"/>
        </w:rPr>
        <w:t>also</w:t>
      </w:r>
      <w:r>
        <w:rPr>
          <w:color w:val="231F20"/>
          <w:spacing w:val="28"/>
        </w:rPr>
        <w:t> </w:t>
      </w:r>
      <w:r>
        <w:rPr>
          <w:color w:val="231F20"/>
        </w:rPr>
        <w:t>happens</w:t>
      </w:r>
      <w:r>
        <w:rPr>
          <w:color w:val="231F20"/>
          <w:spacing w:val="28"/>
        </w:rPr>
        <w:t> </w:t>
      </w:r>
      <w:r>
        <w:rPr>
          <w:color w:val="231F20"/>
        </w:rPr>
        <w:t>for</w:t>
      </w:r>
      <w:r>
        <w:rPr>
          <w:color w:val="231F20"/>
          <w:spacing w:val="28"/>
        </w:rPr>
        <w:t> </w:t>
      </w:r>
      <w:r>
        <w:rPr>
          <w:color w:val="231F20"/>
        </w:rPr>
        <w:t>custom</w:t>
      </w:r>
      <w:r>
        <w:rPr>
          <w:color w:val="231F20"/>
          <w:spacing w:val="28"/>
        </w:rPr>
        <w:t> </w:t>
      </w:r>
      <w:r>
        <w:rPr>
          <w:color w:val="231F20"/>
        </w:rPr>
        <w:t>Navigator</w:t>
      </w:r>
      <w:r>
        <w:rPr>
          <w:color w:val="231F20"/>
          <w:spacing w:val="28"/>
        </w:rPr>
        <w:t> </w:t>
      </w:r>
      <w:r>
        <w:rPr>
          <w:color w:val="231F20"/>
        </w:rPr>
        <w:t>views</w:t>
      </w:r>
      <w:r>
        <w:rPr>
          <w:color w:val="231F20"/>
          <w:spacing w:val="28"/>
        </w:rPr>
        <w:t> </w:t>
      </w:r>
      <w:r>
        <w:rPr>
          <w:color w:val="231F20"/>
        </w:rPr>
        <w:t>with</w:t>
      </w:r>
      <w:r>
        <w:rPr>
          <w:color w:val="231F20"/>
          <w:spacing w:val="28"/>
        </w:rPr>
        <w:t> </w:t>
      </w:r>
      <w:r>
        <w:rPr>
          <w:color w:val="231F20"/>
        </w:rPr>
        <w:t>dynamic Navigator item members. For Navigator items with no dynamic members (child items), you must delete the agent's Navigator item to remove it from the </w:t>
      </w:r>
      <w:r>
        <w:rPr>
          <w:color w:val="231F20"/>
        </w:rPr>
        <w:t>display</w:t>
      </w:r>
      <w:r>
        <w:rPr>
          <w:color w:val="231F20"/>
        </w:rPr>
        <w:t>.</w:t>
      </w:r>
    </w:p>
    <w:p>
      <w:pPr>
        <w:pStyle w:val="Heading6"/>
        <w:spacing w:line="240" w:lineRule="auto" w:before="33"/>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170">
        <w:r>
          <w:rPr>
            <w:color w:val="231F20"/>
          </w:rPr>
          <w:t>“Editing</w:t>
        </w:r>
        <w:r>
          <w:rPr>
            <w:color w:val="231F20"/>
            <w:spacing w:val="11"/>
          </w:rPr>
          <w:t> </w:t>
        </w:r>
        <w:r>
          <w:rPr>
            <w:color w:val="231F20"/>
          </w:rPr>
          <w:t>a</w:t>
        </w:r>
        <w:r>
          <w:rPr>
            <w:color w:val="231F20"/>
            <w:spacing w:val="11"/>
          </w:rPr>
          <w:t> </w:t>
        </w:r>
        <w:r>
          <w:rPr>
            <w:color w:val="231F20"/>
          </w:rPr>
          <w:t>Navigator</w:t>
        </w:r>
        <w:r>
          <w:rPr>
            <w:color w:val="231F20"/>
            <w:spacing w:val="11"/>
          </w:rPr>
          <w:t> </w:t>
        </w:r>
        <w:r>
          <w:rPr>
            <w:color w:val="231F20"/>
          </w:rPr>
          <w:t>view”</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237</w:t>
        </w:r>
      </w:hyperlink>
    </w:p>
    <w:p>
      <w:pPr>
        <w:pStyle w:val="BodyText"/>
        <w:spacing w:line="213" w:lineRule="auto" w:before="8"/>
        <w:ind w:left="2472"/>
      </w:pPr>
      <w:r>
        <w:rPr>
          <w:color w:val="231F20"/>
        </w:rPr>
        <w:t>Use the Navigator editor to edit the Navigator view and the managed systems </w:t>
      </w:r>
      <w:r>
        <w:rPr>
          <w:color w:val="231F20"/>
        </w:rPr>
        <w:t>or dynamic members assigned to the items.</w:t>
      </w:r>
    </w:p>
    <w:p>
      <w:pPr>
        <w:pStyle w:val="BodyText"/>
        <w:spacing w:before="5"/>
        <w:rPr>
          <w:sz w:val="16"/>
        </w:rPr>
      </w:pPr>
      <w:r>
        <w:rPr/>
        <mc:AlternateContent>
          <mc:Choice Requires="wps">
            <w:drawing>
              <wp:anchor distT="0" distB="0" distL="0" distR="0" allowOverlap="1" layoutInCell="1" locked="0" behindDoc="1" simplePos="0" relativeHeight="487717888">
                <wp:simplePos x="0" y="0"/>
                <wp:positionH relativeFrom="page">
                  <wp:posOffset>912380</wp:posOffset>
                </wp:positionH>
                <wp:positionV relativeFrom="paragraph">
                  <wp:posOffset>155724</wp:posOffset>
                </wp:positionV>
                <wp:extent cx="6082665" cy="1270"/>
                <wp:effectExtent l="0" t="0" r="0" b="0"/>
                <wp:wrapTopAndBottom/>
                <wp:docPr id="2057" name="Graphic 2057"/>
                <wp:cNvGraphicFramePr>
                  <a:graphicFrameLocks/>
                </wp:cNvGraphicFramePr>
                <a:graphic>
                  <a:graphicData uri="http://schemas.microsoft.com/office/word/2010/wordprocessingShape">
                    <wps:wsp>
                      <wps:cNvPr id="2057" name="Graphic 205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1788pt;width:478.95pt;height:.1pt;mso-position-horizontal-relative:page;mso-position-vertical-relative:paragraph;z-index:-15598592;mso-wrap-distance-left:0;mso-wrap-distance-right:0" id="docshape202"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Navigator editor and properties" w:id="383"/>
      <w:bookmarkEnd w:id="383"/>
      <w:r>
        <w:rPr>
          <w:b w:val="0"/>
        </w:rPr>
      </w:r>
      <w:r>
        <w:rPr>
          <w:color w:val="231F20"/>
        </w:rPr>
        <w:t>Navigator</w:t>
      </w:r>
      <w:r>
        <w:rPr>
          <w:color w:val="231F20"/>
          <w:spacing w:val="6"/>
        </w:rPr>
        <w:t> </w:t>
      </w:r>
      <w:r>
        <w:rPr>
          <w:color w:val="231F20"/>
        </w:rPr>
        <w:t>editor</w:t>
      </w:r>
      <w:r>
        <w:rPr>
          <w:color w:val="231F20"/>
          <w:spacing w:val="6"/>
        </w:rPr>
        <w:t> </w:t>
      </w:r>
      <w:r>
        <w:rPr>
          <w:color w:val="231F20"/>
        </w:rPr>
        <w:t>and</w:t>
      </w:r>
      <w:r>
        <w:rPr>
          <w:color w:val="231F20"/>
          <w:spacing w:val="7"/>
        </w:rPr>
        <w:t> </w:t>
      </w:r>
      <w:r>
        <w:rPr>
          <w:color w:val="231F20"/>
          <w:spacing w:val="-2"/>
        </w:rPr>
        <w:t>properties</w:t>
      </w:r>
    </w:p>
    <w:p>
      <w:pPr>
        <w:pStyle w:val="BodyText"/>
        <w:spacing w:line="213" w:lineRule="auto" w:before="138"/>
        <w:ind w:left="2472" w:right="274"/>
      </w:pPr>
      <w:r>
        <w:rPr>
          <w:color w:val="231F20"/>
        </w:rPr>
        <w:t>The Navigator editor is used to create and edit custom Navigator views and has other dialogs to support customization. Two of these dialogs, </w:t>
      </w:r>
      <w:r>
        <w:rPr>
          <w:rFonts w:ascii="Book Antiqua"/>
          <w:b/>
          <w:color w:val="231F20"/>
        </w:rPr>
        <w:t>Navigator item properties </w:t>
      </w:r>
      <w:r>
        <w:rPr>
          <w:color w:val="231F20"/>
        </w:rPr>
        <w:t>and </w:t>
      </w:r>
      <w:r>
        <w:rPr>
          <w:rFonts w:ascii="Book Antiqua"/>
          <w:b/>
          <w:color w:val="231F20"/>
        </w:rPr>
        <w:t>Navigator List </w:t>
      </w:r>
      <w:r>
        <w:rPr>
          <w:color w:val="231F20"/>
        </w:rPr>
        <w:t>are available from two places: the current </w:t>
      </w:r>
      <w:r>
        <w:rPr>
          <w:color w:val="231F20"/>
        </w:rPr>
        <w:t>Navigator </w:t>
      </w:r>
      <w:bookmarkStart w:name="Edit Navigator view" w:id="384"/>
      <w:bookmarkEnd w:id="384"/>
      <w:r>
        <w:rPr>
          <w:color w:val="231F20"/>
        </w:rPr>
        <w:t>view</w:t>
      </w:r>
      <w:r>
        <w:rPr>
          <w:color w:val="231F20"/>
        </w:rPr>
        <w:t> and the Navigator editor.</w:t>
      </w:r>
    </w:p>
    <w:p>
      <w:pPr>
        <w:pStyle w:val="Heading3"/>
        <w:spacing w:before="216"/>
        <w:ind w:left="1574"/>
      </w:pPr>
      <w:r>
        <w:rPr>
          <w:color w:val="231F20"/>
        </w:rPr>
        <w:t>Edit</w:t>
      </w:r>
      <w:r>
        <w:rPr>
          <w:color w:val="231F20"/>
          <w:spacing w:val="5"/>
        </w:rPr>
        <w:t> </w:t>
      </w:r>
      <w:r>
        <w:rPr>
          <w:color w:val="231F20"/>
        </w:rPr>
        <w:t>Navigator</w:t>
      </w:r>
      <w:r>
        <w:rPr>
          <w:color w:val="231F20"/>
          <w:spacing w:val="6"/>
        </w:rPr>
        <w:t> </w:t>
      </w:r>
      <w:r>
        <w:rPr>
          <w:color w:val="231F20"/>
          <w:spacing w:val="-4"/>
        </w:rPr>
        <w:t>view</w:t>
      </w:r>
    </w:p>
    <w:p>
      <w:pPr>
        <w:pStyle w:val="BodyText"/>
        <w:spacing w:line="213" w:lineRule="auto" w:before="58"/>
        <w:ind w:left="2472" w:right="258"/>
      </w:pPr>
      <w:r>
        <w:rPr>
          <w:color w:val="231F20"/>
        </w:rPr>
        <w:t>Click</w:t>
      </w:r>
      <w:r>
        <w:rPr>
          <w:color w:val="231F20"/>
          <w:spacing w:val="19"/>
        </w:rPr>
        <w:t> </w:t>
      </w:r>
      <w:r>
        <w:rPr>
          <w:color w:val="231F20"/>
          <w:spacing w:val="-24"/>
          <w:position w:val="-1"/>
        </w:rPr>
        <w:drawing>
          <wp:inline distT="0" distB="0" distL="0" distR="0">
            <wp:extent cx="95250" cy="101600"/>
            <wp:effectExtent l="0" t="0" r="0" b="0"/>
            <wp:docPr id="2058" name="Image 2058"/>
            <wp:cNvGraphicFramePr>
              <a:graphicFrameLocks/>
            </wp:cNvGraphicFramePr>
            <a:graphic>
              <a:graphicData uri="http://schemas.openxmlformats.org/drawingml/2006/picture">
                <pic:pic>
                  <pic:nvPicPr>
                    <pic:cNvPr id="2058" name="Image 2058"/>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16"/>
        </w:rPr>
        <w:t> </w:t>
      </w:r>
      <w:r>
        <w:rPr>
          <w:rFonts w:ascii="Book Antiqua"/>
          <w:b/>
          <w:color w:val="231F20"/>
        </w:rPr>
        <w:t>Edit Navigator View </w:t>
      </w:r>
      <w:r>
        <w:rPr>
          <w:color w:val="231F20"/>
        </w:rPr>
        <w:t>in the Navigator toolbar to open the Navigator </w:t>
      </w:r>
      <w:r>
        <w:rPr>
          <w:color w:val="231F20"/>
        </w:rPr>
        <w:t>editor for creating and maintaining custom Navigator views.</w:t>
      </w:r>
    </w:p>
    <w:p>
      <w:pPr>
        <w:pStyle w:val="BodyText"/>
        <w:spacing w:before="215"/>
        <w:ind w:left="2472"/>
      </w:pPr>
      <w:r>
        <w:rPr>
          <w:color w:val="231F20"/>
        </w:rPr>
        <w:t>The</w:t>
      </w:r>
      <w:r>
        <w:rPr>
          <w:color w:val="231F20"/>
          <w:spacing w:val="11"/>
        </w:rPr>
        <w:t> </w:t>
      </w:r>
      <w:r>
        <w:rPr>
          <w:color w:val="231F20"/>
        </w:rPr>
        <w:t>window</w:t>
      </w:r>
      <w:r>
        <w:rPr>
          <w:color w:val="231F20"/>
          <w:spacing w:val="12"/>
        </w:rPr>
        <w:t> </w:t>
      </w:r>
      <w:r>
        <w:rPr>
          <w:color w:val="231F20"/>
        </w:rPr>
        <w:t>has</w:t>
      </w:r>
      <w:r>
        <w:rPr>
          <w:color w:val="231F20"/>
          <w:spacing w:val="12"/>
        </w:rPr>
        <w:t> </w:t>
      </w:r>
      <w:r>
        <w:rPr>
          <w:color w:val="231F20"/>
        </w:rPr>
        <w:t>two</w:t>
      </w:r>
      <w:r>
        <w:rPr>
          <w:color w:val="231F20"/>
          <w:spacing w:val="11"/>
        </w:rPr>
        <w:t> </w:t>
      </w:r>
      <w:r>
        <w:rPr>
          <w:color w:val="231F20"/>
          <w:spacing w:val="-2"/>
        </w:rPr>
        <w:t>frames:</w:t>
      </w:r>
    </w:p>
    <w:p>
      <w:pPr>
        <w:pStyle w:val="Heading6"/>
        <w:spacing w:before="112"/>
      </w:pPr>
      <w:r>
        <w:rPr>
          <w:color w:val="231F20"/>
          <w:spacing w:val="-2"/>
        </w:rPr>
        <w:t>Target</w:t>
      </w:r>
      <w:r>
        <w:rPr>
          <w:color w:val="231F20"/>
          <w:spacing w:val="-1"/>
        </w:rPr>
        <w:t> </w:t>
      </w:r>
      <w:r>
        <w:rPr>
          <w:color w:val="231F20"/>
          <w:spacing w:val="-4"/>
        </w:rPr>
        <w:t>View</w:t>
      </w:r>
    </w:p>
    <w:p>
      <w:pPr>
        <w:pStyle w:val="BodyText"/>
        <w:spacing w:line="213" w:lineRule="auto" w:before="11"/>
        <w:ind w:left="3190" w:right="186"/>
        <w:jc w:val="both"/>
      </w:pPr>
      <w:r>
        <w:rPr>
          <w:color w:val="231F20"/>
        </w:rPr>
        <w:t>The </w:t>
      </w:r>
      <w:r>
        <w:rPr>
          <w:rFonts w:ascii="Book Antiqua"/>
          <w:b/>
          <w:color w:val="231F20"/>
        </w:rPr>
        <w:t>Target View </w:t>
      </w:r>
      <w:r>
        <w:rPr>
          <w:color w:val="231F20"/>
        </w:rPr>
        <w:t>shows the name of the Navigator view you are editing in the left frame. When multiple Navigator views are available, you can </w:t>
      </w:r>
      <w:r>
        <w:rPr>
          <w:color w:val="231F20"/>
        </w:rPr>
        <w:t>select</w:t>
      </w:r>
      <w:r>
        <w:rPr>
          <w:color w:val="231F20"/>
          <w:spacing w:val="80"/>
        </w:rPr>
        <w:t> </w:t>
      </w:r>
      <w:r>
        <w:rPr>
          <w:color w:val="231F20"/>
        </w:rPr>
        <w:t>a different target from the </w:t>
      </w:r>
      <w:r>
        <w:rPr>
          <w:color w:val="231F20"/>
          <w:spacing w:val="15"/>
          <w:position w:val="-1"/>
        </w:rPr>
        <w:drawing>
          <wp:inline distT="0" distB="0" distL="0" distR="0">
            <wp:extent cx="101600" cy="101600"/>
            <wp:effectExtent l="0" t="0" r="0" b="0"/>
            <wp:docPr id="2059" name="Image 2059"/>
            <wp:cNvGraphicFramePr>
              <a:graphicFrameLocks/>
            </wp:cNvGraphicFramePr>
            <a:graphic>
              <a:graphicData uri="http://schemas.openxmlformats.org/drawingml/2006/picture">
                <pic:pic>
                  <pic:nvPicPr>
                    <pic:cNvPr id="2059" name="Image 205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list.</w:t>
      </w:r>
    </w:p>
    <w:p>
      <w:pPr>
        <w:pStyle w:val="Heading6"/>
        <w:spacing w:before="116"/>
        <w:ind w:left="3200"/>
      </w:pPr>
      <w:r>
        <w:rPr>
          <w:b w:val="0"/>
          <w:position w:val="-1"/>
        </w:rPr>
        <w:drawing>
          <wp:inline distT="0" distB="0" distL="0" distR="0">
            <wp:extent cx="95250" cy="101600"/>
            <wp:effectExtent l="0" t="0" r="0" b="0"/>
            <wp:docPr id="2060" name="Image 2060"/>
            <wp:cNvGraphicFramePr>
              <a:graphicFrameLocks/>
            </wp:cNvGraphicFramePr>
            <a:graphic>
              <a:graphicData uri="http://schemas.openxmlformats.org/drawingml/2006/picture">
                <pic:pic>
                  <pic:nvPicPr>
                    <pic:cNvPr id="2060" name="Image 2060"/>
                    <pic:cNvPicPr/>
                  </pic:nvPicPr>
                  <pic:blipFill>
                    <a:blip r:embed="rId3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Refresh now</w:t>
      </w:r>
    </w:p>
    <w:p>
      <w:pPr>
        <w:pStyle w:val="BodyText"/>
        <w:spacing w:line="258" w:lineRule="exact"/>
        <w:ind w:left="3909"/>
      </w:pPr>
      <w:r>
        <w:rPr>
          <w:color w:val="231F20"/>
        </w:rPr>
        <w:t>This</w:t>
      </w:r>
      <w:r>
        <w:rPr>
          <w:color w:val="231F20"/>
          <w:spacing w:val="9"/>
        </w:rPr>
        <w:t> </w:t>
      </w:r>
      <w:r>
        <w:rPr>
          <w:color w:val="231F20"/>
        </w:rPr>
        <w:t>refreshes</w:t>
      </w:r>
      <w:r>
        <w:rPr>
          <w:color w:val="231F20"/>
          <w:spacing w:val="10"/>
        </w:rPr>
        <w:t> </w:t>
      </w:r>
      <w:r>
        <w:rPr>
          <w:color w:val="231F20"/>
        </w:rPr>
        <w:t>the</w:t>
      </w:r>
      <w:r>
        <w:rPr>
          <w:color w:val="231F20"/>
          <w:spacing w:val="9"/>
        </w:rPr>
        <w:t> </w:t>
      </w:r>
      <w:r>
        <w:rPr>
          <w:color w:val="231F20"/>
        </w:rPr>
        <w:t>display</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target</w:t>
      </w:r>
      <w:r>
        <w:rPr>
          <w:color w:val="231F20"/>
          <w:spacing w:val="9"/>
        </w:rPr>
        <w:t> </w:t>
      </w:r>
      <w:r>
        <w:rPr>
          <w:color w:val="231F20"/>
        </w:rPr>
        <w:t>Navigator</w:t>
      </w:r>
      <w:r>
        <w:rPr>
          <w:color w:val="231F20"/>
          <w:spacing w:val="10"/>
        </w:rPr>
        <w:t> </w:t>
      </w:r>
      <w:r>
        <w:rPr>
          <w:color w:val="231F20"/>
          <w:spacing w:val="-2"/>
        </w:rPr>
        <w:t>levels.</w:t>
      </w:r>
    </w:p>
    <w:p>
      <w:pPr>
        <w:pStyle w:val="Heading6"/>
        <w:spacing w:before="112"/>
        <w:ind w:left="3190"/>
      </w:pPr>
      <w:r>
        <w:rPr>
          <w:b w:val="0"/>
          <w:position w:val="-1"/>
        </w:rPr>
        <w:drawing>
          <wp:inline distT="0" distB="0" distL="0" distR="0">
            <wp:extent cx="101600" cy="95250"/>
            <wp:effectExtent l="0" t="0" r="0" b="0"/>
            <wp:docPr id="2061" name="Image 2061"/>
            <wp:cNvGraphicFramePr>
              <a:graphicFrameLocks/>
            </wp:cNvGraphicFramePr>
            <a:graphic>
              <a:graphicData uri="http://schemas.openxmlformats.org/drawingml/2006/picture">
                <pic:pic>
                  <pic:nvPicPr>
                    <pic:cNvPr id="2061" name="Image 2061"/>
                    <pic:cNvPicPr/>
                  </pic:nvPicPr>
                  <pic:blipFill>
                    <a:blip r:embed="rId28" cstate="print"/>
                    <a:stretch>
                      <a:fillRect/>
                    </a:stretch>
                  </pic:blipFill>
                  <pic:spPr>
                    <a:xfrm>
                      <a:off x="0" y="0"/>
                      <a:ext cx="101600" cy="95250"/>
                    </a:xfrm>
                    <a:prstGeom prst="rect">
                      <a:avLst/>
                    </a:prstGeom>
                  </pic:spPr>
                </pic:pic>
              </a:graphicData>
            </a:graphic>
          </wp:inline>
        </w:drawing>
      </w:r>
      <w:r>
        <w:rPr>
          <w:b w:val="0"/>
          <w:position w:val="-1"/>
        </w:rPr>
      </w:r>
      <w:r>
        <w:rPr>
          <w:rFonts w:ascii="Times New Roman"/>
          <w:b w:val="0"/>
          <w:spacing w:val="40"/>
        </w:rPr>
        <w:t> </w:t>
      </w:r>
      <w:r>
        <w:rPr>
          <w:color w:val="231F20"/>
        </w:rPr>
        <w:t>Properties</w:t>
      </w:r>
    </w:p>
    <w:p>
      <w:pPr>
        <w:pStyle w:val="BodyText"/>
        <w:spacing w:line="213" w:lineRule="auto" w:before="11"/>
        <w:ind w:left="3909" w:right="274"/>
      </w:pPr>
      <w:r>
        <w:rPr>
          <w:color w:val="231F20"/>
        </w:rPr>
        <w:t>This opens the Properties window of the target Navigator view </w:t>
      </w:r>
      <w:r>
        <w:rPr>
          <w:color w:val="231F20"/>
        </w:rPr>
        <w:t>for you to see and edit the Navigator name and description.</w:t>
      </w:r>
    </w:p>
    <w:p>
      <w:pPr>
        <w:pStyle w:val="BodyText"/>
        <w:spacing w:line="213" w:lineRule="auto" w:before="118"/>
        <w:ind w:left="3909" w:right="258"/>
      </w:pPr>
      <w:r>
        <w:rPr>
          <w:color w:val="231F20"/>
        </w:rPr>
        <w:t>You can also right-click a Navigator item and click </w:t>
      </w:r>
      <w:r>
        <w:rPr>
          <w:color w:val="231F20"/>
          <w:spacing w:val="15"/>
          <w:position w:val="-1"/>
        </w:rPr>
        <w:drawing>
          <wp:inline distT="0" distB="0" distL="0" distR="0">
            <wp:extent cx="101600" cy="95250"/>
            <wp:effectExtent l="0" t="0" r="0" b="0"/>
            <wp:docPr id="2062" name="Image 2062"/>
            <wp:cNvGraphicFramePr>
              <a:graphicFrameLocks/>
            </wp:cNvGraphicFramePr>
            <a:graphic>
              <a:graphicData uri="http://schemas.openxmlformats.org/drawingml/2006/picture">
                <pic:pic>
                  <pic:nvPicPr>
                    <pic:cNvPr id="2062" name="Image 2062"/>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Properties </w:t>
      </w:r>
      <w:r>
        <w:rPr>
          <w:color w:val="231F20"/>
        </w:rPr>
        <w:t>to see and edit the monitored resources or the dynamic items.</w:t>
      </w:r>
    </w:p>
    <w:p>
      <w:pPr>
        <w:pStyle w:val="Heading6"/>
        <w:spacing w:before="118"/>
        <w:ind w:left="3200"/>
      </w:pPr>
      <w:r>
        <w:rPr>
          <w:b w:val="0"/>
          <w:position w:val="-1"/>
        </w:rPr>
        <w:drawing>
          <wp:inline distT="0" distB="0" distL="0" distR="0">
            <wp:extent cx="95250" cy="101600"/>
            <wp:effectExtent l="0" t="0" r="0" b="0"/>
            <wp:docPr id="2063" name="Image 2063"/>
            <wp:cNvGraphicFramePr>
              <a:graphicFrameLocks/>
            </wp:cNvGraphicFramePr>
            <a:graphic>
              <a:graphicData uri="http://schemas.openxmlformats.org/drawingml/2006/picture">
                <pic:pic>
                  <pic:nvPicPr>
                    <pic:cNvPr id="2063" name="Image 2063"/>
                    <pic:cNvPicPr/>
                  </pic:nvPicPr>
                  <pic:blipFill>
                    <a:blip r:embed="rId26"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80"/>
        </w:rPr>
        <w:t> </w:t>
      </w:r>
      <w:r>
        <w:rPr>
          <w:color w:val="231F20"/>
        </w:rPr>
        <w:t>Create</w:t>
      </w:r>
      <w:r>
        <w:rPr>
          <w:color w:val="231F20"/>
          <w:spacing w:val="27"/>
        </w:rPr>
        <w:t> </w:t>
      </w:r>
      <w:r>
        <w:rPr>
          <w:color w:val="231F20"/>
        </w:rPr>
        <w:t>New</w:t>
      </w:r>
      <w:r>
        <w:rPr>
          <w:color w:val="231F20"/>
          <w:spacing w:val="27"/>
        </w:rPr>
        <w:t> </w:t>
      </w:r>
      <w:r>
        <w:rPr>
          <w:color w:val="231F20"/>
        </w:rPr>
        <w:t>Navigator</w:t>
      </w:r>
      <w:r>
        <w:rPr>
          <w:color w:val="231F20"/>
          <w:spacing w:val="27"/>
        </w:rPr>
        <w:t> </w:t>
      </w:r>
      <w:r>
        <w:rPr>
          <w:color w:val="231F20"/>
        </w:rPr>
        <w:t>View</w:t>
      </w:r>
    </w:p>
    <w:p>
      <w:pPr>
        <w:pStyle w:val="BodyText"/>
        <w:spacing w:line="258" w:lineRule="exact"/>
        <w:ind w:left="3909"/>
      </w:pPr>
      <w:r>
        <w:rPr>
          <w:color w:val="231F20"/>
        </w:rPr>
        <w:t>This</w:t>
      </w:r>
      <w:r>
        <w:rPr>
          <w:color w:val="231F20"/>
          <w:spacing w:val="9"/>
        </w:rPr>
        <w:t> </w:t>
      </w:r>
      <w:r>
        <w:rPr>
          <w:color w:val="231F20"/>
        </w:rPr>
        <w:t>opens</w:t>
      </w:r>
      <w:r>
        <w:rPr>
          <w:color w:val="231F20"/>
          <w:spacing w:val="9"/>
        </w:rPr>
        <w:t> </w:t>
      </w:r>
      <w:r>
        <w:rPr>
          <w:color w:val="231F20"/>
        </w:rPr>
        <w:t>the</w:t>
      </w:r>
      <w:r>
        <w:rPr>
          <w:color w:val="231F20"/>
          <w:spacing w:val="9"/>
        </w:rPr>
        <w:t> </w:t>
      </w:r>
      <w:r>
        <w:rPr>
          <w:color w:val="231F20"/>
        </w:rPr>
        <w:t>Create</w:t>
      </w:r>
      <w:r>
        <w:rPr>
          <w:color w:val="231F20"/>
          <w:spacing w:val="10"/>
        </w:rPr>
        <w:t> </w:t>
      </w:r>
      <w:r>
        <w:rPr>
          <w:color w:val="231F20"/>
        </w:rPr>
        <w:t>New</w:t>
      </w:r>
      <w:r>
        <w:rPr>
          <w:color w:val="231F20"/>
          <w:spacing w:val="9"/>
        </w:rPr>
        <w:t> </w:t>
      </w:r>
      <w:r>
        <w:rPr>
          <w:color w:val="231F20"/>
        </w:rPr>
        <w:t>Navigator</w:t>
      </w:r>
      <w:r>
        <w:rPr>
          <w:color w:val="231F20"/>
          <w:spacing w:val="9"/>
        </w:rPr>
        <w:t> </w:t>
      </w:r>
      <w:r>
        <w:rPr>
          <w:color w:val="231F20"/>
        </w:rPr>
        <w:t>View</w:t>
      </w:r>
      <w:r>
        <w:rPr>
          <w:color w:val="231F20"/>
          <w:spacing w:val="10"/>
        </w:rPr>
        <w:t> </w:t>
      </w:r>
      <w:r>
        <w:rPr>
          <w:color w:val="231F20"/>
        </w:rPr>
        <w:t>window</w:t>
      </w:r>
      <w:r>
        <w:rPr>
          <w:color w:val="231F20"/>
          <w:spacing w:val="9"/>
        </w:rPr>
        <w:t> </w:t>
      </w:r>
      <w:r>
        <w:rPr>
          <w:color w:val="231F20"/>
        </w:rPr>
        <w:t>for</w:t>
      </w:r>
      <w:r>
        <w:rPr>
          <w:color w:val="231F20"/>
          <w:spacing w:val="9"/>
        </w:rPr>
        <w:t> </w:t>
      </w:r>
      <w:r>
        <w:rPr>
          <w:color w:val="231F20"/>
        </w:rPr>
        <w:t>adding</w:t>
      </w:r>
      <w:r>
        <w:rPr>
          <w:color w:val="231F20"/>
          <w:spacing w:val="10"/>
        </w:rPr>
        <w:t> </w:t>
      </w:r>
      <w:r>
        <w:rPr>
          <w:color w:val="231F20"/>
          <w:spacing w:val="-10"/>
        </w:rPr>
        <w:t>a</w:t>
      </w:r>
    </w:p>
    <w:p>
      <w:pPr>
        <w:spacing w:after="0" w:line="258" w:lineRule="exact"/>
        <w:sectPr>
          <w:pgSz w:w="12240" w:h="15840"/>
          <w:pgMar w:header="0" w:footer="736" w:top="1180" w:bottom="920" w:left="1000" w:right="1060"/>
        </w:sectPr>
      </w:pPr>
    </w:p>
    <w:p>
      <w:pPr>
        <w:pStyle w:val="BodyText"/>
        <w:spacing w:line="213" w:lineRule="auto" w:before="85"/>
        <w:ind w:left="3669" w:right="545"/>
      </w:pPr>
      <w:bookmarkStart w:name="_bookmark177" w:id="385"/>
      <w:bookmarkEnd w:id="385"/>
      <w:r>
        <w:rPr/>
      </w:r>
      <w:r>
        <w:rPr>
          <w:color w:val="231F20"/>
        </w:rPr>
        <w:t>new Navigator view. After you have created the view, you can create new child items and assign managed systems (statically </w:t>
      </w:r>
      <w:r>
        <w:rPr>
          <w:color w:val="231F20"/>
        </w:rPr>
        <w:t>or dynamically) or drag items that you want to include in the view from the source Navigator view and rename them as needed.</w:t>
      </w:r>
    </w:p>
    <w:p>
      <w:pPr>
        <w:pStyle w:val="Heading6"/>
        <w:spacing w:before="115"/>
        <w:ind w:left="2961"/>
      </w:pPr>
      <w:r>
        <w:rPr>
          <w:b w:val="0"/>
          <w:position w:val="-1"/>
        </w:rPr>
        <w:drawing>
          <wp:inline distT="0" distB="0" distL="0" distR="0">
            <wp:extent cx="95250" cy="101600"/>
            <wp:effectExtent l="0" t="0" r="0" b="0"/>
            <wp:docPr id="2064" name="Image 2064"/>
            <wp:cNvGraphicFramePr>
              <a:graphicFrameLocks/>
            </wp:cNvGraphicFramePr>
            <a:graphic>
              <a:graphicData uri="http://schemas.openxmlformats.org/drawingml/2006/picture">
                <pic:pic>
                  <pic:nvPicPr>
                    <pic:cNvPr id="2064" name="Image 2064"/>
                    <pic:cNvPicPr/>
                  </pic:nvPicPr>
                  <pic:blipFill>
                    <a:blip r:embed="rId26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Delete</w:t>
      </w:r>
      <w:r>
        <w:rPr>
          <w:color w:val="231F20"/>
          <w:spacing w:val="31"/>
        </w:rPr>
        <w:t> </w:t>
      </w:r>
      <w:r>
        <w:rPr>
          <w:color w:val="231F20"/>
        </w:rPr>
        <w:t>Navigator</w:t>
      </w:r>
      <w:r>
        <w:rPr>
          <w:color w:val="231F20"/>
          <w:spacing w:val="31"/>
        </w:rPr>
        <w:t> </w:t>
      </w:r>
      <w:r>
        <w:rPr>
          <w:color w:val="231F20"/>
        </w:rPr>
        <w:t>View</w:t>
      </w:r>
    </w:p>
    <w:p>
      <w:pPr>
        <w:pStyle w:val="BodyText"/>
        <w:spacing w:line="258" w:lineRule="exact"/>
        <w:ind w:left="3669"/>
      </w:pPr>
      <w:r>
        <w:rPr>
          <w:color w:val="231F20"/>
        </w:rPr>
        <w:t>This</w:t>
      </w:r>
      <w:r>
        <w:rPr>
          <w:color w:val="231F20"/>
          <w:spacing w:val="9"/>
        </w:rPr>
        <w:t> </w:t>
      </w:r>
      <w:r>
        <w:rPr>
          <w:color w:val="231F20"/>
        </w:rPr>
        <w:t>deletes</w:t>
      </w:r>
      <w:r>
        <w:rPr>
          <w:color w:val="231F20"/>
          <w:spacing w:val="9"/>
        </w:rPr>
        <w:t> </w:t>
      </w:r>
      <w:r>
        <w:rPr>
          <w:color w:val="231F20"/>
        </w:rPr>
        <w:t>the</w:t>
      </w:r>
      <w:r>
        <w:rPr>
          <w:color w:val="231F20"/>
          <w:spacing w:val="9"/>
        </w:rPr>
        <w:t> </w:t>
      </w:r>
      <w:r>
        <w:rPr>
          <w:color w:val="231F20"/>
        </w:rPr>
        <w:t>current</w:t>
      </w:r>
      <w:r>
        <w:rPr>
          <w:color w:val="231F20"/>
          <w:spacing w:val="9"/>
        </w:rPr>
        <w:t> </w:t>
      </w:r>
      <w:r>
        <w:rPr>
          <w:color w:val="231F20"/>
        </w:rPr>
        <w:t>target</w:t>
      </w:r>
      <w:r>
        <w:rPr>
          <w:color w:val="231F20"/>
          <w:spacing w:val="9"/>
        </w:rPr>
        <w:t> </w:t>
      </w:r>
      <w:r>
        <w:rPr>
          <w:color w:val="231F20"/>
        </w:rPr>
        <w:t>Navigator</w:t>
      </w:r>
      <w:r>
        <w:rPr>
          <w:color w:val="231F20"/>
          <w:spacing w:val="9"/>
        </w:rPr>
        <w:t> </w:t>
      </w:r>
      <w:r>
        <w:rPr>
          <w:color w:val="231F20"/>
          <w:spacing w:val="-2"/>
        </w:rPr>
        <w:t>view.</w:t>
      </w:r>
    </w:p>
    <w:p>
      <w:pPr>
        <w:pStyle w:val="Heading6"/>
        <w:spacing w:before="112"/>
        <w:ind w:left="2961"/>
      </w:pPr>
      <w:r>
        <w:rPr>
          <w:b w:val="0"/>
          <w:position w:val="-1"/>
        </w:rPr>
        <w:drawing>
          <wp:inline distT="0" distB="0" distL="0" distR="0">
            <wp:extent cx="95250" cy="95250"/>
            <wp:effectExtent l="0" t="0" r="0" b="0"/>
            <wp:docPr id="2065" name="Image 2065"/>
            <wp:cNvGraphicFramePr>
              <a:graphicFrameLocks/>
            </wp:cNvGraphicFramePr>
            <a:graphic>
              <a:graphicData uri="http://schemas.openxmlformats.org/drawingml/2006/picture">
                <pic:pic>
                  <pic:nvPicPr>
                    <pic:cNvPr id="2065" name="Image 2065"/>
                    <pic:cNvPicPr/>
                  </pic:nvPicPr>
                  <pic:blipFill>
                    <a:blip r:embed="rId358"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80"/>
        </w:rPr>
        <w:t> </w:t>
      </w:r>
      <w:r>
        <w:rPr>
          <w:color w:val="231F20"/>
        </w:rPr>
        <w:t>Create</w:t>
      </w:r>
      <w:r>
        <w:rPr>
          <w:color w:val="231F20"/>
          <w:spacing w:val="33"/>
        </w:rPr>
        <w:t> </w:t>
      </w:r>
      <w:r>
        <w:rPr>
          <w:color w:val="231F20"/>
        </w:rPr>
        <w:t>Child</w:t>
      </w:r>
      <w:r>
        <w:rPr>
          <w:color w:val="231F20"/>
          <w:spacing w:val="33"/>
        </w:rPr>
        <w:t> </w:t>
      </w:r>
      <w:r>
        <w:rPr>
          <w:color w:val="231F20"/>
        </w:rPr>
        <w:t>Item</w:t>
      </w:r>
    </w:p>
    <w:p>
      <w:pPr>
        <w:pStyle w:val="BodyText"/>
        <w:spacing w:line="213" w:lineRule="auto" w:before="11"/>
        <w:ind w:left="3669" w:right="545"/>
      </w:pPr>
      <w:r>
        <w:rPr>
          <w:color w:val="231F20"/>
        </w:rPr>
        <w:t>Creates a new Navigator item below the one selected in the </w:t>
      </w:r>
      <w:r>
        <w:rPr>
          <w:color w:val="231F20"/>
        </w:rPr>
        <w:t>target </w:t>
      </w:r>
      <w:r>
        <w:rPr>
          <w:color w:val="231F20"/>
          <w:spacing w:val="-2"/>
        </w:rPr>
        <w:t>view.</w:t>
      </w:r>
    </w:p>
    <w:p>
      <w:pPr>
        <w:pStyle w:val="Heading6"/>
        <w:ind w:left="2951"/>
      </w:pPr>
      <w:r>
        <w:rPr>
          <w:b w:val="0"/>
          <w:position w:val="-1"/>
        </w:rPr>
        <w:drawing>
          <wp:inline distT="0" distB="0" distL="0" distR="0">
            <wp:extent cx="101600" cy="101600"/>
            <wp:effectExtent l="0" t="0" r="0" b="0"/>
            <wp:docPr id="2066" name="Image 2066"/>
            <wp:cNvGraphicFramePr>
              <a:graphicFrameLocks/>
            </wp:cNvGraphicFramePr>
            <a:graphic>
              <a:graphicData uri="http://schemas.openxmlformats.org/drawingml/2006/picture">
                <pic:pic>
                  <pic:nvPicPr>
                    <pic:cNvPr id="2066" name="Image 2066"/>
                    <pic:cNvPicPr/>
                  </pic:nvPicPr>
                  <pic:blipFill>
                    <a:blip r:embed="rId362"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Delete Item</w:t>
      </w:r>
    </w:p>
    <w:p>
      <w:pPr>
        <w:pStyle w:val="BodyText"/>
        <w:spacing w:line="213" w:lineRule="auto" w:before="12"/>
        <w:ind w:left="3669" w:right="763"/>
      </w:pPr>
      <w:r>
        <w:rPr>
          <w:color w:val="231F20"/>
        </w:rPr>
        <w:t>Deletes the selected Navigator item. Before deleting an item, right-click and click </w:t>
      </w:r>
      <w:r>
        <w:rPr>
          <w:color w:val="231F20"/>
          <w:spacing w:val="16"/>
          <w:position w:val="-1"/>
        </w:rPr>
        <w:drawing>
          <wp:inline distT="0" distB="0" distL="0" distR="0">
            <wp:extent cx="101600" cy="88900"/>
            <wp:effectExtent l="0" t="0" r="0" b="0"/>
            <wp:docPr id="2067" name="Image 2067"/>
            <wp:cNvGraphicFramePr>
              <a:graphicFrameLocks/>
            </wp:cNvGraphicFramePr>
            <a:graphic>
              <a:graphicData uri="http://schemas.openxmlformats.org/drawingml/2006/picture">
                <pic:pic>
                  <pic:nvPicPr>
                    <pic:cNvPr id="2067" name="Image 2067"/>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17"/>
        </w:rPr>
        <w:t> </w:t>
      </w:r>
      <w:r>
        <w:rPr>
          <w:rFonts w:ascii="Book Antiqua"/>
          <w:b/>
          <w:color w:val="231F20"/>
        </w:rPr>
        <w:t>Show Navigator List </w:t>
      </w:r>
      <w:r>
        <w:rPr>
          <w:color w:val="231F20"/>
        </w:rPr>
        <w:t>to see if the item is repeated in this Navigator or is in other Navigator views.</w:t>
      </w:r>
    </w:p>
    <w:p>
      <w:pPr>
        <w:pStyle w:val="Heading6"/>
        <w:spacing w:before="116"/>
        <w:ind w:left="2991"/>
      </w:pPr>
      <w:r>
        <w:rPr>
          <w:b w:val="0"/>
        </w:rPr>
        <w:drawing>
          <wp:inline distT="0" distB="0" distL="0" distR="0">
            <wp:extent cx="69850" cy="69850"/>
            <wp:effectExtent l="0" t="0" r="0" b="0"/>
            <wp:docPr id="2068" name="Image 2068"/>
            <wp:cNvGraphicFramePr>
              <a:graphicFrameLocks/>
            </wp:cNvGraphicFramePr>
            <a:graphic>
              <a:graphicData uri="http://schemas.openxmlformats.org/drawingml/2006/picture">
                <pic:pic>
                  <pic:nvPicPr>
                    <pic:cNvPr id="2068" name="Image 2068"/>
                    <pic:cNvPicPr/>
                  </pic:nvPicPr>
                  <pic:blipFill>
                    <a:blip r:embed="rId89" cstate="print"/>
                    <a:stretch>
                      <a:fillRect/>
                    </a:stretch>
                  </pic:blipFill>
                  <pic:spPr>
                    <a:xfrm>
                      <a:off x="0" y="0"/>
                      <a:ext cx="69850" cy="69850"/>
                    </a:xfrm>
                    <a:prstGeom prst="rect">
                      <a:avLst/>
                    </a:prstGeom>
                  </pic:spPr>
                </pic:pic>
              </a:graphicData>
            </a:graphic>
          </wp:inline>
        </w:drawing>
      </w:r>
      <w:r>
        <w:rPr>
          <w:b w:val="0"/>
        </w:rPr>
      </w:r>
      <w:r>
        <w:rPr>
          <w:rFonts w:ascii="Times New Roman"/>
          <w:b w:val="0"/>
          <w:spacing w:val="40"/>
        </w:rPr>
        <w:t> </w:t>
      </w:r>
      <w:r>
        <w:rPr>
          <w:color w:val="231F20"/>
        </w:rPr>
        <w:t>Expand</w:t>
      </w:r>
    </w:p>
    <w:p>
      <w:pPr>
        <w:pStyle w:val="BodyText"/>
        <w:spacing w:line="243" w:lineRule="exact"/>
        <w:ind w:left="3669"/>
      </w:pPr>
      <w:r>
        <w:rPr>
          <w:color w:val="231F20"/>
        </w:rPr>
        <w:t>Expand</w:t>
      </w:r>
      <w:r>
        <w:rPr>
          <w:color w:val="231F20"/>
          <w:spacing w:val="11"/>
        </w:rPr>
        <w:t> </w:t>
      </w:r>
      <w:r>
        <w:rPr>
          <w:color w:val="231F20"/>
        </w:rPr>
        <w:t>a</w:t>
      </w:r>
      <w:r>
        <w:rPr>
          <w:color w:val="231F20"/>
          <w:spacing w:val="12"/>
        </w:rPr>
        <w:t> </w:t>
      </w:r>
      <w:r>
        <w:rPr>
          <w:color w:val="231F20"/>
        </w:rPr>
        <w:t>Navigator</w:t>
      </w:r>
      <w:r>
        <w:rPr>
          <w:color w:val="231F20"/>
          <w:spacing w:val="12"/>
        </w:rPr>
        <w:t> </w:t>
      </w:r>
      <w:r>
        <w:rPr>
          <w:color w:val="231F20"/>
        </w:rPr>
        <w:t>item</w:t>
      </w:r>
      <w:r>
        <w:rPr>
          <w:color w:val="231F20"/>
          <w:spacing w:val="12"/>
        </w:rPr>
        <w:t> </w:t>
      </w:r>
      <w:r>
        <w:rPr>
          <w:color w:val="231F20"/>
        </w:rPr>
        <w:t>to</w:t>
      </w:r>
      <w:r>
        <w:rPr>
          <w:color w:val="231F20"/>
          <w:spacing w:val="12"/>
        </w:rPr>
        <w:t> </w:t>
      </w:r>
      <w:r>
        <w:rPr>
          <w:color w:val="231F20"/>
        </w:rPr>
        <w:t>see</w:t>
      </w:r>
      <w:r>
        <w:rPr>
          <w:color w:val="231F20"/>
          <w:spacing w:val="12"/>
        </w:rPr>
        <w:t> </w:t>
      </w:r>
      <w:r>
        <w:rPr>
          <w:color w:val="231F20"/>
        </w:rPr>
        <w:t>the</w:t>
      </w:r>
      <w:r>
        <w:rPr>
          <w:color w:val="231F20"/>
          <w:spacing w:val="12"/>
        </w:rPr>
        <w:t> </w:t>
      </w:r>
      <w:r>
        <w:rPr>
          <w:color w:val="231F20"/>
        </w:rPr>
        <w:t>child</w:t>
      </w:r>
      <w:r>
        <w:rPr>
          <w:color w:val="231F20"/>
          <w:spacing w:val="12"/>
        </w:rPr>
        <w:t> </w:t>
      </w:r>
      <w:r>
        <w:rPr>
          <w:color w:val="231F20"/>
        </w:rPr>
        <w:t>items.</w:t>
      </w:r>
      <w:r>
        <w:rPr>
          <w:color w:val="231F20"/>
          <w:spacing w:val="5"/>
        </w:rPr>
        <w:t> </w:t>
      </w:r>
      <w:r>
        <w:rPr>
          <w:color w:val="231F20"/>
        </w:rPr>
        <w:t>A</w:t>
      </w:r>
      <w:r>
        <w:rPr>
          <w:color w:val="231F20"/>
          <w:spacing w:val="2"/>
        </w:rPr>
        <w:t> </w:t>
      </w:r>
      <w:r>
        <w:rPr>
          <w:color w:val="231F20"/>
          <w:spacing w:val="-2"/>
        </w:rPr>
        <w:t>dimmed</w:t>
      </w:r>
    </w:p>
    <w:p>
      <w:pPr>
        <w:spacing w:line="213" w:lineRule="auto" w:before="8"/>
        <w:ind w:left="3669" w:right="545" w:firstLine="0"/>
        <w:jc w:val="left"/>
        <w:rPr>
          <w:sz w:val="20"/>
        </w:rPr>
      </w:pPr>
      <w:r>
        <w:rPr>
          <w:rFonts w:ascii="Book Antiqua"/>
          <w:b/>
          <w:color w:val="231F20"/>
          <w:sz w:val="20"/>
        </w:rPr>
        <w:t>&lt;Dynamic members&gt; </w:t>
      </w:r>
      <w:r>
        <w:rPr>
          <w:color w:val="231F20"/>
          <w:sz w:val="20"/>
        </w:rPr>
        <w:t>child item indicates that managed </w:t>
      </w:r>
      <w:r>
        <w:rPr>
          <w:color w:val="231F20"/>
          <w:sz w:val="20"/>
        </w:rPr>
        <w:t>systems are assigned dynamically.</w:t>
      </w:r>
    </w:p>
    <w:p>
      <w:pPr>
        <w:pStyle w:val="BodyText"/>
        <w:spacing w:line="213" w:lineRule="auto" w:before="118"/>
        <w:ind w:left="3669" w:right="545"/>
      </w:pPr>
      <w:r>
        <w:rPr>
          <w:color w:val="231F20"/>
        </w:rPr>
        <w:t>A </w:t>
      </w:r>
      <w:r>
        <w:rPr>
          <w:color w:val="231F20"/>
          <w:spacing w:val="5"/>
        </w:rPr>
        <w:drawing>
          <wp:inline distT="0" distB="0" distL="0" distR="0">
            <wp:extent cx="44450" cy="44450"/>
            <wp:effectExtent l="0" t="0" r="0" b="0"/>
            <wp:docPr id="2069" name="Image 2069"/>
            <wp:cNvGraphicFramePr>
              <a:graphicFrameLocks/>
            </wp:cNvGraphicFramePr>
            <a:graphic>
              <a:graphicData uri="http://schemas.openxmlformats.org/drawingml/2006/picture">
                <pic:pic>
                  <pic:nvPicPr>
                    <pic:cNvPr id="2069" name="Image 2069"/>
                    <pic:cNvPicPr/>
                  </pic:nvPicPr>
                  <pic:blipFill>
                    <a:blip r:embed="rId105" cstate="print"/>
                    <a:stretch>
                      <a:fillRect/>
                    </a:stretch>
                  </pic:blipFill>
                  <pic:spPr>
                    <a:xfrm>
                      <a:off x="0" y="0"/>
                      <a:ext cx="44450" cy="44450"/>
                    </a:xfrm>
                    <a:prstGeom prst="rect">
                      <a:avLst/>
                    </a:prstGeom>
                  </pic:spPr>
                </pic:pic>
              </a:graphicData>
            </a:graphic>
          </wp:inline>
        </w:drawing>
      </w:r>
      <w:r>
        <w:rPr>
          <w:color w:val="231F20"/>
          <w:spacing w:val="5"/>
        </w:rPr>
      </w:r>
      <w:r>
        <w:rPr>
          <w:rFonts w:ascii="Times New Roman"/>
          <w:color w:val="231F20"/>
          <w:spacing w:val="40"/>
        </w:rPr>
        <w:t> </w:t>
      </w:r>
      <w:r>
        <w:rPr>
          <w:color w:val="231F20"/>
        </w:rPr>
        <w:t>shared icon is displayed over the Navigator items that have</w:t>
      </w:r>
      <w:r>
        <w:rPr>
          <w:color w:val="231F20"/>
          <w:spacing w:val="40"/>
        </w:rPr>
        <w:t> </w:t>
      </w:r>
      <w:r>
        <w:rPr>
          <w:color w:val="231F20"/>
        </w:rPr>
        <w:t>been shared. This indicator serves as a reminder so that you do </w:t>
      </w:r>
      <w:r>
        <w:rPr>
          <w:color w:val="231F20"/>
        </w:rPr>
        <w:t>not</w:t>
      </w:r>
      <w:r>
        <w:rPr>
          <w:color w:val="231F20"/>
        </w:rPr>
        <w:t> unintentionally change or delete an item from one Navigator view that might affect another view.</w:t>
      </w:r>
    </w:p>
    <w:p>
      <w:pPr>
        <w:pStyle w:val="Heading6"/>
        <w:spacing w:before="116"/>
        <w:ind w:left="2232"/>
      </w:pPr>
      <w:r>
        <w:rPr>
          <w:color w:val="231F20"/>
        </w:rPr>
        <w:t>Right</w:t>
      </w:r>
      <w:r>
        <w:rPr>
          <w:color w:val="231F20"/>
          <w:spacing w:val="10"/>
        </w:rPr>
        <w:t> </w:t>
      </w:r>
      <w:r>
        <w:rPr>
          <w:color w:val="231F20"/>
          <w:spacing w:val="-2"/>
        </w:rPr>
        <w:t>frame</w:t>
      </w:r>
    </w:p>
    <w:p>
      <w:pPr>
        <w:pStyle w:val="BodyText"/>
        <w:spacing w:line="213" w:lineRule="auto" w:before="12"/>
        <w:ind w:left="2951" w:right="545"/>
      </w:pPr>
      <w:r>
        <w:rPr>
          <w:rFonts w:ascii="Book Antiqua"/>
          <w:b/>
          <w:color w:val="231F20"/>
        </w:rPr>
        <w:t>Source View </w:t>
      </w:r>
      <w:r>
        <w:rPr>
          <w:color w:val="231F20"/>
        </w:rPr>
        <w:t>shows the name of the original Navigator view in the right frame. Use this view to copy Navigator items to the target view. If you are editing the target view and not copying any items from this view, you can ignore what is in the right frame. When multiple Navigator views are available, you can select a different source from the </w:t>
      </w:r>
      <w:r>
        <w:rPr>
          <w:color w:val="231F20"/>
          <w:spacing w:val="15"/>
          <w:position w:val="-1"/>
        </w:rPr>
        <w:drawing>
          <wp:inline distT="0" distB="0" distL="0" distR="0">
            <wp:extent cx="101600" cy="101600"/>
            <wp:effectExtent l="0" t="0" r="0" b="0"/>
            <wp:docPr id="2070" name="Image 2070"/>
            <wp:cNvGraphicFramePr>
              <a:graphicFrameLocks/>
            </wp:cNvGraphicFramePr>
            <a:graphic>
              <a:graphicData uri="http://schemas.openxmlformats.org/drawingml/2006/picture">
                <pic:pic>
                  <pic:nvPicPr>
                    <pic:cNvPr id="2070" name="Image 207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p>
    <w:p>
      <w:pPr>
        <w:pStyle w:val="Heading6"/>
        <w:spacing w:before="115"/>
        <w:ind w:left="2961"/>
      </w:pPr>
      <w:r>
        <w:rPr>
          <w:b w:val="0"/>
          <w:position w:val="-1"/>
        </w:rPr>
        <w:drawing>
          <wp:inline distT="0" distB="0" distL="0" distR="0">
            <wp:extent cx="95250" cy="101600"/>
            <wp:effectExtent l="0" t="0" r="0" b="0"/>
            <wp:docPr id="2071" name="Image 2071"/>
            <wp:cNvGraphicFramePr>
              <a:graphicFrameLocks/>
            </wp:cNvGraphicFramePr>
            <a:graphic>
              <a:graphicData uri="http://schemas.openxmlformats.org/drawingml/2006/picture">
                <pic:pic>
                  <pic:nvPicPr>
                    <pic:cNvPr id="2071" name="Image 2071"/>
                    <pic:cNvPicPr/>
                  </pic:nvPicPr>
                  <pic:blipFill>
                    <a:blip r:embed="rId3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Refresh now</w:t>
      </w:r>
    </w:p>
    <w:p>
      <w:pPr>
        <w:pStyle w:val="BodyText"/>
        <w:spacing w:line="258" w:lineRule="exact"/>
        <w:ind w:left="3669"/>
      </w:pPr>
      <w:r>
        <w:rPr>
          <w:color w:val="231F20"/>
        </w:rPr>
        <w:t>Refreshes</w:t>
      </w:r>
      <w:r>
        <w:rPr>
          <w:color w:val="231F20"/>
          <w:spacing w:val="9"/>
        </w:rPr>
        <w:t> </w:t>
      </w:r>
      <w:r>
        <w:rPr>
          <w:color w:val="231F20"/>
        </w:rPr>
        <w:t>the</w:t>
      </w:r>
      <w:r>
        <w:rPr>
          <w:color w:val="231F20"/>
          <w:spacing w:val="10"/>
        </w:rPr>
        <w:t> </w:t>
      </w:r>
      <w:r>
        <w:rPr>
          <w:color w:val="231F20"/>
        </w:rPr>
        <w:t>display</w:t>
      </w:r>
      <w:r>
        <w:rPr>
          <w:color w:val="231F20"/>
          <w:spacing w:val="9"/>
        </w:rPr>
        <w:t> </w:t>
      </w:r>
      <w:r>
        <w:rPr>
          <w:color w:val="231F20"/>
        </w:rPr>
        <w:t>of</w:t>
      </w:r>
      <w:r>
        <w:rPr>
          <w:color w:val="231F20"/>
          <w:spacing w:val="10"/>
        </w:rPr>
        <w:t> </w:t>
      </w:r>
      <w:r>
        <w:rPr>
          <w:color w:val="231F20"/>
        </w:rPr>
        <w:t>the</w:t>
      </w:r>
      <w:r>
        <w:rPr>
          <w:color w:val="231F20"/>
          <w:spacing w:val="9"/>
        </w:rPr>
        <w:t> </w:t>
      </w:r>
      <w:r>
        <w:rPr>
          <w:color w:val="231F20"/>
        </w:rPr>
        <w:t>source</w:t>
      </w:r>
      <w:r>
        <w:rPr>
          <w:color w:val="231F20"/>
          <w:spacing w:val="10"/>
        </w:rPr>
        <w:t> </w:t>
      </w:r>
      <w:r>
        <w:rPr>
          <w:color w:val="231F20"/>
        </w:rPr>
        <w:t>Navigator</w:t>
      </w:r>
      <w:r>
        <w:rPr>
          <w:color w:val="231F20"/>
          <w:spacing w:val="9"/>
        </w:rPr>
        <w:t> </w:t>
      </w:r>
      <w:r>
        <w:rPr>
          <w:color w:val="231F20"/>
          <w:spacing w:val="-2"/>
        </w:rPr>
        <w:t>levels.</w:t>
      </w:r>
    </w:p>
    <w:p>
      <w:pPr>
        <w:pStyle w:val="Heading6"/>
        <w:spacing w:before="111"/>
        <w:ind w:left="2951"/>
      </w:pPr>
      <w:r>
        <w:rPr>
          <w:b w:val="0"/>
          <w:position w:val="-1"/>
        </w:rPr>
        <w:drawing>
          <wp:inline distT="0" distB="0" distL="0" distR="0">
            <wp:extent cx="101600" cy="95250"/>
            <wp:effectExtent l="0" t="0" r="0" b="0"/>
            <wp:docPr id="2072" name="Image 2072"/>
            <wp:cNvGraphicFramePr>
              <a:graphicFrameLocks/>
            </wp:cNvGraphicFramePr>
            <a:graphic>
              <a:graphicData uri="http://schemas.openxmlformats.org/drawingml/2006/picture">
                <pic:pic>
                  <pic:nvPicPr>
                    <pic:cNvPr id="2072" name="Image 2072"/>
                    <pic:cNvPicPr/>
                  </pic:nvPicPr>
                  <pic:blipFill>
                    <a:blip r:embed="rId28" cstate="print"/>
                    <a:stretch>
                      <a:fillRect/>
                    </a:stretch>
                  </pic:blipFill>
                  <pic:spPr>
                    <a:xfrm>
                      <a:off x="0" y="0"/>
                      <a:ext cx="101600" cy="95250"/>
                    </a:xfrm>
                    <a:prstGeom prst="rect">
                      <a:avLst/>
                    </a:prstGeom>
                  </pic:spPr>
                </pic:pic>
              </a:graphicData>
            </a:graphic>
          </wp:inline>
        </w:drawing>
      </w:r>
      <w:r>
        <w:rPr>
          <w:b w:val="0"/>
          <w:position w:val="-1"/>
        </w:rPr>
      </w:r>
      <w:r>
        <w:rPr>
          <w:rFonts w:ascii="Times New Roman"/>
          <w:b w:val="0"/>
          <w:spacing w:val="40"/>
        </w:rPr>
        <w:t> </w:t>
      </w:r>
      <w:r>
        <w:rPr>
          <w:color w:val="231F20"/>
        </w:rPr>
        <w:t>Properties</w:t>
      </w:r>
    </w:p>
    <w:p>
      <w:pPr>
        <w:pStyle w:val="BodyText"/>
        <w:spacing w:line="213" w:lineRule="auto" w:before="11"/>
        <w:ind w:left="3669" w:right="636"/>
      </w:pPr>
      <w:r>
        <w:rPr>
          <w:color w:val="231F20"/>
        </w:rPr>
        <w:t>Opens the Properties window of the originating Navigator </w:t>
      </w:r>
      <w:r>
        <w:rPr>
          <w:color w:val="231F20"/>
        </w:rPr>
        <w:t>view for you to see and edit the name and description. You cannot </w:t>
      </w:r>
      <w:bookmarkStart w:name="Navigator item properties" w:id="386"/>
      <w:bookmarkEnd w:id="386"/>
      <w:r>
        <w:rPr>
          <w:color w:val="231F20"/>
        </w:rPr>
        <w:t>change</w:t>
      </w:r>
      <w:r>
        <w:rPr>
          <w:color w:val="231F20"/>
        </w:rPr>
        <w:t> the properties of the Navigator Physical view.</w:t>
      </w:r>
    </w:p>
    <w:p>
      <w:pPr>
        <w:pStyle w:val="Heading3"/>
        <w:spacing w:before="217"/>
        <w:ind w:left="1334"/>
      </w:pPr>
      <w:r>
        <w:rPr>
          <w:color w:val="231F20"/>
        </w:rPr>
        <w:t>Navigator</w:t>
      </w:r>
      <w:r>
        <w:rPr>
          <w:color w:val="231F20"/>
          <w:spacing w:val="5"/>
        </w:rPr>
        <w:t> </w:t>
      </w:r>
      <w:r>
        <w:rPr>
          <w:color w:val="231F20"/>
        </w:rPr>
        <w:t>item</w:t>
      </w:r>
      <w:r>
        <w:rPr>
          <w:color w:val="231F20"/>
          <w:spacing w:val="6"/>
        </w:rPr>
        <w:t> </w:t>
      </w:r>
      <w:bookmarkStart w:name="_bookmark176" w:id="387"/>
      <w:bookmarkEnd w:id="387"/>
      <w:r>
        <w:rPr>
          <w:color w:val="231F20"/>
          <w:spacing w:val="-2"/>
        </w:rPr>
        <w:t>properties</w:t>
      </w:r>
    </w:p>
    <w:p>
      <w:pPr>
        <w:pStyle w:val="BodyText"/>
        <w:spacing w:line="213" w:lineRule="auto" w:before="58"/>
        <w:ind w:left="2232" w:right="385"/>
      </w:pPr>
      <w:r>
        <w:rPr>
          <w:color w:val="231F20"/>
        </w:rPr>
        <w:t>When</w:t>
      </w:r>
      <w:r>
        <w:rPr>
          <w:color w:val="231F20"/>
          <w:spacing w:val="24"/>
        </w:rPr>
        <w:t> </w:t>
      </w:r>
      <w:r>
        <w:rPr>
          <w:color w:val="231F20"/>
        </w:rPr>
        <w:t>you</w:t>
      </w:r>
      <w:r>
        <w:rPr>
          <w:color w:val="231F20"/>
          <w:spacing w:val="24"/>
        </w:rPr>
        <w:t> </w:t>
      </w:r>
      <w:r>
        <w:rPr>
          <w:color w:val="231F20"/>
        </w:rPr>
        <w:t>create</w:t>
      </w:r>
      <w:r>
        <w:rPr>
          <w:color w:val="231F20"/>
          <w:spacing w:val="24"/>
        </w:rPr>
        <w:t> </w:t>
      </w:r>
      <w:r>
        <w:rPr>
          <w:color w:val="231F20"/>
        </w:rPr>
        <w:t>a</w:t>
      </w:r>
      <w:r>
        <w:rPr>
          <w:color w:val="231F20"/>
          <w:spacing w:val="24"/>
        </w:rPr>
        <w:t> </w:t>
      </w:r>
      <w:r>
        <w:rPr>
          <w:color w:val="231F20"/>
        </w:rPr>
        <w:t>child</w:t>
      </w:r>
      <w:r>
        <w:rPr>
          <w:color w:val="231F20"/>
          <w:spacing w:val="24"/>
        </w:rPr>
        <w:t> </w:t>
      </w:r>
      <w:r>
        <w:rPr>
          <w:color w:val="231F20"/>
        </w:rPr>
        <w:t>item</w:t>
      </w:r>
      <w:r>
        <w:rPr>
          <w:color w:val="231F20"/>
          <w:spacing w:val="24"/>
        </w:rPr>
        <w:t> </w:t>
      </w:r>
      <w:r>
        <w:rPr>
          <w:color w:val="231F20"/>
        </w:rPr>
        <w:t>in</w:t>
      </w:r>
      <w:r>
        <w:rPr>
          <w:color w:val="231F20"/>
          <w:spacing w:val="24"/>
        </w:rPr>
        <w:t> </w:t>
      </w:r>
      <w:r>
        <w:rPr>
          <w:color w:val="231F20"/>
        </w:rPr>
        <w:t>the</w:t>
      </w:r>
      <w:r>
        <w:rPr>
          <w:color w:val="231F20"/>
          <w:spacing w:val="24"/>
        </w:rPr>
        <w:t> </w:t>
      </w:r>
      <w:r>
        <w:rPr>
          <w:color w:val="231F20"/>
        </w:rPr>
        <w:t>Navigator</w:t>
      </w:r>
      <w:r>
        <w:rPr>
          <w:color w:val="231F20"/>
          <w:spacing w:val="24"/>
        </w:rPr>
        <w:t> </w:t>
      </w:r>
      <w:r>
        <w:rPr>
          <w:color w:val="231F20"/>
        </w:rPr>
        <w:t>editor,</w:t>
      </w:r>
      <w:r>
        <w:rPr>
          <w:color w:val="231F20"/>
          <w:spacing w:val="24"/>
        </w:rPr>
        <w:t> </w:t>
      </w:r>
      <w:r>
        <w:rPr>
          <w:color w:val="231F20"/>
        </w:rPr>
        <w:t>this</w:t>
      </w:r>
      <w:r>
        <w:rPr>
          <w:color w:val="231F20"/>
          <w:spacing w:val="24"/>
        </w:rPr>
        <w:t> </w:t>
      </w:r>
      <w:r>
        <w:rPr>
          <w:color w:val="231F20"/>
        </w:rPr>
        <w:t>window</w:t>
      </w:r>
      <w:r>
        <w:rPr>
          <w:color w:val="231F20"/>
          <w:spacing w:val="24"/>
        </w:rPr>
        <w:t> </w:t>
      </w:r>
      <w:r>
        <w:rPr>
          <w:color w:val="231F20"/>
        </w:rPr>
        <w:t>opens</w:t>
      </w:r>
      <w:r>
        <w:rPr>
          <w:color w:val="231F20"/>
          <w:spacing w:val="24"/>
        </w:rPr>
        <w:t> </w:t>
      </w:r>
      <w:r>
        <w:rPr>
          <w:color w:val="231F20"/>
        </w:rPr>
        <w:t>for</w:t>
      </w:r>
      <w:r>
        <w:rPr>
          <w:color w:val="231F20"/>
          <w:spacing w:val="24"/>
        </w:rPr>
        <w:t> </w:t>
      </w:r>
      <w:r>
        <w:rPr>
          <w:color w:val="231F20"/>
        </w:rPr>
        <w:t>you to enter the identity and assign managed systems. You can also open the Navigator Item properties in the Navigator editor or Navigator view by right-clicking a Navigator item and clicking </w:t>
      </w:r>
      <w:r>
        <w:rPr>
          <w:color w:val="231F20"/>
          <w:spacing w:val="15"/>
          <w:position w:val="-1"/>
        </w:rPr>
        <w:drawing>
          <wp:inline distT="0" distB="0" distL="0" distR="0">
            <wp:extent cx="101600" cy="95250"/>
            <wp:effectExtent l="0" t="0" r="0" b="0"/>
            <wp:docPr id="2073" name="Image 2073"/>
            <wp:cNvGraphicFramePr>
              <a:graphicFrameLocks/>
            </wp:cNvGraphicFramePr>
            <a:graphic>
              <a:graphicData uri="http://schemas.openxmlformats.org/drawingml/2006/picture">
                <pic:pic>
                  <pic:nvPicPr>
                    <pic:cNvPr id="2073" name="Image 2073"/>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
        </w:rPr>
        <w:t> </w:t>
      </w:r>
      <w:r>
        <w:rPr>
          <w:rFonts w:ascii="Book Antiqua"/>
          <w:b/>
          <w:color w:val="231F20"/>
        </w:rPr>
        <w:t>Properties</w:t>
      </w:r>
      <w:r>
        <w:rPr>
          <w:color w:val="231F20"/>
        </w:rPr>
        <w:t>.</w:t>
      </w:r>
    </w:p>
    <w:p>
      <w:pPr>
        <w:pStyle w:val="BodyText"/>
        <w:spacing w:line="213" w:lineRule="auto" w:before="237"/>
        <w:ind w:left="2232" w:right="636"/>
      </w:pPr>
      <w:r>
        <w:rPr>
          <w:color w:val="231F20"/>
        </w:rPr>
        <w:t>The item </w:t>
      </w:r>
      <w:r>
        <w:rPr>
          <w:rFonts w:ascii="Book Antiqua"/>
          <w:b/>
          <w:color w:val="231F20"/>
        </w:rPr>
        <w:t>Name </w:t>
      </w:r>
      <w:r>
        <w:rPr>
          <w:color w:val="231F20"/>
        </w:rPr>
        <w:t>is displayed in the Navigator view. Enter a </w:t>
      </w:r>
      <w:r>
        <w:rPr>
          <w:rFonts w:ascii="Book Antiqua"/>
          <w:b/>
          <w:color w:val="231F20"/>
        </w:rPr>
        <w:t>Description </w:t>
      </w:r>
      <w:r>
        <w:rPr>
          <w:color w:val="231F20"/>
        </w:rPr>
        <w:t>if you want to provide more detailed information about the item and its usage. See and change the managed system assignments in the </w:t>
      </w:r>
      <w:r>
        <w:rPr>
          <w:color w:val="231F20"/>
          <w:spacing w:val="-25"/>
          <w:position w:val="-1"/>
        </w:rPr>
        <w:drawing>
          <wp:inline distT="0" distB="0" distL="0" distR="0">
            <wp:extent cx="95250" cy="95250"/>
            <wp:effectExtent l="0" t="0" r="0" b="0"/>
            <wp:docPr id="2074" name="Image 2074"/>
            <wp:cNvGraphicFramePr>
              <a:graphicFrameLocks/>
            </wp:cNvGraphicFramePr>
            <a:graphic>
              <a:graphicData uri="http://schemas.openxmlformats.org/drawingml/2006/picture">
                <pic:pic>
                  <pic:nvPicPr>
                    <pic:cNvPr id="2074" name="Image 2074"/>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Monitored resources, </w:t>
      </w:r>
      <w:r>
        <w:rPr>
          <w:color w:val="231F20"/>
          <w:spacing w:val="-24"/>
          <w:position w:val="-1"/>
        </w:rPr>
        <w:drawing>
          <wp:inline distT="0" distB="0" distL="0" distR="0">
            <wp:extent cx="88900" cy="88900"/>
            <wp:effectExtent l="0" t="0" r="0" b="0"/>
            <wp:docPr id="2075" name="Image 2075"/>
            <wp:cNvGraphicFramePr>
              <a:graphicFrameLocks/>
            </wp:cNvGraphicFramePr>
            <a:graphic>
              <a:graphicData uri="http://schemas.openxmlformats.org/drawingml/2006/picture">
                <pic:pic>
                  <pic:nvPicPr>
                    <pic:cNvPr id="2075" name="Image 2075"/>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position w:val="-1"/>
        </w:rPr>
        <w:t> </w:t>
      </w:r>
      <w:r>
        <w:rPr>
          <w:color w:val="231F20"/>
        </w:rPr>
        <w:t>Dynamic items, and </w:t>
      </w:r>
      <w:r>
        <w:rPr>
          <w:color w:val="231F20"/>
          <w:spacing w:val="-25"/>
          <w:position w:val="-5"/>
        </w:rPr>
        <w:drawing>
          <wp:inline distT="0" distB="0" distL="0" distR="0">
            <wp:extent cx="109728" cy="109728"/>
            <wp:effectExtent l="0" t="0" r="0" b="0"/>
            <wp:docPr id="2076" name="Image 2076"/>
            <wp:cNvGraphicFramePr>
              <a:graphicFrameLocks/>
            </wp:cNvGraphicFramePr>
            <a:graphic>
              <a:graphicData uri="http://schemas.openxmlformats.org/drawingml/2006/picture">
                <pic:pic>
                  <pic:nvPicPr>
                    <pic:cNvPr id="2076" name="Image 2076"/>
                    <pic:cNvPicPr/>
                  </pic:nvPicPr>
                  <pic:blipFill>
                    <a:blip r:embed="rId363" cstate="print"/>
                    <a:stretch>
                      <a:fillRect/>
                    </a:stretch>
                  </pic:blipFill>
                  <pic:spPr>
                    <a:xfrm>
                      <a:off x="0" y="0"/>
                      <a:ext cx="109728" cy="109728"/>
                    </a:xfrm>
                    <a:prstGeom prst="rect">
                      <a:avLst/>
                    </a:prstGeom>
                  </pic:spPr>
                </pic:pic>
              </a:graphicData>
            </a:graphic>
          </wp:inline>
        </w:drawing>
      </w:r>
      <w:r>
        <w:rPr>
          <w:color w:val="231F20"/>
          <w:spacing w:val="-25"/>
          <w:position w:val="-5"/>
        </w:rPr>
      </w:r>
      <w:r>
        <w:rPr>
          <w:rFonts w:ascii="Times New Roman"/>
          <w:color w:val="231F20"/>
          <w:spacing w:val="80"/>
        </w:rPr>
        <w:t> </w:t>
      </w:r>
      <w:r>
        <w:rPr>
          <w:color w:val="231F20"/>
        </w:rPr>
        <w:t>Symbols tabs:</w:t>
      </w:r>
    </w:p>
    <w:p>
      <w:pPr>
        <w:pStyle w:val="Heading6"/>
        <w:spacing w:before="111"/>
        <w:ind w:left="2242"/>
      </w:pPr>
      <w:r>
        <w:rPr>
          <w:b w:val="0"/>
          <w:position w:val="-1"/>
        </w:rPr>
        <w:drawing>
          <wp:inline distT="0" distB="0" distL="0" distR="0">
            <wp:extent cx="95250" cy="95250"/>
            <wp:effectExtent l="0" t="0" r="0" b="0"/>
            <wp:docPr id="2077" name="Image 2077"/>
            <wp:cNvGraphicFramePr>
              <a:graphicFrameLocks/>
            </wp:cNvGraphicFramePr>
            <a:graphic>
              <a:graphicData uri="http://schemas.openxmlformats.org/drawingml/2006/picture">
                <pic:pic>
                  <pic:nvPicPr>
                    <pic:cNvPr id="2077" name="Image 2077"/>
                    <pic:cNvPicPr/>
                  </pic:nvPicPr>
                  <pic:blipFill>
                    <a:blip r:embed="rId84"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Monitored resources</w:t>
      </w:r>
    </w:p>
    <w:p>
      <w:pPr>
        <w:pStyle w:val="BodyText"/>
        <w:spacing w:line="213" w:lineRule="auto" w:before="11"/>
        <w:ind w:left="2951" w:right="493"/>
      </w:pPr>
      <w:r>
        <w:rPr>
          <w:color w:val="231F20"/>
        </w:rPr>
        <w:t>The Monitored resources tab shows the managed systems and managed system groups that were assigned to the Navigator item and any that </w:t>
      </w:r>
      <w:r>
        <w:rPr>
          <w:color w:val="231F20"/>
        </w:rPr>
        <w:t>are available for assignment. When the items are not selectable (dimmed), it means that the managed system assignments were shared with the Navigator Physical view.</w:t>
      </w:r>
    </w:p>
    <w:p>
      <w:pPr>
        <w:spacing w:after="0" w:line="213" w:lineRule="auto"/>
        <w:sectPr>
          <w:pgSz w:w="12240" w:h="15840"/>
          <w:pgMar w:header="0" w:footer="736" w:top="1180" w:bottom="920" w:left="1000" w:right="1060"/>
        </w:sectPr>
      </w:pPr>
    </w:p>
    <w:p>
      <w:pPr>
        <w:pStyle w:val="Heading6"/>
        <w:spacing w:before="83"/>
        <w:ind w:left="3190"/>
      </w:pPr>
      <w:r>
        <w:rPr>
          <w:color w:val="231F20"/>
          <w:spacing w:val="-2"/>
        </w:rPr>
        <w:t>Assigned</w:t>
      </w:r>
    </w:p>
    <w:p>
      <w:pPr>
        <w:pStyle w:val="BodyText"/>
        <w:spacing w:line="213" w:lineRule="auto" w:before="12"/>
        <w:ind w:left="3909" w:right="261"/>
        <w:jc w:val="both"/>
      </w:pPr>
      <w:r>
        <w:rPr>
          <w:color w:val="231F20"/>
        </w:rPr>
        <w:t>Shows the managed systems and managed system groups that are assigned to this Navigator item. To unassign a managed system </w:t>
      </w:r>
      <w:r>
        <w:rPr>
          <w:color w:val="231F20"/>
        </w:rPr>
        <w:t>or managed system group from the Navigator item, select it and</w:t>
      </w:r>
    </w:p>
    <w:p>
      <w:pPr>
        <w:spacing w:line="213" w:lineRule="auto" w:before="0"/>
        <w:ind w:left="3909" w:right="493" w:firstLine="70"/>
        <w:jc w:val="left"/>
        <w:rPr>
          <w:sz w:val="20"/>
        </w:rPr>
      </w:pPr>
      <w:r>
        <w:rPr>
          <w:position w:val="1"/>
        </w:rPr>
        <w:drawing>
          <wp:inline distT="0" distB="0" distL="0" distR="0">
            <wp:extent cx="44450" cy="76200"/>
            <wp:effectExtent l="0" t="0" r="0" b="0"/>
            <wp:docPr id="2078" name="Image 2078"/>
            <wp:cNvGraphicFramePr>
              <a:graphicFrameLocks/>
            </wp:cNvGraphicFramePr>
            <a:graphic>
              <a:graphicData uri="http://schemas.openxmlformats.org/drawingml/2006/picture">
                <pic:pic>
                  <pic:nvPicPr>
                    <pic:cNvPr id="2078" name="Image 2078"/>
                    <pic:cNvPicPr/>
                  </pic:nvPicPr>
                  <pic:blipFill>
                    <a:blip r:embed="rId337" cstate="print"/>
                    <a:stretch>
                      <a:fillRect/>
                    </a:stretch>
                  </pic:blipFill>
                  <pic:spPr>
                    <a:xfrm>
                      <a:off x="0" y="0"/>
                      <a:ext cx="44450" cy="76200"/>
                    </a:xfrm>
                    <a:prstGeom prst="rect">
                      <a:avLst/>
                    </a:prstGeom>
                  </pic:spPr>
                </pic:pic>
              </a:graphicData>
            </a:graphic>
          </wp:inline>
        </w:drawing>
      </w:r>
      <w:r>
        <w:rPr>
          <w:position w:val="1"/>
        </w:rPr>
      </w:r>
      <w:r>
        <w:rPr>
          <w:rFonts w:ascii="Times New Roman"/>
          <w:spacing w:val="40"/>
          <w:sz w:val="20"/>
        </w:rPr>
        <w:t> </w:t>
      </w:r>
      <w:r>
        <w:rPr>
          <w:color w:val="231F20"/>
          <w:sz w:val="20"/>
        </w:rPr>
        <w:t>move it to the </w:t>
      </w:r>
      <w:r>
        <w:rPr>
          <w:rFonts w:ascii="Book Antiqua"/>
          <w:b/>
          <w:color w:val="231F20"/>
          <w:sz w:val="20"/>
        </w:rPr>
        <w:t>Available Managed Systems </w:t>
      </w:r>
      <w:r>
        <w:rPr>
          <w:color w:val="231F20"/>
          <w:sz w:val="20"/>
        </w:rPr>
        <w:t>or </w:t>
      </w:r>
      <w:r>
        <w:rPr>
          <w:rFonts w:ascii="Book Antiqua"/>
          <w:b/>
          <w:color w:val="231F20"/>
          <w:sz w:val="20"/>
        </w:rPr>
        <w:t>Available Managed System Groups </w:t>
      </w:r>
      <w:r>
        <w:rPr>
          <w:color w:val="231F20"/>
          <w:sz w:val="20"/>
        </w:rPr>
        <w:t>list.</w:t>
      </w:r>
    </w:p>
    <w:p>
      <w:pPr>
        <w:pStyle w:val="Heading6"/>
        <w:spacing w:before="115"/>
        <w:ind w:left="3190"/>
      </w:pPr>
      <w:r>
        <w:rPr>
          <w:color w:val="231F20"/>
        </w:rPr>
        <w:t>Available Managed </w:t>
      </w:r>
      <w:r>
        <w:rPr>
          <w:color w:val="231F20"/>
          <w:spacing w:val="-2"/>
        </w:rPr>
        <w:t>Systems</w:t>
      </w:r>
    </w:p>
    <w:p>
      <w:pPr>
        <w:pStyle w:val="BodyText"/>
        <w:spacing w:line="213" w:lineRule="auto" w:before="11"/>
        <w:ind w:left="3909" w:right="292"/>
      </w:pPr>
      <w:r>
        <w:rPr>
          <w:color w:val="231F20"/>
        </w:rPr>
        <w:t>Shows the managed systems that can be assigned to the </w:t>
      </w:r>
      <w:r>
        <w:rPr>
          <w:color w:val="231F20"/>
        </w:rPr>
        <w:t>Navigator item. To add a managed system to the Navigator item, click the name and move it to the </w:t>
      </w:r>
      <w:r>
        <w:rPr>
          <w:rFonts w:ascii="Book Antiqua"/>
          <w:b/>
          <w:color w:val="231F20"/>
        </w:rPr>
        <w:t>Assigned </w:t>
      </w:r>
      <w:r>
        <w:rPr>
          <w:color w:val="231F20"/>
        </w:rPr>
        <w:t>list. After selecting a managed system, you can select multiples by holding down the Ctrl key</w:t>
      </w:r>
      <w:r>
        <w:rPr>
          <w:color w:val="231F20"/>
          <w:spacing w:val="40"/>
        </w:rPr>
        <w:t> </w:t>
      </w:r>
      <w:r>
        <w:rPr>
          <w:color w:val="231F20"/>
        </w:rPr>
        <w:t>while selecting others individually or by holding down the Shift</w:t>
      </w:r>
      <w:r>
        <w:rPr>
          <w:color w:val="231F20"/>
          <w:spacing w:val="40"/>
        </w:rPr>
        <w:t> </w:t>
      </w:r>
      <w:r>
        <w:rPr>
          <w:color w:val="231F20"/>
        </w:rPr>
        <w:t>key to select everything between two items.</w:t>
      </w:r>
    </w:p>
    <w:p>
      <w:pPr>
        <w:pStyle w:val="Heading6"/>
        <w:spacing w:before="115"/>
        <w:ind w:left="3190"/>
      </w:pPr>
      <w:r>
        <w:rPr>
          <w:color w:val="231F20"/>
        </w:rPr>
        <w:t>Available</w:t>
      </w:r>
      <w:r>
        <w:rPr>
          <w:color w:val="231F20"/>
          <w:spacing w:val="3"/>
        </w:rPr>
        <w:t> </w:t>
      </w:r>
      <w:r>
        <w:rPr>
          <w:color w:val="231F20"/>
        </w:rPr>
        <w:t>Managed</w:t>
      </w:r>
      <w:r>
        <w:rPr>
          <w:color w:val="231F20"/>
          <w:spacing w:val="3"/>
        </w:rPr>
        <w:t> </w:t>
      </w:r>
      <w:r>
        <w:rPr>
          <w:color w:val="231F20"/>
        </w:rPr>
        <w:t>System</w:t>
      </w:r>
      <w:r>
        <w:rPr>
          <w:color w:val="231F20"/>
          <w:spacing w:val="3"/>
        </w:rPr>
        <w:t> </w:t>
      </w:r>
      <w:r>
        <w:rPr>
          <w:color w:val="231F20"/>
          <w:spacing w:val="-2"/>
        </w:rPr>
        <w:t>Groups</w:t>
      </w:r>
    </w:p>
    <w:p>
      <w:pPr>
        <w:pStyle w:val="BodyText"/>
        <w:spacing w:line="213" w:lineRule="auto" w:before="11"/>
        <w:ind w:left="3909" w:right="317"/>
        <w:jc w:val="both"/>
      </w:pPr>
      <w:r>
        <w:rPr>
          <w:color w:val="231F20"/>
        </w:rPr>
        <w:t>Named groups of managed systems. To assign a managed system group to the Navigator item, click the name and</w:t>
      </w:r>
      <w:r>
        <w:rPr>
          <w:color w:val="231F20"/>
          <w:spacing w:val="15"/>
        </w:rPr>
        <w:t> </w:t>
      </w:r>
      <w:r>
        <w:rPr>
          <w:color w:val="231F20"/>
          <w:spacing w:val="15"/>
          <w:position w:val="1"/>
        </w:rPr>
        <w:drawing>
          <wp:inline distT="0" distB="0" distL="0" distR="0">
            <wp:extent cx="44450" cy="76200"/>
            <wp:effectExtent l="0" t="0" r="0" b="0"/>
            <wp:docPr id="2079" name="Image 2079"/>
            <wp:cNvGraphicFramePr>
              <a:graphicFrameLocks/>
            </wp:cNvGraphicFramePr>
            <a:graphic>
              <a:graphicData uri="http://schemas.openxmlformats.org/drawingml/2006/picture">
                <pic:pic>
                  <pic:nvPicPr>
                    <pic:cNvPr id="2079" name="Image 2079"/>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move it to the </w:t>
      </w:r>
      <w:r>
        <w:rPr>
          <w:rFonts w:ascii="Book Antiqua"/>
          <w:b/>
          <w:color w:val="231F20"/>
        </w:rPr>
        <w:t>Available Managed Systems </w:t>
      </w:r>
      <w:r>
        <w:rPr>
          <w:color w:val="231F20"/>
        </w:rPr>
        <w:t>list.</w:t>
      </w:r>
    </w:p>
    <w:p>
      <w:pPr>
        <w:spacing w:line="213" w:lineRule="auto" w:before="118"/>
        <w:ind w:left="3909" w:right="219" w:firstLine="0"/>
        <w:jc w:val="both"/>
        <w:rPr>
          <w:sz w:val="20"/>
        </w:rPr>
      </w:pPr>
      <w:r>
        <w:rPr>
          <w:color w:val="231F20"/>
          <w:sz w:val="20"/>
        </w:rPr>
        <w:t>Click </w:t>
      </w:r>
      <w:r>
        <w:rPr>
          <w:rFonts w:ascii="Book Antiqua"/>
          <w:b/>
          <w:color w:val="231F20"/>
          <w:sz w:val="20"/>
        </w:rPr>
        <w:t>Edit Managed System Group </w:t>
      </w:r>
      <w:r>
        <w:rPr>
          <w:color w:val="231F20"/>
          <w:sz w:val="20"/>
        </w:rPr>
        <w:t>if you want to open the </w:t>
      </w:r>
      <w:r>
        <w:rPr>
          <w:color w:val="231F20"/>
          <w:sz w:val="20"/>
        </w:rPr>
        <w:t>Object group editor for creating and modifying managed system groups.</w:t>
      </w:r>
    </w:p>
    <w:p>
      <w:pPr>
        <w:pStyle w:val="Heading6"/>
        <w:ind w:left="3190"/>
      </w:pPr>
      <w:r>
        <w:rPr>
          <w:color w:val="231F20"/>
          <w:spacing w:val="-2"/>
        </w:rPr>
        <w:t>Example</w:t>
      </w:r>
    </w:p>
    <w:p>
      <w:pPr>
        <w:pStyle w:val="BodyText"/>
        <w:spacing w:line="213" w:lineRule="auto" w:before="11"/>
        <w:ind w:left="3909" w:right="385"/>
      </w:pPr>
      <w:r>
        <w:rPr>
          <w:color w:val="231F20"/>
        </w:rPr>
        <w:t>After assigning managed systems to the “Eastern Region” item </w:t>
      </w:r>
      <w:r>
        <w:rPr>
          <w:color w:val="231F20"/>
        </w:rPr>
        <w:t>in the </w:t>
      </w:r>
      <w:r>
        <w:rPr>
          <w:color w:val="231F20"/>
          <w:spacing w:val="-24"/>
          <w:position w:val="-1"/>
        </w:rPr>
        <w:drawing>
          <wp:inline distT="0" distB="0" distL="0" distR="0">
            <wp:extent cx="95250" cy="95250"/>
            <wp:effectExtent l="0" t="0" r="0" b="0"/>
            <wp:docPr id="2080" name="Image 2080"/>
            <wp:cNvGraphicFramePr>
              <a:graphicFrameLocks/>
            </wp:cNvGraphicFramePr>
            <a:graphic>
              <a:graphicData uri="http://schemas.openxmlformats.org/drawingml/2006/picture">
                <pic:pic>
                  <pic:nvPicPr>
                    <pic:cNvPr id="2080" name="Image 2080"/>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hAnsi="Times New Roman"/>
          <w:color w:val="231F20"/>
          <w:spacing w:val="80"/>
        </w:rPr>
        <w:t> </w:t>
      </w:r>
      <w:r>
        <w:rPr>
          <w:rFonts w:ascii="Book Antiqua" w:hAnsi="Book Antiqua"/>
          <w:b/>
          <w:color w:val="231F20"/>
        </w:rPr>
        <w:t>Monitored resources </w:t>
      </w:r>
      <w:r>
        <w:rPr>
          <w:color w:val="231F20"/>
        </w:rPr>
        <w:t>tab, this is how the tree looks in the Navigator editor and in the Tivoli Enterprise Portal window after closing the editor:</w:t>
      </w:r>
    </w:p>
    <w:p>
      <w:pPr>
        <w:pStyle w:val="BodyText"/>
        <w:spacing w:line="229" w:lineRule="exact"/>
        <w:ind w:left="3909"/>
      </w:pPr>
      <w:r>
        <w:rPr>
          <w:position w:val="-1"/>
        </w:rPr>
        <w:drawing>
          <wp:inline distT="0" distB="0" distL="0" distR="0">
            <wp:extent cx="101600" cy="95250"/>
            <wp:effectExtent l="0" t="0" r="0" b="0"/>
            <wp:docPr id="2081" name="Image 2081"/>
            <wp:cNvGraphicFramePr>
              <a:graphicFrameLocks/>
            </wp:cNvGraphicFramePr>
            <a:graphic>
              <a:graphicData uri="http://schemas.openxmlformats.org/drawingml/2006/picture">
                <pic:pic>
                  <pic:nvPicPr>
                    <pic:cNvPr id="2081" name="Image 208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Shipping</w:t>
      </w:r>
    </w:p>
    <w:p>
      <w:pPr>
        <w:pStyle w:val="BodyText"/>
        <w:spacing w:line="255" w:lineRule="exact"/>
        <w:ind w:left="4308"/>
      </w:pPr>
      <w:r>
        <w:rPr>
          <w:position w:val="-1"/>
        </w:rPr>
        <w:drawing>
          <wp:inline distT="0" distB="0" distL="0" distR="0">
            <wp:extent cx="101600" cy="95250"/>
            <wp:effectExtent l="0" t="0" r="0" b="0"/>
            <wp:docPr id="2082" name="Image 2082"/>
            <wp:cNvGraphicFramePr>
              <a:graphicFrameLocks/>
            </wp:cNvGraphicFramePr>
            <a:graphic>
              <a:graphicData uri="http://schemas.openxmlformats.org/drawingml/2006/picture">
                <pic:pic>
                  <pic:nvPicPr>
                    <pic:cNvPr id="2082" name="Image 2082"/>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Eastern Region</w:t>
      </w:r>
    </w:p>
    <w:p>
      <w:pPr>
        <w:pStyle w:val="Heading6"/>
        <w:spacing w:before="112"/>
        <w:ind w:left="2482"/>
      </w:pPr>
      <w:r>
        <w:rPr>
          <w:b w:val="0"/>
          <w:position w:val="-1"/>
        </w:rPr>
        <w:drawing>
          <wp:inline distT="0" distB="0" distL="0" distR="0">
            <wp:extent cx="88900" cy="88900"/>
            <wp:effectExtent l="0" t="0" r="0" b="0"/>
            <wp:docPr id="2083" name="Image 2083"/>
            <wp:cNvGraphicFramePr>
              <a:graphicFrameLocks/>
            </wp:cNvGraphicFramePr>
            <a:graphic>
              <a:graphicData uri="http://schemas.openxmlformats.org/drawingml/2006/picture">
                <pic:pic>
                  <pic:nvPicPr>
                    <pic:cNvPr id="2083" name="Image 2083"/>
                    <pic:cNvPicPr/>
                  </pic:nvPicPr>
                  <pic:blipFill>
                    <a:blip r:embed="rId35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80"/>
        </w:rPr>
        <w:t> </w:t>
      </w:r>
      <w:r>
        <w:rPr>
          <w:color w:val="231F20"/>
        </w:rPr>
        <w:t>Dynamic items</w:t>
      </w:r>
    </w:p>
    <w:p>
      <w:pPr>
        <w:pStyle w:val="BodyText"/>
        <w:spacing w:line="213" w:lineRule="auto" w:before="11"/>
        <w:ind w:left="3190" w:right="385"/>
      </w:pPr>
      <w:r>
        <w:rPr>
          <w:color w:val="231F20"/>
        </w:rPr>
        <w:t>The Dynamic items tab is available for custom Navigator view items; it does not show for Navigator Physical view items. Use this tab to assign managed system groups to the Navigator item as </w:t>
      </w:r>
      <w:r>
        <w:rPr>
          <w:rFonts w:ascii="Book Antiqua"/>
          <w:i/>
          <w:color w:val="231F20"/>
        </w:rPr>
        <w:t>Dynamic members </w:t>
      </w:r>
      <w:r>
        <w:rPr>
          <w:color w:val="231F20"/>
        </w:rPr>
        <w:t>(child items) and to control how the branch is displayed.</w:t>
      </w:r>
    </w:p>
    <w:p>
      <w:pPr>
        <w:pStyle w:val="Heading6"/>
        <w:spacing w:before="116"/>
        <w:ind w:left="3190"/>
      </w:pPr>
      <w:r>
        <w:rPr>
          <w:color w:val="231F20"/>
        </w:rPr>
        <w:t>Assigned</w:t>
      </w:r>
      <w:r>
        <w:rPr>
          <w:color w:val="231F20"/>
          <w:spacing w:val="7"/>
        </w:rPr>
        <w:t> </w:t>
      </w:r>
      <w:r>
        <w:rPr>
          <w:color w:val="231F20"/>
          <w:spacing w:val="-2"/>
        </w:rPr>
        <w:t>Members</w:t>
      </w:r>
    </w:p>
    <w:p>
      <w:pPr>
        <w:pStyle w:val="BodyText"/>
        <w:spacing w:line="213" w:lineRule="auto" w:before="11"/>
        <w:ind w:left="3909" w:right="274"/>
      </w:pPr>
      <w:r>
        <w:rPr>
          <w:color w:val="231F20"/>
        </w:rPr>
        <w:t>Shows the managed system groups that are assigned as dynamic members (child items) of this Navigator item. Select a member </w:t>
      </w:r>
      <w:r>
        <w:rPr>
          <w:color w:val="231F20"/>
        </w:rPr>
        <w:t>and click </w:t>
      </w:r>
      <w:r>
        <w:rPr>
          <w:color w:val="231F20"/>
          <w:spacing w:val="16"/>
          <w:position w:val="-1"/>
        </w:rPr>
        <w:drawing>
          <wp:inline distT="0" distB="0" distL="0" distR="0">
            <wp:extent cx="101600" cy="95250"/>
            <wp:effectExtent l="0" t="0" r="0" b="0"/>
            <wp:docPr id="2084" name="Image 2084"/>
            <wp:cNvGraphicFramePr>
              <a:graphicFrameLocks/>
            </wp:cNvGraphicFramePr>
            <a:graphic>
              <a:graphicData uri="http://schemas.openxmlformats.org/drawingml/2006/picture">
                <pic:pic>
                  <pic:nvPicPr>
                    <pic:cNvPr id="2084" name="Image 2084"/>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hAnsi="Times New Roman"/>
          <w:color w:val="231F20"/>
          <w:spacing w:val="16"/>
        </w:rPr>
        <w:t> </w:t>
      </w:r>
      <w:r>
        <w:rPr>
          <w:rFonts w:ascii="Book Antiqua" w:hAnsi="Book Antiqua"/>
          <w:b/>
          <w:color w:val="231F20"/>
        </w:rPr>
        <w:t>Options </w:t>
      </w:r>
      <w:r>
        <w:rPr>
          <w:color w:val="231F20"/>
        </w:rPr>
        <w:t>to change how branch dynamic items are</w:t>
      </w:r>
      <w:r>
        <w:rPr>
          <w:color w:val="231F20"/>
          <w:spacing w:val="40"/>
        </w:rPr>
        <w:t> </w:t>
      </w:r>
      <w:r>
        <w:rPr>
          <w:color w:val="231F20"/>
        </w:rPr>
        <w:t>displayed, described in </w:t>
      </w:r>
      <w:hyperlink w:history="true" w:anchor="_bookmark178">
        <w:r>
          <w:rPr>
            <w:color w:val="231F20"/>
          </w:rPr>
          <w:t>“Assigned member options” on page 245.</w:t>
        </w:r>
      </w:hyperlink>
    </w:p>
    <w:p>
      <w:pPr>
        <w:pStyle w:val="Heading6"/>
        <w:spacing w:before="116"/>
        <w:ind w:left="3190"/>
      </w:pPr>
      <w:r>
        <w:rPr>
          <w:color w:val="231F20"/>
        </w:rPr>
        <w:t>Selected</w:t>
      </w:r>
      <w:r>
        <w:rPr>
          <w:color w:val="231F20"/>
          <w:spacing w:val="8"/>
        </w:rPr>
        <w:t> </w:t>
      </w:r>
      <w:r>
        <w:rPr>
          <w:color w:val="231F20"/>
        </w:rPr>
        <w:t>Assigned</w:t>
      </w:r>
      <w:r>
        <w:rPr>
          <w:color w:val="231F20"/>
          <w:spacing w:val="8"/>
        </w:rPr>
        <w:t> </w:t>
      </w:r>
      <w:r>
        <w:rPr>
          <w:color w:val="231F20"/>
        </w:rPr>
        <w:t>Objects</w:t>
      </w:r>
      <w:r>
        <w:rPr>
          <w:color w:val="231F20"/>
          <w:spacing w:val="8"/>
        </w:rPr>
        <w:t> </w:t>
      </w:r>
      <w:r>
        <w:rPr>
          <w:color w:val="231F20"/>
          <w:spacing w:val="-2"/>
        </w:rPr>
        <w:t>Members</w:t>
      </w:r>
    </w:p>
    <w:p>
      <w:pPr>
        <w:pStyle w:val="BodyText"/>
        <w:spacing w:line="213" w:lineRule="auto" w:before="11"/>
        <w:ind w:left="3909"/>
      </w:pPr>
      <w:r>
        <w:rPr>
          <w:color w:val="231F20"/>
        </w:rPr>
        <w:t>Shows the managed systems and managed system groups that comprise a managed system group.</w:t>
      </w:r>
      <w:r>
        <w:rPr>
          <w:color w:val="231F20"/>
          <w:spacing w:val="40"/>
        </w:rPr>
        <w:t> </w:t>
      </w:r>
      <w:r>
        <w:rPr>
          <w:color w:val="231F20"/>
          <w:spacing w:val="5"/>
        </w:rPr>
        <w:drawing>
          <wp:inline distT="0" distB="0" distL="0" distR="0">
            <wp:extent cx="69850" cy="69850"/>
            <wp:effectExtent l="0" t="0" r="0" b="0"/>
            <wp:docPr id="2085" name="Image 2085"/>
            <wp:cNvGraphicFramePr>
              <a:graphicFrameLocks/>
            </wp:cNvGraphicFramePr>
            <a:graphic>
              <a:graphicData uri="http://schemas.openxmlformats.org/drawingml/2006/picture">
                <pic:pic>
                  <pic:nvPicPr>
                    <pic:cNvPr id="2085" name="Image 2085"/>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40"/>
        </w:rPr>
        <w:t> </w:t>
      </w:r>
      <w:r>
        <w:rPr>
          <w:color w:val="231F20"/>
        </w:rPr>
        <w:t>Expand the list to see the component managed systems and managed system groups of </w:t>
      </w:r>
      <w:r>
        <w:rPr>
          <w:color w:val="231F20"/>
        </w:rPr>
        <w:t>the group selected in the </w:t>
      </w:r>
      <w:r>
        <w:rPr>
          <w:rFonts w:ascii="Book Antiqua"/>
          <w:b/>
          <w:color w:val="231F20"/>
        </w:rPr>
        <w:t>Assigned Members </w:t>
      </w:r>
      <w:r>
        <w:rPr>
          <w:color w:val="231F20"/>
        </w:rPr>
        <w:t>list.</w:t>
      </w:r>
    </w:p>
    <w:p>
      <w:pPr>
        <w:pStyle w:val="Heading6"/>
        <w:spacing w:before="116"/>
        <w:ind w:left="3190"/>
      </w:pPr>
      <w:r>
        <w:rPr>
          <w:color w:val="231F20"/>
        </w:rPr>
        <w:t>Available</w:t>
      </w:r>
      <w:r>
        <w:rPr>
          <w:color w:val="231F20"/>
          <w:spacing w:val="-7"/>
        </w:rPr>
        <w:t> </w:t>
      </w:r>
      <w:r>
        <w:rPr>
          <w:color w:val="231F20"/>
          <w:spacing w:val="-2"/>
        </w:rPr>
        <w:t>Members</w:t>
      </w:r>
    </w:p>
    <w:p>
      <w:pPr>
        <w:pStyle w:val="BodyText"/>
        <w:spacing w:line="213" w:lineRule="auto" w:before="11"/>
        <w:ind w:left="3909" w:right="493"/>
      </w:pPr>
      <w:r>
        <w:rPr>
          <w:color w:val="231F20"/>
        </w:rPr>
        <w:t>Shows the managed system groups that can be assigned as dynamic members (child items) of the Navigator item. To add a managed system group, click the name and</w:t>
      </w:r>
      <w:r>
        <w:rPr>
          <w:color w:val="231F20"/>
          <w:spacing w:val="40"/>
        </w:rPr>
        <w:t> </w:t>
      </w:r>
      <w:r>
        <w:rPr>
          <w:color w:val="231F20"/>
          <w:spacing w:val="15"/>
          <w:position w:val="1"/>
        </w:rPr>
        <w:drawing>
          <wp:inline distT="0" distB="0" distL="0" distR="0">
            <wp:extent cx="44450" cy="76200"/>
            <wp:effectExtent l="0" t="0" r="0" b="0"/>
            <wp:docPr id="2086" name="Image 2086"/>
            <wp:cNvGraphicFramePr>
              <a:graphicFrameLocks/>
            </wp:cNvGraphicFramePr>
            <a:graphic>
              <a:graphicData uri="http://schemas.openxmlformats.org/drawingml/2006/picture">
                <pic:pic>
                  <pic:nvPicPr>
                    <pic:cNvPr id="2086" name="Image 2086"/>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move it to the </w:t>
      </w:r>
      <w:r>
        <w:rPr>
          <w:rFonts w:ascii="Book Antiqua"/>
          <w:b/>
          <w:color w:val="231F20"/>
        </w:rPr>
        <w:t>Assigned Members </w:t>
      </w:r>
      <w:r>
        <w:rPr>
          <w:color w:val="231F20"/>
        </w:rPr>
        <w:t>list. After selecting a group, you can select multiples by holding down the Ctrl key while selecting others individually, or using the Shift key to select everything </w:t>
      </w:r>
      <w:r>
        <w:rPr>
          <w:color w:val="231F20"/>
        </w:rPr>
        <w:t>between.</w:t>
      </w:r>
    </w:p>
    <w:p>
      <w:pPr>
        <w:pStyle w:val="Heading6"/>
        <w:spacing w:before="115"/>
        <w:ind w:left="3190"/>
      </w:pPr>
      <w:r>
        <w:rPr>
          <w:color w:val="231F20"/>
        </w:rPr>
        <w:t>Selected</w:t>
      </w:r>
      <w:r>
        <w:rPr>
          <w:color w:val="231F20"/>
          <w:spacing w:val="3"/>
        </w:rPr>
        <w:t> </w:t>
      </w:r>
      <w:r>
        <w:rPr>
          <w:color w:val="231F20"/>
        </w:rPr>
        <w:t>Available</w:t>
      </w:r>
      <w:r>
        <w:rPr>
          <w:color w:val="231F20"/>
          <w:spacing w:val="3"/>
        </w:rPr>
        <w:t> </w:t>
      </w:r>
      <w:r>
        <w:rPr>
          <w:color w:val="231F20"/>
        </w:rPr>
        <w:t>Objects</w:t>
      </w:r>
      <w:r>
        <w:rPr>
          <w:color w:val="231F20"/>
          <w:spacing w:val="4"/>
        </w:rPr>
        <w:t> </w:t>
      </w:r>
      <w:r>
        <w:rPr>
          <w:color w:val="231F20"/>
          <w:spacing w:val="-2"/>
        </w:rPr>
        <w:t>Members</w:t>
      </w:r>
    </w:p>
    <w:p>
      <w:pPr>
        <w:pStyle w:val="BodyText"/>
        <w:spacing w:line="213" w:lineRule="auto" w:before="11"/>
        <w:ind w:left="3909"/>
      </w:pPr>
      <w:r>
        <w:rPr>
          <w:color w:val="231F20"/>
        </w:rPr>
        <w:t>Shows the managed systems and managed system groups that comprise a managed system group.</w:t>
      </w:r>
      <w:r>
        <w:rPr>
          <w:color w:val="231F20"/>
          <w:spacing w:val="40"/>
        </w:rPr>
        <w:t> </w:t>
      </w:r>
      <w:r>
        <w:rPr>
          <w:color w:val="231F20"/>
          <w:spacing w:val="5"/>
        </w:rPr>
        <w:drawing>
          <wp:inline distT="0" distB="0" distL="0" distR="0">
            <wp:extent cx="69850" cy="69850"/>
            <wp:effectExtent l="0" t="0" r="0" b="0"/>
            <wp:docPr id="2087" name="Image 2087"/>
            <wp:cNvGraphicFramePr>
              <a:graphicFrameLocks/>
            </wp:cNvGraphicFramePr>
            <a:graphic>
              <a:graphicData uri="http://schemas.openxmlformats.org/drawingml/2006/picture">
                <pic:pic>
                  <pic:nvPicPr>
                    <pic:cNvPr id="2087" name="Image 208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39"/>
        </w:rPr>
        <w:t> </w:t>
      </w:r>
      <w:r>
        <w:rPr>
          <w:color w:val="231F20"/>
        </w:rPr>
        <w:t>Expand the list to see the</w:t>
      </w:r>
    </w:p>
    <w:p>
      <w:pPr>
        <w:spacing w:after="0" w:line="213" w:lineRule="auto"/>
        <w:sectPr>
          <w:pgSz w:w="12240" w:h="15840"/>
          <w:pgMar w:header="0" w:footer="736" w:top="1180" w:bottom="920" w:left="1000" w:right="1060"/>
        </w:sectPr>
      </w:pPr>
    </w:p>
    <w:p>
      <w:pPr>
        <w:pStyle w:val="BodyText"/>
        <w:spacing w:line="213" w:lineRule="auto" w:before="85"/>
        <w:ind w:left="3669" w:right="545"/>
      </w:pPr>
      <w:r>
        <w:rPr>
          <w:color w:val="231F20"/>
        </w:rPr>
        <w:t>component managed systems and managed system groups of </w:t>
      </w:r>
      <w:r>
        <w:rPr>
          <w:color w:val="231F20"/>
        </w:rPr>
        <w:t>the group selected in the </w:t>
      </w:r>
      <w:r>
        <w:rPr>
          <w:rFonts w:ascii="Book Antiqua"/>
          <w:b/>
          <w:color w:val="231F20"/>
        </w:rPr>
        <w:t>Available Members </w:t>
      </w:r>
      <w:r>
        <w:rPr>
          <w:color w:val="231F20"/>
        </w:rPr>
        <w:t>list.</w:t>
      </w:r>
    </w:p>
    <w:p>
      <w:pPr>
        <w:pStyle w:val="Heading6"/>
        <w:ind w:left="2951"/>
      </w:pPr>
      <w:r>
        <w:rPr>
          <w:color w:val="231F20"/>
          <w:spacing w:val="-2"/>
        </w:rPr>
        <w:t>Examples</w:t>
      </w:r>
    </w:p>
    <w:p>
      <w:pPr>
        <w:pStyle w:val="BodyText"/>
        <w:spacing w:line="213" w:lineRule="auto" w:before="11"/>
        <w:ind w:left="3669" w:right="1002"/>
      </w:pPr>
      <w:r>
        <w:rPr>
          <w:color w:val="231F20"/>
        </w:rPr>
        <w:t>Navigator editor Target View after assigning “Vermont” as </w:t>
      </w:r>
      <w:r>
        <w:rPr>
          <w:color w:val="231F20"/>
        </w:rPr>
        <w:t>a dynamic</w:t>
      </w:r>
      <w:r>
        <w:rPr>
          <w:color w:val="231F20"/>
          <w:spacing w:val="37"/>
        </w:rPr>
        <w:t> </w:t>
      </w:r>
      <w:r>
        <w:rPr>
          <w:color w:val="231F20"/>
        </w:rPr>
        <w:t>member</w:t>
      </w:r>
      <w:r>
        <w:rPr>
          <w:color w:val="231F20"/>
          <w:spacing w:val="37"/>
        </w:rPr>
        <w:t> </w:t>
      </w:r>
      <w:r>
        <w:rPr>
          <w:color w:val="231F20"/>
        </w:rPr>
        <w:t>to</w:t>
      </w:r>
      <w:r>
        <w:rPr>
          <w:color w:val="231F20"/>
          <w:spacing w:val="37"/>
        </w:rPr>
        <w:t> </w:t>
      </w:r>
      <w:r>
        <w:rPr>
          <w:color w:val="231F20"/>
        </w:rPr>
        <w:t>the</w:t>
      </w:r>
      <w:r>
        <w:rPr>
          <w:color w:val="231F20"/>
          <w:spacing w:val="37"/>
        </w:rPr>
        <w:t> </w:t>
      </w:r>
      <w:r>
        <w:rPr>
          <w:color w:val="231F20"/>
        </w:rPr>
        <w:t>“Eastern</w:t>
      </w:r>
      <w:r>
        <w:rPr>
          <w:color w:val="231F20"/>
          <w:spacing w:val="37"/>
        </w:rPr>
        <w:t> </w:t>
      </w:r>
      <w:r>
        <w:rPr>
          <w:color w:val="231F20"/>
        </w:rPr>
        <w:t>Region”</w:t>
      </w:r>
      <w:r>
        <w:rPr>
          <w:color w:val="231F20"/>
          <w:spacing w:val="37"/>
        </w:rPr>
        <w:t> </w:t>
      </w:r>
      <w:r>
        <w:rPr>
          <w:color w:val="231F20"/>
        </w:rPr>
        <w:t>Navigator</w:t>
      </w:r>
      <w:r>
        <w:rPr>
          <w:color w:val="231F20"/>
          <w:spacing w:val="37"/>
        </w:rPr>
        <w:t> </w:t>
      </w:r>
      <w:r>
        <w:rPr>
          <w:color w:val="231F20"/>
        </w:rPr>
        <w:t>item: </w:t>
      </w:r>
      <w:r>
        <w:rPr>
          <w:color w:val="231F20"/>
          <w:position w:val="-1"/>
        </w:rPr>
        <w:drawing>
          <wp:inline distT="0" distB="0" distL="0" distR="0">
            <wp:extent cx="101600" cy="95250"/>
            <wp:effectExtent l="0" t="0" r="0" b="0"/>
            <wp:docPr id="2088" name="Image 2088"/>
            <wp:cNvGraphicFramePr>
              <a:graphicFrameLocks/>
            </wp:cNvGraphicFramePr>
            <a:graphic>
              <a:graphicData uri="http://schemas.openxmlformats.org/drawingml/2006/picture">
                <pic:pic>
                  <pic:nvPicPr>
                    <pic:cNvPr id="2088" name="Image 2088"/>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hAnsi="Times New Roman"/>
          <w:color w:val="231F20"/>
          <w:spacing w:val="40"/>
        </w:rPr>
        <w:t> </w:t>
      </w:r>
      <w:r>
        <w:rPr>
          <w:color w:val="231F20"/>
        </w:rPr>
        <w:t>Shipping</w:t>
      </w:r>
    </w:p>
    <w:p>
      <w:pPr>
        <w:pStyle w:val="BodyText"/>
        <w:spacing w:line="230" w:lineRule="exact"/>
        <w:ind w:left="4009"/>
      </w:pPr>
      <w:r>
        <w:rPr/>
        <w:drawing>
          <wp:inline distT="0" distB="0" distL="0" distR="0">
            <wp:extent cx="69850" cy="69850"/>
            <wp:effectExtent l="0" t="0" r="0" b="0"/>
            <wp:docPr id="2089" name="Image 2089"/>
            <wp:cNvGraphicFramePr>
              <a:graphicFrameLocks/>
            </wp:cNvGraphicFramePr>
            <a:graphic>
              <a:graphicData uri="http://schemas.openxmlformats.org/drawingml/2006/picture">
                <pic:pic>
                  <pic:nvPicPr>
                    <pic:cNvPr id="2089" name="Image 2089"/>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2090" name="Image 2090"/>
            <wp:cNvGraphicFramePr>
              <a:graphicFrameLocks/>
            </wp:cNvGraphicFramePr>
            <a:graphic>
              <a:graphicData uri="http://schemas.openxmlformats.org/drawingml/2006/picture">
                <pic:pic>
                  <pic:nvPicPr>
                    <pic:cNvPr id="2090" name="Image 2090"/>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Eastern Region</w:t>
      </w:r>
    </w:p>
    <w:p>
      <w:pPr>
        <w:pStyle w:val="BodyText"/>
        <w:spacing w:line="255" w:lineRule="exact"/>
        <w:ind w:left="4544"/>
      </w:pPr>
      <w:r>
        <w:rPr>
          <w:position w:val="-1"/>
        </w:rPr>
        <w:drawing>
          <wp:inline distT="0" distB="0" distL="0" distR="0">
            <wp:extent cx="101600" cy="88900"/>
            <wp:effectExtent l="0" t="0" r="0" b="0"/>
            <wp:docPr id="2091" name="Image 2091"/>
            <wp:cNvGraphicFramePr>
              <a:graphicFrameLocks/>
            </wp:cNvGraphicFramePr>
            <a:graphic>
              <a:graphicData uri="http://schemas.openxmlformats.org/drawingml/2006/picture">
                <pic:pic>
                  <pic:nvPicPr>
                    <pic:cNvPr id="2091" name="Image 2091"/>
                    <pic:cNvPicPr/>
                  </pic:nvPicPr>
                  <pic:blipFill>
                    <a:blip r:embed="rId364" cstate="print"/>
                    <a:stretch>
                      <a:fillRect/>
                    </a:stretch>
                  </pic:blipFill>
                  <pic:spPr>
                    <a:xfrm>
                      <a:off x="0" y="0"/>
                      <a:ext cx="101600" cy="88900"/>
                    </a:xfrm>
                    <a:prstGeom prst="rect">
                      <a:avLst/>
                    </a:prstGeom>
                  </pic:spPr>
                </pic:pic>
              </a:graphicData>
            </a:graphic>
          </wp:inline>
        </w:drawing>
      </w:r>
      <w:r>
        <w:rPr>
          <w:position w:val="-1"/>
        </w:rPr>
      </w:r>
      <w:r>
        <w:rPr>
          <w:rFonts w:ascii="Times New Roman"/>
          <w:spacing w:val="26"/>
        </w:rPr>
        <w:t> </w:t>
      </w:r>
      <w:r>
        <w:rPr>
          <w:color w:val="231F20"/>
        </w:rPr>
        <w:t>&lt;Dynamic</w:t>
      </w:r>
      <w:r>
        <w:rPr>
          <w:color w:val="231F20"/>
          <w:spacing w:val="35"/>
        </w:rPr>
        <w:t> </w:t>
      </w:r>
      <w:r>
        <w:rPr>
          <w:color w:val="231F20"/>
        </w:rPr>
        <w:t>members&gt;</w:t>
      </w:r>
    </w:p>
    <w:p>
      <w:pPr>
        <w:pStyle w:val="BodyText"/>
        <w:spacing w:line="213" w:lineRule="auto" w:before="113"/>
        <w:ind w:left="3669"/>
      </w:pPr>
      <w:r>
        <w:rPr>
          <w:color w:val="231F20"/>
        </w:rPr>
        <w:t>After no further changes were made in the Navigator editor, </w:t>
      </w:r>
      <w:r>
        <w:rPr>
          <w:color w:val="231F20"/>
        </w:rPr>
        <w:t>the Navigator view looks like this:</w:t>
      </w:r>
    </w:p>
    <w:p>
      <w:pPr>
        <w:pStyle w:val="BodyText"/>
        <w:spacing w:line="230" w:lineRule="exact"/>
        <w:ind w:left="3669"/>
      </w:pPr>
      <w:r>
        <w:rPr>
          <w:position w:val="-1"/>
        </w:rPr>
        <w:drawing>
          <wp:inline distT="0" distB="0" distL="0" distR="0">
            <wp:extent cx="101600" cy="95250"/>
            <wp:effectExtent l="0" t="0" r="0" b="0"/>
            <wp:docPr id="2092" name="Image 2092"/>
            <wp:cNvGraphicFramePr>
              <a:graphicFrameLocks/>
            </wp:cNvGraphicFramePr>
            <a:graphic>
              <a:graphicData uri="http://schemas.openxmlformats.org/drawingml/2006/picture">
                <pic:pic>
                  <pic:nvPicPr>
                    <pic:cNvPr id="2092" name="Image 2092"/>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Shipping</w:t>
      </w:r>
    </w:p>
    <w:p>
      <w:pPr>
        <w:pStyle w:val="BodyText"/>
        <w:spacing w:line="213" w:lineRule="auto" w:before="8"/>
        <w:ind w:left="4308" w:right="4299" w:hanging="300"/>
      </w:pPr>
      <w:r>
        <w:rPr/>
        <w:drawing>
          <wp:inline distT="0" distB="0" distL="0" distR="0">
            <wp:extent cx="69850" cy="69850"/>
            <wp:effectExtent l="0" t="0" r="0" b="0"/>
            <wp:docPr id="2093" name="Image 2093"/>
            <wp:cNvGraphicFramePr>
              <a:graphicFrameLocks/>
            </wp:cNvGraphicFramePr>
            <a:graphic>
              <a:graphicData uri="http://schemas.openxmlformats.org/drawingml/2006/picture">
                <pic:pic>
                  <pic:nvPicPr>
                    <pic:cNvPr id="2093" name="Image 2093"/>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35"/>
          <w:position w:val="-1"/>
        </w:rPr>
        <w:t> </w:t>
      </w:r>
      <w:r>
        <w:rPr>
          <w:rFonts w:ascii="Times New Roman"/>
          <w:spacing w:val="-1"/>
          <w:position w:val="-1"/>
        </w:rPr>
        <w:drawing>
          <wp:inline distT="0" distB="0" distL="0" distR="0">
            <wp:extent cx="101600" cy="95250"/>
            <wp:effectExtent l="0" t="0" r="0" b="0"/>
            <wp:docPr id="2094" name="Image 2094"/>
            <wp:cNvGraphicFramePr>
              <a:graphicFrameLocks/>
            </wp:cNvGraphicFramePr>
            <a:graphic>
              <a:graphicData uri="http://schemas.openxmlformats.org/drawingml/2006/picture">
                <pic:pic>
                  <pic:nvPicPr>
                    <pic:cNvPr id="2094" name="Image 2094"/>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Eastern </w:t>
      </w:r>
      <w:r>
        <w:rPr>
          <w:color w:val="231F20"/>
        </w:rPr>
        <w:t>Region </w:t>
      </w:r>
      <w:r>
        <w:rPr>
          <w:color w:val="231F20"/>
        </w:rPr>
        <w:drawing>
          <wp:inline distT="0" distB="0" distL="0" distR="0">
            <wp:extent cx="69850" cy="69850"/>
            <wp:effectExtent l="0" t="0" r="0" b="0"/>
            <wp:docPr id="2095" name="Image 2095"/>
            <wp:cNvGraphicFramePr>
              <a:graphicFrameLocks/>
            </wp:cNvGraphicFramePr>
            <a:graphic>
              <a:graphicData uri="http://schemas.openxmlformats.org/drawingml/2006/picture">
                <pic:pic>
                  <pic:nvPicPr>
                    <pic:cNvPr id="2095" name="Image 2095"/>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9"/>
          <w:position w:val="-1"/>
        </w:rPr>
        <w:drawing>
          <wp:inline distT="0" distB="0" distL="0" distR="0">
            <wp:extent cx="88900" cy="88900"/>
            <wp:effectExtent l="0" t="0" r="0" b="0"/>
            <wp:docPr id="2096" name="Image 2096"/>
            <wp:cNvGraphicFramePr>
              <a:graphicFrameLocks/>
            </wp:cNvGraphicFramePr>
            <a:graphic>
              <a:graphicData uri="http://schemas.openxmlformats.org/drawingml/2006/picture">
                <pic:pic>
                  <pic:nvPicPr>
                    <pic:cNvPr id="2096" name="Image 2096"/>
                    <pic:cNvPicPr/>
                  </pic:nvPicPr>
                  <pic:blipFill>
                    <a:blip r:embed="rId355" cstate="print"/>
                    <a:stretch>
                      <a:fillRect/>
                    </a:stretch>
                  </pic:blipFill>
                  <pic:spPr>
                    <a:xfrm>
                      <a:off x="0" y="0"/>
                      <a:ext cx="88900" cy="88900"/>
                    </a:xfrm>
                    <a:prstGeom prst="rect">
                      <a:avLst/>
                    </a:prstGeom>
                  </pic:spPr>
                </pic:pic>
              </a:graphicData>
            </a:graphic>
          </wp:inline>
        </w:drawing>
      </w:r>
      <w:r>
        <w:rPr>
          <w:rFonts w:ascii="Times New Roman"/>
          <w:color w:val="231F20"/>
          <w:spacing w:val="9"/>
          <w:position w:val="-1"/>
        </w:rPr>
      </w:r>
      <w:r>
        <w:rPr>
          <w:rFonts w:ascii="Times New Roman"/>
          <w:color w:val="231F20"/>
          <w:spacing w:val="40"/>
        </w:rPr>
        <w:t> </w:t>
      </w:r>
      <w:r>
        <w:rPr>
          <w:color w:val="231F20"/>
        </w:rPr>
        <w:t>Vermont</w:t>
      </w:r>
    </w:p>
    <w:p>
      <w:pPr>
        <w:pStyle w:val="BodyText"/>
        <w:spacing w:line="213" w:lineRule="auto"/>
        <w:ind w:left="4740" w:right="4218" w:firstLine="33"/>
        <w:jc w:val="both"/>
      </w:pPr>
      <w:r>
        <w:rPr/>
        <w:drawing>
          <wp:inline distT="0" distB="0" distL="0" distR="0">
            <wp:extent cx="69850" cy="69850"/>
            <wp:effectExtent l="0" t="0" r="0" b="0"/>
            <wp:docPr id="2097" name="Image 2097"/>
            <wp:cNvGraphicFramePr>
              <a:graphicFrameLocks/>
            </wp:cNvGraphicFramePr>
            <a:graphic>
              <a:graphicData uri="http://schemas.openxmlformats.org/drawingml/2006/picture">
                <pic:pic>
                  <pic:nvPicPr>
                    <pic:cNvPr id="2097" name="Image 2097"/>
                    <pic:cNvPicPr/>
                  </pic:nvPicPr>
                  <pic:blipFill>
                    <a:blip r:embed="rId89" cstate="print"/>
                    <a:stretch>
                      <a:fillRect/>
                    </a:stretch>
                  </pic:blipFill>
                  <pic:spPr>
                    <a:xfrm>
                      <a:off x="0" y="0"/>
                      <a:ext cx="69850" cy="69850"/>
                    </a:xfrm>
                    <a:prstGeom prst="rect">
                      <a:avLst/>
                    </a:prstGeom>
                  </pic:spPr>
                </pic:pic>
              </a:graphicData>
            </a:graphic>
          </wp:inline>
        </w:drawing>
      </w:r>
      <w:r>
        <w:rPr/>
      </w:r>
      <w:r>
        <w:rPr>
          <w:rFonts w:ascii="Times New Roman"/>
          <w:position w:val="-1"/>
        </w:rPr>
        <w:t> </w:t>
      </w:r>
      <w:r>
        <w:rPr>
          <w:rFonts w:ascii="Times New Roman"/>
          <w:spacing w:val="-1"/>
          <w:position w:val="-1"/>
        </w:rPr>
        <w:drawing>
          <wp:inline distT="0" distB="0" distL="0" distR="0">
            <wp:extent cx="101600" cy="95250"/>
            <wp:effectExtent l="0" t="0" r="0" b="0"/>
            <wp:docPr id="2098" name="Image 2098"/>
            <wp:cNvGraphicFramePr>
              <a:graphicFrameLocks/>
            </wp:cNvGraphicFramePr>
            <a:graphic>
              <a:graphicData uri="http://schemas.openxmlformats.org/drawingml/2006/picture">
                <pic:pic>
                  <pic:nvPicPr>
                    <pic:cNvPr id="2098" name="Image 2098"/>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1"/>
        </w:rPr>
        <w:t> </w:t>
      </w:r>
      <w:r>
        <w:rPr>
          <w:color w:val="231F20"/>
        </w:rPr>
        <w:t>BOB123 </w:t>
      </w:r>
      <w:r>
        <w:rPr>
          <w:color w:val="231F20"/>
        </w:rPr>
        <w:drawing>
          <wp:inline distT="0" distB="0" distL="0" distR="0">
            <wp:extent cx="69850" cy="69850"/>
            <wp:effectExtent l="0" t="0" r="0" b="0"/>
            <wp:docPr id="2099" name="Image 2099"/>
            <wp:cNvGraphicFramePr>
              <a:graphicFrameLocks/>
            </wp:cNvGraphicFramePr>
            <a:graphic>
              <a:graphicData uri="http://schemas.openxmlformats.org/drawingml/2006/picture">
                <pic:pic>
                  <pic:nvPicPr>
                    <pic:cNvPr id="2099" name="Image 209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position w:val="-1"/>
        </w:rPr>
        <w:t> </w:t>
      </w:r>
      <w:r>
        <w:rPr>
          <w:rFonts w:ascii="Times New Roman"/>
          <w:color w:val="231F20"/>
          <w:spacing w:val="-1"/>
          <w:position w:val="-1"/>
        </w:rPr>
        <w:drawing>
          <wp:inline distT="0" distB="0" distL="0" distR="0">
            <wp:extent cx="101600" cy="95250"/>
            <wp:effectExtent l="0" t="0" r="0" b="0"/>
            <wp:docPr id="2100" name="Image 2100"/>
            <wp:cNvGraphicFramePr>
              <a:graphicFrameLocks/>
            </wp:cNvGraphicFramePr>
            <a:graphic>
              <a:graphicData uri="http://schemas.openxmlformats.org/drawingml/2006/picture">
                <pic:pic>
                  <pic:nvPicPr>
                    <pic:cNvPr id="2100" name="Image 2100"/>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1"/>
        </w:rPr>
        <w:t> </w:t>
      </w:r>
      <w:r>
        <w:rPr>
          <w:color w:val="231F20"/>
        </w:rPr>
        <w:t>PAT123</w:t>
      </w:r>
      <w:r>
        <w:rPr>
          <w:color w:val="231F20"/>
          <w:spacing w:val="40"/>
        </w:rPr>
        <w:t> </w:t>
      </w:r>
      <w:r>
        <w:rPr>
          <w:color w:val="231F20"/>
        </w:rPr>
        <w:drawing>
          <wp:inline distT="0" distB="0" distL="0" distR="0">
            <wp:extent cx="69850" cy="69850"/>
            <wp:effectExtent l="0" t="0" r="0" b="0"/>
            <wp:docPr id="2101" name="Image 2101"/>
            <wp:cNvGraphicFramePr>
              <a:graphicFrameLocks/>
            </wp:cNvGraphicFramePr>
            <a:graphic>
              <a:graphicData uri="http://schemas.openxmlformats.org/drawingml/2006/picture">
                <pic:pic>
                  <pic:nvPicPr>
                    <pic:cNvPr id="2101" name="Image 2101"/>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2102" name="Image 2102"/>
            <wp:cNvGraphicFramePr>
              <a:graphicFrameLocks/>
            </wp:cNvGraphicFramePr>
            <a:graphic>
              <a:graphicData uri="http://schemas.openxmlformats.org/drawingml/2006/picture">
                <pic:pic>
                  <pic:nvPicPr>
                    <pic:cNvPr id="2102" name="Image 2102"/>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SUE123</w:t>
      </w:r>
    </w:p>
    <w:p>
      <w:pPr>
        <w:spacing w:after="0" w:line="213" w:lineRule="auto"/>
        <w:jc w:val="both"/>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8"/>
      </w:pPr>
    </w:p>
    <w:p>
      <w:pPr>
        <w:pStyle w:val="Heading6"/>
        <w:spacing w:line="240" w:lineRule="auto" w:before="0"/>
        <w:ind w:left="0"/>
        <w:jc w:val="right"/>
      </w:pPr>
      <w:r>
        <w:rPr/>
        <w:drawing>
          <wp:anchor distT="0" distB="0" distL="0" distR="0" allowOverlap="1" layoutInCell="1" locked="0" behindDoc="0" simplePos="0" relativeHeight="15859200">
            <wp:simplePos x="0" y="0"/>
            <wp:positionH relativeFrom="page">
              <wp:posOffset>2058959</wp:posOffset>
            </wp:positionH>
            <wp:positionV relativeFrom="paragraph">
              <wp:posOffset>50897</wp:posOffset>
            </wp:positionV>
            <wp:extent cx="109728" cy="109727"/>
            <wp:effectExtent l="0" t="0" r="0" b="0"/>
            <wp:wrapNone/>
            <wp:docPr id="2103" name="Image 2103"/>
            <wp:cNvGraphicFramePr>
              <a:graphicFrameLocks/>
            </wp:cNvGraphicFramePr>
            <a:graphic>
              <a:graphicData uri="http://schemas.openxmlformats.org/drawingml/2006/picture">
                <pic:pic>
                  <pic:nvPicPr>
                    <pic:cNvPr id="2103" name="Image 2103"/>
                    <pic:cNvPicPr/>
                  </pic:nvPicPr>
                  <pic:blipFill>
                    <a:blip r:embed="rId363" cstate="print"/>
                    <a:stretch>
                      <a:fillRect/>
                    </a:stretch>
                  </pic:blipFill>
                  <pic:spPr>
                    <a:xfrm>
                      <a:off x="0" y="0"/>
                      <a:ext cx="109728" cy="109727"/>
                    </a:xfrm>
                    <a:prstGeom prst="rect">
                      <a:avLst/>
                    </a:prstGeom>
                  </pic:spPr>
                </pic:pic>
              </a:graphicData>
            </a:graphic>
          </wp:anchor>
        </w:drawing>
      </w:r>
      <w:r>
        <w:rPr>
          <w:color w:val="231F20"/>
          <w:spacing w:val="-2"/>
        </w:rPr>
        <w:t>Symbols</w:t>
      </w:r>
    </w:p>
    <w:p>
      <w:pPr>
        <w:pStyle w:val="BodyText"/>
        <w:spacing w:line="228" w:lineRule="exact"/>
        <w:ind w:left="2052"/>
      </w:pPr>
      <w:r>
        <w:rPr/>
        <w:br w:type="column"/>
      </w:r>
      <w:r>
        <w:rPr/>
        <w:drawing>
          <wp:inline distT="0" distB="0" distL="0" distR="0">
            <wp:extent cx="69850" cy="69850"/>
            <wp:effectExtent l="0" t="0" r="0" b="0"/>
            <wp:docPr id="2104" name="Image 2104"/>
            <wp:cNvGraphicFramePr>
              <a:graphicFrameLocks/>
            </wp:cNvGraphicFramePr>
            <a:graphic>
              <a:graphicData uri="http://schemas.openxmlformats.org/drawingml/2006/picture">
                <pic:pic>
                  <pic:nvPicPr>
                    <pic:cNvPr id="2104" name="Image 2104"/>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95250" cy="95250"/>
            <wp:effectExtent l="0" t="0" r="0" b="0"/>
            <wp:docPr id="2105" name="Image 2105"/>
            <wp:cNvGraphicFramePr>
              <a:graphicFrameLocks/>
            </wp:cNvGraphicFramePr>
            <a:graphic>
              <a:graphicData uri="http://schemas.openxmlformats.org/drawingml/2006/picture">
                <pic:pic>
                  <pic:nvPicPr>
                    <pic:cNvPr id="2105" name="Image 2105"/>
                    <pic:cNvPicPr/>
                  </pic:nvPicPr>
                  <pic:blipFill>
                    <a:blip r:embed="rId84" cstate="print"/>
                    <a:stretch>
                      <a:fillRect/>
                    </a:stretch>
                  </pic:blipFill>
                  <pic:spPr>
                    <a:xfrm>
                      <a:off x="0" y="0"/>
                      <a:ext cx="95250" cy="9525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Windows OS</w:t>
      </w:r>
    </w:p>
    <w:p>
      <w:pPr>
        <w:pStyle w:val="BodyText"/>
        <w:spacing w:line="239" w:lineRule="exact"/>
        <w:ind w:left="2550"/>
      </w:pPr>
      <w:r>
        <w:rPr/>
        <w:drawing>
          <wp:inline distT="0" distB="0" distL="0" distR="0">
            <wp:extent cx="69850" cy="69850"/>
            <wp:effectExtent l="0" t="0" r="0" b="0"/>
            <wp:docPr id="2106" name="Image 2106"/>
            <wp:cNvGraphicFramePr>
              <a:graphicFrameLocks/>
            </wp:cNvGraphicFramePr>
            <a:graphic>
              <a:graphicData uri="http://schemas.openxmlformats.org/drawingml/2006/picture">
                <pic:pic>
                  <pic:nvPicPr>
                    <pic:cNvPr id="2106" name="Image 2106"/>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900" cy="101600"/>
            <wp:effectExtent l="0" t="0" r="0" b="0"/>
            <wp:docPr id="2107" name="Image 2107"/>
            <wp:cNvGraphicFramePr>
              <a:graphicFrameLocks/>
            </wp:cNvGraphicFramePr>
            <a:graphic>
              <a:graphicData uri="http://schemas.openxmlformats.org/drawingml/2006/picture">
                <pic:pic>
                  <pic:nvPicPr>
                    <pic:cNvPr id="2107" name="Image 2107"/>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Disk</w:t>
      </w:r>
    </w:p>
    <w:p>
      <w:pPr>
        <w:pStyle w:val="BodyText"/>
        <w:spacing w:line="213" w:lineRule="auto" w:before="8"/>
        <w:ind w:left="2550" w:right="2773" w:firstLine="33"/>
      </w:pPr>
      <w:r>
        <w:rPr/>
        <w:drawing>
          <wp:inline distT="0" distB="0" distL="0" distR="0">
            <wp:extent cx="69850" cy="69850"/>
            <wp:effectExtent l="0" t="0" r="0" b="0"/>
            <wp:docPr id="2108" name="Image 2108"/>
            <wp:cNvGraphicFramePr>
              <a:graphicFrameLocks/>
            </wp:cNvGraphicFramePr>
            <a:graphic>
              <a:graphicData uri="http://schemas.openxmlformats.org/drawingml/2006/picture">
                <pic:pic>
                  <pic:nvPicPr>
                    <pic:cNvPr id="2108" name="Image 2108"/>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9"/>
          <w:position w:val="-1"/>
        </w:rPr>
        <w:drawing>
          <wp:inline distT="0" distB="0" distL="0" distR="0">
            <wp:extent cx="88900" cy="101600"/>
            <wp:effectExtent l="0" t="0" r="0" b="0"/>
            <wp:docPr id="2109" name="Image 2109"/>
            <wp:cNvGraphicFramePr>
              <a:graphicFrameLocks/>
            </wp:cNvGraphicFramePr>
            <a:graphic>
              <a:graphicData uri="http://schemas.openxmlformats.org/drawingml/2006/picture">
                <pic:pic>
                  <pic:nvPicPr>
                    <pic:cNvPr id="2109" name="Image 2109"/>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rPr>
      </w:r>
      <w:r>
        <w:rPr>
          <w:rFonts w:ascii="Times New Roman"/>
          <w:spacing w:val="40"/>
        </w:rPr>
        <w:t> </w:t>
      </w:r>
      <w:r>
        <w:rPr>
          <w:color w:val="231F20"/>
        </w:rPr>
        <w:t>Enterprise </w:t>
      </w:r>
      <w:r>
        <w:rPr>
          <w:color w:val="231F20"/>
        </w:rPr>
        <w:drawing>
          <wp:inline distT="0" distB="0" distL="0" distR="0">
            <wp:extent cx="69850" cy="69850"/>
            <wp:effectExtent l="0" t="0" r="0" b="0"/>
            <wp:docPr id="2110" name="Image 2110"/>
            <wp:cNvGraphicFramePr>
              <a:graphicFrameLocks/>
            </wp:cNvGraphicFramePr>
            <a:graphic>
              <a:graphicData uri="http://schemas.openxmlformats.org/drawingml/2006/picture">
                <pic:pic>
                  <pic:nvPicPr>
                    <pic:cNvPr id="2110" name="Image 2110"/>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9"/>
          <w:position w:val="-1"/>
        </w:rPr>
        <w:drawing>
          <wp:inline distT="0" distB="0" distL="0" distR="0">
            <wp:extent cx="88900" cy="101600"/>
            <wp:effectExtent l="0" t="0" r="0" b="0"/>
            <wp:docPr id="2111" name="Image 2111"/>
            <wp:cNvGraphicFramePr>
              <a:graphicFrameLocks/>
            </wp:cNvGraphicFramePr>
            <a:graphic>
              <a:graphicData uri="http://schemas.openxmlformats.org/drawingml/2006/picture">
                <pic:pic>
                  <pic:nvPicPr>
                    <pic:cNvPr id="2111" name="Image 2111"/>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color w:val="231F20"/>
          <w:spacing w:val="9"/>
          <w:position w:val="-1"/>
        </w:rPr>
      </w:r>
      <w:r>
        <w:rPr>
          <w:rFonts w:ascii="Times New Roman"/>
          <w:color w:val="231F20"/>
          <w:spacing w:val="40"/>
        </w:rPr>
        <w:t> </w:t>
      </w:r>
      <w:r>
        <w:rPr>
          <w:color w:val="231F20"/>
        </w:rPr>
        <w:t>Memory</w:t>
      </w:r>
    </w:p>
    <w:p>
      <w:pPr>
        <w:spacing w:line="245" w:lineRule="exact" w:before="0"/>
        <w:ind w:left="2550" w:right="0" w:firstLine="0"/>
        <w:jc w:val="left"/>
        <w:rPr>
          <w:sz w:val="20"/>
        </w:rPr>
      </w:pPr>
      <w:r>
        <w:rPr/>
        <w:drawing>
          <wp:inline distT="0" distB="0" distL="0" distR="0">
            <wp:extent cx="69850" cy="69850"/>
            <wp:effectExtent l="0" t="0" r="0" b="0"/>
            <wp:docPr id="2112" name="Image 2112"/>
            <wp:cNvGraphicFramePr>
              <a:graphicFrameLocks/>
            </wp:cNvGraphicFramePr>
            <a:graphic>
              <a:graphicData uri="http://schemas.openxmlformats.org/drawingml/2006/picture">
                <pic:pic>
                  <pic:nvPicPr>
                    <pic:cNvPr id="2112" name="Image 2112"/>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sz w:val="20"/>
        </w:rPr>
        <w:t> </w:t>
      </w:r>
      <w:r>
        <w:rPr>
          <w:rFonts w:ascii="Times New Roman"/>
          <w:spacing w:val="9"/>
          <w:position w:val="-1"/>
          <w:sz w:val="20"/>
        </w:rPr>
        <w:drawing>
          <wp:inline distT="0" distB="0" distL="0" distR="0">
            <wp:extent cx="88900" cy="101600"/>
            <wp:effectExtent l="0" t="0" r="0" b="0"/>
            <wp:docPr id="2113" name="Image 2113"/>
            <wp:cNvGraphicFramePr>
              <a:graphicFrameLocks/>
            </wp:cNvGraphicFramePr>
            <a:graphic>
              <a:graphicData uri="http://schemas.openxmlformats.org/drawingml/2006/picture">
                <pic:pic>
                  <pic:nvPicPr>
                    <pic:cNvPr id="2113" name="Image 2113"/>
                    <pic:cNvPicPr/>
                  </pic:nvPicPr>
                  <pic:blipFill>
                    <a:blip r:embed="rId83" cstate="print"/>
                    <a:stretch>
                      <a:fillRect/>
                    </a:stretch>
                  </pic:blipFill>
                  <pic:spPr>
                    <a:xfrm>
                      <a:off x="0" y="0"/>
                      <a:ext cx="88900" cy="101600"/>
                    </a:xfrm>
                    <a:prstGeom prst="rect">
                      <a:avLst/>
                    </a:prstGeom>
                  </pic:spPr>
                </pic:pic>
              </a:graphicData>
            </a:graphic>
          </wp:inline>
        </w:drawing>
      </w:r>
      <w:r>
        <w:rPr>
          <w:rFonts w:ascii="Times New Roman"/>
          <w:spacing w:val="9"/>
          <w:position w:val="-1"/>
          <w:sz w:val="20"/>
        </w:rPr>
      </w:r>
      <w:r>
        <w:rPr>
          <w:rFonts w:ascii="Times New Roman"/>
          <w:spacing w:val="40"/>
          <w:sz w:val="20"/>
        </w:rPr>
        <w:t> </w:t>
      </w:r>
      <w:r>
        <w:rPr>
          <w:color w:val="231F20"/>
          <w:sz w:val="20"/>
        </w:rPr>
        <w:t>...</w:t>
      </w:r>
    </w:p>
    <w:p>
      <w:pPr>
        <w:pStyle w:val="BodyText"/>
        <w:spacing w:line="218" w:lineRule="auto" w:before="108"/>
        <w:ind w:left="282" w:right="509"/>
      </w:pPr>
      <w:r>
        <w:rPr>
          <w:color w:val="231F20"/>
        </w:rPr>
        <w:t>The view above reflects the default settings for Assigned member options. You can deselect any of the options to reduce the number of dynamic items in the Navigator view. For example, with only</w:t>
      </w:r>
      <w:r>
        <w:rPr>
          <w:color w:val="231F20"/>
          <w:spacing w:val="-1"/>
        </w:rPr>
        <w:t> </w:t>
      </w:r>
      <w:r>
        <w:rPr>
          <w:color w:val="231F20"/>
          <w:spacing w:val="15"/>
        </w:rPr>
        <w:drawing>
          <wp:inline distT="0" distB="0" distL="0" distR="0">
            <wp:extent cx="82550" cy="82550"/>
            <wp:effectExtent l="0" t="0" r="0" b="0"/>
            <wp:docPr id="2114" name="Image 2114"/>
            <wp:cNvGraphicFramePr>
              <a:graphicFrameLocks/>
            </wp:cNvGraphicFramePr>
            <a:graphic>
              <a:graphicData uri="http://schemas.openxmlformats.org/drawingml/2006/picture">
                <pic:pic>
                  <pic:nvPicPr>
                    <pic:cNvPr id="2114" name="Image 211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5"/>
        </w:rPr>
        <w:t> </w:t>
      </w:r>
      <w:r>
        <w:rPr>
          <w:rFonts w:ascii="Book Antiqua"/>
          <w:b/>
          <w:color w:val="231F20"/>
        </w:rPr>
        <w:t>Include host-level items associated with managed systems </w:t>
      </w:r>
      <w:r>
        <w:rPr>
          <w:color w:val="231F20"/>
        </w:rPr>
        <w:t>selected, the view looks like this:</w:t>
      </w:r>
    </w:p>
    <w:p>
      <w:pPr>
        <w:pStyle w:val="BodyText"/>
        <w:spacing w:line="232" w:lineRule="exact"/>
        <w:ind w:left="282"/>
      </w:pPr>
      <w:r>
        <w:rPr>
          <w:position w:val="-1"/>
        </w:rPr>
        <w:drawing>
          <wp:inline distT="0" distB="0" distL="0" distR="0">
            <wp:extent cx="101600" cy="95250"/>
            <wp:effectExtent l="0" t="0" r="0" b="0"/>
            <wp:docPr id="2115" name="Image 2115"/>
            <wp:cNvGraphicFramePr>
              <a:graphicFrameLocks/>
            </wp:cNvGraphicFramePr>
            <a:graphic>
              <a:graphicData uri="http://schemas.openxmlformats.org/drawingml/2006/picture">
                <pic:pic>
                  <pic:nvPicPr>
                    <pic:cNvPr id="2115" name="Image 211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Shipping</w:t>
      </w:r>
    </w:p>
    <w:p>
      <w:pPr>
        <w:pStyle w:val="BodyText"/>
        <w:spacing w:line="239" w:lineRule="exact"/>
        <w:ind w:left="622"/>
      </w:pPr>
      <w:r>
        <w:rPr/>
        <w:drawing>
          <wp:inline distT="0" distB="0" distL="0" distR="0">
            <wp:extent cx="69850" cy="69850"/>
            <wp:effectExtent l="0" t="0" r="0" b="0"/>
            <wp:docPr id="2116" name="Image 2116"/>
            <wp:cNvGraphicFramePr>
              <a:graphicFrameLocks/>
            </wp:cNvGraphicFramePr>
            <a:graphic>
              <a:graphicData uri="http://schemas.openxmlformats.org/drawingml/2006/picture">
                <pic:pic>
                  <pic:nvPicPr>
                    <pic:cNvPr id="2116" name="Image 2116"/>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2117" name="Image 2117"/>
            <wp:cNvGraphicFramePr>
              <a:graphicFrameLocks/>
            </wp:cNvGraphicFramePr>
            <a:graphic>
              <a:graphicData uri="http://schemas.openxmlformats.org/drawingml/2006/picture">
                <pic:pic>
                  <pic:nvPicPr>
                    <pic:cNvPr id="2117" name="Image 2117"/>
                    <pic:cNvPicPr/>
                  </pic:nvPicPr>
                  <pic:blipFill>
                    <a:blip r:embed="rId90"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Eastern Region</w:t>
      </w:r>
    </w:p>
    <w:p>
      <w:pPr>
        <w:pStyle w:val="BodyText"/>
        <w:spacing w:line="239" w:lineRule="exact"/>
        <w:ind w:left="1054"/>
      </w:pPr>
      <w:r>
        <w:rPr/>
        <w:drawing>
          <wp:inline distT="0" distB="0" distL="0" distR="0">
            <wp:extent cx="69850" cy="69850"/>
            <wp:effectExtent l="0" t="0" r="0" b="0"/>
            <wp:docPr id="2118" name="Image 2118"/>
            <wp:cNvGraphicFramePr>
              <a:graphicFrameLocks/>
            </wp:cNvGraphicFramePr>
            <a:graphic>
              <a:graphicData uri="http://schemas.openxmlformats.org/drawingml/2006/picture">
                <pic:pic>
                  <pic:nvPicPr>
                    <pic:cNvPr id="2118" name="Image 2118"/>
                    <pic:cNvPicPr/>
                  </pic:nvPicPr>
                  <pic:blipFill>
                    <a:blip r:embed="rId91" cstate="print"/>
                    <a:stretch>
                      <a:fillRect/>
                    </a:stretch>
                  </pic:blipFill>
                  <pic:spPr>
                    <a:xfrm>
                      <a:off x="0" y="0"/>
                      <a:ext cx="69850" cy="69850"/>
                    </a:xfrm>
                    <a:prstGeom prst="rect">
                      <a:avLst/>
                    </a:prstGeom>
                  </pic:spPr>
                </pic:pic>
              </a:graphicData>
            </a:graphic>
          </wp:inline>
        </w:drawing>
      </w:r>
      <w:r>
        <w:rPr/>
      </w:r>
      <w:r>
        <w:rPr>
          <w:rFonts w:ascii="Times New Roman"/>
          <w:spacing w:val="40"/>
          <w:position w:val="-1"/>
        </w:rPr>
        <w:t> </w:t>
      </w:r>
      <w:r>
        <w:rPr>
          <w:rFonts w:ascii="Times New Roman"/>
          <w:spacing w:val="-1"/>
          <w:position w:val="-1"/>
        </w:rPr>
        <w:drawing>
          <wp:inline distT="0" distB="0" distL="0" distR="0">
            <wp:extent cx="101600" cy="95250"/>
            <wp:effectExtent l="0" t="0" r="0" b="0"/>
            <wp:docPr id="2119" name="Image 2119"/>
            <wp:cNvGraphicFramePr>
              <a:graphicFrameLocks/>
            </wp:cNvGraphicFramePr>
            <a:graphic>
              <a:graphicData uri="http://schemas.openxmlformats.org/drawingml/2006/picture">
                <pic:pic>
                  <pic:nvPicPr>
                    <pic:cNvPr id="2119" name="Image 2119"/>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spacing w:val="-1"/>
          <w:position w:val="-1"/>
        </w:rPr>
      </w:r>
      <w:r>
        <w:rPr>
          <w:rFonts w:ascii="Times New Roman"/>
          <w:spacing w:val="40"/>
        </w:rPr>
        <w:t> </w:t>
      </w:r>
      <w:r>
        <w:rPr>
          <w:color w:val="231F20"/>
        </w:rPr>
        <w:t>BOB123</w:t>
      </w:r>
    </w:p>
    <w:p>
      <w:pPr>
        <w:pStyle w:val="BodyText"/>
        <w:spacing w:line="213" w:lineRule="auto" w:before="8"/>
        <w:ind w:left="1087" w:right="3547" w:firstLine="668"/>
      </w:pPr>
      <w:r>
        <w:rPr>
          <w:position w:val="-1"/>
        </w:rPr>
        <w:drawing>
          <wp:inline distT="0" distB="0" distL="0" distR="0">
            <wp:extent cx="95250" cy="95250"/>
            <wp:effectExtent l="0" t="0" r="0" b="0"/>
            <wp:docPr id="2120" name="Image 2120"/>
            <wp:cNvGraphicFramePr>
              <a:graphicFrameLocks/>
            </wp:cNvGraphicFramePr>
            <a:graphic>
              <a:graphicData uri="http://schemas.openxmlformats.org/drawingml/2006/picture">
                <pic:pic>
                  <pic:nvPicPr>
                    <pic:cNvPr id="2120" name="Image 2120"/>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OS </w:t>
      </w:r>
      <w:r>
        <w:rPr>
          <w:color w:val="231F20"/>
        </w:rPr>
        <w:drawing>
          <wp:inline distT="0" distB="0" distL="0" distR="0">
            <wp:extent cx="69850" cy="69850"/>
            <wp:effectExtent l="0" t="0" r="0" b="0"/>
            <wp:docPr id="2121" name="Image 2121"/>
            <wp:cNvGraphicFramePr>
              <a:graphicFrameLocks/>
            </wp:cNvGraphicFramePr>
            <a:graphic>
              <a:graphicData uri="http://schemas.openxmlformats.org/drawingml/2006/picture">
                <pic:pic>
                  <pic:nvPicPr>
                    <pic:cNvPr id="2121" name="Image 2121"/>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2122" name="Image 2122"/>
            <wp:cNvGraphicFramePr>
              <a:graphicFrameLocks/>
            </wp:cNvGraphicFramePr>
            <a:graphic>
              <a:graphicData uri="http://schemas.openxmlformats.org/drawingml/2006/picture">
                <pic:pic>
                  <pic:nvPicPr>
                    <pic:cNvPr id="2122" name="Image 2122"/>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PAT123</w:t>
      </w:r>
    </w:p>
    <w:p>
      <w:pPr>
        <w:pStyle w:val="BodyText"/>
        <w:spacing w:line="213" w:lineRule="auto"/>
        <w:ind w:left="1054" w:right="3547" w:firstLine="701"/>
      </w:pPr>
      <w:r>
        <w:rPr>
          <w:position w:val="-1"/>
        </w:rPr>
        <w:drawing>
          <wp:inline distT="0" distB="0" distL="0" distR="0">
            <wp:extent cx="95250" cy="95250"/>
            <wp:effectExtent l="0" t="0" r="0" b="0"/>
            <wp:docPr id="2123" name="Image 2123"/>
            <wp:cNvGraphicFramePr>
              <a:graphicFrameLocks/>
            </wp:cNvGraphicFramePr>
            <a:graphic>
              <a:graphicData uri="http://schemas.openxmlformats.org/drawingml/2006/picture">
                <pic:pic>
                  <pic:nvPicPr>
                    <pic:cNvPr id="2123" name="Image 2123"/>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OS </w:t>
      </w:r>
      <w:r>
        <w:rPr>
          <w:color w:val="231F20"/>
        </w:rPr>
        <w:drawing>
          <wp:inline distT="0" distB="0" distL="0" distR="0">
            <wp:extent cx="69850" cy="69850"/>
            <wp:effectExtent l="0" t="0" r="0" b="0"/>
            <wp:docPr id="2124" name="Image 2124"/>
            <wp:cNvGraphicFramePr>
              <a:graphicFrameLocks/>
            </wp:cNvGraphicFramePr>
            <a:graphic>
              <a:graphicData uri="http://schemas.openxmlformats.org/drawingml/2006/picture">
                <pic:pic>
                  <pic:nvPicPr>
                    <pic:cNvPr id="2124" name="Image 2124"/>
                    <pic:cNvPicPr/>
                  </pic:nvPicPr>
                  <pic:blipFill>
                    <a:blip r:embed="rId91" cstate="print"/>
                    <a:stretch>
                      <a:fillRect/>
                    </a:stretch>
                  </pic:blipFill>
                  <pic:spPr>
                    <a:xfrm>
                      <a:off x="0" y="0"/>
                      <a:ext cx="69850" cy="69850"/>
                    </a:xfrm>
                    <a:prstGeom prst="rect">
                      <a:avLst/>
                    </a:prstGeom>
                  </pic:spPr>
                </pic:pic>
              </a:graphicData>
            </a:graphic>
          </wp:inline>
        </w:drawing>
      </w:r>
      <w:r>
        <w:rPr>
          <w:color w:val="231F20"/>
        </w:rPr>
      </w:r>
      <w:r>
        <w:rPr>
          <w:rFonts w:ascii="Times New Roman"/>
          <w:color w:val="231F20"/>
          <w:spacing w:val="40"/>
          <w:position w:val="-1"/>
        </w:rPr>
        <w:t> </w:t>
      </w:r>
      <w:r>
        <w:rPr>
          <w:rFonts w:ascii="Times New Roman"/>
          <w:color w:val="231F20"/>
          <w:spacing w:val="-1"/>
          <w:position w:val="-1"/>
        </w:rPr>
        <w:drawing>
          <wp:inline distT="0" distB="0" distL="0" distR="0">
            <wp:extent cx="101600" cy="95250"/>
            <wp:effectExtent l="0" t="0" r="0" b="0"/>
            <wp:docPr id="2125" name="Image 2125"/>
            <wp:cNvGraphicFramePr>
              <a:graphicFrameLocks/>
            </wp:cNvGraphicFramePr>
            <a:graphic>
              <a:graphicData uri="http://schemas.openxmlformats.org/drawingml/2006/picture">
                <pic:pic>
                  <pic:nvPicPr>
                    <pic:cNvPr id="2125" name="Image 2125"/>
                    <pic:cNvPicPr/>
                  </pic:nvPicPr>
                  <pic:blipFill>
                    <a:blip r:embed="rId82" cstate="print"/>
                    <a:stretch>
                      <a:fillRect/>
                    </a:stretch>
                  </pic:blipFill>
                  <pic:spPr>
                    <a:xfrm>
                      <a:off x="0" y="0"/>
                      <a:ext cx="101600" cy="95250"/>
                    </a:xfrm>
                    <a:prstGeom prst="rect">
                      <a:avLst/>
                    </a:prstGeom>
                  </pic:spPr>
                </pic:pic>
              </a:graphicData>
            </a:graphic>
          </wp:inline>
        </w:drawing>
      </w:r>
      <w:r>
        <w:rPr>
          <w:rFonts w:ascii="Times New Roman"/>
          <w:color w:val="231F20"/>
          <w:spacing w:val="-1"/>
          <w:position w:val="-1"/>
        </w:rPr>
      </w:r>
      <w:r>
        <w:rPr>
          <w:rFonts w:ascii="Times New Roman"/>
          <w:color w:val="231F20"/>
          <w:spacing w:val="40"/>
        </w:rPr>
        <w:t> </w:t>
      </w:r>
      <w:r>
        <w:rPr>
          <w:color w:val="231F20"/>
        </w:rPr>
        <w:t>SUE123</w:t>
      </w:r>
    </w:p>
    <w:p>
      <w:pPr>
        <w:pStyle w:val="BodyText"/>
        <w:spacing w:line="245" w:lineRule="exact"/>
        <w:ind w:left="1756"/>
      </w:pPr>
      <w:r>
        <w:rPr>
          <w:position w:val="-1"/>
        </w:rPr>
        <w:drawing>
          <wp:inline distT="0" distB="0" distL="0" distR="0">
            <wp:extent cx="95250" cy="95250"/>
            <wp:effectExtent l="0" t="0" r="0" b="0"/>
            <wp:docPr id="2126" name="Image 2126"/>
            <wp:cNvGraphicFramePr>
              <a:graphicFrameLocks/>
            </wp:cNvGraphicFramePr>
            <a:graphic>
              <a:graphicData uri="http://schemas.openxmlformats.org/drawingml/2006/picture">
                <pic:pic>
                  <pic:nvPicPr>
                    <pic:cNvPr id="2126" name="Image 2126"/>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Windows OS</w:t>
      </w:r>
    </w:p>
    <w:p>
      <w:pPr>
        <w:spacing w:after="0" w:line="245" w:lineRule="exact"/>
        <w:sectPr>
          <w:type w:val="continuous"/>
          <w:pgSz w:w="12240" w:h="15840"/>
          <w:pgMar w:header="0" w:footer="736" w:top="0" w:bottom="4660" w:left="1000" w:right="1060"/>
          <w:cols w:num="2" w:equalWidth="0">
            <w:col w:w="3347" w:space="40"/>
            <w:col w:w="6793"/>
          </w:cols>
        </w:sectPr>
      </w:pPr>
    </w:p>
    <w:p>
      <w:pPr>
        <w:pStyle w:val="BodyText"/>
        <w:spacing w:line="213" w:lineRule="auto"/>
        <w:ind w:left="2951" w:right="545"/>
      </w:pPr>
      <w:r>
        <w:rPr>
          <w:color w:val="231F20"/>
        </w:rPr>
        <w:t>The Symbols tab can be used to define symbol name/value pairs that are</w:t>
      </w:r>
      <w:r>
        <w:rPr>
          <w:color w:val="231F20"/>
          <w:spacing w:val="40"/>
        </w:rPr>
        <w:t> </w:t>
      </w:r>
      <w:r>
        <w:rPr>
          <w:color w:val="231F20"/>
        </w:rPr>
        <w:t>associated with a physical or logical navigator node. Click </w:t>
      </w:r>
      <w:r>
        <w:rPr>
          <w:rFonts w:ascii="Book Antiqua"/>
          <w:b/>
          <w:color w:val="231F20"/>
        </w:rPr>
        <w:t>Add </w:t>
      </w:r>
      <w:r>
        <w:rPr>
          <w:color w:val="231F20"/>
        </w:rPr>
        <w:t>to create </w:t>
      </w:r>
      <w:r>
        <w:rPr>
          <w:color w:val="231F20"/>
        </w:rPr>
        <w:t>a new</w:t>
      </w:r>
      <w:r>
        <w:rPr>
          <w:color w:val="231F20"/>
          <w:spacing w:val="30"/>
        </w:rPr>
        <w:t> </w:t>
      </w:r>
      <w:r>
        <w:rPr>
          <w:color w:val="231F20"/>
        </w:rPr>
        <w:t>symbol</w:t>
      </w:r>
      <w:r>
        <w:rPr>
          <w:color w:val="231F20"/>
          <w:spacing w:val="30"/>
        </w:rPr>
        <w:t> </w:t>
      </w:r>
      <w:r>
        <w:rPr>
          <w:color w:val="231F20"/>
        </w:rPr>
        <w:t>name/value</w:t>
      </w:r>
      <w:r>
        <w:rPr>
          <w:color w:val="231F20"/>
          <w:spacing w:val="30"/>
        </w:rPr>
        <w:t> </w:t>
      </w:r>
      <w:r>
        <w:rPr>
          <w:color w:val="231F20"/>
        </w:rPr>
        <w:t>pair.</w:t>
      </w:r>
      <w:r>
        <w:rPr>
          <w:color w:val="231F20"/>
          <w:spacing w:val="30"/>
        </w:rPr>
        <w:t> </w:t>
      </w:r>
      <w:r>
        <w:rPr>
          <w:color w:val="231F20"/>
        </w:rPr>
        <w:t>Select</w:t>
      </w:r>
      <w:r>
        <w:rPr>
          <w:color w:val="231F20"/>
          <w:spacing w:val="30"/>
        </w:rPr>
        <w:t> </w:t>
      </w:r>
      <w:r>
        <w:rPr>
          <w:color w:val="231F20"/>
        </w:rPr>
        <w:t>a</w:t>
      </w:r>
      <w:r>
        <w:rPr>
          <w:color w:val="231F20"/>
          <w:spacing w:val="30"/>
        </w:rPr>
        <w:t> </w:t>
      </w:r>
      <w:r>
        <w:rPr>
          <w:color w:val="231F20"/>
        </w:rPr>
        <w:t>row</w:t>
      </w:r>
      <w:r>
        <w:rPr>
          <w:color w:val="231F20"/>
          <w:spacing w:val="30"/>
        </w:rPr>
        <w:t> </w:t>
      </w:r>
      <w:r>
        <w:rPr>
          <w:color w:val="231F20"/>
        </w:rPr>
        <w:t>to</w:t>
      </w:r>
      <w:r>
        <w:rPr>
          <w:color w:val="231F20"/>
          <w:spacing w:val="30"/>
        </w:rPr>
        <w:t> </w:t>
      </w:r>
      <w:r>
        <w:rPr>
          <w:rFonts w:ascii="Book Antiqua"/>
          <w:b/>
          <w:color w:val="231F20"/>
        </w:rPr>
        <w:t>Edit</w:t>
      </w:r>
      <w:r>
        <w:rPr>
          <w:rFonts w:ascii="Book Antiqua"/>
          <w:b/>
          <w:color w:val="231F20"/>
          <w:spacing w:val="30"/>
        </w:rPr>
        <w:t> </w:t>
      </w:r>
      <w:r>
        <w:rPr>
          <w:color w:val="231F20"/>
        </w:rPr>
        <w:t>or</w:t>
      </w:r>
      <w:r>
        <w:rPr>
          <w:color w:val="231F20"/>
          <w:spacing w:val="30"/>
        </w:rPr>
        <w:t> </w:t>
      </w:r>
      <w:r>
        <w:rPr>
          <w:rFonts w:ascii="Book Antiqua"/>
          <w:b/>
          <w:color w:val="231F20"/>
        </w:rPr>
        <w:t>Remove</w:t>
      </w:r>
      <w:r>
        <w:rPr>
          <w:rFonts w:ascii="Book Antiqua"/>
          <w:b/>
          <w:color w:val="231F20"/>
          <w:spacing w:val="30"/>
        </w:rPr>
        <w:t> </w:t>
      </w:r>
      <w:r>
        <w:rPr>
          <w:color w:val="231F20"/>
        </w:rPr>
        <w:t>the</w:t>
      </w:r>
      <w:r>
        <w:rPr>
          <w:color w:val="231F20"/>
          <w:spacing w:val="30"/>
        </w:rPr>
        <w:t> </w:t>
      </w:r>
      <w:r>
        <w:rPr>
          <w:color w:val="231F20"/>
        </w:rPr>
        <w:t>pair.</w:t>
      </w:r>
    </w:p>
    <w:p>
      <w:pPr>
        <w:pStyle w:val="BodyText"/>
        <w:spacing w:line="213" w:lineRule="auto" w:before="117"/>
        <w:ind w:left="2951" w:right="545"/>
      </w:pPr>
      <w:r>
        <w:rPr>
          <w:color w:val="231F20"/>
        </w:rPr>
        <w:t>Additionally, you can define Take Action commands that reference these symbol names. When the Take Action command is issued from the</w:t>
      </w:r>
      <w:r>
        <w:rPr>
          <w:color w:val="231F20"/>
          <w:spacing w:val="80"/>
        </w:rPr>
        <w:t> </w:t>
      </w:r>
      <w:r>
        <w:rPr>
          <w:color w:val="231F20"/>
        </w:rPr>
        <w:t>navigator node, the symbol references are replaced by the values that are </w:t>
      </w:r>
      <w:r>
        <w:rPr>
          <w:color w:val="231F20"/>
          <w:position w:val="1"/>
        </w:rPr>
        <w:t>associated with the node. Use the </w:t>
      </w:r>
      <w:r>
        <w:rPr>
          <w:rFonts w:ascii="Book Antiqua"/>
          <w:b/>
          <w:color w:val="231F20"/>
          <w:position w:val="1"/>
        </w:rPr>
        <w:t>Take Action </w:t>
      </w:r>
      <w:r>
        <w:rPr>
          <w:color w:val="231F20"/>
          <w:position w:val="1"/>
        </w:rPr>
        <w:t>&gt;</w:t>
      </w:r>
      <w:r>
        <w:rPr>
          <w:color w:val="231F20"/>
          <w:spacing w:val="29"/>
          <w:position w:val="1"/>
        </w:rPr>
        <w:t> </w:t>
      </w:r>
      <w:r>
        <w:rPr>
          <w:color w:val="231F20"/>
          <w:spacing w:val="-15"/>
        </w:rPr>
        <w:drawing>
          <wp:inline distT="0" distB="0" distL="0" distR="0">
            <wp:extent cx="76200" cy="95250"/>
            <wp:effectExtent l="0" t="0" r="0" b="0"/>
            <wp:docPr id="2127" name="Image 2127"/>
            <wp:cNvGraphicFramePr>
              <a:graphicFrameLocks/>
            </wp:cNvGraphicFramePr>
            <a:graphic>
              <a:graphicData uri="http://schemas.openxmlformats.org/drawingml/2006/picture">
                <pic:pic>
                  <pic:nvPicPr>
                    <pic:cNvPr id="2127" name="Image 2127"/>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5"/>
        </w:rPr>
      </w:r>
      <w:r>
        <w:rPr>
          <w:rFonts w:ascii="Times New Roman"/>
          <w:color w:val="231F20"/>
          <w:spacing w:val="28"/>
          <w:position w:val="1"/>
        </w:rPr>
        <w:t> </w:t>
      </w:r>
      <w:r>
        <w:rPr>
          <w:rFonts w:ascii="Book Antiqua"/>
          <w:b/>
          <w:color w:val="231F20"/>
          <w:position w:val="1"/>
        </w:rPr>
        <w:t>Create or Edit </w:t>
      </w:r>
      <w:r>
        <w:rPr>
          <w:color w:val="231F20"/>
          <w:position w:val="1"/>
        </w:rPr>
        <w:t>dialog </w:t>
      </w:r>
      <w:r>
        <w:rPr>
          <w:color w:val="231F20"/>
          <w:position w:val="1"/>
        </w:rPr>
        <w:t>to </w:t>
      </w:r>
      <w:r>
        <w:rPr>
          <w:color w:val="231F20"/>
        </w:rPr>
        <w:t>define the command template, prefixing symbol name references with </w:t>
      </w:r>
      <w:r>
        <w:rPr>
          <w:rFonts w:ascii="Arial"/>
          <w:color w:val="231F20"/>
        </w:rPr>
        <w:t>&amp;</w:t>
      </w:r>
      <w:r>
        <w:rPr>
          <w:color w:val="231F20"/>
        </w:rPr>
        <w:t>.</w:t>
      </w:r>
    </w:p>
    <w:p>
      <w:pPr>
        <w:pStyle w:val="BodyText"/>
        <w:spacing w:line="213" w:lineRule="auto"/>
        <w:ind w:left="2951" w:right="385"/>
      </w:pPr>
      <w:r>
        <w:rPr>
          <w:color w:val="231F20"/>
        </w:rPr>
        <w:t>For</w:t>
      </w:r>
      <w:r>
        <w:rPr>
          <w:color w:val="231F20"/>
          <w:spacing w:val="-6"/>
        </w:rPr>
        <w:t> </w:t>
      </w:r>
      <w:r>
        <w:rPr>
          <w:color w:val="231F20"/>
        </w:rPr>
        <w:t>example,</w:t>
      </w:r>
      <w:r>
        <w:rPr>
          <w:color w:val="231F20"/>
          <w:spacing w:val="-6"/>
        </w:rPr>
        <w:t> </w:t>
      </w:r>
      <w:r>
        <w:rPr>
          <w:color w:val="231F20"/>
        </w:rPr>
        <w:t>to</w:t>
      </w:r>
      <w:r>
        <w:rPr>
          <w:color w:val="231F20"/>
          <w:spacing w:val="-6"/>
        </w:rPr>
        <w:t> </w:t>
      </w:r>
      <w:r>
        <w:rPr>
          <w:color w:val="231F20"/>
        </w:rPr>
        <w:t>reference</w:t>
      </w:r>
      <w:r>
        <w:rPr>
          <w:color w:val="231F20"/>
          <w:spacing w:val="-6"/>
        </w:rPr>
        <w:t> </w:t>
      </w:r>
      <w:r>
        <w:rPr>
          <w:color w:val="231F20"/>
        </w:rPr>
        <w:t>an</w:t>
      </w:r>
      <w:r>
        <w:rPr>
          <w:color w:val="231F20"/>
          <w:spacing w:val="-6"/>
        </w:rPr>
        <w:t> </w:t>
      </w:r>
      <w:r>
        <w:rPr>
          <w:color w:val="231F20"/>
        </w:rPr>
        <w:t>Item</w:t>
      </w:r>
      <w:r>
        <w:rPr>
          <w:color w:val="231F20"/>
          <w:spacing w:val="-7"/>
        </w:rPr>
        <w:t> </w:t>
      </w:r>
      <w:r>
        <w:rPr>
          <w:color w:val="231F20"/>
        </w:rPr>
        <w:t>Symbol</w:t>
      </w:r>
      <w:r>
        <w:rPr>
          <w:color w:val="231F20"/>
          <w:spacing w:val="-6"/>
        </w:rPr>
        <w:t> </w:t>
      </w:r>
      <w:r>
        <w:rPr>
          <w:color w:val="231F20"/>
        </w:rPr>
        <w:t>named</w:t>
      </w:r>
      <w:r>
        <w:rPr>
          <w:color w:val="231F20"/>
          <w:spacing w:val="-6"/>
        </w:rPr>
        <w:t> </w:t>
      </w:r>
      <w:r>
        <w:rPr>
          <w:rFonts w:ascii="Arial"/>
          <w:color w:val="231F20"/>
        </w:rPr>
        <w:t>aSymbol</w:t>
      </w:r>
      <w:r>
        <w:rPr>
          <w:color w:val="231F20"/>
        </w:rPr>
        <w:t>,</w:t>
      </w:r>
      <w:r>
        <w:rPr>
          <w:color w:val="231F20"/>
          <w:spacing w:val="-6"/>
        </w:rPr>
        <w:t> </w:t>
      </w:r>
      <w:r>
        <w:rPr>
          <w:color w:val="231F20"/>
        </w:rPr>
        <w:t>type</w:t>
      </w:r>
      <w:r>
        <w:rPr>
          <w:color w:val="231F20"/>
          <w:spacing w:val="-6"/>
        </w:rPr>
        <w:t> </w:t>
      </w:r>
      <w:r>
        <w:rPr>
          <w:rFonts w:ascii="Arial"/>
          <w:color w:val="231F20"/>
        </w:rPr>
        <w:t>&amp;aSymbol</w:t>
      </w:r>
      <w:r>
        <w:rPr>
          <w:rFonts w:ascii="Arial"/>
          <w:color w:val="231F20"/>
          <w:spacing w:val="-12"/>
        </w:rPr>
        <w:t> </w:t>
      </w:r>
      <w:r>
        <w:rPr>
          <w:color w:val="231F20"/>
        </w:rPr>
        <w:t>at the location in the command template where you want the substitution to </w:t>
      </w:r>
      <w:r>
        <w:rPr>
          <w:color w:val="231F20"/>
          <w:spacing w:val="-2"/>
        </w:rPr>
        <w:t>occur.</w:t>
      </w:r>
    </w:p>
    <w:p>
      <w:pPr>
        <w:pStyle w:val="BodyText"/>
        <w:spacing w:line="213" w:lineRule="auto" w:before="114"/>
        <w:ind w:left="3669" w:right="385" w:hanging="719"/>
      </w:pPr>
      <w:r>
        <w:rPr>
          <w:rFonts w:ascii="Book Antiqua"/>
          <w:b/>
          <w:color w:val="231F20"/>
        </w:rPr>
        <w:t>Name</w:t>
      </w:r>
      <w:r>
        <w:rPr>
          <w:rFonts w:ascii="Book Antiqua"/>
          <w:b/>
          <w:color w:val="231F20"/>
          <w:spacing w:val="40"/>
        </w:rPr>
        <w:t>  </w:t>
      </w:r>
      <w:r>
        <w:rPr>
          <w:color w:val="231F20"/>
        </w:rPr>
        <w:t>Specify</w:t>
      </w:r>
      <w:r>
        <w:rPr>
          <w:color w:val="231F20"/>
          <w:spacing w:val="27"/>
        </w:rPr>
        <w:t> </w:t>
      </w:r>
      <w:r>
        <w:rPr>
          <w:color w:val="231F20"/>
        </w:rPr>
        <w:t>the</w:t>
      </w:r>
      <w:r>
        <w:rPr>
          <w:color w:val="231F20"/>
          <w:spacing w:val="27"/>
        </w:rPr>
        <w:t> </w:t>
      </w:r>
      <w:r>
        <w:rPr>
          <w:color w:val="231F20"/>
        </w:rPr>
        <w:t>symbol</w:t>
      </w:r>
      <w:r>
        <w:rPr>
          <w:color w:val="231F20"/>
          <w:spacing w:val="27"/>
        </w:rPr>
        <w:t> </w:t>
      </w:r>
      <w:r>
        <w:rPr>
          <w:color w:val="231F20"/>
        </w:rPr>
        <w:t>name.</w:t>
      </w:r>
      <w:r>
        <w:rPr>
          <w:color w:val="231F20"/>
          <w:spacing w:val="27"/>
        </w:rPr>
        <w:t> </w:t>
      </w:r>
      <w:r>
        <w:rPr>
          <w:color w:val="231F20"/>
        </w:rPr>
        <w:t>The</w:t>
      </w:r>
      <w:r>
        <w:rPr>
          <w:color w:val="231F20"/>
          <w:spacing w:val="27"/>
        </w:rPr>
        <w:t> </w:t>
      </w:r>
      <w:r>
        <w:rPr>
          <w:color w:val="231F20"/>
        </w:rPr>
        <w:t>name</w:t>
      </w:r>
      <w:r>
        <w:rPr>
          <w:color w:val="231F20"/>
          <w:spacing w:val="27"/>
        </w:rPr>
        <w:t> </w:t>
      </w:r>
      <w:r>
        <w:rPr>
          <w:color w:val="231F20"/>
        </w:rPr>
        <w:t>must</w:t>
      </w:r>
      <w:r>
        <w:rPr>
          <w:color w:val="231F20"/>
          <w:spacing w:val="27"/>
        </w:rPr>
        <w:t> </w:t>
      </w:r>
      <w:r>
        <w:rPr>
          <w:color w:val="231F20"/>
        </w:rPr>
        <w:t>not</w:t>
      </w:r>
      <w:r>
        <w:rPr>
          <w:color w:val="231F20"/>
          <w:spacing w:val="27"/>
        </w:rPr>
        <w:t> </w:t>
      </w:r>
      <w:r>
        <w:rPr>
          <w:color w:val="231F20"/>
        </w:rPr>
        <w:t>include</w:t>
      </w:r>
      <w:r>
        <w:rPr>
          <w:color w:val="231F20"/>
          <w:spacing w:val="27"/>
        </w:rPr>
        <w:t> </w:t>
      </w:r>
      <w:r>
        <w:rPr>
          <w:color w:val="231F20"/>
        </w:rPr>
        <w:t>any</w:t>
      </w:r>
      <w:r>
        <w:rPr>
          <w:color w:val="231F20"/>
          <w:spacing w:val="27"/>
        </w:rPr>
        <w:t> </w:t>
      </w:r>
      <w:r>
        <w:rPr>
          <w:color w:val="231F20"/>
        </w:rPr>
        <w:t>spaces or special characters other than a period (.) and an underscore</w:t>
      </w:r>
      <w:r>
        <w:rPr>
          <w:color w:val="231F20"/>
          <w:spacing w:val="-2"/>
        </w:rPr>
        <w:t> </w:t>
      </w:r>
      <w:r>
        <w:rPr>
          <w:color w:val="231F20"/>
          <w:spacing w:val="16"/>
        </w:rPr>
        <w:t>(</w:t>
      </w:r>
      <w:r>
        <w:rPr>
          <w:color w:val="231F20"/>
          <w:spacing w:val="-2"/>
        </w:rPr>
        <w:t> </w:t>
      </w:r>
      <w:r>
        <w:rPr>
          <w:color w:val="231F20"/>
        </w:rPr>
        <w:t>_ </w:t>
      </w:r>
      <w:r>
        <w:rPr>
          <w:color w:val="231F20"/>
        </w:rPr>
        <w:t>).</w:t>
      </w:r>
    </w:p>
    <w:p>
      <w:pPr>
        <w:pStyle w:val="BodyText"/>
        <w:spacing w:line="213" w:lineRule="auto" w:before="119"/>
        <w:ind w:left="3669" w:right="545" w:hanging="719"/>
      </w:pPr>
      <w:r>
        <w:rPr>
          <w:rFonts w:ascii="Book Antiqua"/>
          <w:b/>
          <w:color w:val="231F20"/>
        </w:rPr>
        <w:t>Value</w:t>
      </w:r>
      <w:r>
        <w:rPr>
          <w:rFonts w:ascii="Book Antiqua"/>
          <w:b/>
          <w:color w:val="231F20"/>
          <w:spacing w:val="80"/>
        </w:rPr>
        <w:t> </w:t>
      </w:r>
      <w:r>
        <w:rPr>
          <w:color w:val="231F20"/>
        </w:rPr>
        <w:t>Specify the symbol value. If you want to include spaces, </w:t>
      </w:r>
      <w:r>
        <w:rPr>
          <w:color w:val="231F20"/>
        </w:rPr>
        <w:t>use enclosing quotes.</w:t>
      </w:r>
    </w:p>
    <w:p>
      <w:pPr>
        <w:spacing w:after="0" w:line="213" w:lineRule="auto"/>
        <w:sectPr>
          <w:type w:val="continuous"/>
          <w:pgSz w:w="12240" w:h="15840"/>
          <w:pgMar w:header="0" w:footer="736" w:top="0" w:bottom="4660" w:left="1000" w:right="1060"/>
        </w:sectPr>
      </w:pPr>
    </w:p>
    <w:p>
      <w:pPr>
        <w:pStyle w:val="BodyText"/>
        <w:spacing w:line="213" w:lineRule="auto" w:before="85"/>
        <w:ind w:left="3909" w:right="258"/>
      </w:pPr>
      <w:bookmarkStart w:name="_bookmark178" w:id="388"/>
      <w:bookmarkEnd w:id="388"/>
      <w:r>
        <w:rPr/>
      </w:r>
      <w:r>
        <w:rPr>
          <w:color w:val="231F20"/>
        </w:rPr>
        <w:t>Symbol values can be encoded as Link Wizard expressions that </w:t>
      </w:r>
      <w:r>
        <w:rPr>
          <w:color w:val="231F20"/>
        </w:rPr>
        <w:t>are evaluated before the value is substituted into the Take Action command. You can edit and save the value as necessary to achieve the desired result.</w:t>
      </w:r>
    </w:p>
    <w:p>
      <w:pPr>
        <w:pStyle w:val="BodyText"/>
        <w:spacing w:before="213"/>
        <w:ind w:left="3190"/>
      </w:pPr>
      <w:bookmarkStart w:name="Adding or editing a symbol" w:id="389"/>
      <w:bookmarkEnd w:id="389"/>
      <w:r>
        <w:rPr/>
      </w:r>
      <w:r>
        <w:rPr>
          <w:color w:val="231F20"/>
        </w:rPr>
        <w:t>For</w:t>
      </w:r>
      <w:r>
        <w:rPr>
          <w:color w:val="231F20"/>
          <w:spacing w:val="10"/>
        </w:rPr>
        <w:t> </w:t>
      </w:r>
      <w:r>
        <w:rPr>
          <w:color w:val="231F20"/>
        </w:rPr>
        <w:t>more</w:t>
      </w:r>
      <w:r>
        <w:rPr>
          <w:color w:val="231F20"/>
          <w:spacing w:val="11"/>
        </w:rPr>
        <w:t> </w:t>
      </w:r>
      <w:r>
        <w:rPr>
          <w:color w:val="231F20"/>
        </w:rPr>
        <w:t>information,</w:t>
      </w:r>
      <w:r>
        <w:rPr>
          <w:color w:val="231F20"/>
          <w:spacing w:val="11"/>
        </w:rPr>
        <w:t> </w:t>
      </w:r>
      <w:r>
        <w:rPr>
          <w:color w:val="231F20"/>
        </w:rPr>
        <w:t>see</w:t>
      </w:r>
      <w:r>
        <w:rPr>
          <w:color w:val="231F20"/>
          <w:spacing w:val="10"/>
        </w:rPr>
        <w:t> </w:t>
      </w:r>
      <w:hyperlink w:history="true" w:anchor="_bookmark178">
        <w:r>
          <w:rPr>
            <w:color w:val="231F20"/>
          </w:rPr>
          <w:t>“Adding</w:t>
        </w:r>
        <w:r>
          <w:rPr>
            <w:color w:val="231F20"/>
            <w:spacing w:val="11"/>
          </w:rPr>
          <w:t> </w:t>
        </w:r>
        <w:r>
          <w:rPr>
            <w:color w:val="231F20"/>
          </w:rPr>
          <w:t>or</w:t>
        </w:r>
        <w:r>
          <w:rPr>
            <w:color w:val="231F20"/>
            <w:spacing w:val="11"/>
          </w:rPr>
          <w:t> </w:t>
        </w:r>
        <w:r>
          <w:rPr>
            <w:color w:val="231F20"/>
          </w:rPr>
          <w:t>editing</w:t>
        </w:r>
        <w:r>
          <w:rPr>
            <w:color w:val="231F20"/>
            <w:spacing w:val="10"/>
          </w:rPr>
          <w:t> </w:t>
        </w:r>
        <w:r>
          <w:rPr>
            <w:color w:val="231F20"/>
          </w:rPr>
          <w:t>a</w:t>
        </w:r>
        <w:r>
          <w:rPr>
            <w:color w:val="231F20"/>
            <w:spacing w:val="11"/>
          </w:rPr>
          <w:t> </w:t>
        </w:r>
        <w:r>
          <w:rPr>
            <w:color w:val="231F20"/>
            <w:spacing w:val="-2"/>
          </w:rPr>
          <w:t>symbol.”</w:t>
        </w:r>
      </w:hyperlink>
    </w:p>
    <w:p>
      <w:pPr>
        <w:pStyle w:val="Heading4"/>
        <w:spacing w:line="273" w:lineRule="exact" w:before="159"/>
        <w:ind w:left="2472"/>
      </w:pPr>
      <w:r>
        <w:rPr>
          <w:color w:val="231F20"/>
        </w:rPr>
        <w:t>Adding</w:t>
      </w:r>
      <w:r>
        <w:rPr>
          <w:color w:val="231F20"/>
          <w:spacing w:val="8"/>
        </w:rPr>
        <w:t> </w:t>
      </w:r>
      <w:r>
        <w:rPr>
          <w:color w:val="231F20"/>
        </w:rPr>
        <w:t>or</w:t>
      </w:r>
      <w:r>
        <w:rPr>
          <w:color w:val="231F20"/>
          <w:spacing w:val="8"/>
        </w:rPr>
        <w:t> </w:t>
      </w:r>
      <w:r>
        <w:rPr>
          <w:color w:val="231F20"/>
        </w:rPr>
        <w:t>editing</w:t>
      </w:r>
      <w:r>
        <w:rPr>
          <w:color w:val="231F20"/>
          <w:spacing w:val="8"/>
        </w:rPr>
        <w:t> </w:t>
      </w:r>
      <w:r>
        <w:rPr>
          <w:color w:val="231F20"/>
        </w:rPr>
        <w:t>a</w:t>
      </w:r>
      <w:r>
        <w:rPr>
          <w:color w:val="231F20"/>
          <w:spacing w:val="8"/>
        </w:rPr>
        <w:t> </w:t>
      </w:r>
      <w:r>
        <w:rPr>
          <w:color w:val="231F20"/>
          <w:spacing w:val="-2"/>
        </w:rPr>
        <w:t>symbol</w:t>
      </w:r>
    </w:p>
    <w:p>
      <w:pPr>
        <w:pStyle w:val="BodyText"/>
        <w:spacing w:line="213" w:lineRule="auto" w:before="20"/>
        <w:ind w:left="2472" w:right="493"/>
      </w:pPr>
      <w:r>
        <w:rPr>
          <w:color w:val="231F20"/>
        </w:rPr>
        <w:t>Define symbol name/value pairs associated with a physical or logical </w:t>
      </w:r>
      <w:r>
        <w:rPr>
          <w:color w:val="231F20"/>
        </w:rPr>
        <w:t>navigator </w:t>
      </w:r>
      <w:r>
        <w:rPr>
          <w:color w:val="231F20"/>
          <w:spacing w:val="-2"/>
        </w:rPr>
        <w:t>node.</w:t>
      </w:r>
    </w:p>
    <w:p>
      <w:pPr>
        <w:pStyle w:val="BodyText"/>
        <w:spacing w:line="213" w:lineRule="auto" w:before="119"/>
        <w:ind w:left="3190" w:right="274" w:hanging="719"/>
      </w:pPr>
      <w:r>
        <w:rPr>
          <w:rFonts w:ascii="Book Antiqua"/>
          <w:b/>
          <w:color w:val="231F20"/>
        </w:rPr>
        <w:t>Name</w:t>
      </w:r>
      <w:r>
        <w:rPr>
          <w:rFonts w:ascii="Book Antiqua"/>
          <w:b/>
          <w:color w:val="231F20"/>
          <w:spacing w:val="80"/>
        </w:rPr>
        <w:t> </w:t>
      </w:r>
      <w:r>
        <w:rPr>
          <w:color w:val="231F20"/>
        </w:rPr>
        <w:t>Specify the symbol name. The name must not include any spaces or </w:t>
      </w:r>
      <w:r>
        <w:rPr>
          <w:color w:val="231F20"/>
        </w:rPr>
        <w:t>special</w:t>
      </w:r>
      <w:r>
        <w:rPr>
          <w:color w:val="231F20"/>
          <w:spacing w:val="40"/>
        </w:rPr>
        <w:t> </w:t>
      </w:r>
      <w:r>
        <w:rPr>
          <w:color w:val="231F20"/>
        </w:rPr>
        <w:t>characters other than a period (.) and an underscore </w:t>
      </w:r>
      <w:r>
        <w:rPr>
          <w:color w:val="231F20"/>
          <w:spacing w:val="16"/>
        </w:rPr>
        <w:t>(</w:t>
      </w:r>
      <w:r>
        <w:rPr>
          <w:color w:val="231F20"/>
          <w:spacing w:val="11"/>
        </w:rPr>
        <w:t> </w:t>
      </w:r>
      <w:r>
        <w:rPr>
          <w:color w:val="231F20"/>
        </w:rPr>
        <w:t>_ ).</w:t>
      </w:r>
    </w:p>
    <w:p>
      <w:pPr>
        <w:pStyle w:val="BodyText"/>
        <w:spacing w:line="213" w:lineRule="auto" w:before="118"/>
        <w:ind w:left="3190" w:right="545" w:hanging="719"/>
      </w:pPr>
      <w:r>
        <w:rPr>
          <w:rFonts w:ascii="Book Antiqua"/>
          <w:b/>
          <w:color w:val="231F20"/>
        </w:rPr>
        <w:t>Value</w:t>
      </w:r>
      <w:r>
        <w:rPr>
          <w:rFonts w:ascii="Book Antiqua"/>
          <w:b/>
          <w:color w:val="231F20"/>
          <w:spacing w:val="80"/>
        </w:rPr>
        <w:t> </w:t>
      </w:r>
      <w:r>
        <w:rPr>
          <w:color w:val="231F20"/>
        </w:rPr>
        <w:t>Specify the symbol value. If you want to include spaces, use enclosing </w:t>
      </w:r>
      <w:r>
        <w:rPr>
          <w:color w:val="231F20"/>
          <w:spacing w:val="-2"/>
        </w:rPr>
        <w:t>quotes.</w:t>
      </w:r>
    </w:p>
    <w:p>
      <w:pPr>
        <w:pStyle w:val="BodyText"/>
        <w:spacing w:line="213" w:lineRule="auto" w:before="118"/>
        <w:ind w:left="3190" w:right="385"/>
      </w:pPr>
      <w:r>
        <w:rPr>
          <w:color w:val="231F20"/>
        </w:rPr>
        <w:t>Symbol values can be encoded as Link Wizard expressions that are evaluated before the value is substituted into the Take Action command. You can edit and save the value as necessary to achieve the desired result.</w:t>
      </w:r>
    </w:p>
    <w:p>
      <w:pPr>
        <w:pStyle w:val="BodyText"/>
        <w:spacing w:line="213" w:lineRule="auto" w:before="238"/>
        <w:ind w:left="2472" w:right="255"/>
      </w:pPr>
      <w:r>
        <w:rPr>
          <w:color w:val="231F20"/>
        </w:rPr>
        <w:t>The easiest way to compose a value expression is to launch the Link Wizard from the</w:t>
      </w:r>
      <w:r>
        <w:rPr>
          <w:color w:val="231F20"/>
          <w:spacing w:val="25"/>
        </w:rPr>
        <w:t> </w:t>
      </w:r>
      <w:r>
        <w:rPr>
          <w:color w:val="231F20"/>
        </w:rPr>
        <w:t>node.</w:t>
      </w:r>
      <w:r>
        <w:rPr>
          <w:color w:val="231F20"/>
          <w:spacing w:val="25"/>
        </w:rPr>
        <w:t> </w:t>
      </w:r>
      <w:r>
        <w:rPr>
          <w:color w:val="231F20"/>
        </w:rPr>
        <w:t>To</w:t>
      </w:r>
      <w:r>
        <w:rPr>
          <w:color w:val="231F20"/>
          <w:spacing w:val="25"/>
        </w:rPr>
        <w:t> </w:t>
      </w:r>
      <w:r>
        <w:rPr>
          <w:color w:val="231F20"/>
        </w:rPr>
        <w:t>open</w:t>
      </w:r>
      <w:r>
        <w:rPr>
          <w:color w:val="231F20"/>
          <w:spacing w:val="25"/>
        </w:rPr>
        <w:t> </w:t>
      </w:r>
      <w:r>
        <w:rPr>
          <w:color w:val="231F20"/>
        </w:rPr>
        <w:t>the</w:t>
      </w:r>
      <w:r>
        <w:rPr>
          <w:color w:val="231F20"/>
          <w:spacing w:val="25"/>
        </w:rPr>
        <w:t> </w:t>
      </w:r>
      <w:r>
        <w:rPr>
          <w:color w:val="231F20"/>
        </w:rPr>
        <w:t>Expression</w:t>
      </w:r>
      <w:r>
        <w:rPr>
          <w:color w:val="231F20"/>
          <w:spacing w:val="25"/>
        </w:rPr>
        <w:t> </w:t>
      </w:r>
      <w:r>
        <w:rPr>
          <w:color w:val="231F20"/>
        </w:rPr>
        <w:t>Editor</w:t>
      </w:r>
      <w:r>
        <w:rPr>
          <w:color w:val="231F20"/>
          <w:spacing w:val="25"/>
        </w:rPr>
        <w:t> </w:t>
      </w:r>
      <w:r>
        <w:rPr>
          <w:color w:val="231F20"/>
        </w:rPr>
        <w:t>dialog,</w:t>
      </w:r>
      <w:r>
        <w:rPr>
          <w:color w:val="231F20"/>
          <w:spacing w:val="25"/>
        </w:rPr>
        <w:t> </w:t>
      </w:r>
      <w:r>
        <w:rPr>
          <w:color w:val="231F20"/>
        </w:rPr>
        <w:t>create</w:t>
      </w:r>
      <w:r>
        <w:rPr>
          <w:color w:val="231F20"/>
          <w:spacing w:val="25"/>
        </w:rPr>
        <w:t> </w:t>
      </w:r>
      <w:r>
        <w:rPr>
          <w:color w:val="231F20"/>
        </w:rPr>
        <w:t>a</w:t>
      </w:r>
      <w:r>
        <w:rPr>
          <w:color w:val="231F20"/>
          <w:spacing w:val="25"/>
        </w:rPr>
        <w:t> </w:t>
      </w:r>
      <w:r>
        <w:rPr>
          <w:color w:val="231F20"/>
        </w:rPr>
        <w:t>dummy</w:t>
      </w:r>
      <w:r>
        <w:rPr>
          <w:color w:val="231F20"/>
          <w:spacing w:val="25"/>
        </w:rPr>
        <w:t> </w:t>
      </w:r>
      <w:r>
        <w:rPr>
          <w:color w:val="231F20"/>
        </w:rPr>
        <w:t>dynamic</w:t>
      </w:r>
      <w:r>
        <w:rPr>
          <w:color w:val="231F20"/>
          <w:spacing w:val="25"/>
        </w:rPr>
        <w:t> </w:t>
      </w:r>
      <w:r>
        <w:rPr>
          <w:color w:val="231F20"/>
        </w:rPr>
        <w:t>link, then navigate to the Target Filters page, and then select any of the Expression cells and</w:t>
      </w:r>
      <w:r>
        <w:rPr>
          <w:color w:val="231F20"/>
          <w:spacing w:val="26"/>
        </w:rPr>
        <w:t> </w:t>
      </w:r>
      <w:r>
        <w:rPr>
          <w:color w:val="231F20"/>
        </w:rPr>
        <w:t>click</w:t>
      </w:r>
      <w:r>
        <w:rPr>
          <w:color w:val="231F20"/>
          <w:spacing w:val="26"/>
        </w:rPr>
        <w:t> </w:t>
      </w:r>
      <w:r>
        <w:rPr>
          <w:rFonts w:ascii="Book Antiqua"/>
          <w:b/>
          <w:color w:val="231F20"/>
        </w:rPr>
        <w:t>Modify</w:t>
      </w:r>
      <w:r>
        <w:rPr>
          <w:rFonts w:ascii="Book Antiqua"/>
          <w:b/>
          <w:color w:val="231F20"/>
          <w:spacing w:val="26"/>
        </w:rPr>
        <w:t> </w:t>
      </w:r>
      <w:r>
        <w:rPr>
          <w:rFonts w:ascii="Book Antiqua"/>
          <w:b/>
          <w:color w:val="231F20"/>
        </w:rPr>
        <w:t>Expression</w:t>
      </w:r>
      <w:r>
        <w:rPr>
          <w:color w:val="231F20"/>
        </w:rPr>
        <w:t>.</w:t>
      </w:r>
      <w:r>
        <w:rPr>
          <w:color w:val="231F20"/>
          <w:spacing w:val="26"/>
        </w:rPr>
        <w:t> </w:t>
      </w:r>
      <w:r>
        <w:rPr>
          <w:color w:val="231F20"/>
        </w:rPr>
        <w:t>Use</w:t>
      </w:r>
      <w:r>
        <w:rPr>
          <w:color w:val="231F20"/>
          <w:spacing w:val="26"/>
        </w:rPr>
        <w:t> </w:t>
      </w:r>
      <w:r>
        <w:rPr>
          <w:color w:val="231F20"/>
        </w:rPr>
        <w:t>the</w:t>
      </w:r>
      <w:r>
        <w:rPr>
          <w:color w:val="231F20"/>
          <w:spacing w:val="26"/>
        </w:rPr>
        <w:t> </w:t>
      </w:r>
      <w:r>
        <w:rPr>
          <w:color w:val="231F20"/>
        </w:rPr>
        <w:t>features</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dialog</w:t>
      </w:r>
      <w:r>
        <w:rPr>
          <w:color w:val="231F20"/>
          <w:spacing w:val="26"/>
        </w:rPr>
        <w:t> </w:t>
      </w:r>
      <w:r>
        <w:rPr>
          <w:color w:val="231F20"/>
        </w:rPr>
        <w:t>to</w:t>
      </w:r>
      <w:r>
        <w:rPr>
          <w:color w:val="231F20"/>
          <w:spacing w:val="26"/>
        </w:rPr>
        <w:t> </w:t>
      </w:r>
      <w:r>
        <w:rPr>
          <w:color w:val="231F20"/>
        </w:rPr>
        <w:t>compose</w:t>
      </w:r>
      <w:r>
        <w:rPr>
          <w:color w:val="231F20"/>
          <w:spacing w:val="26"/>
        </w:rPr>
        <w:t> </w:t>
      </w:r>
      <w:r>
        <w:rPr>
          <w:color w:val="231F20"/>
        </w:rPr>
        <w:t>and</w:t>
      </w:r>
      <w:r>
        <w:rPr>
          <w:color w:val="231F20"/>
          <w:spacing w:val="26"/>
        </w:rPr>
        <w:t> </w:t>
      </w:r>
      <w:r>
        <w:rPr>
          <w:color w:val="231F20"/>
        </w:rPr>
        <w:t>test the expression. When the expression works as desired, copy it to the clipboard, cancel the Link Wizard, then open the navigator item Properties dialog and paste</w:t>
      </w:r>
      <w:r>
        <w:rPr>
          <w:color w:val="231F20"/>
          <w:spacing w:val="40"/>
        </w:rPr>
        <w:t> </w:t>
      </w:r>
      <w:r>
        <w:rPr>
          <w:color w:val="231F20"/>
        </w:rPr>
        <w:t>the expression into the Item Symbol </w:t>
      </w:r>
      <w:r>
        <w:rPr>
          <w:rFonts w:ascii="Book Antiqua"/>
          <w:b/>
          <w:color w:val="231F20"/>
        </w:rPr>
        <w:t>Value </w:t>
      </w:r>
      <w:r>
        <w:rPr>
          <w:color w:val="231F20"/>
        </w:rPr>
        <w:t>field.</w:t>
      </w:r>
    </w:p>
    <w:p>
      <w:pPr>
        <w:pStyle w:val="BodyText"/>
        <w:spacing w:line="213" w:lineRule="auto" w:before="235"/>
        <w:ind w:left="2472" w:right="266"/>
      </w:pPr>
      <w:r>
        <w:rPr>
          <w:color w:val="231F20"/>
        </w:rPr>
        <w:t>After you enter the symbol name/value pair, the pair is evaluated. If the pair is</w:t>
      </w:r>
      <w:r>
        <w:rPr>
          <w:color w:val="231F20"/>
          <w:spacing w:val="80"/>
        </w:rPr>
        <w:t> </w:t>
      </w:r>
      <w:r>
        <w:rPr>
          <w:color w:val="231F20"/>
        </w:rPr>
        <w:t>valid,</w:t>
      </w:r>
      <w:r>
        <w:rPr>
          <w:color w:val="231F20"/>
          <w:spacing w:val="13"/>
        </w:rPr>
        <w:t> </w:t>
      </w:r>
      <w:r>
        <w:rPr>
          <w:color w:val="231F20"/>
        </w:rPr>
        <w:t>you</w:t>
      </w:r>
      <w:r>
        <w:rPr>
          <w:color w:val="231F20"/>
          <w:spacing w:val="13"/>
        </w:rPr>
        <w:t> </w:t>
      </w:r>
      <w:r>
        <w:rPr>
          <w:color w:val="231F20"/>
        </w:rPr>
        <w:t>are</w:t>
      </w:r>
      <w:r>
        <w:rPr>
          <w:color w:val="231F20"/>
          <w:spacing w:val="13"/>
        </w:rPr>
        <w:t> </w:t>
      </w:r>
      <w:r>
        <w:rPr>
          <w:color w:val="231F20"/>
        </w:rPr>
        <w:t>prompted</w:t>
      </w:r>
      <w:r>
        <w:rPr>
          <w:color w:val="231F20"/>
          <w:spacing w:val="13"/>
        </w:rPr>
        <w:t> </w:t>
      </w:r>
      <w:r>
        <w:rPr>
          <w:color w:val="231F20"/>
        </w:rPr>
        <w:t>to</w:t>
      </w:r>
      <w:r>
        <w:rPr>
          <w:color w:val="231F20"/>
          <w:spacing w:val="13"/>
        </w:rPr>
        <w:t> </w:t>
      </w:r>
      <w:r>
        <w:rPr>
          <w:color w:val="231F20"/>
        </w:rPr>
        <w:t>click</w:t>
      </w:r>
      <w:r>
        <w:rPr>
          <w:color w:val="231F20"/>
          <w:spacing w:val="13"/>
        </w:rPr>
        <w:t> </w:t>
      </w:r>
      <w:r>
        <w:rPr>
          <w:rFonts w:ascii="Book Antiqua"/>
          <w:b/>
          <w:color w:val="231F20"/>
        </w:rPr>
        <w:t>OK</w:t>
      </w:r>
      <w:r>
        <w:rPr>
          <w:color w:val="231F20"/>
        </w:rPr>
        <w:t>.</w:t>
      </w:r>
      <w:r>
        <w:rPr>
          <w:color w:val="231F20"/>
          <w:spacing w:val="13"/>
        </w:rPr>
        <w:t> </w:t>
      </w:r>
      <w:r>
        <w:rPr>
          <w:color w:val="231F20"/>
        </w:rPr>
        <w:t>If</w:t>
      </w:r>
      <w:r>
        <w:rPr>
          <w:color w:val="231F20"/>
          <w:spacing w:val="13"/>
        </w:rPr>
        <w:t> </w:t>
      </w:r>
      <w:r>
        <w:rPr>
          <w:color w:val="231F20"/>
        </w:rPr>
        <w:t>the</w:t>
      </w:r>
      <w:r>
        <w:rPr>
          <w:color w:val="231F20"/>
          <w:spacing w:val="13"/>
        </w:rPr>
        <w:t> </w:t>
      </w:r>
      <w:r>
        <w:rPr>
          <w:color w:val="231F20"/>
        </w:rPr>
        <w:t>pair</w:t>
      </w:r>
      <w:r>
        <w:rPr>
          <w:color w:val="231F20"/>
          <w:spacing w:val="13"/>
        </w:rPr>
        <w:t> </w:t>
      </w:r>
      <w:r>
        <w:rPr>
          <w:color w:val="231F20"/>
        </w:rPr>
        <w:t>is</w:t>
      </w:r>
      <w:r>
        <w:rPr>
          <w:color w:val="231F20"/>
          <w:spacing w:val="13"/>
        </w:rPr>
        <w:t> </w:t>
      </w:r>
      <w:r>
        <w:rPr>
          <w:color w:val="231F20"/>
        </w:rPr>
        <w:t>not</w:t>
      </w:r>
      <w:r>
        <w:rPr>
          <w:color w:val="231F20"/>
          <w:spacing w:val="13"/>
        </w:rPr>
        <w:t> </w:t>
      </w:r>
      <w:r>
        <w:rPr>
          <w:color w:val="231F20"/>
        </w:rPr>
        <w:t>valid,</w:t>
      </w:r>
      <w:r>
        <w:rPr>
          <w:color w:val="231F20"/>
          <w:spacing w:val="13"/>
        </w:rPr>
        <w:t> </w:t>
      </w:r>
      <w:r>
        <w:rPr>
          <w:color w:val="231F20"/>
        </w:rPr>
        <w:t>a</w:t>
      </w:r>
      <w:r>
        <w:rPr>
          <w:color w:val="231F20"/>
          <w:spacing w:val="13"/>
        </w:rPr>
        <w:t> </w:t>
      </w:r>
      <w:r>
        <w:rPr>
          <w:color w:val="231F20"/>
        </w:rPr>
        <w:t>Syntax</w:t>
      </w:r>
      <w:r>
        <w:rPr>
          <w:color w:val="231F20"/>
          <w:spacing w:val="13"/>
        </w:rPr>
        <w:t> </w:t>
      </w:r>
      <w:r>
        <w:rPr>
          <w:color w:val="231F20"/>
        </w:rPr>
        <w:t>Error</w:t>
      </w:r>
      <w:r>
        <w:rPr>
          <w:color w:val="231F20"/>
          <w:spacing w:val="13"/>
        </w:rPr>
        <w:t> </w:t>
      </w:r>
      <w:r>
        <w:rPr>
          <w:color w:val="231F20"/>
        </w:rPr>
        <w:t>dialog is displayed, the title of the dialog indicates whether the name or value is in error, click </w:t>
      </w:r>
      <w:r>
        <w:rPr>
          <w:rFonts w:ascii="Book Antiqua"/>
          <w:b/>
          <w:color w:val="231F20"/>
        </w:rPr>
        <w:t>OK </w:t>
      </w:r>
      <w:r>
        <w:rPr>
          <w:color w:val="231F20"/>
        </w:rPr>
        <w:t>and correct the name or value.</w:t>
      </w:r>
    </w:p>
    <w:p>
      <w:pPr>
        <w:pStyle w:val="Heading6"/>
        <w:spacing w:line="240" w:lineRule="auto" w:before="115"/>
      </w:pPr>
      <w:r>
        <w:rPr>
          <w:color w:val="231F20"/>
          <w:spacing w:val="-2"/>
        </w:rPr>
        <w:t>Examples</w:t>
      </w:r>
    </w:p>
    <w:p>
      <w:pPr>
        <w:pStyle w:val="BodyText"/>
        <w:spacing w:line="213" w:lineRule="auto" w:before="60"/>
        <w:ind w:left="3190" w:right="5535"/>
        <w:jc w:val="center"/>
      </w:pPr>
      <w:r>
        <w:rPr>
          <w:rFonts w:ascii="Futura MdCn BT"/>
          <w:color w:val="231F20"/>
        </w:rPr>
        <w:t>v</w:t>
      </w:r>
      <w:r>
        <w:rPr>
          <w:rFonts w:ascii="Futura MdCn BT"/>
          <w:color w:val="231F20"/>
          <w:spacing w:val="80"/>
        </w:rPr>
        <w:t> </w:t>
      </w:r>
      <w:r>
        <w:rPr>
          <w:color w:val="231F20"/>
        </w:rPr>
        <w:t>Name: </w:t>
      </w:r>
      <w:r>
        <w:rPr>
          <w:color w:val="231F20"/>
        </w:rPr>
        <w:t>IMSID</w:t>
      </w:r>
      <w:r>
        <w:rPr>
          <w:color w:val="231F20"/>
        </w:rPr>
        <w:t> Value: IB1H</w:t>
      </w:r>
    </w:p>
    <w:p>
      <w:pPr>
        <w:pStyle w:val="BodyText"/>
        <w:spacing w:before="35"/>
        <w:ind w:left="3406"/>
      </w:pPr>
      <w:r>
        <w:rPr>
          <w:color w:val="231F20"/>
        </w:rPr>
        <w:t>This</w:t>
      </w:r>
      <w:r>
        <w:rPr>
          <w:color w:val="231F20"/>
          <w:spacing w:val="10"/>
        </w:rPr>
        <w:t> </w:t>
      </w:r>
      <w:r>
        <w:rPr>
          <w:color w:val="231F20"/>
        </w:rPr>
        <w:t>value</w:t>
      </w:r>
      <w:r>
        <w:rPr>
          <w:color w:val="231F20"/>
          <w:spacing w:val="11"/>
        </w:rPr>
        <w:t> </w:t>
      </w:r>
      <w:r>
        <w:rPr>
          <w:color w:val="231F20"/>
        </w:rPr>
        <w:t>resolves</w:t>
      </w:r>
      <w:r>
        <w:rPr>
          <w:color w:val="231F20"/>
          <w:spacing w:val="10"/>
        </w:rPr>
        <w:t> </w:t>
      </w:r>
      <w:r>
        <w:rPr>
          <w:color w:val="231F20"/>
        </w:rPr>
        <w:t>to</w:t>
      </w:r>
      <w:r>
        <w:rPr>
          <w:color w:val="231F20"/>
          <w:spacing w:val="11"/>
        </w:rPr>
        <w:t> </w:t>
      </w:r>
      <w:r>
        <w:rPr>
          <w:color w:val="231F20"/>
          <w:spacing w:val="-4"/>
        </w:rPr>
        <w:t>IB1H.</w:t>
      </w:r>
    </w:p>
    <w:p>
      <w:pPr>
        <w:pStyle w:val="BodyText"/>
        <w:spacing w:line="255" w:lineRule="exact" w:before="30"/>
        <w:ind w:left="3190"/>
      </w:pPr>
      <w:r>
        <w:rPr>
          <w:rFonts w:ascii="Futura MdCn BT"/>
          <w:color w:val="231F20"/>
        </w:rPr>
        <w:t>v</w:t>
      </w:r>
      <w:r>
        <w:rPr>
          <w:rFonts w:ascii="Futura MdCn BT"/>
          <w:color w:val="231F20"/>
          <w:spacing w:val="33"/>
        </w:rPr>
        <w:t>  </w:t>
      </w:r>
      <w:r>
        <w:rPr>
          <w:color w:val="231F20"/>
        </w:rPr>
        <w:t>Name:</w:t>
      </w:r>
      <w:r>
        <w:rPr>
          <w:color w:val="231F20"/>
          <w:spacing w:val="15"/>
        </w:rPr>
        <w:t> </w:t>
      </w:r>
      <w:r>
        <w:rPr>
          <w:color w:val="231F20"/>
          <w:spacing w:val="-2"/>
        </w:rPr>
        <w:t>IMSID.STA</w:t>
      </w:r>
    </w:p>
    <w:p>
      <w:pPr>
        <w:pStyle w:val="BodyText"/>
        <w:spacing w:line="255" w:lineRule="exact"/>
        <w:ind w:left="3406"/>
      </w:pPr>
      <w:r>
        <w:rPr>
          <w:color w:val="231F20"/>
        </w:rPr>
        <w:t>Value:</w:t>
      </w:r>
      <w:r>
        <w:rPr>
          <w:color w:val="231F20"/>
          <w:spacing w:val="6"/>
        </w:rPr>
        <w:t> </w:t>
      </w:r>
      <w:r>
        <w:rPr>
          <w:color w:val="231F20"/>
        </w:rPr>
        <w:t>TOKEN($NODE$,":",2)</w:t>
      </w:r>
      <w:r>
        <w:rPr>
          <w:color w:val="231F20"/>
          <w:spacing w:val="6"/>
        </w:rPr>
        <w:t> </w:t>
      </w:r>
      <w:r>
        <w:rPr>
          <w:color w:val="231F20"/>
        </w:rPr>
        <w:t>+</w:t>
      </w:r>
      <w:r>
        <w:rPr>
          <w:color w:val="231F20"/>
          <w:spacing w:val="6"/>
        </w:rPr>
        <w:t> </w:t>
      </w:r>
      <w:r>
        <w:rPr>
          <w:color w:val="231F20"/>
          <w:spacing w:val="-4"/>
        </w:rPr>
        <w:t>"STA"</w:t>
      </w:r>
    </w:p>
    <w:p>
      <w:pPr>
        <w:pStyle w:val="BodyText"/>
        <w:spacing w:line="213" w:lineRule="auto" w:before="52"/>
        <w:ind w:left="3406" w:right="258"/>
      </w:pPr>
      <w:r>
        <w:rPr>
          <w:color w:val="231F20"/>
        </w:rPr>
        <w:t>This value resolves to </w:t>
      </w:r>
      <w:r>
        <w:rPr>
          <w:rFonts w:ascii="Book Antiqua"/>
          <w:i/>
          <w:color w:val="231F20"/>
        </w:rPr>
        <w:t>xxxx</w:t>
      </w:r>
      <w:r>
        <w:rPr>
          <w:color w:val="231F20"/>
        </w:rPr>
        <w:t>STA, where </w:t>
      </w:r>
      <w:r>
        <w:rPr>
          <w:rFonts w:ascii="Book Antiqua"/>
          <w:i/>
          <w:color w:val="231F20"/>
        </w:rPr>
        <w:t>xxxx </w:t>
      </w:r>
      <w:r>
        <w:rPr>
          <w:color w:val="231F20"/>
        </w:rPr>
        <w:t>is the second token from a node name value that is extracted from the execution context and </w:t>
      </w:r>
      <w:r>
        <w:rPr>
          <w:color w:val="231F20"/>
        </w:rPr>
        <w:t>having </w:t>
      </w:r>
      <w:bookmarkStart w:name="Assigned member options" w:id="390"/>
      <w:bookmarkEnd w:id="390"/>
      <w:r>
        <w:rPr>
          <w:color w:val="231F20"/>
        </w:rPr>
        <w:t>the</w:t>
      </w:r>
      <w:r>
        <w:rPr>
          <w:color w:val="231F20"/>
        </w:rPr>
        <w:t> format aaa:</w:t>
      </w:r>
      <w:r>
        <w:rPr>
          <w:rFonts w:ascii="Book Antiqua"/>
          <w:i/>
          <w:color w:val="231F20"/>
        </w:rPr>
        <w:t>xxxx</w:t>
      </w:r>
      <w:r>
        <w:rPr>
          <w:color w:val="231F20"/>
        </w:rPr>
        <w:t>:bbb.</w:t>
      </w:r>
    </w:p>
    <w:p>
      <w:pPr>
        <w:pStyle w:val="Heading3"/>
        <w:spacing w:before="217"/>
        <w:ind w:left="1574"/>
      </w:pPr>
      <w:r>
        <w:rPr>
          <w:color w:val="231F20"/>
        </w:rPr>
        <w:t>Assigned</w:t>
      </w:r>
      <w:r>
        <w:rPr>
          <w:color w:val="231F20"/>
          <w:spacing w:val="3"/>
        </w:rPr>
        <w:t> </w:t>
      </w:r>
      <w:r>
        <w:rPr>
          <w:color w:val="231F20"/>
        </w:rPr>
        <w:t>member</w:t>
      </w:r>
      <w:r>
        <w:rPr>
          <w:color w:val="231F20"/>
          <w:spacing w:val="3"/>
        </w:rPr>
        <w:t> </w:t>
      </w:r>
      <w:r>
        <w:rPr>
          <w:color w:val="231F20"/>
          <w:spacing w:val="-2"/>
        </w:rPr>
        <w:t>options</w:t>
      </w:r>
    </w:p>
    <w:p>
      <w:pPr>
        <w:spacing w:line="213" w:lineRule="auto" w:before="58"/>
        <w:ind w:left="2472" w:right="493" w:firstLine="0"/>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128" name="Image 2128"/>
            <wp:cNvGraphicFramePr>
              <a:graphicFrameLocks/>
            </wp:cNvGraphicFramePr>
            <a:graphic>
              <a:graphicData uri="http://schemas.openxmlformats.org/drawingml/2006/picture">
                <pic:pic>
                  <pic:nvPicPr>
                    <pic:cNvPr id="2128" name="Image 2128"/>
                    <pic:cNvPicPr/>
                  </pic:nvPicPr>
                  <pic:blipFill>
                    <a:blip r:embed="rId28"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Options </w:t>
      </w:r>
      <w:r>
        <w:rPr>
          <w:color w:val="231F20"/>
          <w:sz w:val="20"/>
        </w:rPr>
        <w:t>in the </w:t>
      </w:r>
      <w:r>
        <w:rPr>
          <w:rFonts w:ascii="Book Antiqua"/>
          <w:b/>
          <w:color w:val="231F20"/>
          <w:sz w:val="20"/>
        </w:rPr>
        <w:t>Assigned Members </w:t>
      </w:r>
      <w:r>
        <w:rPr>
          <w:color w:val="231F20"/>
          <w:sz w:val="20"/>
        </w:rPr>
        <w:t>area of the custom </w:t>
      </w:r>
      <w:r>
        <w:rPr>
          <w:rFonts w:ascii="Book Antiqua"/>
          <w:b/>
          <w:color w:val="231F20"/>
          <w:sz w:val="20"/>
        </w:rPr>
        <w:t>Navigator item properties </w:t>
      </w:r>
      <w:r>
        <w:rPr>
          <w:color w:val="231F20"/>
          <w:sz w:val="20"/>
        </w:rPr>
        <w:t>to determine how the branch is populated.</w:t>
      </w:r>
    </w:p>
    <w:p>
      <w:pPr>
        <w:pStyle w:val="BodyText"/>
        <w:spacing w:before="215"/>
        <w:ind w:left="2472"/>
      </w:pPr>
      <w:r>
        <w:rPr>
          <w:color w:val="231F20"/>
        </w:rPr>
        <w:t>All</w:t>
      </w:r>
      <w:r>
        <w:rPr>
          <w:color w:val="231F20"/>
          <w:spacing w:val="10"/>
        </w:rPr>
        <w:t> </w:t>
      </w:r>
      <w:r>
        <w:rPr>
          <w:color w:val="231F20"/>
        </w:rPr>
        <w:t>options</w:t>
      </w:r>
      <w:r>
        <w:rPr>
          <w:color w:val="231F20"/>
          <w:spacing w:val="11"/>
        </w:rPr>
        <w:t> </w:t>
      </w:r>
      <w:r>
        <w:rPr>
          <w:color w:val="231F20"/>
        </w:rPr>
        <w:t>are</w:t>
      </w:r>
      <w:r>
        <w:rPr>
          <w:color w:val="231F20"/>
          <w:spacing w:val="11"/>
        </w:rPr>
        <w:t> </w:t>
      </w:r>
      <w:r>
        <w:rPr>
          <w:color w:val="231F20"/>
        </w:rPr>
        <w:t>enabled</w:t>
      </w:r>
      <w:r>
        <w:rPr>
          <w:color w:val="231F20"/>
          <w:spacing w:val="11"/>
        </w:rPr>
        <w:t> </w:t>
      </w:r>
      <w:r>
        <w:rPr>
          <w:color w:val="231F20"/>
        </w:rPr>
        <w:t>by</w:t>
      </w:r>
      <w:r>
        <w:rPr>
          <w:color w:val="231F20"/>
          <w:spacing w:val="11"/>
        </w:rPr>
        <w:t> </w:t>
      </w:r>
      <w:r>
        <w:rPr>
          <w:color w:val="231F20"/>
          <w:spacing w:val="-2"/>
        </w:rPr>
        <w:t>default.</w:t>
      </w:r>
    </w:p>
    <w:p>
      <w:pPr>
        <w:pStyle w:val="Heading6"/>
        <w:spacing w:line="227" w:lineRule="exact" w:before="116"/>
      </w:pPr>
      <w:r>
        <w:rPr>
          <w:b w:val="0"/>
        </w:rPr>
        <w:drawing>
          <wp:inline distT="0" distB="0" distL="0" distR="0">
            <wp:extent cx="82550" cy="82550"/>
            <wp:effectExtent l="0" t="0" r="0" b="0"/>
            <wp:docPr id="2129" name="Image 2129"/>
            <wp:cNvGraphicFramePr>
              <a:graphicFrameLocks/>
            </wp:cNvGraphicFramePr>
            <a:graphic>
              <a:graphicData uri="http://schemas.openxmlformats.org/drawingml/2006/picture">
                <pic:pic>
                  <pic:nvPicPr>
                    <pic:cNvPr id="2129" name="Image 2129"/>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Add</w:t>
      </w:r>
      <w:r>
        <w:rPr>
          <w:color w:val="231F20"/>
          <w:spacing w:val="20"/>
        </w:rPr>
        <w:t> </w:t>
      </w:r>
      <w:r>
        <w:rPr>
          <w:color w:val="231F20"/>
        </w:rPr>
        <w:t>branch-level</w:t>
      </w:r>
      <w:r>
        <w:rPr>
          <w:color w:val="231F20"/>
          <w:spacing w:val="20"/>
        </w:rPr>
        <w:t> </w:t>
      </w:r>
      <w:r>
        <w:rPr>
          <w:color w:val="231F20"/>
        </w:rPr>
        <w:t>items</w:t>
      </w:r>
      <w:r>
        <w:rPr>
          <w:color w:val="231F20"/>
          <w:spacing w:val="20"/>
        </w:rPr>
        <w:t> </w:t>
      </w:r>
      <w:r>
        <w:rPr>
          <w:color w:val="231F20"/>
        </w:rPr>
        <w:t>using</w:t>
      </w:r>
      <w:r>
        <w:rPr>
          <w:color w:val="231F20"/>
          <w:spacing w:val="20"/>
        </w:rPr>
        <w:t> </w:t>
      </w:r>
      <w:r>
        <w:rPr>
          <w:color w:val="231F20"/>
        </w:rPr>
        <w:t>managed</w:t>
      </w:r>
      <w:r>
        <w:rPr>
          <w:color w:val="231F20"/>
          <w:spacing w:val="20"/>
        </w:rPr>
        <w:t> </w:t>
      </w:r>
      <w:r>
        <w:rPr>
          <w:color w:val="231F20"/>
        </w:rPr>
        <w:t>system</w:t>
      </w:r>
      <w:r>
        <w:rPr>
          <w:color w:val="231F20"/>
          <w:spacing w:val="20"/>
        </w:rPr>
        <w:t> </w:t>
      </w:r>
      <w:r>
        <w:rPr>
          <w:color w:val="231F20"/>
        </w:rPr>
        <w:t>group</w:t>
      </w:r>
      <w:r>
        <w:rPr>
          <w:color w:val="231F20"/>
          <w:spacing w:val="20"/>
        </w:rPr>
        <w:t> </w:t>
      </w:r>
      <w:r>
        <w:rPr>
          <w:color w:val="231F20"/>
        </w:rPr>
        <w:t>names</w:t>
      </w:r>
    </w:p>
    <w:p>
      <w:pPr>
        <w:pStyle w:val="BodyText"/>
        <w:spacing w:line="213" w:lineRule="auto" w:before="9"/>
        <w:ind w:left="3190" w:right="493"/>
      </w:pPr>
      <w:r>
        <w:rPr>
          <w:color w:val="231F20"/>
        </w:rPr>
        <w:t>Add the branch items directly below the current item using the </w:t>
      </w:r>
      <w:r>
        <w:rPr>
          <w:color w:val="231F20"/>
        </w:rPr>
        <w:t>managed system group name as the branch item label.</w:t>
      </w:r>
    </w:p>
    <w:p>
      <w:pPr>
        <w:pStyle w:val="BodyText"/>
        <w:spacing w:line="213" w:lineRule="auto" w:before="119"/>
        <w:ind w:left="3190" w:right="545" w:hanging="1"/>
      </w:pPr>
      <w:r>
        <w:rPr>
          <w:color w:val="231F20"/>
        </w:rPr>
        <w:t>In example 1, </w:t>
      </w:r>
      <w:r>
        <w:rPr>
          <w:color w:val="231F20"/>
          <w:spacing w:val="-24"/>
          <w:position w:val="-1"/>
        </w:rPr>
        <w:drawing>
          <wp:inline distT="0" distB="0" distL="0" distR="0">
            <wp:extent cx="88900" cy="88900"/>
            <wp:effectExtent l="0" t="0" r="0" b="0"/>
            <wp:docPr id="2130" name="Image 2130"/>
            <wp:cNvGraphicFramePr>
              <a:graphicFrameLocks/>
            </wp:cNvGraphicFramePr>
            <a:graphic>
              <a:graphicData uri="http://schemas.openxmlformats.org/drawingml/2006/picture">
                <pic:pic>
                  <pic:nvPicPr>
                    <pic:cNvPr id="2130" name="Image 2130"/>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Georgia group </w:t>
      </w:r>
      <w:r>
        <w:rPr>
          <w:color w:val="231F20"/>
        </w:rPr>
        <w:t>is the managed system group </w:t>
      </w:r>
      <w:r>
        <w:rPr>
          <w:color w:val="231F20"/>
        </w:rPr>
        <w:t>name, which is absent when this option is disabled in example 2.</w:t>
      </w:r>
    </w:p>
    <w:p>
      <w:pPr>
        <w:spacing w:after="0" w:line="213" w:lineRule="auto"/>
        <w:sectPr>
          <w:pgSz w:w="12240" w:h="15840"/>
          <w:pgMar w:header="0" w:footer="736" w:top="1180" w:bottom="920" w:left="1000" w:right="1060"/>
        </w:sectPr>
      </w:pPr>
    </w:p>
    <w:p>
      <w:pPr>
        <w:pStyle w:val="Heading6"/>
        <w:spacing w:line="227" w:lineRule="exact" w:before="88"/>
        <w:ind w:left="2232"/>
      </w:pPr>
      <w:r>
        <w:rPr>
          <w:b w:val="0"/>
        </w:rPr>
        <w:drawing>
          <wp:inline distT="0" distB="0" distL="0" distR="0">
            <wp:extent cx="82550" cy="82550"/>
            <wp:effectExtent l="0" t="0" r="0" b="0"/>
            <wp:docPr id="2131" name="Image 2131"/>
            <wp:cNvGraphicFramePr>
              <a:graphicFrameLocks/>
            </wp:cNvGraphicFramePr>
            <a:graphic>
              <a:graphicData uri="http://schemas.openxmlformats.org/drawingml/2006/picture">
                <pic:pic>
                  <pic:nvPicPr>
                    <pic:cNvPr id="2131" name="Image 2131"/>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Include</w:t>
      </w:r>
      <w:r>
        <w:rPr>
          <w:color w:val="231F20"/>
          <w:spacing w:val="23"/>
        </w:rPr>
        <w:t> </w:t>
      </w:r>
      <w:r>
        <w:rPr>
          <w:color w:val="231F20"/>
        </w:rPr>
        <w:t>attribute-level</w:t>
      </w:r>
      <w:r>
        <w:rPr>
          <w:color w:val="231F20"/>
          <w:spacing w:val="23"/>
        </w:rPr>
        <w:t> </w:t>
      </w:r>
      <w:r>
        <w:rPr>
          <w:color w:val="231F20"/>
        </w:rPr>
        <w:t>items</w:t>
      </w:r>
      <w:r>
        <w:rPr>
          <w:color w:val="231F20"/>
          <w:spacing w:val="23"/>
        </w:rPr>
        <w:t> </w:t>
      </w:r>
      <w:r>
        <w:rPr>
          <w:color w:val="231F20"/>
        </w:rPr>
        <w:t>of</w:t>
      </w:r>
      <w:r>
        <w:rPr>
          <w:color w:val="231F20"/>
          <w:spacing w:val="23"/>
        </w:rPr>
        <w:t> </w:t>
      </w:r>
      <w:r>
        <w:rPr>
          <w:color w:val="231F20"/>
        </w:rPr>
        <w:t>managed</w:t>
      </w:r>
      <w:r>
        <w:rPr>
          <w:color w:val="231F20"/>
          <w:spacing w:val="23"/>
        </w:rPr>
        <w:t> </w:t>
      </w:r>
      <w:r>
        <w:rPr>
          <w:color w:val="231F20"/>
        </w:rPr>
        <w:t>systems</w:t>
      </w:r>
    </w:p>
    <w:p>
      <w:pPr>
        <w:pStyle w:val="BodyText"/>
        <w:spacing w:line="213" w:lineRule="auto" w:before="9"/>
        <w:ind w:left="2951" w:right="545"/>
      </w:pPr>
      <w:r>
        <w:rPr>
          <w:color w:val="231F20"/>
        </w:rPr>
        <w:t>Show the attribute-level child items of this Navigator item. These items </w:t>
      </w:r>
      <w:r>
        <w:rPr>
          <w:color w:val="231F20"/>
        </w:rPr>
        <w:t>are shared with the items found in the Navigator Physical view at the </w:t>
      </w:r>
      <w:r>
        <w:rPr>
          <w:color w:val="231F20"/>
          <w:spacing w:val="-25"/>
          <w:position w:val="-1"/>
        </w:rPr>
        <w:drawing>
          <wp:inline distT="0" distB="0" distL="0" distR="0">
            <wp:extent cx="88900" cy="101600"/>
            <wp:effectExtent l="0" t="0" r="0" b="0"/>
            <wp:docPr id="2132" name="Image 2132"/>
            <wp:cNvGraphicFramePr>
              <a:graphicFrameLocks/>
            </wp:cNvGraphicFramePr>
            <a:graphic>
              <a:graphicData uri="http://schemas.openxmlformats.org/drawingml/2006/picture">
                <pic:pic>
                  <pic:nvPicPr>
                    <pic:cNvPr id="2132" name="Image 213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rPr>
      </w:r>
      <w:r>
        <w:rPr>
          <w:rFonts w:ascii="Times New Roman"/>
          <w:color w:val="231F20"/>
          <w:position w:val="-1"/>
        </w:rPr>
        <w:t> </w:t>
      </w:r>
      <w:r>
        <w:rPr>
          <w:color w:val="231F20"/>
        </w:rPr>
        <w:t>Attribute level.</w:t>
      </w:r>
    </w:p>
    <w:p>
      <w:pPr>
        <w:pStyle w:val="BodyText"/>
        <w:spacing w:line="213" w:lineRule="auto" w:before="118"/>
        <w:ind w:left="2951" w:right="535"/>
        <w:jc w:val="both"/>
      </w:pPr>
      <w:r>
        <w:rPr>
          <w:color w:val="231F20"/>
        </w:rPr>
        <w:t>In example 2, </w:t>
      </w:r>
      <w:r>
        <w:rPr>
          <w:color w:val="231F20"/>
          <w:spacing w:val="-24"/>
          <w:position w:val="-1"/>
        </w:rPr>
        <w:drawing>
          <wp:inline distT="0" distB="0" distL="0" distR="0">
            <wp:extent cx="88900" cy="101600"/>
            <wp:effectExtent l="0" t="0" r="0" b="0"/>
            <wp:docPr id="2133" name="Image 2133"/>
            <wp:cNvGraphicFramePr>
              <a:graphicFrameLocks/>
            </wp:cNvGraphicFramePr>
            <a:graphic>
              <a:graphicData uri="http://schemas.openxmlformats.org/drawingml/2006/picture">
                <pic:pic>
                  <pic:nvPicPr>
                    <pic:cNvPr id="2133" name="Image 2133"/>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40"/>
        </w:rPr>
        <w:t> </w:t>
      </w:r>
      <w:r>
        <w:rPr>
          <w:rFonts w:ascii="Book Antiqua"/>
          <w:b/>
          <w:color w:val="231F20"/>
        </w:rPr>
        <w:t>Disk</w:t>
      </w:r>
      <w:r>
        <w:rPr>
          <w:color w:val="231F20"/>
        </w:rPr>
        <w:t>, </w:t>
      </w:r>
      <w:r>
        <w:rPr>
          <w:color w:val="231F20"/>
          <w:spacing w:val="-24"/>
          <w:position w:val="-1"/>
        </w:rPr>
        <w:drawing>
          <wp:inline distT="0" distB="0" distL="0" distR="0">
            <wp:extent cx="88900" cy="101600"/>
            <wp:effectExtent l="0" t="0" r="0" b="0"/>
            <wp:docPr id="2134" name="Image 2134"/>
            <wp:cNvGraphicFramePr>
              <a:graphicFrameLocks/>
            </wp:cNvGraphicFramePr>
            <a:graphic>
              <a:graphicData uri="http://schemas.openxmlformats.org/drawingml/2006/picture">
                <pic:pic>
                  <pic:nvPicPr>
                    <pic:cNvPr id="2134" name="Image 213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40"/>
        </w:rPr>
        <w:t> </w:t>
      </w:r>
      <w:r>
        <w:rPr>
          <w:rFonts w:ascii="Book Antiqua"/>
          <w:b/>
          <w:color w:val="231F20"/>
        </w:rPr>
        <w:t>Memory</w:t>
      </w:r>
      <w:r>
        <w:rPr>
          <w:color w:val="231F20"/>
        </w:rPr>
        <w:t>, and the other attribute level items </w:t>
      </w:r>
      <w:r>
        <w:rPr>
          <w:color w:val="231F20"/>
        </w:rPr>
        <w:t>are present. These items are absent when this option is disabled, as shown in example 3.</w:t>
      </w:r>
    </w:p>
    <w:p>
      <w:pPr>
        <w:pStyle w:val="Heading6"/>
        <w:spacing w:line="227" w:lineRule="exact" w:before="121"/>
        <w:ind w:left="2232"/>
      </w:pPr>
      <w:r>
        <w:rPr>
          <w:b w:val="0"/>
        </w:rPr>
        <w:drawing>
          <wp:inline distT="0" distB="0" distL="0" distR="0">
            <wp:extent cx="82550" cy="82550"/>
            <wp:effectExtent l="0" t="0" r="0" b="0"/>
            <wp:docPr id="2135" name="Image 2135"/>
            <wp:cNvGraphicFramePr>
              <a:graphicFrameLocks/>
            </wp:cNvGraphicFramePr>
            <a:graphic>
              <a:graphicData uri="http://schemas.openxmlformats.org/drawingml/2006/picture">
                <pic:pic>
                  <pic:nvPicPr>
                    <pic:cNvPr id="2135" name="Image 2135"/>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Include</w:t>
      </w:r>
      <w:r>
        <w:rPr>
          <w:color w:val="231F20"/>
          <w:spacing w:val="21"/>
        </w:rPr>
        <w:t> </w:t>
      </w:r>
      <w:r>
        <w:rPr>
          <w:color w:val="231F20"/>
        </w:rPr>
        <w:t>host-level</w:t>
      </w:r>
      <w:r>
        <w:rPr>
          <w:color w:val="231F20"/>
          <w:spacing w:val="21"/>
        </w:rPr>
        <w:t> </w:t>
      </w:r>
      <w:r>
        <w:rPr>
          <w:color w:val="231F20"/>
        </w:rPr>
        <w:t>items</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managed</w:t>
      </w:r>
      <w:r>
        <w:rPr>
          <w:color w:val="231F20"/>
          <w:spacing w:val="21"/>
        </w:rPr>
        <w:t> </w:t>
      </w:r>
      <w:r>
        <w:rPr>
          <w:color w:val="231F20"/>
        </w:rPr>
        <w:t>systems</w:t>
      </w:r>
    </w:p>
    <w:p>
      <w:pPr>
        <w:pStyle w:val="BodyText"/>
        <w:spacing w:line="213" w:lineRule="auto" w:before="9"/>
        <w:ind w:left="2951" w:right="658"/>
        <w:jc w:val="both"/>
      </w:pPr>
      <w:r>
        <w:rPr>
          <w:color w:val="231F20"/>
        </w:rPr>
        <w:t>Include directly below the current item the unique </w:t>
      </w:r>
      <w:r>
        <w:rPr>
          <w:color w:val="231F20"/>
          <w:spacing w:val="15"/>
          <w:position w:val="-1"/>
        </w:rPr>
        <w:drawing>
          <wp:inline distT="0" distB="0" distL="0" distR="0">
            <wp:extent cx="101600" cy="95250"/>
            <wp:effectExtent l="0" t="0" r="0" b="0"/>
            <wp:docPr id="2136" name="Image 2136"/>
            <wp:cNvGraphicFramePr>
              <a:graphicFrameLocks/>
            </wp:cNvGraphicFramePr>
            <a:graphic>
              <a:graphicData uri="http://schemas.openxmlformats.org/drawingml/2006/picture">
                <pic:pic>
                  <pic:nvPicPr>
                    <pic:cNvPr id="2136" name="Image 2136"/>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System-level items (computer or node) that are associated with the managed systems being attached to the custom Navigator view.</w:t>
      </w:r>
    </w:p>
    <w:p>
      <w:pPr>
        <w:pStyle w:val="BodyText"/>
        <w:spacing w:line="213" w:lineRule="auto" w:before="118"/>
        <w:ind w:left="2951" w:right="544"/>
      </w:pPr>
      <w:r>
        <w:rPr>
          <w:color w:val="231F20"/>
        </w:rPr>
        <w:t>In</w:t>
      </w:r>
      <w:r>
        <w:rPr>
          <w:color w:val="231F20"/>
          <w:spacing w:val="28"/>
        </w:rPr>
        <w:t> </w:t>
      </w:r>
      <w:r>
        <w:rPr>
          <w:color w:val="231F20"/>
        </w:rPr>
        <w:t>example</w:t>
      </w:r>
      <w:r>
        <w:rPr>
          <w:color w:val="231F20"/>
          <w:spacing w:val="28"/>
        </w:rPr>
        <w:t> </w:t>
      </w:r>
      <w:r>
        <w:rPr>
          <w:color w:val="231F20"/>
        </w:rPr>
        <w:t>3,</w:t>
      </w:r>
      <w:r>
        <w:rPr>
          <w:color w:val="231F20"/>
          <w:spacing w:val="16"/>
        </w:rPr>
        <w:t> </w:t>
      </w:r>
      <w:r>
        <w:rPr>
          <w:color w:val="231F20"/>
          <w:spacing w:val="16"/>
          <w:position w:val="-1"/>
        </w:rPr>
        <w:drawing>
          <wp:inline distT="0" distB="0" distL="0" distR="0">
            <wp:extent cx="101600" cy="95250"/>
            <wp:effectExtent l="0" t="0" r="0" b="0"/>
            <wp:docPr id="2137" name="Image 2137"/>
            <wp:cNvGraphicFramePr>
              <a:graphicFrameLocks/>
            </wp:cNvGraphicFramePr>
            <a:graphic>
              <a:graphicData uri="http://schemas.openxmlformats.org/drawingml/2006/picture">
                <pic:pic>
                  <pic:nvPicPr>
                    <pic:cNvPr id="2137" name="Image 2137"/>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ATL-INTEL-X86-1</w:t>
      </w:r>
      <w:r>
        <w:rPr>
          <w:rFonts w:ascii="Book Antiqua"/>
          <w:b/>
          <w:color w:val="231F20"/>
          <w:spacing w:val="28"/>
        </w:rPr>
        <w:t> </w:t>
      </w:r>
      <w:r>
        <w:rPr>
          <w:color w:val="231F20"/>
        </w:rPr>
        <w:t>(Atlanta</w:t>
      </w:r>
      <w:r>
        <w:rPr>
          <w:color w:val="231F20"/>
          <w:spacing w:val="28"/>
        </w:rPr>
        <w:t> </w:t>
      </w:r>
      <w:r>
        <w:rPr>
          <w:color w:val="231F20"/>
        </w:rPr>
        <w:t>Intel</w:t>
      </w:r>
      <w:r>
        <w:rPr>
          <w:color w:val="231F20"/>
          <w:spacing w:val="28"/>
        </w:rPr>
        <w:t> </w:t>
      </w:r>
      <w:r>
        <w:rPr>
          <w:color w:val="231F20"/>
        </w:rPr>
        <w:t>X86</w:t>
      </w:r>
      <w:r>
        <w:rPr>
          <w:color w:val="231F20"/>
          <w:spacing w:val="28"/>
        </w:rPr>
        <w:t> </w:t>
      </w:r>
      <w:r>
        <w:rPr>
          <w:color w:val="231F20"/>
        </w:rPr>
        <w:t>computer)</w:t>
      </w:r>
      <w:r>
        <w:rPr>
          <w:color w:val="231F20"/>
          <w:spacing w:val="28"/>
        </w:rPr>
        <w:t> </w:t>
      </w:r>
      <w:r>
        <w:rPr>
          <w:color w:val="231F20"/>
        </w:rPr>
        <w:t>is</w:t>
      </w:r>
      <w:r>
        <w:rPr>
          <w:color w:val="231F20"/>
          <w:spacing w:val="28"/>
        </w:rPr>
        <w:t> </w:t>
      </w:r>
      <w:r>
        <w:rPr>
          <w:color w:val="231F20"/>
        </w:rPr>
        <w:t>a node-level Navigator item, which is absent in example 4 when this </w:t>
      </w:r>
      <w:r>
        <w:rPr>
          <w:color w:val="231F20"/>
        </w:rPr>
        <w:t>option</w:t>
      </w:r>
      <w:r>
        <w:rPr>
          <w:color w:val="231F20"/>
          <w:spacing w:val="40"/>
        </w:rPr>
        <w:t> </w:t>
      </w:r>
      <w:r>
        <w:rPr>
          <w:color w:val="231F20"/>
        </w:rPr>
        <w:t>is disabled.</w:t>
      </w:r>
    </w:p>
    <w:p>
      <w:pPr>
        <w:pStyle w:val="BodyText"/>
        <w:spacing w:before="214"/>
        <w:ind w:left="2232"/>
      </w:pPr>
      <w:r>
        <w:rPr>
          <w:color w:val="231F20"/>
          <w:spacing w:val="-2"/>
        </w:rPr>
        <w:t>Examples:</w:t>
      </w:r>
    </w:p>
    <w:p>
      <w:pPr>
        <w:pStyle w:val="Heading6"/>
        <w:numPr>
          <w:ilvl w:val="0"/>
          <w:numId w:val="113"/>
        </w:numPr>
        <w:tabs>
          <w:tab w:pos="2447" w:val="left" w:leader="none"/>
        </w:tabs>
        <w:spacing w:line="232" w:lineRule="exact" w:before="112" w:after="0"/>
        <w:ind w:left="2447" w:right="0" w:hanging="215"/>
        <w:jc w:val="left"/>
      </w:pPr>
      <w:r>
        <w:rPr>
          <w:color w:val="231F20"/>
        </w:rPr>
        <w:t>All</w:t>
      </w:r>
      <w:r>
        <w:rPr>
          <w:color w:val="231F20"/>
          <w:spacing w:val="11"/>
        </w:rPr>
        <w:t> </w:t>
      </w:r>
      <w:r>
        <w:rPr>
          <w:color w:val="231F20"/>
        </w:rPr>
        <w:t>options</w:t>
      </w:r>
      <w:r>
        <w:rPr>
          <w:color w:val="231F20"/>
          <w:spacing w:val="11"/>
        </w:rPr>
        <w:t> </w:t>
      </w:r>
      <w:r>
        <w:rPr>
          <w:color w:val="231F20"/>
          <w:spacing w:val="-2"/>
        </w:rPr>
        <w:t>selected</w:t>
      </w:r>
    </w:p>
    <w:p>
      <w:pPr>
        <w:pStyle w:val="BodyText"/>
        <w:spacing w:line="213" w:lineRule="auto" w:before="13"/>
        <w:ind w:left="2951" w:right="1504"/>
      </w:pPr>
      <w:r>
        <w:rPr/>
        <w:drawing>
          <wp:inline distT="0" distB="0" distL="0" distR="0">
            <wp:extent cx="82550" cy="82550"/>
            <wp:effectExtent l="0" t="0" r="0" b="0"/>
            <wp:docPr id="2138" name="Image 2138"/>
            <wp:cNvGraphicFramePr>
              <a:graphicFrameLocks/>
            </wp:cNvGraphicFramePr>
            <a:graphic>
              <a:graphicData uri="http://schemas.openxmlformats.org/drawingml/2006/picture">
                <pic:pic>
                  <pic:nvPicPr>
                    <pic:cNvPr id="2138" name="Image 2138"/>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color w:val="231F20"/>
        </w:rPr>
        <w:t>Add branch-level items using managed system group </w:t>
      </w:r>
      <w:r>
        <w:rPr>
          <w:color w:val="231F20"/>
        </w:rPr>
        <w:t>names </w:t>
      </w:r>
      <w:r>
        <w:rPr>
          <w:color w:val="231F20"/>
        </w:rPr>
        <w:drawing>
          <wp:inline distT="0" distB="0" distL="0" distR="0">
            <wp:extent cx="82550" cy="82550"/>
            <wp:effectExtent l="0" t="0" r="0" b="0"/>
            <wp:docPr id="2139" name="Image 2139"/>
            <wp:cNvGraphicFramePr>
              <a:graphicFrameLocks/>
            </wp:cNvGraphicFramePr>
            <a:graphic>
              <a:graphicData uri="http://schemas.openxmlformats.org/drawingml/2006/picture">
                <pic:pic>
                  <pic:nvPicPr>
                    <pic:cNvPr id="2139" name="Image 213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rPr>
      </w:r>
      <w:r>
        <w:rPr>
          <w:rFonts w:ascii="Times New Roman"/>
          <w:color w:val="231F20"/>
          <w:spacing w:val="40"/>
        </w:rPr>
        <w:t> </w:t>
      </w:r>
      <w:r>
        <w:rPr>
          <w:color w:val="231F20"/>
        </w:rPr>
        <w:t>Include attribute-level items of managed systems</w:t>
      </w:r>
    </w:p>
    <w:p>
      <w:pPr>
        <w:pStyle w:val="BodyText"/>
        <w:spacing w:line="245" w:lineRule="exact"/>
        <w:ind w:left="2951"/>
      </w:pPr>
      <w:r>
        <w:rPr/>
        <w:drawing>
          <wp:inline distT="0" distB="0" distL="0" distR="0">
            <wp:extent cx="82550" cy="82550"/>
            <wp:effectExtent l="0" t="0" r="0" b="0"/>
            <wp:docPr id="2140" name="Image 2140"/>
            <wp:cNvGraphicFramePr>
              <a:graphicFrameLocks/>
            </wp:cNvGraphicFramePr>
            <a:graphic>
              <a:graphicData uri="http://schemas.openxmlformats.org/drawingml/2006/picture">
                <pic:pic>
                  <pic:nvPicPr>
                    <pic:cNvPr id="2140" name="Image 2140"/>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color w:val="231F20"/>
        </w:rPr>
        <w:t>Include</w:t>
      </w:r>
      <w:r>
        <w:rPr>
          <w:color w:val="231F20"/>
          <w:spacing w:val="21"/>
        </w:rPr>
        <w:t> </w:t>
      </w:r>
      <w:r>
        <w:rPr>
          <w:color w:val="231F20"/>
        </w:rPr>
        <w:t>host-level</w:t>
      </w:r>
      <w:r>
        <w:rPr>
          <w:color w:val="231F20"/>
          <w:spacing w:val="21"/>
        </w:rPr>
        <w:t> </w:t>
      </w:r>
      <w:r>
        <w:rPr>
          <w:color w:val="231F20"/>
        </w:rPr>
        <w:t>items</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managed</w:t>
      </w:r>
      <w:r>
        <w:rPr>
          <w:color w:val="231F20"/>
          <w:spacing w:val="21"/>
        </w:rPr>
        <w:t> </w:t>
      </w:r>
      <w:r>
        <w:rPr>
          <w:color w:val="231F20"/>
        </w:rPr>
        <w:t>systems</w:t>
      </w:r>
    </w:p>
    <w:p>
      <w:pPr>
        <w:spacing w:line="240" w:lineRule="exact" w:before="107"/>
        <w:ind w:left="0" w:right="3145" w:firstLine="0"/>
        <w:jc w:val="center"/>
        <w:rPr>
          <w:rFonts w:ascii="Book Antiqua"/>
          <w:b/>
          <w:sz w:val="20"/>
        </w:rPr>
      </w:pPr>
      <w:r>
        <w:rPr>
          <w:position w:val="-1"/>
        </w:rPr>
        <w:drawing>
          <wp:inline distT="0" distB="0" distL="0" distR="0">
            <wp:extent cx="101600" cy="95250"/>
            <wp:effectExtent l="0" t="0" r="0" b="0"/>
            <wp:docPr id="2141" name="Image 2141"/>
            <wp:cNvGraphicFramePr>
              <a:graphicFrameLocks/>
            </wp:cNvGraphicFramePr>
            <a:graphic>
              <a:graphicData uri="http://schemas.openxmlformats.org/drawingml/2006/picture">
                <pic:pic>
                  <pic:nvPicPr>
                    <pic:cNvPr id="2141" name="Image 214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Shipping</w:t>
      </w:r>
    </w:p>
    <w:p>
      <w:pPr>
        <w:spacing w:line="239" w:lineRule="exact" w:before="0"/>
        <w:ind w:left="0" w:right="1604" w:firstLine="0"/>
        <w:jc w:val="center"/>
        <w:rPr>
          <w:rFonts w:ascii="Book Antiqua"/>
          <w:b/>
          <w:sz w:val="20"/>
        </w:rPr>
      </w:pPr>
      <w:r>
        <w:rPr>
          <w:position w:val="-1"/>
        </w:rPr>
        <w:drawing>
          <wp:inline distT="0" distB="0" distL="0" distR="0">
            <wp:extent cx="101600" cy="95250"/>
            <wp:effectExtent l="0" t="0" r="0" b="0"/>
            <wp:docPr id="2142" name="Image 2142"/>
            <wp:cNvGraphicFramePr>
              <a:graphicFrameLocks/>
            </wp:cNvGraphicFramePr>
            <a:graphic>
              <a:graphicData uri="http://schemas.openxmlformats.org/drawingml/2006/picture">
                <pic:pic>
                  <pic:nvPicPr>
                    <pic:cNvPr id="2142" name="Image 2142"/>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Eastern Region</w:t>
      </w:r>
    </w:p>
    <w:p>
      <w:pPr>
        <w:spacing w:line="239" w:lineRule="exact" w:before="0"/>
        <w:ind w:left="0" w:right="718" w:firstLine="0"/>
        <w:jc w:val="center"/>
        <w:rPr>
          <w:rFonts w:ascii="Book Antiqua"/>
          <w:b/>
          <w:sz w:val="20"/>
        </w:rPr>
      </w:pPr>
      <w:r>
        <w:rPr>
          <w:position w:val="-1"/>
        </w:rPr>
        <w:drawing>
          <wp:inline distT="0" distB="0" distL="0" distR="0">
            <wp:extent cx="88900" cy="88900"/>
            <wp:effectExtent l="0" t="0" r="0" b="0"/>
            <wp:docPr id="2143" name="Image 2143"/>
            <wp:cNvGraphicFramePr>
              <a:graphicFrameLocks/>
            </wp:cNvGraphicFramePr>
            <a:graphic>
              <a:graphicData uri="http://schemas.openxmlformats.org/drawingml/2006/picture">
                <pic:pic>
                  <pic:nvPicPr>
                    <pic:cNvPr id="2143" name="Image 2143"/>
                    <pic:cNvPicPr/>
                  </pic:nvPicPr>
                  <pic:blipFill>
                    <a:blip r:embed="rId355" cstate="print"/>
                    <a:stretch>
                      <a:fillRect/>
                    </a:stretch>
                  </pic:blipFill>
                  <pic:spPr>
                    <a:xfrm>
                      <a:off x="0" y="0"/>
                      <a:ext cx="88900" cy="88900"/>
                    </a:xfrm>
                    <a:prstGeom prst="rect">
                      <a:avLst/>
                    </a:prstGeom>
                  </pic:spPr>
                </pic:pic>
              </a:graphicData>
            </a:graphic>
          </wp:inline>
        </w:drawing>
      </w:r>
      <w:r>
        <w:rPr>
          <w:position w:val="-1"/>
        </w:rPr>
      </w:r>
      <w:r>
        <w:rPr>
          <w:rFonts w:ascii="Times New Roman"/>
          <w:spacing w:val="80"/>
          <w:sz w:val="20"/>
        </w:rPr>
        <w:t> </w:t>
      </w:r>
      <w:r>
        <w:rPr>
          <w:rFonts w:ascii="Book Antiqua"/>
          <w:b/>
          <w:color w:val="231F20"/>
          <w:sz w:val="20"/>
        </w:rPr>
        <w:t>Georgia group</w:t>
      </w:r>
    </w:p>
    <w:p>
      <w:pPr>
        <w:spacing w:line="239" w:lineRule="exact" w:before="0"/>
        <w:ind w:left="902" w:right="0" w:firstLine="0"/>
        <w:jc w:val="center"/>
        <w:rPr>
          <w:rFonts w:ascii="Book Antiqua"/>
          <w:b/>
          <w:sz w:val="20"/>
        </w:rPr>
      </w:pPr>
      <w:r>
        <w:rPr>
          <w:position w:val="-1"/>
        </w:rPr>
        <w:drawing>
          <wp:inline distT="0" distB="0" distL="0" distR="0">
            <wp:extent cx="101600" cy="95250"/>
            <wp:effectExtent l="0" t="0" r="0" b="0"/>
            <wp:docPr id="2144" name="Image 2144"/>
            <wp:cNvGraphicFramePr>
              <a:graphicFrameLocks/>
            </wp:cNvGraphicFramePr>
            <a:graphic>
              <a:graphicData uri="http://schemas.openxmlformats.org/drawingml/2006/picture">
                <pic:pic>
                  <pic:nvPicPr>
                    <pic:cNvPr id="2144" name="Image 2144"/>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80"/>
          <w:sz w:val="20"/>
        </w:rPr>
        <w:t> </w:t>
      </w:r>
      <w:r>
        <w:rPr>
          <w:rFonts w:ascii="Book Antiqua"/>
          <w:b/>
          <w:color w:val="231F20"/>
          <w:spacing w:val="-4"/>
          <w:sz w:val="20"/>
        </w:rPr>
        <w:t>ATL-INTEL-X86-1</w:t>
      </w:r>
    </w:p>
    <w:p>
      <w:pPr>
        <w:spacing w:before="0"/>
        <w:ind w:left="5259" w:right="3369" w:firstLine="0"/>
        <w:jc w:val="center"/>
        <w:rPr>
          <w:rFonts w:ascii="Book Antiqua"/>
          <w:b/>
          <w:sz w:val="20"/>
        </w:rPr>
      </w:pPr>
      <w:r>
        <w:rPr>
          <w:position w:val="-1"/>
        </w:rPr>
        <w:drawing>
          <wp:inline distT="0" distB="0" distL="0" distR="0">
            <wp:extent cx="95250" cy="95250"/>
            <wp:effectExtent l="0" t="0" r="0" b="0"/>
            <wp:docPr id="2145" name="Image 2145"/>
            <wp:cNvGraphicFramePr>
              <a:graphicFrameLocks/>
            </wp:cNvGraphicFramePr>
            <a:graphic>
              <a:graphicData uri="http://schemas.openxmlformats.org/drawingml/2006/picture">
                <pic:pic>
                  <pic:nvPicPr>
                    <pic:cNvPr id="2145" name="Image 2145"/>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6"/>
          <w:sz w:val="20"/>
        </w:rPr>
        <w:t> </w:t>
      </w:r>
      <w:r>
        <w:rPr>
          <w:rFonts w:ascii="Book Antiqua"/>
          <w:b/>
          <w:color w:val="231F20"/>
          <w:sz w:val="20"/>
        </w:rPr>
        <w:t>Windows</w:t>
      </w:r>
      <w:r>
        <w:rPr>
          <w:rFonts w:ascii="Book Antiqua"/>
          <w:b/>
          <w:color w:val="231F20"/>
          <w:spacing w:val="-1"/>
          <w:sz w:val="20"/>
        </w:rPr>
        <w:t> </w:t>
      </w:r>
      <w:r>
        <w:rPr>
          <w:rFonts w:ascii="Book Antiqua"/>
          <w:b/>
          <w:color w:val="231F20"/>
          <w:sz w:val="20"/>
        </w:rPr>
        <w:t>OS </w:t>
      </w:r>
      <w:r>
        <w:rPr>
          <w:rFonts w:ascii="Book Antiqua"/>
          <w:b/>
          <w:color w:val="231F20"/>
          <w:position w:val="-1"/>
          <w:sz w:val="20"/>
        </w:rPr>
        <w:drawing>
          <wp:inline distT="0" distB="0" distL="0" distR="0">
            <wp:extent cx="88900" cy="101600"/>
            <wp:effectExtent l="0" t="0" r="0" b="0"/>
            <wp:docPr id="2146" name="Image 2146"/>
            <wp:cNvGraphicFramePr>
              <a:graphicFrameLocks/>
            </wp:cNvGraphicFramePr>
            <a:graphic>
              <a:graphicData uri="http://schemas.openxmlformats.org/drawingml/2006/picture">
                <pic:pic>
                  <pic:nvPicPr>
                    <pic:cNvPr id="2146" name="Image 2146"/>
                    <pic:cNvPicPr/>
                  </pic:nvPicPr>
                  <pic:blipFill>
                    <a:blip r:embed="rId83" cstate="print"/>
                    <a:stretch>
                      <a:fillRect/>
                    </a:stretch>
                  </pic:blipFill>
                  <pic:spPr>
                    <a:xfrm>
                      <a:off x="0" y="0"/>
                      <a:ext cx="88900" cy="101600"/>
                    </a:xfrm>
                    <a:prstGeom prst="rect">
                      <a:avLst/>
                    </a:prstGeom>
                  </pic:spPr>
                </pic:pic>
              </a:graphicData>
            </a:graphic>
          </wp:inline>
        </w:drawing>
      </w:r>
      <w:r>
        <w:rPr>
          <w:rFonts w:ascii="Book Antiqua"/>
          <w:b/>
          <w:color w:val="231F20"/>
          <w:position w:val="-1"/>
          <w:sz w:val="20"/>
        </w:rPr>
      </w:r>
      <w:r>
        <w:rPr>
          <w:rFonts w:ascii="Times New Roman"/>
          <w:color w:val="231F20"/>
          <w:spacing w:val="40"/>
          <w:sz w:val="20"/>
        </w:rPr>
        <w:t> </w:t>
      </w:r>
      <w:r>
        <w:rPr>
          <w:rFonts w:ascii="Book Antiqua"/>
          <w:b/>
          <w:color w:val="231F20"/>
          <w:sz w:val="20"/>
        </w:rPr>
        <w:t>Disk</w:t>
      </w:r>
    </w:p>
    <w:p>
      <w:pPr>
        <w:spacing w:line="226" w:lineRule="exact" w:before="0"/>
        <w:ind w:left="2239" w:right="0" w:firstLine="0"/>
        <w:jc w:val="center"/>
        <w:rPr>
          <w:rFonts w:ascii="Book Antiqua"/>
          <w:b/>
          <w:sz w:val="20"/>
        </w:rPr>
      </w:pPr>
      <w:r>
        <w:rPr>
          <w:position w:val="-1"/>
        </w:rPr>
        <w:drawing>
          <wp:inline distT="0" distB="0" distL="0" distR="0">
            <wp:extent cx="88900" cy="101600"/>
            <wp:effectExtent l="0" t="0" r="0" b="0"/>
            <wp:docPr id="2147" name="Image 2147"/>
            <wp:cNvGraphicFramePr>
              <a:graphicFrameLocks/>
            </wp:cNvGraphicFramePr>
            <a:graphic>
              <a:graphicData uri="http://schemas.openxmlformats.org/drawingml/2006/picture">
                <pic:pic>
                  <pic:nvPicPr>
                    <pic:cNvPr id="2147" name="Image 2147"/>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Memory</w:t>
      </w:r>
    </w:p>
    <w:p>
      <w:pPr>
        <w:spacing w:line="258" w:lineRule="exact" w:before="0"/>
        <w:ind w:left="1612" w:right="0" w:firstLine="0"/>
        <w:jc w:val="center"/>
        <w:rPr>
          <w:sz w:val="20"/>
        </w:rPr>
      </w:pPr>
      <w:r>
        <w:rPr>
          <w:position w:val="-1"/>
        </w:rPr>
        <w:drawing>
          <wp:inline distT="0" distB="0" distL="0" distR="0">
            <wp:extent cx="88900" cy="101600"/>
            <wp:effectExtent l="0" t="0" r="0" b="0"/>
            <wp:docPr id="2148" name="Image 2148"/>
            <wp:cNvGraphicFramePr>
              <a:graphicFrameLocks/>
            </wp:cNvGraphicFramePr>
            <a:graphic>
              <a:graphicData uri="http://schemas.openxmlformats.org/drawingml/2006/picture">
                <pic:pic>
                  <pic:nvPicPr>
                    <pic:cNvPr id="2148" name="Image 214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sz w:val="20"/>
        </w:rPr>
        <w:t> </w:t>
      </w:r>
      <w:r>
        <w:rPr>
          <w:color w:val="231F20"/>
          <w:sz w:val="20"/>
        </w:rPr>
        <w:t>...</w:t>
      </w:r>
    </w:p>
    <w:p>
      <w:pPr>
        <w:pStyle w:val="Heading6"/>
        <w:numPr>
          <w:ilvl w:val="0"/>
          <w:numId w:val="113"/>
        </w:numPr>
        <w:tabs>
          <w:tab w:pos="2447" w:val="left" w:leader="none"/>
        </w:tabs>
        <w:spacing w:line="232" w:lineRule="exact" w:before="110" w:after="0"/>
        <w:ind w:left="2447" w:right="0" w:hanging="215"/>
        <w:jc w:val="left"/>
      </w:pPr>
      <w:r>
        <w:rPr>
          <w:color w:val="231F20"/>
        </w:rPr>
        <w:t>Managed</w:t>
      </w:r>
      <w:r>
        <w:rPr>
          <w:color w:val="231F20"/>
          <w:spacing w:val="9"/>
        </w:rPr>
        <w:t> </w:t>
      </w:r>
      <w:r>
        <w:rPr>
          <w:color w:val="231F20"/>
        </w:rPr>
        <w:t>system</w:t>
      </w:r>
      <w:r>
        <w:rPr>
          <w:color w:val="231F20"/>
          <w:spacing w:val="9"/>
        </w:rPr>
        <w:t> </w:t>
      </w:r>
      <w:r>
        <w:rPr>
          <w:color w:val="231F20"/>
        </w:rPr>
        <w:t>group</w:t>
      </w:r>
      <w:r>
        <w:rPr>
          <w:color w:val="231F20"/>
          <w:spacing w:val="10"/>
        </w:rPr>
        <w:t> </w:t>
      </w:r>
      <w:r>
        <w:rPr>
          <w:color w:val="231F20"/>
        </w:rPr>
        <w:t>names</w:t>
      </w:r>
      <w:r>
        <w:rPr>
          <w:color w:val="231F20"/>
          <w:spacing w:val="9"/>
        </w:rPr>
        <w:t> </w:t>
      </w:r>
      <w:r>
        <w:rPr>
          <w:color w:val="231F20"/>
          <w:spacing w:val="-2"/>
        </w:rPr>
        <w:t>excluded</w:t>
      </w:r>
    </w:p>
    <w:p>
      <w:pPr>
        <w:pStyle w:val="BodyText"/>
        <w:spacing w:line="213" w:lineRule="auto" w:before="14"/>
        <w:ind w:left="2951" w:right="1504"/>
      </w:pPr>
      <w:r>
        <w:rPr/>
        <w:drawing>
          <wp:inline distT="0" distB="0" distL="0" distR="0">
            <wp:extent cx="82550" cy="82550"/>
            <wp:effectExtent l="0" t="0" r="0" b="0"/>
            <wp:docPr id="2149" name="Image 2149"/>
            <wp:cNvGraphicFramePr>
              <a:graphicFrameLocks/>
            </wp:cNvGraphicFramePr>
            <a:graphic>
              <a:graphicData uri="http://schemas.openxmlformats.org/drawingml/2006/picture">
                <pic:pic>
                  <pic:nvPicPr>
                    <pic:cNvPr id="2149" name="Image 214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color w:val="231F20"/>
        </w:rPr>
        <w:t>Add branch-level items using managed system group </w:t>
      </w:r>
      <w:r>
        <w:rPr>
          <w:color w:val="231F20"/>
        </w:rPr>
        <w:t>names </w:t>
      </w:r>
      <w:r>
        <w:rPr>
          <w:color w:val="231F20"/>
        </w:rPr>
        <w:drawing>
          <wp:inline distT="0" distB="0" distL="0" distR="0">
            <wp:extent cx="82550" cy="82550"/>
            <wp:effectExtent l="0" t="0" r="0" b="0"/>
            <wp:docPr id="2150" name="Image 2150"/>
            <wp:cNvGraphicFramePr>
              <a:graphicFrameLocks/>
            </wp:cNvGraphicFramePr>
            <a:graphic>
              <a:graphicData uri="http://schemas.openxmlformats.org/drawingml/2006/picture">
                <pic:pic>
                  <pic:nvPicPr>
                    <pic:cNvPr id="2150" name="Image 215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rPr>
      </w:r>
      <w:r>
        <w:rPr>
          <w:rFonts w:ascii="Times New Roman"/>
          <w:color w:val="231F20"/>
          <w:spacing w:val="40"/>
        </w:rPr>
        <w:t> </w:t>
      </w:r>
      <w:r>
        <w:rPr>
          <w:color w:val="231F20"/>
        </w:rPr>
        <w:t>Include attribute-level items of managed systems</w:t>
      </w:r>
    </w:p>
    <w:p>
      <w:pPr>
        <w:pStyle w:val="BodyText"/>
        <w:spacing w:line="245" w:lineRule="exact"/>
        <w:ind w:left="2951"/>
      </w:pPr>
      <w:r>
        <w:rPr/>
        <w:drawing>
          <wp:inline distT="0" distB="0" distL="0" distR="0">
            <wp:extent cx="82550" cy="82550"/>
            <wp:effectExtent l="0" t="0" r="0" b="0"/>
            <wp:docPr id="2151" name="Image 2151"/>
            <wp:cNvGraphicFramePr>
              <a:graphicFrameLocks/>
            </wp:cNvGraphicFramePr>
            <a:graphic>
              <a:graphicData uri="http://schemas.openxmlformats.org/drawingml/2006/picture">
                <pic:pic>
                  <pic:nvPicPr>
                    <pic:cNvPr id="2151" name="Image 2151"/>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color w:val="231F20"/>
        </w:rPr>
        <w:t>Include</w:t>
      </w:r>
      <w:r>
        <w:rPr>
          <w:color w:val="231F20"/>
          <w:spacing w:val="21"/>
        </w:rPr>
        <w:t> </w:t>
      </w:r>
      <w:r>
        <w:rPr>
          <w:color w:val="231F20"/>
        </w:rPr>
        <w:t>host-level</w:t>
      </w:r>
      <w:r>
        <w:rPr>
          <w:color w:val="231F20"/>
          <w:spacing w:val="21"/>
        </w:rPr>
        <w:t> </w:t>
      </w:r>
      <w:r>
        <w:rPr>
          <w:color w:val="231F20"/>
        </w:rPr>
        <w:t>items</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managed</w:t>
      </w:r>
      <w:r>
        <w:rPr>
          <w:color w:val="231F20"/>
          <w:spacing w:val="21"/>
        </w:rPr>
        <w:t> </w:t>
      </w:r>
      <w:r>
        <w:rPr>
          <w:color w:val="231F20"/>
        </w:rPr>
        <w:t>systems</w:t>
      </w:r>
    </w:p>
    <w:p>
      <w:pPr>
        <w:pStyle w:val="BodyText"/>
        <w:spacing w:before="84"/>
        <w:ind w:left="2951"/>
      </w:pPr>
      <w:r>
        <w:rPr>
          <w:color w:val="231F20"/>
        </w:rPr>
        <w:t>Removes</w:t>
      </w:r>
      <w:r>
        <w:rPr>
          <w:color w:val="231F20"/>
          <w:spacing w:val="20"/>
        </w:rPr>
        <w:t> </w:t>
      </w:r>
      <w:r>
        <w:rPr>
          <w:color w:val="231F20"/>
          <w:spacing w:val="-24"/>
          <w:position w:val="-1"/>
        </w:rPr>
        <w:drawing>
          <wp:inline distT="0" distB="0" distL="0" distR="0">
            <wp:extent cx="88900" cy="88900"/>
            <wp:effectExtent l="0" t="0" r="0" b="0"/>
            <wp:docPr id="2152" name="Image 2152"/>
            <wp:cNvGraphicFramePr>
              <a:graphicFrameLocks/>
            </wp:cNvGraphicFramePr>
            <a:graphic>
              <a:graphicData uri="http://schemas.openxmlformats.org/drawingml/2006/picture">
                <pic:pic>
                  <pic:nvPicPr>
                    <pic:cNvPr id="2152" name="Image 2152"/>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62"/>
          <w:w w:val="150"/>
        </w:rPr>
        <w:t> </w:t>
      </w:r>
      <w:r>
        <w:rPr>
          <w:color w:val="231F20"/>
        </w:rPr>
        <w:t>group-level</w:t>
      </w:r>
      <w:r>
        <w:rPr>
          <w:color w:val="231F20"/>
          <w:spacing w:val="11"/>
        </w:rPr>
        <w:t> </w:t>
      </w:r>
      <w:r>
        <w:rPr>
          <w:color w:val="231F20"/>
          <w:spacing w:val="-2"/>
        </w:rPr>
        <w:t>items:</w:t>
      </w:r>
    </w:p>
    <w:p>
      <w:pPr>
        <w:spacing w:line="240" w:lineRule="exact" w:before="112"/>
        <w:ind w:left="0" w:right="3145" w:firstLine="0"/>
        <w:jc w:val="center"/>
        <w:rPr>
          <w:rFonts w:ascii="Book Antiqua"/>
          <w:b/>
          <w:sz w:val="20"/>
        </w:rPr>
      </w:pPr>
      <w:r>
        <w:rPr>
          <w:position w:val="-1"/>
        </w:rPr>
        <w:drawing>
          <wp:inline distT="0" distB="0" distL="0" distR="0">
            <wp:extent cx="101600" cy="95250"/>
            <wp:effectExtent l="0" t="0" r="0" b="0"/>
            <wp:docPr id="2153" name="Image 2153"/>
            <wp:cNvGraphicFramePr>
              <a:graphicFrameLocks/>
            </wp:cNvGraphicFramePr>
            <a:graphic>
              <a:graphicData uri="http://schemas.openxmlformats.org/drawingml/2006/picture">
                <pic:pic>
                  <pic:nvPicPr>
                    <pic:cNvPr id="2153" name="Image 2153"/>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Shipping</w:t>
      </w:r>
    </w:p>
    <w:p>
      <w:pPr>
        <w:spacing w:line="239" w:lineRule="exact" w:before="0"/>
        <w:ind w:left="0" w:right="1604" w:firstLine="0"/>
        <w:jc w:val="center"/>
        <w:rPr>
          <w:rFonts w:ascii="Book Antiqua"/>
          <w:b/>
          <w:sz w:val="20"/>
        </w:rPr>
      </w:pPr>
      <w:r>
        <w:rPr>
          <w:position w:val="-1"/>
        </w:rPr>
        <w:drawing>
          <wp:inline distT="0" distB="0" distL="0" distR="0">
            <wp:extent cx="101600" cy="95250"/>
            <wp:effectExtent l="0" t="0" r="0" b="0"/>
            <wp:docPr id="2154" name="Image 2154"/>
            <wp:cNvGraphicFramePr>
              <a:graphicFrameLocks/>
            </wp:cNvGraphicFramePr>
            <a:graphic>
              <a:graphicData uri="http://schemas.openxmlformats.org/drawingml/2006/picture">
                <pic:pic>
                  <pic:nvPicPr>
                    <pic:cNvPr id="2154" name="Image 2154"/>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Eastern Region</w:t>
      </w:r>
    </w:p>
    <w:p>
      <w:pPr>
        <w:spacing w:line="239" w:lineRule="exact" w:before="0"/>
        <w:ind w:left="0" w:right="4175" w:firstLine="0"/>
        <w:jc w:val="right"/>
        <w:rPr>
          <w:rFonts w:ascii="Book Antiqua"/>
          <w:b/>
          <w:sz w:val="20"/>
        </w:rPr>
      </w:pPr>
      <w:r>
        <w:rPr>
          <w:position w:val="-1"/>
        </w:rPr>
        <w:drawing>
          <wp:inline distT="0" distB="0" distL="0" distR="0">
            <wp:extent cx="101600" cy="95250"/>
            <wp:effectExtent l="0" t="0" r="0" b="0"/>
            <wp:docPr id="2155" name="Image 2155"/>
            <wp:cNvGraphicFramePr>
              <a:graphicFrameLocks/>
            </wp:cNvGraphicFramePr>
            <a:graphic>
              <a:graphicData uri="http://schemas.openxmlformats.org/drawingml/2006/picture">
                <pic:pic>
                  <pic:nvPicPr>
                    <pic:cNvPr id="2155" name="Image 2155"/>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80"/>
          <w:sz w:val="20"/>
        </w:rPr>
        <w:t> </w:t>
      </w:r>
      <w:r>
        <w:rPr>
          <w:rFonts w:ascii="Book Antiqua"/>
          <w:b/>
          <w:color w:val="231F20"/>
          <w:spacing w:val="-4"/>
          <w:sz w:val="20"/>
        </w:rPr>
        <w:t>ATL-INTEL-X86-1</w:t>
      </w:r>
    </w:p>
    <w:p>
      <w:pPr>
        <w:spacing w:line="239" w:lineRule="exact" w:before="0"/>
        <w:ind w:left="0" w:right="4164" w:firstLine="0"/>
        <w:jc w:val="right"/>
        <w:rPr>
          <w:rFonts w:ascii="Book Antiqua"/>
          <w:b/>
          <w:sz w:val="20"/>
        </w:rPr>
      </w:pPr>
      <w:r>
        <w:rPr>
          <w:position w:val="-1"/>
        </w:rPr>
        <w:drawing>
          <wp:inline distT="0" distB="0" distL="0" distR="0">
            <wp:extent cx="95250" cy="95250"/>
            <wp:effectExtent l="0" t="0" r="0" b="0"/>
            <wp:docPr id="2156" name="Image 2156"/>
            <wp:cNvGraphicFramePr>
              <a:graphicFrameLocks/>
            </wp:cNvGraphicFramePr>
            <a:graphic>
              <a:graphicData uri="http://schemas.openxmlformats.org/drawingml/2006/picture">
                <pic:pic>
                  <pic:nvPicPr>
                    <pic:cNvPr id="2156" name="Image 2156"/>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Windows OS</w:t>
      </w:r>
    </w:p>
    <w:p>
      <w:pPr>
        <w:spacing w:line="239" w:lineRule="exact" w:before="0"/>
        <w:ind w:left="5023" w:right="0" w:firstLine="0"/>
        <w:jc w:val="left"/>
        <w:rPr>
          <w:rFonts w:ascii="Book Antiqua"/>
          <w:b/>
          <w:sz w:val="20"/>
        </w:rPr>
      </w:pPr>
      <w:r>
        <w:rPr>
          <w:position w:val="-1"/>
        </w:rPr>
        <w:drawing>
          <wp:inline distT="0" distB="0" distL="0" distR="0">
            <wp:extent cx="88900" cy="101600"/>
            <wp:effectExtent l="0" t="0" r="0" b="0"/>
            <wp:docPr id="2157" name="Image 2157"/>
            <wp:cNvGraphicFramePr>
              <a:graphicFrameLocks/>
            </wp:cNvGraphicFramePr>
            <a:graphic>
              <a:graphicData uri="http://schemas.openxmlformats.org/drawingml/2006/picture">
                <pic:pic>
                  <pic:nvPicPr>
                    <pic:cNvPr id="2157" name="Image 2157"/>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Disk</w:t>
      </w:r>
    </w:p>
    <w:p>
      <w:pPr>
        <w:spacing w:line="229" w:lineRule="exact" w:before="0"/>
        <w:ind w:left="5023" w:right="0" w:firstLine="0"/>
        <w:jc w:val="left"/>
        <w:rPr>
          <w:rFonts w:ascii="Book Antiqua"/>
          <w:b/>
          <w:sz w:val="20"/>
        </w:rPr>
      </w:pPr>
      <w:r>
        <w:rPr>
          <w:position w:val="-1"/>
        </w:rPr>
        <w:drawing>
          <wp:inline distT="0" distB="0" distL="0" distR="0">
            <wp:extent cx="88900" cy="101600"/>
            <wp:effectExtent l="0" t="0" r="0" b="0"/>
            <wp:docPr id="2158" name="Image 2158"/>
            <wp:cNvGraphicFramePr>
              <a:graphicFrameLocks/>
            </wp:cNvGraphicFramePr>
            <a:graphic>
              <a:graphicData uri="http://schemas.openxmlformats.org/drawingml/2006/picture">
                <pic:pic>
                  <pic:nvPicPr>
                    <pic:cNvPr id="2158" name="Image 215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Memory</w:t>
      </w:r>
    </w:p>
    <w:p>
      <w:pPr>
        <w:spacing w:line="258" w:lineRule="exact" w:before="0"/>
        <w:ind w:left="4989" w:right="0" w:firstLine="0"/>
        <w:jc w:val="left"/>
        <w:rPr>
          <w:sz w:val="20"/>
        </w:rPr>
      </w:pPr>
      <w:r>
        <w:rPr>
          <w:position w:val="-1"/>
        </w:rPr>
        <w:drawing>
          <wp:inline distT="0" distB="0" distL="0" distR="0">
            <wp:extent cx="88900" cy="101600"/>
            <wp:effectExtent l="0" t="0" r="0" b="0"/>
            <wp:docPr id="2159" name="Image 2159"/>
            <wp:cNvGraphicFramePr>
              <a:graphicFrameLocks/>
            </wp:cNvGraphicFramePr>
            <a:graphic>
              <a:graphicData uri="http://schemas.openxmlformats.org/drawingml/2006/picture">
                <pic:pic>
                  <pic:nvPicPr>
                    <pic:cNvPr id="2159" name="Image 2159"/>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sz w:val="20"/>
        </w:rPr>
        <w:t> </w:t>
      </w:r>
      <w:r>
        <w:rPr>
          <w:color w:val="231F20"/>
          <w:sz w:val="20"/>
        </w:rPr>
        <w:t>...</w:t>
      </w:r>
    </w:p>
    <w:p>
      <w:pPr>
        <w:pStyle w:val="Heading6"/>
        <w:numPr>
          <w:ilvl w:val="0"/>
          <w:numId w:val="113"/>
        </w:numPr>
        <w:tabs>
          <w:tab w:pos="2447" w:val="left" w:leader="none"/>
        </w:tabs>
        <w:spacing w:line="232" w:lineRule="exact" w:before="111" w:after="0"/>
        <w:ind w:left="2447" w:right="0" w:hanging="215"/>
        <w:jc w:val="left"/>
      </w:pPr>
      <w:r>
        <w:rPr>
          <w:color w:val="231F20"/>
        </w:rPr>
        <w:t>Managed</w:t>
      </w:r>
      <w:r>
        <w:rPr>
          <w:color w:val="231F20"/>
          <w:spacing w:val="10"/>
        </w:rPr>
        <w:t> </w:t>
      </w:r>
      <w:r>
        <w:rPr>
          <w:color w:val="231F20"/>
        </w:rPr>
        <w:t>system</w:t>
      </w:r>
      <w:r>
        <w:rPr>
          <w:color w:val="231F20"/>
          <w:spacing w:val="10"/>
        </w:rPr>
        <w:t> </w:t>
      </w:r>
      <w:r>
        <w:rPr>
          <w:color w:val="231F20"/>
        </w:rPr>
        <w:t>group</w:t>
      </w:r>
      <w:r>
        <w:rPr>
          <w:color w:val="231F20"/>
          <w:spacing w:val="10"/>
        </w:rPr>
        <w:t> </w:t>
      </w:r>
      <w:r>
        <w:rPr>
          <w:color w:val="231F20"/>
        </w:rPr>
        <w:t>names</w:t>
      </w:r>
      <w:r>
        <w:rPr>
          <w:color w:val="231F20"/>
          <w:spacing w:val="10"/>
        </w:rPr>
        <w:t> </w:t>
      </w:r>
      <w:r>
        <w:rPr>
          <w:color w:val="231F20"/>
        </w:rPr>
        <w:t>and</w:t>
      </w:r>
      <w:r>
        <w:rPr>
          <w:color w:val="231F20"/>
          <w:spacing w:val="10"/>
        </w:rPr>
        <w:t> </w:t>
      </w:r>
      <w:r>
        <w:rPr>
          <w:color w:val="231F20"/>
        </w:rPr>
        <w:t>managed</w:t>
      </w:r>
      <w:r>
        <w:rPr>
          <w:color w:val="231F20"/>
          <w:spacing w:val="10"/>
        </w:rPr>
        <w:t> </w:t>
      </w:r>
      <w:r>
        <w:rPr>
          <w:color w:val="231F20"/>
        </w:rPr>
        <w:t>system</w:t>
      </w:r>
      <w:r>
        <w:rPr>
          <w:color w:val="231F20"/>
          <w:spacing w:val="10"/>
        </w:rPr>
        <w:t> </w:t>
      </w:r>
      <w:r>
        <w:rPr>
          <w:color w:val="231F20"/>
        </w:rPr>
        <w:t>child</w:t>
      </w:r>
      <w:r>
        <w:rPr>
          <w:color w:val="231F20"/>
          <w:spacing w:val="10"/>
        </w:rPr>
        <w:t> </w:t>
      </w:r>
      <w:r>
        <w:rPr>
          <w:color w:val="231F20"/>
        </w:rPr>
        <w:t>items</w:t>
      </w:r>
      <w:r>
        <w:rPr>
          <w:color w:val="231F20"/>
          <w:spacing w:val="10"/>
        </w:rPr>
        <w:t> </w:t>
      </w:r>
      <w:r>
        <w:rPr>
          <w:color w:val="231F20"/>
          <w:spacing w:val="-2"/>
        </w:rPr>
        <w:t>excluded</w:t>
      </w:r>
    </w:p>
    <w:p>
      <w:pPr>
        <w:pStyle w:val="BodyText"/>
        <w:spacing w:line="213" w:lineRule="auto" w:before="14"/>
        <w:ind w:left="2951" w:right="1504"/>
      </w:pPr>
      <w:r>
        <w:rPr/>
        <w:drawing>
          <wp:inline distT="0" distB="0" distL="0" distR="0">
            <wp:extent cx="82550" cy="82550"/>
            <wp:effectExtent l="0" t="0" r="0" b="0"/>
            <wp:docPr id="2160" name="Image 2160"/>
            <wp:cNvGraphicFramePr>
              <a:graphicFrameLocks/>
            </wp:cNvGraphicFramePr>
            <a:graphic>
              <a:graphicData uri="http://schemas.openxmlformats.org/drawingml/2006/picture">
                <pic:pic>
                  <pic:nvPicPr>
                    <pic:cNvPr id="2160" name="Image 216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color w:val="231F20"/>
        </w:rPr>
        <w:t>Add branch-level items using managed system group </w:t>
      </w:r>
      <w:r>
        <w:rPr>
          <w:color w:val="231F20"/>
        </w:rPr>
        <w:t>names </w:t>
      </w:r>
      <w:r>
        <w:rPr>
          <w:color w:val="231F20"/>
        </w:rPr>
        <w:drawing>
          <wp:inline distT="0" distB="0" distL="0" distR="0">
            <wp:extent cx="82550" cy="82550"/>
            <wp:effectExtent l="0" t="0" r="0" b="0"/>
            <wp:docPr id="2161" name="Image 2161"/>
            <wp:cNvGraphicFramePr>
              <a:graphicFrameLocks/>
            </wp:cNvGraphicFramePr>
            <a:graphic>
              <a:graphicData uri="http://schemas.openxmlformats.org/drawingml/2006/picture">
                <pic:pic>
                  <pic:nvPicPr>
                    <pic:cNvPr id="2161" name="Image 216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rPr>
      </w:r>
      <w:r>
        <w:rPr>
          <w:rFonts w:ascii="Times New Roman"/>
          <w:color w:val="231F20"/>
          <w:spacing w:val="40"/>
        </w:rPr>
        <w:t> </w:t>
      </w:r>
      <w:r>
        <w:rPr>
          <w:color w:val="231F20"/>
        </w:rPr>
        <w:t>Include attribute-level items of managed systems</w:t>
      </w:r>
    </w:p>
    <w:p>
      <w:pPr>
        <w:pStyle w:val="BodyText"/>
        <w:spacing w:line="245" w:lineRule="exact"/>
        <w:ind w:left="2951"/>
      </w:pPr>
      <w:r>
        <w:rPr/>
        <w:drawing>
          <wp:inline distT="0" distB="0" distL="0" distR="0">
            <wp:extent cx="82550" cy="82550"/>
            <wp:effectExtent l="0" t="0" r="0" b="0"/>
            <wp:docPr id="2162" name="Image 2162"/>
            <wp:cNvGraphicFramePr>
              <a:graphicFrameLocks/>
            </wp:cNvGraphicFramePr>
            <a:graphic>
              <a:graphicData uri="http://schemas.openxmlformats.org/drawingml/2006/picture">
                <pic:pic>
                  <pic:nvPicPr>
                    <pic:cNvPr id="2162" name="Image 2162"/>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color w:val="231F20"/>
        </w:rPr>
        <w:t>Include</w:t>
      </w:r>
      <w:r>
        <w:rPr>
          <w:color w:val="231F20"/>
          <w:spacing w:val="21"/>
        </w:rPr>
        <w:t> </w:t>
      </w:r>
      <w:r>
        <w:rPr>
          <w:color w:val="231F20"/>
        </w:rPr>
        <w:t>host-level</w:t>
      </w:r>
      <w:r>
        <w:rPr>
          <w:color w:val="231F20"/>
          <w:spacing w:val="21"/>
        </w:rPr>
        <w:t> </w:t>
      </w:r>
      <w:r>
        <w:rPr>
          <w:color w:val="231F20"/>
        </w:rPr>
        <w:t>items</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managed</w:t>
      </w:r>
      <w:r>
        <w:rPr>
          <w:color w:val="231F20"/>
          <w:spacing w:val="21"/>
        </w:rPr>
        <w:t> </w:t>
      </w:r>
      <w:r>
        <w:rPr>
          <w:color w:val="231F20"/>
        </w:rPr>
        <w:t>systems</w:t>
      </w:r>
    </w:p>
    <w:p>
      <w:pPr>
        <w:pStyle w:val="BodyText"/>
        <w:spacing w:line="213" w:lineRule="auto" w:before="107"/>
        <w:ind w:left="2951" w:right="1002"/>
      </w:pPr>
      <w:r>
        <w:rPr>
          <w:color w:val="231F20"/>
        </w:rPr>
        <w:t>Removes</w:t>
      </w:r>
      <w:r>
        <w:rPr>
          <w:color w:val="231F20"/>
          <w:spacing w:val="36"/>
        </w:rPr>
        <w:t> </w:t>
      </w:r>
      <w:r>
        <w:rPr>
          <w:color w:val="231F20"/>
          <w:spacing w:val="-24"/>
          <w:position w:val="-1"/>
        </w:rPr>
        <w:drawing>
          <wp:inline distT="0" distB="0" distL="0" distR="0">
            <wp:extent cx="88900" cy="88900"/>
            <wp:effectExtent l="0" t="0" r="0" b="0"/>
            <wp:docPr id="2163" name="Image 2163"/>
            <wp:cNvGraphicFramePr>
              <a:graphicFrameLocks/>
            </wp:cNvGraphicFramePr>
            <a:graphic>
              <a:graphicData uri="http://schemas.openxmlformats.org/drawingml/2006/picture">
                <pic:pic>
                  <pic:nvPicPr>
                    <pic:cNvPr id="2163" name="Image 2163"/>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80"/>
          <w:w w:val="150"/>
        </w:rPr>
        <w:t> </w:t>
      </w:r>
      <w:r>
        <w:rPr>
          <w:color w:val="231F20"/>
        </w:rPr>
        <w:t>group-level</w:t>
      </w:r>
      <w:r>
        <w:rPr>
          <w:color w:val="231F20"/>
          <w:spacing w:val="24"/>
        </w:rPr>
        <w:t> </w:t>
      </w:r>
      <w:r>
        <w:rPr>
          <w:color w:val="231F20"/>
        </w:rPr>
        <w:t>items,</w:t>
      </w:r>
      <w:r>
        <w:rPr>
          <w:color w:val="231F20"/>
          <w:spacing w:val="24"/>
        </w:rPr>
        <w:t> </w:t>
      </w:r>
      <w:r>
        <w:rPr>
          <w:color w:val="231F20"/>
        </w:rPr>
        <w:t>as</w:t>
      </w:r>
      <w:r>
        <w:rPr>
          <w:color w:val="231F20"/>
          <w:spacing w:val="24"/>
        </w:rPr>
        <w:t> </w:t>
      </w:r>
      <w:r>
        <w:rPr>
          <w:color w:val="231F20"/>
        </w:rPr>
        <w:t>well</w:t>
      </w:r>
      <w:r>
        <w:rPr>
          <w:color w:val="231F20"/>
          <w:spacing w:val="24"/>
        </w:rPr>
        <w:t> </w:t>
      </w:r>
      <w:r>
        <w:rPr>
          <w:color w:val="231F20"/>
        </w:rPr>
        <w:t>as</w:t>
      </w:r>
      <w:r>
        <w:rPr>
          <w:color w:val="231F20"/>
          <w:spacing w:val="24"/>
        </w:rPr>
        <w:t> </w:t>
      </w:r>
      <w:r>
        <w:rPr>
          <w:color w:val="231F20"/>
        </w:rPr>
        <w:t>the</w:t>
      </w:r>
      <w:r>
        <w:rPr>
          <w:color w:val="231F20"/>
          <w:spacing w:val="35"/>
        </w:rPr>
        <w:t> </w:t>
      </w:r>
      <w:r>
        <w:rPr>
          <w:color w:val="231F20"/>
          <w:spacing w:val="-25"/>
          <w:position w:val="-1"/>
        </w:rPr>
        <w:drawing>
          <wp:inline distT="0" distB="0" distL="0" distR="0">
            <wp:extent cx="88900" cy="101600"/>
            <wp:effectExtent l="0" t="0" r="0" b="0"/>
            <wp:docPr id="2164" name="Image 2164"/>
            <wp:cNvGraphicFramePr>
              <a:graphicFrameLocks/>
            </wp:cNvGraphicFramePr>
            <a:graphic>
              <a:graphicData uri="http://schemas.openxmlformats.org/drawingml/2006/picture">
                <pic:pic>
                  <pic:nvPicPr>
                    <pic:cNvPr id="2164" name="Image 216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rPr>
      </w:r>
      <w:r>
        <w:rPr>
          <w:rFonts w:ascii="Times New Roman"/>
          <w:color w:val="231F20"/>
          <w:spacing w:val="80"/>
          <w:w w:val="150"/>
        </w:rPr>
        <w:t> </w:t>
      </w:r>
      <w:r>
        <w:rPr>
          <w:color w:val="231F20"/>
        </w:rPr>
        <w:t>child</w:t>
      </w:r>
      <w:r>
        <w:rPr>
          <w:color w:val="231F20"/>
          <w:spacing w:val="24"/>
        </w:rPr>
        <w:t> </w:t>
      </w:r>
      <w:r>
        <w:rPr>
          <w:color w:val="231F20"/>
        </w:rPr>
        <w:t>items</w:t>
      </w:r>
      <w:r>
        <w:rPr>
          <w:color w:val="231F20"/>
          <w:spacing w:val="24"/>
        </w:rPr>
        <w:t> </w:t>
      </w:r>
      <w:r>
        <w:rPr>
          <w:color w:val="231F20"/>
        </w:rPr>
        <w:t>of</w:t>
      </w:r>
      <w:r>
        <w:rPr>
          <w:color w:val="231F20"/>
          <w:spacing w:val="24"/>
        </w:rPr>
        <w:t> </w:t>
      </w:r>
      <w:r>
        <w:rPr>
          <w:color w:val="231F20"/>
        </w:rPr>
        <w:t>the</w:t>
      </w:r>
      <w:r>
        <w:rPr>
          <w:color w:val="231F20"/>
        </w:rPr>
        <w:t> </w:t>
      </w:r>
      <w:r>
        <w:rPr>
          <w:color w:val="231F20"/>
          <w:spacing w:val="-24"/>
          <w:position w:val="-1"/>
        </w:rPr>
        <w:drawing>
          <wp:inline distT="0" distB="0" distL="0" distR="0">
            <wp:extent cx="95250" cy="95250"/>
            <wp:effectExtent l="0" t="0" r="0" b="0"/>
            <wp:docPr id="2165" name="Image 2165"/>
            <wp:cNvGraphicFramePr>
              <a:graphicFrameLocks/>
            </wp:cNvGraphicFramePr>
            <a:graphic>
              <a:graphicData uri="http://schemas.openxmlformats.org/drawingml/2006/picture">
                <pic:pic>
                  <pic:nvPicPr>
                    <pic:cNvPr id="2165" name="Image 216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position w:val="-1"/>
        </w:rPr>
        <w:t> </w:t>
      </w:r>
      <w:r>
        <w:rPr>
          <w:color w:val="231F20"/>
        </w:rPr>
        <w:t>Windows OS managed system:</w:t>
      </w:r>
    </w:p>
    <w:p>
      <w:pPr>
        <w:spacing w:line="240" w:lineRule="exact" w:before="117"/>
        <w:ind w:left="0" w:right="3145" w:firstLine="0"/>
        <w:jc w:val="center"/>
        <w:rPr>
          <w:rFonts w:ascii="Book Antiqua"/>
          <w:b/>
          <w:sz w:val="20"/>
        </w:rPr>
      </w:pPr>
      <w:r>
        <w:rPr>
          <w:position w:val="-1"/>
        </w:rPr>
        <w:drawing>
          <wp:inline distT="0" distB="0" distL="0" distR="0">
            <wp:extent cx="101600" cy="95250"/>
            <wp:effectExtent l="0" t="0" r="0" b="0"/>
            <wp:docPr id="2166" name="Image 2166"/>
            <wp:cNvGraphicFramePr>
              <a:graphicFrameLocks/>
            </wp:cNvGraphicFramePr>
            <a:graphic>
              <a:graphicData uri="http://schemas.openxmlformats.org/drawingml/2006/picture">
                <pic:pic>
                  <pic:nvPicPr>
                    <pic:cNvPr id="2166" name="Image 2166"/>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Shipping</w:t>
      </w:r>
    </w:p>
    <w:p>
      <w:pPr>
        <w:spacing w:line="239" w:lineRule="exact" w:before="0"/>
        <w:ind w:left="0" w:right="1604" w:firstLine="0"/>
        <w:jc w:val="center"/>
        <w:rPr>
          <w:rFonts w:ascii="Book Antiqua"/>
          <w:b/>
          <w:sz w:val="20"/>
        </w:rPr>
      </w:pPr>
      <w:r>
        <w:rPr>
          <w:position w:val="-1"/>
        </w:rPr>
        <w:drawing>
          <wp:inline distT="0" distB="0" distL="0" distR="0">
            <wp:extent cx="101600" cy="95250"/>
            <wp:effectExtent l="0" t="0" r="0" b="0"/>
            <wp:docPr id="2167" name="Image 2167"/>
            <wp:cNvGraphicFramePr>
              <a:graphicFrameLocks/>
            </wp:cNvGraphicFramePr>
            <a:graphic>
              <a:graphicData uri="http://schemas.openxmlformats.org/drawingml/2006/picture">
                <pic:pic>
                  <pic:nvPicPr>
                    <pic:cNvPr id="2167" name="Image 2167"/>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Eastern Region</w:t>
      </w:r>
    </w:p>
    <w:p>
      <w:pPr>
        <w:spacing w:line="239" w:lineRule="exact" w:before="0"/>
        <w:ind w:left="0" w:right="4175" w:firstLine="0"/>
        <w:jc w:val="right"/>
        <w:rPr>
          <w:rFonts w:ascii="Book Antiqua"/>
          <w:b/>
          <w:sz w:val="20"/>
        </w:rPr>
      </w:pPr>
      <w:r>
        <w:rPr>
          <w:position w:val="-1"/>
        </w:rPr>
        <w:drawing>
          <wp:inline distT="0" distB="0" distL="0" distR="0">
            <wp:extent cx="101600" cy="95250"/>
            <wp:effectExtent l="0" t="0" r="0" b="0"/>
            <wp:docPr id="2168" name="Image 2168"/>
            <wp:cNvGraphicFramePr>
              <a:graphicFrameLocks/>
            </wp:cNvGraphicFramePr>
            <a:graphic>
              <a:graphicData uri="http://schemas.openxmlformats.org/drawingml/2006/picture">
                <pic:pic>
                  <pic:nvPicPr>
                    <pic:cNvPr id="2168" name="Image 2168"/>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80"/>
          <w:sz w:val="20"/>
        </w:rPr>
        <w:t> </w:t>
      </w:r>
      <w:r>
        <w:rPr>
          <w:rFonts w:ascii="Book Antiqua"/>
          <w:b/>
          <w:color w:val="231F20"/>
          <w:spacing w:val="-4"/>
          <w:sz w:val="20"/>
        </w:rPr>
        <w:t>ATL-INTEL-X86-1</w:t>
      </w:r>
    </w:p>
    <w:p>
      <w:pPr>
        <w:spacing w:line="240" w:lineRule="exact" w:before="0"/>
        <w:ind w:left="0" w:right="4164" w:firstLine="0"/>
        <w:jc w:val="right"/>
        <w:rPr>
          <w:rFonts w:ascii="Book Antiqua"/>
          <w:b/>
          <w:sz w:val="20"/>
        </w:rPr>
      </w:pPr>
      <w:r>
        <w:rPr>
          <w:position w:val="-1"/>
        </w:rPr>
        <w:drawing>
          <wp:inline distT="0" distB="0" distL="0" distR="0">
            <wp:extent cx="95250" cy="95250"/>
            <wp:effectExtent l="0" t="0" r="0" b="0"/>
            <wp:docPr id="2169" name="Image 2169"/>
            <wp:cNvGraphicFramePr>
              <a:graphicFrameLocks/>
            </wp:cNvGraphicFramePr>
            <a:graphic>
              <a:graphicData uri="http://schemas.openxmlformats.org/drawingml/2006/picture">
                <pic:pic>
                  <pic:nvPicPr>
                    <pic:cNvPr id="2169" name="Image 2169"/>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Windows OS</w:t>
      </w:r>
    </w:p>
    <w:p>
      <w:pPr>
        <w:spacing w:after="0" w:line="240" w:lineRule="exact"/>
        <w:jc w:val="right"/>
        <w:rPr>
          <w:rFonts w:ascii="Book Antiqua"/>
          <w:sz w:val="20"/>
        </w:rPr>
        <w:sectPr>
          <w:pgSz w:w="12240" w:h="15840"/>
          <w:pgMar w:header="0" w:footer="736" w:top="1180" w:bottom="920" w:left="1000" w:right="1060"/>
        </w:sectPr>
      </w:pPr>
    </w:p>
    <w:p>
      <w:pPr>
        <w:pStyle w:val="ListParagraph"/>
        <w:numPr>
          <w:ilvl w:val="0"/>
          <w:numId w:val="113"/>
        </w:numPr>
        <w:tabs>
          <w:tab w:pos="2687" w:val="left" w:leader="none"/>
        </w:tabs>
        <w:spacing w:line="232" w:lineRule="exact" w:before="83" w:after="0"/>
        <w:ind w:left="2687" w:right="0" w:hanging="215"/>
        <w:jc w:val="left"/>
        <w:rPr>
          <w:rFonts w:ascii="Book Antiqua"/>
          <w:b/>
          <w:sz w:val="20"/>
        </w:rPr>
      </w:pPr>
      <w:bookmarkStart w:name="_bookmark179" w:id="391"/>
      <w:bookmarkEnd w:id="391"/>
      <w:r>
        <w:rPr/>
      </w:r>
      <w:r>
        <w:rPr>
          <w:rFonts w:ascii="Book Antiqua"/>
          <w:b/>
          <w:color w:val="231F20"/>
          <w:sz w:val="20"/>
        </w:rPr>
        <w:t>No</w:t>
      </w:r>
      <w:r>
        <w:rPr>
          <w:rFonts w:ascii="Book Antiqua"/>
          <w:b/>
          <w:color w:val="231F20"/>
          <w:spacing w:val="11"/>
          <w:sz w:val="20"/>
        </w:rPr>
        <w:t> </w:t>
      </w:r>
      <w:r>
        <w:rPr>
          <w:rFonts w:ascii="Book Antiqua"/>
          <w:b/>
          <w:color w:val="231F20"/>
          <w:sz w:val="20"/>
        </w:rPr>
        <w:t>options</w:t>
      </w:r>
      <w:r>
        <w:rPr>
          <w:rFonts w:ascii="Book Antiqua"/>
          <w:b/>
          <w:color w:val="231F20"/>
          <w:spacing w:val="11"/>
          <w:sz w:val="20"/>
        </w:rPr>
        <w:t> </w:t>
      </w:r>
      <w:r>
        <w:rPr>
          <w:rFonts w:ascii="Book Antiqua"/>
          <w:b/>
          <w:color w:val="231F20"/>
          <w:spacing w:val="-2"/>
          <w:sz w:val="20"/>
        </w:rPr>
        <w:t>selected</w:t>
      </w:r>
    </w:p>
    <w:p>
      <w:pPr>
        <w:pStyle w:val="BodyText"/>
        <w:spacing w:line="213" w:lineRule="auto" w:before="14"/>
        <w:ind w:left="3190" w:right="1265"/>
      </w:pPr>
      <w:r>
        <w:rPr/>
        <w:drawing>
          <wp:inline distT="0" distB="0" distL="0" distR="0">
            <wp:extent cx="82550" cy="82550"/>
            <wp:effectExtent l="0" t="0" r="0" b="0"/>
            <wp:docPr id="2170" name="Image 2170"/>
            <wp:cNvGraphicFramePr>
              <a:graphicFrameLocks/>
            </wp:cNvGraphicFramePr>
            <a:graphic>
              <a:graphicData uri="http://schemas.openxmlformats.org/drawingml/2006/picture">
                <pic:pic>
                  <pic:nvPicPr>
                    <pic:cNvPr id="2170" name="Image 217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color w:val="231F20"/>
        </w:rPr>
        <w:t>Add branch-level items using managed system group </w:t>
      </w:r>
      <w:r>
        <w:rPr>
          <w:color w:val="231F20"/>
        </w:rPr>
        <w:t>names </w:t>
      </w:r>
      <w:r>
        <w:rPr>
          <w:color w:val="231F20"/>
        </w:rPr>
        <w:drawing>
          <wp:inline distT="0" distB="0" distL="0" distR="0">
            <wp:extent cx="82550" cy="82550"/>
            <wp:effectExtent l="0" t="0" r="0" b="0"/>
            <wp:docPr id="2171" name="Image 2171"/>
            <wp:cNvGraphicFramePr>
              <a:graphicFrameLocks/>
            </wp:cNvGraphicFramePr>
            <a:graphic>
              <a:graphicData uri="http://schemas.openxmlformats.org/drawingml/2006/picture">
                <pic:pic>
                  <pic:nvPicPr>
                    <pic:cNvPr id="2171" name="Image 217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rPr>
      </w:r>
      <w:r>
        <w:rPr>
          <w:rFonts w:ascii="Times New Roman"/>
          <w:color w:val="231F20"/>
          <w:spacing w:val="40"/>
        </w:rPr>
        <w:t> </w:t>
      </w:r>
      <w:r>
        <w:rPr>
          <w:color w:val="231F20"/>
        </w:rPr>
        <w:t>Include attribute-level items of managed systems</w:t>
      </w:r>
    </w:p>
    <w:p>
      <w:pPr>
        <w:pStyle w:val="BodyText"/>
        <w:spacing w:line="245" w:lineRule="exact"/>
        <w:ind w:left="3190"/>
      </w:pPr>
      <w:r>
        <w:rPr/>
        <w:drawing>
          <wp:inline distT="0" distB="0" distL="0" distR="0">
            <wp:extent cx="82550" cy="82550"/>
            <wp:effectExtent l="0" t="0" r="0" b="0"/>
            <wp:docPr id="2172" name="Image 2172"/>
            <wp:cNvGraphicFramePr>
              <a:graphicFrameLocks/>
            </wp:cNvGraphicFramePr>
            <a:graphic>
              <a:graphicData uri="http://schemas.openxmlformats.org/drawingml/2006/picture">
                <pic:pic>
                  <pic:nvPicPr>
                    <pic:cNvPr id="2172" name="Image 2172"/>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color w:val="231F20"/>
        </w:rPr>
        <w:t>Include</w:t>
      </w:r>
      <w:r>
        <w:rPr>
          <w:color w:val="231F20"/>
          <w:spacing w:val="21"/>
        </w:rPr>
        <w:t> </w:t>
      </w:r>
      <w:r>
        <w:rPr>
          <w:color w:val="231F20"/>
        </w:rPr>
        <w:t>host-level</w:t>
      </w:r>
      <w:r>
        <w:rPr>
          <w:color w:val="231F20"/>
          <w:spacing w:val="21"/>
        </w:rPr>
        <w:t> </w:t>
      </w:r>
      <w:r>
        <w:rPr>
          <w:color w:val="231F20"/>
        </w:rPr>
        <w:t>items</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managed</w:t>
      </w:r>
      <w:r>
        <w:rPr>
          <w:color w:val="231F20"/>
          <w:spacing w:val="21"/>
        </w:rPr>
        <w:t> </w:t>
      </w:r>
      <w:r>
        <w:rPr>
          <w:color w:val="231F20"/>
        </w:rPr>
        <w:t>systems</w:t>
      </w:r>
    </w:p>
    <w:p>
      <w:pPr>
        <w:pStyle w:val="BodyText"/>
        <w:spacing w:line="213" w:lineRule="auto" w:before="108"/>
        <w:ind w:left="3190" w:right="545"/>
      </w:pPr>
      <w:r>
        <w:rPr>
          <w:color w:val="231F20"/>
        </w:rPr>
        <w:t>Removes</w:t>
      </w:r>
      <w:r>
        <w:rPr>
          <w:color w:val="231F20"/>
          <w:spacing w:val="23"/>
        </w:rPr>
        <w:t> </w:t>
      </w:r>
      <w:r>
        <w:rPr>
          <w:color w:val="231F20"/>
          <w:spacing w:val="-24"/>
          <w:position w:val="-1"/>
        </w:rPr>
        <w:drawing>
          <wp:inline distT="0" distB="0" distL="0" distR="0">
            <wp:extent cx="88900" cy="88900"/>
            <wp:effectExtent l="0" t="0" r="0" b="0"/>
            <wp:docPr id="2173" name="Image 2173"/>
            <wp:cNvGraphicFramePr>
              <a:graphicFrameLocks/>
            </wp:cNvGraphicFramePr>
            <a:graphic>
              <a:graphicData uri="http://schemas.openxmlformats.org/drawingml/2006/picture">
                <pic:pic>
                  <pic:nvPicPr>
                    <pic:cNvPr id="2173" name="Image 2173"/>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group-level items, as well as both the</w:t>
      </w:r>
      <w:r>
        <w:rPr>
          <w:color w:val="231F20"/>
          <w:spacing w:val="22"/>
        </w:rPr>
        <w:t> </w:t>
      </w:r>
      <w:r>
        <w:rPr>
          <w:color w:val="231F20"/>
          <w:spacing w:val="-25"/>
          <w:position w:val="-1"/>
        </w:rPr>
        <w:drawing>
          <wp:inline distT="0" distB="0" distL="0" distR="0">
            <wp:extent cx="88900" cy="101600"/>
            <wp:effectExtent l="0" t="0" r="0" b="0"/>
            <wp:docPr id="2174" name="Image 2174"/>
            <wp:cNvGraphicFramePr>
              <a:graphicFrameLocks/>
            </wp:cNvGraphicFramePr>
            <a:graphic>
              <a:graphicData uri="http://schemas.openxmlformats.org/drawingml/2006/picture">
                <pic:pic>
                  <pic:nvPicPr>
                    <pic:cNvPr id="2174" name="Image 2174"/>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child items and</w:t>
      </w:r>
      <w:r>
        <w:rPr>
          <w:color w:val="231F20"/>
          <w:spacing w:val="-43"/>
        </w:rPr>
        <w:t> </w:t>
      </w:r>
      <w:r>
        <w:rPr>
          <w:color w:val="231F20"/>
          <w:spacing w:val="16"/>
          <w:position w:val="-1"/>
        </w:rPr>
        <w:drawing>
          <wp:inline distT="0" distB="0" distL="0" distR="0">
            <wp:extent cx="101600" cy="95250"/>
            <wp:effectExtent l="0" t="0" r="0" b="0"/>
            <wp:docPr id="2175" name="Image 2175"/>
            <wp:cNvGraphicFramePr>
              <a:graphicFrameLocks/>
            </wp:cNvGraphicFramePr>
            <a:graphic>
              <a:graphicData uri="http://schemas.openxmlformats.org/drawingml/2006/picture">
                <pic:pic>
                  <pic:nvPicPr>
                    <pic:cNvPr id="2175" name="Image 2175"/>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position w:val="-1"/>
        </w:rPr>
        <w:t> </w:t>
      </w:r>
      <w:r>
        <w:rPr>
          <w:color w:val="231F20"/>
        </w:rPr>
        <w:t>host items of the </w:t>
      </w:r>
      <w:r>
        <w:rPr>
          <w:color w:val="231F20"/>
          <w:spacing w:val="-24"/>
          <w:position w:val="-1"/>
        </w:rPr>
        <w:drawing>
          <wp:inline distT="0" distB="0" distL="0" distR="0">
            <wp:extent cx="95250" cy="95250"/>
            <wp:effectExtent l="0" t="0" r="0" b="0"/>
            <wp:docPr id="2176" name="Image 2176"/>
            <wp:cNvGraphicFramePr>
              <a:graphicFrameLocks/>
            </wp:cNvGraphicFramePr>
            <a:graphic>
              <a:graphicData uri="http://schemas.openxmlformats.org/drawingml/2006/picture">
                <pic:pic>
                  <pic:nvPicPr>
                    <pic:cNvPr id="2176" name="Image 2176"/>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Windows OS managed system:</w:t>
      </w:r>
    </w:p>
    <w:p>
      <w:pPr>
        <w:spacing w:line="240" w:lineRule="exact" w:before="117"/>
        <w:ind w:left="3190" w:right="0" w:firstLine="0"/>
        <w:jc w:val="left"/>
        <w:rPr>
          <w:rFonts w:ascii="Book Antiqua"/>
          <w:b/>
          <w:sz w:val="20"/>
        </w:rPr>
      </w:pPr>
      <w:r>
        <w:rPr>
          <w:position w:val="-1"/>
        </w:rPr>
        <w:drawing>
          <wp:inline distT="0" distB="0" distL="0" distR="0">
            <wp:extent cx="101600" cy="95250"/>
            <wp:effectExtent l="0" t="0" r="0" b="0"/>
            <wp:docPr id="2177" name="Image 2177"/>
            <wp:cNvGraphicFramePr>
              <a:graphicFrameLocks/>
            </wp:cNvGraphicFramePr>
            <a:graphic>
              <a:graphicData uri="http://schemas.openxmlformats.org/drawingml/2006/picture">
                <pic:pic>
                  <pic:nvPicPr>
                    <pic:cNvPr id="2177" name="Image 2177"/>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Shipping</w:t>
      </w:r>
    </w:p>
    <w:p>
      <w:pPr>
        <w:spacing w:line="239" w:lineRule="exact" w:before="0"/>
        <w:ind w:left="0" w:right="1126" w:firstLine="0"/>
        <w:jc w:val="center"/>
        <w:rPr>
          <w:rFonts w:ascii="Book Antiqua"/>
          <w:b/>
          <w:sz w:val="20"/>
        </w:rPr>
      </w:pPr>
      <w:r>
        <w:rPr>
          <w:position w:val="-1"/>
        </w:rPr>
        <w:drawing>
          <wp:inline distT="0" distB="0" distL="0" distR="0">
            <wp:extent cx="101600" cy="95250"/>
            <wp:effectExtent l="0" t="0" r="0" b="0"/>
            <wp:docPr id="2178" name="Image 2178"/>
            <wp:cNvGraphicFramePr>
              <a:graphicFrameLocks/>
            </wp:cNvGraphicFramePr>
            <a:graphic>
              <a:graphicData uri="http://schemas.openxmlformats.org/drawingml/2006/picture">
                <pic:pic>
                  <pic:nvPicPr>
                    <pic:cNvPr id="2178" name="Image 2178"/>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Eastern Region</w:t>
      </w:r>
    </w:p>
    <w:p>
      <w:pPr>
        <w:spacing w:line="240" w:lineRule="exact" w:before="0"/>
        <w:ind w:left="670" w:right="829" w:firstLine="0"/>
        <w:jc w:val="center"/>
        <w:rPr>
          <w:rFonts w:ascii="Book Antiqua"/>
          <w:b/>
          <w:sz w:val="20"/>
        </w:rPr>
      </w:pPr>
      <w:r>
        <w:rPr>
          <w:position w:val="-1"/>
        </w:rPr>
        <w:drawing>
          <wp:inline distT="0" distB="0" distL="0" distR="0">
            <wp:extent cx="95250" cy="95250"/>
            <wp:effectExtent l="0" t="0" r="0" b="0"/>
            <wp:docPr id="2179" name="Image 2179"/>
            <wp:cNvGraphicFramePr>
              <a:graphicFrameLocks/>
            </wp:cNvGraphicFramePr>
            <a:graphic>
              <a:graphicData uri="http://schemas.openxmlformats.org/drawingml/2006/picture">
                <pic:pic>
                  <pic:nvPicPr>
                    <pic:cNvPr id="2179" name="Image 2179"/>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Windows OS</w:t>
      </w:r>
    </w:p>
    <w:p>
      <w:pPr>
        <w:pStyle w:val="Heading3"/>
        <w:spacing w:before="218"/>
        <w:ind w:left="1574"/>
      </w:pPr>
      <w:bookmarkStart w:name="Navigator List" w:id="392"/>
      <w:bookmarkEnd w:id="392"/>
      <w:r>
        <w:rPr>
          <w:b w:val="0"/>
        </w:rPr>
      </w:r>
      <w:r>
        <w:rPr>
          <w:color w:val="231F20"/>
        </w:rPr>
        <w:t>Navigator</w:t>
      </w:r>
      <w:r>
        <w:rPr>
          <w:color w:val="231F20"/>
          <w:spacing w:val="2"/>
        </w:rPr>
        <w:t> </w:t>
      </w:r>
      <w:r>
        <w:rPr>
          <w:color w:val="231F20"/>
          <w:spacing w:val="-4"/>
        </w:rPr>
        <w:t>List</w:t>
      </w:r>
    </w:p>
    <w:p>
      <w:pPr>
        <w:pStyle w:val="BodyText"/>
        <w:spacing w:line="213" w:lineRule="auto" w:before="58"/>
        <w:ind w:left="2472" w:right="274"/>
      </w:pPr>
      <w:r>
        <w:rPr>
          <w:color w:val="231F20"/>
        </w:rPr>
        <w:t>After you right-click an item in the Navigator view or in the Navigator editor </w:t>
      </w:r>
      <w:r>
        <w:rPr>
          <w:color w:val="231F20"/>
        </w:rPr>
        <w:t>and click </w:t>
      </w:r>
      <w:r>
        <w:rPr>
          <w:color w:val="231F20"/>
          <w:spacing w:val="16"/>
          <w:position w:val="-1"/>
        </w:rPr>
        <w:drawing>
          <wp:inline distT="0" distB="0" distL="0" distR="0">
            <wp:extent cx="101600" cy="88900"/>
            <wp:effectExtent l="0" t="0" r="0" b="0"/>
            <wp:docPr id="2180" name="Image 2180"/>
            <wp:cNvGraphicFramePr>
              <a:graphicFrameLocks/>
            </wp:cNvGraphicFramePr>
            <a:graphic>
              <a:graphicData uri="http://schemas.openxmlformats.org/drawingml/2006/picture">
                <pic:pic>
                  <pic:nvPicPr>
                    <pic:cNvPr id="2180" name="Image 2180"/>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Show Navigator List</w:t>
      </w:r>
      <w:r>
        <w:rPr>
          <w:color w:val="231F20"/>
        </w:rPr>
        <w:t>, this dialog box opens with a list of the Navigator views that the Navigator item belongs to.</w:t>
      </w:r>
    </w:p>
    <w:p>
      <w:pPr>
        <w:pStyle w:val="BodyText"/>
        <w:spacing w:line="213" w:lineRule="auto" w:before="238"/>
        <w:ind w:left="2472" w:right="385"/>
      </w:pPr>
      <w:r>
        <w:rPr>
          <w:color w:val="231F20"/>
        </w:rPr>
        <w:t>The Navigator views shown include the current Navigator item. A number in parentheses after the view name indicates that there are multiple instances of </w:t>
      </w:r>
      <w:r>
        <w:rPr>
          <w:color w:val="231F20"/>
        </w:rPr>
        <w:t>this Navigator item in the Navigator view. For example, </w:t>
      </w:r>
      <w:r>
        <w:rPr>
          <w:color w:val="231F20"/>
          <w:spacing w:val="15"/>
          <w:position w:val="-1"/>
        </w:rPr>
        <w:drawing>
          <wp:inline distT="0" distB="0" distL="0" distR="0">
            <wp:extent cx="101600" cy="88900"/>
            <wp:effectExtent l="0" t="0" r="0" b="0"/>
            <wp:docPr id="2181" name="Image 2181"/>
            <wp:cNvGraphicFramePr>
              <a:graphicFrameLocks/>
            </wp:cNvGraphicFramePr>
            <a:graphic>
              <a:graphicData uri="http://schemas.openxmlformats.org/drawingml/2006/picture">
                <pic:pic>
                  <pic:nvPicPr>
                    <pic:cNvPr id="2181" name="Image 2181"/>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Logical (2) means the Navigator view has two instances of this item.</w:t>
      </w:r>
    </w:p>
    <w:p>
      <w:pPr>
        <w:pStyle w:val="BodyText"/>
        <w:spacing w:before="213"/>
        <w:ind w:left="2472"/>
      </w:pPr>
      <w:r>
        <w:rPr>
          <w:color w:val="231F20"/>
        </w:rPr>
        <w:t>To</w:t>
      </w:r>
      <w:r>
        <w:rPr>
          <w:color w:val="231F20"/>
          <w:spacing w:val="7"/>
        </w:rPr>
        <w:t> </w:t>
      </w:r>
      <w:r>
        <w:rPr>
          <w:color w:val="231F20"/>
        </w:rPr>
        <w:t>open</w:t>
      </w:r>
      <w:r>
        <w:rPr>
          <w:color w:val="231F20"/>
          <w:spacing w:val="7"/>
        </w:rPr>
        <w:t> </w:t>
      </w:r>
      <w:r>
        <w:rPr>
          <w:color w:val="231F20"/>
        </w:rPr>
        <w:t>another</w:t>
      </w:r>
      <w:r>
        <w:rPr>
          <w:color w:val="231F20"/>
          <w:spacing w:val="8"/>
        </w:rPr>
        <w:t> </w:t>
      </w:r>
      <w:r>
        <w:rPr>
          <w:color w:val="231F20"/>
        </w:rPr>
        <w:t>Navigator</w:t>
      </w:r>
      <w:r>
        <w:rPr>
          <w:color w:val="231F20"/>
          <w:spacing w:val="7"/>
        </w:rPr>
        <w:t> </w:t>
      </w:r>
      <w:r>
        <w:rPr>
          <w:color w:val="231F20"/>
        </w:rPr>
        <w:t>view,</w:t>
      </w:r>
      <w:r>
        <w:rPr>
          <w:color w:val="231F20"/>
          <w:spacing w:val="8"/>
        </w:rPr>
        <w:t> </w:t>
      </w:r>
      <w:r>
        <w:rPr>
          <w:color w:val="231F20"/>
        </w:rPr>
        <w:t>select</w:t>
      </w:r>
      <w:r>
        <w:rPr>
          <w:color w:val="231F20"/>
          <w:spacing w:val="7"/>
        </w:rPr>
        <w:t> </w:t>
      </w:r>
      <w:r>
        <w:rPr>
          <w:color w:val="231F20"/>
        </w:rPr>
        <w:t>it</w:t>
      </w:r>
      <w:r>
        <w:rPr>
          <w:color w:val="231F20"/>
          <w:spacing w:val="8"/>
        </w:rPr>
        <w:t> </w:t>
      </w:r>
      <w:r>
        <w:rPr>
          <w:color w:val="231F20"/>
        </w:rPr>
        <w:t>and</w:t>
      </w:r>
      <w:r>
        <w:rPr>
          <w:color w:val="231F20"/>
          <w:spacing w:val="7"/>
        </w:rPr>
        <w:t> </w:t>
      </w:r>
      <w:r>
        <w:rPr>
          <w:color w:val="231F20"/>
        </w:rPr>
        <w:t>click</w:t>
      </w:r>
      <w:r>
        <w:rPr>
          <w:color w:val="231F20"/>
          <w:spacing w:val="8"/>
        </w:rPr>
        <w:t> </w:t>
      </w:r>
      <w:r>
        <w:rPr>
          <w:rFonts w:ascii="Book Antiqua"/>
          <w:b/>
          <w:color w:val="231F20"/>
        </w:rPr>
        <w:t>Switch</w:t>
      </w:r>
      <w:r>
        <w:rPr>
          <w:rFonts w:ascii="Book Antiqua"/>
          <w:b/>
          <w:color w:val="231F20"/>
          <w:spacing w:val="7"/>
        </w:rPr>
        <w:t> </w:t>
      </w:r>
      <w:r>
        <w:rPr>
          <w:rFonts w:ascii="Book Antiqua"/>
          <w:b/>
          <w:color w:val="231F20"/>
          <w:spacing w:val="-5"/>
        </w:rPr>
        <w:t>to</w:t>
      </w:r>
      <w:r>
        <w:rPr>
          <w:color w:val="231F20"/>
          <w:spacing w:val="-5"/>
        </w:rPr>
        <w:t>.</w:t>
      </w:r>
    </w:p>
    <w:p>
      <w:pPr>
        <w:spacing w:after="0"/>
        <w:sectPr>
          <w:pgSz w:w="12240" w:h="15840"/>
          <w:pgMar w:header="0" w:footer="736" w:top="1180" w:bottom="920" w:left="1000" w:right="1060"/>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line="20" w:lineRule="exact"/>
        <w:ind w:left="436"/>
        <w:rPr>
          <w:sz w:val="2"/>
        </w:rPr>
      </w:pPr>
      <w:bookmarkStart w:name="_bookmark181" w:id="393"/>
      <w:bookmarkEnd w:id="393"/>
      <w:r>
        <w:rPr/>
      </w:r>
      <w:r>
        <w:rPr>
          <w:sz w:val="2"/>
        </w:rPr>
        <mc:AlternateContent>
          <mc:Choice Requires="wps">
            <w:drawing>
              <wp:inline distT="0" distB="0" distL="0" distR="0">
                <wp:extent cx="6082665" cy="25400"/>
                <wp:effectExtent l="19050" t="0" r="3810" b="3175"/>
                <wp:docPr id="2185" name="Group 2185"/>
                <wp:cNvGraphicFramePr>
                  <a:graphicFrameLocks/>
                </wp:cNvGraphicFramePr>
                <a:graphic>
                  <a:graphicData uri="http://schemas.microsoft.com/office/word/2010/wordprocessingGroup">
                    <wpg:wgp>
                      <wpg:cNvPr id="2185" name="Group 2185"/>
                      <wpg:cNvGrpSpPr/>
                      <wpg:grpSpPr>
                        <a:xfrm>
                          <a:off x="0" y="0"/>
                          <a:ext cx="6082665" cy="25400"/>
                          <a:chExt cx="6082665" cy="25400"/>
                        </a:xfrm>
                      </wpg:grpSpPr>
                      <wps:wsp>
                        <wps:cNvPr id="2186" name="Graphic 218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06"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10. Situations for event monitor" w:id="394"/>
      <w:bookmarkEnd w:id="394"/>
      <w:r>
        <w:rPr>
          <w:b w:val="0"/>
        </w:rPr>
      </w:r>
      <w:bookmarkStart w:name="_bookmark180" w:id="395"/>
      <w:bookmarkEnd w:id="395"/>
      <w:r>
        <w:rPr>
          <w:b w:val="0"/>
        </w:rPr>
      </w:r>
      <w:r>
        <w:rPr>
          <w:color w:val="231F20"/>
        </w:rPr>
        <w:t>Chapter</w:t>
      </w:r>
      <w:r>
        <w:rPr>
          <w:color w:val="231F20"/>
          <w:spacing w:val="-9"/>
        </w:rPr>
        <w:t> </w:t>
      </w:r>
      <w:r>
        <w:rPr>
          <w:color w:val="231F20"/>
        </w:rPr>
        <w:t>10.</w:t>
      </w:r>
      <w:r>
        <w:rPr>
          <w:color w:val="231F20"/>
          <w:spacing w:val="8"/>
        </w:rPr>
        <w:t> </w:t>
      </w:r>
      <w:r>
        <w:rPr>
          <w:color w:val="231F20"/>
        </w:rPr>
        <w:t>Situations</w:t>
      </w:r>
      <w:r>
        <w:rPr>
          <w:color w:val="231F20"/>
          <w:spacing w:val="7"/>
        </w:rPr>
        <w:t> </w:t>
      </w:r>
      <w:r>
        <w:rPr>
          <w:color w:val="231F20"/>
        </w:rPr>
        <w:t>for</w:t>
      </w:r>
      <w:r>
        <w:rPr>
          <w:color w:val="231F20"/>
          <w:spacing w:val="8"/>
        </w:rPr>
        <w:t> </w:t>
      </w:r>
      <w:r>
        <w:rPr>
          <w:color w:val="231F20"/>
        </w:rPr>
        <w:t>event</w:t>
      </w:r>
      <w:r>
        <w:rPr>
          <w:color w:val="231F20"/>
          <w:spacing w:val="8"/>
        </w:rPr>
        <w:t> </w:t>
      </w:r>
      <w:r>
        <w:rPr>
          <w:color w:val="231F20"/>
          <w:spacing w:val="-2"/>
        </w:rPr>
        <w:t>monitoring</w:t>
      </w:r>
    </w:p>
    <w:p>
      <w:pPr>
        <w:pStyle w:val="BodyText"/>
        <w:spacing w:before="10"/>
        <w:rPr>
          <w:rFonts w:ascii="Arial"/>
          <w:b/>
          <w:sz w:val="17"/>
        </w:rPr>
      </w:pPr>
    </w:p>
    <w:p>
      <w:pPr>
        <w:spacing w:after="0"/>
        <w:rPr>
          <w:rFonts w:ascii="Arial"/>
          <w:sz w:val="17"/>
        </w:rPr>
        <w:sectPr>
          <w:footerReference w:type="default" r:id="rId365"/>
          <w:footerReference w:type="even" r:id="rId366"/>
          <w:pgSz w:w="12240" w:h="15840"/>
          <w:pgMar w:header="0" w:footer="736" w:top="1300" w:bottom="920" w:left="1000" w:right="1060"/>
          <w:pgNumType w:start="249"/>
        </w:sect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204"/>
        <w:rPr>
          <w:rFonts w:ascii="Arial"/>
          <w:b/>
          <w:sz w:val="28"/>
        </w:rPr>
      </w:pPr>
    </w:p>
    <w:p>
      <w:pPr>
        <w:pStyle w:val="Heading3"/>
        <w:spacing w:before="0"/>
      </w:pPr>
      <w:bookmarkStart w:name="Overview" w:id="396"/>
      <w:bookmarkEnd w:id="396"/>
      <w:r>
        <w:rPr>
          <w:b w:val="0"/>
        </w:rPr>
      </w:r>
      <w:r>
        <w:rPr>
          <w:color w:val="231F20"/>
          <w:spacing w:val="-2"/>
        </w:rPr>
        <w:t>Overview</w:t>
      </w:r>
    </w:p>
    <w:p>
      <w:pPr>
        <w:pStyle w:val="BodyText"/>
        <w:spacing w:line="213" w:lineRule="auto" w:before="99"/>
        <w:ind w:left="436" w:right="372"/>
      </w:pPr>
      <w:r>
        <w:rPr/>
        <w:br w:type="column"/>
      </w:r>
      <w:r>
        <w:rPr>
          <w:color w:val="231F20"/>
        </w:rPr>
        <w:t>Situations are definitions of conditions to test, such as slow transaction rates or invalid logon attempts. Use situations to raise alerts of certain conditions and </w:t>
      </w:r>
      <w:r>
        <w:rPr>
          <w:color w:val="231F20"/>
        </w:rPr>
        <w:t>to trigger single action commands or automated workflows.</w:t>
      </w:r>
    </w:p>
    <w:p>
      <w:pPr>
        <w:pStyle w:val="BodyText"/>
        <w:spacing w:line="213" w:lineRule="auto" w:before="237"/>
        <w:ind w:left="436" w:right="297"/>
      </w:pPr>
      <w:r>
        <w:rPr/>
        <mc:AlternateContent>
          <mc:Choice Requires="wps">
            <w:drawing>
              <wp:anchor distT="0" distB="0" distL="0" distR="0" allowOverlap="1" layoutInCell="1" locked="0" behindDoc="0" simplePos="0" relativeHeight="15860224">
                <wp:simplePos x="0" y="0"/>
                <wp:positionH relativeFrom="page">
                  <wp:posOffset>912380</wp:posOffset>
                </wp:positionH>
                <wp:positionV relativeFrom="paragraph">
                  <wp:posOffset>611605</wp:posOffset>
                </wp:positionV>
                <wp:extent cx="6082665" cy="1270"/>
                <wp:effectExtent l="0" t="0" r="0" b="0"/>
                <wp:wrapNone/>
                <wp:docPr id="2187" name="Graphic 2187"/>
                <wp:cNvGraphicFramePr>
                  <a:graphicFrameLocks/>
                </wp:cNvGraphicFramePr>
                <a:graphic>
                  <a:graphicData uri="http://schemas.microsoft.com/office/word/2010/wordprocessingShape">
                    <wps:wsp>
                      <wps:cNvPr id="2187" name="Graphic 218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60224" from="71.841003pt,48.157921pt" to="550.783003pt,48.157921pt" stroked="true" strokeweight=".499pt" strokecolor="#231f20">
                <v:stroke dashstyle="solid"/>
                <w10:wrap type="none"/>
              </v:line>
            </w:pict>
          </mc:Fallback>
        </mc:AlternateContent>
      </w:r>
      <w:r>
        <w:rPr>
          <w:color w:val="231F20"/>
        </w:rPr>
        <w:t>Your user ID must have Modify Situation permission to open the Situation </w:t>
      </w:r>
      <w:r>
        <w:rPr>
          <w:color w:val="231F20"/>
        </w:rPr>
        <w:t>editor for creating and maintaining situations.</w:t>
      </w:r>
    </w:p>
    <w:p>
      <w:pPr>
        <w:pStyle w:val="BodyText"/>
      </w:pPr>
    </w:p>
    <w:p>
      <w:pPr>
        <w:pStyle w:val="BodyText"/>
        <w:spacing w:before="197"/>
      </w:pPr>
    </w:p>
    <w:p>
      <w:pPr>
        <w:pStyle w:val="BodyText"/>
        <w:spacing w:line="213" w:lineRule="auto" w:before="1"/>
        <w:ind w:left="436" w:right="403"/>
      </w:pPr>
      <w:r>
        <w:rPr>
          <w:color w:val="231F20"/>
        </w:rPr>
        <w:t>You can create monitoring specifications called situations to detect when specific conditions or events in your environment occur, thus raising an alert. Each situation is assigned to one or more managed systems that is to be monitored for specific conditions.</w:t>
      </w:r>
    </w:p>
    <w:p>
      <w:pPr>
        <w:pStyle w:val="Heading6"/>
        <w:spacing w:before="115"/>
        <w:ind w:left="436"/>
      </w:pPr>
      <w:r>
        <w:rPr>
          <w:color w:val="231F20"/>
        </w:rPr>
        <w:t>Predefined</w:t>
      </w:r>
      <w:r>
        <w:rPr>
          <w:color w:val="231F20"/>
          <w:spacing w:val="5"/>
        </w:rPr>
        <w:t> </w:t>
      </w:r>
      <w:r>
        <w:rPr>
          <w:color w:val="231F20"/>
          <w:spacing w:val="-2"/>
        </w:rPr>
        <w:t>situations</w:t>
      </w:r>
    </w:p>
    <w:p>
      <w:pPr>
        <w:pStyle w:val="BodyText"/>
        <w:spacing w:line="213" w:lineRule="auto" w:before="12"/>
        <w:ind w:left="1155" w:right="297"/>
      </w:pPr>
      <w:r>
        <w:rPr>
          <w:color w:val="231F20"/>
        </w:rPr>
        <w:t>Every monitoring agent comes with a set of predefined situations so that</w:t>
      </w:r>
      <w:r>
        <w:rPr>
          <w:color w:val="231F20"/>
          <w:spacing w:val="40"/>
        </w:rPr>
        <w:t> </w:t>
      </w:r>
      <w:r>
        <w:rPr>
          <w:color w:val="231F20"/>
        </w:rPr>
        <w:t>you can begin monitoring as soon as you begin using the Tivoli Enterprise Portal. Most of the predefined situations require you to enable them before they can monitor for events. This involves setting them to Run at startup </w:t>
      </w:r>
      <w:r>
        <w:rPr>
          <w:color w:val="231F20"/>
        </w:rPr>
        <w:t>if you want them turned on automatically with the agentYou can edit the thresholds of these situations to match your environment, as well as create your own situations.</w:t>
      </w:r>
    </w:p>
    <w:p>
      <w:pPr>
        <w:pStyle w:val="Heading6"/>
        <w:spacing w:before="114"/>
        <w:ind w:left="436"/>
      </w:pPr>
      <w:r>
        <w:rPr>
          <w:color w:val="231F20"/>
        </w:rPr>
        <w:t>Situations</w:t>
      </w:r>
      <w:r>
        <w:rPr>
          <w:color w:val="231F20"/>
          <w:spacing w:val="10"/>
        </w:rPr>
        <w:t> </w:t>
      </w:r>
      <w:r>
        <w:rPr>
          <w:color w:val="231F20"/>
        </w:rPr>
        <w:t>for</w:t>
      </w:r>
      <w:r>
        <w:rPr>
          <w:color w:val="231F20"/>
          <w:spacing w:val="11"/>
        </w:rPr>
        <w:t> </w:t>
      </w:r>
      <w:r>
        <w:rPr>
          <w:color w:val="231F20"/>
        </w:rPr>
        <w:t>pure</w:t>
      </w:r>
      <w:r>
        <w:rPr>
          <w:color w:val="231F20"/>
          <w:spacing w:val="11"/>
        </w:rPr>
        <w:t> </w:t>
      </w:r>
      <w:r>
        <w:rPr>
          <w:color w:val="231F20"/>
        </w:rPr>
        <w:t>events</w:t>
      </w:r>
      <w:r>
        <w:rPr>
          <w:color w:val="231F20"/>
          <w:spacing w:val="10"/>
        </w:rPr>
        <w:t> </w:t>
      </w:r>
      <w:r>
        <w:rPr>
          <w:color w:val="231F20"/>
        </w:rPr>
        <w:t>or</w:t>
      </w:r>
      <w:r>
        <w:rPr>
          <w:color w:val="231F20"/>
          <w:spacing w:val="11"/>
        </w:rPr>
        <w:t> </w:t>
      </w:r>
      <w:r>
        <w:rPr>
          <w:color w:val="231F20"/>
        </w:rPr>
        <w:t>sampled</w:t>
      </w:r>
      <w:r>
        <w:rPr>
          <w:color w:val="231F20"/>
          <w:spacing w:val="11"/>
        </w:rPr>
        <w:t> </w:t>
      </w:r>
      <w:r>
        <w:rPr>
          <w:color w:val="231F20"/>
          <w:spacing w:val="-2"/>
        </w:rPr>
        <w:t>events</w:t>
      </w:r>
    </w:p>
    <w:p>
      <w:pPr>
        <w:pStyle w:val="BodyText"/>
        <w:spacing w:line="213" w:lineRule="auto" w:before="11"/>
        <w:ind w:left="1155" w:right="215"/>
      </w:pPr>
      <w:r>
        <w:rPr>
          <w:color w:val="231F20"/>
        </w:rPr>
        <w:t>The event that opens for a situation can be </w:t>
      </w:r>
      <w:r>
        <w:rPr>
          <w:rFonts w:ascii="Book Antiqua"/>
          <w:i/>
          <w:color w:val="231F20"/>
        </w:rPr>
        <w:t>pure </w:t>
      </w:r>
      <w:r>
        <w:rPr>
          <w:color w:val="231F20"/>
        </w:rPr>
        <w:t>or </w:t>
      </w:r>
      <w:r>
        <w:rPr>
          <w:rFonts w:ascii="Book Antiqua"/>
          <w:i/>
          <w:color w:val="231F20"/>
        </w:rPr>
        <w:t>sampled</w:t>
      </w:r>
      <w:r>
        <w:rPr>
          <w:color w:val="231F20"/>
        </w:rPr>
        <w:t>. When the determination of the event is based on observations made at specific intervals, it is known as a sampled event. When the event is based on a</w:t>
      </w:r>
      <w:r>
        <w:rPr>
          <w:color w:val="231F20"/>
          <w:spacing w:val="40"/>
        </w:rPr>
        <w:t> </w:t>
      </w:r>
      <w:r>
        <w:rPr>
          <w:color w:val="231F20"/>
        </w:rPr>
        <w:t>spontaneous occurrence, it is known as a pure event. Therefore, situations for sampled events have an interval associated with them, while those for pure events have no interval. Another characteristic of sampled events is</w:t>
      </w:r>
      <w:r>
        <w:rPr>
          <w:color w:val="231F20"/>
          <w:spacing w:val="40"/>
        </w:rPr>
        <w:t> </w:t>
      </w:r>
      <w:r>
        <w:rPr>
          <w:color w:val="231F20"/>
        </w:rPr>
        <w:t>that</w:t>
      </w:r>
      <w:r>
        <w:rPr>
          <w:color w:val="231F20"/>
          <w:spacing w:val="26"/>
        </w:rPr>
        <w:t> </w:t>
      </w:r>
      <w:r>
        <w:rPr>
          <w:color w:val="231F20"/>
        </w:rPr>
        <w:t>the</w:t>
      </w:r>
      <w:r>
        <w:rPr>
          <w:color w:val="231F20"/>
          <w:spacing w:val="26"/>
        </w:rPr>
        <w:t> </w:t>
      </w:r>
      <w:r>
        <w:rPr>
          <w:color w:val="231F20"/>
        </w:rPr>
        <w:t>condition</w:t>
      </w:r>
      <w:r>
        <w:rPr>
          <w:color w:val="231F20"/>
          <w:spacing w:val="26"/>
        </w:rPr>
        <w:t> </w:t>
      </w:r>
      <w:r>
        <w:rPr>
          <w:color w:val="231F20"/>
        </w:rPr>
        <w:t>that</w:t>
      </w:r>
      <w:r>
        <w:rPr>
          <w:color w:val="231F20"/>
          <w:spacing w:val="26"/>
        </w:rPr>
        <w:t> </w:t>
      </w:r>
      <w:r>
        <w:rPr>
          <w:color w:val="231F20"/>
        </w:rPr>
        <w:t>caused</w:t>
      </w:r>
      <w:r>
        <w:rPr>
          <w:color w:val="231F20"/>
          <w:spacing w:val="26"/>
        </w:rPr>
        <w:t> </w:t>
      </w:r>
      <w:r>
        <w:rPr>
          <w:color w:val="231F20"/>
        </w:rPr>
        <w:t>the</w:t>
      </w:r>
      <w:r>
        <w:rPr>
          <w:color w:val="231F20"/>
          <w:spacing w:val="26"/>
        </w:rPr>
        <w:t> </w:t>
      </w:r>
      <w:r>
        <w:rPr>
          <w:color w:val="231F20"/>
        </w:rPr>
        <w:t>event</w:t>
      </w:r>
      <w:r>
        <w:rPr>
          <w:color w:val="231F20"/>
          <w:spacing w:val="26"/>
        </w:rPr>
        <w:t> </w:t>
      </w:r>
      <w:r>
        <w:rPr>
          <w:color w:val="231F20"/>
        </w:rPr>
        <w:t>can</w:t>
      </w:r>
      <w:r>
        <w:rPr>
          <w:color w:val="231F20"/>
          <w:spacing w:val="26"/>
        </w:rPr>
        <w:t> </w:t>
      </w:r>
      <w:r>
        <w:rPr>
          <w:color w:val="231F20"/>
        </w:rPr>
        <w:t>change,</w:t>
      </w:r>
      <w:r>
        <w:rPr>
          <w:color w:val="231F20"/>
          <w:spacing w:val="26"/>
        </w:rPr>
        <w:t> </w:t>
      </w:r>
      <w:r>
        <w:rPr>
          <w:color w:val="231F20"/>
        </w:rPr>
        <w:t>thus</w:t>
      </w:r>
      <w:r>
        <w:rPr>
          <w:color w:val="231F20"/>
          <w:spacing w:val="26"/>
        </w:rPr>
        <w:t> </w:t>
      </w:r>
      <w:r>
        <w:rPr>
          <w:color w:val="231F20"/>
        </w:rPr>
        <w:t>causing</w:t>
      </w:r>
      <w:r>
        <w:rPr>
          <w:color w:val="231F20"/>
          <w:spacing w:val="26"/>
        </w:rPr>
        <w:t> </w:t>
      </w:r>
      <w:r>
        <w:rPr>
          <w:color w:val="231F20"/>
        </w:rPr>
        <w:t>it</w:t>
      </w:r>
      <w:r>
        <w:rPr>
          <w:color w:val="231F20"/>
          <w:spacing w:val="26"/>
        </w:rPr>
        <w:t> </w:t>
      </w:r>
      <w:r>
        <w:rPr>
          <w:color w:val="231F20"/>
        </w:rPr>
        <w:t>to</w:t>
      </w:r>
      <w:r>
        <w:rPr>
          <w:color w:val="231F20"/>
          <w:spacing w:val="26"/>
        </w:rPr>
        <w:t> </w:t>
      </w:r>
      <w:r>
        <w:rPr>
          <w:color w:val="231F20"/>
        </w:rPr>
        <w:t>be no longer true. This is not the case with pure events: Pure events cannot change. Therefore, alerts raised for sampled events can transition from </w:t>
      </w:r>
      <w:r>
        <w:rPr>
          <w:color w:val="231F20"/>
        </w:rPr>
        <w:t>true to not true, while a pure event stays true when it occurs.</w:t>
      </w:r>
    </w:p>
    <w:p>
      <w:pPr>
        <w:pStyle w:val="BodyText"/>
        <w:spacing w:line="213" w:lineRule="auto" w:before="113"/>
        <w:ind w:left="1155" w:right="403"/>
      </w:pPr>
      <w:r>
        <w:rPr>
          <w:color w:val="231F20"/>
        </w:rPr>
        <w:t>An example of a sampled situation is disk free space &lt; 10%. The sample</w:t>
      </w:r>
      <w:r>
        <w:rPr>
          <w:color w:val="231F20"/>
          <w:spacing w:val="40"/>
        </w:rPr>
        <w:t> </w:t>
      </w:r>
      <w:r>
        <w:rPr>
          <w:color w:val="231F20"/>
        </w:rPr>
        <w:t>situation becomes true when the available disk space falls below 10% </w:t>
      </w:r>
      <w:r>
        <w:rPr>
          <w:color w:val="231F20"/>
        </w:rPr>
        <w:t>and later becomes false again after unneeded files are deleted and the disk space goes to 11% or higher. A situation that monitors for an invalid user logon attempt is a pure event: the event occurs when an invalid logon attempt is detected, and does not become a False event.</w:t>
      </w:r>
    </w:p>
    <w:p>
      <w:pPr>
        <w:pStyle w:val="Heading6"/>
        <w:spacing w:before="114"/>
        <w:ind w:left="436"/>
      </w:pPr>
      <w:r>
        <w:rPr>
          <w:color w:val="231F20"/>
        </w:rPr>
        <w:t>Situation</w:t>
      </w:r>
      <w:r>
        <w:rPr>
          <w:color w:val="231F20"/>
          <w:spacing w:val="7"/>
        </w:rPr>
        <w:t> </w:t>
      </w:r>
      <w:r>
        <w:rPr>
          <w:color w:val="231F20"/>
          <w:spacing w:val="-2"/>
        </w:rPr>
        <w:t>editor</w:t>
      </w:r>
    </w:p>
    <w:p>
      <w:pPr>
        <w:pStyle w:val="BodyText"/>
        <w:spacing w:line="213" w:lineRule="auto" w:before="12"/>
        <w:ind w:left="1155" w:right="403"/>
      </w:pPr>
      <w:r>
        <w:rPr>
          <w:color w:val="231F20"/>
        </w:rPr>
        <w:t>Open the Situation editor to see the definition of situations, edit them, </w:t>
      </w:r>
      <w:r>
        <w:rPr>
          <w:color w:val="231F20"/>
        </w:rPr>
        <w:t>or</w:t>
      </w:r>
      <w:r>
        <w:rPr>
          <w:color w:val="231F20"/>
          <w:spacing w:val="40"/>
        </w:rPr>
        <w:t> </w:t>
      </w:r>
      <w:r>
        <w:rPr>
          <w:color w:val="231F20"/>
        </w:rPr>
        <w:t>to create new situations. The Situation editor has tabs for:</w:t>
      </w:r>
    </w:p>
    <w:p>
      <w:pPr>
        <w:pStyle w:val="BodyText"/>
        <w:spacing w:line="213" w:lineRule="auto" w:before="58"/>
        <w:ind w:left="1454" w:right="297"/>
      </w:pPr>
      <w:r>
        <w:rPr>
          <w:position w:val="-1"/>
        </w:rPr>
        <w:drawing>
          <wp:inline distT="0" distB="0" distL="0" distR="0">
            <wp:extent cx="101600" cy="101600"/>
            <wp:effectExtent l="0" t="0" r="0" b="0"/>
            <wp:docPr id="2188" name="Image 2188"/>
            <wp:cNvGraphicFramePr>
              <a:graphicFrameLocks/>
            </wp:cNvGraphicFramePr>
            <a:graphic>
              <a:graphicData uri="http://schemas.openxmlformats.org/drawingml/2006/picture">
                <pic:pic>
                  <pic:nvPicPr>
                    <pic:cNvPr id="2188" name="Image 2188"/>
                    <pic:cNvPicPr/>
                  </pic:nvPicPr>
                  <pic:blipFill>
                    <a:blip r:embed="rId98"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Composing the condition that will trigger the situation to fire, </w:t>
      </w:r>
      <w:r>
        <w:rPr>
          <w:color w:val="231F20"/>
        </w:rPr>
        <w:t>along with the interval between tests and the severity of the alert indicator (such as critical or harmless). When you open or create a situation, the column names that show in the formula editor are the names of the attributes being tested by the situation.</w:t>
      </w:r>
    </w:p>
    <w:p>
      <w:pPr>
        <w:pStyle w:val="BodyText"/>
        <w:spacing w:before="39"/>
        <w:ind w:left="1474"/>
      </w:pPr>
      <w:r>
        <w:rPr/>
        <w:drawing>
          <wp:inline distT="0" distB="0" distL="0" distR="0">
            <wp:extent cx="101600" cy="82550"/>
            <wp:effectExtent l="0" t="0" r="0" b="0"/>
            <wp:docPr id="2189" name="Image 2189"/>
            <wp:cNvGraphicFramePr>
              <a:graphicFrameLocks/>
            </wp:cNvGraphicFramePr>
            <a:graphic>
              <a:graphicData uri="http://schemas.openxmlformats.org/drawingml/2006/picture">
                <pic:pic>
                  <pic:nvPicPr>
                    <pic:cNvPr id="2189" name="Image 2189"/>
                    <pic:cNvPicPr/>
                  </pic:nvPicPr>
                  <pic:blipFill>
                    <a:blip r:embed="rId367" cstate="print"/>
                    <a:stretch>
                      <a:fillRect/>
                    </a:stretch>
                  </pic:blipFill>
                  <pic:spPr>
                    <a:xfrm>
                      <a:off x="0" y="0"/>
                      <a:ext cx="101600" cy="82550"/>
                    </a:xfrm>
                    <a:prstGeom prst="rect">
                      <a:avLst/>
                    </a:prstGeom>
                  </pic:spPr>
                </pic:pic>
              </a:graphicData>
            </a:graphic>
          </wp:inline>
        </w:drawing>
      </w:r>
      <w:r>
        <w:rPr/>
      </w:r>
      <w:r>
        <w:rPr>
          <w:rFonts w:ascii="Times New Roman"/>
          <w:spacing w:val="80"/>
        </w:rPr>
        <w:t> </w:t>
      </w:r>
      <w:r>
        <w:rPr>
          <w:color w:val="231F20"/>
        </w:rPr>
        <w:t>Selecting</w:t>
      </w:r>
      <w:r>
        <w:rPr>
          <w:color w:val="231F20"/>
          <w:spacing w:val="23"/>
        </w:rPr>
        <w:t> </w:t>
      </w:r>
      <w:r>
        <w:rPr>
          <w:color w:val="231F20"/>
        </w:rPr>
        <w:t>the</w:t>
      </w:r>
      <w:r>
        <w:rPr>
          <w:color w:val="231F20"/>
          <w:spacing w:val="23"/>
        </w:rPr>
        <w:t> </w:t>
      </w:r>
      <w:r>
        <w:rPr>
          <w:color w:val="231F20"/>
        </w:rPr>
        <w:t>systems</w:t>
      </w:r>
      <w:r>
        <w:rPr>
          <w:color w:val="231F20"/>
          <w:spacing w:val="23"/>
        </w:rPr>
        <w:t> </w:t>
      </w:r>
      <w:r>
        <w:rPr>
          <w:color w:val="231F20"/>
        </w:rPr>
        <w:t>to</w:t>
      </w:r>
      <w:r>
        <w:rPr>
          <w:color w:val="231F20"/>
          <w:spacing w:val="23"/>
        </w:rPr>
        <w:t> </w:t>
      </w:r>
      <w:r>
        <w:rPr>
          <w:color w:val="231F20"/>
        </w:rPr>
        <w:t>test</w:t>
      </w:r>
      <w:r>
        <w:rPr>
          <w:color w:val="231F20"/>
          <w:spacing w:val="23"/>
        </w:rPr>
        <w:t> </w:t>
      </w:r>
      <w:r>
        <w:rPr>
          <w:color w:val="231F20"/>
        </w:rPr>
        <w:t>with</w:t>
      </w:r>
      <w:r>
        <w:rPr>
          <w:color w:val="231F20"/>
          <w:spacing w:val="23"/>
        </w:rPr>
        <w:t> </w:t>
      </w:r>
      <w:r>
        <w:rPr>
          <w:color w:val="231F20"/>
        </w:rPr>
        <w:t>the</w:t>
      </w:r>
      <w:r>
        <w:rPr>
          <w:color w:val="231F20"/>
          <w:spacing w:val="23"/>
        </w:rPr>
        <w:t> </w:t>
      </w:r>
      <w:r>
        <w:rPr>
          <w:color w:val="231F20"/>
        </w:rPr>
        <w:t>situation</w:t>
      </w:r>
    </w:p>
    <w:p>
      <w:pPr>
        <w:pStyle w:val="BodyText"/>
        <w:spacing w:before="24"/>
        <w:ind w:left="1454"/>
      </w:pPr>
      <w:r>
        <w:rPr>
          <w:position w:val="-1"/>
        </w:rPr>
        <w:drawing>
          <wp:inline distT="0" distB="0" distL="0" distR="0">
            <wp:extent cx="101600" cy="101600"/>
            <wp:effectExtent l="0" t="0" r="0" b="0"/>
            <wp:docPr id="2190" name="Image 2190"/>
            <wp:cNvGraphicFramePr>
              <a:graphicFrameLocks/>
            </wp:cNvGraphicFramePr>
            <a:graphic>
              <a:graphicData uri="http://schemas.openxmlformats.org/drawingml/2006/picture">
                <pic:pic>
                  <pic:nvPicPr>
                    <pic:cNvPr id="2190" name="Image 2190"/>
                    <pic:cNvPicPr/>
                  </pic:nvPicPr>
                  <pic:blipFill>
                    <a:blip r:embed="rId9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67"/>
        </w:rPr>
        <w:t> </w:t>
      </w:r>
      <w:r>
        <w:rPr>
          <w:color w:val="231F20"/>
        </w:rPr>
        <w:t>Writing</w:t>
      </w:r>
      <w:r>
        <w:rPr>
          <w:color w:val="231F20"/>
          <w:spacing w:val="17"/>
        </w:rPr>
        <w:t> </w:t>
      </w:r>
      <w:r>
        <w:rPr>
          <w:color w:val="231F20"/>
        </w:rPr>
        <w:t>expert</w:t>
      </w:r>
      <w:r>
        <w:rPr>
          <w:color w:val="231F20"/>
          <w:spacing w:val="17"/>
        </w:rPr>
        <w:t> </w:t>
      </w:r>
      <w:r>
        <w:rPr>
          <w:color w:val="231F20"/>
        </w:rPr>
        <w:t>advice</w:t>
      </w:r>
      <w:r>
        <w:rPr>
          <w:color w:val="231F20"/>
          <w:spacing w:val="17"/>
        </w:rPr>
        <w:t> </w:t>
      </w:r>
      <w:r>
        <w:rPr>
          <w:color w:val="231F20"/>
        </w:rPr>
        <w:t>to</w:t>
      </w:r>
      <w:r>
        <w:rPr>
          <w:color w:val="231F20"/>
          <w:spacing w:val="17"/>
        </w:rPr>
        <w:t> </w:t>
      </w:r>
      <w:r>
        <w:rPr>
          <w:color w:val="231F20"/>
        </w:rPr>
        <w:t>appear</w:t>
      </w:r>
      <w:r>
        <w:rPr>
          <w:color w:val="231F20"/>
          <w:spacing w:val="17"/>
        </w:rPr>
        <w:t> </w:t>
      </w:r>
      <w:r>
        <w:rPr>
          <w:color w:val="231F20"/>
        </w:rPr>
        <w:t>in</w:t>
      </w:r>
      <w:r>
        <w:rPr>
          <w:color w:val="231F20"/>
          <w:spacing w:val="17"/>
        </w:rPr>
        <w:t> </w:t>
      </w:r>
      <w:r>
        <w:rPr>
          <w:color w:val="231F20"/>
        </w:rPr>
        <w:t>the</w:t>
      </w:r>
      <w:r>
        <w:rPr>
          <w:color w:val="231F20"/>
          <w:spacing w:val="17"/>
        </w:rPr>
        <w:t> </w:t>
      </w:r>
      <w:r>
        <w:rPr>
          <w:color w:val="231F20"/>
        </w:rPr>
        <w:t>event</w:t>
      </w:r>
      <w:r>
        <w:rPr>
          <w:color w:val="231F20"/>
          <w:spacing w:val="17"/>
        </w:rPr>
        <w:t> </w:t>
      </w:r>
      <w:r>
        <w:rPr>
          <w:color w:val="231F20"/>
        </w:rPr>
        <w:t>results</w:t>
      </w:r>
      <w:r>
        <w:rPr>
          <w:color w:val="231F20"/>
          <w:spacing w:val="17"/>
        </w:rPr>
        <w:t> </w:t>
      </w:r>
      <w:r>
        <w:rPr>
          <w:color w:val="231F20"/>
        </w:rPr>
        <w:t>workspace</w:t>
      </w:r>
    </w:p>
    <w:p>
      <w:pPr>
        <w:spacing w:after="0"/>
        <w:sectPr>
          <w:type w:val="continuous"/>
          <w:pgSz w:w="12240" w:h="15840"/>
          <w:pgMar w:header="0" w:footer="736" w:top="0" w:bottom="4660" w:left="1000" w:right="1060"/>
          <w:cols w:num="2" w:equalWidth="0">
            <w:col w:w="1720" w:space="316"/>
            <w:col w:w="8144"/>
          </w:cols>
        </w:sectPr>
      </w:pPr>
    </w:p>
    <w:p>
      <w:pPr>
        <w:pStyle w:val="BodyText"/>
        <w:spacing w:line="206" w:lineRule="auto" w:before="97"/>
        <w:ind w:left="3250" w:right="545" w:firstLine="20"/>
      </w:pPr>
      <w:r>
        <w:rPr/>
        <w:drawing>
          <wp:inline distT="0" distB="0" distL="0" distR="0">
            <wp:extent cx="76200" cy="95250"/>
            <wp:effectExtent l="0" t="0" r="0" b="0"/>
            <wp:docPr id="2191" name="Image 2191"/>
            <wp:cNvGraphicFramePr>
              <a:graphicFrameLocks/>
            </wp:cNvGraphicFramePr>
            <a:graphic>
              <a:graphicData uri="http://schemas.openxmlformats.org/drawingml/2006/picture">
                <pic:pic>
                  <pic:nvPicPr>
                    <pic:cNvPr id="2191" name="Image 2191"/>
                    <pic:cNvPicPr/>
                  </pic:nvPicPr>
                  <pic:blipFill>
                    <a:blip r:embed="rId54" cstate="print"/>
                    <a:stretch>
                      <a:fillRect/>
                    </a:stretch>
                  </pic:blipFill>
                  <pic:spPr>
                    <a:xfrm>
                      <a:off x="0" y="0"/>
                      <a:ext cx="76200" cy="95250"/>
                    </a:xfrm>
                    <a:prstGeom prst="rect">
                      <a:avLst/>
                    </a:prstGeom>
                  </pic:spPr>
                </pic:pic>
              </a:graphicData>
            </a:graphic>
          </wp:inline>
        </w:drawing>
      </w:r>
      <w:r>
        <w:rPr/>
      </w:r>
      <w:r>
        <w:rPr>
          <w:rFonts w:ascii="Times New Roman"/>
          <w:spacing w:val="40"/>
          <w:position w:val="1"/>
        </w:rPr>
        <w:t> </w:t>
      </w:r>
      <w:r>
        <w:rPr>
          <w:color w:val="231F20"/>
          <w:position w:val="1"/>
        </w:rPr>
        <w:t>Entering a take action command to be run on the system when the</w:t>
      </w:r>
      <w:r>
        <w:rPr>
          <w:color w:val="231F20"/>
          <w:spacing w:val="40"/>
          <w:position w:val="1"/>
        </w:rPr>
        <w:t> </w:t>
      </w:r>
      <w:r>
        <w:rPr>
          <w:color w:val="231F20"/>
        </w:rPr>
        <w:t>situation fires</w:t>
      </w:r>
    </w:p>
    <w:p>
      <w:pPr>
        <w:pStyle w:val="BodyText"/>
        <w:spacing w:line="213" w:lineRule="auto" w:before="62"/>
        <w:ind w:left="3250" w:right="519"/>
      </w:pPr>
      <w:r>
        <w:rPr>
          <w:position w:val="-1"/>
        </w:rPr>
        <w:drawing>
          <wp:inline distT="0" distB="0" distL="0" distR="0">
            <wp:extent cx="101600" cy="101600"/>
            <wp:effectExtent l="0" t="0" r="0" b="0"/>
            <wp:docPr id="2192" name="Image 2192"/>
            <wp:cNvGraphicFramePr>
              <a:graphicFrameLocks/>
            </wp:cNvGraphicFramePr>
            <a:graphic>
              <a:graphicData uri="http://schemas.openxmlformats.org/drawingml/2006/picture">
                <pic:pic>
                  <pic:nvPicPr>
                    <pic:cNvPr id="2192" name="Image 2192"/>
                    <pic:cNvPicPr/>
                  </pic:nvPicPr>
                  <pic:blipFill>
                    <a:blip r:embed="rId368"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Specifying the severity and destination of events that are </w:t>
      </w:r>
      <w:r>
        <w:rPr>
          <w:color w:val="231F20"/>
        </w:rPr>
        <w:t>forwarded </w:t>
      </w:r>
      <w:r>
        <w:rPr>
          <w:color w:val="231F20"/>
          <w:spacing w:val="-2"/>
          <w:w w:val="105"/>
        </w:rPr>
        <w:t>to</w:t>
      </w:r>
      <w:r>
        <w:rPr>
          <w:color w:val="231F20"/>
          <w:spacing w:val="-5"/>
          <w:w w:val="105"/>
        </w:rPr>
        <w:t> </w:t>
      </w:r>
      <w:r>
        <w:rPr>
          <w:color w:val="231F20"/>
          <w:spacing w:val="-2"/>
          <w:w w:val="105"/>
        </w:rPr>
        <w:t>an</w:t>
      </w:r>
      <w:r>
        <w:rPr>
          <w:color w:val="231F20"/>
          <w:spacing w:val="-5"/>
          <w:w w:val="105"/>
        </w:rPr>
        <w:t> </w:t>
      </w:r>
      <w:r>
        <w:rPr>
          <w:color w:val="231F20"/>
          <w:spacing w:val="-2"/>
          <w:w w:val="105"/>
        </w:rPr>
        <w:t>Event</w:t>
      </w:r>
      <w:r>
        <w:rPr>
          <w:color w:val="231F20"/>
          <w:spacing w:val="-5"/>
          <w:w w:val="105"/>
        </w:rPr>
        <w:t> </w:t>
      </w:r>
      <w:r>
        <w:rPr>
          <w:color w:val="231F20"/>
          <w:spacing w:val="-2"/>
          <w:w w:val="105"/>
        </w:rPr>
        <w:t>Integration</w:t>
      </w:r>
      <w:r>
        <w:rPr>
          <w:color w:val="231F20"/>
          <w:spacing w:val="-5"/>
          <w:w w:val="105"/>
        </w:rPr>
        <w:t> </w:t>
      </w:r>
      <w:r>
        <w:rPr>
          <w:color w:val="231F20"/>
          <w:spacing w:val="-2"/>
          <w:w w:val="105"/>
        </w:rPr>
        <w:t>Facility</w:t>
      </w:r>
      <w:r>
        <w:rPr>
          <w:color w:val="231F20"/>
          <w:spacing w:val="-5"/>
          <w:w w:val="105"/>
        </w:rPr>
        <w:t> </w:t>
      </w:r>
      <w:r>
        <w:rPr>
          <w:color w:val="231F20"/>
          <w:spacing w:val="-2"/>
          <w:w w:val="105"/>
        </w:rPr>
        <w:t>receiver.</w:t>
      </w:r>
      <w:r>
        <w:rPr>
          <w:color w:val="231F20"/>
          <w:spacing w:val="-5"/>
          <w:w w:val="105"/>
        </w:rPr>
        <w:t> </w:t>
      </w:r>
      <w:r>
        <w:rPr>
          <w:color w:val="231F20"/>
          <w:spacing w:val="-2"/>
          <w:w w:val="105"/>
        </w:rPr>
        <w:t>(Available</w:t>
      </w:r>
      <w:r>
        <w:rPr>
          <w:color w:val="231F20"/>
          <w:spacing w:val="-5"/>
          <w:w w:val="105"/>
        </w:rPr>
        <w:t> </w:t>
      </w:r>
      <w:r>
        <w:rPr>
          <w:color w:val="231F20"/>
          <w:spacing w:val="-2"/>
          <w:w w:val="105"/>
        </w:rPr>
        <w:t>only</w:t>
      </w:r>
      <w:r>
        <w:rPr>
          <w:color w:val="231F20"/>
          <w:spacing w:val="-5"/>
          <w:w w:val="105"/>
        </w:rPr>
        <w:t> </w:t>
      </w:r>
      <w:r>
        <w:rPr>
          <w:color w:val="231F20"/>
          <w:spacing w:val="-2"/>
          <w:w w:val="105"/>
        </w:rPr>
        <w:t>when</w:t>
      </w:r>
      <w:r>
        <w:rPr>
          <w:color w:val="231F20"/>
          <w:spacing w:val="-5"/>
          <w:w w:val="105"/>
        </w:rPr>
        <w:t> </w:t>
      </w:r>
      <w:r>
        <w:rPr>
          <w:color w:val="231F20"/>
          <w:spacing w:val="-2"/>
          <w:w w:val="105"/>
        </w:rPr>
        <w:t>the</w:t>
      </w:r>
      <w:r>
        <w:rPr>
          <w:color w:val="231F20"/>
          <w:spacing w:val="-5"/>
          <w:w w:val="105"/>
        </w:rPr>
        <w:t> </w:t>
      </w:r>
      <w:r>
        <w:rPr>
          <w:color w:val="231F20"/>
          <w:spacing w:val="-2"/>
          <w:w w:val="105"/>
        </w:rPr>
        <w:t>hub </w:t>
      </w:r>
      <w:r>
        <w:rPr>
          <w:color w:val="231F20"/>
          <w:w w:val="105"/>
        </w:rPr>
        <w:t>Tivoli</w:t>
      </w:r>
      <w:r>
        <w:rPr>
          <w:color w:val="231F20"/>
          <w:spacing w:val="-6"/>
          <w:w w:val="105"/>
        </w:rPr>
        <w:t> </w:t>
      </w:r>
      <w:r>
        <w:rPr>
          <w:color w:val="231F20"/>
          <w:w w:val="105"/>
        </w:rPr>
        <w:t>Enterprise</w:t>
      </w:r>
      <w:r>
        <w:rPr>
          <w:color w:val="231F20"/>
          <w:spacing w:val="-6"/>
          <w:w w:val="105"/>
        </w:rPr>
        <w:t> </w:t>
      </w:r>
      <w:r>
        <w:rPr>
          <w:color w:val="231F20"/>
          <w:w w:val="105"/>
        </w:rPr>
        <w:t>Monitoring</w:t>
      </w:r>
      <w:r>
        <w:rPr>
          <w:color w:val="231F20"/>
          <w:spacing w:val="-6"/>
          <w:w w:val="105"/>
        </w:rPr>
        <w:t> </w:t>
      </w:r>
      <w:r>
        <w:rPr>
          <w:color w:val="231F20"/>
          <w:w w:val="105"/>
        </w:rPr>
        <w:t>Server</w:t>
      </w:r>
      <w:r>
        <w:rPr>
          <w:color w:val="231F20"/>
          <w:spacing w:val="-6"/>
          <w:w w:val="105"/>
        </w:rPr>
        <w:t> </w:t>
      </w:r>
      <w:r>
        <w:rPr>
          <w:color w:val="231F20"/>
          <w:w w:val="105"/>
        </w:rPr>
        <w:t>has</w:t>
      </w:r>
      <w:r>
        <w:rPr>
          <w:color w:val="231F20"/>
          <w:spacing w:val="-6"/>
          <w:w w:val="105"/>
        </w:rPr>
        <w:t> </w:t>
      </w:r>
      <w:r>
        <w:rPr>
          <w:color w:val="231F20"/>
          <w:w w:val="105"/>
        </w:rPr>
        <w:t>been</w:t>
      </w:r>
      <w:r>
        <w:rPr>
          <w:color w:val="231F20"/>
          <w:spacing w:val="-6"/>
          <w:w w:val="105"/>
        </w:rPr>
        <w:t> </w:t>
      </w:r>
      <w:r>
        <w:rPr>
          <w:color w:val="231F20"/>
          <w:w w:val="105"/>
        </w:rPr>
        <w:t>configured</w:t>
      </w:r>
      <w:r>
        <w:rPr>
          <w:color w:val="231F20"/>
          <w:spacing w:val="-6"/>
          <w:w w:val="105"/>
        </w:rPr>
        <w:t> </w:t>
      </w:r>
      <w:r>
        <w:rPr>
          <w:color w:val="231F20"/>
          <w:w w:val="105"/>
        </w:rPr>
        <w:t>to</w:t>
      </w:r>
      <w:r>
        <w:rPr>
          <w:color w:val="231F20"/>
          <w:spacing w:val="-6"/>
          <w:w w:val="105"/>
        </w:rPr>
        <w:t> </w:t>
      </w:r>
      <w:r>
        <w:rPr>
          <w:color w:val="231F20"/>
          <w:w w:val="105"/>
        </w:rPr>
        <w:t>forward </w:t>
      </w:r>
      <w:r>
        <w:rPr>
          <w:color w:val="231F20"/>
          <w:spacing w:val="-2"/>
          <w:w w:val="105"/>
        </w:rPr>
        <w:t>events</w:t>
      </w:r>
      <w:r>
        <w:rPr>
          <w:color w:val="231F20"/>
          <w:spacing w:val="-3"/>
          <w:w w:val="105"/>
        </w:rPr>
        <w:t> </w:t>
      </w:r>
      <w:r>
        <w:rPr>
          <w:color w:val="231F20"/>
          <w:spacing w:val="-2"/>
          <w:w w:val="105"/>
        </w:rPr>
        <w:t>to</w:t>
      </w:r>
      <w:r>
        <w:rPr>
          <w:color w:val="231F20"/>
          <w:spacing w:val="-3"/>
          <w:w w:val="105"/>
        </w:rPr>
        <w:t> </w:t>
      </w:r>
      <w:r>
        <w:rPr>
          <w:color w:val="231F20"/>
          <w:spacing w:val="-2"/>
          <w:w w:val="105"/>
        </w:rPr>
        <w:t>an</w:t>
      </w:r>
      <w:r>
        <w:rPr>
          <w:color w:val="231F20"/>
          <w:spacing w:val="-3"/>
          <w:w w:val="105"/>
        </w:rPr>
        <w:t> </w:t>
      </w:r>
      <w:r>
        <w:rPr>
          <w:color w:val="231F20"/>
          <w:spacing w:val="-2"/>
          <w:w w:val="105"/>
        </w:rPr>
        <w:t>event</w:t>
      </w:r>
      <w:r>
        <w:rPr>
          <w:color w:val="231F20"/>
          <w:spacing w:val="-3"/>
          <w:w w:val="105"/>
        </w:rPr>
        <w:t> </w:t>
      </w:r>
      <w:r>
        <w:rPr>
          <w:color w:val="231F20"/>
          <w:spacing w:val="-2"/>
          <w:w w:val="105"/>
        </w:rPr>
        <w:t>server.</w:t>
      </w:r>
      <w:r>
        <w:rPr>
          <w:color w:val="231F20"/>
          <w:spacing w:val="-3"/>
          <w:w w:val="105"/>
        </w:rPr>
        <w:t> </w:t>
      </w:r>
      <w:r>
        <w:rPr>
          <w:color w:val="231F20"/>
          <w:spacing w:val="-2"/>
          <w:w w:val="105"/>
        </w:rPr>
        <w:t>Refer</w:t>
      </w:r>
      <w:r>
        <w:rPr>
          <w:color w:val="231F20"/>
          <w:spacing w:val="-3"/>
          <w:w w:val="105"/>
        </w:rPr>
        <w:t> </w:t>
      </w:r>
      <w:r>
        <w:rPr>
          <w:color w:val="231F20"/>
          <w:spacing w:val="-2"/>
          <w:w w:val="105"/>
        </w:rPr>
        <w:t>to</w:t>
      </w:r>
      <w:r>
        <w:rPr>
          <w:color w:val="231F20"/>
          <w:spacing w:val="-3"/>
          <w:w w:val="105"/>
        </w:rPr>
        <w:t> </w:t>
      </w:r>
      <w:r>
        <w:rPr>
          <w:color w:val="231F20"/>
          <w:spacing w:val="-2"/>
          <w:w w:val="105"/>
        </w:rPr>
        <w:t>the</w:t>
      </w:r>
      <w:r>
        <w:rPr>
          <w:color w:val="231F20"/>
          <w:spacing w:val="-3"/>
          <w:w w:val="105"/>
        </w:rPr>
        <w:t> </w:t>
      </w:r>
      <w:r>
        <w:rPr>
          <w:color w:val="231F20"/>
          <w:spacing w:val="-2"/>
          <w:w w:val="105"/>
        </w:rPr>
        <w:t>event</w:t>
      </w:r>
      <w:r>
        <w:rPr>
          <w:color w:val="231F20"/>
          <w:spacing w:val="-3"/>
          <w:w w:val="105"/>
        </w:rPr>
        <w:t> </w:t>
      </w:r>
      <w:r>
        <w:rPr>
          <w:color w:val="231F20"/>
          <w:spacing w:val="-2"/>
          <w:w w:val="105"/>
        </w:rPr>
        <w:t>integration</w:t>
      </w:r>
      <w:r>
        <w:rPr>
          <w:color w:val="231F20"/>
          <w:spacing w:val="-3"/>
          <w:w w:val="105"/>
        </w:rPr>
        <w:t> </w:t>
      </w:r>
      <w:r>
        <w:rPr>
          <w:color w:val="231F20"/>
          <w:spacing w:val="-2"/>
          <w:w w:val="105"/>
        </w:rPr>
        <w:t>information</w:t>
      </w:r>
      <w:r>
        <w:rPr>
          <w:color w:val="231F20"/>
          <w:spacing w:val="-3"/>
          <w:w w:val="105"/>
        </w:rPr>
        <w:t> </w:t>
      </w:r>
      <w:r>
        <w:rPr>
          <w:color w:val="231F20"/>
          <w:spacing w:val="-2"/>
          <w:w w:val="105"/>
        </w:rPr>
        <w:t>in </w:t>
      </w:r>
      <w:r>
        <w:rPr>
          <w:color w:val="231F20"/>
          <w:w w:val="105"/>
        </w:rPr>
        <w:t>the </w:t>
      </w:r>
      <w:hyperlink r:id="rId369">
        <w:r>
          <w:rPr>
            <w:rFonts w:ascii="Book Antiqua"/>
            <w:i/>
            <w:color w:val="231F20"/>
            <w:w w:val="105"/>
          </w:rPr>
          <w:t>IBM Tivoli Monitoring Installation and Setup Guide</w:t>
        </w:r>
      </w:hyperlink>
      <w:r>
        <w:rPr>
          <w:rFonts w:ascii="Book Antiqua"/>
          <w:i/>
          <w:color w:val="231F20"/>
          <w:w w:val="105"/>
        </w:rPr>
        <w:t> </w:t>
      </w:r>
      <w:hyperlink r:id="rId349">
        <w:r>
          <w:rPr>
            <w:color w:val="231F20"/>
            <w:spacing w:val="-2"/>
            <w:w w:val="105"/>
          </w:rPr>
          <w:t>(http://pic.dhe.ibm.com/infocenter/tivihelp/v61r1/topic/</w:t>
        </w:r>
      </w:hyperlink>
      <w:r>
        <w:rPr>
          <w:color w:val="231F20"/>
          <w:spacing w:val="80"/>
          <w:w w:val="105"/>
        </w:rPr>
        <w:t> </w:t>
      </w:r>
      <w:r>
        <w:rPr>
          <w:color w:val="231F20"/>
          <w:spacing w:val="-2"/>
          <w:w w:val="105"/>
        </w:rPr>
        <w:t>com.ibm.itm.doc_6.3/install/itm_install.htm).)</w:t>
      </w:r>
    </w:p>
    <w:p>
      <w:pPr>
        <w:pStyle w:val="BodyText"/>
        <w:spacing w:line="213" w:lineRule="auto" w:before="55"/>
        <w:ind w:left="3250" w:right="545"/>
      </w:pPr>
      <w:r>
        <w:rPr>
          <w:position w:val="-1"/>
        </w:rPr>
        <w:drawing>
          <wp:inline distT="0" distB="0" distL="0" distR="0">
            <wp:extent cx="101600" cy="101600"/>
            <wp:effectExtent l="0" t="0" r="0" b="0"/>
            <wp:docPr id="2193" name="Image 2193"/>
            <wp:cNvGraphicFramePr>
              <a:graphicFrameLocks/>
            </wp:cNvGraphicFramePr>
            <a:graphic>
              <a:graphicData uri="http://schemas.openxmlformats.org/drawingml/2006/picture">
                <pic:pic>
                  <pic:nvPicPr>
                    <pic:cNvPr id="2193" name="Image 2193"/>
                    <pic:cNvPicPr/>
                  </pic:nvPicPr>
                  <pic:blipFill>
                    <a:blip r:embed="rId100"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Adding an Until modifier to control when an open event closes: </w:t>
      </w:r>
      <w:r>
        <w:rPr>
          <w:color w:val="231F20"/>
        </w:rPr>
        <w:t>after</w:t>
      </w:r>
      <w:r>
        <w:rPr>
          <w:color w:val="231F20"/>
          <w:spacing w:val="80"/>
        </w:rPr>
        <w:t> </w:t>
      </w:r>
      <w:r>
        <w:rPr>
          <w:color w:val="231F20"/>
        </w:rPr>
        <w:t>a period of time or when another situation is true</w:t>
      </w:r>
    </w:p>
    <w:p>
      <w:pPr>
        <w:pStyle w:val="Heading6"/>
        <w:spacing w:before="118"/>
        <w:ind w:left="2232"/>
      </w:pPr>
      <w:r>
        <w:rPr>
          <w:color w:val="231F20"/>
        </w:rPr>
        <w:t>Situation</w:t>
      </w:r>
      <w:r>
        <w:rPr>
          <w:color w:val="231F20"/>
          <w:spacing w:val="10"/>
        </w:rPr>
        <w:t> </w:t>
      </w:r>
      <w:r>
        <w:rPr>
          <w:color w:val="231F20"/>
        </w:rPr>
        <w:t>editor</w:t>
      </w:r>
      <w:r>
        <w:rPr>
          <w:color w:val="231F20"/>
          <w:spacing w:val="11"/>
        </w:rPr>
        <w:t> </w:t>
      </w:r>
      <w:r>
        <w:rPr>
          <w:color w:val="231F20"/>
        </w:rPr>
        <w:t>opened</w:t>
      </w:r>
      <w:r>
        <w:rPr>
          <w:color w:val="231F20"/>
          <w:spacing w:val="11"/>
        </w:rPr>
        <w:t> </w:t>
      </w:r>
      <w:r>
        <w:rPr>
          <w:color w:val="231F20"/>
        </w:rPr>
        <w:t>from</w:t>
      </w:r>
      <w:r>
        <w:rPr>
          <w:color w:val="231F20"/>
          <w:spacing w:val="10"/>
        </w:rPr>
        <w:t> </w:t>
      </w:r>
      <w:r>
        <w:rPr>
          <w:color w:val="231F20"/>
        </w:rPr>
        <w:t>the</w:t>
      </w:r>
      <w:r>
        <w:rPr>
          <w:color w:val="231F20"/>
          <w:spacing w:val="11"/>
        </w:rPr>
        <w:t> </w:t>
      </w:r>
      <w:r>
        <w:rPr>
          <w:color w:val="231F20"/>
        </w:rPr>
        <w:t>toolbar</w:t>
      </w:r>
      <w:r>
        <w:rPr>
          <w:color w:val="231F20"/>
          <w:spacing w:val="11"/>
        </w:rPr>
        <w:t> </w:t>
      </w:r>
      <w:r>
        <w:rPr>
          <w:color w:val="231F20"/>
        </w:rPr>
        <w:t>(Ctrl+E)</w:t>
      </w:r>
      <w:r>
        <w:rPr>
          <w:color w:val="231F20"/>
          <w:spacing w:val="10"/>
        </w:rPr>
        <w:t> </w:t>
      </w:r>
      <w:r>
        <w:rPr>
          <w:color w:val="231F20"/>
        </w:rPr>
        <w:t>or</w:t>
      </w:r>
      <w:r>
        <w:rPr>
          <w:color w:val="231F20"/>
          <w:spacing w:val="11"/>
        </w:rPr>
        <w:t> </w:t>
      </w:r>
      <w:r>
        <w:rPr>
          <w:color w:val="231F20"/>
        </w:rPr>
        <w:t>from</w:t>
      </w:r>
      <w:r>
        <w:rPr>
          <w:color w:val="231F20"/>
          <w:spacing w:val="11"/>
        </w:rPr>
        <w:t> </w:t>
      </w:r>
      <w:r>
        <w:rPr>
          <w:color w:val="231F20"/>
        </w:rPr>
        <w:t>a</w:t>
      </w:r>
      <w:r>
        <w:rPr>
          <w:color w:val="231F20"/>
          <w:spacing w:val="10"/>
        </w:rPr>
        <w:t> </w:t>
      </w:r>
      <w:r>
        <w:rPr>
          <w:color w:val="231F20"/>
        </w:rPr>
        <w:t>Navigator</w:t>
      </w:r>
      <w:r>
        <w:rPr>
          <w:color w:val="231F20"/>
          <w:spacing w:val="11"/>
        </w:rPr>
        <w:t> </w:t>
      </w:r>
      <w:r>
        <w:rPr>
          <w:color w:val="231F20"/>
          <w:spacing w:val="-4"/>
        </w:rPr>
        <w:t>item</w:t>
      </w:r>
    </w:p>
    <w:p>
      <w:pPr>
        <w:pStyle w:val="BodyText"/>
        <w:spacing w:line="213" w:lineRule="auto" w:before="11"/>
        <w:ind w:left="2951" w:right="529"/>
      </w:pPr>
      <w:r>
        <w:rPr>
          <w:color w:val="231F20"/>
        </w:rPr>
        <w:t>You can open the Situation editor from the toolbar or from the Navigator item pop-up menu and there is a difference. The Situation editor is exactly the</w:t>
      </w:r>
      <w:r>
        <w:rPr>
          <w:color w:val="231F20"/>
          <w:spacing w:val="28"/>
        </w:rPr>
        <w:t> </w:t>
      </w:r>
      <w:r>
        <w:rPr>
          <w:color w:val="231F20"/>
        </w:rPr>
        <w:t>same</w:t>
      </w:r>
      <w:r>
        <w:rPr>
          <w:color w:val="231F20"/>
          <w:spacing w:val="28"/>
        </w:rPr>
        <w:t> </w:t>
      </w:r>
      <w:r>
        <w:rPr>
          <w:color w:val="231F20"/>
        </w:rPr>
        <w:t>for</w:t>
      </w:r>
      <w:r>
        <w:rPr>
          <w:color w:val="231F20"/>
          <w:spacing w:val="28"/>
        </w:rPr>
        <w:t> </w:t>
      </w:r>
      <w:r>
        <w:rPr>
          <w:color w:val="231F20"/>
        </w:rPr>
        <w:t>every</w:t>
      </w:r>
      <w:r>
        <w:rPr>
          <w:color w:val="231F20"/>
          <w:spacing w:val="28"/>
        </w:rPr>
        <w:t> </w:t>
      </w:r>
      <w:r>
        <w:rPr>
          <w:color w:val="231F20"/>
        </w:rPr>
        <w:t>aspect</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situation</w:t>
      </w:r>
      <w:r>
        <w:rPr>
          <w:color w:val="231F20"/>
          <w:spacing w:val="28"/>
        </w:rPr>
        <w:t> </w:t>
      </w:r>
      <w:r>
        <w:rPr>
          <w:color w:val="231F20"/>
        </w:rPr>
        <w:t>definition</w:t>
      </w:r>
      <w:r>
        <w:rPr>
          <w:color w:val="231F20"/>
          <w:spacing w:val="28"/>
        </w:rPr>
        <w:t> </w:t>
      </w:r>
      <w:r>
        <w:rPr>
          <w:color w:val="231F20"/>
        </w:rPr>
        <w:t>except</w:t>
      </w:r>
      <w:r>
        <w:rPr>
          <w:color w:val="231F20"/>
          <w:spacing w:val="28"/>
        </w:rPr>
        <w:t> </w:t>
      </w:r>
      <w:r>
        <w:rPr>
          <w:color w:val="231F20"/>
        </w:rPr>
        <w:t>for</w:t>
      </w:r>
      <w:r>
        <w:rPr>
          <w:color w:val="231F20"/>
          <w:spacing w:val="28"/>
        </w:rPr>
        <w:t> </w:t>
      </w:r>
      <w:r>
        <w:rPr>
          <w:color w:val="231F20"/>
        </w:rPr>
        <w:t>the</w:t>
      </w:r>
      <w:r>
        <w:rPr>
          <w:color w:val="231F20"/>
          <w:spacing w:val="28"/>
        </w:rPr>
        <w:t> </w:t>
      </w:r>
      <w:r>
        <w:rPr>
          <w:color w:val="231F20"/>
        </w:rPr>
        <w:t>fields for alert indicators in the Formula tab: Sound and State This behavior is intentional.</w:t>
      </w:r>
      <w:r>
        <w:rPr>
          <w:color w:val="231F20"/>
          <w:spacing w:val="34"/>
        </w:rPr>
        <w:t> </w:t>
      </w:r>
      <w:r>
        <w:rPr>
          <w:color w:val="231F20"/>
        </w:rPr>
        <w:t>The</w:t>
      </w:r>
      <w:r>
        <w:rPr>
          <w:color w:val="231F20"/>
          <w:spacing w:val="34"/>
        </w:rPr>
        <w:t> </w:t>
      </w:r>
      <w:r>
        <w:rPr>
          <w:color w:val="231F20"/>
        </w:rPr>
        <w:t>Situation</w:t>
      </w:r>
      <w:r>
        <w:rPr>
          <w:color w:val="231F20"/>
          <w:spacing w:val="34"/>
        </w:rPr>
        <w:t> </w:t>
      </w:r>
      <w:r>
        <w:rPr>
          <w:color w:val="231F20"/>
        </w:rPr>
        <w:t>editor</w:t>
      </w:r>
      <w:r>
        <w:rPr>
          <w:color w:val="231F20"/>
          <w:spacing w:val="34"/>
        </w:rPr>
        <w:t> </w:t>
      </w:r>
      <w:r>
        <w:rPr>
          <w:color w:val="231F20"/>
        </w:rPr>
        <w:t>opened</w:t>
      </w:r>
      <w:r>
        <w:rPr>
          <w:color w:val="231F20"/>
          <w:spacing w:val="34"/>
        </w:rPr>
        <w:t> </w:t>
      </w:r>
      <w:r>
        <w:rPr>
          <w:color w:val="231F20"/>
        </w:rPr>
        <w:t>with</w:t>
      </w:r>
      <w:r>
        <w:rPr>
          <w:color w:val="231F20"/>
          <w:spacing w:val="34"/>
        </w:rPr>
        <w:t> </w:t>
      </w:r>
      <w:r>
        <w:rPr>
          <w:color w:val="231F20"/>
        </w:rPr>
        <w:t>Ctrl+E</w:t>
      </w:r>
      <w:r>
        <w:rPr>
          <w:color w:val="231F20"/>
          <w:spacing w:val="34"/>
        </w:rPr>
        <w:t> </w:t>
      </w:r>
      <w:r>
        <w:rPr>
          <w:color w:val="231F20"/>
        </w:rPr>
        <w:t>shows</w:t>
      </w:r>
      <w:r>
        <w:rPr>
          <w:color w:val="231F20"/>
          <w:spacing w:val="34"/>
        </w:rPr>
        <w:t> </w:t>
      </w:r>
      <w:r>
        <w:rPr>
          <w:color w:val="231F20"/>
        </w:rPr>
        <w:t>all</w:t>
      </w:r>
      <w:r>
        <w:rPr>
          <w:color w:val="231F20"/>
          <w:spacing w:val="34"/>
        </w:rPr>
        <w:t> </w:t>
      </w:r>
      <w:r>
        <w:rPr>
          <w:color w:val="231F20"/>
        </w:rPr>
        <w:t>the situations in your environment, not filtered by application, and there is no context. Some administrators want to create many situations at one time</w:t>
      </w:r>
      <w:r>
        <w:rPr>
          <w:color w:val="231F20"/>
          <w:spacing w:val="80"/>
        </w:rPr>
        <w:t> </w:t>
      </w:r>
      <w:r>
        <w:rPr>
          <w:color w:val="231F20"/>
        </w:rPr>
        <w:t>and associate them with Navigators later, if at all. For example, you might want a situation running in the background that produces no visible alert</w:t>
      </w:r>
      <w:r>
        <w:rPr>
          <w:color w:val="231F20"/>
          <w:spacing w:val="80"/>
        </w:rPr>
        <w:t> </w:t>
      </w:r>
      <w:r>
        <w:rPr>
          <w:color w:val="231F20"/>
        </w:rPr>
        <w:t>on the Navigator but that might be embedded in another situation, might</w:t>
      </w:r>
      <w:r>
        <w:rPr>
          <w:color w:val="231F20"/>
          <w:spacing w:val="80"/>
        </w:rPr>
        <w:t> </w:t>
      </w:r>
      <w:r>
        <w:rPr>
          <w:color w:val="231F20"/>
        </w:rPr>
        <w:t>be used to activate a policy workflow, or to perform reflex automation. </w:t>
      </w:r>
      <w:r>
        <w:rPr>
          <w:color w:val="231F20"/>
        </w:rPr>
        <w:t>For an alert indicator to show in the Navigator, the Situation editor must be opened from the item where you want the alert.</w:t>
      </w:r>
    </w:p>
    <w:p>
      <w:pPr>
        <w:pStyle w:val="Heading6"/>
        <w:spacing w:before="110"/>
        <w:ind w:left="2232"/>
      </w:pPr>
      <w:r>
        <w:rPr>
          <w:color w:val="231F20"/>
        </w:rPr>
        <w:t>Single-row</w:t>
      </w:r>
      <w:r>
        <w:rPr>
          <w:color w:val="231F20"/>
          <w:spacing w:val="7"/>
        </w:rPr>
        <w:t> </w:t>
      </w:r>
      <w:r>
        <w:rPr>
          <w:color w:val="231F20"/>
        </w:rPr>
        <w:t>and</w:t>
      </w:r>
      <w:r>
        <w:rPr>
          <w:color w:val="231F20"/>
          <w:spacing w:val="8"/>
        </w:rPr>
        <w:t> </w:t>
      </w:r>
      <w:r>
        <w:rPr>
          <w:color w:val="231F20"/>
        </w:rPr>
        <w:t>multiple-row</w:t>
      </w:r>
      <w:r>
        <w:rPr>
          <w:color w:val="231F20"/>
          <w:spacing w:val="7"/>
        </w:rPr>
        <w:t> </w:t>
      </w:r>
      <w:r>
        <w:rPr>
          <w:color w:val="231F20"/>
        </w:rPr>
        <w:t>attribute</w:t>
      </w:r>
      <w:r>
        <w:rPr>
          <w:color w:val="231F20"/>
          <w:spacing w:val="8"/>
        </w:rPr>
        <w:t> </w:t>
      </w:r>
      <w:r>
        <w:rPr>
          <w:color w:val="231F20"/>
          <w:spacing w:val="-2"/>
        </w:rPr>
        <w:t>groups</w:t>
      </w:r>
    </w:p>
    <w:p>
      <w:pPr>
        <w:pStyle w:val="BodyText"/>
        <w:spacing w:line="213" w:lineRule="auto" w:before="11"/>
        <w:ind w:left="2951" w:right="636"/>
      </w:pPr>
      <w:r>
        <w:rPr>
          <w:color w:val="231F20"/>
        </w:rPr>
        <w:t>You can build a situation with attributes from different groups belonging</w:t>
      </w:r>
      <w:r>
        <w:rPr>
          <w:color w:val="231F20"/>
          <w:spacing w:val="80"/>
        </w:rPr>
        <w:t> </w:t>
      </w:r>
      <w:r>
        <w:rPr>
          <w:color w:val="231F20"/>
        </w:rPr>
        <w:t>to the same monitoring agent so long as the attributes are from </w:t>
      </w:r>
      <w:r>
        <w:rPr>
          <w:color w:val="231F20"/>
        </w:rPr>
        <w:t>single-row attribute groups; one multi-row attribute group can be included.</w:t>
      </w:r>
    </w:p>
    <w:p>
      <w:pPr>
        <w:pStyle w:val="Heading6"/>
        <w:ind w:left="2232"/>
      </w:pPr>
      <w:r>
        <w:rPr>
          <w:color w:val="231F20"/>
        </w:rPr>
        <w:t>Who</w:t>
      </w:r>
      <w:r>
        <w:rPr>
          <w:color w:val="231F20"/>
          <w:spacing w:val="12"/>
        </w:rPr>
        <w:t> </w:t>
      </w:r>
      <w:r>
        <w:rPr>
          <w:color w:val="231F20"/>
        </w:rPr>
        <w:t>can</w:t>
      </w:r>
      <w:r>
        <w:rPr>
          <w:color w:val="231F20"/>
          <w:spacing w:val="13"/>
        </w:rPr>
        <w:t> </w:t>
      </w:r>
      <w:r>
        <w:rPr>
          <w:color w:val="231F20"/>
        </w:rPr>
        <w:t>see</w:t>
      </w:r>
      <w:r>
        <w:rPr>
          <w:color w:val="231F20"/>
          <w:spacing w:val="12"/>
        </w:rPr>
        <w:t> </w:t>
      </w:r>
      <w:r>
        <w:rPr>
          <w:color w:val="231F20"/>
          <w:spacing w:val="-2"/>
        </w:rPr>
        <w:t>situations</w:t>
      </w:r>
    </w:p>
    <w:p>
      <w:pPr>
        <w:pStyle w:val="BodyText"/>
        <w:spacing w:line="213" w:lineRule="auto" w:before="11"/>
        <w:ind w:left="2951" w:right="385"/>
      </w:pPr>
      <w:r>
        <w:rPr>
          <w:color w:val="231F20"/>
        </w:rPr>
        <w:t>Situation definitions, both predefined and custom, are stored on the Tivoli Enterprise Monitoring Server. This means that any changes to situations made</w:t>
      </w:r>
      <w:r>
        <w:rPr>
          <w:color w:val="231F20"/>
          <w:spacing w:val="15"/>
        </w:rPr>
        <w:t> </w:t>
      </w:r>
      <w:r>
        <w:rPr>
          <w:color w:val="231F20"/>
        </w:rPr>
        <w:t>by</w:t>
      </w:r>
      <w:r>
        <w:rPr>
          <w:color w:val="231F20"/>
          <w:spacing w:val="15"/>
        </w:rPr>
        <w:t> </w:t>
      </w:r>
      <w:r>
        <w:rPr>
          <w:color w:val="231F20"/>
        </w:rPr>
        <w:t>any</w:t>
      </w:r>
      <w:r>
        <w:rPr>
          <w:color w:val="231F20"/>
          <w:spacing w:val="15"/>
        </w:rPr>
        <w:t> </w:t>
      </w:r>
      <w:r>
        <w:rPr>
          <w:color w:val="231F20"/>
        </w:rPr>
        <w:t>user</w:t>
      </w:r>
      <w:r>
        <w:rPr>
          <w:color w:val="231F20"/>
          <w:spacing w:val="15"/>
        </w:rPr>
        <w:t> </w:t>
      </w:r>
      <w:r>
        <w:rPr>
          <w:color w:val="231F20"/>
        </w:rPr>
        <w:t>are</w:t>
      </w:r>
      <w:r>
        <w:rPr>
          <w:color w:val="231F20"/>
          <w:spacing w:val="15"/>
        </w:rPr>
        <w:t> </w:t>
      </w:r>
      <w:r>
        <w:rPr>
          <w:color w:val="231F20"/>
        </w:rPr>
        <w:t>shared</w:t>
      </w:r>
      <w:r>
        <w:rPr>
          <w:color w:val="231F20"/>
          <w:spacing w:val="15"/>
        </w:rPr>
        <w:t> </w:t>
      </w:r>
      <w:r>
        <w:rPr>
          <w:color w:val="231F20"/>
        </w:rPr>
        <w:t>with</w:t>
      </w:r>
      <w:r>
        <w:rPr>
          <w:color w:val="231F20"/>
          <w:spacing w:val="15"/>
        </w:rPr>
        <w:t> </w:t>
      </w:r>
      <w:r>
        <w:rPr>
          <w:color w:val="231F20"/>
        </w:rPr>
        <w:t>all</w:t>
      </w:r>
      <w:r>
        <w:rPr>
          <w:color w:val="231F20"/>
          <w:spacing w:val="15"/>
        </w:rPr>
        <w:t> </w:t>
      </w:r>
      <w:r>
        <w:rPr>
          <w:color w:val="231F20"/>
        </w:rPr>
        <w:t>users</w:t>
      </w:r>
      <w:r>
        <w:rPr>
          <w:color w:val="231F20"/>
          <w:spacing w:val="15"/>
        </w:rPr>
        <w:t> </w:t>
      </w:r>
      <w:r>
        <w:rPr>
          <w:color w:val="231F20"/>
        </w:rPr>
        <w:t>on</w:t>
      </w:r>
      <w:r>
        <w:rPr>
          <w:color w:val="231F20"/>
          <w:spacing w:val="15"/>
        </w:rPr>
        <w:t> </w:t>
      </w:r>
      <w:r>
        <w:rPr>
          <w:color w:val="231F20"/>
        </w:rPr>
        <w:t>the</w:t>
      </w:r>
      <w:r>
        <w:rPr>
          <w:color w:val="231F20"/>
          <w:spacing w:val="15"/>
        </w:rPr>
        <w:t> </w:t>
      </w:r>
      <w:r>
        <w:rPr>
          <w:color w:val="231F20"/>
        </w:rPr>
        <w:t>same</w:t>
      </w:r>
      <w:r>
        <w:rPr>
          <w:color w:val="231F20"/>
          <w:spacing w:val="15"/>
        </w:rPr>
        <w:t> </w:t>
      </w:r>
      <w:r>
        <w:rPr>
          <w:color w:val="231F20"/>
        </w:rPr>
        <w:t>managed</w:t>
      </w:r>
      <w:r>
        <w:rPr>
          <w:color w:val="231F20"/>
          <w:spacing w:val="15"/>
        </w:rPr>
        <w:t> </w:t>
      </w:r>
      <w:r>
        <w:rPr>
          <w:color w:val="231F20"/>
        </w:rPr>
        <w:t>network if their user permissions include the ability to view </w:t>
      </w:r>
      <w:bookmarkStart w:name="_bookmark182" w:id="397"/>
      <w:bookmarkEnd w:id="397"/>
      <w:r>
        <w:rPr>
          <w:color w:val="231F20"/>
        </w:rPr>
        <w:t>situations</w:t>
      </w:r>
      <w:r>
        <w:rPr>
          <w:color w:val="231F20"/>
        </w:rPr>
        <w:t> and to </w:t>
      </w:r>
      <w:r>
        <w:rPr>
          <w:color w:val="231F20"/>
        </w:rPr>
        <w:t>access the managed application that is referenced in the situation.</w:t>
      </w:r>
    </w:p>
    <w:p>
      <w:pPr>
        <w:pStyle w:val="Heading6"/>
        <w:spacing w:before="115"/>
        <w:ind w:left="2232"/>
      </w:pPr>
      <w:r>
        <w:rPr>
          <w:color w:val="231F20"/>
        </w:rPr>
        <w:t>Start</w:t>
      </w:r>
      <w:r>
        <w:rPr>
          <w:color w:val="231F20"/>
          <w:spacing w:val="10"/>
        </w:rPr>
        <w:t> </w:t>
      </w:r>
      <w:r>
        <w:rPr>
          <w:color w:val="231F20"/>
        </w:rPr>
        <w:t>situations</w:t>
      </w:r>
      <w:r>
        <w:rPr>
          <w:color w:val="231F20"/>
          <w:spacing w:val="10"/>
        </w:rPr>
        <w:t> </w:t>
      </w:r>
      <w:r>
        <w:rPr>
          <w:color w:val="231F20"/>
        </w:rPr>
        <w:t>manually</w:t>
      </w:r>
      <w:r>
        <w:rPr>
          <w:color w:val="231F20"/>
          <w:spacing w:val="10"/>
        </w:rPr>
        <w:t> </w:t>
      </w:r>
      <w:r>
        <w:rPr>
          <w:color w:val="231F20"/>
        </w:rPr>
        <w:t>or</w:t>
      </w:r>
      <w:r>
        <w:rPr>
          <w:color w:val="231F20"/>
          <w:spacing w:val="10"/>
        </w:rPr>
        <w:t> </w:t>
      </w:r>
      <w:r>
        <w:rPr>
          <w:color w:val="231F20"/>
          <w:spacing w:val="-2"/>
        </w:rPr>
        <w:t>automatically</w:t>
      </w:r>
    </w:p>
    <w:p>
      <w:pPr>
        <w:pStyle w:val="BodyText"/>
        <w:spacing w:line="213" w:lineRule="auto" w:before="11"/>
        <w:ind w:left="2951" w:right="636"/>
      </w:pPr>
      <w:r>
        <w:rPr>
          <w:color w:val="231F20"/>
        </w:rPr>
        <w:t>By default, situations are set to start monitoring as soon as the situation </w:t>
      </w:r>
      <w:r>
        <w:rPr>
          <w:color w:val="231F20"/>
        </w:rPr>
        <w:t>is saved and, subsequently, to start automatically when a monitoring agent that the situation is distributed to starts again after going offline. If you disable the </w:t>
      </w:r>
      <w:r>
        <w:rPr>
          <w:rFonts w:ascii="Book Antiqua"/>
          <w:b/>
          <w:color w:val="231F20"/>
        </w:rPr>
        <w:t>Run at startup </w:t>
      </w:r>
      <w:r>
        <w:rPr>
          <w:color w:val="231F20"/>
        </w:rPr>
        <w:t>capability, you must start the situation</w:t>
      </w:r>
      <w:r>
        <w:rPr>
          <w:color w:val="231F20"/>
          <w:spacing w:val="80"/>
        </w:rPr>
        <w:t> </w:t>
      </w:r>
      <w:r>
        <w:rPr>
          <w:color w:val="231F20"/>
          <w:spacing w:val="-2"/>
        </w:rPr>
        <w:t>manually.</w:t>
      </w:r>
    </w:p>
    <w:p>
      <w:pPr>
        <w:pStyle w:val="BodyText"/>
        <w:spacing w:before="94"/>
        <w:ind w:left="2951"/>
      </w:pPr>
      <w:r>
        <w:rPr>
          <w:color w:val="231F20"/>
        </w:rPr>
        <w:t>Even</w:t>
      </w:r>
      <w:r>
        <w:rPr>
          <w:color w:val="231F20"/>
          <w:spacing w:val="12"/>
        </w:rPr>
        <w:t> </w:t>
      </w:r>
      <w:r>
        <w:rPr>
          <w:color w:val="231F20"/>
        </w:rPr>
        <w:t>if</w:t>
      </w:r>
      <w:r>
        <w:rPr>
          <w:color w:val="231F20"/>
          <w:spacing w:val="13"/>
        </w:rPr>
        <w:t> </w:t>
      </w:r>
      <w:r>
        <w:rPr>
          <w:color w:val="231F20"/>
        </w:rPr>
        <w:t>a</w:t>
      </w:r>
      <w:r>
        <w:rPr>
          <w:color w:val="231F20"/>
          <w:spacing w:val="12"/>
        </w:rPr>
        <w:t> </w:t>
      </w:r>
      <w:r>
        <w:rPr>
          <w:color w:val="231F20"/>
        </w:rPr>
        <w:t>situation</w:t>
      </w:r>
      <w:r>
        <w:rPr>
          <w:color w:val="231F20"/>
          <w:spacing w:val="13"/>
        </w:rPr>
        <w:t> </w:t>
      </w:r>
      <w:r>
        <w:rPr>
          <w:color w:val="231F20"/>
        </w:rPr>
        <w:t>is</w:t>
      </w:r>
      <w:r>
        <w:rPr>
          <w:color w:val="231F20"/>
          <w:spacing w:val="13"/>
        </w:rPr>
        <w:t> </w:t>
      </w:r>
      <w:r>
        <w:rPr>
          <w:color w:val="231F20"/>
        </w:rPr>
        <w:t>set</w:t>
      </w:r>
      <w:r>
        <w:rPr>
          <w:color w:val="231F20"/>
          <w:spacing w:val="12"/>
        </w:rPr>
        <w:t> </w:t>
      </w:r>
      <w:r>
        <w:rPr>
          <w:color w:val="231F20"/>
        </w:rPr>
        <w:t>to</w:t>
      </w:r>
      <w:r>
        <w:rPr>
          <w:color w:val="231F20"/>
          <w:spacing w:val="13"/>
        </w:rPr>
        <w:t> </w:t>
      </w:r>
      <w:r>
        <w:rPr>
          <w:rFonts w:ascii="Book Antiqua"/>
          <w:b/>
          <w:color w:val="231F20"/>
        </w:rPr>
        <w:t>Run</w:t>
      </w:r>
      <w:r>
        <w:rPr>
          <w:rFonts w:ascii="Book Antiqua"/>
          <w:b/>
          <w:color w:val="231F20"/>
          <w:spacing w:val="13"/>
        </w:rPr>
        <w:t> </w:t>
      </w:r>
      <w:r>
        <w:rPr>
          <w:rFonts w:ascii="Book Antiqua"/>
          <w:b/>
          <w:color w:val="231F20"/>
        </w:rPr>
        <w:t>at</w:t>
      </w:r>
      <w:r>
        <w:rPr>
          <w:rFonts w:ascii="Book Antiqua"/>
          <w:b/>
          <w:color w:val="231F20"/>
          <w:spacing w:val="12"/>
        </w:rPr>
        <w:t> </w:t>
      </w:r>
      <w:r>
        <w:rPr>
          <w:rFonts w:ascii="Book Antiqua"/>
          <w:b/>
          <w:color w:val="231F20"/>
        </w:rPr>
        <w:t>startup</w:t>
      </w:r>
      <w:r>
        <w:rPr>
          <w:color w:val="231F20"/>
        </w:rPr>
        <w:t>,</w:t>
      </w:r>
      <w:r>
        <w:rPr>
          <w:color w:val="231F20"/>
          <w:spacing w:val="13"/>
        </w:rPr>
        <w:t> </w:t>
      </w:r>
      <w:r>
        <w:rPr>
          <w:color w:val="231F20"/>
        </w:rPr>
        <w:t>you</w:t>
      </w:r>
      <w:r>
        <w:rPr>
          <w:color w:val="231F20"/>
          <w:spacing w:val="13"/>
        </w:rPr>
        <w:t> </w:t>
      </w:r>
      <w:r>
        <w:rPr>
          <w:color w:val="231F20"/>
        </w:rPr>
        <w:t>can</w:t>
      </w:r>
      <w:r>
        <w:rPr>
          <w:color w:val="231F20"/>
          <w:spacing w:val="12"/>
        </w:rPr>
        <w:t> </w:t>
      </w:r>
      <w:r>
        <w:rPr>
          <w:color w:val="231F20"/>
        </w:rPr>
        <w:t>stop</w:t>
      </w:r>
      <w:r>
        <w:rPr>
          <w:color w:val="231F20"/>
          <w:spacing w:val="13"/>
        </w:rPr>
        <w:t> </w:t>
      </w:r>
      <w:r>
        <w:rPr>
          <w:color w:val="231F20"/>
        </w:rPr>
        <w:t>and</w:t>
      </w:r>
      <w:r>
        <w:rPr>
          <w:color w:val="231F20"/>
          <w:spacing w:val="13"/>
        </w:rPr>
        <w:t> </w:t>
      </w:r>
      <w:r>
        <w:rPr>
          <w:color w:val="231F20"/>
        </w:rPr>
        <w:t>start</w:t>
      </w:r>
      <w:r>
        <w:rPr>
          <w:color w:val="231F20"/>
          <w:spacing w:val="12"/>
        </w:rPr>
        <w:t> </w:t>
      </w:r>
      <w:r>
        <w:rPr>
          <w:color w:val="231F20"/>
          <w:spacing w:val="-5"/>
        </w:rPr>
        <w:t>the</w:t>
      </w:r>
    </w:p>
    <w:p>
      <w:pPr>
        <w:spacing w:line="213" w:lineRule="auto" w:before="72"/>
        <w:ind w:left="2951" w:right="493" w:firstLine="0"/>
        <w:jc w:val="left"/>
        <w:rPr>
          <w:sz w:val="20"/>
        </w:rPr>
      </w:pPr>
      <w:r>
        <w:rPr>
          <w:color w:val="231F20"/>
          <w:sz w:val="20"/>
        </w:rPr>
        <w:t>situation manually with</w:t>
      </w:r>
      <w:r>
        <w:rPr>
          <w:color w:val="231F20"/>
          <w:spacing w:val="79"/>
          <w:sz w:val="20"/>
        </w:rPr>
        <w:t> </w:t>
      </w:r>
      <w:r>
        <w:rPr>
          <w:color w:val="231F20"/>
          <w:spacing w:val="-8"/>
          <w:position w:val="-1"/>
          <w:sz w:val="20"/>
        </w:rPr>
        <w:drawing>
          <wp:inline distT="0" distB="0" distL="0" distR="0">
            <wp:extent cx="90054" cy="145472"/>
            <wp:effectExtent l="0" t="0" r="0" b="0"/>
            <wp:docPr id="2194" name="Image 2194"/>
            <wp:cNvGraphicFramePr>
              <a:graphicFrameLocks/>
            </wp:cNvGraphicFramePr>
            <a:graphic>
              <a:graphicData uri="http://schemas.openxmlformats.org/drawingml/2006/picture">
                <pic:pic>
                  <pic:nvPicPr>
                    <pic:cNvPr id="2194" name="Image 2194"/>
                    <pic:cNvPicPr/>
                  </pic:nvPicPr>
                  <pic:blipFill>
                    <a:blip r:embed="rId166" cstate="print"/>
                    <a:stretch>
                      <a:fillRect/>
                    </a:stretch>
                  </pic:blipFill>
                  <pic:spPr>
                    <a:xfrm>
                      <a:off x="0" y="0"/>
                      <a:ext cx="90054" cy="145472"/>
                    </a:xfrm>
                    <a:prstGeom prst="rect">
                      <a:avLst/>
                    </a:prstGeom>
                  </pic:spPr>
                </pic:pic>
              </a:graphicData>
            </a:graphic>
          </wp:inline>
        </w:drawing>
      </w:r>
      <w:r>
        <w:rPr>
          <w:color w:val="231F20"/>
          <w:spacing w:val="-8"/>
          <w:position w:val="-1"/>
          <w:sz w:val="20"/>
        </w:rPr>
      </w:r>
      <w:r>
        <w:rPr>
          <w:rFonts w:ascii="Times New Roman"/>
          <w:color w:val="231F20"/>
          <w:spacing w:val="22"/>
          <w:sz w:val="20"/>
        </w:rPr>
        <w:t> </w:t>
      </w:r>
      <w:r>
        <w:rPr>
          <w:rFonts w:ascii="Book Antiqua"/>
          <w:b/>
          <w:color w:val="231F20"/>
          <w:sz w:val="20"/>
        </w:rPr>
        <w:t>Start Situation </w:t>
      </w:r>
      <w:r>
        <w:rPr>
          <w:color w:val="231F20"/>
          <w:sz w:val="20"/>
        </w:rPr>
        <w:t>and</w:t>
      </w:r>
      <w:r>
        <w:rPr>
          <w:color w:val="231F20"/>
          <w:spacing w:val="24"/>
          <w:sz w:val="20"/>
        </w:rPr>
        <w:t> </w:t>
      </w:r>
      <w:r>
        <w:rPr>
          <w:color w:val="231F20"/>
          <w:spacing w:val="-19"/>
          <w:position w:val="-1"/>
          <w:sz w:val="20"/>
        </w:rPr>
        <w:drawing>
          <wp:inline distT="0" distB="0" distL="0" distR="0">
            <wp:extent cx="142875" cy="142875"/>
            <wp:effectExtent l="0" t="0" r="0" b="0"/>
            <wp:docPr id="2195" name="Image 2195"/>
            <wp:cNvGraphicFramePr>
              <a:graphicFrameLocks/>
            </wp:cNvGraphicFramePr>
            <a:graphic>
              <a:graphicData uri="http://schemas.openxmlformats.org/drawingml/2006/picture">
                <pic:pic>
                  <pic:nvPicPr>
                    <pic:cNvPr id="2195" name="Image 2195"/>
                    <pic:cNvPicPr/>
                  </pic:nvPicPr>
                  <pic:blipFill>
                    <a:blip r:embed="rId38" cstate="print"/>
                    <a:stretch>
                      <a:fillRect/>
                    </a:stretch>
                  </pic:blipFill>
                  <pic:spPr>
                    <a:xfrm>
                      <a:off x="0" y="0"/>
                      <a:ext cx="142875" cy="142875"/>
                    </a:xfrm>
                    <a:prstGeom prst="rect">
                      <a:avLst/>
                    </a:prstGeom>
                  </pic:spPr>
                </pic:pic>
              </a:graphicData>
            </a:graphic>
          </wp:inline>
        </w:drawing>
      </w:r>
      <w:r>
        <w:rPr>
          <w:color w:val="231F20"/>
          <w:spacing w:val="-19"/>
          <w:position w:val="-1"/>
          <w:sz w:val="20"/>
        </w:rPr>
      </w:r>
      <w:r>
        <w:rPr>
          <w:rFonts w:ascii="Times New Roman"/>
          <w:color w:val="231F20"/>
          <w:spacing w:val="12"/>
          <w:sz w:val="20"/>
        </w:rPr>
        <w:t> </w:t>
      </w:r>
      <w:r>
        <w:rPr>
          <w:rFonts w:ascii="Book Antiqua"/>
          <w:b/>
          <w:color w:val="231F20"/>
          <w:sz w:val="20"/>
        </w:rPr>
        <w:t>Stop Situation </w:t>
      </w:r>
      <w:r>
        <w:rPr>
          <w:color w:val="231F20"/>
          <w:sz w:val="20"/>
        </w:rPr>
        <w:t>if </w:t>
      </w:r>
      <w:r>
        <w:rPr>
          <w:color w:val="231F20"/>
          <w:sz w:val="20"/>
        </w:rPr>
        <w:t>your user permissions include the ability to start and stop situations.</w:t>
      </w:r>
    </w:p>
    <w:p>
      <w:pPr>
        <w:pStyle w:val="BodyText"/>
        <w:spacing w:line="213" w:lineRule="auto" w:before="119"/>
        <w:ind w:left="2951" w:right="493"/>
      </w:pPr>
      <w:r>
        <w:rPr>
          <w:color w:val="231F20"/>
        </w:rPr>
        <w:t>Even if a situation has been started manually, it can still be started automatically on other managed systems that connect to the same monitoring server. For example, if the managed system is added to the distribution after the situation was started manually, the situation </w:t>
      </w:r>
      <w:r>
        <w:rPr>
          <w:color w:val="231F20"/>
        </w:rPr>
        <w:t>starts running on the newly added managed system. This addition to the distribution might be caused by any of the following conditions:</w:t>
      </w:r>
    </w:p>
    <w:p>
      <w:pPr>
        <w:pStyle w:val="BodyText"/>
        <w:spacing w:before="32"/>
        <w:ind w:left="2951"/>
      </w:pPr>
      <w:r>
        <w:rPr>
          <w:rFonts w:ascii="Futura MdCn BT"/>
          <w:color w:val="231F20"/>
        </w:rPr>
        <w:t>v</w:t>
      </w:r>
      <w:r>
        <w:rPr>
          <w:rFonts w:ascii="Futura MdCn BT"/>
          <w:color w:val="231F20"/>
          <w:spacing w:val="31"/>
        </w:rPr>
        <w:t>  </w:t>
      </w:r>
      <w:r>
        <w:rPr>
          <w:color w:val="231F20"/>
        </w:rPr>
        <w:t>The</w:t>
      </w:r>
      <w:r>
        <w:rPr>
          <w:color w:val="231F20"/>
          <w:spacing w:val="11"/>
        </w:rPr>
        <w:t> </w:t>
      </w:r>
      <w:r>
        <w:rPr>
          <w:color w:val="231F20"/>
        </w:rPr>
        <w:t>monitoring</w:t>
      </w:r>
      <w:r>
        <w:rPr>
          <w:color w:val="231F20"/>
          <w:spacing w:val="12"/>
        </w:rPr>
        <w:t> </w:t>
      </w:r>
      <w:r>
        <w:rPr>
          <w:color w:val="231F20"/>
        </w:rPr>
        <w:t>agent</w:t>
      </w:r>
      <w:r>
        <w:rPr>
          <w:color w:val="231F20"/>
          <w:spacing w:val="12"/>
        </w:rPr>
        <w:t> </w:t>
      </w:r>
      <w:r>
        <w:rPr>
          <w:color w:val="231F20"/>
        </w:rPr>
        <w:t>came</w:t>
      </w:r>
      <w:r>
        <w:rPr>
          <w:color w:val="231F20"/>
          <w:spacing w:val="12"/>
        </w:rPr>
        <w:t> </w:t>
      </w:r>
      <w:r>
        <w:rPr>
          <w:color w:val="231F20"/>
        </w:rPr>
        <w:t>online</w:t>
      </w:r>
      <w:r>
        <w:rPr>
          <w:color w:val="231F20"/>
          <w:spacing w:val="12"/>
        </w:rPr>
        <w:t> </w:t>
      </w:r>
      <w:r>
        <w:rPr>
          <w:color w:val="231F20"/>
        </w:rPr>
        <w:t>after</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rPr>
        <w:t>was</w:t>
      </w:r>
      <w:r>
        <w:rPr>
          <w:color w:val="231F20"/>
          <w:spacing w:val="11"/>
        </w:rPr>
        <w:t> </w:t>
      </w:r>
      <w:r>
        <w:rPr>
          <w:color w:val="231F20"/>
          <w:spacing w:val="-2"/>
        </w:rPr>
        <w:t>started.</w:t>
      </w:r>
    </w:p>
    <w:p>
      <w:pPr>
        <w:spacing w:after="0"/>
        <w:sectPr>
          <w:pgSz w:w="12240" w:h="15840"/>
          <w:pgMar w:header="0" w:footer="736" w:top="1180" w:bottom="920" w:left="1000" w:right="1060"/>
        </w:sectPr>
      </w:pPr>
    </w:p>
    <w:p>
      <w:pPr>
        <w:pStyle w:val="BodyText"/>
        <w:spacing w:line="213" w:lineRule="auto" w:before="85"/>
        <w:ind w:left="3406" w:right="493" w:hanging="216"/>
      </w:pPr>
      <w:bookmarkStart w:name="_bookmark183" w:id="398"/>
      <w:bookmarkEnd w:id="398"/>
      <w:r>
        <w:rPr/>
      </w:r>
      <w:r>
        <w:rPr>
          <w:rFonts w:ascii="Futura MdCn BT"/>
          <w:color w:val="231F20"/>
        </w:rPr>
        <w:t>v</w:t>
      </w:r>
      <w:r>
        <w:rPr>
          <w:rFonts w:ascii="Futura MdCn BT"/>
          <w:color w:val="231F20"/>
          <w:spacing w:val="80"/>
        </w:rPr>
        <w:t> </w:t>
      </w:r>
      <w:r>
        <w:rPr>
          <w:color w:val="231F20"/>
        </w:rPr>
        <w:t>The managed system was added to a managed system group in </w:t>
      </w:r>
      <w:r>
        <w:rPr>
          <w:color w:val="231F20"/>
        </w:rPr>
        <w:t>the</w:t>
      </w:r>
      <w:r>
        <w:rPr>
          <w:color w:val="231F20"/>
        </w:rPr>
        <w:t> situation distribution.</w:t>
      </w:r>
    </w:p>
    <w:p>
      <w:pPr>
        <w:pStyle w:val="BodyText"/>
        <w:spacing w:line="213" w:lineRule="auto" w:before="58"/>
        <w:ind w:left="3406" w:right="545" w:hanging="216"/>
      </w:pPr>
      <w:r>
        <w:rPr>
          <w:rFonts w:ascii="Futura MdCn BT"/>
          <w:color w:val="231F20"/>
        </w:rPr>
        <w:t>v</w:t>
      </w:r>
      <w:r>
        <w:rPr>
          <w:rFonts w:ascii="Futura MdCn BT"/>
          <w:color w:val="231F20"/>
          <w:spacing w:val="80"/>
        </w:rPr>
        <w:t> </w:t>
      </w:r>
      <w:r>
        <w:rPr>
          <w:color w:val="231F20"/>
        </w:rPr>
        <w:t>The managed system was added to a situation object group that </w:t>
      </w:r>
      <w:r>
        <w:rPr>
          <w:color w:val="231F20"/>
        </w:rPr>
        <w:t>the</w:t>
      </w:r>
      <w:r>
        <w:rPr>
          <w:color w:val="231F20"/>
        </w:rPr>
        <w:t> situation is a member of.</w:t>
      </w:r>
    </w:p>
    <w:p>
      <w:pPr>
        <w:pStyle w:val="Heading6"/>
      </w:pPr>
      <w:r>
        <w:rPr>
          <w:color w:val="231F20"/>
        </w:rPr>
        <w:t>Command-line</w:t>
      </w:r>
      <w:r>
        <w:rPr>
          <w:color w:val="231F20"/>
          <w:spacing w:val="2"/>
        </w:rPr>
        <w:t> </w:t>
      </w:r>
      <w:r>
        <w:rPr>
          <w:color w:val="231F20"/>
          <w:spacing w:val="-2"/>
        </w:rPr>
        <w:t>Interface</w:t>
      </w:r>
    </w:p>
    <w:p>
      <w:pPr>
        <w:pStyle w:val="BodyText"/>
        <w:spacing w:line="213" w:lineRule="auto" w:before="12"/>
        <w:ind w:left="3190" w:right="385"/>
      </w:pPr>
      <w:r>
        <w:rPr>
          <w:color w:val="231F20"/>
          <w:w w:val="105"/>
        </w:rPr>
        <w:t>If</w:t>
      </w:r>
      <w:r>
        <w:rPr>
          <w:color w:val="231F20"/>
          <w:spacing w:val="-2"/>
          <w:w w:val="105"/>
        </w:rPr>
        <w:t> </w:t>
      </w:r>
      <w:r>
        <w:rPr>
          <w:color w:val="231F20"/>
          <w:w w:val="105"/>
        </w:rPr>
        <w:t>you</w:t>
      </w:r>
      <w:r>
        <w:rPr>
          <w:color w:val="231F20"/>
          <w:spacing w:val="-2"/>
          <w:w w:val="105"/>
        </w:rPr>
        <w:t> </w:t>
      </w:r>
      <w:r>
        <w:rPr>
          <w:color w:val="231F20"/>
          <w:w w:val="105"/>
        </w:rPr>
        <w:t>are</w:t>
      </w:r>
      <w:r>
        <w:rPr>
          <w:color w:val="231F20"/>
          <w:spacing w:val="-2"/>
          <w:w w:val="105"/>
        </w:rPr>
        <w:t> </w:t>
      </w:r>
      <w:r>
        <w:rPr>
          <w:color w:val="231F20"/>
          <w:w w:val="105"/>
        </w:rPr>
        <w:t>using</w:t>
      </w:r>
      <w:r>
        <w:rPr>
          <w:color w:val="231F20"/>
          <w:spacing w:val="-2"/>
          <w:w w:val="105"/>
        </w:rPr>
        <w:t> </w:t>
      </w:r>
      <w:r>
        <w:rPr>
          <w:color w:val="231F20"/>
          <w:w w:val="105"/>
        </w:rPr>
        <w:t>the</w:t>
      </w:r>
      <w:r>
        <w:rPr>
          <w:color w:val="231F20"/>
          <w:spacing w:val="-2"/>
          <w:w w:val="105"/>
        </w:rPr>
        <w:t> </w:t>
      </w:r>
      <w:r>
        <w:rPr>
          <w:color w:val="231F20"/>
          <w:w w:val="105"/>
        </w:rPr>
        <w:t>Tivoli</w:t>
      </w:r>
      <w:r>
        <w:rPr>
          <w:color w:val="231F20"/>
          <w:spacing w:val="-2"/>
          <w:w w:val="105"/>
        </w:rPr>
        <w:t> </w:t>
      </w:r>
      <w:r>
        <w:rPr>
          <w:color w:val="231F20"/>
          <w:w w:val="105"/>
        </w:rPr>
        <w:t>Monitoring</w:t>
      </w:r>
      <w:r>
        <w:rPr>
          <w:color w:val="231F20"/>
          <w:spacing w:val="-2"/>
          <w:w w:val="105"/>
        </w:rPr>
        <w:t> </w:t>
      </w:r>
      <w:r>
        <w:rPr>
          <w:color w:val="231F20"/>
          <w:w w:val="105"/>
        </w:rPr>
        <w:t>command</w:t>
      </w:r>
      <w:r>
        <w:rPr>
          <w:color w:val="231F20"/>
          <w:spacing w:val="-2"/>
          <w:w w:val="105"/>
        </w:rPr>
        <w:t> </w:t>
      </w:r>
      <w:r>
        <w:rPr>
          <w:color w:val="231F20"/>
          <w:w w:val="105"/>
        </w:rPr>
        <w:t>line</w:t>
      </w:r>
      <w:r>
        <w:rPr>
          <w:color w:val="231F20"/>
          <w:spacing w:val="-2"/>
          <w:w w:val="105"/>
        </w:rPr>
        <w:t> </w:t>
      </w:r>
      <w:r>
        <w:rPr>
          <w:rFonts w:ascii="Book Antiqua"/>
          <w:b/>
          <w:color w:val="231F20"/>
          <w:w w:val="105"/>
        </w:rPr>
        <w:t>tacmd</w:t>
      </w:r>
      <w:r>
        <w:rPr>
          <w:rFonts w:ascii="Book Antiqua"/>
          <w:b/>
          <w:color w:val="231F20"/>
          <w:spacing w:val="-2"/>
          <w:w w:val="105"/>
        </w:rPr>
        <w:t> </w:t>
      </w:r>
      <w:r>
        <w:rPr>
          <w:rFonts w:ascii="Book Antiqua"/>
          <w:b/>
          <w:color w:val="231F20"/>
          <w:w w:val="105"/>
        </w:rPr>
        <w:t>createSit </w:t>
      </w:r>
      <w:r>
        <w:rPr>
          <w:color w:val="231F20"/>
          <w:w w:val="105"/>
        </w:rPr>
        <w:t>function</w:t>
      </w:r>
      <w:r>
        <w:rPr>
          <w:color w:val="231F20"/>
          <w:spacing w:val="-5"/>
          <w:w w:val="105"/>
        </w:rPr>
        <w:t> </w:t>
      </w:r>
      <w:r>
        <w:rPr>
          <w:color w:val="231F20"/>
          <w:w w:val="105"/>
        </w:rPr>
        <w:t>(described</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hyperlink r:id="rId348">
        <w:r>
          <w:rPr>
            <w:rFonts w:ascii="Book Antiqua"/>
            <w:i/>
            <w:color w:val="231F20"/>
            <w:w w:val="105"/>
          </w:rPr>
          <w:t>IBM</w:t>
        </w:r>
        <w:r>
          <w:rPr>
            <w:rFonts w:ascii="Book Antiqua"/>
            <w:i/>
            <w:color w:val="231F20"/>
            <w:spacing w:val="-5"/>
            <w:w w:val="105"/>
          </w:rPr>
          <w:t> </w:t>
        </w:r>
        <w:r>
          <w:rPr>
            <w:rFonts w:ascii="Book Antiqua"/>
            <w:i/>
            <w:color w:val="231F20"/>
            <w:w w:val="105"/>
          </w:rPr>
          <w:t>Tivoli</w:t>
        </w:r>
        <w:r>
          <w:rPr>
            <w:rFonts w:ascii="Book Antiqua"/>
            <w:i/>
            <w:color w:val="231F20"/>
            <w:spacing w:val="-5"/>
            <w:w w:val="105"/>
          </w:rPr>
          <w:t> </w:t>
        </w:r>
        <w:r>
          <w:rPr>
            <w:rFonts w:ascii="Book Antiqua"/>
            <w:i/>
            <w:color w:val="231F20"/>
            <w:w w:val="105"/>
          </w:rPr>
          <w:t>Monitoring</w:t>
        </w:r>
        <w:r>
          <w:rPr>
            <w:rFonts w:ascii="Book Antiqua"/>
            <w:i/>
            <w:color w:val="231F20"/>
            <w:spacing w:val="-5"/>
            <w:w w:val="105"/>
          </w:rPr>
          <w:t> </w:t>
        </w:r>
        <w:r>
          <w:rPr>
            <w:rFonts w:ascii="Book Antiqua"/>
            <w:i/>
            <w:color w:val="231F20"/>
            <w:w w:val="105"/>
          </w:rPr>
          <w:t>Command</w:t>
        </w:r>
        <w:r>
          <w:rPr>
            <w:rFonts w:ascii="Book Antiqua"/>
            <w:i/>
            <w:color w:val="231F20"/>
            <w:spacing w:val="-5"/>
            <w:w w:val="105"/>
          </w:rPr>
          <w:t> </w:t>
        </w:r>
        <w:r>
          <w:rPr>
            <w:rFonts w:ascii="Book Antiqua"/>
            <w:i/>
            <w:color w:val="231F20"/>
            <w:w w:val="105"/>
          </w:rPr>
          <w:t>Reference</w:t>
        </w:r>
      </w:hyperlink>
      <w:r>
        <w:rPr>
          <w:rFonts w:ascii="Book Antiqua"/>
          <w:i/>
          <w:color w:val="231F20"/>
          <w:w w:val="105"/>
        </w:rPr>
        <w:t> </w:t>
      </w:r>
      <w:hyperlink r:id="rId349">
        <w:r>
          <w:rPr>
            <w:color w:val="231F20"/>
            <w:spacing w:val="-2"/>
            <w:w w:val="105"/>
          </w:rPr>
          <w:t>(http://pic.dhe.ibm.com/infocenter/tivihelp/v61r1/topic/</w:t>
        </w:r>
      </w:hyperlink>
      <w:r>
        <w:rPr>
          <w:color w:val="231F20"/>
          <w:spacing w:val="80"/>
          <w:w w:val="105"/>
        </w:rPr>
        <w:t> </w:t>
      </w:r>
      <w:r>
        <w:rPr>
          <w:color w:val="231F20"/>
        </w:rPr>
        <w:t>com.ibm.itm.doc_6.3/cmdref/itm_cmdref.htm) ) for situation creation, </w:t>
      </w:r>
      <w:r>
        <w:rPr>
          <w:color w:val="231F20"/>
        </w:rPr>
        <w:t>you </w:t>
      </w:r>
      <w:r>
        <w:rPr>
          <w:color w:val="231F20"/>
          <w:w w:val="105"/>
        </w:rPr>
        <w:t>also can use the Situation editor to validate the specified attributes.</w:t>
      </w:r>
    </w:p>
    <w:p>
      <w:pPr>
        <w:pStyle w:val="Heading6"/>
        <w:spacing w:before="115"/>
      </w:pPr>
      <w:r>
        <w:rPr>
          <w:color w:val="231F20"/>
        </w:rPr>
        <w:t>Private</w:t>
      </w:r>
      <w:r>
        <w:rPr>
          <w:color w:val="231F20"/>
          <w:spacing w:val="9"/>
        </w:rPr>
        <w:t> </w:t>
      </w:r>
      <w:r>
        <w:rPr>
          <w:color w:val="231F20"/>
          <w:spacing w:val="-2"/>
        </w:rPr>
        <w:t>situations</w:t>
      </w:r>
    </w:p>
    <w:p>
      <w:pPr>
        <w:pStyle w:val="BodyText"/>
        <w:spacing w:line="213" w:lineRule="auto" w:before="11"/>
        <w:ind w:left="3190" w:right="545"/>
      </w:pPr>
      <w:r>
        <w:rPr>
          <w:color w:val="231F20"/>
        </w:rPr>
        <w:t>Enterprise monitoring agents and system monitor agents can use </w:t>
      </w:r>
      <w:r>
        <w:rPr>
          <w:color w:val="231F20"/>
        </w:rPr>
        <w:t>locally defined situations to operate fully autonomously. These locally defined </w:t>
      </w:r>
      <w:r>
        <w:rPr>
          <w:rFonts w:ascii="Book Antiqua"/>
          <w:i/>
          <w:color w:val="231F20"/>
        </w:rPr>
        <w:t>private situations </w:t>
      </w:r>
      <w:r>
        <w:rPr>
          <w:color w:val="231F20"/>
        </w:rPr>
        <w:t>are created in a private situation definition XML file.</w:t>
      </w:r>
    </w:p>
    <w:p>
      <w:pPr>
        <w:pStyle w:val="BodyText"/>
        <w:spacing w:line="213" w:lineRule="auto"/>
        <w:ind w:left="3190" w:right="258"/>
      </w:pPr>
      <w:r>
        <w:rPr>
          <w:color w:val="231F20"/>
        </w:rPr>
        <w:t>Private</w:t>
      </w:r>
      <w:r>
        <w:rPr>
          <w:color w:val="231F20"/>
          <w:spacing w:val="29"/>
        </w:rPr>
        <w:t> </w:t>
      </w:r>
      <w:r>
        <w:rPr>
          <w:color w:val="231F20"/>
        </w:rPr>
        <w:t>situations</w:t>
      </w:r>
      <w:r>
        <w:rPr>
          <w:color w:val="231F20"/>
          <w:spacing w:val="29"/>
        </w:rPr>
        <w:t> </w:t>
      </w:r>
      <w:r>
        <w:rPr>
          <w:color w:val="231F20"/>
        </w:rPr>
        <w:t>events</w:t>
      </w:r>
      <w:r>
        <w:rPr>
          <w:color w:val="231F20"/>
          <w:spacing w:val="29"/>
        </w:rPr>
        <w:t> </w:t>
      </w:r>
      <w:r>
        <w:rPr>
          <w:color w:val="231F20"/>
        </w:rPr>
        <w:t>come</w:t>
      </w:r>
      <w:r>
        <w:rPr>
          <w:color w:val="231F20"/>
          <w:spacing w:val="29"/>
        </w:rPr>
        <w:t> </w:t>
      </w:r>
      <w:r>
        <w:rPr>
          <w:color w:val="231F20"/>
        </w:rPr>
        <w:t>directly</w:t>
      </w:r>
      <w:r>
        <w:rPr>
          <w:color w:val="231F20"/>
          <w:spacing w:val="29"/>
        </w:rPr>
        <w:t> </w:t>
      </w:r>
      <w:r>
        <w:rPr>
          <w:color w:val="231F20"/>
        </w:rPr>
        <w:t>from</w:t>
      </w:r>
      <w:r>
        <w:rPr>
          <w:color w:val="231F20"/>
          <w:spacing w:val="29"/>
        </w:rPr>
        <w:t> </w:t>
      </w:r>
      <w:r>
        <w:rPr>
          <w:color w:val="231F20"/>
        </w:rPr>
        <w:t>the</w:t>
      </w:r>
      <w:r>
        <w:rPr>
          <w:color w:val="231F20"/>
          <w:spacing w:val="29"/>
        </w:rPr>
        <w:t> </w:t>
      </w:r>
      <w:r>
        <w:rPr>
          <w:color w:val="231F20"/>
        </w:rPr>
        <w:t>monitoring</w:t>
      </w:r>
      <w:r>
        <w:rPr>
          <w:color w:val="231F20"/>
          <w:spacing w:val="29"/>
        </w:rPr>
        <w:t> </w:t>
      </w:r>
      <w:r>
        <w:rPr>
          <w:color w:val="231F20"/>
        </w:rPr>
        <w:t>agent. You must</w:t>
      </w:r>
      <w:r>
        <w:rPr>
          <w:color w:val="231F20"/>
          <w:spacing w:val="30"/>
        </w:rPr>
        <w:t> </w:t>
      </w:r>
      <w:r>
        <w:rPr>
          <w:color w:val="231F20"/>
        </w:rPr>
        <w:t>place</w:t>
      </w:r>
      <w:r>
        <w:rPr>
          <w:color w:val="231F20"/>
          <w:spacing w:val="30"/>
        </w:rPr>
        <w:t> </w:t>
      </w:r>
      <w:r>
        <w:rPr>
          <w:color w:val="231F20"/>
        </w:rPr>
        <w:t>a</w:t>
      </w:r>
      <w:r>
        <w:rPr>
          <w:color w:val="231F20"/>
          <w:spacing w:val="30"/>
        </w:rPr>
        <w:t> </w:t>
      </w:r>
      <w:r>
        <w:rPr>
          <w:color w:val="231F20"/>
        </w:rPr>
        <w:t>private</w:t>
      </w:r>
      <w:r>
        <w:rPr>
          <w:color w:val="231F20"/>
          <w:spacing w:val="30"/>
        </w:rPr>
        <w:t> </w:t>
      </w:r>
      <w:r>
        <w:rPr>
          <w:color w:val="231F20"/>
        </w:rPr>
        <w:t>situation</w:t>
      </w:r>
      <w:r>
        <w:rPr>
          <w:color w:val="231F20"/>
          <w:spacing w:val="30"/>
        </w:rPr>
        <w:t> </w:t>
      </w:r>
      <w:r>
        <w:rPr>
          <w:color w:val="231F20"/>
        </w:rPr>
        <w:t>configuration</w:t>
      </w:r>
      <w:r>
        <w:rPr>
          <w:color w:val="231F20"/>
          <w:spacing w:val="30"/>
        </w:rPr>
        <w:t> </w:t>
      </w:r>
      <w:r>
        <w:rPr>
          <w:color w:val="231F20"/>
        </w:rPr>
        <w:t>file</w:t>
      </w:r>
      <w:r>
        <w:rPr>
          <w:color w:val="231F20"/>
          <w:spacing w:val="30"/>
        </w:rPr>
        <w:t> </w:t>
      </w:r>
      <w:r>
        <w:rPr>
          <w:color w:val="231F20"/>
        </w:rPr>
        <w:t>in</w:t>
      </w:r>
      <w:r>
        <w:rPr>
          <w:color w:val="231F20"/>
          <w:spacing w:val="30"/>
        </w:rPr>
        <w:t> </w:t>
      </w:r>
      <w:r>
        <w:rPr>
          <w:color w:val="231F20"/>
        </w:rPr>
        <w:t>the</w:t>
      </w:r>
      <w:r>
        <w:rPr>
          <w:color w:val="231F20"/>
          <w:spacing w:val="30"/>
        </w:rPr>
        <w:t> </w:t>
      </w:r>
      <w:r>
        <w:rPr>
          <w:color w:val="231F20"/>
        </w:rPr>
        <w:t>agent</w:t>
      </w:r>
      <w:r>
        <w:rPr>
          <w:color w:val="231F20"/>
          <w:spacing w:val="30"/>
        </w:rPr>
        <w:t> </w:t>
      </w:r>
      <w:r>
        <w:rPr>
          <w:color w:val="231F20"/>
        </w:rPr>
        <w:t>installation and restart the agent to enable this function. If you want to send an SNMP alert or EIF event when a private situation event is opened, then the </w:t>
      </w:r>
      <w:r>
        <w:rPr>
          <w:color w:val="231F20"/>
        </w:rPr>
        <w:t>SNMP trap configuration file or EIF event configuration file must also be in the agent installation.</w:t>
      </w:r>
    </w:p>
    <w:p>
      <w:pPr>
        <w:pStyle w:val="BodyText"/>
        <w:spacing w:line="213" w:lineRule="auto" w:before="114"/>
        <w:ind w:left="3190" w:right="385"/>
      </w:pPr>
      <w:r>
        <w:rPr>
          <w:color w:val="231F20"/>
        </w:rPr>
        <w:t>Private situations on an enterprise monitoring agent have no interaction with or reporting of any kind to the monitoring server. Private </w:t>
      </w:r>
      <w:r>
        <w:rPr>
          <w:color w:val="231F20"/>
        </w:rPr>
        <w:t>situations and enterprise situations can run concurrently.</w:t>
      </w:r>
    </w:p>
    <w:p>
      <w:pPr>
        <w:spacing w:line="213" w:lineRule="auto" w:before="118"/>
        <w:ind w:left="3190" w:right="0" w:firstLine="0"/>
        <w:jc w:val="left"/>
        <w:rPr>
          <w:sz w:val="20"/>
        </w:rPr>
      </w:pPr>
      <w:r>
        <w:rPr>
          <w:color w:val="231F20"/>
          <w:sz w:val="20"/>
        </w:rPr>
        <w:t>See “Private situations” in the </w:t>
      </w:r>
      <w:hyperlink r:id="rId372">
        <w:r>
          <w:rPr>
            <w:rFonts w:ascii="Book Antiqua" w:hAnsi="Book Antiqua"/>
            <w:i/>
            <w:color w:val="231F20"/>
            <w:sz w:val="20"/>
          </w:rPr>
          <w:t>IBM Tivoli Monitoring Administrator's </w:t>
        </w:r>
        <w:r>
          <w:rPr>
            <w:rFonts w:ascii="Book Antiqua" w:hAnsi="Book Antiqua"/>
            <w:i/>
            <w:color w:val="231F20"/>
            <w:sz w:val="20"/>
          </w:rPr>
          <w:t>Guide</w:t>
        </w:r>
      </w:hyperlink>
      <w:r>
        <w:rPr>
          <w:rFonts w:ascii="Book Antiqua" w:hAnsi="Book Antiqua"/>
          <w:i/>
          <w:color w:val="231F20"/>
          <w:sz w:val="20"/>
        </w:rPr>
        <w:t> </w:t>
      </w:r>
      <w:hyperlink r:id="rId349">
        <w:r>
          <w:rPr>
            <w:color w:val="231F20"/>
            <w:spacing w:val="-2"/>
            <w:w w:val="105"/>
            <w:sz w:val="20"/>
          </w:rPr>
          <w:t>(http://pic.dhe.ibm.com/infocenter/tivihelp/v61r1/topic/</w:t>
        </w:r>
      </w:hyperlink>
      <w:r>
        <w:rPr>
          <w:color w:val="231F20"/>
          <w:spacing w:val="80"/>
          <w:w w:val="105"/>
          <w:sz w:val="20"/>
        </w:rPr>
        <w:t> </w:t>
      </w:r>
      <w:r>
        <w:rPr>
          <w:color w:val="231F20"/>
          <w:w w:val="105"/>
          <w:sz w:val="20"/>
        </w:rPr>
        <w:t>com.ibm.itm.doc_6.3/adminuse/itm_admin.htm) for details.</w:t>
      </w:r>
    </w:p>
    <w:p>
      <w:pPr>
        <w:pStyle w:val="Heading6"/>
        <w:spacing w:before="116"/>
      </w:pPr>
      <w:r>
        <w:rPr>
          <w:color w:val="231F20"/>
        </w:rPr>
        <w:t>Situation</w:t>
      </w:r>
      <w:r>
        <w:rPr>
          <w:color w:val="231F20"/>
          <w:spacing w:val="7"/>
        </w:rPr>
        <w:t> </w:t>
      </w:r>
      <w:r>
        <w:rPr>
          <w:color w:val="231F20"/>
          <w:spacing w:val="-2"/>
        </w:rPr>
        <w:t>limitations</w:t>
      </w:r>
    </w:p>
    <w:p>
      <w:pPr>
        <w:pStyle w:val="BodyText"/>
        <w:spacing w:line="258" w:lineRule="exact"/>
        <w:ind w:left="3190"/>
      </w:pPr>
      <w:r>
        <w:rPr>
          <w:color w:val="231F20"/>
        </w:rPr>
        <w:t>See</w:t>
      </w:r>
      <w:r>
        <w:rPr>
          <w:color w:val="231F20"/>
          <w:spacing w:val="11"/>
        </w:rPr>
        <w:t> </w:t>
      </w:r>
      <w:r>
        <w:rPr>
          <w:color w:val="231F20"/>
        </w:rPr>
        <w:t>the</w:t>
      </w:r>
      <w:r>
        <w:rPr>
          <w:color w:val="231F20"/>
          <w:spacing w:val="11"/>
        </w:rPr>
        <w:t> </w:t>
      </w:r>
      <w:hyperlink r:id="rId373">
        <w:r>
          <w:rPr>
            <w:color w:val="231F20"/>
          </w:rPr>
          <w:t>ITM</w:t>
        </w:r>
        <w:r>
          <w:rPr>
            <w:color w:val="231F20"/>
            <w:spacing w:val="12"/>
          </w:rPr>
          <w:t> </w:t>
        </w:r>
        <w:r>
          <w:rPr>
            <w:color w:val="231F20"/>
          </w:rPr>
          <w:t>Situation</w:t>
        </w:r>
        <w:r>
          <w:rPr>
            <w:color w:val="231F20"/>
            <w:spacing w:val="11"/>
          </w:rPr>
          <w:t> </w:t>
        </w:r>
        <w:r>
          <w:rPr>
            <w:color w:val="231F20"/>
          </w:rPr>
          <w:t>Limits</w:t>
        </w:r>
      </w:hyperlink>
      <w:r>
        <w:rPr>
          <w:color w:val="231F20"/>
          <w:spacing w:val="11"/>
        </w:rPr>
        <w:t> </w:t>
      </w:r>
      <w:r>
        <w:rPr>
          <w:color w:val="231F20"/>
          <w:spacing w:val="-2"/>
        </w:rPr>
        <w:t>technote.</w:t>
      </w:r>
    </w:p>
    <w:p>
      <w:pPr>
        <w:pStyle w:val="BodyText"/>
        <w:spacing w:before="13"/>
        <w:rPr>
          <w:sz w:val="15"/>
        </w:rPr>
      </w:pPr>
      <w:r>
        <w:rPr/>
        <mc:AlternateContent>
          <mc:Choice Requires="wps">
            <w:drawing>
              <wp:anchor distT="0" distB="0" distL="0" distR="0" allowOverlap="1" layoutInCell="1" locked="0" behindDoc="1" simplePos="0" relativeHeight="487719936">
                <wp:simplePos x="0" y="0"/>
                <wp:positionH relativeFrom="page">
                  <wp:posOffset>912380</wp:posOffset>
                </wp:positionH>
                <wp:positionV relativeFrom="paragraph">
                  <wp:posOffset>152274</wp:posOffset>
                </wp:positionV>
                <wp:extent cx="6082665" cy="1270"/>
                <wp:effectExtent l="0" t="0" r="0" b="0"/>
                <wp:wrapTopAndBottom/>
                <wp:docPr id="2198" name="Graphic 2198"/>
                <wp:cNvGraphicFramePr>
                  <a:graphicFrameLocks/>
                </wp:cNvGraphicFramePr>
                <a:graphic>
                  <a:graphicData uri="http://schemas.microsoft.com/office/word/2010/wordprocessingShape">
                    <wps:wsp>
                      <wps:cNvPr id="2198" name="Graphic 219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90155pt;width:478.95pt;height:.1pt;mso-position-horizontal-relative:page;mso-position-vertical-relative:paragraph;z-index:-15596544;mso-wrap-distance-left:0;mso-wrap-distance-right:0" id="docshape209" coordorigin="1437,240" coordsize="9579,0" path="m1437,240l11016,240e" filled="false" stroked="true" strokeweight=".499pt" strokecolor="#231f20">
                <v:path arrowok="t"/>
                <v:stroke dashstyle="solid"/>
                <w10:wrap type="topAndBottom"/>
              </v:shape>
            </w:pict>
          </mc:Fallback>
        </mc:AlternateContent>
      </w:r>
    </w:p>
    <w:p>
      <w:pPr>
        <w:pStyle w:val="Heading3"/>
        <w:ind w:left="0" w:right="5938"/>
        <w:jc w:val="right"/>
      </w:pPr>
      <w:bookmarkStart w:name="Opening the Situation editor" w:id="399"/>
      <w:bookmarkEnd w:id="399"/>
      <w:r>
        <w:rPr>
          <w:b w:val="0"/>
        </w:rPr>
      </w:r>
      <w:r>
        <w:rPr>
          <w:color w:val="231F20"/>
        </w:rPr>
        <w:t>Opening</w:t>
      </w:r>
      <w:r>
        <w:rPr>
          <w:color w:val="231F20"/>
          <w:spacing w:val="5"/>
        </w:rPr>
        <w:t> </w:t>
      </w:r>
      <w:r>
        <w:rPr>
          <w:color w:val="231F20"/>
        </w:rPr>
        <w:t>the</w:t>
      </w:r>
      <w:r>
        <w:rPr>
          <w:color w:val="231F20"/>
          <w:spacing w:val="6"/>
        </w:rPr>
        <w:t> </w:t>
      </w:r>
      <w:r>
        <w:rPr>
          <w:color w:val="231F20"/>
        </w:rPr>
        <w:t>Situation</w:t>
      </w:r>
      <w:r>
        <w:rPr>
          <w:color w:val="231F20"/>
          <w:spacing w:val="6"/>
        </w:rPr>
        <w:t> </w:t>
      </w:r>
      <w:r>
        <w:rPr>
          <w:color w:val="231F20"/>
          <w:spacing w:val="-2"/>
        </w:rPr>
        <w:t>editor</w:t>
      </w:r>
    </w:p>
    <w:p>
      <w:pPr>
        <w:pStyle w:val="BodyText"/>
        <w:spacing w:line="213" w:lineRule="auto" w:before="138"/>
        <w:ind w:left="2472" w:right="385"/>
      </w:pPr>
      <w:r>
        <w:rPr>
          <w:color w:val="231F20"/>
        </w:rPr>
        <w:t>There are several places from which you can open the Situation editor, with</w:t>
      </w:r>
      <w:r>
        <w:rPr>
          <w:color w:val="231F20"/>
          <w:spacing w:val="40"/>
        </w:rPr>
        <w:t> </w:t>
      </w:r>
      <w:r>
        <w:rPr>
          <w:color w:val="231F20"/>
        </w:rPr>
        <w:t>different capabilities related to the context. When the Situation editor is opened</w:t>
      </w:r>
      <w:r>
        <w:rPr>
          <w:color w:val="231F20"/>
          <w:spacing w:val="40"/>
        </w:rPr>
        <w:t> </w:t>
      </w:r>
      <w:r>
        <w:rPr>
          <w:color w:val="231F20"/>
        </w:rPr>
        <w:t>from the toolbar, for example, you can create situations for any agent type but you cannot associate them with Navigator items or set the event state or sound.</w:t>
      </w:r>
    </w:p>
    <w:p>
      <w:pPr>
        <w:pStyle w:val="Heading4"/>
        <w:spacing w:before="199"/>
        <w:ind w:left="0" w:right="5949"/>
        <w:jc w:val="right"/>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Open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editor</w:t>
      </w:r>
      <w:r>
        <w:rPr>
          <w:color w:val="231F20"/>
          <w:spacing w:val="11"/>
        </w:rPr>
        <w:t> </w:t>
      </w:r>
      <w:r>
        <w:rPr>
          <w:color w:val="231F20"/>
        </w:rPr>
        <w:t>from</w:t>
      </w:r>
      <w:r>
        <w:rPr>
          <w:color w:val="231F20"/>
          <w:spacing w:val="11"/>
        </w:rPr>
        <w:t> </w:t>
      </w:r>
      <w:r>
        <w:rPr>
          <w:color w:val="231F20"/>
        </w:rPr>
        <w:t>one</w:t>
      </w:r>
      <w:r>
        <w:rPr>
          <w:color w:val="231F20"/>
          <w:spacing w:val="11"/>
        </w:rPr>
        <w:t> </w:t>
      </w:r>
      <w:r>
        <w:rPr>
          <w:color w:val="231F20"/>
        </w:rPr>
        <w:t>of</w:t>
      </w:r>
      <w:r>
        <w:rPr>
          <w:color w:val="231F20"/>
          <w:spacing w:val="12"/>
        </w:rPr>
        <w:t> </w:t>
      </w:r>
      <w:r>
        <w:rPr>
          <w:color w:val="231F20"/>
        </w:rPr>
        <w:t>these</w:t>
      </w:r>
      <w:r>
        <w:rPr>
          <w:color w:val="231F20"/>
          <w:spacing w:val="11"/>
        </w:rPr>
        <w:t> </w:t>
      </w:r>
      <w:r>
        <w:rPr>
          <w:color w:val="231F20"/>
          <w:spacing w:val="-2"/>
        </w:rPr>
        <w:t>locations:</w:t>
      </w:r>
    </w:p>
    <w:p>
      <w:pPr>
        <w:pStyle w:val="Heading4"/>
        <w:spacing w:before="194"/>
        <w:ind w:left="2472"/>
      </w:pPr>
      <w:r>
        <w:rPr>
          <w:color w:val="231F20"/>
          <w:spacing w:val="-2"/>
        </w:rPr>
        <w:t>Procedure</w:t>
      </w:r>
    </w:p>
    <w:p>
      <w:pPr>
        <w:pStyle w:val="BodyText"/>
        <w:spacing w:before="39"/>
        <w:ind w:left="2472"/>
      </w:pPr>
      <w:r>
        <w:rPr>
          <w:rFonts w:ascii="Futura MdCn BT"/>
          <w:color w:val="231F20"/>
        </w:rPr>
        <w:t>v</w:t>
      </w:r>
      <w:r>
        <w:rPr>
          <w:rFonts w:ascii="Futura MdCn BT"/>
          <w:color w:val="231F20"/>
          <w:spacing w:val="32"/>
        </w:rPr>
        <w:t>  </w:t>
      </w:r>
      <w:r>
        <w:rPr>
          <w:color w:val="231F20"/>
        </w:rPr>
        <w:t>Right-click</w:t>
      </w:r>
      <w:r>
        <w:rPr>
          <w:color w:val="231F20"/>
          <w:spacing w:val="12"/>
        </w:rPr>
        <w:t> </w:t>
      </w:r>
      <w:r>
        <w:rPr>
          <w:color w:val="231F20"/>
        </w:rPr>
        <w:t>a</w:t>
      </w:r>
      <w:r>
        <w:rPr>
          <w:color w:val="231F20"/>
          <w:spacing w:val="13"/>
        </w:rPr>
        <w:t> </w:t>
      </w:r>
      <w:r>
        <w:rPr>
          <w:color w:val="231F20"/>
        </w:rPr>
        <w:t>Navigator</w:t>
      </w:r>
      <w:r>
        <w:rPr>
          <w:color w:val="231F20"/>
          <w:spacing w:val="13"/>
        </w:rPr>
        <w:t> </w:t>
      </w:r>
      <w:r>
        <w:rPr>
          <w:color w:val="231F20"/>
        </w:rPr>
        <w:t>item</w:t>
      </w:r>
      <w:r>
        <w:rPr>
          <w:color w:val="231F20"/>
          <w:spacing w:val="13"/>
        </w:rPr>
        <w:t> </w:t>
      </w:r>
      <w:r>
        <w:rPr>
          <w:color w:val="231F20"/>
        </w:rPr>
        <w:t>and</w:t>
      </w:r>
      <w:r>
        <w:rPr>
          <w:color w:val="231F20"/>
          <w:spacing w:val="12"/>
        </w:rPr>
        <w:t> </w:t>
      </w:r>
      <w:r>
        <w:rPr>
          <w:color w:val="231F20"/>
        </w:rPr>
        <w:t>select</w:t>
      </w:r>
      <w:r>
        <w:rPr>
          <w:color w:val="231F20"/>
          <w:spacing w:val="12"/>
        </w:rPr>
        <w:t> </w:t>
      </w:r>
      <w:r>
        <w:rPr>
          <w:color w:val="231F20"/>
          <w:spacing w:val="15"/>
          <w:position w:val="-1"/>
        </w:rPr>
        <w:drawing>
          <wp:inline distT="0" distB="0" distL="0" distR="0">
            <wp:extent cx="101600" cy="95250"/>
            <wp:effectExtent l="0" t="0" r="0" b="0"/>
            <wp:docPr id="2199" name="Image 2199"/>
            <wp:cNvGraphicFramePr>
              <a:graphicFrameLocks/>
            </wp:cNvGraphicFramePr>
            <a:graphic>
              <a:graphicData uri="http://schemas.openxmlformats.org/drawingml/2006/picture">
                <pic:pic>
                  <pic:nvPicPr>
                    <pic:cNvPr id="2199" name="Image 2199"/>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5"/>
        </w:rPr>
        <w:t> </w:t>
      </w:r>
      <w:r>
        <w:rPr>
          <w:rFonts w:ascii="Book Antiqua"/>
          <w:b/>
          <w:color w:val="231F20"/>
          <w:spacing w:val="-2"/>
        </w:rPr>
        <w:t>Situations</w:t>
      </w:r>
      <w:r>
        <w:rPr>
          <w:color w:val="231F20"/>
          <w:spacing w:val="-2"/>
        </w:rPr>
        <w:t>.</w:t>
      </w:r>
    </w:p>
    <w:p>
      <w:pPr>
        <w:pStyle w:val="BodyText"/>
        <w:spacing w:line="213" w:lineRule="auto" w:before="52"/>
        <w:ind w:left="2688" w:right="258"/>
      </w:pPr>
      <w:r>
        <w:rPr>
          <w:color w:val="231F20"/>
        </w:rPr>
        <w:t>The</w:t>
      </w:r>
      <w:r>
        <w:rPr>
          <w:color w:val="231F20"/>
          <w:spacing w:val="28"/>
        </w:rPr>
        <w:t> </w:t>
      </w:r>
      <w:r>
        <w:rPr>
          <w:color w:val="231F20"/>
        </w:rPr>
        <w:t>Situations</w:t>
      </w:r>
      <w:r>
        <w:rPr>
          <w:color w:val="231F20"/>
          <w:spacing w:val="28"/>
        </w:rPr>
        <w:t> </w:t>
      </w:r>
      <w:r>
        <w:rPr>
          <w:color w:val="231F20"/>
        </w:rPr>
        <w:t>tree</w:t>
      </w:r>
      <w:r>
        <w:rPr>
          <w:color w:val="231F20"/>
          <w:spacing w:val="28"/>
        </w:rPr>
        <w:t> </w:t>
      </w:r>
      <w:r>
        <w:rPr>
          <w:color w:val="231F20"/>
        </w:rPr>
        <w:t>shows</w:t>
      </w:r>
      <w:r>
        <w:rPr>
          <w:color w:val="231F20"/>
          <w:spacing w:val="28"/>
        </w:rPr>
        <w:t> </w:t>
      </w:r>
      <w:r>
        <w:rPr>
          <w:color w:val="231F20"/>
        </w:rPr>
        <w:t>the</w:t>
      </w:r>
      <w:r>
        <w:rPr>
          <w:color w:val="231F20"/>
          <w:spacing w:val="28"/>
        </w:rPr>
        <w:t> </w:t>
      </w:r>
      <w:r>
        <w:rPr>
          <w:color w:val="231F20"/>
        </w:rPr>
        <w:t>situations</w:t>
      </w:r>
      <w:r>
        <w:rPr>
          <w:color w:val="231F20"/>
          <w:spacing w:val="28"/>
        </w:rPr>
        <w:t> </w:t>
      </w:r>
      <w:r>
        <w:rPr>
          <w:color w:val="231F20"/>
        </w:rPr>
        <w:t>associated</w:t>
      </w:r>
      <w:r>
        <w:rPr>
          <w:color w:val="231F20"/>
          <w:spacing w:val="28"/>
        </w:rPr>
        <w:t> </w:t>
      </w:r>
      <w:r>
        <w:rPr>
          <w:color w:val="231F20"/>
        </w:rPr>
        <w:t>with</w:t>
      </w:r>
      <w:r>
        <w:rPr>
          <w:color w:val="231F20"/>
          <w:spacing w:val="28"/>
        </w:rPr>
        <w:t> </w:t>
      </w:r>
      <w:r>
        <w:rPr>
          <w:color w:val="231F20"/>
        </w:rPr>
        <w:t>the</w:t>
      </w:r>
      <w:r>
        <w:rPr>
          <w:color w:val="231F20"/>
          <w:spacing w:val="28"/>
        </w:rPr>
        <w:t> </w:t>
      </w:r>
      <w:r>
        <w:rPr>
          <w:color w:val="231F20"/>
        </w:rPr>
        <w:t>Navigator</w:t>
      </w:r>
      <w:r>
        <w:rPr>
          <w:color w:val="231F20"/>
          <w:spacing w:val="28"/>
        </w:rPr>
        <w:t> </w:t>
      </w:r>
      <w:r>
        <w:rPr>
          <w:color w:val="231F20"/>
        </w:rPr>
        <w:t>item.</w:t>
      </w:r>
      <w:r>
        <w:rPr>
          <w:color w:val="231F20"/>
          <w:spacing w:val="28"/>
        </w:rPr>
        <w:t> </w:t>
      </w:r>
      <w:r>
        <w:rPr>
          <w:color w:val="231F20"/>
        </w:rPr>
        <w:t>If you do not see the situation, click </w:t>
      </w:r>
      <w:r>
        <w:rPr>
          <w:color w:val="231F20"/>
          <w:spacing w:val="-25"/>
          <w:position w:val="-1"/>
        </w:rPr>
        <w:drawing>
          <wp:inline distT="0" distB="0" distL="0" distR="0">
            <wp:extent cx="95250" cy="101600"/>
            <wp:effectExtent l="0" t="0" r="0" b="0"/>
            <wp:docPr id="2200" name="Image 2200"/>
            <wp:cNvGraphicFramePr>
              <a:graphicFrameLocks/>
            </wp:cNvGraphicFramePr>
            <a:graphic>
              <a:graphicData uri="http://schemas.openxmlformats.org/drawingml/2006/picture">
                <pic:pic>
                  <pic:nvPicPr>
                    <pic:cNvPr id="2200" name="Image 2200"/>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79"/>
        </w:rPr>
        <w:t> </w:t>
      </w:r>
      <w:r>
        <w:rPr>
          <w:rFonts w:ascii="Book Antiqua"/>
          <w:b/>
          <w:color w:val="231F20"/>
        </w:rPr>
        <w:t>Situation Filter </w:t>
      </w:r>
      <w:r>
        <w:rPr>
          <w:color w:val="231F20"/>
        </w:rPr>
        <w:t>to identify a broader </w:t>
      </w:r>
      <w:r>
        <w:rPr>
          <w:color w:val="231F20"/>
        </w:rPr>
        <w:t>range. The </w:t>
      </w:r>
      <w:r>
        <w:rPr>
          <w:rFonts w:ascii="Book Antiqua"/>
          <w:i/>
          <w:color w:val="231F20"/>
        </w:rPr>
        <w:t>state </w:t>
      </w:r>
      <w:r>
        <w:rPr>
          <w:color w:val="231F20"/>
        </w:rPr>
        <w:t>and </w:t>
      </w:r>
      <w:r>
        <w:rPr>
          <w:rFonts w:ascii="Book Antiqua"/>
          <w:i/>
          <w:color w:val="231F20"/>
        </w:rPr>
        <w:t>sound </w:t>
      </w:r>
      <w:r>
        <w:rPr>
          <w:color w:val="231F20"/>
        </w:rPr>
        <w:t>for the situation is also associated with the Navigator item.</w:t>
      </w:r>
      <w:r>
        <w:rPr>
          <w:color w:val="231F20"/>
          <w:spacing w:val="40"/>
        </w:rPr>
        <w:t> </w:t>
      </w:r>
      <w:r>
        <w:rPr>
          <w:color w:val="231F20"/>
        </w:rPr>
        <w:t>You can give the same situation a different state and sound for different</w:t>
      </w:r>
      <w:r>
        <w:rPr>
          <w:color w:val="231F20"/>
          <w:spacing w:val="80"/>
        </w:rPr>
        <w:t> </w:t>
      </w:r>
      <w:r>
        <w:rPr>
          <w:color w:val="231F20"/>
        </w:rPr>
        <w:t>Navigator item associations.</w:t>
      </w:r>
    </w:p>
    <w:p>
      <w:pPr>
        <w:pStyle w:val="BodyText"/>
        <w:spacing w:line="213" w:lineRule="auto" w:before="57"/>
        <w:ind w:left="2688" w:right="545"/>
      </w:pPr>
      <w:r>
        <w:rPr>
          <w:color w:val="231F20"/>
        </w:rPr>
        <w:t>You will not see this option at the Navigator Physical view's </w:t>
      </w:r>
      <w:r>
        <w:rPr>
          <w:color w:val="231F20"/>
          <w:spacing w:val="15"/>
          <w:position w:val="-1"/>
        </w:rPr>
        <w:drawing>
          <wp:inline distT="0" distB="0" distL="0" distR="0">
            <wp:extent cx="101600" cy="95250"/>
            <wp:effectExtent l="0" t="0" r="0" b="0"/>
            <wp:docPr id="2201" name="Image 2201"/>
            <wp:cNvGraphicFramePr>
              <a:graphicFrameLocks/>
            </wp:cNvGraphicFramePr>
            <a:graphic>
              <a:graphicData uri="http://schemas.openxmlformats.org/drawingml/2006/picture">
                <pic:pic>
                  <pic:nvPicPr>
                    <pic:cNvPr id="2201" name="Image 2201"/>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platform level (such as UNIX Systems).</w:t>
      </w:r>
    </w:p>
    <w:p>
      <w:pPr>
        <w:spacing w:before="35"/>
        <w:ind w:left="2472" w:right="0" w:firstLine="0"/>
        <w:jc w:val="left"/>
        <w:rPr>
          <w:sz w:val="20"/>
        </w:rPr>
      </w:pPr>
      <w:r>
        <w:rPr>
          <w:rFonts w:ascii="Futura MdCn BT"/>
          <w:color w:val="231F20"/>
          <w:sz w:val="20"/>
        </w:rPr>
        <w:t>v</w:t>
      </w:r>
      <w:r>
        <w:rPr>
          <w:rFonts w:ascii="Futura MdCn BT"/>
          <w:color w:val="231F20"/>
          <w:spacing w:val="32"/>
          <w:sz w:val="20"/>
        </w:rPr>
        <w:t>  </w:t>
      </w:r>
      <w:r>
        <w:rPr>
          <w:color w:val="231F20"/>
          <w:sz w:val="20"/>
        </w:rPr>
        <w:t>Click</w:t>
      </w:r>
      <w:r>
        <w:rPr>
          <w:color w:val="231F20"/>
          <w:spacing w:val="14"/>
          <w:sz w:val="20"/>
        </w:rPr>
        <w:t> </w:t>
      </w:r>
      <w:r>
        <w:rPr>
          <w:color w:val="231F20"/>
          <w:spacing w:val="16"/>
          <w:position w:val="-1"/>
          <w:sz w:val="20"/>
        </w:rPr>
        <w:drawing>
          <wp:inline distT="0" distB="0" distL="0" distR="0">
            <wp:extent cx="101600" cy="95250"/>
            <wp:effectExtent l="0" t="0" r="0" b="0"/>
            <wp:docPr id="2202" name="Image 2202"/>
            <wp:cNvGraphicFramePr>
              <a:graphicFrameLocks/>
            </wp:cNvGraphicFramePr>
            <a:graphic>
              <a:graphicData uri="http://schemas.openxmlformats.org/drawingml/2006/picture">
                <pic:pic>
                  <pic:nvPicPr>
                    <pic:cNvPr id="2202" name="Image 220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45"/>
          <w:sz w:val="20"/>
        </w:rPr>
        <w:t> </w:t>
      </w:r>
      <w:r>
        <w:rPr>
          <w:rFonts w:ascii="Book Antiqua"/>
          <w:b/>
          <w:color w:val="231F20"/>
          <w:sz w:val="20"/>
        </w:rPr>
        <w:t>Situation</w:t>
      </w:r>
      <w:r>
        <w:rPr>
          <w:rFonts w:ascii="Book Antiqua"/>
          <w:b/>
          <w:color w:val="231F20"/>
          <w:spacing w:val="14"/>
          <w:sz w:val="20"/>
        </w:rPr>
        <w:t> </w:t>
      </w:r>
      <w:r>
        <w:rPr>
          <w:rFonts w:ascii="Book Antiqua"/>
          <w:b/>
          <w:color w:val="231F20"/>
          <w:sz w:val="20"/>
        </w:rPr>
        <w:t>Editor</w:t>
      </w:r>
      <w:r>
        <w:rPr>
          <w:rFonts w:ascii="Book Antiqua"/>
          <w:b/>
          <w:color w:val="231F20"/>
          <w:spacing w:val="13"/>
          <w:sz w:val="20"/>
        </w:rPr>
        <w:t> </w:t>
      </w:r>
      <w:r>
        <w:rPr>
          <w:color w:val="231F20"/>
          <w:sz w:val="20"/>
        </w:rPr>
        <w:t>in</w:t>
      </w:r>
      <w:r>
        <w:rPr>
          <w:color w:val="231F20"/>
          <w:spacing w:val="13"/>
          <w:sz w:val="20"/>
        </w:rPr>
        <w:t> </w:t>
      </w:r>
      <w:r>
        <w:rPr>
          <w:color w:val="231F20"/>
          <w:sz w:val="20"/>
        </w:rPr>
        <w:t>the</w:t>
      </w:r>
      <w:r>
        <w:rPr>
          <w:color w:val="231F20"/>
          <w:spacing w:val="14"/>
          <w:sz w:val="20"/>
        </w:rPr>
        <w:t> </w:t>
      </w:r>
      <w:r>
        <w:rPr>
          <w:color w:val="231F20"/>
          <w:spacing w:val="-2"/>
          <w:sz w:val="20"/>
        </w:rPr>
        <w:t>toolbar.</w:t>
      </w:r>
    </w:p>
    <w:p>
      <w:pPr>
        <w:pStyle w:val="BodyText"/>
        <w:spacing w:line="213" w:lineRule="auto" w:before="53"/>
        <w:ind w:left="2688"/>
      </w:pPr>
      <w:r>
        <w:rPr>
          <w:color w:val="231F20"/>
        </w:rPr>
        <w:t>When opened through the toolbar, the Situation editor has no connection to </w:t>
      </w:r>
      <w:r>
        <w:rPr>
          <w:color w:val="231F20"/>
        </w:rPr>
        <w:t>the Navigator. You can see all the situations available in your monitored network,</w:t>
      </w:r>
    </w:p>
    <w:p>
      <w:pPr>
        <w:spacing w:after="0" w:line="213" w:lineRule="auto"/>
        <w:sectPr>
          <w:footerReference w:type="default" r:id="rId370"/>
          <w:footerReference w:type="even" r:id="rId371"/>
          <w:pgSz w:w="12240" w:h="15840"/>
          <w:pgMar w:header="0" w:footer="736" w:top="1180" w:bottom="920" w:left="1000" w:right="1060"/>
          <w:pgNumType w:start="251"/>
        </w:sectPr>
      </w:pPr>
    </w:p>
    <w:p>
      <w:pPr>
        <w:pStyle w:val="BodyText"/>
        <w:spacing w:line="213" w:lineRule="auto" w:before="85"/>
        <w:ind w:left="2448" w:right="545"/>
      </w:pPr>
      <w:bookmarkStart w:name="_bookmark184" w:id="400"/>
      <w:bookmarkEnd w:id="400"/>
      <w:r>
        <w:rPr/>
      </w:r>
      <w:r>
        <w:rPr>
          <w:color w:val="231F20"/>
        </w:rPr>
        <w:t>you can edit or delete any of them, create new situations, and distribute them </w:t>
      </w:r>
      <w:r>
        <w:rPr>
          <w:color w:val="231F20"/>
        </w:rPr>
        <w:t>to managed systems. What you cannot do is associate situations with Navigator items or change their state or sound. This is also true when you open the</w:t>
      </w:r>
      <w:r>
        <w:rPr>
          <w:color w:val="231F20"/>
          <w:spacing w:val="80"/>
        </w:rPr>
        <w:t> </w:t>
      </w:r>
      <w:r>
        <w:rPr>
          <w:color w:val="231F20"/>
        </w:rPr>
        <w:t>Situation editor through the Manage Situations window.</w:t>
      </w:r>
    </w:p>
    <w:p>
      <w:pPr>
        <w:pStyle w:val="BodyText"/>
        <w:spacing w:before="34"/>
        <w:ind w:left="2232"/>
      </w:pPr>
      <w:r>
        <w:rPr>
          <w:rFonts w:ascii="Futura MdCn BT"/>
          <w:color w:val="231F20"/>
        </w:rPr>
        <w:t>v</w:t>
      </w:r>
      <w:r>
        <w:rPr>
          <w:rFonts w:ascii="Futura MdCn BT"/>
          <w:color w:val="231F20"/>
          <w:spacing w:val="32"/>
        </w:rPr>
        <w:t>  </w:t>
      </w:r>
      <w:r>
        <w:rPr>
          <w:color w:val="231F20"/>
        </w:rPr>
        <w:t>Right-click</w:t>
      </w:r>
      <w:r>
        <w:rPr>
          <w:color w:val="231F20"/>
          <w:spacing w:val="13"/>
        </w:rPr>
        <w:t> </w:t>
      </w:r>
      <w:r>
        <w:rPr>
          <w:color w:val="231F20"/>
        </w:rPr>
        <w:t>a</w:t>
      </w:r>
      <w:r>
        <w:rPr>
          <w:color w:val="231F20"/>
          <w:spacing w:val="13"/>
        </w:rPr>
        <w:t> </w:t>
      </w:r>
      <w:r>
        <w:rPr>
          <w:color w:val="231F20"/>
        </w:rPr>
        <w:t>situation</w:t>
      </w:r>
      <w:r>
        <w:rPr>
          <w:color w:val="231F20"/>
          <w:spacing w:val="12"/>
        </w:rPr>
        <w:t> </w:t>
      </w:r>
      <w:r>
        <w:rPr>
          <w:color w:val="231F20"/>
        </w:rPr>
        <w:t>in</w:t>
      </w:r>
      <w:r>
        <w:rPr>
          <w:color w:val="231F20"/>
          <w:spacing w:val="13"/>
        </w:rPr>
        <w:t> </w:t>
      </w:r>
      <w:r>
        <w:rPr>
          <w:color w:val="231F20"/>
        </w:rPr>
        <w:t>the</w:t>
      </w:r>
      <w:r>
        <w:rPr>
          <w:color w:val="231F20"/>
          <w:spacing w:val="13"/>
        </w:rPr>
        <w:t> </w:t>
      </w:r>
      <w:r>
        <w:rPr>
          <w:color w:val="231F20"/>
        </w:rPr>
        <w:t>event</w:t>
      </w:r>
      <w:r>
        <w:rPr>
          <w:color w:val="231F20"/>
          <w:spacing w:val="13"/>
        </w:rPr>
        <w:t> </w:t>
      </w:r>
      <w:r>
        <w:rPr>
          <w:color w:val="231F20"/>
        </w:rPr>
        <w:t>flyover</w:t>
      </w:r>
      <w:r>
        <w:rPr>
          <w:color w:val="231F20"/>
          <w:spacing w:val="13"/>
        </w:rPr>
        <w:t> </w:t>
      </w:r>
      <w:r>
        <w:rPr>
          <w:color w:val="231F20"/>
        </w:rPr>
        <w:t>list</w:t>
      </w:r>
      <w:r>
        <w:rPr>
          <w:color w:val="231F20"/>
          <w:spacing w:val="13"/>
        </w:rPr>
        <w:t> </w:t>
      </w:r>
      <w:r>
        <w:rPr>
          <w:color w:val="231F20"/>
        </w:rPr>
        <w:t>and</w:t>
      </w:r>
      <w:r>
        <w:rPr>
          <w:color w:val="231F20"/>
          <w:spacing w:val="13"/>
        </w:rPr>
        <w:t> </w:t>
      </w:r>
      <w:r>
        <w:rPr>
          <w:color w:val="231F20"/>
        </w:rPr>
        <w:t>select</w:t>
      </w:r>
      <w:r>
        <w:rPr>
          <w:color w:val="231F20"/>
          <w:spacing w:val="21"/>
        </w:rPr>
        <w:t> </w:t>
      </w:r>
      <w:r>
        <w:rPr>
          <w:color w:val="231F20"/>
          <w:spacing w:val="-25"/>
          <w:position w:val="-1"/>
        </w:rPr>
        <w:drawing>
          <wp:inline distT="0" distB="0" distL="0" distR="0">
            <wp:extent cx="95250" cy="101600"/>
            <wp:effectExtent l="0" t="0" r="0" b="0"/>
            <wp:docPr id="2203" name="Image 2203"/>
            <wp:cNvGraphicFramePr>
              <a:graphicFrameLocks/>
            </wp:cNvGraphicFramePr>
            <a:graphic>
              <a:graphicData uri="http://schemas.openxmlformats.org/drawingml/2006/picture">
                <pic:pic>
                  <pic:nvPicPr>
                    <pic:cNvPr id="2203" name="Image 220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58"/>
          <w:w w:val="150"/>
        </w:rPr>
        <w:t> </w:t>
      </w:r>
      <w:r>
        <w:rPr>
          <w:rFonts w:ascii="Book Antiqua"/>
          <w:b/>
          <w:color w:val="231F20"/>
        </w:rPr>
        <w:t>Edit</w:t>
      </w:r>
      <w:r>
        <w:rPr>
          <w:rFonts w:ascii="Book Antiqua"/>
          <w:b/>
          <w:color w:val="231F20"/>
          <w:spacing w:val="13"/>
        </w:rPr>
        <w:t> </w:t>
      </w:r>
      <w:r>
        <w:rPr>
          <w:rFonts w:ascii="Book Antiqua"/>
          <w:b/>
          <w:color w:val="231F20"/>
          <w:spacing w:val="-2"/>
        </w:rPr>
        <w:t>Situation</w:t>
      </w:r>
      <w:r>
        <w:rPr>
          <w:color w:val="231F20"/>
          <w:spacing w:val="-2"/>
        </w:rPr>
        <w:t>.</w:t>
      </w:r>
    </w:p>
    <w:p>
      <w:pPr>
        <w:pStyle w:val="BodyText"/>
        <w:spacing w:line="213" w:lineRule="auto" w:before="52"/>
        <w:ind w:left="2448" w:right="493"/>
      </w:pPr>
      <w:r>
        <w:rPr>
          <w:color w:val="231F20"/>
        </w:rPr>
        <w:t>The</w:t>
      </w:r>
      <w:r>
        <w:rPr>
          <w:color w:val="231F20"/>
          <w:spacing w:val="26"/>
        </w:rPr>
        <w:t> </w:t>
      </w:r>
      <w:r>
        <w:rPr>
          <w:color w:val="231F20"/>
        </w:rPr>
        <w:t>situation</w:t>
      </w:r>
      <w:r>
        <w:rPr>
          <w:color w:val="231F20"/>
          <w:spacing w:val="26"/>
        </w:rPr>
        <w:t> </w:t>
      </w:r>
      <w:r>
        <w:rPr>
          <w:color w:val="231F20"/>
        </w:rPr>
        <w:t>opens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Situation</w:t>
      </w:r>
      <w:r>
        <w:rPr>
          <w:color w:val="231F20"/>
          <w:spacing w:val="26"/>
        </w:rPr>
        <w:t> </w:t>
      </w:r>
      <w:r>
        <w:rPr>
          <w:color w:val="231F20"/>
        </w:rPr>
        <w:t>editor</w:t>
      </w:r>
      <w:r>
        <w:rPr>
          <w:color w:val="231F20"/>
          <w:spacing w:val="26"/>
        </w:rPr>
        <w:t> </w:t>
      </w:r>
      <w:r>
        <w:rPr>
          <w:color w:val="231F20"/>
        </w:rPr>
        <w:t>so</w:t>
      </w:r>
      <w:r>
        <w:rPr>
          <w:color w:val="231F20"/>
          <w:spacing w:val="26"/>
        </w:rPr>
        <w:t> </w:t>
      </w:r>
      <w:r>
        <w:rPr>
          <w:color w:val="231F20"/>
        </w:rPr>
        <w:t>you</w:t>
      </w:r>
      <w:r>
        <w:rPr>
          <w:color w:val="231F20"/>
          <w:spacing w:val="26"/>
        </w:rPr>
        <w:t> </w:t>
      </w:r>
      <w:r>
        <w:rPr>
          <w:color w:val="231F20"/>
        </w:rPr>
        <w:t>can</w:t>
      </w:r>
      <w:r>
        <w:rPr>
          <w:color w:val="231F20"/>
          <w:spacing w:val="26"/>
        </w:rPr>
        <w:t> </w:t>
      </w:r>
      <w:r>
        <w:rPr>
          <w:color w:val="231F20"/>
        </w:rPr>
        <w:t>read</w:t>
      </w:r>
      <w:r>
        <w:rPr>
          <w:color w:val="231F20"/>
          <w:spacing w:val="26"/>
        </w:rPr>
        <w:t> </w:t>
      </w:r>
      <w:r>
        <w:rPr>
          <w:color w:val="231F20"/>
        </w:rPr>
        <w:t>the</w:t>
      </w:r>
      <w:r>
        <w:rPr>
          <w:color w:val="231F20"/>
          <w:spacing w:val="26"/>
        </w:rPr>
        <w:t> </w:t>
      </w:r>
      <w:r>
        <w:rPr>
          <w:color w:val="231F20"/>
        </w:rPr>
        <w:t>definition</w:t>
      </w:r>
      <w:r>
        <w:rPr>
          <w:color w:val="231F20"/>
          <w:spacing w:val="26"/>
        </w:rPr>
        <w:t> </w:t>
      </w:r>
      <w:r>
        <w:rPr>
          <w:color w:val="231F20"/>
        </w:rPr>
        <w:t>and edit it. You cannot associate (or disassociate) the situation with a Navigator </w:t>
      </w:r>
      <w:r>
        <w:rPr>
          <w:color w:val="231F20"/>
        </w:rPr>
        <w:t>item, nor can you change its state or sound here.</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Right-click an open event in the situation event console view and select</w:t>
      </w:r>
      <w:r>
        <w:rPr>
          <w:color w:val="231F20"/>
          <w:spacing w:val="22"/>
        </w:rPr>
        <w:t> </w:t>
      </w:r>
      <w:r>
        <w:rPr>
          <w:color w:val="231F20"/>
          <w:spacing w:val="24"/>
          <w:position w:val="-1"/>
        </w:rPr>
        <w:drawing>
          <wp:inline distT="0" distB="0" distL="0" distR="0">
            <wp:extent cx="95250" cy="101600"/>
            <wp:effectExtent l="0" t="0" r="0" b="0"/>
            <wp:docPr id="2204" name="Image 2204"/>
            <wp:cNvGraphicFramePr>
              <a:graphicFrameLocks/>
            </wp:cNvGraphicFramePr>
            <a:graphic>
              <a:graphicData uri="http://schemas.openxmlformats.org/drawingml/2006/picture">
                <pic:pic>
                  <pic:nvPicPr>
                    <pic:cNvPr id="2204" name="Image 2204"/>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4"/>
        </w:rPr>
        <w:t> </w:t>
      </w:r>
      <w:r>
        <w:rPr>
          <w:rFonts w:ascii="Book Antiqua"/>
          <w:b/>
          <w:color w:val="231F20"/>
        </w:rPr>
        <w:t>Edit</w:t>
      </w:r>
      <w:r>
        <w:rPr>
          <w:rFonts w:ascii="Book Antiqua"/>
          <w:b/>
          <w:color w:val="231F20"/>
          <w:spacing w:val="40"/>
        </w:rPr>
        <w:t> </w:t>
      </w:r>
      <w:r>
        <w:rPr>
          <w:rFonts w:ascii="Book Antiqua"/>
          <w:b/>
          <w:color w:val="231F20"/>
          <w:spacing w:val="-2"/>
        </w:rPr>
        <w:t>Situation</w:t>
      </w:r>
      <w:r>
        <w:rPr>
          <w:color w:val="231F20"/>
          <w:spacing w:val="-2"/>
        </w:rPr>
        <w:t>.</w:t>
      </w:r>
    </w:p>
    <w:p>
      <w:pPr>
        <w:pStyle w:val="BodyText"/>
        <w:spacing w:line="213" w:lineRule="auto" w:before="59"/>
        <w:ind w:left="2448" w:right="493"/>
      </w:pPr>
      <w:r>
        <w:rPr>
          <w:color w:val="231F20"/>
        </w:rPr>
        <w:t>The</w:t>
      </w:r>
      <w:r>
        <w:rPr>
          <w:color w:val="231F20"/>
          <w:spacing w:val="26"/>
        </w:rPr>
        <w:t> </w:t>
      </w:r>
      <w:r>
        <w:rPr>
          <w:color w:val="231F20"/>
        </w:rPr>
        <w:t>situation</w:t>
      </w:r>
      <w:r>
        <w:rPr>
          <w:color w:val="231F20"/>
          <w:spacing w:val="26"/>
        </w:rPr>
        <w:t> </w:t>
      </w:r>
      <w:r>
        <w:rPr>
          <w:color w:val="231F20"/>
        </w:rPr>
        <w:t>opens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Situation</w:t>
      </w:r>
      <w:r>
        <w:rPr>
          <w:color w:val="231F20"/>
          <w:spacing w:val="26"/>
        </w:rPr>
        <w:t> </w:t>
      </w:r>
      <w:r>
        <w:rPr>
          <w:color w:val="231F20"/>
        </w:rPr>
        <w:t>editor</w:t>
      </w:r>
      <w:r>
        <w:rPr>
          <w:color w:val="231F20"/>
          <w:spacing w:val="26"/>
        </w:rPr>
        <w:t> </w:t>
      </w:r>
      <w:r>
        <w:rPr>
          <w:color w:val="231F20"/>
        </w:rPr>
        <w:t>so</w:t>
      </w:r>
      <w:r>
        <w:rPr>
          <w:color w:val="231F20"/>
          <w:spacing w:val="26"/>
        </w:rPr>
        <w:t> </w:t>
      </w:r>
      <w:r>
        <w:rPr>
          <w:color w:val="231F20"/>
        </w:rPr>
        <w:t>you</w:t>
      </w:r>
      <w:r>
        <w:rPr>
          <w:color w:val="231F20"/>
          <w:spacing w:val="26"/>
        </w:rPr>
        <w:t> </w:t>
      </w:r>
      <w:r>
        <w:rPr>
          <w:color w:val="231F20"/>
        </w:rPr>
        <w:t>can</w:t>
      </w:r>
      <w:r>
        <w:rPr>
          <w:color w:val="231F20"/>
          <w:spacing w:val="26"/>
        </w:rPr>
        <w:t> </w:t>
      </w:r>
      <w:r>
        <w:rPr>
          <w:color w:val="231F20"/>
        </w:rPr>
        <w:t>read</w:t>
      </w:r>
      <w:r>
        <w:rPr>
          <w:color w:val="231F20"/>
          <w:spacing w:val="26"/>
        </w:rPr>
        <w:t> </w:t>
      </w:r>
      <w:r>
        <w:rPr>
          <w:color w:val="231F20"/>
        </w:rPr>
        <w:t>the</w:t>
      </w:r>
      <w:r>
        <w:rPr>
          <w:color w:val="231F20"/>
          <w:spacing w:val="26"/>
        </w:rPr>
        <w:t> </w:t>
      </w:r>
      <w:r>
        <w:rPr>
          <w:color w:val="231F20"/>
        </w:rPr>
        <w:t>definition</w:t>
      </w:r>
      <w:r>
        <w:rPr>
          <w:color w:val="231F20"/>
          <w:spacing w:val="26"/>
        </w:rPr>
        <w:t> </w:t>
      </w:r>
      <w:r>
        <w:rPr>
          <w:color w:val="231F20"/>
        </w:rPr>
        <w:t>and edit it. You cannot associate (or disassociate) the situation with a Navigator </w:t>
      </w:r>
      <w:r>
        <w:rPr>
          <w:color w:val="231F20"/>
        </w:rPr>
        <w:t>item, nor can you change its state or sound.</w:t>
      </w:r>
    </w:p>
    <w:p>
      <w:pPr>
        <w:pStyle w:val="BodyText"/>
        <w:spacing w:line="213" w:lineRule="auto" w:before="58"/>
        <w:ind w:left="2448" w:right="733" w:hanging="216"/>
      </w:pPr>
      <w:r>
        <w:rPr>
          <w:rFonts w:ascii="Futura MdCn BT"/>
          <w:color w:val="231F20"/>
        </w:rPr>
        <w:t>v</w:t>
      </w:r>
      <w:r>
        <w:rPr>
          <w:rFonts w:ascii="Futura MdCn BT"/>
          <w:color w:val="231F20"/>
          <w:spacing w:val="80"/>
        </w:rPr>
        <w:t> </w:t>
      </w:r>
      <w:r>
        <w:rPr>
          <w:color w:val="231F20"/>
        </w:rPr>
        <w:t>In the Manage Situations at Managed System window (opened through the pop-up menu of either the </w:t>
      </w:r>
      <w:r>
        <w:rPr>
          <w:color w:val="231F20"/>
          <w:spacing w:val="15"/>
          <w:position w:val="-1"/>
        </w:rPr>
        <w:drawing>
          <wp:inline distT="0" distB="0" distL="0" distR="0">
            <wp:extent cx="95250" cy="101600"/>
            <wp:effectExtent l="0" t="0" r="0" b="0"/>
            <wp:docPr id="2205" name="Image 2205"/>
            <wp:cNvGraphicFramePr>
              <a:graphicFrameLocks/>
            </wp:cNvGraphicFramePr>
            <a:graphic>
              <a:graphicData uri="http://schemas.openxmlformats.org/drawingml/2006/picture">
                <pic:pic>
                  <pic:nvPicPr>
                    <pic:cNvPr id="2205" name="Image 2205"/>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Enterprise or</w:t>
      </w:r>
      <w:r>
        <w:rPr>
          <w:color w:val="231F20"/>
          <w:spacing w:val="22"/>
        </w:rPr>
        <w:t> </w:t>
      </w:r>
      <w:r>
        <w:rPr>
          <w:color w:val="231F20"/>
          <w:spacing w:val="-24"/>
          <w:position w:val="-1"/>
        </w:rPr>
        <w:drawing>
          <wp:inline distT="0" distB="0" distL="0" distR="0">
            <wp:extent cx="95250" cy="95250"/>
            <wp:effectExtent l="0" t="0" r="0" b="0"/>
            <wp:docPr id="2206" name="Image 2206"/>
            <wp:cNvGraphicFramePr>
              <a:graphicFrameLocks/>
            </wp:cNvGraphicFramePr>
            <a:graphic>
              <a:graphicData uri="http://schemas.openxmlformats.org/drawingml/2006/picture">
                <pic:pic>
                  <pic:nvPicPr>
                    <pic:cNvPr id="2206" name="Image 2206"/>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agent Navigator item), select </w:t>
      </w:r>
      <w:r>
        <w:rPr>
          <w:color w:val="231F20"/>
        </w:rPr>
        <w:t>a</w:t>
      </w:r>
      <w:r>
        <w:rPr>
          <w:color w:val="231F20"/>
        </w:rPr>
        <w:t> situation row and click </w:t>
      </w:r>
      <w:r>
        <w:rPr>
          <w:color w:val="231F20"/>
          <w:spacing w:val="-25"/>
          <w:position w:val="-1"/>
        </w:rPr>
        <w:drawing>
          <wp:inline distT="0" distB="0" distL="0" distR="0">
            <wp:extent cx="95250" cy="101600"/>
            <wp:effectExtent l="0" t="0" r="0" b="0"/>
            <wp:docPr id="2207" name="Image 2207"/>
            <wp:cNvGraphicFramePr>
              <a:graphicFrameLocks/>
            </wp:cNvGraphicFramePr>
            <a:graphic>
              <a:graphicData uri="http://schemas.openxmlformats.org/drawingml/2006/picture">
                <pic:pic>
                  <pic:nvPicPr>
                    <pic:cNvPr id="2207" name="Image 2207"/>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Edit Situation</w:t>
      </w:r>
      <w:r>
        <w:rPr>
          <w:color w:val="231F20"/>
        </w:rPr>
        <w:t>.</w:t>
      </w:r>
    </w:p>
    <w:p>
      <w:pPr>
        <w:pStyle w:val="BodyText"/>
        <w:spacing w:line="213" w:lineRule="auto" w:before="57"/>
        <w:ind w:left="2448" w:right="493" w:hanging="216"/>
      </w:pPr>
      <w:r>
        <w:rPr>
          <w:rFonts w:ascii="Futura MdCn BT"/>
          <w:color w:val="231F20"/>
        </w:rPr>
        <w:t>v</w:t>
      </w:r>
      <w:r>
        <w:rPr>
          <w:rFonts w:ascii="Futura MdCn BT"/>
          <w:color w:val="231F20"/>
          <w:spacing w:val="80"/>
        </w:rPr>
        <w:t> </w:t>
      </w:r>
      <w:r>
        <w:rPr>
          <w:color w:val="231F20"/>
        </w:rPr>
        <w:t>While editing a policy workflow in the Grapher view, right-click a </w:t>
      </w:r>
      <w:r>
        <w:rPr>
          <w:color w:val="231F20"/>
        </w:rPr>
        <w:t>situation</w:t>
      </w:r>
      <w:r>
        <w:rPr>
          <w:color w:val="231F20"/>
        </w:rPr>
        <w:t> activity and click </w:t>
      </w:r>
      <w:r>
        <w:rPr>
          <w:color w:val="231F20"/>
          <w:spacing w:val="-24"/>
          <w:position w:val="-1"/>
        </w:rPr>
        <w:drawing>
          <wp:inline distT="0" distB="0" distL="0" distR="0">
            <wp:extent cx="95250" cy="101600"/>
            <wp:effectExtent l="0" t="0" r="0" b="0"/>
            <wp:docPr id="2208" name="Image 2208"/>
            <wp:cNvGraphicFramePr>
              <a:graphicFrameLocks/>
            </wp:cNvGraphicFramePr>
            <a:graphic>
              <a:graphicData uri="http://schemas.openxmlformats.org/drawingml/2006/picture">
                <pic:pic>
                  <pic:nvPicPr>
                    <pic:cNvPr id="2208" name="Image 2208"/>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Edit Situation</w:t>
      </w:r>
      <w:r>
        <w:rPr>
          <w:color w:val="231F20"/>
        </w:rPr>
        <w:t>.</w:t>
      </w:r>
    </w:p>
    <w:p>
      <w:pPr>
        <w:pStyle w:val="BodyText"/>
        <w:spacing w:before="6"/>
        <w:rPr>
          <w:sz w:val="16"/>
        </w:rPr>
      </w:pPr>
      <w:r>
        <w:rPr/>
        <mc:AlternateContent>
          <mc:Choice Requires="wps">
            <w:drawing>
              <wp:anchor distT="0" distB="0" distL="0" distR="0" allowOverlap="1" layoutInCell="1" locked="0" behindDoc="1" simplePos="0" relativeHeight="487720448">
                <wp:simplePos x="0" y="0"/>
                <wp:positionH relativeFrom="page">
                  <wp:posOffset>760323</wp:posOffset>
                </wp:positionH>
                <wp:positionV relativeFrom="paragraph">
                  <wp:posOffset>156257</wp:posOffset>
                </wp:positionV>
                <wp:extent cx="6082665" cy="1270"/>
                <wp:effectExtent l="0" t="0" r="0" b="0"/>
                <wp:wrapTopAndBottom/>
                <wp:docPr id="2209" name="Graphic 2209"/>
                <wp:cNvGraphicFramePr>
                  <a:graphicFrameLocks/>
                </wp:cNvGraphicFramePr>
                <a:graphic>
                  <a:graphicData uri="http://schemas.microsoft.com/office/word/2010/wordprocessingShape">
                    <wps:wsp>
                      <wps:cNvPr id="2209" name="Graphic 2209"/>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3767pt;width:478.95pt;height:.1pt;mso-position-horizontal-relative:page;mso-position-vertical-relative:paragraph;z-index:-15596032;mso-wrap-distance-left:0;mso-wrap-distance-right:0" id="docshape210"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Filtering the situations tree" w:id="401"/>
      <w:bookmarkEnd w:id="401"/>
      <w:r>
        <w:rPr>
          <w:b w:val="0"/>
        </w:rPr>
      </w:r>
      <w:r>
        <w:rPr>
          <w:color w:val="231F20"/>
        </w:rPr>
        <w:t>Filtering</w:t>
      </w:r>
      <w:r>
        <w:rPr>
          <w:color w:val="231F20"/>
          <w:spacing w:val="5"/>
        </w:rPr>
        <w:t> </w:t>
      </w:r>
      <w:r>
        <w:rPr>
          <w:color w:val="231F20"/>
        </w:rPr>
        <w:t>the</w:t>
      </w:r>
      <w:r>
        <w:rPr>
          <w:color w:val="231F20"/>
          <w:spacing w:val="6"/>
        </w:rPr>
        <w:t> </w:t>
      </w:r>
      <w:r>
        <w:rPr>
          <w:color w:val="231F20"/>
        </w:rPr>
        <w:t>situations</w:t>
      </w:r>
      <w:r>
        <w:rPr>
          <w:color w:val="231F20"/>
          <w:spacing w:val="5"/>
        </w:rPr>
        <w:t> </w:t>
      </w:r>
      <w:r>
        <w:rPr>
          <w:color w:val="231F20"/>
          <w:spacing w:val="-4"/>
        </w:rPr>
        <w:t>tree</w:t>
      </w:r>
    </w:p>
    <w:p>
      <w:pPr>
        <w:pStyle w:val="BodyText"/>
        <w:spacing w:line="213" w:lineRule="auto" w:before="138"/>
        <w:ind w:left="2232" w:right="385"/>
      </w:pPr>
      <w:r>
        <w:rPr>
          <w:color w:val="231F20"/>
        </w:rPr>
        <w:t>When you open the Situation editor from anywhere except the toolbar, only the situations associated with the current Navigator item are displayed in the </w:t>
      </w:r>
      <w:r>
        <w:rPr>
          <w:color w:val="231F20"/>
        </w:rPr>
        <w:t>Situation tree.</w:t>
      </w:r>
      <w:r>
        <w:rPr>
          <w:color w:val="231F20"/>
          <w:spacing w:val="18"/>
        </w:rPr>
        <w:t> </w:t>
      </w:r>
      <w:r>
        <w:rPr>
          <w:color w:val="231F20"/>
        </w:rPr>
        <w:t>You</w:t>
      </w:r>
      <w:r>
        <w:rPr>
          <w:color w:val="231F20"/>
          <w:spacing w:val="23"/>
        </w:rPr>
        <w:t> </w:t>
      </w:r>
      <w:r>
        <w:rPr>
          <w:color w:val="231F20"/>
        </w:rPr>
        <w:t>can</w:t>
      </w:r>
      <w:r>
        <w:rPr>
          <w:color w:val="231F20"/>
          <w:spacing w:val="23"/>
        </w:rPr>
        <w:t> </w:t>
      </w:r>
      <w:r>
        <w:rPr>
          <w:color w:val="231F20"/>
        </w:rPr>
        <w:t>filter</w:t>
      </w:r>
      <w:r>
        <w:rPr>
          <w:color w:val="231F20"/>
          <w:spacing w:val="23"/>
        </w:rPr>
        <w:t> </w:t>
      </w:r>
      <w:r>
        <w:rPr>
          <w:color w:val="231F20"/>
        </w:rPr>
        <w:t>the</w:t>
      </w:r>
      <w:r>
        <w:rPr>
          <w:color w:val="231F20"/>
          <w:spacing w:val="23"/>
        </w:rPr>
        <w:t> </w:t>
      </w:r>
      <w:r>
        <w:rPr>
          <w:color w:val="231F20"/>
        </w:rPr>
        <w:t>tree</w:t>
      </w:r>
      <w:r>
        <w:rPr>
          <w:color w:val="231F20"/>
          <w:spacing w:val="23"/>
        </w:rPr>
        <w:t> </w:t>
      </w:r>
      <w:r>
        <w:rPr>
          <w:color w:val="231F20"/>
        </w:rPr>
        <w:t>to</w:t>
      </w:r>
      <w:r>
        <w:rPr>
          <w:color w:val="231F20"/>
          <w:spacing w:val="23"/>
        </w:rPr>
        <w:t> </w:t>
      </w:r>
      <w:r>
        <w:rPr>
          <w:color w:val="231F20"/>
        </w:rPr>
        <w:t>show</w:t>
      </w:r>
      <w:r>
        <w:rPr>
          <w:color w:val="231F20"/>
          <w:spacing w:val="23"/>
        </w:rPr>
        <w:t> </w:t>
      </w:r>
      <w:r>
        <w:rPr>
          <w:color w:val="231F20"/>
        </w:rPr>
        <w:t>situations</w:t>
      </w:r>
      <w:r>
        <w:rPr>
          <w:color w:val="231F20"/>
          <w:spacing w:val="23"/>
        </w:rPr>
        <w:t> </w:t>
      </w:r>
      <w:r>
        <w:rPr>
          <w:color w:val="231F20"/>
        </w:rPr>
        <w:t>that</w:t>
      </w:r>
      <w:r>
        <w:rPr>
          <w:color w:val="231F20"/>
          <w:spacing w:val="23"/>
        </w:rPr>
        <w:t> </w:t>
      </w:r>
      <w:r>
        <w:rPr>
          <w:color w:val="231F20"/>
        </w:rPr>
        <w:t>are</w:t>
      </w:r>
      <w:r>
        <w:rPr>
          <w:color w:val="231F20"/>
          <w:spacing w:val="23"/>
        </w:rPr>
        <w:t> </w:t>
      </w:r>
      <w:r>
        <w:rPr>
          <w:color w:val="231F20"/>
        </w:rPr>
        <w:t>not</w:t>
      </w:r>
      <w:r>
        <w:rPr>
          <w:color w:val="231F20"/>
          <w:spacing w:val="23"/>
        </w:rPr>
        <w:t> </w:t>
      </w:r>
      <w:r>
        <w:rPr>
          <w:color w:val="231F20"/>
        </w:rPr>
        <w:t>associated</w:t>
      </w:r>
      <w:r>
        <w:rPr>
          <w:color w:val="231F20"/>
          <w:spacing w:val="23"/>
        </w:rPr>
        <w:t> </w:t>
      </w:r>
      <w:r>
        <w:rPr>
          <w:color w:val="231F20"/>
        </w:rPr>
        <w:t>or</w:t>
      </w:r>
      <w:r>
        <w:rPr>
          <w:color w:val="231F20"/>
          <w:spacing w:val="23"/>
        </w:rPr>
        <w:t> </w:t>
      </w:r>
      <w:r>
        <w:rPr>
          <w:color w:val="231F20"/>
        </w:rPr>
        <w:t>to</w:t>
      </w:r>
      <w:r>
        <w:rPr>
          <w:color w:val="231F20"/>
          <w:spacing w:val="23"/>
        </w:rPr>
        <w:t> </w:t>
      </w:r>
      <w:r>
        <w:rPr>
          <w:color w:val="231F20"/>
        </w:rPr>
        <w:t>see</w:t>
      </w:r>
      <w:r>
        <w:rPr>
          <w:color w:val="231F20"/>
          <w:spacing w:val="23"/>
        </w:rPr>
        <w:t> </w:t>
      </w:r>
      <w:r>
        <w:rPr>
          <w:color w:val="231F20"/>
        </w:rPr>
        <w:t>all the situations that have been defined for the monitored application.</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spacing w:line="213" w:lineRule="auto" w:before="241"/>
        <w:ind w:left="2232" w:right="545" w:firstLine="0"/>
        <w:jc w:val="left"/>
        <w:rPr>
          <w:sz w:val="20"/>
        </w:rPr>
      </w:pPr>
      <w:r>
        <w:rPr>
          <w:color w:val="231F20"/>
          <w:sz w:val="20"/>
        </w:rPr>
        <w:t>You must open the Situation editor from a Navigator item for the </w:t>
      </w:r>
      <w:r>
        <w:rPr>
          <w:color w:val="231F20"/>
          <w:spacing w:val="24"/>
          <w:position w:val="-1"/>
          <w:sz w:val="20"/>
        </w:rPr>
        <w:drawing>
          <wp:inline distT="0" distB="0" distL="0" distR="0">
            <wp:extent cx="95250" cy="101600"/>
            <wp:effectExtent l="0" t="0" r="0" b="0"/>
            <wp:docPr id="2210" name="Image 2210"/>
            <wp:cNvGraphicFramePr>
              <a:graphicFrameLocks/>
            </wp:cNvGraphicFramePr>
            <a:graphic>
              <a:graphicData uri="http://schemas.openxmlformats.org/drawingml/2006/picture">
                <pic:pic>
                  <pic:nvPicPr>
                    <pic:cNvPr id="2210" name="Image 2210"/>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24"/>
          <w:sz w:val="20"/>
        </w:rPr>
        <w:t> </w:t>
      </w:r>
      <w:r>
        <w:rPr>
          <w:rFonts w:ascii="Book Antiqua"/>
          <w:b/>
          <w:color w:val="231F20"/>
          <w:sz w:val="20"/>
        </w:rPr>
        <w:t>Set Situation filter criteria </w:t>
      </w:r>
      <w:r>
        <w:rPr>
          <w:color w:val="231F20"/>
          <w:sz w:val="20"/>
        </w:rPr>
        <w:t>tool to be available.</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The tree lists the situations that are associated with the Navigator item (or all situations in your monitoring environment if you opened the Situation editor from the toolbar). For example, if you opened the Situation editor from the Enterprise Navigator item, you would see all the situations that are distributed and </w:t>
      </w:r>
      <w:r>
        <w:rPr>
          <w:color w:val="231F20"/>
        </w:rPr>
        <w:t>associated with</w:t>
      </w:r>
      <w:r>
        <w:rPr>
          <w:color w:val="231F20"/>
          <w:spacing w:val="28"/>
        </w:rPr>
        <w:t> </w:t>
      </w:r>
      <w:r>
        <w:rPr>
          <w:color w:val="231F20"/>
        </w:rPr>
        <w:t>the</w:t>
      </w:r>
      <w:r>
        <w:rPr>
          <w:color w:val="231F20"/>
          <w:spacing w:val="28"/>
        </w:rPr>
        <w:t> </w:t>
      </w:r>
      <w:r>
        <w:rPr>
          <w:color w:val="231F20"/>
        </w:rPr>
        <w:t>Tivoli</w:t>
      </w:r>
      <w:r>
        <w:rPr>
          <w:color w:val="231F20"/>
          <w:spacing w:val="28"/>
        </w:rPr>
        <w:t> </w:t>
      </w:r>
      <w:r>
        <w:rPr>
          <w:color w:val="231F20"/>
        </w:rPr>
        <w:t>Enterprise</w:t>
      </w:r>
      <w:r>
        <w:rPr>
          <w:color w:val="231F20"/>
          <w:spacing w:val="28"/>
        </w:rPr>
        <w:t> </w:t>
      </w:r>
      <w:r>
        <w:rPr>
          <w:color w:val="231F20"/>
        </w:rPr>
        <w:t>Monitoring</w:t>
      </w:r>
      <w:r>
        <w:rPr>
          <w:color w:val="231F20"/>
          <w:spacing w:val="28"/>
        </w:rPr>
        <w:t> </w:t>
      </w:r>
      <w:r>
        <w:rPr>
          <w:color w:val="231F20"/>
        </w:rPr>
        <w:t>Server;</w:t>
      </w:r>
      <w:r>
        <w:rPr>
          <w:color w:val="231F20"/>
          <w:spacing w:val="28"/>
        </w:rPr>
        <w:t> </w:t>
      </w:r>
      <w:r>
        <w:rPr>
          <w:color w:val="231F20"/>
        </w:rPr>
        <w:t>if</w:t>
      </w:r>
      <w:r>
        <w:rPr>
          <w:color w:val="231F20"/>
          <w:spacing w:val="28"/>
        </w:rPr>
        <w:t> </w:t>
      </w:r>
      <w:r>
        <w:rPr>
          <w:color w:val="231F20"/>
        </w:rPr>
        <w:t>you</w:t>
      </w:r>
      <w:r>
        <w:rPr>
          <w:color w:val="231F20"/>
          <w:spacing w:val="28"/>
        </w:rPr>
        <w:t> </w:t>
      </w:r>
      <w:r>
        <w:rPr>
          <w:color w:val="231F20"/>
        </w:rPr>
        <w:t>right-clicked</w:t>
      </w:r>
      <w:r>
        <w:rPr>
          <w:color w:val="231F20"/>
          <w:spacing w:val="28"/>
        </w:rPr>
        <w:t> </w:t>
      </w:r>
      <w:r>
        <w:rPr>
          <w:color w:val="231F20"/>
        </w:rPr>
        <w:t>a</w:t>
      </w:r>
      <w:r>
        <w:rPr>
          <w:color w:val="231F20"/>
          <w:spacing w:val="28"/>
        </w:rPr>
        <w:t> </w:t>
      </w:r>
      <w:r>
        <w:rPr>
          <w:color w:val="231F20"/>
        </w:rPr>
        <w:t>system</w:t>
      </w:r>
      <w:r>
        <w:rPr>
          <w:color w:val="231F20"/>
          <w:spacing w:val="28"/>
        </w:rPr>
        <w:t> </w:t>
      </w:r>
      <w:r>
        <w:rPr>
          <w:color w:val="231F20"/>
        </w:rPr>
        <w:t>item, you would see all situations that were distributed to that managed system. If you open the Situation editor from a custom Navigator view, the situations are those associated with the managed systems that were assigned to the Navigator item.</w:t>
      </w:r>
    </w:p>
    <w:p>
      <w:pPr>
        <w:pStyle w:val="BodyText"/>
        <w:spacing w:before="211"/>
        <w:ind w:left="2232"/>
      </w:pPr>
      <w:r>
        <w:rPr>
          <w:color w:val="231F20"/>
        </w:rPr>
        <w:t>Take</w:t>
      </w:r>
      <w:r>
        <w:rPr>
          <w:color w:val="231F20"/>
          <w:spacing w:val="9"/>
        </w:rPr>
        <w:t> </w:t>
      </w:r>
      <w:r>
        <w:rPr>
          <w:color w:val="231F20"/>
        </w:rPr>
        <w:t>these</w:t>
      </w:r>
      <w:r>
        <w:rPr>
          <w:color w:val="231F20"/>
          <w:spacing w:val="9"/>
        </w:rPr>
        <w:t> </w:t>
      </w:r>
      <w:r>
        <w:rPr>
          <w:color w:val="231F20"/>
        </w:rPr>
        <w:t>steps</w:t>
      </w:r>
      <w:r>
        <w:rPr>
          <w:color w:val="231F20"/>
          <w:spacing w:val="9"/>
        </w:rPr>
        <w:t> </w:t>
      </w:r>
      <w:r>
        <w:rPr>
          <w:color w:val="231F20"/>
        </w:rPr>
        <w:t>to</w:t>
      </w:r>
      <w:r>
        <w:rPr>
          <w:color w:val="231F20"/>
          <w:spacing w:val="9"/>
        </w:rPr>
        <w:t> </w:t>
      </w:r>
      <w:r>
        <w:rPr>
          <w:color w:val="231F20"/>
        </w:rPr>
        <w:t>control</w:t>
      </w:r>
      <w:r>
        <w:rPr>
          <w:color w:val="231F20"/>
          <w:spacing w:val="9"/>
        </w:rPr>
        <w:t> </w:t>
      </w:r>
      <w:r>
        <w:rPr>
          <w:color w:val="231F20"/>
        </w:rPr>
        <w:t>which</w:t>
      </w:r>
      <w:r>
        <w:rPr>
          <w:color w:val="231F20"/>
          <w:spacing w:val="9"/>
        </w:rPr>
        <w:t> </w:t>
      </w:r>
      <w:r>
        <w:rPr>
          <w:color w:val="231F20"/>
        </w:rPr>
        <w:t>situations</w:t>
      </w:r>
      <w:r>
        <w:rPr>
          <w:color w:val="231F20"/>
          <w:spacing w:val="9"/>
        </w:rPr>
        <w:t> </w:t>
      </w:r>
      <w:r>
        <w:rPr>
          <w:color w:val="231F20"/>
        </w:rPr>
        <w:t>appear</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spacing w:val="-2"/>
        </w:rPr>
        <w:t>tree:</w:t>
      </w:r>
    </w:p>
    <w:p>
      <w:pPr>
        <w:pStyle w:val="Heading4"/>
        <w:spacing w:before="194"/>
      </w:pPr>
      <w:r>
        <w:rPr>
          <w:color w:val="231F20"/>
          <w:spacing w:val="-2"/>
        </w:rPr>
        <w:t>Procedure</w:t>
      </w:r>
    </w:p>
    <w:p>
      <w:pPr>
        <w:pStyle w:val="ListParagraph"/>
        <w:numPr>
          <w:ilvl w:val="0"/>
          <w:numId w:val="114"/>
        </w:numPr>
        <w:tabs>
          <w:tab w:pos="2547" w:val="left" w:leader="none"/>
        </w:tabs>
        <w:spacing w:line="240" w:lineRule="auto" w:before="39" w:after="0"/>
        <w:ind w:left="2547" w:right="0" w:hanging="315"/>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101600"/>
            <wp:effectExtent l="0" t="0" r="0" b="0"/>
            <wp:docPr id="2211" name="Image 2211"/>
            <wp:cNvGraphicFramePr>
              <a:graphicFrameLocks/>
            </wp:cNvGraphicFramePr>
            <a:graphic>
              <a:graphicData uri="http://schemas.openxmlformats.org/drawingml/2006/picture">
                <pic:pic>
                  <pic:nvPicPr>
                    <pic:cNvPr id="2211" name="Image 2211"/>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Situation</w:t>
      </w:r>
      <w:r>
        <w:rPr>
          <w:rFonts w:ascii="Book Antiqua"/>
          <w:b/>
          <w:color w:val="231F20"/>
          <w:spacing w:val="12"/>
          <w:sz w:val="20"/>
        </w:rPr>
        <w:t> </w:t>
      </w:r>
      <w:r>
        <w:rPr>
          <w:rFonts w:ascii="Book Antiqua"/>
          <w:b/>
          <w:color w:val="231F20"/>
          <w:spacing w:val="-2"/>
          <w:sz w:val="20"/>
        </w:rPr>
        <w:t>Filter</w:t>
      </w:r>
      <w:r>
        <w:rPr>
          <w:color w:val="231F20"/>
          <w:spacing w:val="-2"/>
          <w:sz w:val="20"/>
        </w:rPr>
        <w:t>.</w:t>
      </w:r>
    </w:p>
    <w:p>
      <w:pPr>
        <w:pStyle w:val="ListParagraph"/>
        <w:numPr>
          <w:ilvl w:val="0"/>
          <w:numId w:val="114"/>
        </w:numPr>
        <w:tabs>
          <w:tab w:pos="2547" w:val="left" w:leader="none"/>
        </w:tabs>
        <w:spacing w:line="240" w:lineRule="auto" w:before="29" w:after="0"/>
        <w:ind w:left="2547" w:right="0" w:hanging="315"/>
        <w:jc w:val="left"/>
        <w:rPr>
          <w:sz w:val="20"/>
        </w:rPr>
      </w:pPr>
      <w:r>
        <w:rPr>
          <w:color w:val="231F20"/>
          <w:sz w:val="20"/>
        </w:rPr>
        <w:t>Select</w:t>
      </w:r>
      <w:r>
        <w:rPr>
          <w:color w:val="231F20"/>
          <w:spacing w:val="10"/>
          <w:sz w:val="20"/>
        </w:rPr>
        <w:t> </w:t>
      </w:r>
      <w:r>
        <w:rPr>
          <w:color w:val="231F20"/>
          <w:sz w:val="20"/>
        </w:rPr>
        <w:t>any</w:t>
      </w:r>
      <w:r>
        <w:rPr>
          <w:color w:val="231F20"/>
          <w:spacing w:val="11"/>
          <w:sz w:val="20"/>
        </w:rPr>
        <w:t> </w:t>
      </w:r>
      <w:r>
        <w:rPr>
          <w:color w:val="231F20"/>
          <w:sz w:val="20"/>
        </w:rPr>
        <w:t>combination</w:t>
      </w:r>
      <w:r>
        <w:rPr>
          <w:color w:val="231F20"/>
          <w:spacing w:val="11"/>
          <w:sz w:val="20"/>
        </w:rPr>
        <w:t> </w:t>
      </w:r>
      <w:r>
        <w:rPr>
          <w:color w:val="231F20"/>
          <w:sz w:val="20"/>
        </w:rPr>
        <w:t>of</w:t>
      </w:r>
      <w:r>
        <w:rPr>
          <w:color w:val="231F20"/>
          <w:spacing w:val="11"/>
          <w:sz w:val="20"/>
        </w:rPr>
        <w:t> </w:t>
      </w:r>
      <w:r>
        <w:rPr>
          <w:color w:val="231F20"/>
          <w:sz w:val="20"/>
        </w:rPr>
        <w:t>these</w:t>
      </w:r>
      <w:r>
        <w:rPr>
          <w:color w:val="231F20"/>
          <w:spacing w:val="11"/>
          <w:sz w:val="20"/>
        </w:rPr>
        <w:t> </w:t>
      </w:r>
      <w:r>
        <w:rPr>
          <w:color w:val="231F20"/>
          <w:spacing w:val="-2"/>
          <w:sz w:val="20"/>
        </w:rPr>
        <w:t>options:</w:t>
      </w:r>
    </w:p>
    <w:p>
      <w:pPr>
        <w:spacing w:after="0" w:line="240" w:lineRule="auto"/>
        <w:jc w:val="left"/>
        <w:rPr>
          <w:sz w:val="20"/>
        </w:rPr>
        <w:sectPr>
          <w:pgSz w:w="12240" w:h="15840"/>
          <w:pgMar w:header="0" w:footer="736" w:top="1180" w:bottom="92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Option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1406" w:hRule="atLeast"/>
        </w:trPr>
        <w:tc>
          <w:tcPr>
            <w:tcW w:w="3767" w:type="dxa"/>
          </w:tcPr>
          <w:p>
            <w:pPr>
              <w:pStyle w:val="TableParagraph"/>
              <w:spacing w:before="45"/>
              <w:ind w:left="44"/>
              <w:rPr>
                <w:rFonts w:ascii="Book Antiqua"/>
                <w:b/>
                <w:sz w:val="18"/>
              </w:rPr>
            </w:pPr>
            <w:r>
              <w:rPr>
                <w:rFonts w:ascii="Book Antiqua"/>
                <w:b/>
                <w:color w:val="231F20"/>
                <w:sz w:val="18"/>
              </w:rPr>
              <w:t>Associated</w:t>
            </w:r>
            <w:r>
              <w:rPr>
                <w:rFonts w:ascii="Book Antiqua"/>
                <w:b/>
                <w:color w:val="231F20"/>
                <w:spacing w:val="6"/>
                <w:sz w:val="18"/>
              </w:rPr>
              <w:t> </w:t>
            </w:r>
            <w:r>
              <w:rPr>
                <w:rFonts w:ascii="Book Antiqua"/>
                <w:b/>
                <w:color w:val="231F20"/>
                <w:sz w:val="18"/>
              </w:rPr>
              <w:t>with</w:t>
            </w:r>
            <w:r>
              <w:rPr>
                <w:rFonts w:ascii="Book Antiqua"/>
                <w:b/>
                <w:color w:val="231F20"/>
                <w:spacing w:val="7"/>
                <w:sz w:val="18"/>
              </w:rPr>
              <w:t> </w:t>
            </w:r>
            <w:r>
              <w:rPr>
                <w:rFonts w:ascii="Book Antiqua"/>
                <w:b/>
                <w:color w:val="231F20"/>
                <w:sz w:val="18"/>
              </w:rPr>
              <w:t>Monitored</w:t>
            </w:r>
            <w:r>
              <w:rPr>
                <w:rFonts w:ascii="Book Antiqua"/>
                <w:b/>
                <w:color w:val="231F20"/>
                <w:spacing w:val="7"/>
                <w:sz w:val="18"/>
              </w:rPr>
              <w:t> </w:t>
            </w:r>
            <w:r>
              <w:rPr>
                <w:rFonts w:ascii="Book Antiqua"/>
                <w:b/>
                <w:color w:val="231F20"/>
                <w:spacing w:val="-2"/>
                <w:sz w:val="18"/>
              </w:rPr>
              <w:t>Application</w:t>
            </w:r>
          </w:p>
        </w:tc>
        <w:tc>
          <w:tcPr>
            <w:tcW w:w="3767" w:type="dxa"/>
          </w:tcPr>
          <w:p>
            <w:pPr>
              <w:pStyle w:val="TableParagraph"/>
              <w:spacing w:line="216" w:lineRule="auto" w:before="44"/>
              <w:ind w:right="59"/>
              <w:rPr>
                <w:sz w:val="18"/>
              </w:rPr>
            </w:pPr>
            <w:r>
              <w:rPr>
                <w:color w:val="231F20"/>
                <w:sz w:val="18"/>
              </w:rPr>
              <w:t>Show all situations that were written for </w:t>
            </w:r>
            <w:r>
              <w:rPr>
                <w:color w:val="231F20"/>
                <w:sz w:val="18"/>
              </w:rPr>
              <w:t>this type of agent, regardless of where they are distributed or if they are distributed. Select this box if you want to see situations that have not been distributed to managed </w:t>
            </w:r>
            <w:r>
              <w:rPr>
                <w:color w:val="231F20"/>
                <w:spacing w:val="-2"/>
                <w:sz w:val="18"/>
              </w:rPr>
              <w:t>systems.</w:t>
            </w:r>
          </w:p>
        </w:tc>
      </w:tr>
      <w:tr>
        <w:trPr>
          <w:trHeight w:val="1626" w:hRule="atLeast"/>
        </w:trPr>
        <w:tc>
          <w:tcPr>
            <w:tcW w:w="3767" w:type="dxa"/>
          </w:tcPr>
          <w:p>
            <w:pPr>
              <w:pStyle w:val="TableParagraph"/>
              <w:spacing w:before="45"/>
              <w:ind w:left="44"/>
              <w:rPr>
                <w:rFonts w:ascii="Book Antiqua"/>
                <w:b/>
                <w:sz w:val="18"/>
              </w:rPr>
            </w:pPr>
            <w:r>
              <w:rPr>
                <w:rFonts w:ascii="Book Antiqua"/>
                <w:b/>
                <w:color w:val="231F20"/>
                <w:sz w:val="18"/>
              </w:rPr>
              <w:t>Eligible</w:t>
            </w:r>
            <w:r>
              <w:rPr>
                <w:rFonts w:ascii="Book Antiqua"/>
                <w:b/>
                <w:color w:val="231F20"/>
                <w:spacing w:val="9"/>
                <w:sz w:val="18"/>
              </w:rPr>
              <w:t> </w:t>
            </w:r>
            <w:r>
              <w:rPr>
                <w:rFonts w:ascii="Book Antiqua"/>
                <w:b/>
                <w:color w:val="231F20"/>
                <w:sz w:val="18"/>
              </w:rPr>
              <w:t>for</w:t>
            </w:r>
            <w:r>
              <w:rPr>
                <w:rFonts w:ascii="Book Antiqua"/>
                <w:b/>
                <w:color w:val="231F20"/>
                <w:spacing w:val="10"/>
                <w:sz w:val="18"/>
              </w:rPr>
              <w:t> </w:t>
            </w:r>
            <w:r>
              <w:rPr>
                <w:rFonts w:ascii="Book Antiqua"/>
                <w:b/>
                <w:color w:val="231F20"/>
                <w:spacing w:val="-2"/>
                <w:sz w:val="18"/>
              </w:rPr>
              <w:t>Association</w:t>
            </w:r>
          </w:p>
        </w:tc>
        <w:tc>
          <w:tcPr>
            <w:tcW w:w="3767" w:type="dxa"/>
          </w:tcPr>
          <w:p>
            <w:pPr>
              <w:pStyle w:val="TableParagraph"/>
              <w:spacing w:line="216" w:lineRule="auto" w:before="44"/>
              <w:ind w:right="78"/>
              <w:rPr>
                <w:sz w:val="18"/>
              </w:rPr>
            </w:pPr>
            <w:r>
              <w:rPr>
                <w:color w:val="231F20"/>
                <w:sz w:val="18"/>
              </w:rPr>
              <w:t>Show all situations that have been</w:t>
            </w:r>
            <w:r>
              <w:rPr>
                <w:color w:val="231F20"/>
                <w:spacing w:val="80"/>
                <w:sz w:val="18"/>
              </w:rPr>
              <w:t> </w:t>
            </w:r>
            <w:r>
              <w:rPr>
                <w:color w:val="231F20"/>
                <w:sz w:val="18"/>
              </w:rPr>
              <w:t>distributed to the managed system (or systems) assigned to this Navigator item </w:t>
            </w:r>
            <w:r>
              <w:rPr>
                <w:color w:val="231F20"/>
                <w:sz w:val="18"/>
              </w:rPr>
              <w:t>and that have not been associated with it. If you are planning to associate situations with this Navigator item, select this box to see those situations that have not yet been associated.</w:t>
            </w:r>
          </w:p>
        </w:tc>
      </w:tr>
      <w:tr>
        <w:trPr>
          <w:trHeight w:val="1411" w:hRule="atLeast"/>
        </w:trPr>
        <w:tc>
          <w:tcPr>
            <w:tcW w:w="3767" w:type="dxa"/>
          </w:tcPr>
          <w:p>
            <w:pPr>
              <w:pStyle w:val="TableParagraph"/>
              <w:spacing w:before="45"/>
              <w:ind w:left="44"/>
              <w:rPr>
                <w:rFonts w:ascii="Book Antiqua"/>
                <w:b/>
                <w:sz w:val="18"/>
              </w:rPr>
            </w:pPr>
            <w:r>
              <w:rPr>
                <w:rFonts w:ascii="Book Antiqua"/>
                <w:b/>
                <w:color w:val="231F20"/>
                <w:sz w:val="18"/>
              </w:rPr>
              <w:t>Associated</w:t>
            </w:r>
            <w:r>
              <w:rPr>
                <w:rFonts w:ascii="Book Antiqua"/>
                <w:b/>
                <w:color w:val="231F20"/>
                <w:spacing w:val="8"/>
                <w:sz w:val="18"/>
              </w:rPr>
              <w:t> </w:t>
            </w:r>
            <w:r>
              <w:rPr>
                <w:rFonts w:ascii="Book Antiqua"/>
                <w:b/>
                <w:color w:val="231F20"/>
                <w:sz w:val="18"/>
              </w:rPr>
              <w:t>with</w:t>
            </w:r>
            <w:r>
              <w:rPr>
                <w:rFonts w:ascii="Book Antiqua"/>
                <w:b/>
                <w:color w:val="231F20"/>
                <w:spacing w:val="9"/>
                <w:sz w:val="18"/>
              </w:rPr>
              <w:t> </w:t>
            </w:r>
            <w:r>
              <w:rPr>
                <w:rFonts w:ascii="Book Antiqua"/>
                <w:b/>
                <w:color w:val="231F20"/>
                <w:sz w:val="18"/>
              </w:rPr>
              <w:t>this</w:t>
            </w:r>
            <w:r>
              <w:rPr>
                <w:rFonts w:ascii="Book Antiqua"/>
                <w:b/>
                <w:color w:val="231F20"/>
                <w:spacing w:val="9"/>
                <w:sz w:val="18"/>
              </w:rPr>
              <w:t> </w:t>
            </w:r>
            <w:r>
              <w:rPr>
                <w:rFonts w:ascii="Book Antiqua"/>
                <w:b/>
                <w:color w:val="231F20"/>
                <w:spacing w:val="-2"/>
                <w:sz w:val="18"/>
              </w:rPr>
              <w:t>object</w:t>
            </w:r>
          </w:p>
        </w:tc>
        <w:tc>
          <w:tcPr>
            <w:tcW w:w="3767" w:type="dxa"/>
          </w:tcPr>
          <w:p>
            <w:pPr>
              <w:pStyle w:val="TableParagraph"/>
              <w:spacing w:line="216" w:lineRule="auto" w:before="44"/>
              <w:rPr>
                <w:sz w:val="18"/>
              </w:rPr>
            </w:pPr>
            <w:r>
              <w:rPr>
                <w:color w:val="231F20"/>
                <w:sz w:val="18"/>
              </w:rPr>
              <w:t>Show all situations associated with this Navigator item. If you are planning to associate situations with this Navigator </w:t>
            </w:r>
            <w:r>
              <w:rPr>
                <w:color w:val="231F20"/>
                <w:sz w:val="18"/>
              </w:rPr>
              <w:t>item, </w:t>
            </w:r>
            <w:r>
              <w:rPr>
                <w:color w:val="231F20"/>
                <w:position w:val="2"/>
                <w:sz w:val="18"/>
              </w:rPr>
              <w:t>clear</w:t>
            </w:r>
            <w:r>
              <w:rPr>
                <w:color w:val="231F20"/>
                <w:spacing w:val="33"/>
                <w:position w:val="2"/>
                <w:sz w:val="18"/>
              </w:rPr>
              <w:t> </w:t>
            </w:r>
            <w:r>
              <w:rPr>
                <w:color w:val="231F20"/>
                <w:position w:val="2"/>
                <w:sz w:val="18"/>
              </w:rPr>
              <w:t>this</w:t>
            </w:r>
            <w:r>
              <w:rPr>
                <w:color w:val="231F20"/>
                <w:spacing w:val="33"/>
                <w:position w:val="2"/>
                <w:sz w:val="18"/>
              </w:rPr>
              <w:t> </w:t>
            </w:r>
            <w:r>
              <w:rPr>
                <w:color w:val="231F20"/>
                <w:position w:val="2"/>
                <w:sz w:val="18"/>
              </w:rPr>
              <w:t>check</w:t>
            </w:r>
            <w:r>
              <w:rPr>
                <w:color w:val="231F20"/>
                <w:spacing w:val="33"/>
                <w:position w:val="2"/>
                <w:sz w:val="18"/>
              </w:rPr>
              <w:t> </w:t>
            </w:r>
            <w:r>
              <w:rPr>
                <w:color w:val="231F20"/>
                <w:position w:val="2"/>
                <w:sz w:val="18"/>
              </w:rPr>
              <w:t>box</w:t>
            </w:r>
            <w:r>
              <w:rPr>
                <w:color w:val="231F20"/>
                <w:spacing w:val="33"/>
                <w:position w:val="2"/>
                <w:sz w:val="18"/>
              </w:rPr>
              <w:t> </w:t>
            </w:r>
            <w:r>
              <w:rPr>
                <w:color w:val="231F20"/>
                <w:position w:val="2"/>
                <w:sz w:val="18"/>
              </w:rPr>
              <w:t>and</w:t>
            </w:r>
            <w:r>
              <w:rPr>
                <w:color w:val="231F20"/>
                <w:spacing w:val="33"/>
                <w:position w:val="2"/>
                <w:sz w:val="18"/>
              </w:rPr>
              <w:t> </w:t>
            </w:r>
            <w:r>
              <w:rPr>
                <w:color w:val="231F20"/>
                <w:position w:val="2"/>
                <w:sz w:val="18"/>
              </w:rPr>
              <w:t>select</w:t>
            </w:r>
            <w:r>
              <w:rPr>
                <w:color w:val="231F20"/>
                <w:spacing w:val="13"/>
                <w:position w:val="2"/>
                <w:sz w:val="18"/>
              </w:rPr>
              <w:t> </w:t>
            </w:r>
            <w:r>
              <w:rPr>
                <w:color w:val="231F20"/>
                <w:spacing w:val="13"/>
                <w:sz w:val="18"/>
              </w:rPr>
              <w:drawing>
                <wp:inline distT="0" distB="0" distL="0" distR="0">
                  <wp:extent cx="82550" cy="82550"/>
                  <wp:effectExtent l="0" t="0" r="0" b="0"/>
                  <wp:docPr id="2212" name="Image 2212"/>
                  <wp:cNvGraphicFramePr>
                    <a:graphicFrameLocks/>
                  </wp:cNvGraphicFramePr>
                  <a:graphic>
                    <a:graphicData uri="http://schemas.openxmlformats.org/drawingml/2006/picture">
                      <pic:pic>
                        <pic:nvPicPr>
                          <pic:cNvPr id="2212" name="Image 221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3"/>
                <w:sz w:val="18"/>
              </w:rPr>
            </w:r>
            <w:r>
              <w:rPr>
                <w:rFonts w:ascii="Times New Roman"/>
                <w:color w:val="231F20"/>
                <w:spacing w:val="80"/>
                <w:position w:val="2"/>
                <w:sz w:val="18"/>
              </w:rPr>
              <w:t> </w:t>
            </w:r>
            <w:r>
              <w:rPr>
                <w:rFonts w:ascii="Book Antiqua"/>
                <w:b/>
                <w:color w:val="231F20"/>
                <w:position w:val="2"/>
                <w:sz w:val="18"/>
              </w:rPr>
              <w:t>Eligible </w:t>
            </w:r>
            <w:r>
              <w:rPr>
                <w:rFonts w:ascii="Book Antiqua"/>
                <w:b/>
                <w:color w:val="231F20"/>
                <w:sz w:val="18"/>
              </w:rPr>
              <w:t>for Association </w:t>
            </w:r>
            <w:r>
              <w:rPr>
                <w:color w:val="231F20"/>
                <w:sz w:val="18"/>
              </w:rPr>
              <w:t>to see only those situations that have not yet been associated.</w:t>
            </w:r>
          </w:p>
        </w:tc>
      </w:tr>
    </w:tbl>
    <w:p>
      <w:pPr>
        <w:pStyle w:val="BodyText"/>
        <w:spacing w:before="63"/>
        <w:rPr>
          <w:sz w:val="24"/>
        </w:rPr>
      </w:pPr>
    </w:p>
    <w:p>
      <w:pPr>
        <w:pStyle w:val="Heading4"/>
        <w:spacing w:before="0"/>
        <w:ind w:left="2472"/>
      </w:pPr>
      <w:bookmarkStart w:name="_bookmark185" w:id="402"/>
      <w:bookmarkEnd w:id="402"/>
      <w:r>
        <w:rPr>
          <w:b w:val="0"/>
        </w:rPr>
      </w:r>
      <w:r>
        <w:rPr>
          <w:color w:val="231F20"/>
          <w:spacing w:val="-2"/>
        </w:rPr>
        <w:t>Results</w:t>
      </w:r>
    </w:p>
    <w:p>
      <w:pPr>
        <w:pStyle w:val="BodyText"/>
        <w:spacing w:line="213" w:lineRule="auto" w:before="241"/>
        <w:ind w:left="2472" w:right="385"/>
      </w:pPr>
      <w:r>
        <w:rPr>
          <w:color w:val="231F20"/>
        </w:rPr>
        <w:t>After you click </w:t>
      </w:r>
      <w:r>
        <w:rPr>
          <w:rFonts w:ascii="Book Antiqua"/>
          <w:b/>
          <w:color w:val="231F20"/>
        </w:rPr>
        <w:t>OK</w:t>
      </w:r>
      <w:r>
        <w:rPr>
          <w:color w:val="231F20"/>
        </w:rPr>
        <w:t>, the tree shows the situations specified by the filter. If the results are not what you expected or need, return to the Show Situations </w:t>
      </w:r>
      <w:r>
        <w:rPr>
          <w:color w:val="231F20"/>
        </w:rPr>
        <w:t>window and try another setting.</w:t>
      </w:r>
    </w:p>
    <w:p>
      <w:pPr>
        <w:pStyle w:val="BodyText"/>
        <w:spacing w:before="5"/>
        <w:rPr>
          <w:sz w:val="16"/>
        </w:rPr>
      </w:pPr>
      <w:r>
        <w:rPr/>
        <mc:AlternateContent>
          <mc:Choice Requires="wps">
            <w:drawing>
              <wp:anchor distT="0" distB="0" distL="0" distR="0" allowOverlap="1" layoutInCell="1" locked="0" behindDoc="1" simplePos="0" relativeHeight="487720960">
                <wp:simplePos x="0" y="0"/>
                <wp:positionH relativeFrom="page">
                  <wp:posOffset>912380</wp:posOffset>
                </wp:positionH>
                <wp:positionV relativeFrom="paragraph">
                  <wp:posOffset>155767</wp:posOffset>
                </wp:positionV>
                <wp:extent cx="6082665" cy="1270"/>
                <wp:effectExtent l="0" t="0" r="0" b="0"/>
                <wp:wrapTopAndBottom/>
                <wp:docPr id="2213" name="Graphic 2213"/>
                <wp:cNvGraphicFramePr>
                  <a:graphicFrameLocks/>
                </wp:cNvGraphicFramePr>
                <a:graphic>
                  <a:graphicData uri="http://schemas.microsoft.com/office/word/2010/wordprocessingShape">
                    <wps:wsp>
                      <wps:cNvPr id="2213" name="Graphic 2213"/>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5185pt;width:478.95pt;height:.1pt;mso-position-horizontal-relative:page;mso-position-vertical-relative:paragraph;z-index:-15595520;mso-wrap-distance-left:0;mso-wrap-distance-right:0" id="docshape211"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Situation editor" w:id="403"/>
      <w:bookmarkEnd w:id="403"/>
      <w:r>
        <w:rPr>
          <w:b w:val="0"/>
        </w:rPr>
      </w:r>
      <w:r>
        <w:rPr>
          <w:color w:val="231F20"/>
        </w:rPr>
        <w:t>Situation</w:t>
      </w:r>
      <w:r>
        <w:rPr>
          <w:color w:val="231F20"/>
          <w:spacing w:val="3"/>
        </w:rPr>
        <w:t> </w:t>
      </w:r>
      <w:r>
        <w:rPr>
          <w:color w:val="231F20"/>
          <w:spacing w:val="-2"/>
        </w:rPr>
        <w:t>editor</w:t>
      </w:r>
    </w:p>
    <w:p>
      <w:pPr>
        <w:pStyle w:val="BodyText"/>
        <w:spacing w:line="213" w:lineRule="auto" w:before="138"/>
        <w:ind w:left="2472" w:right="258"/>
      </w:pPr>
      <w:r>
        <w:rPr>
          <w:color w:val="231F20"/>
        </w:rPr>
        <w:t>Situations notify you when an event occurs on a managed system. Your </w:t>
      </w:r>
      <w:r>
        <w:rPr>
          <w:color w:val="231F20"/>
        </w:rPr>
        <w:t>monitoring product provides a set of predefined situations for your immediate use. You can</w:t>
      </w:r>
      <w:r>
        <w:rPr>
          <w:color w:val="231F20"/>
          <w:spacing w:val="40"/>
        </w:rPr>
        <w:t> </w:t>
      </w:r>
      <w:r>
        <w:rPr>
          <w:color w:val="231F20"/>
        </w:rPr>
        <w:t>view and edit these situations and create others.</w:t>
      </w:r>
    </w:p>
    <w:p>
      <w:pPr>
        <w:pStyle w:val="BodyText"/>
        <w:spacing w:line="213" w:lineRule="auto" w:before="238"/>
        <w:ind w:left="2472" w:right="213"/>
        <w:jc w:val="both"/>
      </w:pPr>
      <w:r>
        <w:rPr>
          <w:color w:val="231F20"/>
        </w:rPr>
        <w:t>The left frame of the Situation editor is a tree of the situations associated with the current Navigator item or the situations of all installed monitoring products if you opened the editor from the toolbar; the right frame shows this user assistance </w:t>
      </w:r>
      <w:r>
        <w:rPr>
          <w:color w:val="231F20"/>
        </w:rPr>
        <w:t>until you create or select a situation.</w:t>
      </w:r>
    </w:p>
    <w:p>
      <w:pPr>
        <w:pStyle w:val="Heading6"/>
        <w:spacing w:before="116"/>
        <w:jc w:val="both"/>
      </w:pPr>
      <w:r>
        <w:rPr>
          <w:color w:val="231F20"/>
        </w:rPr>
        <w:t>In</w:t>
      </w:r>
      <w:r>
        <w:rPr>
          <w:color w:val="231F20"/>
          <w:spacing w:val="11"/>
        </w:rPr>
        <w:t> </w:t>
      </w:r>
      <w:r>
        <w:rPr>
          <w:color w:val="231F20"/>
        </w:rPr>
        <w:t>the</w:t>
      </w:r>
      <w:r>
        <w:rPr>
          <w:color w:val="231F20"/>
          <w:spacing w:val="12"/>
        </w:rPr>
        <w:t> </w:t>
      </w:r>
      <w:r>
        <w:rPr>
          <w:color w:val="231F20"/>
        </w:rPr>
        <w:t>situation</w:t>
      </w:r>
      <w:r>
        <w:rPr>
          <w:color w:val="231F20"/>
          <w:spacing w:val="12"/>
        </w:rPr>
        <w:t> </w:t>
      </w:r>
      <w:r>
        <w:rPr>
          <w:color w:val="231F20"/>
        </w:rPr>
        <w:t>tree,</w:t>
      </w:r>
      <w:r>
        <w:rPr>
          <w:color w:val="231F20"/>
          <w:spacing w:val="12"/>
        </w:rPr>
        <w:t> </w:t>
      </w:r>
      <w:r>
        <w:rPr>
          <w:color w:val="231F20"/>
          <w:spacing w:val="-2"/>
        </w:rPr>
        <w:t>click:</w:t>
      </w:r>
    </w:p>
    <w:p>
      <w:pPr>
        <w:pStyle w:val="BodyText"/>
        <w:spacing w:line="213" w:lineRule="auto" w:before="11"/>
        <w:ind w:left="3190" w:right="493" w:firstLine="10"/>
      </w:pPr>
      <w:r>
        <w:rPr/>
        <w:drawing>
          <wp:anchor distT="0" distB="0" distL="0" distR="0" allowOverlap="1" layoutInCell="1" locked="0" behindDoc="0" simplePos="0" relativeHeight="15862272">
            <wp:simplePos x="0" y="0"/>
            <wp:positionH relativeFrom="page">
              <wp:posOffset>6827615</wp:posOffset>
            </wp:positionH>
            <wp:positionV relativeFrom="paragraph">
              <wp:posOffset>46417</wp:posOffset>
            </wp:positionV>
            <wp:extent cx="101600" cy="95250"/>
            <wp:effectExtent l="0" t="0" r="0" b="0"/>
            <wp:wrapNone/>
            <wp:docPr id="2214" name="Image 2214"/>
            <wp:cNvGraphicFramePr>
              <a:graphicFrameLocks/>
            </wp:cNvGraphicFramePr>
            <a:graphic>
              <a:graphicData uri="http://schemas.openxmlformats.org/drawingml/2006/picture">
                <pic:pic>
                  <pic:nvPicPr>
                    <pic:cNvPr id="2214" name="Image 2214"/>
                    <pic:cNvPicPr/>
                  </pic:nvPicPr>
                  <pic:blipFill>
                    <a:blip r:embed="rId374" cstate="print"/>
                    <a:stretch>
                      <a:fillRect/>
                    </a:stretch>
                  </pic:blipFill>
                  <pic:spPr>
                    <a:xfrm>
                      <a:off x="0" y="0"/>
                      <a:ext cx="101600" cy="95250"/>
                    </a:xfrm>
                    <a:prstGeom prst="rect">
                      <a:avLst/>
                    </a:prstGeom>
                  </pic:spPr>
                </pic:pic>
              </a:graphicData>
            </a:graphic>
          </wp:anchor>
        </w:drawing>
      </w:r>
      <w:r>
        <w:rPr>
          <w:position w:val="-1"/>
        </w:rPr>
        <w:drawing>
          <wp:inline distT="0" distB="0" distL="0" distR="0">
            <wp:extent cx="95250" cy="95250"/>
            <wp:effectExtent l="0" t="0" r="0" b="0"/>
            <wp:docPr id="2215" name="Image 2215"/>
            <wp:cNvGraphicFramePr>
              <a:graphicFrameLocks/>
            </wp:cNvGraphicFramePr>
            <a:graphic>
              <a:graphicData uri="http://schemas.openxmlformats.org/drawingml/2006/picture">
                <pic:pic>
                  <pic:nvPicPr>
                    <pic:cNvPr id="2215" name="Image 2215"/>
                    <pic:cNvPicPr/>
                  </pic:nvPicPr>
                  <pic:blipFill>
                    <a:blip r:embed="rId375"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or </w:t>
      </w:r>
      <w:r>
        <w:rPr>
          <w:color w:val="231F20"/>
          <w:spacing w:val="16"/>
          <w:position w:val="-1"/>
        </w:rPr>
        <w:drawing>
          <wp:inline distT="0" distB="0" distL="0" distR="0">
            <wp:extent cx="101600" cy="95250"/>
            <wp:effectExtent l="0" t="0" r="0" b="0"/>
            <wp:docPr id="2216" name="Image 2216"/>
            <wp:cNvGraphicFramePr>
              <a:graphicFrameLocks/>
            </wp:cNvGraphicFramePr>
            <a:graphic>
              <a:graphicData uri="http://schemas.openxmlformats.org/drawingml/2006/picture">
                <pic:pic>
                  <pic:nvPicPr>
                    <pic:cNvPr id="2216" name="Image 2216"/>
                    <pic:cNvPicPr/>
                  </pic:nvPicPr>
                  <pic:blipFill>
                    <a:blip r:embed="rId374"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Situation name to open the definition for viewing and editing. ( indicates the situation is </w:t>
      </w:r>
      <w:r>
        <w:rPr>
          <w:rFonts w:ascii="Book Antiqua"/>
          <w:i/>
          <w:color w:val="231F20"/>
        </w:rPr>
        <w:t>not </w:t>
      </w:r>
      <w:r>
        <w:rPr>
          <w:color w:val="231F20"/>
        </w:rPr>
        <w:t>distributed.)</w:t>
      </w:r>
    </w:p>
    <w:p>
      <w:pPr>
        <w:pStyle w:val="BodyText"/>
        <w:spacing w:line="213" w:lineRule="auto"/>
        <w:ind w:left="3190" w:right="545" w:firstLine="10"/>
      </w:pPr>
      <w:r>
        <w:rPr>
          <w:position w:val="-1"/>
        </w:rPr>
        <w:drawing>
          <wp:inline distT="0" distB="0" distL="0" distR="0">
            <wp:extent cx="95250" cy="101600"/>
            <wp:effectExtent l="0" t="0" r="0" b="0"/>
            <wp:docPr id="2217" name="Image 2217"/>
            <wp:cNvGraphicFramePr>
              <a:graphicFrameLocks/>
            </wp:cNvGraphicFramePr>
            <a:graphic>
              <a:graphicData uri="http://schemas.openxmlformats.org/drawingml/2006/picture">
                <pic:pic>
                  <pic:nvPicPr>
                    <pic:cNvPr id="2217" name="Image 2217"/>
                    <pic:cNvPicPr/>
                  </pic:nvPicPr>
                  <pic:blipFill>
                    <a:blip r:embed="rId88"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Set Situation filter criteria to identify a broader range of situations </w:t>
      </w:r>
      <w:r>
        <w:rPr>
          <w:color w:val="231F20"/>
        </w:rPr>
        <w:t>to show in the tree.</w:t>
      </w:r>
    </w:p>
    <w:p>
      <w:pPr>
        <w:pStyle w:val="BodyText"/>
        <w:spacing w:line="213" w:lineRule="auto"/>
        <w:ind w:left="3190" w:firstLine="10"/>
      </w:pPr>
      <w:r>
        <w:rPr>
          <w:position w:val="-1"/>
        </w:rPr>
        <w:drawing>
          <wp:inline distT="0" distB="0" distL="0" distR="0">
            <wp:extent cx="95250" cy="101600"/>
            <wp:effectExtent l="0" t="0" r="0" b="0"/>
            <wp:docPr id="2218" name="Image 2218"/>
            <wp:cNvGraphicFramePr>
              <a:graphicFrameLocks/>
            </wp:cNvGraphicFramePr>
            <a:graphic>
              <a:graphicData uri="http://schemas.openxmlformats.org/drawingml/2006/picture">
                <pic:pic>
                  <pic:nvPicPr>
                    <pic:cNvPr id="2218" name="Image 2218"/>
                    <pic:cNvPicPr/>
                  </pic:nvPicPr>
                  <pic:blipFill>
                    <a:blip r:embed="rId26"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Create new Situation to create a new standard situation or correlated </w:t>
      </w:r>
      <w:r>
        <w:rPr>
          <w:color w:val="231F20"/>
          <w:spacing w:val="-2"/>
        </w:rPr>
        <w:t>situation.</w:t>
      </w:r>
    </w:p>
    <w:p>
      <w:pPr>
        <w:pStyle w:val="BodyText"/>
        <w:spacing w:line="213" w:lineRule="auto"/>
        <w:ind w:left="3190" w:right="545" w:firstLine="20"/>
      </w:pPr>
      <w:r>
        <w:rPr>
          <w:position w:val="-1"/>
        </w:rPr>
        <w:drawing>
          <wp:inline distT="0" distB="0" distL="0" distR="0">
            <wp:extent cx="82550" cy="95250"/>
            <wp:effectExtent l="0" t="0" r="0" b="0"/>
            <wp:docPr id="2219" name="Image 2219"/>
            <wp:cNvGraphicFramePr>
              <a:graphicFrameLocks/>
            </wp:cNvGraphicFramePr>
            <a:graphic>
              <a:graphicData uri="http://schemas.openxmlformats.org/drawingml/2006/picture">
                <pic:pic>
                  <pic:nvPicPr>
                    <pic:cNvPr id="2219" name="Image 2219"/>
                    <pic:cNvPicPr/>
                  </pic:nvPicPr>
                  <pic:blipFill>
                    <a:blip r:embed="rId332" cstate="print"/>
                    <a:stretch>
                      <a:fillRect/>
                    </a:stretch>
                  </pic:blipFill>
                  <pic:spPr>
                    <a:xfrm>
                      <a:off x="0" y="0"/>
                      <a:ext cx="82550" cy="95250"/>
                    </a:xfrm>
                    <a:prstGeom prst="rect">
                      <a:avLst/>
                    </a:prstGeom>
                  </pic:spPr>
                </pic:pic>
              </a:graphicData>
            </a:graphic>
          </wp:inline>
        </w:drawing>
      </w:r>
      <w:r>
        <w:rPr>
          <w:position w:val="-1"/>
        </w:rPr>
      </w:r>
      <w:r>
        <w:rPr>
          <w:rFonts w:ascii="Times New Roman"/>
          <w:spacing w:val="40"/>
        </w:rPr>
        <w:t> </w:t>
      </w:r>
      <w:r>
        <w:rPr>
          <w:color w:val="231F20"/>
        </w:rPr>
        <w:t>Create another Situation to copy the selected situation, with a </w:t>
      </w:r>
      <w:r>
        <w:rPr>
          <w:color w:val="231F20"/>
        </w:rPr>
        <w:t>new name and description.</w:t>
      </w:r>
    </w:p>
    <w:p>
      <w:pPr>
        <w:pStyle w:val="BodyText"/>
        <w:spacing w:line="245" w:lineRule="exact"/>
        <w:ind w:left="3200"/>
      </w:pPr>
      <w:r>
        <w:rPr>
          <w:position w:val="-1"/>
        </w:rPr>
        <w:drawing>
          <wp:inline distT="0" distB="0" distL="0" distR="0">
            <wp:extent cx="95250" cy="101600"/>
            <wp:effectExtent l="0" t="0" r="0" b="0"/>
            <wp:docPr id="2220" name="Image 2220"/>
            <wp:cNvGraphicFramePr>
              <a:graphicFrameLocks/>
            </wp:cNvGraphicFramePr>
            <a:graphic>
              <a:graphicData uri="http://schemas.openxmlformats.org/drawingml/2006/picture">
                <pic:pic>
                  <pic:nvPicPr>
                    <pic:cNvPr id="2220" name="Image 2220"/>
                    <pic:cNvPicPr/>
                  </pic:nvPicPr>
                  <pic:blipFill>
                    <a:blip r:embed="rId269"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70"/>
        </w:rPr>
        <w:t> </w:t>
      </w:r>
      <w:r>
        <w:rPr>
          <w:color w:val="231F20"/>
        </w:rPr>
        <w:t>Delete</w:t>
      </w:r>
      <w:r>
        <w:rPr>
          <w:color w:val="231F20"/>
          <w:spacing w:val="19"/>
        </w:rPr>
        <w:t> </w:t>
      </w:r>
      <w:r>
        <w:rPr>
          <w:color w:val="231F20"/>
        </w:rPr>
        <w:t>Situation</w:t>
      </w:r>
      <w:r>
        <w:rPr>
          <w:color w:val="231F20"/>
          <w:spacing w:val="19"/>
        </w:rPr>
        <w:t> </w:t>
      </w:r>
      <w:r>
        <w:rPr>
          <w:color w:val="231F20"/>
        </w:rPr>
        <w:t>to</w:t>
      </w:r>
      <w:r>
        <w:rPr>
          <w:color w:val="231F20"/>
          <w:spacing w:val="19"/>
        </w:rPr>
        <w:t> </w:t>
      </w:r>
      <w:r>
        <w:rPr>
          <w:color w:val="231F20"/>
        </w:rPr>
        <w:t>permanently</w:t>
      </w:r>
      <w:r>
        <w:rPr>
          <w:color w:val="231F20"/>
          <w:spacing w:val="19"/>
        </w:rPr>
        <w:t> </w:t>
      </w:r>
      <w:r>
        <w:rPr>
          <w:color w:val="231F20"/>
        </w:rPr>
        <w:t>remove</w:t>
      </w:r>
      <w:r>
        <w:rPr>
          <w:color w:val="231F20"/>
          <w:spacing w:val="19"/>
        </w:rPr>
        <w:t> </w:t>
      </w:r>
      <w:r>
        <w:rPr>
          <w:color w:val="231F20"/>
        </w:rPr>
        <w:t>the</w:t>
      </w:r>
      <w:r>
        <w:rPr>
          <w:color w:val="231F20"/>
          <w:spacing w:val="19"/>
        </w:rPr>
        <w:t> </w:t>
      </w:r>
      <w:r>
        <w:rPr>
          <w:color w:val="231F20"/>
        </w:rPr>
        <w:t>selected</w:t>
      </w:r>
      <w:r>
        <w:rPr>
          <w:color w:val="231F20"/>
          <w:spacing w:val="19"/>
        </w:rPr>
        <w:t> </w:t>
      </w:r>
      <w:r>
        <w:rPr>
          <w:color w:val="231F20"/>
        </w:rPr>
        <w:t>situation.</w:t>
      </w:r>
    </w:p>
    <w:p>
      <w:pPr>
        <w:pStyle w:val="Heading6"/>
        <w:spacing w:before="107"/>
        <w:jc w:val="both"/>
      </w:pPr>
      <w:r>
        <w:rPr>
          <w:color w:val="231F20"/>
        </w:rPr>
        <w:t>After</w:t>
      </w:r>
      <w:r>
        <w:rPr>
          <w:color w:val="231F20"/>
          <w:spacing w:val="10"/>
        </w:rPr>
        <w:t> </w:t>
      </w:r>
      <w:r>
        <w:rPr>
          <w:color w:val="231F20"/>
        </w:rPr>
        <w:t>selecting</w:t>
      </w:r>
      <w:r>
        <w:rPr>
          <w:color w:val="231F20"/>
          <w:spacing w:val="11"/>
        </w:rPr>
        <w:t> </w:t>
      </w:r>
      <w:r>
        <w:rPr>
          <w:color w:val="231F20"/>
        </w:rPr>
        <w:t>or</w:t>
      </w:r>
      <w:r>
        <w:rPr>
          <w:color w:val="231F20"/>
          <w:spacing w:val="11"/>
        </w:rPr>
        <w:t> </w:t>
      </w:r>
      <w:r>
        <w:rPr>
          <w:color w:val="231F20"/>
        </w:rPr>
        <w:t>creating</w:t>
      </w:r>
      <w:r>
        <w:rPr>
          <w:color w:val="231F20"/>
          <w:spacing w:val="10"/>
        </w:rPr>
        <w:t> </w:t>
      </w:r>
      <w:r>
        <w:rPr>
          <w:color w:val="231F20"/>
        </w:rPr>
        <w:t>a</w:t>
      </w:r>
      <w:r>
        <w:rPr>
          <w:color w:val="231F20"/>
          <w:spacing w:val="11"/>
        </w:rPr>
        <w:t> </w:t>
      </w:r>
      <w:r>
        <w:rPr>
          <w:color w:val="231F20"/>
        </w:rPr>
        <w:t>situation,</w:t>
      </w:r>
      <w:r>
        <w:rPr>
          <w:color w:val="231F20"/>
          <w:spacing w:val="11"/>
        </w:rPr>
        <w:t> </w:t>
      </w:r>
      <w:r>
        <w:rPr>
          <w:color w:val="231F20"/>
          <w:spacing w:val="-2"/>
        </w:rPr>
        <w:t>click:</w:t>
      </w:r>
    </w:p>
    <w:p>
      <w:pPr>
        <w:pStyle w:val="BodyText"/>
        <w:spacing w:line="213" w:lineRule="auto" w:before="12"/>
        <w:ind w:left="3190" w:right="545"/>
      </w:pPr>
      <w:r>
        <w:rPr>
          <w:position w:val="-1"/>
        </w:rPr>
        <w:drawing>
          <wp:inline distT="0" distB="0" distL="0" distR="0">
            <wp:extent cx="101600" cy="101599"/>
            <wp:effectExtent l="0" t="0" r="0" b="0"/>
            <wp:docPr id="2221" name="Image 2221"/>
            <wp:cNvGraphicFramePr>
              <a:graphicFrameLocks/>
            </wp:cNvGraphicFramePr>
            <a:graphic>
              <a:graphicData uri="http://schemas.openxmlformats.org/drawingml/2006/picture">
                <pic:pic>
                  <pic:nvPicPr>
                    <pic:cNvPr id="2221" name="Image 2221"/>
                    <pic:cNvPicPr/>
                  </pic:nvPicPr>
                  <pic:blipFill>
                    <a:blip r:embed="rId98" cstate="print"/>
                    <a:stretch>
                      <a:fillRect/>
                    </a:stretch>
                  </pic:blipFill>
                  <pic:spPr>
                    <a:xfrm>
                      <a:off x="0" y="0"/>
                      <a:ext cx="101600" cy="101599"/>
                    </a:xfrm>
                    <a:prstGeom prst="rect">
                      <a:avLst/>
                    </a:prstGeom>
                  </pic:spPr>
                </pic:pic>
              </a:graphicData>
            </a:graphic>
          </wp:inline>
        </w:drawing>
      </w:r>
      <w:r>
        <w:rPr>
          <w:position w:val="-1"/>
        </w:rPr>
      </w:r>
      <w:r>
        <w:rPr>
          <w:rFonts w:ascii="Times New Roman" w:hAnsi="Times New Roman"/>
          <w:spacing w:val="40"/>
        </w:rPr>
        <w:t> </w:t>
      </w:r>
      <w:hyperlink w:history="true" w:anchor="_bookmark187">
        <w:r>
          <w:rPr>
            <w:color w:val="231F20"/>
          </w:rPr>
          <w:t>“Formula” on page 255</w:t>
        </w:r>
      </w:hyperlink>
      <w:r>
        <w:rPr>
          <w:color w:val="231F20"/>
        </w:rPr>
        <w:t> to see, add attributes to, and edit the </w:t>
      </w:r>
      <w:r>
        <w:rPr>
          <w:color w:val="231F20"/>
        </w:rPr>
        <w:t>formula.</w:t>
      </w:r>
      <w:r>
        <w:rPr>
          <w:color w:val="231F20"/>
          <w:spacing w:val="80"/>
        </w:rPr>
        <w:t> </w:t>
      </w:r>
      <w:r>
        <w:rPr>
          <w:color w:val="231F20"/>
          <w:position w:val="-1"/>
        </w:rPr>
        <w:drawing>
          <wp:inline distT="0" distB="0" distL="0" distR="0">
            <wp:extent cx="101600" cy="95250"/>
            <wp:effectExtent l="0" t="0" r="0" b="0"/>
            <wp:docPr id="2222" name="Image 2222"/>
            <wp:cNvGraphicFramePr>
              <a:graphicFrameLocks/>
            </wp:cNvGraphicFramePr>
            <a:graphic>
              <a:graphicData uri="http://schemas.openxmlformats.org/drawingml/2006/picture">
                <pic:pic>
                  <pic:nvPicPr>
                    <pic:cNvPr id="2222" name="Image 2222"/>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hAnsi="Times New Roman"/>
          <w:color w:val="231F20"/>
          <w:spacing w:val="40"/>
        </w:rPr>
        <w:t> </w:t>
      </w:r>
      <w:hyperlink w:history="true" w:anchor="_bookmark188">
        <w:r>
          <w:rPr>
            <w:color w:val="231F20"/>
          </w:rPr>
          <w:t>“Distribution” on page 257</w:t>
        </w:r>
      </w:hyperlink>
      <w:r>
        <w:rPr>
          <w:color w:val="231F20"/>
        </w:rPr>
        <w:t> to see and assign the managed systems where the situation is running.</w:t>
      </w:r>
    </w:p>
    <w:p>
      <w:pPr>
        <w:pStyle w:val="BodyText"/>
        <w:spacing w:line="213" w:lineRule="auto"/>
        <w:ind w:left="3190" w:right="545"/>
      </w:pPr>
      <w:r>
        <w:rPr>
          <w:position w:val="-1"/>
        </w:rPr>
        <w:drawing>
          <wp:inline distT="0" distB="0" distL="0" distR="0">
            <wp:extent cx="101600" cy="101600"/>
            <wp:effectExtent l="0" t="0" r="0" b="0"/>
            <wp:docPr id="2223" name="Image 2223"/>
            <wp:cNvGraphicFramePr>
              <a:graphicFrameLocks/>
            </wp:cNvGraphicFramePr>
            <a:graphic>
              <a:graphicData uri="http://schemas.openxmlformats.org/drawingml/2006/picture">
                <pic:pic>
                  <pic:nvPicPr>
                    <pic:cNvPr id="2223" name="Image 2223"/>
                    <pic:cNvPicPr/>
                  </pic:nvPicPr>
                  <pic:blipFill>
                    <a:blip r:embed="rId99" cstate="print"/>
                    <a:stretch>
                      <a:fillRect/>
                    </a:stretch>
                  </pic:blipFill>
                  <pic:spPr>
                    <a:xfrm>
                      <a:off x="0" y="0"/>
                      <a:ext cx="101600" cy="101600"/>
                    </a:xfrm>
                    <a:prstGeom prst="rect">
                      <a:avLst/>
                    </a:prstGeom>
                  </pic:spPr>
                </pic:pic>
              </a:graphicData>
            </a:graphic>
          </wp:inline>
        </w:drawing>
      </w:r>
      <w:r>
        <w:rPr>
          <w:position w:val="-1"/>
        </w:rPr>
      </w:r>
      <w:r>
        <w:rPr>
          <w:rFonts w:ascii="Times New Roman" w:hAnsi="Times New Roman"/>
          <w:spacing w:val="40"/>
        </w:rPr>
        <w:t> </w:t>
      </w:r>
      <w:hyperlink w:history="true" w:anchor="_bookmark189">
        <w:r>
          <w:rPr>
            <w:color w:val="231F20"/>
          </w:rPr>
          <w:t>“Expert Advice” on page 258</w:t>
        </w:r>
      </w:hyperlink>
      <w:r>
        <w:rPr>
          <w:color w:val="231F20"/>
        </w:rPr>
        <w:t> to create links to URLs or to </w:t>
      </w:r>
      <w:r>
        <w:rPr>
          <w:color w:val="231F20"/>
        </w:rPr>
        <w:t>write instructions to be read in the event results workspace.</w:t>
      </w:r>
    </w:p>
    <w:p>
      <w:pPr>
        <w:pStyle w:val="BodyText"/>
        <w:spacing w:line="250" w:lineRule="exact"/>
        <w:ind w:left="3210"/>
      </w:pPr>
      <w:r>
        <w:rPr/>
        <w:drawing>
          <wp:inline distT="0" distB="0" distL="0" distR="0">
            <wp:extent cx="76200" cy="95250"/>
            <wp:effectExtent l="0" t="0" r="0" b="0"/>
            <wp:docPr id="2224" name="Image 2224"/>
            <wp:cNvGraphicFramePr>
              <a:graphicFrameLocks/>
            </wp:cNvGraphicFramePr>
            <a:graphic>
              <a:graphicData uri="http://schemas.openxmlformats.org/drawingml/2006/picture">
                <pic:pic>
                  <pic:nvPicPr>
                    <pic:cNvPr id="2224" name="Image 2224"/>
                    <pic:cNvPicPr/>
                  </pic:nvPicPr>
                  <pic:blipFill>
                    <a:blip r:embed="rId54" cstate="print"/>
                    <a:stretch>
                      <a:fillRect/>
                    </a:stretch>
                  </pic:blipFill>
                  <pic:spPr>
                    <a:xfrm>
                      <a:off x="0" y="0"/>
                      <a:ext cx="76200" cy="95250"/>
                    </a:xfrm>
                    <a:prstGeom prst="rect">
                      <a:avLst/>
                    </a:prstGeom>
                  </pic:spPr>
                </pic:pic>
              </a:graphicData>
            </a:graphic>
          </wp:inline>
        </w:drawing>
      </w:r>
      <w:r>
        <w:rPr/>
      </w:r>
      <w:r>
        <w:rPr>
          <w:rFonts w:ascii="Times New Roman" w:hAnsi="Times New Roman"/>
          <w:spacing w:val="80"/>
          <w:position w:val="1"/>
        </w:rPr>
        <w:t> </w:t>
      </w:r>
      <w:hyperlink w:history="true" w:anchor="_bookmark190">
        <w:r>
          <w:rPr>
            <w:color w:val="231F20"/>
            <w:position w:val="1"/>
          </w:rPr>
          <w:t>“Action”</w:t>
        </w:r>
        <w:r>
          <w:rPr>
            <w:color w:val="231F20"/>
            <w:spacing w:val="18"/>
            <w:position w:val="1"/>
          </w:rPr>
          <w:t> </w:t>
        </w:r>
        <w:r>
          <w:rPr>
            <w:color w:val="231F20"/>
            <w:position w:val="1"/>
          </w:rPr>
          <w:t>on</w:t>
        </w:r>
        <w:r>
          <w:rPr>
            <w:color w:val="231F20"/>
            <w:spacing w:val="18"/>
            <w:position w:val="1"/>
          </w:rPr>
          <w:t> </w:t>
        </w:r>
        <w:r>
          <w:rPr>
            <w:color w:val="231F20"/>
            <w:position w:val="1"/>
          </w:rPr>
          <w:t>page</w:t>
        </w:r>
        <w:r>
          <w:rPr>
            <w:color w:val="231F20"/>
            <w:spacing w:val="18"/>
            <w:position w:val="1"/>
          </w:rPr>
          <w:t> </w:t>
        </w:r>
        <w:r>
          <w:rPr>
            <w:color w:val="231F20"/>
            <w:position w:val="1"/>
          </w:rPr>
          <w:t>259</w:t>
        </w:r>
      </w:hyperlink>
      <w:r>
        <w:rPr>
          <w:color w:val="231F20"/>
          <w:spacing w:val="18"/>
          <w:position w:val="1"/>
        </w:rPr>
        <w:t> </w:t>
      </w:r>
      <w:r>
        <w:rPr>
          <w:color w:val="231F20"/>
          <w:position w:val="1"/>
        </w:rPr>
        <w:t>to</w:t>
      </w:r>
      <w:r>
        <w:rPr>
          <w:color w:val="231F20"/>
          <w:spacing w:val="18"/>
          <w:position w:val="1"/>
        </w:rPr>
        <w:t> </w:t>
      </w:r>
      <w:r>
        <w:rPr>
          <w:color w:val="231F20"/>
          <w:position w:val="1"/>
        </w:rPr>
        <w:t>send</w:t>
      </w:r>
      <w:r>
        <w:rPr>
          <w:color w:val="231F20"/>
          <w:spacing w:val="18"/>
          <w:position w:val="1"/>
        </w:rPr>
        <w:t> </w:t>
      </w:r>
      <w:r>
        <w:rPr>
          <w:color w:val="231F20"/>
          <w:position w:val="1"/>
        </w:rPr>
        <w:t>a</w:t>
      </w:r>
      <w:r>
        <w:rPr>
          <w:color w:val="231F20"/>
          <w:spacing w:val="18"/>
          <w:position w:val="1"/>
        </w:rPr>
        <w:t> </w:t>
      </w:r>
      <w:r>
        <w:rPr>
          <w:color w:val="231F20"/>
          <w:position w:val="1"/>
        </w:rPr>
        <w:t>command</w:t>
      </w:r>
      <w:r>
        <w:rPr>
          <w:color w:val="231F20"/>
          <w:spacing w:val="18"/>
          <w:position w:val="1"/>
        </w:rPr>
        <w:t> </w:t>
      </w:r>
      <w:r>
        <w:rPr>
          <w:color w:val="231F20"/>
          <w:position w:val="1"/>
        </w:rPr>
        <w:t>or</w:t>
      </w:r>
      <w:r>
        <w:rPr>
          <w:color w:val="231F20"/>
          <w:spacing w:val="18"/>
          <w:position w:val="1"/>
        </w:rPr>
        <w:t> </w:t>
      </w:r>
      <w:r>
        <w:rPr>
          <w:color w:val="231F20"/>
          <w:position w:val="1"/>
        </w:rPr>
        <w:t>a</w:t>
      </w:r>
      <w:r>
        <w:rPr>
          <w:color w:val="231F20"/>
          <w:spacing w:val="18"/>
          <w:position w:val="1"/>
        </w:rPr>
        <w:t> </w:t>
      </w:r>
      <w:r>
        <w:rPr>
          <w:color w:val="231F20"/>
          <w:position w:val="1"/>
        </w:rPr>
        <w:t>universal</w:t>
      </w:r>
      <w:r>
        <w:rPr>
          <w:color w:val="231F20"/>
          <w:spacing w:val="18"/>
          <w:position w:val="1"/>
        </w:rPr>
        <w:t> </w:t>
      </w:r>
      <w:r>
        <w:rPr>
          <w:color w:val="231F20"/>
          <w:position w:val="1"/>
        </w:rPr>
        <w:t>message</w:t>
      </w:r>
      <w:r>
        <w:rPr>
          <w:color w:val="231F20"/>
          <w:spacing w:val="18"/>
          <w:position w:val="1"/>
        </w:rPr>
        <w:t> </w:t>
      </w:r>
      <w:r>
        <w:rPr>
          <w:color w:val="231F20"/>
          <w:position w:val="1"/>
        </w:rPr>
        <w:t>as</w:t>
      </w:r>
      <w:r>
        <w:rPr>
          <w:color w:val="231F20"/>
          <w:spacing w:val="18"/>
          <w:position w:val="1"/>
        </w:rPr>
        <w:t> </w:t>
      </w:r>
      <w:r>
        <w:rPr>
          <w:color w:val="231F20"/>
          <w:position w:val="1"/>
        </w:rPr>
        <w:t>an</w:t>
      </w:r>
    </w:p>
    <w:p>
      <w:pPr>
        <w:spacing w:after="0" w:line="250" w:lineRule="exact"/>
        <w:sectPr>
          <w:pgSz w:w="12240" w:h="15840"/>
          <w:pgMar w:header="0" w:footer="736" w:top="1300" w:bottom="920" w:left="1000" w:right="1060"/>
        </w:sectPr>
      </w:pPr>
    </w:p>
    <w:p>
      <w:pPr>
        <w:pStyle w:val="BodyText"/>
        <w:spacing w:line="255" w:lineRule="exact" w:before="62"/>
        <w:ind w:left="2951"/>
        <w:jc w:val="both"/>
      </w:pPr>
      <w:bookmarkStart w:name="_bookmark186" w:id="404"/>
      <w:bookmarkEnd w:id="404"/>
      <w:r>
        <w:rPr/>
      </w:r>
      <w:r>
        <w:rPr>
          <w:color w:val="231F20"/>
        </w:rPr>
        <w:t>automatic,</w:t>
      </w:r>
      <w:r>
        <w:rPr>
          <w:color w:val="231F20"/>
          <w:spacing w:val="8"/>
        </w:rPr>
        <w:t> </w:t>
      </w:r>
      <w:r>
        <w:rPr>
          <w:color w:val="231F20"/>
        </w:rPr>
        <w:t>reflexive</w:t>
      </w:r>
      <w:r>
        <w:rPr>
          <w:color w:val="231F20"/>
          <w:spacing w:val="8"/>
        </w:rPr>
        <w:t> </w:t>
      </w:r>
      <w:r>
        <w:rPr>
          <w:color w:val="231F20"/>
        </w:rPr>
        <w:t>response</w:t>
      </w:r>
      <w:r>
        <w:rPr>
          <w:color w:val="231F20"/>
          <w:spacing w:val="8"/>
        </w:rPr>
        <w:t> </w:t>
      </w:r>
      <w:r>
        <w:rPr>
          <w:color w:val="231F20"/>
        </w:rPr>
        <w:t>when</w:t>
      </w:r>
      <w:r>
        <w:rPr>
          <w:color w:val="231F20"/>
          <w:spacing w:val="8"/>
        </w:rPr>
        <w:t> </w:t>
      </w:r>
      <w:r>
        <w:rPr>
          <w:color w:val="231F20"/>
        </w:rPr>
        <w:t>the</w:t>
      </w:r>
      <w:r>
        <w:rPr>
          <w:color w:val="231F20"/>
          <w:spacing w:val="8"/>
        </w:rPr>
        <w:t> </w:t>
      </w:r>
      <w:r>
        <w:rPr>
          <w:color w:val="231F20"/>
        </w:rPr>
        <w:t>situation</w:t>
      </w:r>
      <w:r>
        <w:rPr>
          <w:color w:val="231F20"/>
          <w:spacing w:val="8"/>
        </w:rPr>
        <w:t> </w:t>
      </w:r>
      <w:r>
        <w:rPr>
          <w:color w:val="231F20"/>
        </w:rPr>
        <w:t>becomes</w:t>
      </w:r>
      <w:r>
        <w:rPr>
          <w:color w:val="231F20"/>
          <w:spacing w:val="8"/>
        </w:rPr>
        <w:t> </w:t>
      </w:r>
      <w:r>
        <w:rPr>
          <w:color w:val="231F20"/>
          <w:spacing w:val="-2"/>
        </w:rPr>
        <w:t>true.</w:t>
      </w:r>
    </w:p>
    <w:p>
      <w:pPr>
        <w:pStyle w:val="BodyText"/>
        <w:spacing w:line="213" w:lineRule="auto" w:before="7"/>
        <w:ind w:left="2951" w:right="644"/>
        <w:jc w:val="both"/>
      </w:pPr>
      <w:r>
        <w:rPr>
          <w:position w:val="-1"/>
        </w:rPr>
        <w:drawing>
          <wp:inline distT="0" distB="0" distL="0" distR="0">
            <wp:extent cx="101600" cy="101600"/>
            <wp:effectExtent l="0" t="0" r="0" b="0"/>
            <wp:docPr id="2225" name="Image 2225"/>
            <wp:cNvGraphicFramePr>
              <a:graphicFrameLocks/>
            </wp:cNvGraphicFramePr>
            <a:graphic>
              <a:graphicData uri="http://schemas.openxmlformats.org/drawingml/2006/picture">
                <pic:pic>
                  <pic:nvPicPr>
                    <pic:cNvPr id="2225" name="Image 2225"/>
                    <pic:cNvPicPr/>
                  </pic:nvPicPr>
                  <pic:blipFill>
                    <a:blip r:embed="rId368" cstate="print"/>
                    <a:stretch>
                      <a:fillRect/>
                    </a:stretch>
                  </pic:blipFill>
                  <pic:spPr>
                    <a:xfrm>
                      <a:off x="0" y="0"/>
                      <a:ext cx="101600" cy="101600"/>
                    </a:xfrm>
                    <a:prstGeom prst="rect">
                      <a:avLst/>
                    </a:prstGeom>
                  </pic:spPr>
                </pic:pic>
              </a:graphicData>
            </a:graphic>
          </wp:inline>
        </w:drawing>
      </w:r>
      <w:r>
        <w:rPr>
          <w:position w:val="-1"/>
        </w:rPr>
      </w:r>
      <w:r>
        <w:rPr>
          <w:rFonts w:ascii="Times New Roman" w:hAnsi="Times New Roman"/>
          <w:spacing w:val="40"/>
        </w:rPr>
        <w:t> </w:t>
      </w:r>
      <w:hyperlink w:history="true" w:anchor="_bookmark191">
        <w:r>
          <w:rPr>
            <w:color w:val="231F20"/>
          </w:rPr>
          <w:t>“EIF” on page 261</w:t>
        </w:r>
      </w:hyperlink>
      <w:r>
        <w:rPr>
          <w:color w:val="231F20"/>
        </w:rPr>
        <w:t> to forward situation events to an Event Integration Facility receiver. (Available when the Tivoli Enterprise Monitoring </w:t>
      </w:r>
      <w:r>
        <w:rPr>
          <w:color w:val="231F20"/>
        </w:rPr>
        <w:t>Server has been configured to forward events.)</w:t>
      </w:r>
    </w:p>
    <w:p>
      <w:pPr>
        <w:pStyle w:val="BodyText"/>
        <w:spacing w:line="213" w:lineRule="auto"/>
        <w:ind w:left="2951" w:right="706"/>
        <w:jc w:val="both"/>
      </w:pPr>
      <w:r>
        <w:rPr>
          <w:position w:val="-1"/>
        </w:rPr>
        <w:drawing>
          <wp:inline distT="0" distB="0" distL="0" distR="0">
            <wp:extent cx="101600" cy="101600"/>
            <wp:effectExtent l="0" t="0" r="0" b="0"/>
            <wp:docPr id="2226" name="Image 2226"/>
            <wp:cNvGraphicFramePr>
              <a:graphicFrameLocks/>
            </wp:cNvGraphicFramePr>
            <a:graphic>
              <a:graphicData uri="http://schemas.openxmlformats.org/drawingml/2006/picture">
                <pic:pic>
                  <pic:nvPicPr>
                    <pic:cNvPr id="2226" name="Image 2226"/>
                    <pic:cNvPicPr/>
                  </pic:nvPicPr>
                  <pic:blipFill>
                    <a:blip r:embed="rId100" cstate="print"/>
                    <a:stretch>
                      <a:fillRect/>
                    </a:stretch>
                  </pic:blipFill>
                  <pic:spPr>
                    <a:xfrm>
                      <a:off x="0" y="0"/>
                      <a:ext cx="101600" cy="101600"/>
                    </a:xfrm>
                    <a:prstGeom prst="rect">
                      <a:avLst/>
                    </a:prstGeom>
                  </pic:spPr>
                </pic:pic>
              </a:graphicData>
            </a:graphic>
          </wp:inline>
        </w:drawing>
      </w:r>
      <w:r>
        <w:rPr>
          <w:position w:val="-1"/>
        </w:rPr>
      </w:r>
      <w:r>
        <w:rPr>
          <w:rFonts w:ascii="Times New Roman" w:hAnsi="Times New Roman"/>
          <w:spacing w:val="40"/>
        </w:rPr>
        <w:t> </w:t>
      </w:r>
      <w:hyperlink w:history="true" w:anchor="_bookmark192">
        <w:r>
          <w:rPr>
            <w:color w:val="231F20"/>
          </w:rPr>
          <w:t>“Until” on page 262</w:t>
        </w:r>
      </w:hyperlink>
      <w:r>
        <w:rPr>
          <w:color w:val="231F20"/>
        </w:rPr>
        <w:t> to specify that the event be closed after a </w:t>
      </w:r>
      <w:r>
        <w:rPr>
          <w:color w:val="231F20"/>
        </w:rPr>
        <w:t>certain period of time or when another situation is true.</w:t>
      </w:r>
    </w:p>
    <w:p>
      <w:pPr>
        <w:pStyle w:val="Heading6"/>
        <w:spacing w:before="116"/>
        <w:ind w:left="2232"/>
      </w:pPr>
      <w:r>
        <w:rPr>
          <w:color w:val="231F20"/>
        </w:rPr>
        <w:t>In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tree</w:t>
      </w:r>
      <w:r>
        <w:rPr>
          <w:color w:val="231F20"/>
          <w:spacing w:val="11"/>
        </w:rPr>
        <w:t> </w:t>
      </w:r>
      <w:r>
        <w:rPr>
          <w:color w:val="231F20"/>
        </w:rPr>
        <w:t>pop-up</w:t>
      </w:r>
      <w:r>
        <w:rPr>
          <w:color w:val="231F20"/>
          <w:spacing w:val="11"/>
        </w:rPr>
        <w:t> </w:t>
      </w:r>
      <w:r>
        <w:rPr>
          <w:color w:val="231F20"/>
        </w:rPr>
        <w:t>menu,</w:t>
      </w:r>
      <w:r>
        <w:rPr>
          <w:color w:val="231F20"/>
          <w:spacing w:val="12"/>
        </w:rPr>
        <w:t> </w:t>
      </w:r>
      <w:r>
        <w:rPr>
          <w:color w:val="231F20"/>
          <w:spacing w:val="-2"/>
        </w:rPr>
        <w:t>click:</w:t>
      </w:r>
    </w:p>
    <w:p>
      <w:pPr>
        <w:pStyle w:val="BodyText"/>
        <w:spacing w:line="213" w:lineRule="auto" w:before="11"/>
        <w:ind w:left="2951" w:right="545" w:firstLine="10"/>
      </w:pPr>
      <w:r>
        <w:rPr>
          <w:position w:val="-1"/>
        </w:rPr>
        <w:drawing>
          <wp:inline distT="0" distB="0" distL="0" distR="0">
            <wp:extent cx="95250" cy="101600"/>
            <wp:effectExtent l="0" t="0" r="0" b="0"/>
            <wp:docPr id="2227" name="Image 2227"/>
            <wp:cNvGraphicFramePr>
              <a:graphicFrameLocks/>
            </wp:cNvGraphicFramePr>
            <a:graphic>
              <a:graphicData uri="http://schemas.openxmlformats.org/drawingml/2006/picture">
                <pic:pic>
                  <pic:nvPicPr>
                    <pic:cNvPr id="2227" name="Image 2227"/>
                    <pic:cNvPicPr/>
                  </pic:nvPicPr>
                  <pic:blipFill>
                    <a:blip r:embed="rId26"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Create New situation to create a new standard situation or correlated </w:t>
      </w:r>
      <w:r>
        <w:rPr>
          <w:color w:val="231F20"/>
          <w:spacing w:val="-2"/>
        </w:rPr>
        <w:t>situation.</w:t>
      </w:r>
    </w:p>
    <w:p>
      <w:pPr>
        <w:pStyle w:val="BodyText"/>
        <w:spacing w:line="213" w:lineRule="auto"/>
        <w:ind w:left="2951" w:right="700" w:firstLine="20"/>
      </w:pPr>
      <w:r>
        <w:rPr>
          <w:position w:val="-1"/>
        </w:rPr>
        <w:drawing>
          <wp:inline distT="0" distB="0" distL="0" distR="0">
            <wp:extent cx="82550" cy="95250"/>
            <wp:effectExtent l="0" t="0" r="0" b="0"/>
            <wp:docPr id="2228" name="Image 2228"/>
            <wp:cNvGraphicFramePr>
              <a:graphicFrameLocks/>
            </wp:cNvGraphicFramePr>
            <a:graphic>
              <a:graphicData uri="http://schemas.openxmlformats.org/drawingml/2006/picture">
                <pic:pic>
                  <pic:nvPicPr>
                    <pic:cNvPr id="2228" name="Image 2228"/>
                    <pic:cNvPicPr/>
                  </pic:nvPicPr>
                  <pic:blipFill>
                    <a:blip r:embed="rId332" cstate="print"/>
                    <a:stretch>
                      <a:fillRect/>
                    </a:stretch>
                  </pic:blipFill>
                  <pic:spPr>
                    <a:xfrm>
                      <a:off x="0" y="0"/>
                      <a:ext cx="82550" cy="95250"/>
                    </a:xfrm>
                    <a:prstGeom prst="rect">
                      <a:avLst/>
                    </a:prstGeom>
                  </pic:spPr>
                </pic:pic>
              </a:graphicData>
            </a:graphic>
          </wp:inline>
        </w:drawing>
      </w:r>
      <w:r>
        <w:rPr>
          <w:position w:val="-1"/>
        </w:rPr>
      </w:r>
      <w:r>
        <w:rPr>
          <w:rFonts w:ascii="Times New Roman"/>
          <w:spacing w:val="40"/>
        </w:rPr>
        <w:t> </w:t>
      </w:r>
      <w:r>
        <w:rPr>
          <w:color w:val="231F20"/>
        </w:rPr>
        <w:t>Create Another situation to copy the selected situation, with a </w:t>
      </w:r>
      <w:r>
        <w:rPr>
          <w:color w:val="231F20"/>
        </w:rPr>
        <w:t>new name and description.</w:t>
      </w:r>
    </w:p>
    <w:p>
      <w:pPr>
        <w:pStyle w:val="BodyText"/>
        <w:spacing w:line="213" w:lineRule="auto"/>
        <w:ind w:left="2951" w:right="545" w:firstLine="50"/>
      </w:pPr>
      <w:r>
        <w:rPr>
          <w:position w:val="-1"/>
        </w:rPr>
        <w:drawing>
          <wp:inline distT="0" distB="0" distL="0" distR="0">
            <wp:extent cx="63500" cy="101600"/>
            <wp:effectExtent l="0" t="0" r="0" b="0"/>
            <wp:docPr id="2229" name="Image 2229"/>
            <wp:cNvGraphicFramePr>
              <a:graphicFrameLocks/>
            </wp:cNvGraphicFramePr>
            <a:graphic>
              <a:graphicData uri="http://schemas.openxmlformats.org/drawingml/2006/picture">
                <pic:pic>
                  <pic:nvPicPr>
                    <pic:cNvPr id="2229" name="Image 2229"/>
                    <pic:cNvPicPr/>
                  </pic:nvPicPr>
                  <pic:blipFill>
                    <a:blip r:embed="rId376" cstate="print"/>
                    <a:stretch>
                      <a:fillRect/>
                    </a:stretch>
                  </pic:blipFill>
                  <pic:spPr>
                    <a:xfrm>
                      <a:off x="0" y="0"/>
                      <a:ext cx="63500" cy="101600"/>
                    </a:xfrm>
                    <a:prstGeom prst="rect">
                      <a:avLst/>
                    </a:prstGeom>
                  </pic:spPr>
                </pic:pic>
              </a:graphicData>
            </a:graphic>
          </wp:inline>
        </w:drawing>
      </w:r>
      <w:r>
        <w:rPr>
          <w:position w:val="-1"/>
        </w:rPr>
      </w:r>
      <w:r>
        <w:rPr>
          <w:rFonts w:ascii="Times New Roman"/>
          <w:spacing w:val="40"/>
        </w:rPr>
        <w:t> </w:t>
      </w:r>
      <w:r>
        <w:rPr>
          <w:color w:val="231F20"/>
        </w:rPr>
        <w:t>Start or </w:t>
      </w:r>
      <w:r>
        <w:rPr>
          <w:color w:val="231F20"/>
          <w:spacing w:val="-24"/>
          <w:position w:val="-1"/>
        </w:rPr>
        <w:drawing>
          <wp:inline distT="0" distB="0" distL="0" distR="0">
            <wp:extent cx="95250" cy="95250"/>
            <wp:effectExtent l="0" t="0" r="0" b="0"/>
            <wp:docPr id="2230" name="Image 2230"/>
            <wp:cNvGraphicFramePr>
              <a:graphicFrameLocks/>
            </wp:cNvGraphicFramePr>
            <a:graphic>
              <a:graphicData uri="http://schemas.openxmlformats.org/drawingml/2006/picture">
                <pic:pic>
                  <pic:nvPicPr>
                    <pic:cNvPr id="2230" name="Image 2230"/>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8"/>
        </w:rPr>
        <w:t> </w:t>
      </w:r>
      <w:r>
        <w:rPr>
          <w:color w:val="231F20"/>
        </w:rPr>
        <w:t>Stop the situation. Be careful when stopping a </w:t>
      </w:r>
      <w:r>
        <w:rPr>
          <w:color w:val="231F20"/>
        </w:rPr>
        <w:t>situation, because it stops on all managed systems where it is running.</w:t>
      </w:r>
    </w:p>
    <w:p>
      <w:pPr>
        <w:pStyle w:val="BodyText"/>
        <w:spacing w:line="213" w:lineRule="auto"/>
        <w:ind w:left="2951" w:right="636" w:firstLine="10"/>
      </w:pPr>
      <w:r>
        <w:rPr>
          <w:position w:val="-1"/>
        </w:rPr>
        <w:drawing>
          <wp:inline distT="0" distB="0" distL="0" distR="0">
            <wp:extent cx="95250" cy="101600"/>
            <wp:effectExtent l="0" t="0" r="0" b="0"/>
            <wp:docPr id="2231" name="Image 2231"/>
            <wp:cNvGraphicFramePr>
              <a:graphicFrameLocks/>
            </wp:cNvGraphicFramePr>
            <a:graphic>
              <a:graphicData uri="http://schemas.openxmlformats.org/drawingml/2006/picture">
                <pic:pic>
                  <pic:nvPicPr>
                    <pic:cNvPr id="2231" name="Image 2231"/>
                    <pic:cNvPicPr/>
                  </pic:nvPicPr>
                  <pic:blipFill>
                    <a:blip r:embed="rId269"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Delete the situation. The situation stops running on all </w:t>
      </w:r>
      <w:r>
        <w:rPr>
          <w:color w:val="231F20"/>
        </w:rPr>
        <w:t>managed systems where it was distributed, and then is deleted.</w:t>
      </w:r>
    </w:p>
    <w:p>
      <w:pPr>
        <w:pStyle w:val="BodyText"/>
        <w:spacing w:line="211" w:lineRule="auto" w:before="2"/>
        <w:ind w:left="2951" w:right="636" w:firstLine="20"/>
      </w:pPr>
      <w:r>
        <w:rPr/>
        <w:drawing>
          <wp:inline distT="0" distB="0" distL="0" distR="0">
            <wp:extent cx="101600" cy="88900"/>
            <wp:effectExtent l="0" t="0" r="0" b="0"/>
            <wp:docPr id="2232" name="Image 2232"/>
            <wp:cNvGraphicFramePr>
              <a:graphicFrameLocks/>
            </wp:cNvGraphicFramePr>
            <a:graphic>
              <a:graphicData uri="http://schemas.openxmlformats.org/drawingml/2006/picture">
                <pic:pic>
                  <pic:nvPicPr>
                    <pic:cNvPr id="2232" name="Image 2232"/>
                    <pic:cNvPicPr/>
                  </pic:nvPicPr>
                  <pic:blipFill>
                    <a:blip r:embed="rId377" cstate="print"/>
                    <a:stretch>
                      <a:fillRect/>
                    </a:stretch>
                  </pic:blipFill>
                  <pic:spPr>
                    <a:xfrm>
                      <a:off x="0" y="0"/>
                      <a:ext cx="101600" cy="88900"/>
                    </a:xfrm>
                    <a:prstGeom prst="rect">
                      <a:avLst/>
                    </a:prstGeom>
                  </pic:spPr>
                </pic:pic>
              </a:graphicData>
            </a:graphic>
          </wp:inline>
        </w:drawing>
      </w:r>
      <w:r>
        <w:rPr/>
      </w:r>
      <w:r>
        <w:rPr>
          <w:rFonts w:ascii="Times New Roman"/>
        </w:rPr>
        <w:t> </w:t>
      </w:r>
      <w:r>
        <w:rPr>
          <w:color w:val="231F20"/>
        </w:rPr>
        <w:t>Associate the situation with the current Navigator item to enable an alert indicator of the selected state to be applied to the Navigator item when the situation is true; or </w:t>
      </w:r>
      <w:r>
        <w:rPr>
          <w:color w:val="231F20"/>
          <w:spacing w:val="-25"/>
          <w:position w:val="-1"/>
        </w:rPr>
        <w:drawing>
          <wp:inline distT="0" distB="0" distL="0" distR="0">
            <wp:extent cx="95250" cy="95249"/>
            <wp:effectExtent l="0" t="0" r="0" b="0"/>
            <wp:docPr id="2233" name="Image 2233"/>
            <wp:cNvGraphicFramePr>
              <a:graphicFrameLocks/>
            </wp:cNvGraphicFramePr>
            <a:graphic>
              <a:graphicData uri="http://schemas.openxmlformats.org/drawingml/2006/picture">
                <pic:pic>
                  <pic:nvPicPr>
                    <pic:cNvPr id="2233" name="Image 2233"/>
                    <pic:cNvPicPr/>
                  </pic:nvPicPr>
                  <pic:blipFill>
                    <a:blip r:embed="rId378" cstate="print"/>
                    <a:stretch>
                      <a:fillRect/>
                    </a:stretch>
                  </pic:blipFill>
                  <pic:spPr>
                    <a:xfrm>
                      <a:off x="0" y="0"/>
                      <a:ext cx="95250" cy="95249"/>
                    </a:xfrm>
                    <a:prstGeom prst="rect">
                      <a:avLst/>
                    </a:prstGeom>
                  </pic:spPr>
                </pic:pic>
              </a:graphicData>
            </a:graphic>
          </wp:inline>
        </w:drawing>
      </w:r>
      <w:r>
        <w:rPr>
          <w:color w:val="231F20"/>
          <w:spacing w:val="-25"/>
          <w:position w:val="-1"/>
        </w:rPr>
      </w:r>
      <w:r>
        <w:rPr>
          <w:rFonts w:ascii="Times New Roman"/>
          <w:color w:val="231F20"/>
          <w:spacing w:val="77"/>
        </w:rPr>
        <w:t> </w:t>
      </w:r>
      <w:r>
        <w:rPr>
          <w:color w:val="231F20"/>
        </w:rPr>
        <w:t>Dissociate the situation from the </w:t>
      </w:r>
      <w:r>
        <w:rPr>
          <w:color w:val="231F20"/>
        </w:rPr>
        <w:t>current Navigator item.</w:t>
      </w:r>
    </w:p>
    <w:p>
      <w:pPr>
        <w:pStyle w:val="BodyText"/>
        <w:spacing w:line="213" w:lineRule="auto" w:before="1"/>
        <w:ind w:left="2951" w:right="545" w:firstLine="10"/>
      </w:pPr>
      <w:r>
        <w:rPr>
          <w:position w:val="-1"/>
        </w:rPr>
        <w:drawing>
          <wp:inline distT="0" distB="0" distL="0" distR="0">
            <wp:extent cx="95250" cy="95250"/>
            <wp:effectExtent l="0" t="0" r="0" b="0"/>
            <wp:docPr id="2234" name="Image 2234"/>
            <wp:cNvGraphicFramePr>
              <a:graphicFrameLocks/>
            </wp:cNvGraphicFramePr>
            <a:graphic>
              <a:graphicData uri="http://schemas.openxmlformats.org/drawingml/2006/picture">
                <pic:pic>
                  <pic:nvPicPr>
                    <pic:cNvPr id="2234" name="Image 2234"/>
                    <pic:cNvPicPr/>
                  </pic:nvPicPr>
                  <pic:blipFill>
                    <a:blip r:embed="rId379"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Enable or </w:t>
      </w:r>
      <w:r>
        <w:rPr>
          <w:color w:val="231F20"/>
          <w:spacing w:val="-24"/>
          <w:position w:val="-1"/>
        </w:rPr>
        <w:drawing>
          <wp:inline distT="0" distB="0" distL="0" distR="0">
            <wp:extent cx="95250" cy="95250"/>
            <wp:effectExtent l="0" t="0" r="0" b="0"/>
            <wp:docPr id="2235" name="Image 2235"/>
            <wp:cNvGraphicFramePr>
              <a:graphicFrameLocks/>
            </wp:cNvGraphicFramePr>
            <a:graphic>
              <a:graphicData uri="http://schemas.openxmlformats.org/drawingml/2006/picture">
                <pic:pic>
                  <pic:nvPicPr>
                    <pic:cNvPr id="2235" name="Image 2235"/>
                    <pic:cNvPicPr/>
                  </pic:nvPicPr>
                  <pic:blipFill>
                    <a:blip r:embed="rId38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8"/>
        </w:rPr>
        <w:t> </w:t>
      </w:r>
      <w:r>
        <w:rPr>
          <w:color w:val="231F20"/>
        </w:rPr>
        <w:t>Disable the situation overrides that have been created </w:t>
      </w:r>
      <w:r>
        <w:rPr>
          <w:color w:val="231F20"/>
        </w:rPr>
        <w:t>for this situation, or</w:t>
      </w:r>
      <w:r>
        <w:rPr>
          <w:color w:val="231F20"/>
          <w:spacing w:val="40"/>
        </w:rPr>
        <w:t> </w:t>
      </w:r>
      <w:r>
        <w:rPr>
          <w:color w:val="231F20"/>
          <w:spacing w:val="-24"/>
          <w:position w:val="-1"/>
        </w:rPr>
        <w:drawing>
          <wp:inline distT="0" distB="0" distL="0" distR="0">
            <wp:extent cx="95250" cy="95250"/>
            <wp:effectExtent l="0" t="0" r="0" b="0"/>
            <wp:docPr id="2236" name="Image 2236"/>
            <wp:cNvGraphicFramePr>
              <a:graphicFrameLocks/>
            </wp:cNvGraphicFramePr>
            <a:graphic>
              <a:graphicData uri="http://schemas.openxmlformats.org/drawingml/2006/picture">
                <pic:pic>
                  <pic:nvPicPr>
                    <pic:cNvPr id="2236" name="Image 2236"/>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Remove All Overrides.</w:t>
      </w:r>
    </w:p>
    <w:p>
      <w:pPr>
        <w:pStyle w:val="BodyText"/>
        <w:spacing w:line="245" w:lineRule="exact"/>
        <w:ind w:left="2961"/>
      </w:pPr>
      <w:r>
        <w:rPr>
          <w:position w:val="-1"/>
        </w:rPr>
        <w:drawing>
          <wp:inline distT="0" distB="0" distL="0" distR="0">
            <wp:extent cx="88900" cy="88900"/>
            <wp:effectExtent l="0" t="0" r="0" b="0"/>
            <wp:docPr id="2237" name="Image 2237"/>
            <wp:cNvGraphicFramePr>
              <a:graphicFrameLocks/>
            </wp:cNvGraphicFramePr>
            <a:graphic>
              <a:graphicData uri="http://schemas.openxmlformats.org/drawingml/2006/picture">
                <pic:pic>
                  <pic:nvPicPr>
                    <pic:cNvPr id="2237" name="Image 2237"/>
                    <pic:cNvPicPr/>
                  </pic:nvPicPr>
                  <pic:blipFill>
                    <a:blip r:embed="rId355" cstate="print"/>
                    <a:stretch>
                      <a:fillRect/>
                    </a:stretch>
                  </pic:blipFill>
                  <pic:spPr>
                    <a:xfrm>
                      <a:off x="0" y="0"/>
                      <a:ext cx="88900" cy="88900"/>
                    </a:xfrm>
                    <a:prstGeom prst="rect">
                      <a:avLst/>
                    </a:prstGeom>
                  </pic:spPr>
                </pic:pic>
              </a:graphicData>
            </a:graphic>
          </wp:inline>
        </w:drawing>
      </w:r>
      <w:r>
        <w:rPr>
          <w:position w:val="-1"/>
        </w:rPr>
      </w:r>
      <w:r>
        <w:rPr>
          <w:rFonts w:ascii="Times New Roman"/>
          <w:spacing w:val="80"/>
        </w:rPr>
        <w:t> </w:t>
      </w:r>
      <w:r>
        <w:rPr>
          <w:color w:val="231F20"/>
        </w:rPr>
        <w:t>Show</w:t>
      </w:r>
      <w:r>
        <w:rPr>
          <w:color w:val="231F20"/>
          <w:spacing w:val="18"/>
        </w:rPr>
        <w:t> </w:t>
      </w:r>
      <w:r>
        <w:rPr>
          <w:color w:val="231F20"/>
        </w:rPr>
        <w:t>the</w:t>
      </w:r>
      <w:r>
        <w:rPr>
          <w:color w:val="231F20"/>
          <w:spacing w:val="18"/>
        </w:rPr>
        <w:t> </w:t>
      </w:r>
      <w:r>
        <w:rPr>
          <w:color w:val="231F20"/>
        </w:rPr>
        <w:t>situation</w:t>
      </w:r>
      <w:r>
        <w:rPr>
          <w:color w:val="231F20"/>
          <w:spacing w:val="18"/>
        </w:rPr>
        <w:t> </w:t>
      </w:r>
      <w:r>
        <w:rPr>
          <w:color w:val="231F20"/>
        </w:rPr>
        <w:t>groups</w:t>
      </w:r>
      <w:r>
        <w:rPr>
          <w:color w:val="231F20"/>
          <w:spacing w:val="18"/>
        </w:rPr>
        <w:t> </w:t>
      </w:r>
      <w:r>
        <w:rPr>
          <w:color w:val="231F20"/>
        </w:rPr>
        <w:t>that</w:t>
      </w:r>
      <w:r>
        <w:rPr>
          <w:color w:val="231F20"/>
          <w:spacing w:val="18"/>
        </w:rPr>
        <w:t> </w:t>
      </w:r>
      <w:r>
        <w:rPr>
          <w:color w:val="231F20"/>
        </w:rPr>
        <w:t>this</w:t>
      </w:r>
      <w:r>
        <w:rPr>
          <w:color w:val="231F20"/>
          <w:spacing w:val="18"/>
        </w:rPr>
        <w:t> </w:t>
      </w:r>
      <w:r>
        <w:rPr>
          <w:color w:val="231F20"/>
        </w:rPr>
        <w:t>situation</w:t>
      </w:r>
      <w:r>
        <w:rPr>
          <w:color w:val="231F20"/>
          <w:spacing w:val="18"/>
        </w:rPr>
        <w:t> </w:t>
      </w:r>
      <w:r>
        <w:rPr>
          <w:color w:val="231F20"/>
        </w:rPr>
        <w:t>is</w:t>
      </w:r>
      <w:r>
        <w:rPr>
          <w:color w:val="231F20"/>
          <w:spacing w:val="18"/>
        </w:rPr>
        <w:t> </w:t>
      </w:r>
      <w:r>
        <w:rPr>
          <w:color w:val="231F20"/>
        </w:rPr>
        <w:t>a</w:t>
      </w:r>
      <w:r>
        <w:rPr>
          <w:color w:val="231F20"/>
          <w:spacing w:val="18"/>
        </w:rPr>
        <w:t> </w:t>
      </w:r>
      <w:r>
        <w:rPr>
          <w:color w:val="231F20"/>
        </w:rPr>
        <w:t>member</w:t>
      </w:r>
      <w:r>
        <w:rPr>
          <w:color w:val="231F20"/>
          <w:spacing w:val="18"/>
        </w:rPr>
        <w:t> </w:t>
      </w:r>
      <w:r>
        <w:rPr>
          <w:color w:val="231F20"/>
        </w:rPr>
        <w:t>of.</w:t>
      </w:r>
    </w:p>
    <w:p>
      <w:pPr>
        <w:pStyle w:val="BodyText"/>
        <w:spacing w:line="213" w:lineRule="auto" w:before="232"/>
        <w:ind w:left="2232" w:right="442"/>
      </w:pPr>
      <w:r>
        <w:rPr>
          <w:color w:val="231F20"/>
        </w:rPr>
        <w:t>The Situation editor buttons enable you to </w:t>
      </w:r>
      <w:r>
        <w:rPr>
          <w:rFonts w:ascii="Book Antiqua"/>
          <w:b/>
          <w:color w:val="231F20"/>
        </w:rPr>
        <w:t>Apply </w:t>
      </w:r>
      <w:r>
        <w:rPr>
          <w:color w:val="231F20"/>
        </w:rPr>
        <w:t>your changes by saving and starting the situation, and exit with (</w:t>
      </w:r>
      <w:r>
        <w:rPr>
          <w:rFonts w:ascii="Book Antiqua"/>
          <w:b/>
          <w:color w:val="231F20"/>
        </w:rPr>
        <w:t>OK</w:t>
      </w:r>
      <w:r>
        <w:rPr>
          <w:color w:val="231F20"/>
        </w:rPr>
        <w:t>) or without (</w:t>
      </w:r>
      <w:r>
        <w:rPr>
          <w:rFonts w:ascii="Book Antiqua"/>
          <w:b/>
          <w:color w:val="231F20"/>
        </w:rPr>
        <w:t>Cancel</w:t>
      </w:r>
      <w:r>
        <w:rPr>
          <w:color w:val="231F20"/>
        </w:rPr>
        <w:t>) saving your </w:t>
      </w:r>
      <w:r>
        <w:rPr>
          <w:color w:val="231F20"/>
        </w:rPr>
        <w:t>changes.</w:t>
      </w:r>
      <w:r>
        <w:rPr>
          <w:color w:val="231F20"/>
          <w:spacing w:val="80"/>
        </w:rPr>
        <w:t> </w:t>
      </w:r>
      <w:r>
        <w:rPr>
          <w:color w:val="231F20"/>
        </w:rPr>
        <w:t>If you plan to edit multiple situations while in the Situation editor, click </w:t>
      </w:r>
      <w:r>
        <w:rPr>
          <w:rFonts w:ascii="Book Antiqua"/>
          <w:b/>
          <w:color w:val="231F20"/>
        </w:rPr>
        <w:t>Apply </w:t>
      </w:r>
      <w:r>
        <w:rPr>
          <w:color w:val="231F20"/>
        </w:rPr>
        <w:t>to save</w:t>
      </w:r>
      <w:r>
        <w:rPr>
          <w:color w:val="231F20"/>
          <w:spacing w:val="14"/>
        </w:rPr>
        <w:t> </w:t>
      </w:r>
      <w:r>
        <w:rPr>
          <w:color w:val="231F20"/>
        </w:rPr>
        <w:t>your</w:t>
      </w:r>
      <w:r>
        <w:rPr>
          <w:color w:val="231F20"/>
          <w:spacing w:val="14"/>
        </w:rPr>
        <w:t> </w:t>
      </w:r>
      <w:r>
        <w:rPr>
          <w:color w:val="231F20"/>
        </w:rPr>
        <w:t>changes</w:t>
      </w:r>
      <w:r>
        <w:rPr>
          <w:color w:val="231F20"/>
          <w:spacing w:val="14"/>
        </w:rPr>
        <w:t> </w:t>
      </w:r>
      <w:r>
        <w:rPr>
          <w:color w:val="231F20"/>
        </w:rPr>
        <w:t>before</w:t>
      </w:r>
      <w:r>
        <w:rPr>
          <w:color w:val="231F20"/>
          <w:spacing w:val="14"/>
        </w:rPr>
        <w:t> </w:t>
      </w:r>
      <w:r>
        <w:rPr>
          <w:color w:val="231F20"/>
        </w:rPr>
        <w:t>selecting</w:t>
      </w:r>
      <w:r>
        <w:rPr>
          <w:color w:val="231F20"/>
          <w:spacing w:val="14"/>
        </w:rPr>
        <w:t> </w:t>
      </w:r>
      <w:r>
        <w:rPr>
          <w:color w:val="231F20"/>
        </w:rPr>
        <w:t>the</w:t>
      </w:r>
      <w:r>
        <w:rPr>
          <w:color w:val="231F20"/>
          <w:spacing w:val="14"/>
        </w:rPr>
        <w:t> </w:t>
      </w:r>
      <w:r>
        <w:rPr>
          <w:color w:val="231F20"/>
        </w:rPr>
        <w:t>next</w:t>
      </w:r>
      <w:r>
        <w:rPr>
          <w:color w:val="231F20"/>
          <w:spacing w:val="14"/>
        </w:rPr>
        <w:t> </w:t>
      </w:r>
      <w:r>
        <w:rPr>
          <w:color w:val="231F20"/>
        </w:rPr>
        <w:t>situation</w:t>
      </w:r>
      <w:r>
        <w:rPr>
          <w:color w:val="231F20"/>
          <w:spacing w:val="14"/>
        </w:rPr>
        <w:t> </w:t>
      </w:r>
      <w:r>
        <w:rPr>
          <w:color w:val="231F20"/>
        </w:rPr>
        <w:t>to</w:t>
      </w:r>
      <w:r>
        <w:rPr>
          <w:color w:val="231F20"/>
          <w:spacing w:val="14"/>
        </w:rPr>
        <w:t> </w:t>
      </w:r>
      <w:r>
        <w:rPr>
          <w:color w:val="231F20"/>
        </w:rPr>
        <w:t>edit</w:t>
      </w:r>
      <w:r>
        <w:rPr>
          <w:color w:val="231F20"/>
          <w:spacing w:val="14"/>
        </w:rPr>
        <w:t> </w:t>
      </w:r>
      <w:r>
        <w:rPr>
          <w:color w:val="231F20"/>
        </w:rPr>
        <w:t>or</w:t>
      </w:r>
      <w:r>
        <w:rPr>
          <w:color w:val="231F20"/>
          <w:spacing w:val="14"/>
        </w:rPr>
        <w:t> </w:t>
      </w:r>
      <w:r>
        <w:rPr>
          <w:color w:val="231F20"/>
        </w:rPr>
        <w:t>creating</w:t>
      </w:r>
      <w:r>
        <w:rPr>
          <w:color w:val="231F20"/>
          <w:spacing w:val="14"/>
        </w:rPr>
        <w:t> </w:t>
      </w:r>
      <w:r>
        <w:rPr>
          <w:color w:val="231F20"/>
        </w:rPr>
        <w:t>a</w:t>
      </w:r>
      <w:r>
        <w:rPr>
          <w:color w:val="231F20"/>
          <w:spacing w:val="14"/>
        </w:rPr>
        <w:t> </w:t>
      </w:r>
      <w:r>
        <w:rPr>
          <w:color w:val="231F20"/>
        </w:rPr>
        <w:t>new</w:t>
      </w:r>
      <w:r>
        <w:rPr>
          <w:color w:val="231F20"/>
          <w:spacing w:val="14"/>
        </w:rPr>
        <w:t> </w:t>
      </w:r>
      <w:r>
        <w:rPr>
          <w:color w:val="231F20"/>
        </w:rPr>
        <w:t>one.</w:t>
      </w:r>
    </w:p>
    <w:p>
      <w:pPr>
        <w:pStyle w:val="BodyText"/>
        <w:spacing w:line="213" w:lineRule="auto" w:before="237"/>
        <w:ind w:left="2232" w:right="636"/>
      </w:pPr>
      <w:r>
        <w:rPr>
          <w:rFonts w:ascii="Book Antiqua"/>
          <w:b/>
          <w:color w:val="231F20"/>
        </w:rPr>
        <w:t>Note:</w:t>
      </w:r>
      <w:r>
        <w:rPr>
          <w:rFonts w:ascii="Book Antiqua"/>
          <w:b/>
          <w:color w:val="231F20"/>
          <w:spacing w:val="40"/>
        </w:rPr>
        <w:t> </w:t>
      </w:r>
      <w:r>
        <w:rPr>
          <w:color w:val="231F20"/>
        </w:rPr>
        <w:t>Open the editor from a Navigator item if you want to edit or assign a state</w:t>
      </w:r>
      <w:r>
        <w:rPr>
          <w:color w:val="231F20"/>
          <w:spacing w:val="80"/>
        </w:rPr>
        <w:t> </w:t>
      </w:r>
      <w:r>
        <w:rPr>
          <w:color w:val="231F20"/>
        </w:rPr>
        <w:t>or sound to a situation, or if you want to associate a situation with a Navigator</w:t>
      </w:r>
      <w:r>
        <w:rPr>
          <w:color w:val="231F20"/>
          <w:spacing w:val="40"/>
        </w:rPr>
        <w:t> </w:t>
      </w:r>
      <w:r>
        <w:rPr>
          <w:color w:val="231F20"/>
          <w:spacing w:val="-2"/>
        </w:rPr>
        <w:t>item.</w:t>
      </w:r>
    </w:p>
    <w:p>
      <w:pPr>
        <w:pStyle w:val="BodyText"/>
        <w:spacing w:line="213" w:lineRule="auto" w:before="237"/>
        <w:ind w:left="2232" w:right="545"/>
      </w:pPr>
      <w:r>
        <w:rPr>
          <w:rFonts w:ascii="Book Antiqua"/>
          <w:b/>
          <w:color w:val="231F20"/>
        </w:rPr>
        <w:t>Tip:</w:t>
      </w:r>
      <w:r>
        <w:rPr>
          <w:rFonts w:ascii="Book Antiqua"/>
          <w:b/>
          <w:color w:val="231F20"/>
          <w:spacing w:val="40"/>
        </w:rPr>
        <w:t> </w:t>
      </w:r>
      <w:r>
        <w:rPr>
          <w:color w:val="231F20"/>
        </w:rPr>
        <w:t>If you are using the command line </w:t>
      </w:r>
      <w:r>
        <w:rPr>
          <w:rFonts w:ascii="Book Antiqua"/>
          <w:b/>
          <w:color w:val="231F20"/>
        </w:rPr>
        <w:t>tacmd createSit </w:t>
      </w:r>
      <w:r>
        <w:rPr>
          <w:color w:val="231F20"/>
        </w:rPr>
        <w:t>function for </w:t>
      </w:r>
      <w:r>
        <w:rPr>
          <w:color w:val="231F20"/>
        </w:rPr>
        <w:t>situation creation, you can use the Situation editor to validate the specified attributes.</w:t>
      </w:r>
    </w:p>
    <w:p>
      <w:pPr>
        <w:pStyle w:val="Heading3"/>
        <w:spacing w:before="217"/>
        <w:ind w:left="1334"/>
      </w:pPr>
      <w:r>
        <w:rPr>
          <w:color w:val="231F20"/>
        </w:rPr>
        <w:t>Situation</w:t>
      </w:r>
      <w:r>
        <w:rPr>
          <w:color w:val="231F20"/>
          <w:spacing w:val="3"/>
        </w:rPr>
        <w:t> </w:t>
      </w:r>
      <w:r>
        <w:rPr>
          <w:color w:val="231F20"/>
          <w:spacing w:val="-4"/>
        </w:rPr>
        <w:t>tree</w:t>
      </w:r>
    </w:p>
    <w:p>
      <w:pPr>
        <w:pStyle w:val="BodyText"/>
        <w:spacing w:line="213" w:lineRule="auto" w:before="58"/>
        <w:ind w:left="2232" w:right="613"/>
        <w:jc w:val="both"/>
      </w:pPr>
      <w:r>
        <w:rPr>
          <w:color w:val="231F20"/>
        </w:rPr>
        <w:t>The Situation editor tree shows the situations that are associated with the </w:t>
      </w:r>
      <w:r>
        <w:rPr>
          <w:color w:val="231F20"/>
        </w:rPr>
        <w:t>current Navigator item; or it shows all situations in your monitoring environment if you opened the editor from the toolbar.</w:t>
      </w:r>
    </w:p>
    <w:p>
      <w:pPr>
        <w:pStyle w:val="BodyText"/>
        <w:spacing w:line="213" w:lineRule="auto" w:before="238"/>
        <w:ind w:left="2232" w:right="488"/>
      </w:pPr>
      <w:r>
        <w:rPr>
          <w:color w:val="231F20"/>
        </w:rPr>
        <w:t>If</w:t>
      </w:r>
      <w:r>
        <w:rPr>
          <w:color w:val="231F20"/>
          <w:spacing w:val="27"/>
        </w:rPr>
        <w:t> </w:t>
      </w:r>
      <w:r>
        <w:rPr>
          <w:color w:val="231F20"/>
        </w:rPr>
        <w:t>you</w:t>
      </w:r>
      <w:r>
        <w:rPr>
          <w:color w:val="231F20"/>
          <w:spacing w:val="27"/>
        </w:rPr>
        <w:t> </w:t>
      </w:r>
      <w:r>
        <w:rPr>
          <w:color w:val="231F20"/>
        </w:rPr>
        <w:t>right-click</w:t>
      </w:r>
      <w:r>
        <w:rPr>
          <w:color w:val="231F20"/>
          <w:spacing w:val="27"/>
        </w:rPr>
        <w:t> </w:t>
      </w:r>
      <w:r>
        <w:rPr>
          <w:color w:val="231F20"/>
        </w:rPr>
        <w:t>the</w:t>
      </w:r>
      <w:r>
        <w:rPr>
          <w:color w:val="231F20"/>
          <w:spacing w:val="27"/>
        </w:rPr>
        <w:t> </w:t>
      </w:r>
      <w:r>
        <w:rPr>
          <w:color w:val="231F20"/>
        </w:rPr>
        <w:t>Enterprise</w:t>
      </w:r>
      <w:r>
        <w:rPr>
          <w:color w:val="231F20"/>
          <w:spacing w:val="27"/>
        </w:rPr>
        <w:t> </w:t>
      </w:r>
      <w:r>
        <w:rPr>
          <w:color w:val="231F20"/>
        </w:rPr>
        <w:t>item,</w:t>
      </w:r>
      <w:r>
        <w:rPr>
          <w:color w:val="231F20"/>
          <w:spacing w:val="27"/>
        </w:rPr>
        <w:t> </w:t>
      </w:r>
      <w:r>
        <w:rPr>
          <w:color w:val="231F20"/>
        </w:rPr>
        <w:t>for</w:t>
      </w:r>
      <w:r>
        <w:rPr>
          <w:color w:val="231F20"/>
          <w:spacing w:val="27"/>
        </w:rPr>
        <w:t> </w:t>
      </w:r>
      <w:r>
        <w:rPr>
          <w:color w:val="231F20"/>
        </w:rPr>
        <w:t>example,</w:t>
      </w:r>
      <w:r>
        <w:rPr>
          <w:color w:val="231F20"/>
          <w:spacing w:val="27"/>
        </w:rPr>
        <w:t> </w:t>
      </w:r>
      <w:r>
        <w:rPr>
          <w:color w:val="231F20"/>
        </w:rPr>
        <w:t>you</w:t>
      </w:r>
      <w:r>
        <w:rPr>
          <w:color w:val="231F20"/>
          <w:spacing w:val="27"/>
        </w:rPr>
        <w:t> </w:t>
      </w:r>
      <w:r>
        <w:rPr>
          <w:color w:val="231F20"/>
        </w:rPr>
        <w:t>see</w:t>
      </w:r>
      <w:r>
        <w:rPr>
          <w:color w:val="231F20"/>
          <w:spacing w:val="27"/>
        </w:rPr>
        <w:t> </w:t>
      </w:r>
      <w:r>
        <w:rPr>
          <w:color w:val="231F20"/>
        </w:rPr>
        <w:t>all</w:t>
      </w:r>
      <w:r>
        <w:rPr>
          <w:color w:val="231F20"/>
          <w:spacing w:val="27"/>
        </w:rPr>
        <w:t> </w:t>
      </w:r>
      <w:r>
        <w:rPr>
          <w:color w:val="231F20"/>
        </w:rPr>
        <w:t>the</w:t>
      </w:r>
      <w:r>
        <w:rPr>
          <w:color w:val="231F20"/>
          <w:spacing w:val="27"/>
        </w:rPr>
        <w:t> </w:t>
      </w:r>
      <w:r>
        <w:rPr>
          <w:color w:val="231F20"/>
        </w:rPr>
        <w:t>situations</w:t>
      </w:r>
      <w:r>
        <w:rPr>
          <w:color w:val="231F20"/>
          <w:spacing w:val="27"/>
        </w:rPr>
        <w:t> </w:t>
      </w:r>
      <w:r>
        <w:rPr>
          <w:color w:val="231F20"/>
        </w:rPr>
        <w:t>that are distributed to the monitoring server; if you right-clicked a system item, you see all situations that were distributed to that managed system. If you access the </w:t>
      </w:r>
      <w:r>
        <w:rPr>
          <w:color w:val="231F20"/>
        </w:rPr>
        <w:t>editor from a custom Navigator view, the products and situations shown are those associated with the managed systems you have assigned to the Navigator item through the Navigator properties window.</w:t>
      </w:r>
    </w:p>
    <w:p>
      <w:pPr>
        <w:pStyle w:val="BodyText"/>
        <w:spacing w:line="213" w:lineRule="auto" w:before="235"/>
        <w:ind w:left="2232" w:right="545"/>
      </w:pPr>
      <w:r>
        <w:rPr>
          <w:color w:val="231F20"/>
        </w:rPr>
        <w:t>You can also show all the situations running on the operating platform (such as Windows or Linux) or specify a subset. To change what situations show in the tree, do the following:</w:t>
      </w:r>
    </w:p>
    <w:p>
      <w:pPr>
        <w:pStyle w:val="ListParagraph"/>
        <w:numPr>
          <w:ilvl w:val="0"/>
          <w:numId w:val="115"/>
        </w:numPr>
        <w:tabs>
          <w:tab w:pos="2615" w:val="left" w:leader="none"/>
        </w:tabs>
        <w:spacing w:line="240" w:lineRule="auto" w:before="35" w:after="0"/>
        <w:ind w:left="2615" w:right="0" w:hanging="383"/>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101600"/>
            <wp:effectExtent l="0" t="0" r="0" b="0"/>
            <wp:docPr id="2238" name="Image 2238"/>
            <wp:cNvGraphicFramePr>
              <a:graphicFrameLocks/>
            </wp:cNvGraphicFramePr>
            <a:graphic>
              <a:graphicData uri="http://schemas.openxmlformats.org/drawingml/2006/picture">
                <pic:pic>
                  <pic:nvPicPr>
                    <pic:cNvPr id="2238" name="Image 2238"/>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Situation</w:t>
      </w:r>
      <w:r>
        <w:rPr>
          <w:rFonts w:ascii="Book Antiqua"/>
          <w:b/>
          <w:color w:val="231F20"/>
          <w:spacing w:val="12"/>
          <w:sz w:val="20"/>
        </w:rPr>
        <w:t> </w:t>
      </w:r>
      <w:r>
        <w:rPr>
          <w:rFonts w:ascii="Book Antiqua"/>
          <w:b/>
          <w:color w:val="231F20"/>
          <w:spacing w:val="-2"/>
          <w:sz w:val="20"/>
        </w:rPr>
        <w:t>Filter</w:t>
      </w:r>
      <w:r>
        <w:rPr>
          <w:color w:val="231F20"/>
          <w:spacing w:val="-2"/>
          <w:sz w:val="20"/>
        </w:rPr>
        <w:t>.</w:t>
      </w:r>
    </w:p>
    <w:p>
      <w:pPr>
        <w:pStyle w:val="ListParagraph"/>
        <w:numPr>
          <w:ilvl w:val="0"/>
          <w:numId w:val="115"/>
        </w:numPr>
        <w:tabs>
          <w:tab w:pos="2548" w:val="left" w:leader="none"/>
          <w:tab w:pos="2615" w:val="left" w:leader="none"/>
        </w:tabs>
        <w:spacing w:line="213" w:lineRule="auto" w:before="53" w:after="0"/>
        <w:ind w:left="2548" w:right="739" w:hanging="316"/>
        <w:jc w:val="left"/>
        <w:rPr>
          <w:sz w:val="20"/>
        </w:rPr>
      </w:pPr>
      <w:r>
        <w:rPr>
          <w:rFonts w:ascii="Arial"/>
          <w:color w:val="231F20"/>
          <w:sz w:val="20"/>
        </w:rPr>
        <w:tab/>
      </w:r>
      <w:r>
        <w:rPr>
          <w:color w:val="231F20"/>
          <w:sz w:val="20"/>
        </w:rPr>
        <w:t>Select any combination of the following three options. Select all three to </w:t>
      </w:r>
      <w:r>
        <w:rPr>
          <w:color w:val="231F20"/>
          <w:sz w:val="20"/>
        </w:rPr>
        <w:t>see every situation in your installation.</w:t>
      </w:r>
    </w:p>
    <w:p>
      <w:pPr>
        <w:spacing w:after="0" w:line="213" w:lineRule="auto"/>
        <w:jc w:val="left"/>
        <w:rPr>
          <w:sz w:val="20"/>
        </w:rPr>
        <w:sectPr>
          <w:pgSz w:w="12240" w:h="15840"/>
          <w:pgMar w:header="0" w:footer="736" w:top="1180" w:bottom="920" w:left="1000" w:right="1060"/>
        </w:sectPr>
      </w:pPr>
    </w:p>
    <w:p>
      <w:pPr>
        <w:pStyle w:val="BodyText"/>
        <w:spacing w:line="211" w:lineRule="auto" w:before="92"/>
        <w:ind w:left="3087" w:right="258"/>
      </w:pPr>
      <w:bookmarkStart w:name="_bookmark187" w:id="405"/>
      <w:bookmarkEnd w:id="405"/>
      <w:r>
        <w:rPr/>
      </w:r>
      <w:r>
        <w:rPr/>
        <w:drawing>
          <wp:inline distT="0" distB="0" distL="0" distR="0">
            <wp:extent cx="82550" cy="82550"/>
            <wp:effectExtent l="0" t="0" r="0" b="0"/>
            <wp:docPr id="2239" name="Image 2239"/>
            <wp:cNvGraphicFramePr>
              <a:graphicFrameLocks/>
            </wp:cNvGraphicFramePr>
            <a:graphic>
              <a:graphicData uri="http://schemas.openxmlformats.org/drawingml/2006/picture">
                <pic:pic>
                  <pic:nvPicPr>
                    <pic:cNvPr id="2239" name="Image 223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Associated with Monitored Application </w:t>
      </w:r>
      <w:r>
        <w:rPr>
          <w:color w:val="231F20"/>
        </w:rPr>
        <w:t>to see all situations that were written for this type of agent, regardless of where they are distributed. Clear this box if you want to see situations that have not been distributed . When</w:t>
      </w:r>
      <w:r>
        <w:rPr>
          <w:color w:val="231F20"/>
          <w:spacing w:val="40"/>
        </w:rPr>
        <w:t> </w:t>
      </w:r>
      <w:r>
        <w:rPr>
          <w:color w:val="231F20"/>
        </w:rPr>
        <w:t>you return to the Situation tree, any undistributed situations have a </w:t>
      </w:r>
      <w:r>
        <w:rPr>
          <w:color w:val="231F20"/>
          <w:spacing w:val="14"/>
          <w:position w:val="-1"/>
        </w:rPr>
        <w:drawing>
          <wp:inline distT="0" distB="0" distL="0" distR="0">
            <wp:extent cx="101600" cy="101600"/>
            <wp:effectExtent l="0" t="0" r="0" b="0"/>
            <wp:docPr id="2240" name="Image 2240"/>
            <wp:cNvGraphicFramePr>
              <a:graphicFrameLocks/>
            </wp:cNvGraphicFramePr>
            <a:graphic>
              <a:graphicData uri="http://schemas.openxmlformats.org/drawingml/2006/picture">
                <pic:pic>
                  <pic:nvPicPr>
                    <pic:cNvPr id="2240" name="Image 2240"/>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gray disabled icon.</w:t>
      </w:r>
    </w:p>
    <w:p>
      <w:pPr>
        <w:pStyle w:val="BodyText"/>
        <w:spacing w:line="211" w:lineRule="auto" w:before="70"/>
        <w:ind w:left="3087" w:right="258" w:hanging="1"/>
      </w:pPr>
      <w:r>
        <w:rPr/>
        <w:drawing>
          <wp:inline distT="0" distB="0" distL="0" distR="0">
            <wp:extent cx="82550" cy="82550"/>
            <wp:effectExtent l="0" t="0" r="0" b="0"/>
            <wp:docPr id="2241" name="Image 2241"/>
            <wp:cNvGraphicFramePr>
              <a:graphicFrameLocks/>
            </wp:cNvGraphicFramePr>
            <a:graphic>
              <a:graphicData uri="http://schemas.openxmlformats.org/drawingml/2006/picture">
                <pic:pic>
                  <pic:nvPicPr>
                    <pic:cNvPr id="2241" name="Image 2241"/>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Eligible for Association </w:t>
      </w:r>
      <w:r>
        <w:rPr>
          <w:color w:val="231F20"/>
        </w:rPr>
        <w:t>to show all situations that have been distributed</w:t>
      </w:r>
      <w:r>
        <w:rPr>
          <w:color w:val="231F20"/>
          <w:spacing w:val="80"/>
        </w:rPr>
        <w:t> </w:t>
      </w:r>
      <w:r>
        <w:rPr>
          <w:color w:val="231F20"/>
        </w:rPr>
        <w:t>to the managed system or systems assigned to this Navigator item and that have not been associated with it. If you are planning to associate situations with this Navigator item, select this box to see those situations that have </w:t>
      </w:r>
      <w:r>
        <w:rPr>
          <w:color w:val="231F20"/>
        </w:rPr>
        <w:t>not yet been associated.</w:t>
      </w:r>
    </w:p>
    <w:p>
      <w:pPr>
        <w:pStyle w:val="BodyText"/>
        <w:spacing w:line="211" w:lineRule="auto" w:before="70"/>
        <w:ind w:left="3087" w:right="545" w:hanging="1"/>
      </w:pPr>
      <w:r>
        <w:rPr/>
        <w:drawing>
          <wp:inline distT="0" distB="0" distL="0" distR="0">
            <wp:extent cx="82550" cy="82550"/>
            <wp:effectExtent l="0" t="0" r="0" b="0"/>
            <wp:docPr id="2242" name="Image 2242"/>
            <wp:cNvGraphicFramePr>
              <a:graphicFrameLocks/>
            </wp:cNvGraphicFramePr>
            <a:graphic>
              <a:graphicData uri="http://schemas.openxmlformats.org/drawingml/2006/picture">
                <pic:pic>
                  <pic:nvPicPr>
                    <pic:cNvPr id="2242" name="Image 2242"/>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Associated with this object </w:t>
      </w:r>
      <w:r>
        <w:rPr>
          <w:color w:val="231F20"/>
        </w:rPr>
        <w:t>to show all situations associated with this Navigator item. If you are planning to associate situations with this Navigator item, clear this check box to see only those situations that </w:t>
      </w:r>
      <w:r>
        <w:rPr>
          <w:color w:val="231F20"/>
        </w:rPr>
        <w:t>have not yet been associated.</w:t>
      </w:r>
    </w:p>
    <w:p>
      <w:pPr>
        <w:pStyle w:val="ListParagraph"/>
        <w:numPr>
          <w:ilvl w:val="0"/>
          <w:numId w:val="115"/>
        </w:numPr>
        <w:tabs>
          <w:tab w:pos="2788" w:val="left" w:leader="none"/>
          <w:tab w:pos="2853" w:val="left" w:leader="none"/>
        </w:tabs>
        <w:spacing w:line="213" w:lineRule="auto" w:before="61" w:after="0"/>
        <w:ind w:left="2788" w:right="409" w:hanging="316"/>
        <w:jc w:val="both"/>
        <w:rPr>
          <w:sz w:val="20"/>
        </w:rPr>
      </w:pPr>
      <w:r>
        <w:rPr>
          <w:color w:val="231F20"/>
          <w:sz w:val="20"/>
        </w:rPr>
        <w:tab/>
        <w:t>Click </w:t>
      </w:r>
      <w:r>
        <w:rPr>
          <w:rFonts w:ascii="Book Antiqua"/>
          <w:b/>
          <w:color w:val="231F20"/>
          <w:sz w:val="20"/>
        </w:rPr>
        <w:t>OK </w:t>
      </w:r>
      <w:r>
        <w:rPr>
          <w:color w:val="231F20"/>
          <w:sz w:val="20"/>
        </w:rPr>
        <w:t>to see the result of the filtering you set. If the results are not what you expected or need, return to the Show Situations window and try </w:t>
      </w:r>
      <w:r>
        <w:rPr>
          <w:color w:val="231F20"/>
          <w:sz w:val="20"/>
        </w:rPr>
        <w:t>another </w:t>
      </w:r>
      <w:r>
        <w:rPr>
          <w:color w:val="231F20"/>
          <w:spacing w:val="-2"/>
          <w:sz w:val="20"/>
        </w:rPr>
        <w:t>setting.</w:t>
      </w:r>
    </w:p>
    <w:p>
      <w:pPr>
        <w:pStyle w:val="Heading3"/>
        <w:spacing w:before="216"/>
        <w:ind w:left="1574"/>
      </w:pPr>
      <w:r>
        <w:rPr>
          <w:color w:val="231F20"/>
          <w:spacing w:val="-2"/>
        </w:rPr>
        <w:t>Formula</w:t>
      </w:r>
    </w:p>
    <w:p>
      <w:pPr>
        <w:pStyle w:val="BodyText"/>
        <w:spacing w:line="213" w:lineRule="auto" w:before="58"/>
        <w:ind w:left="2472" w:right="488"/>
      </w:pPr>
      <w:r>
        <w:rPr>
          <w:color w:val="231F20"/>
        </w:rPr>
        <w:t>The </w:t>
      </w:r>
      <w:r>
        <w:rPr>
          <w:rFonts w:ascii="Book Antiqua"/>
          <w:b/>
          <w:color w:val="231F20"/>
        </w:rPr>
        <w:t>Formula </w:t>
      </w:r>
      <w:r>
        <w:rPr>
          <w:color w:val="231F20"/>
        </w:rPr>
        <w:t>tab defines the condition that will be compared to the attribute</w:t>
      </w:r>
      <w:r>
        <w:rPr>
          <w:color w:val="231F20"/>
          <w:spacing w:val="80"/>
        </w:rPr>
        <w:t> </w:t>
      </w:r>
      <w:r>
        <w:rPr>
          <w:color w:val="231F20"/>
        </w:rPr>
        <w:t>values sampled by the agent. If the comparison is true, an event is opened. If you</w:t>
      </w:r>
      <w:r>
        <w:rPr>
          <w:color w:val="231F20"/>
          <w:spacing w:val="40"/>
        </w:rPr>
        <w:t> </w:t>
      </w:r>
      <w:r>
        <w:rPr>
          <w:color w:val="231F20"/>
        </w:rPr>
        <w:t>opened the editor from the Navigator, you can also assign a state and a sound to the situation.</w:t>
      </w:r>
    </w:p>
    <w:p>
      <w:pPr>
        <w:pStyle w:val="BodyText"/>
        <w:spacing w:line="213" w:lineRule="auto" w:before="117"/>
        <w:ind w:left="3190" w:right="379" w:hanging="719"/>
      </w:pPr>
      <w:r>
        <w:rPr>
          <w:rFonts w:ascii="Book Antiqua"/>
          <w:b/>
          <w:color w:val="231F20"/>
        </w:rPr>
        <w:t>Name</w:t>
      </w:r>
      <w:r>
        <w:rPr>
          <w:rFonts w:ascii="Book Antiqua"/>
          <w:b/>
          <w:color w:val="231F20"/>
          <w:spacing w:val="80"/>
        </w:rPr>
        <w:t> </w:t>
      </w:r>
      <w:r>
        <w:rPr>
          <w:color w:val="231F20"/>
        </w:rPr>
        <w:t>The situation name can contain any UTF-8 characters and can be up to 256</w:t>
      </w:r>
      <w:r>
        <w:rPr>
          <w:color w:val="231F20"/>
          <w:spacing w:val="40"/>
        </w:rPr>
        <w:t> </w:t>
      </w:r>
      <w:r>
        <w:rPr>
          <w:color w:val="231F20"/>
        </w:rPr>
        <w:t>bytes long. The number of characters allowed varies depending on the characters used, because some UTF-8 characters require more than one</w:t>
      </w:r>
      <w:r>
        <w:rPr>
          <w:color w:val="231F20"/>
          <w:spacing w:val="80"/>
        </w:rPr>
        <w:t> </w:t>
      </w:r>
      <w:r>
        <w:rPr>
          <w:color w:val="231F20"/>
          <w:spacing w:val="-2"/>
        </w:rPr>
        <w:t>byte.</w:t>
      </w:r>
    </w:p>
    <w:p>
      <w:pPr>
        <w:pStyle w:val="BodyText"/>
        <w:spacing w:line="213" w:lineRule="auto" w:before="117"/>
        <w:ind w:left="3190" w:right="258"/>
      </w:pPr>
      <w:r>
        <w:rPr>
          <w:color w:val="231F20"/>
        </w:rPr>
        <w:t>If you enter a character other than letters, numbers, underscores, or </w:t>
      </w:r>
      <w:r>
        <w:rPr>
          <w:color w:val="231F20"/>
        </w:rPr>
        <w:t>spaces in the situation name, a unique short name is created and shown in the Situation editor status bar and in the results of the CLI tacmd viewSit. For example,</w:t>
      </w:r>
      <w:r>
        <w:rPr>
          <w:color w:val="231F20"/>
          <w:spacing w:val="40"/>
        </w:rPr>
        <w:t> </w:t>
      </w:r>
      <w:r>
        <w:rPr>
          <w:color w:val="231F20"/>
        </w:rPr>
        <w:t>a</w:t>
      </w:r>
      <w:r>
        <w:rPr>
          <w:color w:val="231F20"/>
          <w:spacing w:val="40"/>
        </w:rPr>
        <w:t> </w:t>
      </w:r>
      <w:r>
        <w:rPr>
          <w:color w:val="231F20"/>
        </w:rPr>
        <w:t>situation</w:t>
      </w:r>
      <w:r>
        <w:rPr>
          <w:color w:val="231F20"/>
          <w:spacing w:val="40"/>
        </w:rPr>
        <w:t> </w:t>
      </w:r>
      <w:r>
        <w:rPr>
          <w:color w:val="231F20"/>
        </w:rPr>
        <w:t>named</w:t>
      </w:r>
      <w:r>
        <w:rPr>
          <w:color w:val="231F20"/>
          <w:spacing w:val="40"/>
        </w:rPr>
        <w:t> </w:t>
      </w:r>
      <w:r>
        <w:rPr>
          <w:rFonts w:ascii="Arial"/>
          <w:color w:val="231F20"/>
        </w:rPr>
        <w:t>My</w:t>
      </w:r>
      <w:r>
        <w:rPr>
          <w:rFonts w:ascii="Arial"/>
          <w:color w:val="231F20"/>
          <w:spacing w:val="40"/>
        </w:rPr>
        <w:t> </w:t>
      </w:r>
      <w:r>
        <w:rPr>
          <w:rFonts w:ascii="Arial"/>
          <w:color w:val="231F20"/>
        </w:rPr>
        <w:t>#1</w:t>
      </w:r>
      <w:r>
        <w:rPr>
          <w:rFonts w:ascii="Arial"/>
          <w:color w:val="231F20"/>
          <w:spacing w:val="40"/>
        </w:rPr>
        <w:t> </w:t>
      </w:r>
      <w:r>
        <w:rPr>
          <w:rFonts w:ascii="Arial"/>
          <w:color w:val="231F20"/>
        </w:rPr>
        <w:t>situation</w:t>
      </w:r>
      <w:r>
        <w:rPr>
          <w:rFonts w:ascii="Arial"/>
          <w:color w:val="231F20"/>
          <w:spacing w:val="40"/>
        </w:rPr>
        <w:t> </w:t>
      </w:r>
      <w:r>
        <w:rPr>
          <w:color w:val="231F20"/>
        </w:rPr>
        <w:t>might</w:t>
      </w:r>
      <w:r>
        <w:rPr>
          <w:color w:val="231F20"/>
          <w:spacing w:val="40"/>
        </w:rPr>
        <w:t> </w:t>
      </w:r>
      <w:r>
        <w:rPr>
          <w:color w:val="231F20"/>
        </w:rPr>
        <w:t>show</w:t>
      </w:r>
      <w:r>
        <w:rPr>
          <w:color w:val="231F20"/>
          <w:spacing w:val="40"/>
        </w:rPr>
        <w:t> </w:t>
      </w:r>
      <w:r>
        <w:rPr>
          <w:color w:val="231F20"/>
        </w:rPr>
        <w:t>as</w:t>
      </w:r>
    </w:p>
    <w:p>
      <w:pPr>
        <w:pStyle w:val="BodyText"/>
        <w:tabs>
          <w:tab w:pos="4388" w:val="left" w:leader="none"/>
        </w:tabs>
        <w:spacing w:line="213" w:lineRule="auto"/>
        <w:ind w:left="3190" w:right="185"/>
      </w:pPr>
      <w:r>
        <w:rPr>
          <w:rFonts w:ascii="Arial"/>
          <w:color w:val="231F20"/>
          <w:spacing w:val="-10"/>
        </w:rPr>
        <w:t>Z</w:t>
      </w:r>
      <w:r>
        <w:rPr>
          <w:rFonts w:ascii="Times New Roman"/>
          <w:color w:val="231F20"/>
          <w:u w:val="single" w:color="221E1F"/>
        </w:rPr>
        <w:tab/>
      </w:r>
      <w:r>
        <w:rPr>
          <w:rFonts w:ascii="Arial"/>
          <w:color w:val="231F20"/>
          <w:spacing w:val="-4"/>
          <w:u w:val="none"/>
        </w:rPr>
        <w:t>310A58ACAE95465A</w:t>
      </w:r>
      <w:r>
        <w:rPr>
          <w:color w:val="231F20"/>
          <w:spacing w:val="-4"/>
          <w:u w:val="none"/>
        </w:rPr>
        <w:t>.</w:t>
      </w:r>
      <w:r>
        <w:rPr>
          <w:color w:val="231F20"/>
          <w:spacing w:val="-6"/>
          <w:u w:val="none"/>
        </w:rPr>
        <w:t> </w:t>
      </w:r>
      <w:r>
        <w:rPr>
          <w:color w:val="231F20"/>
          <w:spacing w:val="-4"/>
          <w:u w:val="none"/>
        </w:rPr>
        <w:t>This</w:t>
      </w:r>
      <w:r>
        <w:rPr>
          <w:color w:val="231F20"/>
          <w:spacing w:val="-6"/>
          <w:u w:val="none"/>
        </w:rPr>
        <w:t> </w:t>
      </w:r>
      <w:r>
        <w:rPr>
          <w:color w:val="231F20"/>
          <w:spacing w:val="-4"/>
          <w:u w:val="none"/>
        </w:rPr>
        <w:t>does</w:t>
      </w:r>
      <w:r>
        <w:rPr>
          <w:color w:val="231F20"/>
          <w:spacing w:val="-6"/>
          <w:u w:val="none"/>
        </w:rPr>
        <w:t> </w:t>
      </w:r>
      <w:r>
        <w:rPr>
          <w:color w:val="231F20"/>
          <w:spacing w:val="-4"/>
          <w:u w:val="none"/>
        </w:rPr>
        <w:t>no</w:t>
      </w:r>
      <w:r>
        <w:rPr>
          <w:color w:val="231F20"/>
          <w:spacing w:val="-6"/>
          <w:u w:val="none"/>
        </w:rPr>
        <w:t> </w:t>
      </w:r>
      <w:r>
        <w:rPr>
          <w:color w:val="231F20"/>
          <w:spacing w:val="-4"/>
          <w:u w:val="none"/>
        </w:rPr>
        <w:t>harm</w:t>
      </w:r>
      <w:r>
        <w:rPr>
          <w:color w:val="231F20"/>
          <w:spacing w:val="-6"/>
          <w:u w:val="none"/>
        </w:rPr>
        <w:t> </w:t>
      </w:r>
      <w:r>
        <w:rPr>
          <w:color w:val="231F20"/>
          <w:spacing w:val="-4"/>
          <w:u w:val="none"/>
        </w:rPr>
        <w:t>and</w:t>
      </w:r>
      <w:r>
        <w:rPr>
          <w:color w:val="231F20"/>
          <w:spacing w:val="-6"/>
          <w:u w:val="none"/>
        </w:rPr>
        <w:t> </w:t>
      </w:r>
      <w:r>
        <w:rPr>
          <w:color w:val="231F20"/>
          <w:spacing w:val="-4"/>
          <w:u w:val="none"/>
        </w:rPr>
        <w:t>cannot</w:t>
      </w:r>
      <w:r>
        <w:rPr>
          <w:color w:val="231F20"/>
          <w:spacing w:val="-6"/>
          <w:u w:val="none"/>
        </w:rPr>
        <w:t> </w:t>
      </w:r>
      <w:r>
        <w:rPr>
          <w:color w:val="231F20"/>
          <w:spacing w:val="-4"/>
          <w:u w:val="none"/>
        </w:rPr>
        <w:t>be</w:t>
      </w:r>
      <w:r>
        <w:rPr>
          <w:color w:val="231F20"/>
          <w:spacing w:val="-6"/>
          <w:u w:val="none"/>
        </w:rPr>
        <w:t> </w:t>
      </w:r>
      <w:r>
        <w:rPr>
          <w:color w:val="231F20"/>
          <w:spacing w:val="-4"/>
          <w:u w:val="none"/>
        </w:rPr>
        <w:t>changed. </w:t>
      </w:r>
      <w:r>
        <w:rPr>
          <w:color w:val="231F20"/>
          <w:u w:val="none"/>
        </w:rPr>
        <w:t>The only way to change the short name is to create another situation from this</w:t>
      </w:r>
      <w:r>
        <w:rPr>
          <w:color w:val="231F20"/>
          <w:spacing w:val="28"/>
          <w:u w:val="none"/>
        </w:rPr>
        <w:t> </w:t>
      </w:r>
      <w:r>
        <w:rPr>
          <w:color w:val="231F20"/>
          <w:u w:val="none"/>
        </w:rPr>
        <w:t>one,</w:t>
      </w:r>
      <w:r>
        <w:rPr>
          <w:color w:val="231F20"/>
          <w:spacing w:val="28"/>
          <w:u w:val="none"/>
        </w:rPr>
        <w:t> </w:t>
      </w:r>
      <w:r>
        <w:rPr>
          <w:color w:val="231F20"/>
          <w:u w:val="none"/>
        </w:rPr>
        <w:t>give</w:t>
      </w:r>
      <w:r>
        <w:rPr>
          <w:color w:val="231F20"/>
          <w:spacing w:val="28"/>
          <w:u w:val="none"/>
        </w:rPr>
        <w:t> </w:t>
      </w:r>
      <w:r>
        <w:rPr>
          <w:color w:val="231F20"/>
          <w:u w:val="none"/>
        </w:rPr>
        <w:t>it</w:t>
      </w:r>
      <w:r>
        <w:rPr>
          <w:color w:val="231F20"/>
          <w:spacing w:val="28"/>
          <w:u w:val="none"/>
        </w:rPr>
        <w:t> </w:t>
      </w:r>
      <w:r>
        <w:rPr>
          <w:color w:val="231F20"/>
          <w:u w:val="none"/>
        </w:rPr>
        <w:t>a</w:t>
      </w:r>
      <w:r>
        <w:rPr>
          <w:color w:val="231F20"/>
          <w:spacing w:val="28"/>
          <w:u w:val="none"/>
        </w:rPr>
        <w:t> </w:t>
      </w:r>
      <w:r>
        <w:rPr>
          <w:color w:val="231F20"/>
          <w:u w:val="none"/>
        </w:rPr>
        <w:t>name</w:t>
      </w:r>
      <w:r>
        <w:rPr>
          <w:color w:val="231F20"/>
          <w:spacing w:val="28"/>
          <w:u w:val="none"/>
        </w:rPr>
        <w:t> </w:t>
      </w:r>
      <w:r>
        <w:rPr>
          <w:color w:val="231F20"/>
          <w:u w:val="none"/>
        </w:rPr>
        <w:t>with</w:t>
      </w:r>
      <w:r>
        <w:rPr>
          <w:color w:val="231F20"/>
          <w:spacing w:val="28"/>
          <w:u w:val="none"/>
        </w:rPr>
        <w:t> </w:t>
      </w:r>
      <w:r>
        <w:rPr>
          <w:color w:val="231F20"/>
          <w:u w:val="none"/>
        </w:rPr>
        <w:t>no</w:t>
      </w:r>
      <w:r>
        <w:rPr>
          <w:color w:val="231F20"/>
          <w:spacing w:val="28"/>
          <w:u w:val="none"/>
        </w:rPr>
        <w:t> </w:t>
      </w:r>
      <w:r>
        <w:rPr>
          <w:color w:val="231F20"/>
          <w:u w:val="none"/>
        </w:rPr>
        <w:t>special</w:t>
      </w:r>
      <w:r>
        <w:rPr>
          <w:color w:val="231F20"/>
          <w:spacing w:val="28"/>
          <w:u w:val="none"/>
        </w:rPr>
        <w:t> </w:t>
      </w:r>
      <w:r>
        <w:rPr>
          <w:color w:val="231F20"/>
          <w:u w:val="none"/>
        </w:rPr>
        <w:t>characters</w:t>
      </w:r>
      <w:r>
        <w:rPr>
          <w:color w:val="231F20"/>
          <w:spacing w:val="28"/>
          <w:u w:val="none"/>
        </w:rPr>
        <w:t> </w:t>
      </w:r>
      <w:r>
        <w:rPr>
          <w:color w:val="231F20"/>
          <w:u w:val="none"/>
        </w:rPr>
        <w:t>other</w:t>
      </w:r>
      <w:r>
        <w:rPr>
          <w:color w:val="231F20"/>
          <w:spacing w:val="28"/>
          <w:u w:val="none"/>
        </w:rPr>
        <w:t> </w:t>
      </w:r>
      <w:r>
        <w:rPr>
          <w:color w:val="231F20"/>
          <w:u w:val="none"/>
        </w:rPr>
        <w:t>than</w:t>
      </w:r>
      <w:r>
        <w:rPr>
          <w:color w:val="231F20"/>
          <w:spacing w:val="28"/>
          <w:u w:val="none"/>
        </w:rPr>
        <w:t> </w:t>
      </w:r>
      <w:r>
        <w:rPr>
          <w:color w:val="231F20"/>
          <w:u w:val="none"/>
        </w:rPr>
        <w:t>the underscore, and delete the original situation.</w:t>
      </w:r>
    </w:p>
    <w:p>
      <w:pPr>
        <w:pStyle w:val="Heading6"/>
        <w:spacing w:before="114"/>
      </w:pPr>
      <w:r>
        <w:rPr>
          <w:color w:val="231F20"/>
          <w:spacing w:val="-2"/>
        </w:rPr>
        <w:t>Description</w:t>
      </w:r>
    </w:p>
    <w:p>
      <w:pPr>
        <w:pStyle w:val="BodyText"/>
        <w:spacing w:line="213" w:lineRule="auto" w:before="11"/>
        <w:ind w:left="3190" w:right="385"/>
      </w:pPr>
      <w:r>
        <w:rPr>
          <w:color w:val="231F20"/>
        </w:rPr>
        <w:t>The description is displayed in the Manage Situations at Managed </w:t>
      </w:r>
      <w:r>
        <w:rPr>
          <w:color w:val="231F20"/>
        </w:rPr>
        <w:t>System window and when you select the situation for embedding in another situation. The description contain any UTF-8 characters and can be up to</w:t>
      </w:r>
      <w:r>
        <w:rPr>
          <w:color w:val="231F20"/>
          <w:spacing w:val="80"/>
        </w:rPr>
        <w:t> </w:t>
      </w:r>
      <w:r>
        <w:rPr>
          <w:color w:val="231F20"/>
        </w:rPr>
        <w:t>64 bytes long. The number of characters allowed varies depending on the characters used, because some UTF-8 characters require more than one </w:t>
      </w:r>
      <w:r>
        <w:rPr>
          <w:color w:val="231F20"/>
          <w:spacing w:val="-2"/>
        </w:rPr>
        <w:t>byte.</w:t>
      </w:r>
    </w:p>
    <w:p>
      <w:pPr>
        <w:pStyle w:val="Heading6"/>
        <w:spacing w:line="240" w:lineRule="auto" w:before="114"/>
      </w:pPr>
      <w:r>
        <w:rPr>
          <w:color w:val="231F20"/>
          <w:spacing w:val="-2"/>
        </w:rPr>
        <w:t>Formula</w:t>
      </w:r>
    </w:p>
    <w:p>
      <w:pPr>
        <w:pStyle w:val="BodyText"/>
        <w:spacing w:line="213" w:lineRule="auto" w:before="120"/>
        <w:ind w:left="3190" w:right="545"/>
      </w:pPr>
      <w:r>
        <w:rPr>
          <w:color w:val="231F20"/>
        </w:rPr>
        <w:t>This area shows the thresholds to be tested by the situation. Click a cell under a column to activate the editor and enable the formula bar.</w:t>
      </w:r>
    </w:p>
    <w:p>
      <w:pPr>
        <w:pStyle w:val="BodyText"/>
        <w:spacing w:before="95"/>
        <w:ind w:left="3190"/>
      </w:pPr>
      <w:r>
        <w:rPr>
          <w:position w:val="-1"/>
        </w:rPr>
        <w:drawing>
          <wp:inline distT="0" distB="0" distL="0" distR="0">
            <wp:extent cx="101600" cy="101600"/>
            <wp:effectExtent l="0" t="0" r="0" b="0"/>
            <wp:docPr id="2243" name="Image 2243"/>
            <wp:cNvGraphicFramePr>
              <a:graphicFrameLocks/>
            </wp:cNvGraphicFramePr>
            <a:graphic>
              <a:graphicData uri="http://schemas.openxmlformats.org/drawingml/2006/picture">
                <pic:pic>
                  <pic:nvPicPr>
                    <pic:cNvPr id="2243" name="Image 2243"/>
                    <pic:cNvPicPr/>
                  </pic:nvPicPr>
                  <pic:blipFill>
                    <a:blip r:embed="rId195"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71"/>
        </w:rPr>
        <w:t> </w:t>
      </w:r>
      <w:r>
        <w:rPr>
          <w:color w:val="231F20"/>
        </w:rPr>
        <w:t>Show</w:t>
      </w:r>
      <w:r>
        <w:rPr>
          <w:color w:val="231F20"/>
          <w:spacing w:val="19"/>
        </w:rPr>
        <w:t> </w:t>
      </w:r>
      <w:r>
        <w:rPr>
          <w:color w:val="231F20"/>
        </w:rPr>
        <w:t>Formula</w:t>
      </w:r>
      <w:r>
        <w:rPr>
          <w:color w:val="231F20"/>
          <w:spacing w:val="19"/>
        </w:rPr>
        <w:t> </w:t>
      </w:r>
      <w:r>
        <w:rPr>
          <w:color w:val="231F20"/>
        </w:rPr>
        <w:t>opens</w:t>
      </w:r>
      <w:r>
        <w:rPr>
          <w:color w:val="231F20"/>
          <w:spacing w:val="19"/>
        </w:rPr>
        <w:t> </w:t>
      </w:r>
      <w:r>
        <w:rPr>
          <w:color w:val="231F20"/>
        </w:rPr>
        <w:t>a</w:t>
      </w:r>
      <w:r>
        <w:rPr>
          <w:color w:val="231F20"/>
          <w:spacing w:val="19"/>
        </w:rPr>
        <w:t> </w:t>
      </w:r>
      <w:r>
        <w:rPr>
          <w:color w:val="231F20"/>
        </w:rPr>
        <w:t>graphical</w:t>
      </w:r>
      <w:r>
        <w:rPr>
          <w:color w:val="231F20"/>
          <w:spacing w:val="19"/>
        </w:rPr>
        <w:t> </w:t>
      </w:r>
      <w:r>
        <w:rPr>
          <w:color w:val="231F20"/>
        </w:rPr>
        <w:t>view</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formula.</w:t>
      </w:r>
    </w:p>
    <w:p>
      <w:pPr>
        <w:pStyle w:val="BodyText"/>
        <w:spacing w:line="213" w:lineRule="auto" w:before="112"/>
        <w:ind w:left="3190" w:right="545"/>
      </w:pPr>
      <w:r>
        <w:rPr>
          <w:color w:val="231F20"/>
        </w:rPr>
        <w:t>The active cell (and the formula bar) has three fields for building </w:t>
      </w:r>
      <w:r>
        <w:rPr>
          <w:color w:val="231F20"/>
        </w:rPr>
        <w:t>an expression</w:t>
      </w:r>
      <w:r>
        <w:rPr>
          <w:color w:val="231F20"/>
          <w:spacing w:val="16"/>
        </w:rPr>
        <w:t> </w:t>
      </w:r>
      <w:r>
        <w:rPr>
          <w:color w:val="231F20"/>
          <w:spacing w:val="16"/>
          <w:position w:val="-1"/>
        </w:rPr>
        <w:drawing>
          <wp:inline distT="0" distB="0" distL="0" distR="0">
            <wp:extent cx="558800" cy="101600"/>
            <wp:effectExtent l="0" t="0" r="0" b="0"/>
            <wp:docPr id="2244" name="Image 2244"/>
            <wp:cNvGraphicFramePr>
              <a:graphicFrameLocks/>
            </wp:cNvGraphicFramePr>
            <a:graphic>
              <a:graphicData uri="http://schemas.openxmlformats.org/drawingml/2006/picture">
                <pic:pic>
                  <pic:nvPicPr>
                    <pic:cNvPr id="2244" name="Image 2244"/>
                    <pic:cNvPicPr/>
                  </pic:nvPicPr>
                  <pic:blipFill>
                    <a:blip r:embed="rId194" cstate="print"/>
                    <a:stretch>
                      <a:fillRect/>
                    </a:stretch>
                  </pic:blipFill>
                  <pic:spPr>
                    <a:xfrm>
                      <a:off x="0" y="0"/>
                      <a:ext cx="558800" cy="101600"/>
                    </a:xfrm>
                    <a:prstGeom prst="rect">
                      <a:avLst/>
                    </a:prstGeom>
                  </pic:spPr>
                </pic:pic>
              </a:graphicData>
            </a:graphic>
          </wp:inline>
        </w:drawing>
      </w:r>
      <w:r>
        <w:rPr>
          <w:color w:val="231F20"/>
          <w:spacing w:val="16"/>
          <w:position w:val="-1"/>
        </w:rPr>
      </w:r>
      <w:r>
        <w:rPr>
          <w:rFonts w:ascii="Times New Roman"/>
          <w:color w:val="231F20"/>
          <w:spacing w:val="-1"/>
        </w:rPr>
        <w:t> </w:t>
      </w:r>
      <w:r>
        <w:rPr>
          <w:color w:val="231F20"/>
        </w:rPr>
        <w:t>:</w:t>
      </w:r>
    </w:p>
    <w:p>
      <w:pPr>
        <w:spacing w:after="0" w:line="213" w:lineRule="auto"/>
        <w:sectPr>
          <w:pgSz w:w="12240" w:h="15840"/>
          <w:pgMar w:header="0" w:footer="736" w:top="1180" w:bottom="920" w:left="1000" w:right="1060"/>
        </w:sectPr>
      </w:pPr>
    </w:p>
    <w:p>
      <w:pPr>
        <w:pStyle w:val="BodyText"/>
        <w:tabs>
          <w:tab w:pos="3233" w:val="left" w:leader="none"/>
        </w:tabs>
        <w:spacing w:line="213" w:lineRule="auto" w:before="85"/>
        <w:ind w:left="3167" w:right="545" w:hanging="216"/>
      </w:pPr>
      <w:r>
        <w:rPr>
          <w:rFonts w:ascii="Futura MdCn BT"/>
          <w:color w:val="231F20"/>
          <w:spacing w:val="-10"/>
        </w:rPr>
        <w:t>v</w:t>
      </w:r>
      <w:r>
        <w:rPr>
          <w:rFonts w:ascii="Futura MdCn BT"/>
          <w:color w:val="231F20"/>
        </w:rPr>
        <w:tab/>
        <w:tab/>
      </w:r>
      <w:r>
        <w:rPr>
          <w:rFonts w:ascii="Futura MdCn BT"/>
          <w:color w:val="231F20"/>
          <w:position w:val="-1"/>
        </w:rPr>
        <w:drawing>
          <wp:inline distT="0" distB="0" distL="0" distR="0">
            <wp:extent cx="152400" cy="101600"/>
            <wp:effectExtent l="0" t="0" r="0" b="0"/>
            <wp:docPr id="2245" name="Image 2245"/>
            <wp:cNvGraphicFramePr>
              <a:graphicFrameLocks/>
            </wp:cNvGraphicFramePr>
            <a:graphic>
              <a:graphicData uri="http://schemas.openxmlformats.org/drawingml/2006/picture">
                <pic:pic>
                  <pic:nvPicPr>
                    <pic:cNvPr id="2245" name="Image 2245"/>
                    <pic:cNvPicPr/>
                  </pic:nvPicPr>
                  <pic:blipFill>
                    <a:blip r:embed="rId191" cstate="print"/>
                    <a:stretch>
                      <a:fillRect/>
                    </a:stretch>
                  </pic:blipFill>
                  <pic:spPr>
                    <a:xfrm>
                      <a:off x="0" y="0"/>
                      <a:ext cx="152400" cy="101600"/>
                    </a:xfrm>
                    <a:prstGeom prst="rect">
                      <a:avLst/>
                    </a:prstGeom>
                  </pic:spPr>
                </pic:pic>
              </a:graphicData>
            </a:graphic>
          </wp:inline>
        </w:drawing>
      </w:r>
      <w:r>
        <w:rPr>
          <w:rFonts w:ascii="Futura MdCn BT"/>
          <w:color w:val="231F20"/>
          <w:position w:val="-1"/>
        </w:rPr>
      </w:r>
      <w:r>
        <w:rPr>
          <w:rFonts w:ascii="Times New Roman"/>
          <w:color w:val="231F20"/>
          <w:spacing w:val="40"/>
        </w:rPr>
        <w:t> </w:t>
      </w:r>
      <w:r>
        <w:rPr>
          <w:rFonts w:ascii="Book Antiqua"/>
          <w:b/>
          <w:color w:val="231F20"/>
        </w:rPr>
        <w:t>Function </w:t>
      </w:r>
      <w:r>
        <w:rPr>
          <w:color w:val="231F20"/>
        </w:rPr>
        <w:t>shows the type of function chosen for the attribute, which</w:t>
      </w:r>
      <w:r>
        <w:rPr>
          <w:color w:val="231F20"/>
          <w:spacing w:val="80"/>
        </w:rPr>
        <w:t> </w:t>
      </w:r>
      <w:r>
        <w:rPr>
          <w:color w:val="231F20"/>
        </w:rPr>
        <w:t>is set to </w:t>
      </w:r>
      <w:r>
        <w:rPr>
          <w:rFonts w:ascii="Book Antiqua"/>
          <w:b/>
          <w:color w:val="231F20"/>
        </w:rPr>
        <w:t>Value of expression </w:t>
      </w:r>
      <w:r>
        <w:rPr>
          <w:color w:val="231F20"/>
        </w:rPr>
        <w:t>by default unless you chose a situation condition (indicated by </w:t>
      </w:r>
      <w:r>
        <w:rPr>
          <w:color w:val="231F20"/>
          <w:spacing w:val="16"/>
          <w:position w:val="-1"/>
        </w:rPr>
        <w:drawing>
          <wp:inline distT="0" distB="0" distL="0" distR="0">
            <wp:extent cx="101600" cy="95250"/>
            <wp:effectExtent l="0" t="0" r="0" b="0"/>
            <wp:docPr id="2246" name="Image 2246"/>
            <wp:cNvGraphicFramePr>
              <a:graphicFrameLocks/>
            </wp:cNvGraphicFramePr>
            <a:graphic>
              <a:graphicData uri="http://schemas.openxmlformats.org/drawingml/2006/picture">
                <pic:pic>
                  <pic:nvPicPr>
                    <pic:cNvPr id="2246" name="Image 2246"/>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 Click the function to open and select from a list of possible functions.</w:t>
      </w:r>
    </w:p>
    <w:p>
      <w:pPr>
        <w:pStyle w:val="BodyText"/>
        <w:tabs>
          <w:tab w:pos="3233" w:val="left" w:leader="none"/>
        </w:tabs>
        <w:spacing w:line="213" w:lineRule="auto" w:before="57"/>
        <w:ind w:left="3167" w:right="473" w:hanging="216"/>
      </w:pPr>
      <w:r>
        <w:rPr>
          <w:rFonts w:ascii="Futura MdCn BT"/>
          <w:color w:val="231F20"/>
          <w:spacing w:val="-10"/>
        </w:rPr>
        <w:t>v</w:t>
      </w:r>
      <w:r>
        <w:rPr>
          <w:rFonts w:ascii="Futura MdCn BT"/>
          <w:color w:val="231F20"/>
        </w:rPr>
        <w:tab/>
        <w:tab/>
      </w:r>
      <w:r>
        <w:rPr>
          <w:rFonts w:ascii="Futura MdCn BT"/>
          <w:color w:val="231F20"/>
          <w:position w:val="-1"/>
        </w:rPr>
        <w:drawing>
          <wp:inline distT="0" distB="0" distL="0" distR="0">
            <wp:extent cx="146050" cy="95250"/>
            <wp:effectExtent l="0" t="0" r="0" b="0"/>
            <wp:docPr id="2247" name="Image 2247"/>
            <wp:cNvGraphicFramePr>
              <a:graphicFrameLocks/>
            </wp:cNvGraphicFramePr>
            <a:graphic>
              <a:graphicData uri="http://schemas.openxmlformats.org/drawingml/2006/picture">
                <pic:pic>
                  <pic:nvPicPr>
                    <pic:cNvPr id="2247" name="Image 2247"/>
                    <pic:cNvPicPr/>
                  </pic:nvPicPr>
                  <pic:blipFill>
                    <a:blip r:embed="rId381" cstate="print"/>
                    <a:stretch>
                      <a:fillRect/>
                    </a:stretch>
                  </pic:blipFill>
                  <pic:spPr>
                    <a:xfrm>
                      <a:off x="0" y="0"/>
                      <a:ext cx="146050" cy="95250"/>
                    </a:xfrm>
                    <a:prstGeom prst="rect">
                      <a:avLst/>
                    </a:prstGeom>
                  </pic:spPr>
                </pic:pic>
              </a:graphicData>
            </a:graphic>
          </wp:inline>
        </w:drawing>
      </w:r>
      <w:r>
        <w:rPr>
          <w:rFonts w:ascii="Futura MdCn BT"/>
          <w:color w:val="231F20"/>
          <w:position w:val="-1"/>
        </w:rPr>
      </w:r>
      <w:r>
        <w:rPr>
          <w:rFonts w:ascii="Times New Roman"/>
          <w:color w:val="231F20"/>
          <w:spacing w:val="40"/>
        </w:rPr>
        <w:t> </w:t>
      </w:r>
      <w:r>
        <w:rPr>
          <w:color w:val="231F20"/>
        </w:rPr>
        <w:t>Operator shows the relational operator. Click the operator button </w:t>
      </w:r>
      <w:r>
        <w:rPr>
          <w:color w:val="231F20"/>
        </w:rPr>
        <w:t>to</w:t>
      </w:r>
      <w:r>
        <w:rPr>
          <w:color w:val="231F20"/>
        </w:rPr>
        <w:t> open</w:t>
      </w:r>
      <w:r>
        <w:rPr>
          <w:color w:val="231F20"/>
          <w:spacing w:val="19"/>
        </w:rPr>
        <w:t> </w:t>
      </w:r>
      <w:r>
        <w:rPr>
          <w:color w:val="231F20"/>
        </w:rPr>
        <w:t>and</w:t>
      </w:r>
      <w:r>
        <w:rPr>
          <w:color w:val="231F20"/>
          <w:spacing w:val="19"/>
        </w:rPr>
        <w:t> </w:t>
      </w:r>
      <w:r>
        <w:rPr>
          <w:color w:val="231F20"/>
        </w:rPr>
        <w:t>select</w:t>
      </w:r>
      <w:r>
        <w:rPr>
          <w:color w:val="231F20"/>
          <w:spacing w:val="19"/>
        </w:rPr>
        <w:t> </w:t>
      </w:r>
      <w:r>
        <w:rPr>
          <w:color w:val="231F20"/>
        </w:rPr>
        <w:t>from</w:t>
      </w:r>
      <w:r>
        <w:rPr>
          <w:color w:val="231F20"/>
          <w:spacing w:val="19"/>
        </w:rPr>
        <w:t> </w:t>
      </w:r>
      <w:r>
        <w:rPr>
          <w:color w:val="231F20"/>
        </w:rPr>
        <w:t>a</w:t>
      </w:r>
      <w:r>
        <w:rPr>
          <w:color w:val="231F20"/>
          <w:spacing w:val="19"/>
        </w:rPr>
        <w:t> </w:t>
      </w:r>
      <w:r>
        <w:rPr>
          <w:color w:val="231F20"/>
        </w:rPr>
        <w:t>list</w:t>
      </w:r>
      <w:r>
        <w:rPr>
          <w:color w:val="231F20"/>
          <w:spacing w:val="19"/>
        </w:rPr>
        <w:t> </w:t>
      </w:r>
      <w:r>
        <w:rPr>
          <w:color w:val="231F20"/>
        </w:rPr>
        <w:t>of</w:t>
      </w:r>
      <w:r>
        <w:rPr>
          <w:color w:val="231F20"/>
          <w:spacing w:val="19"/>
        </w:rPr>
        <w:t> </w:t>
      </w:r>
      <w:r>
        <w:rPr>
          <w:color w:val="231F20"/>
        </w:rPr>
        <w:t>operators:</w:t>
      </w:r>
      <w:r>
        <w:rPr>
          <w:color w:val="231F20"/>
          <w:spacing w:val="19"/>
        </w:rPr>
        <w:t> </w:t>
      </w:r>
      <w:r>
        <w:rPr>
          <w:rFonts w:ascii="Book Antiqua"/>
          <w:b/>
          <w:color w:val="231F20"/>
        </w:rPr>
        <w:t>==</w:t>
      </w:r>
      <w:r>
        <w:rPr>
          <w:rFonts w:ascii="Book Antiqua"/>
          <w:b/>
          <w:color w:val="231F20"/>
          <w:spacing w:val="19"/>
        </w:rPr>
        <w:t> </w:t>
      </w:r>
      <w:r>
        <w:rPr>
          <w:color w:val="231F20"/>
        </w:rPr>
        <w:t>(equal</w:t>
      </w:r>
      <w:r>
        <w:rPr>
          <w:color w:val="231F20"/>
          <w:spacing w:val="19"/>
        </w:rPr>
        <w:t> </w:t>
      </w:r>
      <w:r>
        <w:rPr>
          <w:color w:val="231F20"/>
        </w:rPr>
        <w:t>to),</w:t>
      </w:r>
      <w:r>
        <w:rPr>
          <w:color w:val="231F20"/>
          <w:spacing w:val="19"/>
        </w:rPr>
        <w:t> </w:t>
      </w:r>
      <w:r>
        <w:rPr>
          <w:rFonts w:ascii="Book Antiqua"/>
          <w:b/>
          <w:color w:val="231F20"/>
        </w:rPr>
        <w:t>!=</w:t>
      </w:r>
      <w:r>
        <w:rPr>
          <w:rFonts w:ascii="Book Antiqua"/>
          <w:b/>
          <w:color w:val="231F20"/>
          <w:spacing w:val="19"/>
        </w:rPr>
        <w:t> </w:t>
      </w:r>
      <w:r>
        <w:rPr>
          <w:color w:val="231F20"/>
        </w:rPr>
        <w:t>(not</w:t>
      </w:r>
      <w:r>
        <w:rPr>
          <w:color w:val="231F20"/>
          <w:spacing w:val="19"/>
        </w:rPr>
        <w:t> </w:t>
      </w:r>
      <w:r>
        <w:rPr>
          <w:color w:val="231F20"/>
        </w:rPr>
        <w:t>equal</w:t>
      </w:r>
      <w:r>
        <w:rPr>
          <w:color w:val="231F20"/>
          <w:spacing w:val="19"/>
        </w:rPr>
        <w:t> </w:t>
      </w:r>
      <w:r>
        <w:rPr>
          <w:color w:val="231F20"/>
        </w:rPr>
        <w:t>to),</w:t>
      </w:r>
    </w:p>
    <w:p>
      <w:pPr>
        <w:pStyle w:val="BodyText"/>
        <w:spacing w:line="213" w:lineRule="auto"/>
        <w:ind w:left="3167" w:right="385"/>
      </w:pPr>
      <w:r>
        <w:rPr>
          <w:rFonts w:ascii="Book Antiqua"/>
          <w:b/>
          <w:color w:val="231F20"/>
        </w:rPr>
        <w:t>&gt; </w:t>
      </w:r>
      <w:r>
        <w:rPr>
          <w:color w:val="231F20"/>
        </w:rPr>
        <w:t>(greater than), </w:t>
      </w:r>
      <w:r>
        <w:rPr>
          <w:rFonts w:ascii="Book Antiqua"/>
          <w:b/>
          <w:color w:val="231F20"/>
        </w:rPr>
        <w:t>&gt;= </w:t>
      </w:r>
      <w:r>
        <w:rPr>
          <w:color w:val="231F20"/>
        </w:rPr>
        <w:t>(greater than or equal to), </w:t>
      </w:r>
      <w:r>
        <w:rPr>
          <w:rFonts w:ascii="Book Antiqua"/>
          <w:b/>
          <w:color w:val="231F20"/>
        </w:rPr>
        <w:t>&lt; </w:t>
      </w:r>
      <w:r>
        <w:rPr>
          <w:color w:val="231F20"/>
        </w:rPr>
        <w:t>(less than), and </w:t>
      </w:r>
      <w:r>
        <w:rPr>
          <w:rFonts w:ascii="Book Antiqua"/>
          <w:b/>
          <w:color w:val="231F20"/>
        </w:rPr>
        <w:t>&lt;= </w:t>
      </w:r>
      <w:r>
        <w:rPr>
          <w:color w:val="231F20"/>
        </w:rPr>
        <w:t>(less than or equal to). Note that some operators are not available for certain functions,</w:t>
      </w:r>
      <w:r>
        <w:rPr>
          <w:color w:val="231F20"/>
          <w:spacing w:val="16"/>
        </w:rPr>
        <w:t> </w:t>
      </w:r>
      <w:r>
        <w:rPr>
          <w:color w:val="231F20"/>
        </w:rPr>
        <w:t>such</w:t>
      </w:r>
      <w:r>
        <w:rPr>
          <w:color w:val="231F20"/>
          <w:spacing w:val="16"/>
        </w:rPr>
        <w:t> </w:t>
      </w:r>
      <w:r>
        <w:rPr>
          <w:color w:val="231F20"/>
        </w:rPr>
        <w:t>as</w:t>
      </w:r>
      <w:r>
        <w:rPr>
          <w:color w:val="231F20"/>
          <w:spacing w:val="16"/>
        </w:rPr>
        <w:t> </w:t>
      </w:r>
      <w:r>
        <w:rPr>
          <w:color w:val="231F20"/>
          <w:spacing w:val="16"/>
        </w:rPr>
        <w:drawing>
          <wp:inline distT="0" distB="0" distL="0" distR="0">
            <wp:extent cx="63500" cy="63500"/>
            <wp:effectExtent l="0" t="0" r="0" b="0"/>
            <wp:docPr id="2248" name="Image 2248"/>
            <wp:cNvGraphicFramePr>
              <a:graphicFrameLocks/>
            </wp:cNvGraphicFramePr>
            <a:graphic>
              <a:graphicData uri="http://schemas.openxmlformats.org/drawingml/2006/picture">
                <pic:pic>
                  <pic:nvPicPr>
                    <pic:cNvPr id="2248" name="Image 2248"/>
                    <pic:cNvPicPr/>
                  </pic:nvPicPr>
                  <pic:blipFill>
                    <a:blip r:embed="rId158" cstate="print"/>
                    <a:stretch>
                      <a:fillRect/>
                    </a:stretch>
                  </pic:blipFill>
                  <pic:spPr>
                    <a:xfrm>
                      <a:off x="0" y="0"/>
                      <a:ext cx="63500" cy="6350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Scan</w:t>
      </w:r>
      <w:r>
        <w:rPr>
          <w:rFonts w:ascii="Book Antiqua"/>
          <w:b/>
          <w:color w:val="231F20"/>
          <w:spacing w:val="16"/>
        </w:rPr>
        <w:t> </w:t>
      </w:r>
      <w:r>
        <w:rPr>
          <w:rFonts w:ascii="Book Antiqua"/>
          <w:b/>
          <w:color w:val="231F20"/>
        </w:rPr>
        <w:t>for</w:t>
      </w:r>
      <w:r>
        <w:rPr>
          <w:rFonts w:ascii="Book Antiqua"/>
          <w:b/>
          <w:color w:val="231F20"/>
          <w:spacing w:val="16"/>
        </w:rPr>
        <w:t> </w:t>
      </w:r>
      <w:r>
        <w:rPr>
          <w:rFonts w:ascii="Book Antiqua"/>
          <w:b/>
          <w:color w:val="231F20"/>
        </w:rPr>
        <w:t>string</w:t>
      </w:r>
      <w:r>
        <w:rPr>
          <w:rFonts w:ascii="Book Antiqua"/>
          <w:b/>
          <w:color w:val="231F20"/>
          <w:spacing w:val="16"/>
        </w:rPr>
        <w:t> </w:t>
      </w:r>
      <w:r>
        <w:rPr>
          <w:rFonts w:ascii="Book Antiqua"/>
          <w:b/>
          <w:color w:val="231F20"/>
        </w:rPr>
        <w:t>within</w:t>
      </w:r>
      <w:r>
        <w:rPr>
          <w:rFonts w:ascii="Book Antiqua"/>
          <w:b/>
          <w:color w:val="231F20"/>
          <w:spacing w:val="16"/>
        </w:rPr>
        <w:t> </w:t>
      </w:r>
      <w:r>
        <w:rPr>
          <w:rFonts w:ascii="Book Antiqua"/>
          <w:b/>
          <w:color w:val="231F20"/>
        </w:rPr>
        <w:t>a</w:t>
      </w:r>
      <w:r>
        <w:rPr>
          <w:rFonts w:ascii="Book Antiqua"/>
          <w:b/>
          <w:color w:val="231F20"/>
          <w:spacing w:val="16"/>
        </w:rPr>
        <w:t> </w:t>
      </w:r>
      <w:r>
        <w:rPr>
          <w:rFonts w:ascii="Book Antiqua"/>
          <w:b/>
          <w:color w:val="231F20"/>
        </w:rPr>
        <w:t>string</w:t>
      </w:r>
      <w:r>
        <w:rPr>
          <w:color w:val="231F20"/>
        </w:rPr>
        <w:t>,</w:t>
      </w:r>
      <w:r>
        <w:rPr>
          <w:color w:val="231F20"/>
          <w:spacing w:val="16"/>
        </w:rPr>
        <w:t> </w:t>
      </w:r>
      <w:r>
        <w:rPr>
          <w:color w:val="231F20"/>
        </w:rPr>
        <w:t>which</w:t>
      </w:r>
      <w:r>
        <w:rPr>
          <w:color w:val="231F20"/>
          <w:spacing w:val="16"/>
        </w:rPr>
        <w:t> </w:t>
      </w:r>
      <w:r>
        <w:rPr>
          <w:color w:val="231F20"/>
        </w:rPr>
        <w:t>is</w:t>
      </w:r>
      <w:r>
        <w:rPr>
          <w:color w:val="231F20"/>
          <w:spacing w:val="16"/>
        </w:rPr>
        <w:t> </w:t>
      </w:r>
      <w:r>
        <w:rPr>
          <w:color w:val="231F20"/>
        </w:rPr>
        <w:t>limited</w:t>
      </w:r>
      <w:r>
        <w:rPr>
          <w:color w:val="231F20"/>
          <w:spacing w:val="16"/>
        </w:rPr>
        <w:t> </w:t>
      </w:r>
      <w:r>
        <w:rPr>
          <w:color w:val="231F20"/>
        </w:rPr>
        <w:t>to</w:t>
      </w:r>
    </w:p>
    <w:p>
      <w:pPr>
        <w:pStyle w:val="BodyText"/>
        <w:spacing w:line="245" w:lineRule="exact"/>
        <w:ind w:left="3167"/>
      </w:pPr>
      <w:r>
        <w:rPr>
          <w:color w:val="231F20"/>
          <w:w w:val="110"/>
        </w:rPr>
        <w:t>==</w:t>
      </w:r>
      <w:r>
        <w:rPr>
          <w:color w:val="231F20"/>
          <w:spacing w:val="2"/>
          <w:w w:val="110"/>
        </w:rPr>
        <w:t> </w:t>
      </w:r>
      <w:r>
        <w:rPr>
          <w:color w:val="231F20"/>
          <w:w w:val="110"/>
        </w:rPr>
        <w:t>and</w:t>
      </w:r>
      <w:r>
        <w:rPr>
          <w:color w:val="231F20"/>
          <w:spacing w:val="2"/>
          <w:w w:val="110"/>
        </w:rPr>
        <w:t> </w:t>
      </w:r>
      <w:r>
        <w:rPr>
          <w:color w:val="231F20"/>
          <w:spacing w:val="-5"/>
          <w:w w:val="110"/>
        </w:rPr>
        <w:t>!=.</w:t>
      </w:r>
    </w:p>
    <w:p>
      <w:pPr>
        <w:pStyle w:val="BodyText"/>
        <w:tabs>
          <w:tab w:pos="3233" w:val="left" w:leader="none"/>
        </w:tabs>
        <w:spacing w:line="208" w:lineRule="auto" w:before="60"/>
        <w:ind w:left="3167" w:right="545" w:hanging="216"/>
      </w:pPr>
      <w:r>
        <w:rPr>
          <w:rFonts w:ascii="Futura MdCn BT"/>
          <w:color w:val="231F20"/>
          <w:spacing w:val="-10"/>
        </w:rPr>
        <w:t>v</w:t>
      </w:r>
      <w:r>
        <w:rPr>
          <w:rFonts w:ascii="Futura MdCn BT"/>
          <w:color w:val="231F20"/>
        </w:rPr>
        <w:tab/>
        <w:tab/>
      </w:r>
      <w:r>
        <w:rPr>
          <w:rFonts w:ascii="Futura MdCn BT"/>
          <w:color w:val="231F20"/>
        </w:rPr>
        <w:drawing>
          <wp:inline distT="0" distB="0" distL="0" distR="0">
            <wp:extent cx="158750" cy="82550"/>
            <wp:effectExtent l="0" t="0" r="0" b="0"/>
            <wp:docPr id="2249" name="Image 2249"/>
            <wp:cNvGraphicFramePr>
              <a:graphicFrameLocks/>
            </wp:cNvGraphicFramePr>
            <a:graphic>
              <a:graphicData uri="http://schemas.openxmlformats.org/drawingml/2006/picture">
                <pic:pic>
                  <pic:nvPicPr>
                    <pic:cNvPr id="2249" name="Image 2249"/>
                    <pic:cNvPicPr/>
                  </pic:nvPicPr>
                  <pic:blipFill>
                    <a:blip r:embed="rId192" cstate="print"/>
                    <a:stretch>
                      <a:fillRect/>
                    </a:stretch>
                  </pic:blipFill>
                  <pic:spPr>
                    <a:xfrm>
                      <a:off x="0" y="0"/>
                      <a:ext cx="158750" cy="82550"/>
                    </a:xfrm>
                    <a:prstGeom prst="rect">
                      <a:avLst/>
                    </a:prstGeom>
                  </pic:spPr>
                </pic:pic>
              </a:graphicData>
            </a:graphic>
          </wp:inline>
        </w:drawing>
      </w:r>
      <w:r>
        <w:rPr>
          <w:rFonts w:ascii="Futura MdCn BT"/>
          <w:color w:val="231F20"/>
        </w:rPr>
      </w:r>
      <w:r>
        <w:rPr>
          <w:rFonts w:ascii="Times New Roman"/>
          <w:color w:val="231F20"/>
          <w:spacing w:val="40"/>
        </w:rPr>
        <w:t> </w:t>
      </w:r>
      <w:r>
        <w:rPr>
          <w:color w:val="231F20"/>
        </w:rPr>
        <w:t>This field shows the value to be compared with the values </w:t>
      </w:r>
      <w:r>
        <w:rPr>
          <w:color w:val="231F20"/>
        </w:rPr>
        <w:t>arriving</w:t>
      </w:r>
      <w:r>
        <w:rPr>
          <w:color w:val="231F20"/>
        </w:rPr>
        <w:t> from the agent. Click inside the cell to add or change the value.</w:t>
      </w:r>
    </w:p>
    <w:p>
      <w:pPr>
        <w:pStyle w:val="BodyText"/>
        <w:spacing w:line="213" w:lineRule="auto" w:before="1"/>
        <w:ind w:left="3167" w:right="571"/>
        <w:jc w:val="both"/>
      </w:pPr>
      <w:r>
        <w:rPr>
          <w:color w:val="231F20"/>
        </w:rPr>
        <w:t>Attributes with enumerated values have a </w:t>
      </w:r>
      <w:r>
        <w:rPr>
          <w:color w:val="231F20"/>
          <w:spacing w:val="15"/>
          <w:position w:val="-1"/>
        </w:rPr>
        <w:drawing>
          <wp:inline distT="0" distB="0" distL="0" distR="0">
            <wp:extent cx="101600" cy="101600"/>
            <wp:effectExtent l="0" t="0" r="0" b="0"/>
            <wp:docPr id="2250" name="Image 2250"/>
            <wp:cNvGraphicFramePr>
              <a:graphicFrameLocks/>
            </wp:cNvGraphicFramePr>
            <a:graphic>
              <a:graphicData uri="http://schemas.openxmlformats.org/drawingml/2006/picture">
                <pic:pic>
                  <pic:nvPicPr>
                    <pic:cNvPr id="2250" name="Image 225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list button to click for the possible choices. Embedded situations show </w:t>
      </w:r>
      <w:r>
        <w:rPr>
          <w:rFonts w:ascii="Book Antiqua"/>
          <w:b/>
          <w:color w:val="231F20"/>
        </w:rPr>
        <w:t>True</w:t>
      </w:r>
      <w:r>
        <w:rPr>
          <w:color w:val="231F20"/>
        </w:rPr>
        <w:t>. Correlated </w:t>
      </w:r>
      <w:r>
        <w:rPr>
          <w:color w:val="231F20"/>
        </w:rPr>
        <w:t>situations show </w:t>
      </w:r>
      <w:r>
        <w:rPr>
          <w:rFonts w:ascii="Book Antiqua"/>
          <w:b/>
          <w:color w:val="231F20"/>
        </w:rPr>
        <w:t>True </w:t>
      </w:r>
      <w:r>
        <w:rPr>
          <w:color w:val="231F20"/>
        </w:rPr>
        <w:t>and </w:t>
      </w:r>
      <w:r>
        <w:rPr>
          <w:rFonts w:ascii="Book Antiqua"/>
          <w:b/>
          <w:color w:val="231F20"/>
        </w:rPr>
        <w:t>False </w:t>
      </w:r>
      <w:r>
        <w:rPr>
          <w:color w:val="231F20"/>
        </w:rPr>
        <w:t>choices.</w:t>
      </w:r>
    </w:p>
    <w:p>
      <w:pPr>
        <w:pStyle w:val="BodyText"/>
        <w:spacing w:line="213" w:lineRule="auto" w:before="237"/>
        <w:ind w:left="2951" w:right="763"/>
      </w:pPr>
      <w:r>
        <w:rPr>
          <w:rFonts w:ascii="Book Antiqua"/>
          <w:b/>
          <w:color w:val="231F20"/>
        </w:rPr>
        <w:t>Note:</w:t>
      </w:r>
      <w:r>
        <w:rPr>
          <w:rFonts w:ascii="Book Antiqua"/>
          <w:b/>
          <w:color w:val="231F20"/>
          <w:spacing w:val="40"/>
        </w:rPr>
        <w:t> </w:t>
      </w:r>
      <w:r>
        <w:rPr>
          <w:color w:val="231F20"/>
        </w:rPr>
        <w:t>The Situation editor performs syntax checking on each </w:t>
      </w:r>
      <w:r>
        <w:rPr>
          <w:color w:val="231F20"/>
        </w:rPr>
        <w:t>expression you enter. If you enter an improper value, such as </w:t>
      </w:r>
      <w:r>
        <w:rPr>
          <w:rFonts w:ascii="Arial"/>
          <w:color w:val="231F20"/>
        </w:rPr>
        <w:t>abc </w:t>
      </w:r>
      <w:r>
        <w:rPr>
          <w:color w:val="231F20"/>
        </w:rPr>
        <w:t>for Disk Size, the cell turns red and the situation will not be saved until you correct the </w:t>
      </w:r>
      <w:r>
        <w:rPr>
          <w:color w:val="231F20"/>
          <w:spacing w:val="-2"/>
        </w:rPr>
        <w:t>error.</w:t>
      </w:r>
    </w:p>
    <w:p>
      <w:pPr>
        <w:pStyle w:val="BodyText"/>
        <w:spacing w:line="213" w:lineRule="auto" w:before="117"/>
        <w:ind w:left="2951" w:right="493"/>
      </w:pPr>
      <w:r>
        <w:rPr>
          <w:rFonts w:ascii="Book Antiqua"/>
          <w:b/>
          <w:color w:val="231F20"/>
        </w:rPr>
        <w:t>Situation Formula Capacity </w:t>
      </w:r>
      <w:r>
        <w:rPr>
          <w:color w:val="231F20"/>
        </w:rPr>
        <w:t>reports what percentage of the </w:t>
      </w:r>
      <w:r>
        <w:rPr>
          <w:color w:val="231F20"/>
        </w:rPr>
        <w:t>maximum formula size has been consumed. Typically, one condition or column heading uses 10%.</w:t>
      </w:r>
    </w:p>
    <w:p>
      <w:pPr>
        <w:pStyle w:val="BodyText"/>
        <w:spacing w:line="213" w:lineRule="auto" w:before="118"/>
        <w:ind w:left="2951" w:right="493"/>
      </w:pPr>
      <w:r>
        <w:rPr>
          <w:rFonts w:ascii="Book Antiqua"/>
          <w:b/>
          <w:color w:val="231F20"/>
        </w:rPr>
        <w:t>Add conditions </w:t>
      </w:r>
      <w:r>
        <w:rPr>
          <w:color w:val="231F20"/>
        </w:rPr>
        <w:t>opens a window for choosing an attribute to add to the situation. When you create a situation with a single-row attribute group,</w:t>
      </w:r>
      <w:r>
        <w:rPr>
          <w:color w:val="231F20"/>
          <w:spacing w:val="80"/>
        </w:rPr>
        <w:t> </w:t>
      </w:r>
      <w:r>
        <w:rPr>
          <w:color w:val="231F20"/>
        </w:rPr>
        <w:t>you</w:t>
      </w:r>
      <w:r>
        <w:rPr>
          <w:color w:val="231F20"/>
          <w:spacing w:val="27"/>
        </w:rPr>
        <w:t> </w:t>
      </w:r>
      <w:r>
        <w:rPr>
          <w:color w:val="231F20"/>
        </w:rPr>
        <w:t>can</w:t>
      </w:r>
      <w:r>
        <w:rPr>
          <w:color w:val="231F20"/>
          <w:spacing w:val="27"/>
        </w:rPr>
        <w:t> </w:t>
      </w:r>
      <w:r>
        <w:rPr>
          <w:color w:val="231F20"/>
        </w:rPr>
        <w:t>also</w:t>
      </w:r>
      <w:r>
        <w:rPr>
          <w:color w:val="231F20"/>
          <w:spacing w:val="27"/>
        </w:rPr>
        <w:t> </w:t>
      </w:r>
      <w:r>
        <w:rPr>
          <w:color w:val="231F20"/>
        </w:rPr>
        <w:t>add</w:t>
      </w:r>
      <w:r>
        <w:rPr>
          <w:color w:val="231F20"/>
          <w:spacing w:val="27"/>
        </w:rPr>
        <w:t> </w:t>
      </w:r>
      <w:r>
        <w:rPr>
          <w:color w:val="231F20"/>
        </w:rPr>
        <w:t>attributes</w:t>
      </w:r>
      <w:r>
        <w:rPr>
          <w:color w:val="231F20"/>
          <w:spacing w:val="27"/>
        </w:rPr>
        <w:t> </w:t>
      </w:r>
      <w:r>
        <w:rPr>
          <w:color w:val="231F20"/>
        </w:rPr>
        <w:t>from</w:t>
      </w:r>
      <w:r>
        <w:rPr>
          <w:color w:val="231F20"/>
          <w:spacing w:val="27"/>
        </w:rPr>
        <w:t> </w:t>
      </w:r>
      <w:r>
        <w:rPr>
          <w:color w:val="231F20"/>
        </w:rPr>
        <w:t>one</w:t>
      </w:r>
      <w:r>
        <w:rPr>
          <w:color w:val="231F20"/>
          <w:spacing w:val="27"/>
        </w:rPr>
        <w:t> </w:t>
      </w:r>
      <w:r>
        <w:rPr>
          <w:color w:val="231F20"/>
        </w:rPr>
        <w:t>multi-row</w:t>
      </w:r>
      <w:r>
        <w:rPr>
          <w:color w:val="231F20"/>
          <w:spacing w:val="27"/>
        </w:rPr>
        <w:t> </w:t>
      </w:r>
      <w:r>
        <w:rPr>
          <w:color w:val="231F20"/>
        </w:rPr>
        <w:t>attribute</w:t>
      </w:r>
      <w:r>
        <w:rPr>
          <w:color w:val="231F20"/>
          <w:spacing w:val="27"/>
        </w:rPr>
        <w:t> </w:t>
      </w:r>
      <w:r>
        <w:rPr>
          <w:color w:val="231F20"/>
        </w:rPr>
        <w:t>group</w:t>
      </w:r>
      <w:r>
        <w:rPr>
          <w:color w:val="231F20"/>
          <w:spacing w:val="27"/>
        </w:rPr>
        <w:t> </w:t>
      </w:r>
      <w:r>
        <w:rPr>
          <w:color w:val="231F20"/>
        </w:rPr>
        <w:t>or</w:t>
      </w:r>
      <w:r>
        <w:rPr>
          <w:color w:val="231F20"/>
          <w:spacing w:val="27"/>
        </w:rPr>
        <w:t> </w:t>
      </w:r>
      <w:r>
        <w:rPr>
          <w:color w:val="231F20"/>
        </w:rPr>
        <w:t>from any number of other single-row groups belonging to this monitoring </w:t>
      </w:r>
      <w:r>
        <w:rPr>
          <w:color w:val="231F20"/>
        </w:rPr>
        <w:t>agent. For complex expressions, such as when you need to repeat an attribute</w:t>
      </w:r>
      <w:r>
        <w:rPr>
          <w:color w:val="231F20"/>
          <w:spacing w:val="40"/>
        </w:rPr>
        <w:t> </w:t>
      </w:r>
      <w:r>
        <w:rPr>
          <w:color w:val="231F20"/>
        </w:rPr>
        <w:t>name,</w:t>
      </w:r>
      <w:r>
        <w:rPr>
          <w:color w:val="231F20"/>
          <w:spacing w:val="28"/>
        </w:rPr>
        <w:t> </w:t>
      </w:r>
      <w:r>
        <w:rPr>
          <w:color w:val="231F20"/>
        </w:rPr>
        <w:t>you</w:t>
      </w:r>
      <w:r>
        <w:rPr>
          <w:color w:val="231F20"/>
          <w:spacing w:val="28"/>
        </w:rPr>
        <w:t> </w:t>
      </w:r>
      <w:r>
        <w:rPr>
          <w:color w:val="231F20"/>
        </w:rPr>
        <w:t>can</w:t>
      </w:r>
      <w:r>
        <w:rPr>
          <w:color w:val="231F20"/>
          <w:spacing w:val="28"/>
        </w:rPr>
        <w:t> </w:t>
      </w:r>
      <w:r>
        <w:rPr>
          <w:color w:val="231F20"/>
        </w:rPr>
        <w:t>double-click</w:t>
      </w:r>
      <w:r>
        <w:rPr>
          <w:color w:val="231F20"/>
          <w:spacing w:val="28"/>
        </w:rPr>
        <w:t> </w:t>
      </w:r>
      <w:r>
        <w:rPr>
          <w:color w:val="231F20"/>
        </w:rPr>
        <w:t>the</w:t>
      </w:r>
      <w:r>
        <w:rPr>
          <w:color w:val="231F20"/>
          <w:spacing w:val="28"/>
        </w:rPr>
        <w:t> </w:t>
      </w:r>
      <w:r>
        <w:rPr>
          <w:color w:val="231F20"/>
        </w:rPr>
        <w:t>value</w:t>
      </w:r>
      <w:r>
        <w:rPr>
          <w:color w:val="231F20"/>
          <w:spacing w:val="28"/>
        </w:rPr>
        <w:t> </w:t>
      </w:r>
      <w:r>
        <w:rPr>
          <w:color w:val="231F20"/>
        </w:rPr>
        <w:t>text</w:t>
      </w:r>
      <w:r>
        <w:rPr>
          <w:color w:val="231F20"/>
          <w:spacing w:val="28"/>
        </w:rPr>
        <w:t> </w:t>
      </w:r>
      <w:r>
        <w:rPr>
          <w:color w:val="231F20"/>
        </w:rPr>
        <w:t>box</w:t>
      </w:r>
      <w:r>
        <w:rPr>
          <w:color w:val="231F20"/>
          <w:spacing w:val="28"/>
        </w:rPr>
        <w:t> </w:t>
      </w:r>
      <w:r>
        <w:rPr>
          <w:color w:val="231F20"/>
        </w:rPr>
        <w:t>to</w:t>
      </w:r>
      <w:r>
        <w:rPr>
          <w:color w:val="231F20"/>
          <w:spacing w:val="28"/>
        </w:rPr>
        <w:t> </w:t>
      </w:r>
      <w:r>
        <w:rPr>
          <w:color w:val="231F20"/>
        </w:rPr>
        <w:t>see</w:t>
      </w:r>
      <w:r>
        <w:rPr>
          <w:color w:val="231F20"/>
          <w:spacing w:val="28"/>
        </w:rPr>
        <w:t> </w:t>
      </w:r>
      <w:r>
        <w:rPr>
          <w:color w:val="231F20"/>
        </w:rPr>
        <w:t>and</w:t>
      </w:r>
      <w:r>
        <w:rPr>
          <w:color w:val="231F20"/>
          <w:spacing w:val="28"/>
        </w:rPr>
        <w:t> </w:t>
      </w:r>
      <w:r>
        <w:rPr>
          <w:color w:val="231F20"/>
        </w:rPr>
        <w:t>select</w:t>
      </w:r>
      <w:r>
        <w:rPr>
          <w:color w:val="231F20"/>
          <w:spacing w:val="28"/>
        </w:rPr>
        <w:t> </w:t>
      </w:r>
      <w:r>
        <w:rPr>
          <w:color w:val="231F20"/>
        </w:rPr>
        <w:t>an available attribute from the Select Condition window.</w:t>
      </w:r>
    </w:p>
    <w:p>
      <w:pPr>
        <w:pStyle w:val="BodyText"/>
        <w:spacing w:line="213" w:lineRule="auto" w:before="115"/>
        <w:ind w:left="2951" w:right="545"/>
      </w:pPr>
      <w:r>
        <w:rPr>
          <w:rFonts w:ascii="Book Antiqua"/>
          <w:b/>
          <w:color w:val="231F20"/>
        </w:rPr>
        <w:t>Advanced </w:t>
      </w:r>
      <w:r>
        <w:rPr>
          <w:color w:val="231F20"/>
        </w:rPr>
        <w:t>opens a window with two options: </w:t>
      </w:r>
      <w:r>
        <w:rPr>
          <w:rFonts w:ascii="Book Antiqua"/>
          <w:b/>
          <w:color w:val="231F20"/>
        </w:rPr>
        <w:t>Situation Persistence </w:t>
      </w:r>
      <w:r>
        <w:rPr>
          <w:color w:val="231F20"/>
        </w:rPr>
        <w:t>to set the number of times the situation remains true before an event is opened; and</w:t>
      </w:r>
      <w:r>
        <w:rPr>
          <w:color w:val="231F20"/>
          <w:spacing w:val="29"/>
        </w:rPr>
        <w:t> </w:t>
      </w:r>
      <w:r>
        <w:rPr>
          <w:rFonts w:ascii="Book Antiqua"/>
          <w:b/>
          <w:color w:val="231F20"/>
        </w:rPr>
        <w:t>Display</w:t>
      </w:r>
      <w:r>
        <w:rPr>
          <w:rFonts w:ascii="Book Antiqua"/>
          <w:b/>
          <w:color w:val="231F20"/>
          <w:spacing w:val="29"/>
        </w:rPr>
        <w:t> </w:t>
      </w:r>
      <w:r>
        <w:rPr>
          <w:rFonts w:ascii="Book Antiqua"/>
          <w:b/>
          <w:color w:val="231F20"/>
        </w:rPr>
        <w:t>Item,</w:t>
      </w:r>
      <w:r>
        <w:rPr>
          <w:rFonts w:ascii="Book Antiqua"/>
          <w:b/>
          <w:color w:val="231F20"/>
          <w:spacing w:val="29"/>
        </w:rPr>
        <w:t> </w:t>
      </w:r>
      <w:r>
        <w:rPr>
          <w:color w:val="231F20"/>
        </w:rPr>
        <w:t>for</w:t>
      </w:r>
      <w:r>
        <w:rPr>
          <w:color w:val="231F20"/>
          <w:spacing w:val="29"/>
        </w:rPr>
        <w:t> </w:t>
      </w:r>
      <w:r>
        <w:rPr>
          <w:color w:val="231F20"/>
        </w:rPr>
        <w:t>multiple</w:t>
      </w:r>
      <w:r>
        <w:rPr>
          <w:color w:val="231F20"/>
          <w:spacing w:val="29"/>
        </w:rPr>
        <w:t> </w:t>
      </w:r>
      <w:r>
        <w:rPr>
          <w:color w:val="231F20"/>
        </w:rPr>
        <w:t>row</w:t>
      </w:r>
      <w:r>
        <w:rPr>
          <w:color w:val="231F20"/>
          <w:spacing w:val="29"/>
        </w:rPr>
        <w:t> </w:t>
      </w:r>
      <w:r>
        <w:rPr>
          <w:color w:val="231F20"/>
        </w:rPr>
        <w:t>attribute</w:t>
      </w:r>
      <w:r>
        <w:rPr>
          <w:color w:val="231F20"/>
          <w:spacing w:val="29"/>
        </w:rPr>
        <w:t> </w:t>
      </w:r>
      <w:r>
        <w:rPr>
          <w:color w:val="231F20"/>
        </w:rPr>
        <w:t>groups,</w:t>
      </w:r>
      <w:r>
        <w:rPr>
          <w:color w:val="231F20"/>
          <w:spacing w:val="29"/>
        </w:rPr>
        <w:t> </w:t>
      </w:r>
      <w:r>
        <w:rPr>
          <w:color w:val="231F20"/>
        </w:rPr>
        <w:t>to</w:t>
      </w:r>
      <w:r>
        <w:rPr>
          <w:color w:val="231F20"/>
          <w:spacing w:val="29"/>
        </w:rPr>
        <w:t> </w:t>
      </w:r>
      <w:r>
        <w:rPr>
          <w:color w:val="231F20"/>
        </w:rPr>
        <w:t>enable</w:t>
      </w:r>
      <w:r>
        <w:rPr>
          <w:color w:val="231F20"/>
          <w:spacing w:val="29"/>
        </w:rPr>
        <w:t> </w:t>
      </w:r>
      <w:r>
        <w:rPr>
          <w:color w:val="231F20"/>
        </w:rPr>
        <w:t>the situation to continue to test all rows in the data sampling and open </w:t>
      </w:r>
      <w:r>
        <w:rPr>
          <w:color w:val="231F20"/>
        </w:rPr>
        <w:t>events.</w:t>
      </w:r>
    </w:p>
    <w:p>
      <w:pPr>
        <w:pStyle w:val="BodyText"/>
        <w:spacing w:line="213" w:lineRule="auto" w:before="117"/>
        <w:ind w:left="2951" w:right="636"/>
      </w:pPr>
      <w:r>
        <w:rPr>
          <w:color w:val="231F20"/>
        </w:rPr>
        <w:t>Keep multiple expressions in the same row if they must all be met</w:t>
      </w:r>
      <w:r>
        <w:rPr>
          <w:color w:val="231F20"/>
          <w:spacing w:val="80"/>
        </w:rPr>
        <w:t> </w:t>
      </w:r>
      <w:r>
        <w:rPr>
          <w:color w:val="231F20"/>
        </w:rPr>
        <w:t>(Boolean AND logic) and on separate rows if any of them can be met (Boolean OR logic) to set the situation to true. For example, if you want a situation to fire when either disk time OR disk space used is at least </w:t>
      </w:r>
      <w:r>
        <w:rPr>
          <w:color w:val="231F20"/>
        </w:rPr>
        <w:t>90%, the formula would look like the one shown here.</w:t>
      </w:r>
    </w:p>
    <w:p>
      <w:pPr>
        <w:pStyle w:val="BodyText"/>
        <w:spacing w:before="6"/>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00"/>
        <w:gridCol w:w="2216"/>
        <w:gridCol w:w="2144"/>
        <w:gridCol w:w="2274"/>
      </w:tblGrid>
      <w:tr>
        <w:trPr>
          <w:trHeight w:val="274" w:hRule="atLeast"/>
        </w:trPr>
        <w:tc>
          <w:tcPr>
            <w:tcW w:w="900" w:type="dxa"/>
          </w:tcPr>
          <w:p>
            <w:pPr>
              <w:pStyle w:val="TableParagraph"/>
              <w:spacing w:before="0"/>
              <w:ind w:left="0"/>
              <w:rPr>
                <w:rFonts w:ascii="Times New Roman"/>
                <w:sz w:val="18"/>
              </w:rPr>
            </w:pPr>
          </w:p>
        </w:tc>
        <w:tc>
          <w:tcPr>
            <w:tcW w:w="2216" w:type="dxa"/>
          </w:tcPr>
          <w:p>
            <w:pPr>
              <w:pStyle w:val="TableParagraph"/>
              <w:spacing w:before="10"/>
              <w:ind w:left="0" w:right="47"/>
              <w:jc w:val="right"/>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Disk</w:t>
            </w:r>
            <w:r>
              <w:rPr>
                <w:rFonts w:ascii="Book Antiqua"/>
                <w:b/>
                <w:color w:val="231F20"/>
                <w:spacing w:val="11"/>
                <w:sz w:val="18"/>
              </w:rPr>
              <w:t> </w:t>
            </w:r>
            <w:r>
              <w:rPr>
                <w:rFonts w:ascii="Book Antiqua"/>
                <w:b/>
                <w:color w:val="231F20"/>
                <w:spacing w:val="-4"/>
                <w:sz w:val="18"/>
              </w:rPr>
              <w:t>Time</w:t>
            </w:r>
          </w:p>
        </w:tc>
        <w:tc>
          <w:tcPr>
            <w:tcW w:w="2144" w:type="dxa"/>
          </w:tcPr>
          <w:p>
            <w:pPr>
              <w:pStyle w:val="TableParagraph"/>
              <w:spacing w:before="10"/>
              <w:ind w:left="0" w:right="47"/>
              <w:jc w:val="right"/>
              <w:rPr>
                <w:rFonts w:ascii="Book Antiqua"/>
                <w:b/>
                <w:sz w:val="18"/>
              </w:rPr>
            </w:pPr>
            <w:r>
              <w:rPr>
                <w:rFonts w:ascii="Book Antiqua"/>
                <w:b/>
                <w:color w:val="231F20"/>
                <w:sz w:val="18"/>
              </w:rPr>
              <w:t>%</w:t>
            </w:r>
            <w:r>
              <w:rPr>
                <w:rFonts w:ascii="Book Antiqua"/>
                <w:b/>
                <w:color w:val="231F20"/>
                <w:spacing w:val="12"/>
                <w:sz w:val="18"/>
              </w:rPr>
              <w:t> </w:t>
            </w:r>
            <w:r>
              <w:rPr>
                <w:rFonts w:ascii="Book Antiqua"/>
                <w:b/>
                <w:color w:val="231F20"/>
                <w:spacing w:val="-4"/>
                <w:sz w:val="18"/>
              </w:rPr>
              <w:t>Used</w:t>
            </w:r>
          </w:p>
        </w:tc>
        <w:tc>
          <w:tcPr>
            <w:tcW w:w="2274" w:type="dxa"/>
          </w:tcPr>
          <w:p>
            <w:pPr>
              <w:pStyle w:val="TableParagraph"/>
              <w:spacing w:before="10"/>
              <w:ind w:left="0" w:right="33"/>
              <w:jc w:val="right"/>
              <w:rPr>
                <w:rFonts w:ascii="Book Antiqua"/>
                <w:b/>
                <w:sz w:val="18"/>
              </w:rPr>
            </w:pPr>
            <w:r>
              <w:rPr>
                <w:rFonts w:ascii="Book Antiqua"/>
                <w:b/>
                <w:color w:val="231F20"/>
                <w:sz w:val="18"/>
              </w:rPr>
              <w:t>Server</w:t>
            </w:r>
            <w:r>
              <w:rPr>
                <w:rFonts w:ascii="Book Antiqua"/>
                <w:b/>
                <w:color w:val="231F20"/>
                <w:spacing w:val="8"/>
                <w:sz w:val="18"/>
              </w:rPr>
              <w:t> </w:t>
            </w:r>
            <w:r>
              <w:rPr>
                <w:rFonts w:ascii="Book Antiqua"/>
                <w:b/>
                <w:color w:val="231F20"/>
                <w:spacing w:val="-4"/>
                <w:sz w:val="18"/>
              </w:rPr>
              <w:t>Name</w:t>
            </w:r>
          </w:p>
        </w:tc>
      </w:tr>
      <w:tr>
        <w:trPr>
          <w:trHeight w:val="309" w:hRule="atLeast"/>
        </w:trPr>
        <w:tc>
          <w:tcPr>
            <w:tcW w:w="900" w:type="dxa"/>
          </w:tcPr>
          <w:p>
            <w:pPr>
              <w:pStyle w:val="TableParagraph"/>
              <w:ind w:left="0" w:right="47"/>
              <w:jc w:val="right"/>
              <w:rPr>
                <w:sz w:val="18"/>
              </w:rPr>
            </w:pPr>
            <w:r>
              <w:rPr>
                <w:color w:val="231F20"/>
                <w:spacing w:val="-5"/>
                <w:sz w:val="18"/>
              </w:rPr>
              <w:t>AND</w:t>
            </w:r>
          </w:p>
        </w:tc>
        <w:tc>
          <w:tcPr>
            <w:tcW w:w="2216" w:type="dxa"/>
          </w:tcPr>
          <w:p>
            <w:pPr>
              <w:pStyle w:val="TableParagraph"/>
              <w:ind w:left="0" w:right="47"/>
              <w:jc w:val="right"/>
              <w:rPr>
                <w:sz w:val="18"/>
              </w:rPr>
            </w:pPr>
            <w:r>
              <w:rPr>
                <w:color w:val="231F20"/>
                <w:w w:val="110"/>
                <w:sz w:val="18"/>
              </w:rPr>
              <w:t>&gt;=</w:t>
            </w:r>
            <w:r>
              <w:rPr>
                <w:color w:val="231F20"/>
                <w:spacing w:val="27"/>
                <w:w w:val="110"/>
                <w:sz w:val="18"/>
              </w:rPr>
              <w:t> </w:t>
            </w:r>
            <w:r>
              <w:rPr>
                <w:color w:val="231F20"/>
                <w:spacing w:val="-5"/>
                <w:w w:val="110"/>
                <w:sz w:val="18"/>
              </w:rPr>
              <w:t>90</w:t>
            </w:r>
          </w:p>
        </w:tc>
        <w:tc>
          <w:tcPr>
            <w:tcW w:w="2144" w:type="dxa"/>
          </w:tcPr>
          <w:p>
            <w:pPr>
              <w:pStyle w:val="TableParagraph"/>
              <w:spacing w:before="0"/>
              <w:ind w:left="0"/>
              <w:rPr>
                <w:rFonts w:ascii="Times New Roman"/>
                <w:sz w:val="18"/>
              </w:rPr>
            </w:pPr>
          </w:p>
        </w:tc>
        <w:tc>
          <w:tcPr>
            <w:tcW w:w="2274" w:type="dxa"/>
          </w:tcPr>
          <w:p>
            <w:pPr>
              <w:pStyle w:val="TableParagraph"/>
              <w:ind w:left="0" w:right="33"/>
              <w:jc w:val="right"/>
              <w:rPr>
                <w:sz w:val="18"/>
              </w:rPr>
            </w:pPr>
            <w:r>
              <w:rPr>
                <w:color w:val="231F20"/>
                <w:w w:val="105"/>
                <w:sz w:val="18"/>
              </w:rPr>
              <w:t>==</w:t>
            </w:r>
            <w:r>
              <w:rPr>
                <w:color w:val="231F20"/>
                <w:spacing w:val="38"/>
                <w:w w:val="105"/>
                <w:sz w:val="18"/>
              </w:rPr>
              <w:t> </w:t>
            </w:r>
            <w:r>
              <w:rPr>
                <w:color w:val="231F20"/>
                <w:spacing w:val="-2"/>
                <w:w w:val="105"/>
                <w:sz w:val="18"/>
              </w:rPr>
              <w:t>'myserver'</w:t>
            </w:r>
          </w:p>
        </w:tc>
      </w:tr>
      <w:tr>
        <w:trPr>
          <w:trHeight w:val="314" w:hRule="atLeast"/>
        </w:trPr>
        <w:tc>
          <w:tcPr>
            <w:tcW w:w="900" w:type="dxa"/>
          </w:tcPr>
          <w:p>
            <w:pPr>
              <w:pStyle w:val="TableParagraph"/>
              <w:ind w:left="0" w:right="47"/>
              <w:jc w:val="right"/>
              <w:rPr>
                <w:sz w:val="18"/>
              </w:rPr>
            </w:pPr>
            <w:r>
              <w:rPr>
                <w:color w:val="231F20"/>
                <w:spacing w:val="-5"/>
                <w:sz w:val="18"/>
              </w:rPr>
              <w:t>OR</w:t>
            </w:r>
          </w:p>
        </w:tc>
        <w:tc>
          <w:tcPr>
            <w:tcW w:w="2216" w:type="dxa"/>
          </w:tcPr>
          <w:p>
            <w:pPr>
              <w:pStyle w:val="TableParagraph"/>
              <w:spacing w:before="0"/>
              <w:ind w:left="0"/>
              <w:rPr>
                <w:rFonts w:ascii="Times New Roman"/>
                <w:sz w:val="18"/>
              </w:rPr>
            </w:pPr>
          </w:p>
        </w:tc>
        <w:tc>
          <w:tcPr>
            <w:tcW w:w="2144" w:type="dxa"/>
          </w:tcPr>
          <w:p>
            <w:pPr>
              <w:pStyle w:val="TableParagraph"/>
              <w:ind w:left="0" w:right="47"/>
              <w:jc w:val="right"/>
              <w:rPr>
                <w:sz w:val="18"/>
              </w:rPr>
            </w:pPr>
            <w:r>
              <w:rPr>
                <w:color w:val="231F20"/>
                <w:w w:val="110"/>
                <w:sz w:val="18"/>
              </w:rPr>
              <w:t>&gt;=</w:t>
            </w:r>
            <w:r>
              <w:rPr>
                <w:color w:val="231F20"/>
                <w:spacing w:val="27"/>
                <w:w w:val="110"/>
                <w:sz w:val="18"/>
              </w:rPr>
              <w:t> </w:t>
            </w:r>
            <w:r>
              <w:rPr>
                <w:color w:val="231F20"/>
                <w:spacing w:val="-5"/>
                <w:w w:val="110"/>
                <w:sz w:val="18"/>
              </w:rPr>
              <w:t>90</w:t>
            </w:r>
          </w:p>
        </w:tc>
        <w:tc>
          <w:tcPr>
            <w:tcW w:w="2274" w:type="dxa"/>
          </w:tcPr>
          <w:p>
            <w:pPr>
              <w:pStyle w:val="TableParagraph"/>
              <w:ind w:left="0" w:right="33"/>
              <w:jc w:val="right"/>
              <w:rPr>
                <w:sz w:val="18"/>
              </w:rPr>
            </w:pPr>
            <w:r>
              <w:rPr>
                <w:color w:val="231F20"/>
                <w:w w:val="105"/>
                <w:sz w:val="18"/>
              </w:rPr>
              <w:t>==</w:t>
            </w:r>
            <w:r>
              <w:rPr>
                <w:color w:val="231F20"/>
                <w:spacing w:val="38"/>
                <w:w w:val="105"/>
                <w:sz w:val="18"/>
              </w:rPr>
              <w:t> </w:t>
            </w:r>
            <w:r>
              <w:rPr>
                <w:color w:val="231F20"/>
                <w:spacing w:val="-2"/>
                <w:w w:val="105"/>
                <w:sz w:val="18"/>
              </w:rPr>
              <w:t>'myserver'</w:t>
            </w:r>
          </w:p>
        </w:tc>
      </w:tr>
    </w:tbl>
    <w:p>
      <w:pPr>
        <w:pStyle w:val="BodyText"/>
        <w:spacing w:line="319" w:lineRule="auto" w:before="265"/>
        <w:ind w:left="2951" w:right="636"/>
      </w:pPr>
      <w:r>
        <w:rPr>
          <w:color w:val="231F20"/>
        </w:rPr>
        <w:t>Add more rows by right-clicking a row number and selecting </w:t>
      </w:r>
      <w:r>
        <w:rPr>
          <w:color w:val="231F20"/>
          <w:spacing w:val="15"/>
          <w:position w:val="-1"/>
        </w:rPr>
        <w:drawing>
          <wp:inline distT="0" distB="0" distL="0" distR="0">
            <wp:extent cx="95250" cy="95250"/>
            <wp:effectExtent l="0" t="0" r="0" b="0"/>
            <wp:docPr id="2251" name="Image 2251"/>
            <wp:cNvGraphicFramePr>
              <a:graphicFrameLocks/>
            </wp:cNvGraphicFramePr>
            <a:graphic>
              <a:graphicData uri="http://schemas.openxmlformats.org/drawingml/2006/picture">
                <pic:pic>
                  <pic:nvPicPr>
                    <pic:cNvPr id="2251" name="Image 2251"/>
                    <pic:cNvPicPr/>
                  </pic:nvPicPr>
                  <pic:blipFill>
                    <a:blip r:embed="rId333"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9"/>
        </w:rPr>
        <w:t> </w:t>
      </w:r>
      <w:r>
        <w:rPr>
          <w:rFonts w:ascii="Book Antiqua"/>
          <w:b/>
          <w:color w:val="231F20"/>
        </w:rPr>
        <w:t>Insert</w:t>
      </w:r>
      <w:r>
        <w:rPr>
          <w:color w:val="231F20"/>
        </w:rPr>
        <w:t>. You can add an attribute twice for an AND comparison.</w:t>
      </w:r>
    </w:p>
    <w:p>
      <w:pPr>
        <w:pStyle w:val="Heading6"/>
        <w:spacing w:line="240" w:lineRule="auto" w:before="22"/>
        <w:ind w:left="2232"/>
      </w:pPr>
      <w:r>
        <w:rPr>
          <w:color w:val="231F20"/>
        </w:rPr>
        <w:t>Sampling</w:t>
      </w:r>
      <w:r>
        <w:rPr>
          <w:color w:val="231F20"/>
          <w:spacing w:val="7"/>
        </w:rPr>
        <w:t> </w:t>
      </w:r>
      <w:r>
        <w:rPr>
          <w:color w:val="231F20"/>
          <w:spacing w:val="-2"/>
        </w:rPr>
        <w:t>interval</w:t>
      </w:r>
    </w:p>
    <w:p>
      <w:pPr>
        <w:pStyle w:val="BodyText"/>
        <w:spacing w:line="213" w:lineRule="auto" w:before="119"/>
        <w:ind w:left="2951" w:right="545"/>
      </w:pPr>
      <w:r>
        <w:rPr>
          <w:color w:val="231F20"/>
        </w:rPr>
        <w:t>The sampling interval is set to 15 minutes by default. You can change it to</w:t>
      </w:r>
      <w:r>
        <w:rPr>
          <w:color w:val="231F20"/>
          <w:spacing w:val="40"/>
        </w:rPr>
        <w:t> </w:t>
      </w:r>
      <w:r>
        <w:rPr>
          <w:color w:val="231F20"/>
        </w:rPr>
        <w:t>as</w:t>
      </w:r>
      <w:r>
        <w:rPr>
          <w:color w:val="231F20"/>
          <w:spacing w:val="26"/>
        </w:rPr>
        <w:t> </w:t>
      </w:r>
      <w:r>
        <w:rPr>
          <w:color w:val="231F20"/>
        </w:rPr>
        <w:t>seldom</w:t>
      </w:r>
      <w:r>
        <w:rPr>
          <w:color w:val="231F20"/>
          <w:spacing w:val="26"/>
        </w:rPr>
        <w:t> </w:t>
      </w:r>
      <w:r>
        <w:rPr>
          <w:color w:val="231F20"/>
        </w:rPr>
        <w:t>as</w:t>
      </w:r>
      <w:r>
        <w:rPr>
          <w:color w:val="231F20"/>
          <w:spacing w:val="26"/>
        </w:rPr>
        <w:t> </w:t>
      </w:r>
      <w:r>
        <w:rPr>
          <w:color w:val="231F20"/>
        </w:rPr>
        <w:t>once</w:t>
      </w:r>
      <w:r>
        <w:rPr>
          <w:color w:val="231F20"/>
          <w:spacing w:val="26"/>
        </w:rPr>
        <w:t> </w:t>
      </w:r>
      <w:r>
        <w:rPr>
          <w:color w:val="231F20"/>
        </w:rPr>
        <w:t>in</w:t>
      </w:r>
      <w:r>
        <w:rPr>
          <w:color w:val="231F20"/>
          <w:spacing w:val="26"/>
        </w:rPr>
        <w:t> </w:t>
      </w:r>
      <w:r>
        <w:rPr>
          <w:color w:val="231F20"/>
        </w:rPr>
        <w:t>999</w:t>
      </w:r>
      <w:r>
        <w:rPr>
          <w:color w:val="231F20"/>
          <w:spacing w:val="26"/>
        </w:rPr>
        <w:t> </w:t>
      </w:r>
      <w:r>
        <w:rPr>
          <w:color w:val="231F20"/>
        </w:rPr>
        <w:t>days</w:t>
      </w:r>
      <w:r>
        <w:rPr>
          <w:color w:val="231F20"/>
          <w:spacing w:val="26"/>
        </w:rPr>
        <w:t> </w:t>
      </w:r>
      <w:r>
        <w:rPr>
          <w:color w:val="231F20"/>
        </w:rPr>
        <w:t>or</w:t>
      </w:r>
      <w:r>
        <w:rPr>
          <w:color w:val="231F20"/>
          <w:spacing w:val="26"/>
        </w:rPr>
        <w:t> </w:t>
      </w:r>
      <w:r>
        <w:rPr>
          <w:color w:val="231F20"/>
        </w:rPr>
        <w:t>as</w:t>
      </w:r>
      <w:r>
        <w:rPr>
          <w:color w:val="231F20"/>
          <w:spacing w:val="26"/>
        </w:rPr>
        <w:t> </w:t>
      </w:r>
      <w:r>
        <w:rPr>
          <w:color w:val="231F20"/>
        </w:rPr>
        <w:t>often</w:t>
      </w:r>
      <w:r>
        <w:rPr>
          <w:color w:val="231F20"/>
          <w:spacing w:val="26"/>
        </w:rPr>
        <w:t> </w:t>
      </w:r>
      <w:r>
        <w:rPr>
          <w:color w:val="231F20"/>
        </w:rPr>
        <w:t>as</w:t>
      </w:r>
      <w:r>
        <w:rPr>
          <w:color w:val="231F20"/>
          <w:spacing w:val="26"/>
        </w:rPr>
        <w:t> </w:t>
      </w:r>
      <w:r>
        <w:rPr>
          <w:color w:val="231F20"/>
        </w:rPr>
        <w:t>30</w:t>
      </w:r>
      <w:r>
        <w:rPr>
          <w:color w:val="231F20"/>
          <w:spacing w:val="26"/>
        </w:rPr>
        <w:t> </w:t>
      </w:r>
      <w:r>
        <w:rPr>
          <w:color w:val="231F20"/>
        </w:rPr>
        <w:t>seconds,</w:t>
      </w:r>
      <w:r>
        <w:rPr>
          <w:color w:val="231F20"/>
          <w:spacing w:val="26"/>
        </w:rPr>
        <w:t> </w:t>
      </w:r>
      <w:r>
        <w:rPr>
          <w:color w:val="231F20"/>
        </w:rPr>
        <w:t>although</w:t>
      </w:r>
      <w:r>
        <w:rPr>
          <w:color w:val="231F20"/>
          <w:spacing w:val="26"/>
        </w:rPr>
        <w:t> </w:t>
      </w:r>
      <w:r>
        <w:rPr>
          <w:color w:val="231F20"/>
        </w:rPr>
        <w:t>more</w:t>
      </w:r>
    </w:p>
    <w:p>
      <w:pPr>
        <w:spacing w:after="0" w:line="213" w:lineRule="auto"/>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spacing w:before="141"/>
      </w:pPr>
    </w:p>
    <w:p>
      <w:pPr>
        <w:pStyle w:val="Heading6"/>
        <w:spacing w:line="240" w:lineRule="auto" w:before="0"/>
        <w:ind w:left="0" w:right="80"/>
        <w:jc w:val="right"/>
      </w:pPr>
      <w:bookmarkStart w:name="_bookmark188" w:id="406"/>
      <w:bookmarkEnd w:id="406"/>
      <w:r>
        <w:rPr>
          <w:b w:val="0"/>
        </w:rPr>
      </w:r>
      <w:r>
        <w:rPr>
          <w:color w:val="231F20"/>
          <w:spacing w:val="-2"/>
        </w:rPr>
        <w:t>Sound</w:t>
      </w: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spacing w:before="109"/>
        <w:rPr>
          <w:rFonts w:ascii="Book Antiqua"/>
          <w:b/>
        </w:rPr>
      </w:pPr>
    </w:p>
    <w:p>
      <w:pPr>
        <w:spacing w:before="1"/>
        <w:ind w:left="0" w:right="0" w:firstLine="0"/>
        <w:jc w:val="right"/>
        <w:rPr>
          <w:rFonts w:ascii="Book Antiqua"/>
          <w:b/>
          <w:sz w:val="20"/>
        </w:rPr>
      </w:pPr>
      <w:r>
        <w:rPr>
          <w:rFonts w:ascii="Book Antiqua"/>
          <w:b/>
          <w:color w:val="231F20"/>
          <w:sz w:val="20"/>
        </w:rPr>
        <w:t>State </w:t>
      </w:r>
      <w:r>
        <w:rPr>
          <w:rFonts w:ascii="Book Antiqua"/>
          <w:b/>
          <w:color w:val="231F20"/>
          <w:spacing w:val="-24"/>
          <w:position w:val="-1"/>
          <w:sz w:val="20"/>
        </w:rPr>
        <w:drawing>
          <wp:inline distT="0" distB="0" distL="0" distR="0">
            <wp:extent cx="95250" cy="95250"/>
            <wp:effectExtent l="0" t="0" r="0" b="0"/>
            <wp:docPr id="2252" name="Image 2252"/>
            <wp:cNvGraphicFramePr>
              <a:graphicFrameLocks/>
            </wp:cNvGraphicFramePr>
            <a:graphic>
              <a:graphicData uri="http://schemas.openxmlformats.org/drawingml/2006/picture">
                <pic:pic>
                  <pic:nvPicPr>
                    <pic:cNvPr id="2252" name="Image 2252"/>
                    <pic:cNvPicPr/>
                  </pic:nvPicPr>
                  <pic:blipFill>
                    <a:blip r:embed="rId298" cstate="print"/>
                    <a:stretch>
                      <a:fillRect/>
                    </a:stretch>
                  </pic:blipFill>
                  <pic:spPr>
                    <a:xfrm>
                      <a:off x="0" y="0"/>
                      <a:ext cx="95250" cy="95250"/>
                    </a:xfrm>
                    <a:prstGeom prst="rect">
                      <a:avLst/>
                    </a:prstGeom>
                  </pic:spPr>
                </pic:pic>
              </a:graphicData>
            </a:graphic>
          </wp:inline>
        </w:drawing>
      </w:r>
      <w:r>
        <w:rPr>
          <w:rFonts w:ascii="Book Antiqua"/>
          <w:b/>
          <w:color w:val="231F20"/>
          <w:spacing w:val="-24"/>
          <w:position w:val="-1"/>
          <w:sz w:val="20"/>
        </w:rPr>
      </w:r>
    </w:p>
    <w:p>
      <w:pPr>
        <w:pStyle w:val="BodyText"/>
        <w:spacing w:line="213" w:lineRule="auto" w:before="85"/>
        <w:ind w:right="386"/>
      </w:pPr>
      <w:r>
        <w:rPr/>
        <w:br w:type="column"/>
      </w:r>
      <w:r>
        <w:rPr>
          <w:color w:val="231F20"/>
        </w:rPr>
        <w:t>frequent samplings consume more resources. Click inside the day, </w:t>
      </w:r>
      <w:r>
        <w:rPr>
          <w:color w:val="231F20"/>
        </w:rPr>
        <w:t>hour, minute or second cell and type the number or click the up and down </w:t>
      </w:r>
      <w:r>
        <w:rPr>
          <w:color w:val="231F20"/>
          <w:spacing w:val="-2"/>
        </w:rPr>
        <w:t>arrows.</w:t>
      </w:r>
    </w:p>
    <w:p>
      <w:pPr>
        <w:pStyle w:val="BodyText"/>
        <w:spacing w:line="213" w:lineRule="auto" w:before="117"/>
        <w:ind w:right="386"/>
      </w:pPr>
      <w:r>
        <w:rPr>
          <w:color w:val="231F20"/>
        </w:rPr>
        <w:t>Note that if the situation monitors for pure events, this field is </w:t>
      </w:r>
      <w:r>
        <w:rPr>
          <w:color w:val="231F20"/>
        </w:rPr>
        <w:t>disabled; rather than sampling at specific intervals, the situation waits for a pure </w:t>
      </w:r>
      <w:r>
        <w:rPr>
          <w:color w:val="231F20"/>
          <w:spacing w:val="-2"/>
        </w:rPr>
        <w:t>event.</w:t>
      </w:r>
    </w:p>
    <w:p>
      <w:pPr>
        <w:pStyle w:val="BodyText"/>
        <w:spacing w:before="184"/>
      </w:pPr>
    </w:p>
    <w:p>
      <w:pPr>
        <w:pStyle w:val="BodyText"/>
        <w:jc w:val="both"/>
      </w:pPr>
      <w:r>
        <w:rPr>
          <w:color w:val="231F20"/>
        </w:rPr>
        <w:t>(Not</w:t>
      </w:r>
      <w:r>
        <w:rPr>
          <w:color w:val="231F20"/>
          <w:spacing w:val="10"/>
        </w:rPr>
        <w:t> </w:t>
      </w:r>
      <w:r>
        <w:rPr>
          <w:color w:val="231F20"/>
        </w:rPr>
        <w:t>available</w:t>
      </w:r>
      <w:r>
        <w:rPr>
          <w:color w:val="231F20"/>
          <w:spacing w:val="11"/>
        </w:rPr>
        <w:t> </w:t>
      </w:r>
      <w:r>
        <w:rPr>
          <w:color w:val="231F20"/>
        </w:rPr>
        <w:t>when</w:t>
      </w:r>
      <w:r>
        <w:rPr>
          <w:color w:val="231F20"/>
          <w:spacing w:val="10"/>
        </w:rPr>
        <w:t> </w:t>
      </w:r>
      <w:r>
        <w:rPr>
          <w:color w:val="231F20"/>
        </w:rPr>
        <w:t>you</w:t>
      </w:r>
      <w:r>
        <w:rPr>
          <w:color w:val="231F20"/>
          <w:spacing w:val="11"/>
        </w:rPr>
        <w:t> </w:t>
      </w:r>
      <w:r>
        <w:rPr>
          <w:color w:val="231F20"/>
        </w:rPr>
        <w:t>open</w:t>
      </w:r>
      <w:r>
        <w:rPr>
          <w:color w:val="231F20"/>
          <w:spacing w:val="10"/>
        </w:rPr>
        <w:t> </w:t>
      </w:r>
      <w:r>
        <w:rPr>
          <w:color w:val="231F20"/>
        </w:rPr>
        <w:t>the</w:t>
      </w:r>
      <w:r>
        <w:rPr>
          <w:color w:val="231F20"/>
          <w:spacing w:val="11"/>
        </w:rPr>
        <w:t> </w:t>
      </w:r>
      <w:r>
        <w:rPr>
          <w:color w:val="231F20"/>
        </w:rPr>
        <w:t>Situation</w:t>
      </w:r>
      <w:r>
        <w:rPr>
          <w:color w:val="231F20"/>
          <w:spacing w:val="10"/>
        </w:rPr>
        <w:t> </w:t>
      </w:r>
      <w:r>
        <w:rPr>
          <w:color w:val="231F20"/>
        </w:rPr>
        <w:t>editor</w:t>
      </w:r>
      <w:r>
        <w:rPr>
          <w:color w:val="231F20"/>
          <w:spacing w:val="11"/>
        </w:rPr>
        <w:t> </w:t>
      </w:r>
      <w:r>
        <w:rPr>
          <w:color w:val="231F20"/>
        </w:rPr>
        <w:t>through</w:t>
      </w:r>
      <w:r>
        <w:rPr>
          <w:color w:val="231F20"/>
          <w:spacing w:val="10"/>
        </w:rPr>
        <w:t> </w:t>
      </w:r>
      <w:r>
        <w:rPr>
          <w:color w:val="231F20"/>
        </w:rPr>
        <w:t>the</w:t>
      </w:r>
      <w:r>
        <w:rPr>
          <w:color w:val="231F20"/>
          <w:spacing w:val="11"/>
        </w:rPr>
        <w:t> </w:t>
      </w:r>
      <w:r>
        <w:rPr>
          <w:color w:val="231F20"/>
          <w:spacing w:val="-2"/>
        </w:rPr>
        <w:t>toolbar.)</w:t>
      </w:r>
    </w:p>
    <w:p>
      <w:pPr>
        <w:pStyle w:val="BodyText"/>
        <w:spacing w:line="211" w:lineRule="auto" w:before="120"/>
        <w:ind w:right="354"/>
        <w:jc w:val="both"/>
      </w:pPr>
      <w:r>
        <w:rPr/>
        <w:drawing>
          <wp:inline distT="0" distB="0" distL="0" distR="0">
            <wp:extent cx="82550" cy="82550"/>
            <wp:effectExtent l="0" t="0" r="0" b="0"/>
            <wp:docPr id="2253" name="Image 2253"/>
            <wp:cNvGraphicFramePr>
              <a:graphicFrameLocks/>
            </wp:cNvGraphicFramePr>
            <a:graphic>
              <a:graphicData uri="http://schemas.openxmlformats.org/drawingml/2006/picture">
                <pic:pic>
                  <pic:nvPicPr>
                    <pic:cNvPr id="2253" name="Image 2253"/>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Enable</w:t>
      </w:r>
      <w:r>
        <w:rPr>
          <w:color w:val="231F20"/>
        </w:rPr>
        <w:t>, when selected, causes the sound file to play when an event is opened or reopened for this situation. Click </w:t>
      </w:r>
      <w:r>
        <w:rPr>
          <w:rFonts w:ascii="Book Antiqua"/>
          <w:b/>
          <w:color w:val="231F20"/>
        </w:rPr>
        <w:t>Play </w:t>
      </w:r>
      <w:r>
        <w:rPr>
          <w:color w:val="231F20"/>
        </w:rPr>
        <w:t>to hear the sound. </w:t>
      </w:r>
      <w:r>
        <w:rPr>
          <w:color w:val="231F20"/>
        </w:rPr>
        <w:t>Click </w:t>
      </w:r>
      <w:r>
        <w:rPr>
          <w:rFonts w:ascii="Book Antiqua"/>
          <w:b/>
          <w:color w:val="231F20"/>
        </w:rPr>
        <w:t>Edit </w:t>
      </w:r>
      <w:r>
        <w:rPr>
          <w:color w:val="231F20"/>
        </w:rPr>
        <w:t>to open the sound properties for editing.</w:t>
      </w:r>
    </w:p>
    <w:p>
      <w:pPr>
        <w:pStyle w:val="BodyText"/>
        <w:spacing w:before="8"/>
        <w:rPr>
          <w:sz w:val="11"/>
        </w:rPr>
      </w:pPr>
      <w:r>
        <w:rPr/>
        <w:drawing>
          <wp:anchor distT="0" distB="0" distL="0" distR="0" allowOverlap="1" layoutInCell="1" locked="0" behindDoc="1" simplePos="0" relativeHeight="487721984">
            <wp:simplePos x="0" y="0"/>
            <wp:positionH relativeFrom="page">
              <wp:posOffset>2717257</wp:posOffset>
            </wp:positionH>
            <wp:positionV relativeFrom="paragraph">
              <wp:posOffset>114775</wp:posOffset>
            </wp:positionV>
            <wp:extent cx="95726" cy="95726"/>
            <wp:effectExtent l="0" t="0" r="0" b="0"/>
            <wp:wrapTopAndBottom/>
            <wp:docPr id="2254" name="Image 2254"/>
            <wp:cNvGraphicFramePr>
              <a:graphicFrameLocks/>
            </wp:cNvGraphicFramePr>
            <a:graphic>
              <a:graphicData uri="http://schemas.openxmlformats.org/drawingml/2006/picture">
                <pic:pic>
                  <pic:nvPicPr>
                    <pic:cNvPr id="2254" name="Image 2254"/>
                    <pic:cNvPicPr/>
                  </pic:nvPicPr>
                  <pic:blipFill>
                    <a:blip r:embed="rId198" cstate="print"/>
                    <a:stretch>
                      <a:fillRect/>
                    </a:stretch>
                  </pic:blipFill>
                  <pic:spPr>
                    <a:xfrm>
                      <a:off x="0" y="0"/>
                      <a:ext cx="95726" cy="95726"/>
                    </a:xfrm>
                    <a:prstGeom prst="rect">
                      <a:avLst/>
                    </a:prstGeom>
                  </pic:spPr>
                </pic:pic>
              </a:graphicData>
            </a:graphic>
          </wp:anchor>
        </w:drawing>
      </w:r>
      <w:r>
        <w:rPr/>
        <w:drawing>
          <wp:anchor distT="0" distB="0" distL="0" distR="0" allowOverlap="1" layoutInCell="1" locked="0" behindDoc="1" simplePos="0" relativeHeight="487722496">
            <wp:simplePos x="0" y="0"/>
            <wp:positionH relativeFrom="page">
              <wp:posOffset>2892506</wp:posOffset>
            </wp:positionH>
            <wp:positionV relativeFrom="paragraph">
              <wp:posOffset>114775</wp:posOffset>
            </wp:positionV>
            <wp:extent cx="95726" cy="95726"/>
            <wp:effectExtent l="0" t="0" r="0" b="0"/>
            <wp:wrapTopAndBottom/>
            <wp:docPr id="2255" name="Image 2255"/>
            <wp:cNvGraphicFramePr>
              <a:graphicFrameLocks/>
            </wp:cNvGraphicFramePr>
            <a:graphic>
              <a:graphicData uri="http://schemas.openxmlformats.org/drawingml/2006/picture">
                <pic:pic>
                  <pic:nvPicPr>
                    <pic:cNvPr id="2255" name="Image 2255"/>
                    <pic:cNvPicPr/>
                  </pic:nvPicPr>
                  <pic:blipFill>
                    <a:blip r:embed="rId164" cstate="print"/>
                    <a:stretch>
                      <a:fillRect/>
                    </a:stretch>
                  </pic:blipFill>
                  <pic:spPr>
                    <a:xfrm>
                      <a:off x="0" y="0"/>
                      <a:ext cx="95726" cy="95726"/>
                    </a:xfrm>
                    <a:prstGeom prst="rect">
                      <a:avLst/>
                    </a:prstGeom>
                  </pic:spPr>
                </pic:pic>
              </a:graphicData>
            </a:graphic>
          </wp:anchor>
        </w:drawing>
      </w:r>
      <w:r>
        <w:rPr/>
        <w:drawing>
          <wp:anchor distT="0" distB="0" distL="0" distR="0" allowOverlap="1" layoutInCell="1" locked="0" behindDoc="1" simplePos="0" relativeHeight="487723008">
            <wp:simplePos x="0" y="0"/>
            <wp:positionH relativeFrom="page">
              <wp:posOffset>3067754</wp:posOffset>
            </wp:positionH>
            <wp:positionV relativeFrom="paragraph">
              <wp:posOffset>114775</wp:posOffset>
            </wp:positionV>
            <wp:extent cx="95726" cy="95726"/>
            <wp:effectExtent l="0" t="0" r="0" b="0"/>
            <wp:wrapTopAndBottom/>
            <wp:docPr id="2256" name="Image 2256"/>
            <wp:cNvGraphicFramePr>
              <a:graphicFrameLocks/>
            </wp:cNvGraphicFramePr>
            <a:graphic>
              <a:graphicData uri="http://schemas.openxmlformats.org/drawingml/2006/picture">
                <pic:pic>
                  <pic:nvPicPr>
                    <pic:cNvPr id="2256" name="Image 2256"/>
                    <pic:cNvPicPr/>
                  </pic:nvPicPr>
                  <pic:blipFill>
                    <a:blip r:embed="rId125" cstate="print"/>
                    <a:stretch>
                      <a:fillRect/>
                    </a:stretch>
                  </pic:blipFill>
                  <pic:spPr>
                    <a:xfrm>
                      <a:off x="0" y="0"/>
                      <a:ext cx="95726" cy="95726"/>
                    </a:xfrm>
                    <a:prstGeom prst="rect">
                      <a:avLst/>
                    </a:prstGeom>
                  </pic:spPr>
                </pic:pic>
              </a:graphicData>
            </a:graphic>
          </wp:anchor>
        </w:drawing>
      </w:r>
      <w:r>
        <w:rPr/>
        <w:drawing>
          <wp:anchor distT="0" distB="0" distL="0" distR="0" allowOverlap="1" layoutInCell="1" locked="0" behindDoc="1" simplePos="0" relativeHeight="487723520">
            <wp:simplePos x="0" y="0"/>
            <wp:positionH relativeFrom="page">
              <wp:posOffset>3243002</wp:posOffset>
            </wp:positionH>
            <wp:positionV relativeFrom="paragraph">
              <wp:posOffset>114775</wp:posOffset>
            </wp:positionV>
            <wp:extent cx="95726" cy="95726"/>
            <wp:effectExtent l="0" t="0" r="0" b="0"/>
            <wp:wrapTopAndBottom/>
            <wp:docPr id="2257" name="Image 2257"/>
            <wp:cNvGraphicFramePr>
              <a:graphicFrameLocks/>
            </wp:cNvGraphicFramePr>
            <a:graphic>
              <a:graphicData uri="http://schemas.openxmlformats.org/drawingml/2006/picture">
                <pic:pic>
                  <pic:nvPicPr>
                    <pic:cNvPr id="2257" name="Image 2257"/>
                    <pic:cNvPicPr/>
                  </pic:nvPicPr>
                  <pic:blipFill>
                    <a:blip r:embed="rId165" cstate="print"/>
                    <a:stretch>
                      <a:fillRect/>
                    </a:stretch>
                  </pic:blipFill>
                  <pic:spPr>
                    <a:xfrm>
                      <a:off x="0" y="0"/>
                      <a:ext cx="95726" cy="95726"/>
                    </a:xfrm>
                    <a:prstGeom prst="rect">
                      <a:avLst/>
                    </a:prstGeom>
                  </pic:spPr>
                </pic:pic>
              </a:graphicData>
            </a:graphic>
          </wp:anchor>
        </w:drawing>
      </w:r>
      <w:r>
        <w:rPr/>
        <w:drawing>
          <wp:anchor distT="0" distB="0" distL="0" distR="0" allowOverlap="1" layoutInCell="1" locked="0" behindDoc="1" simplePos="0" relativeHeight="487724032">
            <wp:simplePos x="0" y="0"/>
            <wp:positionH relativeFrom="page">
              <wp:posOffset>3418249</wp:posOffset>
            </wp:positionH>
            <wp:positionV relativeFrom="paragraph">
              <wp:posOffset>114775</wp:posOffset>
            </wp:positionV>
            <wp:extent cx="95726" cy="95726"/>
            <wp:effectExtent l="0" t="0" r="0" b="0"/>
            <wp:wrapTopAndBottom/>
            <wp:docPr id="2258" name="Image 2258"/>
            <wp:cNvGraphicFramePr>
              <a:graphicFrameLocks/>
            </wp:cNvGraphicFramePr>
            <a:graphic>
              <a:graphicData uri="http://schemas.openxmlformats.org/drawingml/2006/picture">
                <pic:pic>
                  <pic:nvPicPr>
                    <pic:cNvPr id="2258" name="Image 2258"/>
                    <pic:cNvPicPr/>
                  </pic:nvPicPr>
                  <pic:blipFill>
                    <a:blip r:embed="rId126" cstate="print"/>
                    <a:stretch>
                      <a:fillRect/>
                    </a:stretch>
                  </pic:blipFill>
                  <pic:spPr>
                    <a:xfrm>
                      <a:off x="0" y="0"/>
                      <a:ext cx="95726" cy="95726"/>
                    </a:xfrm>
                    <a:prstGeom prst="rect">
                      <a:avLst/>
                    </a:prstGeom>
                  </pic:spPr>
                </pic:pic>
              </a:graphicData>
            </a:graphic>
          </wp:anchor>
        </w:drawing>
      </w:r>
      <w:r>
        <w:rPr/>
        <w:drawing>
          <wp:anchor distT="0" distB="0" distL="0" distR="0" allowOverlap="1" layoutInCell="1" locked="0" behindDoc="1" simplePos="0" relativeHeight="487724544">
            <wp:simplePos x="0" y="0"/>
            <wp:positionH relativeFrom="page">
              <wp:posOffset>3593498</wp:posOffset>
            </wp:positionH>
            <wp:positionV relativeFrom="paragraph">
              <wp:posOffset>114775</wp:posOffset>
            </wp:positionV>
            <wp:extent cx="95726" cy="95726"/>
            <wp:effectExtent l="0" t="0" r="0" b="0"/>
            <wp:wrapTopAndBottom/>
            <wp:docPr id="2259" name="Image 2259"/>
            <wp:cNvGraphicFramePr>
              <a:graphicFrameLocks/>
            </wp:cNvGraphicFramePr>
            <a:graphic>
              <a:graphicData uri="http://schemas.openxmlformats.org/drawingml/2006/picture">
                <pic:pic>
                  <pic:nvPicPr>
                    <pic:cNvPr id="2259" name="Image 2259"/>
                    <pic:cNvPicPr/>
                  </pic:nvPicPr>
                  <pic:blipFill>
                    <a:blip r:embed="rId299" cstate="print"/>
                    <a:stretch>
                      <a:fillRect/>
                    </a:stretch>
                  </pic:blipFill>
                  <pic:spPr>
                    <a:xfrm>
                      <a:off x="0" y="0"/>
                      <a:ext cx="95726" cy="95726"/>
                    </a:xfrm>
                    <a:prstGeom prst="rect">
                      <a:avLst/>
                    </a:prstGeom>
                  </pic:spPr>
                </pic:pic>
              </a:graphicData>
            </a:graphic>
          </wp:anchor>
        </w:drawing>
      </w:r>
    </w:p>
    <w:p>
      <w:pPr>
        <w:pStyle w:val="BodyText"/>
        <w:spacing w:before="123"/>
      </w:pPr>
      <w:r>
        <w:rPr>
          <w:color w:val="231F20"/>
        </w:rPr>
        <w:t>(Not</w:t>
      </w:r>
      <w:r>
        <w:rPr>
          <w:color w:val="231F20"/>
          <w:spacing w:val="10"/>
        </w:rPr>
        <w:t> </w:t>
      </w:r>
      <w:r>
        <w:rPr>
          <w:color w:val="231F20"/>
        </w:rPr>
        <w:t>available</w:t>
      </w:r>
      <w:r>
        <w:rPr>
          <w:color w:val="231F20"/>
          <w:spacing w:val="11"/>
        </w:rPr>
        <w:t> </w:t>
      </w:r>
      <w:r>
        <w:rPr>
          <w:color w:val="231F20"/>
        </w:rPr>
        <w:t>when</w:t>
      </w:r>
      <w:r>
        <w:rPr>
          <w:color w:val="231F20"/>
          <w:spacing w:val="10"/>
        </w:rPr>
        <w:t> </w:t>
      </w:r>
      <w:r>
        <w:rPr>
          <w:color w:val="231F20"/>
        </w:rPr>
        <w:t>you</w:t>
      </w:r>
      <w:r>
        <w:rPr>
          <w:color w:val="231F20"/>
          <w:spacing w:val="11"/>
        </w:rPr>
        <w:t> </w:t>
      </w:r>
      <w:r>
        <w:rPr>
          <w:color w:val="231F20"/>
        </w:rPr>
        <w:t>open</w:t>
      </w:r>
      <w:r>
        <w:rPr>
          <w:color w:val="231F20"/>
          <w:spacing w:val="10"/>
        </w:rPr>
        <w:t> </w:t>
      </w:r>
      <w:r>
        <w:rPr>
          <w:color w:val="231F20"/>
        </w:rPr>
        <w:t>the</w:t>
      </w:r>
      <w:r>
        <w:rPr>
          <w:color w:val="231F20"/>
          <w:spacing w:val="11"/>
        </w:rPr>
        <w:t> </w:t>
      </w:r>
      <w:r>
        <w:rPr>
          <w:color w:val="231F20"/>
        </w:rPr>
        <w:t>Situation</w:t>
      </w:r>
      <w:r>
        <w:rPr>
          <w:color w:val="231F20"/>
          <w:spacing w:val="10"/>
        </w:rPr>
        <w:t> </w:t>
      </w:r>
      <w:r>
        <w:rPr>
          <w:color w:val="231F20"/>
        </w:rPr>
        <w:t>editor</w:t>
      </w:r>
      <w:r>
        <w:rPr>
          <w:color w:val="231F20"/>
          <w:spacing w:val="11"/>
        </w:rPr>
        <w:t> </w:t>
      </w:r>
      <w:r>
        <w:rPr>
          <w:color w:val="231F20"/>
        </w:rPr>
        <w:t>through</w:t>
      </w:r>
      <w:r>
        <w:rPr>
          <w:color w:val="231F20"/>
          <w:spacing w:val="10"/>
        </w:rPr>
        <w:t> </w:t>
      </w:r>
      <w:r>
        <w:rPr>
          <w:color w:val="231F20"/>
        </w:rPr>
        <w:t>the</w:t>
      </w:r>
      <w:r>
        <w:rPr>
          <w:color w:val="231F20"/>
          <w:spacing w:val="11"/>
        </w:rPr>
        <w:t> </w:t>
      </w:r>
      <w:r>
        <w:rPr>
          <w:color w:val="231F20"/>
          <w:spacing w:val="-2"/>
        </w:rPr>
        <w:t>toolbar.)</w:t>
      </w:r>
    </w:p>
    <w:p>
      <w:pPr>
        <w:pStyle w:val="BodyText"/>
        <w:spacing w:line="213" w:lineRule="auto" w:before="113"/>
        <w:ind w:right="386"/>
      </w:pPr>
      <w:r>
        <w:rPr>
          <w:color w:val="231F20"/>
        </w:rPr>
        <w:t>This is the state indicated when the conditions have been met and the situation becomes true. An event indicator for the state, such as </w:t>
      </w:r>
      <w:r>
        <w:rPr>
          <w:color w:val="231F20"/>
          <w:spacing w:val="15"/>
        </w:rPr>
        <w:drawing>
          <wp:inline distT="0" distB="0" distL="0" distR="0">
            <wp:extent cx="57150" cy="57149"/>
            <wp:effectExtent l="0" t="0" r="0" b="0"/>
            <wp:docPr id="2260" name="Image 2260"/>
            <wp:cNvGraphicFramePr>
              <a:graphicFrameLocks/>
            </wp:cNvGraphicFramePr>
            <a:graphic>
              <a:graphicData uri="http://schemas.openxmlformats.org/drawingml/2006/picture">
                <pic:pic>
                  <pic:nvPicPr>
                    <pic:cNvPr id="2260" name="Image 2260"/>
                    <pic:cNvPicPr/>
                  </pic:nvPicPr>
                  <pic:blipFill>
                    <a:blip r:embed="rId71" cstate="print"/>
                    <a:stretch>
                      <a:fillRect/>
                    </a:stretch>
                  </pic:blipFill>
                  <pic:spPr>
                    <a:xfrm>
                      <a:off x="0" y="0"/>
                      <a:ext cx="57150" cy="57149"/>
                    </a:xfrm>
                    <a:prstGeom prst="rect">
                      <a:avLst/>
                    </a:prstGeom>
                  </pic:spPr>
                </pic:pic>
              </a:graphicData>
            </a:graphic>
          </wp:inline>
        </w:drawing>
      </w:r>
      <w:r>
        <w:rPr>
          <w:color w:val="231F20"/>
          <w:spacing w:val="15"/>
        </w:rPr>
      </w:r>
      <w:r>
        <w:rPr>
          <w:rFonts w:ascii="Times New Roman"/>
          <w:color w:val="231F20"/>
          <w:spacing w:val="-8"/>
        </w:rPr>
        <w:t> </w:t>
      </w:r>
      <w:r>
        <w:rPr>
          <w:color w:val="231F20"/>
        </w:rPr>
        <w:t>Critical or </w:t>
      </w:r>
      <w:r>
        <w:rPr>
          <w:color w:val="231F20"/>
          <w:spacing w:val="16"/>
        </w:rPr>
        <w:drawing>
          <wp:inline distT="0" distB="0" distL="0" distR="0">
            <wp:extent cx="57150" cy="57150"/>
            <wp:effectExtent l="0" t="0" r="0" b="0"/>
            <wp:docPr id="2261" name="Image 2261"/>
            <wp:cNvGraphicFramePr>
              <a:graphicFrameLocks/>
            </wp:cNvGraphicFramePr>
            <a:graphic>
              <a:graphicData uri="http://schemas.openxmlformats.org/drawingml/2006/picture">
                <pic:pic>
                  <pic:nvPicPr>
                    <pic:cNvPr id="2261" name="Image 2261"/>
                    <pic:cNvPicPr/>
                  </pic:nvPicPr>
                  <pic:blipFill>
                    <a:blip r:embed="rId73" cstate="print"/>
                    <a:stretch>
                      <a:fillRect/>
                    </a:stretch>
                  </pic:blipFill>
                  <pic:spPr>
                    <a:xfrm>
                      <a:off x="0" y="0"/>
                      <a:ext cx="57150" cy="57150"/>
                    </a:xfrm>
                    <a:prstGeom prst="rect">
                      <a:avLst/>
                    </a:prstGeom>
                  </pic:spPr>
                </pic:pic>
              </a:graphicData>
            </a:graphic>
          </wp:inline>
        </w:drawing>
      </w:r>
      <w:r>
        <w:rPr>
          <w:color w:val="231F20"/>
          <w:spacing w:val="16"/>
        </w:rPr>
      </w:r>
      <w:r>
        <w:rPr>
          <w:rFonts w:ascii="Times New Roman"/>
          <w:color w:val="231F20"/>
        </w:rPr>
        <w:t> </w:t>
      </w:r>
      <w:r>
        <w:rPr>
          <w:color w:val="231F20"/>
        </w:rPr>
        <w:t>Informational overlays the Navigator item icon. To specify a state, click the list button and select one.</w:t>
      </w:r>
    </w:p>
    <w:p>
      <w:pPr>
        <w:spacing w:after="0" w:line="213" w:lineRule="auto"/>
        <w:sectPr>
          <w:pgSz w:w="12240" w:h="15840"/>
          <w:pgMar w:header="0" w:footer="736" w:top="1180" w:bottom="920" w:left="1000" w:right="1060"/>
          <w:cols w:num="2" w:equalWidth="0">
            <w:col w:w="3154" w:space="37"/>
            <w:col w:w="6989"/>
          </w:cols>
        </w:sectPr>
      </w:pPr>
    </w:p>
    <w:p>
      <w:pPr>
        <w:pStyle w:val="Heading6"/>
        <w:spacing w:line="240" w:lineRule="auto" w:before="121"/>
      </w:pPr>
      <w:r>
        <w:rPr>
          <w:b w:val="0"/>
        </w:rPr>
        <w:drawing>
          <wp:inline distT="0" distB="0" distL="0" distR="0">
            <wp:extent cx="82550" cy="82550"/>
            <wp:effectExtent l="0" t="0" r="0" b="0"/>
            <wp:docPr id="2262" name="Image 2262"/>
            <wp:cNvGraphicFramePr>
              <a:graphicFrameLocks/>
            </wp:cNvGraphicFramePr>
            <a:graphic>
              <a:graphicData uri="http://schemas.openxmlformats.org/drawingml/2006/picture">
                <pic:pic>
                  <pic:nvPicPr>
                    <pic:cNvPr id="2262" name="Image 2262"/>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Run</w:t>
      </w:r>
      <w:r>
        <w:rPr>
          <w:color w:val="231F20"/>
          <w:spacing w:val="36"/>
        </w:rPr>
        <w:t> </w:t>
      </w:r>
      <w:r>
        <w:rPr>
          <w:color w:val="231F20"/>
        </w:rPr>
        <w:t>at</w:t>
      </w:r>
      <w:r>
        <w:rPr>
          <w:color w:val="231F20"/>
          <w:spacing w:val="36"/>
        </w:rPr>
        <w:t> </w:t>
      </w:r>
      <w:r>
        <w:rPr>
          <w:color w:val="231F20"/>
        </w:rPr>
        <w:t>startup</w:t>
      </w:r>
    </w:p>
    <w:p>
      <w:pPr>
        <w:pStyle w:val="BodyText"/>
        <w:spacing w:line="213" w:lineRule="auto" w:before="114"/>
        <w:ind w:left="3190" w:right="258" w:hanging="1"/>
      </w:pPr>
      <w:r>
        <w:rPr>
          <w:color w:val="231F20"/>
        </w:rPr>
        <w:t>Starts monitoring as soon as the situation is saved with </w:t>
      </w:r>
      <w:r>
        <w:rPr>
          <w:rFonts w:ascii="Book Antiqua"/>
          <w:b/>
          <w:color w:val="231F20"/>
        </w:rPr>
        <w:t>Apply </w:t>
      </w:r>
      <w:r>
        <w:rPr>
          <w:color w:val="231F20"/>
        </w:rPr>
        <w:t>or </w:t>
      </w:r>
      <w:r>
        <w:rPr>
          <w:rFonts w:ascii="Book Antiqua"/>
          <w:b/>
          <w:color w:val="231F20"/>
        </w:rPr>
        <w:t>OK</w:t>
      </w:r>
      <w:r>
        <w:rPr>
          <w:color w:val="231F20"/>
        </w:rPr>
        <w:t>. If a</w:t>
      </w:r>
      <w:r>
        <w:rPr>
          <w:color w:val="231F20"/>
          <w:spacing w:val="40"/>
        </w:rPr>
        <w:t> </w:t>
      </w:r>
      <w:r>
        <w:rPr>
          <w:color w:val="231F20"/>
        </w:rPr>
        <w:t>monitoring agent to which the situation is distributed goes offline, the situation will start automatically when the agent starts again. Clear the </w:t>
      </w:r>
      <w:r>
        <w:rPr>
          <w:color w:val="231F20"/>
        </w:rPr>
        <w:t>box</w:t>
      </w:r>
      <w:r>
        <w:rPr>
          <w:color w:val="231F20"/>
          <w:spacing w:val="40"/>
        </w:rPr>
        <w:t> </w:t>
      </w:r>
      <w:r>
        <w:rPr>
          <w:color w:val="231F20"/>
        </w:rPr>
        <w:t>if you want to start the situation manually</w:t>
      </w:r>
    </w:p>
    <w:p>
      <w:pPr>
        <w:pStyle w:val="Heading3"/>
        <w:spacing w:before="216"/>
        <w:ind w:left="1574"/>
      </w:pPr>
      <w:r>
        <w:rPr>
          <w:color w:val="231F20"/>
          <w:spacing w:val="-2"/>
        </w:rPr>
        <w:t>Distribution</w:t>
      </w:r>
    </w:p>
    <w:p>
      <w:pPr>
        <w:pStyle w:val="BodyText"/>
        <w:spacing w:line="213" w:lineRule="auto" w:before="58"/>
        <w:ind w:left="2472" w:right="274"/>
      </w:pPr>
      <w:r>
        <w:rPr>
          <w:color w:val="231F20"/>
        </w:rPr>
        <w:t>The Distribution tab is where you assign the managed systems where the </w:t>
      </w:r>
      <w:r>
        <w:rPr>
          <w:color w:val="231F20"/>
        </w:rPr>
        <w:t>situation should</w:t>
      </w:r>
      <w:r>
        <w:rPr>
          <w:color w:val="231F20"/>
          <w:spacing w:val="27"/>
        </w:rPr>
        <w:t> </w:t>
      </w:r>
      <w:r>
        <w:rPr>
          <w:color w:val="231F20"/>
        </w:rPr>
        <w:t>run.</w:t>
      </w:r>
      <w:r>
        <w:rPr>
          <w:color w:val="231F20"/>
          <w:spacing w:val="27"/>
        </w:rPr>
        <w:t> </w:t>
      </w:r>
      <w:r>
        <w:rPr>
          <w:color w:val="231F20"/>
        </w:rPr>
        <w:t>When</w:t>
      </w:r>
      <w:r>
        <w:rPr>
          <w:color w:val="231F20"/>
          <w:spacing w:val="27"/>
        </w:rPr>
        <w:t> </w:t>
      </w:r>
      <w:r>
        <w:rPr>
          <w:color w:val="231F20"/>
        </w:rPr>
        <w:t>you</w:t>
      </w:r>
      <w:r>
        <w:rPr>
          <w:color w:val="231F20"/>
          <w:spacing w:val="27"/>
        </w:rPr>
        <w:t> </w:t>
      </w:r>
      <w:r>
        <w:rPr>
          <w:color w:val="231F20"/>
        </w:rPr>
        <w:t>open</w:t>
      </w:r>
      <w:r>
        <w:rPr>
          <w:color w:val="231F20"/>
          <w:spacing w:val="27"/>
        </w:rPr>
        <w:t> </w:t>
      </w:r>
      <w:r>
        <w:rPr>
          <w:color w:val="231F20"/>
        </w:rPr>
        <w:t>the</w:t>
      </w:r>
      <w:r>
        <w:rPr>
          <w:color w:val="231F20"/>
          <w:spacing w:val="27"/>
        </w:rPr>
        <w:t> </w:t>
      </w:r>
      <w:r>
        <w:rPr>
          <w:color w:val="231F20"/>
        </w:rPr>
        <w:t>Situation</w:t>
      </w:r>
      <w:r>
        <w:rPr>
          <w:color w:val="231F20"/>
          <w:spacing w:val="27"/>
        </w:rPr>
        <w:t> </w:t>
      </w:r>
      <w:r>
        <w:rPr>
          <w:color w:val="231F20"/>
        </w:rPr>
        <w:t>editor</w:t>
      </w:r>
      <w:r>
        <w:rPr>
          <w:color w:val="231F20"/>
          <w:spacing w:val="27"/>
        </w:rPr>
        <w:t> </w:t>
      </w:r>
      <w:r>
        <w:rPr>
          <w:color w:val="231F20"/>
        </w:rPr>
        <w:t>from</w:t>
      </w:r>
      <w:r>
        <w:rPr>
          <w:color w:val="231F20"/>
          <w:spacing w:val="27"/>
        </w:rPr>
        <w:t> </w:t>
      </w:r>
      <w:r>
        <w:rPr>
          <w:color w:val="231F20"/>
        </w:rPr>
        <w:t>the</w:t>
      </w:r>
      <w:r>
        <w:rPr>
          <w:color w:val="231F20"/>
          <w:spacing w:val="27"/>
        </w:rPr>
        <w:t> </w:t>
      </w:r>
      <w:r>
        <w:rPr>
          <w:color w:val="231F20"/>
        </w:rPr>
        <w:t>Navigator</w:t>
      </w:r>
      <w:r>
        <w:rPr>
          <w:color w:val="231F20"/>
          <w:spacing w:val="27"/>
        </w:rPr>
        <w:t> </w:t>
      </w:r>
      <w:r>
        <w:rPr>
          <w:color w:val="231F20"/>
        </w:rPr>
        <w:t>item</w:t>
      </w:r>
      <w:r>
        <w:rPr>
          <w:color w:val="231F20"/>
          <w:spacing w:val="27"/>
        </w:rPr>
        <w:t> </w:t>
      </w:r>
      <w:r>
        <w:rPr>
          <w:color w:val="231F20"/>
        </w:rPr>
        <w:t>menu, the default distribution for a new situation is to the managed systems assigned to that item.</w:t>
      </w:r>
    </w:p>
    <w:p>
      <w:pPr>
        <w:pStyle w:val="BodyText"/>
        <w:spacing w:line="213" w:lineRule="auto" w:before="237"/>
        <w:ind w:left="2472" w:right="274"/>
      </w:pPr>
      <w:r>
        <w:rPr>
          <w:color w:val="231F20"/>
        </w:rPr>
        <w:t>If the managed system has multiple agents of this type, then distribution will be to all of the agents. For example, a message queue situation written for a system </w:t>
      </w:r>
      <w:r>
        <w:rPr>
          <w:color w:val="231F20"/>
        </w:rPr>
        <w:t>with three message queues would be distributed to the three agents of this type on the </w:t>
      </w:r>
      <w:r>
        <w:rPr>
          <w:color w:val="231F20"/>
          <w:spacing w:val="-2"/>
        </w:rPr>
        <w:t>system.</w:t>
      </w:r>
    </w:p>
    <w:p>
      <w:pPr>
        <w:pStyle w:val="Heading6"/>
        <w:spacing w:line="240" w:lineRule="auto" w:before="115"/>
      </w:pPr>
      <w:r>
        <w:rPr>
          <w:color w:val="231F20"/>
        </w:rPr>
        <w:t>Assigned</w:t>
      </w:r>
      <w:r>
        <w:rPr>
          <w:color w:val="231F20"/>
          <w:spacing w:val="7"/>
        </w:rPr>
        <w:t> </w:t>
      </w:r>
      <w:r>
        <w:rPr>
          <w:color w:val="231F20"/>
          <w:spacing w:val="-4"/>
        </w:rPr>
        <w:t>list</w:t>
      </w:r>
    </w:p>
    <w:p>
      <w:pPr>
        <w:pStyle w:val="BodyText"/>
        <w:spacing w:before="97"/>
        <w:ind w:left="3190"/>
      </w:pPr>
      <w:r>
        <w:rPr>
          <w:color w:val="231F20"/>
        </w:rPr>
        <w:t>Shows</w:t>
      </w:r>
      <w:r>
        <w:rPr>
          <w:color w:val="231F20"/>
          <w:spacing w:val="11"/>
        </w:rPr>
        <w:t> </w:t>
      </w:r>
      <w:r>
        <w:rPr>
          <w:color w:val="231F20"/>
        </w:rPr>
        <w:t>the</w:t>
      </w:r>
      <w:r>
        <w:rPr>
          <w:color w:val="231F20"/>
          <w:spacing w:val="12"/>
        </w:rPr>
        <w:t> </w:t>
      </w:r>
      <w:r>
        <w:rPr>
          <w:color w:val="231F20"/>
        </w:rPr>
        <w:t>agents</w:t>
      </w:r>
      <w:r>
        <w:rPr>
          <w:color w:val="231F20"/>
          <w:spacing w:val="12"/>
        </w:rPr>
        <w:t> </w:t>
      </w:r>
      <w:r>
        <w:rPr>
          <w:color w:val="231F20"/>
        </w:rPr>
        <w:t>to</w:t>
      </w:r>
      <w:r>
        <w:rPr>
          <w:color w:val="231F20"/>
          <w:spacing w:val="12"/>
        </w:rPr>
        <w:t> </w:t>
      </w:r>
      <w:r>
        <w:rPr>
          <w:color w:val="231F20"/>
        </w:rPr>
        <w:t>which</w:t>
      </w:r>
      <w:r>
        <w:rPr>
          <w:color w:val="231F20"/>
          <w:spacing w:val="12"/>
        </w:rPr>
        <w:t> </w:t>
      </w:r>
      <w:r>
        <w:rPr>
          <w:color w:val="231F20"/>
        </w:rPr>
        <w:t>the</w:t>
      </w:r>
      <w:r>
        <w:rPr>
          <w:color w:val="231F20"/>
          <w:spacing w:val="11"/>
        </w:rPr>
        <w:t> </w:t>
      </w:r>
      <w:r>
        <w:rPr>
          <w:color w:val="231F20"/>
        </w:rPr>
        <w:t>situation</w:t>
      </w:r>
      <w:r>
        <w:rPr>
          <w:color w:val="231F20"/>
          <w:spacing w:val="12"/>
        </w:rPr>
        <w:t> </w:t>
      </w:r>
      <w:r>
        <w:rPr>
          <w:color w:val="231F20"/>
        </w:rPr>
        <w:t>is</w:t>
      </w:r>
      <w:r>
        <w:rPr>
          <w:color w:val="231F20"/>
          <w:spacing w:val="12"/>
        </w:rPr>
        <w:t> </w:t>
      </w:r>
      <w:r>
        <w:rPr>
          <w:color w:val="231F20"/>
          <w:spacing w:val="-2"/>
        </w:rPr>
        <w:t>assigned.</w:t>
      </w:r>
    </w:p>
    <w:p>
      <w:pPr>
        <w:pStyle w:val="Heading6"/>
        <w:spacing w:line="240" w:lineRule="auto" w:before="111"/>
      </w:pPr>
      <w:r>
        <w:rPr>
          <w:color w:val="231F20"/>
        </w:rPr>
        <w:t>Available Managed </w:t>
      </w:r>
      <w:r>
        <w:rPr>
          <w:color w:val="231F20"/>
          <w:spacing w:val="-2"/>
        </w:rPr>
        <w:t>Systems</w:t>
      </w:r>
    </w:p>
    <w:p>
      <w:pPr>
        <w:pStyle w:val="BodyText"/>
        <w:spacing w:line="213" w:lineRule="auto" w:before="119"/>
        <w:ind w:left="3190" w:right="385"/>
      </w:pPr>
      <w:r>
        <w:rPr>
          <w:color w:val="231F20"/>
        </w:rPr>
        <w:t>Shows the agents of the same type to which the situation can be</w:t>
      </w:r>
      <w:r>
        <w:rPr>
          <w:color w:val="231F20"/>
          <w:spacing w:val="80"/>
        </w:rPr>
        <w:t> </w:t>
      </w:r>
      <w:r>
        <w:rPr>
          <w:color w:val="231F20"/>
        </w:rPr>
        <w:t>distributed, such as all UNIX agents for a UNIX situation. To add a managed system to the distribution, click the name, then</w:t>
      </w:r>
      <w:r>
        <w:rPr>
          <w:color w:val="231F20"/>
          <w:spacing w:val="40"/>
        </w:rPr>
        <w:t> </w:t>
      </w:r>
      <w:r>
        <w:rPr>
          <w:color w:val="231F20"/>
          <w:spacing w:val="15"/>
          <w:position w:val="1"/>
        </w:rPr>
        <w:drawing>
          <wp:inline distT="0" distB="0" distL="0" distR="0">
            <wp:extent cx="44450" cy="76200"/>
            <wp:effectExtent l="0" t="0" r="0" b="0"/>
            <wp:docPr id="2263" name="Image 2263"/>
            <wp:cNvGraphicFramePr>
              <a:graphicFrameLocks/>
            </wp:cNvGraphicFramePr>
            <a:graphic>
              <a:graphicData uri="http://schemas.openxmlformats.org/drawingml/2006/picture">
                <pic:pic>
                  <pic:nvPicPr>
                    <pic:cNvPr id="2263" name="Image 2263"/>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move it to the</w:t>
      </w:r>
      <w:r>
        <w:rPr>
          <w:color w:val="231F20"/>
          <w:spacing w:val="40"/>
        </w:rPr>
        <w:t> </w:t>
      </w:r>
      <w:r>
        <w:rPr>
          <w:rFonts w:ascii="Book Antiqua"/>
          <w:b/>
          <w:color w:val="231F20"/>
        </w:rPr>
        <w:t>Assigned </w:t>
      </w:r>
      <w:r>
        <w:rPr>
          <w:color w:val="231F20"/>
        </w:rPr>
        <w:t>list.</w:t>
      </w:r>
    </w:p>
    <w:p>
      <w:pPr>
        <w:pStyle w:val="Heading6"/>
        <w:spacing w:line="240" w:lineRule="auto" w:before="116"/>
      </w:pPr>
      <w:r>
        <w:rPr>
          <w:color w:val="231F20"/>
        </w:rPr>
        <w:t>Available</w:t>
      </w:r>
      <w:r>
        <w:rPr>
          <w:color w:val="231F20"/>
          <w:spacing w:val="3"/>
        </w:rPr>
        <w:t> </w:t>
      </w:r>
      <w:r>
        <w:rPr>
          <w:color w:val="231F20"/>
        </w:rPr>
        <w:t>Managed</w:t>
      </w:r>
      <w:r>
        <w:rPr>
          <w:color w:val="231F20"/>
          <w:spacing w:val="3"/>
        </w:rPr>
        <w:t> </w:t>
      </w:r>
      <w:r>
        <w:rPr>
          <w:color w:val="231F20"/>
        </w:rPr>
        <w:t>System</w:t>
      </w:r>
      <w:r>
        <w:rPr>
          <w:color w:val="231F20"/>
          <w:spacing w:val="3"/>
        </w:rPr>
        <w:t> </w:t>
      </w:r>
      <w:r>
        <w:rPr>
          <w:color w:val="231F20"/>
          <w:spacing w:val="-2"/>
        </w:rPr>
        <w:t>Groups</w:t>
      </w:r>
    </w:p>
    <w:p>
      <w:pPr>
        <w:pStyle w:val="BodyText"/>
        <w:spacing w:line="213" w:lineRule="auto" w:before="119"/>
        <w:ind w:left="3190" w:right="385"/>
      </w:pPr>
      <w:r>
        <w:rPr>
          <w:color w:val="231F20"/>
        </w:rPr>
        <w:t>Your product comes with one managed system group named for the </w:t>
      </w:r>
      <w:r>
        <w:rPr>
          <w:color w:val="231F20"/>
          <w:spacing w:val="-4"/>
        </w:rPr>
        <w:t>product, such as </w:t>
      </w:r>
      <w:r>
        <w:rPr>
          <w:rFonts w:ascii="Arial"/>
          <w:color w:val="231F20"/>
          <w:spacing w:val="-4"/>
        </w:rPr>
        <w:t>*MS_SQL_SERVER</w:t>
      </w:r>
      <w:r>
        <w:rPr>
          <w:rFonts w:ascii="Arial"/>
          <w:color w:val="231F20"/>
          <w:spacing w:val="-7"/>
        </w:rPr>
        <w:t> </w:t>
      </w:r>
      <w:r>
        <w:rPr>
          <w:color w:val="231F20"/>
          <w:spacing w:val="-4"/>
        </w:rPr>
        <w:t>for IBM Tivoli Monitoring for MS SQL </w:t>
      </w:r>
      <w:r>
        <w:rPr>
          <w:color w:val="231F20"/>
        </w:rPr>
        <w:t>Server managed systems, and you can have custom lists created </w:t>
      </w:r>
      <w:r>
        <w:rPr>
          <w:color w:val="231F20"/>
        </w:rPr>
        <w:t>through the Object group editor. To add a managed system group to the distribution, click the name, then</w:t>
      </w:r>
      <w:r>
        <w:rPr>
          <w:color w:val="231F20"/>
          <w:spacing w:val="40"/>
        </w:rPr>
        <w:t> </w:t>
      </w:r>
      <w:r>
        <w:rPr>
          <w:color w:val="231F20"/>
          <w:spacing w:val="15"/>
          <w:position w:val="1"/>
        </w:rPr>
        <w:drawing>
          <wp:inline distT="0" distB="0" distL="0" distR="0">
            <wp:extent cx="44450" cy="76200"/>
            <wp:effectExtent l="0" t="0" r="0" b="0"/>
            <wp:docPr id="2264" name="Image 2264"/>
            <wp:cNvGraphicFramePr>
              <a:graphicFrameLocks/>
            </wp:cNvGraphicFramePr>
            <a:graphic>
              <a:graphicData uri="http://schemas.openxmlformats.org/drawingml/2006/picture">
                <pic:pic>
                  <pic:nvPicPr>
                    <pic:cNvPr id="2264" name="Image 226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move it to the Assigned list.</w:t>
      </w:r>
    </w:p>
    <w:p>
      <w:pPr>
        <w:spacing w:after="0" w:line="213" w:lineRule="auto"/>
        <w:sectPr>
          <w:type w:val="continuous"/>
          <w:pgSz w:w="12240" w:h="15840"/>
          <w:pgMar w:header="0" w:footer="736" w:top="0" w:bottom="4660" w:left="1000" w:right="1060"/>
        </w:sectPr>
      </w:pPr>
    </w:p>
    <w:p>
      <w:pPr>
        <w:pStyle w:val="BodyText"/>
        <w:spacing w:line="213" w:lineRule="auto" w:before="85"/>
        <w:ind w:left="2232" w:right="493"/>
      </w:pPr>
      <w:bookmarkStart w:name="_bookmark189" w:id="407"/>
      <w:bookmarkEnd w:id="407"/>
      <w:r>
        <w:rPr/>
      </w:r>
      <w:r>
        <w:rPr>
          <w:rFonts w:ascii="Book Antiqua"/>
          <w:b/>
          <w:color w:val="231F20"/>
        </w:rPr>
        <w:t>Note:</w:t>
      </w:r>
      <w:r>
        <w:rPr>
          <w:rFonts w:ascii="Book Antiqua"/>
          <w:b/>
          <w:color w:val="231F20"/>
          <w:spacing w:val="40"/>
        </w:rPr>
        <w:t> </w:t>
      </w:r>
      <w:r>
        <w:rPr>
          <w:color w:val="231F20"/>
        </w:rPr>
        <w:t>The situation tree shows a </w:t>
      </w:r>
      <w:r>
        <w:rPr>
          <w:color w:val="231F20"/>
          <w:spacing w:val="15"/>
          <w:position w:val="-1"/>
        </w:rPr>
        <w:drawing>
          <wp:inline distT="0" distB="0" distL="0" distR="0">
            <wp:extent cx="101600" cy="101600"/>
            <wp:effectExtent l="0" t="0" r="0" b="0"/>
            <wp:docPr id="2265" name="Image 2265"/>
            <wp:cNvGraphicFramePr>
              <a:graphicFrameLocks/>
            </wp:cNvGraphicFramePr>
            <a:graphic>
              <a:graphicData uri="http://schemas.openxmlformats.org/drawingml/2006/picture">
                <pic:pic>
                  <pic:nvPicPr>
                    <pic:cNvPr id="2265" name="Image 2265"/>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disabled icon for a situation that has not been </w:t>
      </w:r>
      <w:r>
        <w:rPr>
          <w:color w:val="231F20"/>
          <w:spacing w:val="-2"/>
        </w:rPr>
        <w:t>distributed.</w:t>
      </w:r>
    </w:p>
    <w:p>
      <w:pPr>
        <w:pStyle w:val="Heading3"/>
        <w:spacing w:before="217"/>
        <w:ind w:left="1334"/>
      </w:pPr>
      <w:r>
        <w:rPr>
          <w:color w:val="231F20"/>
        </w:rPr>
        <w:t>Expert</w:t>
      </w:r>
      <w:r>
        <w:rPr>
          <w:color w:val="231F20"/>
          <w:spacing w:val="-5"/>
        </w:rPr>
        <w:t> </w:t>
      </w:r>
      <w:r>
        <w:rPr>
          <w:color w:val="231F20"/>
          <w:spacing w:val="-2"/>
        </w:rPr>
        <w:t>Advice</w:t>
      </w:r>
    </w:p>
    <w:p>
      <w:pPr>
        <w:pStyle w:val="BodyText"/>
        <w:spacing w:line="213" w:lineRule="auto" w:before="58"/>
        <w:ind w:left="2232" w:right="636"/>
      </w:pPr>
      <w:r>
        <w:rPr>
          <w:color w:val="231F20"/>
        </w:rPr>
        <w:t>When a situation becomes true, an event indicator lights up on its associated Navigator item. Move the mouse pointer over the indicator, and click one of the event links to see the event results workspace, which includes </w:t>
      </w:r>
      <w:r>
        <w:rPr>
          <w:rFonts w:ascii="Book Antiqua"/>
          <w:b/>
          <w:color w:val="231F20"/>
        </w:rPr>
        <w:t>Expert Advice </w:t>
      </w:r>
      <w:r>
        <w:rPr>
          <w:color w:val="231F20"/>
        </w:rPr>
        <w:t>for the event.</w:t>
      </w:r>
    </w:p>
    <w:p>
      <w:pPr>
        <w:pStyle w:val="BodyText"/>
        <w:spacing w:line="213" w:lineRule="auto" w:before="237"/>
        <w:ind w:left="2232" w:right="545"/>
      </w:pPr>
      <w:r>
        <w:rPr>
          <w:color w:val="231F20"/>
        </w:rPr>
        <w:t>For the expert advice view, you can add comments or instructions for users, using the built-in HTML editor, or insert a link to an existing HTML page.</w:t>
      </w:r>
    </w:p>
    <w:p>
      <w:pPr>
        <w:pStyle w:val="Heading6"/>
        <w:ind w:left="2232"/>
      </w:pPr>
      <w:r>
        <w:rPr>
          <w:color w:val="231F20"/>
        </w:rPr>
        <w:t>Adding</w:t>
      </w:r>
      <w:r>
        <w:rPr>
          <w:color w:val="231F20"/>
          <w:spacing w:val="10"/>
        </w:rPr>
        <w:t> </w:t>
      </w:r>
      <w:r>
        <w:rPr>
          <w:color w:val="231F20"/>
        </w:rPr>
        <w:t>expert</w:t>
      </w:r>
      <w:r>
        <w:rPr>
          <w:color w:val="231F20"/>
          <w:spacing w:val="11"/>
        </w:rPr>
        <w:t> </w:t>
      </w:r>
      <w:r>
        <w:rPr>
          <w:color w:val="231F20"/>
        </w:rPr>
        <w:t>advice</w:t>
      </w:r>
      <w:r>
        <w:rPr>
          <w:color w:val="231F20"/>
          <w:spacing w:val="10"/>
        </w:rPr>
        <w:t> </w:t>
      </w:r>
      <w:r>
        <w:rPr>
          <w:color w:val="231F20"/>
        </w:rPr>
        <w:t>in</w:t>
      </w:r>
      <w:r>
        <w:rPr>
          <w:color w:val="231F20"/>
          <w:spacing w:val="11"/>
        </w:rPr>
        <w:t> </w:t>
      </w:r>
      <w:r>
        <w:rPr>
          <w:color w:val="231F20"/>
        </w:rPr>
        <w:t>HTML</w:t>
      </w:r>
      <w:r>
        <w:rPr>
          <w:color w:val="231F20"/>
          <w:spacing w:val="7"/>
        </w:rPr>
        <w:t> </w:t>
      </w:r>
      <w:r>
        <w:rPr>
          <w:color w:val="231F20"/>
          <w:spacing w:val="-4"/>
        </w:rPr>
        <w:t>text</w:t>
      </w:r>
    </w:p>
    <w:p>
      <w:pPr>
        <w:pStyle w:val="BodyText"/>
        <w:spacing w:line="213" w:lineRule="auto" w:before="11"/>
        <w:ind w:left="2951" w:right="451"/>
      </w:pPr>
      <w:r>
        <w:rPr>
          <w:color w:val="231F20"/>
        </w:rPr>
        <w:t>The text you enter in the expert advice view of the event results </w:t>
      </w:r>
      <w:r>
        <w:rPr>
          <w:color w:val="231F20"/>
        </w:rPr>
        <w:t>workspace</w:t>
      </w:r>
      <w:r>
        <w:rPr>
          <w:color w:val="231F20"/>
          <w:spacing w:val="80"/>
        </w:rPr>
        <w:t> </w:t>
      </w:r>
      <w:r>
        <w:rPr>
          <w:color w:val="231F20"/>
        </w:rPr>
        <w:t>is</w:t>
      </w:r>
      <w:r>
        <w:rPr>
          <w:color w:val="231F20"/>
          <w:spacing w:val="26"/>
        </w:rPr>
        <w:t> </w:t>
      </w:r>
      <w:r>
        <w:rPr>
          <w:color w:val="231F20"/>
        </w:rPr>
        <w:t>converted</w:t>
      </w:r>
      <w:r>
        <w:rPr>
          <w:color w:val="231F20"/>
          <w:spacing w:val="26"/>
        </w:rPr>
        <w:t> </w:t>
      </w:r>
      <w:r>
        <w:rPr>
          <w:color w:val="231F20"/>
        </w:rPr>
        <w:t>to</w:t>
      </w:r>
      <w:r>
        <w:rPr>
          <w:color w:val="231F20"/>
          <w:spacing w:val="26"/>
        </w:rPr>
        <w:t> </w:t>
      </w:r>
      <w:r>
        <w:rPr>
          <w:color w:val="231F20"/>
        </w:rPr>
        <w:t>an</w:t>
      </w:r>
      <w:r>
        <w:rPr>
          <w:color w:val="231F20"/>
          <w:spacing w:val="26"/>
        </w:rPr>
        <w:t> </w:t>
      </w:r>
      <w:r>
        <w:rPr>
          <w:color w:val="231F20"/>
        </w:rPr>
        <w:t>HTML document. You</w:t>
      </w:r>
      <w:r>
        <w:rPr>
          <w:color w:val="231F20"/>
          <w:spacing w:val="26"/>
        </w:rPr>
        <w:t> </w:t>
      </w:r>
      <w:r>
        <w:rPr>
          <w:color w:val="231F20"/>
        </w:rPr>
        <w:t>can</w:t>
      </w:r>
      <w:r>
        <w:rPr>
          <w:color w:val="231F20"/>
          <w:spacing w:val="26"/>
        </w:rPr>
        <w:t> </w:t>
      </w:r>
      <w:r>
        <w:rPr>
          <w:color w:val="231F20"/>
        </w:rPr>
        <w:t>format</w:t>
      </w:r>
      <w:r>
        <w:rPr>
          <w:color w:val="231F20"/>
          <w:spacing w:val="26"/>
        </w:rPr>
        <w:t> </w:t>
      </w:r>
      <w:r>
        <w:rPr>
          <w:color w:val="231F20"/>
        </w:rPr>
        <w:t>the</w:t>
      </w:r>
      <w:r>
        <w:rPr>
          <w:color w:val="231F20"/>
          <w:spacing w:val="26"/>
        </w:rPr>
        <w:t> </w:t>
      </w:r>
      <w:r>
        <w:rPr>
          <w:color w:val="231F20"/>
        </w:rPr>
        <w:t>text,</w:t>
      </w:r>
      <w:r>
        <w:rPr>
          <w:color w:val="231F20"/>
          <w:spacing w:val="26"/>
        </w:rPr>
        <w:t> </w:t>
      </w:r>
      <w:r>
        <w:rPr>
          <w:color w:val="231F20"/>
        </w:rPr>
        <w:t>such</w:t>
      </w:r>
      <w:r>
        <w:rPr>
          <w:color w:val="231F20"/>
          <w:spacing w:val="26"/>
        </w:rPr>
        <w:t> </w:t>
      </w:r>
      <w:r>
        <w:rPr>
          <w:color w:val="231F20"/>
        </w:rPr>
        <w:t>as</w:t>
      </w:r>
      <w:r>
        <w:rPr>
          <w:color w:val="231F20"/>
          <w:spacing w:val="26"/>
        </w:rPr>
        <w:t> </w:t>
      </w:r>
      <w:r>
        <w:rPr>
          <w:color w:val="231F20"/>
        </w:rPr>
        <w:t>to bold or italicize a word, using the proper HTML code. For example, </w:t>
      </w:r>
      <w:r>
        <w:rPr>
          <w:rFonts w:ascii="Arial" w:hAnsi="Arial"/>
          <w:color w:val="231F20"/>
        </w:rPr>
        <w:t>&lt;b&gt; </w:t>
      </w:r>
      <w:r>
        <w:rPr>
          <w:rFonts w:ascii="Arial" w:hAnsi="Arial"/>
          <w:b/>
          <w:color w:val="231F20"/>
        </w:rPr>
        <w:t>bold</w:t>
      </w:r>
      <w:r>
        <w:rPr>
          <w:rFonts w:ascii="Arial" w:hAnsi="Arial"/>
          <w:b/>
          <w:color w:val="231F20"/>
          <w:spacing w:val="40"/>
        </w:rPr>
        <w:t> </w:t>
      </w:r>
      <w:r>
        <w:rPr>
          <w:rFonts w:ascii="Arial" w:hAnsi="Arial"/>
          <w:color w:val="231F20"/>
        </w:rPr>
        <w:t>&lt;/b&gt;</w:t>
      </w:r>
      <w:r>
        <w:rPr>
          <w:rFonts w:ascii="Arial" w:hAnsi="Arial"/>
          <w:color w:val="231F20"/>
          <w:spacing w:val="40"/>
        </w:rPr>
        <w:t> </w:t>
      </w:r>
      <w:r>
        <w:rPr>
          <w:color w:val="231F20"/>
        </w:rPr>
        <w:t>and</w:t>
      </w:r>
      <w:r>
        <w:rPr>
          <w:color w:val="231F20"/>
          <w:spacing w:val="40"/>
        </w:rPr>
        <w:t> </w:t>
      </w:r>
      <w:r>
        <w:rPr>
          <w:rFonts w:ascii="Arial" w:hAnsi="Arial"/>
          <w:color w:val="231F20"/>
        </w:rPr>
        <w:t>&lt;i&gt;</w:t>
      </w:r>
      <w:r>
        <w:rPr>
          <w:rFonts w:ascii="Arial" w:hAnsi="Arial"/>
          <w:color w:val="231F20"/>
          <w:spacing w:val="40"/>
        </w:rPr>
        <w:t> </w:t>
      </w:r>
      <w:r>
        <w:rPr>
          <w:rFonts w:ascii="Lucida Sans" w:hAnsi="Lucida Sans"/>
          <w:i/>
          <w:color w:val="231F20"/>
        </w:rPr>
        <w:t>italic</w:t>
      </w:r>
      <w:r>
        <w:rPr>
          <w:rFonts w:ascii="Lucida Sans" w:hAnsi="Lucida Sans"/>
          <w:i/>
          <w:color w:val="231F20"/>
          <w:spacing w:val="36"/>
        </w:rPr>
        <w:t> </w:t>
      </w:r>
      <w:r>
        <w:rPr>
          <w:rFonts w:ascii="Arial" w:hAnsi="Arial"/>
          <w:color w:val="231F20"/>
        </w:rPr>
        <w:t>&lt;/i&gt;</w:t>
      </w:r>
      <w:r>
        <w:rPr>
          <w:rFonts w:ascii="Arial" w:hAnsi="Arial"/>
          <w:color w:val="231F20"/>
          <w:spacing w:val="40"/>
        </w:rPr>
        <w:t> </w:t>
      </w:r>
      <w:r>
        <w:rPr>
          <w:color w:val="231F20"/>
        </w:rPr>
        <w:t>.</w:t>
      </w:r>
      <w:r>
        <w:rPr>
          <w:color w:val="231F20"/>
          <w:spacing w:val="39"/>
        </w:rPr>
        <w:t> </w:t>
      </w:r>
      <w:r>
        <w:rPr>
          <w:color w:val="231F20"/>
        </w:rPr>
        <w:t>And</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add</w:t>
      </w:r>
      <w:r>
        <w:rPr>
          <w:color w:val="231F20"/>
          <w:spacing w:val="40"/>
        </w:rPr>
        <w:t> </w:t>
      </w:r>
      <w:r>
        <w:rPr>
          <w:color w:val="231F20"/>
        </w:rPr>
        <w:t>links,</w:t>
      </w:r>
      <w:r>
        <w:rPr>
          <w:color w:val="231F20"/>
          <w:spacing w:val="40"/>
        </w:rPr>
        <w:t> </w:t>
      </w:r>
      <w:r>
        <w:rPr>
          <w:color w:val="231F20"/>
        </w:rPr>
        <w:t>using</w:t>
      </w:r>
      <w:r>
        <w:rPr>
          <w:color w:val="231F20"/>
          <w:spacing w:val="40"/>
        </w:rPr>
        <w:t> </w:t>
      </w:r>
      <w:r>
        <w:rPr>
          <w:color w:val="231F20"/>
        </w:rPr>
        <w:t>HTML tagging,</w:t>
      </w:r>
      <w:r>
        <w:rPr>
          <w:color w:val="231F20"/>
          <w:spacing w:val="40"/>
        </w:rPr>
        <w:t> </w:t>
      </w:r>
      <w:r>
        <w:rPr>
          <w:color w:val="231F20"/>
        </w:rPr>
        <w:t>as</w:t>
      </w:r>
      <w:r>
        <w:rPr>
          <w:color w:val="231F20"/>
          <w:spacing w:val="40"/>
        </w:rPr>
        <w:t> </w:t>
      </w:r>
      <w:r>
        <w:rPr>
          <w:color w:val="231F20"/>
        </w:rPr>
        <w:t>in</w:t>
      </w:r>
      <w:r>
        <w:rPr>
          <w:color w:val="231F20"/>
          <w:spacing w:val="40"/>
        </w:rPr>
        <w:t> </w:t>
      </w:r>
      <w:r>
        <w:rPr>
          <w:rFonts w:ascii="Arial" w:hAnsi="Arial"/>
          <w:color w:val="231F20"/>
        </w:rPr>
        <w:t>&lt;a href </w:t>
      </w:r>
      <w:hyperlink r:id="rId172">
        <w:r>
          <w:rPr>
            <w:rFonts w:ascii="Arial" w:hAnsi="Arial"/>
            <w:color w:val="231F20"/>
          </w:rPr>
          <w:t>“http://www.ibm.com”&gt;IBM&lt;/a&gt;</w:t>
        </w:r>
      </w:hyperlink>
      <w:r>
        <w:rPr>
          <w:rFonts w:ascii="Arial" w:hAnsi="Arial"/>
          <w:color w:val="231F20"/>
        </w:rPr>
        <w:t> </w:t>
      </w:r>
      <w:r>
        <w:rPr>
          <w:color w:val="231F20"/>
        </w:rPr>
        <w:t>.</w:t>
      </w:r>
      <w:r>
        <w:rPr>
          <w:color w:val="231F20"/>
          <w:spacing w:val="40"/>
        </w:rPr>
        <w:t> </w:t>
      </w:r>
      <w:r>
        <w:rPr>
          <w:color w:val="231F20"/>
        </w:rPr>
        <w:t>Use</w:t>
      </w:r>
      <w:r>
        <w:rPr>
          <w:color w:val="231F20"/>
          <w:spacing w:val="40"/>
        </w:rPr>
        <w:t> </w:t>
      </w:r>
      <w:r>
        <w:rPr>
          <w:rFonts w:ascii="Arial" w:hAnsi="Arial"/>
          <w:b/>
          <w:color w:val="231F20"/>
        </w:rPr>
        <w:t>Preview </w:t>
      </w:r>
      <w:r>
        <w:rPr>
          <w:color w:val="231F20"/>
        </w:rPr>
        <w:t>to check</w:t>
      </w:r>
      <w:r>
        <w:rPr>
          <w:color w:val="231F20"/>
          <w:spacing w:val="27"/>
        </w:rPr>
        <w:t> </w:t>
      </w:r>
      <w:r>
        <w:rPr>
          <w:color w:val="231F20"/>
        </w:rPr>
        <w:t>that</w:t>
      </w:r>
      <w:r>
        <w:rPr>
          <w:color w:val="231F20"/>
          <w:spacing w:val="27"/>
        </w:rPr>
        <w:t> </w:t>
      </w:r>
      <w:r>
        <w:rPr>
          <w:color w:val="231F20"/>
        </w:rPr>
        <w:t>your</w:t>
      </w:r>
      <w:r>
        <w:rPr>
          <w:color w:val="231F20"/>
          <w:spacing w:val="27"/>
        </w:rPr>
        <w:t> </w:t>
      </w:r>
      <w:r>
        <w:rPr>
          <w:color w:val="231F20"/>
        </w:rPr>
        <w:t>coding</w:t>
      </w:r>
      <w:r>
        <w:rPr>
          <w:color w:val="231F20"/>
          <w:spacing w:val="27"/>
        </w:rPr>
        <w:t> </w:t>
      </w:r>
      <w:r>
        <w:rPr>
          <w:color w:val="231F20"/>
        </w:rPr>
        <w:t>is</w:t>
      </w:r>
      <w:r>
        <w:rPr>
          <w:color w:val="231F20"/>
          <w:spacing w:val="27"/>
        </w:rPr>
        <w:t> </w:t>
      </w:r>
      <w:r>
        <w:rPr>
          <w:color w:val="231F20"/>
        </w:rPr>
        <w:t>correct.</w:t>
      </w:r>
      <w:r>
        <w:rPr>
          <w:color w:val="231F20"/>
          <w:spacing w:val="27"/>
        </w:rPr>
        <w:t> </w:t>
      </w:r>
      <w:r>
        <w:rPr>
          <w:color w:val="231F20"/>
        </w:rPr>
        <w:t>The</w:t>
      </w:r>
      <w:r>
        <w:rPr>
          <w:color w:val="231F20"/>
          <w:spacing w:val="27"/>
        </w:rPr>
        <w:t> </w:t>
      </w:r>
      <w:r>
        <w:rPr>
          <w:color w:val="231F20"/>
        </w:rPr>
        <w:t>limit</w:t>
      </w:r>
      <w:r>
        <w:rPr>
          <w:color w:val="231F20"/>
          <w:spacing w:val="27"/>
        </w:rPr>
        <w:t> </w:t>
      </w:r>
      <w:r>
        <w:rPr>
          <w:color w:val="231F20"/>
        </w:rPr>
        <w:t>is</w:t>
      </w:r>
      <w:r>
        <w:rPr>
          <w:color w:val="231F20"/>
          <w:spacing w:val="27"/>
        </w:rPr>
        <w:t> </w:t>
      </w:r>
      <w:r>
        <w:rPr>
          <w:color w:val="231F20"/>
        </w:rPr>
        <w:t>512</w:t>
      </w:r>
      <w:r>
        <w:rPr>
          <w:color w:val="231F20"/>
          <w:spacing w:val="27"/>
        </w:rPr>
        <w:t> </w:t>
      </w:r>
      <w:r>
        <w:rPr>
          <w:color w:val="231F20"/>
        </w:rPr>
        <w:t>characters.</w:t>
      </w:r>
      <w:r>
        <w:rPr>
          <w:color w:val="231F20"/>
          <w:spacing w:val="27"/>
        </w:rPr>
        <w:t> </w:t>
      </w:r>
      <w:r>
        <w:rPr>
          <w:color w:val="231F20"/>
        </w:rPr>
        <w:t>If</w:t>
      </w:r>
      <w:r>
        <w:rPr>
          <w:color w:val="231F20"/>
          <w:spacing w:val="27"/>
        </w:rPr>
        <w:t> </w:t>
      </w:r>
      <w:r>
        <w:rPr>
          <w:color w:val="231F20"/>
        </w:rPr>
        <w:t>you</w:t>
      </w:r>
      <w:r>
        <w:rPr>
          <w:color w:val="231F20"/>
          <w:spacing w:val="27"/>
        </w:rPr>
        <w:t> </w:t>
      </w:r>
      <w:r>
        <w:rPr>
          <w:color w:val="231F20"/>
        </w:rPr>
        <w:t>must go beyond that, consider linking to another HTML page.</w:t>
      </w:r>
    </w:p>
    <w:p>
      <w:pPr>
        <w:pStyle w:val="Heading6"/>
        <w:spacing w:before="114"/>
        <w:ind w:left="2232"/>
      </w:pPr>
      <w:r>
        <w:rPr>
          <w:color w:val="231F20"/>
        </w:rPr>
        <w:t>Opening</w:t>
      </w:r>
      <w:r>
        <w:rPr>
          <w:color w:val="231F20"/>
          <w:spacing w:val="11"/>
        </w:rPr>
        <w:t> </w:t>
      </w:r>
      <w:r>
        <w:rPr>
          <w:color w:val="231F20"/>
        </w:rPr>
        <w:t>a</w:t>
      </w:r>
      <w:r>
        <w:rPr>
          <w:color w:val="231F20"/>
          <w:spacing w:val="12"/>
        </w:rPr>
        <w:t> </w:t>
      </w:r>
      <w:r>
        <w:rPr>
          <w:color w:val="231F20"/>
        </w:rPr>
        <w:t>web</w:t>
      </w:r>
      <w:r>
        <w:rPr>
          <w:color w:val="231F20"/>
          <w:spacing w:val="12"/>
        </w:rPr>
        <w:t> </w:t>
      </w:r>
      <w:r>
        <w:rPr>
          <w:color w:val="231F20"/>
          <w:spacing w:val="-4"/>
        </w:rPr>
        <w:t>page</w:t>
      </w:r>
    </w:p>
    <w:p>
      <w:pPr>
        <w:pStyle w:val="BodyText"/>
        <w:spacing w:line="213" w:lineRule="auto" w:before="11"/>
        <w:ind w:left="2951" w:right="545"/>
      </w:pPr>
      <w:r>
        <w:rPr>
          <w:color w:val="231F20"/>
        </w:rPr>
        <w:t>If, instead of entering HTML text, you want to have a particular web </w:t>
      </w:r>
      <w:r>
        <w:rPr>
          <w:color w:val="231F20"/>
        </w:rPr>
        <w:t>page opened automatically in the expert advice view, simply enter the URL without any other text. For example, if you have only </w:t>
      </w:r>
      <w:hyperlink r:id="rId172">
        <w:r>
          <w:rPr>
            <w:rFonts w:ascii="Arial"/>
            <w:color w:val="231F20"/>
          </w:rPr>
          <w:t>http://www.ibm.com</w:t>
        </w:r>
      </w:hyperlink>
      <w:r>
        <w:rPr>
          <w:rFonts w:ascii="Arial"/>
          <w:color w:val="231F20"/>
        </w:rPr>
        <w:t> </w:t>
      </w:r>
      <w:r>
        <w:rPr>
          <w:color w:val="231F20"/>
        </w:rPr>
        <w:t>for the expert advice text, the view will open to that website. Use </w:t>
      </w:r>
      <w:r>
        <w:rPr>
          <w:rFonts w:ascii="Book Antiqua"/>
          <w:b/>
          <w:color w:val="231F20"/>
        </w:rPr>
        <w:t>Preview</w:t>
      </w:r>
      <w:r>
        <w:rPr>
          <w:rFonts w:ascii="Book Antiqua"/>
          <w:b/>
          <w:color w:val="231F20"/>
          <w:spacing w:val="40"/>
        </w:rPr>
        <w:t> </w:t>
      </w:r>
      <w:r>
        <w:rPr>
          <w:color w:val="231F20"/>
        </w:rPr>
        <w:t>to test the URL.</w:t>
      </w:r>
    </w:p>
    <w:p>
      <w:pPr>
        <w:pStyle w:val="Heading6"/>
        <w:spacing w:before="116"/>
        <w:ind w:left="2232"/>
      </w:pPr>
      <w:r>
        <w:rPr>
          <w:color w:val="231F20"/>
        </w:rPr>
        <w:t>Using</w:t>
      </w:r>
      <w:r>
        <w:rPr>
          <w:color w:val="231F20"/>
          <w:spacing w:val="8"/>
        </w:rPr>
        <w:t> </w:t>
      </w:r>
      <w:r>
        <w:rPr>
          <w:color w:val="231F20"/>
        </w:rPr>
        <w:t>conditional</w:t>
      </w:r>
      <w:r>
        <w:rPr>
          <w:color w:val="231F20"/>
          <w:spacing w:val="8"/>
        </w:rPr>
        <w:t> </w:t>
      </w:r>
      <w:r>
        <w:rPr>
          <w:color w:val="231F20"/>
          <w:spacing w:val="-2"/>
        </w:rPr>
        <w:t>expressions</w:t>
      </w:r>
    </w:p>
    <w:p>
      <w:pPr>
        <w:pStyle w:val="BodyText"/>
        <w:spacing w:line="213" w:lineRule="auto" w:before="11"/>
        <w:ind w:left="2951" w:right="545"/>
      </w:pPr>
      <w:r>
        <w:rPr>
          <w:color w:val="231F20"/>
        </w:rPr>
        <w:t>The conditional expressions you can build in the Link Wizard</w:t>
      </w:r>
      <w:r>
        <w:rPr>
          <w:color w:val="231F20"/>
          <w:spacing w:val="40"/>
        </w:rPr>
        <w:t> </w:t>
      </w:r>
      <w:r>
        <w:rPr>
          <w:color w:val="231F20"/>
        </w:rPr>
        <w:t>customization page can also be included in expert advice using text</w:t>
      </w:r>
      <w:r>
        <w:rPr>
          <w:color w:val="231F20"/>
          <w:spacing w:val="40"/>
        </w:rPr>
        <w:t> </w:t>
      </w:r>
      <w:r>
        <w:rPr>
          <w:color w:val="231F20"/>
        </w:rPr>
        <w:t>scripting language. The syntax is very specific, so it is best to gather the attribute reference or compose the expression in the Link Wizard and </w:t>
      </w:r>
      <w:r>
        <w:rPr>
          <w:color w:val="231F20"/>
        </w:rPr>
        <w:t>copy</w:t>
      </w:r>
      <w:r>
        <w:rPr>
          <w:color w:val="231F20"/>
          <w:spacing w:val="40"/>
        </w:rPr>
        <w:t> </w:t>
      </w:r>
      <w:r>
        <w:rPr>
          <w:color w:val="231F20"/>
        </w:rPr>
        <w:t>it to the expert advice.</w:t>
      </w:r>
    </w:p>
    <w:p>
      <w:pPr>
        <w:pStyle w:val="BodyText"/>
        <w:spacing w:line="213" w:lineRule="auto" w:before="116"/>
        <w:ind w:left="2951" w:right="545"/>
      </w:pPr>
      <w:r>
        <w:rPr>
          <w:color w:val="231F20"/>
        </w:rPr>
        <w:t>The conditional expressions you can build in the Link Wizard</w:t>
      </w:r>
      <w:r>
        <w:rPr>
          <w:color w:val="231F20"/>
          <w:spacing w:val="40"/>
        </w:rPr>
        <w:t> </w:t>
      </w:r>
      <w:r>
        <w:rPr>
          <w:color w:val="231F20"/>
        </w:rPr>
        <w:t>customization page can also be included in expert advice using text</w:t>
      </w:r>
      <w:r>
        <w:rPr>
          <w:color w:val="231F20"/>
          <w:spacing w:val="40"/>
        </w:rPr>
        <w:t> </w:t>
      </w:r>
      <w:r>
        <w:rPr>
          <w:color w:val="231F20"/>
        </w:rPr>
        <w:t>scripting language. The syntax is very specific, so it is best to gather the attribute reference or compose the expression in the Link Wizard and </w:t>
      </w:r>
      <w:r>
        <w:rPr>
          <w:color w:val="231F20"/>
        </w:rPr>
        <w:t>copy</w:t>
      </w:r>
      <w:r>
        <w:rPr>
          <w:color w:val="231F20"/>
          <w:spacing w:val="40"/>
        </w:rPr>
        <w:t> </w:t>
      </w:r>
      <w:r>
        <w:rPr>
          <w:color w:val="231F20"/>
        </w:rPr>
        <w:t>it to the expert advice. </w:t>
      </w:r>
      <w:r>
        <w:rPr>
          <w:rFonts w:ascii="Book Antiqua"/>
          <w:b/>
          <w:color w:val="231F20"/>
        </w:rPr>
        <w:t>Preview </w:t>
      </w:r>
      <w:r>
        <w:rPr>
          <w:color w:val="231F20"/>
        </w:rPr>
        <w:t>to check your coding is correct and does what you had intended. Example:</w:t>
      </w:r>
    </w:p>
    <w:p>
      <w:pPr>
        <w:spacing w:line="203" w:lineRule="exact" w:before="59"/>
        <w:ind w:left="2951" w:right="0" w:firstLine="0"/>
        <w:jc w:val="left"/>
        <w:rPr>
          <w:rFonts w:ascii="Arial" w:hAnsi="Arial"/>
          <w:sz w:val="18"/>
        </w:rPr>
      </w:pPr>
      <w:r>
        <w:rPr>
          <w:rFonts w:ascii="Arial" w:hAnsi="Arial"/>
          <w:color w:val="231F20"/>
          <w:w w:val="105"/>
          <w:sz w:val="18"/>
        </w:rPr>
        <w:t>search</w:t>
      </w:r>
      <w:r>
        <w:rPr>
          <w:rFonts w:ascii="Arial" w:hAnsi="Arial"/>
          <w:color w:val="231F20"/>
          <w:spacing w:val="15"/>
          <w:w w:val="105"/>
          <w:sz w:val="18"/>
        </w:rPr>
        <w:t> </w:t>
      </w:r>
      <w:r>
        <w:rPr>
          <w:rFonts w:ascii="Arial" w:hAnsi="Arial"/>
          <w:color w:val="231F20"/>
          <w:w w:val="105"/>
          <w:sz w:val="18"/>
        </w:rPr>
        <w:t>=</w:t>
      </w:r>
      <w:r>
        <w:rPr>
          <w:rFonts w:ascii="Arial" w:hAnsi="Arial"/>
          <w:color w:val="231F20"/>
          <w:spacing w:val="16"/>
          <w:w w:val="105"/>
          <w:sz w:val="18"/>
        </w:rPr>
        <w:t> </w:t>
      </w:r>
      <w:r>
        <w:rPr>
          <w:rFonts w:ascii="Arial" w:hAnsi="Arial"/>
          <w:color w:val="231F20"/>
          <w:w w:val="105"/>
          <w:sz w:val="18"/>
        </w:rPr>
        <w:t>INPUT(“What</w:t>
      </w:r>
      <w:r>
        <w:rPr>
          <w:rFonts w:ascii="Arial" w:hAnsi="Arial"/>
          <w:color w:val="231F20"/>
          <w:spacing w:val="15"/>
          <w:w w:val="105"/>
          <w:sz w:val="18"/>
        </w:rPr>
        <w:t> </w:t>
      </w:r>
      <w:r>
        <w:rPr>
          <w:rFonts w:ascii="Arial" w:hAnsi="Arial"/>
          <w:color w:val="231F20"/>
          <w:w w:val="105"/>
          <w:sz w:val="18"/>
        </w:rPr>
        <w:t>do</w:t>
      </w:r>
      <w:r>
        <w:rPr>
          <w:rFonts w:ascii="Arial" w:hAnsi="Arial"/>
          <w:color w:val="231F20"/>
          <w:spacing w:val="16"/>
          <w:w w:val="105"/>
          <w:sz w:val="18"/>
        </w:rPr>
        <w:t> </w:t>
      </w:r>
      <w:r>
        <w:rPr>
          <w:rFonts w:ascii="Arial" w:hAnsi="Arial"/>
          <w:color w:val="231F20"/>
          <w:w w:val="105"/>
          <w:sz w:val="18"/>
        </w:rPr>
        <w:t>you</w:t>
      </w:r>
      <w:r>
        <w:rPr>
          <w:rFonts w:ascii="Arial" w:hAnsi="Arial"/>
          <w:color w:val="231F20"/>
          <w:spacing w:val="15"/>
          <w:w w:val="105"/>
          <w:sz w:val="18"/>
        </w:rPr>
        <w:t> </w:t>
      </w:r>
      <w:r>
        <w:rPr>
          <w:rFonts w:ascii="Arial" w:hAnsi="Arial"/>
          <w:color w:val="231F20"/>
          <w:w w:val="105"/>
          <w:sz w:val="18"/>
        </w:rPr>
        <w:t>want</w:t>
      </w:r>
      <w:r>
        <w:rPr>
          <w:rFonts w:ascii="Arial" w:hAnsi="Arial"/>
          <w:color w:val="231F20"/>
          <w:spacing w:val="16"/>
          <w:w w:val="105"/>
          <w:sz w:val="18"/>
        </w:rPr>
        <w:t> </w:t>
      </w:r>
      <w:r>
        <w:rPr>
          <w:rFonts w:ascii="Arial" w:hAnsi="Arial"/>
          <w:color w:val="231F20"/>
          <w:w w:val="105"/>
          <w:sz w:val="18"/>
        </w:rPr>
        <w:t>to</w:t>
      </w:r>
      <w:r>
        <w:rPr>
          <w:rFonts w:ascii="Arial" w:hAnsi="Arial"/>
          <w:color w:val="231F20"/>
          <w:spacing w:val="15"/>
          <w:w w:val="105"/>
          <w:sz w:val="18"/>
        </w:rPr>
        <w:t> </w:t>
      </w:r>
      <w:r>
        <w:rPr>
          <w:rFonts w:ascii="Arial" w:hAnsi="Arial"/>
          <w:color w:val="231F20"/>
          <w:w w:val="105"/>
          <w:sz w:val="18"/>
        </w:rPr>
        <w:t>look</w:t>
      </w:r>
      <w:r>
        <w:rPr>
          <w:rFonts w:ascii="Arial" w:hAnsi="Arial"/>
          <w:color w:val="231F20"/>
          <w:spacing w:val="16"/>
          <w:w w:val="105"/>
          <w:sz w:val="18"/>
        </w:rPr>
        <w:t> </w:t>
      </w:r>
      <w:r>
        <w:rPr>
          <w:rFonts w:ascii="Arial" w:hAnsi="Arial"/>
          <w:color w:val="231F20"/>
          <w:w w:val="105"/>
          <w:sz w:val="18"/>
        </w:rPr>
        <w:t>for?”,</w:t>
      </w:r>
      <w:r>
        <w:rPr>
          <w:rFonts w:ascii="Arial" w:hAnsi="Arial"/>
          <w:color w:val="231F20"/>
          <w:spacing w:val="15"/>
          <w:w w:val="105"/>
          <w:sz w:val="18"/>
        </w:rPr>
        <w:t> </w:t>
      </w:r>
      <w:r>
        <w:rPr>
          <w:rFonts w:ascii="Arial" w:hAnsi="Arial"/>
          <w:color w:val="231F20"/>
          <w:spacing w:val="-2"/>
          <w:w w:val="105"/>
          <w:sz w:val="18"/>
        </w:rPr>
        <w:t>“enter”);</w:t>
      </w:r>
    </w:p>
    <w:p>
      <w:pPr>
        <w:spacing w:line="200" w:lineRule="exact" w:before="0"/>
        <w:ind w:left="3130" w:right="0" w:firstLine="0"/>
        <w:jc w:val="left"/>
        <w:rPr>
          <w:rFonts w:ascii="Arial" w:hAnsi="Arial"/>
          <w:sz w:val="18"/>
        </w:rPr>
      </w:pPr>
      <w:r>
        <w:rPr>
          <w:rFonts w:ascii="Arial" w:hAnsi="Arial"/>
          <w:color w:val="231F20"/>
          <w:w w:val="90"/>
          <w:sz w:val="18"/>
        </w:rPr>
        <w:t>“&lt;BODY</w:t>
      </w:r>
      <w:r>
        <w:rPr>
          <w:rFonts w:ascii="Arial" w:hAnsi="Arial"/>
          <w:color w:val="231F20"/>
          <w:spacing w:val="67"/>
          <w:w w:val="150"/>
          <w:sz w:val="18"/>
        </w:rPr>
        <w:t> </w:t>
      </w:r>
      <w:r>
        <w:rPr>
          <w:rFonts w:ascii="Arial" w:hAnsi="Arial"/>
          <w:color w:val="231F20"/>
          <w:w w:val="90"/>
          <w:sz w:val="18"/>
        </w:rPr>
        <w:t>BGCOLOR=’#e6e6fa’&gt;Searching</w:t>
      </w:r>
      <w:r>
        <w:rPr>
          <w:rFonts w:ascii="Arial" w:hAnsi="Arial"/>
          <w:color w:val="231F20"/>
          <w:spacing w:val="68"/>
          <w:w w:val="150"/>
          <w:sz w:val="18"/>
        </w:rPr>
        <w:t> </w:t>
      </w:r>
      <w:r>
        <w:rPr>
          <w:rFonts w:ascii="Arial" w:hAnsi="Arial"/>
          <w:color w:val="231F20"/>
          <w:w w:val="90"/>
          <w:sz w:val="18"/>
        </w:rPr>
        <w:t>database</w:t>
      </w:r>
      <w:r>
        <w:rPr>
          <w:rFonts w:ascii="Arial" w:hAnsi="Arial"/>
          <w:color w:val="231F20"/>
          <w:spacing w:val="68"/>
          <w:w w:val="150"/>
          <w:sz w:val="18"/>
        </w:rPr>
        <w:t> </w:t>
      </w:r>
      <w:r>
        <w:rPr>
          <w:rFonts w:ascii="Arial" w:hAnsi="Arial"/>
          <w:color w:val="231F20"/>
          <w:w w:val="90"/>
          <w:sz w:val="18"/>
        </w:rPr>
        <w:t>for</w:t>
      </w:r>
      <w:r>
        <w:rPr>
          <w:rFonts w:ascii="Arial" w:hAnsi="Arial"/>
          <w:color w:val="231F20"/>
          <w:spacing w:val="68"/>
          <w:w w:val="150"/>
          <w:sz w:val="18"/>
        </w:rPr>
        <w:t> </w:t>
      </w:r>
      <w:r>
        <w:rPr>
          <w:rFonts w:ascii="Arial" w:hAnsi="Arial"/>
          <w:color w:val="231F20"/>
          <w:spacing w:val="-2"/>
          <w:w w:val="90"/>
          <w:sz w:val="18"/>
        </w:rPr>
        <w:t>&lt;b&gt;”+search+“&lt;/b&gt;...</w:t>
      </w:r>
    </w:p>
    <w:p>
      <w:pPr>
        <w:spacing w:line="200" w:lineRule="exact" w:before="0"/>
        <w:ind w:left="3130" w:right="0" w:firstLine="0"/>
        <w:jc w:val="left"/>
        <w:rPr>
          <w:rFonts w:ascii="Arial" w:hAnsi="Arial"/>
          <w:sz w:val="18"/>
        </w:rPr>
      </w:pPr>
      <w:r>
        <w:rPr>
          <w:rFonts w:ascii="Arial" w:hAnsi="Arial"/>
          <w:color w:val="231F20"/>
          <w:w w:val="90"/>
          <w:sz w:val="18"/>
        </w:rPr>
        <w:t>&lt;META</w:t>
      </w:r>
      <w:r>
        <w:rPr>
          <w:rFonts w:ascii="Arial" w:hAnsi="Arial"/>
          <w:color w:val="231F20"/>
          <w:spacing w:val="54"/>
          <w:sz w:val="18"/>
        </w:rPr>
        <w:t> </w:t>
      </w:r>
      <w:r>
        <w:rPr>
          <w:rFonts w:ascii="Arial" w:hAnsi="Arial"/>
          <w:color w:val="231F20"/>
          <w:w w:val="90"/>
          <w:sz w:val="18"/>
        </w:rPr>
        <w:t>HTTP-EQUIV=’refresh’</w:t>
      </w:r>
      <w:r>
        <w:rPr>
          <w:rFonts w:ascii="Arial" w:hAnsi="Arial"/>
          <w:color w:val="231F20"/>
          <w:spacing w:val="55"/>
          <w:sz w:val="18"/>
        </w:rPr>
        <w:t> </w:t>
      </w:r>
      <w:r>
        <w:rPr>
          <w:rFonts w:ascii="Arial" w:hAnsi="Arial"/>
          <w:color w:val="231F20"/>
          <w:spacing w:val="-2"/>
          <w:w w:val="90"/>
          <w:sz w:val="18"/>
        </w:rPr>
        <w:t>CONTENT=’1;</w:t>
      </w:r>
    </w:p>
    <w:p>
      <w:pPr>
        <w:spacing w:line="203" w:lineRule="exact" w:before="0"/>
        <w:ind w:left="3130" w:right="0" w:firstLine="0"/>
        <w:jc w:val="left"/>
        <w:rPr>
          <w:rFonts w:ascii="Arial" w:hAnsi="Arial"/>
          <w:sz w:val="18"/>
        </w:rPr>
      </w:pPr>
      <w:hyperlink r:id="rId382">
        <w:r>
          <w:rPr>
            <w:rFonts w:ascii="Arial" w:hAnsi="Arial"/>
            <w:color w:val="231F20"/>
            <w:spacing w:val="-2"/>
            <w:w w:val="105"/>
            <w:sz w:val="18"/>
          </w:rPr>
          <w:t>URL=http://searchenginesite.com/search?q=”+search+“’&gt;”</w:t>
        </w:r>
      </w:hyperlink>
    </w:p>
    <w:p>
      <w:pPr>
        <w:pStyle w:val="BodyText"/>
        <w:spacing w:before="42"/>
        <w:rPr>
          <w:rFonts w:ascii="Arial"/>
          <w:sz w:val="18"/>
        </w:rPr>
      </w:pPr>
    </w:p>
    <w:p>
      <w:pPr>
        <w:pStyle w:val="BodyText"/>
        <w:spacing w:line="213" w:lineRule="auto"/>
        <w:ind w:left="2951" w:right="425"/>
      </w:pPr>
      <w:r>
        <w:rPr>
          <w:color w:val="231F20"/>
        </w:rPr>
        <w:t>The code creates the variable </w:t>
      </w:r>
      <w:r>
        <w:rPr>
          <w:rFonts w:ascii="Arial"/>
          <w:color w:val="231F20"/>
        </w:rPr>
        <w:t>search </w:t>
      </w:r>
      <w:r>
        <w:rPr>
          <w:color w:val="231F20"/>
        </w:rPr>
        <w:t>from the user's response to, </w:t>
      </w:r>
      <w:r>
        <w:rPr>
          <w:rFonts w:ascii="Arial"/>
          <w:color w:val="231F20"/>
        </w:rPr>
        <w:t>What do you</w:t>
      </w:r>
      <w:r>
        <w:rPr>
          <w:rFonts w:ascii="Arial"/>
          <w:color w:val="231F20"/>
          <w:spacing w:val="23"/>
        </w:rPr>
        <w:t> </w:t>
      </w:r>
      <w:r>
        <w:rPr>
          <w:rFonts w:ascii="Arial"/>
          <w:color w:val="231F20"/>
        </w:rPr>
        <w:t>want</w:t>
      </w:r>
      <w:r>
        <w:rPr>
          <w:rFonts w:ascii="Arial"/>
          <w:color w:val="231F20"/>
          <w:spacing w:val="23"/>
        </w:rPr>
        <w:t> </w:t>
      </w:r>
      <w:r>
        <w:rPr>
          <w:rFonts w:ascii="Arial"/>
          <w:color w:val="231F20"/>
        </w:rPr>
        <w:t>to</w:t>
      </w:r>
      <w:r>
        <w:rPr>
          <w:rFonts w:ascii="Arial"/>
          <w:color w:val="231F20"/>
          <w:spacing w:val="23"/>
        </w:rPr>
        <w:t> </w:t>
      </w:r>
      <w:r>
        <w:rPr>
          <w:rFonts w:ascii="Arial"/>
          <w:color w:val="231F20"/>
        </w:rPr>
        <w:t>look</w:t>
      </w:r>
      <w:r>
        <w:rPr>
          <w:rFonts w:ascii="Arial"/>
          <w:color w:val="231F20"/>
          <w:spacing w:val="23"/>
        </w:rPr>
        <w:t> </w:t>
      </w:r>
      <w:r>
        <w:rPr>
          <w:rFonts w:ascii="Arial"/>
          <w:color w:val="231F20"/>
        </w:rPr>
        <w:t>for?</w:t>
      </w:r>
      <w:r>
        <w:rPr>
          <w:rFonts w:ascii="Arial"/>
          <w:color w:val="231F20"/>
          <w:spacing w:val="23"/>
        </w:rPr>
        <w:t> </w:t>
      </w:r>
      <w:r>
        <w:rPr>
          <w:color w:val="231F20"/>
        </w:rPr>
        <w:t>,</w:t>
      </w:r>
      <w:r>
        <w:rPr>
          <w:color w:val="231F20"/>
          <w:spacing w:val="28"/>
        </w:rPr>
        <w:t> </w:t>
      </w:r>
      <w:r>
        <w:rPr>
          <w:color w:val="231F20"/>
        </w:rPr>
        <w:t>then</w:t>
      </w:r>
      <w:r>
        <w:rPr>
          <w:color w:val="231F20"/>
          <w:spacing w:val="28"/>
        </w:rPr>
        <w:t> </w:t>
      </w:r>
      <w:r>
        <w:rPr>
          <w:color w:val="231F20"/>
        </w:rPr>
        <w:t>puts</w:t>
      </w:r>
      <w:r>
        <w:rPr>
          <w:color w:val="231F20"/>
          <w:spacing w:val="28"/>
        </w:rPr>
        <w:t> </w:t>
      </w:r>
      <w:r>
        <w:rPr>
          <w:color w:val="231F20"/>
        </w:rPr>
        <w:t>it</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URL</w:t>
      </w:r>
      <w:r>
        <w:rPr>
          <w:color w:val="231F20"/>
          <w:spacing w:val="20"/>
        </w:rPr>
        <w:t> </w:t>
      </w:r>
      <w:r>
        <w:rPr>
          <w:color w:val="231F20"/>
        </w:rPr>
        <w:t>for</w:t>
      </w:r>
      <w:r>
        <w:rPr>
          <w:color w:val="231F20"/>
          <w:spacing w:val="28"/>
        </w:rPr>
        <w:t> </w:t>
      </w:r>
      <w:r>
        <w:rPr>
          <w:color w:val="231F20"/>
        </w:rPr>
        <w:t>the</w:t>
      </w:r>
      <w:r>
        <w:rPr>
          <w:color w:val="231F20"/>
          <w:spacing w:val="28"/>
        </w:rPr>
        <w:t> </w:t>
      </w:r>
      <w:r>
        <w:rPr>
          <w:color w:val="231F20"/>
        </w:rPr>
        <w:t>search</w:t>
      </w:r>
      <w:r>
        <w:rPr>
          <w:color w:val="231F20"/>
          <w:spacing w:val="28"/>
        </w:rPr>
        <w:t> </w:t>
      </w:r>
      <w:r>
        <w:rPr>
          <w:color w:val="231F20"/>
        </w:rPr>
        <w:t>engine.</w:t>
      </w:r>
      <w:r>
        <w:rPr>
          <w:color w:val="231F20"/>
          <w:spacing w:val="28"/>
        </w:rPr>
        <w:t> </w:t>
      </w:r>
      <w:r>
        <w:rPr>
          <w:color w:val="231F20"/>
        </w:rPr>
        <w:t>The META </w:t>
      </w:r>
      <w:r>
        <w:rPr>
          <w:rFonts w:ascii="Arial"/>
          <w:color w:val="231F20"/>
        </w:rPr>
        <w:t>refresh </w:t>
      </w:r>
      <w:r>
        <w:rPr>
          <w:color w:val="231F20"/>
        </w:rPr>
        <w:t>tag is used to switch to the website automatically after one</w:t>
      </w:r>
      <w:r>
        <w:rPr>
          <w:color w:val="231F20"/>
          <w:spacing w:val="40"/>
        </w:rPr>
        <w:t> </w:t>
      </w:r>
      <w:r>
        <w:rPr>
          <w:color w:val="231F20"/>
        </w:rPr>
        <w:t>second. The </w:t>
      </w:r>
      <w:r>
        <w:rPr>
          <w:rFonts w:ascii="Arial"/>
          <w:color w:val="231F20"/>
        </w:rPr>
        <w:t>INPUT </w:t>
      </w:r>
      <w:r>
        <w:rPr>
          <w:color w:val="231F20"/>
        </w:rPr>
        <w:t>function is available in the Link Wizard. Example:</w:t>
      </w:r>
    </w:p>
    <w:p>
      <w:pPr>
        <w:spacing w:line="203" w:lineRule="exact" w:before="60"/>
        <w:ind w:left="2951" w:right="0" w:firstLine="0"/>
        <w:jc w:val="left"/>
        <w:rPr>
          <w:rFonts w:ascii="Arial"/>
          <w:sz w:val="18"/>
        </w:rPr>
      </w:pPr>
      <w:r>
        <w:rPr>
          <w:rFonts w:ascii="Arial"/>
          <w:color w:val="231F20"/>
          <w:w w:val="90"/>
          <w:sz w:val="18"/>
        </w:rPr>
        <w:t>name</w:t>
      </w:r>
      <w:r>
        <w:rPr>
          <w:rFonts w:ascii="Arial"/>
          <w:color w:val="231F20"/>
          <w:spacing w:val="11"/>
          <w:sz w:val="18"/>
        </w:rPr>
        <w:t> </w:t>
      </w:r>
      <w:r>
        <w:rPr>
          <w:rFonts w:ascii="Arial"/>
          <w:color w:val="231F20"/>
          <w:w w:val="90"/>
          <w:sz w:val="18"/>
        </w:rPr>
        <w:t>=</w:t>
      </w:r>
      <w:r>
        <w:rPr>
          <w:rFonts w:ascii="Arial"/>
          <w:color w:val="231F20"/>
          <w:spacing w:val="12"/>
          <w:sz w:val="18"/>
        </w:rPr>
        <w:t> </w:t>
      </w:r>
      <w:r>
        <w:rPr>
          <w:rFonts w:ascii="Arial"/>
          <w:color w:val="231F20"/>
          <w:spacing w:val="-2"/>
          <w:w w:val="90"/>
          <w:sz w:val="18"/>
        </w:rPr>
        <w:t>$EVENT:ATTRIBUTE.ISITSTSH.SITNAME$;</w:t>
      </w:r>
    </w:p>
    <w:p>
      <w:pPr>
        <w:spacing w:line="203" w:lineRule="exact" w:before="0"/>
        <w:ind w:left="2951" w:right="0" w:firstLine="0"/>
        <w:jc w:val="left"/>
        <w:rPr>
          <w:rFonts w:ascii="Arial"/>
          <w:sz w:val="18"/>
        </w:rPr>
      </w:pPr>
      <w:r>
        <w:rPr>
          <w:rFonts w:ascii="Arial"/>
          <w:color w:val="231F20"/>
          <w:w w:val="95"/>
          <w:sz w:val="18"/>
        </w:rPr>
        <w:t>node</w:t>
      </w:r>
      <w:r>
        <w:rPr>
          <w:rFonts w:ascii="Arial"/>
          <w:color w:val="231F20"/>
          <w:spacing w:val="21"/>
          <w:sz w:val="18"/>
        </w:rPr>
        <w:t> </w:t>
      </w:r>
      <w:r>
        <w:rPr>
          <w:rFonts w:ascii="Arial"/>
          <w:color w:val="231F20"/>
          <w:w w:val="95"/>
          <w:sz w:val="18"/>
        </w:rPr>
        <w:t>=</w:t>
      </w:r>
      <w:r>
        <w:rPr>
          <w:rFonts w:ascii="Arial"/>
          <w:color w:val="231F20"/>
          <w:spacing w:val="22"/>
          <w:sz w:val="18"/>
        </w:rPr>
        <w:t> </w:t>
      </w:r>
      <w:r>
        <w:rPr>
          <w:rFonts w:ascii="Arial"/>
          <w:color w:val="231F20"/>
          <w:spacing w:val="-2"/>
          <w:w w:val="95"/>
          <w:sz w:val="18"/>
        </w:rPr>
        <w:t>$NODE$;</w:t>
      </w:r>
    </w:p>
    <w:p>
      <w:pPr>
        <w:spacing w:line="203" w:lineRule="exact" w:before="193"/>
        <w:ind w:left="2951" w:right="0" w:firstLine="0"/>
        <w:jc w:val="left"/>
        <w:rPr>
          <w:rFonts w:ascii="Arial" w:hAnsi="Arial"/>
          <w:sz w:val="18"/>
        </w:rPr>
      </w:pPr>
      <w:r>
        <w:rPr>
          <w:rFonts w:ascii="Arial" w:hAnsi="Arial"/>
          <w:color w:val="231F20"/>
          <w:w w:val="80"/>
          <w:sz w:val="18"/>
        </w:rPr>
        <w:t>"&lt;BODY</w:t>
      </w:r>
      <w:r>
        <w:rPr>
          <w:rFonts w:ascii="Arial" w:hAnsi="Arial"/>
          <w:color w:val="231F20"/>
          <w:spacing w:val="32"/>
          <w:sz w:val="18"/>
        </w:rPr>
        <w:t> </w:t>
      </w:r>
      <w:r>
        <w:rPr>
          <w:rFonts w:ascii="Arial" w:hAnsi="Arial"/>
          <w:color w:val="231F20"/>
          <w:spacing w:val="-2"/>
          <w:w w:val="85"/>
          <w:sz w:val="18"/>
        </w:rPr>
        <w:t>BGCOLOR=’##FEDCEF’&gt;</w:t>
      </w:r>
    </w:p>
    <w:p>
      <w:pPr>
        <w:spacing w:line="200" w:lineRule="exact" w:before="0"/>
        <w:ind w:left="3130" w:right="0" w:firstLine="0"/>
        <w:jc w:val="left"/>
        <w:rPr>
          <w:rFonts w:ascii="Arial"/>
          <w:sz w:val="18"/>
        </w:rPr>
      </w:pPr>
      <w:r>
        <w:rPr>
          <w:rFonts w:ascii="Arial"/>
          <w:color w:val="231F20"/>
          <w:w w:val="110"/>
          <w:sz w:val="18"/>
        </w:rPr>
        <w:t>&lt;div</w:t>
      </w:r>
      <w:r>
        <w:rPr>
          <w:rFonts w:ascii="Arial"/>
          <w:color w:val="231F20"/>
          <w:spacing w:val="11"/>
          <w:w w:val="110"/>
          <w:sz w:val="18"/>
        </w:rPr>
        <w:t> </w:t>
      </w:r>
      <w:r>
        <w:rPr>
          <w:rFonts w:ascii="Arial"/>
          <w:color w:val="231F20"/>
          <w:w w:val="110"/>
          <w:sz w:val="18"/>
        </w:rPr>
        <w:t>align=center&gt;&lt;h3&gt;&lt;i&gt;This</w:t>
      </w:r>
      <w:r>
        <w:rPr>
          <w:rFonts w:ascii="Arial"/>
          <w:color w:val="231F20"/>
          <w:spacing w:val="12"/>
          <w:w w:val="110"/>
          <w:sz w:val="18"/>
        </w:rPr>
        <w:t> </w:t>
      </w:r>
      <w:r>
        <w:rPr>
          <w:rFonts w:ascii="Arial"/>
          <w:color w:val="231F20"/>
          <w:w w:val="110"/>
          <w:sz w:val="18"/>
        </w:rPr>
        <w:t>is</w:t>
      </w:r>
      <w:r>
        <w:rPr>
          <w:rFonts w:ascii="Arial"/>
          <w:color w:val="231F20"/>
          <w:spacing w:val="12"/>
          <w:w w:val="110"/>
          <w:sz w:val="18"/>
        </w:rPr>
        <w:t> </w:t>
      </w:r>
      <w:r>
        <w:rPr>
          <w:rFonts w:ascii="Arial"/>
          <w:color w:val="231F20"/>
          <w:w w:val="110"/>
          <w:sz w:val="18"/>
        </w:rPr>
        <w:t>expert</w:t>
      </w:r>
      <w:r>
        <w:rPr>
          <w:rFonts w:ascii="Arial"/>
          <w:color w:val="231F20"/>
          <w:spacing w:val="11"/>
          <w:w w:val="110"/>
          <w:sz w:val="18"/>
        </w:rPr>
        <w:t> </w:t>
      </w:r>
      <w:r>
        <w:rPr>
          <w:rFonts w:ascii="Arial"/>
          <w:color w:val="231F20"/>
          <w:w w:val="110"/>
          <w:sz w:val="18"/>
        </w:rPr>
        <w:t>advice</w:t>
      </w:r>
      <w:r>
        <w:rPr>
          <w:rFonts w:ascii="Arial"/>
          <w:color w:val="231F20"/>
          <w:spacing w:val="12"/>
          <w:w w:val="110"/>
          <w:sz w:val="18"/>
        </w:rPr>
        <w:t> </w:t>
      </w:r>
      <w:r>
        <w:rPr>
          <w:rFonts w:ascii="Arial"/>
          <w:color w:val="231F20"/>
          <w:w w:val="110"/>
          <w:sz w:val="18"/>
        </w:rPr>
        <w:t>for</w:t>
      </w:r>
      <w:r>
        <w:rPr>
          <w:rFonts w:ascii="Arial"/>
          <w:color w:val="231F20"/>
          <w:spacing w:val="12"/>
          <w:w w:val="110"/>
          <w:sz w:val="18"/>
        </w:rPr>
        <w:t> </w:t>
      </w:r>
      <w:r>
        <w:rPr>
          <w:rFonts w:ascii="Arial"/>
          <w:color w:val="231F20"/>
          <w:spacing w:val="-4"/>
          <w:w w:val="110"/>
          <w:sz w:val="18"/>
        </w:rPr>
        <w:t>&lt;/i&gt;</w:t>
      </w:r>
    </w:p>
    <w:p>
      <w:pPr>
        <w:spacing w:line="230" w:lineRule="auto" w:before="3"/>
        <w:ind w:left="3130" w:right="636" w:firstLine="0"/>
        <w:jc w:val="left"/>
        <w:rPr>
          <w:rFonts w:ascii="Arial"/>
          <w:sz w:val="18"/>
        </w:rPr>
      </w:pPr>
      <w:r>
        <w:rPr>
          <w:rFonts w:ascii="Arial"/>
          <w:color w:val="231F20"/>
          <w:sz w:val="18"/>
        </w:rPr>
        <w:t>&lt;/h3&gt;&lt;h2&gt;"+name+"&lt;/h2&gt;</w:t>
      </w:r>
      <w:r>
        <w:rPr>
          <w:rFonts w:ascii="Arial"/>
          <w:color w:val="231F20"/>
          <w:spacing w:val="40"/>
          <w:sz w:val="18"/>
        </w:rPr>
        <w:t> </w:t>
      </w:r>
      <w:r>
        <w:rPr>
          <w:rFonts w:ascii="Arial"/>
          <w:color w:val="231F20"/>
          <w:sz w:val="18"/>
        </w:rPr>
        <w:t>on</w:t>
      </w:r>
      <w:r>
        <w:rPr>
          <w:rFonts w:ascii="Arial"/>
          <w:color w:val="231F20"/>
          <w:spacing w:val="40"/>
          <w:sz w:val="18"/>
        </w:rPr>
        <w:t> </w:t>
      </w:r>
      <w:r>
        <w:rPr>
          <w:rFonts w:ascii="Arial"/>
          <w:color w:val="231F20"/>
          <w:sz w:val="18"/>
        </w:rPr>
        <w:t>"+node+</w:t>
      </w:r>
      <w:r>
        <w:rPr>
          <w:rFonts w:ascii="Arial"/>
          <w:color w:val="231F20"/>
          <w:spacing w:val="40"/>
          <w:sz w:val="18"/>
        </w:rPr>
        <w:t> </w:t>
      </w:r>
      <w:r>
        <w:rPr>
          <w:rFonts w:ascii="Arial"/>
          <w:color w:val="231F20"/>
          <w:sz w:val="18"/>
        </w:rPr>
        <w:t>"&lt;p&gt;Please</w:t>
      </w:r>
      <w:r>
        <w:rPr>
          <w:rFonts w:ascii="Arial"/>
          <w:color w:val="231F20"/>
          <w:spacing w:val="40"/>
          <w:sz w:val="18"/>
        </w:rPr>
        <w:t> </w:t>
      </w:r>
      <w:r>
        <w:rPr>
          <w:rFonts w:ascii="Arial"/>
          <w:color w:val="231F20"/>
          <w:sz w:val="18"/>
        </w:rPr>
        <w:t>notify</w:t>
      </w:r>
      <w:r>
        <w:rPr>
          <w:rFonts w:ascii="Arial"/>
          <w:color w:val="231F20"/>
          <w:spacing w:val="40"/>
          <w:sz w:val="18"/>
        </w:rPr>
        <w:t> </w:t>
      </w:r>
      <w:r>
        <w:rPr>
          <w:rFonts w:ascii="Arial"/>
          <w:color w:val="231F20"/>
          <w:sz w:val="18"/>
        </w:rPr>
        <w:t>your</w:t>
      </w:r>
      <w:r>
        <w:rPr>
          <w:rFonts w:ascii="Arial"/>
          <w:color w:val="231F20"/>
          <w:spacing w:val="40"/>
          <w:sz w:val="18"/>
        </w:rPr>
        <w:t> </w:t>
      </w:r>
      <w:r>
        <w:rPr>
          <w:rFonts w:ascii="Arial"/>
          <w:color w:val="231F20"/>
          <w:sz w:val="18"/>
        </w:rPr>
        <w:t>system </w:t>
      </w:r>
      <w:r>
        <w:rPr>
          <w:rFonts w:ascii="Arial"/>
          <w:color w:val="231F20"/>
          <w:w w:val="105"/>
          <w:sz w:val="18"/>
        </w:rPr>
        <w:t>administrator</w:t>
      </w:r>
      <w:r>
        <w:rPr>
          <w:rFonts w:ascii="Arial"/>
          <w:color w:val="231F20"/>
          <w:spacing w:val="13"/>
          <w:w w:val="105"/>
          <w:sz w:val="18"/>
        </w:rPr>
        <w:t> </w:t>
      </w:r>
      <w:r>
        <w:rPr>
          <w:rFonts w:ascii="Arial"/>
          <w:color w:val="231F20"/>
          <w:w w:val="105"/>
          <w:sz w:val="18"/>
        </w:rPr>
        <w:t>that</w:t>
      </w:r>
      <w:r>
        <w:rPr>
          <w:rFonts w:ascii="Arial"/>
          <w:color w:val="231F20"/>
          <w:spacing w:val="13"/>
          <w:w w:val="105"/>
          <w:sz w:val="18"/>
        </w:rPr>
        <w:t> </w:t>
      </w:r>
      <w:r>
        <w:rPr>
          <w:rFonts w:ascii="Arial"/>
          <w:color w:val="231F20"/>
          <w:w w:val="105"/>
          <w:sz w:val="18"/>
        </w:rPr>
        <w:t>we</w:t>
      </w:r>
      <w:r>
        <w:rPr>
          <w:rFonts w:ascii="Arial"/>
          <w:color w:val="231F20"/>
          <w:spacing w:val="13"/>
          <w:w w:val="105"/>
          <w:sz w:val="18"/>
        </w:rPr>
        <w:t> </w:t>
      </w:r>
      <w:r>
        <w:rPr>
          <w:rFonts w:ascii="Arial"/>
          <w:color w:val="231F20"/>
          <w:w w:val="105"/>
          <w:sz w:val="18"/>
        </w:rPr>
        <w:t>have</w:t>
      </w:r>
      <w:r>
        <w:rPr>
          <w:rFonts w:ascii="Arial"/>
          <w:color w:val="231F20"/>
          <w:spacing w:val="13"/>
          <w:w w:val="105"/>
          <w:sz w:val="18"/>
        </w:rPr>
        <w:t> </w:t>
      </w:r>
      <w:r>
        <w:rPr>
          <w:rFonts w:ascii="Arial"/>
          <w:color w:val="231F20"/>
          <w:w w:val="105"/>
          <w:sz w:val="18"/>
        </w:rPr>
        <w:t>a</w:t>
      </w:r>
      <w:r>
        <w:rPr>
          <w:rFonts w:ascii="Arial"/>
          <w:color w:val="231F20"/>
          <w:spacing w:val="13"/>
          <w:w w:val="105"/>
          <w:sz w:val="18"/>
        </w:rPr>
        <w:t> </w:t>
      </w:r>
      <w:r>
        <w:rPr>
          <w:rFonts w:ascii="Arial"/>
          <w:color w:val="231F20"/>
          <w:w w:val="105"/>
          <w:sz w:val="18"/>
        </w:rPr>
        <w:t>&lt;b&gt;"+name+"&lt;/b&gt;</w:t>
      </w:r>
      <w:r>
        <w:rPr>
          <w:rFonts w:ascii="Arial"/>
          <w:color w:val="231F20"/>
          <w:spacing w:val="13"/>
          <w:w w:val="105"/>
          <w:sz w:val="18"/>
        </w:rPr>
        <w:t> </w:t>
      </w:r>
      <w:r>
        <w:rPr>
          <w:rFonts w:ascii="Arial"/>
          <w:color w:val="231F20"/>
          <w:w w:val="105"/>
          <w:sz w:val="18"/>
        </w:rPr>
        <w:t>alert.</w:t>
      </w:r>
      <w:r>
        <w:rPr>
          <w:rFonts w:ascii="Arial"/>
          <w:color w:val="231F20"/>
          <w:spacing w:val="13"/>
          <w:w w:val="105"/>
          <w:sz w:val="18"/>
        </w:rPr>
        <w:t> </w:t>
      </w:r>
      <w:r>
        <w:rPr>
          <w:rFonts w:ascii="Arial"/>
          <w:color w:val="231F20"/>
          <w:w w:val="105"/>
          <w:sz w:val="18"/>
        </w:rPr>
        <w:t>&lt;p&gt;To</w:t>
      </w:r>
      <w:r>
        <w:rPr>
          <w:rFonts w:ascii="Arial"/>
          <w:color w:val="231F20"/>
          <w:spacing w:val="13"/>
          <w:w w:val="105"/>
          <w:sz w:val="18"/>
        </w:rPr>
        <w:t> </w:t>
      </w:r>
      <w:r>
        <w:rPr>
          <w:rFonts w:ascii="Arial"/>
          <w:color w:val="231F20"/>
          <w:w w:val="105"/>
          <w:sz w:val="18"/>
        </w:rPr>
        <w:t>learn</w:t>
      </w:r>
      <w:r>
        <w:rPr>
          <w:rFonts w:ascii="Arial"/>
          <w:color w:val="231F20"/>
          <w:spacing w:val="13"/>
          <w:w w:val="105"/>
          <w:sz w:val="18"/>
        </w:rPr>
        <w:t> </w:t>
      </w:r>
      <w:r>
        <w:rPr>
          <w:rFonts w:ascii="Arial"/>
          <w:color w:val="231F20"/>
          <w:w w:val="105"/>
          <w:sz w:val="18"/>
        </w:rPr>
        <w:t>more, click</w:t>
      </w:r>
      <w:r>
        <w:rPr>
          <w:rFonts w:ascii="Arial"/>
          <w:color w:val="231F20"/>
          <w:spacing w:val="40"/>
          <w:w w:val="105"/>
          <w:sz w:val="18"/>
        </w:rPr>
        <w:t> </w:t>
      </w:r>
      <w:r>
        <w:rPr>
          <w:rFonts w:ascii="Arial"/>
          <w:color w:val="231F20"/>
          <w:w w:val="105"/>
          <w:sz w:val="18"/>
        </w:rPr>
        <w:t>here:</w:t>
      </w:r>
      <w:r>
        <w:rPr>
          <w:rFonts w:ascii="Arial"/>
          <w:color w:val="231F20"/>
          <w:spacing w:val="40"/>
          <w:w w:val="105"/>
          <w:sz w:val="18"/>
        </w:rPr>
        <w:t> </w:t>
      </w:r>
      <w:r>
        <w:rPr>
          <w:rFonts w:ascii="Arial"/>
          <w:color w:val="231F20"/>
          <w:w w:val="105"/>
          <w:sz w:val="18"/>
        </w:rPr>
        <w:t>&lt;a</w:t>
      </w:r>
      <w:r>
        <w:rPr>
          <w:rFonts w:ascii="Arial"/>
          <w:color w:val="231F20"/>
          <w:spacing w:val="40"/>
          <w:w w:val="105"/>
          <w:sz w:val="18"/>
        </w:rPr>
        <w:t> </w:t>
      </w:r>
      <w:hyperlink r:id="rId383">
        <w:r>
          <w:rPr>
            <w:rFonts w:ascii="Arial"/>
            <w:color w:val="231F20"/>
            <w:w w:val="105"/>
            <w:sz w:val="18"/>
          </w:rPr>
          <w:t>href=http://www.searchsite.com/search?q="+name+"&gt;</w:t>
        </w:r>
      </w:hyperlink>
    </w:p>
    <w:p>
      <w:pPr>
        <w:spacing w:line="203" w:lineRule="exact" w:before="0"/>
        <w:ind w:left="3130" w:right="0" w:firstLine="0"/>
        <w:jc w:val="left"/>
        <w:rPr>
          <w:rFonts w:ascii="Arial"/>
          <w:sz w:val="18"/>
        </w:rPr>
      </w:pPr>
      <w:r>
        <w:rPr>
          <w:rFonts w:ascii="Arial"/>
          <w:color w:val="231F20"/>
          <w:w w:val="105"/>
          <w:sz w:val="18"/>
        </w:rPr>
        <w:t>IBM</w:t>
      </w:r>
      <w:r>
        <w:rPr>
          <w:rFonts w:ascii="Arial"/>
          <w:color w:val="231F20"/>
          <w:spacing w:val="35"/>
          <w:w w:val="105"/>
          <w:sz w:val="18"/>
        </w:rPr>
        <w:t> </w:t>
      </w:r>
      <w:r>
        <w:rPr>
          <w:rFonts w:ascii="Arial"/>
          <w:color w:val="231F20"/>
          <w:w w:val="105"/>
          <w:sz w:val="18"/>
        </w:rPr>
        <w:t>Tivoli</w:t>
      </w:r>
      <w:r>
        <w:rPr>
          <w:rFonts w:ascii="Arial"/>
          <w:color w:val="231F20"/>
          <w:spacing w:val="36"/>
          <w:w w:val="105"/>
          <w:sz w:val="18"/>
        </w:rPr>
        <w:t> </w:t>
      </w:r>
      <w:r>
        <w:rPr>
          <w:rFonts w:ascii="Arial"/>
          <w:color w:val="231F20"/>
          <w:w w:val="105"/>
          <w:sz w:val="18"/>
        </w:rPr>
        <w:t>Advice</w:t>
      </w:r>
      <w:r>
        <w:rPr>
          <w:rFonts w:ascii="Arial"/>
          <w:color w:val="231F20"/>
          <w:spacing w:val="35"/>
          <w:w w:val="105"/>
          <w:sz w:val="18"/>
        </w:rPr>
        <w:t> </w:t>
      </w:r>
      <w:r>
        <w:rPr>
          <w:rFonts w:ascii="Arial"/>
          <w:color w:val="231F20"/>
          <w:spacing w:val="-2"/>
          <w:w w:val="105"/>
          <w:sz w:val="18"/>
        </w:rPr>
        <w:t>&lt;/a&gt;&lt;/div&gt;"</w:t>
      </w:r>
    </w:p>
    <w:p>
      <w:pPr>
        <w:spacing w:after="0" w:line="203" w:lineRule="exact"/>
        <w:jc w:val="left"/>
        <w:rPr>
          <w:rFonts w:ascii="Arial"/>
          <w:sz w:val="18"/>
        </w:rPr>
        <w:sectPr>
          <w:pgSz w:w="12240" w:h="15840"/>
          <w:pgMar w:header="0" w:footer="736" w:top="1180" w:bottom="920" w:left="1000" w:right="1060"/>
        </w:sectPr>
      </w:pPr>
    </w:p>
    <w:p>
      <w:pPr>
        <w:pStyle w:val="BodyText"/>
        <w:spacing w:line="213" w:lineRule="auto" w:before="85"/>
        <w:ind w:left="3190" w:right="258"/>
      </w:pPr>
      <w:bookmarkStart w:name="_bookmark190" w:id="408"/>
      <w:bookmarkEnd w:id="408"/>
      <w:r>
        <w:rPr/>
      </w:r>
      <w:r>
        <w:rPr>
          <w:color w:val="231F20"/>
        </w:rPr>
        <w:t>The code in this example inserts the name of the situation and the name of</w:t>
      </w:r>
      <w:r>
        <w:rPr>
          <w:color w:val="231F20"/>
          <w:spacing w:val="40"/>
        </w:rPr>
        <w:t> </w:t>
      </w:r>
      <w:r>
        <w:rPr>
          <w:color w:val="231F20"/>
        </w:rPr>
        <w:t>the managed system in the text. It then provides a link to </w:t>
      </w:r>
      <w:r>
        <w:rPr>
          <w:rFonts w:ascii="Arial"/>
          <w:color w:val="231F20"/>
        </w:rPr>
        <w:t>searchsite.com </w:t>
      </w:r>
      <w:r>
        <w:rPr>
          <w:color w:val="231F20"/>
        </w:rPr>
        <w:t>,</w:t>
      </w:r>
      <w:r>
        <w:rPr>
          <w:color w:val="231F20"/>
          <w:spacing w:val="40"/>
        </w:rPr>
        <w:t> </w:t>
      </w:r>
      <w:r>
        <w:rPr>
          <w:color w:val="231F20"/>
        </w:rPr>
        <w:t>which searches for the situation name and shows the results automatically. You can copy and paste this example into your expert advice HTML </w:t>
      </w:r>
      <w:r>
        <w:rPr>
          <w:color w:val="231F20"/>
        </w:rPr>
        <w:t>editor, replacing</w:t>
      </w:r>
      <w:r>
        <w:rPr>
          <w:color w:val="231F20"/>
          <w:spacing w:val="40"/>
        </w:rPr>
        <w:t> </w:t>
      </w:r>
      <w:r>
        <w:rPr>
          <w:rFonts w:ascii="Arial"/>
          <w:color w:val="231F20"/>
        </w:rPr>
        <w:t>searchsite.com </w:t>
      </w:r>
      <w:r>
        <w:rPr>
          <w:color w:val="231F20"/>
        </w:rPr>
        <w:t>with</w:t>
      </w:r>
      <w:r>
        <w:rPr>
          <w:color w:val="231F20"/>
          <w:spacing w:val="40"/>
        </w:rPr>
        <w:t> </w:t>
      </w:r>
      <w:r>
        <w:rPr>
          <w:color w:val="231F20"/>
        </w:rPr>
        <w:t>the</w:t>
      </w:r>
      <w:r>
        <w:rPr>
          <w:color w:val="231F20"/>
          <w:spacing w:val="40"/>
        </w:rPr>
        <w:t> </w:t>
      </w:r>
      <w:r>
        <w:rPr>
          <w:color w:val="231F20"/>
        </w:rPr>
        <w:t>search-enabled</w:t>
      </w:r>
      <w:r>
        <w:rPr>
          <w:color w:val="231F20"/>
          <w:spacing w:val="40"/>
        </w:rPr>
        <w:t> </w:t>
      </w:r>
      <w:r>
        <w:rPr>
          <w:color w:val="231F20"/>
        </w:rPr>
        <w:t>web</w:t>
      </w:r>
      <w:r>
        <w:rPr>
          <w:color w:val="231F20"/>
          <w:spacing w:val="40"/>
        </w:rPr>
        <w:t> </w:t>
      </w:r>
      <w:r>
        <w:rPr>
          <w:color w:val="231F20"/>
        </w:rPr>
        <w:t>page</w:t>
      </w:r>
      <w:r>
        <w:rPr>
          <w:color w:val="231F20"/>
          <w:spacing w:val="40"/>
        </w:rPr>
        <w:t> </w:t>
      </w:r>
      <w:r>
        <w:rPr>
          <w:color w:val="231F20"/>
        </w:rPr>
        <w:t>containing your organization's run book procedures.</w:t>
      </w:r>
    </w:p>
    <w:p>
      <w:pPr>
        <w:pStyle w:val="BodyText"/>
        <w:spacing w:line="213" w:lineRule="auto" w:before="235"/>
        <w:ind w:left="2472" w:right="493"/>
      </w:pPr>
      <w:r>
        <w:rPr>
          <w:color w:val="231F20"/>
        </w:rPr>
        <w:t>As well as the situation name given in this example, you can create a variable </w:t>
      </w:r>
      <w:r>
        <w:rPr>
          <w:color w:val="231F20"/>
        </w:rPr>
        <w:t>for</w:t>
      </w:r>
      <w:r>
        <w:rPr>
          <w:color w:val="231F20"/>
          <w:spacing w:val="40"/>
        </w:rPr>
        <w:t> </w:t>
      </w:r>
      <w:r>
        <w:rPr>
          <w:color w:val="231F20"/>
        </w:rPr>
        <w:t>any other event attribute:</w:t>
      </w:r>
    </w:p>
    <w:p>
      <w:pPr>
        <w:pStyle w:val="BodyText"/>
        <w:spacing w:before="9"/>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49"/>
        <w:gridCol w:w="4484"/>
      </w:tblGrid>
      <w:tr>
        <w:trPr>
          <w:trHeight w:val="274" w:hRule="atLeast"/>
        </w:trPr>
        <w:tc>
          <w:tcPr>
            <w:tcW w:w="3049" w:type="dxa"/>
          </w:tcPr>
          <w:p>
            <w:pPr>
              <w:pStyle w:val="TableParagraph"/>
              <w:spacing w:before="10"/>
              <w:ind w:left="44"/>
              <w:rPr>
                <w:rFonts w:ascii="Book Antiqua"/>
                <w:b/>
                <w:sz w:val="18"/>
              </w:rPr>
            </w:pPr>
            <w:r>
              <w:rPr>
                <w:rFonts w:ascii="Book Antiqua"/>
                <w:b/>
                <w:color w:val="231F20"/>
                <w:spacing w:val="-2"/>
                <w:sz w:val="18"/>
              </w:rPr>
              <w:t>Attribute</w:t>
            </w:r>
          </w:p>
        </w:tc>
        <w:tc>
          <w:tcPr>
            <w:tcW w:w="4484" w:type="dxa"/>
          </w:tcPr>
          <w:p>
            <w:pPr>
              <w:pStyle w:val="TableParagraph"/>
              <w:spacing w:before="10"/>
              <w:rPr>
                <w:rFonts w:ascii="Book Antiqua"/>
                <w:b/>
                <w:sz w:val="18"/>
              </w:rPr>
            </w:pPr>
            <w:r>
              <w:rPr>
                <w:rFonts w:ascii="Book Antiqua"/>
                <w:b/>
                <w:color w:val="231F20"/>
                <w:spacing w:val="-2"/>
                <w:sz w:val="18"/>
              </w:rPr>
              <w:t>Variable</w:t>
            </w:r>
          </w:p>
        </w:tc>
      </w:tr>
      <w:tr>
        <w:trPr>
          <w:trHeight w:val="309" w:hRule="atLeast"/>
        </w:trPr>
        <w:tc>
          <w:tcPr>
            <w:tcW w:w="3049" w:type="dxa"/>
          </w:tcPr>
          <w:p>
            <w:pPr>
              <w:pStyle w:val="TableParagraph"/>
              <w:ind w:left="44"/>
              <w:rPr>
                <w:sz w:val="18"/>
              </w:rPr>
            </w:pPr>
            <w:r>
              <w:rPr>
                <w:color w:val="231F20"/>
                <w:sz w:val="18"/>
              </w:rPr>
              <w:t>situation</w:t>
            </w:r>
            <w:r>
              <w:rPr>
                <w:color w:val="231F20"/>
                <w:spacing w:val="5"/>
                <w:sz w:val="18"/>
              </w:rPr>
              <w:t> </w:t>
            </w:r>
            <w:r>
              <w:rPr>
                <w:color w:val="231F20"/>
                <w:spacing w:val="-4"/>
                <w:sz w:val="18"/>
              </w:rPr>
              <w:t>name</w:t>
            </w:r>
          </w:p>
        </w:tc>
        <w:tc>
          <w:tcPr>
            <w:tcW w:w="4484" w:type="dxa"/>
          </w:tcPr>
          <w:p>
            <w:pPr>
              <w:pStyle w:val="TableParagraph"/>
              <w:rPr>
                <w:sz w:val="18"/>
              </w:rPr>
            </w:pPr>
            <w:r>
              <w:rPr>
                <w:color w:val="231F20"/>
                <w:spacing w:val="-2"/>
                <w:sz w:val="18"/>
              </w:rPr>
              <w:t>$EVENT:ATTRIBUTE.ISITSTSH.SITNAME$</w:t>
            </w:r>
          </w:p>
        </w:tc>
      </w:tr>
      <w:tr>
        <w:trPr>
          <w:trHeight w:val="309" w:hRule="atLeast"/>
        </w:trPr>
        <w:tc>
          <w:tcPr>
            <w:tcW w:w="3049" w:type="dxa"/>
          </w:tcPr>
          <w:p>
            <w:pPr>
              <w:pStyle w:val="TableParagraph"/>
              <w:ind w:left="44"/>
              <w:rPr>
                <w:sz w:val="18"/>
              </w:rPr>
            </w:pPr>
            <w:r>
              <w:rPr>
                <w:color w:val="231F20"/>
                <w:sz w:val="18"/>
              </w:rPr>
              <w:t>monitoring</w:t>
            </w:r>
            <w:r>
              <w:rPr>
                <w:color w:val="231F20"/>
                <w:spacing w:val="7"/>
                <w:sz w:val="18"/>
              </w:rPr>
              <w:t> </w:t>
            </w:r>
            <w:r>
              <w:rPr>
                <w:color w:val="231F20"/>
                <w:sz w:val="18"/>
              </w:rPr>
              <w:t>server</w:t>
            </w:r>
            <w:r>
              <w:rPr>
                <w:color w:val="231F20"/>
                <w:spacing w:val="7"/>
                <w:sz w:val="18"/>
              </w:rPr>
              <w:t> </w:t>
            </w:r>
            <w:r>
              <w:rPr>
                <w:color w:val="231F20"/>
                <w:spacing w:val="-4"/>
                <w:sz w:val="18"/>
              </w:rPr>
              <w:t>name</w:t>
            </w:r>
          </w:p>
        </w:tc>
        <w:tc>
          <w:tcPr>
            <w:tcW w:w="4484" w:type="dxa"/>
          </w:tcPr>
          <w:p>
            <w:pPr>
              <w:pStyle w:val="TableParagraph"/>
              <w:rPr>
                <w:sz w:val="18"/>
              </w:rPr>
            </w:pPr>
            <w:r>
              <w:rPr>
                <w:color w:val="231F20"/>
                <w:spacing w:val="-2"/>
                <w:sz w:val="18"/>
              </w:rPr>
              <w:t>$EVENT:ATTRIBUTE.ISITSTSH.NODE$</w:t>
            </w:r>
          </w:p>
        </w:tc>
      </w:tr>
      <w:tr>
        <w:trPr>
          <w:trHeight w:val="309" w:hRule="atLeast"/>
        </w:trPr>
        <w:tc>
          <w:tcPr>
            <w:tcW w:w="3049" w:type="dxa"/>
          </w:tcPr>
          <w:p>
            <w:pPr>
              <w:pStyle w:val="TableParagraph"/>
              <w:ind w:left="44"/>
              <w:rPr>
                <w:sz w:val="18"/>
              </w:rPr>
            </w:pPr>
            <w:r>
              <w:rPr>
                <w:color w:val="231F20"/>
                <w:sz w:val="18"/>
              </w:rPr>
              <w:t>managed</w:t>
            </w:r>
            <w:r>
              <w:rPr>
                <w:color w:val="231F20"/>
                <w:spacing w:val="7"/>
                <w:sz w:val="18"/>
              </w:rPr>
              <w:t> </w:t>
            </w:r>
            <w:r>
              <w:rPr>
                <w:color w:val="231F20"/>
                <w:sz w:val="18"/>
              </w:rPr>
              <w:t>system</w:t>
            </w:r>
            <w:r>
              <w:rPr>
                <w:color w:val="231F20"/>
                <w:spacing w:val="8"/>
                <w:sz w:val="18"/>
              </w:rPr>
              <w:t> </w:t>
            </w:r>
            <w:r>
              <w:rPr>
                <w:color w:val="231F20"/>
                <w:spacing w:val="-4"/>
                <w:sz w:val="18"/>
              </w:rPr>
              <w:t>name</w:t>
            </w:r>
          </w:p>
        </w:tc>
        <w:tc>
          <w:tcPr>
            <w:tcW w:w="4484" w:type="dxa"/>
          </w:tcPr>
          <w:p>
            <w:pPr>
              <w:pStyle w:val="TableParagraph"/>
              <w:rPr>
                <w:sz w:val="18"/>
              </w:rPr>
            </w:pPr>
            <w:r>
              <w:rPr>
                <w:color w:val="231F20"/>
                <w:spacing w:val="-2"/>
                <w:sz w:val="18"/>
              </w:rPr>
              <w:t>$EVENT:ATTRIBUTE.ISITSTSH.ORIGINNODE$</w:t>
            </w:r>
          </w:p>
        </w:tc>
      </w:tr>
      <w:tr>
        <w:trPr>
          <w:trHeight w:val="309" w:hRule="atLeast"/>
        </w:trPr>
        <w:tc>
          <w:tcPr>
            <w:tcW w:w="3049" w:type="dxa"/>
          </w:tcPr>
          <w:p>
            <w:pPr>
              <w:pStyle w:val="TableParagraph"/>
              <w:ind w:left="44"/>
              <w:rPr>
                <w:sz w:val="18"/>
              </w:rPr>
            </w:pPr>
            <w:r>
              <w:rPr>
                <w:color w:val="231F20"/>
                <w:sz w:val="18"/>
              </w:rPr>
              <w:t>display</w:t>
            </w:r>
            <w:r>
              <w:rPr>
                <w:color w:val="231F20"/>
                <w:spacing w:val="10"/>
                <w:sz w:val="18"/>
              </w:rPr>
              <w:t> </w:t>
            </w:r>
            <w:r>
              <w:rPr>
                <w:color w:val="231F20"/>
                <w:sz w:val="18"/>
              </w:rPr>
              <w:t>item</w:t>
            </w:r>
            <w:r>
              <w:rPr>
                <w:color w:val="231F20"/>
                <w:spacing w:val="10"/>
                <w:sz w:val="18"/>
              </w:rPr>
              <w:t> </w:t>
            </w:r>
            <w:r>
              <w:rPr>
                <w:color w:val="231F20"/>
                <w:sz w:val="18"/>
              </w:rPr>
              <w:t>(if</w:t>
            </w:r>
            <w:r>
              <w:rPr>
                <w:color w:val="231F20"/>
                <w:spacing w:val="10"/>
                <w:sz w:val="18"/>
              </w:rPr>
              <w:t> </w:t>
            </w:r>
            <w:r>
              <w:rPr>
                <w:color w:val="231F20"/>
                <w:spacing w:val="-4"/>
                <w:sz w:val="18"/>
              </w:rPr>
              <w:t>set)</w:t>
            </w:r>
          </w:p>
        </w:tc>
        <w:tc>
          <w:tcPr>
            <w:tcW w:w="4484" w:type="dxa"/>
          </w:tcPr>
          <w:p>
            <w:pPr>
              <w:pStyle w:val="TableParagraph"/>
              <w:rPr>
                <w:sz w:val="18"/>
              </w:rPr>
            </w:pPr>
            <w:r>
              <w:rPr>
                <w:color w:val="231F20"/>
                <w:spacing w:val="-2"/>
                <w:sz w:val="18"/>
              </w:rPr>
              <w:t>$EVENT:ATTRIBUTE.ISITSTSH.ATOMIZE$</w:t>
            </w:r>
          </w:p>
        </w:tc>
      </w:tr>
      <w:tr>
        <w:trPr>
          <w:trHeight w:val="309" w:hRule="atLeast"/>
        </w:trPr>
        <w:tc>
          <w:tcPr>
            <w:tcW w:w="3049" w:type="dxa"/>
          </w:tcPr>
          <w:p>
            <w:pPr>
              <w:pStyle w:val="TableParagraph"/>
              <w:ind w:left="44"/>
              <w:rPr>
                <w:sz w:val="18"/>
              </w:rPr>
            </w:pPr>
            <w:r>
              <w:rPr>
                <w:color w:val="231F20"/>
                <w:sz w:val="18"/>
              </w:rPr>
              <w:t>global</w:t>
            </w:r>
            <w:r>
              <w:rPr>
                <w:color w:val="231F20"/>
                <w:spacing w:val="9"/>
                <w:sz w:val="18"/>
              </w:rPr>
              <w:t> </w:t>
            </w:r>
            <w:r>
              <w:rPr>
                <w:color w:val="231F20"/>
                <w:spacing w:val="-2"/>
                <w:sz w:val="18"/>
              </w:rPr>
              <w:t>timestamp</w:t>
            </w:r>
          </w:p>
        </w:tc>
        <w:tc>
          <w:tcPr>
            <w:tcW w:w="4484" w:type="dxa"/>
          </w:tcPr>
          <w:p>
            <w:pPr>
              <w:pStyle w:val="TableParagraph"/>
              <w:rPr>
                <w:sz w:val="18"/>
              </w:rPr>
            </w:pPr>
            <w:r>
              <w:rPr>
                <w:color w:val="231F20"/>
                <w:spacing w:val="-2"/>
                <w:sz w:val="18"/>
              </w:rPr>
              <w:t>$EVENT:ATTRIBUTE.ISITSTSH.GBLTMSTMP$</w:t>
            </w:r>
          </w:p>
        </w:tc>
      </w:tr>
      <w:tr>
        <w:trPr>
          <w:trHeight w:val="309" w:hRule="atLeast"/>
        </w:trPr>
        <w:tc>
          <w:tcPr>
            <w:tcW w:w="3049" w:type="dxa"/>
          </w:tcPr>
          <w:p>
            <w:pPr>
              <w:pStyle w:val="TableParagraph"/>
              <w:ind w:left="44"/>
              <w:rPr>
                <w:sz w:val="18"/>
              </w:rPr>
            </w:pPr>
            <w:r>
              <w:rPr>
                <w:color w:val="231F20"/>
                <w:sz w:val="18"/>
              </w:rPr>
              <w:t>local</w:t>
            </w:r>
            <w:r>
              <w:rPr>
                <w:color w:val="231F20"/>
                <w:spacing w:val="10"/>
                <w:sz w:val="18"/>
              </w:rPr>
              <w:t> </w:t>
            </w:r>
            <w:r>
              <w:rPr>
                <w:color w:val="231F20"/>
                <w:spacing w:val="-2"/>
                <w:sz w:val="18"/>
              </w:rPr>
              <w:t>timestamp</w:t>
            </w:r>
          </w:p>
        </w:tc>
        <w:tc>
          <w:tcPr>
            <w:tcW w:w="4484" w:type="dxa"/>
          </w:tcPr>
          <w:p>
            <w:pPr>
              <w:pStyle w:val="TableParagraph"/>
              <w:rPr>
                <w:sz w:val="18"/>
              </w:rPr>
            </w:pPr>
            <w:r>
              <w:rPr>
                <w:color w:val="231F20"/>
                <w:spacing w:val="-2"/>
                <w:sz w:val="18"/>
              </w:rPr>
              <w:t>$EVENT:ATTRIBUTE.ISITSTSH.LCLTMSTMP$</w:t>
            </w:r>
          </w:p>
        </w:tc>
      </w:tr>
      <w:tr>
        <w:trPr>
          <w:trHeight w:val="314" w:hRule="atLeast"/>
        </w:trPr>
        <w:tc>
          <w:tcPr>
            <w:tcW w:w="3049" w:type="dxa"/>
          </w:tcPr>
          <w:p>
            <w:pPr>
              <w:pStyle w:val="TableParagraph"/>
              <w:ind w:left="44"/>
              <w:rPr>
                <w:sz w:val="18"/>
              </w:rPr>
            </w:pPr>
            <w:r>
              <w:rPr>
                <w:color w:val="231F20"/>
                <w:sz w:val="18"/>
              </w:rPr>
              <w:t>status</w:t>
            </w:r>
            <w:r>
              <w:rPr>
                <w:color w:val="231F20"/>
                <w:spacing w:val="9"/>
                <w:sz w:val="18"/>
              </w:rPr>
              <w:t> </w:t>
            </w:r>
            <w:r>
              <w:rPr>
                <w:color w:val="231F20"/>
                <w:spacing w:val="-2"/>
                <w:sz w:val="18"/>
              </w:rPr>
              <w:t>(Y/N)</w:t>
            </w:r>
          </w:p>
        </w:tc>
        <w:tc>
          <w:tcPr>
            <w:tcW w:w="4484" w:type="dxa"/>
          </w:tcPr>
          <w:p>
            <w:pPr>
              <w:pStyle w:val="TableParagraph"/>
              <w:rPr>
                <w:sz w:val="18"/>
              </w:rPr>
            </w:pPr>
            <w:r>
              <w:rPr>
                <w:color w:val="231F20"/>
                <w:spacing w:val="-2"/>
                <w:sz w:val="18"/>
              </w:rPr>
              <w:t>$EVENT:ATTRIBUTE.ISITSTSH.DELTASTAT$</w:t>
            </w:r>
          </w:p>
        </w:tc>
      </w:tr>
    </w:tbl>
    <w:p>
      <w:pPr>
        <w:pStyle w:val="BodyText"/>
        <w:spacing w:before="12"/>
      </w:pPr>
    </w:p>
    <w:p>
      <w:pPr>
        <w:spacing w:after="0"/>
        <w:sectPr>
          <w:pgSz w:w="12240" w:h="15840"/>
          <w:pgMar w:header="0" w:footer="736" w:top="1180" w:bottom="920" w:left="1000" w:right="1060"/>
        </w:sectPr>
      </w:pPr>
    </w:p>
    <w:p>
      <w:pPr>
        <w:pStyle w:val="Heading3"/>
        <w:spacing w:before="106"/>
        <w:ind w:left="1574"/>
      </w:pPr>
      <w:r>
        <w:rPr>
          <w:color w:val="231F20"/>
          <w:spacing w:val="-2"/>
        </w:rPr>
        <w:t>Action</w:t>
      </w:r>
    </w:p>
    <w:p>
      <w:pPr>
        <w:spacing w:line="240" w:lineRule="auto" w:before="0"/>
        <w:rPr>
          <w:rFonts w:ascii="Arial"/>
          <w:b/>
          <w:sz w:val="20"/>
        </w:rPr>
      </w:pPr>
      <w:r>
        <w:rPr/>
        <w:br w:type="column"/>
      </w:r>
      <w:r>
        <w:rPr>
          <w:rFonts w:ascii="Arial"/>
          <w:b/>
          <w:sz w:val="20"/>
        </w:rPr>
      </w:r>
    </w:p>
    <w:p>
      <w:pPr>
        <w:pStyle w:val="BodyText"/>
        <w:spacing w:before="26"/>
        <w:rPr>
          <w:rFonts w:ascii="Arial"/>
          <w:b/>
        </w:rPr>
      </w:pPr>
    </w:p>
    <w:p>
      <w:pPr>
        <w:pStyle w:val="BodyText"/>
        <w:spacing w:line="213" w:lineRule="auto"/>
        <w:ind w:right="279"/>
      </w:pPr>
      <w:r>
        <w:rPr>
          <w:color w:val="231F20"/>
        </w:rPr>
        <w:t>Use the </w:t>
      </w:r>
      <w:r>
        <w:rPr>
          <w:rFonts w:ascii="Book Antiqua"/>
          <w:b/>
          <w:color w:val="231F20"/>
        </w:rPr>
        <w:t>Action </w:t>
      </w:r>
      <w:r>
        <w:rPr>
          <w:color w:val="231F20"/>
        </w:rPr>
        <w:t>tab to send a command to a managed system or a message to the</w:t>
      </w:r>
      <w:r>
        <w:rPr>
          <w:color w:val="231F20"/>
          <w:spacing w:val="40"/>
        </w:rPr>
        <w:t> </w:t>
      </w:r>
      <w:r>
        <w:rPr>
          <w:color w:val="231F20"/>
        </w:rPr>
        <w:t>universal message console view when the situation becomes true. You might </w:t>
      </w:r>
      <w:r>
        <w:rPr>
          <w:color w:val="231F20"/>
        </w:rPr>
        <w:t>want to log information, trigger an audible beep, or stop a job that is overusing</w:t>
      </w:r>
      <w:r>
        <w:rPr>
          <w:color w:val="231F20"/>
          <w:spacing w:val="80"/>
        </w:rPr>
        <w:t> </w:t>
      </w:r>
      <w:r>
        <w:rPr>
          <w:color w:val="231F20"/>
          <w:spacing w:val="-2"/>
        </w:rPr>
        <w:t>resources.</w:t>
      </w:r>
    </w:p>
    <w:p>
      <w:pPr>
        <w:pStyle w:val="BodyText"/>
        <w:spacing w:line="213" w:lineRule="auto" w:before="237"/>
        <w:ind w:right="275"/>
      </w:pPr>
      <w:r>
        <w:rPr>
          <w:color w:val="231F20"/>
        </w:rPr>
        <w:t>The command can be a single action or a script containing several commands. </w:t>
      </w:r>
      <w:r>
        <w:rPr>
          <w:color w:val="231F20"/>
        </w:rPr>
        <w:t>No feedback is received after the command or user notification is sent.</w:t>
      </w:r>
    </w:p>
    <w:p>
      <w:pPr>
        <w:pStyle w:val="BodyText"/>
        <w:spacing w:line="266" w:lineRule="auto" w:before="40"/>
        <w:ind w:left="299" w:right="5427"/>
      </w:pPr>
      <w:r>
        <w:rPr/>
        <w:drawing>
          <wp:inline distT="0" distB="0" distL="0" distR="0">
            <wp:extent cx="88900" cy="82550"/>
            <wp:effectExtent l="0" t="0" r="0" b="0"/>
            <wp:docPr id="2266" name="Image 2266"/>
            <wp:cNvGraphicFramePr>
              <a:graphicFrameLocks/>
            </wp:cNvGraphicFramePr>
            <a:graphic>
              <a:graphicData uri="http://schemas.openxmlformats.org/drawingml/2006/picture">
                <pic:pic>
                  <pic:nvPicPr>
                    <pic:cNvPr id="2266" name="Image 2266"/>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color w:val="231F20"/>
        </w:rPr>
        <w:t>System Command </w:t>
      </w:r>
      <w:r>
        <w:rPr>
          <w:color w:val="231F20"/>
        </w:rPr>
        <w:drawing>
          <wp:inline distT="0" distB="0" distL="0" distR="0">
            <wp:extent cx="88900" cy="82550"/>
            <wp:effectExtent l="0" t="0" r="0" b="0"/>
            <wp:docPr id="2267" name="Image 2267"/>
            <wp:cNvGraphicFramePr>
              <a:graphicFrameLocks/>
            </wp:cNvGraphicFramePr>
            <a:graphic>
              <a:graphicData uri="http://schemas.openxmlformats.org/drawingml/2006/picture">
                <pic:pic>
                  <pic:nvPicPr>
                    <pic:cNvPr id="2267" name="Image 2267"/>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rPr>
      </w:r>
      <w:r>
        <w:rPr>
          <w:rFonts w:ascii="Times New Roman"/>
          <w:color w:val="231F20"/>
          <w:spacing w:val="40"/>
        </w:rPr>
        <w:t> </w:t>
      </w:r>
      <w:r>
        <w:rPr>
          <w:color w:val="231F20"/>
        </w:rPr>
        <w:t>Universal </w:t>
      </w:r>
      <w:r>
        <w:rPr>
          <w:color w:val="231F20"/>
        </w:rPr>
        <w:t>Message</w:t>
      </w:r>
    </w:p>
    <w:p>
      <w:pPr>
        <w:pStyle w:val="BodyText"/>
        <w:spacing w:line="213" w:lineRule="auto" w:before="198"/>
        <w:ind w:right="275"/>
      </w:pPr>
      <w:r>
        <w:rPr>
          <w:rFonts w:ascii="Book Antiqua"/>
          <w:b/>
          <w:color w:val="231F20"/>
        </w:rPr>
        <w:t>Note:</w:t>
      </w:r>
      <w:r>
        <w:rPr>
          <w:rFonts w:ascii="Book Antiqua"/>
          <w:b/>
          <w:color w:val="231F20"/>
          <w:spacing w:val="40"/>
        </w:rPr>
        <w:t> </w:t>
      </w:r>
      <w:r>
        <w:rPr>
          <w:color w:val="231F20"/>
        </w:rPr>
        <w:t>For an action to run, the situation must not be used in a policy. If the Action</w:t>
      </w:r>
      <w:r>
        <w:rPr>
          <w:color w:val="231F20"/>
          <w:spacing w:val="40"/>
        </w:rPr>
        <w:t> </w:t>
      </w:r>
      <w:r>
        <w:rPr>
          <w:color w:val="231F20"/>
        </w:rPr>
        <w:t>fields are disabled, it means your monitoring agent does not support this feature.</w:t>
      </w:r>
    </w:p>
    <w:p>
      <w:pPr>
        <w:spacing w:line="213" w:lineRule="auto" w:before="238"/>
        <w:ind w:left="0" w:right="275" w:firstLine="0"/>
        <w:jc w:val="left"/>
        <w:rPr>
          <w:sz w:val="20"/>
        </w:rPr>
      </w:pPr>
      <w:r>
        <w:rPr>
          <w:rFonts w:ascii="Book Antiqua"/>
          <w:b/>
          <w:color w:val="231F20"/>
          <w:sz w:val="20"/>
        </w:rPr>
        <w:t>Tip</w:t>
      </w:r>
      <w:r>
        <w:rPr>
          <w:color w:val="231F20"/>
          <w:sz w:val="20"/>
        </w:rPr>
        <w:t>: You can use Tivoli Enterprise Monitoring Web Services to send Simple </w:t>
      </w:r>
      <w:r>
        <w:rPr>
          <w:color w:val="231F20"/>
          <w:sz w:val="20"/>
        </w:rPr>
        <w:t>Object Access Protocol (SOAP) requests between hub monitoring servers. See the </w:t>
      </w:r>
      <w:r>
        <w:rPr>
          <w:rFonts w:ascii="Book Antiqua"/>
          <w:i/>
          <w:color w:val="231F20"/>
          <w:sz w:val="20"/>
        </w:rPr>
        <w:t>IBM</w:t>
      </w:r>
      <w:r>
        <w:rPr>
          <w:rFonts w:ascii="Book Antiqua"/>
          <w:i/>
          <w:color w:val="231F20"/>
          <w:sz w:val="20"/>
        </w:rPr>
        <w:t> Tivoli Monitoring Administrator's Guide </w:t>
      </w:r>
      <w:r>
        <w:rPr>
          <w:color w:val="231F20"/>
          <w:sz w:val="20"/>
        </w:rPr>
        <w:t>for details.</w:t>
      </w:r>
    </w:p>
    <w:p>
      <w:pPr>
        <w:pStyle w:val="Heading6"/>
        <w:spacing w:before="116"/>
        <w:ind w:left="0"/>
      </w:pPr>
      <w:r>
        <w:rPr>
          <w:color w:val="231F20"/>
        </w:rPr>
        <w:t>System</w:t>
      </w:r>
      <w:r>
        <w:rPr>
          <w:color w:val="231F20"/>
          <w:spacing w:val="9"/>
        </w:rPr>
        <w:t> </w:t>
      </w:r>
      <w:r>
        <w:rPr>
          <w:color w:val="231F20"/>
          <w:spacing w:val="-2"/>
        </w:rPr>
        <w:t>command</w:t>
      </w:r>
    </w:p>
    <w:p>
      <w:pPr>
        <w:pStyle w:val="BodyText"/>
        <w:spacing w:line="213" w:lineRule="auto" w:before="12"/>
        <w:ind w:left="718" w:right="268"/>
      </w:pPr>
      <w:r>
        <w:rPr>
          <w:color w:val="231F20"/>
        </w:rPr>
        <w:t>When you select </w:t>
      </w:r>
      <w:r>
        <w:rPr>
          <w:rFonts w:ascii="Book Antiqua"/>
          <w:b/>
          <w:color w:val="231F20"/>
        </w:rPr>
        <w:t>System Command</w:t>
      </w:r>
      <w:r>
        <w:rPr>
          <w:color w:val="231F20"/>
        </w:rPr>
        <w:t>, this field is displayed for you to </w:t>
      </w:r>
      <w:r>
        <w:rPr>
          <w:color w:val="231F20"/>
        </w:rPr>
        <w:t>type</w:t>
      </w:r>
      <w:r>
        <w:rPr>
          <w:color w:val="231F20"/>
          <w:spacing w:val="80"/>
        </w:rPr>
        <w:t> </w:t>
      </w:r>
      <w:r>
        <w:rPr>
          <w:color w:val="231F20"/>
        </w:rPr>
        <w:t>a</w:t>
      </w:r>
      <w:r>
        <w:rPr>
          <w:color w:val="231F20"/>
          <w:spacing w:val="28"/>
        </w:rPr>
        <w:t> </w:t>
      </w:r>
      <w:r>
        <w:rPr>
          <w:color w:val="231F20"/>
        </w:rPr>
        <w:t>command</w:t>
      </w:r>
      <w:r>
        <w:rPr>
          <w:color w:val="231F20"/>
          <w:spacing w:val="28"/>
        </w:rPr>
        <w:t> </w:t>
      </w:r>
      <w:r>
        <w:rPr>
          <w:color w:val="231F20"/>
        </w:rPr>
        <w:t>to</w:t>
      </w:r>
      <w:r>
        <w:rPr>
          <w:color w:val="231F20"/>
          <w:spacing w:val="28"/>
        </w:rPr>
        <w:t> </w:t>
      </w:r>
      <w:r>
        <w:rPr>
          <w:color w:val="231F20"/>
        </w:rPr>
        <w:t>issue</w:t>
      </w:r>
      <w:r>
        <w:rPr>
          <w:color w:val="231F20"/>
          <w:spacing w:val="28"/>
        </w:rPr>
        <w:t> </w:t>
      </w:r>
      <w:r>
        <w:rPr>
          <w:color w:val="231F20"/>
        </w:rPr>
        <w:t>at</w:t>
      </w:r>
      <w:r>
        <w:rPr>
          <w:color w:val="231F20"/>
          <w:spacing w:val="28"/>
        </w:rPr>
        <w:t> </w:t>
      </w:r>
      <w:r>
        <w:rPr>
          <w:color w:val="231F20"/>
        </w:rPr>
        <w:t>the</w:t>
      </w:r>
      <w:r>
        <w:rPr>
          <w:color w:val="231F20"/>
          <w:spacing w:val="28"/>
        </w:rPr>
        <w:t> </w:t>
      </w:r>
      <w:r>
        <w:rPr>
          <w:color w:val="231F20"/>
        </w:rPr>
        <w:t>system.</w:t>
      </w:r>
      <w:r>
        <w:rPr>
          <w:color w:val="231F20"/>
          <w:spacing w:val="28"/>
        </w:rPr>
        <w:t> </w:t>
      </w:r>
      <w:r>
        <w:rPr>
          <w:color w:val="231F20"/>
        </w:rPr>
        <w:t>The</w:t>
      </w:r>
      <w:r>
        <w:rPr>
          <w:color w:val="231F20"/>
          <w:spacing w:val="28"/>
        </w:rPr>
        <w:t> </w:t>
      </w:r>
      <w:r>
        <w:rPr>
          <w:color w:val="231F20"/>
        </w:rPr>
        <w:t>command</w:t>
      </w:r>
      <w:r>
        <w:rPr>
          <w:color w:val="231F20"/>
          <w:spacing w:val="28"/>
        </w:rPr>
        <w:t> </w:t>
      </w:r>
      <w:r>
        <w:rPr>
          <w:color w:val="231F20"/>
        </w:rPr>
        <w:t>you</w:t>
      </w:r>
      <w:r>
        <w:rPr>
          <w:color w:val="231F20"/>
          <w:spacing w:val="28"/>
        </w:rPr>
        <w:t> </w:t>
      </w:r>
      <w:r>
        <w:rPr>
          <w:color w:val="231F20"/>
        </w:rPr>
        <w:t>enter</w:t>
      </w:r>
      <w:r>
        <w:rPr>
          <w:color w:val="231F20"/>
          <w:spacing w:val="28"/>
        </w:rPr>
        <w:t> </w:t>
      </w:r>
      <w:r>
        <w:rPr>
          <w:color w:val="231F20"/>
        </w:rPr>
        <w:t>depends</w:t>
      </w:r>
      <w:r>
        <w:rPr>
          <w:color w:val="231F20"/>
          <w:spacing w:val="28"/>
        </w:rPr>
        <w:t> </w:t>
      </w:r>
      <w:r>
        <w:rPr>
          <w:color w:val="231F20"/>
        </w:rPr>
        <w:t>on the application and operating platform you are running. For example, you can enter a UNIX shell command to run at a UNIX system.</w:t>
      </w:r>
    </w:p>
    <w:p>
      <w:pPr>
        <w:pStyle w:val="BodyText"/>
        <w:spacing w:line="213" w:lineRule="auto" w:before="117"/>
        <w:ind w:left="718" w:right="275"/>
        <w:rPr>
          <w:rFonts w:ascii="Arial"/>
        </w:rPr>
      </w:pPr>
      <w:r>
        <w:rPr>
          <w:color w:val="231F20"/>
        </w:rPr>
        <w:t>Example: Windows has a command for sending a message to a system: </w:t>
      </w:r>
      <w:r>
        <w:rPr>
          <w:rFonts w:ascii="Arial"/>
          <w:color w:val="231F20"/>
        </w:rPr>
        <w:t>net </w:t>
      </w:r>
      <w:r>
        <w:rPr>
          <w:rFonts w:ascii="Arial"/>
          <w:color w:val="231F20"/>
          <w:spacing w:val="-2"/>
        </w:rPr>
        <w:t>send</w:t>
      </w:r>
      <w:r>
        <w:rPr>
          <w:rFonts w:ascii="Arial"/>
          <w:color w:val="231F20"/>
          <w:spacing w:val="9"/>
        </w:rPr>
        <w:t> </w:t>
      </w:r>
      <w:r>
        <w:rPr>
          <w:rFonts w:ascii="Lucida Sans"/>
          <w:i/>
          <w:color w:val="231F20"/>
          <w:spacing w:val="-2"/>
        </w:rPr>
        <w:t>computer_name </w:t>
      </w:r>
      <w:r>
        <w:rPr>
          <w:rFonts w:ascii="Arial"/>
          <w:color w:val="231F20"/>
          <w:spacing w:val="-2"/>
        </w:rPr>
        <w:t>message</w:t>
      </w:r>
      <w:r>
        <w:rPr>
          <w:color w:val="231F20"/>
          <w:spacing w:val="-2"/>
        </w:rPr>
        <w:t>,</w:t>
      </w:r>
      <w:r>
        <w:rPr>
          <w:color w:val="231F20"/>
          <w:spacing w:val="15"/>
        </w:rPr>
        <w:t> </w:t>
      </w:r>
      <w:r>
        <w:rPr>
          <w:color w:val="231F20"/>
          <w:spacing w:val="-2"/>
        </w:rPr>
        <w:t>as</w:t>
      </w:r>
      <w:r>
        <w:rPr>
          <w:color w:val="231F20"/>
          <w:spacing w:val="15"/>
        </w:rPr>
        <w:t> </w:t>
      </w:r>
      <w:r>
        <w:rPr>
          <w:color w:val="231F20"/>
          <w:spacing w:val="-2"/>
        </w:rPr>
        <w:t>in</w:t>
      </w:r>
      <w:r>
        <w:rPr>
          <w:color w:val="231F20"/>
          <w:spacing w:val="15"/>
        </w:rPr>
        <w:t> </w:t>
      </w:r>
      <w:r>
        <w:rPr>
          <w:rFonts w:ascii="Arial"/>
          <w:color w:val="231F20"/>
          <w:spacing w:val="-2"/>
        </w:rPr>
        <w:t>net</w:t>
      </w:r>
      <w:r>
        <w:rPr>
          <w:rFonts w:ascii="Arial"/>
          <w:color w:val="231F20"/>
          <w:spacing w:val="9"/>
        </w:rPr>
        <w:t> </w:t>
      </w:r>
      <w:r>
        <w:rPr>
          <w:rFonts w:ascii="Arial"/>
          <w:color w:val="231F20"/>
          <w:spacing w:val="-2"/>
        </w:rPr>
        <w:t>send</w:t>
      </w:r>
      <w:r>
        <w:rPr>
          <w:rFonts w:ascii="Arial"/>
          <w:color w:val="231F20"/>
          <w:spacing w:val="9"/>
        </w:rPr>
        <w:t> </w:t>
      </w:r>
      <w:r>
        <w:rPr>
          <w:rFonts w:ascii="Arial"/>
          <w:color w:val="231F20"/>
          <w:spacing w:val="-2"/>
        </w:rPr>
        <w:t>MYPC</w:t>
      </w:r>
      <w:r>
        <w:rPr>
          <w:rFonts w:ascii="Arial"/>
          <w:color w:val="231F20"/>
          <w:spacing w:val="9"/>
        </w:rPr>
        <w:t> </w:t>
      </w:r>
      <w:r>
        <w:rPr>
          <w:rFonts w:ascii="Arial"/>
          <w:color w:val="231F20"/>
          <w:spacing w:val="-2"/>
        </w:rPr>
        <w:t>Disk</w:t>
      </w:r>
      <w:r>
        <w:rPr>
          <w:rFonts w:ascii="Arial"/>
          <w:color w:val="231F20"/>
          <w:spacing w:val="-2"/>
          <w:w w:val="120"/>
        </w:rPr>
        <w:t> is</w:t>
      </w:r>
      <w:r>
        <w:rPr>
          <w:rFonts w:ascii="Arial"/>
          <w:color w:val="231F20"/>
          <w:spacing w:val="-2"/>
          <w:w w:val="120"/>
        </w:rPr>
        <w:t> </w:t>
      </w:r>
      <w:r>
        <w:rPr>
          <w:rFonts w:ascii="Arial"/>
          <w:color w:val="231F20"/>
          <w:spacing w:val="-2"/>
        </w:rPr>
        <w:t>85%</w:t>
      </w:r>
      <w:r>
        <w:rPr>
          <w:rFonts w:ascii="Arial"/>
          <w:color w:val="231F20"/>
          <w:spacing w:val="-2"/>
          <w:w w:val="120"/>
        </w:rPr>
        <w:t> full.</w:t>
      </w:r>
    </w:p>
    <w:p>
      <w:pPr>
        <w:pStyle w:val="BodyText"/>
        <w:spacing w:line="245" w:lineRule="exact"/>
        <w:ind w:left="718"/>
      </w:pPr>
      <w:r>
        <w:rPr>
          <w:rFonts w:ascii="Arial"/>
          <w:color w:val="231F20"/>
          <w:spacing w:val="-2"/>
        </w:rPr>
        <w:t>Delete</w:t>
      </w:r>
      <w:r>
        <w:rPr>
          <w:rFonts w:ascii="Arial"/>
          <w:color w:val="231F20"/>
          <w:spacing w:val="15"/>
        </w:rPr>
        <w:t> </w:t>
      </w:r>
      <w:r>
        <w:rPr>
          <w:rFonts w:ascii="Arial"/>
          <w:color w:val="231F20"/>
          <w:spacing w:val="-2"/>
        </w:rPr>
        <w:t>some</w:t>
      </w:r>
      <w:r>
        <w:rPr>
          <w:rFonts w:ascii="Arial"/>
          <w:color w:val="231F20"/>
          <w:spacing w:val="15"/>
        </w:rPr>
        <w:t> </w:t>
      </w:r>
      <w:r>
        <w:rPr>
          <w:rFonts w:ascii="Arial"/>
          <w:color w:val="231F20"/>
          <w:spacing w:val="-2"/>
        </w:rPr>
        <w:t>files</w:t>
      </w:r>
      <w:r>
        <w:rPr>
          <w:color w:val="231F20"/>
          <w:spacing w:val="-2"/>
        </w:rPr>
        <w:t>.</w:t>
      </w:r>
    </w:p>
    <w:p>
      <w:pPr>
        <w:pStyle w:val="BodyText"/>
        <w:spacing w:line="213" w:lineRule="auto" w:before="112"/>
        <w:ind w:left="718" w:right="275"/>
      </w:pPr>
      <w:r>
        <w:rPr>
          <w:color w:val="231F20"/>
        </w:rPr>
        <w:t>Example: UNIX has the mail command for directing messages: </w:t>
      </w:r>
      <w:r>
        <w:rPr>
          <w:rFonts w:ascii="Arial"/>
          <w:color w:val="231F20"/>
        </w:rPr>
        <w:t>mail node userID</w:t>
      </w:r>
      <w:r>
        <w:rPr>
          <w:rFonts w:ascii="Arial"/>
          <w:color w:val="231F20"/>
          <w:spacing w:val="40"/>
        </w:rPr>
        <w:t> </w:t>
      </w:r>
      <w:r>
        <w:rPr>
          <w:rFonts w:ascii="Arial"/>
          <w:color w:val="231F20"/>
        </w:rPr>
        <w:t>text</w:t>
      </w:r>
      <w:r>
        <w:rPr>
          <w:color w:val="231F20"/>
        </w:rPr>
        <w:t>.</w:t>
      </w:r>
    </w:p>
    <w:p>
      <w:pPr>
        <w:pStyle w:val="BodyText"/>
        <w:spacing w:line="213" w:lineRule="auto" w:before="238"/>
        <w:ind w:left="718" w:right="275"/>
      </w:pPr>
      <w:r>
        <w:rPr>
          <w:rFonts w:ascii="Book Antiqua"/>
          <w:b/>
          <w:color w:val="231F20"/>
        </w:rPr>
        <w:t>Note:</w:t>
      </w:r>
      <w:r>
        <w:rPr>
          <w:rFonts w:ascii="Book Antiqua"/>
          <w:b/>
          <w:color w:val="231F20"/>
          <w:spacing w:val="40"/>
        </w:rPr>
        <w:t> </w:t>
      </w:r>
      <w:r>
        <w:rPr>
          <w:color w:val="231F20"/>
        </w:rPr>
        <w:t>To use the ":" colon character in the command, precede it with a "\" backslash. Otherwise, the command will truncate at the ":" colon. For example,</w:t>
      </w:r>
      <w:r>
        <w:rPr>
          <w:color w:val="231F20"/>
          <w:spacing w:val="40"/>
        </w:rPr>
        <w:t> </w:t>
      </w:r>
      <w:r>
        <w:rPr>
          <w:color w:val="231F20"/>
        </w:rPr>
        <w:t>to</w:t>
      </w:r>
      <w:r>
        <w:rPr>
          <w:color w:val="231F20"/>
          <w:spacing w:val="40"/>
        </w:rPr>
        <w:t> </w:t>
      </w:r>
      <w:r>
        <w:rPr>
          <w:color w:val="231F20"/>
        </w:rPr>
        <w:t>specify</w:t>
      </w:r>
      <w:r>
        <w:rPr>
          <w:color w:val="231F20"/>
          <w:spacing w:val="40"/>
        </w:rPr>
        <w:t> </w:t>
      </w:r>
      <w:r>
        <w:rPr>
          <w:rFonts w:ascii="Arial"/>
          <w:color w:val="231F20"/>
        </w:rPr>
        <w:t>c:\something</w:t>
      </w:r>
      <w:r>
        <w:rPr>
          <w:rFonts w:ascii="Arial"/>
          <w:color w:val="231F20"/>
          <w:spacing w:val="40"/>
        </w:rPr>
        <w:t> </w:t>
      </w:r>
      <w:r>
        <w:rPr>
          <w:color w:val="231F20"/>
        </w:rPr>
        <w:t>,</w:t>
      </w:r>
      <w:r>
        <w:rPr>
          <w:color w:val="231F20"/>
          <w:spacing w:val="40"/>
        </w:rPr>
        <w:t> </w:t>
      </w:r>
      <w:r>
        <w:rPr>
          <w:color w:val="231F20"/>
        </w:rPr>
        <w:t>you</w:t>
      </w:r>
      <w:r>
        <w:rPr>
          <w:color w:val="231F20"/>
          <w:spacing w:val="40"/>
        </w:rPr>
        <w:t> </w:t>
      </w:r>
      <w:r>
        <w:rPr>
          <w:color w:val="231F20"/>
        </w:rPr>
        <w:t>would</w:t>
      </w:r>
      <w:r>
        <w:rPr>
          <w:color w:val="231F20"/>
          <w:spacing w:val="40"/>
        </w:rPr>
        <w:t> </w:t>
      </w:r>
      <w:r>
        <w:rPr>
          <w:color w:val="231F20"/>
        </w:rPr>
        <w:t>enter</w:t>
      </w:r>
      <w:r>
        <w:rPr>
          <w:color w:val="231F20"/>
          <w:spacing w:val="40"/>
        </w:rPr>
        <w:t> </w:t>
      </w:r>
      <w:r>
        <w:rPr>
          <w:rFonts w:ascii="Arial"/>
          <w:color w:val="231F20"/>
        </w:rPr>
        <w:t>c\:\something</w:t>
      </w:r>
      <w:r>
        <w:rPr>
          <w:rFonts w:ascii="Arial"/>
          <w:color w:val="231F20"/>
          <w:spacing w:val="40"/>
        </w:rPr>
        <w:t> </w:t>
      </w:r>
      <w:r>
        <w:rPr>
          <w:color w:val="231F20"/>
        </w:rPr>
        <w:t>.</w:t>
      </w:r>
    </w:p>
    <w:p>
      <w:pPr>
        <w:spacing w:after="0" w:line="213" w:lineRule="auto"/>
        <w:sectPr>
          <w:type w:val="continuous"/>
          <w:pgSz w:w="12240" w:h="15840"/>
          <w:pgMar w:header="0" w:footer="736" w:top="0" w:bottom="4660" w:left="1000" w:right="1060"/>
          <w:cols w:num="2" w:equalWidth="0">
            <w:col w:w="2444" w:space="28"/>
            <w:col w:w="7708"/>
          </w:cols>
        </w:sectPr>
      </w:pPr>
    </w:p>
    <w:p>
      <w:pPr>
        <w:pStyle w:val="BodyText"/>
        <w:spacing w:line="213" w:lineRule="auto" w:before="85"/>
        <w:ind w:left="2951" w:right="493"/>
      </w:pPr>
      <w:r>
        <w:rPr>
          <w:color w:val="231F20"/>
        </w:rPr>
        <w:t>The </w:t>
      </w:r>
      <w:r>
        <w:rPr>
          <w:rFonts w:ascii="Book Antiqua"/>
          <w:b/>
          <w:color w:val="231F20"/>
        </w:rPr>
        <w:t>Attribute Substitution </w:t>
      </w:r>
      <w:r>
        <w:rPr>
          <w:color w:val="231F20"/>
        </w:rPr>
        <w:t>button opens a window for you to choose an attribute. The attribute name you select is replaced by the actual value during execution of the action command. Note that attribute substitution </w:t>
      </w:r>
      <w:r>
        <w:rPr>
          <w:color w:val="231F20"/>
        </w:rPr>
        <w:t>is not possible for correlated situations. Example:</w:t>
      </w:r>
    </w:p>
    <w:p>
      <w:pPr>
        <w:spacing w:line="230" w:lineRule="auto" w:before="67"/>
        <w:ind w:left="3130" w:right="0" w:hanging="180"/>
        <w:jc w:val="left"/>
        <w:rPr>
          <w:rFonts w:ascii="Arial"/>
          <w:sz w:val="18"/>
        </w:rPr>
      </w:pPr>
      <w:r>
        <w:rPr>
          <w:rFonts w:ascii="Arial"/>
          <w:color w:val="231F20"/>
          <w:spacing w:val="-2"/>
          <w:sz w:val="18"/>
        </w:rPr>
        <w:t>echo</w:t>
      </w:r>
      <w:r>
        <w:rPr>
          <w:rFonts w:ascii="Arial"/>
          <w:color w:val="231F20"/>
          <w:spacing w:val="22"/>
          <w:sz w:val="18"/>
        </w:rPr>
        <w:t> </w:t>
      </w:r>
      <w:r>
        <w:rPr>
          <w:rFonts w:ascii="Arial"/>
          <w:color w:val="231F20"/>
          <w:spacing w:val="-2"/>
          <w:sz w:val="18"/>
        </w:rPr>
        <w:t>System:</w:t>
      </w:r>
      <w:r>
        <w:rPr>
          <w:rFonts w:ascii="Arial"/>
          <w:color w:val="231F20"/>
          <w:spacing w:val="22"/>
          <w:sz w:val="18"/>
        </w:rPr>
        <w:t> </w:t>
      </w:r>
      <w:r>
        <w:rPr>
          <w:rFonts w:ascii="Arial"/>
          <w:color w:val="231F20"/>
          <w:spacing w:val="-2"/>
          <w:sz w:val="18"/>
        </w:rPr>
        <w:t>&amp;NT_Logical_Disk.Server_Name,</w:t>
      </w:r>
      <w:r>
        <w:rPr>
          <w:rFonts w:ascii="Arial"/>
          <w:color w:val="231F20"/>
          <w:spacing w:val="22"/>
          <w:sz w:val="18"/>
        </w:rPr>
        <w:t> </w:t>
      </w:r>
      <w:r>
        <w:rPr>
          <w:rFonts w:ascii="Arial"/>
          <w:color w:val="231F20"/>
          <w:spacing w:val="-2"/>
          <w:sz w:val="18"/>
        </w:rPr>
        <w:t>Disk:</w:t>
      </w:r>
      <w:r>
        <w:rPr>
          <w:rFonts w:ascii="Arial"/>
          <w:color w:val="231F20"/>
          <w:spacing w:val="22"/>
          <w:sz w:val="18"/>
        </w:rPr>
        <w:t> </w:t>
      </w:r>
      <w:r>
        <w:rPr>
          <w:rFonts w:ascii="Arial"/>
          <w:color w:val="231F20"/>
          <w:spacing w:val="-2"/>
          <w:sz w:val="18"/>
        </w:rPr>
        <w:t>&amp;NT_Logical_Disk.Disk_Name, </w:t>
      </w:r>
      <w:r>
        <w:rPr>
          <w:rFonts w:ascii="Arial"/>
          <w:color w:val="231F20"/>
          <w:w w:val="105"/>
          <w:sz w:val="18"/>
        </w:rPr>
        <w:t>Space</w:t>
      </w:r>
      <w:r>
        <w:rPr>
          <w:rFonts w:ascii="Arial"/>
          <w:color w:val="231F20"/>
          <w:spacing w:val="16"/>
          <w:w w:val="105"/>
          <w:sz w:val="18"/>
        </w:rPr>
        <w:t> </w:t>
      </w:r>
      <w:r>
        <w:rPr>
          <w:rFonts w:ascii="Arial"/>
          <w:color w:val="231F20"/>
          <w:w w:val="105"/>
          <w:sz w:val="18"/>
        </w:rPr>
        <w:t>Available:</w:t>
      </w:r>
      <w:r>
        <w:rPr>
          <w:rFonts w:ascii="Arial"/>
          <w:color w:val="231F20"/>
          <w:spacing w:val="16"/>
          <w:w w:val="105"/>
          <w:sz w:val="18"/>
        </w:rPr>
        <w:t> </w:t>
      </w:r>
      <w:r>
        <w:rPr>
          <w:rFonts w:ascii="Arial"/>
          <w:color w:val="231F20"/>
          <w:w w:val="105"/>
          <w:sz w:val="18"/>
        </w:rPr>
        <w:t>&amp;NT_Logical_Disk.%_Free%|mail</w:t>
      </w:r>
      <w:r>
        <w:rPr>
          <w:rFonts w:ascii="Arial"/>
          <w:color w:val="231F20"/>
          <w:spacing w:val="16"/>
          <w:w w:val="105"/>
          <w:sz w:val="18"/>
        </w:rPr>
        <w:t> </w:t>
      </w:r>
      <w:r>
        <w:rPr>
          <w:rFonts w:ascii="Arial"/>
          <w:color w:val="231F20"/>
          <w:w w:val="105"/>
          <w:sz w:val="18"/>
        </w:rPr>
        <w:t>userID</w:t>
      </w:r>
      <w:r>
        <w:rPr>
          <w:rFonts w:ascii="Arial"/>
          <w:color w:val="231F20"/>
          <w:spacing w:val="-6"/>
          <w:w w:val="150"/>
          <w:sz w:val="18"/>
        </w:rPr>
        <w:t> </w:t>
      </w:r>
      <w:r>
        <w:rPr>
          <w:rFonts w:ascii="Arial"/>
          <w:color w:val="231F20"/>
          <w:w w:val="150"/>
          <w:sz w:val="18"/>
        </w:rPr>
        <w:t>.</w:t>
      </w:r>
    </w:p>
    <w:p>
      <w:pPr>
        <w:pStyle w:val="BodyText"/>
        <w:spacing w:before="44"/>
        <w:rPr>
          <w:rFonts w:ascii="Arial"/>
          <w:sz w:val="18"/>
        </w:rPr>
      </w:pPr>
    </w:p>
    <w:p>
      <w:pPr>
        <w:pStyle w:val="BodyText"/>
        <w:spacing w:line="213" w:lineRule="auto"/>
        <w:ind w:left="2951" w:right="545"/>
      </w:pPr>
      <w:r>
        <w:rPr>
          <w:color w:val="231F20"/>
        </w:rPr>
        <w:t>This command sends an email that reads, "System: MyServer, Disk: </w:t>
      </w:r>
      <w:r>
        <w:rPr>
          <w:color w:val="231F20"/>
        </w:rPr>
        <w:t>D:, Space Available: 15</w:t>
      </w:r>
    </w:p>
    <w:p>
      <w:pPr>
        <w:pStyle w:val="Heading6"/>
        <w:ind w:left="2232"/>
      </w:pPr>
      <w:r>
        <w:rPr>
          <w:color w:val="231F20"/>
        </w:rPr>
        <w:t>Universal</w:t>
      </w:r>
      <w:r>
        <w:rPr>
          <w:color w:val="231F20"/>
          <w:spacing w:val="7"/>
        </w:rPr>
        <w:t> </w:t>
      </w:r>
      <w:r>
        <w:rPr>
          <w:color w:val="231F20"/>
          <w:spacing w:val="-2"/>
        </w:rPr>
        <w:t>message</w:t>
      </w:r>
    </w:p>
    <w:p>
      <w:pPr>
        <w:pStyle w:val="BodyText"/>
        <w:spacing w:line="213" w:lineRule="auto" w:before="11"/>
        <w:ind w:left="2951" w:right="545"/>
      </w:pPr>
      <w:r>
        <w:rPr>
          <w:color w:val="231F20"/>
        </w:rPr>
        <w:t>You can generate a universal message that can be seen in a </w:t>
      </w:r>
      <w:r>
        <w:rPr>
          <w:color w:val="231F20"/>
        </w:rPr>
        <w:t>universal message console view.</w:t>
      </w:r>
    </w:p>
    <w:p>
      <w:pPr>
        <w:pStyle w:val="BodyText"/>
        <w:spacing w:line="213" w:lineRule="auto" w:before="119"/>
        <w:ind w:left="2951" w:right="1246"/>
      </w:pPr>
      <w:r>
        <w:rPr>
          <w:rFonts w:ascii="Book Antiqua"/>
          <w:b/>
          <w:color w:val="231F20"/>
        </w:rPr>
        <w:t>Category </w:t>
      </w:r>
      <w:r>
        <w:rPr>
          <w:color w:val="231F20"/>
        </w:rPr>
        <w:t>is the category the message must fall under, such as</w:t>
      </w:r>
      <w:r>
        <w:rPr>
          <w:color w:val="231F20"/>
          <w:spacing w:val="40"/>
        </w:rPr>
        <w:t> </w:t>
      </w:r>
      <w:r>
        <w:rPr>
          <w:color w:val="231F20"/>
        </w:rPr>
        <w:t>"Non-essential" or "SiteCritical". Type a one-word term of up to </w:t>
      </w:r>
      <w:r>
        <w:rPr>
          <w:color w:val="231F20"/>
        </w:rPr>
        <w:t>16 characters to categorize the message.</w:t>
      </w:r>
    </w:p>
    <w:p>
      <w:pPr>
        <w:pStyle w:val="BodyText"/>
        <w:spacing w:line="213" w:lineRule="auto" w:before="118"/>
        <w:ind w:left="2951" w:right="697"/>
      </w:pPr>
      <w:r>
        <w:rPr>
          <w:rFonts w:ascii="Book Antiqua" w:hAnsi="Book Antiqua"/>
          <w:b/>
          <w:color w:val="231F20"/>
        </w:rPr>
        <w:t>Severity </w:t>
      </w:r>
      <w:r>
        <w:rPr>
          <w:color w:val="231F20"/>
        </w:rPr>
        <w:t>is the importance of the message, such as "High" or "1”. Type </w:t>
      </w:r>
      <w:r>
        <w:rPr>
          <w:color w:val="231F20"/>
        </w:rPr>
        <w:t>a one-word term of up to 8 characters that conveys the severity of the </w:t>
      </w:r>
      <w:r>
        <w:rPr>
          <w:color w:val="231F20"/>
          <w:spacing w:val="-2"/>
        </w:rPr>
        <w:t>message.</w:t>
      </w:r>
    </w:p>
    <w:p>
      <w:pPr>
        <w:pStyle w:val="BodyText"/>
        <w:spacing w:line="213" w:lineRule="auto" w:before="117"/>
        <w:ind w:left="2951" w:right="565"/>
        <w:jc w:val="both"/>
      </w:pPr>
      <w:r>
        <w:rPr>
          <w:rFonts w:ascii="Book Antiqua"/>
          <w:b/>
          <w:color w:val="231F20"/>
        </w:rPr>
        <w:t>Message </w:t>
      </w:r>
      <w:r>
        <w:rPr>
          <w:color w:val="231F20"/>
        </w:rPr>
        <w:t>is the text to display when the situation occurs. Type a message</w:t>
      </w:r>
      <w:r>
        <w:rPr>
          <w:color w:val="231F20"/>
          <w:spacing w:val="80"/>
        </w:rPr>
        <w:t> </w:t>
      </w:r>
      <w:r>
        <w:rPr>
          <w:color w:val="231F20"/>
        </w:rPr>
        <w:t>of up to 245 characters. You can include an attribute value in the </w:t>
      </w:r>
      <w:r>
        <w:rPr>
          <w:color w:val="231F20"/>
        </w:rPr>
        <w:t>message by selecting </w:t>
      </w:r>
      <w:r>
        <w:rPr>
          <w:rFonts w:ascii="Book Antiqua"/>
          <w:b/>
          <w:color w:val="231F20"/>
        </w:rPr>
        <w:t>Attribute Substitution</w:t>
      </w:r>
      <w:r>
        <w:rPr>
          <w:color w:val="231F20"/>
        </w:rPr>
        <w:t>.</w:t>
      </w:r>
    </w:p>
    <w:p>
      <w:pPr>
        <w:pStyle w:val="BodyText"/>
        <w:spacing w:line="213" w:lineRule="auto" w:before="118"/>
        <w:ind w:left="2951" w:right="877"/>
        <w:jc w:val="both"/>
      </w:pPr>
      <w:r>
        <w:rPr>
          <w:rFonts w:ascii="Book Antiqua"/>
          <w:b/>
          <w:color w:val="231F20"/>
        </w:rPr>
        <w:t>Attribute Substitution </w:t>
      </w:r>
      <w:r>
        <w:rPr>
          <w:color w:val="231F20"/>
        </w:rPr>
        <w:t>opens a window for choosing an attribute. </w:t>
      </w:r>
      <w:r>
        <w:rPr>
          <w:color w:val="231F20"/>
        </w:rPr>
        <w:t>The attribute name is replaced by the actual value during execution of the action command.</w:t>
      </w:r>
    </w:p>
    <w:p>
      <w:pPr>
        <w:pStyle w:val="BodyText"/>
        <w:spacing w:before="214"/>
        <w:ind w:left="2232"/>
      </w:pPr>
      <w:r>
        <w:rPr>
          <w:color w:val="231F20"/>
        </w:rPr>
        <w:t>If</w:t>
      </w:r>
      <w:r>
        <w:rPr>
          <w:color w:val="231F20"/>
          <w:spacing w:val="10"/>
        </w:rPr>
        <w:t> </w:t>
      </w:r>
      <w:r>
        <w:rPr>
          <w:color w:val="231F20"/>
        </w:rPr>
        <w:t>the</w:t>
      </w:r>
      <w:r>
        <w:rPr>
          <w:color w:val="231F20"/>
          <w:spacing w:val="11"/>
        </w:rPr>
        <w:t> </w:t>
      </w:r>
      <w:r>
        <w:rPr>
          <w:color w:val="231F20"/>
        </w:rPr>
        <w:t>condition</w:t>
      </w:r>
      <w:r>
        <w:rPr>
          <w:color w:val="231F20"/>
          <w:spacing w:val="11"/>
        </w:rPr>
        <w:t> </w:t>
      </w:r>
      <w:r>
        <w:rPr>
          <w:color w:val="231F20"/>
        </w:rPr>
        <w:t>is</w:t>
      </w:r>
      <w:r>
        <w:rPr>
          <w:color w:val="231F20"/>
          <w:spacing w:val="11"/>
        </w:rPr>
        <w:t> </w:t>
      </w:r>
      <w:r>
        <w:rPr>
          <w:color w:val="231F20"/>
        </w:rPr>
        <w:t>true</w:t>
      </w:r>
      <w:r>
        <w:rPr>
          <w:color w:val="231F20"/>
          <w:spacing w:val="11"/>
        </w:rPr>
        <w:t> </w:t>
      </w:r>
      <w:r>
        <w:rPr>
          <w:color w:val="231F20"/>
        </w:rPr>
        <w:t>for</w:t>
      </w:r>
      <w:r>
        <w:rPr>
          <w:color w:val="231F20"/>
          <w:spacing w:val="11"/>
        </w:rPr>
        <w:t> </w:t>
      </w:r>
      <w:r>
        <w:rPr>
          <w:color w:val="231F20"/>
        </w:rPr>
        <w:t>more</w:t>
      </w:r>
      <w:r>
        <w:rPr>
          <w:color w:val="231F20"/>
          <w:spacing w:val="11"/>
        </w:rPr>
        <w:t> </w:t>
      </w:r>
      <w:r>
        <w:rPr>
          <w:color w:val="231F20"/>
        </w:rPr>
        <w:t>than</w:t>
      </w:r>
      <w:r>
        <w:rPr>
          <w:color w:val="231F20"/>
          <w:spacing w:val="11"/>
        </w:rPr>
        <w:t> </w:t>
      </w:r>
      <w:r>
        <w:rPr>
          <w:color w:val="231F20"/>
        </w:rPr>
        <w:t>one</w:t>
      </w:r>
      <w:r>
        <w:rPr>
          <w:color w:val="231F20"/>
          <w:spacing w:val="10"/>
        </w:rPr>
        <w:t> </w:t>
      </w:r>
      <w:r>
        <w:rPr>
          <w:color w:val="231F20"/>
        </w:rPr>
        <w:t>monitored</w:t>
      </w:r>
      <w:r>
        <w:rPr>
          <w:color w:val="231F20"/>
          <w:spacing w:val="11"/>
        </w:rPr>
        <w:t> </w:t>
      </w:r>
      <w:r>
        <w:rPr>
          <w:color w:val="231F20"/>
          <w:spacing w:val="-2"/>
        </w:rPr>
        <w:t>item:</w:t>
      </w:r>
    </w:p>
    <w:p>
      <w:pPr>
        <w:pStyle w:val="BodyText"/>
        <w:tabs>
          <w:tab w:pos="2515" w:val="left" w:leader="none"/>
        </w:tabs>
        <w:spacing w:line="213" w:lineRule="auto" w:before="53"/>
        <w:ind w:left="2448" w:right="493" w:hanging="216"/>
      </w:pPr>
      <w:r>
        <w:rPr>
          <w:rFonts w:ascii="Futura MdCn BT"/>
          <w:color w:val="231F20"/>
          <w:spacing w:val="-10"/>
        </w:rPr>
        <w:t>v</w:t>
      </w:r>
      <w:r>
        <w:rPr>
          <w:rFonts w:ascii="Futura MdCn BT"/>
          <w:color w:val="231F20"/>
        </w:rPr>
        <w:tab/>
        <w:tab/>
      </w:r>
      <w:r>
        <w:rPr>
          <w:color w:val="231F20"/>
        </w:rPr>
        <w:t>If the sampling from the monitoring server returns multiple rows of data and more than one row satisfies the condition, you can choose to issue the command on</w:t>
      </w:r>
      <w:r>
        <w:rPr>
          <w:color w:val="231F20"/>
          <w:spacing w:val="25"/>
        </w:rPr>
        <w:t> </w:t>
      </w:r>
      <w:r>
        <w:rPr>
          <w:color w:val="231F20"/>
        </w:rPr>
        <w:t>only</w:t>
      </w:r>
      <w:r>
        <w:rPr>
          <w:color w:val="231F20"/>
          <w:spacing w:val="25"/>
        </w:rPr>
        <w:t> </w:t>
      </w:r>
      <w:r>
        <w:rPr>
          <w:color w:val="231F20"/>
        </w:rPr>
        <w:t>the</w:t>
      </w:r>
      <w:r>
        <w:rPr>
          <w:color w:val="231F20"/>
          <w:spacing w:val="25"/>
        </w:rPr>
        <w:t> </w:t>
      </w:r>
      <w:r>
        <w:rPr>
          <w:color w:val="231F20"/>
        </w:rPr>
        <w:t>first</w:t>
      </w:r>
      <w:r>
        <w:rPr>
          <w:color w:val="231F20"/>
          <w:spacing w:val="25"/>
        </w:rPr>
        <w:t> </w:t>
      </w:r>
      <w:r>
        <w:rPr>
          <w:color w:val="231F20"/>
        </w:rPr>
        <w:t>row</w:t>
      </w:r>
      <w:r>
        <w:rPr>
          <w:color w:val="231F20"/>
          <w:spacing w:val="25"/>
        </w:rPr>
        <w:t> </w:t>
      </w:r>
      <w:r>
        <w:rPr>
          <w:color w:val="231F20"/>
        </w:rPr>
        <w:t>that</w:t>
      </w:r>
      <w:r>
        <w:rPr>
          <w:color w:val="231F20"/>
          <w:spacing w:val="25"/>
        </w:rPr>
        <w:t> </w:t>
      </w:r>
      <w:r>
        <w:rPr>
          <w:color w:val="231F20"/>
        </w:rPr>
        <w:t>meets</w:t>
      </w:r>
      <w:r>
        <w:rPr>
          <w:color w:val="231F20"/>
          <w:spacing w:val="25"/>
        </w:rPr>
        <w:t> </w:t>
      </w:r>
      <w:r>
        <w:rPr>
          <w:color w:val="231F20"/>
        </w:rPr>
        <w:t>the</w:t>
      </w:r>
      <w:r>
        <w:rPr>
          <w:color w:val="231F20"/>
          <w:spacing w:val="25"/>
        </w:rPr>
        <w:t> </w:t>
      </w:r>
      <w:r>
        <w:rPr>
          <w:color w:val="231F20"/>
        </w:rPr>
        <w:t>condition</w:t>
      </w:r>
      <w:r>
        <w:rPr>
          <w:color w:val="231F20"/>
          <w:spacing w:val="25"/>
        </w:rPr>
        <w:t> </w:t>
      </w:r>
      <w:r>
        <w:rPr>
          <w:color w:val="231F20"/>
        </w:rPr>
        <w:t>or</w:t>
      </w:r>
      <w:r>
        <w:rPr>
          <w:color w:val="231F20"/>
          <w:spacing w:val="25"/>
        </w:rPr>
        <w:t> </w:t>
      </w:r>
      <w:r>
        <w:rPr>
          <w:color w:val="231F20"/>
        </w:rPr>
        <w:t>once</w:t>
      </w:r>
      <w:r>
        <w:rPr>
          <w:color w:val="231F20"/>
          <w:spacing w:val="25"/>
        </w:rPr>
        <w:t> </w:t>
      </w:r>
      <w:r>
        <w:rPr>
          <w:color w:val="231F20"/>
        </w:rPr>
        <w:t>for</w:t>
      </w:r>
      <w:r>
        <w:rPr>
          <w:color w:val="231F20"/>
          <w:spacing w:val="25"/>
        </w:rPr>
        <w:t> </w:t>
      </w:r>
      <w:r>
        <w:rPr>
          <w:color w:val="231F20"/>
        </w:rPr>
        <w:t>each</w:t>
      </w:r>
      <w:r>
        <w:rPr>
          <w:color w:val="231F20"/>
          <w:spacing w:val="25"/>
        </w:rPr>
        <w:t> </w:t>
      </w:r>
      <w:r>
        <w:rPr>
          <w:color w:val="231F20"/>
        </w:rPr>
        <w:t>row</w:t>
      </w:r>
      <w:r>
        <w:rPr>
          <w:color w:val="231F20"/>
          <w:spacing w:val="25"/>
        </w:rPr>
        <w:t> </w:t>
      </w:r>
      <w:r>
        <w:rPr>
          <w:color w:val="231F20"/>
        </w:rPr>
        <w:t>that</w:t>
      </w:r>
      <w:r>
        <w:rPr>
          <w:color w:val="231F20"/>
          <w:spacing w:val="25"/>
        </w:rPr>
        <w:t> </w:t>
      </w:r>
      <w:r>
        <w:rPr>
          <w:color w:val="231F20"/>
        </w:rPr>
        <w:t>meets the condition. For example, if the situation fires when any process uses over </w:t>
      </w:r>
      <w:r>
        <w:rPr>
          <w:color w:val="231F20"/>
        </w:rPr>
        <w:t>80%</w:t>
      </w:r>
      <w:r>
        <w:rPr>
          <w:color w:val="231F20"/>
          <w:spacing w:val="40"/>
        </w:rPr>
        <w:t> </w:t>
      </w:r>
      <w:r>
        <w:rPr>
          <w:color w:val="231F20"/>
        </w:rPr>
        <w:t>of</w:t>
      </w:r>
      <w:r>
        <w:rPr>
          <w:color w:val="231F20"/>
          <w:spacing w:val="26"/>
        </w:rPr>
        <w:t> </w:t>
      </w:r>
      <w:r>
        <w:rPr>
          <w:color w:val="231F20"/>
        </w:rPr>
        <w:t>the</w:t>
      </w:r>
      <w:r>
        <w:rPr>
          <w:color w:val="231F20"/>
          <w:spacing w:val="26"/>
        </w:rPr>
        <w:t> </w:t>
      </w:r>
      <w:r>
        <w:rPr>
          <w:color w:val="231F20"/>
        </w:rPr>
        <w:t>CPU,</w:t>
      </w:r>
      <w:r>
        <w:rPr>
          <w:color w:val="231F20"/>
          <w:spacing w:val="26"/>
        </w:rPr>
        <w:t> </w:t>
      </w:r>
      <w:r>
        <w:rPr>
          <w:color w:val="231F20"/>
        </w:rPr>
        <w:t>you</w:t>
      </w:r>
      <w:r>
        <w:rPr>
          <w:color w:val="231F20"/>
          <w:spacing w:val="26"/>
        </w:rPr>
        <w:t> </w:t>
      </w:r>
      <w:r>
        <w:rPr>
          <w:color w:val="231F20"/>
        </w:rPr>
        <w:t>can</w:t>
      </w:r>
      <w:r>
        <w:rPr>
          <w:color w:val="231F20"/>
          <w:spacing w:val="26"/>
        </w:rPr>
        <w:t> </w:t>
      </w:r>
      <w:r>
        <w:rPr>
          <w:color w:val="231F20"/>
        </w:rPr>
        <w:t>issue</w:t>
      </w:r>
      <w:r>
        <w:rPr>
          <w:color w:val="231F20"/>
          <w:spacing w:val="26"/>
        </w:rPr>
        <w:t> </w:t>
      </w:r>
      <w:r>
        <w:rPr>
          <w:color w:val="231F20"/>
        </w:rPr>
        <w:t>a</w:t>
      </w:r>
      <w:r>
        <w:rPr>
          <w:color w:val="231F20"/>
          <w:spacing w:val="26"/>
        </w:rPr>
        <w:t> </w:t>
      </w:r>
      <w:r>
        <w:rPr>
          <w:color w:val="231F20"/>
        </w:rPr>
        <w:t>command</w:t>
      </w:r>
      <w:r>
        <w:rPr>
          <w:color w:val="231F20"/>
          <w:spacing w:val="26"/>
        </w:rPr>
        <w:t> </w:t>
      </w:r>
      <w:r>
        <w:rPr>
          <w:color w:val="231F20"/>
        </w:rPr>
        <w:t>to</w:t>
      </w:r>
      <w:r>
        <w:rPr>
          <w:color w:val="231F20"/>
          <w:spacing w:val="26"/>
        </w:rPr>
        <w:t> </w:t>
      </w:r>
      <w:r>
        <w:rPr>
          <w:color w:val="231F20"/>
        </w:rPr>
        <w:t>terminate</w:t>
      </w:r>
      <w:r>
        <w:rPr>
          <w:color w:val="231F20"/>
          <w:spacing w:val="26"/>
        </w:rPr>
        <w:t> </w:t>
      </w:r>
      <w:r>
        <w:rPr>
          <w:color w:val="231F20"/>
        </w:rPr>
        <w:t>just</w:t>
      </w:r>
      <w:r>
        <w:rPr>
          <w:color w:val="231F20"/>
          <w:spacing w:val="26"/>
        </w:rPr>
        <w:t> </w:t>
      </w:r>
      <w:r>
        <w:rPr>
          <w:color w:val="231F20"/>
        </w:rPr>
        <w:t>the</w:t>
      </w:r>
      <w:r>
        <w:rPr>
          <w:color w:val="231F20"/>
          <w:spacing w:val="26"/>
        </w:rPr>
        <w:t> </w:t>
      </w:r>
      <w:r>
        <w:rPr>
          <w:color w:val="231F20"/>
        </w:rPr>
        <w:t>first</w:t>
      </w:r>
      <w:r>
        <w:rPr>
          <w:color w:val="231F20"/>
          <w:spacing w:val="26"/>
        </w:rPr>
        <w:t> </w:t>
      </w:r>
      <w:r>
        <w:rPr>
          <w:color w:val="231F20"/>
        </w:rPr>
        <w:t>process</w:t>
      </w:r>
      <w:r>
        <w:rPr>
          <w:color w:val="231F20"/>
          <w:spacing w:val="26"/>
        </w:rPr>
        <w:t> </w:t>
      </w:r>
      <w:r>
        <w:rPr>
          <w:color w:val="231F20"/>
        </w:rPr>
        <w:t>that meets this criteria or all processes.</w:t>
      </w:r>
    </w:p>
    <w:p>
      <w:pPr>
        <w:pStyle w:val="Heading6"/>
        <w:spacing w:line="297" w:lineRule="auto" w:before="60"/>
        <w:ind w:left="2748" w:right="4420"/>
      </w:pPr>
      <w:r>
        <w:rPr>
          <w:b w:val="0"/>
        </w:rPr>
        <w:drawing>
          <wp:inline distT="0" distB="0" distL="0" distR="0">
            <wp:extent cx="88900" cy="82550"/>
            <wp:effectExtent l="0" t="0" r="0" b="0"/>
            <wp:docPr id="2268" name="Image 2268"/>
            <wp:cNvGraphicFramePr>
              <a:graphicFrameLocks/>
            </wp:cNvGraphicFramePr>
            <a:graphic>
              <a:graphicData uri="http://schemas.openxmlformats.org/drawingml/2006/picture">
                <pic:pic>
                  <pic:nvPicPr>
                    <pic:cNvPr id="2268" name="Image 2268"/>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Only take action on first </w:t>
      </w:r>
      <w:r>
        <w:rPr>
          <w:color w:val="231F20"/>
        </w:rPr>
        <w:t>item </w:t>
      </w:r>
      <w:r>
        <w:rPr>
          <w:color w:val="231F20"/>
        </w:rPr>
        <w:drawing>
          <wp:inline distT="0" distB="0" distL="0" distR="0">
            <wp:extent cx="88900" cy="82550"/>
            <wp:effectExtent l="0" t="0" r="0" b="0"/>
            <wp:docPr id="2269" name="Image 2269"/>
            <wp:cNvGraphicFramePr>
              <a:graphicFrameLocks/>
            </wp:cNvGraphicFramePr>
            <a:graphic>
              <a:graphicData uri="http://schemas.openxmlformats.org/drawingml/2006/picture">
                <pic:pic>
                  <pic:nvPicPr>
                    <pic:cNvPr id="2269" name="Image 2269"/>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rPr>
      </w:r>
      <w:r>
        <w:rPr>
          <w:rFonts w:ascii="Times New Roman"/>
          <w:b w:val="0"/>
          <w:color w:val="231F20"/>
          <w:spacing w:val="40"/>
        </w:rPr>
        <w:t> </w:t>
      </w:r>
      <w:r>
        <w:rPr>
          <w:color w:val="231F20"/>
        </w:rPr>
        <w:t>Take action on each item</w:t>
      </w:r>
    </w:p>
    <w:p>
      <w:pPr>
        <w:pStyle w:val="BodyText"/>
        <w:spacing w:line="213" w:lineRule="auto" w:before="176"/>
        <w:ind w:left="2448" w:right="545"/>
      </w:pPr>
      <w:r>
        <w:rPr>
          <w:rFonts w:ascii="Book Antiqua" w:hAnsi="Book Antiqua"/>
          <w:b/>
          <w:color w:val="231F20"/>
        </w:rPr>
        <w:t>Note:</w:t>
      </w:r>
      <w:r>
        <w:rPr>
          <w:rFonts w:ascii="Book Antiqua" w:hAnsi="Book Antiqua"/>
          <w:b/>
          <w:color w:val="231F20"/>
          <w:spacing w:val="80"/>
        </w:rPr>
        <w:t> </w:t>
      </w:r>
      <w:r>
        <w:rPr>
          <w:color w:val="231F20"/>
        </w:rPr>
        <w:t>If the situation has a Display Item set and the "Only take action on first</w:t>
      </w:r>
      <w:r>
        <w:rPr>
          <w:color w:val="231F20"/>
          <w:spacing w:val="40"/>
        </w:rPr>
        <w:t> </w:t>
      </w:r>
      <w:r>
        <w:rPr>
          <w:color w:val="231F20"/>
        </w:rPr>
        <w:t>item" option is selected, the action is taken once for each unique display item </w:t>
      </w:r>
      <w:r>
        <w:rPr>
          <w:color w:val="231F20"/>
        </w:rPr>
        <w:t>in the rows of data. For example, if there were 100 total rows that qualified and</w:t>
      </w:r>
      <w:r>
        <w:rPr>
          <w:color w:val="231F20"/>
          <w:spacing w:val="40"/>
        </w:rPr>
        <w:t> </w:t>
      </w:r>
      <w:r>
        <w:rPr>
          <w:color w:val="231F20"/>
        </w:rPr>
        <w:t>there were 6 unique display items, the situation would fire 6 times. See</w:t>
      </w:r>
      <w:r>
        <w:rPr>
          <w:color w:val="231F20"/>
          <w:spacing w:val="40"/>
        </w:rPr>
        <w:t> </w:t>
      </w:r>
      <w:hyperlink w:history="true" w:anchor="_bookmark187">
        <w:r>
          <w:rPr>
            <w:color w:val="231F20"/>
          </w:rPr>
          <w:t>“Formula” on page 255</w:t>
        </w:r>
      </w:hyperlink>
      <w:r>
        <w:rPr>
          <w:color w:val="231F20"/>
        </w:rPr>
        <w:t> for more information on display items.</w:t>
      </w:r>
    </w:p>
    <w:p>
      <w:pPr>
        <w:pStyle w:val="BodyText"/>
        <w:spacing w:before="213"/>
        <w:ind w:left="2232"/>
      </w:pPr>
      <w:r>
        <w:rPr>
          <w:color w:val="231F20"/>
        </w:rPr>
        <w:t>Where</w:t>
      </w:r>
      <w:r>
        <w:rPr>
          <w:color w:val="231F20"/>
          <w:spacing w:val="10"/>
        </w:rPr>
        <w:t> </w:t>
      </w:r>
      <w:r>
        <w:rPr>
          <w:color w:val="231F20"/>
        </w:rPr>
        <w:t>should</w:t>
      </w:r>
      <w:r>
        <w:rPr>
          <w:color w:val="231F20"/>
          <w:spacing w:val="11"/>
        </w:rPr>
        <w:t> </w:t>
      </w:r>
      <w:r>
        <w:rPr>
          <w:color w:val="231F20"/>
        </w:rPr>
        <w:t>the</w:t>
      </w:r>
      <w:r>
        <w:rPr>
          <w:color w:val="231F20"/>
          <w:spacing w:val="4"/>
        </w:rPr>
        <w:t> </w:t>
      </w:r>
      <w:r>
        <w:rPr>
          <w:color w:val="231F20"/>
        </w:rPr>
        <w:t>Action</w:t>
      </w:r>
      <w:r>
        <w:rPr>
          <w:color w:val="231F20"/>
          <w:spacing w:val="10"/>
        </w:rPr>
        <w:t> </w:t>
      </w:r>
      <w:r>
        <w:rPr>
          <w:color w:val="231F20"/>
        </w:rPr>
        <w:t>be</w:t>
      </w:r>
      <w:r>
        <w:rPr>
          <w:color w:val="231F20"/>
          <w:spacing w:val="11"/>
        </w:rPr>
        <w:t> </w:t>
      </w:r>
      <w:r>
        <w:rPr>
          <w:color w:val="231F20"/>
          <w:spacing w:val="-2"/>
        </w:rPr>
        <w:t>executed:</w:t>
      </w:r>
    </w:p>
    <w:p>
      <w:pPr>
        <w:pStyle w:val="BodyText"/>
        <w:tabs>
          <w:tab w:pos="2515" w:val="left" w:leader="none"/>
        </w:tabs>
        <w:spacing w:line="213" w:lineRule="auto" w:before="53"/>
        <w:ind w:left="2448" w:right="493" w:hanging="216"/>
      </w:pPr>
      <w:r>
        <w:rPr>
          <w:rFonts w:ascii="Futura MdCn BT"/>
          <w:color w:val="231F20"/>
          <w:spacing w:val="-10"/>
        </w:rPr>
        <w:t>v</w:t>
      </w:r>
      <w:r>
        <w:rPr>
          <w:rFonts w:ascii="Futura MdCn BT"/>
          <w:color w:val="231F20"/>
        </w:rPr>
        <w:tab/>
        <w:tab/>
      </w:r>
      <w:r>
        <w:rPr>
          <w:color w:val="231F20"/>
        </w:rPr>
        <w:t>Determines where to perform the action: on the system where the agent </w:t>
      </w:r>
      <w:r>
        <w:rPr>
          <w:color w:val="231F20"/>
        </w:rPr>
        <w:t>resides</w:t>
      </w:r>
      <w:r>
        <w:rPr>
          <w:color w:val="231F20"/>
        </w:rPr>
        <w:t> or at the Tivoli Enterprise Monitoring Server to which it is connected.</w:t>
      </w:r>
    </w:p>
    <w:p>
      <w:pPr>
        <w:pStyle w:val="Heading6"/>
        <w:spacing w:line="300" w:lineRule="atLeast" w:before="3"/>
        <w:ind w:left="2748" w:right="2352"/>
      </w:pPr>
      <w:r>
        <w:rPr>
          <w:b w:val="0"/>
        </w:rPr>
        <w:drawing>
          <wp:inline distT="0" distB="0" distL="0" distR="0">
            <wp:extent cx="88900" cy="82550"/>
            <wp:effectExtent l="0" t="0" r="0" b="0"/>
            <wp:docPr id="2270" name="Image 2270"/>
            <wp:cNvGraphicFramePr>
              <a:graphicFrameLocks/>
            </wp:cNvGraphicFramePr>
            <a:graphic>
              <a:graphicData uri="http://schemas.openxmlformats.org/drawingml/2006/picture">
                <pic:pic>
                  <pic:nvPicPr>
                    <pic:cNvPr id="2270" name="Image 2270"/>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40"/>
        </w:rPr>
        <w:t> </w:t>
      </w:r>
      <w:r>
        <w:rPr>
          <w:color w:val="231F20"/>
        </w:rPr>
        <w:t>Execute the Action at the Managed System (Agent)</w:t>
      </w:r>
      <w:r>
        <w:rPr>
          <w:color w:val="231F20"/>
          <w:spacing w:val="80"/>
          <w:w w:val="150"/>
        </w:rPr>
        <w:t> </w:t>
      </w:r>
      <w:r>
        <w:rPr>
          <w:color w:val="231F20"/>
        </w:rPr>
        <w:drawing>
          <wp:inline distT="0" distB="0" distL="0" distR="0">
            <wp:extent cx="88900" cy="82550"/>
            <wp:effectExtent l="0" t="0" r="0" b="0"/>
            <wp:docPr id="2271" name="Image 2271"/>
            <wp:cNvGraphicFramePr>
              <a:graphicFrameLocks/>
            </wp:cNvGraphicFramePr>
            <a:graphic>
              <a:graphicData uri="http://schemas.openxmlformats.org/drawingml/2006/picture">
                <pic:pic>
                  <pic:nvPicPr>
                    <pic:cNvPr id="2271" name="Image 2271"/>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rPr>
      </w:r>
      <w:r>
        <w:rPr>
          <w:rFonts w:ascii="Times New Roman"/>
          <w:b w:val="0"/>
          <w:color w:val="231F20"/>
          <w:spacing w:val="56"/>
        </w:rPr>
        <w:t> </w:t>
      </w:r>
      <w:r>
        <w:rPr>
          <w:color w:val="231F20"/>
        </w:rPr>
        <w:t>Execute</w:t>
      </w:r>
      <w:r>
        <w:rPr>
          <w:color w:val="231F20"/>
          <w:spacing w:val="11"/>
        </w:rPr>
        <w:t> </w:t>
      </w:r>
      <w:r>
        <w:rPr>
          <w:color w:val="231F20"/>
        </w:rPr>
        <w:t>the</w:t>
      </w:r>
      <w:r>
        <w:rPr>
          <w:color w:val="231F20"/>
          <w:spacing w:val="11"/>
        </w:rPr>
        <w:t> </w:t>
      </w:r>
      <w:r>
        <w:rPr>
          <w:color w:val="231F20"/>
        </w:rPr>
        <w:t>Action</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Managing</w:t>
      </w:r>
      <w:r>
        <w:rPr>
          <w:color w:val="231F20"/>
          <w:spacing w:val="11"/>
        </w:rPr>
        <w:t> </w:t>
      </w:r>
      <w:r>
        <w:rPr>
          <w:color w:val="231F20"/>
        </w:rPr>
        <w:t>System</w:t>
      </w:r>
      <w:r>
        <w:rPr>
          <w:color w:val="231F20"/>
          <w:spacing w:val="11"/>
        </w:rPr>
        <w:t> </w:t>
      </w:r>
      <w:r>
        <w:rPr>
          <w:color w:val="231F20"/>
        </w:rPr>
        <w:t>(TEMS)</w:t>
      </w:r>
    </w:p>
    <w:p>
      <w:pPr>
        <w:pStyle w:val="BodyText"/>
        <w:spacing w:line="213" w:lineRule="auto"/>
        <w:ind w:left="2748" w:right="636"/>
      </w:pPr>
      <w:r>
        <w:rPr>
          <w:color w:val="231F20"/>
        </w:rPr>
        <w:t>If you are sending a message to the universal message console view, </w:t>
      </w:r>
      <w:r>
        <w:rPr>
          <w:color w:val="231F20"/>
        </w:rPr>
        <w:t>select this option.</w:t>
      </w:r>
    </w:p>
    <w:p>
      <w:pPr>
        <w:pStyle w:val="BodyText"/>
        <w:spacing w:before="209"/>
        <w:ind w:left="2232"/>
      </w:pPr>
      <w:r>
        <w:rPr>
          <w:color w:val="231F20"/>
        </w:rPr>
        <w:t>If</w:t>
      </w:r>
      <w:r>
        <w:rPr>
          <w:color w:val="231F20"/>
          <w:spacing w:val="11"/>
        </w:rPr>
        <w:t> </w:t>
      </w:r>
      <w:r>
        <w:rPr>
          <w:color w:val="231F20"/>
        </w:rPr>
        <w:t>the</w:t>
      </w:r>
      <w:r>
        <w:rPr>
          <w:color w:val="231F20"/>
          <w:spacing w:val="11"/>
        </w:rPr>
        <w:t> </w:t>
      </w:r>
      <w:r>
        <w:rPr>
          <w:color w:val="231F20"/>
        </w:rPr>
        <w:t>condition</w:t>
      </w:r>
      <w:r>
        <w:rPr>
          <w:color w:val="231F20"/>
          <w:spacing w:val="11"/>
        </w:rPr>
        <w:t> </w:t>
      </w:r>
      <w:r>
        <w:rPr>
          <w:color w:val="231F20"/>
        </w:rPr>
        <w:t>stays</w:t>
      </w:r>
      <w:r>
        <w:rPr>
          <w:color w:val="231F20"/>
          <w:spacing w:val="11"/>
        </w:rPr>
        <w:t> </w:t>
      </w:r>
      <w:r>
        <w:rPr>
          <w:color w:val="231F20"/>
        </w:rPr>
        <w:t>true</w:t>
      </w:r>
      <w:r>
        <w:rPr>
          <w:color w:val="231F20"/>
          <w:spacing w:val="11"/>
        </w:rPr>
        <w:t> </w:t>
      </w:r>
      <w:r>
        <w:rPr>
          <w:color w:val="231F20"/>
        </w:rPr>
        <w:t>over</w:t>
      </w:r>
      <w:r>
        <w:rPr>
          <w:color w:val="231F20"/>
          <w:spacing w:val="11"/>
        </w:rPr>
        <w:t> </w:t>
      </w:r>
      <w:r>
        <w:rPr>
          <w:color w:val="231F20"/>
        </w:rPr>
        <w:t>multiple</w:t>
      </w:r>
      <w:r>
        <w:rPr>
          <w:color w:val="231F20"/>
          <w:spacing w:val="11"/>
        </w:rPr>
        <w:t> </w:t>
      </w:r>
      <w:r>
        <w:rPr>
          <w:color w:val="231F20"/>
          <w:spacing w:val="-2"/>
        </w:rPr>
        <w:t>intervals:</w:t>
      </w:r>
    </w:p>
    <w:p>
      <w:pPr>
        <w:pStyle w:val="BodyText"/>
        <w:tabs>
          <w:tab w:pos="2515" w:val="left" w:leader="none"/>
        </w:tabs>
        <w:spacing w:line="213" w:lineRule="auto" w:before="53"/>
        <w:ind w:left="2448" w:right="500" w:hanging="216"/>
      </w:pPr>
      <w:r>
        <w:rPr>
          <w:rFonts w:ascii="Futura MdCn BT"/>
          <w:color w:val="231F20"/>
          <w:spacing w:val="-10"/>
        </w:rPr>
        <w:t>v</w:t>
      </w:r>
      <w:r>
        <w:rPr>
          <w:rFonts w:ascii="Futura MdCn BT"/>
          <w:color w:val="231F20"/>
        </w:rPr>
        <w:tab/>
        <w:tab/>
      </w:r>
      <w:r>
        <w:rPr>
          <w:color w:val="231F20"/>
        </w:rPr>
        <w:t>Determines</w:t>
      </w:r>
      <w:r>
        <w:rPr>
          <w:color w:val="231F20"/>
          <w:spacing w:val="20"/>
        </w:rPr>
        <w:t> </w:t>
      </w:r>
      <w:r>
        <w:rPr>
          <w:color w:val="231F20"/>
        </w:rPr>
        <w:t>when</w:t>
      </w:r>
      <w:r>
        <w:rPr>
          <w:color w:val="231F20"/>
          <w:spacing w:val="20"/>
        </w:rPr>
        <w:t> </w:t>
      </w:r>
      <w:r>
        <w:rPr>
          <w:color w:val="231F20"/>
        </w:rPr>
        <w:t>to</w:t>
      </w:r>
      <w:r>
        <w:rPr>
          <w:color w:val="231F20"/>
          <w:spacing w:val="20"/>
        </w:rPr>
        <w:t> </w:t>
      </w:r>
      <w:r>
        <w:rPr>
          <w:color w:val="231F20"/>
        </w:rPr>
        <w:t>take</w:t>
      </w:r>
      <w:r>
        <w:rPr>
          <w:color w:val="231F20"/>
          <w:spacing w:val="20"/>
        </w:rPr>
        <w:t> </w:t>
      </w:r>
      <w:r>
        <w:rPr>
          <w:color w:val="231F20"/>
        </w:rPr>
        <w:t>action</w:t>
      </w:r>
      <w:r>
        <w:rPr>
          <w:color w:val="231F20"/>
          <w:spacing w:val="20"/>
        </w:rPr>
        <w:t> </w:t>
      </w:r>
      <w:r>
        <w:rPr>
          <w:color w:val="231F20"/>
        </w:rPr>
        <w:t>on</w:t>
      </w:r>
      <w:r>
        <w:rPr>
          <w:color w:val="231F20"/>
          <w:spacing w:val="20"/>
        </w:rPr>
        <w:t> </w:t>
      </w:r>
      <w:r>
        <w:rPr>
          <w:color w:val="231F20"/>
        </w:rPr>
        <w:t>a</w:t>
      </w:r>
      <w:r>
        <w:rPr>
          <w:color w:val="231F20"/>
          <w:spacing w:val="20"/>
        </w:rPr>
        <w:t> </w:t>
      </w:r>
      <w:r>
        <w:rPr>
          <w:color w:val="231F20"/>
        </w:rPr>
        <w:t>true</w:t>
      </w:r>
      <w:r>
        <w:rPr>
          <w:color w:val="231F20"/>
          <w:spacing w:val="20"/>
        </w:rPr>
        <w:t> </w:t>
      </w:r>
      <w:r>
        <w:rPr>
          <w:color w:val="231F20"/>
        </w:rPr>
        <w:t>situation.</w:t>
      </w:r>
      <w:r>
        <w:rPr>
          <w:color w:val="231F20"/>
          <w:spacing w:val="20"/>
        </w:rPr>
        <w:t> </w:t>
      </w:r>
      <w:r>
        <w:rPr>
          <w:color w:val="231F20"/>
        </w:rPr>
        <w:t>If</w:t>
      </w:r>
      <w:r>
        <w:rPr>
          <w:color w:val="231F20"/>
          <w:spacing w:val="20"/>
        </w:rPr>
        <w:t> </w:t>
      </w:r>
      <w:r>
        <w:rPr>
          <w:color w:val="231F20"/>
        </w:rPr>
        <w:t>you</w:t>
      </w:r>
      <w:r>
        <w:rPr>
          <w:color w:val="231F20"/>
          <w:spacing w:val="20"/>
        </w:rPr>
        <w:t> </w:t>
      </w:r>
      <w:r>
        <w:rPr>
          <w:color w:val="231F20"/>
        </w:rPr>
        <w:t>want</w:t>
      </w:r>
      <w:r>
        <w:rPr>
          <w:color w:val="231F20"/>
          <w:spacing w:val="20"/>
        </w:rPr>
        <w:t> </w:t>
      </w:r>
      <w:r>
        <w:rPr>
          <w:color w:val="231F20"/>
        </w:rPr>
        <w:t>the</w:t>
      </w:r>
      <w:r>
        <w:rPr>
          <w:color w:val="231F20"/>
          <w:spacing w:val="20"/>
        </w:rPr>
        <w:t> </w:t>
      </w:r>
      <w:r>
        <w:rPr>
          <w:color w:val="231F20"/>
        </w:rPr>
        <w:t>command to run only once, and not every time incoming data matches the condition, </w:t>
      </w:r>
      <w:r>
        <w:rPr>
          <w:color w:val="231F20"/>
        </w:rPr>
        <w:t>then</w:t>
      </w:r>
    </w:p>
    <w:p>
      <w:pPr>
        <w:spacing w:after="0" w:line="213" w:lineRule="auto"/>
        <w:sectPr>
          <w:pgSz w:w="12240" w:h="15840"/>
          <w:pgMar w:header="0" w:footer="736" w:top="1180" w:bottom="920" w:left="1000" w:right="10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79"/>
        <w:rPr>
          <w:sz w:val="28"/>
        </w:rPr>
      </w:pPr>
    </w:p>
    <w:p>
      <w:pPr>
        <w:pStyle w:val="Heading3"/>
        <w:spacing w:before="0"/>
        <w:ind w:left="0"/>
        <w:jc w:val="right"/>
      </w:pPr>
      <w:bookmarkStart w:name="_bookmark191" w:id="409"/>
      <w:bookmarkEnd w:id="409"/>
      <w:r>
        <w:rPr>
          <w:b w:val="0"/>
        </w:rPr>
      </w:r>
      <w:r>
        <w:rPr>
          <w:color w:val="231F20"/>
          <w:spacing w:val="-5"/>
        </w:rPr>
        <w:t>EIF</w:t>
      </w:r>
    </w:p>
    <w:p>
      <w:pPr>
        <w:spacing w:line="211" w:lineRule="auto" w:before="92"/>
        <w:ind w:left="639" w:right="352" w:firstLine="0"/>
        <w:jc w:val="left"/>
        <w:rPr>
          <w:sz w:val="20"/>
        </w:rPr>
      </w:pPr>
      <w:r>
        <w:rPr/>
        <w:br w:type="column"/>
      </w:r>
      <w:r>
        <w:rPr>
          <w:color w:val="231F20"/>
          <w:sz w:val="20"/>
        </w:rPr>
        <w:t>leave it at the default setting </w:t>
      </w:r>
      <w:r>
        <w:rPr>
          <w:color w:val="231F20"/>
          <w:spacing w:val="15"/>
          <w:sz w:val="20"/>
        </w:rPr>
        <w:drawing>
          <wp:inline distT="0" distB="0" distL="0" distR="0">
            <wp:extent cx="88900" cy="82550"/>
            <wp:effectExtent l="0" t="0" r="0" b="0"/>
            <wp:docPr id="2272" name="Image 2272"/>
            <wp:cNvGraphicFramePr>
              <a:graphicFrameLocks/>
            </wp:cNvGraphicFramePr>
            <a:graphic>
              <a:graphicData uri="http://schemas.openxmlformats.org/drawingml/2006/picture">
                <pic:pic>
                  <pic:nvPicPr>
                    <pic:cNvPr id="2272" name="Image 2272"/>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1"/>
          <w:sz w:val="20"/>
        </w:rPr>
        <w:t> </w:t>
      </w:r>
      <w:r>
        <w:rPr>
          <w:rFonts w:ascii="Book Antiqua"/>
          <w:b/>
          <w:color w:val="231F20"/>
          <w:sz w:val="20"/>
        </w:rPr>
        <w:t>Don't take action twice in a row (wait until situation goes false then true again)</w:t>
      </w:r>
      <w:r>
        <w:rPr>
          <w:color w:val="231F20"/>
          <w:sz w:val="20"/>
        </w:rPr>
        <w:t>. If the situation remains true over successive intervals, the command runs only the first time the situation is </w:t>
      </w:r>
      <w:r>
        <w:rPr>
          <w:color w:val="231F20"/>
          <w:sz w:val="20"/>
        </w:rPr>
        <w:t>true and not again until it becomes true from being false in the previous interval.</w:t>
      </w:r>
    </w:p>
    <w:p>
      <w:pPr>
        <w:pStyle w:val="BodyText"/>
        <w:spacing w:line="213" w:lineRule="auto" w:before="61"/>
        <w:ind w:left="639" w:right="352" w:hanging="216"/>
      </w:pPr>
      <w:r>
        <w:rPr>
          <w:rFonts w:ascii="Futura MdCn BT"/>
          <w:color w:val="231F20"/>
        </w:rPr>
        <w:t>v</w:t>
      </w:r>
      <w:r>
        <w:rPr>
          <w:rFonts w:ascii="Futura MdCn BT"/>
          <w:color w:val="231F20"/>
          <w:spacing w:val="80"/>
        </w:rPr>
        <w:t> </w:t>
      </w:r>
      <w:r>
        <w:rPr>
          <w:color w:val="231F20"/>
        </w:rPr>
        <w:t>To issue the command on every true situation evaluation, even if no false states intervene, select </w:t>
      </w:r>
      <w:r>
        <w:rPr>
          <w:color w:val="231F20"/>
          <w:spacing w:val="16"/>
        </w:rPr>
        <w:drawing>
          <wp:inline distT="0" distB="0" distL="0" distR="0">
            <wp:extent cx="88900" cy="82550"/>
            <wp:effectExtent l="0" t="0" r="0" b="0"/>
            <wp:docPr id="2273" name="Image 2273"/>
            <wp:cNvGraphicFramePr>
              <a:graphicFrameLocks/>
            </wp:cNvGraphicFramePr>
            <a:graphic>
              <a:graphicData uri="http://schemas.openxmlformats.org/drawingml/2006/picture">
                <pic:pic>
                  <pic:nvPicPr>
                    <pic:cNvPr id="2273" name="Image 2273"/>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Take action in each interval </w:t>
      </w:r>
      <w:r>
        <w:rPr>
          <w:color w:val="231F20"/>
        </w:rPr>
        <w:t>Enable this option to invoke the command when the situation is true in an interval, regardless of its state in the previous interval.</w:t>
      </w:r>
    </w:p>
    <w:p>
      <w:pPr>
        <w:pStyle w:val="BodyText"/>
        <w:spacing w:line="213" w:lineRule="auto" w:before="236"/>
        <w:ind w:left="423" w:right="215"/>
      </w:pPr>
      <w:r>
        <w:rPr>
          <w:color w:val="231F20"/>
        </w:rPr>
        <w:t>Suppose your UNIX system has recently been plagued by insufficient memory. You are not certain your system really needs more memory resources; maybe a poorly designed application or process is causing the problem. You want to gather system data to analyze the cause of the memory problem, but you do not want to allocate</w:t>
      </w:r>
      <w:r>
        <w:rPr>
          <w:color w:val="231F20"/>
          <w:spacing w:val="40"/>
        </w:rPr>
        <w:t> </w:t>
      </w:r>
      <w:r>
        <w:rPr>
          <w:color w:val="231F20"/>
        </w:rPr>
        <w:t>personnel to gather the data. You can write a situation to monitor excessive</w:t>
      </w:r>
    </w:p>
    <w:p>
      <w:pPr>
        <w:pStyle w:val="BodyText"/>
        <w:spacing w:line="213" w:lineRule="auto"/>
        <w:ind w:left="423" w:right="215"/>
      </w:pPr>
      <w:r>
        <w:rPr>
          <w:color w:val="231F20"/>
        </w:rPr>
        <w:t>page-ins and page faults and, when either occurs (indicating a memory </w:t>
      </w:r>
      <w:r>
        <w:rPr>
          <w:color w:val="231F20"/>
        </w:rPr>
        <w:t>bottleneck), write</w:t>
      </w:r>
      <w:r>
        <w:rPr>
          <w:color w:val="231F20"/>
          <w:spacing w:val="24"/>
        </w:rPr>
        <w:t> </w:t>
      </w:r>
      <w:r>
        <w:rPr>
          <w:color w:val="231F20"/>
        </w:rPr>
        <w:t>the</w:t>
      </w:r>
      <w:r>
        <w:rPr>
          <w:color w:val="231F20"/>
          <w:spacing w:val="24"/>
        </w:rPr>
        <w:t> </w:t>
      </w:r>
      <w:r>
        <w:rPr>
          <w:color w:val="231F20"/>
        </w:rPr>
        <w:t>process</w:t>
      </w:r>
      <w:r>
        <w:rPr>
          <w:color w:val="231F20"/>
          <w:spacing w:val="24"/>
        </w:rPr>
        <w:t> </w:t>
      </w:r>
      <w:r>
        <w:rPr>
          <w:color w:val="231F20"/>
        </w:rPr>
        <w:t>name</w:t>
      </w:r>
      <w:r>
        <w:rPr>
          <w:color w:val="231F20"/>
          <w:spacing w:val="24"/>
        </w:rPr>
        <w:t> </w:t>
      </w:r>
      <w:r>
        <w:rPr>
          <w:color w:val="231F20"/>
        </w:rPr>
        <w:t>and</w:t>
      </w:r>
      <w:r>
        <w:rPr>
          <w:color w:val="231F20"/>
          <w:spacing w:val="24"/>
        </w:rPr>
        <w:t> </w:t>
      </w:r>
      <w:r>
        <w:rPr>
          <w:color w:val="231F20"/>
        </w:rPr>
        <w:t>ID</w:t>
      </w:r>
      <w:r>
        <w:rPr>
          <w:color w:val="231F20"/>
          <w:spacing w:val="24"/>
        </w:rPr>
        <w:t> </w:t>
      </w:r>
      <w:r>
        <w:rPr>
          <w:color w:val="231F20"/>
        </w:rPr>
        <w:t>to</w:t>
      </w:r>
      <w:r>
        <w:rPr>
          <w:color w:val="231F20"/>
          <w:spacing w:val="24"/>
        </w:rPr>
        <w:t> </w:t>
      </w:r>
      <w:r>
        <w:rPr>
          <w:color w:val="231F20"/>
        </w:rPr>
        <w:t>a</w:t>
      </w:r>
      <w:r>
        <w:rPr>
          <w:color w:val="231F20"/>
          <w:spacing w:val="24"/>
        </w:rPr>
        <w:t> </w:t>
      </w:r>
      <w:r>
        <w:rPr>
          <w:color w:val="231F20"/>
        </w:rPr>
        <w:t>log</w:t>
      </w:r>
      <w:r>
        <w:rPr>
          <w:color w:val="231F20"/>
          <w:spacing w:val="24"/>
        </w:rPr>
        <w:t> </w:t>
      </w:r>
      <w:r>
        <w:rPr>
          <w:color w:val="231F20"/>
        </w:rPr>
        <w:t>for</w:t>
      </w:r>
      <w:r>
        <w:rPr>
          <w:color w:val="231F20"/>
          <w:spacing w:val="24"/>
        </w:rPr>
        <w:t> </w:t>
      </w:r>
      <w:r>
        <w:rPr>
          <w:color w:val="231F20"/>
        </w:rPr>
        <w:t>analysis</w:t>
      </w:r>
      <w:r>
        <w:rPr>
          <w:color w:val="231F20"/>
          <w:spacing w:val="24"/>
        </w:rPr>
        <w:t> </w:t>
      </w:r>
      <w:r>
        <w:rPr>
          <w:color w:val="231F20"/>
        </w:rPr>
        <w:t>by</w:t>
      </w:r>
      <w:r>
        <w:rPr>
          <w:color w:val="231F20"/>
          <w:spacing w:val="24"/>
        </w:rPr>
        <w:t> </w:t>
      </w:r>
      <w:r>
        <w:rPr>
          <w:color w:val="231F20"/>
        </w:rPr>
        <w:t>an</w:t>
      </w:r>
      <w:r>
        <w:rPr>
          <w:color w:val="231F20"/>
          <w:spacing w:val="24"/>
        </w:rPr>
        <w:t> </w:t>
      </w:r>
      <w:r>
        <w:rPr>
          <w:color w:val="231F20"/>
        </w:rPr>
        <w:t>application</w:t>
      </w:r>
      <w:r>
        <w:rPr>
          <w:color w:val="231F20"/>
          <w:spacing w:val="24"/>
        </w:rPr>
        <w:t> </w:t>
      </w:r>
      <w:r>
        <w:rPr>
          <w:color w:val="231F20"/>
        </w:rPr>
        <w:t>at</w:t>
      </w:r>
      <w:r>
        <w:rPr>
          <w:color w:val="231F20"/>
          <w:spacing w:val="24"/>
        </w:rPr>
        <w:t> </w:t>
      </w:r>
      <w:r>
        <w:rPr>
          <w:color w:val="231F20"/>
        </w:rPr>
        <w:t>a</w:t>
      </w:r>
      <w:r>
        <w:rPr>
          <w:color w:val="231F20"/>
          <w:spacing w:val="24"/>
        </w:rPr>
        <w:t> </w:t>
      </w:r>
      <w:r>
        <w:rPr>
          <w:color w:val="231F20"/>
        </w:rPr>
        <w:t>later </w:t>
      </w:r>
      <w:r>
        <w:rPr>
          <w:color w:val="231F20"/>
          <w:spacing w:val="-2"/>
        </w:rPr>
        <w:t>time.</w:t>
      </w:r>
    </w:p>
    <w:p>
      <w:pPr>
        <w:pStyle w:val="BodyText"/>
      </w:pPr>
    </w:p>
    <w:p>
      <w:pPr>
        <w:pStyle w:val="BodyText"/>
        <w:spacing w:before="54"/>
      </w:pPr>
    </w:p>
    <w:p>
      <w:pPr>
        <w:pStyle w:val="BodyText"/>
        <w:spacing w:line="213" w:lineRule="auto"/>
        <w:ind w:left="423" w:right="215"/>
      </w:pPr>
      <w:r>
        <w:rPr>
          <w:color w:val="231F20"/>
        </w:rPr>
        <w:t>Use the EIF (Event Integration Facility) tab to forward situation events to one </w:t>
      </w:r>
      <w:r>
        <w:rPr>
          <w:color w:val="231F20"/>
        </w:rPr>
        <w:t>or more EIF receivers (such as a IBM Tivoli Enterprise Console event server or Netcool/OMNIbus Probe for Tivoli EIF).</w:t>
      </w:r>
    </w:p>
    <w:p>
      <w:pPr>
        <w:spacing w:line="213" w:lineRule="auto" w:before="237"/>
        <w:ind w:left="423" w:right="397" w:firstLine="0"/>
        <w:jc w:val="left"/>
        <w:rPr>
          <w:sz w:val="20"/>
        </w:rPr>
      </w:pPr>
      <w:r>
        <w:rPr>
          <w:color w:val="231F20"/>
          <w:sz w:val="20"/>
        </w:rPr>
        <w:t>This tab is available only if the hub monitoring server has been configured </w:t>
      </w:r>
      <w:r>
        <w:rPr>
          <w:color w:val="231F20"/>
          <w:sz w:val="20"/>
        </w:rPr>
        <w:t>to forward events. See the </w:t>
      </w:r>
      <w:r>
        <w:rPr>
          <w:rFonts w:ascii="Book Antiqua"/>
          <w:i/>
          <w:color w:val="231F20"/>
          <w:sz w:val="20"/>
        </w:rPr>
        <w:t>IBM Tivoli Monitoring Installation and Setup Guide </w:t>
      </w:r>
      <w:r>
        <w:rPr>
          <w:color w:val="231F20"/>
          <w:sz w:val="20"/>
        </w:rPr>
        <w:t>for </w:t>
      </w:r>
      <w:r>
        <w:rPr>
          <w:color w:val="231F20"/>
          <w:spacing w:val="-2"/>
          <w:sz w:val="20"/>
        </w:rPr>
        <w:t>details.</w:t>
      </w:r>
    </w:p>
    <w:p>
      <w:pPr>
        <w:pStyle w:val="Heading6"/>
        <w:spacing w:line="227" w:lineRule="exact" w:before="122"/>
        <w:ind w:left="423"/>
      </w:pPr>
      <w:r>
        <w:rPr>
          <w:b w:val="0"/>
        </w:rPr>
        <w:drawing>
          <wp:inline distT="0" distB="0" distL="0" distR="0">
            <wp:extent cx="82550" cy="82550"/>
            <wp:effectExtent l="0" t="0" r="0" b="0"/>
            <wp:docPr id="2274" name="Image 2274"/>
            <wp:cNvGraphicFramePr>
              <a:graphicFrameLocks/>
            </wp:cNvGraphicFramePr>
            <a:graphic>
              <a:graphicData uri="http://schemas.openxmlformats.org/drawingml/2006/picture">
                <pic:pic>
                  <pic:nvPicPr>
                    <pic:cNvPr id="2274" name="Image 2274"/>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
        </w:rPr>
        <w:t> </w:t>
      </w:r>
      <w:r>
        <w:rPr>
          <w:color w:val="231F20"/>
        </w:rPr>
        <w:t>Forward</w:t>
      </w:r>
      <w:r>
        <w:rPr>
          <w:color w:val="231F20"/>
          <w:spacing w:val="15"/>
        </w:rPr>
        <w:t> </w:t>
      </w:r>
      <w:r>
        <w:rPr>
          <w:color w:val="231F20"/>
        </w:rPr>
        <w:t>Events</w:t>
      </w:r>
      <w:r>
        <w:rPr>
          <w:color w:val="231F20"/>
          <w:spacing w:val="15"/>
        </w:rPr>
        <w:t> </w:t>
      </w:r>
      <w:r>
        <w:rPr>
          <w:color w:val="231F20"/>
        </w:rPr>
        <w:t>to</w:t>
      </w:r>
      <w:r>
        <w:rPr>
          <w:color w:val="231F20"/>
          <w:spacing w:val="15"/>
        </w:rPr>
        <w:t> </w:t>
      </w:r>
      <w:r>
        <w:rPr>
          <w:color w:val="231F20"/>
        </w:rPr>
        <w:t>an</w:t>
      </w:r>
      <w:r>
        <w:rPr>
          <w:color w:val="231F20"/>
          <w:spacing w:val="15"/>
        </w:rPr>
        <w:t> </w:t>
      </w:r>
      <w:r>
        <w:rPr>
          <w:color w:val="231F20"/>
        </w:rPr>
        <w:t>EIF</w:t>
      </w:r>
      <w:r>
        <w:rPr>
          <w:color w:val="231F20"/>
          <w:spacing w:val="15"/>
        </w:rPr>
        <w:t> </w:t>
      </w:r>
      <w:r>
        <w:rPr>
          <w:color w:val="231F20"/>
        </w:rPr>
        <w:t>Receiver</w:t>
      </w:r>
    </w:p>
    <w:p>
      <w:pPr>
        <w:pStyle w:val="BodyText"/>
        <w:spacing w:line="213" w:lineRule="auto" w:before="9"/>
        <w:ind w:left="1141" w:right="352"/>
      </w:pPr>
      <w:r>
        <w:rPr>
          <w:color w:val="231F20"/>
        </w:rPr>
        <w:t>Select this check box to specify that situation events should be forwarded</w:t>
      </w:r>
      <w:r>
        <w:rPr>
          <w:color w:val="231F20"/>
          <w:spacing w:val="80"/>
        </w:rPr>
        <w:t> </w:t>
      </w:r>
      <w:r>
        <w:rPr>
          <w:color w:val="231F20"/>
        </w:rPr>
        <w:t>to one or more EIF receivers. If this option is selected, an EIF event is sent</w:t>
      </w:r>
      <w:r>
        <w:rPr>
          <w:color w:val="231F20"/>
          <w:spacing w:val="40"/>
        </w:rPr>
        <w:t> </w:t>
      </w:r>
      <w:r>
        <w:rPr>
          <w:color w:val="231F20"/>
        </w:rPr>
        <w:t>for each situation event.</w:t>
      </w:r>
    </w:p>
    <w:p>
      <w:pPr>
        <w:pStyle w:val="Heading6"/>
        <w:spacing w:before="116"/>
        <w:ind w:left="423"/>
      </w:pPr>
      <w:r>
        <w:rPr>
          <w:color w:val="231F20"/>
        </w:rPr>
        <w:t>EIF</w:t>
      </w:r>
      <w:r>
        <w:rPr>
          <w:color w:val="231F20"/>
          <w:spacing w:val="12"/>
        </w:rPr>
        <w:t> </w:t>
      </w:r>
      <w:r>
        <w:rPr>
          <w:color w:val="231F20"/>
          <w:spacing w:val="-2"/>
        </w:rPr>
        <w:t>Severity</w:t>
      </w:r>
    </w:p>
    <w:p>
      <w:pPr>
        <w:pStyle w:val="BodyText"/>
        <w:spacing w:line="213" w:lineRule="auto" w:before="12"/>
        <w:ind w:left="1141" w:right="278"/>
      </w:pPr>
      <w:r>
        <w:rPr>
          <w:color w:val="231F20"/>
        </w:rPr>
        <w:t>Select the severity for forwarded situation events. &lt;Default EIF Severity&gt; causes the event severity that is set for the situation at this Navigator </w:t>
      </w:r>
      <w:r>
        <w:rPr>
          <w:color w:val="231F20"/>
        </w:rPr>
        <w:t>item</w:t>
      </w:r>
      <w:r>
        <w:rPr>
          <w:color w:val="231F20"/>
          <w:spacing w:val="40"/>
        </w:rPr>
        <w:t> </w:t>
      </w:r>
      <w:r>
        <w:rPr>
          <w:color w:val="231F20"/>
        </w:rPr>
        <w:t>to</w:t>
      </w:r>
      <w:r>
        <w:rPr>
          <w:color w:val="231F20"/>
          <w:spacing w:val="15"/>
        </w:rPr>
        <w:t> </w:t>
      </w:r>
      <w:r>
        <w:rPr>
          <w:color w:val="231F20"/>
        </w:rPr>
        <w:t>be</w:t>
      </w:r>
      <w:r>
        <w:rPr>
          <w:color w:val="231F20"/>
          <w:spacing w:val="15"/>
        </w:rPr>
        <w:t> </w:t>
      </w:r>
      <w:r>
        <w:rPr>
          <w:color w:val="231F20"/>
        </w:rPr>
        <w:t>applied</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EIF</w:t>
      </w:r>
      <w:r>
        <w:rPr>
          <w:color w:val="231F20"/>
          <w:spacing w:val="15"/>
        </w:rPr>
        <w:t> </w:t>
      </w:r>
      <w:r>
        <w:rPr>
          <w:color w:val="231F20"/>
        </w:rPr>
        <w:t>event</w:t>
      </w:r>
      <w:r>
        <w:rPr>
          <w:color w:val="231F20"/>
          <w:spacing w:val="15"/>
        </w:rPr>
        <w:t> </w:t>
      </w:r>
      <w:r>
        <w:rPr>
          <w:color w:val="231F20"/>
        </w:rPr>
        <w:t>when </w:t>
      </w:r>
      <w:r>
        <w:rPr>
          <w:color w:val="231F20"/>
          <w:spacing w:val="15"/>
        </w:rPr>
        <w:drawing>
          <wp:inline distT="0" distB="0" distL="0" distR="0">
            <wp:extent cx="82550" cy="82550"/>
            <wp:effectExtent l="0" t="0" r="0" b="0"/>
            <wp:docPr id="2275" name="Image 2275"/>
            <wp:cNvGraphicFramePr>
              <a:graphicFrameLocks/>
            </wp:cNvGraphicFramePr>
            <a:graphic>
              <a:graphicData uri="http://schemas.openxmlformats.org/drawingml/2006/picture">
                <pic:pic>
                  <pic:nvPicPr>
                    <pic:cNvPr id="2275" name="Image 2275"/>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7"/>
        </w:rPr>
        <w:t> </w:t>
      </w:r>
      <w:r>
        <w:rPr>
          <w:rFonts w:ascii="Book Antiqua"/>
          <w:b/>
          <w:color w:val="231F20"/>
        </w:rPr>
        <w:t>Forward</w:t>
      </w:r>
      <w:r>
        <w:rPr>
          <w:rFonts w:ascii="Book Antiqua"/>
          <w:b/>
          <w:color w:val="231F20"/>
          <w:spacing w:val="15"/>
        </w:rPr>
        <w:t> </w:t>
      </w:r>
      <w:r>
        <w:rPr>
          <w:rFonts w:ascii="Book Antiqua"/>
          <w:b/>
          <w:color w:val="231F20"/>
        </w:rPr>
        <w:t>Events</w:t>
      </w:r>
      <w:r>
        <w:rPr>
          <w:rFonts w:ascii="Book Antiqua"/>
          <w:b/>
          <w:color w:val="231F20"/>
          <w:spacing w:val="15"/>
        </w:rPr>
        <w:t> </w:t>
      </w:r>
      <w:r>
        <w:rPr>
          <w:rFonts w:ascii="Book Antiqua"/>
          <w:b/>
          <w:color w:val="231F20"/>
        </w:rPr>
        <w:t>to</w:t>
      </w:r>
      <w:r>
        <w:rPr>
          <w:rFonts w:ascii="Book Antiqua"/>
          <w:b/>
          <w:color w:val="231F20"/>
          <w:spacing w:val="15"/>
        </w:rPr>
        <w:t> </w:t>
      </w:r>
      <w:r>
        <w:rPr>
          <w:rFonts w:ascii="Book Antiqua"/>
          <w:b/>
          <w:color w:val="231F20"/>
        </w:rPr>
        <w:t>an</w:t>
      </w:r>
      <w:r>
        <w:rPr>
          <w:rFonts w:ascii="Book Antiqua"/>
          <w:b/>
          <w:color w:val="231F20"/>
          <w:spacing w:val="15"/>
        </w:rPr>
        <w:t> </w:t>
      </w:r>
      <w:r>
        <w:rPr>
          <w:rFonts w:ascii="Book Antiqua"/>
          <w:b/>
          <w:color w:val="231F20"/>
        </w:rPr>
        <w:t>EIF</w:t>
      </w:r>
      <w:r>
        <w:rPr>
          <w:rFonts w:ascii="Book Antiqua"/>
          <w:b/>
          <w:color w:val="231F20"/>
          <w:spacing w:val="15"/>
        </w:rPr>
        <w:t> </w:t>
      </w:r>
      <w:r>
        <w:rPr>
          <w:rFonts w:ascii="Book Antiqua"/>
          <w:b/>
          <w:color w:val="231F20"/>
        </w:rPr>
        <w:t>Receiver </w:t>
      </w:r>
      <w:r>
        <w:rPr>
          <w:color w:val="231F20"/>
        </w:rPr>
        <w:t>is selected. Default EIF severity mapping:</w:t>
      </w:r>
    </w:p>
    <w:p>
      <w:pPr>
        <w:pStyle w:val="BodyText"/>
        <w:spacing w:before="7"/>
        <w:rPr>
          <w:sz w:val="12"/>
        </w:rPr>
      </w:pPr>
    </w:p>
    <w:tbl>
      <w:tblPr>
        <w:tblW w:w="0" w:type="auto"/>
        <w:jc w:val="left"/>
        <w:tblInd w:w="43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493" w:hRule="atLeast"/>
        </w:trPr>
        <w:tc>
          <w:tcPr>
            <w:tcW w:w="2506" w:type="dxa"/>
          </w:tcPr>
          <w:p>
            <w:pPr>
              <w:pStyle w:val="TableParagraph"/>
              <w:spacing w:line="242" w:lineRule="auto" w:before="10"/>
              <w:ind w:left="44"/>
              <w:rPr>
                <w:rFonts w:ascii="Book Antiqua"/>
                <w:b/>
                <w:sz w:val="18"/>
              </w:rPr>
            </w:pPr>
            <w:r>
              <w:rPr>
                <w:rFonts w:ascii="Book Antiqua"/>
                <w:b/>
                <w:color w:val="231F20"/>
                <w:sz w:val="18"/>
              </w:rPr>
              <w:t>Tivoli</w:t>
            </w:r>
            <w:r>
              <w:rPr>
                <w:rFonts w:ascii="Book Antiqua"/>
                <w:b/>
                <w:color w:val="231F20"/>
                <w:spacing w:val="-7"/>
                <w:sz w:val="18"/>
              </w:rPr>
              <w:t> </w:t>
            </w:r>
            <w:r>
              <w:rPr>
                <w:rFonts w:ascii="Book Antiqua"/>
                <w:b/>
                <w:color w:val="231F20"/>
                <w:sz w:val="18"/>
              </w:rPr>
              <w:t>Monitoring</w:t>
            </w:r>
            <w:r>
              <w:rPr>
                <w:rFonts w:ascii="Book Antiqua"/>
                <w:b/>
                <w:color w:val="231F20"/>
                <w:spacing w:val="-7"/>
                <w:sz w:val="18"/>
              </w:rPr>
              <w:t> </w:t>
            </w:r>
            <w:r>
              <w:rPr>
                <w:rFonts w:ascii="Book Antiqua"/>
                <w:b/>
                <w:color w:val="231F20"/>
                <w:sz w:val="18"/>
              </w:rPr>
              <w:t>situation event severity</w:t>
            </w:r>
          </w:p>
        </w:tc>
        <w:tc>
          <w:tcPr>
            <w:tcW w:w="2521" w:type="dxa"/>
          </w:tcPr>
          <w:p>
            <w:pPr>
              <w:pStyle w:val="TableParagraph"/>
              <w:spacing w:line="242" w:lineRule="auto" w:before="10"/>
              <w:ind w:left="60"/>
              <w:rPr>
                <w:rFonts w:ascii="Book Antiqua"/>
                <w:b/>
                <w:sz w:val="18"/>
              </w:rPr>
            </w:pPr>
            <w:r>
              <w:rPr>
                <w:rFonts w:ascii="Book Antiqua"/>
                <w:b/>
                <w:color w:val="231F20"/>
                <w:sz w:val="18"/>
              </w:rPr>
              <w:t>Tivoli</w:t>
            </w:r>
            <w:r>
              <w:rPr>
                <w:rFonts w:ascii="Book Antiqua"/>
                <w:b/>
                <w:color w:val="231F20"/>
                <w:spacing w:val="-7"/>
                <w:sz w:val="18"/>
              </w:rPr>
              <w:t> </w:t>
            </w:r>
            <w:r>
              <w:rPr>
                <w:rFonts w:ascii="Book Antiqua"/>
                <w:b/>
                <w:color w:val="231F20"/>
                <w:sz w:val="18"/>
              </w:rPr>
              <w:t>Enterprise</w:t>
            </w:r>
            <w:r>
              <w:rPr>
                <w:rFonts w:ascii="Book Antiqua"/>
                <w:b/>
                <w:color w:val="231F20"/>
                <w:spacing w:val="-7"/>
                <w:sz w:val="18"/>
              </w:rPr>
              <w:t> </w:t>
            </w:r>
            <w:r>
              <w:rPr>
                <w:rFonts w:ascii="Book Antiqua"/>
                <w:b/>
                <w:color w:val="231F20"/>
                <w:sz w:val="18"/>
              </w:rPr>
              <w:t>Console Server event severity</w:t>
            </w:r>
          </w:p>
        </w:tc>
        <w:tc>
          <w:tcPr>
            <w:tcW w:w="2506" w:type="dxa"/>
          </w:tcPr>
          <w:p>
            <w:pPr>
              <w:pStyle w:val="TableParagraph"/>
              <w:spacing w:line="242" w:lineRule="auto" w:before="10"/>
              <w:ind w:left="60"/>
              <w:rPr>
                <w:rFonts w:ascii="Book Antiqua"/>
                <w:b/>
                <w:sz w:val="18"/>
              </w:rPr>
            </w:pPr>
            <w:r>
              <w:rPr>
                <w:rFonts w:ascii="Book Antiqua"/>
                <w:b/>
                <w:color w:val="231F20"/>
                <w:sz w:val="18"/>
              </w:rPr>
              <w:t>Tivoli Netcool/OMNIbus ObjectServer</w:t>
            </w:r>
            <w:r>
              <w:rPr>
                <w:rFonts w:ascii="Book Antiqua"/>
                <w:b/>
                <w:color w:val="231F20"/>
                <w:spacing w:val="-7"/>
                <w:sz w:val="18"/>
              </w:rPr>
              <w:t> </w:t>
            </w:r>
            <w:r>
              <w:rPr>
                <w:rFonts w:ascii="Book Antiqua"/>
                <w:b/>
                <w:color w:val="231F20"/>
                <w:sz w:val="18"/>
              </w:rPr>
              <w:t>event</w:t>
            </w:r>
            <w:r>
              <w:rPr>
                <w:rFonts w:ascii="Book Antiqua"/>
                <w:b/>
                <w:color w:val="231F20"/>
                <w:spacing w:val="-7"/>
                <w:sz w:val="18"/>
              </w:rPr>
              <w:t> </w:t>
            </w:r>
            <w:r>
              <w:rPr>
                <w:rFonts w:ascii="Book Antiqua"/>
                <w:b/>
                <w:color w:val="231F20"/>
                <w:sz w:val="18"/>
              </w:rPr>
              <w:t>severity</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76" name="Image 2276"/>
                  <wp:cNvGraphicFramePr>
                    <a:graphicFrameLocks/>
                  </wp:cNvGraphicFramePr>
                  <a:graphic>
                    <a:graphicData uri="http://schemas.openxmlformats.org/drawingml/2006/picture">
                      <pic:pic>
                        <pic:nvPicPr>
                          <pic:cNvPr id="2276" name="Image 2276"/>
                          <pic:cNvPicPr/>
                        </pic:nvPicPr>
                        <pic:blipFill>
                          <a:blip r:embed="rId2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Fatal</w:t>
            </w:r>
          </w:p>
        </w:tc>
        <w:tc>
          <w:tcPr>
            <w:tcW w:w="2521" w:type="dxa"/>
          </w:tcPr>
          <w:p>
            <w:pPr>
              <w:pStyle w:val="TableParagraph"/>
              <w:ind w:left="60"/>
              <w:rPr>
                <w:sz w:val="18"/>
              </w:rPr>
            </w:pPr>
            <w:r>
              <w:rPr>
                <w:color w:val="231F20"/>
                <w:sz w:val="18"/>
              </w:rPr>
              <w:t>not</w:t>
            </w:r>
            <w:r>
              <w:rPr>
                <w:color w:val="231F20"/>
                <w:spacing w:val="11"/>
                <w:sz w:val="18"/>
              </w:rPr>
              <w:t> </w:t>
            </w:r>
            <w:r>
              <w:rPr>
                <w:color w:val="231F20"/>
                <w:spacing w:val="-4"/>
                <w:sz w:val="18"/>
              </w:rPr>
              <w:t>used</w:t>
            </w:r>
          </w:p>
        </w:tc>
        <w:tc>
          <w:tcPr>
            <w:tcW w:w="2506" w:type="dxa"/>
          </w:tcPr>
          <w:p>
            <w:pPr>
              <w:pStyle w:val="TableParagraph"/>
              <w:ind w:left="60"/>
              <w:rPr>
                <w:sz w:val="18"/>
              </w:rPr>
            </w:pPr>
            <w:r>
              <w:rPr>
                <w:color w:val="231F20"/>
                <w:w w:val="105"/>
                <w:sz w:val="18"/>
              </w:rPr>
              <w:t>60</w:t>
            </w:r>
            <w:r>
              <w:rPr>
                <w:color w:val="231F20"/>
                <w:spacing w:val="13"/>
                <w:w w:val="105"/>
                <w:sz w:val="18"/>
              </w:rPr>
              <w:t> </w:t>
            </w:r>
            <w:r>
              <w:rPr>
                <w:color w:val="231F20"/>
                <w:w w:val="105"/>
                <w:sz w:val="18"/>
              </w:rPr>
              <w:t>=</w:t>
            </w:r>
            <w:r>
              <w:rPr>
                <w:color w:val="231F20"/>
                <w:spacing w:val="13"/>
                <w:w w:val="105"/>
                <w:sz w:val="18"/>
              </w:rPr>
              <w:t> </w:t>
            </w:r>
            <w:r>
              <w:rPr>
                <w:color w:val="231F20"/>
                <w:spacing w:val="-2"/>
                <w:w w:val="105"/>
                <w:sz w:val="18"/>
              </w:rPr>
              <w:t>Critical</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77" name="Image 2277"/>
                  <wp:cNvGraphicFramePr>
                    <a:graphicFrameLocks/>
                  </wp:cNvGraphicFramePr>
                  <a:graphic>
                    <a:graphicData uri="http://schemas.openxmlformats.org/drawingml/2006/picture">
                      <pic:pic>
                        <pic:nvPicPr>
                          <pic:cNvPr id="2277" name="Image 2277"/>
                          <pic:cNvPicPr/>
                        </pic:nvPicPr>
                        <pic:blipFill>
                          <a:blip r:embed="rId1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Critical</w:t>
            </w:r>
          </w:p>
        </w:tc>
        <w:tc>
          <w:tcPr>
            <w:tcW w:w="2521" w:type="dxa"/>
          </w:tcPr>
          <w:p>
            <w:pPr>
              <w:pStyle w:val="TableParagraph"/>
              <w:ind w:left="70"/>
              <w:rPr>
                <w:sz w:val="18"/>
              </w:rPr>
            </w:pPr>
            <w:r>
              <w:rPr>
                <w:position w:val="-3"/>
              </w:rPr>
              <w:drawing>
                <wp:inline distT="0" distB="0" distL="0" distR="0">
                  <wp:extent cx="95250" cy="95250"/>
                  <wp:effectExtent l="0" t="0" r="0" b="0"/>
                  <wp:docPr id="2278" name="Image 2278"/>
                  <wp:cNvGraphicFramePr>
                    <a:graphicFrameLocks/>
                  </wp:cNvGraphicFramePr>
                  <a:graphic>
                    <a:graphicData uri="http://schemas.openxmlformats.org/drawingml/2006/picture">
                      <pic:pic>
                        <pic:nvPicPr>
                          <pic:cNvPr id="2278" name="Image 2278"/>
                          <pic:cNvPicPr/>
                        </pic:nvPicPr>
                        <pic:blipFill>
                          <a:blip r:embed="rId19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Critical</w:t>
            </w:r>
          </w:p>
        </w:tc>
        <w:tc>
          <w:tcPr>
            <w:tcW w:w="2506" w:type="dxa"/>
          </w:tcPr>
          <w:p>
            <w:pPr>
              <w:pStyle w:val="TableParagraph"/>
              <w:ind w:left="60"/>
              <w:rPr>
                <w:sz w:val="18"/>
              </w:rPr>
            </w:pPr>
            <w:r>
              <w:rPr>
                <w:color w:val="231F20"/>
                <w:w w:val="105"/>
                <w:sz w:val="18"/>
              </w:rPr>
              <w:t>50</w:t>
            </w:r>
            <w:r>
              <w:rPr>
                <w:color w:val="231F20"/>
                <w:spacing w:val="13"/>
                <w:w w:val="105"/>
                <w:sz w:val="18"/>
              </w:rPr>
              <w:t> </w:t>
            </w:r>
            <w:r>
              <w:rPr>
                <w:color w:val="231F20"/>
                <w:w w:val="105"/>
                <w:sz w:val="18"/>
              </w:rPr>
              <w:t>=</w:t>
            </w:r>
            <w:r>
              <w:rPr>
                <w:color w:val="231F20"/>
                <w:spacing w:val="13"/>
                <w:w w:val="105"/>
                <w:sz w:val="18"/>
              </w:rPr>
              <w:t> </w:t>
            </w:r>
            <w:r>
              <w:rPr>
                <w:color w:val="231F20"/>
                <w:spacing w:val="-2"/>
                <w:w w:val="105"/>
                <w:sz w:val="18"/>
              </w:rPr>
              <w:t>Critical</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79" name="Image 2279"/>
                  <wp:cNvGraphicFramePr>
                    <a:graphicFrameLocks/>
                  </wp:cNvGraphicFramePr>
                  <a:graphic>
                    <a:graphicData uri="http://schemas.openxmlformats.org/drawingml/2006/picture">
                      <pic:pic>
                        <pic:nvPicPr>
                          <pic:cNvPr id="2279" name="Image 2279"/>
                          <pic:cNvPicPr/>
                        </pic:nvPicPr>
                        <pic:blipFill>
                          <a:blip r:embed="rId164"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Minor</w:t>
            </w:r>
          </w:p>
        </w:tc>
        <w:tc>
          <w:tcPr>
            <w:tcW w:w="2521" w:type="dxa"/>
          </w:tcPr>
          <w:p>
            <w:pPr>
              <w:pStyle w:val="TableParagraph"/>
              <w:ind w:left="60"/>
              <w:rPr>
                <w:sz w:val="18"/>
              </w:rPr>
            </w:pPr>
            <w:r>
              <w:rPr>
                <w:color w:val="231F20"/>
                <w:sz w:val="18"/>
              </w:rPr>
              <w:t>not</w:t>
            </w:r>
            <w:r>
              <w:rPr>
                <w:color w:val="231F20"/>
                <w:spacing w:val="11"/>
                <w:sz w:val="18"/>
              </w:rPr>
              <w:t> </w:t>
            </w:r>
            <w:r>
              <w:rPr>
                <w:color w:val="231F20"/>
                <w:spacing w:val="-4"/>
                <w:sz w:val="18"/>
              </w:rPr>
              <w:t>used</w:t>
            </w:r>
          </w:p>
        </w:tc>
        <w:tc>
          <w:tcPr>
            <w:tcW w:w="2506" w:type="dxa"/>
          </w:tcPr>
          <w:p>
            <w:pPr>
              <w:pStyle w:val="TableParagraph"/>
              <w:ind w:left="60"/>
              <w:rPr>
                <w:sz w:val="18"/>
              </w:rPr>
            </w:pPr>
            <w:r>
              <w:rPr>
                <w:color w:val="231F20"/>
                <w:w w:val="105"/>
                <w:sz w:val="18"/>
              </w:rPr>
              <w:t>40</w:t>
            </w:r>
            <w:r>
              <w:rPr>
                <w:color w:val="231F20"/>
                <w:spacing w:val="13"/>
                <w:w w:val="105"/>
                <w:sz w:val="18"/>
              </w:rPr>
              <w:t> </w:t>
            </w:r>
            <w:r>
              <w:rPr>
                <w:color w:val="231F20"/>
                <w:w w:val="105"/>
                <w:sz w:val="18"/>
              </w:rPr>
              <w:t>=</w:t>
            </w:r>
            <w:r>
              <w:rPr>
                <w:color w:val="231F20"/>
                <w:spacing w:val="13"/>
                <w:w w:val="105"/>
                <w:sz w:val="18"/>
              </w:rPr>
              <w:t> </w:t>
            </w:r>
            <w:r>
              <w:rPr>
                <w:color w:val="231F20"/>
                <w:spacing w:val="-2"/>
                <w:w w:val="105"/>
                <w:sz w:val="18"/>
              </w:rPr>
              <w:t>Minor</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80" name="Image 2280"/>
                  <wp:cNvGraphicFramePr>
                    <a:graphicFrameLocks/>
                  </wp:cNvGraphicFramePr>
                  <a:graphic>
                    <a:graphicData uri="http://schemas.openxmlformats.org/drawingml/2006/picture">
                      <pic:pic>
                        <pic:nvPicPr>
                          <pic:cNvPr id="2280" name="Image 2280"/>
                          <pic:cNvPicPr/>
                        </pic:nvPicPr>
                        <pic:blipFill>
                          <a:blip r:embed="rId12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Warning</w:t>
            </w:r>
          </w:p>
        </w:tc>
        <w:tc>
          <w:tcPr>
            <w:tcW w:w="2521" w:type="dxa"/>
          </w:tcPr>
          <w:p>
            <w:pPr>
              <w:pStyle w:val="TableParagraph"/>
              <w:ind w:left="70"/>
              <w:rPr>
                <w:sz w:val="18"/>
              </w:rPr>
            </w:pPr>
            <w:r>
              <w:rPr>
                <w:position w:val="-3"/>
              </w:rPr>
              <w:drawing>
                <wp:inline distT="0" distB="0" distL="0" distR="0">
                  <wp:extent cx="95250" cy="95250"/>
                  <wp:effectExtent l="0" t="0" r="0" b="0"/>
                  <wp:docPr id="2281" name="Image 2281"/>
                  <wp:cNvGraphicFramePr>
                    <a:graphicFrameLocks/>
                  </wp:cNvGraphicFramePr>
                  <a:graphic>
                    <a:graphicData uri="http://schemas.openxmlformats.org/drawingml/2006/picture">
                      <pic:pic>
                        <pic:nvPicPr>
                          <pic:cNvPr id="2281" name="Image 2281"/>
                          <pic:cNvPicPr/>
                        </pic:nvPicPr>
                        <pic:blipFill>
                          <a:blip r:embed="rId12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Warning</w:t>
            </w:r>
          </w:p>
        </w:tc>
        <w:tc>
          <w:tcPr>
            <w:tcW w:w="2506" w:type="dxa"/>
          </w:tcPr>
          <w:p>
            <w:pPr>
              <w:pStyle w:val="TableParagraph"/>
              <w:ind w:left="60"/>
              <w:rPr>
                <w:sz w:val="18"/>
              </w:rPr>
            </w:pPr>
            <w:r>
              <w:rPr>
                <w:color w:val="231F20"/>
                <w:w w:val="105"/>
                <w:sz w:val="18"/>
              </w:rPr>
              <w:t>30</w:t>
            </w:r>
            <w:r>
              <w:rPr>
                <w:color w:val="231F20"/>
                <w:spacing w:val="13"/>
                <w:w w:val="105"/>
                <w:sz w:val="18"/>
              </w:rPr>
              <w:t> </w:t>
            </w:r>
            <w:r>
              <w:rPr>
                <w:color w:val="231F20"/>
                <w:w w:val="105"/>
                <w:sz w:val="18"/>
              </w:rPr>
              <w:t>=</w:t>
            </w:r>
            <w:r>
              <w:rPr>
                <w:color w:val="231F20"/>
                <w:spacing w:val="13"/>
                <w:w w:val="105"/>
                <w:sz w:val="18"/>
              </w:rPr>
              <w:t> </w:t>
            </w:r>
            <w:r>
              <w:rPr>
                <w:color w:val="231F20"/>
                <w:spacing w:val="-2"/>
                <w:w w:val="105"/>
                <w:sz w:val="18"/>
              </w:rPr>
              <w:t>Warning</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82" name="Image 2282"/>
                  <wp:cNvGraphicFramePr>
                    <a:graphicFrameLocks/>
                  </wp:cNvGraphicFramePr>
                  <a:graphic>
                    <a:graphicData uri="http://schemas.openxmlformats.org/drawingml/2006/picture">
                      <pic:pic>
                        <pic:nvPicPr>
                          <pic:cNvPr id="2282" name="Image 2282"/>
                          <pic:cNvPicPr/>
                        </pic:nvPicPr>
                        <pic:blipFill>
                          <a:blip r:embed="rId16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Harmless</w:t>
            </w:r>
          </w:p>
        </w:tc>
        <w:tc>
          <w:tcPr>
            <w:tcW w:w="2521" w:type="dxa"/>
          </w:tcPr>
          <w:p>
            <w:pPr>
              <w:pStyle w:val="TableParagraph"/>
              <w:ind w:left="70"/>
              <w:rPr>
                <w:sz w:val="18"/>
              </w:rPr>
            </w:pPr>
            <w:r>
              <w:rPr>
                <w:position w:val="-3"/>
              </w:rPr>
              <w:drawing>
                <wp:inline distT="0" distB="0" distL="0" distR="0">
                  <wp:extent cx="95250" cy="95250"/>
                  <wp:effectExtent l="0" t="0" r="0" b="0"/>
                  <wp:docPr id="2283" name="Image 2283"/>
                  <wp:cNvGraphicFramePr>
                    <a:graphicFrameLocks/>
                  </wp:cNvGraphicFramePr>
                  <a:graphic>
                    <a:graphicData uri="http://schemas.openxmlformats.org/drawingml/2006/picture">
                      <pic:pic>
                        <pic:nvPicPr>
                          <pic:cNvPr id="2283" name="Image 2283"/>
                          <pic:cNvPicPr/>
                        </pic:nvPicPr>
                        <pic:blipFill>
                          <a:blip r:embed="rId16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Harmless</w:t>
            </w:r>
          </w:p>
        </w:tc>
        <w:tc>
          <w:tcPr>
            <w:tcW w:w="2506" w:type="dxa"/>
          </w:tcPr>
          <w:p>
            <w:pPr>
              <w:pStyle w:val="TableParagraph"/>
              <w:ind w:left="60"/>
              <w:rPr>
                <w:sz w:val="18"/>
              </w:rPr>
            </w:pPr>
            <w:r>
              <w:rPr>
                <w:color w:val="231F20"/>
                <w:w w:val="105"/>
                <w:sz w:val="18"/>
              </w:rPr>
              <w:t>0</w:t>
            </w:r>
            <w:r>
              <w:rPr>
                <w:color w:val="231F20"/>
                <w:spacing w:val="15"/>
                <w:w w:val="105"/>
                <w:sz w:val="18"/>
              </w:rPr>
              <w:t> </w:t>
            </w:r>
            <w:r>
              <w:rPr>
                <w:color w:val="231F20"/>
                <w:w w:val="105"/>
                <w:sz w:val="18"/>
              </w:rPr>
              <w:t>=</w:t>
            </w:r>
            <w:r>
              <w:rPr>
                <w:color w:val="231F20"/>
                <w:spacing w:val="16"/>
                <w:w w:val="105"/>
                <w:sz w:val="18"/>
              </w:rPr>
              <w:t> </w:t>
            </w:r>
            <w:r>
              <w:rPr>
                <w:color w:val="231F20"/>
                <w:spacing w:val="-4"/>
                <w:w w:val="105"/>
                <w:sz w:val="18"/>
              </w:rPr>
              <w:t>Clear</w:t>
            </w:r>
          </w:p>
        </w:tc>
      </w:tr>
      <w:tr>
        <w:trPr>
          <w:trHeight w:val="309" w:hRule="atLeast"/>
        </w:trPr>
        <w:tc>
          <w:tcPr>
            <w:tcW w:w="2506" w:type="dxa"/>
          </w:tcPr>
          <w:p>
            <w:pPr>
              <w:pStyle w:val="TableParagraph"/>
              <w:ind w:left="54"/>
              <w:rPr>
                <w:sz w:val="18"/>
              </w:rPr>
            </w:pPr>
            <w:r>
              <w:rPr>
                <w:position w:val="-3"/>
              </w:rPr>
              <w:drawing>
                <wp:inline distT="0" distB="0" distL="0" distR="0">
                  <wp:extent cx="95250" cy="95250"/>
                  <wp:effectExtent l="0" t="0" r="0" b="0"/>
                  <wp:docPr id="2284" name="Image 2284"/>
                  <wp:cNvGraphicFramePr>
                    <a:graphicFrameLocks/>
                  </wp:cNvGraphicFramePr>
                  <a:graphic>
                    <a:graphicData uri="http://schemas.openxmlformats.org/drawingml/2006/picture">
                      <pic:pic>
                        <pic:nvPicPr>
                          <pic:cNvPr id="2284" name="Image 2284"/>
                          <pic:cNvPicPr/>
                        </pic:nvPicPr>
                        <pic:blipFill>
                          <a:blip r:embed="rId12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Informational</w:t>
            </w:r>
          </w:p>
        </w:tc>
        <w:tc>
          <w:tcPr>
            <w:tcW w:w="2521" w:type="dxa"/>
          </w:tcPr>
          <w:p>
            <w:pPr>
              <w:pStyle w:val="TableParagraph"/>
              <w:ind w:left="70"/>
              <w:rPr>
                <w:sz w:val="18"/>
              </w:rPr>
            </w:pPr>
            <w:r>
              <w:rPr>
                <w:position w:val="-3"/>
              </w:rPr>
              <w:drawing>
                <wp:inline distT="0" distB="0" distL="0" distR="0">
                  <wp:extent cx="95250" cy="95250"/>
                  <wp:effectExtent l="0" t="0" r="0" b="0"/>
                  <wp:docPr id="2285" name="Image 2285"/>
                  <wp:cNvGraphicFramePr>
                    <a:graphicFrameLocks/>
                  </wp:cNvGraphicFramePr>
                  <a:graphic>
                    <a:graphicData uri="http://schemas.openxmlformats.org/drawingml/2006/picture">
                      <pic:pic>
                        <pic:nvPicPr>
                          <pic:cNvPr id="2285" name="Image 2285"/>
                          <pic:cNvPicPr/>
                        </pic:nvPicPr>
                        <pic:blipFill>
                          <a:blip r:embed="rId165"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Harmless</w:t>
            </w:r>
          </w:p>
        </w:tc>
        <w:tc>
          <w:tcPr>
            <w:tcW w:w="2506" w:type="dxa"/>
          </w:tcPr>
          <w:p>
            <w:pPr>
              <w:pStyle w:val="TableParagraph"/>
              <w:ind w:left="60"/>
              <w:rPr>
                <w:sz w:val="18"/>
              </w:rPr>
            </w:pPr>
            <w:r>
              <w:rPr>
                <w:color w:val="231F20"/>
                <w:sz w:val="18"/>
              </w:rPr>
              <w:t>not</w:t>
            </w:r>
            <w:r>
              <w:rPr>
                <w:color w:val="231F20"/>
                <w:spacing w:val="11"/>
                <w:sz w:val="18"/>
              </w:rPr>
              <w:t> </w:t>
            </w:r>
            <w:r>
              <w:rPr>
                <w:color w:val="231F20"/>
                <w:spacing w:val="-4"/>
                <w:sz w:val="18"/>
              </w:rPr>
              <w:t>used</w:t>
            </w:r>
          </w:p>
        </w:tc>
      </w:tr>
      <w:tr>
        <w:trPr>
          <w:trHeight w:val="314" w:hRule="atLeast"/>
        </w:trPr>
        <w:tc>
          <w:tcPr>
            <w:tcW w:w="2506" w:type="dxa"/>
          </w:tcPr>
          <w:p>
            <w:pPr>
              <w:pStyle w:val="TableParagraph"/>
              <w:ind w:left="54"/>
              <w:rPr>
                <w:sz w:val="18"/>
              </w:rPr>
            </w:pPr>
            <w:r>
              <w:rPr>
                <w:position w:val="-3"/>
              </w:rPr>
              <w:drawing>
                <wp:inline distT="0" distB="0" distL="0" distR="0">
                  <wp:extent cx="95250" cy="95250"/>
                  <wp:effectExtent l="0" t="0" r="0" b="0"/>
                  <wp:docPr id="2286" name="Image 2286"/>
                  <wp:cNvGraphicFramePr>
                    <a:graphicFrameLocks/>
                  </wp:cNvGraphicFramePr>
                  <a:graphic>
                    <a:graphicData uri="http://schemas.openxmlformats.org/drawingml/2006/picture">
                      <pic:pic>
                        <pic:nvPicPr>
                          <pic:cNvPr id="2286" name="Image 2286"/>
                          <pic:cNvPicPr/>
                        </pic:nvPicPr>
                        <pic:blipFill>
                          <a:blip r:embed="rId299"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Unknown</w:t>
            </w:r>
          </w:p>
        </w:tc>
        <w:tc>
          <w:tcPr>
            <w:tcW w:w="2521" w:type="dxa"/>
          </w:tcPr>
          <w:p>
            <w:pPr>
              <w:pStyle w:val="TableParagraph"/>
              <w:ind w:left="70"/>
              <w:rPr>
                <w:sz w:val="18"/>
              </w:rPr>
            </w:pPr>
            <w:r>
              <w:rPr>
                <w:position w:val="-3"/>
              </w:rPr>
              <w:drawing>
                <wp:inline distT="0" distB="0" distL="0" distR="0">
                  <wp:extent cx="95250" cy="95250"/>
                  <wp:effectExtent l="0" t="0" r="0" b="0"/>
                  <wp:docPr id="2287" name="Image 2287"/>
                  <wp:cNvGraphicFramePr>
                    <a:graphicFrameLocks/>
                  </wp:cNvGraphicFramePr>
                  <a:graphic>
                    <a:graphicData uri="http://schemas.openxmlformats.org/drawingml/2006/picture">
                      <pic:pic>
                        <pic:nvPicPr>
                          <pic:cNvPr id="2287" name="Image 2287"/>
                          <pic:cNvPicPr/>
                        </pic:nvPicPr>
                        <pic:blipFill>
                          <a:blip r:embed="rId126"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Informational</w:t>
            </w:r>
          </w:p>
        </w:tc>
        <w:tc>
          <w:tcPr>
            <w:tcW w:w="2506" w:type="dxa"/>
          </w:tcPr>
          <w:p>
            <w:pPr>
              <w:pStyle w:val="TableParagraph"/>
              <w:ind w:left="60"/>
              <w:rPr>
                <w:sz w:val="18"/>
              </w:rPr>
            </w:pPr>
            <w:r>
              <w:rPr>
                <w:color w:val="231F20"/>
                <w:w w:val="105"/>
                <w:sz w:val="18"/>
              </w:rPr>
              <w:t>10</w:t>
            </w:r>
            <w:r>
              <w:rPr>
                <w:color w:val="231F20"/>
                <w:spacing w:val="13"/>
                <w:w w:val="105"/>
                <w:sz w:val="18"/>
              </w:rPr>
              <w:t> </w:t>
            </w:r>
            <w:r>
              <w:rPr>
                <w:color w:val="231F20"/>
                <w:w w:val="105"/>
                <w:sz w:val="18"/>
              </w:rPr>
              <w:t>=</w:t>
            </w:r>
            <w:r>
              <w:rPr>
                <w:color w:val="231F20"/>
                <w:spacing w:val="13"/>
                <w:w w:val="105"/>
                <w:sz w:val="18"/>
              </w:rPr>
              <w:t> </w:t>
            </w:r>
            <w:r>
              <w:rPr>
                <w:color w:val="231F20"/>
                <w:spacing w:val="-2"/>
                <w:w w:val="105"/>
                <w:sz w:val="18"/>
              </w:rPr>
              <w:t>Indeterminate</w:t>
            </w:r>
          </w:p>
        </w:tc>
      </w:tr>
    </w:tbl>
    <w:p>
      <w:pPr>
        <w:pStyle w:val="BodyText"/>
        <w:spacing w:before="18"/>
      </w:pPr>
    </w:p>
    <w:p>
      <w:pPr>
        <w:pStyle w:val="Heading6"/>
        <w:spacing w:before="1"/>
        <w:ind w:left="423"/>
      </w:pPr>
      <w:r>
        <w:rPr>
          <w:color w:val="231F20"/>
        </w:rPr>
        <w:t>EIF</w:t>
      </w:r>
      <w:r>
        <w:rPr>
          <w:color w:val="231F20"/>
          <w:spacing w:val="12"/>
        </w:rPr>
        <w:t> </w:t>
      </w:r>
      <w:r>
        <w:rPr>
          <w:color w:val="231F20"/>
          <w:spacing w:val="-2"/>
        </w:rPr>
        <w:t>Receivers</w:t>
      </w:r>
    </w:p>
    <w:p>
      <w:pPr>
        <w:pStyle w:val="BodyText"/>
        <w:spacing w:line="258" w:lineRule="exact"/>
        <w:ind w:left="1141"/>
      </w:pPr>
      <w:r>
        <w:rPr>
          <w:color w:val="231F20"/>
        </w:rPr>
        <w:t>Specify</w:t>
      </w:r>
      <w:r>
        <w:rPr>
          <w:color w:val="231F20"/>
          <w:spacing w:val="10"/>
        </w:rPr>
        <w:t> </w:t>
      </w:r>
      <w:r>
        <w:rPr>
          <w:color w:val="231F20"/>
        </w:rPr>
        <w:t>the</w:t>
      </w:r>
      <w:r>
        <w:rPr>
          <w:color w:val="231F20"/>
          <w:spacing w:val="10"/>
        </w:rPr>
        <w:t> </w:t>
      </w:r>
      <w:r>
        <w:rPr>
          <w:color w:val="231F20"/>
        </w:rPr>
        <w:t>EIF</w:t>
      </w:r>
      <w:r>
        <w:rPr>
          <w:color w:val="231F20"/>
          <w:spacing w:val="10"/>
        </w:rPr>
        <w:t> </w:t>
      </w:r>
      <w:r>
        <w:rPr>
          <w:color w:val="231F20"/>
        </w:rPr>
        <w:t>destinations</w:t>
      </w:r>
      <w:r>
        <w:rPr>
          <w:color w:val="231F20"/>
          <w:spacing w:val="10"/>
        </w:rPr>
        <w:t> </w:t>
      </w:r>
      <w:r>
        <w:rPr>
          <w:color w:val="231F20"/>
        </w:rPr>
        <w:t>for</w:t>
      </w:r>
      <w:r>
        <w:rPr>
          <w:color w:val="231F20"/>
          <w:spacing w:val="10"/>
        </w:rPr>
        <w:t> </w:t>
      </w:r>
      <w:r>
        <w:rPr>
          <w:color w:val="231F20"/>
        </w:rPr>
        <w:t>the</w:t>
      </w:r>
      <w:r>
        <w:rPr>
          <w:color w:val="231F20"/>
          <w:spacing w:val="10"/>
        </w:rPr>
        <w:t> </w:t>
      </w:r>
      <w:r>
        <w:rPr>
          <w:color w:val="231F20"/>
        </w:rPr>
        <w:t>forwarded</w:t>
      </w:r>
      <w:r>
        <w:rPr>
          <w:color w:val="231F20"/>
          <w:spacing w:val="10"/>
        </w:rPr>
        <w:t> </w:t>
      </w:r>
      <w:r>
        <w:rPr>
          <w:color w:val="231F20"/>
          <w:spacing w:val="-2"/>
        </w:rPr>
        <w:t>events.</w:t>
      </w:r>
    </w:p>
    <w:p>
      <w:pPr>
        <w:spacing w:line="213" w:lineRule="auto" w:before="112"/>
        <w:ind w:left="1141" w:right="397" w:firstLine="0"/>
        <w:jc w:val="left"/>
        <w:rPr>
          <w:sz w:val="20"/>
        </w:rPr>
      </w:pPr>
      <w:r>
        <w:rPr>
          <w:color w:val="231F20"/>
          <w:sz w:val="20"/>
        </w:rPr>
        <w:t>The </w:t>
      </w:r>
      <w:r>
        <w:rPr>
          <w:rFonts w:ascii="Book Antiqua"/>
          <w:b/>
          <w:color w:val="231F20"/>
          <w:sz w:val="20"/>
        </w:rPr>
        <w:t>Assigned EIF Receivers </w:t>
      </w:r>
      <w:r>
        <w:rPr>
          <w:color w:val="231F20"/>
          <w:sz w:val="20"/>
        </w:rPr>
        <w:t>list shows the destinations to which</w:t>
      </w:r>
      <w:r>
        <w:rPr>
          <w:color w:val="231F20"/>
          <w:spacing w:val="40"/>
          <w:sz w:val="20"/>
        </w:rPr>
        <w:t> </w:t>
      </w:r>
      <w:r>
        <w:rPr>
          <w:color w:val="231F20"/>
          <w:sz w:val="20"/>
        </w:rPr>
        <w:t>forwarded events will be sent, and the </w:t>
      </w:r>
      <w:r>
        <w:rPr>
          <w:rFonts w:ascii="Book Antiqua"/>
          <w:b/>
          <w:color w:val="231F20"/>
          <w:sz w:val="20"/>
        </w:rPr>
        <w:t>Available EIF Receivers </w:t>
      </w:r>
      <w:r>
        <w:rPr>
          <w:color w:val="231F20"/>
          <w:sz w:val="20"/>
        </w:rPr>
        <w:t>list </w:t>
      </w:r>
      <w:r>
        <w:rPr>
          <w:color w:val="231F20"/>
          <w:sz w:val="20"/>
        </w:rPr>
        <w:t>shows all of the defined EIF destinations. (EIF destinations are defined in the</w:t>
      </w:r>
    </w:p>
    <w:p>
      <w:pPr>
        <w:spacing w:after="0" w:line="213" w:lineRule="auto"/>
        <w:jc w:val="left"/>
        <w:rPr>
          <w:sz w:val="20"/>
        </w:rPr>
        <w:sectPr>
          <w:pgSz w:w="12240" w:h="15840"/>
          <w:pgMar w:header="0" w:footer="736" w:top="1180" w:bottom="920" w:left="1000" w:right="1060"/>
          <w:cols w:num="2" w:equalWidth="0">
            <w:col w:w="2010" w:space="40"/>
            <w:col w:w="8130"/>
          </w:cols>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83"/>
        <w:rPr>
          <w:sz w:val="28"/>
        </w:rPr>
      </w:pPr>
    </w:p>
    <w:p>
      <w:pPr>
        <w:pStyle w:val="Heading3"/>
        <w:spacing w:before="0"/>
        <w:ind w:left="0"/>
        <w:jc w:val="right"/>
      </w:pPr>
      <w:bookmarkStart w:name="_bookmark192" w:id="410"/>
      <w:bookmarkEnd w:id="410"/>
      <w:r>
        <w:rPr>
          <w:b w:val="0"/>
        </w:rPr>
      </w:r>
      <w:r>
        <w:rPr>
          <w:color w:val="231F20"/>
          <w:spacing w:val="-2"/>
        </w:rPr>
        <w:t>Until</w:t>
      </w:r>
    </w:p>
    <w:p>
      <w:pPr>
        <w:spacing w:line="213" w:lineRule="auto" w:before="85"/>
        <w:ind w:left="955" w:right="519" w:firstLine="0"/>
        <w:jc w:val="left"/>
        <w:rPr>
          <w:sz w:val="20"/>
        </w:rPr>
      </w:pPr>
      <w:r>
        <w:rPr/>
        <w:br w:type="column"/>
      </w:r>
      <w:r>
        <w:rPr>
          <w:color w:val="231F20"/>
          <w:sz w:val="20"/>
        </w:rPr>
        <w:t>Manage Tivoli Enterprise Monitoring Services application, described in </w:t>
      </w:r>
      <w:r>
        <w:rPr>
          <w:color w:val="231F20"/>
          <w:sz w:val="20"/>
        </w:rPr>
        <w:t>the </w:t>
      </w:r>
      <w:r>
        <w:rPr>
          <w:rFonts w:ascii="Book Antiqua"/>
          <w:i/>
          <w:color w:val="231F20"/>
          <w:sz w:val="20"/>
        </w:rPr>
        <w:t>IBM Tivoli Monitoring Installation and Setup Guide</w:t>
      </w:r>
      <w:r>
        <w:rPr>
          <w:color w:val="231F20"/>
          <w:sz w:val="20"/>
        </w:rPr>
        <w:t>, or with the </w:t>
      </w:r>
      <w:r>
        <w:rPr>
          <w:rFonts w:ascii="Book Antiqua"/>
          <w:b/>
          <w:color w:val="231F20"/>
          <w:sz w:val="20"/>
        </w:rPr>
        <w:t>tacmd createEventDest </w:t>
      </w:r>
      <w:r>
        <w:rPr>
          <w:color w:val="231F20"/>
          <w:sz w:val="20"/>
        </w:rPr>
        <w:t>command, described in the </w:t>
      </w:r>
      <w:r>
        <w:rPr>
          <w:rFonts w:ascii="Book Antiqua"/>
          <w:i/>
          <w:color w:val="231F20"/>
          <w:sz w:val="20"/>
        </w:rPr>
        <w:t>IBM Tivoli Monitoring</w:t>
      </w:r>
      <w:r>
        <w:rPr>
          <w:rFonts w:ascii="Book Antiqua"/>
          <w:i/>
          <w:color w:val="231F20"/>
          <w:spacing w:val="40"/>
          <w:sz w:val="20"/>
        </w:rPr>
        <w:t> </w:t>
      </w:r>
      <w:r>
        <w:rPr>
          <w:rFonts w:ascii="Book Antiqua"/>
          <w:i/>
          <w:color w:val="231F20"/>
          <w:sz w:val="20"/>
        </w:rPr>
        <w:t>Command Reference</w:t>
      </w:r>
      <w:r>
        <w:rPr>
          <w:color w:val="231F20"/>
          <w:sz w:val="20"/>
        </w:rPr>
        <w:t>.)</w:t>
      </w:r>
    </w:p>
    <w:p>
      <w:pPr>
        <w:pStyle w:val="BodyText"/>
        <w:spacing w:line="213" w:lineRule="auto" w:before="117"/>
        <w:ind w:left="955" w:right="664"/>
      </w:pPr>
      <w:r>
        <w:rPr>
          <w:color w:val="231F20"/>
        </w:rPr>
        <w:t>Each destination represents one or more EIF receivers. If you move the mouse pointer over an entry in the list, the hover help shows the </w:t>
      </w:r>
      <w:r>
        <w:rPr>
          <w:color w:val="231F20"/>
        </w:rPr>
        <w:t>server and port information specified for the destination.</w:t>
      </w:r>
    </w:p>
    <w:p>
      <w:pPr>
        <w:pStyle w:val="BodyText"/>
        <w:spacing w:line="213" w:lineRule="auto" w:before="117"/>
        <w:ind w:left="955" w:right="519" w:hanging="1"/>
      </w:pPr>
      <w:r>
        <w:rPr>
          <w:color w:val="231F20"/>
        </w:rPr>
        <w:t>To</w:t>
      </w:r>
      <w:r>
        <w:rPr>
          <w:color w:val="231F20"/>
          <w:spacing w:val="25"/>
        </w:rPr>
        <w:t> </w:t>
      </w:r>
      <w:r>
        <w:rPr>
          <w:color w:val="231F20"/>
        </w:rPr>
        <w:t>add</w:t>
      </w:r>
      <w:r>
        <w:rPr>
          <w:color w:val="231F20"/>
          <w:spacing w:val="25"/>
        </w:rPr>
        <w:t> </w:t>
      </w:r>
      <w:r>
        <w:rPr>
          <w:color w:val="231F20"/>
        </w:rPr>
        <w:t>a</w:t>
      </w:r>
      <w:r>
        <w:rPr>
          <w:color w:val="231F20"/>
          <w:spacing w:val="25"/>
        </w:rPr>
        <w:t> </w:t>
      </w:r>
      <w:r>
        <w:rPr>
          <w:color w:val="231F20"/>
        </w:rPr>
        <w:t>destination,</w:t>
      </w:r>
      <w:r>
        <w:rPr>
          <w:color w:val="231F20"/>
          <w:spacing w:val="25"/>
        </w:rPr>
        <w:t> </w:t>
      </w:r>
      <w:r>
        <w:rPr>
          <w:color w:val="231F20"/>
        </w:rPr>
        <w:t>select</w:t>
      </w:r>
      <w:r>
        <w:rPr>
          <w:color w:val="231F20"/>
          <w:spacing w:val="25"/>
        </w:rPr>
        <w:t> </w:t>
      </w:r>
      <w:r>
        <w:rPr>
          <w:color w:val="231F20"/>
        </w:rPr>
        <w:t>it</w:t>
      </w:r>
      <w:r>
        <w:rPr>
          <w:color w:val="231F20"/>
          <w:spacing w:val="25"/>
        </w:rPr>
        <w:t> </w:t>
      </w:r>
      <w:r>
        <w:rPr>
          <w:color w:val="231F20"/>
        </w:rPr>
        <w:t>from</w:t>
      </w:r>
      <w:r>
        <w:rPr>
          <w:color w:val="231F20"/>
          <w:spacing w:val="25"/>
        </w:rPr>
        <w:t> </w:t>
      </w:r>
      <w:r>
        <w:rPr>
          <w:color w:val="231F20"/>
        </w:rPr>
        <w:t>the</w:t>
      </w:r>
      <w:r>
        <w:rPr>
          <w:color w:val="231F20"/>
          <w:spacing w:val="25"/>
        </w:rPr>
        <w:t> </w:t>
      </w:r>
      <w:r>
        <w:rPr>
          <w:rFonts w:ascii="Book Antiqua"/>
          <w:b/>
          <w:color w:val="231F20"/>
        </w:rPr>
        <w:t>Available</w:t>
      </w:r>
      <w:r>
        <w:rPr>
          <w:rFonts w:ascii="Book Antiqua"/>
          <w:b/>
          <w:color w:val="231F20"/>
          <w:spacing w:val="25"/>
        </w:rPr>
        <w:t> </w:t>
      </w:r>
      <w:r>
        <w:rPr>
          <w:rFonts w:ascii="Book Antiqua"/>
          <w:b/>
          <w:color w:val="231F20"/>
        </w:rPr>
        <w:t>EIF</w:t>
      </w:r>
      <w:r>
        <w:rPr>
          <w:rFonts w:ascii="Book Antiqua"/>
          <w:b/>
          <w:color w:val="231F20"/>
          <w:spacing w:val="25"/>
        </w:rPr>
        <w:t> </w:t>
      </w:r>
      <w:r>
        <w:rPr>
          <w:rFonts w:ascii="Book Antiqua"/>
          <w:b/>
          <w:color w:val="231F20"/>
        </w:rPr>
        <w:t>Receivers</w:t>
      </w:r>
      <w:r>
        <w:rPr>
          <w:rFonts w:ascii="Book Antiqua"/>
          <w:b/>
          <w:color w:val="231F20"/>
          <w:spacing w:val="25"/>
        </w:rPr>
        <w:t> </w:t>
      </w:r>
      <w:r>
        <w:rPr>
          <w:color w:val="231F20"/>
        </w:rPr>
        <w:t>list</w:t>
      </w:r>
      <w:r>
        <w:rPr>
          <w:color w:val="231F20"/>
          <w:spacing w:val="25"/>
        </w:rPr>
        <w:t> </w:t>
      </w:r>
      <w:r>
        <w:rPr>
          <w:color w:val="231F20"/>
        </w:rPr>
        <w:t>and then</w:t>
      </w:r>
      <w:r>
        <w:rPr>
          <w:color w:val="231F20"/>
          <w:spacing w:val="80"/>
        </w:rPr>
        <w:t> </w:t>
      </w:r>
      <w:r>
        <w:rPr>
          <w:color w:val="231F20"/>
          <w:spacing w:val="16"/>
          <w:position w:val="1"/>
        </w:rPr>
        <w:drawing>
          <wp:inline distT="0" distB="0" distL="0" distR="0">
            <wp:extent cx="44450" cy="76200"/>
            <wp:effectExtent l="0" t="0" r="0" b="0"/>
            <wp:docPr id="2288" name="Image 2288"/>
            <wp:cNvGraphicFramePr>
              <a:graphicFrameLocks/>
            </wp:cNvGraphicFramePr>
            <a:graphic>
              <a:graphicData uri="http://schemas.openxmlformats.org/drawingml/2006/picture">
                <pic:pic>
                  <pic:nvPicPr>
                    <pic:cNvPr id="2288" name="Image 228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rPr>
      </w:r>
      <w:r>
        <w:rPr>
          <w:rFonts w:ascii="Times New Roman"/>
          <w:color w:val="231F20"/>
          <w:spacing w:val="80"/>
        </w:rPr>
        <w:t> </w:t>
      </w:r>
      <w:r>
        <w:rPr>
          <w:color w:val="231F20"/>
        </w:rPr>
        <w:t>move</w:t>
      </w:r>
      <w:r>
        <w:rPr>
          <w:color w:val="231F20"/>
          <w:spacing w:val="27"/>
        </w:rPr>
        <w:t> </w:t>
      </w:r>
      <w:r>
        <w:rPr>
          <w:color w:val="231F20"/>
        </w:rPr>
        <w:t>it</w:t>
      </w:r>
      <w:r>
        <w:rPr>
          <w:color w:val="231F20"/>
          <w:spacing w:val="27"/>
        </w:rPr>
        <w:t> </w:t>
      </w:r>
      <w:r>
        <w:rPr>
          <w:color w:val="231F20"/>
        </w:rPr>
        <w:t>to</w:t>
      </w:r>
      <w:r>
        <w:rPr>
          <w:color w:val="231F20"/>
          <w:spacing w:val="27"/>
        </w:rPr>
        <w:t> </w:t>
      </w:r>
      <w:r>
        <w:rPr>
          <w:color w:val="231F20"/>
        </w:rPr>
        <w:t>the Assigned</w:t>
      </w:r>
      <w:r>
        <w:rPr>
          <w:color w:val="231F20"/>
          <w:spacing w:val="27"/>
        </w:rPr>
        <w:t> </w:t>
      </w:r>
      <w:r>
        <w:rPr>
          <w:color w:val="231F20"/>
        </w:rPr>
        <w:t>list.</w:t>
      </w:r>
      <w:r>
        <w:rPr>
          <w:color w:val="231F20"/>
          <w:spacing w:val="27"/>
        </w:rPr>
        <w:t> </w:t>
      </w:r>
      <w:r>
        <w:rPr>
          <w:color w:val="231F20"/>
        </w:rPr>
        <w:t>(After</w:t>
      </w:r>
      <w:r>
        <w:rPr>
          <w:color w:val="231F20"/>
          <w:spacing w:val="27"/>
        </w:rPr>
        <w:t> </w:t>
      </w:r>
      <w:r>
        <w:rPr>
          <w:color w:val="231F20"/>
        </w:rPr>
        <w:t>selecting</w:t>
      </w:r>
      <w:r>
        <w:rPr>
          <w:color w:val="231F20"/>
          <w:spacing w:val="27"/>
        </w:rPr>
        <w:t> </w:t>
      </w:r>
      <w:r>
        <w:rPr>
          <w:color w:val="231F20"/>
        </w:rPr>
        <w:t>the</w:t>
      </w:r>
      <w:r>
        <w:rPr>
          <w:color w:val="231F20"/>
          <w:spacing w:val="27"/>
        </w:rPr>
        <w:t> </w:t>
      </w:r>
      <w:r>
        <w:rPr>
          <w:color w:val="231F20"/>
        </w:rPr>
        <w:t>first</w:t>
      </w:r>
      <w:r>
        <w:rPr>
          <w:color w:val="231F20"/>
          <w:spacing w:val="27"/>
        </w:rPr>
        <w:t> </w:t>
      </w:r>
      <w:r>
        <w:rPr>
          <w:color w:val="231F20"/>
        </w:rPr>
        <w:t>destination, you can use Ctrl+click to select other destinations or Shift+click to select </w:t>
      </w:r>
      <w:r>
        <w:rPr>
          <w:color w:val="231F20"/>
        </w:rPr>
        <w:t>all destinations between the first selection and this one.)</w:t>
      </w:r>
    </w:p>
    <w:p>
      <w:pPr>
        <w:pStyle w:val="BodyText"/>
        <w:spacing w:line="213" w:lineRule="auto" w:before="117"/>
        <w:ind w:left="955" w:right="664"/>
      </w:pPr>
      <w:r>
        <w:rPr>
          <w:color w:val="231F20"/>
        </w:rPr>
        <w:t>To remove destinations from the list, select them from the </w:t>
      </w:r>
      <w:r>
        <w:rPr>
          <w:rFonts w:ascii="Book Antiqua"/>
          <w:b/>
          <w:color w:val="231F20"/>
        </w:rPr>
        <w:t>Assigned EIF Receivers </w:t>
      </w:r>
      <w:r>
        <w:rPr>
          <w:color w:val="231F20"/>
        </w:rPr>
        <w:t>list and</w:t>
      </w:r>
      <w:r>
        <w:rPr>
          <w:color w:val="231F20"/>
          <w:spacing w:val="40"/>
        </w:rPr>
        <w:t> </w:t>
      </w:r>
      <w:r>
        <w:rPr>
          <w:color w:val="231F20"/>
          <w:spacing w:val="-14"/>
          <w:position w:val="1"/>
        </w:rPr>
        <w:drawing>
          <wp:inline distT="0" distB="0" distL="0" distR="0">
            <wp:extent cx="44450" cy="76200"/>
            <wp:effectExtent l="0" t="0" r="0" b="0"/>
            <wp:docPr id="2289" name="Image 2289"/>
            <wp:cNvGraphicFramePr>
              <a:graphicFrameLocks/>
            </wp:cNvGraphicFramePr>
            <a:graphic>
              <a:graphicData uri="http://schemas.openxmlformats.org/drawingml/2006/picture">
                <pic:pic>
                  <pic:nvPicPr>
                    <pic:cNvPr id="2289" name="Image 2289"/>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move to the Available list.</w:t>
      </w:r>
    </w:p>
    <w:p>
      <w:pPr>
        <w:spacing w:line="213" w:lineRule="auto" w:before="119"/>
        <w:ind w:left="955" w:right="664" w:firstLine="0"/>
        <w:jc w:val="left"/>
        <w:rPr>
          <w:rFonts w:ascii="Book Antiqua"/>
          <w:b/>
          <w:sz w:val="20"/>
        </w:rPr>
      </w:pPr>
      <w:r>
        <w:rPr>
          <w:color w:val="231F20"/>
          <w:sz w:val="20"/>
        </w:rPr>
        <w:t>If you want to customize how situation events are mapped to EIF </w:t>
      </w:r>
      <w:r>
        <w:rPr>
          <w:color w:val="231F20"/>
          <w:sz w:val="20"/>
        </w:rPr>
        <w:t>events, click </w:t>
      </w:r>
      <w:r>
        <w:rPr>
          <w:rFonts w:ascii="Book Antiqua"/>
          <w:b/>
          <w:color w:val="231F20"/>
          <w:sz w:val="20"/>
        </w:rPr>
        <w:t>EIF Slot Customization</w:t>
      </w:r>
    </w:p>
    <w:p>
      <w:pPr>
        <w:pStyle w:val="BodyText"/>
        <w:spacing w:line="213" w:lineRule="auto" w:before="238"/>
        <w:ind w:left="237" w:right="664"/>
      </w:pPr>
      <w:r>
        <w:rPr>
          <w:rFonts w:ascii="Book Antiqua"/>
          <w:b/>
          <w:color w:val="231F20"/>
        </w:rPr>
        <w:t>Note:</w:t>
      </w:r>
      <w:r>
        <w:rPr>
          <w:rFonts w:ascii="Book Antiqua"/>
          <w:b/>
          <w:color w:val="231F20"/>
          <w:spacing w:val="40"/>
        </w:rPr>
        <w:t> </w:t>
      </w:r>
      <w:r>
        <w:rPr>
          <w:color w:val="231F20"/>
        </w:rPr>
        <w:t>If you are forwarding events, when an active situation is deleted, the </w:t>
      </w:r>
      <w:r>
        <w:rPr>
          <w:color w:val="231F20"/>
        </w:rPr>
        <w:t>Stop and Delete events that are sent to the event server use the situation short name and not the long name. This is also true for any messages that are sent to the</w:t>
      </w:r>
      <w:r>
        <w:rPr>
          <w:color w:val="231F20"/>
          <w:spacing w:val="40"/>
        </w:rPr>
        <w:t> </w:t>
      </w:r>
      <w:r>
        <w:rPr>
          <w:color w:val="231F20"/>
        </w:rPr>
        <w:t>message log view.</w:t>
      </w:r>
    </w:p>
    <w:p>
      <w:pPr>
        <w:pStyle w:val="BodyText"/>
      </w:pPr>
    </w:p>
    <w:p>
      <w:pPr>
        <w:pStyle w:val="BodyText"/>
        <w:spacing w:before="56"/>
      </w:pPr>
    </w:p>
    <w:p>
      <w:pPr>
        <w:pStyle w:val="BodyText"/>
        <w:spacing w:line="213" w:lineRule="auto"/>
        <w:ind w:left="237" w:right="513"/>
        <w:jc w:val="both"/>
      </w:pPr>
      <w:r>
        <w:rPr>
          <w:color w:val="231F20"/>
        </w:rPr>
        <w:t>The </w:t>
      </w:r>
      <w:r>
        <w:rPr>
          <w:rFonts w:ascii="Book Antiqua"/>
          <w:i/>
          <w:color w:val="231F20"/>
        </w:rPr>
        <w:t>Until </w:t>
      </w:r>
      <w:r>
        <w:rPr>
          <w:color w:val="231F20"/>
        </w:rPr>
        <w:t>clause provides a way to automatically close an event by turning a true situation to false when another situation is true or when the close interval </w:t>
      </w:r>
      <w:r>
        <w:rPr>
          <w:color w:val="231F20"/>
        </w:rPr>
        <w:t>expires. This is particularly useful for pure events that might occur frequently.</w:t>
      </w:r>
    </w:p>
    <w:p>
      <w:pPr>
        <w:pStyle w:val="Heading6"/>
        <w:spacing w:line="232" w:lineRule="exact"/>
        <w:ind w:left="237"/>
        <w:jc w:val="both"/>
      </w:pPr>
      <w:r>
        <w:rPr>
          <w:color w:val="231F20"/>
        </w:rPr>
        <w:t>Close</w:t>
      </w:r>
      <w:r>
        <w:rPr>
          <w:color w:val="231F20"/>
          <w:spacing w:val="11"/>
        </w:rPr>
        <w:t> </w:t>
      </w:r>
      <w:r>
        <w:rPr>
          <w:color w:val="231F20"/>
        </w:rPr>
        <w:t>this</w:t>
      </w:r>
      <w:r>
        <w:rPr>
          <w:color w:val="231F20"/>
          <w:spacing w:val="11"/>
        </w:rPr>
        <w:t> </w:t>
      </w:r>
      <w:r>
        <w:rPr>
          <w:color w:val="231F20"/>
        </w:rPr>
        <w:t>Event</w:t>
      </w:r>
      <w:r>
        <w:rPr>
          <w:color w:val="231F20"/>
          <w:spacing w:val="11"/>
        </w:rPr>
        <w:t> </w:t>
      </w:r>
      <w:r>
        <w:rPr>
          <w:color w:val="231F20"/>
        </w:rPr>
        <w:t>when</w:t>
      </w:r>
      <w:r>
        <w:rPr>
          <w:color w:val="231F20"/>
          <w:spacing w:val="11"/>
        </w:rPr>
        <w:t> </w:t>
      </w:r>
      <w:r>
        <w:rPr>
          <w:color w:val="231F20"/>
        </w:rPr>
        <w:t>either</w:t>
      </w:r>
      <w:r>
        <w:rPr>
          <w:color w:val="231F20"/>
          <w:spacing w:val="11"/>
        </w:rPr>
        <w:t> </w:t>
      </w:r>
      <w:r>
        <w:rPr>
          <w:color w:val="231F20"/>
          <w:spacing w:val="-2"/>
        </w:rPr>
        <w:t>occurs</w:t>
      </w:r>
    </w:p>
    <w:p>
      <w:pPr>
        <w:pStyle w:val="BodyText"/>
        <w:spacing w:line="211" w:lineRule="auto" w:before="16"/>
        <w:ind w:left="955" w:right="493"/>
      </w:pPr>
      <w:r>
        <w:rPr/>
        <w:drawing>
          <wp:inline distT="0" distB="0" distL="0" distR="0">
            <wp:extent cx="82550" cy="82550"/>
            <wp:effectExtent l="0" t="0" r="0" b="0"/>
            <wp:docPr id="2290" name="Image 2290"/>
            <wp:cNvGraphicFramePr>
              <a:graphicFrameLocks/>
            </wp:cNvGraphicFramePr>
            <a:graphic>
              <a:graphicData uri="http://schemas.openxmlformats.org/drawingml/2006/picture">
                <pic:pic>
                  <pic:nvPicPr>
                    <pic:cNvPr id="2290" name="Image 229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Interval Expires </w:t>
      </w:r>
      <w:r>
        <w:rPr>
          <w:color w:val="231F20"/>
        </w:rPr>
        <w:t>When this option is cleared, the event does not close until the situation becomes false. Select this option to close the event automatically after the specified interval, 15 minutes by default. To </w:t>
      </w:r>
      <w:r>
        <w:rPr>
          <w:color w:val="231F20"/>
        </w:rPr>
        <w:t>change the interval, click inside the days, hours, minutes or seconds cell, then </w:t>
      </w:r>
      <w:r>
        <w:rPr>
          <w:color w:val="231F20"/>
          <w:spacing w:val="15"/>
          <w:position w:val="-1"/>
        </w:rPr>
        <w:drawing>
          <wp:inline distT="0" distB="0" distL="0" distR="0">
            <wp:extent cx="101600" cy="101600"/>
            <wp:effectExtent l="0" t="0" r="0" b="0"/>
            <wp:docPr id="2291" name="Image 2291"/>
            <wp:cNvGraphicFramePr>
              <a:graphicFrameLocks/>
            </wp:cNvGraphicFramePr>
            <a:graphic>
              <a:graphicData uri="http://schemas.openxmlformats.org/drawingml/2006/picture">
                <pic:pic>
                  <pic:nvPicPr>
                    <pic:cNvPr id="2291" name="Image 229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position w:val="-1"/>
        </w:rPr>
        <w:t> </w:t>
      </w:r>
      <w:r>
        <w:rPr>
          <w:color w:val="231F20"/>
        </w:rPr>
        <w:t>adjust up or down, or type the number.</w:t>
      </w:r>
    </w:p>
    <w:p>
      <w:pPr>
        <w:pStyle w:val="BodyText"/>
        <w:spacing w:line="213" w:lineRule="auto" w:before="122"/>
        <w:ind w:left="955" w:right="304"/>
      </w:pPr>
      <w:r>
        <w:rPr>
          <w:color w:val="231F20"/>
        </w:rPr>
        <w:t>This option must be used only for Pure Events in cases where processing is occurring</w:t>
      </w:r>
      <w:r>
        <w:rPr>
          <w:color w:val="231F20"/>
          <w:spacing w:val="30"/>
        </w:rPr>
        <w:t> </w:t>
      </w:r>
      <w:r>
        <w:rPr>
          <w:color w:val="231F20"/>
        </w:rPr>
        <w:t>outside</w:t>
      </w:r>
      <w:r>
        <w:rPr>
          <w:color w:val="231F20"/>
          <w:spacing w:val="30"/>
        </w:rPr>
        <w:t> </w:t>
      </w:r>
      <w:r>
        <w:rPr>
          <w:color w:val="231F20"/>
        </w:rPr>
        <w:t>the</w:t>
      </w:r>
      <w:r>
        <w:rPr>
          <w:color w:val="231F20"/>
          <w:spacing w:val="30"/>
        </w:rPr>
        <w:t> </w:t>
      </w:r>
      <w:r>
        <w:rPr>
          <w:color w:val="231F20"/>
        </w:rPr>
        <w:t>portal</w:t>
      </w:r>
      <w:r>
        <w:rPr>
          <w:color w:val="231F20"/>
          <w:spacing w:val="30"/>
        </w:rPr>
        <w:t> </w:t>
      </w:r>
      <w:r>
        <w:rPr>
          <w:color w:val="231F20"/>
        </w:rPr>
        <w:t>client,</w:t>
      </w:r>
      <w:r>
        <w:rPr>
          <w:color w:val="231F20"/>
          <w:spacing w:val="30"/>
        </w:rPr>
        <w:t> </w:t>
      </w:r>
      <w:r>
        <w:rPr>
          <w:color w:val="231F20"/>
        </w:rPr>
        <w:t>such</w:t>
      </w:r>
      <w:r>
        <w:rPr>
          <w:color w:val="231F20"/>
          <w:spacing w:val="30"/>
        </w:rPr>
        <w:t> </w:t>
      </w:r>
      <w:r>
        <w:rPr>
          <w:color w:val="231F20"/>
        </w:rPr>
        <w:t>as</w:t>
      </w:r>
      <w:r>
        <w:rPr>
          <w:color w:val="231F20"/>
          <w:spacing w:val="30"/>
        </w:rPr>
        <w:t> </w:t>
      </w:r>
      <w:r>
        <w:rPr>
          <w:color w:val="231F20"/>
        </w:rPr>
        <w:t>situation</w:t>
      </w:r>
      <w:r>
        <w:rPr>
          <w:color w:val="231F20"/>
          <w:spacing w:val="30"/>
        </w:rPr>
        <w:t> </w:t>
      </w:r>
      <w:r>
        <w:rPr>
          <w:color w:val="231F20"/>
        </w:rPr>
        <w:t>action</w:t>
      </w:r>
      <w:r>
        <w:rPr>
          <w:color w:val="231F20"/>
          <w:spacing w:val="30"/>
        </w:rPr>
        <w:t> </w:t>
      </w:r>
      <w:r>
        <w:rPr>
          <w:color w:val="231F20"/>
        </w:rPr>
        <w:t>commands</w:t>
      </w:r>
      <w:r>
        <w:rPr>
          <w:color w:val="231F20"/>
          <w:spacing w:val="30"/>
        </w:rPr>
        <w:t> </w:t>
      </w:r>
      <w:r>
        <w:rPr>
          <w:color w:val="231F20"/>
        </w:rPr>
        <w:t>or by an event processor like NetCool/OMNIbus. It should never be used for</w:t>
      </w:r>
      <w:r>
        <w:rPr>
          <w:color w:val="231F20"/>
          <w:spacing w:val="40"/>
        </w:rPr>
        <w:t> </w:t>
      </w:r>
      <w:r>
        <w:rPr>
          <w:color w:val="231F20"/>
        </w:rPr>
        <w:t>sampled situations. The underlying condition will continue to exist even though there is no indication. The event will open again only after the condition become false and then goes back to true. For sampled situations, there are three ways to close an event:</w:t>
      </w:r>
    </w:p>
    <w:p>
      <w:pPr>
        <w:pStyle w:val="BodyText"/>
        <w:spacing w:before="33"/>
        <w:ind w:left="955"/>
      </w:pPr>
      <w:r>
        <w:rPr>
          <w:rFonts w:ascii="Futura MdCn BT"/>
          <w:color w:val="231F20"/>
        </w:rPr>
        <w:t>v</w:t>
      </w:r>
      <w:r>
        <w:rPr>
          <w:rFonts w:ascii="Futura MdCn BT"/>
          <w:color w:val="231F20"/>
          <w:spacing w:val="33"/>
        </w:rPr>
        <w:t>  </w:t>
      </w:r>
      <w:r>
        <w:rPr>
          <w:color w:val="231F20"/>
        </w:rPr>
        <w:t>Resolve</w:t>
      </w:r>
      <w:r>
        <w:rPr>
          <w:color w:val="231F20"/>
          <w:spacing w:val="14"/>
        </w:rPr>
        <w:t> </w:t>
      </w:r>
      <w:r>
        <w:rPr>
          <w:color w:val="231F20"/>
        </w:rPr>
        <w:t>the</w:t>
      </w:r>
      <w:r>
        <w:rPr>
          <w:color w:val="231F20"/>
          <w:spacing w:val="13"/>
        </w:rPr>
        <w:t> </w:t>
      </w:r>
      <w:r>
        <w:rPr>
          <w:color w:val="231F20"/>
          <w:spacing w:val="-2"/>
        </w:rPr>
        <w:t>issue</w:t>
      </w:r>
    </w:p>
    <w:p>
      <w:pPr>
        <w:pStyle w:val="BodyText"/>
        <w:spacing w:before="29"/>
        <w:ind w:left="955"/>
      </w:pPr>
      <w:r>
        <w:rPr>
          <w:rFonts w:ascii="Futura MdCn BT"/>
          <w:color w:val="231F20"/>
        </w:rPr>
        <w:t>v</w:t>
      </w:r>
      <w:r>
        <w:rPr>
          <w:rFonts w:ascii="Futura MdCn BT"/>
          <w:color w:val="231F20"/>
          <w:spacing w:val="33"/>
        </w:rPr>
        <w:t>  </w:t>
      </w:r>
      <w:r>
        <w:rPr>
          <w:color w:val="231F20"/>
        </w:rPr>
        <w:t>Stop</w:t>
      </w:r>
      <w:r>
        <w:rPr>
          <w:color w:val="231F20"/>
          <w:spacing w:val="16"/>
        </w:rPr>
        <w:t> </w:t>
      </w:r>
      <w:r>
        <w:rPr>
          <w:color w:val="231F20"/>
        </w:rPr>
        <w:t>the</w:t>
      </w:r>
      <w:r>
        <w:rPr>
          <w:color w:val="231F20"/>
          <w:spacing w:val="14"/>
        </w:rPr>
        <w:t> </w:t>
      </w:r>
      <w:r>
        <w:rPr>
          <w:color w:val="231F20"/>
          <w:spacing w:val="-2"/>
        </w:rPr>
        <w:t>situation</w:t>
      </w:r>
    </w:p>
    <w:p>
      <w:pPr>
        <w:pStyle w:val="BodyText"/>
        <w:spacing w:before="30"/>
        <w:ind w:left="955"/>
      </w:pPr>
      <w:r>
        <w:rPr>
          <w:rFonts w:ascii="Futura MdCn BT"/>
          <w:color w:val="231F20"/>
        </w:rPr>
        <w:t>v</w:t>
      </w:r>
      <w:r>
        <w:rPr>
          <w:rFonts w:ascii="Futura MdCn BT"/>
          <w:color w:val="231F20"/>
          <w:spacing w:val="31"/>
        </w:rPr>
        <w:t>  </w:t>
      </w:r>
      <w:r>
        <w:rPr>
          <w:color w:val="231F20"/>
        </w:rPr>
        <w:t>Change</w:t>
      </w:r>
      <w:r>
        <w:rPr>
          <w:color w:val="231F20"/>
          <w:spacing w:val="14"/>
        </w:rPr>
        <w:t> </w:t>
      </w:r>
      <w:r>
        <w:rPr>
          <w:color w:val="231F20"/>
        </w:rPr>
        <w:t>the</w:t>
      </w:r>
      <w:r>
        <w:rPr>
          <w:color w:val="231F20"/>
          <w:spacing w:val="13"/>
        </w:rPr>
        <w:t> </w:t>
      </w:r>
      <w:r>
        <w:rPr>
          <w:color w:val="231F20"/>
        </w:rPr>
        <w:t>situation</w:t>
      </w:r>
      <w:r>
        <w:rPr>
          <w:color w:val="231F20"/>
          <w:spacing w:val="13"/>
        </w:rPr>
        <w:t> </w:t>
      </w:r>
      <w:r>
        <w:rPr>
          <w:color w:val="231F20"/>
          <w:spacing w:val="-2"/>
        </w:rPr>
        <w:t>distribution</w:t>
      </w:r>
    </w:p>
    <w:p>
      <w:pPr>
        <w:pStyle w:val="BodyText"/>
        <w:spacing w:line="211" w:lineRule="auto" w:before="119"/>
        <w:ind w:left="955" w:right="664"/>
      </w:pPr>
      <w:r>
        <w:rPr/>
        <w:drawing>
          <wp:inline distT="0" distB="0" distL="0" distR="0">
            <wp:extent cx="82550" cy="82550"/>
            <wp:effectExtent l="0" t="0" r="0" b="0"/>
            <wp:docPr id="2292" name="Image 2292"/>
            <wp:cNvGraphicFramePr>
              <a:graphicFrameLocks/>
            </wp:cNvGraphicFramePr>
            <a:graphic>
              <a:graphicData uri="http://schemas.openxmlformats.org/drawingml/2006/picture">
                <pic:pic>
                  <pic:nvPicPr>
                    <pic:cNvPr id="2292" name="Image 2292"/>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Another Situation is TRUE</w:t>
      </w:r>
      <w:r>
        <w:rPr>
          <w:color w:val="231F20"/>
        </w:rPr>
        <w:t>, when selected, closes the event for this situation when the selected situation is also true. The situations available are for the same monitored application that this situation is written for </w:t>
      </w:r>
      <w:r>
        <w:rPr>
          <w:color w:val="231F20"/>
        </w:rPr>
        <w:t>or that use the common attributes. The two events must have the same managed system names and Display Item if present in either situation.</w:t>
      </w:r>
    </w:p>
    <w:p>
      <w:pPr>
        <w:pStyle w:val="BodyText"/>
        <w:spacing w:line="213" w:lineRule="auto" w:before="3"/>
        <w:ind w:left="955" w:right="519"/>
      </w:pPr>
      <w:r>
        <w:rPr>
          <w:color w:val="231F20"/>
        </w:rPr>
        <w:t>For sampled situations, after an event is closed based on the Until setting,</w:t>
      </w:r>
      <w:r>
        <w:rPr>
          <w:color w:val="231F20"/>
          <w:spacing w:val="80"/>
        </w:rPr>
        <w:t> </w:t>
      </w:r>
      <w:r>
        <w:rPr>
          <w:color w:val="231F20"/>
        </w:rPr>
        <w:t>no further events are opened even if the situation continues to evaluate to true. The situation must evaluate to false, then true again before another event is opened. However, if the situation also has persistence set (click </w:t>
      </w:r>
      <w:r>
        <w:rPr>
          <w:rFonts w:ascii="Book Antiqua"/>
          <w:b/>
          <w:color w:val="231F20"/>
        </w:rPr>
        <w:t>Advanced </w:t>
      </w:r>
      <w:r>
        <w:rPr>
          <w:color w:val="231F20"/>
        </w:rPr>
        <w:t>in the Formula tab), and continues to be true after the event </w:t>
      </w:r>
      <w:r>
        <w:rPr>
          <w:color w:val="231F20"/>
        </w:rPr>
        <w:t>has</w:t>
      </w:r>
    </w:p>
    <w:p>
      <w:pPr>
        <w:spacing w:after="0" w:line="213" w:lineRule="auto"/>
        <w:sectPr>
          <w:pgSz w:w="12240" w:h="15840"/>
          <w:pgMar w:header="0" w:footer="736" w:top="1180" w:bottom="920" w:left="1000" w:right="1060"/>
          <w:cols w:num="2" w:equalWidth="0">
            <w:col w:w="1956" w:space="40"/>
            <w:col w:w="8184"/>
          </w:cols>
        </w:sectPr>
      </w:pPr>
    </w:p>
    <w:p>
      <w:pPr>
        <w:pStyle w:val="BodyText"/>
        <w:spacing w:line="213" w:lineRule="auto" w:before="85"/>
        <w:ind w:left="3190" w:right="545"/>
      </w:pPr>
      <w:bookmarkStart w:name="_bookmark193" w:id="411"/>
      <w:bookmarkEnd w:id="411"/>
      <w:r>
        <w:rPr/>
      </w:r>
      <w:r>
        <w:rPr>
          <w:color w:val="231F20"/>
        </w:rPr>
        <w:t>been closed, another event is opened when the persistence count </w:t>
      </w:r>
      <w:r>
        <w:rPr>
          <w:color w:val="231F20"/>
        </w:rPr>
        <w:t>has </w:t>
      </w:r>
      <w:r>
        <w:rPr>
          <w:color w:val="231F20"/>
          <w:spacing w:val="-2"/>
        </w:rPr>
        <w:t>passed.</w:t>
      </w:r>
    </w:p>
    <w:p>
      <w:pPr>
        <w:pStyle w:val="BodyText"/>
        <w:spacing w:line="213" w:lineRule="auto"/>
        <w:ind w:left="3190" w:right="385"/>
      </w:pPr>
      <w:r>
        <w:rPr>
          <w:color w:val="231F20"/>
        </w:rPr>
        <w:t>This option is designed for sampled events. It can work for pure events if they arrive slowly. Events arriving in sudden bursts can be reordered by</w:t>
      </w:r>
      <w:r>
        <w:rPr>
          <w:color w:val="231F20"/>
          <w:spacing w:val="80"/>
        </w:rPr>
        <w:t> </w:t>
      </w:r>
      <w:r>
        <w:rPr>
          <w:color w:val="231F20"/>
        </w:rPr>
        <w:t>the monitoring server. In some agents a burst of activity can lead to loss </w:t>
      </w:r>
      <w:r>
        <w:rPr>
          <w:color w:val="231F20"/>
        </w:rPr>
        <w:t>of events. Either of those two cases will result in processing failures. As a</w:t>
      </w:r>
      <w:r>
        <w:rPr>
          <w:color w:val="231F20"/>
          <w:spacing w:val="40"/>
        </w:rPr>
        <w:t> </w:t>
      </w:r>
      <w:r>
        <w:rPr>
          <w:color w:val="231F20"/>
        </w:rPr>
        <w:t>result any such usage must be tested extremely carefully.</w:t>
      </w:r>
    </w:p>
    <w:p>
      <w:pPr>
        <w:pStyle w:val="BodyText"/>
        <w:spacing w:before="2"/>
        <w:rPr>
          <w:sz w:val="16"/>
        </w:rPr>
      </w:pPr>
      <w:r>
        <w:rPr/>
        <mc:AlternateContent>
          <mc:Choice Requires="wps">
            <w:drawing>
              <wp:anchor distT="0" distB="0" distL="0" distR="0" allowOverlap="1" layoutInCell="1" locked="0" behindDoc="1" simplePos="0" relativeHeight="487725056">
                <wp:simplePos x="0" y="0"/>
                <wp:positionH relativeFrom="page">
                  <wp:posOffset>912380</wp:posOffset>
                </wp:positionH>
                <wp:positionV relativeFrom="paragraph">
                  <wp:posOffset>153641</wp:posOffset>
                </wp:positionV>
                <wp:extent cx="6082665" cy="1270"/>
                <wp:effectExtent l="0" t="0" r="0" b="0"/>
                <wp:wrapTopAndBottom/>
                <wp:docPr id="2293" name="Graphic 2293"/>
                <wp:cNvGraphicFramePr>
                  <a:graphicFrameLocks/>
                </wp:cNvGraphicFramePr>
                <a:graphic>
                  <a:graphicData uri="http://schemas.microsoft.com/office/word/2010/wordprocessingShape">
                    <wps:wsp>
                      <wps:cNvPr id="2293" name="Graphic 2293"/>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97755pt;width:478.95pt;height:.1pt;mso-position-horizontal-relative:page;mso-position-vertical-relative:paragraph;z-index:-15591424;mso-wrap-distance-left:0;mso-wrap-distance-right:0" id="docshape212" coordorigin="1437,242" coordsize="9579,0" path="m1437,242l11016,242e" filled="false" stroked="true" strokeweight=".499pt" strokecolor="#231f20">
                <v:path arrowok="t"/>
                <v:stroke dashstyle="solid"/>
                <w10:wrap type="topAndBottom"/>
              </v:shape>
            </w:pict>
          </mc:Fallback>
        </mc:AlternateContent>
      </w:r>
    </w:p>
    <w:p>
      <w:pPr>
        <w:pStyle w:val="Heading3"/>
      </w:pPr>
      <w:bookmarkStart w:name="Predefined situations" w:id="412"/>
      <w:bookmarkEnd w:id="412"/>
      <w:r>
        <w:rPr>
          <w:b w:val="0"/>
        </w:rPr>
      </w:r>
      <w:r>
        <w:rPr>
          <w:color w:val="231F20"/>
        </w:rPr>
        <w:t>Predefined </w:t>
      </w:r>
      <w:r>
        <w:rPr>
          <w:color w:val="231F20"/>
          <w:spacing w:val="-2"/>
        </w:rPr>
        <w:t>situations</w:t>
      </w:r>
    </w:p>
    <w:p>
      <w:pPr>
        <w:pStyle w:val="BodyText"/>
        <w:spacing w:line="213" w:lineRule="auto" w:before="138"/>
        <w:ind w:left="2472" w:right="545"/>
      </w:pPr>
      <w:r>
        <w:rPr>
          <w:color w:val="231F20"/>
        </w:rPr>
        <w:t>Tivoli Monitoring products have situations that are ready to use as soon as </w:t>
      </w:r>
      <w:r>
        <w:rPr>
          <w:color w:val="231F20"/>
        </w:rPr>
        <w:t>you start the portal client. Also provided are situations that can be applied to any managed system and situations for the monitoring server.</w:t>
      </w:r>
    </w:p>
    <w:p>
      <w:pPr>
        <w:pStyle w:val="BodyText"/>
        <w:spacing w:line="213" w:lineRule="auto" w:before="238"/>
        <w:ind w:left="2472" w:right="385"/>
      </w:pPr>
      <w:r>
        <w:rPr>
          <w:color w:val="231F20"/>
        </w:rPr>
        <w:t>Some predefined situations are already distributed and set to start automatically when the monitoring server is started. And some of those situations might not </w:t>
      </w:r>
      <w:r>
        <w:rPr>
          <w:color w:val="231F20"/>
        </w:rPr>
        <w:t>be associated with a Navigator item, which means an event is opened when the situation becomes true and an entry is written in the message log, but no event indicator appears in the Navigator. Other predefined situations might not be distributed or might not be set to run at startup.</w:t>
      </w:r>
    </w:p>
    <w:p>
      <w:pPr>
        <w:pStyle w:val="BodyText"/>
        <w:spacing w:line="213" w:lineRule="auto" w:before="235"/>
        <w:ind w:left="2472" w:right="258"/>
      </w:pPr>
      <w:r>
        <w:rPr>
          <w:color w:val="231F20"/>
        </w:rPr>
        <w:t>When setting up event monitoring, review the predefined situations and </w:t>
      </w:r>
      <w:r>
        <w:rPr>
          <w:color w:val="231F20"/>
        </w:rPr>
        <w:t>determine which ones you would like to have run automatically and whether any threshold values need to be changed. If the situation is not associated with a Navigator item and you want an event indicator to display there when an event is opened, set the</w:t>
      </w:r>
      <w:r>
        <w:rPr>
          <w:color w:val="231F20"/>
          <w:spacing w:val="40"/>
        </w:rPr>
        <w:t> </w:t>
      </w:r>
      <w:r>
        <w:rPr>
          <w:color w:val="231F20"/>
        </w:rPr>
        <w:t>alert state and, optionally, the sound to play.</w:t>
      </w:r>
    </w:p>
    <w:p>
      <w:pPr>
        <w:pStyle w:val="Heading3"/>
        <w:spacing w:before="215"/>
        <w:ind w:left="1574"/>
      </w:pPr>
      <w:bookmarkStart w:name="All Managed Systems situations" w:id="413"/>
      <w:bookmarkEnd w:id="413"/>
      <w:r>
        <w:rPr>
          <w:b w:val="0"/>
        </w:rPr>
      </w:r>
      <w:r>
        <w:rPr>
          <w:color w:val="231F20"/>
        </w:rPr>
        <w:t>All</w:t>
      </w:r>
      <w:r>
        <w:rPr>
          <w:color w:val="231F20"/>
          <w:spacing w:val="5"/>
        </w:rPr>
        <w:t> </w:t>
      </w:r>
      <w:r>
        <w:rPr>
          <w:color w:val="231F20"/>
        </w:rPr>
        <w:t>Managed</w:t>
      </w:r>
      <w:r>
        <w:rPr>
          <w:color w:val="231F20"/>
          <w:spacing w:val="6"/>
        </w:rPr>
        <w:t> </w:t>
      </w:r>
      <w:r>
        <w:rPr>
          <w:color w:val="231F20"/>
        </w:rPr>
        <w:t>Systems</w:t>
      </w:r>
      <w:r>
        <w:rPr>
          <w:color w:val="231F20"/>
          <w:spacing w:val="6"/>
        </w:rPr>
        <w:t> </w:t>
      </w:r>
      <w:r>
        <w:rPr>
          <w:color w:val="231F20"/>
          <w:spacing w:val="-2"/>
        </w:rPr>
        <w:t>situations</w:t>
      </w:r>
    </w:p>
    <w:p>
      <w:pPr>
        <w:pStyle w:val="BodyText"/>
        <w:spacing w:line="213" w:lineRule="auto" w:before="59"/>
        <w:ind w:left="2472" w:right="493"/>
      </w:pPr>
      <w:r>
        <w:rPr>
          <w:color w:val="231F20"/>
        </w:rPr>
        <w:t>No matter where you open the Situation editor from, the All Managed </w:t>
      </w:r>
      <w:r>
        <w:rPr>
          <w:color w:val="231F20"/>
        </w:rPr>
        <w:t>Systems situations are available. Except for the MS_Offline situation, which uses the Managed Systems attributes, these predefined situations use the Local Time </w:t>
      </w:r>
      <w:r>
        <w:rPr>
          <w:color w:val="231F20"/>
          <w:spacing w:val="-2"/>
        </w:rPr>
        <w:t>attributes.</w:t>
      </w:r>
    </w:p>
    <w:p>
      <w:pPr>
        <w:pStyle w:val="BodyText"/>
        <w:spacing w:line="213" w:lineRule="auto" w:before="236"/>
        <w:ind w:left="2472"/>
      </w:pPr>
      <w:r>
        <w:rPr>
          <w:color w:val="231F20"/>
        </w:rPr>
        <w:t>The default setting for these situations is to not </w:t>
      </w:r>
      <w:r>
        <w:rPr>
          <w:rFonts w:ascii="Book Antiqua"/>
          <w:b/>
          <w:color w:val="231F20"/>
        </w:rPr>
        <w:t>Run at startup</w:t>
      </w:r>
      <w:r>
        <w:rPr>
          <w:color w:val="231F20"/>
        </w:rPr>
        <w:t>. Distribute </w:t>
      </w:r>
      <w:r>
        <w:rPr>
          <w:color w:val="231F20"/>
        </w:rPr>
        <w:t>these situations to the managed systems you want to monitor.</w:t>
      </w:r>
    </w:p>
    <w:p>
      <w:pPr>
        <w:pStyle w:val="Heading6"/>
        <w:spacing w:before="118"/>
      </w:pPr>
      <w:r>
        <w:rPr>
          <w:color w:val="231F20"/>
          <w:spacing w:val="-2"/>
        </w:rPr>
        <w:t>Historical_Exports_Critical</w:t>
      </w:r>
    </w:p>
    <w:p>
      <w:pPr>
        <w:pStyle w:val="BodyText"/>
        <w:spacing w:line="213" w:lineRule="auto" w:before="11"/>
        <w:ind w:left="3190" w:right="258"/>
      </w:pPr>
      <w:r>
        <w:rPr>
          <w:color w:val="231F20"/>
        </w:rPr>
        <w:t>The upload interval from the managed system to the warehouse proxy is critical. When the queue reaches 100, the historical upload will take </w:t>
      </w:r>
      <w:r>
        <w:rPr>
          <w:color w:val="231F20"/>
        </w:rPr>
        <w:t>longer than its configured upload interval. The situation as it appears in </w:t>
      </w:r>
      <w:r>
        <w:rPr>
          <w:color w:val="231F20"/>
          <w:spacing w:val="15"/>
          <w:position w:val="-1"/>
        </w:rPr>
        <w:drawing>
          <wp:inline distT="0" distB="0" distL="0" distR="0">
            <wp:extent cx="101600" cy="101600"/>
            <wp:effectExtent l="0" t="0" r="0" b="0"/>
            <wp:docPr id="2294" name="Image 2294"/>
            <wp:cNvGraphicFramePr>
              <a:graphicFrameLocks/>
            </wp:cNvGraphicFramePr>
            <a:graphic>
              <a:graphicData uri="http://schemas.openxmlformats.org/drawingml/2006/picture">
                <pic:pic>
                  <pic:nvPicPr>
                    <pic:cNvPr id="2294" name="Image 2294"/>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Show Formula when Show detailed formula is selected:</w:t>
      </w:r>
    </w:p>
    <w:p>
      <w:pPr>
        <w:spacing w:before="60"/>
        <w:ind w:left="3190" w:right="0" w:firstLine="0"/>
        <w:jc w:val="left"/>
        <w:rPr>
          <w:rFonts w:ascii="Arial" w:hAnsi="Arial"/>
          <w:sz w:val="18"/>
        </w:rPr>
      </w:pPr>
      <w:r>
        <w:rPr>
          <w:rFonts w:ascii="Arial" w:hAnsi="Arial"/>
          <w:color w:val="231F20"/>
          <w:spacing w:val="-4"/>
          <w:sz w:val="18"/>
        </w:rPr>
        <w:t>(#’KRAHIST.EXPTINUSED’&gt;=95)</w:t>
      </w:r>
    </w:p>
    <w:p>
      <w:pPr>
        <w:pStyle w:val="Heading6"/>
        <w:spacing w:before="128"/>
      </w:pPr>
      <w:r>
        <w:rPr>
          <w:color w:val="231F20"/>
          <w:spacing w:val="-2"/>
        </w:rPr>
        <w:t>Historical_Exports_Failure</w:t>
      </w:r>
    </w:p>
    <w:p>
      <w:pPr>
        <w:pStyle w:val="BodyText"/>
        <w:spacing w:line="213" w:lineRule="auto" w:before="11"/>
        <w:ind w:left="3190" w:right="274"/>
      </w:pPr>
      <w:r>
        <w:rPr>
          <w:color w:val="231F20"/>
        </w:rPr>
        <w:t>The historical collection export failed. This is the Warehouse Proxy agent return code. A return code that is not a zero indicates failure. The situation as</w:t>
      </w:r>
      <w:r>
        <w:rPr>
          <w:color w:val="231F20"/>
          <w:spacing w:val="12"/>
        </w:rPr>
        <w:t> </w:t>
      </w:r>
      <w:r>
        <w:rPr>
          <w:color w:val="231F20"/>
        </w:rPr>
        <w:t>it</w:t>
      </w:r>
      <w:r>
        <w:rPr>
          <w:color w:val="231F20"/>
          <w:spacing w:val="12"/>
        </w:rPr>
        <w:t> </w:t>
      </w:r>
      <w:r>
        <w:rPr>
          <w:color w:val="231F20"/>
        </w:rPr>
        <w:t>appears</w:t>
      </w:r>
      <w:r>
        <w:rPr>
          <w:color w:val="231F20"/>
          <w:spacing w:val="12"/>
        </w:rPr>
        <w:t> </w:t>
      </w:r>
      <w:r>
        <w:rPr>
          <w:color w:val="231F20"/>
        </w:rPr>
        <w:t>in</w:t>
      </w:r>
      <w:r>
        <w:rPr>
          <w:color w:val="231F20"/>
          <w:spacing w:val="12"/>
        </w:rPr>
        <w:t> </w:t>
      </w:r>
      <w:r>
        <w:rPr>
          <w:color w:val="231F20"/>
          <w:spacing w:val="16"/>
          <w:position w:val="-1"/>
        </w:rPr>
        <w:drawing>
          <wp:inline distT="0" distB="0" distL="0" distR="0">
            <wp:extent cx="101600" cy="101600"/>
            <wp:effectExtent l="0" t="0" r="0" b="0"/>
            <wp:docPr id="2295" name="Image 2295"/>
            <wp:cNvGraphicFramePr>
              <a:graphicFrameLocks/>
            </wp:cNvGraphicFramePr>
            <a:graphic>
              <a:graphicData uri="http://schemas.openxmlformats.org/drawingml/2006/picture">
                <pic:pic>
                  <pic:nvPicPr>
                    <pic:cNvPr id="2295" name="Image 2295"/>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3"/>
        </w:rPr>
        <w:t> </w:t>
      </w:r>
      <w:r>
        <w:rPr>
          <w:color w:val="231F20"/>
        </w:rPr>
        <w:t>Show</w:t>
      </w:r>
      <w:r>
        <w:rPr>
          <w:color w:val="231F20"/>
          <w:spacing w:val="12"/>
        </w:rPr>
        <w:t> </w:t>
      </w:r>
      <w:r>
        <w:rPr>
          <w:color w:val="231F20"/>
        </w:rPr>
        <w:t>Formula</w:t>
      </w:r>
      <w:r>
        <w:rPr>
          <w:color w:val="231F20"/>
          <w:spacing w:val="12"/>
        </w:rPr>
        <w:t> </w:t>
      </w:r>
      <w:r>
        <w:rPr>
          <w:color w:val="231F20"/>
        </w:rPr>
        <w:t>when</w:t>
      </w:r>
      <w:r>
        <w:rPr>
          <w:color w:val="231F20"/>
          <w:spacing w:val="12"/>
        </w:rPr>
        <w:t> </w:t>
      </w:r>
      <w:r>
        <w:rPr>
          <w:color w:val="231F20"/>
        </w:rPr>
        <w:t>Show</w:t>
      </w:r>
      <w:r>
        <w:rPr>
          <w:color w:val="231F20"/>
          <w:spacing w:val="12"/>
        </w:rPr>
        <w:t> </w:t>
      </w:r>
      <w:r>
        <w:rPr>
          <w:color w:val="231F20"/>
        </w:rPr>
        <w:t>detailed</w:t>
      </w:r>
      <w:r>
        <w:rPr>
          <w:color w:val="231F20"/>
          <w:spacing w:val="12"/>
        </w:rPr>
        <w:t> </w:t>
      </w:r>
      <w:r>
        <w:rPr>
          <w:color w:val="231F20"/>
        </w:rPr>
        <w:t>formula</w:t>
      </w:r>
      <w:r>
        <w:rPr>
          <w:color w:val="231F20"/>
          <w:spacing w:val="12"/>
        </w:rPr>
        <w:t> </w:t>
      </w:r>
      <w:r>
        <w:rPr>
          <w:color w:val="231F20"/>
        </w:rPr>
        <w:t>is</w:t>
      </w:r>
      <w:r>
        <w:rPr>
          <w:color w:val="231F20"/>
          <w:spacing w:val="12"/>
        </w:rPr>
        <w:t> </w:t>
      </w:r>
      <w:r>
        <w:rPr>
          <w:color w:val="231F20"/>
          <w:spacing w:val="-2"/>
        </w:rPr>
        <w:t>selected:</w:t>
      </w:r>
    </w:p>
    <w:p>
      <w:pPr>
        <w:spacing w:before="61"/>
        <w:ind w:left="3190" w:right="0" w:firstLine="0"/>
        <w:jc w:val="left"/>
        <w:rPr>
          <w:rFonts w:ascii="Arial" w:hAnsi="Arial"/>
          <w:sz w:val="18"/>
        </w:rPr>
      </w:pPr>
      <w:r>
        <w:rPr>
          <w:rFonts w:ascii="Arial" w:hAnsi="Arial"/>
          <w:color w:val="231F20"/>
          <w:spacing w:val="-2"/>
          <w:sz w:val="18"/>
        </w:rPr>
        <w:t>(#’KRAHIST.LSTEXPSTAT’!=0)</w:t>
      </w:r>
    </w:p>
    <w:p>
      <w:pPr>
        <w:pStyle w:val="Heading6"/>
        <w:spacing w:before="128"/>
      </w:pPr>
      <w:r>
        <w:rPr>
          <w:color w:val="231F20"/>
          <w:spacing w:val="-2"/>
        </w:rPr>
        <w:t>Historical_Exports_Warning</w:t>
      </w:r>
    </w:p>
    <w:p>
      <w:pPr>
        <w:pStyle w:val="BodyText"/>
        <w:spacing w:line="213" w:lineRule="auto" w:before="12"/>
        <w:ind w:left="3190" w:right="202"/>
      </w:pPr>
      <w:r>
        <w:rPr>
          <w:color w:val="231F20"/>
        </w:rPr>
        <w:t>The upload interval from the managed system to the warehouse proxy is approaching critical levels. When the queue reaches 100, the historical upload</w:t>
      </w:r>
      <w:r>
        <w:rPr>
          <w:color w:val="231F20"/>
          <w:spacing w:val="24"/>
        </w:rPr>
        <w:t> </w:t>
      </w:r>
      <w:r>
        <w:rPr>
          <w:color w:val="231F20"/>
        </w:rPr>
        <w:t>will</w:t>
      </w:r>
      <w:r>
        <w:rPr>
          <w:color w:val="231F20"/>
          <w:spacing w:val="24"/>
        </w:rPr>
        <w:t> </w:t>
      </w:r>
      <w:r>
        <w:rPr>
          <w:color w:val="231F20"/>
        </w:rPr>
        <w:t>take</w:t>
      </w:r>
      <w:r>
        <w:rPr>
          <w:color w:val="231F20"/>
          <w:spacing w:val="24"/>
        </w:rPr>
        <w:t> </w:t>
      </w:r>
      <w:r>
        <w:rPr>
          <w:color w:val="231F20"/>
        </w:rPr>
        <w:t>longer</w:t>
      </w:r>
      <w:r>
        <w:rPr>
          <w:color w:val="231F20"/>
          <w:spacing w:val="24"/>
        </w:rPr>
        <w:t> </w:t>
      </w:r>
      <w:r>
        <w:rPr>
          <w:color w:val="231F20"/>
        </w:rPr>
        <w:t>than</w:t>
      </w:r>
      <w:r>
        <w:rPr>
          <w:color w:val="231F20"/>
          <w:spacing w:val="24"/>
        </w:rPr>
        <w:t> </w:t>
      </w:r>
      <w:r>
        <w:rPr>
          <w:color w:val="231F20"/>
        </w:rPr>
        <w:t>its</w:t>
      </w:r>
      <w:r>
        <w:rPr>
          <w:color w:val="231F20"/>
          <w:spacing w:val="24"/>
        </w:rPr>
        <w:t> </w:t>
      </w:r>
      <w:r>
        <w:rPr>
          <w:color w:val="231F20"/>
        </w:rPr>
        <w:t>configured</w:t>
      </w:r>
      <w:r>
        <w:rPr>
          <w:color w:val="231F20"/>
          <w:spacing w:val="24"/>
        </w:rPr>
        <w:t> </w:t>
      </w:r>
      <w:r>
        <w:rPr>
          <w:color w:val="231F20"/>
        </w:rPr>
        <w:t>upload</w:t>
      </w:r>
      <w:r>
        <w:rPr>
          <w:color w:val="231F20"/>
          <w:spacing w:val="24"/>
        </w:rPr>
        <w:t> </w:t>
      </w:r>
      <w:r>
        <w:rPr>
          <w:color w:val="231F20"/>
        </w:rPr>
        <w:t>interval.</w:t>
      </w:r>
      <w:r>
        <w:rPr>
          <w:color w:val="231F20"/>
          <w:spacing w:val="24"/>
        </w:rPr>
        <w:t> </w:t>
      </w:r>
      <w:r>
        <w:rPr>
          <w:color w:val="231F20"/>
        </w:rPr>
        <w:t>The</w:t>
      </w:r>
      <w:r>
        <w:rPr>
          <w:color w:val="231F20"/>
          <w:spacing w:val="24"/>
        </w:rPr>
        <w:t> </w:t>
      </w:r>
      <w:r>
        <w:rPr>
          <w:color w:val="231F20"/>
        </w:rPr>
        <w:t>situation as it appears in </w:t>
      </w:r>
      <w:r>
        <w:rPr>
          <w:color w:val="231F20"/>
          <w:spacing w:val="16"/>
          <w:position w:val="-1"/>
        </w:rPr>
        <w:drawing>
          <wp:inline distT="0" distB="0" distL="0" distR="0">
            <wp:extent cx="101600" cy="101600"/>
            <wp:effectExtent l="0" t="0" r="0" b="0"/>
            <wp:docPr id="2296" name="Image 2296"/>
            <wp:cNvGraphicFramePr>
              <a:graphicFrameLocks/>
            </wp:cNvGraphicFramePr>
            <a:graphic>
              <a:graphicData uri="http://schemas.openxmlformats.org/drawingml/2006/picture">
                <pic:pic>
                  <pic:nvPicPr>
                    <pic:cNvPr id="2296" name="Image 2296"/>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Show Formula when Show detailed formula is selected:</w:t>
      </w:r>
    </w:p>
    <w:p>
      <w:pPr>
        <w:spacing w:before="60"/>
        <w:ind w:left="3190" w:right="0" w:firstLine="0"/>
        <w:jc w:val="left"/>
        <w:rPr>
          <w:rFonts w:ascii="Arial" w:hAnsi="Arial"/>
          <w:sz w:val="18"/>
        </w:rPr>
      </w:pPr>
      <w:r>
        <w:rPr>
          <w:rFonts w:ascii="Arial" w:hAnsi="Arial"/>
          <w:color w:val="231F20"/>
          <w:w w:val="85"/>
          <w:sz w:val="18"/>
        </w:rPr>
        <w:t>(#’KRAHIST.EXPTINUSED’&gt;=70</w:t>
      </w:r>
      <w:r>
        <w:rPr>
          <w:rFonts w:ascii="Arial" w:hAnsi="Arial"/>
          <w:color w:val="231F20"/>
          <w:spacing w:val="49"/>
          <w:sz w:val="18"/>
        </w:rPr>
        <w:t> </w:t>
      </w:r>
      <w:r>
        <w:rPr>
          <w:rFonts w:ascii="Arial" w:hAnsi="Arial"/>
          <w:color w:val="231F20"/>
          <w:w w:val="85"/>
          <w:sz w:val="18"/>
        </w:rPr>
        <w:t>AND</w:t>
      </w:r>
      <w:r>
        <w:rPr>
          <w:rFonts w:ascii="Arial" w:hAnsi="Arial"/>
          <w:color w:val="231F20"/>
          <w:spacing w:val="50"/>
          <w:sz w:val="18"/>
        </w:rPr>
        <w:t> </w:t>
      </w:r>
      <w:r>
        <w:rPr>
          <w:rFonts w:ascii="Arial" w:hAnsi="Arial"/>
          <w:color w:val="231F20"/>
          <w:spacing w:val="-2"/>
          <w:w w:val="85"/>
          <w:sz w:val="18"/>
        </w:rPr>
        <w:t>#’KRAHIST.EXPTINUSED’&lt;=95)</w:t>
      </w:r>
    </w:p>
    <w:p>
      <w:pPr>
        <w:spacing w:after="0"/>
        <w:jc w:val="left"/>
        <w:rPr>
          <w:rFonts w:ascii="Arial" w:hAnsi="Arial"/>
          <w:sz w:val="18"/>
        </w:rPr>
        <w:sectPr>
          <w:pgSz w:w="12240" w:h="15840"/>
          <w:pgMar w:header="0" w:footer="736" w:top="1180" w:bottom="920" w:left="1000" w:right="1060"/>
        </w:sectPr>
      </w:pPr>
    </w:p>
    <w:p>
      <w:pPr>
        <w:pStyle w:val="Heading6"/>
        <w:spacing w:before="83"/>
        <w:ind w:left="2232"/>
      </w:pPr>
      <w:bookmarkStart w:name="_bookmark194" w:id="414"/>
      <w:bookmarkEnd w:id="414"/>
      <w:r>
        <w:rPr>
          <w:b w:val="0"/>
        </w:rPr>
      </w:r>
      <w:r>
        <w:rPr>
          <w:color w:val="231F20"/>
          <w:spacing w:val="-2"/>
        </w:rPr>
        <w:t>Historical_RowsCorrupted</w:t>
      </w:r>
    </w:p>
    <w:p>
      <w:pPr>
        <w:pStyle w:val="BodyText"/>
        <w:spacing w:line="213" w:lineRule="auto" w:before="12"/>
        <w:ind w:left="2951" w:right="545"/>
      </w:pPr>
      <w:r>
        <w:rPr>
          <w:color w:val="231F20"/>
        </w:rPr>
        <w:t>Errors were found in the short term history files. The corruption has been corrected, but the corrupted rows could not be exported to the warehouse proxy. The situation as it appears in </w:t>
      </w:r>
      <w:r>
        <w:rPr>
          <w:color w:val="231F20"/>
          <w:spacing w:val="15"/>
          <w:position w:val="-1"/>
        </w:rPr>
        <w:drawing>
          <wp:inline distT="0" distB="0" distL="0" distR="0">
            <wp:extent cx="101600" cy="101600"/>
            <wp:effectExtent l="0" t="0" r="0" b="0"/>
            <wp:docPr id="2297" name="Image 2297"/>
            <wp:cNvGraphicFramePr>
              <a:graphicFrameLocks/>
            </wp:cNvGraphicFramePr>
            <a:graphic>
              <a:graphicData uri="http://schemas.openxmlformats.org/drawingml/2006/picture">
                <pic:pic>
                  <pic:nvPicPr>
                    <pic:cNvPr id="2297" name="Image 2297"/>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Show Formula when Show detailed formula is selected:</w:t>
      </w:r>
    </w:p>
    <w:p>
      <w:pPr>
        <w:spacing w:before="60"/>
        <w:ind w:left="2951" w:right="0" w:firstLine="0"/>
        <w:jc w:val="left"/>
        <w:rPr>
          <w:rFonts w:ascii="Arial" w:hAnsi="Arial"/>
          <w:sz w:val="18"/>
        </w:rPr>
      </w:pPr>
      <w:r>
        <w:rPr>
          <w:rFonts w:ascii="Arial" w:hAnsi="Arial"/>
          <w:color w:val="231F20"/>
          <w:w w:val="80"/>
          <w:sz w:val="18"/>
        </w:rPr>
        <w:t>(#’KRAHIST.ROWSERRORS’</w:t>
      </w:r>
      <w:r>
        <w:rPr>
          <w:rFonts w:ascii="Arial" w:hAnsi="Arial"/>
          <w:color w:val="231F20"/>
          <w:spacing w:val="65"/>
          <w:sz w:val="18"/>
        </w:rPr>
        <w:t> </w:t>
      </w:r>
      <w:r>
        <w:rPr>
          <w:rFonts w:ascii="Arial" w:hAnsi="Arial"/>
          <w:color w:val="231F20"/>
          <w:w w:val="80"/>
          <w:sz w:val="18"/>
        </w:rPr>
        <w:t>&gt;</w:t>
      </w:r>
      <w:r>
        <w:rPr>
          <w:rFonts w:ascii="Arial" w:hAnsi="Arial"/>
          <w:color w:val="231F20"/>
          <w:spacing w:val="66"/>
          <w:sz w:val="18"/>
        </w:rPr>
        <w:t> </w:t>
      </w:r>
      <w:r>
        <w:rPr>
          <w:rFonts w:ascii="Arial" w:hAnsi="Arial"/>
          <w:color w:val="231F20"/>
          <w:spacing w:val="-5"/>
          <w:w w:val="80"/>
          <w:sz w:val="18"/>
        </w:rPr>
        <w:t>0)</w:t>
      </w:r>
    </w:p>
    <w:p>
      <w:pPr>
        <w:pStyle w:val="Heading6"/>
        <w:spacing w:before="128"/>
        <w:ind w:left="2232"/>
      </w:pPr>
      <w:r>
        <w:rPr>
          <w:color w:val="231F20"/>
          <w:spacing w:val="-2"/>
        </w:rPr>
        <w:t>MS_Offline</w:t>
      </w:r>
    </w:p>
    <w:p>
      <w:pPr>
        <w:pStyle w:val="BodyText"/>
        <w:spacing w:line="213" w:lineRule="auto" w:before="11"/>
        <w:ind w:left="2951" w:right="511"/>
      </w:pPr>
      <w:r>
        <w:rPr>
          <w:color w:val="231F20"/>
        </w:rPr>
        <w:t>The</w:t>
      </w:r>
      <w:r>
        <w:rPr>
          <w:color w:val="231F20"/>
          <w:spacing w:val="29"/>
        </w:rPr>
        <w:t> </w:t>
      </w:r>
      <w:r>
        <w:rPr>
          <w:color w:val="231F20"/>
        </w:rPr>
        <w:t>managed</w:t>
      </w:r>
      <w:r>
        <w:rPr>
          <w:color w:val="231F20"/>
          <w:spacing w:val="29"/>
        </w:rPr>
        <w:t> </w:t>
      </w:r>
      <w:r>
        <w:rPr>
          <w:color w:val="231F20"/>
        </w:rPr>
        <w:t>system</w:t>
      </w:r>
      <w:r>
        <w:rPr>
          <w:color w:val="231F20"/>
          <w:spacing w:val="29"/>
        </w:rPr>
        <w:t> </w:t>
      </w:r>
      <w:r>
        <w:rPr>
          <w:color w:val="231F20"/>
        </w:rPr>
        <w:t>offline</w:t>
      </w:r>
      <w:r>
        <w:rPr>
          <w:color w:val="231F20"/>
          <w:spacing w:val="29"/>
        </w:rPr>
        <w:t> </w:t>
      </w:r>
      <w:r>
        <w:rPr>
          <w:color w:val="231F20"/>
        </w:rPr>
        <w:t>situation</w:t>
      </w:r>
      <w:r>
        <w:rPr>
          <w:color w:val="231F20"/>
          <w:spacing w:val="29"/>
        </w:rPr>
        <w:t> </w:t>
      </w:r>
      <w:r>
        <w:rPr>
          <w:color w:val="231F20"/>
        </w:rPr>
        <w:t>opens</w:t>
      </w:r>
      <w:r>
        <w:rPr>
          <w:color w:val="231F20"/>
          <w:spacing w:val="29"/>
        </w:rPr>
        <w:t> </w:t>
      </w:r>
      <w:r>
        <w:rPr>
          <w:color w:val="231F20"/>
        </w:rPr>
        <w:t>an</w:t>
      </w:r>
      <w:r>
        <w:rPr>
          <w:color w:val="231F20"/>
          <w:spacing w:val="29"/>
        </w:rPr>
        <w:t> </w:t>
      </w:r>
      <w:r>
        <w:rPr>
          <w:color w:val="231F20"/>
        </w:rPr>
        <w:t>event</w:t>
      </w:r>
      <w:r>
        <w:rPr>
          <w:color w:val="231F20"/>
          <w:spacing w:val="29"/>
        </w:rPr>
        <w:t> </w:t>
      </w:r>
      <w:r>
        <w:rPr>
          <w:color w:val="231F20"/>
        </w:rPr>
        <w:t>if</w:t>
      </w:r>
      <w:r>
        <w:rPr>
          <w:color w:val="231F20"/>
          <w:spacing w:val="29"/>
        </w:rPr>
        <w:t> </w:t>
      </w:r>
      <w:r>
        <w:rPr>
          <w:color w:val="231F20"/>
        </w:rPr>
        <w:t>one</w:t>
      </w:r>
      <w:r>
        <w:rPr>
          <w:color w:val="231F20"/>
          <w:spacing w:val="29"/>
        </w:rPr>
        <w:t> </w:t>
      </w:r>
      <w:r>
        <w:rPr>
          <w:color w:val="231F20"/>
        </w:rPr>
        <w:t>of</w:t>
      </w:r>
      <w:r>
        <w:rPr>
          <w:color w:val="231F20"/>
          <w:spacing w:val="29"/>
        </w:rPr>
        <w:t> </w:t>
      </w:r>
      <w:r>
        <w:rPr>
          <w:color w:val="231F20"/>
        </w:rPr>
        <w:t>the managed systems gets disconnected or goes offline for some reason. It </w:t>
      </w:r>
      <w:r>
        <w:rPr>
          <w:color w:val="231F20"/>
        </w:rPr>
        <w:t>runs at one-minute intervals. When this situation is associated with the</w:t>
      </w:r>
      <w:r>
        <w:rPr>
          <w:color w:val="231F20"/>
          <w:spacing w:val="80"/>
        </w:rPr>
        <w:t> </w:t>
      </w:r>
      <w:r>
        <w:rPr>
          <w:color w:val="231F20"/>
        </w:rPr>
        <w:t>Enterprise item, any managed system in the network that goes offline will cause</w:t>
      </w:r>
      <w:r>
        <w:rPr>
          <w:color w:val="231F20"/>
          <w:spacing w:val="26"/>
        </w:rPr>
        <w:t> </w:t>
      </w:r>
      <w:r>
        <w:rPr>
          <w:color w:val="231F20"/>
        </w:rPr>
        <w:t>an</w:t>
      </w:r>
      <w:r>
        <w:rPr>
          <w:color w:val="231F20"/>
          <w:spacing w:val="26"/>
        </w:rPr>
        <w:t> </w:t>
      </w:r>
      <w:r>
        <w:rPr>
          <w:color w:val="231F20"/>
        </w:rPr>
        <w:t>event</w:t>
      </w:r>
      <w:r>
        <w:rPr>
          <w:color w:val="231F20"/>
          <w:spacing w:val="26"/>
        </w:rPr>
        <w:t> </w:t>
      </w:r>
      <w:r>
        <w:rPr>
          <w:color w:val="231F20"/>
        </w:rPr>
        <w:t>to</w:t>
      </w:r>
      <w:r>
        <w:rPr>
          <w:color w:val="231F20"/>
          <w:spacing w:val="26"/>
        </w:rPr>
        <w:t> </w:t>
      </w:r>
      <w:r>
        <w:rPr>
          <w:color w:val="231F20"/>
        </w:rPr>
        <w:t>open.</w:t>
      </w:r>
      <w:r>
        <w:rPr>
          <w:color w:val="231F20"/>
          <w:spacing w:val="26"/>
        </w:rPr>
        <w:t> </w:t>
      </w:r>
      <w:r>
        <w:rPr>
          <w:color w:val="231F20"/>
        </w:rPr>
        <w:t>The</w:t>
      </w:r>
      <w:r>
        <w:rPr>
          <w:color w:val="231F20"/>
          <w:spacing w:val="26"/>
        </w:rPr>
        <w:t> </w:t>
      </w:r>
      <w:r>
        <w:rPr>
          <w:color w:val="231F20"/>
        </w:rPr>
        <w:t>situation</w:t>
      </w:r>
      <w:r>
        <w:rPr>
          <w:color w:val="231F20"/>
          <w:spacing w:val="26"/>
        </w:rPr>
        <w:t> </w:t>
      </w:r>
      <w:r>
        <w:rPr>
          <w:color w:val="231F20"/>
        </w:rPr>
        <w:t>as</w:t>
      </w:r>
      <w:r>
        <w:rPr>
          <w:color w:val="231F20"/>
          <w:spacing w:val="26"/>
        </w:rPr>
        <w:t> </w:t>
      </w:r>
      <w:r>
        <w:rPr>
          <w:color w:val="231F20"/>
        </w:rPr>
        <w:t>it</w:t>
      </w:r>
      <w:r>
        <w:rPr>
          <w:color w:val="231F20"/>
          <w:spacing w:val="26"/>
        </w:rPr>
        <w:t> </w:t>
      </w:r>
      <w:r>
        <w:rPr>
          <w:color w:val="231F20"/>
        </w:rPr>
        <w:t>appears</w:t>
      </w:r>
      <w:r>
        <w:rPr>
          <w:color w:val="231F20"/>
          <w:spacing w:val="26"/>
        </w:rPr>
        <w:t> </w:t>
      </w:r>
      <w:r>
        <w:rPr>
          <w:color w:val="231F20"/>
        </w:rPr>
        <w:t>in </w:t>
      </w:r>
      <w:r>
        <w:rPr>
          <w:color w:val="231F20"/>
          <w:spacing w:val="15"/>
          <w:position w:val="-1"/>
        </w:rPr>
        <w:drawing>
          <wp:inline distT="0" distB="0" distL="0" distR="0">
            <wp:extent cx="101600" cy="101600"/>
            <wp:effectExtent l="0" t="0" r="0" b="0"/>
            <wp:docPr id="2298" name="Image 2298"/>
            <wp:cNvGraphicFramePr>
              <a:graphicFrameLocks/>
            </wp:cNvGraphicFramePr>
            <a:graphic>
              <a:graphicData uri="http://schemas.openxmlformats.org/drawingml/2006/picture">
                <pic:pic>
                  <pic:nvPicPr>
                    <pic:cNvPr id="2298" name="Image 2298"/>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Show</w:t>
      </w:r>
      <w:r>
        <w:rPr>
          <w:color w:val="231F20"/>
          <w:spacing w:val="26"/>
        </w:rPr>
        <w:t> </w:t>
      </w:r>
      <w:r>
        <w:rPr>
          <w:color w:val="231F20"/>
        </w:rPr>
        <w:t>Formula:</w:t>
      </w:r>
    </w:p>
    <w:p>
      <w:pPr>
        <w:spacing w:before="60"/>
        <w:ind w:left="2951" w:right="0" w:firstLine="0"/>
        <w:jc w:val="left"/>
        <w:rPr>
          <w:rFonts w:ascii="Arial" w:hAnsi="Arial"/>
          <w:sz w:val="18"/>
        </w:rPr>
      </w:pP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Status</w:t>
      </w:r>
      <w:r>
        <w:rPr>
          <w:rFonts w:ascii="Arial" w:hAnsi="Arial"/>
          <w:color w:val="231F20"/>
          <w:spacing w:val="8"/>
          <w:sz w:val="18"/>
        </w:rPr>
        <w:t> </w:t>
      </w:r>
      <w:r>
        <w:rPr>
          <w:rFonts w:ascii="Arial" w:hAnsi="Arial"/>
          <w:color w:val="231F20"/>
          <w:spacing w:val="-2"/>
          <w:sz w:val="18"/>
        </w:rPr>
        <w:t>==</w:t>
      </w:r>
      <w:r>
        <w:rPr>
          <w:rFonts w:ascii="Arial" w:hAnsi="Arial"/>
          <w:color w:val="231F20"/>
          <w:spacing w:val="9"/>
          <w:sz w:val="18"/>
        </w:rPr>
        <w:t> </w:t>
      </w:r>
      <w:r>
        <w:rPr>
          <w:rFonts w:ascii="Arial" w:hAnsi="Arial"/>
          <w:color w:val="231F20"/>
          <w:spacing w:val="-2"/>
          <w:sz w:val="18"/>
        </w:rPr>
        <w:t>*OFFLINE</w:t>
      </w:r>
      <w:r>
        <w:rPr>
          <w:rFonts w:ascii="Arial" w:hAnsi="Arial"/>
          <w:color w:val="231F20"/>
          <w:spacing w:val="8"/>
          <w:sz w:val="18"/>
        </w:rPr>
        <w:t> </w:t>
      </w:r>
      <w:r>
        <w:rPr>
          <w:rFonts w:ascii="Arial" w:hAnsi="Arial"/>
          <w:color w:val="231F20"/>
          <w:spacing w:val="-2"/>
          <w:sz w:val="18"/>
        </w:rPr>
        <w:t>AND</w:t>
      </w:r>
      <w:r>
        <w:rPr>
          <w:rFonts w:ascii="Arial" w:hAnsi="Arial"/>
          <w:color w:val="231F20"/>
          <w:spacing w:val="8"/>
          <w:sz w:val="18"/>
        </w:rPr>
        <w:t> </w:t>
      </w:r>
      <w:r>
        <w:rPr>
          <w:rFonts w:ascii="Arial" w:hAnsi="Arial"/>
          <w:color w:val="231F20"/>
          <w:spacing w:val="-2"/>
          <w:sz w:val="18"/>
        </w:rPr>
        <w:t>Reason</w:t>
      </w:r>
      <w:r>
        <w:rPr>
          <w:rFonts w:ascii="Arial" w:hAnsi="Arial"/>
          <w:color w:val="231F20"/>
          <w:spacing w:val="9"/>
          <w:sz w:val="18"/>
        </w:rPr>
        <w:t> </w:t>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’FA’)</w:t>
      </w:r>
    </w:p>
    <w:p>
      <w:pPr>
        <w:pStyle w:val="BodyText"/>
        <w:spacing w:before="42"/>
        <w:rPr>
          <w:rFonts w:ascii="Arial"/>
          <w:sz w:val="18"/>
        </w:rPr>
      </w:pPr>
    </w:p>
    <w:p>
      <w:pPr>
        <w:pStyle w:val="BodyText"/>
        <w:spacing w:line="213" w:lineRule="auto"/>
        <w:ind w:left="2951" w:right="545"/>
      </w:pPr>
      <w:r>
        <w:rPr>
          <w:color w:val="231F20"/>
        </w:rPr>
        <w:t>If an event is opened for this situation, it means the agent is not </w:t>
      </w:r>
      <w:r>
        <w:rPr>
          <w:color w:val="231F20"/>
        </w:rPr>
        <w:t>connected</w:t>
      </w:r>
      <w:r>
        <w:rPr>
          <w:color w:val="231F20"/>
          <w:spacing w:val="40"/>
        </w:rPr>
        <w:t> </w:t>
      </w:r>
      <w:r>
        <w:rPr>
          <w:color w:val="231F20"/>
        </w:rPr>
        <w:t>to</w:t>
      </w:r>
      <w:r>
        <w:rPr>
          <w:color w:val="231F20"/>
          <w:spacing w:val="24"/>
        </w:rPr>
        <w:t> </w:t>
      </w:r>
      <w:r>
        <w:rPr>
          <w:color w:val="231F20"/>
        </w:rPr>
        <w:t>its</w:t>
      </w:r>
      <w:r>
        <w:rPr>
          <w:color w:val="231F20"/>
          <w:spacing w:val="24"/>
        </w:rPr>
        <w:t> </w:t>
      </w:r>
      <w:r>
        <w:rPr>
          <w:color w:val="231F20"/>
        </w:rPr>
        <w:t>monitoring</w:t>
      </w:r>
      <w:r>
        <w:rPr>
          <w:color w:val="231F20"/>
          <w:spacing w:val="24"/>
        </w:rPr>
        <w:t> </w:t>
      </w:r>
      <w:r>
        <w:rPr>
          <w:color w:val="231F20"/>
        </w:rPr>
        <w:t>server,</w:t>
      </w:r>
      <w:r>
        <w:rPr>
          <w:color w:val="231F20"/>
          <w:spacing w:val="24"/>
        </w:rPr>
        <w:t> </w:t>
      </w:r>
      <w:r>
        <w:rPr>
          <w:color w:val="231F20"/>
        </w:rPr>
        <w:t>has</w:t>
      </w:r>
      <w:r>
        <w:rPr>
          <w:color w:val="231F20"/>
          <w:spacing w:val="24"/>
        </w:rPr>
        <w:t> </w:t>
      </w:r>
      <w:r>
        <w:rPr>
          <w:color w:val="231F20"/>
        </w:rPr>
        <w:t>stopped</w:t>
      </w:r>
      <w:r>
        <w:rPr>
          <w:color w:val="231F20"/>
          <w:spacing w:val="24"/>
        </w:rPr>
        <w:t> </w:t>
      </w:r>
      <w:r>
        <w:rPr>
          <w:color w:val="231F20"/>
        </w:rPr>
        <w:t>running,</w:t>
      </w:r>
      <w:r>
        <w:rPr>
          <w:color w:val="231F20"/>
          <w:spacing w:val="24"/>
        </w:rPr>
        <w:t> </w:t>
      </w:r>
      <w:r>
        <w:rPr>
          <w:color w:val="231F20"/>
        </w:rPr>
        <w:t>or</w:t>
      </w:r>
      <w:r>
        <w:rPr>
          <w:color w:val="231F20"/>
          <w:spacing w:val="24"/>
        </w:rPr>
        <w:t> </w:t>
      </w:r>
      <w:r>
        <w:rPr>
          <w:color w:val="231F20"/>
        </w:rPr>
        <w:t>is</w:t>
      </w:r>
      <w:r>
        <w:rPr>
          <w:color w:val="231F20"/>
          <w:spacing w:val="24"/>
        </w:rPr>
        <w:t> </w:t>
      </w:r>
      <w:r>
        <w:rPr>
          <w:color w:val="231F20"/>
        </w:rPr>
        <w:t>in</w:t>
      </w:r>
      <w:r>
        <w:rPr>
          <w:color w:val="231F20"/>
          <w:spacing w:val="24"/>
        </w:rPr>
        <w:t> </w:t>
      </w:r>
      <w:r>
        <w:rPr>
          <w:color w:val="231F20"/>
        </w:rPr>
        <w:t>error.</w:t>
      </w:r>
      <w:r>
        <w:rPr>
          <w:color w:val="231F20"/>
          <w:spacing w:val="24"/>
        </w:rPr>
        <w:t> </w:t>
      </w:r>
      <w:r>
        <w:rPr>
          <w:color w:val="231F20"/>
        </w:rPr>
        <w:t>If</w:t>
      </w:r>
      <w:r>
        <w:rPr>
          <w:color w:val="231F20"/>
          <w:spacing w:val="24"/>
        </w:rPr>
        <w:t> </w:t>
      </w:r>
      <w:r>
        <w:rPr>
          <w:color w:val="231F20"/>
        </w:rPr>
        <w:t>all</w:t>
      </w:r>
      <w:r>
        <w:rPr>
          <w:color w:val="231F20"/>
          <w:spacing w:val="24"/>
        </w:rPr>
        <w:t> </w:t>
      </w:r>
      <w:r>
        <w:rPr>
          <w:color w:val="231F20"/>
        </w:rPr>
        <w:t>the agents connected to the same monitoring server are offline, it is likely that the server is offline and not the agent.</w:t>
      </w:r>
    </w:p>
    <w:p>
      <w:pPr>
        <w:pStyle w:val="Heading6"/>
        <w:spacing w:before="116"/>
        <w:ind w:left="2232"/>
      </w:pPr>
      <w:r>
        <w:rPr>
          <w:color w:val="231F20"/>
          <w:spacing w:val="-2"/>
        </w:rPr>
        <w:t>NonPrimeShift</w:t>
      </w:r>
    </w:p>
    <w:p>
      <w:pPr>
        <w:pStyle w:val="BodyText"/>
        <w:spacing w:line="213" w:lineRule="auto" w:before="11"/>
        <w:ind w:left="2951" w:right="700"/>
      </w:pPr>
      <w:r>
        <w:rPr>
          <w:color w:val="231F20"/>
        </w:rPr>
        <w:t>NonPrimeShift checks for times after 5 PM and before 8 AM from Mondays to Fridays. This situation is useful for embedding in a </w:t>
      </w:r>
      <w:r>
        <w:rPr>
          <w:color w:val="231F20"/>
        </w:rPr>
        <w:t>situation or policy that you want an event opened for only outside the prime shift hours. The situation as it appears in </w:t>
      </w:r>
      <w:r>
        <w:rPr>
          <w:color w:val="231F20"/>
          <w:spacing w:val="15"/>
          <w:position w:val="-1"/>
        </w:rPr>
        <w:drawing>
          <wp:inline distT="0" distB="0" distL="0" distR="0">
            <wp:extent cx="101600" cy="101600"/>
            <wp:effectExtent l="0" t="0" r="0" b="0"/>
            <wp:docPr id="2299" name="Image 2299"/>
            <wp:cNvGraphicFramePr>
              <a:graphicFrameLocks/>
            </wp:cNvGraphicFramePr>
            <a:graphic>
              <a:graphicData uri="http://schemas.openxmlformats.org/drawingml/2006/picture">
                <pic:pic>
                  <pic:nvPicPr>
                    <pic:cNvPr id="2299" name="Image 2299"/>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Show Formula:</w:t>
      </w:r>
    </w:p>
    <w:p>
      <w:pPr>
        <w:spacing w:line="230" w:lineRule="auto" w:before="67"/>
        <w:ind w:left="2951" w:right="1104" w:firstLine="0"/>
        <w:jc w:val="left"/>
        <w:rPr>
          <w:rFonts w:ascii="Arial"/>
          <w:sz w:val="18"/>
        </w:rPr>
      </w:pPr>
      <w:r>
        <w:rPr>
          <w:rFonts w:ascii="Arial"/>
          <w:color w:val="231F20"/>
          <w:w w:val="90"/>
          <w:sz w:val="18"/>
        </w:rPr>
        <w:t>(Day</w:t>
      </w:r>
      <w:r>
        <w:rPr>
          <w:rFonts w:ascii="Arial"/>
          <w:color w:val="231F20"/>
          <w:spacing w:val="22"/>
          <w:sz w:val="18"/>
        </w:rPr>
        <w:t> </w:t>
      </w:r>
      <w:r>
        <w:rPr>
          <w:rFonts w:ascii="Arial"/>
          <w:color w:val="231F20"/>
          <w:w w:val="90"/>
          <w:sz w:val="18"/>
        </w:rPr>
        <w:t>Of</w:t>
      </w:r>
      <w:r>
        <w:rPr>
          <w:rFonts w:ascii="Arial"/>
          <w:color w:val="231F20"/>
          <w:spacing w:val="22"/>
          <w:sz w:val="18"/>
        </w:rPr>
        <w:t> </w:t>
      </w:r>
      <w:r>
        <w:rPr>
          <w:rFonts w:ascii="Arial"/>
          <w:color w:val="231F20"/>
          <w:w w:val="90"/>
          <w:sz w:val="18"/>
        </w:rPr>
        <w:t>Week</w:t>
      </w:r>
      <w:r>
        <w:rPr>
          <w:rFonts w:ascii="Arial"/>
          <w:color w:val="231F20"/>
          <w:spacing w:val="22"/>
          <w:sz w:val="18"/>
        </w:rPr>
        <w:t> </w:t>
      </w:r>
      <w:r>
        <w:rPr>
          <w:rFonts w:ascii="Arial"/>
          <w:color w:val="231F20"/>
          <w:w w:val="90"/>
          <w:sz w:val="18"/>
        </w:rPr>
        <w:t>&gt;=</w:t>
      </w:r>
      <w:r>
        <w:rPr>
          <w:rFonts w:ascii="Arial"/>
          <w:color w:val="231F20"/>
          <w:spacing w:val="22"/>
          <w:sz w:val="18"/>
        </w:rPr>
        <w:t> </w:t>
      </w:r>
      <w:r>
        <w:rPr>
          <w:rFonts w:ascii="Arial"/>
          <w:color w:val="231F20"/>
          <w:w w:val="90"/>
          <w:sz w:val="18"/>
        </w:rPr>
        <w:t>Monday</w:t>
      </w:r>
      <w:r>
        <w:rPr>
          <w:rFonts w:ascii="Arial"/>
          <w:color w:val="231F20"/>
          <w:spacing w:val="22"/>
          <w:sz w:val="18"/>
        </w:rPr>
        <w:t> </w:t>
      </w:r>
      <w:r>
        <w:rPr>
          <w:rFonts w:ascii="Arial"/>
          <w:color w:val="231F20"/>
          <w:w w:val="90"/>
          <w:sz w:val="18"/>
        </w:rPr>
        <w:t>AND</w:t>
      </w:r>
      <w:r>
        <w:rPr>
          <w:rFonts w:ascii="Arial"/>
          <w:color w:val="231F20"/>
          <w:spacing w:val="22"/>
          <w:sz w:val="18"/>
        </w:rPr>
        <w:t> </w:t>
      </w:r>
      <w:r>
        <w:rPr>
          <w:rFonts w:ascii="Arial"/>
          <w:color w:val="231F20"/>
          <w:w w:val="90"/>
          <w:sz w:val="18"/>
        </w:rPr>
        <w:t>Day</w:t>
      </w:r>
      <w:r>
        <w:rPr>
          <w:rFonts w:ascii="Arial"/>
          <w:color w:val="231F20"/>
          <w:spacing w:val="22"/>
          <w:sz w:val="18"/>
        </w:rPr>
        <w:t> </w:t>
      </w:r>
      <w:r>
        <w:rPr>
          <w:rFonts w:ascii="Arial"/>
          <w:color w:val="231F20"/>
          <w:w w:val="90"/>
          <w:sz w:val="18"/>
        </w:rPr>
        <w:t>Of</w:t>
      </w:r>
      <w:r>
        <w:rPr>
          <w:rFonts w:ascii="Arial"/>
          <w:color w:val="231F20"/>
          <w:spacing w:val="22"/>
          <w:sz w:val="18"/>
        </w:rPr>
        <w:t> </w:t>
      </w:r>
      <w:r>
        <w:rPr>
          <w:rFonts w:ascii="Arial"/>
          <w:color w:val="231F20"/>
          <w:w w:val="90"/>
          <w:sz w:val="18"/>
        </w:rPr>
        <w:t>Week</w:t>
      </w:r>
      <w:r>
        <w:rPr>
          <w:rFonts w:ascii="Arial"/>
          <w:color w:val="231F20"/>
          <w:spacing w:val="22"/>
          <w:sz w:val="18"/>
        </w:rPr>
        <w:t> </w:t>
      </w:r>
      <w:r>
        <w:rPr>
          <w:rFonts w:ascii="Arial"/>
          <w:color w:val="231F20"/>
          <w:w w:val="90"/>
          <w:sz w:val="18"/>
        </w:rPr>
        <w:t>&lt;=</w:t>
      </w:r>
      <w:r>
        <w:rPr>
          <w:rFonts w:ascii="Arial"/>
          <w:color w:val="231F20"/>
          <w:spacing w:val="22"/>
          <w:sz w:val="18"/>
        </w:rPr>
        <w:t> </w:t>
      </w:r>
      <w:r>
        <w:rPr>
          <w:rFonts w:ascii="Arial"/>
          <w:color w:val="231F20"/>
          <w:w w:val="90"/>
          <w:sz w:val="18"/>
        </w:rPr>
        <w:t>Friday</w:t>
      </w:r>
      <w:r>
        <w:rPr>
          <w:rFonts w:ascii="Arial"/>
          <w:color w:val="231F20"/>
          <w:spacing w:val="22"/>
          <w:sz w:val="18"/>
        </w:rPr>
        <w:t> </w:t>
      </w:r>
      <w:r>
        <w:rPr>
          <w:rFonts w:ascii="Arial"/>
          <w:color w:val="231F20"/>
          <w:w w:val="90"/>
          <w:sz w:val="18"/>
        </w:rPr>
        <w:t>AND</w:t>
      </w:r>
      <w:r>
        <w:rPr>
          <w:rFonts w:ascii="Arial"/>
          <w:color w:val="231F20"/>
          <w:spacing w:val="22"/>
          <w:sz w:val="18"/>
        </w:rPr>
        <w:t> </w:t>
      </w:r>
      <w:r>
        <w:rPr>
          <w:rFonts w:ascii="Arial"/>
          <w:color w:val="231F20"/>
          <w:w w:val="90"/>
          <w:sz w:val="18"/>
        </w:rPr>
        <w:t>Hours</w:t>
      </w:r>
      <w:r>
        <w:rPr>
          <w:rFonts w:ascii="Arial"/>
          <w:color w:val="231F20"/>
          <w:spacing w:val="22"/>
          <w:sz w:val="18"/>
        </w:rPr>
        <w:t> </w:t>
      </w:r>
      <w:r>
        <w:rPr>
          <w:rFonts w:ascii="Arial"/>
          <w:color w:val="231F20"/>
          <w:w w:val="90"/>
          <w:sz w:val="18"/>
        </w:rPr>
        <w:t>&lt;</w:t>
      </w:r>
      <w:r>
        <w:rPr>
          <w:rFonts w:ascii="Arial"/>
          <w:color w:val="231F20"/>
          <w:spacing w:val="22"/>
          <w:sz w:val="18"/>
        </w:rPr>
        <w:t> </w:t>
      </w:r>
      <w:r>
        <w:rPr>
          <w:rFonts w:ascii="Arial"/>
          <w:color w:val="231F20"/>
          <w:w w:val="90"/>
          <w:sz w:val="18"/>
        </w:rPr>
        <w:t>08)</w:t>
      </w:r>
      <w:r>
        <w:rPr>
          <w:rFonts w:ascii="Arial"/>
          <w:color w:val="231F20"/>
          <w:spacing w:val="22"/>
          <w:sz w:val="18"/>
        </w:rPr>
        <w:t> </w:t>
      </w:r>
      <w:r>
        <w:rPr>
          <w:rFonts w:ascii="Arial"/>
          <w:color w:val="231F20"/>
          <w:w w:val="90"/>
          <w:sz w:val="18"/>
        </w:rPr>
        <w:t>OR </w:t>
      </w:r>
      <w:r>
        <w:rPr>
          <w:rFonts w:ascii="Arial"/>
          <w:color w:val="231F20"/>
          <w:sz w:val="18"/>
        </w:rPr>
        <w:t>(Day</w:t>
      </w:r>
      <w:r>
        <w:rPr>
          <w:rFonts w:ascii="Arial"/>
          <w:color w:val="231F20"/>
          <w:spacing w:val="7"/>
          <w:sz w:val="18"/>
        </w:rPr>
        <w:t> </w:t>
      </w:r>
      <w:r>
        <w:rPr>
          <w:rFonts w:ascii="Arial"/>
          <w:color w:val="231F20"/>
          <w:sz w:val="18"/>
        </w:rPr>
        <w:t>Of</w:t>
      </w:r>
      <w:r>
        <w:rPr>
          <w:rFonts w:ascii="Arial"/>
          <w:color w:val="231F20"/>
          <w:spacing w:val="8"/>
          <w:sz w:val="18"/>
        </w:rPr>
        <w:t> </w:t>
      </w:r>
      <w:r>
        <w:rPr>
          <w:rFonts w:ascii="Arial"/>
          <w:color w:val="231F20"/>
          <w:w w:val="95"/>
          <w:sz w:val="18"/>
        </w:rPr>
        <w:t>Week</w:t>
      </w:r>
      <w:r>
        <w:rPr>
          <w:rFonts w:ascii="Arial"/>
          <w:color w:val="231F20"/>
          <w:spacing w:val="8"/>
          <w:sz w:val="18"/>
        </w:rPr>
        <w:t> </w:t>
      </w:r>
      <w:r>
        <w:rPr>
          <w:rFonts w:ascii="Arial"/>
          <w:color w:val="231F20"/>
          <w:sz w:val="18"/>
        </w:rPr>
        <w:t>&gt;=</w:t>
      </w:r>
      <w:r>
        <w:rPr>
          <w:rFonts w:ascii="Arial"/>
          <w:color w:val="231F20"/>
          <w:spacing w:val="8"/>
          <w:sz w:val="18"/>
        </w:rPr>
        <w:t> </w:t>
      </w:r>
      <w:r>
        <w:rPr>
          <w:rFonts w:ascii="Arial"/>
          <w:color w:val="231F20"/>
          <w:sz w:val="18"/>
        </w:rPr>
        <w:t>Monday</w:t>
      </w:r>
      <w:r>
        <w:rPr>
          <w:rFonts w:ascii="Arial"/>
          <w:color w:val="231F20"/>
          <w:spacing w:val="8"/>
          <w:sz w:val="18"/>
        </w:rPr>
        <w:t> </w:t>
      </w:r>
      <w:r>
        <w:rPr>
          <w:rFonts w:ascii="Arial"/>
          <w:color w:val="231F20"/>
          <w:w w:val="95"/>
          <w:sz w:val="18"/>
        </w:rPr>
        <w:t>AND</w:t>
      </w:r>
      <w:r>
        <w:rPr>
          <w:rFonts w:ascii="Arial"/>
          <w:color w:val="231F20"/>
          <w:spacing w:val="8"/>
          <w:sz w:val="18"/>
        </w:rPr>
        <w:t> </w:t>
      </w:r>
      <w:r>
        <w:rPr>
          <w:rFonts w:ascii="Arial"/>
          <w:color w:val="231F20"/>
          <w:sz w:val="18"/>
        </w:rPr>
        <w:t>Day</w:t>
      </w:r>
      <w:r>
        <w:rPr>
          <w:rFonts w:ascii="Arial"/>
          <w:color w:val="231F20"/>
          <w:spacing w:val="7"/>
          <w:sz w:val="18"/>
        </w:rPr>
        <w:t> </w:t>
      </w:r>
      <w:r>
        <w:rPr>
          <w:rFonts w:ascii="Arial"/>
          <w:color w:val="231F20"/>
          <w:sz w:val="18"/>
        </w:rPr>
        <w:t>Of</w:t>
      </w:r>
      <w:r>
        <w:rPr>
          <w:rFonts w:ascii="Arial"/>
          <w:color w:val="231F20"/>
          <w:spacing w:val="8"/>
          <w:sz w:val="18"/>
        </w:rPr>
        <w:t> </w:t>
      </w:r>
      <w:r>
        <w:rPr>
          <w:rFonts w:ascii="Arial"/>
          <w:color w:val="231F20"/>
          <w:w w:val="95"/>
          <w:sz w:val="18"/>
        </w:rPr>
        <w:t>Week</w:t>
      </w:r>
      <w:r>
        <w:rPr>
          <w:rFonts w:ascii="Arial"/>
          <w:color w:val="231F20"/>
          <w:spacing w:val="8"/>
          <w:sz w:val="18"/>
        </w:rPr>
        <w:t> </w:t>
      </w:r>
      <w:r>
        <w:rPr>
          <w:rFonts w:ascii="Arial"/>
          <w:color w:val="231F20"/>
          <w:sz w:val="18"/>
        </w:rPr>
        <w:t>&lt;=</w:t>
      </w:r>
      <w:r>
        <w:rPr>
          <w:rFonts w:ascii="Arial"/>
          <w:color w:val="231F20"/>
          <w:spacing w:val="8"/>
          <w:sz w:val="18"/>
        </w:rPr>
        <w:t> </w:t>
      </w:r>
      <w:r>
        <w:rPr>
          <w:rFonts w:ascii="Arial"/>
          <w:color w:val="231F20"/>
          <w:sz w:val="18"/>
        </w:rPr>
        <w:t>Friday</w:t>
      </w:r>
      <w:r>
        <w:rPr>
          <w:rFonts w:ascii="Arial"/>
          <w:color w:val="231F20"/>
          <w:spacing w:val="8"/>
          <w:sz w:val="18"/>
        </w:rPr>
        <w:t> </w:t>
      </w:r>
      <w:r>
        <w:rPr>
          <w:rFonts w:ascii="Arial"/>
          <w:color w:val="231F20"/>
          <w:w w:val="95"/>
          <w:sz w:val="18"/>
        </w:rPr>
        <w:t>AND</w:t>
      </w:r>
      <w:r>
        <w:rPr>
          <w:rFonts w:ascii="Arial"/>
          <w:color w:val="231F20"/>
          <w:spacing w:val="8"/>
          <w:sz w:val="18"/>
        </w:rPr>
        <w:t> </w:t>
      </w:r>
      <w:r>
        <w:rPr>
          <w:rFonts w:ascii="Arial"/>
          <w:color w:val="231F20"/>
          <w:sz w:val="18"/>
        </w:rPr>
        <w:t>Hours</w:t>
      </w:r>
      <w:r>
        <w:rPr>
          <w:rFonts w:ascii="Arial"/>
          <w:color w:val="231F20"/>
          <w:spacing w:val="8"/>
          <w:sz w:val="18"/>
        </w:rPr>
        <w:t> </w:t>
      </w:r>
      <w:r>
        <w:rPr>
          <w:rFonts w:ascii="Arial"/>
          <w:color w:val="231F20"/>
          <w:sz w:val="18"/>
        </w:rPr>
        <w:t>&gt;=</w:t>
      </w:r>
      <w:r>
        <w:rPr>
          <w:rFonts w:ascii="Arial"/>
          <w:color w:val="231F20"/>
          <w:spacing w:val="7"/>
          <w:sz w:val="18"/>
        </w:rPr>
        <w:t> </w:t>
      </w:r>
      <w:r>
        <w:rPr>
          <w:rFonts w:ascii="Arial"/>
          <w:color w:val="231F20"/>
          <w:sz w:val="18"/>
        </w:rPr>
        <w:t>17)</w:t>
      </w:r>
    </w:p>
    <w:p>
      <w:pPr>
        <w:pStyle w:val="Heading6"/>
        <w:spacing w:before="130"/>
        <w:ind w:left="2232"/>
      </w:pPr>
      <w:r>
        <w:rPr>
          <w:color w:val="231F20"/>
          <w:spacing w:val="-2"/>
        </w:rPr>
        <w:t>PrimeShift</w:t>
      </w:r>
    </w:p>
    <w:p>
      <w:pPr>
        <w:pStyle w:val="BodyText"/>
        <w:spacing w:line="213" w:lineRule="auto" w:before="12"/>
        <w:ind w:left="2951" w:right="545"/>
      </w:pPr>
      <w:r>
        <w:rPr>
          <w:color w:val="231F20"/>
        </w:rPr>
        <w:t>This</w:t>
      </w:r>
      <w:r>
        <w:rPr>
          <w:color w:val="231F20"/>
          <w:spacing w:val="28"/>
        </w:rPr>
        <w:t> </w:t>
      </w:r>
      <w:r>
        <w:rPr>
          <w:color w:val="231F20"/>
        </w:rPr>
        <w:t>situation</w:t>
      </w:r>
      <w:r>
        <w:rPr>
          <w:color w:val="231F20"/>
          <w:spacing w:val="28"/>
        </w:rPr>
        <w:t> </w:t>
      </w:r>
      <w:r>
        <w:rPr>
          <w:color w:val="231F20"/>
        </w:rPr>
        <w:t>is</w:t>
      </w:r>
      <w:r>
        <w:rPr>
          <w:color w:val="231F20"/>
          <w:spacing w:val="28"/>
        </w:rPr>
        <w:t> </w:t>
      </w:r>
      <w:r>
        <w:rPr>
          <w:color w:val="231F20"/>
        </w:rPr>
        <w:t>useful</w:t>
      </w:r>
      <w:r>
        <w:rPr>
          <w:color w:val="231F20"/>
          <w:spacing w:val="28"/>
        </w:rPr>
        <w:t> </w:t>
      </w:r>
      <w:r>
        <w:rPr>
          <w:color w:val="231F20"/>
        </w:rPr>
        <w:t>for</w:t>
      </w:r>
      <w:r>
        <w:rPr>
          <w:color w:val="231F20"/>
          <w:spacing w:val="28"/>
        </w:rPr>
        <w:t> </w:t>
      </w:r>
      <w:r>
        <w:rPr>
          <w:color w:val="231F20"/>
        </w:rPr>
        <w:t>embedding</w:t>
      </w:r>
      <w:r>
        <w:rPr>
          <w:color w:val="231F20"/>
          <w:spacing w:val="28"/>
        </w:rPr>
        <w:t> </w:t>
      </w:r>
      <w:r>
        <w:rPr>
          <w:color w:val="231F20"/>
        </w:rPr>
        <w:t>in</w:t>
      </w:r>
      <w:r>
        <w:rPr>
          <w:color w:val="231F20"/>
          <w:spacing w:val="28"/>
        </w:rPr>
        <w:t> </w:t>
      </w:r>
      <w:r>
        <w:rPr>
          <w:color w:val="231F20"/>
        </w:rPr>
        <w:t>a</w:t>
      </w:r>
      <w:r>
        <w:rPr>
          <w:color w:val="231F20"/>
          <w:spacing w:val="28"/>
        </w:rPr>
        <w:t> </w:t>
      </w:r>
      <w:r>
        <w:rPr>
          <w:color w:val="231F20"/>
        </w:rPr>
        <w:t>situation</w:t>
      </w:r>
      <w:r>
        <w:rPr>
          <w:color w:val="231F20"/>
          <w:spacing w:val="28"/>
        </w:rPr>
        <w:t> </w:t>
      </w:r>
      <w:r>
        <w:rPr>
          <w:color w:val="231F20"/>
        </w:rPr>
        <w:t>or</w:t>
      </w:r>
      <w:r>
        <w:rPr>
          <w:color w:val="231F20"/>
          <w:spacing w:val="28"/>
        </w:rPr>
        <w:t> </w:t>
      </w:r>
      <w:r>
        <w:rPr>
          <w:color w:val="231F20"/>
        </w:rPr>
        <w:t>policy</w:t>
      </w:r>
      <w:r>
        <w:rPr>
          <w:color w:val="231F20"/>
          <w:spacing w:val="28"/>
        </w:rPr>
        <w:t> </w:t>
      </w:r>
      <w:r>
        <w:rPr>
          <w:color w:val="231F20"/>
        </w:rPr>
        <w:t>that</w:t>
      </w:r>
      <w:r>
        <w:rPr>
          <w:color w:val="231F20"/>
          <w:spacing w:val="28"/>
        </w:rPr>
        <w:t> </w:t>
      </w:r>
      <w:r>
        <w:rPr>
          <w:color w:val="231F20"/>
        </w:rPr>
        <w:t>you want an event opened for only outside the prime shift hours. The </w:t>
      </w:r>
      <w:r>
        <w:rPr>
          <w:color w:val="231F20"/>
        </w:rPr>
        <w:t>situation as it appears in </w:t>
      </w:r>
      <w:r>
        <w:rPr>
          <w:color w:val="231F20"/>
          <w:spacing w:val="16"/>
          <w:position w:val="-1"/>
        </w:rPr>
        <w:drawing>
          <wp:inline distT="0" distB="0" distL="0" distR="0">
            <wp:extent cx="101600" cy="101600"/>
            <wp:effectExtent l="0" t="0" r="0" b="0"/>
            <wp:docPr id="2300" name="Image 2300"/>
            <wp:cNvGraphicFramePr>
              <a:graphicFrameLocks/>
            </wp:cNvGraphicFramePr>
            <a:graphic>
              <a:graphicData uri="http://schemas.openxmlformats.org/drawingml/2006/picture">
                <pic:pic>
                  <pic:nvPicPr>
                    <pic:cNvPr id="2300" name="Image 2300"/>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1"/>
        <w:ind w:left="2951" w:right="0" w:firstLine="0"/>
        <w:jc w:val="left"/>
        <w:rPr>
          <w:rFonts w:ascii="Arial" w:hAnsi="Arial"/>
          <w:sz w:val="18"/>
        </w:rPr>
      </w:pP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Status</w:t>
      </w:r>
      <w:r>
        <w:rPr>
          <w:rFonts w:ascii="Arial" w:hAnsi="Arial"/>
          <w:color w:val="231F20"/>
          <w:spacing w:val="8"/>
          <w:sz w:val="18"/>
        </w:rPr>
        <w:t> </w:t>
      </w:r>
      <w:r>
        <w:rPr>
          <w:rFonts w:ascii="Arial" w:hAnsi="Arial"/>
          <w:color w:val="231F20"/>
          <w:spacing w:val="-2"/>
          <w:sz w:val="18"/>
        </w:rPr>
        <w:t>==</w:t>
      </w:r>
      <w:r>
        <w:rPr>
          <w:rFonts w:ascii="Arial" w:hAnsi="Arial"/>
          <w:color w:val="231F20"/>
          <w:spacing w:val="9"/>
          <w:sz w:val="18"/>
        </w:rPr>
        <w:t> </w:t>
      </w:r>
      <w:r>
        <w:rPr>
          <w:rFonts w:ascii="Arial" w:hAnsi="Arial"/>
          <w:color w:val="231F20"/>
          <w:spacing w:val="-2"/>
          <w:sz w:val="18"/>
        </w:rPr>
        <w:t>*OFFLINE</w:t>
      </w:r>
      <w:r>
        <w:rPr>
          <w:rFonts w:ascii="Arial" w:hAnsi="Arial"/>
          <w:color w:val="231F20"/>
          <w:spacing w:val="8"/>
          <w:sz w:val="18"/>
        </w:rPr>
        <w:t> </w:t>
      </w:r>
      <w:r>
        <w:rPr>
          <w:rFonts w:ascii="Arial" w:hAnsi="Arial"/>
          <w:color w:val="231F20"/>
          <w:spacing w:val="-2"/>
          <w:sz w:val="18"/>
        </w:rPr>
        <w:t>AND</w:t>
      </w:r>
      <w:r>
        <w:rPr>
          <w:rFonts w:ascii="Arial" w:hAnsi="Arial"/>
          <w:color w:val="231F20"/>
          <w:spacing w:val="8"/>
          <w:sz w:val="18"/>
        </w:rPr>
        <w:t> </w:t>
      </w:r>
      <w:r>
        <w:rPr>
          <w:rFonts w:ascii="Arial" w:hAnsi="Arial"/>
          <w:color w:val="231F20"/>
          <w:spacing w:val="-2"/>
          <w:sz w:val="18"/>
        </w:rPr>
        <w:t>Reason</w:t>
      </w:r>
      <w:r>
        <w:rPr>
          <w:rFonts w:ascii="Arial" w:hAnsi="Arial"/>
          <w:color w:val="231F20"/>
          <w:spacing w:val="9"/>
          <w:sz w:val="18"/>
        </w:rPr>
        <w:t> </w:t>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’FA’)</w:t>
      </w:r>
    </w:p>
    <w:p>
      <w:pPr>
        <w:pStyle w:val="Heading6"/>
        <w:spacing w:before="128"/>
        <w:ind w:left="2232"/>
      </w:pPr>
      <w:r>
        <w:rPr>
          <w:color w:val="231F20"/>
          <w:spacing w:val="-2"/>
        </w:rPr>
        <w:t>QOMEGAMON_ONLINE</w:t>
      </w:r>
    </w:p>
    <w:p>
      <w:pPr>
        <w:pStyle w:val="BodyText"/>
        <w:spacing w:line="258" w:lineRule="exact"/>
        <w:ind w:left="2951"/>
      </w:pPr>
      <w:r>
        <w:rPr>
          <w:color w:val="231F20"/>
        </w:rPr>
        <w:t>The</w:t>
      </w:r>
      <w:r>
        <w:rPr>
          <w:color w:val="231F20"/>
          <w:spacing w:val="12"/>
        </w:rPr>
        <w:t> </w:t>
      </w:r>
      <w:r>
        <w:rPr>
          <w:color w:val="231F20"/>
        </w:rPr>
        <w:t>situation</w:t>
      </w:r>
      <w:r>
        <w:rPr>
          <w:color w:val="231F20"/>
          <w:spacing w:val="13"/>
        </w:rPr>
        <w:t> </w:t>
      </w:r>
      <w:r>
        <w:rPr>
          <w:color w:val="231F20"/>
        </w:rPr>
        <w:t>as</w:t>
      </w:r>
      <w:r>
        <w:rPr>
          <w:color w:val="231F20"/>
          <w:spacing w:val="13"/>
        </w:rPr>
        <w:t> </w:t>
      </w:r>
      <w:r>
        <w:rPr>
          <w:color w:val="231F20"/>
        </w:rPr>
        <w:t>it</w:t>
      </w:r>
      <w:r>
        <w:rPr>
          <w:color w:val="231F20"/>
          <w:spacing w:val="12"/>
        </w:rPr>
        <w:t> </w:t>
      </w:r>
      <w:r>
        <w:rPr>
          <w:color w:val="231F20"/>
        </w:rPr>
        <w:t>appears</w:t>
      </w:r>
      <w:r>
        <w:rPr>
          <w:color w:val="231F20"/>
          <w:spacing w:val="13"/>
        </w:rPr>
        <w:t> </w:t>
      </w:r>
      <w:r>
        <w:rPr>
          <w:color w:val="231F20"/>
        </w:rPr>
        <w:t>in</w:t>
      </w:r>
      <w:r>
        <w:rPr>
          <w:color w:val="231F20"/>
          <w:spacing w:val="12"/>
        </w:rPr>
        <w:t> </w:t>
      </w:r>
      <w:r>
        <w:rPr>
          <w:color w:val="231F20"/>
          <w:spacing w:val="15"/>
          <w:position w:val="-1"/>
        </w:rPr>
        <w:drawing>
          <wp:inline distT="0" distB="0" distL="0" distR="0">
            <wp:extent cx="101600" cy="101600"/>
            <wp:effectExtent l="0" t="0" r="0" b="0"/>
            <wp:docPr id="2301" name="Image 2301"/>
            <wp:cNvGraphicFramePr>
              <a:graphicFrameLocks/>
            </wp:cNvGraphicFramePr>
            <a:graphic>
              <a:graphicData uri="http://schemas.openxmlformats.org/drawingml/2006/picture">
                <pic:pic>
                  <pic:nvPicPr>
                    <pic:cNvPr id="2301" name="Image 2301"/>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5"/>
        </w:rPr>
        <w:t> </w:t>
      </w:r>
      <w:r>
        <w:rPr>
          <w:color w:val="231F20"/>
        </w:rPr>
        <w:t>Show</w:t>
      </w:r>
      <w:r>
        <w:rPr>
          <w:color w:val="231F20"/>
          <w:spacing w:val="13"/>
        </w:rPr>
        <w:t> </w:t>
      </w:r>
      <w:r>
        <w:rPr>
          <w:color w:val="231F20"/>
          <w:spacing w:val="-2"/>
        </w:rPr>
        <w:t>Formula:</w:t>
      </w:r>
    </w:p>
    <w:p>
      <w:pPr>
        <w:spacing w:before="55"/>
        <w:ind w:left="2951" w:right="0" w:firstLine="0"/>
        <w:jc w:val="left"/>
        <w:rPr>
          <w:rFonts w:ascii="Arial" w:hAnsi="Arial"/>
          <w:sz w:val="18"/>
        </w:rPr>
      </w:pP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Status</w:t>
      </w:r>
      <w:r>
        <w:rPr>
          <w:rFonts w:ascii="Arial" w:hAnsi="Arial"/>
          <w:color w:val="231F20"/>
          <w:spacing w:val="8"/>
          <w:sz w:val="18"/>
        </w:rPr>
        <w:t> </w:t>
      </w:r>
      <w:r>
        <w:rPr>
          <w:rFonts w:ascii="Arial" w:hAnsi="Arial"/>
          <w:color w:val="231F20"/>
          <w:spacing w:val="-2"/>
          <w:sz w:val="18"/>
        </w:rPr>
        <w:t>==</w:t>
      </w:r>
      <w:r>
        <w:rPr>
          <w:rFonts w:ascii="Arial" w:hAnsi="Arial"/>
          <w:color w:val="231F20"/>
          <w:spacing w:val="9"/>
          <w:sz w:val="18"/>
        </w:rPr>
        <w:t> </w:t>
      </w:r>
      <w:r>
        <w:rPr>
          <w:rFonts w:ascii="Arial" w:hAnsi="Arial"/>
          <w:color w:val="231F20"/>
          <w:spacing w:val="-2"/>
          <w:sz w:val="18"/>
        </w:rPr>
        <w:t>*OFFLINE</w:t>
      </w:r>
      <w:r>
        <w:rPr>
          <w:rFonts w:ascii="Arial" w:hAnsi="Arial"/>
          <w:color w:val="231F20"/>
          <w:spacing w:val="8"/>
          <w:sz w:val="18"/>
        </w:rPr>
        <w:t> </w:t>
      </w:r>
      <w:r>
        <w:rPr>
          <w:rFonts w:ascii="Arial" w:hAnsi="Arial"/>
          <w:color w:val="231F20"/>
          <w:spacing w:val="-2"/>
          <w:sz w:val="18"/>
        </w:rPr>
        <w:t>AND</w:t>
      </w:r>
      <w:r>
        <w:rPr>
          <w:rFonts w:ascii="Arial" w:hAnsi="Arial"/>
          <w:color w:val="231F20"/>
          <w:spacing w:val="8"/>
          <w:sz w:val="18"/>
        </w:rPr>
        <w:t> </w:t>
      </w:r>
      <w:r>
        <w:rPr>
          <w:rFonts w:ascii="Arial" w:hAnsi="Arial"/>
          <w:color w:val="231F20"/>
          <w:spacing w:val="-2"/>
          <w:sz w:val="18"/>
        </w:rPr>
        <w:t>Reason</w:t>
      </w:r>
      <w:r>
        <w:rPr>
          <w:rFonts w:ascii="Arial" w:hAnsi="Arial"/>
          <w:color w:val="231F20"/>
          <w:spacing w:val="9"/>
          <w:sz w:val="18"/>
        </w:rPr>
        <w:t> </w:t>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’FA’)</w:t>
      </w:r>
    </w:p>
    <w:p>
      <w:pPr>
        <w:pStyle w:val="Heading6"/>
        <w:spacing w:before="128"/>
        <w:ind w:left="2232"/>
      </w:pPr>
      <w:r>
        <w:rPr>
          <w:color w:val="231F20"/>
          <w:spacing w:val="-2"/>
        </w:rPr>
        <w:t>Weekday</w:t>
      </w:r>
    </w:p>
    <w:p>
      <w:pPr>
        <w:pStyle w:val="BodyText"/>
        <w:spacing w:line="213" w:lineRule="auto" w:before="12"/>
        <w:ind w:left="2951" w:right="545"/>
      </w:pPr>
      <w:r>
        <w:rPr>
          <w:color w:val="231F20"/>
        </w:rPr>
        <w:t>This</w:t>
      </w:r>
      <w:r>
        <w:rPr>
          <w:color w:val="231F20"/>
          <w:spacing w:val="28"/>
        </w:rPr>
        <w:t> </w:t>
      </w:r>
      <w:r>
        <w:rPr>
          <w:color w:val="231F20"/>
        </w:rPr>
        <w:t>situation</w:t>
      </w:r>
      <w:r>
        <w:rPr>
          <w:color w:val="231F20"/>
          <w:spacing w:val="28"/>
        </w:rPr>
        <w:t> </w:t>
      </w:r>
      <w:r>
        <w:rPr>
          <w:color w:val="231F20"/>
        </w:rPr>
        <w:t>is</w:t>
      </w:r>
      <w:r>
        <w:rPr>
          <w:color w:val="231F20"/>
          <w:spacing w:val="28"/>
        </w:rPr>
        <w:t> </w:t>
      </w:r>
      <w:r>
        <w:rPr>
          <w:color w:val="231F20"/>
        </w:rPr>
        <w:t>useful</w:t>
      </w:r>
      <w:r>
        <w:rPr>
          <w:color w:val="231F20"/>
          <w:spacing w:val="28"/>
        </w:rPr>
        <w:t> </w:t>
      </w:r>
      <w:r>
        <w:rPr>
          <w:color w:val="231F20"/>
        </w:rPr>
        <w:t>for</w:t>
      </w:r>
      <w:r>
        <w:rPr>
          <w:color w:val="231F20"/>
          <w:spacing w:val="28"/>
        </w:rPr>
        <w:t> </w:t>
      </w:r>
      <w:r>
        <w:rPr>
          <w:color w:val="231F20"/>
        </w:rPr>
        <w:t>embedding</w:t>
      </w:r>
      <w:r>
        <w:rPr>
          <w:color w:val="231F20"/>
          <w:spacing w:val="28"/>
        </w:rPr>
        <w:t> </w:t>
      </w:r>
      <w:r>
        <w:rPr>
          <w:color w:val="231F20"/>
        </w:rPr>
        <w:t>in</w:t>
      </w:r>
      <w:r>
        <w:rPr>
          <w:color w:val="231F20"/>
          <w:spacing w:val="28"/>
        </w:rPr>
        <w:t> </w:t>
      </w:r>
      <w:r>
        <w:rPr>
          <w:color w:val="231F20"/>
        </w:rPr>
        <w:t>a</w:t>
      </w:r>
      <w:r>
        <w:rPr>
          <w:color w:val="231F20"/>
          <w:spacing w:val="28"/>
        </w:rPr>
        <w:t> </w:t>
      </w:r>
      <w:r>
        <w:rPr>
          <w:color w:val="231F20"/>
        </w:rPr>
        <w:t>situation</w:t>
      </w:r>
      <w:r>
        <w:rPr>
          <w:color w:val="231F20"/>
          <w:spacing w:val="28"/>
        </w:rPr>
        <w:t> </w:t>
      </w:r>
      <w:r>
        <w:rPr>
          <w:color w:val="231F20"/>
        </w:rPr>
        <w:t>or</w:t>
      </w:r>
      <w:r>
        <w:rPr>
          <w:color w:val="231F20"/>
          <w:spacing w:val="28"/>
        </w:rPr>
        <w:t> </w:t>
      </w:r>
      <w:r>
        <w:rPr>
          <w:color w:val="231F20"/>
        </w:rPr>
        <w:t>policy</w:t>
      </w:r>
      <w:r>
        <w:rPr>
          <w:color w:val="231F20"/>
          <w:spacing w:val="28"/>
        </w:rPr>
        <w:t> </w:t>
      </w:r>
      <w:r>
        <w:rPr>
          <w:color w:val="231F20"/>
        </w:rPr>
        <w:t>that</w:t>
      </w:r>
      <w:r>
        <w:rPr>
          <w:color w:val="231F20"/>
          <w:spacing w:val="28"/>
        </w:rPr>
        <w:t> </w:t>
      </w:r>
      <w:r>
        <w:rPr>
          <w:color w:val="231F20"/>
        </w:rPr>
        <w:t>you want an event opened for only outside the prime shift hours. The </w:t>
      </w:r>
      <w:r>
        <w:rPr>
          <w:color w:val="231F20"/>
        </w:rPr>
        <w:t>situation as it appears in </w:t>
      </w:r>
      <w:r>
        <w:rPr>
          <w:color w:val="231F20"/>
          <w:spacing w:val="16"/>
          <w:position w:val="-1"/>
        </w:rPr>
        <w:drawing>
          <wp:inline distT="0" distB="0" distL="0" distR="0">
            <wp:extent cx="101600" cy="101599"/>
            <wp:effectExtent l="0" t="0" r="0" b="0"/>
            <wp:docPr id="2302" name="Image 2302"/>
            <wp:cNvGraphicFramePr>
              <a:graphicFrameLocks/>
            </wp:cNvGraphicFramePr>
            <a:graphic>
              <a:graphicData uri="http://schemas.openxmlformats.org/drawingml/2006/picture">
                <pic:pic>
                  <pic:nvPicPr>
                    <pic:cNvPr id="2302" name="Image 2302"/>
                    <pic:cNvPicPr/>
                  </pic:nvPicPr>
                  <pic:blipFill>
                    <a:blip r:embed="rId195" cstate="print"/>
                    <a:stretch>
                      <a:fillRect/>
                    </a:stretch>
                  </pic:blipFill>
                  <pic:spPr>
                    <a:xfrm>
                      <a:off x="0" y="0"/>
                      <a:ext cx="101600" cy="101599"/>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0"/>
        <w:ind w:left="2951" w:right="0" w:firstLine="0"/>
        <w:jc w:val="left"/>
        <w:rPr>
          <w:rFonts w:ascii="Arial" w:hAnsi="Arial"/>
          <w:sz w:val="18"/>
        </w:rPr>
      </w:pP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Status</w:t>
      </w:r>
      <w:r>
        <w:rPr>
          <w:rFonts w:ascii="Arial" w:hAnsi="Arial"/>
          <w:color w:val="231F20"/>
          <w:spacing w:val="8"/>
          <w:sz w:val="18"/>
        </w:rPr>
        <w:t> </w:t>
      </w:r>
      <w:r>
        <w:rPr>
          <w:rFonts w:ascii="Arial" w:hAnsi="Arial"/>
          <w:color w:val="231F20"/>
          <w:spacing w:val="-2"/>
          <w:sz w:val="18"/>
        </w:rPr>
        <w:t>==</w:t>
      </w:r>
      <w:r>
        <w:rPr>
          <w:rFonts w:ascii="Arial" w:hAnsi="Arial"/>
          <w:color w:val="231F20"/>
          <w:spacing w:val="9"/>
          <w:sz w:val="18"/>
        </w:rPr>
        <w:t> </w:t>
      </w:r>
      <w:r>
        <w:rPr>
          <w:rFonts w:ascii="Arial" w:hAnsi="Arial"/>
          <w:color w:val="231F20"/>
          <w:spacing w:val="-2"/>
          <w:sz w:val="18"/>
        </w:rPr>
        <w:t>*OFFLINE</w:t>
      </w:r>
      <w:r>
        <w:rPr>
          <w:rFonts w:ascii="Arial" w:hAnsi="Arial"/>
          <w:color w:val="231F20"/>
          <w:spacing w:val="8"/>
          <w:sz w:val="18"/>
        </w:rPr>
        <w:t> </w:t>
      </w:r>
      <w:r>
        <w:rPr>
          <w:rFonts w:ascii="Arial" w:hAnsi="Arial"/>
          <w:color w:val="231F20"/>
          <w:spacing w:val="-2"/>
          <w:sz w:val="18"/>
        </w:rPr>
        <w:t>AND</w:t>
      </w:r>
      <w:r>
        <w:rPr>
          <w:rFonts w:ascii="Arial" w:hAnsi="Arial"/>
          <w:color w:val="231F20"/>
          <w:spacing w:val="8"/>
          <w:sz w:val="18"/>
        </w:rPr>
        <w:t> </w:t>
      </w:r>
      <w:r>
        <w:rPr>
          <w:rFonts w:ascii="Arial" w:hAnsi="Arial"/>
          <w:color w:val="231F20"/>
          <w:spacing w:val="-2"/>
          <w:sz w:val="18"/>
        </w:rPr>
        <w:t>Reason</w:t>
      </w:r>
      <w:r>
        <w:rPr>
          <w:rFonts w:ascii="Arial" w:hAnsi="Arial"/>
          <w:color w:val="231F20"/>
          <w:spacing w:val="9"/>
          <w:sz w:val="18"/>
        </w:rPr>
        <w:t> </w:t>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’FA’)</w:t>
      </w:r>
    </w:p>
    <w:p>
      <w:pPr>
        <w:pStyle w:val="Heading6"/>
        <w:spacing w:before="128"/>
        <w:ind w:left="2232"/>
      </w:pPr>
      <w:r>
        <w:rPr>
          <w:color w:val="231F20"/>
          <w:spacing w:val="-2"/>
        </w:rPr>
        <w:t>Weekend</w:t>
      </w:r>
    </w:p>
    <w:p>
      <w:pPr>
        <w:pStyle w:val="BodyText"/>
        <w:spacing w:line="213" w:lineRule="auto" w:before="12"/>
        <w:ind w:left="2951" w:right="545"/>
      </w:pPr>
      <w:r>
        <w:rPr>
          <w:color w:val="231F20"/>
        </w:rPr>
        <w:t>This</w:t>
      </w:r>
      <w:r>
        <w:rPr>
          <w:color w:val="231F20"/>
          <w:spacing w:val="28"/>
        </w:rPr>
        <w:t> </w:t>
      </w:r>
      <w:r>
        <w:rPr>
          <w:color w:val="231F20"/>
        </w:rPr>
        <w:t>situation</w:t>
      </w:r>
      <w:r>
        <w:rPr>
          <w:color w:val="231F20"/>
          <w:spacing w:val="28"/>
        </w:rPr>
        <w:t> </w:t>
      </w:r>
      <w:r>
        <w:rPr>
          <w:color w:val="231F20"/>
        </w:rPr>
        <w:t>is</w:t>
      </w:r>
      <w:r>
        <w:rPr>
          <w:color w:val="231F20"/>
          <w:spacing w:val="28"/>
        </w:rPr>
        <w:t> </w:t>
      </w:r>
      <w:r>
        <w:rPr>
          <w:color w:val="231F20"/>
        </w:rPr>
        <w:t>useful</w:t>
      </w:r>
      <w:r>
        <w:rPr>
          <w:color w:val="231F20"/>
          <w:spacing w:val="28"/>
        </w:rPr>
        <w:t> </w:t>
      </w:r>
      <w:r>
        <w:rPr>
          <w:color w:val="231F20"/>
        </w:rPr>
        <w:t>for</w:t>
      </w:r>
      <w:r>
        <w:rPr>
          <w:color w:val="231F20"/>
          <w:spacing w:val="28"/>
        </w:rPr>
        <w:t> </w:t>
      </w:r>
      <w:r>
        <w:rPr>
          <w:color w:val="231F20"/>
        </w:rPr>
        <w:t>embedding</w:t>
      </w:r>
      <w:r>
        <w:rPr>
          <w:color w:val="231F20"/>
          <w:spacing w:val="28"/>
        </w:rPr>
        <w:t> </w:t>
      </w:r>
      <w:r>
        <w:rPr>
          <w:color w:val="231F20"/>
        </w:rPr>
        <w:t>in</w:t>
      </w:r>
      <w:r>
        <w:rPr>
          <w:color w:val="231F20"/>
          <w:spacing w:val="28"/>
        </w:rPr>
        <w:t> </w:t>
      </w:r>
      <w:r>
        <w:rPr>
          <w:color w:val="231F20"/>
        </w:rPr>
        <w:t>a</w:t>
      </w:r>
      <w:r>
        <w:rPr>
          <w:color w:val="231F20"/>
          <w:spacing w:val="28"/>
        </w:rPr>
        <w:t> </w:t>
      </w:r>
      <w:r>
        <w:rPr>
          <w:color w:val="231F20"/>
        </w:rPr>
        <w:t>situation</w:t>
      </w:r>
      <w:r>
        <w:rPr>
          <w:color w:val="231F20"/>
          <w:spacing w:val="28"/>
        </w:rPr>
        <w:t> </w:t>
      </w:r>
      <w:r>
        <w:rPr>
          <w:color w:val="231F20"/>
        </w:rPr>
        <w:t>or</w:t>
      </w:r>
      <w:r>
        <w:rPr>
          <w:color w:val="231F20"/>
          <w:spacing w:val="28"/>
        </w:rPr>
        <w:t> </w:t>
      </w:r>
      <w:r>
        <w:rPr>
          <w:color w:val="231F20"/>
        </w:rPr>
        <w:t>policy</w:t>
      </w:r>
      <w:r>
        <w:rPr>
          <w:color w:val="231F20"/>
          <w:spacing w:val="28"/>
        </w:rPr>
        <w:t> </w:t>
      </w:r>
      <w:r>
        <w:rPr>
          <w:color w:val="231F20"/>
        </w:rPr>
        <w:t>that</w:t>
      </w:r>
      <w:r>
        <w:rPr>
          <w:color w:val="231F20"/>
          <w:spacing w:val="28"/>
        </w:rPr>
        <w:t> </w:t>
      </w:r>
      <w:r>
        <w:rPr>
          <w:color w:val="231F20"/>
        </w:rPr>
        <w:t>you want an event opened for only outside the prime shift hours. The </w:t>
      </w:r>
      <w:r>
        <w:rPr>
          <w:color w:val="231F20"/>
        </w:rPr>
        <w:t>situation as it appears in </w:t>
      </w:r>
      <w:r>
        <w:rPr>
          <w:color w:val="231F20"/>
          <w:spacing w:val="16"/>
          <w:position w:val="-1"/>
        </w:rPr>
        <w:drawing>
          <wp:inline distT="0" distB="0" distL="0" distR="0">
            <wp:extent cx="101600" cy="101600"/>
            <wp:effectExtent l="0" t="0" r="0" b="0"/>
            <wp:docPr id="2303" name="Image 2303"/>
            <wp:cNvGraphicFramePr>
              <a:graphicFrameLocks/>
            </wp:cNvGraphicFramePr>
            <a:graphic>
              <a:graphicData uri="http://schemas.openxmlformats.org/drawingml/2006/picture">
                <pic:pic>
                  <pic:nvPicPr>
                    <pic:cNvPr id="2303" name="Image 2303"/>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1"/>
        <w:ind w:left="2951" w:right="0" w:firstLine="0"/>
        <w:jc w:val="left"/>
        <w:rPr>
          <w:rFonts w:ascii="Arial" w:hAnsi="Arial"/>
          <w:sz w:val="18"/>
        </w:rPr>
      </w:pPr>
      <w:bookmarkStart w:name="Tivoli Enterprise Monitoring Server situ" w:id="415"/>
      <w:bookmarkEnd w:id="415"/>
      <w:r>
        <w:rPr/>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Status</w:t>
      </w:r>
      <w:r>
        <w:rPr>
          <w:rFonts w:ascii="Arial" w:hAnsi="Arial"/>
          <w:color w:val="231F20"/>
          <w:spacing w:val="8"/>
          <w:sz w:val="18"/>
        </w:rPr>
        <w:t> </w:t>
      </w:r>
      <w:r>
        <w:rPr>
          <w:rFonts w:ascii="Arial" w:hAnsi="Arial"/>
          <w:color w:val="231F20"/>
          <w:spacing w:val="-2"/>
          <w:sz w:val="18"/>
        </w:rPr>
        <w:t>==</w:t>
      </w:r>
      <w:r>
        <w:rPr>
          <w:rFonts w:ascii="Arial" w:hAnsi="Arial"/>
          <w:color w:val="231F20"/>
          <w:spacing w:val="9"/>
          <w:sz w:val="18"/>
        </w:rPr>
        <w:t> </w:t>
      </w:r>
      <w:r>
        <w:rPr>
          <w:rFonts w:ascii="Arial" w:hAnsi="Arial"/>
          <w:color w:val="231F20"/>
          <w:spacing w:val="-2"/>
          <w:sz w:val="18"/>
        </w:rPr>
        <w:t>*OFFLINE</w:t>
      </w:r>
      <w:r>
        <w:rPr>
          <w:rFonts w:ascii="Arial" w:hAnsi="Arial"/>
          <w:color w:val="231F20"/>
          <w:spacing w:val="8"/>
          <w:sz w:val="18"/>
        </w:rPr>
        <w:t> </w:t>
      </w:r>
      <w:r>
        <w:rPr>
          <w:rFonts w:ascii="Arial" w:hAnsi="Arial"/>
          <w:color w:val="231F20"/>
          <w:spacing w:val="-2"/>
          <w:sz w:val="18"/>
        </w:rPr>
        <w:t>AND</w:t>
      </w:r>
      <w:r>
        <w:rPr>
          <w:rFonts w:ascii="Arial" w:hAnsi="Arial"/>
          <w:color w:val="231F20"/>
          <w:spacing w:val="8"/>
          <w:sz w:val="18"/>
        </w:rPr>
        <w:t> </w:t>
      </w:r>
      <w:r>
        <w:rPr>
          <w:rFonts w:ascii="Arial" w:hAnsi="Arial"/>
          <w:color w:val="231F20"/>
          <w:spacing w:val="-2"/>
          <w:sz w:val="18"/>
        </w:rPr>
        <w:t>Reason</w:t>
      </w:r>
      <w:r>
        <w:rPr>
          <w:rFonts w:ascii="Arial" w:hAnsi="Arial"/>
          <w:color w:val="231F20"/>
          <w:spacing w:val="9"/>
          <w:sz w:val="18"/>
        </w:rPr>
        <w:t> </w:t>
      </w:r>
      <w:r>
        <w:rPr>
          <w:rFonts w:ascii="Arial" w:hAnsi="Arial"/>
          <w:color w:val="231F20"/>
          <w:spacing w:val="-2"/>
          <w:sz w:val="18"/>
        </w:rPr>
        <w:t>!=</w:t>
      </w:r>
      <w:r>
        <w:rPr>
          <w:rFonts w:ascii="Arial" w:hAnsi="Arial"/>
          <w:color w:val="231F20"/>
          <w:spacing w:val="8"/>
          <w:sz w:val="18"/>
        </w:rPr>
        <w:t> </w:t>
      </w:r>
      <w:r>
        <w:rPr>
          <w:rFonts w:ascii="Arial" w:hAnsi="Arial"/>
          <w:color w:val="231F20"/>
          <w:spacing w:val="-2"/>
          <w:sz w:val="18"/>
        </w:rPr>
        <w:t>’FA’)</w:t>
      </w:r>
    </w:p>
    <w:p>
      <w:pPr>
        <w:pStyle w:val="BodyText"/>
        <w:spacing w:before="21"/>
        <w:rPr>
          <w:rFonts w:ascii="Arial"/>
          <w:sz w:val="18"/>
        </w:rPr>
      </w:pPr>
    </w:p>
    <w:p>
      <w:pPr>
        <w:pStyle w:val="Heading3"/>
        <w:spacing w:before="0"/>
        <w:ind w:left="1334"/>
      </w:pPr>
      <w:r>
        <w:rPr>
          <w:color w:val="231F20"/>
        </w:rPr>
        <w:t>Tivoli</w:t>
      </w:r>
      <w:r>
        <w:rPr>
          <w:color w:val="231F20"/>
          <w:spacing w:val="2"/>
        </w:rPr>
        <w:t> </w:t>
      </w:r>
      <w:r>
        <w:rPr>
          <w:color w:val="231F20"/>
        </w:rPr>
        <w:t>Enterprise</w:t>
      </w:r>
      <w:r>
        <w:rPr>
          <w:color w:val="231F20"/>
          <w:spacing w:val="3"/>
        </w:rPr>
        <w:t> </w:t>
      </w:r>
      <w:r>
        <w:rPr>
          <w:color w:val="231F20"/>
        </w:rPr>
        <w:t>Monitoring</w:t>
      </w:r>
      <w:r>
        <w:rPr>
          <w:color w:val="231F20"/>
          <w:spacing w:val="3"/>
        </w:rPr>
        <w:t> </w:t>
      </w:r>
      <w:r>
        <w:rPr>
          <w:color w:val="231F20"/>
        </w:rPr>
        <w:t>Server</w:t>
      </w:r>
      <w:r>
        <w:rPr>
          <w:color w:val="231F20"/>
          <w:spacing w:val="2"/>
        </w:rPr>
        <w:t> </w:t>
      </w:r>
      <w:r>
        <w:rPr>
          <w:color w:val="231F20"/>
          <w:spacing w:val="-2"/>
        </w:rPr>
        <w:t>situations</w:t>
      </w:r>
    </w:p>
    <w:p>
      <w:pPr>
        <w:pStyle w:val="BodyText"/>
        <w:spacing w:line="213" w:lineRule="auto" w:before="58"/>
        <w:ind w:left="2232" w:right="545"/>
      </w:pPr>
      <w:r>
        <w:rPr>
          <w:color w:val="231F20"/>
        </w:rPr>
        <w:t>The Enterprise Navigator item has a set of predefined situations. They </w:t>
      </w:r>
      <w:r>
        <w:rPr>
          <w:color w:val="231F20"/>
        </w:rPr>
        <w:t>appear within the Tivoli Enterprise Monitoring Server entry of the Situation editor.</w:t>
      </w:r>
    </w:p>
    <w:p>
      <w:pPr>
        <w:pStyle w:val="Heading6"/>
        <w:ind w:left="2232"/>
      </w:pPr>
      <w:r>
        <w:rPr>
          <w:color w:val="231F20"/>
          <w:spacing w:val="-2"/>
        </w:rPr>
        <w:t>Deploy_Failed</w:t>
      </w:r>
    </w:p>
    <w:p>
      <w:pPr>
        <w:pStyle w:val="BodyText"/>
        <w:spacing w:line="213" w:lineRule="auto" w:before="11"/>
        <w:ind w:left="2951" w:right="636"/>
      </w:pPr>
      <w:r>
        <w:rPr>
          <w:color w:val="231F20"/>
        </w:rPr>
        <w:t>This situation becomes true and an event is opened when one or more agent deployments has failed. Default: Do not </w:t>
      </w:r>
      <w:r>
        <w:rPr>
          <w:color w:val="231F20"/>
          <w:spacing w:val="15"/>
        </w:rPr>
        <w:drawing>
          <wp:inline distT="0" distB="0" distL="0" distR="0">
            <wp:extent cx="82550" cy="82550"/>
            <wp:effectExtent l="0" t="0" r="0" b="0"/>
            <wp:docPr id="2304" name="Image 2304"/>
            <wp:cNvGraphicFramePr>
              <a:graphicFrameLocks/>
            </wp:cNvGraphicFramePr>
            <a:graphic>
              <a:graphicData uri="http://schemas.openxmlformats.org/drawingml/2006/picture">
                <pic:pic>
                  <pic:nvPicPr>
                    <pic:cNvPr id="2304" name="Image 2304"/>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7"/>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05" name="Image 2305"/>
            <wp:cNvGraphicFramePr>
              <a:graphicFrameLocks/>
            </wp:cNvGraphicFramePr>
            <a:graphic>
              <a:graphicData uri="http://schemas.openxmlformats.org/drawingml/2006/picture">
                <pic:pic>
                  <pic:nvPicPr>
                    <pic:cNvPr id="2305" name="Image 2305"/>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w:t>
      </w:r>
      <w:r>
        <w:rPr>
          <w:color w:val="231F20"/>
          <w:spacing w:val="-2"/>
        </w:rPr>
        <w:t>Formula:</w:t>
      </w:r>
    </w:p>
    <w:p>
      <w:pPr>
        <w:spacing w:after="0" w:line="213" w:lineRule="auto"/>
        <w:sectPr>
          <w:pgSz w:w="12240" w:h="15840"/>
          <w:pgMar w:header="0" w:footer="736" w:top="1180" w:bottom="920" w:left="1000" w:right="1060"/>
        </w:sectPr>
      </w:pPr>
    </w:p>
    <w:p>
      <w:pPr>
        <w:spacing w:before="68"/>
        <w:ind w:left="3190" w:right="0" w:firstLine="0"/>
        <w:jc w:val="left"/>
        <w:rPr>
          <w:rFonts w:ascii="Arial"/>
          <w:sz w:val="18"/>
        </w:rPr>
      </w:pPr>
      <w:bookmarkStart w:name="_bookmark195" w:id="416"/>
      <w:bookmarkEnd w:id="416"/>
      <w:r>
        <w:rPr/>
      </w:r>
      <w:r>
        <w:rPr>
          <w:rFonts w:ascii="Arial"/>
          <w:color w:val="231F20"/>
          <w:w w:val="120"/>
          <w:sz w:val="18"/>
        </w:rPr>
        <w:t>(</w:t>
      </w:r>
      <w:r>
        <w:rPr>
          <w:rFonts w:ascii="Arial"/>
          <w:color w:val="231F20"/>
          <w:spacing w:val="20"/>
          <w:w w:val="120"/>
          <w:sz w:val="18"/>
        </w:rPr>
        <w:t> </w:t>
      </w:r>
      <w:r>
        <w:rPr>
          <w:rFonts w:ascii="Arial"/>
          <w:color w:val="231F20"/>
          <w:w w:val="105"/>
          <w:sz w:val="18"/>
        </w:rPr>
        <w:t>Status</w:t>
      </w:r>
      <w:r>
        <w:rPr>
          <w:rFonts w:ascii="Arial"/>
          <w:color w:val="231F20"/>
          <w:spacing w:val="29"/>
          <w:w w:val="105"/>
          <w:sz w:val="18"/>
        </w:rPr>
        <w:t> </w:t>
      </w:r>
      <w:r>
        <w:rPr>
          <w:rFonts w:ascii="Arial"/>
          <w:color w:val="231F20"/>
          <w:w w:val="105"/>
          <w:sz w:val="18"/>
        </w:rPr>
        <w:t>==</w:t>
      </w:r>
      <w:r>
        <w:rPr>
          <w:rFonts w:ascii="Arial"/>
          <w:color w:val="231F20"/>
          <w:spacing w:val="28"/>
          <w:w w:val="105"/>
          <w:sz w:val="18"/>
        </w:rPr>
        <w:t> </w:t>
      </w:r>
      <w:r>
        <w:rPr>
          <w:rFonts w:ascii="Arial"/>
          <w:color w:val="231F20"/>
          <w:spacing w:val="-2"/>
          <w:w w:val="105"/>
          <w:sz w:val="18"/>
        </w:rPr>
        <w:t>Failed)</w:t>
      </w:r>
    </w:p>
    <w:p>
      <w:pPr>
        <w:pStyle w:val="Heading6"/>
        <w:spacing w:before="128"/>
      </w:pPr>
      <w:r>
        <w:rPr>
          <w:color w:val="231F20"/>
          <w:spacing w:val="-2"/>
        </w:rPr>
        <w:t>Deploy_Retrying</w:t>
      </w:r>
    </w:p>
    <w:p>
      <w:pPr>
        <w:pStyle w:val="BodyText"/>
        <w:spacing w:line="213" w:lineRule="auto" w:before="11"/>
        <w:ind w:left="3190" w:right="202"/>
      </w:pPr>
      <w:r>
        <w:rPr>
          <w:color w:val="231F20"/>
        </w:rPr>
        <w:t>This</w:t>
      </w:r>
      <w:r>
        <w:rPr>
          <w:color w:val="231F20"/>
          <w:spacing w:val="27"/>
        </w:rPr>
        <w:t> </w:t>
      </w:r>
      <w:r>
        <w:rPr>
          <w:color w:val="231F20"/>
        </w:rPr>
        <w:t>situation</w:t>
      </w:r>
      <w:r>
        <w:rPr>
          <w:color w:val="231F20"/>
          <w:spacing w:val="27"/>
        </w:rPr>
        <w:t> </w:t>
      </w:r>
      <w:r>
        <w:rPr>
          <w:color w:val="231F20"/>
        </w:rPr>
        <w:t>becomes</w:t>
      </w:r>
      <w:r>
        <w:rPr>
          <w:color w:val="231F20"/>
          <w:spacing w:val="27"/>
        </w:rPr>
        <w:t> </w:t>
      </w:r>
      <w:r>
        <w:rPr>
          <w:color w:val="231F20"/>
        </w:rPr>
        <w:t>true</w:t>
      </w:r>
      <w:r>
        <w:rPr>
          <w:color w:val="231F20"/>
          <w:spacing w:val="27"/>
        </w:rPr>
        <w:t> </w:t>
      </w:r>
      <w:r>
        <w:rPr>
          <w:color w:val="231F20"/>
        </w:rPr>
        <w:t>and</w:t>
      </w:r>
      <w:r>
        <w:rPr>
          <w:color w:val="231F20"/>
          <w:spacing w:val="27"/>
        </w:rPr>
        <w:t> </w:t>
      </w:r>
      <w:r>
        <w:rPr>
          <w:color w:val="231F20"/>
        </w:rPr>
        <w:t>an</w:t>
      </w:r>
      <w:r>
        <w:rPr>
          <w:color w:val="231F20"/>
          <w:spacing w:val="27"/>
        </w:rPr>
        <w:t> </w:t>
      </w:r>
      <w:r>
        <w:rPr>
          <w:color w:val="231F20"/>
        </w:rPr>
        <w:t>event</w:t>
      </w:r>
      <w:r>
        <w:rPr>
          <w:color w:val="231F20"/>
          <w:spacing w:val="27"/>
        </w:rPr>
        <w:t> </w:t>
      </w:r>
      <w:r>
        <w:rPr>
          <w:color w:val="231F20"/>
        </w:rPr>
        <w:t>is</w:t>
      </w:r>
      <w:r>
        <w:rPr>
          <w:color w:val="231F20"/>
          <w:spacing w:val="27"/>
        </w:rPr>
        <w:t> </w:t>
      </w:r>
      <w:r>
        <w:rPr>
          <w:color w:val="231F20"/>
        </w:rPr>
        <w:t>opened</w:t>
      </w:r>
      <w:r>
        <w:rPr>
          <w:color w:val="231F20"/>
          <w:spacing w:val="27"/>
        </w:rPr>
        <w:t> </w:t>
      </w:r>
      <w:r>
        <w:rPr>
          <w:color w:val="231F20"/>
        </w:rPr>
        <w:t>when</w:t>
      </w:r>
      <w:r>
        <w:rPr>
          <w:color w:val="231F20"/>
          <w:spacing w:val="27"/>
        </w:rPr>
        <w:t> </w:t>
      </w:r>
      <w:r>
        <w:rPr>
          <w:color w:val="231F20"/>
        </w:rPr>
        <w:t>one</w:t>
      </w:r>
      <w:r>
        <w:rPr>
          <w:color w:val="231F20"/>
          <w:spacing w:val="27"/>
        </w:rPr>
        <w:t> </w:t>
      </w:r>
      <w:r>
        <w:rPr>
          <w:color w:val="231F20"/>
        </w:rPr>
        <w:t>or</w:t>
      </w:r>
      <w:r>
        <w:rPr>
          <w:color w:val="231F20"/>
          <w:spacing w:val="27"/>
        </w:rPr>
        <w:t> </w:t>
      </w:r>
      <w:r>
        <w:rPr>
          <w:color w:val="231F20"/>
        </w:rPr>
        <w:t>more agent deployments is in the FailedRetry state, which means it has failed </w:t>
      </w:r>
      <w:r>
        <w:rPr>
          <w:color w:val="231F20"/>
        </w:rPr>
        <w:t>an attempt</w:t>
      </w:r>
      <w:r>
        <w:rPr>
          <w:color w:val="231F20"/>
          <w:spacing w:val="27"/>
        </w:rPr>
        <w:t> </w:t>
      </w:r>
      <w:r>
        <w:rPr>
          <w:color w:val="231F20"/>
        </w:rPr>
        <w:t>to</w:t>
      </w:r>
      <w:r>
        <w:rPr>
          <w:color w:val="231F20"/>
          <w:spacing w:val="27"/>
        </w:rPr>
        <w:t> </w:t>
      </w:r>
      <w:r>
        <w:rPr>
          <w:color w:val="231F20"/>
        </w:rPr>
        <w:t>deploy</w:t>
      </w:r>
      <w:r>
        <w:rPr>
          <w:color w:val="231F20"/>
          <w:spacing w:val="27"/>
        </w:rPr>
        <w:t> </w:t>
      </w:r>
      <w:r>
        <w:rPr>
          <w:color w:val="231F20"/>
        </w:rPr>
        <w:t>and</w:t>
      </w:r>
      <w:r>
        <w:rPr>
          <w:color w:val="231F20"/>
          <w:spacing w:val="27"/>
        </w:rPr>
        <w:t> </w:t>
      </w:r>
      <w:r>
        <w:rPr>
          <w:color w:val="231F20"/>
        </w:rPr>
        <w:t>is</w:t>
      </w:r>
      <w:r>
        <w:rPr>
          <w:color w:val="231F20"/>
          <w:spacing w:val="27"/>
        </w:rPr>
        <w:t> </w:t>
      </w:r>
      <w:r>
        <w:rPr>
          <w:color w:val="231F20"/>
        </w:rPr>
        <w:t>making</w:t>
      </w:r>
      <w:r>
        <w:rPr>
          <w:color w:val="231F20"/>
          <w:spacing w:val="27"/>
        </w:rPr>
        <w:t> </w:t>
      </w:r>
      <w:r>
        <w:rPr>
          <w:color w:val="231F20"/>
        </w:rPr>
        <w:t>another</w:t>
      </w:r>
      <w:r>
        <w:rPr>
          <w:color w:val="231F20"/>
          <w:spacing w:val="27"/>
        </w:rPr>
        <w:t> </w:t>
      </w:r>
      <w:r>
        <w:rPr>
          <w:color w:val="231F20"/>
        </w:rPr>
        <w:t>attempt.</w:t>
      </w:r>
      <w:r>
        <w:rPr>
          <w:color w:val="231F20"/>
          <w:spacing w:val="27"/>
        </w:rPr>
        <w:t> </w:t>
      </w:r>
      <w:r>
        <w:rPr>
          <w:color w:val="231F20"/>
        </w:rPr>
        <w:t>Default:</w:t>
      </w:r>
      <w:r>
        <w:rPr>
          <w:color w:val="231F20"/>
          <w:spacing w:val="27"/>
        </w:rPr>
        <w:t> </w:t>
      </w:r>
      <w:r>
        <w:rPr>
          <w:color w:val="231F20"/>
        </w:rPr>
        <w:t>Do</w:t>
      </w:r>
      <w:r>
        <w:rPr>
          <w:color w:val="231F20"/>
          <w:spacing w:val="27"/>
        </w:rPr>
        <w:t> </w:t>
      </w:r>
      <w:r>
        <w:rPr>
          <w:color w:val="231F20"/>
        </w:rPr>
        <w:t>not</w:t>
      </w:r>
      <w:r>
        <w:rPr>
          <w:color w:val="231F20"/>
          <w:spacing w:val="15"/>
        </w:rPr>
        <w:t> </w:t>
      </w:r>
      <w:r>
        <w:rPr>
          <w:color w:val="231F20"/>
          <w:spacing w:val="15"/>
        </w:rPr>
        <w:drawing>
          <wp:inline distT="0" distB="0" distL="0" distR="0">
            <wp:extent cx="82549" cy="82550"/>
            <wp:effectExtent l="0" t="0" r="0" b="0"/>
            <wp:docPr id="2306" name="Image 2306"/>
            <wp:cNvGraphicFramePr>
              <a:graphicFrameLocks/>
            </wp:cNvGraphicFramePr>
            <a:graphic>
              <a:graphicData uri="http://schemas.openxmlformats.org/drawingml/2006/picture">
                <pic:pic>
                  <pic:nvPicPr>
                    <pic:cNvPr id="2306" name="Image 2306"/>
                    <pic:cNvPicPr/>
                  </pic:nvPicPr>
                  <pic:blipFill>
                    <a:blip r:embed="rId120" cstate="print"/>
                    <a:stretch>
                      <a:fillRect/>
                    </a:stretch>
                  </pic:blipFill>
                  <pic:spPr>
                    <a:xfrm>
                      <a:off x="0" y="0"/>
                      <a:ext cx="82549" cy="82550"/>
                    </a:xfrm>
                    <a:prstGeom prst="rect">
                      <a:avLst/>
                    </a:prstGeom>
                  </pic:spPr>
                </pic:pic>
              </a:graphicData>
            </a:graphic>
          </wp:inline>
        </w:drawing>
      </w:r>
      <w:r>
        <w:rPr>
          <w:color w:val="231F20"/>
          <w:spacing w:val="15"/>
        </w:rPr>
      </w:r>
      <w:r>
        <w:rPr>
          <w:rFonts w:ascii="Times New Roman"/>
          <w:color w:val="231F20"/>
          <w:spacing w:val="1"/>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07" name="Image 2307"/>
            <wp:cNvGraphicFramePr>
              <a:graphicFrameLocks/>
            </wp:cNvGraphicFramePr>
            <a:graphic>
              <a:graphicData uri="http://schemas.openxmlformats.org/drawingml/2006/picture">
                <pic:pic>
                  <pic:nvPicPr>
                    <pic:cNvPr id="2307" name="Image 2307"/>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0"/>
        <w:ind w:left="3190" w:right="0" w:firstLine="0"/>
        <w:jc w:val="left"/>
        <w:rPr>
          <w:rFonts w:ascii="Arial" w:hAnsi="Arial"/>
          <w:sz w:val="18"/>
        </w:rPr>
      </w:pPr>
      <w:r>
        <w:rPr>
          <w:rFonts w:ascii="Arial" w:hAnsi="Arial"/>
          <w:color w:val="231F20"/>
          <w:w w:val="120"/>
          <w:sz w:val="18"/>
        </w:rPr>
        <w:t>(</w:t>
      </w:r>
      <w:r>
        <w:rPr>
          <w:rFonts w:ascii="Arial" w:hAnsi="Arial"/>
          <w:color w:val="231F20"/>
          <w:spacing w:val="8"/>
          <w:w w:val="120"/>
          <w:sz w:val="18"/>
        </w:rPr>
        <w:t> </w:t>
      </w:r>
      <w:r>
        <w:rPr>
          <w:rFonts w:ascii="Arial" w:hAnsi="Arial"/>
          <w:color w:val="231F20"/>
          <w:w w:val="115"/>
          <w:sz w:val="18"/>
        </w:rPr>
        <w:t>Status</w:t>
      </w:r>
      <w:r>
        <w:rPr>
          <w:rFonts w:ascii="Arial" w:hAnsi="Arial"/>
          <w:color w:val="231F20"/>
          <w:spacing w:val="12"/>
          <w:w w:val="115"/>
          <w:sz w:val="18"/>
        </w:rPr>
        <w:t> </w:t>
      </w:r>
      <w:r>
        <w:rPr>
          <w:rFonts w:ascii="Arial" w:hAnsi="Arial"/>
          <w:color w:val="231F20"/>
          <w:w w:val="115"/>
          <w:sz w:val="18"/>
        </w:rPr>
        <w:t>==</w:t>
      </w:r>
      <w:r>
        <w:rPr>
          <w:rFonts w:ascii="Arial" w:hAnsi="Arial"/>
          <w:color w:val="231F20"/>
          <w:spacing w:val="11"/>
          <w:w w:val="115"/>
          <w:sz w:val="18"/>
        </w:rPr>
        <w:t> </w:t>
      </w:r>
      <w:r>
        <w:rPr>
          <w:rFonts w:ascii="Arial" w:hAnsi="Arial"/>
          <w:color w:val="231F20"/>
          <w:w w:val="115"/>
          <w:sz w:val="18"/>
        </w:rPr>
        <w:t>’Failed</w:t>
      </w:r>
      <w:r>
        <w:rPr>
          <w:rFonts w:ascii="Arial" w:hAnsi="Arial"/>
          <w:color w:val="231F20"/>
          <w:spacing w:val="11"/>
          <w:w w:val="115"/>
          <w:sz w:val="18"/>
        </w:rPr>
        <w:t> </w:t>
      </w:r>
      <w:r>
        <w:rPr>
          <w:rFonts w:ascii="Arial" w:hAnsi="Arial"/>
          <w:color w:val="231F20"/>
          <w:spacing w:val="-2"/>
          <w:w w:val="115"/>
          <w:sz w:val="18"/>
        </w:rPr>
        <w:t>Retrying’)</w:t>
      </w:r>
    </w:p>
    <w:p>
      <w:pPr>
        <w:pStyle w:val="Heading6"/>
        <w:spacing w:before="128"/>
      </w:pPr>
      <w:r>
        <w:rPr>
          <w:color w:val="231F20"/>
          <w:spacing w:val="-2"/>
        </w:rPr>
        <w:t>Hub_Catalog_Critical</w:t>
      </w:r>
    </w:p>
    <w:p>
      <w:pPr>
        <w:pStyle w:val="BodyText"/>
        <w:spacing w:line="213" w:lineRule="auto" w:before="12"/>
        <w:ind w:left="3190" w:right="258"/>
      </w:pPr>
      <w:r>
        <w:rPr>
          <w:color w:val="231F20"/>
        </w:rPr>
        <w:t>This situation becomes true and an event is opened when an application catalog that is installed at a remote monitoring server is </w:t>
      </w:r>
      <w:r>
        <w:rPr>
          <w:rFonts w:ascii="Book Antiqua"/>
          <w:i/>
          <w:color w:val="231F20"/>
        </w:rPr>
        <w:t>not </w:t>
      </w:r>
      <w:r>
        <w:rPr>
          <w:color w:val="231F20"/>
        </w:rPr>
        <w:t>installed at </w:t>
      </w:r>
      <w:r>
        <w:rPr>
          <w:color w:val="231F20"/>
        </w:rPr>
        <w:t>the hub monitoring server. This can happen when application support has not been selected for the hub during installation. Default: Do not </w:t>
      </w:r>
      <w:r>
        <w:rPr>
          <w:color w:val="231F20"/>
          <w:spacing w:val="15"/>
        </w:rPr>
        <w:drawing>
          <wp:inline distT="0" distB="0" distL="0" distR="0">
            <wp:extent cx="82550" cy="82550"/>
            <wp:effectExtent l="0" t="0" r="0" b="0"/>
            <wp:docPr id="2308" name="Image 2308"/>
            <wp:cNvGraphicFramePr>
              <a:graphicFrameLocks/>
            </wp:cNvGraphicFramePr>
            <a:graphic>
              <a:graphicData uri="http://schemas.openxmlformats.org/drawingml/2006/picture">
                <pic:pic>
                  <pic:nvPicPr>
                    <pic:cNvPr id="2308" name="Image 2308"/>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09" name="Image 2309"/>
            <wp:cNvGraphicFramePr>
              <a:graphicFrameLocks/>
            </wp:cNvGraphicFramePr>
            <a:graphic>
              <a:graphicData uri="http://schemas.openxmlformats.org/drawingml/2006/picture">
                <pic:pic>
                  <pic:nvPicPr>
                    <pic:cNvPr id="2309" name="Image 2309"/>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59"/>
        <w:ind w:left="3190" w:right="0" w:firstLine="0"/>
        <w:jc w:val="left"/>
        <w:rPr>
          <w:rFonts w:ascii="Arial" w:hAnsi="Arial"/>
          <w:sz w:val="18"/>
        </w:rPr>
      </w:pPr>
      <w:r>
        <w:rPr>
          <w:rFonts w:ascii="Arial" w:hAnsi="Arial"/>
          <w:color w:val="231F20"/>
          <w:w w:val="120"/>
          <w:sz w:val="18"/>
        </w:rPr>
        <w:t>(</w:t>
      </w:r>
      <w:r>
        <w:rPr>
          <w:rFonts w:ascii="Arial" w:hAnsi="Arial"/>
          <w:color w:val="231F20"/>
          <w:spacing w:val="23"/>
          <w:w w:val="120"/>
          <w:sz w:val="18"/>
        </w:rPr>
        <w:t> </w:t>
      </w:r>
      <w:r>
        <w:rPr>
          <w:rFonts w:ascii="Arial" w:hAnsi="Arial"/>
          <w:color w:val="231F20"/>
          <w:sz w:val="18"/>
        </w:rPr>
        <w:t>Status</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z w:val="18"/>
        </w:rPr>
        <w:t>Missing</w:t>
      </w:r>
      <w:r>
        <w:rPr>
          <w:rFonts w:ascii="Arial" w:hAnsi="Arial"/>
          <w:color w:val="231F20"/>
          <w:spacing w:val="33"/>
          <w:sz w:val="18"/>
        </w:rPr>
        <w:t> </w:t>
      </w:r>
      <w:r>
        <w:rPr>
          <w:rFonts w:ascii="Arial" w:hAnsi="Arial"/>
          <w:color w:val="231F20"/>
          <w:sz w:val="18"/>
        </w:rPr>
        <w:t>At</w:t>
      </w:r>
      <w:r>
        <w:rPr>
          <w:rFonts w:ascii="Arial" w:hAnsi="Arial"/>
          <w:color w:val="231F20"/>
          <w:spacing w:val="34"/>
          <w:sz w:val="18"/>
        </w:rPr>
        <w:t> </w:t>
      </w:r>
      <w:r>
        <w:rPr>
          <w:rFonts w:ascii="Arial" w:hAnsi="Arial"/>
          <w:color w:val="231F20"/>
          <w:sz w:val="18"/>
        </w:rPr>
        <w:t>Hub)</w:t>
      </w:r>
      <w:r>
        <w:rPr>
          <w:rFonts w:ascii="Arial" w:hAnsi="Arial"/>
          <w:color w:val="231F20"/>
          <w:spacing w:val="33"/>
          <w:sz w:val="18"/>
        </w:rPr>
        <w:t> </w:t>
      </w:r>
      <w:r>
        <w:rPr>
          <w:rFonts w:ascii="Arial" w:hAnsi="Arial"/>
          <w:color w:val="231F20"/>
          <w:sz w:val="18"/>
        </w:rPr>
        <w:t>AND</w:t>
      </w:r>
      <w:r>
        <w:rPr>
          <w:rFonts w:ascii="Arial" w:hAnsi="Arial"/>
          <w:color w:val="231F20"/>
          <w:spacing w:val="34"/>
          <w:sz w:val="18"/>
        </w:rPr>
        <w:t> </w:t>
      </w:r>
      <w:r>
        <w:rPr>
          <w:rFonts w:ascii="Arial" w:hAnsi="Arial"/>
          <w:color w:val="231F20"/>
          <w:sz w:val="18"/>
        </w:rPr>
        <w:t>(Catalog</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pacing w:val="-2"/>
          <w:sz w:val="18"/>
        </w:rPr>
        <w:t>’PDSSTATS’)</w:t>
      </w:r>
    </w:p>
    <w:p>
      <w:pPr>
        <w:pStyle w:val="Heading6"/>
        <w:spacing w:before="128"/>
      </w:pPr>
      <w:r>
        <w:rPr>
          <w:color w:val="231F20"/>
          <w:spacing w:val="-2"/>
        </w:rPr>
        <w:t>Hub_Catalog_Warning</w:t>
      </w:r>
    </w:p>
    <w:p>
      <w:pPr>
        <w:pStyle w:val="BodyText"/>
        <w:spacing w:line="213" w:lineRule="auto" w:before="11"/>
        <w:ind w:left="3190" w:right="488"/>
      </w:pPr>
      <w:r>
        <w:rPr>
          <w:color w:val="231F20"/>
        </w:rPr>
        <w:t>This situation becomes true and an event is opened when an application catalog that is installed at a remote monitoring server is newer than </w:t>
      </w:r>
      <w:r>
        <w:rPr>
          <w:color w:val="231F20"/>
        </w:rPr>
        <w:t>what</w:t>
      </w:r>
      <w:r>
        <w:rPr>
          <w:color w:val="231F20"/>
          <w:spacing w:val="40"/>
        </w:rPr>
        <w:t> </w:t>
      </w:r>
      <w:r>
        <w:rPr>
          <w:color w:val="231F20"/>
        </w:rPr>
        <w:t>is installed at the hub monitoring server. This is a warning that the application support for the component is out of date. This might not be a problem if the hub has not been upgraded yet. Default: Do not </w:t>
      </w:r>
      <w:r>
        <w:rPr>
          <w:color w:val="231F20"/>
          <w:spacing w:val="15"/>
        </w:rPr>
        <w:drawing>
          <wp:inline distT="0" distB="0" distL="0" distR="0">
            <wp:extent cx="82550" cy="82550"/>
            <wp:effectExtent l="0" t="0" r="0" b="0"/>
            <wp:docPr id="2310" name="Image 2310"/>
            <wp:cNvGraphicFramePr>
              <a:graphicFrameLocks/>
            </wp:cNvGraphicFramePr>
            <a:graphic>
              <a:graphicData uri="http://schemas.openxmlformats.org/drawingml/2006/picture">
                <pic:pic>
                  <pic:nvPicPr>
                    <pic:cNvPr id="2310" name="Image 231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11" name="Image 2311"/>
            <wp:cNvGraphicFramePr>
              <a:graphicFrameLocks/>
            </wp:cNvGraphicFramePr>
            <a:graphic>
              <a:graphicData uri="http://schemas.openxmlformats.org/drawingml/2006/picture">
                <pic:pic>
                  <pic:nvPicPr>
                    <pic:cNvPr id="2311" name="Image 2311"/>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59"/>
        <w:ind w:left="3190" w:right="0" w:firstLine="0"/>
        <w:jc w:val="left"/>
        <w:rPr>
          <w:rFonts w:ascii="Arial"/>
          <w:sz w:val="18"/>
        </w:rPr>
      </w:pPr>
      <w:r>
        <w:rPr>
          <w:rFonts w:ascii="Arial"/>
          <w:color w:val="231F20"/>
          <w:spacing w:val="-4"/>
          <w:sz w:val="18"/>
        </w:rPr>
        <w:t>(</w:t>
      </w:r>
      <w:r>
        <w:rPr>
          <w:rFonts w:ascii="Arial"/>
          <w:color w:val="231F20"/>
          <w:spacing w:val="13"/>
          <w:sz w:val="18"/>
        </w:rPr>
        <w:t> </w:t>
      </w:r>
      <w:r>
        <w:rPr>
          <w:rFonts w:ascii="Arial"/>
          <w:color w:val="231F20"/>
          <w:spacing w:val="-4"/>
          <w:sz w:val="18"/>
        </w:rPr>
        <w:t>Status</w:t>
      </w:r>
      <w:r>
        <w:rPr>
          <w:rFonts w:ascii="Arial"/>
          <w:color w:val="231F20"/>
          <w:spacing w:val="13"/>
          <w:sz w:val="18"/>
        </w:rPr>
        <w:t> </w:t>
      </w:r>
      <w:r>
        <w:rPr>
          <w:rFonts w:ascii="Arial"/>
          <w:color w:val="231F20"/>
          <w:spacing w:val="-4"/>
          <w:sz w:val="18"/>
        </w:rPr>
        <w:t>==</w:t>
      </w:r>
      <w:r>
        <w:rPr>
          <w:rFonts w:ascii="Arial"/>
          <w:color w:val="231F20"/>
          <w:spacing w:val="13"/>
          <w:sz w:val="18"/>
        </w:rPr>
        <w:t> </w:t>
      </w:r>
      <w:r>
        <w:rPr>
          <w:rFonts w:ascii="Arial"/>
          <w:color w:val="231F20"/>
          <w:spacing w:val="-4"/>
          <w:sz w:val="18"/>
        </w:rPr>
        <w:t>RTEMS</w:t>
      </w:r>
      <w:r>
        <w:rPr>
          <w:rFonts w:ascii="Arial"/>
          <w:color w:val="231F20"/>
          <w:spacing w:val="13"/>
          <w:sz w:val="18"/>
        </w:rPr>
        <w:t> </w:t>
      </w:r>
      <w:r>
        <w:rPr>
          <w:rFonts w:ascii="Arial"/>
          <w:color w:val="231F20"/>
          <w:spacing w:val="-4"/>
          <w:sz w:val="18"/>
        </w:rPr>
        <w:t>Newer)</w:t>
      </w:r>
    </w:p>
    <w:p>
      <w:pPr>
        <w:pStyle w:val="Heading6"/>
        <w:spacing w:before="128"/>
      </w:pPr>
      <w:r>
        <w:rPr>
          <w:color w:val="231F20"/>
          <w:spacing w:val="-2"/>
        </w:rPr>
        <w:t>Remote_Catalog_Warning</w:t>
      </w:r>
    </w:p>
    <w:p>
      <w:pPr>
        <w:pStyle w:val="BodyText"/>
        <w:spacing w:line="213" w:lineRule="auto" w:before="12"/>
        <w:ind w:left="3190" w:right="147"/>
      </w:pPr>
      <w:r>
        <w:rPr>
          <w:color w:val="231F20"/>
        </w:rPr>
        <w:t>This situation becomes true and an event is opened when an application catalog</w:t>
      </w:r>
      <w:r>
        <w:rPr>
          <w:color w:val="231F20"/>
          <w:spacing w:val="15"/>
        </w:rPr>
        <w:t> </w:t>
      </w:r>
      <w:r>
        <w:rPr>
          <w:color w:val="231F20"/>
        </w:rPr>
        <w:t>that</w:t>
      </w:r>
      <w:r>
        <w:rPr>
          <w:color w:val="231F20"/>
          <w:spacing w:val="15"/>
        </w:rPr>
        <w:t> </w:t>
      </w:r>
      <w:r>
        <w:rPr>
          <w:color w:val="231F20"/>
        </w:rPr>
        <w:t>is</w:t>
      </w:r>
      <w:r>
        <w:rPr>
          <w:color w:val="231F20"/>
          <w:spacing w:val="15"/>
        </w:rPr>
        <w:t> </w:t>
      </w:r>
      <w:r>
        <w:rPr>
          <w:color w:val="231F20"/>
        </w:rPr>
        <w:t>installed</w:t>
      </w:r>
      <w:r>
        <w:rPr>
          <w:color w:val="231F20"/>
          <w:spacing w:val="15"/>
        </w:rPr>
        <w:t> </w:t>
      </w:r>
      <w:r>
        <w:rPr>
          <w:color w:val="231F20"/>
        </w:rPr>
        <w:t>at</w:t>
      </w:r>
      <w:r>
        <w:rPr>
          <w:color w:val="231F20"/>
          <w:spacing w:val="15"/>
        </w:rPr>
        <w:t> </w:t>
      </w:r>
      <w:r>
        <w:rPr>
          <w:color w:val="231F20"/>
        </w:rPr>
        <w:t>the</w:t>
      </w:r>
      <w:r>
        <w:rPr>
          <w:color w:val="231F20"/>
          <w:spacing w:val="15"/>
        </w:rPr>
        <w:t> </w:t>
      </w:r>
      <w:r>
        <w:rPr>
          <w:color w:val="231F20"/>
        </w:rPr>
        <w:t>hub</w:t>
      </w:r>
      <w:r>
        <w:rPr>
          <w:color w:val="231F20"/>
          <w:spacing w:val="15"/>
        </w:rPr>
        <w:t> </w:t>
      </w:r>
      <w:r>
        <w:rPr>
          <w:color w:val="231F20"/>
        </w:rPr>
        <w:t>monitoring</w:t>
      </w:r>
      <w:r>
        <w:rPr>
          <w:color w:val="231F20"/>
          <w:spacing w:val="15"/>
        </w:rPr>
        <w:t> </w:t>
      </w:r>
      <w:r>
        <w:rPr>
          <w:color w:val="231F20"/>
        </w:rPr>
        <w:t>server</w:t>
      </w:r>
      <w:r>
        <w:rPr>
          <w:color w:val="231F20"/>
          <w:spacing w:val="15"/>
        </w:rPr>
        <w:t> </w:t>
      </w:r>
      <w:r>
        <w:rPr>
          <w:color w:val="231F20"/>
        </w:rPr>
        <w:t>is</w:t>
      </w:r>
      <w:r>
        <w:rPr>
          <w:color w:val="231F20"/>
          <w:spacing w:val="15"/>
        </w:rPr>
        <w:t> </w:t>
      </w:r>
      <w:r>
        <w:rPr>
          <w:color w:val="231F20"/>
        </w:rPr>
        <w:t>not</w:t>
      </w:r>
      <w:r>
        <w:rPr>
          <w:color w:val="231F20"/>
          <w:spacing w:val="15"/>
        </w:rPr>
        <w:t> </w:t>
      </w:r>
      <w:r>
        <w:rPr>
          <w:color w:val="231F20"/>
        </w:rPr>
        <w:t>also</w:t>
      </w:r>
      <w:r>
        <w:rPr>
          <w:color w:val="231F20"/>
          <w:spacing w:val="15"/>
        </w:rPr>
        <w:t> </w:t>
      </w:r>
      <w:r>
        <w:rPr>
          <w:color w:val="231F20"/>
        </w:rPr>
        <w:t>installed</w:t>
      </w:r>
      <w:r>
        <w:rPr>
          <w:color w:val="231F20"/>
          <w:spacing w:val="15"/>
        </w:rPr>
        <w:t> </w:t>
      </w:r>
      <w:r>
        <w:rPr>
          <w:color w:val="231F20"/>
        </w:rPr>
        <w:t>at a remote monitoring server; or an application catalog that is installed at </w:t>
      </w:r>
      <w:r>
        <w:rPr>
          <w:color w:val="231F20"/>
        </w:rPr>
        <w:t>the hub is newer than what is installed at a remote monitoring server.</w:t>
      </w:r>
    </w:p>
    <w:p>
      <w:pPr>
        <w:pStyle w:val="BodyText"/>
        <w:spacing w:line="213" w:lineRule="auto" w:before="117"/>
        <w:ind w:left="3190" w:right="385"/>
      </w:pPr>
      <w:r>
        <w:rPr>
          <w:color w:val="231F20"/>
        </w:rPr>
        <w:t>This might not be a problem if the remote monitoring server has not been upgraded yet. Also, the remote system might be intentionally not supporting the subject application, or might only be supporting an older version of the application. Default: Do not </w:t>
      </w:r>
      <w:r>
        <w:rPr>
          <w:color w:val="231F20"/>
          <w:spacing w:val="15"/>
        </w:rPr>
        <w:drawing>
          <wp:inline distT="0" distB="0" distL="0" distR="0">
            <wp:extent cx="82550" cy="82550"/>
            <wp:effectExtent l="0" t="0" r="0" b="0"/>
            <wp:docPr id="2312" name="Image 2312"/>
            <wp:cNvGraphicFramePr>
              <a:graphicFrameLocks/>
            </wp:cNvGraphicFramePr>
            <a:graphic>
              <a:graphicData uri="http://schemas.openxmlformats.org/drawingml/2006/picture">
                <pic:pic>
                  <pic:nvPicPr>
                    <pic:cNvPr id="2312" name="Image 231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13" name="Image 2313"/>
            <wp:cNvGraphicFramePr>
              <a:graphicFrameLocks/>
            </wp:cNvGraphicFramePr>
            <a:graphic>
              <a:graphicData uri="http://schemas.openxmlformats.org/drawingml/2006/picture">
                <pic:pic>
                  <pic:nvPicPr>
                    <pic:cNvPr id="2313" name="Image 2313"/>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w:t>
      </w:r>
      <w:r>
        <w:rPr>
          <w:color w:val="231F20"/>
          <w:spacing w:val="-2"/>
        </w:rPr>
        <w:t>Formula:</w:t>
      </w:r>
    </w:p>
    <w:p>
      <w:pPr>
        <w:spacing w:line="230" w:lineRule="auto" w:before="66"/>
        <w:ind w:left="3190" w:right="1504" w:firstLine="0"/>
        <w:jc w:val="left"/>
        <w:rPr>
          <w:rFonts w:ascii="Arial" w:hAnsi="Arial"/>
          <w:sz w:val="18"/>
        </w:rPr>
      </w:pPr>
      <w:r>
        <w:rPr>
          <w:rFonts w:ascii="Arial" w:hAnsi="Arial"/>
          <w:color w:val="231F20"/>
          <w:sz w:val="18"/>
        </w:rPr>
        <w:t>((Status</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Missing</w:t>
      </w:r>
      <w:r>
        <w:rPr>
          <w:rFonts w:ascii="Arial" w:hAnsi="Arial"/>
          <w:color w:val="231F20"/>
          <w:spacing w:val="18"/>
          <w:sz w:val="18"/>
        </w:rPr>
        <w:t> </w:t>
      </w:r>
      <w:r>
        <w:rPr>
          <w:rFonts w:ascii="Arial" w:hAnsi="Arial"/>
          <w:color w:val="231F20"/>
          <w:sz w:val="18"/>
        </w:rPr>
        <w:t>At</w:t>
      </w:r>
      <w:r>
        <w:rPr>
          <w:rFonts w:ascii="Arial" w:hAnsi="Arial"/>
          <w:color w:val="231F20"/>
          <w:spacing w:val="18"/>
          <w:sz w:val="18"/>
        </w:rPr>
        <w:t> </w:t>
      </w:r>
      <w:r>
        <w:rPr>
          <w:rFonts w:ascii="Arial" w:hAnsi="Arial"/>
          <w:color w:val="231F20"/>
          <w:sz w:val="18"/>
        </w:rPr>
        <w:t>Hub)</w:t>
      </w:r>
      <w:r>
        <w:rPr>
          <w:rFonts w:ascii="Arial" w:hAnsi="Arial"/>
          <w:color w:val="231F20"/>
          <w:spacing w:val="18"/>
          <w:sz w:val="18"/>
        </w:rPr>
        <w:t> </w:t>
      </w:r>
      <w:r>
        <w:rPr>
          <w:rFonts w:ascii="Arial" w:hAnsi="Arial"/>
          <w:color w:val="231F20"/>
          <w:sz w:val="18"/>
        </w:rPr>
        <w:t>AND</w:t>
      </w:r>
      <w:r>
        <w:rPr>
          <w:rFonts w:ascii="Arial" w:hAnsi="Arial"/>
          <w:color w:val="231F20"/>
          <w:spacing w:val="18"/>
          <w:sz w:val="18"/>
        </w:rPr>
        <w:t> </w:t>
      </w:r>
      <w:r>
        <w:rPr>
          <w:rFonts w:ascii="Arial" w:hAnsi="Arial"/>
          <w:color w:val="231F20"/>
          <w:sz w:val="18"/>
        </w:rPr>
        <w:t>(Catalog</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’PDSSTATS’))</w:t>
      </w:r>
      <w:r>
        <w:rPr>
          <w:rFonts w:ascii="Arial" w:hAnsi="Arial"/>
          <w:color w:val="231F20"/>
          <w:spacing w:val="18"/>
          <w:sz w:val="18"/>
        </w:rPr>
        <w:t> </w:t>
      </w:r>
      <w:r>
        <w:rPr>
          <w:rFonts w:ascii="Arial" w:hAnsi="Arial"/>
          <w:color w:val="231F20"/>
          <w:sz w:val="18"/>
        </w:rPr>
        <w:t>OR (Status</w:t>
      </w:r>
      <w:r>
        <w:rPr>
          <w:rFonts w:ascii="Arial" w:hAnsi="Arial"/>
          <w:color w:val="231F20"/>
          <w:spacing w:val="40"/>
          <w:sz w:val="18"/>
        </w:rPr>
        <w:t> </w:t>
      </w:r>
      <w:r>
        <w:rPr>
          <w:rFonts w:ascii="Arial" w:hAnsi="Arial"/>
          <w:color w:val="231F20"/>
          <w:sz w:val="18"/>
        </w:rPr>
        <w:t>==</w:t>
      </w:r>
      <w:r>
        <w:rPr>
          <w:rFonts w:ascii="Arial" w:hAnsi="Arial"/>
          <w:color w:val="231F20"/>
          <w:spacing w:val="40"/>
          <w:sz w:val="18"/>
        </w:rPr>
        <w:t> </w:t>
      </w:r>
      <w:r>
        <w:rPr>
          <w:rFonts w:ascii="Arial" w:hAnsi="Arial"/>
          <w:color w:val="231F20"/>
          <w:sz w:val="18"/>
        </w:rPr>
        <w:t>Hub_Newer)</w:t>
      </w:r>
    </w:p>
    <w:p>
      <w:pPr>
        <w:pStyle w:val="Heading6"/>
        <w:spacing w:before="130"/>
      </w:pPr>
      <w:r>
        <w:rPr>
          <w:color w:val="231F20"/>
          <w:spacing w:val="-2"/>
        </w:rPr>
        <w:t>TEMS_Busy</w:t>
      </w:r>
    </w:p>
    <w:p>
      <w:pPr>
        <w:pStyle w:val="BodyText"/>
        <w:spacing w:line="213" w:lineRule="auto" w:before="12"/>
        <w:ind w:left="3190" w:right="274"/>
      </w:pPr>
      <w:r>
        <w:rPr>
          <w:color w:val="231F20"/>
        </w:rPr>
        <w:t>This situation becomes true and an event is opened when the Tivoli Enterprise Monitoring Server is continually busy. Default: Do not </w:t>
      </w:r>
      <w:r>
        <w:rPr>
          <w:color w:val="231F20"/>
          <w:spacing w:val="14"/>
        </w:rPr>
        <w:drawing>
          <wp:inline distT="0" distB="0" distL="0" distR="0">
            <wp:extent cx="82550" cy="82550"/>
            <wp:effectExtent l="0" t="0" r="0" b="0"/>
            <wp:docPr id="2314" name="Image 2314"/>
            <wp:cNvGraphicFramePr>
              <a:graphicFrameLocks/>
            </wp:cNvGraphicFramePr>
            <a:graphic>
              <a:graphicData uri="http://schemas.openxmlformats.org/drawingml/2006/picture">
                <pic:pic>
                  <pic:nvPicPr>
                    <pic:cNvPr id="2314" name="Image 2314"/>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4"/>
        </w:rPr>
      </w:r>
      <w:r>
        <w:rPr>
          <w:rFonts w:ascii="Times New Roman"/>
          <w:color w:val="231F20"/>
          <w:spacing w:val="-9"/>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2315" name="Image 2315"/>
            <wp:cNvGraphicFramePr>
              <a:graphicFrameLocks/>
            </wp:cNvGraphicFramePr>
            <a:graphic>
              <a:graphicData uri="http://schemas.openxmlformats.org/drawingml/2006/picture">
                <pic:pic>
                  <pic:nvPicPr>
                    <pic:cNvPr id="2315" name="Image 2315"/>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1"/>
        <w:ind w:left="3190" w:right="0" w:firstLine="0"/>
        <w:jc w:val="left"/>
        <w:rPr>
          <w:rFonts w:ascii="Arial" w:hAnsi="Arial"/>
          <w:sz w:val="18"/>
        </w:rPr>
      </w:pPr>
      <w:r>
        <w:rPr>
          <w:rFonts w:ascii="Arial" w:hAnsi="Arial"/>
          <w:color w:val="231F20"/>
          <w:spacing w:val="-2"/>
          <w:sz w:val="18"/>
        </w:rPr>
        <w:t>(</w:t>
      </w:r>
      <w:r>
        <w:rPr>
          <w:rFonts w:ascii="Arial" w:hAnsi="Arial"/>
          <w:color w:val="231F20"/>
          <w:spacing w:val="14"/>
          <w:sz w:val="18"/>
        </w:rPr>
        <w:t> </w:t>
      </w:r>
      <w:r>
        <w:rPr>
          <w:rFonts w:ascii="Arial" w:hAnsi="Arial"/>
          <w:color w:val="231F20"/>
          <w:spacing w:val="-2"/>
          <w:sz w:val="18"/>
        </w:rPr>
        <w:t>Product</w:t>
      </w:r>
      <w:r>
        <w:rPr>
          <w:rFonts w:ascii="Arial" w:hAnsi="Arial"/>
          <w:color w:val="231F20"/>
          <w:spacing w:val="15"/>
          <w:sz w:val="18"/>
        </w:rPr>
        <w:t> </w:t>
      </w:r>
      <w:r>
        <w:rPr>
          <w:rFonts w:ascii="Arial" w:hAnsi="Arial"/>
          <w:color w:val="231F20"/>
          <w:spacing w:val="-2"/>
          <w:sz w:val="18"/>
        </w:rPr>
        <w:t>==</w:t>
      </w:r>
      <w:r>
        <w:rPr>
          <w:rFonts w:ascii="Arial" w:hAnsi="Arial"/>
          <w:color w:val="231F20"/>
          <w:spacing w:val="14"/>
          <w:sz w:val="18"/>
        </w:rPr>
        <w:t> </w:t>
      </w:r>
      <w:r>
        <w:rPr>
          <w:rFonts w:ascii="Arial" w:hAnsi="Arial"/>
          <w:color w:val="231F20"/>
          <w:spacing w:val="-2"/>
          <w:sz w:val="18"/>
        </w:rPr>
        <w:t>’EM’</w:t>
      </w:r>
      <w:r>
        <w:rPr>
          <w:rFonts w:ascii="Arial" w:hAnsi="Arial"/>
          <w:color w:val="231F20"/>
          <w:spacing w:val="15"/>
          <w:sz w:val="18"/>
        </w:rPr>
        <w:t> </w:t>
      </w:r>
      <w:r>
        <w:rPr>
          <w:rFonts w:ascii="Arial" w:hAnsi="Arial"/>
          <w:color w:val="231F20"/>
          <w:spacing w:val="-2"/>
          <w:sz w:val="18"/>
        </w:rPr>
        <w:t>AND</w:t>
      </w:r>
      <w:r>
        <w:rPr>
          <w:rFonts w:ascii="Arial" w:hAnsi="Arial"/>
          <w:color w:val="231F20"/>
          <w:spacing w:val="14"/>
          <w:sz w:val="18"/>
        </w:rPr>
        <w:t> </w:t>
      </w:r>
      <w:r>
        <w:rPr>
          <w:rFonts w:ascii="Arial" w:hAnsi="Arial"/>
          <w:color w:val="231F20"/>
          <w:spacing w:val="-2"/>
          <w:sz w:val="18"/>
        </w:rPr>
        <w:t>Reason</w:t>
      </w:r>
      <w:r>
        <w:rPr>
          <w:rFonts w:ascii="Arial" w:hAnsi="Arial"/>
          <w:color w:val="231F20"/>
          <w:spacing w:val="15"/>
          <w:sz w:val="18"/>
        </w:rPr>
        <w:t> </w:t>
      </w:r>
      <w:r>
        <w:rPr>
          <w:rFonts w:ascii="Arial" w:hAnsi="Arial"/>
          <w:color w:val="231F20"/>
          <w:spacing w:val="-2"/>
          <w:sz w:val="18"/>
        </w:rPr>
        <w:t>==</w:t>
      </w:r>
      <w:r>
        <w:rPr>
          <w:rFonts w:ascii="Arial" w:hAnsi="Arial"/>
          <w:color w:val="231F20"/>
          <w:spacing w:val="14"/>
          <w:sz w:val="18"/>
        </w:rPr>
        <w:t> </w:t>
      </w:r>
      <w:r>
        <w:rPr>
          <w:rFonts w:ascii="Arial" w:hAnsi="Arial"/>
          <w:color w:val="231F20"/>
          <w:spacing w:val="-4"/>
          <w:sz w:val="18"/>
        </w:rPr>
        <w:t>’H’)</w:t>
      </w:r>
    </w:p>
    <w:p>
      <w:pPr>
        <w:pStyle w:val="BodyText"/>
        <w:spacing w:before="2"/>
        <w:rPr>
          <w:rFonts w:ascii="Arial"/>
        </w:rPr>
      </w:pPr>
      <w:r>
        <w:rPr/>
        <mc:AlternateContent>
          <mc:Choice Requires="wps">
            <w:drawing>
              <wp:anchor distT="0" distB="0" distL="0" distR="0" allowOverlap="1" layoutInCell="1" locked="0" behindDoc="1" simplePos="0" relativeHeight="487725568">
                <wp:simplePos x="0" y="0"/>
                <wp:positionH relativeFrom="page">
                  <wp:posOffset>912380</wp:posOffset>
                </wp:positionH>
                <wp:positionV relativeFrom="paragraph">
                  <wp:posOffset>162655</wp:posOffset>
                </wp:positionV>
                <wp:extent cx="6082665" cy="1270"/>
                <wp:effectExtent l="0" t="0" r="0" b="0"/>
                <wp:wrapTopAndBottom/>
                <wp:docPr id="2316" name="Graphic 2316"/>
                <wp:cNvGraphicFramePr>
                  <a:graphicFrameLocks/>
                </wp:cNvGraphicFramePr>
                <a:graphic>
                  <a:graphicData uri="http://schemas.microsoft.com/office/word/2010/wordprocessingShape">
                    <wps:wsp>
                      <wps:cNvPr id="2316" name="Graphic 231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807508pt;width:478.95pt;height:.1pt;mso-position-horizontal-relative:page;mso-position-vertical-relative:paragraph;z-index:-15590912;mso-wrap-distance-left:0;mso-wrap-distance-right:0" id="docshape213" coordorigin="1437,256" coordsize="9579,0" path="m1437,256l11016,256e" filled="false" stroked="true" strokeweight=".499pt" strokecolor="#231f20">
                <v:path arrowok="t"/>
                <v:stroke dashstyle="solid"/>
                <w10:wrap type="topAndBottom"/>
              </v:shape>
            </w:pict>
          </mc:Fallback>
        </mc:AlternateContent>
      </w:r>
    </w:p>
    <w:p>
      <w:pPr>
        <w:pStyle w:val="Heading3"/>
      </w:pPr>
      <w:bookmarkStart w:name="Creating a situation" w:id="417"/>
      <w:bookmarkEnd w:id="417"/>
      <w:r>
        <w:rPr>
          <w:b w:val="0"/>
        </w:rPr>
      </w:r>
      <w:r>
        <w:rPr>
          <w:color w:val="231F20"/>
        </w:rPr>
        <w:t>Creating</w:t>
      </w:r>
      <w:r>
        <w:rPr>
          <w:color w:val="231F20"/>
          <w:spacing w:val="8"/>
        </w:rPr>
        <w:t> </w:t>
      </w:r>
      <w:r>
        <w:rPr>
          <w:color w:val="231F20"/>
        </w:rPr>
        <w:t>a</w:t>
      </w:r>
      <w:r>
        <w:rPr>
          <w:color w:val="231F20"/>
          <w:spacing w:val="9"/>
        </w:rPr>
        <w:t> </w:t>
      </w:r>
      <w:r>
        <w:rPr>
          <w:color w:val="231F20"/>
          <w:spacing w:val="-2"/>
        </w:rPr>
        <w:t>situation</w:t>
      </w:r>
    </w:p>
    <w:p>
      <w:pPr>
        <w:pStyle w:val="BodyText"/>
        <w:spacing w:line="213" w:lineRule="auto" w:before="138"/>
        <w:ind w:left="2472" w:right="545"/>
      </w:pPr>
      <w:r>
        <w:rPr>
          <w:color w:val="231F20"/>
        </w:rPr>
        <w:t>You can create a situation to alert you of certain conditions and to trigger single action commands or complex automated workflows.</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Take</w:t>
      </w:r>
      <w:r>
        <w:rPr>
          <w:color w:val="231F20"/>
          <w:spacing w:val="8"/>
        </w:rPr>
        <w:t> </w:t>
      </w:r>
      <w:r>
        <w:rPr>
          <w:color w:val="231F20"/>
        </w:rPr>
        <w:t>these</w:t>
      </w:r>
      <w:r>
        <w:rPr>
          <w:color w:val="231F20"/>
          <w:spacing w:val="9"/>
        </w:rPr>
        <w:t> </w:t>
      </w:r>
      <w:r>
        <w:rPr>
          <w:color w:val="231F20"/>
        </w:rPr>
        <w:t>steps</w:t>
      </w:r>
      <w:r>
        <w:rPr>
          <w:color w:val="231F20"/>
          <w:spacing w:val="8"/>
        </w:rPr>
        <w:t> </w:t>
      </w:r>
      <w:r>
        <w:rPr>
          <w:color w:val="231F20"/>
        </w:rPr>
        <w:t>to</w:t>
      </w:r>
      <w:r>
        <w:rPr>
          <w:color w:val="231F20"/>
          <w:spacing w:val="9"/>
        </w:rPr>
        <w:t> </w:t>
      </w:r>
      <w:r>
        <w:rPr>
          <w:color w:val="231F20"/>
        </w:rPr>
        <w:t>create</w:t>
      </w:r>
      <w:r>
        <w:rPr>
          <w:color w:val="231F20"/>
          <w:spacing w:val="9"/>
        </w:rPr>
        <w:t> </w:t>
      </w:r>
      <w:r>
        <w:rPr>
          <w:color w:val="231F20"/>
        </w:rPr>
        <w:t>a</w:t>
      </w:r>
      <w:r>
        <w:rPr>
          <w:color w:val="231F20"/>
          <w:spacing w:val="8"/>
        </w:rPr>
        <w:t> </w:t>
      </w:r>
      <w:r>
        <w:rPr>
          <w:color w:val="231F20"/>
          <w:spacing w:val="-2"/>
        </w:rPr>
        <w:t>situation:</w:t>
      </w:r>
    </w:p>
    <w:p>
      <w:pPr>
        <w:pStyle w:val="Heading4"/>
        <w:spacing w:before="194"/>
        <w:ind w:left="2472"/>
      </w:pPr>
      <w:r>
        <w:rPr>
          <w:color w:val="231F20"/>
          <w:spacing w:val="-2"/>
        </w:rPr>
        <w:t>Procedure</w:t>
      </w:r>
    </w:p>
    <w:p>
      <w:pPr>
        <w:pStyle w:val="ListParagraph"/>
        <w:numPr>
          <w:ilvl w:val="0"/>
          <w:numId w:val="116"/>
        </w:numPr>
        <w:tabs>
          <w:tab w:pos="2788" w:val="left" w:leader="none"/>
        </w:tabs>
        <w:spacing w:line="213" w:lineRule="auto" w:before="62" w:after="0"/>
        <w:ind w:left="2788" w:right="349" w:hanging="316"/>
        <w:jc w:val="left"/>
        <w:rPr>
          <w:sz w:val="20"/>
        </w:rPr>
      </w:pPr>
      <w:r>
        <w:rPr>
          <w:color w:val="231F20"/>
          <w:sz w:val="20"/>
        </w:rPr>
        <w:t>If the Situation editor is not open, open it using one of the methods described</w:t>
      </w:r>
      <w:r>
        <w:rPr>
          <w:color w:val="231F20"/>
          <w:spacing w:val="40"/>
          <w:sz w:val="20"/>
        </w:rPr>
        <w:t> </w:t>
      </w:r>
      <w:r>
        <w:rPr>
          <w:color w:val="231F20"/>
          <w:sz w:val="20"/>
        </w:rPr>
        <w:t>in </w:t>
      </w:r>
      <w:hyperlink w:history="true" w:anchor="_bookmark183">
        <w:r>
          <w:rPr>
            <w:color w:val="231F20"/>
            <w:sz w:val="20"/>
          </w:rPr>
          <w:t>“Opening the Situation editor” on page 251.</w:t>
        </w:r>
      </w:hyperlink>
    </w:p>
    <w:p>
      <w:pPr>
        <w:spacing w:after="0" w:line="213" w:lineRule="auto"/>
        <w:jc w:val="left"/>
        <w:rPr>
          <w:sz w:val="20"/>
        </w:rPr>
        <w:sectPr>
          <w:pgSz w:w="12240" w:h="15840"/>
          <w:pgMar w:header="0" w:footer="736" w:top="1200" w:bottom="920" w:left="1000" w:right="1060"/>
        </w:sectPr>
      </w:pPr>
    </w:p>
    <w:p>
      <w:pPr>
        <w:pStyle w:val="ListParagraph"/>
        <w:numPr>
          <w:ilvl w:val="0"/>
          <w:numId w:val="116"/>
        </w:numPr>
        <w:tabs>
          <w:tab w:pos="2547" w:val="left" w:leader="none"/>
        </w:tabs>
        <w:spacing w:line="240" w:lineRule="auto" w:before="62" w:after="0"/>
        <w:ind w:left="2547" w:right="0" w:hanging="315"/>
        <w:jc w:val="left"/>
        <w:rPr>
          <w:sz w:val="20"/>
        </w:rPr>
      </w:pPr>
      <w:bookmarkStart w:name="_bookmark196" w:id="418"/>
      <w:bookmarkEnd w:id="418"/>
      <w:r>
        <w:rPr/>
      </w:r>
      <w:r>
        <w:rPr>
          <w:color w:val="231F20"/>
          <w:sz w:val="20"/>
        </w:rPr>
        <w:t>In</w:t>
      </w:r>
      <w:r>
        <w:rPr>
          <w:color w:val="231F20"/>
          <w:spacing w:val="7"/>
          <w:sz w:val="20"/>
        </w:rPr>
        <w:t> </w:t>
      </w:r>
      <w:r>
        <w:rPr>
          <w:color w:val="231F20"/>
          <w:sz w:val="20"/>
        </w:rPr>
        <w:t>the</w:t>
      </w:r>
      <w:r>
        <w:rPr>
          <w:color w:val="231F20"/>
          <w:spacing w:val="9"/>
          <w:sz w:val="20"/>
        </w:rPr>
        <w:t> </w:t>
      </w:r>
      <w:r>
        <w:rPr>
          <w:color w:val="231F20"/>
          <w:sz w:val="20"/>
        </w:rPr>
        <w:t>Situation</w:t>
      </w:r>
      <w:r>
        <w:rPr>
          <w:color w:val="231F20"/>
          <w:spacing w:val="10"/>
          <w:sz w:val="20"/>
        </w:rPr>
        <w:t> </w:t>
      </w:r>
      <w:r>
        <w:rPr>
          <w:color w:val="231F20"/>
          <w:sz w:val="20"/>
        </w:rPr>
        <w:t>editor,</w:t>
      </w:r>
      <w:r>
        <w:rPr>
          <w:color w:val="231F20"/>
          <w:spacing w:val="10"/>
          <w:sz w:val="20"/>
        </w:rPr>
        <w:t> </w:t>
      </w:r>
      <w:r>
        <w:rPr>
          <w:color w:val="231F20"/>
          <w:sz w:val="20"/>
        </w:rPr>
        <w:t>click</w:t>
      </w:r>
      <w:r>
        <w:rPr>
          <w:color w:val="231F20"/>
          <w:spacing w:val="16"/>
          <w:sz w:val="20"/>
        </w:rPr>
        <w:t> </w:t>
      </w:r>
      <w:r>
        <w:rPr>
          <w:color w:val="231F20"/>
          <w:spacing w:val="23"/>
          <w:sz w:val="20"/>
        </w:rPr>
        <w:drawing>
          <wp:inline distT="0" distB="0" distL="0" distR="0">
            <wp:extent cx="71437" cy="76200"/>
            <wp:effectExtent l="0" t="0" r="0" b="0"/>
            <wp:docPr id="2317" name="Image 2317"/>
            <wp:cNvGraphicFramePr>
              <a:graphicFrameLocks/>
            </wp:cNvGraphicFramePr>
            <a:graphic>
              <a:graphicData uri="http://schemas.openxmlformats.org/drawingml/2006/picture">
                <pic:pic>
                  <pic:nvPicPr>
                    <pic:cNvPr id="2317" name="Image 2317"/>
                    <pic:cNvPicPr/>
                  </pic:nvPicPr>
                  <pic:blipFill>
                    <a:blip r:embed="rId26" cstate="print"/>
                    <a:stretch>
                      <a:fillRect/>
                    </a:stretch>
                  </pic:blipFill>
                  <pic:spPr>
                    <a:xfrm>
                      <a:off x="0" y="0"/>
                      <a:ext cx="71437" cy="76200"/>
                    </a:xfrm>
                    <a:prstGeom prst="rect">
                      <a:avLst/>
                    </a:prstGeom>
                  </pic:spPr>
                </pic:pic>
              </a:graphicData>
            </a:graphic>
          </wp:inline>
        </w:drawing>
      </w:r>
      <w:r>
        <w:rPr>
          <w:color w:val="231F20"/>
          <w:spacing w:val="23"/>
          <w:sz w:val="20"/>
        </w:rPr>
      </w:r>
      <w:r>
        <w:rPr>
          <w:rFonts w:ascii="Times New Roman"/>
          <w:color w:val="231F20"/>
          <w:spacing w:val="-24"/>
          <w:sz w:val="20"/>
        </w:rPr>
        <w:t> </w:t>
      </w:r>
      <w:r>
        <w:rPr>
          <w:rFonts w:ascii="Book Antiqua"/>
          <w:b/>
          <w:color w:val="231F20"/>
          <w:sz w:val="20"/>
        </w:rPr>
        <w:t>Create</w:t>
      </w:r>
      <w:r>
        <w:rPr>
          <w:rFonts w:ascii="Book Antiqua"/>
          <w:b/>
          <w:color w:val="231F20"/>
          <w:spacing w:val="10"/>
          <w:sz w:val="20"/>
        </w:rPr>
        <w:t> </w:t>
      </w:r>
      <w:r>
        <w:rPr>
          <w:rFonts w:ascii="Book Antiqua"/>
          <w:b/>
          <w:color w:val="231F20"/>
          <w:sz w:val="20"/>
        </w:rPr>
        <w:t>new</w:t>
      </w:r>
      <w:r>
        <w:rPr>
          <w:rFonts w:ascii="Book Antiqua"/>
          <w:b/>
          <w:color w:val="231F20"/>
          <w:spacing w:val="9"/>
          <w:sz w:val="20"/>
        </w:rPr>
        <w:t> </w:t>
      </w:r>
      <w:r>
        <w:rPr>
          <w:rFonts w:ascii="Book Antiqua"/>
          <w:b/>
          <w:color w:val="231F20"/>
          <w:spacing w:val="-2"/>
          <w:sz w:val="20"/>
        </w:rPr>
        <w:t>Situation</w:t>
      </w:r>
      <w:r>
        <w:rPr>
          <w:color w:val="231F20"/>
          <w:spacing w:val="-2"/>
          <w:sz w:val="20"/>
        </w:rPr>
        <w:t>.</w:t>
      </w:r>
    </w:p>
    <w:p>
      <w:pPr>
        <w:pStyle w:val="ListParagraph"/>
        <w:numPr>
          <w:ilvl w:val="0"/>
          <w:numId w:val="116"/>
        </w:numPr>
        <w:tabs>
          <w:tab w:pos="2548" w:val="left" w:leader="none"/>
        </w:tabs>
        <w:spacing w:line="213" w:lineRule="auto" w:before="52" w:after="0"/>
        <w:ind w:left="2548" w:right="435" w:hanging="316"/>
        <w:jc w:val="left"/>
        <w:rPr>
          <w:sz w:val="20"/>
        </w:rPr>
      </w:pPr>
      <w:r>
        <w:rPr>
          <w:color w:val="231F20"/>
          <w:sz w:val="20"/>
        </w:rPr>
        <w:t>Type</w:t>
      </w:r>
      <w:r>
        <w:rPr>
          <w:color w:val="231F20"/>
          <w:spacing w:val="24"/>
          <w:sz w:val="20"/>
        </w:rPr>
        <w:t> </w:t>
      </w:r>
      <w:r>
        <w:rPr>
          <w:color w:val="231F20"/>
          <w:sz w:val="20"/>
        </w:rPr>
        <w:t>a</w:t>
      </w:r>
      <w:r>
        <w:rPr>
          <w:color w:val="231F20"/>
          <w:spacing w:val="24"/>
          <w:sz w:val="20"/>
        </w:rPr>
        <w:t> </w:t>
      </w:r>
      <w:r>
        <w:rPr>
          <w:color w:val="231F20"/>
          <w:sz w:val="20"/>
        </w:rPr>
        <w:t>name</w:t>
      </w:r>
      <w:r>
        <w:rPr>
          <w:color w:val="231F20"/>
          <w:spacing w:val="24"/>
          <w:sz w:val="20"/>
        </w:rPr>
        <w:t> </w:t>
      </w:r>
      <w:r>
        <w:rPr>
          <w:color w:val="231F20"/>
          <w:sz w:val="20"/>
        </w:rPr>
        <w:t>for</w:t>
      </w:r>
      <w:r>
        <w:rPr>
          <w:color w:val="231F20"/>
          <w:spacing w:val="24"/>
          <w:sz w:val="20"/>
        </w:rPr>
        <w:t> </w:t>
      </w:r>
      <w:r>
        <w:rPr>
          <w:color w:val="231F20"/>
          <w:sz w:val="20"/>
        </w:rPr>
        <w:t>the</w:t>
      </w:r>
      <w:r>
        <w:rPr>
          <w:color w:val="231F20"/>
          <w:spacing w:val="24"/>
          <w:sz w:val="20"/>
        </w:rPr>
        <w:t> </w:t>
      </w:r>
      <w:r>
        <w:rPr>
          <w:color w:val="231F20"/>
          <w:sz w:val="20"/>
        </w:rPr>
        <w:t>situation</w:t>
      </w:r>
      <w:r>
        <w:rPr>
          <w:color w:val="231F20"/>
          <w:spacing w:val="24"/>
          <w:sz w:val="20"/>
        </w:rPr>
        <w:t> </w:t>
      </w:r>
      <w:r>
        <w:rPr>
          <w:color w:val="231F20"/>
          <w:sz w:val="20"/>
        </w:rPr>
        <w:t>in</w:t>
      </w:r>
      <w:r>
        <w:rPr>
          <w:color w:val="231F20"/>
          <w:spacing w:val="24"/>
          <w:sz w:val="20"/>
        </w:rPr>
        <w:t> </w:t>
      </w:r>
      <w:r>
        <w:rPr>
          <w:color w:val="231F20"/>
          <w:sz w:val="20"/>
        </w:rPr>
        <w:t>the</w:t>
      </w:r>
      <w:r>
        <w:rPr>
          <w:color w:val="231F20"/>
          <w:spacing w:val="24"/>
          <w:sz w:val="20"/>
        </w:rPr>
        <w:t> </w:t>
      </w:r>
      <w:r>
        <w:rPr>
          <w:rFonts w:ascii="Book Antiqua"/>
          <w:b/>
          <w:color w:val="231F20"/>
          <w:sz w:val="20"/>
        </w:rPr>
        <w:t>Name</w:t>
      </w:r>
      <w:r>
        <w:rPr>
          <w:rFonts w:ascii="Book Antiqua"/>
          <w:b/>
          <w:color w:val="231F20"/>
          <w:spacing w:val="24"/>
          <w:sz w:val="20"/>
        </w:rPr>
        <w:t> </w:t>
      </w:r>
      <w:r>
        <w:rPr>
          <w:color w:val="231F20"/>
          <w:sz w:val="20"/>
        </w:rPr>
        <w:t>field</w:t>
      </w:r>
      <w:r>
        <w:rPr>
          <w:color w:val="231F20"/>
          <w:spacing w:val="24"/>
          <w:sz w:val="20"/>
        </w:rPr>
        <w:t> </w:t>
      </w:r>
      <w:r>
        <w:rPr>
          <w:color w:val="231F20"/>
          <w:sz w:val="20"/>
        </w:rPr>
        <w:t>and,</w:t>
      </w:r>
      <w:r>
        <w:rPr>
          <w:color w:val="231F20"/>
          <w:spacing w:val="24"/>
          <w:sz w:val="20"/>
        </w:rPr>
        <w:t> </w:t>
      </w:r>
      <w:r>
        <w:rPr>
          <w:color w:val="231F20"/>
          <w:sz w:val="20"/>
        </w:rPr>
        <w:t>optionally,</w:t>
      </w:r>
      <w:r>
        <w:rPr>
          <w:color w:val="231F20"/>
          <w:spacing w:val="24"/>
          <w:sz w:val="20"/>
        </w:rPr>
        <w:t> </w:t>
      </w:r>
      <w:r>
        <w:rPr>
          <w:color w:val="231F20"/>
          <w:sz w:val="20"/>
        </w:rPr>
        <w:t>a</w:t>
      </w:r>
      <w:r>
        <w:rPr>
          <w:color w:val="231F20"/>
          <w:spacing w:val="24"/>
          <w:sz w:val="20"/>
        </w:rPr>
        <w:t> </w:t>
      </w:r>
      <w:r>
        <w:rPr>
          <w:color w:val="231F20"/>
          <w:sz w:val="20"/>
        </w:rPr>
        <w:t>description in the </w:t>
      </w:r>
      <w:r>
        <w:rPr>
          <w:rFonts w:ascii="Book Antiqua"/>
          <w:b/>
          <w:color w:val="231F20"/>
          <w:sz w:val="20"/>
        </w:rPr>
        <w:t>Description </w:t>
      </w:r>
      <w:r>
        <w:rPr>
          <w:color w:val="231F20"/>
          <w:sz w:val="20"/>
        </w:rPr>
        <w:t>field. The name and description can contain any UTF-8 characters: up to 256 bytes for the name and up to 64 bytes for the description.</w:t>
      </w:r>
      <w:r>
        <w:rPr>
          <w:color w:val="231F20"/>
          <w:spacing w:val="40"/>
          <w:sz w:val="20"/>
        </w:rPr>
        <w:t> </w:t>
      </w:r>
      <w:r>
        <w:rPr>
          <w:color w:val="231F20"/>
          <w:sz w:val="20"/>
        </w:rPr>
        <w:t>The maximum varies depending on the characters used because some UTF-8 characters require more than one byte. If you use any special characters such as pound</w:t>
      </w:r>
      <w:r>
        <w:rPr>
          <w:color w:val="231F20"/>
          <w:spacing w:val="27"/>
          <w:sz w:val="20"/>
        </w:rPr>
        <w:t> </w:t>
      </w:r>
      <w:r>
        <w:rPr>
          <w:color w:val="231F20"/>
          <w:sz w:val="20"/>
        </w:rPr>
        <w:t>sign</w:t>
      </w:r>
      <w:r>
        <w:rPr>
          <w:color w:val="231F20"/>
          <w:spacing w:val="27"/>
          <w:sz w:val="20"/>
        </w:rPr>
        <w:t> </w:t>
      </w:r>
      <w:r>
        <w:rPr>
          <w:color w:val="231F20"/>
          <w:sz w:val="20"/>
        </w:rPr>
        <w:t>(#)</w:t>
      </w:r>
      <w:r>
        <w:rPr>
          <w:color w:val="231F20"/>
          <w:spacing w:val="27"/>
          <w:sz w:val="20"/>
        </w:rPr>
        <w:t> </w:t>
      </w:r>
      <w:r>
        <w:rPr>
          <w:color w:val="231F20"/>
          <w:sz w:val="20"/>
        </w:rPr>
        <w:t>or</w:t>
      </w:r>
      <w:r>
        <w:rPr>
          <w:color w:val="231F20"/>
          <w:spacing w:val="27"/>
          <w:sz w:val="20"/>
        </w:rPr>
        <w:t> </w:t>
      </w:r>
      <w:r>
        <w:rPr>
          <w:color w:val="231F20"/>
          <w:sz w:val="20"/>
        </w:rPr>
        <w:t>ampersand</w:t>
      </w:r>
      <w:r>
        <w:rPr>
          <w:color w:val="231F20"/>
          <w:spacing w:val="27"/>
          <w:sz w:val="20"/>
        </w:rPr>
        <w:t> </w:t>
      </w:r>
      <w:r>
        <w:rPr>
          <w:color w:val="231F20"/>
          <w:sz w:val="20"/>
        </w:rPr>
        <w:t>(&amp;)</w:t>
      </w:r>
      <w:r>
        <w:rPr>
          <w:color w:val="231F20"/>
          <w:spacing w:val="27"/>
          <w:sz w:val="20"/>
        </w:rPr>
        <w:t> </w:t>
      </w:r>
      <w:r>
        <w:rPr>
          <w:color w:val="231F20"/>
          <w:sz w:val="20"/>
        </w:rPr>
        <w:t>in</w:t>
      </w:r>
      <w:r>
        <w:rPr>
          <w:color w:val="231F20"/>
          <w:spacing w:val="27"/>
          <w:sz w:val="20"/>
        </w:rPr>
        <w:t> </w:t>
      </w:r>
      <w:r>
        <w:rPr>
          <w:color w:val="231F20"/>
          <w:sz w:val="20"/>
        </w:rPr>
        <w:t>the</w:t>
      </w:r>
      <w:r>
        <w:rPr>
          <w:color w:val="231F20"/>
          <w:spacing w:val="27"/>
          <w:sz w:val="20"/>
        </w:rPr>
        <w:t> </w:t>
      </w:r>
      <w:r>
        <w:rPr>
          <w:color w:val="231F20"/>
          <w:sz w:val="20"/>
        </w:rPr>
        <w:t>name,</w:t>
      </w:r>
      <w:r>
        <w:rPr>
          <w:color w:val="231F20"/>
          <w:spacing w:val="27"/>
          <w:sz w:val="20"/>
        </w:rPr>
        <w:t> </w:t>
      </w:r>
      <w:r>
        <w:rPr>
          <w:color w:val="231F20"/>
          <w:sz w:val="20"/>
        </w:rPr>
        <w:t>a</w:t>
      </w:r>
      <w:r>
        <w:rPr>
          <w:color w:val="231F20"/>
          <w:spacing w:val="27"/>
          <w:sz w:val="20"/>
        </w:rPr>
        <w:t> </w:t>
      </w:r>
      <w:r>
        <w:rPr>
          <w:color w:val="231F20"/>
          <w:sz w:val="20"/>
        </w:rPr>
        <w:t>unique</w:t>
      </w:r>
      <w:r>
        <w:rPr>
          <w:color w:val="231F20"/>
          <w:spacing w:val="27"/>
          <w:sz w:val="20"/>
        </w:rPr>
        <w:t> </w:t>
      </w:r>
      <w:r>
        <w:rPr>
          <w:color w:val="231F20"/>
          <w:sz w:val="20"/>
        </w:rPr>
        <w:t>short</w:t>
      </w:r>
      <w:r>
        <w:rPr>
          <w:color w:val="231F20"/>
          <w:spacing w:val="27"/>
          <w:sz w:val="20"/>
        </w:rPr>
        <w:t> </w:t>
      </w:r>
      <w:r>
        <w:rPr>
          <w:color w:val="231F20"/>
          <w:sz w:val="20"/>
        </w:rPr>
        <w:t>name</w:t>
      </w:r>
      <w:r>
        <w:rPr>
          <w:color w:val="231F20"/>
          <w:spacing w:val="27"/>
          <w:sz w:val="20"/>
        </w:rPr>
        <w:t> </w:t>
      </w:r>
      <w:r>
        <w:rPr>
          <w:color w:val="231F20"/>
          <w:sz w:val="20"/>
        </w:rPr>
        <w:t>is generated and displayed in the Situation editor status bar and in the results of</w:t>
      </w:r>
      <w:r>
        <w:rPr>
          <w:color w:val="231F20"/>
          <w:spacing w:val="40"/>
          <w:sz w:val="20"/>
        </w:rPr>
        <w:t> </w:t>
      </w:r>
      <w:r>
        <w:rPr>
          <w:color w:val="231F20"/>
          <w:sz w:val="20"/>
        </w:rPr>
        <w:t>the CLI tacmd viewSit.</w:t>
      </w:r>
    </w:p>
    <w:p>
      <w:pPr>
        <w:pStyle w:val="ListParagraph"/>
        <w:numPr>
          <w:ilvl w:val="0"/>
          <w:numId w:val="116"/>
        </w:numPr>
        <w:tabs>
          <w:tab w:pos="2547" w:val="left" w:leader="none"/>
        </w:tabs>
        <w:spacing w:line="255" w:lineRule="exact" w:before="32" w:after="0"/>
        <w:ind w:left="2547" w:right="0" w:hanging="315"/>
        <w:jc w:val="left"/>
        <w:rPr>
          <w:sz w:val="20"/>
        </w:rPr>
      </w:pPr>
      <w:r>
        <w:rPr>
          <w:color w:val="231F20"/>
          <w:sz w:val="20"/>
        </w:rPr>
        <w:t>If</w:t>
      </w:r>
      <w:r>
        <w:rPr>
          <w:color w:val="231F20"/>
          <w:spacing w:val="11"/>
          <w:sz w:val="20"/>
        </w:rPr>
        <w:t> </w:t>
      </w:r>
      <w:r>
        <w:rPr>
          <w:color w:val="231F20"/>
          <w:sz w:val="20"/>
        </w:rPr>
        <w:t>this</w:t>
      </w:r>
      <w:r>
        <w:rPr>
          <w:color w:val="231F20"/>
          <w:spacing w:val="11"/>
          <w:sz w:val="20"/>
        </w:rPr>
        <w:t> </w:t>
      </w:r>
      <w:r>
        <w:rPr>
          <w:color w:val="231F20"/>
          <w:sz w:val="20"/>
        </w:rPr>
        <w:t>will</w:t>
      </w:r>
      <w:r>
        <w:rPr>
          <w:color w:val="231F20"/>
          <w:spacing w:val="11"/>
          <w:sz w:val="20"/>
        </w:rPr>
        <w:t> </w:t>
      </w:r>
      <w:r>
        <w:rPr>
          <w:color w:val="231F20"/>
          <w:sz w:val="20"/>
        </w:rPr>
        <w:t>be</w:t>
      </w:r>
      <w:r>
        <w:rPr>
          <w:color w:val="231F20"/>
          <w:spacing w:val="11"/>
          <w:sz w:val="20"/>
        </w:rPr>
        <w:t> </w:t>
      </w:r>
      <w:r>
        <w:rPr>
          <w:color w:val="231F20"/>
          <w:sz w:val="20"/>
        </w:rPr>
        <w:t>a</w:t>
      </w:r>
      <w:r>
        <w:rPr>
          <w:color w:val="231F20"/>
          <w:spacing w:val="11"/>
          <w:sz w:val="20"/>
        </w:rPr>
        <w:t> </w:t>
      </w:r>
      <w:r>
        <w:rPr>
          <w:color w:val="231F20"/>
          <w:sz w:val="20"/>
        </w:rPr>
        <w:t>standard</w:t>
      </w:r>
      <w:r>
        <w:rPr>
          <w:color w:val="231F20"/>
          <w:spacing w:val="11"/>
          <w:sz w:val="20"/>
        </w:rPr>
        <w:t> </w:t>
      </w:r>
      <w:r>
        <w:rPr>
          <w:color w:val="231F20"/>
          <w:sz w:val="20"/>
        </w:rPr>
        <w:t>situation,</w:t>
      </w:r>
      <w:r>
        <w:rPr>
          <w:color w:val="231F20"/>
          <w:spacing w:val="12"/>
          <w:sz w:val="20"/>
        </w:rPr>
        <w:t> </w:t>
      </w:r>
      <w:r>
        <w:rPr>
          <w:color w:val="231F20"/>
          <w:sz w:val="20"/>
        </w:rPr>
        <w:t>select</w:t>
      </w:r>
      <w:r>
        <w:rPr>
          <w:color w:val="231F20"/>
          <w:spacing w:val="11"/>
          <w:sz w:val="20"/>
        </w:rPr>
        <w:t> </w:t>
      </w:r>
      <w:r>
        <w:rPr>
          <w:color w:val="231F20"/>
          <w:sz w:val="20"/>
        </w:rPr>
        <w:t>the</w:t>
      </w:r>
      <w:r>
        <w:rPr>
          <w:color w:val="231F20"/>
          <w:spacing w:val="11"/>
          <w:sz w:val="20"/>
        </w:rPr>
        <w:t> </w:t>
      </w:r>
      <w:r>
        <w:rPr>
          <w:color w:val="231F20"/>
          <w:sz w:val="20"/>
        </w:rPr>
        <w:t>type</w:t>
      </w:r>
      <w:r>
        <w:rPr>
          <w:color w:val="231F20"/>
          <w:spacing w:val="11"/>
          <w:sz w:val="20"/>
        </w:rPr>
        <w:t> </w:t>
      </w:r>
      <w:r>
        <w:rPr>
          <w:color w:val="231F20"/>
          <w:sz w:val="20"/>
        </w:rPr>
        <w:t>of</w:t>
      </w:r>
      <w:r>
        <w:rPr>
          <w:color w:val="231F20"/>
          <w:spacing w:val="11"/>
          <w:sz w:val="20"/>
        </w:rPr>
        <w:t> </w:t>
      </w:r>
      <w:r>
        <w:rPr>
          <w:color w:val="231F20"/>
          <w:sz w:val="20"/>
        </w:rPr>
        <w:t>monitoring</w:t>
      </w:r>
      <w:r>
        <w:rPr>
          <w:color w:val="231F20"/>
          <w:spacing w:val="11"/>
          <w:sz w:val="20"/>
        </w:rPr>
        <w:t> </w:t>
      </w:r>
      <w:r>
        <w:rPr>
          <w:color w:val="231F20"/>
          <w:sz w:val="20"/>
        </w:rPr>
        <w:t>agent</w:t>
      </w:r>
      <w:r>
        <w:rPr>
          <w:color w:val="231F20"/>
          <w:spacing w:val="12"/>
          <w:sz w:val="20"/>
        </w:rPr>
        <w:t> </w:t>
      </w:r>
      <w:r>
        <w:rPr>
          <w:color w:val="231F20"/>
          <w:sz w:val="20"/>
        </w:rPr>
        <w:t>from</w:t>
      </w:r>
      <w:r>
        <w:rPr>
          <w:color w:val="231F20"/>
          <w:spacing w:val="11"/>
          <w:sz w:val="20"/>
        </w:rPr>
        <w:t> </w:t>
      </w:r>
      <w:r>
        <w:rPr>
          <w:color w:val="231F20"/>
          <w:spacing w:val="-5"/>
          <w:sz w:val="20"/>
        </w:rPr>
        <w:t>the</w:t>
      </w:r>
    </w:p>
    <w:p>
      <w:pPr>
        <w:spacing w:line="255" w:lineRule="exact" w:before="0"/>
        <w:ind w:left="2548" w:right="0" w:firstLine="0"/>
        <w:jc w:val="left"/>
        <w:rPr>
          <w:sz w:val="20"/>
        </w:rPr>
      </w:pPr>
      <w:r>
        <w:rPr>
          <w:rFonts w:ascii="Book Antiqua"/>
          <w:b/>
          <w:color w:val="231F20"/>
          <w:sz w:val="20"/>
        </w:rPr>
        <w:t>Monitored</w:t>
      </w:r>
      <w:r>
        <w:rPr>
          <w:rFonts w:ascii="Book Antiqua"/>
          <w:b/>
          <w:color w:val="231F20"/>
          <w:spacing w:val="9"/>
          <w:sz w:val="20"/>
        </w:rPr>
        <w:t> </w:t>
      </w:r>
      <w:r>
        <w:rPr>
          <w:rFonts w:ascii="Book Antiqua"/>
          <w:b/>
          <w:color w:val="231F20"/>
          <w:sz w:val="20"/>
        </w:rPr>
        <w:t>Application</w:t>
      </w:r>
      <w:r>
        <w:rPr>
          <w:rFonts w:ascii="Book Antiqua"/>
          <w:b/>
          <w:color w:val="231F20"/>
          <w:spacing w:val="10"/>
          <w:sz w:val="20"/>
        </w:rPr>
        <w:t> </w:t>
      </w:r>
      <w:r>
        <w:rPr>
          <w:color w:val="231F20"/>
          <w:sz w:val="20"/>
        </w:rPr>
        <w:t>list</w:t>
      </w:r>
      <w:r>
        <w:rPr>
          <w:color w:val="231F20"/>
          <w:spacing w:val="10"/>
          <w:sz w:val="20"/>
        </w:rPr>
        <w:t> </w:t>
      </w:r>
      <w:r>
        <w:rPr>
          <w:color w:val="231F20"/>
          <w:sz w:val="20"/>
        </w:rPr>
        <w:t>and</w:t>
      </w:r>
      <w:r>
        <w:rPr>
          <w:color w:val="231F20"/>
          <w:spacing w:val="10"/>
          <w:sz w:val="20"/>
        </w:rPr>
        <w:t> </w:t>
      </w:r>
      <w:r>
        <w:rPr>
          <w:color w:val="231F20"/>
          <w:sz w:val="20"/>
        </w:rPr>
        <w:t>click</w:t>
      </w:r>
      <w:r>
        <w:rPr>
          <w:color w:val="231F20"/>
          <w:spacing w:val="10"/>
          <w:sz w:val="20"/>
        </w:rPr>
        <w:t> </w:t>
      </w:r>
      <w:r>
        <w:rPr>
          <w:rFonts w:ascii="Book Antiqua"/>
          <w:b/>
          <w:color w:val="231F20"/>
          <w:spacing w:val="-5"/>
          <w:sz w:val="20"/>
        </w:rPr>
        <w:t>OK</w:t>
      </w:r>
      <w:r>
        <w:rPr>
          <w:color w:val="231F20"/>
          <w:spacing w:val="-5"/>
          <w:sz w:val="20"/>
        </w:rPr>
        <w:t>.</w:t>
      </w:r>
    </w:p>
    <w:p>
      <w:pPr>
        <w:pStyle w:val="ListParagraph"/>
        <w:numPr>
          <w:ilvl w:val="0"/>
          <w:numId w:val="116"/>
        </w:numPr>
        <w:tabs>
          <w:tab w:pos="2100" w:val="left" w:leader="none"/>
        </w:tabs>
        <w:spacing w:line="255" w:lineRule="exact" w:before="29" w:after="0"/>
        <w:ind w:left="2100" w:right="0" w:hanging="315"/>
        <w:jc w:val="center"/>
        <w:rPr>
          <w:rFonts w:ascii="Book Antiqua"/>
          <w:b/>
          <w:sz w:val="20"/>
        </w:rPr>
      </w:pPr>
      <w:r>
        <w:rPr>
          <w:color w:val="231F20"/>
          <w:sz w:val="20"/>
        </w:rPr>
        <w:t>If</w:t>
      </w:r>
      <w:r>
        <w:rPr>
          <w:color w:val="231F20"/>
          <w:spacing w:val="29"/>
          <w:sz w:val="20"/>
        </w:rPr>
        <w:t> </w:t>
      </w:r>
      <w:r>
        <w:rPr>
          <w:color w:val="231F20"/>
          <w:sz w:val="20"/>
        </w:rPr>
        <w:t>this</w:t>
      </w:r>
      <w:r>
        <w:rPr>
          <w:color w:val="231F20"/>
          <w:spacing w:val="29"/>
          <w:sz w:val="20"/>
        </w:rPr>
        <w:t> </w:t>
      </w:r>
      <w:r>
        <w:rPr>
          <w:color w:val="231F20"/>
          <w:sz w:val="20"/>
        </w:rPr>
        <w:t>will</w:t>
      </w:r>
      <w:r>
        <w:rPr>
          <w:color w:val="231F20"/>
          <w:spacing w:val="30"/>
          <w:sz w:val="20"/>
        </w:rPr>
        <w:t> </w:t>
      </w:r>
      <w:r>
        <w:rPr>
          <w:color w:val="231F20"/>
          <w:sz w:val="20"/>
        </w:rPr>
        <w:t>be</w:t>
      </w:r>
      <w:r>
        <w:rPr>
          <w:color w:val="231F20"/>
          <w:spacing w:val="29"/>
          <w:sz w:val="20"/>
        </w:rPr>
        <w:t> </w:t>
      </w:r>
      <w:r>
        <w:rPr>
          <w:color w:val="231F20"/>
          <w:sz w:val="20"/>
        </w:rPr>
        <w:t>a</w:t>
      </w:r>
      <w:r>
        <w:rPr>
          <w:color w:val="231F20"/>
          <w:spacing w:val="29"/>
          <w:sz w:val="20"/>
        </w:rPr>
        <w:t> </w:t>
      </w:r>
      <w:r>
        <w:rPr>
          <w:color w:val="231F20"/>
          <w:sz w:val="20"/>
        </w:rPr>
        <w:t>correlated</w:t>
      </w:r>
      <w:r>
        <w:rPr>
          <w:color w:val="231F20"/>
          <w:spacing w:val="30"/>
          <w:sz w:val="20"/>
        </w:rPr>
        <w:t> </w:t>
      </w:r>
      <w:r>
        <w:rPr>
          <w:color w:val="231F20"/>
          <w:sz w:val="20"/>
        </w:rPr>
        <w:t>situation,</w:t>
      </w:r>
      <w:r>
        <w:rPr>
          <w:color w:val="231F20"/>
          <w:spacing w:val="29"/>
          <w:sz w:val="20"/>
        </w:rPr>
        <w:t> </w:t>
      </w:r>
      <w:r>
        <w:rPr>
          <w:color w:val="231F20"/>
          <w:sz w:val="20"/>
        </w:rPr>
        <w:t>select</w:t>
      </w:r>
      <w:r>
        <w:rPr>
          <w:color w:val="231F20"/>
          <w:spacing w:val="30"/>
          <w:sz w:val="20"/>
        </w:rPr>
        <w:t> </w:t>
      </w:r>
      <w:r>
        <w:rPr>
          <w:rFonts w:ascii="Arial"/>
          <w:color w:val="231F20"/>
          <w:sz w:val="20"/>
        </w:rPr>
        <w:t>Correlated</w:t>
      </w:r>
      <w:r>
        <w:rPr>
          <w:rFonts w:ascii="Arial"/>
          <w:color w:val="231F20"/>
          <w:spacing w:val="23"/>
          <w:sz w:val="20"/>
        </w:rPr>
        <w:t> </w:t>
      </w:r>
      <w:r>
        <w:rPr>
          <w:rFonts w:ascii="Arial"/>
          <w:color w:val="231F20"/>
          <w:sz w:val="20"/>
        </w:rPr>
        <w:t>Situation</w:t>
      </w:r>
      <w:r>
        <w:rPr>
          <w:rFonts w:ascii="Arial"/>
          <w:color w:val="231F20"/>
          <w:spacing w:val="23"/>
          <w:sz w:val="20"/>
        </w:rPr>
        <w:t> </w:t>
      </w:r>
      <w:r>
        <w:rPr>
          <w:color w:val="231F20"/>
          <w:sz w:val="20"/>
        </w:rPr>
        <w:t>from</w:t>
      </w:r>
      <w:r>
        <w:rPr>
          <w:color w:val="231F20"/>
          <w:spacing w:val="30"/>
          <w:sz w:val="20"/>
        </w:rPr>
        <w:t> </w:t>
      </w:r>
      <w:r>
        <w:rPr>
          <w:color w:val="231F20"/>
          <w:sz w:val="20"/>
        </w:rPr>
        <w:t>the</w:t>
      </w:r>
      <w:r>
        <w:rPr>
          <w:color w:val="231F20"/>
          <w:spacing w:val="29"/>
          <w:sz w:val="20"/>
        </w:rPr>
        <w:t> </w:t>
      </w:r>
      <w:r>
        <w:rPr>
          <w:rFonts w:ascii="Book Antiqua"/>
          <w:b/>
          <w:color w:val="231F20"/>
          <w:spacing w:val="-4"/>
          <w:sz w:val="20"/>
        </w:rPr>
        <w:t>Type</w:t>
      </w:r>
    </w:p>
    <w:p>
      <w:pPr>
        <w:pStyle w:val="BodyText"/>
        <w:spacing w:line="255" w:lineRule="exact"/>
        <w:ind w:left="2401" w:right="538"/>
        <w:jc w:val="center"/>
      </w:pPr>
      <w:r>
        <w:rPr>
          <w:color w:val="231F20"/>
        </w:rPr>
        <w:t>list,</w:t>
      </w:r>
      <w:r>
        <w:rPr>
          <w:color w:val="231F20"/>
          <w:spacing w:val="11"/>
        </w:rPr>
        <w:t> </w:t>
      </w:r>
      <w:r>
        <w:rPr>
          <w:color w:val="231F20"/>
        </w:rPr>
        <w:t>click</w:t>
      </w:r>
      <w:r>
        <w:rPr>
          <w:color w:val="231F20"/>
          <w:spacing w:val="11"/>
        </w:rPr>
        <w:t> </w:t>
      </w:r>
      <w:r>
        <w:rPr>
          <w:rFonts w:ascii="Book Antiqua" w:hAnsi="Book Antiqua"/>
          <w:b/>
          <w:color w:val="231F20"/>
        </w:rPr>
        <w:t>OK</w:t>
      </w:r>
      <w:r>
        <w:rPr>
          <w:color w:val="231F20"/>
        </w:rPr>
        <w:t>,</w:t>
      </w:r>
      <w:r>
        <w:rPr>
          <w:color w:val="231F20"/>
          <w:spacing w:val="11"/>
        </w:rPr>
        <w:t> </w:t>
      </w:r>
      <w:r>
        <w:rPr>
          <w:color w:val="231F20"/>
        </w:rPr>
        <w:t>and</w:t>
      </w:r>
      <w:r>
        <w:rPr>
          <w:color w:val="231F20"/>
          <w:spacing w:val="12"/>
        </w:rPr>
        <w:t> </w:t>
      </w:r>
      <w:r>
        <w:rPr>
          <w:color w:val="231F20"/>
        </w:rPr>
        <w:t>continue</w:t>
      </w:r>
      <w:r>
        <w:rPr>
          <w:color w:val="231F20"/>
          <w:spacing w:val="11"/>
        </w:rPr>
        <w:t> </w:t>
      </w:r>
      <w:r>
        <w:rPr>
          <w:color w:val="231F20"/>
        </w:rPr>
        <w:t>to</w:t>
      </w:r>
      <w:r>
        <w:rPr>
          <w:color w:val="231F20"/>
          <w:spacing w:val="11"/>
        </w:rPr>
        <w:t> </w:t>
      </w:r>
      <w:r>
        <w:rPr>
          <w:color w:val="231F20"/>
        </w:rPr>
        <w:t>step</w:t>
      </w:r>
      <w:r>
        <w:rPr>
          <w:color w:val="231F20"/>
          <w:spacing w:val="11"/>
        </w:rPr>
        <w:t> </w:t>
      </w:r>
      <w:r>
        <w:rPr>
          <w:color w:val="231F20"/>
        </w:rPr>
        <w:t>5</w:t>
      </w:r>
      <w:r>
        <w:rPr>
          <w:color w:val="231F20"/>
          <w:spacing w:val="12"/>
        </w:rPr>
        <w:t> </w:t>
      </w:r>
      <w:r>
        <w:rPr>
          <w:color w:val="231F20"/>
        </w:rPr>
        <w:t>of</w:t>
      </w:r>
      <w:r>
        <w:rPr>
          <w:color w:val="231F20"/>
          <w:spacing w:val="11"/>
        </w:rPr>
        <w:t> </w:t>
      </w:r>
      <w:hyperlink w:history="true" w:anchor="_bookmark229">
        <w:r>
          <w:rPr>
            <w:color w:val="231F20"/>
          </w:rPr>
          <w:t>“Correlating</w:t>
        </w:r>
        <w:r>
          <w:rPr>
            <w:color w:val="231F20"/>
            <w:spacing w:val="11"/>
          </w:rPr>
          <w:t> </w:t>
        </w:r>
        <w:r>
          <w:rPr>
            <w:color w:val="231F20"/>
          </w:rPr>
          <w:t>situations”</w:t>
        </w:r>
        <w:r>
          <w:rPr>
            <w:color w:val="231F20"/>
            <w:spacing w:val="11"/>
          </w:rPr>
          <w:t> </w:t>
        </w:r>
        <w:r>
          <w:rPr>
            <w:color w:val="231F20"/>
          </w:rPr>
          <w:t>on</w:t>
        </w:r>
        <w:r>
          <w:rPr>
            <w:color w:val="231F20"/>
            <w:spacing w:val="12"/>
          </w:rPr>
          <w:t> </w:t>
        </w:r>
        <w:r>
          <w:rPr>
            <w:color w:val="231F20"/>
          </w:rPr>
          <w:t>page</w:t>
        </w:r>
        <w:r>
          <w:rPr>
            <w:color w:val="231F20"/>
            <w:spacing w:val="11"/>
          </w:rPr>
          <w:t> </w:t>
        </w:r>
        <w:r>
          <w:rPr>
            <w:color w:val="231F20"/>
            <w:spacing w:val="-4"/>
          </w:rPr>
          <w:t>310.</w:t>
        </w:r>
      </w:hyperlink>
    </w:p>
    <w:p>
      <w:pPr>
        <w:pStyle w:val="Heading3"/>
        <w:spacing w:before="211"/>
        <w:ind w:left="0" w:right="5863"/>
        <w:jc w:val="right"/>
      </w:pPr>
      <w:bookmarkStart w:name="Defining the condition" w:id="419"/>
      <w:bookmarkEnd w:id="419"/>
      <w:r>
        <w:rPr>
          <w:b w:val="0"/>
        </w:rPr>
      </w:r>
      <w:r>
        <w:rPr>
          <w:color w:val="231F20"/>
        </w:rPr>
        <w:t>Defining</w:t>
      </w:r>
      <w:r>
        <w:rPr>
          <w:color w:val="231F20"/>
          <w:spacing w:val="7"/>
        </w:rPr>
        <w:t> </w:t>
      </w:r>
      <w:r>
        <w:rPr>
          <w:color w:val="231F20"/>
        </w:rPr>
        <w:t>the</w:t>
      </w:r>
      <w:r>
        <w:rPr>
          <w:color w:val="231F20"/>
          <w:spacing w:val="7"/>
        </w:rPr>
        <w:t> </w:t>
      </w:r>
      <w:r>
        <w:rPr>
          <w:color w:val="231F20"/>
          <w:spacing w:val="-2"/>
        </w:rPr>
        <w:t>condition</w:t>
      </w:r>
    </w:p>
    <w:p>
      <w:pPr>
        <w:pStyle w:val="BodyText"/>
        <w:spacing w:before="35"/>
        <w:ind w:left="2232"/>
      </w:pPr>
      <w:r>
        <w:rPr>
          <w:color w:val="231F20"/>
        </w:rPr>
        <w:t>Define</w:t>
      </w:r>
      <w:r>
        <w:rPr>
          <w:color w:val="231F20"/>
          <w:spacing w:val="11"/>
        </w:rPr>
        <w:t> </w:t>
      </w:r>
      <w:r>
        <w:rPr>
          <w:color w:val="231F20"/>
        </w:rPr>
        <w:t>the</w:t>
      </w:r>
      <w:r>
        <w:rPr>
          <w:color w:val="231F20"/>
          <w:spacing w:val="11"/>
        </w:rPr>
        <w:t> </w:t>
      </w:r>
      <w:r>
        <w:rPr>
          <w:color w:val="231F20"/>
        </w:rPr>
        <w:t>condition</w:t>
      </w:r>
      <w:r>
        <w:rPr>
          <w:color w:val="231F20"/>
          <w:spacing w:val="12"/>
        </w:rPr>
        <w:t> </w:t>
      </w:r>
      <w:r>
        <w:rPr>
          <w:color w:val="231F20"/>
        </w:rPr>
        <w:t>to</w:t>
      </w:r>
      <w:r>
        <w:rPr>
          <w:color w:val="231F20"/>
          <w:spacing w:val="11"/>
        </w:rPr>
        <w:t> </w:t>
      </w:r>
      <w:r>
        <w:rPr>
          <w:color w:val="231F20"/>
        </w:rPr>
        <w:t>test</w:t>
      </w:r>
      <w:r>
        <w:rPr>
          <w:color w:val="231F20"/>
          <w:spacing w:val="12"/>
        </w:rPr>
        <w:t> </w:t>
      </w:r>
      <w:r>
        <w:rPr>
          <w:color w:val="231F20"/>
        </w:rPr>
        <w:t>for</w:t>
      </w:r>
      <w:r>
        <w:rPr>
          <w:color w:val="231F20"/>
          <w:spacing w:val="11"/>
        </w:rPr>
        <w:t> </w:t>
      </w:r>
      <w:r>
        <w:rPr>
          <w:color w:val="231F20"/>
        </w:rPr>
        <w:t>in</w:t>
      </w:r>
      <w:r>
        <w:rPr>
          <w:color w:val="231F20"/>
          <w:spacing w:val="12"/>
        </w:rPr>
        <w:t> </w:t>
      </w:r>
      <w:r>
        <w:rPr>
          <w:color w:val="231F20"/>
        </w:rPr>
        <w:t>the</w:t>
      </w:r>
      <w:r>
        <w:rPr>
          <w:color w:val="231F20"/>
          <w:spacing w:val="11"/>
        </w:rPr>
        <w:t> </w:t>
      </w:r>
      <w:r>
        <w:rPr>
          <w:color w:val="231F20"/>
        </w:rPr>
        <w:t>Situation</w:t>
      </w:r>
      <w:r>
        <w:rPr>
          <w:color w:val="231F20"/>
          <w:spacing w:val="12"/>
        </w:rPr>
        <w:t> </w:t>
      </w:r>
      <w:r>
        <w:rPr>
          <w:color w:val="231F20"/>
        </w:rPr>
        <w:t>editor</w:t>
      </w:r>
      <w:r>
        <w:rPr>
          <w:color w:val="231F20"/>
          <w:spacing w:val="11"/>
        </w:rPr>
        <w:t> </w:t>
      </w:r>
      <w:r>
        <w:rPr>
          <w:color w:val="231F20"/>
        </w:rPr>
        <w:t>Formula</w:t>
      </w:r>
      <w:r>
        <w:rPr>
          <w:color w:val="231F20"/>
          <w:spacing w:val="12"/>
        </w:rPr>
        <w:t> </w:t>
      </w:r>
      <w:r>
        <w:rPr>
          <w:color w:val="231F20"/>
          <w:spacing w:val="-4"/>
        </w:rPr>
        <w:t>tab.</w:t>
      </w:r>
    </w:p>
    <w:p>
      <w:pPr>
        <w:pStyle w:val="Heading4"/>
        <w:spacing w:before="194"/>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This procedure assumes that you are creating a situation </w:t>
      </w:r>
      <w:hyperlink w:history="true" w:anchor="_bookmark195">
        <w:r>
          <w:rPr>
            <w:color w:val="231F20"/>
          </w:rPr>
          <w:t>(“Creating a situation” on</w:t>
        </w:r>
      </w:hyperlink>
      <w:r>
        <w:rPr>
          <w:color w:val="231F20"/>
        </w:rPr>
        <w:t> </w:t>
      </w:r>
      <w:hyperlink w:history="true" w:anchor="_bookmark195">
        <w:r>
          <w:rPr>
            <w:color w:val="231F20"/>
          </w:rPr>
          <w:t>page</w:t>
        </w:r>
        <w:r>
          <w:rPr>
            <w:color w:val="231F20"/>
            <w:spacing w:val="26"/>
          </w:rPr>
          <w:t> </w:t>
        </w:r>
        <w:r>
          <w:rPr>
            <w:color w:val="231F20"/>
          </w:rPr>
          <w:t>265)</w:t>
        </w:r>
      </w:hyperlink>
      <w:r>
        <w:rPr>
          <w:color w:val="231F20"/>
          <w:spacing w:val="26"/>
        </w:rPr>
        <w:t> </w:t>
      </w:r>
      <w:r>
        <w:rPr>
          <w:color w:val="231F20"/>
        </w:rPr>
        <w:t>and</w:t>
      </w:r>
      <w:r>
        <w:rPr>
          <w:color w:val="231F20"/>
          <w:spacing w:val="26"/>
        </w:rPr>
        <w:t> </w:t>
      </w:r>
      <w:r>
        <w:rPr>
          <w:color w:val="231F20"/>
        </w:rPr>
        <w:t>the</w:t>
      </w:r>
      <w:r>
        <w:rPr>
          <w:color w:val="231F20"/>
          <w:spacing w:val="26"/>
        </w:rPr>
        <w:t> </w:t>
      </w:r>
      <w:r>
        <w:rPr>
          <w:color w:val="231F20"/>
        </w:rPr>
        <w:t>Select</w:t>
      </w:r>
      <w:r>
        <w:rPr>
          <w:color w:val="231F20"/>
          <w:spacing w:val="26"/>
        </w:rPr>
        <w:t> </w:t>
      </w:r>
      <w:r>
        <w:rPr>
          <w:color w:val="231F20"/>
        </w:rPr>
        <w:t>Condition</w:t>
      </w:r>
      <w:r>
        <w:rPr>
          <w:color w:val="231F20"/>
          <w:spacing w:val="26"/>
        </w:rPr>
        <w:t> </w:t>
      </w:r>
      <w:r>
        <w:rPr>
          <w:color w:val="231F20"/>
        </w:rPr>
        <w:t>dialog</w:t>
      </w:r>
      <w:r>
        <w:rPr>
          <w:color w:val="231F20"/>
          <w:spacing w:val="26"/>
        </w:rPr>
        <w:t> </w:t>
      </w:r>
      <w:r>
        <w:rPr>
          <w:color w:val="231F20"/>
        </w:rPr>
        <w:t>box</w:t>
      </w:r>
      <w:r>
        <w:rPr>
          <w:color w:val="231F20"/>
          <w:spacing w:val="26"/>
        </w:rPr>
        <w:t> </w:t>
      </w:r>
      <w:r>
        <w:rPr>
          <w:color w:val="231F20"/>
        </w:rPr>
        <w:t>is</w:t>
      </w:r>
      <w:r>
        <w:rPr>
          <w:color w:val="231F20"/>
          <w:spacing w:val="26"/>
        </w:rPr>
        <w:t> </w:t>
      </w:r>
      <w:r>
        <w:rPr>
          <w:color w:val="231F20"/>
        </w:rPr>
        <w:t>open.</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are</w:t>
      </w:r>
      <w:r>
        <w:rPr>
          <w:color w:val="231F20"/>
          <w:spacing w:val="26"/>
        </w:rPr>
        <w:t> </w:t>
      </w:r>
      <w:r>
        <w:rPr>
          <w:color w:val="231F20"/>
        </w:rPr>
        <w:t>editing</w:t>
      </w:r>
      <w:r>
        <w:rPr>
          <w:color w:val="231F20"/>
          <w:spacing w:val="26"/>
        </w:rPr>
        <w:t> </w:t>
      </w:r>
      <w:r>
        <w:rPr>
          <w:color w:val="231F20"/>
        </w:rPr>
        <w:t>a situation, this dialog box is opened after you click </w:t>
      </w:r>
      <w:r>
        <w:rPr>
          <w:rFonts w:ascii="Book Antiqua" w:hAnsi="Book Antiqua"/>
          <w:b/>
          <w:color w:val="231F20"/>
        </w:rPr>
        <w:t>Add Conditions </w:t>
      </w:r>
      <w:r>
        <w:rPr>
          <w:color w:val="231F20"/>
        </w:rPr>
        <w:t>in the Formula </w:t>
      </w:r>
      <w:r>
        <w:rPr>
          <w:color w:val="231F20"/>
          <w:spacing w:val="-4"/>
        </w:rPr>
        <w:t>tab.</w:t>
      </w:r>
    </w:p>
    <w:p>
      <w:pPr>
        <w:pStyle w:val="Heading4"/>
        <w:spacing w:before="198"/>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8"/>
        </w:rPr>
        <w:t> </w:t>
      </w:r>
      <w:r>
        <w:rPr>
          <w:color w:val="231F20"/>
        </w:rPr>
        <w:t>these</w:t>
      </w:r>
      <w:r>
        <w:rPr>
          <w:color w:val="231F20"/>
          <w:spacing w:val="9"/>
        </w:rPr>
        <w:t> </w:t>
      </w:r>
      <w:r>
        <w:rPr>
          <w:color w:val="231F20"/>
        </w:rPr>
        <w:t>steps</w:t>
      </w:r>
      <w:r>
        <w:rPr>
          <w:color w:val="231F20"/>
          <w:spacing w:val="8"/>
        </w:rPr>
        <w:t> </w:t>
      </w:r>
      <w:r>
        <w:rPr>
          <w:color w:val="231F20"/>
        </w:rPr>
        <w:t>to</w:t>
      </w:r>
      <w:r>
        <w:rPr>
          <w:color w:val="231F20"/>
          <w:spacing w:val="8"/>
        </w:rPr>
        <w:t> </w:t>
      </w:r>
      <w:r>
        <w:rPr>
          <w:color w:val="231F20"/>
        </w:rPr>
        <w:t>compose</w:t>
      </w:r>
      <w:r>
        <w:rPr>
          <w:color w:val="231F20"/>
          <w:spacing w:val="9"/>
        </w:rPr>
        <w:t> </w:t>
      </w:r>
      <w:r>
        <w:rPr>
          <w:color w:val="231F20"/>
        </w:rPr>
        <w:t>the</w:t>
      </w:r>
      <w:r>
        <w:rPr>
          <w:color w:val="231F20"/>
          <w:spacing w:val="8"/>
        </w:rPr>
        <w:t> </w:t>
      </w:r>
      <w:r>
        <w:rPr>
          <w:color w:val="231F20"/>
        </w:rPr>
        <w:t>situation</w:t>
      </w:r>
      <w:r>
        <w:rPr>
          <w:color w:val="231F20"/>
          <w:spacing w:val="9"/>
        </w:rPr>
        <w:t> </w:t>
      </w:r>
      <w:r>
        <w:rPr>
          <w:color w:val="231F20"/>
          <w:spacing w:val="-2"/>
        </w:rPr>
        <w:t>formula.</w:t>
      </w:r>
    </w:p>
    <w:p>
      <w:pPr>
        <w:pStyle w:val="Heading4"/>
        <w:spacing w:before="194"/>
      </w:pPr>
      <w:r>
        <w:rPr>
          <w:color w:val="231F20"/>
          <w:spacing w:val="-2"/>
        </w:rPr>
        <w:t>Procedure</w:t>
      </w:r>
    </w:p>
    <w:p>
      <w:pPr>
        <w:pStyle w:val="ListParagraph"/>
        <w:numPr>
          <w:ilvl w:val="1"/>
          <w:numId w:val="116"/>
        </w:numPr>
        <w:tabs>
          <w:tab w:pos="2659" w:val="left" w:leader="none"/>
        </w:tabs>
        <w:spacing w:line="213" w:lineRule="auto" w:before="62" w:after="0"/>
        <w:ind w:left="2659" w:right="554" w:hanging="316"/>
        <w:jc w:val="left"/>
        <w:rPr>
          <w:sz w:val="20"/>
        </w:rPr>
      </w:pPr>
      <w:r>
        <w:rPr>
          <w:color w:val="231F20"/>
          <w:sz w:val="20"/>
        </w:rPr>
        <w:t>In the Select Condition dialog box, select the type of condition that you want</w:t>
      </w:r>
      <w:r>
        <w:rPr>
          <w:color w:val="231F20"/>
          <w:spacing w:val="40"/>
          <w:sz w:val="20"/>
        </w:rPr>
        <w:t> </w:t>
      </w:r>
      <w:r>
        <w:rPr>
          <w:color w:val="231F20"/>
          <w:sz w:val="20"/>
        </w:rPr>
        <w:t>to define:</w:t>
      </w:r>
    </w:p>
    <w:p>
      <w:pPr>
        <w:pStyle w:val="BodyText"/>
        <w:spacing w:line="213" w:lineRule="auto" w:before="58"/>
        <w:ind w:left="2875" w:right="545" w:hanging="216"/>
      </w:pPr>
      <w:r>
        <w:rPr>
          <w:rFonts w:ascii="Futura MdCn BT"/>
          <w:color w:val="231F20"/>
        </w:rPr>
        <w:t>v</w:t>
      </w:r>
      <w:r>
        <w:rPr>
          <w:rFonts w:ascii="Futura MdCn BT"/>
          <w:color w:val="231F20"/>
          <w:spacing w:val="80"/>
        </w:rPr>
        <w:t> </w:t>
      </w:r>
      <w:r>
        <w:rPr>
          <w:rFonts w:ascii="Book Antiqua"/>
          <w:b/>
          <w:color w:val="231F20"/>
        </w:rPr>
        <w:t>Attribute Comparison</w:t>
      </w:r>
      <w:r>
        <w:rPr>
          <w:color w:val="231F20"/>
        </w:rPr>
        <w:t>, then select an attribute group and one or more attributes. Any attributes that are inappropriate for use in situations do </w:t>
      </w:r>
      <w:r>
        <w:rPr>
          <w:color w:val="231F20"/>
        </w:rPr>
        <w:t>not</w:t>
      </w:r>
      <w:r>
        <w:rPr>
          <w:color w:val="231F20"/>
        </w:rPr>
        <w:t> appear in the list. For example, you might see an attribute in a table view</w:t>
      </w:r>
      <w:r>
        <w:rPr>
          <w:color w:val="231F20"/>
          <w:spacing w:val="40"/>
        </w:rPr>
        <w:t> </w:t>
      </w:r>
      <w:r>
        <w:rPr>
          <w:color w:val="231F20"/>
        </w:rPr>
        <w:t>that</w:t>
      </w:r>
      <w:r>
        <w:rPr>
          <w:color w:val="231F20"/>
          <w:spacing w:val="29"/>
        </w:rPr>
        <w:t> </w:t>
      </w:r>
      <w:r>
        <w:rPr>
          <w:color w:val="231F20"/>
        </w:rPr>
        <w:t>you</w:t>
      </w:r>
      <w:r>
        <w:rPr>
          <w:color w:val="231F20"/>
          <w:spacing w:val="29"/>
        </w:rPr>
        <w:t> </w:t>
      </w:r>
      <w:r>
        <w:rPr>
          <w:color w:val="231F20"/>
        </w:rPr>
        <w:t>cannot</w:t>
      </w:r>
      <w:r>
        <w:rPr>
          <w:color w:val="231F20"/>
          <w:spacing w:val="29"/>
        </w:rPr>
        <w:t> </w:t>
      </w:r>
      <w:r>
        <w:rPr>
          <w:color w:val="231F20"/>
        </w:rPr>
        <w:t>see</w:t>
      </w:r>
      <w:r>
        <w:rPr>
          <w:color w:val="231F20"/>
          <w:spacing w:val="29"/>
        </w:rPr>
        <w:t> </w:t>
      </w:r>
      <w:r>
        <w:rPr>
          <w:color w:val="231F20"/>
        </w:rPr>
        <w:t>when</w:t>
      </w:r>
      <w:r>
        <w:rPr>
          <w:color w:val="231F20"/>
          <w:spacing w:val="29"/>
        </w:rPr>
        <w:t> </w:t>
      </w:r>
      <w:r>
        <w:rPr>
          <w:color w:val="231F20"/>
        </w:rPr>
        <w:t>creating</w:t>
      </w:r>
      <w:r>
        <w:rPr>
          <w:color w:val="231F20"/>
          <w:spacing w:val="29"/>
        </w:rPr>
        <w:t> </w:t>
      </w:r>
      <w:r>
        <w:rPr>
          <w:color w:val="231F20"/>
        </w:rPr>
        <w:t>a</w:t>
      </w:r>
      <w:r>
        <w:rPr>
          <w:color w:val="231F20"/>
          <w:spacing w:val="29"/>
        </w:rPr>
        <w:t> </w:t>
      </w:r>
      <w:r>
        <w:rPr>
          <w:color w:val="231F20"/>
        </w:rPr>
        <w:t>situation</w:t>
      </w:r>
      <w:r>
        <w:rPr>
          <w:color w:val="231F20"/>
          <w:spacing w:val="29"/>
        </w:rPr>
        <w:t> </w:t>
      </w:r>
      <w:r>
        <w:rPr>
          <w:color w:val="231F20"/>
        </w:rPr>
        <w:t>with</w:t>
      </w:r>
      <w:r>
        <w:rPr>
          <w:color w:val="231F20"/>
          <w:spacing w:val="29"/>
        </w:rPr>
        <w:t> </w:t>
      </w:r>
      <w:r>
        <w:rPr>
          <w:color w:val="231F20"/>
        </w:rPr>
        <w:t>the</w:t>
      </w:r>
      <w:r>
        <w:rPr>
          <w:color w:val="231F20"/>
          <w:spacing w:val="29"/>
        </w:rPr>
        <w:t> </w:t>
      </w:r>
      <w:r>
        <w:rPr>
          <w:color w:val="231F20"/>
        </w:rPr>
        <w:t>same</w:t>
      </w:r>
      <w:r>
        <w:rPr>
          <w:color w:val="231F20"/>
          <w:spacing w:val="29"/>
        </w:rPr>
        <w:t> </w:t>
      </w:r>
      <w:r>
        <w:rPr>
          <w:color w:val="231F20"/>
        </w:rPr>
        <w:t>attribute </w:t>
      </w:r>
      <w:r>
        <w:rPr>
          <w:color w:val="231F20"/>
          <w:spacing w:val="-2"/>
        </w:rPr>
        <w:t>group.</w:t>
      </w:r>
    </w:p>
    <w:p>
      <w:pPr>
        <w:spacing w:before="34"/>
        <w:ind w:left="2659" w:right="0" w:firstLine="0"/>
        <w:jc w:val="left"/>
        <w:rPr>
          <w:sz w:val="20"/>
        </w:rPr>
      </w:pPr>
      <w:r>
        <w:rPr>
          <w:rFonts w:ascii="Futura MdCn BT"/>
          <w:color w:val="231F20"/>
          <w:sz w:val="20"/>
        </w:rPr>
        <w:t>v</w:t>
      </w:r>
      <w:r>
        <w:rPr>
          <w:rFonts w:ascii="Futura MdCn BT"/>
          <w:color w:val="231F20"/>
          <w:spacing w:val="30"/>
          <w:sz w:val="20"/>
        </w:rPr>
        <w:t>  </w:t>
      </w:r>
      <w:r>
        <w:rPr>
          <w:rFonts w:ascii="Book Antiqua"/>
          <w:b/>
          <w:color w:val="231F20"/>
          <w:sz w:val="20"/>
        </w:rPr>
        <w:t>Situation</w:t>
      </w:r>
      <w:r>
        <w:rPr>
          <w:rFonts w:ascii="Book Antiqua"/>
          <w:b/>
          <w:color w:val="231F20"/>
          <w:spacing w:val="12"/>
          <w:sz w:val="20"/>
        </w:rPr>
        <w:t> </w:t>
      </w:r>
      <w:r>
        <w:rPr>
          <w:rFonts w:ascii="Book Antiqua"/>
          <w:b/>
          <w:color w:val="231F20"/>
          <w:sz w:val="20"/>
        </w:rPr>
        <w:t>Comparison</w:t>
      </w:r>
      <w:r>
        <w:rPr>
          <w:color w:val="231F20"/>
          <w:sz w:val="20"/>
        </w:rPr>
        <w:t>,</w:t>
      </w:r>
      <w:r>
        <w:rPr>
          <w:color w:val="231F20"/>
          <w:spacing w:val="12"/>
          <w:sz w:val="20"/>
        </w:rPr>
        <w:t> </w:t>
      </w:r>
      <w:r>
        <w:rPr>
          <w:color w:val="231F20"/>
          <w:sz w:val="20"/>
        </w:rPr>
        <w:t>then</w:t>
      </w:r>
      <w:r>
        <w:rPr>
          <w:color w:val="231F20"/>
          <w:spacing w:val="12"/>
          <w:sz w:val="20"/>
        </w:rPr>
        <w:t> </w:t>
      </w:r>
      <w:r>
        <w:rPr>
          <w:color w:val="231F20"/>
          <w:sz w:val="20"/>
        </w:rPr>
        <w:t>select</w:t>
      </w:r>
      <w:r>
        <w:rPr>
          <w:color w:val="231F20"/>
          <w:spacing w:val="11"/>
          <w:sz w:val="20"/>
        </w:rPr>
        <w:t> </w:t>
      </w:r>
      <w:r>
        <w:rPr>
          <w:color w:val="231F20"/>
          <w:sz w:val="20"/>
        </w:rPr>
        <w:t>the</w:t>
      </w:r>
      <w:r>
        <w:rPr>
          <w:color w:val="231F20"/>
          <w:spacing w:val="12"/>
          <w:sz w:val="20"/>
        </w:rPr>
        <w:t> </w:t>
      </w:r>
      <w:r>
        <w:rPr>
          <w:color w:val="231F20"/>
          <w:sz w:val="20"/>
        </w:rPr>
        <w:t>situation</w:t>
      </w:r>
      <w:r>
        <w:rPr>
          <w:color w:val="231F20"/>
          <w:spacing w:val="11"/>
          <w:sz w:val="20"/>
        </w:rPr>
        <w:t> </w:t>
      </w:r>
      <w:r>
        <w:rPr>
          <w:color w:val="231F20"/>
          <w:sz w:val="20"/>
        </w:rPr>
        <w:t>to</w:t>
      </w:r>
      <w:r>
        <w:rPr>
          <w:color w:val="231F20"/>
          <w:spacing w:val="12"/>
          <w:sz w:val="20"/>
        </w:rPr>
        <w:t> </w:t>
      </w:r>
      <w:r>
        <w:rPr>
          <w:color w:val="231F20"/>
          <w:spacing w:val="-2"/>
          <w:sz w:val="20"/>
        </w:rPr>
        <w:t>embed.</w:t>
      </w:r>
    </w:p>
    <w:p>
      <w:pPr>
        <w:pStyle w:val="BodyText"/>
        <w:spacing w:line="213" w:lineRule="auto" w:before="52"/>
        <w:ind w:left="2875" w:right="533" w:hanging="216"/>
      </w:pPr>
      <w:r>
        <w:rPr>
          <w:rFonts w:ascii="Futura MdCn BT"/>
          <w:color w:val="231F20"/>
        </w:rPr>
        <w:t>v</w:t>
      </w:r>
      <w:r>
        <w:rPr>
          <w:rFonts w:ascii="Futura MdCn BT"/>
          <w:color w:val="231F20"/>
          <w:spacing w:val="80"/>
        </w:rPr>
        <w:t> </w:t>
      </w:r>
      <w:r>
        <w:rPr>
          <w:color w:val="231F20"/>
        </w:rPr>
        <w:t>Use Ctrl+click to select additional items from the list or Shift+click to </w:t>
      </w:r>
      <w:r>
        <w:rPr>
          <w:color w:val="231F20"/>
        </w:rPr>
        <w:t>select</w:t>
      </w:r>
      <w:r>
        <w:rPr>
          <w:color w:val="231F20"/>
          <w:spacing w:val="40"/>
        </w:rPr>
        <w:t> </w:t>
      </w:r>
      <w:r>
        <w:rPr>
          <w:color w:val="231F20"/>
        </w:rPr>
        <w:t>all</w:t>
      </w:r>
      <w:r>
        <w:rPr>
          <w:color w:val="231F20"/>
          <w:spacing w:val="23"/>
        </w:rPr>
        <w:t> </w:t>
      </w:r>
      <w:r>
        <w:rPr>
          <w:color w:val="231F20"/>
        </w:rPr>
        <w:t>items</w:t>
      </w:r>
      <w:r>
        <w:rPr>
          <w:color w:val="231F20"/>
          <w:spacing w:val="23"/>
        </w:rPr>
        <w:t> </w:t>
      </w:r>
      <w:r>
        <w:rPr>
          <w:color w:val="231F20"/>
        </w:rPr>
        <w:t>between</w:t>
      </w:r>
      <w:r>
        <w:rPr>
          <w:color w:val="231F20"/>
          <w:spacing w:val="23"/>
        </w:rPr>
        <w:t> </w:t>
      </w:r>
      <w:r>
        <w:rPr>
          <w:color w:val="231F20"/>
        </w:rPr>
        <w:t>and</w:t>
      </w:r>
      <w:r>
        <w:rPr>
          <w:color w:val="231F20"/>
          <w:spacing w:val="23"/>
        </w:rPr>
        <w:t> </w:t>
      </w:r>
      <w:r>
        <w:rPr>
          <w:color w:val="231F20"/>
        </w:rPr>
        <w:t>including</w:t>
      </w:r>
      <w:r>
        <w:rPr>
          <w:color w:val="231F20"/>
          <w:spacing w:val="23"/>
        </w:rPr>
        <w:t> </w:t>
      </w:r>
      <w:r>
        <w:rPr>
          <w:color w:val="231F20"/>
        </w:rPr>
        <w:t>the</w:t>
      </w:r>
      <w:r>
        <w:rPr>
          <w:color w:val="231F20"/>
          <w:spacing w:val="23"/>
        </w:rPr>
        <w:t> </w:t>
      </w:r>
      <w:r>
        <w:rPr>
          <w:color w:val="231F20"/>
        </w:rPr>
        <w:t>first</w:t>
      </w:r>
      <w:r>
        <w:rPr>
          <w:color w:val="231F20"/>
          <w:spacing w:val="23"/>
        </w:rPr>
        <w:t> </w:t>
      </w:r>
      <w:r>
        <w:rPr>
          <w:color w:val="231F20"/>
        </w:rPr>
        <w:t>selection</w:t>
      </w:r>
      <w:r>
        <w:rPr>
          <w:color w:val="231F20"/>
          <w:spacing w:val="23"/>
        </w:rPr>
        <w:t> </w:t>
      </w:r>
      <w:r>
        <w:rPr>
          <w:color w:val="231F20"/>
        </w:rPr>
        <w:t>and</w:t>
      </w:r>
      <w:r>
        <w:rPr>
          <w:color w:val="231F20"/>
          <w:spacing w:val="23"/>
        </w:rPr>
        <w:t> </w:t>
      </w:r>
      <w:r>
        <w:rPr>
          <w:color w:val="231F20"/>
        </w:rPr>
        <w:t>this</w:t>
      </w:r>
      <w:r>
        <w:rPr>
          <w:color w:val="231F20"/>
          <w:spacing w:val="23"/>
        </w:rPr>
        <w:t> </w:t>
      </w:r>
      <w:r>
        <w:rPr>
          <w:color w:val="231F20"/>
        </w:rPr>
        <w:t>one. Attributes or situations that have already been chosen are colored blue. You can add additional attributes or situations later using the </w:t>
      </w:r>
      <w:r>
        <w:rPr>
          <w:rFonts w:ascii="Book Antiqua"/>
          <w:b/>
          <w:color w:val="231F20"/>
        </w:rPr>
        <w:t>Add conditions... </w:t>
      </w:r>
      <w:r>
        <w:rPr>
          <w:color w:val="231F20"/>
        </w:rPr>
        <w:t>button</w:t>
      </w:r>
      <w:r>
        <w:rPr>
          <w:color w:val="231F20"/>
          <w:spacing w:val="80"/>
        </w:rPr>
        <w:t> </w:t>
      </w:r>
      <w:r>
        <w:rPr>
          <w:color w:val="231F20"/>
        </w:rPr>
        <w:t>on the </w:t>
      </w:r>
      <w:r>
        <w:rPr>
          <w:color w:val="231F20"/>
          <w:spacing w:val="16"/>
          <w:position w:val="-1"/>
        </w:rPr>
        <w:drawing>
          <wp:inline distT="0" distB="0" distL="0" distR="0">
            <wp:extent cx="101600" cy="101600"/>
            <wp:effectExtent l="0" t="0" r="0" b="0"/>
            <wp:docPr id="2318" name="Image 2318"/>
            <wp:cNvGraphicFramePr>
              <a:graphicFrameLocks/>
            </wp:cNvGraphicFramePr>
            <a:graphic>
              <a:graphicData uri="http://schemas.openxmlformats.org/drawingml/2006/picture">
                <pic:pic>
                  <pic:nvPicPr>
                    <pic:cNvPr id="2318" name="Image 2318"/>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Formula </w:t>
      </w:r>
      <w:r>
        <w:rPr>
          <w:color w:val="231F20"/>
        </w:rPr>
        <w:t>tab.</w:t>
      </w:r>
    </w:p>
    <w:p>
      <w:pPr>
        <w:pStyle w:val="BodyText"/>
        <w:spacing w:line="255" w:lineRule="exact" w:before="94"/>
        <w:ind w:left="2659"/>
      </w:pPr>
      <w:r>
        <w:rPr>
          <w:color w:val="231F20"/>
        </w:rPr>
        <w:t>After</w:t>
      </w:r>
      <w:r>
        <w:rPr>
          <w:color w:val="231F20"/>
          <w:spacing w:val="11"/>
        </w:rPr>
        <w:t> </w:t>
      </w:r>
      <w:r>
        <w:rPr>
          <w:color w:val="231F20"/>
        </w:rPr>
        <w:t>you</w:t>
      </w:r>
      <w:r>
        <w:rPr>
          <w:color w:val="231F20"/>
          <w:spacing w:val="12"/>
        </w:rPr>
        <w:t> </w:t>
      </w:r>
      <w:r>
        <w:rPr>
          <w:color w:val="231F20"/>
        </w:rPr>
        <w:t>select</w:t>
      </w:r>
      <w:r>
        <w:rPr>
          <w:color w:val="231F20"/>
          <w:spacing w:val="12"/>
        </w:rPr>
        <w:t> </w:t>
      </w:r>
      <w:r>
        <w:rPr>
          <w:color w:val="231F20"/>
        </w:rPr>
        <w:t>the</w:t>
      </w:r>
      <w:r>
        <w:rPr>
          <w:color w:val="231F20"/>
          <w:spacing w:val="12"/>
        </w:rPr>
        <w:t> </w:t>
      </w:r>
      <w:r>
        <w:rPr>
          <w:color w:val="231F20"/>
        </w:rPr>
        <w:t>attributes</w:t>
      </w:r>
      <w:r>
        <w:rPr>
          <w:color w:val="231F20"/>
          <w:spacing w:val="11"/>
        </w:rPr>
        <w:t> </w:t>
      </w:r>
      <w:r>
        <w:rPr>
          <w:color w:val="231F20"/>
        </w:rPr>
        <w:t>or</w:t>
      </w:r>
      <w:r>
        <w:rPr>
          <w:color w:val="231F20"/>
          <w:spacing w:val="12"/>
        </w:rPr>
        <w:t> </w:t>
      </w:r>
      <w:r>
        <w:rPr>
          <w:color w:val="231F20"/>
        </w:rPr>
        <w:t>situations</w:t>
      </w:r>
      <w:r>
        <w:rPr>
          <w:color w:val="231F20"/>
          <w:spacing w:val="12"/>
        </w:rPr>
        <w:t> </w:t>
      </w:r>
      <w:r>
        <w:rPr>
          <w:color w:val="231F20"/>
        </w:rPr>
        <w:t>to</w:t>
      </w:r>
      <w:r>
        <w:rPr>
          <w:color w:val="231F20"/>
          <w:spacing w:val="12"/>
        </w:rPr>
        <w:t> </w:t>
      </w:r>
      <w:r>
        <w:rPr>
          <w:color w:val="231F20"/>
        </w:rPr>
        <w:t>add</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rPr>
        <w:t>formula</w:t>
      </w:r>
      <w:r>
        <w:rPr>
          <w:color w:val="231F20"/>
          <w:spacing w:val="12"/>
        </w:rPr>
        <w:t> </w:t>
      </w:r>
      <w:r>
        <w:rPr>
          <w:color w:val="231F20"/>
        </w:rPr>
        <w:t>and</w:t>
      </w:r>
      <w:r>
        <w:rPr>
          <w:color w:val="231F20"/>
          <w:spacing w:val="12"/>
        </w:rPr>
        <w:t> </w:t>
      </w:r>
      <w:r>
        <w:rPr>
          <w:color w:val="231F20"/>
          <w:spacing w:val="-2"/>
        </w:rPr>
        <w:t>click</w:t>
      </w:r>
    </w:p>
    <w:p>
      <w:pPr>
        <w:pStyle w:val="BodyText"/>
        <w:spacing w:line="255" w:lineRule="exact"/>
        <w:ind w:left="2659"/>
      </w:pPr>
      <w:r>
        <w:rPr>
          <w:rFonts w:ascii="Book Antiqua"/>
          <w:b/>
          <w:color w:val="231F20"/>
        </w:rPr>
        <w:t>OK</w:t>
      </w:r>
      <w:r>
        <w:rPr>
          <w:color w:val="231F20"/>
        </w:rPr>
        <w:t>,</w:t>
      </w:r>
      <w:r>
        <w:rPr>
          <w:color w:val="231F20"/>
          <w:spacing w:val="11"/>
        </w:rPr>
        <w:t> </w:t>
      </w:r>
      <w:r>
        <w:rPr>
          <w:color w:val="231F20"/>
        </w:rPr>
        <w:t>they</w:t>
      </w:r>
      <w:r>
        <w:rPr>
          <w:color w:val="231F20"/>
          <w:spacing w:val="11"/>
        </w:rPr>
        <w:t> </w:t>
      </w:r>
      <w:r>
        <w:rPr>
          <w:color w:val="231F20"/>
        </w:rPr>
        <w:t>appear</w:t>
      </w:r>
      <w:r>
        <w:rPr>
          <w:color w:val="231F20"/>
          <w:spacing w:val="12"/>
        </w:rPr>
        <w:t> </w:t>
      </w:r>
      <w:r>
        <w:rPr>
          <w:color w:val="231F20"/>
        </w:rPr>
        <w:t>as</w:t>
      </w:r>
      <w:r>
        <w:rPr>
          <w:color w:val="231F20"/>
          <w:spacing w:val="11"/>
        </w:rPr>
        <w:t> </w:t>
      </w:r>
      <w:r>
        <w:rPr>
          <w:color w:val="231F20"/>
        </w:rPr>
        <w:t>column</w:t>
      </w:r>
      <w:r>
        <w:rPr>
          <w:color w:val="231F20"/>
          <w:spacing w:val="11"/>
        </w:rPr>
        <w:t> </w:t>
      </w:r>
      <w:r>
        <w:rPr>
          <w:color w:val="231F20"/>
        </w:rPr>
        <w:t>headings</w:t>
      </w:r>
      <w:r>
        <w:rPr>
          <w:color w:val="231F20"/>
          <w:spacing w:val="12"/>
        </w:rPr>
        <w:t> </w:t>
      </w:r>
      <w:r>
        <w:rPr>
          <w:color w:val="231F20"/>
        </w:rPr>
        <w:t>in</w:t>
      </w:r>
      <w:r>
        <w:rPr>
          <w:color w:val="231F20"/>
          <w:spacing w:val="11"/>
        </w:rPr>
        <w:t> </w:t>
      </w:r>
      <w:r>
        <w:rPr>
          <w:color w:val="231F20"/>
        </w:rPr>
        <w:t>the</w:t>
      </w:r>
      <w:r>
        <w:rPr>
          <w:color w:val="231F20"/>
          <w:spacing w:val="11"/>
        </w:rPr>
        <w:t> </w:t>
      </w:r>
      <w:r>
        <w:rPr>
          <w:color w:val="231F20"/>
        </w:rPr>
        <w:t>formula</w:t>
      </w:r>
      <w:r>
        <w:rPr>
          <w:color w:val="231F20"/>
          <w:spacing w:val="12"/>
        </w:rPr>
        <w:t> </w:t>
      </w:r>
      <w:r>
        <w:rPr>
          <w:color w:val="231F20"/>
          <w:spacing w:val="-2"/>
        </w:rPr>
        <w:t>editor.</w:t>
      </w:r>
    </w:p>
    <w:p>
      <w:pPr>
        <w:pStyle w:val="ListParagraph"/>
        <w:numPr>
          <w:ilvl w:val="1"/>
          <w:numId w:val="116"/>
        </w:numPr>
        <w:tabs>
          <w:tab w:pos="2659" w:val="left" w:leader="none"/>
        </w:tabs>
        <w:spacing w:line="213" w:lineRule="auto" w:before="52" w:after="0"/>
        <w:ind w:left="2659" w:right="458" w:hanging="316"/>
        <w:jc w:val="left"/>
        <w:rPr>
          <w:sz w:val="20"/>
        </w:rPr>
      </w:pPr>
      <w:r>
        <w:rPr>
          <w:color w:val="231F20"/>
          <w:sz w:val="20"/>
        </w:rPr>
        <w:t>For each attribute selected, click inside the cell under the column heading </w:t>
      </w:r>
      <w:r>
        <w:rPr>
          <w:color w:val="231F20"/>
          <w:sz w:val="20"/>
        </w:rPr>
        <w:t>and compose an expression </w:t>
      </w:r>
      <w:r>
        <w:rPr>
          <w:color w:val="231F20"/>
          <w:spacing w:val="15"/>
          <w:position w:val="-1"/>
          <w:sz w:val="20"/>
        </w:rPr>
        <w:drawing>
          <wp:inline distT="0" distB="0" distL="0" distR="0">
            <wp:extent cx="558800" cy="101600"/>
            <wp:effectExtent l="0" t="0" r="0" b="0"/>
            <wp:docPr id="2319" name="Image 2319"/>
            <wp:cNvGraphicFramePr>
              <a:graphicFrameLocks/>
            </wp:cNvGraphicFramePr>
            <a:graphic>
              <a:graphicData uri="http://schemas.openxmlformats.org/drawingml/2006/picture">
                <pic:pic>
                  <pic:nvPicPr>
                    <pic:cNvPr id="2319" name="Image 2319"/>
                    <pic:cNvPicPr/>
                  </pic:nvPicPr>
                  <pic:blipFill>
                    <a:blip r:embed="rId194" cstate="print"/>
                    <a:stretch>
                      <a:fillRect/>
                    </a:stretch>
                  </pic:blipFill>
                  <pic:spPr>
                    <a:xfrm>
                      <a:off x="0" y="0"/>
                      <a:ext cx="558800" cy="101600"/>
                    </a:xfrm>
                    <a:prstGeom prst="rect">
                      <a:avLst/>
                    </a:prstGeom>
                  </pic:spPr>
                </pic:pic>
              </a:graphicData>
            </a:graphic>
          </wp:inline>
        </w:drawing>
      </w:r>
      <w:r>
        <w:rPr>
          <w:color w:val="231F20"/>
          <w:spacing w:val="15"/>
          <w:position w:val="-1"/>
          <w:sz w:val="20"/>
        </w:rPr>
      </w:r>
      <w:r>
        <w:rPr>
          <w:rFonts w:ascii="Times New Roman"/>
          <w:color w:val="231F20"/>
          <w:spacing w:val="-12"/>
          <w:sz w:val="20"/>
        </w:rPr>
        <w:t> </w:t>
      </w:r>
      <w:r>
        <w:rPr>
          <w:color w:val="231F20"/>
          <w:sz w:val="20"/>
        </w:rPr>
        <w:t>, which consists of a function, a relational operator, and the value to test for:</w:t>
      </w:r>
    </w:p>
    <w:p>
      <w:pPr>
        <w:pStyle w:val="BodyText"/>
        <w:tabs>
          <w:tab w:pos="2942" w:val="left" w:leader="none"/>
        </w:tabs>
        <w:spacing w:line="213" w:lineRule="auto" w:before="58"/>
        <w:ind w:left="2875" w:right="545" w:hanging="216"/>
      </w:pPr>
      <w:r>
        <w:rPr>
          <w:rFonts w:ascii="Futura MdCn BT" w:hAnsi="Futura MdCn BT"/>
          <w:color w:val="231F20"/>
          <w:spacing w:val="-10"/>
        </w:rPr>
        <w:t>v</w:t>
      </w:r>
      <w:r>
        <w:rPr>
          <w:rFonts w:ascii="Futura MdCn BT" w:hAnsi="Futura MdCn BT"/>
          <w:color w:val="231F20"/>
        </w:rPr>
        <w:tab/>
        <w:tab/>
      </w:r>
      <w:r>
        <w:rPr>
          <w:color w:val="231F20"/>
        </w:rPr>
        <w:t>To change the function, click </w:t>
      </w:r>
      <w:r>
        <w:rPr>
          <w:color w:val="231F20"/>
          <w:spacing w:val="15"/>
          <w:position w:val="-1"/>
        </w:rPr>
        <w:drawing>
          <wp:inline distT="0" distB="0" distL="0" distR="0">
            <wp:extent cx="152400" cy="101600"/>
            <wp:effectExtent l="0" t="0" r="0" b="0"/>
            <wp:docPr id="2320" name="Image 2320"/>
            <wp:cNvGraphicFramePr>
              <a:graphicFrameLocks/>
            </wp:cNvGraphicFramePr>
            <a:graphic>
              <a:graphicData uri="http://schemas.openxmlformats.org/drawingml/2006/picture">
                <pic:pic>
                  <pic:nvPicPr>
                    <pic:cNvPr id="2320" name="Image 2320"/>
                    <pic:cNvPicPr/>
                  </pic:nvPicPr>
                  <pic:blipFill>
                    <a:blip r:embed="rId191" cstate="print"/>
                    <a:stretch>
                      <a:fillRect/>
                    </a:stretch>
                  </pic:blipFill>
                  <pic:spPr>
                    <a:xfrm>
                      <a:off x="0" y="0"/>
                      <a:ext cx="152400" cy="101600"/>
                    </a:xfrm>
                    <a:prstGeom prst="rect">
                      <a:avLst/>
                    </a:prstGeom>
                  </pic:spPr>
                </pic:pic>
              </a:graphicData>
            </a:graphic>
          </wp:inline>
        </w:drawing>
      </w:r>
      <w:r>
        <w:rPr>
          <w:color w:val="231F20"/>
          <w:spacing w:val="15"/>
          <w:position w:val="-1"/>
        </w:rPr>
      </w:r>
      <w:r>
        <w:rPr>
          <w:rFonts w:ascii="Times New Roman" w:hAnsi="Times New Roman"/>
          <w:color w:val="231F20"/>
          <w:spacing w:val="40"/>
        </w:rPr>
        <w:t> </w:t>
      </w:r>
      <w:r>
        <w:rPr>
          <w:color w:val="231F20"/>
        </w:rPr>
        <w:t>Value (or </w:t>
      </w:r>
      <w:r>
        <w:rPr>
          <w:color w:val="231F20"/>
          <w:spacing w:val="16"/>
        </w:rPr>
        <w:drawing>
          <wp:inline distT="0" distB="0" distL="0" distR="0">
            <wp:extent cx="88900" cy="63500"/>
            <wp:effectExtent l="0" t="0" r="0" b="0"/>
            <wp:docPr id="2321" name="Image 2321"/>
            <wp:cNvGraphicFramePr>
              <a:graphicFrameLocks/>
            </wp:cNvGraphicFramePr>
            <a:graphic>
              <a:graphicData uri="http://schemas.openxmlformats.org/drawingml/2006/picture">
                <pic:pic>
                  <pic:nvPicPr>
                    <pic:cNvPr id="2321" name="Image 2321"/>
                    <pic:cNvPicPr/>
                  </pic:nvPicPr>
                  <pic:blipFill>
                    <a:blip r:embed="rId156" cstate="print"/>
                    <a:stretch>
                      <a:fillRect/>
                    </a:stretch>
                  </pic:blipFill>
                  <pic:spPr>
                    <a:xfrm>
                      <a:off x="0" y="0"/>
                      <a:ext cx="88900" cy="63500"/>
                    </a:xfrm>
                    <a:prstGeom prst="rect">
                      <a:avLst/>
                    </a:prstGeom>
                  </pic:spPr>
                </pic:pic>
              </a:graphicData>
            </a:graphic>
          </wp:inline>
        </w:drawing>
      </w:r>
      <w:r>
        <w:rPr>
          <w:color w:val="231F20"/>
          <w:spacing w:val="16"/>
        </w:rPr>
      </w:r>
      <w:r>
        <w:rPr>
          <w:rFonts w:ascii="Times New Roman" w:hAnsi="Times New Roman"/>
          <w:color w:val="231F20"/>
          <w:spacing w:val="-17"/>
        </w:rPr>
        <w:t> </w:t>
      </w:r>
      <w:r>
        <w:rPr>
          <w:color w:val="231F20"/>
        </w:rPr>
        <w:t>Compare date/time for a time attribute)</w:t>
      </w:r>
      <w:r>
        <w:rPr>
          <w:color w:val="231F20"/>
          <w:spacing w:val="30"/>
        </w:rPr>
        <w:t> </w:t>
      </w:r>
      <w:r>
        <w:rPr>
          <w:color w:val="231F20"/>
        </w:rPr>
        <w:t>and</w:t>
      </w:r>
      <w:r>
        <w:rPr>
          <w:color w:val="231F20"/>
          <w:spacing w:val="30"/>
        </w:rPr>
        <w:t> </w:t>
      </w:r>
      <w:r>
        <w:rPr>
          <w:color w:val="231F20"/>
        </w:rPr>
        <w:t>select</w:t>
      </w:r>
      <w:r>
        <w:rPr>
          <w:color w:val="231F20"/>
          <w:spacing w:val="30"/>
        </w:rPr>
        <w:t> </w:t>
      </w:r>
      <w:r>
        <w:rPr>
          <w:color w:val="231F20"/>
        </w:rPr>
        <w:t>one</w:t>
      </w:r>
      <w:r>
        <w:rPr>
          <w:color w:val="231F20"/>
          <w:spacing w:val="30"/>
        </w:rPr>
        <w:t> </w:t>
      </w:r>
      <w:r>
        <w:rPr>
          <w:color w:val="231F20"/>
        </w:rPr>
        <w:t>from</w:t>
      </w:r>
      <w:r>
        <w:rPr>
          <w:color w:val="231F20"/>
          <w:spacing w:val="30"/>
        </w:rPr>
        <w:t> </w:t>
      </w:r>
      <w:r>
        <w:rPr>
          <w:color w:val="231F20"/>
        </w:rPr>
        <w:t>the</w:t>
      </w:r>
      <w:r>
        <w:rPr>
          <w:color w:val="231F20"/>
          <w:spacing w:val="30"/>
        </w:rPr>
        <w:t> </w:t>
      </w:r>
      <w:r>
        <w:rPr>
          <w:color w:val="231F20"/>
        </w:rPr>
        <w:t>list.</w:t>
      </w:r>
      <w:r>
        <w:rPr>
          <w:color w:val="231F20"/>
          <w:spacing w:val="30"/>
        </w:rPr>
        <w:t> </w:t>
      </w:r>
      <w:r>
        <w:rPr>
          <w:color w:val="231F20"/>
        </w:rPr>
        <w:t>(See </w:t>
      </w:r>
      <w:hyperlink w:history="true" w:anchor="_bookmark318">
        <w:r>
          <w:rPr>
            <w:color w:val="231F20"/>
          </w:rPr>
          <w:t>Appendix A,</w:t>
        </w:r>
        <w:r>
          <w:rPr>
            <w:color w:val="231F20"/>
            <w:spacing w:val="30"/>
          </w:rPr>
          <w:t> </w:t>
        </w:r>
        <w:r>
          <w:rPr>
            <w:color w:val="231F20"/>
          </w:rPr>
          <w:t>“Formula</w:t>
        </w:r>
      </w:hyperlink>
      <w:r>
        <w:rPr>
          <w:color w:val="231F20"/>
        </w:rPr>
        <w:t> </w:t>
      </w:r>
      <w:hyperlink w:history="true" w:anchor="_bookmark318">
        <w:r>
          <w:rPr>
            <w:color w:val="231F20"/>
          </w:rPr>
          <w:t>functions,” on page 411</w:t>
        </w:r>
      </w:hyperlink>
      <w:r>
        <w:rPr>
          <w:color w:val="231F20"/>
        </w:rPr>
        <w:t> for a description.)</w:t>
      </w:r>
    </w:p>
    <w:p>
      <w:pPr>
        <w:pStyle w:val="BodyText"/>
        <w:spacing w:line="213" w:lineRule="auto" w:before="58"/>
        <w:ind w:left="2875" w:right="700" w:hanging="216"/>
      </w:pPr>
      <w:r>
        <w:rPr>
          <w:rFonts w:ascii="Futura MdCn BT"/>
          <w:color w:val="231F20"/>
        </w:rPr>
        <w:t>v</w:t>
      </w:r>
      <w:r>
        <w:rPr>
          <w:rFonts w:ascii="Futura MdCn BT"/>
          <w:color w:val="231F20"/>
          <w:spacing w:val="80"/>
        </w:rPr>
        <w:t> </w:t>
      </w:r>
      <w:r>
        <w:rPr>
          <w:color w:val="231F20"/>
        </w:rPr>
        <w:t>To change the relational operator, click </w:t>
      </w:r>
      <w:r>
        <w:rPr>
          <w:color w:val="231F20"/>
          <w:spacing w:val="15"/>
          <w:position w:val="-1"/>
        </w:rPr>
        <w:drawing>
          <wp:inline distT="0" distB="0" distL="0" distR="0">
            <wp:extent cx="152400" cy="95250"/>
            <wp:effectExtent l="0" t="0" r="0" b="0"/>
            <wp:docPr id="2322" name="Image 2322"/>
            <wp:cNvGraphicFramePr>
              <a:graphicFrameLocks/>
            </wp:cNvGraphicFramePr>
            <a:graphic>
              <a:graphicData uri="http://schemas.openxmlformats.org/drawingml/2006/picture">
                <pic:pic>
                  <pic:nvPicPr>
                    <pic:cNvPr id="2322" name="Image 2322"/>
                    <pic:cNvPicPr/>
                  </pic:nvPicPr>
                  <pic:blipFill>
                    <a:blip r:embed="rId350" cstate="print"/>
                    <a:stretch>
                      <a:fillRect/>
                    </a:stretch>
                  </pic:blipFill>
                  <pic:spPr>
                    <a:xfrm>
                      <a:off x="0" y="0"/>
                      <a:ext cx="152400" cy="9525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equal and select one from the </w:t>
      </w:r>
      <w:r>
        <w:rPr>
          <w:color w:val="231F20"/>
          <w:spacing w:val="-2"/>
        </w:rPr>
        <w:t>list.</w:t>
      </w:r>
    </w:p>
    <w:p>
      <w:pPr>
        <w:spacing w:after="0" w:line="213" w:lineRule="auto"/>
        <w:sectPr>
          <w:pgSz w:w="12240" w:h="15840"/>
          <w:pgMar w:header="0" w:footer="736" w:top="1180" w:bottom="920" w:left="1000" w:right="1060"/>
        </w:sectPr>
      </w:pPr>
    </w:p>
    <w:p>
      <w:pPr>
        <w:pStyle w:val="BodyText"/>
        <w:spacing w:before="67"/>
        <w:ind w:left="2899"/>
      </w:pPr>
      <w:bookmarkStart w:name="_bookmark197" w:id="420"/>
      <w:bookmarkEnd w:id="420"/>
      <w:r>
        <w:rPr/>
      </w:r>
      <w:r>
        <w:rPr>
          <w:rFonts w:ascii="Futura MdCn BT"/>
          <w:color w:val="231F20"/>
        </w:rPr>
        <w:t>v</w:t>
      </w:r>
      <w:r>
        <w:rPr>
          <w:rFonts w:ascii="Futura MdCn BT"/>
          <w:color w:val="231F20"/>
          <w:spacing w:val="32"/>
        </w:rPr>
        <w:t>  </w:t>
      </w:r>
      <w:r>
        <w:rPr>
          <w:color w:val="231F20"/>
        </w:rPr>
        <w:t>Click</w:t>
      </w:r>
      <w:r>
        <w:rPr>
          <w:color w:val="231F20"/>
          <w:spacing w:val="14"/>
        </w:rPr>
        <w:t> </w:t>
      </w:r>
      <w:r>
        <w:rPr>
          <w:color w:val="231F20"/>
        </w:rPr>
        <w:t>inside</w:t>
      </w:r>
      <w:r>
        <w:rPr>
          <w:color w:val="231F20"/>
          <w:spacing w:val="14"/>
        </w:rPr>
        <w:t> </w:t>
      </w:r>
      <w:r>
        <w:rPr>
          <w:color w:val="231F20"/>
        </w:rPr>
        <w:t>the</w:t>
      </w:r>
      <w:r>
        <w:rPr>
          <w:color w:val="231F20"/>
          <w:spacing w:val="13"/>
        </w:rPr>
        <w:t> </w:t>
      </w:r>
      <w:r>
        <w:rPr>
          <w:color w:val="231F20"/>
          <w:spacing w:val="16"/>
        </w:rPr>
        <w:drawing>
          <wp:inline distT="0" distB="0" distL="0" distR="0">
            <wp:extent cx="158750" cy="82550"/>
            <wp:effectExtent l="0" t="0" r="0" b="0"/>
            <wp:docPr id="2323" name="Image 2323"/>
            <wp:cNvGraphicFramePr>
              <a:graphicFrameLocks/>
            </wp:cNvGraphicFramePr>
            <a:graphic>
              <a:graphicData uri="http://schemas.openxmlformats.org/drawingml/2006/picture">
                <pic:pic>
                  <pic:nvPicPr>
                    <pic:cNvPr id="2323" name="Image 2323"/>
                    <pic:cNvPicPr/>
                  </pic:nvPicPr>
                  <pic:blipFill>
                    <a:blip r:embed="rId192" cstate="print"/>
                    <a:stretch>
                      <a:fillRect/>
                    </a:stretch>
                  </pic:blipFill>
                  <pic:spPr>
                    <a:xfrm>
                      <a:off x="0" y="0"/>
                      <a:ext cx="158750" cy="82550"/>
                    </a:xfrm>
                    <a:prstGeom prst="rect">
                      <a:avLst/>
                    </a:prstGeom>
                  </pic:spPr>
                </pic:pic>
              </a:graphicData>
            </a:graphic>
          </wp:inline>
        </w:drawing>
      </w:r>
      <w:r>
        <w:rPr>
          <w:color w:val="231F20"/>
          <w:spacing w:val="16"/>
        </w:rPr>
      </w:r>
      <w:r>
        <w:rPr>
          <w:rFonts w:ascii="Times New Roman"/>
          <w:color w:val="231F20"/>
          <w:spacing w:val="55"/>
        </w:rPr>
        <w:t> </w:t>
      </w:r>
      <w:r>
        <w:rPr>
          <w:color w:val="231F20"/>
        </w:rPr>
        <w:t>text</w:t>
      </w:r>
      <w:r>
        <w:rPr>
          <w:color w:val="231F20"/>
          <w:spacing w:val="13"/>
        </w:rPr>
        <w:t> </w:t>
      </w:r>
      <w:r>
        <w:rPr>
          <w:color w:val="231F20"/>
        </w:rPr>
        <w:t>box</w:t>
      </w:r>
      <w:r>
        <w:rPr>
          <w:color w:val="231F20"/>
          <w:spacing w:val="13"/>
        </w:rPr>
        <w:t> </w:t>
      </w:r>
      <w:r>
        <w:rPr>
          <w:color w:val="231F20"/>
        </w:rPr>
        <w:t>and</w:t>
      </w:r>
      <w:r>
        <w:rPr>
          <w:color w:val="231F20"/>
          <w:spacing w:val="14"/>
        </w:rPr>
        <w:t> </w:t>
      </w:r>
      <w:r>
        <w:rPr>
          <w:color w:val="231F20"/>
        </w:rPr>
        <w:t>enter</w:t>
      </w:r>
      <w:r>
        <w:rPr>
          <w:color w:val="231F20"/>
          <w:spacing w:val="13"/>
        </w:rPr>
        <w:t> </w:t>
      </w:r>
      <w:r>
        <w:rPr>
          <w:color w:val="231F20"/>
        </w:rPr>
        <w:t>or</w:t>
      </w:r>
      <w:r>
        <w:rPr>
          <w:color w:val="231F20"/>
          <w:spacing w:val="14"/>
        </w:rPr>
        <w:t> </w:t>
      </w:r>
      <w:r>
        <w:rPr>
          <w:color w:val="231F20"/>
        </w:rPr>
        <w:t>select</w:t>
      </w:r>
      <w:r>
        <w:rPr>
          <w:color w:val="231F20"/>
          <w:spacing w:val="13"/>
        </w:rPr>
        <w:t> </w:t>
      </w:r>
      <w:r>
        <w:rPr>
          <w:color w:val="231F20"/>
        </w:rPr>
        <w:t>the</w:t>
      </w:r>
      <w:r>
        <w:rPr>
          <w:color w:val="231F20"/>
          <w:spacing w:val="13"/>
        </w:rPr>
        <w:t> </w:t>
      </w:r>
      <w:r>
        <w:rPr>
          <w:color w:val="231F20"/>
          <w:spacing w:val="-2"/>
        </w:rPr>
        <w:t>value.</w:t>
      </w:r>
    </w:p>
    <w:p>
      <w:pPr>
        <w:pStyle w:val="BodyText"/>
        <w:spacing w:line="213" w:lineRule="auto" w:before="107"/>
        <w:ind w:left="2899" w:right="545"/>
      </w:pPr>
      <w:r>
        <w:rPr>
          <w:color w:val="231F20"/>
        </w:rPr>
        <w:t>Keep multiple expressions in the same row if they must all be met </w:t>
      </w:r>
      <w:r>
        <w:rPr>
          <w:color w:val="231F20"/>
        </w:rPr>
        <w:t>(Boolean AND logic) and on separate rows if any of them can be met (Boolean OR logic) to make the situation true.</w:t>
      </w:r>
    </w:p>
    <w:p>
      <w:pPr>
        <w:pStyle w:val="ListParagraph"/>
        <w:numPr>
          <w:ilvl w:val="1"/>
          <w:numId w:val="116"/>
        </w:numPr>
        <w:tabs>
          <w:tab w:pos="2899" w:val="left" w:leader="none"/>
        </w:tabs>
        <w:spacing w:line="213" w:lineRule="auto" w:before="58" w:after="0"/>
        <w:ind w:left="2899" w:right="386" w:hanging="316"/>
        <w:jc w:val="both"/>
        <w:rPr>
          <w:sz w:val="20"/>
        </w:rPr>
      </w:pPr>
      <w:r>
        <w:rPr>
          <w:color w:val="231F20"/>
          <w:sz w:val="20"/>
        </w:rPr>
        <w:t>To add another attribute to the situation or to embed another situation, click </w:t>
      </w:r>
      <w:r>
        <w:rPr>
          <w:rFonts w:ascii="Book Antiqua"/>
          <w:b/>
          <w:color w:val="231F20"/>
          <w:sz w:val="20"/>
        </w:rPr>
        <w:t>Add Conditions </w:t>
      </w:r>
      <w:r>
        <w:rPr>
          <w:color w:val="231F20"/>
          <w:sz w:val="20"/>
        </w:rPr>
        <w:t>and select the condition type and attributes or situations to </w:t>
      </w:r>
      <w:r>
        <w:rPr>
          <w:color w:val="231F20"/>
          <w:spacing w:val="-4"/>
          <w:sz w:val="20"/>
        </w:rPr>
        <w:t>add.</w:t>
      </w:r>
    </w:p>
    <w:p>
      <w:pPr>
        <w:pStyle w:val="ListParagraph"/>
        <w:numPr>
          <w:ilvl w:val="1"/>
          <w:numId w:val="116"/>
        </w:numPr>
        <w:tabs>
          <w:tab w:pos="2898" w:val="left" w:leader="none"/>
        </w:tabs>
        <w:spacing w:line="240" w:lineRule="auto" w:before="35" w:after="0"/>
        <w:ind w:left="2898" w:right="0" w:hanging="315"/>
        <w:jc w:val="both"/>
        <w:rPr>
          <w:sz w:val="20"/>
        </w:rPr>
      </w:pPr>
      <w:r>
        <w:rPr>
          <w:color w:val="231F20"/>
          <w:sz w:val="20"/>
        </w:rPr>
        <w:t>To</w:t>
      </w:r>
      <w:r>
        <w:rPr>
          <w:color w:val="231F20"/>
          <w:spacing w:val="9"/>
          <w:sz w:val="20"/>
        </w:rPr>
        <w:t> </w:t>
      </w:r>
      <w:r>
        <w:rPr>
          <w:color w:val="231F20"/>
          <w:sz w:val="20"/>
        </w:rPr>
        <w:t>add</w:t>
      </w:r>
      <w:r>
        <w:rPr>
          <w:color w:val="231F20"/>
          <w:spacing w:val="10"/>
          <w:sz w:val="20"/>
        </w:rPr>
        <w:t> </w:t>
      </w:r>
      <w:r>
        <w:rPr>
          <w:color w:val="231F20"/>
          <w:sz w:val="20"/>
        </w:rPr>
        <w:t>situation</w:t>
      </w:r>
      <w:r>
        <w:rPr>
          <w:color w:val="231F20"/>
          <w:spacing w:val="10"/>
          <w:sz w:val="20"/>
        </w:rPr>
        <w:t> </w:t>
      </w:r>
      <w:r>
        <w:rPr>
          <w:color w:val="231F20"/>
          <w:sz w:val="20"/>
        </w:rPr>
        <w:t>persistence</w:t>
      </w:r>
      <w:r>
        <w:rPr>
          <w:color w:val="231F20"/>
          <w:spacing w:val="10"/>
          <w:sz w:val="20"/>
        </w:rPr>
        <w:t> </w:t>
      </w:r>
      <w:r>
        <w:rPr>
          <w:color w:val="231F20"/>
          <w:sz w:val="20"/>
        </w:rPr>
        <w:t>or</w:t>
      </w:r>
      <w:r>
        <w:rPr>
          <w:color w:val="231F20"/>
          <w:spacing w:val="10"/>
          <w:sz w:val="20"/>
        </w:rPr>
        <w:t> </w:t>
      </w:r>
      <w:r>
        <w:rPr>
          <w:color w:val="231F20"/>
          <w:sz w:val="20"/>
        </w:rPr>
        <w:t>a</w:t>
      </w:r>
      <w:r>
        <w:rPr>
          <w:color w:val="231F20"/>
          <w:spacing w:val="10"/>
          <w:sz w:val="20"/>
        </w:rPr>
        <w:t> </w:t>
      </w:r>
      <w:r>
        <w:rPr>
          <w:color w:val="231F20"/>
          <w:sz w:val="20"/>
        </w:rPr>
        <w:t>display</w:t>
      </w:r>
      <w:r>
        <w:rPr>
          <w:color w:val="231F20"/>
          <w:spacing w:val="10"/>
          <w:sz w:val="20"/>
        </w:rPr>
        <w:t> </w:t>
      </w:r>
      <w:r>
        <w:rPr>
          <w:color w:val="231F20"/>
          <w:sz w:val="20"/>
        </w:rPr>
        <w:t>item</w:t>
      </w:r>
      <w:r>
        <w:rPr>
          <w:color w:val="231F20"/>
          <w:spacing w:val="10"/>
          <w:sz w:val="20"/>
        </w:rPr>
        <w:t> </w:t>
      </w:r>
      <w:r>
        <w:rPr>
          <w:color w:val="231F20"/>
          <w:sz w:val="20"/>
        </w:rPr>
        <w:t>to</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click</w:t>
      </w:r>
      <w:r>
        <w:rPr>
          <w:color w:val="231F20"/>
          <w:spacing w:val="10"/>
          <w:sz w:val="20"/>
        </w:rPr>
        <w:t> </w:t>
      </w:r>
      <w:r>
        <w:rPr>
          <w:rFonts w:ascii="Book Antiqua"/>
          <w:b/>
          <w:color w:val="231F20"/>
          <w:spacing w:val="-2"/>
          <w:sz w:val="20"/>
        </w:rPr>
        <w:t>Advanced</w:t>
      </w:r>
      <w:r>
        <w:rPr>
          <w:color w:val="231F20"/>
          <w:spacing w:val="-2"/>
          <w:sz w:val="20"/>
        </w:rPr>
        <w:t>:</w:t>
      </w:r>
    </w:p>
    <w:p>
      <w:pPr>
        <w:pStyle w:val="BodyText"/>
        <w:spacing w:line="213" w:lineRule="auto" w:before="52"/>
        <w:ind w:left="3115" w:right="190" w:hanging="216"/>
      </w:pPr>
      <w:r>
        <w:rPr>
          <w:rFonts w:ascii="Futura MdCn BT"/>
          <w:color w:val="231F20"/>
        </w:rPr>
        <w:t>v</w:t>
      </w:r>
      <w:r>
        <w:rPr>
          <w:rFonts w:ascii="Futura MdCn BT"/>
          <w:color w:val="231F20"/>
          <w:spacing w:val="80"/>
        </w:rPr>
        <w:t> </w:t>
      </w:r>
      <w:r>
        <w:rPr>
          <w:rFonts w:ascii="Book Antiqua"/>
          <w:b/>
          <w:color w:val="231F20"/>
        </w:rPr>
        <w:t>Situation Persistence </w:t>
      </w:r>
      <w:r>
        <w:rPr>
          <w:color w:val="231F20"/>
        </w:rPr>
        <w:t>Specify how long a true situation must persist (the number</w:t>
      </w:r>
      <w:r>
        <w:rPr>
          <w:color w:val="231F20"/>
          <w:spacing w:val="30"/>
        </w:rPr>
        <w:t> </w:t>
      </w:r>
      <w:r>
        <w:rPr>
          <w:color w:val="231F20"/>
        </w:rPr>
        <w:t>of</w:t>
      </w:r>
      <w:r>
        <w:rPr>
          <w:color w:val="231F20"/>
          <w:spacing w:val="30"/>
        </w:rPr>
        <w:t> </w:t>
      </w:r>
      <w:r>
        <w:rPr>
          <w:color w:val="231F20"/>
        </w:rPr>
        <w:t>consecutive</w:t>
      </w:r>
      <w:r>
        <w:rPr>
          <w:color w:val="231F20"/>
          <w:spacing w:val="30"/>
        </w:rPr>
        <w:t> </w:t>
      </w:r>
      <w:r>
        <w:rPr>
          <w:color w:val="231F20"/>
        </w:rPr>
        <w:t>samples</w:t>
      </w:r>
      <w:r>
        <w:rPr>
          <w:color w:val="231F20"/>
          <w:spacing w:val="30"/>
        </w:rPr>
        <w:t> </w:t>
      </w:r>
      <w:r>
        <w:rPr>
          <w:color w:val="231F20"/>
        </w:rPr>
        <w:t>evaluating</w:t>
      </w:r>
      <w:r>
        <w:rPr>
          <w:color w:val="231F20"/>
          <w:spacing w:val="30"/>
        </w:rPr>
        <w:t> </w:t>
      </w:r>
      <w:r>
        <w:rPr>
          <w:color w:val="231F20"/>
        </w:rPr>
        <w:t>to</w:t>
      </w:r>
      <w:r>
        <w:rPr>
          <w:color w:val="231F20"/>
          <w:spacing w:val="30"/>
        </w:rPr>
        <w:t> </w:t>
      </w:r>
      <w:r>
        <w:rPr>
          <w:color w:val="231F20"/>
        </w:rPr>
        <w:t>true)</w:t>
      </w:r>
      <w:r>
        <w:rPr>
          <w:color w:val="231F20"/>
          <w:spacing w:val="30"/>
        </w:rPr>
        <w:t> </w:t>
      </w:r>
      <w:r>
        <w:rPr>
          <w:color w:val="231F20"/>
        </w:rPr>
        <w:t>before</w:t>
      </w:r>
      <w:r>
        <w:rPr>
          <w:color w:val="231F20"/>
          <w:spacing w:val="30"/>
        </w:rPr>
        <w:t> </w:t>
      </w:r>
      <w:r>
        <w:rPr>
          <w:color w:val="231F20"/>
        </w:rPr>
        <w:t>an</w:t>
      </w:r>
      <w:r>
        <w:rPr>
          <w:color w:val="231F20"/>
          <w:spacing w:val="30"/>
        </w:rPr>
        <w:t> </w:t>
      </w:r>
      <w:r>
        <w:rPr>
          <w:color w:val="231F20"/>
        </w:rPr>
        <w:t>event</w:t>
      </w:r>
      <w:r>
        <w:rPr>
          <w:color w:val="231F20"/>
          <w:spacing w:val="30"/>
        </w:rPr>
        <w:t> </w:t>
      </w:r>
      <w:r>
        <w:rPr>
          <w:color w:val="231F20"/>
        </w:rPr>
        <w:t>is opened. Persistence is useful for determining whether a condition is solid </w:t>
      </w:r>
      <w:r>
        <w:rPr>
          <w:color w:val="231F20"/>
        </w:rPr>
        <w:t>or</w:t>
      </w:r>
      <w:r>
        <w:rPr>
          <w:color w:val="231F20"/>
        </w:rPr>
        <w:t> intermittent.</w:t>
      </w:r>
      <w:r>
        <w:rPr>
          <w:color w:val="231F20"/>
          <w:spacing w:val="13"/>
        </w:rPr>
        <w:t> </w:t>
      </w:r>
      <w:r>
        <w:rPr>
          <w:color w:val="231F20"/>
        </w:rPr>
        <w:t>You</w:t>
      </w:r>
      <w:r>
        <w:rPr>
          <w:color w:val="231F20"/>
          <w:spacing w:val="18"/>
        </w:rPr>
        <w:t> </w:t>
      </w:r>
      <w:r>
        <w:rPr>
          <w:color w:val="231F20"/>
        </w:rPr>
        <w:t>can</w:t>
      </w:r>
      <w:r>
        <w:rPr>
          <w:color w:val="231F20"/>
          <w:spacing w:val="18"/>
        </w:rPr>
        <w:t> </w:t>
      </w:r>
      <w:r>
        <w:rPr>
          <w:color w:val="231F20"/>
        </w:rPr>
        <w:t>use</w:t>
      </w:r>
      <w:r>
        <w:rPr>
          <w:color w:val="231F20"/>
          <w:spacing w:val="18"/>
        </w:rPr>
        <w:t> </w:t>
      </w:r>
      <w:r>
        <w:rPr>
          <w:color w:val="231F20"/>
        </w:rPr>
        <w:t>it</w:t>
      </w:r>
      <w:r>
        <w:rPr>
          <w:color w:val="231F20"/>
          <w:spacing w:val="18"/>
        </w:rPr>
        <w:t> </w:t>
      </w:r>
      <w:r>
        <w:rPr>
          <w:color w:val="231F20"/>
        </w:rPr>
        <w:t>with</w:t>
      </w:r>
      <w:r>
        <w:rPr>
          <w:color w:val="231F20"/>
          <w:spacing w:val="18"/>
        </w:rPr>
        <w:t> </w:t>
      </w:r>
      <w:r>
        <w:rPr>
          <w:color w:val="231F20"/>
        </w:rPr>
        <w:t>the</w:t>
      </w:r>
      <w:r>
        <w:rPr>
          <w:color w:val="231F20"/>
          <w:spacing w:val="18"/>
        </w:rPr>
        <w:t> </w:t>
      </w:r>
      <w:r>
        <w:rPr>
          <w:color w:val="231F20"/>
        </w:rPr>
        <w:t>take</w:t>
      </w:r>
      <w:r>
        <w:rPr>
          <w:color w:val="231F20"/>
          <w:spacing w:val="18"/>
        </w:rPr>
        <w:t> </w:t>
      </w:r>
      <w:r>
        <w:rPr>
          <w:color w:val="231F20"/>
        </w:rPr>
        <w:t>action</w:t>
      </w:r>
      <w:r>
        <w:rPr>
          <w:color w:val="231F20"/>
          <w:spacing w:val="18"/>
        </w:rPr>
        <w:t> </w:t>
      </w:r>
      <w:r>
        <w:rPr>
          <w:color w:val="231F20"/>
        </w:rPr>
        <w:t>feature</w:t>
      </w:r>
      <w:r>
        <w:rPr>
          <w:color w:val="231F20"/>
          <w:spacing w:val="18"/>
        </w:rPr>
        <w:t> </w:t>
      </w:r>
      <w:r>
        <w:rPr>
          <w:color w:val="231F20"/>
        </w:rPr>
        <w:t>to</w:t>
      </w:r>
      <w:r>
        <w:rPr>
          <w:color w:val="231F20"/>
          <w:spacing w:val="18"/>
        </w:rPr>
        <w:t> </w:t>
      </w:r>
      <w:r>
        <w:rPr>
          <w:color w:val="231F20"/>
        </w:rPr>
        <w:t>start</w:t>
      </w:r>
      <w:r>
        <w:rPr>
          <w:color w:val="231F20"/>
          <w:spacing w:val="18"/>
        </w:rPr>
        <w:t> </w:t>
      </w:r>
      <w:r>
        <w:rPr>
          <w:color w:val="231F20"/>
        </w:rPr>
        <w:t>a</w:t>
      </w:r>
      <w:r>
        <w:rPr>
          <w:color w:val="231F20"/>
          <w:spacing w:val="18"/>
        </w:rPr>
        <w:t> </w:t>
      </w:r>
      <w:r>
        <w:rPr>
          <w:color w:val="231F20"/>
        </w:rPr>
        <w:t>command if the condition persists for the designated time (</w:t>
      </w:r>
      <w:r>
        <w:rPr>
          <w:rFonts w:ascii="Book Antiqua"/>
          <w:i/>
          <w:color w:val="231F20"/>
        </w:rPr>
        <w:t>persistence </w:t>
      </w:r>
      <w:r>
        <w:rPr>
          <w:color w:val="231F20"/>
        </w:rPr>
        <w:t>x </w:t>
      </w:r>
      <w:r>
        <w:rPr>
          <w:rFonts w:ascii="Book Antiqua"/>
          <w:i/>
          <w:color w:val="231F20"/>
        </w:rPr>
        <w:t>interval</w:t>
      </w:r>
      <w:r>
        <w:rPr>
          <w:color w:val="231F20"/>
        </w:rPr>
        <w:t>). You</w:t>
      </w:r>
      <w:r>
        <w:rPr>
          <w:color w:val="231F20"/>
          <w:spacing w:val="80"/>
        </w:rPr>
        <w:t> </w:t>
      </w:r>
      <w:r>
        <w:rPr>
          <w:color w:val="231F20"/>
        </w:rPr>
        <w:t>can also use this feature to control when an event indicator appears on the associated Navigator item or, in a situation that is referenced in a policy, to control workflow.</w:t>
      </w:r>
    </w:p>
    <w:p>
      <w:pPr>
        <w:pStyle w:val="BodyText"/>
        <w:spacing w:line="213" w:lineRule="auto" w:before="55"/>
        <w:ind w:left="3115" w:right="308" w:hanging="216"/>
      </w:pPr>
      <w:r>
        <w:rPr>
          <w:rFonts w:ascii="Futura MdCn BT"/>
          <w:color w:val="231F20"/>
        </w:rPr>
        <w:t>v</w:t>
      </w:r>
      <w:r>
        <w:rPr>
          <w:rFonts w:ascii="Futura MdCn BT"/>
          <w:color w:val="231F20"/>
          <w:spacing w:val="80"/>
        </w:rPr>
        <w:t> </w:t>
      </w:r>
      <w:r>
        <w:rPr>
          <w:rFonts w:ascii="Book Antiqua"/>
          <w:b/>
          <w:color w:val="231F20"/>
        </w:rPr>
        <w:t>Display Item </w:t>
      </w:r>
      <w:r>
        <w:rPr>
          <w:color w:val="231F20"/>
        </w:rPr>
        <w:t>Normally, when a situation encounters a value in a row that meets the condition, an event is opened and remains open across sampling intervals until the situation is no longer true. No more events for the</w:t>
      </w:r>
      <w:r>
        <w:rPr>
          <w:color w:val="231F20"/>
          <w:spacing w:val="80"/>
        </w:rPr>
        <w:t> </w:t>
      </w:r>
      <w:r>
        <w:rPr>
          <w:color w:val="231F20"/>
        </w:rPr>
        <w:t>situation on this managed system can be opened until the event has been closed. However, if you set a display item for a multiple-row attribute</w:t>
      </w:r>
      <w:r>
        <w:rPr>
          <w:color w:val="231F20"/>
          <w:spacing w:val="80"/>
          <w:w w:val="150"/>
        </w:rPr>
        <w:t> </w:t>
      </w:r>
      <w:r>
        <w:rPr>
          <w:color w:val="231F20"/>
        </w:rPr>
        <w:t>group, the situation continues to look at the other rows in the sampling </w:t>
      </w:r>
      <w:r>
        <w:rPr>
          <w:color w:val="231F20"/>
        </w:rPr>
        <w:t>and</w:t>
      </w:r>
      <w:r>
        <w:rPr>
          <w:color w:val="231F20"/>
        </w:rPr>
        <w:t> opens</w:t>
      </w:r>
      <w:r>
        <w:rPr>
          <w:color w:val="231F20"/>
          <w:spacing w:val="26"/>
        </w:rPr>
        <w:t> </w:t>
      </w:r>
      <w:r>
        <w:rPr>
          <w:color w:val="231F20"/>
        </w:rPr>
        <w:t>more</w:t>
      </w:r>
      <w:r>
        <w:rPr>
          <w:color w:val="231F20"/>
          <w:spacing w:val="26"/>
        </w:rPr>
        <w:t> </w:t>
      </w:r>
      <w:r>
        <w:rPr>
          <w:color w:val="231F20"/>
        </w:rPr>
        <w:t>events</w:t>
      </w:r>
      <w:r>
        <w:rPr>
          <w:color w:val="231F20"/>
          <w:spacing w:val="26"/>
        </w:rPr>
        <w:t> </w:t>
      </w:r>
      <w:r>
        <w:rPr>
          <w:color w:val="231F20"/>
        </w:rPr>
        <w:t>if</w:t>
      </w:r>
      <w:r>
        <w:rPr>
          <w:color w:val="231F20"/>
          <w:spacing w:val="26"/>
        </w:rPr>
        <w:t> </w:t>
      </w:r>
      <w:r>
        <w:rPr>
          <w:color w:val="231F20"/>
        </w:rPr>
        <w:t>other</w:t>
      </w:r>
      <w:r>
        <w:rPr>
          <w:color w:val="231F20"/>
          <w:spacing w:val="26"/>
        </w:rPr>
        <w:t> </w:t>
      </w:r>
      <w:r>
        <w:rPr>
          <w:color w:val="231F20"/>
        </w:rPr>
        <w:t>rows</w:t>
      </w:r>
      <w:r>
        <w:rPr>
          <w:color w:val="231F20"/>
          <w:spacing w:val="26"/>
        </w:rPr>
        <w:t> </w:t>
      </w:r>
      <w:r>
        <w:rPr>
          <w:color w:val="231F20"/>
        </w:rPr>
        <w:t>qualify.</w:t>
      </w:r>
      <w:r>
        <w:rPr>
          <w:color w:val="231F20"/>
          <w:spacing w:val="26"/>
        </w:rPr>
        <w:t> </w:t>
      </w:r>
      <w:r>
        <w:rPr>
          <w:color w:val="231F20"/>
        </w:rPr>
        <w:t>This</w:t>
      </w:r>
      <w:r>
        <w:rPr>
          <w:color w:val="231F20"/>
          <w:spacing w:val="26"/>
        </w:rPr>
        <w:t> </w:t>
      </w:r>
      <w:r>
        <w:rPr>
          <w:color w:val="231F20"/>
        </w:rPr>
        <w:t>optional</w:t>
      </w:r>
      <w:r>
        <w:rPr>
          <w:color w:val="231F20"/>
          <w:spacing w:val="26"/>
        </w:rPr>
        <w:t> </w:t>
      </w:r>
      <w:r>
        <w:rPr>
          <w:color w:val="231F20"/>
        </w:rPr>
        <w:t>addition</w:t>
      </w:r>
      <w:r>
        <w:rPr>
          <w:color w:val="231F20"/>
          <w:spacing w:val="26"/>
        </w:rPr>
        <w:t> </w:t>
      </w:r>
      <w:r>
        <w:rPr>
          <w:color w:val="231F20"/>
        </w:rPr>
        <w:t>to</w:t>
      </w:r>
      <w:r>
        <w:rPr>
          <w:color w:val="231F20"/>
          <w:spacing w:val="26"/>
        </w:rPr>
        <w:t> </w:t>
      </w:r>
      <w:r>
        <w:rPr>
          <w:color w:val="231F20"/>
        </w:rPr>
        <w:t>a situation also enables you to quickly distinguish events in the message log and</w:t>
      </w:r>
      <w:r>
        <w:rPr>
          <w:color w:val="231F20"/>
          <w:spacing w:val="30"/>
        </w:rPr>
        <w:t> </w:t>
      </w:r>
      <w:r>
        <w:rPr>
          <w:color w:val="231F20"/>
        </w:rPr>
        <w:t>event</w:t>
      </w:r>
      <w:r>
        <w:rPr>
          <w:color w:val="231F20"/>
          <w:spacing w:val="30"/>
        </w:rPr>
        <w:t> </w:t>
      </w:r>
      <w:r>
        <w:rPr>
          <w:color w:val="231F20"/>
        </w:rPr>
        <w:t>console</w:t>
      </w:r>
      <w:r>
        <w:rPr>
          <w:color w:val="231F20"/>
          <w:spacing w:val="30"/>
        </w:rPr>
        <w:t> </w:t>
      </w:r>
      <w:r>
        <w:rPr>
          <w:color w:val="231F20"/>
        </w:rPr>
        <w:t>views.</w:t>
      </w:r>
      <w:r>
        <w:rPr>
          <w:color w:val="231F20"/>
          <w:spacing w:val="30"/>
        </w:rPr>
        <w:t> </w:t>
      </w:r>
      <w:r>
        <w:rPr>
          <w:color w:val="231F20"/>
        </w:rPr>
        <w:t>Only</w:t>
      </w:r>
      <w:r>
        <w:rPr>
          <w:color w:val="231F20"/>
          <w:spacing w:val="30"/>
        </w:rPr>
        <w:t> </w:t>
      </w:r>
      <w:r>
        <w:rPr>
          <w:color w:val="231F20"/>
        </w:rPr>
        <w:t>certain</w:t>
      </w:r>
      <w:r>
        <w:rPr>
          <w:color w:val="231F20"/>
          <w:spacing w:val="30"/>
        </w:rPr>
        <w:t> </w:t>
      </w:r>
      <w:r>
        <w:rPr>
          <w:color w:val="231F20"/>
        </w:rPr>
        <w:t>attributes</w:t>
      </w:r>
      <w:r>
        <w:rPr>
          <w:color w:val="231F20"/>
          <w:spacing w:val="30"/>
        </w:rPr>
        <w:t> </w:t>
      </w:r>
      <w:r>
        <w:rPr>
          <w:color w:val="231F20"/>
        </w:rPr>
        <w:t>can</w:t>
      </w:r>
      <w:r>
        <w:rPr>
          <w:color w:val="231F20"/>
          <w:spacing w:val="30"/>
        </w:rPr>
        <w:t> </w:t>
      </w:r>
      <w:r>
        <w:rPr>
          <w:color w:val="231F20"/>
        </w:rPr>
        <w:t>be</w:t>
      </w:r>
      <w:r>
        <w:rPr>
          <w:color w:val="231F20"/>
          <w:spacing w:val="30"/>
        </w:rPr>
        <w:t> </w:t>
      </w:r>
      <w:r>
        <w:rPr>
          <w:color w:val="231F20"/>
        </w:rPr>
        <w:t>designated</w:t>
      </w:r>
      <w:r>
        <w:rPr>
          <w:color w:val="231F20"/>
          <w:spacing w:val="30"/>
        </w:rPr>
        <w:t> </w:t>
      </w:r>
      <w:r>
        <w:rPr>
          <w:color w:val="231F20"/>
        </w:rPr>
        <w:t>as display items. Any valid display items are displayed in the list.</w:t>
      </w:r>
    </w:p>
    <w:p>
      <w:pPr>
        <w:pStyle w:val="ListParagraph"/>
        <w:numPr>
          <w:ilvl w:val="1"/>
          <w:numId w:val="116"/>
        </w:numPr>
        <w:tabs>
          <w:tab w:pos="2899" w:val="left" w:leader="none"/>
        </w:tabs>
        <w:spacing w:line="213" w:lineRule="auto" w:before="53" w:after="0"/>
        <w:ind w:left="2899" w:right="299" w:hanging="316"/>
        <w:jc w:val="left"/>
        <w:rPr>
          <w:sz w:val="20"/>
        </w:rPr>
      </w:pPr>
      <w:r>
        <w:rPr>
          <w:color w:val="231F20"/>
          <w:sz w:val="20"/>
        </w:rPr>
        <w:t>To specify how often the condition should be tested, accept the default of 15 minutes in the </w:t>
      </w:r>
      <w:r>
        <w:rPr>
          <w:rFonts w:ascii="Book Antiqua"/>
          <w:b/>
          <w:color w:val="231F20"/>
          <w:sz w:val="20"/>
        </w:rPr>
        <w:t>Sampling interval </w:t>
      </w:r>
      <w:r>
        <w:rPr>
          <w:color w:val="231F20"/>
          <w:sz w:val="20"/>
        </w:rPr>
        <w:t>field or adjust the value. This field is disabled if the situation monitors for pure events. (Pure event occurs automatically, such as when a paper out condition occurs on the printer or when a new log entry is written. Situations written to notify you of pure</w:t>
      </w:r>
      <w:r>
        <w:rPr>
          <w:color w:val="231F20"/>
          <w:spacing w:val="40"/>
          <w:sz w:val="20"/>
        </w:rPr>
        <w:t> </w:t>
      </w:r>
      <w:r>
        <w:rPr>
          <w:color w:val="231F20"/>
          <w:sz w:val="20"/>
        </w:rPr>
        <w:t>events wait until an event occurs rather than sampling at specific intervals</w:t>
      </w:r>
      <w:r>
        <w:rPr>
          <w:color w:val="231F20"/>
          <w:spacing w:val="80"/>
          <w:sz w:val="20"/>
        </w:rPr>
        <w:t> </w:t>
      </w:r>
      <w:r>
        <w:rPr>
          <w:color w:val="231F20"/>
          <w:sz w:val="20"/>
        </w:rPr>
        <w:t>and remain true until they are manually closed or automatically closed by </w:t>
      </w:r>
      <w:r>
        <w:rPr>
          <w:color w:val="231F20"/>
          <w:sz w:val="20"/>
        </w:rPr>
        <w:t>an UNTIL clause.)</w:t>
      </w:r>
    </w:p>
    <w:p>
      <w:pPr>
        <w:pStyle w:val="BodyText"/>
        <w:spacing w:line="213" w:lineRule="auto" w:before="54"/>
        <w:ind w:left="3115" w:right="493" w:hanging="216"/>
      </w:pPr>
      <w:r>
        <w:rPr>
          <w:rFonts w:ascii="Futura MdCn BT"/>
          <w:color w:val="231F20"/>
        </w:rPr>
        <w:t>v</w:t>
      </w:r>
      <w:r>
        <w:rPr>
          <w:rFonts w:ascii="Futura MdCn BT"/>
          <w:color w:val="231F20"/>
          <w:spacing w:val="80"/>
        </w:rPr>
        <w:t> </w:t>
      </w:r>
      <w:r>
        <w:rPr>
          <w:color w:val="231F20"/>
        </w:rPr>
        <w:t>Click inside the day, hour, minute, or second cell and type the number </w:t>
      </w:r>
      <w:r>
        <w:rPr>
          <w:color w:val="231F20"/>
        </w:rPr>
        <w:t>or</w:t>
      </w:r>
      <w:r>
        <w:rPr>
          <w:color w:val="231F20"/>
        </w:rPr>
        <w:t> click the up and down arrows.</w:t>
      </w:r>
    </w:p>
    <w:p>
      <w:pPr>
        <w:pStyle w:val="BodyText"/>
        <w:spacing w:line="213" w:lineRule="auto" w:before="59"/>
        <w:ind w:left="3115" w:right="545" w:hanging="216"/>
      </w:pPr>
      <w:r>
        <w:rPr>
          <w:rFonts w:ascii="Futura MdCn BT"/>
          <w:color w:val="231F20"/>
        </w:rPr>
        <w:t>v</w:t>
      </w:r>
      <w:r>
        <w:rPr>
          <w:rFonts w:ascii="Futura MdCn BT"/>
          <w:color w:val="231F20"/>
          <w:spacing w:val="80"/>
        </w:rPr>
        <w:t> </w:t>
      </w:r>
      <w:r>
        <w:rPr>
          <w:color w:val="231F20"/>
        </w:rPr>
        <w:t>You can change it to as seldom as once in 999 days or as often as 30</w:t>
      </w:r>
      <w:r>
        <w:rPr>
          <w:color w:val="231F20"/>
          <w:spacing w:val="80"/>
        </w:rPr>
        <w:t> </w:t>
      </w:r>
      <w:r>
        <w:rPr>
          <w:color w:val="231F20"/>
        </w:rPr>
        <w:t>seconds,</w:t>
      </w:r>
      <w:r>
        <w:rPr>
          <w:color w:val="231F20"/>
          <w:spacing w:val="7"/>
        </w:rPr>
        <w:t> </w:t>
      </w:r>
      <w:r>
        <w:rPr>
          <w:color w:val="231F20"/>
        </w:rPr>
        <w:t>although</w:t>
      </w:r>
      <w:r>
        <w:rPr>
          <w:color w:val="231F20"/>
          <w:spacing w:val="7"/>
        </w:rPr>
        <w:t> </w:t>
      </w:r>
      <w:r>
        <w:rPr>
          <w:color w:val="231F20"/>
        </w:rPr>
        <w:t>more</w:t>
      </w:r>
      <w:r>
        <w:rPr>
          <w:color w:val="231F20"/>
          <w:spacing w:val="7"/>
        </w:rPr>
        <w:t> </w:t>
      </w:r>
      <w:r>
        <w:rPr>
          <w:color w:val="231F20"/>
        </w:rPr>
        <w:t>frequent</w:t>
      </w:r>
      <w:r>
        <w:rPr>
          <w:color w:val="231F20"/>
          <w:spacing w:val="8"/>
        </w:rPr>
        <w:t> </w:t>
      </w:r>
      <w:r>
        <w:rPr>
          <w:color w:val="231F20"/>
        </w:rPr>
        <w:t>samplings</w:t>
      </w:r>
      <w:r>
        <w:rPr>
          <w:color w:val="231F20"/>
          <w:spacing w:val="7"/>
        </w:rPr>
        <w:t> </w:t>
      </w:r>
      <w:r>
        <w:rPr>
          <w:color w:val="231F20"/>
        </w:rPr>
        <w:t>consume</w:t>
      </w:r>
      <w:r>
        <w:rPr>
          <w:color w:val="231F20"/>
          <w:spacing w:val="7"/>
        </w:rPr>
        <w:t> </w:t>
      </w:r>
      <w:r>
        <w:rPr>
          <w:color w:val="231F20"/>
        </w:rPr>
        <w:t>more</w:t>
      </w:r>
      <w:r>
        <w:rPr>
          <w:color w:val="231F20"/>
          <w:spacing w:val="7"/>
        </w:rPr>
        <w:t> </w:t>
      </w:r>
      <w:r>
        <w:rPr>
          <w:color w:val="231F20"/>
          <w:spacing w:val="-2"/>
        </w:rPr>
        <w:t>resources</w:t>
      </w:r>
      <w:r>
        <w:rPr>
          <w:color w:val="231F20"/>
          <w:spacing w:val="-2"/>
        </w:rPr>
        <w:t>.</w:t>
      </w:r>
    </w:p>
    <w:p>
      <w:pPr>
        <w:pStyle w:val="ListParagraph"/>
        <w:numPr>
          <w:ilvl w:val="1"/>
          <w:numId w:val="116"/>
        </w:numPr>
        <w:tabs>
          <w:tab w:pos="2899" w:val="left" w:leader="none"/>
        </w:tabs>
        <w:spacing w:line="211" w:lineRule="auto" w:before="65" w:after="0"/>
        <w:ind w:left="2899" w:right="261" w:hanging="316"/>
        <w:jc w:val="left"/>
        <w:rPr>
          <w:sz w:val="20"/>
        </w:rPr>
      </w:pPr>
      <w:r>
        <w:rPr>
          <w:color w:val="231F20"/>
          <w:sz w:val="20"/>
        </w:rPr>
        <w:t>To start the situation manually rather than automatically, clear the </w:t>
      </w:r>
      <w:r>
        <w:rPr>
          <w:color w:val="231F20"/>
          <w:spacing w:val="14"/>
          <w:sz w:val="20"/>
        </w:rPr>
        <w:drawing>
          <wp:inline distT="0" distB="0" distL="0" distR="0">
            <wp:extent cx="82550" cy="82550"/>
            <wp:effectExtent l="0" t="0" r="0" b="0"/>
            <wp:docPr id="2324" name="Image 2324"/>
            <wp:cNvGraphicFramePr>
              <a:graphicFrameLocks/>
            </wp:cNvGraphicFramePr>
            <a:graphic>
              <a:graphicData uri="http://schemas.openxmlformats.org/drawingml/2006/picture">
                <pic:pic>
                  <pic:nvPicPr>
                    <pic:cNvPr id="2324" name="Image 232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4"/>
          <w:sz w:val="20"/>
        </w:rPr>
      </w:r>
      <w:r>
        <w:rPr>
          <w:rFonts w:ascii="Times New Roman"/>
          <w:color w:val="231F20"/>
          <w:spacing w:val="40"/>
          <w:sz w:val="20"/>
        </w:rPr>
        <w:t> </w:t>
      </w:r>
      <w:r>
        <w:rPr>
          <w:rFonts w:ascii="Book Antiqua"/>
          <w:b/>
          <w:color w:val="231F20"/>
          <w:sz w:val="20"/>
        </w:rPr>
        <w:t>Run at startup </w:t>
      </w:r>
      <w:r>
        <w:rPr>
          <w:color w:val="231F20"/>
          <w:sz w:val="20"/>
        </w:rPr>
        <w:t>check box. By default, situations are set to start monitoring as soon </w:t>
      </w:r>
      <w:r>
        <w:rPr>
          <w:color w:val="231F20"/>
          <w:sz w:val="20"/>
        </w:rPr>
        <w:t>as the situation is saved and, subsequently, to start automatically when a monitoring agent that the situation is distributed to starts again after going offline. See </w:t>
      </w:r>
      <w:hyperlink w:history="true" w:anchor="_bookmark182">
        <w:r>
          <w:rPr>
            <w:color w:val="231F20"/>
            <w:sz w:val="20"/>
          </w:rPr>
          <w:t>Start situations manually or automatically</w:t>
        </w:r>
      </w:hyperlink>
      <w:r>
        <w:rPr>
          <w:color w:val="231F20"/>
          <w:sz w:val="20"/>
        </w:rPr>
        <w:t> for more information.</w:t>
      </w:r>
    </w:p>
    <w:p>
      <w:pPr>
        <w:pStyle w:val="ListParagraph"/>
        <w:numPr>
          <w:ilvl w:val="1"/>
          <w:numId w:val="116"/>
        </w:numPr>
        <w:tabs>
          <w:tab w:pos="2899" w:val="left" w:leader="none"/>
        </w:tabs>
        <w:spacing w:line="213" w:lineRule="auto" w:before="63" w:after="0"/>
        <w:ind w:left="2899" w:right="259" w:hanging="316"/>
        <w:jc w:val="left"/>
        <w:rPr>
          <w:sz w:val="20"/>
        </w:rPr>
      </w:pPr>
      <w:r>
        <w:rPr>
          <w:color w:val="231F20"/>
          <w:sz w:val="20"/>
        </w:rPr>
        <w:t>If you opened the Situation editor from a Navigator item, you can also </w:t>
      </w:r>
      <w:r>
        <w:rPr>
          <w:color w:val="231F20"/>
          <w:sz w:val="20"/>
        </w:rPr>
        <w:t>assign</w:t>
      </w:r>
      <w:r>
        <w:rPr>
          <w:color w:val="231F20"/>
          <w:spacing w:val="80"/>
          <w:w w:val="150"/>
          <w:sz w:val="20"/>
        </w:rPr>
        <w:t> </w:t>
      </w:r>
      <w:r>
        <w:rPr>
          <w:color w:val="231F20"/>
          <w:sz w:val="20"/>
        </w:rPr>
        <w:t>a severity indicator or a sound to play when an event opens:</w:t>
      </w:r>
    </w:p>
    <w:p>
      <w:pPr>
        <w:pStyle w:val="BodyText"/>
        <w:spacing w:before="36"/>
        <w:ind w:left="2899"/>
      </w:pPr>
      <w:r>
        <w:rPr>
          <w:rFonts w:ascii="Futura MdCn BT"/>
          <w:color w:val="231F20"/>
        </w:rPr>
        <w:t>v</w:t>
      </w:r>
      <w:r>
        <w:rPr>
          <w:rFonts w:ascii="Futura MdCn BT"/>
          <w:color w:val="231F20"/>
          <w:spacing w:val="79"/>
          <w:w w:val="150"/>
        </w:rPr>
        <w:t> </w:t>
      </w:r>
      <w:r>
        <w:rPr>
          <w:color w:val="231F20"/>
        </w:rPr>
        <w:t>Assign</w:t>
      </w:r>
      <w:r>
        <w:rPr>
          <w:color w:val="231F20"/>
          <w:spacing w:val="11"/>
        </w:rPr>
        <w:t> </w:t>
      </w:r>
      <w:r>
        <w:rPr>
          <w:color w:val="231F20"/>
        </w:rPr>
        <w:t>a</w:t>
      </w:r>
      <w:r>
        <w:rPr>
          <w:color w:val="231F20"/>
          <w:spacing w:val="11"/>
        </w:rPr>
        <w:t> </w:t>
      </w:r>
      <w:r>
        <w:rPr>
          <w:color w:val="231F20"/>
        </w:rPr>
        <w:t>different</w:t>
      </w:r>
      <w:r>
        <w:rPr>
          <w:color w:val="231F20"/>
          <w:spacing w:val="12"/>
        </w:rPr>
        <w:t> </w:t>
      </w:r>
      <w:r>
        <w:rPr>
          <w:color w:val="231F20"/>
        </w:rPr>
        <w:t>severity</w:t>
      </w:r>
      <w:r>
        <w:rPr>
          <w:color w:val="231F20"/>
          <w:spacing w:val="11"/>
        </w:rPr>
        <w:t> </w:t>
      </w:r>
      <w:r>
        <w:rPr>
          <w:color w:val="231F20"/>
        </w:rPr>
        <w:t>by</w:t>
      </w:r>
      <w:r>
        <w:rPr>
          <w:color w:val="231F20"/>
          <w:spacing w:val="11"/>
        </w:rPr>
        <w:t> </w:t>
      </w:r>
      <w:r>
        <w:rPr>
          <w:color w:val="231F20"/>
        </w:rPr>
        <w:t>selecting</w:t>
      </w:r>
      <w:r>
        <w:rPr>
          <w:color w:val="231F20"/>
          <w:spacing w:val="11"/>
        </w:rPr>
        <w:t> </w:t>
      </w:r>
      <w:r>
        <w:rPr>
          <w:color w:val="231F20"/>
        </w:rPr>
        <w:t>an</w:t>
      </w:r>
      <w:r>
        <w:rPr>
          <w:color w:val="231F20"/>
          <w:spacing w:val="11"/>
        </w:rPr>
        <w:t> </w:t>
      </w:r>
      <w:r>
        <w:rPr>
          <w:color w:val="231F20"/>
        </w:rPr>
        <w:t>alert</w:t>
      </w:r>
      <w:r>
        <w:rPr>
          <w:color w:val="231F20"/>
          <w:spacing w:val="11"/>
        </w:rPr>
        <w:t> </w:t>
      </w:r>
      <w:r>
        <w:rPr>
          <w:color w:val="231F20"/>
        </w:rPr>
        <w:t>indicator</w:t>
      </w:r>
      <w:r>
        <w:rPr>
          <w:color w:val="231F20"/>
          <w:spacing w:val="11"/>
        </w:rPr>
        <w:t> </w:t>
      </w:r>
      <w:r>
        <w:rPr>
          <w:color w:val="231F20"/>
        </w:rPr>
        <w:t>from</w:t>
      </w:r>
      <w:r>
        <w:rPr>
          <w:color w:val="231F20"/>
          <w:spacing w:val="11"/>
        </w:rPr>
        <w:t> </w:t>
      </w:r>
      <w:r>
        <w:rPr>
          <w:color w:val="231F20"/>
        </w:rPr>
        <w:t>the</w:t>
      </w:r>
      <w:r>
        <w:rPr>
          <w:color w:val="231F20"/>
          <w:spacing w:val="12"/>
        </w:rPr>
        <w:t> </w:t>
      </w:r>
      <w:r>
        <w:rPr>
          <w:rFonts w:ascii="Book Antiqua"/>
          <w:b/>
          <w:color w:val="231F20"/>
        </w:rPr>
        <w:t>State</w:t>
      </w:r>
      <w:r>
        <w:rPr>
          <w:rFonts w:ascii="Book Antiqua"/>
          <w:b/>
          <w:color w:val="231F20"/>
          <w:spacing w:val="11"/>
        </w:rPr>
        <w:t> </w:t>
      </w:r>
      <w:r>
        <w:rPr>
          <w:color w:val="231F20"/>
          <w:spacing w:val="-2"/>
        </w:rPr>
        <w:t>list.</w:t>
      </w:r>
    </w:p>
    <w:p>
      <w:pPr>
        <w:pStyle w:val="BodyText"/>
        <w:spacing w:line="211" w:lineRule="auto" w:before="60"/>
        <w:ind w:left="3115" w:right="361" w:hanging="216"/>
        <w:jc w:val="both"/>
      </w:pPr>
      <w:r>
        <w:rPr>
          <w:rFonts w:ascii="Futura MdCn BT"/>
          <w:color w:val="231F20"/>
        </w:rPr>
        <w:t>v</w:t>
      </w:r>
      <w:r>
        <w:rPr>
          <w:rFonts w:ascii="Futura MdCn BT"/>
          <w:color w:val="231F20"/>
          <w:spacing w:val="40"/>
        </w:rPr>
        <w:t> </w:t>
      </w:r>
      <w:r>
        <w:rPr>
          <w:color w:val="231F20"/>
        </w:rPr>
        <w:t>Select a sound to play by checking </w:t>
      </w:r>
      <w:r>
        <w:rPr>
          <w:color w:val="231F20"/>
          <w:spacing w:val="15"/>
        </w:rPr>
        <w:drawing>
          <wp:inline distT="0" distB="0" distL="0" distR="0">
            <wp:extent cx="82550" cy="82550"/>
            <wp:effectExtent l="0" t="0" r="0" b="0"/>
            <wp:docPr id="2325" name="Image 2325"/>
            <wp:cNvGraphicFramePr>
              <a:graphicFrameLocks/>
            </wp:cNvGraphicFramePr>
            <a:graphic>
              <a:graphicData uri="http://schemas.openxmlformats.org/drawingml/2006/picture">
                <pic:pic>
                  <pic:nvPicPr>
                    <pic:cNvPr id="2325" name="Image 2325"/>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5"/>
        </w:rPr>
        <w:t> </w:t>
      </w:r>
      <w:r>
        <w:rPr>
          <w:rFonts w:ascii="Book Antiqua"/>
          <w:b/>
          <w:color w:val="231F20"/>
        </w:rPr>
        <w:t>Enable </w:t>
      </w:r>
      <w:r>
        <w:rPr>
          <w:rFonts w:ascii="Book Antiqua"/>
          <w:b/>
          <w:i/>
          <w:color w:val="231F20"/>
        </w:rPr>
        <w:t>filename </w:t>
      </w:r>
      <w:r>
        <w:rPr>
          <w:color w:val="231F20"/>
        </w:rPr>
        <w:t>in the </w:t>
      </w:r>
      <w:r>
        <w:rPr>
          <w:rFonts w:ascii="Book Antiqua"/>
          <w:b/>
          <w:color w:val="231F20"/>
        </w:rPr>
        <w:t>Sound </w:t>
      </w:r>
      <w:r>
        <w:rPr>
          <w:color w:val="231F20"/>
        </w:rPr>
        <w:t>area. Click </w:t>
      </w:r>
      <w:r>
        <w:rPr>
          <w:rFonts w:ascii="Book Antiqua"/>
          <w:b/>
          <w:color w:val="231F20"/>
        </w:rPr>
        <w:t>Edit </w:t>
      </w:r>
      <w:r>
        <w:rPr>
          <w:color w:val="231F20"/>
        </w:rPr>
        <w:t>to change the sound file or its properties. Click </w:t>
      </w:r>
      <w:r>
        <w:rPr>
          <w:rFonts w:ascii="Book Antiqua"/>
          <w:b/>
          <w:color w:val="231F20"/>
        </w:rPr>
        <w:t>Play </w:t>
      </w:r>
      <w:r>
        <w:rPr>
          <w:color w:val="231F20"/>
        </w:rPr>
        <w:t>to listen </w:t>
      </w:r>
      <w:r>
        <w:rPr>
          <w:color w:val="231F20"/>
        </w:rPr>
        <w:t>to</w:t>
      </w:r>
      <w:r>
        <w:rPr>
          <w:color w:val="231F20"/>
        </w:rPr>
        <w:t> the sound.</w:t>
      </w:r>
    </w:p>
    <w:p>
      <w:pPr>
        <w:pStyle w:val="ListParagraph"/>
        <w:numPr>
          <w:ilvl w:val="1"/>
          <w:numId w:val="116"/>
        </w:numPr>
        <w:tabs>
          <w:tab w:pos="2899" w:val="left" w:leader="none"/>
        </w:tabs>
        <w:spacing w:line="213" w:lineRule="auto" w:before="58" w:after="0"/>
        <w:ind w:left="2899" w:right="507" w:hanging="316"/>
        <w:jc w:val="both"/>
        <w:rPr>
          <w:sz w:val="20"/>
        </w:rPr>
      </w:pPr>
      <w:r>
        <w:rPr>
          <w:color w:val="231F20"/>
          <w:sz w:val="20"/>
        </w:rPr>
        <w:t>Select other tabs in the Situation editor as needed to complete the </w:t>
      </w:r>
      <w:r>
        <w:rPr>
          <w:color w:val="231F20"/>
          <w:sz w:val="20"/>
        </w:rPr>
        <w:t>situation </w:t>
      </w:r>
      <w:r>
        <w:rPr>
          <w:color w:val="231F20"/>
          <w:spacing w:val="-2"/>
          <w:sz w:val="20"/>
        </w:rPr>
        <w:t>definition:</w:t>
      </w:r>
    </w:p>
    <w:p>
      <w:pPr>
        <w:spacing w:after="0" w:line="213" w:lineRule="auto"/>
        <w:jc w:val="both"/>
        <w:rPr>
          <w:sz w:val="20"/>
        </w:rPr>
        <w:sectPr>
          <w:pgSz w:w="12240" w:h="15840"/>
          <w:pgMar w:header="0" w:footer="736" w:top="1180" w:bottom="920" w:left="1000" w:right="1060"/>
        </w:sectPr>
      </w:pPr>
    </w:p>
    <w:p>
      <w:pPr>
        <w:pStyle w:val="BodyText"/>
        <w:spacing w:line="213" w:lineRule="auto" w:before="85"/>
        <w:ind w:left="2875" w:right="636" w:hanging="216"/>
      </w:pPr>
      <w:bookmarkStart w:name="_bookmark198" w:id="421"/>
      <w:bookmarkEnd w:id="421"/>
      <w:r>
        <w:rPr/>
      </w:r>
      <w:r>
        <w:rPr>
          <w:rFonts w:ascii="Futura MdCn BT" w:hAnsi="Futura MdCn BT"/>
          <w:color w:val="231F20"/>
        </w:rPr>
        <w:t>v</w:t>
      </w:r>
      <w:r>
        <w:rPr>
          <w:rFonts w:ascii="Futura MdCn BT" w:hAnsi="Futura MdCn BT"/>
          <w:color w:val="231F20"/>
          <w:spacing w:val="80"/>
        </w:rPr>
        <w:t> </w:t>
      </w:r>
      <w:r>
        <w:rPr>
          <w:color w:val="231F20"/>
        </w:rPr>
        <w:t>Distribute the situation to the managed systems on which you want it </w:t>
      </w:r>
      <w:r>
        <w:rPr>
          <w:color w:val="231F20"/>
        </w:rPr>
        <w:t>to</w:t>
      </w:r>
      <w:r>
        <w:rPr>
          <w:color w:val="231F20"/>
        </w:rPr>
        <w:t> run. See </w:t>
      </w:r>
      <w:hyperlink w:history="true" w:anchor="_bookmark199">
        <w:r>
          <w:rPr>
            <w:color w:val="231F20"/>
          </w:rPr>
          <w:t>“Distributing the situation” on page 269.</w:t>
        </w:r>
      </w:hyperlink>
    </w:p>
    <w:p>
      <w:pPr>
        <w:pStyle w:val="BodyText"/>
        <w:spacing w:line="213" w:lineRule="auto" w:before="58"/>
        <w:ind w:left="2875" w:right="700" w:hanging="216"/>
      </w:pPr>
      <w:r>
        <w:rPr>
          <w:rFonts w:ascii="Futura MdCn BT" w:hAnsi="Futura MdCn BT"/>
          <w:color w:val="231F20"/>
        </w:rPr>
        <w:t>v</w:t>
      </w:r>
      <w:r>
        <w:rPr>
          <w:rFonts w:ascii="Futura MdCn BT" w:hAnsi="Futura MdCn BT"/>
          <w:color w:val="231F20"/>
          <w:spacing w:val="80"/>
        </w:rPr>
        <w:t> </w:t>
      </w:r>
      <w:r>
        <w:rPr>
          <w:color w:val="231F20"/>
        </w:rPr>
        <w:t>Add expert advice to the situation. See </w:t>
      </w:r>
      <w:hyperlink w:history="true" w:anchor="_bookmark201">
        <w:r>
          <w:rPr>
            <w:color w:val="231F20"/>
          </w:rPr>
          <w:t>“Writing expert advice” on </w:t>
        </w:r>
        <w:r>
          <w:rPr>
            <w:color w:val="231F20"/>
          </w:rPr>
          <w:t>page</w:t>
        </w:r>
      </w:hyperlink>
      <w:r>
        <w:rPr>
          <w:color w:val="231F20"/>
        </w:rPr>
        <w:t> </w:t>
      </w:r>
      <w:hyperlink w:history="true" w:anchor="_bookmark201">
        <w:r>
          <w:rPr>
            <w:color w:val="231F20"/>
            <w:spacing w:val="-4"/>
          </w:rPr>
          <w:t>271.</w:t>
        </w:r>
      </w:hyperlink>
    </w:p>
    <w:p>
      <w:pPr>
        <w:pStyle w:val="BodyText"/>
        <w:spacing w:line="213" w:lineRule="auto" w:before="59"/>
        <w:ind w:left="2875" w:right="493" w:hanging="216"/>
      </w:pPr>
      <w:r>
        <w:rPr>
          <w:rFonts w:ascii="Futura MdCn BT" w:hAnsi="Futura MdCn BT"/>
          <w:color w:val="231F20"/>
        </w:rPr>
        <w:t>v</w:t>
      </w:r>
      <w:r>
        <w:rPr>
          <w:rFonts w:ascii="Futura MdCn BT" w:hAnsi="Futura MdCn BT"/>
          <w:color w:val="231F20"/>
          <w:spacing w:val="80"/>
        </w:rPr>
        <w:t> </w:t>
      </w:r>
      <w:r>
        <w:rPr>
          <w:color w:val="231F20"/>
        </w:rPr>
        <w:t>Specify an action to take or a message to send to the Universal Message</w:t>
      </w:r>
      <w:r>
        <w:rPr>
          <w:color w:val="231F20"/>
          <w:spacing w:val="40"/>
        </w:rPr>
        <w:t> </w:t>
      </w:r>
      <w:r>
        <w:rPr>
          <w:color w:val="231F20"/>
        </w:rPr>
        <w:t>Console</w:t>
      </w:r>
      <w:r>
        <w:rPr>
          <w:color w:val="231F20"/>
          <w:spacing w:val="11"/>
        </w:rPr>
        <w:t> </w:t>
      </w:r>
      <w:r>
        <w:rPr>
          <w:color w:val="231F20"/>
        </w:rPr>
        <w:t>when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rPr>
        <w:t>true.</w:t>
      </w:r>
      <w:r>
        <w:rPr>
          <w:color w:val="231F20"/>
          <w:spacing w:val="11"/>
        </w:rPr>
        <w:t> </w:t>
      </w:r>
      <w:r>
        <w:rPr>
          <w:color w:val="231F20"/>
        </w:rPr>
        <w:t>See</w:t>
      </w:r>
      <w:r>
        <w:rPr>
          <w:color w:val="231F20"/>
          <w:spacing w:val="11"/>
        </w:rPr>
        <w:t> </w:t>
      </w:r>
      <w:hyperlink w:history="true" w:anchor="_bookmark203">
        <w:r>
          <w:rPr>
            <w:color w:val="231F20"/>
          </w:rPr>
          <w:t>“Specifying</w:t>
        </w:r>
        <w:r>
          <w:rPr>
            <w:color w:val="231F20"/>
            <w:spacing w:val="11"/>
          </w:rPr>
          <w:t> </w:t>
        </w:r>
        <w:r>
          <w:rPr>
            <w:color w:val="231F20"/>
          </w:rPr>
          <w:t>an</w:t>
        </w:r>
        <w:r>
          <w:rPr>
            <w:color w:val="231F20"/>
            <w:spacing w:val="12"/>
          </w:rPr>
          <w:t> </w:t>
        </w:r>
        <w:r>
          <w:rPr>
            <w:color w:val="231F20"/>
          </w:rPr>
          <w:t>action”</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27</w:t>
        </w:r>
        <w:r>
          <w:rPr>
            <w:color w:val="231F20"/>
            <w:spacing w:val="-5"/>
          </w:rPr>
          <w:t>3</w:t>
        </w:r>
      </w:hyperlink>
    </w:p>
    <w:p>
      <w:pPr>
        <w:pStyle w:val="BodyText"/>
        <w:spacing w:line="213" w:lineRule="auto" w:before="58"/>
        <w:ind w:left="2875" w:right="603" w:hanging="216"/>
      </w:pPr>
      <w:r>
        <w:rPr>
          <w:rFonts w:ascii="Futura MdCn BT" w:hAnsi="Futura MdCn BT"/>
          <w:color w:val="231F20"/>
        </w:rPr>
        <w:t>v</w:t>
      </w:r>
      <w:r>
        <w:rPr>
          <w:rFonts w:ascii="Futura MdCn BT" w:hAnsi="Futura MdCn BT"/>
          <w:color w:val="231F20"/>
          <w:spacing w:val="80"/>
        </w:rPr>
        <w:t> </w:t>
      </w:r>
      <w:r>
        <w:rPr>
          <w:color w:val="231F20"/>
        </w:rPr>
        <w:t>Forward events that open for this situation to an Event Integration </w:t>
      </w:r>
      <w:r>
        <w:rPr>
          <w:color w:val="231F20"/>
        </w:rPr>
        <w:t>Facility</w:t>
      </w:r>
      <w:r>
        <w:rPr>
          <w:color w:val="231F20"/>
        </w:rPr>
        <w:t> receiver such as the Netcool/OMNIbus Probe for Tivoli EIF. See </w:t>
      </w:r>
      <w:hyperlink w:history="true" w:anchor="_bookmark205">
        <w:r>
          <w:rPr>
            <w:color w:val="231F20"/>
          </w:rPr>
          <w:t>“Forwarding the event to an EIF receiver” on page 276.</w:t>
        </w:r>
      </w:hyperlink>
    </w:p>
    <w:p>
      <w:pPr>
        <w:pStyle w:val="BodyText"/>
        <w:spacing w:line="213" w:lineRule="auto" w:before="58"/>
        <w:ind w:left="2875" w:right="493" w:hanging="216"/>
      </w:pPr>
      <w:r>
        <w:rPr>
          <w:rFonts w:ascii="Futura MdCn BT" w:hAnsi="Futura MdCn BT"/>
          <w:color w:val="231F20"/>
        </w:rPr>
        <w:t>v</w:t>
      </w:r>
      <w:r>
        <w:rPr>
          <w:rFonts w:ascii="Futura MdCn BT" w:hAnsi="Futura MdCn BT"/>
          <w:color w:val="231F20"/>
          <w:spacing w:val="80"/>
        </w:rPr>
        <w:t> </w:t>
      </w:r>
      <w:r>
        <w:rPr>
          <w:color w:val="231F20"/>
        </w:rPr>
        <w:t>Specify how long a situation shall remain true. See </w:t>
      </w:r>
      <w:hyperlink w:history="true" w:anchor="_bookmark204">
        <w:r>
          <w:rPr>
            <w:color w:val="231F20"/>
          </w:rPr>
          <w:t>“Adding an </w:t>
        </w:r>
        <w:r>
          <w:rPr>
            <w:color w:val="231F20"/>
          </w:rPr>
          <w:t>Until</w:t>
        </w:r>
      </w:hyperlink>
      <w:r>
        <w:rPr>
          <w:color w:val="231F20"/>
        </w:rPr>
        <w:t> </w:t>
      </w:r>
      <w:hyperlink w:history="true" w:anchor="_bookmark204">
        <w:r>
          <w:rPr>
            <w:color w:val="231F20"/>
          </w:rPr>
          <w:t>modifier” on page 275.</w:t>
        </w:r>
      </w:hyperlink>
    </w:p>
    <w:p>
      <w:pPr>
        <w:pStyle w:val="ListParagraph"/>
        <w:numPr>
          <w:ilvl w:val="1"/>
          <w:numId w:val="116"/>
        </w:numPr>
        <w:tabs>
          <w:tab w:pos="2659" w:val="left" w:leader="none"/>
        </w:tabs>
        <w:spacing w:line="213" w:lineRule="auto" w:before="59" w:after="0"/>
        <w:ind w:left="2659" w:right="561" w:hanging="316"/>
        <w:jc w:val="both"/>
        <w:rPr>
          <w:sz w:val="20"/>
        </w:rPr>
      </w:pPr>
      <w:r>
        <w:rPr>
          <w:color w:val="231F20"/>
          <w:sz w:val="20"/>
        </w:rPr>
        <w:t>When you are finished composing the situation, save your changes and start the situation by clicking </w:t>
      </w:r>
      <w:r>
        <w:rPr>
          <w:rFonts w:ascii="Book Antiqua"/>
          <w:b/>
          <w:color w:val="231F20"/>
          <w:sz w:val="20"/>
        </w:rPr>
        <w:t>Apply </w:t>
      </w:r>
      <w:r>
        <w:rPr>
          <w:color w:val="231F20"/>
          <w:sz w:val="20"/>
        </w:rPr>
        <w:t>to keep the editor open; or by clicking </w:t>
      </w:r>
      <w:r>
        <w:rPr>
          <w:rFonts w:ascii="Book Antiqua"/>
          <w:b/>
          <w:color w:val="231F20"/>
          <w:sz w:val="20"/>
        </w:rPr>
        <w:t>OK </w:t>
      </w:r>
      <w:r>
        <w:rPr>
          <w:color w:val="231F20"/>
          <w:sz w:val="20"/>
        </w:rPr>
        <w:t>to close the Situation editor.</w:t>
      </w:r>
    </w:p>
    <w:p>
      <w:pPr>
        <w:pStyle w:val="BodyText"/>
        <w:spacing w:line="213" w:lineRule="auto" w:before="57"/>
        <w:ind w:left="2959" w:right="603"/>
      </w:pPr>
      <w:r>
        <w:rPr>
          <w:color w:val="231F20"/>
        </w:rPr>
        <w:t>The Situation editor performs syntax checking on each expression you enter. If you entered an improper value for an attribute, such as “abc” </w:t>
      </w:r>
      <w:r>
        <w:rPr>
          <w:color w:val="231F20"/>
        </w:rPr>
        <w:t>for Disk Size, the cell turns red and the situation will not be saved until you correct the error.</w:t>
      </w:r>
    </w:p>
    <w:p>
      <w:pPr>
        <w:pStyle w:val="BodyText"/>
        <w:spacing w:line="213" w:lineRule="auto" w:before="58"/>
        <w:ind w:left="2959" w:right="636"/>
      </w:pPr>
      <w:r>
        <w:rPr>
          <w:color w:val="231F20"/>
        </w:rPr>
        <w:t>If you opened the Situation editor from the toolbar, the situation you just created is not associated with any Navigator items and no event </w:t>
      </w:r>
      <w:r>
        <w:rPr>
          <w:color w:val="231F20"/>
        </w:rPr>
        <w:t>indicator</w:t>
      </w:r>
      <w:r>
        <w:rPr>
          <w:color w:val="231F20"/>
          <w:spacing w:val="40"/>
        </w:rPr>
        <w:t> </w:t>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7"/>
        <w:ind w:left="2959" w:right="603"/>
      </w:pPr>
      <w:r>
        <w:rPr>
          <w:color w:val="231F20"/>
        </w:rPr>
        <w:t>Situations are stored at the hub monitoring server. In the unlikely </w:t>
      </w:r>
      <w:r>
        <w:rPr>
          <w:color w:val="231F20"/>
        </w:rPr>
        <w:t>event that two users attempt to save a situation with the same name simultaneously, an error occurs to ensure that one situation does not overwrite another.</w:t>
      </w:r>
    </w:p>
    <w:p>
      <w:pPr>
        <w:pStyle w:val="ListParagraph"/>
        <w:numPr>
          <w:ilvl w:val="1"/>
          <w:numId w:val="116"/>
        </w:numPr>
        <w:tabs>
          <w:tab w:pos="2659" w:val="left" w:leader="none"/>
          <w:tab w:pos="2726" w:val="left" w:leader="none"/>
        </w:tabs>
        <w:spacing w:line="213" w:lineRule="auto" w:before="57" w:after="0"/>
        <w:ind w:left="2659" w:right="1110" w:hanging="427"/>
        <w:jc w:val="left"/>
        <w:rPr>
          <w:sz w:val="20"/>
        </w:rPr>
      </w:pPr>
      <w:r>
        <w:rPr>
          <w:rFonts w:ascii="Arial"/>
          <w:color w:val="231F20"/>
          <w:sz w:val="20"/>
        </w:rPr>
        <w:tab/>
      </w:r>
      <w:r>
        <w:rPr>
          <w:color w:val="231F20"/>
          <w:sz w:val="20"/>
        </w:rPr>
        <w:t>If the Distribution Change window is displayed, click </w:t>
      </w:r>
      <w:r>
        <w:rPr>
          <w:rFonts w:ascii="Book Antiqua"/>
          <w:b/>
          <w:color w:val="231F20"/>
          <w:sz w:val="20"/>
        </w:rPr>
        <w:t>OK </w:t>
      </w:r>
      <w:r>
        <w:rPr>
          <w:color w:val="231F20"/>
          <w:sz w:val="20"/>
        </w:rPr>
        <w:t>to add the managed systems shown in the </w:t>
      </w:r>
      <w:r>
        <w:rPr>
          <w:rFonts w:ascii="Book Antiqua"/>
          <w:b/>
          <w:color w:val="231F20"/>
          <w:sz w:val="20"/>
        </w:rPr>
        <w:t>Required Managed Systems </w:t>
      </w:r>
      <w:r>
        <w:rPr>
          <w:color w:val="231F20"/>
          <w:sz w:val="20"/>
        </w:rPr>
        <w:t>list to </w:t>
      </w:r>
      <w:r>
        <w:rPr>
          <w:color w:val="231F20"/>
          <w:sz w:val="20"/>
        </w:rPr>
        <w:t>the </w:t>
      </w:r>
      <w:bookmarkStart w:name="Playing sounds when an event is opened" w:id="422"/>
      <w:bookmarkEnd w:id="422"/>
      <w:r>
        <w:rPr>
          <w:color w:val="231F20"/>
          <w:sz w:val="20"/>
        </w:rPr>
        <w:t>distribution</w:t>
      </w:r>
      <w:r>
        <w:rPr>
          <w:color w:val="231F20"/>
          <w:sz w:val="20"/>
        </w:rPr>
        <w:t> for this situation.</w:t>
      </w:r>
    </w:p>
    <w:p>
      <w:pPr>
        <w:pStyle w:val="Heading4"/>
        <w:spacing w:line="273" w:lineRule="exact" w:before="164"/>
      </w:pPr>
      <w:r>
        <w:rPr>
          <w:color w:val="231F20"/>
        </w:rPr>
        <w:t>Playing</w:t>
      </w:r>
      <w:r>
        <w:rPr>
          <w:color w:val="231F20"/>
          <w:spacing w:val="7"/>
        </w:rPr>
        <w:t> </w:t>
      </w:r>
      <w:r>
        <w:rPr>
          <w:color w:val="231F20"/>
        </w:rPr>
        <w:t>sounds</w:t>
      </w:r>
      <w:r>
        <w:rPr>
          <w:color w:val="231F20"/>
          <w:spacing w:val="7"/>
        </w:rPr>
        <w:t> </w:t>
      </w:r>
      <w:r>
        <w:rPr>
          <w:color w:val="231F20"/>
        </w:rPr>
        <w:t>when</w:t>
      </w:r>
      <w:r>
        <w:rPr>
          <w:color w:val="231F20"/>
          <w:spacing w:val="7"/>
        </w:rPr>
        <w:t> </w:t>
      </w:r>
      <w:r>
        <w:rPr>
          <w:color w:val="231F20"/>
        </w:rPr>
        <w:t>an</w:t>
      </w:r>
      <w:r>
        <w:rPr>
          <w:color w:val="231F20"/>
          <w:spacing w:val="8"/>
        </w:rPr>
        <w:t> </w:t>
      </w:r>
      <w:r>
        <w:rPr>
          <w:color w:val="231F20"/>
        </w:rPr>
        <w:t>event</w:t>
      </w:r>
      <w:r>
        <w:rPr>
          <w:color w:val="231F20"/>
          <w:spacing w:val="7"/>
        </w:rPr>
        <w:t> </w:t>
      </w:r>
      <w:r>
        <w:rPr>
          <w:color w:val="231F20"/>
        </w:rPr>
        <w:t>is</w:t>
      </w:r>
      <w:r>
        <w:rPr>
          <w:color w:val="231F20"/>
          <w:spacing w:val="7"/>
        </w:rPr>
        <w:t> </w:t>
      </w:r>
      <w:r>
        <w:rPr>
          <w:color w:val="231F20"/>
          <w:spacing w:val="-2"/>
        </w:rPr>
        <w:t>opened</w:t>
      </w:r>
    </w:p>
    <w:p>
      <w:pPr>
        <w:pStyle w:val="BodyText"/>
        <w:spacing w:line="213" w:lineRule="auto" w:before="20"/>
        <w:ind w:left="2232" w:right="545"/>
      </w:pPr>
      <w:r>
        <w:rPr>
          <w:color w:val="231F20"/>
        </w:rPr>
        <w:t>Every situation has a state assigned to its associated Navigator item. You can also assign a sound file that plays whenever the situation becomes true for this Navigator item, and you can use different sounds for different Navigator items associated with the same situation.</w:t>
      </w:r>
    </w:p>
    <w:p>
      <w:pPr>
        <w:pStyle w:val="Heading5"/>
        <w:spacing w:before="217"/>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3"/>
        <w:ind w:left="2232"/>
      </w:pPr>
      <w:r>
        <w:rPr>
          <w:color w:val="231F20"/>
        </w:rPr>
        <w:t>Take</w:t>
      </w:r>
      <w:r>
        <w:rPr>
          <w:color w:val="231F20"/>
          <w:spacing w:val="10"/>
        </w:rPr>
        <w:t> </w:t>
      </w:r>
      <w:r>
        <w:rPr>
          <w:color w:val="231F20"/>
        </w:rPr>
        <w:t>the</w:t>
      </w:r>
      <w:r>
        <w:rPr>
          <w:color w:val="231F20"/>
          <w:spacing w:val="10"/>
        </w:rPr>
        <w:t> </w:t>
      </w:r>
      <w:r>
        <w:rPr>
          <w:color w:val="231F20"/>
        </w:rPr>
        <w:t>following</w:t>
      </w:r>
      <w:r>
        <w:rPr>
          <w:color w:val="231F20"/>
          <w:spacing w:val="11"/>
        </w:rPr>
        <w:t> </w:t>
      </w:r>
      <w:r>
        <w:rPr>
          <w:color w:val="231F20"/>
        </w:rPr>
        <w:t>steps</w:t>
      </w:r>
      <w:r>
        <w:rPr>
          <w:color w:val="231F20"/>
          <w:spacing w:val="10"/>
        </w:rPr>
        <w:t> </w:t>
      </w:r>
      <w:r>
        <w:rPr>
          <w:color w:val="231F20"/>
        </w:rPr>
        <w:t>to</w:t>
      </w:r>
      <w:r>
        <w:rPr>
          <w:color w:val="231F20"/>
          <w:spacing w:val="11"/>
        </w:rPr>
        <w:t> </w:t>
      </w:r>
      <w:r>
        <w:rPr>
          <w:color w:val="231F20"/>
        </w:rPr>
        <w:t>assign</w:t>
      </w:r>
      <w:r>
        <w:rPr>
          <w:color w:val="231F20"/>
          <w:spacing w:val="10"/>
        </w:rPr>
        <w:t> </w:t>
      </w:r>
      <w:r>
        <w:rPr>
          <w:color w:val="231F20"/>
        </w:rPr>
        <w:t>a</w:t>
      </w:r>
      <w:r>
        <w:rPr>
          <w:color w:val="231F20"/>
          <w:spacing w:val="11"/>
        </w:rPr>
        <w:t> </w:t>
      </w:r>
      <w:r>
        <w:rPr>
          <w:color w:val="231F20"/>
        </w:rPr>
        <w:t>sound</w:t>
      </w:r>
      <w:r>
        <w:rPr>
          <w:color w:val="231F20"/>
          <w:spacing w:val="10"/>
        </w:rPr>
        <w:t> </w:t>
      </w:r>
      <w:r>
        <w:rPr>
          <w:color w:val="231F20"/>
        </w:rPr>
        <w:t>to</w:t>
      </w:r>
      <w:r>
        <w:rPr>
          <w:color w:val="231F20"/>
          <w:spacing w:val="10"/>
        </w:rPr>
        <w:t> </w:t>
      </w:r>
      <w:r>
        <w:rPr>
          <w:color w:val="231F20"/>
        </w:rPr>
        <w:t>a</w:t>
      </w:r>
      <w:r>
        <w:rPr>
          <w:color w:val="231F20"/>
          <w:spacing w:val="11"/>
        </w:rPr>
        <w:t> </w:t>
      </w:r>
      <w:r>
        <w:rPr>
          <w:color w:val="231F20"/>
          <w:spacing w:val="-2"/>
        </w:rPr>
        <w:t>situation.</w:t>
      </w:r>
    </w:p>
    <w:p>
      <w:pPr>
        <w:pStyle w:val="Heading5"/>
        <w:spacing w:before="212"/>
        <w:ind w:left="2232"/>
      </w:pPr>
      <w:r>
        <w:rPr>
          <w:color w:val="231F20"/>
          <w:spacing w:val="-2"/>
        </w:rPr>
        <w:t>Procedure</w:t>
      </w:r>
    </w:p>
    <w:p>
      <w:pPr>
        <w:pStyle w:val="ListParagraph"/>
        <w:numPr>
          <w:ilvl w:val="0"/>
          <w:numId w:val="117"/>
        </w:numPr>
        <w:tabs>
          <w:tab w:pos="2548" w:val="left" w:leader="none"/>
        </w:tabs>
        <w:spacing w:line="213" w:lineRule="auto" w:before="66" w:after="0"/>
        <w:ind w:left="2548" w:right="494" w:hanging="316"/>
        <w:jc w:val="both"/>
        <w:rPr>
          <w:sz w:val="20"/>
        </w:rPr>
      </w:pPr>
      <w:r>
        <w:rPr>
          <w:color w:val="231F20"/>
          <w:sz w:val="20"/>
        </w:rPr>
        <w:t>Right-click the Navigator item to which the situation is associated and select </w:t>
      </w:r>
      <w:r>
        <w:rPr>
          <w:color w:val="231F20"/>
          <w:spacing w:val="14"/>
          <w:position w:val="-1"/>
          <w:sz w:val="20"/>
        </w:rPr>
        <w:drawing>
          <wp:inline distT="0" distB="0" distL="0" distR="0">
            <wp:extent cx="101600" cy="95250"/>
            <wp:effectExtent l="0" t="0" r="0" b="0"/>
            <wp:docPr id="2326" name="Image 2326"/>
            <wp:cNvGraphicFramePr>
              <a:graphicFrameLocks/>
            </wp:cNvGraphicFramePr>
            <a:graphic>
              <a:graphicData uri="http://schemas.openxmlformats.org/drawingml/2006/picture">
                <pic:pic>
                  <pic:nvPicPr>
                    <pic:cNvPr id="2326" name="Image 2326"/>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4"/>
          <w:position w:val="-1"/>
          <w:sz w:val="20"/>
        </w:rPr>
      </w:r>
      <w:r>
        <w:rPr>
          <w:rFonts w:ascii="Times New Roman"/>
          <w:color w:val="231F20"/>
          <w:spacing w:val="14"/>
          <w:position w:val="-1"/>
          <w:sz w:val="20"/>
        </w:rPr>
        <w:t> </w:t>
      </w:r>
      <w:r>
        <w:rPr>
          <w:rFonts w:ascii="Book Antiqua"/>
          <w:b/>
          <w:color w:val="231F20"/>
          <w:sz w:val="20"/>
        </w:rPr>
        <w:t>Situations</w:t>
      </w:r>
      <w:r>
        <w:rPr>
          <w:color w:val="231F20"/>
          <w:sz w:val="20"/>
        </w:rPr>
        <w:t>. The Situation editor opens with the list of situations that have </w:t>
      </w:r>
      <w:r>
        <w:rPr>
          <w:color w:val="231F20"/>
          <w:sz w:val="20"/>
        </w:rPr>
        <w:t>been associated with this Navigator item.</w:t>
      </w:r>
    </w:p>
    <w:p>
      <w:pPr>
        <w:pStyle w:val="ListParagraph"/>
        <w:numPr>
          <w:ilvl w:val="0"/>
          <w:numId w:val="117"/>
        </w:numPr>
        <w:tabs>
          <w:tab w:pos="2548" w:val="left" w:leader="none"/>
        </w:tabs>
        <w:spacing w:line="213" w:lineRule="auto" w:before="58" w:after="0"/>
        <w:ind w:left="2548" w:right="520" w:hanging="316"/>
        <w:jc w:val="left"/>
        <w:rPr>
          <w:sz w:val="20"/>
        </w:rPr>
      </w:pPr>
      <w:r>
        <w:rPr>
          <w:color w:val="231F20"/>
          <w:sz w:val="20"/>
        </w:rPr>
        <w:t>Select the situation to which you want to assign a sound. If you do not see the</w:t>
      </w:r>
      <w:r>
        <w:rPr>
          <w:color w:val="231F20"/>
          <w:spacing w:val="40"/>
          <w:sz w:val="20"/>
        </w:rPr>
        <w:t> </w:t>
      </w:r>
      <w:r>
        <w:rPr>
          <w:color w:val="231F20"/>
          <w:sz w:val="20"/>
        </w:rPr>
        <w:t>situation in the list, click </w:t>
      </w:r>
      <w:r>
        <w:rPr>
          <w:color w:val="231F20"/>
          <w:spacing w:val="-25"/>
          <w:position w:val="-1"/>
          <w:sz w:val="20"/>
        </w:rPr>
        <w:drawing>
          <wp:inline distT="0" distB="0" distL="0" distR="0">
            <wp:extent cx="95250" cy="101600"/>
            <wp:effectExtent l="0" t="0" r="0" b="0"/>
            <wp:docPr id="2327" name="Image 2327"/>
            <wp:cNvGraphicFramePr>
              <a:graphicFrameLocks/>
            </wp:cNvGraphicFramePr>
            <a:graphic>
              <a:graphicData uri="http://schemas.openxmlformats.org/drawingml/2006/picture">
                <pic:pic>
                  <pic:nvPicPr>
                    <pic:cNvPr id="2327" name="Image 2327"/>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Situation Filter</w:t>
      </w:r>
      <w:r>
        <w:rPr>
          <w:color w:val="231F20"/>
          <w:sz w:val="20"/>
        </w:rPr>
        <w:t>, then select </w:t>
      </w:r>
      <w:r>
        <w:rPr>
          <w:color w:val="231F20"/>
          <w:spacing w:val="15"/>
          <w:sz w:val="20"/>
        </w:rPr>
        <w:drawing>
          <wp:inline distT="0" distB="0" distL="0" distR="0">
            <wp:extent cx="82550" cy="82550"/>
            <wp:effectExtent l="0" t="0" r="0" b="0"/>
            <wp:docPr id="2328" name="Image 2328"/>
            <wp:cNvGraphicFramePr>
              <a:graphicFrameLocks/>
            </wp:cNvGraphicFramePr>
            <a:graphic>
              <a:graphicData uri="http://schemas.openxmlformats.org/drawingml/2006/picture">
                <pic:pic>
                  <pic:nvPicPr>
                    <pic:cNvPr id="2328" name="Image 232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Eligible for Association</w:t>
      </w:r>
      <w:r>
        <w:rPr>
          <w:color w:val="231F20"/>
          <w:sz w:val="20"/>
        </w:rPr>
        <w:t>, and click </w:t>
      </w:r>
      <w:r>
        <w:rPr>
          <w:rFonts w:ascii="Book Antiqua"/>
          <w:b/>
          <w:color w:val="231F20"/>
          <w:sz w:val="20"/>
        </w:rPr>
        <w:t>OK</w:t>
      </w:r>
      <w:r>
        <w:rPr>
          <w:color w:val="231F20"/>
          <w:sz w:val="20"/>
        </w:rPr>
        <w:t>.</w:t>
      </w:r>
    </w:p>
    <w:p>
      <w:pPr>
        <w:pStyle w:val="BodyText"/>
        <w:spacing w:line="213" w:lineRule="auto" w:before="58"/>
        <w:ind w:left="2548" w:right="636"/>
      </w:pPr>
      <w:r>
        <w:rPr>
          <w:color w:val="231F20"/>
        </w:rPr>
        <w:t>The right frame displays the </w:t>
      </w:r>
      <w:r>
        <w:rPr>
          <w:rFonts w:ascii="Book Antiqua"/>
          <w:b/>
          <w:color w:val="231F20"/>
        </w:rPr>
        <w:t>Formula </w:t>
      </w:r>
      <w:r>
        <w:rPr>
          <w:color w:val="231F20"/>
        </w:rPr>
        <w:t>tab for the selected situation. In the </w:t>
      </w:r>
      <w:r>
        <w:rPr>
          <w:rFonts w:ascii="Book Antiqua"/>
          <w:b/>
          <w:color w:val="231F20"/>
        </w:rPr>
        <w:t>Sound </w:t>
      </w:r>
      <w:r>
        <w:rPr>
          <w:color w:val="231F20"/>
        </w:rPr>
        <w:t>area, the name of the default sound file for the state assigned to </w:t>
      </w:r>
      <w:r>
        <w:rPr>
          <w:color w:val="231F20"/>
        </w:rPr>
        <w:t>the Navigator item.</w:t>
      </w:r>
    </w:p>
    <w:p>
      <w:pPr>
        <w:pStyle w:val="ListParagraph"/>
        <w:numPr>
          <w:ilvl w:val="0"/>
          <w:numId w:val="117"/>
        </w:numPr>
        <w:tabs>
          <w:tab w:pos="2546" w:val="left" w:leader="none"/>
          <w:tab w:pos="2548" w:val="left" w:leader="none"/>
        </w:tabs>
        <w:spacing w:line="211" w:lineRule="auto" w:before="65" w:after="0"/>
        <w:ind w:left="2548" w:right="534" w:hanging="317"/>
        <w:jc w:val="left"/>
        <w:rPr>
          <w:sz w:val="20"/>
        </w:rPr>
      </w:pPr>
      <w:r>
        <w:rPr>
          <w:color w:val="231F20"/>
          <w:sz w:val="20"/>
        </w:rPr>
        <w:t>To use the default sound, select </w:t>
      </w:r>
      <w:r>
        <w:rPr>
          <w:color w:val="231F20"/>
          <w:spacing w:val="15"/>
          <w:sz w:val="20"/>
        </w:rPr>
        <w:drawing>
          <wp:inline distT="0" distB="0" distL="0" distR="0">
            <wp:extent cx="82550" cy="82550"/>
            <wp:effectExtent l="0" t="0" r="0" b="0"/>
            <wp:docPr id="2329" name="Image 2329"/>
            <wp:cNvGraphicFramePr>
              <a:graphicFrameLocks/>
            </wp:cNvGraphicFramePr>
            <a:graphic>
              <a:graphicData uri="http://schemas.openxmlformats.org/drawingml/2006/picture">
                <pic:pic>
                  <pic:nvPicPr>
                    <pic:cNvPr id="2329" name="Image 232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Enable </w:t>
      </w:r>
      <w:r>
        <w:rPr>
          <w:color w:val="231F20"/>
          <w:sz w:val="20"/>
        </w:rPr>
        <w:t>The default sound for the state assigned to the Navigator item will play when this situation becomes true </w:t>
      </w:r>
      <w:r>
        <w:rPr>
          <w:color w:val="231F20"/>
          <w:sz w:val="20"/>
        </w:rPr>
        <w:t>and opens or reopens an event.</w:t>
      </w:r>
    </w:p>
    <w:p>
      <w:pPr>
        <w:spacing w:after="0" w:line="211" w:lineRule="auto"/>
        <w:jc w:val="left"/>
        <w:rPr>
          <w:sz w:val="20"/>
        </w:rPr>
        <w:sectPr>
          <w:pgSz w:w="12240" w:h="15840"/>
          <w:pgMar w:header="0" w:footer="736" w:top="1180" w:bottom="920" w:left="1000" w:right="1060"/>
        </w:sectPr>
      </w:pPr>
    </w:p>
    <w:p>
      <w:pPr>
        <w:pStyle w:val="ListParagraph"/>
        <w:numPr>
          <w:ilvl w:val="0"/>
          <w:numId w:val="117"/>
        </w:numPr>
        <w:tabs>
          <w:tab w:pos="2788" w:val="left" w:leader="none"/>
        </w:tabs>
        <w:spacing w:line="213" w:lineRule="auto" w:before="85" w:after="0"/>
        <w:ind w:left="2788" w:right="191" w:hanging="316"/>
        <w:jc w:val="left"/>
        <w:rPr>
          <w:sz w:val="20"/>
        </w:rPr>
      </w:pPr>
      <w:bookmarkStart w:name="_bookmark199" w:id="423"/>
      <w:bookmarkEnd w:id="423"/>
      <w:r>
        <w:rPr/>
      </w:r>
      <w:r>
        <w:rPr>
          <w:color w:val="231F20"/>
          <w:sz w:val="20"/>
        </w:rPr>
        <w:t>Click </w:t>
      </w:r>
      <w:r>
        <w:rPr>
          <w:rFonts w:ascii="Book Antiqua"/>
          <w:b/>
          <w:color w:val="231F20"/>
          <w:sz w:val="20"/>
        </w:rPr>
        <w:t>Play </w:t>
      </w:r>
      <w:r>
        <w:rPr>
          <w:color w:val="231F20"/>
          <w:sz w:val="20"/>
        </w:rPr>
        <w:t>to hear the currently selected sound; click </w:t>
      </w:r>
      <w:r>
        <w:rPr>
          <w:rFonts w:ascii="Book Antiqua"/>
          <w:b/>
          <w:color w:val="231F20"/>
          <w:sz w:val="20"/>
        </w:rPr>
        <w:t>Edit... </w:t>
      </w:r>
      <w:r>
        <w:rPr>
          <w:color w:val="231F20"/>
          <w:sz w:val="20"/>
        </w:rPr>
        <w:t>to select another sound file or to edit the sound properties. Clicking </w:t>
      </w:r>
      <w:r>
        <w:rPr>
          <w:rFonts w:ascii="Book Antiqua"/>
          <w:b/>
          <w:color w:val="231F20"/>
          <w:sz w:val="20"/>
        </w:rPr>
        <w:t>Edit... </w:t>
      </w:r>
      <w:r>
        <w:rPr>
          <w:color w:val="231F20"/>
          <w:sz w:val="20"/>
        </w:rPr>
        <w:t>opens the Sound window. The text field in the File area shows the name of the currently selected file (the default file for the state assigned to the Navigator item if no other has</w:t>
      </w:r>
      <w:r>
        <w:rPr>
          <w:color w:val="231F20"/>
          <w:spacing w:val="40"/>
          <w:sz w:val="20"/>
        </w:rPr>
        <w:t> </w:t>
      </w:r>
      <w:r>
        <w:rPr>
          <w:color w:val="231F20"/>
          <w:sz w:val="20"/>
        </w:rPr>
        <w:t>been selected).</w:t>
      </w:r>
    </w:p>
    <w:p>
      <w:pPr>
        <w:pStyle w:val="BodyText"/>
        <w:tabs>
          <w:tab w:pos="3070" w:val="left" w:leader="none"/>
        </w:tabs>
        <w:spacing w:line="213" w:lineRule="auto" w:before="56"/>
        <w:ind w:left="3004" w:right="545" w:hanging="216"/>
      </w:pPr>
      <w:r>
        <w:rPr>
          <w:rFonts w:ascii="Futura MdCn BT"/>
          <w:color w:val="231F20"/>
          <w:spacing w:val="-10"/>
        </w:rPr>
        <w:t>v</w:t>
      </w:r>
      <w:r>
        <w:rPr>
          <w:rFonts w:ascii="Futura MdCn BT"/>
          <w:color w:val="231F20"/>
        </w:rPr>
        <w:tab/>
        <w:tab/>
      </w:r>
      <w:r>
        <w:rPr>
          <w:color w:val="231F20"/>
        </w:rPr>
        <w:t>Click </w:t>
      </w:r>
      <w:r>
        <w:rPr>
          <w:rFonts w:ascii="Book Antiqua"/>
          <w:b/>
          <w:color w:val="231F20"/>
        </w:rPr>
        <w:t>Browse </w:t>
      </w:r>
      <w:r>
        <w:rPr>
          <w:color w:val="231F20"/>
        </w:rPr>
        <w:t>to select an alternative file. Default sounds are stored in </w:t>
      </w:r>
      <w:r>
        <w:rPr>
          <w:color w:val="231F20"/>
        </w:rPr>
        <w:t>the</w:t>
      </w:r>
      <w:r>
        <w:rPr>
          <w:color w:val="231F20"/>
        </w:rPr>
        <w:t> </w:t>
      </w:r>
      <w:r>
        <w:rPr>
          <w:rFonts w:ascii="Arial"/>
          <w:color w:val="231F20"/>
        </w:rPr>
        <w:t>sound </w:t>
      </w:r>
      <w:r>
        <w:rPr>
          <w:color w:val="231F20"/>
        </w:rPr>
        <w:t>or </w:t>
      </w:r>
      <w:r>
        <w:rPr>
          <w:rFonts w:ascii="Arial"/>
          <w:color w:val="231F20"/>
        </w:rPr>
        <w:t>user </w:t>
      </w:r>
      <w:r>
        <w:rPr>
          <w:color w:val="231F20"/>
        </w:rPr>
        <w:t>subdirectory on the system on which the Tivoli Enterprise Portal is installed.</w:t>
      </w:r>
    </w:p>
    <w:p>
      <w:pPr>
        <w:pStyle w:val="BodyText"/>
        <w:tabs>
          <w:tab w:pos="3063" w:val="left" w:leader="none"/>
        </w:tabs>
        <w:spacing w:before="35"/>
        <w:ind w:left="2788"/>
      </w:pPr>
      <w:r>
        <w:rPr>
          <w:rFonts w:ascii="Futura MdCn BT"/>
          <w:color w:val="231F20"/>
          <w:spacing w:val="-10"/>
        </w:rPr>
        <w:t>v</w:t>
      </w:r>
      <w:r>
        <w:rPr>
          <w:rFonts w:ascii="Futura MdCn BT"/>
          <w:color w:val="231F20"/>
        </w:rPr>
        <w:tab/>
      </w:r>
      <w:r>
        <w:rPr>
          <w:color w:val="231F20"/>
        </w:rPr>
        <w:t>Apply</w:t>
      </w:r>
      <w:r>
        <w:rPr>
          <w:color w:val="231F20"/>
          <w:spacing w:val="11"/>
        </w:rPr>
        <w:t> </w:t>
      </w:r>
      <w:r>
        <w:rPr>
          <w:color w:val="231F20"/>
        </w:rPr>
        <w:t>any</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following</w:t>
      </w:r>
      <w:r>
        <w:rPr>
          <w:color w:val="231F20"/>
          <w:spacing w:val="11"/>
        </w:rPr>
        <w:t> </w:t>
      </w:r>
      <w:r>
        <w:rPr>
          <w:color w:val="231F20"/>
        </w:rPr>
        <w:t>options</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rPr>
        <w:t>selected</w:t>
      </w:r>
      <w:r>
        <w:rPr>
          <w:color w:val="231F20"/>
          <w:spacing w:val="11"/>
        </w:rPr>
        <w:t> </w:t>
      </w:r>
      <w:r>
        <w:rPr>
          <w:color w:val="231F20"/>
          <w:spacing w:val="-2"/>
        </w:rPr>
        <w:t>file:</w:t>
      </w:r>
    </w:p>
    <w:p>
      <w:pPr>
        <w:pStyle w:val="Heading6"/>
        <w:spacing w:before="111"/>
        <w:ind w:left="3004"/>
      </w:pPr>
      <w:r>
        <w:rPr>
          <w:color w:val="231F20"/>
        </w:rPr>
        <w:t>Protect</w:t>
      </w:r>
      <w:r>
        <w:rPr>
          <w:color w:val="231F20"/>
          <w:spacing w:val="9"/>
        </w:rPr>
        <w:t> </w:t>
      </w:r>
      <w:r>
        <w:rPr>
          <w:color w:val="231F20"/>
        </w:rPr>
        <w:t>from</w:t>
      </w:r>
      <w:r>
        <w:rPr>
          <w:color w:val="231F20"/>
          <w:spacing w:val="10"/>
        </w:rPr>
        <w:t> </w:t>
      </w:r>
      <w:r>
        <w:rPr>
          <w:color w:val="231F20"/>
        </w:rPr>
        <w:t>Global</w:t>
      </w:r>
      <w:r>
        <w:rPr>
          <w:color w:val="231F20"/>
          <w:spacing w:val="10"/>
        </w:rPr>
        <w:t> </w:t>
      </w:r>
      <w:r>
        <w:rPr>
          <w:color w:val="231F20"/>
        </w:rPr>
        <w:t>Default</w:t>
      </w:r>
      <w:r>
        <w:rPr>
          <w:color w:val="231F20"/>
          <w:spacing w:val="10"/>
        </w:rPr>
        <w:t> </w:t>
      </w:r>
      <w:r>
        <w:rPr>
          <w:color w:val="231F20"/>
          <w:spacing w:val="-2"/>
        </w:rPr>
        <w:t>overrides</w:t>
      </w:r>
    </w:p>
    <w:p>
      <w:pPr>
        <w:pStyle w:val="BodyText"/>
        <w:spacing w:line="213" w:lineRule="auto" w:before="11"/>
        <w:ind w:left="3722" w:right="292"/>
      </w:pPr>
      <w:r>
        <w:rPr>
          <w:color w:val="231F20"/>
        </w:rPr>
        <w:t>If selected, this option keeps the sound file you have assigned to </w:t>
      </w:r>
      <w:r>
        <w:rPr>
          <w:color w:val="231F20"/>
        </w:rPr>
        <w:t>this situation, even if you have selected a global option. If this option is</w:t>
      </w:r>
      <w:r>
        <w:rPr>
          <w:color w:val="231F20"/>
          <w:spacing w:val="40"/>
        </w:rPr>
        <w:t> </w:t>
      </w:r>
      <w:r>
        <w:rPr>
          <w:color w:val="231F20"/>
        </w:rPr>
        <w:t>not selected, any applicable global sound option you have set overrides the sound file shown here.</w:t>
      </w:r>
    </w:p>
    <w:p>
      <w:pPr>
        <w:pStyle w:val="Heading6"/>
        <w:spacing w:before="116"/>
        <w:ind w:left="3004"/>
      </w:pPr>
      <w:r>
        <w:rPr>
          <w:color w:val="231F20"/>
        </w:rPr>
        <w:t>Enable</w:t>
      </w:r>
      <w:r>
        <w:rPr>
          <w:color w:val="231F20"/>
          <w:spacing w:val="9"/>
        </w:rPr>
        <w:t> </w:t>
      </w:r>
      <w:r>
        <w:rPr>
          <w:color w:val="231F20"/>
          <w:spacing w:val="-4"/>
        </w:rPr>
        <w:t>Sound</w:t>
      </w:r>
    </w:p>
    <w:p>
      <w:pPr>
        <w:pStyle w:val="BodyText"/>
        <w:spacing w:line="213" w:lineRule="auto" w:before="12"/>
        <w:ind w:left="3722" w:right="545"/>
      </w:pPr>
      <w:r>
        <w:rPr>
          <w:color w:val="231F20"/>
        </w:rPr>
        <w:t>If selected, this option use the sound shown in the File field. If </w:t>
      </w:r>
      <w:r>
        <w:rPr>
          <w:color w:val="231F20"/>
        </w:rPr>
        <w:t>this option is not selected, no sound plays when the situation becomes true. (You can also enable the selected file in the </w:t>
      </w:r>
      <w:r>
        <w:rPr>
          <w:rFonts w:ascii="Book Antiqua"/>
          <w:b/>
          <w:color w:val="231F20"/>
        </w:rPr>
        <w:t>Sound </w:t>
      </w:r>
      <w:r>
        <w:rPr>
          <w:color w:val="231F20"/>
        </w:rPr>
        <w:t>area of the </w:t>
      </w:r>
      <w:r>
        <w:rPr>
          <w:rFonts w:ascii="Book Antiqua"/>
          <w:b/>
          <w:color w:val="231F20"/>
        </w:rPr>
        <w:t>Formula </w:t>
      </w:r>
      <w:r>
        <w:rPr>
          <w:color w:val="231F20"/>
        </w:rPr>
        <w:t>tab.)</w:t>
      </w:r>
    </w:p>
    <w:p>
      <w:pPr>
        <w:pStyle w:val="Heading6"/>
        <w:spacing w:before="115"/>
        <w:ind w:left="3004"/>
      </w:pPr>
      <w:r>
        <w:rPr>
          <w:color w:val="231F20"/>
        </w:rPr>
        <w:t>Global</w:t>
      </w:r>
      <w:r>
        <w:rPr>
          <w:color w:val="231F20"/>
          <w:spacing w:val="9"/>
        </w:rPr>
        <w:t> </w:t>
      </w:r>
      <w:r>
        <w:rPr>
          <w:color w:val="231F20"/>
          <w:spacing w:val="-2"/>
        </w:rPr>
        <w:t>Options</w:t>
      </w:r>
    </w:p>
    <w:p>
      <w:pPr>
        <w:pStyle w:val="BodyText"/>
        <w:spacing w:line="213" w:lineRule="auto" w:before="12"/>
        <w:ind w:left="3722" w:right="545"/>
      </w:pPr>
      <w:r>
        <w:rPr>
          <w:color w:val="231F20"/>
        </w:rPr>
        <w:t>This button opens the Sound - Global Options window where </w:t>
      </w:r>
      <w:r>
        <w:rPr>
          <w:color w:val="231F20"/>
        </w:rPr>
        <w:t>you can specify options for applying the sound to all situations of the same state or type as this one.</w:t>
      </w:r>
    </w:p>
    <w:p>
      <w:pPr>
        <w:pStyle w:val="BodyText"/>
        <w:spacing w:before="35"/>
        <w:ind w:left="2788"/>
      </w:pPr>
      <w:r>
        <w:rPr>
          <w:rFonts w:ascii="Futura MdCn BT"/>
          <w:color w:val="231F20"/>
        </w:rPr>
        <w:t>v</w:t>
      </w:r>
      <w:r>
        <w:rPr>
          <w:rFonts w:ascii="Futura MdCn BT"/>
          <w:color w:val="231F20"/>
          <w:spacing w:val="31"/>
        </w:rPr>
        <w:t>  </w:t>
      </w:r>
      <w:r>
        <w:rPr>
          <w:color w:val="231F20"/>
        </w:rPr>
        <w:t>Click</w:t>
      </w:r>
      <w:r>
        <w:rPr>
          <w:color w:val="231F20"/>
          <w:spacing w:val="13"/>
        </w:rPr>
        <w:t> </w:t>
      </w:r>
      <w:r>
        <w:rPr>
          <w:rFonts w:ascii="Book Antiqua"/>
          <w:b/>
          <w:color w:val="231F20"/>
        </w:rPr>
        <w:t>OK</w:t>
      </w:r>
      <w:r>
        <w:rPr>
          <w:rFonts w:ascii="Book Antiqua"/>
          <w:b/>
          <w:color w:val="231F20"/>
          <w:spacing w:val="12"/>
        </w:rPr>
        <w:t> </w:t>
      </w:r>
      <w:r>
        <w:rPr>
          <w:color w:val="231F20"/>
        </w:rPr>
        <w:t>to</w:t>
      </w:r>
      <w:r>
        <w:rPr>
          <w:color w:val="231F20"/>
          <w:spacing w:val="12"/>
        </w:rPr>
        <w:t> </w:t>
      </w:r>
      <w:r>
        <w:rPr>
          <w:color w:val="231F20"/>
        </w:rPr>
        <w:t>save</w:t>
      </w:r>
      <w:r>
        <w:rPr>
          <w:color w:val="231F20"/>
          <w:spacing w:val="12"/>
        </w:rPr>
        <w:t> </w:t>
      </w:r>
      <w:r>
        <w:rPr>
          <w:color w:val="231F20"/>
        </w:rPr>
        <w:t>the</w:t>
      </w:r>
      <w:r>
        <w:rPr>
          <w:color w:val="231F20"/>
          <w:spacing w:val="13"/>
        </w:rPr>
        <w:t> </w:t>
      </w:r>
      <w:r>
        <w:rPr>
          <w:color w:val="231F20"/>
        </w:rPr>
        <w:t>selections</w:t>
      </w:r>
      <w:r>
        <w:rPr>
          <w:color w:val="231F20"/>
          <w:spacing w:val="12"/>
        </w:rPr>
        <w:t> </w:t>
      </w:r>
      <w:r>
        <w:rPr>
          <w:color w:val="231F20"/>
        </w:rPr>
        <w:t>and</w:t>
      </w:r>
      <w:r>
        <w:rPr>
          <w:color w:val="231F20"/>
          <w:spacing w:val="12"/>
        </w:rPr>
        <w:t> </w:t>
      </w:r>
      <w:r>
        <w:rPr>
          <w:color w:val="231F20"/>
        </w:rPr>
        <w:t>return</w:t>
      </w:r>
      <w:r>
        <w:rPr>
          <w:color w:val="231F20"/>
          <w:spacing w:val="12"/>
        </w:rPr>
        <w:t> </w:t>
      </w:r>
      <w:r>
        <w:rPr>
          <w:color w:val="231F20"/>
        </w:rPr>
        <w:t>to</w:t>
      </w:r>
      <w:r>
        <w:rPr>
          <w:color w:val="231F20"/>
          <w:spacing w:val="13"/>
        </w:rPr>
        <w:t> </w:t>
      </w:r>
      <w:r>
        <w:rPr>
          <w:color w:val="231F20"/>
        </w:rPr>
        <w:t>the</w:t>
      </w:r>
      <w:r>
        <w:rPr>
          <w:color w:val="231F20"/>
          <w:spacing w:val="12"/>
        </w:rPr>
        <w:t> </w:t>
      </w:r>
      <w:r>
        <w:rPr>
          <w:rFonts w:ascii="Book Antiqua"/>
          <w:b/>
          <w:color w:val="231F20"/>
        </w:rPr>
        <w:t>Formula</w:t>
      </w:r>
      <w:r>
        <w:rPr>
          <w:rFonts w:ascii="Book Antiqua"/>
          <w:b/>
          <w:color w:val="231F20"/>
          <w:spacing w:val="12"/>
        </w:rPr>
        <w:t> </w:t>
      </w:r>
      <w:r>
        <w:rPr>
          <w:color w:val="231F20"/>
          <w:spacing w:val="-4"/>
        </w:rPr>
        <w:t>tab.</w:t>
      </w:r>
    </w:p>
    <w:p>
      <w:pPr>
        <w:pStyle w:val="ListParagraph"/>
        <w:numPr>
          <w:ilvl w:val="0"/>
          <w:numId w:val="117"/>
        </w:numPr>
        <w:tabs>
          <w:tab w:pos="2787" w:val="left" w:leader="none"/>
        </w:tabs>
        <w:spacing w:line="255" w:lineRule="exact" w:before="29" w:after="0"/>
        <w:ind w:left="2787" w:right="0" w:hanging="315"/>
        <w:jc w:val="left"/>
        <w:rPr>
          <w:sz w:val="20"/>
        </w:rPr>
      </w:pPr>
      <w:r>
        <w:rPr>
          <w:color w:val="231F20"/>
          <w:sz w:val="20"/>
        </w:rPr>
        <w:t>Click</w:t>
      </w:r>
      <w:r>
        <w:rPr>
          <w:color w:val="231F20"/>
          <w:spacing w:val="9"/>
          <w:sz w:val="20"/>
        </w:rPr>
        <w:t> </w:t>
      </w:r>
      <w:r>
        <w:rPr>
          <w:rFonts w:ascii="Book Antiqua"/>
          <w:b/>
          <w:color w:val="231F20"/>
          <w:sz w:val="20"/>
        </w:rPr>
        <w:t>Apply</w:t>
      </w:r>
      <w:r>
        <w:rPr>
          <w:rFonts w:ascii="Book Antiqua"/>
          <w:b/>
          <w:color w:val="231F20"/>
          <w:spacing w:val="10"/>
          <w:sz w:val="20"/>
        </w:rPr>
        <w:t> </w:t>
      </w:r>
      <w:r>
        <w:rPr>
          <w:color w:val="231F20"/>
          <w:sz w:val="20"/>
        </w:rPr>
        <w:t>to</w:t>
      </w:r>
      <w:r>
        <w:rPr>
          <w:color w:val="231F20"/>
          <w:spacing w:val="10"/>
          <w:sz w:val="20"/>
        </w:rPr>
        <w:t> </w:t>
      </w:r>
      <w:r>
        <w:rPr>
          <w:color w:val="231F20"/>
          <w:sz w:val="20"/>
        </w:rPr>
        <w:t>save</w:t>
      </w:r>
      <w:r>
        <w:rPr>
          <w:color w:val="231F20"/>
          <w:spacing w:val="10"/>
          <w:sz w:val="20"/>
        </w:rPr>
        <w:t> </w:t>
      </w:r>
      <w:r>
        <w:rPr>
          <w:color w:val="231F20"/>
          <w:sz w:val="20"/>
        </w:rPr>
        <w:t>your</w:t>
      </w:r>
      <w:r>
        <w:rPr>
          <w:color w:val="231F20"/>
          <w:spacing w:val="10"/>
          <w:sz w:val="20"/>
        </w:rPr>
        <w:t> </w:t>
      </w:r>
      <w:r>
        <w:rPr>
          <w:color w:val="231F20"/>
          <w:sz w:val="20"/>
        </w:rPr>
        <w:t>changes</w:t>
      </w:r>
      <w:r>
        <w:rPr>
          <w:color w:val="231F20"/>
          <w:spacing w:val="9"/>
          <w:sz w:val="20"/>
        </w:rPr>
        <w:t> </w:t>
      </w:r>
      <w:r>
        <w:rPr>
          <w:color w:val="231F20"/>
          <w:sz w:val="20"/>
        </w:rPr>
        <w:t>without</w:t>
      </w:r>
      <w:r>
        <w:rPr>
          <w:color w:val="231F20"/>
          <w:spacing w:val="10"/>
          <w:sz w:val="20"/>
        </w:rPr>
        <w:t> </w:t>
      </w:r>
      <w:r>
        <w:rPr>
          <w:color w:val="231F20"/>
          <w:sz w:val="20"/>
        </w:rPr>
        <w:t>closing</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editor,</w:t>
      </w:r>
      <w:r>
        <w:rPr>
          <w:color w:val="231F20"/>
          <w:spacing w:val="10"/>
          <w:sz w:val="20"/>
        </w:rPr>
        <w:t> </w:t>
      </w:r>
      <w:r>
        <w:rPr>
          <w:color w:val="231F20"/>
          <w:sz w:val="20"/>
        </w:rPr>
        <w:t>or</w:t>
      </w:r>
      <w:r>
        <w:rPr>
          <w:color w:val="231F20"/>
          <w:spacing w:val="9"/>
          <w:sz w:val="20"/>
        </w:rPr>
        <w:t> </w:t>
      </w:r>
      <w:r>
        <w:rPr>
          <w:color w:val="231F20"/>
          <w:spacing w:val="-2"/>
          <w:sz w:val="20"/>
        </w:rPr>
        <w:t>click</w:t>
      </w:r>
    </w:p>
    <w:p>
      <w:pPr>
        <w:pStyle w:val="BodyText"/>
        <w:spacing w:line="255" w:lineRule="exact"/>
        <w:ind w:left="2788"/>
      </w:pPr>
      <w:bookmarkStart w:name="Customizing sounds with your audio files" w:id="424"/>
      <w:bookmarkEnd w:id="424"/>
      <w:r>
        <w:rPr/>
      </w:r>
      <w:r>
        <w:rPr>
          <w:rFonts w:ascii="Book Antiqua"/>
          <w:b/>
          <w:color w:val="231F20"/>
        </w:rPr>
        <w:t>OK</w:t>
      </w:r>
      <w:r>
        <w:rPr>
          <w:rFonts w:ascii="Book Antiqua"/>
          <w:b/>
          <w:color w:val="231F20"/>
          <w:spacing w:val="12"/>
        </w:rPr>
        <w:t> </w:t>
      </w:r>
      <w:r>
        <w:rPr>
          <w:color w:val="231F20"/>
        </w:rPr>
        <w:t>to</w:t>
      </w:r>
      <w:r>
        <w:rPr>
          <w:color w:val="231F20"/>
          <w:spacing w:val="12"/>
        </w:rPr>
        <w:t> </w:t>
      </w:r>
      <w:r>
        <w:rPr>
          <w:color w:val="231F20"/>
        </w:rPr>
        <w:t>save</w:t>
      </w:r>
      <w:r>
        <w:rPr>
          <w:color w:val="231F20"/>
          <w:spacing w:val="13"/>
        </w:rPr>
        <w:t> </w:t>
      </w:r>
      <w:r>
        <w:rPr>
          <w:color w:val="231F20"/>
        </w:rPr>
        <w:t>the</w:t>
      </w:r>
      <w:r>
        <w:rPr>
          <w:color w:val="231F20"/>
          <w:spacing w:val="12"/>
        </w:rPr>
        <w:t> </w:t>
      </w:r>
      <w:r>
        <w:rPr>
          <w:color w:val="231F20"/>
        </w:rPr>
        <w:t>changes</w:t>
      </w:r>
      <w:r>
        <w:rPr>
          <w:color w:val="231F20"/>
          <w:spacing w:val="12"/>
        </w:rPr>
        <w:t> </w:t>
      </w:r>
      <w:r>
        <w:rPr>
          <w:color w:val="231F20"/>
        </w:rPr>
        <w:t>and</w:t>
      </w:r>
      <w:r>
        <w:rPr>
          <w:color w:val="231F20"/>
          <w:spacing w:val="13"/>
        </w:rPr>
        <w:t> </w:t>
      </w:r>
      <w:r>
        <w:rPr>
          <w:color w:val="231F20"/>
        </w:rPr>
        <w:t>close</w:t>
      </w:r>
      <w:r>
        <w:rPr>
          <w:color w:val="231F20"/>
          <w:spacing w:val="12"/>
        </w:rPr>
        <w:t> </w:t>
      </w:r>
      <w:r>
        <w:rPr>
          <w:color w:val="231F20"/>
        </w:rPr>
        <w:t>the</w:t>
      </w:r>
      <w:r>
        <w:rPr>
          <w:color w:val="231F20"/>
          <w:spacing w:val="12"/>
        </w:rPr>
        <w:t> </w:t>
      </w:r>
      <w:r>
        <w:rPr>
          <w:color w:val="231F20"/>
          <w:spacing w:val="-2"/>
        </w:rPr>
        <w:t>editor.</w:t>
      </w:r>
    </w:p>
    <w:p>
      <w:pPr>
        <w:pStyle w:val="Heading4"/>
        <w:spacing w:line="273" w:lineRule="exact" w:before="159"/>
        <w:ind w:left="2472"/>
      </w:pPr>
      <w:r>
        <w:rPr>
          <w:color w:val="231F20"/>
        </w:rPr>
        <w:t>Customizing</w:t>
      </w:r>
      <w:r>
        <w:rPr>
          <w:color w:val="231F20"/>
          <w:spacing w:val="5"/>
        </w:rPr>
        <w:t> </w:t>
      </w:r>
      <w:r>
        <w:rPr>
          <w:color w:val="231F20"/>
        </w:rPr>
        <w:t>sounds</w:t>
      </w:r>
      <w:r>
        <w:rPr>
          <w:color w:val="231F20"/>
          <w:spacing w:val="5"/>
        </w:rPr>
        <w:t> </w:t>
      </w:r>
      <w:r>
        <w:rPr>
          <w:color w:val="231F20"/>
        </w:rPr>
        <w:t>with</w:t>
      </w:r>
      <w:r>
        <w:rPr>
          <w:color w:val="231F20"/>
          <w:spacing w:val="5"/>
        </w:rPr>
        <w:t> </w:t>
      </w:r>
      <w:r>
        <w:rPr>
          <w:color w:val="231F20"/>
        </w:rPr>
        <w:t>your</w:t>
      </w:r>
      <w:r>
        <w:rPr>
          <w:color w:val="231F20"/>
          <w:spacing w:val="5"/>
        </w:rPr>
        <w:t> </w:t>
      </w:r>
      <w:r>
        <w:rPr>
          <w:color w:val="231F20"/>
        </w:rPr>
        <w:t>audio</w:t>
      </w:r>
      <w:r>
        <w:rPr>
          <w:color w:val="231F20"/>
          <w:spacing w:val="5"/>
        </w:rPr>
        <w:t> </w:t>
      </w:r>
      <w:r>
        <w:rPr>
          <w:color w:val="231F20"/>
          <w:spacing w:val="-4"/>
        </w:rPr>
        <w:t>files</w:t>
      </w:r>
    </w:p>
    <w:p>
      <w:pPr>
        <w:pStyle w:val="BodyText"/>
        <w:spacing w:line="213" w:lineRule="auto" w:before="20"/>
        <w:ind w:left="2472" w:right="545"/>
      </w:pPr>
      <w:r>
        <w:rPr>
          <w:color w:val="231F20"/>
        </w:rPr>
        <w:t>You can add your own WAVeform audio format files to your Tivoli Enterprise Portal installation to customize the sound for a situation or situation type.</w:t>
      </w:r>
    </w:p>
    <w:p>
      <w:pPr>
        <w:pStyle w:val="BodyText"/>
        <w:spacing w:line="213" w:lineRule="auto"/>
        <w:ind w:left="2472" w:right="545"/>
      </w:pPr>
      <w:r>
        <w:rPr>
          <w:color w:val="231F20"/>
        </w:rPr>
        <w:t>Waveform audio is a format for storing sound in files, developed jointly </w:t>
      </w:r>
      <w:r>
        <w:rPr>
          <w:color w:val="231F20"/>
        </w:rPr>
        <w:t>by Microsoft and IBM.</w:t>
      </w:r>
    </w:p>
    <w:p>
      <w:pPr>
        <w:pStyle w:val="Heading5"/>
        <w:spacing w:before="217"/>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6"/>
        <w:ind w:left="2472"/>
      </w:pPr>
      <w:r>
        <w:rPr>
          <w:color w:val="231F20"/>
        </w:rPr>
        <w:t>On the computer where the Tivoli Enterprise Portal Server is installed, copy </w:t>
      </w:r>
      <w:r>
        <w:rPr>
          <w:color w:val="231F20"/>
        </w:rPr>
        <w:t>your custom WAV files to the </w:t>
      </w:r>
      <w:r>
        <w:rPr>
          <w:rFonts w:ascii="Arial"/>
          <w:color w:val="231F20"/>
        </w:rPr>
        <w:t>user </w:t>
      </w:r>
      <w:r>
        <w:rPr>
          <w:color w:val="231F20"/>
        </w:rPr>
        <w:t>subdirectory of the </w:t>
      </w:r>
      <w:r>
        <w:rPr>
          <w:rFonts w:ascii="Arial"/>
          <w:color w:val="231F20"/>
        </w:rPr>
        <w:t>sound </w:t>
      </w:r>
      <w:r>
        <w:rPr>
          <w:color w:val="231F20"/>
        </w:rPr>
        <w:t>directory:</w:t>
      </w:r>
    </w:p>
    <w:p>
      <w:pPr>
        <w:pStyle w:val="BodyText"/>
        <w:spacing w:before="58"/>
        <w:ind w:left="2771"/>
        <w:rPr>
          <w:rFonts w:ascii="Arial"/>
        </w:rPr>
      </w:pPr>
      <w:r>
        <w:rPr>
          <w:rFonts w:ascii="Arial"/>
          <w:color w:val="231F20"/>
          <w:spacing w:val="-2"/>
          <w:w w:val="120"/>
        </w:rPr>
        <w:t>&lt;itm_installdir&gt;</w:t>
      </w:r>
    </w:p>
    <w:p>
      <w:pPr>
        <w:pStyle w:val="BodyText"/>
        <w:spacing w:line="312" w:lineRule="auto" w:before="69"/>
        <w:ind w:left="3237" w:right="4803" w:hanging="372"/>
        <w:rPr>
          <w:rFonts w:ascii="Arial"/>
        </w:rPr>
      </w:pPr>
      <w:r>
        <w:rPr>
          <w:rFonts w:ascii="Arial"/>
          <w:color w:val="231F20"/>
          <w:spacing w:val="-2"/>
        </w:rPr>
        <w:t>CNB</w:t>
      </w:r>
      <w:r>
        <w:rPr>
          <w:rFonts w:ascii="Arial"/>
          <w:color w:val="231F20"/>
          <w:spacing w:val="7"/>
        </w:rPr>
        <w:t> </w:t>
      </w:r>
      <w:r>
        <w:rPr>
          <w:rFonts w:ascii="Arial"/>
          <w:color w:val="231F20"/>
          <w:spacing w:val="-2"/>
        </w:rPr>
        <w:t>(cw</w:t>
      </w:r>
      <w:r>
        <w:rPr>
          <w:rFonts w:ascii="Arial"/>
          <w:color w:val="231F20"/>
          <w:spacing w:val="7"/>
        </w:rPr>
        <w:t> </w:t>
      </w:r>
      <w:r>
        <w:rPr>
          <w:rFonts w:ascii="Arial"/>
          <w:color w:val="231F20"/>
          <w:spacing w:val="-2"/>
        </w:rPr>
        <w:t>on</w:t>
      </w:r>
      <w:r>
        <w:rPr>
          <w:rFonts w:ascii="Arial"/>
          <w:color w:val="231F20"/>
          <w:spacing w:val="7"/>
        </w:rPr>
        <w:t> </w:t>
      </w:r>
      <w:r>
        <w:rPr>
          <w:rFonts w:ascii="Arial"/>
          <w:color w:val="231F20"/>
          <w:spacing w:val="-2"/>
        </w:rPr>
        <w:t>Linux</w:t>
      </w:r>
      <w:r>
        <w:rPr>
          <w:rFonts w:ascii="Arial"/>
          <w:color w:val="231F20"/>
          <w:spacing w:val="7"/>
        </w:rPr>
        <w:t> </w:t>
      </w:r>
      <w:r>
        <w:rPr>
          <w:rFonts w:ascii="Arial"/>
          <w:color w:val="231F20"/>
          <w:spacing w:val="-2"/>
        </w:rPr>
        <w:t>or</w:t>
      </w:r>
      <w:r>
        <w:rPr>
          <w:rFonts w:ascii="Arial"/>
          <w:color w:val="231F20"/>
          <w:spacing w:val="7"/>
        </w:rPr>
        <w:t> </w:t>
      </w:r>
      <w:r>
        <w:rPr>
          <w:rFonts w:ascii="Arial"/>
          <w:color w:val="231F20"/>
          <w:spacing w:val="-2"/>
        </w:rPr>
        <w:t>UNIX) </w:t>
      </w:r>
      <w:r>
        <w:rPr>
          <w:rFonts w:ascii="Arial"/>
          <w:color w:val="231F20"/>
          <w:position w:val="-1"/>
        </w:rPr>
        <w:drawing>
          <wp:inline distT="0" distB="0" distL="0" distR="0">
            <wp:extent cx="101600" cy="95250"/>
            <wp:effectExtent l="0" t="0" r="0" b="0"/>
            <wp:docPr id="2330" name="Image 2330"/>
            <wp:cNvGraphicFramePr>
              <a:graphicFrameLocks/>
            </wp:cNvGraphicFramePr>
            <a:graphic>
              <a:graphicData uri="http://schemas.openxmlformats.org/drawingml/2006/picture">
                <pic:pic>
                  <pic:nvPicPr>
                    <pic:cNvPr id="2330" name="Image 2330"/>
                    <pic:cNvPicPr/>
                  </pic:nvPicPr>
                  <pic:blipFill>
                    <a:blip r:embed="rId90" cstate="print"/>
                    <a:stretch>
                      <a:fillRect/>
                    </a:stretch>
                  </pic:blipFill>
                  <pic:spPr>
                    <a:xfrm>
                      <a:off x="0" y="0"/>
                      <a:ext cx="101600" cy="95250"/>
                    </a:xfrm>
                    <a:prstGeom prst="rect">
                      <a:avLst/>
                    </a:prstGeom>
                  </pic:spPr>
                </pic:pic>
              </a:graphicData>
            </a:graphic>
          </wp:inline>
        </w:drawing>
      </w:r>
      <w:r>
        <w:rPr>
          <w:rFonts w:ascii="Arial"/>
          <w:color w:val="231F20"/>
          <w:position w:val="-1"/>
        </w:rPr>
      </w:r>
      <w:r>
        <w:rPr>
          <w:rFonts w:ascii="Times New Roman"/>
          <w:color w:val="231F20"/>
          <w:spacing w:val="40"/>
        </w:rPr>
        <w:t> </w:t>
      </w:r>
      <w:r>
        <w:rPr>
          <w:rFonts w:ascii="Arial"/>
          <w:color w:val="231F20"/>
        </w:rPr>
        <w:t>classes</w:t>
      </w:r>
    </w:p>
    <w:p>
      <w:pPr>
        <w:pStyle w:val="BodyText"/>
        <w:spacing w:line="312" w:lineRule="auto" w:before="1"/>
        <w:ind w:left="3636" w:right="5866" w:hanging="300"/>
        <w:rPr>
          <w:rFonts w:ascii="Arial"/>
        </w:rPr>
      </w:pPr>
      <w:r>
        <w:rPr>
          <w:position w:val="-1"/>
        </w:rPr>
        <w:drawing>
          <wp:inline distT="0" distB="0" distL="0" distR="0">
            <wp:extent cx="101600" cy="95250"/>
            <wp:effectExtent l="0" t="0" r="0" b="0"/>
            <wp:docPr id="2331" name="Image 2331"/>
            <wp:cNvGraphicFramePr>
              <a:graphicFrameLocks/>
            </wp:cNvGraphicFramePr>
            <a:graphic>
              <a:graphicData uri="http://schemas.openxmlformats.org/drawingml/2006/picture">
                <pic:pic>
                  <pic:nvPicPr>
                    <pic:cNvPr id="2331" name="Image 2331"/>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8"/>
        </w:rPr>
        <w:t> </w:t>
      </w:r>
      <w:r>
        <w:rPr>
          <w:rFonts w:ascii="Arial"/>
          <w:color w:val="231F20"/>
        </w:rPr>
        <w:t>candle </w:t>
      </w:r>
      <w:r>
        <w:rPr>
          <w:rFonts w:ascii="Arial"/>
          <w:color w:val="231F20"/>
          <w:position w:val="-1"/>
        </w:rPr>
        <w:drawing>
          <wp:inline distT="0" distB="0" distL="0" distR="0">
            <wp:extent cx="101600" cy="95250"/>
            <wp:effectExtent l="0" t="0" r="0" b="0"/>
            <wp:docPr id="2332" name="Image 2332"/>
            <wp:cNvGraphicFramePr>
              <a:graphicFrameLocks/>
            </wp:cNvGraphicFramePr>
            <a:graphic>
              <a:graphicData uri="http://schemas.openxmlformats.org/drawingml/2006/picture">
                <pic:pic>
                  <pic:nvPicPr>
                    <pic:cNvPr id="2332" name="Image 2332"/>
                    <pic:cNvPicPr/>
                  </pic:nvPicPr>
                  <pic:blipFill>
                    <a:blip r:embed="rId90" cstate="print"/>
                    <a:stretch>
                      <a:fillRect/>
                    </a:stretch>
                  </pic:blipFill>
                  <pic:spPr>
                    <a:xfrm>
                      <a:off x="0" y="0"/>
                      <a:ext cx="101600" cy="95250"/>
                    </a:xfrm>
                    <a:prstGeom prst="rect">
                      <a:avLst/>
                    </a:prstGeom>
                  </pic:spPr>
                </pic:pic>
              </a:graphicData>
            </a:graphic>
          </wp:inline>
        </w:drawing>
      </w:r>
      <w:r>
        <w:rPr>
          <w:rFonts w:ascii="Arial"/>
          <w:color w:val="231F20"/>
          <w:position w:val="-1"/>
        </w:rPr>
      </w:r>
      <w:r>
        <w:rPr>
          <w:rFonts w:ascii="Times New Roman"/>
          <w:color w:val="231F20"/>
          <w:spacing w:val="40"/>
        </w:rPr>
        <w:t> </w:t>
      </w:r>
      <w:r>
        <w:rPr>
          <w:rFonts w:ascii="Arial"/>
          <w:color w:val="231F20"/>
        </w:rPr>
        <w:t>fw</w:t>
      </w:r>
    </w:p>
    <w:p>
      <w:pPr>
        <w:pStyle w:val="BodyText"/>
        <w:spacing w:line="316" w:lineRule="auto"/>
        <w:ind w:left="4168" w:right="5101" w:hanging="267"/>
        <w:jc w:val="right"/>
        <w:rPr>
          <w:rFonts w:ascii="Arial"/>
        </w:rPr>
      </w:pPr>
      <w:r>
        <w:rPr>
          <w:position w:val="-1"/>
        </w:rPr>
        <w:drawing>
          <wp:inline distT="0" distB="0" distL="0" distR="0">
            <wp:extent cx="101600" cy="95250"/>
            <wp:effectExtent l="0" t="0" r="0" b="0"/>
            <wp:docPr id="2333" name="Image 2333"/>
            <wp:cNvGraphicFramePr>
              <a:graphicFrameLocks/>
            </wp:cNvGraphicFramePr>
            <a:graphic>
              <a:graphicData uri="http://schemas.openxmlformats.org/drawingml/2006/picture">
                <pic:pic>
                  <pic:nvPicPr>
                    <pic:cNvPr id="2333" name="Image 2333"/>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rFonts w:ascii="Arial"/>
          <w:color w:val="231F20"/>
        </w:rPr>
        <w:t>resources </w:t>
      </w:r>
      <w:r>
        <w:rPr>
          <w:rFonts w:ascii="Arial"/>
          <w:color w:val="231F20"/>
        </w:rPr>
        <w:drawing>
          <wp:inline distT="0" distB="0" distL="0" distR="0">
            <wp:extent cx="101600" cy="76200"/>
            <wp:effectExtent l="0" t="0" r="0" b="0"/>
            <wp:docPr id="2334" name="Image 2334"/>
            <wp:cNvGraphicFramePr>
              <a:graphicFrameLocks/>
            </wp:cNvGraphicFramePr>
            <a:graphic>
              <a:graphicData uri="http://schemas.openxmlformats.org/drawingml/2006/picture">
                <pic:pic>
                  <pic:nvPicPr>
                    <pic:cNvPr id="2334" name="Image 2334"/>
                    <pic:cNvPicPr/>
                  </pic:nvPicPr>
                  <pic:blipFill>
                    <a:blip r:embed="rId384" cstate="print"/>
                    <a:stretch>
                      <a:fillRect/>
                    </a:stretch>
                  </pic:blipFill>
                  <pic:spPr>
                    <a:xfrm>
                      <a:off x="0" y="0"/>
                      <a:ext cx="101600" cy="76200"/>
                    </a:xfrm>
                    <a:prstGeom prst="rect">
                      <a:avLst/>
                    </a:prstGeom>
                  </pic:spPr>
                </pic:pic>
              </a:graphicData>
            </a:graphic>
          </wp:inline>
        </w:drawing>
      </w:r>
      <w:r>
        <w:rPr>
          <w:rFonts w:ascii="Arial"/>
          <w:color w:val="231F20"/>
        </w:rPr>
      </w:r>
      <w:r>
        <w:rPr>
          <w:rFonts w:ascii="Times New Roman"/>
          <w:color w:val="231F20"/>
          <w:spacing w:val="24"/>
        </w:rPr>
        <w:t> </w:t>
      </w:r>
      <w:r>
        <w:rPr>
          <w:rFonts w:ascii="Arial"/>
          <w:color w:val="231F20"/>
        </w:rPr>
        <w:t>sounds</w:t>
      </w:r>
    </w:p>
    <w:p>
      <w:pPr>
        <w:pStyle w:val="BodyText"/>
        <w:spacing w:line="226" w:lineRule="exact"/>
        <w:ind w:right="5034"/>
        <w:jc w:val="right"/>
        <w:rPr>
          <w:rFonts w:ascii="Arial"/>
        </w:rPr>
      </w:pPr>
      <w:r>
        <w:rPr/>
        <w:drawing>
          <wp:inline distT="0" distB="0" distL="0" distR="0">
            <wp:extent cx="101600" cy="76200"/>
            <wp:effectExtent l="0" t="0" r="0" b="0"/>
            <wp:docPr id="2335" name="Image 2335"/>
            <wp:cNvGraphicFramePr>
              <a:graphicFrameLocks/>
            </wp:cNvGraphicFramePr>
            <a:graphic>
              <a:graphicData uri="http://schemas.openxmlformats.org/drawingml/2006/picture">
                <pic:pic>
                  <pic:nvPicPr>
                    <pic:cNvPr id="2335" name="Image 2335"/>
                    <pic:cNvPicPr/>
                  </pic:nvPicPr>
                  <pic:blipFill>
                    <a:blip r:embed="rId384" cstate="print"/>
                    <a:stretch>
                      <a:fillRect/>
                    </a:stretch>
                  </pic:blipFill>
                  <pic:spPr>
                    <a:xfrm>
                      <a:off x="0" y="0"/>
                      <a:ext cx="101600" cy="76200"/>
                    </a:xfrm>
                    <a:prstGeom prst="rect">
                      <a:avLst/>
                    </a:prstGeom>
                  </pic:spPr>
                </pic:pic>
              </a:graphicData>
            </a:graphic>
          </wp:inline>
        </w:drawing>
      </w:r>
      <w:r>
        <w:rPr/>
      </w:r>
      <w:r>
        <w:rPr>
          <w:rFonts w:ascii="Times New Roman"/>
          <w:spacing w:val="40"/>
        </w:rPr>
        <w:t> </w:t>
      </w:r>
      <w:r>
        <w:rPr>
          <w:rFonts w:ascii="Arial"/>
          <w:color w:val="231F20"/>
        </w:rPr>
        <w:t>user</w:t>
      </w:r>
    </w:p>
    <w:p>
      <w:pPr>
        <w:spacing w:line="255" w:lineRule="exact" w:before="222"/>
        <w:ind w:left="2472" w:right="0" w:firstLine="0"/>
        <w:jc w:val="left"/>
        <w:rPr>
          <w:sz w:val="20"/>
        </w:rPr>
      </w:pPr>
      <w:r>
        <w:rPr>
          <w:color w:val="231F20"/>
          <w:sz w:val="20"/>
        </w:rPr>
        <w:t>Use</w:t>
      </w:r>
      <w:r>
        <w:rPr>
          <w:color w:val="231F20"/>
          <w:spacing w:val="11"/>
          <w:sz w:val="20"/>
        </w:rPr>
        <w:t> </w:t>
      </w:r>
      <w:r>
        <w:rPr>
          <w:color w:val="231F20"/>
          <w:sz w:val="20"/>
        </w:rPr>
        <w:t>the</w:t>
      </w:r>
      <w:r>
        <w:rPr>
          <w:color w:val="231F20"/>
          <w:spacing w:val="12"/>
          <w:sz w:val="20"/>
        </w:rPr>
        <w:t> </w:t>
      </w:r>
      <w:r>
        <w:rPr>
          <w:rFonts w:ascii="Book Antiqua"/>
          <w:b/>
          <w:color w:val="231F20"/>
          <w:sz w:val="20"/>
        </w:rPr>
        <w:t>Edit...</w:t>
      </w:r>
      <w:r>
        <w:rPr>
          <w:rFonts w:ascii="Book Antiqua"/>
          <w:b/>
          <w:color w:val="231F20"/>
          <w:spacing w:val="12"/>
          <w:sz w:val="20"/>
        </w:rPr>
        <w:t> </w:t>
      </w:r>
      <w:r>
        <w:rPr>
          <w:color w:val="231F20"/>
          <w:sz w:val="20"/>
        </w:rPr>
        <w:t>button</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2"/>
          <w:sz w:val="20"/>
        </w:rPr>
        <w:t> </w:t>
      </w:r>
      <w:r>
        <w:rPr>
          <w:rFonts w:ascii="Book Antiqua"/>
          <w:b/>
          <w:color w:val="231F20"/>
          <w:sz w:val="20"/>
        </w:rPr>
        <w:t>Sound</w:t>
      </w:r>
      <w:r>
        <w:rPr>
          <w:rFonts w:ascii="Book Antiqua"/>
          <w:b/>
          <w:color w:val="231F20"/>
          <w:spacing w:val="11"/>
          <w:sz w:val="20"/>
        </w:rPr>
        <w:t> </w:t>
      </w:r>
      <w:r>
        <w:rPr>
          <w:color w:val="231F20"/>
          <w:sz w:val="20"/>
        </w:rPr>
        <w:t>area</w:t>
      </w:r>
      <w:r>
        <w:rPr>
          <w:color w:val="231F20"/>
          <w:spacing w:val="12"/>
          <w:sz w:val="20"/>
        </w:rPr>
        <w:t> </w:t>
      </w:r>
      <w:r>
        <w:rPr>
          <w:color w:val="231F20"/>
          <w:sz w:val="20"/>
        </w:rPr>
        <w:t>and</w:t>
      </w:r>
      <w:r>
        <w:rPr>
          <w:color w:val="231F20"/>
          <w:spacing w:val="12"/>
          <w:sz w:val="20"/>
        </w:rPr>
        <w:t> </w:t>
      </w:r>
      <w:r>
        <w:rPr>
          <w:color w:val="231F20"/>
          <w:sz w:val="20"/>
        </w:rPr>
        <w:t>then</w:t>
      </w:r>
      <w:r>
        <w:rPr>
          <w:color w:val="231F20"/>
          <w:spacing w:val="11"/>
          <w:sz w:val="20"/>
        </w:rPr>
        <w:t> </w:t>
      </w:r>
      <w:r>
        <w:rPr>
          <w:color w:val="231F20"/>
          <w:sz w:val="20"/>
        </w:rPr>
        <w:t>the</w:t>
      </w:r>
      <w:r>
        <w:rPr>
          <w:color w:val="231F20"/>
          <w:spacing w:val="12"/>
          <w:sz w:val="20"/>
        </w:rPr>
        <w:t> </w:t>
      </w:r>
      <w:r>
        <w:rPr>
          <w:rFonts w:ascii="Book Antiqua"/>
          <w:b/>
          <w:color w:val="231F20"/>
          <w:sz w:val="20"/>
        </w:rPr>
        <w:t>Browse</w:t>
      </w:r>
      <w:r>
        <w:rPr>
          <w:rFonts w:ascii="Book Antiqua"/>
          <w:b/>
          <w:color w:val="231F20"/>
          <w:spacing w:val="12"/>
          <w:sz w:val="20"/>
        </w:rPr>
        <w:t> </w:t>
      </w:r>
      <w:r>
        <w:rPr>
          <w:color w:val="231F20"/>
          <w:sz w:val="20"/>
        </w:rPr>
        <w:t>button</w:t>
      </w:r>
      <w:r>
        <w:rPr>
          <w:color w:val="231F20"/>
          <w:spacing w:val="11"/>
          <w:sz w:val="20"/>
        </w:rPr>
        <w:t> </w:t>
      </w:r>
      <w:r>
        <w:rPr>
          <w:color w:val="231F20"/>
          <w:sz w:val="20"/>
        </w:rPr>
        <w:t>on</w:t>
      </w:r>
      <w:r>
        <w:rPr>
          <w:color w:val="231F20"/>
          <w:spacing w:val="12"/>
          <w:sz w:val="20"/>
        </w:rPr>
        <w:t> </w:t>
      </w:r>
      <w:r>
        <w:rPr>
          <w:color w:val="231F20"/>
          <w:spacing w:val="-5"/>
          <w:sz w:val="20"/>
        </w:rPr>
        <w:t>the</w:t>
      </w:r>
    </w:p>
    <w:p>
      <w:pPr>
        <w:spacing w:line="255" w:lineRule="exact" w:before="0"/>
        <w:ind w:left="2472" w:right="0" w:firstLine="0"/>
        <w:jc w:val="left"/>
        <w:rPr>
          <w:sz w:val="20"/>
        </w:rPr>
      </w:pPr>
      <w:bookmarkStart w:name="Distributing the situation" w:id="425"/>
      <w:bookmarkEnd w:id="425"/>
      <w:r>
        <w:rPr/>
      </w:r>
      <w:r>
        <w:rPr>
          <w:rFonts w:ascii="Book Antiqua"/>
          <w:i/>
          <w:color w:val="231F20"/>
          <w:sz w:val="20"/>
        </w:rPr>
        <w:t>situation_name</w:t>
      </w:r>
      <w:r>
        <w:rPr>
          <w:rFonts w:ascii="Book Antiqua"/>
          <w:i/>
          <w:color w:val="231F20"/>
          <w:spacing w:val="4"/>
          <w:sz w:val="20"/>
        </w:rPr>
        <w:t> </w:t>
      </w:r>
      <w:r>
        <w:rPr>
          <w:color w:val="231F20"/>
          <w:sz w:val="20"/>
        </w:rPr>
        <w:t>-</w:t>
      </w:r>
      <w:r>
        <w:rPr>
          <w:color w:val="231F20"/>
          <w:spacing w:val="4"/>
          <w:sz w:val="20"/>
        </w:rPr>
        <w:t> </w:t>
      </w:r>
      <w:r>
        <w:rPr>
          <w:color w:val="231F20"/>
          <w:sz w:val="20"/>
        </w:rPr>
        <w:t>Sound</w:t>
      </w:r>
      <w:r>
        <w:rPr>
          <w:color w:val="231F20"/>
          <w:spacing w:val="4"/>
          <w:sz w:val="20"/>
        </w:rPr>
        <w:t> </w:t>
      </w:r>
      <w:r>
        <w:rPr>
          <w:color w:val="231F20"/>
          <w:sz w:val="20"/>
        </w:rPr>
        <w:t>window.</w:t>
      </w:r>
      <w:r>
        <w:rPr>
          <w:color w:val="231F20"/>
          <w:spacing w:val="4"/>
          <w:sz w:val="20"/>
        </w:rPr>
        <w:t> </w:t>
      </w:r>
      <w:r>
        <w:rPr>
          <w:color w:val="231F20"/>
          <w:sz w:val="20"/>
        </w:rPr>
        <w:t>to</w:t>
      </w:r>
      <w:r>
        <w:rPr>
          <w:color w:val="231F20"/>
          <w:spacing w:val="4"/>
          <w:sz w:val="20"/>
        </w:rPr>
        <w:t> </w:t>
      </w:r>
      <w:r>
        <w:rPr>
          <w:color w:val="231F20"/>
          <w:sz w:val="20"/>
        </w:rPr>
        <w:t>select</w:t>
      </w:r>
      <w:r>
        <w:rPr>
          <w:color w:val="231F20"/>
          <w:spacing w:val="4"/>
          <w:sz w:val="20"/>
        </w:rPr>
        <w:t> </w:t>
      </w:r>
      <w:r>
        <w:rPr>
          <w:color w:val="231F20"/>
          <w:sz w:val="20"/>
        </w:rPr>
        <w:t>your</w:t>
      </w:r>
      <w:r>
        <w:rPr>
          <w:color w:val="231F20"/>
          <w:spacing w:val="4"/>
          <w:sz w:val="20"/>
        </w:rPr>
        <w:t> </w:t>
      </w:r>
      <w:r>
        <w:rPr>
          <w:color w:val="231F20"/>
          <w:sz w:val="20"/>
        </w:rPr>
        <w:t>own</w:t>
      </w:r>
      <w:r>
        <w:rPr>
          <w:color w:val="231F20"/>
          <w:spacing w:val="4"/>
          <w:sz w:val="20"/>
        </w:rPr>
        <w:t> </w:t>
      </w:r>
      <w:r>
        <w:rPr>
          <w:color w:val="231F20"/>
          <w:sz w:val="20"/>
        </w:rPr>
        <w:t>WAV</w:t>
      </w:r>
      <w:r>
        <w:rPr>
          <w:color w:val="231F20"/>
          <w:spacing w:val="4"/>
          <w:sz w:val="20"/>
        </w:rPr>
        <w:t> </w:t>
      </w:r>
      <w:r>
        <w:rPr>
          <w:color w:val="231F20"/>
          <w:spacing w:val="-2"/>
          <w:sz w:val="20"/>
        </w:rPr>
        <w:t>file.</w:t>
      </w:r>
    </w:p>
    <w:p>
      <w:pPr>
        <w:pStyle w:val="Heading3"/>
        <w:spacing w:before="211"/>
        <w:ind w:left="1574"/>
      </w:pPr>
      <w:r>
        <w:rPr>
          <w:color w:val="231F20"/>
        </w:rPr>
        <w:t>Distributing</w:t>
      </w:r>
      <w:r>
        <w:rPr>
          <w:color w:val="231F20"/>
          <w:spacing w:val="5"/>
        </w:rPr>
        <w:t> </w:t>
      </w:r>
      <w:r>
        <w:rPr>
          <w:color w:val="231F20"/>
        </w:rPr>
        <w:t>the</w:t>
      </w:r>
      <w:r>
        <w:rPr>
          <w:color w:val="231F20"/>
          <w:spacing w:val="5"/>
        </w:rPr>
        <w:t> </w:t>
      </w:r>
      <w:r>
        <w:rPr>
          <w:color w:val="231F20"/>
          <w:spacing w:val="-2"/>
        </w:rPr>
        <w:t>situation</w:t>
      </w:r>
    </w:p>
    <w:p>
      <w:pPr>
        <w:pStyle w:val="BodyText"/>
        <w:spacing w:before="35"/>
        <w:ind w:left="2472"/>
      </w:pPr>
      <w:r>
        <w:rPr>
          <w:color w:val="231F20"/>
        </w:rPr>
        <w:t>The</w:t>
      </w:r>
      <w:r>
        <w:rPr>
          <w:color w:val="231F20"/>
          <w:spacing w:val="10"/>
        </w:rPr>
        <w:t> </w:t>
      </w:r>
      <w:r>
        <w:rPr>
          <w:color w:val="231F20"/>
        </w:rPr>
        <w:t>distribution</w:t>
      </w:r>
      <w:r>
        <w:rPr>
          <w:color w:val="231F20"/>
          <w:spacing w:val="11"/>
        </w:rPr>
        <w:t> </w:t>
      </w:r>
      <w:r>
        <w:rPr>
          <w:color w:val="231F20"/>
        </w:rPr>
        <w:t>of</w:t>
      </w:r>
      <w:r>
        <w:rPr>
          <w:color w:val="231F20"/>
          <w:spacing w:val="10"/>
        </w:rPr>
        <w:t> </w:t>
      </w:r>
      <w:r>
        <w:rPr>
          <w:color w:val="231F20"/>
        </w:rPr>
        <w:t>a</w:t>
      </w:r>
      <w:r>
        <w:rPr>
          <w:color w:val="231F20"/>
          <w:spacing w:val="11"/>
        </w:rPr>
        <w:t> </w:t>
      </w:r>
      <w:r>
        <w:rPr>
          <w:color w:val="231F20"/>
        </w:rPr>
        <w:t>situation</w:t>
      </w:r>
      <w:r>
        <w:rPr>
          <w:color w:val="231F20"/>
          <w:spacing w:val="11"/>
        </w:rPr>
        <w:t> </w:t>
      </w:r>
      <w:r>
        <w:rPr>
          <w:color w:val="231F20"/>
        </w:rPr>
        <w:t>determines</w:t>
      </w:r>
      <w:r>
        <w:rPr>
          <w:color w:val="231F20"/>
          <w:spacing w:val="10"/>
        </w:rPr>
        <w:t> </w:t>
      </w:r>
      <w:r>
        <w:rPr>
          <w:color w:val="231F20"/>
        </w:rPr>
        <w:t>where</w:t>
      </w:r>
      <w:r>
        <w:rPr>
          <w:color w:val="231F20"/>
          <w:spacing w:val="11"/>
        </w:rPr>
        <w:t> </w:t>
      </w:r>
      <w:r>
        <w:rPr>
          <w:color w:val="231F20"/>
        </w:rPr>
        <w:t>it</w:t>
      </w:r>
      <w:r>
        <w:rPr>
          <w:color w:val="231F20"/>
          <w:spacing w:val="10"/>
        </w:rPr>
        <w:t> </w:t>
      </w:r>
      <w:r>
        <w:rPr>
          <w:color w:val="231F20"/>
        </w:rPr>
        <w:t>will</w:t>
      </w:r>
      <w:r>
        <w:rPr>
          <w:color w:val="231F20"/>
          <w:spacing w:val="11"/>
        </w:rPr>
        <w:t> </w:t>
      </w:r>
      <w:r>
        <w:rPr>
          <w:color w:val="231F20"/>
          <w:spacing w:val="-4"/>
        </w:rPr>
        <w:t>run.</w:t>
      </w:r>
    </w:p>
    <w:p>
      <w:pPr>
        <w:spacing w:after="0"/>
        <w:sectPr>
          <w:pgSz w:w="12240" w:h="15840"/>
          <w:pgMar w:header="0" w:footer="736" w:top="1180" w:bottom="920" w:left="1000" w:right="1060"/>
        </w:sectPr>
      </w:pPr>
    </w:p>
    <w:p>
      <w:pPr>
        <w:pStyle w:val="Heading4"/>
        <w:spacing w:before="86"/>
      </w:pPr>
      <w:bookmarkStart w:name="_bookmark200" w:id="426"/>
      <w:bookmarkEnd w:id="426"/>
      <w:r>
        <w:rPr>
          <w:b w:val="0"/>
        </w:rPr>
      </w: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545"/>
      </w:pPr>
      <w:r>
        <w:rPr>
          <w:color w:val="231F20"/>
        </w:rPr>
        <w:t>The situation tree displays </w:t>
      </w:r>
      <w:r>
        <w:rPr>
          <w:color w:val="231F20"/>
          <w:spacing w:val="-25"/>
          <w:position w:val="-1"/>
        </w:rPr>
        <w:drawing>
          <wp:inline distT="0" distB="0" distL="0" distR="0">
            <wp:extent cx="95250" cy="95250"/>
            <wp:effectExtent l="0" t="0" r="0" b="0"/>
            <wp:docPr id="2336" name="Image 2336"/>
            <wp:cNvGraphicFramePr>
              <a:graphicFrameLocks/>
            </wp:cNvGraphicFramePr>
            <a:graphic>
              <a:graphicData uri="http://schemas.openxmlformats.org/drawingml/2006/picture">
                <pic:pic>
                  <pic:nvPicPr>
                    <pic:cNvPr id="2336" name="Image 2336"/>
                    <pic:cNvPicPr/>
                  </pic:nvPicPr>
                  <pic:blipFill>
                    <a:blip r:embed="rId375"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when a situation is distributed, and </w:t>
      </w:r>
      <w:r>
        <w:rPr>
          <w:color w:val="231F20"/>
          <w:spacing w:val="15"/>
          <w:position w:val="-1"/>
        </w:rPr>
        <w:drawing>
          <wp:inline distT="0" distB="0" distL="0" distR="0">
            <wp:extent cx="101600" cy="101600"/>
            <wp:effectExtent l="0" t="0" r="0" b="0"/>
            <wp:docPr id="2337" name="Image 2337"/>
            <wp:cNvGraphicFramePr>
              <a:graphicFrameLocks/>
            </wp:cNvGraphicFramePr>
            <a:graphic>
              <a:graphicData uri="http://schemas.openxmlformats.org/drawingml/2006/picture">
                <pic:pic>
                  <pic:nvPicPr>
                    <pic:cNvPr id="2337" name="Image 2337"/>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when </w:t>
      </w:r>
      <w:r>
        <w:rPr>
          <w:color w:val="231F20"/>
        </w:rPr>
        <w:t>a situation is </w:t>
      </w:r>
      <w:r>
        <w:rPr>
          <w:rFonts w:ascii="Book Antiqua"/>
          <w:i/>
          <w:color w:val="231F20"/>
        </w:rPr>
        <w:t>not </w:t>
      </w:r>
      <w:r>
        <w:rPr>
          <w:color w:val="231F20"/>
        </w:rPr>
        <w:t>distributed.</w:t>
      </w:r>
    </w:p>
    <w:p>
      <w:pPr>
        <w:pStyle w:val="BodyText"/>
        <w:spacing w:line="213" w:lineRule="auto" w:before="238"/>
        <w:ind w:left="2232" w:right="545"/>
      </w:pPr>
      <w:r>
        <w:rPr>
          <w:rFonts w:ascii="Book Antiqua"/>
          <w:b/>
          <w:color w:val="231F20"/>
        </w:rPr>
        <w:t>Note:</w:t>
      </w:r>
      <w:r>
        <w:rPr>
          <w:rFonts w:ascii="Book Antiqua"/>
          <w:b/>
          <w:color w:val="231F20"/>
          <w:spacing w:val="40"/>
        </w:rPr>
        <w:t> </w:t>
      </w:r>
      <w:r>
        <w:rPr>
          <w:color w:val="231F20"/>
        </w:rPr>
        <w:t>If you are running multiple versions of a monitoring agent, you will be able</w:t>
      </w:r>
      <w:r>
        <w:rPr>
          <w:color w:val="231F20"/>
          <w:spacing w:val="40"/>
        </w:rPr>
        <w:t> </w:t>
      </w:r>
      <w:r>
        <w:rPr>
          <w:color w:val="231F20"/>
        </w:rPr>
        <w:t>to distribute a situation only to the managed systems that the version supports.</w:t>
      </w:r>
    </w:p>
    <w:p>
      <w:pPr>
        <w:pStyle w:val="BodyText"/>
        <w:spacing w:before="215"/>
        <w:ind w:left="2232"/>
      </w:pPr>
      <w:r>
        <w:rPr>
          <w:color w:val="231F20"/>
        </w:rPr>
        <w:t>Take</w:t>
      </w:r>
      <w:r>
        <w:rPr>
          <w:color w:val="231F20"/>
          <w:spacing w:val="8"/>
        </w:rPr>
        <w:t> </w:t>
      </w:r>
      <w:r>
        <w:rPr>
          <w:color w:val="231F20"/>
        </w:rPr>
        <w:t>the</w:t>
      </w:r>
      <w:r>
        <w:rPr>
          <w:color w:val="231F20"/>
          <w:spacing w:val="9"/>
        </w:rPr>
        <w:t> </w:t>
      </w:r>
      <w:r>
        <w:rPr>
          <w:color w:val="231F20"/>
        </w:rPr>
        <w:t>following</w:t>
      </w:r>
      <w:r>
        <w:rPr>
          <w:color w:val="231F20"/>
          <w:spacing w:val="9"/>
        </w:rPr>
        <w:t> </w:t>
      </w:r>
      <w:r>
        <w:rPr>
          <w:color w:val="231F20"/>
        </w:rPr>
        <w:t>steps</w:t>
      </w:r>
      <w:r>
        <w:rPr>
          <w:color w:val="231F20"/>
          <w:spacing w:val="9"/>
        </w:rPr>
        <w:t> </w:t>
      </w:r>
      <w:r>
        <w:rPr>
          <w:color w:val="231F20"/>
        </w:rPr>
        <w:t>to</w:t>
      </w:r>
      <w:r>
        <w:rPr>
          <w:color w:val="231F20"/>
          <w:spacing w:val="8"/>
        </w:rPr>
        <w:t> </w:t>
      </w:r>
      <w:r>
        <w:rPr>
          <w:color w:val="231F20"/>
        </w:rPr>
        <w:t>distribute</w:t>
      </w:r>
      <w:r>
        <w:rPr>
          <w:color w:val="231F20"/>
          <w:spacing w:val="9"/>
        </w:rPr>
        <w:t> </w:t>
      </w:r>
      <w:r>
        <w:rPr>
          <w:color w:val="231F20"/>
        </w:rPr>
        <w:t>a</w:t>
      </w:r>
      <w:r>
        <w:rPr>
          <w:color w:val="231F20"/>
          <w:spacing w:val="9"/>
        </w:rPr>
        <w:t> </w:t>
      </w:r>
      <w:r>
        <w:rPr>
          <w:color w:val="231F20"/>
          <w:spacing w:val="-2"/>
        </w:rPr>
        <w:t>situation:</w:t>
      </w:r>
    </w:p>
    <w:p>
      <w:pPr>
        <w:pStyle w:val="ListParagraph"/>
        <w:numPr>
          <w:ilvl w:val="0"/>
          <w:numId w:val="118"/>
        </w:numPr>
        <w:tabs>
          <w:tab w:pos="2615" w:val="left" w:leader="none"/>
        </w:tabs>
        <w:spacing w:line="240" w:lineRule="auto" w:before="34" w:after="0"/>
        <w:ind w:left="2615" w:right="0" w:hanging="383"/>
        <w:jc w:val="left"/>
        <w:rPr>
          <w:sz w:val="20"/>
        </w:rPr>
      </w:pPr>
      <w:r>
        <w:rPr>
          <w:color w:val="231F20"/>
          <w:sz w:val="20"/>
        </w:rPr>
        <w:t>In</w:t>
      </w:r>
      <w:r>
        <w:rPr>
          <w:color w:val="231F20"/>
          <w:spacing w:val="10"/>
          <w:sz w:val="20"/>
        </w:rPr>
        <w:t> </w:t>
      </w:r>
      <w:r>
        <w:rPr>
          <w:color w:val="231F20"/>
          <w:sz w:val="20"/>
        </w:rPr>
        <w:t>the</w:t>
      </w:r>
      <w:r>
        <w:rPr>
          <w:color w:val="231F20"/>
          <w:spacing w:val="11"/>
          <w:sz w:val="20"/>
        </w:rPr>
        <w:t> </w:t>
      </w:r>
      <w:r>
        <w:rPr>
          <w:color w:val="231F20"/>
          <w:sz w:val="20"/>
        </w:rPr>
        <w:t>Situation</w:t>
      </w:r>
      <w:r>
        <w:rPr>
          <w:color w:val="231F20"/>
          <w:spacing w:val="10"/>
          <w:sz w:val="20"/>
        </w:rPr>
        <w:t> </w:t>
      </w:r>
      <w:r>
        <w:rPr>
          <w:color w:val="231F20"/>
          <w:sz w:val="20"/>
        </w:rPr>
        <w:t>editor,</w:t>
      </w:r>
      <w:r>
        <w:rPr>
          <w:color w:val="231F20"/>
          <w:spacing w:val="11"/>
          <w:sz w:val="20"/>
        </w:rPr>
        <w:t> </w:t>
      </w:r>
      <w:r>
        <w:rPr>
          <w:color w:val="231F20"/>
          <w:sz w:val="20"/>
        </w:rPr>
        <w:t>select</w:t>
      </w:r>
      <w:r>
        <w:rPr>
          <w:color w:val="231F20"/>
          <w:spacing w:val="10"/>
          <w:sz w:val="20"/>
        </w:rPr>
        <w:t> </w:t>
      </w:r>
      <w:r>
        <w:rPr>
          <w:color w:val="231F20"/>
          <w:sz w:val="20"/>
        </w:rPr>
        <w:t>the</w:t>
      </w:r>
      <w:r>
        <w:rPr>
          <w:color w:val="231F20"/>
          <w:spacing w:val="28"/>
          <w:sz w:val="20"/>
        </w:rPr>
        <w:t> </w:t>
      </w:r>
      <w:r>
        <w:rPr>
          <w:color w:val="231F20"/>
          <w:spacing w:val="-15"/>
          <w:sz w:val="20"/>
        </w:rPr>
        <w:drawing>
          <wp:inline distT="0" distB="0" distL="0" distR="0">
            <wp:extent cx="101600" cy="82550"/>
            <wp:effectExtent l="0" t="0" r="0" b="0"/>
            <wp:docPr id="2338" name="Image 2338"/>
            <wp:cNvGraphicFramePr>
              <a:graphicFrameLocks/>
            </wp:cNvGraphicFramePr>
            <a:graphic>
              <a:graphicData uri="http://schemas.openxmlformats.org/drawingml/2006/picture">
                <pic:pic>
                  <pic:nvPicPr>
                    <pic:cNvPr id="2338" name="Image 2338"/>
                    <pic:cNvPicPr/>
                  </pic:nvPicPr>
                  <pic:blipFill>
                    <a:blip r:embed="rId367" cstate="print"/>
                    <a:stretch>
                      <a:fillRect/>
                    </a:stretch>
                  </pic:blipFill>
                  <pic:spPr>
                    <a:xfrm>
                      <a:off x="0" y="0"/>
                      <a:ext cx="101600" cy="82550"/>
                    </a:xfrm>
                    <a:prstGeom prst="rect">
                      <a:avLst/>
                    </a:prstGeom>
                  </pic:spPr>
                </pic:pic>
              </a:graphicData>
            </a:graphic>
          </wp:inline>
        </w:drawing>
      </w:r>
      <w:r>
        <w:rPr>
          <w:color w:val="231F20"/>
          <w:spacing w:val="-15"/>
          <w:sz w:val="20"/>
        </w:rPr>
      </w:r>
      <w:r>
        <w:rPr>
          <w:rFonts w:ascii="Times New Roman"/>
          <w:color w:val="231F20"/>
          <w:spacing w:val="63"/>
          <w:w w:val="150"/>
          <w:sz w:val="20"/>
        </w:rPr>
        <w:t> </w:t>
      </w:r>
      <w:r>
        <w:rPr>
          <w:rFonts w:ascii="Book Antiqua"/>
          <w:b/>
          <w:color w:val="231F20"/>
          <w:sz w:val="20"/>
        </w:rPr>
        <w:t>Distribution</w:t>
      </w:r>
      <w:r>
        <w:rPr>
          <w:rFonts w:ascii="Book Antiqua"/>
          <w:b/>
          <w:color w:val="231F20"/>
          <w:spacing w:val="10"/>
          <w:sz w:val="20"/>
        </w:rPr>
        <w:t> </w:t>
      </w:r>
      <w:r>
        <w:rPr>
          <w:color w:val="231F20"/>
          <w:spacing w:val="-4"/>
          <w:sz w:val="20"/>
        </w:rPr>
        <w:t>tab.</w:t>
      </w:r>
    </w:p>
    <w:p>
      <w:pPr>
        <w:pStyle w:val="BodyText"/>
        <w:spacing w:line="213" w:lineRule="auto" w:before="48"/>
        <w:ind w:left="2548" w:right="493"/>
      </w:pPr>
      <w:r>
        <w:rPr>
          <w:color w:val="231F20"/>
        </w:rPr>
        <w:t>If it is not already, open the Situation editor and select the situation whose distribution you want to specify.</w:t>
      </w:r>
    </w:p>
    <w:p>
      <w:pPr>
        <w:pStyle w:val="ListParagraph"/>
        <w:numPr>
          <w:ilvl w:val="0"/>
          <w:numId w:val="118"/>
        </w:numPr>
        <w:tabs>
          <w:tab w:pos="2547" w:val="left" w:leader="none"/>
        </w:tabs>
        <w:spacing w:line="255" w:lineRule="exact" w:before="35" w:after="0"/>
        <w:ind w:left="2547" w:right="0" w:hanging="315"/>
        <w:jc w:val="left"/>
        <w:rPr>
          <w:sz w:val="20"/>
        </w:rPr>
      </w:pPr>
      <w:r>
        <w:rPr>
          <w:color w:val="231F20"/>
          <w:sz w:val="20"/>
        </w:rPr>
        <w:t>To</w:t>
      </w:r>
      <w:r>
        <w:rPr>
          <w:color w:val="231F20"/>
          <w:spacing w:val="8"/>
          <w:sz w:val="20"/>
        </w:rPr>
        <w:t> </w:t>
      </w:r>
      <w:r>
        <w:rPr>
          <w:color w:val="231F20"/>
          <w:sz w:val="20"/>
        </w:rPr>
        <w:t>add</w:t>
      </w:r>
      <w:r>
        <w:rPr>
          <w:color w:val="231F20"/>
          <w:spacing w:val="8"/>
          <w:sz w:val="20"/>
        </w:rPr>
        <w:t> </w:t>
      </w:r>
      <w:r>
        <w:rPr>
          <w:color w:val="231F20"/>
          <w:sz w:val="20"/>
        </w:rPr>
        <w:t>to</w:t>
      </w:r>
      <w:r>
        <w:rPr>
          <w:color w:val="231F20"/>
          <w:spacing w:val="8"/>
          <w:sz w:val="20"/>
        </w:rPr>
        <w:t> </w:t>
      </w:r>
      <w:r>
        <w:rPr>
          <w:color w:val="231F20"/>
          <w:sz w:val="20"/>
        </w:rPr>
        <w:t>the</w:t>
      </w:r>
      <w:r>
        <w:rPr>
          <w:color w:val="231F20"/>
          <w:spacing w:val="8"/>
          <w:sz w:val="20"/>
        </w:rPr>
        <w:t> </w:t>
      </w:r>
      <w:r>
        <w:rPr>
          <w:rFonts w:ascii="Book Antiqua"/>
          <w:b/>
          <w:color w:val="231F20"/>
          <w:sz w:val="20"/>
        </w:rPr>
        <w:t>Assigned</w:t>
      </w:r>
      <w:r>
        <w:rPr>
          <w:rFonts w:ascii="Book Antiqua"/>
          <w:b/>
          <w:color w:val="231F20"/>
          <w:spacing w:val="8"/>
          <w:sz w:val="20"/>
        </w:rPr>
        <w:t> </w:t>
      </w:r>
      <w:r>
        <w:rPr>
          <w:color w:val="231F20"/>
          <w:sz w:val="20"/>
        </w:rPr>
        <w:t>list,</w:t>
      </w:r>
      <w:r>
        <w:rPr>
          <w:color w:val="231F20"/>
          <w:spacing w:val="8"/>
          <w:sz w:val="20"/>
        </w:rPr>
        <w:t> </w:t>
      </w:r>
      <w:r>
        <w:rPr>
          <w:color w:val="231F20"/>
          <w:sz w:val="20"/>
        </w:rPr>
        <w:t>select</w:t>
      </w:r>
      <w:r>
        <w:rPr>
          <w:color w:val="231F20"/>
          <w:spacing w:val="8"/>
          <w:sz w:val="20"/>
        </w:rPr>
        <w:t> </w:t>
      </w:r>
      <w:r>
        <w:rPr>
          <w:color w:val="231F20"/>
          <w:sz w:val="20"/>
        </w:rPr>
        <w:t>from</w:t>
      </w:r>
      <w:r>
        <w:rPr>
          <w:color w:val="231F20"/>
          <w:spacing w:val="8"/>
          <w:sz w:val="20"/>
        </w:rPr>
        <w:t> </w:t>
      </w:r>
      <w:r>
        <w:rPr>
          <w:color w:val="231F20"/>
          <w:sz w:val="20"/>
        </w:rPr>
        <w:t>the</w:t>
      </w:r>
      <w:r>
        <w:rPr>
          <w:color w:val="231F20"/>
          <w:spacing w:val="8"/>
          <w:sz w:val="20"/>
        </w:rPr>
        <w:t> </w:t>
      </w:r>
      <w:r>
        <w:rPr>
          <w:rFonts w:ascii="Book Antiqua"/>
          <w:b/>
          <w:color w:val="231F20"/>
          <w:sz w:val="20"/>
        </w:rPr>
        <w:t>Available</w:t>
      </w:r>
      <w:r>
        <w:rPr>
          <w:rFonts w:ascii="Book Antiqua"/>
          <w:b/>
          <w:color w:val="231F20"/>
          <w:spacing w:val="8"/>
          <w:sz w:val="20"/>
        </w:rPr>
        <w:t> </w:t>
      </w:r>
      <w:r>
        <w:rPr>
          <w:rFonts w:ascii="Book Antiqua"/>
          <w:b/>
          <w:color w:val="231F20"/>
          <w:sz w:val="20"/>
        </w:rPr>
        <w:t>Managed</w:t>
      </w:r>
      <w:r>
        <w:rPr>
          <w:rFonts w:ascii="Book Antiqua"/>
          <w:b/>
          <w:color w:val="231F20"/>
          <w:spacing w:val="8"/>
          <w:sz w:val="20"/>
        </w:rPr>
        <w:t> </w:t>
      </w:r>
      <w:r>
        <w:rPr>
          <w:rFonts w:ascii="Book Antiqua"/>
          <w:b/>
          <w:color w:val="231F20"/>
          <w:sz w:val="20"/>
        </w:rPr>
        <w:t>Systems</w:t>
      </w:r>
      <w:r>
        <w:rPr>
          <w:rFonts w:ascii="Book Antiqua"/>
          <w:b/>
          <w:color w:val="231F20"/>
          <w:spacing w:val="8"/>
          <w:sz w:val="20"/>
        </w:rPr>
        <w:t> </w:t>
      </w:r>
      <w:r>
        <w:rPr>
          <w:color w:val="231F20"/>
          <w:spacing w:val="-5"/>
          <w:sz w:val="20"/>
        </w:rPr>
        <w:t>or</w:t>
      </w:r>
    </w:p>
    <w:p>
      <w:pPr>
        <w:spacing w:line="255" w:lineRule="exact" w:before="0"/>
        <w:ind w:left="2548" w:right="0" w:firstLine="0"/>
        <w:jc w:val="left"/>
        <w:rPr>
          <w:sz w:val="20"/>
        </w:rPr>
      </w:pPr>
      <w:r>
        <w:rPr>
          <w:rFonts w:ascii="Book Antiqua"/>
          <w:b/>
          <w:color w:val="231F20"/>
          <w:sz w:val="20"/>
        </w:rPr>
        <w:t>Available</w:t>
      </w:r>
      <w:r>
        <w:rPr>
          <w:rFonts w:ascii="Book Antiqua"/>
          <w:b/>
          <w:color w:val="231F20"/>
          <w:spacing w:val="10"/>
          <w:sz w:val="20"/>
        </w:rPr>
        <w:t> </w:t>
      </w:r>
      <w:r>
        <w:rPr>
          <w:rFonts w:ascii="Book Antiqua"/>
          <w:b/>
          <w:color w:val="231F20"/>
          <w:sz w:val="20"/>
        </w:rPr>
        <w:t>Managed</w:t>
      </w:r>
      <w:r>
        <w:rPr>
          <w:rFonts w:ascii="Book Antiqua"/>
          <w:b/>
          <w:color w:val="231F20"/>
          <w:spacing w:val="10"/>
          <w:sz w:val="20"/>
        </w:rPr>
        <w:t> </w:t>
      </w:r>
      <w:r>
        <w:rPr>
          <w:rFonts w:ascii="Book Antiqua"/>
          <w:b/>
          <w:color w:val="231F20"/>
          <w:sz w:val="20"/>
        </w:rPr>
        <w:t>System</w:t>
      </w:r>
      <w:r>
        <w:rPr>
          <w:rFonts w:ascii="Book Antiqua"/>
          <w:b/>
          <w:color w:val="231F20"/>
          <w:spacing w:val="10"/>
          <w:sz w:val="20"/>
        </w:rPr>
        <w:t> </w:t>
      </w:r>
      <w:r>
        <w:rPr>
          <w:rFonts w:ascii="Book Antiqua"/>
          <w:b/>
          <w:color w:val="231F20"/>
          <w:sz w:val="20"/>
        </w:rPr>
        <w:t>Groups</w:t>
      </w:r>
      <w:r>
        <w:rPr>
          <w:color w:val="231F20"/>
          <w:sz w:val="20"/>
        </w:rPr>
        <w:t>,</w:t>
      </w:r>
      <w:r>
        <w:rPr>
          <w:color w:val="231F20"/>
          <w:spacing w:val="10"/>
          <w:sz w:val="20"/>
        </w:rPr>
        <w:t> </w:t>
      </w:r>
      <w:r>
        <w:rPr>
          <w:color w:val="231F20"/>
          <w:sz w:val="20"/>
        </w:rPr>
        <w:t>or</w:t>
      </w:r>
      <w:r>
        <w:rPr>
          <w:color w:val="231F20"/>
          <w:spacing w:val="10"/>
          <w:sz w:val="20"/>
        </w:rPr>
        <w:t> </w:t>
      </w:r>
      <w:r>
        <w:rPr>
          <w:color w:val="231F20"/>
          <w:sz w:val="20"/>
        </w:rPr>
        <w:t>both,</w:t>
      </w:r>
      <w:r>
        <w:rPr>
          <w:color w:val="231F20"/>
          <w:spacing w:val="10"/>
          <w:sz w:val="20"/>
        </w:rPr>
        <w:t> </w:t>
      </w:r>
      <w:r>
        <w:rPr>
          <w:color w:val="231F20"/>
          <w:sz w:val="20"/>
        </w:rPr>
        <w:t>and</w:t>
      </w:r>
      <w:r>
        <w:rPr>
          <w:color w:val="231F20"/>
          <w:spacing w:val="10"/>
          <w:sz w:val="20"/>
        </w:rPr>
        <w:t> </w:t>
      </w:r>
      <w:r>
        <w:rPr>
          <w:color w:val="231F20"/>
          <w:sz w:val="20"/>
        </w:rPr>
        <w:t>click</w:t>
      </w:r>
      <w:r>
        <w:rPr>
          <w:color w:val="231F20"/>
          <w:spacing w:val="42"/>
          <w:sz w:val="20"/>
        </w:rPr>
        <w:t> </w:t>
      </w:r>
      <w:r>
        <w:rPr>
          <w:color w:val="231F20"/>
          <w:position w:val="1"/>
          <w:sz w:val="20"/>
        </w:rPr>
        <w:drawing>
          <wp:inline distT="0" distB="0" distL="0" distR="0">
            <wp:extent cx="31114" cy="53339"/>
            <wp:effectExtent l="0" t="0" r="0" b="0"/>
            <wp:docPr id="2339" name="Image 2339"/>
            <wp:cNvGraphicFramePr>
              <a:graphicFrameLocks/>
            </wp:cNvGraphicFramePr>
            <a:graphic>
              <a:graphicData uri="http://schemas.openxmlformats.org/drawingml/2006/picture">
                <pic:pic>
                  <pic:nvPicPr>
                    <pic:cNvPr id="2339" name="Image 2339"/>
                    <pic:cNvPicPr/>
                  </pic:nvPicPr>
                  <pic:blipFill>
                    <a:blip r:embed="rId153" cstate="print"/>
                    <a:stretch>
                      <a:fillRect/>
                    </a:stretch>
                  </pic:blipFill>
                  <pic:spPr>
                    <a:xfrm>
                      <a:off x="0" y="0"/>
                      <a:ext cx="31114" cy="53339"/>
                    </a:xfrm>
                    <a:prstGeom prst="rect">
                      <a:avLst/>
                    </a:prstGeom>
                  </pic:spPr>
                </pic:pic>
              </a:graphicData>
            </a:graphic>
          </wp:inline>
        </w:drawing>
      </w:r>
      <w:r>
        <w:rPr>
          <w:color w:val="231F20"/>
          <w:position w:val="1"/>
          <w:sz w:val="20"/>
        </w:rPr>
      </w:r>
      <w:r>
        <w:rPr>
          <w:rFonts w:ascii="Times New Roman"/>
          <w:color w:val="231F20"/>
          <w:spacing w:val="45"/>
          <w:sz w:val="20"/>
        </w:rPr>
        <w:t> </w:t>
      </w:r>
      <w:r>
        <w:rPr>
          <w:color w:val="231F20"/>
          <w:spacing w:val="-10"/>
          <w:sz w:val="20"/>
        </w:rPr>
        <w:t>.</w:t>
      </w:r>
    </w:p>
    <w:p>
      <w:pPr>
        <w:spacing w:line="213" w:lineRule="auto" w:before="53"/>
        <w:ind w:left="2548" w:right="545" w:firstLine="0"/>
        <w:jc w:val="left"/>
        <w:rPr>
          <w:sz w:val="20"/>
        </w:rPr>
      </w:pPr>
      <w:r>
        <w:rPr>
          <w:rFonts w:ascii="Book Antiqua"/>
          <w:b/>
          <w:color w:val="231F20"/>
          <w:sz w:val="20"/>
        </w:rPr>
        <w:t>Available Managed Systems </w:t>
      </w:r>
      <w:r>
        <w:rPr>
          <w:color w:val="231F20"/>
          <w:sz w:val="20"/>
        </w:rPr>
        <w:t>shows the monitoring agents to which </w:t>
      </w:r>
      <w:r>
        <w:rPr>
          <w:color w:val="231F20"/>
          <w:sz w:val="20"/>
        </w:rPr>
        <w:t>the situation can be distributed.</w:t>
      </w:r>
    </w:p>
    <w:p>
      <w:pPr>
        <w:spacing w:line="213" w:lineRule="auto" w:before="58"/>
        <w:ind w:left="2548" w:right="636" w:firstLine="0"/>
        <w:jc w:val="left"/>
        <w:rPr>
          <w:sz w:val="20"/>
        </w:rPr>
      </w:pPr>
      <w:r>
        <w:rPr>
          <w:rFonts w:ascii="Book Antiqua"/>
          <w:b/>
          <w:color w:val="231F20"/>
          <w:sz w:val="20"/>
        </w:rPr>
        <w:t>Available Managed System Groups </w:t>
      </w:r>
      <w:r>
        <w:rPr>
          <w:color w:val="231F20"/>
          <w:sz w:val="20"/>
        </w:rPr>
        <w:t>Each monitoring agent product </w:t>
      </w:r>
      <w:r>
        <w:rPr>
          <w:color w:val="231F20"/>
          <w:sz w:val="20"/>
        </w:rPr>
        <w:t>comes with one managed system group named for the product, such as</w:t>
      </w:r>
    </w:p>
    <w:p>
      <w:pPr>
        <w:pStyle w:val="BodyText"/>
        <w:spacing w:line="213" w:lineRule="auto"/>
        <w:ind w:left="2548" w:right="763"/>
      </w:pPr>
      <w:r>
        <w:rPr>
          <w:color w:val="231F20"/>
        </w:rPr>
        <w:t>*MS_SQL_SERVER for IBM Tivoli Monitoring for MS SQL Server </w:t>
      </w:r>
      <w:r>
        <w:rPr>
          <w:color w:val="231F20"/>
        </w:rPr>
        <w:t>managed systems, and you can have custom lists that were created in the </w:t>
      </w:r>
      <w:r>
        <w:rPr>
          <w:color w:val="231F20"/>
          <w:spacing w:val="15"/>
          <w:position w:val="-1"/>
        </w:rPr>
        <w:drawing>
          <wp:inline distT="0" distB="0" distL="0" distR="0">
            <wp:extent cx="95250" cy="95250"/>
            <wp:effectExtent l="0" t="0" r="0" b="0"/>
            <wp:docPr id="2340" name="Image 2340"/>
            <wp:cNvGraphicFramePr>
              <a:graphicFrameLocks/>
            </wp:cNvGraphicFramePr>
            <a:graphic>
              <a:graphicData uri="http://schemas.openxmlformats.org/drawingml/2006/picture">
                <pic:pic>
                  <pic:nvPicPr>
                    <pic:cNvPr id="2340" name="Image 2340"/>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2"/>
        </w:rPr>
        <w:t> </w:t>
      </w:r>
      <w:r>
        <w:rPr>
          <w:rFonts w:ascii="Book Antiqua"/>
          <w:b/>
          <w:color w:val="231F20"/>
        </w:rPr>
        <w:t>Object group editor</w:t>
      </w:r>
      <w:r>
        <w:rPr>
          <w:color w:val="231F20"/>
        </w:rPr>
        <w:t>.</w:t>
      </w:r>
    </w:p>
    <w:p>
      <w:pPr>
        <w:pStyle w:val="ListParagraph"/>
        <w:numPr>
          <w:ilvl w:val="0"/>
          <w:numId w:val="118"/>
        </w:numPr>
        <w:tabs>
          <w:tab w:pos="2548" w:val="left" w:leader="none"/>
        </w:tabs>
        <w:spacing w:line="213" w:lineRule="auto" w:before="57" w:after="0"/>
        <w:ind w:left="2548" w:right="500" w:hanging="316"/>
        <w:jc w:val="both"/>
        <w:rPr>
          <w:sz w:val="20"/>
        </w:rPr>
      </w:pPr>
      <w:r>
        <w:rPr>
          <w:color w:val="231F20"/>
          <w:sz w:val="20"/>
        </w:rPr>
        <w:t>If you want to override the situation formula for any of the assigned managed systems, select one or more managed systems or managed system groups </w:t>
      </w:r>
      <w:r>
        <w:rPr>
          <w:color w:val="231F20"/>
          <w:sz w:val="20"/>
        </w:rPr>
        <w:t>from the </w:t>
      </w:r>
      <w:r>
        <w:rPr>
          <w:rFonts w:ascii="Book Antiqua"/>
          <w:b/>
          <w:color w:val="231F20"/>
          <w:sz w:val="20"/>
        </w:rPr>
        <w:t>Assigned </w:t>
      </w:r>
      <w:r>
        <w:rPr>
          <w:color w:val="231F20"/>
          <w:sz w:val="20"/>
        </w:rPr>
        <w:t>list, and then click </w:t>
      </w:r>
      <w:r>
        <w:rPr>
          <w:rFonts w:ascii="Book Antiqua"/>
          <w:b/>
          <w:color w:val="231F20"/>
          <w:sz w:val="20"/>
        </w:rPr>
        <w:t>Override Formula</w:t>
      </w:r>
      <w:r>
        <w:rPr>
          <w:color w:val="231F20"/>
          <w:sz w:val="20"/>
        </w:rPr>
        <w:t>.</w:t>
      </w:r>
    </w:p>
    <w:p>
      <w:pPr>
        <w:pStyle w:val="BodyText"/>
        <w:spacing w:line="213" w:lineRule="auto" w:before="237"/>
        <w:ind w:left="2548" w:right="545"/>
      </w:pPr>
      <w:r>
        <w:rPr>
          <w:rFonts w:ascii="Book Antiqua"/>
          <w:b/>
          <w:color w:val="231F20"/>
        </w:rPr>
        <w:t>Note:</w:t>
      </w:r>
      <w:r>
        <w:rPr>
          <w:rFonts w:ascii="Book Antiqua"/>
          <w:b/>
          <w:color w:val="231F20"/>
          <w:spacing w:val="40"/>
        </w:rPr>
        <w:t> </w:t>
      </w:r>
      <w:r>
        <w:rPr>
          <w:color w:val="231F20"/>
        </w:rPr>
        <w:t>Not all situations can be overridden. If you are editing a situation that cannot be overridden, the </w:t>
      </w:r>
      <w:r>
        <w:rPr>
          <w:rFonts w:ascii="Book Antiqua"/>
          <w:b/>
          <w:color w:val="231F20"/>
        </w:rPr>
        <w:t>Override Formula </w:t>
      </w:r>
      <w:r>
        <w:rPr>
          <w:color w:val="231F20"/>
        </w:rPr>
        <w:t>button is not available.</w:t>
      </w:r>
    </w:p>
    <w:p>
      <w:pPr>
        <w:pStyle w:val="ListParagraph"/>
        <w:numPr>
          <w:ilvl w:val="0"/>
          <w:numId w:val="118"/>
        </w:numPr>
        <w:tabs>
          <w:tab w:pos="2398" w:val="left" w:leader="none"/>
        </w:tabs>
        <w:spacing w:line="240" w:lineRule="auto" w:before="58" w:after="0"/>
        <w:ind w:left="2398" w:right="0" w:hanging="166"/>
        <w:jc w:val="left"/>
        <w:rPr>
          <w:rFonts w:ascii="Arial"/>
          <w:sz w:val="20"/>
        </w:rPr>
      </w:pPr>
    </w:p>
    <w:p>
      <w:pPr>
        <w:pStyle w:val="BodyText"/>
        <w:spacing w:before="47"/>
        <w:ind w:left="2548"/>
      </w:pPr>
      <w:r>
        <w:rPr>
          <w:color w:val="231F20"/>
        </w:rPr>
        <w:t>Select</w:t>
      </w:r>
      <w:r>
        <w:rPr>
          <w:color w:val="231F20"/>
          <w:spacing w:val="11"/>
        </w:rPr>
        <w:t> </w:t>
      </w:r>
      <w:r>
        <w:rPr>
          <w:color w:val="231F20"/>
        </w:rPr>
        <w:t>other</w:t>
      </w:r>
      <w:r>
        <w:rPr>
          <w:color w:val="231F20"/>
          <w:spacing w:val="12"/>
        </w:rPr>
        <w:t> </w:t>
      </w:r>
      <w:r>
        <w:rPr>
          <w:color w:val="231F20"/>
        </w:rPr>
        <w:t>tabs</w:t>
      </w:r>
      <w:r>
        <w:rPr>
          <w:color w:val="231F20"/>
          <w:spacing w:val="11"/>
        </w:rPr>
        <w:t> </w:t>
      </w:r>
      <w:r>
        <w:rPr>
          <w:color w:val="231F20"/>
        </w:rPr>
        <w:t>in</w:t>
      </w:r>
      <w:r>
        <w:rPr>
          <w:color w:val="231F20"/>
          <w:spacing w:val="12"/>
        </w:rPr>
        <w:t> </w:t>
      </w:r>
      <w:r>
        <w:rPr>
          <w:color w:val="231F20"/>
        </w:rPr>
        <w:t>the</w:t>
      </w:r>
      <w:r>
        <w:rPr>
          <w:color w:val="231F20"/>
          <w:spacing w:val="11"/>
        </w:rPr>
        <w:t> </w:t>
      </w:r>
      <w:r>
        <w:rPr>
          <w:color w:val="231F20"/>
        </w:rPr>
        <w:t>Situation</w:t>
      </w:r>
      <w:r>
        <w:rPr>
          <w:color w:val="231F20"/>
          <w:spacing w:val="12"/>
        </w:rPr>
        <w:t> </w:t>
      </w:r>
      <w:r>
        <w:rPr>
          <w:color w:val="231F20"/>
        </w:rPr>
        <w:t>editor</w:t>
      </w:r>
      <w:r>
        <w:rPr>
          <w:color w:val="231F20"/>
          <w:spacing w:val="11"/>
        </w:rPr>
        <w:t> </w:t>
      </w:r>
      <w:r>
        <w:rPr>
          <w:color w:val="231F20"/>
          <w:spacing w:val="-5"/>
        </w:rPr>
        <w:t>to:</w:t>
      </w:r>
    </w:p>
    <w:p>
      <w:pPr>
        <w:pStyle w:val="BodyText"/>
        <w:spacing w:before="30"/>
        <w:ind w:left="2548"/>
      </w:pPr>
      <w:r>
        <w:rPr>
          <w:rFonts w:ascii="Futura MdCn BT" w:hAnsi="Futura MdCn BT"/>
          <w:color w:val="231F20"/>
        </w:rPr>
        <w:t>v</w:t>
      </w:r>
      <w:r>
        <w:rPr>
          <w:rFonts w:ascii="Futura MdCn BT" w:hAnsi="Futura MdCn BT"/>
          <w:color w:val="231F20"/>
          <w:spacing w:val="79"/>
          <w:w w:val="150"/>
        </w:rPr>
        <w:t> </w:t>
      </w:r>
      <w:r>
        <w:rPr>
          <w:color w:val="231F20"/>
        </w:rPr>
        <w:t>Add</w:t>
      </w:r>
      <w:r>
        <w:rPr>
          <w:color w:val="231F20"/>
          <w:spacing w:val="11"/>
        </w:rPr>
        <w:t> </w:t>
      </w:r>
      <w:r>
        <w:rPr>
          <w:color w:val="231F20"/>
        </w:rPr>
        <w:t>expert</w:t>
      </w:r>
      <w:r>
        <w:rPr>
          <w:color w:val="231F20"/>
          <w:spacing w:val="10"/>
        </w:rPr>
        <w:t> </w:t>
      </w:r>
      <w:r>
        <w:rPr>
          <w:color w:val="231F20"/>
        </w:rPr>
        <w:t>advice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See</w:t>
      </w:r>
      <w:r>
        <w:rPr>
          <w:color w:val="231F20"/>
          <w:spacing w:val="11"/>
        </w:rPr>
        <w:t> </w:t>
      </w:r>
      <w:hyperlink w:history="true" w:anchor="_bookmark201">
        <w:r>
          <w:rPr>
            <w:color w:val="231F20"/>
          </w:rPr>
          <w:t>“Writing</w:t>
        </w:r>
        <w:r>
          <w:rPr>
            <w:color w:val="231F20"/>
            <w:spacing w:val="11"/>
          </w:rPr>
          <w:t> </w:t>
        </w:r>
        <w:r>
          <w:rPr>
            <w:color w:val="231F20"/>
          </w:rPr>
          <w:t>expert</w:t>
        </w:r>
        <w:r>
          <w:rPr>
            <w:color w:val="231F20"/>
            <w:spacing w:val="11"/>
          </w:rPr>
          <w:t> </w:t>
        </w:r>
        <w:r>
          <w:rPr>
            <w:color w:val="231F20"/>
          </w:rPr>
          <w:t>advice”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271.</w:t>
        </w:r>
      </w:hyperlink>
    </w:p>
    <w:p>
      <w:pPr>
        <w:pStyle w:val="BodyText"/>
        <w:spacing w:line="213" w:lineRule="auto" w:before="52"/>
        <w:ind w:left="2764" w:right="493" w:hanging="216"/>
      </w:pPr>
      <w:r>
        <w:rPr>
          <w:rFonts w:ascii="Futura MdCn BT" w:hAnsi="Futura MdCn BT"/>
          <w:color w:val="231F20"/>
        </w:rPr>
        <w:t>v</w:t>
      </w:r>
      <w:r>
        <w:rPr>
          <w:rFonts w:ascii="Futura MdCn BT" w:hAnsi="Futura MdCn BT"/>
          <w:color w:val="231F20"/>
          <w:spacing w:val="80"/>
        </w:rPr>
        <w:t> </w:t>
      </w:r>
      <w:r>
        <w:rPr>
          <w:color w:val="231F20"/>
        </w:rPr>
        <w:t>Specify an action to take or a message to send to the Universal Message</w:t>
      </w:r>
      <w:r>
        <w:rPr>
          <w:color w:val="231F20"/>
          <w:spacing w:val="40"/>
        </w:rPr>
        <w:t> </w:t>
      </w:r>
      <w:r>
        <w:rPr>
          <w:color w:val="231F20"/>
        </w:rPr>
        <w:t>Console</w:t>
      </w:r>
      <w:r>
        <w:rPr>
          <w:color w:val="231F20"/>
          <w:spacing w:val="11"/>
        </w:rPr>
        <w:t> </w:t>
      </w:r>
      <w:r>
        <w:rPr>
          <w:color w:val="231F20"/>
        </w:rPr>
        <w:t>when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rPr>
        <w:t>true.</w:t>
      </w:r>
      <w:r>
        <w:rPr>
          <w:color w:val="231F20"/>
          <w:spacing w:val="11"/>
        </w:rPr>
        <w:t> </w:t>
      </w:r>
      <w:r>
        <w:rPr>
          <w:color w:val="231F20"/>
        </w:rPr>
        <w:t>See</w:t>
      </w:r>
      <w:r>
        <w:rPr>
          <w:color w:val="231F20"/>
          <w:spacing w:val="11"/>
        </w:rPr>
        <w:t> </w:t>
      </w:r>
      <w:hyperlink w:history="true" w:anchor="_bookmark203">
        <w:r>
          <w:rPr>
            <w:color w:val="231F20"/>
          </w:rPr>
          <w:t>“Specifying</w:t>
        </w:r>
        <w:r>
          <w:rPr>
            <w:color w:val="231F20"/>
            <w:spacing w:val="11"/>
          </w:rPr>
          <w:t> </w:t>
        </w:r>
        <w:r>
          <w:rPr>
            <w:color w:val="231F20"/>
          </w:rPr>
          <w:t>an</w:t>
        </w:r>
        <w:r>
          <w:rPr>
            <w:color w:val="231F20"/>
            <w:spacing w:val="12"/>
          </w:rPr>
          <w:t> </w:t>
        </w:r>
        <w:r>
          <w:rPr>
            <w:color w:val="231F20"/>
          </w:rPr>
          <w:t>action”</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27</w:t>
        </w:r>
        <w:r>
          <w:rPr>
            <w:color w:val="231F20"/>
            <w:spacing w:val="-5"/>
          </w:rPr>
          <w:t>3</w:t>
        </w:r>
      </w:hyperlink>
    </w:p>
    <w:p>
      <w:pPr>
        <w:pStyle w:val="BodyText"/>
        <w:spacing w:line="213" w:lineRule="auto" w:before="59"/>
        <w:ind w:left="2764" w:right="493" w:hanging="216"/>
      </w:pPr>
      <w:r>
        <w:rPr>
          <w:rFonts w:ascii="Futura MdCn BT" w:hAnsi="Futura MdCn BT"/>
          <w:color w:val="231F20"/>
        </w:rPr>
        <w:t>v</w:t>
      </w:r>
      <w:r>
        <w:rPr>
          <w:rFonts w:ascii="Futura MdCn BT" w:hAnsi="Futura MdCn BT"/>
          <w:color w:val="231F20"/>
          <w:spacing w:val="80"/>
        </w:rPr>
        <w:t> </w:t>
      </w:r>
      <w:r>
        <w:rPr>
          <w:color w:val="231F20"/>
        </w:rPr>
        <w:t>Forward events that open for this situation to an Event Integration Facility receiver such as the Netcool/OMNIbus Probe for Tivoli EIF. See </w:t>
      </w:r>
      <w:hyperlink w:history="true" w:anchor="_bookmark205">
        <w:r>
          <w:rPr>
            <w:color w:val="231F20"/>
          </w:rPr>
          <w:t>“Forwarding</w:t>
        </w:r>
      </w:hyperlink>
      <w:r>
        <w:rPr>
          <w:color w:val="231F20"/>
        </w:rPr>
        <w:t> </w:t>
      </w:r>
      <w:hyperlink w:history="true" w:anchor="_bookmark205">
        <w:r>
          <w:rPr>
            <w:color w:val="231F20"/>
          </w:rPr>
          <w:t>the event to an EIF receiver” on page 276.</w:t>
        </w:r>
      </w:hyperlink>
    </w:p>
    <w:p>
      <w:pPr>
        <w:pStyle w:val="BodyText"/>
        <w:spacing w:line="213" w:lineRule="auto" w:before="58"/>
        <w:ind w:left="2764" w:right="603" w:hanging="216"/>
      </w:pPr>
      <w:r>
        <w:rPr>
          <w:rFonts w:ascii="Futura MdCn BT" w:hAnsi="Futura MdCn BT"/>
          <w:color w:val="231F20"/>
        </w:rPr>
        <w:t>v</w:t>
      </w:r>
      <w:r>
        <w:rPr>
          <w:rFonts w:ascii="Futura MdCn BT" w:hAnsi="Futura MdCn BT"/>
          <w:color w:val="231F20"/>
          <w:spacing w:val="80"/>
        </w:rPr>
        <w:t> </w:t>
      </w:r>
      <w:r>
        <w:rPr>
          <w:color w:val="231F20"/>
        </w:rPr>
        <w:t>Specify how long a situation shall remain true. See </w:t>
      </w:r>
      <w:hyperlink w:history="true" w:anchor="_bookmark204">
        <w:r>
          <w:rPr>
            <w:color w:val="231F20"/>
          </w:rPr>
          <w:t>“Adding an Until</w:t>
        </w:r>
      </w:hyperlink>
      <w:r>
        <w:rPr>
          <w:color w:val="231F20"/>
        </w:rPr>
        <w:t> </w:t>
      </w:r>
      <w:hyperlink w:history="true" w:anchor="_bookmark204">
        <w:r>
          <w:rPr>
            <w:color w:val="231F20"/>
          </w:rPr>
          <w:t>modifier” on page 275.</w:t>
        </w:r>
      </w:hyperlink>
    </w:p>
    <w:p>
      <w:pPr>
        <w:pStyle w:val="ListParagraph"/>
        <w:numPr>
          <w:ilvl w:val="0"/>
          <w:numId w:val="118"/>
        </w:numPr>
        <w:tabs>
          <w:tab w:pos="2548" w:val="left" w:leader="none"/>
        </w:tabs>
        <w:spacing w:line="213" w:lineRule="auto" w:before="58" w:after="0"/>
        <w:ind w:left="2548" w:right="672" w:hanging="316"/>
        <w:jc w:val="both"/>
        <w:rPr>
          <w:sz w:val="20"/>
        </w:rPr>
      </w:pPr>
      <w:r>
        <w:rPr>
          <w:color w:val="231F20"/>
          <w:sz w:val="20"/>
        </w:rPr>
        <w:t>When you are finished composing the situation, save your changes and start the situation by clicking </w:t>
      </w:r>
      <w:r>
        <w:rPr>
          <w:rFonts w:ascii="Book Antiqua"/>
          <w:b/>
          <w:color w:val="231F20"/>
          <w:sz w:val="20"/>
        </w:rPr>
        <w:t>Apply </w:t>
      </w:r>
      <w:r>
        <w:rPr>
          <w:color w:val="231F20"/>
          <w:sz w:val="20"/>
        </w:rPr>
        <w:t>to keep the editor open; or by clicking </w:t>
      </w:r>
      <w:r>
        <w:rPr>
          <w:rFonts w:ascii="Book Antiqua"/>
          <w:b/>
          <w:color w:val="231F20"/>
          <w:sz w:val="20"/>
        </w:rPr>
        <w:t>OK </w:t>
      </w:r>
      <w:r>
        <w:rPr>
          <w:color w:val="231F20"/>
          <w:sz w:val="20"/>
        </w:rPr>
        <w:t>to close the Situation editor.</w:t>
      </w:r>
    </w:p>
    <w:p>
      <w:pPr>
        <w:pStyle w:val="BodyText"/>
        <w:spacing w:line="213" w:lineRule="auto" w:before="58"/>
        <w:ind w:left="2548" w:right="545"/>
      </w:pPr>
      <w:r>
        <w:rPr>
          <w:color w:val="231F20"/>
        </w:rPr>
        <w:t>The Situation editor performs syntax checking on each expression you enter. If you entered an improper value for an attribute, such as “abc” for Disk Size, the cell turns red and the situation will not be saved until you correct the error.</w:t>
      </w:r>
    </w:p>
    <w:p>
      <w:pPr>
        <w:pStyle w:val="BodyText"/>
        <w:spacing w:line="213" w:lineRule="auto" w:before="58"/>
        <w:ind w:left="2548" w:right="545"/>
      </w:pPr>
      <w:r>
        <w:rPr>
          <w:color w:val="231F20"/>
        </w:rPr>
        <w:t>If you opened the Situation editor from the toolbar, the situation you just</w:t>
      </w:r>
      <w:r>
        <w:rPr>
          <w:color w:val="231F20"/>
          <w:spacing w:val="80"/>
        </w:rPr>
        <w:t> </w:t>
      </w:r>
      <w:r>
        <w:rPr>
          <w:color w:val="231F20"/>
        </w:rPr>
        <w:t>created will not be associated with any Navigator items and no event </w:t>
      </w:r>
      <w:r>
        <w:rPr>
          <w:color w:val="231F20"/>
        </w:rPr>
        <w:t>indicator</w:t>
      </w:r>
      <w:r>
        <w:rPr>
          <w:color w:val="231F20"/>
          <w:spacing w:val="40"/>
        </w:rPr>
        <w:t> </w:t>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7"/>
        <w:ind w:left="2548" w:right="636"/>
      </w:pPr>
      <w:r>
        <w:rPr>
          <w:color w:val="231F20"/>
        </w:rPr>
        <w:t>Situations are stored at the hub monitoring server. In the unlikely event that two users attempt to save a situation with the same name simultaneously, </w:t>
      </w:r>
      <w:r>
        <w:rPr>
          <w:color w:val="231F20"/>
        </w:rPr>
        <w:t>an error will occur, ensuring that one situation does not overwrite another.</w:t>
      </w:r>
    </w:p>
    <w:p>
      <w:pPr>
        <w:spacing w:after="0" w:line="213" w:lineRule="auto"/>
        <w:sectPr>
          <w:pgSz w:w="12240" w:h="15840"/>
          <w:pgMar w:header="0" w:footer="736" w:top="1140" w:bottom="920" w:left="1000" w:right="1060"/>
        </w:sectPr>
      </w:pPr>
    </w:p>
    <w:p>
      <w:pPr>
        <w:pStyle w:val="ListParagraph"/>
        <w:numPr>
          <w:ilvl w:val="0"/>
          <w:numId w:val="118"/>
        </w:numPr>
        <w:tabs>
          <w:tab w:pos="2788" w:val="left" w:leader="none"/>
          <w:tab w:pos="2854" w:val="left" w:leader="none"/>
        </w:tabs>
        <w:spacing w:line="213" w:lineRule="auto" w:before="85" w:after="0"/>
        <w:ind w:left="2788" w:right="214" w:hanging="316"/>
        <w:jc w:val="left"/>
        <w:rPr>
          <w:sz w:val="20"/>
        </w:rPr>
      </w:pPr>
      <w:bookmarkStart w:name="_bookmark201" w:id="427"/>
      <w:bookmarkEnd w:id="427"/>
      <w:r>
        <w:rPr/>
      </w:r>
      <w:r>
        <w:rPr>
          <w:rFonts w:ascii="Arial"/>
          <w:color w:val="231F20"/>
          <w:sz w:val="20"/>
        </w:rPr>
        <w:tab/>
      </w:r>
      <w:r>
        <w:rPr>
          <w:color w:val="231F20"/>
          <w:sz w:val="20"/>
        </w:rPr>
        <w:t>If the Distribution Change window is displayed, click </w:t>
      </w:r>
      <w:r>
        <w:rPr>
          <w:rFonts w:ascii="Book Antiqua"/>
          <w:b/>
          <w:color w:val="231F20"/>
          <w:sz w:val="20"/>
        </w:rPr>
        <w:t>OK </w:t>
      </w:r>
      <w:r>
        <w:rPr>
          <w:color w:val="231F20"/>
          <w:sz w:val="20"/>
        </w:rPr>
        <w:t>to add the </w:t>
      </w:r>
      <w:r>
        <w:rPr>
          <w:color w:val="231F20"/>
          <w:sz w:val="20"/>
        </w:rPr>
        <w:t>managed systems shown in the </w:t>
      </w:r>
      <w:r>
        <w:rPr>
          <w:rFonts w:ascii="Book Antiqua"/>
          <w:b/>
          <w:color w:val="231F20"/>
          <w:sz w:val="20"/>
        </w:rPr>
        <w:t>Required Managed Systems </w:t>
      </w:r>
      <w:r>
        <w:rPr>
          <w:color w:val="231F20"/>
          <w:sz w:val="20"/>
        </w:rPr>
        <w:t>list to the distribution for</w:t>
      </w:r>
      <w:r>
        <w:rPr>
          <w:color w:val="231F20"/>
          <w:spacing w:val="80"/>
          <w:sz w:val="20"/>
        </w:rPr>
        <w:t> </w:t>
      </w:r>
      <w:r>
        <w:rPr>
          <w:color w:val="231F20"/>
          <w:sz w:val="20"/>
        </w:rPr>
        <w:t>this situation.</w:t>
      </w:r>
    </w:p>
    <w:p>
      <w:pPr>
        <w:pStyle w:val="Heading3"/>
        <w:spacing w:before="216"/>
        <w:ind w:left="1574"/>
      </w:pPr>
      <w:bookmarkStart w:name="Writing expert advice" w:id="428"/>
      <w:bookmarkEnd w:id="428"/>
      <w:r>
        <w:rPr>
          <w:b w:val="0"/>
        </w:rPr>
      </w:r>
      <w:r>
        <w:rPr>
          <w:color w:val="231F20"/>
        </w:rPr>
        <w:t>Writing</w:t>
      </w:r>
      <w:r>
        <w:rPr>
          <w:color w:val="231F20"/>
          <w:spacing w:val="3"/>
        </w:rPr>
        <w:t> </w:t>
      </w:r>
      <w:r>
        <w:rPr>
          <w:color w:val="231F20"/>
        </w:rPr>
        <w:t>expert</w:t>
      </w:r>
      <w:r>
        <w:rPr>
          <w:color w:val="231F20"/>
          <w:spacing w:val="3"/>
        </w:rPr>
        <w:t> </w:t>
      </w:r>
      <w:r>
        <w:rPr>
          <w:color w:val="231F20"/>
          <w:spacing w:val="-2"/>
        </w:rPr>
        <w:t>advice</w:t>
      </w:r>
    </w:p>
    <w:p>
      <w:pPr>
        <w:pStyle w:val="BodyText"/>
        <w:spacing w:line="213" w:lineRule="auto" w:before="58"/>
        <w:ind w:left="2472" w:right="493"/>
      </w:pPr>
      <w:r>
        <w:rPr>
          <w:color w:val="231F20"/>
        </w:rPr>
        <w:t>Use the </w:t>
      </w:r>
      <w:r>
        <w:rPr>
          <w:rFonts w:ascii="Book Antiqua"/>
          <w:b/>
          <w:color w:val="231F20"/>
        </w:rPr>
        <w:t>Expert Advice </w:t>
      </w:r>
      <w:r>
        <w:rPr>
          <w:color w:val="231F20"/>
        </w:rPr>
        <w:t>tab to add comments or instructions, up to 500 </w:t>
      </w:r>
      <w:r>
        <w:rPr>
          <w:color w:val="231F20"/>
        </w:rPr>
        <w:t>characters, for the user to see in the event results workspace. Or create a link to an existing</w:t>
      </w:r>
      <w:r>
        <w:rPr>
          <w:color w:val="231F20"/>
          <w:spacing w:val="40"/>
        </w:rPr>
        <w:t> </w:t>
      </w:r>
      <w:r>
        <w:rPr>
          <w:color w:val="231F20"/>
        </w:rPr>
        <w:t>page on the web which contains relevant information.</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ListParagraph"/>
        <w:numPr>
          <w:ilvl w:val="0"/>
          <w:numId w:val="119"/>
        </w:numPr>
        <w:tabs>
          <w:tab w:pos="2787" w:val="left" w:leader="none"/>
        </w:tabs>
        <w:spacing w:line="240" w:lineRule="auto" w:before="38" w:after="0"/>
        <w:ind w:left="2787" w:right="0" w:hanging="315"/>
        <w:jc w:val="left"/>
        <w:rPr>
          <w:sz w:val="20"/>
        </w:rPr>
      </w:pP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1"/>
          <w:sz w:val="20"/>
        </w:rPr>
        <w:t> </w:t>
      </w:r>
      <w:r>
        <w:rPr>
          <w:color w:val="231F20"/>
          <w:sz w:val="20"/>
        </w:rPr>
        <w:t>editor,</w:t>
      </w:r>
      <w:r>
        <w:rPr>
          <w:color w:val="231F20"/>
          <w:spacing w:val="10"/>
          <w:sz w:val="20"/>
        </w:rPr>
        <w:t> </w:t>
      </w:r>
      <w:r>
        <w:rPr>
          <w:color w:val="231F20"/>
          <w:sz w:val="20"/>
        </w:rPr>
        <w:t>select</w:t>
      </w:r>
      <w:r>
        <w:rPr>
          <w:color w:val="231F20"/>
          <w:spacing w:val="10"/>
          <w:sz w:val="20"/>
        </w:rPr>
        <w:t> </w:t>
      </w:r>
      <w:r>
        <w:rPr>
          <w:color w:val="231F20"/>
          <w:sz w:val="20"/>
        </w:rPr>
        <w:t>the</w:t>
      </w:r>
      <w:r>
        <w:rPr>
          <w:color w:val="231F20"/>
          <w:spacing w:val="10"/>
          <w:sz w:val="20"/>
        </w:rPr>
        <w:t> </w:t>
      </w:r>
      <w:r>
        <w:rPr>
          <w:color w:val="231F20"/>
          <w:spacing w:val="15"/>
          <w:position w:val="-3"/>
          <w:sz w:val="20"/>
        </w:rPr>
        <w:drawing>
          <wp:inline distT="0" distB="0" distL="0" distR="0">
            <wp:extent cx="114300" cy="114300"/>
            <wp:effectExtent l="0" t="0" r="0" b="0"/>
            <wp:docPr id="2341" name="Image 2341"/>
            <wp:cNvGraphicFramePr>
              <a:graphicFrameLocks/>
            </wp:cNvGraphicFramePr>
            <a:graphic>
              <a:graphicData uri="http://schemas.openxmlformats.org/drawingml/2006/picture">
                <pic:pic>
                  <pic:nvPicPr>
                    <pic:cNvPr id="2341" name="Image 2341"/>
                    <pic:cNvPicPr/>
                  </pic:nvPicPr>
                  <pic:blipFill>
                    <a:blip r:embed="rId99" cstate="print"/>
                    <a:stretch>
                      <a:fillRect/>
                    </a:stretch>
                  </pic:blipFill>
                  <pic:spPr>
                    <a:xfrm>
                      <a:off x="0" y="0"/>
                      <a:ext cx="114300" cy="114300"/>
                    </a:xfrm>
                    <a:prstGeom prst="rect">
                      <a:avLst/>
                    </a:prstGeom>
                  </pic:spPr>
                </pic:pic>
              </a:graphicData>
            </a:graphic>
          </wp:inline>
        </w:drawing>
      </w:r>
      <w:r>
        <w:rPr>
          <w:color w:val="231F20"/>
          <w:spacing w:val="15"/>
          <w:position w:val="-3"/>
          <w:sz w:val="20"/>
        </w:rPr>
      </w:r>
      <w:r>
        <w:rPr>
          <w:rFonts w:ascii="Times New Roman"/>
          <w:color w:val="231F20"/>
          <w:spacing w:val="41"/>
          <w:sz w:val="20"/>
        </w:rPr>
        <w:t> </w:t>
      </w:r>
      <w:r>
        <w:rPr>
          <w:rFonts w:ascii="Book Antiqua"/>
          <w:b/>
          <w:color w:val="231F20"/>
          <w:sz w:val="20"/>
        </w:rPr>
        <w:t>Expert</w:t>
      </w:r>
      <w:r>
        <w:rPr>
          <w:rFonts w:ascii="Book Antiqua"/>
          <w:b/>
          <w:color w:val="231F20"/>
          <w:spacing w:val="11"/>
          <w:sz w:val="20"/>
        </w:rPr>
        <w:t> </w:t>
      </w:r>
      <w:r>
        <w:rPr>
          <w:rFonts w:ascii="Book Antiqua"/>
          <w:b/>
          <w:color w:val="231F20"/>
          <w:sz w:val="20"/>
        </w:rPr>
        <w:t>Advice</w:t>
      </w:r>
      <w:r>
        <w:rPr>
          <w:rFonts w:ascii="Book Antiqua"/>
          <w:b/>
          <w:color w:val="231F20"/>
          <w:spacing w:val="10"/>
          <w:sz w:val="20"/>
        </w:rPr>
        <w:t> </w:t>
      </w:r>
      <w:r>
        <w:rPr>
          <w:color w:val="231F20"/>
          <w:spacing w:val="-4"/>
          <w:sz w:val="20"/>
        </w:rPr>
        <w:t>tab.</w:t>
      </w:r>
    </w:p>
    <w:p>
      <w:pPr>
        <w:pStyle w:val="BodyText"/>
        <w:spacing w:line="213" w:lineRule="auto" w:before="53"/>
        <w:ind w:left="2788" w:right="545"/>
      </w:pPr>
      <w:r>
        <w:rPr>
          <w:color w:val="231F20"/>
        </w:rPr>
        <w:t>If it is not already open, open the Situation editor and select the situation </w:t>
      </w:r>
      <w:r>
        <w:rPr>
          <w:color w:val="231F20"/>
        </w:rPr>
        <w:t>to write expert advice for.</w:t>
      </w:r>
    </w:p>
    <w:p>
      <w:pPr>
        <w:pStyle w:val="ListParagraph"/>
        <w:numPr>
          <w:ilvl w:val="0"/>
          <w:numId w:val="119"/>
        </w:numPr>
        <w:tabs>
          <w:tab w:pos="2787" w:val="left" w:leader="none"/>
        </w:tabs>
        <w:spacing w:line="240" w:lineRule="auto" w:before="35" w:after="0"/>
        <w:ind w:left="2787" w:right="0" w:hanging="315"/>
        <w:jc w:val="left"/>
        <w:rPr>
          <w:sz w:val="20"/>
        </w:rPr>
      </w:pP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HTML</w:t>
      </w:r>
      <w:r>
        <w:rPr>
          <w:color w:val="231F20"/>
          <w:spacing w:val="4"/>
          <w:sz w:val="20"/>
        </w:rPr>
        <w:t> </w:t>
      </w:r>
      <w:r>
        <w:rPr>
          <w:color w:val="231F20"/>
          <w:sz w:val="20"/>
        </w:rPr>
        <w:t>editor,</w:t>
      </w:r>
      <w:r>
        <w:rPr>
          <w:color w:val="231F20"/>
          <w:spacing w:val="11"/>
          <w:sz w:val="20"/>
        </w:rPr>
        <w:t> </w:t>
      </w:r>
      <w:r>
        <w:rPr>
          <w:color w:val="231F20"/>
          <w:sz w:val="20"/>
        </w:rPr>
        <w:t>do</w:t>
      </w:r>
      <w:r>
        <w:rPr>
          <w:color w:val="231F20"/>
          <w:spacing w:val="10"/>
          <w:sz w:val="20"/>
        </w:rPr>
        <w:t> </w:t>
      </w:r>
      <w:r>
        <w:rPr>
          <w:color w:val="231F20"/>
          <w:sz w:val="20"/>
        </w:rPr>
        <w:t>one</w:t>
      </w:r>
      <w:r>
        <w:rPr>
          <w:color w:val="231F20"/>
          <w:spacing w:val="10"/>
          <w:sz w:val="20"/>
        </w:rPr>
        <w:t> </w:t>
      </w:r>
      <w:r>
        <w:rPr>
          <w:color w:val="231F20"/>
          <w:sz w:val="20"/>
        </w:rPr>
        <w:t>of</w:t>
      </w:r>
      <w:r>
        <w:rPr>
          <w:color w:val="231F20"/>
          <w:spacing w:val="11"/>
          <w:sz w:val="20"/>
        </w:rPr>
        <w:t> </w:t>
      </w:r>
      <w:r>
        <w:rPr>
          <w:color w:val="231F20"/>
          <w:sz w:val="20"/>
        </w:rPr>
        <w:t>the</w:t>
      </w:r>
      <w:r>
        <w:rPr>
          <w:color w:val="231F20"/>
          <w:spacing w:val="10"/>
          <w:sz w:val="20"/>
        </w:rPr>
        <w:t> </w:t>
      </w:r>
      <w:r>
        <w:rPr>
          <w:color w:val="231F20"/>
          <w:sz w:val="20"/>
        </w:rPr>
        <w:t>following</w:t>
      </w:r>
      <w:r>
        <w:rPr>
          <w:color w:val="231F20"/>
          <w:spacing w:val="10"/>
          <w:sz w:val="20"/>
        </w:rPr>
        <w:t> </w:t>
      </w:r>
      <w:r>
        <w:rPr>
          <w:color w:val="231F20"/>
          <w:spacing w:val="-10"/>
          <w:sz w:val="20"/>
        </w:rPr>
        <w:t>:</w:t>
      </w:r>
    </w:p>
    <w:p>
      <w:pPr>
        <w:pStyle w:val="BodyText"/>
        <w:tabs>
          <w:tab w:pos="3070" w:val="left" w:leader="none"/>
        </w:tabs>
        <w:spacing w:before="30"/>
        <w:ind w:left="2788"/>
      </w:pPr>
      <w:r>
        <w:rPr>
          <w:rFonts w:ascii="Futura MdCn BT"/>
          <w:color w:val="231F20"/>
          <w:spacing w:val="-10"/>
        </w:rPr>
        <w:t>v</w:t>
      </w:r>
      <w:r>
        <w:rPr>
          <w:rFonts w:ascii="Futura MdCn BT"/>
          <w:color w:val="231F20"/>
        </w:rPr>
        <w:tab/>
      </w:r>
      <w:r>
        <w:rPr>
          <w:color w:val="231F20"/>
        </w:rPr>
        <w:t>Enter</w:t>
      </w:r>
      <w:r>
        <w:rPr>
          <w:color w:val="231F20"/>
          <w:spacing w:val="10"/>
        </w:rPr>
        <w:t> </w:t>
      </w:r>
      <w:r>
        <w:rPr>
          <w:color w:val="231F20"/>
        </w:rPr>
        <w:t>comments</w:t>
      </w:r>
      <w:r>
        <w:rPr>
          <w:color w:val="231F20"/>
          <w:spacing w:val="11"/>
        </w:rPr>
        <w:t> </w:t>
      </w:r>
      <w:r>
        <w:rPr>
          <w:color w:val="231F20"/>
        </w:rPr>
        <w:t>or</w:t>
      </w:r>
      <w:r>
        <w:rPr>
          <w:color w:val="231F20"/>
          <w:spacing w:val="11"/>
        </w:rPr>
        <w:t> </w:t>
      </w:r>
      <w:r>
        <w:rPr>
          <w:color w:val="231F20"/>
          <w:spacing w:val="-2"/>
        </w:rPr>
        <w:t>instructions.</w:t>
      </w:r>
    </w:p>
    <w:p>
      <w:pPr>
        <w:pStyle w:val="BodyText"/>
        <w:spacing w:line="213" w:lineRule="auto" w:before="52"/>
        <w:ind w:left="3004" w:right="545"/>
      </w:pPr>
      <w:r>
        <w:rPr>
          <w:color w:val="231F20"/>
        </w:rPr>
        <w:t>The text is converted to an HTML document to be viewed from the </w:t>
      </w:r>
      <w:r>
        <w:rPr>
          <w:color w:val="231F20"/>
        </w:rPr>
        <w:t>event results workspace. You can format the text, such as to bold or italicize a word, using the correct HTML code. For example,</w:t>
      </w:r>
    </w:p>
    <w:p>
      <w:pPr>
        <w:spacing w:before="56"/>
        <w:ind w:left="3004" w:right="0" w:firstLine="0"/>
        <w:jc w:val="left"/>
        <w:rPr>
          <w:rFonts w:ascii="Arial"/>
          <w:sz w:val="18"/>
        </w:rPr>
      </w:pPr>
      <w:r>
        <w:rPr>
          <w:rFonts w:ascii="Arial"/>
          <w:color w:val="231F20"/>
          <w:spacing w:val="-2"/>
          <w:sz w:val="18"/>
        </w:rPr>
        <w:t>&lt;b&gt;</w:t>
      </w:r>
      <w:r>
        <w:rPr>
          <w:rFonts w:ascii="Book Antiqua"/>
          <w:b/>
          <w:i/>
          <w:color w:val="231F20"/>
          <w:spacing w:val="-2"/>
          <w:sz w:val="18"/>
        </w:rPr>
        <w:t>bold</w:t>
      </w:r>
      <w:r>
        <w:rPr>
          <w:rFonts w:ascii="Arial"/>
          <w:color w:val="231F20"/>
          <w:spacing w:val="-2"/>
          <w:sz w:val="18"/>
        </w:rPr>
        <w:t>&lt;/b&gt;</w:t>
      </w:r>
      <w:r>
        <w:rPr>
          <w:rFonts w:ascii="Arial"/>
          <w:color w:val="231F20"/>
          <w:spacing w:val="28"/>
          <w:sz w:val="18"/>
        </w:rPr>
        <w:t> </w:t>
      </w:r>
      <w:r>
        <w:rPr>
          <w:rFonts w:ascii="Arial"/>
          <w:color w:val="231F20"/>
          <w:spacing w:val="-2"/>
          <w:sz w:val="18"/>
        </w:rPr>
        <w:t>and</w:t>
      </w:r>
      <w:r>
        <w:rPr>
          <w:rFonts w:ascii="Arial"/>
          <w:color w:val="231F20"/>
          <w:spacing w:val="29"/>
          <w:sz w:val="18"/>
        </w:rPr>
        <w:t> </w:t>
      </w:r>
      <w:r>
        <w:rPr>
          <w:rFonts w:ascii="Arial"/>
          <w:color w:val="231F20"/>
          <w:spacing w:val="-2"/>
          <w:sz w:val="18"/>
        </w:rPr>
        <w:t>&lt;i&gt;</w:t>
      </w:r>
      <w:r>
        <w:rPr>
          <w:rFonts w:ascii="Lucida Sans"/>
          <w:i/>
          <w:color w:val="231F20"/>
          <w:spacing w:val="-2"/>
          <w:sz w:val="18"/>
        </w:rPr>
        <w:t>italics</w:t>
      </w:r>
      <w:r>
        <w:rPr>
          <w:rFonts w:ascii="Arial"/>
          <w:color w:val="231F20"/>
          <w:spacing w:val="-2"/>
          <w:sz w:val="18"/>
        </w:rPr>
        <w:t>&lt;/i&gt;</w:t>
      </w:r>
    </w:p>
    <w:p>
      <w:pPr>
        <w:pStyle w:val="BodyText"/>
        <w:spacing w:before="6"/>
        <w:rPr>
          <w:rFonts w:ascii="Arial"/>
          <w:sz w:val="18"/>
        </w:rPr>
      </w:pPr>
    </w:p>
    <w:p>
      <w:pPr>
        <w:pStyle w:val="BodyText"/>
        <w:ind w:left="3004"/>
      </w:pPr>
      <w:r>
        <w:rPr>
          <w:color w:val="231F20"/>
        </w:rPr>
        <w:t>You</w:t>
      </w:r>
      <w:r>
        <w:rPr>
          <w:color w:val="231F20"/>
          <w:spacing w:val="9"/>
        </w:rPr>
        <w:t> </w:t>
      </w:r>
      <w:r>
        <w:rPr>
          <w:color w:val="231F20"/>
        </w:rPr>
        <w:t>can</w:t>
      </w:r>
      <w:r>
        <w:rPr>
          <w:color w:val="231F20"/>
          <w:spacing w:val="10"/>
        </w:rPr>
        <w:t> </w:t>
      </w:r>
      <w:r>
        <w:rPr>
          <w:color w:val="231F20"/>
        </w:rPr>
        <w:t>also</w:t>
      </w:r>
      <w:r>
        <w:rPr>
          <w:color w:val="231F20"/>
          <w:spacing w:val="9"/>
        </w:rPr>
        <w:t> </w:t>
      </w:r>
      <w:r>
        <w:rPr>
          <w:color w:val="231F20"/>
        </w:rPr>
        <w:t>add</w:t>
      </w:r>
      <w:r>
        <w:rPr>
          <w:color w:val="231F20"/>
          <w:spacing w:val="10"/>
        </w:rPr>
        <w:t> </w:t>
      </w:r>
      <w:r>
        <w:rPr>
          <w:color w:val="231F20"/>
        </w:rPr>
        <w:t>links,</w:t>
      </w:r>
      <w:r>
        <w:rPr>
          <w:color w:val="231F20"/>
          <w:spacing w:val="9"/>
        </w:rPr>
        <w:t> </w:t>
      </w:r>
      <w:r>
        <w:rPr>
          <w:color w:val="231F20"/>
        </w:rPr>
        <w:t>using</w:t>
      </w:r>
      <w:r>
        <w:rPr>
          <w:color w:val="231F20"/>
          <w:spacing w:val="10"/>
        </w:rPr>
        <w:t> </w:t>
      </w:r>
      <w:r>
        <w:rPr>
          <w:color w:val="231F20"/>
        </w:rPr>
        <w:t>HTML</w:t>
      </w:r>
      <w:r>
        <w:rPr>
          <w:color w:val="231F20"/>
          <w:spacing w:val="3"/>
        </w:rPr>
        <w:t> </w:t>
      </w:r>
      <w:r>
        <w:rPr>
          <w:color w:val="231F20"/>
        </w:rPr>
        <w:t>tagging,</w:t>
      </w:r>
      <w:r>
        <w:rPr>
          <w:color w:val="231F20"/>
          <w:spacing w:val="10"/>
        </w:rPr>
        <w:t> </w:t>
      </w:r>
      <w:r>
        <w:rPr>
          <w:color w:val="231F20"/>
        </w:rPr>
        <w:t>as</w:t>
      </w:r>
      <w:r>
        <w:rPr>
          <w:color w:val="231F20"/>
          <w:spacing w:val="9"/>
        </w:rPr>
        <w:t> </w:t>
      </w:r>
      <w:r>
        <w:rPr>
          <w:color w:val="231F20"/>
          <w:spacing w:val="-5"/>
        </w:rPr>
        <w:t>in</w:t>
      </w:r>
    </w:p>
    <w:p>
      <w:pPr>
        <w:spacing w:before="56"/>
        <w:ind w:left="3004" w:right="0" w:firstLine="0"/>
        <w:jc w:val="left"/>
        <w:rPr>
          <w:rFonts w:ascii="Arial"/>
          <w:sz w:val="18"/>
        </w:rPr>
      </w:pPr>
      <w:r>
        <w:rPr>
          <w:rFonts w:ascii="Arial"/>
          <w:color w:val="231F20"/>
          <w:sz w:val="18"/>
        </w:rPr>
        <w:t>&lt;a</w:t>
      </w:r>
      <w:r>
        <w:rPr>
          <w:rFonts w:ascii="Arial"/>
          <w:color w:val="231F20"/>
          <w:spacing w:val="48"/>
          <w:sz w:val="18"/>
        </w:rPr>
        <w:t> </w:t>
      </w:r>
      <w:r>
        <w:rPr>
          <w:rFonts w:ascii="Arial"/>
          <w:color w:val="231F20"/>
          <w:sz w:val="18"/>
        </w:rPr>
        <w:t>href</w:t>
      </w:r>
      <w:r>
        <w:rPr>
          <w:rFonts w:ascii="Arial"/>
          <w:color w:val="231F20"/>
          <w:spacing w:val="49"/>
          <w:sz w:val="18"/>
        </w:rPr>
        <w:t> </w:t>
      </w:r>
      <w:hyperlink r:id="rId172">
        <w:r>
          <w:rPr>
            <w:rFonts w:ascii="Arial"/>
            <w:color w:val="231F20"/>
            <w:spacing w:val="-2"/>
            <w:sz w:val="18"/>
          </w:rPr>
          <w:t>"http://www.ibm.com"&gt;IBM&lt;/a&gt;</w:t>
        </w:r>
      </w:hyperlink>
    </w:p>
    <w:p>
      <w:pPr>
        <w:pStyle w:val="BodyText"/>
        <w:spacing w:before="19"/>
        <w:rPr>
          <w:rFonts w:ascii="Arial"/>
          <w:sz w:val="18"/>
        </w:rPr>
      </w:pPr>
    </w:p>
    <w:p>
      <w:pPr>
        <w:pStyle w:val="BodyText"/>
        <w:ind w:left="3004"/>
      </w:pPr>
      <w:r>
        <w:rPr>
          <w:color w:val="231F20"/>
        </w:rPr>
        <w:t>Click</w:t>
      </w:r>
      <w:r>
        <w:rPr>
          <w:color w:val="231F20"/>
          <w:spacing w:val="11"/>
        </w:rPr>
        <w:t> </w:t>
      </w:r>
      <w:r>
        <w:rPr>
          <w:rFonts w:ascii="Book Antiqua"/>
          <w:b/>
          <w:color w:val="231F20"/>
        </w:rPr>
        <w:t>Preview</w:t>
      </w:r>
      <w:r>
        <w:rPr>
          <w:rFonts w:ascii="Book Antiqua"/>
          <w:b/>
          <w:color w:val="231F20"/>
          <w:spacing w:val="12"/>
        </w:rPr>
        <w:t> </w:t>
      </w:r>
      <w:r>
        <w:rPr>
          <w:color w:val="231F20"/>
        </w:rPr>
        <w:t>to</w:t>
      </w:r>
      <w:r>
        <w:rPr>
          <w:color w:val="231F20"/>
          <w:spacing w:val="12"/>
        </w:rPr>
        <w:t> </w:t>
      </w:r>
      <w:r>
        <w:rPr>
          <w:color w:val="231F20"/>
        </w:rPr>
        <w:t>check</w:t>
      </w:r>
      <w:r>
        <w:rPr>
          <w:color w:val="231F20"/>
          <w:spacing w:val="12"/>
        </w:rPr>
        <w:t> </w:t>
      </w:r>
      <w:r>
        <w:rPr>
          <w:color w:val="231F20"/>
        </w:rPr>
        <w:t>that</w:t>
      </w:r>
      <w:r>
        <w:rPr>
          <w:color w:val="231F20"/>
          <w:spacing w:val="11"/>
        </w:rPr>
        <w:t> </w:t>
      </w:r>
      <w:r>
        <w:rPr>
          <w:color w:val="231F20"/>
        </w:rPr>
        <w:t>your</w:t>
      </w:r>
      <w:r>
        <w:rPr>
          <w:color w:val="231F20"/>
          <w:spacing w:val="12"/>
        </w:rPr>
        <w:t> </w:t>
      </w:r>
      <w:r>
        <w:rPr>
          <w:color w:val="231F20"/>
        </w:rPr>
        <w:t>coding</w:t>
      </w:r>
      <w:r>
        <w:rPr>
          <w:color w:val="231F20"/>
          <w:spacing w:val="12"/>
        </w:rPr>
        <w:t> </w:t>
      </w:r>
      <w:r>
        <w:rPr>
          <w:color w:val="231F20"/>
        </w:rPr>
        <w:t>is</w:t>
      </w:r>
      <w:r>
        <w:rPr>
          <w:color w:val="231F20"/>
          <w:spacing w:val="12"/>
        </w:rPr>
        <w:t> </w:t>
      </w:r>
      <w:r>
        <w:rPr>
          <w:color w:val="231F20"/>
          <w:spacing w:val="-2"/>
        </w:rPr>
        <w:t>correct.</w:t>
      </w:r>
    </w:p>
    <w:p>
      <w:pPr>
        <w:pStyle w:val="BodyText"/>
        <w:spacing w:line="213" w:lineRule="auto" w:before="53"/>
        <w:ind w:left="3004" w:right="258"/>
      </w:pPr>
      <w:r>
        <w:rPr>
          <w:color w:val="231F20"/>
        </w:rPr>
        <w:t>You</w:t>
      </w:r>
      <w:r>
        <w:rPr>
          <w:color w:val="231F20"/>
          <w:spacing w:val="28"/>
        </w:rPr>
        <w:t> </w:t>
      </w:r>
      <w:r>
        <w:rPr>
          <w:color w:val="231F20"/>
        </w:rPr>
        <w:t>can</w:t>
      </w:r>
      <w:r>
        <w:rPr>
          <w:color w:val="231F20"/>
          <w:spacing w:val="28"/>
        </w:rPr>
        <w:t> </w:t>
      </w:r>
      <w:r>
        <w:rPr>
          <w:color w:val="231F20"/>
        </w:rPr>
        <w:t>also</w:t>
      </w:r>
      <w:r>
        <w:rPr>
          <w:color w:val="231F20"/>
          <w:spacing w:val="28"/>
        </w:rPr>
        <w:t> </w:t>
      </w:r>
      <w:r>
        <w:rPr>
          <w:color w:val="231F20"/>
        </w:rPr>
        <w:t>include</w:t>
      </w:r>
      <w:r>
        <w:rPr>
          <w:color w:val="231F20"/>
          <w:spacing w:val="28"/>
        </w:rPr>
        <w:t> </w:t>
      </w:r>
      <w:r>
        <w:rPr>
          <w:color w:val="231F20"/>
        </w:rPr>
        <w:t>conditional</w:t>
      </w:r>
      <w:r>
        <w:rPr>
          <w:color w:val="231F20"/>
          <w:spacing w:val="28"/>
        </w:rPr>
        <w:t> </w:t>
      </w:r>
      <w:r>
        <w:rPr>
          <w:color w:val="231F20"/>
        </w:rPr>
        <w:t>expressions</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Expert Advice.</w:t>
      </w:r>
      <w:r>
        <w:rPr>
          <w:color w:val="231F20"/>
          <w:spacing w:val="28"/>
        </w:rPr>
        <w:t> </w:t>
      </w:r>
      <w:r>
        <w:rPr>
          <w:color w:val="231F20"/>
        </w:rPr>
        <w:t>The syntax is very specific, so it is best to gather the attribute reference or to compose the expression in the Link Wizard and copy it to the expert advice. An expression can be a combination of literal values, references to values available from the source context, operators, and functions applied to </w:t>
      </w:r>
      <w:r>
        <w:rPr>
          <w:color w:val="231F20"/>
        </w:rPr>
        <w:t>values. Click </w:t>
      </w:r>
      <w:r>
        <w:rPr>
          <w:rFonts w:ascii="Book Antiqua"/>
          <w:b/>
          <w:color w:val="231F20"/>
        </w:rPr>
        <w:t>Preview </w:t>
      </w:r>
      <w:r>
        <w:rPr>
          <w:color w:val="231F20"/>
        </w:rPr>
        <w:t>to check that your coding does what is intended.</w:t>
      </w:r>
    </w:p>
    <w:p>
      <w:pPr>
        <w:pStyle w:val="BodyText"/>
        <w:tabs>
          <w:tab w:pos="3070" w:val="left" w:leader="none"/>
        </w:tabs>
        <w:spacing w:before="32"/>
        <w:ind w:left="2788"/>
      </w:pPr>
      <w:r>
        <w:rPr>
          <w:rFonts w:ascii="Futura MdCn BT"/>
          <w:color w:val="231F20"/>
          <w:spacing w:val="-10"/>
        </w:rPr>
        <w:t>v</w:t>
      </w:r>
      <w:r>
        <w:rPr>
          <w:rFonts w:ascii="Futura MdCn BT"/>
          <w:color w:val="231F20"/>
        </w:rPr>
        <w:tab/>
      </w:r>
      <w:r>
        <w:rPr>
          <w:color w:val="231F20"/>
        </w:rPr>
        <w:t>Open</w:t>
      </w:r>
      <w:r>
        <w:rPr>
          <w:color w:val="231F20"/>
          <w:spacing w:val="12"/>
        </w:rPr>
        <w:t> </w:t>
      </w:r>
      <w:r>
        <w:rPr>
          <w:color w:val="231F20"/>
        </w:rPr>
        <w:t>a</w:t>
      </w:r>
      <w:r>
        <w:rPr>
          <w:color w:val="231F20"/>
          <w:spacing w:val="13"/>
        </w:rPr>
        <w:t> </w:t>
      </w:r>
      <w:r>
        <w:rPr>
          <w:color w:val="231F20"/>
        </w:rPr>
        <w:t>web</w:t>
      </w:r>
      <w:r>
        <w:rPr>
          <w:color w:val="231F20"/>
          <w:spacing w:val="13"/>
        </w:rPr>
        <w:t> </w:t>
      </w:r>
      <w:r>
        <w:rPr>
          <w:color w:val="231F20"/>
          <w:spacing w:val="-2"/>
        </w:rPr>
        <w:t>page.</w:t>
      </w:r>
    </w:p>
    <w:p>
      <w:pPr>
        <w:pStyle w:val="BodyText"/>
        <w:spacing w:line="213" w:lineRule="auto" w:before="53"/>
        <w:ind w:left="3004" w:right="274"/>
      </w:pPr>
      <w:r>
        <w:rPr>
          <w:color w:val="231F20"/>
        </w:rPr>
        <w:t>If you would like to automatically open a web page in the Expert Advice</w:t>
      </w:r>
      <w:r>
        <w:rPr>
          <w:color w:val="231F20"/>
          <w:spacing w:val="80"/>
        </w:rPr>
        <w:t> </w:t>
      </w:r>
      <w:r>
        <w:rPr>
          <w:color w:val="231F20"/>
        </w:rPr>
        <w:t>view, enter just the URL without any other text in the HTML editor. For example, if the only entry in the editor is</w:t>
      </w:r>
      <w:hyperlink r:id="rId172">
        <w:r>
          <w:rPr>
            <w:rFonts w:ascii="Arial"/>
            <w:color w:val="231F20"/>
          </w:rPr>
          <w:t>http://www.ibm.com</w:t>
        </w:r>
        <w:r>
          <w:rPr>
            <w:color w:val="231F20"/>
          </w:rPr>
          <w:t>,</w:t>
        </w:r>
      </w:hyperlink>
      <w:r>
        <w:rPr>
          <w:color w:val="231F20"/>
        </w:rPr>
        <w:t> the view </w:t>
      </w:r>
      <w:r>
        <w:rPr>
          <w:color w:val="231F20"/>
        </w:rPr>
        <w:t>opens</w:t>
      </w:r>
      <w:r>
        <w:rPr>
          <w:color w:val="231F20"/>
          <w:spacing w:val="80"/>
        </w:rPr>
        <w:t> </w:t>
      </w:r>
      <w:r>
        <w:rPr>
          <w:color w:val="231F20"/>
        </w:rPr>
        <w:t>to that website. Click </w:t>
      </w:r>
      <w:r>
        <w:rPr>
          <w:rFonts w:ascii="Book Antiqua"/>
          <w:b/>
          <w:color w:val="231F20"/>
        </w:rPr>
        <w:t>Preview </w:t>
      </w:r>
      <w:r>
        <w:rPr>
          <w:color w:val="231F20"/>
        </w:rPr>
        <w:t>to test the URL.</w:t>
      </w:r>
    </w:p>
    <w:p>
      <w:pPr>
        <w:pStyle w:val="ListParagraph"/>
        <w:numPr>
          <w:ilvl w:val="0"/>
          <w:numId w:val="119"/>
        </w:numPr>
        <w:tabs>
          <w:tab w:pos="2787" w:val="left" w:leader="none"/>
        </w:tabs>
        <w:spacing w:line="240" w:lineRule="auto" w:before="34" w:after="0"/>
        <w:ind w:left="2787" w:right="0" w:hanging="315"/>
        <w:jc w:val="left"/>
        <w:rPr>
          <w:sz w:val="20"/>
        </w:rPr>
      </w:pPr>
      <w:r>
        <w:rPr>
          <w:color w:val="231F20"/>
          <w:sz w:val="20"/>
        </w:rPr>
        <w:t>Select</w:t>
      </w:r>
      <w:r>
        <w:rPr>
          <w:color w:val="231F20"/>
          <w:spacing w:val="11"/>
          <w:sz w:val="20"/>
        </w:rPr>
        <w:t> </w:t>
      </w:r>
      <w:r>
        <w:rPr>
          <w:color w:val="231F20"/>
          <w:sz w:val="20"/>
        </w:rPr>
        <w:t>other</w:t>
      </w:r>
      <w:r>
        <w:rPr>
          <w:color w:val="231F20"/>
          <w:spacing w:val="12"/>
          <w:sz w:val="20"/>
        </w:rPr>
        <w:t> </w:t>
      </w:r>
      <w:r>
        <w:rPr>
          <w:color w:val="231F20"/>
          <w:sz w:val="20"/>
        </w:rPr>
        <w:t>tabs</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editor</w:t>
      </w:r>
      <w:r>
        <w:rPr>
          <w:color w:val="231F20"/>
          <w:spacing w:val="11"/>
          <w:sz w:val="20"/>
        </w:rPr>
        <w:t> </w:t>
      </w:r>
      <w:r>
        <w:rPr>
          <w:color w:val="231F20"/>
          <w:spacing w:val="-5"/>
          <w:sz w:val="20"/>
        </w:rPr>
        <w:t>to:</w:t>
      </w:r>
    </w:p>
    <w:p>
      <w:pPr>
        <w:pStyle w:val="BodyText"/>
        <w:spacing w:line="255" w:lineRule="exact" w:before="29"/>
        <w:ind w:left="2788"/>
      </w:pPr>
      <w:r>
        <w:rPr>
          <w:rFonts w:ascii="Futura MdCn BT"/>
          <w:color w:val="231F20"/>
        </w:rPr>
        <w:t>v</w:t>
      </w:r>
      <w:r>
        <w:rPr>
          <w:rFonts w:ascii="Futura MdCn BT"/>
          <w:color w:val="231F20"/>
          <w:spacing w:val="31"/>
        </w:rPr>
        <w:t>  </w:t>
      </w:r>
      <w:r>
        <w:rPr>
          <w:color w:val="231F20"/>
        </w:rPr>
        <w:t>Distribute</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managed</w:t>
      </w:r>
      <w:r>
        <w:rPr>
          <w:color w:val="231F20"/>
          <w:spacing w:val="13"/>
        </w:rPr>
        <w:t> </w:t>
      </w:r>
      <w:r>
        <w:rPr>
          <w:color w:val="231F20"/>
        </w:rPr>
        <w:t>systems</w:t>
      </w:r>
      <w:r>
        <w:rPr>
          <w:color w:val="231F20"/>
          <w:spacing w:val="12"/>
        </w:rPr>
        <w:t> </w:t>
      </w:r>
      <w:r>
        <w:rPr>
          <w:color w:val="231F20"/>
        </w:rPr>
        <w:t>on</w:t>
      </w:r>
      <w:r>
        <w:rPr>
          <w:color w:val="231F20"/>
          <w:spacing w:val="12"/>
        </w:rPr>
        <w:t> </w:t>
      </w:r>
      <w:r>
        <w:rPr>
          <w:color w:val="231F20"/>
        </w:rPr>
        <w:t>which</w:t>
      </w:r>
      <w:r>
        <w:rPr>
          <w:color w:val="231F20"/>
          <w:spacing w:val="12"/>
        </w:rPr>
        <w:t> </w:t>
      </w:r>
      <w:r>
        <w:rPr>
          <w:color w:val="231F20"/>
        </w:rPr>
        <w:t>you</w:t>
      </w:r>
      <w:r>
        <w:rPr>
          <w:color w:val="231F20"/>
          <w:spacing w:val="12"/>
        </w:rPr>
        <w:t> </w:t>
      </w:r>
      <w:r>
        <w:rPr>
          <w:color w:val="231F20"/>
        </w:rPr>
        <w:t>want</w:t>
      </w:r>
      <w:r>
        <w:rPr>
          <w:color w:val="231F20"/>
          <w:spacing w:val="13"/>
        </w:rPr>
        <w:t> </w:t>
      </w:r>
      <w:r>
        <w:rPr>
          <w:color w:val="231F20"/>
        </w:rPr>
        <w:t>it</w:t>
      </w:r>
      <w:r>
        <w:rPr>
          <w:color w:val="231F20"/>
          <w:spacing w:val="12"/>
        </w:rPr>
        <w:t> </w:t>
      </w:r>
      <w:r>
        <w:rPr>
          <w:color w:val="231F20"/>
        </w:rPr>
        <w:t>to</w:t>
      </w:r>
      <w:r>
        <w:rPr>
          <w:color w:val="231F20"/>
          <w:spacing w:val="12"/>
        </w:rPr>
        <w:t> </w:t>
      </w:r>
      <w:r>
        <w:rPr>
          <w:color w:val="231F20"/>
          <w:spacing w:val="-4"/>
        </w:rPr>
        <w:t>run.</w:t>
      </w:r>
    </w:p>
    <w:p>
      <w:pPr>
        <w:pStyle w:val="BodyText"/>
        <w:spacing w:line="255" w:lineRule="exact"/>
        <w:ind w:left="3004"/>
      </w:pPr>
      <w:r>
        <w:rPr>
          <w:color w:val="231F20"/>
        </w:rPr>
        <w:t>See</w:t>
      </w:r>
      <w:r>
        <w:rPr>
          <w:color w:val="231F20"/>
          <w:spacing w:val="10"/>
        </w:rPr>
        <w:t> </w:t>
      </w:r>
      <w:hyperlink w:history="true" w:anchor="_bookmark199">
        <w:r>
          <w:rPr>
            <w:color w:val="231F20"/>
          </w:rPr>
          <w:t>“Distributing</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269.</w:t>
        </w:r>
      </w:hyperlink>
    </w:p>
    <w:p>
      <w:pPr>
        <w:pStyle w:val="BodyText"/>
        <w:spacing w:line="213" w:lineRule="auto" w:before="53"/>
        <w:ind w:left="3004" w:right="385" w:hanging="216"/>
      </w:pPr>
      <w:r>
        <w:rPr>
          <w:rFonts w:ascii="Futura MdCn BT" w:hAnsi="Futura MdCn BT"/>
          <w:color w:val="231F20"/>
        </w:rPr>
        <w:t>v</w:t>
      </w:r>
      <w:r>
        <w:rPr>
          <w:rFonts w:ascii="Futura MdCn BT" w:hAnsi="Futura MdCn BT"/>
          <w:color w:val="231F20"/>
          <w:spacing w:val="80"/>
        </w:rPr>
        <w:t> </w:t>
      </w:r>
      <w:r>
        <w:rPr>
          <w:color w:val="231F20"/>
        </w:rPr>
        <w:t>Specify an action to take or a message to send to the Universal Message</w:t>
      </w:r>
      <w:r>
        <w:rPr>
          <w:color w:val="231F20"/>
          <w:spacing w:val="40"/>
        </w:rPr>
        <w:t> </w:t>
      </w:r>
      <w:r>
        <w:rPr>
          <w:color w:val="231F20"/>
        </w:rPr>
        <w:t>Console</w:t>
      </w:r>
      <w:r>
        <w:rPr>
          <w:color w:val="231F20"/>
          <w:spacing w:val="11"/>
        </w:rPr>
        <w:t> </w:t>
      </w:r>
      <w:r>
        <w:rPr>
          <w:color w:val="231F20"/>
        </w:rPr>
        <w:t>when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rPr>
        <w:t>true.</w:t>
      </w:r>
      <w:r>
        <w:rPr>
          <w:color w:val="231F20"/>
          <w:spacing w:val="11"/>
        </w:rPr>
        <w:t> </w:t>
      </w:r>
      <w:r>
        <w:rPr>
          <w:color w:val="231F20"/>
        </w:rPr>
        <w:t>See</w:t>
      </w:r>
      <w:r>
        <w:rPr>
          <w:color w:val="231F20"/>
          <w:spacing w:val="11"/>
        </w:rPr>
        <w:t> </w:t>
      </w:r>
      <w:hyperlink w:history="true" w:anchor="_bookmark203">
        <w:r>
          <w:rPr>
            <w:color w:val="231F20"/>
          </w:rPr>
          <w:t>“Specifying</w:t>
        </w:r>
        <w:r>
          <w:rPr>
            <w:color w:val="231F20"/>
            <w:spacing w:val="11"/>
          </w:rPr>
          <w:t> </w:t>
        </w:r>
        <w:r>
          <w:rPr>
            <w:color w:val="231F20"/>
          </w:rPr>
          <w:t>an</w:t>
        </w:r>
        <w:r>
          <w:rPr>
            <w:color w:val="231F20"/>
            <w:spacing w:val="12"/>
          </w:rPr>
          <w:t> </w:t>
        </w:r>
        <w:r>
          <w:rPr>
            <w:color w:val="231F20"/>
          </w:rPr>
          <w:t>action”</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27</w:t>
        </w:r>
        <w:r>
          <w:rPr>
            <w:color w:val="231F20"/>
            <w:spacing w:val="-5"/>
          </w:rPr>
          <w:t>3</w:t>
        </w:r>
      </w:hyperlink>
    </w:p>
    <w:p>
      <w:pPr>
        <w:pStyle w:val="BodyText"/>
        <w:spacing w:line="213" w:lineRule="auto" w:before="59"/>
        <w:ind w:left="3004" w:right="274" w:hanging="216"/>
      </w:pPr>
      <w:r>
        <w:rPr>
          <w:rFonts w:ascii="Futura MdCn BT" w:hAnsi="Futura MdCn BT"/>
          <w:color w:val="231F20"/>
        </w:rPr>
        <w:t>v</w:t>
      </w:r>
      <w:r>
        <w:rPr>
          <w:rFonts w:ascii="Futura MdCn BT" w:hAnsi="Futura MdCn BT"/>
          <w:color w:val="231F20"/>
          <w:spacing w:val="80"/>
        </w:rPr>
        <w:t> </w:t>
      </w:r>
      <w:r>
        <w:rPr>
          <w:color w:val="231F20"/>
        </w:rPr>
        <w:t>Forward events that open for this situation to an Event Integration Facility receiver such as the Netcool/OMNIbus Probe for Tivoli EIF. See </w:t>
      </w:r>
      <w:hyperlink w:history="true" w:anchor="_bookmark205">
        <w:r>
          <w:rPr>
            <w:color w:val="231F20"/>
          </w:rPr>
          <w:t>“Forwarding</w:t>
        </w:r>
      </w:hyperlink>
      <w:r>
        <w:rPr>
          <w:color w:val="231F20"/>
        </w:rPr>
        <w:t> </w:t>
      </w:r>
      <w:hyperlink w:history="true" w:anchor="_bookmark205">
        <w:r>
          <w:rPr>
            <w:color w:val="231F20"/>
          </w:rPr>
          <w:t>the event to an EIF receiver” on page 276.</w:t>
        </w:r>
      </w:hyperlink>
    </w:p>
    <w:p>
      <w:pPr>
        <w:pStyle w:val="BodyText"/>
        <w:spacing w:line="213" w:lineRule="auto" w:before="57"/>
        <w:ind w:left="3004" w:right="493" w:hanging="216"/>
      </w:pPr>
      <w:r>
        <w:rPr>
          <w:rFonts w:ascii="Futura MdCn BT" w:hAnsi="Futura MdCn BT"/>
          <w:color w:val="231F20"/>
        </w:rPr>
        <w:t>v</w:t>
      </w:r>
      <w:r>
        <w:rPr>
          <w:rFonts w:ascii="Futura MdCn BT" w:hAnsi="Futura MdCn BT"/>
          <w:color w:val="231F20"/>
          <w:spacing w:val="80"/>
        </w:rPr>
        <w:t> </w:t>
      </w:r>
      <w:r>
        <w:rPr>
          <w:color w:val="231F20"/>
        </w:rPr>
        <w:t>Specify how long a situation shall remain true. See </w:t>
      </w:r>
      <w:hyperlink w:history="true" w:anchor="_bookmark204">
        <w:r>
          <w:rPr>
            <w:color w:val="231F20"/>
          </w:rPr>
          <w:t>“Adding an </w:t>
        </w:r>
        <w:r>
          <w:rPr>
            <w:color w:val="231F20"/>
          </w:rPr>
          <w:t>Until</w:t>
        </w:r>
      </w:hyperlink>
      <w:r>
        <w:rPr>
          <w:color w:val="231F20"/>
        </w:rPr>
        <w:t> </w:t>
      </w:r>
      <w:hyperlink w:history="true" w:anchor="_bookmark204">
        <w:r>
          <w:rPr>
            <w:color w:val="231F20"/>
          </w:rPr>
          <w:t>modifier” on page 275.</w:t>
        </w:r>
      </w:hyperlink>
    </w:p>
    <w:p>
      <w:pPr>
        <w:pStyle w:val="ListParagraph"/>
        <w:numPr>
          <w:ilvl w:val="0"/>
          <w:numId w:val="119"/>
        </w:numPr>
        <w:tabs>
          <w:tab w:pos="2788" w:val="left" w:leader="none"/>
        </w:tabs>
        <w:spacing w:line="213" w:lineRule="auto" w:before="59" w:after="0"/>
        <w:ind w:left="2788" w:right="433" w:hanging="316"/>
        <w:jc w:val="both"/>
        <w:rPr>
          <w:sz w:val="20"/>
        </w:rPr>
      </w:pPr>
      <w:r>
        <w:rPr>
          <w:color w:val="231F20"/>
          <w:sz w:val="20"/>
        </w:rPr>
        <w:t>When you are finished composing the situation, save your changes and start the situation by clicking </w:t>
      </w:r>
      <w:r>
        <w:rPr>
          <w:rFonts w:ascii="Book Antiqua"/>
          <w:b/>
          <w:color w:val="231F20"/>
          <w:sz w:val="20"/>
        </w:rPr>
        <w:t>Apply </w:t>
      </w:r>
      <w:r>
        <w:rPr>
          <w:color w:val="231F20"/>
          <w:sz w:val="20"/>
        </w:rPr>
        <w:t>to keep the editor open; or by clicking </w:t>
      </w:r>
      <w:r>
        <w:rPr>
          <w:rFonts w:ascii="Book Antiqua"/>
          <w:b/>
          <w:color w:val="231F20"/>
          <w:sz w:val="20"/>
        </w:rPr>
        <w:t>OK </w:t>
      </w:r>
      <w:r>
        <w:rPr>
          <w:color w:val="231F20"/>
          <w:sz w:val="20"/>
        </w:rPr>
        <w:t>to close the Situation editor.</w:t>
      </w:r>
    </w:p>
    <w:p>
      <w:pPr>
        <w:pStyle w:val="BodyText"/>
        <w:spacing w:line="213" w:lineRule="auto" w:before="58"/>
        <w:ind w:left="2788" w:right="258"/>
      </w:pPr>
      <w:r>
        <w:rPr>
          <w:color w:val="231F20"/>
        </w:rPr>
        <w:t>The Situation editor performs syntax checking on each expression you enter. If you entered an improper value for an attribute, such as “abc” for Disk Size, the cell turns red and the situation will not be saved until you correct the error.</w:t>
      </w:r>
    </w:p>
    <w:p>
      <w:pPr>
        <w:spacing w:after="0" w:line="213" w:lineRule="auto"/>
        <w:sectPr>
          <w:pgSz w:w="12240" w:h="15840"/>
          <w:pgMar w:header="0" w:footer="736" w:top="1180" w:bottom="920" w:left="1000" w:right="1060"/>
        </w:sectPr>
      </w:pPr>
    </w:p>
    <w:p>
      <w:pPr>
        <w:pStyle w:val="BodyText"/>
        <w:spacing w:line="213" w:lineRule="auto" w:before="85"/>
        <w:ind w:left="2548" w:right="545"/>
      </w:pPr>
      <w:bookmarkStart w:name="_bookmark202" w:id="429"/>
      <w:bookmarkEnd w:id="429"/>
      <w:r>
        <w:rPr/>
      </w:r>
      <w:r>
        <w:rPr>
          <w:color w:val="231F20"/>
        </w:rPr>
        <w:t>If you opened the Situation editor from the toolbar, the situation you just</w:t>
      </w:r>
      <w:r>
        <w:rPr>
          <w:color w:val="231F20"/>
          <w:spacing w:val="80"/>
        </w:rPr>
        <w:t> </w:t>
      </w:r>
      <w:r>
        <w:rPr>
          <w:color w:val="231F20"/>
        </w:rPr>
        <w:t>created will not be associated with any Navigator items and no event </w:t>
      </w:r>
      <w:r>
        <w:rPr>
          <w:color w:val="231F20"/>
        </w:rPr>
        <w:t>indicator</w:t>
      </w:r>
      <w:r>
        <w:rPr>
          <w:color w:val="231F20"/>
          <w:spacing w:val="40"/>
        </w:rPr>
        <w:t> </w:t>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7"/>
        <w:ind w:left="2548" w:right="636"/>
      </w:pPr>
      <w:r>
        <w:rPr>
          <w:color w:val="231F20"/>
        </w:rPr>
        <w:t>Situations are stored at the hub monitoring server. In the unlikely event that two users attempt to save a situation with the same name simultaneously, </w:t>
      </w:r>
      <w:r>
        <w:rPr>
          <w:color w:val="231F20"/>
        </w:rPr>
        <w:t>an error will occur, ensuring that one situation does not overwrite another.</w:t>
      </w:r>
    </w:p>
    <w:p>
      <w:pPr>
        <w:pStyle w:val="ListParagraph"/>
        <w:numPr>
          <w:ilvl w:val="0"/>
          <w:numId w:val="119"/>
        </w:numPr>
        <w:tabs>
          <w:tab w:pos="2548" w:val="left" w:leader="none"/>
          <w:tab w:pos="2615" w:val="left" w:leader="none"/>
        </w:tabs>
        <w:spacing w:line="213" w:lineRule="auto" w:before="58" w:after="0"/>
        <w:ind w:left="2548" w:right="454" w:hanging="316"/>
        <w:jc w:val="left"/>
        <w:rPr>
          <w:sz w:val="20"/>
        </w:rPr>
      </w:pPr>
      <w:r>
        <w:rPr>
          <w:rFonts w:ascii="Arial"/>
          <w:color w:val="231F20"/>
          <w:sz w:val="20"/>
        </w:rPr>
        <w:tab/>
      </w:r>
      <w:r>
        <w:rPr>
          <w:color w:val="231F20"/>
          <w:sz w:val="20"/>
        </w:rPr>
        <w:t>If the Distribution Change window is displayed, click </w:t>
      </w:r>
      <w:r>
        <w:rPr>
          <w:rFonts w:ascii="Book Antiqua"/>
          <w:b/>
          <w:color w:val="231F20"/>
          <w:sz w:val="20"/>
        </w:rPr>
        <w:t>OK </w:t>
      </w:r>
      <w:r>
        <w:rPr>
          <w:color w:val="231F20"/>
          <w:sz w:val="20"/>
        </w:rPr>
        <w:t>to add the </w:t>
      </w:r>
      <w:r>
        <w:rPr>
          <w:color w:val="231F20"/>
          <w:sz w:val="20"/>
        </w:rPr>
        <w:t>managed systems shown in the </w:t>
      </w:r>
      <w:r>
        <w:rPr>
          <w:rFonts w:ascii="Book Antiqua"/>
          <w:b/>
          <w:color w:val="231F20"/>
          <w:sz w:val="20"/>
        </w:rPr>
        <w:t>Required Managed Systems </w:t>
      </w:r>
      <w:r>
        <w:rPr>
          <w:color w:val="231F20"/>
          <w:sz w:val="20"/>
        </w:rPr>
        <w:t>list to the distribution for</w:t>
      </w:r>
      <w:r>
        <w:rPr>
          <w:color w:val="231F20"/>
          <w:spacing w:val="80"/>
          <w:sz w:val="20"/>
        </w:rPr>
        <w:t> </w:t>
      </w:r>
      <w:r>
        <w:rPr>
          <w:color w:val="231F20"/>
          <w:sz w:val="20"/>
        </w:rPr>
        <w:t>this situation.</w:t>
      </w:r>
    </w:p>
    <w:p>
      <w:pPr>
        <w:pStyle w:val="Heading4"/>
        <w:spacing w:before="199"/>
      </w:pPr>
      <w:r>
        <w:rPr>
          <w:color w:val="231F20"/>
          <w:spacing w:val="-2"/>
        </w:rPr>
        <w:t>Example</w:t>
      </w:r>
    </w:p>
    <w:p>
      <w:pPr>
        <w:pStyle w:val="BodyText"/>
        <w:spacing w:line="213" w:lineRule="auto" w:before="241"/>
        <w:ind w:left="2232" w:right="481"/>
        <w:jc w:val="both"/>
      </w:pPr>
      <w:r>
        <w:rPr>
          <w:color w:val="231F20"/>
        </w:rPr>
        <w:t>An expression can be a combination of literal values, references to values available from the source context, operators, and functions applied to values. Click </w:t>
      </w:r>
      <w:r>
        <w:rPr>
          <w:rFonts w:ascii="Book Antiqua"/>
          <w:b/>
          <w:color w:val="231F20"/>
        </w:rPr>
        <w:t>Preview</w:t>
      </w:r>
      <w:r>
        <w:rPr>
          <w:rFonts w:ascii="Book Antiqua"/>
          <w:b/>
          <w:color w:val="231F20"/>
          <w:spacing w:val="40"/>
        </w:rPr>
        <w:t> </w:t>
      </w:r>
      <w:r>
        <w:rPr>
          <w:color w:val="231F20"/>
        </w:rPr>
        <w:t>to check that your coding does what is intended.</w:t>
      </w:r>
    </w:p>
    <w:p>
      <w:pPr>
        <w:pStyle w:val="Heading6"/>
        <w:ind w:left="2232"/>
        <w:jc w:val="both"/>
      </w:pPr>
      <w:r>
        <w:rPr>
          <w:color w:val="231F20"/>
        </w:rPr>
        <w:t>Search</w:t>
      </w:r>
      <w:r>
        <w:rPr>
          <w:color w:val="231F20"/>
          <w:spacing w:val="9"/>
        </w:rPr>
        <w:t> </w:t>
      </w:r>
      <w:r>
        <w:rPr>
          <w:color w:val="231F20"/>
          <w:spacing w:val="-2"/>
        </w:rPr>
        <w:t>variable</w:t>
      </w:r>
    </w:p>
    <w:p>
      <w:pPr>
        <w:pStyle w:val="BodyText"/>
        <w:spacing w:line="213" w:lineRule="auto" w:before="11"/>
        <w:ind w:left="2951" w:right="567"/>
      </w:pPr>
      <w:r>
        <w:rPr>
          <w:color w:val="231F20"/>
        </w:rPr>
        <w:t>The code creates the variable “search” from what the user enters when prompted, “What do you want to look for?”, and enters that value as part</w:t>
      </w:r>
      <w:r>
        <w:rPr>
          <w:color w:val="231F20"/>
          <w:spacing w:val="40"/>
        </w:rPr>
        <w:t> </w:t>
      </w:r>
      <w:r>
        <w:rPr>
          <w:color w:val="231F20"/>
        </w:rPr>
        <w:t>of the URL for the searchenginesite.com search engine. The META</w:t>
      </w:r>
      <w:r>
        <w:rPr>
          <w:color w:val="231F20"/>
          <w:spacing w:val="-2"/>
        </w:rPr>
        <w:t> </w:t>
      </w:r>
      <w:r>
        <w:rPr>
          <w:color w:val="231F20"/>
        </w:rPr>
        <w:t>'refresh' tag is used to switch to the website automatically after one second. The INPUT function is available in the Link Wizard.</w:t>
      </w:r>
    </w:p>
    <w:p>
      <w:pPr>
        <w:spacing w:line="203" w:lineRule="exact" w:before="59"/>
        <w:ind w:left="2951" w:right="0" w:firstLine="0"/>
        <w:jc w:val="left"/>
        <w:rPr>
          <w:rFonts w:ascii="Arial" w:hAnsi="Arial"/>
          <w:sz w:val="18"/>
        </w:rPr>
      </w:pPr>
      <w:r>
        <w:rPr>
          <w:rFonts w:ascii="Arial" w:hAnsi="Arial"/>
          <w:color w:val="231F20"/>
          <w:w w:val="105"/>
          <w:sz w:val="18"/>
        </w:rPr>
        <w:t>search</w:t>
      </w:r>
      <w:r>
        <w:rPr>
          <w:rFonts w:ascii="Arial" w:hAnsi="Arial"/>
          <w:color w:val="231F20"/>
          <w:spacing w:val="12"/>
          <w:w w:val="105"/>
          <w:sz w:val="18"/>
        </w:rPr>
        <w:t> </w:t>
      </w:r>
      <w:r>
        <w:rPr>
          <w:rFonts w:ascii="Arial" w:hAnsi="Arial"/>
          <w:color w:val="231F20"/>
          <w:w w:val="105"/>
          <w:sz w:val="18"/>
        </w:rPr>
        <w:t>=</w:t>
      </w:r>
      <w:r>
        <w:rPr>
          <w:rFonts w:ascii="Arial" w:hAnsi="Arial"/>
          <w:color w:val="231F20"/>
          <w:spacing w:val="12"/>
          <w:w w:val="105"/>
          <w:sz w:val="18"/>
        </w:rPr>
        <w:t> </w:t>
      </w:r>
      <w:r>
        <w:rPr>
          <w:rFonts w:ascii="Arial" w:hAnsi="Arial"/>
          <w:color w:val="231F20"/>
          <w:w w:val="105"/>
          <w:sz w:val="18"/>
        </w:rPr>
        <w:t>INPUT(“What</w:t>
      </w:r>
      <w:r>
        <w:rPr>
          <w:rFonts w:ascii="Arial" w:hAnsi="Arial"/>
          <w:color w:val="231F20"/>
          <w:spacing w:val="13"/>
          <w:w w:val="105"/>
          <w:sz w:val="18"/>
        </w:rPr>
        <w:t> </w:t>
      </w:r>
      <w:r>
        <w:rPr>
          <w:rFonts w:ascii="Arial" w:hAnsi="Arial"/>
          <w:color w:val="231F20"/>
          <w:w w:val="105"/>
          <w:sz w:val="18"/>
        </w:rPr>
        <w:t>do</w:t>
      </w:r>
      <w:r>
        <w:rPr>
          <w:rFonts w:ascii="Arial" w:hAnsi="Arial"/>
          <w:color w:val="231F20"/>
          <w:spacing w:val="12"/>
          <w:w w:val="105"/>
          <w:sz w:val="18"/>
        </w:rPr>
        <w:t> </w:t>
      </w:r>
      <w:r>
        <w:rPr>
          <w:rFonts w:ascii="Arial" w:hAnsi="Arial"/>
          <w:color w:val="231F20"/>
          <w:w w:val="105"/>
          <w:sz w:val="18"/>
        </w:rPr>
        <w:t>you</w:t>
      </w:r>
      <w:r>
        <w:rPr>
          <w:rFonts w:ascii="Arial" w:hAnsi="Arial"/>
          <w:color w:val="231F20"/>
          <w:spacing w:val="12"/>
          <w:w w:val="105"/>
          <w:sz w:val="18"/>
        </w:rPr>
        <w:t> </w:t>
      </w:r>
      <w:r>
        <w:rPr>
          <w:rFonts w:ascii="Arial" w:hAnsi="Arial"/>
          <w:color w:val="231F20"/>
          <w:w w:val="105"/>
          <w:sz w:val="18"/>
        </w:rPr>
        <w:t>want</w:t>
      </w:r>
      <w:r>
        <w:rPr>
          <w:rFonts w:ascii="Arial" w:hAnsi="Arial"/>
          <w:color w:val="231F20"/>
          <w:spacing w:val="10"/>
          <w:w w:val="110"/>
          <w:sz w:val="18"/>
        </w:rPr>
        <w:t> </w:t>
      </w:r>
      <w:r>
        <w:rPr>
          <w:rFonts w:ascii="Arial" w:hAnsi="Arial"/>
          <w:color w:val="231F20"/>
          <w:w w:val="110"/>
          <w:sz w:val="18"/>
        </w:rPr>
        <w:t>to</w:t>
      </w:r>
      <w:r>
        <w:rPr>
          <w:rFonts w:ascii="Arial" w:hAnsi="Arial"/>
          <w:color w:val="231F20"/>
          <w:spacing w:val="10"/>
          <w:w w:val="110"/>
          <w:sz w:val="18"/>
        </w:rPr>
        <w:t> </w:t>
      </w:r>
      <w:r>
        <w:rPr>
          <w:rFonts w:ascii="Arial" w:hAnsi="Arial"/>
          <w:color w:val="231F20"/>
          <w:w w:val="105"/>
          <w:sz w:val="18"/>
        </w:rPr>
        <w:t>look</w:t>
      </w:r>
      <w:r>
        <w:rPr>
          <w:rFonts w:ascii="Arial" w:hAnsi="Arial"/>
          <w:color w:val="231F20"/>
          <w:spacing w:val="10"/>
          <w:w w:val="110"/>
          <w:sz w:val="18"/>
        </w:rPr>
        <w:t> </w:t>
      </w:r>
      <w:r>
        <w:rPr>
          <w:rFonts w:ascii="Arial" w:hAnsi="Arial"/>
          <w:color w:val="231F20"/>
          <w:w w:val="110"/>
          <w:sz w:val="18"/>
        </w:rPr>
        <w:t>for?”,</w:t>
      </w:r>
      <w:r>
        <w:rPr>
          <w:rFonts w:ascii="Arial" w:hAnsi="Arial"/>
          <w:color w:val="231F20"/>
          <w:spacing w:val="10"/>
          <w:w w:val="110"/>
          <w:sz w:val="18"/>
        </w:rPr>
        <w:t> </w:t>
      </w:r>
      <w:r>
        <w:rPr>
          <w:rFonts w:ascii="Arial" w:hAnsi="Arial"/>
          <w:color w:val="231F20"/>
          <w:spacing w:val="-2"/>
          <w:w w:val="110"/>
          <w:sz w:val="18"/>
        </w:rPr>
        <w:t>“enter”);”</w:t>
      </w:r>
    </w:p>
    <w:p>
      <w:pPr>
        <w:spacing w:line="200" w:lineRule="exact" w:before="0"/>
        <w:ind w:left="3130" w:right="0" w:firstLine="0"/>
        <w:jc w:val="left"/>
        <w:rPr>
          <w:rFonts w:ascii="Arial" w:hAnsi="Arial"/>
          <w:sz w:val="18"/>
        </w:rPr>
      </w:pPr>
      <w:r>
        <w:rPr>
          <w:rFonts w:ascii="Arial" w:hAnsi="Arial"/>
          <w:color w:val="231F20"/>
          <w:w w:val="90"/>
          <w:sz w:val="18"/>
        </w:rPr>
        <w:t>&lt;BODY</w:t>
      </w:r>
      <w:r>
        <w:rPr>
          <w:rFonts w:ascii="Arial" w:hAnsi="Arial"/>
          <w:color w:val="231F20"/>
          <w:spacing w:val="58"/>
          <w:w w:val="150"/>
          <w:sz w:val="18"/>
        </w:rPr>
        <w:t> </w:t>
      </w:r>
      <w:r>
        <w:rPr>
          <w:rFonts w:ascii="Arial" w:hAnsi="Arial"/>
          <w:color w:val="231F20"/>
          <w:w w:val="90"/>
          <w:sz w:val="18"/>
        </w:rPr>
        <w:t>BGCOLOR=’#e6e6fa’&gt;Searching</w:t>
      </w:r>
      <w:r>
        <w:rPr>
          <w:rFonts w:ascii="Arial" w:hAnsi="Arial"/>
          <w:color w:val="231F20"/>
          <w:spacing w:val="58"/>
          <w:w w:val="150"/>
          <w:sz w:val="18"/>
        </w:rPr>
        <w:t> </w:t>
      </w:r>
      <w:r>
        <w:rPr>
          <w:rFonts w:ascii="Arial" w:hAnsi="Arial"/>
          <w:color w:val="231F20"/>
          <w:w w:val="90"/>
          <w:sz w:val="18"/>
        </w:rPr>
        <w:t>database</w:t>
      </w:r>
      <w:r>
        <w:rPr>
          <w:rFonts w:ascii="Arial" w:hAnsi="Arial"/>
          <w:color w:val="231F20"/>
          <w:spacing w:val="58"/>
          <w:w w:val="150"/>
          <w:sz w:val="18"/>
        </w:rPr>
        <w:t> </w:t>
      </w:r>
      <w:r>
        <w:rPr>
          <w:rFonts w:ascii="Arial" w:hAnsi="Arial"/>
          <w:color w:val="231F20"/>
          <w:w w:val="90"/>
          <w:sz w:val="18"/>
        </w:rPr>
        <w:t>for</w:t>
      </w:r>
      <w:r>
        <w:rPr>
          <w:rFonts w:ascii="Arial" w:hAnsi="Arial"/>
          <w:color w:val="231F20"/>
          <w:spacing w:val="58"/>
          <w:w w:val="150"/>
          <w:sz w:val="18"/>
        </w:rPr>
        <w:t> </w:t>
      </w:r>
      <w:r>
        <w:rPr>
          <w:rFonts w:ascii="Arial" w:hAnsi="Arial"/>
          <w:color w:val="231F20"/>
          <w:spacing w:val="-2"/>
          <w:w w:val="90"/>
          <w:sz w:val="18"/>
        </w:rPr>
        <w:t>&lt;b&gt;”+search+"&lt;/b&gt;...</w:t>
      </w:r>
    </w:p>
    <w:p>
      <w:pPr>
        <w:spacing w:line="200" w:lineRule="exact" w:before="0"/>
        <w:ind w:left="3130" w:right="0" w:firstLine="0"/>
        <w:jc w:val="left"/>
        <w:rPr>
          <w:rFonts w:ascii="Arial" w:hAnsi="Arial"/>
          <w:sz w:val="18"/>
        </w:rPr>
      </w:pPr>
      <w:r>
        <w:rPr>
          <w:rFonts w:ascii="Arial" w:hAnsi="Arial"/>
          <w:color w:val="231F20"/>
          <w:w w:val="90"/>
          <w:sz w:val="18"/>
        </w:rPr>
        <w:t>&lt;META</w:t>
      </w:r>
      <w:r>
        <w:rPr>
          <w:rFonts w:ascii="Arial" w:hAnsi="Arial"/>
          <w:color w:val="231F20"/>
          <w:spacing w:val="33"/>
          <w:sz w:val="18"/>
        </w:rPr>
        <w:t>  </w:t>
      </w:r>
      <w:r>
        <w:rPr>
          <w:rFonts w:ascii="Arial" w:hAnsi="Arial"/>
          <w:color w:val="231F20"/>
          <w:w w:val="90"/>
          <w:sz w:val="18"/>
        </w:rPr>
        <w:t>HTTP-EQUIV=’refresh’</w:t>
      </w:r>
      <w:r>
        <w:rPr>
          <w:rFonts w:ascii="Arial" w:hAnsi="Arial"/>
          <w:color w:val="231F20"/>
          <w:spacing w:val="33"/>
          <w:sz w:val="18"/>
        </w:rPr>
        <w:t>  </w:t>
      </w:r>
      <w:r>
        <w:rPr>
          <w:rFonts w:ascii="Arial" w:hAnsi="Arial"/>
          <w:color w:val="231F20"/>
          <w:w w:val="90"/>
          <w:sz w:val="18"/>
        </w:rPr>
        <w:t>CONTENT=’1;</w:t>
      </w:r>
      <w:r>
        <w:rPr>
          <w:rFonts w:ascii="Arial" w:hAnsi="Arial"/>
          <w:color w:val="231F20"/>
          <w:spacing w:val="34"/>
          <w:sz w:val="18"/>
        </w:rPr>
        <w:t>  </w:t>
      </w:r>
      <w:hyperlink r:id="rId385">
        <w:r>
          <w:rPr>
            <w:rFonts w:ascii="Arial" w:hAnsi="Arial"/>
            <w:color w:val="231F20"/>
            <w:spacing w:val="-2"/>
            <w:w w:val="90"/>
            <w:sz w:val="18"/>
          </w:rPr>
          <w:t>URL=http://searchenginesite.com</w:t>
        </w:r>
      </w:hyperlink>
    </w:p>
    <w:p>
      <w:pPr>
        <w:spacing w:line="203" w:lineRule="exact" w:before="0"/>
        <w:ind w:left="3130" w:right="0" w:firstLine="0"/>
        <w:jc w:val="left"/>
        <w:rPr>
          <w:rFonts w:ascii="Arial" w:hAnsi="Arial"/>
          <w:sz w:val="18"/>
        </w:rPr>
      </w:pPr>
      <w:r>
        <w:rPr>
          <w:rFonts w:ascii="Arial" w:hAnsi="Arial"/>
          <w:color w:val="231F20"/>
          <w:spacing w:val="-2"/>
          <w:w w:val="105"/>
          <w:sz w:val="18"/>
        </w:rPr>
        <w:t>/search?q=”+search+”’&gt;”</w:t>
      </w:r>
    </w:p>
    <w:p>
      <w:pPr>
        <w:pStyle w:val="Heading6"/>
        <w:spacing w:before="128"/>
        <w:ind w:left="2232"/>
        <w:jc w:val="both"/>
      </w:pPr>
      <w:r>
        <w:rPr>
          <w:color w:val="231F20"/>
        </w:rPr>
        <w:t>Search</w:t>
      </w:r>
      <w:r>
        <w:rPr>
          <w:color w:val="231F20"/>
          <w:spacing w:val="8"/>
        </w:rPr>
        <w:t> </w:t>
      </w:r>
      <w:r>
        <w:rPr>
          <w:color w:val="231F20"/>
        </w:rPr>
        <w:t>variable</w:t>
      </w:r>
      <w:r>
        <w:rPr>
          <w:color w:val="231F20"/>
          <w:spacing w:val="9"/>
        </w:rPr>
        <w:t> </w:t>
      </w:r>
      <w:r>
        <w:rPr>
          <w:color w:val="231F20"/>
        </w:rPr>
        <w:t>with</w:t>
      </w:r>
      <w:r>
        <w:rPr>
          <w:color w:val="231F20"/>
          <w:spacing w:val="8"/>
        </w:rPr>
        <w:t> </w:t>
      </w:r>
      <w:r>
        <w:rPr>
          <w:color w:val="231F20"/>
        </w:rPr>
        <w:t>situation</w:t>
      </w:r>
      <w:r>
        <w:rPr>
          <w:color w:val="231F20"/>
          <w:spacing w:val="9"/>
        </w:rPr>
        <w:t> </w:t>
      </w:r>
      <w:r>
        <w:rPr>
          <w:color w:val="231F20"/>
        </w:rPr>
        <w:t>information</w:t>
      </w:r>
      <w:r>
        <w:rPr>
          <w:color w:val="231F20"/>
          <w:spacing w:val="9"/>
        </w:rPr>
        <w:t> </w:t>
      </w:r>
      <w:r>
        <w:rPr>
          <w:color w:val="231F20"/>
          <w:spacing w:val="-2"/>
        </w:rPr>
        <w:t>included</w:t>
      </w:r>
    </w:p>
    <w:p>
      <w:pPr>
        <w:pStyle w:val="BodyText"/>
        <w:spacing w:line="213" w:lineRule="auto" w:before="12"/>
        <w:ind w:left="2951" w:right="545"/>
      </w:pPr>
      <w:r>
        <w:rPr>
          <w:color w:val="231F20"/>
        </w:rPr>
        <w:t>The code in this example inserts the name of the situation and the name </w:t>
      </w:r>
      <w:r>
        <w:rPr>
          <w:color w:val="231F20"/>
        </w:rPr>
        <w:t>of the managed system in the text. It then provides a link to</w:t>
      </w:r>
      <w:r>
        <w:rPr>
          <w:color w:val="231F20"/>
          <w:spacing w:val="40"/>
        </w:rPr>
        <w:t> </w:t>
      </w:r>
      <w:r>
        <w:rPr>
          <w:rFonts w:ascii="Book Antiqua"/>
          <w:i/>
          <w:color w:val="231F20"/>
        </w:rPr>
        <w:t>searchenginesite.com</w:t>
      </w:r>
      <w:r>
        <w:rPr>
          <w:color w:val="231F20"/>
        </w:rPr>
        <w:t>, which searches for the situation name and displays the results automatically.</w:t>
      </w:r>
    </w:p>
    <w:p>
      <w:pPr>
        <w:spacing w:line="203" w:lineRule="exact" w:before="60"/>
        <w:ind w:left="2951" w:right="0" w:firstLine="0"/>
        <w:jc w:val="left"/>
        <w:rPr>
          <w:rFonts w:ascii="Arial"/>
          <w:sz w:val="18"/>
        </w:rPr>
      </w:pPr>
      <w:r>
        <w:rPr>
          <w:rFonts w:ascii="Arial"/>
          <w:color w:val="231F20"/>
          <w:w w:val="90"/>
          <w:sz w:val="18"/>
        </w:rPr>
        <w:t>name</w:t>
      </w:r>
      <w:r>
        <w:rPr>
          <w:rFonts w:ascii="Arial"/>
          <w:color w:val="231F20"/>
          <w:spacing w:val="11"/>
          <w:sz w:val="18"/>
        </w:rPr>
        <w:t> </w:t>
      </w:r>
      <w:r>
        <w:rPr>
          <w:rFonts w:ascii="Arial"/>
          <w:color w:val="231F20"/>
          <w:w w:val="90"/>
          <w:sz w:val="18"/>
        </w:rPr>
        <w:t>=</w:t>
      </w:r>
      <w:r>
        <w:rPr>
          <w:rFonts w:ascii="Arial"/>
          <w:color w:val="231F20"/>
          <w:spacing w:val="12"/>
          <w:sz w:val="18"/>
        </w:rPr>
        <w:t> </w:t>
      </w:r>
      <w:r>
        <w:rPr>
          <w:rFonts w:ascii="Arial"/>
          <w:color w:val="231F20"/>
          <w:spacing w:val="-2"/>
          <w:w w:val="90"/>
          <w:sz w:val="18"/>
        </w:rPr>
        <w:t>$EVENT:ATTRIBUTE.ISITSTSH.SITNAME$;</w:t>
      </w:r>
    </w:p>
    <w:p>
      <w:pPr>
        <w:spacing w:line="200" w:lineRule="exact" w:before="0"/>
        <w:ind w:left="3130" w:right="0" w:firstLine="0"/>
        <w:jc w:val="left"/>
        <w:rPr>
          <w:rFonts w:ascii="Arial"/>
          <w:sz w:val="18"/>
        </w:rPr>
      </w:pPr>
      <w:r>
        <w:rPr>
          <w:rFonts w:ascii="Arial"/>
          <w:color w:val="231F20"/>
          <w:w w:val="95"/>
          <w:sz w:val="18"/>
        </w:rPr>
        <w:t>node</w:t>
      </w:r>
      <w:r>
        <w:rPr>
          <w:rFonts w:ascii="Arial"/>
          <w:color w:val="231F20"/>
          <w:spacing w:val="21"/>
          <w:sz w:val="18"/>
        </w:rPr>
        <w:t> </w:t>
      </w:r>
      <w:r>
        <w:rPr>
          <w:rFonts w:ascii="Arial"/>
          <w:color w:val="231F20"/>
          <w:w w:val="95"/>
          <w:sz w:val="18"/>
        </w:rPr>
        <w:t>=</w:t>
      </w:r>
      <w:r>
        <w:rPr>
          <w:rFonts w:ascii="Arial"/>
          <w:color w:val="231F20"/>
          <w:spacing w:val="22"/>
          <w:sz w:val="18"/>
        </w:rPr>
        <w:t> </w:t>
      </w:r>
      <w:r>
        <w:rPr>
          <w:rFonts w:ascii="Arial"/>
          <w:color w:val="231F20"/>
          <w:spacing w:val="-2"/>
          <w:w w:val="95"/>
          <w:sz w:val="18"/>
        </w:rPr>
        <w:t>$NODE$;</w:t>
      </w:r>
    </w:p>
    <w:p>
      <w:pPr>
        <w:spacing w:line="200" w:lineRule="exact" w:before="0"/>
        <w:ind w:left="3130" w:right="0" w:firstLine="0"/>
        <w:jc w:val="left"/>
        <w:rPr>
          <w:rFonts w:ascii="Arial" w:hAnsi="Arial"/>
          <w:sz w:val="18"/>
        </w:rPr>
      </w:pPr>
      <w:r>
        <w:rPr>
          <w:rFonts w:ascii="Arial" w:hAnsi="Arial"/>
          <w:color w:val="231F20"/>
          <w:w w:val="85"/>
          <w:sz w:val="18"/>
        </w:rPr>
        <w:t>"&lt;BODY</w:t>
      </w:r>
      <w:r>
        <w:rPr>
          <w:rFonts w:ascii="Arial" w:hAnsi="Arial"/>
          <w:color w:val="231F20"/>
          <w:spacing w:val="77"/>
          <w:sz w:val="18"/>
        </w:rPr>
        <w:t> </w:t>
      </w:r>
      <w:r>
        <w:rPr>
          <w:rFonts w:ascii="Arial" w:hAnsi="Arial"/>
          <w:color w:val="231F20"/>
          <w:w w:val="85"/>
          <w:sz w:val="18"/>
        </w:rPr>
        <w:t>BGCOLOR=’#FFFF80’&gt;&lt;div</w:t>
      </w:r>
      <w:r>
        <w:rPr>
          <w:rFonts w:ascii="Arial" w:hAnsi="Arial"/>
          <w:color w:val="231F20"/>
          <w:spacing w:val="78"/>
          <w:sz w:val="18"/>
        </w:rPr>
        <w:t> </w:t>
      </w:r>
      <w:r>
        <w:rPr>
          <w:rFonts w:ascii="Arial" w:hAnsi="Arial"/>
          <w:color w:val="231F20"/>
          <w:spacing w:val="-2"/>
          <w:w w:val="85"/>
          <w:sz w:val="18"/>
        </w:rPr>
        <w:t>align=center&gt;</w:t>
      </w:r>
    </w:p>
    <w:p>
      <w:pPr>
        <w:spacing w:line="200" w:lineRule="exact" w:before="0"/>
        <w:ind w:left="3130" w:right="0" w:firstLine="0"/>
        <w:jc w:val="left"/>
        <w:rPr>
          <w:rFonts w:ascii="Arial"/>
          <w:sz w:val="18"/>
        </w:rPr>
      </w:pPr>
      <w:r>
        <w:rPr>
          <w:rFonts w:ascii="Arial"/>
          <w:color w:val="231F20"/>
          <w:w w:val="110"/>
          <w:sz w:val="18"/>
        </w:rPr>
        <w:t>&lt;h3&gt;&lt;i&gt;This</w:t>
      </w:r>
      <w:r>
        <w:rPr>
          <w:rFonts w:ascii="Arial"/>
          <w:color w:val="231F20"/>
          <w:spacing w:val="22"/>
          <w:w w:val="110"/>
          <w:sz w:val="18"/>
        </w:rPr>
        <w:t> </w:t>
      </w:r>
      <w:r>
        <w:rPr>
          <w:rFonts w:ascii="Arial"/>
          <w:color w:val="231F20"/>
          <w:w w:val="110"/>
          <w:sz w:val="18"/>
        </w:rPr>
        <w:t>is</w:t>
      </w:r>
      <w:r>
        <w:rPr>
          <w:rFonts w:ascii="Arial"/>
          <w:color w:val="231F20"/>
          <w:spacing w:val="22"/>
          <w:w w:val="110"/>
          <w:sz w:val="18"/>
        </w:rPr>
        <w:t> </w:t>
      </w:r>
      <w:r>
        <w:rPr>
          <w:rFonts w:ascii="Arial"/>
          <w:color w:val="231F20"/>
          <w:w w:val="110"/>
          <w:sz w:val="18"/>
        </w:rPr>
        <w:t>expert</w:t>
      </w:r>
      <w:r>
        <w:rPr>
          <w:rFonts w:ascii="Arial"/>
          <w:color w:val="231F20"/>
          <w:spacing w:val="22"/>
          <w:w w:val="110"/>
          <w:sz w:val="18"/>
        </w:rPr>
        <w:t> </w:t>
      </w:r>
      <w:r>
        <w:rPr>
          <w:rFonts w:ascii="Arial"/>
          <w:color w:val="231F20"/>
          <w:w w:val="110"/>
          <w:sz w:val="18"/>
        </w:rPr>
        <w:t>advice</w:t>
      </w:r>
      <w:r>
        <w:rPr>
          <w:rFonts w:ascii="Arial"/>
          <w:color w:val="231F20"/>
          <w:spacing w:val="23"/>
          <w:w w:val="110"/>
          <w:sz w:val="18"/>
        </w:rPr>
        <w:t> </w:t>
      </w:r>
      <w:r>
        <w:rPr>
          <w:rFonts w:ascii="Arial"/>
          <w:color w:val="231F20"/>
          <w:w w:val="110"/>
          <w:sz w:val="18"/>
        </w:rPr>
        <w:t>for</w:t>
      </w:r>
      <w:r>
        <w:rPr>
          <w:rFonts w:ascii="Arial"/>
          <w:color w:val="231F20"/>
          <w:spacing w:val="22"/>
          <w:w w:val="110"/>
          <w:sz w:val="18"/>
        </w:rPr>
        <w:t> </w:t>
      </w:r>
      <w:r>
        <w:rPr>
          <w:rFonts w:ascii="Arial"/>
          <w:color w:val="231F20"/>
          <w:w w:val="110"/>
          <w:sz w:val="18"/>
        </w:rPr>
        <w:t>&lt;/i&gt;</w:t>
      </w:r>
      <w:r>
        <w:rPr>
          <w:rFonts w:ascii="Arial"/>
          <w:color w:val="231F20"/>
          <w:spacing w:val="22"/>
          <w:w w:val="110"/>
          <w:sz w:val="18"/>
        </w:rPr>
        <w:t> </w:t>
      </w:r>
      <w:r>
        <w:rPr>
          <w:rFonts w:ascii="Arial"/>
          <w:color w:val="231F20"/>
          <w:spacing w:val="-2"/>
          <w:w w:val="110"/>
          <w:sz w:val="18"/>
        </w:rPr>
        <w:t>&lt;/h3&gt;</w:t>
      </w:r>
    </w:p>
    <w:p>
      <w:pPr>
        <w:spacing w:line="230" w:lineRule="auto" w:before="3"/>
        <w:ind w:left="3130" w:right="636" w:firstLine="0"/>
        <w:jc w:val="left"/>
        <w:rPr>
          <w:rFonts w:ascii="Arial"/>
          <w:sz w:val="18"/>
        </w:rPr>
      </w:pPr>
      <w:r>
        <w:rPr>
          <w:rFonts w:ascii="Arial"/>
          <w:color w:val="231F20"/>
          <w:sz w:val="18"/>
        </w:rPr>
        <w:t>&lt;h2&gt;"+name+"&lt;/h2&gt;</w:t>
      </w:r>
      <w:r>
        <w:rPr>
          <w:rFonts w:ascii="Arial"/>
          <w:color w:val="231F20"/>
          <w:spacing w:val="40"/>
          <w:sz w:val="18"/>
        </w:rPr>
        <w:t> </w:t>
      </w:r>
      <w:r>
        <w:rPr>
          <w:rFonts w:ascii="Arial"/>
          <w:color w:val="231F20"/>
          <w:sz w:val="18"/>
        </w:rPr>
        <w:t>on</w:t>
      </w:r>
      <w:r>
        <w:rPr>
          <w:rFonts w:ascii="Arial"/>
          <w:color w:val="231F20"/>
          <w:spacing w:val="40"/>
          <w:sz w:val="18"/>
        </w:rPr>
        <w:t> </w:t>
      </w:r>
      <w:r>
        <w:rPr>
          <w:rFonts w:ascii="Arial"/>
          <w:color w:val="231F20"/>
          <w:sz w:val="18"/>
        </w:rPr>
        <w:t>"+node+</w:t>
      </w:r>
      <w:r>
        <w:rPr>
          <w:rFonts w:ascii="Arial"/>
          <w:color w:val="231F20"/>
          <w:spacing w:val="40"/>
          <w:sz w:val="18"/>
        </w:rPr>
        <w:t> </w:t>
      </w:r>
      <w:r>
        <w:rPr>
          <w:rFonts w:ascii="Arial"/>
          <w:color w:val="231F20"/>
          <w:sz w:val="18"/>
        </w:rPr>
        <w:t>"&lt;p&gt;Please</w:t>
      </w:r>
      <w:r>
        <w:rPr>
          <w:rFonts w:ascii="Arial"/>
          <w:color w:val="231F20"/>
          <w:spacing w:val="40"/>
          <w:sz w:val="18"/>
        </w:rPr>
        <w:t> </w:t>
      </w:r>
      <w:r>
        <w:rPr>
          <w:rFonts w:ascii="Arial"/>
          <w:color w:val="231F20"/>
          <w:sz w:val="18"/>
        </w:rPr>
        <w:t>notify</w:t>
      </w:r>
      <w:r>
        <w:rPr>
          <w:rFonts w:ascii="Arial"/>
          <w:color w:val="231F20"/>
          <w:spacing w:val="40"/>
          <w:sz w:val="18"/>
        </w:rPr>
        <w:t> </w:t>
      </w:r>
      <w:r>
        <w:rPr>
          <w:rFonts w:ascii="Arial"/>
          <w:color w:val="231F20"/>
          <w:sz w:val="18"/>
        </w:rPr>
        <w:t>your</w:t>
      </w:r>
      <w:r>
        <w:rPr>
          <w:rFonts w:ascii="Arial"/>
          <w:color w:val="231F20"/>
          <w:spacing w:val="40"/>
          <w:sz w:val="18"/>
        </w:rPr>
        <w:t> </w:t>
      </w:r>
      <w:r>
        <w:rPr>
          <w:rFonts w:ascii="Arial"/>
          <w:color w:val="231F20"/>
          <w:sz w:val="18"/>
        </w:rPr>
        <w:t>system </w:t>
      </w:r>
      <w:r>
        <w:rPr>
          <w:rFonts w:ascii="Arial"/>
          <w:color w:val="231F20"/>
          <w:w w:val="105"/>
          <w:sz w:val="18"/>
        </w:rPr>
        <w:t>administrator</w:t>
      </w:r>
      <w:r>
        <w:rPr>
          <w:rFonts w:ascii="Arial"/>
          <w:color w:val="231F20"/>
          <w:spacing w:val="34"/>
          <w:w w:val="105"/>
          <w:sz w:val="18"/>
        </w:rPr>
        <w:t> </w:t>
      </w:r>
      <w:r>
        <w:rPr>
          <w:rFonts w:ascii="Arial"/>
          <w:color w:val="231F20"/>
          <w:w w:val="105"/>
          <w:sz w:val="18"/>
        </w:rPr>
        <w:t>that</w:t>
      </w:r>
      <w:r>
        <w:rPr>
          <w:rFonts w:ascii="Arial"/>
          <w:color w:val="231F20"/>
          <w:spacing w:val="34"/>
          <w:w w:val="105"/>
          <w:sz w:val="18"/>
        </w:rPr>
        <w:t> </w:t>
      </w:r>
      <w:r>
        <w:rPr>
          <w:rFonts w:ascii="Arial"/>
          <w:color w:val="231F20"/>
          <w:w w:val="105"/>
          <w:sz w:val="18"/>
        </w:rPr>
        <w:t>&lt;b&gt;"+name+"&lt;/b&gt;</w:t>
      </w:r>
      <w:r>
        <w:rPr>
          <w:rFonts w:ascii="Arial"/>
          <w:color w:val="231F20"/>
          <w:spacing w:val="31"/>
          <w:w w:val="110"/>
          <w:sz w:val="18"/>
        </w:rPr>
        <w:t> </w:t>
      </w:r>
      <w:r>
        <w:rPr>
          <w:rFonts w:ascii="Arial"/>
          <w:color w:val="231F20"/>
          <w:w w:val="110"/>
          <w:sz w:val="18"/>
        </w:rPr>
        <w:t>fired.</w:t>
      </w:r>
      <w:r>
        <w:rPr>
          <w:rFonts w:ascii="Arial"/>
          <w:color w:val="231F20"/>
          <w:spacing w:val="31"/>
          <w:w w:val="110"/>
          <w:sz w:val="18"/>
        </w:rPr>
        <w:t> </w:t>
      </w:r>
      <w:r>
        <w:rPr>
          <w:rFonts w:ascii="Arial"/>
          <w:color w:val="231F20"/>
          <w:w w:val="105"/>
          <w:sz w:val="18"/>
        </w:rPr>
        <w:t>&lt;p&gt;To</w:t>
      </w:r>
      <w:r>
        <w:rPr>
          <w:rFonts w:ascii="Arial"/>
          <w:color w:val="231F20"/>
          <w:spacing w:val="34"/>
          <w:w w:val="105"/>
          <w:sz w:val="18"/>
        </w:rPr>
        <w:t> </w:t>
      </w:r>
      <w:r>
        <w:rPr>
          <w:rFonts w:ascii="Arial"/>
          <w:color w:val="231F20"/>
          <w:w w:val="105"/>
          <w:sz w:val="18"/>
        </w:rPr>
        <w:t>learn</w:t>
      </w:r>
      <w:r>
        <w:rPr>
          <w:rFonts w:ascii="Arial"/>
          <w:color w:val="231F20"/>
          <w:spacing w:val="34"/>
          <w:w w:val="105"/>
          <w:sz w:val="18"/>
        </w:rPr>
        <w:t> </w:t>
      </w:r>
      <w:r>
        <w:rPr>
          <w:rFonts w:ascii="Arial"/>
          <w:color w:val="231F20"/>
          <w:w w:val="105"/>
          <w:sz w:val="18"/>
        </w:rPr>
        <w:t>more,</w:t>
      </w:r>
      <w:r>
        <w:rPr>
          <w:rFonts w:ascii="Arial"/>
          <w:color w:val="231F20"/>
          <w:spacing w:val="31"/>
          <w:w w:val="110"/>
          <w:sz w:val="18"/>
        </w:rPr>
        <w:t> </w:t>
      </w:r>
      <w:r>
        <w:rPr>
          <w:rFonts w:ascii="Arial"/>
          <w:color w:val="231F20"/>
          <w:w w:val="110"/>
          <w:sz w:val="18"/>
        </w:rPr>
        <w:t>click</w:t>
      </w:r>
      <w:r>
        <w:rPr>
          <w:rFonts w:ascii="Arial"/>
          <w:color w:val="231F20"/>
          <w:spacing w:val="31"/>
          <w:w w:val="110"/>
          <w:sz w:val="18"/>
        </w:rPr>
        <w:t> </w:t>
      </w:r>
      <w:r>
        <w:rPr>
          <w:rFonts w:ascii="Arial"/>
          <w:color w:val="231F20"/>
          <w:w w:val="105"/>
          <w:sz w:val="18"/>
        </w:rPr>
        <w:t>here:</w:t>
      </w:r>
    </w:p>
    <w:p>
      <w:pPr>
        <w:spacing w:line="230" w:lineRule="auto" w:before="2"/>
        <w:ind w:left="3130" w:right="1504" w:firstLine="0"/>
        <w:jc w:val="left"/>
        <w:rPr>
          <w:rFonts w:ascii="Arial"/>
          <w:sz w:val="18"/>
        </w:rPr>
      </w:pPr>
      <w:r>
        <w:rPr>
          <w:rFonts w:ascii="Arial"/>
          <w:color w:val="231F20"/>
          <w:sz w:val="18"/>
        </w:rPr>
        <w:t>&lt;a</w:t>
      </w:r>
      <w:r>
        <w:rPr>
          <w:rFonts w:ascii="Arial"/>
          <w:color w:val="231F20"/>
          <w:spacing w:val="40"/>
          <w:sz w:val="18"/>
        </w:rPr>
        <w:t> </w:t>
      </w:r>
      <w:hyperlink r:id="rId386">
        <w:r>
          <w:rPr>
            <w:rFonts w:ascii="Arial"/>
            <w:color w:val="231F20"/>
            <w:sz w:val="18"/>
          </w:rPr>
          <w:t>href=http://www.searchenginesite.com/search?q="+name+"&gt;</w:t>
        </w:r>
      </w:hyperlink>
      <w:r>
        <w:rPr>
          <w:rFonts w:ascii="Arial"/>
          <w:color w:val="231F20"/>
          <w:sz w:val="18"/>
        </w:rPr>
        <w:t> </w:t>
      </w:r>
      <w:r>
        <w:rPr>
          <w:rFonts w:ascii="Arial"/>
          <w:color w:val="231F20"/>
          <w:w w:val="105"/>
          <w:sz w:val="18"/>
        </w:rPr>
        <w:t>Tivoli</w:t>
      </w:r>
      <w:r>
        <w:rPr>
          <w:rFonts w:ascii="Arial"/>
          <w:color w:val="231F20"/>
          <w:spacing w:val="40"/>
          <w:w w:val="105"/>
          <w:sz w:val="18"/>
        </w:rPr>
        <w:t> </w:t>
      </w:r>
      <w:r>
        <w:rPr>
          <w:rFonts w:ascii="Arial"/>
          <w:color w:val="231F20"/>
          <w:w w:val="105"/>
          <w:sz w:val="18"/>
        </w:rPr>
        <w:t>Advice</w:t>
      </w:r>
      <w:r>
        <w:rPr>
          <w:rFonts w:ascii="Arial"/>
          <w:color w:val="231F20"/>
          <w:spacing w:val="40"/>
          <w:w w:val="105"/>
          <w:sz w:val="18"/>
        </w:rPr>
        <w:t> </w:t>
      </w:r>
      <w:r>
        <w:rPr>
          <w:rFonts w:ascii="Arial"/>
          <w:color w:val="231F20"/>
          <w:w w:val="105"/>
          <w:sz w:val="18"/>
        </w:rPr>
        <w:t>&lt;/a&gt;"</w:t>
      </w:r>
    </w:p>
    <w:p>
      <w:pPr>
        <w:pStyle w:val="BodyText"/>
        <w:spacing w:before="44"/>
        <w:rPr>
          <w:rFonts w:ascii="Arial"/>
          <w:sz w:val="18"/>
        </w:rPr>
      </w:pPr>
    </w:p>
    <w:p>
      <w:pPr>
        <w:pStyle w:val="BodyText"/>
        <w:spacing w:line="213" w:lineRule="auto"/>
        <w:ind w:left="2951" w:right="636"/>
      </w:pPr>
      <w:r>
        <w:rPr>
          <w:color w:val="231F20"/>
        </w:rPr>
        <w:t>As well as the situation name given in the previous example above, </w:t>
      </w:r>
      <w:r>
        <w:rPr>
          <w:color w:val="231F20"/>
        </w:rPr>
        <w:t>you can reference any other event attribute in the code:</w:t>
      </w:r>
    </w:p>
    <w:p>
      <w:pPr>
        <w:pStyle w:val="Heading6"/>
        <w:ind w:left="2951"/>
      </w:pPr>
      <w:r>
        <w:rPr>
          <w:color w:val="231F20"/>
        </w:rPr>
        <w:t>situation</w:t>
      </w:r>
      <w:r>
        <w:rPr>
          <w:color w:val="231F20"/>
          <w:spacing w:val="7"/>
        </w:rPr>
        <w:t> </w:t>
      </w:r>
      <w:r>
        <w:rPr>
          <w:color w:val="231F20"/>
          <w:spacing w:val="-4"/>
        </w:rPr>
        <w:t>name</w:t>
      </w:r>
    </w:p>
    <w:p>
      <w:pPr>
        <w:pStyle w:val="BodyText"/>
        <w:spacing w:line="258" w:lineRule="exact"/>
        <w:ind w:left="3669"/>
      </w:pPr>
      <w:r>
        <w:rPr>
          <w:color w:val="231F20"/>
          <w:spacing w:val="-2"/>
        </w:rPr>
        <w:t>$EVENT:ATTRIBUTE.ISITSTSH.SITNAME$</w:t>
      </w:r>
    </w:p>
    <w:p>
      <w:pPr>
        <w:pStyle w:val="Heading6"/>
        <w:spacing w:before="112"/>
        <w:ind w:left="2951"/>
      </w:pPr>
      <w:r>
        <w:rPr>
          <w:color w:val="231F20"/>
        </w:rPr>
        <w:t>monitoring</w:t>
      </w:r>
      <w:r>
        <w:rPr>
          <w:color w:val="231F20"/>
          <w:spacing w:val="8"/>
        </w:rPr>
        <w:t> </w:t>
      </w:r>
      <w:r>
        <w:rPr>
          <w:color w:val="231F20"/>
        </w:rPr>
        <w:t>server</w:t>
      </w:r>
      <w:r>
        <w:rPr>
          <w:color w:val="231F20"/>
          <w:spacing w:val="8"/>
        </w:rPr>
        <w:t> </w:t>
      </w:r>
      <w:r>
        <w:rPr>
          <w:color w:val="231F20"/>
          <w:spacing w:val="-4"/>
        </w:rPr>
        <w:t>name</w:t>
      </w:r>
    </w:p>
    <w:p>
      <w:pPr>
        <w:pStyle w:val="BodyText"/>
        <w:spacing w:line="258" w:lineRule="exact"/>
        <w:ind w:left="3669"/>
      </w:pPr>
      <w:r>
        <w:rPr>
          <w:color w:val="231F20"/>
          <w:spacing w:val="-2"/>
        </w:rPr>
        <w:t>$EVENT:ATTRIBUTE.ISITSTSH.NODE$</w:t>
      </w:r>
    </w:p>
    <w:p>
      <w:pPr>
        <w:pStyle w:val="Heading6"/>
        <w:spacing w:before="111"/>
        <w:ind w:left="2951"/>
      </w:pPr>
      <w:r>
        <w:rPr>
          <w:color w:val="231F20"/>
        </w:rPr>
        <w:t>managed</w:t>
      </w:r>
      <w:r>
        <w:rPr>
          <w:color w:val="231F20"/>
          <w:spacing w:val="8"/>
        </w:rPr>
        <w:t> </w:t>
      </w:r>
      <w:r>
        <w:rPr>
          <w:color w:val="231F20"/>
        </w:rPr>
        <w:t>system</w:t>
      </w:r>
      <w:r>
        <w:rPr>
          <w:color w:val="231F20"/>
          <w:spacing w:val="9"/>
        </w:rPr>
        <w:t> </w:t>
      </w:r>
      <w:r>
        <w:rPr>
          <w:color w:val="231F20"/>
          <w:spacing w:val="-4"/>
        </w:rPr>
        <w:t>name</w:t>
      </w:r>
    </w:p>
    <w:p>
      <w:pPr>
        <w:pStyle w:val="BodyText"/>
        <w:spacing w:line="258" w:lineRule="exact"/>
        <w:ind w:left="3669"/>
      </w:pPr>
      <w:r>
        <w:rPr>
          <w:color w:val="231F20"/>
          <w:spacing w:val="-2"/>
        </w:rPr>
        <w:t>$EVENT:ATTRIBUTE.ISITSTSH.ORIGINNODE$</w:t>
      </w:r>
    </w:p>
    <w:p>
      <w:pPr>
        <w:pStyle w:val="Heading6"/>
        <w:spacing w:before="111"/>
        <w:ind w:left="2951"/>
      </w:pPr>
      <w:r>
        <w:rPr>
          <w:color w:val="231F20"/>
        </w:rPr>
        <w:t>display</w:t>
      </w:r>
      <w:r>
        <w:rPr>
          <w:color w:val="231F20"/>
          <w:spacing w:val="9"/>
        </w:rPr>
        <w:t> </w:t>
      </w:r>
      <w:r>
        <w:rPr>
          <w:color w:val="231F20"/>
          <w:spacing w:val="-4"/>
        </w:rPr>
        <w:t>item</w:t>
      </w:r>
    </w:p>
    <w:p>
      <w:pPr>
        <w:pStyle w:val="BodyText"/>
        <w:spacing w:line="258" w:lineRule="exact"/>
        <w:ind w:left="3669"/>
      </w:pPr>
      <w:r>
        <w:rPr>
          <w:color w:val="231F20"/>
          <w:spacing w:val="-2"/>
        </w:rPr>
        <w:t>$EVENT:ATTRIBUTE.ISITSTSH.ATOMIZE$</w:t>
      </w:r>
    </w:p>
    <w:p>
      <w:pPr>
        <w:pStyle w:val="Heading6"/>
        <w:spacing w:before="111"/>
        <w:ind w:left="2951"/>
      </w:pPr>
      <w:r>
        <w:rPr>
          <w:color w:val="231F20"/>
        </w:rPr>
        <w:t>global</w:t>
      </w:r>
      <w:r>
        <w:rPr>
          <w:color w:val="231F20"/>
          <w:spacing w:val="10"/>
        </w:rPr>
        <w:t> </w:t>
      </w:r>
      <w:r>
        <w:rPr>
          <w:color w:val="231F20"/>
          <w:spacing w:val="-2"/>
        </w:rPr>
        <w:t>timestamp</w:t>
      </w:r>
    </w:p>
    <w:p>
      <w:pPr>
        <w:pStyle w:val="BodyText"/>
        <w:spacing w:line="258" w:lineRule="exact"/>
        <w:ind w:left="3669"/>
      </w:pPr>
      <w:r>
        <w:rPr>
          <w:color w:val="231F20"/>
          <w:spacing w:val="-2"/>
        </w:rPr>
        <w:t>$EVENT:ATTRIBUTE.ISITSTSH.GBLTMSTMP$</w:t>
      </w:r>
    </w:p>
    <w:p>
      <w:pPr>
        <w:spacing w:after="0" w:line="258" w:lineRule="exact"/>
        <w:sectPr>
          <w:pgSz w:w="12240" w:h="15840"/>
          <w:pgMar w:header="0" w:footer="736" w:top="1180" w:bottom="920" w:left="1000" w:right="1060"/>
        </w:sectPr>
      </w:pPr>
    </w:p>
    <w:p>
      <w:pPr>
        <w:pStyle w:val="Heading6"/>
        <w:spacing w:before="83"/>
        <w:ind w:left="3190"/>
      </w:pPr>
      <w:bookmarkStart w:name="_bookmark203" w:id="430"/>
      <w:bookmarkEnd w:id="430"/>
      <w:r>
        <w:rPr>
          <w:b w:val="0"/>
        </w:rPr>
      </w:r>
      <w:r>
        <w:rPr>
          <w:color w:val="231F20"/>
        </w:rPr>
        <w:t>local</w:t>
      </w:r>
      <w:r>
        <w:rPr>
          <w:color w:val="231F20"/>
          <w:spacing w:val="11"/>
        </w:rPr>
        <w:t> </w:t>
      </w:r>
      <w:r>
        <w:rPr>
          <w:color w:val="231F20"/>
          <w:spacing w:val="-2"/>
        </w:rPr>
        <w:t>timestamp</w:t>
      </w:r>
    </w:p>
    <w:p>
      <w:pPr>
        <w:pStyle w:val="BodyText"/>
        <w:spacing w:line="258" w:lineRule="exact"/>
        <w:ind w:right="2069"/>
        <w:jc w:val="right"/>
      </w:pPr>
      <w:r>
        <w:rPr>
          <w:color w:val="231F20"/>
          <w:spacing w:val="-2"/>
        </w:rPr>
        <w:t>$EVENT:ATTRIBUTE.ISITSTSH.LCLTMSTMP$</w:t>
      </w:r>
    </w:p>
    <w:p>
      <w:pPr>
        <w:pStyle w:val="BodyText"/>
        <w:spacing w:before="90"/>
        <w:ind w:right="2166"/>
        <w:jc w:val="right"/>
      </w:pPr>
      <w:r>
        <w:rPr>
          <w:rFonts w:ascii="Book Antiqua"/>
          <w:b/>
          <w:color w:val="231F20"/>
        </w:rPr>
        <w:t>status</w:t>
      </w:r>
      <w:r>
        <w:rPr>
          <w:rFonts w:ascii="Book Antiqua"/>
          <w:b/>
          <w:color w:val="231F20"/>
          <w:spacing w:val="40"/>
        </w:rPr>
        <w:t>  </w:t>
      </w:r>
      <w:r>
        <w:rPr>
          <w:color w:val="231F20"/>
          <w:spacing w:val="-2"/>
        </w:rPr>
        <w:t>$EVENT:ATTRIBUTE.ISITSTSH.DELTASTAT$</w:t>
      </w:r>
    </w:p>
    <w:p>
      <w:pPr>
        <w:pStyle w:val="Heading3"/>
        <w:spacing w:before="211"/>
        <w:ind w:left="0" w:right="5855"/>
        <w:jc w:val="right"/>
      </w:pPr>
      <w:bookmarkStart w:name="Specifying an action" w:id="431"/>
      <w:bookmarkEnd w:id="431"/>
      <w:r>
        <w:rPr>
          <w:b w:val="0"/>
        </w:rPr>
      </w:r>
      <w:r>
        <w:rPr>
          <w:color w:val="231F20"/>
        </w:rPr>
        <w:t>Specifying</w:t>
      </w:r>
      <w:r>
        <w:rPr>
          <w:color w:val="231F20"/>
          <w:spacing w:val="6"/>
        </w:rPr>
        <w:t> </w:t>
      </w:r>
      <w:r>
        <w:rPr>
          <w:color w:val="231F20"/>
        </w:rPr>
        <w:t>an</w:t>
      </w:r>
      <w:r>
        <w:rPr>
          <w:color w:val="231F20"/>
          <w:spacing w:val="6"/>
        </w:rPr>
        <w:t> </w:t>
      </w:r>
      <w:r>
        <w:rPr>
          <w:color w:val="231F20"/>
          <w:spacing w:val="-2"/>
        </w:rPr>
        <w:t>action</w:t>
      </w:r>
    </w:p>
    <w:p>
      <w:pPr>
        <w:pStyle w:val="BodyText"/>
        <w:spacing w:line="213" w:lineRule="auto" w:before="58"/>
        <w:ind w:left="2472" w:right="545"/>
      </w:pPr>
      <w:r>
        <w:rPr>
          <w:color w:val="231F20"/>
        </w:rPr>
        <w:t>Use the Situation editor </w:t>
      </w:r>
      <w:r>
        <w:rPr>
          <w:rFonts w:ascii="Book Antiqua"/>
          <w:b/>
          <w:color w:val="231F20"/>
        </w:rPr>
        <w:t>Action </w:t>
      </w:r>
      <w:r>
        <w:rPr>
          <w:color w:val="231F20"/>
        </w:rPr>
        <w:t>tab to send a command to a system or a </w:t>
      </w:r>
      <w:r>
        <w:rPr>
          <w:color w:val="231F20"/>
        </w:rPr>
        <w:t>message</w:t>
      </w:r>
      <w:r>
        <w:rPr>
          <w:color w:val="231F20"/>
          <w:spacing w:val="80"/>
        </w:rPr>
        <w:t> </w:t>
      </w:r>
      <w:r>
        <w:rPr>
          <w:color w:val="231F20"/>
        </w:rPr>
        <w:t>to the universal message console when the situation becomes true.</w:t>
      </w:r>
    </w:p>
    <w:p>
      <w:pPr>
        <w:pStyle w:val="BodyText"/>
        <w:spacing w:line="213" w:lineRule="auto" w:before="238"/>
        <w:ind w:left="2472"/>
      </w:pPr>
      <w:r>
        <w:rPr>
          <w:color w:val="231F20"/>
        </w:rPr>
        <w:t>You might want to log information, trigger an audible beep, or stop a job that is overusing resources.</w:t>
      </w:r>
    </w:p>
    <w:p>
      <w:pPr>
        <w:pStyle w:val="Heading4"/>
        <w:ind w:left="0" w:right="5949"/>
        <w:jc w:val="right"/>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184"/>
      </w:pPr>
      <w:r>
        <w:rPr>
          <w:color w:val="231F20"/>
        </w:rPr>
        <w:t>A take action command can be a single action or a script of many commands. The</w:t>
      </w:r>
      <w:r>
        <w:rPr>
          <w:color w:val="231F20"/>
          <w:spacing w:val="40"/>
        </w:rPr>
        <w:t> </w:t>
      </w:r>
      <w:r>
        <w:rPr>
          <w:color w:val="231F20"/>
        </w:rPr>
        <w:t>Tivoli Enterprise Portal Server receives no feedback after it sends the command or notifies the user. To issue a command, the user ID must be authorized on the</w:t>
      </w:r>
      <w:r>
        <w:rPr>
          <w:color w:val="231F20"/>
          <w:spacing w:val="40"/>
        </w:rPr>
        <w:t> </w:t>
      </w:r>
      <w:r>
        <w:rPr>
          <w:color w:val="231F20"/>
        </w:rPr>
        <w:t>relevant</w:t>
      </w:r>
      <w:r>
        <w:rPr>
          <w:color w:val="231F20"/>
          <w:spacing w:val="28"/>
        </w:rPr>
        <w:t> </w:t>
      </w:r>
      <w:r>
        <w:rPr>
          <w:color w:val="231F20"/>
        </w:rPr>
        <w:t>system</w:t>
      </w:r>
      <w:r>
        <w:rPr>
          <w:color w:val="231F20"/>
          <w:spacing w:val="28"/>
        </w:rPr>
        <w:t> </w:t>
      </w:r>
      <w:r>
        <w:rPr>
          <w:color w:val="231F20"/>
        </w:rPr>
        <w:t>for</w:t>
      </w:r>
      <w:r>
        <w:rPr>
          <w:color w:val="231F20"/>
          <w:spacing w:val="28"/>
        </w:rPr>
        <w:t> </w:t>
      </w:r>
      <w:r>
        <w:rPr>
          <w:color w:val="231F20"/>
        </w:rPr>
        <w:t>the</w:t>
      </w:r>
      <w:r>
        <w:rPr>
          <w:color w:val="231F20"/>
          <w:spacing w:val="28"/>
        </w:rPr>
        <w:t> </w:t>
      </w:r>
      <w:r>
        <w:rPr>
          <w:color w:val="231F20"/>
        </w:rPr>
        <w:t>requested</w:t>
      </w:r>
      <w:r>
        <w:rPr>
          <w:color w:val="231F20"/>
          <w:spacing w:val="28"/>
        </w:rPr>
        <w:t> </w:t>
      </w:r>
      <w:r>
        <w:rPr>
          <w:color w:val="231F20"/>
        </w:rPr>
        <w:t>command.</w:t>
      </w:r>
      <w:r>
        <w:rPr>
          <w:color w:val="231F20"/>
          <w:spacing w:val="28"/>
        </w:rPr>
        <w:t> </w:t>
      </w:r>
      <w:r>
        <w:rPr>
          <w:color w:val="231F20"/>
        </w:rPr>
        <w:t>For</w:t>
      </w:r>
      <w:r>
        <w:rPr>
          <w:color w:val="231F20"/>
          <w:spacing w:val="28"/>
        </w:rPr>
        <w:t> </w:t>
      </w:r>
      <w:r>
        <w:rPr>
          <w:color w:val="231F20"/>
        </w:rPr>
        <w:t>example,</w:t>
      </w:r>
      <w:r>
        <w:rPr>
          <w:color w:val="231F20"/>
          <w:spacing w:val="28"/>
        </w:rPr>
        <w:t> </w:t>
      </w:r>
      <w:r>
        <w:rPr>
          <w:color w:val="231F20"/>
        </w:rPr>
        <w:t>to</w:t>
      </w:r>
      <w:r>
        <w:rPr>
          <w:color w:val="231F20"/>
          <w:spacing w:val="28"/>
        </w:rPr>
        <w:t> </w:t>
      </w:r>
      <w:r>
        <w:rPr>
          <w:color w:val="231F20"/>
        </w:rPr>
        <w:t>issue</w:t>
      </w:r>
      <w:r>
        <w:rPr>
          <w:color w:val="231F20"/>
          <w:spacing w:val="28"/>
        </w:rPr>
        <w:t> </w:t>
      </w:r>
      <w:r>
        <w:rPr>
          <w:color w:val="231F20"/>
        </w:rPr>
        <w:t>a</w:t>
      </w:r>
      <w:r>
        <w:rPr>
          <w:color w:val="231F20"/>
          <w:spacing w:val="28"/>
        </w:rPr>
        <w:t> </w:t>
      </w:r>
      <w:r>
        <w:rPr>
          <w:color w:val="231F20"/>
        </w:rPr>
        <w:t>TSO command,</w:t>
      </w:r>
      <w:r>
        <w:rPr>
          <w:color w:val="231F20"/>
          <w:spacing w:val="16"/>
        </w:rPr>
        <w:t> </w:t>
      </w:r>
      <w:r>
        <w:rPr>
          <w:color w:val="231F20"/>
        </w:rPr>
        <w:t>your</w:t>
      </w:r>
      <w:r>
        <w:rPr>
          <w:color w:val="231F20"/>
          <w:spacing w:val="16"/>
        </w:rPr>
        <w:t> </w:t>
      </w:r>
      <w:r>
        <w:rPr>
          <w:color w:val="231F20"/>
        </w:rPr>
        <w:t>user</w:t>
      </w:r>
      <w:r>
        <w:rPr>
          <w:color w:val="231F20"/>
          <w:spacing w:val="16"/>
        </w:rPr>
        <w:t> </w:t>
      </w:r>
      <w:r>
        <w:rPr>
          <w:color w:val="231F20"/>
        </w:rPr>
        <w:t>ID</w:t>
      </w:r>
      <w:r>
        <w:rPr>
          <w:color w:val="231F20"/>
          <w:spacing w:val="16"/>
        </w:rPr>
        <w:t> </w:t>
      </w:r>
      <w:r>
        <w:rPr>
          <w:color w:val="231F20"/>
        </w:rPr>
        <w:t>must</w:t>
      </w:r>
      <w:r>
        <w:rPr>
          <w:color w:val="231F20"/>
          <w:spacing w:val="16"/>
        </w:rPr>
        <w:t> </w:t>
      </w:r>
      <w:r>
        <w:rPr>
          <w:color w:val="231F20"/>
        </w:rPr>
        <w:t>be</w:t>
      </w:r>
      <w:r>
        <w:rPr>
          <w:color w:val="231F20"/>
          <w:spacing w:val="16"/>
        </w:rPr>
        <w:t> </w:t>
      </w:r>
      <w:r>
        <w:rPr>
          <w:color w:val="231F20"/>
        </w:rPr>
        <w:t>a</w:t>
      </w:r>
      <w:r>
        <w:rPr>
          <w:color w:val="231F20"/>
          <w:spacing w:val="16"/>
        </w:rPr>
        <w:t> </w:t>
      </w:r>
      <w:r>
        <w:rPr>
          <w:color w:val="231F20"/>
        </w:rPr>
        <w:t>valid</w:t>
      </w:r>
      <w:r>
        <w:rPr>
          <w:color w:val="231F20"/>
          <w:spacing w:val="16"/>
        </w:rPr>
        <w:t> </w:t>
      </w:r>
      <w:r>
        <w:rPr>
          <w:color w:val="231F20"/>
        </w:rPr>
        <w:t>TSO</w:t>
      </w:r>
      <w:r>
        <w:rPr>
          <w:color w:val="231F20"/>
          <w:spacing w:val="16"/>
        </w:rPr>
        <w:t> </w:t>
      </w:r>
      <w:r>
        <w:rPr>
          <w:color w:val="231F20"/>
        </w:rPr>
        <w:t>ID.</w:t>
      </w:r>
      <w:r>
        <w:rPr>
          <w:color w:val="231F20"/>
          <w:spacing w:val="16"/>
        </w:rPr>
        <w:t> </w:t>
      </w:r>
      <w:r>
        <w:rPr>
          <w:color w:val="231F20"/>
        </w:rPr>
        <w:t>The</w:t>
      </w:r>
      <w:r>
        <w:rPr>
          <w:color w:val="231F20"/>
          <w:spacing w:val="16"/>
        </w:rPr>
        <w:t> </w:t>
      </w:r>
      <w:r>
        <w:rPr>
          <w:color w:val="231F20"/>
        </w:rPr>
        <w:t>user</w:t>
      </w:r>
      <w:r>
        <w:rPr>
          <w:color w:val="231F20"/>
          <w:spacing w:val="16"/>
        </w:rPr>
        <w:t> </w:t>
      </w:r>
      <w:r>
        <w:rPr>
          <w:color w:val="231F20"/>
        </w:rPr>
        <w:t>ID</w:t>
      </w:r>
      <w:r>
        <w:rPr>
          <w:color w:val="231F20"/>
          <w:spacing w:val="16"/>
        </w:rPr>
        <w:t> </w:t>
      </w:r>
      <w:r>
        <w:rPr>
          <w:color w:val="231F20"/>
        </w:rPr>
        <w:t>must</w:t>
      </w:r>
      <w:r>
        <w:rPr>
          <w:color w:val="231F20"/>
          <w:spacing w:val="16"/>
        </w:rPr>
        <w:t> </w:t>
      </w:r>
      <w:r>
        <w:rPr>
          <w:color w:val="231F20"/>
        </w:rPr>
        <w:t>also</w:t>
      </w:r>
      <w:r>
        <w:rPr>
          <w:color w:val="231F20"/>
          <w:spacing w:val="16"/>
        </w:rPr>
        <w:t> </w:t>
      </w:r>
      <w:r>
        <w:rPr>
          <w:color w:val="231F20"/>
        </w:rPr>
        <w:t>be</w:t>
      </w:r>
      <w:r>
        <w:rPr>
          <w:color w:val="231F20"/>
          <w:spacing w:val="16"/>
        </w:rPr>
        <w:t> </w:t>
      </w:r>
      <w:r>
        <w:rPr>
          <w:color w:val="231F20"/>
        </w:rPr>
        <w:t>defined as a valid logon ID for the Tivoli Enterprise Portal Server. If an application prefix is used (such as MQ:), then the portal server logon ID will be used. However, for system level commands, the authorization of the monitoring agent will be used.</w:t>
      </w:r>
    </w:p>
    <w:p>
      <w:pPr>
        <w:pStyle w:val="BodyText"/>
        <w:spacing w:before="211"/>
        <w:ind w:left="2472"/>
      </w:pPr>
      <w:r>
        <w:rPr>
          <w:rFonts w:ascii="Book Antiqua"/>
          <w:b/>
          <w:color w:val="231F20"/>
        </w:rPr>
        <w:t>Note:</w:t>
      </w:r>
      <w:r>
        <w:rPr>
          <w:rFonts w:ascii="Book Antiqua"/>
          <w:b/>
          <w:color w:val="231F20"/>
          <w:spacing w:val="43"/>
        </w:rPr>
        <w:t> </w:t>
      </w:r>
      <w:r>
        <w:rPr>
          <w:color w:val="231F20"/>
        </w:rPr>
        <w:t>The</w:t>
      </w:r>
      <w:r>
        <w:rPr>
          <w:color w:val="231F20"/>
          <w:spacing w:val="13"/>
        </w:rPr>
        <w:t> </w:t>
      </w:r>
      <w:r>
        <w:rPr>
          <w:color w:val="231F20"/>
        </w:rPr>
        <w:t>action</w:t>
      </w:r>
      <w:r>
        <w:rPr>
          <w:color w:val="231F20"/>
          <w:spacing w:val="13"/>
        </w:rPr>
        <w:t> </w:t>
      </w:r>
      <w:r>
        <w:rPr>
          <w:color w:val="231F20"/>
        </w:rPr>
        <w:t>will</w:t>
      </w:r>
      <w:r>
        <w:rPr>
          <w:color w:val="231F20"/>
          <w:spacing w:val="12"/>
        </w:rPr>
        <w:t> </w:t>
      </w:r>
      <w:r>
        <w:rPr>
          <w:color w:val="231F20"/>
        </w:rPr>
        <w:t>not</w:t>
      </w:r>
      <w:r>
        <w:rPr>
          <w:color w:val="231F20"/>
          <w:spacing w:val="13"/>
        </w:rPr>
        <w:t> </w:t>
      </w:r>
      <w:r>
        <w:rPr>
          <w:color w:val="231F20"/>
        </w:rPr>
        <w:t>be</w:t>
      </w:r>
      <w:r>
        <w:rPr>
          <w:color w:val="231F20"/>
          <w:spacing w:val="12"/>
        </w:rPr>
        <w:t> </w:t>
      </w:r>
      <w:r>
        <w:rPr>
          <w:color w:val="231F20"/>
        </w:rPr>
        <w:t>invoked</w:t>
      </w:r>
      <w:r>
        <w:rPr>
          <w:color w:val="231F20"/>
          <w:spacing w:val="13"/>
        </w:rPr>
        <w:t> </w:t>
      </w:r>
      <w:r>
        <w:rPr>
          <w:color w:val="231F20"/>
        </w:rPr>
        <w:t>if</w:t>
      </w:r>
      <w:r>
        <w:rPr>
          <w:color w:val="231F20"/>
          <w:spacing w:val="12"/>
        </w:rPr>
        <w:t> </w:t>
      </w:r>
      <w:r>
        <w:rPr>
          <w:color w:val="231F20"/>
        </w:rPr>
        <w:t>the</w:t>
      </w:r>
      <w:r>
        <w:rPr>
          <w:color w:val="231F20"/>
          <w:spacing w:val="13"/>
        </w:rPr>
        <w:t> </w:t>
      </w:r>
      <w:r>
        <w:rPr>
          <w:color w:val="231F20"/>
        </w:rPr>
        <w:t>situation</w:t>
      </w:r>
      <w:r>
        <w:rPr>
          <w:color w:val="231F20"/>
          <w:spacing w:val="13"/>
        </w:rPr>
        <w:t> </w:t>
      </w:r>
      <w:r>
        <w:rPr>
          <w:color w:val="231F20"/>
        </w:rPr>
        <w:t>is</w:t>
      </w:r>
      <w:r>
        <w:rPr>
          <w:color w:val="231F20"/>
          <w:spacing w:val="12"/>
        </w:rPr>
        <w:t> </w:t>
      </w:r>
      <w:r>
        <w:rPr>
          <w:color w:val="231F20"/>
        </w:rPr>
        <w:t>used</w:t>
      </w:r>
      <w:r>
        <w:rPr>
          <w:color w:val="231F20"/>
          <w:spacing w:val="13"/>
        </w:rPr>
        <w:t> </w:t>
      </w:r>
      <w:r>
        <w:rPr>
          <w:color w:val="231F20"/>
        </w:rPr>
        <w:t>in</w:t>
      </w:r>
      <w:r>
        <w:rPr>
          <w:color w:val="231F20"/>
          <w:spacing w:val="12"/>
        </w:rPr>
        <w:t> </w:t>
      </w:r>
      <w:r>
        <w:rPr>
          <w:color w:val="231F20"/>
        </w:rPr>
        <w:t>a</w:t>
      </w:r>
      <w:r>
        <w:rPr>
          <w:color w:val="231F20"/>
          <w:spacing w:val="13"/>
        </w:rPr>
        <w:t> </w:t>
      </w:r>
      <w:r>
        <w:rPr>
          <w:color w:val="231F20"/>
          <w:spacing w:val="-2"/>
        </w:rPr>
        <w:t>policy.</w:t>
      </w:r>
    </w:p>
    <w:p>
      <w:pPr>
        <w:pStyle w:val="Heading4"/>
        <w:spacing w:before="194"/>
        <w:ind w:left="2472"/>
      </w:pPr>
      <w:r>
        <w:rPr>
          <w:color w:val="231F20"/>
          <w:spacing w:val="-2"/>
        </w:rPr>
        <w:t>Procedure</w:t>
      </w:r>
    </w:p>
    <w:p>
      <w:pPr>
        <w:pStyle w:val="ListParagraph"/>
        <w:numPr>
          <w:ilvl w:val="0"/>
          <w:numId w:val="120"/>
        </w:numPr>
        <w:tabs>
          <w:tab w:pos="2788" w:val="left" w:leader="none"/>
        </w:tabs>
        <w:spacing w:line="213" w:lineRule="auto" w:before="62" w:after="0"/>
        <w:ind w:left="2788" w:right="610" w:hanging="316"/>
        <w:jc w:val="left"/>
        <w:rPr>
          <w:sz w:val="20"/>
        </w:rPr>
      </w:pPr>
      <w:r>
        <w:rPr>
          <w:color w:val="231F20"/>
          <w:sz w:val="20"/>
        </w:rPr>
        <w:t>In the Situation editor, click the </w:t>
      </w:r>
      <w:r>
        <w:rPr>
          <w:rFonts w:ascii="Book Antiqua"/>
          <w:b/>
          <w:color w:val="231F20"/>
          <w:sz w:val="20"/>
        </w:rPr>
        <w:t>Action </w:t>
      </w:r>
      <w:r>
        <w:rPr>
          <w:color w:val="231F20"/>
          <w:sz w:val="20"/>
        </w:rPr>
        <w:t>tab. If it is not already, open the situation editor and select the situation to which you want to specify </w:t>
      </w:r>
      <w:r>
        <w:rPr>
          <w:color w:val="231F20"/>
          <w:sz w:val="20"/>
        </w:rPr>
        <w:t>reflex </w:t>
      </w:r>
      <w:r>
        <w:rPr>
          <w:color w:val="231F20"/>
          <w:spacing w:val="-2"/>
          <w:sz w:val="20"/>
        </w:rPr>
        <w:t>automation.</w:t>
      </w:r>
    </w:p>
    <w:p>
      <w:pPr>
        <w:pStyle w:val="ListParagraph"/>
        <w:numPr>
          <w:ilvl w:val="0"/>
          <w:numId w:val="120"/>
        </w:numPr>
        <w:tabs>
          <w:tab w:pos="2788" w:val="left" w:leader="none"/>
        </w:tabs>
        <w:spacing w:line="213" w:lineRule="auto" w:before="58" w:after="0"/>
        <w:ind w:left="2788" w:right="696" w:hanging="316"/>
        <w:jc w:val="left"/>
        <w:rPr>
          <w:sz w:val="20"/>
        </w:rPr>
      </w:pPr>
      <w:r>
        <w:rPr>
          <w:color w:val="231F20"/>
          <w:sz w:val="20"/>
        </w:rPr>
        <w:t>Select the type of action you want to take: System Command or </w:t>
      </w:r>
      <w:r>
        <w:rPr>
          <w:color w:val="231F20"/>
          <w:sz w:val="20"/>
        </w:rPr>
        <w:t>Universal </w:t>
      </w:r>
      <w:r>
        <w:rPr>
          <w:color w:val="231F20"/>
          <w:spacing w:val="-2"/>
          <w:sz w:val="20"/>
        </w:rPr>
        <w:t>Message.</w:t>
      </w:r>
    </w:p>
    <w:p>
      <w:pPr>
        <w:pStyle w:val="ListParagraph"/>
        <w:numPr>
          <w:ilvl w:val="0"/>
          <w:numId w:val="120"/>
        </w:numPr>
        <w:tabs>
          <w:tab w:pos="2787" w:val="left" w:leader="none"/>
        </w:tabs>
        <w:spacing w:line="240" w:lineRule="auto" w:before="35" w:after="0"/>
        <w:ind w:left="2787" w:right="0" w:hanging="315"/>
        <w:jc w:val="left"/>
        <w:rPr>
          <w:sz w:val="20"/>
        </w:rPr>
      </w:pPr>
      <w:r>
        <w:rPr>
          <w:color w:val="231F20"/>
          <w:sz w:val="20"/>
        </w:rPr>
        <w:t>Specify</w:t>
      </w:r>
      <w:r>
        <w:rPr>
          <w:color w:val="231F20"/>
          <w:spacing w:val="11"/>
          <w:sz w:val="20"/>
        </w:rPr>
        <w:t> </w:t>
      </w:r>
      <w:r>
        <w:rPr>
          <w:color w:val="231F20"/>
          <w:sz w:val="20"/>
        </w:rPr>
        <w:t>the</w:t>
      </w:r>
      <w:r>
        <w:rPr>
          <w:color w:val="231F20"/>
          <w:spacing w:val="11"/>
          <w:sz w:val="20"/>
        </w:rPr>
        <w:t> </w:t>
      </w:r>
      <w:r>
        <w:rPr>
          <w:color w:val="231F20"/>
          <w:sz w:val="20"/>
        </w:rPr>
        <w:t>command</w:t>
      </w:r>
      <w:r>
        <w:rPr>
          <w:color w:val="231F20"/>
          <w:spacing w:val="11"/>
          <w:sz w:val="20"/>
        </w:rPr>
        <w:t> </w:t>
      </w:r>
      <w:r>
        <w:rPr>
          <w:color w:val="231F20"/>
          <w:sz w:val="20"/>
        </w:rPr>
        <w:t>or</w:t>
      </w:r>
      <w:r>
        <w:rPr>
          <w:color w:val="231F20"/>
          <w:spacing w:val="10"/>
          <w:sz w:val="20"/>
        </w:rPr>
        <w:t> </w:t>
      </w:r>
      <w:r>
        <w:rPr>
          <w:color w:val="231F20"/>
          <w:spacing w:val="-2"/>
          <w:sz w:val="20"/>
        </w:rPr>
        <w:t>message.</w:t>
      </w:r>
    </w:p>
    <w:p>
      <w:pPr>
        <w:pStyle w:val="BodyText"/>
        <w:spacing w:line="213" w:lineRule="auto" w:before="53"/>
        <w:ind w:left="3004" w:right="274" w:hanging="216"/>
      </w:pPr>
      <w:r>
        <w:rPr>
          <w:rFonts w:ascii="Futura MdCn BT"/>
          <w:color w:val="231F20"/>
        </w:rPr>
        <w:t>v</w:t>
      </w:r>
      <w:r>
        <w:rPr>
          <w:rFonts w:ascii="Futura MdCn BT"/>
          <w:color w:val="231F20"/>
          <w:spacing w:val="80"/>
        </w:rPr>
        <w:t> </w:t>
      </w:r>
      <w:r>
        <w:rPr>
          <w:color w:val="231F20"/>
        </w:rPr>
        <w:t>For a system command, write the command exactly as you would enter it</w:t>
      </w:r>
      <w:r>
        <w:rPr>
          <w:color w:val="231F20"/>
          <w:spacing w:val="40"/>
        </w:rPr>
        <w:t> </w:t>
      </w:r>
      <w:r>
        <w:rPr>
          <w:color w:val="231F20"/>
        </w:rPr>
        <w:t>manually for the application and operating platform on which it is </w:t>
      </w:r>
      <w:r>
        <w:rPr>
          <w:color w:val="231F20"/>
        </w:rPr>
        <w:t>running.</w:t>
      </w:r>
    </w:p>
    <w:p>
      <w:pPr>
        <w:pStyle w:val="BodyText"/>
        <w:spacing w:line="213" w:lineRule="auto" w:before="58"/>
        <w:ind w:left="3004" w:right="385" w:hanging="216"/>
      </w:pPr>
      <w:r>
        <w:rPr>
          <w:rFonts w:ascii="Futura MdCn BT"/>
          <w:color w:val="231F20"/>
        </w:rPr>
        <w:t>v</w:t>
      </w:r>
      <w:r>
        <w:rPr>
          <w:rFonts w:ascii="Futura MdCn BT"/>
          <w:color w:val="231F20"/>
          <w:spacing w:val="80"/>
        </w:rPr>
        <w:t> </w:t>
      </w:r>
      <w:r>
        <w:rPr>
          <w:color w:val="231F20"/>
        </w:rPr>
        <w:t>For a universal message, write the category, severity and the text to </w:t>
      </w:r>
      <w:r>
        <w:rPr>
          <w:color w:val="231F20"/>
        </w:rPr>
        <w:t>display</w:t>
      </w:r>
      <w:r>
        <w:rPr>
          <w:color w:val="231F20"/>
          <w:spacing w:val="40"/>
        </w:rPr>
        <w:t> </w:t>
      </w:r>
      <w:r>
        <w:rPr>
          <w:color w:val="231F20"/>
        </w:rPr>
        <w:t>in the Universal message console view.</w:t>
      </w:r>
    </w:p>
    <w:p>
      <w:pPr>
        <w:pStyle w:val="ListParagraph"/>
        <w:numPr>
          <w:ilvl w:val="0"/>
          <w:numId w:val="121"/>
        </w:numPr>
        <w:tabs>
          <w:tab w:pos="3251" w:val="left" w:leader="none"/>
          <w:tab w:pos="3253" w:val="left" w:leader="none"/>
        </w:tabs>
        <w:spacing w:line="213" w:lineRule="auto" w:before="59" w:after="0"/>
        <w:ind w:left="3253" w:right="328" w:hanging="250"/>
        <w:jc w:val="left"/>
        <w:rPr>
          <w:sz w:val="20"/>
        </w:rPr>
      </w:pPr>
      <w:r>
        <w:rPr>
          <w:color w:val="231F20"/>
          <w:sz w:val="20"/>
        </w:rPr>
        <w:t>Category of messages to see (for example, critical, warning, </w:t>
      </w:r>
      <w:r>
        <w:rPr>
          <w:color w:val="231F20"/>
          <w:sz w:val="20"/>
        </w:rPr>
        <w:t>information), up to 16 characters.</w:t>
      </w:r>
    </w:p>
    <w:p>
      <w:pPr>
        <w:pStyle w:val="ListParagraph"/>
        <w:numPr>
          <w:ilvl w:val="0"/>
          <w:numId w:val="121"/>
        </w:numPr>
        <w:tabs>
          <w:tab w:pos="3252" w:val="left" w:leader="none"/>
        </w:tabs>
        <w:spacing w:line="240" w:lineRule="auto" w:before="35" w:after="0"/>
        <w:ind w:left="3252" w:right="0" w:hanging="248"/>
        <w:jc w:val="left"/>
        <w:rPr>
          <w:sz w:val="20"/>
        </w:rPr>
      </w:pPr>
      <w:r>
        <w:rPr>
          <w:color w:val="231F20"/>
          <w:sz w:val="20"/>
        </w:rPr>
        <w:t>Severity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message,</w:t>
      </w:r>
      <w:r>
        <w:rPr>
          <w:color w:val="231F20"/>
          <w:spacing w:val="12"/>
          <w:sz w:val="20"/>
        </w:rPr>
        <w:t> </w:t>
      </w:r>
      <w:r>
        <w:rPr>
          <w:color w:val="231F20"/>
          <w:sz w:val="20"/>
        </w:rPr>
        <w:t>one</w:t>
      </w:r>
      <w:r>
        <w:rPr>
          <w:color w:val="231F20"/>
          <w:spacing w:val="13"/>
          <w:sz w:val="20"/>
        </w:rPr>
        <w:t> </w:t>
      </w:r>
      <w:r>
        <w:rPr>
          <w:color w:val="231F20"/>
          <w:sz w:val="20"/>
        </w:rPr>
        <w:t>word</w:t>
      </w:r>
      <w:r>
        <w:rPr>
          <w:color w:val="231F20"/>
          <w:spacing w:val="12"/>
          <w:sz w:val="20"/>
        </w:rPr>
        <w:t> </w:t>
      </w:r>
      <w:r>
        <w:rPr>
          <w:color w:val="231F20"/>
          <w:sz w:val="20"/>
        </w:rPr>
        <w:t>of</w:t>
      </w:r>
      <w:r>
        <w:rPr>
          <w:color w:val="231F20"/>
          <w:spacing w:val="12"/>
          <w:sz w:val="20"/>
        </w:rPr>
        <w:t> </w:t>
      </w:r>
      <w:r>
        <w:rPr>
          <w:color w:val="231F20"/>
          <w:sz w:val="20"/>
        </w:rPr>
        <w:t>up</w:t>
      </w:r>
      <w:r>
        <w:rPr>
          <w:color w:val="231F20"/>
          <w:spacing w:val="12"/>
          <w:sz w:val="20"/>
        </w:rPr>
        <w:t> </w:t>
      </w:r>
      <w:r>
        <w:rPr>
          <w:color w:val="231F20"/>
          <w:sz w:val="20"/>
        </w:rPr>
        <w:t>to</w:t>
      </w:r>
      <w:r>
        <w:rPr>
          <w:color w:val="231F20"/>
          <w:spacing w:val="12"/>
          <w:sz w:val="20"/>
        </w:rPr>
        <w:t> </w:t>
      </w:r>
      <w:r>
        <w:rPr>
          <w:color w:val="231F20"/>
          <w:sz w:val="20"/>
        </w:rPr>
        <w:t>8</w:t>
      </w:r>
      <w:r>
        <w:rPr>
          <w:color w:val="231F20"/>
          <w:spacing w:val="13"/>
          <w:sz w:val="20"/>
        </w:rPr>
        <w:t> </w:t>
      </w:r>
      <w:r>
        <w:rPr>
          <w:color w:val="231F20"/>
          <w:sz w:val="20"/>
        </w:rPr>
        <w:t>characters,</w:t>
      </w:r>
      <w:r>
        <w:rPr>
          <w:color w:val="231F20"/>
          <w:spacing w:val="12"/>
          <w:sz w:val="20"/>
        </w:rPr>
        <w:t> </w:t>
      </w:r>
      <w:r>
        <w:rPr>
          <w:color w:val="231F20"/>
          <w:sz w:val="20"/>
        </w:rPr>
        <w:t>such</w:t>
      </w:r>
      <w:r>
        <w:rPr>
          <w:color w:val="231F20"/>
          <w:spacing w:val="12"/>
          <w:sz w:val="20"/>
        </w:rPr>
        <w:t> </w:t>
      </w:r>
      <w:r>
        <w:rPr>
          <w:color w:val="231F20"/>
          <w:sz w:val="20"/>
        </w:rPr>
        <w:t>as</w:t>
      </w:r>
      <w:r>
        <w:rPr>
          <w:color w:val="231F20"/>
          <w:spacing w:val="12"/>
          <w:sz w:val="20"/>
        </w:rPr>
        <w:t> </w:t>
      </w:r>
      <w:r>
        <w:rPr>
          <w:rFonts w:ascii="Book Antiqua" w:hAnsi="Book Antiqua"/>
          <w:b/>
          <w:color w:val="231F20"/>
          <w:sz w:val="20"/>
        </w:rPr>
        <w:t>1</w:t>
      </w:r>
      <w:r>
        <w:rPr>
          <w:rFonts w:ascii="Book Antiqua" w:hAnsi="Book Antiqua"/>
          <w:b/>
          <w:color w:val="231F20"/>
          <w:spacing w:val="12"/>
          <w:sz w:val="20"/>
        </w:rPr>
        <w:t> </w:t>
      </w:r>
      <w:r>
        <w:rPr>
          <w:color w:val="231F20"/>
          <w:sz w:val="20"/>
        </w:rPr>
        <w:t>or</w:t>
      </w:r>
      <w:r>
        <w:rPr>
          <w:color w:val="231F20"/>
          <w:spacing w:val="13"/>
          <w:sz w:val="20"/>
        </w:rPr>
        <w:t> </w:t>
      </w:r>
      <w:r>
        <w:rPr>
          <w:rFonts w:ascii="Book Antiqua" w:hAnsi="Book Antiqua"/>
          <w:b/>
          <w:color w:val="231F20"/>
          <w:spacing w:val="-2"/>
          <w:sz w:val="20"/>
        </w:rPr>
        <w:t>high</w:t>
      </w:r>
      <w:r>
        <w:rPr>
          <w:color w:val="231F20"/>
          <w:spacing w:val="-2"/>
          <w:sz w:val="20"/>
        </w:rPr>
        <w:t>.</w:t>
      </w:r>
    </w:p>
    <w:p>
      <w:pPr>
        <w:pStyle w:val="ListParagraph"/>
        <w:numPr>
          <w:ilvl w:val="0"/>
          <w:numId w:val="121"/>
        </w:numPr>
        <w:tabs>
          <w:tab w:pos="3252" w:val="left" w:leader="none"/>
        </w:tabs>
        <w:spacing w:line="240" w:lineRule="auto" w:before="30" w:after="0"/>
        <w:ind w:left="3252" w:right="0" w:hanging="248"/>
        <w:jc w:val="left"/>
        <w:rPr>
          <w:sz w:val="20"/>
        </w:rPr>
      </w:pPr>
      <w:r>
        <w:rPr>
          <w:color w:val="231F20"/>
          <w:sz w:val="20"/>
        </w:rPr>
        <w:t>Message</w:t>
      </w:r>
      <w:r>
        <w:rPr>
          <w:color w:val="231F20"/>
          <w:spacing w:val="11"/>
          <w:sz w:val="20"/>
        </w:rPr>
        <w:t> </w:t>
      </w:r>
      <w:r>
        <w:rPr>
          <w:color w:val="231F20"/>
          <w:sz w:val="20"/>
        </w:rPr>
        <w:t>text</w:t>
      </w:r>
      <w:r>
        <w:rPr>
          <w:color w:val="231F20"/>
          <w:spacing w:val="12"/>
          <w:sz w:val="20"/>
        </w:rPr>
        <w:t> </w:t>
      </w:r>
      <w:r>
        <w:rPr>
          <w:color w:val="231F20"/>
          <w:sz w:val="20"/>
        </w:rPr>
        <w:t>when</w:t>
      </w:r>
      <w:r>
        <w:rPr>
          <w:color w:val="231F20"/>
          <w:spacing w:val="11"/>
          <w:sz w:val="20"/>
        </w:rPr>
        <w:t> </w:t>
      </w:r>
      <w:r>
        <w:rPr>
          <w:color w:val="231F20"/>
          <w:sz w:val="20"/>
        </w:rPr>
        <w:t>the</w:t>
      </w:r>
      <w:r>
        <w:rPr>
          <w:color w:val="231F20"/>
          <w:spacing w:val="12"/>
          <w:sz w:val="20"/>
        </w:rPr>
        <w:t> </w:t>
      </w:r>
      <w:r>
        <w:rPr>
          <w:color w:val="231F20"/>
          <w:sz w:val="20"/>
        </w:rPr>
        <w:t>situation</w:t>
      </w:r>
      <w:r>
        <w:rPr>
          <w:color w:val="231F20"/>
          <w:spacing w:val="11"/>
          <w:sz w:val="20"/>
        </w:rPr>
        <w:t> </w:t>
      </w:r>
      <w:r>
        <w:rPr>
          <w:color w:val="231F20"/>
          <w:sz w:val="20"/>
        </w:rPr>
        <w:t>occurs,</w:t>
      </w:r>
      <w:r>
        <w:rPr>
          <w:color w:val="231F20"/>
          <w:spacing w:val="12"/>
          <w:sz w:val="20"/>
        </w:rPr>
        <w:t> </w:t>
      </w:r>
      <w:r>
        <w:rPr>
          <w:color w:val="231F20"/>
          <w:sz w:val="20"/>
        </w:rPr>
        <w:t>up</w:t>
      </w:r>
      <w:r>
        <w:rPr>
          <w:color w:val="231F20"/>
          <w:spacing w:val="12"/>
          <w:sz w:val="20"/>
        </w:rPr>
        <w:t> </w:t>
      </w:r>
      <w:r>
        <w:rPr>
          <w:color w:val="231F20"/>
          <w:sz w:val="20"/>
        </w:rPr>
        <w:t>to</w:t>
      </w:r>
      <w:r>
        <w:rPr>
          <w:color w:val="231F20"/>
          <w:spacing w:val="11"/>
          <w:sz w:val="20"/>
        </w:rPr>
        <w:t> </w:t>
      </w:r>
      <w:r>
        <w:rPr>
          <w:color w:val="231F20"/>
          <w:sz w:val="20"/>
        </w:rPr>
        <w:t>256</w:t>
      </w:r>
      <w:r>
        <w:rPr>
          <w:color w:val="231F20"/>
          <w:spacing w:val="12"/>
          <w:sz w:val="20"/>
        </w:rPr>
        <w:t> </w:t>
      </w:r>
      <w:r>
        <w:rPr>
          <w:color w:val="231F20"/>
          <w:spacing w:val="-2"/>
          <w:sz w:val="20"/>
        </w:rPr>
        <w:t>characters.</w:t>
      </w:r>
    </w:p>
    <w:p>
      <w:pPr>
        <w:pStyle w:val="BodyText"/>
        <w:spacing w:line="213" w:lineRule="auto" w:before="53"/>
        <w:ind w:left="2788"/>
      </w:pPr>
      <w:r>
        <w:rPr>
          <w:rFonts w:ascii="Book Antiqua"/>
          <w:b/>
          <w:color w:val="231F20"/>
        </w:rPr>
        <w:t>Attribute Substitution </w:t>
      </w:r>
      <w:r>
        <w:rPr>
          <w:color w:val="231F20"/>
        </w:rPr>
        <w:t>opens a window for choosing an attribute. The </w:t>
      </w:r>
      <w:r>
        <w:rPr>
          <w:color w:val="231F20"/>
        </w:rPr>
        <w:t>attribute name is replaced by the actual value during execution of the action command. </w:t>
      </w:r>
      <w:r>
        <w:rPr>
          <w:color w:val="231F20"/>
          <w:spacing w:val="-2"/>
        </w:rPr>
        <w:t>Example:</w:t>
      </w:r>
    </w:p>
    <w:p>
      <w:pPr>
        <w:spacing w:line="230" w:lineRule="auto" w:before="67"/>
        <w:ind w:left="2967" w:right="545" w:hanging="180"/>
        <w:jc w:val="left"/>
        <w:rPr>
          <w:rFonts w:ascii="Arial"/>
          <w:sz w:val="18"/>
        </w:rPr>
      </w:pPr>
      <w:r>
        <w:rPr>
          <w:rFonts w:ascii="Arial"/>
          <w:color w:val="231F20"/>
          <w:spacing w:val="-2"/>
          <w:sz w:val="18"/>
        </w:rPr>
        <w:t>echo</w:t>
      </w:r>
      <w:r>
        <w:rPr>
          <w:rFonts w:ascii="Arial"/>
          <w:color w:val="231F20"/>
          <w:spacing w:val="22"/>
          <w:sz w:val="18"/>
        </w:rPr>
        <w:t> </w:t>
      </w:r>
      <w:r>
        <w:rPr>
          <w:rFonts w:ascii="Arial"/>
          <w:color w:val="231F20"/>
          <w:spacing w:val="-2"/>
          <w:sz w:val="18"/>
        </w:rPr>
        <w:t>System:</w:t>
      </w:r>
      <w:r>
        <w:rPr>
          <w:rFonts w:ascii="Arial"/>
          <w:color w:val="231F20"/>
          <w:spacing w:val="22"/>
          <w:sz w:val="18"/>
        </w:rPr>
        <w:t> </w:t>
      </w:r>
      <w:r>
        <w:rPr>
          <w:rFonts w:ascii="Arial"/>
          <w:color w:val="231F20"/>
          <w:spacing w:val="-2"/>
          <w:sz w:val="18"/>
        </w:rPr>
        <w:t>&amp;NT_Logical_Disk.Server_Name,</w:t>
      </w:r>
      <w:r>
        <w:rPr>
          <w:rFonts w:ascii="Arial"/>
          <w:color w:val="231F20"/>
          <w:spacing w:val="22"/>
          <w:sz w:val="18"/>
        </w:rPr>
        <w:t> </w:t>
      </w:r>
      <w:r>
        <w:rPr>
          <w:rFonts w:ascii="Arial"/>
          <w:color w:val="231F20"/>
          <w:spacing w:val="-2"/>
          <w:sz w:val="18"/>
        </w:rPr>
        <w:t>Disk:</w:t>
      </w:r>
      <w:r>
        <w:rPr>
          <w:rFonts w:ascii="Arial"/>
          <w:color w:val="231F20"/>
          <w:spacing w:val="22"/>
          <w:sz w:val="18"/>
        </w:rPr>
        <w:t> </w:t>
      </w:r>
      <w:r>
        <w:rPr>
          <w:rFonts w:ascii="Arial"/>
          <w:color w:val="231F20"/>
          <w:spacing w:val="-2"/>
          <w:sz w:val="18"/>
        </w:rPr>
        <w:t>&amp;NT_Logical_Disk.Disk_Name, </w:t>
      </w:r>
      <w:r>
        <w:rPr>
          <w:rFonts w:ascii="Arial"/>
          <w:color w:val="231F20"/>
          <w:sz w:val="18"/>
        </w:rPr>
        <w:t>Space</w:t>
      </w:r>
      <w:r>
        <w:rPr>
          <w:rFonts w:ascii="Arial"/>
          <w:color w:val="231F20"/>
          <w:spacing w:val="40"/>
          <w:sz w:val="18"/>
        </w:rPr>
        <w:t> </w:t>
      </w:r>
      <w:r>
        <w:rPr>
          <w:rFonts w:ascii="Arial"/>
          <w:color w:val="231F20"/>
          <w:sz w:val="18"/>
        </w:rPr>
        <w:t>Available:</w:t>
      </w:r>
      <w:r>
        <w:rPr>
          <w:rFonts w:ascii="Arial"/>
          <w:color w:val="231F20"/>
          <w:spacing w:val="40"/>
          <w:sz w:val="18"/>
        </w:rPr>
        <w:t> </w:t>
      </w:r>
      <w:r>
        <w:rPr>
          <w:rFonts w:ascii="Arial"/>
          <w:color w:val="231F20"/>
          <w:sz w:val="18"/>
        </w:rPr>
        <w:t>&amp;NT_Logical_Disk.%_Free%|mail</w:t>
      </w:r>
      <w:r>
        <w:rPr>
          <w:rFonts w:ascii="Arial"/>
          <w:color w:val="231F20"/>
          <w:spacing w:val="40"/>
          <w:sz w:val="18"/>
        </w:rPr>
        <w:t> </w:t>
      </w:r>
      <w:r>
        <w:rPr>
          <w:rFonts w:ascii="Arial"/>
          <w:color w:val="231F20"/>
          <w:sz w:val="18"/>
        </w:rPr>
        <w:t>userID.</w:t>
      </w:r>
    </w:p>
    <w:p>
      <w:pPr>
        <w:pStyle w:val="BodyText"/>
        <w:spacing w:before="44"/>
        <w:rPr>
          <w:rFonts w:ascii="Arial"/>
          <w:sz w:val="18"/>
        </w:rPr>
      </w:pPr>
    </w:p>
    <w:p>
      <w:pPr>
        <w:pStyle w:val="BodyText"/>
        <w:spacing w:line="213" w:lineRule="auto" w:before="1"/>
        <w:ind w:left="2788" w:right="545"/>
      </w:pPr>
      <w:r>
        <w:rPr>
          <w:color w:val="231F20"/>
        </w:rPr>
        <w:t>which sends an email to the user ID indicated that reads, "System: </w:t>
      </w:r>
      <w:r>
        <w:rPr>
          <w:color w:val="231F20"/>
        </w:rPr>
        <w:t>MyServer, Disk: D:, Space Available: 15%."</w:t>
      </w:r>
    </w:p>
    <w:p>
      <w:pPr>
        <w:pStyle w:val="ListParagraph"/>
        <w:numPr>
          <w:ilvl w:val="0"/>
          <w:numId w:val="120"/>
        </w:numPr>
        <w:tabs>
          <w:tab w:pos="2788" w:val="left" w:leader="none"/>
        </w:tabs>
        <w:spacing w:line="213" w:lineRule="auto" w:before="58" w:after="0"/>
        <w:ind w:left="2788" w:right="498" w:hanging="316"/>
        <w:jc w:val="left"/>
        <w:rPr>
          <w:sz w:val="20"/>
        </w:rPr>
      </w:pPr>
      <w:r>
        <w:rPr>
          <w:color w:val="231F20"/>
          <w:sz w:val="20"/>
        </w:rPr>
        <w:t>If the condition is true for more than one monitored item, indicate when the action should be taken:</w:t>
      </w:r>
    </w:p>
    <w:p>
      <w:pPr>
        <w:spacing w:line="213" w:lineRule="auto" w:before="59"/>
        <w:ind w:left="3004" w:right="274"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Only take action on first item </w:t>
      </w:r>
      <w:r>
        <w:rPr>
          <w:color w:val="231F20"/>
          <w:sz w:val="20"/>
        </w:rPr>
        <w:t>to issue the command on only the </w:t>
      </w:r>
      <w:r>
        <w:rPr>
          <w:color w:val="231F20"/>
          <w:sz w:val="20"/>
        </w:rPr>
        <w:t>first</w:t>
      </w:r>
      <w:r>
        <w:rPr>
          <w:color w:val="231F20"/>
          <w:spacing w:val="40"/>
          <w:sz w:val="20"/>
        </w:rPr>
        <w:t> </w:t>
      </w:r>
      <w:r>
        <w:rPr>
          <w:color w:val="231F20"/>
          <w:sz w:val="20"/>
        </w:rPr>
        <w:t>row that meets the condition.</w:t>
      </w:r>
    </w:p>
    <w:p>
      <w:pPr>
        <w:spacing w:after="0" w:line="213" w:lineRule="auto"/>
        <w:jc w:val="left"/>
        <w:rPr>
          <w:sz w:val="20"/>
        </w:rPr>
        <w:sectPr>
          <w:pgSz w:w="12240" w:h="15840"/>
          <w:pgMar w:header="0" w:footer="736" w:top="1180" w:bottom="920" w:left="1000" w:right="1060"/>
        </w:sectPr>
      </w:pPr>
    </w:p>
    <w:p>
      <w:pPr>
        <w:spacing w:line="213" w:lineRule="auto" w:before="85"/>
        <w:ind w:left="2764" w:right="545"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Take action on each item </w:t>
      </w:r>
      <w:r>
        <w:rPr>
          <w:color w:val="231F20"/>
          <w:sz w:val="20"/>
        </w:rPr>
        <w:t>to issue the command once for each row of</w:t>
      </w:r>
      <w:r>
        <w:rPr>
          <w:color w:val="231F20"/>
          <w:spacing w:val="40"/>
          <w:sz w:val="20"/>
        </w:rPr>
        <w:t> </w:t>
      </w:r>
      <w:r>
        <w:rPr>
          <w:color w:val="231F20"/>
          <w:sz w:val="20"/>
        </w:rPr>
        <w:t>data returned that meets the condition.</w:t>
      </w:r>
    </w:p>
    <w:p>
      <w:pPr>
        <w:pStyle w:val="BodyText"/>
        <w:spacing w:line="213" w:lineRule="auto" w:before="58"/>
        <w:ind w:left="2548" w:right="545"/>
      </w:pPr>
      <w:r>
        <w:rPr>
          <w:color w:val="231F20"/>
        </w:rPr>
        <w:t>For example, if the situation fires when any process uses over 80% of the CPU, you can issue a command to terminate just the first process that meets this criteria, or you can issue a command to terminate all processes that meet the </w:t>
      </w:r>
      <w:r>
        <w:rPr>
          <w:color w:val="231F20"/>
          <w:spacing w:val="-2"/>
        </w:rPr>
        <w:t>criteria.</w:t>
      </w:r>
    </w:p>
    <w:p>
      <w:pPr>
        <w:pStyle w:val="BodyText"/>
        <w:spacing w:line="213" w:lineRule="auto" w:before="237"/>
        <w:ind w:left="2548" w:right="545"/>
      </w:pPr>
      <w:r>
        <w:rPr>
          <w:rFonts w:ascii="Book Antiqua" w:hAnsi="Book Antiqua"/>
          <w:b/>
          <w:color w:val="231F20"/>
        </w:rPr>
        <w:t>Note:</w:t>
      </w:r>
      <w:r>
        <w:rPr>
          <w:rFonts w:ascii="Book Antiqua" w:hAnsi="Book Antiqua"/>
          <w:b/>
          <w:color w:val="231F20"/>
          <w:spacing w:val="80"/>
        </w:rPr>
        <w:t> </w:t>
      </w:r>
      <w:r>
        <w:rPr>
          <w:color w:val="231F20"/>
        </w:rPr>
        <w:t>If the situation has a Display Item set and the "Only take action on first</w:t>
      </w:r>
      <w:r>
        <w:rPr>
          <w:color w:val="231F20"/>
          <w:spacing w:val="40"/>
        </w:rPr>
        <w:t> </w:t>
      </w:r>
      <w:r>
        <w:rPr>
          <w:color w:val="231F20"/>
        </w:rPr>
        <w:t>item" option is selected, the action is taken once for each unique display item </w:t>
      </w:r>
      <w:r>
        <w:rPr>
          <w:color w:val="231F20"/>
        </w:rPr>
        <w:t>in the rows of data. For example, if there were 100 total rows that qualified and</w:t>
      </w:r>
      <w:r>
        <w:rPr>
          <w:color w:val="231F20"/>
          <w:spacing w:val="40"/>
        </w:rPr>
        <w:t> </w:t>
      </w:r>
      <w:r>
        <w:rPr>
          <w:color w:val="231F20"/>
        </w:rPr>
        <w:t>there were 6 unique display items, the situation would fire 6 times. See</w:t>
      </w:r>
      <w:r>
        <w:rPr>
          <w:color w:val="231F20"/>
          <w:spacing w:val="40"/>
        </w:rPr>
        <w:t> </w:t>
      </w:r>
      <w:hyperlink w:history="true" w:anchor="_bookmark187">
        <w:r>
          <w:rPr>
            <w:color w:val="231F20"/>
          </w:rPr>
          <w:t>“Formula” on page 255</w:t>
        </w:r>
      </w:hyperlink>
      <w:r>
        <w:rPr>
          <w:color w:val="231F20"/>
        </w:rPr>
        <w:t> for more information on display items.</w:t>
      </w:r>
    </w:p>
    <w:p>
      <w:pPr>
        <w:pStyle w:val="ListParagraph"/>
        <w:numPr>
          <w:ilvl w:val="0"/>
          <w:numId w:val="120"/>
        </w:numPr>
        <w:tabs>
          <w:tab w:pos="2547" w:val="left" w:leader="none"/>
        </w:tabs>
        <w:spacing w:line="240" w:lineRule="auto" w:before="33" w:after="0"/>
        <w:ind w:left="2547" w:right="0" w:hanging="315"/>
        <w:jc w:val="left"/>
        <w:rPr>
          <w:sz w:val="20"/>
        </w:rPr>
      </w:pPr>
      <w:r>
        <w:rPr>
          <w:color w:val="231F20"/>
          <w:sz w:val="20"/>
        </w:rPr>
        <w:t>Specify</w:t>
      </w:r>
      <w:r>
        <w:rPr>
          <w:color w:val="231F20"/>
          <w:spacing w:val="10"/>
          <w:sz w:val="20"/>
        </w:rPr>
        <w:t> </w:t>
      </w:r>
      <w:r>
        <w:rPr>
          <w:color w:val="231F20"/>
          <w:sz w:val="20"/>
        </w:rPr>
        <w:t>where</w:t>
      </w:r>
      <w:r>
        <w:rPr>
          <w:color w:val="231F20"/>
          <w:spacing w:val="10"/>
          <w:sz w:val="20"/>
        </w:rPr>
        <w:t> </w:t>
      </w:r>
      <w:r>
        <w:rPr>
          <w:color w:val="231F20"/>
          <w:sz w:val="20"/>
        </w:rPr>
        <w:t>the</w:t>
      </w:r>
      <w:r>
        <w:rPr>
          <w:color w:val="231F20"/>
          <w:spacing w:val="10"/>
          <w:sz w:val="20"/>
        </w:rPr>
        <w:t> </w:t>
      </w:r>
      <w:r>
        <w:rPr>
          <w:color w:val="231F20"/>
          <w:sz w:val="20"/>
        </w:rPr>
        <w:t>action</w:t>
      </w:r>
      <w:r>
        <w:rPr>
          <w:color w:val="231F20"/>
          <w:spacing w:val="11"/>
          <w:sz w:val="20"/>
        </w:rPr>
        <w:t> </w:t>
      </w:r>
      <w:r>
        <w:rPr>
          <w:color w:val="231F20"/>
          <w:sz w:val="20"/>
        </w:rPr>
        <w:t>should</w:t>
      </w:r>
      <w:r>
        <w:rPr>
          <w:color w:val="231F20"/>
          <w:spacing w:val="10"/>
          <w:sz w:val="20"/>
        </w:rPr>
        <w:t> </w:t>
      </w:r>
      <w:r>
        <w:rPr>
          <w:color w:val="231F20"/>
          <w:sz w:val="20"/>
        </w:rPr>
        <w:t>be</w:t>
      </w:r>
      <w:r>
        <w:rPr>
          <w:color w:val="231F20"/>
          <w:spacing w:val="10"/>
          <w:sz w:val="20"/>
        </w:rPr>
        <w:t> </w:t>
      </w:r>
      <w:r>
        <w:rPr>
          <w:color w:val="231F20"/>
          <w:sz w:val="20"/>
        </w:rPr>
        <w:t>executed</w:t>
      </w:r>
      <w:r>
        <w:rPr>
          <w:color w:val="231F20"/>
          <w:spacing w:val="10"/>
          <w:sz w:val="20"/>
        </w:rPr>
        <w:t> </w:t>
      </w:r>
      <w:r>
        <w:rPr>
          <w:color w:val="231F20"/>
          <w:spacing w:val="-2"/>
          <w:sz w:val="20"/>
        </w:rPr>
        <w:t>(performed):</w:t>
      </w:r>
    </w:p>
    <w:p>
      <w:pPr>
        <w:spacing w:line="213" w:lineRule="auto" w:before="53"/>
        <w:ind w:left="2764" w:right="636"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Execute the Action at the Managed System </w:t>
      </w:r>
      <w:r>
        <w:rPr>
          <w:color w:val="231F20"/>
          <w:sz w:val="20"/>
        </w:rPr>
        <w:t>to perform the action </w:t>
      </w:r>
      <w:r>
        <w:rPr>
          <w:color w:val="231F20"/>
          <w:sz w:val="20"/>
        </w:rPr>
        <w:t>on</w:t>
      </w:r>
      <w:r>
        <w:rPr>
          <w:color w:val="231F20"/>
          <w:sz w:val="20"/>
        </w:rPr>
        <w:t> the system where the monitoring agent resides.</w:t>
      </w:r>
    </w:p>
    <w:p>
      <w:pPr>
        <w:spacing w:line="213" w:lineRule="auto" w:before="58"/>
        <w:ind w:left="276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Execute the Action at the Managing System (TEMS) </w:t>
      </w:r>
      <w:r>
        <w:rPr>
          <w:color w:val="231F20"/>
          <w:sz w:val="20"/>
        </w:rPr>
        <w:t>to perform </w:t>
      </w:r>
      <w:r>
        <w:rPr>
          <w:color w:val="231F20"/>
          <w:sz w:val="20"/>
        </w:rPr>
        <w:t>the</w:t>
      </w:r>
      <w:r>
        <w:rPr>
          <w:color w:val="231F20"/>
          <w:sz w:val="20"/>
        </w:rPr>
        <w:t> action on the monitoring server to which the agent is connected</w:t>
      </w:r>
    </w:p>
    <w:p>
      <w:pPr>
        <w:pStyle w:val="BodyText"/>
        <w:spacing w:line="213" w:lineRule="auto" w:before="59"/>
        <w:ind w:left="2548" w:right="700"/>
      </w:pPr>
      <w:r>
        <w:rPr>
          <w:color w:val="231F20"/>
        </w:rPr>
        <w:t>If you are sending a Universal Message, the action takes place at </w:t>
      </w:r>
      <w:r>
        <w:rPr>
          <w:color w:val="231F20"/>
        </w:rPr>
        <w:t>the monitoring server.</w:t>
      </w:r>
    </w:p>
    <w:p>
      <w:pPr>
        <w:pStyle w:val="ListParagraph"/>
        <w:numPr>
          <w:ilvl w:val="0"/>
          <w:numId w:val="120"/>
        </w:numPr>
        <w:tabs>
          <w:tab w:pos="2615" w:val="left" w:leader="none"/>
        </w:tabs>
        <w:spacing w:line="240" w:lineRule="auto" w:before="35" w:after="0"/>
        <w:ind w:left="2615" w:right="0" w:hanging="383"/>
        <w:jc w:val="left"/>
        <w:rPr>
          <w:sz w:val="20"/>
        </w:rPr>
      </w:pPr>
      <w:r>
        <w:rPr>
          <w:color w:val="231F20"/>
          <w:sz w:val="20"/>
        </w:rPr>
        <w:t>Specify</w:t>
      </w:r>
      <w:r>
        <w:rPr>
          <w:color w:val="231F20"/>
          <w:spacing w:val="11"/>
          <w:sz w:val="20"/>
        </w:rPr>
        <w:t> </w:t>
      </w:r>
      <w:r>
        <w:rPr>
          <w:color w:val="231F20"/>
          <w:sz w:val="20"/>
        </w:rPr>
        <w:t>what</w:t>
      </w:r>
      <w:r>
        <w:rPr>
          <w:color w:val="231F20"/>
          <w:spacing w:val="12"/>
          <w:sz w:val="20"/>
        </w:rPr>
        <w:t> </w:t>
      </w:r>
      <w:r>
        <w:rPr>
          <w:color w:val="231F20"/>
          <w:sz w:val="20"/>
        </w:rPr>
        <w:t>to</w:t>
      </w:r>
      <w:r>
        <w:rPr>
          <w:color w:val="231F20"/>
          <w:spacing w:val="11"/>
          <w:sz w:val="20"/>
        </w:rPr>
        <w:t> </w:t>
      </w:r>
      <w:r>
        <w:rPr>
          <w:color w:val="231F20"/>
          <w:sz w:val="20"/>
        </w:rPr>
        <w:t>do</w:t>
      </w:r>
      <w:r>
        <w:rPr>
          <w:color w:val="231F20"/>
          <w:spacing w:val="12"/>
          <w:sz w:val="20"/>
        </w:rPr>
        <w:t> </w:t>
      </w:r>
      <w:r>
        <w:rPr>
          <w:color w:val="231F20"/>
          <w:sz w:val="20"/>
        </w:rPr>
        <w:t>if</w:t>
      </w:r>
      <w:r>
        <w:rPr>
          <w:color w:val="231F20"/>
          <w:spacing w:val="11"/>
          <w:sz w:val="20"/>
        </w:rPr>
        <w:t> </w:t>
      </w:r>
      <w:r>
        <w:rPr>
          <w:color w:val="231F20"/>
          <w:sz w:val="20"/>
        </w:rPr>
        <w:t>the</w:t>
      </w:r>
      <w:r>
        <w:rPr>
          <w:color w:val="231F20"/>
          <w:spacing w:val="12"/>
          <w:sz w:val="20"/>
        </w:rPr>
        <w:t> </w:t>
      </w:r>
      <w:r>
        <w:rPr>
          <w:color w:val="231F20"/>
          <w:sz w:val="20"/>
        </w:rPr>
        <w:t>condition</w:t>
      </w:r>
      <w:r>
        <w:rPr>
          <w:color w:val="231F20"/>
          <w:spacing w:val="11"/>
          <w:sz w:val="20"/>
        </w:rPr>
        <w:t> </w:t>
      </w:r>
      <w:r>
        <w:rPr>
          <w:color w:val="231F20"/>
          <w:sz w:val="20"/>
        </w:rPr>
        <w:t>stays</w:t>
      </w:r>
      <w:r>
        <w:rPr>
          <w:color w:val="231F20"/>
          <w:spacing w:val="12"/>
          <w:sz w:val="20"/>
        </w:rPr>
        <w:t> </w:t>
      </w:r>
      <w:r>
        <w:rPr>
          <w:color w:val="231F20"/>
          <w:sz w:val="20"/>
        </w:rPr>
        <w:t>true</w:t>
      </w:r>
      <w:r>
        <w:rPr>
          <w:color w:val="231F20"/>
          <w:spacing w:val="11"/>
          <w:sz w:val="20"/>
        </w:rPr>
        <w:t> </w:t>
      </w:r>
      <w:r>
        <w:rPr>
          <w:color w:val="231F20"/>
          <w:sz w:val="20"/>
        </w:rPr>
        <w:t>over</w:t>
      </w:r>
      <w:r>
        <w:rPr>
          <w:color w:val="231F20"/>
          <w:spacing w:val="12"/>
          <w:sz w:val="20"/>
        </w:rPr>
        <w:t> </w:t>
      </w:r>
      <w:r>
        <w:rPr>
          <w:color w:val="231F20"/>
          <w:sz w:val="20"/>
        </w:rPr>
        <w:t>multiple</w:t>
      </w:r>
      <w:r>
        <w:rPr>
          <w:color w:val="231F20"/>
          <w:spacing w:val="11"/>
          <w:sz w:val="20"/>
        </w:rPr>
        <w:t> </w:t>
      </w:r>
      <w:r>
        <w:rPr>
          <w:color w:val="231F20"/>
          <w:spacing w:val="-2"/>
          <w:sz w:val="20"/>
        </w:rPr>
        <w:t>intervals:</w:t>
      </w:r>
    </w:p>
    <w:p>
      <w:pPr>
        <w:spacing w:line="213" w:lineRule="auto" w:before="53"/>
        <w:ind w:left="2764" w:right="0" w:hanging="216"/>
        <w:jc w:val="left"/>
        <w:rPr>
          <w:sz w:val="20"/>
        </w:rPr>
      </w:pPr>
      <w:r>
        <w:rPr>
          <w:rFonts w:ascii="Futura MdCn BT"/>
          <w:color w:val="231F20"/>
          <w:sz w:val="20"/>
        </w:rPr>
        <w:t>v</w:t>
      </w:r>
      <w:r>
        <w:rPr>
          <w:rFonts w:ascii="Futura MdCn BT"/>
          <w:color w:val="231F20"/>
          <w:spacing w:val="80"/>
          <w:sz w:val="20"/>
        </w:rPr>
        <w:t> </w:t>
      </w:r>
      <w:r>
        <w:rPr>
          <w:color w:val="231F20"/>
          <w:sz w:val="20"/>
        </w:rPr>
        <w:t>Select </w:t>
      </w:r>
      <w:r>
        <w:rPr>
          <w:rFonts w:ascii="Book Antiqua"/>
          <w:b/>
          <w:color w:val="231F20"/>
          <w:sz w:val="20"/>
        </w:rPr>
        <w:t>Don't take action twice in a row </w:t>
      </w:r>
      <w:r>
        <w:rPr>
          <w:color w:val="231F20"/>
          <w:sz w:val="20"/>
        </w:rPr>
        <w:t>to execute the command or </w:t>
      </w:r>
      <w:r>
        <w:rPr>
          <w:color w:val="231F20"/>
          <w:sz w:val="20"/>
        </w:rPr>
        <w:t>universal</w:t>
      </w:r>
      <w:r>
        <w:rPr>
          <w:color w:val="231F20"/>
          <w:spacing w:val="40"/>
          <w:sz w:val="20"/>
        </w:rPr>
        <w:t> </w:t>
      </w:r>
      <w:r>
        <w:rPr>
          <w:color w:val="231F20"/>
          <w:sz w:val="20"/>
        </w:rPr>
        <w:t>message once, and not every time incoming data matches the condition.</w:t>
      </w:r>
    </w:p>
    <w:p>
      <w:pPr>
        <w:pStyle w:val="BodyText"/>
        <w:spacing w:line="213" w:lineRule="auto" w:before="59"/>
        <w:ind w:left="2764" w:right="545" w:hanging="216"/>
      </w:pPr>
      <w:r>
        <w:rPr>
          <w:rFonts w:ascii="Futura MdCn BT"/>
          <w:color w:val="231F20"/>
        </w:rPr>
        <w:t>v</w:t>
      </w:r>
      <w:r>
        <w:rPr>
          <w:rFonts w:ascii="Futura MdCn BT"/>
          <w:color w:val="231F20"/>
          <w:spacing w:val="80"/>
        </w:rPr>
        <w:t> </w:t>
      </w:r>
      <w:r>
        <w:rPr>
          <w:color w:val="231F20"/>
        </w:rPr>
        <w:t>Select </w:t>
      </w:r>
      <w:r>
        <w:rPr>
          <w:rFonts w:ascii="Book Antiqua"/>
          <w:b/>
          <w:color w:val="231F20"/>
        </w:rPr>
        <w:t>Take action in each interval </w:t>
      </w:r>
      <w:r>
        <w:rPr>
          <w:color w:val="231F20"/>
        </w:rPr>
        <w:t>to invoke the command or issue the universal message when the situation is true in an interval, regardless of its state in the previous interval.</w:t>
      </w:r>
    </w:p>
    <w:p>
      <w:pPr>
        <w:pStyle w:val="ListParagraph"/>
        <w:numPr>
          <w:ilvl w:val="0"/>
          <w:numId w:val="120"/>
        </w:numPr>
        <w:tabs>
          <w:tab w:pos="2547" w:val="left" w:leader="none"/>
        </w:tabs>
        <w:spacing w:line="240" w:lineRule="auto" w:before="34" w:after="0"/>
        <w:ind w:left="2547" w:right="0" w:hanging="315"/>
        <w:jc w:val="left"/>
        <w:rPr>
          <w:sz w:val="20"/>
        </w:rPr>
      </w:pPr>
      <w:r>
        <w:rPr>
          <w:color w:val="231F20"/>
          <w:sz w:val="20"/>
        </w:rPr>
        <w:t>Select</w:t>
      </w:r>
      <w:r>
        <w:rPr>
          <w:color w:val="231F20"/>
          <w:spacing w:val="11"/>
          <w:sz w:val="20"/>
        </w:rPr>
        <w:t> </w:t>
      </w:r>
      <w:r>
        <w:rPr>
          <w:color w:val="231F20"/>
          <w:sz w:val="20"/>
        </w:rPr>
        <w:t>other</w:t>
      </w:r>
      <w:r>
        <w:rPr>
          <w:color w:val="231F20"/>
          <w:spacing w:val="12"/>
          <w:sz w:val="20"/>
        </w:rPr>
        <w:t> </w:t>
      </w:r>
      <w:r>
        <w:rPr>
          <w:color w:val="231F20"/>
          <w:sz w:val="20"/>
        </w:rPr>
        <w:t>tabs</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editor</w:t>
      </w:r>
      <w:r>
        <w:rPr>
          <w:color w:val="231F20"/>
          <w:spacing w:val="11"/>
          <w:sz w:val="20"/>
        </w:rPr>
        <w:t> </w:t>
      </w:r>
      <w:r>
        <w:rPr>
          <w:color w:val="231F20"/>
          <w:spacing w:val="-5"/>
          <w:sz w:val="20"/>
        </w:rPr>
        <w:t>to:</w:t>
      </w:r>
    </w:p>
    <w:p>
      <w:pPr>
        <w:pStyle w:val="BodyText"/>
        <w:spacing w:line="255" w:lineRule="exact" w:before="30"/>
        <w:ind w:left="2548"/>
      </w:pPr>
      <w:r>
        <w:rPr>
          <w:rFonts w:ascii="Futura MdCn BT"/>
          <w:color w:val="231F20"/>
        </w:rPr>
        <w:t>v</w:t>
      </w:r>
      <w:r>
        <w:rPr>
          <w:rFonts w:ascii="Futura MdCn BT"/>
          <w:color w:val="231F20"/>
          <w:spacing w:val="31"/>
        </w:rPr>
        <w:t>  </w:t>
      </w:r>
      <w:r>
        <w:rPr>
          <w:color w:val="231F20"/>
        </w:rPr>
        <w:t>Distribute</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managed</w:t>
      </w:r>
      <w:r>
        <w:rPr>
          <w:color w:val="231F20"/>
          <w:spacing w:val="13"/>
        </w:rPr>
        <w:t> </w:t>
      </w:r>
      <w:r>
        <w:rPr>
          <w:color w:val="231F20"/>
        </w:rPr>
        <w:t>systems</w:t>
      </w:r>
      <w:r>
        <w:rPr>
          <w:color w:val="231F20"/>
          <w:spacing w:val="12"/>
        </w:rPr>
        <w:t> </w:t>
      </w:r>
      <w:r>
        <w:rPr>
          <w:color w:val="231F20"/>
        </w:rPr>
        <w:t>on</w:t>
      </w:r>
      <w:r>
        <w:rPr>
          <w:color w:val="231F20"/>
          <w:spacing w:val="12"/>
        </w:rPr>
        <w:t> </w:t>
      </w:r>
      <w:r>
        <w:rPr>
          <w:color w:val="231F20"/>
        </w:rPr>
        <w:t>which</w:t>
      </w:r>
      <w:r>
        <w:rPr>
          <w:color w:val="231F20"/>
          <w:spacing w:val="12"/>
        </w:rPr>
        <w:t> </w:t>
      </w:r>
      <w:r>
        <w:rPr>
          <w:color w:val="231F20"/>
        </w:rPr>
        <w:t>you</w:t>
      </w:r>
      <w:r>
        <w:rPr>
          <w:color w:val="231F20"/>
          <w:spacing w:val="12"/>
        </w:rPr>
        <w:t> </w:t>
      </w:r>
      <w:r>
        <w:rPr>
          <w:color w:val="231F20"/>
        </w:rPr>
        <w:t>want</w:t>
      </w:r>
      <w:r>
        <w:rPr>
          <w:color w:val="231F20"/>
          <w:spacing w:val="13"/>
        </w:rPr>
        <w:t> </w:t>
      </w:r>
      <w:r>
        <w:rPr>
          <w:color w:val="231F20"/>
        </w:rPr>
        <w:t>it</w:t>
      </w:r>
      <w:r>
        <w:rPr>
          <w:color w:val="231F20"/>
          <w:spacing w:val="12"/>
        </w:rPr>
        <w:t> </w:t>
      </w:r>
      <w:r>
        <w:rPr>
          <w:color w:val="231F20"/>
        </w:rPr>
        <w:t>to</w:t>
      </w:r>
      <w:r>
        <w:rPr>
          <w:color w:val="231F20"/>
          <w:spacing w:val="12"/>
        </w:rPr>
        <w:t> </w:t>
      </w:r>
      <w:r>
        <w:rPr>
          <w:color w:val="231F20"/>
          <w:spacing w:val="-4"/>
        </w:rPr>
        <w:t>run.</w:t>
      </w:r>
    </w:p>
    <w:p>
      <w:pPr>
        <w:pStyle w:val="BodyText"/>
        <w:spacing w:line="255" w:lineRule="exact"/>
        <w:ind w:left="2764"/>
      </w:pPr>
      <w:r>
        <w:rPr>
          <w:color w:val="231F20"/>
        </w:rPr>
        <w:t>See</w:t>
      </w:r>
      <w:r>
        <w:rPr>
          <w:color w:val="231F20"/>
          <w:spacing w:val="10"/>
        </w:rPr>
        <w:t> </w:t>
      </w:r>
      <w:hyperlink w:history="true" w:anchor="_bookmark199">
        <w:r>
          <w:rPr>
            <w:color w:val="231F20"/>
          </w:rPr>
          <w:t>“Distributing</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269.</w:t>
        </w:r>
      </w:hyperlink>
    </w:p>
    <w:p>
      <w:pPr>
        <w:pStyle w:val="BodyText"/>
        <w:spacing w:before="29"/>
        <w:ind w:left="2548"/>
      </w:pPr>
      <w:r>
        <w:rPr>
          <w:rFonts w:ascii="Futura MdCn BT" w:hAnsi="Futura MdCn BT"/>
          <w:color w:val="231F20"/>
        </w:rPr>
        <w:t>v</w:t>
      </w:r>
      <w:r>
        <w:rPr>
          <w:rFonts w:ascii="Futura MdCn BT" w:hAnsi="Futura MdCn BT"/>
          <w:color w:val="231F20"/>
          <w:spacing w:val="79"/>
          <w:w w:val="150"/>
        </w:rPr>
        <w:t> </w:t>
      </w:r>
      <w:r>
        <w:rPr>
          <w:color w:val="231F20"/>
        </w:rPr>
        <w:t>Add</w:t>
      </w:r>
      <w:r>
        <w:rPr>
          <w:color w:val="231F20"/>
          <w:spacing w:val="11"/>
        </w:rPr>
        <w:t> </w:t>
      </w:r>
      <w:r>
        <w:rPr>
          <w:color w:val="231F20"/>
        </w:rPr>
        <w:t>expert</w:t>
      </w:r>
      <w:r>
        <w:rPr>
          <w:color w:val="231F20"/>
          <w:spacing w:val="10"/>
        </w:rPr>
        <w:t> </w:t>
      </w:r>
      <w:r>
        <w:rPr>
          <w:color w:val="231F20"/>
        </w:rPr>
        <w:t>advice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See</w:t>
      </w:r>
      <w:r>
        <w:rPr>
          <w:color w:val="231F20"/>
          <w:spacing w:val="11"/>
        </w:rPr>
        <w:t> </w:t>
      </w:r>
      <w:hyperlink w:history="true" w:anchor="_bookmark201">
        <w:r>
          <w:rPr>
            <w:color w:val="231F20"/>
          </w:rPr>
          <w:t>“Writing</w:t>
        </w:r>
        <w:r>
          <w:rPr>
            <w:color w:val="231F20"/>
            <w:spacing w:val="11"/>
          </w:rPr>
          <w:t> </w:t>
        </w:r>
        <w:r>
          <w:rPr>
            <w:color w:val="231F20"/>
          </w:rPr>
          <w:t>expert</w:t>
        </w:r>
        <w:r>
          <w:rPr>
            <w:color w:val="231F20"/>
            <w:spacing w:val="11"/>
          </w:rPr>
          <w:t> </w:t>
        </w:r>
        <w:r>
          <w:rPr>
            <w:color w:val="231F20"/>
          </w:rPr>
          <w:t>advice”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271.</w:t>
        </w:r>
      </w:hyperlink>
    </w:p>
    <w:p>
      <w:pPr>
        <w:pStyle w:val="BodyText"/>
        <w:spacing w:line="213" w:lineRule="auto" w:before="53"/>
        <w:ind w:left="2764" w:right="493" w:hanging="216"/>
      </w:pPr>
      <w:r>
        <w:rPr>
          <w:rFonts w:ascii="Futura MdCn BT" w:hAnsi="Futura MdCn BT"/>
          <w:color w:val="231F20"/>
        </w:rPr>
        <w:t>v</w:t>
      </w:r>
      <w:r>
        <w:rPr>
          <w:rFonts w:ascii="Futura MdCn BT" w:hAnsi="Futura MdCn BT"/>
          <w:color w:val="231F20"/>
          <w:spacing w:val="80"/>
        </w:rPr>
        <w:t> </w:t>
      </w:r>
      <w:r>
        <w:rPr>
          <w:color w:val="231F20"/>
        </w:rPr>
        <w:t>Forward events that open for this situation to an Event Integration Facility receiver such as the Netcool/OMNIbus Probe for Tivoli EIF. See </w:t>
      </w:r>
      <w:hyperlink w:history="true" w:anchor="_bookmark205">
        <w:r>
          <w:rPr>
            <w:color w:val="231F20"/>
          </w:rPr>
          <w:t>“Forwarding</w:t>
        </w:r>
      </w:hyperlink>
      <w:r>
        <w:rPr>
          <w:color w:val="231F20"/>
        </w:rPr>
        <w:t> </w:t>
      </w:r>
      <w:hyperlink w:history="true" w:anchor="_bookmark205">
        <w:r>
          <w:rPr>
            <w:color w:val="231F20"/>
          </w:rPr>
          <w:t>the event to an EIF receiver” on page 276.</w:t>
        </w:r>
      </w:hyperlink>
    </w:p>
    <w:p>
      <w:pPr>
        <w:pStyle w:val="BodyText"/>
        <w:spacing w:line="213" w:lineRule="auto" w:before="58"/>
        <w:ind w:left="2764" w:right="603" w:hanging="216"/>
      </w:pPr>
      <w:r>
        <w:rPr>
          <w:rFonts w:ascii="Futura MdCn BT" w:hAnsi="Futura MdCn BT"/>
          <w:color w:val="231F20"/>
        </w:rPr>
        <w:t>v</w:t>
      </w:r>
      <w:r>
        <w:rPr>
          <w:rFonts w:ascii="Futura MdCn BT" w:hAnsi="Futura MdCn BT"/>
          <w:color w:val="231F20"/>
          <w:spacing w:val="80"/>
        </w:rPr>
        <w:t> </w:t>
      </w:r>
      <w:r>
        <w:rPr>
          <w:color w:val="231F20"/>
        </w:rPr>
        <w:t>Specify how long a situation shall remain true. See </w:t>
      </w:r>
      <w:hyperlink w:history="true" w:anchor="_bookmark204">
        <w:r>
          <w:rPr>
            <w:color w:val="231F20"/>
          </w:rPr>
          <w:t>“Adding an Until</w:t>
        </w:r>
      </w:hyperlink>
      <w:r>
        <w:rPr>
          <w:color w:val="231F20"/>
        </w:rPr>
        <w:t> </w:t>
      </w:r>
      <w:hyperlink w:history="true" w:anchor="_bookmark204">
        <w:r>
          <w:rPr>
            <w:color w:val="231F20"/>
          </w:rPr>
          <w:t>modifier” on page 275.</w:t>
        </w:r>
      </w:hyperlink>
    </w:p>
    <w:p>
      <w:pPr>
        <w:pStyle w:val="ListParagraph"/>
        <w:numPr>
          <w:ilvl w:val="0"/>
          <w:numId w:val="120"/>
        </w:numPr>
        <w:tabs>
          <w:tab w:pos="2548" w:val="left" w:leader="none"/>
        </w:tabs>
        <w:spacing w:line="213" w:lineRule="auto" w:before="58" w:after="0"/>
        <w:ind w:left="2548" w:right="672" w:hanging="316"/>
        <w:jc w:val="left"/>
        <w:rPr>
          <w:sz w:val="20"/>
        </w:rPr>
      </w:pPr>
      <w:r>
        <w:rPr>
          <w:color w:val="231F20"/>
          <w:sz w:val="20"/>
        </w:rPr>
        <w:t>When you are finished composing the situation, save your changes and start the situation by clicking </w:t>
      </w:r>
      <w:r>
        <w:rPr>
          <w:rFonts w:ascii="Book Antiqua" w:hAnsi="Book Antiqua"/>
          <w:b/>
          <w:color w:val="231F20"/>
          <w:sz w:val="20"/>
        </w:rPr>
        <w:t>Apply </w:t>
      </w:r>
      <w:r>
        <w:rPr>
          <w:color w:val="231F20"/>
          <w:sz w:val="20"/>
        </w:rPr>
        <w:t>to keep the editor open; or by clicking </w:t>
      </w:r>
      <w:r>
        <w:rPr>
          <w:rFonts w:ascii="Book Antiqua" w:hAnsi="Book Antiqua"/>
          <w:b/>
          <w:color w:val="231F20"/>
          <w:sz w:val="20"/>
        </w:rPr>
        <w:t>OK </w:t>
      </w:r>
      <w:r>
        <w:rPr>
          <w:color w:val="231F20"/>
          <w:sz w:val="20"/>
        </w:rPr>
        <w:t>to close the Situation editor. The Situation editor performs syntax checking on each expression you enter. If you entered an improper value for an attribute, such as “abc” for Disk Size, the cell turns red and the situation will not be</w:t>
      </w:r>
      <w:r>
        <w:rPr>
          <w:color w:val="231F20"/>
          <w:spacing w:val="40"/>
          <w:sz w:val="20"/>
        </w:rPr>
        <w:t> </w:t>
      </w:r>
      <w:r>
        <w:rPr>
          <w:color w:val="231F20"/>
          <w:sz w:val="20"/>
        </w:rPr>
        <w:t>saved until you correct the error.</w:t>
      </w:r>
    </w:p>
    <w:p>
      <w:pPr>
        <w:pStyle w:val="BodyText"/>
        <w:spacing w:line="213" w:lineRule="auto" w:before="56"/>
        <w:ind w:left="2548" w:right="545"/>
      </w:pPr>
      <w:r>
        <w:rPr>
          <w:color w:val="231F20"/>
        </w:rPr>
        <w:t>If you opened the Situation editor from the toolbar, the situation you just</w:t>
      </w:r>
      <w:r>
        <w:rPr>
          <w:color w:val="231F20"/>
          <w:spacing w:val="80"/>
        </w:rPr>
        <w:t> </w:t>
      </w:r>
      <w:r>
        <w:rPr>
          <w:color w:val="231F20"/>
        </w:rPr>
        <w:t>created will not be associated with any Navigator items and no event </w:t>
      </w:r>
      <w:r>
        <w:rPr>
          <w:color w:val="231F20"/>
        </w:rPr>
        <w:t>indicator</w:t>
      </w:r>
      <w:r>
        <w:rPr>
          <w:color w:val="231F20"/>
          <w:spacing w:val="40"/>
        </w:rPr>
        <w:t> </w:t>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7"/>
        <w:ind w:left="2548" w:right="636"/>
      </w:pPr>
      <w:r>
        <w:rPr>
          <w:color w:val="231F20"/>
        </w:rPr>
        <w:t>Situations are stored at the hub monitoring server. In the unlikely event that two users attempt to save a situation with the same name simultaneously, an error will occur, ensuring that one situation does not overwrite another.</w:t>
      </w:r>
    </w:p>
    <w:p>
      <w:pPr>
        <w:pStyle w:val="ListParagraph"/>
        <w:numPr>
          <w:ilvl w:val="0"/>
          <w:numId w:val="120"/>
        </w:numPr>
        <w:tabs>
          <w:tab w:pos="2548" w:val="left" w:leader="none"/>
        </w:tabs>
        <w:spacing w:line="213" w:lineRule="auto" w:before="58" w:after="0"/>
        <w:ind w:left="2548" w:right="520" w:hanging="316"/>
        <w:jc w:val="left"/>
        <w:rPr>
          <w:sz w:val="20"/>
        </w:rPr>
      </w:pPr>
      <w:r>
        <w:rPr>
          <w:color w:val="231F20"/>
          <w:sz w:val="20"/>
        </w:rPr>
        <w:t>If the Distribution Change window is displayed, click </w:t>
      </w:r>
      <w:r>
        <w:rPr>
          <w:rFonts w:ascii="Book Antiqua"/>
          <w:b/>
          <w:color w:val="231F20"/>
          <w:sz w:val="20"/>
        </w:rPr>
        <w:t>OK </w:t>
      </w:r>
      <w:r>
        <w:rPr>
          <w:color w:val="231F20"/>
          <w:sz w:val="20"/>
        </w:rPr>
        <w:t>to add the managed systems shown in the </w:t>
      </w:r>
      <w:r>
        <w:rPr>
          <w:rFonts w:ascii="Book Antiqua"/>
          <w:b/>
          <w:color w:val="231F20"/>
          <w:sz w:val="20"/>
        </w:rPr>
        <w:t>Required Managed Systems </w:t>
      </w:r>
      <w:r>
        <w:rPr>
          <w:color w:val="231F20"/>
          <w:sz w:val="20"/>
        </w:rPr>
        <w:t>list to the distribution for this situation.</w:t>
      </w:r>
    </w:p>
    <w:p>
      <w:pPr>
        <w:spacing w:after="0" w:line="213" w:lineRule="auto"/>
        <w:jc w:val="left"/>
        <w:rPr>
          <w:sz w:val="20"/>
        </w:rPr>
        <w:sectPr>
          <w:pgSz w:w="12240" w:h="15840"/>
          <w:pgMar w:header="0" w:footer="736" w:top="1180" w:bottom="920" w:left="1000" w:right="1060"/>
        </w:sectPr>
      </w:pPr>
    </w:p>
    <w:p>
      <w:pPr>
        <w:pStyle w:val="Heading3"/>
        <w:spacing w:before="84"/>
        <w:ind w:left="1574"/>
      </w:pPr>
      <w:bookmarkStart w:name="_bookmark204" w:id="432"/>
      <w:bookmarkEnd w:id="432"/>
      <w:r>
        <w:rPr>
          <w:b w:val="0"/>
        </w:rPr>
      </w:r>
      <w:bookmarkStart w:name="Adding an Until modifier" w:id="433"/>
      <w:bookmarkEnd w:id="433"/>
      <w:r>
        <w:rPr>
          <w:b w:val="0"/>
        </w:rPr>
      </w:r>
      <w:r>
        <w:rPr>
          <w:color w:val="231F20"/>
        </w:rPr>
        <w:t>Adding</w:t>
      </w:r>
      <w:r>
        <w:rPr>
          <w:color w:val="231F20"/>
          <w:spacing w:val="8"/>
        </w:rPr>
        <w:t> </w:t>
      </w:r>
      <w:r>
        <w:rPr>
          <w:color w:val="231F20"/>
        </w:rPr>
        <w:t>an</w:t>
      </w:r>
      <w:r>
        <w:rPr>
          <w:color w:val="231F20"/>
          <w:spacing w:val="9"/>
        </w:rPr>
        <w:t> </w:t>
      </w:r>
      <w:r>
        <w:rPr>
          <w:color w:val="231F20"/>
        </w:rPr>
        <w:t>Until</w:t>
      </w:r>
      <w:r>
        <w:rPr>
          <w:color w:val="231F20"/>
          <w:spacing w:val="8"/>
        </w:rPr>
        <w:t> </w:t>
      </w:r>
      <w:r>
        <w:rPr>
          <w:color w:val="231F20"/>
          <w:spacing w:val="-2"/>
        </w:rPr>
        <w:t>modifier</w:t>
      </w:r>
    </w:p>
    <w:p>
      <w:pPr>
        <w:pStyle w:val="BodyText"/>
        <w:spacing w:line="213" w:lineRule="auto" w:before="58"/>
        <w:ind w:left="2472" w:right="274"/>
      </w:pPr>
      <w:r>
        <w:rPr>
          <w:color w:val="231F20"/>
        </w:rPr>
        <w:t>Add</w:t>
      </w:r>
      <w:r>
        <w:rPr>
          <w:color w:val="231F20"/>
          <w:spacing w:val="26"/>
        </w:rPr>
        <w:t> </w:t>
      </w:r>
      <w:r>
        <w:rPr>
          <w:color w:val="231F20"/>
        </w:rPr>
        <w:t>an</w:t>
      </w:r>
      <w:r>
        <w:rPr>
          <w:color w:val="231F20"/>
          <w:spacing w:val="26"/>
        </w:rPr>
        <w:t> </w:t>
      </w:r>
      <w:r>
        <w:rPr>
          <w:color w:val="231F20"/>
        </w:rPr>
        <w:t>Until</w:t>
      </w:r>
      <w:r>
        <w:rPr>
          <w:color w:val="231F20"/>
          <w:spacing w:val="26"/>
        </w:rPr>
        <w:t> </w:t>
      </w:r>
      <w:r>
        <w:rPr>
          <w:color w:val="231F20"/>
        </w:rPr>
        <w:t>modifier</w:t>
      </w:r>
      <w:r>
        <w:rPr>
          <w:color w:val="231F20"/>
          <w:spacing w:val="26"/>
        </w:rPr>
        <w:t> </w:t>
      </w:r>
      <w:r>
        <w:rPr>
          <w:color w:val="231F20"/>
        </w:rPr>
        <w:t>to</w:t>
      </w:r>
      <w:r>
        <w:rPr>
          <w:color w:val="231F20"/>
          <w:spacing w:val="26"/>
        </w:rPr>
        <w:t> </w:t>
      </w:r>
      <w:r>
        <w:rPr>
          <w:color w:val="231F20"/>
        </w:rPr>
        <w:t>control</w:t>
      </w:r>
      <w:r>
        <w:rPr>
          <w:color w:val="231F20"/>
          <w:spacing w:val="26"/>
        </w:rPr>
        <w:t> </w:t>
      </w:r>
      <w:r>
        <w:rPr>
          <w:color w:val="231F20"/>
        </w:rPr>
        <w:t>when</w:t>
      </w:r>
      <w:r>
        <w:rPr>
          <w:color w:val="231F20"/>
          <w:spacing w:val="26"/>
        </w:rPr>
        <w:t> </w:t>
      </w:r>
      <w:r>
        <w:rPr>
          <w:color w:val="231F20"/>
        </w:rPr>
        <w:t>a</w:t>
      </w:r>
      <w:r>
        <w:rPr>
          <w:color w:val="231F20"/>
          <w:spacing w:val="26"/>
        </w:rPr>
        <w:t> </w:t>
      </w:r>
      <w:r>
        <w:rPr>
          <w:color w:val="231F20"/>
        </w:rPr>
        <w:t>true</w:t>
      </w:r>
      <w:r>
        <w:rPr>
          <w:color w:val="231F20"/>
          <w:spacing w:val="26"/>
        </w:rPr>
        <w:t> </w:t>
      </w:r>
      <w:r>
        <w:rPr>
          <w:color w:val="231F20"/>
        </w:rPr>
        <w:t>situation</w:t>
      </w:r>
      <w:r>
        <w:rPr>
          <w:color w:val="231F20"/>
          <w:spacing w:val="26"/>
        </w:rPr>
        <w:t> </w:t>
      </w:r>
      <w:r>
        <w:rPr>
          <w:color w:val="231F20"/>
        </w:rPr>
        <w:t>closes:</w:t>
      </w:r>
      <w:r>
        <w:rPr>
          <w:color w:val="231F20"/>
          <w:spacing w:val="26"/>
        </w:rPr>
        <w:t> </w:t>
      </w:r>
      <w:r>
        <w:rPr>
          <w:color w:val="231F20"/>
        </w:rPr>
        <w:t>after</w:t>
      </w:r>
      <w:r>
        <w:rPr>
          <w:color w:val="231F20"/>
          <w:spacing w:val="26"/>
        </w:rPr>
        <w:t> </w:t>
      </w:r>
      <w:r>
        <w:rPr>
          <w:color w:val="231F20"/>
        </w:rPr>
        <w:t>a</w:t>
      </w:r>
      <w:r>
        <w:rPr>
          <w:color w:val="231F20"/>
          <w:spacing w:val="26"/>
        </w:rPr>
        <w:t> </w:t>
      </w:r>
      <w:r>
        <w:rPr>
          <w:color w:val="231F20"/>
        </w:rPr>
        <w:t>period</w:t>
      </w:r>
      <w:r>
        <w:rPr>
          <w:color w:val="231F20"/>
          <w:spacing w:val="26"/>
        </w:rPr>
        <w:t> </w:t>
      </w:r>
      <w:r>
        <w:rPr>
          <w:color w:val="231F20"/>
        </w:rPr>
        <w:t>of time or when another situation is true or, if you select both, whichever occurs </w:t>
      </w:r>
      <w:r>
        <w:rPr>
          <w:color w:val="231F20"/>
        </w:rPr>
        <w:t>first.</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167"/>
      </w:pPr>
      <w:r>
        <w:rPr>
          <w:color w:val="231F20"/>
        </w:rPr>
        <w:t>When the Until modifier is for a sampled situation, the event is closed and will </w:t>
      </w:r>
      <w:r>
        <w:rPr>
          <w:color w:val="231F20"/>
        </w:rPr>
        <w:t>not</w:t>
      </w:r>
      <w:r>
        <w:rPr>
          <w:color w:val="231F20"/>
          <w:spacing w:val="40"/>
        </w:rPr>
        <w:t> </w:t>
      </w:r>
      <w:r>
        <w:rPr>
          <w:color w:val="231F20"/>
        </w:rPr>
        <w:t>reopen until the monitored condition turns false and turns true again. However, using a persistent count of 2 or more causes the event to close. But if the condition</w:t>
      </w:r>
      <w:r>
        <w:rPr>
          <w:color w:val="231F20"/>
          <w:spacing w:val="40"/>
        </w:rPr>
        <w:t> </w:t>
      </w:r>
      <w:r>
        <w:rPr>
          <w:color w:val="231F20"/>
        </w:rPr>
        <w:t>remains</w:t>
      </w:r>
      <w:r>
        <w:rPr>
          <w:color w:val="231F20"/>
          <w:spacing w:val="26"/>
        </w:rPr>
        <w:t> </w:t>
      </w:r>
      <w:r>
        <w:rPr>
          <w:color w:val="231F20"/>
        </w:rPr>
        <w:t>true</w:t>
      </w:r>
      <w:r>
        <w:rPr>
          <w:color w:val="231F20"/>
          <w:spacing w:val="26"/>
        </w:rPr>
        <w:t> </w:t>
      </w:r>
      <w:r>
        <w:rPr>
          <w:color w:val="231F20"/>
        </w:rPr>
        <w:t>for</w:t>
      </w:r>
      <w:r>
        <w:rPr>
          <w:color w:val="231F20"/>
          <w:spacing w:val="26"/>
        </w:rPr>
        <w:t> </w:t>
      </w:r>
      <w:r>
        <w:rPr>
          <w:color w:val="231F20"/>
        </w:rPr>
        <w:t>the</w:t>
      </w:r>
      <w:r>
        <w:rPr>
          <w:color w:val="231F20"/>
          <w:spacing w:val="26"/>
        </w:rPr>
        <w:t> </w:t>
      </w:r>
      <w:r>
        <w:rPr>
          <w:color w:val="231F20"/>
        </w:rPr>
        <w:t>number</w:t>
      </w:r>
      <w:r>
        <w:rPr>
          <w:color w:val="231F20"/>
          <w:spacing w:val="26"/>
        </w:rPr>
        <w:t> </w:t>
      </w:r>
      <w:r>
        <w:rPr>
          <w:color w:val="231F20"/>
        </w:rPr>
        <w:t>of</w:t>
      </w:r>
      <w:r>
        <w:rPr>
          <w:color w:val="231F20"/>
          <w:spacing w:val="26"/>
        </w:rPr>
        <w:t> </w:t>
      </w:r>
      <w:r>
        <w:rPr>
          <w:color w:val="231F20"/>
        </w:rPr>
        <w:t>intervals</w:t>
      </w:r>
      <w:r>
        <w:rPr>
          <w:color w:val="231F20"/>
          <w:spacing w:val="26"/>
        </w:rPr>
        <w:t> </w:t>
      </w:r>
      <w:r>
        <w:rPr>
          <w:color w:val="231F20"/>
        </w:rPr>
        <w:t>equal</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persistent</w:t>
      </w:r>
      <w:r>
        <w:rPr>
          <w:color w:val="231F20"/>
          <w:spacing w:val="26"/>
        </w:rPr>
        <w:t> </w:t>
      </w:r>
      <w:r>
        <w:rPr>
          <w:color w:val="231F20"/>
        </w:rPr>
        <w:t>count,</w:t>
      </w:r>
      <w:r>
        <w:rPr>
          <w:color w:val="231F20"/>
          <w:spacing w:val="26"/>
        </w:rPr>
        <w:t> </w:t>
      </w:r>
      <w:r>
        <w:rPr>
          <w:color w:val="231F20"/>
        </w:rPr>
        <w:t>the</w:t>
      </w:r>
      <w:r>
        <w:rPr>
          <w:color w:val="231F20"/>
          <w:spacing w:val="26"/>
        </w:rPr>
        <w:t> </w:t>
      </w:r>
      <w:r>
        <w:rPr>
          <w:color w:val="231F20"/>
        </w:rPr>
        <w:t>event will reopen for the same condition for which it originally fired. (See step </w:t>
      </w:r>
      <w:hyperlink w:history="true" w:anchor="_bookmark197">
        <w:r>
          <w:rPr>
            <w:color w:val="231F20"/>
          </w:rPr>
          <w:t>4 on page</w:t>
        </w:r>
      </w:hyperlink>
      <w:r>
        <w:rPr>
          <w:color w:val="231F20"/>
          <w:spacing w:val="40"/>
        </w:rPr>
        <w:t> </w:t>
      </w:r>
      <w:hyperlink w:history="true" w:anchor="_bookmark197">
        <w:r>
          <w:rPr>
            <w:color w:val="231F20"/>
          </w:rPr>
          <w:t>267</w:t>
        </w:r>
      </w:hyperlink>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procedure</w:t>
      </w:r>
      <w:r>
        <w:rPr>
          <w:color w:val="231F20"/>
          <w:spacing w:val="20"/>
        </w:rPr>
        <w:t> </w:t>
      </w:r>
      <w:r>
        <w:rPr>
          <w:color w:val="231F20"/>
        </w:rPr>
        <w:t>for</w:t>
      </w:r>
      <w:r>
        <w:rPr>
          <w:color w:val="231F20"/>
          <w:spacing w:val="20"/>
        </w:rPr>
        <w:t> </w:t>
      </w:r>
      <w:r>
        <w:rPr>
          <w:color w:val="231F20"/>
        </w:rPr>
        <w:t>defining</w:t>
      </w:r>
      <w:r>
        <w:rPr>
          <w:color w:val="231F20"/>
          <w:spacing w:val="20"/>
        </w:rPr>
        <w:t> </w:t>
      </w:r>
      <w:r>
        <w:rPr>
          <w:color w:val="231F20"/>
        </w:rPr>
        <w:t>the</w:t>
      </w:r>
      <w:r>
        <w:rPr>
          <w:color w:val="231F20"/>
          <w:spacing w:val="20"/>
        </w:rPr>
        <w:t> </w:t>
      </w:r>
      <w:r>
        <w:rPr>
          <w:color w:val="231F20"/>
        </w:rPr>
        <w:t>condition</w:t>
      </w:r>
      <w:r>
        <w:rPr>
          <w:color w:val="231F20"/>
          <w:spacing w:val="20"/>
        </w:rPr>
        <w:t> </w:t>
      </w:r>
      <w:r>
        <w:rPr>
          <w:color w:val="231F20"/>
        </w:rPr>
        <w:t>to</w:t>
      </w:r>
      <w:r>
        <w:rPr>
          <w:color w:val="231F20"/>
          <w:spacing w:val="20"/>
        </w:rPr>
        <w:t> </w:t>
      </w:r>
      <w:r>
        <w:rPr>
          <w:color w:val="231F20"/>
        </w:rPr>
        <w:t>read</w:t>
      </w:r>
      <w:r>
        <w:rPr>
          <w:color w:val="231F20"/>
          <w:spacing w:val="20"/>
        </w:rPr>
        <w:t> </w:t>
      </w:r>
      <w:r>
        <w:rPr>
          <w:color w:val="231F20"/>
        </w:rPr>
        <w:t>about</w:t>
      </w:r>
      <w:r>
        <w:rPr>
          <w:color w:val="231F20"/>
          <w:spacing w:val="20"/>
        </w:rPr>
        <w:t> </w:t>
      </w:r>
      <w:r>
        <w:rPr>
          <w:color w:val="231F20"/>
        </w:rPr>
        <w:t>persistence</w:t>
      </w:r>
      <w:r>
        <w:rPr>
          <w:color w:val="231F20"/>
          <w:spacing w:val="20"/>
        </w:rPr>
        <w:t> </w:t>
      </w:r>
      <w:r>
        <w:rPr>
          <w:color w:val="231F20"/>
        </w:rPr>
        <w:t>and</w:t>
      </w:r>
      <w:r>
        <w:rPr>
          <w:color w:val="231F20"/>
          <w:spacing w:val="20"/>
        </w:rPr>
        <w:t> </w:t>
      </w:r>
      <w:r>
        <w:rPr>
          <w:color w:val="231F20"/>
        </w:rPr>
        <w:t>how to set it.)</w:t>
      </w:r>
    </w:p>
    <w:p>
      <w:pPr>
        <w:pStyle w:val="Heading4"/>
        <w:spacing w:before="196"/>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258"/>
      </w:pPr>
      <w:r>
        <w:rPr>
          <w:color w:val="231F20"/>
        </w:rPr>
        <w:t>This procedure assumes that you are creating or editing a situation in the Situation editor (see </w:t>
      </w:r>
      <w:hyperlink w:history="true" w:anchor="_bookmark183">
        <w:r>
          <w:rPr>
            <w:color w:val="231F20"/>
          </w:rPr>
          <w:t>“Opening the Situation editor” on page 251.</w:t>
        </w:r>
      </w:hyperlink>
      <w:r>
        <w:rPr>
          <w:color w:val="231F20"/>
        </w:rPr>
        <w:t> Take these steps to add an Until modifier to the situation.</w:t>
      </w:r>
    </w:p>
    <w:p>
      <w:pPr>
        <w:pStyle w:val="Heading4"/>
        <w:spacing w:before="199"/>
        <w:ind w:left="2472"/>
      </w:pPr>
      <w:r>
        <w:rPr>
          <w:color w:val="231F20"/>
          <w:spacing w:val="-2"/>
        </w:rPr>
        <w:t>Procedure</w:t>
      </w:r>
    </w:p>
    <w:p>
      <w:pPr>
        <w:pStyle w:val="ListParagraph"/>
        <w:numPr>
          <w:ilvl w:val="1"/>
          <w:numId w:val="120"/>
        </w:numPr>
        <w:tabs>
          <w:tab w:pos="2787" w:val="left" w:leader="none"/>
        </w:tabs>
        <w:spacing w:line="240" w:lineRule="auto" w:before="38" w:after="0"/>
        <w:ind w:left="2787" w:right="0" w:hanging="315"/>
        <w:jc w:val="left"/>
        <w:rPr>
          <w:sz w:val="20"/>
        </w:rPr>
      </w:pPr>
      <w:r>
        <w:rPr>
          <w:color w:val="231F20"/>
          <w:sz w:val="20"/>
        </w:rPr>
        <w:t>Click</w:t>
      </w:r>
      <w:r>
        <w:rPr>
          <w:color w:val="231F20"/>
          <w:spacing w:val="10"/>
          <w:sz w:val="20"/>
        </w:rPr>
        <w:t> </w:t>
      </w:r>
      <w:r>
        <w:rPr>
          <w:color w:val="231F20"/>
          <w:sz w:val="20"/>
        </w:rPr>
        <w:t>the</w:t>
      </w:r>
      <w:r>
        <w:rPr>
          <w:color w:val="231F20"/>
          <w:spacing w:val="13"/>
          <w:sz w:val="20"/>
        </w:rPr>
        <w:t> </w:t>
      </w:r>
      <w:r>
        <w:rPr>
          <w:color w:val="231F20"/>
          <w:spacing w:val="16"/>
          <w:position w:val="-1"/>
          <w:sz w:val="20"/>
        </w:rPr>
        <w:drawing>
          <wp:inline distT="0" distB="0" distL="0" distR="0">
            <wp:extent cx="101600" cy="101600"/>
            <wp:effectExtent l="0" t="0" r="0" b="0"/>
            <wp:docPr id="2342" name="Image 2342"/>
            <wp:cNvGraphicFramePr>
              <a:graphicFrameLocks/>
            </wp:cNvGraphicFramePr>
            <a:graphic>
              <a:graphicData uri="http://schemas.openxmlformats.org/drawingml/2006/picture">
                <pic:pic>
                  <pic:nvPicPr>
                    <pic:cNvPr id="2342" name="Image 2342"/>
                    <pic:cNvPicPr/>
                  </pic:nvPicPr>
                  <pic:blipFill>
                    <a:blip r:embed="rId10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color w:val="231F20"/>
          <w:sz w:val="20"/>
        </w:rPr>
        <w:t>Until</w:t>
      </w:r>
      <w:r>
        <w:rPr>
          <w:color w:val="231F20"/>
          <w:spacing w:val="13"/>
          <w:sz w:val="20"/>
        </w:rPr>
        <w:t> </w:t>
      </w:r>
      <w:r>
        <w:rPr>
          <w:color w:val="231F20"/>
          <w:spacing w:val="-4"/>
          <w:sz w:val="20"/>
        </w:rPr>
        <w:t>tab.</w:t>
      </w:r>
    </w:p>
    <w:p>
      <w:pPr>
        <w:pStyle w:val="BodyText"/>
        <w:spacing w:line="213" w:lineRule="auto" w:before="53"/>
        <w:ind w:left="2788" w:right="545"/>
      </w:pPr>
      <w:r>
        <w:rPr>
          <w:color w:val="231F20"/>
        </w:rPr>
        <w:t>If it is not open already, open the Situation editor and select the situation to which you want to specify the Until modifier.</w:t>
      </w:r>
    </w:p>
    <w:p>
      <w:pPr>
        <w:pStyle w:val="ListParagraph"/>
        <w:numPr>
          <w:ilvl w:val="1"/>
          <w:numId w:val="120"/>
        </w:numPr>
        <w:tabs>
          <w:tab w:pos="2787" w:val="left" w:leader="none"/>
        </w:tabs>
        <w:spacing w:line="240" w:lineRule="auto" w:before="35" w:after="0"/>
        <w:ind w:left="2787" w:right="0" w:hanging="315"/>
        <w:jc w:val="left"/>
        <w:rPr>
          <w:sz w:val="20"/>
        </w:rPr>
      </w:pPr>
      <w:r>
        <w:rPr>
          <w:color w:val="231F20"/>
          <w:sz w:val="20"/>
        </w:rPr>
        <w:t>Specify</w:t>
      </w:r>
      <w:r>
        <w:rPr>
          <w:color w:val="231F20"/>
          <w:spacing w:val="11"/>
          <w:sz w:val="20"/>
        </w:rPr>
        <w:t> </w:t>
      </w:r>
      <w:r>
        <w:rPr>
          <w:color w:val="231F20"/>
          <w:sz w:val="20"/>
        </w:rPr>
        <w:t>when</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the</w:t>
      </w:r>
      <w:r>
        <w:rPr>
          <w:color w:val="231F20"/>
          <w:spacing w:val="12"/>
          <w:sz w:val="20"/>
        </w:rPr>
        <w:t> </w:t>
      </w:r>
      <w:r>
        <w:rPr>
          <w:color w:val="231F20"/>
          <w:sz w:val="20"/>
        </w:rPr>
        <w:t>situation</w:t>
      </w:r>
      <w:r>
        <w:rPr>
          <w:color w:val="231F20"/>
          <w:spacing w:val="11"/>
          <w:sz w:val="20"/>
        </w:rPr>
        <w:t> </w:t>
      </w:r>
      <w:r>
        <w:rPr>
          <w:color w:val="231F20"/>
          <w:sz w:val="20"/>
        </w:rPr>
        <w:t>to</w:t>
      </w:r>
      <w:r>
        <w:rPr>
          <w:color w:val="231F20"/>
          <w:spacing w:val="12"/>
          <w:sz w:val="20"/>
        </w:rPr>
        <w:t> </w:t>
      </w:r>
      <w:r>
        <w:rPr>
          <w:color w:val="231F20"/>
          <w:spacing w:val="-2"/>
          <w:sz w:val="20"/>
        </w:rPr>
        <w:t>close:</w:t>
      </w:r>
    </w:p>
    <w:p>
      <w:pPr>
        <w:spacing w:line="213" w:lineRule="auto" w:before="53"/>
        <w:ind w:left="3004" w:right="545" w:hanging="216"/>
        <w:jc w:val="left"/>
        <w:rPr>
          <w:sz w:val="20"/>
        </w:rPr>
      </w:pPr>
      <w:r>
        <w:rPr>
          <w:rFonts w:ascii="Futura MdCn BT"/>
          <w:color w:val="231F20"/>
          <w:sz w:val="20"/>
        </w:rPr>
        <w:t>v</w:t>
      </w:r>
      <w:r>
        <w:rPr>
          <w:rFonts w:ascii="Futura MdCn BT"/>
          <w:color w:val="231F20"/>
          <w:spacing w:val="80"/>
          <w:sz w:val="20"/>
        </w:rPr>
        <w:t> </w:t>
      </w:r>
      <w:r>
        <w:rPr>
          <w:color w:val="231F20"/>
          <w:sz w:val="20"/>
        </w:rPr>
        <w:t>Check </w:t>
      </w:r>
      <w:r>
        <w:rPr>
          <w:rFonts w:ascii="Book Antiqua"/>
          <w:b/>
          <w:color w:val="231F20"/>
          <w:sz w:val="20"/>
        </w:rPr>
        <w:t>Another Situation is TRUE </w:t>
      </w:r>
      <w:r>
        <w:rPr>
          <w:color w:val="231F20"/>
          <w:sz w:val="20"/>
        </w:rPr>
        <w:t>to close the event when the situation </w:t>
      </w:r>
      <w:r>
        <w:rPr>
          <w:color w:val="231F20"/>
          <w:sz w:val="20"/>
        </w:rPr>
        <w:t>is</w:t>
      </w:r>
      <w:r>
        <w:rPr>
          <w:color w:val="231F20"/>
          <w:sz w:val="20"/>
        </w:rPr>
        <w:t> true and select a situation from the </w:t>
      </w:r>
      <w:r>
        <w:rPr>
          <w:color w:val="231F20"/>
          <w:spacing w:val="15"/>
          <w:position w:val="-1"/>
          <w:sz w:val="20"/>
        </w:rPr>
        <w:drawing>
          <wp:inline distT="0" distB="0" distL="0" distR="0">
            <wp:extent cx="101600" cy="101600"/>
            <wp:effectExtent l="0" t="0" r="0" b="0"/>
            <wp:docPr id="2343" name="Image 2343"/>
            <wp:cNvGraphicFramePr>
              <a:graphicFrameLocks/>
            </wp:cNvGraphicFramePr>
            <a:graphic>
              <a:graphicData uri="http://schemas.openxmlformats.org/drawingml/2006/picture">
                <pic:pic>
                  <pic:nvPicPr>
                    <pic:cNvPr id="2343" name="Image 234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w:t>
      </w:r>
    </w:p>
    <w:p>
      <w:pPr>
        <w:pStyle w:val="BodyText"/>
        <w:spacing w:line="213" w:lineRule="auto" w:before="59"/>
        <w:ind w:left="3004" w:right="493"/>
      </w:pPr>
      <w:r>
        <w:rPr>
          <w:color w:val="231F20"/>
        </w:rPr>
        <w:t>The situations available are for the same type of monitoring agent that </w:t>
      </w:r>
      <w:r>
        <w:rPr>
          <w:color w:val="231F20"/>
        </w:rPr>
        <w:t>this situation uses or that use the IBM Tivoli Monitoring common attributes.</w:t>
      </w:r>
    </w:p>
    <w:p>
      <w:pPr>
        <w:spacing w:line="213" w:lineRule="auto" w:before="58"/>
        <w:ind w:left="3004" w:right="493" w:hanging="216"/>
        <w:jc w:val="left"/>
        <w:rPr>
          <w:sz w:val="20"/>
        </w:rPr>
      </w:pPr>
      <w:r>
        <w:rPr>
          <w:rFonts w:ascii="Futura MdCn BT"/>
          <w:color w:val="231F20"/>
          <w:sz w:val="20"/>
        </w:rPr>
        <w:t>v</w:t>
      </w:r>
      <w:r>
        <w:rPr>
          <w:rFonts w:ascii="Futura MdCn BT"/>
          <w:color w:val="231F20"/>
          <w:spacing w:val="80"/>
          <w:sz w:val="20"/>
        </w:rPr>
        <w:t> </w:t>
      </w:r>
      <w:r>
        <w:rPr>
          <w:color w:val="231F20"/>
          <w:sz w:val="20"/>
        </w:rPr>
        <w:t>Check </w:t>
      </w:r>
      <w:r>
        <w:rPr>
          <w:rFonts w:ascii="Book Antiqua"/>
          <w:b/>
          <w:color w:val="231F20"/>
          <w:sz w:val="20"/>
        </w:rPr>
        <w:t>Reset Interval Expires </w:t>
      </w:r>
      <w:r>
        <w:rPr>
          <w:color w:val="231F20"/>
          <w:sz w:val="20"/>
        </w:rPr>
        <w:t>to close the event after the specified </w:t>
      </w:r>
      <w:r>
        <w:rPr>
          <w:color w:val="231F20"/>
          <w:sz w:val="20"/>
        </w:rPr>
        <w:t>interval,</w:t>
      </w:r>
      <w:r>
        <w:rPr>
          <w:color w:val="231F20"/>
          <w:sz w:val="20"/>
        </w:rPr>
        <w:t> 15 minutes by default.</w:t>
      </w:r>
    </w:p>
    <w:p>
      <w:pPr>
        <w:pStyle w:val="BodyText"/>
        <w:spacing w:line="213" w:lineRule="auto" w:before="59"/>
        <w:ind w:left="3004"/>
      </w:pPr>
      <w:r>
        <w:rPr>
          <w:color w:val="231F20"/>
        </w:rPr>
        <w:t>To change the interval, click inside dd (day), hh (hour), mm (minute) or </w:t>
      </w:r>
      <w:r>
        <w:rPr>
          <w:color w:val="231F20"/>
        </w:rPr>
        <w:t>ss (second) and click the arrows to adjust up or down, or type the number.</w:t>
      </w:r>
    </w:p>
    <w:p>
      <w:pPr>
        <w:pStyle w:val="BodyText"/>
        <w:spacing w:before="95"/>
        <w:ind w:left="2788"/>
      </w:pPr>
      <w:r>
        <w:rPr>
          <w:color w:val="231F20"/>
        </w:rPr>
        <w:t>See</w:t>
      </w:r>
      <w:r>
        <w:rPr>
          <w:color w:val="231F20"/>
          <w:spacing w:val="11"/>
        </w:rPr>
        <w:t> </w:t>
      </w:r>
      <w:hyperlink w:history="true" w:anchor="_bookmark192">
        <w:r>
          <w:rPr>
            <w:color w:val="231F20"/>
          </w:rPr>
          <w:t>“Until”</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rPr>
          <w:t>262</w:t>
        </w:r>
      </w:hyperlink>
      <w:r>
        <w:rPr>
          <w:color w:val="231F20"/>
          <w:spacing w:val="11"/>
        </w:rPr>
        <w:t> </w:t>
      </w:r>
      <w:r>
        <w:rPr>
          <w:color w:val="231F20"/>
        </w:rPr>
        <w:t>for</w:t>
      </w:r>
      <w:r>
        <w:rPr>
          <w:color w:val="231F20"/>
          <w:spacing w:val="12"/>
        </w:rPr>
        <w:t> </w:t>
      </w:r>
      <w:r>
        <w:rPr>
          <w:color w:val="231F20"/>
        </w:rPr>
        <w:t>more</w:t>
      </w:r>
      <w:r>
        <w:rPr>
          <w:color w:val="231F20"/>
          <w:spacing w:val="11"/>
        </w:rPr>
        <w:t> </w:t>
      </w:r>
      <w:r>
        <w:rPr>
          <w:color w:val="231F20"/>
        </w:rPr>
        <w:t>information</w:t>
      </w:r>
      <w:r>
        <w:rPr>
          <w:color w:val="231F20"/>
          <w:spacing w:val="11"/>
        </w:rPr>
        <w:t> </w:t>
      </w:r>
      <w:r>
        <w:rPr>
          <w:color w:val="231F20"/>
        </w:rPr>
        <w:t>on</w:t>
      </w:r>
      <w:r>
        <w:rPr>
          <w:color w:val="231F20"/>
          <w:spacing w:val="11"/>
        </w:rPr>
        <w:t> </w:t>
      </w:r>
      <w:r>
        <w:rPr>
          <w:color w:val="231F20"/>
        </w:rPr>
        <w:t>choosing</w:t>
      </w:r>
      <w:r>
        <w:rPr>
          <w:color w:val="231F20"/>
          <w:spacing w:val="11"/>
        </w:rPr>
        <w:t> </w:t>
      </w:r>
      <w:r>
        <w:rPr>
          <w:color w:val="231F20"/>
        </w:rPr>
        <w:t>an</w:t>
      </w:r>
      <w:r>
        <w:rPr>
          <w:color w:val="231F20"/>
          <w:spacing w:val="11"/>
        </w:rPr>
        <w:t> </w:t>
      </w:r>
      <w:r>
        <w:rPr>
          <w:color w:val="231F20"/>
          <w:spacing w:val="-2"/>
        </w:rPr>
        <w:t>option.</w:t>
      </w:r>
    </w:p>
    <w:p>
      <w:pPr>
        <w:pStyle w:val="ListParagraph"/>
        <w:numPr>
          <w:ilvl w:val="1"/>
          <w:numId w:val="120"/>
        </w:numPr>
        <w:tabs>
          <w:tab w:pos="2787" w:val="left" w:leader="none"/>
        </w:tabs>
        <w:spacing w:line="240" w:lineRule="auto" w:before="29" w:after="0"/>
        <w:ind w:left="2787" w:right="0" w:hanging="315"/>
        <w:jc w:val="left"/>
        <w:rPr>
          <w:sz w:val="20"/>
        </w:rPr>
      </w:pPr>
      <w:r>
        <w:rPr>
          <w:color w:val="231F20"/>
          <w:sz w:val="20"/>
        </w:rPr>
        <w:t>Select</w:t>
      </w:r>
      <w:r>
        <w:rPr>
          <w:color w:val="231F20"/>
          <w:spacing w:val="11"/>
          <w:sz w:val="20"/>
        </w:rPr>
        <w:t> </w:t>
      </w:r>
      <w:r>
        <w:rPr>
          <w:color w:val="231F20"/>
          <w:sz w:val="20"/>
        </w:rPr>
        <w:t>other</w:t>
      </w:r>
      <w:r>
        <w:rPr>
          <w:color w:val="231F20"/>
          <w:spacing w:val="12"/>
          <w:sz w:val="20"/>
        </w:rPr>
        <w:t> </w:t>
      </w:r>
      <w:r>
        <w:rPr>
          <w:color w:val="231F20"/>
          <w:sz w:val="20"/>
        </w:rPr>
        <w:t>tabs</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editor</w:t>
      </w:r>
      <w:r>
        <w:rPr>
          <w:color w:val="231F20"/>
          <w:spacing w:val="11"/>
          <w:sz w:val="20"/>
        </w:rPr>
        <w:t> </w:t>
      </w:r>
      <w:r>
        <w:rPr>
          <w:color w:val="231F20"/>
          <w:spacing w:val="-5"/>
          <w:sz w:val="20"/>
        </w:rPr>
        <w:t>to:</w:t>
      </w:r>
    </w:p>
    <w:p>
      <w:pPr>
        <w:pStyle w:val="BodyText"/>
        <w:spacing w:line="255" w:lineRule="exact" w:before="30"/>
        <w:ind w:left="2788"/>
      </w:pPr>
      <w:r>
        <w:rPr>
          <w:rFonts w:ascii="Futura MdCn BT"/>
          <w:color w:val="231F20"/>
        </w:rPr>
        <w:t>v</w:t>
      </w:r>
      <w:r>
        <w:rPr>
          <w:rFonts w:ascii="Futura MdCn BT"/>
          <w:color w:val="231F20"/>
          <w:spacing w:val="31"/>
        </w:rPr>
        <w:t>  </w:t>
      </w:r>
      <w:r>
        <w:rPr>
          <w:color w:val="231F20"/>
        </w:rPr>
        <w:t>Distribute</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managed</w:t>
      </w:r>
      <w:r>
        <w:rPr>
          <w:color w:val="231F20"/>
          <w:spacing w:val="13"/>
        </w:rPr>
        <w:t> </w:t>
      </w:r>
      <w:r>
        <w:rPr>
          <w:color w:val="231F20"/>
        </w:rPr>
        <w:t>systems</w:t>
      </w:r>
      <w:r>
        <w:rPr>
          <w:color w:val="231F20"/>
          <w:spacing w:val="12"/>
        </w:rPr>
        <w:t> </w:t>
      </w:r>
      <w:r>
        <w:rPr>
          <w:color w:val="231F20"/>
        </w:rPr>
        <w:t>on</w:t>
      </w:r>
      <w:r>
        <w:rPr>
          <w:color w:val="231F20"/>
          <w:spacing w:val="12"/>
        </w:rPr>
        <w:t> </w:t>
      </w:r>
      <w:r>
        <w:rPr>
          <w:color w:val="231F20"/>
        </w:rPr>
        <w:t>which</w:t>
      </w:r>
      <w:r>
        <w:rPr>
          <w:color w:val="231F20"/>
          <w:spacing w:val="12"/>
        </w:rPr>
        <w:t> </w:t>
      </w:r>
      <w:r>
        <w:rPr>
          <w:color w:val="231F20"/>
        </w:rPr>
        <w:t>you</w:t>
      </w:r>
      <w:r>
        <w:rPr>
          <w:color w:val="231F20"/>
          <w:spacing w:val="12"/>
        </w:rPr>
        <w:t> </w:t>
      </w:r>
      <w:r>
        <w:rPr>
          <w:color w:val="231F20"/>
        </w:rPr>
        <w:t>want</w:t>
      </w:r>
      <w:r>
        <w:rPr>
          <w:color w:val="231F20"/>
          <w:spacing w:val="13"/>
        </w:rPr>
        <w:t> </w:t>
      </w:r>
      <w:r>
        <w:rPr>
          <w:color w:val="231F20"/>
        </w:rPr>
        <w:t>it</w:t>
      </w:r>
      <w:r>
        <w:rPr>
          <w:color w:val="231F20"/>
          <w:spacing w:val="12"/>
        </w:rPr>
        <w:t> </w:t>
      </w:r>
      <w:r>
        <w:rPr>
          <w:color w:val="231F20"/>
        </w:rPr>
        <w:t>to</w:t>
      </w:r>
      <w:r>
        <w:rPr>
          <w:color w:val="231F20"/>
          <w:spacing w:val="12"/>
        </w:rPr>
        <w:t> </w:t>
      </w:r>
      <w:r>
        <w:rPr>
          <w:color w:val="231F20"/>
          <w:spacing w:val="-4"/>
        </w:rPr>
        <w:t>run.</w:t>
      </w:r>
    </w:p>
    <w:p>
      <w:pPr>
        <w:pStyle w:val="BodyText"/>
        <w:spacing w:line="255" w:lineRule="exact"/>
        <w:ind w:left="3004"/>
      </w:pPr>
      <w:r>
        <w:rPr>
          <w:color w:val="231F20"/>
        </w:rPr>
        <w:t>See</w:t>
      </w:r>
      <w:r>
        <w:rPr>
          <w:color w:val="231F20"/>
          <w:spacing w:val="10"/>
        </w:rPr>
        <w:t> </w:t>
      </w:r>
      <w:hyperlink w:history="true" w:anchor="_bookmark199">
        <w:r>
          <w:rPr>
            <w:color w:val="231F20"/>
          </w:rPr>
          <w:t>“Distributing</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269.</w:t>
        </w:r>
      </w:hyperlink>
    </w:p>
    <w:p>
      <w:pPr>
        <w:pStyle w:val="BodyText"/>
        <w:spacing w:before="29"/>
        <w:ind w:left="2788"/>
      </w:pPr>
      <w:r>
        <w:rPr>
          <w:rFonts w:ascii="Futura MdCn BT" w:hAnsi="Futura MdCn BT"/>
          <w:color w:val="231F20"/>
        </w:rPr>
        <w:t>v</w:t>
      </w:r>
      <w:r>
        <w:rPr>
          <w:rFonts w:ascii="Futura MdCn BT" w:hAnsi="Futura MdCn BT"/>
          <w:color w:val="231F20"/>
          <w:spacing w:val="79"/>
          <w:w w:val="150"/>
        </w:rPr>
        <w:t> </w:t>
      </w:r>
      <w:r>
        <w:rPr>
          <w:color w:val="231F20"/>
        </w:rPr>
        <w:t>Add</w:t>
      </w:r>
      <w:r>
        <w:rPr>
          <w:color w:val="231F20"/>
          <w:spacing w:val="11"/>
        </w:rPr>
        <w:t> </w:t>
      </w:r>
      <w:r>
        <w:rPr>
          <w:color w:val="231F20"/>
        </w:rPr>
        <w:t>expert</w:t>
      </w:r>
      <w:r>
        <w:rPr>
          <w:color w:val="231F20"/>
          <w:spacing w:val="10"/>
        </w:rPr>
        <w:t> </w:t>
      </w:r>
      <w:r>
        <w:rPr>
          <w:color w:val="231F20"/>
        </w:rPr>
        <w:t>advice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See</w:t>
      </w:r>
      <w:r>
        <w:rPr>
          <w:color w:val="231F20"/>
          <w:spacing w:val="11"/>
        </w:rPr>
        <w:t> </w:t>
      </w:r>
      <w:hyperlink w:history="true" w:anchor="_bookmark201">
        <w:r>
          <w:rPr>
            <w:color w:val="231F20"/>
          </w:rPr>
          <w:t>“Writing</w:t>
        </w:r>
        <w:r>
          <w:rPr>
            <w:color w:val="231F20"/>
            <w:spacing w:val="11"/>
          </w:rPr>
          <w:t> </w:t>
        </w:r>
        <w:r>
          <w:rPr>
            <w:color w:val="231F20"/>
          </w:rPr>
          <w:t>expert</w:t>
        </w:r>
        <w:r>
          <w:rPr>
            <w:color w:val="231F20"/>
            <w:spacing w:val="11"/>
          </w:rPr>
          <w:t> </w:t>
        </w:r>
        <w:r>
          <w:rPr>
            <w:color w:val="231F20"/>
          </w:rPr>
          <w:t>advice”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271.</w:t>
        </w:r>
      </w:hyperlink>
    </w:p>
    <w:p>
      <w:pPr>
        <w:pStyle w:val="BodyText"/>
        <w:spacing w:line="213" w:lineRule="auto" w:before="53"/>
        <w:ind w:left="3004" w:right="385" w:hanging="216"/>
      </w:pPr>
      <w:r>
        <w:rPr>
          <w:rFonts w:ascii="Futura MdCn BT" w:hAnsi="Futura MdCn BT"/>
          <w:color w:val="231F20"/>
        </w:rPr>
        <w:t>v</w:t>
      </w:r>
      <w:r>
        <w:rPr>
          <w:rFonts w:ascii="Futura MdCn BT" w:hAnsi="Futura MdCn BT"/>
          <w:color w:val="231F20"/>
          <w:spacing w:val="80"/>
        </w:rPr>
        <w:t> </w:t>
      </w:r>
      <w:r>
        <w:rPr>
          <w:color w:val="231F20"/>
        </w:rPr>
        <w:t>Specify an action to take or a message to send to the Universal Message</w:t>
      </w:r>
      <w:r>
        <w:rPr>
          <w:color w:val="231F20"/>
          <w:spacing w:val="40"/>
        </w:rPr>
        <w:t> </w:t>
      </w:r>
      <w:r>
        <w:rPr>
          <w:color w:val="231F20"/>
        </w:rPr>
        <w:t>Console</w:t>
      </w:r>
      <w:r>
        <w:rPr>
          <w:color w:val="231F20"/>
          <w:spacing w:val="11"/>
        </w:rPr>
        <w:t> </w:t>
      </w:r>
      <w:r>
        <w:rPr>
          <w:color w:val="231F20"/>
        </w:rPr>
        <w:t>when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rPr>
        <w:t>true.</w:t>
      </w:r>
      <w:r>
        <w:rPr>
          <w:color w:val="231F20"/>
          <w:spacing w:val="11"/>
        </w:rPr>
        <w:t> </w:t>
      </w:r>
      <w:r>
        <w:rPr>
          <w:color w:val="231F20"/>
        </w:rPr>
        <w:t>See</w:t>
      </w:r>
      <w:r>
        <w:rPr>
          <w:color w:val="231F20"/>
          <w:spacing w:val="11"/>
        </w:rPr>
        <w:t> </w:t>
      </w:r>
      <w:hyperlink w:history="true" w:anchor="_bookmark203">
        <w:r>
          <w:rPr>
            <w:color w:val="231F20"/>
          </w:rPr>
          <w:t>“Specifying</w:t>
        </w:r>
        <w:r>
          <w:rPr>
            <w:color w:val="231F20"/>
            <w:spacing w:val="11"/>
          </w:rPr>
          <w:t> </w:t>
        </w:r>
        <w:r>
          <w:rPr>
            <w:color w:val="231F20"/>
          </w:rPr>
          <w:t>an</w:t>
        </w:r>
        <w:r>
          <w:rPr>
            <w:color w:val="231F20"/>
            <w:spacing w:val="12"/>
          </w:rPr>
          <w:t> </w:t>
        </w:r>
        <w:r>
          <w:rPr>
            <w:color w:val="231F20"/>
          </w:rPr>
          <w:t>action”</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27</w:t>
        </w:r>
        <w:r>
          <w:rPr>
            <w:color w:val="231F20"/>
            <w:spacing w:val="-5"/>
          </w:rPr>
          <w:t>3</w:t>
        </w:r>
      </w:hyperlink>
    </w:p>
    <w:p>
      <w:pPr>
        <w:pStyle w:val="BodyText"/>
        <w:spacing w:line="213" w:lineRule="auto" w:before="59"/>
        <w:ind w:left="3004" w:right="274" w:hanging="216"/>
      </w:pPr>
      <w:r>
        <w:rPr>
          <w:rFonts w:ascii="Futura MdCn BT" w:hAnsi="Futura MdCn BT"/>
          <w:color w:val="231F20"/>
        </w:rPr>
        <w:t>v</w:t>
      </w:r>
      <w:r>
        <w:rPr>
          <w:rFonts w:ascii="Futura MdCn BT" w:hAnsi="Futura MdCn BT"/>
          <w:color w:val="231F20"/>
          <w:spacing w:val="80"/>
        </w:rPr>
        <w:t> </w:t>
      </w:r>
      <w:r>
        <w:rPr>
          <w:color w:val="231F20"/>
        </w:rPr>
        <w:t>Forward events that open for this situation to an Event Integration Facility receiver such as the Netcool/OMNIbus Probe for Tivoli EIF. See </w:t>
      </w:r>
      <w:hyperlink w:history="true" w:anchor="_bookmark205">
        <w:r>
          <w:rPr>
            <w:color w:val="231F20"/>
          </w:rPr>
          <w:t>“Forwarding</w:t>
        </w:r>
      </w:hyperlink>
      <w:r>
        <w:rPr>
          <w:color w:val="231F20"/>
        </w:rPr>
        <w:t> </w:t>
      </w:r>
      <w:hyperlink w:history="true" w:anchor="_bookmark205">
        <w:r>
          <w:rPr>
            <w:color w:val="231F20"/>
          </w:rPr>
          <w:t>the event to an EIF receiver” on page 276.</w:t>
        </w:r>
      </w:hyperlink>
    </w:p>
    <w:p>
      <w:pPr>
        <w:pStyle w:val="ListParagraph"/>
        <w:numPr>
          <w:ilvl w:val="1"/>
          <w:numId w:val="120"/>
        </w:numPr>
        <w:tabs>
          <w:tab w:pos="2788" w:val="left" w:leader="none"/>
        </w:tabs>
        <w:spacing w:line="213" w:lineRule="auto" w:before="57" w:after="0"/>
        <w:ind w:left="2788" w:right="433" w:hanging="316"/>
        <w:jc w:val="both"/>
        <w:rPr>
          <w:sz w:val="20"/>
        </w:rPr>
      </w:pPr>
      <w:r>
        <w:rPr>
          <w:color w:val="231F20"/>
          <w:sz w:val="20"/>
        </w:rPr>
        <w:t>When you are finished composing the situation, save your changes and start the situation by clicking </w:t>
      </w:r>
      <w:r>
        <w:rPr>
          <w:rFonts w:ascii="Book Antiqua"/>
          <w:b/>
          <w:color w:val="231F20"/>
          <w:sz w:val="20"/>
        </w:rPr>
        <w:t>Apply </w:t>
      </w:r>
      <w:r>
        <w:rPr>
          <w:color w:val="231F20"/>
          <w:sz w:val="20"/>
        </w:rPr>
        <w:t>to keep the editor open; or by clicking </w:t>
      </w:r>
      <w:r>
        <w:rPr>
          <w:rFonts w:ascii="Book Antiqua"/>
          <w:b/>
          <w:color w:val="231F20"/>
          <w:sz w:val="20"/>
        </w:rPr>
        <w:t>OK </w:t>
      </w:r>
      <w:r>
        <w:rPr>
          <w:color w:val="231F20"/>
          <w:sz w:val="20"/>
        </w:rPr>
        <w:t>to close the Situation editor.</w:t>
      </w:r>
    </w:p>
    <w:p>
      <w:pPr>
        <w:pStyle w:val="BodyText"/>
        <w:spacing w:line="213" w:lineRule="auto" w:before="58"/>
        <w:ind w:left="2788" w:right="258"/>
      </w:pPr>
      <w:r>
        <w:rPr>
          <w:color w:val="231F20"/>
        </w:rPr>
        <w:t>The Situation editor performs syntax checking on each expression you enter. If you entered an improper value for an attribute, such as “abc” for Disk Size, the cell turns red and the situation will not be saved until you correct the error.</w:t>
      </w:r>
    </w:p>
    <w:p>
      <w:pPr>
        <w:pStyle w:val="BodyText"/>
        <w:spacing w:line="213" w:lineRule="auto" w:before="58"/>
        <w:ind w:left="2788" w:right="385"/>
      </w:pPr>
      <w:r>
        <w:rPr>
          <w:color w:val="231F20"/>
        </w:rPr>
        <w:t>If you opened the Situation editor from the toolbar, the situation you just</w:t>
      </w:r>
      <w:r>
        <w:rPr>
          <w:color w:val="231F20"/>
          <w:spacing w:val="40"/>
        </w:rPr>
        <w:t> </w:t>
      </w:r>
      <w:r>
        <w:rPr>
          <w:color w:val="231F20"/>
        </w:rPr>
        <w:t>created will not be associated with any Navigator items and no event </w:t>
      </w:r>
      <w:r>
        <w:rPr>
          <w:color w:val="231F20"/>
        </w:rPr>
        <w:t>indicator</w:t>
      </w:r>
    </w:p>
    <w:p>
      <w:pPr>
        <w:spacing w:after="0" w:line="213" w:lineRule="auto"/>
        <w:sectPr>
          <w:pgSz w:w="12240" w:h="15840"/>
          <w:pgMar w:header="0" w:footer="736" w:top="1160" w:bottom="920" w:left="1000" w:right="1060"/>
        </w:sectPr>
      </w:pPr>
    </w:p>
    <w:p>
      <w:pPr>
        <w:pStyle w:val="BodyText"/>
        <w:spacing w:line="213" w:lineRule="auto" w:before="85"/>
        <w:ind w:left="2548" w:right="545"/>
      </w:pPr>
      <w:bookmarkStart w:name="_bookmark205" w:id="434"/>
      <w:bookmarkEnd w:id="434"/>
      <w:r>
        <w:rPr/>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8"/>
        <w:ind w:left="2548" w:right="636"/>
      </w:pPr>
      <w:r>
        <w:rPr>
          <w:color w:val="231F20"/>
        </w:rPr>
        <w:t>Situations are stored at the hub monitoring server. In the unlikely event that two users attempt to save a situation with the same name simultaneously, </w:t>
      </w:r>
      <w:r>
        <w:rPr>
          <w:color w:val="231F20"/>
        </w:rPr>
        <w:t>an error will occur, ensuring that one situation does not overwrite another.</w:t>
      </w:r>
    </w:p>
    <w:p>
      <w:pPr>
        <w:pStyle w:val="ListParagraph"/>
        <w:numPr>
          <w:ilvl w:val="1"/>
          <w:numId w:val="120"/>
        </w:numPr>
        <w:tabs>
          <w:tab w:pos="2548" w:val="left" w:leader="none"/>
          <w:tab w:pos="2615" w:val="left" w:leader="none"/>
        </w:tabs>
        <w:spacing w:line="213" w:lineRule="auto" w:before="58" w:after="0"/>
        <w:ind w:left="2548" w:right="454" w:hanging="316"/>
        <w:jc w:val="left"/>
        <w:rPr>
          <w:sz w:val="20"/>
        </w:rPr>
      </w:pPr>
      <w:r>
        <w:rPr>
          <w:rFonts w:ascii="Arial"/>
          <w:color w:val="231F20"/>
          <w:sz w:val="20"/>
        </w:rPr>
        <w:tab/>
      </w:r>
      <w:r>
        <w:rPr>
          <w:color w:val="231F20"/>
          <w:sz w:val="20"/>
        </w:rPr>
        <w:t>If the Distribution Change window is displayed, click </w:t>
      </w:r>
      <w:r>
        <w:rPr>
          <w:rFonts w:ascii="Book Antiqua"/>
          <w:b/>
          <w:color w:val="231F20"/>
          <w:sz w:val="20"/>
        </w:rPr>
        <w:t>OK </w:t>
      </w:r>
      <w:r>
        <w:rPr>
          <w:color w:val="231F20"/>
          <w:sz w:val="20"/>
        </w:rPr>
        <w:t>to add the </w:t>
      </w:r>
      <w:r>
        <w:rPr>
          <w:color w:val="231F20"/>
          <w:sz w:val="20"/>
        </w:rPr>
        <w:t>managed systems shown in the </w:t>
      </w:r>
      <w:r>
        <w:rPr>
          <w:rFonts w:ascii="Book Antiqua"/>
          <w:b/>
          <w:color w:val="231F20"/>
          <w:sz w:val="20"/>
        </w:rPr>
        <w:t>Required Managed Systems </w:t>
      </w:r>
      <w:r>
        <w:rPr>
          <w:color w:val="231F20"/>
          <w:sz w:val="20"/>
        </w:rPr>
        <w:t>list to the distribution for</w:t>
      </w:r>
      <w:r>
        <w:rPr>
          <w:color w:val="231F20"/>
          <w:spacing w:val="80"/>
          <w:sz w:val="20"/>
        </w:rPr>
        <w:t> </w:t>
      </w:r>
      <w:r>
        <w:rPr>
          <w:color w:val="231F20"/>
          <w:sz w:val="20"/>
        </w:rPr>
        <w:t>this situation.</w:t>
      </w:r>
    </w:p>
    <w:p>
      <w:pPr>
        <w:pStyle w:val="Heading3"/>
        <w:spacing w:before="217"/>
        <w:ind w:left="1334"/>
      </w:pPr>
      <w:bookmarkStart w:name="Forwarding the event to an EIF receiver" w:id="435"/>
      <w:bookmarkEnd w:id="435"/>
      <w:r>
        <w:rPr>
          <w:b w:val="0"/>
        </w:rPr>
      </w:r>
      <w:r>
        <w:rPr>
          <w:color w:val="231F20"/>
        </w:rPr>
        <w:t>Forwarding</w:t>
      </w:r>
      <w:r>
        <w:rPr>
          <w:color w:val="231F20"/>
          <w:spacing w:val="8"/>
        </w:rPr>
        <w:t> </w:t>
      </w:r>
      <w:r>
        <w:rPr>
          <w:color w:val="231F20"/>
        </w:rPr>
        <w:t>the</w:t>
      </w:r>
      <w:r>
        <w:rPr>
          <w:color w:val="231F20"/>
          <w:spacing w:val="9"/>
        </w:rPr>
        <w:t> </w:t>
      </w:r>
      <w:r>
        <w:rPr>
          <w:color w:val="231F20"/>
        </w:rPr>
        <w:t>event</w:t>
      </w:r>
      <w:r>
        <w:rPr>
          <w:color w:val="231F20"/>
          <w:spacing w:val="9"/>
        </w:rPr>
        <w:t> </w:t>
      </w:r>
      <w:r>
        <w:rPr>
          <w:color w:val="231F20"/>
        </w:rPr>
        <w:t>to</w:t>
      </w:r>
      <w:r>
        <w:rPr>
          <w:color w:val="231F20"/>
          <w:spacing w:val="9"/>
        </w:rPr>
        <w:t> </w:t>
      </w:r>
      <w:r>
        <w:rPr>
          <w:color w:val="231F20"/>
        </w:rPr>
        <w:t>an</w:t>
      </w:r>
      <w:r>
        <w:rPr>
          <w:color w:val="231F20"/>
          <w:spacing w:val="9"/>
        </w:rPr>
        <w:t> </w:t>
      </w:r>
      <w:r>
        <w:rPr>
          <w:color w:val="231F20"/>
        </w:rPr>
        <w:t>EIF</w:t>
      </w:r>
      <w:r>
        <w:rPr>
          <w:color w:val="231F20"/>
          <w:spacing w:val="8"/>
        </w:rPr>
        <w:t> </w:t>
      </w:r>
      <w:r>
        <w:rPr>
          <w:color w:val="231F20"/>
          <w:spacing w:val="-2"/>
        </w:rPr>
        <w:t>receiver</w:t>
      </w:r>
    </w:p>
    <w:p>
      <w:pPr>
        <w:pStyle w:val="BodyText"/>
        <w:spacing w:line="213" w:lineRule="auto" w:before="58"/>
        <w:ind w:left="2232" w:right="636"/>
      </w:pPr>
      <w:r>
        <w:rPr>
          <w:color w:val="231F20"/>
        </w:rPr>
        <w:t>When situation event forwarding has been configured in your monitoring environment, a default Event Integration Facility receiver is assigned and the severity of forwarded events matches the state specified for the situation. The EIF tab of the Situation editor enables you to specify the severity and the EIF receiver</w:t>
      </w:r>
      <w:r>
        <w:rPr>
          <w:color w:val="231F20"/>
          <w:spacing w:val="40"/>
        </w:rPr>
        <w:t> </w:t>
      </w:r>
      <w:r>
        <w:rPr>
          <w:color w:val="231F20"/>
        </w:rPr>
        <w:t>or receivers the event shall be forwarded to, or to disable event forwarding for a </w:t>
      </w:r>
      <w:r>
        <w:rPr>
          <w:color w:val="231F20"/>
          <w:spacing w:val="-2"/>
        </w:rPr>
        <w:t>situation.</w:t>
      </w:r>
    </w:p>
    <w:p>
      <w:pPr>
        <w:pStyle w:val="Heading4"/>
        <w:spacing w:before="197"/>
      </w:pPr>
      <w:r>
        <w:rPr>
          <w:color w:val="231F20"/>
        </w:rPr>
        <w:t>About</w:t>
      </w:r>
      <w:r>
        <w:rPr>
          <w:color w:val="231F20"/>
          <w:spacing w:val="7"/>
        </w:rPr>
        <w:t> </w:t>
      </w:r>
      <w:r>
        <w:rPr>
          <w:color w:val="231F20"/>
        </w:rPr>
        <w:t>this</w:t>
      </w:r>
      <w:r>
        <w:rPr>
          <w:color w:val="231F20"/>
          <w:spacing w:val="7"/>
        </w:rPr>
        <w:t> </w:t>
      </w:r>
      <w:r>
        <w:rPr>
          <w:color w:val="231F20"/>
          <w:spacing w:val="-4"/>
        </w:rPr>
        <w:t>task</w:t>
      </w:r>
    </w:p>
    <w:p>
      <w:pPr>
        <w:spacing w:line="213" w:lineRule="auto" w:before="241"/>
        <w:ind w:left="2232" w:right="545" w:firstLine="0"/>
        <w:jc w:val="left"/>
        <w:rPr>
          <w:sz w:val="20"/>
        </w:rPr>
      </w:pPr>
      <w:r>
        <w:rPr>
          <w:rFonts w:ascii="Book Antiqua"/>
          <w:b/>
          <w:color w:val="231F20"/>
          <w:sz w:val="20"/>
        </w:rPr>
        <w:t>Note:</w:t>
      </w:r>
      <w:r>
        <w:rPr>
          <w:rFonts w:ascii="Book Antiqua"/>
          <w:b/>
          <w:color w:val="231F20"/>
          <w:spacing w:val="40"/>
          <w:sz w:val="20"/>
        </w:rPr>
        <w:t> </w:t>
      </w:r>
      <w:r>
        <w:rPr>
          <w:color w:val="231F20"/>
          <w:sz w:val="20"/>
        </w:rPr>
        <w:t>The EIF tab shows in the Situation editor only if the hub monitoring </w:t>
      </w:r>
      <w:r>
        <w:rPr>
          <w:color w:val="231F20"/>
          <w:sz w:val="20"/>
        </w:rPr>
        <w:t>server has been configured to forward events. See </w:t>
      </w:r>
      <w:r>
        <w:rPr>
          <w:rFonts w:ascii="Book Antiqua"/>
          <w:i/>
          <w:color w:val="231F20"/>
          <w:sz w:val="20"/>
        </w:rPr>
        <w:t>IBM Tivoli Monitoring Installation and</w:t>
      </w:r>
      <w:r>
        <w:rPr>
          <w:rFonts w:ascii="Book Antiqua"/>
          <w:i/>
          <w:color w:val="231F20"/>
          <w:sz w:val="20"/>
        </w:rPr>
        <w:t> Setup Guide </w:t>
      </w:r>
      <w:r>
        <w:rPr>
          <w:color w:val="231F20"/>
          <w:sz w:val="20"/>
        </w:rPr>
        <w:t>for details.</w:t>
      </w:r>
    </w:p>
    <w:p>
      <w:pPr>
        <w:pStyle w:val="BodyText"/>
        <w:spacing w:line="213" w:lineRule="auto" w:before="238"/>
        <w:ind w:left="2232" w:right="545"/>
      </w:pPr>
      <w:r>
        <w:rPr>
          <w:color w:val="231F20"/>
        </w:rPr>
        <w:t>You can avoid duplicate situation events (one from the monitoring server and </w:t>
      </w:r>
      <w:r>
        <w:rPr>
          <w:color w:val="231F20"/>
        </w:rPr>
        <w:t>one from the event server or ObjectServer) by configuring connectors as described in “Best practices for using event synchronization” in the </w:t>
      </w:r>
      <w:r>
        <w:rPr>
          <w:rFonts w:ascii="Book Antiqua" w:hAnsi="Book Antiqua"/>
          <w:i/>
          <w:color w:val="231F20"/>
        </w:rPr>
        <w:t>IBM Tivoli Monitoring</w:t>
      </w:r>
      <w:r>
        <w:rPr>
          <w:rFonts w:ascii="Book Antiqua" w:hAnsi="Book Antiqua"/>
          <w:i/>
          <w:color w:val="231F20"/>
        </w:rPr>
        <w:t> Administrator's Guide</w:t>
      </w:r>
      <w:r>
        <w:rPr>
          <w:color w:val="231F20"/>
        </w:rPr>
        <w:t>.</w:t>
      </w:r>
    </w:p>
    <w:p>
      <w:pPr>
        <w:pStyle w:val="BodyText"/>
        <w:spacing w:before="213"/>
        <w:ind w:left="2232"/>
      </w:pPr>
      <w:r>
        <w:rPr>
          <w:color w:val="231F20"/>
        </w:rPr>
        <w:t>Complete</w:t>
      </w:r>
      <w:r>
        <w:rPr>
          <w:color w:val="231F20"/>
          <w:spacing w:val="10"/>
        </w:rPr>
        <w:t> </w:t>
      </w:r>
      <w:r>
        <w:rPr>
          <w:color w:val="231F20"/>
        </w:rPr>
        <w:t>these</w:t>
      </w:r>
      <w:r>
        <w:rPr>
          <w:color w:val="231F20"/>
          <w:spacing w:val="11"/>
        </w:rPr>
        <w:t> </w:t>
      </w:r>
      <w:r>
        <w:rPr>
          <w:color w:val="231F20"/>
        </w:rPr>
        <w:t>steps</w:t>
      </w:r>
      <w:r>
        <w:rPr>
          <w:color w:val="231F20"/>
          <w:spacing w:val="10"/>
        </w:rPr>
        <w:t> </w:t>
      </w:r>
      <w:r>
        <w:rPr>
          <w:color w:val="231F20"/>
        </w:rPr>
        <w:t>to</w:t>
      </w:r>
      <w:r>
        <w:rPr>
          <w:color w:val="231F20"/>
          <w:spacing w:val="11"/>
        </w:rPr>
        <w:t> </w:t>
      </w:r>
      <w:r>
        <w:rPr>
          <w:color w:val="231F20"/>
        </w:rPr>
        <w:t>customize</w:t>
      </w:r>
      <w:r>
        <w:rPr>
          <w:color w:val="231F20"/>
          <w:spacing w:val="10"/>
        </w:rPr>
        <w:t> </w:t>
      </w:r>
      <w:r>
        <w:rPr>
          <w:color w:val="231F20"/>
        </w:rPr>
        <w:t>how</w:t>
      </w:r>
      <w:r>
        <w:rPr>
          <w:color w:val="231F20"/>
          <w:spacing w:val="11"/>
        </w:rPr>
        <w:t> </w:t>
      </w:r>
      <w:r>
        <w:rPr>
          <w:color w:val="231F20"/>
        </w:rPr>
        <w:t>events</w:t>
      </w:r>
      <w:r>
        <w:rPr>
          <w:color w:val="231F20"/>
          <w:spacing w:val="10"/>
        </w:rPr>
        <w:t> </w:t>
      </w:r>
      <w:r>
        <w:rPr>
          <w:color w:val="231F20"/>
        </w:rPr>
        <w:t>are</w:t>
      </w:r>
      <w:r>
        <w:rPr>
          <w:color w:val="231F20"/>
          <w:spacing w:val="11"/>
        </w:rPr>
        <w:t> </w:t>
      </w:r>
      <w:r>
        <w:rPr>
          <w:color w:val="231F20"/>
        </w:rPr>
        <w:t>forwarded</w:t>
      </w:r>
      <w:r>
        <w:rPr>
          <w:color w:val="231F20"/>
          <w:spacing w:val="10"/>
        </w:rPr>
        <w:t> </w:t>
      </w:r>
      <w:r>
        <w:rPr>
          <w:color w:val="231F20"/>
        </w:rPr>
        <w:t>to</w:t>
      </w:r>
      <w:r>
        <w:rPr>
          <w:color w:val="231F20"/>
          <w:spacing w:val="11"/>
        </w:rPr>
        <w:t> </w:t>
      </w:r>
      <w:r>
        <w:rPr>
          <w:color w:val="231F20"/>
        </w:rPr>
        <w:t>the</w:t>
      </w:r>
      <w:r>
        <w:rPr>
          <w:color w:val="231F20"/>
          <w:spacing w:val="10"/>
        </w:rPr>
        <w:t> </w:t>
      </w:r>
      <w:r>
        <w:rPr>
          <w:color w:val="231F20"/>
        </w:rPr>
        <w:t>EIF</w:t>
      </w:r>
      <w:r>
        <w:rPr>
          <w:color w:val="231F20"/>
          <w:spacing w:val="11"/>
        </w:rPr>
        <w:t> </w:t>
      </w:r>
      <w:r>
        <w:rPr>
          <w:color w:val="231F20"/>
          <w:spacing w:val="-2"/>
        </w:rPr>
        <w:t>receiver:</w:t>
      </w:r>
    </w:p>
    <w:p>
      <w:pPr>
        <w:pStyle w:val="Heading4"/>
        <w:spacing w:before="194"/>
      </w:pPr>
      <w:r>
        <w:rPr>
          <w:color w:val="231F20"/>
          <w:spacing w:val="-2"/>
        </w:rPr>
        <w:t>Procedure</w:t>
      </w:r>
    </w:p>
    <w:p>
      <w:pPr>
        <w:pStyle w:val="ListParagraph"/>
        <w:numPr>
          <w:ilvl w:val="0"/>
          <w:numId w:val="122"/>
        </w:numPr>
        <w:tabs>
          <w:tab w:pos="2547" w:val="left" w:leader="none"/>
        </w:tabs>
        <w:spacing w:line="240" w:lineRule="auto" w:before="39"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editor,</w:t>
      </w:r>
      <w:r>
        <w:rPr>
          <w:color w:val="231F20"/>
          <w:spacing w:val="10"/>
          <w:sz w:val="20"/>
        </w:rPr>
        <w:t> </w:t>
      </w:r>
      <w:r>
        <w:rPr>
          <w:color w:val="231F20"/>
          <w:sz w:val="20"/>
        </w:rPr>
        <w:t>click</w:t>
      </w:r>
      <w:r>
        <w:rPr>
          <w:color w:val="231F20"/>
          <w:spacing w:val="10"/>
          <w:sz w:val="20"/>
        </w:rPr>
        <w:t> </w:t>
      </w:r>
      <w:r>
        <w:rPr>
          <w:color w:val="231F20"/>
          <w:sz w:val="20"/>
        </w:rPr>
        <w:t>the</w:t>
      </w:r>
      <w:r>
        <w:rPr>
          <w:color w:val="231F20"/>
          <w:spacing w:val="9"/>
          <w:sz w:val="20"/>
        </w:rPr>
        <w:t> </w:t>
      </w:r>
      <w:r>
        <w:rPr>
          <w:rFonts w:ascii="Book Antiqua"/>
          <w:b/>
          <w:color w:val="231F20"/>
          <w:sz w:val="20"/>
        </w:rPr>
        <w:t>EIF</w:t>
      </w:r>
      <w:r>
        <w:rPr>
          <w:rFonts w:ascii="Book Antiqua"/>
          <w:b/>
          <w:color w:val="231F20"/>
          <w:spacing w:val="10"/>
          <w:sz w:val="20"/>
        </w:rPr>
        <w:t> </w:t>
      </w:r>
      <w:r>
        <w:rPr>
          <w:color w:val="231F20"/>
          <w:spacing w:val="-4"/>
          <w:sz w:val="20"/>
        </w:rPr>
        <w:t>tab.</w:t>
      </w:r>
    </w:p>
    <w:p>
      <w:pPr>
        <w:pStyle w:val="ListParagraph"/>
        <w:numPr>
          <w:ilvl w:val="0"/>
          <w:numId w:val="122"/>
        </w:numPr>
        <w:tabs>
          <w:tab w:pos="2546" w:val="left" w:leader="none"/>
          <w:tab w:pos="2548" w:val="left" w:leader="none"/>
        </w:tabs>
        <w:spacing w:line="211" w:lineRule="auto" w:before="59" w:after="0"/>
        <w:ind w:left="2548" w:right="753" w:hanging="317"/>
        <w:jc w:val="left"/>
        <w:rPr>
          <w:sz w:val="20"/>
        </w:rPr>
      </w:pPr>
      <w:r>
        <w:rPr>
          <w:color w:val="231F20"/>
          <w:sz w:val="20"/>
        </w:rPr>
        <w:t>Select </w:t>
      </w:r>
      <w:r>
        <w:rPr>
          <w:color w:val="231F20"/>
          <w:spacing w:val="16"/>
          <w:sz w:val="20"/>
        </w:rPr>
        <w:drawing>
          <wp:inline distT="0" distB="0" distL="0" distR="0">
            <wp:extent cx="82550" cy="82550"/>
            <wp:effectExtent l="0" t="0" r="0" b="0"/>
            <wp:docPr id="2344" name="Image 2344"/>
            <wp:cNvGraphicFramePr>
              <a:graphicFrameLocks/>
            </wp:cNvGraphicFramePr>
            <a:graphic>
              <a:graphicData uri="http://schemas.openxmlformats.org/drawingml/2006/picture">
                <pic:pic>
                  <pic:nvPicPr>
                    <pic:cNvPr id="2344" name="Image 234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
          <w:sz w:val="20"/>
        </w:rPr>
        <w:t> </w:t>
      </w:r>
      <w:r>
        <w:rPr>
          <w:rFonts w:ascii="Book Antiqua"/>
          <w:b/>
          <w:color w:val="231F20"/>
          <w:sz w:val="20"/>
        </w:rPr>
        <w:t>Forward Events to an EIF Receiver </w:t>
      </w:r>
      <w:r>
        <w:rPr>
          <w:color w:val="231F20"/>
          <w:sz w:val="20"/>
        </w:rPr>
        <w:t>to send an EIF event for every event that opens for this situation or clear the check box if you prefer not to</w:t>
      </w:r>
      <w:r>
        <w:rPr>
          <w:color w:val="231F20"/>
          <w:spacing w:val="40"/>
          <w:sz w:val="20"/>
        </w:rPr>
        <w:t> </w:t>
      </w:r>
      <w:r>
        <w:rPr>
          <w:color w:val="231F20"/>
          <w:sz w:val="20"/>
        </w:rPr>
        <w:t>forward events that open for this situation.</w:t>
      </w:r>
    </w:p>
    <w:p>
      <w:pPr>
        <w:pStyle w:val="ListParagraph"/>
        <w:numPr>
          <w:ilvl w:val="0"/>
          <w:numId w:val="122"/>
        </w:numPr>
        <w:tabs>
          <w:tab w:pos="2548" w:val="left" w:leader="none"/>
        </w:tabs>
        <w:spacing w:line="216" w:lineRule="auto" w:before="57" w:after="0"/>
        <w:ind w:left="2548" w:right="545" w:hanging="316"/>
        <w:jc w:val="left"/>
        <w:rPr>
          <w:sz w:val="20"/>
        </w:rPr>
      </w:pPr>
      <w:r>
        <w:rPr>
          <w:color w:val="231F20"/>
          <w:sz w:val="20"/>
        </w:rPr>
        <w:t>Select the </w:t>
      </w:r>
      <w:r>
        <w:rPr>
          <w:rFonts w:ascii="Book Antiqua"/>
          <w:b/>
          <w:color w:val="231F20"/>
          <w:sz w:val="20"/>
        </w:rPr>
        <w:t>EIF Severity </w:t>
      </w:r>
      <w:r>
        <w:rPr>
          <w:color w:val="231F20"/>
          <w:sz w:val="20"/>
        </w:rPr>
        <w:t>of forwarded events. &lt;Default EIF Severity&gt; causes </w:t>
      </w:r>
      <w:r>
        <w:rPr>
          <w:color w:val="231F20"/>
          <w:sz w:val="20"/>
        </w:rPr>
        <w:t>the event</w:t>
      </w:r>
      <w:r>
        <w:rPr>
          <w:color w:val="231F20"/>
          <w:spacing w:val="19"/>
          <w:sz w:val="20"/>
        </w:rPr>
        <w:t> </w:t>
      </w:r>
      <w:r>
        <w:rPr>
          <w:color w:val="231F20"/>
          <w:sz w:val="20"/>
        </w:rPr>
        <w:t>severity</w:t>
      </w:r>
      <w:r>
        <w:rPr>
          <w:color w:val="231F20"/>
          <w:spacing w:val="19"/>
          <w:sz w:val="20"/>
        </w:rPr>
        <w:t> </w:t>
      </w:r>
      <w:r>
        <w:rPr>
          <w:color w:val="231F20"/>
          <w:sz w:val="20"/>
        </w:rPr>
        <w:t>that</w:t>
      </w:r>
      <w:r>
        <w:rPr>
          <w:color w:val="231F20"/>
          <w:spacing w:val="19"/>
          <w:sz w:val="20"/>
        </w:rPr>
        <w:t> </w:t>
      </w:r>
      <w:r>
        <w:rPr>
          <w:color w:val="231F20"/>
          <w:sz w:val="20"/>
        </w:rPr>
        <w:t>is</w:t>
      </w:r>
      <w:r>
        <w:rPr>
          <w:color w:val="231F20"/>
          <w:spacing w:val="19"/>
          <w:sz w:val="20"/>
        </w:rPr>
        <w:t> </w:t>
      </w:r>
      <w:r>
        <w:rPr>
          <w:color w:val="231F20"/>
          <w:sz w:val="20"/>
        </w:rPr>
        <w:t>set</w:t>
      </w:r>
      <w:r>
        <w:rPr>
          <w:color w:val="231F20"/>
          <w:spacing w:val="19"/>
          <w:sz w:val="20"/>
        </w:rPr>
        <w:t> </w:t>
      </w:r>
      <w:r>
        <w:rPr>
          <w:color w:val="231F20"/>
          <w:sz w:val="20"/>
        </w:rPr>
        <w:t>for</w:t>
      </w:r>
      <w:r>
        <w:rPr>
          <w:color w:val="231F20"/>
          <w:spacing w:val="19"/>
          <w:sz w:val="20"/>
        </w:rPr>
        <w:t> </w:t>
      </w:r>
      <w:r>
        <w:rPr>
          <w:color w:val="231F20"/>
          <w:sz w:val="20"/>
        </w:rPr>
        <w:t>the</w:t>
      </w:r>
      <w:r>
        <w:rPr>
          <w:color w:val="231F20"/>
          <w:spacing w:val="19"/>
          <w:sz w:val="20"/>
        </w:rPr>
        <w:t> </w:t>
      </w:r>
      <w:r>
        <w:rPr>
          <w:color w:val="231F20"/>
          <w:sz w:val="20"/>
        </w:rPr>
        <w:t>situation</w:t>
      </w:r>
      <w:r>
        <w:rPr>
          <w:color w:val="231F20"/>
          <w:spacing w:val="19"/>
          <w:sz w:val="20"/>
        </w:rPr>
        <w:t> </w:t>
      </w:r>
      <w:r>
        <w:rPr>
          <w:color w:val="231F20"/>
          <w:sz w:val="20"/>
        </w:rPr>
        <w:t>at</w:t>
      </w:r>
      <w:r>
        <w:rPr>
          <w:color w:val="231F20"/>
          <w:spacing w:val="19"/>
          <w:sz w:val="20"/>
        </w:rPr>
        <w:t> </w:t>
      </w:r>
      <w:r>
        <w:rPr>
          <w:color w:val="231F20"/>
          <w:sz w:val="20"/>
        </w:rPr>
        <w:t>this</w:t>
      </w:r>
      <w:r>
        <w:rPr>
          <w:color w:val="231F20"/>
          <w:spacing w:val="19"/>
          <w:sz w:val="20"/>
        </w:rPr>
        <w:t> </w:t>
      </w:r>
      <w:r>
        <w:rPr>
          <w:color w:val="231F20"/>
          <w:sz w:val="20"/>
        </w:rPr>
        <w:t>Navigator</w:t>
      </w:r>
      <w:r>
        <w:rPr>
          <w:color w:val="231F20"/>
          <w:spacing w:val="19"/>
          <w:sz w:val="20"/>
        </w:rPr>
        <w:t> </w:t>
      </w:r>
      <w:r>
        <w:rPr>
          <w:color w:val="231F20"/>
          <w:sz w:val="20"/>
        </w:rPr>
        <w:t>item</w:t>
      </w:r>
      <w:r>
        <w:rPr>
          <w:color w:val="231F20"/>
          <w:spacing w:val="19"/>
          <w:sz w:val="20"/>
        </w:rPr>
        <w:t> </w:t>
      </w:r>
      <w:r>
        <w:rPr>
          <w:color w:val="231F20"/>
          <w:sz w:val="20"/>
        </w:rPr>
        <w:t>to</w:t>
      </w:r>
      <w:r>
        <w:rPr>
          <w:color w:val="231F20"/>
          <w:spacing w:val="19"/>
          <w:sz w:val="20"/>
        </w:rPr>
        <w:t> </w:t>
      </w:r>
      <w:r>
        <w:rPr>
          <w:color w:val="231F20"/>
          <w:sz w:val="20"/>
        </w:rPr>
        <w:t>be</w:t>
      </w:r>
      <w:r>
        <w:rPr>
          <w:color w:val="231F20"/>
          <w:spacing w:val="19"/>
          <w:sz w:val="20"/>
        </w:rPr>
        <w:t> </w:t>
      </w:r>
      <w:r>
        <w:rPr>
          <w:color w:val="231F20"/>
          <w:sz w:val="20"/>
        </w:rPr>
        <w:t>applied to the EIF event when </w:t>
      </w:r>
      <w:r>
        <w:rPr>
          <w:color w:val="231F20"/>
          <w:spacing w:val="15"/>
          <w:sz w:val="20"/>
        </w:rPr>
        <w:drawing>
          <wp:inline distT="0" distB="0" distL="0" distR="0">
            <wp:extent cx="82550" cy="82549"/>
            <wp:effectExtent l="0" t="0" r="0" b="0"/>
            <wp:docPr id="2345" name="Image 2345"/>
            <wp:cNvGraphicFramePr>
              <a:graphicFrameLocks/>
            </wp:cNvGraphicFramePr>
            <a:graphic>
              <a:graphicData uri="http://schemas.openxmlformats.org/drawingml/2006/picture">
                <pic:pic>
                  <pic:nvPicPr>
                    <pic:cNvPr id="2345" name="Image 2345"/>
                    <pic:cNvPicPr/>
                  </pic:nvPicPr>
                  <pic:blipFill>
                    <a:blip r:embed="rId87" cstate="print"/>
                    <a:stretch>
                      <a:fillRect/>
                    </a:stretch>
                  </pic:blipFill>
                  <pic:spPr>
                    <a:xfrm>
                      <a:off x="0" y="0"/>
                      <a:ext cx="82550" cy="82549"/>
                    </a:xfrm>
                    <a:prstGeom prst="rect">
                      <a:avLst/>
                    </a:prstGeom>
                  </pic:spPr>
                </pic:pic>
              </a:graphicData>
            </a:graphic>
          </wp:inline>
        </w:drawing>
      </w:r>
      <w:r>
        <w:rPr>
          <w:color w:val="231F20"/>
          <w:spacing w:val="15"/>
          <w:sz w:val="20"/>
        </w:rPr>
      </w:r>
      <w:r>
        <w:rPr>
          <w:rFonts w:ascii="Times New Roman"/>
          <w:color w:val="231F20"/>
          <w:spacing w:val="1"/>
          <w:sz w:val="20"/>
        </w:rPr>
        <w:t> </w:t>
      </w:r>
      <w:r>
        <w:rPr>
          <w:rFonts w:ascii="Book Antiqua"/>
          <w:b/>
          <w:color w:val="231F20"/>
          <w:sz w:val="20"/>
        </w:rPr>
        <w:t>Forward Events to an EIF Receiver </w:t>
      </w:r>
      <w:r>
        <w:rPr>
          <w:color w:val="231F20"/>
          <w:sz w:val="20"/>
        </w:rPr>
        <w:t>is selected.</w:t>
      </w:r>
    </w:p>
    <w:p>
      <w:pPr>
        <w:pStyle w:val="BodyText"/>
        <w:spacing w:line="213" w:lineRule="auto" w:before="52"/>
        <w:ind w:left="2548" w:right="545"/>
      </w:pPr>
      <w:r>
        <w:rPr>
          <w:color w:val="231F20"/>
        </w:rPr>
        <w:t>If the situation event being forwarded has the </w:t>
      </w:r>
      <w:r>
        <w:rPr>
          <w:color w:val="231F20"/>
          <w:spacing w:val="-25"/>
          <w:position w:val="-1"/>
        </w:rPr>
        <w:drawing>
          <wp:inline distT="0" distB="0" distL="0" distR="0">
            <wp:extent cx="95250" cy="95250"/>
            <wp:effectExtent l="0" t="0" r="0" b="0"/>
            <wp:docPr id="2346" name="Image 2346"/>
            <wp:cNvGraphicFramePr>
              <a:graphicFrameLocks/>
            </wp:cNvGraphicFramePr>
            <a:graphic>
              <a:graphicData uri="http://schemas.openxmlformats.org/drawingml/2006/picture">
                <pic:pic>
                  <pic:nvPicPr>
                    <pic:cNvPr id="2346" name="Image 2346"/>
                    <pic:cNvPicPr/>
                  </pic:nvPicPr>
                  <pic:blipFill>
                    <a:blip r:embed="rId126"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4"/>
        </w:rPr>
        <w:t> </w:t>
      </w:r>
      <w:r>
        <w:rPr>
          <w:color w:val="231F20"/>
        </w:rPr>
        <w:t>Informational severity, it </w:t>
      </w:r>
      <w:r>
        <w:rPr>
          <w:color w:val="231F20"/>
        </w:rPr>
        <w:t>will be seen as</w:t>
      </w:r>
      <w:r>
        <w:rPr>
          <w:color w:val="231F20"/>
          <w:spacing w:val="40"/>
        </w:rPr>
        <w:t> </w:t>
      </w:r>
      <w:r>
        <w:rPr>
          <w:color w:val="231F20"/>
          <w:spacing w:val="-24"/>
          <w:position w:val="-1"/>
        </w:rPr>
        <w:drawing>
          <wp:inline distT="0" distB="0" distL="0" distR="0">
            <wp:extent cx="95250" cy="95250"/>
            <wp:effectExtent l="0" t="0" r="0" b="0"/>
            <wp:docPr id="2347" name="Image 2347"/>
            <wp:cNvGraphicFramePr>
              <a:graphicFrameLocks/>
            </wp:cNvGraphicFramePr>
            <a:graphic>
              <a:graphicData uri="http://schemas.openxmlformats.org/drawingml/2006/picture">
                <pic:pic>
                  <pic:nvPicPr>
                    <pic:cNvPr id="2347" name="Image 2347"/>
                    <pic:cNvPicPr/>
                  </pic:nvPicPr>
                  <pic:blipFill>
                    <a:blip r:embed="rId16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Harmless at the Tivoli Enterprise Console.</w:t>
      </w:r>
    </w:p>
    <w:p>
      <w:pPr>
        <w:pStyle w:val="ListParagraph"/>
        <w:numPr>
          <w:ilvl w:val="0"/>
          <w:numId w:val="122"/>
        </w:numPr>
        <w:tabs>
          <w:tab w:pos="2547" w:val="left" w:leader="none"/>
        </w:tabs>
        <w:spacing w:line="240" w:lineRule="auto" w:before="35" w:after="0"/>
        <w:ind w:left="2547" w:right="0" w:hanging="315"/>
        <w:jc w:val="left"/>
        <w:rPr>
          <w:sz w:val="20"/>
        </w:rPr>
      </w:pPr>
      <w:r>
        <w:rPr>
          <w:color w:val="231F20"/>
          <w:sz w:val="20"/>
        </w:rPr>
        <w:t>Specify</w:t>
      </w:r>
      <w:r>
        <w:rPr>
          <w:color w:val="231F20"/>
          <w:spacing w:val="9"/>
          <w:sz w:val="20"/>
        </w:rPr>
        <w:t> </w:t>
      </w:r>
      <w:r>
        <w:rPr>
          <w:color w:val="231F20"/>
          <w:sz w:val="20"/>
        </w:rPr>
        <w:t>the</w:t>
      </w:r>
      <w:r>
        <w:rPr>
          <w:color w:val="231F20"/>
          <w:spacing w:val="10"/>
          <w:sz w:val="20"/>
        </w:rPr>
        <w:t> </w:t>
      </w:r>
      <w:r>
        <w:rPr>
          <w:color w:val="231F20"/>
          <w:sz w:val="20"/>
        </w:rPr>
        <w:t>EIF</w:t>
      </w:r>
      <w:r>
        <w:rPr>
          <w:color w:val="231F20"/>
          <w:spacing w:val="9"/>
          <w:sz w:val="20"/>
        </w:rPr>
        <w:t> </w:t>
      </w:r>
      <w:r>
        <w:rPr>
          <w:color w:val="231F20"/>
          <w:sz w:val="20"/>
        </w:rPr>
        <w:t>destinations</w:t>
      </w:r>
      <w:r>
        <w:rPr>
          <w:color w:val="231F20"/>
          <w:spacing w:val="10"/>
          <w:sz w:val="20"/>
        </w:rPr>
        <w:t> </w:t>
      </w:r>
      <w:r>
        <w:rPr>
          <w:color w:val="231F20"/>
          <w:sz w:val="20"/>
        </w:rPr>
        <w:t>for</w:t>
      </w:r>
      <w:r>
        <w:rPr>
          <w:color w:val="231F20"/>
          <w:spacing w:val="9"/>
          <w:sz w:val="20"/>
        </w:rPr>
        <w:t> </w:t>
      </w:r>
      <w:r>
        <w:rPr>
          <w:color w:val="231F20"/>
          <w:sz w:val="20"/>
        </w:rPr>
        <w:t>forwarded</w:t>
      </w:r>
      <w:r>
        <w:rPr>
          <w:color w:val="231F20"/>
          <w:spacing w:val="10"/>
          <w:sz w:val="20"/>
        </w:rPr>
        <w:t> </w:t>
      </w:r>
      <w:r>
        <w:rPr>
          <w:color w:val="231F20"/>
          <w:spacing w:val="-2"/>
          <w:sz w:val="20"/>
        </w:rPr>
        <w:t>events:</w:t>
      </w:r>
    </w:p>
    <w:p>
      <w:pPr>
        <w:spacing w:line="213" w:lineRule="auto" w:before="53"/>
        <w:ind w:left="2764" w:right="545" w:hanging="216"/>
        <w:jc w:val="left"/>
        <w:rPr>
          <w:sz w:val="20"/>
        </w:rPr>
      </w:pPr>
      <w:r>
        <w:rPr>
          <w:rFonts w:ascii="Futura MdCn BT"/>
          <w:color w:val="231F20"/>
          <w:sz w:val="20"/>
        </w:rPr>
        <w:t>v</w:t>
      </w:r>
      <w:r>
        <w:rPr>
          <w:rFonts w:ascii="Futura MdCn BT"/>
          <w:color w:val="231F20"/>
          <w:spacing w:val="80"/>
          <w:sz w:val="20"/>
        </w:rPr>
        <w:t> </w:t>
      </w:r>
      <w:r>
        <w:rPr>
          <w:color w:val="231F20"/>
          <w:sz w:val="20"/>
        </w:rPr>
        <w:t>To add a destination, select it from the </w:t>
      </w:r>
      <w:r>
        <w:rPr>
          <w:rFonts w:ascii="Book Antiqua"/>
          <w:b/>
          <w:color w:val="231F20"/>
          <w:sz w:val="20"/>
        </w:rPr>
        <w:t>Available EIF Receivers </w:t>
      </w:r>
      <w:r>
        <w:rPr>
          <w:color w:val="231F20"/>
          <w:sz w:val="20"/>
        </w:rPr>
        <w:t>list and then click the</w:t>
      </w:r>
      <w:r>
        <w:rPr>
          <w:color w:val="231F20"/>
          <w:spacing w:val="40"/>
          <w:sz w:val="20"/>
        </w:rPr>
        <w:t> </w:t>
      </w:r>
      <w:r>
        <w:rPr>
          <w:color w:val="231F20"/>
          <w:spacing w:val="16"/>
          <w:position w:val="1"/>
          <w:sz w:val="20"/>
        </w:rPr>
        <w:drawing>
          <wp:inline distT="0" distB="0" distL="0" distR="0">
            <wp:extent cx="44450" cy="76200"/>
            <wp:effectExtent l="0" t="0" r="0" b="0"/>
            <wp:docPr id="2348" name="Image 2348"/>
            <wp:cNvGraphicFramePr>
              <a:graphicFrameLocks/>
            </wp:cNvGraphicFramePr>
            <a:graphic>
              <a:graphicData uri="http://schemas.openxmlformats.org/drawingml/2006/picture">
                <pic:pic>
                  <pic:nvPicPr>
                    <pic:cNvPr id="2348" name="Image 234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80"/>
          <w:sz w:val="20"/>
        </w:rPr>
        <w:t> </w:t>
      </w:r>
      <w:r>
        <w:rPr>
          <w:color w:val="231F20"/>
          <w:sz w:val="20"/>
        </w:rPr>
        <w:t>left-arrow.</w:t>
      </w:r>
    </w:p>
    <w:p>
      <w:pPr>
        <w:spacing w:line="255" w:lineRule="exact" w:before="35"/>
        <w:ind w:left="2548" w:right="0" w:firstLine="0"/>
        <w:jc w:val="left"/>
        <w:rPr>
          <w:rFonts w:ascii="Book Antiqua"/>
          <w:b/>
          <w:sz w:val="20"/>
        </w:rPr>
      </w:pPr>
      <w:r>
        <w:rPr>
          <w:rFonts w:ascii="Futura MdCn BT"/>
          <w:color w:val="231F20"/>
          <w:sz w:val="20"/>
        </w:rPr>
        <w:t>v</w:t>
      </w:r>
      <w:r>
        <w:rPr>
          <w:rFonts w:ascii="Futura MdCn BT"/>
          <w:color w:val="231F20"/>
          <w:spacing w:val="78"/>
          <w:w w:val="150"/>
          <w:sz w:val="20"/>
        </w:rPr>
        <w:t> </w:t>
      </w:r>
      <w:r>
        <w:rPr>
          <w:color w:val="231F20"/>
          <w:sz w:val="20"/>
        </w:rPr>
        <w:t>To</w:t>
      </w:r>
      <w:r>
        <w:rPr>
          <w:color w:val="231F20"/>
          <w:spacing w:val="11"/>
          <w:sz w:val="20"/>
        </w:rPr>
        <w:t> </w:t>
      </w:r>
      <w:r>
        <w:rPr>
          <w:color w:val="231F20"/>
          <w:sz w:val="20"/>
        </w:rPr>
        <w:t>remove</w:t>
      </w:r>
      <w:r>
        <w:rPr>
          <w:color w:val="231F20"/>
          <w:spacing w:val="11"/>
          <w:sz w:val="20"/>
        </w:rPr>
        <w:t> </w:t>
      </w:r>
      <w:r>
        <w:rPr>
          <w:color w:val="231F20"/>
          <w:sz w:val="20"/>
        </w:rPr>
        <w:t>a</w:t>
      </w:r>
      <w:r>
        <w:rPr>
          <w:color w:val="231F20"/>
          <w:spacing w:val="11"/>
          <w:sz w:val="20"/>
        </w:rPr>
        <w:t> </w:t>
      </w:r>
      <w:r>
        <w:rPr>
          <w:color w:val="231F20"/>
          <w:sz w:val="20"/>
        </w:rPr>
        <w:t>destination</w:t>
      </w:r>
      <w:r>
        <w:rPr>
          <w:color w:val="231F20"/>
          <w:spacing w:val="11"/>
          <w:sz w:val="20"/>
        </w:rPr>
        <w:t> </w:t>
      </w:r>
      <w:r>
        <w:rPr>
          <w:color w:val="231F20"/>
          <w:sz w:val="20"/>
        </w:rPr>
        <w:t>from</w:t>
      </w:r>
      <w:r>
        <w:rPr>
          <w:color w:val="231F20"/>
          <w:spacing w:val="10"/>
          <w:sz w:val="20"/>
        </w:rPr>
        <w:t> </w:t>
      </w:r>
      <w:r>
        <w:rPr>
          <w:color w:val="231F20"/>
          <w:sz w:val="20"/>
        </w:rPr>
        <w:t>the</w:t>
      </w:r>
      <w:r>
        <w:rPr>
          <w:color w:val="231F20"/>
          <w:spacing w:val="11"/>
          <w:sz w:val="20"/>
        </w:rPr>
        <w:t> </w:t>
      </w:r>
      <w:r>
        <w:rPr>
          <w:color w:val="231F20"/>
          <w:sz w:val="20"/>
        </w:rPr>
        <w:t>list,</w:t>
      </w:r>
      <w:r>
        <w:rPr>
          <w:color w:val="231F20"/>
          <w:spacing w:val="11"/>
          <w:sz w:val="20"/>
        </w:rPr>
        <w:t> </w:t>
      </w:r>
      <w:r>
        <w:rPr>
          <w:color w:val="231F20"/>
          <w:sz w:val="20"/>
        </w:rPr>
        <w:t>select</w:t>
      </w:r>
      <w:r>
        <w:rPr>
          <w:color w:val="231F20"/>
          <w:spacing w:val="11"/>
          <w:sz w:val="20"/>
        </w:rPr>
        <w:t> </w:t>
      </w:r>
      <w:r>
        <w:rPr>
          <w:color w:val="231F20"/>
          <w:sz w:val="20"/>
        </w:rPr>
        <w:t>it</w:t>
      </w:r>
      <w:r>
        <w:rPr>
          <w:color w:val="231F20"/>
          <w:spacing w:val="11"/>
          <w:sz w:val="20"/>
        </w:rPr>
        <w:t> </w:t>
      </w:r>
      <w:r>
        <w:rPr>
          <w:color w:val="231F20"/>
          <w:sz w:val="20"/>
        </w:rPr>
        <w:t>in</w:t>
      </w:r>
      <w:r>
        <w:rPr>
          <w:color w:val="231F20"/>
          <w:spacing w:val="10"/>
          <w:sz w:val="20"/>
        </w:rPr>
        <w:t> </w:t>
      </w:r>
      <w:r>
        <w:rPr>
          <w:color w:val="231F20"/>
          <w:sz w:val="20"/>
        </w:rPr>
        <w:t>the</w:t>
      </w:r>
      <w:r>
        <w:rPr>
          <w:color w:val="231F20"/>
          <w:spacing w:val="11"/>
          <w:sz w:val="20"/>
        </w:rPr>
        <w:t> </w:t>
      </w:r>
      <w:r>
        <w:rPr>
          <w:rFonts w:ascii="Book Antiqua"/>
          <w:b/>
          <w:color w:val="231F20"/>
          <w:sz w:val="20"/>
        </w:rPr>
        <w:t>Assigned</w:t>
      </w:r>
      <w:r>
        <w:rPr>
          <w:rFonts w:ascii="Book Antiqua"/>
          <w:b/>
          <w:color w:val="231F20"/>
          <w:spacing w:val="11"/>
          <w:sz w:val="20"/>
        </w:rPr>
        <w:t> </w:t>
      </w:r>
      <w:r>
        <w:rPr>
          <w:rFonts w:ascii="Book Antiqua"/>
          <w:b/>
          <w:color w:val="231F20"/>
          <w:sz w:val="20"/>
        </w:rPr>
        <w:t>EIF</w:t>
      </w:r>
      <w:r>
        <w:rPr>
          <w:rFonts w:ascii="Book Antiqua"/>
          <w:b/>
          <w:color w:val="231F20"/>
          <w:spacing w:val="11"/>
          <w:sz w:val="20"/>
        </w:rPr>
        <w:t> </w:t>
      </w:r>
      <w:r>
        <w:rPr>
          <w:rFonts w:ascii="Book Antiqua"/>
          <w:b/>
          <w:color w:val="231F20"/>
          <w:spacing w:val="-2"/>
          <w:sz w:val="20"/>
        </w:rPr>
        <w:t>Receivers</w:t>
      </w:r>
    </w:p>
    <w:p>
      <w:pPr>
        <w:pStyle w:val="BodyText"/>
        <w:spacing w:line="255" w:lineRule="exact"/>
        <w:ind w:left="2764"/>
      </w:pPr>
      <w:r>
        <w:rPr>
          <w:color w:val="231F20"/>
        </w:rPr>
        <w:t>list</w:t>
      </w:r>
      <w:r>
        <w:rPr>
          <w:color w:val="231F20"/>
          <w:spacing w:val="13"/>
        </w:rPr>
        <w:t> </w:t>
      </w:r>
      <w:r>
        <w:rPr>
          <w:color w:val="231F20"/>
        </w:rPr>
        <w:t>and</w:t>
      </w:r>
      <w:r>
        <w:rPr>
          <w:color w:val="231F20"/>
          <w:spacing w:val="13"/>
        </w:rPr>
        <w:t> </w:t>
      </w:r>
      <w:r>
        <w:rPr>
          <w:color w:val="231F20"/>
        </w:rPr>
        <w:t>click</w:t>
      </w:r>
      <w:r>
        <w:rPr>
          <w:color w:val="231F20"/>
          <w:spacing w:val="13"/>
        </w:rPr>
        <w:t> </w:t>
      </w:r>
      <w:r>
        <w:rPr>
          <w:color w:val="231F20"/>
        </w:rPr>
        <w:t>the</w:t>
      </w:r>
      <w:r>
        <w:rPr>
          <w:color w:val="231F20"/>
          <w:spacing w:val="23"/>
        </w:rPr>
        <w:t> </w:t>
      </w:r>
      <w:r>
        <w:rPr>
          <w:color w:val="231F20"/>
          <w:spacing w:val="-24"/>
          <w:position w:val="-1"/>
        </w:rPr>
        <w:drawing>
          <wp:inline distT="0" distB="0" distL="0" distR="0">
            <wp:extent cx="95250" cy="95250"/>
            <wp:effectExtent l="0" t="0" r="0" b="0"/>
            <wp:docPr id="2349" name="Image 2349"/>
            <wp:cNvGraphicFramePr>
              <a:graphicFrameLocks/>
            </wp:cNvGraphicFramePr>
            <a:graphic>
              <a:graphicData uri="http://schemas.openxmlformats.org/drawingml/2006/picture">
                <pic:pic>
                  <pic:nvPicPr>
                    <pic:cNvPr id="2349" name="Image 2349"/>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58"/>
          <w:w w:val="150"/>
        </w:rPr>
        <w:t> </w:t>
      </w:r>
      <w:r>
        <w:rPr>
          <w:color w:val="231F20"/>
        </w:rPr>
        <w:t>right-</w:t>
      </w:r>
      <w:r>
        <w:rPr>
          <w:color w:val="231F20"/>
          <w:spacing w:val="-2"/>
        </w:rPr>
        <w:t>arrow.</w:t>
      </w:r>
    </w:p>
    <w:p>
      <w:pPr>
        <w:spacing w:line="213" w:lineRule="auto" w:before="113"/>
        <w:ind w:left="2548" w:right="545" w:firstLine="0"/>
        <w:jc w:val="left"/>
        <w:rPr>
          <w:sz w:val="20"/>
        </w:rPr>
      </w:pPr>
      <w:r>
        <w:rPr>
          <w:color w:val="231F20"/>
          <w:sz w:val="20"/>
        </w:rPr>
        <w:t>EIF destinations are defined in the Manage Tivoli Enterprise Monitoring Services application, described in </w:t>
      </w:r>
      <w:r>
        <w:rPr>
          <w:rFonts w:ascii="Book Antiqua"/>
          <w:i/>
          <w:color w:val="231F20"/>
          <w:sz w:val="20"/>
        </w:rPr>
        <w:t>IBM Tivoli Monitoring Installation and </w:t>
      </w:r>
      <w:r>
        <w:rPr>
          <w:rFonts w:ascii="Book Antiqua"/>
          <w:i/>
          <w:color w:val="231F20"/>
          <w:sz w:val="20"/>
        </w:rPr>
        <w:t>Setup</w:t>
      </w:r>
      <w:r>
        <w:rPr>
          <w:rFonts w:ascii="Book Antiqua"/>
          <w:i/>
          <w:color w:val="231F20"/>
          <w:sz w:val="20"/>
        </w:rPr>
        <w:t> Guide</w:t>
      </w:r>
      <w:r>
        <w:rPr>
          <w:color w:val="231F20"/>
          <w:sz w:val="20"/>
        </w:rPr>
        <w:t>; or with the </w:t>
      </w:r>
      <w:r>
        <w:rPr>
          <w:rFonts w:ascii="Arial"/>
          <w:b/>
          <w:color w:val="231F20"/>
          <w:sz w:val="20"/>
        </w:rPr>
        <w:t>tacmd createEventDest </w:t>
      </w:r>
      <w:r>
        <w:rPr>
          <w:color w:val="231F20"/>
          <w:sz w:val="20"/>
        </w:rPr>
        <w:t>command.</w:t>
      </w:r>
    </w:p>
    <w:p>
      <w:pPr>
        <w:pStyle w:val="ListParagraph"/>
        <w:numPr>
          <w:ilvl w:val="0"/>
          <w:numId w:val="122"/>
        </w:numPr>
        <w:tabs>
          <w:tab w:pos="2547" w:val="left" w:leader="none"/>
        </w:tabs>
        <w:spacing w:line="255" w:lineRule="exact" w:before="35" w:after="0"/>
        <w:ind w:left="2547" w:right="0" w:hanging="315"/>
        <w:jc w:val="left"/>
        <w:rPr>
          <w:sz w:val="20"/>
        </w:rPr>
      </w:pPr>
      <w:r>
        <w:rPr>
          <w:color w:val="231F20"/>
          <w:sz w:val="20"/>
        </w:rPr>
        <w:t>If</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to</w:t>
      </w:r>
      <w:r>
        <w:rPr>
          <w:color w:val="231F20"/>
          <w:spacing w:val="11"/>
          <w:sz w:val="20"/>
        </w:rPr>
        <w:t> </w:t>
      </w:r>
      <w:r>
        <w:rPr>
          <w:color w:val="231F20"/>
          <w:sz w:val="20"/>
        </w:rPr>
        <w:t>customize</w:t>
      </w:r>
      <w:r>
        <w:rPr>
          <w:color w:val="231F20"/>
          <w:spacing w:val="11"/>
          <w:sz w:val="20"/>
        </w:rPr>
        <w:t> </w:t>
      </w:r>
      <w:r>
        <w:rPr>
          <w:color w:val="231F20"/>
          <w:sz w:val="20"/>
        </w:rPr>
        <w:t>how</w:t>
      </w:r>
      <w:r>
        <w:rPr>
          <w:color w:val="231F20"/>
          <w:spacing w:val="12"/>
          <w:sz w:val="20"/>
        </w:rPr>
        <w:t> </w:t>
      </w:r>
      <w:r>
        <w:rPr>
          <w:color w:val="231F20"/>
          <w:sz w:val="20"/>
        </w:rPr>
        <w:t>situation</w:t>
      </w:r>
      <w:r>
        <w:rPr>
          <w:color w:val="231F20"/>
          <w:spacing w:val="11"/>
          <w:sz w:val="20"/>
        </w:rPr>
        <w:t> </w:t>
      </w:r>
      <w:r>
        <w:rPr>
          <w:color w:val="231F20"/>
          <w:sz w:val="20"/>
        </w:rPr>
        <w:t>events</w:t>
      </w:r>
      <w:r>
        <w:rPr>
          <w:color w:val="231F20"/>
          <w:spacing w:val="11"/>
          <w:sz w:val="20"/>
        </w:rPr>
        <w:t> </w:t>
      </w:r>
      <w:r>
        <w:rPr>
          <w:color w:val="231F20"/>
          <w:sz w:val="20"/>
        </w:rPr>
        <w:t>are</w:t>
      </w:r>
      <w:r>
        <w:rPr>
          <w:color w:val="231F20"/>
          <w:spacing w:val="11"/>
          <w:sz w:val="20"/>
        </w:rPr>
        <w:t> </w:t>
      </w:r>
      <w:r>
        <w:rPr>
          <w:color w:val="231F20"/>
          <w:sz w:val="20"/>
        </w:rPr>
        <w:t>mapped</w:t>
      </w:r>
      <w:r>
        <w:rPr>
          <w:color w:val="231F20"/>
          <w:spacing w:val="11"/>
          <w:sz w:val="20"/>
        </w:rPr>
        <w:t> </w:t>
      </w:r>
      <w:r>
        <w:rPr>
          <w:color w:val="231F20"/>
          <w:sz w:val="20"/>
        </w:rPr>
        <w:t>to</w:t>
      </w:r>
      <w:r>
        <w:rPr>
          <w:color w:val="231F20"/>
          <w:spacing w:val="12"/>
          <w:sz w:val="20"/>
        </w:rPr>
        <w:t> </w:t>
      </w:r>
      <w:r>
        <w:rPr>
          <w:color w:val="231F20"/>
          <w:sz w:val="20"/>
        </w:rPr>
        <w:t>EIF</w:t>
      </w:r>
      <w:r>
        <w:rPr>
          <w:color w:val="231F20"/>
          <w:spacing w:val="11"/>
          <w:sz w:val="20"/>
        </w:rPr>
        <w:t> </w:t>
      </w:r>
      <w:r>
        <w:rPr>
          <w:color w:val="231F20"/>
          <w:sz w:val="20"/>
        </w:rPr>
        <w:t>events,</w:t>
      </w:r>
      <w:r>
        <w:rPr>
          <w:color w:val="231F20"/>
          <w:spacing w:val="11"/>
          <w:sz w:val="20"/>
        </w:rPr>
        <w:t> </w:t>
      </w:r>
      <w:r>
        <w:rPr>
          <w:color w:val="231F20"/>
          <w:spacing w:val="-2"/>
          <w:sz w:val="20"/>
        </w:rPr>
        <w:t>click</w:t>
      </w:r>
    </w:p>
    <w:p>
      <w:pPr>
        <w:pStyle w:val="Heading6"/>
        <w:spacing w:line="255" w:lineRule="exact" w:before="0"/>
        <w:ind w:left="2548"/>
        <w:rPr>
          <w:rFonts w:ascii="Palatino Linotype"/>
          <w:b w:val="0"/>
        </w:rPr>
      </w:pPr>
      <w:r>
        <w:rPr>
          <w:color w:val="231F20"/>
        </w:rPr>
        <w:t>EIF</w:t>
      </w:r>
      <w:r>
        <w:rPr>
          <w:color w:val="231F20"/>
          <w:spacing w:val="12"/>
        </w:rPr>
        <w:t> </w:t>
      </w:r>
      <w:r>
        <w:rPr>
          <w:color w:val="231F20"/>
        </w:rPr>
        <w:t>Slot</w:t>
      </w:r>
      <w:r>
        <w:rPr>
          <w:color w:val="231F20"/>
          <w:spacing w:val="13"/>
        </w:rPr>
        <w:t> </w:t>
      </w:r>
      <w:r>
        <w:rPr>
          <w:color w:val="231F20"/>
          <w:spacing w:val="-2"/>
        </w:rPr>
        <w:t>Customization</w:t>
      </w:r>
      <w:r>
        <w:rPr>
          <w:rFonts w:ascii="Palatino Linotype"/>
          <w:b w:val="0"/>
          <w:color w:val="231F20"/>
          <w:spacing w:val="-2"/>
        </w:rPr>
        <w:t>.</w:t>
      </w:r>
    </w:p>
    <w:p>
      <w:pPr>
        <w:pStyle w:val="ListParagraph"/>
        <w:numPr>
          <w:ilvl w:val="0"/>
          <w:numId w:val="122"/>
        </w:numPr>
        <w:tabs>
          <w:tab w:pos="2547" w:val="left" w:leader="none"/>
        </w:tabs>
        <w:spacing w:line="240" w:lineRule="auto" w:before="29" w:after="0"/>
        <w:ind w:left="2547" w:right="0" w:hanging="315"/>
        <w:jc w:val="left"/>
        <w:rPr>
          <w:sz w:val="20"/>
        </w:rPr>
      </w:pPr>
      <w:r>
        <w:rPr>
          <w:color w:val="231F20"/>
          <w:sz w:val="20"/>
        </w:rPr>
        <w:t>Select</w:t>
      </w:r>
      <w:r>
        <w:rPr>
          <w:color w:val="231F20"/>
          <w:spacing w:val="11"/>
          <w:sz w:val="20"/>
        </w:rPr>
        <w:t> </w:t>
      </w:r>
      <w:r>
        <w:rPr>
          <w:color w:val="231F20"/>
          <w:sz w:val="20"/>
        </w:rPr>
        <w:t>other</w:t>
      </w:r>
      <w:r>
        <w:rPr>
          <w:color w:val="231F20"/>
          <w:spacing w:val="12"/>
          <w:sz w:val="20"/>
        </w:rPr>
        <w:t> </w:t>
      </w:r>
      <w:r>
        <w:rPr>
          <w:color w:val="231F20"/>
          <w:sz w:val="20"/>
        </w:rPr>
        <w:t>tabs</w:t>
      </w:r>
      <w:r>
        <w:rPr>
          <w:color w:val="231F20"/>
          <w:spacing w:val="11"/>
          <w:sz w:val="20"/>
        </w:rPr>
        <w:t> </w:t>
      </w:r>
      <w:r>
        <w:rPr>
          <w:color w:val="231F20"/>
          <w:sz w:val="20"/>
        </w:rPr>
        <w:t>in</w:t>
      </w:r>
      <w:r>
        <w:rPr>
          <w:color w:val="231F20"/>
          <w:spacing w:val="12"/>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editor</w:t>
      </w:r>
      <w:r>
        <w:rPr>
          <w:color w:val="231F20"/>
          <w:spacing w:val="11"/>
          <w:sz w:val="20"/>
        </w:rPr>
        <w:t> </w:t>
      </w:r>
      <w:r>
        <w:rPr>
          <w:color w:val="231F20"/>
          <w:spacing w:val="-5"/>
          <w:sz w:val="20"/>
        </w:rPr>
        <w:t>to:</w:t>
      </w:r>
    </w:p>
    <w:p>
      <w:pPr>
        <w:spacing w:after="0" w:line="240" w:lineRule="auto"/>
        <w:jc w:val="left"/>
        <w:rPr>
          <w:sz w:val="20"/>
        </w:rPr>
        <w:sectPr>
          <w:pgSz w:w="12240" w:h="15840"/>
          <w:pgMar w:header="0" w:footer="736" w:top="1180" w:bottom="920" w:left="1000" w:right="1060"/>
        </w:sectPr>
      </w:pPr>
    </w:p>
    <w:p>
      <w:pPr>
        <w:pStyle w:val="BodyText"/>
        <w:spacing w:line="255" w:lineRule="exact" w:before="62"/>
        <w:ind w:left="2788"/>
      </w:pPr>
      <w:bookmarkStart w:name="_bookmark206" w:id="436"/>
      <w:bookmarkEnd w:id="436"/>
      <w:r>
        <w:rPr/>
      </w:r>
      <w:r>
        <w:rPr>
          <w:rFonts w:ascii="Futura MdCn BT"/>
          <w:color w:val="231F20"/>
        </w:rPr>
        <w:t>v</w:t>
      </w:r>
      <w:r>
        <w:rPr>
          <w:rFonts w:ascii="Futura MdCn BT"/>
          <w:color w:val="231F20"/>
          <w:spacing w:val="31"/>
        </w:rPr>
        <w:t>  </w:t>
      </w:r>
      <w:r>
        <w:rPr>
          <w:color w:val="231F20"/>
        </w:rPr>
        <w:t>Distribute</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managed</w:t>
      </w:r>
      <w:r>
        <w:rPr>
          <w:color w:val="231F20"/>
          <w:spacing w:val="13"/>
        </w:rPr>
        <w:t> </w:t>
      </w:r>
      <w:r>
        <w:rPr>
          <w:color w:val="231F20"/>
        </w:rPr>
        <w:t>systems</w:t>
      </w:r>
      <w:r>
        <w:rPr>
          <w:color w:val="231F20"/>
          <w:spacing w:val="12"/>
        </w:rPr>
        <w:t> </w:t>
      </w:r>
      <w:r>
        <w:rPr>
          <w:color w:val="231F20"/>
        </w:rPr>
        <w:t>on</w:t>
      </w:r>
      <w:r>
        <w:rPr>
          <w:color w:val="231F20"/>
          <w:spacing w:val="12"/>
        </w:rPr>
        <w:t> </w:t>
      </w:r>
      <w:r>
        <w:rPr>
          <w:color w:val="231F20"/>
        </w:rPr>
        <w:t>which</w:t>
      </w:r>
      <w:r>
        <w:rPr>
          <w:color w:val="231F20"/>
          <w:spacing w:val="12"/>
        </w:rPr>
        <w:t> </w:t>
      </w:r>
      <w:r>
        <w:rPr>
          <w:color w:val="231F20"/>
        </w:rPr>
        <w:t>you</w:t>
      </w:r>
      <w:r>
        <w:rPr>
          <w:color w:val="231F20"/>
          <w:spacing w:val="12"/>
        </w:rPr>
        <w:t> </w:t>
      </w:r>
      <w:r>
        <w:rPr>
          <w:color w:val="231F20"/>
        </w:rPr>
        <w:t>want</w:t>
      </w:r>
      <w:r>
        <w:rPr>
          <w:color w:val="231F20"/>
          <w:spacing w:val="13"/>
        </w:rPr>
        <w:t> </w:t>
      </w:r>
      <w:r>
        <w:rPr>
          <w:color w:val="231F20"/>
        </w:rPr>
        <w:t>it</w:t>
      </w:r>
      <w:r>
        <w:rPr>
          <w:color w:val="231F20"/>
          <w:spacing w:val="12"/>
        </w:rPr>
        <w:t> </w:t>
      </w:r>
      <w:r>
        <w:rPr>
          <w:color w:val="231F20"/>
        </w:rPr>
        <w:t>to</w:t>
      </w:r>
      <w:r>
        <w:rPr>
          <w:color w:val="231F20"/>
          <w:spacing w:val="12"/>
        </w:rPr>
        <w:t> </w:t>
      </w:r>
      <w:r>
        <w:rPr>
          <w:color w:val="231F20"/>
          <w:spacing w:val="-4"/>
        </w:rPr>
        <w:t>run.</w:t>
      </w:r>
    </w:p>
    <w:p>
      <w:pPr>
        <w:pStyle w:val="BodyText"/>
        <w:spacing w:line="255" w:lineRule="exact"/>
        <w:ind w:left="3004"/>
      </w:pPr>
      <w:r>
        <w:rPr>
          <w:color w:val="231F20"/>
        </w:rPr>
        <w:t>See</w:t>
      </w:r>
      <w:r>
        <w:rPr>
          <w:color w:val="231F20"/>
          <w:spacing w:val="10"/>
        </w:rPr>
        <w:t> </w:t>
      </w:r>
      <w:hyperlink w:history="true" w:anchor="_bookmark199">
        <w:r>
          <w:rPr>
            <w:color w:val="231F20"/>
          </w:rPr>
          <w:t>“Distributing</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269.</w:t>
        </w:r>
      </w:hyperlink>
    </w:p>
    <w:p>
      <w:pPr>
        <w:pStyle w:val="BodyText"/>
        <w:spacing w:before="29"/>
        <w:ind w:left="2788"/>
      </w:pPr>
      <w:r>
        <w:rPr>
          <w:rFonts w:ascii="Futura MdCn BT" w:hAnsi="Futura MdCn BT"/>
          <w:color w:val="231F20"/>
        </w:rPr>
        <w:t>v</w:t>
      </w:r>
      <w:r>
        <w:rPr>
          <w:rFonts w:ascii="Futura MdCn BT" w:hAnsi="Futura MdCn BT"/>
          <w:color w:val="231F20"/>
          <w:spacing w:val="79"/>
          <w:w w:val="150"/>
        </w:rPr>
        <w:t> </w:t>
      </w:r>
      <w:r>
        <w:rPr>
          <w:color w:val="231F20"/>
        </w:rPr>
        <w:t>Add</w:t>
      </w:r>
      <w:r>
        <w:rPr>
          <w:color w:val="231F20"/>
          <w:spacing w:val="11"/>
        </w:rPr>
        <w:t> </w:t>
      </w:r>
      <w:r>
        <w:rPr>
          <w:color w:val="231F20"/>
        </w:rPr>
        <w:t>expert</w:t>
      </w:r>
      <w:r>
        <w:rPr>
          <w:color w:val="231F20"/>
          <w:spacing w:val="10"/>
        </w:rPr>
        <w:t> </w:t>
      </w:r>
      <w:r>
        <w:rPr>
          <w:color w:val="231F20"/>
        </w:rPr>
        <w:t>advice</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See</w:t>
      </w:r>
      <w:r>
        <w:rPr>
          <w:color w:val="231F20"/>
          <w:spacing w:val="11"/>
        </w:rPr>
        <w:t> </w:t>
      </w:r>
      <w:hyperlink w:history="true" w:anchor="_bookmark201">
        <w:r>
          <w:rPr>
            <w:color w:val="231F20"/>
          </w:rPr>
          <w:t>“Writing</w:t>
        </w:r>
        <w:r>
          <w:rPr>
            <w:color w:val="231F20"/>
            <w:spacing w:val="11"/>
          </w:rPr>
          <w:t> </w:t>
        </w:r>
        <w:r>
          <w:rPr>
            <w:color w:val="231F20"/>
          </w:rPr>
          <w:t>expert</w:t>
        </w:r>
        <w:r>
          <w:rPr>
            <w:color w:val="231F20"/>
            <w:spacing w:val="11"/>
          </w:rPr>
          <w:t> </w:t>
        </w:r>
        <w:r>
          <w:rPr>
            <w:color w:val="231F20"/>
          </w:rPr>
          <w:t>advice”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4"/>
          </w:rPr>
          <w:t>271.</w:t>
        </w:r>
      </w:hyperlink>
    </w:p>
    <w:p>
      <w:pPr>
        <w:pStyle w:val="BodyText"/>
        <w:spacing w:line="213" w:lineRule="auto" w:before="53"/>
        <w:ind w:left="3004" w:right="545" w:hanging="216"/>
      </w:pPr>
      <w:r>
        <w:rPr>
          <w:rFonts w:ascii="Futura MdCn BT" w:hAnsi="Futura MdCn BT"/>
          <w:color w:val="231F20"/>
        </w:rPr>
        <w:t>v</w:t>
      </w:r>
      <w:r>
        <w:rPr>
          <w:rFonts w:ascii="Futura MdCn BT" w:hAnsi="Futura MdCn BT"/>
          <w:color w:val="231F20"/>
          <w:spacing w:val="80"/>
        </w:rPr>
        <w:t> </w:t>
      </w:r>
      <w:r>
        <w:rPr>
          <w:color w:val="231F20"/>
        </w:rPr>
        <w:t>Specify an action to take or a message to send to the Universal Message</w:t>
      </w:r>
      <w:r>
        <w:rPr>
          <w:color w:val="231F20"/>
          <w:spacing w:val="40"/>
        </w:rPr>
        <w:t> </w:t>
      </w:r>
      <w:r>
        <w:rPr>
          <w:color w:val="231F20"/>
        </w:rPr>
        <w:t>Console when the situation is true. See </w:t>
      </w:r>
      <w:hyperlink w:history="true" w:anchor="_bookmark203">
        <w:r>
          <w:rPr>
            <w:color w:val="231F20"/>
          </w:rPr>
          <w:t>“Specifying an action” on page </w:t>
        </w:r>
        <w:r>
          <w:rPr>
            <w:color w:val="231F20"/>
          </w:rPr>
          <w:t>273</w:t>
        </w:r>
      </w:hyperlink>
    </w:p>
    <w:p>
      <w:pPr>
        <w:pStyle w:val="BodyText"/>
        <w:spacing w:line="213" w:lineRule="auto" w:before="58"/>
        <w:ind w:left="3004" w:right="493" w:hanging="216"/>
      </w:pPr>
      <w:r>
        <w:rPr>
          <w:rFonts w:ascii="Futura MdCn BT" w:hAnsi="Futura MdCn BT"/>
          <w:color w:val="231F20"/>
        </w:rPr>
        <w:t>v</w:t>
      </w:r>
      <w:r>
        <w:rPr>
          <w:rFonts w:ascii="Futura MdCn BT" w:hAnsi="Futura MdCn BT"/>
          <w:color w:val="231F20"/>
          <w:spacing w:val="80"/>
        </w:rPr>
        <w:t> </w:t>
      </w:r>
      <w:r>
        <w:rPr>
          <w:color w:val="231F20"/>
        </w:rPr>
        <w:t>Specify how long a situation shall remain true. See </w:t>
      </w:r>
      <w:hyperlink w:history="true" w:anchor="_bookmark204">
        <w:r>
          <w:rPr>
            <w:color w:val="231F20"/>
          </w:rPr>
          <w:t>“Adding an </w:t>
        </w:r>
        <w:r>
          <w:rPr>
            <w:color w:val="231F20"/>
          </w:rPr>
          <w:t>Until</w:t>
        </w:r>
      </w:hyperlink>
      <w:r>
        <w:rPr>
          <w:color w:val="231F20"/>
        </w:rPr>
        <w:t> </w:t>
      </w:r>
      <w:hyperlink w:history="true" w:anchor="_bookmark204">
        <w:r>
          <w:rPr>
            <w:color w:val="231F20"/>
          </w:rPr>
          <w:t>modifier” on page 275.</w:t>
        </w:r>
      </w:hyperlink>
    </w:p>
    <w:p>
      <w:pPr>
        <w:pStyle w:val="ListParagraph"/>
        <w:numPr>
          <w:ilvl w:val="0"/>
          <w:numId w:val="122"/>
        </w:numPr>
        <w:tabs>
          <w:tab w:pos="2788" w:val="left" w:leader="none"/>
        </w:tabs>
        <w:spacing w:line="213" w:lineRule="auto" w:before="59" w:after="0"/>
        <w:ind w:left="2788" w:right="433" w:hanging="316"/>
        <w:jc w:val="left"/>
        <w:rPr>
          <w:sz w:val="20"/>
        </w:rPr>
      </w:pPr>
      <w:r>
        <w:rPr>
          <w:color w:val="231F20"/>
          <w:sz w:val="20"/>
        </w:rPr>
        <w:t>When you are finished composing the situation, save your changes and start the situation by clicking </w:t>
      </w:r>
      <w:r>
        <w:rPr>
          <w:rFonts w:ascii="Book Antiqua" w:hAnsi="Book Antiqua"/>
          <w:b/>
          <w:color w:val="231F20"/>
          <w:sz w:val="20"/>
        </w:rPr>
        <w:t>Apply </w:t>
      </w:r>
      <w:r>
        <w:rPr>
          <w:color w:val="231F20"/>
          <w:sz w:val="20"/>
        </w:rPr>
        <w:t>to keep the editor open; or by clicking </w:t>
      </w:r>
      <w:r>
        <w:rPr>
          <w:rFonts w:ascii="Book Antiqua" w:hAnsi="Book Antiqua"/>
          <w:b/>
          <w:color w:val="231F20"/>
          <w:sz w:val="20"/>
        </w:rPr>
        <w:t>OK </w:t>
      </w:r>
      <w:r>
        <w:rPr>
          <w:color w:val="231F20"/>
          <w:sz w:val="20"/>
        </w:rPr>
        <w:t>to close the Situation editor. The Situation editor performs syntax checking on each expression you enter. If you entered an improper value for an attribute, such as “abc” for Disk Size, the cell turns red and the situation will not be</w:t>
      </w:r>
      <w:r>
        <w:rPr>
          <w:color w:val="231F20"/>
          <w:spacing w:val="40"/>
          <w:sz w:val="20"/>
        </w:rPr>
        <w:t> </w:t>
      </w:r>
      <w:r>
        <w:rPr>
          <w:color w:val="231F20"/>
          <w:sz w:val="20"/>
        </w:rPr>
        <w:t>saved until you correct the error.</w:t>
      </w:r>
    </w:p>
    <w:p>
      <w:pPr>
        <w:pStyle w:val="BodyText"/>
        <w:spacing w:line="213" w:lineRule="auto" w:before="56"/>
        <w:ind w:left="2788" w:right="385"/>
      </w:pPr>
      <w:r>
        <w:rPr>
          <w:color w:val="231F20"/>
        </w:rPr>
        <w:t>If you opened the Situation editor from the toolbar, the situation you just</w:t>
      </w:r>
      <w:r>
        <w:rPr>
          <w:color w:val="231F20"/>
          <w:spacing w:val="80"/>
        </w:rPr>
        <w:t> </w:t>
      </w:r>
      <w:r>
        <w:rPr>
          <w:color w:val="231F20"/>
        </w:rPr>
        <w:t>created will not be associated with any Navigator items and no event </w:t>
      </w:r>
      <w:r>
        <w:rPr>
          <w:color w:val="231F20"/>
        </w:rPr>
        <w:t>indicator</w:t>
      </w:r>
      <w:r>
        <w:rPr>
          <w:color w:val="231F20"/>
          <w:spacing w:val="40"/>
        </w:rPr>
        <w:t> </w:t>
      </w:r>
      <w:r>
        <w:rPr>
          <w:color w:val="231F20"/>
        </w:rPr>
        <w:t>is 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57"/>
        <w:ind w:left="2788" w:right="545"/>
      </w:pPr>
      <w:r>
        <w:rPr>
          <w:color w:val="231F20"/>
        </w:rPr>
        <w:t>Situations are stored at the hub monitoring server. In the unlikely event that two users attempt to save a situation with the same name simultaneously, </w:t>
      </w:r>
      <w:r>
        <w:rPr>
          <w:color w:val="231F20"/>
        </w:rPr>
        <w:t>an error will occur, ensuring that one situation does not overwrite another.</w:t>
      </w:r>
    </w:p>
    <w:p>
      <w:pPr>
        <w:pStyle w:val="ListParagraph"/>
        <w:numPr>
          <w:ilvl w:val="0"/>
          <w:numId w:val="122"/>
        </w:numPr>
        <w:tabs>
          <w:tab w:pos="2788" w:val="left" w:leader="none"/>
        </w:tabs>
        <w:spacing w:line="213" w:lineRule="auto" w:before="58" w:after="0"/>
        <w:ind w:left="2788" w:right="281" w:hanging="316"/>
        <w:jc w:val="left"/>
        <w:rPr>
          <w:sz w:val="20"/>
        </w:rPr>
      </w:pPr>
      <w:r>
        <w:rPr>
          <w:color w:val="231F20"/>
          <w:sz w:val="20"/>
        </w:rPr>
        <w:t>If the Distribution Change window is displayed, click </w:t>
      </w:r>
      <w:r>
        <w:rPr>
          <w:rFonts w:ascii="Book Antiqua"/>
          <w:b/>
          <w:color w:val="231F20"/>
          <w:sz w:val="20"/>
        </w:rPr>
        <w:t>OK </w:t>
      </w:r>
      <w:r>
        <w:rPr>
          <w:color w:val="231F20"/>
          <w:sz w:val="20"/>
        </w:rPr>
        <w:t>to add the </w:t>
      </w:r>
      <w:r>
        <w:rPr>
          <w:color w:val="231F20"/>
          <w:sz w:val="20"/>
        </w:rPr>
        <w:t>managed systems shown in the </w:t>
      </w:r>
      <w:r>
        <w:rPr>
          <w:rFonts w:ascii="Book Antiqua"/>
          <w:b/>
          <w:color w:val="231F20"/>
          <w:sz w:val="20"/>
        </w:rPr>
        <w:t>Required Managed Systems </w:t>
      </w:r>
      <w:r>
        <w:rPr>
          <w:color w:val="231F20"/>
          <w:sz w:val="20"/>
        </w:rPr>
        <w:t>list to the distribution for this situation.</w:t>
      </w:r>
    </w:p>
    <w:p>
      <w:pPr>
        <w:pStyle w:val="Heading4"/>
        <w:spacing w:line="273" w:lineRule="exact" w:before="164"/>
        <w:ind w:left="2472"/>
      </w:pPr>
      <w:r>
        <w:rPr>
          <w:color w:val="231F20"/>
        </w:rPr>
        <w:t>EIF</w:t>
      </w:r>
      <w:r>
        <w:rPr>
          <w:color w:val="231F20"/>
          <w:spacing w:val="8"/>
        </w:rPr>
        <w:t> </w:t>
      </w:r>
      <w:r>
        <w:rPr>
          <w:color w:val="231F20"/>
        </w:rPr>
        <w:t>Slot</w:t>
      </w:r>
      <w:r>
        <w:rPr>
          <w:color w:val="231F20"/>
          <w:spacing w:val="9"/>
        </w:rPr>
        <w:t> </w:t>
      </w:r>
      <w:r>
        <w:rPr>
          <w:color w:val="231F20"/>
          <w:spacing w:val="-2"/>
        </w:rPr>
        <w:t>Customization</w:t>
      </w:r>
    </w:p>
    <w:p>
      <w:pPr>
        <w:pStyle w:val="BodyText"/>
        <w:spacing w:line="213" w:lineRule="auto" w:before="20"/>
        <w:ind w:left="2472" w:right="545"/>
      </w:pPr>
      <w:r>
        <w:rPr>
          <w:color w:val="231F20"/>
        </w:rPr>
        <w:t>Use the EIF Slot Customization editor to customize how situation events </w:t>
      </w:r>
      <w:r>
        <w:rPr>
          <w:color w:val="231F20"/>
        </w:rPr>
        <w:t>are mapped to forwarded EIF events.</w:t>
      </w:r>
    </w:p>
    <w:p>
      <w:pPr>
        <w:pStyle w:val="BodyText"/>
        <w:spacing w:line="213" w:lineRule="auto" w:before="238"/>
        <w:ind w:left="2472" w:right="264"/>
      </w:pPr>
      <w:r>
        <w:rPr>
          <w:color w:val="231F20"/>
        </w:rPr>
        <w:t>The</w:t>
      </w:r>
      <w:r>
        <w:rPr>
          <w:color w:val="231F20"/>
          <w:spacing w:val="25"/>
        </w:rPr>
        <w:t> </w:t>
      </w:r>
      <w:r>
        <w:rPr>
          <w:color w:val="231F20"/>
        </w:rPr>
        <w:t>EIF</w:t>
      </w:r>
      <w:r>
        <w:rPr>
          <w:color w:val="231F20"/>
          <w:spacing w:val="25"/>
        </w:rPr>
        <w:t> </w:t>
      </w:r>
      <w:r>
        <w:rPr>
          <w:color w:val="231F20"/>
        </w:rPr>
        <w:t>Slot</w:t>
      </w:r>
      <w:r>
        <w:rPr>
          <w:color w:val="231F20"/>
          <w:spacing w:val="25"/>
        </w:rPr>
        <w:t> </w:t>
      </w:r>
      <w:r>
        <w:rPr>
          <w:color w:val="231F20"/>
        </w:rPr>
        <w:t>Customization</w:t>
      </w:r>
      <w:r>
        <w:rPr>
          <w:color w:val="231F20"/>
          <w:spacing w:val="25"/>
        </w:rPr>
        <w:t> </w:t>
      </w:r>
      <w:r>
        <w:rPr>
          <w:color w:val="231F20"/>
        </w:rPr>
        <w:t>editor</w:t>
      </w:r>
      <w:r>
        <w:rPr>
          <w:color w:val="231F20"/>
          <w:spacing w:val="25"/>
        </w:rPr>
        <w:t> </w:t>
      </w:r>
      <w:r>
        <w:rPr>
          <w:color w:val="231F20"/>
        </w:rPr>
        <w:t>opens</w:t>
      </w:r>
      <w:r>
        <w:rPr>
          <w:color w:val="231F20"/>
          <w:spacing w:val="25"/>
        </w:rPr>
        <w:t> </w:t>
      </w:r>
      <w:r>
        <w:rPr>
          <w:color w:val="231F20"/>
        </w:rPr>
        <w:t>when</w:t>
      </w:r>
      <w:r>
        <w:rPr>
          <w:color w:val="231F20"/>
          <w:spacing w:val="25"/>
        </w:rPr>
        <w:t> </w:t>
      </w:r>
      <w:r>
        <w:rPr>
          <w:color w:val="231F20"/>
        </w:rPr>
        <w:t>you</w:t>
      </w:r>
      <w:r>
        <w:rPr>
          <w:color w:val="231F20"/>
          <w:spacing w:val="25"/>
        </w:rPr>
        <w:t> </w:t>
      </w:r>
      <w:r>
        <w:rPr>
          <w:color w:val="231F20"/>
        </w:rPr>
        <w:t>click</w:t>
      </w:r>
      <w:r>
        <w:rPr>
          <w:color w:val="231F20"/>
          <w:spacing w:val="25"/>
        </w:rPr>
        <w:t> </w:t>
      </w:r>
      <w:r>
        <w:rPr>
          <w:rFonts w:ascii="Book Antiqua"/>
          <w:b/>
          <w:color w:val="231F20"/>
        </w:rPr>
        <w:t>EIF</w:t>
      </w:r>
      <w:r>
        <w:rPr>
          <w:rFonts w:ascii="Book Antiqua"/>
          <w:b/>
          <w:color w:val="231F20"/>
          <w:spacing w:val="25"/>
        </w:rPr>
        <w:t> </w:t>
      </w:r>
      <w:r>
        <w:rPr>
          <w:rFonts w:ascii="Book Antiqua"/>
          <w:b/>
          <w:color w:val="231F20"/>
        </w:rPr>
        <w:t>Slot</w:t>
      </w:r>
      <w:r>
        <w:rPr>
          <w:rFonts w:ascii="Book Antiqua"/>
          <w:b/>
          <w:color w:val="231F20"/>
          <w:spacing w:val="25"/>
        </w:rPr>
        <w:t> </w:t>
      </w:r>
      <w:r>
        <w:rPr>
          <w:rFonts w:ascii="Book Antiqua"/>
          <w:b/>
          <w:color w:val="231F20"/>
        </w:rPr>
        <w:t>Customization </w:t>
      </w:r>
      <w:r>
        <w:rPr>
          <w:color w:val="231F20"/>
        </w:rPr>
        <w:t>in the EIF tab of the Situation editor. Here you can create a custom event mapping that overrides the default mapping between situation events and events that are forwarded to an EIF receiver such as IBM Tivoli Netcool/OMNIbus or the Tivoli Enterprise Console event server. Specify a mapping between each EIF event slot</w:t>
      </w:r>
      <w:r>
        <w:rPr>
          <w:color w:val="231F20"/>
          <w:spacing w:val="80"/>
        </w:rPr>
        <w:t> </w:t>
      </w:r>
      <w:r>
        <w:rPr>
          <w:color w:val="231F20"/>
        </w:rPr>
        <w:t>and a corresponding Tivoli Monitoring attribute, and any options that determine how attribute data is to be converted in the forwarded event.</w:t>
      </w:r>
    </w:p>
    <w:p>
      <w:pPr>
        <w:pStyle w:val="BodyText"/>
        <w:spacing w:line="213" w:lineRule="auto" w:before="235"/>
        <w:ind w:left="2472" w:right="258"/>
      </w:pPr>
      <w:r>
        <w:rPr>
          <w:color w:val="231F20"/>
        </w:rPr>
        <w:t>Typically, if a mapping is not provided for a base slot, the default mapping is used, except</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case</w:t>
      </w:r>
      <w:r>
        <w:rPr>
          <w:color w:val="231F20"/>
          <w:spacing w:val="26"/>
        </w:rPr>
        <w:t> </w:t>
      </w:r>
      <w:r>
        <w:rPr>
          <w:color w:val="231F20"/>
        </w:rPr>
        <w:t>for</w:t>
      </w:r>
      <w:r>
        <w:rPr>
          <w:color w:val="231F20"/>
          <w:spacing w:val="26"/>
        </w:rPr>
        <w:t> </w:t>
      </w:r>
      <w:r>
        <w:rPr>
          <w:color w:val="231F20"/>
        </w:rPr>
        <w:t>the</w:t>
      </w:r>
      <w:r>
        <w:rPr>
          <w:color w:val="231F20"/>
          <w:spacing w:val="26"/>
        </w:rPr>
        <w:t> </w:t>
      </w:r>
      <w:r>
        <w:rPr>
          <w:color w:val="231F20"/>
        </w:rPr>
        <w:t>msg</w:t>
      </w:r>
      <w:r>
        <w:rPr>
          <w:color w:val="231F20"/>
          <w:spacing w:val="26"/>
        </w:rPr>
        <w:t> </w:t>
      </w:r>
      <w:r>
        <w:rPr>
          <w:color w:val="231F20"/>
        </w:rPr>
        <w:t>slot.</w:t>
      </w:r>
      <w:r>
        <w:rPr>
          <w:color w:val="231F20"/>
          <w:spacing w:val="26"/>
        </w:rPr>
        <w:t> </w:t>
      </w:r>
      <w:r>
        <w:rPr>
          <w:color w:val="231F20"/>
        </w:rPr>
        <w:t>However,</w:t>
      </w:r>
      <w:r>
        <w:rPr>
          <w:color w:val="231F20"/>
          <w:spacing w:val="26"/>
        </w:rPr>
        <w:t> </w:t>
      </w:r>
      <w:r>
        <w:rPr>
          <w:color w:val="231F20"/>
        </w:rPr>
        <w:t>the</w:t>
      </w:r>
      <w:r>
        <w:rPr>
          <w:color w:val="231F20"/>
          <w:spacing w:val="26"/>
        </w:rPr>
        <w:t> </w:t>
      </w:r>
      <w:r>
        <w:rPr>
          <w:color w:val="231F20"/>
        </w:rPr>
        <w:t>event</w:t>
      </w:r>
      <w:r>
        <w:rPr>
          <w:color w:val="231F20"/>
          <w:spacing w:val="26"/>
        </w:rPr>
        <w:t> </w:t>
      </w:r>
      <w:r>
        <w:rPr>
          <w:color w:val="231F20"/>
        </w:rPr>
        <w:t>mapping</w:t>
      </w:r>
      <w:r>
        <w:rPr>
          <w:color w:val="231F20"/>
          <w:spacing w:val="26"/>
        </w:rPr>
        <w:t> </w:t>
      </w:r>
      <w:r>
        <w:rPr>
          <w:color w:val="231F20"/>
        </w:rPr>
        <w:t>specified</w:t>
      </w:r>
      <w:r>
        <w:rPr>
          <w:color w:val="231F20"/>
          <w:spacing w:val="26"/>
        </w:rPr>
        <w:t> </w:t>
      </w:r>
      <w:r>
        <w:rPr>
          <w:color w:val="231F20"/>
        </w:rPr>
        <w:t>using EIF slot customization completely replaces the default mapping for extended slots. Therefore,</w:t>
      </w:r>
      <w:r>
        <w:rPr>
          <w:color w:val="231F20"/>
          <w:spacing w:val="25"/>
        </w:rPr>
        <w:t> </w:t>
      </w:r>
      <w:r>
        <w:rPr>
          <w:color w:val="231F20"/>
        </w:rPr>
        <w:t>if</w:t>
      </w:r>
      <w:r>
        <w:rPr>
          <w:color w:val="231F20"/>
          <w:spacing w:val="25"/>
        </w:rPr>
        <w:t> </w:t>
      </w:r>
      <w:r>
        <w:rPr>
          <w:color w:val="231F20"/>
        </w:rPr>
        <w:t>you</w:t>
      </w:r>
      <w:r>
        <w:rPr>
          <w:color w:val="231F20"/>
          <w:spacing w:val="25"/>
        </w:rPr>
        <w:t> </w:t>
      </w:r>
      <w:r>
        <w:rPr>
          <w:color w:val="231F20"/>
        </w:rPr>
        <w:t>do</w:t>
      </w:r>
      <w:r>
        <w:rPr>
          <w:color w:val="231F20"/>
          <w:spacing w:val="25"/>
        </w:rPr>
        <w:t> </w:t>
      </w:r>
      <w:r>
        <w:rPr>
          <w:color w:val="231F20"/>
        </w:rPr>
        <w:t>not</w:t>
      </w:r>
      <w:r>
        <w:rPr>
          <w:color w:val="231F20"/>
          <w:spacing w:val="25"/>
        </w:rPr>
        <w:t> </w:t>
      </w:r>
      <w:r>
        <w:rPr>
          <w:color w:val="231F20"/>
        </w:rPr>
        <w:t>specify</w:t>
      </w:r>
      <w:r>
        <w:rPr>
          <w:color w:val="231F20"/>
          <w:spacing w:val="25"/>
        </w:rPr>
        <w:t> </w:t>
      </w:r>
      <w:r>
        <w:rPr>
          <w:color w:val="231F20"/>
        </w:rPr>
        <w:t>a</w:t>
      </w:r>
      <w:r>
        <w:rPr>
          <w:color w:val="231F20"/>
          <w:spacing w:val="25"/>
        </w:rPr>
        <w:t> </w:t>
      </w:r>
      <w:r>
        <w:rPr>
          <w:color w:val="231F20"/>
        </w:rPr>
        <w:t>mapping</w:t>
      </w:r>
      <w:r>
        <w:rPr>
          <w:color w:val="231F20"/>
          <w:spacing w:val="25"/>
        </w:rPr>
        <w:t> </w:t>
      </w:r>
      <w:r>
        <w:rPr>
          <w:color w:val="231F20"/>
        </w:rPr>
        <w:t>for</w:t>
      </w:r>
      <w:r>
        <w:rPr>
          <w:color w:val="231F20"/>
          <w:spacing w:val="25"/>
        </w:rPr>
        <w:t> </w:t>
      </w:r>
      <w:r>
        <w:rPr>
          <w:color w:val="231F20"/>
        </w:rPr>
        <w:t>a</w:t>
      </w:r>
      <w:r>
        <w:rPr>
          <w:color w:val="231F20"/>
          <w:spacing w:val="25"/>
        </w:rPr>
        <w:t> </w:t>
      </w:r>
      <w:r>
        <w:rPr>
          <w:color w:val="231F20"/>
        </w:rPr>
        <w:t>particular</w:t>
      </w:r>
      <w:r>
        <w:rPr>
          <w:color w:val="231F20"/>
          <w:spacing w:val="25"/>
        </w:rPr>
        <w:t> </w:t>
      </w:r>
      <w:r>
        <w:rPr>
          <w:color w:val="231F20"/>
        </w:rPr>
        <w:t>extended</w:t>
      </w:r>
      <w:r>
        <w:rPr>
          <w:color w:val="231F20"/>
          <w:spacing w:val="25"/>
        </w:rPr>
        <w:t> </w:t>
      </w:r>
      <w:r>
        <w:rPr>
          <w:color w:val="231F20"/>
        </w:rPr>
        <w:t>slot</w:t>
      </w:r>
      <w:r>
        <w:rPr>
          <w:color w:val="231F20"/>
          <w:spacing w:val="25"/>
        </w:rPr>
        <w:t> </w:t>
      </w:r>
      <w:r>
        <w:rPr>
          <w:color w:val="231F20"/>
        </w:rPr>
        <w:t>or</w:t>
      </w:r>
      <w:r>
        <w:rPr>
          <w:color w:val="231F20"/>
          <w:spacing w:val="25"/>
        </w:rPr>
        <w:t> </w:t>
      </w:r>
      <w:r>
        <w:rPr>
          <w:color w:val="231F20"/>
        </w:rPr>
        <w:t>the base msg slot in this window, that slot is not included in the forwarded event. You can</w:t>
      </w:r>
      <w:r>
        <w:rPr>
          <w:color w:val="231F20"/>
          <w:spacing w:val="26"/>
        </w:rPr>
        <w:t> </w:t>
      </w:r>
      <w:r>
        <w:rPr>
          <w:color w:val="231F20"/>
        </w:rPr>
        <w:t>use</w:t>
      </w:r>
      <w:r>
        <w:rPr>
          <w:color w:val="231F20"/>
          <w:spacing w:val="26"/>
        </w:rPr>
        <w:t> </w:t>
      </w:r>
      <w:r>
        <w:rPr>
          <w:color w:val="231F20"/>
        </w:rPr>
        <w:t>the</w:t>
      </w:r>
      <w:r>
        <w:rPr>
          <w:color w:val="231F20"/>
          <w:spacing w:val="26"/>
        </w:rPr>
        <w:t> </w:t>
      </w:r>
      <w:r>
        <w:rPr>
          <w:rFonts w:ascii="Book Antiqua"/>
          <w:b/>
          <w:color w:val="231F20"/>
        </w:rPr>
        <w:t>Map</w:t>
      </w:r>
      <w:r>
        <w:rPr>
          <w:rFonts w:ascii="Book Antiqua"/>
          <w:b/>
          <w:color w:val="231F20"/>
          <w:spacing w:val="26"/>
        </w:rPr>
        <w:t> </w:t>
      </w:r>
      <w:r>
        <w:rPr>
          <w:rFonts w:ascii="Book Antiqua"/>
          <w:b/>
          <w:color w:val="231F20"/>
        </w:rPr>
        <w:t>all</w:t>
      </w:r>
      <w:r>
        <w:rPr>
          <w:rFonts w:ascii="Book Antiqua"/>
          <w:b/>
          <w:color w:val="231F20"/>
          <w:spacing w:val="26"/>
        </w:rPr>
        <w:t> </w:t>
      </w:r>
      <w:r>
        <w:rPr>
          <w:rFonts w:ascii="Book Antiqua"/>
          <w:b/>
          <w:color w:val="231F20"/>
        </w:rPr>
        <w:t>attributes</w:t>
      </w:r>
      <w:r>
        <w:rPr>
          <w:rFonts w:ascii="Book Antiqua"/>
          <w:b/>
          <w:color w:val="231F20"/>
          <w:spacing w:val="26"/>
        </w:rPr>
        <w:t> </w:t>
      </w:r>
      <w:r>
        <w:rPr>
          <w:color w:val="231F20"/>
        </w:rPr>
        <w:t>option</w:t>
      </w:r>
      <w:r>
        <w:rPr>
          <w:color w:val="231F20"/>
          <w:spacing w:val="26"/>
        </w:rPr>
        <w:t> </w:t>
      </w:r>
      <w:r>
        <w:rPr>
          <w:color w:val="231F20"/>
        </w:rPr>
        <w:t>to</w:t>
      </w:r>
      <w:r>
        <w:rPr>
          <w:color w:val="231F20"/>
          <w:spacing w:val="26"/>
        </w:rPr>
        <w:t> </w:t>
      </w:r>
      <w:r>
        <w:rPr>
          <w:color w:val="231F20"/>
        </w:rPr>
        <w:t>apply</w:t>
      </w:r>
      <w:r>
        <w:rPr>
          <w:color w:val="231F20"/>
          <w:spacing w:val="26"/>
        </w:rPr>
        <w:t> </w:t>
      </w:r>
      <w:r>
        <w:rPr>
          <w:color w:val="231F20"/>
        </w:rPr>
        <w:t>the</w:t>
      </w:r>
      <w:r>
        <w:rPr>
          <w:color w:val="231F20"/>
          <w:spacing w:val="26"/>
        </w:rPr>
        <w:t> </w:t>
      </w:r>
      <w:r>
        <w:rPr>
          <w:color w:val="231F20"/>
        </w:rPr>
        <w:t>default</w:t>
      </w:r>
      <w:r>
        <w:rPr>
          <w:color w:val="231F20"/>
          <w:spacing w:val="26"/>
        </w:rPr>
        <w:t> </w:t>
      </w:r>
      <w:r>
        <w:rPr>
          <w:color w:val="231F20"/>
        </w:rPr>
        <w:t>mapping</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base msg slot and any extended slot that is not specifically listed.</w:t>
      </w:r>
    </w:p>
    <w:p>
      <w:pPr>
        <w:pStyle w:val="Heading5"/>
        <w:spacing w:before="215"/>
      </w:pPr>
      <w:r>
        <w:rPr>
          <w:color w:val="231F20"/>
        </w:rPr>
        <w:t>Event</w:t>
      </w:r>
      <w:r>
        <w:rPr>
          <w:color w:val="231F20"/>
          <w:spacing w:val="5"/>
        </w:rPr>
        <w:t> </w:t>
      </w:r>
      <w:r>
        <w:rPr>
          <w:color w:val="231F20"/>
        </w:rPr>
        <w:t>class</w:t>
      </w:r>
      <w:r>
        <w:rPr>
          <w:color w:val="231F20"/>
          <w:spacing w:val="5"/>
        </w:rPr>
        <w:t> </w:t>
      </w:r>
      <w:r>
        <w:rPr>
          <w:color w:val="231F20"/>
          <w:spacing w:val="-4"/>
        </w:rPr>
        <w:t>name</w:t>
      </w:r>
    </w:p>
    <w:p>
      <w:pPr>
        <w:pStyle w:val="BodyText"/>
        <w:spacing w:line="213" w:lineRule="auto" w:before="245"/>
        <w:ind w:left="2472" w:right="292"/>
      </w:pPr>
      <w:r>
        <w:rPr>
          <w:color w:val="231F20"/>
        </w:rPr>
        <w:t>Specify</w:t>
      </w:r>
      <w:r>
        <w:rPr>
          <w:color w:val="231F20"/>
          <w:spacing w:val="25"/>
        </w:rPr>
        <w:t> </w:t>
      </w:r>
      <w:r>
        <w:rPr>
          <w:color w:val="231F20"/>
        </w:rPr>
        <w:t>the</w:t>
      </w:r>
      <w:r>
        <w:rPr>
          <w:color w:val="231F20"/>
          <w:spacing w:val="25"/>
        </w:rPr>
        <w:t> </w:t>
      </w:r>
      <w:r>
        <w:rPr>
          <w:color w:val="231F20"/>
        </w:rPr>
        <w:t>EIF</w:t>
      </w:r>
      <w:r>
        <w:rPr>
          <w:color w:val="231F20"/>
          <w:spacing w:val="25"/>
        </w:rPr>
        <w:t> </w:t>
      </w:r>
      <w:r>
        <w:rPr>
          <w:color w:val="231F20"/>
        </w:rPr>
        <w:t>event</w:t>
      </w:r>
      <w:r>
        <w:rPr>
          <w:color w:val="231F20"/>
          <w:spacing w:val="25"/>
        </w:rPr>
        <w:t> </w:t>
      </w:r>
      <w:r>
        <w:rPr>
          <w:color w:val="231F20"/>
        </w:rPr>
        <w:t>class</w:t>
      </w:r>
      <w:r>
        <w:rPr>
          <w:color w:val="231F20"/>
          <w:spacing w:val="25"/>
        </w:rPr>
        <w:t> </w:t>
      </w:r>
      <w:r>
        <w:rPr>
          <w:color w:val="231F20"/>
        </w:rPr>
        <w:t>you</w:t>
      </w:r>
      <w:r>
        <w:rPr>
          <w:color w:val="231F20"/>
          <w:spacing w:val="25"/>
        </w:rPr>
        <w:t> </w:t>
      </w:r>
      <w:r>
        <w:rPr>
          <w:color w:val="231F20"/>
        </w:rPr>
        <w:t>want</w:t>
      </w:r>
      <w:r>
        <w:rPr>
          <w:color w:val="231F20"/>
          <w:spacing w:val="25"/>
        </w:rPr>
        <w:t> </w:t>
      </w:r>
      <w:r>
        <w:rPr>
          <w:color w:val="231F20"/>
        </w:rPr>
        <w:t>to</w:t>
      </w:r>
      <w:r>
        <w:rPr>
          <w:color w:val="231F20"/>
          <w:spacing w:val="25"/>
        </w:rPr>
        <w:t> </w:t>
      </w:r>
      <w:r>
        <w:rPr>
          <w:color w:val="231F20"/>
        </w:rPr>
        <w:t>use</w:t>
      </w:r>
      <w:r>
        <w:rPr>
          <w:color w:val="231F20"/>
          <w:spacing w:val="25"/>
        </w:rPr>
        <w:t> </w:t>
      </w:r>
      <w:r>
        <w:rPr>
          <w:color w:val="231F20"/>
        </w:rPr>
        <w:t>for</w:t>
      </w:r>
      <w:r>
        <w:rPr>
          <w:color w:val="231F20"/>
          <w:spacing w:val="25"/>
        </w:rPr>
        <w:t> </w:t>
      </w:r>
      <w:r>
        <w:rPr>
          <w:color w:val="231F20"/>
        </w:rPr>
        <w:t>the</w:t>
      </w:r>
      <w:r>
        <w:rPr>
          <w:color w:val="231F20"/>
          <w:spacing w:val="25"/>
        </w:rPr>
        <w:t> </w:t>
      </w:r>
      <w:r>
        <w:rPr>
          <w:color w:val="231F20"/>
        </w:rPr>
        <w:t>events</w:t>
      </w:r>
      <w:r>
        <w:rPr>
          <w:color w:val="231F20"/>
          <w:spacing w:val="25"/>
        </w:rPr>
        <w:t> </w:t>
      </w:r>
      <w:r>
        <w:rPr>
          <w:color w:val="231F20"/>
        </w:rPr>
        <w:t>that</w:t>
      </w:r>
      <w:r>
        <w:rPr>
          <w:color w:val="231F20"/>
          <w:spacing w:val="25"/>
        </w:rPr>
        <w:t> </w:t>
      </w:r>
      <w:r>
        <w:rPr>
          <w:color w:val="231F20"/>
        </w:rPr>
        <w:t>are</w:t>
      </w:r>
      <w:r>
        <w:rPr>
          <w:color w:val="231F20"/>
          <w:spacing w:val="25"/>
        </w:rPr>
        <w:t> </w:t>
      </w:r>
      <w:r>
        <w:rPr>
          <w:color w:val="231F20"/>
        </w:rPr>
        <w:t>forwarded</w:t>
      </w:r>
      <w:r>
        <w:rPr>
          <w:color w:val="231F20"/>
          <w:spacing w:val="25"/>
        </w:rPr>
        <w:t> </w:t>
      </w:r>
      <w:r>
        <w:rPr>
          <w:color w:val="231F20"/>
        </w:rPr>
        <w:t>to the EIF receiver. You can either type the class name directly in the field, or click </w:t>
      </w:r>
      <w:r>
        <w:rPr>
          <w:color w:val="231F20"/>
          <w:spacing w:val="14"/>
          <w:position w:val="-1"/>
        </w:rPr>
        <w:drawing>
          <wp:inline distT="0" distB="0" distL="0" distR="0">
            <wp:extent cx="101600" cy="101600"/>
            <wp:effectExtent l="0" t="0" r="0" b="0"/>
            <wp:docPr id="2350" name="Image 2350"/>
            <wp:cNvGraphicFramePr>
              <a:graphicFrameLocks/>
            </wp:cNvGraphicFramePr>
            <a:graphic>
              <a:graphicData uri="http://schemas.openxmlformats.org/drawingml/2006/picture">
                <pic:pic>
                  <pic:nvPicPr>
                    <pic:cNvPr id="2350" name="Image 2350"/>
                    <pic:cNvPicPr/>
                  </pic:nvPicPr>
                  <pic:blipFill>
                    <a:blip r:embed="rId51"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14"/>
          <w:position w:val="-1"/>
        </w:rPr>
        <w:t> </w:t>
      </w:r>
      <w:r>
        <w:rPr>
          <w:rFonts w:ascii="Book Antiqua"/>
          <w:b/>
          <w:color w:val="231F20"/>
        </w:rPr>
        <w:t>Select event class </w:t>
      </w:r>
      <w:r>
        <w:rPr>
          <w:color w:val="231F20"/>
        </w:rPr>
        <w:t>to select from a list of all defined classes. If you do not see the</w:t>
      </w:r>
      <w:r>
        <w:rPr>
          <w:color w:val="231F20"/>
          <w:spacing w:val="80"/>
        </w:rPr>
        <w:t> </w:t>
      </w:r>
      <w:r>
        <w:rPr>
          <w:color w:val="231F20"/>
        </w:rPr>
        <w:t>name of the class you want to customize, contact your IBM Tivoli Monitoring administrator. The administrator might need to run the Tivoli Enterprise Console Event Definition Generator tool to update the list of classes. For more information on the tool, see the </w:t>
      </w:r>
      <w:r>
        <w:rPr>
          <w:rFonts w:ascii="Book Antiqua"/>
          <w:i/>
          <w:color w:val="231F20"/>
        </w:rPr>
        <w:t>IBM Tivoli Monitoring Administrator's Guide </w:t>
      </w:r>
      <w:r>
        <w:rPr>
          <w:color w:val="231F20"/>
        </w:rPr>
        <w:t>if you are</w:t>
      </w:r>
    </w:p>
    <w:p>
      <w:pPr>
        <w:spacing w:after="0" w:line="213" w:lineRule="auto"/>
        <w:sectPr>
          <w:pgSz w:w="12240" w:h="15840"/>
          <w:pgMar w:header="0" w:footer="736" w:top="1180" w:bottom="920" w:left="1000" w:right="1060"/>
        </w:sectPr>
      </w:pPr>
    </w:p>
    <w:p>
      <w:pPr>
        <w:spacing w:line="213" w:lineRule="auto" w:before="85"/>
        <w:ind w:left="2232" w:right="545" w:firstLine="0"/>
        <w:jc w:val="left"/>
        <w:rPr>
          <w:sz w:val="20"/>
        </w:rPr>
      </w:pPr>
      <w:r>
        <w:rPr>
          <w:color w:val="231F20"/>
          <w:sz w:val="20"/>
        </w:rPr>
        <w:t>integrating with Tivoli Enterprise Console, or see the </w:t>
      </w:r>
      <w:r>
        <w:rPr>
          <w:rFonts w:ascii="Book Antiqua"/>
          <w:i/>
          <w:color w:val="231F20"/>
          <w:sz w:val="20"/>
        </w:rPr>
        <w:t>IBM Tivoli Monitoring</w:t>
      </w:r>
      <w:r>
        <w:rPr>
          <w:rFonts w:ascii="Book Antiqua"/>
          <w:i/>
          <w:color w:val="231F20"/>
          <w:sz w:val="20"/>
        </w:rPr>
        <w:t> Installation</w:t>
      </w:r>
      <w:r>
        <w:rPr>
          <w:rFonts w:ascii="Book Antiqua"/>
          <w:i/>
          <w:color w:val="231F20"/>
          <w:spacing w:val="9"/>
          <w:sz w:val="20"/>
        </w:rPr>
        <w:t> </w:t>
      </w:r>
      <w:r>
        <w:rPr>
          <w:rFonts w:ascii="Book Antiqua"/>
          <w:i/>
          <w:color w:val="231F20"/>
          <w:sz w:val="20"/>
        </w:rPr>
        <w:t>and</w:t>
      </w:r>
      <w:r>
        <w:rPr>
          <w:rFonts w:ascii="Book Antiqua"/>
          <w:i/>
          <w:color w:val="231F20"/>
          <w:spacing w:val="10"/>
          <w:sz w:val="20"/>
        </w:rPr>
        <w:t> </w:t>
      </w:r>
      <w:r>
        <w:rPr>
          <w:rFonts w:ascii="Book Antiqua"/>
          <w:i/>
          <w:color w:val="231F20"/>
          <w:sz w:val="20"/>
        </w:rPr>
        <w:t>Setup</w:t>
      </w:r>
      <w:r>
        <w:rPr>
          <w:rFonts w:ascii="Book Antiqua"/>
          <w:i/>
          <w:color w:val="231F20"/>
          <w:spacing w:val="10"/>
          <w:sz w:val="20"/>
        </w:rPr>
        <w:t> </w:t>
      </w:r>
      <w:r>
        <w:rPr>
          <w:rFonts w:ascii="Book Antiqua"/>
          <w:i/>
          <w:color w:val="231F20"/>
          <w:sz w:val="20"/>
        </w:rPr>
        <w:t>Guide</w:t>
      </w:r>
      <w:r>
        <w:rPr>
          <w:rFonts w:ascii="Book Antiqua"/>
          <w:i/>
          <w:color w:val="231F20"/>
          <w:spacing w:val="9"/>
          <w:sz w:val="20"/>
        </w:rPr>
        <w:t> </w:t>
      </w:r>
      <w:r>
        <w:rPr>
          <w:color w:val="231F20"/>
          <w:sz w:val="20"/>
        </w:rPr>
        <w:t>if</w:t>
      </w:r>
      <w:r>
        <w:rPr>
          <w:color w:val="231F20"/>
          <w:spacing w:val="10"/>
          <w:sz w:val="20"/>
        </w:rPr>
        <w:t> </w:t>
      </w:r>
      <w:r>
        <w:rPr>
          <w:color w:val="231F20"/>
          <w:sz w:val="20"/>
        </w:rPr>
        <w:t>you</w:t>
      </w:r>
      <w:r>
        <w:rPr>
          <w:color w:val="231F20"/>
          <w:spacing w:val="10"/>
          <w:sz w:val="20"/>
        </w:rPr>
        <w:t> </w:t>
      </w:r>
      <w:r>
        <w:rPr>
          <w:color w:val="231F20"/>
          <w:sz w:val="20"/>
        </w:rPr>
        <w:t>are</w:t>
      </w:r>
      <w:r>
        <w:rPr>
          <w:color w:val="231F20"/>
          <w:spacing w:val="9"/>
          <w:sz w:val="20"/>
        </w:rPr>
        <w:t> </w:t>
      </w:r>
      <w:r>
        <w:rPr>
          <w:color w:val="231F20"/>
          <w:sz w:val="20"/>
        </w:rPr>
        <w:t>integrating</w:t>
      </w:r>
      <w:r>
        <w:rPr>
          <w:color w:val="231F20"/>
          <w:spacing w:val="10"/>
          <w:sz w:val="20"/>
        </w:rPr>
        <w:t> </w:t>
      </w:r>
      <w:r>
        <w:rPr>
          <w:color w:val="231F20"/>
          <w:sz w:val="20"/>
        </w:rPr>
        <w:t>with</w:t>
      </w:r>
      <w:r>
        <w:rPr>
          <w:color w:val="231F20"/>
          <w:spacing w:val="10"/>
          <w:sz w:val="20"/>
        </w:rPr>
        <w:t> </w:t>
      </w:r>
      <w:r>
        <w:rPr>
          <w:color w:val="231F20"/>
          <w:sz w:val="20"/>
        </w:rPr>
        <w:t>Tivoli</w:t>
      </w:r>
      <w:r>
        <w:rPr>
          <w:color w:val="231F20"/>
          <w:spacing w:val="9"/>
          <w:sz w:val="20"/>
        </w:rPr>
        <w:t> </w:t>
      </w:r>
      <w:r>
        <w:rPr>
          <w:color w:val="231F20"/>
          <w:spacing w:val="-2"/>
          <w:sz w:val="20"/>
        </w:rPr>
        <w:t>Netcool/OMNIbus.</w:t>
      </w:r>
    </w:p>
    <w:p>
      <w:pPr>
        <w:pStyle w:val="BodyText"/>
        <w:spacing w:line="213" w:lineRule="auto" w:before="238"/>
        <w:ind w:left="2232" w:right="505"/>
      </w:pPr>
      <w:r>
        <w:rPr>
          <w:color w:val="231F20"/>
        </w:rPr>
        <w:t>When</w:t>
      </w:r>
      <w:r>
        <w:rPr>
          <w:color w:val="231F20"/>
          <w:spacing w:val="24"/>
        </w:rPr>
        <w:t> </w:t>
      </w:r>
      <w:r>
        <w:rPr>
          <w:color w:val="231F20"/>
        </w:rPr>
        <w:t>you</w:t>
      </w:r>
      <w:r>
        <w:rPr>
          <w:color w:val="231F20"/>
          <w:spacing w:val="24"/>
        </w:rPr>
        <w:t> </w:t>
      </w:r>
      <w:r>
        <w:rPr>
          <w:color w:val="231F20"/>
        </w:rPr>
        <w:t>select</w:t>
      </w:r>
      <w:r>
        <w:rPr>
          <w:color w:val="231F20"/>
          <w:spacing w:val="24"/>
        </w:rPr>
        <w:t> </w:t>
      </w:r>
      <w:r>
        <w:rPr>
          <w:color w:val="231F20"/>
        </w:rPr>
        <w:t>an</w:t>
      </w:r>
      <w:r>
        <w:rPr>
          <w:color w:val="231F20"/>
          <w:spacing w:val="24"/>
        </w:rPr>
        <w:t> </w:t>
      </w:r>
      <w:r>
        <w:rPr>
          <w:color w:val="231F20"/>
        </w:rPr>
        <w:t>event</w:t>
      </w:r>
      <w:r>
        <w:rPr>
          <w:color w:val="231F20"/>
          <w:spacing w:val="24"/>
        </w:rPr>
        <w:t> </w:t>
      </w:r>
      <w:r>
        <w:rPr>
          <w:color w:val="231F20"/>
        </w:rPr>
        <w:t>class</w:t>
      </w:r>
      <w:r>
        <w:rPr>
          <w:color w:val="231F20"/>
          <w:spacing w:val="24"/>
        </w:rPr>
        <w:t> </w:t>
      </w:r>
      <w:r>
        <w:rPr>
          <w:color w:val="231F20"/>
        </w:rPr>
        <w:t>from</w:t>
      </w:r>
      <w:r>
        <w:rPr>
          <w:color w:val="231F20"/>
          <w:spacing w:val="24"/>
        </w:rPr>
        <w:t> </w:t>
      </w:r>
      <w:r>
        <w:rPr>
          <w:color w:val="231F20"/>
        </w:rPr>
        <w:t>the</w:t>
      </w:r>
      <w:r>
        <w:rPr>
          <w:color w:val="231F20"/>
          <w:spacing w:val="24"/>
        </w:rPr>
        <w:t> </w:t>
      </w:r>
      <w:r>
        <w:rPr>
          <w:color w:val="231F20"/>
        </w:rPr>
        <w:t>list</w:t>
      </w:r>
      <w:r>
        <w:rPr>
          <w:color w:val="231F20"/>
          <w:spacing w:val="24"/>
        </w:rPr>
        <w:t> </w:t>
      </w:r>
      <w:r>
        <w:rPr>
          <w:color w:val="231F20"/>
        </w:rPr>
        <w:t>or</w:t>
      </w:r>
      <w:r>
        <w:rPr>
          <w:color w:val="231F20"/>
          <w:spacing w:val="24"/>
        </w:rPr>
        <w:t> </w:t>
      </w:r>
      <w:r>
        <w:rPr>
          <w:color w:val="231F20"/>
        </w:rPr>
        <w:t>type</w:t>
      </w:r>
      <w:r>
        <w:rPr>
          <w:color w:val="231F20"/>
          <w:spacing w:val="24"/>
        </w:rPr>
        <w:t> </w:t>
      </w:r>
      <w:r>
        <w:rPr>
          <w:color w:val="231F20"/>
        </w:rPr>
        <w:t>the</w:t>
      </w:r>
      <w:r>
        <w:rPr>
          <w:color w:val="231F20"/>
          <w:spacing w:val="24"/>
        </w:rPr>
        <w:t> </w:t>
      </w:r>
      <w:r>
        <w:rPr>
          <w:color w:val="231F20"/>
        </w:rPr>
        <w:t>name</w:t>
      </w:r>
      <w:r>
        <w:rPr>
          <w:color w:val="231F20"/>
          <w:spacing w:val="24"/>
        </w:rPr>
        <w:t> </w:t>
      </w:r>
      <w:r>
        <w:rPr>
          <w:color w:val="231F20"/>
        </w:rPr>
        <w:t>of</w:t>
      </w:r>
      <w:r>
        <w:rPr>
          <w:color w:val="231F20"/>
          <w:spacing w:val="24"/>
        </w:rPr>
        <w:t> </w:t>
      </w:r>
      <w:r>
        <w:rPr>
          <w:color w:val="231F20"/>
        </w:rPr>
        <w:t>a</w:t>
      </w:r>
      <w:r>
        <w:rPr>
          <w:color w:val="231F20"/>
          <w:spacing w:val="24"/>
        </w:rPr>
        <w:t> </w:t>
      </w:r>
      <w:r>
        <w:rPr>
          <w:color w:val="231F20"/>
        </w:rPr>
        <w:t>defined</w:t>
      </w:r>
      <w:r>
        <w:rPr>
          <w:color w:val="231F20"/>
          <w:spacing w:val="24"/>
        </w:rPr>
        <w:t> </w:t>
      </w:r>
      <w:r>
        <w:rPr>
          <w:color w:val="231F20"/>
        </w:rPr>
        <w:t>class, the </w:t>
      </w:r>
      <w:r>
        <w:rPr>
          <w:rFonts w:ascii="Book Antiqua"/>
          <w:b/>
          <w:color w:val="231F20"/>
        </w:rPr>
        <w:t>Extended slots </w:t>
      </w:r>
      <w:r>
        <w:rPr>
          <w:color w:val="231F20"/>
        </w:rPr>
        <w:t>table is populated with the extended slots that are defined for</w:t>
      </w:r>
      <w:r>
        <w:rPr>
          <w:color w:val="231F20"/>
          <w:spacing w:val="80"/>
        </w:rPr>
        <w:t> </w:t>
      </w:r>
      <w:r>
        <w:rPr>
          <w:color w:val="231F20"/>
        </w:rPr>
        <w:t>the selected class. If you type the name of a class that is not defined in the Tivoli</w:t>
      </w:r>
      <w:r>
        <w:rPr>
          <w:color w:val="231F20"/>
          <w:spacing w:val="40"/>
        </w:rPr>
        <w:t> </w:t>
      </w:r>
      <w:r>
        <w:rPr>
          <w:color w:val="231F20"/>
        </w:rPr>
        <w:t>Monitoring configuration, the extended slots are not available and must be </w:t>
      </w:r>
      <w:r>
        <w:rPr>
          <w:color w:val="231F20"/>
        </w:rPr>
        <w:t>entered </w:t>
      </w:r>
      <w:r>
        <w:rPr>
          <w:color w:val="231F20"/>
          <w:spacing w:val="-2"/>
        </w:rPr>
        <w:t>manually.</w:t>
      </w:r>
    </w:p>
    <w:p>
      <w:pPr>
        <w:pStyle w:val="Heading5"/>
        <w:spacing w:before="216"/>
        <w:ind w:left="2232"/>
      </w:pPr>
      <w:r>
        <w:rPr>
          <w:color w:val="231F20"/>
        </w:rPr>
        <w:t>Base</w:t>
      </w:r>
      <w:r>
        <w:rPr>
          <w:color w:val="231F20"/>
          <w:spacing w:val="5"/>
        </w:rPr>
        <w:t> </w:t>
      </w:r>
      <w:r>
        <w:rPr>
          <w:color w:val="231F20"/>
          <w:spacing w:val="-4"/>
        </w:rPr>
        <w:t>slots</w:t>
      </w:r>
    </w:p>
    <w:p>
      <w:pPr>
        <w:pStyle w:val="BodyText"/>
        <w:spacing w:line="213" w:lineRule="auto" w:before="246"/>
        <w:ind w:left="2232" w:right="763"/>
      </w:pPr>
      <w:r>
        <w:rPr>
          <w:color w:val="231F20"/>
        </w:rPr>
        <w:t>Use the </w:t>
      </w:r>
      <w:r>
        <w:rPr>
          <w:rFonts w:ascii="Book Antiqua"/>
          <w:b/>
          <w:color w:val="231F20"/>
        </w:rPr>
        <w:t>Base slots </w:t>
      </w:r>
      <w:r>
        <w:rPr>
          <w:color w:val="231F20"/>
        </w:rPr>
        <w:t>table to specify how each base slot of the forwarded EIF event</w:t>
      </w:r>
      <w:r>
        <w:rPr>
          <w:color w:val="231F20"/>
          <w:spacing w:val="80"/>
        </w:rPr>
        <w:t> </w:t>
      </w:r>
      <w:r>
        <w:rPr>
          <w:color w:val="231F20"/>
        </w:rPr>
        <w:t>is populated with data:</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You can specify a Tivoli Monitoring attribute to be mapped to each slot, along with options that affect how the value of the attribute is mapped to a corresponding value in the EIF event slot.</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You can specify a literal value that is used for the event slot for each forwarded</w:t>
      </w:r>
      <w:r>
        <w:rPr>
          <w:color w:val="231F20"/>
          <w:spacing w:val="40"/>
        </w:rPr>
        <w:t> </w:t>
      </w:r>
      <w:r>
        <w:rPr>
          <w:color w:val="231F20"/>
          <w:spacing w:val="-2"/>
        </w:rPr>
        <w:t>event.</w:t>
      </w:r>
    </w:p>
    <w:p>
      <w:pPr>
        <w:pStyle w:val="BodyText"/>
        <w:spacing w:line="213" w:lineRule="auto" w:before="238"/>
        <w:ind w:left="2232" w:right="700"/>
      </w:pPr>
      <w:r>
        <w:rPr>
          <w:color w:val="231F20"/>
        </w:rPr>
        <w:t>The list of event slots in the </w:t>
      </w:r>
      <w:r>
        <w:rPr>
          <w:rFonts w:ascii="Book Antiqua"/>
          <w:b/>
          <w:color w:val="231F20"/>
        </w:rPr>
        <w:t>Base slots </w:t>
      </w:r>
      <w:r>
        <w:rPr>
          <w:color w:val="231F20"/>
        </w:rPr>
        <w:t>table is fixed because these slots are the</w:t>
      </w:r>
      <w:r>
        <w:rPr>
          <w:color w:val="231F20"/>
          <w:spacing w:val="40"/>
        </w:rPr>
        <w:t> </w:t>
      </w:r>
      <w:r>
        <w:rPr>
          <w:color w:val="231F20"/>
        </w:rPr>
        <w:t>same for all event classes.</w:t>
      </w:r>
    </w:p>
    <w:p>
      <w:pPr>
        <w:pStyle w:val="Heading5"/>
        <w:spacing w:before="219"/>
        <w:ind w:left="2232"/>
      </w:pPr>
      <w:r>
        <w:rPr>
          <w:color w:val="231F20"/>
        </w:rPr>
        <w:t>Extended</w:t>
      </w:r>
      <w:r>
        <w:rPr>
          <w:color w:val="231F20"/>
          <w:spacing w:val="1"/>
        </w:rPr>
        <w:t> </w:t>
      </w:r>
      <w:r>
        <w:rPr>
          <w:color w:val="231F20"/>
          <w:spacing w:val="-4"/>
        </w:rPr>
        <w:t>slots</w:t>
      </w:r>
    </w:p>
    <w:p>
      <w:pPr>
        <w:pStyle w:val="BodyText"/>
        <w:spacing w:line="213" w:lineRule="auto" w:before="245"/>
        <w:ind w:left="2232" w:right="636"/>
      </w:pPr>
      <w:r>
        <w:rPr>
          <w:color w:val="231F20"/>
        </w:rPr>
        <w:t>Use the </w:t>
      </w:r>
      <w:r>
        <w:rPr>
          <w:rFonts w:ascii="Book Antiqua"/>
          <w:b/>
          <w:color w:val="231F20"/>
        </w:rPr>
        <w:t>Extended slots </w:t>
      </w:r>
      <w:r>
        <w:rPr>
          <w:color w:val="231F20"/>
        </w:rPr>
        <w:t>table to specify how each extended slot of the </w:t>
      </w:r>
      <w:r>
        <w:rPr>
          <w:color w:val="231F20"/>
        </w:rPr>
        <w:t>forwarded EIF event is populated with data. As with the </w:t>
      </w:r>
      <w:r>
        <w:rPr>
          <w:rFonts w:ascii="Book Antiqua"/>
          <w:b/>
          <w:color w:val="231F20"/>
        </w:rPr>
        <w:t>Base slots </w:t>
      </w:r>
      <w:r>
        <w:rPr>
          <w:color w:val="231F20"/>
        </w:rPr>
        <w:t>table, you can specify either a literal value or a mapping from an attribute.</w:t>
      </w:r>
    </w:p>
    <w:p>
      <w:pPr>
        <w:pStyle w:val="BodyText"/>
        <w:spacing w:line="213" w:lineRule="auto" w:before="238"/>
        <w:ind w:left="2232" w:right="603" w:hanging="1"/>
      </w:pPr>
      <w:r>
        <w:rPr>
          <w:color w:val="231F20"/>
        </w:rPr>
        <w:t>The</w:t>
      </w:r>
      <w:r>
        <w:rPr>
          <w:color w:val="231F20"/>
          <w:spacing w:val="27"/>
        </w:rPr>
        <w:t> </w:t>
      </w:r>
      <w:r>
        <w:rPr>
          <w:color w:val="231F20"/>
        </w:rPr>
        <w:t>list</w:t>
      </w:r>
      <w:r>
        <w:rPr>
          <w:color w:val="231F20"/>
          <w:spacing w:val="27"/>
        </w:rPr>
        <w:t> </w:t>
      </w:r>
      <w:r>
        <w:rPr>
          <w:color w:val="231F20"/>
        </w:rPr>
        <w:t>of</w:t>
      </w:r>
      <w:r>
        <w:rPr>
          <w:color w:val="231F20"/>
          <w:spacing w:val="27"/>
        </w:rPr>
        <w:t> </w:t>
      </w:r>
      <w:r>
        <w:rPr>
          <w:color w:val="231F20"/>
        </w:rPr>
        <w:t>event</w:t>
      </w:r>
      <w:r>
        <w:rPr>
          <w:color w:val="231F20"/>
          <w:spacing w:val="27"/>
        </w:rPr>
        <w:t> </w:t>
      </w:r>
      <w:r>
        <w:rPr>
          <w:color w:val="231F20"/>
        </w:rPr>
        <w:t>slots</w:t>
      </w:r>
      <w:r>
        <w:rPr>
          <w:color w:val="231F20"/>
          <w:spacing w:val="27"/>
        </w:rPr>
        <w:t> </w:t>
      </w:r>
      <w:r>
        <w:rPr>
          <w:color w:val="231F20"/>
        </w:rPr>
        <w:t>in</w:t>
      </w:r>
      <w:r>
        <w:rPr>
          <w:color w:val="231F20"/>
          <w:spacing w:val="27"/>
        </w:rPr>
        <w:t> </w:t>
      </w:r>
      <w:r>
        <w:rPr>
          <w:color w:val="231F20"/>
        </w:rPr>
        <w:t>the</w:t>
      </w:r>
      <w:r>
        <w:rPr>
          <w:color w:val="231F20"/>
          <w:spacing w:val="27"/>
        </w:rPr>
        <w:t> </w:t>
      </w:r>
      <w:r>
        <w:rPr>
          <w:rFonts w:ascii="Book Antiqua"/>
          <w:b/>
          <w:color w:val="231F20"/>
        </w:rPr>
        <w:t>Extended</w:t>
      </w:r>
      <w:r>
        <w:rPr>
          <w:rFonts w:ascii="Book Antiqua"/>
          <w:b/>
          <w:color w:val="231F20"/>
          <w:spacing w:val="27"/>
        </w:rPr>
        <w:t> </w:t>
      </w:r>
      <w:r>
        <w:rPr>
          <w:rFonts w:ascii="Book Antiqua"/>
          <w:b/>
          <w:color w:val="231F20"/>
        </w:rPr>
        <w:t>slots</w:t>
      </w:r>
      <w:r>
        <w:rPr>
          <w:rFonts w:ascii="Book Antiqua"/>
          <w:b/>
          <w:color w:val="231F20"/>
          <w:spacing w:val="27"/>
        </w:rPr>
        <w:t> </w:t>
      </w:r>
      <w:r>
        <w:rPr>
          <w:color w:val="231F20"/>
        </w:rPr>
        <w:t>table</w:t>
      </w:r>
      <w:r>
        <w:rPr>
          <w:color w:val="231F20"/>
          <w:spacing w:val="27"/>
        </w:rPr>
        <w:t> </w:t>
      </w:r>
      <w:r>
        <w:rPr>
          <w:color w:val="231F20"/>
        </w:rPr>
        <w:t>varies</w:t>
      </w:r>
      <w:r>
        <w:rPr>
          <w:color w:val="231F20"/>
          <w:spacing w:val="27"/>
        </w:rPr>
        <w:t> </w:t>
      </w:r>
      <w:r>
        <w:rPr>
          <w:color w:val="231F20"/>
        </w:rPr>
        <w:t>depending</w:t>
      </w:r>
      <w:r>
        <w:rPr>
          <w:color w:val="231F20"/>
          <w:spacing w:val="27"/>
        </w:rPr>
        <w:t> </w:t>
      </w:r>
      <w:r>
        <w:rPr>
          <w:color w:val="231F20"/>
        </w:rPr>
        <w:t>on</w:t>
      </w:r>
      <w:r>
        <w:rPr>
          <w:color w:val="231F20"/>
          <w:spacing w:val="27"/>
        </w:rPr>
        <w:t> </w:t>
      </w:r>
      <w:r>
        <w:rPr>
          <w:color w:val="231F20"/>
        </w:rPr>
        <w:t>the extended slots defined for the EIF event class selected in the </w:t>
      </w:r>
      <w:r>
        <w:rPr>
          <w:rFonts w:ascii="Book Antiqua"/>
          <w:b/>
          <w:color w:val="231F20"/>
        </w:rPr>
        <w:t>Event class name</w:t>
      </w:r>
      <w:r>
        <w:rPr>
          <w:rFonts w:ascii="Book Antiqua"/>
          <w:b/>
          <w:color w:val="231F20"/>
          <w:spacing w:val="80"/>
          <w:w w:val="150"/>
        </w:rPr>
        <w:t> </w:t>
      </w:r>
      <w:r>
        <w:rPr>
          <w:color w:val="231F20"/>
        </w:rPr>
        <w:t>field. The Extended slots are included when a situation event is opened. </w:t>
      </w:r>
      <w:r>
        <w:rPr>
          <w:color w:val="231F20"/>
        </w:rPr>
        <w:t>However, they are not included in status update events when the situation event is acknowledged, unacknowledged, or closed.</w:t>
      </w:r>
    </w:p>
    <w:p>
      <w:pPr>
        <w:pStyle w:val="BodyText"/>
        <w:spacing w:before="213"/>
        <w:ind w:left="2232"/>
      </w:pPr>
      <w:r>
        <w:rPr>
          <w:color w:val="231F20"/>
        </w:rPr>
        <w:t>If</w:t>
      </w:r>
      <w:r>
        <w:rPr>
          <w:color w:val="231F20"/>
          <w:spacing w:val="11"/>
        </w:rPr>
        <w:t> </w:t>
      </w:r>
      <w:r>
        <w:rPr>
          <w:color w:val="231F20"/>
        </w:rPr>
        <w:t>the</w:t>
      </w:r>
      <w:r>
        <w:rPr>
          <w:color w:val="231F20"/>
          <w:spacing w:val="11"/>
        </w:rPr>
        <w:t> </w:t>
      </w:r>
      <w:r>
        <w:rPr>
          <w:color w:val="231F20"/>
        </w:rPr>
        <w:t>specified</w:t>
      </w:r>
      <w:r>
        <w:rPr>
          <w:color w:val="231F20"/>
          <w:spacing w:val="12"/>
        </w:rPr>
        <w:t> </w:t>
      </w:r>
      <w:r>
        <w:rPr>
          <w:color w:val="231F20"/>
        </w:rPr>
        <w:t>class</w:t>
      </w:r>
      <w:r>
        <w:rPr>
          <w:color w:val="231F20"/>
          <w:spacing w:val="11"/>
        </w:rPr>
        <w:t> </w:t>
      </w:r>
      <w:r>
        <w:rPr>
          <w:color w:val="231F20"/>
        </w:rPr>
        <w:t>is</w:t>
      </w:r>
      <w:r>
        <w:rPr>
          <w:color w:val="231F20"/>
          <w:spacing w:val="11"/>
        </w:rPr>
        <w:t> </w:t>
      </w:r>
      <w:r>
        <w:rPr>
          <w:color w:val="231F20"/>
        </w:rPr>
        <w:t>not</w:t>
      </w:r>
      <w:r>
        <w:rPr>
          <w:color w:val="231F20"/>
          <w:spacing w:val="12"/>
        </w:rPr>
        <w:t> </w:t>
      </w:r>
      <w:r>
        <w:rPr>
          <w:color w:val="231F20"/>
        </w:rPr>
        <w:t>defined,</w:t>
      </w:r>
      <w:r>
        <w:rPr>
          <w:color w:val="231F20"/>
          <w:spacing w:val="11"/>
        </w:rPr>
        <w:t> </w:t>
      </w:r>
      <w:r>
        <w:rPr>
          <w:color w:val="231F20"/>
        </w:rPr>
        <w:t>you</w:t>
      </w:r>
      <w:r>
        <w:rPr>
          <w:color w:val="231F20"/>
          <w:spacing w:val="12"/>
        </w:rPr>
        <w:t> </w:t>
      </w:r>
      <w:r>
        <w:rPr>
          <w:color w:val="231F20"/>
        </w:rPr>
        <w:t>can</w:t>
      </w:r>
      <w:r>
        <w:rPr>
          <w:color w:val="231F20"/>
          <w:spacing w:val="11"/>
        </w:rPr>
        <w:t> </w:t>
      </w:r>
      <w:r>
        <w:rPr>
          <w:color w:val="231F20"/>
        </w:rPr>
        <w:t>manually</w:t>
      </w:r>
      <w:r>
        <w:rPr>
          <w:color w:val="231F20"/>
          <w:spacing w:val="11"/>
        </w:rPr>
        <w:t> </w:t>
      </w:r>
      <w:r>
        <w:rPr>
          <w:color w:val="231F20"/>
        </w:rPr>
        <w:t>specify</w:t>
      </w:r>
      <w:r>
        <w:rPr>
          <w:color w:val="231F20"/>
          <w:spacing w:val="12"/>
        </w:rPr>
        <w:t> </w:t>
      </w:r>
      <w:r>
        <w:rPr>
          <w:color w:val="231F20"/>
        </w:rPr>
        <w:t>the</w:t>
      </w:r>
      <w:r>
        <w:rPr>
          <w:color w:val="231F20"/>
          <w:spacing w:val="11"/>
        </w:rPr>
        <w:t> </w:t>
      </w:r>
      <w:r>
        <w:rPr>
          <w:color w:val="231F20"/>
        </w:rPr>
        <w:t>extended</w:t>
      </w:r>
      <w:r>
        <w:rPr>
          <w:color w:val="231F20"/>
          <w:spacing w:val="12"/>
        </w:rPr>
        <w:t> </w:t>
      </w:r>
      <w:r>
        <w:rPr>
          <w:color w:val="231F20"/>
          <w:spacing w:val="-2"/>
        </w:rPr>
        <w:t>slots:</w:t>
      </w:r>
    </w:p>
    <w:p>
      <w:pPr>
        <w:pStyle w:val="BodyText"/>
        <w:spacing w:line="213" w:lineRule="auto" w:before="52"/>
        <w:ind w:left="2448" w:right="603" w:hanging="216"/>
      </w:pPr>
      <w:r>
        <w:rPr>
          <w:rFonts w:ascii="Futura MdCn BT"/>
          <w:color w:val="231F20"/>
        </w:rPr>
        <w:t>v</w:t>
      </w:r>
      <w:r>
        <w:rPr>
          <w:rFonts w:ascii="Futura MdCn BT"/>
          <w:color w:val="231F20"/>
          <w:spacing w:val="80"/>
        </w:rPr>
        <w:t> </w:t>
      </w:r>
      <w:r>
        <w:rPr>
          <w:color w:val="231F20"/>
        </w:rPr>
        <w:t>To add a slot, type the slot name in any empty row of the </w:t>
      </w:r>
      <w:r>
        <w:rPr>
          <w:rFonts w:ascii="Book Antiqua"/>
          <w:b/>
          <w:color w:val="231F20"/>
        </w:rPr>
        <w:t>Slot name </w:t>
      </w:r>
      <w:r>
        <w:rPr>
          <w:color w:val="231F20"/>
        </w:rPr>
        <w:t>column.</w:t>
      </w:r>
      <w:r>
        <w:rPr>
          <w:color w:val="231F20"/>
          <w:spacing w:val="80"/>
        </w:rPr>
        <w:t> </w:t>
      </w:r>
      <w:r>
        <w:rPr>
          <w:color w:val="231F20"/>
        </w:rPr>
        <w:t>(The new slot name must be unique; if you type a name that duplicates an</w:t>
      </w:r>
      <w:r>
        <w:rPr>
          <w:color w:val="231F20"/>
          <w:spacing w:val="40"/>
        </w:rPr>
        <w:t> </w:t>
      </w:r>
      <w:r>
        <w:rPr>
          <w:color w:val="231F20"/>
        </w:rPr>
        <w:t>existing slot name, the table cell is highlighted in red.)</w:t>
      </w:r>
    </w:p>
    <w:p>
      <w:pPr>
        <w:pStyle w:val="BodyText"/>
        <w:tabs>
          <w:tab w:pos="2515" w:val="left" w:leader="none"/>
        </w:tabs>
        <w:spacing w:line="213" w:lineRule="auto" w:before="58"/>
        <w:ind w:left="2448" w:right="493" w:hanging="216"/>
      </w:pPr>
      <w:r>
        <w:rPr>
          <w:rFonts w:ascii="Futura MdCn BT"/>
          <w:color w:val="231F20"/>
          <w:spacing w:val="-10"/>
        </w:rPr>
        <w:t>v</w:t>
      </w:r>
      <w:r>
        <w:rPr>
          <w:rFonts w:ascii="Futura MdCn BT"/>
          <w:color w:val="231F20"/>
        </w:rPr>
        <w:tab/>
        <w:tab/>
      </w:r>
      <w:r>
        <w:rPr>
          <w:color w:val="231F20"/>
        </w:rPr>
        <w:t>To insert an empty row in the table, right-click in any row and then click </w:t>
      </w:r>
      <w:r>
        <w:rPr>
          <w:rFonts w:ascii="Book Antiqua"/>
          <w:b/>
          <w:color w:val="231F20"/>
        </w:rPr>
        <w:t>Insert row</w:t>
      </w:r>
      <w:r>
        <w:rPr>
          <w:rFonts w:ascii="Book Antiqua"/>
          <w:b/>
          <w:color w:val="231F20"/>
          <w:spacing w:val="25"/>
        </w:rPr>
        <w:t> </w:t>
      </w:r>
      <w:r>
        <w:rPr>
          <w:rFonts w:ascii="Book Antiqua"/>
          <w:b/>
          <w:color w:val="231F20"/>
        </w:rPr>
        <w:t>above</w:t>
      </w:r>
      <w:r>
        <w:rPr>
          <w:rFonts w:ascii="Book Antiqua"/>
          <w:b/>
          <w:color w:val="231F20"/>
          <w:spacing w:val="25"/>
        </w:rPr>
        <w:t> </w:t>
      </w:r>
      <w:r>
        <w:rPr>
          <w:color w:val="231F20"/>
        </w:rPr>
        <w:t>or</w:t>
      </w:r>
      <w:r>
        <w:rPr>
          <w:color w:val="231F20"/>
          <w:spacing w:val="25"/>
        </w:rPr>
        <w:t> </w:t>
      </w:r>
      <w:r>
        <w:rPr>
          <w:rFonts w:ascii="Book Antiqua"/>
          <w:b/>
          <w:color w:val="231F20"/>
        </w:rPr>
        <w:t>Insert</w:t>
      </w:r>
      <w:r>
        <w:rPr>
          <w:rFonts w:ascii="Book Antiqua"/>
          <w:b/>
          <w:color w:val="231F20"/>
          <w:spacing w:val="25"/>
        </w:rPr>
        <w:t> </w:t>
      </w:r>
      <w:r>
        <w:rPr>
          <w:rFonts w:ascii="Book Antiqua"/>
          <w:b/>
          <w:color w:val="231F20"/>
        </w:rPr>
        <w:t>row</w:t>
      </w:r>
      <w:r>
        <w:rPr>
          <w:rFonts w:ascii="Book Antiqua"/>
          <w:b/>
          <w:color w:val="231F20"/>
          <w:spacing w:val="25"/>
        </w:rPr>
        <w:t> </w:t>
      </w:r>
      <w:r>
        <w:rPr>
          <w:rFonts w:ascii="Book Antiqua"/>
          <w:b/>
          <w:color w:val="231F20"/>
        </w:rPr>
        <w:t>below</w:t>
      </w:r>
      <w:r>
        <w:rPr>
          <w:rFonts w:ascii="Book Antiqua"/>
          <w:b/>
          <w:color w:val="231F20"/>
          <w:spacing w:val="25"/>
        </w:rPr>
        <w:t> </w:t>
      </w:r>
      <w:r>
        <w:rPr>
          <w:color w:val="231F20"/>
        </w:rPr>
        <w:t>from</w:t>
      </w:r>
      <w:r>
        <w:rPr>
          <w:color w:val="231F20"/>
          <w:spacing w:val="25"/>
        </w:rPr>
        <w:t> </w:t>
      </w:r>
      <w:r>
        <w:rPr>
          <w:color w:val="231F20"/>
        </w:rPr>
        <w:t>the</w:t>
      </w:r>
      <w:r>
        <w:rPr>
          <w:color w:val="231F20"/>
          <w:spacing w:val="25"/>
        </w:rPr>
        <w:t> </w:t>
      </w:r>
      <w:r>
        <w:rPr>
          <w:color w:val="231F20"/>
        </w:rPr>
        <w:t>pop-up</w:t>
      </w:r>
      <w:r>
        <w:rPr>
          <w:color w:val="231F20"/>
          <w:spacing w:val="25"/>
        </w:rPr>
        <w:t> </w:t>
      </w:r>
      <w:r>
        <w:rPr>
          <w:color w:val="231F20"/>
        </w:rPr>
        <w:t>menu.</w:t>
      </w:r>
      <w:r>
        <w:rPr>
          <w:color w:val="231F20"/>
          <w:spacing w:val="25"/>
        </w:rPr>
        <w:t> </w:t>
      </w:r>
      <w:r>
        <w:rPr>
          <w:color w:val="231F20"/>
        </w:rPr>
        <w:t>(The</w:t>
      </w:r>
      <w:r>
        <w:rPr>
          <w:color w:val="231F20"/>
          <w:spacing w:val="25"/>
        </w:rPr>
        <w:t> </w:t>
      </w:r>
      <w:r>
        <w:rPr>
          <w:color w:val="231F20"/>
        </w:rPr>
        <w:t>order</w:t>
      </w:r>
      <w:r>
        <w:rPr>
          <w:color w:val="231F20"/>
          <w:spacing w:val="25"/>
        </w:rPr>
        <w:t> </w:t>
      </w:r>
      <w:r>
        <w:rPr>
          <w:color w:val="231F20"/>
        </w:rPr>
        <w:t>of</w:t>
      </w:r>
      <w:r>
        <w:rPr>
          <w:color w:val="231F20"/>
          <w:spacing w:val="25"/>
        </w:rPr>
        <w:t> </w:t>
      </w:r>
      <w:r>
        <w:rPr>
          <w:color w:val="231F20"/>
        </w:rPr>
        <w:t>slots</w:t>
      </w:r>
      <w:r>
        <w:rPr>
          <w:color w:val="231F20"/>
          <w:spacing w:val="25"/>
        </w:rPr>
        <w:t> </w:t>
      </w:r>
      <w:r>
        <w:rPr>
          <w:color w:val="231F20"/>
        </w:rPr>
        <w:t>in the table is not significant.)</w:t>
      </w:r>
    </w:p>
    <w:p>
      <w:pPr>
        <w:pStyle w:val="BodyText"/>
        <w:spacing w:line="213" w:lineRule="auto" w:before="58"/>
        <w:ind w:left="2448" w:right="603" w:hanging="216"/>
      </w:pPr>
      <w:r>
        <w:rPr>
          <w:rFonts w:ascii="Futura MdCn BT"/>
          <w:color w:val="231F20"/>
        </w:rPr>
        <w:t>v</w:t>
      </w:r>
      <w:r>
        <w:rPr>
          <w:rFonts w:ascii="Futura MdCn BT"/>
          <w:color w:val="231F20"/>
          <w:spacing w:val="80"/>
        </w:rPr>
        <w:t> </w:t>
      </w:r>
      <w:r>
        <w:rPr>
          <w:color w:val="231F20"/>
        </w:rPr>
        <w:t>To delete a slot, right-click in the row you want to delete and then click </w:t>
      </w:r>
      <w:r>
        <w:rPr>
          <w:rFonts w:ascii="Book Antiqua"/>
          <w:b/>
          <w:color w:val="231F20"/>
        </w:rPr>
        <w:t>Delete</w:t>
      </w:r>
      <w:r>
        <w:rPr>
          <w:rFonts w:ascii="Book Antiqua"/>
          <w:b/>
          <w:color w:val="231F20"/>
          <w:spacing w:val="40"/>
        </w:rPr>
        <w:t> </w:t>
      </w:r>
      <w:r>
        <w:rPr>
          <w:rFonts w:ascii="Book Antiqua"/>
          <w:b/>
          <w:color w:val="231F20"/>
        </w:rPr>
        <w:t>row </w:t>
      </w:r>
      <w:r>
        <w:rPr>
          <w:color w:val="231F20"/>
        </w:rPr>
        <w:t>from the pop-up menu.</w:t>
      </w:r>
    </w:p>
    <w:p>
      <w:pPr>
        <w:pStyle w:val="BodyText"/>
        <w:spacing w:line="213" w:lineRule="auto" w:before="238"/>
        <w:ind w:left="2232" w:right="636"/>
      </w:pPr>
      <w:r>
        <w:rPr>
          <w:color w:val="231F20"/>
        </w:rPr>
        <w:t>You can also delete an extended slot if the event definition has changed and the slot is no longer valid.</w:t>
      </w:r>
    </w:p>
    <w:p>
      <w:pPr>
        <w:pStyle w:val="Heading5"/>
        <w:spacing w:before="219"/>
        <w:ind w:left="2232"/>
      </w:pPr>
      <w:r>
        <w:rPr>
          <w:color w:val="231F20"/>
        </w:rPr>
        <w:t>Map</w:t>
      </w:r>
      <w:r>
        <w:rPr>
          <w:color w:val="231F20"/>
          <w:spacing w:val="7"/>
        </w:rPr>
        <w:t> </w:t>
      </w:r>
      <w:r>
        <w:rPr>
          <w:color w:val="231F20"/>
        </w:rPr>
        <w:t>all</w:t>
      </w:r>
      <w:r>
        <w:rPr>
          <w:color w:val="231F20"/>
          <w:spacing w:val="8"/>
        </w:rPr>
        <w:t> </w:t>
      </w:r>
      <w:r>
        <w:rPr>
          <w:color w:val="231F20"/>
          <w:spacing w:val="-2"/>
        </w:rPr>
        <w:t>attributes</w:t>
      </w:r>
    </w:p>
    <w:p>
      <w:pPr>
        <w:pStyle w:val="BodyText"/>
        <w:spacing w:before="1"/>
        <w:rPr>
          <w:rFonts w:ascii="Arial"/>
          <w:b/>
          <w:sz w:val="22"/>
        </w:rPr>
      </w:pPr>
    </w:p>
    <w:p>
      <w:pPr>
        <w:pStyle w:val="BodyText"/>
        <w:spacing w:line="208" w:lineRule="auto" w:before="1"/>
        <w:ind w:left="2232" w:right="545"/>
      </w:pPr>
      <w:r>
        <w:rPr>
          <w:color w:val="231F20"/>
        </w:rPr>
        <w:t>Select the </w:t>
      </w:r>
      <w:r>
        <w:rPr>
          <w:color w:val="231F20"/>
          <w:spacing w:val="16"/>
        </w:rPr>
        <w:drawing>
          <wp:inline distT="0" distB="0" distL="0" distR="0">
            <wp:extent cx="82550" cy="82550"/>
            <wp:effectExtent l="0" t="0" r="0" b="0"/>
            <wp:docPr id="2351" name="Image 2351"/>
            <wp:cNvGraphicFramePr>
              <a:graphicFrameLocks/>
            </wp:cNvGraphicFramePr>
            <a:graphic>
              <a:graphicData uri="http://schemas.openxmlformats.org/drawingml/2006/picture">
                <pic:pic>
                  <pic:nvPicPr>
                    <pic:cNvPr id="2351" name="Image 235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9"/>
        </w:rPr>
        <w:t> </w:t>
      </w:r>
      <w:r>
        <w:rPr>
          <w:rFonts w:ascii="Book Antiqua"/>
          <w:b/>
          <w:color w:val="231F20"/>
        </w:rPr>
        <w:t>Map all attributes </w:t>
      </w:r>
      <w:r>
        <w:rPr>
          <w:color w:val="231F20"/>
        </w:rPr>
        <w:t>check box to specify that all event attributes be mapped to EIF event slots:</w:t>
      </w:r>
    </w:p>
    <w:p>
      <w:pPr>
        <w:pStyle w:val="BodyText"/>
        <w:spacing w:line="213" w:lineRule="auto" w:before="60"/>
        <w:ind w:left="2448" w:right="493" w:hanging="216"/>
      </w:pPr>
      <w:r>
        <w:rPr>
          <w:rFonts w:ascii="Futura MdCn BT"/>
          <w:color w:val="231F20"/>
        </w:rPr>
        <w:t>v</w:t>
      </w:r>
      <w:r>
        <w:rPr>
          <w:rFonts w:ascii="Futura MdCn BT"/>
          <w:color w:val="231F20"/>
          <w:spacing w:val="80"/>
        </w:rPr>
        <w:t> </w:t>
      </w:r>
      <w:r>
        <w:rPr>
          <w:color w:val="231F20"/>
        </w:rPr>
        <w:t>If this option is selected, the default mapping is used for any base or </w:t>
      </w:r>
      <w:r>
        <w:rPr>
          <w:color w:val="231F20"/>
        </w:rPr>
        <w:t>extended</w:t>
      </w:r>
      <w:r>
        <w:rPr>
          <w:color w:val="231F20"/>
          <w:spacing w:val="40"/>
        </w:rPr>
        <w:t> </w:t>
      </w:r>
      <w:r>
        <w:rPr>
          <w:color w:val="231F20"/>
        </w:rPr>
        <w:t>slots for which you have not specified a mapping in the Base Slots table or</w:t>
      </w:r>
      <w:r>
        <w:rPr>
          <w:color w:val="231F20"/>
          <w:spacing w:val="40"/>
        </w:rPr>
        <w:t> </w:t>
      </w:r>
      <w:r>
        <w:rPr>
          <w:color w:val="231F20"/>
        </w:rPr>
        <w:t>Extended Slots table.</w:t>
      </w:r>
    </w:p>
    <w:p>
      <w:pPr>
        <w:spacing w:after="0" w:line="213" w:lineRule="auto"/>
        <w:sectPr>
          <w:pgSz w:w="12240" w:h="15840"/>
          <w:pgMar w:header="0" w:footer="736" w:top="1180" w:bottom="920" w:left="1000" w:right="1060"/>
        </w:sectPr>
      </w:pPr>
    </w:p>
    <w:p>
      <w:pPr>
        <w:pStyle w:val="BodyText"/>
        <w:spacing w:line="213" w:lineRule="auto" w:before="85"/>
        <w:ind w:left="2688" w:right="274" w:hanging="216"/>
      </w:pPr>
      <w:r>
        <w:rPr>
          <w:rFonts w:ascii="Futura MdCn BT"/>
          <w:color w:val="231F20"/>
        </w:rPr>
        <w:t>v</w:t>
      </w:r>
      <w:r>
        <w:rPr>
          <w:rFonts w:ascii="Futura MdCn BT"/>
          <w:color w:val="231F20"/>
          <w:spacing w:val="80"/>
        </w:rPr>
        <w:t> </w:t>
      </w:r>
      <w:r>
        <w:rPr>
          <w:color w:val="231F20"/>
        </w:rPr>
        <w:t>If this option is not selected, all of the base slots except the msg slot are mapped</w:t>
      </w:r>
      <w:r>
        <w:rPr>
          <w:color w:val="231F20"/>
          <w:spacing w:val="80"/>
        </w:rPr>
        <w:t> </w:t>
      </w:r>
      <w:r>
        <w:rPr>
          <w:color w:val="231F20"/>
        </w:rPr>
        <w:t>by using the mapping defined in the Base Slots table or, if the base slot is not</w:t>
      </w:r>
      <w:r>
        <w:rPr>
          <w:color w:val="231F20"/>
          <w:spacing w:val="40"/>
        </w:rPr>
        <w:t> </w:t>
      </w:r>
      <w:r>
        <w:rPr>
          <w:color w:val="231F20"/>
        </w:rPr>
        <w:t>mapped, the default mapping is used. If you want to include the msg slot in</w:t>
      </w:r>
      <w:r>
        <w:rPr>
          <w:color w:val="231F20"/>
          <w:spacing w:val="40"/>
        </w:rPr>
        <w:t> </w:t>
      </w:r>
      <w:r>
        <w:rPr>
          <w:color w:val="231F20"/>
        </w:rPr>
        <w:t>events,</w:t>
      </w:r>
      <w:r>
        <w:rPr>
          <w:color w:val="231F20"/>
          <w:spacing w:val="27"/>
        </w:rPr>
        <w:t> </w:t>
      </w:r>
      <w:r>
        <w:rPr>
          <w:color w:val="231F20"/>
        </w:rPr>
        <w:t>you</w:t>
      </w:r>
      <w:r>
        <w:rPr>
          <w:color w:val="231F20"/>
          <w:spacing w:val="27"/>
        </w:rPr>
        <w:t> </w:t>
      </w:r>
      <w:r>
        <w:rPr>
          <w:color w:val="231F20"/>
        </w:rPr>
        <w:t>must</w:t>
      </w:r>
      <w:r>
        <w:rPr>
          <w:color w:val="231F20"/>
          <w:spacing w:val="27"/>
        </w:rPr>
        <w:t> </w:t>
      </w:r>
      <w:r>
        <w:rPr>
          <w:color w:val="231F20"/>
        </w:rPr>
        <w:t>map</w:t>
      </w:r>
      <w:r>
        <w:rPr>
          <w:color w:val="231F20"/>
          <w:spacing w:val="27"/>
        </w:rPr>
        <w:t> </w:t>
      </w:r>
      <w:r>
        <w:rPr>
          <w:color w:val="231F20"/>
        </w:rPr>
        <w:t>it. Also,</w:t>
      </w:r>
      <w:r>
        <w:rPr>
          <w:color w:val="231F20"/>
          <w:spacing w:val="27"/>
        </w:rPr>
        <w:t> </w:t>
      </w:r>
      <w:r>
        <w:rPr>
          <w:color w:val="231F20"/>
        </w:rPr>
        <w:t>only</w:t>
      </w:r>
      <w:r>
        <w:rPr>
          <w:color w:val="231F20"/>
          <w:spacing w:val="27"/>
        </w:rPr>
        <w:t> </w:t>
      </w:r>
      <w:r>
        <w:rPr>
          <w:color w:val="231F20"/>
        </w:rPr>
        <w:t>the</w:t>
      </w:r>
      <w:r>
        <w:rPr>
          <w:color w:val="231F20"/>
          <w:spacing w:val="27"/>
        </w:rPr>
        <w:t> </w:t>
      </w:r>
      <w:r>
        <w:rPr>
          <w:color w:val="231F20"/>
        </w:rPr>
        <w:t>slots</w:t>
      </w:r>
      <w:r>
        <w:rPr>
          <w:color w:val="231F20"/>
          <w:spacing w:val="27"/>
        </w:rPr>
        <w:t> </w:t>
      </w:r>
      <w:r>
        <w:rPr>
          <w:color w:val="231F20"/>
        </w:rPr>
        <w:t>with</w:t>
      </w:r>
      <w:r>
        <w:rPr>
          <w:color w:val="231F20"/>
          <w:spacing w:val="27"/>
        </w:rPr>
        <w:t> </w:t>
      </w:r>
      <w:r>
        <w:rPr>
          <w:color w:val="231F20"/>
        </w:rPr>
        <w:t>mappings</w:t>
      </w:r>
      <w:r>
        <w:rPr>
          <w:color w:val="231F20"/>
          <w:spacing w:val="27"/>
        </w:rPr>
        <w:t> </w:t>
      </w:r>
      <w:r>
        <w:rPr>
          <w:color w:val="231F20"/>
        </w:rPr>
        <w:t>in</w:t>
      </w:r>
      <w:r>
        <w:rPr>
          <w:color w:val="231F20"/>
          <w:spacing w:val="27"/>
        </w:rPr>
        <w:t> </w:t>
      </w:r>
      <w:r>
        <w:rPr>
          <w:color w:val="231F20"/>
        </w:rPr>
        <w:t>the</w:t>
      </w:r>
      <w:r>
        <w:rPr>
          <w:color w:val="231F20"/>
          <w:spacing w:val="27"/>
        </w:rPr>
        <w:t> </w:t>
      </w:r>
      <w:r>
        <w:rPr>
          <w:color w:val="231F20"/>
        </w:rPr>
        <w:t>Extended Slots table are included when an event is opened.</w:t>
      </w:r>
    </w:p>
    <w:p>
      <w:pPr>
        <w:pStyle w:val="BodyText"/>
        <w:spacing w:line="213" w:lineRule="auto" w:before="116"/>
        <w:ind w:left="2472" w:right="545"/>
      </w:pPr>
      <w:r>
        <w:rPr>
          <w:color w:val="231F20"/>
        </w:rPr>
        <w:t>This option is useful when you want to specify a customized mapping for only </w:t>
      </w:r>
      <w:r>
        <w:rPr>
          <w:color w:val="231F20"/>
        </w:rPr>
        <w:t>a few extended slots and use the default mapping for all others.</w:t>
      </w:r>
    </w:p>
    <w:p>
      <w:pPr>
        <w:pStyle w:val="BodyText"/>
        <w:spacing w:before="215"/>
        <w:ind w:left="2472"/>
      </w:pPr>
      <w:r>
        <w:rPr>
          <w:color w:val="231F20"/>
        </w:rPr>
        <w:t>A</w:t>
      </w:r>
      <w:r>
        <w:rPr>
          <w:color w:val="231F20"/>
          <w:spacing w:val="2"/>
        </w:rPr>
        <w:t> </w:t>
      </w:r>
      <w:r>
        <w:rPr>
          <w:color w:val="231F20"/>
        </w:rPr>
        <w:t>class</w:t>
      </w:r>
      <w:r>
        <w:rPr>
          <w:color w:val="231F20"/>
          <w:spacing w:val="12"/>
        </w:rPr>
        <w:t> </w:t>
      </w:r>
      <w:r>
        <w:rPr>
          <w:color w:val="231F20"/>
        </w:rPr>
        <w:t>name</w:t>
      </w:r>
      <w:r>
        <w:rPr>
          <w:color w:val="231F20"/>
          <w:spacing w:val="12"/>
        </w:rPr>
        <w:t> </w:t>
      </w:r>
      <w:r>
        <w:rPr>
          <w:color w:val="231F20"/>
        </w:rPr>
        <w:t>must</w:t>
      </w:r>
      <w:r>
        <w:rPr>
          <w:color w:val="231F20"/>
          <w:spacing w:val="13"/>
        </w:rPr>
        <w:t> </w:t>
      </w:r>
      <w:r>
        <w:rPr>
          <w:color w:val="231F20"/>
        </w:rPr>
        <w:t>be</w:t>
      </w:r>
      <w:r>
        <w:rPr>
          <w:color w:val="231F20"/>
          <w:spacing w:val="12"/>
        </w:rPr>
        <w:t> </w:t>
      </w:r>
      <w:r>
        <w:rPr>
          <w:color w:val="231F20"/>
        </w:rPr>
        <w:t>selected</w:t>
      </w:r>
      <w:r>
        <w:rPr>
          <w:color w:val="231F20"/>
          <w:spacing w:val="13"/>
        </w:rPr>
        <w:t> </w:t>
      </w:r>
      <w:r>
        <w:rPr>
          <w:color w:val="231F20"/>
        </w:rPr>
        <w:t>for</w:t>
      </w:r>
      <w:r>
        <w:rPr>
          <w:color w:val="231F20"/>
          <w:spacing w:val="12"/>
        </w:rPr>
        <w:t> </w:t>
      </w:r>
      <w:r>
        <w:rPr>
          <w:color w:val="231F20"/>
        </w:rPr>
        <w:t>this</w:t>
      </w:r>
      <w:r>
        <w:rPr>
          <w:color w:val="231F20"/>
          <w:spacing w:val="13"/>
        </w:rPr>
        <w:t> </w:t>
      </w:r>
      <w:r>
        <w:rPr>
          <w:color w:val="231F20"/>
        </w:rPr>
        <w:t>check</w:t>
      </w:r>
      <w:r>
        <w:rPr>
          <w:color w:val="231F20"/>
          <w:spacing w:val="12"/>
        </w:rPr>
        <w:t> </w:t>
      </w:r>
      <w:r>
        <w:rPr>
          <w:color w:val="231F20"/>
        </w:rPr>
        <w:t>box</w:t>
      </w:r>
      <w:r>
        <w:rPr>
          <w:color w:val="231F20"/>
          <w:spacing w:val="13"/>
        </w:rPr>
        <w:t> </w:t>
      </w:r>
      <w:r>
        <w:rPr>
          <w:color w:val="231F20"/>
        </w:rPr>
        <w:t>to</w:t>
      </w:r>
      <w:r>
        <w:rPr>
          <w:color w:val="231F20"/>
          <w:spacing w:val="12"/>
        </w:rPr>
        <w:t> </w:t>
      </w:r>
      <w:r>
        <w:rPr>
          <w:color w:val="231F20"/>
        </w:rPr>
        <w:t>be</w:t>
      </w:r>
      <w:r>
        <w:rPr>
          <w:color w:val="231F20"/>
          <w:spacing w:val="12"/>
        </w:rPr>
        <w:t> </w:t>
      </w:r>
      <w:r>
        <w:rPr>
          <w:color w:val="231F20"/>
          <w:spacing w:val="-2"/>
        </w:rPr>
        <w:t>enabled.</w:t>
      </w:r>
    </w:p>
    <w:p>
      <w:pPr>
        <w:pStyle w:val="Heading5"/>
        <w:spacing w:before="213"/>
      </w:pPr>
      <w:r>
        <w:rPr>
          <w:color w:val="231F20"/>
        </w:rPr>
        <w:t>Editing</w:t>
      </w:r>
      <w:r>
        <w:rPr>
          <w:color w:val="231F20"/>
          <w:spacing w:val="4"/>
        </w:rPr>
        <w:t> </w:t>
      </w:r>
      <w:r>
        <w:rPr>
          <w:color w:val="231F20"/>
        </w:rPr>
        <w:t>the</w:t>
      </w:r>
      <w:r>
        <w:rPr>
          <w:color w:val="231F20"/>
          <w:spacing w:val="4"/>
        </w:rPr>
        <w:t> </w:t>
      </w:r>
      <w:r>
        <w:rPr>
          <w:color w:val="231F20"/>
        </w:rPr>
        <w:t>mapping</w:t>
      </w:r>
      <w:r>
        <w:rPr>
          <w:color w:val="231F20"/>
          <w:spacing w:val="5"/>
        </w:rPr>
        <w:t> </w:t>
      </w:r>
      <w:r>
        <w:rPr>
          <w:color w:val="231F20"/>
          <w:spacing w:val="-2"/>
        </w:rPr>
        <w:t>tables</w:t>
      </w:r>
    </w:p>
    <w:p>
      <w:pPr>
        <w:spacing w:before="222"/>
        <w:ind w:left="2472" w:right="0" w:firstLine="0"/>
        <w:jc w:val="left"/>
        <w:rPr>
          <w:sz w:val="20"/>
        </w:rPr>
      </w:pPr>
      <w:r>
        <w:rPr>
          <w:color w:val="231F20"/>
          <w:sz w:val="20"/>
        </w:rPr>
        <w:t>The</w:t>
      </w:r>
      <w:r>
        <w:rPr>
          <w:color w:val="231F20"/>
          <w:spacing w:val="11"/>
          <w:sz w:val="20"/>
        </w:rPr>
        <w:t> </w:t>
      </w:r>
      <w:r>
        <w:rPr>
          <w:color w:val="231F20"/>
          <w:sz w:val="20"/>
        </w:rPr>
        <w:t>columns</w:t>
      </w:r>
      <w:r>
        <w:rPr>
          <w:color w:val="231F20"/>
          <w:spacing w:val="12"/>
          <w:sz w:val="20"/>
        </w:rPr>
        <w:t> </w:t>
      </w: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Base</w:t>
      </w:r>
      <w:r>
        <w:rPr>
          <w:rFonts w:ascii="Book Antiqua"/>
          <w:b/>
          <w:color w:val="231F20"/>
          <w:spacing w:val="11"/>
          <w:sz w:val="20"/>
        </w:rPr>
        <w:t> </w:t>
      </w:r>
      <w:r>
        <w:rPr>
          <w:rFonts w:ascii="Book Antiqua"/>
          <w:b/>
          <w:color w:val="231F20"/>
          <w:sz w:val="20"/>
        </w:rPr>
        <w:t>slots</w:t>
      </w:r>
      <w:r>
        <w:rPr>
          <w:rFonts w:ascii="Book Antiqua"/>
          <w:b/>
          <w:color w:val="231F20"/>
          <w:spacing w:val="12"/>
          <w:sz w:val="20"/>
        </w:rPr>
        <w:t> </w:t>
      </w:r>
      <w:r>
        <w:rPr>
          <w:color w:val="231F20"/>
          <w:sz w:val="20"/>
        </w:rPr>
        <w:t>and</w:t>
      </w:r>
      <w:r>
        <w:rPr>
          <w:color w:val="231F20"/>
          <w:spacing w:val="11"/>
          <w:sz w:val="20"/>
        </w:rPr>
        <w:t> </w:t>
      </w:r>
      <w:r>
        <w:rPr>
          <w:rFonts w:ascii="Book Antiqua"/>
          <w:b/>
          <w:color w:val="231F20"/>
          <w:sz w:val="20"/>
        </w:rPr>
        <w:t>Extended</w:t>
      </w:r>
      <w:r>
        <w:rPr>
          <w:rFonts w:ascii="Book Antiqua"/>
          <w:b/>
          <w:color w:val="231F20"/>
          <w:spacing w:val="12"/>
          <w:sz w:val="20"/>
        </w:rPr>
        <w:t> </w:t>
      </w:r>
      <w:r>
        <w:rPr>
          <w:rFonts w:ascii="Book Antiqua"/>
          <w:b/>
          <w:color w:val="231F20"/>
          <w:sz w:val="20"/>
        </w:rPr>
        <w:t>slots</w:t>
      </w:r>
      <w:r>
        <w:rPr>
          <w:rFonts w:ascii="Book Antiqua"/>
          <w:b/>
          <w:color w:val="231F20"/>
          <w:spacing w:val="11"/>
          <w:sz w:val="20"/>
        </w:rPr>
        <w:t> </w:t>
      </w:r>
      <w:r>
        <w:rPr>
          <w:color w:val="231F20"/>
          <w:sz w:val="20"/>
        </w:rPr>
        <w:t>tables</w:t>
      </w:r>
      <w:r>
        <w:rPr>
          <w:color w:val="231F20"/>
          <w:spacing w:val="12"/>
          <w:sz w:val="20"/>
        </w:rPr>
        <w:t> </w:t>
      </w:r>
      <w:r>
        <w:rPr>
          <w:color w:val="231F20"/>
          <w:sz w:val="20"/>
        </w:rPr>
        <w:t>are</w:t>
      </w:r>
      <w:r>
        <w:rPr>
          <w:color w:val="231F20"/>
          <w:spacing w:val="11"/>
          <w:sz w:val="20"/>
        </w:rPr>
        <w:t> </w:t>
      </w:r>
      <w:r>
        <w:rPr>
          <w:color w:val="231F20"/>
          <w:sz w:val="20"/>
        </w:rPr>
        <w:t>as</w:t>
      </w:r>
      <w:r>
        <w:rPr>
          <w:color w:val="231F20"/>
          <w:spacing w:val="12"/>
          <w:sz w:val="20"/>
        </w:rPr>
        <w:t> </w:t>
      </w:r>
      <w:r>
        <w:rPr>
          <w:color w:val="231F20"/>
          <w:spacing w:val="-2"/>
          <w:sz w:val="20"/>
        </w:rPr>
        <w:t>follows:</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Column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3767" w:type="dxa"/>
          </w:tcPr>
          <w:p>
            <w:pPr>
              <w:pStyle w:val="TableParagraph"/>
              <w:spacing w:before="45"/>
              <w:ind w:left="44"/>
              <w:rPr>
                <w:rFonts w:ascii="Book Antiqua"/>
                <w:b/>
                <w:sz w:val="18"/>
              </w:rPr>
            </w:pPr>
            <w:r>
              <w:rPr>
                <w:rFonts w:ascii="Book Antiqua"/>
                <w:b/>
                <w:color w:val="231F20"/>
                <w:sz w:val="18"/>
              </w:rPr>
              <w:t>Slot</w:t>
            </w:r>
            <w:r>
              <w:rPr>
                <w:rFonts w:ascii="Book Antiqua"/>
                <w:b/>
                <w:color w:val="231F20"/>
                <w:spacing w:val="10"/>
                <w:sz w:val="18"/>
              </w:rPr>
              <w:t> </w:t>
            </w:r>
            <w:r>
              <w:rPr>
                <w:rFonts w:ascii="Book Antiqua"/>
                <w:b/>
                <w:color w:val="231F20"/>
                <w:spacing w:val="-4"/>
                <w:sz w:val="18"/>
              </w:rPr>
              <w:t>name</w:t>
            </w:r>
          </w:p>
        </w:tc>
        <w:tc>
          <w:tcPr>
            <w:tcW w:w="3767" w:type="dxa"/>
          </w:tcPr>
          <w:p>
            <w:pPr>
              <w:pStyle w:val="TableParagraph"/>
              <w:rPr>
                <w:sz w:val="18"/>
              </w:rPr>
            </w:pPr>
            <w:r>
              <w:rPr>
                <w:color w:val="231F20"/>
                <w:sz w:val="18"/>
              </w:rPr>
              <w:t>The</w:t>
            </w:r>
            <w:r>
              <w:rPr>
                <w:color w:val="231F20"/>
                <w:spacing w:val="10"/>
                <w:sz w:val="18"/>
              </w:rPr>
              <w:t> </w:t>
            </w:r>
            <w:r>
              <w:rPr>
                <w:color w:val="231F20"/>
                <w:sz w:val="18"/>
              </w:rPr>
              <w:t>EIF</w:t>
            </w:r>
            <w:r>
              <w:rPr>
                <w:color w:val="231F20"/>
                <w:spacing w:val="11"/>
                <w:sz w:val="18"/>
              </w:rPr>
              <w:t> </w:t>
            </w:r>
            <w:r>
              <w:rPr>
                <w:color w:val="231F20"/>
                <w:sz w:val="18"/>
              </w:rPr>
              <w:t>event</w:t>
            </w:r>
            <w:r>
              <w:rPr>
                <w:color w:val="231F20"/>
                <w:spacing w:val="11"/>
                <w:sz w:val="18"/>
              </w:rPr>
              <w:t> </w:t>
            </w:r>
            <w:r>
              <w:rPr>
                <w:color w:val="231F20"/>
                <w:sz w:val="18"/>
              </w:rPr>
              <w:t>slot</w:t>
            </w:r>
            <w:r>
              <w:rPr>
                <w:color w:val="231F20"/>
                <w:spacing w:val="11"/>
                <w:sz w:val="18"/>
              </w:rPr>
              <w:t> </w:t>
            </w:r>
            <w:r>
              <w:rPr>
                <w:color w:val="231F20"/>
                <w:spacing w:val="-2"/>
                <w:sz w:val="18"/>
              </w:rPr>
              <w:t>name.</w:t>
            </w:r>
          </w:p>
        </w:tc>
      </w:tr>
      <w:tr>
        <w:trPr>
          <w:trHeight w:val="1187" w:hRule="atLeast"/>
        </w:trPr>
        <w:tc>
          <w:tcPr>
            <w:tcW w:w="3767" w:type="dxa"/>
          </w:tcPr>
          <w:p>
            <w:pPr>
              <w:pStyle w:val="TableParagraph"/>
              <w:spacing w:before="45"/>
              <w:ind w:left="44"/>
              <w:rPr>
                <w:rFonts w:ascii="Book Antiqua"/>
                <w:b/>
                <w:sz w:val="18"/>
              </w:rPr>
            </w:pPr>
            <w:r>
              <w:rPr>
                <w:rFonts w:ascii="Book Antiqua"/>
                <w:b/>
                <w:color w:val="231F20"/>
                <w:sz w:val="18"/>
              </w:rPr>
              <w:t>Mapped</w:t>
            </w:r>
            <w:r>
              <w:rPr>
                <w:rFonts w:ascii="Book Antiqua"/>
                <w:b/>
                <w:color w:val="231F20"/>
                <w:spacing w:val="7"/>
                <w:sz w:val="18"/>
              </w:rPr>
              <w:t> </w:t>
            </w:r>
            <w:r>
              <w:rPr>
                <w:rFonts w:ascii="Book Antiqua"/>
                <w:b/>
                <w:color w:val="231F20"/>
                <w:spacing w:val="-2"/>
                <w:sz w:val="18"/>
              </w:rPr>
              <w:t>attribute</w:t>
            </w:r>
          </w:p>
        </w:tc>
        <w:tc>
          <w:tcPr>
            <w:tcW w:w="3767" w:type="dxa"/>
          </w:tcPr>
          <w:p>
            <w:pPr>
              <w:pStyle w:val="TableParagraph"/>
              <w:spacing w:line="216" w:lineRule="auto" w:before="44"/>
              <w:ind w:right="96"/>
              <w:rPr>
                <w:sz w:val="18"/>
              </w:rPr>
            </w:pPr>
            <w:r>
              <w:rPr>
                <w:color w:val="231F20"/>
                <w:sz w:val="18"/>
              </w:rPr>
              <w:t>The attribute to use for the EIF event slot. Click inside a cell and select an attribute</w:t>
            </w:r>
            <w:r>
              <w:rPr>
                <w:color w:val="231F20"/>
                <w:spacing w:val="80"/>
                <w:sz w:val="18"/>
              </w:rPr>
              <w:t> </w:t>
            </w:r>
            <w:r>
              <w:rPr>
                <w:color w:val="231F20"/>
                <w:sz w:val="18"/>
              </w:rPr>
              <w:t>from the group associated with the </w:t>
            </w:r>
            <w:r>
              <w:rPr>
                <w:color w:val="231F20"/>
                <w:sz w:val="18"/>
              </w:rPr>
              <w:t>situation. </w:t>
            </w:r>
            <w:r>
              <w:rPr>
                <w:rFonts w:ascii="Book Antiqua"/>
                <w:b/>
                <w:color w:val="231F20"/>
                <w:sz w:val="18"/>
              </w:rPr>
              <w:t>Tip:</w:t>
            </w:r>
            <w:r>
              <w:rPr>
                <w:rFonts w:ascii="Book Antiqua"/>
                <w:b/>
                <w:color w:val="231F20"/>
                <w:spacing w:val="40"/>
                <w:sz w:val="18"/>
              </w:rPr>
              <w:t> </w:t>
            </w:r>
            <w:r>
              <w:rPr>
                <w:color w:val="231F20"/>
                <w:sz w:val="18"/>
              </w:rPr>
              <w:t>This column is not available if you specify a value in the </w:t>
            </w:r>
            <w:r>
              <w:rPr>
                <w:rFonts w:ascii="Book Antiqua"/>
                <w:b/>
                <w:color w:val="231F20"/>
                <w:sz w:val="18"/>
              </w:rPr>
              <w:t>Literal value </w:t>
            </w:r>
            <w:r>
              <w:rPr>
                <w:color w:val="231F20"/>
                <w:sz w:val="18"/>
              </w:rPr>
              <w:t>column.</w:t>
            </w:r>
          </w:p>
        </w:tc>
      </w:tr>
      <w:tr>
        <w:trPr>
          <w:trHeight w:val="2723" w:hRule="atLeast"/>
        </w:trPr>
        <w:tc>
          <w:tcPr>
            <w:tcW w:w="3767" w:type="dxa"/>
          </w:tcPr>
          <w:p>
            <w:pPr>
              <w:pStyle w:val="TableParagraph"/>
              <w:spacing w:before="45"/>
              <w:ind w:left="44"/>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2"/>
                <w:sz w:val="18"/>
              </w:rPr>
              <w:t>enumerations</w:t>
            </w:r>
          </w:p>
        </w:tc>
        <w:tc>
          <w:tcPr>
            <w:tcW w:w="3767" w:type="dxa"/>
          </w:tcPr>
          <w:p>
            <w:pPr>
              <w:pStyle w:val="TableParagraph"/>
              <w:spacing w:line="216" w:lineRule="auto" w:before="44"/>
              <w:ind w:right="45"/>
              <w:rPr>
                <w:sz w:val="18"/>
              </w:rPr>
            </w:pPr>
            <w:r>
              <w:rPr>
                <w:color w:val="231F20"/>
                <w:sz w:val="18"/>
              </w:rPr>
              <w:t>Whether enumerations should be resolved </w:t>
            </w:r>
            <w:r>
              <w:rPr>
                <w:color w:val="231F20"/>
                <w:sz w:val="18"/>
              </w:rPr>
              <w:t>in the</w:t>
            </w:r>
            <w:r>
              <w:rPr>
                <w:color w:val="231F20"/>
                <w:spacing w:val="24"/>
                <w:sz w:val="18"/>
              </w:rPr>
              <w:t> </w:t>
            </w:r>
            <w:r>
              <w:rPr>
                <w:color w:val="231F20"/>
                <w:sz w:val="18"/>
              </w:rPr>
              <w:t>mapped</w:t>
            </w:r>
            <w:r>
              <w:rPr>
                <w:color w:val="231F20"/>
                <w:spacing w:val="24"/>
                <w:sz w:val="18"/>
              </w:rPr>
              <w:t> </w:t>
            </w:r>
            <w:r>
              <w:rPr>
                <w:color w:val="231F20"/>
                <w:sz w:val="18"/>
              </w:rPr>
              <w:t>slot</w:t>
            </w:r>
            <w:r>
              <w:rPr>
                <w:color w:val="231F20"/>
                <w:spacing w:val="24"/>
                <w:sz w:val="18"/>
              </w:rPr>
              <w:t> </w:t>
            </w:r>
            <w:r>
              <w:rPr>
                <w:color w:val="231F20"/>
                <w:sz w:val="18"/>
              </w:rPr>
              <w:t>value.</w:t>
            </w:r>
            <w:r>
              <w:rPr>
                <w:color w:val="231F20"/>
                <w:spacing w:val="24"/>
                <w:sz w:val="18"/>
              </w:rPr>
              <w:t> </w:t>
            </w:r>
            <w:r>
              <w:rPr>
                <w:color w:val="231F20"/>
                <w:sz w:val="18"/>
              </w:rPr>
              <w:t>Select</w:t>
            </w:r>
            <w:r>
              <w:rPr>
                <w:color w:val="231F20"/>
                <w:spacing w:val="24"/>
                <w:sz w:val="18"/>
              </w:rPr>
              <w:t> </w:t>
            </w:r>
            <w:r>
              <w:rPr>
                <w:color w:val="231F20"/>
                <w:sz w:val="18"/>
              </w:rPr>
              <w:t>the</w:t>
            </w:r>
            <w:r>
              <w:rPr>
                <w:color w:val="231F20"/>
                <w:spacing w:val="24"/>
                <w:sz w:val="18"/>
              </w:rPr>
              <w:t> </w:t>
            </w:r>
            <w:r>
              <w:rPr>
                <w:color w:val="231F20"/>
                <w:sz w:val="18"/>
              </w:rPr>
              <w:t>check</w:t>
            </w:r>
            <w:r>
              <w:rPr>
                <w:color w:val="231F20"/>
                <w:spacing w:val="24"/>
                <w:sz w:val="18"/>
              </w:rPr>
              <w:t> </w:t>
            </w:r>
            <w:r>
              <w:rPr>
                <w:color w:val="231F20"/>
                <w:sz w:val="18"/>
              </w:rPr>
              <w:t>box if you want to populate the slot with the resolved display value of the attribute; deselect</w:t>
            </w:r>
            <w:r>
              <w:rPr>
                <w:color w:val="231F20"/>
                <w:spacing w:val="35"/>
                <w:sz w:val="18"/>
              </w:rPr>
              <w:t> </w:t>
            </w:r>
            <w:r>
              <w:rPr>
                <w:color w:val="231F20"/>
                <w:sz w:val="18"/>
              </w:rPr>
              <w:t>the</w:t>
            </w:r>
            <w:r>
              <w:rPr>
                <w:color w:val="231F20"/>
                <w:spacing w:val="35"/>
                <w:sz w:val="18"/>
              </w:rPr>
              <w:t> </w:t>
            </w:r>
            <w:r>
              <w:rPr>
                <w:color w:val="231F20"/>
                <w:sz w:val="18"/>
              </w:rPr>
              <w:t>check</w:t>
            </w:r>
            <w:r>
              <w:rPr>
                <w:color w:val="231F20"/>
                <w:spacing w:val="35"/>
                <w:sz w:val="18"/>
              </w:rPr>
              <w:t> </w:t>
            </w:r>
            <w:r>
              <w:rPr>
                <w:color w:val="231F20"/>
                <w:sz w:val="18"/>
              </w:rPr>
              <w:t>box</w:t>
            </w:r>
            <w:r>
              <w:rPr>
                <w:color w:val="231F20"/>
                <w:spacing w:val="35"/>
                <w:sz w:val="18"/>
              </w:rPr>
              <w:t> </w:t>
            </w:r>
            <w:r>
              <w:rPr>
                <w:color w:val="231F20"/>
                <w:sz w:val="18"/>
              </w:rPr>
              <w:t>to</w:t>
            </w:r>
            <w:r>
              <w:rPr>
                <w:color w:val="231F20"/>
                <w:spacing w:val="35"/>
                <w:sz w:val="18"/>
              </w:rPr>
              <w:t> </w:t>
            </w:r>
            <w:r>
              <w:rPr>
                <w:color w:val="231F20"/>
                <w:sz w:val="18"/>
              </w:rPr>
              <w:t>use</w:t>
            </w:r>
            <w:r>
              <w:rPr>
                <w:color w:val="231F20"/>
                <w:spacing w:val="35"/>
                <w:sz w:val="18"/>
              </w:rPr>
              <w:t> </w:t>
            </w:r>
            <w:r>
              <w:rPr>
                <w:color w:val="231F20"/>
                <w:sz w:val="18"/>
              </w:rPr>
              <w:t>the</w:t>
            </w:r>
            <w:r>
              <w:rPr>
                <w:color w:val="231F20"/>
                <w:spacing w:val="35"/>
                <w:sz w:val="18"/>
              </w:rPr>
              <w:t> </w:t>
            </w:r>
            <w:r>
              <w:rPr>
                <w:color w:val="231F20"/>
                <w:sz w:val="18"/>
              </w:rPr>
              <w:t>actual value of the attribute. This column is</w:t>
            </w:r>
            <w:r>
              <w:rPr>
                <w:color w:val="231F20"/>
                <w:spacing w:val="40"/>
                <w:sz w:val="18"/>
              </w:rPr>
              <w:t> </w:t>
            </w:r>
            <w:r>
              <w:rPr>
                <w:color w:val="231F20"/>
                <w:sz w:val="18"/>
              </w:rPr>
              <w:t>available</w:t>
            </w:r>
            <w:r>
              <w:rPr>
                <w:color w:val="231F20"/>
                <w:spacing w:val="35"/>
                <w:sz w:val="18"/>
              </w:rPr>
              <w:t> </w:t>
            </w:r>
            <w:r>
              <w:rPr>
                <w:color w:val="231F20"/>
                <w:sz w:val="18"/>
              </w:rPr>
              <w:t>only</w:t>
            </w:r>
            <w:r>
              <w:rPr>
                <w:color w:val="231F20"/>
                <w:spacing w:val="35"/>
                <w:sz w:val="18"/>
              </w:rPr>
              <w:t> </w:t>
            </w:r>
            <w:r>
              <w:rPr>
                <w:color w:val="231F20"/>
                <w:sz w:val="18"/>
              </w:rPr>
              <w:t>if</w:t>
            </w:r>
            <w:r>
              <w:rPr>
                <w:color w:val="231F20"/>
                <w:spacing w:val="35"/>
                <w:sz w:val="18"/>
              </w:rPr>
              <w:t> </w:t>
            </w:r>
            <w:r>
              <w:rPr>
                <w:color w:val="231F20"/>
                <w:sz w:val="18"/>
              </w:rPr>
              <w:t>an</w:t>
            </w:r>
            <w:r>
              <w:rPr>
                <w:color w:val="231F20"/>
                <w:spacing w:val="35"/>
                <w:sz w:val="18"/>
              </w:rPr>
              <w:t> </w:t>
            </w:r>
            <w:r>
              <w:rPr>
                <w:color w:val="231F20"/>
                <w:sz w:val="18"/>
              </w:rPr>
              <w:t>attribute</w:t>
            </w:r>
            <w:r>
              <w:rPr>
                <w:color w:val="231F20"/>
                <w:spacing w:val="35"/>
                <w:sz w:val="18"/>
              </w:rPr>
              <w:t> </w:t>
            </w:r>
            <w:r>
              <w:rPr>
                <w:color w:val="231F20"/>
                <w:sz w:val="18"/>
              </w:rPr>
              <w:t>is</w:t>
            </w:r>
            <w:r>
              <w:rPr>
                <w:color w:val="231F20"/>
                <w:spacing w:val="35"/>
                <w:sz w:val="18"/>
              </w:rPr>
              <w:t> </w:t>
            </w:r>
            <w:r>
              <w:rPr>
                <w:color w:val="231F20"/>
                <w:sz w:val="18"/>
              </w:rPr>
              <w:t>selected</w:t>
            </w:r>
            <w:r>
              <w:rPr>
                <w:color w:val="231F20"/>
                <w:spacing w:val="35"/>
                <w:sz w:val="18"/>
              </w:rPr>
              <w:t> </w:t>
            </w:r>
            <w:r>
              <w:rPr>
                <w:color w:val="231F20"/>
                <w:sz w:val="18"/>
              </w:rPr>
              <w:t>in the </w:t>
            </w:r>
            <w:r>
              <w:rPr>
                <w:rFonts w:ascii="Book Antiqua"/>
                <w:b/>
                <w:color w:val="231F20"/>
                <w:sz w:val="18"/>
              </w:rPr>
              <w:t>Mapped attribute </w:t>
            </w:r>
            <w:r>
              <w:rPr>
                <w:color w:val="231F20"/>
                <w:sz w:val="18"/>
              </w:rPr>
              <w:t>column. Click </w:t>
            </w:r>
            <w:r>
              <w:rPr>
                <w:color w:val="231F20"/>
                <w:spacing w:val="-22"/>
                <w:position w:val="-3"/>
                <w:sz w:val="18"/>
              </w:rPr>
              <w:drawing>
                <wp:inline distT="0" distB="0" distL="0" distR="0">
                  <wp:extent cx="95250" cy="95250"/>
                  <wp:effectExtent l="0" t="0" r="0" b="0"/>
                  <wp:docPr id="2352" name="Image 2352"/>
                  <wp:cNvGraphicFramePr>
                    <a:graphicFrameLocks/>
                  </wp:cNvGraphicFramePr>
                  <a:graphic>
                    <a:graphicData uri="http://schemas.openxmlformats.org/drawingml/2006/picture">
                      <pic:pic>
                        <pic:nvPicPr>
                          <pic:cNvPr id="2352" name="Image 2352"/>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2"/>
                <w:position w:val="-3"/>
                <w:sz w:val="18"/>
              </w:rPr>
            </w:r>
            <w:r>
              <w:rPr>
                <w:rFonts w:ascii="Times New Roman"/>
                <w:color w:val="231F20"/>
                <w:spacing w:val="40"/>
                <w:sz w:val="18"/>
              </w:rPr>
              <w:t> </w:t>
            </w:r>
            <w:r>
              <w:rPr>
                <w:rFonts w:ascii="Book Antiqua"/>
                <w:b/>
                <w:color w:val="231F20"/>
                <w:sz w:val="18"/>
              </w:rPr>
              <w:t>Map enumerations </w:t>
            </w:r>
            <w:r>
              <w:rPr>
                <w:color w:val="231F20"/>
                <w:sz w:val="18"/>
              </w:rPr>
              <w:t>to modify an enumeration or create a new enumeration. This button is </w:t>
            </w:r>
            <w:r>
              <w:rPr>
                <w:color w:val="231F20"/>
                <w:position w:val="2"/>
                <w:sz w:val="18"/>
              </w:rPr>
              <w:t>available only if the adjacent </w:t>
            </w:r>
            <w:r>
              <w:rPr>
                <w:color w:val="231F20"/>
                <w:spacing w:val="13"/>
                <w:sz w:val="18"/>
              </w:rPr>
              <w:drawing>
                <wp:inline distT="0" distB="0" distL="0" distR="0">
                  <wp:extent cx="82550" cy="82550"/>
                  <wp:effectExtent l="0" t="0" r="0" b="0"/>
                  <wp:docPr id="2353" name="Image 2353"/>
                  <wp:cNvGraphicFramePr>
                    <a:graphicFrameLocks/>
                  </wp:cNvGraphicFramePr>
                  <a:graphic>
                    <a:graphicData uri="http://schemas.openxmlformats.org/drawingml/2006/picture">
                      <pic:pic>
                        <pic:nvPicPr>
                          <pic:cNvPr id="2353" name="Image 235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3"/>
                <w:sz w:val="18"/>
              </w:rPr>
            </w:r>
            <w:r>
              <w:rPr>
                <w:rFonts w:ascii="Times New Roman"/>
                <w:color w:val="231F20"/>
                <w:spacing w:val="13"/>
                <w:position w:val="2"/>
                <w:sz w:val="18"/>
              </w:rPr>
              <w:t> </w:t>
            </w:r>
            <w:r>
              <w:rPr>
                <w:rFonts w:ascii="Book Antiqua"/>
                <w:b/>
                <w:color w:val="231F20"/>
                <w:position w:val="2"/>
                <w:sz w:val="18"/>
              </w:rPr>
              <w:t>Process </w:t>
            </w:r>
            <w:r>
              <w:rPr>
                <w:rFonts w:ascii="Book Antiqua"/>
                <w:b/>
                <w:color w:val="231F20"/>
                <w:sz w:val="18"/>
              </w:rPr>
              <w:t>enumerations </w:t>
            </w:r>
            <w:r>
              <w:rPr>
                <w:color w:val="231F20"/>
                <w:sz w:val="18"/>
              </w:rPr>
              <w:t>check box is selected.</w:t>
            </w:r>
          </w:p>
        </w:tc>
      </w:tr>
      <w:tr>
        <w:trPr>
          <w:trHeight w:val="1626" w:hRule="atLeast"/>
        </w:trPr>
        <w:tc>
          <w:tcPr>
            <w:tcW w:w="3767" w:type="dxa"/>
          </w:tcPr>
          <w:p>
            <w:pPr>
              <w:pStyle w:val="TableParagraph"/>
              <w:spacing w:before="45"/>
              <w:ind w:left="44"/>
              <w:rPr>
                <w:rFonts w:ascii="Book Antiqua"/>
                <w:b/>
                <w:sz w:val="18"/>
              </w:rPr>
            </w:pPr>
            <w:r>
              <w:rPr>
                <w:rFonts w:ascii="Book Antiqua"/>
                <w:b/>
                <w:color w:val="231F20"/>
                <w:spacing w:val="-2"/>
                <w:sz w:val="18"/>
              </w:rPr>
              <w:t>Multiplier</w:t>
            </w:r>
          </w:p>
        </w:tc>
        <w:tc>
          <w:tcPr>
            <w:tcW w:w="3767" w:type="dxa"/>
          </w:tcPr>
          <w:p>
            <w:pPr>
              <w:pStyle w:val="TableParagraph"/>
              <w:spacing w:line="216" w:lineRule="auto" w:before="44"/>
              <w:ind w:right="95"/>
              <w:rPr>
                <w:sz w:val="18"/>
              </w:rPr>
            </w:pPr>
            <w:r>
              <w:rPr>
                <w:color w:val="231F20"/>
                <w:sz w:val="18"/>
              </w:rPr>
              <w:t>The multiplier to apply to the attribute </w:t>
            </w:r>
            <w:r>
              <w:rPr>
                <w:color w:val="231F20"/>
                <w:sz w:val="18"/>
              </w:rPr>
              <w:t>value when mapping it to the EIF event slot. For example, if you want to convert minutes to seconds in the EIF event, you would specify</w:t>
            </w:r>
            <w:r>
              <w:rPr>
                <w:color w:val="231F20"/>
                <w:spacing w:val="80"/>
                <w:sz w:val="18"/>
              </w:rPr>
              <w:t> </w:t>
            </w:r>
            <w:r>
              <w:rPr>
                <w:color w:val="231F20"/>
                <w:sz w:val="18"/>
              </w:rPr>
              <w:t>a multiplier of 60. This column is available only if a numeric attribute is selected in the </w:t>
            </w:r>
            <w:r>
              <w:rPr>
                <w:rFonts w:ascii="Book Antiqua"/>
                <w:b/>
                <w:color w:val="231F20"/>
                <w:sz w:val="18"/>
              </w:rPr>
              <w:t>Mapped attribute </w:t>
            </w:r>
            <w:r>
              <w:rPr>
                <w:color w:val="231F20"/>
                <w:sz w:val="18"/>
              </w:rPr>
              <w:t>column.</w:t>
            </w:r>
          </w:p>
        </w:tc>
      </w:tr>
      <w:tr>
        <w:trPr>
          <w:trHeight w:val="1192" w:hRule="atLeast"/>
        </w:trPr>
        <w:tc>
          <w:tcPr>
            <w:tcW w:w="3767" w:type="dxa"/>
          </w:tcPr>
          <w:p>
            <w:pPr>
              <w:pStyle w:val="TableParagraph"/>
              <w:spacing w:before="45"/>
              <w:ind w:left="44"/>
              <w:rPr>
                <w:rFonts w:ascii="Book Antiqua"/>
                <w:b/>
                <w:sz w:val="18"/>
              </w:rPr>
            </w:pPr>
            <w:r>
              <w:rPr>
                <w:rFonts w:ascii="Book Antiqua"/>
                <w:b/>
                <w:color w:val="231F20"/>
                <w:sz w:val="18"/>
              </w:rPr>
              <w:t>Time</w:t>
            </w:r>
            <w:r>
              <w:rPr>
                <w:rFonts w:ascii="Book Antiqua"/>
                <w:b/>
                <w:color w:val="231F20"/>
                <w:spacing w:val="-1"/>
                <w:sz w:val="18"/>
              </w:rPr>
              <w:t> </w:t>
            </w:r>
            <w:r>
              <w:rPr>
                <w:rFonts w:ascii="Book Antiqua"/>
                <w:b/>
                <w:color w:val="231F20"/>
                <w:spacing w:val="-2"/>
                <w:sz w:val="18"/>
              </w:rPr>
              <w:t>format</w:t>
            </w:r>
          </w:p>
        </w:tc>
        <w:tc>
          <w:tcPr>
            <w:tcW w:w="3767" w:type="dxa"/>
          </w:tcPr>
          <w:p>
            <w:pPr>
              <w:pStyle w:val="TableParagraph"/>
              <w:spacing w:line="216" w:lineRule="auto" w:before="44"/>
              <w:ind w:right="112"/>
              <w:rPr>
                <w:sz w:val="18"/>
              </w:rPr>
            </w:pPr>
            <w:r>
              <w:rPr>
                <w:color w:val="231F20"/>
                <w:sz w:val="18"/>
              </w:rPr>
              <w:t>The</w:t>
            </w:r>
            <w:r>
              <w:rPr>
                <w:color w:val="231F20"/>
                <w:spacing w:val="34"/>
                <w:sz w:val="18"/>
              </w:rPr>
              <w:t> </w:t>
            </w:r>
            <w:r>
              <w:rPr>
                <w:color w:val="231F20"/>
                <w:sz w:val="18"/>
              </w:rPr>
              <w:t>display</w:t>
            </w:r>
            <w:r>
              <w:rPr>
                <w:color w:val="231F20"/>
                <w:spacing w:val="34"/>
                <w:sz w:val="18"/>
              </w:rPr>
              <w:t> </w:t>
            </w:r>
            <w:r>
              <w:rPr>
                <w:color w:val="231F20"/>
                <w:sz w:val="18"/>
              </w:rPr>
              <w:t>format</w:t>
            </w:r>
            <w:r>
              <w:rPr>
                <w:color w:val="231F20"/>
                <w:spacing w:val="34"/>
                <w:sz w:val="18"/>
              </w:rPr>
              <w:t> </w:t>
            </w:r>
            <w:r>
              <w:rPr>
                <w:color w:val="231F20"/>
                <w:sz w:val="18"/>
              </w:rPr>
              <w:t>to</w:t>
            </w:r>
            <w:r>
              <w:rPr>
                <w:color w:val="231F20"/>
                <w:spacing w:val="34"/>
                <w:sz w:val="18"/>
              </w:rPr>
              <w:t> </w:t>
            </w:r>
            <w:r>
              <w:rPr>
                <w:color w:val="231F20"/>
                <w:sz w:val="18"/>
              </w:rPr>
              <w:t>use</w:t>
            </w:r>
            <w:r>
              <w:rPr>
                <w:color w:val="231F20"/>
                <w:spacing w:val="34"/>
                <w:sz w:val="18"/>
              </w:rPr>
              <w:t> </w:t>
            </w:r>
            <w:r>
              <w:rPr>
                <w:color w:val="231F20"/>
                <w:sz w:val="18"/>
              </w:rPr>
              <w:t>to</w:t>
            </w:r>
            <w:r>
              <w:rPr>
                <w:color w:val="231F20"/>
                <w:spacing w:val="34"/>
                <w:sz w:val="18"/>
              </w:rPr>
              <w:t> </w:t>
            </w:r>
            <w:r>
              <w:rPr>
                <w:color w:val="231F20"/>
                <w:sz w:val="18"/>
              </w:rPr>
              <w:t>represent</w:t>
            </w:r>
            <w:r>
              <w:rPr>
                <w:color w:val="231F20"/>
                <w:spacing w:val="34"/>
                <w:sz w:val="18"/>
              </w:rPr>
              <w:t> </w:t>
            </w:r>
            <w:r>
              <w:rPr>
                <w:color w:val="231F20"/>
                <w:sz w:val="18"/>
              </w:rPr>
              <w:t>a</w:t>
            </w:r>
            <w:r>
              <w:rPr>
                <w:color w:val="231F20"/>
                <w:sz w:val="18"/>
              </w:rPr>
              <w:t> time value in the EIF event slot. Click inside</w:t>
            </w:r>
            <w:r>
              <w:rPr>
                <w:color w:val="231F20"/>
                <w:spacing w:val="80"/>
                <w:sz w:val="18"/>
              </w:rPr>
              <w:t> </w:t>
            </w:r>
            <w:r>
              <w:rPr>
                <w:color w:val="231F20"/>
                <w:sz w:val="18"/>
              </w:rPr>
              <w:t>a cell and select a format from the list. This column is available only if a time attribute is selected in the </w:t>
            </w:r>
            <w:r>
              <w:rPr>
                <w:rFonts w:ascii="Book Antiqua"/>
                <w:b/>
                <w:color w:val="231F20"/>
                <w:sz w:val="18"/>
              </w:rPr>
              <w:t>Mapped attribute </w:t>
            </w:r>
            <w:r>
              <w:rPr>
                <w:color w:val="231F20"/>
                <w:sz w:val="18"/>
              </w:rPr>
              <w:t>column.</w:t>
            </w:r>
          </w:p>
        </w:tc>
      </w:tr>
    </w:tbl>
    <w:p>
      <w:pPr>
        <w:spacing w:after="0" w:line="216" w:lineRule="auto"/>
        <w:rPr>
          <w:sz w:val="18"/>
        </w:rPr>
        <w:sectPr>
          <w:pgSz w:w="12240" w:h="15840"/>
          <w:pgMar w:header="0" w:footer="736" w:top="1180" w:bottom="920"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Column</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6499" w:hRule="atLeast"/>
        </w:trPr>
        <w:tc>
          <w:tcPr>
            <w:tcW w:w="3767" w:type="dxa"/>
          </w:tcPr>
          <w:p>
            <w:pPr>
              <w:pStyle w:val="TableParagraph"/>
              <w:spacing w:before="45"/>
              <w:ind w:left="44"/>
              <w:rPr>
                <w:rFonts w:ascii="Book Antiqua"/>
                <w:b/>
                <w:sz w:val="18"/>
              </w:rPr>
            </w:pPr>
            <w:r>
              <w:rPr>
                <w:rFonts w:ascii="Book Antiqua"/>
                <w:b/>
                <w:color w:val="231F20"/>
                <w:sz w:val="18"/>
              </w:rPr>
              <w:t>Literal</w:t>
            </w:r>
            <w:r>
              <w:rPr>
                <w:rFonts w:ascii="Book Antiqua"/>
                <w:b/>
                <w:color w:val="231F20"/>
                <w:spacing w:val="8"/>
                <w:sz w:val="18"/>
              </w:rPr>
              <w:t> </w:t>
            </w:r>
            <w:r>
              <w:rPr>
                <w:rFonts w:ascii="Book Antiqua"/>
                <w:b/>
                <w:color w:val="231F20"/>
                <w:spacing w:val="-4"/>
                <w:sz w:val="18"/>
              </w:rPr>
              <w:t>value</w:t>
            </w:r>
          </w:p>
        </w:tc>
        <w:tc>
          <w:tcPr>
            <w:tcW w:w="3767" w:type="dxa"/>
          </w:tcPr>
          <w:p>
            <w:pPr>
              <w:pStyle w:val="TableParagraph"/>
              <w:spacing w:line="216" w:lineRule="auto" w:before="44"/>
              <w:ind w:right="188"/>
              <w:rPr>
                <w:sz w:val="18"/>
              </w:rPr>
            </w:pPr>
            <w:r>
              <w:rPr>
                <w:color w:val="231F20"/>
                <w:sz w:val="18"/>
              </w:rPr>
              <w:t>The literal value to use for the EIF event</w:t>
            </w:r>
            <w:r>
              <w:rPr>
                <w:color w:val="231F20"/>
                <w:spacing w:val="80"/>
                <w:sz w:val="18"/>
              </w:rPr>
              <w:t> </w:t>
            </w:r>
            <w:r>
              <w:rPr>
                <w:color w:val="231F20"/>
                <w:sz w:val="18"/>
              </w:rPr>
              <w:t>slot. Type the value to use for this slot in all events forwarded for this situation.</w:t>
            </w:r>
          </w:p>
          <w:p>
            <w:pPr>
              <w:pStyle w:val="TableParagraph"/>
              <w:spacing w:line="216" w:lineRule="auto" w:before="182"/>
              <w:ind w:right="112"/>
              <w:rPr>
                <w:sz w:val="18"/>
              </w:rPr>
            </w:pPr>
            <w:r>
              <w:rPr>
                <w:color w:val="231F20"/>
                <w:sz w:val="18"/>
              </w:rPr>
              <w:t>When the Base </w:t>
            </w:r>
            <w:r>
              <w:rPr>
                <w:rFonts w:ascii="Book Antiqua"/>
                <w:b/>
                <w:color w:val="231F20"/>
                <w:sz w:val="18"/>
              </w:rPr>
              <w:t>Slot name </w:t>
            </w:r>
            <w:r>
              <w:rPr>
                <w:color w:val="231F20"/>
                <w:sz w:val="18"/>
              </w:rPr>
              <w:t>is </w:t>
            </w:r>
            <w:r>
              <w:rPr>
                <w:rFonts w:ascii="Arial"/>
                <w:color w:val="231F20"/>
                <w:sz w:val="18"/>
              </w:rPr>
              <w:t>msg</w:t>
            </w:r>
            <w:r>
              <w:rPr>
                <w:color w:val="231F20"/>
                <w:sz w:val="18"/>
              </w:rPr>
              <w:t>, the literal value is the message template. The message template consists of fix message text and variable substitution references, or </w:t>
            </w:r>
            <w:r>
              <w:rPr>
                <w:rFonts w:ascii="Book Antiqua"/>
                <w:i/>
                <w:color w:val="231F20"/>
                <w:sz w:val="18"/>
              </w:rPr>
              <w:t>symbols</w:t>
            </w:r>
            <w:r>
              <w:rPr>
                <w:color w:val="231F20"/>
                <w:sz w:val="18"/>
              </w:rPr>
              <w:t>. The symbol can refer to common or event</w:t>
            </w:r>
            <w:r>
              <w:rPr>
                <w:color w:val="231F20"/>
                <w:spacing w:val="80"/>
                <w:sz w:val="18"/>
              </w:rPr>
              <w:t> </w:t>
            </w:r>
            <w:r>
              <w:rPr>
                <w:color w:val="231F20"/>
                <w:sz w:val="18"/>
              </w:rPr>
              <w:t>slot data or a special reference to the</w:t>
            </w:r>
            <w:r>
              <w:rPr>
                <w:color w:val="231F20"/>
                <w:spacing w:val="80"/>
                <w:sz w:val="18"/>
              </w:rPr>
              <w:t> </w:t>
            </w:r>
            <w:r>
              <w:rPr>
                <w:color w:val="231F20"/>
                <w:sz w:val="18"/>
              </w:rPr>
              <w:t>situation formula. Common slots are those that are included in all forwarded events, such as </w:t>
            </w:r>
            <w:r>
              <w:rPr>
                <w:rFonts w:ascii="Arial"/>
                <w:color w:val="231F20"/>
                <w:sz w:val="18"/>
              </w:rPr>
              <w:t>situation_name</w:t>
            </w:r>
            <w:r>
              <w:rPr>
                <w:color w:val="231F20"/>
                <w:sz w:val="18"/>
              </w:rPr>
              <w:t>; event slots are </w:t>
            </w:r>
            <w:r>
              <w:rPr>
                <w:color w:val="231F20"/>
                <w:sz w:val="18"/>
              </w:rPr>
              <w:t>those specific to the situation. Syntax:</w:t>
            </w:r>
          </w:p>
          <w:p>
            <w:pPr>
              <w:pStyle w:val="TableParagraph"/>
              <w:spacing w:line="216" w:lineRule="auto" w:before="69"/>
              <w:ind w:left="253" w:hanging="195"/>
              <w:rPr>
                <w:sz w:val="18"/>
              </w:rPr>
            </w:pPr>
            <w:r>
              <w:rPr>
                <w:rFonts w:ascii="Futura MdCn BT"/>
                <w:color w:val="231F20"/>
                <w:sz w:val="18"/>
              </w:rPr>
              <w:t>v</w:t>
            </w:r>
            <w:r>
              <w:rPr>
                <w:rFonts w:ascii="Futura MdCn BT"/>
                <w:color w:val="231F20"/>
                <w:spacing w:val="80"/>
                <w:sz w:val="18"/>
              </w:rPr>
              <w:t> </w:t>
            </w:r>
            <w:r>
              <w:rPr>
                <w:color w:val="231F20"/>
                <w:sz w:val="18"/>
              </w:rPr>
              <w:t>For an event slot, use the fully qualified attribute name </w:t>
            </w:r>
            <w:r>
              <w:rPr>
                <w:color w:val="231F20"/>
                <w:spacing w:val="-2"/>
                <w:sz w:val="18"/>
              </w:rPr>
              <w:t>($Attribute_Table.Attribute_Name$)</w:t>
            </w:r>
          </w:p>
          <w:p>
            <w:pPr>
              <w:pStyle w:val="TableParagraph"/>
              <w:spacing w:line="216" w:lineRule="auto" w:before="63"/>
              <w:ind w:left="253" w:right="96" w:hanging="195"/>
              <w:jc w:val="both"/>
              <w:rPr>
                <w:sz w:val="18"/>
              </w:rPr>
            </w:pPr>
            <w:r>
              <w:rPr>
                <w:rFonts w:ascii="Futura MdCn BT"/>
                <w:color w:val="231F20"/>
                <w:sz w:val="18"/>
              </w:rPr>
              <w:t>v</w:t>
            </w:r>
            <w:r>
              <w:rPr>
                <w:rFonts w:ascii="Futura MdCn BT"/>
                <w:color w:val="231F20"/>
                <w:spacing w:val="40"/>
                <w:sz w:val="18"/>
              </w:rPr>
              <w:t> </w:t>
            </w:r>
            <w:r>
              <w:rPr>
                <w:color w:val="231F20"/>
                <w:sz w:val="18"/>
              </w:rPr>
              <w:t>For a common slot, use the variable </w:t>
            </w:r>
            <w:r>
              <w:rPr>
                <w:color w:val="231F20"/>
                <w:sz w:val="18"/>
              </w:rPr>
              <w:t>name</w:t>
            </w:r>
            <w:r>
              <w:rPr>
                <w:color w:val="231F20"/>
                <w:sz w:val="18"/>
              </w:rPr>
              <w:t> that is not fully qualified (without any '.') unless it is the situation symbol</w:t>
            </w:r>
          </w:p>
          <w:p>
            <w:pPr>
              <w:pStyle w:val="TableParagraph"/>
              <w:spacing w:before="44"/>
              <w:jc w:val="both"/>
              <w:rPr>
                <w:rFonts w:ascii="Book Antiqua"/>
                <w:b/>
                <w:i/>
                <w:sz w:val="18"/>
              </w:rPr>
            </w:pPr>
            <w:r>
              <w:rPr>
                <w:rFonts w:ascii="Futura MdCn BT"/>
                <w:color w:val="231F20"/>
                <w:sz w:val="18"/>
              </w:rPr>
              <w:t>v</w:t>
            </w:r>
            <w:r>
              <w:rPr>
                <w:rFonts w:ascii="Futura MdCn BT"/>
                <w:color w:val="231F20"/>
                <w:spacing w:val="75"/>
                <w:w w:val="150"/>
                <w:sz w:val="18"/>
              </w:rPr>
              <w:t> </w:t>
            </w:r>
            <w:r>
              <w:rPr>
                <w:color w:val="231F20"/>
                <w:sz w:val="18"/>
              </w:rPr>
              <w:t>For</w:t>
            </w:r>
            <w:r>
              <w:rPr>
                <w:color w:val="231F20"/>
                <w:spacing w:val="11"/>
                <w:sz w:val="18"/>
              </w:rPr>
              <w:t> </w:t>
            </w:r>
            <w:r>
              <w:rPr>
                <w:color w:val="231F20"/>
                <w:sz w:val="18"/>
              </w:rPr>
              <w:t>a</w:t>
            </w:r>
            <w:r>
              <w:rPr>
                <w:color w:val="231F20"/>
                <w:spacing w:val="11"/>
                <w:sz w:val="18"/>
              </w:rPr>
              <w:t> </w:t>
            </w:r>
            <w:r>
              <w:rPr>
                <w:color w:val="231F20"/>
                <w:sz w:val="18"/>
              </w:rPr>
              <w:t>situation</w:t>
            </w:r>
            <w:r>
              <w:rPr>
                <w:color w:val="231F20"/>
                <w:spacing w:val="12"/>
                <w:sz w:val="18"/>
              </w:rPr>
              <w:t> </w:t>
            </w:r>
            <w:r>
              <w:rPr>
                <w:color w:val="231F20"/>
                <w:sz w:val="18"/>
              </w:rPr>
              <w:t>formula,</w:t>
            </w:r>
            <w:r>
              <w:rPr>
                <w:color w:val="231F20"/>
                <w:spacing w:val="11"/>
                <w:sz w:val="18"/>
              </w:rPr>
              <w:t> </w:t>
            </w:r>
            <w:r>
              <w:rPr>
                <w:color w:val="231F20"/>
                <w:sz w:val="18"/>
              </w:rPr>
              <w:t>use</w:t>
            </w:r>
            <w:r>
              <w:rPr>
                <w:color w:val="231F20"/>
                <w:spacing w:val="11"/>
                <w:sz w:val="18"/>
              </w:rPr>
              <w:t> </w:t>
            </w:r>
            <w:r>
              <w:rPr>
                <w:rFonts w:ascii="Book Antiqua"/>
                <w:b/>
                <w:i/>
                <w:color w:val="231F20"/>
                <w:spacing w:val="-2"/>
                <w:sz w:val="18"/>
              </w:rPr>
              <w:t>$formula$</w:t>
            </w:r>
          </w:p>
          <w:p>
            <w:pPr>
              <w:pStyle w:val="TableParagraph"/>
              <w:spacing w:line="216" w:lineRule="auto" w:before="115"/>
              <w:ind w:right="188"/>
              <w:rPr>
                <w:sz w:val="18"/>
              </w:rPr>
            </w:pPr>
            <w:r>
              <w:rPr>
                <w:color w:val="231F20"/>
                <w:sz w:val="18"/>
              </w:rPr>
              <w:t>These characters are not supported: &lt; less than, &gt; greater than, " quote, ' single quote, and &amp; ampersand. This column is </w:t>
            </w:r>
            <w:r>
              <w:rPr>
                <w:color w:val="231F20"/>
                <w:sz w:val="18"/>
              </w:rPr>
              <w:t>available only if </w:t>
            </w:r>
            <w:r>
              <w:rPr>
                <w:rFonts w:ascii="Book Antiqua"/>
                <w:i/>
                <w:color w:val="231F20"/>
                <w:sz w:val="18"/>
              </w:rPr>
              <w:t>no </w:t>
            </w:r>
            <w:r>
              <w:rPr>
                <w:color w:val="231F20"/>
                <w:sz w:val="18"/>
              </w:rPr>
              <w:t>value is selected in the </w:t>
            </w:r>
            <w:r>
              <w:rPr>
                <w:rFonts w:ascii="Book Antiqua"/>
                <w:b/>
                <w:color w:val="231F20"/>
                <w:sz w:val="18"/>
              </w:rPr>
              <w:t>Mapped attribute </w:t>
            </w:r>
            <w:r>
              <w:rPr>
                <w:color w:val="231F20"/>
                <w:sz w:val="18"/>
              </w:rPr>
              <w:t>column.</w:t>
            </w:r>
          </w:p>
          <w:p>
            <w:pPr>
              <w:pStyle w:val="TableParagraph"/>
              <w:spacing w:line="216" w:lineRule="auto" w:before="5"/>
              <w:rPr>
                <w:sz w:val="18"/>
              </w:rPr>
            </w:pPr>
            <w:r>
              <w:rPr>
                <w:rFonts w:ascii="Book Antiqua"/>
                <w:b/>
                <w:color w:val="231F20"/>
                <w:sz w:val="18"/>
              </w:rPr>
              <w:t>Note:</w:t>
            </w:r>
            <w:r>
              <w:rPr>
                <w:rFonts w:ascii="Book Antiqua"/>
                <w:b/>
                <w:color w:val="231F20"/>
                <w:spacing w:val="28"/>
                <w:sz w:val="18"/>
              </w:rPr>
              <w:t> </w:t>
            </w:r>
            <w:r>
              <w:rPr>
                <w:color w:val="231F20"/>
                <w:sz w:val="18"/>
              </w:rPr>
              <w:t>Variable substitution is available </w:t>
            </w:r>
            <w:r>
              <w:rPr>
                <w:color w:val="231F20"/>
                <w:sz w:val="18"/>
              </w:rPr>
              <w:t>only for the </w:t>
            </w:r>
            <w:r>
              <w:rPr>
                <w:rFonts w:ascii="Arial"/>
                <w:color w:val="231F20"/>
                <w:sz w:val="18"/>
              </w:rPr>
              <w:t>msg </w:t>
            </w:r>
            <w:r>
              <w:rPr>
                <w:color w:val="231F20"/>
                <w:sz w:val="18"/>
              </w:rPr>
              <w:t>slot literal value.</w:t>
            </w:r>
          </w:p>
        </w:tc>
      </w:tr>
    </w:tbl>
    <w:p>
      <w:pPr>
        <w:pStyle w:val="BodyText"/>
        <w:spacing w:before="154"/>
      </w:pPr>
    </w:p>
    <w:p>
      <w:pPr>
        <w:pStyle w:val="Heading6"/>
        <w:spacing w:line="240" w:lineRule="auto" w:before="0"/>
        <w:ind w:left="2232"/>
      </w:pPr>
      <w:bookmarkStart w:name="_bookmark207" w:id="437"/>
      <w:bookmarkEnd w:id="437"/>
      <w:r>
        <w:rPr>
          <w:b w:val="0"/>
        </w:rPr>
      </w:r>
      <w:r>
        <w:rPr>
          <w:color w:val="231F20"/>
          <w:spacing w:val="-2"/>
        </w:rPr>
        <w:t>Note:</w:t>
      </w:r>
    </w:p>
    <w:p>
      <w:pPr>
        <w:spacing w:line="213" w:lineRule="auto" w:before="59"/>
        <w:ind w:left="2448" w:right="742" w:hanging="216"/>
        <w:jc w:val="both"/>
        <w:rPr>
          <w:sz w:val="20"/>
        </w:rPr>
      </w:pPr>
      <w:r>
        <w:rPr>
          <w:rFonts w:ascii="Futura MdCn BT"/>
          <w:color w:val="231F20"/>
          <w:sz w:val="20"/>
        </w:rPr>
        <w:t>v</w:t>
      </w:r>
      <w:r>
        <w:rPr>
          <w:rFonts w:ascii="Futura MdCn BT"/>
          <w:color w:val="231F20"/>
          <w:spacing w:val="40"/>
          <w:sz w:val="20"/>
        </w:rPr>
        <w:t> </w:t>
      </w:r>
      <w:r>
        <w:rPr>
          <w:color w:val="231F20"/>
          <w:sz w:val="20"/>
        </w:rPr>
        <w:t>For the </w:t>
      </w:r>
      <w:r>
        <w:rPr>
          <w:rFonts w:ascii="Arial"/>
          <w:color w:val="231F20"/>
          <w:sz w:val="20"/>
        </w:rPr>
        <w:t>msg </w:t>
      </w:r>
      <w:r>
        <w:rPr>
          <w:color w:val="231F20"/>
          <w:sz w:val="20"/>
        </w:rPr>
        <w:t>slot, typical users specify a </w:t>
      </w:r>
      <w:r>
        <w:rPr>
          <w:rFonts w:ascii="Book Antiqua"/>
          <w:b/>
          <w:color w:val="231F20"/>
          <w:sz w:val="20"/>
        </w:rPr>
        <w:t>Literal value</w:t>
      </w:r>
      <w:r>
        <w:rPr>
          <w:color w:val="231F20"/>
          <w:sz w:val="20"/>
        </w:rPr>
        <w:t>, not a </w:t>
      </w:r>
      <w:r>
        <w:rPr>
          <w:rFonts w:ascii="Book Antiqua"/>
          <w:b/>
          <w:color w:val="231F20"/>
          <w:sz w:val="20"/>
        </w:rPr>
        <w:t>Mapped attribute </w:t>
      </w:r>
      <w:r>
        <w:rPr>
          <w:color w:val="231F20"/>
          <w:sz w:val="20"/>
        </w:rPr>
        <w:t>value. If a value is specified in the </w:t>
      </w:r>
      <w:r>
        <w:rPr>
          <w:rFonts w:ascii="Book Antiqua"/>
          <w:b/>
          <w:color w:val="231F20"/>
          <w:sz w:val="20"/>
        </w:rPr>
        <w:t>Mapped attribute </w:t>
      </w:r>
      <w:r>
        <w:rPr>
          <w:color w:val="231F20"/>
          <w:sz w:val="20"/>
        </w:rPr>
        <w:t>column for the </w:t>
      </w:r>
      <w:r>
        <w:rPr>
          <w:rFonts w:ascii="Arial"/>
          <w:color w:val="231F20"/>
          <w:sz w:val="20"/>
        </w:rPr>
        <w:t>msg </w:t>
      </w:r>
      <w:r>
        <w:rPr>
          <w:color w:val="231F20"/>
          <w:sz w:val="20"/>
        </w:rPr>
        <w:t>slot, the following results occur:</w:t>
      </w:r>
    </w:p>
    <w:p>
      <w:pPr>
        <w:pStyle w:val="ListParagraph"/>
        <w:numPr>
          <w:ilvl w:val="0"/>
          <w:numId w:val="123"/>
        </w:numPr>
        <w:tabs>
          <w:tab w:pos="2696" w:val="left" w:leader="none"/>
          <w:tab w:pos="2698" w:val="left" w:leader="none"/>
        </w:tabs>
        <w:spacing w:line="213" w:lineRule="auto" w:before="58" w:after="0"/>
        <w:ind w:left="2698" w:right="408" w:hanging="250"/>
        <w:jc w:val="left"/>
        <w:rPr>
          <w:sz w:val="20"/>
        </w:rPr>
      </w:pPr>
      <w:r>
        <w:rPr>
          <w:color w:val="231F20"/>
          <w:sz w:val="20"/>
        </w:rPr>
        <w:t>If </w:t>
      </w:r>
      <w:r>
        <w:rPr>
          <w:rFonts w:ascii="Book Antiqua" w:hAnsi="Book Antiqua"/>
          <w:b/>
          <w:color w:val="231F20"/>
          <w:sz w:val="20"/>
        </w:rPr>
        <w:t>Map all attributes </w:t>
      </w:r>
      <w:r>
        <w:rPr>
          <w:color w:val="231F20"/>
          <w:sz w:val="20"/>
        </w:rPr>
        <w:t>is not selected, the </w:t>
      </w:r>
      <w:r>
        <w:rPr>
          <w:rFonts w:ascii="Book Antiqua" w:hAnsi="Book Antiqua"/>
          <w:b/>
          <w:color w:val="231F20"/>
          <w:sz w:val="20"/>
        </w:rPr>
        <w:t>Mapped attribute </w:t>
      </w:r>
      <w:r>
        <w:rPr>
          <w:color w:val="231F20"/>
          <w:sz w:val="20"/>
        </w:rPr>
        <w:t>for the </w:t>
      </w:r>
      <w:r>
        <w:rPr>
          <w:rFonts w:ascii="Arial" w:hAnsi="Arial"/>
          <w:color w:val="231F20"/>
          <w:sz w:val="20"/>
        </w:rPr>
        <w:t>msg </w:t>
      </w:r>
      <w:r>
        <w:rPr>
          <w:color w:val="231F20"/>
          <w:sz w:val="20"/>
        </w:rPr>
        <w:t>will not be present in the event, and will be ignored.</w:t>
      </w:r>
    </w:p>
    <w:p>
      <w:pPr>
        <w:pStyle w:val="ListParagraph"/>
        <w:numPr>
          <w:ilvl w:val="0"/>
          <w:numId w:val="123"/>
        </w:numPr>
        <w:tabs>
          <w:tab w:pos="2696" w:val="left" w:leader="none"/>
          <w:tab w:pos="2698" w:val="left" w:leader="none"/>
        </w:tabs>
        <w:spacing w:line="213" w:lineRule="auto" w:before="59" w:after="0"/>
        <w:ind w:left="2698" w:right="570" w:hanging="250"/>
        <w:jc w:val="left"/>
        <w:rPr>
          <w:sz w:val="20"/>
        </w:rPr>
      </w:pPr>
      <w:r>
        <w:rPr>
          <w:color w:val="231F20"/>
          <w:sz w:val="20"/>
        </w:rPr>
        <w:t>If </w:t>
      </w:r>
      <w:r>
        <w:rPr>
          <w:rFonts w:ascii="Book Antiqua" w:hAnsi="Book Antiqua"/>
          <w:b/>
          <w:color w:val="231F20"/>
          <w:sz w:val="20"/>
        </w:rPr>
        <w:t>Map all attributes </w:t>
      </w:r>
      <w:r>
        <w:rPr>
          <w:color w:val="231F20"/>
          <w:sz w:val="20"/>
        </w:rPr>
        <w:t>is selected, the event includes only the default </w:t>
      </w:r>
      <w:r>
        <w:rPr>
          <w:color w:val="231F20"/>
          <w:sz w:val="20"/>
        </w:rPr>
        <w:t>message template and not the </w:t>
      </w:r>
      <w:r>
        <w:rPr>
          <w:rFonts w:ascii="Book Antiqua" w:hAnsi="Book Antiqua"/>
          <w:b/>
          <w:color w:val="231F20"/>
          <w:sz w:val="20"/>
        </w:rPr>
        <w:t>Mapped attribute </w:t>
      </w:r>
      <w:r>
        <w:rPr>
          <w:color w:val="231F20"/>
          <w:sz w:val="20"/>
        </w:rPr>
        <w:t>specified in the </w:t>
      </w:r>
      <w:r>
        <w:rPr>
          <w:rFonts w:ascii="Arial" w:hAnsi="Arial"/>
          <w:color w:val="231F20"/>
          <w:sz w:val="20"/>
        </w:rPr>
        <w:t>msg </w:t>
      </w:r>
      <w:r>
        <w:rPr>
          <w:color w:val="231F20"/>
          <w:sz w:val="20"/>
        </w:rPr>
        <w:t>slot.</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If you select a </w:t>
      </w:r>
      <w:r>
        <w:rPr>
          <w:rFonts w:ascii="Book Antiqua"/>
          <w:b/>
          <w:color w:val="231F20"/>
        </w:rPr>
        <w:t>Mapped Attribute </w:t>
      </w:r>
      <w:r>
        <w:rPr>
          <w:color w:val="231F20"/>
        </w:rPr>
        <w:t>for a base slot, the mapping is used when a</w:t>
      </w:r>
      <w:r>
        <w:rPr>
          <w:color w:val="231F20"/>
          <w:spacing w:val="80"/>
        </w:rPr>
        <w:t> </w:t>
      </w:r>
      <w:r>
        <w:rPr>
          <w:color w:val="231F20"/>
        </w:rPr>
        <w:t>situation event is opened. However, the mapping does not occur in situation status update events that are sent to the EIF receiver when an event is acknowledged, unacknowledged, or closed.</w:t>
      </w:r>
    </w:p>
    <w:p>
      <w:pPr>
        <w:pStyle w:val="Heading6"/>
        <w:spacing w:line="240" w:lineRule="auto" w:before="216"/>
        <w:ind w:left="2232"/>
      </w:pPr>
      <w:r>
        <w:rPr>
          <w:color w:val="231F20"/>
        </w:rPr>
        <w:t>Map</w:t>
      </w:r>
      <w:r>
        <w:rPr>
          <w:color w:val="231F20"/>
          <w:spacing w:val="11"/>
        </w:rPr>
        <w:t> </w:t>
      </w:r>
      <w:r>
        <w:rPr>
          <w:color w:val="231F20"/>
          <w:spacing w:val="-2"/>
        </w:rPr>
        <w:t>enumerations:</w:t>
      </w:r>
    </w:p>
    <w:p>
      <w:pPr>
        <w:pStyle w:val="BodyText"/>
        <w:spacing w:line="213" w:lineRule="auto" w:before="239"/>
        <w:ind w:left="2232" w:right="763"/>
      </w:pPr>
      <w:r>
        <w:rPr>
          <w:color w:val="231F20"/>
        </w:rPr>
        <w:t>Use the </w:t>
      </w:r>
      <w:r>
        <w:rPr>
          <w:rFonts w:ascii="Book Antiqua"/>
          <w:b/>
          <w:color w:val="231F20"/>
        </w:rPr>
        <w:t>Map enumerations </w:t>
      </w:r>
      <w:r>
        <w:rPr>
          <w:color w:val="231F20"/>
        </w:rPr>
        <w:t>window to modify or create enumerations used </w:t>
      </w:r>
      <w:r>
        <w:rPr>
          <w:color w:val="231F20"/>
        </w:rPr>
        <w:t>to map a Tivoli Monitoring attribute value to an EIF event slot.</w:t>
      </w:r>
    </w:p>
    <w:p>
      <w:pPr>
        <w:pStyle w:val="BodyText"/>
        <w:spacing w:line="213" w:lineRule="auto" w:before="238"/>
        <w:ind w:left="2232" w:right="603"/>
      </w:pPr>
      <w:r>
        <w:rPr>
          <w:color w:val="231F20"/>
        </w:rPr>
        <w:t>The Map enumerations window is opened from the EIF Slot Customization window after you click</w:t>
      </w:r>
      <w:r>
        <w:rPr>
          <w:color w:val="231F20"/>
          <w:spacing w:val="20"/>
        </w:rPr>
        <w:t> </w:t>
      </w:r>
      <w:r>
        <w:rPr>
          <w:color w:val="231F20"/>
          <w:spacing w:val="-24"/>
          <w:position w:val="-1"/>
        </w:rPr>
        <w:drawing>
          <wp:inline distT="0" distB="0" distL="0" distR="0">
            <wp:extent cx="95250" cy="95250"/>
            <wp:effectExtent l="0" t="0" r="0" b="0"/>
            <wp:docPr id="2354" name="Image 2354"/>
            <wp:cNvGraphicFramePr>
              <a:graphicFrameLocks/>
            </wp:cNvGraphicFramePr>
            <a:graphic>
              <a:graphicData uri="http://schemas.openxmlformats.org/drawingml/2006/picture">
                <pic:pic>
                  <pic:nvPicPr>
                    <pic:cNvPr id="2354" name="Image 2354"/>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9"/>
        </w:rPr>
        <w:t> </w:t>
      </w:r>
      <w:r>
        <w:rPr>
          <w:color w:val="231F20"/>
        </w:rPr>
        <w:t>(which does not show in that window until you </w:t>
      </w:r>
      <w:r>
        <w:rPr>
          <w:color w:val="231F20"/>
        </w:rPr>
        <w:t>select</w:t>
      </w:r>
    </w:p>
    <w:p>
      <w:pPr>
        <w:spacing w:before="115"/>
        <w:ind w:left="2232" w:right="0" w:firstLine="0"/>
        <w:jc w:val="left"/>
        <w:rPr>
          <w:sz w:val="20"/>
        </w:rPr>
      </w:pPr>
      <w:r>
        <w:rPr/>
        <w:drawing>
          <wp:inline distT="0" distB="0" distL="0" distR="0">
            <wp:extent cx="82550" cy="82550"/>
            <wp:effectExtent l="0" t="0" r="0" b="0"/>
            <wp:docPr id="2355" name="Image 2355"/>
            <wp:cNvGraphicFramePr>
              <a:graphicFrameLocks/>
            </wp:cNvGraphicFramePr>
            <a:graphic>
              <a:graphicData uri="http://schemas.openxmlformats.org/drawingml/2006/picture">
                <pic:pic>
                  <pic:nvPicPr>
                    <pic:cNvPr id="2355" name="Image 2355"/>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7"/>
          <w:sz w:val="20"/>
        </w:rPr>
        <w:t> </w:t>
      </w:r>
      <w:r>
        <w:rPr>
          <w:rFonts w:ascii="Book Antiqua"/>
          <w:b/>
          <w:color w:val="231F20"/>
          <w:sz w:val="20"/>
        </w:rPr>
        <w:t>Process</w:t>
      </w:r>
      <w:r>
        <w:rPr>
          <w:rFonts w:ascii="Book Antiqua"/>
          <w:b/>
          <w:color w:val="231F20"/>
          <w:spacing w:val="14"/>
          <w:sz w:val="20"/>
        </w:rPr>
        <w:t> </w:t>
      </w:r>
      <w:r>
        <w:rPr>
          <w:rFonts w:ascii="Book Antiqua"/>
          <w:b/>
          <w:color w:val="231F20"/>
          <w:sz w:val="20"/>
        </w:rPr>
        <w:t>enumerations</w:t>
      </w:r>
      <w:r>
        <w:rPr>
          <w:rFonts w:ascii="Book Antiqua"/>
          <w:b/>
          <w:color w:val="231F20"/>
          <w:spacing w:val="14"/>
          <w:sz w:val="20"/>
        </w:rPr>
        <w:t> </w:t>
      </w:r>
      <w:r>
        <w:rPr>
          <w:color w:val="231F20"/>
          <w:sz w:val="20"/>
        </w:rPr>
        <w:t>for</w:t>
      </w:r>
      <w:r>
        <w:rPr>
          <w:color w:val="231F20"/>
          <w:spacing w:val="14"/>
          <w:sz w:val="20"/>
        </w:rPr>
        <w:t> </w:t>
      </w:r>
      <w:r>
        <w:rPr>
          <w:color w:val="231F20"/>
          <w:sz w:val="20"/>
        </w:rPr>
        <w:t>an</w:t>
      </w:r>
      <w:r>
        <w:rPr>
          <w:color w:val="231F20"/>
          <w:spacing w:val="14"/>
          <w:sz w:val="20"/>
        </w:rPr>
        <w:t> </w:t>
      </w:r>
      <w:r>
        <w:rPr>
          <w:color w:val="231F20"/>
          <w:sz w:val="20"/>
        </w:rPr>
        <w:t>event</w:t>
      </w:r>
      <w:r>
        <w:rPr>
          <w:color w:val="231F20"/>
          <w:spacing w:val="14"/>
          <w:sz w:val="20"/>
        </w:rPr>
        <w:t> </w:t>
      </w:r>
      <w:r>
        <w:rPr>
          <w:color w:val="231F20"/>
          <w:sz w:val="20"/>
        </w:rPr>
        <w:t>slot).</w:t>
      </w:r>
    </w:p>
    <w:p>
      <w:pPr>
        <w:pStyle w:val="BodyText"/>
        <w:spacing w:line="213" w:lineRule="auto" w:before="93"/>
        <w:ind w:left="2232" w:right="763"/>
      </w:pPr>
      <w:r>
        <w:rPr>
          <w:color w:val="231F20"/>
        </w:rPr>
        <w:t>If an enumeration already exists for the attribute, it populates the table and you can modify the entries. These enumerated values are used to convert attribute values to display values for the slots of the forwarded event. For example, if </w:t>
      </w:r>
      <w:r>
        <w:rPr>
          <w:color w:val="231F20"/>
        </w:rPr>
        <w:t>the</w:t>
      </w:r>
    </w:p>
    <w:p>
      <w:pPr>
        <w:spacing w:after="0" w:line="213" w:lineRule="auto"/>
        <w:sectPr>
          <w:pgSz w:w="12240" w:h="15840"/>
          <w:pgMar w:header="0" w:footer="736" w:top="1300" w:bottom="920" w:left="1000" w:right="1060"/>
        </w:sectPr>
      </w:pPr>
    </w:p>
    <w:p>
      <w:pPr>
        <w:pStyle w:val="BodyText"/>
        <w:spacing w:line="213" w:lineRule="auto" w:before="85"/>
        <w:ind w:left="2472" w:right="493"/>
      </w:pPr>
      <w:bookmarkStart w:name="_bookmark208" w:id="438"/>
      <w:bookmarkEnd w:id="438"/>
      <w:r>
        <w:rPr/>
      </w:r>
      <w:r>
        <w:rPr>
          <w:color w:val="231F20"/>
        </w:rPr>
        <w:t>situation event uses the numerals 0 through 6 to represent days of the week, you can map those values to their names, Sunday through Saturday.</w:t>
      </w:r>
    </w:p>
    <w:p>
      <w:pPr>
        <w:pStyle w:val="BodyText"/>
        <w:spacing w:before="215"/>
        <w:ind w:left="2472"/>
      </w:pPr>
      <w:r>
        <w:rPr>
          <w:color w:val="231F20"/>
        </w:rPr>
        <w:t>To</w:t>
      </w:r>
      <w:r>
        <w:rPr>
          <w:color w:val="231F20"/>
          <w:spacing w:val="10"/>
        </w:rPr>
        <w:t> </w:t>
      </w:r>
      <w:r>
        <w:rPr>
          <w:color w:val="231F20"/>
        </w:rPr>
        <w:t>modify</w:t>
      </w:r>
      <w:r>
        <w:rPr>
          <w:color w:val="231F20"/>
          <w:spacing w:val="10"/>
        </w:rPr>
        <w:t> </w:t>
      </w:r>
      <w:r>
        <w:rPr>
          <w:color w:val="231F20"/>
        </w:rPr>
        <w:t>the</w:t>
      </w:r>
      <w:r>
        <w:rPr>
          <w:color w:val="231F20"/>
          <w:spacing w:val="10"/>
        </w:rPr>
        <w:t> </w:t>
      </w:r>
      <w:r>
        <w:rPr>
          <w:color w:val="231F20"/>
        </w:rPr>
        <w:t>enumeration,</w:t>
      </w:r>
      <w:r>
        <w:rPr>
          <w:color w:val="231F20"/>
          <w:spacing w:val="11"/>
        </w:rPr>
        <w:t> </w:t>
      </w:r>
      <w:r>
        <w:rPr>
          <w:color w:val="231F20"/>
        </w:rPr>
        <w:t>click</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table</w:t>
      </w:r>
      <w:r>
        <w:rPr>
          <w:color w:val="231F20"/>
          <w:spacing w:val="11"/>
        </w:rPr>
        <w:t> </w:t>
      </w:r>
      <w:r>
        <w:rPr>
          <w:color w:val="231F20"/>
        </w:rPr>
        <w:t>cells</w:t>
      </w:r>
      <w:r>
        <w:rPr>
          <w:color w:val="231F20"/>
          <w:spacing w:val="10"/>
        </w:rPr>
        <w:t> </w:t>
      </w:r>
      <w:r>
        <w:rPr>
          <w:color w:val="231F20"/>
        </w:rPr>
        <w:t>and</w:t>
      </w:r>
      <w:r>
        <w:rPr>
          <w:color w:val="231F20"/>
          <w:spacing w:val="10"/>
        </w:rPr>
        <w:t> </w:t>
      </w:r>
      <w:r>
        <w:rPr>
          <w:color w:val="231F20"/>
        </w:rPr>
        <w:t>edit</w:t>
      </w:r>
      <w:r>
        <w:rPr>
          <w:color w:val="231F20"/>
          <w:spacing w:val="11"/>
        </w:rPr>
        <w:t> </w:t>
      </w:r>
      <w:r>
        <w:rPr>
          <w:color w:val="231F20"/>
        </w:rPr>
        <w:t>the</w:t>
      </w:r>
      <w:r>
        <w:rPr>
          <w:color w:val="231F20"/>
          <w:spacing w:val="10"/>
        </w:rPr>
        <w:t> </w:t>
      </w:r>
      <w:r>
        <w:rPr>
          <w:color w:val="231F20"/>
          <w:spacing w:val="-2"/>
        </w:rPr>
        <w:t>text:</w:t>
      </w:r>
    </w:p>
    <w:p>
      <w:pPr>
        <w:pStyle w:val="BodyText"/>
        <w:spacing w:line="213" w:lineRule="auto" w:before="52"/>
        <w:ind w:left="2688" w:right="147" w:hanging="216"/>
      </w:pPr>
      <w:r>
        <w:rPr>
          <w:rFonts w:ascii="Futura MdCn BT"/>
          <w:color w:val="231F20"/>
        </w:rPr>
        <w:t>v</w:t>
      </w:r>
      <w:r>
        <w:rPr>
          <w:rFonts w:ascii="Futura MdCn BT"/>
          <w:color w:val="231F20"/>
          <w:spacing w:val="80"/>
          <w:w w:val="150"/>
        </w:rPr>
        <w:t> </w:t>
      </w:r>
      <w:r>
        <w:rPr>
          <w:color w:val="231F20"/>
        </w:rPr>
        <w:t>Type</w:t>
      </w:r>
      <w:r>
        <w:rPr>
          <w:color w:val="231F20"/>
          <w:spacing w:val="23"/>
        </w:rPr>
        <w:t> </w:t>
      </w:r>
      <w:r>
        <w:rPr>
          <w:color w:val="231F20"/>
        </w:rPr>
        <w:t>or</w:t>
      </w:r>
      <w:r>
        <w:rPr>
          <w:color w:val="231F20"/>
          <w:spacing w:val="23"/>
        </w:rPr>
        <w:t> </w:t>
      </w:r>
      <w:r>
        <w:rPr>
          <w:color w:val="231F20"/>
        </w:rPr>
        <w:t>edit</w:t>
      </w:r>
      <w:r>
        <w:rPr>
          <w:color w:val="231F20"/>
          <w:spacing w:val="23"/>
        </w:rPr>
        <w:t> </w:t>
      </w:r>
      <w:r>
        <w:rPr>
          <w:color w:val="231F20"/>
        </w:rPr>
        <w:t>the</w:t>
      </w:r>
      <w:r>
        <w:rPr>
          <w:color w:val="231F20"/>
          <w:spacing w:val="23"/>
        </w:rPr>
        <w:t> </w:t>
      </w:r>
      <w:r>
        <w:rPr>
          <w:color w:val="231F20"/>
        </w:rPr>
        <w:t>attribute</w:t>
      </w:r>
      <w:r>
        <w:rPr>
          <w:color w:val="231F20"/>
          <w:spacing w:val="23"/>
        </w:rPr>
        <w:t> </w:t>
      </w:r>
      <w:r>
        <w:rPr>
          <w:rFonts w:ascii="Book Antiqua"/>
          <w:b/>
          <w:color w:val="231F20"/>
        </w:rPr>
        <w:t>Value</w:t>
      </w:r>
      <w:r>
        <w:rPr>
          <w:rFonts w:ascii="Book Antiqua"/>
          <w:b/>
          <w:color w:val="231F20"/>
          <w:spacing w:val="23"/>
        </w:rPr>
        <w:t> </w:t>
      </w:r>
      <w:r>
        <w:rPr>
          <w:color w:val="231F20"/>
        </w:rPr>
        <w:t>and</w:t>
      </w:r>
      <w:r>
        <w:rPr>
          <w:color w:val="231F20"/>
          <w:spacing w:val="23"/>
        </w:rPr>
        <w:t> </w:t>
      </w:r>
      <w:r>
        <w:rPr>
          <w:color w:val="231F20"/>
        </w:rPr>
        <w:t>the</w:t>
      </w:r>
      <w:r>
        <w:rPr>
          <w:color w:val="231F20"/>
          <w:spacing w:val="23"/>
        </w:rPr>
        <w:t> </w:t>
      </w:r>
      <w:r>
        <w:rPr>
          <w:color w:val="231F20"/>
        </w:rPr>
        <w:t>corresponding</w:t>
      </w:r>
      <w:r>
        <w:rPr>
          <w:color w:val="231F20"/>
          <w:spacing w:val="23"/>
        </w:rPr>
        <w:t> </w:t>
      </w:r>
      <w:r>
        <w:rPr>
          <w:rFonts w:ascii="Book Antiqua"/>
          <w:b/>
          <w:color w:val="231F20"/>
        </w:rPr>
        <w:t>Display</w:t>
      </w:r>
      <w:r>
        <w:rPr>
          <w:rFonts w:ascii="Book Antiqua"/>
          <w:b/>
          <w:color w:val="231F20"/>
          <w:spacing w:val="23"/>
        </w:rPr>
        <w:t> </w:t>
      </w:r>
      <w:r>
        <w:rPr>
          <w:rFonts w:ascii="Book Antiqua"/>
          <w:b/>
          <w:color w:val="231F20"/>
        </w:rPr>
        <w:t>as</w:t>
      </w:r>
      <w:r>
        <w:rPr>
          <w:rFonts w:ascii="Book Antiqua"/>
          <w:b/>
          <w:color w:val="231F20"/>
          <w:spacing w:val="23"/>
        </w:rPr>
        <w:t> </w:t>
      </w:r>
      <w:r>
        <w:rPr>
          <w:color w:val="231F20"/>
        </w:rPr>
        <w:t>value,</w:t>
      </w:r>
      <w:r>
        <w:rPr>
          <w:color w:val="231F20"/>
          <w:spacing w:val="23"/>
        </w:rPr>
        <w:t> </w:t>
      </w:r>
      <w:r>
        <w:rPr>
          <w:color w:val="231F20"/>
        </w:rPr>
        <w:t>one row</w:t>
      </w:r>
      <w:r>
        <w:rPr>
          <w:color w:val="231F20"/>
          <w:spacing w:val="12"/>
        </w:rPr>
        <w:t> </w:t>
      </w:r>
      <w:r>
        <w:rPr>
          <w:color w:val="231F20"/>
        </w:rPr>
        <w:t>for</w:t>
      </w:r>
      <w:r>
        <w:rPr>
          <w:color w:val="231F20"/>
          <w:spacing w:val="12"/>
        </w:rPr>
        <w:t> </w:t>
      </w:r>
      <w:r>
        <w:rPr>
          <w:color w:val="231F20"/>
        </w:rPr>
        <w:t>each</w:t>
      </w:r>
      <w:r>
        <w:rPr>
          <w:color w:val="231F20"/>
          <w:spacing w:val="12"/>
        </w:rPr>
        <w:t> </w:t>
      </w:r>
      <w:r>
        <w:rPr>
          <w:color w:val="231F20"/>
        </w:rPr>
        <w:t>enumeration. Any</w:t>
      </w:r>
      <w:r>
        <w:rPr>
          <w:color w:val="231F20"/>
          <w:spacing w:val="12"/>
        </w:rPr>
        <w:t> </w:t>
      </w:r>
      <w:r>
        <w:rPr>
          <w:color w:val="231F20"/>
        </w:rPr>
        <w:t>new</w:t>
      </w:r>
      <w:r>
        <w:rPr>
          <w:color w:val="231F20"/>
          <w:spacing w:val="12"/>
        </w:rPr>
        <w:t> </w:t>
      </w:r>
      <w:r>
        <w:rPr>
          <w:color w:val="231F20"/>
        </w:rPr>
        <w:t>values</w:t>
      </w:r>
      <w:r>
        <w:rPr>
          <w:color w:val="231F20"/>
          <w:spacing w:val="12"/>
        </w:rPr>
        <w:t> </w:t>
      </w:r>
      <w:r>
        <w:rPr>
          <w:color w:val="231F20"/>
        </w:rPr>
        <w:t>you</w:t>
      </w:r>
      <w:r>
        <w:rPr>
          <w:color w:val="231F20"/>
          <w:spacing w:val="12"/>
        </w:rPr>
        <w:t> </w:t>
      </w:r>
      <w:r>
        <w:rPr>
          <w:color w:val="231F20"/>
        </w:rPr>
        <w:t>add</w:t>
      </w:r>
      <w:r>
        <w:rPr>
          <w:color w:val="231F20"/>
          <w:spacing w:val="12"/>
        </w:rPr>
        <w:t> </w:t>
      </w:r>
      <w:r>
        <w:rPr>
          <w:color w:val="231F20"/>
        </w:rPr>
        <w:t>must</w:t>
      </w:r>
      <w:r>
        <w:rPr>
          <w:color w:val="231F20"/>
          <w:spacing w:val="12"/>
        </w:rPr>
        <w:t> </w:t>
      </w:r>
      <w:r>
        <w:rPr>
          <w:color w:val="231F20"/>
        </w:rPr>
        <w:t>be</w:t>
      </w:r>
      <w:r>
        <w:rPr>
          <w:color w:val="231F20"/>
          <w:spacing w:val="12"/>
        </w:rPr>
        <w:t> </w:t>
      </w:r>
      <w:r>
        <w:rPr>
          <w:color w:val="231F20"/>
        </w:rPr>
        <w:t>unique:</w:t>
      </w:r>
      <w:r>
        <w:rPr>
          <w:color w:val="231F20"/>
          <w:spacing w:val="12"/>
        </w:rPr>
        <w:t> </w:t>
      </w:r>
      <w:r>
        <w:rPr>
          <w:color w:val="231F20"/>
        </w:rPr>
        <w:t>If</w:t>
      </w:r>
      <w:r>
        <w:rPr>
          <w:color w:val="231F20"/>
          <w:spacing w:val="12"/>
        </w:rPr>
        <w:t> </w:t>
      </w:r>
      <w:r>
        <w:rPr>
          <w:color w:val="231F20"/>
        </w:rPr>
        <w:t>you</w:t>
      </w:r>
      <w:r>
        <w:rPr>
          <w:color w:val="231F20"/>
          <w:spacing w:val="12"/>
        </w:rPr>
        <w:t> </w:t>
      </w:r>
      <w:r>
        <w:rPr>
          <w:color w:val="231F20"/>
        </w:rPr>
        <w:t>type</w:t>
      </w:r>
      <w:r>
        <w:rPr>
          <w:color w:val="231F20"/>
        </w:rPr>
        <w:t> a value that duplicates an existing entry in the </w:t>
      </w:r>
      <w:r>
        <w:rPr>
          <w:rFonts w:ascii="Book Antiqua"/>
          <w:b/>
          <w:color w:val="231F20"/>
        </w:rPr>
        <w:t>Value </w:t>
      </w:r>
      <w:r>
        <w:rPr>
          <w:color w:val="231F20"/>
        </w:rPr>
        <w:t>column, the table cell is highlighted in red.</w:t>
      </w:r>
    </w:p>
    <w:p>
      <w:pPr>
        <w:pStyle w:val="BodyText"/>
        <w:tabs>
          <w:tab w:pos="2754" w:val="left" w:leader="none"/>
        </w:tabs>
        <w:spacing w:line="213" w:lineRule="auto" w:before="57"/>
        <w:ind w:left="2688" w:right="274" w:hanging="216"/>
      </w:pPr>
      <w:r>
        <w:rPr>
          <w:rFonts w:ascii="Futura MdCn BT"/>
          <w:color w:val="231F20"/>
          <w:spacing w:val="-10"/>
        </w:rPr>
        <w:t>v</w:t>
      </w:r>
      <w:r>
        <w:rPr>
          <w:rFonts w:ascii="Futura MdCn BT"/>
          <w:color w:val="231F20"/>
        </w:rPr>
        <w:tab/>
        <w:tab/>
      </w:r>
      <w:r>
        <w:rPr>
          <w:color w:val="231F20"/>
        </w:rPr>
        <w:t>To insert an empty row in the table, right-click in any row and then click </w:t>
      </w:r>
      <w:r>
        <w:rPr>
          <w:rFonts w:ascii="Book Antiqua"/>
          <w:b/>
          <w:color w:val="231F20"/>
        </w:rPr>
        <w:t>Insert row above </w:t>
      </w:r>
      <w:r>
        <w:rPr>
          <w:color w:val="231F20"/>
        </w:rPr>
        <w:t>or </w:t>
      </w:r>
      <w:r>
        <w:rPr>
          <w:rFonts w:ascii="Book Antiqua"/>
          <w:b/>
          <w:color w:val="231F20"/>
        </w:rPr>
        <w:t>Insert row below </w:t>
      </w:r>
      <w:r>
        <w:rPr>
          <w:color w:val="231F20"/>
        </w:rPr>
        <w:t>from the pop-up menu. The order of values in</w:t>
      </w:r>
      <w:r>
        <w:rPr>
          <w:color w:val="231F20"/>
          <w:spacing w:val="80"/>
        </w:rPr>
        <w:t> </w:t>
      </w:r>
      <w:r>
        <w:rPr>
          <w:color w:val="231F20"/>
        </w:rPr>
        <w:t>the table is not significant.</w:t>
      </w:r>
    </w:p>
    <w:p>
      <w:pPr>
        <w:pStyle w:val="BodyText"/>
        <w:spacing w:before="35"/>
        <w:ind w:left="2472"/>
      </w:pPr>
      <w:r>
        <w:rPr>
          <w:rFonts w:ascii="Futura MdCn BT"/>
          <w:color w:val="231F20"/>
        </w:rPr>
        <w:t>v</w:t>
      </w:r>
      <w:r>
        <w:rPr>
          <w:rFonts w:ascii="Futura MdCn BT"/>
          <w:color w:val="231F20"/>
          <w:spacing w:val="79"/>
          <w:w w:val="150"/>
        </w:rPr>
        <w:t> </w:t>
      </w:r>
      <w:r>
        <w:rPr>
          <w:color w:val="231F20"/>
        </w:rPr>
        <w:t>To</w:t>
      </w:r>
      <w:r>
        <w:rPr>
          <w:color w:val="231F20"/>
          <w:spacing w:val="11"/>
        </w:rPr>
        <w:t> </w:t>
      </w:r>
      <w:r>
        <w:rPr>
          <w:color w:val="231F20"/>
        </w:rPr>
        <w:t>delete</w:t>
      </w:r>
      <w:r>
        <w:rPr>
          <w:color w:val="231F20"/>
          <w:spacing w:val="11"/>
        </w:rPr>
        <w:t> </w:t>
      </w:r>
      <w:r>
        <w:rPr>
          <w:color w:val="231F20"/>
        </w:rPr>
        <w:t>a</w:t>
      </w:r>
      <w:r>
        <w:rPr>
          <w:color w:val="231F20"/>
          <w:spacing w:val="11"/>
        </w:rPr>
        <w:t> </w:t>
      </w:r>
      <w:r>
        <w:rPr>
          <w:color w:val="231F20"/>
        </w:rPr>
        <w:t>slot,</w:t>
      </w:r>
      <w:r>
        <w:rPr>
          <w:color w:val="231F20"/>
          <w:spacing w:val="11"/>
        </w:rPr>
        <w:t> </w:t>
      </w:r>
      <w:r>
        <w:rPr>
          <w:color w:val="231F20"/>
        </w:rPr>
        <w:t>right-click</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row</w:t>
      </w:r>
      <w:r>
        <w:rPr>
          <w:color w:val="231F20"/>
          <w:spacing w:val="11"/>
        </w:rPr>
        <w:t> </w:t>
      </w:r>
      <w:r>
        <w:rPr>
          <w:color w:val="231F20"/>
        </w:rPr>
        <w:t>and</w:t>
      </w:r>
      <w:r>
        <w:rPr>
          <w:color w:val="231F20"/>
          <w:spacing w:val="11"/>
        </w:rPr>
        <w:t> </w:t>
      </w:r>
      <w:r>
        <w:rPr>
          <w:color w:val="231F20"/>
        </w:rPr>
        <w:t>click</w:t>
      </w:r>
      <w:r>
        <w:rPr>
          <w:color w:val="231F20"/>
          <w:spacing w:val="11"/>
        </w:rPr>
        <w:t> </w:t>
      </w:r>
      <w:r>
        <w:rPr>
          <w:rFonts w:ascii="Book Antiqua"/>
          <w:b/>
          <w:color w:val="231F20"/>
        </w:rPr>
        <w:t>Delete</w:t>
      </w:r>
      <w:r>
        <w:rPr>
          <w:rFonts w:ascii="Book Antiqua"/>
          <w:b/>
          <w:color w:val="231F20"/>
          <w:spacing w:val="11"/>
        </w:rPr>
        <w:t> </w:t>
      </w:r>
      <w:r>
        <w:rPr>
          <w:rFonts w:ascii="Book Antiqua"/>
          <w:b/>
          <w:color w:val="231F20"/>
          <w:spacing w:val="-4"/>
        </w:rPr>
        <w:t>row</w:t>
      </w:r>
      <w:r>
        <w:rPr>
          <w:color w:val="231F20"/>
          <w:spacing w:val="-4"/>
        </w:rPr>
        <w:t>.</w:t>
      </w:r>
    </w:p>
    <w:p>
      <w:pPr>
        <w:pStyle w:val="BodyText"/>
        <w:rPr>
          <w:sz w:val="16"/>
        </w:rPr>
      </w:pPr>
      <w:r>
        <w:rPr/>
        <mc:AlternateContent>
          <mc:Choice Requires="wps">
            <w:drawing>
              <wp:anchor distT="0" distB="0" distL="0" distR="0" allowOverlap="1" layoutInCell="1" locked="0" behindDoc="1" simplePos="0" relativeHeight="487726080">
                <wp:simplePos x="0" y="0"/>
                <wp:positionH relativeFrom="page">
                  <wp:posOffset>912380</wp:posOffset>
                </wp:positionH>
                <wp:positionV relativeFrom="paragraph">
                  <wp:posOffset>152387</wp:posOffset>
                </wp:positionV>
                <wp:extent cx="6082665" cy="1270"/>
                <wp:effectExtent l="0" t="0" r="0" b="0"/>
                <wp:wrapTopAndBottom/>
                <wp:docPr id="2356" name="Graphic 2356"/>
                <wp:cNvGraphicFramePr>
                  <a:graphicFrameLocks/>
                </wp:cNvGraphicFramePr>
                <a:graphic>
                  <a:graphicData uri="http://schemas.microsoft.com/office/word/2010/wordprocessingShape">
                    <wps:wsp>
                      <wps:cNvPr id="2356" name="Graphic 235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98979pt;width:478.95pt;height:.1pt;mso-position-horizontal-relative:page;mso-position-vertical-relative:paragraph;z-index:-15590400;mso-wrap-distance-left:0;mso-wrap-distance-right:0" id="docshape214"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Starting or stopping a situation" w:id="439"/>
      <w:bookmarkEnd w:id="439"/>
      <w:r>
        <w:rPr>
          <w:b w:val="0"/>
        </w:rPr>
      </w:r>
      <w:r>
        <w:rPr>
          <w:color w:val="231F20"/>
        </w:rPr>
        <w:t>Starting</w:t>
      </w:r>
      <w:r>
        <w:rPr>
          <w:color w:val="231F20"/>
          <w:spacing w:val="8"/>
        </w:rPr>
        <w:t> </w:t>
      </w:r>
      <w:r>
        <w:rPr>
          <w:color w:val="231F20"/>
        </w:rPr>
        <w:t>or</w:t>
      </w:r>
      <w:r>
        <w:rPr>
          <w:color w:val="231F20"/>
          <w:spacing w:val="8"/>
        </w:rPr>
        <w:t> </w:t>
      </w:r>
      <w:r>
        <w:rPr>
          <w:color w:val="231F20"/>
        </w:rPr>
        <w:t>stopping</w:t>
      </w:r>
      <w:r>
        <w:rPr>
          <w:color w:val="231F20"/>
          <w:spacing w:val="8"/>
        </w:rPr>
        <w:t> </w:t>
      </w:r>
      <w:r>
        <w:rPr>
          <w:color w:val="231F20"/>
        </w:rPr>
        <w:t>a</w:t>
      </w:r>
      <w:r>
        <w:rPr>
          <w:color w:val="231F20"/>
          <w:spacing w:val="9"/>
        </w:rPr>
        <w:t> </w:t>
      </w:r>
      <w:r>
        <w:rPr>
          <w:color w:val="231F20"/>
          <w:spacing w:val="-2"/>
        </w:rPr>
        <w:t>situation</w:t>
      </w:r>
    </w:p>
    <w:p>
      <w:pPr>
        <w:pStyle w:val="BodyText"/>
        <w:spacing w:line="213" w:lineRule="auto" w:before="138"/>
        <w:ind w:left="2472"/>
      </w:pPr>
      <w:r>
        <w:rPr>
          <w:color w:val="231F20"/>
        </w:rPr>
        <w:t>You can start or stop one or more situations as you find necessary for your </w:t>
      </w:r>
      <w:r>
        <w:rPr>
          <w:color w:val="231F20"/>
          <w:spacing w:val="-2"/>
        </w:rPr>
        <w:t>environment.</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385"/>
      </w:pPr>
      <w:r>
        <w:rPr>
          <w:color w:val="231F20"/>
        </w:rPr>
        <w:t>You can start or stop one or more situations from several places: situation event flyover list; situation event console view; situation editor; or Manage Situations at Managed System. No matter which method you choose, the effect is the same: </w:t>
      </w:r>
      <w:r>
        <w:rPr>
          <w:color w:val="231F20"/>
        </w:rPr>
        <w:t>the situation starts or stops on all the managed systems to which it is distributed.</w:t>
      </w:r>
    </w:p>
    <w:p>
      <w:pPr>
        <w:pStyle w:val="Heading6"/>
        <w:spacing w:line="240" w:lineRule="auto" w:before="236"/>
      </w:pPr>
      <w:r>
        <w:rPr>
          <w:color w:val="231F20"/>
          <w:spacing w:val="-2"/>
        </w:rPr>
        <w:t>Note:</w:t>
      </w:r>
    </w:p>
    <w:p>
      <w:pPr>
        <w:pStyle w:val="BodyText"/>
        <w:tabs>
          <w:tab w:pos="2754" w:val="left" w:leader="none"/>
        </w:tabs>
        <w:spacing w:line="213" w:lineRule="auto" w:before="59"/>
        <w:ind w:left="2688" w:right="274" w:hanging="216"/>
      </w:pPr>
      <w:r>
        <w:rPr>
          <w:rFonts w:ascii="Futura MdCn BT"/>
          <w:color w:val="231F20"/>
          <w:spacing w:val="-10"/>
        </w:rPr>
        <w:t>v</w:t>
      </w:r>
      <w:r>
        <w:rPr>
          <w:rFonts w:ascii="Futura MdCn BT"/>
          <w:color w:val="231F20"/>
        </w:rPr>
        <w:tab/>
        <w:tab/>
      </w:r>
      <w:r>
        <w:rPr>
          <w:color w:val="231F20"/>
        </w:rPr>
        <w:t>When you stop a situation that embeds other situations, only the embedding situation is stopped; the situations that are embedded in it continue to run. </w:t>
      </w:r>
      <w:r>
        <w:rPr>
          <w:color w:val="231F20"/>
        </w:rPr>
        <w:t>This</w:t>
      </w:r>
      <w:r>
        <w:rPr>
          <w:color w:val="231F20"/>
          <w:spacing w:val="80"/>
        </w:rPr>
        <w:t> </w:t>
      </w:r>
      <w:r>
        <w:rPr>
          <w:color w:val="231F20"/>
        </w:rPr>
        <w:t>is also true for correlated situations.</w:t>
      </w:r>
    </w:p>
    <w:p>
      <w:pPr>
        <w:pStyle w:val="BodyText"/>
        <w:tabs>
          <w:tab w:pos="2754" w:val="left" w:leader="none"/>
        </w:tabs>
        <w:spacing w:line="213" w:lineRule="auto" w:before="58"/>
        <w:ind w:left="2688" w:right="274" w:hanging="216"/>
      </w:pPr>
      <w:r>
        <w:rPr>
          <w:rFonts w:ascii="Futura MdCn BT"/>
          <w:color w:val="231F20"/>
          <w:spacing w:val="-10"/>
        </w:rPr>
        <w:t>v</w:t>
      </w:r>
      <w:r>
        <w:rPr>
          <w:rFonts w:ascii="Futura MdCn BT"/>
          <w:color w:val="231F20"/>
        </w:rPr>
        <w:tab/>
        <w:tab/>
      </w:r>
      <w:r>
        <w:rPr>
          <w:color w:val="231F20"/>
        </w:rPr>
        <w:t>If you stop a situation that has an open event, you can close the event from the</w:t>
      </w:r>
      <w:r>
        <w:rPr>
          <w:color w:val="231F20"/>
          <w:spacing w:val="40"/>
        </w:rPr>
        <w:t> </w:t>
      </w:r>
      <w:r>
        <w:rPr>
          <w:color w:val="231F20"/>
        </w:rPr>
        <w:t>situation flyover list, the event Navigator item, or situation event console view.</w:t>
      </w:r>
    </w:p>
    <w:p>
      <w:pPr>
        <w:pStyle w:val="BodyText"/>
        <w:tabs>
          <w:tab w:pos="2754" w:val="left" w:leader="none"/>
        </w:tabs>
        <w:spacing w:line="213" w:lineRule="auto" w:before="59"/>
        <w:ind w:left="2688" w:right="493" w:hanging="216"/>
      </w:pPr>
      <w:r>
        <w:rPr>
          <w:rFonts w:ascii="Futura MdCn BT"/>
          <w:color w:val="231F20"/>
          <w:spacing w:val="-10"/>
        </w:rPr>
        <w:t>v</w:t>
      </w:r>
      <w:r>
        <w:rPr>
          <w:rFonts w:ascii="Futura MdCn BT"/>
          <w:color w:val="231F20"/>
        </w:rPr>
        <w:tab/>
        <w:tab/>
      </w:r>
      <w:r>
        <w:rPr>
          <w:color w:val="231F20"/>
        </w:rPr>
        <w:t>When a situation has been stopped that also has an open event that has been</w:t>
      </w:r>
      <w:r>
        <w:rPr>
          <w:color w:val="231F20"/>
          <w:spacing w:val="40"/>
        </w:rPr>
        <w:t> </w:t>
      </w:r>
      <w:r>
        <w:rPr>
          <w:color w:val="231F20"/>
        </w:rPr>
        <w:t>forwarded to the Tivoli Enterprise Console, the effect is that all open Tivoli Enterprise Console events whose cms_hostname and situation_name (as specified in the event synchronization rules) is the same as that of the </w:t>
      </w:r>
      <w:r>
        <w:rPr>
          <w:color w:val="231F20"/>
        </w:rPr>
        <w:t>stopped</w:t>
      </w:r>
      <w:r>
        <w:rPr>
          <w:color w:val="231F20"/>
        </w:rPr>
        <w:t> situation will be closed. This is done to maintain event status synchronization between the monitoring server and the event server.</w:t>
      </w:r>
    </w:p>
    <w:p>
      <w:pPr>
        <w:pStyle w:val="BodyText"/>
        <w:spacing w:line="213" w:lineRule="auto" w:before="56"/>
        <w:ind w:left="2688" w:right="274" w:hanging="216"/>
      </w:pPr>
      <w:r>
        <w:rPr>
          <w:rFonts w:ascii="Futura MdCn BT"/>
          <w:color w:val="231F20"/>
        </w:rPr>
        <w:t>v</w:t>
      </w:r>
      <w:r>
        <w:rPr>
          <w:rFonts w:ascii="Futura MdCn BT"/>
          <w:color w:val="231F20"/>
          <w:spacing w:val="80"/>
        </w:rPr>
        <w:t> </w:t>
      </w:r>
      <w:r>
        <w:rPr>
          <w:color w:val="231F20"/>
        </w:rPr>
        <w:t>For situations within policies, you might notice an inconsistency between the situation's current status and its status displayed in the Manage Situation at Managed System window. For example, create situation A and policy B (when situation</w:t>
      </w:r>
      <w:r>
        <w:rPr>
          <w:color w:val="231F20"/>
          <w:spacing w:val="20"/>
        </w:rPr>
        <w:t> </w:t>
      </w:r>
      <w:r>
        <w:rPr>
          <w:color w:val="231F20"/>
        </w:rPr>
        <w:t>A is</w:t>
      </w:r>
      <w:r>
        <w:rPr>
          <w:color w:val="231F20"/>
          <w:spacing w:val="28"/>
        </w:rPr>
        <w:t> </w:t>
      </w:r>
      <w:r>
        <w:rPr>
          <w:color w:val="231F20"/>
        </w:rPr>
        <w:t>true,</w:t>
      </w:r>
      <w:r>
        <w:rPr>
          <w:color w:val="231F20"/>
          <w:spacing w:val="28"/>
        </w:rPr>
        <w:t> </w:t>
      </w:r>
      <w:r>
        <w:rPr>
          <w:color w:val="231F20"/>
        </w:rPr>
        <w:t>write</w:t>
      </w:r>
      <w:r>
        <w:rPr>
          <w:color w:val="231F20"/>
          <w:spacing w:val="28"/>
        </w:rPr>
        <w:t> </w:t>
      </w:r>
      <w:r>
        <w:rPr>
          <w:color w:val="231F20"/>
        </w:rPr>
        <w:t>a</w:t>
      </w:r>
      <w:r>
        <w:rPr>
          <w:color w:val="231F20"/>
          <w:spacing w:val="28"/>
        </w:rPr>
        <w:t> </w:t>
      </w:r>
      <w:r>
        <w:rPr>
          <w:color w:val="231F20"/>
        </w:rPr>
        <w:t>message</w:t>
      </w:r>
      <w:r>
        <w:rPr>
          <w:color w:val="231F20"/>
          <w:spacing w:val="28"/>
        </w:rPr>
        <w:t> </w:t>
      </w:r>
      <w:r>
        <w:rPr>
          <w:color w:val="231F20"/>
        </w:rPr>
        <w:t>to</w:t>
      </w:r>
      <w:r>
        <w:rPr>
          <w:color w:val="231F20"/>
          <w:spacing w:val="28"/>
        </w:rPr>
        <w:t> </w:t>
      </w:r>
      <w:r>
        <w:rPr>
          <w:color w:val="231F20"/>
        </w:rPr>
        <w:t>the</w:t>
      </w:r>
      <w:r>
        <w:rPr>
          <w:color w:val="231F20"/>
          <w:spacing w:val="28"/>
        </w:rPr>
        <w:t> </w:t>
      </w:r>
      <w:r>
        <w:rPr>
          <w:color w:val="231F20"/>
        </w:rPr>
        <w:t>Universal</w:t>
      </w:r>
      <w:r>
        <w:rPr>
          <w:color w:val="231F20"/>
          <w:spacing w:val="28"/>
        </w:rPr>
        <w:t> </w:t>
      </w:r>
      <w:r>
        <w:rPr>
          <w:color w:val="231F20"/>
        </w:rPr>
        <w:t>Message</w:t>
      </w:r>
      <w:r>
        <w:rPr>
          <w:color w:val="231F20"/>
          <w:spacing w:val="28"/>
        </w:rPr>
        <w:t> </w:t>
      </w:r>
      <w:r>
        <w:rPr>
          <w:color w:val="231F20"/>
        </w:rPr>
        <w:t>console).</w:t>
      </w:r>
      <w:r>
        <w:rPr>
          <w:color w:val="231F20"/>
          <w:spacing w:val="28"/>
        </w:rPr>
        <w:t> </w:t>
      </w:r>
      <w:r>
        <w:rPr>
          <w:color w:val="231F20"/>
        </w:rPr>
        <w:t>Next, stop situation A. The message log indicates a situation status of Stopped, but </w:t>
      </w:r>
      <w:r>
        <w:rPr>
          <w:color w:val="231F20"/>
        </w:rPr>
        <w:t>the</w:t>
      </w:r>
      <w:r>
        <w:rPr>
          <w:color w:val="231F20"/>
        </w:rPr>
        <w:t> Manage Situation at Managed System window indicates that the situation status</w:t>
      </w:r>
      <w:r>
        <w:rPr>
          <w:color w:val="231F20"/>
          <w:spacing w:val="80"/>
        </w:rPr>
        <w:t> </w:t>
      </w:r>
      <w:r>
        <w:rPr>
          <w:color w:val="231F20"/>
        </w:rPr>
        <w:t>is Open. In the absence of policies, the Manage Situation at Managed System window reflects the current state of a situation. However, when policies are running, this assumption is not valid. A similar inconsistency occurs if you use</w:t>
      </w:r>
      <w:r>
        <w:rPr>
          <w:color w:val="231F20"/>
          <w:spacing w:val="80"/>
        </w:rPr>
        <w:t> </w:t>
      </w:r>
      <w:r>
        <w:rPr>
          <w:color w:val="231F20"/>
        </w:rPr>
        <w:t>the situation in the UNTIL clause of another situation.</w:t>
      </w:r>
    </w:p>
    <w:p>
      <w:pPr>
        <w:pStyle w:val="BodyText"/>
        <w:spacing w:before="209"/>
        <w:ind w:left="2492"/>
      </w:pPr>
      <w:r>
        <w:rPr>
          <w:position w:val="-1"/>
        </w:rPr>
        <w:drawing>
          <wp:inline distT="0" distB="0" distL="0" distR="0">
            <wp:extent cx="82550" cy="101600"/>
            <wp:effectExtent l="0" t="0" r="0" b="0"/>
            <wp:docPr id="2357" name="Image 2357"/>
            <wp:cNvGraphicFramePr>
              <a:graphicFrameLocks/>
            </wp:cNvGraphicFramePr>
            <a:graphic>
              <a:graphicData uri="http://schemas.openxmlformats.org/drawingml/2006/picture">
                <pic:pic>
                  <pic:nvPicPr>
                    <pic:cNvPr id="2357" name="Image 2357"/>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76"/>
        </w:rPr>
        <w:t> </w:t>
      </w:r>
      <w:r>
        <w:rPr>
          <w:color w:val="231F20"/>
        </w:rPr>
        <w:t>To</w:t>
      </w:r>
      <w:r>
        <w:rPr>
          <w:color w:val="231F20"/>
          <w:spacing w:val="16"/>
        </w:rPr>
        <w:t> </w:t>
      </w:r>
      <w:r>
        <w:rPr>
          <w:color w:val="231F20"/>
        </w:rPr>
        <w:t>use</w:t>
      </w:r>
      <w:r>
        <w:rPr>
          <w:color w:val="231F20"/>
          <w:spacing w:val="16"/>
        </w:rPr>
        <w:t> </w:t>
      </w:r>
      <w:r>
        <w:rPr>
          <w:color w:val="231F20"/>
        </w:rPr>
        <w:t>this</w:t>
      </w:r>
      <w:r>
        <w:rPr>
          <w:color w:val="231F20"/>
          <w:spacing w:val="16"/>
        </w:rPr>
        <w:t> </w:t>
      </w:r>
      <w:r>
        <w:rPr>
          <w:color w:val="231F20"/>
        </w:rPr>
        <w:t>feature,</w:t>
      </w:r>
      <w:r>
        <w:rPr>
          <w:color w:val="231F20"/>
          <w:spacing w:val="16"/>
        </w:rPr>
        <w:t> </w:t>
      </w:r>
      <w:r>
        <w:rPr>
          <w:color w:val="231F20"/>
        </w:rPr>
        <w:t>your</w:t>
      </w:r>
      <w:r>
        <w:rPr>
          <w:color w:val="231F20"/>
          <w:spacing w:val="16"/>
        </w:rPr>
        <w:t> </w:t>
      </w:r>
      <w:r>
        <w:rPr>
          <w:color w:val="231F20"/>
        </w:rPr>
        <w:t>user</w:t>
      </w:r>
      <w:r>
        <w:rPr>
          <w:color w:val="231F20"/>
          <w:spacing w:val="16"/>
        </w:rPr>
        <w:t> </w:t>
      </w:r>
      <w:r>
        <w:rPr>
          <w:color w:val="231F20"/>
        </w:rPr>
        <w:t>ID</w:t>
      </w:r>
      <w:r>
        <w:rPr>
          <w:color w:val="231F20"/>
          <w:spacing w:val="16"/>
        </w:rPr>
        <w:t> </w:t>
      </w:r>
      <w:r>
        <w:rPr>
          <w:color w:val="231F20"/>
        </w:rPr>
        <w:t>must</w:t>
      </w:r>
      <w:r>
        <w:rPr>
          <w:color w:val="231F20"/>
          <w:spacing w:val="16"/>
        </w:rPr>
        <w:t> </w:t>
      </w:r>
      <w:r>
        <w:rPr>
          <w:color w:val="231F20"/>
        </w:rPr>
        <w:t>have</w:t>
      </w:r>
      <w:r>
        <w:rPr>
          <w:color w:val="231F20"/>
          <w:spacing w:val="16"/>
        </w:rPr>
        <w:t> </w:t>
      </w:r>
      <w:r>
        <w:rPr>
          <w:color w:val="231F20"/>
        </w:rPr>
        <w:t>Modify</w:t>
      </w:r>
      <w:r>
        <w:rPr>
          <w:color w:val="231F20"/>
          <w:spacing w:val="16"/>
        </w:rPr>
        <w:t> </w:t>
      </w:r>
      <w:r>
        <w:rPr>
          <w:color w:val="231F20"/>
        </w:rPr>
        <w:t>permission</w:t>
      </w:r>
      <w:r>
        <w:rPr>
          <w:color w:val="231F20"/>
          <w:spacing w:val="16"/>
        </w:rPr>
        <w:t> </w:t>
      </w:r>
      <w:r>
        <w:rPr>
          <w:color w:val="231F20"/>
        </w:rPr>
        <w:t>for</w:t>
      </w:r>
      <w:r>
        <w:rPr>
          <w:color w:val="231F20"/>
          <w:spacing w:val="16"/>
        </w:rPr>
        <w:t> </w:t>
      </w:r>
      <w:r>
        <w:rPr>
          <w:color w:val="231F20"/>
        </w:rPr>
        <w:t>Situations.</w:t>
      </w:r>
    </w:p>
    <w:p>
      <w:pPr>
        <w:spacing w:after="0"/>
        <w:sectPr>
          <w:pgSz w:w="12240" w:h="15840"/>
          <w:pgMar w:header="0" w:footer="736" w:top="1180" w:bottom="920" w:left="1000" w:right="1060"/>
        </w:sectPr>
      </w:pPr>
    </w:p>
    <w:p>
      <w:pPr>
        <w:pStyle w:val="Heading4"/>
        <w:spacing w:before="86"/>
      </w:pPr>
      <w:r>
        <w:rPr>
          <w:color w:val="231F20"/>
          <w:spacing w:val="-2"/>
        </w:rPr>
        <w:t>Procedure</w:t>
      </w:r>
    </w:p>
    <w:p>
      <w:pPr>
        <w:pStyle w:val="ListParagraph"/>
        <w:numPr>
          <w:ilvl w:val="0"/>
          <w:numId w:val="124"/>
        </w:numPr>
        <w:tabs>
          <w:tab w:pos="2547" w:val="left" w:leader="none"/>
        </w:tabs>
        <w:spacing w:line="240" w:lineRule="auto" w:before="39" w:after="0"/>
        <w:ind w:left="2547" w:right="0" w:hanging="315"/>
        <w:jc w:val="left"/>
        <w:rPr>
          <w:sz w:val="20"/>
        </w:rPr>
      </w:pPr>
      <w:r>
        <w:rPr>
          <w:color w:val="231F20"/>
          <w:sz w:val="20"/>
        </w:rPr>
        <w:t>Depending</w:t>
      </w:r>
      <w:r>
        <w:rPr>
          <w:color w:val="231F20"/>
          <w:spacing w:val="11"/>
          <w:sz w:val="20"/>
        </w:rPr>
        <w:t> </w:t>
      </w:r>
      <w:r>
        <w:rPr>
          <w:color w:val="231F20"/>
          <w:sz w:val="20"/>
        </w:rPr>
        <w:t>on</w:t>
      </w:r>
      <w:r>
        <w:rPr>
          <w:color w:val="231F20"/>
          <w:spacing w:val="12"/>
          <w:sz w:val="20"/>
        </w:rPr>
        <w:t> </w:t>
      </w:r>
      <w:r>
        <w:rPr>
          <w:color w:val="231F20"/>
          <w:sz w:val="20"/>
        </w:rPr>
        <w:t>your</w:t>
      </w:r>
      <w:r>
        <w:rPr>
          <w:color w:val="231F20"/>
          <w:spacing w:val="12"/>
          <w:sz w:val="20"/>
        </w:rPr>
        <w:t> </w:t>
      </w:r>
      <w:r>
        <w:rPr>
          <w:color w:val="231F20"/>
          <w:sz w:val="20"/>
        </w:rPr>
        <w:t>location,</w:t>
      </w:r>
      <w:r>
        <w:rPr>
          <w:color w:val="231F20"/>
          <w:spacing w:val="12"/>
          <w:sz w:val="20"/>
        </w:rPr>
        <w:t> </w:t>
      </w:r>
      <w:r>
        <w:rPr>
          <w:color w:val="231F20"/>
          <w:sz w:val="20"/>
        </w:rPr>
        <w:t>do</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pacing w:val="-2"/>
          <w:sz w:val="20"/>
        </w:rPr>
        <w:t>following:</w:t>
      </w:r>
    </w:p>
    <w:p>
      <w:pPr>
        <w:pStyle w:val="BodyText"/>
        <w:spacing w:before="2"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z w:val="18"/>
              </w:rPr>
              <w:t>Origination</w:t>
            </w:r>
            <w:r>
              <w:rPr>
                <w:rFonts w:ascii="Book Antiqua"/>
                <w:b/>
                <w:color w:val="231F20"/>
                <w:spacing w:val="4"/>
                <w:sz w:val="18"/>
              </w:rPr>
              <w:t> </w:t>
            </w:r>
            <w:r>
              <w:rPr>
                <w:rFonts w:ascii="Book Antiqua"/>
                <w:b/>
                <w:color w:val="231F20"/>
                <w:spacing w:val="-2"/>
                <w:sz w:val="18"/>
              </w:rPr>
              <w:t>point</w:t>
            </w:r>
          </w:p>
        </w:tc>
        <w:tc>
          <w:tcPr>
            <w:tcW w:w="3767" w:type="dxa"/>
          </w:tcPr>
          <w:p>
            <w:pPr>
              <w:pStyle w:val="TableParagraph"/>
              <w:spacing w:before="10"/>
              <w:rPr>
                <w:rFonts w:ascii="Book Antiqua"/>
                <w:b/>
                <w:sz w:val="18"/>
              </w:rPr>
            </w:pPr>
            <w:r>
              <w:rPr>
                <w:rFonts w:ascii="Book Antiqua"/>
                <w:b/>
                <w:color w:val="231F20"/>
                <w:spacing w:val="-2"/>
                <w:sz w:val="18"/>
              </w:rPr>
              <w:t>Action</w:t>
            </w:r>
          </w:p>
        </w:tc>
      </w:tr>
      <w:tr>
        <w:trPr>
          <w:trHeight w:val="748" w:hRule="atLeast"/>
        </w:trPr>
        <w:tc>
          <w:tcPr>
            <w:tcW w:w="3767" w:type="dxa"/>
          </w:tcPr>
          <w:p>
            <w:pPr>
              <w:pStyle w:val="TableParagraph"/>
              <w:spacing w:before="45"/>
              <w:ind w:left="44"/>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z w:val="18"/>
              </w:rPr>
              <w:t>event</w:t>
            </w:r>
            <w:r>
              <w:rPr>
                <w:rFonts w:ascii="Book Antiqua"/>
                <w:b/>
                <w:color w:val="231F20"/>
                <w:spacing w:val="8"/>
                <w:sz w:val="18"/>
              </w:rPr>
              <w:t> </w:t>
            </w:r>
            <w:r>
              <w:rPr>
                <w:rFonts w:ascii="Book Antiqua"/>
                <w:b/>
                <w:color w:val="231F20"/>
                <w:sz w:val="18"/>
              </w:rPr>
              <w:t>flyover</w:t>
            </w:r>
            <w:r>
              <w:rPr>
                <w:rFonts w:ascii="Book Antiqua"/>
                <w:b/>
                <w:color w:val="231F20"/>
                <w:spacing w:val="8"/>
                <w:sz w:val="18"/>
              </w:rPr>
              <w:t> </w:t>
            </w:r>
            <w:r>
              <w:rPr>
                <w:rFonts w:ascii="Book Antiqua"/>
                <w:b/>
                <w:color w:val="231F20"/>
                <w:spacing w:val="-4"/>
                <w:sz w:val="18"/>
              </w:rPr>
              <w:t>list</w:t>
            </w:r>
          </w:p>
        </w:tc>
        <w:tc>
          <w:tcPr>
            <w:tcW w:w="3767" w:type="dxa"/>
          </w:tcPr>
          <w:p>
            <w:pPr>
              <w:pStyle w:val="TableParagraph"/>
              <w:spacing w:line="216" w:lineRule="auto" w:before="44"/>
              <w:ind w:right="188"/>
              <w:rPr>
                <w:sz w:val="18"/>
              </w:rPr>
            </w:pPr>
            <w:r>
              <w:rPr>
                <w:color w:val="231F20"/>
                <w:sz w:val="18"/>
              </w:rPr>
              <w:t>Point to an event indicator in the </w:t>
            </w:r>
            <w:r>
              <w:rPr>
                <w:color w:val="231F20"/>
                <w:sz w:val="18"/>
              </w:rPr>
              <w:t>Navigator to open the event flyover list, then</w:t>
            </w:r>
          </w:p>
          <w:p>
            <w:pPr>
              <w:pStyle w:val="TableParagraph"/>
              <w:spacing w:line="226" w:lineRule="exact" w:before="0"/>
              <w:rPr>
                <w:sz w:val="18"/>
              </w:rPr>
            </w:pPr>
            <w:r>
              <w:rPr>
                <w:color w:val="231F20"/>
                <w:sz w:val="18"/>
              </w:rPr>
              <w:t>right-click</w:t>
            </w:r>
            <w:r>
              <w:rPr>
                <w:color w:val="231F20"/>
                <w:spacing w:val="8"/>
                <w:sz w:val="18"/>
              </w:rPr>
              <w:t> </w:t>
            </w:r>
            <w:r>
              <w:rPr>
                <w:color w:val="231F20"/>
                <w:sz w:val="18"/>
              </w:rPr>
              <w:t>the</w:t>
            </w:r>
            <w:r>
              <w:rPr>
                <w:color w:val="231F20"/>
                <w:spacing w:val="8"/>
                <w:sz w:val="18"/>
              </w:rPr>
              <w:t> </w:t>
            </w:r>
            <w:r>
              <w:rPr>
                <w:color w:val="231F20"/>
                <w:sz w:val="18"/>
              </w:rPr>
              <w:t>situation</w:t>
            </w:r>
            <w:r>
              <w:rPr>
                <w:color w:val="231F20"/>
                <w:spacing w:val="8"/>
                <w:sz w:val="18"/>
              </w:rPr>
              <w:t> </w:t>
            </w:r>
            <w:r>
              <w:rPr>
                <w:color w:val="231F20"/>
                <w:spacing w:val="-4"/>
                <w:sz w:val="18"/>
              </w:rPr>
              <w:t>name.</w:t>
            </w:r>
          </w:p>
        </w:tc>
      </w:tr>
      <w:tr>
        <w:trPr>
          <w:trHeight w:val="1406" w:hRule="atLeast"/>
        </w:trPr>
        <w:tc>
          <w:tcPr>
            <w:tcW w:w="3767" w:type="dxa"/>
          </w:tcPr>
          <w:p>
            <w:pPr>
              <w:pStyle w:val="TableParagraph"/>
              <w:spacing w:before="45"/>
              <w:ind w:left="44"/>
              <w:rPr>
                <w:rFonts w:ascii="Book Antiqua"/>
                <w:b/>
                <w:sz w:val="18"/>
              </w:rPr>
            </w:pPr>
            <w:r>
              <w:rPr>
                <w:rFonts w:ascii="Book Antiqua"/>
                <w:b/>
                <w:color w:val="231F20"/>
                <w:sz w:val="18"/>
              </w:rPr>
              <w:t>Manage</w:t>
            </w:r>
            <w:r>
              <w:rPr>
                <w:rFonts w:ascii="Book Antiqua"/>
                <w:b/>
                <w:color w:val="231F20"/>
                <w:spacing w:val="7"/>
                <w:sz w:val="18"/>
              </w:rPr>
              <w:t> </w:t>
            </w:r>
            <w:r>
              <w:rPr>
                <w:rFonts w:ascii="Book Antiqua"/>
                <w:b/>
                <w:color w:val="231F20"/>
                <w:sz w:val="18"/>
              </w:rPr>
              <w:t>Situations</w:t>
            </w:r>
            <w:r>
              <w:rPr>
                <w:rFonts w:ascii="Book Antiqua"/>
                <w:b/>
                <w:color w:val="231F20"/>
                <w:spacing w:val="8"/>
                <w:sz w:val="18"/>
              </w:rPr>
              <w:t> </w:t>
            </w:r>
            <w:r>
              <w:rPr>
                <w:rFonts w:ascii="Book Antiqua"/>
                <w:b/>
                <w:color w:val="231F20"/>
                <w:sz w:val="18"/>
              </w:rPr>
              <w:t>at</w:t>
            </w:r>
            <w:r>
              <w:rPr>
                <w:rFonts w:ascii="Book Antiqua"/>
                <w:b/>
                <w:color w:val="231F20"/>
                <w:spacing w:val="8"/>
                <w:sz w:val="18"/>
              </w:rPr>
              <w:t> </w:t>
            </w:r>
            <w:r>
              <w:rPr>
                <w:rFonts w:ascii="Book Antiqua"/>
                <w:b/>
                <w:color w:val="231F20"/>
                <w:sz w:val="18"/>
              </w:rPr>
              <w:t>Managed</w:t>
            </w:r>
            <w:r>
              <w:rPr>
                <w:rFonts w:ascii="Book Antiqua"/>
                <w:b/>
                <w:color w:val="231F20"/>
                <w:spacing w:val="8"/>
                <w:sz w:val="18"/>
              </w:rPr>
              <w:t> </w:t>
            </w:r>
            <w:r>
              <w:rPr>
                <w:rFonts w:ascii="Book Antiqua"/>
                <w:b/>
                <w:color w:val="231F20"/>
                <w:spacing w:val="-2"/>
                <w:sz w:val="18"/>
              </w:rPr>
              <w:t>System</w:t>
            </w:r>
          </w:p>
        </w:tc>
        <w:tc>
          <w:tcPr>
            <w:tcW w:w="3767" w:type="dxa"/>
          </w:tcPr>
          <w:p>
            <w:pPr>
              <w:pStyle w:val="TableParagraph"/>
              <w:spacing w:line="216" w:lineRule="auto" w:before="44"/>
              <w:ind w:right="202"/>
              <w:rPr>
                <w:sz w:val="18"/>
              </w:rPr>
            </w:pPr>
            <w:r>
              <w:rPr>
                <w:color w:val="231F20"/>
                <w:sz w:val="18"/>
              </w:rPr>
              <w:t>In the Navigator Physical view, right-click the </w:t>
            </w:r>
            <w:r>
              <w:rPr>
                <w:color w:val="231F20"/>
                <w:spacing w:val="14"/>
                <w:position w:val="-3"/>
                <w:sz w:val="18"/>
              </w:rPr>
              <w:drawing>
                <wp:inline distT="0" distB="0" distL="0" distR="0">
                  <wp:extent cx="95250" cy="101600"/>
                  <wp:effectExtent l="0" t="0" r="0" b="0"/>
                  <wp:docPr id="2358" name="Image 2358"/>
                  <wp:cNvGraphicFramePr>
                    <a:graphicFrameLocks/>
                  </wp:cNvGraphicFramePr>
                  <a:graphic>
                    <a:graphicData uri="http://schemas.openxmlformats.org/drawingml/2006/picture">
                      <pic:pic>
                        <pic:nvPicPr>
                          <pic:cNvPr id="2358" name="Image 235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4"/>
                <w:position w:val="-3"/>
                <w:sz w:val="18"/>
              </w:rPr>
            </w:r>
            <w:r>
              <w:rPr>
                <w:rFonts w:ascii="Times New Roman"/>
                <w:color w:val="231F20"/>
                <w:spacing w:val="40"/>
                <w:sz w:val="18"/>
              </w:rPr>
              <w:t> </w:t>
            </w:r>
            <w:r>
              <w:rPr>
                <w:color w:val="231F20"/>
                <w:sz w:val="18"/>
              </w:rPr>
              <w:t>enterprise item or an </w:t>
            </w:r>
            <w:r>
              <w:rPr>
                <w:color w:val="231F20"/>
                <w:spacing w:val="-21"/>
                <w:position w:val="-3"/>
                <w:sz w:val="18"/>
              </w:rPr>
              <w:drawing>
                <wp:inline distT="0" distB="0" distL="0" distR="0">
                  <wp:extent cx="95250" cy="95250"/>
                  <wp:effectExtent l="0" t="0" r="0" b="0"/>
                  <wp:docPr id="2359" name="Image 2359"/>
                  <wp:cNvGraphicFramePr>
                    <a:graphicFrameLocks/>
                  </wp:cNvGraphicFramePr>
                  <a:graphic>
                    <a:graphicData uri="http://schemas.openxmlformats.org/drawingml/2006/picture">
                      <pic:pic>
                        <pic:nvPicPr>
                          <pic:cNvPr id="2359" name="Image 235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color w:val="231F20"/>
                <w:sz w:val="18"/>
              </w:rPr>
              <w:t>agent item and click </w:t>
            </w:r>
            <w:r>
              <w:rPr>
                <w:color w:val="231F20"/>
                <w:spacing w:val="14"/>
                <w:position w:val="-3"/>
                <w:sz w:val="18"/>
              </w:rPr>
              <w:drawing>
                <wp:inline distT="0" distB="0" distL="0" distR="0">
                  <wp:extent cx="101600" cy="101600"/>
                  <wp:effectExtent l="0" t="0" r="0" b="0"/>
                  <wp:docPr id="2360" name="Image 2360"/>
                  <wp:cNvGraphicFramePr>
                    <a:graphicFrameLocks/>
                  </wp:cNvGraphicFramePr>
                  <a:graphic>
                    <a:graphicData uri="http://schemas.openxmlformats.org/drawingml/2006/picture">
                      <pic:pic>
                        <pic:nvPicPr>
                          <pic:cNvPr id="2360" name="Image 2360"/>
                          <pic:cNvPicPr/>
                        </pic:nvPicPr>
                        <pic:blipFill>
                          <a:blip r:embed="rId387" cstate="print"/>
                          <a:stretch>
                            <a:fillRect/>
                          </a:stretch>
                        </pic:blipFill>
                        <pic:spPr>
                          <a:xfrm>
                            <a:off x="0" y="0"/>
                            <a:ext cx="101600" cy="101600"/>
                          </a:xfrm>
                          <a:prstGeom prst="rect">
                            <a:avLst/>
                          </a:prstGeom>
                        </pic:spPr>
                      </pic:pic>
                    </a:graphicData>
                  </a:graphic>
                </wp:inline>
              </w:drawing>
            </w:r>
            <w:r>
              <w:rPr>
                <w:color w:val="231F20"/>
                <w:spacing w:val="14"/>
                <w:position w:val="-3"/>
                <w:sz w:val="18"/>
              </w:rPr>
            </w:r>
            <w:r>
              <w:rPr>
                <w:rFonts w:ascii="Times New Roman"/>
                <w:color w:val="231F20"/>
                <w:spacing w:val="14"/>
                <w:sz w:val="18"/>
              </w:rPr>
              <w:t> </w:t>
            </w:r>
            <w:r>
              <w:rPr>
                <w:rFonts w:ascii="Book Antiqua"/>
                <w:b/>
                <w:color w:val="231F20"/>
                <w:sz w:val="18"/>
              </w:rPr>
              <w:t>Manage Situations</w:t>
            </w:r>
            <w:r>
              <w:rPr>
                <w:color w:val="231F20"/>
                <w:sz w:val="18"/>
              </w:rPr>
              <w:t>. Then, in the Manage Situations at Managed System window, select the situation that you </w:t>
            </w:r>
            <w:r>
              <w:rPr>
                <w:color w:val="231F20"/>
                <w:sz w:val="18"/>
              </w:rPr>
              <w:t>want to start or stop.</w:t>
            </w:r>
          </w:p>
        </w:tc>
      </w:tr>
      <w:tr>
        <w:trPr>
          <w:trHeight w:val="967" w:hRule="atLeast"/>
        </w:trPr>
        <w:tc>
          <w:tcPr>
            <w:tcW w:w="3767" w:type="dxa"/>
          </w:tcPr>
          <w:p>
            <w:pPr>
              <w:pStyle w:val="TableParagraph"/>
              <w:spacing w:before="45"/>
              <w:ind w:left="44"/>
              <w:rPr>
                <w:rFonts w:ascii="Book Antiqua"/>
                <w:b/>
                <w:sz w:val="18"/>
              </w:rPr>
            </w:pPr>
            <w:r>
              <w:rPr>
                <w:rFonts w:ascii="Book Antiqua"/>
                <w:b/>
                <w:color w:val="231F20"/>
                <w:sz w:val="18"/>
              </w:rPr>
              <w:t>Situation</w:t>
            </w:r>
            <w:r>
              <w:rPr>
                <w:rFonts w:ascii="Book Antiqua"/>
                <w:b/>
                <w:color w:val="231F20"/>
                <w:spacing w:val="7"/>
                <w:sz w:val="18"/>
              </w:rPr>
              <w:t> </w:t>
            </w:r>
            <w:r>
              <w:rPr>
                <w:rFonts w:ascii="Book Antiqua"/>
                <w:b/>
                <w:color w:val="231F20"/>
                <w:sz w:val="18"/>
              </w:rPr>
              <w:t>event</w:t>
            </w:r>
            <w:r>
              <w:rPr>
                <w:rFonts w:ascii="Book Antiqua"/>
                <w:b/>
                <w:color w:val="231F20"/>
                <w:spacing w:val="8"/>
                <w:sz w:val="18"/>
              </w:rPr>
              <w:t> </w:t>
            </w:r>
            <w:r>
              <w:rPr>
                <w:rFonts w:ascii="Book Antiqua"/>
                <w:b/>
                <w:color w:val="231F20"/>
                <w:sz w:val="18"/>
              </w:rPr>
              <w:t>console</w:t>
            </w:r>
            <w:r>
              <w:rPr>
                <w:rFonts w:ascii="Book Antiqua"/>
                <w:b/>
                <w:color w:val="231F20"/>
                <w:spacing w:val="8"/>
                <w:sz w:val="18"/>
              </w:rPr>
              <w:t> </w:t>
            </w:r>
            <w:r>
              <w:rPr>
                <w:rFonts w:ascii="Book Antiqua"/>
                <w:b/>
                <w:color w:val="231F20"/>
                <w:spacing w:val="-4"/>
                <w:sz w:val="18"/>
              </w:rPr>
              <w:t>view</w:t>
            </w:r>
          </w:p>
        </w:tc>
        <w:tc>
          <w:tcPr>
            <w:tcW w:w="3767" w:type="dxa"/>
          </w:tcPr>
          <w:p>
            <w:pPr>
              <w:pStyle w:val="TableParagraph"/>
              <w:spacing w:line="231" w:lineRule="exact"/>
              <w:rPr>
                <w:sz w:val="18"/>
              </w:rPr>
            </w:pPr>
            <w:r>
              <w:rPr>
                <w:color w:val="231F20"/>
                <w:sz w:val="18"/>
              </w:rPr>
              <w:t>Open</w:t>
            </w:r>
            <w:r>
              <w:rPr>
                <w:color w:val="231F20"/>
                <w:spacing w:val="9"/>
                <w:sz w:val="18"/>
              </w:rPr>
              <w:t> </w:t>
            </w:r>
            <w:r>
              <w:rPr>
                <w:color w:val="231F20"/>
                <w:sz w:val="18"/>
              </w:rPr>
              <w:t>or</w:t>
            </w:r>
            <w:r>
              <w:rPr>
                <w:color w:val="231F20"/>
                <w:spacing w:val="9"/>
                <w:sz w:val="18"/>
              </w:rPr>
              <w:t> </w:t>
            </w:r>
            <w:r>
              <w:rPr>
                <w:color w:val="231F20"/>
                <w:sz w:val="18"/>
              </w:rPr>
              <w:t>create</w:t>
            </w:r>
            <w:r>
              <w:rPr>
                <w:color w:val="231F20"/>
                <w:spacing w:val="10"/>
                <w:sz w:val="18"/>
              </w:rPr>
              <w:t> </w:t>
            </w:r>
            <w:r>
              <w:rPr>
                <w:color w:val="231F20"/>
                <w:sz w:val="18"/>
              </w:rPr>
              <w:t>a</w:t>
            </w:r>
            <w:r>
              <w:rPr>
                <w:color w:val="231F20"/>
                <w:spacing w:val="9"/>
                <w:sz w:val="18"/>
              </w:rPr>
              <w:t> </w:t>
            </w:r>
            <w:r>
              <w:rPr>
                <w:color w:val="231F20"/>
                <w:sz w:val="18"/>
              </w:rPr>
              <w:t>workspace</w:t>
            </w:r>
            <w:r>
              <w:rPr>
                <w:color w:val="231F20"/>
                <w:spacing w:val="9"/>
                <w:sz w:val="18"/>
              </w:rPr>
              <w:t> </w:t>
            </w:r>
            <w:r>
              <w:rPr>
                <w:color w:val="231F20"/>
                <w:sz w:val="18"/>
              </w:rPr>
              <w:t>with</w:t>
            </w:r>
            <w:r>
              <w:rPr>
                <w:color w:val="231F20"/>
                <w:spacing w:val="10"/>
                <w:sz w:val="18"/>
              </w:rPr>
              <w:t> </w:t>
            </w:r>
            <w:r>
              <w:rPr>
                <w:color w:val="231F20"/>
                <w:spacing w:val="-5"/>
                <w:sz w:val="18"/>
              </w:rPr>
              <w:t>the</w:t>
            </w:r>
          </w:p>
          <w:p>
            <w:pPr>
              <w:pStyle w:val="TableParagraph"/>
              <w:spacing w:line="219" w:lineRule="exact" w:before="0"/>
              <w:ind w:left="69"/>
              <w:rPr>
                <w:sz w:val="18"/>
              </w:rPr>
            </w:pPr>
            <w:r>
              <w:rPr>
                <w:position w:val="-3"/>
              </w:rPr>
              <w:drawing>
                <wp:inline distT="0" distB="0" distL="0" distR="0">
                  <wp:extent cx="95250" cy="95250"/>
                  <wp:effectExtent l="0" t="0" r="0" b="0"/>
                  <wp:docPr id="2361" name="Image 2361"/>
                  <wp:cNvGraphicFramePr>
                    <a:graphicFrameLocks/>
                  </wp:cNvGraphicFramePr>
                  <a:graphic>
                    <a:graphicData uri="http://schemas.openxmlformats.org/drawingml/2006/picture">
                      <pic:pic>
                        <pic:nvPicPr>
                          <pic:cNvPr id="2361" name="Image 2361"/>
                          <pic:cNvPicPr/>
                        </pic:nvPicPr>
                        <pic:blipFill>
                          <a:blip r:embed="rId5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12"/>
                <w:sz w:val="20"/>
              </w:rPr>
              <w:t> </w:t>
            </w:r>
            <w:r>
              <w:rPr>
                <w:rFonts w:ascii="Book Antiqua"/>
                <w:b/>
                <w:color w:val="231F20"/>
                <w:sz w:val="18"/>
              </w:rPr>
              <w:t>Situation</w:t>
            </w:r>
            <w:r>
              <w:rPr>
                <w:rFonts w:ascii="Book Antiqua"/>
                <w:b/>
                <w:color w:val="231F20"/>
                <w:spacing w:val="6"/>
                <w:sz w:val="18"/>
              </w:rPr>
              <w:t> </w:t>
            </w:r>
            <w:r>
              <w:rPr>
                <w:rFonts w:ascii="Book Antiqua"/>
                <w:b/>
                <w:color w:val="231F20"/>
                <w:sz w:val="18"/>
              </w:rPr>
              <w:t>Event</w:t>
            </w:r>
            <w:r>
              <w:rPr>
                <w:rFonts w:ascii="Book Antiqua"/>
                <w:b/>
                <w:color w:val="231F20"/>
                <w:spacing w:val="6"/>
                <w:sz w:val="18"/>
              </w:rPr>
              <w:t> </w:t>
            </w:r>
            <w:r>
              <w:rPr>
                <w:rFonts w:ascii="Book Antiqua"/>
                <w:b/>
                <w:color w:val="231F20"/>
                <w:sz w:val="18"/>
              </w:rPr>
              <w:t>Console</w:t>
            </w:r>
            <w:r>
              <w:rPr>
                <w:rFonts w:ascii="Book Antiqua"/>
                <w:b/>
                <w:color w:val="231F20"/>
                <w:spacing w:val="6"/>
                <w:sz w:val="18"/>
              </w:rPr>
              <w:t> </w:t>
            </w:r>
            <w:r>
              <w:rPr>
                <w:color w:val="231F20"/>
                <w:sz w:val="18"/>
              </w:rPr>
              <w:t>view,</w:t>
            </w:r>
            <w:r>
              <w:rPr>
                <w:color w:val="231F20"/>
                <w:spacing w:val="6"/>
                <w:sz w:val="18"/>
              </w:rPr>
              <w:t> </w:t>
            </w:r>
            <w:r>
              <w:rPr>
                <w:color w:val="231F20"/>
                <w:sz w:val="18"/>
              </w:rPr>
              <w:t>then</w:t>
            </w:r>
          </w:p>
          <w:p>
            <w:pPr>
              <w:pStyle w:val="TableParagraph"/>
              <w:spacing w:line="216" w:lineRule="auto" w:before="7"/>
              <w:ind w:right="129"/>
              <w:rPr>
                <w:sz w:val="18"/>
              </w:rPr>
            </w:pPr>
            <w:r>
              <w:rPr>
                <w:color w:val="231F20"/>
                <w:sz w:val="18"/>
              </w:rPr>
              <w:t>right-click the row of the situation you </w:t>
            </w:r>
            <w:r>
              <w:rPr>
                <w:color w:val="231F20"/>
                <w:sz w:val="18"/>
              </w:rPr>
              <w:t>want to start or stop.</w:t>
            </w:r>
          </w:p>
        </w:tc>
      </w:tr>
      <w:tr>
        <w:trPr>
          <w:trHeight w:val="5183" w:hRule="atLeast"/>
        </w:trPr>
        <w:tc>
          <w:tcPr>
            <w:tcW w:w="3767" w:type="dxa"/>
          </w:tcPr>
          <w:p>
            <w:pPr>
              <w:pStyle w:val="TableParagraph"/>
              <w:spacing w:before="45"/>
              <w:ind w:left="44"/>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pacing w:val="-2"/>
                <w:sz w:val="18"/>
              </w:rPr>
              <w:t>editor</w:t>
            </w:r>
          </w:p>
        </w:tc>
        <w:tc>
          <w:tcPr>
            <w:tcW w:w="3767" w:type="dxa"/>
          </w:tcPr>
          <w:p>
            <w:pPr>
              <w:pStyle w:val="TableParagraph"/>
              <w:spacing w:line="216" w:lineRule="auto" w:before="44"/>
              <w:ind w:right="424"/>
              <w:rPr>
                <w:sz w:val="18"/>
              </w:rPr>
            </w:pPr>
            <w:r>
              <w:rPr>
                <w:color w:val="231F20"/>
                <w:sz w:val="18"/>
              </w:rPr>
              <w:t>Do one of the following to open </w:t>
            </w:r>
            <w:r>
              <w:rPr>
                <w:color w:val="231F20"/>
                <w:sz w:val="18"/>
              </w:rPr>
              <w:t>the Situation editor:</w:t>
            </w:r>
          </w:p>
          <w:p>
            <w:pPr>
              <w:pStyle w:val="TableParagraph"/>
              <w:spacing w:line="216" w:lineRule="auto" w:before="62"/>
              <w:ind w:left="253" w:right="188" w:hanging="195"/>
              <w:rPr>
                <w:sz w:val="18"/>
              </w:rPr>
            </w:pPr>
            <w:r>
              <w:rPr>
                <w:rFonts w:ascii="Futura MdCn BT"/>
                <w:color w:val="231F20"/>
                <w:sz w:val="18"/>
              </w:rPr>
              <w:t>v</w:t>
            </w:r>
            <w:r>
              <w:rPr>
                <w:rFonts w:ascii="Futura MdCn BT"/>
                <w:color w:val="231F20"/>
                <w:spacing w:val="80"/>
                <w:sz w:val="18"/>
              </w:rPr>
              <w:t> </w:t>
            </w:r>
            <w:r>
              <w:rPr>
                <w:color w:val="231F20"/>
                <w:sz w:val="18"/>
              </w:rPr>
              <w:t>Right-click a Navigator item and click</w:t>
            </w:r>
            <w:r>
              <w:rPr>
                <w:color w:val="231F20"/>
                <w:spacing w:val="-1"/>
                <w:sz w:val="18"/>
              </w:rPr>
              <w:t> </w:t>
            </w:r>
            <w:r>
              <w:rPr>
                <w:color w:val="231F20"/>
                <w:spacing w:val="13"/>
                <w:position w:val="-3"/>
                <w:sz w:val="18"/>
              </w:rPr>
              <w:drawing>
                <wp:inline distT="0" distB="0" distL="0" distR="0">
                  <wp:extent cx="101600" cy="95250"/>
                  <wp:effectExtent l="0" t="0" r="0" b="0"/>
                  <wp:docPr id="2362" name="Image 2362"/>
                  <wp:cNvGraphicFramePr>
                    <a:graphicFrameLocks/>
                  </wp:cNvGraphicFramePr>
                  <a:graphic>
                    <a:graphicData uri="http://schemas.openxmlformats.org/drawingml/2006/picture">
                      <pic:pic>
                        <pic:nvPicPr>
                          <pic:cNvPr id="2362" name="Image 236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3"/>
                <w:position w:val="-3"/>
                <w:sz w:val="18"/>
              </w:rPr>
            </w:r>
            <w:r>
              <w:rPr>
                <w:rFonts w:ascii="Times New Roman"/>
                <w:color w:val="231F20"/>
                <w:spacing w:val="13"/>
                <w:position w:val="-3"/>
                <w:sz w:val="18"/>
              </w:rPr>
              <w:t> </w:t>
            </w:r>
            <w:r>
              <w:rPr>
                <w:rFonts w:ascii="Book Antiqua"/>
                <w:b/>
                <w:color w:val="231F20"/>
                <w:sz w:val="18"/>
              </w:rPr>
              <w:t>Situations</w:t>
            </w:r>
            <w:r>
              <w:rPr>
                <w:color w:val="231F20"/>
                <w:sz w:val="18"/>
              </w:rPr>
              <w:t>. (See Note if you do not see this option.)</w:t>
            </w:r>
          </w:p>
          <w:p>
            <w:pPr>
              <w:pStyle w:val="TableParagraph"/>
              <w:spacing w:before="44"/>
              <w:rPr>
                <w:sz w:val="18"/>
              </w:rPr>
            </w:pPr>
            <w:r>
              <w:rPr>
                <w:rFonts w:ascii="Futura MdCn BT"/>
                <w:color w:val="231F20"/>
                <w:sz w:val="18"/>
              </w:rPr>
              <w:t>v</w:t>
            </w:r>
            <w:r>
              <w:rPr>
                <w:rFonts w:ascii="Futura MdCn BT"/>
                <w:color w:val="231F20"/>
                <w:spacing w:val="76"/>
                <w:w w:val="150"/>
                <w:sz w:val="18"/>
              </w:rPr>
              <w:t> </w:t>
            </w:r>
            <w:r>
              <w:rPr>
                <w:color w:val="231F20"/>
                <w:sz w:val="18"/>
              </w:rPr>
              <w:t>Click</w:t>
            </w:r>
            <w:r>
              <w:rPr>
                <w:color w:val="231F20"/>
                <w:spacing w:val="12"/>
                <w:sz w:val="18"/>
              </w:rPr>
              <w:t> </w:t>
            </w:r>
            <w:r>
              <w:rPr>
                <w:color w:val="231F20"/>
                <w:spacing w:val="14"/>
                <w:position w:val="-3"/>
                <w:sz w:val="18"/>
              </w:rPr>
              <w:drawing>
                <wp:inline distT="0" distB="0" distL="0" distR="0">
                  <wp:extent cx="101600" cy="95250"/>
                  <wp:effectExtent l="0" t="0" r="0" b="0"/>
                  <wp:docPr id="2363" name="Image 2363"/>
                  <wp:cNvGraphicFramePr>
                    <a:graphicFrameLocks/>
                  </wp:cNvGraphicFramePr>
                  <a:graphic>
                    <a:graphicData uri="http://schemas.openxmlformats.org/drawingml/2006/picture">
                      <pic:pic>
                        <pic:nvPicPr>
                          <pic:cNvPr id="2363" name="Image 2363"/>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4"/>
                <w:position w:val="-3"/>
                <w:sz w:val="18"/>
              </w:rPr>
            </w:r>
            <w:r>
              <w:rPr>
                <w:rFonts w:ascii="Times New Roman"/>
                <w:color w:val="231F20"/>
                <w:spacing w:val="42"/>
                <w:sz w:val="18"/>
              </w:rPr>
              <w:t> </w:t>
            </w:r>
            <w:r>
              <w:rPr>
                <w:rFonts w:ascii="Book Antiqua"/>
                <w:b/>
                <w:color w:val="231F20"/>
                <w:sz w:val="18"/>
              </w:rPr>
              <w:t>Situations</w:t>
            </w:r>
            <w:r>
              <w:rPr>
                <w:rFonts w:ascii="Book Antiqua"/>
                <w:b/>
                <w:color w:val="231F20"/>
                <w:spacing w:val="12"/>
                <w:sz w:val="18"/>
              </w:rPr>
              <w:t> </w:t>
            </w:r>
            <w:r>
              <w:rPr>
                <w:color w:val="231F20"/>
                <w:sz w:val="18"/>
              </w:rPr>
              <w:t>in</w:t>
            </w:r>
            <w:r>
              <w:rPr>
                <w:color w:val="231F20"/>
                <w:spacing w:val="12"/>
                <w:sz w:val="18"/>
              </w:rPr>
              <w:t> </w:t>
            </w:r>
            <w:r>
              <w:rPr>
                <w:color w:val="231F20"/>
                <w:sz w:val="18"/>
              </w:rPr>
              <w:t>the</w:t>
            </w:r>
            <w:r>
              <w:rPr>
                <w:color w:val="231F20"/>
                <w:spacing w:val="12"/>
                <w:sz w:val="18"/>
              </w:rPr>
              <w:t> </w:t>
            </w:r>
            <w:r>
              <w:rPr>
                <w:color w:val="231F20"/>
                <w:spacing w:val="-2"/>
                <w:sz w:val="18"/>
              </w:rPr>
              <w:t>toolbar.</w:t>
            </w:r>
          </w:p>
          <w:p>
            <w:pPr>
              <w:pStyle w:val="TableParagraph"/>
              <w:spacing w:line="216" w:lineRule="auto" w:before="55"/>
              <w:ind w:left="253" w:hanging="195"/>
              <w:rPr>
                <w:sz w:val="18"/>
              </w:rPr>
            </w:pPr>
            <w:r>
              <w:rPr>
                <w:rFonts w:ascii="Futura MdCn BT"/>
                <w:color w:val="231F20"/>
                <w:sz w:val="18"/>
              </w:rPr>
              <w:t>v</w:t>
            </w:r>
            <w:r>
              <w:rPr>
                <w:rFonts w:ascii="Futura MdCn BT"/>
                <w:color w:val="231F20"/>
                <w:spacing w:val="80"/>
                <w:sz w:val="18"/>
              </w:rPr>
              <w:t> </w:t>
            </w:r>
            <w:r>
              <w:rPr>
                <w:color w:val="231F20"/>
                <w:sz w:val="18"/>
              </w:rPr>
              <w:t>Right-click a situation in the event </w:t>
            </w:r>
            <w:r>
              <w:rPr>
                <w:color w:val="231F20"/>
                <w:sz w:val="18"/>
              </w:rPr>
              <w:t>flyover</w:t>
            </w:r>
            <w:r>
              <w:rPr>
                <w:color w:val="231F20"/>
                <w:sz w:val="18"/>
              </w:rPr>
              <w:t> list and click </w:t>
            </w:r>
            <w:r>
              <w:rPr>
                <w:color w:val="231F20"/>
                <w:spacing w:val="-21"/>
                <w:position w:val="-3"/>
                <w:sz w:val="18"/>
              </w:rPr>
              <w:drawing>
                <wp:inline distT="0" distB="0" distL="0" distR="0">
                  <wp:extent cx="95250" cy="101600"/>
                  <wp:effectExtent l="0" t="0" r="0" b="0"/>
                  <wp:docPr id="2364" name="Image 2364"/>
                  <wp:cNvGraphicFramePr>
                    <a:graphicFrameLocks/>
                  </wp:cNvGraphicFramePr>
                  <a:graphic>
                    <a:graphicData uri="http://schemas.openxmlformats.org/drawingml/2006/picture">
                      <pic:pic>
                        <pic:nvPicPr>
                          <pic:cNvPr id="2364" name="Image 2364"/>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rFonts w:ascii="Book Antiqua"/>
                <w:b/>
                <w:color w:val="231F20"/>
                <w:sz w:val="18"/>
              </w:rPr>
              <w:t>Edit Situation</w:t>
            </w:r>
            <w:r>
              <w:rPr>
                <w:color w:val="231F20"/>
                <w:sz w:val="18"/>
              </w:rPr>
              <w:t>.</w:t>
            </w:r>
          </w:p>
          <w:p>
            <w:pPr>
              <w:pStyle w:val="TableParagraph"/>
              <w:spacing w:line="216" w:lineRule="auto" w:before="62"/>
              <w:ind w:left="253" w:hanging="195"/>
              <w:rPr>
                <w:sz w:val="18"/>
              </w:rPr>
            </w:pPr>
            <w:r>
              <w:rPr>
                <w:rFonts w:ascii="Futura MdCn BT"/>
                <w:color w:val="231F20"/>
                <w:sz w:val="18"/>
              </w:rPr>
              <w:t>v</w:t>
            </w:r>
            <w:r>
              <w:rPr>
                <w:rFonts w:ascii="Futura MdCn BT"/>
                <w:color w:val="231F20"/>
                <w:spacing w:val="80"/>
                <w:sz w:val="18"/>
              </w:rPr>
              <w:t> </w:t>
            </w:r>
            <w:r>
              <w:rPr>
                <w:color w:val="231F20"/>
                <w:sz w:val="18"/>
              </w:rPr>
              <w:t>Right-click an event item in the </w:t>
            </w:r>
            <w:r>
              <w:rPr>
                <w:color w:val="231F20"/>
                <w:sz w:val="18"/>
              </w:rPr>
              <w:t>Navigator</w:t>
            </w:r>
            <w:r>
              <w:rPr>
                <w:color w:val="231F20"/>
                <w:sz w:val="18"/>
              </w:rPr>
              <w:t> and click </w:t>
            </w:r>
            <w:r>
              <w:rPr>
                <w:color w:val="231F20"/>
                <w:spacing w:val="-21"/>
                <w:position w:val="-3"/>
                <w:sz w:val="18"/>
              </w:rPr>
              <w:drawing>
                <wp:inline distT="0" distB="0" distL="0" distR="0">
                  <wp:extent cx="95250" cy="101600"/>
                  <wp:effectExtent l="0" t="0" r="0" b="0"/>
                  <wp:docPr id="2365" name="Image 2365"/>
                  <wp:cNvGraphicFramePr>
                    <a:graphicFrameLocks/>
                  </wp:cNvGraphicFramePr>
                  <a:graphic>
                    <a:graphicData uri="http://schemas.openxmlformats.org/drawingml/2006/picture">
                      <pic:pic>
                        <pic:nvPicPr>
                          <pic:cNvPr id="2365" name="Image 2365"/>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rFonts w:ascii="Book Antiqua"/>
                <w:b/>
                <w:color w:val="231F20"/>
                <w:sz w:val="18"/>
              </w:rPr>
              <w:t>Edit Situation</w:t>
            </w:r>
            <w:r>
              <w:rPr>
                <w:color w:val="231F20"/>
                <w:sz w:val="18"/>
              </w:rPr>
              <w:t>.</w:t>
            </w:r>
          </w:p>
          <w:p>
            <w:pPr>
              <w:pStyle w:val="TableParagraph"/>
              <w:spacing w:line="216" w:lineRule="auto" w:before="62"/>
              <w:ind w:left="253" w:hanging="195"/>
              <w:rPr>
                <w:sz w:val="18"/>
              </w:rPr>
            </w:pPr>
            <w:r>
              <w:rPr>
                <w:rFonts w:ascii="Futura MdCn BT"/>
                <w:color w:val="231F20"/>
                <w:sz w:val="18"/>
              </w:rPr>
              <w:t>v</w:t>
            </w:r>
            <w:r>
              <w:rPr>
                <w:rFonts w:ascii="Futura MdCn BT"/>
                <w:color w:val="231F20"/>
                <w:spacing w:val="80"/>
                <w:sz w:val="18"/>
              </w:rPr>
              <w:t> </w:t>
            </w:r>
            <w:r>
              <w:rPr>
                <w:color w:val="231F20"/>
                <w:sz w:val="18"/>
              </w:rPr>
              <w:t>Right-click an open event in the </w:t>
            </w:r>
            <w:r>
              <w:rPr>
                <w:color w:val="231F20"/>
                <w:sz w:val="18"/>
              </w:rPr>
              <w:t>situation</w:t>
            </w:r>
            <w:r>
              <w:rPr>
                <w:color w:val="231F20"/>
                <w:sz w:val="18"/>
              </w:rPr>
              <w:t> event console view and click </w:t>
            </w:r>
            <w:r>
              <w:rPr>
                <w:color w:val="231F20"/>
                <w:spacing w:val="-22"/>
                <w:position w:val="-3"/>
                <w:sz w:val="18"/>
              </w:rPr>
              <w:drawing>
                <wp:inline distT="0" distB="0" distL="0" distR="0">
                  <wp:extent cx="95250" cy="101600"/>
                  <wp:effectExtent l="0" t="0" r="0" b="0"/>
                  <wp:docPr id="2366" name="Image 2366"/>
                  <wp:cNvGraphicFramePr>
                    <a:graphicFrameLocks/>
                  </wp:cNvGraphicFramePr>
                  <a:graphic>
                    <a:graphicData uri="http://schemas.openxmlformats.org/drawingml/2006/picture">
                      <pic:pic>
                        <pic:nvPicPr>
                          <pic:cNvPr id="2366" name="Image 2366"/>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2"/>
                <w:position w:val="-3"/>
                <w:sz w:val="18"/>
              </w:rPr>
            </w:r>
            <w:r>
              <w:rPr>
                <w:rFonts w:ascii="Times New Roman"/>
                <w:color w:val="231F20"/>
                <w:spacing w:val="40"/>
                <w:sz w:val="18"/>
              </w:rPr>
              <w:t> </w:t>
            </w:r>
            <w:r>
              <w:rPr>
                <w:rFonts w:ascii="Book Antiqua"/>
                <w:b/>
                <w:color w:val="231F20"/>
                <w:sz w:val="18"/>
              </w:rPr>
              <w:t>Edit </w:t>
            </w:r>
            <w:r>
              <w:rPr>
                <w:rFonts w:ascii="Book Antiqua"/>
                <w:b/>
                <w:color w:val="231F20"/>
                <w:spacing w:val="-2"/>
                <w:sz w:val="18"/>
              </w:rPr>
              <w:t>Situation</w:t>
            </w:r>
            <w:r>
              <w:rPr>
                <w:color w:val="231F20"/>
                <w:spacing w:val="-2"/>
                <w:sz w:val="18"/>
              </w:rPr>
              <w:t>.</w:t>
            </w:r>
          </w:p>
          <w:p>
            <w:pPr>
              <w:pStyle w:val="TableParagraph"/>
              <w:spacing w:line="216" w:lineRule="auto" w:before="62"/>
              <w:ind w:left="253" w:hanging="195"/>
              <w:rPr>
                <w:sz w:val="18"/>
              </w:rPr>
            </w:pPr>
            <w:r>
              <w:rPr>
                <w:rFonts w:ascii="Futura MdCn BT"/>
                <w:color w:val="231F20"/>
                <w:sz w:val="18"/>
              </w:rPr>
              <w:t>v</w:t>
            </w:r>
            <w:r>
              <w:rPr>
                <w:rFonts w:ascii="Futura MdCn BT"/>
                <w:color w:val="231F20"/>
                <w:spacing w:val="80"/>
                <w:sz w:val="18"/>
              </w:rPr>
              <w:t> </w:t>
            </w:r>
            <w:r>
              <w:rPr>
                <w:color w:val="231F20"/>
                <w:sz w:val="18"/>
              </w:rPr>
              <w:t>Right-click the </w:t>
            </w:r>
            <w:r>
              <w:rPr>
                <w:color w:val="231F20"/>
                <w:spacing w:val="14"/>
                <w:position w:val="-3"/>
                <w:sz w:val="18"/>
              </w:rPr>
              <w:drawing>
                <wp:inline distT="0" distB="0" distL="0" distR="0">
                  <wp:extent cx="95250" cy="101600"/>
                  <wp:effectExtent l="0" t="0" r="0" b="0"/>
                  <wp:docPr id="2367" name="Image 2367"/>
                  <wp:cNvGraphicFramePr>
                    <a:graphicFrameLocks/>
                  </wp:cNvGraphicFramePr>
                  <a:graphic>
                    <a:graphicData uri="http://schemas.openxmlformats.org/drawingml/2006/picture">
                      <pic:pic>
                        <pic:nvPicPr>
                          <pic:cNvPr id="2367" name="Image 2367"/>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4"/>
                <w:position w:val="-3"/>
                <w:sz w:val="18"/>
              </w:rPr>
            </w:r>
            <w:r>
              <w:rPr>
                <w:rFonts w:ascii="Times New Roman"/>
                <w:color w:val="231F20"/>
                <w:spacing w:val="-2"/>
                <w:sz w:val="18"/>
              </w:rPr>
              <w:t> </w:t>
            </w:r>
            <w:r>
              <w:rPr>
                <w:color w:val="231F20"/>
                <w:sz w:val="18"/>
              </w:rPr>
              <w:t>enterprise item or an</w:t>
            </w:r>
            <w:r>
              <w:rPr>
                <w:color w:val="231F20"/>
                <w:spacing w:val="30"/>
                <w:sz w:val="18"/>
              </w:rPr>
              <w:t> </w:t>
            </w:r>
            <w:r>
              <w:rPr>
                <w:color w:val="231F20"/>
                <w:spacing w:val="-21"/>
                <w:position w:val="-3"/>
                <w:sz w:val="18"/>
              </w:rPr>
              <w:drawing>
                <wp:inline distT="0" distB="0" distL="0" distR="0">
                  <wp:extent cx="95250" cy="95250"/>
                  <wp:effectExtent l="0" t="0" r="0" b="0"/>
                  <wp:docPr id="2368" name="Image 2368"/>
                  <wp:cNvGraphicFramePr>
                    <a:graphicFrameLocks/>
                  </wp:cNvGraphicFramePr>
                  <a:graphic>
                    <a:graphicData uri="http://schemas.openxmlformats.org/drawingml/2006/picture">
                      <pic:pic>
                        <pic:nvPicPr>
                          <pic:cNvPr id="2368" name="Image 2368"/>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1"/>
                <w:position w:val="-3"/>
                <w:sz w:val="18"/>
              </w:rPr>
            </w:r>
            <w:r>
              <w:rPr>
                <w:rFonts w:ascii="Times New Roman"/>
                <w:color w:val="231F20"/>
                <w:position w:val="-3"/>
                <w:sz w:val="18"/>
              </w:rPr>
              <w:t> </w:t>
            </w:r>
            <w:r>
              <w:rPr>
                <w:color w:val="231F20"/>
                <w:sz w:val="18"/>
              </w:rPr>
              <w:t>agent item in the Navigator Physical </w:t>
            </w:r>
            <w:r>
              <w:rPr>
                <w:color w:val="231F20"/>
                <w:sz w:val="18"/>
              </w:rPr>
              <w:t>view</w:t>
            </w:r>
            <w:r>
              <w:rPr>
                <w:color w:val="231F20"/>
                <w:sz w:val="18"/>
              </w:rPr>
              <w:t> and click </w:t>
            </w:r>
            <w:r>
              <w:rPr>
                <w:color w:val="231F20"/>
                <w:spacing w:val="14"/>
                <w:position w:val="-3"/>
                <w:sz w:val="18"/>
              </w:rPr>
              <w:drawing>
                <wp:inline distT="0" distB="0" distL="0" distR="0">
                  <wp:extent cx="101600" cy="101600"/>
                  <wp:effectExtent l="0" t="0" r="0" b="0"/>
                  <wp:docPr id="2369" name="Image 2369"/>
                  <wp:cNvGraphicFramePr>
                    <a:graphicFrameLocks/>
                  </wp:cNvGraphicFramePr>
                  <a:graphic>
                    <a:graphicData uri="http://schemas.openxmlformats.org/drawingml/2006/picture">
                      <pic:pic>
                        <pic:nvPicPr>
                          <pic:cNvPr id="2369" name="Image 2369"/>
                          <pic:cNvPicPr/>
                        </pic:nvPicPr>
                        <pic:blipFill>
                          <a:blip r:embed="rId387" cstate="print"/>
                          <a:stretch>
                            <a:fillRect/>
                          </a:stretch>
                        </pic:blipFill>
                        <pic:spPr>
                          <a:xfrm>
                            <a:off x="0" y="0"/>
                            <a:ext cx="101600" cy="101600"/>
                          </a:xfrm>
                          <a:prstGeom prst="rect">
                            <a:avLst/>
                          </a:prstGeom>
                        </pic:spPr>
                      </pic:pic>
                    </a:graphicData>
                  </a:graphic>
                </wp:inline>
              </w:drawing>
            </w:r>
            <w:r>
              <w:rPr>
                <w:color w:val="231F20"/>
                <w:spacing w:val="14"/>
                <w:position w:val="-3"/>
                <w:sz w:val="18"/>
              </w:rPr>
            </w:r>
            <w:r>
              <w:rPr>
                <w:rFonts w:ascii="Times New Roman"/>
                <w:color w:val="231F20"/>
                <w:spacing w:val="14"/>
                <w:sz w:val="18"/>
              </w:rPr>
              <w:t> </w:t>
            </w:r>
            <w:r>
              <w:rPr>
                <w:rFonts w:ascii="Book Antiqua"/>
                <w:b/>
                <w:color w:val="231F20"/>
                <w:sz w:val="18"/>
              </w:rPr>
              <w:t>Manage Situations</w:t>
            </w:r>
            <w:r>
              <w:rPr>
                <w:color w:val="231F20"/>
                <w:sz w:val="18"/>
              </w:rPr>
              <w:t>. Select a situation and click </w:t>
            </w:r>
            <w:r>
              <w:rPr>
                <w:color w:val="231F20"/>
                <w:spacing w:val="-21"/>
                <w:position w:val="-3"/>
                <w:sz w:val="18"/>
              </w:rPr>
              <w:drawing>
                <wp:inline distT="0" distB="0" distL="0" distR="0">
                  <wp:extent cx="95250" cy="101600"/>
                  <wp:effectExtent l="0" t="0" r="0" b="0"/>
                  <wp:docPr id="2370" name="Image 2370"/>
                  <wp:cNvGraphicFramePr>
                    <a:graphicFrameLocks/>
                  </wp:cNvGraphicFramePr>
                  <a:graphic>
                    <a:graphicData uri="http://schemas.openxmlformats.org/drawingml/2006/picture">
                      <pic:pic>
                        <pic:nvPicPr>
                          <pic:cNvPr id="2370" name="Image 2370"/>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rFonts w:ascii="Book Antiqua"/>
                <w:b/>
                <w:color w:val="231F20"/>
                <w:sz w:val="18"/>
              </w:rPr>
              <w:t>Edit Situation</w:t>
            </w:r>
            <w:r>
              <w:rPr>
                <w:color w:val="231F20"/>
                <w:sz w:val="18"/>
              </w:rPr>
              <w:t>.</w:t>
            </w:r>
          </w:p>
          <w:p>
            <w:pPr>
              <w:pStyle w:val="TableParagraph"/>
              <w:spacing w:line="216" w:lineRule="auto" w:before="124"/>
              <w:ind w:right="129"/>
              <w:rPr>
                <w:sz w:val="18"/>
              </w:rPr>
            </w:pPr>
            <w:r>
              <w:rPr>
                <w:color w:val="231F20"/>
                <w:sz w:val="18"/>
              </w:rPr>
              <w:t>Then, right-click the name in the Situation tree on the left. (If you do not see the situation, click </w:t>
            </w:r>
            <w:r>
              <w:rPr>
                <w:color w:val="231F20"/>
                <w:spacing w:val="-21"/>
                <w:position w:val="-3"/>
                <w:sz w:val="18"/>
              </w:rPr>
              <w:drawing>
                <wp:inline distT="0" distB="0" distL="0" distR="0">
                  <wp:extent cx="95250" cy="101600"/>
                  <wp:effectExtent l="0" t="0" r="0" b="0"/>
                  <wp:docPr id="2371" name="Image 2371"/>
                  <wp:cNvGraphicFramePr>
                    <a:graphicFrameLocks/>
                  </wp:cNvGraphicFramePr>
                  <a:graphic>
                    <a:graphicData uri="http://schemas.openxmlformats.org/drawingml/2006/picture">
                      <pic:pic>
                        <pic:nvPicPr>
                          <pic:cNvPr id="2371" name="Image 2371"/>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1"/>
                <w:position w:val="-3"/>
                <w:sz w:val="18"/>
              </w:rPr>
            </w:r>
            <w:r>
              <w:rPr>
                <w:rFonts w:ascii="Times New Roman"/>
                <w:color w:val="231F20"/>
                <w:spacing w:val="40"/>
                <w:sz w:val="18"/>
              </w:rPr>
              <w:t> </w:t>
            </w:r>
            <w:r>
              <w:rPr>
                <w:rFonts w:ascii="Book Antiqua"/>
                <w:b/>
                <w:color w:val="231F20"/>
                <w:sz w:val="18"/>
              </w:rPr>
              <w:t>Situation Filter </w:t>
            </w:r>
            <w:r>
              <w:rPr>
                <w:color w:val="231F20"/>
                <w:sz w:val="18"/>
              </w:rPr>
              <w:t>and </w:t>
            </w:r>
            <w:r>
              <w:rPr>
                <w:color w:val="231F20"/>
                <w:sz w:val="18"/>
              </w:rPr>
              <w:t>select all the options.)</w:t>
            </w:r>
          </w:p>
        </w:tc>
      </w:tr>
    </w:tbl>
    <w:p>
      <w:pPr>
        <w:pStyle w:val="ListParagraph"/>
        <w:numPr>
          <w:ilvl w:val="0"/>
          <w:numId w:val="124"/>
        </w:numPr>
        <w:tabs>
          <w:tab w:pos="2548" w:val="left" w:leader="none"/>
        </w:tabs>
        <w:spacing w:line="213" w:lineRule="auto" w:before="229" w:after="0"/>
        <w:ind w:left="2548" w:right="403" w:hanging="316"/>
        <w:jc w:val="left"/>
        <w:rPr>
          <w:sz w:val="20"/>
        </w:rPr>
      </w:pPr>
      <w:r>
        <w:rPr>
          <w:color w:val="231F20"/>
          <w:sz w:val="20"/>
        </w:rPr>
        <w:t>If you want to select multiple situations to stop, use Ctrl+click to select</w:t>
      </w:r>
      <w:r>
        <w:rPr>
          <w:color w:val="231F20"/>
          <w:spacing w:val="80"/>
          <w:w w:val="150"/>
          <w:sz w:val="20"/>
        </w:rPr>
        <w:t> </w:t>
      </w:r>
      <w:r>
        <w:rPr>
          <w:color w:val="231F20"/>
          <w:sz w:val="20"/>
        </w:rPr>
        <w:t>additional situations or Shift+click to select all situations between and </w:t>
      </w:r>
      <w:r>
        <w:rPr>
          <w:color w:val="231F20"/>
          <w:sz w:val="20"/>
        </w:rPr>
        <w:t>including the first selection and this one.</w:t>
      </w:r>
    </w:p>
    <w:p>
      <w:pPr>
        <w:pStyle w:val="ListParagraph"/>
        <w:numPr>
          <w:ilvl w:val="0"/>
          <w:numId w:val="124"/>
        </w:numPr>
        <w:tabs>
          <w:tab w:pos="2547" w:val="left" w:leader="none"/>
        </w:tabs>
        <w:spacing w:line="240" w:lineRule="auto" w:before="35" w:after="0"/>
        <w:ind w:left="2547" w:right="0" w:hanging="315"/>
        <w:jc w:val="left"/>
        <w:rPr>
          <w:sz w:val="20"/>
        </w:rPr>
      </w:pPr>
      <w:r>
        <w:rPr>
          <w:color w:val="231F20"/>
          <w:sz w:val="20"/>
        </w:rPr>
        <w:t>Click</w:t>
      </w:r>
      <w:r>
        <w:rPr>
          <w:color w:val="231F20"/>
          <w:spacing w:val="12"/>
          <w:sz w:val="20"/>
        </w:rPr>
        <w:t> </w:t>
      </w:r>
      <w:r>
        <w:rPr>
          <w:color w:val="231F20"/>
          <w:sz w:val="20"/>
        </w:rPr>
        <w:t>one</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pacing w:val="-2"/>
          <w:sz w:val="20"/>
        </w:rPr>
        <w:t>following:</w:t>
      </w:r>
    </w:p>
    <w:p>
      <w:pPr>
        <w:pStyle w:val="Heading6"/>
        <w:spacing w:before="171"/>
        <w:ind w:left="2618"/>
      </w:pPr>
      <w:r>
        <w:rPr>
          <w:b w:val="0"/>
          <w:position w:val="-1"/>
        </w:rPr>
        <w:drawing>
          <wp:inline distT="0" distB="0" distL="0" distR="0">
            <wp:extent cx="82550" cy="133350"/>
            <wp:effectExtent l="0" t="0" r="0" b="0"/>
            <wp:docPr id="2372" name="Image 2372"/>
            <wp:cNvGraphicFramePr>
              <a:graphicFrameLocks/>
            </wp:cNvGraphicFramePr>
            <a:graphic>
              <a:graphicData uri="http://schemas.openxmlformats.org/drawingml/2006/picture">
                <pic:pic>
                  <pic:nvPicPr>
                    <pic:cNvPr id="2372" name="Image 2372"/>
                    <pic:cNvPicPr/>
                  </pic:nvPicPr>
                  <pic:blipFill>
                    <a:blip r:embed="rId166" cstate="print"/>
                    <a:stretch>
                      <a:fillRect/>
                    </a:stretch>
                  </pic:blipFill>
                  <pic:spPr>
                    <a:xfrm>
                      <a:off x="0" y="0"/>
                      <a:ext cx="82550" cy="133350"/>
                    </a:xfrm>
                    <a:prstGeom prst="rect">
                      <a:avLst/>
                    </a:prstGeom>
                  </pic:spPr>
                </pic:pic>
              </a:graphicData>
            </a:graphic>
          </wp:inline>
        </w:drawing>
      </w:r>
      <w:r>
        <w:rPr>
          <w:b w:val="0"/>
          <w:position w:val="-1"/>
        </w:rPr>
      </w:r>
      <w:r>
        <w:rPr>
          <w:rFonts w:ascii="Times New Roman"/>
          <w:b w:val="0"/>
          <w:spacing w:val="80"/>
        </w:rPr>
        <w:t> </w:t>
      </w:r>
      <w:r>
        <w:rPr>
          <w:color w:val="231F20"/>
        </w:rPr>
        <w:t>Start</w:t>
      </w:r>
      <w:r>
        <w:rPr>
          <w:color w:val="231F20"/>
          <w:spacing w:val="37"/>
        </w:rPr>
        <w:t> </w:t>
      </w:r>
      <w:r>
        <w:rPr>
          <w:color w:val="231F20"/>
        </w:rPr>
        <w:t>the</w:t>
      </w:r>
      <w:r>
        <w:rPr>
          <w:color w:val="231F20"/>
          <w:spacing w:val="37"/>
        </w:rPr>
        <w:t> </w:t>
      </w:r>
      <w:r>
        <w:rPr>
          <w:color w:val="231F20"/>
        </w:rPr>
        <w:t>situation</w:t>
      </w:r>
    </w:p>
    <w:p>
      <w:pPr>
        <w:pStyle w:val="BodyText"/>
        <w:spacing w:line="213" w:lineRule="auto" w:before="11"/>
        <w:ind w:left="3267" w:right="545"/>
      </w:pPr>
      <w:r>
        <w:rPr>
          <w:color w:val="231F20"/>
        </w:rPr>
        <w:t>This has no effect if the situation is already started. If a progress bar is displayed, you can click </w:t>
      </w:r>
      <w:r>
        <w:rPr>
          <w:rFonts w:ascii="Book Antiqua"/>
          <w:b/>
          <w:color w:val="231F20"/>
        </w:rPr>
        <w:t>Stop </w:t>
      </w:r>
      <w:r>
        <w:rPr>
          <w:color w:val="231F20"/>
        </w:rPr>
        <w:t>to pause, then </w:t>
      </w:r>
      <w:r>
        <w:rPr>
          <w:rFonts w:ascii="Book Antiqua"/>
          <w:b/>
          <w:color w:val="231F20"/>
        </w:rPr>
        <w:t>Resume </w:t>
      </w:r>
      <w:r>
        <w:rPr>
          <w:color w:val="231F20"/>
        </w:rPr>
        <w:t>when you are ready to continue, or </w:t>
      </w:r>
      <w:r>
        <w:rPr>
          <w:rFonts w:ascii="Book Antiqua"/>
          <w:b/>
          <w:color w:val="231F20"/>
        </w:rPr>
        <w:t>Cancel </w:t>
      </w:r>
      <w:r>
        <w:rPr>
          <w:color w:val="231F20"/>
        </w:rPr>
        <w:t>to stop the operation.</w:t>
      </w:r>
    </w:p>
    <w:p>
      <w:pPr>
        <w:pStyle w:val="Heading6"/>
        <w:ind w:left="2558"/>
      </w:pPr>
      <w:r>
        <w:rPr>
          <w:b w:val="0"/>
          <w:position w:val="-1"/>
        </w:rPr>
        <w:drawing>
          <wp:inline distT="0" distB="0" distL="0" distR="0">
            <wp:extent cx="95250" cy="95250"/>
            <wp:effectExtent l="0" t="0" r="0" b="0"/>
            <wp:docPr id="2373" name="Image 2373"/>
            <wp:cNvGraphicFramePr>
              <a:graphicFrameLocks/>
            </wp:cNvGraphicFramePr>
            <a:graphic>
              <a:graphicData uri="http://schemas.openxmlformats.org/drawingml/2006/picture">
                <pic:pic>
                  <pic:nvPicPr>
                    <pic:cNvPr id="2373" name="Image 2373"/>
                    <pic:cNvPicPr/>
                  </pic:nvPicPr>
                  <pic:blipFill>
                    <a:blip r:embed="rId38"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80"/>
        </w:rPr>
        <w:t> </w:t>
      </w:r>
      <w:r>
        <w:rPr>
          <w:color w:val="231F20"/>
        </w:rPr>
        <w:t>Stop</w:t>
      </w:r>
      <w:r>
        <w:rPr>
          <w:color w:val="231F20"/>
          <w:spacing w:val="28"/>
        </w:rPr>
        <w:t> </w:t>
      </w:r>
      <w:r>
        <w:rPr>
          <w:color w:val="231F20"/>
        </w:rPr>
        <w:t>the</w:t>
      </w:r>
      <w:r>
        <w:rPr>
          <w:color w:val="231F20"/>
          <w:spacing w:val="28"/>
        </w:rPr>
        <w:t> </w:t>
      </w:r>
      <w:r>
        <w:rPr>
          <w:color w:val="231F20"/>
        </w:rPr>
        <w:t>situation</w:t>
      </w:r>
      <w:r>
        <w:rPr>
          <w:color w:val="231F20"/>
          <w:spacing w:val="28"/>
        </w:rPr>
        <w:t> </w:t>
      </w:r>
      <w:r>
        <w:rPr>
          <w:color w:val="231F20"/>
        </w:rPr>
        <w:t>running</w:t>
      </w:r>
    </w:p>
    <w:p>
      <w:pPr>
        <w:pStyle w:val="BodyText"/>
        <w:spacing w:line="213" w:lineRule="auto" w:before="11"/>
        <w:ind w:left="3267" w:right="570"/>
        <w:jc w:val="both"/>
      </w:pPr>
      <w:r>
        <w:rPr>
          <w:color w:val="231F20"/>
        </w:rPr>
        <w:t>The situation will remain stopped until you start it again manually </w:t>
      </w:r>
      <w:r>
        <w:rPr>
          <w:color w:val="231F20"/>
        </w:rPr>
        <w:t>or,</w:t>
      </w:r>
      <w:r>
        <w:rPr>
          <w:color w:val="231F20"/>
          <w:spacing w:val="40"/>
        </w:rPr>
        <w:t> </w:t>
      </w:r>
      <w:r>
        <w:rPr>
          <w:color w:val="231F20"/>
        </w:rPr>
        <w:t>if it is set to </w:t>
      </w:r>
      <w:r>
        <w:rPr>
          <w:rFonts w:ascii="Book Antiqua"/>
          <w:b/>
          <w:color w:val="231F20"/>
        </w:rPr>
        <w:t>Run at startup</w:t>
      </w:r>
      <w:r>
        <w:rPr>
          <w:color w:val="231F20"/>
        </w:rPr>
        <w:t>, when you next start the Tivoli Enterprise Monitoring Server to which an agent connects or edit the situation.</w:t>
      </w:r>
    </w:p>
    <w:p>
      <w:pPr>
        <w:spacing w:after="0" w:line="213" w:lineRule="auto"/>
        <w:jc w:val="both"/>
        <w:sectPr>
          <w:pgSz w:w="12240" w:h="15840"/>
          <w:pgMar w:header="0" w:footer="736" w:top="1140" w:bottom="920" w:left="1000" w:right="1060"/>
        </w:sectPr>
      </w:pPr>
    </w:p>
    <w:p>
      <w:pPr>
        <w:pStyle w:val="BodyText"/>
        <w:spacing w:before="11"/>
        <w:rPr>
          <w:sz w:val="3"/>
        </w:rPr>
      </w:pPr>
    </w:p>
    <w:p>
      <w:pPr>
        <w:pStyle w:val="BodyText"/>
        <w:spacing w:line="20" w:lineRule="exact"/>
        <w:ind w:left="436"/>
        <w:rPr>
          <w:sz w:val="2"/>
        </w:rPr>
      </w:pPr>
      <w:bookmarkStart w:name="_bookmark209" w:id="440"/>
      <w:bookmarkEnd w:id="440"/>
      <w:r>
        <w:rPr/>
      </w:r>
      <w:r>
        <w:rPr>
          <w:sz w:val="2"/>
        </w:rPr>
        <mc:AlternateContent>
          <mc:Choice Requires="wps">
            <w:drawing>
              <wp:inline distT="0" distB="0" distL="0" distR="0">
                <wp:extent cx="6082665" cy="6350"/>
                <wp:effectExtent l="9525" t="0" r="0" b="3175"/>
                <wp:docPr id="2374" name="Group 2374"/>
                <wp:cNvGraphicFramePr>
                  <a:graphicFrameLocks/>
                </wp:cNvGraphicFramePr>
                <a:graphic>
                  <a:graphicData uri="http://schemas.microsoft.com/office/word/2010/wordprocessingGroup">
                    <wpg:wgp>
                      <wpg:cNvPr id="2374" name="Group 2374"/>
                      <wpg:cNvGrpSpPr/>
                      <wpg:grpSpPr>
                        <a:xfrm>
                          <a:off x="0" y="0"/>
                          <a:ext cx="6082665" cy="6350"/>
                          <a:chExt cx="6082665" cy="6350"/>
                        </a:xfrm>
                      </wpg:grpSpPr>
                      <wps:wsp>
                        <wps:cNvPr id="2375" name="Graphic 2375"/>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15" coordorigin="0,0" coordsize="9579,10">
                <v:line style="position:absolute" from="0,5" to="9579,5" stroked="true" strokeweight=".499pt" strokecolor="#231f20">
                  <v:stroke dashstyle="solid"/>
                </v:line>
              </v:group>
            </w:pict>
          </mc:Fallback>
        </mc:AlternateContent>
      </w:r>
      <w:r>
        <w:rPr>
          <w:sz w:val="2"/>
        </w:rPr>
      </w:r>
    </w:p>
    <w:p>
      <w:pPr>
        <w:pStyle w:val="Heading3"/>
        <w:spacing w:before="12"/>
      </w:pPr>
      <w:bookmarkStart w:name="Situation association with Navigator ite" w:id="441"/>
      <w:bookmarkEnd w:id="441"/>
      <w:r>
        <w:rPr>
          <w:b w:val="0"/>
        </w:rPr>
      </w:r>
      <w:r>
        <w:rPr>
          <w:color w:val="231F20"/>
        </w:rPr>
        <w:t>Situation</w:t>
      </w:r>
      <w:r>
        <w:rPr>
          <w:color w:val="231F20"/>
          <w:spacing w:val="3"/>
        </w:rPr>
        <w:t> </w:t>
      </w:r>
      <w:r>
        <w:rPr>
          <w:color w:val="231F20"/>
        </w:rPr>
        <w:t>association</w:t>
      </w:r>
      <w:r>
        <w:rPr>
          <w:color w:val="231F20"/>
          <w:spacing w:val="4"/>
        </w:rPr>
        <w:t> </w:t>
      </w:r>
      <w:r>
        <w:rPr>
          <w:color w:val="231F20"/>
        </w:rPr>
        <w:t>with</w:t>
      </w:r>
      <w:r>
        <w:rPr>
          <w:color w:val="231F20"/>
          <w:spacing w:val="3"/>
        </w:rPr>
        <w:t> </w:t>
      </w:r>
      <w:r>
        <w:rPr>
          <w:color w:val="231F20"/>
        </w:rPr>
        <w:t>Navigator</w:t>
      </w:r>
      <w:r>
        <w:rPr>
          <w:color w:val="231F20"/>
          <w:spacing w:val="4"/>
        </w:rPr>
        <w:t> </w:t>
      </w:r>
      <w:r>
        <w:rPr>
          <w:color w:val="231F20"/>
          <w:spacing w:val="-2"/>
        </w:rPr>
        <w:t>items</w:t>
      </w:r>
    </w:p>
    <w:p>
      <w:pPr>
        <w:pStyle w:val="BodyText"/>
        <w:spacing w:line="213" w:lineRule="auto" w:before="138"/>
        <w:ind w:left="2472" w:right="545"/>
      </w:pPr>
      <w:r>
        <w:rPr>
          <w:color w:val="231F20"/>
        </w:rPr>
        <w:t>A situation must be associated with a Navigator item before you can see </w:t>
      </w:r>
      <w:r>
        <w:rPr>
          <w:color w:val="231F20"/>
        </w:rPr>
        <w:t>alerts when an event has opened.</w:t>
      </w:r>
    </w:p>
    <w:p>
      <w:pPr>
        <w:pStyle w:val="BodyText"/>
        <w:spacing w:line="213" w:lineRule="auto" w:before="238"/>
        <w:ind w:left="2472" w:right="493"/>
      </w:pPr>
      <w:r>
        <w:rPr>
          <w:color w:val="231F20"/>
        </w:rPr>
        <w:t>When you create a situation, these elements of the situation definition and Navigator item properties must be set before event indicators for true </w:t>
      </w:r>
      <w:r>
        <w:rPr>
          <w:color w:val="231F20"/>
        </w:rPr>
        <w:t>situations can show on the Navigator:</w:t>
      </w:r>
    </w:p>
    <w:p>
      <w:pPr>
        <w:pStyle w:val="Heading6"/>
      </w:pPr>
      <w:r>
        <w:rPr>
          <w:color w:val="231F20"/>
        </w:rPr>
        <w:t>Situation</w:t>
      </w:r>
      <w:r>
        <w:rPr>
          <w:color w:val="231F20"/>
          <w:spacing w:val="7"/>
        </w:rPr>
        <w:t> </w:t>
      </w:r>
      <w:r>
        <w:rPr>
          <w:color w:val="231F20"/>
          <w:spacing w:val="-2"/>
        </w:rPr>
        <w:t>distribution</w:t>
      </w:r>
    </w:p>
    <w:p>
      <w:pPr>
        <w:pStyle w:val="BodyText"/>
        <w:spacing w:line="213" w:lineRule="auto" w:before="11"/>
        <w:ind w:left="3190" w:right="258"/>
      </w:pPr>
      <w:r>
        <w:rPr>
          <w:color w:val="231F20"/>
        </w:rPr>
        <w:t>The situation must be distributed to the managed systems on which it is </w:t>
      </w:r>
      <w:r>
        <w:rPr>
          <w:color w:val="231F20"/>
        </w:rPr>
        <w:t>to run. This is done in the Distribution tab of the Situation editor.</w:t>
      </w:r>
    </w:p>
    <w:p>
      <w:pPr>
        <w:pStyle w:val="Heading6"/>
      </w:pPr>
      <w:r>
        <w:rPr>
          <w:color w:val="231F20"/>
          <w:spacing w:val="-2"/>
        </w:rPr>
        <w:t>Assignment</w:t>
      </w:r>
    </w:p>
    <w:p>
      <w:pPr>
        <w:pStyle w:val="BodyText"/>
        <w:spacing w:line="213" w:lineRule="auto" w:before="12"/>
        <w:ind w:left="3190" w:right="545"/>
      </w:pPr>
      <w:r>
        <w:rPr>
          <w:color w:val="231F20"/>
        </w:rPr>
        <w:t>Situations that were created in the Situation editor after it was opened from</w:t>
      </w:r>
      <w:r>
        <w:rPr>
          <w:color w:val="231F20"/>
          <w:spacing w:val="9"/>
        </w:rPr>
        <w:t> </w:t>
      </w:r>
      <w:r>
        <w:rPr>
          <w:color w:val="231F20"/>
        </w:rPr>
        <w:t>a</w:t>
      </w:r>
      <w:r>
        <w:rPr>
          <w:color w:val="231F20"/>
          <w:spacing w:val="10"/>
        </w:rPr>
        <w:t> </w:t>
      </w:r>
      <w:r>
        <w:rPr>
          <w:color w:val="231F20"/>
        </w:rPr>
        <w:t>Navigator</w:t>
      </w:r>
      <w:r>
        <w:rPr>
          <w:color w:val="231F20"/>
          <w:spacing w:val="9"/>
        </w:rPr>
        <w:t> </w:t>
      </w:r>
      <w:r>
        <w:rPr>
          <w:color w:val="231F20"/>
        </w:rPr>
        <w:t>item,</w:t>
      </w:r>
      <w:r>
        <w:rPr>
          <w:color w:val="231F20"/>
          <w:spacing w:val="10"/>
        </w:rPr>
        <w:t> </w:t>
      </w:r>
      <w:r>
        <w:rPr>
          <w:color w:val="231F20"/>
        </w:rPr>
        <w:t>are</w:t>
      </w:r>
      <w:r>
        <w:rPr>
          <w:color w:val="231F20"/>
          <w:spacing w:val="10"/>
        </w:rPr>
        <w:t> </w:t>
      </w:r>
      <w:r>
        <w:rPr>
          <w:color w:val="231F20"/>
        </w:rPr>
        <w:t>automatically</w:t>
      </w:r>
      <w:r>
        <w:rPr>
          <w:color w:val="231F20"/>
          <w:spacing w:val="9"/>
        </w:rPr>
        <w:t> </w:t>
      </w:r>
      <w:r>
        <w:rPr>
          <w:color w:val="231F20"/>
        </w:rPr>
        <w:t>associated</w:t>
      </w:r>
      <w:r>
        <w:rPr>
          <w:color w:val="231F20"/>
          <w:spacing w:val="10"/>
        </w:rPr>
        <w:t> </w:t>
      </w:r>
      <w:r>
        <w:rPr>
          <w:color w:val="231F20"/>
        </w:rPr>
        <w:t>with</w:t>
      </w:r>
      <w:r>
        <w:rPr>
          <w:color w:val="231F20"/>
          <w:spacing w:val="9"/>
        </w:rPr>
        <w:t> </w:t>
      </w:r>
      <w:r>
        <w:rPr>
          <w:color w:val="231F20"/>
        </w:rPr>
        <w:t>the</w:t>
      </w:r>
      <w:r>
        <w:rPr>
          <w:color w:val="231F20"/>
          <w:spacing w:val="10"/>
        </w:rPr>
        <w:t> </w:t>
      </w:r>
      <w:r>
        <w:rPr>
          <w:color w:val="231F20"/>
          <w:spacing w:val="-2"/>
        </w:rPr>
        <w:t>Navigator</w:t>
      </w:r>
    </w:p>
    <w:p>
      <w:pPr>
        <w:pStyle w:val="BodyText"/>
        <w:spacing w:line="213" w:lineRule="auto"/>
        <w:ind w:left="3190" w:right="274"/>
      </w:pPr>
      <w:r>
        <w:rPr>
          <w:color w:val="231F20"/>
        </w:rPr>
        <w:t>item. This is possible because the Navigator item and the managed </w:t>
      </w:r>
      <w:r>
        <w:rPr>
          <w:color w:val="231F20"/>
        </w:rPr>
        <w:t>systems assigned</w:t>
      </w:r>
      <w:r>
        <w:rPr>
          <w:color w:val="231F20"/>
          <w:spacing w:val="28"/>
        </w:rPr>
        <w:t> </w:t>
      </w:r>
      <w:r>
        <w:rPr>
          <w:color w:val="231F20"/>
        </w:rPr>
        <w:t>to</w:t>
      </w:r>
      <w:r>
        <w:rPr>
          <w:color w:val="231F20"/>
          <w:spacing w:val="28"/>
        </w:rPr>
        <w:t> </w:t>
      </w:r>
      <w:r>
        <w:rPr>
          <w:color w:val="231F20"/>
        </w:rPr>
        <w:t>it</w:t>
      </w:r>
      <w:r>
        <w:rPr>
          <w:color w:val="231F20"/>
          <w:spacing w:val="28"/>
        </w:rPr>
        <w:t> </w:t>
      </w:r>
      <w:r>
        <w:rPr>
          <w:color w:val="231F20"/>
        </w:rPr>
        <w:t>are</w:t>
      </w:r>
      <w:r>
        <w:rPr>
          <w:color w:val="231F20"/>
          <w:spacing w:val="28"/>
        </w:rPr>
        <w:t> </w:t>
      </w:r>
      <w:r>
        <w:rPr>
          <w:color w:val="231F20"/>
        </w:rPr>
        <w:t>known.</w:t>
      </w:r>
      <w:r>
        <w:rPr>
          <w:color w:val="231F20"/>
          <w:spacing w:val="28"/>
        </w:rPr>
        <w:t> </w:t>
      </w:r>
      <w:r>
        <w:rPr>
          <w:color w:val="231F20"/>
        </w:rPr>
        <w:t>Situations</w:t>
      </w:r>
      <w:r>
        <w:rPr>
          <w:color w:val="231F20"/>
          <w:spacing w:val="28"/>
        </w:rPr>
        <w:t> </w:t>
      </w:r>
      <w:r>
        <w:rPr>
          <w:color w:val="231F20"/>
        </w:rPr>
        <w:t>that</w:t>
      </w:r>
      <w:r>
        <w:rPr>
          <w:color w:val="231F20"/>
          <w:spacing w:val="28"/>
        </w:rPr>
        <w:t> </w:t>
      </w:r>
      <w:r>
        <w:rPr>
          <w:color w:val="231F20"/>
        </w:rPr>
        <w:t>were</w:t>
      </w:r>
      <w:r>
        <w:rPr>
          <w:color w:val="231F20"/>
          <w:spacing w:val="28"/>
        </w:rPr>
        <w:t> </w:t>
      </w:r>
      <w:r>
        <w:rPr>
          <w:color w:val="231F20"/>
        </w:rPr>
        <w:t>created</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Situation editor after it was opened from the main toolbar are not associated with a Navigator item initially: the situation might be distributed to one or more managed systems, but the Navigator item is not known at this point.</w:t>
      </w:r>
    </w:p>
    <w:p>
      <w:pPr>
        <w:pStyle w:val="BodyText"/>
        <w:spacing w:line="213" w:lineRule="auto" w:before="115"/>
        <w:ind w:left="3190" w:right="385"/>
      </w:pPr>
      <w:r>
        <w:rPr>
          <w:color w:val="231F20"/>
        </w:rPr>
        <w:t>For custom Navigator views, you must relate, or </w:t>
      </w:r>
      <w:r>
        <w:rPr>
          <w:rFonts w:ascii="Book Antiqua"/>
          <w:i/>
          <w:color w:val="231F20"/>
        </w:rPr>
        <w:t>assign</w:t>
      </w:r>
      <w:r>
        <w:rPr>
          <w:color w:val="231F20"/>
        </w:rPr>
        <w:t>, managed </w:t>
      </w:r>
      <w:r>
        <w:rPr>
          <w:color w:val="231F20"/>
        </w:rPr>
        <w:t>systems to the Navigator items where you want to see alerts.</w:t>
      </w:r>
    </w:p>
    <w:p>
      <w:pPr>
        <w:pStyle w:val="Heading6"/>
      </w:pPr>
      <w:r>
        <w:rPr>
          <w:color w:val="231F20"/>
          <w:spacing w:val="-2"/>
        </w:rPr>
        <w:t>Association</w:t>
      </w:r>
    </w:p>
    <w:p>
      <w:pPr>
        <w:pStyle w:val="BodyText"/>
        <w:spacing w:line="213" w:lineRule="auto" w:before="11"/>
        <w:ind w:left="3190" w:right="258"/>
      </w:pPr>
      <w:r>
        <w:rPr>
          <w:color w:val="231F20"/>
        </w:rPr>
        <w:t>You must associate a situation with the Navigator items where you want to see event indicators for the situation. Association with a Navigator item is done automatically when you open the Situation editor from the</w:t>
      </w:r>
    </w:p>
    <w:p>
      <w:pPr>
        <w:pStyle w:val="BodyText"/>
        <w:spacing w:line="213" w:lineRule="auto"/>
        <w:ind w:left="3190" w:right="385" w:hanging="1"/>
      </w:pPr>
      <w:r>
        <w:rPr>
          <w:color w:val="231F20"/>
        </w:rPr>
        <w:t>Navigator, then create or edit a situation and click </w:t>
      </w:r>
      <w:r>
        <w:rPr>
          <w:rFonts w:ascii="Book Antiqua"/>
          <w:b/>
          <w:color w:val="231F20"/>
        </w:rPr>
        <w:t>Apply </w:t>
      </w:r>
      <w:r>
        <w:rPr>
          <w:color w:val="231F20"/>
        </w:rPr>
        <w:t>or </w:t>
      </w:r>
      <w:r>
        <w:rPr>
          <w:rFonts w:ascii="Book Antiqua"/>
          <w:b/>
          <w:color w:val="231F20"/>
        </w:rPr>
        <w:t>OK</w:t>
      </w:r>
      <w:r>
        <w:rPr>
          <w:color w:val="231F20"/>
        </w:rPr>
        <w:t>. Association with a Navigator item is done manually for situations </w:t>
      </w:r>
      <w:r>
        <w:rPr>
          <w:color w:val="231F20"/>
        </w:rPr>
        <w:t>created in the Situation editor when it was opened from the toolbar.</w:t>
      </w:r>
    </w:p>
    <w:p>
      <w:pPr>
        <w:pStyle w:val="BodyText"/>
        <w:spacing w:line="213" w:lineRule="auto" w:before="236"/>
        <w:ind w:left="2472" w:right="385"/>
      </w:pPr>
      <w:r>
        <w:rPr>
          <w:rFonts w:ascii="Book Antiqua"/>
          <w:b/>
          <w:color w:val="231F20"/>
        </w:rPr>
        <w:t>Tip:</w:t>
      </w:r>
      <w:r>
        <w:rPr>
          <w:rFonts w:ascii="Book Antiqua"/>
          <w:b/>
          <w:color w:val="231F20"/>
          <w:spacing w:val="40"/>
        </w:rPr>
        <w:t> </w:t>
      </w:r>
      <w:r>
        <w:rPr>
          <w:color w:val="231F20"/>
        </w:rPr>
        <w:t>When you associate a situation with a Navigator item, the situation state and sound are also associated with the item. The same situation can be associated </w:t>
      </w:r>
      <w:r>
        <w:rPr>
          <w:color w:val="231F20"/>
        </w:rPr>
        <w:t>with</w:t>
      </w:r>
      <w:r>
        <w:rPr>
          <w:color w:val="231F20"/>
          <w:spacing w:val="80"/>
          <w:w w:val="150"/>
        </w:rPr>
        <w:t> </w:t>
      </w:r>
      <w:r>
        <w:rPr>
          <w:color w:val="231F20"/>
        </w:rPr>
        <w:t>a different Navigator item if you want to apply a different state or sound. This is</w:t>
      </w:r>
      <w:r>
        <w:rPr>
          <w:color w:val="231F20"/>
          <w:spacing w:val="40"/>
        </w:rPr>
        <w:t> </w:t>
      </w:r>
      <w:r>
        <w:rPr>
          <w:color w:val="231F20"/>
        </w:rPr>
        <w:t>especially useful for custom Navigator views where one situation might be</w:t>
      </w:r>
    </w:p>
    <w:p>
      <w:pPr>
        <w:pStyle w:val="BodyText"/>
        <w:spacing w:line="213" w:lineRule="auto"/>
        <w:ind w:left="2472" w:right="493" w:firstLine="10"/>
      </w:pPr>
      <w:r>
        <w:rPr>
          <w:position w:val="-1"/>
        </w:rPr>
        <w:drawing>
          <wp:inline distT="0" distB="0" distL="0" distR="0">
            <wp:extent cx="95250" cy="95250"/>
            <wp:effectExtent l="0" t="0" r="0" b="0"/>
            <wp:docPr id="2376" name="Image 2376"/>
            <wp:cNvGraphicFramePr>
              <a:graphicFrameLocks/>
            </wp:cNvGraphicFramePr>
            <a:graphic>
              <a:graphicData uri="http://schemas.openxmlformats.org/drawingml/2006/picture">
                <pic:pic>
                  <pic:nvPicPr>
                    <pic:cNvPr id="2376" name="Image 2376"/>
                    <pic:cNvPicPr/>
                  </pic:nvPicPr>
                  <pic:blipFill>
                    <a:blip r:embed="rId198"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7"/>
        </w:rPr>
        <w:t> </w:t>
      </w:r>
      <w:r>
        <w:rPr>
          <w:color w:val="231F20"/>
        </w:rPr>
        <w:t>critical in an operator's Navigator view, but considered</w:t>
      </w:r>
      <w:r>
        <w:rPr>
          <w:color w:val="231F20"/>
          <w:spacing w:val="16"/>
        </w:rPr>
        <w:t> </w:t>
      </w:r>
      <w:r>
        <w:rPr>
          <w:color w:val="231F20"/>
          <w:spacing w:val="-25"/>
          <w:position w:val="-1"/>
        </w:rPr>
        <w:drawing>
          <wp:inline distT="0" distB="0" distL="0" distR="0">
            <wp:extent cx="95250" cy="95250"/>
            <wp:effectExtent l="0" t="0" r="0" b="0"/>
            <wp:docPr id="2377" name="Image 2377"/>
            <wp:cNvGraphicFramePr>
              <a:graphicFrameLocks/>
            </wp:cNvGraphicFramePr>
            <a:graphic>
              <a:graphicData uri="http://schemas.openxmlformats.org/drawingml/2006/picture">
                <pic:pic>
                  <pic:nvPicPr>
                    <pic:cNvPr id="2377" name="Image 2377"/>
                    <pic:cNvPicPr/>
                  </pic:nvPicPr>
                  <pic:blipFill>
                    <a:blip r:embed="rId126"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15"/>
        </w:rPr>
        <w:t> </w:t>
      </w:r>
      <w:r>
        <w:rPr>
          <w:color w:val="231F20"/>
        </w:rPr>
        <w:t>informational in </w:t>
      </w:r>
      <w:r>
        <w:rPr>
          <w:color w:val="231F20"/>
        </w:rPr>
        <w:t>a </w:t>
      </w:r>
      <w:bookmarkStart w:name="Associating a situation" w:id="442"/>
      <w:bookmarkEnd w:id="442"/>
      <w:r>
        <w:rPr>
          <w:color w:val="231F20"/>
        </w:rPr>
        <w:t>view</w:t>
      </w:r>
      <w:r>
        <w:rPr>
          <w:color w:val="231F20"/>
        </w:rPr>
        <w:t> designed for an executive.</w:t>
      </w:r>
    </w:p>
    <w:p>
      <w:pPr>
        <w:pStyle w:val="Heading3"/>
        <w:spacing w:before="214"/>
        <w:ind w:left="1574"/>
      </w:pPr>
      <w:r>
        <w:rPr>
          <w:color w:val="231F20"/>
        </w:rPr>
        <w:t>Associating</w:t>
      </w:r>
      <w:r>
        <w:rPr>
          <w:color w:val="231F20"/>
          <w:spacing w:val="6"/>
        </w:rPr>
        <w:t> </w:t>
      </w:r>
      <w:r>
        <w:rPr>
          <w:color w:val="231F20"/>
        </w:rPr>
        <w:t>a</w:t>
      </w:r>
      <w:r>
        <w:rPr>
          <w:color w:val="231F20"/>
          <w:spacing w:val="6"/>
        </w:rPr>
        <w:t> </w:t>
      </w:r>
      <w:r>
        <w:rPr>
          <w:color w:val="231F20"/>
          <w:spacing w:val="-2"/>
        </w:rPr>
        <w:t>situation</w:t>
      </w:r>
    </w:p>
    <w:p>
      <w:pPr>
        <w:pStyle w:val="BodyText"/>
        <w:spacing w:line="213" w:lineRule="auto" w:before="58"/>
        <w:ind w:left="2472" w:right="488"/>
      </w:pPr>
      <w:r>
        <w:rPr>
          <w:color w:val="231F20"/>
        </w:rPr>
        <w:t>If you access the Situation editor through the toolbar to create situations, no alert will be visible in the Navigator when the situation becomes true until you</w:t>
      </w:r>
      <w:r>
        <w:rPr>
          <w:color w:val="231F20"/>
          <w:spacing w:val="40"/>
        </w:rPr>
        <w:t> </w:t>
      </w:r>
      <w:r>
        <w:rPr>
          <w:color w:val="231F20"/>
        </w:rPr>
        <w:t>associate the situations with a Navigator item.</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472"/>
      </w:pPr>
      <w:r>
        <w:rPr>
          <w:color w:val="231F20"/>
        </w:rPr>
        <w:t>For</w:t>
      </w:r>
      <w:r>
        <w:rPr>
          <w:color w:val="231F20"/>
          <w:spacing w:val="11"/>
        </w:rPr>
        <w:t> </w:t>
      </w:r>
      <w:r>
        <w:rPr>
          <w:color w:val="231F20"/>
        </w:rPr>
        <w:t>each</w:t>
      </w:r>
      <w:r>
        <w:rPr>
          <w:color w:val="231F20"/>
          <w:spacing w:val="12"/>
        </w:rPr>
        <w:t> </w:t>
      </w:r>
      <w:r>
        <w:rPr>
          <w:color w:val="231F20"/>
        </w:rPr>
        <w:t>Navigator</w:t>
      </w:r>
      <w:r>
        <w:rPr>
          <w:color w:val="231F20"/>
          <w:spacing w:val="12"/>
        </w:rPr>
        <w:t> </w:t>
      </w:r>
      <w:r>
        <w:rPr>
          <w:color w:val="231F20"/>
        </w:rPr>
        <w:t>item</w:t>
      </w:r>
      <w:r>
        <w:rPr>
          <w:color w:val="231F20"/>
          <w:spacing w:val="11"/>
        </w:rPr>
        <w:t> </w:t>
      </w:r>
      <w:r>
        <w:rPr>
          <w:color w:val="231F20"/>
        </w:rPr>
        <w:t>you</w:t>
      </w:r>
      <w:r>
        <w:rPr>
          <w:color w:val="231F20"/>
          <w:spacing w:val="12"/>
        </w:rPr>
        <w:t> </w:t>
      </w:r>
      <w:r>
        <w:rPr>
          <w:color w:val="231F20"/>
        </w:rPr>
        <w:t>want</w:t>
      </w:r>
      <w:r>
        <w:rPr>
          <w:color w:val="231F20"/>
          <w:spacing w:val="12"/>
        </w:rPr>
        <w:t> </w:t>
      </w:r>
      <w:r>
        <w:rPr>
          <w:color w:val="231F20"/>
        </w:rPr>
        <w:t>to</w:t>
      </w:r>
      <w:r>
        <w:rPr>
          <w:color w:val="231F20"/>
          <w:spacing w:val="11"/>
        </w:rPr>
        <w:t> </w:t>
      </w:r>
      <w:r>
        <w:rPr>
          <w:color w:val="231F20"/>
        </w:rPr>
        <w:t>associate</w:t>
      </w:r>
      <w:r>
        <w:rPr>
          <w:color w:val="231F20"/>
          <w:spacing w:val="12"/>
        </w:rPr>
        <w:t> </w:t>
      </w:r>
      <w:r>
        <w:rPr>
          <w:color w:val="231F20"/>
        </w:rPr>
        <w:t>a</w:t>
      </w:r>
      <w:r>
        <w:rPr>
          <w:color w:val="231F20"/>
          <w:spacing w:val="12"/>
        </w:rPr>
        <w:t> </w:t>
      </w:r>
      <w:r>
        <w:rPr>
          <w:color w:val="231F20"/>
        </w:rPr>
        <w:t>situation</w:t>
      </w:r>
      <w:r>
        <w:rPr>
          <w:color w:val="231F20"/>
          <w:spacing w:val="11"/>
        </w:rPr>
        <w:t> </w:t>
      </w:r>
      <w:r>
        <w:rPr>
          <w:color w:val="231F20"/>
        </w:rPr>
        <w:t>with,</w:t>
      </w:r>
      <w:r>
        <w:rPr>
          <w:color w:val="231F20"/>
          <w:spacing w:val="12"/>
        </w:rPr>
        <w:t> </w:t>
      </w:r>
      <w:r>
        <w:rPr>
          <w:color w:val="231F20"/>
        </w:rPr>
        <w:t>do</w:t>
      </w:r>
      <w:r>
        <w:rPr>
          <w:color w:val="231F20"/>
          <w:spacing w:val="12"/>
        </w:rPr>
        <w:t> </w:t>
      </w:r>
      <w:r>
        <w:rPr>
          <w:color w:val="231F20"/>
        </w:rPr>
        <w:t>the</w:t>
      </w:r>
      <w:r>
        <w:rPr>
          <w:color w:val="231F20"/>
          <w:spacing w:val="12"/>
        </w:rPr>
        <w:t> </w:t>
      </w:r>
      <w:r>
        <w:rPr>
          <w:color w:val="231F20"/>
          <w:spacing w:val="-2"/>
        </w:rPr>
        <w:t>following:</w:t>
      </w:r>
    </w:p>
    <w:p>
      <w:pPr>
        <w:pStyle w:val="Heading4"/>
        <w:spacing w:before="193"/>
        <w:ind w:left="2472"/>
      </w:pPr>
      <w:r>
        <w:rPr>
          <w:color w:val="231F20"/>
          <w:spacing w:val="-2"/>
        </w:rPr>
        <w:t>Procedure</w:t>
      </w:r>
    </w:p>
    <w:p>
      <w:pPr>
        <w:pStyle w:val="ListParagraph"/>
        <w:numPr>
          <w:ilvl w:val="0"/>
          <w:numId w:val="125"/>
        </w:numPr>
        <w:tabs>
          <w:tab w:pos="2788" w:val="left" w:leader="none"/>
        </w:tabs>
        <w:spacing w:line="213" w:lineRule="auto" w:before="62" w:after="0"/>
        <w:ind w:left="2788" w:right="540" w:hanging="316"/>
        <w:jc w:val="left"/>
        <w:rPr>
          <w:sz w:val="20"/>
        </w:rPr>
      </w:pPr>
      <w:r>
        <w:rPr>
          <w:color w:val="231F20"/>
          <w:sz w:val="20"/>
        </w:rPr>
        <w:t>Right-click the Navigator item to which you want to associate a situation. </w:t>
      </w:r>
      <w:r>
        <w:rPr>
          <w:color w:val="231F20"/>
          <w:sz w:val="20"/>
        </w:rPr>
        <w:t>If this is a correlated situation, right-click the </w:t>
      </w:r>
      <w:r>
        <w:rPr>
          <w:color w:val="231F20"/>
          <w:spacing w:val="15"/>
          <w:position w:val="-1"/>
          <w:sz w:val="20"/>
        </w:rPr>
        <w:drawing>
          <wp:inline distT="0" distB="0" distL="0" distR="0">
            <wp:extent cx="95250" cy="101600"/>
            <wp:effectExtent l="0" t="0" r="0" b="0"/>
            <wp:docPr id="2378" name="Image 2378"/>
            <wp:cNvGraphicFramePr>
              <a:graphicFrameLocks/>
            </wp:cNvGraphicFramePr>
            <a:graphic>
              <a:graphicData uri="http://schemas.openxmlformats.org/drawingml/2006/picture">
                <pic:pic>
                  <pic:nvPicPr>
                    <pic:cNvPr id="2378" name="Image 237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sz w:val="20"/>
        </w:rPr>
      </w:r>
      <w:r>
        <w:rPr>
          <w:rFonts w:ascii="Times New Roman"/>
          <w:color w:val="231F20"/>
          <w:spacing w:val="3"/>
          <w:sz w:val="20"/>
        </w:rPr>
        <w:t> </w:t>
      </w:r>
      <w:r>
        <w:rPr>
          <w:color w:val="231F20"/>
          <w:sz w:val="20"/>
        </w:rPr>
        <w:t>Enterprise Navigator item.</w:t>
      </w:r>
    </w:p>
    <w:p>
      <w:pPr>
        <w:pStyle w:val="ListParagraph"/>
        <w:numPr>
          <w:ilvl w:val="0"/>
          <w:numId w:val="125"/>
        </w:numPr>
        <w:tabs>
          <w:tab w:pos="2788" w:val="left" w:leader="none"/>
        </w:tabs>
        <w:spacing w:line="213" w:lineRule="auto" w:before="59" w:after="0"/>
        <w:ind w:left="2788" w:right="231"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379" name="Image 2379"/>
            <wp:cNvGraphicFramePr>
              <a:graphicFrameLocks/>
            </wp:cNvGraphicFramePr>
            <a:graphic>
              <a:graphicData uri="http://schemas.openxmlformats.org/drawingml/2006/picture">
                <pic:pic>
                  <pic:nvPicPr>
                    <pic:cNvPr id="2379" name="Image 2379"/>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1"/>
          <w:sz w:val="20"/>
        </w:rPr>
        <w:t> </w:t>
      </w:r>
      <w:r>
        <w:rPr>
          <w:rFonts w:ascii="Book Antiqua"/>
          <w:b/>
          <w:color w:val="231F20"/>
          <w:sz w:val="20"/>
        </w:rPr>
        <w:t>Situations</w:t>
      </w:r>
      <w:r>
        <w:rPr>
          <w:color w:val="231F20"/>
          <w:sz w:val="20"/>
        </w:rPr>
        <w:t>. </w:t>
      </w:r>
      <w:r>
        <w:rPr>
          <w:color w:val="231F20"/>
          <w:spacing w:val="16"/>
          <w:position w:val="-1"/>
          <w:sz w:val="20"/>
        </w:rPr>
        <w:drawing>
          <wp:inline distT="0" distB="0" distL="0" distR="0">
            <wp:extent cx="101600" cy="95250"/>
            <wp:effectExtent l="0" t="0" r="0" b="0"/>
            <wp:docPr id="2380" name="Image 2380"/>
            <wp:cNvGraphicFramePr>
              <a:graphicFrameLocks/>
            </wp:cNvGraphicFramePr>
            <a:graphic>
              <a:graphicData uri="http://schemas.openxmlformats.org/drawingml/2006/picture">
                <pic:pic>
                  <pic:nvPicPr>
                    <pic:cNvPr id="2380" name="Image 2380"/>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1"/>
          <w:sz w:val="20"/>
        </w:rPr>
        <w:t> </w:t>
      </w:r>
      <w:r>
        <w:rPr>
          <w:rFonts w:ascii="Book Antiqua"/>
          <w:b/>
          <w:color w:val="231F20"/>
          <w:sz w:val="20"/>
        </w:rPr>
        <w:t>Situations </w:t>
      </w:r>
      <w:r>
        <w:rPr>
          <w:color w:val="231F20"/>
          <w:sz w:val="20"/>
        </w:rPr>
        <w:t>is displayed in the pop-up menu for all Navigator items in the Physical view except for those at the operating </w:t>
      </w:r>
      <w:r>
        <w:rPr>
          <w:color w:val="231F20"/>
          <w:sz w:val="20"/>
        </w:rPr>
        <w:t>platform level (such as </w:t>
      </w:r>
      <w:r>
        <w:rPr>
          <w:color w:val="231F20"/>
          <w:spacing w:val="16"/>
          <w:position w:val="-1"/>
          <w:sz w:val="20"/>
        </w:rPr>
        <w:drawing>
          <wp:inline distT="0" distB="0" distL="0" distR="0">
            <wp:extent cx="101599" cy="95250"/>
            <wp:effectExtent l="0" t="0" r="0" b="0"/>
            <wp:docPr id="2381" name="Image 2381"/>
            <wp:cNvGraphicFramePr>
              <a:graphicFrameLocks/>
            </wp:cNvGraphicFramePr>
            <a:graphic>
              <a:graphicData uri="http://schemas.openxmlformats.org/drawingml/2006/picture">
                <pic:pic>
                  <pic:nvPicPr>
                    <pic:cNvPr id="2381" name="Image 2381"/>
                    <pic:cNvPicPr/>
                  </pic:nvPicPr>
                  <pic:blipFill>
                    <a:blip r:embed="rId82" cstate="print"/>
                    <a:stretch>
                      <a:fillRect/>
                    </a:stretch>
                  </pic:blipFill>
                  <pic:spPr>
                    <a:xfrm>
                      <a:off x="0" y="0"/>
                      <a:ext cx="101599" cy="95250"/>
                    </a:xfrm>
                    <a:prstGeom prst="rect">
                      <a:avLst/>
                    </a:prstGeom>
                  </pic:spPr>
                </pic:pic>
              </a:graphicData>
            </a:graphic>
          </wp:inline>
        </w:drawing>
      </w:r>
      <w:r>
        <w:rPr>
          <w:color w:val="231F20"/>
          <w:spacing w:val="16"/>
          <w:position w:val="-1"/>
          <w:sz w:val="20"/>
        </w:rPr>
      </w:r>
      <w:r>
        <w:rPr>
          <w:rFonts w:ascii="Times New Roman"/>
          <w:color w:val="231F20"/>
          <w:spacing w:val="-12"/>
          <w:sz w:val="20"/>
        </w:rPr>
        <w:t> </w:t>
      </w:r>
      <w:r>
        <w:rPr>
          <w:color w:val="231F20"/>
          <w:sz w:val="20"/>
        </w:rPr>
        <w:t>Linux Systems). The Enterprise item is limited to Tivoli Enterprise Monitoring Server situations distributed to *HUB_ or *ALL_CMS</w:t>
      </w:r>
    </w:p>
    <w:p>
      <w:pPr>
        <w:spacing w:after="0" w:line="213" w:lineRule="auto"/>
        <w:jc w:val="left"/>
        <w:rPr>
          <w:sz w:val="20"/>
        </w:rPr>
        <w:sectPr>
          <w:pgSz w:w="12240" w:h="15840"/>
          <w:pgMar w:header="0" w:footer="736" w:top="1220" w:bottom="920" w:left="1000" w:right="1060"/>
        </w:sectPr>
      </w:pPr>
    </w:p>
    <w:p>
      <w:pPr>
        <w:pStyle w:val="BodyText"/>
        <w:spacing w:line="213" w:lineRule="auto" w:before="85"/>
        <w:ind w:left="2548" w:right="545"/>
      </w:pPr>
      <w:bookmarkStart w:name="_bookmark210" w:id="443"/>
      <w:bookmarkEnd w:id="443"/>
      <w:r>
        <w:rPr/>
      </w:r>
      <w:r>
        <w:rPr>
          <w:color w:val="231F20"/>
        </w:rPr>
        <w:t>managed systems. A Navigator item in a custom Navigator view must have </w:t>
      </w:r>
      <w:r>
        <w:rPr>
          <w:color w:val="231F20"/>
        </w:rPr>
        <w:t>at least</w:t>
      </w:r>
      <w:r>
        <w:rPr>
          <w:color w:val="231F20"/>
          <w:spacing w:val="26"/>
        </w:rPr>
        <w:t> </w:t>
      </w:r>
      <w:r>
        <w:rPr>
          <w:color w:val="231F20"/>
        </w:rPr>
        <w:t>one</w:t>
      </w:r>
      <w:r>
        <w:rPr>
          <w:color w:val="231F20"/>
          <w:spacing w:val="26"/>
        </w:rPr>
        <w:t> </w:t>
      </w:r>
      <w:r>
        <w:rPr>
          <w:color w:val="231F20"/>
        </w:rPr>
        <w:t>managed</w:t>
      </w:r>
      <w:r>
        <w:rPr>
          <w:color w:val="231F20"/>
          <w:spacing w:val="26"/>
        </w:rPr>
        <w:t> </w:t>
      </w:r>
      <w:r>
        <w:rPr>
          <w:color w:val="231F20"/>
        </w:rPr>
        <w:t>system</w:t>
      </w:r>
      <w:r>
        <w:rPr>
          <w:color w:val="231F20"/>
          <w:spacing w:val="26"/>
        </w:rPr>
        <w:t> </w:t>
      </w:r>
      <w:r>
        <w:rPr>
          <w:color w:val="231F20"/>
        </w:rPr>
        <w:t>assigned</w:t>
      </w:r>
      <w:r>
        <w:rPr>
          <w:color w:val="231F20"/>
          <w:spacing w:val="26"/>
        </w:rPr>
        <w:t> </w:t>
      </w:r>
      <w:r>
        <w:rPr>
          <w:color w:val="231F20"/>
        </w:rPr>
        <w:t>to</w:t>
      </w:r>
      <w:r>
        <w:rPr>
          <w:color w:val="231F20"/>
          <w:spacing w:val="26"/>
        </w:rPr>
        <w:t> </w:t>
      </w:r>
      <w:r>
        <w:rPr>
          <w:color w:val="231F20"/>
        </w:rPr>
        <w:t>it,</w:t>
      </w:r>
      <w:r>
        <w:rPr>
          <w:color w:val="231F20"/>
          <w:spacing w:val="26"/>
        </w:rPr>
        <w:t> </w:t>
      </w:r>
      <w:r>
        <w:rPr>
          <w:color w:val="231F20"/>
        </w:rPr>
        <w:t>or</w:t>
      </w:r>
      <w:r>
        <w:rPr>
          <w:color w:val="231F20"/>
          <w:spacing w:val="26"/>
        </w:rPr>
        <w:t> </w:t>
      </w:r>
      <w:r>
        <w:rPr>
          <w:color w:val="231F20"/>
        </w:rPr>
        <w:t>you</w:t>
      </w:r>
      <w:r>
        <w:rPr>
          <w:color w:val="231F20"/>
          <w:spacing w:val="26"/>
        </w:rPr>
        <w:t> </w:t>
      </w:r>
      <w:r>
        <w:rPr>
          <w:color w:val="231F20"/>
        </w:rPr>
        <w:t>will</w:t>
      </w:r>
      <w:r>
        <w:rPr>
          <w:color w:val="231F20"/>
          <w:spacing w:val="26"/>
        </w:rPr>
        <w:t> </w:t>
      </w:r>
      <w:r>
        <w:rPr>
          <w:color w:val="231F20"/>
        </w:rPr>
        <w:t>not</w:t>
      </w:r>
      <w:r>
        <w:rPr>
          <w:color w:val="231F20"/>
          <w:spacing w:val="26"/>
        </w:rPr>
        <w:t> </w:t>
      </w:r>
      <w:r>
        <w:rPr>
          <w:color w:val="231F20"/>
        </w:rPr>
        <w:t>see</w:t>
      </w:r>
      <w:r>
        <w:rPr>
          <w:color w:val="231F20"/>
          <w:spacing w:val="15"/>
        </w:rPr>
        <w:t> </w:t>
      </w:r>
      <w:r>
        <w:rPr>
          <w:color w:val="231F20"/>
          <w:spacing w:val="15"/>
          <w:position w:val="-1"/>
        </w:rPr>
        <w:drawing>
          <wp:inline distT="0" distB="0" distL="0" distR="0">
            <wp:extent cx="101600" cy="95250"/>
            <wp:effectExtent l="0" t="0" r="0" b="0"/>
            <wp:docPr id="2382" name="Image 2382"/>
            <wp:cNvGraphicFramePr>
              <a:graphicFrameLocks/>
            </wp:cNvGraphicFramePr>
            <a:graphic>
              <a:graphicData uri="http://schemas.openxmlformats.org/drawingml/2006/picture">
                <pic:pic>
                  <pic:nvPicPr>
                    <pic:cNvPr id="2382" name="Image 238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1"/>
        </w:rPr>
        <w:t> </w:t>
      </w:r>
      <w:r>
        <w:rPr>
          <w:rFonts w:ascii="Book Antiqua"/>
          <w:b/>
          <w:color w:val="231F20"/>
        </w:rPr>
        <w:t>Situations</w:t>
      </w:r>
      <w:r>
        <w:rPr>
          <w:rFonts w:ascii="Book Antiqua"/>
          <w:b/>
          <w:color w:val="231F20"/>
          <w:spacing w:val="26"/>
        </w:rPr>
        <w:t> </w:t>
      </w:r>
      <w:r>
        <w:rPr>
          <w:color w:val="231F20"/>
        </w:rPr>
        <w:t>in the pop-up menu.</w:t>
      </w:r>
    </w:p>
    <w:p>
      <w:pPr>
        <w:pStyle w:val="BodyText"/>
        <w:spacing w:line="213" w:lineRule="auto" w:before="57"/>
        <w:ind w:left="2548" w:right="545"/>
      </w:pPr>
      <w:r>
        <w:rPr>
          <w:color w:val="231F20"/>
        </w:rPr>
        <w:t>The Situation editor opens with the list of situations that have been </w:t>
      </w:r>
      <w:r>
        <w:rPr>
          <w:color w:val="231F20"/>
        </w:rPr>
        <w:t>associated with this Navigator item.</w:t>
      </w:r>
    </w:p>
    <w:p>
      <w:pPr>
        <w:pStyle w:val="ListParagraph"/>
        <w:numPr>
          <w:ilvl w:val="0"/>
          <w:numId w:val="125"/>
        </w:numPr>
        <w:tabs>
          <w:tab w:pos="2547" w:val="left" w:leader="none"/>
        </w:tabs>
        <w:spacing w:line="240" w:lineRule="auto" w:before="36" w:after="0"/>
        <w:ind w:left="2547" w:right="0" w:hanging="315"/>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101600"/>
            <wp:effectExtent l="0" t="0" r="0" b="0"/>
            <wp:docPr id="2383" name="Image 2383"/>
            <wp:cNvGraphicFramePr>
              <a:graphicFrameLocks/>
            </wp:cNvGraphicFramePr>
            <a:graphic>
              <a:graphicData uri="http://schemas.openxmlformats.org/drawingml/2006/picture">
                <pic:pic>
                  <pic:nvPicPr>
                    <pic:cNvPr id="2383" name="Image 2383"/>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6"/>
          <w:w w:val="150"/>
          <w:sz w:val="20"/>
        </w:rPr>
        <w:t> </w:t>
      </w:r>
      <w:r>
        <w:rPr>
          <w:rFonts w:ascii="Book Antiqua"/>
          <w:b/>
          <w:color w:val="231F20"/>
          <w:sz w:val="20"/>
        </w:rPr>
        <w:t>Situation</w:t>
      </w:r>
      <w:r>
        <w:rPr>
          <w:rFonts w:ascii="Book Antiqua"/>
          <w:b/>
          <w:color w:val="231F20"/>
          <w:spacing w:val="12"/>
          <w:sz w:val="20"/>
        </w:rPr>
        <w:t> </w:t>
      </w:r>
      <w:r>
        <w:rPr>
          <w:rFonts w:ascii="Book Antiqua"/>
          <w:b/>
          <w:color w:val="231F20"/>
          <w:sz w:val="20"/>
        </w:rPr>
        <w:t>Filter</w:t>
      </w:r>
      <w:r>
        <w:rPr>
          <w:rFonts w:ascii="Book Antiqua"/>
          <w:b/>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the</w:t>
      </w:r>
      <w:r>
        <w:rPr>
          <w:color w:val="231F20"/>
          <w:spacing w:val="12"/>
          <w:sz w:val="20"/>
        </w:rPr>
        <w:t> </w:t>
      </w:r>
      <w:r>
        <w:rPr>
          <w:color w:val="231F20"/>
          <w:sz w:val="20"/>
        </w:rPr>
        <w:t>Show</w:t>
      </w:r>
      <w:r>
        <w:rPr>
          <w:color w:val="231F20"/>
          <w:spacing w:val="12"/>
          <w:sz w:val="20"/>
        </w:rPr>
        <w:t> </w:t>
      </w:r>
      <w:r>
        <w:rPr>
          <w:color w:val="231F20"/>
          <w:sz w:val="20"/>
        </w:rPr>
        <w:t>Situations</w:t>
      </w:r>
      <w:r>
        <w:rPr>
          <w:color w:val="231F20"/>
          <w:spacing w:val="12"/>
          <w:sz w:val="20"/>
        </w:rPr>
        <w:t> </w:t>
      </w:r>
      <w:r>
        <w:rPr>
          <w:color w:val="231F20"/>
          <w:spacing w:val="-2"/>
          <w:sz w:val="20"/>
        </w:rPr>
        <w:t>window.</w:t>
      </w:r>
    </w:p>
    <w:p>
      <w:pPr>
        <w:pStyle w:val="ListParagraph"/>
        <w:numPr>
          <w:ilvl w:val="0"/>
          <w:numId w:val="125"/>
        </w:numPr>
        <w:tabs>
          <w:tab w:pos="2548" w:val="left" w:leader="none"/>
        </w:tabs>
        <w:spacing w:line="213" w:lineRule="auto" w:before="58" w:after="0"/>
        <w:ind w:left="2548" w:right="658" w:hanging="316"/>
        <w:jc w:val="left"/>
        <w:rPr>
          <w:sz w:val="20"/>
        </w:rPr>
      </w:pPr>
      <w:r>
        <w:rPr>
          <w:color w:val="231F20"/>
          <w:sz w:val="20"/>
        </w:rPr>
        <w:t>Select </w:t>
      </w:r>
      <w:r>
        <w:rPr>
          <w:color w:val="231F20"/>
          <w:spacing w:val="16"/>
          <w:sz w:val="20"/>
        </w:rPr>
        <w:drawing>
          <wp:inline distT="0" distB="0" distL="0" distR="0">
            <wp:extent cx="82550" cy="82550"/>
            <wp:effectExtent l="0" t="0" r="0" b="0"/>
            <wp:docPr id="2384" name="Image 2384"/>
            <wp:cNvGraphicFramePr>
              <a:graphicFrameLocks/>
            </wp:cNvGraphicFramePr>
            <a:graphic>
              <a:graphicData uri="http://schemas.openxmlformats.org/drawingml/2006/picture">
                <pic:pic>
                  <pic:nvPicPr>
                    <pic:cNvPr id="2384" name="Image 238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Eligible for Association </w:t>
      </w:r>
      <w:r>
        <w:rPr>
          <w:color w:val="231F20"/>
          <w:sz w:val="20"/>
        </w:rPr>
        <w:t>and clear </w:t>
      </w:r>
      <w:r>
        <w:rPr>
          <w:color w:val="231F20"/>
          <w:spacing w:val="15"/>
          <w:sz w:val="20"/>
        </w:rPr>
        <w:drawing>
          <wp:inline distT="0" distB="0" distL="0" distR="0">
            <wp:extent cx="82550" cy="82550"/>
            <wp:effectExtent l="0" t="0" r="0" b="0"/>
            <wp:docPr id="2385" name="Image 2385"/>
            <wp:cNvGraphicFramePr>
              <a:graphicFrameLocks/>
            </wp:cNvGraphicFramePr>
            <a:graphic>
              <a:graphicData uri="http://schemas.openxmlformats.org/drawingml/2006/picture">
                <pic:pic>
                  <pic:nvPicPr>
                    <pic:cNvPr id="2385" name="Image 2385"/>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7"/>
          <w:sz w:val="20"/>
        </w:rPr>
        <w:t> </w:t>
      </w:r>
      <w:r>
        <w:rPr>
          <w:rFonts w:ascii="Book Antiqua"/>
          <w:b/>
          <w:color w:val="231F20"/>
          <w:sz w:val="20"/>
        </w:rPr>
        <w:t>Associated with this Object</w:t>
      </w:r>
      <w:r>
        <w:rPr>
          <w:color w:val="231F20"/>
          <w:sz w:val="20"/>
        </w:rPr>
        <w:t>. If you are associating a situation with the Enterprise item in the Navigator Physical view, also select </w:t>
      </w:r>
      <w:r>
        <w:rPr>
          <w:color w:val="231F20"/>
          <w:spacing w:val="15"/>
          <w:sz w:val="20"/>
        </w:rPr>
        <w:drawing>
          <wp:inline distT="0" distB="0" distL="0" distR="0">
            <wp:extent cx="82550" cy="82550"/>
            <wp:effectExtent l="0" t="0" r="0" b="0"/>
            <wp:docPr id="2386" name="Image 2386"/>
            <wp:cNvGraphicFramePr>
              <a:graphicFrameLocks/>
            </wp:cNvGraphicFramePr>
            <a:graphic>
              <a:graphicData uri="http://schemas.openxmlformats.org/drawingml/2006/picture">
                <pic:pic>
                  <pic:nvPicPr>
                    <pic:cNvPr id="2386" name="Image 2386"/>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Associated with Monitored Application</w:t>
      </w:r>
      <w:r>
        <w:rPr>
          <w:color w:val="231F20"/>
          <w:sz w:val="20"/>
        </w:rPr>
        <w:t>.</w:t>
      </w:r>
    </w:p>
    <w:p>
      <w:pPr>
        <w:pStyle w:val="ListParagraph"/>
        <w:numPr>
          <w:ilvl w:val="0"/>
          <w:numId w:val="125"/>
        </w:numPr>
        <w:tabs>
          <w:tab w:pos="2548" w:val="left" w:leader="none"/>
        </w:tabs>
        <w:spacing w:line="213" w:lineRule="auto" w:before="52" w:after="0"/>
        <w:ind w:left="2548" w:right="584" w:hanging="316"/>
        <w:jc w:val="left"/>
        <w:rPr>
          <w:sz w:val="20"/>
        </w:rPr>
      </w:pPr>
      <w:r>
        <w:rPr>
          <w:color w:val="231F20"/>
          <w:sz w:val="20"/>
        </w:rPr>
        <w:t>If you want to apply a different event state to the situation than the default critical state (or the one it was created with) or you want to apply an event</w:t>
      </w:r>
      <w:r>
        <w:rPr>
          <w:color w:val="231F20"/>
          <w:spacing w:val="40"/>
          <w:sz w:val="20"/>
        </w:rPr>
        <w:t> </w:t>
      </w:r>
      <w:r>
        <w:rPr>
          <w:color w:val="231F20"/>
          <w:sz w:val="20"/>
        </w:rPr>
        <w:t>sound,</w:t>
      </w:r>
      <w:r>
        <w:rPr>
          <w:color w:val="231F20"/>
          <w:spacing w:val="12"/>
          <w:sz w:val="20"/>
        </w:rPr>
        <w:t> </w:t>
      </w:r>
      <w:r>
        <w:rPr>
          <w:color w:val="231F20"/>
          <w:sz w:val="20"/>
        </w:rPr>
        <w:t>select</w:t>
      </w:r>
      <w:r>
        <w:rPr>
          <w:color w:val="231F20"/>
          <w:spacing w:val="12"/>
          <w:sz w:val="20"/>
        </w:rPr>
        <w:t> </w:t>
      </w:r>
      <w:r>
        <w:rPr>
          <w:color w:val="231F20"/>
          <w:sz w:val="20"/>
        </w:rPr>
        <w:t>the</w:t>
      </w:r>
      <w:r>
        <w:rPr>
          <w:color w:val="231F20"/>
          <w:spacing w:val="12"/>
          <w:sz w:val="20"/>
        </w:rPr>
        <w:t> </w:t>
      </w:r>
      <w:r>
        <w:rPr>
          <w:color w:val="231F20"/>
          <w:sz w:val="20"/>
        </w:rPr>
        <w:t>situation</w:t>
      </w:r>
      <w:r>
        <w:rPr>
          <w:color w:val="231F20"/>
          <w:spacing w:val="12"/>
          <w:sz w:val="20"/>
        </w:rPr>
        <w:t> </w:t>
      </w:r>
      <w:r>
        <w:rPr>
          <w:color w:val="231F20"/>
          <w:sz w:val="20"/>
        </w:rPr>
        <w:t>from</w:t>
      </w:r>
      <w:r>
        <w:rPr>
          <w:color w:val="231F20"/>
          <w:spacing w:val="12"/>
          <w:sz w:val="20"/>
        </w:rPr>
        <w:t> </w:t>
      </w:r>
      <w:r>
        <w:rPr>
          <w:color w:val="231F20"/>
          <w:sz w:val="20"/>
        </w:rPr>
        <w:t>the</w:t>
      </w:r>
      <w:r>
        <w:rPr>
          <w:color w:val="231F20"/>
          <w:spacing w:val="12"/>
          <w:sz w:val="20"/>
        </w:rPr>
        <w:t> </w:t>
      </w:r>
      <w:r>
        <w:rPr>
          <w:color w:val="231F20"/>
          <w:sz w:val="20"/>
        </w:rPr>
        <w:t>tree,</w:t>
      </w:r>
      <w:r>
        <w:rPr>
          <w:color w:val="231F20"/>
          <w:spacing w:val="12"/>
          <w:sz w:val="20"/>
        </w:rPr>
        <w:t> </w:t>
      </w:r>
      <w:r>
        <w:rPr>
          <w:color w:val="231F20"/>
          <w:sz w:val="20"/>
        </w:rPr>
        <w:t>then</w:t>
      </w:r>
      <w:r>
        <w:rPr>
          <w:color w:val="231F20"/>
          <w:spacing w:val="12"/>
          <w:sz w:val="20"/>
        </w:rPr>
        <w:t> </w:t>
      </w:r>
      <w:r>
        <w:rPr>
          <w:color w:val="231F20"/>
          <w:sz w:val="20"/>
        </w:rPr>
        <w:t>do</w:t>
      </w:r>
      <w:r>
        <w:rPr>
          <w:color w:val="231F20"/>
          <w:spacing w:val="12"/>
          <w:sz w:val="20"/>
        </w:rPr>
        <w:t> </w:t>
      </w:r>
      <w:r>
        <w:rPr>
          <w:color w:val="231F20"/>
          <w:sz w:val="20"/>
        </w:rPr>
        <w:t>one</w:t>
      </w:r>
      <w:r>
        <w:rPr>
          <w:color w:val="231F20"/>
          <w:spacing w:val="12"/>
          <w:sz w:val="20"/>
        </w:rPr>
        <w:t> </w:t>
      </w:r>
      <w:r>
        <w:rPr>
          <w:color w:val="231F20"/>
          <w:sz w:val="20"/>
        </w:rPr>
        <w:t>or</w:t>
      </w:r>
      <w:r>
        <w:rPr>
          <w:color w:val="231F20"/>
          <w:spacing w:val="12"/>
          <w:sz w:val="20"/>
        </w:rPr>
        <w:t> </w:t>
      </w:r>
      <w:r>
        <w:rPr>
          <w:color w:val="231F20"/>
          <w:sz w:val="20"/>
        </w:rPr>
        <w:t>both</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p>
    <w:p>
      <w:pPr>
        <w:pStyle w:val="BodyText"/>
        <w:spacing w:before="35"/>
        <w:ind w:left="2548"/>
      </w:pPr>
      <w:r>
        <w:rPr>
          <w:rFonts w:ascii="Futura MdCn BT"/>
          <w:color w:val="231F20"/>
        </w:rPr>
        <w:t>v</w:t>
      </w:r>
      <w:r>
        <w:rPr>
          <w:rFonts w:ascii="Futura MdCn BT"/>
          <w:color w:val="231F20"/>
          <w:spacing w:val="30"/>
        </w:rPr>
        <w:t>  </w:t>
      </w:r>
      <w:r>
        <w:rPr>
          <w:color w:val="231F20"/>
        </w:rPr>
        <w:t>In</w:t>
      </w:r>
      <w:r>
        <w:rPr>
          <w:color w:val="231F20"/>
          <w:spacing w:val="13"/>
        </w:rPr>
        <w:t> </w:t>
      </w:r>
      <w:r>
        <w:rPr>
          <w:color w:val="231F20"/>
        </w:rPr>
        <w:t>the</w:t>
      </w:r>
      <w:r>
        <w:rPr>
          <w:color w:val="231F20"/>
          <w:spacing w:val="12"/>
        </w:rPr>
        <w:t> </w:t>
      </w:r>
      <w:r>
        <w:rPr>
          <w:rFonts w:ascii="Book Antiqua"/>
          <w:b/>
          <w:color w:val="231F20"/>
        </w:rPr>
        <w:t>State</w:t>
      </w:r>
      <w:r>
        <w:rPr>
          <w:rFonts w:ascii="Book Antiqua"/>
          <w:b/>
          <w:color w:val="231F20"/>
          <w:spacing w:val="12"/>
        </w:rPr>
        <w:t> </w:t>
      </w:r>
      <w:r>
        <w:rPr>
          <w:color w:val="231F20"/>
        </w:rPr>
        <w:t>area,</w:t>
      </w:r>
      <w:r>
        <w:rPr>
          <w:color w:val="231F20"/>
          <w:spacing w:val="12"/>
        </w:rPr>
        <w:t> </w:t>
      </w:r>
      <w:r>
        <w:rPr>
          <w:color w:val="231F20"/>
        </w:rPr>
        <w:t>select</w:t>
      </w:r>
      <w:r>
        <w:rPr>
          <w:color w:val="231F20"/>
          <w:spacing w:val="11"/>
        </w:rPr>
        <w:t> </w:t>
      </w:r>
      <w:r>
        <w:rPr>
          <w:color w:val="231F20"/>
        </w:rPr>
        <w:t>a</w:t>
      </w:r>
      <w:r>
        <w:rPr>
          <w:color w:val="231F20"/>
          <w:spacing w:val="12"/>
        </w:rPr>
        <w:t> </w:t>
      </w:r>
      <w:r>
        <w:rPr>
          <w:color w:val="231F20"/>
        </w:rPr>
        <w:t>different</w:t>
      </w:r>
      <w:r>
        <w:rPr>
          <w:color w:val="231F20"/>
          <w:spacing w:val="12"/>
        </w:rPr>
        <w:t> </w:t>
      </w:r>
      <w:r>
        <w:rPr>
          <w:color w:val="231F20"/>
          <w:spacing w:val="-2"/>
        </w:rPr>
        <w:t>state.</w:t>
      </w:r>
    </w:p>
    <w:p>
      <w:pPr>
        <w:pStyle w:val="BodyText"/>
        <w:spacing w:line="252" w:lineRule="exact" w:before="35"/>
        <w:ind w:left="2548"/>
      </w:pPr>
      <w:r>
        <w:rPr>
          <w:rFonts w:ascii="Futura MdCn BT"/>
          <w:color w:val="231F20"/>
        </w:rPr>
        <w:t>v</w:t>
      </w:r>
      <w:r>
        <w:rPr>
          <w:rFonts w:ascii="Futura MdCn BT"/>
          <w:color w:val="231F20"/>
          <w:spacing w:val="31"/>
        </w:rPr>
        <w:t>  </w:t>
      </w:r>
      <w:r>
        <w:rPr>
          <w:color w:val="231F20"/>
        </w:rPr>
        <w:t>In</w:t>
      </w:r>
      <w:r>
        <w:rPr>
          <w:color w:val="231F20"/>
          <w:spacing w:val="14"/>
        </w:rPr>
        <w:t> </w:t>
      </w:r>
      <w:r>
        <w:rPr>
          <w:color w:val="231F20"/>
        </w:rPr>
        <w:t>the</w:t>
      </w:r>
      <w:r>
        <w:rPr>
          <w:color w:val="231F20"/>
          <w:spacing w:val="12"/>
        </w:rPr>
        <w:t> </w:t>
      </w:r>
      <w:r>
        <w:rPr>
          <w:color w:val="231F20"/>
        </w:rPr>
        <w:t>"Sound"</w:t>
      </w:r>
      <w:r>
        <w:rPr>
          <w:color w:val="231F20"/>
          <w:spacing w:val="13"/>
        </w:rPr>
        <w:t> </w:t>
      </w:r>
      <w:r>
        <w:rPr>
          <w:color w:val="231F20"/>
        </w:rPr>
        <w:t>area,</w:t>
      </w:r>
      <w:r>
        <w:rPr>
          <w:color w:val="231F20"/>
          <w:spacing w:val="13"/>
        </w:rPr>
        <w:t> </w:t>
      </w:r>
      <w:r>
        <w:rPr>
          <w:color w:val="231F20"/>
        </w:rPr>
        <w:t>select</w:t>
      </w:r>
      <w:r>
        <w:rPr>
          <w:color w:val="231F20"/>
          <w:spacing w:val="11"/>
        </w:rPr>
        <w:t> </w:t>
      </w:r>
      <w:r>
        <w:rPr>
          <w:color w:val="231F20"/>
          <w:spacing w:val="15"/>
        </w:rPr>
        <w:drawing>
          <wp:inline distT="0" distB="0" distL="0" distR="0">
            <wp:extent cx="82550" cy="82550"/>
            <wp:effectExtent l="0" t="0" r="0" b="0"/>
            <wp:docPr id="2387" name="Image 2387"/>
            <wp:cNvGraphicFramePr>
              <a:graphicFrameLocks/>
            </wp:cNvGraphicFramePr>
            <a:graphic>
              <a:graphicData uri="http://schemas.openxmlformats.org/drawingml/2006/picture">
                <pic:pic>
                  <pic:nvPicPr>
                    <pic:cNvPr id="2387" name="Image 238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55"/>
        </w:rPr>
        <w:t> </w:t>
      </w:r>
      <w:r>
        <w:rPr>
          <w:rFonts w:ascii="Book Antiqua"/>
          <w:b/>
          <w:color w:val="231F20"/>
        </w:rPr>
        <w:t>Enable</w:t>
      </w:r>
      <w:r>
        <w:rPr>
          <w:color w:val="231F20"/>
        </w:rPr>
        <w:t>.</w:t>
      </w:r>
      <w:r>
        <w:rPr>
          <w:color w:val="231F20"/>
          <w:spacing w:val="13"/>
        </w:rPr>
        <w:t> </w:t>
      </w:r>
      <w:r>
        <w:rPr>
          <w:color w:val="231F20"/>
        </w:rPr>
        <w:t>If</w:t>
      </w:r>
      <w:r>
        <w:rPr>
          <w:color w:val="231F20"/>
          <w:spacing w:val="13"/>
        </w:rPr>
        <w:t> </w:t>
      </w:r>
      <w:r>
        <w:rPr>
          <w:color w:val="231F20"/>
        </w:rPr>
        <w:t>you</w:t>
      </w:r>
      <w:r>
        <w:rPr>
          <w:color w:val="231F20"/>
          <w:spacing w:val="12"/>
        </w:rPr>
        <w:t> </w:t>
      </w:r>
      <w:r>
        <w:rPr>
          <w:color w:val="231F20"/>
        </w:rPr>
        <w:t>want</w:t>
      </w:r>
      <w:r>
        <w:rPr>
          <w:color w:val="231F20"/>
          <w:spacing w:val="13"/>
        </w:rPr>
        <w:t> </w:t>
      </w:r>
      <w:r>
        <w:rPr>
          <w:color w:val="231F20"/>
        </w:rPr>
        <w:t>to</w:t>
      </w:r>
      <w:r>
        <w:rPr>
          <w:color w:val="231F20"/>
          <w:spacing w:val="12"/>
        </w:rPr>
        <w:t> </w:t>
      </w:r>
      <w:r>
        <w:rPr>
          <w:color w:val="231F20"/>
        </w:rPr>
        <w:t>change</w:t>
      </w:r>
      <w:r>
        <w:rPr>
          <w:color w:val="231F20"/>
          <w:spacing w:val="13"/>
        </w:rPr>
        <w:t> </w:t>
      </w:r>
      <w:r>
        <w:rPr>
          <w:color w:val="231F20"/>
        </w:rPr>
        <w:t>the</w:t>
      </w:r>
      <w:r>
        <w:rPr>
          <w:color w:val="231F20"/>
          <w:spacing w:val="12"/>
        </w:rPr>
        <w:t> </w:t>
      </w:r>
      <w:r>
        <w:rPr>
          <w:color w:val="231F20"/>
        </w:rPr>
        <w:t>sound,</w:t>
      </w:r>
      <w:r>
        <w:rPr>
          <w:color w:val="231F20"/>
          <w:spacing w:val="13"/>
        </w:rPr>
        <w:t> </w:t>
      </w:r>
      <w:r>
        <w:rPr>
          <w:color w:val="231F20"/>
          <w:spacing w:val="-2"/>
        </w:rPr>
        <w:t>click</w:t>
      </w:r>
    </w:p>
    <w:p>
      <w:pPr>
        <w:pStyle w:val="Heading6"/>
        <w:spacing w:line="252" w:lineRule="exact" w:before="0"/>
        <w:ind w:left="0" w:right="4221"/>
        <w:jc w:val="center"/>
        <w:rPr>
          <w:rFonts w:ascii="Palatino Linotype"/>
          <w:b w:val="0"/>
        </w:rPr>
      </w:pPr>
      <w:r>
        <w:rPr>
          <w:color w:val="231F20"/>
          <w:spacing w:val="-2"/>
        </w:rPr>
        <w:t>Edit</w:t>
      </w:r>
      <w:r>
        <w:rPr>
          <w:rFonts w:ascii="Palatino Linotype"/>
          <w:b w:val="0"/>
          <w:color w:val="231F20"/>
          <w:spacing w:val="-2"/>
        </w:rPr>
        <w:t>.</w:t>
      </w:r>
    </w:p>
    <w:p>
      <w:pPr>
        <w:pStyle w:val="BodyText"/>
        <w:spacing w:line="213" w:lineRule="auto" w:before="52"/>
        <w:ind w:left="2764" w:right="545"/>
      </w:pPr>
      <w:r>
        <w:rPr>
          <w:color w:val="231F20"/>
        </w:rPr>
        <w:t>This ability to change the event state and sound enables you to qualify </w:t>
      </w:r>
      <w:r>
        <w:rPr>
          <w:color w:val="231F20"/>
        </w:rPr>
        <w:t>the severity of a situation for different Navigator items.</w:t>
      </w:r>
    </w:p>
    <w:p>
      <w:pPr>
        <w:pStyle w:val="ListParagraph"/>
        <w:numPr>
          <w:ilvl w:val="0"/>
          <w:numId w:val="125"/>
        </w:numPr>
        <w:tabs>
          <w:tab w:pos="2547" w:val="left" w:leader="none"/>
        </w:tabs>
        <w:spacing w:line="252" w:lineRule="exact" w:before="41" w:after="0"/>
        <w:ind w:left="2547" w:right="0" w:hanging="315"/>
        <w:jc w:val="left"/>
        <w:rPr>
          <w:sz w:val="20"/>
        </w:rPr>
      </w:pPr>
      <w:r>
        <w:rPr>
          <w:color w:val="231F20"/>
          <w:sz w:val="20"/>
        </w:rPr>
        <w:t>Right-click</w:t>
      </w:r>
      <w:r>
        <w:rPr>
          <w:color w:val="231F20"/>
          <w:spacing w:val="15"/>
          <w:sz w:val="20"/>
        </w:rPr>
        <w:t> </w:t>
      </w:r>
      <w:r>
        <w:rPr>
          <w:color w:val="231F20"/>
          <w:sz w:val="20"/>
        </w:rPr>
        <w:t>the</w:t>
      </w:r>
      <w:r>
        <w:rPr>
          <w:color w:val="231F20"/>
          <w:spacing w:val="15"/>
          <w:sz w:val="20"/>
        </w:rPr>
        <w:t> </w:t>
      </w:r>
      <w:r>
        <w:rPr>
          <w:color w:val="231F20"/>
          <w:sz w:val="20"/>
        </w:rPr>
        <w:t>situation</w:t>
      </w:r>
      <w:r>
        <w:rPr>
          <w:color w:val="231F20"/>
          <w:spacing w:val="15"/>
          <w:sz w:val="20"/>
        </w:rPr>
        <w:t> </w:t>
      </w:r>
      <w:r>
        <w:rPr>
          <w:color w:val="231F20"/>
          <w:sz w:val="20"/>
        </w:rPr>
        <w:t>to</w:t>
      </w:r>
      <w:r>
        <w:rPr>
          <w:color w:val="231F20"/>
          <w:spacing w:val="15"/>
          <w:sz w:val="20"/>
        </w:rPr>
        <w:t> </w:t>
      </w:r>
      <w:r>
        <w:rPr>
          <w:color w:val="231F20"/>
          <w:sz w:val="20"/>
        </w:rPr>
        <w:t>associate</w:t>
      </w:r>
      <w:r>
        <w:rPr>
          <w:color w:val="231F20"/>
          <w:spacing w:val="15"/>
          <w:sz w:val="20"/>
        </w:rPr>
        <w:t> </w:t>
      </w:r>
      <w:r>
        <w:rPr>
          <w:color w:val="231F20"/>
          <w:sz w:val="20"/>
        </w:rPr>
        <w:t>with</w:t>
      </w:r>
      <w:r>
        <w:rPr>
          <w:color w:val="231F20"/>
          <w:spacing w:val="15"/>
          <w:sz w:val="20"/>
        </w:rPr>
        <w:t> </w:t>
      </w:r>
      <w:r>
        <w:rPr>
          <w:color w:val="231F20"/>
          <w:sz w:val="20"/>
        </w:rPr>
        <w:t>the</w:t>
      </w:r>
      <w:r>
        <w:rPr>
          <w:color w:val="231F20"/>
          <w:spacing w:val="15"/>
          <w:sz w:val="20"/>
        </w:rPr>
        <w:t> </w:t>
      </w:r>
      <w:r>
        <w:rPr>
          <w:color w:val="231F20"/>
          <w:sz w:val="20"/>
        </w:rPr>
        <w:t>Navigator</w:t>
      </w:r>
      <w:r>
        <w:rPr>
          <w:color w:val="231F20"/>
          <w:spacing w:val="15"/>
          <w:sz w:val="20"/>
        </w:rPr>
        <w:t> </w:t>
      </w:r>
      <w:r>
        <w:rPr>
          <w:color w:val="231F20"/>
          <w:sz w:val="20"/>
        </w:rPr>
        <w:t>item</w:t>
      </w:r>
      <w:r>
        <w:rPr>
          <w:color w:val="231F20"/>
          <w:spacing w:val="15"/>
          <w:sz w:val="20"/>
        </w:rPr>
        <w:t> </w:t>
      </w:r>
      <w:r>
        <w:rPr>
          <w:color w:val="231F20"/>
          <w:sz w:val="20"/>
        </w:rPr>
        <w:t>and</w:t>
      </w:r>
      <w:r>
        <w:rPr>
          <w:color w:val="231F20"/>
          <w:spacing w:val="15"/>
          <w:sz w:val="20"/>
        </w:rPr>
        <w:t> </w:t>
      </w:r>
      <w:r>
        <w:rPr>
          <w:color w:val="231F20"/>
          <w:sz w:val="20"/>
        </w:rPr>
        <w:t>click</w:t>
      </w:r>
      <w:r>
        <w:rPr>
          <w:color w:val="231F20"/>
          <w:spacing w:val="32"/>
          <w:sz w:val="20"/>
        </w:rPr>
        <w:t> </w:t>
      </w:r>
      <w:r>
        <w:rPr>
          <w:color w:val="231F20"/>
          <w:spacing w:val="-16"/>
          <w:sz w:val="20"/>
        </w:rPr>
        <w:drawing>
          <wp:inline distT="0" distB="0" distL="0" distR="0">
            <wp:extent cx="101600" cy="88900"/>
            <wp:effectExtent l="0" t="0" r="0" b="0"/>
            <wp:docPr id="2388" name="Image 2388"/>
            <wp:cNvGraphicFramePr>
              <a:graphicFrameLocks/>
            </wp:cNvGraphicFramePr>
            <a:graphic>
              <a:graphicData uri="http://schemas.openxmlformats.org/drawingml/2006/picture">
                <pic:pic>
                  <pic:nvPicPr>
                    <pic:cNvPr id="2388" name="Image 2388"/>
                    <pic:cNvPicPr/>
                  </pic:nvPicPr>
                  <pic:blipFill>
                    <a:blip r:embed="rId377" cstate="print"/>
                    <a:stretch>
                      <a:fillRect/>
                    </a:stretch>
                  </pic:blipFill>
                  <pic:spPr>
                    <a:xfrm>
                      <a:off x="0" y="0"/>
                      <a:ext cx="101600" cy="88900"/>
                    </a:xfrm>
                    <a:prstGeom prst="rect">
                      <a:avLst/>
                    </a:prstGeom>
                  </pic:spPr>
                </pic:pic>
              </a:graphicData>
            </a:graphic>
          </wp:inline>
        </w:drawing>
      </w:r>
      <w:r>
        <w:rPr>
          <w:color w:val="231F20"/>
          <w:spacing w:val="-16"/>
          <w:sz w:val="20"/>
        </w:rPr>
      </w:r>
    </w:p>
    <w:p>
      <w:pPr>
        <w:pStyle w:val="Heading6"/>
        <w:spacing w:line="252" w:lineRule="exact" w:before="0"/>
        <w:ind w:left="0" w:right="4165"/>
        <w:jc w:val="center"/>
        <w:rPr>
          <w:rFonts w:ascii="Palatino Linotype"/>
          <w:b w:val="0"/>
        </w:rPr>
      </w:pPr>
      <w:r>
        <w:rPr>
          <w:color w:val="231F20"/>
          <w:spacing w:val="-2"/>
        </w:rPr>
        <w:t>Associate</w:t>
      </w:r>
      <w:r>
        <w:rPr>
          <w:rFonts w:ascii="Palatino Linotype"/>
          <w:b w:val="0"/>
          <w:color w:val="231F20"/>
          <w:spacing w:val="-2"/>
        </w:rPr>
        <w:t>.</w:t>
      </w:r>
    </w:p>
    <w:p>
      <w:pPr>
        <w:pStyle w:val="ListParagraph"/>
        <w:numPr>
          <w:ilvl w:val="0"/>
          <w:numId w:val="125"/>
        </w:numPr>
        <w:tabs>
          <w:tab w:pos="2548" w:val="left" w:leader="none"/>
        </w:tabs>
        <w:spacing w:line="213" w:lineRule="auto" w:before="52" w:after="0"/>
        <w:ind w:left="2548" w:right="403" w:hanging="316"/>
        <w:jc w:val="left"/>
        <w:rPr>
          <w:sz w:val="20"/>
        </w:rPr>
      </w:pPr>
      <w:r>
        <w:rPr>
          <w:color w:val="231F20"/>
          <w:sz w:val="20"/>
        </w:rPr>
        <w:t>When you are finished, check your work by clicking</w:t>
      </w:r>
      <w:r>
        <w:rPr>
          <w:color w:val="231F20"/>
          <w:spacing w:val="18"/>
          <w:sz w:val="20"/>
        </w:rPr>
        <w:t> </w:t>
      </w:r>
      <w:r>
        <w:rPr>
          <w:color w:val="231F20"/>
          <w:spacing w:val="-25"/>
          <w:position w:val="-1"/>
          <w:sz w:val="20"/>
        </w:rPr>
        <w:drawing>
          <wp:inline distT="0" distB="0" distL="0" distR="0">
            <wp:extent cx="95250" cy="101600"/>
            <wp:effectExtent l="0" t="0" r="0" b="0"/>
            <wp:docPr id="2389" name="Image 2389"/>
            <wp:cNvGraphicFramePr>
              <a:graphicFrameLocks/>
            </wp:cNvGraphicFramePr>
            <a:graphic>
              <a:graphicData uri="http://schemas.openxmlformats.org/drawingml/2006/picture">
                <pic:pic>
                  <pic:nvPicPr>
                    <pic:cNvPr id="2389" name="Image 2389"/>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7"/>
          <w:sz w:val="20"/>
        </w:rPr>
        <w:t> </w:t>
      </w:r>
      <w:r>
        <w:rPr>
          <w:rFonts w:ascii="Book Antiqua"/>
          <w:b/>
          <w:color w:val="231F20"/>
          <w:sz w:val="20"/>
        </w:rPr>
        <w:t>Situation Filter</w:t>
      </w:r>
      <w:r>
        <w:rPr>
          <w:color w:val="231F20"/>
          <w:sz w:val="20"/>
        </w:rPr>
        <w:t>, </w:t>
      </w:r>
      <w:r>
        <w:rPr>
          <w:color w:val="231F20"/>
          <w:sz w:val="20"/>
        </w:rPr>
        <w:t>clearing</w:t>
      </w:r>
      <w:r>
        <w:rPr>
          <w:color w:val="231F20"/>
          <w:spacing w:val="40"/>
          <w:sz w:val="20"/>
        </w:rPr>
        <w:t> </w:t>
      </w:r>
      <w:r>
        <w:rPr>
          <w:color w:val="231F20"/>
          <w:sz w:val="20"/>
        </w:rPr>
        <w:drawing>
          <wp:inline distT="0" distB="0" distL="0" distR="0">
            <wp:extent cx="82550" cy="82550"/>
            <wp:effectExtent l="0" t="0" r="0" b="0"/>
            <wp:docPr id="2390" name="Image 2390"/>
            <wp:cNvGraphicFramePr>
              <a:graphicFrameLocks/>
            </wp:cNvGraphicFramePr>
            <a:graphic>
              <a:graphicData uri="http://schemas.openxmlformats.org/drawingml/2006/picture">
                <pic:pic>
                  <pic:nvPicPr>
                    <pic:cNvPr id="2390" name="Image 239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z w:val="20"/>
        </w:rPr>
      </w:r>
      <w:r>
        <w:rPr>
          <w:rFonts w:ascii="Times New Roman"/>
          <w:color w:val="231F20"/>
          <w:sz w:val="20"/>
        </w:rPr>
        <w:t> </w:t>
      </w:r>
      <w:r>
        <w:rPr>
          <w:rFonts w:ascii="Book Antiqua"/>
          <w:b/>
          <w:color w:val="231F20"/>
          <w:sz w:val="20"/>
        </w:rPr>
        <w:t>Eligible for Association</w:t>
      </w:r>
      <w:r>
        <w:rPr>
          <w:color w:val="231F20"/>
          <w:sz w:val="20"/>
        </w:rPr>
        <w:t>, and selecting </w:t>
      </w:r>
      <w:r>
        <w:rPr>
          <w:color w:val="231F20"/>
          <w:spacing w:val="15"/>
          <w:sz w:val="20"/>
        </w:rPr>
        <w:drawing>
          <wp:inline distT="0" distB="0" distL="0" distR="0">
            <wp:extent cx="82550" cy="82550"/>
            <wp:effectExtent l="0" t="0" r="0" b="0"/>
            <wp:docPr id="2391" name="Image 2391"/>
            <wp:cNvGraphicFramePr>
              <a:graphicFrameLocks/>
            </wp:cNvGraphicFramePr>
            <a:graphic>
              <a:graphicData uri="http://schemas.openxmlformats.org/drawingml/2006/picture">
                <pic:pic>
                  <pic:nvPicPr>
                    <pic:cNvPr id="2391" name="Image 239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Associated with this Object</w:t>
      </w:r>
      <w:r>
        <w:rPr>
          <w:color w:val="231F20"/>
          <w:sz w:val="20"/>
        </w:rPr>
        <w:t>. The situations you associated with this Navigator item are displayed in the list.</w:t>
      </w:r>
    </w:p>
    <w:p>
      <w:pPr>
        <w:pStyle w:val="ListParagraph"/>
        <w:numPr>
          <w:ilvl w:val="0"/>
          <w:numId w:val="125"/>
        </w:numPr>
        <w:tabs>
          <w:tab w:pos="2547" w:val="left" w:leader="none"/>
        </w:tabs>
        <w:spacing w:line="255" w:lineRule="exact" w:before="35" w:after="0"/>
        <w:ind w:left="2547" w:right="0" w:hanging="315"/>
        <w:jc w:val="left"/>
        <w:rPr>
          <w:sz w:val="20"/>
        </w:rPr>
      </w:pPr>
      <w:r>
        <w:rPr>
          <w:color w:val="231F20"/>
          <w:sz w:val="20"/>
        </w:rPr>
        <w:t>To</w:t>
      </w:r>
      <w:r>
        <w:rPr>
          <w:color w:val="231F20"/>
          <w:spacing w:val="10"/>
          <w:sz w:val="20"/>
        </w:rPr>
        <w:t> </w:t>
      </w:r>
      <w:r>
        <w:rPr>
          <w:color w:val="231F20"/>
          <w:sz w:val="20"/>
        </w:rPr>
        <w:t>save</w:t>
      </w:r>
      <w:r>
        <w:rPr>
          <w:color w:val="231F20"/>
          <w:spacing w:val="9"/>
          <w:sz w:val="20"/>
        </w:rPr>
        <w:t> </w:t>
      </w:r>
      <w:r>
        <w:rPr>
          <w:color w:val="231F20"/>
          <w:sz w:val="20"/>
        </w:rPr>
        <w:t>your</w:t>
      </w:r>
      <w:r>
        <w:rPr>
          <w:color w:val="231F20"/>
          <w:spacing w:val="10"/>
          <w:sz w:val="20"/>
        </w:rPr>
        <w:t> </w:t>
      </w:r>
      <w:r>
        <w:rPr>
          <w:color w:val="231F20"/>
          <w:sz w:val="20"/>
        </w:rPr>
        <w:t>changes,</w:t>
      </w:r>
      <w:r>
        <w:rPr>
          <w:color w:val="231F20"/>
          <w:spacing w:val="10"/>
          <w:sz w:val="20"/>
        </w:rPr>
        <w:t> </w:t>
      </w:r>
      <w:r>
        <w:rPr>
          <w:color w:val="231F20"/>
          <w:sz w:val="20"/>
        </w:rPr>
        <w:t>click</w:t>
      </w:r>
      <w:r>
        <w:rPr>
          <w:color w:val="231F20"/>
          <w:spacing w:val="10"/>
          <w:sz w:val="20"/>
        </w:rPr>
        <w:t> </w:t>
      </w:r>
      <w:r>
        <w:rPr>
          <w:rFonts w:ascii="Book Antiqua"/>
          <w:b/>
          <w:color w:val="231F20"/>
          <w:sz w:val="20"/>
        </w:rPr>
        <w:t>Apply</w:t>
      </w:r>
      <w:r>
        <w:rPr>
          <w:rFonts w:ascii="Book Antiqua"/>
          <w:b/>
          <w:color w:val="231F20"/>
          <w:spacing w:val="10"/>
          <w:sz w:val="20"/>
        </w:rPr>
        <w:t> </w:t>
      </w:r>
      <w:r>
        <w:rPr>
          <w:color w:val="231F20"/>
          <w:sz w:val="20"/>
        </w:rPr>
        <w:t>to</w:t>
      </w:r>
      <w:r>
        <w:rPr>
          <w:color w:val="231F20"/>
          <w:spacing w:val="10"/>
          <w:sz w:val="20"/>
        </w:rPr>
        <w:t> </w:t>
      </w:r>
      <w:r>
        <w:rPr>
          <w:color w:val="231F20"/>
          <w:sz w:val="20"/>
        </w:rPr>
        <w:t>keep</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editor</w:t>
      </w:r>
      <w:r>
        <w:rPr>
          <w:color w:val="231F20"/>
          <w:spacing w:val="10"/>
          <w:sz w:val="20"/>
        </w:rPr>
        <w:t> </w:t>
      </w:r>
      <w:r>
        <w:rPr>
          <w:color w:val="231F20"/>
          <w:sz w:val="20"/>
        </w:rPr>
        <w:t>open;</w:t>
      </w:r>
      <w:r>
        <w:rPr>
          <w:color w:val="231F20"/>
          <w:spacing w:val="10"/>
          <w:sz w:val="20"/>
        </w:rPr>
        <w:t> </w:t>
      </w:r>
      <w:r>
        <w:rPr>
          <w:color w:val="231F20"/>
          <w:sz w:val="20"/>
        </w:rPr>
        <w:t>-OR-</w:t>
      </w:r>
      <w:r>
        <w:rPr>
          <w:color w:val="231F20"/>
          <w:spacing w:val="10"/>
          <w:sz w:val="20"/>
        </w:rPr>
        <w:t> </w:t>
      </w:r>
      <w:r>
        <w:rPr>
          <w:color w:val="231F20"/>
          <w:spacing w:val="-2"/>
          <w:sz w:val="20"/>
        </w:rPr>
        <w:t>click</w:t>
      </w:r>
    </w:p>
    <w:p>
      <w:pPr>
        <w:pStyle w:val="BodyText"/>
        <w:spacing w:line="255" w:lineRule="exact"/>
        <w:ind w:left="2548"/>
      </w:pPr>
      <w:r>
        <w:rPr>
          <w:rFonts w:ascii="Book Antiqua"/>
          <w:b/>
          <w:color w:val="231F20"/>
        </w:rPr>
        <w:t>OK</w:t>
      </w:r>
      <w:r>
        <w:rPr>
          <w:rFonts w:ascii="Book Antiqua"/>
          <w:b/>
          <w:color w:val="231F20"/>
          <w:spacing w:val="12"/>
        </w:rPr>
        <w:t> </w:t>
      </w:r>
      <w:r>
        <w:rPr>
          <w:color w:val="231F20"/>
        </w:rPr>
        <w:t>to</w:t>
      </w:r>
      <w:r>
        <w:rPr>
          <w:color w:val="231F20"/>
          <w:spacing w:val="13"/>
        </w:rPr>
        <w:t> </w:t>
      </w:r>
      <w:r>
        <w:rPr>
          <w:color w:val="231F20"/>
        </w:rPr>
        <w:t>close</w:t>
      </w:r>
      <w:r>
        <w:rPr>
          <w:color w:val="231F20"/>
          <w:spacing w:val="13"/>
        </w:rPr>
        <w:t> </w:t>
      </w:r>
      <w:r>
        <w:rPr>
          <w:color w:val="231F20"/>
          <w:spacing w:val="-5"/>
        </w:rPr>
        <w:t>it.</w:t>
      </w:r>
    </w:p>
    <w:p>
      <w:pPr>
        <w:pStyle w:val="Heading4"/>
        <w:spacing w:before="194"/>
      </w:pPr>
      <w:r>
        <w:rPr>
          <w:color w:val="231F20"/>
          <w:spacing w:val="-2"/>
        </w:rPr>
        <w:t>Results</w:t>
      </w:r>
    </w:p>
    <w:p>
      <w:pPr>
        <w:pStyle w:val="BodyText"/>
        <w:spacing w:line="213" w:lineRule="auto" w:before="241"/>
        <w:ind w:left="2232" w:right="545"/>
      </w:pPr>
      <w:r>
        <w:rPr>
          <w:rFonts w:ascii="Book Antiqua"/>
          <w:b/>
          <w:color w:val="231F20"/>
        </w:rPr>
        <w:t>Tip:</w:t>
      </w:r>
      <w:r>
        <w:rPr>
          <w:rFonts w:ascii="Book Antiqua"/>
          <w:b/>
          <w:color w:val="231F20"/>
          <w:spacing w:val="40"/>
        </w:rPr>
        <w:t> </w:t>
      </w:r>
      <w:r>
        <w:rPr>
          <w:color w:val="231F20"/>
        </w:rPr>
        <w:t>If you have multiple situations to associate, you can use Ctrl+click to select additional situations to associate or Shift+click to select all situations between and including the first selection and this one. Be aware that the</w:t>
      </w:r>
      <w:r>
        <w:rPr>
          <w:color w:val="231F20"/>
          <w:spacing w:val="19"/>
        </w:rPr>
        <w:t> </w:t>
      </w:r>
      <w:r>
        <w:rPr>
          <w:color w:val="231F20"/>
          <w:spacing w:val="-25"/>
          <w:position w:val="-1"/>
        </w:rPr>
        <w:drawing>
          <wp:inline distT="0" distB="0" distL="0" distR="0">
            <wp:extent cx="95250" cy="95250"/>
            <wp:effectExtent l="0" t="0" r="0" b="0"/>
            <wp:docPr id="2392" name="Image 2392"/>
            <wp:cNvGraphicFramePr>
              <a:graphicFrameLocks/>
            </wp:cNvGraphicFramePr>
            <a:graphic>
              <a:graphicData uri="http://schemas.openxmlformats.org/drawingml/2006/picture">
                <pic:pic>
                  <pic:nvPicPr>
                    <pic:cNvPr id="2392" name="Image 2392"/>
                    <pic:cNvPicPr/>
                  </pic:nvPicPr>
                  <pic:blipFill>
                    <a:blip r:embed="rId38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Critical state and </w:t>
      </w:r>
      <w:r>
        <w:rPr>
          <w:color w:val="231F20"/>
        </w:rPr>
        <w:t>no </w:t>
      </w:r>
      <w:bookmarkStart w:name="Dissociating a situation" w:id="444"/>
      <w:bookmarkEnd w:id="444"/>
      <w:r>
        <w:rPr>
          <w:color w:val="231F20"/>
        </w:rPr>
        <w:t>sound</w:t>
      </w:r>
      <w:r>
        <w:rPr>
          <w:color w:val="231F20"/>
        </w:rPr>
        <w:t> will be applied to this Navigator item.</w:t>
      </w:r>
    </w:p>
    <w:p>
      <w:pPr>
        <w:pStyle w:val="Heading3"/>
        <w:spacing w:before="216"/>
        <w:ind w:left="1334"/>
      </w:pPr>
      <w:r>
        <w:rPr>
          <w:color w:val="231F20"/>
        </w:rPr>
        <w:t>Dissociating</w:t>
      </w:r>
      <w:r>
        <w:rPr>
          <w:color w:val="231F20"/>
          <w:spacing w:val="5"/>
        </w:rPr>
        <w:t> </w:t>
      </w:r>
      <w:r>
        <w:rPr>
          <w:color w:val="231F20"/>
        </w:rPr>
        <w:t>a</w:t>
      </w:r>
      <w:r>
        <w:rPr>
          <w:color w:val="231F20"/>
          <w:spacing w:val="6"/>
        </w:rPr>
        <w:t> </w:t>
      </w:r>
      <w:r>
        <w:rPr>
          <w:color w:val="231F20"/>
          <w:spacing w:val="-2"/>
        </w:rPr>
        <w:t>situation</w:t>
      </w:r>
    </w:p>
    <w:p>
      <w:pPr>
        <w:pStyle w:val="BodyText"/>
        <w:spacing w:line="213" w:lineRule="auto" w:before="58"/>
        <w:ind w:left="2232" w:right="486"/>
        <w:jc w:val="both"/>
      </w:pPr>
      <w:r>
        <w:rPr>
          <w:color w:val="231F20"/>
        </w:rPr>
        <w:t>If you no longer want to have event indicators originate for this situation from the Navigator item, dissociate it. For example, you might have a situation that is only embedded in other situations and never runs on its own.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232"/>
        <w:jc w:val="both"/>
      </w:pPr>
      <w:r>
        <w:rPr>
          <w:color w:val="231F20"/>
        </w:rPr>
        <w:t>To</w:t>
      </w:r>
      <w:r>
        <w:rPr>
          <w:color w:val="231F20"/>
          <w:spacing w:val="5"/>
        </w:rPr>
        <w:t> </w:t>
      </w:r>
      <w:r>
        <w:rPr>
          <w:color w:val="231F20"/>
        </w:rPr>
        <w:t>dissociate</w:t>
      </w:r>
      <w:r>
        <w:rPr>
          <w:color w:val="231F20"/>
          <w:spacing w:val="6"/>
        </w:rPr>
        <w:t> </w:t>
      </w:r>
      <w:r>
        <w:rPr>
          <w:color w:val="231F20"/>
        </w:rPr>
        <w:t>a</w:t>
      </w:r>
      <w:r>
        <w:rPr>
          <w:color w:val="231F20"/>
          <w:spacing w:val="6"/>
        </w:rPr>
        <w:t> </w:t>
      </w:r>
      <w:r>
        <w:rPr>
          <w:color w:val="231F20"/>
          <w:spacing w:val="-2"/>
        </w:rPr>
        <w:t>situation:</w:t>
      </w:r>
    </w:p>
    <w:p>
      <w:pPr>
        <w:pStyle w:val="Heading4"/>
        <w:spacing w:before="193"/>
      </w:pPr>
      <w:r>
        <w:rPr>
          <w:color w:val="231F20"/>
          <w:spacing w:val="-2"/>
        </w:rPr>
        <w:t>Procedure</w:t>
      </w:r>
    </w:p>
    <w:p>
      <w:pPr>
        <w:pStyle w:val="ListParagraph"/>
        <w:numPr>
          <w:ilvl w:val="0"/>
          <w:numId w:val="126"/>
        </w:numPr>
        <w:tabs>
          <w:tab w:pos="2547" w:val="left" w:leader="none"/>
        </w:tabs>
        <w:spacing w:line="240" w:lineRule="auto" w:before="39" w:after="0"/>
        <w:ind w:left="2547" w:right="0" w:hanging="315"/>
        <w:jc w:val="left"/>
        <w:rPr>
          <w:sz w:val="20"/>
        </w:rPr>
      </w:pPr>
      <w:r>
        <w:rPr>
          <w:color w:val="231F20"/>
          <w:sz w:val="20"/>
        </w:rPr>
        <w:t>Right-click</w:t>
      </w:r>
      <w:r>
        <w:rPr>
          <w:color w:val="231F20"/>
          <w:spacing w:val="10"/>
          <w:sz w:val="20"/>
        </w:rPr>
        <w:t> </w:t>
      </w:r>
      <w:r>
        <w:rPr>
          <w:color w:val="231F20"/>
          <w:sz w:val="20"/>
        </w:rPr>
        <w:t>the</w:t>
      </w:r>
      <w:r>
        <w:rPr>
          <w:color w:val="231F20"/>
          <w:spacing w:val="11"/>
          <w:sz w:val="20"/>
        </w:rPr>
        <w:t> </w:t>
      </w:r>
      <w:r>
        <w:rPr>
          <w:color w:val="231F20"/>
          <w:sz w:val="20"/>
        </w:rPr>
        <w:t>Navigator</w:t>
      </w:r>
      <w:r>
        <w:rPr>
          <w:color w:val="231F20"/>
          <w:spacing w:val="11"/>
          <w:sz w:val="20"/>
        </w:rPr>
        <w:t> </w:t>
      </w:r>
      <w:r>
        <w:rPr>
          <w:color w:val="231F20"/>
          <w:sz w:val="20"/>
        </w:rPr>
        <w:t>item</w:t>
      </w:r>
      <w:r>
        <w:rPr>
          <w:color w:val="231F20"/>
          <w:spacing w:val="10"/>
          <w:sz w:val="20"/>
        </w:rPr>
        <w:t> </w:t>
      </w:r>
      <w:r>
        <w:rPr>
          <w:color w:val="231F20"/>
          <w:sz w:val="20"/>
        </w:rPr>
        <w:t>from</w:t>
      </w:r>
      <w:r>
        <w:rPr>
          <w:color w:val="231F20"/>
          <w:spacing w:val="11"/>
          <w:sz w:val="20"/>
        </w:rPr>
        <w:t> </w:t>
      </w:r>
      <w:r>
        <w:rPr>
          <w:color w:val="231F20"/>
          <w:sz w:val="20"/>
        </w:rPr>
        <w:t>which</w:t>
      </w:r>
      <w:r>
        <w:rPr>
          <w:color w:val="231F20"/>
          <w:spacing w:val="11"/>
          <w:sz w:val="20"/>
        </w:rPr>
        <w:t> </w:t>
      </w:r>
      <w:r>
        <w:rPr>
          <w:color w:val="231F20"/>
          <w:sz w:val="20"/>
        </w:rPr>
        <w:t>you</w:t>
      </w:r>
      <w:r>
        <w:rPr>
          <w:color w:val="231F20"/>
          <w:spacing w:val="10"/>
          <w:sz w:val="20"/>
        </w:rPr>
        <w:t> </w:t>
      </w:r>
      <w:r>
        <w:rPr>
          <w:color w:val="231F20"/>
          <w:sz w:val="20"/>
        </w:rPr>
        <w:t>want</w:t>
      </w:r>
      <w:r>
        <w:rPr>
          <w:color w:val="231F20"/>
          <w:spacing w:val="11"/>
          <w:sz w:val="20"/>
        </w:rPr>
        <w:t> </w:t>
      </w:r>
      <w:r>
        <w:rPr>
          <w:color w:val="231F20"/>
          <w:sz w:val="20"/>
        </w:rPr>
        <w:t>to</w:t>
      </w:r>
      <w:r>
        <w:rPr>
          <w:color w:val="231F20"/>
          <w:spacing w:val="11"/>
          <w:sz w:val="20"/>
        </w:rPr>
        <w:t> </w:t>
      </w:r>
      <w:r>
        <w:rPr>
          <w:color w:val="231F20"/>
          <w:sz w:val="20"/>
        </w:rPr>
        <w:t>dissociate</w:t>
      </w:r>
      <w:r>
        <w:rPr>
          <w:color w:val="231F20"/>
          <w:spacing w:val="10"/>
          <w:sz w:val="20"/>
        </w:rPr>
        <w:t> </w:t>
      </w:r>
      <w:r>
        <w:rPr>
          <w:color w:val="231F20"/>
          <w:sz w:val="20"/>
        </w:rPr>
        <w:t>a</w:t>
      </w:r>
      <w:r>
        <w:rPr>
          <w:color w:val="231F20"/>
          <w:spacing w:val="11"/>
          <w:sz w:val="20"/>
        </w:rPr>
        <w:t> </w:t>
      </w:r>
      <w:r>
        <w:rPr>
          <w:color w:val="231F20"/>
          <w:spacing w:val="-2"/>
          <w:sz w:val="20"/>
        </w:rPr>
        <w:t>situation.</w:t>
      </w:r>
    </w:p>
    <w:p>
      <w:pPr>
        <w:pStyle w:val="ListParagraph"/>
        <w:numPr>
          <w:ilvl w:val="0"/>
          <w:numId w:val="126"/>
        </w:numPr>
        <w:tabs>
          <w:tab w:pos="2548" w:val="left" w:leader="none"/>
        </w:tabs>
        <w:spacing w:line="213" w:lineRule="auto" w:before="53" w:after="0"/>
        <w:ind w:left="2548" w:right="539"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393" name="Image 2393"/>
            <wp:cNvGraphicFramePr>
              <a:graphicFrameLocks/>
            </wp:cNvGraphicFramePr>
            <a:graphic>
              <a:graphicData uri="http://schemas.openxmlformats.org/drawingml/2006/picture">
                <pic:pic>
                  <pic:nvPicPr>
                    <pic:cNvPr id="2393" name="Image 2393"/>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Situations</w:t>
      </w:r>
      <w:r>
        <w:rPr>
          <w:color w:val="231F20"/>
          <w:sz w:val="20"/>
        </w:rPr>
        <w:t>. The Situations option is available from all Navigator items except those at the operating platform level (such as </w:t>
      </w:r>
      <w:r>
        <w:rPr>
          <w:color w:val="231F20"/>
          <w:spacing w:val="15"/>
          <w:position w:val="-1"/>
          <w:sz w:val="20"/>
        </w:rPr>
        <w:drawing>
          <wp:inline distT="0" distB="0" distL="0" distR="0">
            <wp:extent cx="101600" cy="95250"/>
            <wp:effectExtent l="0" t="0" r="0" b="0"/>
            <wp:docPr id="2394" name="Image 2394"/>
            <wp:cNvGraphicFramePr>
              <a:graphicFrameLocks/>
            </wp:cNvGraphicFramePr>
            <a:graphic>
              <a:graphicData uri="http://schemas.openxmlformats.org/drawingml/2006/picture">
                <pic:pic>
                  <pic:nvPicPr>
                    <pic:cNvPr id="2394" name="Image 2394"/>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0"/>
          <w:sz w:val="20"/>
        </w:rPr>
        <w:t> </w:t>
      </w:r>
      <w:r>
        <w:rPr>
          <w:color w:val="231F20"/>
          <w:sz w:val="20"/>
        </w:rPr>
        <w:t>Linux Systems). The Enterprise item is limited to Tivoli Enterprise Monitoring Server situations distributed to *HUB_ or *ALL_CMS managed systems. A Navigator item in a custom Navigator view must have at least one managed system assigned to </w:t>
      </w:r>
      <w:r>
        <w:rPr>
          <w:color w:val="231F20"/>
          <w:sz w:val="20"/>
        </w:rPr>
        <w:t>it; otherwise, you will not see </w:t>
      </w:r>
      <w:r>
        <w:rPr>
          <w:color w:val="231F20"/>
          <w:spacing w:val="15"/>
          <w:position w:val="-1"/>
          <w:sz w:val="20"/>
        </w:rPr>
        <w:drawing>
          <wp:inline distT="0" distB="0" distL="0" distR="0">
            <wp:extent cx="101600" cy="95250"/>
            <wp:effectExtent l="0" t="0" r="0" b="0"/>
            <wp:docPr id="2395" name="Image 2395"/>
            <wp:cNvGraphicFramePr>
              <a:graphicFrameLocks/>
            </wp:cNvGraphicFramePr>
            <a:graphic>
              <a:graphicData uri="http://schemas.openxmlformats.org/drawingml/2006/picture">
                <pic:pic>
                  <pic:nvPicPr>
                    <pic:cNvPr id="2395" name="Image 2395"/>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8"/>
          <w:sz w:val="20"/>
        </w:rPr>
        <w:t> </w:t>
      </w:r>
      <w:r>
        <w:rPr>
          <w:rFonts w:ascii="Book Antiqua"/>
          <w:b/>
          <w:color w:val="231F20"/>
          <w:sz w:val="20"/>
        </w:rPr>
        <w:t>Situations </w:t>
      </w:r>
      <w:r>
        <w:rPr>
          <w:color w:val="231F20"/>
          <w:sz w:val="20"/>
        </w:rPr>
        <w:t>in the pop-up menu.</w:t>
      </w:r>
    </w:p>
    <w:p>
      <w:pPr>
        <w:pStyle w:val="BodyText"/>
        <w:spacing w:line="213" w:lineRule="auto" w:before="55"/>
        <w:ind w:left="2548" w:right="545"/>
      </w:pPr>
      <w:r>
        <w:rPr>
          <w:color w:val="231F20"/>
        </w:rPr>
        <w:t>The Situation editor opens with the list of situations that have been </w:t>
      </w:r>
      <w:r>
        <w:rPr>
          <w:color w:val="231F20"/>
        </w:rPr>
        <w:t>associated with this Navigator item.</w:t>
      </w:r>
    </w:p>
    <w:p>
      <w:pPr>
        <w:spacing w:after="0" w:line="213" w:lineRule="auto"/>
        <w:sectPr>
          <w:pgSz w:w="12240" w:h="15840"/>
          <w:pgMar w:header="0" w:footer="736" w:top="1180" w:bottom="920" w:left="1000" w:right="1060"/>
        </w:sectPr>
      </w:pPr>
    </w:p>
    <w:p>
      <w:pPr>
        <w:pStyle w:val="ListParagraph"/>
        <w:numPr>
          <w:ilvl w:val="0"/>
          <w:numId w:val="126"/>
        </w:numPr>
        <w:tabs>
          <w:tab w:pos="2788" w:val="left" w:leader="none"/>
        </w:tabs>
        <w:spacing w:line="213" w:lineRule="auto" w:before="85" w:after="0"/>
        <w:ind w:left="2788" w:right="327" w:hanging="316"/>
        <w:jc w:val="left"/>
        <w:rPr>
          <w:sz w:val="20"/>
        </w:rPr>
      </w:pPr>
      <w:bookmarkStart w:name="_bookmark211" w:id="445"/>
      <w:bookmarkEnd w:id="445"/>
      <w:r>
        <w:rPr/>
      </w:r>
      <w:r>
        <w:rPr>
          <w:color w:val="231F20"/>
          <w:sz w:val="20"/>
        </w:rPr>
        <w:t>Right-click the situation you want to dissociate from the Navigator item and click</w:t>
      </w:r>
      <w:r>
        <w:rPr>
          <w:color w:val="231F20"/>
          <w:spacing w:val="25"/>
          <w:sz w:val="20"/>
        </w:rPr>
        <w:t> </w:t>
      </w:r>
      <w:r>
        <w:rPr>
          <w:color w:val="231F20"/>
          <w:spacing w:val="-24"/>
          <w:position w:val="-1"/>
          <w:sz w:val="20"/>
        </w:rPr>
        <w:drawing>
          <wp:inline distT="0" distB="0" distL="0" distR="0">
            <wp:extent cx="95250" cy="95250"/>
            <wp:effectExtent l="0" t="0" r="0" b="0"/>
            <wp:docPr id="2396" name="Image 2396"/>
            <wp:cNvGraphicFramePr>
              <a:graphicFrameLocks/>
            </wp:cNvGraphicFramePr>
            <a:graphic>
              <a:graphicData uri="http://schemas.openxmlformats.org/drawingml/2006/picture">
                <pic:pic>
                  <pic:nvPicPr>
                    <pic:cNvPr id="2396" name="Image 2396"/>
                    <pic:cNvPicPr/>
                  </pic:nvPicPr>
                  <pic:blipFill>
                    <a:blip r:embed="rId37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Dissociate</w:t>
      </w:r>
      <w:r>
        <w:rPr>
          <w:color w:val="231F20"/>
          <w:sz w:val="20"/>
        </w:rPr>
        <w:t>. If you want to remove all associations, click </w:t>
      </w:r>
      <w:r>
        <w:rPr>
          <w:color w:val="231F20"/>
          <w:spacing w:val="-25"/>
          <w:position w:val="-1"/>
          <w:sz w:val="20"/>
        </w:rPr>
        <w:drawing>
          <wp:inline distT="0" distB="0" distL="0" distR="0">
            <wp:extent cx="95250" cy="95250"/>
            <wp:effectExtent l="0" t="0" r="0" b="0"/>
            <wp:docPr id="2397" name="Image 2397"/>
            <wp:cNvGraphicFramePr>
              <a:graphicFrameLocks/>
            </wp:cNvGraphicFramePr>
            <a:graphic>
              <a:graphicData uri="http://schemas.openxmlformats.org/drawingml/2006/picture">
                <pic:pic>
                  <pic:nvPicPr>
                    <pic:cNvPr id="2397" name="Image 2397"/>
                    <pic:cNvPicPr/>
                  </pic:nvPicPr>
                  <pic:blipFill>
                    <a:blip r:embed="rId378"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23"/>
          <w:sz w:val="20"/>
        </w:rPr>
        <w:t> </w:t>
      </w:r>
      <w:r>
        <w:rPr>
          <w:rFonts w:ascii="Book Antiqua"/>
          <w:b/>
          <w:color w:val="231F20"/>
          <w:sz w:val="20"/>
        </w:rPr>
        <w:t>Dissociate All</w:t>
      </w:r>
      <w:r>
        <w:rPr>
          <w:color w:val="231F20"/>
          <w:sz w:val="20"/>
        </w:rPr>
        <w:t>. If you have multiple situations to dissociate, you can use Ctrl+click to</w:t>
      </w:r>
      <w:r>
        <w:rPr>
          <w:color w:val="231F20"/>
          <w:spacing w:val="80"/>
          <w:sz w:val="20"/>
        </w:rPr>
        <w:t> </w:t>
      </w:r>
      <w:r>
        <w:rPr>
          <w:color w:val="231F20"/>
          <w:sz w:val="20"/>
        </w:rPr>
        <w:t>select more situations or Shift+click to select all situations between and including the first selection and this one. Then right-click one of the </w:t>
      </w:r>
      <w:r>
        <w:rPr>
          <w:color w:val="231F20"/>
          <w:sz w:val="20"/>
        </w:rPr>
        <w:t>situations and select </w:t>
      </w:r>
      <w:r>
        <w:rPr>
          <w:color w:val="231F20"/>
          <w:spacing w:val="-24"/>
          <w:position w:val="-1"/>
          <w:sz w:val="20"/>
        </w:rPr>
        <w:drawing>
          <wp:inline distT="0" distB="0" distL="0" distR="0">
            <wp:extent cx="95250" cy="95250"/>
            <wp:effectExtent l="0" t="0" r="0" b="0"/>
            <wp:docPr id="2398" name="Image 2398"/>
            <wp:cNvGraphicFramePr>
              <a:graphicFrameLocks/>
            </wp:cNvGraphicFramePr>
            <a:graphic>
              <a:graphicData uri="http://schemas.openxmlformats.org/drawingml/2006/picture">
                <pic:pic>
                  <pic:nvPicPr>
                    <pic:cNvPr id="2398" name="Image 2398"/>
                    <pic:cNvPicPr/>
                  </pic:nvPicPr>
                  <pic:blipFill>
                    <a:blip r:embed="rId37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Dissociate</w:t>
      </w:r>
      <w:r>
        <w:rPr>
          <w:color w:val="231F20"/>
          <w:sz w:val="20"/>
        </w:rPr>
        <w:t>.</w:t>
      </w:r>
    </w:p>
    <w:p>
      <w:pPr>
        <w:pStyle w:val="ListParagraph"/>
        <w:numPr>
          <w:ilvl w:val="0"/>
          <w:numId w:val="126"/>
        </w:numPr>
        <w:tabs>
          <w:tab w:pos="2788" w:val="left" w:leader="none"/>
        </w:tabs>
        <w:spacing w:line="213" w:lineRule="auto" w:before="55" w:after="0"/>
        <w:ind w:left="2788" w:right="648" w:hanging="316"/>
        <w:jc w:val="left"/>
        <w:rPr>
          <w:sz w:val="20"/>
        </w:rPr>
      </w:pPr>
      <w:r>
        <w:rPr>
          <w:color w:val="231F20"/>
          <w:sz w:val="20"/>
        </w:rPr>
        <w:t>To save your changes, click </w:t>
      </w:r>
      <w:r>
        <w:rPr>
          <w:rFonts w:ascii="Book Antiqua"/>
          <w:b/>
          <w:color w:val="231F20"/>
          <w:sz w:val="20"/>
        </w:rPr>
        <w:t>Apply </w:t>
      </w:r>
      <w:r>
        <w:rPr>
          <w:color w:val="231F20"/>
          <w:sz w:val="20"/>
        </w:rPr>
        <w:t>if you want to keep the Situation editor open; -OR- click </w:t>
      </w:r>
      <w:r>
        <w:rPr>
          <w:rFonts w:ascii="Book Antiqua"/>
          <w:b/>
          <w:color w:val="231F20"/>
          <w:sz w:val="20"/>
        </w:rPr>
        <w:t>OK </w:t>
      </w:r>
      <w:r>
        <w:rPr>
          <w:color w:val="231F20"/>
          <w:sz w:val="20"/>
        </w:rPr>
        <w:t>if you want to close it.</w:t>
      </w:r>
    </w:p>
    <w:p>
      <w:pPr>
        <w:pStyle w:val="BodyText"/>
        <w:spacing w:before="6"/>
        <w:rPr>
          <w:sz w:val="16"/>
        </w:rPr>
      </w:pPr>
      <w:r>
        <w:rPr/>
        <mc:AlternateContent>
          <mc:Choice Requires="wps">
            <w:drawing>
              <wp:anchor distT="0" distB="0" distL="0" distR="0" allowOverlap="1" layoutInCell="1" locked="0" behindDoc="1" simplePos="0" relativeHeight="487727104">
                <wp:simplePos x="0" y="0"/>
                <wp:positionH relativeFrom="page">
                  <wp:posOffset>912380</wp:posOffset>
                </wp:positionH>
                <wp:positionV relativeFrom="paragraph">
                  <wp:posOffset>156306</wp:posOffset>
                </wp:positionV>
                <wp:extent cx="6082665" cy="1270"/>
                <wp:effectExtent l="0" t="0" r="0" b="0"/>
                <wp:wrapTopAndBottom/>
                <wp:docPr id="2399" name="Graphic 2399"/>
                <wp:cNvGraphicFramePr>
                  <a:graphicFrameLocks/>
                </wp:cNvGraphicFramePr>
                <a:graphic>
                  <a:graphicData uri="http://schemas.microsoft.com/office/word/2010/wordprocessingShape">
                    <wps:wsp>
                      <wps:cNvPr id="2399" name="Graphic 239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307578pt;width:478.95pt;height:.1pt;mso-position-horizontal-relative:page;mso-position-vertical-relative:paragraph;z-index:-15589376;mso-wrap-distance-left:0;mso-wrap-distance-right:0" id="docshape216"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Modeling conditions for situations" w:id="446"/>
      <w:bookmarkEnd w:id="446"/>
      <w:r>
        <w:rPr>
          <w:b w:val="0"/>
        </w:rPr>
      </w:r>
      <w:r>
        <w:rPr>
          <w:color w:val="231F20"/>
        </w:rPr>
        <w:t>Modeling</w:t>
      </w:r>
      <w:r>
        <w:rPr>
          <w:color w:val="231F20"/>
          <w:spacing w:val="4"/>
        </w:rPr>
        <w:t> </w:t>
      </w:r>
      <w:r>
        <w:rPr>
          <w:color w:val="231F20"/>
        </w:rPr>
        <w:t>conditions</w:t>
      </w:r>
      <w:r>
        <w:rPr>
          <w:color w:val="231F20"/>
          <w:spacing w:val="5"/>
        </w:rPr>
        <w:t> </w:t>
      </w:r>
      <w:r>
        <w:rPr>
          <w:color w:val="231F20"/>
        </w:rPr>
        <w:t>for</w:t>
      </w:r>
      <w:r>
        <w:rPr>
          <w:color w:val="231F20"/>
          <w:spacing w:val="5"/>
        </w:rPr>
        <w:t> </w:t>
      </w:r>
      <w:r>
        <w:rPr>
          <w:color w:val="231F20"/>
          <w:spacing w:val="-2"/>
        </w:rPr>
        <w:t>situations</w:t>
      </w:r>
    </w:p>
    <w:p>
      <w:pPr>
        <w:pStyle w:val="BodyText"/>
        <w:spacing w:line="213" w:lineRule="auto" w:before="138"/>
        <w:ind w:left="2472"/>
      </w:pPr>
      <w:r>
        <w:rPr>
          <w:color w:val="231F20"/>
        </w:rPr>
        <w:t>Use situation modeling to perform threshold analysis on selected data samples or </w:t>
      </w:r>
      <w:r>
        <w:rPr>
          <w:color w:val="231F20"/>
        </w:rPr>
        <w:t>a situation and use the results to create or edit a situation.</w:t>
      </w:r>
    </w:p>
    <w:p>
      <w:pPr>
        <w:pStyle w:val="Heading6"/>
        <w:spacing w:line="240" w:lineRule="auto" w:before="36"/>
        <w:rPr>
          <w:rFonts w:ascii="Palatino Linotype"/>
          <w:b w:val="0"/>
        </w:rPr>
      </w:pPr>
      <w:r>
        <w:rPr>
          <w:color w:val="231F20"/>
        </w:rPr>
        <w:t>Related</w:t>
      </w:r>
      <w:r>
        <w:rPr>
          <w:color w:val="231F20"/>
          <w:spacing w:val="9"/>
        </w:rPr>
        <w:t> </w:t>
      </w:r>
      <w:r>
        <w:rPr>
          <w:color w:val="231F20"/>
          <w:spacing w:val="-2"/>
        </w:rPr>
        <w:t>information</w:t>
      </w:r>
      <w:r>
        <w:rPr>
          <w:rFonts w:ascii="Palatino Linotype"/>
          <w:b w:val="0"/>
          <w:color w:val="231F20"/>
          <w:spacing w:val="-2"/>
        </w:rPr>
        <w:t>:</w:t>
      </w:r>
    </w:p>
    <w:p>
      <w:pPr>
        <w:pStyle w:val="BodyText"/>
        <w:spacing w:line="276" w:lineRule="exact" w:before="88"/>
        <w:ind w:left="2486"/>
      </w:pPr>
      <w:r>
        <w:rPr>
          <w:position w:val="1"/>
        </w:rPr>
        <w:drawing>
          <wp:inline distT="0" distB="0" distL="0" distR="0">
            <wp:extent cx="177796" cy="139687"/>
            <wp:effectExtent l="0" t="0" r="0" b="0"/>
            <wp:docPr id="2400" name="Image 2400"/>
            <wp:cNvGraphicFramePr>
              <a:graphicFrameLocks/>
            </wp:cNvGraphicFramePr>
            <a:graphic>
              <a:graphicData uri="http://schemas.openxmlformats.org/drawingml/2006/picture">
                <pic:pic>
                  <pic:nvPicPr>
                    <pic:cNvPr id="2400" name="Image 2400"/>
                    <pic:cNvPicPr/>
                  </pic:nvPicPr>
                  <pic:blipFill>
                    <a:blip r:embed="rId234" cstate="print"/>
                    <a:stretch>
                      <a:fillRect/>
                    </a:stretch>
                  </pic:blipFill>
                  <pic:spPr>
                    <a:xfrm>
                      <a:off x="0" y="0"/>
                      <a:ext cx="177796" cy="139687"/>
                    </a:xfrm>
                    <a:prstGeom prst="rect">
                      <a:avLst/>
                    </a:prstGeom>
                  </pic:spPr>
                </pic:pic>
              </a:graphicData>
            </a:graphic>
          </wp:inline>
        </w:drawing>
      </w:r>
      <w:r>
        <w:rPr>
          <w:position w:val="1"/>
        </w:rPr>
      </w:r>
      <w:r>
        <w:rPr>
          <w:rFonts w:ascii="Times New Roman"/>
        </w:rPr>
        <w:t> </w:t>
      </w:r>
      <w:hyperlink r:id="rId389">
        <w:r>
          <w:rPr>
            <w:color w:val="231F20"/>
          </w:rPr>
          <w:t>Tivoli</w:t>
        </w:r>
        <w:r>
          <w:rPr>
            <w:color w:val="231F20"/>
            <w:spacing w:val="11"/>
          </w:rPr>
          <w:t> </w:t>
        </w:r>
        <w:r>
          <w:rPr>
            <w:color w:val="231F20"/>
          </w:rPr>
          <w:t>Media</w:t>
        </w:r>
        <w:r>
          <w:rPr>
            <w:color w:val="231F20"/>
            <w:spacing w:val="11"/>
          </w:rPr>
          <w:t> </w:t>
        </w:r>
        <w:r>
          <w:rPr>
            <w:color w:val="231F20"/>
          </w:rPr>
          <w:t>Gallery</w:t>
        </w:r>
        <w:r>
          <w:rPr>
            <w:color w:val="231F20"/>
            <w:spacing w:val="11"/>
          </w:rPr>
          <w:t> </w:t>
        </w:r>
        <w:r>
          <w:rPr>
            <w:color w:val="231F20"/>
          </w:rPr>
          <w:t>video</w:t>
        </w:r>
        <w:r>
          <w:rPr>
            <w:color w:val="231F20"/>
            <w:spacing w:val="11"/>
          </w:rPr>
          <w:t> </w:t>
        </w:r>
        <w:r>
          <w:rPr>
            <w:color w:val="231F20"/>
          </w:rPr>
          <w:t>on</w:t>
        </w:r>
        <w:r>
          <w:rPr>
            <w:color w:val="231F20"/>
            <w:spacing w:val="11"/>
          </w:rPr>
          <w:t> </w:t>
        </w:r>
        <w:r>
          <w:rPr>
            <w:color w:val="231F20"/>
          </w:rPr>
          <w:t>situation</w:t>
        </w:r>
        <w:r>
          <w:rPr>
            <w:color w:val="231F20"/>
            <w:spacing w:val="11"/>
          </w:rPr>
          <w:t> </w:t>
        </w:r>
        <w:r>
          <w:rPr>
            <w:color w:val="231F20"/>
          </w:rPr>
          <w:t>modeling</w:t>
        </w:r>
      </w:hyperlink>
    </w:p>
    <w:p>
      <w:pPr>
        <w:pStyle w:val="BodyText"/>
        <w:spacing w:line="213" w:lineRule="auto" w:before="8"/>
        <w:ind w:left="2472"/>
      </w:pPr>
      <w:r>
        <w:rPr>
          <w:color w:val="231F20"/>
        </w:rPr>
        <w:t>This video demonstrates how you can determine situation thresholds based </w:t>
      </w:r>
      <w:r>
        <w:rPr>
          <w:color w:val="231F20"/>
        </w:rPr>
        <w:t>on historical data and statistical functions.</w:t>
      </w:r>
    </w:p>
    <w:p>
      <w:pPr>
        <w:pStyle w:val="Heading3"/>
        <w:spacing w:before="217"/>
        <w:ind w:left="1574"/>
      </w:pPr>
      <w:bookmarkStart w:name="Understanding situation modeling" w:id="447"/>
      <w:bookmarkEnd w:id="447"/>
      <w:r>
        <w:rPr>
          <w:b w:val="0"/>
        </w:rPr>
      </w:r>
      <w:r>
        <w:rPr>
          <w:color w:val="231F20"/>
        </w:rPr>
        <w:t>Understanding</w:t>
      </w:r>
      <w:r>
        <w:rPr>
          <w:color w:val="231F20"/>
          <w:spacing w:val="-1"/>
        </w:rPr>
        <w:t> </w:t>
      </w:r>
      <w:r>
        <w:rPr>
          <w:color w:val="231F20"/>
        </w:rPr>
        <w:t>situation</w:t>
      </w:r>
      <w:r>
        <w:rPr>
          <w:color w:val="231F20"/>
          <w:spacing w:val="-1"/>
        </w:rPr>
        <w:t> </w:t>
      </w:r>
      <w:r>
        <w:rPr>
          <w:color w:val="231F20"/>
          <w:spacing w:val="-2"/>
        </w:rPr>
        <w:t>modeling</w:t>
      </w:r>
    </w:p>
    <w:p>
      <w:pPr>
        <w:pStyle w:val="BodyText"/>
        <w:spacing w:line="213" w:lineRule="auto" w:before="58"/>
        <w:ind w:left="2472" w:right="1148"/>
      </w:pPr>
      <w:r>
        <w:rPr>
          <w:color w:val="231F20"/>
        </w:rPr>
        <w:t>Situation modeling can be done with selected attributes from the </w:t>
      </w:r>
      <w:r>
        <w:rPr>
          <w:color w:val="231F20"/>
        </w:rPr>
        <w:t>current query-based view or with the conditions of the current situation.</w:t>
      </w:r>
    </w:p>
    <w:p>
      <w:pPr>
        <w:pStyle w:val="Heading6"/>
      </w:pPr>
      <w:r>
        <w:rPr>
          <w:color w:val="231F20"/>
        </w:rPr>
        <w:t>Modeling</w:t>
      </w:r>
      <w:r>
        <w:rPr>
          <w:color w:val="231F20"/>
          <w:spacing w:val="9"/>
        </w:rPr>
        <w:t> </w:t>
      </w:r>
      <w:r>
        <w:rPr>
          <w:color w:val="231F20"/>
        </w:rPr>
        <w:t>from</w:t>
      </w:r>
      <w:r>
        <w:rPr>
          <w:color w:val="231F20"/>
          <w:spacing w:val="10"/>
        </w:rPr>
        <w:t> </w:t>
      </w:r>
      <w:r>
        <w:rPr>
          <w:color w:val="231F20"/>
        </w:rPr>
        <w:t>a</w:t>
      </w:r>
      <w:r>
        <w:rPr>
          <w:color w:val="231F20"/>
          <w:spacing w:val="9"/>
        </w:rPr>
        <w:t> </w:t>
      </w:r>
      <w:r>
        <w:rPr>
          <w:color w:val="231F20"/>
        </w:rPr>
        <w:t>query-based</w:t>
      </w:r>
      <w:r>
        <w:rPr>
          <w:color w:val="231F20"/>
          <w:spacing w:val="10"/>
        </w:rPr>
        <w:t> </w:t>
      </w:r>
      <w:r>
        <w:rPr>
          <w:color w:val="231F20"/>
          <w:spacing w:val="-4"/>
        </w:rPr>
        <w:t>view</w:t>
      </w:r>
    </w:p>
    <w:p>
      <w:pPr>
        <w:pStyle w:val="BodyText"/>
        <w:spacing w:line="213" w:lineRule="auto" w:before="12"/>
        <w:ind w:left="3190" w:right="245"/>
      </w:pPr>
      <w:r>
        <w:rPr>
          <w:color w:val="231F20"/>
        </w:rPr>
        <w:t>Query-based views and historical data are valuable for exploring your monitored environment and researching conditions to build situations against. The situation modeling feature enables you to capture data from </w:t>
      </w:r>
      <w:r>
        <w:rPr>
          <w:color w:val="231F20"/>
        </w:rPr>
        <w:t>a query-based</w:t>
      </w:r>
      <w:r>
        <w:rPr>
          <w:color w:val="231F20"/>
          <w:spacing w:val="29"/>
        </w:rPr>
        <w:t> </w:t>
      </w:r>
      <w:r>
        <w:rPr>
          <w:color w:val="231F20"/>
        </w:rPr>
        <w:t>view</w:t>
      </w:r>
      <w:r>
        <w:rPr>
          <w:color w:val="231F20"/>
          <w:spacing w:val="29"/>
        </w:rPr>
        <w:t> </w:t>
      </w:r>
      <w:r>
        <w:rPr>
          <w:color w:val="231F20"/>
        </w:rPr>
        <w:t>and</w:t>
      </w:r>
      <w:r>
        <w:rPr>
          <w:color w:val="231F20"/>
          <w:spacing w:val="29"/>
        </w:rPr>
        <w:t> </w:t>
      </w:r>
      <w:r>
        <w:rPr>
          <w:color w:val="231F20"/>
        </w:rPr>
        <w:t>use</w:t>
      </w:r>
      <w:r>
        <w:rPr>
          <w:color w:val="231F20"/>
          <w:spacing w:val="29"/>
        </w:rPr>
        <w:t> </w:t>
      </w:r>
      <w:r>
        <w:rPr>
          <w:color w:val="231F20"/>
        </w:rPr>
        <w:t>it</w:t>
      </w:r>
      <w:r>
        <w:rPr>
          <w:color w:val="231F20"/>
          <w:spacing w:val="29"/>
        </w:rPr>
        <w:t> </w:t>
      </w:r>
      <w:r>
        <w:rPr>
          <w:color w:val="231F20"/>
        </w:rPr>
        <w:t>to</w:t>
      </w:r>
      <w:r>
        <w:rPr>
          <w:color w:val="231F20"/>
          <w:spacing w:val="29"/>
        </w:rPr>
        <w:t> </w:t>
      </w:r>
      <w:r>
        <w:rPr>
          <w:color w:val="231F20"/>
        </w:rPr>
        <w:t>model</w:t>
      </w:r>
      <w:r>
        <w:rPr>
          <w:color w:val="231F20"/>
          <w:spacing w:val="29"/>
        </w:rPr>
        <w:t> </w:t>
      </w:r>
      <w:r>
        <w:rPr>
          <w:color w:val="231F20"/>
        </w:rPr>
        <w:t>possible</w:t>
      </w:r>
      <w:r>
        <w:rPr>
          <w:color w:val="231F20"/>
          <w:spacing w:val="29"/>
        </w:rPr>
        <w:t> </w:t>
      </w:r>
      <w:r>
        <w:rPr>
          <w:color w:val="231F20"/>
        </w:rPr>
        <w:t>threshold</w:t>
      </w:r>
      <w:r>
        <w:rPr>
          <w:color w:val="231F20"/>
          <w:spacing w:val="29"/>
        </w:rPr>
        <w:t> </w:t>
      </w:r>
      <w:r>
        <w:rPr>
          <w:color w:val="231F20"/>
        </w:rPr>
        <w:t>scenarios</w:t>
      </w:r>
      <w:r>
        <w:rPr>
          <w:color w:val="231F20"/>
          <w:spacing w:val="29"/>
        </w:rPr>
        <w:t> </w:t>
      </w:r>
      <w:r>
        <w:rPr>
          <w:color w:val="231F20"/>
        </w:rPr>
        <w:t>or</w:t>
      </w:r>
      <w:r>
        <w:rPr>
          <w:color w:val="231F20"/>
          <w:spacing w:val="29"/>
        </w:rPr>
        <w:t> </w:t>
      </w:r>
      <w:r>
        <w:rPr>
          <w:color w:val="231F20"/>
        </w:rPr>
        <w:t>to test</w:t>
      </w:r>
      <w:r>
        <w:rPr>
          <w:color w:val="231F20"/>
          <w:spacing w:val="30"/>
        </w:rPr>
        <w:t> </w:t>
      </w:r>
      <w:r>
        <w:rPr>
          <w:color w:val="231F20"/>
        </w:rPr>
        <w:t>the</w:t>
      </w:r>
      <w:r>
        <w:rPr>
          <w:color w:val="231F20"/>
          <w:spacing w:val="30"/>
        </w:rPr>
        <w:t> </w:t>
      </w:r>
      <w:r>
        <w:rPr>
          <w:color w:val="231F20"/>
        </w:rPr>
        <w:t>effectiveness</w:t>
      </w:r>
      <w:r>
        <w:rPr>
          <w:color w:val="231F20"/>
          <w:spacing w:val="30"/>
        </w:rPr>
        <w:t> </w:t>
      </w:r>
      <w:r>
        <w:rPr>
          <w:color w:val="231F20"/>
        </w:rPr>
        <w:t>of</w:t>
      </w:r>
      <w:r>
        <w:rPr>
          <w:color w:val="231F20"/>
          <w:spacing w:val="30"/>
        </w:rPr>
        <w:t> </w:t>
      </w:r>
      <w:r>
        <w:rPr>
          <w:color w:val="231F20"/>
        </w:rPr>
        <w:t>a</w:t>
      </w:r>
      <w:r>
        <w:rPr>
          <w:color w:val="231F20"/>
          <w:spacing w:val="30"/>
        </w:rPr>
        <w:t> </w:t>
      </w:r>
      <w:r>
        <w:rPr>
          <w:color w:val="231F20"/>
        </w:rPr>
        <w:t>situation.</w:t>
      </w:r>
      <w:r>
        <w:rPr>
          <w:color w:val="231F20"/>
          <w:spacing w:val="30"/>
        </w:rPr>
        <w:t> </w:t>
      </w:r>
      <w:r>
        <w:rPr>
          <w:color w:val="231F20"/>
        </w:rPr>
        <w:t>The</w:t>
      </w:r>
      <w:r>
        <w:rPr>
          <w:color w:val="231F20"/>
          <w:spacing w:val="30"/>
        </w:rPr>
        <w:t> </w:t>
      </w:r>
      <w:r>
        <w:rPr>
          <w:rFonts w:ascii="Book Antiqua"/>
          <w:i/>
          <w:color w:val="231F20"/>
        </w:rPr>
        <w:t>Model</w:t>
      </w:r>
      <w:r>
        <w:rPr>
          <w:rFonts w:ascii="Book Antiqua"/>
          <w:i/>
          <w:color w:val="231F20"/>
          <w:spacing w:val="30"/>
        </w:rPr>
        <w:t> </w:t>
      </w:r>
      <w:r>
        <w:rPr>
          <w:rFonts w:ascii="Book Antiqua"/>
          <w:i/>
          <w:color w:val="231F20"/>
        </w:rPr>
        <w:t>Situation</w:t>
      </w:r>
      <w:r>
        <w:rPr>
          <w:rFonts w:ascii="Book Antiqua"/>
          <w:i/>
          <w:color w:val="231F20"/>
          <w:spacing w:val="30"/>
        </w:rPr>
        <w:t> </w:t>
      </w:r>
      <w:r>
        <w:rPr>
          <w:color w:val="231F20"/>
        </w:rPr>
        <w:t>window</w:t>
      </w:r>
      <w:r>
        <w:rPr>
          <w:color w:val="231F20"/>
          <w:spacing w:val="30"/>
        </w:rPr>
        <w:t> </w:t>
      </w:r>
      <w:r>
        <w:rPr>
          <w:color w:val="231F20"/>
        </w:rPr>
        <w:t>has options for calculating different values, comparing attributes, and transferring</w:t>
      </w:r>
      <w:r>
        <w:rPr>
          <w:color w:val="231F20"/>
          <w:spacing w:val="21"/>
        </w:rPr>
        <w:t> </w:t>
      </w:r>
      <w:r>
        <w:rPr>
          <w:color w:val="231F20"/>
        </w:rPr>
        <w:t>the</w:t>
      </w:r>
      <w:r>
        <w:rPr>
          <w:color w:val="231F20"/>
          <w:spacing w:val="21"/>
        </w:rPr>
        <w:t> </w:t>
      </w:r>
      <w:r>
        <w:rPr>
          <w:color w:val="231F20"/>
        </w:rPr>
        <w:t>results</w:t>
      </w:r>
      <w:r>
        <w:rPr>
          <w:color w:val="231F20"/>
          <w:spacing w:val="21"/>
        </w:rPr>
        <w:t> </w:t>
      </w:r>
      <w:r>
        <w:rPr>
          <w:color w:val="231F20"/>
        </w:rPr>
        <w:t>to</w:t>
      </w:r>
      <w:r>
        <w:rPr>
          <w:color w:val="231F20"/>
          <w:spacing w:val="21"/>
        </w:rPr>
        <w:t> </w:t>
      </w:r>
      <w:r>
        <w:rPr>
          <w:color w:val="231F20"/>
        </w:rPr>
        <w:t>the</w:t>
      </w:r>
      <w:r>
        <w:rPr>
          <w:color w:val="231F20"/>
          <w:spacing w:val="21"/>
        </w:rPr>
        <w:t> </w:t>
      </w:r>
      <w:r>
        <w:rPr>
          <w:color w:val="231F20"/>
        </w:rPr>
        <w:t>Situation</w:t>
      </w:r>
      <w:r>
        <w:rPr>
          <w:color w:val="231F20"/>
          <w:spacing w:val="21"/>
        </w:rPr>
        <w:t> </w:t>
      </w:r>
      <w:r>
        <w:rPr>
          <w:color w:val="231F20"/>
        </w:rPr>
        <w:t>editor</w:t>
      </w:r>
      <w:r>
        <w:rPr>
          <w:color w:val="231F20"/>
          <w:spacing w:val="21"/>
        </w:rPr>
        <w:t> </w:t>
      </w:r>
      <w:r>
        <w:rPr>
          <w:color w:val="231F20"/>
        </w:rPr>
        <w:t>to</w:t>
      </w:r>
      <w:r>
        <w:rPr>
          <w:color w:val="231F20"/>
          <w:spacing w:val="21"/>
        </w:rPr>
        <w:t> </w:t>
      </w:r>
      <w:r>
        <w:rPr>
          <w:color w:val="231F20"/>
        </w:rPr>
        <w:t>create</w:t>
      </w:r>
      <w:r>
        <w:rPr>
          <w:color w:val="231F20"/>
          <w:spacing w:val="21"/>
        </w:rPr>
        <w:t> </w:t>
      </w:r>
      <w:r>
        <w:rPr>
          <w:color w:val="231F20"/>
        </w:rPr>
        <w:t>a</w:t>
      </w:r>
      <w:r>
        <w:rPr>
          <w:color w:val="231F20"/>
          <w:spacing w:val="21"/>
        </w:rPr>
        <w:t> </w:t>
      </w:r>
      <w:r>
        <w:rPr>
          <w:color w:val="231F20"/>
        </w:rPr>
        <w:t>new</w:t>
      </w:r>
      <w:r>
        <w:rPr>
          <w:color w:val="231F20"/>
          <w:spacing w:val="21"/>
        </w:rPr>
        <w:t> </w:t>
      </w:r>
      <w:r>
        <w:rPr>
          <w:color w:val="231F20"/>
        </w:rPr>
        <w:t>situation</w:t>
      </w:r>
      <w:r>
        <w:rPr>
          <w:color w:val="231F20"/>
          <w:spacing w:val="21"/>
        </w:rPr>
        <w:t> </w:t>
      </w:r>
      <w:r>
        <w:rPr>
          <w:color w:val="231F20"/>
        </w:rPr>
        <w:t>or to fine tune the conditions in an existing situation.</w:t>
      </w:r>
    </w:p>
    <w:p>
      <w:pPr>
        <w:pStyle w:val="BodyText"/>
        <w:spacing w:line="213" w:lineRule="auto" w:before="114"/>
        <w:ind w:left="3190" w:right="236"/>
      </w:pPr>
      <w:r>
        <w:rPr>
          <w:color w:val="231F20"/>
        </w:rPr>
        <w:t>If the attribute group data has been collected historically, then you can </w:t>
      </w:r>
      <w:r>
        <w:rPr>
          <w:color w:val="231F20"/>
        </w:rPr>
        <w:t>run statistical algorithms against it and provide values on the same chart. The model situation chart shows the difference between the original and calculated values. For example, you might be viewing data samples over a month-long period and see that a metric peaks during Monday mornings from 8:00 to 10:00. You can use the modeling tools to help you make decisions about whether that maximum value is repeatable or an anomaly, and whether it correlates with other conditions.</w:t>
      </w:r>
    </w:p>
    <w:p>
      <w:pPr>
        <w:pStyle w:val="BodyText"/>
        <w:spacing w:line="213" w:lineRule="auto" w:before="114"/>
        <w:ind w:left="3190" w:right="385"/>
      </w:pPr>
      <w:r>
        <w:rPr>
          <w:color w:val="231F20"/>
        </w:rPr>
        <w:t>You can open the Model Situation window from the selected data row or point in a chart view or table view.</w:t>
      </w:r>
    </w:p>
    <w:p>
      <w:pPr>
        <w:pStyle w:val="Heading6"/>
        <w:spacing w:before="118"/>
      </w:pPr>
      <w:r>
        <w:rPr>
          <w:color w:val="231F20"/>
        </w:rPr>
        <w:t>Modeling</w:t>
      </w:r>
      <w:r>
        <w:rPr>
          <w:color w:val="231F20"/>
          <w:spacing w:val="9"/>
        </w:rPr>
        <w:t> </w:t>
      </w:r>
      <w:r>
        <w:rPr>
          <w:color w:val="231F20"/>
        </w:rPr>
        <w:t>from</w:t>
      </w:r>
      <w:r>
        <w:rPr>
          <w:color w:val="231F20"/>
          <w:spacing w:val="10"/>
        </w:rPr>
        <w:t> </w:t>
      </w:r>
      <w:r>
        <w:rPr>
          <w:color w:val="231F20"/>
        </w:rPr>
        <w:t>the</w:t>
      </w:r>
      <w:r>
        <w:rPr>
          <w:color w:val="231F20"/>
          <w:spacing w:val="9"/>
        </w:rPr>
        <w:t> </w:t>
      </w:r>
      <w:r>
        <w:rPr>
          <w:color w:val="231F20"/>
        </w:rPr>
        <w:t>Manage</w:t>
      </w:r>
      <w:r>
        <w:rPr>
          <w:color w:val="231F20"/>
          <w:spacing w:val="10"/>
        </w:rPr>
        <w:t> </w:t>
      </w:r>
      <w:r>
        <w:rPr>
          <w:color w:val="231F20"/>
        </w:rPr>
        <w:t>Situations</w:t>
      </w:r>
      <w:r>
        <w:rPr>
          <w:color w:val="231F20"/>
          <w:spacing w:val="10"/>
        </w:rPr>
        <w:t> </w:t>
      </w:r>
      <w:r>
        <w:rPr>
          <w:color w:val="231F20"/>
        </w:rPr>
        <w:t>at</w:t>
      </w:r>
      <w:r>
        <w:rPr>
          <w:color w:val="231F20"/>
          <w:spacing w:val="9"/>
        </w:rPr>
        <w:t> </w:t>
      </w:r>
      <w:r>
        <w:rPr>
          <w:color w:val="231F20"/>
        </w:rPr>
        <w:t>Managed</w:t>
      </w:r>
      <w:r>
        <w:rPr>
          <w:color w:val="231F20"/>
          <w:spacing w:val="10"/>
        </w:rPr>
        <w:t> </w:t>
      </w:r>
      <w:r>
        <w:rPr>
          <w:color w:val="231F20"/>
        </w:rPr>
        <w:t>Systems</w:t>
      </w:r>
      <w:r>
        <w:rPr>
          <w:color w:val="231F20"/>
          <w:spacing w:val="10"/>
        </w:rPr>
        <w:t> </w:t>
      </w:r>
      <w:r>
        <w:rPr>
          <w:color w:val="231F20"/>
          <w:spacing w:val="-2"/>
        </w:rPr>
        <w:t>window</w:t>
      </w:r>
    </w:p>
    <w:p>
      <w:pPr>
        <w:pStyle w:val="BodyText"/>
        <w:spacing w:line="213" w:lineRule="auto" w:before="11"/>
        <w:ind w:left="3190" w:right="385"/>
      </w:pPr>
      <w:r>
        <w:rPr>
          <w:color w:val="231F20"/>
        </w:rPr>
        <w:t>The Manage Situations at Managed System window displays all the situations that are associated with the Navigator item for the agent. You</w:t>
      </w:r>
      <w:r>
        <w:rPr>
          <w:color w:val="231F20"/>
          <w:spacing w:val="40"/>
        </w:rPr>
        <w:t> </w:t>
      </w:r>
      <w:r>
        <w:rPr>
          <w:color w:val="231F20"/>
        </w:rPr>
        <w:t>can use situation modeling to refine the thresholds of an existing </w:t>
      </w:r>
      <w:r>
        <w:rPr>
          <w:color w:val="231F20"/>
        </w:rPr>
        <w:t>situation so that events are opened appropriately: not too often, but not so seldom that important issues are missed.</w:t>
      </w:r>
    </w:p>
    <w:p>
      <w:pPr>
        <w:pStyle w:val="BodyText"/>
        <w:spacing w:line="213" w:lineRule="auto" w:before="116"/>
        <w:ind w:left="3190" w:right="545"/>
      </w:pPr>
      <w:r>
        <w:rPr>
          <w:color w:val="231F20"/>
        </w:rPr>
        <w:t>Open the Model Situation window for a selected situation to see the formula with the current attribute values plotted in the model </w:t>
      </w:r>
      <w:r>
        <w:rPr>
          <w:color w:val="231F20"/>
        </w:rPr>
        <w:t>situation chart. Use the expression editor and statistical functions to model other possible thresholds. Then copy the results into the Situation editor for editing the situation values or to create another situation.</w:t>
      </w:r>
    </w:p>
    <w:p>
      <w:pPr>
        <w:spacing w:after="0" w:line="213" w:lineRule="auto"/>
        <w:sectPr>
          <w:pgSz w:w="12240" w:h="15840"/>
          <w:pgMar w:header="0" w:footer="736" w:top="1180" w:bottom="920" w:left="1000" w:right="1060"/>
        </w:sectPr>
      </w:pPr>
    </w:p>
    <w:p>
      <w:pPr>
        <w:pStyle w:val="BodyText"/>
        <w:spacing w:line="213" w:lineRule="auto" w:before="85"/>
        <w:ind w:left="2951" w:right="545"/>
      </w:pPr>
      <w:bookmarkStart w:name="_bookmark212" w:id="448"/>
      <w:bookmarkEnd w:id="448"/>
      <w:r>
        <w:rPr/>
      </w:r>
      <w:r>
        <w:rPr>
          <w:color w:val="231F20"/>
        </w:rPr>
        <w:t>The tool is disabled if a situation is ineligible for modeling. Situation definitions that have any these characteristics cannot be used for </w:t>
      </w:r>
      <w:r>
        <w:rPr>
          <w:color w:val="231F20"/>
        </w:rPr>
        <w:t>modeling:</w:t>
      </w:r>
    </w:p>
    <w:p>
      <w:pPr>
        <w:pStyle w:val="BodyText"/>
        <w:spacing w:before="35"/>
        <w:ind w:left="2951"/>
      </w:pPr>
      <w:r>
        <w:rPr>
          <w:rFonts w:ascii="Futura MdCn BT"/>
          <w:color w:val="231F20"/>
        </w:rPr>
        <w:t>v</w:t>
      </w:r>
      <w:r>
        <w:rPr>
          <w:rFonts w:ascii="Futura MdCn BT"/>
          <w:color w:val="231F20"/>
          <w:spacing w:val="77"/>
          <w:w w:val="150"/>
        </w:rPr>
        <w:t> </w:t>
      </w:r>
      <w:r>
        <w:rPr>
          <w:color w:val="231F20"/>
        </w:rPr>
        <w:t>Embedded</w:t>
      </w:r>
      <w:r>
        <w:rPr>
          <w:color w:val="231F20"/>
          <w:spacing w:val="10"/>
        </w:rPr>
        <w:t> </w:t>
      </w:r>
      <w:r>
        <w:rPr>
          <w:color w:val="231F20"/>
        </w:rPr>
        <w:t>situations,</w:t>
      </w:r>
      <w:r>
        <w:rPr>
          <w:color w:val="231F20"/>
          <w:spacing w:val="10"/>
        </w:rPr>
        <w:t> </w:t>
      </w:r>
      <w:r>
        <w:rPr>
          <w:color w:val="231F20"/>
        </w:rPr>
        <w:t>which</w:t>
      </w:r>
      <w:r>
        <w:rPr>
          <w:color w:val="231F20"/>
          <w:spacing w:val="11"/>
        </w:rPr>
        <w:t> </w:t>
      </w:r>
      <w:r>
        <w:rPr>
          <w:color w:val="231F20"/>
        </w:rPr>
        <w:t>also</w:t>
      </w:r>
      <w:r>
        <w:rPr>
          <w:color w:val="231F20"/>
          <w:spacing w:val="10"/>
        </w:rPr>
        <w:t> </w:t>
      </w:r>
      <w:r>
        <w:rPr>
          <w:color w:val="231F20"/>
        </w:rPr>
        <w:t>includes</w:t>
      </w:r>
      <w:r>
        <w:rPr>
          <w:color w:val="231F20"/>
          <w:spacing w:val="10"/>
        </w:rPr>
        <w:t> </w:t>
      </w:r>
      <w:r>
        <w:rPr>
          <w:color w:val="231F20"/>
        </w:rPr>
        <w:t>correlated</w:t>
      </w:r>
      <w:r>
        <w:rPr>
          <w:color w:val="231F20"/>
          <w:spacing w:val="10"/>
        </w:rPr>
        <w:t> </w:t>
      </w:r>
      <w:r>
        <w:rPr>
          <w:color w:val="231F20"/>
          <w:spacing w:val="-2"/>
        </w:rPr>
        <w:t>situations</w:t>
      </w:r>
    </w:p>
    <w:p>
      <w:pPr>
        <w:pStyle w:val="BodyText"/>
        <w:spacing w:before="30"/>
        <w:ind w:left="2951"/>
      </w:pPr>
      <w:r>
        <w:rPr>
          <w:rFonts w:ascii="Futura MdCn BT"/>
          <w:color w:val="231F20"/>
        </w:rPr>
        <w:t>v</w:t>
      </w:r>
      <w:r>
        <w:rPr>
          <w:rFonts w:ascii="Futura MdCn BT"/>
          <w:color w:val="231F20"/>
          <w:spacing w:val="31"/>
        </w:rPr>
        <w:t>  </w:t>
      </w:r>
      <w:r>
        <w:rPr>
          <w:color w:val="231F20"/>
        </w:rPr>
        <w:t>Situations</w:t>
      </w:r>
      <w:r>
        <w:rPr>
          <w:color w:val="231F20"/>
          <w:spacing w:val="12"/>
        </w:rPr>
        <w:t> </w:t>
      </w:r>
      <w:r>
        <w:rPr>
          <w:color w:val="231F20"/>
        </w:rPr>
        <w:t>with</w:t>
      </w:r>
      <w:r>
        <w:rPr>
          <w:color w:val="231F20"/>
          <w:spacing w:val="12"/>
        </w:rPr>
        <w:t> </w:t>
      </w:r>
      <w:r>
        <w:rPr>
          <w:color w:val="231F20"/>
        </w:rPr>
        <w:t>more</w:t>
      </w:r>
      <w:r>
        <w:rPr>
          <w:color w:val="231F20"/>
          <w:spacing w:val="12"/>
        </w:rPr>
        <w:t> </w:t>
      </w:r>
      <w:r>
        <w:rPr>
          <w:color w:val="231F20"/>
        </w:rPr>
        <w:t>than</w:t>
      </w:r>
      <w:r>
        <w:rPr>
          <w:color w:val="231F20"/>
          <w:spacing w:val="12"/>
        </w:rPr>
        <w:t> </w:t>
      </w:r>
      <w:r>
        <w:rPr>
          <w:color w:val="231F20"/>
        </w:rPr>
        <w:t>ten</w:t>
      </w:r>
      <w:r>
        <w:rPr>
          <w:color w:val="231F20"/>
          <w:spacing w:val="12"/>
        </w:rPr>
        <w:t> </w:t>
      </w:r>
      <w:r>
        <w:rPr>
          <w:color w:val="231F20"/>
        </w:rPr>
        <w:t>attributes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spacing w:val="-2"/>
        </w:rPr>
        <w:t>formula</w:t>
      </w:r>
    </w:p>
    <w:p>
      <w:pPr>
        <w:pStyle w:val="BodyText"/>
        <w:spacing w:before="29"/>
        <w:ind w:left="2951"/>
      </w:pPr>
      <w:r>
        <w:rPr>
          <w:rFonts w:ascii="Futura MdCn BT"/>
          <w:color w:val="231F20"/>
        </w:rPr>
        <w:t>v</w:t>
      </w:r>
      <w:r>
        <w:rPr>
          <w:rFonts w:ascii="Futura MdCn BT"/>
          <w:color w:val="231F20"/>
          <w:spacing w:val="31"/>
        </w:rPr>
        <w:t>  </w:t>
      </w:r>
      <w:r>
        <w:rPr>
          <w:color w:val="231F20"/>
        </w:rPr>
        <w:t>Situations</w:t>
      </w:r>
      <w:r>
        <w:rPr>
          <w:color w:val="231F20"/>
          <w:spacing w:val="12"/>
        </w:rPr>
        <w:t> </w:t>
      </w:r>
      <w:r>
        <w:rPr>
          <w:color w:val="231F20"/>
        </w:rPr>
        <w:t>with</w:t>
      </w:r>
      <w:r>
        <w:rPr>
          <w:color w:val="231F20"/>
          <w:spacing w:val="13"/>
        </w:rPr>
        <w:t> </w:t>
      </w:r>
      <w:r>
        <w:rPr>
          <w:color w:val="231F20"/>
        </w:rPr>
        <w:t>no</w:t>
      </w:r>
      <w:r>
        <w:rPr>
          <w:color w:val="231F20"/>
          <w:spacing w:val="12"/>
        </w:rPr>
        <w:t> </w:t>
      </w:r>
      <w:r>
        <w:rPr>
          <w:color w:val="231F20"/>
        </w:rPr>
        <w:t>numeric</w:t>
      </w:r>
      <w:r>
        <w:rPr>
          <w:color w:val="231F20"/>
          <w:spacing w:val="12"/>
        </w:rPr>
        <w:t> </w:t>
      </w:r>
      <w:r>
        <w:rPr>
          <w:color w:val="231F20"/>
        </w:rPr>
        <w:t>attributes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spacing w:val="-2"/>
        </w:rPr>
        <w:t>formula</w:t>
      </w:r>
    </w:p>
    <w:p>
      <w:pPr>
        <w:pStyle w:val="BodyText"/>
        <w:spacing w:line="213" w:lineRule="auto" w:before="53"/>
        <w:ind w:left="3167" w:right="636" w:hanging="216"/>
      </w:pPr>
      <w:r>
        <w:rPr>
          <w:rFonts w:ascii="Futura MdCn BT"/>
          <w:color w:val="231F20"/>
        </w:rPr>
        <w:t>v</w:t>
      </w:r>
      <w:r>
        <w:rPr>
          <w:rFonts w:ascii="Futura MdCn BT"/>
          <w:color w:val="231F20"/>
          <w:spacing w:val="80"/>
        </w:rPr>
        <w:t> </w:t>
      </w:r>
      <w:r>
        <w:rPr>
          <w:color w:val="231F20"/>
        </w:rPr>
        <w:t>Situations with an attribute repeated in the formula (such </w:t>
      </w:r>
      <w:r>
        <w:rPr>
          <w:color w:val="231F20"/>
        </w:rPr>
        <w:t>as</w:t>
      </w:r>
      <w:r>
        <w:rPr>
          <w:color w:val="231F20"/>
        </w:rPr>
        <w:t> MyAttribute &gt; 0 AND MyAttribute &lt; 50)</w:t>
      </w:r>
    </w:p>
    <w:p>
      <w:pPr>
        <w:pStyle w:val="BodyText"/>
        <w:spacing w:before="35"/>
        <w:ind w:left="2951"/>
      </w:pPr>
      <w:r>
        <w:rPr>
          <w:rFonts w:ascii="Futura MdCn BT"/>
          <w:color w:val="231F20"/>
        </w:rPr>
        <w:t>v</w:t>
      </w:r>
      <w:r>
        <w:rPr>
          <w:rFonts w:ascii="Futura MdCn BT"/>
          <w:color w:val="231F20"/>
          <w:spacing w:val="31"/>
        </w:rPr>
        <w:t>  </w:t>
      </w:r>
      <w:r>
        <w:rPr>
          <w:color w:val="231F20"/>
        </w:rPr>
        <w:t>Situations</w:t>
      </w:r>
      <w:r>
        <w:rPr>
          <w:color w:val="231F20"/>
          <w:spacing w:val="13"/>
        </w:rPr>
        <w:t> </w:t>
      </w:r>
      <w:r>
        <w:rPr>
          <w:color w:val="231F20"/>
        </w:rPr>
        <w:t>with</w:t>
      </w:r>
      <w:r>
        <w:rPr>
          <w:color w:val="231F20"/>
          <w:spacing w:val="12"/>
        </w:rPr>
        <w:t> </w:t>
      </w:r>
      <w:r>
        <w:rPr>
          <w:color w:val="231F20"/>
        </w:rPr>
        <w:t>Boolean</w:t>
      </w:r>
      <w:r>
        <w:rPr>
          <w:color w:val="231F20"/>
          <w:spacing w:val="13"/>
        </w:rPr>
        <w:t> </w:t>
      </w:r>
      <w:r>
        <w:rPr>
          <w:color w:val="231F20"/>
        </w:rPr>
        <w:t>OR</w:t>
      </w:r>
      <w:r>
        <w:rPr>
          <w:color w:val="231F20"/>
          <w:spacing w:val="12"/>
        </w:rPr>
        <w:t> </w:t>
      </w:r>
      <w:r>
        <w:rPr>
          <w:color w:val="231F20"/>
          <w:spacing w:val="-2"/>
        </w:rPr>
        <w:t>logic</w:t>
      </w:r>
    </w:p>
    <w:p>
      <w:pPr>
        <w:pStyle w:val="BodyText"/>
        <w:spacing w:line="213" w:lineRule="auto" w:before="53"/>
        <w:ind w:left="3167" w:right="545" w:hanging="216"/>
      </w:pPr>
      <w:r>
        <w:rPr>
          <w:rFonts w:ascii="Futura MdCn BT"/>
          <w:color w:val="231F20"/>
        </w:rPr>
        <w:t>v</w:t>
      </w:r>
      <w:r>
        <w:rPr>
          <w:rFonts w:ascii="Futura MdCn BT"/>
          <w:color w:val="231F20"/>
          <w:spacing w:val="80"/>
        </w:rPr>
        <w:t> </w:t>
      </w:r>
      <w:r>
        <w:rPr>
          <w:color w:val="231F20"/>
        </w:rPr>
        <w:t>Situations with group functions: count, sum, average, </w:t>
      </w:r>
      <w:r>
        <w:rPr>
          <w:color w:val="231F20"/>
        </w:rPr>
        <w:t>minimum,</w:t>
      </w:r>
      <w:r>
        <w:rPr>
          <w:color w:val="231F20"/>
        </w:rPr>
        <w:t> </w:t>
      </w:r>
      <w:r>
        <w:rPr>
          <w:color w:val="231F20"/>
          <w:spacing w:val="-2"/>
        </w:rPr>
        <w:t>maximum</w:t>
      </w:r>
    </w:p>
    <w:p>
      <w:pPr>
        <w:pStyle w:val="Heading3"/>
        <w:spacing w:before="217"/>
        <w:ind w:left="1334"/>
      </w:pPr>
      <w:bookmarkStart w:name="Modeling a situation with view data" w:id="449"/>
      <w:bookmarkEnd w:id="449"/>
      <w:r>
        <w:rPr>
          <w:b w:val="0"/>
        </w:rPr>
      </w:r>
      <w:r>
        <w:rPr>
          <w:color w:val="231F20"/>
        </w:rPr>
        <w:t>Modeling</w:t>
      </w:r>
      <w:r>
        <w:rPr>
          <w:color w:val="231F20"/>
          <w:spacing w:val="7"/>
        </w:rPr>
        <w:t> </w:t>
      </w:r>
      <w:r>
        <w:rPr>
          <w:color w:val="231F20"/>
        </w:rPr>
        <w:t>a</w:t>
      </w:r>
      <w:r>
        <w:rPr>
          <w:color w:val="231F20"/>
          <w:spacing w:val="8"/>
        </w:rPr>
        <w:t> </w:t>
      </w:r>
      <w:r>
        <w:rPr>
          <w:color w:val="231F20"/>
        </w:rPr>
        <w:t>situation</w:t>
      </w:r>
      <w:r>
        <w:rPr>
          <w:color w:val="231F20"/>
          <w:spacing w:val="7"/>
        </w:rPr>
        <w:t> </w:t>
      </w:r>
      <w:r>
        <w:rPr>
          <w:color w:val="231F20"/>
        </w:rPr>
        <w:t>with</w:t>
      </w:r>
      <w:r>
        <w:rPr>
          <w:color w:val="231F20"/>
          <w:spacing w:val="8"/>
        </w:rPr>
        <w:t> </w:t>
      </w:r>
      <w:r>
        <w:rPr>
          <w:color w:val="231F20"/>
        </w:rPr>
        <w:t>view</w:t>
      </w:r>
      <w:r>
        <w:rPr>
          <w:color w:val="231F20"/>
          <w:spacing w:val="7"/>
        </w:rPr>
        <w:t> </w:t>
      </w:r>
      <w:r>
        <w:rPr>
          <w:color w:val="231F20"/>
          <w:spacing w:val="-4"/>
        </w:rPr>
        <w:t>data</w:t>
      </w:r>
    </w:p>
    <w:p>
      <w:pPr>
        <w:pStyle w:val="BodyText"/>
        <w:spacing w:line="213" w:lineRule="auto" w:before="58"/>
        <w:ind w:left="2232" w:right="648"/>
        <w:jc w:val="both"/>
      </w:pPr>
      <w:r>
        <w:rPr>
          <w:color w:val="231F20"/>
        </w:rPr>
        <w:t>Use the values from the current chart or table to model threshold conditions and then use the results in a new situation. Historical views are particularly valuable for researching thresholds.</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631"/>
        <w:jc w:val="both"/>
      </w:pPr>
      <w:r>
        <w:rPr>
          <w:color w:val="231F20"/>
        </w:rPr>
        <w:t>Your user ID must have View permissions for Situations for this feature to be enabled.</w:t>
      </w:r>
      <w:r>
        <w:rPr>
          <w:color w:val="231F20"/>
          <w:spacing w:val="9"/>
        </w:rPr>
        <w:t> </w:t>
      </w:r>
      <w:r>
        <w:rPr>
          <w:color w:val="231F20"/>
        </w:rPr>
        <w:t>To</w:t>
      </w:r>
      <w:r>
        <w:rPr>
          <w:color w:val="231F20"/>
          <w:spacing w:val="9"/>
        </w:rPr>
        <w:t> </w:t>
      </w:r>
      <w:r>
        <w:rPr>
          <w:color w:val="231F20"/>
        </w:rPr>
        <w:t>create</w:t>
      </w:r>
      <w:r>
        <w:rPr>
          <w:color w:val="231F20"/>
          <w:spacing w:val="10"/>
        </w:rPr>
        <w:t> </w:t>
      </w:r>
      <w:r>
        <w:rPr>
          <w:color w:val="231F20"/>
        </w:rPr>
        <w:t>or</w:t>
      </w:r>
      <w:r>
        <w:rPr>
          <w:color w:val="231F20"/>
          <w:spacing w:val="9"/>
        </w:rPr>
        <w:t> </w:t>
      </w:r>
      <w:r>
        <w:rPr>
          <w:color w:val="231F20"/>
        </w:rPr>
        <w:t>edit</w:t>
      </w:r>
      <w:r>
        <w:rPr>
          <w:color w:val="231F20"/>
          <w:spacing w:val="10"/>
        </w:rPr>
        <w:t> </w:t>
      </w:r>
      <w:r>
        <w:rPr>
          <w:color w:val="231F20"/>
        </w:rPr>
        <w:t>Situations,</w:t>
      </w:r>
      <w:r>
        <w:rPr>
          <w:color w:val="231F20"/>
          <w:spacing w:val="9"/>
        </w:rPr>
        <w:t> </w:t>
      </w:r>
      <w:r>
        <w:rPr>
          <w:color w:val="231F20"/>
        </w:rPr>
        <w:t>your</w:t>
      </w:r>
      <w:r>
        <w:rPr>
          <w:color w:val="231F20"/>
          <w:spacing w:val="10"/>
        </w:rPr>
        <w:t> </w:t>
      </w:r>
      <w:r>
        <w:rPr>
          <w:color w:val="231F20"/>
        </w:rPr>
        <w:t>user</w:t>
      </w:r>
      <w:r>
        <w:rPr>
          <w:color w:val="231F20"/>
          <w:spacing w:val="9"/>
        </w:rPr>
        <w:t> </w:t>
      </w:r>
      <w:r>
        <w:rPr>
          <w:color w:val="231F20"/>
        </w:rPr>
        <w:t>ID</w:t>
      </w:r>
      <w:r>
        <w:rPr>
          <w:color w:val="231F20"/>
          <w:spacing w:val="10"/>
        </w:rPr>
        <w:t> </w:t>
      </w:r>
      <w:r>
        <w:rPr>
          <w:color w:val="231F20"/>
        </w:rPr>
        <w:t>must</w:t>
      </w:r>
      <w:r>
        <w:rPr>
          <w:color w:val="231F20"/>
          <w:spacing w:val="9"/>
        </w:rPr>
        <w:t> </w:t>
      </w:r>
      <w:r>
        <w:rPr>
          <w:color w:val="231F20"/>
        </w:rPr>
        <w:t>have</w:t>
      </w:r>
      <w:r>
        <w:rPr>
          <w:color w:val="231F20"/>
          <w:spacing w:val="10"/>
        </w:rPr>
        <w:t> </w:t>
      </w:r>
      <w:r>
        <w:rPr>
          <w:color w:val="231F20"/>
        </w:rPr>
        <w:t>Modify</w:t>
      </w:r>
      <w:r>
        <w:rPr>
          <w:color w:val="231F20"/>
          <w:spacing w:val="9"/>
        </w:rPr>
        <w:t> </w:t>
      </w:r>
      <w:r>
        <w:rPr>
          <w:color w:val="231F20"/>
          <w:spacing w:val="-2"/>
        </w:rPr>
        <w:t>permission.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636"/>
      </w:pPr>
      <w:r>
        <w:rPr>
          <w:color w:val="231F20"/>
        </w:rPr>
        <w:t>The attribute values that are used for modeling are especially valuable for comparing with historical data samples. Take these steps to work with the</w:t>
      </w:r>
      <w:r>
        <w:rPr>
          <w:color w:val="231F20"/>
          <w:spacing w:val="40"/>
        </w:rPr>
        <w:t> </w:t>
      </w:r>
      <w:r>
        <w:rPr>
          <w:color w:val="231F20"/>
        </w:rPr>
        <w:t>situation modeling feature and, if you choose to, create a situation. Text attributes cannot be modeled. Only display item, which has a checked box</w:t>
      </w:r>
    </w:p>
    <w:p>
      <w:pPr>
        <w:pStyle w:val="Heading4"/>
        <w:spacing w:before="198"/>
      </w:pPr>
      <w:r>
        <w:rPr>
          <w:color w:val="231F20"/>
          <w:spacing w:val="-2"/>
        </w:rPr>
        <w:t>Procedure</w:t>
      </w:r>
    </w:p>
    <w:p>
      <w:pPr>
        <w:pStyle w:val="ListParagraph"/>
        <w:numPr>
          <w:ilvl w:val="0"/>
          <w:numId w:val="127"/>
        </w:numPr>
        <w:tabs>
          <w:tab w:pos="2548" w:val="left" w:leader="none"/>
        </w:tabs>
        <w:spacing w:line="213" w:lineRule="auto" w:before="62" w:after="0"/>
        <w:ind w:left="2548" w:right="559" w:hanging="316"/>
        <w:jc w:val="left"/>
        <w:rPr>
          <w:sz w:val="20"/>
        </w:rPr>
      </w:pPr>
      <w:r>
        <w:rPr>
          <w:color w:val="231F20"/>
          <w:sz w:val="20"/>
        </w:rPr>
        <w:t>Right-click a table row or chart point containing numeric attributes to </w:t>
      </w:r>
      <w:r>
        <w:rPr>
          <w:color w:val="231F20"/>
          <w:sz w:val="20"/>
        </w:rPr>
        <w:t>monitor and click</w:t>
      </w:r>
      <w:r>
        <w:rPr>
          <w:color w:val="231F20"/>
          <w:spacing w:val="26"/>
          <w:sz w:val="20"/>
        </w:rPr>
        <w:t> </w:t>
      </w:r>
      <w:r>
        <w:rPr>
          <w:color w:val="231F20"/>
          <w:spacing w:val="-24"/>
          <w:position w:val="-1"/>
          <w:sz w:val="20"/>
        </w:rPr>
        <w:drawing>
          <wp:inline distT="0" distB="0" distL="0" distR="0">
            <wp:extent cx="88900" cy="95250"/>
            <wp:effectExtent l="0" t="0" r="0" b="0"/>
            <wp:docPr id="2401" name="Image 2401"/>
            <wp:cNvGraphicFramePr>
              <a:graphicFrameLocks/>
            </wp:cNvGraphicFramePr>
            <a:graphic>
              <a:graphicData uri="http://schemas.openxmlformats.org/drawingml/2006/picture">
                <pic:pic>
                  <pic:nvPicPr>
                    <pic:cNvPr id="2401" name="Image 2401"/>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sz w:val="20"/>
        </w:rPr>
      </w:r>
      <w:r>
        <w:rPr>
          <w:rFonts w:ascii="Times New Roman"/>
          <w:color w:val="231F20"/>
          <w:spacing w:val="33"/>
          <w:sz w:val="20"/>
        </w:rPr>
        <w:t> </w:t>
      </w:r>
      <w:r>
        <w:rPr>
          <w:rFonts w:ascii="Book Antiqua"/>
          <w:b/>
          <w:color w:val="231F20"/>
          <w:sz w:val="20"/>
        </w:rPr>
        <w:t>Model Situation</w:t>
      </w:r>
      <w:r>
        <w:rPr>
          <w:color w:val="231F20"/>
          <w:sz w:val="20"/>
        </w:rPr>
        <w:t>. The Select attribute window is opened with the attribute group preselected. If you opened the pop-up menu from a chart, attributes are preselected.</w:t>
      </w:r>
    </w:p>
    <w:p>
      <w:pPr>
        <w:pStyle w:val="ListParagraph"/>
        <w:numPr>
          <w:ilvl w:val="0"/>
          <w:numId w:val="127"/>
        </w:numPr>
        <w:tabs>
          <w:tab w:pos="2547" w:val="left" w:leader="none"/>
        </w:tabs>
        <w:spacing w:line="240" w:lineRule="auto" w:before="34"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9"/>
          <w:sz w:val="20"/>
        </w:rPr>
        <w:t> </w:t>
      </w:r>
      <w:r>
        <w:rPr>
          <w:rFonts w:ascii="Book Antiqua"/>
          <w:b/>
          <w:color w:val="231F20"/>
          <w:sz w:val="20"/>
        </w:rPr>
        <w:t>Select</w:t>
      </w:r>
      <w:r>
        <w:rPr>
          <w:rFonts w:ascii="Book Antiqua"/>
          <w:b/>
          <w:color w:val="231F20"/>
          <w:spacing w:val="9"/>
          <w:sz w:val="20"/>
        </w:rPr>
        <w:t> </w:t>
      </w:r>
      <w:r>
        <w:rPr>
          <w:rFonts w:ascii="Book Antiqua"/>
          <w:b/>
          <w:color w:val="231F20"/>
          <w:sz w:val="20"/>
        </w:rPr>
        <w:t>attribute</w:t>
      </w:r>
      <w:r>
        <w:rPr>
          <w:rFonts w:ascii="Book Antiqua"/>
          <w:b/>
          <w:color w:val="231F20"/>
          <w:spacing w:val="9"/>
          <w:sz w:val="20"/>
        </w:rPr>
        <w:t> </w:t>
      </w:r>
      <w:r>
        <w:rPr>
          <w:color w:val="231F20"/>
          <w:sz w:val="20"/>
        </w:rPr>
        <w:t>window,</w:t>
      </w:r>
      <w:r>
        <w:rPr>
          <w:color w:val="231F20"/>
          <w:spacing w:val="9"/>
          <w:sz w:val="20"/>
        </w:rPr>
        <w:t> </w:t>
      </w:r>
      <w:r>
        <w:rPr>
          <w:color w:val="231F20"/>
          <w:sz w:val="20"/>
        </w:rPr>
        <w:t>select</w:t>
      </w:r>
      <w:r>
        <w:rPr>
          <w:color w:val="231F20"/>
          <w:spacing w:val="9"/>
          <w:sz w:val="20"/>
        </w:rPr>
        <w:t> </w:t>
      </w:r>
      <w:r>
        <w:rPr>
          <w:color w:val="231F20"/>
          <w:sz w:val="20"/>
        </w:rPr>
        <w:t>the</w:t>
      </w:r>
      <w:r>
        <w:rPr>
          <w:color w:val="231F20"/>
          <w:spacing w:val="9"/>
          <w:sz w:val="20"/>
        </w:rPr>
        <w:t> </w:t>
      </w:r>
      <w:r>
        <w:rPr>
          <w:color w:val="231F20"/>
          <w:sz w:val="20"/>
        </w:rPr>
        <w:t>attributes</w:t>
      </w:r>
      <w:r>
        <w:rPr>
          <w:color w:val="231F20"/>
          <w:spacing w:val="9"/>
          <w:sz w:val="20"/>
        </w:rPr>
        <w:t> </w:t>
      </w:r>
      <w:r>
        <w:rPr>
          <w:color w:val="231F20"/>
          <w:sz w:val="20"/>
        </w:rPr>
        <w:t>to</w:t>
      </w:r>
      <w:r>
        <w:rPr>
          <w:color w:val="231F20"/>
          <w:spacing w:val="9"/>
          <w:sz w:val="20"/>
        </w:rPr>
        <w:t> </w:t>
      </w:r>
      <w:r>
        <w:rPr>
          <w:color w:val="231F20"/>
          <w:spacing w:val="-2"/>
          <w:sz w:val="20"/>
        </w:rPr>
        <w:t>model:</w:t>
      </w:r>
    </w:p>
    <w:p>
      <w:pPr>
        <w:pStyle w:val="BodyText"/>
        <w:spacing w:line="213" w:lineRule="auto" w:before="52"/>
        <w:ind w:left="2764" w:right="704" w:hanging="216"/>
        <w:jc w:val="both"/>
      </w:pPr>
      <w:r>
        <w:rPr>
          <w:rFonts w:ascii="Futura MdCn BT"/>
          <w:color w:val="231F20"/>
        </w:rPr>
        <w:t>v</w:t>
      </w:r>
      <w:r>
        <w:rPr>
          <w:rFonts w:ascii="Futura MdCn BT"/>
          <w:color w:val="231F20"/>
          <w:spacing w:val="40"/>
        </w:rPr>
        <w:t> </w:t>
      </w:r>
      <w:r>
        <w:rPr>
          <w:color w:val="231F20"/>
        </w:rPr>
        <w:t>Click an attribute to select it. You can also use Ctrl+click to select multiple items and Shift+click to select all items between the item last selected and this one. You can select up to 10 attributes.</w:t>
      </w:r>
    </w:p>
    <w:p>
      <w:pPr>
        <w:pStyle w:val="BodyText"/>
        <w:spacing w:before="35"/>
        <w:ind w:left="2548"/>
        <w:jc w:val="both"/>
      </w:pPr>
      <w:r>
        <w:rPr>
          <w:rFonts w:ascii="Futura MdCn BT"/>
          <w:color w:val="231F20"/>
        </w:rPr>
        <w:t>v</w:t>
      </w:r>
      <w:r>
        <w:rPr>
          <w:rFonts w:ascii="Futura MdCn BT"/>
          <w:color w:val="231F20"/>
          <w:spacing w:val="31"/>
        </w:rPr>
        <w:t>  </w:t>
      </w:r>
      <w:r>
        <w:rPr>
          <w:color w:val="231F20"/>
        </w:rPr>
        <w:t>Select</w:t>
      </w:r>
      <w:r>
        <w:rPr>
          <w:color w:val="231F20"/>
          <w:spacing w:val="13"/>
        </w:rPr>
        <w:t> </w:t>
      </w:r>
      <w:r>
        <w:rPr>
          <w:color w:val="231F20"/>
        </w:rPr>
        <w:t>numeric</w:t>
      </w:r>
      <w:r>
        <w:rPr>
          <w:color w:val="231F20"/>
          <w:spacing w:val="13"/>
        </w:rPr>
        <w:t> </w:t>
      </w:r>
      <w:r>
        <w:rPr>
          <w:color w:val="231F20"/>
        </w:rPr>
        <w:t>attributes</w:t>
      </w:r>
      <w:r>
        <w:rPr>
          <w:color w:val="231F20"/>
          <w:spacing w:val="12"/>
        </w:rPr>
        <w:t> </w:t>
      </w:r>
      <w:r>
        <w:rPr>
          <w:color w:val="231F20"/>
        </w:rPr>
        <w:t>of</w:t>
      </w:r>
      <w:r>
        <w:rPr>
          <w:color w:val="231F20"/>
          <w:spacing w:val="12"/>
        </w:rPr>
        <w:t> </w:t>
      </w:r>
      <w:r>
        <w:rPr>
          <w:color w:val="231F20"/>
          <w:spacing w:val="-2"/>
        </w:rPr>
        <w:t>interest.</w:t>
      </w:r>
    </w:p>
    <w:p>
      <w:pPr>
        <w:pStyle w:val="BodyText"/>
        <w:spacing w:line="213" w:lineRule="auto" w:before="113"/>
        <w:ind w:left="2548" w:right="493"/>
      </w:pPr>
      <w:r>
        <w:rPr>
          <w:color w:val="231F20"/>
        </w:rPr>
        <w:t>After you click </w:t>
      </w:r>
      <w:r>
        <w:rPr>
          <w:rFonts w:ascii="Book Antiqua"/>
          <w:b/>
          <w:color w:val="231F20"/>
        </w:rPr>
        <w:t>OK</w:t>
      </w:r>
      <w:r>
        <w:rPr>
          <w:color w:val="231F20"/>
        </w:rPr>
        <w:t>, the Model Situation window is opened with a chart displaying the selected numeric attributes and their values (from the </w:t>
      </w:r>
      <w:r>
        <w:rPr>
          <w:color w:val="231F20"/>
        </w:rPr>
        <w:t>selected </w:t>
      </w:r>
      <w:r>
        <w:rPr>
          <w:color w:val="231F20"/>
          <w:spacing w:val="-2"/>
        </w:rPr>
        <w:t>row).</w:t>
      </w:r>
    </w:p>
    <w:p>
      <w:pPr>
        <w:pStyle w:val="BodyText"/>
        <w:spacing w:line="213" w:lineRule="auto" w:before="58"/>
        <w:ind w:left="2764" w:right="633" w:hanging="216"/>
        <w:jc w:val="both"/>
      </w:pPr>
      <w:r>
        <w:rPr>
          <w:rFonts w:ascii="Futura MdCn BT"/>
          <w:color w:val="231F20"/>
        </w:rPr>
        <w:t>v</w:t>
      </w:r>
      <w:r>
        <w:rPr>
          <w:rFonts w:ascii="Futura MdCn BT"/>
          <w:color w:val="231F20"/>
          <w:spacing w:val="80"/>
        </w:rPr>
        <w:t> </w:t>
      </w:r>
      <w:r>
        <w:rPr>
          <w:color w:val="231F20"/>
        </w:rPr>
        <w:t>If historical data samples are available, the last 24 hours are displayed in a plot chart. If no historical data has been collected, the current data </w:t>
      </w:r>
      <w:r>
        <w:rPr>
          <w:color w:val="231F20"/>
        </w:rPr>
        <w:t>samples</w:t>
      </w:r>
      <w:r>
        <w:rPr>
          <w:color w:val="231F20"/>
        </w:rPr>
        <w:t> are displayed in a bar chart.</w:t>
      </w:r>
    </w:p>
    <w:p>
      <w:pPr>
        <w:pStyle w:val="BodyText"/>
        <w:spacing w:line="213" w:lineRule="auto" w:before="57"/>
        <w:ind w:left="2764" w:right="545" w:hanging="216"/>
      </w:pPr>
      <w:r>
        <w:rPr>
          <w:rFonts w:ascii="Futura MdCn BT"/>
          <w:color w:val="231F20"/>
        </w:rPr>
        <w:t>v</w:t>
      </w:r>
      <w:r>
        <w:rPr>
          <w:rFonts w:ascii="Futura MdCn BT"/>
          <w:color w:val="231F20"/>
          <w:spacing w:val="80"/>
        </w:rPr>
        <w:t> </w:t>
      </w:r>
      <w:r>
        <w:rPr>
          <w:color w:val="231F20"/>
        </w:rPr>
        <w:t>Any non-numeric attribute values are shown but are non-selectable. The exception is a display item, which is a key attribute in some multiple row attribute groups and shows in the Model Situation window. In situation modeling,</w:t>
      </w:r>
      <w:r>
        <w:rPr>
          <w:color w:val="231F20"/>
          <w:spacing w:val="27"/>
        </w:rPr>
        <w:t> </w:t>
      </w:r>
      <w:r>
        <w:rPr>
          <w:color w:val="231F20"/>
        </w:rPr>
        <w:t>it</w:t>
      </w:r>
      <w:r>
        <w:rPr>
          <w:color w:val="231F20"/>
          <w:spacing w:val="27"/>
        </w:rPr>
        <w:t> </w:t>
      </w:r>
      <w:r>
        <w:rPr>
          <w:color w:val="231F20"/>
        </w:rPr>
        <w:t>can</w:t>
      </w:r>
      <w:r>
        <w:rPr>
          <w:color w:val="231F20"/>
          <w:spacing w:val="27"/>
        </w:rPr>
        <w:t> </w:t>
      </w:r>
      <w:r>
        <w:rPr>
          <w:color w:val="231F20"/>
        </w:rPr>
        <w:t>be</w:t>
      </w:r>
      <w:r>
        <w:rPr>
          <w:color w:val="231F20"/>
          <w:spacing w:val="27"/>
        </w:rPr>
        <w:t> </w:t>
      </w:r>
      <w:r>
        <w:rPr>
          <w:color w:val="231F20"/>
        </w:rPr>
        <w:t>used</w:t>
      </w:r>
      <w:r>
        <w:rPr>
          <w:color w:val="231F20"/>
          <w:spacing w:val="27"/>
        </w:rPr>
        <w:t> </w:t>
      </w:r>
      <w:r>
        <w:rPr>
          <w:color w:val="231F20"/>
        </w:rPr>
        <w:t>to</w:t>
      </w:r>
      <w:r>
        <w:rPr>
          <w:color w:val="231F20"/>
          <w:spacing w:val="27"/>
        </w:rPr>
        <w:t> </w:t>
      </w:r>
      <w:r>
        <w:rPr>
          <w:color w:val="231F20"/>
        </w:rPr>
        <w:t>select</w:t>
      </w:r>
      <w:r>
        <w:rPr>
          <w:color w:val="231F20"/>
          <w:spacing w:val="27"/>
        </w:rPr>
        <w:t> </w:t>
      </w:r>
      <w:r>
        <w:rPr>
          <w:color w:val="231F20"/>
        </w:rPr>
        <w:t>different</w:t>
      </w:r>
      <w:r>
        <w:rPr>
          <w:color w:val="231F20"/>
          <w:spacing w:val="27"/>
        </w:rPr>
        <w:t> </w:t>
      </w:r>
      <w:r>
        <w:rPr>
          <w:color w:val="231F20"/>
        </w:rPr>
        <w:t>data</w:t>
      </w:r>
      <w:r>
        <w:rPr>
          <w:color w:val="231F20"/>
          <w:spacing w:val="27"/>
        </w:rPr>
        <w:t> </w:t>
      </w:r>
      <w:r>
        <w:rPr>
          <w:color w:val="231F20"/>
        </w:rPr>
        <w:t>rows.</w:t>
      </w:r>
      <w:r>
        <w:rPr>
          <w:color w:val="231F20"/>
          <w:spacing w:val="27"/>
        </w:rPr>
        <w:t> </w:t>
      </w:r>
      <w:r>
        <w:rPr>
          <w:color w:val="231F20"/>
        </w:rPr>
        <w:t>In</w:t>
      </w:r>
      <w:r>
        <w:rPr>
          <w:color w:val="231F20"/>
          <w:spacing w:val="27"/>
        </w:rPr>
        <w:t> </w:t>
      </w:r>
      <w:r>
        <w:rPr>
          <w:color w:val="231F20"/>
        </w:rPr>
        <w:t>a</w:t>
      </w:r>
      <w:r>
        <w:rPr>
          <w:color w:val="231F20"/>
          <w:spacing w:val="27"/>
        </w:rPr>
        <w:t> </w:t>
      </w:r>
      <w:r>
        <w:rPr>
          <w:color w:val="231F20"/>
        </w:rPr>
        <w:t>situation definition, a display item can be selected as an </w:t>
      </w:r>
      <w:r>
        <w:rPr>
          <w:rFonts w:ascii="Book Antiqua"/>
          <w:b/>
          <w:color w:val="231F20"/>
        </w:rPr>
        <w:t>Advanced </w:t>
      </w:r>
      <w:r>
        <w:rPr>
          <w:color w:val="231F20"/>
        </w:rPr>
        <w:t>option that </w:t>
      </w:r>
      <w:r>
        <w:rPr>
          <w:color w:val="231F20"/>
        </w:rPr>
        <w:t>enables</w:t>
      </w:r>
      <w:r>
        <w:rPr>
          <w:color w:val="231F20"/>
        </w:rPr>
        <w:t> the situation to open multiple events: once for each row that meets the </w:t>
      </w:r>
      <w:r>
        <w:rPr>
          <w:color w:val="231F20"/>
          <w:spacing w:val="-2"/>
        </w:rPr>
        <w:t>condition.</w:t>
      </w:r>
    </w:p>
    <w:p>
      <w:pPr>
        <w:spacing w:after="0" w:line="213" w:lineRule="auto"/>
        <w:sectPr>
          <w:pgSz w:w="12240" w:h="15840"/>
          <w:pgMar w:header="0" w:footer="736" w:top="1180" w:bottom="920" w:left="1000" w:right="1060"/>
        </w:sectPr>
      </w:pPr>
    </w:p>
    <w:p>
      <w:pPr>
        <w:pStyle w:val="BodyText"/>
        <w:spacing w:line="213" w:lineRule="auto" w:before="85"/>
        <w:ind w:left="3004" w:right="493" w:hanging="216"/>
      </w:pPr>
      <w:bookmarkStart w:name="_bookmark213" w:id="450"/>
      <w:bookmarkEnd w:id="450"/>
      <w:r>
        <w:rPr/>
      </w:r>
      <w:r>
        <w:rPr>
          <w:rFonts w:ascii="Futura MdCn BT"/>
          <w:color w:val="231F20"/>
        </w:rPr>
        <w:t>v</w:t>
      </w:r>
      <w:r>
        <w:rPr>
          <w:rFonts w:ascii="Futura MdCn BT"/>
          <w:color w:val="231F20"/>
          <w:spacing w:val="80"/>
        </w:rPr>
        <w:t> </w:t>
      </w:r>
      <w:r>
        <w:rPr>
          <w:color w:val="231F20"/>
        </w:rPr>
        <w:t>A message informs you if no modeling chart is displayed. This happens </w:t>
      </w:r>
      <w:r>
        <w:rPr>
          <w:color w:val="231F20"/>
        </w:rPr>
        <w:t>if</w:t>
      </w:r>
      <w:r>
        <w:rPr>
          <w:color w:val="231F20"/>
        </w:rPr>
        <w:t> the situation override is for a multiple-row attribute group that has no display item.</w:t>
      </w:r>
    </w:p>
    <w:p>
      <w:pPr>
        <w:pStyle w:val="ListParagraph"/>
        <w:numPr>
          <w:ilvl w:val="0"/>
          <w:numId w:val="127"/>
        </w:numPr>
        <w:tabs>
          <w:tab w:pos="2787" w:val="left" w:leader="none"/>
        </w:tabs>
        <w:spacing w:line="255" w:lineRule="exact" w:before="34" w:after="0"/>
        <w:ind w:left="2787" w:right="0" w:hanging="315"/>
        <w:jc w:val="left"/>
        <w:rPr>
          <w:rFonts w:ascii="Book Antiqua"/>
          <w:b/>
          <w:sz w:val="20"/>
        </w:rPr>
      </w:pPr>
      <w:r>
        <w:rPr>
          <w:color w:val="231F20"/>
          <w:sz w:val="20"/>
        </w:rPr>
        <w:t>Use</w:t>
      </w:r>
      <w:r>
        <w:rPr>
          <w:color w:val="231F20"/>
          <w:spacing w:val="9"/>
          <w:sz w:val="20"/>
        </w:rPr>
        <w:t> </w:t>
      </w:r>
      <w:r>
        <w:rPr>
          <w:color w:val="231F20"/>
          <w:sz w:val="20"/>
        </w:rPr>
        <w:t>the</w:t>
      </w:r>
      <w:r>
        <w:rPr>
          <w:color w:val="231F20"/>
          <w:spacing w:val="9"/>
          <w:sz w:val="20"/>
        </w:rPr>
        <w:t> </w:t>
      </w:r>
      <w:r>
        <w:rPr>
          <w:color w:val="231F20"/>
          <w:sz w:val="20"/>
        </w:rPr>
        <w:t>modeling</w:t>
      </w:r>
      <w:r>
        <w:rPr>
          <w:color w:val="231F20"/>
          <w:spacing w:val="10"/>
          <w:sz w:val="20"/>
        </w:rPr>
        <w:t> </w:t>
      </w:r>
      <w:r>
        <w:rPr>
          <w:color w:val="231F20"/>
          <w:sz w:val="20"/>
        </w:rPr>
        <w:t>tools</w:t>
      </w:r>
      <w:r>
        <w:rPr>
          <w:color w:val="231F20"/>
          <w:spacing w:val="9"/>
          <w:sz w:val="20"/>
        </w:rPr>
        <w:t> </w:t>
      </w:r>
      <w:r>
        <w:rPr>
          <w:color w:val="231F20"/>
          <w:sz w:val="20"/>
        </w:rPr>
        <w:t>to</w:t>
      </w:r>
      <w:r>
        <w:rPr>
          <w:color w:val="231F20"/>
          <w:spacing w:val="9"/>
          <w:sz w:val="20"/>
        </w:rPr>
        <w:t> </w:t>
      </w:r>
      <w:r>
        <w:rPr>
          <w:color w:val="231F20"/>
          <w:sz w:val="20"/>
        </w:rPr>
        <w:t>apply</w:t>
      </w:r>
      <w:r>
        <w:rPr>
          <w:color w:val="231F20"/>
          <w:spacing w:val="10"/>
          <w:sz w:val="20"/>
        </w:rPr>
        <w:t> </w:t>
      </w:r>
      <w:r>
        <w:rPr>
          <w:color w:val="231F20"/>
          <w:sz w:val="20"/>
        </w:rPr>
        <w:t>different</w:t>
      </w:r>
      <w:r>
        <w:rPr>
          <w:color w:val="231F20"/>
          <w:spacing w:val="9"/>
          <w:sz w:val="20"/>
        </w:rPr>
        <w:t> </w:t>
      </w:r>
      <w:r>
        <w:rPr>
          <w:color w:val="231F20"/>
          <w:sz w:val="20"/>
        </w:rPr>
        <w:t>threshold</w:t>
      </w:r>
      <w:r>
        <w:rPr>
          <w:color w:val="231F20"/>
          <w:spacing w:val="9"/>
          <w:sz w:val="20"/>
        </w:rPr>
        <w:t> </w:t>
      </w:r>
      <w:r>
        <w:rPr>
          <w:color w:val="231F20"/>
          <w:sz w:val="20"/>
        </w:rPr>
        <w:t>scenarios;</w:t>
      </w:r>
      <w:r>
        <w:rPr>
          <w:color w:val="231F20"/>
          <w:spacing w:val="10"/>
          <w:sz w:val="20"/>
        </w:rPr>
        <w:t> </w:t>
      </w:r>
      <w:r>
        <w:rPr>
          <w:color w:val="231F20"/>
          <w:sz w:val="20"/>
        </w:rPr>
        <w:t>click</w:t>
      </w:r>
      <w:r>
        <w:rPr>
          <w:color w:val="231F20"/>
          <w:spacing w:val="9"/>
          <w:sz w:val="20"/>
        </w:rPr>
        <w:t> </w:t>
      </w:r>
      <w:r>
        <w:rPr>
          <w:rFonts w:ascii="Book Antiqua"/>
          <w:b/>
          <w:color w:val="231F20"/>
          <w:spacing w:val="-2"/>
          <w:sz w:val="20"/>
        </w:rPr>
        <w:t>Recalculate</w:t>
      </w:r>
    </w:p>
    <w:p>
      <w:pPr>
        <w:pStyle w:val="BodyText"/>
        <w:spacing w:line="255" w:lineRule="exact"/>
        <w:ind w:left="2788"/>
      </w:pPr>
      <w:r>
        <w:rPr>
          <w:color w:val="231F20"/>
        </w:rPr>
        <w:t>to</w:t>
      </w:r>
      <w:r>
        <w:rPr>
          <w:color w:val="231F20"/>
          <w:spacing w:val="10"/>
        </w:rPr>
        <w:t> </w:t>
      </w:r>
      <w:r>
        <w:rPr>
          <w:color w:val="231F20"/>
        </w:rPr>
        <w:t>render</w:t>
      </w:r>
      <w:r>
        <w:rPr>
          <w:color w:val="231F20"/>
          <w:spacing w:val="10"/>
        </w:rPr>
        <w:t> </w:t>
      </w:r>
      <w:r>
        <w:rPr>
          <w:color w:val="231F20"/>
        </w:rPr>
        <w:t>the</w:t>
      </w:r>
      <w:r>
        <w:rPr>
          <w:color w:val="231F20"/>
          <w:spacing w:val="10"/>
        </w:rPr>
        <w:t> </w:t>
      </w:r>
      <w:r>
        <w:rPr>
          <w:color w:val="231F20"/>
        </w:rPr>
        <w:t>chart</w:t>
      </w:r>
      <w:r>
        <w:rPr>
          <w:color w:val="231F20"/>
          <w:spacing w:val="10"/>
        </w:rPr>
        <w:t> </w:t>
      </w:r>
      <w:r>
        <w:rPr>
          <w:color w:val="231F20"/>
        </w:rPr>
        <w:t>with</w:t>
      </w:r>
      <w:r>
        <w:rPr>
          <w:color w:val="231F20"/>
          <w:spacing w:val="10"/>
        </w:rPr>
        <w:t> </w:t>
      </w:r>
      <w:r>
        <w:rPr>
          <w:color w:val="231F20"/>
        </w:rPr>
        <w:t>the</w:t>
      </w:r>
      <w:r>
        <w:rPr>
          <w:color w:val="231F20"/>
          <w:spacing w:val="11"/>
        </w:rPr>
        <w:t> </w:t>
      </w:r>
      <w:r>
        <w:rPr>
          <w:color w:val="231F20"/>
        </w:rPr>
        <w:t>modified</w:t>
      </w:r>
      <w:r>
        <w:rPr>
          <w:color w:val="231F20"/>
          <w:spacing w:val="10"/>
        </w:rPr>
        <w:t> </w:t>
      </w:r>
      <w:r>
        <w:rPr>
          <w:color w:val="231F20"/>
        </w:rPr>
        <w:t>argument</w:t>
      </w:r>
      <w:r>
        <w:rPr>
          <w:color w:val="231F20"/>
          <w:spacing w:val="10"/>
        </w:rPr>
        <w:t> </w:t>
      </w:r>
      <w:r>
        <w:rPr>
          <w:color w:val="231F20"/>
          <w:spacing w:val="-4"/>
        </w:rPr>
        <w:t>set.</w:t>
      </w:r>
    </w:p>
    <w:p>
      <w:pPr>
        <w:pStyle w:val="ListParagraph"/>
        <w:numPr>
          <w:ilvl w:val="0"/>
          <w:numId w:val="127"/>
        </w:numPr>
        <w:tabs>
          <w:tab w:pos="2787" w:val="left" w:leader="none"/>
        </w:tabs>
        <w:spacing w:line="255" w:lineRule="exact" w:before="30" w:after="0"/>
        <w:ind w:left="2787" w:right="0" w:hanging="315"/>
        <w:jc w:val="left"/>
        <w:rPr>
          <w:sz w:val="20"/>
        </w:rPr>
      </w:pPr>
      <w:r>
        <w:rPr>
          <w:color w:val="231F20"/>
          <w:sz w:val="20"/>
        </w:rPr>
        <w:t>To</w:t>
      </w:r>
      <w:r>
        <w:rPr>
          <w:color w:val="231F20"/>
          <w:spacing w:val="8"/>
          <w:sz w:val="20"/>
        </w:rPr>
        <w:t> </w:t>
      </w:r>
      <w:r>
        <w:rPr>
          <w:color w:val="231F20"/>
          <w:sz w:val="20"/>
        </w:rPr>
        <w:t>create</w:t>
      </w:r>
      <w:r>
        <w:rPr>
          <w:color w:val="231F20"/>
          <w:spacing w:val="8"/>
          <w:sz w:val="20"/>
        </w:rPr>
        <w:t> </w:t>
      </w:r>
      <w:r>
        <w:rPr>
          <w:color w:val="231F20"/>
          <w:sz w:val="20"/>
        </w:rPr>
        <w:t>a</w:t>
      </w:r>
      <w:r>
        <w:rPr>
          <w:color w:val="231F20"/>
          <w:spacing w:val="8"/>
          <w:sz w:val="20"/>
        </w:rPr>
        <w:t> </w:t>
      </w:r>
      <w:r>
        <w:rPr>
          <w:color w:val="231F20"/>
          <w:sz w:val="20"/>
        </w:rPr>
        <w:t>situation</w:t>
      </w:r>
      <w:r>
        <w:rPr>
          <w:color w:val="231F20"/>
          <w:spacing w:val="8"/>
          <w:sz w:val="20"/>
        </w:rPr>
        <w:t> </w:t>
      </w:r>
      <w:r>
        <w:rPr>
          <w:color w:val="231F20"/>
          <w:sz w:val="20"/>
        </w:rPr>
        <w:t>populated</w:t>
      </w:r>
      <w:r>
        <w:rPr>
          <w:color w:val="231F20"/>
          <w:spacing w:val="9"/>
          <w:sz w:val="20"/>
        </w:rPr>
        <w:t> </w:t>
      </w:r>
      <w:r>
        <w:rPr>
          <w:color w:val="231F20"/>
          <w:sz w:val="20"/>
        </w:rPr>
        <w:t>with</w:t>
      </w:r>
      <w:r>
        <w:rPr>
          <w:color w:val="231F20"/>
          <w:spacing w:val="8"/>
          <w:sz w:val="20"/>
        </w:rPr>
        <w:t> </w:t>
      </w:r>
      <w:r>
        <w:rPr>
          <w:color w:val="231F20"/>
          <w:sz w:val="20"/>
        </w:rPr>
        <w:t>values</w:t>
      </w:r>
      <w:r>
        <w:rPr>
          <w:color w:val="231F20"/>
          <w:spacing w:val="8"/>
          <w:sz w:val="20"/>
        </w:rPr>
        <w:t> </w:t>
      </w:r>
      <w:r>
        <w:rPr>
          <w:color w:val="231F20"/>
          <w:sz w:val="20"/>
        </w:rPr>
        <w:t>from</w:t>
      </w:r>
      <w:r>
        <w:rPr>
          <w:color w:val="231F20"/>
          <w:spacing w:val="8"/>
          <w:sz w:val="20"/>
        </w:rPr>
        <w:t> </w:t>
      </w:r>
      <w:r>
        <w:rPr>
          <w:color w:val="231F20"/>
          <w:sz w:val="20"/>
        </w:rPr>
        <w:t>the</w:t>
      </w:r>
      <w:r>
        <w:rPr>
          <w:color w:val="231F20"/>
          <w:spacing w:val="9"/>
          <w:sz w:val="20"/>
        </w:rPr>
        <w:t> </w:t>
      </w:r>
      <w:r>
        <w:rPr>
          <w:color w:val="231F20"/>
          <w:sz w:val="20"/>
        </w:rPr>
        <w:t>Condition</w:t>
      </w:r>
      <w:r>
        <w:rPr>
          <w:color w:val="231F20"/>
          <w:spacing w:val="8"/>
          <w:sz w:val="20"/>
        </w:rPr>
        <w:t> </w:t>
      </w:r>
      <w:r>
        <w:rPr>
          <w:color w:val="231F20"/>
          <w:sz w:val="20"/>
        </w:rPr>
        <w:t>column,</w:t>
      </w:r>
      <w:r>
        <w:rPr>
          <w:color w:val="231F20"/>
          <w:spacing w:val="8"/>
          <w:sz w:val="20"/>
        </w:rPr>
        <w:t> </w:t>
      </w:r>
      <w:r>
        <w:rPr>
          <w:color w:val="231F20"/>
          <w:spacing w:val="-2"/>
          <w:sz w:val="20"/>
        </w:rPr>
        <w:t>click</w:t>
      </w:r>
    </w:p>
    <w:p>
      <w:pPr>
        <w:spacing w:line="255" w:lineRule="exact" w:before="0"/>
        <w:ind w:left="2788" w:right="0" w:firstLine="0"/>
        <w:jc w:val="left"/>
        <w:rPr>
          <w:sz w:val="20"/>
        </w:rPr>
      </w:pPr>
      <w:r>
        <w:rPr>
          <w:rFonts w:ascii="Book Antiqua"/>
          <w:b/>
          <w:color w:val="231F20"/>
          <w:sz w:val="20"/>
        </w:rPr>
        <w:t>Create</w:t>
      </w:r>
      <w:r>
        <w:rPr>
          <w:rFonts w:ascii="Book Antiqua"/>
          <w:b/>
          <w:color w:val="231F20"/>
          <w:spacing w:val="10"/>
          <w:sz w:val="20"/>
        </w:rPr>
        <w:t> </w:t>
      </w:r>
      <w:r>
        <w:rPr>
          <w:rFonts w:ascii="Book Antiqua"/>
          <w:b/>
          <w:color w:val="231F20"/>
          <w:sz w:val="20"/>
        </w:rPr>
        <w:t>Situation</w:t>
      </w:r>
      <w:r>
        <w:rPr>
          <w:color w:val="231F20"/>
          <w:sz w:val="20"/>
        </w:rPr>
        <w:t>.</w:t>
      </w:r>
      <w:r>
        <w:rPr>
          <w:color w:val="231F20"/>
          <w:spacing w:val="10"/>
          <w:sz w:val="20"/>
        </w:rPr>
        <w:t> </w:t>
      </w:r>
      <w:r>
        <w:rPr>
          <w:color w:val="231F20"/>
          <w:sz w:val="20"/>
        </w:rPr>
        <w:t>Enter</w:t>
      </w:r>
      <w:r>
        <w:rPr>
          <w:color w:val="231F20"/>
          <w:spacing w:val="10"/>
          <w:sz w:val="20"/>
        </w:rPr>
        <w:t> </w:t>
      </w:r>
      <w:r>
        <w:rPr>
          <w:color w:val="231F20"/>
          <w:sz w:val="20"/>
        </w:rPr>
        <w:t>the</w:t>
      </w:r>
      <w:r>
        <w:rPr>
          <w:color w:val="231F20"/>
          <w:spacing w:val="11"/>
          <w:sz w:val="20"/>
        </w:rPr>
        <w:t> </w:t>
      </w:r>
      <w:r>
        <w:rPr>
          <w:color w:val="231F20"/>
          <w:sz w:val="20"/>
        </w:rPr>
        <w:t>situation</w:t>
      </w:r>
      <w:r>
        <w:rPr>
          <w:color w:val="231F20"/>
          <w:spacing w:val="10"/>
          <w:sz w:val="20"/>
        </w:rPr>
        <w:t> </w:t>
      </w:r>
      <w:r>
        <w:rPr>
          <w:color w:val="231F20"/>
          <w:sz w:val="20"/>
        </w:rPr>
        <w:t>name</w:t>
      </w:r>
      <w:r>
        <w:rPr>
          <w:color w:val="231F20"/>
          <w:spacing w:val="10"/>
          <w:sz w:val="20"/>
        </w:rPr>
        <w:t> </w:t>
      </w:r>
      <w:r>
        <w:rPr>
          <w:color w:val="231F20"/>
          <w:sz w:val="20"/>
        </w:rPr>
        <w:t>and</w:t>
      </w:r>
      <w:r>
        <w:rPr>
          <w:color w:val="231F20"/>
          <w:spacing w:val="10"/>
          <w:sz w:val="20"/>
        </w:rPr>
        <w:t> </w:t>
      </w:r>
      <w:r>
        <w:rPr>
          <w:color w:val="231F20"/>
          <w:sz w:val="20"/>
        </w:rPr>
        <w:t>optional</w:t>
      </w:r>
      <w:r>
        <w:rPr>
          <w:color w:val="231F20"/>
          <w:spacing w:val="11"/>
          <w:sz w:val="20"/>
        </w:rPr>
        <w:t> </w:t>
      </w:r>
      <w:r>
        <w:rPr>
          <w:color w:val="231F20"/>
          <w:spacing w:val="-2"/>
          <w:sz w:val="20"/>
        </w:rPr>
        <w:t>description.</w:t>
      </w:r>
    </w:p>
    <w:p>
      <w:pPr>
        <w:pStyle w:val="Heading6"/>
        <w:spacing w:line="240" w:lineRule="auto" w:before="29"/>
        <w:jc w:val="both"/>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472"/>
        <w:jc w:val="both"/>
      </w:pPr>
      <w:hyperlink w:history="true" w:anchor="_bookmark214">
        <w:r>
          <w:rPr>
            <w:color w:val="231F20"/>
          </w:rPr>
          <w:t>“Model</w:t>
        </w:r>
        <w:r>
          <w:rPr>
            <w:color w:val="231F20"/>
            <w:spacing w:val="10"/>
          </w:rPr>
          <w:t> </w:t>
        </w:r>
        <w:r>
          <w:rPr>
            <w:color w:val="231F20"/>
          </w:rPr>
          <w:t>Situation”</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5"/>
          </w:rPr>
          <w:t>288</w:t>
        </w:r>
      </w:hyperlink>
    </w:p>
    <w:p>
      <w:pPr>
        <w:pStyle w:val="BodyText"/>
        <w:spacing w:line="213" w:lineRule="auto" w:before="8"/>
        <w:ind w:left="2472" w:right="285"/>
        <w:jc w:val="both"/>
      </w:pPr>
      <w:r>
        <w:rPr>
          <w:color w:val="231F20"/>
        </w:rPr>
        <w:t>You can select</w:t>
      </w:r>
      <w:r>
        <w:rPr>
          <w:color w:val="231F20"/>
          <w:spacing w:val="23"/>
        </w:rPr>
        <w:t> </w:t>
      </w:r>
      <w:r>
        <w:rPr>
          <w:color w:val="231F20"/>
          <w:spacing w:val="-24"/>
          <w:position w:val="-1"/>
        </w:rPr>
        <w:drawing>
          <wp:inline distT="0" distB="0" distL="0" distR="0">
            <wp:extent cx="88900" cy="95250"/>
            <wp:effectExtent l="0" t="0" r="0" b="0"/>
            <wp:docPr id="2402" name="Image 2402"/>
            <wp:cNvGraphicFramePr>
              <a:graphicFrameLocks/>
            </wp:cNvGraphicFramePr>
            <a:graphic>
              <a:graphicData uri="http://schemas.openxmlformats.org/drawingml/2006/picture">
                <pic:pic>
                  <pic:nvPicPr>
                    <pic:cNvPr id="2402" name="Image 2402"/>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rPr>
      </w:r>
      <w:r>
        <w:rPr>
          <w:rFonts w:ascii="Times New Roman"/>
          <w:color w:val="231F20"/>
          <w:spacing w:val="30"/>
        </w:rPr>
        <w:t> </w:t>
      </w:r>
      <w:r>
        <w:rPr>
          <w:rFonts w:ascii="Book Antiqua"/>
          <w:b/>
          <w:color w:val="231F20"/>
        </w:rPr>
        <w:t>Model Situation </w:t>
      </w:r>
      <w:r>
        <w:rPr>
          <w:color w:val="231F20"/>
        </w:rPr>
        <w:t>from a query-based view or Manage Situations</w:t>
      </w:r>
      <w:r>
        <w:rPr>
          <w:color w:val="231F20"/>
          <w:spacing w:val="40"/>
        </w:rPr>
        <w:t> </w:t>
      </w:r>
      <w:r>
        <w:rPr>
          <w:color w:val="231F20"/>
        </w:rPr>
        <w:t>at Managed System window to display selected attribute values in a chart, try </w:t>
      </w:r>
      <w:r>
        <w:rPr>
          <w:color w:val="231F20"/>
        </w:rPr>
        <w:t>out different thresholding scenarios, and use the results to create or edit a situation.</w:t>
      </w:r>
    </w:p>
    <w:p>
      <w:pPr>
        <w:pStyle w:val="Heading3"/>
        <w:spacing w:before="216"/>
        <w:ind w:left="1574"/>
      </w:pPr>
      <w:bookmarkStart w:name="Modeling with an existing situation" w:id="451"/>
      <w:bookmarkEnd w:id="451"/>
      <w:r>
        <w:rPr>
          <w:b w:val="0"/>
        </w:rPr>
      </w:r>
      <w:r>
        <w:rPr>
          <w:color w:val="231F20"/>
        </w:rPr>
        <w:t>Modeling</w:t>
      </w:r>
      <w:r>
        <w:rPr>
          <w:color w:val="231F20"/>
          <w:spacing w:val="7"/>
        </w:rPr>
        <w:t> </w:t>
      </w:r>
      <w:r>
        <w:rPr>
          <w:color w:val="231F20"/>
        </w:rPr>
        <w:t>with</w:t>
      </w:r>
      <w:r>
        <w:rPr>
          <w:color w:val="231F20"/>
          <w:spacing w:val="7"/>
        </w:rPr>
        <w:t> </w:t>
      </w:r>
      <w:r>
        <w:rPr>
          <w:color w:val="231F20"/>
        </w:rPr>
        <w:t>an</w:t>
      </w:r>
      <w:r>
        <w:rPr>
          <w:color w:val="231F20"/>
          <w:spacing w:val="7"/>
        </w:rPr>
        <w:t> </w:t>
      </w:r>
      <w:r>
        <w:rPr>
          <w:color w:val="231F20"/>
        </w:rPr>
        <w:t>existing</w:t>
      </w:r>
      <w:r>
        <w:rPr>
          <w:color w:val="231F20"/>
          <w:spacing w:val="7"/>
        </w:rPr>
        <w:t> </w:t>
      </w:r>
      <w:r>
        <w:rPr>
          <w:color w:val="231F20"/>
          <w:spacing w:val="-2"/>
        </w:rPr>
        <w:t>situation</w:t>
      </w:r>
    </w:p>
    <w:p>
      <w:pPr>
        <w:pStyle w:val="BodyText"/>
        <w:spacing w:line="213" w:lineRule="auto" w:before="59"/>
        <w:ind w:left="2472" w:right="385"/>
      </w:pPr>
      <w:r>
        <w:rPr>
          <w:color w:val="231F20"/>
        </w:rPr>
        <w:t>Use situation modeling to calculate new threshold values for an existing situation or to create another situation with the modeling results, replacing the original situation thresholds. This enables you to fine tune the situation so that it does </w:t>
      </w:r>
      <w:r>
        <w:rPr>
          <w:color w:val="231F20"/>
        </w:rPr>
        <w:t>not open events unnecessarily or, conversely, miss important issues.</w:t>
      </w:r>
    </w:p>
    <w:p>
      <w:pPr>
        <w:pStyle w:val="Heading4"/>
        <w:spacing w:before="198"/>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274"/>
      </w:pPr>
      <w:r>
        <w:rPr>
          <w:color w:val="231F20"/>
        </w:rPr>
        <w:t>To get the most benefit from situation modeling, use historical data samples for comparison. If no historical data is being collected for the attribute in the </w:t>
      </w:r>
      <w:r>
        <w:rPr>
          <w:color w:val="231F20"/>
        </w:rPr>
        <w:t>situation, you can still model thresholds but without the benefit of historical data and statistical functions.</w:t>
      </w:r>
    </w:p>
    <w:p>
      <w:pPr>
        <w:pStyle w:val="BodyText"/>
        <w:spacing w:line="213" w:lineRule="auto" w:before="237"/>
        <w:ind w:left="2472" w:right="258"/>
      </w:pPr>
      <w:r>
        <w:rPr>
          <w:color w:val="231F20"/>
        </w:rPr>
        <w:t>Some situation constructs make them ineligible for modeling: embedded </w:t>
      </w:r>
      <w:r>
        <w:rPr>
          <w:color w:val="231F20"/>
        </w:rPr>
        <w:t>situations, and that includes correlated situations; more than ten attributes in the formula; no numeric attributes in the formula; attributes repeated in the formula; and Boolean OR logic.</w:t>
      </w:r>
    </w:p>
    <w:p>
      <w:pPr>
        <w:pStyle w:val="BodyText"/>
        <w:spacing w:line="213" w:lineRule="auto" w:before="237"/>
        <w:ind w:left="2472"/>
      </w:pPr>
      <w:r>
        <w:rPr>
          <w:color w:val="231F20"/>
        </w:rPr>
        <w:t>Your user ID must have Modify permissions for Situations for this feature to </w:t>
      </w:r>
      <w:r>
        <w:rPr>
          <w:color w:val="231F20"/>
        </w:rPr>
        <w:t>be </w:t>
      </w:r>
      <w:r>
        <w:rPr>
          <w:color w:val="231F20"/>
          <w:spacing w:val="-2"/>
        </w:rPr>
        <w:t>enabled.</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493"/>
      </w:pPr>
      <w:r>
        <w:rPr>
          <w:color w:val="231F20"/>
        </w:rPr>
        <w:t>Take these steps to model threshold conditions for a situation, then apply </w:t>
      </w:r>
      <w:r>
        <w:rPr>
          <w:color w:val="231F20"/>
        </w:rPr>
        <w:t>the results to the situation or to a new situation.</w:t>
      </w:r>
    </w:p>
    <w:p>
      <w:pPr>
        <w:pStyle w:val="Heading4"/>
        <w:ind w:left="2472"/>
      </w:pPr>
      <w:r>
        <w:rPr>
          <w:color w:val="231F20"/>
          <w:spacing w:val="-2"/>
        </w:rPr>
        <w:t>Procedure</w:t>
      </w:r>
    </w:p>
    <w:p>
      <w:pPr>
        <w:pStyle w:val="ListParagraph"/>
        <w:numPr>
          <w:ilvl w:val="0"/>
          <w:numId w:val="128"/>
        </w:numPr>
        <w:tabs>
          <w:tab w:pos="2788" w:val="left" w:leader="none"/>
        </w:tabs>
        <w:spacing w:line="213" w:lineRule="auto" w:before="61" w:after="0"/>
        <w:ind w:left="2788" w:right="873" w:hanging="316"/>
        <w:jc w:val="left"/>
        <w:rPr>
          <w:sz w:val="20"/>
        </w:rPr>
      </w:pPr>
      <w:r>
        <w:rPr>
          <w:color w:val="231F20"/>
          <w:sz w:val="20"/>
        </w:rPr>
        <w:t>Right-click a Navigator item that has situations associated with it: </w:t>
      </w:r>
      <w:r>
        <w:rPr>
          <w:color w:val="231F20"/>
          <w:sz w:val="20"/>
        </w:rPr>
        <w:t>either </w:t>
      </w:r>
      <w:r>
        <w:rPr>
          <w:color w:val="231F20"/>
          <w:position w:val="-1"/>
          <w:sz w:val="20"/>
        </w:rPr>
        <w:drawing>
          <wp:inline distT="0" distB="0" distL="0" distR="0">
            <wp:extent cx="95250" cy="101600"/>
            <wp:effectExtent l="0" t="0" r="0" b="0"/>
            <wp:docPr id="2403" name="Image 2403"/>
            <wp:cNvGraphicFramePr>
              <a:graphicFrameLocks/>
            </wp:cNvGraphicFramePr>
            <a:graphic>
              <a:graphicData uri="http://schemas.openxmlformats.org/drawingml/2006/picture">
                <pic:pic>
                  <pic:nvPicPr>
                    <pic:cNvPr id="2403" name="Image 2403"/>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position w:val="-1"/>
          <w:sz w:val="20"/>
        </w:rPr>
      </w:r>
      <w:r>
        <w:rPr>
          <w:rFonts w:ascii="Times New Roman"/>
          <w:color w:val="231F20"/>
          <w:sz w:val="20"/>
        </w:rPr>
        <w:t> </w:t>
      </w:r>
      <w:r>
        <w:rPr>
          <w:color w:val="231F20"/>
          <w:sz w:val="20"/>
        </w:rPr>
        <w:t>Enterprise or</w:t>
      </w:r>
      <w:r>
        <w:rPr>
          <w:color w:val="231F20"/>
          <w:spacing w:val="40"/>
          <w:sz w:val="20"/>
        </w:rPr>
        <w:t> </w:t>
      </w:r>
      <w:r>
        <w:rPr>
          <w:color w:val="231F20"/>
          <w:spacing w:val="-24"/>
          <w:position w:val="-1"/>
          <w:sz w:val="20"/>
        </w:rPr>
        <w:drawing>
          <wp:inline distT="0" distB="0" distL="0" distR="0">
            <wp:extent cx="95250" cy="95250"/>
            <wp:effectExtent l="0" t="0" r="0" b="0"/>
            <wp:docPr id="2404" name="Image 2404"/>
            <wp:cNvGraphicFramePr>
              <a:graphicFrameLocks/>
            </wp:cNvGraphicFramePr>
            <a:graphic>
              <a:graphicData uri="http://schemas.openxmlformats.org/drawingml/2006/picture">
                <pic:pic>
                  <pic:nvPicPr>
                    <pic:cNvPr id="2404" name="Image 2404"/>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40"/>
          <w:sz w:val="20"/>
        </w:rPr>
        <w:t> </w:t>
      </w:r>
      <w:r>
        <w:rPr>
          <w:color w:val="231F20"/>
          <w:sz w:val="20"/>
        </w:rPr>
        <w:t>Agent.</w:t>
      </w:r>
    </w:p>
    <w:p>
      <w:pPr>
        <w:pStyle w:val="ListParagraph"/>
        <w:numPr>
          <w:ilvl w:val="0"/>
          <w:numId w:val="128"/>
        </w:numPr>
        <w:tabs>
          <w:tab w:pos="2787" w:val="left" w:leader="none"/>
        </w:tabs>
        <w:spacing w:line="240" w:lineRule="auto" w:before="36" w:after="0"/>
        <w:ind w:left="278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101600" cy="101600"/>
            <wp:effectExtent l="0" t="0" r="0" b="0"/>
            <wp:docPr id="2405" name="Image 2405"/>
            <wp:cNvGraphicFramePr>
              <a:graphicFrameLocks/>
            </wp:cNvGraphicFramePr>
            <a:graphic>
              <a:graphicData uri="http://schemas.openxmlformats.org/drawingml/2006/picture">
                <pic:pic>
                  <pic:nvPicPr>
                    <pic:cNvPr id="2405" name="Image 2405"/>
                    <pic:cNvPicPr/>
                  </pic:nvPicPr>
                  <pic:blipFill>
                    <a:blip r:embed="rId387"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4"/>
          <w:sz w:val="20"/>
        </w:rPr>
        <w:t> </w:t>
      </w:r>
      <w:r>
        <w:rPr>
          <w:rFonts w:ascii="Book Antiqua"/>
          <w:b/>
          <w:color w:val="231F20"/>
          <w:sz w:val="20"/>
        </w:rPr>
        <w:t>Manage</w:t>
      </w:r>
      <w:r>
        <w:rPr>
          <w:rFonts w:ascii="Book Antiqua"/>
          <w:b/>
          <w:color w:val="231F20"/>
          <w:spacing w:val="13"/>
          <w:sz w:val="20"/>
        </w:rPr>
        <w:t> </w:t>
      </w:r>
      <w:r>
        <w:rPr>
          <w:rFonts w:ascii="Book Antiqua"/>
          <w:b/>
          <w:color w:val="231F20"/>
          <w:spacing w:val="-2"/>
          <w:sz w:val="20"/>
        </w:rPr>
        <w:t>Situations</w:t>
      </w:r>
      <w:r>
        <w:rPr>
          <w:color w:val="231F20"/>
          <w:spacing w:val="-2"/>
          <w:sz w:val="20"/>
        </w:rPr>
        <w:t>.</w:t>
      </w:r>
    </w:p>
    <w:p>
      <w:pPr>
        <w:pStyle w:val="ListParagraph"/>
        <w:numPr>
          <w:ilvl w:val="0"/>
          <w:numId w:val="128"/>
        </w:numPr>
        <w:tabs>
          <w:tab w:pos="2788" w:val="left" w:leader="none"/>
        </w:tabs>
        <w:spacing w:line="213" w:lineRule="auto" w:before="52" w:after="0"/>
        <w:ind w:left="2788" w:right="795" w:hanging="316"/>
        <w:jc w:val="left"/>
        <w:rPr>
          <w:sz w:val="20"/>
        </w:rPr>
      </w:pPr>
      <w:r>
        <w:rPr>
          <w:color w:val="231F20"/>
          <w:sz w:val="20"/>
        </w:rPr>
        <w:t>Click the row of the situation that you want to model and click </w:t>
      </w:r>
      <w:r>
        <w:rPr>
          <w:color w:val="231F20"/>
          <w:spacing w:val="24"/>
          <w:position w:val="-1"/>
          <w:sz w:val="20"/>
        </w:rPr>
        <w:drawing>
          <wp:inline distT="0" distB="0" distL="0" distR="0">
            <wp:extent cx="88900" cy="95250"/>
            <wp:effectExtent l="0" t="0" r="0" b="0"/>
            <wp:docPr id="2406" name="Image 2406"/>
            <wp:cNvGraphicFramePr>
              <a:graphicFrameLocks/>
            </wp:cNvGraphicFramePr>
            <a:graphic>
              <a:graphicData uri="http://schemas.openxmlformats.org/drawingml/2006/picture">
                <pic:pic>
                  <pic:nvPicPr>
                    <pic:cNvPr id="2406" name="Image 2406"/>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sz w:val="20"/>
        </w:rPr>
      </w:r>
      <w:r>
        <w:rPr>
          <w:rFonts w:ascii="Times New Roman"/>
          <w:color w:val="231F20"/>
          <w:spacing w:val="-15"/>
          <w:sz w:val="20"/>
        </w:rPr>
        <w:t> </w:t>
      </w:r>
      <w:r>
        <w:rPr>
          <w:rFonts w:ascii="Book Antiqua"/>
          <w:b/>
          <w:color w:val="231F20"/>
          <w:sz w:val="20"/>
        </w:rPr>
        <w:t>Model Situation</w:t>
      </w:r>
      <w:r>
        <w:rPr>
          <w:color w:val="231F20"/>
          <w:sz w:val="20"/>
        </w:rPr>
        <w:t>. The Model situation window opens with the formula in the </w:t>
      </w:r>
      <w:r>
        <w:rPr>
          <w:rFonts w:ascii="Book Antiqua"/>
          <w:b/>
          <w:color w:val="231F20"/>
          <w:sz w:val="20"/>
        </w:rPr>
        <w:t>Attributes </w:t>
      </w:r>
      <w:r>
        <w:rPr>
          <w:color w:val="231F20"/>
          <w:sz w:val="20"/>
        </w:rPr>
        <w:t>expression editor and the current values plotted in a chart. If historical data samples are available, the last 24 hours are plotted. Any non-numeric attribute values are shown but are non-selectable.</w:t>
      </w:r>
    </w:p>
    <w:p>
      <w:pPr>
        <w:pStyle w:val="ListParagraph"/>
        <w:numPr>
          <w:ilvl w:val="0"/>
          <w:numId w:val="128"/>
        </w:numPr>
        <w:tabs>
          <w:tab w:pos="2787" w:val="left" w:leader="none"/>
        </w:tabs>
        <w:spacing w:line="255" w:lineRule="exact" w:before="34" w:after="0"/>
        <w:ind w:left="2787" w:right="0" w:hanging="315"/>
        <w:jc w:val="left"/>
        <w:rPr>
          <w:sz w:val="20"/>
        </w:rPr>
      </w:pPr>
      <w:r>
        <w:rPr>
          <w:color w:val="231F20"/>
          <w:sz w:val="20"/>
        </w:rPr>
        <w:t>Use</w:t>
      </w:r>
      <w:r>
        <w:rPr>
          <w:color w:val="231F20"/>
          <w:spacing w:val="9"/>
          <w:sz w:val="20"/>
        </w:rPr>
        <w:t> </w:t>
      </w:r>
      <w:r>
        <w:rPr>
          <w:color w:val="231F20"/>
          <w:sz w:val="20"/>
        </w:rPr>
        <w:t>the</w:t>
      </w:r>
      <w:r>
        <w:rPr>
          <w:color w:val="231F20"/>
          <w:spacing w:val="10"/>
          <w:sz w:val="20"/>
        </w:rPr>
        <w:t> </w:t>
      </w:r>
      <w:r>
        <w:rPr>
          <w:color w:val="231F20"/>
          <w:sz w:val="20"/>
        </w:rPr>
        <w:t>modeling</w:t>
      </w:r>
      <w:r>
        <w:rPr>
          <w:color w:val="231F20"/>
          <w:spacing w:val="10"/>
          <w:sz w:val="20"/>
        </w:rPr>
        <w:t> </w:t>
      </w:r>
      <w:r>
        <w:rPr>
          <w:color w:val="231F20"/>
          <w:sz w:val="20"/>
        </w:rPr>
        <w:t>tools</w:t>
      </w:r>
      <w:r>
        <w:rPr>
          <w:color w:val="231F20"/>
          <w:spacing w:val="9"/>
          <w:sz w:val="20"/>
        </w:rPr>
        <w:t> </w:t>
      </w:r>
      <w:r>
        <w:rPr>
          <w:color w:val="231F20"/>
          <w:sz w:val="20"/>
        </w:rPr>
        <w:t>to</w:t>
      </w:r>
      <w:r>
        <w:rPr>
          <w:color w:val="231F20"/>
          <w:spacing w:val="10"/>
          <w:sz w:val="20"/>
        </w:rPr>
        <w:t> </w:t>
      </w:r>
      <w:r>
        <w:rPr>
          <w:color w:val="231F20"/>
          <w:sz w:val="20"/>
        </w:rPr>
        <w:t>try</w:t>
      </w:r>
      <w:r>
        <w:rPr>
          <w:color w:val="231F20"/>
          <w:spacing w:val="10"/>
          <w:sz w:val="20"/>
        </w:rPr>
        <w:t> </w:t>
      </w:r>
      <w:r>
        <w:rPr>
          <w:color w:val="231F20"/>
          <w:sz w:val="20"/>
        </w:rPr>
        <w:t>out</w:t>
      </w:r>
      <w:r>
        <w:rPr>
          <w:color w:val="231F20"/>
          <w:spacing w:val="9"/>
          <w:sz w:val="20"/>
        </w:rPr>
        <w:t> </w:t>
      </w:r>
      <w:r>
        <w:rPr>
          <w:color w:val="231F20"/>
          <w:sz w:val="20"/>
        </w:rPr>
        <w:t>different</w:t>
      </w:r>
      <w:r>
        <w:rPr>
          <w:color w:val="231F20"/>
          <w:spacing w:val="10"/>
          <w:sz w:val="20"/>
        </w:rPr>
        <w:t> </w:t>
      </w:r>
      <w:r>
        <w:rPr>
          <w:color w:val="231F20"/>
          <w:sz w:val="20"/>
        </w:rPr>
        <w:t>threshold</w:t>
      </w:r>
      <w:r>
        <w:rPr>
          <w:color w:val="231F20"/>
          <w:spacing w:val="10"/>
          <w:sz w:val="20"/>
        </w:rPr>
        <w:t> </w:t>
      </w:r>
      <w:r>
        <w:rPr>
          <w:color w:val="231F20"/>
          <w:sz w:val="20"/>
        </w:rPr>
        <w:t>scenarios;</w:t>
      </w:r>
      <w:r>
        <w:rPr>
          <w:color w:val="231F20"/>
          <w:spacing w:val="10"/>
          <w:sz w:val="20"/>
        </w:rPr>
        <w:t> </w:t>
      </w:r>
      <w:r>
        <w:rPr>
          <w:color w:val="231F20"/>
          <w:spacing w:val="-2"/>
          <w:sz w:val="20"/>
        </w:rPr>
        <w:t>click</w:t>
      </w:r>
    </w:p>
    <w:p>
      <w:pPr>
        <w:pStyle w:val="BodyText"/>
        <w:spacing w:line="255" w:lineRule="exact"/>
        <w:ind w:left="2788"/>
      </w:pPr>
      <w:r>
        <w:rPr>
          <w:rFonts w:ascii="Book Antiqua"/>
          <w:b/>
          <w:color w:val="231F20"/>
        </w:rPr>
        <w:t>Recalculate</w:t>
      </w:r>
      <w:r>
        <w:rPr>
          <w:rFonts w:ascii="Book Antiqua"/>
          <w:b/>
          <w:color w:val="231F20"/>
          <w:spacing w:val="9"/>
        </w:rPr>
        <w:t> </w:t>
      </w:r>
      <w:r>
        <w:rPr>
          <w:color w:val="231F20"/>
        </w:rPr>
        <w:t>to</w:t>
      </w:r>
      <w:r>
        <w:rPr>
          <w:color w:val="231F20"/>
          <w:spacing w:val="10"/>
        </w:rPr>
        <w:t> </w:t>
      </w:r>
      <w:r>
        <w:rPr>
          <w:color w:val="231F20"/>
        </w:rPr>
        <w:t>render</w:t>
      </w:r>
      <w:r>
        <w:rPr>
          <w:color w:val="231F20"/>
          <w:spacing w:val="10"/>
        </w:rPr>
        <w:t> </w:t>
      </w:r>
      <w:r>
        <w:rPr>
          <w:color w:val="231F20"/>
        </w:rPr>
        <w:t>the</w:t>
      </w:r>
      <w:r>
        <w:rPr>
          <w:color w:val="231F20"/>
          <w:spacing w:val="9"/>
        </w:rPr>
        <w:t> </w:t>
      </w:r>
      <w:r>
        <w:rPr>
          <w:color w:val="231F20"/>
        </w:rPr>
        <w:t>chart</w:t>
      </w:r>
      <w:r>
        <w:rPr>
          <w:color w:val="231F20"/>
          <w:spacing w:val="10"/>
        </w:rPr>
        <w:t> </w:t>
      </w:r>
      <w:r>
        <w:rPr>
          <w:color w:val="231F20"/>
        </w:rPr>
        <w:t>with</w:t>
      </w:r>
      <w:r>
        <w:rPr>
          <w:color w:val="231F20"/>
          <w:spacing w:val="10"/>
        </w:rPr>
        <w:t> </w:t>
      </w:r>
      <w:r>
        <w:rPr>
          <w:color w:val="231F20"/>
        </w:rPr>
        <w:t>the</w:t>
      </w:r>
      <w:r>
        <w:rPr>
          <w:color w:val="231F20"/>
          <w:spacing w:val="9"/>
        </w:rPr>
        <w:t> </w:t>
      </w:r>
      <w:r>
        <w:rPr>
          <w:color w:val="231F20"/>
        </w:rPr>
        <w:t>modified</w:t>
      </w:r>
      <w:r>
        <w:rPr>
          <w:color w:val="231F20"/>
          <w:spacing w:val="10"/>
        </w:rPr>
        <w:t> </w:t>
      </w:r>
      <w:r>
        <w:rPr>
          <w:color w:val="231F20"/>
        </w:rPr>
        <w:t>argument</w:t>
      </w:r>
      <w:r>
        <w:rPr>
          <w:color w:val="231F20"/>
          <w:spacing w:val="10"/>
        </w:rPr>
        <w:t> </w:t>
      </w:r>
      <w:r>
        <w:rPr>
          <w:color w:val="231F20"/>
          <w:spacing w:val="-4"/>
        </w:rPr>
        <w:t>set.</w:t>
      </w:r>
    </w:p>
    <w:p>
      <w:pPr>
        <w:pStyle w:val="ListParagraph"/>
        <w:numPr>
          <w:ilvl w:val="0"/>
          <w:numId w:val="128"/>
        </w:numPr>
        <w:tabs>
          <w:tab w:pos="2787" w:val="left" w:leader="none"/>
        </w:tabs>
        <w:spacing w:line="255" w:lineRule="exact" w:before="29" w:after="0"/>
        <w:ind w:left="2787" w:right="0" w:hanging="315"/>
        <w:jc w:val="left"/>
        <w:rPr>
          <w:sz w:val="20"/>
        </w:rPr>
      </w:pPr>
      <w:r>
        <w:rPr>
          <w:color w:val="231F20"/>
          <w:sz w:val="20"/>
        </w:rPr>
        <w:t>To</w:t>
      </w:r>
      <w:r>
        <w:rPr>
          <w:color w:val="231F20"/>
          <w:spacing w:val="8"/>
          <w:sz w:val="20"/>
        </w:rPr>
        <w:t> </w:t>
      </w:r>
      <w:r>
        <w:rPr>
          <w:color w:val="231F20"/>
          <w:sz w:val="20"/>
        </w:rPr>
        <w:t>create</w:t>
      </w:r>
      <w:r>
        <w:rPr>
          <w:color w:val="231F20"/>
          <w:spacing w:val="8"/>
          <w:sz w:val="20"/>
        </w:rPr>
        <w:t> </w:t>
      </w:r>
      <w:r>
        <w:rPr>
          <w:color w:val="231F20"/>
          <w:sz w:val="20"/>
        </w:rPr>
        <w:t>a</w:t>
      </w:r>
      <w:r>
        <w:rPr>
          <w:color w:val="231F20"/>
          <w:spacing w:val="8"/>
          <w:sz w:val="20"/>
        </w:rPr>
        <w:t> </w:t>
      </w:r>
      <w:r>
        <w:rPr>
          <w:color w:val="231F20"/>
          <w:sz w:val="20"/>
        </w:rPr>
        <w:t>situation</w:t>
      </w:r>
      <w:r>
        <w:rPr>
          <w:color w:val="231F20"/>
          <w:spacing w:val="8"/>
          <w:sz w:val="20"/>
        </w:rPr>
        <w:t> </w:t>
      </w:r>
      <w:r>
        <w:rPr>
          <w:color w:val="231F20"/>
          <w:sz w:val="20"/>
        </w:rPr>
        <w:t>populated</w:t>
      </w:r>
      <w:r>
        <w:rPr>
          <w:color w:val="231F20"/>
          <w:spacing w:val="9"/>
          <w:sz w:val="20"/>
        </w:rPr>
        <w:t> </w:t>
      </w:r>
      <w:r>
        <w:rPr>
          <w:color w:val="231F20"/>
          <w:sz w:val="20"/>
        </w:rPr>
        <w:t>with</w:t>
      </w:r>
      <w:r>
        <w:rPr>
          <w:color w:val="231F20"/>
          <w:spacing w:val="8"/>
          <w:sz w:val="20"/>
        </w:rPr>
        <w:t> </w:t>
      </w:r>
      <w:r>
        <w:rPr>
          <w:color w:val="231F20"/>
          <w:sz w:val="20"/>
        </w:rPr>
        <w:t>values</w:t>
      </w:r>
      <w:r>
        <w:rPr>
          <w:color w:val="231F20"/>
          <w:spacing w:val="8"/>
          <w:sz w:val="20"/>
        </w:rPr>
        <w:t> </w:t>
      </w:r>
      <w:r>
        <w:rPr>
          <w:color w:val="231F20"/>
          <w:sz w:val="20"/>
        </w:rPr>
        <w:t>from</w:t>
      </w:r>
      <w:r>
        <w:rPr>
          <w:color w:val="231F20"/>
          <w:spacing w:val="8"/>
          <w:sz w:val="20"/>
        </w:rPr>
        <w:t> </w:t>
      </w:r>
      <w:r>
        <w:rPr>
          <w:color w:val="231F20"/>
          <w:sz w:val="20"/>
        </w:rPr>
        <w:t>the</w:t>
      </w:r>
      <w:r>
        <w:rPr>
          <w:color w:val="231F20"/>
          <w:spacing w:val="9"/>
          <w:sz w:val="20"/>
        </w:rPr>
        <w:t> </w:t>
      </w:r>
      <w:r>
        <w:rPr>
          <w:color w:val="231F20"/>
          <w:sz w:val="20"/>
        </w:rPr>
        <w:t>Condition</w:t>
      </w:r>
      <w:r>
        <w:rPr>
          <w:color w:val="231F20"/>
          <w:spacing w:val="8"/>
          <w:sz w:val="20"/>
        </w:rPr>
        <w:t> </w:t>
      </w:r>
      <w:r>
        <w:rPr>
          <w:color w:val="231F20"/>
          <w:sz w:val="20"/>
        </w:rPr>
        <w:t>column,</w:t>
      </w:r>
      <w:r>
        <w:rPr>
          <w:color w:val="231F20"/>
          <w:spacing w:val="8"/>
          <w:sz w:val="20"/>
        </w:rPr>
        <w:t> </w:t>
      </w:r>
      <w:r>
        <w:rPr>
          <w:color w:val="231F20"/>
          <w:spacing w:val="-2"/>
          <w:sz w:val="20"/>
        </w:rPr>
        <w:t>click</w:t>
      </w:r>
    </w:p>
    <w:p>
      <w:pPr>
        <w:spacing w:line="255" w:lineRule="exact" w:before="0"/>
        <w:ind w:left="2788" w:right="0" w:firstLine="0"/>
        <w:jc w:val="left"/>
        <w:rPr>
          <w:sz w:val="20"/>
        </w:rPr>
      </w:pPr>
      <w:r>
        <w:rPr>
          <w:rFonts w:ascii="Book Antiqua"/>
          <w:b/>
          <w:color w:val="231F20"/>
          <w:sz w:val="20"/>
        </w:rPr>
        <w:t>Create</w:t>
      </w:r>
      <w:r>
        <w:rPr>
          <w:rFonts w:ascii="Book Antiqua"/>
          <w:b/>
          <w:color w:val="231F20"/>
          <w:spacing w:val="11"/>
          <w:sz w:val="20"/>
        </w:rPr>
        <w:t> </w:t>
      </w:r>
      <w:r>
        <w:rPr>
          <w:rFonts w:ascii="Book Antiqua"/>
          <w:b/>
          <w:color w:val="231F20"/>
          <w:sz w:val="20"/>
        </w:rPr>
        <w:t>Situation</w:t>
      </w:r>
      <w:r>
        <w:rPr>
          <w:color w:val="231F20"/>
          <w:sz w:val="20"/>
        </w:rPr>
        <w:t>;</w:t>
      </w:r>
      <w:r>
        <w:rPr>
          <w:color w:val="231F20"/>
          <w:spacing w:val="12"/>
          <w:sz w:val="20"/>
        </w:rPr>
        <w:t> </w:t>
      </w:r>
      <w:r>
        <w:rPr>
          <w:color w:val="231F20"/>
          <w:sz w:val="20"/>
        </w:rPr>
        <w:t>or</w:t>
      </w:r>
      <w:r>
        <w:rPr>
          <w:color w:val="231F20"/>
          <w:spacing w:val="12"/>
          <w:sz w:val="20"/>
        </w:rPr>
        <w:t> </w:t>
      </w:r>
      <w:r>
        <w:rPr>
          <w:color w:val="231F20"/>
          <w:sz w:val="20"/>
        </w:rPr>
        <w:t>to</w:t>
      </w:r>
      <w:r>
        <w:rPr>
          <w:color w:val="231F20"/>
          <w:spacing w:val="11"/>
          <w:sz w:val="20"/>
        </w:rPr>
        <w:t> </w:t>
      </w:r>
      <w:r>
        <w:rPr>
          <w:color w:val="231F20"/>
          <w:sz w:val="20"/>
        </w:rPr>
        <w:t>edit</w:t>
      </w:r>
      <w:r>
        <w:rPr>
          <w:color w:val="231F20"/>
          <w:spacing w:val="12"/>
          <w:sz w:val="20"/>
        </w:rPr>
        <w:t> </w:t>
      </w:r>
      <w:r>
        <w:rPr>
          <w:color w:val="231F20"/>
          <w:sz w:val="20"/>
        </w:rPr>
        <w:t>a</w:t>
      </w:r>
      <w:r>
        <w:rPr>
          <w:color w:val="231F20"/>
          <w:spacing w:val="12"/>
          <w:sz w:val="20"/>
        </w:rPr>
        <w:t> </w:t>
      </w:r>
      <w:r>
        <w:rPr>
          <w:color w:val="231F20"/>
          <w:sz w:val="20"/>
        </w:rPr>
        <w:t>situation,</w:t>
      </w:r>
      <w:r>
        <w:rPr>
          <w:color w:val="231F20"/>
          <w:spacing w:val="11"/>
          <w:sz w:val="20"/>
        </w:rPr>
        <w:t> </w:t>
      </w:r>
      <w:r>
        <w:rPr>
          <w:color w:val="231F20"/>
          <w:sz w:val="20"/>
        </w:rPr>
        <w:t>click</w:t>
      </w:r>
      <w:r>
        <w:rPr>
          <w:color w:val="231F20"/>
          <w:spacing w:val="12"/>
          <w:sz w:val="20"/>
        </w:rPr>
        <w:t> </w:t>
      </w:r>
      <w:r>
        <w:rPr>
          <w:rFonts w:ascii="Book Antiqua"/>
          <w:b/>
          <w:color w:val="231F20"/>
          <w:sz w:val="20"/>
        </w:rPr>
        <w:t>Edit</w:t>
      </w:r>
      <w:r>
        <w:rPr>
          <w:rFonts w:ascii="Book Antiqua"/>
          <w:b/>
          <w:color w:val="231F20"/>
          <w:spacing w:val="12"/>
          <w:sz w:val="20"/>
        </w:rPr>
        <w:t> </w:t>
      </w:r>
      <w:r>
        <w:rPr>
          <w:rFonts w:ascii="Book Antiqua"/>
          <w:b/>
          <w:color w:val="231F20"/>
          <w:spacing w:val="-2"/>
          <w:sz w:val="20"/>
        </w:rPr>
        <w:t>Situation</w:t>
      </w:r>
      <w:r>
        <w:rPr>
          <w:color w:val="231F20"/>
          <w:spacing w:val="-2"/>
          <w:sz w:val="20"/>
        </w:rPr>
        <w:t>.</w:t>
      </w:r>
    </w:p>
    <w:p>
      <w:pPr>
        <w:spacing w:after="0" w:line="255" w:lineRule="exact"/>
        <w:jc w:val="left"/>
        <w:rPr>
          <w:sz w:val="20"/>
        </w:rPr>
        <w:sectPr>
          <w:pgSz w:w="12240" w:h="15840"/>
          <w:pgMar w:header="0" w:footer="736" w:top="1180" w:bottom="920" w:left="1000" w:right="1060"/>
        </w:sectPr>
      </w:pPr>
    </w:p>
    <w:p>
      <w:pPr>
        <w:pStyle w:val="Heading6"/>
        <w:spacing w:line="240" w:lineRule="auto" w:before="62"/>
        <w:ind w:left="2232"/>
        <w:jc w:val="both"/>
        <w:rPr>
          <w:rFonts w:ascii="Palatino Linotype"/>
          <w:b w:val="0"/>
        </w:rPr>
      </w:pPr>
      <w:bookmarkStart w:name="_bookmark214" w:id="452"/>
      <w:bookmarkEnd w:id="452"/>
      <w:r>
        <w:rPr>
          <w:b w:val="0"/>
        </w:rPr>
      </w: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232"/>
        <w:jc w:val="both"/>
      </w:pPr>
      <w:hyperlink w:history="true" w:anchor="_bookmark214">
        <w:r>
          <w:rPr>
            <w:color w:val="231F20"/>
          </w:rPr>
          <w:t>“Model</w:t>
        </w:r>
        <w:r>
          <w:rPr>
            <w:color w:val="231F20"/>
            <w:spacing w:val="9"/>
          </w:rPr>
          <w:t> </w:t>
        </w:r>
        <w:r>
          <w:rPr>
            <w:color w:val="231F20"/>
            <w:spacing w:val="-2"/>
          </w:rPr>
          <w:t>Situation”</w:t>
        </w:r>
      </w:hyperlink>
    </w:p>
    <w:p>
      <w:pPr>
        <w:pStyle w:val="BodyText"/>
        <w:spacing w:line="213" w:lineRule="auto" w:before="8"/>
        <w:ind w:left="2232" w:right="525"/>
        <w:jc w:val="both"/>
      </w:pPr>
      <w:r>
        <w:rPr>
          <w:color w:val="231F20"/>
        </w:rPr>
        <w:t>You can select</w:t>
      </w:r>
      <w:r>
        <w:rPr>
          <w:color w:val="231F20"/>
          <w:spacing w:val="23"/>
        </w:rPr>
        <w:t> </w:t>
      </w:r>
      <w:r>
        <w:rPr>
          <w:color w:val="231F20"/>
          <w:spacing w:val="-24"/>
          <w:position w:val="-1"/>
        </w:rPr>
        <w:drawing>
          <wp:inline distT="0" distB="0" distL="0" distR="0">
            <wp:extent cx="88900" cy="95250"/>
            <wp:effectExtent l="0" t="0" r="0" b="0"/>
            <wp:docPr id="2407" name="Image 2407"/>
            <wp:cNvGraphicFramePr>
              <a:graphicFrameLocks/>
            </wp:cNvGraphicFramePr>
            <a:graphic>
              <a:graphicData uri="http://schemas.openxmlformats.org/drawingml/2006/picture">
                <pic:pic>
                  <pic:nvPicPr>
                    <pic:cNvPr id="2407" name="Image 2407"/>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rPr>
      </w:r>
      <w:r>
        <w:rPr>
          <w:rFonts w:ascii="Times New Roman"/>
          <w:color w:val="231F20"/>
          <w:spacing w:val="30"/>
        </w:rPr>
        <w:t> </w:t>
      </w:r>
      <w:r>
        <w:rPr>
          <w:rFonts w:ascii="Book Antiqua"/>
          <w:b/>
          <w:color w:val="231F20"/>
        </w:rPr>
        <w:t>Model Situation </w:t>
      </w:r>
      <w:r>
        <w:rPr>
          <w:color w:val="231F20"/>
        </w:rPr>
        <w:t>from a query-based view or Manage Situations</w:t>
      </w:r>
      <w:r>
        <w:rPr>
          <w:color w:val="231F20"/>
          <w:spacing w:val="40"/>
        </w:rPr>
        <w:t> </w:t>
      </w:r>
      <w:r>
        <w:rPr>
          <w:color w:val="231F20"/>
        </w:rPr>
        <w:t>at Managed System window to display selected attribute values in a chart, try </w:t>
      </w:r>
      <w:r>
        <w:rPr>
          <w:color w:val="231F20"/>
        </w:rPr>
        <w:t>out different thresholding scenarios, and use the results to create or edit a situation.</w:t>
      </w:r>
    </w:p>
    <w:p>
      <w:pPr>
        <w:pStyle w:val="Heading3"/>
        <w:spacing w:before="217"/>
        <w:ind w:left="1334"/>
      </w:pPr>
      <w:bookmarkStart w:name="Model Situation" w:id="453"/>
      <w:bookmarkEnd w:id="453"/>
      <w:r>
        <w:rPr>
          <w:b w:val="0"/>
        </w:rPr>
      </w:r>
      <w:r>
        <w:rPr>
          <w:color w:val="231F20"/>
        </w:rPr>
        <w:t>Model</w:t>
      </w:r>
      <w:r>
        <w:rPr>
          <w:color w:val="231F20"/>
          <w:spacing w:val="6"/>
        </w:rPr>
        <w:t> </w:t>
      </w:r>
      <w:r>
        <w:rPr>
          <w:color w:val="231F20"/>
          <w:spacing w:val="-2"/>
        </w:rPr>
        <w:t>Situation</w:t>
      </w:r>
    </w:p>
    <w:p>
      <w:pPr>
        <w:pStyle w:val="BodyText"/>
        <w:spacing w:line="213" w:lineRule="auto" w:before="58"/>
        <w:ind w:left="2232" w:right="525"/>
        <w:jc w:val="both"/>
      </w:pPr>
      <w:r>
        <w:rPr>
          <w:color w:val="231F20"/>
        </w:rPr>
        <w:t>You can select</w:t>
      </w:r>
      <w:r>
        <w:rPr>
          <w:color w:val="231F20"/>
          <w:spacing w:val="23"/>
        </w:rPr>
        <w:t> </w:t>
      </w:r>
      <w:r>
        <w:rPr>
          <w:color w:val="231F20"/>
          <w:spacing w:val="-24"/>
          <w:position w:val="-1"/>
        </w:rPr>
        <w:drawing>
          <wp:inline distT="0" distB="0" distL="0" distR="0">
            <wp:extent cx="88900" cy="95250"/>
            <wp:effectExtent l="0" t="0" r="0" b="0"/>
            <wp:docPr id="2408" name="Image 2408"/>
            <wp:cNvGraphicFramePr>
              <a:graphicFrameLocks/>
            </wp:cNvGraphicFramePr>
            <a:graphic>
              <a:graphicData uri="http://schemas.openxmlformats.org/drawingml/2006/picture">
                <pic:pic>
                  <pic:nvPicPr>
                    <pic:cNvPr id="2408" name="Image 2408"/>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4"/>
          <w:position w:val="-1"/>
        </w:rPr>
      </w:r>
      <w:r>
        <w:rPr>
          <w:rFonts w:ascii="Times New Roman"/>
          <w:color w:val="231F20"/>
          <w:spacing w:val="30"/>
        </w:rPr>
        <w:t> </w:t>
      </w:r>
      <w:r>
        <w:rPr>
          <w:rFonts w:ascii="Book Antiqua"/>
          <w:b/>
          <w:color w:val="231F20"/>
        </w:rPr>
        <w:t>Model Situation </w:t>
      </w:r>
      <w:r>
        <w:rPr>
          <w:color w:val="231F20"/>
        </w:rPr>
        <w:t>from a query-based view or Manage Situations</w:t>
      </w:r>
      <w:r>
        <w:rPr>
          <w:color w:val="231F20"/>
          <w:spacing w:val="40"/>
        </w:rPr>
        <w:t> </w:t>
      </w:r>
      <w:r>
        <w:rPr>
          <w:color w:val="231F20"/>
        </w:rPr>
        <w:t>at Managed System window to display selected attribute values in a chart, try </w:t>
      </w:r>
      <w:r>
        <w:rPr>
          <w:color w:val="231F20"/>
        </w:rPr>
        <w:t>out different thresholding scenarios, and use the results to create or edit a situation.</w:t>
      </w:r>
    </w:p>
    <w:p>
      <w:pPr>
        <w:pStyle w:val="BodyText"/>
        <w:spacing w:line="213" w:lineRule="auto" w:before="237"/>
        <w:ind w:left="2232" w:right="385"/>
      </w:pPr>
      <w:r>
        <w:rPr>
          <w:color w:val="231F20"/>
        </w:rPr>
        <w:t>If the attribute group used by the query-based view or situation has historical </w:t>
      </w:r>
      <w:r>
        <w:rPr>
          <w:color w:val="231F20"/>
        </w:rPr>
        <w:t>data collection</w:t>
      </w:r>
      <w:r>
        <w:rPr>
          <w:color w:val="231F20"/>
          <w:spacing w:val="19"/>
        </w:rPr>
        <w:t> </w:t>
      </w:r>
      <w:r>
        <w:rPr>
          <w:color w:val="231F20"/>
        </w:rPr>
        <w:t>enabled,</w:t>
      </w:r>
      <w:r>
        <w:rPr>
          <w:color w:val="231F20"/>
          <w:spacing w:val="19"/>
        </w:rPr>
        <w:t> </w:t>
      </w:r>
      <w:r>
        <w:rPr>
          <w:color w:val="231F20"/>
        </w:rPr>
        <w:t>the</w:t>
      </w:r>
      <w:r>
        <w:rPr>
          <w:color w:val="231F20"/>
          <w:spacing w:val="19"/>
        </w:rPr>
        <w:t> </w:t>
      </w:r>
      <w:r>
        <w:rPr>
          <w:color w:val="231F20"/>
        </w:rPr>
        <w:t>Model</w:t>
      </w:r>
      <w:r>
        <w:rPr>
          <w:color w:val="231F20"/>
          <w:spacing w:val="19"/>
        </w:rPr>
        <w:t> </w:t>
      </w:r>
      <w:r>
        <w:rPr>
          <w:color w:val="231F20"/>
        </w:rPr>
        <w:t>Situation</w:t>
      </w:r>
      <w:r>
        <w:rPr>
          <w:color w:val="231F20"/>
          <w:spacing w:val="19"/>
        </w:rPr>
        <w:t> </w:t>
      </w:r>
      <w:r>
        <w:rPr>
          <w:color w:val="231F20"/>
        </w:rPr>
        <w:t>window</w:t>
      </w:r>
      <w:r>
        <w:rPr>
          <w:color w:val="231F20"/>
          <w:spacing w:val="19"/>
        </w:rPr>
        <w:t> </w:t>
      </w:r>
      <w:r>
        <w:rPr>
          <w:color w:val="231F20"/>
        </w:rPr>
        <w:t>shows</w:t>
      </w:r>
      <w:r>
        <w:rPr>
          <w:color w:val="231F20"/>
          <w:spacing w:val="19"/>
        </w:rPr>
        <w:t> </w:t>
      </w:r>
      <w:r>
        <w:rPr>
          <w:color w:val="231F20"/>
        </w:rPr>
        <w:t>a</w:t>
      </w:r>
      <w:r>
        <w:rPr>
          <w:color w:val="231F20"/>
          <w:spacing w:val="19"/>
        </w:rPr>
        <w:t> </w:t>
      </w:r>
      <w:r>
        <w:rPr>
          <w:color w:val="231F20"/>
        </w:rPr>
        <w:t>plot</w:t>
      </w:r>
      <w:r>
        <w:rPr>
          <w:color w:val="231F20"/>
          <w:spacing w:val="19"/>
        </w:rPr>
        <w:t> </w:t>
      </w:r>
      <w:r>
        <w:rPr>
          <w:color w:val="231F20"/>
        </w:rPr>
        <w:t>chart</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top</w:t>
      </w:r>
      <w:r>
        <w:rPr>
          <w:color w:val="231F20"/>
          <w:spacing w:val="19"/>
        </w:rPr>
        <w:t> </w:t>
      </w:r>
      <w:r>
        <w:rPr>
          <w:color w:val="231F20"/>
        </w:rPr>
        <w:t>half of the window (up to the last 24 hours) and Attributes, Time Span, and Functions areas in the lower half. You can switch the display to a bar chart or area chart. If</w:t>
      </w:r>
      <w:r>
        <w:rPr>
          <w:color w:val="231F20"/>
          <w:spacing w:val="40"/>
        </w:rPr>
        <w:t> </w:t>
      </w:r>
      <w:r>
        <w:rPr>
          <w:color w:val="231F20"/>
        </w:rPr>
        <w:t>historical collection has not been configured, the Model Situation window shows a bar</w:t>
      </w:r>
      <w:r>
        <w:rPr>
          <w:color w:val="231F20"/>
          <w:spacing w:val="20"/>
        </w:rPr>
        <w:t> </w:t>
      </w:r>
      <w:r>
        <w:rPr>
          <w:color w:val="231F20"/>
        </w:rPr>
        <w:t>chart</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top</w:t>
      </w:r>
      <w:r>
        <w:rPr>
          <w:color w:val="231F20"/>
          <w:spacing w:val="20"/>
        </w:rPr>
        <w:t> </w:t>
      </w:r>
      <w:r>
        <w:rPr>
          <w:color w:val="231F20"/>
        </w:rPr>
        <w:t>half</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window</w:t>
      </w:r>
      <w:r>
        <w:rPr>
          <w:color w:val="231F20"/>
          <w:spacing w:val="20"/>
        </w:rPr>
        <w:t> </w:t>
      </w:r>
      <w:r>
        <w:rPr>
          <w:color w:val="231F20"/>
        </w:rPr>
        <w:t>and</w:t>
      </w:r>
      <w:r>
        <w:rPr>
          <w:color w:val="231F20"/>
          <w:spacing w:val="20"/>
        </w:rPr>
        <w:t> </w:t>
      </w:r>
      <w:r>
        <w:rPr>
          <w:color w:val="231F20"/>
        </w:rPr>
        <w:t>an Attributes</w:t>
      </w:r>
      <w:r>
        <w:rPr>
          <w:color w:val="231F20"/>
          <w:spacing w:val="20"/>
        </w:rPr>
        <w:t> </w:t>
      </w:r>
      <w:r>
        <w:rPr>
          <w:color w:val="231F20"/>
        </w:rPr>
        <w:t>area</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bottom</w:t>
      </w:r>
      <w:r>
        <w:rPr>
          <w:color w:val="231F20"/>
          <w:spacing w:val="20"/>
        </w:rPr>
        <w:t> </w:t>
      </w:r>
      <w:r>
        <w:rPr>
          <w:color w:val="231F20"/>
        </w:rPr>
        <w:t>half.</w:t>
      </w:r>
    </w:p>
    <w:p>
      <w:pPr>
        <w:pStyle w:val="Heading4"/>
        <w:spacing w:before="197"/>
      </w:pPr>
      <w:r>
        <w:rPr>
          <w:color w:val="231F20"/>
        </w:rPr>
        <w:t>Model</w:t>
      </w:r>
      <w:r>
        <w:rPr>
          <w:color w:val="231F20"/>
          <w:spacing w:val="4"/>
        </w:rPr>
        <w:t> </w:t>
      </w:r>
      <w:r>
        <w:rPr>
          <w:color w:val="231F20"/>
        </w:rPr>
        <w:t>situation</w:t>
      </w:r>
      <w:r>
        <w:rPr>
          <w:color w:val="231F20"/>
          <w:spacing w:val="5"/>
        </w:rPr>
        <w:t> </w:t>
      </w:r>
      <w:r>
        <w:rPr>
          <w:color w:val="231F20"/>
          <w:spacing w:val="-2"/>
        </w:rPr>
        <w:t>chart</w:t>
      </w:r>
    </w:p>
    <w:p>
      <w:pPr>
        <w:pStyle w:val="BodyText"/>
        <w:spacing w:line="213" w:lineRule="auto" w:before="242"/>
        <w:ind w:left="2232" w:right="603"/>
      </w:pPr>
      <w:r>
        <w:rPr>
          <w:color w:val="231F20"/>
        </w:rPr>
        <w:t>If you started from a query-based view, your selections from the Select Attribute window are displayed in a chart with values from the current row or data point. If you started from a situation, the formula is displayed in the Attributes expression editor and the current attribute values are plotted in a chart. As you modify</w:t>
      </w:r>
      <w:r>
        <w:rPr>
          <w:color w:val="231F20"/>
          <w:spacing w:val="80"/>
        </w:rPr>
        <w:t> </w:t>
      </w:r>
      <w:r>
        <w:rPr>
          <w:color w:val="231F20"/>
        </w:rPr>
        <w:t>attribute conditions (such as to change the value), the chart is adjusted and the difference indicated.</w:t>
      </w:r>
    </w:p>
    <w:p>
      <w:pPr>
        <w:pStyle w:val="BodyText"/>
        <w:spacing w:line="213" w:lineRule="auto" w:before="235"/>
        <w:ind w:left="2232" w:right="545"/>
      </w:pPr>
      <w:r>
        <w:rPr>
          <w:color w:val="231F20"/>
        </w:rPr>
        <w:t>For attributes with historical data samples, the last 24 hours of data samples are plotted by default unless you have a time span set, in which case that time span is</w:t>
      </w:r>
      <w:r>
        <w:rPr>
          <w:color w:val="231F20"/>
          <w:spacing w:val="40"/>
        </w:rPr>
        <w:t> </w:t>
      </w:r>
      <w:r>
        <w:rPr>
          <w:color w:val="231F20"/>
        </w:rPr>
        <w:t>plotted. Although</w:t>
      </w:r>
      <w:r>
        <w:rPr>
          <w:color w:val="231F20"/>
          <w:spacing w:val="27"/>
        </w:rPr>
        <w:t> </w:t>
      </w:r>
      <w:r>
        <w:rPr>
          <w:color w:val="231F20"/>
        </w:rPr>
        <w:t>all</w:t>
      </w:r>
      <w:r>
        <w:rPr>
          <w:color w:val="231F20"/>
          <w:spacing w:val="27"/>
        </w:rPr>
        <w:t> </w:t>
      </w:r>
      <w:r>
        <w:rPr>
          <w:color w:val="231F20"/>
        </w:rPr>
        <w:t>the</w:t>
      </w:r>
      <w:r>
        <w:rPr>
          <w:color w:val="231F20"/>
          <w:spacing w:val="27"/>
        </w:rPr>
        <w:t> </w:t>
      </w:r>
      <w:r>
        <w:rPr>
          <w:color w:val="231F20"/>
        </w:rPr>
        <w:t>data</w:t>
      </w:r>
      <w:r>
        <w:rPr>
          <w:color w:val="231F20"/>
          <w:spacing w:val="27"/>
        </w:rPr>
        <w:t> </w:t>
      </w:r>
      <w:r>
        <w:rPr>
          <w:color w:val="231F20"/>
        </w:rPr>
        <w:t>points</w:t>
      </w:r>
      <w:r>
        <w:rPr>
          <w:color w:val="231F20"/>
          <w:spacing w:val="27"/>
        </w:rPr>
        <w:t> </w:t>
      </w:r>
      <w:r>
        <w:rPr>
          <w:color w:val="231F20"/>
        </w:rPr>
        <w:t>are</w:t>
      </w:r>
      <w:r>
        <w:rPr>
          <w:color w:val="231F20"/>
          <w:spacing w:val="27"/>
        </w:rPr>
        <w:t> </w:t>
      </w:r>
      <w:r>
        <w:rPr>
          <w:color w:val="231F20"/>
        </w:rPr>
        <w:t>plotted,</w:t>
      </w:r>
      <w:r>
        <w:rPr>
          <w:color w:val="231F20"/>
          <w:spacing w:val="27"/>
        </w:rPr>
        <w:t> </w:t>
      </w:r>
      <w:r>
        <w:rPr>
          <w:color w:val="231F20"/>
        </w:rPr>
        <w:t>the</w:t>
      </w:r>
      <w:r>
        <w:rPr>
          <w:color w:val="231F20"/>
          <w:spacing w:val="27"/>
        </w:rPr>
        <w:t> </w:t>
      </w:r>
      <w:r>
        <w:rPr>
          <w:color w:val="231F20"/>
        </w:rPr>
        <w:t>window</w:t>
      </w:r>
      <w:r>
        <w:rPr>
          <w:color w:val="231F20"/>
          <w:spacing w:val="27"/>
        </w:rPr>
        <w:t> </w:t>
      </w:r>
      <w:r>
        <w:rPr>
          <w:color w:val="231F20"/>
        </w:rPr>
        <w:t>has</w:t>
      </w:r>
      <w:r>
        <w:rPr>
          <w:color w:val="231F20"/>
          <w:spacing w:val="27"/>
        </w:rPr>
        <w:t> </w:t>
      </w:r>
      <w:r>
        <w:rPr>
          <w:color w:val="231F20"/>
        </w:rPr>
        <w:t>only</w:t>
      </w:r>
      <w:r>
        <w:rPr>
          <w:color w:val="231F20"/>
          <w:spacing w:val="27"/>
        </w:rPr>
        <w:t> </w:t>
      </w:r>
      <w:r>
        <w:rPr>
          <w:color w:val="231F20"/>
        </w:rPr>
        <w:t>limited space for time stamp labels. Use any of these methods to see values and adjust the</w:t>
      </w:r>
      <w:r>
        <w:rPr>
          <w:color w:val="231F20"/>
          <w:spacing w:val="40"/>
        </w:rPr>
        <w:t> </w:t>
      </w:r>
      <w:r>
        <w:rPr>
          <w:color w:val="231F20"/>
          <w:spacing w:val="-2"/>
        </w:rPr>
        <w:t>display:</w:t>
      </w:r>
    </w:p>
    <w:p>
      <w:pPr>
        <w:pStyle w:val="BodyText"/>
        <w:spacing w:before="33"/>
        <w:ind w:left="2232"/>
      </w:pPr>
      <w:r>
        <w:rPr>
          <w:rFonts w:ascii="Futura MdCn BT"/>
          <w:color w:val="231F20"/>
        </w:rPr>
        <w:t>v</w:t>
      </w:r>
      <w:r>
        <w:rPr>
          <w:rFonts w:ascii="Futura MdCn BT"/>
          <w:color w:val="231F20"/>
          <w:spacing w:val="32"/>
        </w:rPr>
        <w:t>  </w:t>
      </w:r>
      <w:r>
        <w:rPr>
          <w:color w:val="231F20"/>
        </w:rPr>
        <w:t>Move</w:t>
      </w:r>
      <w:r>
        <w:rPr>
          <w:color w:val="231F20"/>
          <w:spacing w:val="12"/>
        </w:rPr>
        <w:t> </w:t>
      </w:r>
      <w:r>
        <w:rPr>
          <w:color w:val="231F20"/>
        </w:rPr>
        <w:t>the</w:t>
      </w:r>
      <w:r>
        <w:rPr>
          <w:color w:val="231F20"/>
          <w:spacing w:val="13"/>
        </w:rPr>
        <w:t> </w:t>
      </w:r>
      <w:r>
        <w:rPr>
          <w:color w:val="231F20"/>
        </w:rPr>
        <w:t>mouse</w:t>
      </w:r>
      <w:r>
        <w:rPr>
          <w:color w:val="231F20"/>
          <w:spacing w:val="13"/>
        </w:rPr>
        <w:t> </w:t>
      </w:r>
      <w:r>
        <w:rPr>
          <w:color w:val="231F20"/>
        </w:rPr>
        <w:t>pointer</w:t>
      </w:r>
      <w:r>
        <w:rPr>
          <w:color w:val="231F20"/>
          <w:spacing w:val="13"/>
        </w:rPr>
        <w:t> </w:t>
      </w:r>
      <w:r>
        <w:rPr>
          <w:color w:val="231F20"/>
        </w:rPr>
        <w:t>over</w:t>
      </w:r>
      <w:r>
        <w:rPr>
          <w:color w:val="231F20"/>
          <w:spacing w:val="12"/>
        </w:rPr>
        <w:t> </w:t>
      </w:r>
      <w:r>
        <w:rPr>
          <w:color w:val="231F20"/>
        </w:rPr>
        <w:t>a</w:t>
      </w:r>
      <w:r>
        <w:rPr>
          <w:color w:val="231F20"/>
          <w:spacing w:val="13"/>
        </w:rPr>
        <w:t> </w:t>
      </w:r>
      <w:r>
        <w:rPr>
          <w:color w:val="231F20"/>
        </w:rPr>
        <w:t>point</w:t>
      </w:r>
      <w:r>
        <w:rPr>
          <w:color w:val="231F20"/>
          <w:spacing w:val="13"/>
        </w:rPr>
        <w:t> </w:t>
      </w:r>
      <w:r>
        <w:rPr>
          <w:color w:val="231F20"/>
        </w:rPr>
        <w:t>to</w:t>
      </w:r>
      <w:r>
        <w:rPr>
          <w:color w:val="231F20"/>
          <w:spacing w:val="13"/>
        </w:rPr>
        <w:t> </w:t>
      </w:r>
      <w:r>
        <w:rPr>
          <w:color w:val="231F20"/>
        </w:rPr>
        <w:t>see</w:t>
      </w:r>
      <w:r>
        <w:rPr>
          <w:color w:val="231F20"/>
          <w:spacing w:val="13"/>
        </w:rPr>
        <w:t> </w:t>
      </w:r>
      <w:r>
        <w:rPr>
          <w:color w:val="231F20"/>
        </w:rPr>
        <w:t>the</w:t>
      </w:r>
      <w:r>
        <w:rPr>
          <w:color w:val="231F20"/>
          <w:spacing w:val="12"/>
        </w:rPr>
        <w:t> </w:t>
      </w:r>
      <w:r>
        <w:rPr>
          <w:color w:val="231F20"/>
        </w:rPr>
        <w:t>value</w:t>
      </w:r>
      <w:r>
        <w:rPr>
          <w:color w:val="231F20"/>
          <w:spacing w:val="13"/>
        </w:rPr>
        <w:t> </w:t>
      </w:r>
      <w:r>
        <w:rPr>
          <w:color w:val="231F20"/>
        </w:rPr>
        <w:t>and</w:t>
      </w:r>
      <w:r>
        <w:rPr>
          <w:color w:val="231F20"/>
          <w:spacing w:val="13"/>
        </w:rPr>
        <w:t> </w:t>
      </w:r>
      <w:r>
        <w:rPr>
          <w:color w:val="231F20"/>
        </w:rPr>
        <w:t>time</w:t>
      </w:r>
      <w:r>
        <w:rPr>
          <w:color w:val="231F20"/>
          <w:spacing w:val="13"/>
        </w:rPr>
        <w:t> </w:t>
      </w:r>
      <w:r>
        <w:rPr>
          <w:color w:val="231F20"/>
          <w:spacing w:val="-2"/>
        </w:rPr>
        <w:t>stamp.</w:t>
      </w:r>
    </w:p>
    <w:p>
      <w:pPr>
        <w:pStyle w:val="BodyText"/>
        <w:spacing w:before="30"/>
        <w:ind w:left="2232"/>
      </w:pPr>
      <w:r>
        <w:rPr>
          <w:rFonts w:ascii="Futura MdCn BT"/>
          <w:color w:val="231F20"/>
        </w:rPr>
        <w:t>v</w:t>
      </w:r>
      <w:r>
        <w:rPr>
          <w:rFonts w:ascii="Futura MdCn BT"/>
          <w:color w:val="231F20"/>
          <w:spacing w:val="31"/>
        </w:rPr>
        <w:t>  </w:t>
      </w:r>
      <w:r>
        <w:rPr>
          <w:color w:val="231F20"/>
        </w:rPr>
        <w:t>Drag</w:t>
      </w:r>
      <w:r>
        <w:rPr>
          <w:color w:val="231F20"/>
          <w:spacing w:val="12"/>
        </w:rPr>
        <w:t> </w:t>
      </w:r>
      <w:r>
        <w:rPr>
          <w:color w:val="231F20"/>
        </w:rPr>
        <w:t>the</w:t>
      </w:r>
      <w:r>
        <w:rPr>
          <w:color w:val="231F20"/>
          <w:spacing w:val="12"/>
        </w:rPr>
        <w:t> </w:t>
      </w:r>
      <w:r>
        <w:rPr>
          <w:color w:val="231F20"/>
        </w:rPr>
        <w:t>window</w:t>
      </w:r>
      <w:r>
        <w:rPr>
          <w:color w:val="231F20"/>
          <w:spacing w:val="12"/>
        </w:rPr>
        <w:t> </w:t>
      </w:r>
      <w:r>
        <w:rPr>
          <w:color w:val="231F20"/>
        </w:rPr>
        <w:t>border</w:t>
      </w:r>
      <w:r>
        <w:rPr>
          <w:color w:val="231F20"/>
          <w:spacing w:val="12"/>
        </w:rPr>
        <w:t> </w:t>
      </w:r>
      <w:r>
        <w:rPr>
          <w:color w:val="231F20"/>
        </w:rPr>
        <w:t>to</w:t>
      </w:r>
      <w:r>
        <w:rPr>
          <w:color w:val="231F20"/>
          <w:spacing w:val="13"/>
        </w:rPr>
        <w:t> </w:t>
      </w:r>
      <w:r>
        <w:rPr>
          <w:color w:val="231F20"/>
        </w:rPr>
        <w:t>expand</w:t>
      </w:r>
      <w:r>
        <w:rPr>
          <w:color w:val="231F20"/>
          <w:spacing w:val="12"/>
        </w:rPr>
        <w:t> </w:t>
      </w:r>
      <w:r>
        <w:rPr>
          <w:color w:val="231F20"/>
        </w:rPr>
        <w:t>the</w:t>
      </w:r>
      <w:r>
        <w:rPr>
          <w:color w:val="231F20"/>
          <w:spacing w:val="12"/>
        </w:rPr>
        <w:t> </w:t>
      </w:r>
      <w:r>
        <w:rPr>
          <w:color w:val="231F20"/>
        </w:rPr>
        <w:t>chart</w:t>
      </w:r>
      <w:r>
        <w:rPr>
          <w:color w:val="231F20"/>
          <w:spacing w:val="12"/>
        </w:rPr>
        <w:t> </w:t>
      </w:r>
      <w:r>
        <w:rPr>
          <w:color w:val="231F20"/>
          <w:spacing w:val="-2"/>
        </w:rPr>
        <w:t>width.</w:t>
      </w:r>
    </w:p>
    <w:p>
      <w:pPr>
        <w:pStyle w:val="BodyText"/>
        <w:spacing w:before="29"/>
        <w:ind w:left="2232"/>
      </w:pPr>
      <w:r>
        <w:rPr>
          <w:rFonts w:ascii="Futura MdCn BT"/>
          <w:color w:val="231F20"/>
        </w:rPr>
        <w:t>v</w:t>
      </w:r>
      <w:r>
        <w:rPr>
          <w:rFonts w:ascii="Futura MdCn BT"/>
          <w:color w:val="231F20"/>
          <w:spacing w:val="31"/>
        </w:rPr>
        <w:t>  </w:t>
      </w:r>
      <w:r>
        <w:rPr>
          <w:color w:val="231F20"/>
        </w:rPr>
        <w:t>Drag</w:t>
      </w:r>
      <w:r>
        <w:rPr>
          <w:color w:val="231F20"/>
          <w:spacing w:val="12"/>
        </w:rPr>
        <w:t> </w:t>
      </w:r>
      <w:r>
        <w:rPr>
          <w:color w:val="231F20"/>
        </w:rPr>
        <w:t>the</w:t>
      </w:r>
      <w:r>
        <w:rPr>
          <w:color w:val="231F20"/>
          <w:spacing w:val="12"/>
        </w:rPr>
        <w:t> </w:t>
      </w:r>
      <w:r>
        <w:rPr>
          <w:color w:val="231F20"/>
        </w:rPr>
        <w:t>border</w:t>
      </w:r>
      <w:r>
        <w:rPr>
          <w:color w:val="231F20"/>
          <w:spacing w:val="11"/>
        </w:rPr>
        <w:t> </w:t>
      </w:r>
      <w:r>
        <w:rPr>
          <w:color w:val="231F20"/>
        </w:rPr>
        <w:t>bar</w:t>
      </w:r>
      <w:r>
        <w:rPr>
          <w:color w:val="231F20"/>
          <w:spacing w:val="12"/>
        </w:rPr>
        <w:t> </w:t>
      </w:r>
      <w:r>
        <w:rPr>
          <w:color w:val="231F20"/>
        </w:rPr>
        <w:t>between</w:t>
      </w:r>
      <w:r>
        <w:rPr>
          <w:color w:val="231F20"/>
          <w:spacing w:val="12"/>
        </w:rPr>
        <w:t> </w:t>
      </w:r>
      <w:r>
        <w:rPr>
          <w:color w:val="231F20"/>
        </w:rPr>
        <w:t>the</w:t>
      </w:r>
      <w:r>
        <w:rPr>
          <w:color w:val="231F20"/>
          <w:spacing w:val="12"/>
        </w:rPr>
        <w:t> </w:t>
      </w:r>
      <w:r>
        <w:rPr>
          <w:color w:val="231F20"/>
        </w:rPr>
        <w:t>chart</w:t>
      </w:r>
      <w:r>
        <w:rPr>
          <w:color w:val="231F20"/>
          <w:spacing w:val="12"/>
        </w:rPr>
        <w:t> </w:t>
      </w:r>
      <w:r>
        <w:rPr>
          <w:color w:val="231F20"/>
        </w:rPr>
        <w:t>and</w:t>
      </w:r>
      <w:r>
        <w:rPr>
          <w:color w:val="231F20"/>
          <w:spacing w:val="12"/>
        </w:rPr>
        <w:t> </w:t>
      </w:r>
      <w:r>
        <w:rPr>
          <w:color w:val="231F20"/>
        </w:rPr>
        <w:t>the</w:t>
      </w:r>
      <w:r>
        <w:rPr>
          <w:color w:val="231F20"/>
          <w:spacing w:val="5"/>
        </w:rPr>
        <w:t> </w:t>
      </w:r>
      <w:r>
        <w:rPr>
          <w:color w:val="231F20"/>
        </w:rPr>
        <w:t>Attributes</w:t>
      </w:r>
      <w:r>
        <w:rPr>
          <w:color w:val="231F20"/>
          <w:spacing w:val="12"/>
        </w:rPr>
        <w:t> </w:t>
      </w:r>
      <w:r>
        <w:rPr>
          <w:color w:val="231F20"/>
        </w:rPr>
        <w:t>area</w:t>
      </w:r>
      <w:r>
        <w:rPr>
          <w:color w:val="231F20"/>
          <w:spacing w:val="12"/>
        </w:rPr>
        <w:t> </w:t>
      </w:r>
      <w:r>
        <w:rPr>
          <w:color w:val="231F20"/>
        </w:rPr>
        <w:t>up</w:t>
      </w:r>
      <w:r>
        <w:rPr>
          <w:color w:val="231F20"/>
          <w:spacing w:val="12"/>
        </w:rPr>
        <w:t> </w:t>
      </w:r>
      <w:r>
        <w:rPr>
          <w:color w:val="231F20"/>
        </w:rPr>
        <w:t>or</w:t>
      </w:r>
      <w:r>
        <w:rPr>
          <w:color w:val="231F20"/>
          <w:spacing w:val="12"/>
        </w:rPr>
        <w:t> </w:t>
      </w:r>
      <w:r>
        <w:rPr>
          <w:color w:val="231F20"/>
          <w:spacing w:val="-2"/>
        </w:rPr>
        <w:t>down.</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101600"/>
            <wp:effectExtent l="0" t="0" r="0" b="0"/>
            <wp:docPr id="2409" name="Image 2409"/>
            <wp:cNvGraphicFramePr>
              <a:graphicFrameLocks/>
            </wp:cNvGraphicFramePr>
            <a:graphic>
              <a:graphicData uri="http://schemas.openxmlformats.org/drawingml/2006/picture">
                <pic:pic>
                  <pic:nvPicPr>
                    <pic:cNvPr id="2409" name="Image 2409"/>
                    <pic:cNvPicPr/>
                  </pic:nvPicPr>
                  <pic:blipFill>
                    <a:blip r:embed="rId276"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2"/>
        </w:rPr>
        <w:t> </w:t>
      </w:r>
      <w:r>
        <w:rPr>
          <w:rFonts w:ascii="Book Antiqua"/>
          <w:b/>
          <w:color w:val="231F20"/>
        </w:rPr>
        <w:t>Zoom in </w:t>
      </w:r>
      <w:r>
        <w:rPr>
          <w:color w:val="231F20"/>
        </w:rPr>
        <w:t>(Ctrl + Click) and drag the mouse over the time period to</w:t>
      </w:r>
      <w:r>
        <w:rPr>
          <w:color w:val="231F20"/>
          <w:spacing w:val="80"/>
        </w:rPr>
        <w:t> </w:t>
      </w:r>
      <w:r>
        <w:rPr>
          <w:color w:val="231F20"/>
        </w:rPr>
        <w:t>highlight; the selection expands to fill the chart area. Click </w:t>
      </w:r>
      <w:r>
        <w:rPr>
          <w:color w:val="231F20"/>
          <w:spacing w:val="15"/>
          <w:position w:val="-1"/>
        </w:rPr>
        <w:drawing>
          <wp:inline distT="0" distB="0" distL="0" distR="0">
            <wp:extent cx="101600" cy="101600"/>
            <wp:effectExtent l="0" t="0" r="0" b="0"/>
            <wp:docPr id="2410" name="Image 2410"/>
            <wp:cNvGraphicFramePr>
              <a:graphicFrameLocks/>
            </wp:cNvGraphicFramePr>
            <a:graphic>
              <a:graphicData uri="http://schemas.openxmlformats.org/drawingml/2006/picture">
                <pic:pic>
                  <pic:nvPicPr>
                    <pic:cNvPr id="2410" name="Image 2410"/>
                    <pic:cNvPicPr/>
                  </pic:nvPicPr>
                  <pic:blipFill>
                    <a:blip r:embed="rId390"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rPr>
        <w:t>Zoom out </w:t>
      </w:r>
      <w:r>
        <w:rPr>
          <w:color w:val="231F20"/>
        </w:rPr>
        <w:t>(Esc) to return to the full data view.</w:t>
      </w:r>
    </w:p>
    <w:p>
      <w:pPr>
        <w:pStyle w:val="BodyText"/>
        <w:spacing w:line="213" w:lineRule="auto" w:before="58"/>
        <w:ind w:left="2448" w:right="603" w:hanging="216"/>
      </w:pPr>
      <w:r>
        <w:rPr>
          <w:rFonts w:ascii="Futura MdCn BT"/>
          <w:color w:val="231F20"/>
        </w:rPr>
        <w:t>v</w:t>
      </w:r>
      <w:r>
        <w:rPr>
          <w:rFonts w:ascii="Futura MdCn BT"/>
          <w:color w:val="231F20"/>
          <w:spacing w:val="80"/>
        </w:rPr>
        <w:t> </w:t>
      </w:r>
      <w:r>
        <w:rPr>
          <w:color w:val="231F20"/>
        </w:rPr>
        <w:t>Select options in the </w:t>
      </w:r>
      <w:r>
        <w:rPr>
          <w:rFonts w:ascii="Book Antiqua"/>
          <w:b/>
          <w:color w:val="231F20"/>
        </w:rPr>
        <w:t>Time Span </w:t>
      </w:r>
      <w:r>
        <w:rPr>
          <w:color w:val="231F20"/>
        </w:rPr>
        <w:t>area to reduce the time span and thus the</w:t>
      </w:r>
      <w:r>
        <w:rPr>
          <w:color w:val="231F20"/>
          <w:spacing w:val="40"/>
        </w:rPr>
        <w:t> </w:t>
      </w:r>
      <w:r>
        <w:rPr>
          <w:color w:val="231F20"/>
        </w:rPr>
        <w:t>number of samples displayed.</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Click</w:t>
      </w:r>
      <w:r>
        <w:rPr>
          <w:color w:val="231F20"/>
          <w:spacing w:val="24"/>
        </w:rPr>
        <w:t> </w:t>
      </w:r>
      <w:r>
        <w:rPr>
          <w:color w:val="231F20"/>
          <w:spacing w:val="-24"/>
          <w:position w:val="-1"/>
        </w:rPr>
        <w:drawing>
          <wp:inline distT="0" distB="0" distL="0" distR="0">
            <wp:extent cx="95250" cy="101600"/>
            <wp:effectExtent l="0" t="0" r="0" b="0"/>
            <wp:docPr id="2411" name="Image 2411"/>
            <wp:cNvGraphicFramePr>
              <a:graphicFrameLocks/>
            </wp:cNvGraphicFramePr>
            <a:graphic>
              <a:graphicData uri="http://schemas.openxmlformats.org/drawingml/2006/picture">
                <pic:pic>
                  <pic:nvPicPr>
                    <pic:cNvPr id="2411" name="Image 2411"/>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1"/>
        </w:rPr>
        <w:t> </w:t>
      </w:r>
      <w:r>
        <w:rPr>
          <w:color w:val="231F20"/>
        </w:rPr>
        <w:t>,</w:t>
      </w:r>
      <w:r>
        <w:rPr>
          <w:color w:val="231F20"/>
          <w:spacing w:val="14"/>
        </w:rPr>
        <w:t> </w:t>
      </w:r>
      <w:r>
        <w:rPr>
          <w:color w:val="231F20"/>
          <w:spacing w:val="16"/>
          <w:position w:val="-1"/>
        </w:rPr>
        <w:drawing>
          <wp:inline distT="0" distB="0" distL="0" distR="0">
            <wp:extent cx="101600" cy="95250"/>
            <wp:effectExtent l="0" t="0" r="0" b="0"/>
            <wp:docPr id="2412" name="Image 2412"/>
            <wp:cNvGraphicFramePr>
              <a:graphicFrameLocks/>
            </wp:cNvGraphicFramePr>
            <a:graphic>
              <a:graphicData uri="http://schemas.openxmlformats.org/drawingml/2006/picture">
                <pic:pic>
                  <pic:nvPicPr>
                    <pic:cNvPr id="2412" name="Image 2412"/>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w:t>
      </w:r>
      <w:r>
        <w:rPr>
          <w:color w:val="231F20"/>
          <w:spacing w:val="14"/>
        </w:rPr>
        <w:t> </w:t>
      </w:r>
      <w:r>
        <w:rPr>
          <w:color w:val="231F20"/>
        </w:rPr>
        <w:t>or</w:t>
      </w:r>
      <w:r>
        <w:rPr>
          <w:color w:val="231F20"/>
          <w:spacing w:val="14"/>
        </w:rPr>
        <w:t> </w:t>
      </w:r>
      <w:r>
        <w:rPr>
          <w:color w:val="231F20"/>
          <w:spacing w:val="16"/>
          <w:position w:val="-1"/>
        </w:rPr>
        <w:drawing>
          <wp:inline distT="0" distB="0" distL="0" distR="0">
            <wp:extent cx="101600" cy="95250"/>
            <wp:effectExtent l="0" t="0" r="0" b="0"/>
            <wp:docPr id="2413" name="Image 2413"/>
            <wp:cNvGraphicFramePr>
              <a:graphicFrameLocks/>
            </wp:cNvGraphicFramePr>
            <a:graphic>
              <a:graphicData uri="http://schemas.openxmlformats.org/drawingml/2006/picture">
                <pic:pic>
                  <pic:nvPicPr>
                    <pic:cNvPr id="2413" name="Image 2413"/>
                    <pic:cNvPicPr/>
                  </pic:nvPicPr>
                  <pic:blipFill>
                    <a:blip r:embed="rId46"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to</w:t>
      </w:r>
      <w:r>
        <w:rPr>
          <w:color w:val="231F20"/>
          <w:spacing w:val="14"/>
        </w:rPr>
        <w:t> </w:t>
      </w:r>
      <w:r>
        <w:rPr>
          <w:color w:val="231F20"/>
        </w:rPr>
        <w:t>redraw</w:t>
      </w:r>
      <w:r>
        <w:rPr>
          <w:color w:val="231F20"/>
          <w:spacing w:val="14"/>
        </w:rPr>
        <w:t> </w:t>
      </w:r>
      <w:r>
        <w:rPr>
          <w:color w:val="231F20"/>
        </w:rPr>
        <w:t>the</w:t>
      </w:r>
      <w:r>
        <w:rPr>
          <w:color w:val="231F20"/>
          <w:spacing w:val="14"/>
        </w:rPr>
        <w:t> </w:t>
      </w:r>
      <w:r>
        <w:rPr>
          <w:color w:val="231F20"/>
        </w:rPr>
        <w:t>data</w:t>
      </w:r>
      <w:r>
        <w:rPr>
          <w:color w:val="231F20"/>
          <w:spacing w:val="14"/>
        </w:rPr>
        <w:t> </w:t>
      </w:r>
      <w:r>
        <w:rPr>
          <w:color w:val="231F20"/>
        </w:rPr>
        <w:t>as</w:t>
      </w:r>
      <w:r>
        <w:rPr>
          <w:color w:val="231F20"/>
          <w:spacing w:val="14"/>
        </w:rPr>
        <w:t> </w:t>
      </w:r>
      <w:r>
        <w:rPr>
          <w:color w:val="231F20"/>
        </w:rPr>
        <w:t>a</w:t>
      </w:r>
      <w:r>
        <w:rPr>
          <w:color w:val="231F20"/>
          <w:spacing w:val="14"/>
        </w:rPr>
        <w:t> </w:t>
      </w:r>
      <w:r>
        <w:rPr>
          <w:color w:val="231F20"/>
        </w:rPr>
        <w:t>bar</w:t>
      </w:r>
      <w:r>
        <w:rPr>
          <w:color w:val="231F20"/>
          <w:spacing w:val="14"/>
        </w:rPr>
        <w:t> </w:t>
      </w:r>
      <w:r>
        <w:rPr>
          <w:color w:val="231F20"/>
        </w:rPr>
        <w:t>chart,</w:t>
      </w:r>
      <w:r>
        <w:rPr>
          <w:color w:val="231F20"/>
          <w:spacing w:val="14"/>
        </w:rPr>
        <w:t> </w:t>
      </w:r>
      <w:r>
        <w:rPr>
          <w:color w:val="231F20"/>
        </w:rPr>
        <w:t>plot</w:t>
      </w:r>
      <w:r>
        <w:rPr>
          <w:color w:val="231F20"/>
          <w:spacing w:val="14"/>
        </w:rPr>
        <w:t> </w:t>
      </w:r>
      <w:r>
        <w:rPr>
          <w:color w:val="231F20"/>
        </w:rPr>
        <w:t>chart</w:t>
      </w:r>
      <w:r>
        <w:rPr>
          <w:color w:val="231F20"/>
          <w:spacing w:val="14"/>
        </w:rPr>
        <w:t> </w:t>
      </w:r>
      <w:r>
        <w:rPr>
          <w:color w:val="231F20"/>
        </w:rPr>
        <w:t>(the</w:t>
      </w:r>
      <w:r>
        <w:rPr>
          <w:color w:val="231F20"/>
          <w:spacing w:val="14"/>
        </w:rPr>
        <w:t> </w:t>
      </w:r>
      <w:r>
        <w:rPr>
          <w:color w:val="231F20"/>
        </w:rPr>
        <w:t>default),</w:t>
      </w:r>
      <w:r>
        <w:rPr>
          <w:color w:val="231F20"/>
          <w:spacing w:val="14"/>
        </w:rPr>
        <w:t> </w:t>
      </w:r>
      <w:r>
        <w:rPr>
          <w:color w:val="231F20"/>
        </w:rPr>
        <w:t>or area chart.</w:t>
      </w:r>
    </w:p>
    <w:p>
      <w:pPr>
        <w:pStyle w:val="Heading4"/>
      </w:pPr>
      <w:r>
        <w:rPr>
          <w:color w:val="231F20"/>
          <w:spacing w:val="-2"/>
        </w:rPr>
        <w:t>Attributes</w:t>
      </w:r>
    </w:p>
    <w:p>
      <w:pPr>
        <w:pStyle w:val="BodyText"/>
        <w:spacing w:line="213" w:lineRule="auto" w:before="241"/>
        <w:ind w:left="2232" w:right="545"/>
      </w:pPr>
      <w:r>
        <w:rPr>
          <w:color w:val="231F20"/>
        </w:rPr>
        <w:t>This area has a row for each selected attribute or situation attribute. Click inside a cell to see only that attribute plotted on the chart.</w:t>
      </w:r>
    </w:p>
    <w:p>
      <w:pPr>
        <w:pStyle w:val="BodyText"/>
        <w:spacing w:line="360" w:lineRule="atLeast" w:before="6"/>
        <w:ind w:left="2951" w:right="792" w:hanging="719"/>
      </w:pPr>
      <w:r>
        <w:rPr>
          <w:rFonts w:ascii="Book Antiqua"/>
          <w:b/>
          <w:color w:val="231F20"/>
        </w:rPr>
        <w:t>Name</w:t>
      </w:r>
      <w:r>
        <w:rPr>
          <w:rFonts w:ascii="Book Antiqua"/>
          <w:b/>
          <w:color w:val="231F20"/>
          <w:spacing w:val="80"/>
          <w:w w:val="150"/>
        </w:rPr>
        <w:t> </w:t>
      </w:r>
      <w:r>
        <w:rPr>
          <w:color w:val="231F20"/>
        </w:rPr>
        <w:t>This is the name of the attribute chosen from the Select attribute </w:t>
      </w:r>
      <w:r>
        <w:rPr>
          <w:color w:val="231F20"/>
        </w:rPr>
        <w:t>dialog.</w:t>
      </w:r>
      <w:r>
        <w:rPr>
          <w:color w:val="231F20"/>
          <w:spacing w:val="80"/>
        </w:rPr>
        <w:t> </w:t>
      </w:r>
      <w:r>
        <w:rPr>
          <w:color w:val="231F20"/>
        </w:rPr>
        <w:t>If</w:t>
      </w:r>
      <w:r>
        <w:rPr>
          <w:color w:val="231F20"/>
          <w:spacing w:val="18"/>
        </w:rPr>
        <w:t> </w:t>
      </w:r>
      <w:r>
        <w:rPr>
          <w:color w:val="231F20"/>
        </w:rPr>
        <w:t>you</w:t>
      </w:r>
      <w:r>
        <w:rPr>
          <w:color w:val="231F20"/>
          <w:spacing w:val="18"/>
        </w:rPr>
        <w:t> </w:t>
      </w:r>
      <w:r>
        <w:rPr>
          <w:color w:val="231F20"/>
        </w:rPr>
        <w:t>see</w:t>
      </w:r>
      <w:r>
        <w:rPr>
          <w:color w:val="231F20"/>
          <w:spacing w:val="18"/>
        </w:rPr>
        <w:t> </w:t>
      </w:r>
      <w:r>
        <w:rPr>
          <w:color w:val="231F20"/>
        </w:rPr>
        <w:t>a</w:t>
      </w:r>
      <w:r>
        <w:rPr>
          <w:color w:val="231F20"/>
          <w:spacing w:val="16"/>
        </w:rPr>
        <w:t> </w:t>
      </w:r>
      <w:r>
        <w:rPr>
          <w:color w:val="231F20"/>
          <w:spacing w:val="16"/>
        </w:rPr>
        <w:drawing>
          <wp:inline distT="0" distB="0" distL="0" distR="0">
            <wp:extent cx="82550" cy="82550"/>
            <wp:effectExtent l="0" t="0" r="0" b="0"/>
            <wp:docPr id="2414" name="Image 2414"/>
            <wp:cNvGraphicFramePr>
              <a:graphicFrameLocks/>
            </wp:cNvGraphicFramePr>
            <a:graphic>
              <a:graphicData uri="http://schemas.openxmlformats.org/drawingml/2006/picture">
                <pic:pic>
                  <pic:nvPicPr>
                    <pic:cNvPr id="2414" name="Image 241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40"/>
        </w:rPr>
        <w:t> </w:t>
      </w:r>
      <w:r>
        <w:rPr>
          <w:color w:val="231F20"/>
        </w:rPr>
        <w:t>check</w:t>
      </w:r>
      <w:r>
        <w:rPr>
          <w:color w:val="231F20"/>
          <w:spacing w:val="18"/>
        </w:rPr>
        <w:t> </w:t>
      </w:r>
      <w:r>
        <w:rPr>
          <w:color w:val="231F20"/>
        </w:rPr>
        <w:t>box</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first</w:t>
      </w:r>
      <w:r>
        <w:rPr>
          <w:color w:val="231F20"/>
          <w:spacing w:val="18"/>
        </w:rPr>
        <w:t> </w:t>
      </w:r>
      <w:r>
        <w:rPr>
          <w:color w:val="231F20"/>
        </w:rPr>
        <w:t>column,</w:t>
      </w:r>
      <w:r>
        <w:rPr>
          <w:color w:val="231F20"/>
          <w:spacing w:val="18"/>
        </w:rPr>
        <w:t> </w:t>
      </w:r>
      <w:r>
        <w:rPr>
          <w:color w:val="231F20"/>
        </w:rPr>
        <w:t>it</w:t>
      </w:r>
      <w:r>
        <w:rPr>
          <w:color w:val="231F20"/>
          <w:spacing w:val="18"/>
        </w:rPr>
        <w:t> </w:t>
      </w:r>
      <w:r>
        <w:rPr>
          <w:color w:val="231F20"/>
        </w:rPr>
        <w:t>means</w:t>
      </w:r>
      <w:r>
        <w:rPr>
          <w:color w:val="231F20"/>
          <w:spacing w:val="18"/>
        </w:rPr>
        <w:t> </w:t>
      </w:r>
      <w:r>
        <w:rPr>
          <w:color w:val="231F20"/>
        </w:rPr>
        <w:t>the</w:t>
      </w:r>
      <w:r>
        <w:rPr>
          <w:color w:val="231F20"/>
          <w:spacing w:val="18"/>
        </w:rPr>
        <w:t> </w:t>
      </w:r>
      <w:r>
        <w:rPr>
          <w:color w:val="231F20"/>
        </w:rPr>
        <w:t>attribute</w:t>
      </w:r>
      <w:r>
        <w:rPr>
          <w:color w:val="231F20"/>
          <w:spacing w:val="18"/>
        </w:rPr>
        <w:t> </w:t>
      </w:r>
      <w:r>
        <w:rPr>
          <w:color w:val="231F20"/>
        </w:rPr>
        <w:t>is</w:t>
      </w:r>
      <w:r>
        <w:rPr>
          <w:color w:val="231F20"/>
          <w:spacing w:val="18"/>
        </w:rPr>
        <w:t> </w:t>
      </w:r>
      <w:r>
        <w:rPr>
          <w:color w:val="231F20"/>
        </w:rPr>
        <w:t>a</w:t>
      </w:r>
    </w:p>
    <w:p>
      <w:pPr>
        <w:pStyle w:val="BodyText"/>
        <w:spacing w:line="213" w:lineRule="auto"/>
        <w:ind w:left="2951" w:right="636"/>
      </w:pPr>
      <w:r>
        <w:rPr>
          <w:rFonts w:ascii="Book Antiqua"/>
          <w:i/>
          <w:color w:val="231F20"/>
        </w:rPr>
        <w:t>display item</w:t>
      </w:r>
      <w:r>
        <w:rPr>
          <w:color w:val="231F20"/>
        </w:rPr>
        <w:t>, a key attribute in a multiple-row attribute group. You can enter another valid value in the Condition cell to plot the values for </w:t>
      </w:r>
      <w:r>
        <w:rPr>
          <w:color w:val="231F20"/>
        </w:rPr>
        <w:t>that display item attribute.</w:t>
      </w:r>
    </w:p>
    <w:p>
      <w:pPr>
        <w:spacing w:after="0" w:line="213" w:lineRule="auto"/>
        <w:sectPr>
          <w:pgSz w:w="12240" w:h="15840"/>
          <w:pgMar w:header="0" w:footer="736" w:top="1180" w:bottom="920" w:left="1000" w:right="1060"/>
        </w:sectPr>
      </w:pPr>
    </w:p>
    <w:p>
      <w:pPr>
        <w:pStyle w:val="Heading6"/>
        <w:spacing w:before="83"/>
      </w:pPr>
      <w:r>
        <w:rPr>
          <w:color w:val="231F20"/>
          <w:spacing w:val="-2"/>
        </w:rPr>
        <w:t>Condition</w:t>
      </w:r>
    </w:p>
    <w:p>
      <w:pPr>
        <w:pStyle w:val="BodyText"/>
        <w:spacing w:line="213" w:lineRule="auto" w:before="12"/>
        <w:ind w:left="3190" w:right="545"/>
      </w:pPr>
      <w:r>
        <w:rPr>
          <w:color w:val="231F20"/>
        </w:rPr>
        <w:t>This is the value of the attribute from the chart view data series or </w:t>
      </w:r>
      <w:r>
        <w:rPr>
          <w:color w:val="231F20"/>
        </w:rPr>
        <w:t>table view row, or from the situation if you are modeling with an existing </w:t>
      </w:r>
      <w:r>
        <w:rPr>
          <w:color w:val="231F20"/>
          <w:spacing w:val="-2"/>
        </w:rPr>
        <w:t>situation.</w:t>
      </w:r>
    </w:p>
    <w:p>
      <w:pPr>
        <w:pStyle w:val="BodyText"/>
        <w:spacing w:line="213" w:lineRule="auto" w:before="177"/>
        <w:ind w:left="3190" w:right="313"/>
      </w:pPr>
      <w:r>
        <w:rPr>
          <w:color w:val="231F20"/>
        </w:rPr>
        <w:t>Click inside a </w:t>
      </w:r>
      <w:r>
        <w:rPr>
          <w:color w:val="231F20"/>
          <w:spacing w:val="16"/>
          <w:position w:val="-2"/>
        </w:rPr>
        <w:drawing>
          <wp:inline distT="0" distB="0" distL="0" distR="0">
            <wp:extent cx="1125360" cy="131939"/>
            <wp:effectExtent l="0" t="0" r="0" b="0"/>
            <wp:docPr id="2415" name="Image 2415"/>
            <wp:cNvGraphicFramePr>
              <a:graphicFrameLocks/>
            </wp:cNvGraphicFramePr>
            <a:graphic>
              <a:graphicData uri="http://schemas.openxmlformats.org/drawingml/2006/picture">
                <pic:pic>
                  <pic:nvPicPr>
                    <pic:cNvPr id="2415" name="Image 2415"/>
                    <pic:cNvPicPr/>
                  </pic:nvPicPr>
                  <pic:blipFill>
                    <a:blip r:embed="rId391" cstate="print"/>
                    <a:stretch>
                      <a:fillRect/>
                    </a:stretch>
                  </pic:blipFill>
                  <pic:spPr>
                    <a:xfrm>
                      <a:off x="0" y="0"/>
                      <a:ext cx="1125360" cy="131939"/>
                    </a:xfrm>
                    <a:prstGeom prst="rect">
                      <a:avLst/>
                    </a:prstGeom>
                  </pic:spPr>
                </pic:pic>
              </a:graphicData>
            </a:graphic>
          </wp:inline>
        </w:drawing>
      </w:r>
      <w:r>
        <w:rPr>
          <w:color w:val="231F20"/>
          <w:spacing w:val="16"/>
          <w:position w:val="-2"/>
        </w:rPr>
      </w:r>
      <w:r>
        <w:rPr>
          <w:rFonts w:ascii="Times New Roman"/>
          <w:color w:val="231F20"/>
          <w:spacing w:val="40"/>
        </w:rPr>
        <w:t> </w:t>
      </w:r>
      <w:r>
        <w:rPr>
          <w:color w:val="231F20"/>
        </w:rPr>
        <w:t>cell to change the function or operator,</w:t>
      </w:r>
      <w:r>
        <w:rPr>
          <w:color w:val="231F20"/>
          <w:spacing w:val="40"/>
        </w:rPr>
        <w:t> </w:t>
      </w:r>
      <w:r>
        <w:rPr>
          <w:color w:val="231F20"/>
        </w:rPr>
        <w:t>or to edit the value. A solid marker line is drawn across the chart to represent the current comparison value. A</w:t>
      </w:r>
      <w:r>
        <w:rPr>
          <w:color w:val="231F20"/>
          <w:spacing w:val="-1"/>
        </w:rPr>
        <w:t> </w:t>
      </w:r>
      <w:r>
        <w:rPr>
          <w:color w:val="231F20"/>
        </w:rPr>
        <w:t>shaded region appears above </w:t>
      </w:r>
      <w:r>
        <w:rPr>
          <w:color w:val="231F20"/>
        </w:rPr>
        <w:t>or below this marker line if the relational operator represents a range of</w:t>
      </w:r>
      <w:r>
        <w:rPr>
          <w:color w:val="231F20"/>
          <w:spacing w:val="80"/>
        </w:rPr>
        <w:t> </w:t>
      </w:r>
      <w:r>
        <w:rPr>
          <w:color w:val="231F20"/>
        </w:rPr>
        <w:t>trigger values (&gt;, &gt;=, &lt;, &lt;=). The difference between the original and</w:t>
      </w:r>
      <w:r>
        <w:rPr>
          <w:color w:val="231F20"/>
          <w:spacing w:val="80"/>
        </w:rPr>
        <w:t> </w:t>
      </w:r>
      <w:r>
        <w:rPr>
          <w:color w:val="231F20"/>
        </w:rPr>
        <w:t>calculated value is the </w:t>
      </w:r>
      <w:r>
        <w:rPr>
          <w:rFonts w:ascii="Book Antiqua"/>
          <w:i/>
          <w:color w:val="231F20"/>
        </w:rPr>
        <w:t>threshold area </w:t>
      </w:r>
      <w:r>
        <w:rPr>
          <w:color w:val="231F20"/>
        </w:rPr>
        <w:t>and is highlighted.</w:t>
      </w:r>
    </w:p>
    <w:p>
      <w:pPr>
        <w:pStyle w:val="Heading6"/>
        <w:spacing w:before="115"/>
      </w:pPr>
      <w:r>
        <w:rPr>
          <w:color w:val="231F20"/>
          <w:spacing w:val="-2"/>
        </w:rPr>
        <w:t>Value</w:t>
      </w:r>
      <w:r>
        <w:rPr>
          <w:color w:val="231F20"/>
          <w:spacing w:val="-3"/>
        </w:rPr>
        <w:t> </w:t>
      </w:r>
      <w:r>
        <w:rPr>
          <w:color w:val="231F20"/>
          <w:spacing w:val="-2"/>
        </w:rPr>
        <w:t>modifier</w:t>
      </w:r>
    </w:p>
    <w:p>
      <w:pPr>
        <w:pStyle w:val="BodyText"/>
        <w:spacing w:line="213" w:lineRule="auto" w:before="11"/>
        <w:ind w:left="3190" w:right="545"/>
      </w:pPr>
      <w:r>
        <w:rPr>
          <w:color w:val="231F20"/>
        </w:rPr>
        <w:t>This is initially set to &lt; none selected &gt;. Click inside the cell to calculate </w:t>
      </w:r>
      <w:r>
        <w:rPr>
          <w:color w:val="231F20"/>
        </w:rPr>
        <w:t>a</w:t>
      </w:r>
      <w:r>
        <w:rPr>
          <w:color w:val="231F20"/>
          <w:spacing w:val="80"/>
        </w:rPr>
        <w:t> </w:t>
      </w:r>
      <w:r>
        <w:rPr>
          <w:color w:val="231F20"/>
        </w:rPr>
        <w:t>threshold by raising or lowering the original value by a specified </w:t>
      </w:r>
      <w:r>
        <w:rPr>
          <w:color w:val="231F20"/>
          <w:spacing w:val="-2"/>
        </w:rPr>
        <w:t>percentage.</w:t>
      </w:r>
    </w:p>
    <w:p>
      <w:pPr>
        <w:pStyle w:val="BodyText"/>
        <w:spacing w:line="213" w:lineRule="auto" w:before="118"/>
        <w:ind w:left="3190" w:right="545"/>
      </w:pPr>
      <w:r>
        <w:rPr>
          <w:color w:val="231F20"/>
        </w:rPr>
        <w:t>In the + PERCENT or - PERCENT window that opens, enter the percentage to raise or lower the value by, click </w:t>
      </w:r>
      <w:r>
        <w:rPr>
          <w:rFonts w:ascii="Book Antiqua"/>
          <w:b/>
          <w:color w:val="231F20"/>
        </w:rPr>
        <w:t>Draw </w:t>
      </w:r>
      <w:r>
        <w:rPr>
          <w:color w:val="231F20"/>
        </w:rPr>
        <w:t>to apply the threshold to the chart. After you click </w:t>
      </w:r>
      <w:r>
        <w:rPr>
          <w:rFonts w:ascii="Book Antiqua"/>
          <w:b/>
          <w:color w:val="231F20"/>
        </w:rPr>
        <w:t>OK</w:t>
      </w:r>
      <w:r>
        <w:rPr>
          <w:color w:val="231F20"/>
        </w:rPr>
        <w:t>, the difference between the original and percentage raised or lowered is used to set a new </w:t>
      </w:r>
      <w:r>
        <w:rPr>
          <w:color w:val="231F20"/>
        </w:rPr>
        <w:t>threshold </w:t>
      </w:r>
      <w:r>
        <w:rPr>
          <w:color w:val="231F20"/>
          <w:spacing w:val="-2"/>
        </w:rPr>
        <w:t>value.</w:t>
      </w:r>
    </w:p>
    <w:p>
      <w:pPr>
        <w:pStyle w:val="Heading6"/>
        <w:spacing w:line="232" w:lineRule="exact" w:before="115"/>
        <w:ind w:left="2482"/>
      </w:pPr>
      <w:r>
        <w:rPr>
          <w:b w:val="0"/>
          <w:position w:val="-1"/>
        </w:rPr>
        <w:drawing>
          <wp:inline distT="0" distB="0" distL="0" distR="0">
            <wp:extent cx="95250" cy="101600"/>
            <wp:effectExtent l="0" t="0" r="0" b="0"/>
            <wp:docPr id="2416" name="Image 2416"/>
            <wp:cNvGraphicFramePr>
              <a:graphicFrameLocks/>
            </wp:cNvGraphicFramePr>
            <a:graphic>
              <a:graphicData uri="http://schemas.openxmlformats.org/drawingml/2006/picture">
                <pic:pic>
                  <pic:nvPicPr>
                    <pic:cNvPr id="2416" name="Image 2416"/>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Chart</w:t>
      </w:r>
      <w:r>
        <w:rPr>
          <w:color w:val="231F20"/>
          <w:spacing w:val="18"/>
        </w:rPr>
        <w:t> </w:t>
      </w:r>
      <w:r>
        <w:rPr>
          <w:color w:val="231F20"/>
        </w:rPr>
        <w:t>options</w:t>
      </w:r>
    </w:p>
    <w:p>
      <w:pPr>
        <w:spacing w:line="211" w:lineRule="auto" w:before="16"/>
        <w:ind w:left="3190" w:right="274" w:firstLine="0"/>
        <w:jc w:val="left"/>
        <w:rPr>
          <w:sz w:val="20"/>
        </w:rPr>
      </w:pPr>
      <w:r>
        <w:rPr>
          <w:color w:val="231F20"/>
          <w:sz w:val="20"/>
        </w:rPr>
        <w:t>Modify the appearance of the threshold: </w:t>
      </w:r>
      <w:r>
        <w:rPr>
          <w:color w:val="231F20"/>
          <w:spacing w:val="15"/>
          <w:sz w:val="20"/>
        </w:rPr>
        <w:drawing>
          <wp:inline distT="0" distB="0" distL="0" distR="0">
            <wp:extent cx="82550" cy="82550"/>
            <wp:effectExtent l="0" t="0" r="0" b="0"/>
            <wp:docPr id="2417" name="Image 2417"/>
            <wp:cNvGraphicFramePr>
              <a:graphicFrameLocks/>
            </wp:cNvGraphicFramePr>
            <a:graphic>
              <a:graphicData uri="http://schemas.openxmlformats.org/drawingml/2006/picture">
                <pic:pic>
                  <pic:nvPicPr>
                    <pic:cNvPr id="2417" name="Image 241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Visible in legend </w:t>
      </w:r>
      <w:r>
        <w:rPr>
          <w:color w:val="231F20"/>
          <w:sz w:val="20"/>
        </w:rPr>
        <w:t>to add </w:t>
      </w:r>
      <w:r>
        <w:rPr>
          <w:rFonts w:ascii="Book Antiqua"/>
          <w:b/>
          <w:color w:val="231F20"/>
          <w:sz w:val="20"/>
        </w:rPr>
        <w:t>Threshold </w:t>
      </w:r>
      <w:r>
        <w:rPr>
          <w:color w:val="231F20"/>
          <w:sz w:val="20"/>
        </w:rPr>
        <w:t>to the legend, </w:t>
      </w:r>
      <w:r>
        <w:rPr>
          <w:color w:val="231F20"/>
          <w:spacing w:val="16"/>
          <w:sz w:val="20"/>
        </w:rPr>
        <w:drawing>
          <wp:inline distT="0" distB="0" distL="0" distR="0">
            <wp:extent cx="82550" cy="82550"/>
            <wp:effectExtent l="0" t="0" r="0" b="0"/>
            <wp:docPr id="2418" name="Image 2418"/>
            <wp:cNvGraphicFramePr>
              <a:graphicFrameLocks/>
            </wp:cNvGraphicFramePr>
            <a:graphic>
              <a:graphicData uri="http://schemas.openxmlformats.org/drawingml/2006/picture">
                <pic:pic>
                  <pic:nvPicPr>
                    <pic:cNvPr id="2418" name="Image 2418"/>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Show chart label </w:t>
      </w:r>
      <w:r>
        <w:rPr>
          <w:color w:val="231F20"/>
          <w:sz w:val="20"/>
        </w:rPr>
        <w:t>to add a threshold label, and </w:t>
      </w:r>
      <w:r>
        <w:rPr>
          <w:rFonts w:ascii="Book Antiqua"/>
          <w:b/>
          <w:color w:val="231F20"/>
          <w:sz w:val="20"/>
        </w:rPr>
        <w:t>Fill Style </w:t>
      </w:r>
      <w:r>
        <w:rPr>
          <w:color w:val="231F20"/>
          <w:sz w:val="20"/>
        </w:rPr>
        <w:t>to change the threshold pattern or color. Click </w:t>
      </w:r>
      <w:r>
        <w:rPr>
          <w:rFonts w:ascii="Book Antiqua"/>
          <w:b/>
          <w:color w:val="231F20"/>
          <w:sz w:val="20"/>
        </w:rPr>
        <w:t>Custom Colors </w:t>
      </w:r>
      <w:r>
        <w:rPr>
          <w:color w:val="231F20"/>
          <w:sz w:val="20"/>
        </w:rPr>
        <w:t>to choose from a wider selection of colors or to create your own.</w:t>
      </w:r>
    </w:p>
    <w:p>
      <w:pPr>
        <w:pStyle w:val="Heading4"/>
        <w:spacing w:before="202"/>
        <w:ind w:left="2472"/>
      </w:pPr>
      <w:r>
        <w:rPr>
          <w:color w:val="231F20"/>
          <w:spacing w:val="-2"/>
        </w:rPr>
        <w:t>Functions</w:t>
      </w:r>
    </w:p>
    <w:p>
      <w:pPr>
        <w:pStyle w:val="BodyText"/>
        <w:spacing w:line="213" w:lineRule="auto" w:before="241"/>
        <w:ind w:left="2472" w:right="207"/>
      </w:pPr>
      <w:r>
        <w:rPr>
          <w:color w:val="231F20"/>
        </w:rPr>
        <w:t>This area is displayed when the attribute group used in the view or situation has historically collected values. Click a row in the </w:t>
      </w:r>
      <w:r>
        <w:rPr>
          <w:rFonts w:ascii="Book Antiqua"/>
          <w:b/>
          <w:color w:val="231F20"/>
        </w:rPr>
        <w:t>Attributes </w:t>
      </w:r>
      <w:r>
        <w:rPr>
          <w:color w:val="231F20"/>
        </w:rPr>
        <w:t>area. In the </w:t>
      </w:r>
      <w:r>
        <w:rPr>
          <w:rFonts w:ascii="Book Antiqua"/>
          <w:b/>
          <w:color w:val="231F20"/>
        </w:rPr>
        <w:t>Functions</w:t>
      </w:r>
      <w:r>
        <w:rPr>
          <w:rFonts w:ascii="Book Antiqua"/>
          <w:b/>
          <w:color w:val="231F20"/>
          <w:spacing w:val="40"/>
        </w:rPr>
        <w:t> </w:t>
      </w:r>
      <w:r>
        <w:rPr>
          <w:color w:val="231F20"/>
        </w:rPr>
        <w:t>area,</w:t>
      </w:r>
      <w:r>
        <w:rPr>
          <w:color w:val="231F20"/>
          <w:spacing w:val="20"/>
        </w:rPr>
        <w:t> </w:t>
      </w:r>
      <w:r>
        <w:rPr>
          <w:color w:val="231F20"/>
        </w:rPr>
        <w:t>select</w:t>
      </w:r>
      <w:r>
        <w:rPr>
          <w:color w:val="231F20"/>
          <w:spacing w:val="20"/>
        </w:rPr>
        <w:t> </w:t>
      </w:r>
      <w:r>
        <w:rPr>
          <w:color w:val="231F20"/>
        </w:rPr>
        <w:t>the</w:t>
      </w:r>
      <w:r>
        <w:rPr>
          <w:color w:val="231F20"/>
          <w:spacing w:val="20"/>
        </w:rPr>
        <w:t> </w:t>
      </w:r>
      <w:r>
        <w:rPr>
          <w:color w:val="231F20"/>
        </w:rPr>
        <w:t>check</w:t>
      </w:r>
      <w:r>
        <w:rPr>
          <w:color w:val="231F20"/>
          <w:spacing w:val="20"/>
        </w:rPr>
        <w:t> </w:t>
      </w:r>
      <w:r>
        <w:rPr>
          <w:color w:val="231F20"/>
        </w:rPr>
        <w:t>box</w:t>
      </w:r>
      <w:r>
        <w:rPr>
          <w:color w:val="231F20"/>
          <w:spacing w:val="20"/>
        </w:rPr>
        <w:t> </w:t>
      </w:r>
      <w:r>
        <w:rPr>
          <w:color w:val="231F20"/>
        </w:rPr>
        <w:t>for</w:t>
      </w:r>
      <w:r>
        <w:rPr>
          <w:color w:val="231F20"/>
          <w:spacing w:val="20"/>
        </w:rPr>
        <w:t> </w:t>
      </w:r>
      <w:r>
        <w:rPr>
          <w:color w:val="231F20"/>
        </w:rPr>
        <w:t>the</w:t>
      </w:r>
      <w:r>
        <w:rPr>
          <w:color w:val="231F20"/>
          <w:spacing w:val="20"/>
        </w:rPr>
        <w:t> </w:t>
      </w:r>
      <w:r>
        <w:rPr>
          <w:color w:val="231F20"/>
        </w:rPr>
        <w:t>statistical</w:t>
      </w:r>
      <w:r>
        <w:rPr>
          <w:color w:val="231F20"/>
          <w:spacing w:val="20"/>
        </w:rPr>
        <w:t> </w:t>
      </w:r>
      <w:r>
        <w:rPr>
          <w:color w:val="231F20"/>
        </w:rPr>
        <w:t>function</w:t>
      </w:r>
      <w:r>
        <w:rPr>
          <w:color w:val="231F20"/>
          <w:spacing w:val="20"/>
        </w:rPr>
        <w:t> </w:t>
      </w:r>
      <w:r>
        <w:rPr>
          <w:color w:val="231F20"/>
        </w:rPr>
        <w:t>you</w:t>
      </w:r>
      <w:r>
        <w:rPr>
          <w:color w:val="231F20"/>
          <w:spacing w:val="20"/>
        </w:rPr>
        <w:t> </w:t>
      </w:r>
      <w:r>
        <w:rPr>
          <w:color w:val="231F20"/>
        </w:rPr>
        <w:t>want</w:t>
      </w:r>
      <w:r>
        <w:rPr>
          <w:color w:val="231F20"/>
          <w:spacing w:val="20"/>
        </w:rPr>
        <w:t> </w:t>
      </w:r>
      <w:r>
        <w:rPr>
          <w:color w:val="231F20"/>
        </w:rPr>
        <w:t>to</w:t>
      </w:r>
      <w:r>
        <w:rPr>
          <w:color w:val="231F20"/>
          <w:spacing w:val="20"/>
        </w:rPr>
        <w:t> </w:t>
      </w:r>
      <w:r>
        <w:rPr>
          <w:color w:val="231F20"/>
        </w:rPr>
        <w:t>use. After</w:t>
      </w:r>
      <w:r>
        <w:rPr>
          <w:color w:val="231F20"/>
          <w:spacing w:val="20"/>
        </w:rPr>
        <w:t> </w:t>
      </w:r>
      <w:r>
        <w:rPr>
          <w:color w:val="231F20"/>
        </w:rPr>
        <w:t>setting an </w:t>
      </w:r>
      <w:r>
        <w:rPr>
          <w:rFonts w:ascii="Book Antiqua"/>
          <w:b/>
          <w:color w:val="231F20"/>
        </w:rPr>
        <w:t>Argument</w:t>
      </w:r>
      <w:r>
        <w:rPr>
          <w:color w:val="231F20"/>
        </w:rPr>
        <w:t>, click </w:t>
      </w:r>
      <w:r>
        <w:rPr>
          <w:rFonts w:ascii="Book Antiqua"/>
          <w:b/>
          <w:color w:val="231F20"/>
        </w:rPr>
        <w:t>Recalculate </w:t>
      </w:r>
      <w:r>
        <w:rPr>
          <w:color w:val="231F20"/>
        </w:rPr>
        <w:t>to see the adjusted threshold in the </w:t>
      </w:r>
      <w:r>
        <w:rPr>
          <w:rFonts w:ascii="Book Antiqua"/>
          <w:b/>
          <w:color w:val="231F20"/>
        </w:rPr>
        <w:t>Result </w:t>
      </w:r>
      <w:r>
        <w:rPr>
          <w:color w:val="231F20"/>
        </w:rPr>
        <w:t>cell </w:t>
      </w:r>
      <w:r>
        <w:rPr>
          <w:color w:val="231F20"/>
        </w:rPr>
        <w:t>and plot it on the chart as a colored line.</w:t>
      </w:r>
    </w:p>
    <w:p>
      <w:pPr>
        <w:spacing w:line="238" w:lineRule="exact" w:before="120"/>
        <w:ind w:left="2472" w:right="0" w:firstLine="0"/>
        <w:jc w:val="left"/>
        <w:rPr>
          <w:rFonts w:ascii="Book Antiqua"/>
          <w:b/>
          <w:sz w:val="20"/>
        </w:rPr>
      </w:pPr>
      <w:r>
        <w:rPr/>
        <w:drawing>
          <wp:inline distT="0" distB="0" distL="0" distR="0">
            <wp:extent cx="82550" cy="82550"/>
            <wp:effectExtent l="0" t="0" r="0" b="0"/>
            <wp:docPr id="2419" name="Image 2419"/>
            <wp:cNvGraphicFramePr>
              <a:graphicFrameLocks/>
            </wp:cNvGraphicFramePr>
            <a:graphic>
              <a:graphicData uri="http://schemas.openxmlformats.org/drawingml/2006/picture">
                <pic:pic>
                  <pic:nvPicPr>
                    <pic:cNvPr id="2419" name="Image 241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AVG</w:t>
      </w:r>
    </w:p>
    <w:p>
      <w:pPr>
        <w:spacing w:after="0" w:line="238" w:lineRule="exact"/>
        <w:jc w:val="left"/>
        <w:rPr>
          <w:rFonts w:ascii="Book Antiqua"/>
          <w:sz w:val="20"/>
        </w:rPr>
        <w:sectPr>
          <w:pgSz w:w="12240" w:h="15840"/>
          <w:pgMar w:header="0" w:footer="736" w:top="1180" w:bottom="920" w:left="1000" w:right="1060"/>
        </w:sectPr>
      </w:pPr>
    </w:p>
    <w:p>
      <w:pPr>
        <w:pStyle w:val="BodyText"/>
        <w:rPr>
          <w:rFonts w:ascii="Book Antiqua"/>
          <w:b/>
        </w:rPr>
      </w:pPr>
    </w:p>
    <w:p>
      <w:pPr>
        <w:pStyle w:val="BodyText"/>
        <w:rPr>
          <w:rFonts w:ascii="Book Antiqua"/>
          <w:b/>
        </w:rPr>
      </w:pPr>
    </w:p>
    <w:p>
      <w:pPr>
        <w:pStyle w:val="BodyText"/>
        <w:spacing w:before="117"/>
        <w:rPr>
          <w:rFonts w:ascii="Book Antiqua"/>
          <w:b/>
        </w:rPr>
      </w:pPr>
    </w:p>
    <w:p>
      <w:pPr>
        <w:spacing w:before="0"/>
        <w:ind w:left="0" w:right="0" w:firstLine="0"/>
        <w:jc w:val="right"/>
        <w:rPr>
          <w:rFonts w:ascii="Book Antiqua"/>
          <w:b/>
          <w:sz w:val="20"/>
        </w:rPr>
      </w:pPr>
      <w:r>
        <w:rPr/>
        <w:drawing>
          <wp:inline distT="0" distB="0" distL="0" distR="0">
            <wp:extent cx="82550" cy="82550"/>
            <wp:effectExtent l="0" t="0" r="0" b="0"/>
            <wp:docPr id="2420" name="Image 2420"/>
            <wp:cNvGraphicFramePr>
              <a:graphicFrameLocks/>
            </wp:cNvGraphicFramePr>
            <a:graphic>
              <a:graphicData uri="http://schemas.openxmlformats.org/drawingml/2006/picture">
                <pic:pic>
                  <pic:nvPicPr>
                    <pic:cNvPr id="2420" name="Image 242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MIN</w:t>
      </w:r>
    </w:p>
    <w:p>
      <w:pPr>
        <w:pStyle w:val="BodyText"/>
        <w:spacing w:line="213" w:lineRule="auto"/>
        <w:ind w:right="263"/>
      </w:pPr>
      <w:r>
        <w:rPr/>
        <w:br w:type="column"/>
      </w:r>
      <w:r>
        <w:rPr>
          <w:color w:val="231F20"/>
        </w:rPr>
        <w:t>For the selected attribute, calculate the average value from the samples taken during the time period, and add or subtract the standard </w:t>
      </w:r>
      <w:r>
        <w:rPr>
          <w:color w:val="231F20"/>
        </w:rPr>
        <w:t>deviation that was entered in the </w:t>
      </w:r>
      <w:r>
        <w:rPr>
          <w:rFonts w:ascii="Book Antiqua"/>
          <w:b/>
          <w:color w:val="231F20"/>
        </w:rPr>
        <w:t>Argument </w:t>
      </w:r>
      <w:r>
        <w:rPr>
          <w:color w:val="231F20"/>
        </w:rPr>
        <w:t>field. Valid values are -6 to 6.</w:t>
      </w:r>
    </w:p>
    <w:p>
      <w:pPr>
        <w:pStyle w:val="BodyText"/>
        <w:spacing w:before="86"/>
      </w:pPr>
    </w:p>
    <w:p>
      <w:pPr>
        <w:pStyle w:val="BodyText"/>
        <w:spacing w:line="213" w:lineRule="auto"/>
        <w:ind w:right="263"/>
      </w:pPr>
      <w:r>
        <w:rPr>
          <w:color w:val="231F20"/>
        </w:rPr>
        <w:t>For the selected attribute, find the lowest sampled value within the </w:t>
      </w:r>
      <w:r>
        <w:rPr>
          <w:color w:val="231F20"/>
        </w:rPr>
        <w:t>time period, and increase or decrease that value by the percentage that was entered in the </w:t>
      </w:r>
      <w:r>
        <w:rPr>
          <w:rFonts w:ascii="Book Antiqua"/>
          <w:b/>
          <w:color w:val="231F20"/>
        </w:rPr>
        <w:t>Argument </w:t>
      </w:r>
      <w:r>
        <w:rPr>
          <w:color w:val="231F20"/>
        </w:rPr>
        <w:t>field. Valid values are -100 to 100.</w:t>
      </w:r>
    </w:p>
    <w:p>
      <w:pPr>
        <w:spacing w:after="0" w:line="213" w:lineRule="auto"/>
        <w:sectPr>
          <w:type w:val="continuous"/>
          <w:pgSz w:w="12240" w:h="15840"/>
          <w:pgMar w:header="0" w:footer="736" w:top="0" w:bottom="4660" w:left="1000" w:right="1060"/>
          <w:cols w:num="2" w:equalWidth="0">
            <w:col w:w="3172" w:space="18"/>
            <w:col w:w="6990"/>
          </w:cols>
        </w:sectPr>
      </w:pPr>
    </w:p>
    <w:p>
      <w:pPr>
        <w:spacing w:line="227" w:lineRule="exact" w:before="121"/>
        <w:ind w:left="2472" w:right="0" w:firstLine="0"/>
        <w:jc w:val="left"/>
        <w:rPr>
          <w:rFonts w:ascii="Book Antiqua"/>
          <w:b/>
          <w:sz w:val="20"/>
        </w:rPr>
      </w:pPr>
      <w:r>
        <w:rPr/>
        <w:drawing>
          <wp:inline distT="0" distB="0" distL="0" distR="0">
            <wp:extent cx="82550" cy="82550"/>
            <wp:effectExtent l="0" t="0" r="0" b="0"/>
            <wp:docPr id="2421" name="Image 2421"/>
            <wp:cNvGraphicFramePr>
              <a:graphicFrameLocks/>
            </wp:cNvGraphicFramePr>
            <a:graphic>
              <a:graphicData uri="http://schemas.openxmlformats.org/drawingml/2006/picture">
                <pic:pic>
                  <pic:nvPicPr>
                    <pic:cNvPr id="2421" name="Image 2421"/>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MAX</w:t>
      </w:r>
    </w:p>
    <w:p>
      <w:pPr>
        <w:pStyle w:val="BodyText"/>
        <w:spacing w:line="213" w:lineRule="auto" w:before="9"/>
        <w:ind w:left="3190" w:right="385"/>
      </w:pPr>
      <w:r>
        <w:rPr>
          <w:color w:val="231F20"/>
        </w:rPr>
        <w:t>For the selected attribute, find the highest sampled value within the </w:t>
      </w:r>
      <w:r>
        <w:rPr>
          <w:color w:val="231F20"/>
        </w:rPr>
        <w:t>time period and increase or decrease that value by the percentage that was entered in the </w:t>
      </w:r>
      <w:r>
        <w:rPr>
          <w:rFonts w:ascii="Book Antiqua"/>
          <w:b/>
          <w:color w:val="231F20"/>
        </w:rPr>
        <w:t>Argument </w:t>
      </w:r>
      <w:r>
        <w:rPr>
          <w:color w:val="231F20"/>
        </w:rPr>
        <w:t>field. Valid values are -100 to 100.</w:t>
      </w:r>
    </w:p>
    <w:p>
      <w:pPr>
        <w:pStyle w:val="Heading6"/>
        <w:spacing w:line="227" w:lineRule="exact" w:before="122"/>
      </w:pPr>
      <w:r>
        <w:rPr>
          <w:b w:val="0"/>
        </w:rPr>
        <w:drawing>
          <wp:inline distT="0" distB="0" distL="0" distR="0">
            <wp:extent cx="82550" cy="82550"/>
            <wp:effectExtent l="0" t="0" r="0" b="0"/>
            <wp:docPr id="2422" name="Image 2422"/>
            <wp:cNvGraphicFramePr>
              <a:graphicFrameLocks/>
            </wp:cNvGraphicFramePr>
            <a:graphic>
              <a:graphicData uri="http://schemas.openxmlformats.org/drawingml/2006/picture">
                <pic:pic>
                  <pic:nvPicPr>
                    <pic:cNvPr id="2422" name="Image 2422"/>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PERCENTILE</w:t>
      </w:r>
    </w:p>
    <w:p>
      <w:pPr>
        <w:pStyle w:val="BodyText"/>
        <w:spacing w:line="213" w:lineRule="auto" w:before="9"/>
        <w:ind w:left="3190" w:right="385"/>
      </w:pPr>
      <w:r>
        <w:rPr>
          <w:color w:val="231F20"/>
        </w:rPr>
        <w:t>For the selected attribute, find the value below which NUM percent of </w:t>
      </w:r>
      <w:r>
        <w:rPr>
          <w:color w:val="231F20"/>
        </w:rPr>
        <w:t>the data points fall; where NUM is the value from the </w:t>
      </w:r>
      <w:r>
        <w:rPr>
          <w:rFonts w:ascii="Book Antiqua"/>
          <w:b/>
          <w:color w:val="231F20"/>
        </w:rPr>
        <w:t>Argument </w:t>
      </w:r>
      <w:r>
        <w:rPr>
          <w:color w:val="231F20"/>
        </w:rPr>
        <w:t>field. Valid values are 1 to 100.</w:t>
      </w:r>
    </w:p>
    <w:p>
      <w:pPr>
        <w:pStyle w:val="Heading6"/>
        <w:spacing w:line="227" w:lineRule="exact" w:before="121"/>
      </w:pPr>
      <w:r>
        <w:rPr>
          <w:b w:val="0"/>
        </w:rPr>
        <w:drawing>
          <wp:inline distT="0" distB="0" distL="0" distR="0">
            <wp:extent cx="82550" cy="82550"/>
            <wp:effectExtent l="0" t="0" r="0" b="0"/>
            <wp:docPr id="2423" name="Image 2423"/>
            <wp:cNvGraphicFramePr>
              <a:graphicFrameLocks/>
            </wp:cNvGraphicFramePr>
            <a:graphic>
              <a:graphicData uri="http://schemas.openxmlformats.org/drawingml/2006/picture">
                <pic:pic>
                  <pic:nvPicPr>
                    <pic:cNvPr id="2423" name="Image 2423"/>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MODE</w:t>
      </w:r>
    </w:p>
    <w:p>
      <w:pPr>
        <w:pStyle w:val="BodyText"/>
        <w:spacing w:line="213" w:lineRule="auto" w:before="9"/>
        <w:ind w:left="3190" w:right="274"/>
      </w:pPr>
      <w:r>
        <w:rPr>
          <w:color w:val="231F20"/>
        </w:rPr>
        <w:t>For the selected attribute, find the most frequently observed value </w:t>
      </w:r>
      <w:r>
        <w:rPr>
          <w:color w:val="231F20"/>
        </w:rPr>
        <w:t>within the time period. No argument is entered for a MODE calculation.</w:t>
      </w:r>
    </w:p>
    <w:p>
      <w:pPr>
        <w:spacing w:after="0" w:line="213" w:lineRule="auto"/>
        <w:sectPr>
          <w:type w:val="continuous"/>
          <w:pgSz w:w="12240" w:h="15840"/>
          <w:pgMar w:header="0" w:footer="736" w:top="0" w:bottom="4660" w:left="1000" w:right="1060"/>
        </w:sectPr>
      </w:pPr>
    </w:p>
    <w:p>
      <w:pPr>
        <w:pStyle w:val="Heading6"/>
        <w:spacing w:before="83"/>
        <w:ind w:left="2252"/>
      </w:pPr>
      <w:r>
        <w:rPr>
          <w:b w:val="0"/>
          <w:position w:val="-1"/>
        </w:rPr>
        <w:drawing>
          <wp:inline distT="0" distB="0" distL="0" distR="0">
            <wp:extent cx="82550" cy="95250"/>
            <wp:effectExtent l="0" t="0" r="0" b="0"/>
            <wp:docPr id="2424" name="Image 2424"/>
            <wp:cNvGraphicFramePr>
              <a:graphicFrameLocks/>
            </wp:cNvGraphicFramePr>
            <a:graphic>
              <a:graphicData uri="http://schemas.openxmlformats.org/drawingml/2006/picture">
                <pic:pic>
                  <pic:nvPicPr>
                    <pic:cNvPr id="2424" name="Image 2424"/>
                    <pic:cNvPicPr/>
                  </pic:nvPicPr>
                  <pic:blipFill>
                    <a:blip r:embed="rId332"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rPr>
        <w:t> </w:t>
      </w:r>
      <w:r>
        <w:rPr>
          <w:color w:val="231F20"/>
        </w:rPr>
        <w:t>Copy</w:t>
      </w:r>
    </w:p>
    <w:p>
      <w:pPr>
        <w:pStyle w:val="BodyText"/>
        <w:spacing w:line="213" w:lineRule="auto" w:before="12"/>
        <w:ind w:left="2951" w:right="636"/>
      </w:pPr>
      <w:r>
        <w:rPr>
          <w:color w:val="231F20"/>
        </w:rPr>
        <w:t>Add the value from the </w:t>
      </w:r>
      <w:r>
        <w:rPr>
          <w:rFonts w:ascii="Book Antiqua"/>
          <w:b/>
          <w:color w:val="231F20"/>
        </w:rPr>
        <w:t>Result </w:t>
      </w:r>
      <w:r>
        <w:rPr>
          <w:color w:val="231F20"/>
        </w:rPr>
        <w:t>cell to the selected cell in the </w:t>
      </w:r>
      <w:r>
        <w:rPr>
          <w:color w:val="231F20"/>
        </w:rPr>
        <w:t>Attributes </w:t>
      </w:r>
      <w:r>
        <w:rPr>
          <w:color w:val="231F20"/>
          <w:spacing w:val="-2"/>
        </w:rPr>
        <w:t>area.</w:t>
      </w:r>
    </w:p>
    <w:p>
      <w:pPr>
        <w:pStyle w:val="Heading6"/>
        <w:spacing w:line="232" w:lineRule="exact"/>
        <w:ind w:left="2242"/>
      </w:pPr>
      <w:r>
        <w:rPr>
          <w:b w:val="0"/>
          <w:position w:val="-1"/>
        </w:rPr>
        <w:drawing>
          <wp:inline distT="0" distB="0" distL="0" distR="0">
            <wp:extent cx="95250" cy="101600"/>
            <wp:effectExtent l="0" t="0" r="0" b="0"/>
            <wp:docPr id="2425" name="Image 2425"/>
            <wp:cNvGraphicFramePr>
              <a:graphicFrameLocks/>
            </wp:cNvGraphicFramePr>
            <a:graphic>
              <a:graphicData uri="http://schemas.openxmlformats.org/drawingml/2006/picture">
                <pic:pic>
                  <pic:nvPicPr>
                    <pic:cNvPr id="2425" name="Image 2425"/>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Chart</w:t>
      </w:r>
      <w:r>
        <w:rPr>
          <w:color w:val="231F20"/>
          <w:spacing w:val="18"/>
        </w:rPr>
        <w:t> </w:t>
      </w:r>
      <w:r>
        <w:rPr>
          <w:color w:val="231F20"/>
        </w:rPr>
        <w:t>options</w:t>
      </w:r>
    </w:p>
    <w:p>
      <w:pPr>
        <w:spacing w:line="211" w:lineRule="auto" w:before="16"/>
        <w:ind w:left="2951" w:right="545" w:firstLine="0"/>
        <w:jc w:val="left"/>
        <w:rPr>
          <w:sz w:val="20"/>
        </w:rPr>
      </w:pPr>
      <w:r>
        <w:rPr>
          <w:color w:val="231F20"/>
          <w:sz w:val="20"/>
        </w:rPr>
        <w:t>Modify the appearance of the threshold: </w:t>
      </w:r>
      <w:r>
        <w:rPr>
          <w:color w:val="231F20"/>
          <w:spacing w:val="15"/>
          <w:sz w:val="20"/>
        </w:rPr>
        <w:drawing>
          <wp:inline distT="0" distB="0" distL="0" distR="0">
            <wp:extent cx="82550" cy="82550"/>
            <wp:effectExtent l="0" t="0" r="0" b="0"/>
            <wp:docPr id="2426" name="Image 2426"/>
            <wp:cNvGraphicFramePr>
              <a:graphicFrameLocks/>
            </wp:cNvGraphicFramePr>
            <a:graphic>
              <a:graphicData uri="http://schemas.openxmlformats.org/drawingml/2006/picture">
                <pic:pic>
                  <pic:nvPicPr>
                    <pic:cNvPr id="2426" name="Image 2426"/>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Visible in legend </w:t>
      </w:r>
      <w:r>
        <w:rPr>
          <w:color w:val="231F20"/>
          <w:sz w:val="20"/>
        </w:rPr>
        <w:t>to add </w:t>
      </w:r>
      <w:r>
        <w:rPr>
          <w:rFonts w:ascii="Book Antiqua"/>
          <w:b/>
          <w:color w:val="231F20"/>
          <w:sz w:val="20"/>
        </w:rPr>
        <w:t>Threshold </w:t>
      </w:r>
      <w:r>
        <w:rPr>
          <w:color w:val="231F20"/>
          <w:sz w:val="20"/>
        </w:rPr>
        <w:t>to the legend, </w:t>
      </w:r>
      <w:r>
        <w:rPr>
          <w:color w:val="231F20"/>
          <w:spacing w:val="16"/>
          <w:sz w:val="20"/>
        </w:rPr>
        <w:drawing>
          <wp:inline distT="0" distB="0" distL="0" distR="0">
            <wp:extent cx="82550" cy="82550"/>
            <wp:effectExtent l="0" t="0" r="0" b="0"/>
            <wp:docPr id="2427" name="Image 2427"/>
            <wp:cNvGraphicFramePr>
              <a:graphicFrameLocks/>
            </wp:cNvGraphicFramePr>
            <a:graphic>
              <a:graphicData uri="http://schemas.openxmlformats.org/drawingml/2006/picture">
                <pic:pic>
                  <pic:nvPicPr>
                    <pic:cNvPr id="2427" name="Image 242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Show chart label </w:t>
      </w:r>
      <w:r>
        <w:rPr>
          <w:color w:val="231F20"/>
          <w:sz w:val="20"/>
        </w:rPr>
        <w:t>to add a threshold label, and </w:t>
      </w:r>
      <w:r>
        <w:rPr>
          <w:rFonts w:ascii="Book Antiqua"/>
          <w:b/>
          <w:color w:val="231F20"/>
          <w:sz w:val="20"/>
        </w:rPr>
        <w:t>Fill Style </w:t>
      </w:r>
      <w:r>
        <w:rPr>
          <w:color w:val="231F20"/>
          <w:sz w:val="20"/>
        </w:rPr>
        <w:t>to change the threshold pattern or color. Click </w:t>
      </w:r>
      <w:r>
        <w:rPr>
          <w:rFonts w:ascii="Book Antiqua"/>
          <w:b/>
          <w:color w:val="231F20"/>
          <w:sz w:val="20"/>
        </w:rPr>
        <w:t>Custom Colors </w:t>
      </w:r>
      <w:r>
        <w:rPr>
          <w:color w:val="231F20"/>
          <w:sz w:val="20"/>
        </w:rPr>
        <w:t>to choose from a wider selection of colors or to create your own.</w:t>
      </w:r>
    </w:p>
    <w:p>
      <w:pPr>
        <w:pStyle w:val="Heading4"/>
        <w:spacing w:before="202"/>
      </w:pPr>
      <w:r>
        <w:rPr>
          <w:color w:val="231F20"/>
        </w:rPr>
        <w:t>Time</w:t>
      </w:r>
      <w:r>
        <w:rPr>
          <w:color w:val="231F20"/>
          <w:spacing w:val="2"/>
        </w:rPr>
        <w:t> </w:t>
      </w:r>
      <w:r>
        <w:rPr>
          <w:color w:val="231F20"/>
          <w:spacing w:val="-4"/>
        </w:rPr>
        <w:t>Span</w:t>
      </w:r>
    </w:p>
    <w:p>
      <w:pPr>
        <w:pStyle w:val="BodyText"/>
        <w:spacing w:line="213" w:lineRule="auto" w:before="241"/>
        <w:ind w:left="2232" w:right="493"/>
      </w:pPr>
      <w:r>
        <w:rPr>
          <w:color w:val="231F20"/>
        </w:rPr>
        <w:t>This area is displayed when the attribute group used in the view or situation has historically collected values. The </w:t>
      </w:r>
      <w:r>
        <w:rPr>
          <w:rFonts w:ascii="Book Antiqua"/>
          <w:b/>
          <w:color w:val="231F20"/>
        </w:rPr>
        <w:t>Last </w:t>
      </w:r>
      <w:r>
        <w:rPr>
          <w:color w:val="231F20"/>
        </w:rPr>
        <w:t>24 Hours is shown by default.</w:t>
      </w:r>
    </w:p>
    <w:p>
      <w:pPr>
        <w:pStyle w:val="BodyText"/>
        <w:tabs>
          <w:tab w:pos="2951" w:val="left" w:leader="none"/>
        </w:tabs>
        <w:spacing w:line="213" w:lineRule="auto" w:before="119"/>
        <w:ind w:left="2951" w:right="763" w:hanging="719"/>
      </w:pPr>
      <w:r>
        <w:rPr>
          <w:rFonts w:ascii="Book Antiqua"/>
          <w:b/>
          <w:color w:val="231F20"/>
          <w:spacing w:val="-4"/>
        </w:rPr>
        <w:t>Last</w:t>
      </w:r>
      <w:r>
        <w:rPr>
          <w:rFonts w:ascii="Book Antiqua"/>
          <w:b/>
          <w:color w:val="231F20"/>
        </w:rPr>
        <w:tab/>
      </w:r>
      <w:r>
        <w:rPr>
          <w:color w:val="231F20"/>
        </w:rPr>
        <w:t>You can change from the default 24 hours to a different value or unit of time (Hours, Days, Weeks, Months, Quarters, Years).</w:t>
      </w:r>
    </w:p>
    <w:p>
      <w:pPr>
        <w:pStyle w:val="BodyText"/>
        <w:spacing w:line="255" w:lineRule="exact" w:before="95"/>
        <w:ind w:left="2951"/>
      </w:pPr>
      <w:r>
        <w:rPr>
          <w:color w:val="231F20"/>
        </w:rPr>
        <w:t>The</w:t>
      </w:r>
      <w:r>
        <w:rPr>
          <w:color w:val="231F20"/>
          <w:spacing w:val="10"/>
        </w:rPr>
        <w:t> </w:t>
      </w:r>
      <w:r>
        <w:rPr>
          <w:rFonts w:ascii="Book Antiqua"/>
          <w:b/>
          <w:color w:val="231F20"/>
        </w:rPr>
        <w:t>Time</w:t>
      </w:r>
      <w:r>
        <w:rPr>
          <w:rFonts w:ascii="Book Antiqua"/>
          <w:b/>
          <w:color w:val="231F20"/>
          <w:spacing w:val="11"/>
        </w:rPr>
        <w:t> </w:t>
      </w:r>
      <w:r>
        <w:rPr>
          <w:rFonts w:ascii="Book Antiqua"/>
          <w:b/>
          <w:color w:val="231F20"/>
        </w:rPr>
        <w:t>Column</w:t>
      </w:r>
      <w:r>
        <w:rPr>
          <w:rFonts w:ascii="Book Antiqua"/>
          <w:b/>
          <w:color w:val="231F20"/>
          <w:spacing w:val="10"/>
        </w:rPr>
        <w:t> </w:t>
      </w:r>
      <w:r>
        <w:rPr>
          <w:color w:val="231F20"/>
        </w:rPr>
        <w:t>field</w:t>
      </w:r>
      <w:r>
        <w:rPr>
          <w:color w:val="231F20"/>
          <w:spacing w:val="11"/>
        </w:rPr>
        <w:t> </w:t>
      </w:r>
      <w:r>
        <w:rPr>
          <w:color w:val="231F20"/>
        </w:rPr>
        <w:t>shows</w:t>
      </w:r>
      <w:r>
        <w:rPr>
          <w:color w:val="231F20"/>
          <w:spacing w:val="10"/>
        </w:rPr>
        <w:t> </w:t>
      </w:r>
      <w:r>
        <w:rPr>
          <w:color w:val="231F20"/>
        </w:rPr>
        <w:t>the</w:t>
      </w:r>
      <w:r>
        <w:rPr>
          <w:color w:val="231F20"/>
          <w:spacing w:val="11"/>
        </w:rPr>
        <w:t> </w:t>
      </w:r>
      <w:r>
        <w:rPr>
          <w:color w:val="231F20"/>
        </w:rPr>
        <w:t>attribute</w:t>
      </w:r>
      <w:r>
        <w:rPr>
          <w:color w:val="231F20"/>
          <w:spacing w:val="10"/>
        </w:rPr>
        <w:t> </w:t>
      </w:r>
      <w:r>
        <w:rPr>
          <w:color w:val="231F20"/>
        </w:rPr>
        <w:t>for</w:t>
      </w:r>
      <w:r>
        <w:rPr>
          <w:color w:val="231F20"/>
          <w:spacing w:val="11"/>
        </w:rPr>
        <w:t> </w:t>
      </w:r>
      <w:r>
        <w:rPr>
          <w:color w:val="231F20"/>
        </w:rPr>
        <w:t>the</w:t>
      </w:r>
      <w:r>
        <w:rPr>
          <w:color w:val="231F20"/>
          <w:spacing w:val="10"/>
        </w:rPr>
        <w:t> </w:t>
      </w:r>
      <w:r>
        <w:rPr>
          <w:color w:val="231F20"/>
        </w:rPr>
        <w:t>time</w:t>
      </w:r>
      <w:r>
        <w:rPr>
          <w:color w:val="231F20"/>
          <w:spacing w:val="11"/>
        </w:rPr>
        <w:t> </w:t>
      </w:r>
      <w:r>
        <w:rPr>
          <w:color w:val="231F20"/>
        </w:rPr>
        <w:t>stamp,</w:t>
      </w:r>
      <w:r>
        <w:rPr>
          <w:color w:val="231F20"/>
          <w:spacing w:val="10"/>
        </w:rPr>
        <w:t> </w:t>
      </w:r>
      <w:r>
        <w:rPr>
          <w:color w:val="231F20"/>
        </w:rPr>
        <w:t>such</w:t>
      </w:r>
      <w:r>
        <w:rPr>
          <w:color w:val="231F20"/>
          <w:spacing w:val="11"/>
        </w:rPr>
        <w:t> </w:t>
      </w:r>
      <w:r>
        <w:rPr>
          <w:color w:val="231F20"/>
          <w:spacing w:val="-5"/>
        </w:rPr>
        <w:t>as</w:t>
      </w:r>
    </w:p>
    <w:p>
      <w:pPr>
        <w:pStyle w:val="Heading6"/>
        <w:spacing w:line="255" w:lineRule="exact" w:before="0"/>
        <w:ind w:left="2951"/>
        <w:rPr>
          <w:rFonts w:ascii="Palatino Linotype"/>
          <w:b w:val="0"/>
        </w:rPr>
      </w:pPr>
      <w:r>
        <w:rPr>
          <w:color w:val="231F20"/>
        </w:rPr>
        <w:t>Recording</w:t>
      </w:r>
      <w:r>
        <w:rPr>
          <w:color w:val="231F20"/>
          <w:spacing w:val="6"/>
        </w:rPr>
        <w:t> </w:t>
      </w:r>
      <w:r>
        <w:rPr>
          <w:color w:val="231F20"/>
          <w:spacing w:val="-4"/>
        </w:rPr>
        <w:t>Time</w:t>
      </w:r>
      <w:r>
        <w:rPr>
          <w:rFonts w:ascii="Palatino Linotype"/>
          <w:b w:val="0"/>
          <w:color w:val="231F20"/>
          <w:spacing w:val="-4"/>
        </w:rPr>
        <w:t>.</w:t>
      </w:r>
    </w:p>
    <w:p>
      <w:pPr>
        <w:spacing w:line="229" w:lineRule="exact" w:before="111"/>
        <w:ind w:left="2232" w:right="0" w:firstLine="0"/>
        <w:jc w:val="left"/>
        <w:rPr>
          <w:rFonts w:ascii="Book Antiqua"/>
          <w:b/>
          <w:sz w:val="20"/>
        </w:rPr>
      </w:pPr>
      <w:r>
        <w:rPr>
          <w:rFonts w:ascii="Book Antiqua"/>
          <w:b/>
          <w:color w:val="231F20"/>
          <w:spacing w:val="-2"/>
          <w:sz w:val="20"/>
        </w:rPr>
        <w:t>Custom</w:t>
      </w:r>
    </w:p>
    <w:p>
      <w:pPr>
        <w:pStyle w:val="BodyText"/>
        <w:spacing w:line="213" w:lineRule="auto" w:before="12"/>
        <w:ind w:left="2951" w:right="700"/>
      </w:pPr>
      <w:r>
        <w:rPr>
          <w:color w:val="231F20"/>
        </w:rPr>
        <w:t>Use the </w:t>
      </w:r>
      <w:r>
        <w:rPr>
          <w:rFonts w:ascii="Book Antiqua"/>
          <w:b/>
          <w:color w:val="231F20"/>
        </w:rPr>
        <w:t>Custom </w:t>
      </w:r>
      <w:r>
        <w:rPr>
          <w:color w:val="231F20"/>
        </w:rPr>
        <w:t>tab to plot a specific date range or to select a </w:t>
      </w:r>
      <w:r>
        <w:rPr>
          <w:color w:val="231F20"/>
        </w:rPr>
        <w:t>different time attribute.</w:t>
      </w:r>
    </w:p>
    <w:p>
      <w:pPr>
        <w:spacing w:line="360" w:lineRule="atLeast" w:before="5"/>
        <w:ind w:left="2951" w:right="493" w:firstLine="0"/>
        <w:jc w:val="left"/>
        <w:rPr>
          <w:sz w:val="20"/>
        </w:rPr>
      </w:pPr>
      <w:r>
        <w:rPr>
          <w:color w:val="231F20"/>
          <w:sz w:val="20"/>
        </w:rPr>
        <w:t>Click inside the </w:t>
      </w:r>
      <w:r>
        <w:rPr>
          <w:rFonts w:ascii="Book Antiqua"/>
          <w:b/>
          <w:color w:val="231F20"/>
          <w:sz w:val="20"/>
        </w:rPr>
        <w:t>Start Time </w:t>
      </w:r>
      <w:r>
        <w:rPr>
          <w:color w:val="231F20"/>
          <w:sz w:val="20"/>
        </w:rPr>
        <w:t>and </w:t>
      </w:r>
      <w:r>
        <w:rPr>
          <w:rFonts w:ascii="Book Antiqua"/>
          <w:b/>
          <w:color w:val="231F20"/>
          <w:sz w:val="20"/>
        </w:rPr>
        <w:t>End Time </w:t>
      </w:r>
      <w:r>
        <w:rPr>
          <w:color w:val="231F20"/>
          <w:sz w:val="20"/>
        </w:rPr>
        <w:t>fields to select a date and </w:t>
      </w:r>
      <w:r>
        <w:rPr>
          <w:color w:val="231F20"/>
          <w:sz w:val="20"/>
        </w:rPr>
        <w:t>time. The </w:t>
      </w:r>
      <w:r>
        <w:rPr>
          <w:rFonts w:ascii="Book Antiqua"/>
          <w:b/>
          <w:color w:val="231F20"/>
          <w:sz w:val="20"/>
        </w:rPr>
        <w:t>Time Column </w:t>
      </w:r>
      <w:r>
        <w:rPr>
          <w:color w:val="231F20"/>
          <w:sz w:val="20"/>
        </w:rPr>
        <w:t>field shows the attribute for the time stamp, such as</w:t>
      </w:r>
    </w:p>
    <w:p>
      <w:pPr>
        <w:pStyle w:val="Heading6"/>
        <w:spacing w:line="239" w:lineRule="exact" w:before="0"/>
        <w:ind w:left="2951"/>
        <w:rPr>
          <w:rFonts w:ascii="Palatino Linotype"/>
          <w:b w:val="0"/>
        </w:rPr>
      </w:pPr>
      <w:r>
        <w:rPr>
          <w:color w:val="231F20"/>
        </w:rPr>
        <w:t>Recording</w:t>
      </w:r>
      <w:r>
        <w:rPr>
          <w:color w:val="231F20"/>
          <w:spacing w:val="6"/>
        </w:rPr>
        <w:t> </w:t>
      </w:r>
      <w:r>
        <w:rPr>
          <w:color w:val="231F20"/>
          <w:spacing w:val="-4"/>
        </w:rPr>
        <w:t>Time</w:t>
      </w:r>
      <w:r>
        <w:rPr>
          <w:rFonts w:ascii="Palatino Linotype"/>
          <w:b w:val="0"/>
          <w:color w:val="231F20"/>
          <w:spacing w:val="-4"/>
        </w:rPr>
        <w:t>.</w:t>
      </w:r>
    </w:p>
    <w:p>
      <w:pPr>
        <w:tabs>
          <w:tab w:pos="2951" w:val="left" w:leader="none"/>
        </w:tabs>
        <w:spacing w:before="89"/>
        <w:ind w:left="2232" w:right="0" w:firstLine="0"/>
        <w:jc w:val="left"/>
        <w:rPr>
          <w:sz w:val="20"/>
        </w:rPr>
      </w:pPr>
      <w:r>
        <w:rPr>
          <w:rFonts w:ascii="Book Antiqua"/>
          <w:b/>
          <w:color w:val="231F20"/>
          <w:spacing w:val="-2"/>
          <w:sz w:val="20"/>
        </w:rPr>
        <w:t>Daily</w:t>
      </w:r>
      <w:r>
        <w:rPr>
          <w:rFonts w:ascii="Book Antiqua"/>
          <w:b/>
          <w:color w:val="231F20"/>
          <w:sz w:val="20"/>
        </w:rPr>
        <w:tab/>
      </w:r>
      <w:r>
        <w:rPr>
          <w:color w:val="231F20"/>
          <w:sz w:val="20"/>
        </w:rPr>
        <w:t>Use</w:t>
      </w:r>
      <w:r>
        <w:rPr>
          <w:color w:val="231F20"/>
          <w:spacing w:val="12"/>
          <w:sz w:val="20"/>
        </w:rPr>
        <w:t> </w:t>
      </w:r>
      <w:r>
        <w:rPr>
          <w:color w:val="231F20"/>
          <w:sz w:val="20"/>
        </w:rPr>
        <w:t>the</w:t>
      </w:r>
      <w:r>
        <w:rPr>
          <w:color w:val="231F20"/>
          <w:spacing w:val="13"/>
          <w:sz w:val="20"/>
        </w:rPr>
        <w:t> </w:t>
      </w:r>
      <w:r>
        <w:rPr>
          <w:rFonts w:ascii="Book Antiqua"/>
          <w:b/>
          <w:color w:val="231F20"/>
          <w:sz w:val="20"/>
        </w:rPr>
        <w:t>Daily</w:t>
      </w:r>
      <w:r>
        <w:rPr>
          <w:rFonts w:ascii="Book Antiqua"/>
          <w:b/>
          <w:color w:val="231F20"/>
          <w:spacing w:val="12"/>
          <w:sz w:val="20"/>
        </w:rPr>
        <w:t> </w:t>
      </w:r>
      <w:r>
        <w:rPr>
          <w:color w:val="231F20"/>
          <w:sz w:val="20"/>
        </w:rPr>
        <w:t>tab</w:t>
      </w:r>
      <w:r>
        <w:rPr>
          <w:color w:val="231F20"/>
          <w:spacing w:val="13"/>
          <w:sz w:val="20"/>
        </w:rPr>
        <w:t> </w:t>
      </w:r>
      <w:r>
        <w:rPr>
          <w:color w:val="231F20"/>
          <w:sz w:val="20"/>
        </w:rPr>
        <w:t>to</w:t>
      </w:r>
      <w:r>
        <w:rPr>
          <w:color w:val="231F20"/>
          <w:spacing w:val="12"/>
          <w:sz w:val="20"/>
        </w:rPr>
        <w:t> </w:t>
      </w:r>
      <w:r>
        <w:rPr>
          <w:color w:val="231F20"/>
          <w:sz w:val="20"/>
        </w:rPr>
        <w:t>plot</w:t>
      </w:r>
      <w:r>
        <w:rPr>
          <w:color w:val="231F20"/>
          <w:spacing w:val="13"/>
          <w:sz w:val="20"/>
        </w:rPr>
        <w:t> </w:t>
      </w:r>
      <w:r>
        <w:rPr>
          <w:color w:val="231F20"/>
          <w:sz w:val="20"/>
        </w:rPr>
        <w:t>a</w:t>
      </w:r>
      <w:r>
        <w:rPr>
          <w:color w:val="231F20"/>
          <w:spacing w:val="13"/>
          <w:sz w:val="20"/>
        </w:rPr>
        <w:t> </w:t>
      </w:r>
      <w:r>
        <w:rPr>
          <w:color w:val="231F20"/>
          <w:sz w:val="20"/>
        </w:rPr>
        <w:t>specific</w:t>
      </w:r>
      <w:r>
        <w:rPr>
          <w:color w:val="231F20"/>
          <w:spacing w:val="12"/>
          <w:sz w:val="20"/>
        </w:rPr>
        <w:t> </w:t>
      </w:r>
      <w:r>
        <w:rPr>
          <w:color w:val="231F20"/>
          <w:sz w:val="20"/>
        </w:rPr>
        <w:t>time</w:t>
      </w:r>
      <w:r>
        <w:rPr>
          <w:color w:val="231F20"/>
          <w:spacing w:val="13"/>
          <w:sz w:val="20"/>
        </w:rPr>
        <w:t> </w:t>
      </w:r>
      <w:r>
        <w:rPr>
          <w:color w:val="231F20"/>
          <w:spacing w:val="-2"/>
          <w:sz w:val="20"/>
        </w:rPr>
        <w:t>range.</w:t>
      </w:r>
    </w:p>
    <w:p>
      <w:pPr>
        <w:spacing w:before="89"/>
        <w:ind w:left="2951" w:right="0" w:firstLine="0"/>
        <w:jc w:val="left"/>
        <w:rPr>
          <w:sz w:val="20"/>
        </w:rPr>
      </w:pPr>
      <w:r>
        <w:rPr>
          <w:color w:val="231F20"/>
          <w:sz w:val="20"/>
        </w:rPr>
        <w:t>Click</w:t>
      </w:r>
      <w:r>
        <w:rPr>
          <w:color w:val="231F20"/>
          <w:spacing w:val="10"/>
          <w:sz w:val="20"/>
        </w:rPr>
        <w:t> </w:t>
      </w:r>
      <w:r>
        <w:rPr>
          <w:color w:val="231F20"/>
          <w:sz w:val="20"/>
        </w:rPr>
        <w:t>inside</w:t>
      </w:r>
      <w:r>
        <w:rPr>
          <w:color w:val="231F20"/>
          <w:spacing w:val="11"/>
          <w:sz w:val="20"/>
        </w:rPr>
        <w:t> </w:t>
      </w:r>
      <w:r>
        <w:rPr>
          <w:color w:val="231F20"/>
          <w:sz w:val="20"/>
        </w:rPr>
        <w:t>the</w:t>
      </w:r>
      <w:r>
        <w:rPr>
          <w:color w:val="231F20"/>
          <w:spacing w:val="10"/>
          <w:sz w:val="20"/>
        </w:rPr>
        <w:t> </w:t>
      </w:r>
      <w:r>
        <w:rPr>
          <w:rFonts w:ascii="Book Antiqua"/>
          <w:b/>
          <w:color w:val="231F20"/>
          <w:sz w:val="20"/>
        </w:rPr>
        <w:t>Start</w:t>
      </w:r>
      <w:r>
        <w:rPr>
          <w:rFonts w:ascii="Book Antiqua"/>
          <w:b/>
          <w:color w:val="231F20"/>
          <w:spacing w:val="11"/>
          <w:sz w:val="20"/>
        </w:rPr>
        <w:t> </w:t>
      </w:r>
      <w:r>
        <w:rPr>
          <w:rFonts w:ascii="Book Antiqua"/>
          <w:b/>
          <w:color w:val="231F20"/>
          <w:sz w:val="20"/>
        </w:rPr>
        <w:t>Time</w:t>
      </w:r>
      <w:r>
        <w:rPr>
          <w:rFonts w:ascii="Book Antiqua"/>
          <w:b/>
          <w:color w:val="231F20"/>
          <w:spacing w:val="11"/>
          <w:sz w:val="20"/>
        </w:rPr>
        <w:t> </w:t>
      </w:r>
      <w:r>
        <w:rPr>
          <w:color w:val="231F20"/>
          <w:sz w:val="20"/>
        </w:rPr>
        <w:t>and</w:t>
      </w:r>
      <w:r>
        <w:rPr>
          <w:color w:val="231F20"/>
          <w:spacing w:val="10"/>
          <w:sz w:val="20"/>
        </w:rPr>
        <w:t> </w:t>
      </w:r>
      <w:r>
        <w:rPr>
          <w:rFonts w:ascii="Book Antiqua"/>
          <w:b/>
          <w:color w:val="231F20"/>
          <w:sz w:val="20"/>
        </w:rPr>
        <w:t>End</w:t>
      </w:r>
      <w:r>
        <w:rPr>
          <w:rFonts w:ascii="Book Antiqua"/>
          <w:b/>
          <w:color w:val="231F20"/>
          <w:spacing w:val="11"/>
          <w:sz w:val="20"/>
        </w:rPr>
        <w:t> </w:t>
      </w:r>
      <w:r>
        <w:rPr>
          <w:rFonts w:ascii="Book Antiqua"/>
          <w:b/>
          <w:color w:val="231F20"/>
          <w:sz w:val="20"/>
        </w:rPr>
        <w:t>Time</w:t>
      </w:r>
      <w:r>
        <w:rPr>
          <w:rFonts w:ascii="Book Antiqua"/>
          <w:b/>
          <w:color w:val="231F20"/>
          <w:spacing w:val="10"/>
          <w:sz w:val="20"/>
        </w:rPr>
        <w:t> </w:t>
      </w:r>
      <w:r>
        <w:rPr>
          <w:color w:val="231F20"/>
          <w:sz w:val="20"/>
        </w:rPr>
        <w:t>fields</w:t>
      </w:r>
      <w:r>
        <w:rPr>
          <w:color w:val="231F20"/>
          <w:spacing w:val="11"/>
          <w:sz w:val="20"/>
        </w:rPr>
        <w:t> </w:t>
      </w:r>
      <w:r>
        <w:rPr>
          <w:color w:val="231F20"/>
          <w:sz w:val="20"/>
        </w:rPr>
        <w:t>to</w:t>
      </w:r>
      <w:r>
        <w:rPr>
          <w:color w:val="231F20"/>
          <w:spacing w:val="11"/>
          <w:sz w:val="20"/>
        </w:rPr>
        <w:t> </w:t>
      </w:r>
      <w:r>
        <w:rPr>
          <w:color w:val="231F20"/>
          <w:sz w:val="20"/>
        </w:rPr>
        <w:t>select</w:t>
      </w:r>
      <w:r>
        <w:rPr>
          <w:color w:val="231F20"/>
          <w:spacing w:val="10"/>
          <w:sz w:val="20"/>
        </w:rPr>
        <w:t> </w:t>
      </w:r>
      <w:r>
        <w:rPr>
          <w:color w:val="231F20"/>
          <w:sz w:val="20"/>
        </w:rPr>
        <w:t>a</w:t>
      </w:r>
      <w:r>
        <w:rPr>
          <w:color w:val="231F20"/>
          <w:spacing w:val="11"/>
          <w:sz w:val="20"/>
        </w:rPr>
        <w:t> </w:t>
      </w:r>
      <w:r>
        <w:rPr>
          <w:color w:val="231F20"/>
          <w:sz w:val="20"/>
        </w:rPr>
        <w:t>date</w:t>
      </w:r>
      <w:r>
        <w:rPr>
          <w:color w:val="231F20"/>
          <w:spacing w:val="11"/>
          <w:sz w:val="20"/>
        </w:rPr>
        <w:t> </w:t>
      </w:r>
      <w:r>
        <w:rPr>
          <w:color w:val="231F20"/>
          <w:sz w:val="20"/>
        </w:rPr>
        <w:t>and</w:t>
      </w:r>
      <w:r>
        <w:rPr>
          <w:color w:val="231F20"/>
          <w:spacing w:val="10"/>
          <w:sz w:val="20"/>
        </w:rPr>
        <w:t> </w:t>
      </w:r>
      <w:r>
        <w:rPr>
          <w:color w:val="231F20"/>
          <w:spacing w:val="-2"/>
          <w:sz w:val="20"/>
        </w:rPr>
        <w:t>time.</w:t>
      </w:r>
    </w:p>
    <w:p>
      <w:pPr>
        <w:spacing w:line="208" w:lineRule="auto" w:before="122"/>
        <w:ind w:left="2951" w:right="493" w:firstLine="0"/>
        <w:jc w:val="left"/>
        <w:rPr>
          <w:sz w:val="20"/>
        </w:rPr>
      </w:pPr>
      <w:r>
        <w:rPr>
          <w:color w:val="231F20"/>
          <w:sz w:val="20"/>
        </w:rPr>
        <w:t>Select the </w:t>
      </w:r>
      <w:r>
        <w:rPr>
          <w:color w:val="231F20"/>
          <w:spacing w:val="16"/>
          <w:sz w:val="20"/>
        </w:rPr>
        <w:drawing>
          <wp:inline distT="0" distB="0" distL="0" distR="0">
            <wp:extent cx="82550" cy="82550"/>
            <wp:effectExtent l="0" t="0" r="0" b="0"/>
            <wp:docPr id="2428" name="Image 2428"/>
            <wp:cNvGraphicFramePr>
              <a:graphicFrameLocks/>
            </wp:cNvGraphicFramePr>
            <a:graphic>
              <a:graphicData uri="http://schemas.openxmlformats.org/drawingml/2006/picture">
                <pic:pic>
                  <pic:nvPicPr>
                    <pic:cNvPr id="2428" name="Image 2428"/>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8"/>
          <w:sz w:val="20"/>
        </w:rPr>
        <w:t> </w:t>
      </w:r>
      <w:r>
        <w:rPr>
          <w:rFonts w:ascii="Book Antiqua"/>
          <w:b/>
          <w:color w:val="231F20"/>
          <w:sz w:val="20"/>
        </w:rPr>
        <w:t>Show data for last </w:t>
      </w:r>
      <w:r>
        <w:rPr>
          <w:rFonts w:ascii="Book Antiqua"/>
          <w:b/>
          <w:color w:val="231F20"/>
          <w:spacing w:val="16"/>
          <w:sz w:val="20"/>
        </w:rPr>
        <w:drawing>
          <wp:inline distT="0" distB="0" distL="0" distR="0">
            <wp:extent cx="158750" cy="82550"/>
            <wp:effectExtent l="0" t="0" r="0" b="0"/>
            <wp:docPr id="2429" name="Image 2429"/>
            <wp:cNvGraphicFramePr>
              <a:graphicFrameLocks/>
            </wp:cNvGraphicFramePr>
            <a:graphic>
              <a:graphicData uri="http://schemas.openxmlformats.org/drawingml/2006/picture">
                <pic:pic>
                  <pic:nvPicPr>
                    <pic:cNvPr id="2429" name="Image 2429"/>
                    <pic:cNvPicPr/>
                  </pic:nvPicPr>
                  <pic:blipFill>
                    <a:blip r:embed="rId192" cstate="print"/>
                    <a:stretch>
                      <a:fillRect/>
                    </a:stretch>
                  </pic:blipFill>
                  <pic:spPr>
                    <a:xfrm>
                      <a:off x="0" y="0"/>
                      <a:ext cx="158750" cy="82550"/>
                    </a:xfrm>
                    <a:prstGeom prst="rect">
                      <a:avLst/>
                    </a:prstGeom>
                  </pic:spPr>
                </pic:pic>
              </a:graphicData>
            </a:graphic>
          </wp:inline>
        </w:drawing>
      </w:r>
      <w:r>
        <w:rPr>
          <w:rFonts w:ascii="Book Antiqua"/>
          <w:b/>
          <w:color w:val="231F20"/>
          <w:spacing w:val="16"/>
          <w:sz w:val="20"/>
        </w:rPr>
      </w:r>
      <w:r>
        <w:rPr>
          <w:rFonts w:ascii="Times New Roman"/>
          <w:color w:val="231F20"/>
          <w:spacing w:val="40"/>
          <w:sz w:val="20"/>
        </w:rPr>
        <w:t> </w:t>
      </w:r>
      <w:r>
        <w:rPr>
          <w:color w:val="231F20"/>
          <w:sz w:val="20"/>
        </w:rPr>
        <w:t>check box and specify the number of days to plot.</w:t>
      </w:r>
    </w:p>
    <w:p>
      <w:pPr>
        <w:pStyle w:val="BodyText"/>
        <w:spacing w:line="211" w:lineRule="auto" w:before="127"/>
        <w:ind w:left="2951" w:right="545"/>
      </w:pPr>
      <w:r>
        <w:rPr>
          <w:color w:val="231F20"/>
        </w:rPr>
        <w:t>Select</w:t>
      </w:r>
      <w:r>
        <w:rPr>
          <w:color w:val="231F20"/>
          <w:spacing w:val="16"/>
        </w:rPr>
        <w:t> </w:t>
      </w:r>
      <w:r>
        <w:rPr>
          <w:color w:val="231F20"/>
          <w:spacing w:val="16"/>
        </w:rPr>
        <w:drawing>
          <wp:inline distT="0" distB="0" distL="0" distR="0">
            <wp:extent cx="88900" cy="82550"/>
            <wp:effectExtent l="0" t="0" r="0" b="0"/>
            <wp:docPr id="2430" name="Image 2430"/>
            <wp:cNvGraphicFramePr>
              <a:graphicFrameLocks/>
            </wp:cNvGraphicFramePr>
            <a:graphic>
              <a:graphicData uri="http://schemas.openxmlformats.org/drawingml/2006/picture">
                <pic:pic>
                  <pic:nvPicPr>
                    <pic:cNvPr id="2430" name="Image 2430"/>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1"/>
        </w:rPr>
        <w:t> </w:t>
      </w:r>
      <w:r>
        <w:rPr>
          <w:rFonts w:ascii="Book Antiqua"/>
          <w:b/>
          <w:color w:val="231F20"/>
        </w:rPr>
        <w:t>calendar</w:t>
      </w:r>
      <w:r>
        <w:rPr>
          <w:rFonts w:ascii="Book Antiqua"/>
          <w:b/>
          <w:color w:val="231F20"/>
          <w:spacing w:val="28"/>
        </w:rPr>
        <w:t> </w:t>
      </w:r>
      <w:r>
        <w:rPr>
          <w:rFonts w:ascii="Book Antiqua"/>
          <w:b/>
          <w:color w:val="231F20"/>
        </w:rPr>
        <w:t>day</w:t>
      </w:r>
      <w:r>
        <w:rPr>
          <w:rFonts w:ascii="Book Antiqua"/>
          <w:b/>
          <w:color w:val="231F20"/>
          <w:spacing w:val="28"/>
        </w:rPr>
        <w:t> </w:t>
      </w:r>
      <w:r>
        <w:rPr>
          <w:color w:val="231F20"/>
        </w:rPr>
        <w:t>to</w:t>
      </w:r>
      <w:r>
        <w:rPr>
          <w:color w:val="231F20"/>
          <w:spacing w:val="28"/>
        </w:rPr>
        <w:t> </w:t>
      </w:r>
      <w:r>
        <w:rPr>
          <w:color w:val="231F20"/>
        </w:rPr>
        <w:t>include</w:t>
      </w:r>
      <w:r>
        <w:rPr>
          <w:color w:val="231F20"/>
          <w:spacing w:val="28"/>
        </w:rPr>
        <w:t> </w:t>
      </w:r>
      <w:r>
        <w:rPr>
          <w:color w:val="231F20"/>
        </w:rPr>
        <w:t>any</w:t>
      </w:r>
      <w:r>
        <w:rPr>
          <w:color w:val="231F20"/>
          <w:spacing w:val="28"/>
        </w:rPr>
        <w:t> </w:t>
      </w:r>
      <w:r>
        <w:rPr>
          <w:color w:val="231F20"/>
        </w:rPr>
        <w:t>weekend</w:t>
      </w:r>
      <w:r>
        <w:rPr>
          <w:color w:val="231F20"/>
          <w:spacing w:val="28"/>
        </w:rPr>
        <w:t> </w:t>
      </w:r>
      <w:r>
        <w:rPr>
          <w:color w:val="231F20"/>
        </w:rPr>
        <w:t>days</w:t>
      </w:r>
      <w:r>
        <w:rPr>
          <w:color w:val="231F20"/>
          <w:spacing w:val="28"/>
        </w:rPr>
        <w:t> </w:t>
      </w:r>
      <w:r>
        <w:rPr>
          <w:color w:val="231F20"/>
        </w:rPr>
        <w:t>that</w:t>
      </w:r>
      <w:r>
        <w:rPr>
          <w:color w:val="231F20"/>
          <w:spacing w:val="28"/>
        </w:rPr>
        <w:t> </w:t>
      </w:r>
      <w:r>
        <w:rPr>
          <w:color w:val="231F20"/>
        </w:rPr>
        <w:t>fall</w:t>
      </w:r>
      <w:r>
        <w:rPr>
          <w:color w:val="231F20"/>
          <w:spacing w:val="28"/>
        </w:rPr>
        <w:t> </w:t>
      </w:r>
      <w:r>
        <w:rPr>
          <w:color w:val="231F20"/>
        </w:rPr>
        <w:t>within</w:t>
      </w:r>
      <w:r>
        <w:rPr>
          <w:color w:val="231F20"/>
          <w:spacing w:val="28"/>
        </w:rPr>
        <w:t> </w:t>
      </w:r>
      <w:r>
        <w:rPr>
          <w:color w:val="231F20"/>
        </w:rPr>
        <w:t>the</w:t>
      </w:r>
      <w:r>
        <w:rPr>
          <w:color w:val="231F20"/>
        </w:rPr>
        <w:t> date range; or </w:t>
      </w:r>
      <w:r>
        <w:rPr>
          <w:color w:val="231F20"/>
          <w:spacing w:val="16"/>
        </w:rPr>
        <w:drawing>
          <wp:inline distT="0" distB="0" distL="0" distR="0">
            <wp:extent cx="88900" cy="82550"/>
            <wp:effectExtent l="0" t="0" r="0" b="0"/>
            <wp:docPr id="2431" name="Image 2431"/>
            <wp:cNvGraphicFramePr>
              <a:graphicFrameLocks/>
            </wp:cNvGraphicFramePr>
            <a:graphic>
              <a:graphicData uri="http://schemas.openxmlformats.org/drawingml/2006/picture">
                <pic:pic>
                  <pic:nvPicPr>
                    <pic:cNvPr id="2431" name="Image 2431"/>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7"/>
        </w:rPr>
        <w:t> </w:t>
      </w:r>
      <w:r>
        <w:rPr>
          <w:rFonts w:ascii="Book Antiqua"/>
          <w:b/>
          <w:color w:val="231F20"/>
        </w:rPr>
        <w:t>weekdays </w:t>
      </w:r>
      <w:r>
        <w:rPr>
          <w:color w:val="231F20"/>
        </w:rPr>
        <w:t>to exclude weekend days. For example, if today</w:t>
      </w:r>
      <w:r>
        <w:rPr>
          <w:color w:val="231F20"/>
          <w:spacing w:val="40"/>
        </w:rPr>
        <w:t> </w:t>
      </w:r>
      <w:r>
        <w:rPr>
          <w:color w:val="231F20"/>
        </w:rPr>
        <w:t>is Monday and you select the last 2 weekdays, Thursday and Friday of the past week are plotted.</w:t>
      </w:r>
    </w:p>
    <w:p>
      <w:pPr>
        <w:spacing w:line="208" w:lineRule="auto" w:before="130"/>
        <w:ind w:left="2951" w:right="545" w:firstLine="0"/>
        <w:jc w:val="left"/>
        <w:rPr>
          <w:sz w:val="20"/>
        </w:rPr>
      </w:pPr>
      <w:r>
        <w:rPr>
          <w:color w:val="231F20"/>
          <w:sz w:val="20"/>
        </w:rPr>
        <w:t>Select the </w:t>
      </w:r>
      <w:r>
        <w:rPr>
          <w:color w:val="231F20"/>
          <w:spacing w:val="16"/>
          <w:sz w:val="20"/>
        </w:rPr>
        <w:drawing>
          <wp:inline distT="0" distB="0" distL="0" distR="0">
            <wp:extent cx="82550" cy="82550"/>
            <wp:effectExtent l="0" t="0" r="0" b="0"/>
            <wp:docPr id="2432" name="Image 2432"/>
            <wp:cNvGraphicFramePr>
              <a:graphicFrameLocks/>
            </wp:cNvGraphicFramePr>
            <a:graphic>
              <a:graphicData uri="http://schemas.openxmlformats.org/drawingml/2006/picture">
                <pic:pic>
                  <pic:nvPicPr>
                    <pic:cNvPr id="2432" name="Image 243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9"/>
          <w:sz w:val="20"/>
        </w:rPr>
        <w:t> </w:t>
      </w:r>
      <w:r>
        <w:rPr>
          <w:rFonts w:ascii="Book Antiqua"/>
          <w:b/>
          <w:color w:val="231F20"/>
          <w:sz w:val="20"/>
        </w:rPr>
        <w:t>Show this day's data </w:t>
      </w:r>
      <w:r>
        <w:rPr>
          <w:color w:val="231F20"/>
          <w:sz w:val="20"/>
        </w:rPr>
        <w:t>check box to select a specific date to plot</w:t>
      </w:r>
      <w:r>
        <w:rPr>
          <w:color w:val="231F20"/>
          <w:spacing w:val="40"/>
          <w:sz w:val="20"/>
        </w:rPr>
        <w:t> </w:t>
      </w:r>
      <w:r>
        <w:rPr>
          <w:color w:val="231F20"/>
          <w:sz w:val="20"/>
        </w:rPr>
        <w:t>within the time range.</w:t>
      </w:r>
    </w:p>
    <w:p>
      <w:pPr>
        <w:pStyle w:val="Heading4"/>
        <w:spacing w:before="202"/>
      </w:pPr>
      <w:r>
        <w:rPr>
          <w:color w:val="231F20"/>
          <w:spacing w:val="-2"/>
        </w:rPr>
        <w:t>Buttons</w:t>
      </w:r>
    </w:p>
    <w:p>
      <w:pPr>
        <w:pStyle w:val="Heading6"/>
        <w:spacing w:before="120"/>
        <w:ind w:left="2232"/>
      </w:pPr>
      <w:r>
        <w:rPr>
          <w:color w:val="231F20"/>
          <w:spacing w:val="-2"/>
        </w:rPr>
        <w:t>Recalculate</w:t>
      </w:r>
    </w:p>
    <w:p>
      <w:pPr>
        <w:pStyle w:val="BodyText"/>
        <w:spacing w:line="213" w:lineRule="auto" w:before="11"/>
        <w:ind w:left="2951" w:right="488"/>
      </w:pPr>
      <w:r>
        <w:rPr>
          <w:color w:val="231F20"/>
        </w:rPr>
        <w:t>Click </w:t>
      </w:r>
      <w:r>
        <w:rPr>
          <w:rFonts w:ascii="Book Antiqua"/>
          <w:b/>
          <w:color w:val="231F20"/>
        </w:rPr>
        <w:t>Recalculate </w:t>
      </w:r>
      <w:r>
        <w:rPr>
          <w:color w:val="231F20"/>
        </w:rPr>
        <w:t>after you have entered an argument for a statistical function</w:t>
      </w:r>
      <w:r>
        <w:rPr>
          <w:color w:val="231F20"/>
          <w:spacing w:val="27"/>
        </w:rPr>
        <w:t> </w:t>
      </w:r>
      <w:r>
        <w:rPr>
          <w:color w:val="231F20"/>
        </w:rPr>
        <w:t>to</w:t>
      </w:r>
      <w:r>
        <w:rPr>
          <w:color w:val="231F20"/>
          <w:spacing w:val="27"/>
        </w:rPr>
        <w:t> </w:t>
      </w:r>
      <w:r>
        <w:rPr>
          <w:color w:val="231F20"/>
        </w:rPr>
        <w:t>see</w:t>
      </w:r>
      <w:r>
        <w:rPr>
          <w:color w:val="231F20"/>
          <w:spacing w:val="27"/>
        </w:rPr>
        <w:t> </w:t>
      </w:r>
      <w:r>
        <w:rPr>
          <w:color w:val="231F20"/>
        </w:rPr>
        <w:t>the</w:t>
      </w:r>
      <w:r>
        <w:rPr>
          <w:color w:val="231F20"/>
          <w:spacing w:val="27"/>
        </w:rPr>
        <w:t> </w:t>
      </w:r>
      <w:r>
        <w:rPr>
          <w:color w:val="231F20"/>
        </w:rPr>
        <w:t>result</w:t>
      </w:r>
      <w:r>
        <w:rPr>
          <w:color w:val="231F20"/>
          <w:spacing w:val="27"/>
        </w:rPr>
        <w:t> </w:t>
      </w:r>
      <w:r>
        <w:rPr>
          <w:color w:val="231F20"/>
        </w:rPr>
        <w:t>in</w:t>
      </w:r>
      <w:r>
        <w:rPr>
          <w:color w:val="231F20"/>
          <w:spacing w:val="27"/>
        </w:rPr>
        <w:t> </w:t>
      </w:r>
      <w:r>
        <w:rPr>
          <w:color w:val="231F20"/>
        </w:rPr>
        <w:t>the</w:t>
      </w:r>
      <w:r>
        <w:rPr>
          <w:color w:val="231F20"/>
          <w:spacing w:val="27"/>
        </w:rPr>
        <w:t> </w:t>
      </w:r>
      <w:r>
        <w:rPr>
          <w:rFonts w:ascii="Book Antiqua"/>
          <w:b/>
          <w:color w:val="231F20"/>
        </w:rPr>
        <w:t>Result</w:t>
      </w:r>
      <w:r>
        <w:rPr>
          <w:rFonts w:ascii="Book Antiqua"/>
          <w:b/>
          <w:color w:val="231F20"/>
          <w:spacing w:val="27"/>
        </w:rPr>
        <w:t> </w:t>
      </w:r>
      <w:r>
        <w:rPr>
          <w:color w:val="231F20"/>
        </w:rPr>
        <w:t>column</w:t>
      </w:r>
      <w:r>
        <w:rPr>
          <w:color w:val="231F20"/>
          <w:spacing w:val="27"/>
        </w:rPr>
        <w:t> </w:t>
      </w:r>
      <w:r>
        <w:rPr>
          <w:color w:val="231F20"/>
        </w:rPr>
        <w:t>and</w:t>
      </w:r>
      <w:r>
        <w:rPr>
          <w:color w:val="231F20"/>
          <w:spacing w:val="27"/>
        </w:rPr>
        <w:t> </w:t>
      </w:r>
      <w:r>
        <w:rPr>
          <w:color w:val="231F20"/>
        </w:rPr>
        <w:t>plotted</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chart. Use this button also to refresh the chart with any changes you make to the time span selection or override key conditions.</w:t>
      </w:r>
    </w:p>
    <w:p>
      <w:pPr>
        <w:pStyle w:val="BodyText"/>
        <w:tabs>
          <w:tab w:pos="2951" w:val="left" w:leader="none"/>
        </w:tabs>
        <w:spacing w:before="94"/>
        <w:ind w:left="2232"/>
      </w:pPr>
      <w:r>
        <w:rPr>
          <w:rFonts w:ascii="Book Antiqua"/>
          <w:b/>
          <w:color w:val="231F20"/>
          <w:spacing w:val="-5"/>
        </w:rPr>
        <w:t>OK</w:t>
      </w:r>
      <w:r>
        <w:rPr>
          <w:rFonts w:ascii="Book Antiqua"/>
          <w:b/>
          <w:color w:val="231F20"/>
        </w:rPr>
        <w:tab/>
      </w:r>
      <w:r>
        <w:rPr>
          <w:color w:val="231F20"/>
        </w:rPr>
        <w:t>Click</w:t>
      </w:r>
      <w:r>
        <w:rPr>
          <w:color w:val="231F20"/>
          <w:spacing w:val="11"/>
        </w:rPr>
        <w:t> </w:t>
      </w:r>
      <w:r>
        <w:rPr>
          <w:rFonts w:ascii="Book Antiqua"/>
          <w:b/>
          <w:color w:val="231F20"/>
        </w:rPr>
        <w:t>OK</w:t>
      </w:r>
      <w:r>
        <w:rPr>
          <w:rFonts w:ascii="Book Antiqua"/>
          <w:b/>
          <w:color w:val="231F20"/>
          <w:spacing w:val="12"/>
        </w:rPr>
        <w:t> </w:t>
      </w:r>
      <w:r>
        <w:rPr>
          <w:color w:val="231F20"/>
        </w:rPr>
        <w:t>to</w:t>
      </w:r>
      <w:r>
        <w:rPr>
          <w:color w:val="231F20"/>
          <w:spacing w:val="12"/>
        </w:rPr>
        <w:t> </w:t>
      </w:r>
      <w:r>
        <w:rPr>
          <w:color w:val="231F20"/>
        </w:rPr>
        <w:t>use</w:t>
      </w:r>
      <w:r>
        <w:rPr>
          <w:color w:val="231F20"/>
          <w:spacing w:val="12"/>
        </w:rPr>
        <w:t> </w:t>
      </w:r>
      <w:r>
        <w:rPr>
          <w:color w:val="231F20"/>
        </w:rPr>
        <w:t>the</w:t>
      </w:r>
      <w:r>
        <w:rPr>
          <w:color w:val="231F20"/>
          <w:spacing w:val="12"/>
        </w:rPr>
        <w:t> </w:t>
      </w:r>
      <w:r>
        <w:rPr>
          <w:color w:val="231F20"/>
        </w:rPr>
        <w:t>values</w:t>
      </w:r>
      <w:r>
        <w:rPr>
          <w:color w:val="231F20"/>
          <w:spacing w:val="12"/>
        </w:rPr>
        <w:t> </w:t>
      </w:r>
      <w:r>
        <w:rPr>
          <w:color w:val="231F20"/>
        </w:rPr>
        <w:t>shown</w:t>
      </w:r>
      <w:r>
        <w:rPr>
          <w:color w:val="231F20"/>
          <w:spacing w:val="12"/>
        </w:rPr>
        <w:t> </w:t>
      </w:r>
      <w:r>
        <w:rPr>
          <w:color w:val="231F20"/>
        </w:rPr>
        <w:t>in</w:t>
      </w:r>
      <w:r>
        <w:rPr>
          <w:color w:val="231F20"/>
          <w:spacing w:val="12"/>
        </w:rPr>
        <w:t> </w:t>
      </w:r>
      <w:r>
        <w:rPr>
          <w:color w:val="231F20"/>
        </w:rPr>
        <w:t>the</w:t>
      </w:r>
      <w:r>
        <w:rPr>
          <w:color w:val="231F20"/>
          <w:spacing w:val="5"/>
        </w:rPr>
        <w:t> </w:t>
      </w:r>
      <w:r>
        <w:rPr>
          <w:color w:val="231F20"/>
        </w:rPr>
        <w:t>Attributes</w:t>
      </w:r>
      <w:r>
        <w:rPr>
          <w:color w:val="231F20"/>
          <w:spacing w:val="12"/>
        </w:rPr>
        <w:t> </w:t>
      </w:r>
      <w:r>
        <w:rPr>
          <w:color w:val="231F20"/>
          <w:spacing w:val="-2"/>
        </w:rPr>
        <w:t>area.</w:t>
      </w:r>
    </w:p>
    <w:p>
      <w:pPr>
        <w:pStyle w:val="Heading6"/>
        <w:spacing w:before="111"/>
        <w:ind w:left="2232"/>
      </w:pPr>
      <w:r>
        <w:rPr>
          <w:color w:val="231F20"/>
        </w:rPr>
        <w:t>Create</w:t>
      </w:r>
      <w:r>
        <w:rPr>
          <w:color w:val="231F20"/>
          <w:spacing w:val="10"/>
        </w:rPr>
        <w:t> </w:t>
      </w:r>
      <w:r>
        <w:rPr>
          <w:color w:val="231F20"/>
          <w:spacing w:val="-2"/>
        </w:rPr>
        <w:t>Situation</w:t>
      </w:r>
    </w:p>
    <w:p>
      <w:pPr>
        <w:pStyle w:val="BodyText"/>
        <w:spacing w:line="213" w:lineRule="auto" w:before="12"/>
        <w:ind w:left="2951" w:right="545"/>
      </w:pPr>
      <w:r>
        <w:rPr>
          <w:color w:val="231F20"/>
        </w:rPr>
        <w:t>This button opens the Create Situation window for you to create a new situation. The situation is created immediately after you type a name </w:t>
      </w:r>
      <w:r>
        <w:rPr>
          <w:color w:val="231F20"/>
        </w:rPr>
        <w:t>and click </w:t>
      </w:r>
      <w:r>
        <w:rPr>
          <w:rFonts w:ascii="Book Antiqua"/>
          <w:b/>
          <w:color w:val="231F20"/>
        </w:rPr>
        <w:t>OK</w:t>
      </w:r>
      <w:r>
        <w:rPr>
          <w:color w:val="231F20"/>
        </w:rPr>
        <w:t>. The Situation editor opens with the modeling attributes and conditions in the formula editor. Continue to refine the formula and complete the situation definition.</w:t>
      </w:r>
    </w:p>
    <w:p>
      <w:pPr>
        <w:pStyle w:val="BodyText"/>
        <w:tabs>
          <w:tab w:pos="2951" w:val="left" w:leader="none"/>
        </w:tabs>
        <w:spacing w:before="93"/>
        <w:ind w:left="2232"/>
      </w:pPr>
      <w:r>
        <w:rPr>
          <w:rFonts w:ascii="Book Antiqua"/>
          <w:b/>
          <w:color w:val="231F20"/>
          <w:spacing w:val="-2"/>
        </w:rPr>
        <w:t>Reset</w:t>
      </w:r>
      <w:r>
        <w:rPr>
          <w:rFonts w:ascii="Book Antiqua"/>
          <w:b/>
          <w:color w:val="231F20"/>
        </w:rPr>
        <w:tab/>
      </w:r>
      <w:r>
        <w:rPr>
          <w:color w:val="231F20"/>
        </w:rPr>
        <w:t>After</w:t>
      </w:r>
      <w:r>
        <w:rPr>
          <w:color w:val="231F20"/>
          <w:spacing w:val="11"/>
        </w:rPr>
        <w:t> </w:t>
      </w:r>
      <w:r>
        <w:rPr>
          <w:color w:val="231F20"/>
        </w:rPr>
        <w:t>you</w:t>
      </w:r>
      <w:r>
        <w:rPr>
          <w:color w:val="231F20"/>
          <w:spacing w:val="12"/>
        </w:rPr>
        <w:t> </w:t>
      </w:r>
      <w:r>
        <w:rPr>
          <w:color w:val="231F20"/>
        </w:rPr>
        <w:t>click</w:t>
      </w:r>
      <w:r>
        <w:rPr>
          <w:color w:val="231F20"/>
          <w:spacing w:val="12"/>
        </w:rPr>
        <w:t> </w:t>
      </w:r>
      <w:r>
        <w:rPr>
          <w:color w:val="231F20"/>
        </w:rPr>
        <w:t>inside</w:t>
      </w:r>
      <w:r>
        <w:rPr>
          <w:color w:val="231F20"/>
          <w:spacing w:val="11"/>
        </w:rPr>
        <w:t> </w:t>
      </w:r>
      <w:r>
        <w:rPr>
          <w:color w:val="231F20"/>
        </w:rPr>
        <w:t>an</w:t>
      </w:r>
      <w:r>
        <w:rPr>
          <w:color w:val="231F20"/>
          <w:spacing w:val="12"/>
        </w:rPr>
        <w:t> </w:t>
      </w:r>
      <w:r>
        <w:rPr>
          <w:color w:val="231F20"/>
        </w:rPr>
        <w:t>attribute</w:t>
      </w:r>
      <w:r>
        <w:rPr>
          <w:color w:val="231F20"/>
          <w:spacing w:val="12"/>
        </w:rPr>
        <w:t> </w:t>
      </w:r>
      <w:r>
        <w:rPr>
          <w:color w:val="231F20"/>
        </w:rPr>
        <w:t>cell,</w:t>
      </w:r>
      <w:r>
        <w:rPr>
          <w:color w:val="231F20"/>
          <w:spacing w:val="11"/>
        </w:rPr>
        <w:t> </w:t>
      </w:r>
      <w:r>
        <w:rPr>
          <w:color w:val="231F20"/>
        </w:rPr>
        <w:t>the</w:t>
      </w:r>
      <w:r>
        <w:rPr>
          <w:color w:val="231F20"/>
          <w:spacing w:val="12"/>
        </w:rPr>
        <w:t> </w:t>
      </w:r>
      <w:r>
        <w:rPr>
          <w:color w:val="231F20"/>
        </w:rPr>
        <w:t>chart</w:t>
      </w:r>
      <w:r>
        <w:rPr>
          <w:color w:val="231F20"/>
          <w:spacing w:val="12"/>
        </w:rPr>
        <w:t> </w:t>
      </w:r>
      <w:r>
        <w:rPr>
          <w:color w:val="231F20"/>
        </w:rPr>
        <w:t>is</w:t>
      </w:r>
      <w:r>
        <w:rPr>
          <w:color w:val="231F20"/>
          <w:spacing w:val="11"/>
        </w:rPr>
        <w:t> </w:t>
      </w:r>
      <w:r>
        <w:rPr>
          <w:color w:val="231F20"/>
        </w:rPr>
        <w:t>redrawn</w:t>
      </w:r>
      <w:r>
        <w:rPr>
          <w:color w:val="231F20"/>
          <w:spacing w:val="12"/>
        </w:rPr>
        <w:t> </w:t>
      </w:r>
      <w:r>
        <w:rPr>
          <w:color w:val="231F20"/>
        </w:rPr>
        <w:t>to</w:t>
      </w:r>
      <w:r>
        <w:rPr>
          <w:color w:val="231F20"/>
          <w:spacing w:val="12"/>
        </w:rPr>
        <w:t> </w:t>
      </w:r>
      <w:r>
        <w:rPr>
          <w:color w:val="231F20"/>
        </w:rPr>
        <w:t>plot</w:t>
      </w:r>
      <w:r>
        <w:rPr>
          <w:color w:val="231F20"/>
          <w:spacing w:val="11"/>
        </w:rPr>
        <w:t> </w:t>
      </w:r>
      <w:r>
        <w:rPr>
          <w:color w:val="231F20"/>
          <w:spacing w:val="-4"/>
        </w:rPr>
        <w:t>only</w:t>
      </w:r>
    </w:p>
    <w:p>
      <w:pPr>
        <w:spacing w:after="0"/>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8"/>
      </w:pPr>
    </w:p>
    <w:p>
      <w:pPr>
        <w:pStyle w:val="Heading6"/>
        <w:spacing w:line="240" w:lineRule="auto" w:before="0"/>
        <w:ind w:left="0"/>
        <w:jc w:val="right"/>
      </w:pPr>
      <w:r>
        <w:rPr>
          <w:color w:val="231F20"/>
          <w:spacing w:val="-2"/>
        </w:rPr>
        <w:t>Cancel</w:t>
      </w:r>
    </w:p>
    <w:p>
      <w:pPr>
        <w:pStyle w:val="BodyText"/>
        <w:spacing w:line="213" w:lineRule="auto" w:before="85"/>
        <w:ind w:left="57" w:right="227"/>
        <w:jc w:val="both"/>
      </w:pPr>
      <w:r>
        <w:rPr/>
        <w:br w:type="column"/>
      </w:r>
      <w:r>
        <w:rPr>
          <w:color w:val="231F20"/>
        </w:rPr>
        <w:t>that attribute. If you also select a statistical function and click </w:t>
      </w:r>
      <w:r>
        <w:rPr>
          <w:rFonts w:ascii="Book Antiqua"/>
          <w:b/>
          <w:color w:val="231F20"/>
        </w:rPr>
        <w:t>Recalculate</w:t>
      </w:r>
      <w:r>
        <w:rPr>
          <w:color w:val="231F20"/>
        </w:rPr>
        <w:t>, the statistical result is also plotted. Click </w:t>
      </w:r>
      <w:r>
        <w:rPr>
          <w:rFonts w:ascii="Book Antiqua"/>
          <w:b/>
          <w:color w:val="231F20"/>
        </w:rPr>
        <w:t>Reset </w:t>
      </w:r>
      <w:r>
        <w:rPr>
          <w:color w:val="231F20"/>
        </w:rPr>
        <w:t>to redraw the chart with all </w:t>
      </w:r>
      <w:r>
        <w:rPr>
          <w:color w:val="231F20"/>
          <w:spacing w:val="-2"/>
        </w:rPr>
        <w:t>attributes.</w:t>
      </w:r>
    </w:p>
    <w:p>
      <w:pPr>
        <w:pStyle w:val="BodyText"/>
        <w:spacing w:before="94"/>
        <w:ind w:left="57"/>
        <w:jc w:val="both"/>
      </w:pPr>
      <w:r>
        <w:rPr>
          <w:color w:val="231F20"/>
        </w:rPr>
        <w:t>These</w:t>
      </w:r>
      <w:r>
        <w:rPr>
          <w:color w:val="231F20"/>
          <w:spacing w:val="10"/>
        </w:rPr>
        <w:t> </w:t>
      </w:r>
      <w:r>
        <w:rPr>
          <w:color w:val="231F20"/>
        </w:rPr>
        <w:t>are</w:t>
      </w:r>
      <w:r>
        <w:rPr>
          <w:color w:val="231F20"/>
          <w:spacing w:val="11"/>
        </w:rPr>
        <w:t> </w:t>
      </w:r>
      <w:r>
        <w:rPr>
          <w:color w:val="231F20"/>
        </w:rPr>
        <w:t>all</w:t>
      </w:r>
      <w:r>
        <w:rPr>
          <w:color w:val="231F20"/>
          <w:spacing w:val="11"/>
        </w:rPr>
        <w:t> </w:t>
      </w:r>
      <w:r>
        <w:rPr>
          <w:color w:val="231F20"/>
        </w:rPr>
        <w:t>the</w:t>
      </w:r>
      <w:r>
        <w:rPr>
          <w:color w:val="231F20"/>
          <w:spacing w:val="11"/>
        </w:rPr>
        <w:t> </w:t>
      </w:r>
      <w:r>
        <w:rPr>
          <w:color w:val="231F20"/>
        </w:rPr>
        <w:t>reset</w:t>
      </w:r>
      <w:r>
        <w:rPr>
          <w:color w:val="231F20"/>
          <w:spacing w:val="10"/>
        </w:rPr>
        <w:t> </w:t>
      </w:r>
      <w:r>
        <w:rPr>
          <w:color w:val="231F20"/>
        </w:rPr>
        <w:t>actions</w:t>
      </w:r>
      <w:r>
        <w:rPr>
          <w:color w:val="231F20"/>
          <w:spacing w:val="11"/>
        </w:rPr>
        <w:t> </w:t>
      </w:r>
      <w:r>
        <w:rPr>
          <w:color w:val="231F20"/>
          <w:spacing w:val="-2"/>
        </w:rPr>
        <w:t>taken:</w:t>
      </w:r>
    </w:p>
    <w:p>
      <w:pPr>
        <w:pStyle w:val="BodyText"/>
        <w:spacing w:before="30"/>
        <w:ind w:left="57"/>
        <w:jc w:val="both"/>
      </w:pPr>
      <w:r>
        <w:rPr>
          <w:rFonts w:ascii="Futura MdCn BT"/>
          <w:color w:val="231F20"/>
        </w:rPr>
        <w:t>v</w:t>
      </w:r>
      <w:r>
        <w:rPr>
          <w:rFonts w:ascii="Futura MdCn BT"/>
          <w:color w:val="231F20"/>
          <w:spacing w:val="31"/>
        </w:rPr>
        <w:t>  </w:t>
      </w:r>
      <w:r>
        <w:rPr>
          <w:color w:val="231F20"/>
        </w:rPr>
        <w:t>Cancel</w:t>
      </w:r>
      <w:r>
        <w:rPr>
          <w:color w:val="231F20"/>
          <w:spacing w:val="13"/>
        </w:rPr>
        <w:t> </w:t>
      </w:r>
      <w:r>
        <w:rPr>
          <w:color w:val="231F20"/>
        </w:rPr>
        <w:t>any</w:t>
      </w:r>
      <w:r>
        <w:rPr>
          <w:color w:val="231F20"/>
          <w:spacing w:val="13"/>
        </w:rPr>
        <w:t> </w:t>
      </w:r>
      <w:r>
        <w:rPr>
          <w:color w:val="231F20"/>
        </w:rPr>
        <w:t>attribute</w:t>
      </w:r>
      <w:r>
        <w:rPr>
          <w:color w:val="231F20"/>
          <w:spacing w:val="12"/>
        </w:rPr>
        <w:t> </w:t>
      </w:r>
      <w:r>
        <w:rPr>
          <w:color w:val="231F20"/>
        </w:rPr>
        <w:t>selection</w:t>
      </w:r>
      <w:r>
        <w:rPr>
          <w:color w:val="231F20"/>
          <w:spacing w:val="13"/>
        </w:rPr>
        <w:t> </w:t>
      </w:r>
      <w:r>
        <w:rPr>
          <w:color w:val="231F20"/>
        </w:rPr>
        <w:t>in</w:t>
      </w:r>
      <w:r>
        <w:rPr>
          <w:color w:val="231F20"/>
          <w:spacing w:val="12"/>
        </w:rPr>
        <w:t> </w:t>
      </w:r>
      <w:r>
        <w:rPr>
          <w:color w:val="231F20"/>
        </w:rPr>
        <w:t>the</w:t>
      </w:r>
      <w:r>
        <w:rPr>
          <w:color w:val="231F20"/>
          <w:spacing w:val="13"/>
        </w:rPr>
        <w:t> </w:t>
      </w:r>
      <w:r>
        <w:rPr>
          <w:color w:val="231F20"/>
          <w:spacing w:val="-2"/>
        </w:rPr>
        <w:t>table</w:t>
      </w:r>
    </w:p>
    <w:p>
      <w:pPr>
        <w:pStyle w:val="BodyText"/>
        <w:spacing w:line="266" w:lineRule="auto" w:before="29"/>
        <w:ind w:left="57" w:right="2730"/>
      </w:pPr>
      <w:r>
        <w:rPr>
          <w:rFonts w:ascii="Futura MdCn BT"/>
          <w:color w:val="231F20"/>
        </w:rPr>
        <w:t>v</w:t>
      </w:r>
      <w:r>
        <w:rPr>
          <w:rFonts w:ascii="Futura MdCn BT"/>
          <w:color w:val="231F20"/>
          <w:spacing w:val="80"/>
        </w:rPr>
        <w:t> </w:t>
      </w:r>
      <w:r>
        <w:rPr>
          <w:color w:val="231F20"/>
        </w:rPr>
        <w:t>Clear any shaded threshold area in the chart</w:t>
      </w:r>
      <w:r>
        <w:rPr>
          <w:color w:val="231F20"/>
          <w:spacing w:val="80"/>
          <w:w w:val="150"/>
        </w:rPr>
        <w:t> </w:t>
      </w:r>
      <w:r>
        <w:rPr>
          <w:rFonts w:ascii="Futura MdCn BT"/>
          <w:color w:val="231F20"/>
        </w:rPr>
        <w:t>v</w:t>
      </w:r>
      <w:r>
        <w:rPr>
          <w:rFonts w:ascii="Futura MdCn BT"/>
          <w:color w:val="231F20"/>
          <w:spacing w:val="80"/>
          <w:w w:val="150"/>
        </w:rPr>
        <w:t> </w:t>
      </w:r>
      <w:r>
        <w:rPr>
          <w:color w:val="231F20"/>
        </w:rPr>
        <w:t>Show</w:t>
      </w:r>
      <w:r>
        <w:rPr>
          <w:color w:val="231F20"/>
          <w:spacing w:val="21"/>
        </w:rPr>
        <w:t> </w:t>
      </w:r>
      <w:r>
        <w:rPr>
          <w:color w:val="231F20"/>
        </w:rPr>
        <w:t>all</w:t>
      </w:r>
      <w:r>
        <w:rPr>
          <w:color w:val="231F20"/>
          <w:spacing w:val="21"/>
        </w:rPr>
        <w:t> </w:t>
      </w:r>
      <w:r>
        <w:rPr>
          <w:color w:val="231F20"/>
        </w:rPr>
        <w:t>chart</w:t>
      </w:r>
      <w:r>
        <w:rPr>
          <w:color w:val="231F20"/>
          <w:spacing w:val="21"/>
        </w:rPr>
        <w:t> </w:t>
      </w:r>
      <w:r>
        <w:rPr>
          <w:color w:val="231F20"/>
        </w:rPr>
        <w:t>series</w:t>
      </w:r>
      <w:r>
        <w:rPr>
          <w:color w:val="231F20"/>
          <w:spacing w:val="21"/>
        </w:rPr>
        <w:t> </w:t>
      </w:r>
      <w:r>
        <w:rPr>
          <w:color w:val="231F20"/>
        </w:rPr>
        <w:t>if</w:t>
      </w:r>
      <w:r>
        <w:rPr>
          <w:color w:val="231F20"/>
          <w:spacing w:val="21"/>
        </w:rPr>
        <w:t> </w:t>
      </w:r>
      <w:r>
        <w:rPr>
          <w:color w:val="231F20"/>
        </w:rPr>
        <w:t>any</w:t>
      </w:r>
      <w:r>
        <w:rPr>
          <w:color w:val="231F20"/>
          <w:spacing w:val="21"/>
        </w:rPr>
        <w:t> </w:t>
      </w:r>
      <w:r>
        <w:rPr>
          <w:color w:val="231F20"/>
        </w:rPr>
        <w:t>were</w:t>
      </w:r>
      <w:r>
        <w:rPr>
          <w:color w:val="231F20"/>
          <w:spacing w:val="21"/>
        </w:rPr>
        <w:t> </w:t>
      </w:r>
      <w:r>
        <w:rPr>
          <w:color w:val="231F20"/>
        </w:rPr>
        <w:t>not</w:t>
      </w:r>
      <w:r>
        <w:rPr>
          <w:color w:val="231F20"/>
          <w:spacing w:val="21"/>
        </w:rPr>
        <w:t> </w:t>
      </w:r>
      <w:r>
        <w:rPr>
          <w:color w:val="231F20"/>
        </w:rPr>
        <w:t>visible</w:t>
      </w:r>
      <w:r>
        <w:rPr>
          <w:color w:val="231F20"/>
        </w:rPr>
        <w:t> </w:t>
      </w:r>
      <w:r>
        <w:rPr>
          <w:rFonts w:ascii="Futura MdCn BT"/>
          <w:color w:val="231F20"/>
        </w:rPr>
        <w:t>v</w:t>
      </w:r>
      <w:r>
        <w:rPr>
          <w:rFonts w:ascii="Futura MdCn BT"/>
          <w:color w:val="231F20"/>
          <w:spacing w:val="80"/>
        </w:rPr>
        <w:t> </w:t>
      </w:r>
      <w:r>
        <w:rPr>
          <w:color w:val="231F20"/>
        </w:rPr>
        <w:t>Remove all statistical markers from the </w:t>
      </w:r>
      <w:r>
        <w:rPr>
          <w:color w:val="231F20"/>
        </w:rPr>
        <w:t>chart</w:t>
      </w:r>
    </w:p>
    <w:p>
      <w:pPr>
        <w:pStyle w:val="BodyText"/>
        <w:spacing w:line="269" w:lineRule="exact"/>
        <w:ind w:left="57"/>
      </w:pPr>
      <w:r>
        <w:rPr>
          <w:rFonts w:ascii="Futura MdCn BT"/>
          <w:color w:val="231F20"/>
        </w:rPr>
        <w:t>v</w:t>
      </w:r>
      <w:r>
        <w:rPr>
          <w:rFonts w:ascii="Futura MdCn BT"/>
          <w:color w:val="231F20"/>
          <w:spacing w:val="30"/>
        </w:rPr>
        <w:t>  </w:t>
      </w:r>
      <w:r>
        <w:rPr>
          <w:color w:val="231F20"/>
        </w:rPr>
        <w:t>Clear</w:t>
      </w:r>
      <w:r>
        <w:rPr>
          <w:color w:val="231F20"/>
          <w:spacing w:val="12"/>
        </w:rPr>
        <w:t> </w:t>
      </w:r>
      <w:r>
        <w:rPr>
          <w:color w:val="231F20"/>
        </w:rPr>
        <w:t>the</w:t>
      </w:r>
      <w:r>
        <w:rPr>
          <w:color w:val="231F20"/>
          <w:spacing w:val="12"/>
        </w:rPr>
        <w:t> </w:t>
      </w:r>
      <w:r>
        <w:rPr>
          <w:color w:val="231F20"/>
        </w:rPr>
        <w:t>Function</w:t>
      </w:r>
      <w:r>
        <w:rPr>
          <w:color w:val="231F20"/>
          <w:spacing w:val="12"/>
        </w:rPr>
        <w:t> </w:t>
      </w:r>
      <w:r>
        <w:rPr>
          <w:color w:val="231F20"/>
        </w:rPr>
        <w:t>fields,</w:t>
      </w:r>
      <w:r>
        <w:rPr>
          <w:color w:val="231F20"/>
          <w:spacing w:val="11"/>
        </w:rPr>
        <w:t> </w:t>
      </w:r>
      <w:r>
        <w:rPr>
          <w:color w:val="231F20"/>
        </w:rPr>
        <w:t>including</w:t>
      </w:r>
      <w:r>
        <w:rPr>
          <w:color w:val="231F20"/>
          <w:spacing w:val="12"/>
        </w:rPr>
        <w:t> </w:t>
      </w:r>
      <w:r>
        <w:rPr>
          <w:color w:val="231F20"/>
        </w:rPr>
        <w:t>function</w:t>
      </w:r>
      <w:r>
        <w:rPr>
          <w:color w:val="231F20"/>
          <w:spacing w:val="11"/>
        </w:rPr>
        <w:t> </w:t>
      </w:r>
      <w:r>
        <w:rPr>
          <w:color w:val="231F20"/>
          <w:spacing w:val="-2"/>
        </w:rPr>
        <w:t>results</w:t>
      </w:r>
    </w:p>
    <w:p>
      <w:pPr>
        <w:pStyle w:val="BodyText"/>
        <w:spacing w:before="30"/>
        <w:ind w:left="57"/>
      </w:pPr>
      <w:r>
        <w:rPr>
          <w:rFonts w:ascii="Futura MdCn BT"/>
          <w:color w:val="231F20"/>
        </w:rPr>
        <w:t>v</w:t>
      </w:r>
      <w:r>
        <w:rPr>
          <w:rFonts w:ascii="Futura MdCn BT"/>
          <w:color w:val="231F20"/>
          <w:spacing w:val="32"/>
        </w:rPr>
        <w:t>  </w:t>
      </w:r>
      <w:r>
        <w:rPr>
          <w:color w:val="231F20"/>
        </w:rPr>
        <w:t>Cancel</w:t>
      </w:r>
      <w:r>
        <w:rPr>
          <w:color w:val="231F20"/>
          <w:spacing w:val="14"/>
        </w:rPr>
        <w:t> </w:t>
      </w:r>
      <w:r>
        <w:rPr>
          <w:color w:val="231F20"/>
        </w:rPr>
        <w:t>any</w:t>
      </w:r>
      <w:r>
        <w:rPr>
          <w:color w:val="231F20"/>
          <w:spacing w:val="13"/>
        </w:rPr>
        <w:t> </w:t>
      </w:r>
      <w:r>
        <w:rPr>
          <w:color w:val="231F20"/>
        </w:rPr>
        <w:t>zooms</w:t>
      </w:r>
      <w:r>
        <w:rPr>
          <w:color w:val="231F20"/>
          <w:spacing w:val="14"/>
        </w:rPr>
        <w:t> </w:t>
      </w:r>
      <w:r>
        <w:rPr>
          <w:color w:val="231F20"/>
        </w:rPr>
        <w:t>in</w:t>
      </w:r>
      <w:r>
        <w:rPr>
          <w:color w:val="231F20"/>
          <w:spacing w:val="13"/>
        </w:rPr>
        <w:t> </w:t>
      </w:r>
      <w:r>
        <w:rPr>
          <w:color w:val="231F20"/>
          <w:spacing w:val="-2"/>
        </w:rPr>
        <w:t>progress</w:t>
      </w:r>
    </w:p>
    <w:p>
      <w:pPr>
        <w:pStyle w:val="BodyText"/>
        <w:spacing w:before="29"/>
        <w:ind w:left="57"/>
      </w:pPr>
      <w:r>
        <w:rPr>
          <w:rFonts w:ascii="Futura MdCn BT"/>
          <w:color w:val="231F20"/>
        </w:rPr>
        <w:t>v</w:t>
      </w:r>
      <w:r>
        <w:rPr>
          <w:rFonts w:ascii="Futura MdCn BT"/>
          <w:color w:val="231F20"/>
          <w:spacing w:val="30"/>
        </w:rPr>
        <w:t>  </w:t>
      </w:r>
      <w:r>
        <w:rPr>
          <w:color w:val="231F20"/>
        </w:rPr>
        <w:t>Disable</w:t>
      </w:r>
      <w:r>
        <w:rPr>
          <w:color w:val="231F20"/>
          <w:spacing w:val="13"/>
        </w:rPr>
        <w:t> </w:t>
      </w:r>
      <w:r>
        <w:rPr>
          <w:color w:val="231F20"/>
        </w:rPr>
        <w:t>the</w:t>
      </w:r>
      <w:r>
        <w:rPr>
          <w:color w:val="231F20"/>
          <w:spacing w:val="12"/>
        </w:rPr>
        <w:t> </w:t>
      </w:r>
      <w:r>
        <w:rPr>
          <w:color w:val="231F20"/>
        </w:rPr>
        <w:t>create</w:t>
      </w:r>
      <w:r>
        <w:rPr>
          <w:color w:val="231F20"/>
          <w:spacing w:val="12"/>
        </w:rPr>
        <w:t> </w:t>
      </w:r>
      <w:r>
        <w:rPr>
          <w:color w:val="231F20"/>
        </w:rPr>
        <w:t>schedule</w:t>
      </w:r>
      <w:r>
        <w:rPr>
          <w:color w:val="231F20"/>
          <w:spacing w:val="11"/>
        </w:rPr>
        <w:t> </w:t>
      </w:r>
      <w:r>
        <w:rPr>
          <w:color w:val="231F20"/>
          <w:spacing w:val="-2"/>
        </w:rPr>
        <w:t>action</w:t>
      </w:r>
    </w:p>
    <w:p>
      <w:pPr>
        <w:pStyle w:val="BodyText"/>
        <w:spacing w:before="59"/>
      </w:pPr>
    </w:p>
    <w:p>
      <w:pPr>
        <w:pStyle w:val="BodyText"/>
        <w:ind w:left="57"/>
      </w:pPr>
      <w:r>
        <w:rPr>
          <w:color w:val="231F20"/>
        </w:rPr>
        <w:t>Click</w:t>
      </w:r>
      <w:r>
        <w:rPr>
          <w:color w:val="231F20"/>
          <w:spacing w:val="11"/>
        </w:rPr>
        <w:t> </w:t>
      </w:r>
      <w:r>
        <w:rPr>
          <w:color w:val="231F20"/>
        </w:rPr>
        <w:t>Cancel</w:t>
      </w:r>
      <w:r>
        <w:rPr>
          <w:color w:val="231F20"/>
          <w:spacing w:val="11"/>
        </w:rPr>
        <w:t> </w:t>
      </w:r>
      <w:r>
        <w:rPr>
          <w:color w:val="231F20"/>
        </w:rPr>
        <w:t>to</w:t>
      </w:r>
      <w:r>
        <w:rPr>
          <w:color w:val="231F20"/>
          <w:spacing w:val="12"/>
        </w:rPr>
        <w:t> </w:t>
      </w:r>
      <w:r>
        <w:rPr>
          <w:color w:val="231F20"/>
        </w:rPr>
        <w:t>exit</w:t>
      </w:r>
      <w:r>
        <w:rPr>
          <w:color w:val="231F20"/>
          <w:spacing w:val="11"/>
        </w:rPr>
        <w:t> </w:t>
      </w:r>
      <w:r>
        <w:rPr>
          <w:color w:val="231F20"/>
        </w:rPr>
        <w:t>the</w:t>
      </w:r>
      <w:r>
        <w:rPr>
          <w:color w:val="231F20"/>
          <w:spacing w:val="12"/>
        </w:rPr>
        <w:t> </w:t>
      </w:r>
      <w:r>
        <w:rPr>
          <w:color w:val="231F20"/>
        </w:rPr>
        <w:t>dialog</w:t>
      </w:r>
      <w:r>
        <w:rPr>
          <w:color w:val="231F20"/>
          <w:spacing w:val="11"/>
        </w:rPr>
        <w:t> </w:t>
      </w:r>
      <w:r>
        <w:rPr>
          <w:color w:val="231F20"/>
        </w:rPr>
        <w:t>without</w:t>
      </w:r>
      <w:r>
        <w:rPr>
          <w:color w:val="231F20"/>
          <w:spacing w:val="12"/>
        </w:rPr>
        <w:t> </w:t>
      </w:r>
      <w:r>
        <w:rPr>
          <w:color w:val="231F20"/>
        </w:rPr>
        <w:t>saving</w:t>
      </w:r>
      <w:r>
        <w:rPr>
          <w:color w:val="231F20"/>
          <w:spacing w:val="11"/>
        </w:rPr>
        <w:t> </w:t>
      </w:r>
      <w:r>
        <w:rPr>
          <w:color w:val="231F20"/>
        </w:rPr>
        <w:t>your</w:t>
      </w:r>
      <w:r>
        <w:rPr>
          <w:color w:val="231F20"/>
          <w:spacing w:val="12"/>
        </w:rPr>
        <w:t> </w:t>
      </w:r>
      <w:r>
        <w:rPr>
          <w:color w:val="231F20"/>
          <w:spacing w:val="-2"/>
        </w:rPr>
        <w:t>changes.</w:t>
      </w:r>
    </w:p>
    <w:p>
      <w:pPr>
        <w:spacing w:after="0"/>
        <w:sectPr>
          <w:pgSz w:w="12240" w:h="15840"/>
          <w:pgMar w:header="0" w:footer="736" w:top="1180" w:bottom="920" w:left="1000" w:right="1060"/>
          <w:cols w:num="2" w:equalWidth="0">
            <w:col w:w="3093" w:space="40"/>
            <w:col w:w="7047"/>
          </w:cols>
        </w:sectPr>
      </w:pPr>
    </w:p>
    <w:p>
      <w:pPr>
        <w:pStyle w:val="Heading4"/>
        <w:spacing w:before="194"/>
        <w:ind w:left="2472"/>
      </w:pPr>
      <w:r>
        <w:rPr>
          <w:color w:val="231F20"/>
          <w:spacing w:val="-2"/>
        </w:rPr>
        <w:t>Example</w:t>
      </w:r>
    </w:p>
    <w:p>
      <w:pPr>
        <w:pStyle w:val="BodyText"/>
        <w:spacing w:line="213" w:lineRule="auto" w:before="242"/>
        <w:ind w:left="2472" w:right="258"/>
      </w:pPr>
      <w:r>
        <w:rPr>
          <w:color w:val="231F20"/>
        </w:rPr>
        <w:t>This example of situation modeling was started from the </w:t>
      </w:r>
      <w:r>
        <w:rPr>
          <w:rFonts w:ascii="Book Antiqua"/>
          <w:b/>
          <w:color w:val="231F20"/>
        </w:rPr>
        <w:t>Total % Privileged Time </w:t>
      </w:r>
      <w:r>
        <w:rPr>
          <w:color w:val="231F20"/>
        </w:rPr>
        <w:t>and </w:t>
      </w:r>
      <w:r>
        <w:rPr>
          <w:rFonts w:ascii="Book Antiqua"/>
          <w:b/>
          <w:color w:val="231F20"/>
        </w:rPr>
        <w:t>% User Time </w:t>
      </w:r>
      <w:r>
        <w:rPr>
          <w:color w:val="231F20"/>
        </w:rPr>
        <w:t>stacked bar in the Process Time Distribution chart from the Windows OS Processor workspace.</w:t>
      </w:r>
    </w:p>
    <w:p>
      <w:pPr>
        <w:pStyle w:val="Heading6"/>
        <w:spacing w:before="116"/>
      </w:pPr>
      <w:r>
        <w:rPr>
          <w:color w:val="231F20"/>
        </w:rPr>
        <w:t>Initial</w:t>
      </w:r>
      <w:r>
        <w:rPr>
          <w:color w:val="231F20"/>
          <w:spacing w:val="10"/>
        </w:rPr>
        <w:t> </w:t>
      </w:r>
      <w:r>
        <w:rPr>
          <w:color w:val="231F20"/>
        </w:rPr>
        <w:t>chart</w:t>
      </w:r>
      <w:r>
        <w:rPr>
          <w:color w:val="231F20"/>
          <w:spacing w:val="11"/>
        </w:rPr>
        <w:t> </w:t>
      </w:r>
      <w:r>
        <w:rPr>
          <w:color w:val="231F20"/>
          <w:spacing w:val="-2"/>
        </w:rPr>
        <w:t>display</w:t>
      </w:r>
    </w:p>
    <w:p>
      <w:pPr>
        <w:pStyle w:val="BodyText"/>
        <w:spacing w:line="213" w:lineRule="auto" w:before="11"/>
        <w:ind w:left="3190" w:right="258"/>
      </w:pPr>
      <w:r>
        <w:rPr>
          <w:color w:val="231F20"/>
        </w:rPr>
        <w:t>We right-click a bar in the chart and select </w:t>
      </w:r>
      <w:r>
        <w:rPr>
          <w:color w:val="231F20"/>
          <w:spacing w:val="-25"/>
          <w:position w:val="-1"/>
        </w:rPr>
        <w:drawing>
          <wp:inline distT="0" distB="0" distL="0" distR="0">
            <wp:extent cx="88900" cy="95250"/>
            <wp:effectExtent l="0" t="0" r="0" b="0"/>
            <wp:docPr id="2433" name="Image 2433"/>
            <wp:cNvGraphicFramePr>
              <a:graphicFrameLocks/>
            </wp:cNvGraphicFramePr>
            <a:graphic>
              <a:graphicData uri="http://schemas.openxmlformats.org/drawingml/2006/picture">
                <pic:pic>
                  <pic:nvPicPr>
                    <pic:cNvPr id="2433" name="Image 2433"/>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rPr>
      </w:r>
      <w:r>
        <w:rPr>
          <w:rFonts w:ascii="Times New Roman"/>
          <w:color w:val="231F20"/>
          <w:spacing w:val="25"/>
        </w:rPr>
        <w:t> </w:t>
      </w:r>
      <w:r>
        <w:rPr>
          <w:rFonts w:ascii="Book Antiqua"/>
          <w:b/>
          <w:color w:val="231F20"/>
        </w:rPr>
        <w:t>Model Situation</w:t>
      </w:r>
      <w:r>
        <w:rPr>
          <w:color w:val="231F20"/>
        </w:rPr>
        <w:t>. The </w:t>
      </w:r>
      <w:r>
        <w:rPr>
          <w:color w:val="231F20"/>
        </w:rPr>
        <w:t>current data sample is 8% privileged time and 4% user time. Looking at the historical samples, we see that values over 70% and 40% are rare.</w:t>
      </w:r>
    </w:p>
    <w:p>
      <w:pPr>
        <w:pStyle w:val="BodyText"/>
        <w:spacing w:before="4"/>
        <w:rPr>
          <w:sz w:val="12"/>
        </w:rPr>
      </w:pPr>
      <w:r>
        <w:rPr/>
        <w:drawing>
          <wp:anchor distT="0" distB="0" distL="0" distR="0" allowOverlap="1" layoutInCell="1" locked="0" behindDoc="1" simplePos="0" relativeHeight="487727616">
            <wp:simplePos x="0" y="0"/>
            <wp:positionH relativeFrom="page">
              <wp:posOffset>2661119</wp:posOffset>
            </wp:positionH>
            <wp:positionV relativeFrom="paragraph">
              <wp:posOffset>121030</wp:posOffset>
            </wp:positionV>
            <wp:extent cx="4309110" cy="1331118"/>
            <wp:effectExtent l="0" t="0" r="0" b="0"/>
            <wp:wrapTopAndBottom/>
            <wp:docPr id="2434" name="Image 2434"/>
            <wp:cNvGraphicFramePr>
              <a:graphicFrameLocks/>
            </wp:cNvGraphicFramePr>
            <a:graphic>
              <a:graphicData uri="http://schemas.openxmlformats.org/drawingml/2006/picture">
                <pic:pic>
                  <pic:nvPicPr>
                    <pic:cNvPr id="2434" name="Image 2434"/>
                    <pic:cNvPicPr/>
                  </pic:nvPicPr>
                  <pic:blipFill>
                    <a:blip r:embed="rId392" cstate="print"/>
                    <a:stretch>
                      <a:fillRect/>
                    </a:stretch>
                  </pic:blipFill>
                  <pic:spPr>
                    <a:xfrm>
                      <a:off x="0" y="0"/>
                      <a:ext cx="4309110" cy="1331118"/>
                    </a:xfrm>
                    <a:prstGeom prst="rect">
                      <a:avLst/>
                    </a:prstGeom>
                  </pic:spPr>
                </pic:pic>
              </a:graphicData>
            </a:graphic>
          </wp:anchor>
        </w:drawing>
      </w:r>
    </w:p>
    <w:p>
      <w:pPr>
        <w:pStyle w:val="Heading6"/>
        <w:spacing w:before="212"/>
      </w:pPr>
      <w:r>
        <w:rPr>
          <w:color w:val="231F20"/>
        </w:rPr>
        <w:t>Change</w:t>
      </w:r>
      <w:r>
        <w:rPr>
          <w:color w:val="231F20"/>
          <w:spacing w:val="5"/>
        </w:rPr>
        <w:t> </w:t>
      </w:r>
      <w:r>
        <w:rPr>
          <w:color w:val="231F20"/>
        </w:rPr>
        <w:t>%</w:t>
      </w:r>
      <w:r>
        <w:rPr>
          <w:color w:val="231F20"/>
          <w:spacing w:val="8"/>
        </w:rPr>
        <w:t> </w:t>
      </w:r>
      <w:r>
        <w:rPr>
          <w:color w:val="231F20"/>
        </w:rPr>
        <w:t>Privileged</w:t>
      </w:r>
      <w:r>
        <w:rPr>
          <w:color w:val="231F20"/>
          <w:spacing w:val="7"/>
        </w:rPr>
        <w:t> </w:t>
      </w:r>
      <w:r>
        <w:rPr>
          <w:color w:val="231F20"/>
        </w:rPr>
        <w:t>Time</w:t>
      </w:r>
      <w:r>
        <w:rPr>
          <w:color w:val="231F20"/>
          <w:spacing w:val="8"/>
        </w:rPr>
        <w:t> </w:t>
      </w:r>
      <w:r>
        <w:rPr>
          <w:color w:val="231F20"/>
          <w:spacing w:val="-2"/>
        </w:rPr>
        <w:t>threshold</w:t>
      </w:r>
    </w:p>
    <w:p>
      <w:pPr>
        <w:pStyle w:val="BodyText"/>
        <w:spacing w:line="213" w:lineRule="auto" w:before="11"/>
        <w:ind w:left="3190" w:right="545"/>
      </w:pPr>
      <w:r>
        <w:rPr>
          <w:color w:val="231F20"/>
        </w:rPr>
        <w:t>We adjust the % Privileged Time threshold by clicking in the </w:t>
      </w:r>
      <w:r>
        <w:rPr>
          <w:rFonts w:ascii="Book Antiqua"/>
          <w:b/>
          <w:color w:val="231F20"/>
        </w:rPr>
        <w:t>Condition </w:t>
      </w:r>
      <w:r>
        <w:rPr>
          <w:color w:val="231F20"/>
        </w:rPr>
        <w:t>column and changing from </w:t>
      </w:r>
      <w:r>
        <w:rPr>
          <w:rFonts w:ascii="Book Antiqua"/>
          <w:b/>
          <w:color w:val="231F20"/>
          <w:spacing w:val="16"/>
        </w:rPr>
        <w:t>&gt;</w:t>
      </w:r>
      <w:r>
        <w:rPr>
          <w:rFonts w:ascii="Book Antiqua"/>
          <w:b/>
          <w:color w:val="231F20"/>
          <w:spacing w:val="-3"/>
        </w:rPr>
        <w:t> </w:t>
      </w:r>
      <w:r>
        <w:rPr>
          <w:rFonts w:ascii="Book Antiqua"/>
          <w:b/>
          <w:color w:val="231F20"/>
        </w:rPr>
        <w:t>8 </w:t>
      </w:r>
      <w:r>
        <w:rPr>
          <w:color w:val="231F20"/>
        </w:rPr>
        <w:t>to </w:t>
      </w:r>
      <w:r>
        <w:rPr>
          <w:rFonts w:ascii="Book Antiqua"/>
          <w:b/>
          <w:color w:val="231F20"/>
        </w:rPr>
        <w:t>&gt; 70</w:t>
      </w:r>
      <w:r>
        <w:rPr>
          <w:color w:val="231F20"/>
        </w:rPr>
        <w:t>, which is reflected in the chart as the gray patterned area.</w:t>
      </w:r>
    </w:p>
    <w:p>
      <w:pPr>
        <w:pStyle w:val="BodyText"/>
        <w:spacing w:before="4"/>
        <w:rPr>
          <w:sz w:val="12"/>
        </w:rPr>
      </w:pPr>
      <w:r>
        <w:rPr/>
        <w:drawing>
          <wp:anchor distT="0" distB="0" distL="0" distR="0" allowOverlap="1" layoutInCell="1" locked="0" behindDoc="1" simplePos="0" relativeHeight="487728128">
            <wp:simplePos x="0" y="0"/>
            <wp:positionH relativeFrom="page">
              <wp:posOffset>2661119</wp:posOffset>
            </wp:positionH>
            <wp:positionV relativeFrom="paragraph">
              <wp:posOffset>120990</wp:posOffset>
            </wp:positionV>
            <wp:extent cx="4309110" cy="1331118"/>
            <wp:effectExtent l="0" t="0" r="0" b="0"/>
            <wp:wrapTopAndBottom/>
            <wp:docPr id="2435" name="Image 2435"/>
            <wp:cNvGraphicFramePr>
              <a:graphicFrameLocks/>
            </wp:cNvGraphicFramePr>
            <a:graphic>
              <a:graphicData uri="http://schemas.openxmlformats.org/drawingml/2006/picture">
                <pic:pic>
                  <pic:nvPicPr>
                    <pic:cNvPr id="2435" name="Image 2435"/>
                    <pic:cNvPicPr/>
                  </pic:nvPicPr>
                  <pic:blipFill>
                    <a:blip r:embed="rId393" cstate="print"/>
                    <a:stretch>
                      <a:fillRect/>
                    </a:stretch>
                  </pic:blipFill>
                  <pic:spPr>
                    <a:xfrm>
                      <a:off x="0" y="0"/>
                      <a:ext cx="4309110" cy="1331118"/>
                    </a:xfrm>
                    <a:prstGeom prst="rect">
                      <a:avLst/>
                    </a:prstGeom>
                  </pic:spPr>
                </pic:pic>
              </a:graphicData>
            </a:graphic>
          </wp:anchor>
        </w:drawing>
      </w:r>
    </w:p>
    <w:p>
      <w:pPr>
        <w:pStyle w:val="Heading6"/>
        <w:spacing w:before="212"/>
      </w:pPr>
      <w:r>
        <w:rPr>
          <w:color w:val="231F20"/>
        </w:rPr>
        <w:t>Change</w:t>
      </w:r>
      <w:r>
        <w:rPr>
          <w:color w:val="231F20"/>
          <w:spacing w:val="8"/>
        </w:rPr>
        <w:t> </w:t>
      </w:r>
      <w:r>
        <w:rPr>
          <w:color w:val="231F20"/>
        </w:rPr>
        <w:t>%</w:t>
      </w:r>
      <w:r>
        <w:rPr>
          <w:color w:val="231F20"/>
          <w:spacing w:val="9"/>
        </w:rPr>
        <w:t> </w:t>
      </w:r>
      <w:r>
        <w:rPr>
          <w:color w:val="231F20"/>
        </w:rPr>
        <w:t>User</w:t>
      </w:r>
      <w:r>
        <w:rPr>
          <w:color w:val="231F20"/>
          <w:spacing w:val="9"/>
        </w:rPr>
        <w:t> </w:t>
      </w:r>
      <w:r>
        <w:rPr>
          <w:color w:val="231F20"/>
        </w:rPr>
        <w:t>Time</w:t>
      </w:r>
      <w:r>
        <w:rPr>
          <w:color w:val="231F20"/>
          <w:spacing w:val="9"/>
        </w:rPr>
        <w:t> </w:t>
      </w:r>
      <w:r>
        <w:rPr>
          <w:color w:val="231F20"/>
          <w:spacing w:val="-2"/>
        </w:rPr>
        <w:t>threshold</w:t>
      </w:r>
    </w:p>
    <w:p>
      <w:pPr>
        <w:pStyle w:val="BodyText"/>
        <w:spacing w:line="213" w:lineRule="auto" w:before="11"/>
        <w:ind w:left="3190" w:right="441"/>
        <w:jc w:val="both"/>
      </w:pPr>
      <w:r>
        <w:rPr>
          <w:color w:val="231F20"/>
        </w:rPr>
        <w:t>Next, we adjust the % User Time threshold by clicking in the </w:t>
      </w:r>
      <w:r>
        <w:rPr>
          <w:rFonts w:ascii="Book Antiqua"/>
          <w:b/>
          <w:color w:val="231F20"/>
        </w:rPr>
        <w:t>Condition </w:t>
      </w:r>
      <w:r>
        <w:rPr>
          <w:color w:val="231F20"/>
        </w:rPr>
        <w:t>column and changing from </w:t>
      </w:r>
      <w:r>
        <w:rPr>
          <w:rFonts w:ascii="Book Antiqua"/>
          <w:b/>
          <w:color w:val="231F20"/>
          <w:spacing w:val="16"/>
        </w:rPr>
        <w:t>&gt;</w:t>
      </w:r>
      <w:r>
        <w:rPr>
          <w:rFonts w:ascii="Book Antiqua"/>
          <w:b/>
          <w:color w:val="231F20"/>
          <w:spacing w:val="-3"/>
        </w:rPr>
        <w:t> </w:t>
      </w:r>
      <w:r>
        <w:rPr>
          <w:rFonts w:ascii="Book Antiqua"/>
          <w:b/>
          <w:color w:val="231F20"/>
        </w:rPr>
        <w:t>4 </w:t>
      </w:r>
      <w:r>
        <w:rPr>
          <w:color w:val="231F20"/>
        </w:rPr>
        <w:t>to </w:t>
      </w:r>
      <w:r>
        <w:rPr>
          <w:rFonts w:ascii="Book Antiqua"/>
          <w:b/>
          <w:color w:val="231F20"/>
        </w:rPr>
        <w:t>&gt; 40</w:t>
      </w:r>
      <w:r>
        <w:rPr>
          <w:color w:val="231F20"/>
        </w:rPr>
        <w:t>, which is reflected in the chart as the gray patterned area.</w:t>
      </w:r>
    </w:p>
    <w:p>
      <w:pPr>
        <w:spacing w:after="0" w:line="213" w:lineRule="auto"/>
        <w:jc w:val="both"/>
        <w:sectPr>
          <w:type w:val="continuous"/>
          <w:pgSz w:w="12240" w:h="15840"/>
          <w:pgMar w:header="0" w:footer="736" w:top="0" w:bottom="4660" w:left="1000" w:right="1060"/>
        </w:sectPr>
      </w:pPr>
    </w:p>
    <w:p>
      <w:pPr>
        <w:pStyle w:val="BodyText"/>
        <w:ind w:left="2951"/>
      </w:pPr>
      <w:bookmarkStart w:name="_bookmark215" w:id="454"/>
      <w:bookmarkEnd w:id="454"/>
      <w:r>
        <w:rPr/>
      </w:r>
      <w:r>
        <w:rPr/>
        <w:drawing>
          <wp:inline distT="0" distB="0" distL="0" distR="0">
            <wp:extent cx="4315484" cy="1331118"/>
            <wp:effectExtent l="0" t="0" r="0" b="0"/>
            <wp:docPr id="2436" name="Image 2436"/>
            <wp:cNvGraphicFramePr>
              <a:graphicFrameLocks/>
            </wp:cNvGraphicFramePr>
            <a:graphic>
              <a:graphicData uri="http://schemas.openxmlformats.org/drawingml/2006/picture">
                <pic:pic>
                  <pic:nvPicPr>
                    <pic:cNvPr id="2436" name="Image 2436"/>
                    <pic:cNvPicPr/>
                  </pic:nvPicPr>
                  <pic:blipFill>
                    <a:blip r:embed="rId394" cstate="print"/>
                    <a:stretch>
                      <a:fillRect/>
                    </a:stretch>
                  </pic:blipFill>
                  <pic:spPr>
                    <a:xfrm>
                      <a:off x="0" y="0"/>
                      <a:ext cx="4315484" cy="1331118"/>
                    </a:xfrm>
                    <a:prstGeom prst="rect">
                      <a:avLst/>
                    </a:prstGeom>
                  </pic:spPr>
                </pic:pic>
              </a:graphicData>
            </a:graphic>
          </wp:inline>
        </w:drawing>
      </w:r>
      <w:r>
        <w:rPr/>
      </w:r>
    </w:p>
    <w:p>
      <w:pPr>
        <w:pStyle w:val="BodyText"/>
        <w:spacing w:line="213" w:lineRule="auto" w:before="90"/>
        <w:ind w:left="2951" w:right="545"/>
      </w:pPr>
      <w:r>
        <w:rPr>
          <w:color w:val="231F20"/>
        </w:rPr>
        <w:t>The thresholds give a visual indicator of how often a situation created </w:t>
      </w:r>
      <w:r>
        <w:rPr>
          <w:color w:val="231F20"/>
        </w:rPr>
        <w:t>with these values would become true.</w:t>
      </w:r>
    </w:p>
    <w:p>
      <w:pPr>
        <w:pStyle w:val="Heading6"/>
        <w:ind w:left="2232"/>
      </w:pPr>
      <w:r>
        <w:rPr>
          <w:color w:val="231F20"/>
        </w:rPr>
        <w:t>Create</w:t>
      </w:r>
      <w:r>
        <w:rPr>
          <w:color w:val="231F20"/>
          <w:spacing w:val="10"/>
        </w:rPr>
        <w:t> </w:t>
      </w:r>
      <w:r>
        <w:rPr>
          <w:color w:val="231F20"/>
          <w:spacing w:val="-2"/>
        </w:rPr>
        <w:t>Situation</w:t>
      </w:r>
    </w:p>
    <w:p>
      <w:pPr>
        <w:pStyle w:val="BodyText"/>
        <w:spacing w:line="213" w:lineRule="auto" w:before="11"/>
        <w:ind w:left="2951" w:right="608"/>
      </w:pPr>
      <w:r>
        <w:rPr>
          <w:color w:val="231F20"/>
        </w:rPr>
        <w:t>After we click </w:t>
      </w:r>
      <w:r>
        <w:rPr>
          <w:rFonts w:ascii="Book Antiqua"/>
          <w:b/>
          <w:color w:val="231F20"/>
        </w:rPr>
        <w:t>Create Situation</w:t>
      </w:r>
      <w:r>
        <w:rPr>
          <w:color w:val="231F20"/>
        </w:rPr>
        <w:t>, the thresholds are inserted as </w:t>
      </w:r>
      <w:r>
        <w:rPr>
          <w:color w:val="231F20"/>
        </w:rPr>
        <w:t>expressions in the Situation editor. With the situation formula as it is now, an event</w:t>
      </w:r>
      <w:r>
        <w:rPr>
          <w:color w:val="231F20"/>
          <w:spacing w:val="80"/>
        </w:rPr>
        <w:t> </w:t>
      </w:r>
      <w:r>
        <w:rPr>
          <w:color w:val="231F20"/>
        </w:rPr>
        <w:t>will be opened when privileged time is over 70% and, at the same time, user time is over 40%.</w:t>
      </w:r>
    </w:p>
    <w:p>
      <w:pPr>
        <w:pStyle w:val="BodyText"/>
        <w:spacing w:before="7"/>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29"/>
        <w:gridCol w:w="3510"/>
        <w:gridCol w:w="3495"/>
      </w:tblGrid>
      <w:tr>
        <w:trPr>
          <w:trHeight w:val="274" w:hRule="atLeast"/>
        </w:trPr>
        <w:tc>
          <w:tcPr>
            <w:tcW w:w="529" w:type="dxa"/>
          </w:tcPr>
          <w:p>
            <w:pPr>
              <w:pStyle w:val="TableParagraph"/>
              <w:spacing w:before="0"/>
              <w:ind w:left="0"/>
              <w:rPr>
                <w:rFonts w:ascii="Times New Roman"/>
                <w:sz w:val="18"/>
              </w:rPr>
            </w:pPr>
          </w:p>
        </w:tc>
        <w:tc>
          <w:tcPr>
            <w:tcW w:w="3510" w:type="dxa"/>
          </w:tcPr>
          <w:p>
            <w:pPr>
              <w:pStyle w:val="TableParagraph"/>
              <w:spacing w:before="10"/>
              <w:rPr>
                <w:rFonts w:ascii="Book Antiqua"/>
                <w:b/>
                <w:sz w:val="18"/>
              </w:rPr>
            </w:pPr>
            <w:r>
              <w:rPr>
                <w:rFonts w:ascii="Book Antiqua"/>
                <w:b/>
                <w:color w:val="231F20"/>
                <w:sz w:val="18"/>
              </w:rPr>
              <w:t>%</w:t>
            </w:r>
            <w:r>
              <w:rPr>
                <w:rFonts w:ascii="Book Antiqua"/>
                <w:b/>
                <w:color w:val="231F20"/>
                <w:spacing w:val="8"/>
                <w:sz w:val="18"/>
              </w:rPr>
              <w:t> </w:t>
            </w:r>
            <w:r>
              <w:rPr>
                <w:rFonts w:ascii="Book Antiqua"/>
                <w:b/>
                <w:color w:val="231F20"/>
                <w:sz w:val="18"/>
              </w:rPr>
              <w:t>Privileged</w:t>
            </w:r>
            <w:r>
              <w:rPr>
                <w:rFonts w:ascii="Book Antiqua"/>
                <w:b/>
                <w:color w:val="231F20"/>
                <w:spacing w:val="9"/>
                <w:sz w:val="18"/>
              </w:rPr>
              <w:t> </w:t>
            </w:r>
            <w:r>
              <w:rPr>
                <w:rFonts w:ascii="Book Antiqua"/>
                <w:b/>
                <w:color w:val="231F20"/>
                <w:spacing w:val="-4"/>
                <w:sz w:val="18"/>
              </w:rPr>
              <w:t>Time</w:t>
            </w:r>
          </w:p>
        </w:tc>
        <w:tc>
          <w:tcPr>
            <w:tcW w:w="3495" w:type="dxa"/>
          </w:tcPr>
          <w:p>
            <w:pPr>
              <w:pStyle w:val="TableParagraph"/>
              <w:spacing w:before="10"/>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14" w:hRule="atLeast"/>
        </w:trPr>
        <w:tc>
          <w:tcPr>
            <w:tcW w:w="529" w:type="dxa"/>
          </w:tcPr>
          <w:p>
            <w:pPr>
              <w:pStyle w:val="TableParagraph"/>
              <w:ind w:left="0" w:right="3"/>
              <w:jc w:val="center"/>
              <w:rPr>
                <w:sz w:val="18"/>
              </w:rPr>
            </w:pPr>
            <w:r>
              <w:rPr>
                <w:color w:val="231F20"/>
                <w:spacing w:val="-10"/>
                <w:sz w:val="18"/>
              </w:rPr>
              <w:t>1</w:t>
            </w:r>
          </w:p>
        </w:tc>
        <w:tc>
          <w:tcPr>
            <w:tcW w:w="3510"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70</w:t>
            </w:r>
          </w:p>
        </w:tc>
        <w:tc>
          <w:tcPr>
            <w:tcW w:w="3495"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40</w:t>
            </w:r>
          </w:p>
        </w:tc>
      </w:tr>
    </w:tbl>
    <w:p>
      <w:pPr>
        <w:pStyle w:val="BodyText"/>
        <w:spacing w:before="16"/>
      </w:pPr>
    </w:p>
    <w:p>
      <w:pPr>
        <w:pStyle w:val="Heading6"/>
        <w:spacing w:before="0"/>
        <w:ind w:left="2232"/>
      </w:pPr>
      <w:r>
        <w:rPr>
          <w:color w:val="231F20"/>
        </w:rPr>
        <w:t>Edit</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spacing w:val="-2"/>
        </w:rPr>
        <w:t>formula</w:t>
      </w:r>
    </w:p>
    <w:p>
      <w:pPr>
        <w:pStyle w:val="BodyText"/>
        <w:spacing w:line="213" w:lineRule="auto" w:before="12"/>
        <w:ind w:left="2951" w:right="429"/>
      </w:pPr>
      <w:r>
        <w:rPr>
          <w:color w:val="231F20"/>
        </w:rPr>
        <w:t>We moved the % User Time value to a new row so that the situation</w:t>
      </w:r>
      <w:r>
        <w:rPr>
          <w:color w:val="231F20"/>
          <w:spacing w:val="40"/>
        </w:rPr>
        <w:t> </w:t>
      </w:r>
      <w:r>
        <w:rPr>
          <w:color w:val="231F20"/>
        </w:rPr>
        <w:t>becomes</w:t>
      </w:r>
      <w:r>
        <w:rPr>
          <w:color w:val="231F20"/>
          <w:spacing w:val="23"/>
        </w:rPr>
        <w:t> </w:t>
      </w:r>
      <w:r>
        <w:rPr>
          <w:color w:val="231F20"/>
        </w:rPr>
        <w:t>true</w:t>
      </w:r>
      <w:r>
        <w:rPr>
          <w:color w:val="231F20"/>
          <w:spacing w:val="23"/>
        </w:rPr>
        <w:t> </w:t>
      </w:r>
      <w:r>
        <w:rPr>
          <w:color w:val="231F20"/>
        </w:rPr>
        <w:t>when</w:t>
      </w:r>
      <w:r>
        <w:rPr>
          <w:color w:val="231F20"/>
          <w:spacing w:val="23"/>
        </w:rPr>
        <w:t> </w:t>
      </w:r>
      <w:r>
        <w:rPr>
          <w:rFonts w:ascii="Book Antiqua"/>
          <w:i/>
          <w:color w:val="231F20"/>
        </w:rPr>
        <w:t>either</w:t>
      </w:r>
      <w:r>
        <w:rPr>
          <w:rFonts w:ascii="Book Antiqua"/>
          <w:i/>
          <w:color w:val="231F20"/>
          <w:spacing w:val="23"/>
        </w:rPr>
        <w:t> </w:t>
      </w:r>
      <w:r>
        <w:rPr>
          <w:color w:val="231F20"/>
        </w:rPr>
        <w:t>the</w:t>
      </w:r>
      <w:r>
        <w:rPr>
          <w:color w:val="231F20"/>
          <w:spacing w:val="23"/>
        </w:rPr>
        <w:t> </w:t>
      </w:r>
      <w:r>
        <w:rPr>
          <w:color w:val="231F20"/>
        </w:rPr>
        <w:t>privileged</w:t>
      </w:r>
      <w:r>
        <w:rPr>
          <w:color w:val="231F20"/>
          <w:spacing w:val="23"/>
        </w:rPr>
        <w:t> </w:t>
      </w:r>
      <w:r>
        <w:rPr>
          <w:color w:val="231F20"/>
        </w:rPr>
        <w:t>time</w:t>
      </w:r>
      <w:r>
        <w:rPr>
          <w:color w:val="231F20"/>
          <w:spacing w:val="23"/>
        </w:rPr>
        <w:t> </w:t>
      </w:r>
      <w:r>
        <w:rPr>
          <w:color w:val="231F20"/>
        </w:rPr>
        <w:t>is</w:t>
      </w:r>
      <w:r>
        <w:rPr>
          <w:color w:val="231F20"/>
          <w:spacing w:val="23"/>
        </w:rPr>
        <w:t> </w:t>
      </w:r>
      <w:r>
        <w:rPr>
          <w:color w:val="231F20"/>
        </w:rPr>
        <w:t>over</w:t>
      </w:r>
      <w:r>
        <w:rPr>
          <w:color w:val="231F20"/>
          <w:spacing w:val="23"/>
        </w:rPr>
        <w:t> </w:t>
      </w:r>
      <w:r>
        <w:rPr>
          <w:color w:val="231F20"/>
        </w:rPr>
        <w:t>70%</w:t>
      </w:r>
      <w:r>
        <w:rPr>
          <w:color w:val="231F20"/>
          <w:spacing w:val="23"/>
        </w:rPr>
        <w:t> </w:t>
      </w:r>
      <w:r>
        <w:rPr>
          <w:color w:val="231F20"/>
        </w:rPr>
        <w:t>or</w:t>
      </w:r>
      <w:r>
        <w:rPr>
          <w:color w:val="231F20"/>
          <w:spacing w:val="23"/>
        </w:rPr>
        <w:t> </w:t>
      </w:r>
      <w:r>
        <w:rPr>
          <w:color w:val="231F20"/>
        </w:rPr>
        <w:t>the</w:t>
      </w:r>
      <w:r>
        <w:rPr>
          <w:color w:val="231F20"/>
          <w:spacing w:val="23"/>
        </w:rPr>
        <w:t> </w:t>
      </w:r>
      <w:r>
        <w:rPr>
          <w:color w:val="231F20"/>
        </w:rPr>
        <w:t>user</w:t>
      </w:r>
      <w:r>
        <w:rPr>
          <w:color w:val="231F20"/>
          <w:spacing w:val="23"/>
        </w:rPr>
        <w:t> </w:t>
      </w:r>
      <w:r>
        <w:rPr>
          <w:color w:val="231F20"/>
        </w:rPr>
        <w:t>time is</w:t>
      </w:r>
      <w:r>
        <w:rPr>
          <w:color w:val="231F20"/>
          <w:spacing w:val="22"/>
        </w:rPr>
        <w:t> </w:t>
      </w:r>
      <w:r>
        <w:rPr>
          <w:color w:val="231F20"/>
        </w:rPr>
        <w:t>over</w:t>
      </w:r>
      <w:r>
        <w:rPr>
          <w:color w:val="231F20"/>
          <w:spacing w:val="22"/>
        </w:rPr>
        <w:t> </w:t>
      </w:r>
      <w:r>
        <w:rPr>
          <w:color w:val="231F20"/>
        </w:rPr>
        <w:t>40%.</w:t>
      </w:r>
      <w:r>
        <w:rPr>
          <w:color w:val="231F20"/>
          <w:spacing w:val="22"/>
        </w:rPr>
        <w:t> </w:t>
      </w:r>
      <w:r>
        <w:rPr>
          <w:color w:val="231F20"/>
        </w:rPr>
        <w:t>Be</w:t>
      </w:r>
      <w:r>
        <w:rPr>
          <w:color w:val="231F20"/>
          <w:spacing w:val="21"/>
        </w:rPr>
        <w:t> </w:t>
      </w:r>
      <w:r>
        <w:rPr>
          <w:color w:val="231F20"/>
        </w:rPr>
        <w:t>aware</w:t>
      </w:r>
      <w:r>
        <w:rPr>
          <w:color w:val="231F20"/>
          <w:spacing w:val="22"/>
        </w:rPr>
        <w:t> </w:t>
      </w:r>
      <w:r>
        <w:rPr>
          <w:color w:val="231F20"/>
        </w:rPr>
        <w:t>that</w:t>
      </w:r>
      <w:r>
        <w:rPr>
          <w:color w:val="231F20"/>
          <w:spacing w:val="22"/>
        </w:rPr>
        <w:t> </w:t>
      </w:r>
      <w:r>
        <w:rPr>
          <w:color w:val="231F20"/>
        </w:rPr>
        <w:t>now</w:t>
      </w:r>
      <w:r>
        <w:rPr>
          <w:color w:val="231F20"/>
          <w:spacing w:val="22"/>
        </w:rPr>
        <w:t> </w:t>
      </w:r>
      <w:r>
        <w:rPr>
          <w:color w:val="231F20"/>
        </w:rPr>
        <w:t>that</w:t>
      </w:r>
      <w:r>
        <w:rPr>
          <w:color w:val="231F20"/>
          <w:spacing w:val="21"/>
        </w:rPr>
        <w:t> </w:t>
      </w:r>
      <w:r>
        <w:rPr>
          <w:color w:val="231F20"/>
        </w:rPr>
        <w:t>the</w:t>
      </w:r>
      <w:r>
        <w:rPr>
          <w:color w:val="231F20"/>
          <w:spacing w:val="22"/>
        </w:rPr>
        <w:t> </w:t>
      </w:r>
      <w:r>
        <w:rPr>
          <w:color w:val="231F20"/>
        </w:rPr>
        <w:t>situation</w:t>
      </w:r>
      <w:r>
        <w:rPr>
          <w:color w:val="231F20"/>
          <w:spacing w:val="22"/>
        </w:rPr>
        <w:t> </w:t>
      </w:r>
      <w:r>
        <w:rPr>
          <w:color w:val="231F20"/>
        </w:rPr>
        <w:t>has</w:t>
      </w:r>
      <w:r>
        <w:rPr>
          <w:color w:val="231F20"/>
          <w:spacing w:val="22"/>
        </w:rPr>
        <w:t> </w:t>
      </w:r>
      <w:r>
        <w:rPr>
          <w:color w:val="231F20"/>
        </w:rPr>
        <w:t>Boolean</w:t>
      </w:r>
      <w:r>
        <w:rPr>
          <w:color w:val="231F20"/>
          <w:spacing w:val="21"/>
        </w:rPr>
        <w:t> </w:t>
      </w:r>
      <w:r>
        <w:rPr>
          <w:color w:val="231F20"/>
        </w:rPr>
        <w:t>OR</w:t>
      </w:r>
      <w:r>
        <w:rPr>
          <w:color w:val="231F20"/>
          <w:spacing w:val="22"/>
        </w:rPr>
        <w:t> </w:t>
      </w:r>
      <w:r>
        <w:rPr>
          <w:color w:val="231F20"/>
        </w:rPr>
        <w:t>logic,</w:t>
      </w:r>
      <w:r>
        <w:rPr>
          <w:color w:val="231F20"/>
          <w:spacing w:val="22"/>
        </w:rPr>
        <w:t> </w:t>
      </w:r>
      <w:r>
        <w:rPr>
          <w:color w:val="231F20"/>
        </w:rPr>
        <w:t>it is not eligible for situation modeling; thus, when the situation is selected </w:t>
      </w:r>
      <w:r>
        <w:rPr>
          <w:color w:val="231F20"/>
        </w:rPr>
        <w:t>in the</w:t>
      </w:r>
      <w:r>
        <w:rPr>
          <w:color w:val="231F20"/>
          <w:spacing w:val="29"/>
        </w:rPr>
        <w:t> </w:t>
      </w:r>
      <w:r>
        <w:rPr>
          <w:color w:val="231F20"/>
        </w:rPr>
        <w:t>Manage</w:t>
      </w:r>
      <w:r>
        <w:rPr>
          <w:color w:val="231F20"/>
          <w:spacing w:val="29"/>
        </w:rPr>
        <w:t> </w:t>
      </w:r>
      <w:r>
        <w:rPr>
          <w:color w:val="231F20"/>
        </w:rPr>
        <w:t>Situations</w:t>
      </w:r>
      <w:r>
        <w:rPr>
          <w:color w:val="231F20"/>
          <w:spacing w:val="29"/>
        </w:rPr>
        <w:t> </w:t>
      </w:r>
      <w:r>
        <w:rPr>
          <w:color w:val="231F20"/>
        </w:rPr>
        <w:t>at</w:t>
      </w:r>
      <w:r>
        <w:rPr>
          <w:color w:val="231F20"/>
          <w:spacing w:val="29"/>
        </w:rPr>
        <w:t> </w:t>
      </w:r>
      <w:r>
        <w:rPr>
          <w:color w:val="231F20"/>
        </w:rPr>
        <w:t>Managed</w:t>
      </w:r>
      <w:r>
        <w:rPr>
          <w:color w:val="231F20"/>
          <w:spacing w:val="29"/>
        </w:rPr>
        <w:t> </w:t>
      </w:r>
      <w:r>
        <w:rPr>
          <w:color w:val="231F20"/>
        </w:rPr>
        <w:t>System</w:t>
      </w:r>
      <w:r>
        <w:rPr>
          <w:color w:val="231F20"/>
          <w:spacing w:val="29"/>
        </w:rPr>
        <w:t> </w:t>
      </w:r>
      <w:r>
        <w:rPr>
          <w:color w:val="231F20"/>
        </w:rPr>
        <w:t>window,</w:t>
      </w:r>
      <w:r>
        <w:rPr>
          <w:color w:val="231F20"/>
          <w:spacing w:val="40"/>
        </w:rPr>
        <w:t> </w:t>
      </w:r>
      <w:r>
        <w:rPr>
          <w:color w:val="231F20"/>
          <w:spacing w:val="-25"/>
          <w:position w:val="-1"/>
        </w:rPr>
        <w:drawing>
          <wp:inline distT="0" distB="0" distL="0" distR="0">
            <wp:extent cx="88900" cy="95250"/>
            <wp:effectExtent l="0" t="0" r="0" b="0"/>
            <wp:docPr id="2437" name="Image 2437"/>
            <wp:cNvGraphicFramePr>
              <a:graphicFrameLocks/>
            </wp:cNvGraphicFramePr>
            <a:graphic>
              <a:graphicData uri="http://schemas.openxmlformats.org/drawingml/2006/picture">
                <pic:pic>
                  <pic:nvPicPr>
                    <pic:cNvPr id="2437" name="Image 2437"/>
                    <pic:cNvPicPr/>
                  </pic:nvPicPr>
                  <pic:blipFill>
                    <a:blip r:embed="rId102" cstate="print"/>
                    <a:stretch>
                      <a:fillRect/>
                    </a:stretch>
                  </pic:blipFill>
                  <pic:spPr>
                    <a:xfrm>
                      <a:off x="0" y="0"/>
                      <a:ext cx="88900" cy="95250"/>
                    </a:xfrm>
                    <a:prstGeom prst="rect">
                      <a:avLst/>
                    </a:prstGeom>
                  </pic:spPr>
                </pic:pic>
              </a:graphicData>
            </a:graphic>
          </wp:inline>
        </w:drawing>
      </w:r>
      <w:r>
        <w:rPr>
          <w:color w:val="231F20"/>
          <w:spacing w:val="-25"/>
          <w:position w:val="-1"/>
        </w:rPr>
      </w:r>
      <w:r>
        <w:rPr>
          <w:rFonts w:ascii="Times New Roman"/>
          <w:color w:val="231F20"/>
          <w:spacing w:val="40"/>
        </w:rPr>
        <w:t> </w:t>
      </w:r>
      <w:r>
        <w:rPr>
          <w:rFonts w:ascii="Book Antiqua"/>
          <w:b/>
          <w:color w:val="231F20"/>
        </w:rPr>
        <w:t>Model</w:t>
      </w:r>
      <w:r>
        <w:rPr>
          <w:rFonts w:ascii="Book Antiqua"/>
          <w:b/>
          <w:color w:val="231F20"/>
          <w:spacing w:val="29"/>
        </w:rPr>
        <w:t> </w:t>
      </w:r>
      <w:r>
        <w:rPr>
          <w:rFonts w:ascii="Book Antiqua"/>
          <w:b/>
          <w:color w:val="231F20"/>
        </w:rPr>
        <w:t>Situation </w:t>
      </w:r>
      <w:r>
        <w:rPr>
          <w:color w:val="231F20"/>
        </w:rPr>
        <w:t>will be disabled.</w:t>
      </w:r>
    </w:p>
    <w:p>
      <w:pPr>
        <w:pStyle w:val="BodyText"/>
        <w:spacing w:before="5"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29"/>
        <w:gridCol w:w="3510"/>
        <w:gridCol w:w="3495"/>
      </w:tblGrid>
      <w:tr>
        <w:trPr>
          <w:trHeight w:val="274" w:hRule="atLeast"/>
        </w:trPr>
        <w:tc>
          <w:tcPr>
            <w:tcW w:w="529" w:type="dxa"/>
          </w:tcPr>
          <w:p>
            <w:pPr>
              <w:pStyle w:val="TableParagraph"/>
              <w:spacing w:before="0"/>
              <w:ind w:left="0"/>
              <w:rPr>
                <w:rFonts w:ascii="Times New Roman"/>
                <w:sz w:val="18"/>
              </w:rPr>
            </w:pPr>
          </w:p>
        </w:tc>
        <w:tc>
          <w:tcPr>
            <w:tcW w:w="3510" w:type="dxa"/>
          </w:tcPr>
          <w:p>
            <w:pPr>
              <w:pStyle w:val="TableParagraph"/>
              <w:spacing w:before="10"/>
              <w:rPr>
                <w:rFonts w:ascii="Book Antiqua"/>
                <w:b/>
                <w:sz w:val="18"/>
              </w:rPr>
            </w:pPr>
            <w:r>
              <w:rPr>
                <w:rFonts w:ascii="Book Antiqua"/>
                <w:b/>
                <w:color w:val="231F20"/>
                <w:sz w:val="18"/>
              </w:rPr>
              <w:t>%</w:t>
            </w:r>
            <w:r>
              <w:rPr>
                <w:rFonts w:ascii="Book Antiqua"/>
                <w:b/>
                <w:color w:val="231F20"/>
                <w:spacing w:val="8"/>
                <w:sz w:val="18"/>
              </w:rPr>
              <w:t> </w:t>
            </w:r>
            <w:r>
              <w:rPr>
                <w:rFonts w:ascii="Book Antiqua"/>
                <w:b/>
                <w:color w:val="231F20"/>
                <w:sz w:val="18"/>
              </w:rPr>
              <w:t>Privileged</w:t>
            </w:r>
            <w:r>
              <w:rPr>
                <w:rFonts w:ascii="Book Antiqua"/>
                <w:b/>
                <w:color w:val="231F20"/>
                <w:spacing w:val="9"/>
                <w:sz w:val="18"/>
              </w:rPr>
              <w:t> </w:t>
            </w:r>
            <w:r>
              <w:rPr>
                <w:rFonts w:ascii="Book Antiqua"/>
                <w:b/>
                <w:color w:val="231F20"/>
                <w:spacing w:val="-4"/>
                <w:sz w:val="18"/>
              </w:rPr>
              <w:t>Time</w:t>
            </w:r>
          </w:p>
        </w:tc>
        <w:tc>
          <w:tcPr>
            <w:tcW w:w="3495" w:type="dxa"/>
          </w:tcPr>
          <w:p>
            <w:pPr>
              <w:pStyle w:val="TableParagraph"/>
              <w:spacing w:before="10"/>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User</w:t>
            </w:r>
            <w:r>
              <w:rPr>
                <w:rFonts w:ascii="Book Antiqua"/>
                <w:b/>
                <w:color w:val="231F20"/>
                <w:spacing w:val="11"/>
                <w:sz w:val="18"/>
              </w:rPr>
              <w:t> </w:t>
            </w:r>
            <w:r>
              <w:rPr>
                <w:rFonts w:ascii="Book Antiqua"/>
                <w:b/>
                <w:color w:val="231F20"/>
                <w:spacing w:val="-4"/>
                <w:sz w:val="18"/>
              </w:rPr>
              <w:t>Time</w:t>
            </w:r>
          </w:p>
        </w:tc>
      </w:tr>
      <w:tr>
        <w:trPr>
          <w:trHeight w:val="309" w:hRule="atLeast"/>
        </w:trPr>
        <w:tc>
          <w:tcPr>
            <w:tcW w:w="529" w:type="dxa"/>
          </w:tcPr>
          <w:p>
            <w:pPr>
              <w:pStyle w:val="TableParagraph"/>
              <w:ind w:left="44"/>
              <w:rPr>
                <w:sz w:val="18"/>
              </w:rPr>
            </w:pPr>
            <w:r>
              <w:rPr>
                <w:color w:val="231F20"/>
                <w:spacing w:val="-10"/>
                <w:sz w:val="18"/>
              </w:rPr>
              <w:t>1</w:t>
            </w:r>
          </w:p>
        </w:tc>
        <w:tc>
          <w:tcPr>
            <w:tcW w:w="3510"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70</w:t>
            </w:r>
          </w:p>
        </w:tc>
        <w:tc>
          <w:tcPr>
            <w:tcW w:w="3495" w:type="dxa"/>
          </w:tcPr>
          <w:p>
            <w:pPr>
              <w:pStyle w:val="TableParagraph"/>
              <w:spacing w:before="0"/>
              <w:ind w:left="0"/>
              <w:rPr>
                <w:rFonts w:ascii="Times New Roman"/>
                <w:sz w:val="18"/>
              </w:rPr>
            </w:pPr>
          </w:p>
        </w:tc>
      </w:tr>
      <w:tr>
        <w:trPr>
          <w:trHeight w:val="314" w:hRule="atLeast"/>
        </w:trPr>
        <w:tc>
          <w:tcPr>
            <w:tcW w:w="529" w:type="dxa"/>
          </w:tcPr>
          <w:p>
            <w:pPr>
              <w:pStyle w:val="TableParagraph"/>
              <w:ind w:left="44"/>
              <w:rPr>
                <w:sz w:val="18"/>
              </w:rPr>
            </w:pPr>
            <w:r>
              <w:rPr>
                <w:color w:val="231F20"/>
                <w:spacing w:val="-10"/>
                <w:sz w:val="18"/>
              </w:rPr>
              <w:t>2</w:t>
            </w:r>
          </w:p>
        </w:tc>
        <w:tc>
          <w:tcPr>
            <w:tcW w:w="3510" w:type="dxa"/>
          </w:tcPr>
          <w:p>
            <w:pPr>
              <w:pStyle w:val="TableParagraph"/>
              <w:spacing w:before="0"/>
              <w:ind w:left="0"/>
              <w:rPr>
                <w:rFonts w:ascii="Times New Roman"/>
                <w:sz w:val="18"/>
              </w:rPr>
            </w:pPr>
          </w:p>
        </w:tc>
        <w:tc>
          <w:tcPr>
            <w:tcW w:w="3495" w:type="dxa"/>
          </w:tcPr>
          <w:p>
            <w:pPr>
              <w:pStyle w:val="TableParagraph"/>
              <w:rPr>
                <w:sz w:val="18"/>
              </w:rPr>
            </w:pPr>
            <w:r>
              <w:rPr>
                <w:color w:val="231F20"/>
                <w:w w:val="110"/>
                <w:sz w:val="18"/>
              </w:rPr>
              <w:t>&gt;</w:t>
            </w:r>
            <w:r>
              <w:rPr>
                <w:color w:val="231F20"/>
                <w:spacing w:val="18"/>
                <w:w w:val="110"/>
                <w:sz w:val="18"/>
              </w:rPr>
              <w:t> </w:t>
            </w:r>
            <w:r>
              <w:rPr>
                <w:color w:val="231F20"/>
                <w:spacing w:val="-7"/>
                <w:w w:val="110"/>
                <w:sz w:val="18"/>
              </w:rPr>
              <w:t>40</w:t>
            </w:r>
          </w:p>
        </w:tc>
      </w:tr>
    </w:tbl>
    <w:p>
      <w:pPr>
        <w:pStyle w:val="Heading6"/>
        <w:spacing w:line="240" w:lineRule="auto" w:before="205"/>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jc w:val="both"/>
      </w:pPr>
      <w:hyperlink w:history="true" w:anchor="_bookmark212">
        <w:r>
          <w:rPr>
            <w:color w:val="231F20"/>
          </w:rPr>
          <w:t>“Modeling</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with</w:t>
        </w:r>
        <w:r>
          <w:rPr>
            <w:color w:val="231F20"/>
            <w:spacing w:val="11"/>
          </w:rPr>
          <w:t> </w:t>
        </w:r>
        <w:r>
          <w:rPr>
            <w:color w:val="231F20"/>
          </w:rPr>
          <w:t>view</w:t>
        </w:r>
        <w:r>
          <w:rPr>
            <w:color w:val="231F20"/>
            <w:spacing w:val="12"/>
          </w:rPr>
          <w:t> </w:t>
        </w:r>
        <w:r>
          <w:rPr>
            <w:color w:val="231F20"/>
          </w:rPr>
          <w:t>data”</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286</w:t>
        </w:r>
      </w:hyperlink>
    </w:p>
    <w:p>
      <w:pPr>
        <w:pStyle w:val="BodyText"/>
        <w:spacing w:line="213" w:lineRule="auto" w:before="8"/>
        <w:ind w:left="2232" w:right="648"/>
        <w:jc w:val="both"/>
      </w:pPr>
      <w:r>
        <w:rPr>
          <w:color w:val="231F20"/>
        </w:rPr>
        <w:t>Use the values from the current chart or table to model threshold conditions and then use the results in a new situation. Historical views are particularly valuable for researching thresholds.</w:t>
      </w:r>
    </w:p>
    <w:p>
      <w:pPr>
        <w:pStyle w:val="BodyText"/>
        <w:spacing w:line="255" w:lineRule="exact" w:before="35"/>
        <w:ind w:left="2232"/>
        <w:jc w:val="both"/>
      </w:pPr>
      <w:hyperlink w:history="true" w:anchor="_bookmark213">
        <w:r>
          <w:rPr>
            <w:color w:val="231F20"/>
          </w:rPr>
          <w:t>“Modeling</w:t>
        </w:r>
        <w:r>
          <w:rPr>
            <w:color w:val="231F20"/>
            <w:spacing w:val="10"/>
          </w:rPr>
          <w:t> </w:t>
        </w:r>
        <w:r>
          <w:rPr>
            <w:color w:val="231F20"/>
          </w:rPr>
          <w:t>with</w:t>
        </w:r>
        <w:r>
          <w:rPr>
            <w:color w:val="231F20"/>
            <w:spacing w:val="11"/>
          </w:rPr>
          <w:t> </w:t>
        </w:r>
        <w:r>
          <w:rPr>
            <w:color w:val="231F20"/>
          </w:rPr>
          <w:t>an</w:t>
        </w:r>
        <w:r>
          <w:rPr>
            <w:color w:val="231F20"/>
            <w:spacing w:val="10"/>
          </w:rPr>
          <w:t> </w:t>
        </w:r>
        <w:r>
          <w:rPr>
            <w:color w:val="231F20"/>
          </w:rPr>
          <w:t>existing</w:t>
        </w:r>
        <w:r>
          <w:rPr>
            <w:color w:val="231F20"/>
            <w:spacing w:val="11"/>
          </w:rPr>
          <w:t> </w:t>
        </w:r>
        <w:r>
          <w:rPr>
            <w:color w:val="231F20"/>
          </w:rPr>
          <w:t>situation”</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5"/>
          </w:rPr>
          <w:t>287</w:t>
        </w:r>
      </w:hyperlink>
    </w:p>
    <w:p>
      <w:pPr>
        <w:pStyle w:val="BodyText"/>
        <w:spacing w:line="213" w:lineRule="auto" w:before="8"/>
        <w:ind w:left="2232" w:right="636"/>
      </w:pPr>
      <w:r>
        <w:rPr>
          <w:color w:val="231F20"/>
        </w:rPr>
        <w:t>Use situation modeling to calculate new threshold values for an existing situation or to create another situation with the modeling results, replacing the original situation thresholds. This enables you to fine tune the situation so that it does not open events unnecessarily or, conversely, miss important issues.</w:t>
      </w:r>
    </w:p>
    <w:p>
      <w:pPr>
        <w:pStyle w:val="BodyText"/>
        <w:spacing w:before="4"/>
        <w:rPr>
          <w:sz w:val="16"/>
        </w:rPr>
      </w:pPr>
      <w:r>
        <w:rPr/>
        <mc:AlternateContent>
          <mc:Choice Requires="wps">
            <w:drawing>
              <wp:anchor distT="0" distB="0" distL="0" distR="0" allowOverlap="1" layoutInCell="1" locked="0" behindDoc="1" simplePos="0" relativeHeight="487728640">
                <wp:simplePos x="0" y="0"/>
                <wp:positionH relativeFrom="page">
                  <wp:posOffset>760323</wp:posOffset>
                </wp:positionH>
                <wp:positionV relativeFrom="paragraph">
                  <wp:posOffset>155031</wp:posOffset>
                </wp:positionV>
                <wp:extent cx="6082665" cy="1270"/>
                <wp:effectExtent l="0" t="0" r="0" b="0"/>
                <wp:wrapTopAndBottom/>
                <wp:docPr id="2438" name="Graphic 2438"/>
                <wp:cNvGraphicFramePr>
                  <a:graphicFrameLocks/>
                </wp:cNvGraphicFramePr>
                <a:graphic>
                  <a:graphicData uri="http://schemas.microsoft.com/office/word/2010/wordprocessingShape">
                    <wps:wsp>
                      <wps:cNvPr id="2438" name="Graphic 243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07232pt;width:478.95pt;height:.1pt;mso-position-horizontal-relative:page;mso-position-vertical-relative:paragraph;z-index:-15587840;mso-wrap-distance-left:0;mso-wrap-distance-right:0" id="docshape217" coordorigin="1197,244" coordsize="9579,0" path="m1197,244l10776,244e" filled="false" stroked="true" strokeweight=".499pt" strokecolor="#231f20">
                <v:path arrowok="t"/>
                <v:stroke dashstyle="solid"/>
                <w10:wrap type="topAndBottom"/>
              </v:shape>
            </w:pict>
          </mc:Fallback>
        </mc:AlternateContent>
      </w:r>
    </w:p>
    <w:p>
      <w:pPr>
        <w:pStyle w:val="Heading3"/>
        <w:ind w:left="197"/>
      </w:pPr>
      <w:bookmarkStart w:name="Editing a situation" w:id="455"/>
      <w:bookmarkEnd w:id="455"/>
      <w:r>
        <w:rPr>
          <w:b w:val="0"/>
        </w:rPr>
      </w:r>
      <w:r>
        <w:rPr>
          <w:color w:val="231F20"/>
        </w:rPr>
        <w:t>Editing</w:t>
      </w:r>
      <w:r>
        <w:rPr>
          <w:color w:val="231F20"/>
          <w:spacing w:val="9"/>
        </w:rPr>
        <w:t> </w:t>
      </w:r>
      <w:r>
        <w:rPr>
          <w:color w:val="231F20"/>
        </w:rPr>
        <w:t>a</w:t>
      </w:r>
      <w:r>
        <w:rPr>
          <w:color w:val="231F20"/>
          <w:spacing w:val="9"/>
        </w:rPr>
        <w:t> </w:t>
      </w:r>
      <w:r>
        <w:rPr>
          <w:color w:val="231F20"/>
          <w:spacing w:val="-2"/>
        </w:rPr>
        <w:t>situation</w:t>
      </w:r>
    </w:p>
    <w:p>
      <w:pPr>
        <w:pStyle w:val="BodyText"/>
        <w:spacing w:line="213" w:lineRule="auto" w:before="138"/>
        <w:ind w:left="2232" w:right="608"/>
      </w:pPr>
      <w:r>
        <w:rPr>
          <w:color w:val="231F20"/>
        </w:rPr>
        <w:t>Situation maintenance is done in the Situation editor. You might want to fine tune</w:t>
      </w:r>
      <w:r>
        <w:rPr>
          <w:color w:val="231F20"/>
          <w:spacing w:val="80"/>
        </w:rPr>
        <w:t> </w:t>
      </w:r>
      <w:r>
        <w:rPr>
          <w:color w:val="231F20"/>
        </w:rPr>
        <w:t>a situation so it fires when the condition is truly at a warning or critical level and</w:t>
      </w:r>
      <w:r>
        <w:rPr>
          <w:color w:val="231F20"/>
          <w:spacing w:val="40"/>
        </w:rPr>
        <w:t> </w:t>
      </w:r>
      <w:r>
        <w:rPr>
          <w:color w:val="231F20"/>
        </w:rPr>
        <w:t>not too early or too late. Or you might want to delete situations you no longer</w:t>
      </w:r>
      <w:r>
        <w:rPr>
          <w:color w:val="231F20"/>
          <w:spacing w:val="80"/>
        </w:rPr>
        <w:t> </w:t>
      </w:r>
      <w:r>
        <w:rPr>
          <w:color w:val="231F20"/>
          <w:spacing w:val="-2"/>
        </w:rPr>
        <w:t>need.</w:t>
      </w:r>
    </w:p>
    <w:p>
      <w:pPr>
        <w:spacing w:after="0" w:line="213" w:lineRule="auto"/>
        <w:sectPr>
          <w:pgSz w:w="12240" w:h="15840"/>
          <w:pgMar w:header="0" w:footer="736" w:top="1460" w:bottom="920" w:left="1000" w:right="1060"/>
        </w:sectPr>
      </w:pPr>
    </w:p>
    <w:p>
      <w:pPr>
        <w:pStyle w:val="Heading4"/>
        <w:spacing w:before="86"/>
        <w:ind w:left="2472"/>
      </w:pPr>
      <w:bookmarkStart w:name="_bookmark216" w:id="456"/>
      <w:bookmarkEnd w:id="456"/>
      <w:r>
        <w:rPr>
          <w:b w:val="0"/>
        </w:rPr>
      </w: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545"/>
      </w:pPr>
      <w:r>
        <w:rPr>
          <w:rFonts w:ascii="Book Antiqua"/>
          <w:b/>
          <w:color w:val="231F20"/>
        </w:rPr>
        <w:t>Note:</w:t>
      </w:r>
      <w:r>
        <w:rPr>
          <w:rFonts w:ascii="Book Antiqua"/>
          <w:b/>
          <w:color w:val="231F20"/>
          <w:spacing w:val="40"/>
        </w:rPr>
        <w:t> </w:t>
      </w:r>
      <w:r>
        <w:rPr>
          <w:color w:val="231F20"/>
        </w:rPr>
        <w:t>If you plan to modify a predefined situation, copy the situation with </w:t>
      </w:r>
      <w:r>
        <w:rPr>
          <w:color w:val="231F20"/>
          <w:spacing w:val="24"/>
          <w:position w:val="-1"/>
        </w:rPr>
        <w:drawing>
          <wp:inline distT="0" distB="0" distL="0" distR="0">
            <wp:extent cx="95250" cy="95250"/>
            <wp:effectExtent l="0" t="0" r="0" b="0"/>
            <wp:docPr id="2439" name="Image 2439"/>
            <wp:cNvGraphicFramePr>
              <a:graphicFrameLocks/>
            </wp:cNvGraphicFramePr>
            <a:graphic>
              <a:graphicData uri="http://schemas.openxmlformats.org/drawingml/2006/picture">
                <pic:pic>
                  <pic:nvPicPr>
                    <pic:cNvPr id="2439" name="Image 2439"/>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24"/>
          <w:position w:val="-1"/>
        </w:rPr>
        <w:t> </w:t>
      </w:r>
      <w:r>
        <w:rPr>
          <w:rFonts w:ascii="Book Antiqua"/>
          <w:b/>
          <w:color w:val="231F20"/>
        </w:rPr>
        <w:t>Create Another </w:t>
      </w:r>
      <w:r>
        <w:rPr>
          <w:color w:val="231F20"/>
        </w:rPr>
        <w:t>and edit the copy. This ensures that you can start again with the original should you need to.</w:t>
      </w:r>
    </w:p>
    <w:p>
      <w:pPr>
        <w:pStyle w:val="BodyText"/>
        <w:spacing w:line="213" w:lineRule="auto" w:before="237"/>
        <w:ind w:left="2472" w:right="545" w:firstLine="20"/>
      </w:pPr>
      <w:r>
        <w:rPr>
          <w:position w:val="-1"/>
        </w:rPr>
        <w:drawing>
          <wp:inline distT="0" distB="0" distL="0" distR="0">
            <wp:extent cx="82550" cy="101600"/>
            <wp:effectExtent l="0" t="0" r="0" b="0"/>
            <wp:docPr id="2440" name="Image 2440"/>
            <wp:cNvGraphicFramePr>
              <a:graphicFrameLocks/>
            </wp:cNvGraphicFramePr>
            <a:graphic>
              <a:graphicData uri="http://schemas.openxmlformats.org/drawingml/2006/picture">
                <pic:pic>
                  <pic:nvPicPr>
                    <pic:cNvPr id="2440" name="Image 2440"/>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Your user ID must have Modify Situation permissions to open the </w:t>
      </w:r>
      <w:r>
        <w:rPr>
          <w:color w:val="231F20"/>
        </w:rPr>
        <w:t>Situation editor for creating and maintaining situations.</w:t>
      </w:r>
    </w:p>
    <w:p>
      <w:pPr>
        <w:pStyle w:val="BodyText"/>
        <w:spacing w:before="215"/>
        <w:ind w:left="2472"/>
      </w:pPr>
      <w:r>
        <w:rPr>
          <w:color w:val="231F20"/>
        </w:rPr>
        <w:t>Follow</w:t>
      </w:r>
      <w:r>
        <w:rPr>
          <w:color w:val="231F20"/>
          <w:spacing w:val="12"/>
        </w:rPr>
        <w:t> </w:t>
      </w:r>
      <w:r>
        <w:rPr>
          <w:color w:val="231F20"/>
        </w:rPr>
        <w:t>these</w:t>
      </w:r>
      <w:r>
        <w:rPr>
          <w:color w:val="231F20"/>
          <w:spacing w:val="12"/>
        </w:rPr>
        <w:t> </w:t>
      </w:r>
      <w:r>
        <w:rPr>
          <w:color w:val="231F20"/>
        </w:rPr>
        <w:t>steps</w:t>
      </w:r>
      <w:r>
        <w:rPr>
          <w:color w:val="231F20"/>
          <w:spacing w:val="13"/>
        </w:rPr>
        <w:t> </w:t>
      </w:r>
      <w:r>
        <w:rPr>
          <w:color w:val="231F20"/>
        </w:rPr>
        <w:t>to</w:t>
      </w:r>
      <w:r>
        <w:rPr>
          <w:color w:val="231F20"/>
          <w:spacing w:val="12"/>
        </w:rPr>
        <w:t> </w:t>
      </w:r>
      <w:r>
        <w:rPr>
          <w:color w:val="231F20"/>
        </w:rPr>
        <w:t>edit</w:t>
      </w:r>
      <w:r>
        <w:rPr>
          <w:color w:val="231F20"/>
          <w:spacing w:val="13"/>
        </w:rPr>
        <w:t> </w:t>
      </w:r>
      <w:r>
        <w:rPr>
          <w:color w:val="231F20"/>
        </w:rPr>
        <w:t>a</w:t>
      </w:r>
      <w:r>
        <w:rPr>
          <w:color w:val="231F20"/>
          <w:spacing w:val="12"/>
        </w:rPr>
        <w:t> </w:t>
      </w:r>
      <w:r>
        <w:rPr>
          <w:color w:val="231F20"/>
          <w:spacing w:val="-2"/>
        </w:rPr>
        <w:t>situation:</w:t>
      </w:r>
    </w:p>
    <w:p>
      <w:pPr>
        <w:pStyle w:val="ListParagraph"/>
        <w:numPr>
          <w:ilvl w:val="0"/>
          <w:numId w:val="129"/>
        </w:numPr>
        <w:tabs>
          <w:tab w:pos="2788" w:val="left" w:leader="none"/>
          <w:tab w:pos="2854" w:val="left" w:leader="none"/>
        </w:tabs>
        <w:spacing w:line="213" w:lineRule="auto" w:before="53" w:after="0"/>
        <w:ind w:left="2788" w:right="174" w:hanging="316"/>
        <w:jc w:val="left"/>
        <w:rPr>
          <w:sz w:val="20"/>
        </w:rPr>
      </w:pPr>
      <w:r>
        <w:rPr>
          <w:rFonts w:ascii="Arial" w:hAnsi="Arial"/>
          <w:color w:val="231F20"/>
          <w:sz w:val="20"/>
        </w:rPr>
        <w:tab/>
      </w:r>
      <w:r>
        <w:rPr>
          <w:color w:val="231F20"/>
          <w:sz w:val="20"/>
        </w:rPr>
        <w:t>Open the Situation editor using one of the access points described in </w:t>
      </w:r>
      <w:hyperlink w:history="true" w:anchor="_bookmark183">
        <w:r>
          <w:rPr>
            <w:color w:val="231F20"/>
            <w:sz w:val="20"/>
          </w:rPr>
          <w:t>“Opening</w:t>
        </w:r>
      </w:hyperlink>
      <w:r>
        <w:rPr>
          <w:color w:val="231F20"/>
          <w:sz w:val="20"/>
        </w:rPr>
        <w:t> </w:t>
      </w:r>
      <w:hyperlink w:history="true" w:anchor="_bookmark183">
        <w:r>
          <w:rPr>
            <w:color w:val="231F20"/>
            <w:sz w:val="20"/>
          </w:rPr>
          <w:t>the Situation editor” on page 251.</w:t>
        </w:r>
      </w:hyperlink>
    </w:p>
    <w:p>
      <w:pPr>
        <w:pStyle w:val="BodyText"/>
        <w:spacing w:line="213" w:lineRule="auto" w:before="58"/>
        <w:ind w:left="2788" w:right="545"/>
      </w:pPr>
      <w:r>
        <w:rPr>
          <w:color w:val="231F20"/>
        </w:rPr>
        <w:t>The Situation tree lists the situations for the level chosen: at the system </w:t>
      </w:r>
      <w:r>
        <w:rPr>
          <w:color w:val="231F20"/>
        </w:rPr>
        <w:t>level, you will see all situations applied to that system; at the agent level, you will</w:t>
      </w:r>
      <w:r>
        <w:rPr>
          <w:color w:val="231F20"/>
          <w:spacing w:val="40"/>
        </w:rPr>
        <w:t> </w:t>
      </w:r>
      <w:r>
        <w:rPr>
          <w:color w:val="231F20"/>
        </w:rPr>
        <w:t>see all situations written with attributes from that agent; and at the attribute level, you will see all situations written with attributes from the associated group or groups.</w:t>
      </w:r>
    </w:p>
    <w:p>
      <w:pPr>
        <w:pStyle w:val="ListParagraph"/>
        <w:numPr>
          <w:ilvl w:val="0"/>
          <w:numId w:val="129"/>
        </w:numPr>
        <w:tabs>
          <w:tab w:pos="2854" w:val="left" w:leader="none"/>
        </w:tabs>
        <w:spacing w:line="240" w:lineRule="auto" w:before="34" w:after="0"/>
        <w:ind w:left="2854" w:right="0" w:hanging="382"/>
        <w:jc w:val="left"/>
        <w:rPr>
          <w:sz w:val="20"/>
        </w:rPr>
      </w:pPr>
      <w:r>
        <w:rPr>
          <w:color w:val="231F20"/>
          <w:sz w:val="20"/>
        </w:rPr>
        <w:t>Click</w:t>
      </w:r>
      <w:r>
        <w:rPr>
          <w:color w:val="231F20"/>
          <w:spacing w:val="12"/>
          <w:sz w:val="20"/>
        </w:rPr>
        <w:t> </w:t>
      </w:r>
      <w:r>
        <w:rPr>
          <w:color w:val="231F20"/>
          <w:sz w:val="20"/>
        </w:rPr>
        <w:t>a</w:t>
      </w:r>
      <w:r>
        <w:rPr>
          <w:color w:val="231F20"/>
          <w:spacing w:val="12"/>
          <w:sz w:val="20"/>
        </w:rPr>
        <w:t> </w:t>
      </w:r>
      <w:r>
        <w:rPr>
          <w:color w:val="231F20"/>
          <w:sz w:val="20"/>
        </w:rPr>
        <w:t>situation</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pacing w:val="-5"/>
          <w:sz w:val="20"/>
        </w:rPr>
        <w:t>it.</w:t>
      </w:r>
    </w:p>
    <w:p>
      <w:pPr>
        <w:spacing w:line="213" w:lineRule="auto" w:before="52"/>
        <w:ind w:left="2788" w:right="0" w:firstLine="0"/>
        <w:jc w:val="left"/>
        <w:rPr>
          <w:sz w:val="20"/>
        </w:rPr>
      </w:pPr>
      <w:r>
        <w:rPr>
          <w:color w:val="231F20"/>
          <w:sz w:val="20"/>
        </w:rPr>
        <w:t>If you do not see the situation in the tree and you opened the editor from the</w:t>
      </w:r>
      <w:r>
        <w:rPr>
          <w:color w:val="231F20"/>
          <w:spacing w:val="40"/>
          <w:sz w:val="20"/>
        </w:rPr>
        <w:t> </w:t>
      </w:r>
      <w:r>
        <w:rPr>
          <w:color w:val="231F20"/>
          <w:sz w:val="20"/>
        </w:rPr>
        <w:t>Navigator</w:t>
      </w:r>
      <w:r>
        <w:rPr>
          <w:color w:val="231F20"/>
          <w:spacing w:val="11"/>
          <w:sz w:val="20"/>
        </w:rPr>
        <w:t> </w:t>
      </w:r>
      <w:r>
        <w:rPr>
          <w:color w:val="231F20"/>
          <w:sz w:val="20"/>
        </w:rPr>
        <w:t>menu,</w:t>
      </w:r>
      <w:r>
        <w:rPr>
          <w:color w:val="231F20"/>
          <w:spacing w:val="12"/>
          <w:sz w:val="20"/>
        </w:rPr>
        <w:t> </w:t>
      </w:r>
      <w:r>
        <w:rPr>
          <w:color w:val="231F20"/>
          <w:sz w:val="20"/>
        </w:rPr>
        <w:t>click</w:t>
      </w:r>
      <w:r>
        <w:rPr>
          <w:color w:val="231F20"/>
          <w:spacing w:val="21"/>
          <w:sz w:val="20"/>
        </w:rPr>
        <w:t> </w:t>
      </w:r>
      <w:r>
        <w:rPr>
          <w:color w:val="231F20"/>
          <w:spacing w:val="-24"/>
          <w:position w:val="-1"/>
          <w:sz w:val="20"/>
        </w:rPr>
        <w:drawing>
          <wp:inline distT="0" distB="0" distL="0" distR="0">
            <wp:extent cx="95250" cy="101600"/>
            <wp:effectExtent l="0" t="0" r="0" b="0"/>
            <wp:docPr id="2441" name="Image 2441"/>
            <wp:cNvGraphicFramePr>
              <a:graphicFrameLocks/>
            </wp:cNvGraphicFramePr>
            <a:graphic>
              <a:graphicData uri="http://schemas.openxmlformats.org/drawingml/2006/picture">
                <pic:pic>
                  <pic:nvPicPr>
                    <pic:cNvPr id="2441" name="Image 2441"/>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Situation</w:t>
      </w:r>
      <w:r>
        <w:rPr>
          <w:rFonts w:ascii="Book Antiqua"/>
          <w:b/>
          <w:color w:val="231F20"/>
          <w:spacing w:val="11"/>
          <w:sz w:val="20"/>
        </w:rPr>
        <w:t> </w:t>
      </w:r>
      <w:r>
        <w:rPr>
          <w:rFonts w:ascii="Book Antiqua"/>
          <w:b/>
          <w:color w:val="231F20"/>
          <w:sz w:val="20"/>
        </w:rPr>
        <w:t>Filter</w:t>
      </w:r>
      <w:r>
        <w:rPr>
          <w:rFonts w:ascii="Book Antiqua"/>
          <w:b/>
          <w:color w:val="231F20"/>
          <w:spacing w:val="12"/>
          <w:sz w:val="20"/>
        </w:rPr>
        <w:t> </w:t>
      </w:r>
      <w:r>
        <w:rPr>
          <w:color w:val="231F20"/>
          <w:sz w:val="20"/>
        </w:rPr>
        <w:t>and</w:t>
      </w:r>
      <w:r>
        <w:rPr>
          <w:color w:val="231F20"/>
          <w:spacing w:val="12"/>
          <w:sz w:val="20"/>
        </w:rPr>
        <w:t> </w:t>
      </w:r>
      <w:r>
        <w:rPr>
          <w:color w:val="231F20"/>
          <w:sz w:val="20"/>
        </w:rPr>
        <w:t>select</w:t>
      </w:r>
      <w:r>
        <w:rPr>
          <w:color w:val="231F20"/>
          <w:spacing w:val="12"/>
          <w:sz w:val="20"/>
        </w:rPr>
        <w:t> </w:t>
      </w:r>
      <w:r>
        <w:rPr>
          <w:color w:val="231F20"/>
          <w:spacing w:val="16"/>
          <w:sz w:val="20"/>
        </w:rPr>
        <w:drawing>
          <wp:inline distT="0" distB="0" distL="0" distR="0">
            <wp:extent cx="82550" cy="82550"/>
            <wp:effectExtent l="0" t="0" r="0" b="0"/>
            <wp:docPr id="2442" name="Image 2442"/>
            <wp:cNvGraphicFramePr>
              <a:graphicFrameLocks/>
            </wp:cNvGraphicFramePr>
            <a:graphic>
              <a:graphicData uri="http://schemas.openxmlformats.org/drawingml/2006/picture">
                <pic:pic>
                  <pic:nvPicPr>
                    <pic:cNvPr id="2442" name="Image 244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53"/>
          <w:sz w:val="20"/>
        </w:rPr>
        <w:t> </w:t>
      </w:r>
      <w:r>
        <w:rPr>
          <w:rFonts w:ascii="Book Antiqua"/>
          <w:b/>
          <w:color w:val="231F20"/>
          <w:sz w:val="20"/>
        </w:rPr>
        <w:t>Eligible</w:t>
      </w:r>
      <w:r>
        <w:rPr>
          <w:rFonts w:ascii="Book Antiqua"/>
          <w:b/>
          <w:color w:val="231F20"/>
          <w:spacing w:val="12"/>
          <w:sz w:val="20"/>
        </w:rPr>
        <w:t> </w:t>
      </w:r>
      <w:r>
        <w:rPr>
          <w:rFonts w:ascii="Book Antiqua"/>
          <w:b/>
          <w:color w:val="231F20"/>
          <w:sz w:val="20"/>
        </w:rPr>
        <w:t>for</w:t>
      </w:r>
      <w:r>
        <w:rPr>
          <w:rFonts w:ascii="Book Antiqua"/>
          <w:b/>
          <w:color w:val="231F20"/>
          <w:spacing w:val="11"/>
          <w:sz w:val="20"/>
        </w:rPr>
        <w:t> </w:t>
      </w:r>
      <w:r>
        <w:rPr>
          <w:rFonts w:ascii="Book Antiqua"/>
          <w:b/>
          <w:color w:val="231F20"/>
          <w:spacing w:val="-2"/>
          <w:sz w:val="20"/>
        </w:rPr>
        <w:t>Association</w:t>
      </w:r>
      <w:r>
        <w:rPr>
          <w:color w:val="231F20"/>
          <w:spacing w:val="-2"/>
          <w:sz w:val="20"/>
        </w:rPr>
        <w:t>.</w:t>
      </w:r>
    </w:p>
    <w:p>
      <w:pPr>
        <w:pStyle w:val="ListParagraph"/>
        <w:numPr>
          <w:ilvl w:val="0"/>
          <w:numId w:val="129"/>
        </w:numPr>
        <w:tabs>
          <w:tab w:pos="2854" w:val="left" w:leader="none"/>
        </w:tabs>
        <w:spacing w:line="240" w:lineRule="auto" w:before="36" w:after="0"/>
        <w:ind w:left="2854" w:right="0" w:hanging="382"/>
        <w:jc w:val="left"/>
        <w:rPr>
          <w:sz w:val="20"/>
        </w:rPr>
      </w:pPr>
      <w:r>
        <w:rPr>
          <w:color w:val="231F20"/>
          <w:sz w:val="20"/>
        </w:rPr>
        <w:t>Click</w:t>
      </w:r>
      <w:r>
        <w:rPr>
          <w:color w:val="231F20"/>
          <w:spacing w:val="12"/>
          <w:sz w:val="20"/>
        </w:rPr>
        <w:t> </w:t>
      </w:r>
      <w:r>
        <w:rPr>
          <w:color w:val="231F20"/>
          <w:sz w:val="20"/>
        </w:rPr>
        <w:t>a</w:t>
      </w:r>
      <w:r>
        <w:rPr>
          <w:color w:val="231F20"/>
          <w:spacing w:val="13"/>
          <w:sz w:val="20"/>
        </w:rPr>
        <w:t> </w:t>
      </w:r>
      <w:r>
        <w:rPr>
          <w:color w:val="231F20"/>
          <w:sz w:val="20"/>
        </w:rPr>
        <w:t>tab</w:t>
      </w:r>
      <w:r>
        <w:rPr>
          <w:color w:val="231F20"/>
          <w:spacing w:val="13"/>
          <w:sz w:val="20"/>
        </w:rPr>
        <w:t> </w:t>
      </w:r>
      <w:r>
        <w:rPr>
          <w:color w:val="231F20"/>
          <w:sz w:val="20"/>
        </w:rPr>
        <w:t>to</w:t>
      </w:r>
      <w:r>
        <w:rPr>
          <w:color w:val="231F20"/>
          <w:spacing w:val="13"/>
          <w:sz w:val="20"/>
        </w:rPr>
        <w:t> </w:t>
      </w:r>
      <w:r>
        <w:rPr>
          <w:color w:val="231F20"/>
          <w:sz w:val="20"/>
        </w:rPr>
        <w:t>modify</w:t>
      </w:r>
      <w:r>
        <w:rPr>
          <w:color w:val="231F20"/>
          <w:spacing w:val="13"/>
          <w:sz w:val="20"/>
        </w:rPr>
        <w:t> </w:t>
      </w:r>
      <w:r>
        <w:rPr>
          <w:color w:val="231F20"/>
          <w:sz w:val="20"/>
        </w:rPr>
        <w:t>that</w:t>
      </w:r>
      <w:r>
        <w:rPr>
          <w:color w:val="231F20"/>
          <w:spacing w:val="13"/>
          <w:sz w:val="20"/>
        </w:rPr>
        <w:t> </w:t>
      </w:r>
      <w:r>
        <w:rPr>
          <w:color w:val="231F20"/>
          <w:sz w:val="20"/>
        </w:rPr>
        <w:t>part</w:t>
      </w:r>
      <w:r>
        <w:rPr>
          <w:color w:val="231F20"/>
          <w:spacing w:val="13"/>
          <w:sz w:val="20"/>
        </w:rPr>
        <w:t> </w:t>
      </w:r>
      <w:r>
        <w:rPr>
          <w:color w:val="231F20"/>
          <w:sz w:val="20"/>
        </w:rPr>
        <w:t>of</w:t>
      </w:r>
      <w:r>
        <w:rPr>
          <w:color w:val="231F20"/>
          <w:spacing w:val="12"/>
          <w:sz w:val="20"/>
        </w:rPr>
        <w:t> </w:t>
      </w:r>
      <w:r>
        <w:rPr>
          <w:color w:val="231F20"/>
          <w:sz w:val="20"/>
        </w:rPr>
        <w:t>the</w:t>
      </w:r>
      <w:r>
        <w:rPr>
          <w:color w:val="231F20"/>
          <w:spacing w:val="13"/>
          <w:sz w:val="20"/>
        </w:rPr>
        <w:t> </w:t>
      </w:r>
      <w:r>
        <w:rPr>
          <w:color w:val="231F20"/>
          <w:spacing w:val="-2"/>
          <w:sz w:val="20"/>
        </w:rPr>
        <w:t>definition:</w:t>
      </w:r>
    </w:p>
    <w:p>
      <w:pPr>
        <w:pStyle w:val="BodyText"/>
        <w:tabs>
          <w:tab w:pos="3070" w:val="left" w:leader="none"/>
        </w:tabs>
        <w:spacing w:before="29"/>
        <w:ind w:left="2788"/>
      </w:pPr>
      <w:r>
        <w:rPr>
          <w:rFonts w:ascii="Futura MdCn BT"/>
          <w:color w:val="231F20"/>
          <w:spacing w:val="-10"/>
        </w:rPr>
        <w:t>v</w:t>
      </w:r>
      <w:r>
        <w:rPr>
          <w:rFonts w:ascii="Futura MdCn BT"/>
          <w:color w:val="231F20"/>
        </w:rPr>
        <w:tab/>
      </w:r>
      <w:r>
        <w:rPr>
          <w:rFonts w:ascii="Futura MdCn BT"/>
          <w:color w:val="231F20"/>
          <w:position w:val="-1"/>
        </w:rPr>
        <w:drawing>
          <wp:inline distT="0" distB="0" distL="0" distR="0">
            <wp:extent cx="101600" cy="101600"/>
            <wp:effectExtent l="0" t="0" r="0" b="0"/>
            <wp:docPr id="2443" name="Image 2443"/>
            <wp:cNvGraphicFramePr>
              <a:graphicFrameLocks/>
            </wp:cNvGraphicFramePr>
            <a:graphic>
              <a:graphicData uri="http://schemas.openxmlformats.org/drawingml/2006/picture">
                <pic:pic>
                  <pic:nvPicPr>
                    <pic:cNvPr id="2443" name="Image 2443"/>
                    <pic:cNvPicPr/>
                  </pic:nvPicPr>
                  <pic:blipFill>
                    <a:blip r:embed="rId98" cstate="print"/>
                    <a:stretch>
                      <a:fillRect/>
                    </a:stretch>
                  </pic:blipFill>
                  <pic:spPr>
                    <a:xfrm>
                      <a:off x="0" y="0"/>
                      <a:ext cx="101600" cy="101600"/>
                    </a:xfrm>
                    <a:prstGeom prst="rect">
                      <a:avLst/>
                    </a:prstGeom>
                  </pic:spPr>
                </pic:pic>
              </a:graphicData>
            </a:graphic>
          </wp:inline>
        </w:drawing>
      </w:r>
      <w:r>
        <w:rPr>
          <w:rFonts w:ascii="Futura MdCn BT"/>
          <w:color w:val="231F20"/>
          <w:position w:val="-1"/>
        </w:rPr>
      </w:r>
      <w:r>
        <w:rPr>
          <w:rFonts w:ascii="Times New Roman"/>
          <w:color w:val="231F20"/>
          <w:spacing w:val="68"/>
        </w:rPr>
        <w:t> </w:t>
      </w:r>
      <w:r>
        <w:rPr>
          <w:color w:val="231F20"/>
        </w:rPr>
        <w:t>Formula</w:t>
      </w:r>
      <w:r>
        <w:rPr>
          <w:color w:val="231F20"/>
          <w:spacing w:val="17"/>
        </w:rPr>
        <w:t> </w:t>
      </w:r>
      <w:r>
        <w:rPr>
          <w:color w:val="231F20"/>
        </w:rPr>
        <w:t>tab</w:t>
      </w:r>
      <w:r>
        <w:rPr>
          <w:color w:val="231F20"/>
          <w:spacing w:val="17"/>
        </w:rPr>
        <w:t> </w:t>
      </w:r>
      <w:r>
        <w:rPr>
          <w:color w:val="231F20"/>
        </w:rPr>
        <w:t>to</w:t>
      </w:r>
      <w:r>
        <w:rPr>
          <w:color w:val="231F20"/>
          <w:spacing w:val="17"/>
        </w:rPr>
        <w:t> </w:t>
      </w:r>
      <w:r>
        <w:rPr>
          <w:color w:val="231F20"/>
        </w:rPr>
        <w:t>edit</w:t>
      </w:r>
      <w:r>
        <w:rPr>
          <w:color w:val="231F20"/>
          <w:spacing w:val="17"/>
        </w:rPr>
        <w:t> </w:t>
      </w:r>
      <w:r>
        <w:rPr>
          <w:color w:val="231F20"/>
        </w:rPr>
        <w:t>the</w:t>
      </w:r>
      <w:r>
        <w:rPr>
          <w:color w:val="231F20"/>
          <w:spacing w:val="17"/>
        </w:rPr>
        <w:t> </w:t>
      </w:r>
      <w:r>
        <w:rPr>
          <w:color w:val="231F20"/>
        </w:rPr>
        <w:t>condition</w:t>
      </w:r>
      <w:r>
        <w:rPr>
          <w:color w:val="231F20"/>
          <w:spacing w:val="17"/>
        </w:rPr>
        <w:t> </w:t>
      </w:r>
      <w:r>
        <w:rPr>
          <w:color w:val="231F20"/>
        </w:rPr>
        <w:t>definition,</w:t>
      </w:r>
      <w:r>
        <w:rPr>
          <w:color w:val="231F20"/>
          <w:spacing w:val="17"/>
        </w:rPr>
        <w:t> </w:t>
      </w:r>
      <w:r>
        <w:rPr>
          <w:color w:val="231F20"/>
        </w:rPr>
        <w:t>sampling</w:t>
      </w:r>
      <w:r>
        <w:rPr>
          <w:color w:val="231F20"/>
          <w:spacing w:val="17"/>
        </w:rPr>
        <w:t> </w:t>
      </w:r>
      <w:r>
        <w:rPr>
          <w:color w:val="231F20"/>
        </w:rPr>
        <w:t>interval,</w:t>
      </w:r>
      <w:r>
        <w:rPr>
          <w:color w:val="231F20"/>
          <w:spacing w:val="17"/>
        </w:rPr>
        <w:t> </w:t>
      </w:r>
      <w:r>
        <w:rPr>
          <w:color w:val="231F20"/>
        </w:rPr>
        <w:t>or</w:t>
      </w:r>
      <w:r>
        <w:rPr>
          <w:color w:val="231F20"/>
          <w:spacing w:val="17"/>
        </w:rPr>
        <w:t> </w:t>
      </w:r>
      <w:r>
        <w:rPr>
          <w:color w:val="231F20"/>
        </w:rPr>
        <w:t>status.</w:t>
      </w:r>
    </w:p>
    <w:p>
      <w:pPr>
        <w:pStyle w:val="BodyText"/>
        <w:spacing w:line="213" w:lineRule="auto" w:before="232"/>
        <w:ind w:left="3004" w:right="274"/>
      </w:pPr>
      <w:r>
        <w:rPr>
          <w:rFonts w:ascii="Book Antiqua"/>
          <w:b/>
          <w:color w:val="231F20"/>
        </w:rPr>
        <w:t>Tip:</w:t>
      </w:r>
      <w:r>
        <w:rPr>
          <w:rFonts w:ascii="Book Antiqua"/>
          <w:b/>
          <w:color w:val="231F20"/>
          <w:spacing w:val="40"/>
        </w:rPr>
        <w:t> </w:t>
      </w:r>
      <w:r>
        <w:rPr>
          <w:color w:val="231F20"/>
        </w:rPr>
        <w:t>If you need to add or remove rows or clear cell contents, right-click and select one of the pop-up menu options.</w:t>
      </w:r>
    </w:p>
    <w:p>
      <w:pPr>
        <w:pStyle w:val="BodyText"/>
        <w:spacing w:before="41"/>
        <w:ind w:left="2788"/>
      </w:pPr>
      <w:r>
        <w:rPr>
          <w:rFonts w:ascii="Futura MdCn BT"/>
          <w:color w:val="231F20"/>
        </w:rPr>
        <w:t>v</w:t>
      </w:r>
      <w:r>
        <w:rPr>
          <w:rFonts w:ascii="Futura MdCn BT"/>
          <w:color w:val="231F20"/>
          <w:spacing w:val="42"/>
        </w:rPr>
        <w:t>  </w:t>
      </w:r>
      <w:r>
        <w:rPr>
          <w:rFonts w:ascii="Futura MdCn BT"/>
          <w:color w:val="231F20"/>
          <w:spacing w:val="15"/>
        </w:rPr>
        <w:drawing>
          <wp:inline distT="0" distB="0" distL="0" distR="0">
            <wp:extent cx="101600" cy="82550"/>
            <wp:effectExtent l="0" t="0" r="0" b="0"/>
            <wp:docPr id="2444" name="Image 2444"/>
            <wp:cNvGraphicFramePr>
              <a:graphicFrameLocks/>
            </wp:cNvGraphicFramePr>
            <a:graphic>
              <a:graphicData uri="http://schemas.openxmlformats.org/drawingml/2006/picture">
                <pic:pic>
                  <pic:nvPicPr>
                    <pic:cNvPr id="2444" name="Image 2444"/>
                    <pic:cNvPicPr/>
                  </pic:nvPicPr>
                  <pic:blipFill>
                    <a:blip r:embed="rId367" cstate="print"/>
                    <a:stretch>
                      <a:fillRect/>
                    </a:stretch>
                  </pic:blipFill>
                  <pic:spPr>
                    <a:xfrm>
                      <a:off x="0" y="0"/>
                      <a:ext cx="101600" cy="82550"/>
                    </a:xfrm>
                    <a:prstGeom prst="rect">
                      <a:avLst/>
                    </a:prstGeom>
                  </pic:spPr>
                </pic:pic>
              </a:graphicData>
            </a:graphic>
          </wp:inline>
        </w:drawing>
      </w:r>
      <w:r>
        <w:rPr>
          <w:rFonts w:ascii="Futura MdCn BT"/>
          <w:color w:val="231F20"/>
          <w:spacing w:val="15"/>
        </w:rPr>
      </w:r>
      <w:r>
        <w:rPr>
          <w:rFonts w:ascii="Times New Roman"/>
          <w:color w:val="231F20"/>
          <w:spacing w:val="64"/>
        </w:rPr>
        <w:t> </w:t>
      </w:r>
      <w:r>
        <w:rPr>
          <w:color w:val="231F20"/>
        </w:rPr>
        <w:t>Distribution</w:t>
      </w:r>
      <w:r>
        <w:rPr>
          <w:color w:val="231F20"/>
          <w:spacing w:val="13"/>
        </w:rPr>
        <w:t> </w:t>
      </w:r>
      <w:r>
        <w:rPr>
          <w:color w:val="231F20"/>
        </w:rPr>
        <w:t>tab</w:t>
      </w:r>
      <w:r>
        <w:rPr>
          <w:color w:val="231F20"/>
          <w:spacing w:val="14"/>
        </w:rPr>
        <w:t> </w:t>
      </w:r>
      <w:r>
        <w:rPr>
          <w:color w:val="231F20"/>
        </w:rPr>
        <w:t>to</w:t>
      </w:r>
      <w:r>
        <w:rPr>
          <w:color w:val="231F20"/>
          <w:spacing w:val="13"/>
        </w:rPr>
        <w:t> </w:t>
      </w:r>
      <w:r>
        <w:rPr>
          <w:color w:val="231F20"/>
        </w:rPr>
        <w:t>see</w:t>
      </w:r>
      <w:r>
        <w:rPr>
          <w:color w:val="231F20"/>
          <w:spacing w:val="13"/>
        </w:rPr>
        <w:t> </w:t>
      </w:r>
      <w:r>
        <w:rPr>
          <w:color w:val="231F20"/>
        </w:rPr>
        <w:t>and</w:t>
      </w:r>
      <w:r>
        <w:rPr>
          <w:color w:val="231F20"/>
          <w:spacing w:val="13"/>
        </w:rPr>
        <w:t> </w:t>
      </w:r>
      <w:r>
        <w:rPr>
          <w:color w:val="231F20"/>
        </w:rPr>
        <w:t>assign</w:t>
      </w:r>
      <w:r>
        <w:rPr>
          <w:color w:val="231F20"/>
          <w:spacing w:val="13"/>
        </w:rPr>
        <w:t> </w:t>
      </w:r>
      <w:r>
        <w:rPr>
          <w:color w:val="231F20"/>
        </w:rPr>
        <w:t>the</w:t>
      </w:r>
      <w:r>
        <w:rPr>
          <w:color w:val="231F20"/>
          <w:spacing w:val="13"/>
        </w:rPr>
        <w:t> </w:t>
      </w:r>
      <w:r>
        <w:rPr>
          <w:color w:val="231F20"/>
        </w:rPr>
        <w:t>systems</w:t>
      </w:r>
      <w:r>
        <w:rPr>
          <w:color w:val="231F20"/>
          <w:spacing w:val="13"/>
        </w:rPr>
        <w:t> </w:t>
      </w:r>
      <w:r>
        <w:rPr>
          <w:color w:val="231F20"/>
        </w:rPr>
        <w:t>to</w:t>
      </w:r>
      <w:r>
        <w:rPr>
          <w:color w:val="231F20"/>
          <w:spacing w:val="13"/>
        </w:rPr>
        <w:t> </w:t>
      </w:r>
      <w:r>
        <w:rPr>
          <w:color w:val="231F20"/>
          <w:spacing w:val="-2"/>
        </w:rPr>
        <w:t>monitor</w:t>
      </w:r>
    </w:p>
    <w:p>
      <w:pPr>
        <w:pStyle w:val="BodyText"/>
        <w:spacing w:before="24"/>
        <w:ind w:left="2788"/>
      </w:pPr>
      <w:r>
        <w:rPr>
          <w:rFonts w:ascii="Futura MdCn BT"/>
          <w:color w:val="231F20"/>
        </w:rPr>
        <w:t>v</w:t>
      </w:r>
      <w:r>
        <w:rPr>
          <w:rFonts w:ascii="Futura MdCn BT"/>
          <w:color w:val="231F20"/>
          <w:spacing w:val="31"/>
        </w:rPr>
        <w:t>  </w:t>
      </w:r>
      <w:r>
        <w:rPr>
          <w:rFonts w:ascii="Futura MdCn BT"/>
          <w:color w:val="231F20"/>
          <w:spacing w:val="-5"/>
          <w:position w:val="-1"/>
        </w:rPr>
        <w:drawing>
          <wp:inline distT="0" distB="0" distL="0" distR="0">
            <wp:extent cx="101600" cy="101600"/>
            <wp:effectExtent l="0" t="0" r="0" b="0"/>
            <wp:docPr id="2445" name="Image 2445"/>
            <wp:cNvGraphicFramePr>
              <a:graphicFrameLocks/>
            </wp:cNvGraphicFramePr>
            <a:graphic>
              <a:graphicData uri="http://schemas.openxmlformats.org/drawingml/2006/picture">
                <pic:pic>
                  <pic:nvPicPr>
                    <pic:cNvPr id="2445" name="Image 2445"/>
                    <pic:cNvPicPr/>
                  </pic:nvPicPr>
                  <pic:blipFill>
                    <a:blip r:embed="rId99" cstate="print"/>
                    <a:stretch>
                      <a:fillRect/>
                    </a:stretch>
                  </pic:blipFill>
                  <pic:spPr>
                    <a:xfrm>
                      <a:off x="0" y="0"/>
                      <a:ext cx="101600" cy="101600"/>
                    </a:xfrm>
                    <a:prstGeom prst="rect">
                      <a:avLst/>
                    </a:prstGeom>
                  </pic:spPr>
                </pic:pic>
              </a:graphicData>
            </a:graphic>
          </wp:inline>
        </w:drawing>
      </w:r>
      <w:r>
        <w:rPr>
          <w:rFonts w:ascii="Futura MdCn BT"/>
          <w:color w:val="231F20"/>
          <w:spacing w:val="-5"/>
          <w:position w:val="-1"/>
        </w:rPr>
      </w:r>
      <w:r>
        <w:rPr>
          <w:rFonts w:ascii="Times New Roman"/>
          <w:color w:val="231F20"/>
          <w:spacing w:val="63"/>
        </w:rPr>
        <w:t> </w:t>
      </w:r>
      <w:r>
        <w:rPr>
          <w:color w:val="231F20"/>
        </w:rPr>
        <w:t>Expert</w:t>
      </w:r>
      <w:r>
        <w:rPr>
          <w:color w:val="231F20"/>
          <w:spacing w:val="6"/>
        </w:rPr>
        <w:t> </w:t>
      </w:r>
      <w:r>
        <w:rPr>
          <w:color w:val="231F20"/>
        </w:rPr>
        <w:t>Advice</w:t>
      </w:r>
      <w:r>
        <w:rPr>
          <w:color w:val="231F20"/>
          <w:spacing w:val="12"/>
        </w:rPr>
        <w:t> </w:t>
      </w:r>
      <w:r>
        <w:rPr>
          <w:color w:val="231F20"/>
        </w:rPr>
        <w:t>tab</w:t>
      </w:r>
      <w:r>
        <w:rPr>
          <w:color w:val="231F20"/>
          <w:spacing w:val="12"/>
        </w:rPr>
        <w:t> </w:t>
      </w:r>
      <w:r>
        <w:rPr>
          <w:color w:val="231F20"/>
        </w:rPr>
        <w:t>to</w:t>
      </w:r>
      <w:r>
        <w:rPr>
          <w:color w:val="231F20"/>
          <w:spacing w:val="12"/>
        </w:rPr>
        <w:t> </w:t>
      </w:r>
      <w:r>
        <w:rPr>
          <w:color w:val="231F20"/>
        </w:rPr>
        <w:t>enter</w:t>
      </w:r>
      <w:r>
        <w:rPr>
          <w:color w:val="231F20"/>
          <w:spacing w:val="12"/>
        </w:rPr>
        <w:t> </w:t>
      </w:r>
      <w:r>
        <w:rPr>
          <w:color w:val="231F20"/>
        </w:rPr>
        <w:t>text</w:t>
      </w:r>
      <w:r>
        <w:rPr>
          <w:color w:val="231F20"/>
          <w:spacing w:val="12"/>
        </w:rPr>
        <w:t> </w:t>
      </w:r>
      <w:r>
        <w:rPr>
          <w:color w:val="231F20"/>
        </w:rPr>
        <w:t>viewable</w:t>
      </w:r>
      <w:r>
        <w:rPr>
          <w:color w:val="231F20"/>
          <w:spacing w:val="12"/>
        </w:rPr>
        <w:t> </w:t>
      </w:r>
      <w:r>
        <w:rPr>
          <w:color w:val="231F20"/>
        </w:rPr>
        <w:t>from</w:t>
      </w:r>
      <w:r>
        <w:rPr>
          <w:color w:val="231F20"/>
          <w:spacing w:val="12"/>
        </w:rPr>
        <w:t> </w:t>
      </w:r>
      <w:r>
        <w:rPr>
          <w:color w:val="231F20"/>
        </w:rPr>
        <w:t>the</w:t>
      </w:r>
      <w:r>
        <w:rPr>
          <w:color w:val="231F20"/>
          <w:spacing w:val="12"/>
        </w:rPr>
        <w:t> </w:t>
      </w:r>
      <w:r>
        <w:rPr>
          <w:color w:val="231F20"/>
        </w:rPr>
        <w:t>event</w:t>
      </w:r>
      <w:r>
        <w:rPr>
          <w:color w:val="231F20"/>
          <w:spacing w:val="13"/>
        </w:rPr>
        <w:t> </w:t>
      </w:r>
      <w:r>
        <w:rPr>
          <w:color w:val="231F20"/>
        </w:rPr>
        <w:t>results</w:t>
      </w:r>
      <w:r>
        <w:rPr>
          <w:color w:val="231F20"/>
          <w:spacing w:val="12"/>
        </w:rPr>
        <w:t> </w:t>
      </w:r>
      <w:r>
        <w:rPr>
          <w:color w:val="231F20"/>
          <w:spacing w:val="-2"/>
        </w:rPr>
        <w:t>workspace</w:t>
      </w:r>
    </w:p>
    <w:p>
      <w:pPr>
        <w:pStyle w:val="BodyText"/>
        <w:spacing w:before="35"/>
        <w:ind w:left="2788"/>
      </w:pPr>
      <w:r>
        <w:rPr>
          <w:rFonts w:ascii="Futura MdCn BT"/>
          <w:color w:val="231F20"/>
          <w:position w:val="1"/>
        </w:rPr>
        <w:t>v</w:t>
      </w:r>
      <w:r>
        <w:rPr>
          <w:rFonts w:ascii="Futura MdCn BT"/>
          <w:color w:val="231F20"/>
          <w:spacing w:val="39"/>
          <w:position w:val="1"/>
        </w:rPr>
        <w:t>  </w:t>
      </w:r>
      <w:r>
        <w:rPr>
          <w:rFonts w:ascii="Futura MdCn BT"/>
          <w:color w:val="231F20"/>
          <w:spacing w:val="15"/>
        </w:rPr>
        <w:drawing>
          <wp:inline distT="0" distB="0" distL="0" distR="0">
            <wp:extent cx="76200" cy="95250"/>
            <wp:effectExtent l="0" t="0" r="0" b="0"/>
            <wp:docPr id="2446" name="Image 2446"/>
            <wp:cNvGraphicFramePr>
              <a:graphicFrameLocks/>
            </wp:cNvGraphicFramePr>
            <a:graphic>
              <a:graphicData uri="http://schemas.openxmlformats.org/drawingml/2006/picture">
                <pic:pic>
                  <pic:nvPicPr>
                    <pic:cNvPr id="2446" name="Image 2446"/>
                    <pic:cNvPicPr/>
                  </pic:nvPicPr>
                  <pic:blipFill>
                    <a:blip r:embed="rId54" cstate="print"/>
                    <a:stretch>
                      <a:fillRect/>
                    </a:stretch>
                  </pic:blipFill>
                  <pic:spPr>
                    <a:xfrm>
                      <a:off x="0" y="0"/>
                      <a:ext cx="76200" cy="95250"/>
                    </a:xfrm>
                    <a:prstGeom prst="rect">
                      <a:avLst/>
                    </a:prstGeom>
                  </pic:spPr>
                </pic:pic>
              </a:graphicData>
            </a:graphic>
          </wp:inline>
        </w:drawing>
      </w:r>
      <w:r>
        <w:rPr>
          <w:rFonts w:ascii="Futura MdCn BT"/>
          <w:color w:val="231F20"/>
          <w:spacing w:val="15"/>
        </w:rPr>
      </w:r>
      <w:r>
        <w:rPr>
          <w:rFonts w:ascii="Times New Roman"/>
          <w:color w:val="231F20"/>
          <w:spacing w:val="58"/>
          <w:position w:val="1"/>
        </w:rPr>
        <w:t> </w:t>
      </w:r>
      <w:r>
        <w:rPr>
          <w:color w:val="231F20"/>
          <w:position w:val="1"/>
        </w:rPr>
        <w:t>Action</w:t>
      </w:r>
      <w:r>
        <w:rPr>
          <w:color w:val="231F20"/>
          <w:spacing w:val="13"/>
          <w:position w:val="1"/>
        </w:rPr>
        <w:t> </w:t>
      </w:r>
      <w:r>
        <w:rPr>
          <w:color w:val="231F20"/>
          <w:position w:val="1"/>
        </w:rPr>
        <w:t>tab</w:t>
      </w:r>
      <w:r>
        <w:rPr>
          <w:color w:val="231F20"/>
          <w:spacing w:val="13"/>
          <w:position w:val="1"/>
        </w:rPr>
        <w:t> </w:t>
      </w:r>
      <w:r>
        <w:rPr>
          <w:color w:val="231F20"/>
          <w:position w:val="1"/>
        </w:rPr>
        <w:t>to</w:t>
      </w:r>
      <w:r>
        <w:rPr>
          <w:color w:val="231F20"/>
          <w:spacing w:val="13"/>
          <w:position w:val="1"/>
        </w:rPr>
        <w:t> </w:t>
      </w:r>
      <w:r>
        <w:rPr>
          <w:color w:val="231F20"/>
          <w:position w:val="1"/>
        </w:rPr>
        <w:t>enter</w:t>
      </w:r>
      <w:r>
        <w:rPr>
          <w:color w:val="231F20"/>
          <w:spacing w:val="13"/>
          <w:position w:val="1"/>
        </w:rPr>
        <w:t> </w:t>
      </w:r>
      <w:r>
        <w:rPr>
          <w:color w:val="231F20"/>
          <w:position w:val="1"/>
        </w:rPr>
        <w:t>a</w:t>
      </w:r>
      <w:r>
        <w:rPr>
          <w:color w:val="231F20"/>
          <w:spacing w:val="13"/>
          <w:position w:val="1"/>
        </w:rPr>
        <w:t> </w:t>
      </w:r>
      <w:r>
        <w:rPr>
          <w:color w:val="231F20"/>
          <w:position w:val="1"/>
        </w:rPr>
        <w:t>command</w:t>
      </w:r>
      <w:r>
        <w:rPr>
          <w:color w:val="231F20"/>
          <w:spacing w:val="12"/>
          <w:position w:val="1"/>
        </w:rPr>
        <w:t> </w:t>
      </w:r>
      <w:r>
        <w:rPr>
          <w:color w:val="231F20"/>
          <w:position w:val="1"/>
        </w:rPr>
        <w:t>to</w:t>
      </w:r>
      <w:r>
        <w:rPr>
          <w:color w:val="231F20"/>
          <w:spacing w:val="13"/>
          <w:position w:val="1"/>
        </w:rPr>
        <w:t> </w:t>
      </w:r>
      <w:r>
        <w:rPr>
          <w:color w:val="231F20"/>
          <w:position w:val="1"/>
        </w:rPr>
        <w:t>be</w:t>
      </w:r>
      <w:r>
        <w:rPr>
          <w:color w:val="231F20"/>
          <w:spacing w:val="13"/>
          <w:position w:val="1"/>
        </w:rPr>
        <w:t> </w:t>
      </w:r>
      <w:r>
        <w:rPr>
          <w:color w:val="231F20"/>
          <w:position w:val="1"/>
        </w:rPr>
        <w:t>invoked</w:t>
      </w:r>
      <w:r>
        <w:rPr>
          <w:color w:val="231F20"/>
          <w:spacing w:val="13"/>
          <w:position w:val="1"/>
        </w:rPr>
        <w:t> </w:t>
      </w:r>
      <w:r>
        <w:rPr>
          <w:color w:val="231F20"/>
          <w:position w:val="1"/>
        </w:rPr>
        <w:t>when</w:t>
      </w:r>
      <w:r>
        <w:rPr>
          <w:color w:val="231F20"/>
          <w:spacing w:val="13"/>
          <w:position w:val="1"/>
        </w:rPr>
        <w:t> </w:t>
      </w:r>
      <w:r>
        <w:rPr>
          <w:color w:val="231F20"/>
          <w:position w:val="1"/>
        </w:rPr>
        <w:t>the</w:t>
      </w:r>
      <w:r>
        <w:rPr>
          <w:color w:val="231F20"/>
          <w:spacing w:val="13"/>
          <w:position w:val="1"/>
        </w:rPr>
        <w:t> </w:t>
      </w:r>
      <w:r>
        <w:rPr>
          <w:color w:val="231F20"/>
          <w:position w:val="1"/>
        </w:rPr>
        <w:t>situation</w:t>
      </w:r>
      <w:r>
        <w:rPr>
          <w:color w:val="231F20"/>
          <w:spacing w:val="13"/>
          <w:position w:val="1"/>
        </w:rPr>
        <w:t> </w:t>
      </w:r>
      <w:r>
        <w:rPr>
          <w:color w:val="231F20"/>
          <w:spacing w:val="-2"/>
          <w:position w:val="1"/>
        </w:rPr>
        <w:t>fires</w:t>
      </w:r>
    </w:p>
    <w:p>
      <w:pPr>
        <w:pStyle w:val="BodyText"/>
        <w:spacing w:line="213" w:lineRule="auto" w:before="47"/>
        <w:ind w:left="3004"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101600" cy="101600"/>
            <wp:effectExtent l="0" t="0" r="0" b="0"/>
            <wp:docPr id="2447" name="Image 2447"/>
            <wp:cNvGraphicFramePr>
              <a:graphicFrameLocks/>
            </wp:cNvGraphicFramePr>
            <a:graphic>
              <a:graphicData uri="http://schemas.openxmlformats.org/drawingml/2006/picture">
                <pic:pic>
                  <pic:nvPicPr>
                    <pic:cNvPr id="2447" name="Image 2447"/>
                    <pic:cNvPicPr/>
                  </pic:nvPicPr>
                  <pic:blipFill>
                    <a:blip r:embed="rId100" cstate="print"/>
                    <a:stretch>
                      <a:fillRect/>
                    </a:stretch>
                  </pic:blipFill>
                  <pic:spPr>
                    <a:xfrm>
                      <a:off x="0" y="0"/>
                      <a:ext cx="101600" cy="101600"/>
                    </a:xfrm>
                    <a:prstGeom prst="rect">
                      <a:avLst/>
                    </a:prstGeom>
                  </pic:spPr>
                </pic:pic>
              </a:graphicData>
            </a:graphic>
          </wp:inline>
        </w:drawing>
      </w:r>
      <w:r>
        <w:rPr>
          <w:rFonts w:ascii="Futura MdCn BT"/>
          <w:color w:val="231F20"/>
          <w:spacing w:val="-5"/>
          <w:position w:val="-1"/>
        </w:rPr>
      </w:r>
      <w:r>
        <w:rPr>
          <w:rFonts w:ascii="Times New Roman"/>
          <w:color w:val="231F20"/>
          <w:spacing w:val="40"/>
        </w:rPr>
        <w:t> </w:t>
      </w:r>
      <w:r>
        <w:rPr>
          <w:color w:val="231F20"/>
        </w:rPr>
        <w:t>Until tab to have the event close after a period of time or when </w:t>
      </w:r>
      <w:r>
        <w:rPr>
          <w:color w:val="231F20"/>
        </w:rPr>
        <w:t>another</w:t>
      </w:r>
      <w:r>
        <w:rPr>
          <w:color w:val="231F20"/>
          <w:spacing w:val="80"/>
        </w:rPr>
        <w:t> </w:t>
      </w:r>
      <w:r>
        <w:rPr>
          <w:color w:val="231F20"/>
        </w:rPr>
        <w:t>situation is true</w:t>
      </w:r>
    </w:p>
    <w:p>
      <w:pPr>
        <w:pStyle w:val="ListParagraph"/>
        <w:numPr>
          <w:ilvl w:val="0"/>
          <w:numId w:val="129"/>
        </w:numPr>
        <w:tabs>
          <w:tab w:pos="2788" w:val="left" w:leader="none"/>
          <w:tab w:pos="2854" w:val="left" w:leader="none"/>
        </w:tabs>
        <w:spacing w:line="213" w:lineRule="auto" w:before="59" w:after="0"/>
        <w:ind w:left="2788" w:right="263" w:hanging="317"/>
        <w:jc w:val="left"/>
        <w:rPr>
          <w:sz w:val="20"/>
        </w:rPr>
      </w:pPr>
      <w:r>
        <w:rPr>
          <w:rFonts w:ascii="Arial"/>
          <w:color w:val="231F20"/>
          <w:sz w:val="20"/>
        </w:rPr>
        <w:tab/>
      </w:r>
      <w:r>
        <w:rPr>
          <w:color w:val="231F20"/>
          <w:sz w:val="20"/>
        </w:rPr>
        <w:t>When you are finished editing the situation, click </w:t>
      </w:r>
      <w:r>
        <w:rPr>
          <w:rFonts w:ascii="Book Antiqua"/>
          <w:b/>
          <w:color w:val="231F20"/>
          <w:sz w:val="20"/>
        </w:rPr>
        <w:t>Apply </w:t>
      </w:r>
      <w:r>
        <w:rPr>
          <w:color w:val="231F20"/>
          <w:sz w:val="20"/>
        </w:rPr>
        <w:t>to save your </w:t>
      </w:r>
      <w:r>
        <w:rPr>
          <w:color w:val="231F20"/>
          <w:sz w:val="20"/>
        </w:rPr>
        <w:t>changes and start the situation; -OR- </w:t>
      </w:r>
      <w:r>
        <w:rPr>
          <w:rFonts w:ascii="Book Antiqua"/>
          <w:b/>
          <w:color w:val="231F20"/>
          <w:sz w:val="20"/>
        </w:rPr>
        <w:t>OK </w:t>
      </w:r>
      <w:r>
        <w:rPr>
          <w:color w:val="231F20"/>
          <w:sz w:val="20"/>
        </w:rPr>
        <w:t>to save your changes, start the situation, and exit the Situation editor.</w:t>
      </w:r>
    </w:p>
    <w:p>
      <w:pPr>
        <w:pStyle w:val="BodyText"/>
        <w:spacing w:line="213" w:lineRule="auto" w:before="58"/>
        <w:ind w:left="2788" w:right="207"/>
        <w:jc w:val="both"/>
      </w:pPr>
      <w:r>
        <w:rPr>
          <w:color w:val="231F20"/>
        </w:rPr>
        <w:t>The Situation editor performs syntax checking on each expression you enter. If you enter an improper value for an attribute, such as “30000” for % User Time, the</w:t>
      </w:r>
      <w:r>
        <w:rPr>
          <w:color w:val="231F20"/>
          <w:spacing w:val="11"/>
        </w:rPr>
        <w:t> </w:t>
      </w:r>
      <w:r>
        <w:rPr>
          <w:color w:val="231F20"/>
        </w:rPr>
        <w:t>cell</w:t>
      </w:r>
      <w:r>
        <w:rPr>
          <w:color w:val="231F20"/>
          <w:spacing w:val="12"/>
        </w:rPr>
        <w:t> </w:t>
      </w:r>
      <w:r>
        <w:rPr>
          <w:color w:val="231F20"/>
        </w:rPr>
        <w:t>turns</w:t>
      </w:r>
      <w:r>
        <w:rPr>
          <w:color w:val="231F20"/>
          <w:spacing w:val="11"/>
        </w:rPr>
        <w:t> </w:t>
      </w:r>
      <w:r>
        <w:rPr>
          <w:color w:val="231F20"/>
        </w:rPr>
        <w:t>red</w:t>
      </w:r>
      <w:r>
        <w:rPr>
          <w:color w:val="231F20"/>
          <w:spacing w:val="12"/>
        </w:rPr>
        <w:t> </w:t>
      </w:r>
      <w:r>
        <w:rPr>
          <w:color w:val="231F20"/>
        </w:rPr>
        <w:t>and</w:t>
      </w:r>
      <w:r>
        <w:rPr>
          <w:color w:val="231F20"/>
          <w:spacing w:val="12"/>
        </w:rPr>
        <w:t> </w:t>
      </w:r>
      <w:r>
        <w:rPr>
          <w:color w:val="231F20"/>
        </w:rPr>
        <w:t>the</w:t>
      </w:r>
      <w:r>
        <w:rPr>
          <w:color w:val="231F20"/>
          <w:spacing w:val="11"/>
        </w:rPr>
        <w:t> </w:t>
      </w:r>
      <w:r>
        <w:rPr>
          <w:color w:val="231F20"/>
        </w:rPr>
        <w:t>situation</w:t>
      </w:r>
      <w:r>
        <w:rPr>
          <w:color w:val="231F20"/>
          <w:spacing w:val="12"/>
        </w:rPr>
        <w:t> </w:t>
      </w:r>
      <w:r>
        <w:rPr>
          <w:color w:val="231F20"/>
        </w:rPr>
        <w:t>will</w:t>
      </w:r>
      <w:r>
        <w:rPr>
          <w:color w:val="231F20"/>
          <w:spacing w:val="12"/>
        </w:rPr>
        <w:t> </w:t>
      </w:r>
      <w:r>
        <w:rPr>
          <w:color w:val="231F20"/>
        </w:rPr>
        <w:t>not</w:t>
      </w:r>
      <w:r>
        <w:rPr>
          <w:color w:val="231F20"/>
          <w:spacing w:val="11"/>
        </w:rPr>
        <w:t> </w:t>
      </w:r>
      <w:r>
        <w:rPr>
          <w:color w:val="231F20"/>
        </w:rPr>
        <w:t>be</w:t>
      </w:r>
      <w:r>
        <w:rPr>
          <w:color w:val="231F20"/>
          <w:spacing w:val="12"/>
        </w:rPr>
        <w:t> </w:t>
      </w:r>
      <w:r>
        <w:rPr>
          <w:color w:val="231F20"/>
        </w:rPr>
        <w:t>saved</w:t>
      </w:r>
      <w:r>
        <w:rPr>
          <w:color w:val="231F20"/>
          <w:spacing w:val="12"/>
        </w:rPr>
        <w:t> </w:t>
      </w:r>
      <w:r>
        <w:rPr>
          <w:color w:val="231F20"/>
        </w:rPr>
        <w:t>until</w:t>
      </w:r>
      <w:r>
        <w:rPr>
          <w:color w:val="231F20"/>
          <w:spacing w:val="11"/>
        </w:rPr>
        <w:t> </w:t>
      </w:r>
      <w:r>
        <w:rPr>
          <w:color w:val="231F20"/>
        </w:rPr>
        <w:t>you</w:t>
      </w:r>
      <w:r>
        <w:rPr>
          <w:color w:val="231F20"/>
          <w:spacing w:val="12"/>
        </w:rPr>
        <w:t> </w:t>
      </w:r>
      <w:r>
        <w:rPr>
          <w:color w:val="231F20"/>
        </w:rPr>
        <w:t>correct</w:t>
      </w:r>
      <w:r>
        <w:rPr>
          <w:color w:val="231F20"/>
          <w:spacing w:val="12"/>
        </w:rPr>
        <w:t> </w:t>
      </w:r>
      <w:r>
        <w:rPr>
          <w:color w:val="231F20"/>
        </w:rPr>
        <w:t>the</w:t>
      </w:r>
      <w:r>
        <w:rPr>
          <w:color w:val="231F20"/>
          <w:spacing w:val="11"/>
        </w:rPr>
        <w:t> </w:t>
      </w:r>
      <w:r>
        <w:rPr>
          <w:color w:val="231F20"/>
          <w:spacing w:val="-2"/>
        </w:rPr>
        <w:t>error.</w:t>
      </w:r>
    </w:p>
    <w:p>
      <w:pPr>
        <w:pStyle w:val="BodyText"/>
        <w:spacing w:line="213" w:lineRule="auto" w:before="58"/>
        <w:ind w:left="2788" w:right="385"/>
      </w:pPr>
      <w:r>
        <w:rPr>
          <w:color w:val="231F20"/>
        </w:rPr>
        <w:t>When the formula or other aspects of a situation definition are changed, the situation is first stopped and then re-started. An event indicator for the situation will appear in the Navigator for a brief period and the event </w:t>
      </w:r>
      <w:r>
        <w:rPr>
          <w:color w:val="231F20"/>
        </w:rPr>
        <w:t>flyover will show the </w:t>
      </w:r>
      <w:r>
        <w:rPr>
          <w:color w:val="231F20"/>
          <w:spacing w:val="-24"/>
          <w:position w:val="-1"/>
        </w:rPr>
        <w:drawing>
          <wp:inline distT="0" distB="0" distL="0" distR="0">
            <wp:extent cx="95250" cy="95250"/>
            <wp:effectExtent l="0" t="0" r="0" b="0"/>
            <wp:docPr id="2448" name="Image 2448"/>
            <wp:cNvGraphicFramePr>
              <a:graphicFrameLocks/>
            </wp:cNvGraphicFramePr>
            <a:graphic>
              <a:graphicData uri="http://schemas.openxmlformats.org/drawingml/2006/picture">
                <pic:pic>
                  <pic:nvPicPr>
                    <pic:cNvPr id="2448" name="Image 2448"/>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situation stop indicator.</w:t>
      </w:r>
    </w:p>
    <w:p>
      <w:pPr>
        <w:pStyle w:val="BodyText"/>
        <w:spacing w:before="4"/>
        <w:rPr>
          <w:sz w:val="16"/>
        </w:rPr>
      </w:pPr>
      <w:r>
        <w:rPr/>
        <mc:AlternateContent>
          <mc:Choice Requires="wps">
            <w:drawing>
              <wp:anchor distT="0" distB="0" distL="0" distR="0" allowOverlap="1" layoutInCell="1" locked="0" behindDoc="1" simplePos="0" relativeHeight="487729152">
                <wp:simplePos x="0" y="0"/>
                <wp:positionH relativeFrom="page">
                  <wp:posOffset>912380</wp:posOffset>
                </wp:positionH>
                <wp:positionV relativeFrom="paragraph">
                  <wp:posOffset>154949</wp:posOffset>
                </wp:positionV>
                <wp:extent cx="6082665" cy="1270"/>
                <wp:effectExtent l="0" t="0" r="0" b="0"/>
                <wp:wrapTopAndBottom/>
                <wp:docPr id="2449" name="Graphic 2449"/>
                <wp:cNvGraphicFramePr>
                  <a:graphicFrameLocks/>
                </wp:cNvGraphicFramePr>
                <a:graphic>
                  <a:graphicData uri="http://schemas.microsoft.com/office/word/2010/wordprocessingShape">
                    <wps:wsp>
                      <wps:cNvPr id="2449" name="Graphic 244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00719pt;width:478.95pt;height:.1pt;mso-position-horizontal-relative:page;mso-position-vertical-relative:paragraph;z-index:-15587328;mso-wrap-distance-left:0;mso-wrap-distance-right:0" id="docshape218"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Deleting a situation" w:id="457"/>
      <w:bookmarkEnd w:id="457"/>
      <w:r>
        <w:rPr>
          <w:b w:val="0"/>
        </w:rPr>
      </w:r>
      <w:r>
        <w:rPr>
          <w:color w:val="231F20"/>
        </w:rPr>
        <w:t>Deleting</w:t>
      </w:r>
      <w:r>
        <w:rPr>
          <w:color w:val="231F20"/>
          <w:spacing w:val="8"/>
        </w:rPr>
        <w:t> </w:t>
      </w:r>
      <w:r>
        <w:rPr>
          <w:color w:val="231F20"/>
        </w:rPr>
        <w:t>a</w:t>
      </w:r>
      <w:r>
        <w:rPr>
          <w:color w:val="231F20"/>
          <w:spacing w:val="9"/>
        </w:rPr>
        <w:t> </w:t>
      </w:r>
      <w:r>
        <w:rPr>
          <w:color w:val="231F20"/>
          <w:spacing w:val="-2"/>
        </w:rPr>
        <w:t>situation</w:t>
      </w:r>
    </w:p>
    <w:p>
      <w:pPr>
        <w:pStyle w:val="BodyText"/>
        <w:spacing w:line="213" w:lineRule="auto" w:before="138"/>
        <w:ind w:left="2472"/>
      </w:pPr>
      <w:r>
        <w:rPr>
          <w:color w:val="231F20"/>
        </w:rPr>
        <w:t>Use the Situation editor to delete situations. Keep in mind that deleting a </w:t>
      </w:r>
      <w:r>
        <w:rPr>
          <w:color w:val="231F20"/>
        </w:rPr>
        <w:t>situation removes it from every managed system to which it was distributed.</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To</w:t>
      </w:r>
      <w:r>
        <w:rPr>
          <w:color w:val="231F20"/>
          <w:spacing w:val="6"/>
        </w:rPr>
        <w:t> </w:t>
      </w:r>
      <w:r>
        <w:rPr>
          <w:color w:val="231F20"/>
        </w:rPr>
        <w:t>delete</w:t>
      </w:r>
      <w:r>
        <w:rPr>
          <w:color w:val="231F20"/>
          <w:spacing w:val="7"/>
        </w:rPr>
        <w:t> </w:t>
      </w:r>
      <w:r>
        <w:rPr>
          <w:color w:val="231F20"/>
        </w:rPr>
        <w:t>a</w:t>
      </w:r>
      <w:r>
        <w:rPr>
          <w:color w:val="231F20"/>
          <w:spacing w:val="7"/>
        </w:rPr>
        <w:t> </w:t>
      </w:r>
      <w:r>
        <w:rPr>
          <w:color w:val="231F20"/>
          <w:spacing w:val="-2"/>
        </w:rPr>
        <w:t>situation:</w:t>
      </w:r>
    </w:p>
    <w:p>
      <w:pPr>
        <w:pStyle w:val="Heading4"/>
        <w:spacing w:before="194"/>
        <w:ind w:left="2472"/>
      </w:pPr>
      <w:r>
        <w:rPr>
          <w:color w:val="231F20"/>
          <w:spacing w:val="-2"/>
        </w:rPr>
        <w:t>Procedure</w:t>
      </w:r>
    </w:p>
    <w:p>
      <w:pPr>
        <w:pStyle w:val="BodyText"/>
        <w:spacing w:before="218"/>
        <w:ind w:left="2472"/>
      </w:pPr>
      <w:r>
        <w:rPr>
          <w:color w:val="231F20"/>
        </w:rPr>
        <w:t>Do</w:t>
      </w:r>
      <w:r>
        <w:rPr>
          <w:color w:val="231F20"/>
          <w:spacing w:val="12"/>
        </w:rPr>
        <w:t> </w:t>
      </w:r>
      <w:r>
        <w:rPr>
          <w:color w:val="231F20"/>
        </w:rPr>
        <w:t>one</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to</w:t>
      </w:r>
      <w:r>
        <w:rPr>
          <w:color w:val="231F20"/>
          <w:spacing w:val="12"/>
        </w:rPr>
        <w:t> </w:t>
      </w:r>
      <w:r>
        <w:rPr>
          <w:color w:val="231F20"/>
        </w:rPr>
        <w:t>open</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spacing w:val="-2"/>
        </w:rPr>
        <w:t>editor:</w:t>
      </w:r>
    </w:p>
    <w:p>
      <w:pPr>
        <w:spacing w:after="0"/>
        <w:sectPr>
          <w:pgSz w:w="12240" w:h="15840"/>
          <w:pgMar w:header="0" w:footer="736" w:top="1140" w:bottom="920" w:left="1000" w:right="1060"/>
        </w:sectPr>
      </w:pPr>
    </w:p>
    <w:p>
      <w:pPr>
        <w:pStyle w:val="BodyText"/>
        <w:spacing w:line="213" w:lineRule="auto" w:before="85"/>
        <w:ind w:left="2448" w:right="493" w:hanging="216"/>
      </w:pPr>
      <w:bookmarkStart w:name="_bookmark217" w:id="458"/>
      <w:bookmarkEnd w:id="458"/>
      <w:r>
        <w:rPr/>
      </w:r>
      <w:r>
        <w:rPr>
          <w:rFonts w:ascii="Futura MdCn BT"/>
          <w:color w:val="231F20"/>
        </w:rPr>
        <w:t>v</w:t>
      </w:r>
      <w:r>
        <w:rPr>
          <w:rFonts w:ascii="Futura MdCn BT"/>
          <w:color w:val="231F20"/>
          <w:spacing w:val="80"/>
        </w:rPr>
        <w:t> </w:t>
      </w:r>
      <w:r>
        <w:rPr>
          <w:color w:val="231F20"/>
        </w:rPr>
        <w:t>Right-click a Navigator item and click </w:t>
      </w:r>
      <w:r>
        <w:rPr>
          <w:color w:val="231F20"/>
          <w:spacing w:val="15"/>
          <w:position w:val="-1"/>
        </w:rPr>
        <w:drawing>
          <wp:inline distT="0" distB="0" distL="0" distR="0">
            <wp:extent cx="101600" cy="95250"/>
            <wp:effectExtent l="0" t="0" r="0" b="0"/>
            <wp:docPr id="2450" name="Image 2450"/>
            <wp:cNvGraphicFramePr>
              <a:graphicFrameLocks/>
            </wp:cNvGraphicFramePr>
            <a:graphic>
              <a:graphicData uri="http://schemas.openxmlformats.org/drawingml/2006/picture">
                <pic:pic>
                  <pic:nvPicPr>
                    <pic:cNvPr id="2450" name="Image 2450"/>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Situations</w:t>
      </w:r>
      <w:r>
        <w:rPr>
          <w:color w:val="231F20"/>
        </w:rPr>
        <w:t>. (See Note if you do not see</w:t>
      </w:r>
      <w:r>
        <w:rPr>
          <w:color w:val="231F20"/>
          <w:spacing w:val="40"/>
        </w:rPr>
        <w:t> </w:t>
      </w:r>
      <w:r>
        <w:rPr>
          <w:color w:val="231F20"/>
        </w:rPr>
        <w:t>this option.)</w:t>
      </w:r>
    </w:p>
    <w:p>
      <w:pPr>
        <w:pStyle w:val="BodyText"/>
        <w:spacing w:before="35"/>
        <w:ind w:left="2232"/>
      </w:pPr>
      <w:r>
        <w:rPr>
          <w:rFonts w:ascii="Futura MdCn BT"/>
          <w:color w:val="231F20"/>
        </w:rPr>
        <w:t>v</w:t>
      </w:r>
      <w:r>
        <w:rPr>
          <w:rFonts w:ascii="Futura MdCn BT"/>
          <w:color w:val="231F20"/>
          <w:spacing w:val="34"/>
        </w:rPr>
        <w:t>  </w:t>
      </w:r>
      <w:r>
        <w:rPr>
          <w:color w:val="231F20"/>
        </w:rPr>
        <w:t>Click</w:t>
      </w:r>
      <w:r>
        <w:rPr>
          <w:color w:val="231F20"/>
          <w:spacing w:val="15"/>
        </w:rPr>
        <w:t> </w:t>
      </w:r>
      <w:r>
        <w:rPr>
          <w:color w:val="231F20"/>
          <w:spacing w:val="16"/>
          <w:position w:val="-1"/>
        </w:rPr>
        <w:drawing>
          <wp:inline distT="0" distB="0" distL="0" distR="0">
            <wp:extent cx="101600" cy="95250"/>
            <wp:effectExtent l="0" t="0" r="0" b="0"/>
            <wp:docPr id="2451" name="Image 2451"/>
            <wp:cNvGraphicFramePr>
              <a:graphicFrameLocks/>
            </wp:cNvGraphicFramePr>
            <a:graphic>
              <a:graphicData uri="http://schemas.openxmlformats.org/drawingml/2006/picture">
                <pic:pic>
                  <pic:nvPicPr>
                    <pic:cNvPr id="2451" name="Image 2451"/>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7"/>
        </w:rPr>
        <w:t> </w:t>
      </w:r>
      <w:r>
        <w:rPr>
          <w:color w:val="231F20"/>
        </w:rPr>
        <w:t>in</w:t>
      </w:r>
      <w:r>
        <w:rPr>
          <w:color w:val="231F20"/>
          <w:spacing w:val="14"/>
        </w:rPr>
        <w:t> </w:t>
      </w:r>
      <w:r>
        <w:rPr>
          <w:color w:val="231F20"/>
        </w:rPr>
        <w:t>the</w:t>
      </w:r>
      <w:r>
        <w:rPr>
          <w:color w:val="231F20"/>
          <w:spacing w:val="15"/>
        </w:rPr>
        <w:t> </w:t>
      </w:r>
      <w:r>
        <w:rPr>
          <w:color w:val="231F20"/>
          <w:spacing w:val="-2"/>
        </w:rPr>
        <w:t>toolbar.</w:t>
      </w:r>
    </w:p>
    <w:p>
      <w:pPr>
        <w:pStyle w:val="BodyText"/>
        <w:spacing w:before="30"/>
        <w:ind w:left="2232"/>
      </w:pPr>
      <w:r>
        <w:rPr>
          <w:rFonts w:ascii="Futura MdCn BT"/>
          <w:color w:val="231F20"/>
        </w:rPr>
        <w:t>v</w:t>
      </w:r>
      <w:r>
        <w:rPr>
          <w:rFonts w:ascii="Futura MdCn BT"/>
          <w:color w:val="231F20"/>
          <w:spacing w:val="32"/>
        </w:rPr>
        <w:t>  </w:t>
      </w:r>
      <w:r>
        <w:rPr>
          <w:color w:val="231F20"/>
        </w:rPr>
        <w:t>Right-click</w:t>
      </w:r>
      <w:r>
        <w:rPr>
          <w:color w:val="231F20"/>
          <w:spacing w:val="13"/>
        </w:rPr>
        <w:t> </w:t>
      </w:r>
      <w:r>
        <w:rPr>
          <w:color w:val="231F20"/>
        </w:rPr>
        <w:t>a</w:t>
      </w:r>
      <w:r>
        <w:rPr>
          <w:color w:val="231F20"/>
          <w:spacing w:val="13"/>
        </w:rPr>
        <w:t> </w:t>
      </w:r>
      <w:r>
        <w:rPr>
          <w:color w:val="231F20"/>
        </w:rPr>
        <w:t>situation</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event</w:t>
      </w:r>
      <w:r>
        <w:rPr>
          <w:color w:val="231F20"/>
          <w:spacing w:val="12"/>
        </w:rPr>
        <w:t> </w:t>
      </w:r>
      <w:r>
        <w:rPr>
          <w:color w:val="231F20"/>
        </w:rPr>
        <w:t>flyover</w:t>
      </w:r>
      <w:r>
        <w:rPr>
          <w:color w:val="231F20"/>
          <w:spacing w:val="13"/>
        </w:rPr>
        <w:t> </w:t>
      </w:r>
      <w:r>
        <w:rPr>
          <w:color w:val="231F20"/>
        </w:rPr>
        <w:t>list</w:t>
      </w:r>
      <w:r>
        <w:rPr>
          <w:color w:val="231F20"/>
          <w:spacing w:val="13"/>
        </w:rPr>
        <w:t> </w:t>
      </w:r>
      <w:r>
        <w:rPr>
          <w:color w:val="231F20"/>
        </w:rPr>
        <w:t>and</w:t>
      </w:r>
      <w:r>
        <w:rPr>
          <w:color w:val="231F20"/>
          <w:spacing w:val="13"/>
        </w:rPr>
        <w:t> </w:t>
      </w:r>
      <w:r>
        <w:rPr>
          <w:color w:val="231F20"/>
        </w:rPr>
        <w:t>click</w:t>
      </w:r>
      <w:r>
        <w:rPr>
          <w:color w:val="231F20"/>
          <w:spacing w:val="22"/>
        </w:rPr>
        <w:t> </w:t>
      </w:r>
      <w:r>
        <w:rPr>
          <w:color w:val="231F20"/>
          <w:spacing w:val="-25"/>
          <w:position w:val="-1"/>
        </w:rPr>
        <w:drawing>
          <wp:inline distT="0" distB="0" distL="0" distR="0">
            <wp:extent cx="95250" cy="101600"/>
            <wp:effectExtent l="0" t="0" r="0" b="0"/>
            <wp:docPr id="2452" name="Image 2452"/>
            <wp:cNvGraphicFramePr>
              <a:graphicFrameLocks/>
            </wp:cNvGraphicFramePr>
            <a:graphic>
              <a:graphicData uri="http://schemas.openxmlformats.org/drawingml/2006/picture">
                <pic:pic>
                  <pic:nvPicPr>
                    <pic:cNvPr id="2452" name="Image 2452"/>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58"/>
          <w:w w:val="150"/>
        </w:rPr>
        <w:t> </w:t>
      </w:r>
      <w:r>
        <w:rPr>
          <w:rFonts w:ascii="Book Antiqua"/>
          <w:b/>
          <w:color w:val="231F20"/>
        </w:rPr>
        <w:t>Edit</w:t>
      </w:r>
      <w:r>
        <w:rPr>
          <w:rFonts w:ascii="Book Antiqua"/>
          <w:b/>
          <w:color w:val="231F20"/>
          <w:spacing w:val="13"/>
        </w:rPr>
        <w:t> </w:t>
      </w:r>
      <w:r>
        <w:rPr>
          <w:rFonts w:ascii="Book Antiqua"/>
          <w:b/>
          <w:color w:val="231F20"/>
          <w:spacing w:val="-2"/>
        </w:rPr>
        <w:t>Situation</w:t>
      </w:r>
      <w:r>
        <w:rPr>
          <w:color w:val="231F20"/>
          <w:spacing w:val="-2"/>
        </w:rPr>
        <w:t>.</w:t>
      </w:r>
    </w:p>
    <w:p>
      <w:pPr>
        <w:pStyle w:val="BodyText"/>
        <w:spacing w:before="29"/>
        <w:ind w:left="2232"/>
      </w:pPr>
      <w:r>
        <w:rPr>
          <w:rFonts w:ascii="Futura MdCn BT"/>
          <w:color w:val="231F20"/>
        </w:rPr>
        <w:t>v</w:t>
      </w:r>
      <w:r>
        <w:rPr>
          <w:rFonts w:ascii="Futura MdCn BT"/>
          <w:color w:val="231F20"/>
          <w:spacing w:val="32"/>
        </w:rPr>
        <w:t>  </w:t>
      </w:r>
      <w:r>
        <w:rPr>
          <w:color w:val="231F20"/>
        </w:rPr>
        <w:t>Right-click</w:t>
      </w:r>
      <w:r>
        <w:rPr>
          <w:color w:val="231F20"/>
          <w:spacing w:val="13"/>
        </w:rPr>
        <w:t> </w:t>
      </w:r>
      <w:r>
        <w:rPr>
          <w:color w:val="231F20"/>
        </w:rPr>
        <w:t>an</w:t>
      </w:r>
      <w:r>
        <w:rPr>
          <w:color w:val="231F20"/>
          <w:spacing w:val="13"/>
        </w:rPr>
        <w:t> </w:t>
      </w:r>
      <w:r>
        <w:rPr>
          <w:color w:val="231F20"/>
        </w:rPr>
        <w:t>event</w:t>
      </w:r>
      <w:r>
        <w:rPr>
          <w:color w:val="231F20"/>
          <w:spacing w:val="13"/>
        </w:rPr>
        <w:t> </w:t>
      </w:r>
      <w:r>
        <w:rPr>
          <w:color w:val="231F20"/>
        </w:rPr>
        <w:t>item</w:t>
      </w:r>
      <w:r>
        <w:rPr>
          <w:color w:val="231F20"/>
          <w:spacing w:val="12"/>
        </w:rPr>
        <w:t> </w:t>
      </w:r>
      <w:r>
        <w:rPr>
          <w:color w:val="231F20"/>
        </w:rPr>
        <w:t>in</w:t>
      </w:r>
      <w:r>
        <w:rPr>
          <w:color w:val="231F20"/>
          <w:spacing w:val="13"/>
        </w:rPr>
        <w:t> </w:t>
      </w:r>
      <w:r>
        <w:rPr>
          <w:color w:val="231F20"/>
        </w:rPr>
        <w:t>the</w:t>
      </w:r>
      <w:r>
        <w:rPr>
          <w:color w:val="231F20"/>
          <w:spacing w:val="13"/>
        </w:rPr>
        <w:t> </w:t>
      </w:r>
      <w:r>
        <w:rPr>
          <w:color w:val="231F20"/>
        </w:rPr>
        <w:t>Navigator</w:t>
      </w:r>
      <w:r>
        <w:rPr>
          <w:color w:val="231F20"/>
          <w:spacing w:val="13"/>
        </w:rPr>
        <w:t> </w:t>
      </w:r>
      <w:r>
        <w:rPr>
          <w:color w:val="231F20"/>
        </w:rPr>
        <w:t>and</w:t>
      </w:r>
      <w:r>
        <w:rPr>
          <w:color w:val="231F20"/>
          <w:spacing w:val="13"/>
        </w:rPr>
        <w:t> </w:t>
      </w:r>
      <w:r>
        <w:rPr>
          <w:color w:val="231F20"/>
        </w:rPr>
        <w:t>click</w:t>
      </w:r>
      <w:r>
        <w:rPr>
          <w:color w:val="231F20"/>
          <w:spacing w:val="21"/>
        </w:rPr>
        <w:t> </w:t>
      </w:r>
      <w:r>
        <w:rPr>
          <w:color w:val="231F20"/>
          <w:spacing w:val="-25"/>
          <w:position w:val="-1"/>
        </w:rPr>
        <w:drawing>
          <wp:inline distT="0" distB="0" distL="0" distR="0">
            <wp:extent cx="95250" cy="101600"/>
            <wp:effectExtent l="0" t="0" r="0" b="0"/>
            <wp:docPr id="2453" name="Image 2453"/>
            <wp:cNvGraphicFramePr>
              <a:graphicFrameLocks/>
            </wp:cNvGraphicFramePr>
            <a:graphic>
              <a:graphicData uri="http://schemas.openxmlformats.org/drawingml/2006/picture">
                <pic:pic>
                  <pic:nvPicPr>
                    <pic:cNvPr id="2453" name="Image 245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59"/>
          <w:w w:val="150"/>
        </w:rPr>
        <w:t> </w:t>
      </w:r>
      <w:r>
        <w:rPr>
          <w:rFonts w:ascii="Book Antiqua"/>
          <w:b/>
          <w:color w:val="231F20"/>
        </w:rPr>
        <w:t>Edit</w:t>
      </w:r>
      <w:r>
        <w:rPr>
          <w:rFonts w:ascii="Book Antiqua"/>
          <w:b/>
          <w:color w:val="231F20"/>
          <w:spacing w:val="13"/>
        </w:rPr>
        <w:t> </w:t>
      </w:r>
      <w:r>
        <w:rPr>
          <w:rFonts w:ascii="Book Antiqua"/>
          <w:b/>
          <w:color w:val="231F20"/>
          <w:spacing w:val="-2"/>
        </w:rPr>
        <w:t>Situation</w:t>
      </w:r>
      <w:r>
        <w:rPr>
          <w:color w:val="231F20"/>
          <w:spacing w:val="-2"/>
        </w:rPr>
        <w:t>.</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Right-click an open event in the situation event console view and click</w:t>
      </w:r>
      <w:r>
        <w:rPr>
          <w:color w:val="231F20"/>
          <w:spacing w:val="22"/>
        </w:rPr>
        <w:t> </w:t>
      </w:r>
      <w:r>
        <w:rPr>
          <w:color w:val="231F20"/>
          <w:spacing w:val="24"/>
          <w:position w:val="-1"/>
        </w:rPr>
        <w:drawing>
          <wp:inline distT="0" distB="0" distL="0" distR="0">
            <wp:extent cx="95250" cy="101600"/>
            <wp:effectExtent l="0" t="0" r="0" b="0"/>
            <wp:docPr id="2454" name="Image 2454"/>
            <wp:cNvGraphicFramePr>
              <a:graphicFrameLocks/>
            </wp:cNvGraphicFramePr>
            <a:graphic>
              <a:graphicData uri="http://schemas.openxmlformats.org/drawingml/2006/picture">
                <pic:pic>
                  <pic:nvPicPr>
                    <pic:cNvPr id="2454" name="Image 2454"/>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4"/>
        </w:rPr>
        <w:t> </w:t>
      </w:r>
      <w:r>
        <w:rPr>
          <w:rFonts w:ascii="Book Antiqua"/>
          <w:b/>
          <w:color w:val="231F20"/>
        </w:rPr>
        <w:t>Edit</w:t>
      </w:r>
      <w:r>
        <w:rPr>
          <w:rFonts w:ascii="Book Antiqua"/>
          <w:b/>
          <w:color w:val="231F20"/>
          <w:spacing w:val="40"/>
        </w:rPr>
        <w:t> </w:t>
      </w:r>
      <w:r>
        <w:rPr>
          <w:rFonts w:ascii="Book Antiqua"/>
          <w:b/>
          <w:color w:val="231F20"/>
          <w:spacing w:val="-2"/>
        </w:rPr>
        <w:t>Situation</w:t>
      </w:r>
      <w:r>
        <w:rPr>
          <w:color w:val="231F20"/>
          <w:spacing w:val="-2"/>
        </w:rPr>
        <w:t>.</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Right-click the </w:t>
      </w:r>
      <w:r>
        <w:rPr>
          <w:color w:val="231F20"/>
          <w:spacing w:val="16"/>
          <w:position w:val="-1"/>
        </w:rPr>
        <w:drawing>
          <wp:inline distT="0" distB="0" distL="0" distR="0">
            <wp:extent cx="95250" cy="101600"/>
            <wp:effectExtent l="0" t="0" r="0" b="0"/>
            <wp:docPr id="2455" name="Image 2455"/>
            <wp:cNvGraphicFramePr>
              <a:graphicFrameLocks/>
            </wp:cNvGraphicFramePr>
            <a:graphic>
              <a:graphicData uri="http://schemas.openxmlformats.org/drawingml/2006/picture">
                <pic:pic>
                  <pic:nvPicPr>
                    <pic:cNvPr id="2455" name="Image 2455"/>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rPr>
      </w:r>
      <w:r>
        <w:rPr>
          <w:rFonts w:ascii="Times New Roman"/>
          <w:color w:val="231F20"/>
          <w:spacing w:val="-10"/>
        </w:rPr>
        <w:t> </w:t>
      </w:r>
      <w:r>
        <w:rPr>
          <w:color w:val="231F20"/>
        </w:rPr>
        <w:t>enterprise item or an</w:t>
      </w:r>
      <w:r>
        <w:rPr>
          <w:color w:val="231F20"/>
          <w:spacing w:val="22"/>
        </w:rPr>
        <w:t> </w:t>
      </w:r>
      <w:r>
        <w:rPr>
          <w:color w:val="231F20"/>
          <w:spacing w:val="-24"/>
          <w:position w:val="-1"/>
        </w:rPr>
        <w:drawing>
          <wp:inline distT="0" distB="0" distL="0" distR="0">
            <wp:extent cx="95250" cy="95250"/>
            <wp:effectExtent l="0" t="0" r="0" b="0"/>
            <wp:docPr id="2456" name="Image 2456"/>
            <wp:cNvGraphicFramePr>
              <a:graphicFrameLocks/>
            </wp:cNvGraphicFramePr>
            <a:graphic>
              <a:graphicData uri="http://schemas.openxmlformats.org/drawingml/2006/picture">
                <pic:pic>
                  <pic:nvPicPr>
                    <pic:cNvPr id="2456" name="Image 2456"/>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agent item in the Navigator </w:t>
      </w:r>
      <w:r>
        <w:rPr>
          <w:color w:val="231F20"/>
        </w:rPr>
        <w:t>Physical</w:t>
      </w:r>
      <w:r>
        <w:rPr>
          <w:color w:val="231F20"/>
        </w:rPr>
        <w:t> view and click </w:t>
      </w:r>
      <w:r>
        <w:rPr>
          <w:color w:val="231F20"/>
          <w:spacing w:val="16"/>
          <w:position w:val="-1"/>
        </w:rPr>
        <w:drawing>
          <wp:inline distT="0" distB="0" distL="0" distR="0">
            <wp:extent cx="101600" cy="101600"/>
            <wp:effectExtent l="0" t="0" r="0" b="0"/>
            <wp:docPr id="2457" name="Image 2457"/>
            <wp:cNvGraphicFramePr>
              <a:graphicFrameLocks/>
            </wp:cNvGraphicFramePr>
            <a:graphic>
              <a:graphicData uri="http://schemas.openxmlformats.org/drawingml/2006/picture">
                <pic:pic>
                  <pic:nvPicPr>
                    <pic:cNvPr id="2457" name="Image 2457"/>
                    <pic:cNvPicPr/>
                  </pic:nvPicPr>
                  <pic:blipFill>
                    <a:blip r:embed="rId387"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Manage Situations</w:t>
      </w:r>
      <w:r>
        <w:rPr>
          <w:color w:val="231F20"/>
        </w:rPr>
        <w:t>. Select a situation and click </w:t>
      </w:r>
      <w:r>
        <w:rPr>
          <w:color w:val="231F20"/>
          <w:spacing w:val="-25"/>
          <w:position w:val="-1"/>
        </w:rPr>
        <w:drawing>
          <wp:inline distT="0" distB="0" distL="0" distR="0">
            <wp:extent cx="95250" cy="101600"/>
            <wp:effectExtent l="0" t="0" r="0" b="0"/>
            <wp:docPr id="2458" name="Image 2458"/>
            <wp:cNvGraphicFramePr>
              <a:graphicFrameLocks/>
            </wp:cNvGraphicFramePr>
            <a:graphic>
              <a:graphicData uri="http://schemas.openxmlformats.org/drawingml/2006/picture">
                <pic:pic>
                  <pic:nvPicPr>
                    <pic:cNvPr id="2458" name="Image 2458"/>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Edit </w:t>
      </w:r>
      <w:r>
        <w:rPr>
          <w:rFonts w:ascii="Book Antiqua"/>
          <w:b/>
          <w:color w:val="231F20"/>
          <w:spacing w:val="-2"/>
        </w:rPr>
        <w:t>Situation</w:t>
      </w:r>
      <w:r>
        <w:rPr>
          <w:color w:val="231F20"/>
          <w:spacing w:val="-2"/>
        </w:rPr>
        <w:t>.</w:t>
      </w:r>
    </w:p>
    <w:p>
      <w:pPr>
        <w:pStyle w:val="Heading4"/>
        <w:spacing w:before="199"/>
      </w:pPr>
      <w:r>
        <w:rPr>
          <w:color w:val="231F20"/>
          <w:spacing w:val="-2"/>
        </w:rPr>
        <w:t>Results</w:t>
      </w:r>
    </w:p>
    <w:p>
      <w:pPr>
        <w:pStyle w:val="ListParagraph"/>
        <w:numPr>
          <w:ilvl w:val="0"/>
          <w:numId w:val="130"/>
        </w:numPr>
        <w:tabs>
          <w:tab w:pos="2547" w:val="left" w:leader="none"/>
        </w:tabs>
        <w:spacing w:line="240" w:lineRule="auto" w:before="39" w:after="0"/>
        <w:ind w:left="2547" w:right="0" w:hanging="315"/>
        <w:jc w:val="left"/>
        <w:rPr>
          <w:sz w:val="20"/>
        </w:rPr>
      </w:pPr>
      <w:r>
        <w:rPr>
          <w:color w:val="231F20"/>
          <w:sz w:val="20"/>
        </w:rPr>
        <w:t>Right-click</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name</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tree</w:t>
      </w:r>
      <w:r>
        <w:rPr>
          <w:color w:val="231F20"/>
          <w:spacing w:val="11"/>
          <w:sz w:val="20"/>
        </w:rPr>
        <w:t> </w:t>
      </w:r>
      <w:r>
        <w:rPr>
          <w:color w:val="231F20"/>
          <w:sz w:val="20"/>
        </w:rPr>
        <w:t>on</w:t>
      </w:r>
      <w:r>
        <w:rPr>
          <w:color w:val="231F20"/>
          <w:spacing w:val="11"/>
          <w:sz w:val="20"/>
        </w:rPr>
        <w:t> </w:t>
      </w:r>
      <w:r>
        <w:rPr>
          <w:color w:val="231F20"/>
          <w:sz w:val="20"/>
        </w:rPr>
        <w:t>the</w:t>
      </w:r>
      <w:r>
        <w:rPr>
          <w:color w:val="231F20"/>
          <w:spacing w:val="12"/>
          <w:sz w:val="20"/>
        </w:rPr>
        <w:t> </w:t>
      </w:r>
      <w:r>
        <w:rPr>
          <w:color w:val="231F20"/>
          <w:spacing w:val="-2"/>
          <w:sz w:val="20"/>
        </w:rPr>
        <w:t>left.</w:t>
      </w:r>
    </w:p>
    <w:p>
      <w:pPr>
        <w:pStyle w:val="BodyText"/>
        <w:spacing w:line="213" w:lineRule="auto" w:before="53"/>
        <w:ind w:left="2548" w:right="545"/>
      </w:pPr>
      <w:r>
        <w:rPr>
          <w:color w:val="231F20"/>
        </w:rPr>
        <w:t>If you do not see the situation, click </w:t>
      </w:r>
      <w:r>
        <w:rPr>
          <w:color w:val="231F20"/>
          <w:spacing w:val="-25"/>
          <w:position w:val="-1"/>
        </w:rPr>
        <w:drawing>
          <wp:inline distT="0" distB="0" distL="0" distR="0">
            <wp:extent cx="95250" cy="101600"/>
            <wp:effectExtent l="0" t="0" r="0" b="0"/>
            <wp:docPr id="2459" name="Image 2459"/>
            <wp:cNvGraphicFramePr>
              <a:graphicFrameLocks/>
            </wp:cNvGraphicFramePr>
            <a:graphic>
              <a:graphicData uri="http://schemas.openxmlformats.org/drawingml/2006/picture">
                <pic:pic>
                  <pic:nvPicPr>
                    <pic:cNvPr id="2459" name="Image 2459"/>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9"/>
        </w:rPr>
        <w:t> </w:t>
      </w:r>
      <w:r>
        <w:rPr>
          <w:rFonts w:ascii="Book Antiqua"/>
          <w:b/>
          <w:color w:val="231F20"/>
        </w:rPr>
        <w:t>Situation Filter </w:t>
      </w:r>
      <w:r>
        <w:rPr>
          <w:color w:val="231F20"/>
        </w:rPr>
        <w:t>and select all of </w:t>
      </w:r>
      <w:r>
        <w:rPr>
          <w:color w:val="231F20"/>
        </w:rPr>
        <w:t>the </w:t>
      </w:r>
      <w:r>
        <w:rPr>
          <w:color w:val="231F20"/>
          <w:spacing w:val="-2"/>
        </w:rPr>
        <w:t>options.</w:t>
      </w:r>
    </w:p>
    <w:p>
      <w:pPr>
        <w:pStyle w:val="BodyText"/>
        <w:spacing w:line="213" w:lineRule="auto" w:before="58"/>
        <w:ind w:left="2548"/>
      </w:pPr>
      <w:r>
        <w:rPr>
          <w:color w:val="231F20"/>
        </w:rPr>
        <w:t>You can use Ctrl+click to select additional situations or Shift+click to select </w:t>
      </w:r>
      <w:r>
        <w:rPr>
          <w:color w:val="231F20"/>
        </w:rPr>
        <w:t>all situations between and including the first selection and this one.</w:t>
      </w:r>
    </w:p>
    <w:p>
      <w:pPr>
        <w:pStyle w:val="ListParagraph"/>
        <w:numPr>
          <w:ilvl w:val="0"/>
          <w:numId w:val="130"/>
        </w:numPr>
        <w:tabs>
          <w:tab w:pos="2547" w:val="left" w:leader="none"/>
        </w:tabs>
        <w:spacing w:line="240" w:lineRule="auto" w:before="35" w:after="0"/>
        <w:ind w:left="2547" w:right="0" w:hanging="315"/>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101600"/>
            <wp:effectExtent l="0" t="0" r="0" b="0"/>
            <wp:docPr id="2460" name="Image 2460"/>
            <wp:cNvGraphicFramePr>
              <a:graphicFrameLocks/>
            </wp:cNvGraphicFramePr>
            <a:graphic>
              <a:graphicData uri="http://schemas.openxmlformats.org/drawingml/2006/picture">
                <pic:pic>
                  <pic:nvPicPr>
                    <pic:cNvPr id="2460" name="Image 2460"/>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9"/>
          <w:sz w:val="20"/>
        </w:rPr>
        <w:t> </w:t>
      </w:r>
      <w:r>
        <w:rPr>
          <w:rFonts w:ascii="Book Antiqua"/>
          <w:b/>
          <w:color w:val="231F20"/>
          <w:sz w:val="20"/>
        </w:rPr>
        <w:t>Delete</w:t>
      </w:r>
      <w:r>
        <w:rPr>
          <w:rFonts w:ascii="Book Antiqua"/>
          <w:b/>
          <w:color w:val="231F20"/>
          <w:spacing w:val="11"/>
          <w:sz w:val="20"/>
        </w:rPr>
        <w:t> </w:t>
      </w:r>
      <w:r>
        <w:rPr>
          <w:color w:val="231F20"/>
          <w:sz w:val="20"/>
        </w:rPr>
        <w:t>to</w:t>
      </w:r>
      <w:r>
        <w:rPr>
          <w:color w:val="231F20"/>
          <w:spacing w:val="11"/>
          <w:sz w:val="20"/>
        </w:rPr>
        <w:t> </w:t>
      </w:r>
      <w:r>
        <w:rPr>
          <w:color w:val="231F20"/>
          <w:sz w:val="20"/>
        </w:rPr>
        <w:t>permanently</w:t>
      </w:r>
      <w:r>
        <w:rPr>
          <w:color w:val="231F20"/>
          <w:spacing w:val="11"/>
          <w:sz w:val="20"/>
        </w:rPr>
        <w:t> </w:t>
      </w:r>
      <w:r>
        <w:rPr>
          <w:color w:val="231F20"/>
          <w:sz w:val="20"/>
        </w:rPr>
        <w:t>remove</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pacing w:val="-2"/>
          <w:sz w:val="20"/>
        </w:rPr>
        <w:t>selection.</w:t>
      </w:r>
    </w:p>
    <w:p>
      <w:pPr>
        <w:pStyle w:val="BodyText"/>
        <w:spacing w:line="213" w:lineRule="auto" w:before="53"/>
        <w:ind w:left="2548" w:right="493"/>
      </w:pPr>
      <w:r>
        <w:rPr>
          <w:color w:val="231F20"/>
        </w:rPr>
        <w:t>If a progress bar is displayed, you can click </w:t>
      </w:r>
      <w:r>
        <w:rPr>
          <w:rFonts w:ascii="Book Antiqua"/>
          <w:b/>
          <w:color w:val="231F20"/>
        </w:rPr>
        <w:t>Stop </w:t>
      </w:r>
      <w:r>
        <w:rPr>
          <w:color w:val="231F20"/>
        </w:rPr>
        <w:t>to pause, then </w:t>
      </w:r>
      <w:r>
        <w:rPr>
          <w:rFonts w:ascii="Book Antiqua"/>
          <w:b/>
          <w:color w:val="231F20"/>
        </w:rPr>
        <w:t>Resume </w:t>
      </w:r>
      <w:r>
        <w:rPr>
          <w:color w:val="231F20"/>
        </w:rPr>
        <w:t>when you are ready to continue, or </w:t>
      </w:r>
      <w:r>
        <w:rPr>
          <w:rFonts w:ascii="Book Antiqua"/>
          <w:b/>
          <w:color w:val="231F20"/>
        </w:rPr>
        <w:t>Cancel </w:t>
      </w:r>
      <w:r>
        <w:rPr>
          <w:color w:val="231F20"/>
        </w:rPr>
        <w:t>to stop the operation.</w:t>
      </w:r>
    </w:p>
    <w:p>
      <w:pPr>
        <w:pStyle w:val="ListParagraph"/>
        <w:numPr>
          <w:ilvl w:val="0"/>
          <w:numId w:val="130"/>
        </w:numPr>
        <w:tabs>
          <w:tab w:pos="2548" w:val="left" w:leader="none"/>
        </w:tabs>
        <w:spacing w:line="213" w:lineRule="auto" w:before="59" w:after="0"/>
        <w:ind w:left="2548" w:right="627" w:hanging="316"/>
        <w:jc w:val="both"/>
        <w:rPr>
          <w:sz w:val="20"/>
        </w:rPr>
      </w:pPr>
      <w:r>
        <w:rPr>
          <w:color w:val="231F20"/>
          <w:sz w:val="20"/>
        </w:rPr>
        <w:t>If this situation is referenced (embedded) in another situation or in a policy, a Referential Integrity window opens with a list of the affected objects and you must do the following before you can delete the situation:</w:t>
      </w:r>
    </w:p>
    <w:p>
      <w:pPr>
        <w:pStyle w:val="ListParagraph"/>
        <w:numPr>
          <w:ilvl w:val="1"/>
          <w:numId w:val="130"/>
        </w:numPr>
        <w:tabs>
          <w:tab w:pos="2863" w:val="left" w:leader="none"/>
        </w:tabs>
        <w:spacing w:line="240" w:lineRule="auto" w:before="34" w:after="0"/>
        <w:ind w:left="2863" w:right="0" w:hanging="315"/>
        <w:jc w:val="both"/>
        <w:rPr>
          <w:sz w:val="20"/>
        </w:rPr>
      </w:pPr>
      <w:r>
        <w:rPr>
          <w:color w:val="231F20"/>
          <w:sz w:val="20"/>
        </w:rPr>
        <w:t>Click</w:t>
      </w:r>
      <w:r>
        <w:rPr>
          <w:color w:val="231F20"/>
          <w:spacing w:val="31"/>
          <w:sz w:val="20"/>
        </w:rPr>
        <w:t> </w:t>
      </w:r>
      <w:r>
        <w:rPr>
          <w:color w:val="231F20"/>
          <w:spacing w:val="-14"/>
          <w:position w:val="-1"/>
          <w:sz w:val="20"/>
        </w:rPr>
        <w:drawing>
          <wp:inline distT="0" distB="0" distL="0" distR="0">
            <wp:extent cx="82550" cy="95250"/>
            <wp:effectExtent l="0" t="0" r="0" b="0"/>
            <wp:docPr id="2461" name="Image 2461"/>
            <wp:cNvGraphicFramePr>
              <a:graphicFrameLocks/>
            </wp:cNvGraphicFramePr>
            <a:graphic>
              <a:graphicData uri="http://schemas.openxmlformats.org/drawingml/2006/picture">
                <pic:pic>
                  <pic:nvPicPr>
                    <pic:cNvPr id="2461" name="Image 2461"/>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sz w:val="20"/>
        </w:rPr>
      </w:r>
      <w:r>
        <w:rPr>
          <w:rFonts w:ascii="Times New Roman"/>
          <w:color w:val="231F20"/>
          <w:spacing w:val="56"/>
          <w:w w:val="150"/>
          <w:sz w:val="20"/>
        </w:rPr>
        <w:t> </w:t>
      </w:r>
      <w:r>
        <w:rPr>
          <w:rFonts w:ascii="Book Antiqua"/>
          <w:b/>
          <w:color w:val="231F20"/>
          <w:sz w:val="20"/>
        </w:rPr>
        <w:t>Copy</w:t>
      </w:r>
      <w:r>
        <w:rPr>
          <w:rFonts w:ascii="Book Antiqua"/>
          <w:b/>
          <w:color w:val="231F20"/>
          <w:spacing w:val="12"/>
          <w:sz w:val="20"/>
        </w:rPr>
        <w:t> </w:t>
      </w:r>
      <w:r>
        <w:rPr>
          <w:color w:val="231F20"/>
          <w:sz w:val="20"/>
        </w:rPr>
        <w:t>if</w:t>
      </w:r>
      <w:r>
        <w:rPr>
          <w:color w:val="231F20"/>
          <w:spacing w:val="12"/>
          <w:sz w:val="20"/>
        </w:rPr>
        <w:t> </w:t>
      </w:r>
      <w:r>
        <w:rPr>
          <w:color w:val="231F20"/>
          <w:sz w:val="20"/>
        </w:rPr>
        <w:t>you</w:t>
      </w:r>
      <w:r>
        <w:rPr>
          <w:color w:val="231F20"/>
          <w:spacing w:val="13"/>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z w:val="20"/>
        </w:rPr>
        <w:t>save</w:t>
      </w:r>
      <w:r>
        <w:rPr>
          <w:color w:val="231F20"/>
          <w:spacing w:val="12"/>
          <w:sz w:val="20"/>
        </w:rPr>
        <w:t> </w:t>
      </w:r>
      <w:r>
        <w:rPr>
          <w:color w:val="231F20"/>
          <w:sz w:val="20"/>
        </w:rPr>
        <w:t>the</w:t>
      </w:r>
      <w:r>
        <w:rPr>
          <w:color w:val="231F20"/>
          <w:spacing w:val="13"/>
          <w:sz w:val="20"/>
        </w:rPr>
        <w:t> </w:t>
      </w:r>
      <w:r>
        <w:rPr>
          <w:color w:val="231F20"/>
          <w:sz w:val="20"/>
        </w:rPr>
        <w:t>list</w:t>
      </w:r>
      <w:r>
        <w:rPr>
          <w:color w:val="231F20"/>
          <w:spacing w:val="12"/>
          <w:sz w:val="20"/>
        </w:rPr>
        <w:t> </w:t>
      </w:r>
      <w:r>
        <w:rPr>
          <w:color w:val="231F20"/>
          <w:sz w:val="20"/>
        </w:rPr>
        <w:t>to</w:t>
      </w:r>
      <w:r>
        <w:rPr>
          <w:color w:val="231F20"/>
          <w:spacing w:val="12"/>
          <w:sz w:val="20"/>
        </w:rPr>
        <w:t> </w:t>
      </w:r>
      <w:r>
        <w:rPr>
          <w:color w:val="231F20"/>
          <w:sz w:val="20"/>
        </w:rPr>
        <w:t>the</w:t>
      </w:r>
      <w:r>
        <w:rPr>
          <w:color w:val="231F20"/>
          <w:spacing w:val="12"/>
          <w:sz w:val="20"/>
        </w:rPr>
        <w:t> </w:t>
      </w:r>
      <w:r>
        <w:rPr>
          <w:color w:val="231F20"/>
          <w:sz w:val="20"/>
        </w:rPr>
        <w:t>Windows</w:t>
      </w:r>
      <w:r>
        <w:rPr>
          <w:color w:val="231F20"/>
          <w:spacing w:val="13"/>
          <w:sz w:val="20"/>
        </w:rPr>
        <w:t> </w:t>
      </w:r>
      <w:r>
        <w:rPr>
          <w:color w:val="231F20"/>
          <w:spacing w:val="-2"/>
          <w:sz w:val="20"/>
        </w:rPr>
        <w:t>clipboard.</w:t>
      </w:r>
    </w:p>
    <w:p>
      <w:pPr>
        <w:pStyle w:val="ListParagraph"/>
        <w:numPr>
          <w:ilvl w:val="1"/>
          <w:numId w:val="130"/>
        </w:numPr>
        <w:tabs>
          <w:tab w:pos="2863" w:val="left" w:leader="none"/>
        </w:tabs>
        <w:spacing w:line="240" w:lineRule="auto" w:before="30" w:after="0"/>
        <w:ind w:left="2863" w:right="0" w:hanging="315"/>
        <w:jc w:val="both"/>
        <w:rPr>
          <w:sz w:val="20"/>
        </w:rPr>
      </w:pPr>
      <w:r>
        <w:rPr>
          <w:color w:val="231F20"/>
          <w:sz w:val="20"/>
        </w:rPr>
        <w:t>Click</w:t>
      </w:r>
      <w:r>
        <w:rPr>
          <w:color w:val="231F20"/>
          <w:spacing w:val="11"/>
          <w:sz w:val="20"/>
        </w:rPr>
        <w:t> </w:t>
      </w:r>
      <w:r>
        <w:rPr>
          <w:rFonts w:ascii="Book Antiqua"/>
          <w:b/>
          <w:color w:val="231F20"/>
          <w:spacing w:val="-2"/>
          <w:sz w:val="20"/>
        </w:rPr>
        <w:t>Cancel</w:t>
      </w:r>
      <w:r>
        <w:rPr>
          <w:color w:val="231F20"/>
          <w:spacing w:val="-2"/>
          <w:sz w:val="20"/>
        </w:rPr>
        <w:t>.</w:t>
      </w:r>
    </w:p>
    <w:p>
      <w:pPr>
        <w:pStyle w:val="BodyText"/>
        <w:spacing w:line="213" w:lineRule="auto" w:before="53"/>
        <w:ind w:left="2864" w:right="545"/>
      </w:pPr>
      <w:r>
        <w:rPr>
          <w:color w:val="231F20"/>
        </w:rPr>
        <w:t>You can now paste the list into a text editor or a notepad view in a </w:t>
      </w:r>
      <w:r>
        <w:rPr>
          <w:color w:val="231F20"/>
          <w:spacing w:val="-2"/>
        </w:rPr>
        <w:t>workspace.</w:t>
      </w:r>
    </w:p>
    <w:p>
      <w:pPr>
        <w:pStyle w:val="ListParagraph"/>
        <w:numPr>
          <w:ilvl w:val="1"/>
          <w:numId w:val="130"/>
        </w:numPr>
        <w:tabs>
          <w:tab w:pos="2851" w:val="left" w:leader="none"/>
          <w:tab w:pos="2853" w:val="left" w:leader="none"/>
        </w:tabs>
        <w:spacing w:line="213" w:lineRule="auto" w:before="58" w:after="0"/>
        <w:ind w:left="2853" w:right="672" w:hanging="305"/>
        <w:jc w:val="left"/>
        <w:rPr>
          <w:sz w:val="20"/>
        </w:rPr>
      </w:pPr>
      <w:r>
        <w:rPr>
          <w:color w:val="231F20"/>
          <w:sz w:val="20"/>
        </w:rPr>
        <w:t>Edit each situation or policy in the list to delete the reference to this situation. (With the situation open in the Formula editor, right-click the column heading for the embedded situation, and click</w:t>
      </w:r>
      <w:r>
        <w:rPr>
          <w:color w:val="231F20"/>
          <w:spacing w:val="16"/>
          <w:sz w:val="20"/>
        </w:rPr>
        <w:t> </w:t>
      </w:r>
      <w:r>
        <w:rPr>
          <w:color w:val="231F20"/>
          <w:spacing w:val="-25"/>
          <w:position w:val="-1"/>
          <w:sz w:val="20"/>
        </w:rPr>
        <w:drawing>
          <wp:inline distT="0" distB="0" distL="0" distR="0">
            <wp:extent cx="95250" cy="101600"/>
            <wp:effectExtent l="0" t="0" r="0" b="0"/>
            <wp:docPr id="2462" name="Image 2462"/>
            <wp:cNvGraphicFramePr>
              <a:graphicFrameLocks/>
            </wp:cNvGraphicFramePr>
            <a:graphic>
              <a:graphicData uri="http://schemas.openxmlformats.org/drawingml/2006/picture">
                <pic:pic>
                  <pic:nvPicPr>
                    <pic:cNvPr id="2462" name="Image 2462"/>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6"/>
          <w:sz w:val="20"/>
        </w:rPr>
        <w:t> </w:t>
      </w:r>
      <w:r>
        <w:rPr>
          <w:rFonts w:ascii="Book Antiqua"/>
          <w:b/>
          <w:color w:val="231F20"/>
          <w:sz w:val="20"/>
        </w:rPr>
        <w:t>Delete</w:t>
      </w:r>
      <w:r>
        <w:rPr>
          <w:color w:val="231F20"/>
          <w:sz w:val="20"/>
        </w:rPr>
        <w:t>. With </w:t>
      </w:r>
      <w:r>
        <w:rPr>
          <w:color w:val="231F20"/>
          <w:sz w:val="20"/>
        </w:rPr>
        <w:t>the policy open in the Workflow editor, select the activity references this situation, and click </w:t>
      </w:r>
      <w:r>
        <w:rPr>
          <w:color w:val="231F20"/>
          <w:spacing w:val="-24"/>
          <w:position w:val="-1"/>
          <w:sz w:val="20"/>
        </w:rPr>
        <w:drawing>
          <wp:inline distT="0" distB="0" distL="0" distR="0">
            <wp:extent cx="95250" cy="101600"/>
            <wp:effectExtent l="0" t="0" r="0" b="0"/>
            <wp:docPr id="2463" name="Image 2463"/>
            <wp:cNvGraphicFramePr>
              <a:graphicFrameLocks/>
            </wp:cNvGraphicFramePr>
            <a:graphic>
              <a:graphicData uri="http://schemas.openxmlformats.org/drawingml/2006/picture">
                <pic:pic>
                  <pic:nvPicPr>
                    <pic:cNvPr id="2463" name="Image 2463"/>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Clear</w:t>
      </w:r>
      <w:r>
        <w:rPr>
          <w:color w:val="231F20"/>
          <w:sz w:val="20"/>
        </w:rPr>
        <w:t>.)</w:t>
      </w:r>
    </w:p>
    <w:p>
      <w:pPr>
        <w:pStyle w:val="BodyText"/>
        <w:spacing w:line="213" w:lineRule="auto" w:before="236"/>
        <w:ind w:left="2232" w:right="545"/>
      </w:pPr>
      <w:r>
        <w:rPr>
          <w:rFonts w:ascii="Book Antiqua"/>
          <w:b/>
          <w:color w:val="231F20"/>
        </w:rPr>
        <w:t>Note:</w:t>
      </w:r>
      <w:r>
        <w:rPr>
          <w:rFonts w:ascii="Book Antiqua"/>
          <w:b/>
          <w:color w:val="231F20"/>
          <w:spacing w:val="40"/>
        </w:rPr>
        <w:t> </w:t>
      </w:r>
      <w:r>
        <w:rPr>
          <w:rFonts w:ascii="Book Antiqua"/>
          <w:b/>
          <w:color w:val="231F20"/>
          <w:spacing w:val="-1"/>
          <w:position w:val="-1"/>
        </w:rPr>
        <w:drawing>
          <wp:inline distT="0" distB="0" distL="0" distR="0">
            <wp:extent cx="101600" cy="95250"/>
            <wp:effectExtent l="0" t="0" r="0" b="0"/>
            <wp:docPr id="2464" name="Image 2464"/>
            <wp:cNvGraphicFramePr>
              <a:graphicFrameLocks/>
            </wp:cNvGraphicFramePr>
            <a:graphic>
              <a:graphicData uri="http://schemas.openxmlformats.org/drawingml/2006/picture">
                <pic:pic>
                  <pic:nvPicPr>
                    <pic:cNvPr id="2464" name="Image 2464"/>
                    <pic:cNvPicPr/>
                  </pic:nvPicPr>
                  <pic:blipFill>
                    <a:blip r:embed="rId31" cstate="print"/>
                    <a:stretch>
                      <a:fillRect/>
                    </a:stretch>
                  </pic:blipFill>
                  <pic:spPr>
                    <a:xfrm>
                      <a:off x="0" y="0"/>
                      <a:ext cx="101600" cy="95250"/>
                    </a:xfrm>
                    <a:prstGeom prst="rect">
                      <a:avLst/>
                    </a:prstGeom>
                  </pic:spPr>
                </pic:pic>
              </a:graphicData>
            </a:graphic>
          </wp:inline>
        </w:drawing>
      </w:r>
      <w:r>
        <w:rPr>
          <w:rFonts w:ascii="Book Antiqua"/>
          <w:b/>
          <w:color w:val="231F20"/>
          <w:spacing w:val="-1"/>
          <w:position w:val="-1"/>
        </w:rPr>
      </w:r>
      <w:r>
        <w:rPr>
          <w:rFonts w:ascii="Times New Roman"/>
          <w:color w:val="231F20"/>
          <w:spacing w:val="40"/>
        </w:rPr>
        <w:t> </w:t>
      </w:r>
      <w:r>
        <w:rPr>
          <w:rFonts w:ascii="Book Antiqua"/>
          <w:b/>
          <w:color w:val="231F20"/>
        </w:rPr>
        <w:t>Situations </w:t>
      </w:r>
      <w:r>
        <w:rPr>
          <w:color w:val="231F20"/>
        </w:rPr>
        <w:t>is only in the pop-up menu of Navigator items that have managed systems assigned. In the Navigator Physical view, managed systems are preassigned to every item except those at the operating platform level (such as</w:t>
      </w:r>
      <w:r>
        <w:rPr>
          <w:color w:val="231F20"/>
          <w:spacing w:val="80"/>
        </w:rPr>
        <w:t> </w:t>
      </w:r>
      <w:r>
        <w:rPr>
          <w:color w:val="231F20"/>
        </w:rPr>
        <w:t>Linux</w:t>
      </w:r>
      <w:r>
        <w:rPr>
          <w:color w:val="231F20"/>
          <w:spacing w:val="29"/>
        </w:rPr>
        <w:t> </w:t>
      </w:r>
      <w:r>
        <w:rPr>
          <w:color w:val="231F20"/>
        </w:rPr>
        <w:t>Systems)</w:t>
      </w:r>
      <w:r>
        <w:rPr>
          <w:color w:val="231F20"/>
          <w:spacing w:val="29"/>
        </w:rPr>
        <w:t> </w:t>
      </w:r>
      <w:r>
        <w:rPr>
          <w:color w:val="231F20"/>
        </w:rPr>
        <w:t>and</w:t>
      </w:r>
      <w:r>
        <w:rPr>
          <w:color w:val="231F20"/>
          <w:spacing w:val="29"/>
        </w:rPr>
        <w:t> </w:t>
      </w:r>
      <w:r>
        <w:rPr>
          <w:color w:val="231F20"/>
        </w:rPr>
        <w:t>cannot</w:t>
      </w:r>
      <w:r>
        <w:rPr>
          <w:color w:val="231F20"/>
          <w:spacing w:val="29"/>
        </w:rPr>
        <w:t> </w:t>
      </w:r>
      <w:r>
        <w:rPr>
          <w:color w:val="231F20"/>
        </w:rPr>
        <w:t>be</w:t>
      </w:r>
      <w:r>
        <w:rPr>
          <w:color w:val="231F20"/>
          <w:spacing w:val="29"/>
        </w:rPr>
        <w:t> </w:t>
      </w:r>
      <w:r>
        <w:rPr>
          <w:color w:val="231F20"/>
        </w:rPr>
        <w:t>changed.</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Navigator</w:t>
      </w:r>
      <w:r>
        <w:rPr>
          <w:color w:val="231F20"/>
          <w:spacing w:val="29"/>
        </w:rPr>
        <w:t> </w:t>
      </w:r>
      <w:r>
        <w:rPr>
          <w:color w:val="231F20"/>
        </w:rPr>
        <w:t>Logical</w:t>
      </w:r>
      <w:r>
        <w:rPr>
          <w:color w:val="231F20"/>
          <w:spacing w:val="29"/>
        </w:rPr>
        <w:t> </w:t>
      </w:r>
      <w:r>
        <w:rPr>
          <w:color w:val="231F20"/>
        </w:rPr>
        <w:t>and</w:t>
      </w:r>
      <w:r>
        <w:rPr>
          <w:color w:val="231F20"/>
          <w:spacing w:val="29"/>
        </w:rPr>
        <w:t> </w:t>
      </w:r>
      <w:r>
        <w:rPr>
          <w:color w:val="231F20"/>
        </w:rPr>
        <w:t>custom views, you can assign managed systems when creating a Navigator item or </w:t>
      </w:r>
      <w:r>
        <w:rPr>
          <w:color w:val="231F20"/>
        </w:rPr>
        <w:t>editing its properties.</w:t>
      </w:r>
    </w:p>
    <w:p>
      <w:pPr>
        <w:pStyle w:val="BodyText"/>
        <w:spacing w:line="213" w:lineRule="auto" w:before="236"/>
        <w:ind w:left="2232" w:right="545"/>
      </w:pPr>
      <w:r>
        <w:rPr>
          <w:rFonts w:ascii="Book Antiqua"/>
          <w:b/>
          <w:color w:val="231F20"/>
        </w:rPr>
        <w:t>Note:</w:t>
      </w:r>
      <w:r>
        <w:rPr>
          <w:rFonts w:ascii="Book Antiqua"/>
          <w:b/>
          <w:color w:val="231F20"/>
          <w:spacing w:val="40"/>
        </w:rPr>
        <w:t> </w:t>
      </w:r>
      <w:r>
        <w:rPr>
          <w:color w:val="231F20"/>
        </w:rPr>
        <w:t>If</w:t>
      </w:r>
      <w:r>
        <w:rPr>
          <w:color w:val="231F20"/>
          <w:spacing w:val="26"/>
        </w:rPr>
        <w:t> </w:t>
      </w:r>
      <w:r>
        <w:rPr>
          <w:color w:val="231F20"/>
        </w:rPr>
        <w:t>you</w:t>
      </w:r>
      <w:r>
        <w:rPr>
          <w:color w:val="231F20"/>
          <w:spacing w:val="26"/>
        </w:rPr>
        <w:t> </w:t>
      </w:r>
      <w:r>
        <w:rPr>
          <w:color w:val="231F20"/>
        </w:rPr>
        <w:t>are</w:t>
      </w:r>
      <w:r>
        <w:rPr>
          <w:color w:val="231F20"/>
          <w:spacing w:val="26"/>
        </w:rPr>
        <w:t> </w:t>
      </w:r>
      <w:r>
        <w:rPr>
          <w:color w:val="231F20"/>
        </w:rPr>
        <w:t>forwarding</w:t>
      </w:r>
      <w:r>
        <w:rPr>
          <w:color w:val="231F20"/>
          <w:spacing w:val="26"/>
        </w:rPr>
        <w:t> </w:t>
      </w:r>
      <w:r>
        <w:rPr>
          <w:color w:val="231F20"/>
        </w:rPr>
        <w:t>events</w:t>
      </w:r>
      <w:r>
        <w:rPr>
          <w:color w:val="231F20"/>
          <w:spacing w:val="26"/>
        </w:rPr>
        <w:t> </w:t>
      </w:r>
      <w:r>
        <w:rPr>
          <w:color w:val="231F20"/>
        </w:rPr>
        <w:t>to</w:t>
      </w:r>
      <w:r>
        <w:rPr>
          <w:color w:val="231F20"/>
          <w:spacing w:val="26"/>
        </w:rPr>
        <w:t> </w:t>
      </w:r>
      <w:r>
        <w:rPr>
          <w:color w:val="231F20"/>
        </w:rPr>
        <w:t>an</w:t>
      </w:r>
      <w:r>
        <w:rPr>
          <w:color w:val="231F20"/>
          <w:spacing w:val="26"/>
        </w:rPr>
        <w:t> </w:t>
      </w:r>
      <w:r>
        <w:rPr>
          <w:color w:val="231F20"/>
        </w:rPr>
        <w:t>event</w:t>
      </w:r>
      <w:r>
        <w:rPr>
          <w:color w:val="231F20"/>
          <w:spacing w:val="26"/>
        </w:rPr>
        <w:t> </w:t>
      </w:r>
      <w:r>
        <w:rPr>
          <w:color w:val="231F20"/>
        </w:rPr>
        <w:t>integration</w:t>
      </w:r>
      <w:r>
        <w:rPr>
          <w:color w:val="231F20"/>
          <w:spacing w:val="26"/>
        </w:rPr>
        <w:t> </w:t>
      </w:r>
      <w:r>
        <w:rPr>
          <w:color w:val="231F20"/>
        </w:rPr>
        <w:t>facility</w:t>
      </w:r>
      <w:r>
        <w:rPr>
          <w:color w:val="231F20"/>
          <w:spacing w:val="26"/>
        </w:rPr>
        <w:t> </w:t>
      </w:r>
      <w:r>
        <w:rPr>
          <w:color w:val="231F20"/>
        </w:rPr>
        <w:t>such</w:t>
      </w:r>
      <w:r>
        <w:rPr>
          <w:color w:val="231F20"/>
          <w:spacing w:val="26"/>
        </w:rPr>
        <w:t> </w:t>
      </w:r>
      <w:r>
        <w:rPr>
          <w:color w:val="231F20"/>
        </w:rPr>
        <w:t>as</w:t>
      </w:r>
      <w:r>
        <w:rPr>
          <w:color w:val="231F20"/>
          <w:spacing w:val="26"/>
        </w:rPr>
        <w:t> </w:t>
      </w:r>
      <w:r>
        <w:rPr>
          <w:color w:val="231F20"/>
        </w:rPr>
        <w:t>the Tivoli Enterprise Console Server, when an active situation is deleted, the Stop and Delete events that are sent to the event server use the situation short name and not</w:t>
      </w:r>
      <w:r>
        <w:rPr>
          <w:color w:val="231F20"/>
          <w:spacing w:val="40"/>
        </w:rPr>
        <w:t> </w:t>
      </w:r>
      <w:r>
        <w:rPr>
          <w:color w:val="231F20"/>
        </w:rPr>
        <w:t>the long name. This is also true for any associated messages that are sent to the</w:t>
      </w:r>
      <w:r>
        <w:rPr>
          <w:color w:val="231F20"/>
          <w:spacing w:val="40"/>
        </w:rPr>
        <w:t> </w:t>
      </w:r>
      <w:r>
        <w:rPr>
          <w:color w:val="231F20"/>
        </w:rPr>
        <w:t>message log view.</w:t>
      </w:r>
    </w:p>
    <w:p>
      <w:pPr>
        <w:pStyle w:val="BodyText"/>
        <w:spacing w:before="3"/>
        <w:rPr>
          <w:sz w:val="16"/>
        </w:rPr>
      </w:pPr>
      <w:r>
        <w:rPr/>
        <mc:AlternateContent>
          <mc:Choice Requires="wps">
            <w:drawing>
              <wp:anchor distT="0" distB="0" distL="0" distR="0" allowOverlap="1" layoutInCell="1" locked="0" behindDoc="1" simplePos="0" relativeHeight="487729664">
                <wp:simplePos x="0" y="0"/>
                <wp:positionH relativeFrom="page">
                  <wp:posOffset>760323</wp:posOffset>
                </wp:positionH>
                <wp:positionV relativeFrom="paragraph">
                  <wp:posOffset>154452</wp:posOffset>
                </wp:positionV>
                <wp:extent cx="6082665" cy="1270"/>
                <wp:effectExtent l="0" t="0" r="0" b="0"/>
                <wp:wrapTopAndBottom/>
                <wp:docPr id="2465" name="Graphic 2465"/>
                <wp:cNvGraphicFramePr>
                  <a:graphicFrameLocks/>
                </wp:cNvGraphicFramePr>
                <a:graphic>
                  <a:graphicData uri="http://schemas.microsoft.com/office/word/2010/wordprocessingShape">
                    <wps:wsp>
                      <wps:cNvPr id="2465" name="Graphic 246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161653pt;width:478.95pt;height:.1pt;mso-position-horizontal-relative:page;mso-position-vertical-relative:paragraph;z-index:-15586816;mso-wrap-distance-left:0;mso-wrap-distance-right:0" id="docshape219" coordorigin="1197,243" coordsize="9579,0" path="m1197,243l10776,243e" filled="false" stroked="true" strokeweight=".499pt" strokecolor="#231f20">
                <v:path arrowok="t"/>
                <v:stroke dashstyle="solid"/>
                <w10:wrap type="topAndBottom"/>
              </v:shape>
            </w:pict>
          </mc:Fallback>
        </mc:AlternateContent>
      </w:r>
    </w:p>
    <w:p>
      <w:pPr>
        <w:pStyle w:val="Heading3"/>
        <w:ind w:left="197"/>
      </w:pPr>
      <w:bookmarkStart w:name="Situation overrides for dynamic threshol" w:id="459"/>
      <w:bookmarkEnd w:id="459"/>
      <w:r>
        <w:rPr>
          <w:b w:val="0"/>
        </w:rPr>
      </w:r>
      <w:r>
        <w:rPr>
          <w:color w:val="231F20"/>
        </w:rPr>
        <w:t>Situation</w:t>
      </w:r>
      <w:r>
        <w:rPr>
          <w:color w:val="231F20"/>
          <w:spacing w:val="5"/>
        </w:rPr>
        <w:t> </w:t>
      </w:r>
      <w:r>
        <w:rPr>
          <w:color w:val="231F20"/>
        </w:rPr>
        <w:t>overrides</w:t>
      </w:r>
      <w:r>
        <w:rPr>
          <w:color w:val="231F20"/>
          <w:spacing w:val="5"/>
        </w:rPr>
        <w:t> </w:t>
      </w:r>
      <w:r>
        <w:rPr>
          <w:color w:val="231F20"/>
        </w:rPr>
        <w:t>for</w:t>
      </w:r>
      <w:r>
        <w:rPr>
          <w:color w:val="231F20"/>
          <w:spacing w:val="5"/>
        </w:rPr>
        <w:t> </w:t>
      </w:r>
      <w:r>
        <w:rPr>
          <w:color w:val="231F20"/>
        </w:rPr>
        <w:t>dynamic</w:t>
      </w:r>
      <w:r>
        <w:rPr>
          <w:color w:val="231F20"/>
          <w:spacing w:val="5"/>
        </w:rPr>
        <w:t> </w:t>
      </w:r>
      <w:r>
        <w:rPr>
          <w:color w:val="231F20"/>
          <w:spacing w:val="-2"/>
        </w:rPr>
        <w:t>thresholding</w:t>
      </w:r>
    </w:p>
    <w:p>
      <w:pPr>
        <w:pStyle w:val="BodyText"/>
        <w:spacing w:line="213" w:lineRule="auto" w:before="138"/>
        <w:ind w:left="2232" w:right="545"/>
      </w:pPr>
      <w:r>
        <w:rPr>
          <w:color w:val="231F20"/>
        </w:rPr>
        <w:t>Use situation overrides for dynamic thresholding at selected managed </w:t>
      </w:r>
      <w:r>
        <w:rPr>
          <w:color w:val="231F20"/>
        </w:rPr>
        <w:t>systems, under specific conditions, and at scheduled times.</w:t>
      </w:r>
    </w:p>
    <w:p>
      <w:pPr>
        <w:spacing w:after="0" w:line="213" w:lineRule="auto"/>
        <w:sectPr>
          <w:pgSz w:w="12240" w:h="15840"/>
          <w:pgMar w:header="0" w:footer="736" w:top="1180" w:bottom="920" w:left="1000" w:right="1060"/>
        </w:sectPr>
      </w:pPr>
    </w:p>
    <w:p>
      <w:pPr>
        <w:pStyle w:val="BodyText"/>
        <w:spacing w:line="213" w:lineRule="auto" w:before="85"/>
        <w:ind w:left="2472" w:right="338"/>
      </w:pPr>
      <w:bookmarkStart w:name="_bookmark218" w:id="460"/>
      <w:bookmarkEnd w:id="460"/>
      <w:r>
        <w:rPr/>
      </w:r>
      <w:r>
        <w:rPr>
          <w:color w:val="231F20"/>
        </w:rPr>
        <w:t>Overriding a situation formula is useful if you need to adjust the comparison</w:t>
      </w:r>
      <w:r>
        <w:rPr>
          <w:color w:val="231F20"/>
          <w:spacing w:val="80"/>
          <w:w w:val="150"/>
        </w:rPr>
        <w:t> </w:t>
      </w:r>
      <w:r>
        <w:rPr>
          <w:color w:val="231F20"/>
        </w:rPr>
        <w:t>values based on local conditions or a specific time. The values used in a situation</w:t>
      </w:r>
      <w:r>
        <w:rPr>
          <w:color w:val="231F20"/>
          <w:spacing w:val="40"/>
        </w:rPr>
        <w:t> </w:t>
      </w:r>
      <w:r>
        <w:rPr>
          <w:color w:val="231F20"/>
        </w:rPr>
        <w:t>override can be either fixed or calculated from runtime data. Examples include </w:t>
      </w:r>
      <w:r>
        <w:rPr>
          <w:color w:val="231F20"/>
        </w:rPr>
        <w:t>the </w:t>
      </w:r>
      <w:r>
        <w:rPr>
          <w:color w:val="231F20"/>
          <w:spacing w:val="-2"/>
        </w:rPr>
        <w:t>following:</w:t>
      </w:r>
    </w:p>
    <w:p>
      <w:pPr>
        <w:pStyle w:val="BodyText"/>
        <w:spacing w:line="213" w:lineRule="auto" w:before="57"/>
        <w:ind w:left="2688" w:right="493" w:hanging="216"/>
      </w:pPr>
      <w:r>
        <w:rPr>
          <w:rFonts w:ascii="Futura MdCn BT"/>
          <w:color w:val="231F20"/>
        </w:rPr>
        <w:t>v</w:t>
      </w:r>
      <w:r>
        <w:rPr>
          <w:rFonts w:ascii="Futura MdCn BT"/>
          <w:color w:val="231F20"/>
          <w:spacing w:val="80"/>
        </w:rPr>
        <w:t> </w:t>
      </w:r>
      <w:r>
        <w:rPr>
          <w:color w:val="231F20"/>
        </w:rPr>
        <w:t>Overriding the formula for a particular managed system because of its </w:t>
      </w:r>
      <w:r>
        <w:rPr>
          <w:color w:val="231F20"/>
        </w:rPr>
        <w:t>unique</w:t>
      </w:r>
      <w:r>
        <w:rPr>
          <w:color w:val="231F20"/>
        </w:rPr>
        <w:t> configuration. For example, you might want to use a different threshold to detect</w:t>
      </w:r>
      <w:r>
        <w:rPr>
          <w:color w:val="231F20"/>
          <w:spacing w:val="25"/>
        </w:rPr>
        <w:t> </w:t>
      </w:r>
      <w:r>
        <w:rPr>
          <w:color w:val="231F20"/>
        </w:rPr>
        <w:t>a</w:t>
      </w:r>
      <w:r>
        <w:rPr>
          <w:color w:val="231F20"/>
          <w:spacing w:val="25"/>
        </w:rPr>
        <w:t> </w:t>
      </w:r>
      <w:r>
        <w:rPr>
          <w:color w:val="231F20"/>
        </w:rPr>
        <w:t>"disk</w:t>
      </w:r>
      <w:r>
        <w:rPr>
          <w:color w:val="231F20"/>
          <w:spacing w:val="25"/>
        </w:rPr>
        <w:t> </w:t>
      </w:r>
      <w:r>
        <w:rPr>
          <w:color w:val="231F20"/>
        </w:rPr>
        <w:t>full"</w:t>
      </w:r>
      <w:r>
        <w:rPr>
          <w:color w:val="231F20"/>
          <w:spacing w:val="25"/>
        </w:rPr>
        <w:t> </w:t>
      </w:r>
      <w:r>
        <w:rPr>
          <w:color w:val="231F20"/>
        </w:rPr>
        <w:t>condition</w:t>
      </w:r>
      <w:r>
        <w:rPr>
          <w:color w:val="231F20"/>
          <w:spacing w:val="25"/>
        </w:rPr>
        <w:t> </w:t>
      </w:r>
      <w:r>
        <w:rPr>
          <w:color w:val="231F20"/>
        </w:rPr>
        <w:t>for</w:t>
      </w:r>
      <w:r>
        <w:rPr>
          <w:color w:val="231F20"/>
          <w:spacing w:val="25"/>
        </w:rPr>
        <w:t> </w:t>
      </w:r>
      <w:r>
        <w:rPr>
          <w:color w:val="231F20"/>
        </w:rPr>
        <w:t>a</w:t>
      </w:r>
      <w:r>
        <w:rPr>
          <w:color w:val="231F20"/>
          <w:spacing w:val="25"/>
        </w:rPr>
        <w:t> </w:t>
      </w:r>
      <w:r>
        <w:rPr>
          <w:color w:val="231F20"/>
        </w:rPr>
        <w:t>system</w:t>
      </w:r>
      <w:r>
        <w:rPr>
          <w:color w:val="231F20"/>
          <w:spacing w:val="25"/>
        </w:rPr>
        <w:t> </w:t>
      </w:r>
      <w:r>
        <w:rPr>
          <w:color w:val="231F20"/>
        </w:rPr>
        <w:t>that</w:t>
      </w:r>
      <w:r>
        <w:rPr>
          <w:color w:val="231F20"/>
          <w:spacing w:val="25"/>
        </w:rPr>
        <w:t> </w:t>
      </w:r>
      <w:r>
        <w:rPr>
          <w:color w:val="231F20"/>
        </w:rPr>
        <w:t>has</w:t>
      </w:r>
      <w:r>
        <w:rPr>
          <w:color w:val="231F20"/>
          <w:spacing w:val="25"/>
        </w:rPr>
        <w:t> </w:t>
      </w:r>
      <w:r>
        <w:rPr>
          <w:color w:val="231F20"/>
        </w:rPr>
        <w:t>a</w:t>
      </w:r>
      <w:r>
        <w:rPr>
          <w:color w:val="231F20"/>
          <w:spacing w:val="25"/>
        </w:rPr>
        <w:t> </w:t>
      </w:r>
      <w:r>
        <w:rPr>
          <w:color w:val="231F20"/>
        </w:rPr>
        <w:t>large</w:t>
      </w:r>
      <w:r>
        <w:rPr>
          <w:color w:val="231F20"/>
          <w:spacing w:val="25"/>
        </w:rPr>
        <w:t> </w:t>
      </w:r>
      <w:r>
        <w:rPr>
          <w:color w:val="231F20"/>
        </w:rPr>
        <w:t>hard</w:t>
      </w:r>
      <w:r>
        <w:rPr>
          <w:color w:val="231F20"/>
          <w:spacing w:val="25"/>
        </w:rPr>
        <w:t> </w:t>
      </w:r>
      <w:r>
        <w:rPr>
          <w:color w:val="231F20"/>
        </w:rPr>
        <w:t>disk</w:t>
      </w:r>
      <w:r>
        <w:rPr>
          <w:color w:val="231F20"/>
          <w:spacing w:val="25"/>
        </w:rPr>
        <w:t> </w:t>
      </w:r>
      <w:r>
        <w:rPr>
          <w:color w:val="231F20"/>
        </w:rPr>
        <w:t>drive.</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Focusing on the performance of a specific process or component. For example, you might override a comparison value only when the Process Name </w:t>
      </w:r>
      <w:r>
        <w:rPr>
          <w:color w:val="231F20"/>
        </w:rPr>
        <w:t>attribute</w:t>
      </w:r>
      <w:r>
        <w:rPr>
          <w:color w:val="231F20"/>
        </w:rPr>
        <w:t> matches a specified value, in order to specify a lower CPU time threshold for that process.</w:t>
      </w:r>
    </w:p>
    <w:p>
      <w:pPr>
        <w:pStyle w:val="BodyText"/>
        <w:spacing w:line="213" w:lineRule="auto" w:before="57"/>
        <w:ind w:left="2688" w:right="493" w:hanging="216"/>
      </w:pPr>
      <w:r>
        <w:rPr>
          <w:rFonts w:ascii="Futura MdCn BT"/>
          <w:color w:val="231F20"/>
        </w:rPr>
        <w:t>v</w:t>
      </w:r>
      <w:r>
        <w:rPr>
          <w:rFonts w:ascii="Futura MdCn BT"/>
          <w:color w:val="231F20"/>
          <w:spacing w:val="80"/>
        </w:rPr>
        <w:t> </w:t>
      </w:r>
      <w:r>
        <w:rPr>
          <w:color w:val="231F20"/>
        </w:rPr>
        <w:t>Applying different expression values during specified periods of time to accommodate varying service level objectives. For example, you might </w:t>
      </w:r>
      <w:r>
        <w:rPr>
          <w:color w:val="231F20"/>
        </w:rPr>
        <w:t>apply</w:t>
      </w:r>
      <w:r>
        <w:rPr>
          <w:color w:val="231F20"/>
        </w:rPr>
        <w:t> different override expressions during weekends and holidays.</w:t>
      </w:r>
    </w:p>
    <w:p>
      <w:pPr>
        <w:pStyle w:val="BodyText"/>
        <w:spacing w:line="213" w:lineRule="auto" w:before="58"/>
        <w:ind w:left="2688" w:right="274" w:hanging="216"/>
      </w:pPr>
      <w:r>
        <w:rPr>
          <w:rFonts w:ascii="Futura MdCn BT"/>
          <w:color w:val="231F20"/>
        </w:rPr>
        <w:t>v</w:t>
      </w:r>
      <w:r>
        <w:rPr>
          <w:rFonts w:ascii="Futura MdCn BT"/>
          <w:color w:val="231F20"/>
          <w:spacing w:val="80"/>
        </w:rPr>
        <w:t> </w:t>
      </w:r>
      <w:r>
        <w:rPr>
          <w:color w:val="231F20"/>
        </w:rPr>
        <w:t>Deriving comparison values from historical data for a managed system. For example, you might specify that the threshold for a "high CPU usage" </w:t>
      </w:r>
      <w:r>
        <w:rPr>
          <w:color w:val="231F20"/>
        </w:rPr>
        <w:t>situation</w:t>
      </w:r>
      <w:r>
        <w:rPr>
          <w:color w:val="231F20"/>
        </w:rPr>
        <w:t> should be based on deviation from the average CPU usage for that system.</w:t>
      </w:r>
    </w:p>
    <w:p>
      <w:pPr>
        <w:pStyle w:val="Heading3"/>
        <w:spacing w:before="216"/>
        <w:ind w:left="0" w:right="3195"/>
        <w:jc w:val="center"/>
      </w:pPr>
      <w:bookmarkStart w:name="Creating a situation override" w:id="461"/>
      <w:bookmarkEnd w:id="461"/>
      <w:r>
        <w:rPr>
          <w:b w:val="0"/>
        </w:rPr>
      </w:r>
      <w:r>
        <w:rPr>
          <w:color w:val="231F20"/>
        </w:rPr>
        <w:t>Creating</w:t>
      </w:r>
      <w:r>
        <w:rPr>
          <w:color w:val="231F20"/>
          <w:spacing w:val="6"/>
        </w:rPr>
        <w:t> </w:t>
      </w:r>
      <w:r>
        <w:rPr>
          <w:color w:val="231F20"/>
        </w:rPr>
        <w:t>a</w:t>
      </w:r>
      <w:r>
        <w:rPr>
          <w:color w:val="231F20"/>
          <w:spacing w:val="7"/>
        </w:rPr>
        <w:t> </w:t>
      </w:r>
      <w:r>
        <w:rPr>
          <w:color w:val="231F20"/>
        </w:rPr>
        <w:t>situation</w:t>
      </w:r>
      <w:r>
        <w:rPr>
          <w:color w:val="231F20"/>
          <w:spacing w:val="7"/>
        </w:rPr>
        <w:t> </w:t>
      </w:r>
      <w:r>
        <w:rPr>
          <w:color w:val="231F20"/>
          <w:spacing w:val="-2"/>
        </w:rPr>
        <w:t>override</w:t>
      </w:r>
    </w:p>
    <w:p>
      <w:pPr>
        <w:pStyle w:val="BodyText"/>
        <w:spacing w:line="213" w:lineRule="auto" w:before="58"/>
        <w:ind w:left="2472" w:right="292"/>
      </w:pPr>
      <w:r>
        <w:rPr>
          <w:color w:val="231F20"/>
        </w:rPr>
        <w:t>Use the situation expression override function to change the formula thresholds </w:t>
      </w:r>
      <w:r>
        <w:rPr>
          <w:color w:val="231F20"/>
        </w:rPr>
        <w:t>for one or more of the managed systems that the situation is distributed to. The</w:t>
      </w:r>
      <w:r>
        <w:rPr>
          <w:color w:val="231F20"/>
          <w:spacing w:val="80"/>
        </w:rPr>
        <w:t> </w:t>
      </w:r>
      <w:r>
        <w:rPr>
          <w:color w:val="231F20"/>
        </w:rPr>
        <w:t>override can remain in effect indefinitely, at a set schedule, or until you remove it.</w:t>
      </w:r>
    </w:p>
    <w:p>
      <w:pPr>
        <w:pStyle w:val="Heading4"/>
        <w:ind w:left="0" w:right="3251"/>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185"/>
      </w:pPr>
      <w:r>
        <w:rPr>
          <w:color w:val="231F20"/>
        </w:rPr>
        <w:t>When you define an override, apply it immediately or at a scheduled time. The schedule</w:t>
      </w:r>
      <w:r>
        <w:rPr>
          <w:color w:val="231F20"/>
          <w:spacing w:val="12"/>
        </w:rPr>
        <w:t> </w:t>
      </w:r>
      <w:r>
        <w:rPr>
          <w:color w:val="231F20"/>
        </w:rPr>
        <w:t>for</w:t>
      </w:r>
      <w:r>
        <w:rPr>
          <w:color w:val="231F20"/>
          <w:spacing w:val="12"/>
        </w:rPr>
        <w:t> </w:t>
      </w:r>
      <w:r>
        <w:rPr>
          <w:color w:val="231F20"/>
        </w:rPr>
        <w:t>an</w:t>
      </w:r>
      <w:r>
        <w:rPr>
          <w:color w:val="231F20"/>
          <w:spacing w:val="12"/>
        </w:rPr>
        <w:t> </w:t>
      </w:r>
      <w:r>
        <w:rPr>
          <w:color w:val="231F20"/>
        </w:rPr>
        <w:t>override</w:t>
      </w:r>
      <w:r>
        <w:rPr>
          <w:color w:val="231F20"/>
          <w:spacing w:val="12"/>
        </w:rPr>
        <w:t> </w:t>
      </w:r>
      <w:r>
        <w:rPr>
          <w:color w:val="231F20"/>
        </w:rPr>
        <w:t>can</w:t>
      </w:r>
      <w:r>
        <w:rPr>
          <w:color w:val="231F20"/>
          <w:spacing w:val="12"/>
        </w:rPr>
        <w:t> </w:t>
      </w:r>
      <w:r>
        <w:rPr>
          <w:color w:val="231F20"/>
        </w:rPr>
        <w:t>run</w:t>
      </w:r>
      <w:r>
        <w:rPr>
          <w:color w:val="231F20"/>
          <w:spacing w:val="12"/>
        </w:rPr>
        <w:t> </w:t>
      </w:r>
      <w:r>
        <w:rPr>
          <w:color w:val="231F20"/>
        </w:rPr>
        <w:t>on</w:t>
      </w:r>
      <w:r>
        <w:rPr>
          <w:color w:val="231F20"/>
          <w:spacing w:val="12"/>
        </w:rPr>
        <w:t> </w:t>
      </w:r>
      <w:r>
        <w:rPr>
          <w:color w:val="231F20"/>
        </w:rPr>
        <w:t>specific</w:t>
      </w:r>
      <w:r>
        <w:rPr>
          <w:color w:val="231F20"/>
          <w:spacing w:val="12"/>
        </w:rPr>
        <w:t> </w:t>
      </w:r>
      <w:r>
        <w:rPr>
          <w:color w:val="231F20"/>
        </w:rPr>
        <w:t>days</w:t>
      </w:r>
      <w:r>
        <w:rPr>
          <w:color w:val="231F20"/>
          <w:spacing w:val="12"/>
        </w:rPr>
        <w:t> </w:t>
      </w:r>
      <w:r>
        <w:rPr>
          <w:color w:val="231F20"/>
        </w:rPr>
        <w:t>(</w:t>
      </w:r>
      <w:r>
        <w:rPr>
          <w:rFonts w:ascii="Book Antiqua"/>
          <w:i/>
          <w:color w:val="231F20"/>
        </w:rPr>
        <w:t>calendar</w:t>
      </w:r>
      <w:r>
        <w:rPr>
          <w:rFonts w:ascii="Book Antiqua"/>
          <w:i/>
          <w:color w:val="231F20"/>
          <w:spacing w:val="12"/>
        </w:rPr>
        <w:t> </w:t>
      </w:r>
      <w:r>
        <w:rPr>
          <w:rFonts w:ascii="Book Antiqua"/>
          <w:i/>
          <w:color w:val="231F20"/>
        </w:rPr>
        <w:t>schedule</w:t>
      </w:r>
      <w:r>
        <w:rPr>
          <w:color w:val="231F20"/>
        </w:rPr>
        <w:t>)</w:t>
      </w:r>
      <w:r>
        <w:rPr>
          <w:color w:val="231F20"/>
          <w:spacing w:val="12"/>
        </w:rPr>
        <w:t> </w:t>
      </w:r>
      <w:r>
        <w:rPr>
          <w:color w:val="231F20"/>
        </w:rPr>
        <w:t>or</w:t>
      </w:r>
      <w:r>
        <w:rPr>
          <w:color w:val="231F20"/>
          <w:spacing w:val="12"/>
        </w:rPr>
        <w:t> </w:t>
      </w:r>
      <w:r>
        <w:rPr>
          <w:color w:val="231F20"/>
        </w:rPr>
        <w:t>every</w:t>
      </w:r>
      <w:r>
        <w:rPr>
          <w:color w:val="231F20"/>
          <w:spacing w:val="12"/>
        </w:rPr>
        <w:t> </w:t>
      </w:r>
      <w:r>
        <w:rPr>
          <w:color w:val="231F20"/>
        </w:rPr>
        <w:t>day</w:t>
      </w:r>
      <w:r>
        <w:rPr>
          <w:color w:val="231F20"/>
          <w:spacing w:val="12"/>
        </w:rPr>
        <w:t> </w:t>
      </w:r>
      <w:r>
        <w:rPr>
          <w:color w:val="231F20"/>
        </w:rPr>
        <w:t>at a</w:t>
      </w:r>
      <w:r>
        <w:rPr>
          <w:color w:val="231F20"/>
          <w:spacing w:val="28"/>
        </w:rPr>
        <w:t> </w:t>
      </w:r>
      <w:r>
        <w:rPr>
          <w:color w:val="231F20"/>
        </w:rPr>
        <w:t>certain</w:t>
      </w:r>
      <w:r>
        <w:rPr>
          <w:color w:val="231F20"/>
          <w:spacing w:val="28"/>
        </w:rPr>
        <w:t> </w:t>
      </w:r>
      <w:r>
        <w:rPr>
          <w:color w:val="231F20"/>
        </w:rPr>
        <w:t>time</w:t>
      </w:r>
      <w:r>
        <w:rPr>
          <w:color w:val="231F20"/>
          <w:spacing w:val="28"/>
        </w:rPr>
        <w:t> </w:t>
      </w:r>
      <w:r>
        <w:rPr>
          <w:color w:val="231F20"/>
        </w:rPr>
        <w:t>(</w:t>
      </w:r>
      <w:r>
        <w:rPr>
          <w:rFonts w:ascii="Book Antiqua"/>
          <w:i/>
          <w:color w:val="231F20"/>
        </w:rPr>
        <w:t>hourly</w:t>
      </w:r>
      <w:r>
        <w:rPr>
          <w:rFonts w:ascii="Book Antiqua"/>
          <w:i/>
          <w:color w:val="231F20"/>
          <w:spacing w:val="28"/>
        </w:rPr>
        <w:t> </w:t>
      </w:r>
      <w:r>
        <w:rPr>
          <w:rFonts w:ascii="Book Antiqua"/>
          <w:i/>
          <w:color w:val="231F20"/>
        </w:rPr>
        <w:t>schedule</w:t>
      </w:r>
      <w:r>
        <w:rPr>
          <w:color w:val="231F20"/>
        </w:rPr>
        <w:t>).</w:t>
      </w:r>
      <w:r>
        <w:rPr>
          <w:color w:val="231F20"/>
          <w:spacing w:val="28"/>
        </w:rPr>
        <w:t> </w:t>
      </w:r>
      <w:r>
        <w:rPr>
          <w:color w:val="231F20"/>
        </w:rPr>
        <w:t>Calendar</w:t>
      </w:r>
      <w:r>
        <w:rPr>
          <w:color w:val="231F20"/>
          <w:spacing w:val="28"/>
        </w:rPr>
        <w:t> </w:t>
      </w:r>
      <w:r>
        <w:rPr>
          <w:color w:val="231F20"/>
        </w:rPr>
        <w:t>schedules</w:t>
      </w:r>
      <w:r>
        <w:rPr>
          <w:color w:val="231F20"/>
          <w:spacing w:val="28"/>
        </w:rPr>
        <w:t> </w:t>
      </w:r>
      <w:r>
        <w:rPr>
          <w:color w:val="231F20"/>
        </w:rPr>
        <w:t>can</w:t>
      </w:r>
      <w:r>
        <w:rPr>
          <w:color w:val="231F20"/>
          <w:spacing w:val="28"/>
        </w:rPr>
        <w:t> </w:t>
      </w:r>
      <w:r>
        <w:rPr>
          <w:color w:val="231F20"/>
        </w:rPr>
        <w:t>be</w:t>
      </w:r>
      <w:r>
        <w:rPr>
          <w:color w:val="231F20"/>
          <w:spacing w:val="28"/>
        </w:rPr>
        <w:t> </w:t>
      </w:r>
      <w:r>
        <w:rPr>
          <w:color w:val="231F20"/>
        </w:rPr>
        <w:t>saved</w:t>
      </w:r>
      <w:r>
        <w:rPr>
          <w:color w:val="231F20"/>
          <w:spacing w:val="28"/>
        </w:rPr>
        <w:t> </w:t>
      </w:r>
      <w:r>
        <w:rPr>
          <w:color w:val="231F20"/>
        </w:rPr>
        <w:t>and</w:t>
      </w:r>
      <w:r>
        <w:rPr>
          <w:color w:val="231F20"/>
          <w:spacing w:val="28"/>
        </w:rPr>
        <w:t> </w:t>
      </w:r>
      <w:r>
        <w:rPr>
          <w:color w:val="231F20"/>
        </w:rPr>
        <w:t>selected</w:t>
      </w:r>
      <w:r>
        <w:rPr>
          <w:color w:val="231F20"/>
          <w:spacing w:val="28"/>
        </w:rPr>
        <w:t> </w:t>
      </w:r>
      <w:r>
        <w:rPr>
          <w:color w:val="231F20"/>
        </w:rPr>
        <w:t>at any time. An hourly schedule can be assigned to the schedule, but is deleted after you</w:t>
      </w:r>
      <w:r>
        <w:rPr>
          <w:color w:val="231F20"/>
          <w:spacing w:val="26"/>
        </w:rPr>
        <w:t> </w:t>
      </w:r>
      <w:r>
        <w:rPr>
          <w:color w:val="231F20"/>
        </w:rPr>
        <w:t>close</w:t>
      </w:r>
      <w:r>
        <w:rPr>
          <w:color w:val="231F20"/>
          <w:spacing w:val="26"/>
        </w:rPr>
        <w:t> </w:t>
      </w:r>
      <w:r>
        <w:rPr>
          <w:color w:val="231F20"/>
        </w:rPr>
        <w:t>the</w:t>
      </w:r>
      <w:r>
        <w:rPr>
          <w:color w:val="231F20"/>
          <w:spacing w:val="26"/>
        </w:rPr>
        <w:t> </w:t>
      </w:r>
      <w:r>
        <w:rPr>
          <w:color w:val="231F20"/>
        </w:rPr>
        <w:t>Override</w:t>
      </w:r>
      <w:r>
        <w:rPr>
          <w:color w:val="231F20"/>
          <w:spacing w:val="26"/>
        </w:rPr>
        <w:t> </w:t>
      </w:r>
      <w:r>
        <w:rPr>
          <w:color w:val="231F20"/>
        </w:rPr>
        <w:t>editor</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turn</w:t>
      </w:r>
      <w:r>
        <w:rPr>
          <w:color w:val="231F20"/>
          <w:spacing w:val="26"/>
        </w:rPr>
        <w:t> </w:t>
      </w:r>
      <w:r>
        <w:rPr>
          <w:color w:val="231F20"/>
        </w:rPr>
        <w:t>off</w:t>
      </w:r>
      <w:r>
        <w:rPr>
          <w:color w:val="231F20"/>
          <w:spacing w:val="26"/>
        </w:rPr>
        <w:t> </w:t>
      </w:r>
      <w:r>
        <w:rPr>
          <w:color w:val="231F20"/>
        </w:rPr>
        <w:t>the</w:t>
      </w:r>
      <w:r>
        <w:rPr>
          <w:color w:val="231F20"/>
          <w:spacing w:val="26"/>
        </w:rPr>
        <w:t> </w:t>
      </w:r>
      <w:r>
        <w:rPr>
          <w:color w:val="231F20"/>
        </w:rPr>
        <w:t>assignment.</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plan</w:t>
      </w:r>
      <w:r>
        <w:rPr>
          <w:color w:val="231F20"/>
          <w:spacing w:val="26"/>
        </w:rPr>
        <w:t> </w:t>
      </w:r>
      <w:r>
        <w:rPr>
          <w:color w:val="231F20"/>
        </w:rPr>
        <w:t>to schedule the override, decide whether you want a calendar schedule or hourly.</w:t>
      </w:r>
    </w:p>
    <w:p>
      <w:pPr>
        <w:pStyle w:val="BodyText"/>
        <w:spacing w:line="213" w:lineRule="auto" w:before="235"/>
        <w:ind w:left="2472" w:right="385"/>
      </w:pPr>
      <w:r>
        <w:rPr>
          <w:color w:val="231F20"/>
        </w:rPr>
        <w:t>Make</w:t>
      </w:r>
      <w:r>
        <w:rPr>
          <w:color w:val="231F20"/>
          <w:spacing w:val="27"/>
        </w:rPr>
        <w:t> </w:t>
      </w:r>
      <w:r>
        <w:rPr>
          <w:color w:val="231F20"/>
        </w:rPr>
        <w:t>sure</w:t>
      </w:r>
      <w:r>
        <w:rPr>
          <w:color w:val="231F20"/>
          <w:spacing w:val="27"/>
        </w:rPr>
        <w:t> </w:t>
      </w:r>
      <w:r>
        <w:rPr>
          <w:color w:val="231F20"/>
        </w:rPr>
        <w:t>the</w:t>
      </w:r>
      <w:r>
        <w:rPr>
          <w:color w:val="231F20"/>
          <w:spacing w:val="27"/>
        </w:rPr>
        <w:t> </w:t>
      </w:r>
      <w:r>
        <w:rPr>
          <w:color w:val="231F20"/>
        </w:rPr>
        <w:t>situation</w:t>
      </w:r>
      <w:r>
        <w:rPr>
          <w:color w:val="231F20"/>
          <w:spacing w:val="27"/>
        </w:rPr>
        <w:t> </w:t>
      </w:r>
      <w:r>
        <w:rPr>
          <w:color w:val="231F20"/>
        </w:rPr>
        <w:t>is</w:t>
      </w:r>
      <w:r>
        <w:rPr>
          <w:color w:val="231F20"/>
          <w:spacing w:val="27"/>
        </w:rPr>
        <w:t> </w:t>
      </w:r>
      <w:r>
        <w:rPr>
          <w:color w:val="231F20"/>
        </w:rPr>
        <w:t>eligible</w:t>
      </w:r>
      <w:r>
        <w:rPr>
          <w:color w:val="231F20"/>
          <w:spacing w:val="27"/>
        </w:rPr>
        <w:t> </w:t>
      </w:r>
      <w:r>
        <w:rPr>
          <w:color w:val="231F20"/>
        </w:rPr>
        <w:t>for</w:t>
      </w:r>
      <w:r>
        <w:rPr>
          <w:color w:val="231F20"/>
          <w:spacing w:val="27"/>
        </w:rPr>
        <w:t> </w:t>
      </w:r>
      <w:r>
        <w:rPr>
          <w:color w:val="231F20"/>
        </w:rPr>
        <w:t>overriding,</w:t>
      </w:r>
      <w:r>
        <w:rPr>
          <w:color w:val="231F20"/>
          <w:spacing w:val="27"/>
        </w:rPr>
        <w:t> </w:t>
      </w:r>
      <w:r>
        <w:rPr>
          <w:color w:val="231F20"/>
        </w:rPr>
        <w:t>and</w:t>
      </w:r>
      <w:r>
        <w:rPr>
          <w:color w:val="231F20"/>
          <w:spacing w:val="27"/>
        </w:rPr>
        <w:t> </w:t>
      </w:r>
      <w:r>
        <w:rPr>
          <w:color w:val="231F20"/>
        </w:rPr>
        <w:t>that</w:t>
      </w:r>
      <w:r>
        <w:rPr>
          <w:color w:val="231F20"/>
          <w:spacing w:val="27"/>
        </w:rPr>
        <w:t> </w:t>
      </w:r>
      <w:r>
        <w:rPr>
          <w:color w:val="231F20"/>
        </w:rPr>
        <w:t>it</w:t>
      </w:r>
      <w:r>
        <w:rPr>
          <w:color w:val="231F20"/>
          <w:spacing w:val="27"/>
        </w:rPr>
        <w:t> </w:t>
      </w:r>
      <w:r>
        <w:rPr>
          <w:color w:val="231F20"/>
        </w:rPr>
        <w:t>is</w:t>
      </w:r>
      <w:r>
        <w:rPr>
          <w:color w:val="231F20"/>
          <w:spacing w:val="27"/>
        </w:rPr>
        <w:t> </w:t>
      </w:r>
      <w:r>
        <w:rPr>
          <w:color w:val="231F20"/>
        </w:rPr>
        <w:t>currently distributed to one or more managed systems either directly or as part of managed system groups. If a situation is not eligible, </w:t>
      </w:r>
      <w:r>
        <w:rPr>
          <w:rFonts w:ascii="Book Antiqua"/>
          <w:b/>
          <w:color w:val="231F20"/>
        </w:rPr>
        <w:t>Override Formula </w:t>
      </w:r>
      <w:r>
        <w:rPr>
          <w:color w:val="231F20"/>
        </w:rPr>
        <w:t>remains disabled even after you select a managed system or managed system group.</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pPr>
      <w:r>
        <w:rPr>
          <w:color w:val="231F20"/>
        </w:rPr>
        <w:t>The Expression Override editor is available through the </w:t>
      </w:r>
      <w:r>
        <w:rPr>
          <w:rFonts w:ascii="Book Antiqua"/>
          <w:b/>
          <w:color w:val="231F20"/>
        </w:rPr>
        <w:t>Distribution </w:t>
      </w:r>
      <w:r>
        <w:rPr>
          <w:color w:val="231F20"/>
        </w:rPr>
        <w:t>tab of </w:t>
      </w:r>
      <w:r>
        <w:rPr>
          <w:color w:val="231F20"/>
        </w:rPr>
        <w:t>the Situation editor.</w:t>
      </w:r>
    </w:p>
    <w:p>
      <w:pPr>
        <w:pStyle w:val="Heading4"/>
        <w:ind w:left="2472"/>
      </w:pPr>
      <w:r>
        <w:rPr>
          <w:color w:val="231F20"/>
          <w:spacing w:val="-2"/>
        </w:rPr>
        <w:t>Procedure</w:t>
      </w:r>
    </w:p>
    <w:p>
      <w:pPr>
        <w:pStyle w:val="ListParagraph"/>
        <w:numPr>
          <w:ilvl w:val="0"/>
          <w:numId w:val="131"/>
        </w:numPr>
        <w:tabs>
          <w:tab w:pos="2788" w:val="left" w:leader="none"/>
        </w:tabs>
        <w:spacing w:line="213" w:lineRule="auto" w:before="61" w:after="0"/>
        <w:ind w:left="2788" w:right="413" w:hanging="316"/>
        <w:jc w:val="left"/>
        <w:rPr>
          <w:sz w:val="20"/>
        </w:rPr>
      </w:pPr>
      <w:r>
        <w:rPr>
          <w:color w:val="231F20"/>
          <w:sz w:val="20"/>
        </w:rPr>
        <w:t>Identify the managed system or managed systems where the override </w:t>
      </w:r>
      <w:r>
        <w:rPr>
          <w:color w:val="231F20"/>
          <w:sz w:val="20"/>
        </w:rPr>
        <w:t>should take place and click </w:t>
      </w:r>
      <w:r>
        <w:rPr>
          <w:rFonts w:ascii="Book Antiqua"/>
          <w:b/>
          <w:color w:val="231F20"/>
          <w:sz w:val="20"/>
        </w:rPr>
        <w:t>Override Formula </w:t>
      </w:r>
      <w:r>
        <w:rPr>
          <w:color w:val="231F20"/>
          <w:sz w:val="20"/>
        </w:rPr>
        <w:t>from either of these windows:</w:t>
      </w:r>
    </w:p>
    <w:p>
      <w:pPr>
        <w:pStyle w:val="BodyText"/>
        <w:spacing w:line="213" w:lineRule="auto" w:before="59"/>
        <w:ind w:left="3004" w:right="493" w:hanging="216"/>
      </w:pPr>
      <w:r>
        <w:rPr>
          <w:rFonts w:ascii="Futura MdCn BT"/>
          <w:color w:val="231F20"/>
        </w:rPr>
        <w:t>v</w:t>
      </w:r>
      <w:r>
        <w:rPr>
          <w:rFonts w:ascii="Futura MdCn BT"/>
          <w:color w:val="231F20"/>
          <w:spacing w:val="80"/>
        </w:rPr>
        <w:t> </w:t>
      </w:r>
      <w:r>
        <w:rPr>
          <w:color w:val="231F20"/>
        </w:rPr>
        <w:t>On the Situation editor </w:t>
      </w:r>
      <w:r>
        <w:rPr>
          <w:rFonts w:ascii="Book Antiqua"/>
          <w:b/>
          <w:color w:val="231F20"/>
        </w:rPr>
        <w:t>Distribution </w:t>
      </w:r>
      <w:r>
        <w:rPr>
          <w:color w:val="231F20"/>
        </w:rPr>
        <w:t>tab, select one or more managed systems or managed system groups from the </w:t>
      </w:r>
      <w:r>
        <w:rPr>
          <w:rFonts w:ascii="Book Antiqua"/>
          <w:b/>
          <w:color w:val="231F20"/>
        </w:rPr>
        <w:t>Assigned </w:t>
      </w:r>
      <w:r>
        <w:rPr>
          <w:color w:val="231F20"/>
        </w:rPr>
        <w:t>list. The Override Formula button is disabled until you select an entry from the Assigned </w:t>
      </w:r>
      <w:r>
        <w:rPr>
          <w:color w:val="231F20"/>
        </w:rPr>
        <w:t>list.</w:t>
      </w:r>
    </w:p>
    <w:p>
      <w:pPr>
        <w:pStyle w:val="BodyText"/>
        <w:spacing w:line="213" w:lineRule="auto" w:before="58"/>
        <w:ind w:left="3004" w:right="493" w:hanging="216"/>
      </w:pPr>
      <w:r>
        <w:rPr>
          <w:rFonts w:ascii="Futura MdCn BT"/>
          <w:color w:val="231F20"/>
        </w:rPr>
        <w:t>v</w:t>
      </w:r>
      <w:r>
        <w:rPr>
          <w:rFonts w:ascii="Futura MdCn BT"/>
          <w:color w:val="231F20"/>
          <w:spacing w:val="80"/>
        </w:rPr>
        <w:t> </w:t>
      </w:r>
      <w:r>
        <w:rPr>
          <w:color w:val="231F20"/>
        </w:rPr>
        <w:t>In the Manage Situations at Managed System window, select the </w:t>
      </w:r>
      <w:r>
        <w:rPr>
          <w:color w:val="231F20"/>
        </w:rPr>
        <w:t>situation</w:t>
      </w:r>
      <w:r>
        <w:rPr>
          <w:color w:val="231F20"/>
        </w:rPr>
        <w:t> that you want to override and click </w:t>
      </w:r>
      <w:r>
        <w:rPr>
          <w:color w:val="231F20"/>
          <w:spacing w:val="15"/>
          <w:position w:val="-1"/>
        </w:rPr>
        <w:drawing>
          <wp:inline distT="0" distB="0" distL="0" distR="0">
            <wp:extent cx="101600" cy="101600"/>
            <wp:effectExtent l="0" t="0" r="0" b="0"/>
            <wp:docPr id="2466" name="Image 2466"/>
            <wp:cNvGraphicFramePr>
              <a:graphicFrameLocks/>
            </wp:cNvGraphicFramePr>
            <a:graphic>
              <a:graphicData uri="http://schemas.openxmlformats.org/drawingml/2006/picture">
                <pic:pic>
                  <pic:nvPicPr>
                    <pic:cNvPr id="2466" name="Image 2466"/>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7"/>
        </w:rPr>
        <w:t> </w:t>
      </w:r>
      <w:r>
        <w:rPr>
          <w:rFonts w:ascii="Book Antiqua"/>
          <w:b/>
          <w:color w:val="231F20"/>
        </w:rPr>
        <w:t>Override Formula</w:t>
      </w:r>
      <w:r>
        <w:rPr>
          <w:color w:val="231F20"/>
        </w:rPr>
        <w:t>.</w:t>
      </w:r>
    </w:p>
    <w:p>
      <w:pPr>
        <w:pStyle w:val="BodyText"/>
        <w:spacing w:before="95"/>
        <w:ind w:left="2788"/>
      </w:pPr>
      <w:r>
        <w:rPr>
          <w:color w:val="231F20"/>
        </w:rPr>
        <w:t>The</w:t>
      </w:r>
      <w:r>
        <w:rPr>
          <w:color w:val="231F20"/>
          <w:spacing w:val="2"/>
        </w:rPr>
        <w:t> </w:t>
      </w:r>
      <w:r>
        <w:rPr>
          <w:color w:val="231F20"/>
        </w:rPr>
        <w:t>Add</w:t>
      </w:r>
      <w:r>
        <w:rPr>
          <w:color w:val="231F20"/>
          <w:spacing w:val="8"/>
        </w:rPr>
        <w:t> </w:t>
      </w:r>
      <w:r>
        <w:rPr>
          <w:color w:val="231F20"/>
        </w:rPr>
        <w:t>Expression</w:t>
      </w:r>
      <w:r>
        <w:rPr>
          <w:color w:val="231F20"/>
          <w:spacing w:val="8"/>
        </w:rPr>
        <w:t> </w:t>
      </w:r>
      <w:r>
        <w:rPr>
          <w:color w:val="231F20"/>
        </w:rPr>
        <w:t>Overrides</w:t>
      </w:r>
      <w:r>
        <w:rPr>
          <w:color w:val="231F20"/>
          <w:spacing w:val="9"/>
        </w:rPr>
        <w:t> </w:t>
      </w:r>
      <w:r>
        <w:rPr>
          <w:color w:val="231F20"/>
        </w:rPr>
        <w:t>window</w:t>
      </w:r>
      <w:r>
        <w:rPr>
          <w:color w:val="231F20"/>
          <w:spacing w:val="8"/>
        </w:rPr>
        <w:t> </w:t>
      </w:r>
      <w:r>
        <w:rPr>
          <w:color w:val="231F20"/>
          <w:spacing w:val="-2"/>
        </w:rPr>
        <w:t>opens.</w:t>
      </w:r>
    </w:p>
    <w:p>
      <w:pPr>
        <w:pStyle w:val="ListParagraph"/>
        <w:numPr>
          <w:ilvl w:val="0"/>
          <w:numId w:val="131"/>
        </w:numPr>
        <w:tabs>
          <w:tab w:pos="2786" w:val="left" w:leader="none"/>
          <w:tab w:pos="2788" w:val="left" w:leader="none"/>
        </w:tabs>
        <w:spacing w:line="213" w:lineRule="auto" w:before="53" w:after="0"/>
        <w:ind w:left="2788" w:right="656" w:hanging="317"/>
        <w:jc w:val="left"/>
        <w:rPr>
          <w:sz w:val="20"/>
        </w:rPr>
      </w:pPr>
      <w:r>
        <w:rPr>
          <w:color w:val="231F20"/>
          <w:sz w:val="20"/>
        </w:rPr>
        <w:t>If the Expressions tab has no expressions, click </w:t>
      </w:r>
      <w:r>
        <w:rPr>
          <w:rFonts w:ascii="Book Antiqua"/>
          <w:b/>
          <w:color w:val="231F20"/>
          <w:sz w:val="20"/>
        </w:rPr>
        <w:t>Add Expression </w:t>
      </w:r>
      <w:r>
        <w:rPr>
          <w:color w:val="231F20"/>
          <w:sz w:val="20"/>
        </w:rPr>
        <w:t>to add the reference formula.</w:t>
      </w:r>
    </w:p>
    <w:p>
      <w:pPr>
        <w:spacing w:after="0" w:line="213" w:lineRule="auto"/>
        <w:jc w:val="left"/>
        <w:rPr>
          <w:sz w:val="20"/>
        </w:rPr>
        <w:sectPr>
          <w:pgSz w:w="12240" w:h="15840"/>
          <w:pgMar w:header="0" w:footer="736" w:top="1180" w:bottom="920" w:left="1000" w:right="1060"/>
        </w:sectPr>
      </w:pPr>
    </w:p>
    <w:p>
      <w:pPr>
        <w:pStyle w:val="ListParagraph"/>
        <w:numPr>
          <w:ilvl w:val="0"/>
          <w:numId w:val="131"/>
        </w:numPr>
        <w:tabs>
          <w:tab w:pos="2548" w:val="left" w:leader="none"/>
        </w:tabs>
        <w:spacing w:line="213" w:lineRule="auto" w:before="85" w:after="0"/>
        <w:ind w:left="2548" w:right="572" w:hanging="316"/>
        <w:jc w:val="left"/>
        <w:rPr>
          <w:sz w:val="20"/>
        </w:rPr>
      </w:pPr>
      <w:bookmarkStart w:name="_bookmark219" w:id="462"/>
      <w:bookmarkEnd w:id="462"/>
      <w:r>
        <w:rPr/>
      </w:r>
      <w:r>
        <w:rPr>
          <w:color w:val="231F20"/>
          <w:sz w:val="20"/>
        </w:rPr>
        <w:t>Edit the expression value (or more if there are multiple expressions in the formula) for the overrides to apply. These values will be used instead of </w:t>
      </w:r>
      <w:r>
        <w:rPr>
          <w:color w:val="231F20"/>
          <w:sz w:val="20"/>
        </w:rPr>
        <w:t>those in the reference formula when the override definition is applied.</w:t>
      </w:r>
    </w:p>
    <w:p>
      <w:pPr>
        <w:pStyle w:val="BodyText"/>
        <w:spacing w:line="213" w:lineRule="auto" w:before="57"/>
        <w:ind w:left="2764" w:right="636" w:hanging="216"/>
      </w:pPr>
      <w:r>
        <w:rPr>
          <w:rFonts w:ascii="Futura MdCn BT"/>
          <w:color w:val="231F20"/>
        </w:rPr>
        <w:t>v</w:t>
      </w:r>
      <w:r>
        <w:rPr>
          <w:rFonts w:ascii="Futura MdCn BT"/>
          <w:color w:val="231F20"/>
          <w:spacing w:val="80"/>
        </w:rPr>
        <w:t> </w:t>
      </w:r>
      <w:r>
        <w:rPr>
          <w:color w:val="231F20"/>
        </w:rPr>
        <w:t>Click inside a cell and enter a new value. After you press Enter or click</w:t>
      </w:r>
      <w:r>
        <w:rPr>
          <w:color w:val="231F20"/>
          <w:spacing w:val="40"/>
        </w:rPr>
        <w:t> </w:t>
      </w:r>
      <w:r>
        <w:rPr>
          <w:color w:val="231F20"/>
        </w:rPr>
        <w:t>outside the cell, the new value appears with a blue background to </w:t>
      </w:r>
      <w:r>
        <w:rPr>
          <w:color w:val="231F20"/>
        </w:rPr>
        <w:t>indicate</w:t>
      </w:r>
      <w:r>
        <w:rPr>
          <w:color w:val="231F20"/>
        </w:rPr>
        <w:t> that the original reference value has changed.</w:t>
      </w:r>
    </w:p>
    <w:p>
      <w:pPr>
        <w:pStyle w:val="BodyText"/>
        <w:spacing w:line="213" w:lineRule="auto" w:before="58"/>
        <w:ind w:left="2764" w:right="500" w:hanging="216"/>
        <w:jc w:val="both"/>
      </w:pPr>
      <w:r>
        <w:rPr>
          <w:rFonts w:ascii="Futura MdCn BT" w:hAnsi="Futura MdCn BT"/>
          <w:color w:val="231F20"/>
        </w:rPr>
        <w:t>v</w:t>
      </w:r>
      <w:r>
        <w:rPr>
          <w:rFonts w:ascii="Futura MdCn BT" w:hAnsi="Futura MdCn BT"/>
          <w:color w:val="231F20"/>
          <w:spacing w:val="40"/>
        </w:rPr>
        <w:t> </w:t>
      </w:r>
      <w:r>
        <w:rPr>
          <w:color w:val="231F20"/>
        </w:rPr>
        <w:t>Click </w:t>
      </w:r>
      <w:r>
        <w:rPr>
          <w:rFonts w:ascii="Book Antiqua" w:hAnsi="Book Antiqua"/>
          <w:b/>
          <w:color w:val="231F20"/>
        </w:rPr>
        <w:t>Model Expression </w:t>
      </w:r>
      <w:r>
        <w:rPr>
          <w:color w:val="231F20"/>
        </w:rPr>
        <w:t>if you want to use expression modeling to establish threshold values based on historical data and statistical analysis. See </w:t>
      </w:r>
      <w:hyperlink w:history="true" w:anchor="_bookmark227">
        <w:r>
          <w:rPr>
            <w:color w:val="231F20"/>
          </w:rPr>
          <w:t>“Model</w:t>
        </w:r>
      </w:hyperlink>
      <w:r>
        <w:rPr>
          <w:color w:val="231F20"/>
        </w:rPr>
        <w:t> </w:t>
      </w:r>
      <w:hyperlink w:history="true" w:anchor="_bookmark227">
        <w:r>
          <w:rPr>
            <w:color w:val="231F20"/>
          </w:rPr>
          <w:t>Expression” on page 305.</w:t>
        </w:r>
      </w:hyperlink>
    </w:p>
    <w:p>
      <w:pPr>
        <w:pStyle w:val="BodyText"/>
        <w:spacing w:before="35"/>
        <w:ind w:left="2548"/>
        <w:jc w:val="both"/>
      </w:pPr>
      <w:r>
        <w:rPr>
          <w:rFonts w:ascii="Futura MdCn BT"/>
          <w:color w:val="231F20"/>
        </w:rPr>
        <w:t>v</w:t>
      </w:r>
      <w:r>
        <w:rPr>
          <w:rFonts w:ascii="Futura MdCn BT"/>
          <w:color w:val="231F20"/>
          <w:spacing w:val="33"/>
        </w:rPr>
        <w:t>  </w:t>
      </w:r>
      <w:r>
        <w:rPr>
          <w:color w:val="231F20"/>
        </w:rPr>
        <w:t>The</w:t>
      </w:r>
      <w:r>
        <w:rPr>
          <w:color w:val="231F20"/>
          <w:spacing w:val="14"/>
        </w:rPr>
        <w:t> </w:t>
      </w:r>
      <w:r>
        <w:rPr>
          <w:color w:val="231F20"/>
        </w:rPr>
        <w:t>use</w:t>
      </w:r>
      <w:r>
        <w:rPr>
          <w:color w:val="231F20"/>
          <w:spacing w:val="13"/>
        </w:rPr>
        <w:t> </w:t>
      </w:r>
      <w:r>
        <w:rPr>
          <w:color w:val="231F20"/>
        </w:rPr>
        <w:t>of</w:t>
      </w:r>
      <w:r>
        <w:rPr>
          <w:color w:val="231F20"/>
          <w:spacing w:val="14"/>
        </w:rPr>
        <w:t> </w:t>
      </w:r>
      <w:r>
        <w:rPr>
          <w:color w:val="231F20"/>
        </w:rPr>
        <w:t>wildcards</w:t>
      </w:r>
      <w:r>
        <w:rPr>
          <w:color w:val="231F20"/>
          <w:spacing w:val="14"/>
        </w:rPr>
        <w:t> </w:t>
      </w:r>
      <w:r>
        <w:rPr>
          <w:color w:val="231F20"/>
        </w:rPr>
        <w:t>(</w:t>
      </w:r>
      <w:r>
        <w:rPr>
          <w:rFonts w:ascii="Arial"/>
          <w:color w:val="231F20"/>
        </w:rPr>
        <w:t>*</w:t>
      </w:r>
      <w:r>
        <w:rPr>
          <w:rFonts w:ascii="Arial"/>
          <w:color w:val="231F20"/>
          <w:spacing w:val="8"/>
        </w:rPr>
        <w:t> </w:t>
      </w:r>
      <w:r>
        <w:rPr>
          <w:color w:val="231F20"/>
        </w:rPr>
        <w:t>or</w:t>
      </w:r>
      <w:r>
        <w:rPr>
          <w:color w:val="231F20"/>
          <w:spacing w:val="13"/>
        </w:rPr>
        <w:t> </w:t>
      </w:r>
      <w:r>
        <w:rPr>
          <w:rFonts w:ascii="Arial"/>
          <w:color w:val="231F20"/>
        </w:rPr>
        <w:t>?</w:t>
      </w:r>
      <w:r>
        <w:rPr>
          <w:color w:val="231F20"/>
        </w:rPr>
        <w:t>)</w:t>
      </w:r>
      <w:r>
        <w:rPr>
          <w:color w:val="231F20"/>
          <w:spacing w:val="14"/>
        </w:rPr>
        <w:t> </w:t>
      </w:r>
      <w:r>
        <w:rPr>
          <w:color w:val="231F20"/>
        </w:rPr>
        <w:t>cannot</w:t>
      </w:r>
      <w:r>
        <w:rPr>
          <w:color w:val="231F20"/>
          <w:spacing w:val="14"/>
        </w:rPr>
        <w:t> </w:t>
      </w:r>
      <w:r>
        <w:rPr>
          <w:color w:val="231F20"/>
        </w:rPr>
        <w:t>be</w:t>
      </w:r>
      <w:r>
        <w:rPr>
          <w:color w:val="231F20"/>
          <w:spacing w:val="13"/>
        </w:rPr>
        <w:t> </w:t>
      </w:r>
      <w:r>
        <w:rPr>
          <w:color w:val="231F20"/>
        </w:rPr>
        <w:t>used</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key</w:t>
      </w:r>
      <w:r>
        <w:rPr>
          <w:color w:val="231F20"/>
          <w:spacing w:val="13"/>
        </w:rPr>
        <w:t> </w:t>
      </w:r>
      <w:r>
        <w:rPr>
          <w:color w:val="231F20"/>
          <w:spacing w:val="-2"/>
        </w:rPr>
        <w:t>value.</w:t>
      </w:r>
    </w:p>
    <w:p>
      <w:pPr>
        <w:pStyle w:val="BodyText"/>
        <w:spacing w:line="213" w:lineRule="auto" w:before="113"/>
        <w:ind w:left="2548" w:right="628"/>
        <w:jc w:val="both"/>
      </w:pPr>
      <w:r>
        <w:rPr>
          <w:color w:val="231F20"/>
        </w:rPr>
        <w:t>Examples of eligible repeated attribute expressions (situations involving </w:t>
      </w:r>
      <w:r>
        <w:rPr>
          <w:color w:val="231F20"/>
        </w:rPr>
        <w:t>these patterns are eligible for override because the operators are unique):</w:t>
      </w:r>
    </w:p>
    <w:p>
      <w:pPr>
        <w:pStyle w:val="BodyText"/>
        <w:spacing w:line="228" w:lineRule="exact"/>
        <w:ind w:left="2548"/>
        <w:jc w:val="both"/>
        <w:rPr>
          <w:rFonts w:ascii="Arial"/>
        </w:rPr>
      </w:pPr>
      <w:r>
        <w:rPr>
          <w:rFonts w:ascii="Arial"/>
          <w:color w:val="231F20"/>
          <w:w w:val="90"/>
        </w:rPr>
        <w:t>%_Processor_Time</w:t>
      </w:r>
      <w:r>
        <w:rPr>
          <w:rFonts w:ascii="Arial"/>
          <w:color w:val="231F20"/>
          <w:spacing w:val="35"/>
        </w:rPr>
        <w:t> </w:t>
      </w:r>
      <w:r>
        <w:rPr>
          <w:rFonts w:ascii="Arial"/>
          <w:color w:val="231F20"/>
          <w:w w:val="90"/>
        </w:rPr>
        <w:t>&gt;=</w:t>
      </w:r>
      <w:r>
        <w:rPr>
          <w:rFonts w:ascii="Arial"/>
          <w:color w:val="231F20"/>
          <w:spacing w:val="36"/>
        </w:rPr>
        <w:t> </w:t>
      </w:r>
      <w:r>
        <w:rPr>
          <w:rFonts w:ascii="Arial"/>
          <w:color w:val="231F20"/>
          <w:w w:val="90"/>
        </w:rPr>
        <w:t>30</w:t>
      </w:r>
      <w:r>
        <w:rPr>
          <w:rFonts w:ascii="Arial"/>
          <w:color w:val="231F20"/>
          <w:spacing w:val="36"/>
        </w:rPr>
        <w:t> </w:t>
      </w:r>
      <w:r>
        <w:rPr>
          <w:rFonts w:ascii="Arial"/>
          <w:color w:val="231F20"/>
          <w:w w:val="90"/>
        </w:rPr>
        <w:t>and</w:t>
      </w:r>
      <w:r>
        <w:rPr>
          <w:rFonts w:ascii="Arial"/>
          <w:color w:val="231F20"/>
          <w:spacing w:val="35"/>
        </w:rPr>
        <w:t> </w:t>
      </w:r>
      <w:r>
        <w:rPr>
          <w:rFonts w:ascii="Arial"/>
          <w:color w:val="231F20"/>
          <w:w w:val="90"/>
        </w:rPr>
        <w:t>%_Processor_Time</w:t>
      </w:r>
      <w:r>
        <w:rPr>
          <w:rFonts w:ascii="Arial"/>
          <w:color w:val="231F20"/>
          <w:spacing w:val="36"/>
        </w:rPr>
        <w:t> </w:t>
      </w:r>
      <w:r>
        <w:rPr>
          <w:rFonts w:ascii="Arial"/>
          <w:color w:val="231F20"/>
          <w:w w:val="90"/>
        </w:rPr>
        <w:t>&lt;=</w:t>
      </w:r>
      <w:r>
        <w:rPr>
          <w:rFonts w:ascii="Arial"/>
          <w:color w:val="231F20"/>
          <w:spacing w:val="36"/>
        </w:rPr>
        <w:t> </w:t>
      </w:r>
      <w:r>
        <w:rPr>
          <w:rFonts w:ascii="Arial"/>
          <w:color w:val="231F20"/>
          <w:w w:val="90"/>
        </w:rPr>
        <w:t>50</w:t>
      </w:r>
      <w:r>
        <w:rPr>
          <w:rFonts w:ascii="Arial"/>
          <w:color w:val="231F20"/>
          <w:spacing w:val="35"/>
        </w:rPr>
        <w:t> </w:t>
      </w:r>
      <w:r>
        <w:rPr>
          <w:rFonts w:ascii="Arial"/>
          <w:color w:val="231F20"/>
          <w:w w:val="90"/>
        </w:rPr>
        <w:t>p_name</w:t>
      </w:r>
      <w:r>
        <w:rPr>
          <w:rFonts w:ascii="Arial"/>
          <w:color w:val="231F20"/>
          <w:spacing w:val="36"/>
        </w:rPr>
        <w:t> </w:t>
      </w:r>
      <w:r>
        <w:rPr>
          <w:rFonts w:ascii="Arial"/>
          <w:color w:val="231F20"/>
          <w:w w:val="90"/>
        </w:rPr>
        <w:t>==</w:t>
      </w:r>
      <w:r>
        <w:rPr>
          <w:rFonts w:ascii="Arial"/>
          <w:color w:val="231F20"/>
          <w:spacing w:val="36"/>
        </w:rPr>
        <w:t> </w:t>
      </w:r>
      <w:r>
        <w:rPr>
          <w:rFonts w:ascii="Arial"/>
          <w:color w:val="231F20"/>
          <w:spacing w:val="-2"/>
          <w:w w:val="90"/>
        </w:rPr>
        <w:t>"Websphere"</w:t>
      </w:r>
    </w:p>
    <w:p>
      <w:pPr>
        <w:pStyle w:val="ListParagraph"/>
        <w:numPr>
          <w:ilvl w:val="0"/>
          <w:numId w:val="131"/>
        </w:numPr>
        <w:tabs>
          <w:tab w:pos="2548" w:val="left" w:leader="none"/>
        </w:tabs>
        <w:spacing w:line="213" w:lineRule="auto" w:before="70" w:after="0"/>
        <w:ind w:left="2548" w:right="408" w:hanging="316"/>
        <w:jc w:val="both"/>
        <w:rPr>
          <w:sz w:val="20"/>
        </w:rPr>
      </w:pPr>
      <w:r>
        <w:rPr>
          <w:color w:val="231F20"/>
          <w:sz w:val="20"/>
        </w:rPr>
        <w:t>To view or change the override details, click the </w:t>
      </w:r>
      <w:r>
        <w:rPr>
          <w:rFonts w:ascii="Book Antiqua"/>
          <w:b/>
          <w:color w:val="231F20"/>
          <w:sz w:val="20"/>
        </w:rPr>
        <w:t>Details </w:t>
      </w:r>
      <w:r>
        <w:rPr>
          <w:color w:val="231F20"/>
          <w:sz w:val="20"/>
        </w:rPr>
        <w:t>tab. The details include the description, distribution, and override priority (1 is the highest priority; 200</w:t>
      </w:r>
      <w:r>
        <w:rPr>
          <w:color w:val="231F20"/>
          <w:spacing w:val="80"/>
          <w:sz w:val="20"/>
        </w:rPr>
        <w:t> </w:t>
      </w:r>
      <w:r>
        <w:rPr>
          <w:color w:val="231F20"/>
          <w:sz w:val="20"/>
        </w:rPr>
        <w:t>is the lowest).</w:t>
      </w:r>
    </w:p>
    <w:p>
      <w:pPr>
        <w:pStyle w:val="ListParagraph"/>
        <w:numPr>
          <w:ilvl w:val="0"/>
          <w:numId w:val="131"/>
        </w:numPr>
        <w:tabs>
          <w:tab w:pos="2548" w:val="left" w:leader="none"/>
        </w:tabs>
        <w:spacing w:line="213" w:lineRule="auto" w:before="58" w:after="0"/>
        <w:ind w:left="2548" w:right="422" w:hanging="316"/>
        <w:jc w:val="left"/>
        <w:rPr>
          <w:sz w:val="20"/>
        </w:rPr>
      </w:pPr>
      <w:r>
        <w:rPr>
          <w:color w:val="231F20"/>
          <w:sz w:val="20"/>
        </w:rPr>
        <w:t>If you want to apply the override immediately and without defining a </w:t>
      </w:r>
      <w:r>
        <w:rPr>
          <w:color w:val="231F20"/>
          <w:sz w:val="20"/>
        </w:rPr>
        <w:t>schedule (unless you defined one in the Model Expression editor), click </w:t>
      </w:r>
      <w:r>
        <w:rPr>
          <w:rFonts w:ascii="Book Antiqua"/>
          <w:b/>
          <w:color w:val="231F20"/>
          <w:sz w:val="20"/>
        </w:rPr>
        <w:t>OK </w:t>
      </w:r>
      <w:r>
        <w:rPr>
          <w:color w:val="231F20"/>
          <w:sz w:val="20"/>
        </w:rPr>
        <w:t>and skip to step </w:t>
      </w:r>
      <w:hyperlink w:history="true" w:anchor="_bookmark219">
        <w:r>
          <w:rPr>
            <w:color w:val="231F20"/>
            <w:sz w:val="20"/>
          </w:rPr>
          <w:t>7.</w:t>
        </w:r>
      </w:hyperlink>
      <w:r>
        <w:rPr>
          <w:color w:val="231F20"/>
          <w:sz w:val="20"/>
        </w:rPr>
        <w:t> Otherwise, continue to the next step.</w:t>
      </w:r>
    </w:p>
    <w:p>
      <w:pPr>
        <w:pStyle w:val="ListParagraph"/>
        <w:numPr>
          <w:ilvl w:val="0"/>
          <w:numId w:val="131"/>
        </w:numPr>
        <w:tabs>
          <w:tab w:pos="2547" w:val="left" w:leader="none"/>
        </w:tabs>
        <w:spacing w:line="240" w:lineRule="auto" w:before="34" w:after="0"/>
        <w:ind w:left="2547" w:right="0" w:hanging="315"/>
        <w:jc w:val="left"/>
        <w:rPr>
          <w:sz w:val="20"/>
        </w:rPr>
      </w:pPr>
      <w:r>
        <w:rPr>
          <w:color w:val="231F20"/>
          <w:sz w:val="20"/>
        </w:rPr>
        <w:t>Specify</w:t>
      </w:r>
      <w:r>
        <w:rPr>
          <w:color w:val="231F20"/>
          <w:spacing w:val="11"/>
          <w:sz w:val="20"/>
        </w:rPr>
        <w:t> </w:t>
      </w:r>
      <w:r>
        <w:rPr>
          <w:color w:val="231F20"/>
          <w:sz w:val="20"/>
        </w:rPr>
        <w:t>a</w:t>
      </w:r>
      <w:r>
        <w:rPr>
          <w:color w:val="231F20"/>
          <w:spacing w:val="12"/>
          <w:sz w:val="20"/>
        </w:rPr>
        <w:t> </w:t>
      </w:r>
      <w:r>
        <w:rPr>
          <w:color w:val="231F20"/>
          <w:sz w:val="20"/>
        </w:rPr>
        <w:t>schedule</w:t>
      </w:r>
      <w:r>
        <w:rPr>
          <w:color w:val="231F20"/>
          <w:spacing w:val="12"/>
          <w:sz w:val="20"/>
        </w:rPr>
        <w:t> </w:t>
      </w:r>
      <w:r>
        <w:rPr>
          <w:color w:val="231F20"/>
          <w:sz w:val="20"/>
        </w:rPr>
        <w:t>for</w:t>
      </w:r>
      <w:r>
        <w:rPr>
          <w:color w:val="231F20"/>
          <w:spacing w:val="12"/>
          <w:sz w:val="20"/>
        </w:rPr>
        <w:t> </w:t>
      </w:r>
      <w:r>
        <w:rPr>
          <w:color w:val="231F20"/>
          <w:sz w:val="20"/>
        </w:rPr>
        <w:t>the</w:t>
      </w:r>
      <w:r>
        <w:rPr>
          <w:color w:val="231F20"/>
          <w:spacing w:val="12"/>
          <w:sz w:val="20"/>
        </w:rPr>
        <w:t> </w:t>
      </w:r>
      <w:r>
        <w:rPr>
          <w:color w:val="231F20"/>
          <w:spacing w:val="-2"/>
          <w:sz w:val="20"/>
        </w:rPr>
        <w:t>override:</w:t>
      </w:r>
    </w:p>
    <w:p>
      <w:pPr>
        <w:pStyle w:val="Heading6"/>
        <w:numPr>
          <w:ilvl w:val="1"/>
          <w:numId w:val="131"/>
        </w:numPr>
        <w:tabs>
          <w:tab w:pos="2863" w:val="left" w:leader="none"/>
        </w:tabs>
        <w:spacing w:line="240" w:lineRule="auto" w:before="30" w:after="0"/>
        <w:ind w:left="2863" w:right="0" w:hanging="315"/>
        <w:jc w:val="left"/>
        <w:rPr>
          <w:rFonts w:ascii="Palatino Linotype"/>
          <w:b w:val="0"/>
        </w:rPr>
      </w:pPr>
      <w:r>
        <w:rPr>
          <w:rFonts w:ascii="Palatino Linotype"/>
          <w:b w:val="0"/>
          <w:color w:val="231F20"/>
        </w:rPr>
        <w:t>Select</w:t>
      </w:r>
      <w:r>
        <w:rPr>
          <w:rFonts w:ascii="Palatino Linotype"/>
          <w:b w:val="0"/>
          <w:color w:val="231F20"/>
          <w:spacing w:val="22"/>
        </w:rPr>
        <w:t> </w:t>
      </w:r>
      <w:r>
        <w:rPr>
          <w:rFonts w:ascii="Palatino Linotype"/>
          <w:b w:val="0"/>
          <w:color w:val="231F20"/>
          <w:spacing w:val="-24"/>
          <w:position w:val="-1"/>
        </w:rPr>
        <w:drawing>
          <wp:inline distT="0" distB="0" distL="0" distR="0">
            <wp:extent cx="95250" cy="101600"/>
            <wp:effectExtent l="0" t="0" r="0" b="0"/>
            <wp:docPr id="2467" name="Image 2467"/>
            <wp:cNvGraphicFramePr>
              <a:graphicFrameLocks/>
            </wp:cNvGraphicFramePr>
            <a:graphic>
              <a:graphicData uri="http://schemas.openxmlformats.org/drawingml/2006/picture">
                <pic:pic>
                  <pic:nvPicPr>
                    <pic:cNvPr id="2467" name="Image 2467"/>
                    <pic:cNvPicPr/>
                  </pic:nvPicPr>
                  <pic:blipFill>
                    <a:blip r:embed="rId395" cstate="print"/>
                    <a:stretch>
                      <a:fillRect/>
                    </a:stretch>
                  </pic:blipFill>
                  <pic:spPr>
                    <a:xfrm>
                      <a:off x="0" y="0"/>
                      <a:ext cx="95250" cy="101600"/>
                    </a:xfrm>
                    <a:prstGeom prst="rect">
                      <a:avLst/>
                    </a:prstGeom>
                  </pic:spPr>
                </pic:pic>
              </a:graphicData>
            </a:graphic>
          </wp:inline>
        </w:drawing>
      </w:r>
      <w:r>
        <w:rPr>
          <w:rFonts w:ascii="Palatino Linotype"/>
          <w:b w:val="0"/>
          <w:color w:val="231F20"/>
          <w:spacing w:val="-24"/>
          <w:position w:val="-1"/>
        </w:rPr>
      </w:r>
      <w:r>
        <w:rPr>
          <w:rFonts w:ascii="Times New Roman"/>
          <w:b w:val="0"/>
          <w:color w:val="231F20"/>
          <w:spacing w:val="56"/>
          <w:w w:val="150"/>
        </w:rPr>
        <w:t> </w:t>
      </w:r>
      <w:r>
        <w:rPr>
          <w:color w:val="231F20"/>
        </w:rPr>
        <w:t>Click</w:t>
      </w:r>
      <w:r>
        <w:rPr>
          <w:color w:val="231F20"/>
          <w:spacing w:val="13"/>
        </w:rPr>
        <w:t> </w:t>
      </w:r>
      <w:r>
        <w:rPr>
          <w:color w:val="231F20"/>
        </w:rPr>
        <w:t>here</w:t>
      </w:r>
      <w:r>
        <w:rPr>
          <w:color w:val="231F20"/>
          <w:spacing w:val="13"/>
        </w:rPr>
        <w:t> </w:t>
      </w:r>
      <w:r>
        <w:rPr>
          <w:color w:val="231F20"/>
        </w:rPr>
        <w:t>to</w:t>
      </w:r>
      <w:r>
        <w:rPr>
          <w:color w:val="231F20"/>
          <w:spacing w:val="12"/>
        </w:rPr>
        <w:t> </w:t>
      </w:r>
      <w:r>
        <w:rPr>
          <w:color w:val="231F20"/>
        </w:rPr>
        <w:t>assign</w:t>
      </w:r>
      <w:r>
        <w:rPr>
          <w:color w:val="231F20"/>
          <w:spacing w:val="13"/>
        </w:rPr>
        <w:t> </w:t>
      </w:r>
      <w:r>
        <w:rPr>
          <w:color w:val="231F20"/>
        </w:rPr>
        <w:t>an</w:t>
      </w:r>
      <w:r>
        <w:rPr>
          <w:color w:val="231F20"/>
          <w:spacing w:val="12"/>
        </w:rPr>
        <w:t> </w:t>
      </w:r>
      <w:r>
        <w:rPr>
          <w:color w:val="231F20"/>
        </w:rPr>
        <w:t>override</w:t>
      </w:r>
      <w:r>
        <w:rPr>
          <w:color w:val="231F20"/>
          <w:spacing w:val="13"/>
        </w:rPr>
        <w:t> </w:t>
      </w:r>
      <w:r>
        <w:rPr>
          <w:color w:val="231F20"/>
          <w:spacing w:val="-2"/>
        </w:rPr>
        <w:t>schedule</w:t>
      </w:r>
      <w:r>
        <w:rPr>
          <w:rFonts w:ascii="Palatino Linotype"/>
          <w:b w:val="0"/>
          <w:color w:val="231F20"/>
          <w:spacing w:val="-2"/>
        </w:rPr>
        <w:t>.</w:t>
      </w:r>
    </w:p>
    <w:p>
      <w:pPr>
        <w:pStyle w:val="ListParagraph"/>
        <w:numPr>
          <w:ilvl w:val="1"/>
          <w:numId w:val="131"/>
        </w:numPr>
        <w:tabs>
          <w:tab w:pos="2864" w:val="left" w:leader="none"/>
        </w:tabs>
        <w:spacing w:line="213" w:lineRule="auto" w:before="52" w:after="0"/>
        <w:ind w:left="2864" w:right="669" w:hanging="316"/>
        <w:jc w:val="left"/>
        <w:rPr>
          <w:sz w:val="20"/>
        </w:rPr>
      </w:pPr>
      <w:r>
        <w:rPr>
          <w:color w:val="231F20"/>
          <w:sz w:val="20"/>
        </w:rPr>
        <w:t>In the Select Override Expression Schedule dialog, either select one of </w:t>
      </w:r>
      <w:r>
        <w:rPr>
          <w:color w:val="231F20"/>
          <w:sz w:val="20"/>
        </w:rPr>
        <w:t>the defined schedules entries and continue to step </w:t>
      </w:r>
      <w:hyperlink w:history="true" w:anchor="_bookmark219">
        <w:r>
          <w:rPr>
            <w:color w:val="231F20"/>
            <w:sz w:val="20"/>
          </w:rPr>
          <w:t>7</w:t>
        </w:r>
      </w:hyperlink>
      <w:r>
        <w:rPr>
          <w:color w:val="231F20"/>
          <w:sz w:val="20"/>
        </w:rPr>
        <w:t> or click</w:t>
      </w:r>
      <w:r>
        <w:rPr>
          <w:color w:val="231F20"/>
          <w:spacing w:val="38"/>
          <w:sz w:val="20"/>
        </w:rPr>
        <w:t> </w:t>
      </w:r>
      <w:r>
        <w:rPr>
          <w:color w:val="231F20"/>
          <w:spacing w:val="-25"/>
          <w:position w:val="-1"/>
          <w:sz w:val="20"/>
        </w:rPr>
        <w:drawing>
          <wp:inline distT="0" distB="0" distL="0" distR="0">
            <wp:extent cx="95250" cy="101600"/>
            <wp:effectExtent l="0" t="0" r="0" b="0"/>
            <wp:docPr id="2468" name="Image 2468"/>
            <wp:cNvGraphicFramePr>
              <a:graphicFrameLocks/>
            </wp:cNvGraphicFramePr>
            <a:graphic>
              <a:graphicData uri="http://schemas.openxmlformats.org/drawingml/2006/picture">
                <pic:pic>
                  <pic:nvPicPr>
                    <pic:cNvPr id="2468" name="Image 246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37"/>
          <w:sz w:val="20"/>
        </w:rPr>
        <w:t> </w:t>
      </w:r>
      <w:r>
        <w:rPr>
          <w:rFonts w:ascii="Book Antiqua"/>
          <w:b/>
          <w:color w:val="231F20"/>
          <w:sz w:val="20"/>
        </w:rPr>
        <w:t>Create New Schedule</w:t>
      </w:r>
      <w:r>
        <w:rPr>
          <w:color w:val="231F20"/>
          <w:sz w:val="20"/>
        </w:rPr>
        <w:t>. Any schedules created from the command line with </w:t>
      </w:r>
      <w:r>
        <w:rPr>
          <w:rFonts w:ascii="Book Antiqua"/>
          <w:b/>
          <w:color w:val="231F20"/>
          <w:sz w:val="20"/>
        </w:rPr>
        <w:t>tacmd addCalendarEntry </w:t>
      </w:r>
      <w:r>
        <w:rPr>
          <w:color w:val="231F20"/>
          <w:sz w:val="20"/>
        </w:rPr>
        <w:t>are displayed in the list.</w:t>
      </w:r>
    </w:p>
    <w:p>
      <w:pPr>
        <w:pStyle w:val="ListParagraph"/>
        <w:numPr>
          <w:ilvl w:val="1"/>
          <w:numId w:val="131"/>
        </w:numPr>
        <w:tabs>
          <w:tab w:pos="2851" w:val="left" w:leader="none"/>
          <w:tab w:pos="2853" w:val="left" w:leader="none"/>
        </w:tabs>
        <w:spacing w:line="211" w:lineRule="auto" w:before="65" w:after="0"/>
        <w:ind w:left="2853" w:right="473" w:hanging="305"/>
        <w:jc w:val="left"/>
        <w:rPr>
          <w:sz w:val="20"/>
        </w:rPr>
      </w:pPr>
      <w:r>
        <w:rPr>
          <w:color w:val="231F20"/>
          <w:sz w:val="20"/>
        </w:rPr>
        <w:t>Select </w:t>
      </w:r>
      <w:r>
        <w:rPr>
          <w:color w:val="231F20"/>
          <w:spacing w:val="16"/>
          <w:sz w:val="20"/>
        </w:rPr>
        <w:drawing>
          <wp:inline distT="0" distB="0" distL="0" distR="0">
            <wp:extent cx="88900" cy="82550"/>
            <wp:effectExtent l="0" t="0" r="0" b="0"/>
            <wp:docPr id="2469" name="Image 2469"/>
            <wp:cNvGraphicFramePr>
              <a:graphicFrameLocks/>
            </wp:cNvGraphicFramePr>
            <a:graphic>
              <a:graphicData uri="http://schemas.openxmlformats.org/drawingml/2006/picture">
                <pic:pic>
                  <pic:nvPicPr>
                    <pic:cNvPr id="2469" name="Image 2469"/>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Create a new calendar schedule </w:t>
      </w:r>
      <w:r>
        <w:rPr>
          <w:color w:val="231F20"/>
          <w:sz w:val="20"/>
        </w:rPr>
        <w:t>to create a schedule for particular days or sequence of days, or </w:t>
      </w:r>
      <w:r>
        <w:rPr>
          <w:color w:val="231F20"/>
          <w:spacing w:val="15"/>
          <w:sz w:val="20"/>
        </w:rPr>
        <w:drawing>
          <wp:inline distT="0" distB="0" distL="0" distR="0">
            <wp:extent cx="88900" cy="82550"/>
            <wp:effectExtent l="0" t="0" r="0" b="0"/>
            <wp:docPr id="2470" name="Image 2470"/>
            <wp:cNvGraphicFramePr>
              <a:graphicFrameLocks/>
            </wp:cNvGraphicFramePr>
            <a:graphic>
              <a:graphicData uri="http://schemas.openxmlformats.org/drawingml/2006/picture">
                <pic:pic>
                  <pic:nvPicPr>
                    <pic:cNvPr id="2470" name="Image 2470"/>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Create a new hourly schedule </w:t>
      </w:r>
      <w:r>
        <w:rPr>
          <w:color w:val="231F20"/>
          <w:sz w:val="20"/>
        </w:rPr>
        <w:t>to create a daily schedule that runs at specified times.</w:t>
      </w:r>
    </w:p>
    <w:p>
      <w:pPr>
        <w:pStyle w:val="ListParagraph"/>
        <w:numPr>
          <w:ilvl w:val="1"/>
          <w:numId w:val="131"/>
        </w:numPr>
        <w:tabs>
          <w:tab w:pos="2864" w:val="left" w:leader="none"/>
        </w:tabs>
        <w:spacing w:line="213" w:lineRule="auto" w:before="58" w:after="0"/>
        <w:ind w:left="2864" w:right="547" w:hanging="316"/>
        <w:jc w:val="left"/>
        <w:rPr>
          <w:sz w:val="20"/>
        </w:rPr>
      </w:pPr>
      <w:r>
        <w:rPr>
          <w:color w:val="231F20"/>
          <w:sz w:val="20"/>
        </w:rPr>
        <w:t>In the Schedule editor that opens, define the schedule: </w:t>
      </w:r>
      <w:hyperlink w:history="true" w:anchor="_bookmark225">
        <w:r>
          <w:rPr>
            <w:color w:val="231F20"/>
            <w:sz w:val="20"/>
          </w:rPr>
          <w:t>“Calendar” on </w:t>
        </w:r>
        <w:r>
          <w:rPr>
            <w:color w:val="231F20"/>
            <w:sz w:val="20"/>
          </w:rPr>
          <w:t>page</w:t>
        </w:r>
      </w:hyperlink>
      <w:r>
        <w:rPr>
          <w:color w:val="231F20"/>
          <w:sz w:val="20"/>
        </w:rPr>
        <w:t> </w:t>
      </w:r>
      <w:hyperlink w:history="true" w:anchor="_bookmark225">
        <w:r>
          <w:rPr>
            <w:color w:val="231F20"/>
            <w:sz w:val="20"/>
          </w:rPr>
          <w:t>302</w:t>
        </w:r>
      </w:hyperlink>
      <w:r>
        <w:rPr>
          <w:color w:val="231F20"/>
          <w:sz w:val="20"/>
        </w:rPr>
        <w:t> or </w:t>
      </w:r>
      <w:hyperlink w:history="true" w:anchor="_bookmark226">
        <w:r>
          <w:rPr>
            <w:color w:val="231F20"/>
            <w:sz w:val="20"/>
          </w:rPr>
          <w:t>“Hourly” on page 304</w:t>
        </w:r>
      </w:hyperlink>
    </w:p>
    <w:p>
      <w:pPr>
        <w:pStyle w:val="BodyText"/>
        <w:spacing w:line="213" w:lineRule="auto" w:before="119"/>
        <w:ind w:left="2548" w:right="493" w:hanging="1"/>
      </w:pPr>
      <w:r>
        <w:rPr>
          <w:color w:val="231F20"/>
        </w:rPr>
        <w:t>After you click </w:t>
      </w:r>
      <w:r>
        <w:rPr>
          <w:rFonts w:ascii="Book Antiqua"/>
          <w:b/>
          <w:color w:val="231F20"/>
        </w:rPr>
        <w:t>OK</w:t>
      </w:r>
      <w:r>
        <w:rPr>
          <w:color w:val="231F20"/>
        </w:rPr>
        <w:t>, the undefined schedule icon changes to indicate that a </w:t>
      </w:r>
      <w:r>
        <w:rPr>
          <w:color w:val="231F20"/>
          <w:spacing w:val="-25"/>
          <w:position w:val="-1"/>
        </w:rPr>
        <w:drawing>
          <wp:inline distT="0" distB="0" distL="0" distR="0">
            <wp:extent cx="95250" cy="101600"/>
            <wp:effectExtent l="0" t="0" r="0" b="0"/>
            <wp:docPr id="2471" name="Image 2471"/>
            <wp:cNvGraphicFramePr>
              <a:graphicFrameLocks/>
            </wp:cNvGraphicFramePr>
            <a:graphic>
              <a:graphicData uri="http://schemas.openxmlformats.org/drawingml/2006/picture">
                <pic:pic>
                  <pic:nvPicPr>
                    <pic:cNvPr id="2471" name="Image 2471"/>
                    <pic:cNvPicPr/>
                  </pic:nvPicPr>
                  <pic:blipFill>
                    <a:blip r:embed="rId39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position w:val="-1"/>
        </w:rPr>
        <w:t> </w:t>
      </w:r>
      <w:r>
        <w:rPr>
          <w:color w:val="231F20"/>
        </w:rPr>
        <w:t>calendar schedule or an</w:t>
      </w:r>
      <w:r>
        <w:rPr>
          <w:color w:val="231F20"/>
          <w:spacing w:val="40"/>
        </w:rPr>
        <w:t> </w:t>
      </w:r>
      <w:r>
        <w:rPr>
          <w:color w:val="231F20"/>
          <w:spacing w:val="-24"/>
          <w:position w:val="-1"/>
        </w:rPr>
        <w:drawing>
          <wp:inline distT="0" distB="0" distL="0" distR="0">
            <wp:extent cx="95250" cy="101600"/>
            <wp:effectExtent l="0" t="0" r="0" b="0"/>
            <wp:docPr id="2472" name="Image 2472"/>
            <wp:cNvGraphicFramePr>
              <a:graphicFrameLocks/>
            </wp:cNvGraphicFramePr>
            <a:graphic>
              <a:graphicData uri="http://schemas.openxmlformats.org/drawingml/2006/picture">
                <pic:pic>
                  <pic:nvPicPr>
                    <pic:cNvPr id="2472" name="Image 2472"/>
                    <pic:cNvPicPr/>
                  </pic:nvPicPr>
                  <pic:blipFill>
                    <a:blip r:embed="rId397"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hourly schedule has been applied.</w:t>
      </w:r>
    </w:p>
    <w:p>
      <w:pPr>
        <w:pStyle w:val="ListParagraph"/>
        <w:numPr>
          <w:ilvl w:val="0"/>
          <w:numId w:val="131"/>
        </w:numPr>
        <w:tabs>
          <w:tab w:pos="2548" w:val="left" w:leader="none"/>
        </w:tabs>
        <w:spacing w:line="213" w:lineRule="auto" w:before="58" w:after="0"/>
        <w:ind w:left="2548" w:right="618" w:hanging="316"/>
        <w:jc w:val="left"/>
        <w:rPr>
          <w:sz w:val="20"/>
        </w:rPr>
      </w:pPr>
      <w:r>
        <w:rPr>
          <w:color w:val="231F20"/>
          <w:sz w:val="20"/>
        </w:rPr>
        <w:t>Click </w:t>
      </w:r>
      <w:r>
        <w:rPr>
          <w:rFonts w:ascii="Book Antiqua"/>
          <w:b/>
          <w:color w:val="231F20"/>
          <w:sz w:val="20"/>
        </w:rPr>
        <w:t>Apply </w:t>
      </w:r>
      <w:r>
        <w:rPr>
          <w:color w:val="231F20"/>
          <w:sz w:val="20"/>
        </w:rPr>
        <w:t>to validate the override definition and save your changes. The situation override is validated when you save it. If any problems are found, a message describes the error. Select the </w:t>
      </w:r>
      <w:r>
        <w:rPr>
          <w:color w:val="231F20"/>
          <w:spacing w:val="15"/>
          <w:sz w:val="20"/>
        </w:rPr>
        <w:drawing>
          <wp:inline distT="0" distB="0" distL="0" distR="0">
            <wp:extent cx="82550" cy="82550"/>
            <wp:effectExtent l="0" t="0" r="0" b="0"/>
            <wp:docPr id="2473" name="Image 2473"/>
            <wp:cNvGraphicFramePr>
              <a:graphicFrameLocks/>
            </wp:cNvGraphicFramePr>
            <a:graphic>
              <a:graphicData uri="http://schemas.openxmlformats.org/drawingml/2006/picture">
                <pic:pic>
                  <pic:nvPicPr>
                    <pic:cNvPr id="2473" name="Image 247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color w:val="231F20"/>
          <w:sz w:val="20"/>
        </w:rPr>
        <w:t>check box next to the </w:t>
      </w:r>
      <w:r>
        <w:rPr>
          <w:color w:val="231F20"/>
          <w:spacing w:val="-25"/>
          <w:position w:val="-1"/>
          <w:sz w:val="20"/>
        </w:rPr>
        <w:drawing>
          <wp:inline distT="0" distB="0" distL="0" distR="0">
            <wp:extent cx="95250" cy="101600"/>
            <wp:effectExtent l="0" t="0" r="0" b="0"/>
            <wp:docPr id="2474" name="Image 2474"/>
            <wp:cNvGraphicFramePr>
              <a:graphicFrameLocks/>
            </wp:cNvGraphicFramePr>
            <a:graphic>
              <a:graphicData uri="http://schemas.openxmlformats.org/drawingml/2006/picture">
                <pic:pic>
                  <pic:nvPicPr>
                    <pic:cNvPr id="2474" name="Image 2474"/>
                    <pic:cNvPicPr/>
                  </pic:nvPicPr>
                  <pic:blipFill>
                    <a:blip r:embed="rId398"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color w:val="231F20"/>
          <w:sz w:val="20"/>
        </w:rPr>
        <w:t>Calendar error and click </w:t>
      </w:r>
      <w:r>
        <w:rPr>
          <w:rFonts w:ascii="Book Antiqua"/>
          <w:b/>
          <w:color w:val="231F20"/>
          <w:sz w:val="20"/>
        </w:rPr>
        <w:t>Remove Expression</w:t>
      </w:r>
      <w:r>
        <w:rPr>
          <w:color w:val="231F20"/>
          <w:sz w:val="20"/>
        </w:rPr>
        <w:t>.</w:t>
      </w:r>
    </w:p>
    <w:p>
      <w:pPr>
        <w:pStyle w:val="ListParagraph"/>
        <w:numPr>
          <w:ilvl w:val="0"/>
          <w:numId w:val="131"/>
        </w:numPr>
        <w:tabs>
          <w:tab w:pos="2548" w:val="left" w:leader="none"/>
        </w:tabs>
        <w:spacing w:line="213" w:lineRule="auto" w:before="58" w:after="0"/>
        <w:ind w:left="2548" w:right="480" w:hanging="316"/>
        <w:jc w:val="left"/>
        <w:rPr>
          <w:sz w:val="20"/>
        </w:rPr>
      </w:pPr>
      <w:r>
        <w:rPr>
          <w:color w:val="231F20"/>
          <w:sz w:val="20"/>
        </w:rPr>
        <w:t>If you want to add another override, click </w:t>
      </w:r>
      <w:r>
        <w:rPr>
          <w:rFonts w:ascii="Book Antiqua"/>
          <w:b/>
          <w:color w:val="231F20"/>
          <w:sz w:val="20"/>
        </w:rPr>
        <w:t>Add Expression </w:t>
      </w:r>
      <w:r>
        <w:rPr>
          <w:color w:val="231F20"/>
          <w:sz w:val="20"/>
        </w:rPr>
        <w:t>and repeat these</w:t>
      </w:r>
      <w:r>
        <w:rPr>
          <w:color w:val="231F20"/>
          <w:spacing w:val="40"/>
          <w:sz w:val="20"/>
        </w:rPr>
        <w:t> </w:t>
      </w:r>
      <w:r>
        <w:rPr>
          <w:color w:val="231F20"/>
          <w:sz w:val="20"/>
        </w:rPr>
        <w:t>steps starting at step </w:t>
      </w:r>
      <w:hyperlink w:history="true" w:anchor="_bookmark219">
        <w:r>
          <w:rPr>
            <w:color w:val="231F20"/>
            <w:sz w:val="20"/>
          </w:rPr>
          <w:t>3</w:t>
        </w:r>
      </w:hyperlink>
      <w:r>
        <w:rPr>
          <w:color w:val="231F20"/>
          <w:sz w:val="20"/>
        </w:rPr>
        <w:t> A copy of the reference formula is added to the formula overrides. You can have one formula that has no schedule; any others must</w:t>
      </w:r>
      <w:r>
        <w:rPr>
          <w:color w:val="231F20"/>
          <w:spacing w:val="80"/>
          <w:sz w:val="20"/>
        </w:rPr>
        <w:t> </w:t>
      </w:r>
      <w:r>
        <w:rPr>
          <w:color w:val="231F20"/>
          <w:sz w:val="20"/>
        </w:rPr>
        <w:t>have a schedule applied.</w:t>
      </w:r>
    </w:p>
    <w:p>
      <w:pPr>
        <w:pStyle w:val="Heading4"/>
        <w:spacing w:before="198"/>
      </w:pPr>
      <w:r>
        <w:rPr>
          <w:color w:val="231F20"/>
          <w:spacing w:val="-2"/>
        </w:rPr>
        <w:t>Results</w:t>
      </w:r>
    </w:p>
    <w:p>
      <w:pPr>
        <w:pStyle w:val="BodyText"/>
        <w:spacing w:line="255" w:lineRule="exact" w:before="218"/>
        <w:ind w:left="2232"/>
      </w:pPr>
      <w:r>
        <w:rPr>
          <w:color w:val="231F20"/>
        </w:rPr>
        <w:t>If</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override</w:t>
      </w:r>
      <w:r>
        <w:rPr>
          <w:color w:val="231F20"/>
          <w:spacing w:val="12"/>
        </w:rPr>
        <w:t> </w:t>
      </w:r>
      <w:r>
        <w:rPr>
          <w:color w:val="231F20"/>
        </w:rPr>
        <w:t>entry</w:t>
      </w:r>
      <w:r>
        <w:rPr>
          <w:color w:val="231F20"/>
          <w:spacing w:val="11"/>
        </w:rPr>
        <w:t> </w:t>
      </w:r>
      <w:r>
        <w:rPr>
          <w:color w:val="231F20"/>
        </w:rPr>
        <w:t>has</w:t>
      </w:r>
      <w:r>
        <w:rPr>
          <w:color w:val="231F20"/>
          <w:spacing w:val="11"/>
        </w:rPr>
        <w:t> </w:t>
      </w:r>
      <w:r>
        <w:rPr>
          <w:color w:val="231F20"/>
        </w:rPr>
        <w:t>no</w:t>
      </w:r>
      <w:r>
        <w:rPr>
          <w:color w:val="231F20"/>
          <w:spacing w:val="11"/>
        </w:rPr>
        <w:t> </w:t>
      </w:r>
      <w:r>
        <w:rPr>
          <w:color w:val="231F20"/>
        </w:rPr>
        <w:t>schedule,</w:t>
      </w:r>
      <w:r>
        <w:rPr>
          <w:color w:val="231F20"/>
          <w:spacing w:val="12"/>
        </w:rPr>
        <w:t> </w:t>
      </w:r>
      <w:r>
        <w:rPr>
          <w:color w:val="231F20"/>
        </w:rPr>
        <w:t>it</w:t>
      </w:r>
      <w:r>
        <w:rPr>
          <w:color w:val="231F20"/>
          <w:spacing w:val="11"/>
        </w:rPr>
        <w:t> </w:t>
      </w:r>
      <w:r>
        <w:rPr>
          <w:color w:val="231F20"/>
        </w:rPr>
        <w:t>begins</w:t>
      </w:r>
      <w:r>
        <w:rPr>
          <w:color w:val="231F20"/>
          <w:spacing w:val="11"/>
        </w:rPr>
        <w:t> </w:t>
      </w:r>
      <w:r>
        <w:rPr>
          <w:color w:val="231F20"/>
        </w:rPr>
        <w:t>running</w:t>
      </w:r>
      <w:r>
        <w:rPr>
          <w:color w:val="231F20"/>
          <w:spacing w:val="12"/>
        </w:rPr>
        <w:t> </w:t>
      </w:r>
      <w:r>
        <w:rPr>
          <w:color w:val="231F20"/>
        </w:rPr>
        <w:t>after</w:t>
      </w:r>
      <w:r>
        <w:rPr>
          <w:color w:val="231F20"/>
          <w:spacing w:val="11"/>
        </w:rPr>
        <w:t> </w:t>
      </w:r>
      <w:r>
        <w:rPr>
          <w:color w:val="231F20"/>
        </w:rPr>
        <w:t>you</w:t>
      </w:r>
      <w:r>
        <w:rPr>
          <w:color w:val="231F20"/>
          <w:spacing w:val="11"/>
        </w:rPr>
        <w:t> </w:t>
      </w:r>
      <w:r>
        <w:rPr>
          <w:color w:val="231F20"/>
          <w:spacing w:val="-2"/>
        </w:rPr>
        <w:t>click</w:t>
      </w:r>
    </w:p>
    <w:p>
      <w:pPr>
        <w:pStyle w:val="BodyText"/>
        <w:spacing w:line="255" w:lineRule="exact"/>
        <w:ind w:left="2232"/>
      </w:pPr>
      <w:r>
        <w:rPr>
          <w:rFonts w:ascii="Book Antiqua"/>
          <w:b/>
          <w:color w:val="231F20"/>
        </w:rPr>
        <w:t>Apply</w:t>
      </w:r>
      <w:r>
        <w:rPr>
          <w:rFonts w:ascii="Book Antiqua"/>
          <w:b/>
          <w:color w:val="231F20"/>
          <w:spacing w:val="10"/>
        </w:rPr>
        <w:t> </w:t>
      </w:r>
      <w:r>
        <w:rPr>
          <w:color w:val="231F20"/>
        </w:rPr>
        <w:t>or</w:t>
      </w:r>
      <w:r>
        <w:rPr>
          <w:color w:val="231F20"/>
          <w:spacing w:val="11"/>
        </w:rPr>
        <w:t> </w:t>
      </w:r>
      <w:r>
        <w:rPr>
          <w:rFonts w:ascii="Book Antiqua"/>
          <w:b/>
          <w:color w:val="231F20"/>
        </w:rPr>
        <w:t>OK</w:t>
      </w:r>
      <w:r>
        <w:rPr>
          <w:color w:val="231F20"/>
        </w:rPr>
        <w:t>.</w:t>
      </w:r>
      <w:r>
        <w:rPr>
          <w:color w:val="231F20"/>
          <w:spacing w:val="5"/>
        </w:rPr>
        <w:t> </w:t>
      </w:r>
      <w:r>
        <w:rPr>
          <w:color w:val="231F20"/>
        </w:rPr>
        <w:t>Any</w:t>
      </w:r>
      <w:r>
        <w:rPr>
          <w:color w:val="231F20"/>
          <w:spacing w:val="11"/>
        </w:rPr>
        <w:t> </w:t>
      </w:r>
      <w:r>
        <w:rPr>
          <w:color w:val="231F20"/>
        </w:rPr>
        <w:t>overrides</w:t>
      </w:r>
      <w:r>
        <w:rPr>
          <w:color w:val="231F20"/>
          <w:spacing w:val="11"/>
        </w:rPr>
        <w:t> </w:t>
      </w:r>
      <w:r>
        <w:rPr>
          <w:color w:val="231F20"/>
        </w:rPr>
        <w:t>with</w:t>
      </w:r>
      <w:r>
        <w:rPr>
          <w:color w:val="231F20"/>
          <w:spacing w:val="11"/>
        </w:rPr>
        <w:t> </w:t>
      </w:r>
      <w:r>
        <w:rPr>
          <w:color w:val="231F20"/>
        </w:rPr>
        <w:t>a</w:t>
      </w:r>
      <w:r>
        <w:rPr>
          <w:color w:val="231F20"/>
          <w:spacing w:val="11"/>
        </w:rPr>
        <w:t> </w:t>
      </w:r>
      <w:r>
        <w:rPr>
          <w:color w:val="231F20"/>
        </w:rPr>
        <w:t>schedule</w:t>
      </w:r>
      <w:r>
        <w:rPr>
          <w:color w:val="231F20"/>
          <w:spacing w:val="10"/>
        </w:rPr>
        <w:t> </w:t>
      </w:r>
      <w:r>
        <w:rPr>
          <w:color w:val="231F20"/>
        </w:rPr>
        <w:t>are</w:t>
      </w:r>
      <w:r>
        <w:rPr>
          <w:color w:val="231F20"/>
          <w:spacing w:val="11"/>
        </w:rPr>
        <w:t> </w:t>
      </w:r>
      <w:r>
        <w:rPr>
          <w:color w:val="231F20"/>
        </w:rPr>
        <w:t>activated</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designated</w:t>
      </w:r>
      <w:r>
        <w:rPr>
          <w:color w:val="231F20"/>
          <w:spacing w:val="11"/>
        </w:rPr>
        <w:t> </w:t>
      </w:r>
      <w:r>
        <w:rPr>
          <w:color w:val="231F20"/>
          <w:spacing w:val="-2"/>
        </w:rPr>
        <w:t>time.</w:t>
      </w:r>
    </w:p>
    <w:p>
      <w:pPr>
        <w:pStyle w:val="Heading4"/>
        <w:spacing w:before="19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636"/>
      </w:pPr>
      <w:r>
        <w:rPr>
          <w:color w:val="231F20"/>
        </w:rPr>
        <w:t>You can use the monitored baselines feature to see the override expressions charted. See </w:t>
      </w:r>
      <w:hyperlink w:history="true" w:anchor="_bookmark94">
        <w:r>
          <w:rPr>
            <w:color w:val="231F20"/>
          </w:rPr>
          <w:t>Adding monitored baselines to a chart.</w:t>
        </w:r>
      </w:hyperlink>
    </w:p>
    <w:p>
      <w:pPr>
        <w:spacing w:after="0" w:line="213" w:lineRule="auto"/>
        <w:sectPr>
          <w:pgSz w:w="12240" w:h="15840"/>
          <w:pgMar w:header="0" w:footer="736" w:top="1180" w:bottom="920" w:left="1000" w:right="1060"/>
        </w:sectPr>
      </w:pPr>
    </w:p>
    <w:p>
      <w:pPr>
        <w:spacing w:line="213" w:lineRule="auto" w:before="85"/>
        <w:ind w:left="2472" w:right="208" w:firstLine="0"/>
        <w:jc w:val="left"/>
        <w:rPr>
          <w:sz w:val="20"/>
        </w:rPr>
      </w:pPr>
      <w:bookmarkStart w:name="_bookmark220" w:id="463"/>
      <w:bookmarkEnd w:id="463"/>
      <w:r>
        <w:rPr/>
      </w:r>
      <w:r>
        <w:rPr>
          <w:color w:val="231F20"/>
          <w:w w:val="105"/>
          <w:sz w:val="20"/>
        </w:rPr>
        <w:t>Outside of the portal, you can use the CLI </w:t>
      </w:r>
      <w:r>
        <w:rPr>
          <w:rFonts w:ascii="Book Antiqua" w:hAnsi="Book Antiqua"/>
          <w:b/>
          <w:color w:val="231F20"/>
          <w:w w:val="105"/>
          <w:sz w:val="20"/>
        </w:rPr>
        <w:t>tacmd setOverride</w:t>
      </w:r>
      <w:r>
        <w:rPr>
          <w:color w:val="231F20"/>
          <w:w w:val="105"/>
          <w:sz w:val="20"/>
        </w:rPr>
        <w:t>, </w:t>
      </w:r>
      <w:r>
        <w:rPr>
          <w:rFonts w:ascii="Book Antiqua" w:hAnsi="Book Antiqua"/>
          <w:b/>
          <w:color w:val="231F20"/>
          <w:w w:val="105"/>
          <w:sz w:val="20"/>
        </w:rPr>
        <w:t>tacmd </w:t>
      </w:r>
      <w:r>
        <w:rPr>
          <w:rFonts w:ascii="Book Antiqua" w:hAnsi="Book Antiqua"/>
          <w:b/>
          <w:color w:val="231F20"/>
          <w:sz w:val="20"/>
        </w:rPr>
        <w:t>addCalendarEntry</w:t>
      </w:r>
      <w:r>
        <w:rPr>
          <w:color w:val="231F20"/>
          <w:sz w:val="20"/>
        </w:rPr>
        <w:t>, </w:t>
      </w:r>
      <w:r>
        <w:rPr>
          <w:rFonts w:ascii="Book Antiqua" w:hAnsi="Book Antiqua"/>
          <w:b/>
          <w:color w:val="231F20"/>
          <w:sz w:val="20"/>
        </w:rPr>
        <w:t>tacmd suggestBaseline</w:t>
      </w:r>
      <w:r>
        <w:rPr>
          <w:color w:val="231F20"/>
          <w:sz w:val="20"/>
        </w:rPr>
        <w:t>, and </w:t>
      </w:r>
      <w:r>
        <w:rPr>
          <w:rFonts w:ascii="Book Antiqua" w:hAnsi="Book Antiqua"/>
          <w:b/>
          <w:color w:val="231F20"/>
          <w:sz w:val="20"/>
        </w:rPr>
        <w:t>tacmd acceptBaseline </w:t>
      </w:r>
      <w:r>
        <w:rPr>
          <w:color w:val="231F20"/>
          <w:sz w:val="20"/>
        </w:rPr>
        <w:t>commands</w:t>
      </w:r>
      <w:r>
        <w:rPr>
          <w:color w:val="231F20"/>
          <w:spacing w:val="40"/>
          <w:sz w:val="20"/>
        </w:rPr>
        <w:t> </w:t>
      </w:r>
      <w:r>
        <w:rPr>
          <w:color w:val="231F20"/>
          <w:sz w:val="20"/>
        </w:rPr>
        <w:t>to create override expressions based on calculated baseline values rather than </w:t>
      </w:r>
      <w:r>
        <w:rPr>
          <w:color w:val="231F20"/>
          <w:sz w:val="20"/>
        </w:rPr>
        <w:t>fixed </w:t>
      </w:r>
      <w:r>
        <w:rPr>
          <w:color w:val="231F20"/>
          <w:spacing w:val="-2"/>
          <w:w w:val="105"/>
          <w:sz w:val="20"/>
        </w:rPr>
        <w:t>values. (described in the </w:t>
      </w:r>
      <w:r>
        <w:rPr>
          <w:rFonts w:ascii="Book Antiqua" w:hAnsi="Book Antiqua"/>
          <w:i/>
          <w:color w:val="231F20"/>
          <w:spacing w:val="-2"/>
          <w:w w:val="105"/>
          <w:sz w:val="20"/>
        </w:rPr>
        <w:t>IBM Tivoli Monitoring Command Reference</w:t>
      </w:r>
      <w:r>
        <w:rPr>
          <w:color w:val="231F20"/>
          <w:spacing w:val="-2"/>
          <w:w w:val="105"/>
          <w:sz w:val="20"/>
        </w:rPr>
        <w:t>) or using a local </w:t>
      </w:r>
      <w:r>
        <w:rPr>
          <w:color w:val="231F20"/>
          <w:w w:val="105"/>
          <w:sz w:val="20"/>
        </w:rPr>
        <w:t>thresholds.xml</w:t>
      </w:r>
      <w:r>
        <w:rPr>
          <w:color w:val="231F20"/>
          <w:spacing w:val="-8"/>
          <w:w w:val="105"/>
          <w:sz w:val="20"/>
        </w:rPr>
        <w:t> </w:t>
      </w:r>
      <w:r>
        <w:rPr>
          <w:color w:val="231F20"/>
          <w:w w:val="105"/>
          <w:sz w:val="20"/>
        </w:rPr>
        <w:t>configuration</w:t>
      </w:r>
      <w:r>
        <w:rPr>
          <w:color w:val="231F20"/>
          <w:spacing w:val="-8"/>
          <w:w w:val="105"/>
          <w:sz w:val="20"/>
        </w:rPr>
        <w:t> </w:t>
      </w:r>
      <w:r>
        <w:rPr>
          <w:color w:val="231F20"/>
          <w:w w:val="105"/>
          <w:sz w:val="20"/>
        </w:rPr>
        <w:t>file</w:t>
      </w:r>
      <w:r>
        <w:rPr>
          <w:color w:val="231F20"/>
          <w:spacing w:val="-8"/>
          <w:w w:val="105"/>
          <w:sz w:val="20"/>
        </w:rPr>
        <w:t> </w:t>
      </w:r>
      <w:r>
        <w:rPr>
          <w:color w:val="231F20"/>
          <w:w w:val="105"/>
          <w:sz w:val="20"/>
        </w:rPr>
        <w:t>(described</w:t>
      </w:r>
      <w:r>
        <w:rPr>
          <w:color w:val="231F20"/>
          <w:spacing w:val="-8"/>
          <w:w w:val="105"/>
          <w:sz w:val="20"/>
        </w:rPr>
        <w:t> </w:t>
      </w:r>
      <w:r>
        <w:rPr>
          <w:color w:val="231F20"/>
          <w:w w:val="105"/>
          <w:sz w:val="20"/>
        </w:rPr>
        <w:t>in</w:t>
      </w:r>
      <w:r>
        <w:rPr>
          <w:color w:val="231F20"/>
          <w:spacing w:val="-8"/>
          <w:w w:val="105"/>
          <w:sz w:val="20"/>
        </w:rPr>
        <w:t> </w:t>
      </w:r>
      <w:r>
        <w:rPr>
          <w:color w:val="231F20"/>
          <w:w w:val="105"/>
          <w:sz w:val="20"/>
        </w:rPr>
        <w:t>the</w:t>
      </w:r>
      <w:r>
        <w:rPr>
          <w:color w:val="231F20"/>
          <w:spacing w:val="-8"/>
          <w:w w:val="105"/>
          <w:sz w:val="20"/>
        </w:rPr>
        <w:t> </w:t>
      </w:r>
      <w:r>
        <w:rPr>
          <w:color w:val="231F20"/>
          <w:w w:val="105"/>
          <w:sz w:val="20"/>
        </w:rPr>
        <w:t>“Situation</w:t>
      </w:r>
      <w:r>
        <w:rPr>
          <w:color w:val="231F20"/>
          <w:spacing w:val="-8"/>
          <w:w w:val="105"/>
          <w:sz w:val="20"/>
        </w:rPr>
        <w:t> </w:t>
      </w:r>
      <w:r>
        <w:rPr>
          <w:color w:val="231F20"/>
          <w:w w:val="105"/>
          <w:sz w:val="20"/>
        </w:rPr>
        <w:t>override</w:t>
      </w:r>
      <w:r>
        <w:rPr>
          <w:color w:val="231F20"/>
          <w:spacing w:val="-8"/>
          <w:w w:val="105"/>
          <w:sz w:val="20"/>
        </w:rPr>
        <w:t> </w:t>
      </w:r>
      <w:r>
        <w:rPr>
          <w:color w:val="231F20"/>
          <w:w w:val="105"/>
          <w:sz w:val="20"/>
        </w:rPr>
        <w:t>XML specification”</w:t>
      </w:r>
      <w:r>
        <w:rPr>
          <w:color w:val="231F20"/>
          <w:spacing w:val="-5"/>
          <w:w w:val="105"/>
          <w:sz w:val="20"/>
        </w:rPr>
        <w:t> </w:t>
      </w:r>
      <w:r>
        <w:rPr>
          <w:color w:val="231F20"/>
          <w:w w:val="105"/>
          <w:sz w:val="20"/>
        </w:rPr>
        <w:t>in</w:t>
      </w:r>
      <w:r>
        <w:rPr>
          <w:color w:val="231F20"/>
          <w:spacing w:val="-5"/>
          <w:w w:val="105"/>
          <w:sz w:val="20"/>
        </w:rPr>
        <w:t> </w:t>
      </w:r>
      <w:r>
        <w:rPr>
          <w:color w:val="231F20"/>
          <w:w w:val="105"/>
          <w:sz w:val="20"/>
        </w:rPr>
        <w:t>the</w:t>
      </w:r>
      <w:r>
        <w:rPr>
          <w:color w:val="231F20"/>
          <w:spacing w:val="-5"/>
          <w:w w:val="105"/>
          <w:sz w:val="20"/>
        </w:rPr>
        <w:t> </w:t>
      </w:r>
      <w:hyperlink r:id="rId372">
        <w:r>
          <w:rPr>
            <w:rFonts w:ascii="Book Antiqua" w:hAnsi="Book Antiqua"/>
            <w:i/>
            <w:color w:val="231F20"/>
            <w:w w:val="105"/>
            <w:sz w:val="20"/>
          </w:rPr>
          <w:t>IBM</w:t>
        </w:r>
        <w:r>
          <w:rPr>
            <w:rFonts w:ascii="Book Antiqua" w:hAnsi="Book Antiqua"/>
            <w:i/>
            <w:color w:val="231F20"/>
            <w:spacing w:val="-5"/>
            <w:w w:val="105"/>
            <w:sz w:val="20"/>
          </w:rPr>
          <w:t> </w:t>
        </w:r>
        <w:r>
          <w:rPr>
            <w:rFonts w:ascii="Book Antiqua" w:hAnsi="Book Antiqua"/>
            <w:i/>
            <w:color w:val="231F20"/>
            <w:w w:val="105"/>
            <w:sz w:val="20"/>
          </w:rPr>
          <w:t>Tivoli</w:t>
        </w:r>
        <w:r>
          <w:rPr>
            <w:rFonts w:ascii="Book Antiqua" w:hAnsi="Book Antiqua"/>
            <w:i/>
            <w:color w:val="231F20"/>
            <w:spacing w:val="-5"/>
            <w:w w:val="105"/>
            <w:sz w:val="20"/>
          </w:rPr>
          <w:t> </w:t>
        </w:r>
        <w:r>
          <w:rPr>
            <w:rFonts w:ascii="Book Antiqua" w:hAnsi="Book Antiqua"/>
            <w:i/>
            <w:color w:val="231F20"/>
            <w:w w:val="105"/>
            <w:sz w:val="20"/>
          </w:rPr>
          <w:t>Monitoring</w:t>
        </w:r>
        <w:r>
          <w:rPr>
            <w:rFonts w:ascii="Book Antiqua" w:hAnsi="Book Antiqua"/>
            <w:i/>
            <w:color w:val="231F20"/>
            <w:spacing w:val="-5"/>
            <w:w w:val="105"/>
            <w:sz w:val="20"/>
          </w:rPr>
          <w:t> </w:t>
        </w:r>
        <w:r>
          <w:rPr>
            <w:rFonts w:ascii="Book Antiqua" w:hAnsi="Book Antiqua"/>
            <w:i/>
            <w:color w:val="231F20"/>
            <w:w w:val="105"/>
            <w:sz w:val="20"/>
          </w:rPr>
          <w:t>Administrator's</w:t>
        </w:r>
        <w:r>
          <w:rPr>
            <w:rFonts w:ascii="Book Antiqua" w:hAnsi="Book Antiqua"/>
            <w:i/>
            <w:color w:val="231F20"/>
            <w:spacing w:val="-5"/>
            <w:w w:val="105"/>
            <w:sz w:val="20"/>
          </w:rPr>
          <w:t> </w:t>
        </w:r>
        <w:r>
          <w:rPr>
            <w:rFonts w:ascii="Book Antiqua" w:hAnsi="Book Antiqua"/>
            <w:i/>
            <w:color w:val="231F20"/>
            <w:w w:val="105"/>
            <w:sz w:val="20"/>
          </w:rPr>
          <w:t>Guide</w:t>
        </w:r>
      </w:hyperlink>
      <w:r>
        <w:rPr>
          <w:rFonts w:ascii="Book Antiqua" w:hAnsi="Book Antiqua"/>
          <w:i/>
          <w:color w:val="231F20"/>
          <w:w w:val="105"/>
          <w:sz w:val="20"/>
        </w:rPr>
        <w:t> </w:t>
      </w:r>
      <w:hyperlink r:id="rId399">
        <w:r>
          <w:rPr>
            <w:color w:val="231F20"/>
            <w:spacing w:val="-2"/>
            <w:w w:val="105"/>
            <w:sz w:val="20"/>
          </w:rPr>
          <w:t>(http://pic.dhe.ibm.com/infocenter/tivihelp/v61r1/topic/com.ibm.itm.doc_6.3/</w:t>
        </w:r>
      </w:hyperlink>
      <w:r>
        <w:rPr>
          <w:color w:val="231F20"/>
          <w:spacing w:val="80"/>
          <w:w w:val="105"/>
          <w:sz w:val="20"/>
        </w:rPr>
        <w:t> </w:t>
      </w:r>
      <w:r>
        <w:rPr>
          <w:color w:val="231F20"/>
          <w:spacing w:val="-2"/>
          <w:w w:val="105"/>
          <w:sz w:val="20"/>
        </w:rPr>
        <w:t>adminuse/itm_admin.htm)).</w:t>
      </w:r>
    </w:p>
    <w:p>
      <w:pPr>
        <w:pStyle w:val="BodyText"/>
        <w:spacing w:line="213" w:lineRule="auto" w:before="234"/>
        <w:ind w:left="2472" w:right="202"/>
      </w:pPr>
      <w:r>
        <w:rPr>
          <w:color w:val="231F20"/>
          <w:w w:val="105"/>
        </w:rPr>
        <w:t>If</w:t>
      </w:r>
      <w:r>
        <w:rPr>
          <w:color w:val="231F20"/>
          <w:spacing w:val="-1"/>
          <w:w w:val="105"/>
        </w:rPr>
        <w:t> </w:t>
      </w:r>
      <w:r>
        <w:rPr>
          <w:color w:val="231F20"/>
          <w:w w:val="105"/>
        </w:rPr>
        <w:t>the</w:t>
      </w:r>
      <w:r>
        <w:rPr>
          <w:color w:val="231F20"/>
          <w:spacing w:val="-1"/>
          <w:w w:val="105"/>
        </w:rPr>
        <w:t> </w:t>
      </w:r>
      <w:r>
        <w:rPr>
          <w:rFonts w:ascii="Book Antiqua"/>
          <w:b/>
          <w:color w:val="231F20"/>
          <w:w w:val="105"/>
        </w:rPr>
        <w:t>Calendars</w:t>
      </w:r>
      <w:r>
        <w:rPr>
          <w:rFonts w:ascii="Book Antiqua"/>
          <w:b/>
          <w:color w:val="231F20"/>
          <w:spacing w:val="-1"/>
          <w:w w:val="105"/>
        </w:rPr>
        <w:t> </w:t>
      </w:r>
      <w:r>
        <w:rPr>
          <w:color w:val="231F20"/>
          <w:w w:val="105"/>
        </w:rPr>
        <w:t>list</w:t>
      </w:r>
      <w:r>
        <w:rPr>
          <w:color w:val="231F20"/>
          <w:spacing w:val="-1"/>
          <w:w w:val="105"/>
        </w:rPr>
        <w:t> </w:t>
      </w:r>
      <w:r>
        <w:rPr>
          <w:color w:val="231F20"/>
          <w:w w:val="105"/>
        </w:rPr>
        <w:t>shows</w:t>
      </w:r>
      <w:r>
        <w:rPr>
          <w:color w:val="231F20"/>
          <w:spacing w:val="-1"/>
          <w:w w:val="105"/>
        </w:rPr>
        <w:t> </w:t>
      </w:r>
      <w:r>
        <w:rPr>
          <w:color w:val="231F20"/>
          <w:w w:val="105"/>
        </w:rPr>
        <w:t>only</w:t>
      </w:r>
      <w:r>
        <w:rPr>
          <w:color w:val="231F20"/>
          <w:spacing w:val="-1"/>
          <w:w w:val="105"/>
        </w:rPr>
        <w:t> </w:t>
      </w:r>
      <w:r>
        <w:rPr>
          <w:rFonts w:ascii="Book Antiqua"/>
          <w:b/>
          <w:color w:val="231F20"/>
          <w:w w:val="105"/>
        </w:rPr>
        <w:t>&lt;No</w:t>
      </w:r>
      <w:r>
        <w:rPr>
          <w:rFonts w:ascii="Book Antiqua"/>
          <w:b/>
          <w:color w:val="231F20"/>
          <w:spacing w:val="-1"/>
          <w:w w:val="105"/>
        </w:rPr>
        <w:t> </w:t>
      </w:r>
      <w:r>
        <w:rPr>
          <w:rFonts w:ascii="Book Antiqua"/>
          <w:b/>
          <w:color w:val="231F20"/>
          <w:w w:val="105"/>
        </w:rPr>
        <w:t>schedule&gt;</w:t>
      </w:r>
      <w:r>
        <w:rPr>
          <w:rFonts w:ascii="Book Antiqua"/>
          <w:b/>
          <w:color w:val="231F20"/>
          <w:spacing w:val="-1"/>
          <w:w w:val="105"/>
        </w:rPr>
        <w:t> </w:t>
      </w:r>
      <w:r>
        <w:rPr>
          <w:color w:val="231F20"/>
          <w:w w:val="105"/>
        </w:rPr>
        <w:t>or</w:t>
      </w:r>
      <w:r>
        <w:rPr>
          <w:color w:val="231F20"/>
          <w:spacing w:val="-1"/>
          <w:w w:val="105"/>
        </w:rPr>
        <w:t> </w:t>
      </w:r>
      <w:r>
        <w:rPr>
          <w:color w:val="231F20"/>
          <w:w w:val="105"/>
        </w:rPr>
        <w:t>only</w:t>
      </w:r>
      <w:r>
        <w:rPr>
          <w:color w:val="231F20"/>
          <w:spacing w:val="-1"/>
          <w:w w:val="105"/>
        </w:rPr>
        <w:t> </w:t>
      </w:r>
      <w:r>
        <w:rPr>
          <w:color w:val="231F20"/>
          <w:w w:val="105"/>
        </w:rPr>
        <w:t>the</w:t>
      </w:r>
      <w:r>
        <w:rPr>
          <w:color w:val="231F20"/>
          <w:spacing w:val="-1"/>
          <w:w w:val="105"/>
        </w:rPr>
        <w:t> </w:t>
      </w:r>
      <w:r>
        <w:rPr>
          <w:color w:val="231F20"/>
          <w:w w:val="105"/>
        </w:rPr>
        <w:t>calendar</w:t>
      </w:r>
      <w:r>
        <w:rPr>
          <w:color w:val="231F20"/>
          <w:spacing w:val="-1"/>
          <w:w w:val="105"/>
        </w:rPr>
        <w:t> </w:t>
      </w:r>
      <w:r>
        <w:rPr>
          <w:color w:val="231F20"/>
          <w:w w:val="105"/>
        </w:rPr>
        <w:t>entries</w:t>
      </w:r>
      <w:r>
        <w:rPr>
          <w:color w:val="231F20"/>
          <w:spacing w:val="-1"/>
          <w:w w:val="105"/>
        </w:rPr>
        <w:t> </w:t>
      </w:r>
      <w:r>
        <w:rPr>
          <w:color w:val="231F20"/>
          <w:w w:val="105"/>
        </w:rPr>
        <w:t>that </w:t>
      </w:r>
      <w:r>
        <w:rPr>
          <w:color w:val="231F20"/>
        </w:rPr>
        <w:t>you have defined and no predefined calendars, it indicates that the hub </w:t>
      </w:r>
      <w:r>
        <w:rPr>
          <w:color w:val="231F20"/>
        </w:rPr>
        <w:t>monitoring </w:t>
      </w:r>
      <w:r>
        <w:rPr>
          <w:color w:val="231F20"/>
          <w:w w:val="105"/>
        </w:rPr>
        <w:t>server</w:t>
      </w:r>
      <w:r>
        <w:rPr>
          <w:color w:val="231F20"/>
          <w:spacing w:val="-3"/>
          <w:w w:val="105"/>
        </w:rPr>
        <w:t> </w:t>
      </w:r>
      <w:r>
        <w:rPr>
          <w:color w:val="231F20"/>
          <w:w w:val="105"/>
        </w:rPr>
        <w:t>was</w:t>
      </w:r>
      <w:r>
        <w:rPr>
          <w:color w:val="231F20"/>
          <w:spacing w:val="-3"/>
          <w:w w:val="105"/>
        </w:rPr>
        <w:t> </w:t>
      </w:r>
      <w:r>
        <w:rPr>
          <w:color w:val="231F20"/>
          <w:w w:val="105"/>
        </w:rPr>
        <w:t>upgraded</w:t>
      </w:r>
      <w:r>
        <w:rPr>
          <w:color w:val="231F20"/>
          <w:spacing w:val="-3"/>
          <w:w w:val="105"/>
        </w:rPr>
        <w:t> </w:t>
      </w:r>
      <w:r>
        <w:rPr>
          <w:color w:val="231F20"/>
          <w:w w:val="105"/>
        </w:rPr>
        <w:t>from</w:t>
      </w:r>
      <w:r>
        <w:rPr>
          <w:color w:val="231F20"/>
          <w:spacing w:val="-3"/>
          <w:w w:val="105"/>
        </w:rPr>
        <w:t> </w:t>
      </w:r>
      <w:r>
        <w:rPr>
          <w:color w:val="231F20"/>
          <w:w w:val="105"/>
        </w:rPr>
        <w:t>an</w:t>
      </w:r>
      <w:r>
        <w:rPr>
          <w:color w:val="231F20"/>
          <w:spacing w:val="-3"/>
          <w:w w:val="105"/>
        </w:rPr>
        <w:t> </w:t>
      </w:r>
      <w:r>
        <w:rPr>
          <w:color w:val="231F20"/>
          <w:w w:val="105"/>
        </w:rPr>
        <w:t>earlier</w:t>
      </w:r>
      <w:r>
        <w:rPr>
          <w:color w:val="231F20"/>
          <w:spacing w:val="-3"/>
          <w:w w:val="105"/>
        </w:rPr>
        <w:t> </w:t>
      </w:r>
      <w:r>
        <w:rPr>
          <w:color w:val="231F20"/>
          <w:w w:val="105"/>
        </w:rPr>
        <w:t>version</w:t>
      </w:r>
      <w:r>
        <w:rPr>
          <w:color w:val="231F20"/>
          <w:spacing w:val="-3"/>
          <w:w w:val="105"/>
        </w:rPr>
        <w:t> </w:t>
      </w:r>
      <w:r>
        <w:rPr>
          <w:color w:val="231F20"/>
          <w:w w:val="105"/>
        </w:rPr>
        <w:t>but</w:t>
      </w:r>
      <w:r>
        <w:rPr>
          <w:color w:val="231F20"/>
          <w:spacing w:val="-3"/>
          <w:w w:val="105"/>
        </w:rPr>
        <w:t> </w:t>
      </w:r>
      <w:r>
        <w:rPr>
          <w:color w:val="231F20"/>
          <w:w w:val="105"/>
        </w:rPr>
        <w:t>application</w:t>
      </w:r>
      <w:r>
        <w:rPr>
          <w:color w:val="231F20"/>
          <w:spacing w:val="-3"/>
          <w:w w:val="105"/>
        </w:rPr>
        <w:t> </w:t>
      </w:r>
      <w:r>
        <w:rPr>
          <w:color w:val="231F20"/>
          <w:w w:val="105"/>
        </w:rPr>
        <w:t>support</w:t>
      </w:r>
      <w:r>
        <w:rPr>
          <w:color w:val="231F20"/>
          <w:spacing w:val="-3"/>
          <w:w w:val="105"/>
        </w:rPr>
        <w:t> </w:t>
      </w:r>
      <w:r>
        <w:rPr>
          <w:color w:val="231F20"/>
          <w:w w:val="105"/>
        </w:rPr>
        <w:t>was</w:t>
      </w:r>
      <w:r>
        <w:rPr>
          <w:color w:val="231F20"/>
          <w:spacing w:val="-3"/>
          <w:w w:val="105"/>
        </w:rPr>
        <w:t> </w:t>
      </w:r>
      <w:r>
        <w:rPr>
          <w:color w:val="231F20"/>
          <w:w w:val="105"/>
        </w:rPr>
        <w:t>not </w:t>
      </w:r>
      <w:r>
        <w:rPr>
          <w:color w:val="231F20"/>
        </w:rPr>
        <w:t>added. Application support is added by running the CLI </w:t>
      </w:r>
      <w:r>
        <w:rPr>
          <w:rFonts w:ascii="Arial"/>
          <w:b/>
          <w:color w:val="231F20"/>
        </w:rPr>
        <w:t>itmcmd support </w:t>
      </w:r>
      <w:r>
        <w:rPr>
          <w:color w:val="231F20"/>
          <w:w w:val="105"/>
        </w:rPr>
        <w:t>command.</w:t>
      </w:r>
      <w:r>
        <w:rPr>
          <w:color w:val="231F20"/>
          <w:spacing w:val="-2"/>
          <w:w w:val="105"/>
        </w:rPr>
        <w:t> </w:t>
      </w:r>
      <w:r>
        <w:rPr>
          <w:color w:val="231F20"/>
          <w:w w:val="105"/>
        </w:rPr>
        <w:t>See</w:t>
      </w:r>
      <w:r>
        <w:rPr>
          <w:color w:val="231F20"/>
          <w:spacing w:val="-2"/>
          <w:w w:val="105"/>
        </w:rPr>
        <w:t> </w:t>
      </w:r>
      <w:r>
        <w:rPr>
          <w:color w:val="231F20"/>
          <w:w w:val="105"/>
        </w:rPr>
        <w:t>the</w:t>
      </w:r>
      <w:r>
        <w:rPr>
          <w:color w:val="231F20"/>
          <w:spacing w:val="-2"/>
          <w:w w:val="105"/>
        </w:rPr>
        <w:t> </w:t>
      </w:r>
      <w:hyperlink r:id="rId369">
        <w:r>
          <w:rPr>
            <w:rFonts w:ascii="Book Antiqua"/>
            <w:i/>
            <w:color w:val="231F20"/>
            <w:w w:val="105"/>
          </w:rPr>
          <w:t>IBM</w:t>
        </w:r>
        <w:r>
          <w:rPr>
            <w:rFonts w:ascii="Book Antiqua"/>
            <w:i/>
            <w:color w:val="231F20"/>
            <w:spacing w:val="-2"/>
            <w:w w:val="105"/>
          </w:rPr>
          <w:t> </w:t>
        </w:r>
        <w:r>
          <w:rPr>
            <w:rFonts w:ascii="Book Antiqua"/>
            <w:i/>
            <w:color w:val="231F20"/>
            <w:w w:val="105"/>
          </w:rPr>
          <w:t>Tivoli</w:t>
        </w:r>
        <w:r>
          <w:rPr>
            <w:rFonts w:ascii="Book Antiqua"/>
            <w:i/>
            <w:color w:val="231F20"/>
            <w:spacing w:val="-2"/>
            <w:w w:val="105"/>
          </w:rPr>
          <w:t> </w:t>
        </w:r>
        <w:r>
          <w:rPr>
            <w:rFonts w:ascii="Book Antiqua"/>
            <w:i/>
            <w:color w:val="231F20"/>
            <w:w w:val="105"/>
          </w:rPr>
          <w:t>Monitoring</w:t>
        </w:r>
        <w:r>
          <w:rPr>
            <w:rFonts w:ascii="Book Antiqua"/>
            <w:i/>
            <w:color w:val="231F20"/>
            <w:spacing w:val="-2"/>
            <w:w w:val="105"/>
          </w:rPr>
          <w:t> </w:t>
        </w:r>
        <w:r>
          <w:rPr>
            <w:rFonts w:ascii="Book Antiqua"/>
            <w:i/>
            <w:color w:val="231F20"/>
            <w:w w:val="105"/>
          </w:rPr>
          <w:t>Installation</w:t>
        </w:r>
        <w:r>
          <w:rPr>
            <w:rFonts w:ascii="Book Antiqua"/>
            <w:i/>
            <w:color w:val="231F20"/>
            <w:spacing w:val="-2"/>
            <w:w w:val="105"/>
          </w:rPr>
          <w:t> </w:t>
        </w:r>
        <w:r>
          <w:rPr>
            <w:rFonts w:ascii="Book Antiqua"/>
            <w:i/>
            <w:color w:val="231F20"/>
            <w:w w:val="105"/>
          </w:rPr>
          <w:t>and</w:t>
        </w:r>
        <w:r>
          <w:rPr>
            <w:rFonts w:ascii="Book Antiqua"/>
            <w:i/>
            <w:color w:val="231F20"/>
            <w:spacing w:val="-2"/>
            <w:w w:val="105"/>
          </w:rPr>
          <w:t> </w:t>
        </w:r>
        <w:r>
          <w:rPr>
            <w:rFonts w:ascii="Book Antiqua"/>
            <w:i/>
            <w:color w:val="231F20"/>
            <w:w w:val="105"/>
          </w:rPr>
          <w:t>Setup</w:t>
        </w:r>
        <w:r>
          <w:rPr>
            <w:rFonts w:ascii="Book Antiqua"/>
            <w:i/>
            <w:color w:val="231F20"/>
            <w:spacing w:val="-2"/>
            <w:w w:val="105"/>
          </w:rPr>
          <w:t> </w:t>
        </w:r>
        <w:r>
          <w:rPr>
            <w:rFonts w:ascii="Book Antiqua"/>
            <w:i/>
            <w:color w:val="231F20"/>
            <w:w w:val="105"/>
          </w:rPr>
          <w:t>Guide</w:t>
        </w:r>
      </w:hyperlink>
      <w:r>
        <w:rPr>
          <w:rFonts w:ascii="Book Antiqua"/>
          <w:i/>
          <w:color w:val="231F20"/>
          <w:w w:val="105"/>
        </w:rPr>
        <w:t> </w:t>
      </w:r>
      <w:hyperlink r:id="rId399">
        <w:r>
          <w:rPr>
            <w:color w:val="231F20"/>
            <w:spacing w:val="-2"/>
            <w:w w:val="105"/>
          </w:rPr>
          <w:t>(http://pic.dhe.ibm.com/infocenter/tivihelp/v61r1/topic/com.ibm.itm.doc_6.3/</w:t>
        </w:r>
      </w:hyperlink>
      <w:r>
        <w:rPr>
          <w:color w:val="231F20"/>
          <w:spacing w:val="80"/>
          <w:w w:val="105"/>
        </w:rPr>
        <w:t> </w:t>
      </w:r>
      <w:r>
        <w:rPr>
          <w:color w:val="231F20"/>
          <w:w w:val="105"/>
        </w:rPr>
        <w:t>install/itm_install.htm) for instructions.</w:t>
      </w:r>
    </w:p>
    <w:p>
      <w:pPr>
        <w:pStyle w:val="Heading3"/>
        <w:spacing w:before="214"/>
        <w:ind w:left="1574"/>
      </w:pPr>
      <w:bookmarkStart w:name="Adaptive monitoring considerations" w:id="464"/>
      <w:bookmarkEnd w:id="464"/>
      <w:r>
        <w:rPr>
          <w:b w:val="0"/>
        </w:rPr>
      </w:r>
      <w:r>
        <w:rPr>
          <w:color w:val="231F20"/>
        </w:rPr>
        <w:t>Adaptive</w:t>
      </w:r>
      <w:r>
        <w:rPr>
          <w:color w:val="231F20"/>
          <w:spacing w:val="1"/>
        </w:rPr>
        <w:t> </w:t>
      </w:r>
      <w:r>
        <w:rPr>
          <w:color w:val="231F20"/>
        </w:rPr>
        <w:t>monitoring</w:t>
      </w:r>
      <w:r>
        <w:rPr>
          <w:color w:val="231F20"/>
          <w:spacing w:val="2"/>
        </w:rPr>
        <w:t> </w:t>
      </w:r>
      <w:r>
        <w:rPr>
          <w:color w:val="231F20"/>
          <w:spacing w:val="-2"/>
        </w:rPr>
        <w:t>considerations</w:t>
      </w:r>
    </w:p>
    <w:p>
      <w:pPr>
        <w:pStyle w:val="BodyText"/>
        <w:spacing w:line="213" w:lineRule="auto" w:before="58"/>
        <w:ind w:left="2472"/>
      </w:pPr>
      <w:r>
        <w:rPr>
          <w:color w:val="231F20"/>
        </w:rPr>
        <w:t>Review these considerations when you are planning to implement </w:t>
      </w:r>
      <w:r>
        <w:rPr>
          <w:color w:val="231F20"/>
        </w:rPr>
        <w:t>adaptive monitoring, such as which situations are eligible for expression overrides.</w:t>
      </w:r>
    </w:p>
    <w:p>
      <w:pPr>
        <w:pStyle w:val="Heading6"/>
        <w:spacing w:line="240" w:lineRule="auto"/>
        <w:ind w:right="258"/>
      </w:pPr>
      <w:r>
        <w:rPr>
          <w:color w:val="231F20"/>
        </w:rPr>
        <w:t>To create a situation override, you must be editing a situation that does not </w:t>
      </w:r>
      <w:r>
        <w:rPr>
          <w:color w:val="231F20"/>
        </w:rPr>
        <w:t>have any of these characteristics</w:t>
      </w:r>
    </w:p>
    <w:p>
      <w:pPr>
        <w:pStyle w:val="BodyText"/>
        <w:spacing w:before="35"/>
        <w:ind w:left="3190"/>
      </w:pPr>
      <w:r>
        <w:rPr>
          <w:rFonts w:ascii="Futura MdCn BT"/>
          <w:color w:val="231F20"/>
        </w:rPr>
        <w:t>v</w:t>
      </w:r>
      <w:r>
        <w:rPr>
          <w:rFonts w:ascii="Futura MdCn BT"/>
          <w:color w:val="231F20"/>
          <w:spacing w:val="31"/>
        </w:rPr>
        <w:t>  </w:t>
      </w:r>
      <w:r>
        <w:rPr>
          <w:color w:val="231F20"/>
        </w:rPr>
        <w:t>Situations</w:t>
      </w:r>
      <w:r>
        <w:rPr>
          <w:color w:val="231F20"/>
          <w:spacing w:val="13"/>
        </w:rPr>
        <w:t> </w:t>
      </w:r>
      <w:r>
        <w:rPr>
          <w:color w:val="231F20"/>
        </w:rPr>
        <w:t>that</w:t>
      </w:r>
      <w:r>
        <w:rPr>
          <w:color w:val="231F20"/>
          <w:spacing w:val="12"/>
        </w:rPr>
        <w:t> </w:t>
      </w:r>
      <w:r>
        <w:rPr>
          <w:color w:val="231F20"/>
        </w:rPr>
        <w:t>embed</w:t>
      </w:r>
      <w:r>
        <w:rPr>
          <w:color w:val="231F20"/>
          <w:spacing w:val="13"/>
        </w:rPr>
        <w:t> </w:t>
      </w:r>
      <w:r>
        <w:rPr>
          <w:color w:val="231F20"/>
        </w:rPr>
        <w:t>other</w:t>
      </w:r>
      <w:r>
        <w:rPr>
          <w:color w:val="231F20"/>
          <w:spacing w:val="12"/>
        </w:rPr>
        <w:t> </w:t>
      </w:r>
      <w:r>
        <w:rPr>
          <w:color w:val="231F20"/>
          <w:spacing w:val="-2"/>
        </w:rPr>
        <w:t>situations.</w:t>
      </w:r>
    </w:p>
    <w:p>
      <w:pPr>
        <w:pStyle w:val="BodyText"/>
        <w:spacing w:before="29"/>
        <w:ind w:left="3190"/>
      </w:pPr>
      <w:r>
        <w:rPr>
          <w:rFonts w:ascii="Futura MdCn BT"/>
          <w:color w:val="231F20"/>
        </w:rPr>
        <w:t>v</w:t>
      </w:r>
      <w:r>
        <w:rPr>
          <w:rFonts w:ascii="Futura MdCn BT"/>
          <w:color w:val="231F20"/>
          <w:spacing w:val="79"/>
          <w:w w:val="150"/>
        </w:rPr>
        <w:t> </w:t>
      </w:r>
      <w:r>
        <w:rPr>
          <w:color w:val="231F20"/>
        </w:rPr>
        <w:t>Correlated</w:t>
      </w:r>
      <w:r>
        <w:rPr>
          <w:color w:val="231F20"/>
          <w:spacing w:val="11"/>
        </w:rPr>
        <w:t> </w:t>
      </w:r>
      <w:r>
        <w:rPr>
          <w:color w:val="231F20"/>
        </w:rPr>
        <w:t>situations.</w:t>
      </w:r>
      <w:r>
        <w:rPr>
          <w:color w:val="231F20"/>
          <w:spacing w:val="10"/>
        </w:rPr>
        <w:t> </w:t>
      </w:r>
      <w:r>
        <w:rPr>
          <w:color w:val="231F20"/>
        </w:rPr>
        <w:t>These</w:t>
      </w:r>
      <w:r>
        <w:rPr>
          <w:color w:val="231F20"/>
          <w:spacing w:val="11"/>
        </w:rPr>
        <w:t> </w:t>
      </w:r>
      <w:r>
        <w:rPr>
          <w:color w:val="231F20"/>
        </w:rPr>
        <w:t>are</w:t>
      </w:r>
      <w:r>
        <w:rPr>
          <w:color w:val="231F20"/>
          <w:spacing w:val="11"/>
        </w:rPr>
        <w:t> </w:t>
      </w:r>
      <w:r>
        <w:rPr>
          <w:color w:val="231F20"/>
        </w:rPr>
        <w:t>run</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hub</w:t>
      </w:r>
      <w:r>
        <w:rPr>
          <w:color w:val="231F20"/>
          <w:spacing w:val="11"/>
        </w:rPr>
        <w:t> </w:t>
      </w:r>
      <w:r>
        <w:rPr>
          <w:color w:val="231F20"/>
        </w:rPr>
        <w:t>monitoring</w:t>
      </w:r>
      <w:r>
        <w:rPr>
          <w:color w:val="231F20"/>
          <w:spacing w:val="11"/>
        </w:rPr>
        <w:t> </w:t>
      </w:r>
      <w:r>
        <w:rPr>
          <w:color w:val="231F20"/>
          <w:spacing w:val="-2"/>
        </w:rPr>
        <w:t>server.</w:t>
      </w:r>
    </w:p>
    <w:p>
      <w:pPr>
        <w:pStyle w:val="BodyText"/>
        <w:spacing w:before="30"/>
        <w:ind w:left="3190"/>
      </w:pPr>
      <w:r>
        <w:rPr>
          <w:rFonts w:ascii="Futura MdCn BT"/>
          <w:color w:val="231F20"/>
        </w:rPr>
        <w:t>v</w:t>
      </w:r>
      <w:r>
        <w:rPr>
          <w:rFonts w:ascii="Futura MdCn BT"/>
          <w:color w:val="231F20"/>
          <w:spacing w:val="30"/>
        </w:rPr>
        <w:t>  </w:t>
      </w:r>
      <w:r>
        <w:rPr>
          <w:color w:val="231F20"/>
        </w:rPr>
        <w:t>Situations</w:t>
      </w:r>
      <w:r>
        <w:rPr>
          <w:color w:val="231F20"/>
          <w:spacing w:val="12"/>
        </w:rPr>
        <w:t> </w:t>
      </w:r>
      <w:r>
        <w:rPr>
          <w:color w:val="231F20"/>
        </w:rPr>
        <w:t>that</w:t>
      </w:r>
      <w:r>
        <w:rPr>
          <w:color w:val="231F20"/>
          <w:spacing w:val="11"/>
        </w:rPr>
        <w:t> </w:t>
      </w:r>
      <w:r>
        <w:rPr>
          <w:color w:val="231F20"/>
        </w:rPr>
        <w:t>are</w:t>
      </w:r>
      <w:r>
        <w:rPr>
          <w:color w:val="231F20"/>
          <w:spacing w:val="12"/>
        </w:rPr>
        <w:t> </w:t>
      </w:r>
      <w:r>
        <w:rPr>
          <w:color w:val="231F20"/>
        </w:rPr>
        <w:t>distributed</w:t>
      </w:r>
      <w:r>
        <w:rPr>
          <w:color w:val="231F20"/>
          <w:spacing w:val="11"/>
        </w:rPr>
        <w:t> </w:t>
      </w:r>
      <w:r>
        <w:rPr>
          <w:color w:val="231F20"/>
        </w:rPr>
        <w:t>only</w:t>
      </w:r>
      <w:r>
        <w:rPr>
          <w:color w:val="231F20"/>
          <w:spacing w:val="11"/>
        </w:rPr>
        <w:t> </w:t>
      </w:r>
      <w:r>
        <w:rPr>
          <w:color w:val="231F20"/>
        </w:rPr>
        <w:t>to</w:t>
      </w:r>
      <w:r>
        <w:rPr>
          <w:color w:val="231F20"/>
          <w:spacing w:val="12"/>
        </w:rPr>
        <w:t> </w:t>
      </w:r>
      <w:r>
        <w:rPr>
          <w:color w:val="231F20"/>
        </w:rPr>
        <w:t>the</w:t>
      </w:r>
      <w:r>
        <w:rPr>
          <w:color w:val="231F20"/>
          <w:spacing w:val="11"/>
        </w:rPr>
        <w:t> </w:t>
      </w:r>
      <w:r>
        <w:rPr>
          <w:color w:val="231F20"/>
        </w:rPr>
        <w:t>monitoring</w:t>
      </w:r>
      <w:r>
        <w:rPr>
          <w:color w:val="231F20"/>
          <w:spacing w:val="12"/>
        </w:rPr>
        <w:t> </w:t>
      </w:r>
      <w:r>
        <w:rPr>
          <w:color w:val="231F20"/>
          <w:spacing w:val="-2"/>
        </w:rPr>
        <w:t>server.</w:t>
      </w:r>
    </w:p>
    <w:p>
      <w:pPr>
        <w:pStyle w:val="BodyText"/>
        <w:spacing w:before="29"/>
        <w:ind w:left="3190"/>
      </w:pPr>
      <w:r>
        <w:rPr>
          <w:rFonts w:ascii="Futura MdCn BT"/>
          <w:color w:val="231F20"/>
        </w:rPr>
        <w:t>v</w:t>
      </w:r>
      <w:r>
        <w:rPr>
          <w:rFonts w:ascii="Futura MdCn BT"/>
          <w:color w:val="231F20"/>
          <w:spacing w:val="78"/>
          <w:w w:val="150"/>
        </w:rPr>
        <w:t> </w:t>
      </w:r>
      <w:r>
        <w:rPr>
          <w:color w:val="231F20"/>
        </w:rPr>
        <w:t>Situations</w:t>
      </w:r>
      <w:r>
        <w:rPr>
          <w:color w:val="231F20"/>
          <w:spacing w:val="11"/>
        </w:rPr>
        <w:t> </w:t>
      </w:r>
      <w:r>
        <w:rPr>
          <w:color w:val="231F20"/>
        </w:rPr>
        <w:t>containing</w:t>
      </w:r>
      <w:r>
        <w:rPr>
          <w:color w:val="231F20"/>
          <w:spacing w:val="11"/>
        </w:rPr>
        <w:t> </w:t>
      </w:r>
      <w:r>
        <w:rPr>
          <w:color w:val="231F20"/>
        </w:rPr>
        <w:t>multiple</w:t>
      </w:r>
      <w:r>
        <w:rPr>
          <w:color w:val="231F20"/>
          <w:spacing w:val="10"/>
        </w:rPr>
        <w:t> </w:t>
      </w:r>
      <w:r>
        <w:rPr>
          <w:color w:val="231F20"/>
        </w:rPr>
        <w:t>attribute</w:t>
      </w:r>
      <w:r>
        <w:rPr>
          <w:color w:val="231F20"/>
          <w:spacing w:val="11"/>
        </w:rPr>
        <w:t> </w:t>
      </w:r>
      <w:r>
        <w:rPr>
          <w:color w:val="231F20"/>
          <w:spacing w:val="-2"/>
        </w:rPr>
        <w:t>groups.</w:t>
      </w:r>
    </w:p>
    <w:p>
      <w:pPr>
        <w:pStyle w:val="BodyText"/>
        <w:spacing w:line="213" w:lineRule="auto" w:before="53"/>
        <w:ind w:left="3406" w:right="493" w:hanging="216"/>
      </w:pPr>
      <w:r>
        <w:rPr>
          <w:rFonts w:ascii="Futura MdCn BT"/>
          <w:color w:val="231F20"/>
        </w:rPr>
        <w:t>v</w:t>
      </w:r>
      <w:r>
        <w:rPr>
          <w:rFonts w:ascii="Futura MdCn BT"/>
          <w:color w:val="231F20"/>
          <w:spacing w:val="80"/>
        </w:rPr>
        <w:t> </w:t>
      </w:r>
      <w:r>
        <w:rPr>
          <w:color w:val="231F20"/>
        </w:rPr>
        <w:t>Situations containing expressions that involve aggregate column functions:</w:t>
      </w:r>
      <w:r>
        <w:rPr>
          <w:color w:val="231F20"/>
          <w:spacing w:val="3"/>
        </w:rPr>
        <w:t> </w:t>
      </w:r>
      <w:r>
        <w:rPr>
          <w:color w:val="231F20"/>
        </w:rPr>
        <w:t>MIN,</w:t>
      </w:r>
      <w:r>
        <w:rPr>
          <w:color w:val="231F20"/>
          <w:spacing w:val="4"/>
        </w:rPr>
        <w:t> </w:t>
      </w:r>
      <w:r>
        <w:rPr>
          <w:color w:val="231F20"/>
        </w:rPr>
        <w:t>MAX,</w:t>
      </w:r>
      <w:r>
        <w:rPr>
          <w:color w:val="231F20"/>
          <w:spacing w:val="-2"/>
        </w:rPr>
        <w:t> </w:t>
      </w:r>
      <w:r>
        <w:rPr>
          <w:color w:val="231F20"/>
        </w:rPr>
        <w:t>AVG,</w:t>
      </w:r>
      <w:r>
        <w:rPr>
          <w:color w:val="231F20"/>
          <w:spacing w:val="4"/>
        </w:rPr>
        <w:t> </w:t>
      </w:r>
      <w:r>
        <w:rPr>
          <w:color w:val="231F20"/>
        </w:rPr>
        <w:t>SUM,</w:t>
      </w:r>
      <w:r>
        <w:rPr>
          <w:color w:val="231F20"/>
          <w:spacing w:val="4"/>
        </w:rPr>
        <w:t> </w:t>
      </w:r>
      <w:r>
        <w:rPr>
          <w:color w:val="231F20"/>
        </w:rPr>
        <w:t>COUNT,</w:t>
      </w:r>
      <w:r>
        <w:rPr>
          <w:color w:val="231F20"/>
          <w:spacing w:val="3"/>
        </w:rPr>
        <w:t> </w:t>
      </w:r>
      <w:r>
        <w:rPr>
          <w:color w:val="231F20"/>
        </w:rPr>
        <w:t>CHANGE,</w:t>
      </w:r>
      <w:r>
        <w:rPr>
          <w:color w:val="231F20"/>
          <w:spacing w:val="4"/>
        </w:rPr>
        <w:t> </w:t>
      </w:r>
      <w:r>
        <w:rPr>
          <w:color w:val="231F20"/>
          <w:spacing w:val="-2"/>
        </w:rPr>
        <w:t>PCTCHANG</w:t>
      </w:r>
      <w:r>
        <w:rPr>
          <w:color w:val="231F20"/>
          <w:spacing w:val="-2"/>
        </w:rPr>
        <w:t>.</w:t>
      </w:r>
    </w:p>
    <w:p>
      <w:pPr>
        <w:pStyle w:val="BodyText"/>
        <w:spacing w:line="213" w:lineRule="auto" w:before="58"/>
        <w:ind w:left="3406" w:right="545" w:hanging="216"/>
      </w:pPr>
      <w:r>
        <w:rPr>
          <w:rFonts w:ascii="Futura MdCn BT"/>
          <w:color w:val="231F20"/>
        </w:rPr>
        <w:t>v</w:t>
      </w:r>
      <w:r>
        <w:rPr>
          <w:rFonts w:ascii="Futura MdCn BT"/>
          <w:color w:val="231F20"/>
          <w:spacing w:val="80"/>
        </w:rPr>
        <w:t> </w:t>
      </w:r>
      <w:r>
        <w:rPr>
          <w:color w:val="231F20"/>
        </w:rPr>
        <w:t>Situations containing expressions involving these row functions: </w:t>
      </w:r>
      <w:r>
        <w:rPr>
          <w:color w:val="231F20"/>
        </w:rPr>
        <w:t>STR,</w:t>
      </w:r>
      <w:r>
        <w:rPr>
          <w:color w:val="231F20"/>
        </w:rPr>
        <w:t> SCAN, MISSING, TIME, DATE.</w:t>
      </w:r>
    </w:p>
    <w:p>
      <w:pPr>
        <w:pStyle w:val="BodyText"/>
        <w:spacing w:line="213" w:lineRule="auto" w:before="59"/>
        <w:ind w:left="3406" w:right="274" w:hanging="216"/>
      </w:pPr>
      <w:r>
        <w:rPr>
          <w:rFonts w:ascii="Futura MdCn BT"/>
          <w:color w:val="231F20"/>
        </w:rPr>
        <w:t>v</w:t>
      </w:r>
      <w:r>
        <w:rPr>
          <w:rFonts w:ascii="Futura MdCn BT"/>
          <w:color w:val="231F20"/>
          <w:spacing w:val="80"/>
        </w:rPr>
        <w:t> </w:t>
      </w:r>
      <w:r>
        <w:rPr>
          <w:color w:val="231F20"/>
        </w:rPr>
        <w:t>Situations containing multiple expressions using the same attribute </w:t>
      </w:r>
      <w:r>
        <w:rPr>
          <w:rFonts w:ascii="Book Antiqua"/>
          <w:i/>
          <w:color w:val="231F20"/>
        </w:rPr>
        <w:t>and</w:t>
      </w:r>
      <w:r>
        <w:rPr>
          <w:rFonts w:ascii="Book Antiqua"/>
          <w:i/>
          <w:color w:val="231F20"/>
        </w:rPr>
        <w:t> </w:t>
      </w:r>
      <w:r>
        <w:rPr>
          <w:color w:val="231F20"/>
        </w:rPr>
        <w:t>the</w:t>
      </w:r>
      <w:r>
        <w:rPr>
          <w:color w:val="231F20"/>
          <w:spacing w:val="40"/>
        </w:rPr>
        <w:t> </w:t>
      </w:r>
      <w:r>
        <w:rPr>
          <w:color w:val="231F20"/>
        </w:rPr>
        <w:t>same</w:t>
      </w:r>
      <w:r>
        <w:rPr>
          <w:color w:val="231F20"/>
          <w:spacing w:val="40"/>
        </w:rPr>
        <w:t> </w:t>
      </w:r>
      <w:r>
        <w:rPr>
          <w:color w:val="231F20"/>
        </w:rPr>
        <w:t>relational</w:t>
      </w:r>
      <w:r>
        <w:rPr>
          <w:color w:val="231F20"/>
          <w:spacing w:val="40"/>
        </w:rPr>
        <w:t> </w:t>
      </w:r>
      <w:r>
        <w:rPr>
          <w:color w:val="231F20"/>
        </w:rPr>
        <w:t>operator</w:t>
      </w:r>
      <w:r>
        <w:rPr>
          <w:color w:val="231F20"/>
          <w:spacing w:val="40"/>
        </w:rPr>
        <w:t> </w:t>
      </w:r>
      <w:r>
        <w:rPr>
          <w:color w:val="231F20"/>
        </w:rPr>
        <w:t>(for</w:t>
      </w:r>
      <w:r>
        <w:rPr>
          <w:color w:val="231F20"/>
          <w:spacing w:val="40"/>
        </w:rPr>
        <w:t> </w:t>
      </w:r>
      <w:r>
        <w:rPr>
          <w:color w:val="231F20"/>
        </w:rPr>
        <w:t>example,</w:t>
      </w:r>
      <w:r>
        <w:rPr>
          <w:color w:val="231F20"/>
          <w:spacing w:val="40"/>
        </w:rPr>
        <w:t> </w:t>
      </w:r>
      <w:r>
        <w:rPr>
          <w:rFonts w:ascii="Arial"/>
          <w:color w:val="231F20"/>
        </w:rPr>
        <w:t>p_state</w:t>
      </w:r>
      <w:r>
        <w:rPr>
          <w:rFonts w:ascii="Arial"/>
          <w:color w:val="231F20"/>
          <w:spacing w:val="40"/>
        </w:rPr>
        <w:t> </w:t>
      </w:r>
      <w:r>
        <w:rPr>
          <w:rFonts w:ascii="Arial"/>
          <w:color w:val="231F20"/>
        </w:rPr>
        <w:t>!=</w:t>
      </w:r>
      <w:r>
        <w:rPr>
          <w:rFonts w:ascii="Arial"/>
          <w:color w:val="231F20"/>
          <w:spacing w:val="40"/>
        </w:rPr>
        <w:t> </w:t>
      </w:r>
      <w:r>
        <w:rPr>
          <w:rFonts w:ascii="Arial"/>
          <w:color w:val="231F20"/>
        </w:rPr>
        <w:t>"running"</w:t>
      </w:r>
      <w:r>
        <w:rPr>
          <w:rFonts w:ascii="Arial"/>
          <w:color w:val="231F20"/>
          <w:spacing w:val="40"/>
        </w:rPr>
        <w:t> </w:t>
      </w:r>
      <w:r>
        <w:rPr>
          <w:rFonts w:ascii="Arial"/>
          <w:color w:val="231F20"/>
        </w:rPr>
        <w:t>and p_state</w:t>
      </w:r>
      <w:r>
        <w:rPr>
          <w:rFonts w:ascii="Arial"/>
          <w:color w:val="231F20"/>
          <w:spacing w:val="80"/>
        </w:rPr>
        <w:t> </w:t>
      </w:r>
      <w:r>
        <w:rPr>
          <w:rFonts w:ascii="Arial"/>
          <w:color w:val="231F20"/>
        </w:rPr>
        <w:t>!=</w:t>
      </w:r>
      <w:r>
        <w:rPr>
          <w:rFonts w:ascii="Arial"/>
          <w:color w:val="231F20"/>
          <w:spacing w:val="80"/>
        </w:rPr>
        <w:t> </w:t>
      </w:r>
      <w:r>
        <w:rPr>
          <w:rFonts w:ascii="Arial"/>
          <w:color w:val="231F20"/>
        </w:rPr>
        <w:t>"waiting"</w:t>
      </w:r>
      <w:r>
        <w:rPr>
          <w:color w:val="231F20"/>
        </w:rPr>
        <w:t>).</w:t>
      </w:r>
    </w:p>
    <w:p>
      <w:pPr>
        <w:pStyle w:val="BodyText"/>
        <w:spacing w:line="213" w:lineRule="auto" w:before="118"/>
        <w:ind w:left="3190" w:right="258"/>
      </w:pPr>
      <w:r>
        <w:rPr>
          <w:rFonts w:ascii="Book Antiqua"/>
          <w:b/>
          <w:color w:val="231F20"/>
        </w:rPr>
        <w:t>Override Formula </w:t>
      </w:r>
      <w:r>
        <w:rPr>
          <w:color w:val="231F20"/>
        </w:rPr>
        <w:t>is not available in the Situation editor's </w:t>
      </w:r>
      <w:r>
        <w:rPr>
          <w:rFonts w:ascii="Book Antiqua"/>
          <w:b/>
          <w:color w:val="231F20"/>
        </w:rPr>
        <w:t>Distribution </w:t>
      </w:r>
      <w:r>
        <w:rPr>
          <w:color w:val="231F20"/>
        </w:rPr>
        <w:t>tab or in the Manage Situations at Managed System window if the situation is not eligible for expression overrides.</w:t>
      </w:r>
    </w:p>
    <w:p>
      <w:pPr>
        <w:pStyle w:val="Heading6"/>
        <w:spacing w:line="240" w:lineRule="auto" w:before="116"/>
      </w:pPr>
      <w:r>
        <w:rPr>
          <w:color w:val="231F20"/>
        </w:rPr>
        <w:t>The</w:t>
      </w:r>
      <w:r>
        <w:rPr>
          <w:color w:val="231F20"/>
          <w:spacing w:val="9"/>
        </w:rPr>
        <w:t> </w:t>
      </w:r>
      <w:r>
        <w:rPr>
          <w:color w:val="231F20"/>
        </w:rPr>
        <w:t>following</w:t>
      </w:r>
      <w:r>
        <w:rPr>
          <w:color w:val="231F20"/>
          <w:spacing w:val="10"/>
        </w:rPr>
        <w:t> </w:t>
      </w:r>
      <w:r>
        <w:rPr>
          <w:color w:val="231F20"/>
        </w:rPr>
        <w:t>restrictions</w:t>
      </w:r>
      <w:r>
        <w:rPr>
          <w:color w:val="231F20"/>
          <w:spacing w:val="10"/>
        </w:rPr>
        <w:t> </w:t>
      </w:r>
      <w:r>
        <w:rPr>
          <w:color w:val="231F20"/>
        </w:rPr>
        <w:t>apply</w:t>
      </w:r>
      <w:r>
        <w:rPr>
          <w:color w:val="231F20"/>
          <w:spacing w:val="10"/>
        </w:rPr>
        <w:t> </w:t>
      </w:r>
      <w:r>
        <w:rPr>
          <w:color w:val="231F20"/>
        </w:rPr>
        <w:t>to</w:t>
      </w:r>
      <w:r>
        <w:rPr>
          <w:color w:val="231F20"/>
          <w:spacing w:val="9"/>
        </w:rPr>
        <w:t> </w:t>
      </w:r>
      <w:r>
        <w:rPr>
          <w:color w:val="231F20"/>
        </w:rPr>
        <w:t>override</w:t>
      </w:r>
      <w:r>
        <w:rPr>
          <w:color w:val="231F20"/>
          <w:spacing w:val="10"/>
        </w:rPr>
        <w:t> </w:t>
      </w:r>
      <w:r>
        <w:rPr>
          <w:color w:val="231F20"/>
          <w:spacing w:val="-2"/>
        </w:rPr>
        <w:t>expressions</w:t>
      </w:r>
    </w:p>
    <w:p>
      <w:pPr>
        <w:pStyle w:val="BodyText"/>
        <w:spacing w:line="213" w:lineRule="auto" w:before="59"/>
        <w:ind w:left="3406" w:right="545" w:hanging="216"/>
      </w:pPr>
      <w:r>
        <w:rPr>
          <w:rFonts w:ascii="Futura MdCn BT"/>
          <w:color w:val="231F20"/>
        </w:rPr>
        <w:t>v</w:t>
      </w:r>
      <w:r>
        <w:rPr>
          <w:rFonts w:ascii="Futura MdCn BT"/>
          <w:color w:val="231F20"/>
          <w:spacing w:val="80"/>
        </w:rPr>
        <w:t> </w:t>
      </w:r>
      <w:r>
        <w:rPr>
          <w:color w:val="231F20"/>
        </w:rPr>
        <w:t>An override expression cannot add attribute comparisons that do </w:t>
      </w:r>
      <w:r>
        <w:rPr>
          <w:color w:val="231F20"/>
        </w:rPr>
        <w:t>not</w:t>
      </w:r>
      <w:r>
        <w:rPr>
          <w:color w:val="231F20"/>
        </w:rPr>
        <w:t> appear in the reference formula or change the comparison operators </w:t>
      </w:r>
      <w:r>
        <w:rPr>
          <w:color w:val="231F20"/>
          <w:spacing w:val="-2"/>
        </w:rPr>
        <w:t>used.</w:t>
      </w:r>
    </w:p>
    <w:p>
      <w:pPr>
        <w:pStyle w:val="BodyText"/>
        <w:spacing w:line="213" w:lineRule="auto" w:before="58"/>
        <w:ind w:left="3406" w:hanging="216"/>
      </w:pPr>
      <w:r>
        <w:rPr>
          <w:rFonts w:ascii="Futura MdCn BT"/>
          <w:color w:val="231F20"/>
        </w:rPr>
        <w:t>v</w:t>
      </w:r>
      <w:r>
        <w:rPr>
          <w:rFonts w:ascii="Futura MdCn BT"/>
          <w:color w:val="231F20"/>
          <w:spacing w:val="80"/>
        </w:rPr>
        <w:t> </w:t>
      </w:r>
      <w:r>
        <w:rPr>
          <w:color w:val="231F20"/>
        </w:rPr>
        <w:t>If the override contains multiple expressions, each must have a </w:t>
      </w:r>
      <w:r>
        <w:rPr>
          <w:color w:val="231F20"/>
        </w:rPr>
        <w:t>unique</w:t>
      </w:r>
      <w:r>
        <w:rPr>
          <w:color w:val="231F20"/>
        </w:rPr>
        <w:t> override condition.</w:t>
      </w:r>
    </w:p>
    <w:p>
      <w:pPr>
        <w:pStyle w:val="BodyText"/>
        <w:spacing w:line="213" w:lineRule="auto" w:before="59"/>
        <w:ind w:left="3406" w:right="385" w:hanging="216"/>
      </w:pPr>
      <w:r>
        <w:rPr>
          <w:rFonts w:ascii="Futura MdCn BT"/>
          <w:color w:val="231F20"/>
        </w:rPr>
        <w:t>v</w:t>
      </w:r>
      <w:r>
        <w:rPr>
          <w:rFonts w:ascii="Futura MdCn BT"/>
          <w:color w:val="231F20"/>
          <w:spacing w:val="80"/>
        </w:rPr>
        <w:t> </w:t>
      </w:r>
      <w:r>
        <w:rPr>
          <w:color w:val="231F20"/>
        </w:rPr>
        <w:t>An override expression must be different from the reference formula (at least one comparison value must be changed).</w:t>
      </w:r>
    </w:p>
    <w:p>
      <w:pPr>
        <w:pStyle w:val="BodyText"/>
        <w:spacing w:line="213" w:lineRule="auto" w:before="58"/>
        <w:ind w:left="3406" w:right="188" w:hanging="216"/>
      </w:pPr>
      <w:r>
        <w:rPr>
          <w:rFonts w:ascii="Futura MdCn BT"/>
          <w:color w:val="231F20"/>
        </w:rPr>
        <w:t>v</w:t>
      </w:r>
      <w:r>
        <w:rPr>
          <w:rFonts w:ascii="Futura MdCn BT"/>
          <w:color w:val="231F20"/>
          <w:spacing w:val="80"/>
        </w:rPr>
        <w:t> </w:t>
      </w:r>
      <w:r>
        <w:rPr>
          <w:color w:val="231F20"/>
        </w:rPr>
        <w:t>If</w:t>
      </w:r>
      <w:r>
        <w:rPr>
          <w:color w:val="231F20"/>
          <w:spacing w:val="14"/>
        </w:rPr>
        <w:t> </w:t>
      </w:r>
      <w:r>
        <w:rPr>
          <w:color w:val="231F20"/>
        </w:rPr>
        <w:t>you</w:t>
      </w:r>
      <w:r>
        <w:rPr>
          <w:color w:val="231F20"/>
          <w:spacing w:val="14"/>
        </w:rPr>
        <w:t> </w:t>
      </w:r>
      <w:r>
        <w:rPr>
          <w:color w:val="231F20"/>
        </w:rPr>
        <w:t>no</w:t>
      </w:r>
      <w:r>
        <w:rPr>
          <w:color w:val="231F20"/>
          <w:spacing w:val="14"/>
        </w:rPr>
        <w:t> </w:t>
      </w:r>
      <w:r>
        <w:rPr>
          <w:color w:val="231F20"/>
        </w:rPr>
        <w:t>longer</w:t>
      </w:r>
      <w:r>
        <w:rPr>
          <w:color w:val="231F20"/>
          <w:spacing w:val="14"/>
        </w:rPr>
        <w:t> </w:t>
      </w:r>
      <w:r>
        <w:rPr>
          <w:color w:val="231F20"/>
        </w:rPr>
        <w:t>need</w:t>
      </w:r>
      <w:r>
        <w:rPr>
          <w:color w:val="231F20"/>
          <w:spacing w:val="14"/>
        </w:rPr>
        <w:t> </w:t>
      </w:r>
      <w:r>
        <w:rPr>
          <w:color w:val="231F20"/>
        </w:rPr>
        <w:t>an</w:t>
      </w:r>
      <w:r>
        <w:rPr>
          <w:color w:val="231F20"/>
          <w:spacing w:val="14"/>
        </w:rPr>
        <w:t> </w:t>
      </w:r>
      <w:r>
        <w:rPr>
          <w:color w:val="231F20"/>
        </w:rPr>
        <w:t>expression</w:t>
      </w:r>
      <w:r>
        <w:rPr>
          <w:color w:val="231F20"/>
          <w:spacing w:val="14"/>
        </w:rPr>
        <w:t> </w:t>
      </w:r>
      <w:r>
        <w:rPr>
          <w:color w:val="231F20"/>
        </w:rPr>
        <w:t>override</w:t>
      </w:r>
      <w:r>
        <w:rPr>
          <w:color w:val="231F20"/>
          <w:spacing w:val="14"/>
        </w:rPr>
        <w:t> </w:t>
      </w:r>
      <w:r>
        <w:rPr>
          <w:color w:val="231F20"/>
        </w:rPr>
        <w:t>definition,</w:t>
      </w:r>
      <w:r>
        <w:rPr>
          <w:color w:val="231F20"/>
          <w:spacing w:val="14"/>
        </w:rPr>
        <w:t> </w:t>
      </w:r>
      <w:r>
        <w:rPr>
          <w:color w:val="231F20"/>
        </w:rPr>
        <w:t>you</w:t>
      </w:r>
      <w:r>
        <w:rPr>
          <w:color w:val="231F20"/>
          <w:spacing w:val="14"/>
        </w:rPr>
        <w:t> </w:t>
      </w:r>
      <w:r>
        <w:rPr>
          <w:color w:val="231F20"/>
        </w:rPr>
        <w:t>can</w:t>
      </w:r>
      <w:r>
        <w:rPr>
          <w:color w:val="231F20"/>
          <w:spacing w:val="14"/>
        </w:rPr>
        <w:t> </w:t>
      </w:r>
      <w:r>
        <w:rPr>
          <w:color w:val="231F20"/>
        </w:rPr>
        <w:t>remove it (in the Add Expression Overrides window, select the check box next </w:t>
      </w:r>
      <w:r>
        <w:rPr>
          <w:color w:val="231F20"/>
        </w:rPr>
        <w:t>to</w:t>
      </w:r>
      <w:r>
        <w:rPr>
          <w:color w:val="231F20"/>
        </w:rPr>
        <w:t> the definition and click </w:t>
      </w:r>
      <w:r>
        <w:rPr>
          <w:rFonts w:ascii="Book Antiqua"/>
          <w:b/>
          <w:color w:val="231F20"/>
        </w:rPr>
        <w:t>Remove Expression</w:t>
      </w:r>
      <w:r>
        <w:rPr>
          <w:color w:val="231F20"/>
        </w:rPr>
        <w:t>). After clicking </w:t>
      </w:r>
      <w:r>
        <w:rPr>
          <w:rFonts w:ascii="Book Antiqua"/>
          <w:b/>
          <w:color w:val="231F20"/>
        </w:rPr>
        <w:t>OK </w:t>
      </w:r>
      <w:r>
        <w:rPr>
          <w:color w:val="231F20"/>
        </w:rPr>
        <w:t>to close the Add Expression Overrides window, you will be unable to edit the situation until it has been refreshed: You can adjust the value in an expression, but you cannot change the formula function or relational </w:t>
      </w:r>
      <w:r>
        <w:rPr>
          <w:color w:val="231F20"/>
          <w:spacing w:val="-2"/>
        </w:rPr>
        <w:t>operator.</w:t>
      </w:r>
    </w:p>
    <w:p>
      <w:pPr>
        <w:spacing w:after="0" w:line="213" w:lineRule="auto"/>
        <w:sectPr>
          <w:pgSz w:w="12240" w:h="15840"/>
          <w:pgMar w:header="0" w:footer="736" w:top="1180" w:bottom="920" w:left="1000" w:right="1060"/>
        </w:sectPr>
      </w:pPr>
    </w:p>
    <w:p>
      <w:pPr>
        <w:pStyle w:val="Heading6"/>
        <w:spacing w:line="240" w:lineRule="auto" w:before="83"/>
        <w:ind w:left="2232"/>
      </w:pPr>
      <w:bookmarkStart w:name="_bookmark221" w:id="465"/>
      <w:bookmarkEnd w:id="465"/>
      <w:r>
        <w:rPr>
          <w:b w:val="0"/>
        </w:rPr>
      </w:r>
      <w:r>
        <w:rPr>
          <w:color w:val="231F20"/>
        </w:rPr>
        <w:t>The</w:t>
      </w:r>
      <w:r>
        <w:rPr>
          <w:color w:val="231F20"/>
          <w:spacing w:val="9"/>
        </w:rPr>
        <w:t> </w:t>
      </w:r>
      <w:r>
        <w:rPr>
          <w:color w:val="231F20"/>
        </w:rPr>
        <w:t>following</w:t>
      </w:r>
      <w:r>
        <w:rPr>
          <w:color w:val="231F20"/>
          <w:spacing w:val="9"/>
        </w:rPr>
        <w:t> </w:t>
      </w:r>
      <w:r>
        <w:rPr>
          <w:color w:val="231F20"/>
        </w:rPr>
        <w:t>restrictions</w:t>
      </w:r>
      <w:r>
        <w:rPr>
          <w:color w:val="231F20"/>
          <w:spacing w:val="9"/>
        </w:rPr>
        <w:t> </w:t>
      </w:r>
      <w:r>
        <w:rPr>
          <w:color w:val="231F20"/>
        </w:rPr>
        <w:t>apply</w:t>
      </w:r>
      <w:r>
        <w:rPr>
          <w:color w:val="231F20"/>
          <w:spacing w:val="10"/>
        </w:rPr>
        <w:t> </w:t>
      </w:r>
      <w:r>
        <w:rPr>
          <w:color w:val="231F20"/>
        </w:rPr>
        <w:t>to</w:t>
      </w:r>
      <w:r>
        <w:rPr>
          <w:color w:val="231F20"/>
          <w:spacing w:val="9"/>
        </w:rPr>
        <w:t> </w:t>
      </w:r>
      <w:r>
        <w:rPr>
          <w:color w:val="231F20"/>
        </w:rPr>
        <w:t>override</w:t>
      </w:r>
      <w:r>
        <w:rPr>
          <w:color w:val="231F20"/>
          <w:spacing w:val="9"/>
        </w:rPr>
        <w:t> </w:t>
      </w:r>
      <w:r>
        <w:rPr>
          <w:color w:val="231F20"/>
        </w:rPr>
        <w:t>expression</w:t>
      </w:r>
      <w:r>
        <w:rPr>
          <w:color w:val="231F20"/>
          <w:spacing w:val="9"/>
        </w:rPr>
        <w:t> </w:t>
      </w:r>
      <w:r>
        <w:rPr>
          <w:color w:val="231F20"/>
          <w:spacing w:val="-2"/>
        </w:rPr>
        <w:t>modeling</w:t>
      </w:r>
    </w:p>
    <w:p>
      <w:pPr>
        <w:pStyle w:val="BodyText"/>
        <w:spacing w:line="213" w:lineRule="auto" w:before="60"/>
        <w:ind w:left="3167" w:right="545" w:hanging="216"/>
      </w:pPr>
      <w:r>
        <w:rPr>
          <w:rFonts w:ascii="Futura MdCn BT"/>
          <w:color w:val="231F20"/>
        </w:rPr>
        <w:t>v</w:t>
      </w:r>
      <w:r>
        <w:rPr>
          <w:rFonts w:ascii="Futura MdCn BT"/>
          <w:color w:val="231F20"/>
          <w:spacing w:val="80"/>
        </w:rPr>
        <w:t> </w:t>
      </w:r>
      <w:r>
        <w:rPr>
          <w:color w:val="231F20"/>
        </w:rPr>
        <w:t>The modeling graph is unavailable if the situation override is for </w:t>
      </w:r>
      <w:r>
        <w:rPr>
          <w:color w:val="231F20"/>
        </w:rPr>
        <w:t>a</w:t>
      </w:r>
      <w:r>
        <w:rPr>
          <w:color w:val="231F20"/>
        </w:rPr>
        <w:t> managed system group.</w:t>
      </w:r>
    </w:p>
    <w:p>
      <w:pPr>
        <w:pStyle w:val="BodyText"/>
        <w:spacing w:line="213" w:lineRule="auto" w:before="58"/>
        <w:ind w:left="3167" w:right="807" w:hanging="216"/>
      </w:pPr>
      <w:r>
        <w:rPr>
          <w:rFonts w:ascii="Futura MdCn BT"/>
          <w:color w:val="231F20"/>
        </w:rPr>
        <w:t>v</w:t>
      </w:r>
      <w:r>
        <w:rPr>
          <w:rFonts w:ascii="Futura MdCn BT"/>
          <w:color w:val="231F20"/>
          <w:spacing w:val="80"/>
        </w:rPr>
        <w:t> </w:t>
      </w:r>
      <w:r>
        <w:rPr>
          <w:color w:val="231F20"/>
        </w:rPr>
        <w:t>The modeling graph is unavailable if the situation override is for a multiple-row attribute group that has no display item (used as a </w:t>
      </w:r>
      <w:r>
        <w:rPr>
          <w:color w:val="231F20"/>
        </w:rPr>
        <w:t>key</w:t>
      </w:r>
      <w:r>
        <w:rPr>
          <w:color w:val="231F20"/>
        </w:rPr>
        <w:t> </w:t>
      </w:r>
      <w:r>
        <w:rPr>
          <w:color w:val="231F20"/>
          <w:spacing w:val="-2"/>
        </w:rPr>
        <w:t>condition).</w:t>
      </w:r>
    </w:p>
    <w:p>
      <w:pPr>
        <w:pStyle w:val="Heading6"/>
        <w:ind w:left="2232"/>
      </w:pPr>
      <w:r>
        <w:rPr>
          <w:color w:val="231F20"/>
        </w:rPr>
        <w:t>Avoid</w:t>
      </w:r>
      <w:r>
        <w:rPr>
          <w:color w:val="231F20"/>
          <w:spacing w:val="5"/>
        </w:rPr>
        <w:t> </w:t>
      </w:r>
      <w:r>
        <w:rPr>
          <w:color w:val="231F20"/>
        </w:rPr>
        <w:t>conflicting</w:t>
      </w:r>
      <w:r>
        <w:rPr>
          <w:color w:val="231F20"/>
          <w:spacing w:val="6"/>
        </w:rPr>
        <w:t> </w:t>
      </w:r>
      <w:r>
        <w:rPr>
          <w:color w:val="231F20"/>
        </w:rPr>
        <w:t>or</w:t>
      </w:r>
      <w:r>
        <w:rPr>
          <w:color w:val="231F20"/>
          <w:spacing w:val="6"/>
        </w:rPr>
        <w:t> </w:t>
      </w:r>
      <w:r>
        <w:rPr>
          <w:color w:val="231F20"/>
        </w:rPr>
        <w:t>overlapping</w:t>
      </w:r>
      <w:r>
        <w:rPr>
          <w:color w:val="231F20"/>
          <w:spacing w:val="6"/>
        </w:rPr>
        <w:t> </w:t>
      </w:r>
      <w:r>
        <w:rPr>
          <w:color w:val="231F20"/>
        </w:rPr>
        <w:t>override</w:t>
      </w:r>
      <w:r>
        <w:rPr>
          <w:color w:val="231F20"/>
          <w:spacing w:val="6"/>
        </w:rPr>
        <w:t> </w:t>
      </w:r>
      <w:r>
        <w:rPr>
          <w:color w:val="231F20"/>
          <w:spacing w:val="-2"/>
        </w:rPr>
        <w:t>expressions</w:t>
      </w:r>
    </w:p>
    <w:p>
      <w:pPr>
        <w:pStyle w:val="BodyText"/>
        <w:spacing w:line="213" w:lineRule="auto" w:before="11"/>
        <w:ind w:left="2951" w:right="567"/>
      </w:pPr>
      <w:r>
        <w:rPr>
          <w:color w:val="231F20"/>
        </w:rPr>
        <w:t>For a situation that has multiple expression overrides defined for the same managed system or managed system group, avoid defining conflicting or overlapping override expressions. A typical conflict scenario is where two</w:t>
      </w:r>
      <w:r>
        <w:rPr>
          <w:color w:val="231F20"/>
          <w:spacing w:val="40"/>
        </w:rPr>
        <w:t> </w:t>
      </w:r>
      <w:r>
        <w:rPr>
          <w:color w:val="231F20"/>
        </w:rPr>
        <w:t>or more override expressions have schedules assigned and an overlap</w:t>
      </w:r>
      <w:r>
        <w:rPr>
          <w:color w:val="231F20"/>
          <w:spacing w:val="80"/>
        </w:rPr>
        <w:t> </w:t>
      </w:r>
      <w:r>
        <w:rPr>
          <w:color w:val="231F20"/>
        </w:rPr>
        <w:t>exists in their time ranges. In these cases the order in which the </w:t>
      </w:r>
      <w:r>
        <w:rPr>
          <w:color w:val="231F20"/>
        </w:rPr>
        <w:t>individual override expressions are evaluated by the target agent or agents is </w:t>
      </w:r>
      <w:r>
        <w:rPr>
          <w:color w:val="231F20"/>
          <w:spacing w:val="-2"/>
        </w:rPr>
        <w:t>undefined.</w:t>
      </w:r>
    </w:p>
    <w:p>
      <w:pPr>
        <w:pStyle w:val="Heading6"/>
        <w:spacing w:before="114"/>
        <w:ind w:left="2232"/>
      </w:pPr>
      <w:r>
        <w:rPr>
          <w:color w:val="231F20"/>
        </w:rPr>
        <w:t>Keep</w:t>
      </w:r>
      <w:r>
        <w:rPr>
          <w:color w:val="231F20"/>
          <w:spacing w:val="9"/>
        </w:rPr>
        <w:t> </w:t>
      </w:r>
      <w:r>
        <w:rPr>
          <w:color w:val="231F20"/>
        </w:rPr>
        <w:t>the</w:t>
      </w:r>
      <w:r>
        <w:rPr>
          <w:color w:val="231F20"/>
          <w:spacing w:val="10"/>
        </w:rPr>
        <w:t> </w:t>
      </w:r>
      <w:r>
        <w:rPr>
          <w:color w:val="231F20"/>
        </w:rPr>
        <w:t>situation</w:t>
      </w:r>
      <w:r>
        <w:rPr>
          <w:color w:val="231F20"/>
          <w:spacing w:val="10"/>
        </w:rPr>
        <w:t> </w:t>
      </w:r>
      <w:r>
        <w:rPr>
          <w:color w:val="231F20"/>
        </w:rPr>
        <w:t>override</w:t>
      </w:r>
      <w:r>
        <w:rPr>
          <w:color w:val="231F20"/>
          <w:spacing w:val="10"/>
        </w:rPr>
        <w:t> </w:t>
      </w:r>
      <w:r>
        <w:rPr>
          <w:color w:val="231F20"/>
        </w:rPr>
        <w:t>expressions</w:t>
      </w:r>
      <w:r>
        <w:rPr>
          <w:color w:val="231F20"/>
          <w:spacing w:val="9"/>
        </w:rPr>
        <w:t> </w:t>
      </w:r>
      <w:r>
        <w:rPr>
          <w:color w:val="231F20"/>
        </w:rPr>
        <w:t>under</w:t>
      </w:r>
      <w:r>
        <w:rPr>
          <w:color w:val="231F20"/>
          <w:spacing w:val="10"/>
        </w:rPr>
        <w:t> </w:t>
      </w:r>
      <w:r>
        <w:rPr>
          <w:color w:val="231F20"/>
        </w:rPr>
        <w:t>4000</w:t>
      </w:r>
      <w:r>
        <w:rPr>
          <w:color w:val="231F20"/>
          <w:spacing w:val="10"/>
        </w:rPr>
        <w:t> </w:t>
      </w:r>
      <w:r>
        <w:rPr>
          <w:color w:val="231F20"/>
          <w:spacing w:val="-2"/>
        </w:rPr>
        <w:t>bytes</w:t>
      </w:r>
    </w:p>
    <w:p>
      <w:pPr>
        <w:pStyle w:val="BodyText"/>
        <w:spacing w:line="213" w:lineRule="auto" w:before="11"/>
        <w:ind w:left="2951" w:right="496"/>
      </w:pPr>
      <w:r>
        <w:rPr>
          <w:color w:val="231F20"/>
        </w:rPr>
        <w:t>The total number of characters used in all the expression overrides </w:t>
      </w:r>
      <w:r>
        <w:rPr>
          <w:color w:val="231F20"/>
        </w:rPr>
        <w:t>defined for</w:t>
      </w:r>
      <w:r>
        <w:rPr>
          <w:color w:val="231F20"/>
          <w:spacing w:val="28"/>
        </w:rPr>
        <w:t> </w:t>
      </w:r>
      <w:r>
        <w:rPr>
          <w:color w:val="231F20"/>
        </w:rPr>
        <w:t>a</w:t>
      </w:r>
      <w:r>
        <w:rPr>
          <w:color w:val="231F20"/>
          <w:spacing w:val="28"/>
        </w:rPr>
        <w:t> </w:t>
      </w:r>
      <w:r>
        <w:rPr>
          <w:color w:val="231F20"/>
        </w:rPr>
        <w:t>situation</w:t>
      </w:r>
      <w:r>
        <w:rPr>
          <w:color w:val="231F20"/>
          <w:spacing w:val="28"/>
        </w:rPr>
        <w:t> </w:t>
      </w:r>
      <w:r>
        <w:rPr>
          <w:color w:val="231F20"/>
        </w:rPr>
        <w:t>should</w:t>
      </w:r>
      <w:r>
        <w:rPr>
          <w:color w:val="231F20"/>
          <w:spacing w:val="28"/>
        </w:rPr>
        <w:t> </w:t>
      </w:r>
      <w:r>
        <w:rPr>
          <w:color w:val="231F20"/>
        </w:rPr>
        <w:t>not</w:t>
      </w:r>
      <w:r>
        <w:rPr>
          <w:color w:val="231F20"/>
          <w:spacing w:val="28"/>
        </w:rPr>
        <w:t> </w:t>
      </w:r>
      <w:r>
        <w:rPr>
          <w:color w:val="231F20"/>
        </w:rPr>
        <w:t>exceed</w:t>
      </w:r>
      <w:r>
        <w:rPr>
          <w:color w:val="231F20"/>
          <w:spacing w:val="28"/>
        </w:rPr>
        <w:t> </w:t>
      </w:r>
      <w:r>
        <w:rPr>
          <w:color w:val="231F20"/>
        </w:rPr>
        <w:t>4000</w:t>
      </w:r>
      <w:r>
        <w:rPr>
          <w:color w:val="231F20"/>
          <w:spacing w:val="28"/>
        </w:rPr>
        <w:t> </w:t>
      </w:r>
      <w:r>
        <w:rPr>
          <w:color w:val="231F20"/>
        </w:rPr>
        <w:t>bytes.</w:t>
      </w:r>
      <w:r>
        <w:rPr>
          <w:color w:val="231F20"/>
          <w:spacing w:val="28"/>
        </w:rPr>
        <w:t> </w:t>
      </w:r>
      <w:r>
        <w:rPr>
          <w:color w:val="231F20"/>
        </w:rPr>
        <w:t>The</w:t>
      </w:r>
      <w:r>
        <w:rPr>
          <w:color w:val="231F20"/>
          <w:spacing w:val="28"/>
        </w:rPr>
        <w:t> </w:t>
      </w:r>
      <w:r>
        <w:rPr>
          <w:color w:val="231F20"/>
        </w:rPr>
        <w:t>actual</w:t>
      </w:r>
      <w:r>
        <w:rPr>
          <w:color w:val="231F20"/>
          <w:spacing w:val="28"/>
        </w:rPr>
        <w:t> </w:t>
      </w:r>
      <w:r>
        <w:rPr>
          <w:color w:val="231F20"/>
        </w:rPr>
        <w:t>size</w:t>
      </w:r>
      <w:r>
        <w:rPr>
          <w:color w:val="231F20"/>
          <w:spacing w:val="28"/>
        </w:rPr>
        <w:t> </w:t>
      </w:r>
      <w:r>
        <w:rPr>
          <w:color w:val="231F20"/>
        </w:rPr>
        <w:t>requirement for a single override varies depending on the names and values of the key columns and the override expression. In one case the limit might be 25 or,</w:t>
      </w:r>
      <w:r>
        <w:rPr>
          <w:color w:val="231F20"/>
          <w:spacing w:val="80"/>
        </w:rPr>
        <w:t> </w:t>
      </w:r>
      <w:r>
        <w:rPr>
          <w:color w:val="231F20"/>
        </w:rPr>
        <w:t>in a simpler case, it might be higher.</w:t>
      </w:r>
    </w:p>
    <w:p>
      <w:pPr>
        <w:pStyle w:val="BodyText"/>
        <w:spacing w:line="213" w:lineRule="auto" w:before="117"/>
        <w:ind w:left="2951" w:right="493"/>
      </w:pPr>
      <w:r>
        <w:rPr>
          <w:color w:val="231F20"/>
        </w:rPr>
        <w:t>The symptom of exceeding the 4000-byte limit is that the overrides do not work and the monitoring server trace log shows an “exceeds limit 4000” override error. See the </w:t>
      </w:r>
      <w:hyperlink r:id="rId373">
        <w:r>
          <w:rPr>
            <w:color w:val="231F20"/>
          </w:rPr>
          <w:t>ITM Situation Limits</w:t>
        </w:r>
      </w:hyperlink>
      <w:r>
        <w:rPr>
          <w:color w:val="231F20"/>
        </w:rPr>
        <w:t> &gt; Situation Formula </w:t>
      </w:r>
      <w:r>
        <w:rPr>
          <w:color w:val="231F20"/>
        </w:rPr>
        <w:t>Overrides technote for details.</w:t>
      </w:r>
    </w:p>
    <w:p>
      <w:pPr>
        <w:pStyle w:val="Heading6"/>
        <w:spacing w:before="116"/>
        <w:ind w:left="2232"/>
      </w:pPr>
      <w:r>
        <w:rPr>
          <w:color w:val="231F20"/>
        </w:rPr>
        <w:t>Situation</w:t>
      </w:r>
      <w:r>
        <w:rPr>
          <w:color w:val="231F20"/>
          <w:spacing w:val="9"/>
        </w:rPr>
        <w:t> </w:t>
      </w:r>
      <w:r>
        <w:rPr>
          <w:color w:val="231F20"/>
        </w:rPr>
        <w:t>overrides</w:t>
      </w:r>
      <w:r>
        <w:rPr>
          <w:color w:val="231F20"/>
          <w:spacing w:val="10"/>
        </w:rPr>
        <w:t> </w:t>
      </w:r>
      <w:r>
        <w:rPr>
          <w:color w:val="231F20"/>
        </w:rPr>
        <w:t>defined</w:t>
      </w:r>
      <w:r>
        <w:rPr>
          <w:color w:val="231F20"/>
          <w:spacing w:val="10"/>
        </w:rPr>
        <w:t> </w:t>
      </w:r>
      <w:r>
        <w:rPr>
          <w:color w:val="231F20"/>
        </w:rPr>
        <w:t>at</w:t>
      </w:r>
      <w:r>
        <w:rPr>
          <w:color w:val="231F20"/>
          <w:spacing w:val="9"/>
        </w:rPr>
        <w:t> </w:t>
      </w:r>
      <w:r>
        <w:rPr>
          <w:color w:val="231F20"/>
        </w:rPr>
        <w:t>the</w:t>
      </w:r>
      <w:r>
        <w:rPr>
          <w:color w:val="231F20"/>
          <w:spacing w:val="10"/>
        </w:rPr>
        <w:t> </w:t>
      </w:r>
      <w:r>
        <w:rPr>
          <w:color w:val="231F20"/>
        </w:rPr>
        <w:t>command</w:t>
      </w:r>
      <w:r>
        <w:rPr>
          <w:color w:val="231F20"/>
          <w:spacing w:val="10"/>
        </w:rPr>
        <w:t> </w:t>
      </w:r>
      <w:r>
        <w:rPr>
          <w:color w:val="231F20"/>
          <w:spacing w:val="-4"/>
        </w:rPr>
        <w:t>line</w:t>
      </w:r>
    </w:p>
    <w:p>
      <w:pPr>
        <w:spacing w:line="213" w:lineRule="auto" w:before="11"/>
        <w:ind w:left="2951" w:right="545" w:firstLine="0"/>
        <w:jc w:val="left"/>
        <w:rPr>
          <w:sz w:val="20"/>
        </w:rPr>
      </w:pPr>
      <w:r>
        <w:rPr>
          <w:color w:val="231F20"/>
          <w:sz w:val="20"/>
        </w:rPr>
        <w:t>You can also use the Command Line Interface </w:t>
      </w:r>
      <w:r>
        <w:rPr>
          <w:rFonts w:ascii="Book Antiqua"/>
          <w:b/>
          <w:color w:val="231F20"/>
          <w:sz w:val="20"/>
        </w:rPr>
        <w:t>tacmd setOverride </w:t>
      </w:r>
      <w:r>
        <w:rPr>
          <w:color w:val="231F20"/>
          <w:sz w:val="20"/>
        </w:rPr>
        <w:t>to </w:t>
      </w:r>
      <w:r>
        <w:rPr>
          <w:color w:val="231F20"/>
          <w:sz w:val="20"/>
        </w:rPr>
        <w:t>define</w:t>
      </w:r>
      <w:r>
        <w:rPr>
          <w:color w:val="231F20"/>
          <w:spacing w:val="80"/>
          <w:sz w:val="20"/>
        </w:rPr>
        <w:t> </w:t>
      </w:r>
      <w:r>
        <w:rPr>
          <w:color w:val="231F20"/>
          <w:sz w:val="20"/>
        </w:rPr>
        <w:t>a situation override and </w:t>
      </w:r>
      <w:r>
        <w:rPr>
          <w:rFonts w:ascii="Book Antiqua"/>
          <w:b/>
          <w:color w:val="231F20"/>
          <w:sz w:val="20"/>
        </w:rPr>
        <w:t>tacmd addCalendarEntry </w:t>
      </w:r>
      <w:r>
        <w:rPr>
          <w:color w:val="231F20"/>
          <w:sz w:val="20"/>
        </w:rPr>
        <w:t>to create a calendar schedule for the override.</w:t>
      </w:r>
    </w:p>
    <w:p>
      <w:pPr>
        <w:pStyle w:val="BodyText"/>
        <w:spacing w:line="213" w:lineRule="auto" w:before="118"/>
        <w:ind w:left="2951" w:right="402"/>
      </w:pPr>
      <w:r>
        <w:rPr>
          <w:color w:val="231F20"/>
        </w:rPr>
        <w:t>A more granular schedule can be defined with </w:t>
      </w:r>
      <w:r>
        <w:rPr>
          <w:rFonts w:ascii="Book Antiqua"/>
          <w:b/>
          <w:color w:val="231F20"/>
        </w:rPr>
        <w:t>tacmd addCalendarEntry</w:t>
      </w:r>
      <w:r>
        <w:rPr>
          <w:color w:val="231F20"/>
        </w:rPr>
        <w:t>, which uses the cron format, than with the Tivoli Enterprise Portal </w:t>
      </w:r>
      <w:r>
        <w:rPr>
          <w:color w:val="231F20"/>
        </w:rPr>
        <w:t>Schedule editor. For example, in the Schedule editor you can specify a calendar schedule</w:t>
      </w:r>
      <w:r>
        <w:rPr>
          <w:color w:val="231F20"/>
          <w:spacing w:val="26"/>
        </w:rPr>
        <w:t> </w:t>
      </w:r>
      <w:r>
        <w:rPr>
          <w:color w:val="231F20"/>
        </w:rPr>
        <w:t>for</w:t>
      </w:r>
      <w:r>
        <w:rPr>
          <w:color w:val="231F20"/>
          <w:spacing w:val="26"/>
        </w:rPr>
        <w:t> </w:t>
      </w:r>
      <w:r>
        <w:rPr>
          <w:color w:val="231F20"/>
        </w:rPr>
        <w:t>the</w:t>
      </w:r>
      <w:r>
        <w:rPr>
          <w:color w:val="231F20"/>
          <w:spacing w:val="26"/>
        </w:rPr>
        <w:t> </w:t>
      </w:r>
      <w:r>
        <w:rPr>
          <w:color w:val="231F20"/>
        </w:rPr>
        <w:t>override</w:t>
      </w:r>
      <w:r>
        <w:rPr>
          <w:color w:val="231F20"/>
          <w:spacing w:val="26"/>
        </w:rPr>
        <w:t> </w:t>
      </w:r>
      <w:r>
        <w:rPr>
          <w:color w:val="231F20"/>
        </w:rPr>
        <w:t>that</w:t>
      </w:r>
      <w:r>
        <w:rPr>
          <w:color w:val="231F20"/>
          <w:spacing w:val="26"/>
        </w:rPr>
        <w:t> </w:t>
      </w:r>
      <w:r>
        <w:rPr>
          <w:color w:val="231F20"/>
        </w:rPr>
        <w:t>runs</w:t>
      </w:r>
      <w:r>
        <w:rPr>
          <w:color w:val="231F20"/>
          <w:spacing w:val="26"/>
        </w:rPr>
        <w:t> </w:t>
      </w:r>
      <w:r>
        <w:rPr>
          <w:color w:val="231F20"/>
        </w:rPr>
        <w:t>once</w:t>
      </w:r>
      <w:r>
        <w:rPr>
          <w:color w:val="231F20"/>
          <w:spacing w:val="26"/>
        </w:rPr>
        <w:t> </w:t>
      </w:r>
      <w:r>
        <w:rPr>
          <w:color w:val="231F20"/>
        </w:rPr>
        <w:t>every</w:t>
      </w:r>
      <w:r>
        <w:rPr>
          <w:color w:val="231F20"/>
          <w:spacing w:val="26"/>
        </w:rPr>
        <w:t> </w:t>
      </w:r>
      <w:r>
        <w:rPr>
          <w:color w:val="231F20"/>
        </w:rPr>
        <w:t>hour,</w:t>
      </w:r>
      <w:r>
        <w:rPr>
          <w:color w:val="231F20"/>
          <w:spacing w:val="26"/>
        </w:rPr>
        <w:t> </w:t>
      </w:r>
      <w:r>
        <w:rPr>
          <w:color w:val="231F20"/>
        </w:rPr>
        <w:t>once</w:t>
      </w:r>
      <w:r>
        <w:rPr>
          <w:color w:val="231F20"/>
          <w:spacing w:val="26"/>
        </w:rPr>
        <w:t> </w:t>
      </w:r>
      <w:r>
        <w:rPr>
          <w:color w:val="231F20"/>
        </w:rPr>
        <w:t>every</w:t>
      </w:r>
      <w:r>
        <w:rPr>
          <w:color w:val="231F20"/>
          <w:spacing w:val="26"/>
        </w:rPr>
        <w:t> </w:t>
      </w:r>
      <w:r>
        <w:rPr>
          <w:color w:val="231F20"/>
        </w:rPr>
        <w:t>2</w:t>
      </w:r>
      <w:r>
        <w:rPr>
          <w:color w:val="231F20"/>
          <w:spacing w:val="26"/>
        </w:rPr>
        <w:t> </w:t>
      </w:r>
      <w:r>
        <w:rPr>
          <w:color w:val="231F20"/>
        </w:rPr>
        <w:t>hours, and</w:t>
      </w:r>
      <w:r>
        <w:rPr>
          <w:color w:val="231F20"/>
          <w:spacing w:val="27"/>
        </w:rPr>
        <w:t> </w:t>
      </w:r>
      <w:r>
        <w:rPr>
          <w:color w:val="231F20"/>
        </w:rPr>
        <w:t>so</w:t>
      </w:r>
      <w:r>
        <w:rPr>
          <w:color w:val="231F20"/>
          <w:spacing w:val="27"/>
        </w:rPr>
        <w:t> </w:t>
      </w:r>
      <w:r>
        <w:rPr>
          <w:color w:val="231F20"/>
        </w:rPr>
        <w:t>on,</w:t>
      </w:r>
      <w:r>
        <w:rPr>
          <w:color w:val="231F20"/>
          <w:spacing w:val="27"/>
        </w:rPr>
        <w:t> </w:t>
      </w:r>
      <w:r>
        <w:rPr>
          <w:color w:val="231F20"/>
        </w:rPr>
        <w:t>in</w:t>
      </w:r>
      <w:r>
        <w:rPr>
          <w:color w:val="231F20"/>
          <w:spacing w:val="27"/>
        </w:rPr>
        <w:t> </w:t>
      </w:r>
      <w:r>
        <w:rPr>
          <w:color w:val="231F20"/>
        </w:rPr>
        <w:t>1-hour</w:t>
      </w:r>
      <w:r>
        <w:rPr>
          <w:color w:val="231F20"/>
          <w:spacing w:val="27"/>
        </w:rPr>
        <w:t> </w:t>
      </w:r>
      <w:r>
        <w:rPr>
          <w:color w:val="231F20"/>
        </w:rPr>
        <w:t>increments</w:t>
      </w:r>
      <w:r>
        <w:rPr>
          <w:color w:val="231F20"/>
          <w:spacing w:val="27"/>
        </w:rPr>
        <w:t> </w:t>
      </w:r>
      <w:r>
        <w:rPr>
          <w:color w:val="231F20"/>
        </w:rPr>
        <w:t>(such</w:t>
      </w:r>
      <w:r>
        <w:rPr>
          <w:color w:val="231F20"/>
          <w:spacing w:val="27"/>
        </w:rPr>
        <w:t> </w:t>
      </w:r>
      <w:r>
        <w:rPr>
          <w:color w:val="231F20"/>
        </w:rPr>
        <w:t>as</w:t>
      </w:r>
      <w:r>
        <w:rPr>
          <w:color w:val="231F20"/>
          <w:spacing w:val="27"/>
        </w:rPr>
        <w:t> </w:t>
      </w:r>
      <w:r>
        <w:rPr>
          <w:color w:val="231F20"/>
        </w:rPr>
        <w:t>every</w:t>
      </w:r>
      <w:r>
        <w:rPr>
          <w:color w:val="231F20"/>
          <w:spacing w:val="27"/>
        </w:rPr>
        <w:t> </w:t>
      </w:r>
      <w:r>
        <w:rPr>
          <w:color w:val="231F20"/>
        </w:rPr>
        <w:t>3</w:t>
      </w:r>
      <w:r>
        <w:rPr>
          <w:color w:val="231F20"/>
          <w:spacing w:val="27"/>
        </w:rPr>
        <w:t> </w:t>
      </w:r>
      <w:r>
        <w:rPr>
          <w:color w:val="231F20"/>
        </w:rPr>
        <w:t>hours</w:t>
      </w:r>
      <w:r>
        <w:rPr>
          <w:color w:val="231F20"/>
          <w:spacing w:val="27"/>
        </w:rPr>
        <w:t> </w:t>
      </w:r>
      <w:r>
        <w:rPr>
          <w:color w:val="231F20"/>
        </w:rPr>
        <w:t>at</w:t>
      </w:r>
      <w:r>
        <w:rPr>
          <w:color w:val="231F20"/>
          <w:spacing w:val="27"/>
        </w:rPr>
        <w:t> </w:t>
      </w:r>
      <w:r>
        <w:rPr>
          <w:color w:val="231F20"/>
        </w:rPr>
        <w:t>00:00,</w:t>
      </w:r>
      <w:r>
        <w:rPr>
          <w:color w:val="231F20"/>
          <w:spacing w:val="27"/>
        </w:rPr>
        <w:t> </w:t>
      </w:r>
      <w:r>
        <w:rPr>
          <w:color w:val="231F20"/>
        </w:rPr>
        <w:t>03:00, 06:00, and so on). In the CLI you can specify interval times to the minute,</w:t>
      </w:r>
      <w:r>
        <w:rPr>
          <w:color w:val="231F20"/>
          <w:spacing w:val="40"/>
        </w:rPr>
        <w:t> </w:t>
      </w:r>
      <w:r>
        <w:rPr>
          <w:color w:val="231F20"/>
        </w:rPr>
        <w:t>such</w:t>
      </w:r>
      <w:r>
        <w:rPr>
          <w:color w:val="231F20"/>
          <w:spacing w:val="34"/>
        </w:rPr>
        <w:t> </w:t>
      </w:r>
      <w:r>
        <w:rPr>
          <w:color w:val="231F20"/>
        </w:rPr>
        <w:t>as</w:t>
      </w:r>
      <w:r>
        <w:rPr>
          <w:color w:val="231F20"/>
          <w:spacing w:val="24"/>
          <w:w w:val="120"/>
        </w:rPr>
        <w:t> </w:t>
      </w:r>
      <w:r>
        <w:rPr>
          <w:rFonts w:ascii="Arial"/>
          <w:color w:val="231F20"/>
          <w:w w:val="120"/>
        </w:rPr>
        <w:t>-</w:t>
      </w:r>
      <w:r>
        <w:rPr>
          <w:rFonts w:ascii="Arial"/>
          <w:color w:val="231F20"/>
        </w:rPr>
        <w:t>c</w:t>
      </w:r>
      <w:r>
        <w:rPr>
          <w:rFonts w:ascii="Arial"/>
          <w:color w:val="231F20"/>
          <w:spacing w:val="10"/>
        </w:rPr>
        <w:t> 10</w:t>
      </w:r>
      <w:r>
        <w:rPr>
          <w:rFonts w:ascii="Arial"/>
          <w:color w:val="231F20"/>
          <w:spacing w:val="6"/>
        </w:rPr>
        <w:t> </w:t>
      </w:r>
      <w:r>
        <w:rPr>
          <w:rFonts w:ascii="Arial"/>
          <w:color w:val="231F20"/>
          <w:spacing w:val="20"/>
        </w:rPr>
        <w:t>*</w:t>
      </w:r>
      <w:r>
        <w:rPr>
          <w:rFonts w:ascii="Arial"/>
          <w:color w:val="231F20"/>
          <w:spacing w:val="6"/>
        </w:rPr>
        <w:t> </w:t>
      </w:r>
      <w:r>
        <w:rPr>
          <w:rFonts w:ascii="Arial"/>
          <w:color w:val="231F20"/>
          <w:spacing w:val="20"/>
        </w:rPr>
        <w:t>*</w:t>
      </w:r>
      <w:r>
        <w:rPr>
          <w:rFonts w:ascii="Arial"/>
          <w:color w:val="231F20"/>
          <w:spacing w:val="6"/>
        </w:rPr>
        <w:t> </w:t>
      </w:r>
      <w:r>
        <w:rPr>
          <w:rFonts w:ascii="Arial"/>
          <w:color w:val="231F20"/>
          <w:spacing w:val="20"/>
        </w:rPr>
        <w:t>*</w:t>
      </w:r>
      <w:r>
        <w:rPr>
          <w:rFonts w:ascii="Arial"/>
          <w:color w:val="231F20"/>
          <w:spacing w:val="6"/>
        </w:rPr>
        <w:t> </w:t>
      </w:r>
      <w:r>
        <w:rPr>
          <w:rFonts w:ascii="Arial"/>
          <w:color w:val="231F20"/>
        </w:rPr>
        <w:t>*</w:t>
      </w:r>
      <w:r>
        <w:rPr>
          <w:rFonts w:ascii="Arial"/>
          <w:color w:val="231F20"/>
          <w:spacing w:val="28"/>
        </w:rPr>
        <w:t> </w:t>
      </w:r>
      <w:r>
        <w:rPr>
          <w:color w:val="231F20"/>
        </w:rPr>
        <w:t>for</w:t>
      </w:r>
      <w:r>
        <w:rPr>
          <w:color w:val="231F20"/>
          <w:spacing w:val="34"/>
        </w:rPr>
        <w:t> </w:t>
      </w:r>
      <w:r>
        <w:rPr>
          <w:color w:val="231F20"/>
        </w:rPr>
        <w:t>every</w:t>
      </w:r>
      <w:r>
        <w:rPr>
          <w:color w:val="231F20"/>
          <w:spacing w:val="34"/>
        </w:rPr>
        <w:t> </w:t>
      </w:r>
      <w:r>
        <w:rPr>
          <w:color w:val="231F20"/>
        </w:rPr>
        <w:t>10</w:t>
      </w:r>
      <w:r>
        <w:rPr>
          <w:color w:val="231F20"/>
          <w:spacing w:val="34"/>
        </w:rPr>
        <w:t> </w:t>
      </w:r>
      <w:r>
        <w:rPr>
          <w:color w:val="231F20"/>
        </w:rPr>
        <w:t>minutes.</w:t>
      </w:r>
      <w:r>
        <w:rPr>
          <w:color w:val="231F20"/>
          <w:spacing w:val="34"/>
        </w:rPr>
        <w:t> </w:t>
      </w:r>
      <w:r>
        <w:rPr>
          <w:color w:val="231F20"/>
        </w:rPr>
        <w:t>If</w:t>
      </w:r>
      <w:r>
        <w:rPr>
          <w:color w:val="231F20"/>
          <w:spacing w:val="34"/>
        </w:rPr>
        <w:t> </w:t>
      </w:r>
      <w:r>
        <w:rPr>
          <w:color w:val="231F20"/>
        </w:rPr>
        <w:t>you</w:t>
      </w:r>
      <w:r>
        <w:rPr>
          <w:color w:val="231F20"/>
          <w:spacing w:val="34"/>
        </w:rPr>
        <w:t> </w:t>
      </w:r>
      <w:r>
        <w:rPr>
          <w:color w:val="231F20"/>
        </w:rPr>
        <w:t>create</w:t>
      </w:r>
      <w:r>
        <w:rPr>
          <w:color w:val="231F20"/>
          <w:spacing w:val="34"/>
        </w:rPr>
        <w:t> </w:t>
      </w:r>
      <w:r>
        <w:rPr>
          <w:color w:val="231F20"/>
        </w:rPr>
        <w:t>a</w:t>
      </w:r>
      <w:r>
        <w:rPr>
          <w:color w:val="231F20"/>
          <w:spacing w:val="34"/>
        </w:rPr>
        <w:t> </w:t>
      </w:r>
      <w:r>
        <w:rPr>
          <w:color w:val="231F20"/>
        </w:rPr>
        <w:t>schedule</w:t>
      </w:r>
      <w:r>
        <w:rPr>
          <w:color w:val="231F20"/>
          <w:spacing w:val="34"/>
        </w:rPr>
        <w:t> </w:t>
      </w:r>
      <w:r>
        <w:rPr>
          <w:color w:val="231F20"/>
        </w:rPr>
        <w:t>from the CLI that is too complex for the Schedule editor, an error message is displayed and you must use the CLI to modify the schedule.</w:t>
      </w:r>
    </w:p>
    <w:p>
      <w:pPr>
        <w:spacing w:line="213" w:lineRule="auto" w:before="113"/>
        <w:ind w:left="2951" w:right="545" w:firstLine="0"/>
        <w:jc w:val="left"/>
        <w:rPr>
          <w:sz w:val="20"/>
        </w:rPr>
      </w:pPr>
      <w:r>
        <w:rPr>
          <w:color w:val="231F20"/>
          <w:sz w:val="20"/>
        </w:rPr>
        <w:t>See the </w:t>
      </w:r>
      <w:r>
        <w:rPr>
          <w:rFonts w:ascii="Book Antiqua"/>
          <w:i/>
          <w:color w:val="231F20"/>
          <w:sz w:val="20"/>
        </w:rPr>
        <w:t>IBM Tivoli Monitoring Command Reference </w:t>
      </w:r>
      <w:r>
        <w:rPr>
          <w:color w:val="231F20"/>
          <w:sz w:val="20"/>
        </w:rPr>
        <w:t>for details about </w:t>
      </w:r>
      <w:r>
        <w:rPr>
          <w:color w:val="231F20"/>
          <w:sz w:val="20"/>
        </w:rPr>
        <w:t>the </w:t>
      </w:r>
      <w:bookmarkStart w:name="Disabling and enabling situation overrid" w:id="466"/>
      <w:bookmarkEnd w:id="466"/>
      <w:r>
        <w:rPr>
          <w:color w:val="231F20"/>
          <w:spacing w:val="-2"/>
          <w:sz w:val="20"/>
        </w:rPr>
        <w:t>tacmds.</w:t>
      </w:r>
    </w:p>
    <w:p>
      <w:pPr>
        <w:pStyle w:val="Heading3"/>
        <w:spacing w:before="218"/>
        <w:ind w:left="1334"/>
      </w:pPr>
      <w:r>
        <w:rPr>
          <w:color w:val="231F20"/>
        </w:rPr>
        <w:t>Disabling</w:t>
      </w:r>
      <w:r>
        <w:rPr>
          <w:color w:val="231F20"/>
          <w:spacing w:val="4"/>
        </w:rPr>
        <w:t> </w:t>
      </w:r>
      <w:r>
        <w:rPr>
          <w:color w:val="231F20"/>
        </w:rPr>
        <w:t>and</w:t>
      </w:r>
      <w:r>
        <w:rPr>
          <w:color w:val="231F20"/>
          <w:spacing w:val="5"/>
        </w:rPr>
        <w:t> </w:t>
      </w:r>
      <w:r>
        <w:rPr>
          <w:color w:val="231F20"/>
        </w:rPr>
        <w:t>enabling</w:t>
      </w:r>
      <w:r>
        <w:rPr>
          <w:color w:val="231F20"/>
          <w:spacing w:val="5"/>
        </w:rPr>
        <w:t> </w:t>
      </w:r>
      <w:r>
        <w:rPr>
          <w:color w:val="231F20"/>
        </w:rPr>
        <w:t>situation</w:t>
      </w:r>
      <w:r>
        <w:rPr>
          <w:color w:val="231F20"/>
          <w:spacing w:val="5"/>
        </w:rPr>
        <w:t> </w:t>
      </w:r>
      <w:r>
        <w:rPr>
          <w:color w:val="231F20"/>
          <w:spacing w:val="-2"/>
        </w:rPr>
        <w:t>overrides</w:t>
      </w:r>
    </w:p>
    <w:p>
      <w:pPr>
        <w:pStyle w:val="BodyText"/>
        <w:spacing w:line="213" w:lineRule="auto" w:before="58"/>
        <w:ind w:left="2232" w:right="545"/>
      </w:pPr>
      <w:r>
        <w:rPr>
          <w:color w:val="231F20"/>
        </w:rPr>
        <w:t>A situation override starts as soon as you define it or when you have it scheduled.</w:t>
      </w:r>
      <w:r>
        <w:rPr>
          <w:color w:val="231F20"/>
          <w:spacing w:val="40"/>
        </w:rPr>
        <w:t> </w:t>
      </w:r>
      <w:r>
        <w:rPr>
          <w:color w:val="231F20"/>
        </w:rPr>
        <w:t>You can also manually enable and disable situation overrides. This procedure applies to any override definition for a situation, scheduled or not.</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654"/>
        <w:jc w:val="both"/>
      </w:pPr>
      <w:r>
        <w:rPr>
          <w:color w:val="231F20"/>
        </w:rPr>
        <w:t>This procedure enables or disables all the overrides for the situation. If you have any overrides that you no longer need to keep, you can selectively remove them </w:t>
      </w:r>
      <w:r>
        <w:rPr>
          <w:color w:val="231F20"/>
          <w:spacing w:val="-2"/>
        </w:rPr>
        <w:t>beforehand.</w:t>
      </w:r>
    </w:p>
    <w:p>
      <w:pPr>
        <w:spacing w:after="0" w:line="213" w:lineRule="auto"/>
        <w:jc w:val="both"/>
        <w:sectPr>
          <w:pgSz w:w="12240" w:h="15840"/>
          <w:pgMar w:header="0" w:footer="736" w:top="1180" w:bottom="920" w:left="1000" w:right="1060"/>
        </w:sectPr>
      </w:pPr>
    </w:p>
    <w:p>
      <w:pPr>
        <w:pStyle w:val="Heading4"/>
        <w:spacing w:before="86"/>
        <w:ind w:left="2472"/>
      </w:pPr>
      <w:bookmarkStart w:name="_bookmark222" w:id="467"/>
      <w:bookmarkEnd w:id="467"/>
      <w:r>
        <w:rPr>
          <w:b w:val="0"/>
        </w:rPr>
      </w:r>
      <w:r>
        <w:rPr>
          <w:color w:val="231F20"/>
          <w:spacing w:val="-2"/>
        </w:rPr>
        <w:t>Procedure</w:t>
      </w:r>
    </w:p>
    <w:p>
      <w:pPr>
        <w:pStyle w:val="ListParagraph"/>
        <w:numPr>
          <w:ilvl w:val="0"/>
          <w:numId w:val="132"/>
        </w:numPr>
        <w:tabs>
          <w:tab w:pos="2788" w:val="left" w:leader="none"/>
        </w:tabs>
        <w:spacing w:line="213" w:lineRule="auto" w:before="62" w:after="0"/>
        <w:ind w:left="2788" w:right="383"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475" name="Image 2475"/>
            <wp:cNvGraphicFramePr>
              <a:graphicFrameLocks/>
            </wp:cNvGraphicFramePr>
            <a:graphic>
              <a:graphicData uri="http://schemas.openxmlformats.org/drawingml/2006/picture">
                <pic:pic>
                  <pic:nvPicPr>
                    <pic:cNvPr id="2475" name="Image 2475"/>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Situation Editor </w:t>
      </w:r>
      <w:r>
        <w:rPr>
          <w:color w:val="231F20"/>
          <w:sz w:val="20"/>
        </w:rPr>
        <w:t>or right-click the Navigator item that the situation is associated with and click </w:t>
      </w:r>
      <w:r>
        <w:rPr>
          <w:color w:val="231F20"/>
          <w:spacing w:val="16"/>
          <w:position w:val="-1"/>
          <w:sz w:val="20"/>
        </w:rPr>
        <w:drawing>
          <wp:inline distT="0" distB="0" distL="0" distR="0">
            <wp:extent cx="101600" cy="95250"/>
            <wp:effectExtent l="0" t="0" r="0" b="0"/>
            <wp:docPr id="2476" name="Image 2476"/>
            <wp:cNvGraphicFramePr>
              <a:graphicFrameLocks/>
            </wp:cNvGraphicFramePr>
            <a:graphic>
              <a:graphicData uri="http://schemas.openxmlformats.org/drawingml/2006/picture">
                <pic:pic>
                  <pic:nvPicPr>
                    <pic:cNvPr id="2476" name="Image 2476"/>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z w:val="20"/>
        </w:rPr>
        <w:t> </w:t>
      </w:r>
      <w:r>
        <w:rPr>
          <w:rFonts w:ascii="Book Antiqua"/>
          <w:b/>
          <w:color w:val="231F20"/>
          <w:sz w:val="20"/>
        </w:rPr>
        <w:t>Situations</w:t>
      </w:r>
      <w:r>
        <w:rPr>
          <w:color w:val="231F20"/>
          <w:sz w:val="20"/>
        </w:rPr>
        <w:t>.</w:t>
      </w:r>
    </w:p>
    <w:p>
      <w:pPr>
        <w:pStyle w:val="ListParagraph"/>
        <w:numPr>
          <w:ilvl w:val="0"/>
          <w:numId w:val="132"/>
        </w:numPr>
        <w:tabs>
          <w:tab w:pos="2788" w:val="left" w:leader="none"/>
        </w:tabs>
        <w:spacing w:line="213" w:lineRule="auto" w:before="59" w:after="0"/>
        <w:ind w:left="2788" w:right="629" w:hanging="316"/>
        <w:jc w:val="left"/>
        <w:rPr>
          <w:sz w:val="20"/>
        </w:rPr>
      </w:pPr>
      <w:r>
        <w:rPr>
          <w:color w:val="231F20"/>
          <w:sz w:val="20"/>
        </w:rPr>
        <w:t>In the Situations tree, right-click the situation. Situations with override definitions show an </w:t>
      </w:r>
      <w:r>
        <w:rPr>
          <w:color w:val="231F20"/>
          <w:spacing w:val="16"/>
          <w:position w:val="-1"/>
          <w:sz w:val="20"/>
        </w:rPr>
        <w:drawing>
          <wp:inline distT="0" distB="0" distL="0" distR="0">
            <wp:extent cx="101600" cy="101600"/>
            <wp:effectExtent l="0" t="0" r="0" b="0"/>
            <wp:docPr id="2477" name="Image 2477"/>
            <wp:cNvGraphicFramePr>
              <a:graphicFrameLocks/>
            </wp:cNvGraphicFramePr>
            <a:graphic>
              <a:graphicData uri="http://schemas.openxmlformats.org/drawingml/2006/picture">
                <pic:pic>
                  <pic:nvPicPr>
                    <pic:cNvPr id="2477" name="Image 2477"/>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override indicator at the right end of the status bar.</w:t>
      </w:r>
    </w:p>
    <w:p>
      <w:pPr>
        <w:pStyle w:val="ListParagraph"/>
        <w:numPr>
          <w:ilvl w:val="0"/>
          <w:numId w:val="132"/>
        </w:numPr>
        <w:tabs>
          <w:tab w:pos="2787" w:val="left" w:leader="none"/>
        </w:tabs>
        <w:spacing w:line="240" w:lineRule="auto" w:before="35" w:after="0"/>
        <w:ind w:left="2787" w:right="0" w:hanging="315"/>
        <w:jc w:val="left"/>
        <w:rPr>
          <w:sz w:val="20"/>
        </w:rPr>
      </w:pPr>
      <w:r>
        <w:rPr>
          <w:color w:val="231F20"/>
          <w:sz w:val="20"/>
        </w:rPr>
        <w: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pacing w:val="-2"/>
          <w:sz w:val="20"/>
        </w:rPr>
        <w:t>options:</w:t>
      </w:r>
    </w:p>
    <w:p>
      <w:pPr>
        <w:pStyle w:val="BodyText"/>
        <w:spacing w:line="213" w:lineRule="auto" w:before="53"/>
        <w:ind w:left="3004" w:right="308"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95250" cy="95250"/>
            <wp:effectExtent l="0" t="0" r="0" b="0"/>
            <wp:docPr id="2478" name="Image 2478"/>
            <wp:cNvGraphicFramePr>
              <a:graphicFrameLocks/>
            </wp:cNvGraphicFramePr>
            <a:graphic>
              <a:graphicData uri="http://schemas.openxmlformats.org/drawingml/2006/picture">
                <pic:pic>
                  <pic:nvPicPr>
                    <pic:cNvPr id="2478" name="Image 2478"/>
                    <pic:cNvPicPr/>
                  </pic:nvPicPr>
                  <pic:blipFill>
                    <a:blip r:embed="rId379" cstate="print"/>
                    <a:stretch>
                      <a:fillRect/>
                    </a:stretch>
                  </pic:blipFill>
                  <pic:spPr>
                    <a:xfrm>
                      <a:off x="0" y="0"/>
                      <a:ext cx="95250" cy="95250"/>
                    </a:xfrm>
                    <a:prstGeom prst="rect">
                      <a:avLst/>
                    </a:prstGeom>
                  </pic:spPr>
                </pic:pic>
              </a:graphicData>
            </a:graphic>
          </wp:inline>
        </w:drawing>
      </w:r>
      <w:r>
        <w:rPr>
          <w:rFonts w:ascii="Futura MdCn BT"/>
          <w:color w:val="231F20"/>
          <w:spacing w:val="5"/>
          <w:position w:val="-1"/>
        </w:rPr>
      </w:r>
      <w:r>
        <w:rPr>
          <w:rFonts w:ascii="Times New Roman"/>
          <w:color w:val="231F20"/>
          <w:spacing w:val="-5"/>
        </w:rPr>
        <w:t> </w:t>
      </w:r>
      <w:r>
        <w:rPr>
          <w:rFonts w:ascii="Book Antiqua"/>
          <w:b/>
          <w:color w:val="231F20"/>
        </w:rPr>
        <w:t>Enable Situation Overrides </w:t>
      </w:r>
      <w:r>
        <w:rPr>
          <w:color w:val="231F20"/>
        </w:rPr>
        <w:t>to activate the override (or overrides) for the situation. Any unscheduled and scheduled overrides for this situation are now enabled. Unscheduled overrides begin running immediately; </w:t>
      </w:r>
      <w:r>
        <w:rPr>
          <w:color w:val="231F20"/>
        </w:rPr>
        <w:t>scheduled</w:t>
      </w:r>
      <w:r>
        <w:rPr>
          <w:color w:val="231F20"/>
        </w:rPr>
        <w:t> overrides are activated at their designated time.</w:t>
      </w:r>
    </w:p>
    <w:p>
      <w:pPr>
        <w:pStyle w:val="BodyText"/>
        <w:spacing w:line="213" w:lineRule="auto" w:before="57"/>
        <w:ind w:left="3004" w:right="313" w:hanging="216"/>
      </w:pPr>
      <w:r>
        <w:rPr>
          <w:rFonts w:ascii="Futura MdCn BT"/>
          <w:color w:val="231F20"/>
        </w:rPr>
        <w:t>v</w:t>
      </w:r>
      <w:r>
        <w:rPr>
          <w:rFonts w:ascii="Futura MdCn BT"/>
          <w:color w:val="231F20"/>
          <w:spacing w:val="80"/>
        </w:rPr>
        <w:t> </w:t>
      </w:r>
      <w:r>
        <w:rPr>
          <w:rFonts w:ascii="Futura MdCn BT"/>
          <w:color w:val="231F20"/>
          <w:spacing w:val="5"/>
          <w:position w:val="-1"/>
        </w:rPr>
        <w:drawing>
          <wp:inline distT="0" distB="0" distL="0" distR="0">
            <wp:extent cx="95250" cy="95250"/>
            <wp:effectExtent l="0" t="0" r="0" b="0"/>
            <wp:docPr id="2479" name="Image 2479"/>
            <wp:cNvGraphicFramePr>
              <a:graphicFrameLocks/>
            </wp:cNvGraphicFramePr>
            <a:graphic>
              <a:graphicData uri="http://schemas.openxmlformats.org/drawingml/2006/picture">
                <pic:pic>
                  <pic:nvPicPr>
                    <pic:cNvPr id="2479" name="Image 2479"/>
                    <pic:cNvPicPr/>
                  </pic:nvPicPr>
                  <pic:blipFill>
                    <a:blip r:embed="rId380" cstate="print"/>
                    <a:stretch>
                      <a:fillRect/>
                    </a:stretch>
                  </pic:blipFill>
                  <pic:spPr>
                    <a:xfrm>
                      <a:off x="0" y="0"/>
                      <a:ext cx="95250" cy="95250"/>
                    </a:xfrm>
                    <a:prstGeom prst="rect">
                      <a:avLst/>
                    </a:prstGeom>
                  </pic:spPr>
                </pic:pic>
              </a:graphicData>
            </a:graphic>
          </wp:inline>
        </w:drawing>
      </w:r>
      <w:r>
        <w:rPr>
          <w:rFonts w:ascii="Futura MdCn BT"/>
          <w:color w:val="231F20"/>
          <w:spacing w:val="5"/>
          <w:position w:val="-1"/>
        </w:rPr>
      </w:r>
      <w:r>
        <w:rPr>
          <w:rFonts w:ascii="Times New Roman"/>
          <w:color w:val="231F20"/>
        </w:rPr>
        <w:t> </w:t>
      </w:r>
      <w:r>
        <w:rPr>
          <w:rFonts w:ascii="Book Antiqua"/>
          <w:b/>
          <w:color w:val="231F20"/>
        </w:rPr>
        <w:t>Disable Situation Overrides </w:t>
      </w:r>
      <w:r>
        <w:rPr>
          <w:color w:val="231F20"/>
        </w:rPr>
        <w:t>to deactivate the override (or overrides) for</w:t>
      </w:r>
      <w:r>
        <w:rPr>
          <w:color w:val="231F20"/>
          <w:spacing w:val="80"/>
        </w:rPr>
        <w:t> </w:t>
      </w:r>
      <w:r>
        <w:rPr>
          <w:color w:val="231F20"/>
        </w:rPr>
        <w:t>the situation. Any expression overrides for this situation that are running </w:t>
      </w:r>
      <w:r>
        <w:rPr>
          <w:color w:val="231F20"/>
        </w:rPr>
        <w:t>ar</w:t>
      </w:r>
      <w:r>
        <w:rPr>
          <w:color w:val="231F20"/>
        </w:rPr>
        <w:t>e</w:t>
      </w:r>
      <w:r>
        <w:rPr>
          <w:color w:val="231F20"/>
        </w:rPr>
        <w:t> stopped and disabled; the original situation definition is now in effect. Any scheduled overrides do not resume until you have enabled them again manually or edit the schedule.</w:t>
      </w:r>
    </w:p>
    <w:p>
      <w:pPr>
        <w:pStyle w:val="Heading3"/>
        <w:spacing w:before="215"/>
        <w:ind w:left="1574"/>
      </w:pPr>
      <w:bookmarkStart w:name="Removing override definitions" w:id="468"/>
      <w:bookmarkEnd w:id="468"/>
      <w:r>
        <w:rPr>
          <w:b w:val="0"/>
        </w:rPr>
      </w:r>
      <w:r>
        <w:rPr>
          <w:color w:val="231F20"/>
        </w:rPr>
        <w:t>Removing</w:t>
      </w:r>
      <w:r>
        <w:rPr>
          <w:color w:val="231F20"/>
          <w:spacing w:val="2"/>
        </w:rPr>
        <w:t> </w:t>
      </w:r>
      <w:r>
        <w:rPr>
          <w:color w:val="231F20"/>
        </w:rPr>
        <w:t>override</w:t>
      </w:r>
      <w:r>
        <w:rPr>
          <w:color w:val="231F20"/>
          <w:spacing w:val="3"/>
        </w:rPr>
        <w:t> </w:t>
      </w:r>
      <w:r>
        <w:rPr>
          <w:color w:val="231F20"/>
          <w:spacing w:val="-2"/>
        </w:rPr>
        <w:t>definitions</w:t>
      </w:r>
    </w:p>
    <w:p>
      <w:pPr>
        <w:pStyle w:val="BodyText"/>
        <w:spacing w:line="213" w:lineRule="auto" w:before="58"/>
        <w:ind w:left="2472" w:right="274"/>
      </w:pPr>
      <w:r>
        <w:rPr>
          <w:color w:val="231F20"/>
        </w:rPr>
        <w:t>When you no longer want to keep a situation override, remove the definition. You can remove a specific override definition or all the override definitions that have been written for a situation.</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493"/>
      </w:pPr>
      <w:r>
        <w:rPr>
          <w:color w:val="231F20"/>
        </w:rPr>
        <w:t>This procedure permanently deletes the selected override definition (or definitions). If you think you might want to use the override definition again at </w:t>
      </w:r>
      <w:r>
        <w:rPr>
          <w:color w:val="231F20"/>
        </w:rPr>
        <w:t>a later time, you can disable it rather than remove it.</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74"/>
      </w:pPr>
      <w:r>
        <w:rPr>
          <w:color w:val="231F20"/>
        </w:rPr>
        <w:t>Take one of these steps to remove the selected override definition or to remove all the override definition for a situation.</w:t>
      </w:r>
    </w:p>
    <w:p>
      <w:pPr>
        <w:pStyle w:val="Heading4"/>
        <w:ind w:left="2472"/>
      </w:pPr>
      <w:r>
        <w:rPr>
          <w:color w:val="231F20"/>
          <w:spacing w:val="-2"/>
        </w:rPr>
        <w:t>Procedure</w:t>
      </w:r>
    </w:p>
    <w:p>
      <w:pPr>
        <w:pStyle w:val="BodyText"/>
        <w:spacing w:before="38"/>
        <w:ind w:left="2472"/>
      </w:pPr>
      <w:r>
        <w:rPr>
          <w:rFonts w:ascii="Futura MdCn BT"/>
          <w:color w:val="231F20"/>
        </w:rPr>
        <w:t>v</w:t>
      </w:r>
      <w:r>
        <w:rPr>
          <w:rFonts w:ascii="Futura MdCn BT"/>
          <w:color w:val="231F20"/>
          <w:spacing w:val="31"/>
        </w:rPr>
        <w:t>  </w:t>
      </w:r>
      <w:r>
        <w:rPr>
          <w:color w:val="231F20"/>
        </w:rPr>
        <w:t>Remove</w:t>
      </w:r>
      <w:r>
        <w:rPr>
          <w:color w:val="231F20"/>
          <w:spacing w:val="13"/>
        </w:rPr>
        <w:t> </w:t>
      </w:r>
      <w:r>
        <w:rPr>
          <w:color w:val="231F20"/>
        </w:rPr>
        <w:t>an</w:t>
      </w:r>
      <w:r>
        <w:rPr>
          <w:color w:val="231F20"/>
          <w:spacing w:val="13"/>
        </w:rPr>
        <w:t> </w:t>
      </w:r>
      <w:r>
        <w:rPr>
          <w:color w:val="231F20"/>
        </w:rPr>
        <w:t>override</w:t>
      </w:r>
      <w:r>
        <w:rPr>
          <w:color w:val="231F20"/>
          <w:spacing w:val="12"/>
        </w:rPr>
        <w:t> </w:t>
      </w:r>
      <w:r>
        <w:rPr>
          <w:color w:val="231F20"/>
        </w:rPr>
        <w:t>definition</w:t>
      </w:r>
      <w:r>
        <w:rPr>
          <w:color w:val="231F20"/>
          <w:spacing w:val="13"/>
        </w:rPr>
        <w:t> </w:t>
      </w:r>
      <w:r>
        <w:rPr>
          <w:color w:val="231F20"/>
        </w:rPr>
        <w:t>for</w:t>
      </w:r>
      <w:r>
        <w:rPr>
          <w:color w:val="231F20"/>
          <w:spacing w:val="12"/>
        </w:rPr>
        <w:t> </w:t>
      </w:r>
      <w:r>
        <w:rPr>
          <w:color w:val="231F20"/>
        </w:rPr>
        <w:t>a</w:t>
      </w:r>
      <w:r>
        <w:rPr>
          <w:color w:val="231F20"/>
          <w:spacing w:val="13"/>
        </w:rPr>
        <w:t> </w:t>
      </w:r>
      <w:r>
        <w:rPr>
          <w:color w:val="231F20"/>
          <w:spacing w:val="-2"/>
        </w:rPr>
        <w:t>situation:</w:t>
      </w:r>
    </w:p>
    <w:p>
      <w:pPr>
        <w:pStyle w:val="ListParagraph"/>
        <w:numPr>
          <w:ilvl w:val="0"/>
          <w:numId w:val="133"/>
        </w:numPr>
        <w:tabs>
          <w:tab w:pos="3003" w:val="left" w:leader="none"/>
        </w:tabs>
        <w:spacing w:line="240" w:lineRule="auto" w:before="30" w:after="0"/>
        <w:ind w:left="3003" w:right="0" w:hanging="315"/>
        <w:jc w:val="left"/>
        <w:rPr>
          <w:sz w:val="20"/>
        </w:rPr>
      </w:pPr>
      <w:r>
        <w:rPr>
          <w:color w:val="231F20"/>
          <w:sz w:val="20"/>
        </w:rPr>
        <w:t>Open</w:t>
      </w:r>
      <w:r>
        <w:rPr>
          <w:color w:val="231F20"/>
          <w:spacing w:val="9"/>
          <w:sz w:val="20"/>
        </w:rPr>
        <w:t> </w:t>
      </w:r>
      <w:r>
        <w:rPr>
          <w:color w:val="231F20"/>
          <w:sz w:val="20"/>
        </w:rPr>
        <w:t>the</w:t>
      </w:r>
      <w:r>
        <w:rPr>
          <w:color w:val="231F20"/>
          <w:spacing w:val="2"/>
          <w:sz w:val="20"/>
        </w:rPr>
        <w:t> </w:t>
      </w:r>
      <w:r>
        <w:rPr>
          <w:color w:val="231F20"/>
          <w:sz w:val="20"/>
        </w:rPr>
        <w:t>Add</w:t>
      </w:r>
      <w:r>
        <w:rPr>
          <w:color w:val="231F20"/>
          <w:spacing w:val="9"/>
          <w:sz w:val="20"/>
        </w:rPr>
        <w:t> </w:t>
      </w:r>
      <w:r>
        <w:rPr>
          <w:color w:val="231F20"/>
          <w:sz w:val="20"/>
        </w:rPr>
        <w:t>Expression</w:t>
      </w:r>
      <w:r>
        <w:rPr>
          <w:color w:val="231F20"/>
          <w:spacing w:val="9"/>
          <w:sz w:val="20"/>
        </w:rPr>
        <w:t> </w:t>
      </w:r>
      <w:r>
        <w:rPr>
          <w:color w:val="231F20"/>
          <w:sz w:val="20"/>
        </w:rPr>
        <w:t>Overrides</w:t>
      </w:r>
      <w:r>
        <w:rPr>
          <w:color w:val="231F20"/>
          <w:spacing w:val="9"/>
          <w:sz w:val="20"/>
        </w:rPr>
        <w:t> </w:t>
      </w:r>
      <w:r>
        <w:rPr>
          <w:color w:val="231F20"/>
          <w:spacing w:val="-2"/>
          <w:sz w:val="20"/>
        </w:rPr>
        <w:t>editor:</w:t>
      </w:r>
    </w:p>
    <w:p>
      <w:pPr>
        <w:pStyle w:val="ListParagraph"/>
        <w:numPr>
          <w:ilvl w:val="1"/>
          <w:numId w:val="133"/>
        </w:numPr>
        <w:tabs>
          <w:tab w:pos="3251" w:val="left" w:leader="none"/>
          <w:tab w:pos="3253" w:val="left" w:leader="none"/>
        </w:tabs>
        <w:spacing w:line="213" w:lineRule="auto" w:before="52" w:after="0"/>
        <w:ind w:left="3253" w:right="402" w:hanging="250"/>
        <w:jc w:val="left"/>
        <w:rPr>
          <w:sz w:val="20"/>
        </w:rPr>
      </w:pPr>
      <w:r>
        <w:rPr>
          <w:color w:val="231F20"/>
          <w:sz w:val="20"/>
        </w:rPr>
        <w:t>In the Situation editor, open the situation that has an override </w:t>
      </w:r>
      <w:r>
        <w:rPr>
          <w:color w:val="231F20"/>
          <w:sz w:val="20"/>
        </w:rPr>
        <w:t>definition assigned (indicated by </w:t>
      </w:r>
      <w:r>
        <w:rPr>
          <w:color w:val="231F20"/>
          <w:spacing w:val="16"/>
          <w:position w:val="-1"/>
          <w:sz w:val="20"/>
        </w:rPr>
        <w:drawing>
          <wp:inline distT="0" distB="0" distL="0" distR="0">
            <wp:extent cx="101600" cy="101600"/>
            <wp:effectExtent l="0" t="0" r="0" b="0"/>
            <wp:docPr id="2480" name="Image 2480"/>
            <wp:cNvGraphicFramePr>
              <a:graphicFrameLocks/>
            </wp:cNvGraphicFramePr>
            <a:graphic>
              <a:graphicData uri="http://schemas.openxmlformats.org/drawingml/2006/picture">
                <pic:pic>
                  <pic:nvPicPr>
                    <pic:cNvPr id="2480" name="Image 2480"/>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hAnsi="Times New Roman"/>
          <w:color w:val="231F20"/>
          <w:spacing w:val="16"/>
          <w:sz w:val="20"/>
        </w:rPr>
        <w:t> </w:t>
      </w:r>
      <w:r>
        <w:rPr>
          <w:color w:val="231F20"/>
          <w:sz w:val="20"/>
        </w:rPr>
        <w:t>at the right end of the status bar). In the</w:t>
      </w:r>
      <w:r>
        <w:rPr>
          <w:color w:val="231F20"/>
          <w:spacing w:val="40"/>
          <w:sz w:val="20"/>
        </w:rPr>
        <w:t> </w:t>
      </w:r>
      <w:r>
        <w:rPr>
          <w:color w:val="231F20"/>
          <w:sz w:val="20"/>
        </w:rPr>
        <w:t>Distribution tab, select the managed system (or managed systems) from the </w:t>
      </w:r>
      <w:r>
        <w:rPr>
          <w:rFonts w:ascii="Book Antiqua" w:hAnsi="Book Antiqua"/>
          <w:b/>
          <w:color w:val="231F20"/>
          <w:sz w:val="20"/>
        </w:rPr>
        <w:t>Assigned </w:t>
      </w:r>
      <w:r>
        <w:rPr>
          <w:color w:val="231F20"/>
          <w:sz w:val="20"/>
        </w:rPr>
        <w:t>list and click </w:t>
      </w:r>
      <w:r>
        <w:rPr>
          <w:rFonts w:ascii="Book Antiqua" w:hAnsi="Book Antiqua"/>
          <w:b/>
          <w:color w:val="231F20"/>
          <w:sz w:val="20"/>
        </w:rPr>
        <w:t>Override Formula</w:t>
      </w:r>
      <w:r>
        <w:rPr>
          <w:color w:val="231F20"/>
          <w:sz w:val="20"/>
        </w:rPr>
        <w:t>.</w:t>
      </w:r>
    </w:p>
    <w:p>
      <w:pPr>
        <w:pStyle w:val="ListParagraph"/>
        <w:numPr>
          <w:ilvl w:val="1"/>
          <w:numId w:val="133"/>
        </w:numPr>
        <w:tabs>
          <w:tab w:pos="3251" w:val="left" w:leader="none"/>
          <w:tab w:pos="3253" w:val="left" w:leader="none"/>
        </w:tabs>
        <w:spacing w:line="213" w:lineRule="auto" w:before="58" w:after="0"/>
        <w:ind w:left="3253" w:right="262" w:hanging="250"/>
        <w:jc w:val="both"/>
        <w:rPr>
          <w:sz w:val="20"/>
        </w:rPr>
      </w:pPr>
      <w:r>
        <w:rPr>
          <w:color w:val="231F20"/>
          <w:sz w:val="20"/>
        </w:rPr>
        <w:t>In the Manage Situations at Managed System window, select the </w:t>
      </w:r>
      <w:r>
        <w:rPr>
          <w:color w:val="231F20"/>
          <w:sz w:val="20"/>
        </w:rPr>
        <w:t>situation that has an override definition assigned (indicated by </w:t>
      </w:r>
      <w:r>
        <w:rPr>
          <w:color w:val="231F20"/>
          <w:spacing w:val="15"/>
          <w:position w:val="-1"/>
          <w:sz w:val="20"/>
        </w:rPr>
        <w:drawing>
          <wp:inline distT="0" distB="0" distL="0" distR="0">
            <wp:extent cx="101600" cy="101600"/>
            <wp:effectExtent l="0" t="0" r="0" b="0"/>
            <wp:docPr id="2481" name="Image 2481"/>
            <wp:cNvGraphicFramePr>
              <a:graphicFrameLocks/>
            </wp:cNvGraphicFramePr>
            <a:graphic>
              <a:graphicData uri="http://schemas.openxmlformats.org/drawingml/2006/picture">
                <pic:pic>
                  <pic:nvPicPr>
                    <pic:cNvPr id="2481" name="Image 2481"/>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hAnsi="Times New Roman"/>
          <w:color w:val="231F20"/>
          <w:spacing w:val="15"/>
          <w:sz w:val="20"/>
        </w:rPr>
        <w:t> </w:t>
      </w:r>
      <w:r>
        <w:rPr>
          <w:color w:val="231F20"/>
          <w:sz w:val="20"/>
        </w:rPr>
        <w:t>in the Overrides Exist column) and click </w:t>
      </w:r>
      <w:r>
        <w:rPr>
          <w:color w:val="231F20"/>
          <w:spacing w:val="16"/>
          <w:position w:val="-1"/>
          <w:sz w:val="20"/>
        </w:rPr>
        <w:drawing>
          <wp:inline distT="0" distB="0" distL="0" distR="0">
            <wp:extent cx="101600" cy="101600"/>
            <wp:effectExtent l="0" t="0" r="0" b="0"/>
            <wp:docPr id="2482" name="Image 2482"/>
            <wp:cNvGraphicFramePr>
              <a:graphicFrameLocks/>
            </wp:cNvGraphicFramePr>
            <a:graphic>
              <a:graphicData uri="http://schemas.openxmlformats.org/drawingml/2006/picture">
                <pic:pic>
                  <pic:nvPicPr>
                    <pic:cNvPr id="2482" name="Image 2482"/>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hAnsi="Times New Roman"/>
          <w:color w:val="231F20"/>
          <w:spacing w:val="-4"/>
          <w:sz w:val="20"/>
        </w:rPr>
        <w:t> </w:t>
      </w:r>
      <w:r>
        <w:rPr>
          <w:rFonts w:ascii="Book Antiqua" w:hAnsi="Book Antiqua"/>
          <w:b/>
          <w:color w:val="231F20"/>
          <w:sz w:val="20"/>
        </w:rPr>
        <w:t>Override Formula</w:t>
      </w:r>
      <w:r>
        <w:rPr>
          <w:color w:val="231F20"/>
          <w:sz w:val="20"/>
        </w:rPr>
        <w:t>.</w:t>
      </w:r>
    </w:p>
    <w:p>
      <w:pPr>
        <w:pStyle w:val="ListParagraph"/>
        <w:numPr>
          <w:ilvl w:val="0"/>
          <w:numId w:val="133"/>
        </w:numPr>
        <w:tabs>
          <w:tab w:pos="3004" w:val="left" w:leader="none"/>
        </w:tabs>
        <w:spacing w:line="213" w:lineRule="auto" w:before="57" w:after="0"/>
        <w:ind w:left="3004" w:right="528" w:hanging="316"/>
        <w:jc w:val="both"/>
        <w:rPr>
          <w:sz w:val="20"/>
        </w:rPr>
      </w:pPr>
      <w:r>
        <w:rPr>
          <w:color w:val="231F20"/>
          <w:sz w:val="20"/>
        </w:rPr>
        <w:t>Select the check box for each override definition that you want to </w:t>
      </w:r>
      <w:r>
        <w:rPr>
          <w:color w:val="231F20"/>
          <w:sz w:val="20"/>
        </w:rPr>
        <w:t>remove and click </w:t>
      </w:r>
      <w:r>
        <w:rPr>
          <w:rFonts w:ascii="Book Antiqua"/>
          <w:b/>
          <w:color w:val="231F20"/>
          <w:sz w:val="20"/>
        </w:rPr>
        <w:t>Remove</w:t>
      </w:r>
      <w:r>
        <w:rPr>
          <w:color w:val="231F20"/>
          <w:sz w:val="20"/>
        </w:rPr>
        <w:t>.</w:t>
      </w:r>
    </w:p>
    <w:p>
      <w:pPr>
        <w:pStyle w:val="ListParagraph"/>
        <w:numPr>
          <w:ilvl w:val="0"/>
          <w:numId w:val="133"/>
        </w:numPr>
        <w:tabs>
          <w:tab w:pos="3004" w:val="left" w:leader="none"/>
        </w:tabs>
        <w:spacing w:line="213" w:lineRule="auto" w:before="59" w:after="0"/>
        <w:ind w:left="3004" w:right="543" w:hanging="316"/>
        <w:jc w:val="both"/>
        <w:rPr>
          <w:sz w:val="20"/>
        </w:rPr>
      </w:pPr>
      <w:r>
        <w:rPr>
          <w:color w:val="231F20"/>
          <w:sz w:val="20"/>
        </w:rPr>
        <w:t>Save your changes by clicking </w:t>
      </w:r>
      <w:r>
        <w:rPr>
          <w:rFonts w:ascii="Book Antiqua"/>
          <w:b/>
          <w:color w:val="231F20"/>
          <w:sz w:val="20"/>
        </w:rPr>
        <w:t>Apply </w:t>
      </w:r>
      <w:r>
        <w:rPr>
          <w:color w:val="231F20"/>
          <w:sz w:val="20"/>
        </w:rPr>
        <w:t>to keep the window open or </w:t>
      </w:r>
      <w:r>
        <w:rPr>
          <w:rFonts w:ascii="Book Antiqua"/>
          <w:b/>
          <w:color w:val="231F20"/>
          <w:sz w:val="20"/>
        </w:rPr>
        <w:t>OK </w:t>
      </w:r>
      <w:r>
        <w:rPr>
          <w:color w:val="231F20"/>
          <w:sz w:val="20"/>
        </w:rPr>
        <w:t>to close the window.</w:t>
      </w:r>
    </w:p>
    <w:p>
      <w:pPr>
        <w:pStyle w:val="BodyText"/>
        <w:spacing w:before="35"/>
        <w:ind w:left="2472"/>
        <w:jc w:val="both"/>
      </w:pPr>
      <w:r>
        <w:rPr>
          <w:rFonts w:ascii="Futura MdCn BT"/>
          <w:color w:val="231F20"/>
        </w:rPr>
        <w:t>v</w:t>
      </w:r>
      <w:r>
        <w:rPr>
          <w:rFonts w:ascii="Futura MdCn BT"/>
          <w:color w:val="231F20"/>
          <w:spacing w:val="31"/>
        </w:rPr>
        <w:t>  </w:t>
      </w:r>
      <w:r>
        <w:rPr>
          <w:color w:val="231F20"/>
        </w:rPr>
        <w:t>Remove</w:t>
      </w:r>
      <w:r>
        <w:rPr>
          <w:color w:val="231F20"/>
          <w:spacing w:val="13"/>
        </w:rPr>
        <w:t> </w:t>
      </w:r>
      <w:r>
        <w:rPr>
          <w:color w:val="231F20"/>
        </w:rPr>
        <w:t>all</w:t>
      </w:r>
      <w:r>
        <w:rPr>
          <w:color w:val="231F20"/>
          <w:spacing w:val="13"/>
        </w:rPr>
        <w:t> </w:t>
      </w:r>
      <w:r>
        <w:rPr>
          <w:color w:val="231F20"/>
        </w:rPr>
        <w:t>the</w:t>
      </w:r>
      <w:r>
        <w:rPr>
          <w:color w:val="231F20"/>
          <w:spacing w:val="12"/>
        </w:rPr>
        <w:t> </w:t>
      </w:r>
      <w:r>
        <w:rPr>
          <w:color w:val="231F20"/>
        </w:rPr>
        <w:t>override</w:t>
      </w:r>
      <w:r>
        <w:rPr>
          <w:color w:val="231F20"/>
          <w:spacing w:val="13"/>
        </w:rPr>
        <w:t> </w:t>
      </w:r>
      <w:r>
        <w:rPr>
          <w:color w:val="231F20"/>
        </w:rPr>
        <w:t>definitions</w:t>
      </w:r>
      <w:r>
        <w:rPr>
          <w:color w:val="231F20"/>
          <w:spacing w:val="12"/>
        </w:rPr>
        <w:t> </w:t>
      </w:r>
      <w:r>
        <w:rPr>
          <w:color w:val="231F20"/>
        </w:rPr>
        <w:t>for</w:t>
      </w:r>
      <w:r>
        <w:rPr>
          <w:color w:val="231F20"/>
          <w:spacing w:val="13"/>
        </w:rPr>
        <w:t> </w:t>
      </w:r>
      <w:r>
        <w:rPr>
          <w:color w:val="231F20"/>
        </w:rPr>
        <w:t>a</w:t>
      </w:r>
      <w:r>
        <w:rPr>
          <w:color w:val="231F20"/>
          <w:spacing w:val="12"/>
        </w:rPr>
        <w:t> </w:t>
      </w:r>
      <w:r>
        <w:rPr>
          <w:color w:val="231F20"/>
          <w:spacing w:val="-2"/>
        </w:rPr>
        <w:t>situation:</w:t>
      </w:r>
    </w:p>
    <w:p>
      <w:pPr>
        <w:pStyle w:val="ListParagraph"/>
        <w:numPr>
          <w:ilvl w:val="0"/>
          <w:numId w:val="134"/>
        </w:numPr>
        <w:tabs>
          <w:tab w:pos="3004" w:val="left" w:leader="none"/>
        </w:tabs>
        <w:spacing w:line="213" w:lineRule="auto" w:before="53" w:after="0"/>
        <w:ind w:left="3004" w:right="167" w:hanging="316"/>
        <w:jc w:val="left"/>
        <w:rPr>
          <w:sz w:val="20"/>
        </w:rPr>
      </w:pPr>
      <w:r>
        <w:rPr>
          <w:color w:val="231F20"/>
          <w:sz w:val="20"/>
        </w:rPr>
        <w:t>Click </w:t>
      </w:r>
      <w:r>
        <w:rPr>
          <w:color w:val="231F20"/>
          <w:spacing w:val="16"/>
          <w:position w:val="-1"/>
          <w:sz w:val="20"/>
        </w:rPr>
        <w:drawing>
          <wp:inline distT="0" distB="0" distL="0" distR="0">
            <wp:extent cx="101600" cy="95250"/>
            <wp:effectExtent l="0" t="0" r="0" b="0"/>
            <wp:docPr id="2483" name="Image 2483"/>
            <wp:cNvGraphicFramePr>
              <a:graphicFrameLocks/>
            </wp:cNvGraphicFramePr>
            <a:graphic>
              <a:graphicData uri="http://schemas.openxmlformats.org/drawingml/2006/picture">
                <pic:pic>
                  <pic:nvPicPr>
                    <pic:cNvPr id="2483" name="Image 2483"/>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Situation Editor </w:t>
      </w:r>
      <w:r>
        <w:rPr>
          <w:color w:val="231F20"/>
          <w:sz w:val="20"/>
        </w:rPr>
        <w:t>or right-click the Navigator item that the situation is associated with and click </w:t>
      </w:r>
      <w:r>
        <w:rPr>
          <w:color w:val="231F20"/>
          <w:spacing w:val="16"/>
          <w:position w:val="-1"/>
          <w:sz w:val="20"/>
        </w:rPr>
        <w:drawing>
          <wp:inline distT="0" distB="0" distL="0" distR="0">
            <wp:extent cx="101600" cy="95250"/>
            <wp:effectExtent l="0" t="0" r="0" b="0"/>
            <wp:docPr id="2484" name="Image 2484"/>
            <wp:cNvGraphicFramePr>
              <a:graphicFrameLocks/>
            </wp:cNvGraphicFramePr>
            <a:graphic>
              <a:graphicData uri="http://schemas.openxmlformats.org/drawingml/2006/picture">
                <pic:pic>
                  <pic:nvPicPr>
                    <pic:cNvPr id="2484" name="Image 2484"/>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z w:val="20"/>
        </w:rPr>
        <w:t> </w:t>
      </w:r>
      <w:r>
        <w:rPr>
          <w:rFonts w:ascii="Book Antiqua"/>
          <w:b/>
          <w:color w:val="231F20"/>
          <w:sz w:val="20"/>
        </w:rPr>
        <w:t>Situations</w:t>
      </w:r>
      <w:r>
        <w:rPr>
          <w:color w:val="231F20"/>
          <w:sz w:val="20"/>
        </w:rPr>
        <w:t>.</w:t>
      </w:r>
    </w:p>
    <w:p>
      <w:pPr>
        <w:pStyle w:val="ListParagraph"/>
        <w:numPr>
          <w:ilvl w:val="0"/>
          <w:numId w:val="134"/>
        </w:numPr>
        <w:tabs>
          <w:tab w:pos="3004" w:val="left" w:leader="none"/>
        </w:tabs>
        <w:spacing w:line="213" w:lineRule="auto" w:before="59" w:after="0"/>
        <w:ind w:left="3004" w:right="719" w:hanging="316"/>
        <w:jc w:val="left"/>
        <w:rPr>
          <w:sz w:val="20"/>
        </w:rPr>
      </w:pPr>
      <w:r>
        <w:rPr>
          <w:color w:val="231F20"/>
          <w:sz w:val="20"/>
        </w:rPr>
        <w:t>In the Situations tree, right-click the situation. (Use Ctrl + click to </w:t>
      </w:r>
      <w:r>
        <w:rPr>
          <w:color w:val="231F20"/>
          <w:sz w:val="20"/>
        </w:rPr>
        <w:t>select multiple</w:t>
      </w:r>
      <w:r>
        <w:rPr>
          <w:color w:val="231F20"/>
          <w:spacing w:val="30"/>
          <w:sz w:val="20"/>
        </w:rPr>
        <w:t> </w:t>
      </w:r>
      <w:r>
        <w:rPr>
          <w:color w:val="231F20"/>
          <w:sz w:val="20"/>
        </w:rPr>
        <w:t>entries</w:t>
      </w:r>
      <w:r>
        <w:rPr>
          <w:color w:val="231F20"/>
          <w:spacing w:val="30"/>
          <w:sz w:val="20"/>
        </w:rPr>
        <w:t> </w:t>
      </w:r>
      <w:r>
        <w:rPr>
          <w:color w:val="231F20"/>
          <w:sz w:val="20"/>
        </w:rPr>
        <w:t>or</w:t>
      </w:r>
      <w:r>
        <w:rPr>
          <w:color w:val="231F20"/>
          <w:spacing w:val="30"/>
          <w:sz w:val="20"/>
        </w:rPr>
        <w:t> </w:t>
      </w:r>
      <w:r>
        <w:rPr>
          <w:color w:val="231F20"/>
          <w:sz w:val="20"/>
        </w:rPr>
        <w:t>Shift</w:t>
      </w:r>
      <w:r>
        <w:rPr>
          <w:color w:val="231F20"/>
          <w:spacing w:val="30"/>
          <w:sz w:val="20"/>
        </w:rPr>
        <w:t> </w:t>
      </w:r>
      <w:r>
        <w:rPr>
          <w:color w:val="231F20"/>
          <w:sz w:val="20"/>
        </w:rPr>
        <w:t>+</w:t>
      </w:r>
      <w:r>
        <w:rPr>
          <w:color w:val="231F20"/>
          <w:spacing w:val="30"/>
          <w:sz w:val="20"/>
        </w:rPr>
        <w:t> </w:t>
      </w:r>
      <w:r>
        <w:rPr>
          <w:color w:val="231F20"/>
          <w:sz w:val="20"/>
        </w:rPr>
        <w:t>click</w:t>
      </w:r>
      <w:r>
        <w:rPr>
          <w:color w:val="231F20"/>
          <w:spacing w:val="30"/>
          <w:sz w:val="20"/>
        </w:rPr>
        <w:t> </w:t>
      </w:r>
      <w:r>
        <w:rPr>
          <w:color w:val="231F20"/>
          <w:sz w:val="20"/>
        </w:rPr>
        <w:t>to</w:t>
      </w:r>
      <w:r>
        <w:rPr>
          <w:color w:val="231F20"/>
          <w:spacing w:val="30"/>
          <w:sz w:val="20"/>
        </w:rPr>
        <w:t> </w:t>
      </w:r>
      <w:r>
        <w:rPr>
          <w:color w:val="231F20"/>
          <w:sz w:val="20"/>
        </w:rPr>
        <w:t>select</w:t>
      </w:r>
      <w:r>
        <w:rPr>
          <w:color w:val="231F20"/>
          <w:spacing w:val="30"/>
          <w:sz w:val="20"/>
        </w:rPr>
        <w:t> </w:t>
      </w:r>
      <w:r>
        <w:rPr>
          <w:color w:val="231F20"/>
          <w:sz w:val="20"/>
        </w:rPr>
        <w:t>all</w:t>
      </w:r>
      <w:r>
        <w:rPr>
          <w:color w:val="231F20"/>
          <w:spacing w:val="30"/>
          <w:sz w:val="20"/>
        </w:rPr>
        <w:t> </w:t>
      </w:r>
      <w:r>
        <w:rPr>
          <w:color w:val="231F20"/>
          <w:sz w:val="20"/>
        </w:rPr>
        <w:t>entries</w:t>
      </w:r>
      <w:r>
        <w:rPr>
          <w:color w:val="231F20"/>
          <w:spacing w:val="30"/>
          <w:sz w:val="20"/>
        </w:rPr>
        <w:t> </w:t>
      </w:r>
      <w:r>
        <w:rPr>
          <w:color w:val="231F20"/>
          <w:sz w:val="20"/>
        </w:rPr>
        <w:t>between</w:t>
      </w:r>
      <w:r>
        <w:rPr>
          <w:color w:val="231F20"/>
          <w:spacing w:val="30"/>
          <w:sz w:val="20"/>
        </w:rPr>
        <w:t> </w:t>
      </w:r>
      <w:r>
        <w:rPr>
          <w:color w:val="231F20"/>
          <w:sz w:val="20"/>
        </w:rPr>
        <w:t>the</w:t>
      </w:r>
      <w:r>
        <w:rPr>
          <w:color w:val="231F20"/>
          <w:spacing w:val="30"/>
          <w:sz w:val="20"/>
        </w:rPr>
        <w:t> </w:t>
      </w:r>
      <w:r>
        <w:rPr>
          <w:color w:val="231F20"/>
          <w:sz w:val="20"/>
        </w:rPr>
        <w:t>one</w:t>
      </w:r>
    </w:p>
    <w:p>
      <w:pPr>
        <w:spacing w:after="0" w:line="213" w:lineRule="auto"/>
        <w:jc w:val="left"/>
        <w:rPr>
          <w:sz w:val="20"/>
        </w:rPr>
        <w:sectPr>
          <w:pgSz w:w="12240" w:h="15840"/>
          <w:pgMar w:header="0" w:footer="736" w:top="1140" w:bottom="920" w:left="1000" w:right="1060"/>
        </w:sectPr>
      </w:pPr>
    </w:p>
    <w:p>
      <w:pPr>
        <w:pStyle w:val="BodyText"/>
        <w:spacing w:line="213" w:lineRule="auto" w:before="85"/>
        <w:ind w:left="2764" w:right="603"/>
      </w:pPr>
      <w:bookmarkStart w:name="_bookmark223" w:id="469"/>
      <w:bookmarkEnd w:id="469"/>
      <w:r>
        <w:rPr/>
      </w:r>
      <w:r>
        <w:rPr>
          <w:color w:val="231F20"/>
        </w:rPr>
        <w:t>previously selected and this one.) Situations with override definitions </w:t>
      </w:r>
      <w:r>
        <w:rPr>
          <w:color w:val="231F20"/>
        </w:rPr>
        <w:t>show an </w:t>
      </w:r>
      <w:r>
        <w:rPr>
          <w:color w:val="231F20"/>
          <w:spacing w:val="16"/>
          <w:position w:val="-1"/>
        </w:rPr>
        <w:drawing>
          <wp:inline distT="0" distB="0" distL="0" distR="0">
            <wp:extent cx="101600" cy="101600"/>
            <wp:effectExtent l="0" t="0" r="0" b="0"/>
            <wp:docPr id="2485" name="Image 2485"/>
            <wp:cNvGraphicFramePr>
              <a:graphicFrameLocks/>
            </wp:cNvGraphicFramePr>
            <a:graphic>
              <a:graphicData uri="http://schemas.openxmlformats.org/drawingml/2006/picture">
                <pic:pic>
                  <pic:nvPicPr>
                    <pic:cNvPr id="2485" name="Image 2485"/>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override indicator at the right end of the status bar.</w:t>
      </w:r>
    </w:p>
    <w:p>
      <w:pPr>
        <w:pStyle w:val="ListParagraph"/>
        <w:numPr>
          <w:ilvl w:val="0"/>
          <w:numId w:val="134"/>
        </w:numPr>
        <w:tabs>
          <w:tab w:pos="2763" w:val="left" w:leader="none"/>
        </w:tabs>
        <w:spacing w:line="240" w:lineRule="auto" w:before="35" w:after="0"/>
        <w:ind w:left="2763" w:right="0" w:hanging="315"/>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95250"/>
            <wp:effectExtent l="0" t="0" r="0" b="0"/>
            <wp:docPr id="2486" name="Image 2486"/>
            <wp:cNvGraphicFramePr>
              <a:graphicFrameLocks/>
            </wp:cNvGraphicFramePr>
            <a:graphic>
              <a:graphicData uri="http://schemas.openxmlformats.org/drawingml/2006/picture">
                <pic:pic>
                  <pic:nvPicPr>
                    <pic:cNvPr id="2486" name="Image 2486"/>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0"/>
          <w:sz w:val="20"/>
        </w:rPr>
        <w:t> </w:t>
      </w:r>
      <w:r>
        <w:rPr>
          <w:rFonts w:ascii="Book Antiqua"/>
          <w:b/>
          <w:color w:val="231F20"/>
          <w:sz w:val="20"/>
        </w:rPr>
        <w:t>Remove</w:t>
      </w:r>
      <w:r>
        <w:rPr>
          <w:rFonts w:ascii="Book Antiqua"/>
          <w:b/>
          <w:color w:val="231F20"/>
          <w:spacing w:val="12"/>
          <w:sz w:val="20"/>
        </w:rPr>
        <w:t> </w:t>
      </w:r>
      <w:r>
        <w:rPr>
          <w:rFonts w:ascii="Book Antiqua"/>
          <w:b/>
          <w:color w:val="231F20"/>
          <w:sz w:val="20"/>
        </w:rPr>
        <w:t>All</w:t>
      </w:r>
      <w:r>
        <w:rPr>
          <w:rFonts w:ascii="Book Antiqua"/>
          <w:b/>
          <w:color w:val="231F20"/>
          <w:spacing w:val="13"/>
          <w:sz w:val="20"/>
        </w:rPr>
        <w:t> </w:t>
      </w:r>
      <w:r>
        <w:rPr>
          <w:rFonts w:ascii="Book Antiqua"/>
          <w:b/>
          <w:color w:val="231F20"/>
          <w:spacing w:val="-2"/>
          <w:sz w:val="20"/>
        </w:rPr>
        <w:t>Overrides</w:t>
      </w:r>
      <w:r>
        <w:rPr>
          <w:color w:val="231F20"/>
          <w:spacing w:val="-2"/>
          <w:sz w:val="20"/>
        </w:rPr>
        <w:t>.</w:t>
      </w:r>
    </w:p>
    <w:p>
      <w:pPr>
        <w:pStyle w:val="Heading4"/>
        <w:spacing w:before="19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493"/>
      </w:pPr>
      <w:r>
        <w:rPr>
          <w:color w:val="231F20"/>
        </w:rPr>
        <w:t>If you are in the Situation editor and want to edit the definition, you first must</w:t>
      </w:r>
      <w:r>
        <w:rPr>
          <w:color w:val="231F20"/>
          <w:spacing w:val="40"/>
        </w:rPr>
        <w:t> </w:t>
      </w:r>
      <w:r>
        <w:rPr>
          <w:color w:val="231F20"/>
        </w:rPr>
        <w:t>refresh the situation. To do this, click another situation in the tree, then click this situation again. After the situation has been refreshed, you no longer see </w:t>
      </w:r>
      <w:r>
        <w:rPr>
          <w:color w:val="231F20"/>
          <w:spacing w:val="14"/>
          <w:position w:val="-1"/>
        </w:rPr>
        <w:drawing>
          <wp:inline distT="0" distB="0" distL="0" distR="0">
            <wp:extent cx="101600" cy="101600"/>
            <wp:effectExtent l="0" t="0" r="0" b="0"/>
            <wp:docPr id="2487" name="Image 2487"/>
            <wp:cNvGraphicFramePr>
              <a:graphicFrameLocks/>
            </wp:cNvGraphicFramePr>
            <a:graphic>
              <a:graphicData uri="http://schemas.openxmlformats.org/drawingml/2006/picture">
                <pic:pic>
                  <pic:nvPicPr>
                    <pic:cNvPr id="2487" name="Image 2487"/>
                    <pic:cNvPicPr/>
                  </pic:nvPicPr>
                  <pic:blipFill>
                    <a:blip r:embed="rId98" cstate="print"/>
                    <a:stretch>
                      <a:fillRect/>
                    </a:stretch>
                  </pic:blipFill>
                  <pic:spPr>
                    <a:xfrm>
                      <a:off x="0" y="0"/>
                      <a:ext cx="101600" cy="101600"/>
                    </a:xfrm>
                    <a:prstGeom prst="rect">
                      <a:avLst/>
                    </a:prstGeom>
                  </pic:spPr>
                </pic:pic>
              </a:graphicData>
            </a:graphic>
          </wp:inline>
        </w:drawing>
      </w:r>
      <w:r>
        <w:rPr>
          <w:color w:val="231F20"/>
          <w:spacing w:val="14"/>
          <w:position w:val="-1"/>
        </w:rPr>
      </w:r>
      <w:r>
        <w:rPr>
          <w:rFonts w:ascii="Times New Roman"/>
          <w:color w:val="231F20"/>
          <w:spacing w:val="40"/>
        </w:rPr>
        <w:t> </w:t>
      </w:r>
      <w:r>
        <w:rPr>
          <w:color w:val="231F20"/>
        </w:rPr>
        <w:t>in the status bar.</w:t>
      </w:r>
    </w:p>
    <w:p>
      <w:pPr>
        <w:pStyle w:val="Heading3"/>
        <w:spacing w:before="216"/>
        <w:ind w:left="1334"/>
      </w:pPr>
      <w:bookmarkStart w:name="Expression override and scheduling windo" w:id="470"/>
      <w:bookmarkEnd w:id="470"/>
      <w:r>
        <w:rPr>
          <w:b w:val="0"/>
        </w:rPr>
      </w:r>
      <w:r>
        <w:rPr>
          <w:color w:val="231F20"/>
        </w:rPr>
        <w:t>Expression</w:t>
      </w:r>
      <w:r>
        <w:rPr>
          <w:color w:val="231F20"/>
          <w:spacing w:val="3"/>
        </w:rPr>
        <w:t> </w:t>
      </w:r>
      <w:r>
        <w:rPr>
          <w:color w:val="231F20"/>
        </w:rPr>
        <w:t>override</w:t>
      </w:r>
      <w:r>
        <w:rPr>
          <w:color w:val="231F20"/>
          <w:spacing w:val="4"/>
        </w:rPr>
        <w:t> </w:t>
      </w:r>
      <w:r>
        <w:rPr>
          <w:color w:val="231F20"/>
        </w:rPr>
        <w:t>and</w:t>
      </w:r>
      <w:r>
        <w:rPr>
          <w:color w:val="231F20"/>
          <w:spacing w:val="3"/>
        </w:rPr>
        <w:t> </w:t>
      </w:r>
      <w:r>
        <w:rPr>
          <w:color w:val="231F20"/>
        </w:rPr>
        <w:t>scheduling</w:t>
      </w:r>
      <w:r>
        <w:rPr>
          <w:color w:val="231F20"/>
          <w:spacing w:val="4"/>
        </w:rPr>
        <w:t> </w:t>
      </w:r>
      <w:r>
        <w:rPr>
          <w:color w:val="231F20"/>
          <w:spacing w:val="-2"/>
        </w:rPr>
        <w:t>windows</w:t>
      </w:r>
    </w:p>
    <w:p>
      <w:pPr>
        <w:pStyle w:val="BodyText"/>
        <w:spacing w:line="213" w:lineRule="auto" w:before="58"/>
        <w:ind w:left="2232" w:right="603"/>
      </w:pPr>
      <w:r>
        <w:rPr>
          <w:color w:val="231F20"/>
        </w:rPr>
        <w:t>Use the Expression override editor to create overrides for dynamic </w:t>
      </w:r>
      <w:r>
        <w:rPr>
          <w:color w:val="231F20"/>
        </w:rPr>
        <w:t>thresholding </w:t>
      </w:r>
      <w:bookmarkStart w:name="Add Expression Overrides" w:id="471"/>
      <w:bookmarkEnd w:id="471"/>
      <w:r>
        <w:rPr>
          <w:color w:val="231F20"/>
        </w:rPr>
        <w:t>and</w:t>
      </w:r>
      <w:r>
        <w:rPr>
          <w:color w:val="231F20"/>
        </w:rPr>
        <w:t> use the override schedule dialogs to determine when they should run.</w:t>
      </w:r>
    </w:p>
    <w:p>
      <w:pPr>
        <w:pStyle w:val="Heading4"/>
        <w:spacing w:line="273" w:lineRule="exact" w:before="165"/>
      </w:pPr>
      <w:r>
        <w:rPr>
          <w:color w:val="231F20"/>
        </w:rPr>
        <w:t>Add</w:t>
      </w:r>
      <w:r>
        <w:rPr>
          <w:color w:val="231F20"/>
          <w:spacing w:val="4"/>
        </w:rPr>
        <w:t> </w:t>
      </w:r>
      <w:r>
        <w:rPr>
          <w:color w:val="231F20"/>
        </w:rPr>
        <w:t>Expression</w:t>
      </w:r>
      <w:r>
        <w:rPr>
          <w:color w:val="231F20"/>
          <w:spacing w:val="4"/>
        </w:rPr>
        <w:t> </w:t>
      </w:r>
      <w:r>
        <w:rPr>
          <w:color w:val="231F20"/>
          <w:spacing w:val="-2"/>
        </w:rPr>
        <w:t>Overrides</w:t>
      </w:r>
    </w:p>
    <w:p>
      <w:pPr>
        <w:pStyle w:val="BodyText"/>
        <w:spacing w:line="213" w:lineRule="auto" w:before="20"/>
        <w:ind w:left="2232" w:right="636"/>
      </w:pPr>
      <w:r>
        <w:rPr>
          <w:color w:val="231F20"/>
        </w:rPr>
        <w:t>You can use the Add Expression Overrides window to define a situation </w:t>
      </w:r>
      <w:r>
        <w:rPr>
          <w:color w:val="231F20"/>
        </w:rPr>
        <w:t>override to be distributed to one or more managed systems.</w:t>
      </w:r>
    </w:p>
    <w:p>
      <w:pPr>
        <w:pStyle w:val="BodyText"/>
        <w:spacing w:line="213" w:lineRule="auto" w:before="238"/>
        <w:ind w:left="2232" w:right="545"/>
      </w:pPr>
      <w:r>
        <w:rPr>
          <w:color w:val="231F20"/>
        </w:rPr>
        <w:t>A situation override is a set of expressions that can conditionally substitute comparison values that are different from those in the situation formula, and applied to one or more of the managed systems that the situation is distributed </w:t>
      </w:r>
      <w:r>
        <w:rPr>
          <w:color w:val="231F20"/>
        </w:rPr>
        <w:t>to.</w:t>
      </w:r>
    </w:p>
    <w:p>
      <w:pPr>
        <w:pStyle w:val="BodyText"/>
        <w:spacing w:line="213" w:lineRule="auto" w:before="238"/>
        <w:ind w:left="2232" w:right="545"/>
      </w:pPr>
      <w:r>
        <w:rPr>
          <w:color w:val="231F20"/>
        </w:rPr>
        <w:t>The Add Expression Overrides window supports creating expression overrides using specified comparison values. You can also use expression modeling to create the override expression from a calculated baseline value.</w:t>
      </w:r>
    </w:p>
    <w:p>
      <w:pPr>
        <w:pStyle w:val="Heading6"/>
        <w:spacing w:before="116"/>
        <w:ind w:left="2232"/>
      </w:pPr>
      <w:r>
        <w:rPr>
          <w:color w:val="231F20"/>
        </w:rPr>
        <w:t>Navigation</w:t>
      </w:r>
      <w:r>
        <w:rPr>
          <w:color w:val="231F20"/>
          <w:spacing w:val="5"/>
        </w:rPr>
        <w:t> </w:t>
      </w:r>
      <w:r>
        <w:rPr>
          <w:color w:val="231F20"/>
          <w:spacing w:val="-4"/>
        </w:rPr>
        <w:t>tree</w:t>
      </w:r>
    </w:p>
    <w:p>
      <w:pPr>
        <w:pStyle w:val="BodyText"/>
        <w:spacing w:line="213" w:lineRule="auto" w:before="12"/>
        <w:ind w:left="2951" w:right="545"/>
      </w:pPr>
      <w:r>
        <w:rPr>
          <w:color w:val="231F20"/>
        </w:rPr>
        <w:t>The navigation tree on the left side of the window shows the situation </w:t>
      </w:r>
      <w:r>
        <w:rPr>
          <w:color w:val="231F20"/>
        </w:rPr>
        <w:t>you are currently editing and the assigned managed systems and managed system groups for the situation, with the currently selected entries highlighted. You can click items in this list to change which systems are included in the override.</w:t>
      </w:r>
    </w:p>
    <w:p>
      <w:pPr>
        <w:pStyle w:val="Heading6"/>
        <w:spacing w:before="115"/>
        <w:ind w:left="2232"/>
      </w:pPr>
      <w:r>
        <w:rPr>
          <w:color w:val="231F20"/>
        </w:rPr>
        <w:t>Reference</w:t>
      </w:r>
      <w:r>
        <w:rPr>
          <w:color w:val="231F20"/>
          <w:spacing w:val="6"/>
        </w:rPr>
        <w:t> </w:t>
      </w:r>
      <w:r>
        <w:rPr>
          <w:color w:val="231F20"/>
          <w:spacing w:val="-2"/>
        </w:rPr>
        <w:t>formula</w:t>
      </w:r>
    </w:p>
    <w:p>
      <w:pPr>
        <w:pStyle w:val="BodyText"/>
        <w:spacing w:line="213" w:lineRule="auto" w:before="11"/>
        <w:ind w:left="2951" w:right="545"/>
      </w:pPr>
      <w:r>
        <w:rPr>
          <w:color w:val="231F20"/>
        </w:rPr>
        <w:t>The </w:t>
      </w:r>
      <w:r>
        <w:rPr>
          <w:rFonts w:ascii="Book Antiqua"/>
          <w:b/>
          <w:color w:val="231F20"/>
        </w:rPr>
        <w:t>Reference formula </w:t>
      </w:r>
      <w:r>
        <w:rPr>
          <w:color w:val="231F20"/>
        </w:rPr>
        <w:t>area shows the original situation formula. This </w:t>
      </w:r>
      <w:r>
        <w:rPr>
          <w:color w:val="231F20"/>
        </w:rPr>
        <w:t>is the formula you are overriding. You can view the reference formula as a table or graphic by clicking the respective </w:t>
      </w:r>
      <w:r>
        <w:rPr>
          <w:color w:val="231F20"/>
          <w:spacing w:val="-25"/>
          <w:position w:val="-1"/>
        </w:rPr>
        <w:drawing>
          <wp:inline distT="0" distB="0" distL="0" distR="0">
            <wp:extent cx="95250" cy="95250"/>
            <wp:effectExtent l="0" t="0" r="0" b="0"/>
            <wp:docPr id="2488" name="Image 2488"/>
            <wp:cNvGraphicFramePr>
              <a:graphicFrameLocks/>
            </wp:cNvGraphicFramePr>
            <a:graphic>
              <a:graphicData uri="http://schemas.openxmlformats.org/drawingml/2006/picture">
                <pic:pic>
                  <pic:nvPicPr>
                    <pic:cNvPr id="2488" name="Image 2488"/>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Table View </w:t>
      </w:r>
      <w:r>
        <w:rPr>
          <w:color w:val="231F20"/>
        </w:rPr>
        <w:t>or </w:t>
      </w:r>
      <w:r>
        <w:rPr>
          <w:color w:val="231F20"/>
          <w:spacing w:val="16"/>
          <w:position w:val="-1"/>
        </w:rPr>
        <w:drawing>
          <wp:inline distT="0" distB="0" distL="0" distR="0">
            <wp:extent cx="101600" cy="101600"/>
            <wp:effectExtent l="0" t="0" r="0" b="0"/>
            <wp:docPr id="2489" name="Image 2489"/>
            <wp:cNvGraphicFramePr>
              <a:graphicFrameLocks/>
            </wp:cNvGraphicFramePr>
            <a:graphic>
              <a:graphicData uri="http://schemas.openxmlformats.org/drawingml/2006/picture">
                <pic:pic>
                  <pic:nvPicPr>
                    <pic:cNvPr id="2489" name="Image 2489"/>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4"/>
        </w:rPr>
        <w:t> </w:t>
      </w:r>
      <w:r>
        <w:rPr>
          <w:rFonts w:ascii="Book Antiqua"/>
          <w:b/>
          <w:color w:val="231F20"/>
        </w:rPr>
        <w:t>Graphic View </w:t>
      </w:r>
      <w:r>
        <w:rPr>
          <w:color w:val="231F20"/>
        </w:rPr>
        <w:t>tab.</w:t>
      </w:r>
    </w:p>
    <w:p>
      <w:pPr>
        <w:pStyle w:val="Heading6"/>
        <w:spacing w:before="116"/>
        <w:ind w:left="2232"/>
      </w:pPr>
      <w:r>
        <w:rPr>
          <w:color w:val="231F20"/>
        </w:rPr>
        <w:t>Formula</w:t>
      </w:r>
      <w:r>
        <w:rPr>
          <w:color w:val="231F20"/>
          <w:spacing w:val="8"/>
        </w:rPr>
        <w:t> </w:t>
      </w:r>
      <w:r>
        <w:rPr>
          <w:color w:val="231F20"/>
          <w:spacing w:val="-2"/>
        </w:rPr>
        <w:t>overrides</w:t>
      </w:r>
    </w:p>
    <w:p>
      <w:pPr>
        <w:pStyle w:val="BodyText"/>
        <w:spacing w:line="213" w:lineRule="auto" w:before="11"/>
        <w:ind w:left="2951" w:right="565"/>
      </w:pPr>
      <w:r>
        <w:rPr>
          <w:color w:val="231F20"/>
        </w:rPr>
        <w:t>The</w:t>
      </w:r>
      <w:r>
        <w:rPr>
          <w:color w:val="231F20"/>
          <w:spacing w:val="27"/>
        </w:rPr>
        <w:t> </w:t>
      </w:r>
      <w:r>
        <w:rPr>
          <w:rFonts w:ascii="Book Antiqua"/>
          <w:b/>
          <w:color w:val="231F20"/>
        </w:rPr>
        <w:t>Expressions</w:t>
      </w:r>
      <w:r>
        <w:rPr>
          <w:rFonts w:ascii="Book Antiqua"/>
          <w:b/>
          <w:color w:val="231F20"/>
          <w:spacing w:val="27"/>
        </w:rPr>
        <w:t> </w:t>
      </w:r>
      <w:r>
        <w:rPr>
          <w:color w:val="231F20"/>
        </w:rPr>
        <w:t>tab</w:t>
      </w:r>
      <w:r>
        <w:rPr>
          <w:color w:val="231F20"/>
          <w:spacing w:val="27"/>
        </w:rPr>
        <w:t> </w:t>
      </w:r>
      <w:r>
        <w:rPr>
          <w:color w:val="231F20"/>
        </w:rPr>
        <w:t>is</w:t>
      </w:r>
      <w:r>
        <w:rPr>
          <w:color w:val="231F20"/>
          <w:spacing w:val="27"/>
        </w:rPr>
        <w:t> </w:t>
      </w:r>
      <w:r>
        <w:rPr>
          <w:color w:val="231F20"/>
        </w:rPr>
        <w:t>divided</w:t>
      </w:r>
      <w:r>
        <w:rPr>
          <w:color w:val="231F20"/>
          <w:spacing w:val="27"/>
        </w:rPr>
        <w:t> </w:t>
      </w:r>
      <w:r>
        <w:rPr>
          <w:color w:val="231F20"/>
        </w:rPr>
        <w:t>into</w:t>
      </w:r>
      <w:r>
        <w:rPr>
          <w:color w:val="231F20"/>
          <w:spacing w:val="27"/>
        </w:rPr>
        <w:t> </w:t>
      </w:r>
      <w:r>
        <w:rPr>
          <w:color w:val="231F20"/>
        </w:rPr>
        <w:t>two</w:t>
      </w:r>
      <w:r>
        <w:rPr>
          <w:color w:val="231F20"/>
          <w:spacing w:val="27"/>
        </w:rPr>
        <w:t> </w:t>
      </w:r>
      <w:r>
        <w:rPr>
          <w:color w:val="231F20"/>
        </w:rPr>
        <w:t>panes:</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left</w:t>
      </w:r>
      <w:r>
        <w:rPr>
          <w:color w:val="231F20"/>
          <w:spacing w:val="27"/>
        </w:rPr>
        <w:t> </w:t>
      </w:r>
      <w:r>
        <w:rPr>
          <w:color w:val="231F20"/>
        </w:rPr>
        <w:t>are</w:t>
      </w:r>
      <w:r>
        <w:rPr>
          <w:color w:val="231F20"/>
          <w:spacing w:val="27"/>
        </w:rPr>
        <w:t> </w:t>
      </w:r>
      <w:r>
        <w:rPr>
          <w:color w:val="231F20"/>
        </w:rPr>
        <w:t>attributes that can be applied to the override, but which cannot be used for</w:t>
      </w:r>
      <w:r>
        <w:rPr>
          <w:color w:val="231F20"/>
          <w:spacing w:val="80"/>
        </w:rPr>
        <w:t> </w:t>
      </w:r>
      <w:r>
        <w:rPr>
          <w:color w:val="231F20"/>
        </w:rPr>
        <w:t>expression modeling; on the right are attributes whose override values </w:t>
      </w:r>
      <w:r>
        <w:rPr>
          <w:color w:val="231F20"/>
        </w:rPr>
        <w:t>can be modified with expression modeling. Specify the override values to</w:t>
      </w:r>
      <w:r>
        <w:rPr>
          <w:color w:val="231F20"/>
          <w:spacing w:val="80"/>
          <w:w w:val="150"/>
        </w:rPr>
        <w:t> </w:t>
      </w:r>
      <w:r>
        <w:rPr>
          <w:color w:val="231F20"/>
        </w:rPr>
        <w:t>apply to the selected managed systems.</w:t>
      </w:r>
    </w:p>
    <w:p>
      <w:pPr>
        <w:pStyle w:val="BodyText"/>
        <w:spacing w:line="213" w:lineRule="auto" w:before="57"/>
        <w:ind w:left="3167" w:right="636" w:hanging="216"/>
      </w:pPr>
      <w:r>
        <w:rPr>
          <w:rFonts w:ascii="Futura MdCn BT" w:hAnsi="Futura MdCn BT"/>
          <w:color w:val="231F20"/>
        </w:rPr>
        <w:t>v</w:t>
      </w:r>
      <w:r>
        <w:rPr>
          <w:rFonts w:ascii="Futura MdCn BT" w:hAnsi="Futura MdCn BT"/>
          <w:color w:val="231F20"/>
          <w:spacing w:val="80"/>
        </w:rPr>
        <w:t> </w:t>
      </w:r>
      <w:r>
        <w:rPr>
          <w:color w:val="231F20"/>
        </w:rPr>
        <w:t>To model override values, click </w:t>
      </w:r>
      <w:r>
        <w:rPr>
          <w:rFonts w:ascii="Book Antiqua" w:hAnsi="Book Antiqua"/>
          <w:b/>
          <w:color w:val="231F20"/>
        </w:rPr>
        <w:t>Model Expression </w:t>
      </w:r>
      <w:r>
        <w:rPr>
          <w:color w:val="231F20"/>
        </w:rPr>
        <w:t>(see </w:t>
      </w:r>
      <w:hyperlink w:history="true" w:anchor="_bookmark227">
        <w:r>
          <w:rPr>
            <w:color w:val="231F20"/>
          </w:rPr>
          <w:t>“Model</w:t>
        </w:r>
      </w:hyperlink>
      <w:r>
        <w:rPr>
          <w:color w:val="231F20"/>
        </w:rPr>
        <w:t> </w:t>
      </w:r>
      <w:hyperlink w:history="true" w:anchor="_bookmark227">
        <w:r>
          <w:rPr>
            <w:color w:val="231F20"/>
          </w:rPr>
          <w:t>Expression” on page 305).</w:t>
        </w:r>
      </w:hyperlink>
      <w:r>
        <w:rPr>
          <w:color w:val="231F20"/>
        </w:rPr>
        <w:t> This feature is most effective for </w:t>
      </w:r>
      <w:r>
        <w:rPr>
          <w:color w:val="231F20"/>
        </w:rPr>
        <w:t>attributes</w:t>
      </w:r>
      <w:r>
        <w:rPr>
          <w:color w:val="231F20"/>
        </w:rPr>
        <w:t> that have historical data collected)</w:t>
      </w:r>
    </w:p>
    <w:p>
      <w:pPr>
        <w:pStyle w:val="BodyText"/>
        <w:spacing w:before="34"/>
        <w:ind w:left="2951"/>
      </w:pPr>
      <w:r>
        <w:rPr>
          <w:rFonts w:ascii="Futura MdCn BT"/>
          <w:color w:val="231F20"/>
        </w:rPr>
        <w:t>v</w:t>
      </w:r>
      <w:r>
        <w:rPr>
          <w:rFonts w:ascii="Futura MdCn BT"/>
          <w:color w:val="231F20"/>
          <w:spacing w:val="30"/>
        </w:rPr>
        <w:t>  </w:t>
      </w:r>
      <w:r>
        <w:rPr>
          <w:color w:val="231F20"/>
        </w:rPr>
        <w:t>To</w:t>
      </w:r>
      <w:r>
        <w:rPr>
          <w:color w:val="231F20"/>
          <w:spacing w:val="12"/>
        </w:rPr>
        <w:t> </w:t>
      </w:r>
      <w:r>
        <w:rPr>
          <w:color w:val="231F20"/>
        </w:rPr>
        <w:t>edit</w:t>
      </w:r>
      <w:r>
        <w:rPr>
          <w:color w:val="231F20"/>
          <w:spacing w:val="12"/>
        </w:rPr>
        <w:t> </w:t>
      </w:r>
      <w:r>
        <w:rPr>
          <w:color w:val="231F20"/>
        </w:rPr>
        <w:t>an</w:t>
      </w:r>
      <w:r>
        <w:rPr>
          <w:color w:val="231F20"/>
          <w:spacing w:val="11"/>
        </w:rPr>
        <w:t> </w:t>
      </w:r>
      <w:r>
        <w:rPr>
          <w:color w:val="231F20"/>
        </w:rPr>
        <w:t>expression,</w:t>
      </w:r>
      <w:r>
        <w:rPr>
          <w:color w:val="231F20"/>
          <w:spacing w:val="12"/>
        </w:rPr>
        <w:t> </w:t>
      </w:r>
      <w:r>
        <w:rPr>
          <w:color w:val="231F20"/>
        </w:rPr>
        <w:t>click</w:t>
      </w:r>
      <w:r>
        <w:rPr>
          <w:color w:val="231F20"/>
          <w:spacing w:val="11"/>
        </w:rPr>
        <w:t> </w:t>
      </w:r>
      <w:r>
        <w:rPr>
          <w:color w:val="231F20"/>
        </w:rPr>
        <w:t>in</w:t>
      </w:r>
      <w:r>
        <w:rPr>
          <w:color w:val="231F20"/>
          <w:spacing w:val="12"/>
        </w:rPr>
        <w:t> </w:t>
      </w:r>
      <w:r>
        <w:rPr>
          <w:color w:val="231F20"/>
        </w:rPr>
        <w:t>a</w:t>
      </w:r>
      <w:r>
        <w:rPr>
          <w:color w:val="231F20"/>
          <w:spacing w:val="11"/>
        </w:rPr>
        <w:t> </w:t>
      </w:r>
      <w:r>
        <w:rPr>
          <w:color w:val="231F20"/>
        </w:rPr>
        <w:t>table</w:t>
      </w:r>
      <w:r>
        <w:rPr>
          <w:color w:val="231F20"/>
          <w:spacing w:val="12"/>
        </w:rPr>
        <w:t> </w:t>
      </w:r>
      <w:r>
        <w:rPr>
          <w:color w:val="231F20"/>
        </w:rPr>
        <w:t>cell</w:t>
      </w:r>
      <w:r>
        <w:rPr>
          <w:color w:val="231F20"/>
          <w:spacing w:val="11"/>
        </w:rPr>
        <w:t> </w:t>
      </w:r>
      <w:r>
        <w:rPr>
          <w:color w:val="231F20"/>
        </w:rPr>
        <w:t>and</w:t>
      </w:r>
      <w:r>
        <w:rPr>
          <w:color w:val="231F20"/>
          <w:spacing w:val="11"/>
        </w:rPr>
        <w:t> </w:t>
      </w:r>
      <w:r>
        <w:rPr>
          <w:color w:val="231F20"/>
        </w:rPr>
        <w:t>edit</w:t>
      </w:r>
      <w:r>
        <w:rPr>
          <w:color w:val="231F20"/>
          <w:spacing w:val="12"/>
        </w:rPr>
        <w:t> </w:t>
      </w:r>
      <w:r>
        <w:rPr>
          <w:color w:val="231F20"/>
        </w:rPr>
        <w:t>the</w:t>
      </w:r>
      <w:r>
        <w:rPr>
          <w:color w:val="231F20"/>
          <w:spacing w:val="11"/>
        </w:rPr>
        <w:t> </w:t>
      </w:r>
      <w:r>
        <w:rPr>
          <w:color w:val="231F20"/>
          <w:spacing w:val="-2"/>
        </w:rPr>
        <w:t>values.</w:t>
      </w:r>
    </w:p>
    <w:p>
      <w:pPr>
        <w:pStyle w:val="ListParagraph"/>
        <w:numPr>
          <w:ilvl w:val="0"/>
          <w:numId w:val="135"/>
        </w:numPr>
        <w:tabs>
          <w:tab w:pos="3414" w:val="left" w:leader="none"/>
          <w:tab w:pos="3416" w:val="left" w:leader="none"/>
        </w:tabs>
        <w:spacing w:line="213" w:lineRule="auto" w:before="53" w:after="0"/>
        <w:ind w:left="3416" w:right="607" w:hanging="250"/>
        <w:jc w:val="left"/>
        <w:rPr>
          <w:sz w:val="20"/>
        </w:rPr>
      </w:pPr>
      <w:r>
        <w:rPr>
          <w:color w:val="231F20"/>
          <w:sz w:val="20"/>
        </w:rPr>
        <w:t>To define a schedule when the override should run, select </w:t>
      </w:r>
      <w:r>
        <w:rPr>
          <w:color w:val="231F20"/>
          <w:spacing w:val="-25"/>
          <w:position w:val="-1"/>
          <w:sz w:val="20"/>
        </w:rPr>
        <w:drawing>
          <wp:inline distT="0" distB="0" distL="0" distR="0">
            <wp:extent cx="95250" cy="101600"/>
            <wp:effectExtent l="0" t="0" r="0" b="0"/>
            <wp:docPr id="2490" name="Image 2490"/>
            <wp:cNvGraphicFramePr>
              <a:graphicFrameLocks/>
            </wp:cNvGraphicFramePr>
            <a:graphic>
              <a:graphicData uri="http://schemas.openxmlformats.org/drawingml/2006/picture">
                <pic:pic>
                  <pic:nvPicPr>
                    <pic:cNvPr id="2490" name="Image 2490"/>
                    <pic:cNvPicPr/>
                  </pic:nvPicPr>
                  <pic:blipFill>
                    <a:blip r:embed="rId395"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hAnsi="Times New Roman"/>
          <w:color w:val="231F20"/>
          <w:spacing w:val="80"/>
          <w:sz w:val="20"/>
        </w:rPr>
        <w:t> </w:t>
      </w:r>
      <w:r>
        <w:rPr>
          <w:rFonts w:ascii="Book Antiqua" w:hAnsi="Book Antiqua"/>
          <w:b/>
          <w:color w:val="231F20"/>
          <w:sz w:val="20"/>
        </w:rPr>
        <w:t>Click here to assign an override schedule</w:t>
      </w:r>
      <w:r>
        <w:rPr>
          <w:color w:val="231F20"/>
          <w:sz w:val="20"/>
        </w:rPr>
        <w:t>. Select a defined schedule </w:t>
      </w:r>
      <w:r>
        <w:rPr>
          <w:color w:val="231F20"/>
          <w:sz w:val="20"/>
        </w:rPr>
        <w:t>from the list or create a new schedule (see </w:t>
      </w:r>
      <w:hyperlink w:history="true" w:anchor="_bookmark224">
        <w:r>
          <w:rPr>
            <w:color w:val="231F20"/>
            <w:sz w:val="20"/>
          </w:rPr>
          <w:t>“Select Override Expression</w:t>
        </w:r>
      </w:hyperlink>
      <w:r>
        <w:rPr>
          <w:color w:val="231F20"/>
          <w:sz w:val="20"/>
        </w:rPr>
        <w:t> </w:t>
      </w:r>
      <w:hyperlink w:history="true" w:anchor="_bookmark224">
        <w:r>
          <w:rPr>
            <w:color w:val="231F20"/>
            <w:sz w:val="20"/>
          </w:rPr>
          <w:t>Schedule” on page 301).</w:t>
        </w:r>
      </w:hyperlink>
    </w:p>
    <w:p>
      <w:pPr>
        <w:pStyle w:val="ListParagraph"/>
        <w:numPr>
          <w:ilvl w:val="0"/>
          <w:numId w:val="135"/>
        </w:numPr>
        <w:tabs>
          <w:tab w:pos="3414" w:val="left" w:leader="none"/>
          <w:tab w:pos="3416" w:val="left" w:leader="none"/>
        </w:tabs>
        <w:spacing w:line="213" w:lineRule="auto" w:before="57" w:after="0"/>
        <w:ind w:left="3416" w:right="616" w:hanging="250"/>
        <w:jc w:val="left"/>
        <w:rPr>
          <w:sz w:val="20"/>
        </w:rPr>
      </w:pPr>
      <w:r>
        <w:rPr>
          <w:color w:val="231F20"/>
          <w:sz w:val="20"/>
        </w:rPr>
        <w:t>The columns in the right-hand section define the comparison </w:t>
      </w:r>
      <w:r>
        <w:rPr>
          <w:color w:val="231F20"/>
          <w:sz w:val="20"/>
        </w:rPr>
        <w:t>values for the expression. These are the values that will be substituted for</w:t>
      </w:r>
    </w:p>
    <w:p>
      <w:pPr>
        <w:spacing w:after="0" w:line="213" w:lineRule="auto"/>
        <w:jc w:val="left"/>
        <w:rPr>
          <w:sz w:val="20"/>
        </w:rPr>
        <w:sectPr>
          <w:pgSz w:w="12240" w:h="15840"/>
          <w:pgMar w:header="0" w:footer="736" w:top="1180" w:bottom="920" w:left="1000" w:right="1060"/>
        </w:sectPr>
      </w:pPr>
    </w:p>
    <w:p>
      <w:pPr>
        <w:pStyle w:val="BodyText"/>
        <w:spacing w:line="213" w:lineRule="auto" w:before="85"/>
        <w:ind w:left="3656" w:right="258"/>
      </w:pPr>
      <w:bookmarkStart w:name="_bookmark224" w:id="472"/>
      <w:bookmarkEnd w:id="472"/>
      <w:r>
        <w:rPr/>
      </w:r>
      <w:r>
        <w:rPr>
          <w:color w:val="231F20"/>
        </w:rPr>
        <w:t>those in the reference formula if the override condition is met, or if </w:t>
      </w:r>
      <w:r>
        <w:rPr>
          <w:color w:val="231F20"/>
        </w:rPr>
        <w:t>no override</w:t>
      </w:r>
      <w:r>
        <w:rPr>
          <w:color w:val="231F20"/>
          <w:spacing w:val="29"/>
        </w:rPr>
        <w:t> </w:t>
      </w:r>
      <w:r>
        <w:rPr>
          <w:color w:val="231F20"/>
        </w:rPr>
        <w:t>condition</w:t>
      </w:r>
      <w:r>
        <w:rPr>
          <w:color w:val="231F20"/>
          <w:spacing w:val="29"/>
        </w:rPr>
        <w:t> </w:t>
      </w:r>
      <w:r>
        <w:rPr>
          <w:color w:val="231F20"/>
        </w:rPr>
        <w:t>is</w:t>
      </w:r>
      <w:r>
        <w:rPr>
          <w:color w:val="231F20"/>
          <w:spacing w:val="29"/>
        </w:rPr>
        <w:t> </w:t>
      </w:r>
      <w:r>
        <w:rPr>
          <w:color w:val="231F20"/>
        </w:rPr>
        <w:t>set.</w:t>
      </w:r>
      <w:r>
        <w:rPr>
          <w:color w:val="231F20"/>
          <w:spacing w:val="29"/>
        </w:rPr>
        <w:t> </w:t>
      </w:r>
      <w:r>
        <w:rPr>
          <w:color w:val="231F20"/>
        </w:rPr>
        <w:t>Click</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appropriate</w:t>
      </w:r>
      <w:r>
        <w:rPr>
          <w:color w:val="231F20"/>
          <w:spacing w:val="29"/>
        </w:rPr>
        <w:t> </w:t>
      </w:r>
      <w:r>
        <w:rPr>
          <w:color w:val="231F20"/>
        </w:rPr>
        <w:t>table</w:t>
      </w:r>
      <w:r>
        <w:rPr>
          <w:color w:val="231F20"/>
          <w:spacing w:val="29"/>
        </w:rPr>
        <w:t> </w:t>
      </w:r>
      <w:r>
        <w:rPr>
          <w:color w:val="231F20"/>
        </w:rPr>
        <w:t>cells</w:t>
      </w:r>
      <w:r>
        <w:rPr>
          <w:color w:val="231F20"/>
          <w:spacing w:val="29"/>
        </w:rPr>
        <w:t> </w:t>
      </w:r>
      <w:r>
        <w:rPr>
          <w:color w:val="231F20"/>
        </w:rPr>
        <w:t>to</w:t>
      </w:r>
      <w:r>
        <w:rPr>
          <w:color w:val="231F20"/>
          <w:spacing w:val="29"/>
        </w:rPr>
        <w:t> </w:t>
      </w:r>
      <w:r>
        <w:rPr>
          <w:color w:val="231F20"/>
        </w:rPr>
        <w:t>edit the comparison values used for the override expression.</w:t>
      </w:r>
    </w:p>
    <w:p>
      <w:pPr>
        <w:spacing w:before="34"/>
        <w:ind w:left="3190" w:right="0" w:firstLine="0"/>
        <w:jc w:val="left"/>
        <w:rPr>
          <w:sz w:val="20"/>
        </w:rPr>
      </w:pPr>
      <w:r>
        <w:rPr>
          <w:rFonts w:ascii="Futura MdCn BT"/>
          <w:color w:val="231F20"/>
          <w:sz w:val="20"/>
        </w:rPr>
        <w:t>v</w:t>
      </w:r>
      <w:r>
        <w:rPr>
          <w:rFonts w:ascii="Futura MdCn BT"/>
          <w:color w:val="231F20"/>
          <w:spacing w:val="77"/>
          <w:w w:val="150"/>
          <w:sz w:val="20"/>
        </w:rPr>
        <w:t> </w:t>
      </w:r>
      <w:r>
        <w:rPr>
          <w:color w:val="231F20"/>
          <w:sz w:val="20"/>
        </w:rPr>
        <w:t>To</w:t>
      </w:r>
      <w:r>
        <w:rPr>
          <w:color w:val="231F20"/>
          <w:spacing w:val="10"/>
          <w:sz w:val="20"/>
        </w:rPr>
        <w:t> </w:t>
      </w:r>
      <w:r>
        <w:rPr>
          <w:color w:val="231F20"/>
          <w:sz w:val="20"/>
        </w:rPr>
        <w:t>add</w:t>
      </w:r>
      <w:r>
        <w:rPr>
          <w:color w:val="231F20"/>
          <w:spacing w:val="10"/>
          <w:sz w:val="20"/>
        </w:rPr>
        <w:t> </w:t>
      </w:r>
      <w:r>
        <w:rPr>
          <w:color w:val="231F20"/>
          <w:sz w:val="20"/>
        </w:rPr>
        <w:t>an</w:t>
      </w:r>
      <w:r>
        <w:rPr>
          <w:color w:val="231F20"/>
          <w:spacing w:val="10"/>
          <w:sz w:val="20"/>
        </w:rPr>
        <w:t> </w:t>
      </w:r>
      <w:r>
        <w:rPr>
          <w:color w:val="231F20"/>
          <w:sz w:val="20"/>
        </w:rPr>
        <w:t>expression,</w:t>
      </w:r>
      <w:r>
        <w:rPr>
          <w:color w:val="231F20"/>
          <w:spacing w:val="10"/>
          <w:sz w:val="20"/>
        </w:rPr>
        <w:t> </w:t>
      </w:r>
      <w:r>
        <w:rPr>
          <w:color w:val="231F20"/>
          <w:sz w:val="20"/>
        </w:rPr>
        <w:t>click</w:t>
      </w:r>
      <w:r>
        <w:rPr>
          <w:color w:val="231F20"/>
          <w:spacing w:val="10"/>
          <w:sz w:val="20"/>
        </w:rPr>
        <w:t> </w:t>
      </w:r>
      <w:r>
        <w:rPr>
          <w:rFonts w:ascii="Book Antiqua"/>
          <w:b/>
          <w:color w:val="231F20"/>
          <w:sz w:val="20"/>
        </w:rPr>
        <w:t>Add</w:t>
      </w:r>
      <w:r>
        <w:rPr>
          <w:rFonts w:ascii="Book Antiqua"/>
          <w:b/>
          <w:color w:val="231F20"/>
          <w:spacing w:val="10"/>
          <w:sz w:val="20"/>
        </w:rPr>
        <w:t> </w:t>
      </w:r>
      <w:r>
        <w:rPr>
          <w:rFonts w:ascii="Book Antiqua"/>
          <w:b/>
          <w:color w:val="231F20"/>
          <w:spacing w:val="-2"/>
          <w:sz w:val="20"/>
        </w:rPr>
        <w:t>Expression</w:t>
      </w:r>
      <w:r>
        <w:rPr>
          <w:color w:val="231F20"/>
          <w:spacing w:val="-2"/>
          <w:sz w:val="20"/>
        </w:rPr>
        <w:t>.</w:t>
      </w:r>
    </w:p>
    <w:p>
      <w:pPr>
        <w:pStyle w:val="BodyText"/>
        <w:spacing w:line="213" w:lineRule="auto" w:before="53"/>
        <w:ind w:left="3406" w:right="274" w:hanging="216"/>
      </w:pPr>
      <w:r>
        <w:rPr>
          <w:rFonts w:ascii="Futura MdCn BT"/>
          <w:color w:val="231F20"/>
        </w:rPr>
        <w:t>v</w:t>
      </w:r>
      <w:r>
        <w:rPr>
          <w:rFonts w:ascii="Futura MdCn BT"/>
          <w:color w:val="231F20"/>
          <w:spacing w:val="80"/>
        </w:rPr>
        <w:t> </w:t>
      </w:r>
      <w:r>
        <w:rPr>
          <w:color w:val="231F20"/>
        </w:rPr>
        <w:t>To remove an expression, select the check box next to the expression that you want to remove and click </w:t>
      </w:r>
      <w:r>
        <w:rPr>
          <w:rFonts w:ascii="Book Antiqua"/>
          <w:b/>
          <w:color w:val="231F20"/>
        </w:rPr>
        <w:t>Remove Expression</w:t>
      </w:r>
      <w:r>
        <w:rPr>
          <w:color w:val="231F20"/>
        </w:rPr>
        <w:t>.</w:t>
      </w:r>
    </w:p>
    <w:p>
      <w:pPr>
        <w:pStyle w:val="BodyText"/>
        <w:spacing w:before="95"/>
        <w:ind w:left="3190"/>
      </w:pPr>
      <w:r>
        <w:rPr>
          <w:color w:val="231F20"/>
        </w:rPr>
        <w:t>The</w:t>
      </w:r>
      <w:r>
        <w:rPr>
          <w:color w:val="231F20"/>
          <w:spacing w:val="10"/>
        </w:rPr>
        <w:t> </w:t>
      </w:r>
      <w:r>
        <w:rPr>
          <w:rFonts w:ascii="Book Antiqua"/>
          <w:b/>
          <w:color w:val="231F20"/>
        </w:rPr>
        <w:t>Details</w:t>
      </w:r>
      <w:r>
        <w:rPr>
          <w:rFonts w:ascii="Book Antiqua"/>
          <w:b/>
          <w:color w:val="231F20"/>
          <w:spacing w:val="11"/>
        </w:rPr>
        <w:t> </w:t>
      </w:r>
      <w:r>
        <w:rPr>
          <w:color w:val="231F20"/>
        </w:rPr>
        <w:t>tab</w:t>
      </w:r>
      <w:r>
        <w:rPr>
          <w:color w:val="231F20"/>
          <w:spacing w:val="11"/>
        </w:rPr>
        <w:t> </w:t>
      </w:r>
      <w:r>
        <w:rPr>
          <w:color w:val="231F20"/>
        </w:rPr>
        <w:t>shows</w:t>
      </w:r>
      <w:r>
        <w:rPr>
          <w:color w:val="231F20"/>
          <w:spacing w:val="11"/>
        </w:rPr>
        <w:t> </w:t>
      </w:r>
      <w:r>
        <w:rPr>
          <w:color w:val="231F20"/>
        </w:rPr>
        <w:t>information</w:t>
      </w:r>
      <w:r>
        <w:rPr>
          <w:color w:val="231F20"/>
          <w:spacing w:val="10"/>
        </w:rPr>
        <w:t> </w:t>
      </w:r>
      <w:r>
        <w:rPr>
          <w:color w:val="231F20"/>
        </w:rPr>
        <w:t>for</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spacing w:val="-2"/>
        </w:rPr>
        <w:t>override:</w:t>
      </w:r>
    </w:p>
    <w:p>
      <w:pPr>
        <w:pStyle w:val="Heading6"/>
        <w:spacing w:before="112"/>
        <w:ind w:left="3190"/>
      </w:pPr>
      <w:r>
        <w:rPr>
          <w:color w:val="231F20"/>
        </w:rPr>
        <w:t>Assigned</w:t>
      </w:r>
      <w:r>
        <w:rPr>
          <w:color w:val="231F20"/>
          <w:spacing w:val="7"/>
        </w:rPr>
        <w:t> </w:t>
      </w:r>
      <w:r>
        <w:rPr>
          <w:color w:val="231F20"/>
          <w:spacing w:val="-5"/>
        </w:rPr>
        <w:t>to</w:t>
      </w:r>
    </w:p>
    <w:p>
      <w:pPr>
        <w:pStyle w:val="BodyText"/>
        <w:spacing w:line="213" w:lineRule="auto" w:before="11"/>
        <w:ind w:left="3909"/>
      </w:pPr>
      <w:r>
        <w:rPr>
          <w:color w:val="231F20"/>
        </w:rPr>
        <w:t>The managed systems or managed system groups to which </w:t>
      </w:r>
      <w:r>
        <w:rPr>
          <w:color w:val="231F20"/>
        </w:rPr>
        <w:t>this situation override is currently distributed.</w:t>
      </w:r>
    </w:p>
    <w:p>
      <w:pPr>
        <w:spacing w:after="0" w:line="213" w:lineRule="auto"/>
        <w:sectPr>
          <w:pgSz w:w="12240" w:h="15840"/>
          <w:pgMar w:header="0" w:footer="736" w:top="1180" w:bottom="920" w:left="1000" w:right="1060"/>
        </w:sectPr>
      </w:pPr>
    </w:p>
    <w:p>
      <w:pPr>
        <w:pStyle w:val="Heading6"/>
        <w:spacing w:line="240" w:lineRule="auto"/>
        <w:ind w:left="0"/>
        <w:jc w:val="right"/>
      </w:pPr>
      <w:r>
        <w:rPr>
          <w:color w:val="231F20"/>
          <w:spacing w:val="-2"/>
        </w:rPr>
        <w:t>Priority</w:t>
      </w: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rPr>
          <w:rFonts w:ascii="Book Antiqua"/>
          <w:b/>
        </w:rPr>
      </w:pPr>
    </w:p>
    <w:p>
      <w:pPr>
        <w:pStyle w:val="BodyText"/>
        <w:spacing w:before="102"/>
        <w:rPr>
          <w:rFonts w:ascii="Book Antiqua"/>
          <w:b/>
        </w:rPr>
      </w:pPr>
    </w:p>
    <w:p>
      <w:pPr>
        <w:spacing w:before="0"/>
        <w:ind w:left="2472" w:right="0" w:firstLine="0"/>
        <w:jc w:val="left"/>
        <w:rPr>
          <w:rFonts w:ascii="Book Antiqua"/>
          <w:b/>
          <w:sz w:val="20"/>
        </w:rPr>
      </w:pPr>
      <w:r>
        <w:rPr>
          <w:rFonts w:ascii="Book Antiqua"/>
          <w:b/>
          <w:color w:val="231F20"/>
          <w:spacing w:val="-2"/>
          <w:sz w:val="20"/>
        </w:rPr>
        <w:t>Description</w:t>
      </w:r>
    </w:p>
    <w:p>
      <w:pPr>
        <w:spacing w:line="240" w:lineRule="auto" w:before="236"/>
        <w:rPr>
          <w:rFonts w:ascii="Book Antiqua"/>
          <w:b/>
          <w:sz w:val="20"/>
        </w:rPr>
      </w:pPr>
      <w:r>
        <w:rPr/>
        <w:br w:type="column"/>
      </w:r>
      <w:r>
        <w:rPr>
          <w:rFonts w:ascii="Book Antiqua"/>
          <w:b/>
          <w:sz w:val="20"/>
        </w:rPr>
      </w:r>
    </w:p>
    <w:p>
      <w:pPr>
        <w:pStyle w:val="BodyText"/>
        <w:spacing w:line="213" w:lineRule="auto"/>
        <w:ind w:right="299"/>
      </w:pPr>
      <w:r>
        <w:rPr>
          <w:color w:val="231F20"/>
        </w:rPr>
        <w:t>This</w:t>
      </w:r>
      <w:r>
        <w:rPr>
          <w:color w:val="231F20"/>
          <w:spacing w:val="30"/>
        </w:rPr>
        <w:t> </w:t>
      </w:r>
      <w:r>
        <w:rPr>
          <w:color w:val="231F20"/>
        </w:rPr>
        <w:t>field</w:t>
      </w:r>
      <w:r>
        <w:rPr>
          <w:color w:val="231F20"/>
          <w:spacing w:val="30"/>
        </w:rPr>
        <w:t> </w:t>
      </w:r>
      <w:r>
        <w:rPr>
          <w:color w:val="231F20"/>
        </w:rPr>
        <w:t>is</w:t>
      </w:r>
      <w:r>
        <w:rPr>
          <w:color w:val="231F20"/>
          <w:spacing w:val="30"/>
        </w:rPr>
        <w:t> </w:t>
      </w:r>
      <w:r>
        <w:rPr>
          <w:color w:val="231F20"/>
        </w:rPr>
        <w:t>a</w:t>
      </w:r>
      <w:r>
        <w:rPr>
          <w:color w:val="231F20"/>
          <w:spacing w:val="30"/>
        </w:rPr>
        <w:t> </w:t>
      </w:r>
      <w:r>
        <w:rPr>
          <w:color w:val="231F20"/>
        </w:rPr>
        <w:t>display-only</w:t>
      </w:r>
      <w:r>
        <w:rPr>
          <w:color w:val="231F20"/>
          <w:spacing w:val="30"/>
        </w:rPr>
        <w:t> </w:t>
      </w:r>
      <w:r>
        <w:rPr>
          <w:color w:val="231F20"/>
        </w:rPr>
        <w:t>field</w:t>
      </w:r>
      <w:r>
        <w:rPr>
          <w:color w:val="231F20"/>
          <w:spacing w:val="30"/>
        </w:rPr>
        <w:t> </w:t>
      </w:r>
      <w:r>
        <w:rPr>
          <w:color w:val="231F20"/>
        </w:rPr>
        <w:t>showing</w:t>
      </w:r>
      <w:r>
        <w:rPr>
          <w:color w:val="231F20"/>
          <w:spacing w:val="30"/>
        </w:rPr>
        <w:t> </w:t>
      </w:r>
      <w:r>
        <w:rPr>
          <w:color w:val="231F20"/>
        </w:rPr>
        <w:t>the</w:t>
      </w:r>
      <w:r>
        <w:rPr>
          <w:color w:val="231F20"/>
          <w:spacing w:val="30"/>
        </w:rPr>
        <w:t> </w:t>
      </w:r>
      <w:r>
        <w:rPr>
          <w:color w:val="231F20"/>
        </w:rPr>
        <w:t>relative</w:t>
      </w:r>
      <w:r>
        <w:rPr>
          <w:color w:val="231F20"/>
          <w:spacing w:val="30"/>
        </w:rPr>
        <w:t> </w:t>
      </w:r>
      <w:r>
        <w:rPr>
          <w:color w:val="231F20"/>
        </w:rPr>
        <w:t>priority</w:t>
      </w:r>
      <w:r>
        <w:rPr>
          <w:color w:val="231F20"/>
          <w:spacing w:val="30"/>
        </w:rPr>
        <w:t> </w:t>
      </w:r>
      <w:r>
        <w:rPr>
          <w:color w:val="231F20"/>
        </w:rPr>
        <w:t>of this situation override. If multiple overrides are distributed to the same managed system, the priority determines which override</w:t>
      </w:r>
      <w:r>
        <w:rPr>
          <w:color w:val="231F20"/>
          <w:spacing w:val="80"/>
        </w:rPr>
        <w:t> </w:t>
      </w:r>
      <w:r>
        <w:rPr>
          <w:color w:val="231F20"/>
        </w:rPr>
        <w:t>takes precedence. This can happen if an override is distributed to</w:t>
      </w:r>
      <w:r>
        <w:rPr>
          <w:color w:val="231F20"/>
          <w:spacing w:val="80"/>
        </w:rPr>
        <w:t> </w:t>
      </w:r>
      <w:r>
        <w:rPr>
          <w:color w:val="231F20"/>
        </w:rPr>
        <w:t>an individual managed system, and another override is </w:t>
      </w:r>
      <w:r>
        <w:rPr>
          <w:color w:val="231F20"/>
        </w:rPr>
        <w:t>distributed to a managed system group that includes the same system.</w:t>
      </w:r>
    </w:p>
    <w:p>
      <w:pPr>
        <w:pStyle w:val="BodyText"/>
        <w:spacing w:line="213" w:lineRule="auto" w:before="116"/>
        <w:ind w:right="91"/>
      </w:pPr>
      <w:r>
        <w:rPr>
          <w:color w:val="231F20"/>
        </w:rPr>
        <w:t>Situation overrides that are distributed to managed systems have </w:t>
      </w:r>
      <w:r>
        <w:rPr>
          <w:color w:val="231F20"/>
        </w:rPr>
        <w:t>a higher priority than overrides distributed to managed systems groups: 1 is the highest priority; 200 is the lowest.</w:t>
      </w:r>
    </w:p>
    <w:p>
      <w:pPr>
        <w:spacing w:after="0" w:line="213" w:lineRule="auto"/>
        <w:sectPr>
          <w:type w:val="continuous"/>
          <w:pgSz w:w="12240" w:h="15840"/>
          <w:pgMar w:header="0" w:footer="736" w:top="0" w:bottom="4660" w:left="1000" w:right="1060"/>
          <w:cols w:num="2" w:equalWidth="0">
            <w:col w:w="3890" w:space="19"/>
            <w:col w:w="6271"/>
          </w:cols>
        </w:sectPr>
      </w:pPr>
    </w:p>
    <w:p>
      <w:pPr>
        <w:pStyle w:val="BodyText"/>
        <w:spacing w:line="246" w:lineRule="exact"/>
        <w:ind w:left="3190"/>
      </w:pPr>
      <w:r>
        <w:rPr>
          <w:color w:val="231F20"/>
        </w:rPr>
        <w:t>Enter</w:t>
      </w:r>
      <w:r>
        <w:rPr>
          <w:color w:val="231F20"/>
          <w:spacing w:val="10"/>
        </w:rPr>
        <w:t> </w:t>
      </w:r>
      <w:r>
        <w:rPr>
          <w:color w:val="231F20"/>
        </w:rPr>
        <w:t>an</w:t>
      </w:r>
      <w:r>
        <w:rPr>
          <w:color w:val="231F20"/>
          <w:spacing w:val="11"/>
        </w:rPr>
        <w:t> </w:t>
      </w:r>
      <w:r>
        <w:rPr>
          <w:color w:val="231F20"/>
        </w:rPr>
        <w:t>optional</w:t>
      </w:r>
      <w:r>
        <w:rPr>
          <w:color w:val="231F20"/>
          <w:spacing w:val="11"/>
        </w:rPr>
        <w:t> </w:t>
      </w:r>
      <w:r>
        <w:rPr>
          <w:color w:val="231F20"/>
        </w:rPr>
        <w:t>description</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situation</w:t>
      </w:r>
      <w:r>
        <w:rPr>
          <w:color w:val="231F20"/>
          <w:spacing w:val="11"/>
        </w:rPr>
        <w:t> </w:t>
      </w:r>
      <w:r>
        <w:rPr>
          <w:color w:val="231F20"/>
          <w:spacing w:val="-2"/>
        </w:rPr>
        <w:t>override.</w:t>
      </w:r>
    </w:p>
    <w:p>
      <w:pPr>
        <w:pStyle w:val="Heading6"/>
        <w:spacing w:before="111"/>
      </w:pPr>
      <w:r>
        <w:rPr>
          <w:color w:val="231F20"/>
        </w:rPr>
        <w:t>Add</w:t>
      </w:r>
      <w:r>
        <w:rPr>
          <w:color w:val="231F20"/>
          <w:spacing w:val="12"/>
        </w:rPr>
        <w:t> </w:t>
      </w:r>
      <w:r>
        <w:rPr>
          <w:color w:val="231F20"/>
          <w:spacing w:val="-2"/>
        </w:rPr>
        <w:t>Expression</w:t>
      </w:r>
    </w:p>
    <w:p>
      <w:pPr>
        <w:pStyle w:val="BodyText"/>
        <w:spacing w:line="258" w:lineRule="exact"/>
        <w:ind w:left="3190"/>
      </w:pPr>
      <w:r>
        <w:rPr>
          <w:color w:val="231F20"/>
        </w:rPr>
        <w:t>Click</w:t>
      </w:r>
      <w:r>
        <w:rPr>
          <w:color w:val="231F20"/>
          <w:spacing w:val="12"/>
        </w:rPr>
        <w:t> </w:t>
      </w:r>
      <w:r>
        <w:rPr>
          <w:color w:val="231F20"/>
        </w:rPr>
        <w:t>this</w:t>
      </w:r>
      <w:r>
        <w:rPr>
          <w:color w:val="231F20"/>
          <w:spacing w:val="12"/>
        </w:rPr>
        <w:t> </w:t>
      </w:r>
      <w:r>
        <w:rPr>
          <w:color w:val="231F20"/>
        </w:rPr>
        <w:t>button</w:t>
      </w:r>
      <w:r>
        <w:rPr>
          <w:color w:val="231F20"/>
          <w:spacing w:val="12"/>
        </w:rPr>
        <w:t> </w:t>
      </w:r>
      <w:r>
        <w:rPr>
          <w:color w:val="231F20"/>
        </w:rPr>
        <w:t>to</w:t>
      </w:r>
      <w:r>
        <w:rPr>
          <w:color w:val="231F20"/>
          <w:spacing w:val="12"/>
        </w:rPr>
        <w:t> </w:t>
      </w:r>
      <w:r>
        <w:rPr>
          <w:color w:val="231F20"/>
        </w:rPr>
        <w:t>add</w:t>
      </w:r>
      <w:r>
        <w:rPr>
          <w:color w:val="231F20"/>
          <w:spacing w:val="12"/>
        </w:rPr>
        <w:t> </w:t>
      </w:r>
      <w:r>
        <w:rPr>
          <w:color w:val="231F20"/>
        </w:rPr>
        <w:t>a</w:t>
      </w:r>
      <w:r>
        <w:rPr>
          <w:color w:val="231F20"/>
          <w:spacing w:val="12"/>
        </w:rPr>
        <w:t> </w:t>
      </w:r>
      <w:r>
        <w:rPr>
          <w:color w:val="231F20"/>
        </w:rPr>
        <w:t>new</w:t>
      </w:r>
      <w:r>
        <w:rPr>
          <w:color w:val="231F20"/>
          <w:spacing w:val="13"/>
        </w:rPr>
        <w:t> </w:t>
      </w:r>
      <w:r>
        <w:rPr>
          <w:color w:val="231F20"/>
        </w:rPr>
        <w:t>formula</w:t>
      </w:r>
      <w:r>
        <w:rPr>
          <w:color w:val="231F20"/>
          <w:spacing w:val="12"/>
        </w:rPr>
        <w:t> </w:t>
      </w:r>
      <w:r>
        <w:rPr>
          <w:color w:val="231F20"/>
          <w:spacing w:val="-4"/>
        </w:rPr>
        <w:t>row.</w:t>
      </w:r>
    </w:p>
    <w:p>
      <w:pPr>
        <w:pStyle w:val="Heading6"/>
        <w:spacing w:before="111"/>
      </w:pPr>
      <w:r>
        <w:rPr>
          <w:color w:val="231F20"/>
        </w:rPr>
        <w:t>Remove</w:t>
      </w:r>
      <w:r>
        <w:rPr>
          <w:color w:val="231F20"/>
          <w:spacing w:val="8"/>
        </w:rPr>
        <w:t> </w:t>
      </w:r>
      <w:r>
        <w:rPr>
          <w:color w:val="231F20"/>
          <w:spacing w:val="-2"/>
        </w:rPr>
        <w:t>Expression</w:t>
      </w:r>
    </w:p>
    <w:p>
      <w:pPr>
        <w:pStyle w:val="BodyText"/>
        <w:spacing w:line="243" w:lineRule="exact"/>
        <w:ind w:left="3190"/>
      </w:pPr>
      <w:r>
        <w:rPr>
          <w:color w:val="231F20"/>
        </w:rPr>
        <w:t>Select</w:t>
      </w:r>
      <w:r>
        <w:rPr>
          <w:color w:val="231F20"/>
          <w:spacing w:val="11"/>
        </w:rPr>
        <w:t> </w:t>
      </w:r>
      <w:r>
        <w:rPr>
          <w:color w:val="231F20"/>
        </w:rPr>
        <w:t>the</w:t>
      </w:r>
      <w:r>
        <w:rPr>
          <w:color w:val="231F20"/>
          <w:spacing w:val="12"/>
        </w:rPr>
        <w:t> </w:t>
      </w:r>
      <w:r>
        <w:rPr>
          <w:color w:val="231F20"/>
        </w:rPr>
        <w:t>check</w:t>
      </w:r>
      <w:r>
        <w:rPr>
          <w:color w:val="231F20"/>
          <w:spacing w:val="12"/>
        </w:rPr>
        <w:t> </w:t>
      </w:r>
      <w:r>
        <w:rPr>
          <w:color w:val="231F20"/>
        </w:rPr>
        <w:t>box</w:t>
      </w:r>
      <w:r>
        <w:rPr>
          <w:color w:val="231F20"/>
          <w:spacing w:val="11"/>
        </w:rPr>
        <w:t> </w:t>
      </w:r>
      <w:r>
        <w:rPr>
          <w:color w:val="231F20"/>
        </w:rPr>
        <w:t>next</w:t>
      </w:r>
      <w:r>
        <w:rPr>
          <w:color w:val="231F20"/>
          <w:spacing w:val="12"/>
        </w:rPr>
        <w:t> </w:t>
      </w:r>
      <w:r>
        <w:rPr>
          <w:color w:val="231F20"/>
        </w:rPr>
        <w:t>to</w:t>
      </w:r>
      <w:r>
        <w:rPr>
          <w:color w:val="231F20"/>
          <w:spacing w:val="12"/>
        </w:rPr>
        <w:t> </w:t>
      </w:r>
      <w:r>
        <w:rPr>
          <w:color w:val="231F20"/>
        </w:rPr>
        <w:t>the</w:t>
      </w:r>
      <w:r>
        <w:rPr>
          <w:color w:val="231F20"/>
          <w:spacing w:val="11"/>
        </w:rPr>
        <w:t> </w:t>
      </w:r>
      <w:r>
        <w:rPr>
          <w:color w:val="231F20"/>
        </w:rPr>
        <w:t>expression</w:t>
      </w:r>
      <w:r>
        <w:rPr>
          <w:color w:val="231F20"/>
          <w:spacing w:val="12"/>
        </w:rPr>
        <w:t> </w:t>
      </w:r>
      <w:r>
        <w:rPr>
          <w:color w:val="231F20"/>
        </w:rPr>
        <w:t>you</w:t>
      </w:r>
      <w:r>
        <w:rPr>
          <w:color w:val="231F20"/>
          <w:spacing w:val="12"/>
        </w:rPr>
        <w:t> </w:t>
      </w:r>
      <w:r>
        <w:rPr>
          <w:color w:val="231F20"/>
        </w:rPr>
        <w:t>want</w:t>
      </w:r>
      <w:r>
        <w:rPr>
          <w:color w:val="231F20"/>
          <w:spacing w:val="11"/>
        </w:rPr>
        <w:t> </w:t>
      </w:r>
      <w:r>
        <w:rPr>
          <w:color w:val="231F20"/>
        </w:rPr>
        <w:t>to</w:t>
      </w:r>
      <w:r>
        <w:rPr>
          <w:color w:val="231F20"/>
          <w:spacing w:val="12"/>
        </w:rPr>
        <w:t> </w:t>
      </w:r>
      <w:r>
        <w:rPr>
          <w:color w:val="231F20"/>
        </w:rPr>
        <w:t>delete</w:t>
      </w:r>
      <w:r>
        <w:rPr>
          <w:color w:val="231F20"/>
          <w:spacing w:val="12"/>
        </w:rPr>
        <w:t> </w:t>
      </w:r>
      <w:r>
        <w:rPr>
          <w:color w:val="231F20"/>
        </w:rPr>
        <w:t>and</w:t>
      </w:r>
      <w:r>
        <w:rPr>
          <w:color w:val="231F20"/>
          <w:spacing w:val="11"/>
        </w:rPr>
        <w:t> </w:t>
      </w:r>
      <w:r>
        <w:rPr>
          <w:color w:val="231F20"/>
          <w:spacing w:val="-2"/>
        </w:rPr>
        <w:t>click</w:t>
      </w:r>
    </w:p>
    <w:p>
      <w:pPr>
        <w:pStyle w:val="Heading6"/>
        <w:spacing w:line="255" w:lineRule="exact" w:before="0"/>
        <w:ind w:left="3190"/>
        <w:rPr>
          <w:rFonts w:ascii="Palatino Linotype"/>
          <w:b w:val="0"/>
        </w:rPr>
      </w:pPr>
      <w:r>
        <w:rPr>
          <w:color w:val="231F20"/>
        </w:rPr>
        <w:t>Remove</w:t>
      </w:r>
      <w:r>
        <w:rPr>
          <w:color w:val="231F20"/>
          <w:spacing w:val="8"/>
        </w:rPr>
        <w:t> </w:t>
      </w:r>
      <w:r>
        <w:rPr>
          <w:color w:val="231F20"/>
          <w:spacing w:val="-2"/>
        </w:rPr>
        <w:t>Expression</w:t>
      </w:r>
      <w:r>
        <w:rPr>
          <w:rFonts w:ascii="Palatino Linotype"/>
          <w:b w:val="0"/>
          <w:color w:val="231F20"/>
          <w:spacing w:val="-2"/>
        </w:rPr>
        <w:t>.</w:t>
      </w:r>
    </w:p>
    <w:p>
      <w:pPr>
        <w:spacing w:line="229" w:lineRule="exact" w:before="111"/>
        <w:ind w:left="2472" w:right="0" w:firstLine="0"/>
        <w:jc w:val="left"/>
        <w:rPr>
          <w:rFonts w:ascii="Book Antiqua"/>
          <w:b/>
          <w:sz w:val="20"/>
        </w:rPr>
      </w:pPr>
      <w:r>
        <w:rPr>
          <w:rFonts w:ascii="Book Antiqua"/>
          <w:b/>
          <w:color w:val="231F20"/>
          <w:sz w:val="20"/>
        </w:rPr>
        <w:t>Model</w:t>
      </w:r>
      <w:r>
        <w:rPr>
          <w:rFonts w:ascii="Book Antiqua"/>
          <w:b/>
          <w:color w:val="231F20"/>
          <w:spacing w:val="10"/>
          <w:sz w:val="20"/>
        </w:rPr>
        <w:t> </w:t>
      </w:r>
      <w:r>
        <w:rPr>
          <w:rFonts w:ascii="Book Antiqua"/>
          <w:b/>
          <w:color w:val="231F20"/>
          <w:spacing w:val="-2"/>
          <w:sz w:val="20"/>
        </w:rPr>
        <w:t>Expression</w:t>
      </w:r>
    </w:p>
    <w:p>
      <w:pPr>
        <w:pStyle w:val="BodyText"/>
        <w:spacing w:line="258" w:lineRule="exact"/>
        <w:ind w:left="3190"/>
      </w:pPr>
      <w:r>
        <w:rPr>
          <w:color w:val="231F20"/>
        </w:rPr>
        <w:t>Click</w:t>
      </w:r>
      <w:r>
        <w:rPr>
          <w:color w:val="231F20"/>
          <w:spacing w:val="10"/>
        </w:rPr>
        <w:t> </w:t>
      </w:r>
      <w:r>
        <w:rPr>
          <w:color w:val="231F20"/>
        </w:rPr>
        <w:t>this</w:t>
      </w:r>
      <w:r>
        <w:rPr>
          <w:color w:val="231F20"/>
          <w:spacing w:val="11"/>
        </w:rPr>
        <w:t> </w:t>
      </w:r>
      <w:r>
        <w:rPr>
          <w:color w:val="231F20"/>
        </w:rPr>
        <w:t>button</w:t>
      </w:r>
      <w:r>
        <w:rPr>
          <w:color w:val="231F20"/>
          <w:spacing w:val="11"/>
        </w:rPr>
        <w:t> </w:t>
      </w:r>
      <w:r>
        <w:rPr>
          <w:color w:val="231F20"/>
        </w:rPr>
        <w:t>to</w:t>
      </w:r>
      <w:r>
        <w:rPr>
          <w:color w:val="231F20"/>
          <w:spacing w:val="10"/>
        </w:rPr>
        <w:t> </w:t>
      </w:r>
      <w:r>
        <w:rPr>
          <w:color w:val="231F20"/>
        </w:rPr>
        <w:t>open</w:t>
      </w:r>
      <w:r>
        <w:rPr>
          <w:color w:val="231F20"/>
          <w:spacing w:val="11"/>
        </w:rPr>
        <w:t> </w:t>
      </w:r>
      <w:r>
        <w:rPr>
          <w:color w:val="231F20"/>
        </w:rPr>
        <w:t>the</w:t>
      </w:r>
      <w:r>
        <w:rPr>
          <w:color w:val="231F20"/>
          <w:spacing w:val="11"/>
        </w:rPr>
        <w:t> </w:t>
      </w:r>
      <w:r>
        <w:rPr>
          <w:color w:val="231F20"/>
        </w:rPr>
        <w:t>Model</w:t>
      </w:r>
      <w:r>
        <w:rPr>
          <w:color w:val="231F20"/>
          <w:spacing w:val="11"/>
        </w:rPr>
        <w:t> </w:t>
      </w:r>
      <w:r>
        <w:rPr>
          <w:color w:val="231F20"/>
        </w:rPr>
        <w:t>Expression</w:t>
      </w:r>
      <w:r>
        <w:rPr>
          <w:color w:val="231F20"/>
          <w:spacing w:val="10"/>
        </w:rPr>
        <w:t> </w:t>
      </w:r>
      <w:r>
        <w:rPr>
          <w:color w:val="231F20"/>
          <w:spacing w:val="-2"/>
        </w:rPr>
        <w:t>dialog.</w:t>
      </w:r>
    </w:p>
    <w:p>
      <w:pPr>
        <w:pStyle w:val="Heading6"/>
        <w:spacing w:line="240" w:lineRule="auto" w:before="231"/>
      </w:pPr>
      <w:r>
        <w:rPr>
          <w:color w:val="231F20"/>
          <w:spacing w:val="-2"/>
        </w:rPr>
        <w:t>Restriction:</w:t>
      </w:r>
    </w:p>
    <w:p>
      <w:pPr>
        <w:pStyle w:val="BodyText"/>
        <w:spacing w:line="213" w:lineRule="auto" w:before="60"/>
        <w:ind w:left="2688" w:right="274" w:hanging="216"/>
      </w:pPr>
      <w:r>
        <w:rPr>
          <w:rFonts w:ascii="Futura MdCn BT"/>
          <w:color w:val="231F20"/>
        </w:rPr>
        <w:t>v</w:t>
      </w:r>
      <w:r>
        <w:rPr>
          <w:rFonts w:ascii="Futura MdCn BT"/>
          <w:color w:val="231F20"/>
          <w:spacing w:val="80"/>
        </w:rPr>
        <w:t> </w:t>
      </w:r>
      <w:r>
        <w:rPr>
          <w:color w:val="231F20"/>
        </w:rPr>
        <w:t>An override expression cannot add attribute comparisons that do not appear </w:t>
      </w:r>
      <w:r>
        <w:rPr>
          <w:color w:val="231F20"/>
        </w:rPr>
        <w:t>in</w:t>
      </w:r>
      <w:r>
        <w:rPr>
          <w:color w:val="231F20"/>
        </w:rPr>
        <w:t> the reference formula or change the comparison operators used.</w:t>
      </w:r>
    </w:p>
    <w:p>
      <w:pPr>
        <w:pStyle w:val="BodyText"/>
        <w:spacing w:line="213" w:lineRule="auto" w:before="58"/>
        <w:ind w:left="2688" w:right="274" w:hanging="216"/>
      </w:pPr>
      <w:r>
        <w:rPr>
          <w:rFonts w:ascii="Futura MdCn BT"/>
          <w:color w:val="231F20"/>
        </w:rPr>
        <w:t>v</w:t>
      </w:r>
      <w:r>
        <w:rPr>
          <w:rFonts w:ascii="Futura MdCn BT"/>
          <w:color w:val="231F20"/>
          <w:spacing w:val="80"/>
        </w:rPr>
        <w:t> </w:t>
      </w:r>
      <w:r>
        <w:rPr>
          <w:color w:val="231F20"/>
        </w:rPr>
        <w:t>If the override contains multiple expressions, each must have a unique </w:t>
      </w:r>
      <w:r>
        <w:rPr>
          <w:color w:val="231F20"/>
        </w:rPr>
        <w:t>override</w:t>
      </w:r>
      <w:r>
        <w:rPr>
          <w:color w:val="231F20"/>
        </w:rPr>
        <w:t> </w:t>
      </w:r>
      <w:r>
        <w:rPr>
          <w:color w:val="231F20"/>
          <w:spacing w:val="-2"/>
        </w:rPr>
        <w:t>condition.</w:t>
      </w:r>
    </w:p>
    <w:p>
      <w:pPr>
        <w:pStyle w:val="BodyText"/>
        <w:spacing w:line="213" w:lineRule="auto" w:before="59"/>
        <w:ind w:left="2688" w:right="493" w:hanging="216"/>
      </w:pPr>
      <w:r>
        <w:rPr>
          <w:rFonts w:ascii="Futura MdCn BT"/>
          <w:color w:val="231F20"/>
        </w:rPr>
        <w:t>v</w:t>
      </w:r>
      <w:r>
        <w:rPr>
          <w:rFonts w:ascii="Futura MdCn BT"/>
          <w:color w:val="231F20"/>
          <w:spacing w:val="80"/>
        </w:rPr>
        <w:t> </w:t>
      </w:r>
      <w:r>
        <w:rPr>
          <w:color w:val="231F20"/>
        </w:rPr>
        <w:t>An override expression must be different from the reference formula (at least one comparison value must be changed).</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If you no longer need an expression override definition, you can remove it </w:t>
      </w:r>
      <w:r>
        <w:rPr>
          <w:color w:val="231F20"/>
        </w:rPr>
        <w:t>(in</w:t>
      </w:r>
      <w:r>
        <w:rPr>
          <w:color w:val="231F20"/>
        </w:rPr>
        <w:t> the Add Expression Overrides window, select the check box next to the definition and click </w:t>
      </w:r>
      <w:r>
        <w:rPr>
          <w:rFonts w:ascii="Book Antiqua"/>
          <w:b/>
          <w:color w:val="231F20"/>
        </w:rPr>
        <w:t>Remove Expression</w:t>
      </w:r>
      <w:r>
        <w:rPr>
          <w:color w:val="231F20"/>
        </w:rPr>
        <w:t>). After clicking </w:t>
      </w:r>
      <w:r>
        <w:rPr>
          <w:rFonts w:ascii="Book Antiqua"/>
          <w:b/>
          <w:color w:val="231F20"/>
        </w:rPr>
        <w:t>OK </w:t>
      </w:r>
      <w:r>
        <w:rPr>
          <w:color w:val="231F20"/>
        </w:rPr>
        <w:t>to close the Add Expression Overrides window, you will be unable to edit the situation until it has been refreshed: You can adjust the value in an expression, but you cannot </w:t>
      </w:r>
      <w:bookmarkStart w:name="Select Override Expression Schedule" w:id="473"/>
      <w:bookmarkEnd w:id="473"/>
      <w:r>
        <w:rPr>
          <w:color w:val="231F20"/>
        </w:rPr>
        <w:t>change</w:t>
      </w:r>
      <w:r>
        <w:rPr>
          <w:color w:val="231F20"/>
        </w:rPr>
        <w:t> the formula function or relational operator.</w:t>
      </w:r>
    </w:p>
    <w:p>
      <w:pPr>
        <w:pStyle w:val="Heading4"/>
        <w:spacing w:line="273" w:lineRule="exact" w:before="163"/>
        <w:ind w:left="2472"/>
      </w:pPr>
      <w:r>
        <w:rPr>
          <w:color w:val="231F20"/>
        </w:rPr>
        <w:t>Select</w:t>
      </w:r>
      <w:r>
        <w:rPr>
          <w:color w:val="231F20"/>
          <w:spacing w:val="3"/>
        </w:rPr>
        <w:t> </w:t>
      </w:r>
      <w:r>
        <w:rPr>
          <w:color w:val="231F20"/>
        </w:rPr>
        <w:t>Override</w:t>
      </w:r>
      <w:r>
        <w:rPr>
          <w:color w:val="231F20"/>
          <w:spacing w:val="3"/>
        </w:rPr>
        <w:t> </w:t>
      </w:r>
      <w:r>
        <w:rPr>
          <w:color w:val="231F20"/>
        </w:rPr>
        <w:t>Expression</w:t>
      </w:r>
      <w:r>
        <w:rPr>
          <w:color w:val="231F20"/>
          <w:spacing w:val="3"/>
        </w:rPr>
        <w:t> </w:t>
      </w:r>
      <w:r>
        <w:rPr>
          <w:color w:val="231F20"/>
          <w:spacing w:val="-2"/>
        </w:rPr>
        <w:t>Schedule</w:t>
      </w:r>
    </w:p>
    <w:p>
      <w:pPr>
        <w:pStyle w:val="BodyText"/>
        <w:spacing w:line="213" w:lineRule="auto" w:before="20"/>
        <w:ind w:left="2472"/>
      </w:pPr>
      <w:r>
        <w:rPr>
          <w:color w:val="231F20"/>
        </w:rPr>
        <w:t>Use the </w:t>
      </w:r>
      <w:r>
        <w:rPr>
          <w:rFonts w:ascii="Book Antiqua"/>
          <w:b/>
          <w:color w:val="231F20"/>
        </w:rPr>
        <w:t>Select Override Expression Schedule </w:t>
      </w:r>
      <w:r>
        <w:rPr>
          <w:color w:val="231F20"/>
        </w:rPr>
        <w:t>dialog to select a calendar entry </w:t>
      </w:r>
      <w:r>
        <w:rPr>
          <w:color w:val="231F20"/>
        </w:rPr>
        <w:t>that specifies when the expression override should be applied. You can define a new schedule in this dialog and edit or delete existing schedules.</w:t>
      </w:r>
    </w:p>
    <w:p>
      <w:pPr>
        <w:spacing w:after="0" w:line="213" w:lineRule="auto"/>
        <w:sectPr>
          <w:type w:val="continuous"/>
          <w:pgSz w:w="12240" w:h="15840"/>
          <w:pgMar w:header="0" w:footer="736" w:top="0" w:bottom="4660" w:left="1000" w:right="1060"/>
        </w:sectPr>
      </w:pPr>
    </w:p>
    <w:p>
      <w:pPr>
        <w:spacing w:line="213" w:lineRule="auto" w:before="85"/>
        <w:ind w:left="2232" w:right="545" w:firstLine="0"/>
        <w:jc w:val="left"/>
        <w:rPr>
          <w:sz w:val="20"/>
        </w:rPr>
      </w:pPr>
      <w:bookmarkStart w:name="_bookmark225" w:id="474"/>
      <w:bookmarkEnd w:id="474"/>
      <w:r>
        <w:rPr/>
      </w:r>
      <w:r>
        <w:rPr>
          <w:color w:val="231F20"/>
          <w:sz w:val="20"/>
        </w:rPr>
        <w:t>From the </w:t>
      </w:r>
      <w:r>
        <w:rPr>
          <w:rFonts w:ascii="Book Antiqua"/>
          <w:b/>
          <w:color w:val="231F20"/>
          <w:sz w:val="20"/>
        </w:rPr>
        <w:t>Add Expression Overrides </w:t>
      </w:r>
      <w:r>
        <w:rPr>
          <w:color w:val="231F20"/>
          <w:sz w:val="20"/>
        </w:rPr>
        <w:t>dialog, click </w:t>
      </w:r>
      <w:r>
        <w:rPr>
          <w:color w:val="231F20"/>
          <w:spacing w:val="-25"/>
          <w:position w:val="-1"/>
          <w:sz w:val="20"/>
        </w:rPr>
        <w:drawing>
          <wp:inline distT="0" distB="0" distL="0" distR="0">
            <wp:extent cx="95250" cy="101600"/>
            <wp:effectExtent l="0" t="0" r="0" b="0"/>
            <wp:docPr id="2491" name="Image 2491"/>
            <wp:cNvGraphicFramePr>
              <a:graphicFrameLocks/>
            </wp:cNvGraphicFramePr>
            <a:graphic>
              <a:graphicData uri="http://schemas.openxmlformats.org/drawingml/2006/picture">
                <pic:pic>
                  <pic:nvPicPr>
                    <pic:cNvPr id="2491" name="Image 2491"/>
                    <pic:cNvPicPr/>
                  </pic:nvPicPr>
                  <pic:blipFill>
                    <a:blip r:embed="rId395"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Calendar </w:t>
      </w:r>
      <w:r>
        <w:rPr>
          <w:color w:val="231F20"/>
          <w:sz w:val="20"/>
        </w:rPr>
        <w:t>to establish a schedule,</w:t>
      </w:r>
      <w:r>
        <w:rPr>
          <w:color w:val="231F20"/>
          <w:spacing w:val="18"/>
          <w:sz w:val="20"/>
        </w:rPr>
        <w:t> </w:t>
      </w:r>
      <w:r>
        <w:rPr>
          <w:color w:val="231F20"/>
          <w:spacing w:val="-24"/>
          <w:position w:val="-1"/>
          <w:sz w:val="20"/>
        </w:rPr>
        <w:drawing>
          <wp:inline distT="0" distB="0" distL="0" distR="0">
            <wp:extent cx="95250" cy="101600"/>
            <wp:effectExtent l="0" t="0" r="0" b="0"/>
            <wp:docPr id="2492" name="Image 2492"/>
            <wp:cNvGraphicFramePr>
              <a:graphicFrameLocks/>
            </wp:cNvGraphicFramePr>
            <a:graphic>
              <a:graphicData uri="http://schemas.openxmlformats.org/drawingml/2006/picture">
                <pic:pic>
                  <pic:nvPicPr>
                    <pic:cNvPr id="2492" name="Image 2492"/>
                    <pic:cNvPicPr/>
                  </pic:nvPicPr>
                  <pic:blipFill>
                    <a:blip r:embed="rId39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5"/>
          <w:sz w:val="20"/>
        </w:rPr>
        <w:t> </w:t>
      </w:r>
      <w:r>
        <w:rPr>
          <w:rFonts w:ascii="Book Antiqua"/>
          <w:b/>
          <w:color w:val="231F20"/>
          <w:sz w:val="20"/>
        </w:rPr>
        <w:t>Calendar </w:t>
      </w:r>
      <w:r>
        <w:rPr>
          <w:color w:val="231F20"/>
          <w:sz w:val="20"/>
        </w:rPr>
        <w:t>to edit a calendar schedule, or</w:t>
      </w:r>
      <w:r>
        <w:rPr>
          <w:color w:val="231F20"/>
          <w:spacing w:val="17"/>
          <w:sz w:val="20"/>
        </w:rPr>
        <w:t> </w:t>
      </w:r>
      <w:r>
        <w:rPr>
          <w:color w:val="231F20"/>
          <w:spacing w:val="-25"/>
          <w:position w:val="-1"/>
          <w:sz w:val="20"/>
        </w:rPr>
        <w:drawing>
          <wp:inline distT="0" distB="0" distL="0" distR="0">
            <wp:extent cx="95250" cy="101600"/>
            <wp:effectExtent l="0" t="0" r="0" b="0"/>
            <wp:docPr id="2493" name="Image 2493"/>
            <wp:cNvGraphicFramePr>
              <a:graphicFrameLocks/>
            </wp:cNvGraphicFramePr>
            <a:graphic>
              <a:graphicData uri="http://schemas.openxmlformats.org/drawingml/2006/picture">
                <pic:pic>
                  <pic:nvPicPr>
                    <pic:cNvPr id="2493" name="Image 2493"/>
                    <pic:cNvPicPr/>
                  </pic:nvPicPr>
                  <pic:blipFill>
                    <a:blip r:embed="rId397"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6"/>
          <w:sz w:val="20"/>
        </w:rPr>
        <w:t> </w:t>
      </w:r>
      <w:r>
        <w:rPr>
          <w:rFonts w:ascii="Book Antiqua"/>
          <w:b/>
          <w:color w:val="231F20"/>
          <w:sz w:val="20"/>
        </w:rPr>
        <w:t>Calendar </w:t>
      </w:r>
      <w:r>
        <w:rPr>
          <w:color w:val="231F20"/>
          <w:sz w:val="20"/>
        </w:rPr>
        <w:t>to edit an </w:t>
      </w:r>
      <w:r>
        <w:rPr>
          <w:color w:val="231F20"/>
          <w:sz w:val="20"/>
        </w:rPr>
        <w:t>hourly </w:t>
      </w:r>
      <w:r>
        <w:rPr>
          <w:color w:val="231F20"/>
          <w:spacing w:val="-2"/>
          <w:sz w:val="20"/>
        </w:rPr>
        <w:t>schedule.</w:t>
      </w:r>
    </w:p>
    <w:p>
      <w:pPr>
        <w:pStyle w:val="BodyText"/>
        <w:spacing w:line="213" w:lineRule="auto" w:before="237"/>
        <w:ind w:left="2232" w:right="545"/>
      </w:pPr>
      <w:r>
        <w:rPr>
          <w:rFonts w:ascii="Book Antiqua"/>
          <w:b/>
          <w:color w:val="231F20"/>
        </w:rPr>
        <w:t>Schedules</w:t>
      </w:r>
      <w:r>
        <w:rPr>
          <w:rFonts w:ascii="Book Antiqua"/>
          <w:b/>
          <w:color w:val="231F20"/>
          <w:spacing w:val="27"/>
        </w:rPr>
        <w:t> </w:t>
      </w:r>
      <w:r>
        <w:rPr>
          <w:color w:val="231F20"/>
        </w:rPr>
        <w:t>is</w:t>
      </w:r>
      <w:r>
        <w:rPr>
          <w:color w:val="231F20"/>
          <w:spacing w:val="27"/>
        </w:rPr>
        <w:t> </w:t>
      </w:r>
      <w:r>
        <w:rPr>
          <w:color w:val="231F20"/>
        </w:rPr>
        <w:t>a</w:t>
      </w:r>
      <w:r>
        <w:rPr>
          <w:color w:val="231F20"/>
          <w:spacing w:val="27"/>
        </w:rPr>
        <w:t> </w:t>
      </w:r>
      <w:r>
        <w:rPr>
          <w:color w:val="231F20"/>
        </w:rPr>
        <w:t>list</w:t>
      </w:r>
      <w:r>
        <w:rPr>
          <w:color w:val="231F20"/>
          <w:spacing w:val="27"/>
        </w:rPr>
        <w:t> </w:t>
      </w:r>
      <w:r>
        <w:rPr>
          <w:color w:val="231F20"/>
        </w:rPr>
        <w:t>of</w:t>
      </w:r>
      <w:r>
        <w:rPr>
          <w:color w:val="231F20"/>
          <w:spacing w:val="27"/>
        </w:rPr>
        <w:t> </w:t>
      </w:r>
      <w:r>
        <w:rPr>
          <w:color w:val="231F20"/>
        </w:rPr>
        <w:t>schedules</w:t>
      </w:r>
      <w:r>
        <w:rPr>
          <w:color w:val="231F20"/>
          <w:spacing w:val="27"/>
        </w:rPr>
        <w:t> </w:t>
      </w:r>
      <w:r>
        <w:rPr>
          <w:color w:val="231F20"/>
        </w:rPr>
        <w:t>that</w:t>
      </w:r>
      <w:r>
        <w:rPr>
          <w:color w:val="231F20"/>
          <w:spacing w:val="27"/>
        </w:rPr>
        <w:t> </w:t>
      </w:r>
      <w:r>
        <w:rPr>
          <w:color w:val="231F20"/>
        </w:rPr>
        <w:t>are</w:t>
      </w:r>
      <w:r>
        <w:rPr>
          <w:color w:val="231F20"/>
          <w:spacing w:val="27"/>
        </w:rPr>
        <w:t> </w:t>
      </w:r>
      <w:r>
        <w:rPr>
          <w:color w:val="231F20"/>
        </w:rPr>
        <w:t>available</w:t>
      </w:r>
      <w:r>
        <w:rPr>
          <w:color w:val="231F20"/>
          <w:spacing w:val="27"/>
        </w:rPr>
        <w:t> </w:t>
      </w:r>
      <w:r>
        <w:rPr>
          <w:color w:val="231F20"/>
        </w:rPr>
        <w:t>for</w:t>
      </w:r>
      <w:r>
        <w:rPr>
          <w:color w:val="231F20"/>
          <w:spacing w:val="27"/>
        </w:rPr>
        <w:t> </w:t>
      </w:r>
      <w:r>
        <w:rPr>
          <w:color w:val="231F20"/>
        </w:rPr>
        <w:t>this</w:t>
      </w:r>
      <w:r>
        <w:rPr>
          <w:color w:val="231F20"/>
          <w:spacing w:val="27"/>
        </w:rPr>
        <w:t> </w:t>
      </w:r>
      <w:r>
        <w:rPr>
          <w:color w:val="231F20"/>
        </w:rPr>
        <w:t>situation.</w:t>
      </w:r>
      <w:r>
        <w:rPr>
          <w:color w:val="231F20"/>
          <w:spacing w:val="27"/>
        </w:rPr>
        <w:t> </w:t>
      </w:r>
      <w:r>
        <w:rPr>
          <w:color w:val="231F20"/>
        </w:rPr>
        <w:t>Click</w:t>
      </w:r>
      <w:r>
        <w:rPr>
          <w:color w:val="231F20"/>
          <w:spacing w:val="27"/>
        </w:rPr>
        <w:t> </w:t>
      </w:r>
      <w:r>
        <w:rPr>
          <w:color w:val="231F20"/>
        </w:rPr>
        <w:t>a schedule to see its description in the </w:t>
      </w:r>
      <w:r>
        <w:rPr>
          <w:rFonts w:ascii="Book Antiqua"/>
          <w:b/>
          <w:color w:val="231F20"/>
        </w:rPr>
        <w:t>Description </w:t>
      </w:r>
      <w:r>
        <w:rPr>
          <w:color w:val="231F20"/>
        </w:rPr>
        <w:t>field. The predefined schedules are NonPrimeShift, PrimeShift, Weekday, and Weekend. Use the following tools to create, edit, or delete a schedule:</w:t>
      </w:r>
    </w:p>
    <w:p>
      <w:pPr>
        <w:pStyle w:val="Heading6"/>
        <w:spacing w:before="116"/>
        <w:ind w:left="2242"/>
      </w:pPr>
      <w:r>
        <w:rPr>
          <w:b w:val="0"/>
          <w:position w:val="-1"/>
        </w:rPr>
        <w:drawing>
          <wp:inline distT="0" distB="0" distL="0" distR="0">
            <wp:extent cx="95250" cy="101600"/>
            <wp:effectExtent l="0" t="0" r="0" b="0"/>
            <wp:docPr id="2494" name="Image 2494"/>
            <wp:cNvGraphicFramePr>
              <a:graphicFrameLocks/>
            </wp:cNvGraphicFramePr>
            <a:graphic>
              <a:graphicData uri="http://schemas.openxmlformats.org/drawingml/2006/picture">
                <pic:pic>
                  <pic:nvPicPr>
                    <pic:cNvPr id="2494" name="Image 2494"/>
                    <pic:cNvPicPr/>
                  </pic:nvPicPr>
                  <pic:blipFill>
                    <a:blip r:embed="rId26"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2"/>
        </w:rPr>
        <w:t> </w:t>
      </w:r>
      <w:r>
        <w:rPr>
          <w:color w:val="231F20"/>
        </w:rPr>
        <w:t>Create</w:t>
      </w:r>
      <w:r>
        <w:rPr>
          <w:color w:val="231F20"/>
          <w:spacing w:val="15"/>
        </w:rPr>
        <w:t> </w:t>
      </w:r>
      <w:r>
        <w:rPr>
          <w:color w:val="231F20"/>
        </w:rPr>
        <w:t>New</w:t>
      </w:r>
      <w:r>
        <w:rPr>
          <w:color w:val="231F20"/>
          <w:spacing w:val="15"/>
        </w:rPr>
        <w:t> </w:t>
      </w:r>
      <w:r>
        <w:rPr>
          <w:color w:val="231F20"/>
        </w:rPr>
        <w:t>Schedule</w:t>
      </w:r>
    </w:p>
    <w:p>
      <w:pPr>
        <w:pStyle w:val="BodyText"/>
        <w:spacing w:line="258" w:lineRule="exact"/>
        <w:ind w:left="2951"/>
      </w:pPr>
      <w:r>
        <w:rPr>
          <w:color w:val="231F20"/>
        </w:rPr>
        <w:t>Define</w:t>
      </w:r>
      <w:r>
        <w:rPr>
          <w:color w:val="231F20"/>
          <w:spacing w:val="10"/>
        </w:rPr>
        <w:t> </w:t>
      </w:r>
      <w:r>
        <w:rPr>
          <w:color w:val="231F20"/>
        </w:rPr>
        <w:t>a</w:t>
      </w:r>
      <w:r>
        <w:rPr>
          <w:color w:val="231F20"/>
          <w:spacing w:val="10"/>
        </w:rPr>
        <w:t> </w:t>
      </w:r>
      <w:r>
        <w:rPr>
          <w:color w:val="231F20"/>
        </w:rPr>
        <w:t>new</w:t>
      </w:r>
      <w:r>
        <w:rPr>
          <w:color w:val="231F20"/>
          <w:spacing w:val="10"/>
        </w:rPr>
        <w:t> </w:t>
      </w:r>
      <w:r>
        <w:rPr>
          <w:color w:val="231F20"/>
        </w:rPr>
        <w:t>schedule</w:t>
      </w:r>
      <w:r>
        <w:rPr>
          <w:color w:val="231F20"/>
          <w:spacing w:val="10"/>
        </w:rPr>
        <w:t> </w:t>
      </w:r>
      <w:r>
        <w:rPr>
          <w:color w:val="231F20"/>
        </w:rPr>
        <w:t>including</w:t>
      </w:r>
      <w:r>
        <w:rPr>
          <w:color w:val="231F20"/>
          <w:spacing w:val="11"/>
        </w:rPr>
        <w:t> </w:t>
      </w:r>
      <w:r>
        <w:rPr>
          <w:color w:val="231F20"/>
        </w:rPr>
        <w:t>name,</w:t>
      </w:r>
      <w:r>
        <w:rPr>
          <w:color w:val="231F20"/>
          <w:spacing w:val="10"/>
        </w:rPr>
        <w:t> </w:t>
      </w:r>
      <w:r>
        <w:rPr>
          <w:color w:val="231F20"/>
        </w:rPr>
        <w:t>description,</w:t>
      </w:r>
      <w:r>
        <w:rPr>
          <w:color w:val="231F20"/>
          <w:spacing w:val="10"/>
        </w:rPr>
        <w:t> </w:t>
      </w:r>
      <w:r>
        <w:rPr>
          <w:color w:val="231F20"/>
        </w:rPr>
        <w:t>and</w:t>
      </w:r>
      <w:r>
        <w:rPr>
          <w:color w:val="231F20"/>
          <w:spacing w:val="10"/>
        </w:rPr>
        <w:t> </w:t>
      </w:r>
      <w:r>
        <w:rPr>
          <w:color w:val="231F20"/>
          <w:spacing w:val="-2"/>
        </w:rPr>
        <w:t>timing.</w:t>
      </w:r>
    </w:p>
    <w:p>
      <w:pPr>
        <w:pStyle w:val="Heading6"/>
        <w:spacing w:before="111"/>
        <w:ind w:left="2252"/>
      </w:pPr>
      <w:r>
        <w:rPr>
          <w:b w:val="0"/>
          <w:position w:val="-1"/>
        </w:rPr>
        <w:drawing>
          <wp:inline distT="0" distB="0" distL="0" distR="0">
            <wp:extent cx="82550" cy="95250"/>
            <wp:effectExtent l="0" t="0" r="0" b="0"/>
            <wp:docPr id="2495" name="Image 2495"/>
            <wp:cNvGraphicFramePr>
              <a:graphicFrameLocks/>
            </wp:cNvGraphicFramePr>
            <a:graphic>
              <a:graphicData uri="http://schemas.openxmlformats.org/drawingml/2006/picture">
                <pic:pic>
                  <pic:nvPicPr>
                    <pic:cNvPr id="2495" name="Image 2495"/>
                    <pic:cNvPicPr/>
                  </pic:nvPicPr>
                  <pic:blipFill>
                    <a:blip r:embed="rId332"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rPr>
        <w:t> </w:t>
      </w:r>
      <w:r>
        <w:rPr>
          <w:color w:val="231F20"/>
        </w:rPr>
        <w:t>Create</w:t>
      </w:r>
      <w:r>
        <w:rPr>
          <w:color w:val="231F20"/>
          <w:spacing w:val="17"/>
        </w:rPr>
        <w:t> </w:t>
      </w:r>
      <w:r>
        <w:rPr>
          <w:color w:val="231F20"/>
        </w:rPr>
        <w:t>Another</w:t>
      </w:r>
      <w:r>
        <w:rPr>
          <w:color w:val="231F20"/>
          <w:spacing w:val="17"/>
        </w:rPr>
        <w:t> </w:t>
      </w:r>
      <w:r>
        <w:rPr>
          <w:color w:val="231F20"/>
        </w:rPr>
        <w:t>Schedule</w:t>
      </w:r>
    </w:p>
    <w:p>
      <w:pPr>
        <w:pStyle w:val="BodyText"/>
        <w:spacing w:line="213" w:lineRule="auto" w:before="11"/>
        <w:ind w:left="2951" w:right="666"/>
      </w:pPr>
      <w:r>
        <w:rPr>
          <w:color w:val="231F20"/>
        </w:rPr>
        <w:t>Copy the selected schedule and give it a new name. This is a good </w:t>
      </w:r>
      <w:r>
        <w:rPr>
          <w:color w:val="231F20"/>
        </w:rPr>
        <w:t>choice</w:t>
      </w:r>
      <w:r>
        <w:rPr>
          <w:color w:val="231F20"/>
          <w:spacing w:val="80"/>
          <w:w w:val="150"/>
        </w:rPr>
        <w:t> </w:t>
      </w:r>
      <w:r>
        <w:rPr>
          <w:color w:val="231F20"/>
        </w:rPr>
        <w:t>if you want to base the new schedule on, or in contrast to, what was</w:t>
      </w:r>
      <w:r>
        <w:rPr>
          <w:color w:val="231F20"/>
          <w:spacing w:val="40"/>
        </w:rPr>
        <w:t> </w:t>
      </w:r>
      <w:r>
        <w:rPr>
          <w:color w:val="231F20"/>
        </w:rPr>
        <w:t>defined for the source schedule.</w:t>
      </w:r>
    </w:p>
    <w:p>
      <w:pPr>
        <w:pStyle w:val="Heading6"/>
        <w:ind w:left="2242"/>
      </w:pPr>
      <w:r>
        <w:rPr>
          <w:b w:val="0"/>
          <w:position w:val="-1"/>
        </w:rPr>
        <w:drawing>
          <wp:inline distT="0" distB="0" distL="0" distR="0">
            <wp:extent cx="95250" cy="101600"/>
            <wp:effectExtent l="0" t="0" r="0" b="0"/>
            <wp:docPr id="2496" name="Image 2496"/>
            <wp:cNvGraphicFramePr>
              <a:graphicFrameLocks/>
            </wp:cNvGraphicFramePr>
            <a:graphic>
              <a:graphicData uri="http://schemas.openxmlformats.org/drawingml/2006/picture">
                <pic:pic>
                  <pic:nvPicPr>
                    <pic:cNvPr id="2496" name="Image 2496"/>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1"/>
        </w:rPr>
        <w:t> </w:t>
      </w:r>
      <w:r>
        <w:rPr>
          <w:color w:val="231F20"/>
        </w:rPr>
        <w:t>Modify</w:t>
      </w:r>
      <w:r>
        <w:rPr>
          <w:color w:val="231F20"/>
          <w:spacing w:val="17"/>
        </w:rPr>
        <w:t> </w:t>
      </w:r>
      <w:r>
        <w:rPr>
          <w:color w:val="231F20"/>
        </w:rPr>
        <w:t>Schedule</w:t>
      </w:r>
    </w:p>
    <w:p>
      <w:pPr>
        <w:pStyle w:val="BodyText"/>
        <w:spacing w:line="258" w:lineRule="exact"/>
        <w:ind w:left="2951"/>
      </w:pPr>
      <w:r>
        <w:rPr>
          <w:color w:val="231F20"/>
        </w:rPr>
        <w:t>Edit</w:t>
      </w:r>
      <w:r>
        <w:rPr>
          <w:color w:val="231F20"/>
          <w:spacing w:val="11"/>
        </w:rPr>
        <w:t> </w:t>
      </w:r>
      <w:r>
        <w:rPr>
          <w:color w:val="231F20"/>
        </w:rPr>
        <w:t>a</w:t>
      </w:r>
      <w:r>
        <w:rPr>
          <w:color w:val="231F20"/>
          <w:spacing w:val="12"/>
        </w:rPr>
        <w:t> </w:t>
      </w:r>
      <w:r>
        <w:rPr>
          <w:color w:val="231F20"/>
        </w:rPr>
        <w:t>schedule</w:t>
      </w:r>
      <w:r>
        <w:rPr>
          <w:color w:val="231F20"/>
          <w:spacing w:val="12"/>
        </w:rPr>
        <w:t> </w:t>
      </w:r>
      <w:r>
        <w:rPr>
          <w:color w:val="231F20"/>
        </w:rPr>
        <w:t>to</w:t>
      </w:r>
      <w:r>
        <w:rPr>
          <w:color w:val="231F20"/>
          <w:spacing w:val="12"/>
        </w:rPr>
        <w:t> </w:t>
      </w:r>
      <w:r>
        <w:rPr>
          <w:color w:val="231F20"/>
        </w:rPr>
        <w:t>change</w:t>
      </w:r>
      <w:r>
        <w:rPr>
          <w:color w:val="231F20"/>
          <w:spacing w:val="11"/>
        </w:rPr>
        <w:t> </w:t>
      </w:r>
      <w:r>
        <w:rPr>
          <w:color w:val="231F20"/>
        </w:rPr>
        <w:t>the</w:t>
      </w:r>
      <w:r>
        <w:rPr>
          <w:color w:val="231F20"/>
          <w:spacing w:val="12"/>
        </w:rPr>
        <w:t> </w:t>
      </w:r>
      <w:r>
        <w:rPr>
          <w:color w:val="231F20"/>
        </w:rPr>
        <w:t>time</w:t>
      </w:r>
      <w:r>
        <w:rPr>
          <w:color w:val="231F20"/>
          <w:spacing w:val="12"/>
        </w:rPr>
        <w:t> </w:t>
      </w:r>
      <w:r>
        <w:rPr>
          <w:color w:val="231F20"/>
        </w:rPr>
        <w:t>or</w:t>
      </w:r>
      <w:r>
        <w:rPr>
          <w:color w:val="231F20"/>
          <w:spacing w:val="12"/>
        </w:rPr>
        <w:t> </w:t>
      </w:r>
      <w:r>
        <w:rPr>
          <w:color w:val="231F20"/>
        </w:rPr>
        <w:t>frequency</w:t>
      </w:r>
      <w:r>
        <w:rPr>
          <w:color w:val="231F20"/>
          <w:spacing w:val="11"/>
        </w:rPr>
        <w:t> </w:t>
      </w:r>
      <w:r>
        <w:rPr>
          <w:color w:val="231F20"/>
        </w:rPr>
        <w:t>that</w:t>
      </w:r>
      <w:r>
        <w:rPr>
          <w:color w:val="231F20"/>
          <w:spacing w:val="12"/>
        </w:rPr>
        <w:t> </w:t>
      </w:r>
      <w:r>
        <w:rPr>
          <w:color w:val="231F20"/>
        </w:rPr>
        <w:t>it</w:t>
      </w:r>
      <w:r>
        <w:rPr>
          <w:color w:val="231F20"/>
          <w:spacing w:val="12"/>
        </w:rPr>
        <w:t> </w:t>
      </w:r>
      <w:r>
        <w:rPr>
          <w:color w:val="231F20"/>
          <w:spacing w:val="-2"/>
        </w:rPr>
        <w:t>runs.</w:t>
      </w:r>
    </w:p>
    <w:p>
      <w:pPr>
        <w:pStyle w:val="Heading6"/>
        <w:spacing w:before="111"/>
        <w:ind w:left="2242"/>
      </w:pPr>
      <w:r>
        <w:rPr>
          <w:b w:val="0"/>
          <w:position w:val="-1"/>
        </w:rPr>
        <w:drawing>
          <wp:inline distT="0" distB="0" distL="0" distR="0">
            <wp:extent cx="95250" cy="101600"/>
            <wp:effectExtent l="0" t="0" r="0" b="0"/>
            <wp:docPr id="2497" name="Image 2497"/>
            <wp:cNvGraphicFramePr>
              <a:graphicFrameLocks/>
            </wp:cNvGraphicFramePr>
            <a:graphic>
              <a:graphicData uri="http://schemas.openxmlformats.org/drawingml/2006/picture">
                <pic:pic>
                  <pic:nvPicPr>
                    <pic:cNvPr id="2497" name="Image 2497"/>
                    <pic:cNvPicPr/>
                  </pic:nvPicPr>
                  <pic:blipFill>
                    <a:blip r:embed="rId26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Delete</w:t>
      </w:r>
      <w:r>
        <w:rPr>
          <w:color w:val="231F20"/>
          <w:spacing w:val="17"/>
        </w:rPr>
        <w:t> </w:t>
      </w:r>
      <w:r>
        <w:rPr>
          <w:color w:val="231F20"/>
        </w:rPr>
        <w:t>Schedule</w:t>
      </w:r>
    </w:p>
    <w:p>
      <w:pPr>
        <w:pStyle w:val="BodyText"/>
        <w:spacing w:line="258" w:lineRule="exact"/>
        <w:ind w:left="2951"/>
      </w:pPr>
      <w:r>
        <w:rPr>
          <w:color w:val="231F20"/>
        </w:rPr>
        <w:t>Delete</w:t>
      </w:r>
      <w:r>
        <w:rPr>
          <w:color w:val="231F20"/>
          <w:spacing w:val="12"/>
        </w:rPr>
        <w:t> </w:t>
      </w:r>
      <w:r>
        <w:rPr>
          <w:color w:val="231F20"/>
        </w:rPr>
        <w:t>a</w:t>
      </w:r>
      <w:r>
        <w:rPr>
          <w:color w:val="231F20"/>
          <w:spacing w:val="12"/>
        </w:rPr>
        <w:t> </w:t>
      </w:r>
      <w:r>
        <w:rPr>
          <w:color w:val="231F20"/>
        </w:rPr>
        <w:t>schedule</w:t>
      </w:r>
      <w:r>
        <w:rPr>
          <w:color w:val="231F20"/>
          <w:spacing w:val="12"/>
        </w:rPr>
        <w:t> </w:t>
      </w:r>
      <w:r>
        <w:rPr>
          <w:color w:val="231F20"/>
        </w:rPr>
        <w:t>that</w:t>
      </w:r>
      <w:r>
        <w:rPr>
          <w:color w:val="231F20"/>
          <w:spacing w:val="12"/>
        </w:rPr>
        <w:t> </w:t>
      </w:r>
      <w:r>
        <w:rPr>
          <w:color w:val="231F20"/>
        </w:rPr>
        <w:t>you</w:t>
      </w:r>
      <w:r>
        <w:rPr>
          <w:color w:val="231F20"/>
          <w:spacing w:val="12"/>
        </w:rPr>
        <w:t> </w:t>
      </w:r>
      <w:r>
        <w:rPr>
          <w:color w:val="231F20"/>
        </w:rPr>
        <w:t>no</w:t>
      </w:r>
      <w:r>
        <w:rPr>
          <w:color w:val="231F20"/>
          <w:spacing w:val="12"/>
        </w:rPr>
        <w:t> </w:t>
      </w:r>
      <w:r>
        <w:rPr>
          <w:color w:val="231F20"/>
        </w:rPr>
        <w:t>longer</w:t>
      </w:r>
      <w:r>
        <w:rPr>
          <w:color w:val="231F20"/>
          <w:spacing w:val="12"/>
        </w:rPr>
        <w:t> </w:t>
      </w:r>
      <w:r>
        <w:rPr>
          <w:color w:val="231F20"/>
        </w:rPr>
        <w:t>need</w:t>
      </w:r>
      <w:r>
        <w:rPr>
          <w:color w:val="231F20"/>
          <w:spacing w:val="12"/>
        </w:rPr>
        <w:t> </w:t>
      </w:r>
      <w:r>
        <w:rPr>
          <w:color w:val="231F20"/>
        </w:rPr>
        <w:t>for</w:t>
      </w:r>
      <w:r>
        <w:rPr>
          <w:color w:val="231F20"/>
          <w:spacing w:val="12"/>
        </w:rPr>
        <w:t> </w:t>
      </w:r>
      <w:r>
        <w:rPr>
          <w:color w:val="231F20"/>
        </w:rPr>
        <w:t>this</w:t>
      </w:r>
      <w:r>
        <w:rPr>
          <w:color w:val="231F20"/>
          <w:spacing w:val="12"/>
        </w:rPr>
        <w:t> </w:t>
      </w:r>
      <w:r>
        <w:rPr>
          <w:color w:val="231F20"/>
          <w:spacing w:val="-2"/>
        </w:rPr>
        <w:t>situation.</w:t>
      </w:r>
    </w:p>
    <w:p>
      <w:pPr>
        <w:pStyle w:val="BodyText"/>
        <w:spacing w:line="213" w:lineRule="auto" w:before="232"/>
        <w:ind w:left="2232" w:right="636"/>
      </w:pPr>
      <w:r>
        <w:rPr>
          <w:color w:val="231F20"/>
        </w:rPr>
        <w:t>If you want to keep a schedule definition but disable it, click </w:t>
      </w:r>
      <w:r>
        <w:rPr>
          <w:rFonts w:ascii="Book Antiqua"/>
          <w:b/>
          <w:color w:val="231F20"/>
        </w:rPr>
        <w:t>Remove</w:t>
      </w:r>
      <w:r>
        <w:rPr>
          <w:color w:val="231F20"/>
        </w:rPr>
        <w:t>. </w:t>
      </w:r>
      <w:r>
        <w:rPr>
          <w:color w:val="231F20"/>
        </w:rPr>
        <w:t>The </w:t>
      </w:r>
      <w:bookmarkStart w:name="Schedule Options" w:id="475"/>
      <w:bookmarkEnd w:id="475"/>
      <w:r>
        <w:rPr>
          <w:color w:val="231F20"/>
        </w:rPr>
        <w:t>schedule</w:t>
      </w:r>
      <w:r>
        <w:rPr>
          <w:color w:val="231F20"/>
        </w:rPr>
        <w:t> is deselected and </w:t>
      </w:r>
      <w:r>
        <w:rPr>
          <w:rFonts w:ascii="Book Antiqua"/>
          <w:b/>
          <w:color w:val="231F20"/>
        </w:rPr>
        <w:t>&lt;No schedule&gt; </w:t>
      </w:r>
      <w:r>
        <w:rPr>
          <w:color w:val="231F20"/>
        </w:rPr>
        <w:t>is enabled.</w:t>
      </w:r>
    </w:p>
    <w:p>
      <w:pPr>
        <w:pStyle w:val="Heading4"/>
        <w:spacing w:line="273" w:lineRule="exact" w:before="165"/>
      </w:pPr>
      <w:r>
        <w:rPr>
          <w:color w:val="231F20"/>
        </w:rPr>
        <w:t>Schedule</w:t>
      </w:r>
      <w:r>
        <w:rPr>
          <w:color w:val="231F20"/>
          <w:spacing w:val="2"/>
        </w:rPr>
        <w:t> </w:t>
      </w:r>
      <w:r>
        <w:rPr>
          <w:color w:val="231F20"/>
          <w:spacing w:val="-2"/>
        </w:rPr>
        <w:t>Options</w:t>
      </w:r>
    </w:p>
    <w:p>
      <w:pPr>
        <w:pStyle w:val="BodyText"/>
        <w:spacing w:line="213" w:lineRule="auto" w:before="20"/>
        <w:ind w:left="2232" w:right="545"/>
      </w:pPr>
      <w:r>
        <w:rPr>
          <w:color w:val="231F20"/>
        </w:rPr>
        <w:t>Use the Schedule Options to select whether to create a new calendar schedule or hourly schedule. The new schedule options are displayed from the Select </w:t>
      </w:r>
      <w:r>
        <w:rPr>
          <w:color w:val="231F20"/>
        </w:rPr>
        <w:t>Override Expression Schedule window after you click</w:t>
      </w:r>
      <w:r>
        <w:rPr>
          <w:color w:val="231F20"/>
          <w:spacing w:val="40"/>
        </w:rPr>
        <w:t> </w:t>
      </w:r>
      <w:r>
        <w:rPr>
          <w:color w:val="231F20"/>
          <w:spacing w:val="-25"/>
          <w:position w:val="-1"/>
        </w:rPr>
        <w:drawing>
          <wp:inline distT="0" distB="0" distL="0" distR="0">
            <wp:extent cx="95250" cy="101600"/>
            <wp:effectExtent l="0" t="0" r="0" b="0"/>
            <wp:docPr id="2498" name="Image 2498"/>
            <wp:cNvGraphicFramePr>
              <a:graphicFrameLocks/>
            </wp:cNvGraphicFramePr>
            <a:graphic>
              <a:graphicData uri="http://schemas.openxmlformats.org/drawingml/2006/picture">
                <pic:pic>
                  <pic:nvPicPr>
                    <pic:cNvPr id="2498" name="Image 249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Create New Schedule</w:t>
      </w:r>
      <w:r>
        <w:rPr>
          <w:color w:val="231F20"/>
        </w:rPr>
        <w:t>.</w:t>
      </w:r>
    </w:p>
    <w:p>
      <w:pPr>
        <w:pStyle w:val="Heading6"/>
        <w:spacing w:line="227" w:lineRule="exact" w:before="122"/>
        <w:ind w:left="2232"/>
      </w:pPr>
      <w:r>
        <w:rPr>
          <w:b w:val="0"/>
        </w:rPr>
        <w:drawing>
          <wp:inline distT="0" distB="0" distL="0" distR="0">
            <wp:extent cx="88900" cy="82550"/>
            <wp:effectExtent l="0" t="0" r="0" b="0"/>
            <wp:docPr id="2499" name="Image 2499"/>
            <wp:cNvGraphicFramePr>
              <a:graphicFrameLocks/>
            </wp:cNvGraphicFramePr>
            <a:graphic>
              <a:graphicData uri="http://schemas.openxmlformats.org/drawingml/2006/picture">
                <pic:pic>
                  <pic:nvPicPr>
                    <pic:cNvPr id="2499" name="Image 2499"/>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80"/>
        </w:rPr>
        <w:t> </w:t>
      </w:r>
      <w:r>
        <w:rPr>
          <w:color w:val="231F20"/>
        </w:rPr>
        <w:t>Create</w:t>
      </w:r>
      <w:r>
        <w:rPr>
          <w:color w:val="231F20"/>
          <w:spacing w:val="25"/>
        </w:rPr>
        <w:t> </w:t>
      </w:r>
      <w:r>
        <w:rPr>
          <w:color w:val="231F20"/>
        </w:rPr>
        <w:t>a</w:t>
      </w:r>
      <w:r>
        <w:rPr>
          <w:color w:val="231F20"/>
          <w:spacing w:val="25"/>
        </w:rPr>
        <w:t> </w:t>
      </w:r>
      <w:r>
        <w:rPr>
          <w:color w:val="231F20"/>
        </w:rPr>
        <w:t>new</w:t>
      </w:r>
      <w:r>
        <w:rPr>
          <w:color w:val="231F20"/>
          <w:spacing w:val="25"/>
        </w:rPr>
        <w:t> </w:t>
      </w:r>
      <w:r>
        <w:rPr>
          <w:color w:val="231F20"/>
        </w:rPr>
        <w:t>calendar</w:t>
      </w:r>
      <w:r>
        <w:rPr>
          <w:color w:val="231F20"/>
          <w:spacing w:val="25"/>
        </w:rPr>
        <w:t> </w:t>
      </w:r>
      <w:r>
        <w:rPr>
          <w:color w:val="231F20"/>
        </w:rPr>
        <w:t>schedule</w:t>
      </w:r>
    </w:p>
    <w:p>
      <w:pPr>
        <w:pStyle w:val="BodyText"/>
        <w:spacing w:line="213" w:lineRule="auto" w:before="9"/>
        <w:ind w:left="2951" w:right="545"/>
      </w:pPr>
      <w:r>
        <w:rPr>
          <w:color w:val="231F20"/>
        </w:rPr>
        <w:t>Choose this option to create a schedule for a particular day and time or to repeat at a set frequency. A calendar schedule is useful if you want the override to run only once and starting at a particular time or if you want it</w:t>
      </w:r>
      <w:r>
        <w:rPr>
          <w:color w:val="231F20"/>
          <w:spacing w:val="80"/>
        </w:rPr>
        <w:t> </w:t>
      </w:r>
      <w:r>
        <w:rPr>
          <w:color w:val="231F20"/>
        </w:rPr>
        <w:t>to repeat at set intervals.</w:t>
      </w:r>
    </w:p>
    <w:p>
      <w:pPr>
        <w:pStyle w:val="Heading6"/>
        <w:spacing w:line="227" w:lineRule="exact" w:before="120"/>
        <w:ind w:left="2232"/>
      </w:pPr>
      <w:r>
        <w:rPr>
          <w:b w:val="0"/>
        </w:rPr>
        <w:drawing>
          <wp:inline distT="0" distB="0" distL="0" distR="0">
            <wp:extent cx="88900" cy="82550"/>
            <wp:effectExtent l="0" t="0" r="0" b="0"/>
            <wp:docPr id="2500" name="Image 2500"/>
            <wp:cNvGraphicFramePr>
              <a:graphicFrameLocks/>
            </wp:cNvGraphicFramePr>
            <a:graphic>
              <a:graphicData uri="http://schemas.openxmlformats.org/drawingml/2006/picture">
                <pic:pic>
                  <pic:nvPicPr>
                    <pic:cNvPr id="2500" name="Image 2500"/>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80"/>
        </w:rPr>
        <w:t> </w:t>
      </w:r>
      <w:r>
        <w:rPr>
          <w:color w:val="231F20"/>
        </w:rPr>
        <w:t>Create</w:t>
      </w:r>
      <w:r>
        <w:rPr>
          <w:color w:val="231F20"/>
          <w:spacing w:val="26"/>
        </w:rPr>
        <w:t> </w:t>
      </w:r>
      <w:r>
        <w:rPr>
          <w:color w:val="231F20"/>
        </w:rPr>
        <w:t>a</w:t>
      </w:r>
      <w:r>
        <w:rPr>
          <w:color w:val="231F20"/>
          <w:spacing w:val="26"/>
        </w:rPr>
        <w:t> </w:t>
      </w:r>
      <w:r>
        <w:rPr>
          <w:color w:val="231F20"/>
        </w:rPr>
        <w:t>new</w:t>
      </w:r>
      <w:r>
        <w:rPr>
          <w:color w:val="231F20"/>
          <w:spacing w:val="26"/>
        </w:rPr>
        <w:t> </w:t>
      </w:r>
      <w:r>
        <w:rPr>
          <w:color w:val="231F20"/>
        </w:rPr>
        <w:t>hourly</w:t>
      </w:r>
      <w:r>
        <w:rPr>
          <w:color w:val="231F20"/>
          <w:spacing w:val="26"/>
        </w:rPr>
        <w:t> </w:t>
      </w:r>
      <w:r>
        <w:rPr>
          <w:color w:val="231F20"/>
        </w:rPr>
        <w:t>schedule</w:t>
      </w:r>
    </w:p>
    <w:p>
      <w:pPr>
        <w:pStyle w:val="BodyText"/>
        <w:spacing w:line="213" w:lineRule="auto" w:before="9"/>
        <w:ind w:left="2951" w:right="636"/>
      </w:pPr>
      <w:r>
        <w:rPr>
          <w:color w:val="231F20"/>
        </w:rPr>
        <w:t>Choose this option to create a daily schedule that runs at specified times. An hourly schedule is desirable when you want the override to run </w:t>
      </w:r>
      <w:r>
        <w:rPr>
          <w:color w:val="231F20"/>
        </w:rPr>
        <w:t>every </w:t>
      </w:r>
      <w:bookmarkStart w:name="Schedule editor" w:id="476"/>
      <w:bookmarkEnd w:id="476"/>
      <w:r>
        <w:rPr>
          <w:color w:val="231F20"/>
        </w:rPr>
        <w:t>da</w:t>
      </w:r>
      <w:r>
        <w:rPr>
          <w:color w:val="231F20"/>
        </w:rPr>
        <w:t>y, starting and stopping at a particular time from 00:00 to 23:45.</w:t>
      </w:r>
    </w:p>
    <w:p>
      <w:pPr>
        <w:pStyle w:val="Heading4"/>
        <w:spacing w:line="273" w:lineRule="exact" w:before="165"/>
      </w:pPr>
      <w:r>
        <w:rPr>
          <w:color w:val="231F20"/>
        </w:rPr>
        <w:t>Schedule</w:t>
      </w:r>
      <w:r>
        <w:rPr>
          <w:color w:val="231F20"/>
          <w:spacing w:val="2"/>
        </w:rPr>
        <w:t> </w:t>
      </w:r>
      <w:r>
        <w:rPr>
          <w:color w:val="231F20"/>
          <w:spacing w:val="-2"/>
        </w:rPr>
        <w:t>editor</w:t>
      </w:r>
    </w:p>
    <w:p>
      <w:pPr>
        <w:pStyle w:val="BodyText"/>
        <w:spacing w:line="213" w:lineRule="auto" w:before="19"/>
        <w:ind w:left="2232" w:right="587"/>
      </w:pPr>
      <w:r>
        <w:rPr>
          <w:color w:val="231F20"/>
        </w:rPr>
        <w:t>Use the Schedule editor to create or modify a schedule to control when the</w:t>
      </w:r>
      <w:r>
        <w:rPr>
          <w:color w:val="231F20"/>
          <w:spacing w:val="80"/>
          <w:w w:val="150"/>
        </w:rPr>
        <w:t> </w:t>
      </w:r>
      <w:r>
        <w:rPr>
          <w:color w:val="231F20"/>
        </w:rPr>
        <w:t>situation override is applied. The editor is opened from the Select Override Expression Schedule dialog after you click </w:t>
      </w:r>
      <w:r>
        <w:rPr>
          <w:color w:val="231F20"/>
          <w:spacing w:val="-25"/>
          <w:position w:val="-1"/>
        </w:rPr>
        <w:drawing>
          <wp:inline distT="0" distB="0" distL="0" distR="0">
            <wp:extent cx="95250" cy="101600"/>
            <wp:effectExtent l="0" t="0" r="0" b="0"/>
            <wp:docPr id="2501" name="Image 2501"/>
            <wp:cNvGraphicFramePr>
              <a:graphicFrameLocks/>
            </wp:cNvGraphicFramePr>
            <a:graphic>
              <a:graphicData uri="http://schemas.openxmlformats.org/drawingml/2006/picture">
                <pic:pic>
                  <pic:nvPicPr>
                    <pic:cNvPr id="2501" name="Image 2501"/>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78"/>
        </w:rPr>
        <w:t> </w:t>
      </w:r>
      <w:r>
        <w:rPr>
          <w:rFonts w:ascii="Book Antiqua"/>
          <w:b/>
          <w:color w:val="231F20"/>
        </w:rPr>
        <w:t>Create New Schedule </w:t>
      </w:r>
      <w:r>
        <w:rPr>
          <w:color w:val="231F20"/>
        </w:rPr>
        <w:t>and select </w:t>
      </w:r>
      <w:r>
        <w:rPr>
          <w:color w:val="231F20"/>
        </w:rPr>
        <w:t>the schedule type (Calendar or Hourly) or after you click</w:t>
      </w:r>
      <w:r>
        <w:rPr>
          <w:color w:val="231F20"/>
          <w:spacing w:val="38"/>
        </w:rPr>
        <w:t> </w:t>
      </w:r>
      <w:r>
        <w:rPr>
          <w:color w:val="231F20"/>
          <w:spacing w:val="-25"/>
          <w:position w:val="-1"/>
        </w:rPr>
        <w:drawing>
          <wp:inline distT="0" distB="0" distL="0" distR="0">
            <wp:extent cx="95250" cy="101600"/>
            <wp:effectExtent l="0" t="0" r="0" b="0"/>
            <wp:docPr id="2502" name="Image 2502"/>
            <wp:cNvGraphicFramePr>
              <a:graphicFrameLocks/>
            </wp:cNvGraphicFramePr>
            <a:graphic>
              <a:graphicData uri="http://schemas.openxmlformats.org/drawingml/2006/picture">
                <pic:pic>
                  <pic:nvPicPr>
                    <pic:cNvPr id="2502" name="Image 2502"/>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Modify Schedule</w:t>
      </w:r>
      <w:r>
        <w:rPr>
          <w:color w:val="231F20"/>
        </w:rPr>
        <w:t>.</w:t>
      </w:r>
    </w:p>
    <w:p>
      <w:pPr>
        <w:pStyle w:val="BodyText"/>
        <w:spacing w:before="214"/>
        <w:ind w:left="2232"/>
      </w:pPr>
      <w:r>
        <w:rPr>
          <w:color w:val="231F20"/>
        </w:rPr>
        <w:t>The</w:t>
      </w:r>
      <w:r>
        <w:rPr>
          <w:color w:val="231F20"/>
          <w:spacing w:val="10"/>
        </w:rPr>
        <w:t> </w:t>
      </w:r>
      <w:r>
        <w:rPr>
          <w:color w:val="231F20"/>
        </w:rPr>
        <w:t>Schedule</w:t>
      </w:r>
      <w:r>
        <w:rPr>
          <w:color w:val="231F20"/>
          <w:spacing w:val="10"/>
        </w:rPr>
        <w:t> </w:t>
      </w:r>
      <w:r>
        <w:rPr>
          <w:color w:val="231F20"/>
        </w:rPr>
        <w:t>editor</w:t>
      </w:r>
      <w:r>
        <w:rPr>
          <w:color w:val="231F20"/>
          <w:spacing w:val="10"/>
        </w:rPr>
        <w:t> </w:t>
      </w:r>
      <w:r>
        <w:rPr>
          <w:color w:val="231F20"/>
        </w:rPr>
        <w:t>has</w:t>
      </w:r>
      <w:r>
        <w:rPr>
          <w:color w:val="231F20"/>
          <w:spacing w:val="10"/>
        </w:rPr>
        <w:t> </w:t>
      </w:r>
      <w:r>
        <w:rPr>
          <w:color w:val="231F20"/>
        </w:rPr>
        <w:t>some</w:t>
      </w:r>
      <w:r>
        <w:rPr>
          <w:color w:val="231F20"/>
          <w:spacing w:val="10"/>
        </w:rPr>
        <w:t> </w:t>
      </w:r>
      <w:r>
        <w:rPr>
          <w:color w:val="231F20"/>
        </w:rPr>
        <w:t>different</w:t>
      </w:r>
      <w:r>
        <w:rPr>
          <w:color w:val="231F20"/>
          <w:spacing w:val="10"/>
        </w:rPr>
        <w:t> </w:t>
      </w:r>
      <w:r>
        <w:rPr>
          <w:color w:val="231F20"/>
        </w:rPr>
        <w:t>options</w:t>
      </w:r>
      <w:r>
        <w:rPr>
          <w:color w:val="231F20"/>
          <w:spacing w:val="11"/>
        </w:rPr>
        <w:t> </w:t>
      </w:r>
      <w:r>
        <w:rPr>
          <w:color w:val="231F20"/>
        </w:rPr>
        <w:t>for</w:t>
      </w:r>
      <w:r>
        <w:rPr>
          <w:color w:val="231F20"/>
          <w:spacing w:val="10"/>
        </w:rPr>
        <w:t> </w:t>
      </w:r>
      <w:r>
        <w:rPr>
          <w:color w:val="231F20"/>
        </w:rPr>
        <w:t>and</w:t>
      </w:r>
      <w:r>
        <w:rPr>
          <w:color w:val="231F20"/>
          <w:spacing w:val="10"/>
        </w:rPr>
        <w:t> </w:t>
      </w:r>
      <w:r>
        <w:rPr>
          <w:color w:val="231F20"/>
          <w:spacing w:val="-2"/>
        </w:rPr>
        <w:t>schedules.</w:t>
      </w:r>
    </w:p>
    <w:p>
      <w:pPr>
        <w:pStyle w:val="Heading5"/>
        <w:spacing w:before="213"/>
        <w:ind w:left="2232"/>
      </w:pPr>
      <w:r>
        <w:rPr>
          <w:color w:val="231F20"/>
          <w:spacing w:val="-2"/>
        </w:rPr>
        <w:t>Calendar</w:t>
      </w:r>
    </w:p>
    <w:p>
      <w:pPr>
        <w:pStyle w:val="BodyText"/>
        <w:spacing w:before="222"/>
        <w:ind w:left="2232"/>
      </w:pPr>
      <w:r>
        <w:rPr>
          <w:color w:val="231F20"/>
        </w:rPr>
        <w:t>You</w:t>
      </w:r>
      <w:r>
        <w:rPr>
          <w:color w:val="231F20"/>
          <w:spacing w:val="10"/>
        </w:rPr>
        <w:t> </w:t>
      </w:r>
      <w:r>
        <w:rPr>
          <w:color w:val="231F20"/>
        </w:rPr>
        <w:t>can</w:t>
      </w:r>
      <w:r>
        <w:rPr>
          <w:color w:val="231F20"/>
          <w:spacing w:val="10"/>
        </w:rPr>
        <w:t> </w:t>
      </w:r>
      <w:r>
        <w:rPr>
          <w:color w:val="231F20"/>
        </w:rPr>
        <w:t>have</w:t>
      </w:r>
      <w:r>
        <w:rPr>
          <w:color w:val="231F20"/>
          <w:spacing w:val="10"/>
        </w:rPr>
        <w:t> </w:t>
      </w:r>
      <w:r>
        <w:rPr>
          <w:color w:val="231F20"/>
        </w:rPr>
        <w:t>the</w:t>
      </w:r>
      <w:r>
        <w:rPr>
          <w:color w:val="231F20"/>
          <w:spacing w:val="10"/>
        </w:rPr>
        <w:t> </w:t>
      </w:r>
      <w:r>
        <w:rPr>
          <w:color w:val="231F20"/>
        </w:rPr>
        <w:t>override</w:t>
      </w:r>
      <w:r>
        <w:rPr>
          <w:color w:val="231F20"/>
          <w:spacing w:val="10"/>
        </w:rPr>
        <w:t> </w:t>
      </w:r>
      <w:r>
        <w:rPr>
          <w:color w:val="231F20"/>
        </w:rPr>
        <w:t>run</w:t>
      </w:r>
      <w:r>
        <w:rPr>
          <w:color w:val="231F20"/>
          <w:spacing w:val="10"/>
        </w:rPr>
        <w:t> </w:t>
      </w:r>
      <w:r>
        <w:rPr>
          <w:color w:val="231F20"/>
        </w:rPr>
        <w:t>only</w:t>
      </w:r>
      <w:r>
        <w:rPr>
          <w:color w:val="231F20"/>
          <w:spacing w:val="10"/>
        </w:rPr>
        <w:t> </w:t>
      </w:r>
      <w:r>
        <w:rPr>
          <w:color w:val="231F20"/>
        </w:rPr>
        <w:t>once</w:t>
      </w:r>
      <w:r>
        <w:rPr>
          <w:color w:val="231F20"/>
          <w:spacing w:val="10"/>
        </w:rPr>
        <w:t> </w:t>
      </w:r>
      <w:r>
        <w:rPr>
          <w:color w:val="231F20"/>
        </w:rPr>
        <w:t>or</w:t>
      </w:r>
      <w:r>
        <w:rPr>
          <w:color w:val="231F20"/>
          <w:spacing w:val="10"/>
        </w:rPr>
        <w:t> </w:t>
      </w:r>
      <w:r>
        <w:rPr>
          <w:color w:val="231F20"/>
        </w:rPr>
        <w:t>repeat</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rPr>
        <w:t>specified</w:t>
      </w:r>
      <w:r>
        <w:rPr>
          <w:color w:val="231F20"/>
          <w:spacing w:val="10"/>
        </w:rPr>
        <w:t> </w:t>
      </w:r>
      <w:r>
        <w:rPr>
          <w:color w:val="231F20"/>
          <w:spacing w:val="-2"/>
        </w:rPr>
        <w:t>days.</w:t>
      </w:r>
    </w:p>
    <w:p>
      <w:pPr>
        <w:pStyle w:val="Heading6"/>
        <w:spacing w:before="112"/>
        <w:ind w:left="2232"/>
      </w:pPr>
      <w:r>
        <w:rPr>
          <w:color w:val="231F20"/>
        </w:rPr>
        <w:t>Schedule</w:t>
      </w:r>
      <w:r>
        <w:rPr>
          <w:color w:val="231F20"/>
          <w:spacing w:val="7"/>
        </w:rPr>
        <w:t> </w:t>
      </w:r>
      <w:r>
        <w:rPr>
          <w:color w:val="231F20"/>
          <w:spacing w:val="-2"/>
        </w:rPr>
        <w:t>identity</w:t>
      </w:r>
    </w:p>
    <w:p>
      <w:pPr>
        <w:pStyle w:val="BodyText"/>
        <w:spacing w:line="213" w:lineRule="auto" w:before="11"/>
        <w:ind w:left="2951" w:right="493"/>
      </w:pPr>
      <w:r>
        <w:rPr>
          <w:color w:val="231F20"/>
        </w:rPr>
        <w:t>The </w:t>
      </w:r>
      <w:r>
        <w:rPr>
          <w:rFonts w:ascii="Book Antiqua"/>
          <w:b/>
          <w:color w:val="231F20"/>
        </w:rPr>
        <w:t>Name </w:t>
      </w:r>
      <w:r>
        <w:rPr>
          <w:color w:val="231F20"/>
        </w:rPr>
        <w:t>and </w:t>
      </w:r>
      <w:r>
        <w:rPr>
          <w:rFonts w:ascii="Book Antiqua"/>
          <w:b/>
          <w:color w:val="231F20"/>
        </w:rPr>
        <w:t>Description </w:t>
      </w:r>
      <w:r>
        <w:rPr>
          <w:color w:val="231F20"/>
        </w:rPr>
        <w:t>fields are used to identify the schedule. The name entered here is shown in the list of schedules in the Select Override Expression Schedule dialog. The description is shown only here and can </w:t>
      </w:r>
      <w:r>
        <w:rPr>
          <w:color w:val="231F20"/>
        </w:rPr>
        <w:t>be used to enter information such as the purpose of the schedule.</w:t>
      </w:r>
    </w:p>
    <w:p>
      <w:pPr>
        <w:spacing w:after="0" w:line="213" w:lineRule="auto"/>
        <w:sectPr>
          <w:pgSz w:w="12240" w:h="15840"/>
          <w:pgMar w:header="0" w:footer="736" w:top="1180" w:bottom="920" w:left="1000" w:right="1060"/>
        </w:sectPr>
      </w:pPr>
    </w:p>
    <w:p>
      <w:pPr>
        <w:pStyle w:val="Heading6"/>
        <w:spacing w:before="83"/>
      </w:pPr>
      <w:r>
        <w:rPr>
          <w:color w:val="231F20"/>
        </w:rPr>
        <w:t>Schedule</w:t>
      </w:r>
      <w:r>
        <w:rPr>
          <w:color w:val="231F20"/>
          <w:spacing w:val="7"/>
        </w:rPr>
        <w:t> </w:t>
      </w:r>
      <w:r>
        <w:rPr>
          <w:color w:val="231F20"/>
          <w:spacing w:val="-2"/>
        </w:rPr>
        <w:t>definition</w:t>
      </w:r>
    </w:p>
    <w:p>
      <w:pPr>
        <w:pStyle w:val="BodyText"/>
        <w:spacing w:line="213" w:lineRule="auto" w:before="12"/>
        <w:ind w:left="3190" w:right="545"/>
      </w:pPr>
      <w:r>
        <w:rPr>
          <w:color w:val="231F20"/>
        </w:rPr>
        <w:t>Select from the </w:t>
      </w:r>
      <w:r>
        <w:rPr>
          <w:color w:val="231F20"/>
          <w:spacing w:val="16"/>
          <w:position w:val="-1"/>
        </w:rPr>
        <w:drawing>
          <wp:inline distT="0" distB="0" distL="0" distR="0">
            <wp:extent cx="101600" cy="101600"/>
            <wp:effectExtent l="0" t="0" r="0" b="0"/>
            <wp:docPr id="2503" name="Image 2503"/>
            <wp:cNvGraphicFramePr>
              <a:graphicFrameLocks/>
            </wp:cNvGraphicFramePr>
            <a:graphic>
              <a:graphicData uri="http://schemas.openxmlformats.org/drawingml/2006/picture">
                <pic:pic>
                  <pic:nvPicPr>
                    <pic:cNvPr id="2503" name="Image 2503"/>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 whether to apply the schedule </w:t>
      </w:r>
      <w:r>
        <w:rPr>
          <w:rFonts w:ascii="Book Antiqua"/>
          <w:b/>
          <w:color w:val="231F20"/>
        </w:rPr>
        <w:t>once </w:t>
      </w:r>
      <w:r>
        <w:rPr>
          <w:color w:val="231F20"/>
        </w:rPr>
        <w:t>or at intervals. Your choice changes the options in the rest of the definition area:</w:t>
      </w:r>
    </w:p>
    <w:p>
      <w:pPr>
        <w:pStyle w:val="Heading6"/>
        <w:spacing w:line="240" w:lineRule="auto"/>
        <w:ind w:left="3190"/>
      </w:pPr>
      <w:r>
        <w:rPr>
          <w:color w:val="231F20"/>
          <w:spacing w:val="-2"/>
        </w:rPr>
        <w:t>Frequency</w:t>
      </w:r>
    </w:p>
    <w:p>
      <w:pPr>
        <w:pStyle w:val="BodyText"/>
        <w:tabs>
          <w:tab w:pos="4627" w:val="left" w:leader="none"/>
        </w:tabs>
        <w:spacing w:line="213" w:lineRule="auto" w:before="119"/>
        <w:ind w:left="4627" w:right="258" w:hanging="719"/>
      </w:pPr>
      <w:r>
        <w:rPr>
          <w:rFonts w:ascii="Book Antiqua"/>
          <w:b/>
          <w:color w:val="231F20"/>
          <w:spacing w:val="-4"/>
        </w:rPr>
        <w:t>once</w:t>
      </w:r>
      <w:r>
        <w:rPr>
          <w:rFonts w:ascii="Book Antiqua"/>
          <w:b/>
          <w:color w:val="231F20"/>
        </w:rPr>
        <w:tab/>
      </w:r>
      <w:r>
        <w:rPr>
          <w:color w:val="231F20"/>
        </w:rPr>
        <w:t>Select the month from the </w:t>
      </w:r>
      <w:r>
        <w:rPr>
          <w:rFonts w:ascii="Book Antiqua"/>
          <w:b/>
          <w:color w:val="231F20"/>
        </w:rPr>
        <w:t>On month </w:t>
      </w:r>
      <w:r>
        <w:rPr>
          <w:rFonts w:ascii="Book Antiqua"/>
          <w:b/>
          <w:color w:val="231F20"/>
          <w:spacing w:val="15"/>
          <w:position w:val="-1"/>
        </w:rPr>
        <w:drawing>
          <wp:inline distT="0" distB="0" distL="0" distR="0">
            <wp:extent cx="101600" cy="101600"/>
            <wp:effectExtent l="0" t="0" r="0" b="0"/>
            <wp:docPr id="2504" name="Image 2504"/>
            <wp:cNvGraphicFramePr>
              <a:graphicFrameLocks/>
            </wp:cNvGraphicFramePr>
            <a:graphic>
              <a:graphicData uri="http://schemas.openxmlformats.org/drawingml/2006/picture">
                <pic:pic>
                  <pic:nvPicPr>
                    <pic:cNvPr id="2504" name="Image 2504"/>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rPr>
      </w:r>
      <w:r>
        <w:rPr>
          <w:rFonts w:ascii="Times New Roman"/>
          <w:color w:val="231F20"/>
          <w:spacing w:val="40"/>
        </w:rPr>
        <w:t> </w:t>
      </w:r>
      <w:r>
        <w:rPr>
          <w:color w:val="231F20"/>
        </w:rPr>
        <w:t>list and any value from 1 to 28, 30, or 31 from the </w:t>
      </w:r>
      <w:r>
        <w:rPr>
          <w:rFonts w:ascii="Book Antiqua"/>
          <w:b/>
          <w:color w:val="231F20"/>
        </w:rPr>
        <w:t>On day </w:t>
      </w:r>
      <w:r>
        <w:rPr>
          <w:rFonts w:ascii="Book Antiqua"/>
          <w:b/>
          <w:color w:val="231F20"/>
          <w:spacing w:val="15"/>
          <w:position w:val="-1"/>
        </w:rPr>
        <w:drawing>
          <wp:inline distT="0" distB="0" distL="0" distR="0">
            <wp:extent cx="101600" cy="101600"/>
            <wp:effectExtent l="0" t="0" r="0" b="0"/>
            <wp:docPr id="2505" name="Image 2505"/>
            <wp:cNvGraphicFramePr>
              <a:graphicFrameLocks/>
            </wp:cNvGraphicFramePr>
            <a:graphic>
              <a:graphicData uri="http://schemas.openxmlformats.org/drawingml/2006/picture">
                <pic:pic>
                  <pic:nvPicPr>
                    <pic:cNvPr id="2505" name="Image 2505"/>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5"/>
          <w:position w:val="-1"/>
        </w:rPr>
      </w:r>
      <w:r>
        <w:rPr>
          <w:rFonts w:ascii="Times New Roman"/>
          <w:color w:val="231F20"/>
          <w:spacing w:val="40"/>
        </w:rPr>
        <w:t> </w:t>
      </w:r>
      <w:r>
        <w:rPr>
          <w:color w:val="231F20"/>
        </w:rPr>
        <w:t>list.</w:t>
      </w:r>
    </w:p>
    <w:p>
      <w:pPr>
        <w:tabs>
          <w:tab w:pos="4627" w:val="left" w:leader="none"/>
        </w:tabs>
        <w:spacing w:line="213" w:lineRule="auto" w:before="119"/>
        <w:ind w:left="4627" w:right="636" w:hanging="719"/>
        <w:jc w:val="left"/>
        <w:rPr>
          <w:sz w:val="20"/>
        </w:rPr>
      </w:pPr>
      <w:r>
        <w:rPr>
          <w:rFonts w:ascii="Book Antiqua"/>
          <w:b/>
          <w:color w:val="231F20"/>
          <w:spacing w:val="-2"/>
          <w:sz w:val="20"/>
        </w:rPr>
        <w:t>daily</w:t>
      </w:r>
      <w:r>
        <w:rPr>
          <w:rFonts w:ascii="Book Antiqua"/>
          <w:b/>
          <w:color w:val="231F20"/>
          <w:sz w:val="20"/>
        </w:rPr>
        <w:tab/>
      </w:r>
      <w:r>
        <w:rPr>
          <w:color w:val="231F20"/>
          <w:sz w:val="20"/>
        </w:rPr>
        <w:t>Select a value from 1 to 30 from the </w:t>
      </w:r>
      <w:r>
        <w:rPr>
          <w:rFonts w:ascii="Book Antiqua"/>
          <w:b/>
          <w:color w:val="231F20"/>
          <w:sz w:val="20"/>
        </w:rPr>
        <w:t>Every (number </w:t>
      </w:r>
      <w:r>
        <w:rPr>
          <w:rFonts w:ascii="Book Antiqua"/>
          <w:b/>
          <w:color w:val="231F20"/>
          <w:sz w:val="20"/>
        </w:rPr>
        <w:t>of days) </w:t>
      </w:r>
      <w:r>
        <w:rPr>
          <w:rFonts w:ascii="Book Antiqua"/>
          <w:b/>
          <w:color w:val="231F20"/>
          <w:spacing w:val="16"/>
          <w:position w:val="-1"/>
          <w:sz w:val="20"/>
        </w:rPr>
        <w:drawing>
          <wp:inline distT="0" distB="0" distL="0" distR="0">
            <wp:extent cx="101600" cy="101600"/>
            <wp:effectExtent l="0" t="0" r="0" b="0"/>
            <wp:docPr id="2506" name="Image 2506"/>
            <wp:cNvGraphicFramePr>
              <a:graphicFrameLocks/>
            </wp:cNvGraphicFramePr>
            <a:graphic>
              <a:graphicData uri="http://schemas.openxmlformats.org/drawingml/2006/picture">
                <pic:pic>
                  <pic:nvPicPr>
                    <pic:cNvPr id="2506" name="Image 2506"/>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sz w:val="20"/>
        </w:rPr>
      </w:r>
      <w:r>
        <w:rPr>
          <w:rFonts w:ascii="Times New Roman"/>
          <w:color w:val="231F20"/>
          <w:spacing w:val="16"/>
          <w:sz w:val="20"/>
        </w:rPr>
        <w:t> </w:t>
      </w:r>
      <w:r>
        <w:rPr>
          <w:color w:val="231F20"/>
          <w:sz w:val="20"/>
        </w:rPr>
        <w:t>list.</w:t>
      </w:r>
    </w:p>
    <w:p>
      <w:pPr>
        <w:pStyle w:val="Heading6"/>
        <w:ind w:left="0" w:right="1694"/>
        <w:jc w:val="center"/>
      </w:pPr>
      <w:r>
        <w:rPr>
          <w:color w:val="231F20"/>
          <w:spacing w:val="-2"/>
        </w:rPr>
        <w:t>weekly</w:t>
      </w:r>
    </w:p>
    <w:p>
      <w:pPr>
        <w:pStyle w:val="BodyText"/>
        <w:spacing w:line="216" w:lineRule="auto" w:before="9"/>
        <w:ind w:left="4627" w:right="285"/>
        <w:jc w:val="both"/>
      </w:pPr>
      <w:r>
        <w:rPr>
          <w:color w:val="231F20"/>
        </w:rPr>
        <w:t>Select the check box for the day to apply the schedule. </w:t>
      </w:r>
      <w:r>
        <w:rPr>
          <w:color w:val="231F20"/>
        </w:rPr>
        <w:t>On days of the week: </w:t>
      </w:r>
      <w:r>
        <w:rPr>
          <w:color w:val="231F20"/>
          <w:spacing w:val="16"/>
        </w:rPr>
        <w:drawing>
          <wp:inline distT="0" distB="0" distL="0" distR="0">
            <wp:extent cx="82550" cy="82550"/>
            <wp:effectExtent l="0" t="0" r="0" b="0"/>
            <wp:docPr id="2507" name="Image 2507"/>
            <wp:cNvGraphicFramePr>
              <a:graphicFrameLocks/>
            </wp:cNvGraphicFramePr>
            <a:graphic>
              <a:graphicData uri="http://schemas.openxmlformats.org/drawingml/2006/picture">
                <pic:pic>
                  <pic:nvPicPr>
                    <pic:cNvPr id="2507" name="Image 250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7"/>
        </w:rPr>
        <w:t> </w:t>
      </w:r>
      <w:r>
        <w:rPr>
          <w:color w:val="231F20"/>
        </w:rPr>
        <w:t>All days or a specific day or selection</w:t>
      </w:r>
      <w:r>
        <w:rPr>
          <w:color w:val="231F20"/>
          <w:spacing w:val="40"/>
        </w:rPr>
        <w:t> </w:t>
      </w:r>
      <w:r>
        <w:rPr>
          <w:color w:val="231F20"/>
        </w:rPr>
        <w:t>of days: </w:t>
      </w:r>
      <w:r>
        <w:rPr>
          <w:color w:val="231F20"/>
          <w:spacing w:val="16"/>
        </w:rPr>
        <w:drawing>
          <wp:inline distT="0" distB="0" distL="0" distR="0">
            <wp:extent cx="82550" cy="82550"/>
            <wp:effectExtent l="0" t="0" r="0" b="0"/>
            <wp:docPr id="2508" name="Image 2508"/>
            <wp:cNvGraphicFramePr>
              <a:graphicFrameLocks/>
            </wp:cNvGraphicFramePr>
            <a:graphic>
              <a:graphicData uri="http://schemas.openxmlformats.org/drawingml/2006/picture">
                <pic:pic>
                  <pic:nvPicPr>
                    <pic:cNvPr id="2508" name="Image 2508"/>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Sun </w:t>
      </w:r>
      <w:r>
        <w:rPr>
          <w:color w:val="231F20"/>
          <w:spacing w:val="16"/>
        </w:rPr>
        <w:drawing>
          <wp:inline distT="0" distB="0" distL="0" distR="0">
            <wp:extent cx="82550" cy="82550"/>
            <wp:effectExtent l="0" t="0" r="0" b="0"/>
            <wp:docPr id="2509" name="Image 2509"/>
            <wp:cNvGraphicFramePr>
              <a:graphicFrameLocks/>
            </wp:cNvGraphicFramePr>
            <a:graphic>
              <a:graphicData uri="http://schemas.openxmlformats.org/drawingml/2006/picture">
                <pic:pic>
                  <pic:nvPicPr>
                    <pic:cNvPr id="2509" name="Image 2509"/>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Mon </w:t>
      </w:r>
      <w:r>
        <w:rPr>
          <w:color w:val="231F20"/>
          <w:spacing w:val="16"/>
        </w:rPr>
        <w:drawing>
          <wp:inline distT="0" distB="0" distL="0" distR="0">
            <wp:extent cx="82550" cy="82550"/>
            <wp:effectExtent l="0" t="0" r="0" b="0"/>
            <wp:docPr id="2510" name="Image 2510"/>
            <wp:cNvGraphicFramePr>
              <a:graphicFrameLocks/>
            </wp:cNvGraphicFramePr>
            <a:graphic>
              <a:graphicData uri="http://schemas.openxmlformats.org/drawingml/2006/picture">
                <pic:pic>
                  <pic:nvPicPr>
                    <pic:cNvPr id="2510" name="Image 2510"/>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Tue </w:t>
      </w:r>
      <w:r>
        <w:rPr>
          <w:color w:val="231F20"/>
          <w:spacing w:val="16"/>
        </w:rPr>
        <w:drawing>
          <wp:inline distT="0" distB="0" distL="0" distR="0">
            <wp:extent cx="82550" cy="82550"/>
            <wp:effectExtent l="0" t="0" r="0" b="0"/>
            <wp:docPr id="2511" name="Image 2511"/>
            <wp:cNvGraphicFramePr>
              <a:graphicFrameLocks/>
            </wp:cNvGraphicFramePr>
            <a:graphic>
              <a:graphicData uri="http://schemas.openxmlformats.org/drawingml/2006/picture">
                <pic:pic>
                  <pic:nvPicPr>
                    <pic:cNvPr id="2511" name="Image 251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Wed </w:t>
      </w:r>
      <w:r>
        <w:rPr>
          <w:color w:val="231F20"/>
          <w:spacing w:val="16"/>
        </w:rPr>
        <w:drawing>
          <wp:inline distT="0" distB="0" distL="0" distR="0">
            <wp:extent cx="82550" cy="82550"/>
            <wp:effectExtent l="0" t="0" r="0" b="0"/>
            <wp:docPr id="2512" name="Image 2512"/>
            <wp:cNvGraphicFramePr>
              <a:graphicFrameLocks/>
            </wp:cNvGraphicFramePr>
            <a:graphic>
              <a:graphicData uri="http://schemas.openxmlformats.org/drawingml/2006/picture">
                <pic:pic>
                  <pic:nvPicPr>
                    <pic:cNvPr id="2512" name="Image 251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Thu </w:t>
      </w:r>
      <w:r>
        <w:rPr>
          <w:color w:val="231F20"/>
          <w:spacing w:val="16"/>
        </w:rPr>
        <w:drawing>
          <wp:inline distT="0" distB="0" distL="0" distR="0">
            <wp:extent cx="82550" cy="82550"/>
            <wp:effectExtent l="0" t="0" r="0" b="0"/>
            <wp:docPr id="2513" name="Image 2513"/>
            <wp:cNvGraphicFramePr>
              <a:graphicFrameLocks/>
            </wp:cNvGraphicFramePr>
            <a:graphic>
              <a:graphicData uri="http://schemas.openxmlformats.org/drawingml/2006/picture">
                <pic:pic>
                  <pic:nvPicPr>
                    <pic:cNvPr id="2513" name="Image 2513"/>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Fri </w:t>
      </w:r>
      <w:r>
        <w:rPr>
          <w:color w:val="231F20"/>
          <w:spacing w:val="16"/>
        </w:rPr>
        <w:drawing>
          <wp:inline distT="0" distB="0" distL="0" distR="0">
            <wp:extent cx="82550" cy="82550"/>
            <wp:effectExtent l="0" t="0" r="0" b="0"/>
            <wp:docPr id="2514" name="Image 2514"/>
            <wp:cNvGraphicFramePr>
              <a:graphicFrameLocks/>
            </wp:cNvGraphicFramePr>
            <a:graphic>
              <a:graphicData uri="http://schemas.openxmlformats.org/drawingml/2006/picture">
                <pic:pic>
                  <pic:nvPicPr>
                    <pic:cNvPr id="2514" name="Image 2514"/>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rPr>
      </w:r>
      <w:r>
        <w:rPr>
          <w:rFonts w:ascii="Times New Roman"/>
          <w:color w:val="231F20"/>
          <w:spacing w:val="-1"/>
        </w:rPr>
        <w:t> </w:t>
      </w:r>
      <w:r>
        <w:rPr>
          <w:color w:val="231F20"/>
        </w:rPr>
        <w:t>Sat</w:t>
      </w:r>
    </w:p>
    <w:p>
      <w:pPr>
        <w:pStyle w:val="Heading6"/>
        <w:spacing w:before="111"/>
        <w:ind w:left="0" w:right="885"/>
        <w:jc w:val="center"/>
      </w:pPr>
      <w:r>
        <w:rPr>
          <w:color w:val="231F20"/>
        </w:rPr>
        <w:t>monthly</w:t>
      </w:r>
      <w:r>
        <w:rPr>
          <w:color w:val="231F20"/>
          <w:spacing w:val="10"/>
        </w:rPr>
        <w:t> </w:t>
      </w:r>
      <w:r>
        <w:rPr>
          <w:color w:val="231F20"/>
        </w:rPr>
        <w:t>by</w:t>
      </w:r>
      <w:r>
        <w:rPr>
          <w:color w:val="231F20"/>
          <w:spacing w:val="11"/>
        </w:rPr>
        <w:t> </w:t>
      </w:r>
      <w:r>
        <w:rPr>
          <w:color w:val="231F20"/>
          <w:spacing w:val="-5"/>
        </w:rPr>
        <w:t>day</w:t>
      </w:r>
    </w:p>
    <w:p>
      <w:pPr>
        <w:pStyle w:val="BodyText"/>
        <w:spacing w:line="213" w:lineRule="auto" w:before="11"/>
        <w:ind w:left="4627" w:right="244"/>
        <w:jc w:val="both"/>
      </w:pPr>
      <w:r>
        <w:rPr>
          <w:color w:val="231F20"/>
        </w:rPr>
        <w:t>Select the frequency of months from the </w:t>
      </w:r>
      <w:r>
        <w:rPr>
          <w:rFonts w:ascii="Book Antiqua"/>
          <w:b/>
          <w:color w:val="231F20"/>
        </w:rPr>
        <w:t>Every (number </w:t>
      </w:r>
      <w:r>
        <w:rPr>
          <w:rFonts w:ascii="Book Antiqua"/>
          <w:b/>
          <w:color w:val="231F20"/>
        </w:rPr>
        <w:t>of months) </w:t>
      </w:r>
      <w:r>
        <w:rPr>
          <w:rFonts w:ascii="Book Antiqua"/>
          <w:b/>
          <w:color w:val="231F20"/>
          <w:spacing w:val="16"/>
          <w:position w:val="-1"/>
        </w:rPr>
        <w:drawing>
          <wp:inline distT="0" distB="0" distL="0" distR="0">
            <wp:extent cx="101600" cy="101600"/>
            <wp:effectExtent l="0" t="0" r="0" b="0"/>
            <wp:docPr id="2515" name="Image 2515"/>
            <wp:cNvGraphicFramePr>
              <a:graphicFrameLocks/>
            </wp:cNvGraphicFramePr>
            <a:graphic>
              <a:graphicData uri="http://schemas.openxmlformats.org/drawingml/2006/picture">
                <pic:pic>
                  <pic:nvPicPr>
                    <pic:cNvPr id="2515" name="Image 2515"/>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rPr>
      </w:r>
      <w:r>
        <w:rPr>
          <w:rFonts w:ascii="Times New Roman"/>
          <w:color w:val="231F20"/>
          <w:spacing w:val="16"/>
        </w:rPr>
        <w:t> </w:t>
      </w:r>
      <w:r>
        <w:rPr>
          <w:color w:val="231F20"/>
        </w:rPr>
        <w:t>list. Select the corresponding check box for the day or days to apply the schedule.</w:t>
      </w:r>
    </w:p>
    <w:p>
      <w:pPr>
        <w:pStyle w:val="Heading6"/>
        <w:spacing w:before="116"/>
        <w:ind w:left="0" w:right="829"/>
        <w:jc w:val="center"/>
      </w:pPr>
      <w:r>
        <w:rPr>
          <w:color w:val="231F20"/>
        </w:rPr>
        <w:t>monthly</w:t>
      </w:r>
      <w:r>
        <w:rPr>
          <w:color w:val="231F20"/>
          <w:spacing w:val="10"/>
        </w:rPr>
        <w:t> </w:t>
      </w:r>
      <w:r>
        <w:rPr>
          <w:color w:val="231F20"/>
        </w:rPr>
        <w:t>by</w:t>
      </w:r>
      <w:r>
        <w:rPr>
          <w:color w:val="231F20"/>
          <w:spacing w:val="11"/>
        </w:rPr>
        <w:t> </w:t>
      </w:r>
      <w:r>
        <w:rPr>
          <w:color w:val="231F20"/>
          <w:spacing w:val="-4"/>
        </w:rPr>
        <w:t>date</w:t>
      </w:r>
    </w:p>
    <w:p>
      <w:pPr>
        <w:pStyle w:val="BodyText"/>
        <w:spacing w:line="213" w:lineRule="auto" w:before="12"/>
        <w:ind w:left="4627" w:right="244"/>
        <w:jc w:val="both"/>
      </w:pPr>
      <w:r>
        <w:rPr>
          <w:color w:val="231F20"/>
        </w:rPr>
        <w:t>Select the frequency of months from the </w:t>
      </w:r>
      <w:r>
        <w:rPr>
          <w:rFonts w:ascii="Book Antiqua"/>
          <w:b/>
          <w:color w:val="231F20"/>
        </w:rPr>
        <w:t>Every (number </w:t>
      </w:r>
      <w:r>
        <w:rPr>
          <w:rFonts w:ascii="Book Antiqua"/>
          <w:b/>
          <w:color w:val="231F20"/>
        </w:rPr>
        <w:t>of months) </w:t>
      </w:r>
      <w:r>
        <w:rPr>
          <w:rFonts w:ascii="Book Antiqua"/>
          <w:b/>
          <w:color w:val="231F20"/>
          <w:spacing w:val="16"/>
          <w:position w:val="-1"/>
        </w:rPr>
        <w:drawing>
          <wp:inline distT="0" distB="0" distL="0" distR="0">
            <wp:extent cx="101600" cy="101600"/>
            <wp:effectExtent l="0" t="0" r="0" b="0"/>
            <wp:docPr id="2516" name="Image 2516"/>
            <wp:cNvGraphicFramePr>
              <a:graphicFrameLocks/>
            </wp:cNvGraphicFramePr>
            <a:graphic>
              <a:graphicData uri="http://schemas.openxmlformats.org/drawingml/2006/picture">
                <pic:pic>
                  <pic:nvPicPr>
                    <pic:cNvPr id="2516" name="Image 2516"/>
                    <pic:cNvPicPr/>
                  </pic:nvPicPr>
                  <pic:blipFill>
                    <a:blip r:embed="rId75" cstate="print"/>
                    <a:stretch>
                      <a:fillRect/>
                    </a:stretch>
                  </pic:blipFill>
                  <pic:spPr>
                    <a:xfrm>
                      <a:off x="0" y="0"/>
                      <a:ext cx="101600" cy="101600"/>
                    </a:xfrm>
                    <a:prstGeom prst="rect">
                      <a:avLst/>
                    </a:prstGeom>
                  </pic:spPr>
                </pic:pic>
              </a:graphicData>
            </a:graphic>
          </wp:inline>
        </w:drawing>
      </w:r>
      <w:r>
        <w:rPr>
          <w:rFonts w:ascii="Book Antiqua"/>
          <w:b/>
          <w:color w:val="231F20"/>
          <w:spacing w:val="16"/>
          <w:position w:val="-1"/>
        </w:rPr>
      </w:r>
      <w:r>
        <w:rPr>
          <w:rFonts w:ascii="Times New Roman"/>
          <w:color w:val="231F20"/>
          <w:spacing w:val="16"/>
        </w:rPr>
        <w:t> </w:t>
      </w:r>
      <w:r>
        <w:rPr>
          <w:color w:val="231F20"/>
        </w:rPr>
        <w:t>list. Select the corresponding check box for the day or days of the month to apply the schedule.</w:t>
      </w:r>
    </w:p>
    <w:p>
      <w:pPr>
        <w:pStyle w:val="Heading6"/>
        <w:spacing w:line="227" w:lineRule="exact" w:before="121"/>
        <w:ind w:left="3190"/>
      </w:pPr>
      <w:r>
        <w:rPr>
          <w:b w:val="0"/>
        </w:rPr>
        <w:drawing>
          <wp:inline distT="0" distB="0" distL="0" distR="0">
            <wp:extent cx="88900" cy="82550"/>
            <wp:effectExtent l="0" t="0" r="0" b="0"/>
            <wp:docPr id="2517" name="Image 2517"/>
            <wp:cNvGraphicFramePr>
              <a:graphicFrameLocks/>
            </wp:cNvGraphicFramePr>
            <a:graphic>
              <a:graphicData uri="http://schemas.openxmlformats.org/drawingml/2006/picture">
                <pic:pic>
                  <pic:nvPicPr>
                    <pic:cNvPr id="2517" name="Image 2517"/>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rPr>
        <w:t> </w:t>
      </w:r>
      <w:r>
        <w:rPr>
          <w:color w:val="231F20"/>
        </w:rPr>
        <w:t>Run</w:t>
      </w:r>
      <w:r>
        <w:rPr>
          <w:color w:val="231F20"/>
          <w:spacing w:val="34"/>
        </w:rPr>
        <w:t> </w:t>
      </w:r>
      <w:r>
        <w:rPr>
          <w:color w:val="231F20"/>
        </w:rPr>
        <w:t>at</w:t>
      </w:r>
      <w:r>
        <w:rPr>
          <w:color w:val="231F20"/>
          <w:spacing w:val="34"/>
        </w:rPr>
        <w:t> </w:t>
      </w:r>
      <w:r>
        <w:rPr>
          <w:color w:val="231F20"/>
        </w:rPr>
        <w:t>time</w:t>
      </w:r>
      <w:r>
        <w:rPr>
          <w:color w:val="231F20"/>
          <w:spacing w:val="16"/>
        </w:rPr>
        <w:t> </w:t>
      </w:r>
      <w:r>
        <w:rPr>
          <w:color w:val="231F20"/>
          <w:spacing w:val="16"/>
        </w:rPr>
        <w:drawing>
          <wp:inline distT="0" distB="0" distL="0" distR="0">
            <wp:extent cx="158750" cy="82550"/>
            <wp:effectExtent l="0" t="0" r="0" b="0"/>
            <wp:docPr id="2518" name="Image 2518"/>
            <wp:cNvGraphicFramePr>
              <a:graphicFrameLocks/>
            </wp:cNvGraphicFramePr>
            <a:graphic>
              <a:graphicData uri="http://schemas.openxmlformats.org/drawingml/2006/picture">
                <pic:pic>
                  <pic:nvPicPr>
                    <pic:cNvPr id="2518" name="Image 2518"/>
                    <pic:cNvPicPr/>
                  </pic:nvPicPr>
                  <pic:blipFill>
                    <a:blip r:embed="rId192" cstate="print"/>
                    <a:stretch>
                      <a:fillRect/>
                    </a:stretch>
                  </pic:blipFill>
                  <pic:spPr>
                    <a:xfrm>
                      <a:off x="0" y="0"/>
                      <a:ext cx="158750" cy="82550"/>
                    </a:xfrm>
                    <a:prstGeom prst="rect">
                      <a:avLst/>
                    </a:prstGeom>
                  </pic:spPr>
                </pic:pic>
              </a:graphicData>
            </a:graphic>
          </wp:inline>
        </w:drawing>
      </w:r>
      <w:r>
        <w:rPr>
          <w:color w:val="231F20"/>
          <w:spacing w:val="16"/>
        </w:rPr>
      </w:r>
    </w:p>
    <w:p>
      <w:pPr>
        <w:pStyle w:val="BodyText"/>
        <w:spacing w:line="213" w:lineRule="auto" w:before="9"/>
        <w:ind w:left="3909" w:right="385"/>
      </w:pPr>
      <w:r>
        <w:rPr>
          <w:color w:val="231F20"/>
        </w:rPr>
        <w:t>Runs the override once at the selected time for every selected </w:t>
      </w:r>
      <w:r>
        <w:rPr>
          <w:color w:val="231F20"/>
        </w:rPr>
        <w:t>day. Select a time in 15-minute increments from 00:00 to 23:45 or click inside the field and type the time (such as 23:10).</w:t>
      </w:r>
    </w:p>
    <w:p>
      <w:pPr>
        <w:pStyle w:val="Heading6"/>
        <w:spacing w:line="227" w:lineRule="exact" w:before="122"/>
        <w:ind w:left="3190"/>
      </w:pPr>
      <w:r>
        <w:rPr>
          <w:b w:val="0"/>
        </w:rPr>
        <w:drawing>
          <wp:inline distT="0" distB="0" distL="0" distR="0">
            <wp:extent cx="88900" cy="82550"/>
            <wp:effectExtent l="0" t="0" r="0" b="0"/>
            <wp:docPr id="2519" name="Image 2519"/>
            <wp:cNvGraphicFramePr>
              <a:graphicFrameLocks/>
            </wp:cNvGraphicFramePr>
            <a:graphic>
              <a:graphicData uri="http://schemas.openxmlformats.org/drawingml/2006/picture">
                <pic:pic>
                  <pic:nvPicPr>
                    <pic:cNvPr id="2519" name="Image 2519"/>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80"/>
        </w:rPr>
        <w:t> </w:t>
      </w:r>
      <w:r>
        <w:rPr>
          <w:color w:val="231F20"/>
        </w:rPr>
        <w:t>Run</w:t>
      </w:r>
      <w:r>
        <w:rPr>
          <w:color w:val="231F20"/>
          <w:spacing w:val="34"/>
        </w:rPr>
        <w:t> </w:t>
      </w:r>
      <w:r>
        <w:rPr>
          <w:color w:val="231F20"/>
        </w:rPr>
        <w:t>all</w:t>
      </w:r>
      <w:r>
        <w:rPr>
          <w:color w:val="231F20"/>
          <w:spacing w:val="34"/>
        </w:rPr>
        <w:t> </w:t>
      </w:r>
      <w:r>
        <w:rPr>
          <w:color w:val="231F20"/>
        </w:rPr>
        <w:t>day</w:t>
      </w:r>
    </w:p>
    <w:p>
      <w:pPr>
        <w:pStyle w:val="BodyText"/>
        <w:spacing w:line="213" w:lineRule="auto" w:before="8"/>
        <w:ind w:left="3909" w:right="493"/>
      </w:pPr>
      <w:r>
        <w:rPr>
          <w:color w:val="231F20"/>
        </w:rPr>
        <w:t>Runs the override every minute of every hour starting at 00:00 </w:t>
      </w:r>
      <w:r>
        <w:rPr>
          <w:color w:val="231F20"/>
        </w:rPr>
        <w:t>of the day specified, with the last sampling at 23:59. This option is disabled if the schedule is set to run </w:t>
      </w:r>
      <w:r>
        <w:rPr>
          <w:rFonts w:ascii="Book Antiqua"/>
          <w:b/>
          <w:color w:val="231F20"/>
        </w:rPr>
        <w:t>once</w:t>
      </w:r>
      <w:r>
        <w:rPr>
          <w:color w:val="231F20"/>
        </w:rPr>
        <w:t>.</w:t>
      </w:r>
    </w:p>
    <w:p>
      <w:pPr>
        <w:pStyle w:val="Heading6"/>
        <w:spacing w:line="230" w:lineRule="exact" w:before="122"/>
        <w:ind w:left="3190"/>
      </w:pPr>
      <w:r>
        <w:rPr>
          <w:b w:val="0"/>
        </w:rPr>
        <w:drawing>
          <wp:inline distT="0" distB="0" distL="0" distR="0">
            <wp:extent cx="88900" cy="82550"/>
            <wp:effectExtent l="0" t="0" r="0" b="0"/>
            <wp:docPr id="2520" name="Image 2520"/>
            <wp:cNvGraphicFramePr>
              <a:graphicFrameLocks/>
            </wp:cNvGraphicFramePr>
            <a:graphic>
              <a:graphicData uri="http://schemas.openxmlformats.org/drawingml/2006/picture">
                <pic:pic>
                  <pic:nvPicPr>
                    <pic:cNvPr id="2520" name="Image 2520"/>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80"/>
        </w:rPr>
        <w:t> </w:t>
      </w:r>
      <w:r>
        <w:rPr>
          <w:color w:val="231F20"/>
        </w:rPr>
        <w:t>Run</w:t>
      </w:r>
      <w:r>
        <w:rPr>
          <w:color w:val="231F20"/>
          <w:spacing w:val="28"/>
        </w:rPr>
        <w:t> </w:t>
      </w:r>
      <w:r>
        <w:rPr>
          <w:color w:val="231F20"/>
        </w:rPr>
        <w:t>every</w:t>
      </w:r>
      <w:r>
        <w:rPr>
          <w:color w:val="231F20"/>
          <w:spacing w:val="16"/>
        </w:rPr>
        <w:t> </w:t>
      </w:r>
      <w:r>
        <w:rPr>
          <w:color w:val="231F20"/>
          <w:spacing w:val="16"/>
          <w:position w:val="-5"/>
        </w:rPr>
        <w:drawing>
          <wp:inline distT="0" distB="0" distL="0" distR="0">
            <wp:extent cx="361950" cy="120650"/>
            <wp:effectExtent l="0" t="0" r="0" b="0"/>
            <wp:docPr id="2521" name="Image 2521"/>
            <wp:cNvGraphicFramePr>
              <a:graphicFrameLocks/>
            </wp:cNvGraphicFramePr>
            <a:graphic>
              <a:graphicData uri="http://schemas.openxmlformats.org/drawingml/2006/picture">
                <pic:pic>
                  <pic:nvPicPr>
                    <pic:cNvPr id="2521" name="Image 2521"/>
                    <pic:cNvPicPr/>
                  </pic:nvPicPr>
                  <pic:blipFill>
                    <a:blip r:embed="rId400" cstate="print"/>
                    <a:stretch>
                      <a:fillRect/>
                    </a:stretch>
                  </pic:blipFill>
                  <pic:spPr>
                    <a:xfrm>
                      <a:off x="0" y="0"/>
                      <a:ext cx="361950" cy="120650"/>
                    </a:xfrm>
                    <a:prstGeom prst="rect">
                      <a:avLst/>
                    </a:prstGeom>
                  </pic:spPr>
                </pic:pic>
              </a:graphicData>
            </a:graphic>
          </wp:inline>
        </w:drawing>
      </w:r>
      <w:r>
        <w:rPr>
          <w:color w:val="231F20"/>
          <w:spacing w:val="16"/>
          <w:position w:val="-5"/>
        </w:rPr>
      </w:r>
      <w:r>
        <w:rPr>
          <w:rFonts w:ascii="Times New Roman"/>
          <w:b w:val="0"/>
          <w:color w:val="231F20"/>
          <w:spacing w:val="79"/>
        </w:rPr>
        <w:t> </w:t>
      </w:r>
      <w:r>
        <w:rPr>
          <w:color w:val="231F20"/>
        </w:rPr>
        <w:t>hours</w:t>
      </w:r>
    </w:p>
    <w:p>
      <w:pPr>
        <w:pStyle w:val="BodyText"/>
        <w:spacing w:line="213" w:lineRule="auto" w:before="5"/>
        <w:ind w:left="3909" w:right="258"/>
      </w:pPr>
      <w:r>
        <w:rPr>
          <w:color w:val="231F20"/>
        </w:rPr>
        <w:t>Runs once on the hour and repeats at the selected hourly interval. For example, Run every 4 hours runs the override at 00:00, 04:00, 08:00, 12:00, 16:00, and 20:00. This option is disabled if the </w:t>
      </w:r>
      <w:r>
        <w:rPr>
          <w:color w:val="231F20"/>
        </w:rPr>
        <w:t>schedule</w:t>
      </w:r>
      <w:r>
        <w:rPr>
          <w:color w:val="231F20"/>
          <w:spacing w:val="40"/>
        </w:rPr>
        <w:t> </w:t>
      </w:r>
      <w:r>
        <w:rPr>
          <w:color w:val="231F20"/>
        </w:rPr>
        <w:t>is set to run </w:t>
      </w:r>
      <w:r>
        <w:rPr>
          <w:rFonts w:ascii="Book Antiqua"/>
          <w:b/>
          <w:color w:val="231F20"/>
        </w:rPr>
        <w:t>once</w:t>
      </w:r>
      <w:r>
        <w:rPr>
          <w:color w:val="231F20"/>
        </w:rPr>
        <w:t>.</w:t>
      </w:r>
    </w:p>
    <w:p>
      <w:pPr>
        <w:pStyle w:val="Heading6"/>
        <w:spacing w:line="227" w:lineRule="exact" w:before="121"/>
        <w:ind w:left="3190"/>
      </w:pPr>
      <w:r>
        <w:rPr>
          <w:b w:val="0"/>
        </w:rPr>
        <w:drawing>
          <wp:inline distT="0" distB="0" distL="0" distR="0">
            <wp:extent cx="88900" cy="82550"/>
            <wp:effectExtent l="0" t="0" r="0" b="0"/>
            <wp:docPr id="2522" name="Image 2522"/>
            <wp:cNvGraphicFramePr>
              <a:graphicFrameLocks/>
            </wp:cNvGraphicFramePr>
            <a:graphic>
              <a:graphicData uri="http://schemas.openxmlformats.org/drawingml/2006/picture">
                <pic:pic>
                  <pic:nvPicPr>
                    <pic:cNvPr id="2522" name="Image 2522"/>
                    <pic:cNvPicPr/>
                  </pic:nvPicPr>
                  <pic:blipFill>
                    <a:blip r:embed="rId182"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80"/>
        </w:rPr>
        <w:t> </w:t>
      </w:r>
      <w:r>
        <w:rPr>
          <w:color w:val="231F20"/>
        </w:rPr>
        <w:t>Run</w:t>
      </w:r>
      <w:r>
        <w:rPr>
          <w:color w:val="231F20"/>
          <w:spacing w:val="28"/>
        </w:rPr>
        <w:t> </w:t>
      </w:r>
      <w:r>
        <w:rPr>
          <w:color w:val="231F20"/>
        </w:rPr>
        <w:t>during</w:t>
      </w:r>
      <w:r>
        <w:rPr>
          <w:color w:val="231F20"/>
          <w:spacing w:val="28"/>
        </w:rPr>
        <w:t> </w:t>
      </w:r>
      <w:r>
        <w:rPr>
          <w:color w:val="231F20"/>
        </w:rPr>
        <w:t>these</w:t>
      </w:r>
      <w:r>
        <w:rPr>
          <w:color w:val="231F20"/>
          <w:spacing w:val="28"/>
        </w:rPr>
        <w:t> </w:t>
      </w:r>
      <w:r>
        <w:rPr>
          <w:color w:val="231F20"/>
        </w:rPr>
        <w:t>ranges</w:t>
      </w:r>
    </w:p>
    <w:p>
      <w:pPr>
        <w:pStyle w:val="BodyText"/>
        <w:spacing w:line="213" w:lineRule="auto" w:before="9"/>
        <w:ind w:left="3909" w:right="258"/>
      </w:pPr>
      <w:r>
        <w:rPr>
          <w:color w:val="231F20"/>
        </w:rPr>
        <w:t>Runs every minute from the starting hour to one minute before </w:t>
      </w:r>
      <w:r>
        <w:rPr>
          <w:color w:val="231F20"/>
        </w:rPr>
        <w:t>the stopping hour. This option is disabled if the schedule is set to run </w:t>
      </w:r>
      <w:r>
        <w:rPr>
          <w:rFonts w:ascii="Book Antiqua"/>
          <w:b/>
          <w:color w:val="231F20"/>
          <w:spacing w:val="-2"/>
        </w:rPr>
        <w:t>once</w:t>
      </w:r>
      <w:r>
        <w:rPr>
          <w:color w:val="231F20"/>
          <w:spacing w:val="-2"/>
        </w:rPr>
        <w:t>.</w:t>
      </w:r>
    </w:p>
    <w:p>
      <w:pPr>
        <w:pStyle w:val="BodyText"/>
        <w:spacing w:line="213" w:lineRule="auto" w:before="118"/>
        <w:ind w:left="3909" w:right="592"/>
        <w:jc w:val="both"/>
      </w:pPr>
      <w:r>
        <w:rPr>
          <w:color w:val="231F20"/>
        </w:rPr>
        <w:t>Select the radio button to enable the </w:t>
      </w:r>
      <w:r>
        <w:rPr>
          <w:rFonts w:ascii="Book Antiqua"/>
          <w:b/>
          <w:color w:val="231F20"/>
        </w:rPr>
        <w:t>From </w:t>
      </w:r>
      <w:r>
        <w:rPr>
          <w:color w:val="231F20"/>
        </w:rPr>
        <w:t>and </w:t>
      </w:r>
      <w:r>
        <w:rPr>
          <w:rFonts w:ascii="Book Antiqua"/>
          <w:b/>
          <w:color w:val="231F20"/>
        </w:rPr>
        <w:t>Through </w:t>
      </w:r>
      <w:r>
        <w:rPr>
          <w:color w:val="231F20"/>
        </w:rPr>
        <w:t>fields. Then click inside a field to select the start and stop times from 00:00 to 23:59.</w:t>
      </w:r>
    </w:p>
    <w:p>
      <w:pPr>
        <w:pStyle w:val="BodyText"/>
        <w:spacing w:line="213" w:lineRule="auto" w:before="117"/>
        <w:ind w:left="3909" w:right="258"/>
      </w:pPr>
      <w:r>
        <w:rPr>
          <w:color w:val="231F20"/>
        </w:rPr>
        <w:t>Click </w:t>
      </w:r>
      <w:r>
        <w:rPr>
          <w:rFonts w:ascii="Book Antiqua"/>
          <w:b/>
          <w:color w:val="231F20"/>
        </w:rPr>
        <w:t>Add Range </w:t>
      </w:r>
      <w:r>
        <w:rPr>
          <w:color w:val="231F20"/>
        </w:rPr>
        <w:t>to add another range row for specifying </w:t>
      </w:r>
      <w:r>
        <w:rPr>
          <w:color w:val="231F20"/>
        </w:rPr>
        <w:t>multiple time ranges. Select a check box and click </w:t>
      </w:r>
      <w:r>
        <w:rPr>
          <w:rFonts w:ascii="Book Antiqua"/>
          <w:b/>
          <w:color w:val="231F20"/>
        </w:rPr>
        <w:t>Remove Range </w:t>
      </w:r>
      <w:r>
        <w:rPr>
          <w:color w:val="231F20"/>
        </w:rPr>
        <w:t>to delete the range.</w:t>
      </w:r>
    </w:p>
    <w:p>
      <w:pPr>
        <w:pStyle w:val="BodyText"/>
        <w:spacing w:line="213" w:lineRule="auto" w:before="118"/>
        <w:ind w:left="3909" w:right="545"/>
      </w:pPr>
      <w:r>
        <w:rPr>
          <w:color w:val="231F20"/>
        </w:rPr>
        <w:t>The following example shows a schedule that applies the expression override from 06:00 to 07:59 and from 20:00 to </w:t>
      </w:r>
      <w:r>
        <w:rPr>
          <w:color w:val="231F20"/>
        </w:rPr>
        <w:t>21:59.</w:t>
      </w:r>
    </w:p>
    <w:p>
      <w:pPr>
        <w:spacing w:after="0" w:line="213" w:lineRule="auto"/>
        <w:sectPr>
          <w:pgSz w:w="12240" w:h="15840"/>
          <w:pgMar w:header="0" w:footer="736" w:top="1180" w:bottom="920" w:left="1000" w:right="1060"/>
        </w:sectPr>
      </w:pPr>
    </w:p>
    <w:p>
      <w:pPr>
        <w:pStyle w:val="BodyText"/>
        <w:ind w:left="3689"/>
      </w:pPr>
      <w:bookmarkStart w:name="_bookmark226" w:id="477"/>
      <w:bookmarkEnd w:id="477"/>
      <w:r>
        <w:rPr/>
      </w:r>
      <w:r>
        <w:rPr/>
        <w:drawing>
          <wp:inline distT="0" distB="0" distL="0" distR="0">
            <wp:extent cx="1301877" cy="778573"/>
            <wp:effectExtent l="0" t="0" r="0" b="0"/>
            <wp:docPr id="2523" name="Image 2523"/>
            <wp:cNvGraphicFramePr>
              <a:graphicFrameLocks/>
            </wp:cNvGraphicFramePr>
            <a:graphic>
              <a:graphicData uri="http://schemas.openxmlformats.org/drawingml/2006/picture">
                <pic:pic>
                  <pic:nvPicPr>
                    <pic:cNvPr id="2523" name="Image 2523"/>
                    <pic:cNvPicPr/>
                  </pic:nvPicPr>
                  <pic:blipFill>
                    <a:blip r:embed="rId401" cstate="print"/>
                    <a:stretch>
                      <a:fillRect/>
                    </a:stretch>
                  </pic:blipFill>
                  <pic:spPr>
                    <a:xfrm>
                      <a:off x="0" y="0"/>
                      <a:ext cx="1301877" cy="778573"/>
                    </a:xfrm>
                    <a:prstGeom prst="rect">
                      <a:avLst/>
                    </a:prstGeom>
                  </pic:spPr>
                </pic:pic>
              </a:graphicData>
            </a:graphic>
          </wp:inline>
        </w:drawing>
      </w:r>
      <w:r>
        <w:rPr/>
      </w:r>
    </w:p>
    <w:p>
      <w:pPr>
        <w:pStyle w:val="BodyText"/>
        <w:spacing w:line="213" w:lineRule="auto" w:before="114"/>
        <w:ind w:left="3669" w:right="545"/>
      </w:pPr>
      <w:r>
        <w:rPr>
          <w:color w:val="231F20"/>
        </w:rPr>
        <w:t>Because the check box for range 2 is selected, we can click </w:t>
      </w:r>
      <w:r>
        <w:rPr>
          <w:rFonts w:ascii="Book Antiqua"/>
          <w:b/>
          <w:color w:val="231F20"/>
        </w:rPr>
        <w:t>Remove Range </w:t>
      </w:r>
      <w:r>
        <w:rPr>
          <w:color w:val="231F20"/>
        </w:rPr>
        <w:t>to delete range 2.</w:t>
      </w:r>
    </w:p>
    <w:p>
      <w:pPr>
        <w:pStyle w:val="BodyText"/>
        <w:tabs>
          <w:tab w:pos="3669" w:val="left" w:leader="none"/>
        </w:tabs>
        <w:spacing w:line="213" w:lineRule="auto" w:before="119"/>
        <w:ind w:left="3669" w:right="466" w:hanging="719"/>
      </w:pPr>
      <w:r>
        <w:rPr>
          <w:rFonts w:ascii="Book Antiqua"/>
          <w:b/>
          <w:color w:val="231F20"/>
          <w:spacing w:val="-2"/>
        </w:rPr>
        <w:t>Note:</w:t>
      </w:r>
      <w:r>
        <w:rPr>
          <w:rFonts w:ascii="Book Antiqua"/>
          <w:b/>
          <w:color w:val="231F20"/>
        </w:rPr>
        <w:tab/>
      </w:r>
      <w:r>
        <w:rPr>
          <w:color w:val="231F20"/>
        </w:rPr>
        <w:t>The command line interface </w:t>
      </w:r>
      <w:r>
        <w:rPr>
          <w:rFonts w:ascii="Book Antiqua"/>
          <w:b/>
          <w:color w:val="231F20"/>
        </w:rPr>
        <w:t>tacmd addCalendarEntry </w:t>
      </w:r>
      <w:r>
        <w:rPr>
          <w:color w:val="231F20"/>
        </w:rPr>
        <w:t>enables you to create more granular schedules than in the Tivoli Enterprise Portal using the cron format. If you create a schedule from the CLI with</w:t>
      </w:r>
      <w:r>
        <w:rPr>
          <w:color w:val="231F20"/>
          <w:spacing w:val="14"/>
        </w:rPr>
        <w:t> </w:t>
      </w:r>
      <w:r>
        <w:rPr>
          <w:color w:val="231F20"/>
        </w:rPr>
        <w:t>a</w:t>
      </w:r>
      <w:r>
        <w:rPr>
          <w:color w:val="231F20"/>
          <w:spacing w:val="14"/>
        </w:rPr>
        <w:t> </w:t>
      </w:r>
      <w:r>
        <w:rPr>
          <w:color w:val="231F20"/>
        </w:rPr>
        <w:t>syntax</w:t>
      </w:r>
      <w:r>
        <w:rPr>
          <w:color w:val="231F20"/>
          <w:spacing w:val="14"/>
        </w:rPr>
        <w:t> </w:t>
      </w:r>
      <w:r>
        <w:rPr>
          <w:color w:val="231F20"/>
        </w:rPr>
        <w:t>that</w:t>
      </w:r>
      <w:r>
        <w:rPr>
          <w:color w:val="231F20"/>
          <w:spacing w:val="14"/>
        </w:rPr>
        <w:t> </w:t>
      </w:r>
      <w:r>
        <w:rPr>
          <w:color w:val="231F20"/>
        </w:rPr>
        <w:t>is</w:t>
      </w:r>
      <w:r>
        <w:rPr>
          <w:color w:val="231F20"/>
          <w:spacing w:val="14"/>
        </w:rPr>
        <w:t> </w:t>
      </w:r>
      <w:r>
        <w:rPr>
          <w:color w:val="231F20"/>
        </w:rPr>
        <w:t>not</w:t>
      </w:r>
      <w:r>
        <w:rPr>
          <w:color w:val="231F20"/>
          <w:spacing w:val="14"/>
        </w:rPr>
        <w:t> </w:t>
      </w:r>
      <w:r>
        <w:rPr>
          <w:color w:val="231F20"/>
        </w:rPr>
        <w:t>editable</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Schedule</w:t>
      </w:r>
      <w:r>
        <w:rPr>
          <w:color w:val="231F20"/>
          <w:spacing w:val="14"/>
        </w:rPr>
        <w:t> </w:t>
      </w:r>
      <w:r>
        <w:rPr>
          <w:color w:val="231F20"/>
        </w:rPr>
        <w:t>editor,</w:t>
      </w:r>
      <w:r>
        <w:rPr>
          <w:color w:val="231F20"/>
          <w:spacing w:val="14"/>
        </w:rPr>
        <w:t> </w:t>
      </w:r>
      <w:r>
        <w:rPr>
          <w:color w:val="231F20"/>
        </w:rPr>
        <w:t>such</w:t>
      </w:r>
      <w:r>
        <w:rPr>
          <w:color w:val="231F20"/>
          <w:spacing w:val="14"/>
        </w:rPr>
        <w:t> </w:t>
      </w:r>
      <w:r>
        <w:rPr>
          <w:color w:val="231F20"/>
        </w:rPr>
        <w:t>as</w:t>
      </w:r>
      <w:r>
        <w:rPr>
          <w:color w:val="231F20"/>
          <w:spacing w:val="14"/>
        </w:rPr>
        <w:t> </w:t>
      </w:r>
      <w:r>
        <w:rPr>
          <w:rFonts w:ascii="Arial"/>
          <w:color w:val="231F20"/>
        </w:rPr>
        <w:t>-c 5 20-</w:t>
      </w:r>
      <w:r>
        <w:rPr>
          <w:rFonts w:ascii="Arial"/>
          <w:color w:val="231F20"/>
          <w:spacing w:val="9"/>
        </w:rPr>
        <w:t>21</w:t>
      </w:r>
      <w:r>
        <w:rPr>
          <w:rFonts w:ascii="Arial"/>
          <w:color w:val="231F20"/>
        </w:rPr>
        <w:t> </w:t>
      </w:r>
      <w:r>
        <w:rPr>
          <w:rFonts w:ascii="Arial"/>
          <w:color w:val="231F20"/>
          <w:spacing w:val="19"/>
        </w:rPr>
        <w:t>*</w:t>
      </w:r>
      <w:r>
        <w:rPr>
          <w:rFonts w:ascii="Arial"/>
          <w:color w:val="231F20"/>
        </w:rPr>
        <w:t> </w:t>
      </w:r>
      <w:r>
        <w:rPr>
          <w:rFonts w:ascii="Arial"/>
          <w:color w:val="231F20"/>
          <w:spacing w:val="19"/>
        </w:rPr>
        <w:t>*</w:t>
      </w:r>
      <w:r>
        <w:rPr>
          <w:rFonts w:ascii="Arial"/>
          <w:color w:val="231F20"/>
        </w:rPr>
        <w:t> * </w:t>
      </w:r>
      <w:r>
        <w:rPr>
          <w:color w:val="231F20"/>
        </w:rPr>
        <w:t>to</w:t>
      </w:r>
      <w:r>
        <w:rPr>
          <w:color w:val="231F20"/>
          <w:spacing w:val="25"/>
        </w:rPr>
        <w:t> </w:t>
      </w:r>
      <w:r>
        <w:rPr>
          <w:color w:val="231F20"/>
        </w:rPr>
        <w:t>run</w:t>
      </w:r>
      <w:r>
        <w:rPr>
          <w:color w:val="231F20"/>
          <w:spacing w:val="25"/>
        </w:rPr>
        <w:t> </w:t>
      </w:r>
      <w:r>
        <w:rPr>
          <w:color w:val="231F20"/>
        </w:rPr>
        <w:t>every</w:t>
      </w:r>
      <w:r>
        <w:rPr>
          <w:color w:val="231F20"/>
          <w:spacing w:val="25"/>
        </w:rPr>
        <w:t> </w:t>
      </w:r>
      <w:r>
        <w:rPr>
          <w:color w:val="231F20"/>
        </w:rPr>
        <w:t>5</w:t>
      </w:r>
      <w:r>
        <w:rPr>
          <w:color w:val="231F20"/>
          <w:spacing w:val="25"/>
        </w:rPr>
        <w:t> </w:t>
      </w:r>
      <w:r>
        <w:rPr>
          <w:color w:val="231F20"/>
        </w:rPr>
        <w:t>minutes</w:t>
      </w:r>
      <w:r>
        <w:rPr>
          <w:color w:val="231F20"/>
          <w:spacing w:val="25"/>
        </w:rPr>
        <w:t> </w:t>
      </w:r>
      <w:r>
        <w:rPr>
          <w:color w:val="231F20"/>
        </w:rPr>
        <w:t>from</w:t>
      </w:r>
      <w:r>
        <w:rPr>
          <w:color w:val="231F20"/>
          <w:spacing w:val="25"/>
        </w:rPr>
        <w:t> </w:t>
      </w:r>
      <w:r>
        <w:rPr>
          <w:color w:val="231F20"/>
        </w:rPr>
        <w:t>20:00</w:t>
      </w:r>
      <w:r>
        <w:rPr>
          <w:color w:val="231F20"/>
          <w:spacing w:val="25"/>
        </w:rPr>
        <w:t> </w:t>
      </w:r>
      <w:r>
        <w:rPr>
          <w:color w:val="231F20"/>
        </w:rPr>
        <w:t>to</w:t>
      </w:r>
      <w:r>
        <w:rPr>
          <w:color w:val="231F20"/>
          <w:spacing w:val="25"/>
        </w:rPr>
        <w:t> </w:t>
      </w:r>
      <w:r>
        <w:rPr>
          <w:color w:val="231F20"/>
        </w:rPr>
        <w:t>22:00,</w:t>
      </w:r>
      <w:r>
        <w:rPr>
          <w:color w:val="231F20"/>
          <w:spacing w:val="25"/>
        </w:rPr>
        <w:t> </w:t>
      </w:r>
      <w:r>
        <w:rPr>
          <w:color w:val="231F20"/>
        </w:rPr>
        <w:t>an</w:t>
      </w:r>
      <w:r>
        <w:rPr>
          <w:color w:val="231F20"/>
          <w:spacing w:val="25"/>
        </w:rPr>
        <w:t> </w:t>
      </w:r>
      <w:r>
        <w:rPr>
          <w:color w:val="231F20"/>
        </w:rPr>
        <w:t>error message is displayed and you must use the CLI to modify the </w:t>
      </w:r>
      <w:r>
        <w:rPr>
          <w:color w:val="231F20"/>
          <w:spacing w:val="-2"/>
        </w:rPr>
        <w:t>schedule.</w:t>
      </w:r>
    </w:p>
    <w:p>
      <w:pPr>
        <w:pStyle w:val="Heading6"/>
        <w:spacing w:before="113"/>
        <w:ind w:left="2232"/>
      </w:pPr>
      <w:r>
        <w:rPr>
          <w:color w:val="231F20"/>
        </w:rPr>
        <w:t>Schedule</w:t>
      </w:r>
      <w:r>
        <w:rPr>
          <w:color w:val="231F20"/>
          <w:spacing w:val="7"/>
        </w:rPr>
        <w:t> </w:t>
      </w:r>
      <w:r>
        <w:rPr>
          <w:color w:val="231F20"/>
          <w:spacing w:val="-2"/>
        </w:rPr>
        <w:t>preview</w:t>
      </w:r>
    </w:p>
    <w:p>
      <w:pPr>
        <w:pStyle w:val="BodyText"/>
        <w:spacing w:line="213" w:lineRule="auto" w:before="12"/>
        <w:ind w:left="2951" w:right="545"/>
      </w:pPr>
      <w:r>
        <w:rPr>
          <w:color w:val="231F20"/>
        </w:rPr>
        <w:t>This is a calendar of the days that the situation override takes place with </w:t>
      </w:r>
      <w:r>
        <w:rPr>
          <w:color w:val="231F20"/>
        </w:rPr>
        <w:t>a yellow</w:t>
      </w:r>
      <w:r>
        <w:rPr>
          <w:color w:val="231F20"/>
          <w:spacing w:val="27"/>
        </w:rPr>
        <w:t> </w:t>
      </w:r>
      <w:r>
        <w:rPr>
          <w:color w:val="231F20"/>
        </w:rPr>
        <w:t>highlight</w:t>
      </w:r>
      <w:r>
        <w:rPr>
          <w:color w:val="231F20"/>
          <w:spacing w:val="27"/>
        </w:rPr>
        <w:t> </w:t>
      </w:r>
      <w:r>
        <w:rPr>
          <w:color w:val="231F20"/>
        </w:rPr>
        <w:t>and</w:t>
      </w:r>
      <w:r>
        <w:rPr>
          <w:color w:val="231F20"/>
          <w:spacing w:val="27"/>
        </w:rPr>
        <w:t> </w:t>
      </w:r>
      <w:r>
        <w:rPr>
          <w:color w:val="231F20"/>
        </w:rPr>
        <w:t>the</w:t>
      </w:r>
      <w:r>
        <w:rPr>
          <w:color w:val="231F20"/>
          <w:spacing w:val="27"/>
        </w:rPr>
        <w:t> </w:t>
      </w:r>
      <w:r>
        <w:rPr>
          <w:color w:val="231F20"/>
        </w:rPr>
        <w:t>days</w:t>
      </w:r>
      <w:r>
        <w:rPr>
          <w:color w:val="231F20"/>
          <w:spacing w:val="27"/>
        </w:rPr>
        <w:t> </w:t>
      </w:r>
      <w:r>
        <w:rPr>
          <w:color w:val="231F20"/>
        </w:rPr>
        <w:t>that</w:t>
      </w:r>
      <w:r>
        <w:rPr>
          <w:color w:val="231F20"/>
          <w:spacing w:val="27"/>
        </w:rPr>
        <w:t> </w:t>
      </w:r>
      <w:r>
        <w:rPr>
          <w:color w:val="231F20"/>
        </w:rPr>
        <w:t>are</w:t>
      </w:r>
      <w:r>
        <w:rPr>
          <w:color w:val="231F20"/>
          <w:spacing w:val="27"/>
        </w:rPr>
        <w:t> </w:t>
      </w:r>
      <w:r>
        <w:rPr>
          <w:color w:val="231F20"/>
        </w:rPr>
        <w:t>skipped</w:t>
      </w:r>
      <w:r>
        <w:rPr>
          <w:color w:val="231F20"/>
          <w:spacing w:val="27"/>
        </w:rPr>
        <w:t> </w:t>
      </w:r>
      <w:r>
        <w:rPr>
          <w:color w:val="231F20"/>
        </w:rPr>
        <w:t>with</w:t>
      </w:r>
      <w:r>
        <w:rPr>
          <w:color w:val="231F20"/>
          <w:spacing w:val="27"/>
        </w:rPr>
        <w:t> </w:t>
      </w:r>
      <w:r>
        <w:rPr>
          <w:color w:val="231F20"/>
        </w:rPr>
        <w:t>a</w:t>
      </w:r>
      <w:r>
        <w:rPr>
          <w:color w:val="231F20"/>
          <w:spacing w:val="27"/>
        </w:rPr>
        <w:t> </w:t>
      </w:r>
      <w:r>
        <w:rPr>
          <w:color w:val="231F20"/>
        </w:rPr>
        <w:t>blue</w:t>
      </w:r>
      <w:r>
        <w:rPr>
          <w:color w:val="231F20"/>
          <w:spacing w:val="27"/>
        </w:rPr>
        <w:t> </w:t>
      </w:r>
      <w:r>
        <w:rPr>
          <w:color w:val="231F20"/>
        </w:rPr>
        <w:t>highlight.</w:t>
      </w:r>
      <w:r>
        <w:rPr>
          <w:color w:val="231F20"/>
          <w:spacing w:val="27"/>
        </w:rPr>
        <w:t> </w:t>
      </w:r>
      <w:r>
        <w:rPr>
          <w:color w:val="231F20"/>
        </w:rPr>
        <w:t>In the following example, the days of the month that have already passed</w:t>
      </w:r>
      <w:r>
        <w:rPr>
          <w:color w:val="231F20"/>
          <w:spacing w:val="80"/>
        </w:rPr>
        <w:t> </w:t>
      </w:r>
      <w:r>
        <w:rPr>
          <w:color w:val="231F20"/>
        </w:rPr>
        <w:t>have no highlight. The override is scheduled to occur every three days.</w:t>
      </w:r>
    </w:p>
    <w:p>
      <w:pPr>
        <w:pStyle w:val="BodyText"/>
        <w:spacing w:before="4"/>
        <w:rPr>
          <w:sz w:val="12"/>
        </w:rPr>
      </w:pPr>
      <w:r>
        <w:rPr/>
        <w:drawing>
          <wp:anchor distT="0" distB="0" distL="0" distR="0" allowOverlap="1" layoutInCell="1" locked="0" behindDoc="1" simplePos="0" relativeHeight="487730176">
            <wp:simplePos x="0" y="0"/>
            <wp:positionH relativeFrom="page">
              <wp:posOffset>2509055</wp:posOffset>
            </wp:positionH>
            <wp:positionV relativeFrom="paragraph">
              <wp:posOffset>120961</wp:posOffset>
            </wp:positionV>
            <wp:extent cx="2035778" cy="1065752"/>
            <wp:effectExtent l="0" t="0" r="0" b="0"/>
            <wp:wrapTopAndBottom/>
            <wp:docPr id="2524" name="Image 2524"/>
            <wp:cNvGraphicFramePr>
              <a:graphicFrameLocks/>
            </wp:cNvGraphicFramePr>
            <a:graphic>
              <a:graphicData uri="http://schemas.openxmlformats.org/drawingml/2006/picture">
                <pic:pic>
                  <pic:nvPicPr>
                    <pic:cNvPr id="2524" name="Image 2524"/>
                    <pic:cNvPicPr/>
                  </pic:nvPicPr>
                  <pic:blipFill>
                    <a:blip r:embed="rId402" cstate="print"/>
                    <a:stretch>
                      <a:fillRect/>
                    </a:stretch>
                  </pic:blipFill>
                  <pic:spPr>
                    <a:xfrm>
                      <a:off x="0" y="0"/>
                      <a:ext cx="2035778" cy="1065752"/>
                    </a:xfrm>
                    <a:prstGeom prst="rect">
                      <a:avLst/>
                    </a:prstGeom>
                  </pic:spPr>
                </pic:pic>
              </a:graphicData>
            </a:graphic>
          </wp:anchor>
        </w:drawing>
      </w:r>
    </w:p>
    <w:p>
      <w:pPr>
        <w:pStyle w:val="BodyText"/>
        <w:spacing w:before="34"/>
      </w:pPr>
    </w:p>
    <w:p>
      <w:pPr>
        <w:pStyle w:val="Heading5"/>
        <w:spacing w:before="0"/>
        <w:ind w:left="2232"/>
      </w:pPr>
      <w:r>
        <w:rPr>
          <w:color w:val="231F20"/>
          <w:spacing w:val="-2"/>
        </w:rPr>
        <w:t>Hourly</w:t>
      </w:r>
    </w:p>
    <w:p>
      <w:pPr>
        <w:pStyle w:val="BodyText"/>
        <w:spacing w:line="213" w:lineRule="auto" w:before="245"/>
        <w:ind w:left="2232" w:right="545"/>
      </w:pPr>
      <w:r>
        <w:rPr>
          <w:color w:val="231F20"/>
        </w:rPr>
        <w:t>With an hourly schedule, the override takes place every day starting and </w:t>
      </w:r>
      <w:r>
        <w:rPr>
          <w:color w:val="231F20"/>
        </w:rPr>
        <w:t>stopping at the time indicated. Hourly schedules are temporary: After creating an hourly schedule, if you do not assign it to the override, it is removed from the Schedules</w:t>
      </w:r>
      <w:r>
        <w:rPr>
          <w:color w:val="231F20"/>
          <w:spacing w:val="40"/>
        </w:rPr>
        <w:t> </w:t>
      </w:r>
      <w:r>
        <w:rPr>
          <w:color w:val="231F20"/>
        </w:rPr>
        <w:t>list after you close the Select Override Expression Schedule dialog box.</w:t>
      </w:r>
    </w:p>
    <w:p>
      <w:pPr>
        <w:pStyle w:val="Heading6"/>
        <w:spacing w:before="116"/>
        <w:ind w:left="2232"/>
      </w:pPr>
      <w:r>
        <w:rPr>
          <w:color w:val="231F20"/>
        </w:rPr>
        <w:t>Schedule</w:t>
      </w:r>
      <w:r>
        <w:rPr>
          <w:color w:val="231F20"/>
          <w:spacing w:val="7"/>
        </w:rPr>
        <w:t> </w:t>
      </w:r>
      <w:r>
        <w:rPr>
          <w:color w:val="231F20"/>
          <w:spacing w:val="-2"/>
        </w:rPr>
        <w:t>identity</w:t>
      </w:r>
    </w:p>
    <w:p>
      <w:pPr>
        <w:spacing w:line="213" w:lineRule="auto" w:before="12"/>
        <w:ind w:left="2951" w:right="413" w:firstLine="0"/>
        <w:jc w:val="left"/>
        <w:rPr>
          <w:sz w:val="20"/>
        </w:rPr>
      </w:pPr>
      <w:r>
        <w:rPr>
          <w:color w:val="231F20"/>
          <w:sz w:val="20"/>
        </w:rPr>
        <w:t>The</w:t>
      </w:r>
      <w:r>
        <w:rPr>
          <w:color w:val="231F20"/>
          <w:spacing w:val="28"/>
          <w:sz w:val="20"/>
        </w:rPr>
        <w:t> </w:t>
      </w:r>
      <w:r>
        <w:rPr>
          <w:rFonts w:ascii="Book Antiqua"/>
          <w:b/>
          <w:color w:val="231F20"/>
          <w:sz w:val="20"/>
        </w:rPr>
        <w:t>Name</w:t>
      </w:r>
      <w:r>
        <w:rPr>
          <w:rFonts w:ascii="Book Antiqua"/>
          <w:b/>
          <w:color w:val="231F20"/>
          <w:spacing w:val="28"/>
          <w:sz w:val="20"/>
        </w:rPr>
        <w:t> </w:t>
      </w:r>
      <w:r>
        <w:rPr>
          <w:color w:val="231F20"/>
          <w:sz w:val="20"/>
        </w:rPr>
        <w:t>and</w:t>
      </w:r>
      <w:r>
        <w:rPr>
          <w:color w:val="231F20"/>
          <w:spacing w:val="28"/>
          <w:sz w:val="20"/>
        </w:rPr>
        <w:t> </w:t>
      </w:r>
      <w:r>
        <w:rPr>
          <w:rFonts w:ascii="Book Antiqua"/>
          <w:b/>
          <w:color w:val="231F20"/>
          <w:sz w:val="20"/>
        </w:rPr>
        <w:t>Description</w:t>
      </w:r>
      <w:r>
        <w:rPr>
          <w:rFonts w:ascii="Book Antiqua"/>
          <w:b/>
          <w:color w:val="231F20"/>
          <w:spacing w:val="28"/>
          <w:sz w:val="20"/>
        </w:rPr>
        <w:t> </w:t>
      </w:r>
      <w:r>
        <w:rPr>
          <w:color w:val="231F20"/>
          <w:sz w:val="20"/>
        </w:rPr>
        <w:t>fields</w:t>
      </w:r>
      <w:r>
        <w:rPr>
          <w:color w:val="231F20"/>
          <w:spacing w:val="28"/>
          <w:sz w:val="20"/>
        </w:rPr>
        <w:t> </w:t>
      </w:r>
      <w:r>
        <w:rPr>
          <w:color w:val="231F20"/>
          <w:sz w:val="20"/>
        </w:rPr>
        <w:t>are</w:t>
      </w:r>
      <w:r>
        <w:rPr>
          <w:color w:val="231F20"/>
          <w:spacing w:val="28"/>
          <w:sz w:val="20"/>
        </w:rPr>
        <w:t> </w:t>
      </w:r>
      <w:r>
        <w:rPr>
          <w:color w:val="231F20"/>
          <w:sz w:val="20"/>
        </w:rPr>
        <w:t>disabled</w:t>
      </w:r>
      <w:r>
        <w:rPr>
          <w:color w:val="231F20"/>
          <w:spacing w:val="28"/>
          <w:sz w:val="20"/>
        </w:rPr>
        <w:t> </w:t>
      </w:r>
      <w:r>
        <w:rPr>
          <w:color w:val="231F20"/>
          <w:sz w:val="20"/>
        </w:rPr>
        <w:t>because</w:t>
      </w:r>
      <w:r>
        <w:rPr>
          <w:color w:val="231F20"/>
          <w:spacing w:val="28"/>
          <w:sz w:val="20"/>
        </w:rPr>
        <w:t> </w:t>
      </w:r>
      <w:r>
        <w:rPr>
          <w:color w:val="231F20"/>
          <w:sz w:val="20"/>
        </w:rPr>
        <w:t>they</w:t>
      </w:r>
      <w:r>
        <w:rPr>
          <w:color w:val="231F20"/>
          <w:spacing w:val="28"/>
          <w:sz w:val="20"/>
        </w:rPr>
        <w:t> </w:t>
      </w:r>
      <w:r>
        <w:rPr>
          <w:color w:val="231F20"/>
          <w:sz w:val="20"/>
        </w:rPr>
        <w:t>are</w:t>
      </w:r>
      <w:r>
        <w:rPr>
          <w:color w:val="231F20"/>
          <w:spacing w:val="28"/>
          <w:sz w:val="20"/>
        </w:rPr>
        <w:t> </w:t>
      </w:r>
      <w:r>
        <w:rPr>
          <w:color w:val="231F20"/>
          <w:sz w:val="20"/>
        </w:rPr>
        <w:t>filled</w:t>
      </w:r>
      <w:r>
        <w:rPr>
          <w:color w:val="231F20"/>
          <w:spacing w:val="28"/>
          <w:sz w:val="20"/>
        </w:rPr>
        <w:t> </w:t>
      </w:r>
      <w:r>
        <w:rPr>
          <w:color w:val="231F20"/>
          <w:sz w:val="20"/>
        </w:rPr>
        <w:t>in</w:t>
      </w:r>
      <w:r>
        <w:rPr>
          <w:color w:val="231F20"/>
          <w:sz w:val="20"/>
        </w:rPr>
        <w:t> for you from the start and stop times that you enter in the definition. For example, after selecting 16:00 and 21:00 for the start and end times, you get </w:t>
      </w:r>
      <w:r>
        <w:rPr>
          <w:rFonts w:ascii="Book Antiqua"/>
          <w:i/>
          <w:color w:val="231F20"/>
          <w:sz w:val="20"/>
        </w:rPr>
        <w:t>16:00-21:00 </w:t>
      </w:r>
      <w:r>
        <w:rPr>
          <w:color w:val="231F20"/>
          <w:sz w:val="20"/>
        </w:rPr>
        <w:t>as the name and </w:t>
      </w:r>
      <w:r>
        <w:rPr>
          <w:rFonts w:ascii="Book Antiqua"/>
          <w:i/>
          <w:color w:val="231F20"/>
          <w:sz w:val="20"/>
        </w:rPr>
        <w:t>Daily schedule between 16:00 and 21:00 </w:t>
      </w:r>
      <w:r>
        <w:rPr>
          <w:color w:val="231F20"/>
          <w:sz w:val="20"/>
        </w:rPr>
        <w:t>as the </w:t>
      </w:r>
      <w:r>
        <w:rPr>
          <w:color w:val="231F20"/>
          <w:spacing w:val="-2"/>
          <w:sz w:val="20"/>
        </w:rPr>
        <w:t>description.</w:t>
      </w:r>
    </w:p>
    <w:p>
      <w:pPr>
        <w:pStyle w:val="Heading6"/>
        <w:spacing w:before="115"/>
        <w:ind w:left="2232"/>
      </w:pPr>
      <w:r>
        <w:rPr>
          <w:color w:val="231F20"/>
        </w:rPr>
        <w:t>Schedule</w:t>
      </w:r>
      <w:r>
        <w:rPr>
          <w:color w:val="231F20"/>
          <w:spacing w:val="7"/>
        </w:rPr>
        <w:t> </w:t>
      </w:r>
      <w:r>
        <w:rPr>
          <w:color w:val="231F20"/>
          <w:spacing w:val="-2"/>
        </w:rPr>
        <w:t>definition</w:t>
      </w:r>
    </w:p>
    <w:p>
      <w:pPr>
        <w:pStyle w:val="BodyText"/>
        <w:spacing w:line="213" w:lineRule="auto" w:before="11"/>
        <w:ind w:left="2951" w:right="718"/>
        <w:jc w:val="both"/>
      </w:pPr>
      <w:r>
        <w:rPr>
          <w:color w:val="231F20"/>
        </w:rPr>
        <w:t>Click the </w:t>
      </w:r>
      <w:r>
        <w:rPr>
          <w:rFonts w:ascii="Book Antiqua"/>
          <w:b/>
          <w:color w:val="231F20"/>
        </w:rPr>
        <w:t>Start time </w:t>
      </w:r>
      <w:r>
        <w:rPr>
          <w:color w:val="231F20"/>
        </w:rPr>
        <w:t>field and select a time (in quarter-hour increments) from the list or type the start time yourself following the </w:t>
      </w:r>
      <w:r>
        <w:rPr>
          <w:rFonts w:ascii="Book Antiqua"/>
          <w:b/>
          <w:color w:val="231F20"/>
        </w:rPr>
        <w:t>hh:mm </w:t>
      </w:r>
      <w:r>
        <w:rPr>
          <w:color w:val="231F20"/>
        </w:rPr>
        <w:t>format shown. Repeat for the </w:t>
      </w:r>
      <w:r>
        <w:rPr>
          <w:rFonts w:ascii="Book Antiqua"/>
          <w:b/>
          <w:color w:val="231F20"/>
        </w:rPr>
        <w:t>Stop time </w:t>
      </w:r>
      <w:r>
        <w:rPr>
          <w:color w:val="231F20"/>
        </w:rPr>
        <w:t>field.</w:t>
      </w:r>
    </w:p>
    <w:p>
      <w:pPr>
        <w:pStyle w:val="Heading6"/>
        <w:ind w:left="2232"/>
      </w:pPr>
      <w:r>
        <w:rPr>
          <w:color w:val="231F20"/>
        </w:rPr>
        <w:t>Schedule</w:t>
      </w:r>
      <w:r>
        <w:rPr>
          <w:color w:val="231F20"/>
          <w:spacing w:val="7"/>
        </w:rPr>
        <w:t> </w:t>
      </w:r>
      <w:r>
        <w:rPr>
          <w:color w:val="231F20"/>
          <w:spacing w:val="-2"/>
        </w:rPr>
        <w:t>preview</w:t>
      </w:r>
    </w:p>
    <w:p>
      <w:pPr>
        <w:pStyle w:val="BodyText"/>
        <w:spacing w:line="213" w:lineRule="auto" w:before="11"/>
        <w:ind w:left="2951" w:right="545"/>
      </w:pPr>
      <w:r>
        <w:rPr>
          <w:color w:val="231F20"/>
        </w:rPr>
        <w:t>This is a calendar of the days that the situation override takes place highlighted with yellow. The days of the month that have already </w:t>
      </w:r>
      <w:r>
        <w:rPr>
          <w:color w:val="231F20"/>
        </w:rPr>
        <w:t>passed have no highlight.</w:t>
      </w:r>
    </w:p>
    <w:p>
      <w:pPr>
        <w:spacing w:after="0" w:line="213" w:lineRule="auto"/>
        <w:sectPr>
          <w:pgSz w:w="12240" w:h="15840"/>
          <w:pgMar w:header="0" w:footer="736" w:top="1480" w:bottom="920" w:left="1000" w:right="1060"/>
        </w:sectPr>
      </w:pPr>
    </w:p>
    <w:p>
      <w:pPr>
        <w:pStyle w:val="BodyText"/>
        <w:ind w:left="3190"/>
      </w:pPr>
      <w:bookmarkStart w:name="_bookmark227" w:id="478"/>
      <w:bookmarkEnd w:id="478"/>
      <w:r>
        <w:rPr/>
      </w:r>
      <w:r>
        <w:rPr/>
        <w:drawing>
          <wp:inline distT="0" distB="0" distL="0" distR="0">
            <wp:extent cx="2044500" cy="1065752"/>
            <wp:effectExtent l="0" t="0" r="0" b="0"/>
            <wp:docPr id="2525" name="Image 2525"/>
            <wp:cNvGraphicFramePr>
              <a:graphicFrameLocks/>
            </wp:cNvGraphicFramePr>
            <a:graphic>
              <a:graphicData uri="http://schemas.openxmlformats.org/drawingml/2006/picture">
                <pic:pic>
                  <pic:nvPicPr>
                    <pic:cNvPr id="2525" name="Image 2525"/>
                    <pic:cNvPicPr/>
                  </pic:nvPicPr>
                  <pic:blipFill>
                    <a:blip r:embed="rId403" cstate="print"/>
                    <a:stretch>
                      <a:fillRect/>
                    </a:stretch>
                  </pic:blipFill>
                  <pic:spPr>
                    <a:xfrm>
                      <a:off x="0" y="0"/>
                      <a:ext cx="2044500" cy="1065752"/>
                    </a:xfrm>
                    <a:prstGeom prst="rect">
                      <a:avLst/>
                    </a:prstGeom>
                  </pic:spPr>
                </pic:pic>
              </a:graphicData>
            </a:graphic>
          </wp:inline>
        </w:drawing>
      </w:r>
      <w:r>
        <w:rPr/>
      </w:r>
    </w:p>
    <w:p>
      <w:pPr>
        <w:pStyle w:val="BodyText"/>
        <w:spacing w:before="28"/>
      </w:pPr>
    </w:p>
    <w:p>
      <w:pPr>
        <w:pStyle w:val="BodyText"/>
        <w:spacing w:line="255" w:lineRule="exact"/>
        <w:ind w:left="2472"/>
      </w:pPr>
      <w:r>
        <w:rPr>
          <w:color w:val="231F20"/>
        </w:rPr>
        <w:t>After</w:t>
      </w:r>
      <w:r>
        <w:rPr>
          <w:color w:val="231F20"/>
          <w:spacing w:val="11"/>
        </w:rPr>
        <w:t> </w:t>
      </w:r>
      <w:r>
        <w:rPr>
          <w:color w:val="231F20"/>
        </w:rPr>
        <w:t>you</w:t>
      </w:r>
      <w:r>
        <w:rPr>
          <w:color w:val="231F20"/>
          <w:spacing w:val="12"/>
        </w:rPr>
        <w:t> </w:t>
      </w:r>
      <w:r>
        <w:rPr>
          <w:color w:val="231F20"/>
        </w:rPr>
        <w:t>click</w:t>
      </w:r>
      <w:r>
        <w:rPr>
          <w:color w:val="231F20"/>
          <w:spacing w:val="12"/>
        </w:rPr>
        <w:t> </w:t>
      </w:r>
      <w:r>
        <w:rPr>
          <w:rFonts w:ascii="Book Antiqua"/>
          <w:b/>
          <w:color w:val="231F20"/>
        </w:rPr>
        <w:t>OK</w:t>
      </w:r>
      <w:r>
        <w:rPr>
          <w:rFonts w:ascii="Book Antiqua"/>
          <w:b/>
          <w:color w:val="231F20"/>
          <w:spacing w:val="12"/>
        </w:rPr>
        <w:t> </w:t>
      </w:r>
      <w:r>
        <w:rPr>
          <w:color w:val="231F20"/>
        </w:rPr>
        <w:t>to</w:t>
      </w:r>
      <w:r>
        <w:rPr>
          <w:color w:val="231F20"/>
          <w:spacing w:val="11"/>
        </w:rPr>
        <w:t> </w:t>
      </w:r>
      <w:r>
        <w:rPr>
          <w:color w:val="231F20"/>
        </w:rPr>
        <w:t>save</w:t>
      </w:r>
      <w:r>
        <w:rPr>
          <w:color w:val="231F20"/>
          <w:spacing w:val="12"/>
        </w:rPr>
        <w:t> </w:t>
      </w:r>
      <w:r>
        <w:rPr>
          <w:color w:val="231F20"/>
        </w:rPr>
        <w:t>the</w:t>
      </w:r>
      <w:r>
        <w:rPr>
          <w:color w:val="231F20"/>
          <w:spacing w:val="12"/>
        </w:rPr>
        <w:t> </w:t>
      </w:r>
      <w:r>
        <w:rPr>
          <w:color w:val="231F20"/>
        </w:rPr>
        <w:t>schedule,</w:t>
      </w:r>
      <w:r>
        <w:rPr>
          <w:color w:val="231F20"/>
          <w:spacing w:val="12"/>
        </w:rPr>
        <w:t> </w:t>
      </w:r>
      <w:r>
        <w:rPr>
          <w:color w:val="231F20"/>
        </w:rPr>
        <w:t>the</w:t>
      </w:r>
      <w:r>
        <w:rPr>
          <w:color w:val="231F20"/>
          <w:spacing w:val="11"/>
        </w:rPr>
        <w:t> </w:t>
      </w:r>
      <w:r>
        <w:rPr>
          <w:color w:val="231F20"/>
        </w:rPr>
        <w:t>schedule</w:t>
      </w:r>
      <w:r>
        <w:rPr>
          <w:color w:val="231F20"/>
          <w:spacing w:val="12"/>
        </w:rPr>
        <w:t> </w:t>
      </w:r>
      <w:r>
        <w:rPr>
          <w:color w:val="231F20"/>
        </w:rPr>
        <w:t>name</w:t>
      </w:r>
      <w:r>
        <w:rPr>
          <w:color w:val="231F20"/>
          <w:spacing w:val="12"/>
        </w:rPr>
        <w:t> </w:t>
      </w:r>
      <w:r>
        <w:rPr>
          <w:color w:val="231F20"/>
        </w:rPr>
        <w:t>is</w:t>
      </w:r>
      <w:r>
        <w:rPr>
          <w:color w:val="231F20"/>
          <w:spacing w:val="12"/>
        </w:rPr>
        <w:t> </w:t>
      </w:r>
      <w:r>
        <w:rPr>
          <w:color w:val="231F20"/>
        </w:rPr>
        <w:t>displayed</w:t>
      </w:r>
      <w:r>
        <w:rPr>
          <w:color w:val="231F20"/>
          <w:spacing w:val="11"/>
        </w:rPr>
        <w:t> </w:t>
      </w:r>
      <w:r>
        <w:rPr>
          <w:color w:val="231F20"/>
        </w:rPr>
        <w:t>in</w:t>
      </w:r>
      <w:r>
        <w:rPr>
          <w:color w:val="231F20"/>
          <w:spacing w:val="12"/>
        </w:rPr>
        <w:t> </w:t>
      </w:r>
      <w:r>
        <w:rPr>
          <w:color w:val="231F20"/>
          <w:spacing w:val="-5"/>
        </w:rPr>
        <w:t>the</w:t>
      </w:r>
    </w:p>
    <w:p>
      <w:pPr>
        <w:pStyle w:val="BodyText"/>
        <w:spacing w:line="255" w:lineRule="exact"/>
        <w:ind w:left="2472"/>
      </w:pPr>
      <w:bookmarkStart w:name="Model Expression" w:id="479"/>
      <w:bookmarkEnd w:id="479"/>
      <w:r>
        <w:rPr/>
      </w:r>
      <w:r>
        <w:rPr>
          <w:rFonts w:ascii="Book Antiqua"/>
          <w:b/>
          <w:color w:val="231F20"/>
        </w:rPr>
        <w:t>Schedules</w:t>
      </w:r>
      <w:r>
        <w:rPr>
          <w:rFonts w:ascii="Book Antiqua"/>
          <w:b/>
          <w:color w:val="231F20"/>
          <w:spacing w:val="9"/>
        </w:rPr>
        <w:t> </w:t>
      </w:r>
      <w:r>
        <w:rPr>
          <w:color w:val="231F20"/>
        </w:rPr>
        <w:t>list</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Select</w:t>
      </w:r>
      <w:r>
        <w:rPr>
          <w:color w:val="231F20"/>
          <w:spacing w:val="9"/>
        </w:rPr>
        <w:t> </w:t>
      </w:r>
      <w:r>
        <w:rPr>
          <w:color w:val="231F20"/>
        </w:rPr>
        <w:t>Override</w:t>
      </w:r>
      <w:r>
        <w:rPr>
          <w:color w:val="231F20"/>
          <w:spacing w:val="10"/>
        </w:rPr>
        <w:t> </w:t>
      </w:r>
      <w:r>
        <w:rPr>
          <w:color w:val="231F20"/>
        </w:rPr>
        <w:t>Expression</w:t>
      </w:r>
      <w:r>
        <w:rPr>
          <w:color w:val="231F20"/>
          <w:spacing w:val="10"/>
        </w:rPr>
        <w:t> </w:t>
      </w:r>
      <w:r>
        <w:rPr>
          <w:color w:val="231F20"/>
        </w:rPr>
        <w:t>Schedule</w:t>
      </w:r>
      <w:r>
        <w:rPr>
          <w:color w:val="231F20"/>
          <w:spacing w:val="9"/>
        </w:rPr>
        <w:t> </w:t>
      </w:r>
      <w:r>
        <w:rPr>
          <w:color w:val="231F20"/>
          <w:spacing w:val="-2"/>
        </w:rPr>
        <w:t>dialog.</w:t>
      </w:r>
    </w:p>
    <w:p>
      <w:pPr>
        <w:pStyle w:val="Heading4"/>
        <w:spacing w:line="273" w:lineRule="exact" w:before="159"/>
        <w:ind w:left="2472"/>
      </w:pPr>
      <w:r>
        <w:rPr>
          <w:color w:val="231F20"/>
        </w:rPr>
        <w:t>Model</w:t>
      </w:r>
      <w:r>
        <w:rPr>
          <w:color w:val="231F20"/>
          <w:spacing w:val="6"/>
        </w:rPr>
        <w:t> </w:t>
      </w:r>
      <w:r>
        <w:rPr>
          <w:color w:val="231F20"/>
          <w:spacing w:val="-2"/>
        </w:rPr>
        <w:t>Expression</w:t>
      </w:r>
    </w:p>
    <w:p>
      <w:pPr>
        <w:pStyle w:val="BodyText"/>
        <w:spacing w:line="213" w:lineRule="auto" w:before="20"/>
        <w:ind w:left="2472"/>
      </w:pPr>
      <w:r>
        <w:rPr>
          <w:color w:val="231F20"/>
        </w:rPr>
        <w:t>Select the Model Expression button in the Add Expression Overrides dialog to </w:t>
      </w:r>
      <w:r>
        <w:rPr>
          <w:color w:val="231F20"/>
        </w:rPr>
        <w:t>use visual baselining for testing threshold scenarios and use the results to create an expression override for the situation.</w:t>
      </w:r>
    </w:p>
    <w:p>
      <w:pPr>
        <w:pStyle w:val="BodyText"/>
        <w:spacing w:before="214"/>
        <w:ind w:left="2472"/>
      </w:pPr>
      <w:r>
        <w:rPr>
          <w:color w:val="231F20"/>
        </w:rPr>
        <w:t>Use</w:t>
      </w:r>
      <w:r>
        <w:rPr>
          <w:color w:val="231F20"/>
          <w:spacing w:val="12"/>
        </w:rPr>
        <w:t> </w:t>
      </w:r>
      <w:r>
        <w:rPr>
          <w:color w:val="231F20"/>
        </w:rPr>
        <w:t>any</w:t>
      </w:r>
      <w:r>
        <w:rPr>
          <w:color w:val="231F20"/>
          <w:spacing w:val="12"/>
        </w:rPr>
        <w:t> </w:t>
      </w:r>
      <w:r>
        <w:rPr>
          <w:color w:val="231F20"/>
        </w:rPr>
        <w:t>of</w:t>
      </w:r>
      <w:r>
        <w:rPr>
          <w:color w:val="231F20"/>
          <w:spacing w:val="12"/>
        </w:rPr>
        <w:t> </w:t>
      </w:r>
      <w:r>
        <w:rPr>
          <w:color w:val="231F20"/>
        </w:rPr>
        <w:t>these</w:t>
      </w:r>
      <w:r>
        <w:rPr>
          <w:color w:val="231F20"/>
          <w:spacing w:val="12"/>
        </w:rPr>
        <w:t> </w:t>
      </w:r>
      <w:r>
        <w:rPr>
          <w:color w:val="231F20"/>
        </w:rPr>
        <w:t>methods</w:t>
      </w:r>
      <w:r>
        <w:rPr>
          <w:color w:val="231F20"/>
          <w:spacing w:val="12"/>
        </w:rPr>
        <w:t> </w:t>
      </w:r>
      <w:r>
        <w:rPr>
          <w:color w:val="231F20"/>
        </w:rPr>
        <w:t>to</w:t>
      </w:r>
      <w:r>
        <w:rPr>
          <w:color w:val="231F20"/>
          <w:spacing w:val="12"/>
        </w:rPr>
        <w:t> </w:t>
      </w:r>
      <w:r>
        <w:rPr>
          <w:color w:val="231F20"/>
        </w:rPr>
        <w:t>see</w:t>
      </w:r>
      <w:r>
        <w:rPr>
          <w:color w:val="231F20"/>
          <w:spacing w:val="12"/>
        </w:rPr>
        <w:t> </w:t>
      </w:r>
      <w:r>
        <w:rPr>
          <w:color w:val="231F20"/>
        </w:rPr>
        <w:t>values</w:t>
      </w:r>
      <w:r>
        <w:rPr>
          <w:color w:val="231F20"/>
          <w:spacing w:val="13"/>
        </w:rPr>
        <w:t> </w:t>
      </w:r>
      <w:r>
        <w:rPr>
          <w:color w:val="231F20"/>
        </w:rPr>
        <w:t>and</w:t>
      </w:r>
      <w:r>
        <w:rPr>
          <w:color w:val="231F20"/>
          <w:spacing w:val="12"/>
        </w:rPr>
        <w:t> </w:t>
      </w:r>
      <w:r>
        <w:rPr>
          <w:color w:val="231F20"/>
        </w:rPr>
        <w:t>adjust</w:t>
      </w:r>
      <w:r>
        <w:rPr>
          <w:color w:val="231F20"/>
          <w:spacing w:val="12"/>
        </w:rPr>
        <w:t> </w:t>
      </w:r>
      <w:r>
        <w:rPr>
          <w:color w:val="231F20"/>
        </w:rPr>
        <w:t>the</w:t>
      </w:r>
      <w:r>
        <w:rPr>
          <w:color w:val="231F20"/>
          <w:spacing w:val="12"/>
        </w:rPr>
        <w:t> </w:t>
      </w:r>
      <w:r>
        <w:rPr>
          <w:color w:val="231F20"/>
          <w:spacing w:val="-2"/>
        </w:rPr>
        <w:t>display:</w:t>
      </w:r>
    </w:p>
    <w:p>
      <w:pPr>
        <w:pStyle w:val="BodyText"/>
        <w:spacing w:before="30"/>
        <w:ind w:left="2472"/>
      </w:pPr>
      <w:r>
        <w:rPr>
          <w:rFonts w:ascii="Futura MdCn BT"/>
          <w:color w:val="231F20"/>
        </w:rPr>
        <w:t>v</w:t>
      </w:r>
      <w:r>
        <w:rPr>
          <w:rFonts w:ascii="Futura MdCn BT"/>
          <w:color w:val="231F20"/>
          <w:spacing w:val="32"/>
        </w:rPr>
        <w:t>  </w:t>
      </w:r>
      <w:r>
        <w:rPr>
          <w:color w:val="231F20"/>
        </w:rPr>
        <w:t>Move</w:t>
      </w:r>
      <w:r>
        <w:rPr>
          <w:color w:val="231F20"/>
          <w:spacing w:val="12"/>
        </w:rPr>
        <w:t> </w:t>
      </w:r>
      <w:r>
        <w:rPr>
          <w:color w:val="231F20"/>
        </w:rPr>
        <w:t>the</w:t>
      </w:r>
      <w:r>
        <w:rPr>
          <w:color w:val="231F20"/>
          <w:spacing w:val="13"/>
        </w:rPr>
        <w:t> </w:t>
      </w:r>
      <w:r>
        <w:rPr>
          <w:color w:val="231F20"/>
        </w:rPr>
        <w:t>mouse</w:t>
      </w:r>
      <w:r>
        <w:rPr>
          <w:color w:val="231F20"/>
          <w:spacing w:val="13"/>
        </w:rPr>
        <w:t> </w:t>
      </w:r>
      <w:r>
        <w:rPr>
          <w:color w:val="231F20"/>
        </w:rPr>
        <w:t>pointer</w:t>
      </w:r>
      <w:r>
        <w:rPr>
          <w:color w:val="231F20"/>
          <w:spacing w:val="13"/>
        </w:rPr>
        <w:t> </w:t>
      </w:r>
      <w:r>
        <w:rPr>
          <w:color w:val="231F20"/>
        </w:rPr>
        <w:t>over</w:t>
      </w:r>
      <w:r>
        <w:rPr>
          <w:color w:val="231F20"/>
          <w:spacing w:val="12"/>
        </w:rPr>
        <w:t> </w:t>
      </w:r>
      <w:r>
        <w:rPr>
          <w:color w:val="231F20"/>
        </w:rPr>
        <w:t>a</w:t>
      </w:r>
      <w:r>
        <w:rPr>
          <w:color w:val="231F20"/>
          <w:spacing w:val="13"/>
        </w:rPr>
        <w:t> </w:t>
      </w:r>
      <w:r>
        <w:rPr>
          <w:color w:val="231F20"/>
        </w:rPr>
        <w:t>point</w:t>
      </w:r>
      <w:r>
        <w:rPr>
          <w:color w:val="231F20"/>
          <w:spacing w:val="13"/>
        </w:rPr>
        <w:t> </w:t>
      </w:r>
      <w:r>
        <w:rPr>
          <w:color w:val="231F20"/>
        </w:rPr>
        <w:t>to</w:t>
      </w:r>
      <w:r>
        <w:rPr>
          <w:color w:val="231F20"/>
          <w:spacing w:val="13"/>
        </w:rPr>
        <w:t> </w:t>
      </w:r>
      <w:r>
        <w:rPr>
          <w:color w:val="231F20"/>
        </w:rPr>
        <w:t>see</w:t>
      </w:r>
      <w:r>
        <w:rPr>
          <w:color w:val="231F20"/>
          <w:spacing w:val="13"/>
        </w:rPr>
        <w:t> </w:t>
      </w:r>
      <w:r>
        <w:rPr>
          <w:color w:val="231F20"/>
        </w:rPr>
        <w:t>the</w:t>
      </w:r>
      <w:r>
        <w:rPr>
          <w:color w:val="231F20"/>
          <w:spacing w:val="12"/>
        </w:rPr>
        <w:t> </w:t>
      </w:r>
      <w:r>
        <w:rPr>
          <w:color w:val="231F20"/>
        </w:rPr>
        <w:t>value</w:t>
      </w:r>
      <w:r>
        <w:rPr>
          <w:color w:val="231F20"/>
          <w:spacing w:val="13"/>
        </w:rPr>
        <w:t> </w:t>
      </w:r>
      <w:r>
        <w:rPr>
          <w:color w:val="231F20"/>
        </w:rPr>
        <w:t>and</w:t>
      </w:r>
      <w:r>
        <w:rPr>
          <w:color w:val="231F20"/>
          <w:spacing w:val="13"/>
        </w:rPr>
        <w:t> </w:t>
      </w:r>
      <w:r>
        <w:rPr>
          <w:color w:val="231F20"/>
        </w:rPr>
        <w:t>time</w:t>
      </w:r>
      <w:r>
        <w:rPr>
          <w:color w:val="231F20"/>
          <w:spacing w:val="13"/>
        </w:rPr>
        <w:t> </w:t>
      </w:r>
      <w:r>
        <w:rPr>
          <w:color w:val="231F20"/>
          <w:spacing w:val="-2"/>
        </w:rPr>
        <w:t>stamp.</w:t>
      </w:r>
    </w:p>
    <w:p>
      <w:pPr>
        <w:pStyle w:val="BodyText"/>
        <w:spacing w:before="29"/>
        <w:ind w:left="2472"/>
      </w:pPr>
      <w:r>
        <w:rPr>
          <w:rFonts w:ascii="Futura MdCn BT"/>
          <w:color w:val="231F20"/>
        </w:rPr>
        <w:t>v</w:t>
      </w:r>
      <w:r>
        <w:rPr>
          <w:rFonts w:ascii="Futura MdCn BT"/>
          <w:color w:val="231F20"/>
          <w:spacing w:val="31"/>
        </w:rPr>
        <w:t>  </w:t>
      </w:r>
      <w:r>
        <w:rPr>
          <w:color w:val="231F20"/>
        </w:rPr>
        <w:t>Drag</w:t>
      </w:r>
      <w:r>
        <w:rPr>
          <w:color w:val="231F20"/>
          <w:spacing w:val="12"/>
        </w:rPr>
        <w:t> </w:t>
      </w:r>
      <w:r>
        <w:rPr>
          <w:color w:val="231F20"/>
        </w:rPr>
        <w:t>the</w:t>
      </w:r>
      <w:r>
        <w:rPr>
          <w:color w:val="231F20"/>
          <w:spacing w:val="12"/>
        </w:rPr>
        <w:t> </w:t>
      </w:r>
      <w:r>
        <w:rPr>
          <w:color w:val="231F20"/>
        </w:rPr>
        <w:t>window</w:t>
      </w:r>
      <w:r>
        <w:rPr>
          <w:color w:val="231F20"/>
          <w:spacing w:val="12"/>
        </w:rPr>
        <w:t> </w:t>
      </w:r>
      <w:r>
        <w:rPr>
          <w:color w:val="231F20"/>
        </w:rPr>
        <w:t>border</w:t>
      </w:r>
      <w:r>
        <w:rPr>
          <w:color w:val="231F20"/>
          <w:spacing w:val="12"/>
        </w:rPr>
        <w:t> </w:t>
      </w:r>
      <w:r>
        <w:rPr>
          <w:color w:val="231F20"/>
        </w:rPr>
        <w:t>to</w:t>
      </w:r>
      <w:r>
        <w:rPr>
          <w:color w:val="231F20"/>
          <w:spacing w:val="13"/>
        </w:rPr>
        <w:t> </w:t>
      </w:r>
      <w:r>
        <w:rPr>
          <w:color w:val="231F20"/>
        </w:rPr>
        <w:t>expand</w:t>
      </w:r>
      <w:r>
        <w:rPr>
          <w:color w:val="231F20"/>
          <w:spacing w:val="12"/>
        </w:rPr>
        <w:t> </w:t>
      </w:r>
      <w:r>
        <w:rPr>
          <w:color w:val="231F20"/>
        </w:rPr>
        <w:t>the</w:t>
      </w:r>
      <w:r>
        <w:rPr>
          <w:color w:val="231F20"/>
          <w:spacing w:val="12"/>
        </w:rPr>
        <w:t> </w:t>
      </w:r>
      <w:r>
        <w:rPr>
          <w:color w:val="231F20"/>
        </w:rPr>
        <w:t>chart</w:t>
      </w:r>
      <w:r>
        <w:rPr>
          <w:color w:val="231F20"/>
          <w:spacing w:val="12"/>
        </w:rPr>
        <w:t> </w:t>
      </w:r>
      <w:r>
        <w:rPr>
          <w:color w:val="231F20"/>
          <w:spacing w:val="-2"/>
        </w:rPr>
        <w:t>width.</w:t>
      </w:r>
    </w:p>
    <w:p>
      <w:pPr>
        <w:pStyle w:val="BodyText"/>
        <w:spacing w:before="30"/>
        <w:ind w:left="2472"/>
      </w:pPr>
      <w:r>
        <w:rPr>
          <w:rFonts w:ascii="Futura MdCn BT"/>
          <w:color w:val="231F20"/>
        </w:rPr>
        <w:t>v</w:t>
      </w:r>
      <w:r>
        <w:rPr>
          <w:rFonts w:ascii="Futura MdCn BT"/>
          <w:color w:val="231F20"/>
          <w:spacing w:val="31"/>
        </w:rPr>
        <w:t>  </w:t>
      </w:r>
      <w:r>
        <w:rPr>
          <w:color w:val="231F20"/>
        </w:rPr>
        <w:t>Drag</w:t>
      </w:r>
      <w:r>
        <w:rPr>
          <w:color w:val="231F20"/>
          <w:spacing w:val="12"/>
        </w:rPr>
        <w:t> </w:t>
      </w:r>
      <w:r>
        <w:rPr>
          <w:color w:val="231F20"/>
        </w:rPr>
        <w:t>the</w:t>
      </w:r>
      <w:r>
        <w:rPr>
          <w:color w:val="231F20"/>
          <w:spacing w:val="12"/>
        </w:rPr>
        <w:t> </w:t>
      </w:r>
      <w:r>
        <w:rPr>
          <w:color w:val="231F20"/>
        </w:rPr>
        <w:t>border</w:t>
      </w:r>
      <w:r>
        <w:rPr>
          <w:color w:val="231F20"/>
          <w:spacing w:val="11"/>
        </w:rPr>
        <w:t> </w:t>
      </w:r>
      <w:r>
        <w:rPr>
          <w:color w:val="231F20"/>
        </w:rPr>
        <w:t>bar</w:t>
      </w:r>
      <w:r>
        <w:rPr>
          <w:color w:val="231F20"/>
          <w:spacing w:val="12"/>
        </w:rPr>
        <w:t> </w:t>
      </w:r>
      <w:r>
        <w:rPr>
          <w:color w:val="231F20"/>
        </w:rPr>
        <w:t>between</w:t>
      </w:r>
      <w:r>
        <w:rPr>
          <w:color w:val="231F20"/>
          <w:spacing w:val="12"/>
        </w:rPr>
        <w:t> </w:t>
      </w:r>
      <w:r>
        <w:rPr>
          <w:color w:val="231F20"/>
        </w:rPr>
        <w:t>the</w:t>
      </w:r>
      <w:r>
        <w:rPr>
          <w:color w:val="231F20"/>
          <w:spacing w:val="12"/>
        </w:rPr>
        <w:t> </w:t>
      </w:r>
      <w:r>
        <w:rPr>
          <w:color w:val="231F20"/>
        </w:rPr>
        <w:t>chart</w:t>
      </w:r>
      <w:r>
        <w:rPr>
          <w:color w:val="231F20"/>
          <w:spacing w:val="12"/>
        </w:rPr>
        <w:t> </w:t>
      </w:r>
      <w:r>
        <w:rPr>
          <w:color w:val="231F20"/>
        </w:rPr>
        <w:t>and</w:t>
      </w:r>
      <w:r>
        <w:rPr>
          <w:color w:val="231F20"/>
          <w:spacing w:val="12"/>
        </w:rPr>
        <w:t> </w:t>
      </w:r>
      <w:r>
        <w:rPr>
          <w:color w:val="231F20"/>
        </w:rPr>
        <w:t>the</w:t>
      </w:r>
      <w:r>
        <w:rPr>
          <w:color w:val="231F20"/>
          <w:spacing w:val="5"/>
        </w:rPr>
        <w:t> </w:t>
      </w:r>
      <w:r>
        <w:rPr>
          <w:color w:val="231F20"/>
        </w:rPr>
        <w:t>Attributes</w:t>
      </w:r>
      <w:r>
        <w:rPr>
          <w:color w:val="231F20"/>
          <w:spacing w:val="12"/>
        </w:rPr>
        <w:t> </w:t>
      </w:r>
      <w:r>
        <w:rPr>
          <w:color w:val="231F20"/>
        </w:rPr>
        <w:t>area</w:t>
      </w:r>
      <w:r>
        <w:rPr>
          <w:color w:val="231F20"/>
          <w:spacing w:val="12"/>
        </w:rPr>
        <w:t> </w:t>
      </w:r>
      <w:r>
        <w:rPr>
          <w:color w:val="231F20"/>
        </w:rPr>
        <w:t>up</w:t>
      </w:r>
      <w:r>
        <w:rPr>
          <w:color w:val="231F20"/>
          <w:spacing w:val="12"/>
        </w:rPr>
        <w:t> </w:t>
      </w:r>
      <w:r>
        <w:rPr>
          <w:color w:val="231F20"/>
        </w:rPr>
        <w:t>or</w:t>
      </w:r>
      <w:r>
        <w:rPr>
          <w:color w:val="231F20"/>
          <w:spacing w:val="12"/>
        </w:rPr>
        <w:t> </w:t>
      </w:r>
      <w:r>
        <w:rPr>
          <w:color w:val="231F20"/>
          <w:spacing w:val="-2"/>
        </w:rPr>
        <w:t>down.</w:t>
      </w:r>
    </w:p>
    <w:p>
      <w:pPr>
        <w:pStyle w:val="BodyText"/>
        <w:spacing w:line="213" w:lineRule="auto" w:before="52"/>
        <w:ind w:left="2688" w:right="274"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101600"/>
            <wp:effectExtent l="0" t="0" r="0" b="0"/>
            <wp:docPr id="2526" name="Image 2526"/>
            <wp:cNvGraphicFramePr>
              <a:graphicFrameLocks/>
            </wp:cNvGraphicFramePr>
            <a:graphic>
              <a:graphicData uri="http://schemas.openxmlformats.org/drawingml/2006/picture">
                <pic:pic>
                  <pic:nvPicPr>
                    <pic:cNvPr id="2526" name="Image 2526"/>
                    <pic:cNvPicPr/>
                  </pic:nvPicPr>
                  <pic:blipFill>
                    <a:blip r:embed="rId276"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2"/>
        </w:rPr>
        <w:t> </w:t>
      </w:r>
      <w:r>
        <w:rPr>
          <w:rFonts w:ascii="Book Antiqua"/>
          <w:b/>
          <w:color w:val="231F20"/>
        </w:rPr>
        <w:t>Zoom in </w:t>
      </w:r>
      <w:r>
        <w:rPr>
          <w:color w:val="231F20"/>
        </w:rPr>
        <w:t>(Ctrl + Click) and drag the mouse over the time period to</w:t>
      </w:r>
      <w:r>
        <w:rPr>
          <w:color w:val="231F20"/>
          <w:spacing w:val="80"/>
        </w:rPr>
        <w:t> </w:t>
      </w:r>
      <w:r>
        <w:rPr>
          <w:color w:val="231F20"/>
        </w:rPr>
        <w:t>highlight; the selection expands to fill the chart area. Click </w:t>
      </w:r>
      <w:r>
        <w:rPr>
          <w:color w:val="231F20"/>
          <w:spacing w:val="15"/>
          <w:position w:val="-1"/>
        </w:rPr>
        <w:drawing>
          <wp:inline distT="0" distB="0" distL="0" distR="0">
            <wp:extent cx="101600" cy="101600"/>
            <wp:effectExtent l="0" t="0" r="0" b="0"/>
            <wp:docPr id="2527" name="Image 2527"/>
            <wp:cNvGraphicFramePr>
              <a:graphicFrameLocks/>
            </wp:cNvGraphicFramePr>
            <a:graphic>
              <a:graphicData uri="http://schemas.openxmlformats.org/drawingml/2006/picture">
                <pic:pic>
                  <pic:nvPicPr>
                    <pic:cNvPr id="2527" name="Image 2527"/>
                    <pic:cNvPicPr/>
                  </pic:nvPicPr>
                  <pic:blipFill>
                    <a:blip r:embed="rId390"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rPr>
        <w:t>Zoom out </w:t>
      </w:r>
      <w:r>
        <w:rPr>
          <w:color w:val="231F20"/>
        </w:rPr>
        <w:t>(Esc) to return to the full data view.</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Select options in the </w:t>
      </w:r>
      <w:r>
        <w:rPr>
          <w:rFonts w:ascii="Book Antiqua"/>
          <w:b/>
          <w:color w:val="231F20"/>
        </w:rPr>
        <w:t>Time Span </w:t>
      </w:r>
      <w:r>
        <w:rPr>
          <w:color w:val="231F20"/>
        </w:rPr>
        <w:t>area to reduce the time span and thus the</w:t>
      </w:r>
      <w:r>
        <w:rPr>
          <w:color w:val="231F20"/>
          <w:spacing w:val="40"/>
        </w:rPr>
        <w:t> </w:t>
      </w:r>
      <w:r>
        <w:rPr>
          <w:color w:val="231F20"/>
        </w:rPr>
        <w:t>number of samples displayed.</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Click</w:t>
      </w:r>
      <w:r>
        <w:rPr>
          <w:color w:val="231F20"/>
          <w:spacing w:val="24"/>
        </w:rPr>
        <w:t> </w:t>
      </w:r>
      <w:r>
        <w:rPr>
          <w:color w:val="231F20"/>
          <w:spacing w:val="-24"/>
          <w:position w:val="-1"/>
        </w:rPr>
        <w:drawing>
          <wp:inline distT="0" distB="0" distL="0" distR="0">
            <wp:extent cx="95250" cy="101600"/>
            <wp:effectExtent l="0" t="0" r="0" b="0"/>
            <wp:docPr id="2528" name="Image 2528"/>
            <wp:cNvGraphicFramePr>
              <a:graphicFrameLocks/>
            </wp:cNvGraphicFramePr>
            <a:graphic>
              <a:graphicData uri="http://schemas.openxmlformats.org/drawingml/2006/picture">
                <pic:pic>
                  <pic:nvPicPr>
                    <pic:cNvPr id="2528" name="Image 2528"/>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1"/>
        </w:rPr>
        <w:t> </w:t>
      </w:r>
      <w:r>
        <w:rPr>
          <w:color w:val="231F20"/>
        </w:rPr>
        <w:t>,</w:t>
      </w:r>
      <w:r>
        <w:rPr>
          <w:color w:val="231F20"/>
          <w:spacing w:val="14"/>
        </w:rPr>
        <w:t> </w:t>
      </w:r>
      <w:r>
        <w:rPr>
          <w:color w:val="231F20"/>
          <w:spacing w:val="16"/>
          <w:position w:val="-1"/>
        </w:rPr>
        <w:drawing>
          <wp:inline distT="0" distB="0" distL="0" distR="0">
            <wp:extent cx="101600" cy="95250"/>
            <wp:effectExtent l="0" t="0" r="0" b="0"/>
            <wp:docPr id="2529" name="Image 2529"/>
            <wp:cNvGraphicFramePr>
              <a:graphicFrameLocks/>
            </wp:cNvGraphicFramePr>
            <a:graphic>
              <a:graphicData uri="http://schemas.openxmlformats.org/drawingml/2006/picture">
                <pic:pic>
                  <pic:nvPicPr>
                    <pic:cNvPr id="2529" name="Image 2529"/>
                    <pic:cNvPicPr/>
                  </pic:nvPicPr>
                  <pic:blipFill>
                    <a:blip r:embed="rId45"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w:t>
      </w:r>
      <w:r>
        <w:rPr>
          <w:color w:val="231F20"/>
          <w:spacing w:val="14"/>
        </w:rPr>
        <w:t> </w:t>
      </w:r>
      <w:r>
        <w:rPr>
          <w:color w:val="231F20"/>
        </w:rPr>
        <w:t>or</w:t>
      </w:r>
      <w:r>
        <w:rPr>
          <w:color w:val="231F20"/>
          <w:spacing w:val="14"/>
        </w:rPr>
        <w:t> </w:t>
      </w:r>
      <w:r>
        <w:rPr>
          <w:color w:val="231F20"/>
          <w:spacing w:val="16"/>
          <w:position w:val="-1"/>
        </w:rPr>
        <w:drawing>
          <wp:inline distT="0" distB="0" distL="0" distR="0">
            <wp:extent cx="101599" cy="95250"/>
            <wp:effectExtent l="0" t="0" r="0" b="0"/>
            <wp:docPr id="2530" name="Image 2530"/>
            <wp:cNvGraphicFramePr>
              <a:graphicFrameLocks/>
            </wp:cNvGraphicFramePr>
            <a:graphic>
              <a:graphicData uri="http://schemas.openxmlformats.org/drawingml/2006/picture">
                <pic:pic>
                  <pic:nvPicPr>
                    <pic:cNvPr id="2530" name="Image 2530"/>
                    <pic:cNvPicPr/>
                  </pic:nvPicPr>
                  <pic:blipFill>
                    <a:blip r:embed="rId46" cstate="print"/>
                    <a:stretch>
                      <a:fillRect/>
                    </a:stretch>
                  </pic:blipFill>
                  <pic:spPr>
                    <a:xfrm>
                      <a:off x="0" y="0"/>
                      <a:ext cx="101599"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to</w:t>
      </w:r>
      <w:r>
        <w:rPr>
          <w:color w:val="231F20"/>
          <w:spacing w:val="14"/>
        </w:rPr>
        <w:t> </w:t>
      </w:r>
      <w:r>
        <w:rPr>
          <w:color w:val="231F20"/>
        </w:rPr>
        <w:t>redraw</w:t>
      </w:r>
      <w:r>
        <w:rPr>
          <w:color w:val="231F20"/>
          <w:spacing w:val="14"/>
        </w:rPr>
        <w:t> </w:t>
      </w:r>
      <w:r>
        <w:rPr>
          <w:color w:val="231F20"/>
        </w:rPr>
        <w:t>the</w:t>
      </w:r>
      <w:r>
        <w:rPr>
          <w:color w:val="231F20"/>
          <w:spacing w:val="14"/>
        </w:rPr>
        <w:t> </w:t>
      </w:r>
      <w:r>
        <w:rPr>
          <w:color w:val="231F20"/>
        </w:rPr>
        <w:t>data</w:t>
      </w:r>
      <w:r>
        <w:rPr>
          <w:color w:val="231F20"/>
          <w:spacing w:val="14"/>
        </w:rPr>
        <w:t> </w:t>
      </w:r>
      <w:r>
        <w:rPr>
          <w:color w:val="231F20"/>
        </w:rPr>
        <w:t>as</w:t>
      </w:r>
      <w:r>
        <w:rPr>
          <w:color w:val="231F20"/>
          <w:spacing w:val="14"/>
        </w:rPr>
        <w:t> </w:t>
      </w:r>
      <w:r>
        <w:rPr>
          <w:color w:val="231F20"/>
        </w:rPr>
        <w:t>a</w:t>
      </w:r>
      <w:r>
        <w:rPr>
          <w:color w:val="231F20"/>
          <w:spacing w:val="14"/>
        </w:rPr>
        <w:t> </w:t>
      </w:r>
      <w:r>
        <w:rPr>
          <w:color w:val="231F20"/>
        </w:rPr>
        <w:t>bar</w:t>
      </w:r>
      <w:r>
        <w:rPr>
          <w:color w:val="231F20"/>
          <w:spacing w:val="14"/>
        </w:rPr>
        <w:t> </w:t>
      </w:r>
      <w:r>
        <w:rPr>
          <w:color w:val="231F20"/>
        </w:rPr>
        <w:t>chart,</w:t>
      </w:r>
      <w:r>
        <w:rPr>
          <w:color w:val="231F20"/>
          <w:spacing w:val="14"/>
        </w:rPr>
        <w:t> </w:t>
      </w:r>
      <w:r>
        <w:rPr>
          <w:color w:val="231F20"/>
        </w:rPr>
        <w:t>plot</w:t>
      </w:r>
      <w:r>
        <w:rPr>
          <w:color w:val="231F20"/>
          <w:spacing w:val="14"/>
        </w:rPr>
        <w:t> </w:t>
      </w:r>
      <w:r>
        <w:rPr>
          <w:color w:val="231F20"/>
        </w:rPr>
        <w:t>chart</w:t>
      </w:r>
      <w:r>
        <w:rPr>
          <w:color w:val="231F20"/>
          <w:spacing w:val="14"/>
        </w:rPr>
        <w:t> </w:t>
      </w:r>
      <w:r>
        <w:rPr>
          <w:color w:val="231F20"/>
        </w:rPr>
        <w:t>(the</w:t>
      </w:r>
      <w:r>
        <w:rPr>
          <w:color w:val="231F20"/>
          <w:spacing w:val="14"/>
        </w:rPr>
        <w:t> </w:t>
      </w:r>
      <w:r>
        <w:rPr>
          <w:color w:val="231F20"/>
        </w:rPr>
        <w:t>default),</w:t>
      </w:r>
      <w:r>
        <w:rPr>
          <w:color w:val="231F20"/>
          <w:spacing w:val="14"/>
        </w:rPr>
        <w:t> </w:t>
      </w:r>
      <w:r>
        <w:rPr>
          <w:color w:val="231F20"/>
        </w:rPr>
        <w:t>or area chart.</w:t>
      </w:r>
    </w:p>
    <w:p>
      <w:pPr>
        <w:pStyle w:val="Heading5"/>
      </w:pPr>
      <w:r>
        <w:rPr>
          <w:color w:val="231F20"/>
          <w:spacing w:val="-2"/>
        </w:rPr>
        <w:t>Expressions</w:t>
      </w:r>
    </w:p>
    <w:p>
      <w:pPr>
        <w:pStyle w:val="BodyText"/>
        <w:spacing w:line="213" w:lineRule="auto" w:before="246"/>
        <w:ind w:left="2472"/>
      </w:pPr>
      <w:r>
        <w:rPr>
          <w:color w:val="231F20"/>
        </w:rPr>
        <w:t>This area shows the values of the current expression override, one row for each expression. Initially, these are the same values used in the reference formula (the original situation formula).</w:t>
      </w:r>
    </w:p>
    <w:p>
      <w:pPr>
        <w:pStyle w:val="BodyText"/>
        <w:tabs>
          <w:tab w:pos="3190" w:val="left" w:leader="none"/>
        </w:tabs>
        <w:spacing w:line="213" w:lineRule="auto" w:before="117"/>
        <w:ind w:left="3190" w:right="258" w:hanging="719"/>
      </w:pPr>
      <w:r>
        <w:rPr/>
        <w:drawing>
          <wp:inline distT="0" distB="0" distL="0" distR="0">
            <wp:extent cx="82550" cy="82550"/>
            <wp:effectExtent l="0" t="0" r="0" b="0"/>
            <wp:docPr id="2531" name="Image 2531"/>
            <wp:cNvGraphicFramePr>
              <a:graphicFrameLocks/>
            </wp:cNvGraphicFramePr>
            <a:graphic>
              <a:graphicData uri="http://schemas.openxmlformats.org/drawingml/2006/picture">
                <pic:pic>
                  <pic:nvPicPr>
                    <pic:cNvPr id="2531" name="Image 2531"/>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position w:val="-1"/>
        </w:rPr>
        <w:t> </w:t>
      </w:r>
      <w:r>
        <w:rPr>
          <w:rFonts w:ascii="Times New Roman"/>
          <w:spacing w:val="-14"/>
          <w:position w:val="-1"/>
        </w:rPr>
        <w:drawing>
          <wp:inline distT="0" distB="0" distL="0" distR="0">
            <wp:extent cx="95250" cy="101600"/>
            <wp:effectExtent l="0" t="0" r="0" b="0"/>
            <wp:docPr id="2532" name="Image 2532"/>
            <wp:cNvGraphicFramePr>
              <a:graphicFrameLocks/>
            </wp:cNvGraphicFramePr>
            <a:graphic>
              <a:graphicData uri="http://schemas.openxmlformats.org/drawingml/2006/picture">
                <pic:pic>
                  <pic:nvPicPr>
                    <pic:cNvPr id="2532" name="Image 2532"/>
                    <pic:cNvPicPr/>
                  </pic:nvPicPr>
                  <pic:blipFill>
                    <a:blip r:embed="rId395" cstate="print"/>
                    <a:stretch>
                      <a:fillRect/>
                    </a:stretch>
                  </pic:blipFill>
                  <pic:spPr>
                    <a:xfrm>
                      <a:off x="0" y="0"/>
                      <a:ext cx="95250" cy="101600"/>
                    </a:xfrm>
                    <a:prstGeom prst="rect">
                      <a:avLst/>
                    </a:prstGeom>
                  </pic:spPr>
                </pic:pic>
              </a:graphicData>
            </a:graphic>
          </wp:inline>
        </w:drawing>
      </w:r>
      <w:r>
        <w:rPr>
          <w:rFonts w:ascii="Times New Roman"/>
          <w:spacing w:val="-14"/>
          <w:position w:val="-1"/>
        </w:rPr>
      </w:r>
      <w:r>
        <w:rPr>
          <w:rFonts w:ascii="Times New Roman"/>
        </w:rPr>
        <w:tab/>
      </w:r>
      <w:r>
        <w:rPr>
          <w:color w:val="231F20"/>
        </w:rPr>
        <w:t>If you want to delete an expression, select the check box and click </w:t>
      </w:r>
      <w:r>
        <w:rPr>
          <w:rFonts w:ascii="Book Antiqua"/>
          <w:b/>
          <w:color w:val="231F20"/>
        </w:rPr>
        <w:t>Remove Expression</w:t>
      </w:r>
      <w:r>
        <w:rPr>
          <w:color w:val="231F20"/>
        </w:rPr>
        <w:t>. If you delete all the expressions, click </w:t>
      </w:r>
      <w:r>
        <w:rPr>
          <w:rFonts w:ascii="Book Antiqua"/>
          <w:b/>
          <w:color w:val="231F20"/>
        </w:rPr>
        <w:t>Add Expression </w:t>
      </w:r>
      <w:r>
        <w:rPr>
          <w:color w:val="231F20"/>
        </w:rPr>
        <w:t>to add the reference formula.</w:t>
      </w:r>
    </w:p>
    <w:p>
      <w:pPr>
        <w:pStyle w:val="BodyText"/>
        <w:spacing w:before="95"/>
        <w:ind w:left="3190"/>
        <w:jc w:val="both"/>
      </w:pPr>
      <w:r>
        <w:rPr>
          <w:color w:val="231F20"/>
        </w:rPr>
        <w:t>You</w:t>
      </w:r>
      <w:r>
        <w:rPr>
          <w:color w:val="231F20"/>
          <w:spacing w:val="9"/>
        </w:rPr>
        <w:t> </w:t>
      </w:r>
      <w:r>
        <w:rPr>
          <w:color w:val="231F20"/>
        </w:rPr>
        <w:t>can</w:t>
      </w:r>
      <w:r>
        <w:rPr>
          <w:color w:val="231F20"/>
          <w:spacing w:val="9"/>
        </w:rPr>
        <w:t> </w:t>
      </w:r>
      <w:r>
        <w:rPr>
          <w:color w:val="231F20"/>
        </w:rPr>
        <w:t>specify</w:t>
      </w:r>
      <w:r>
        <w:rPr>
          <w:color w:val="231F20"/>
          <w:spacing w:val="10"/>
        </w:rPr>
        <w:t> </w:t>
      </w:r>
      <w:r>
        <w:rPr>
          <w:color w:val="231F20"/>
        </w:rPr>
        <w:t>a</w:t>
      </w:r>
      <w:r>
        <w:rPr>
          <w:color w:val="231F20"/>
          <w:spacing w:val="9"/>
        </w:rPr>
        <w:t> </w:t>
      </w:r>
      <w:r>
        <w:rPr>
          <w:color w:val="231F20"/>
        </w:rPr>
        <w:t>schedule</w:t>
      </w:r>
      <w:r>
        <w:rPr>
          <w:color w:val="231F20"/>
          <w:spacing w:val="10"/>
        </w:rPr>
        <w:t> </w:t>
      </w:r>
      <w:r>
        <w:rPr>
          <w:color w:val="231F20"/>
        </w:rPr>
        <w:t>condition</w:t>
      </w:r>
      <w:r>
        <w:rPr>
          <w:color w:val="231F20"/>
          <w:spacing w:val="9"/>
        </w:rPr>
        <w:t> </w:t>
      </w:r>
      <w:r>
        <w:rPr>
          <w:color w:val="231F20"/>
        </w:rPr>
        <w:t>for</w:t>
      </w:r>
      <w:r>
        <w:rPr>
          <w:color w:val="231F20"/>
          <w:spacing w:val="9"/>
        </w:rPr>
        <w:t> </w:t>
      </w:r>
      <w:r>
        <w:rPr>
          <w:color w:val="231F20"/>
        </w:rPr>
        <w:t>an</w:t>
      </w:r>
      <w:r>
        <w:rPr>
          <w:color w:val="231F20"/>
          <w:spacing w:val="10"/>
        </w:rPr>
        <w:t> </w:t>
      </w:r>
      <w:r>
        <w:rPr>
          <w:color w:val="231F20"/>
        </w:rPr>
        <w:t>expression</w:t>
      </w:r>
      <w:r>
        <w:rPr>
          <w:color w:val="231F20"/>
          <w:spacing w:val="9"/>
        </w:rPr>
        <w:t> </w:t>
      </w:r>
      <w:r>
        <w:rPr>
          <w:color w:val="231F20"/>
        </w:rPr>
        <w:t>in</w:t>
      </w:r>
      <w:r>
        <w:rPr>
          <w:color w:val="231F20"/>
          <w:spacing w:val="10"/>
        </w:rPr>
        <w:t> </w:t>
      </w:r>
      <w:r>
        <w:rPr>
          <w:color w:val="231F20"/>
        </w:rPr>
        <w:t>two</w:t>
      </w:r>
      <w:r>
        <w:rPr>
          <w:color w:val="231F20"/>
          <w:spacing w:val="9"/>
        </w:rPr>
        <w:t> </w:t>
      </w:r>
      <w:r>
        <w:rPr>
          <w:color w:val="231F20"/>
          <w:spacing w:val="-2"/>
        </w:rPr>
        <w:t>ways:</w:t>
      </w:r>
    </w:p>
    <w:p>
      <w:pPr>
        <w:spacing w:line="213" w:lineRule="auto" w:before="53"/>
        <w:ind w:left="3406" w:right="553" w:hanging="216"/>
        <w:jc w:val="both"/>
        <w:rPr>
          <w:sz w:val="20"/>
        </w:rPr>
      </w:pPr>
      <w:r>
        <w:rPr>
          <w:rFonts w:ascii="Futura MdCn BT" w:hAnsi="Futura MdCn BT"/>
          <w:color w:val="231F20"/>
          <w:sz w:val="20"/>
        </w:rPr>
        <w:t>v</w:t>
      </w:r>
      <w:r>
        <w:rPr>
          <w:rFonts w:ascii="Futura MdCn BT" w:hAnsi="Futura MdCn BT"/>
          <w:color w:val="231F20"/>
          <w:spacing w:val="40"/>
          <w:sz w:val="20"/>
        </w:rPr>
        <w:t> </w:t>
      </w:r>
      <w:r>
        <w:rPr>
          <w:color w:val="231F20"/>
          <w:sz w:val="20"/>
        </w:rPr>
        <w:t>Select </w:t>
      </w:r>
      <w:r>
        <w:rPr>
          <w:color w:val="231F20"/>
          <w:spacing w:val="-24"/>
          <w:position w:val="-1"/>
          <w:sz w:val="20"/>
        </w:rPr>
        <w:drawing>
          <wp:inline distT="0" distB="0" distL="0" distR="0">
            <wp:extent cx="95250" cy="101600"/>
            <wp:effectExtent l="0" t="0" r="0" b="0"/>
            <wp:docPr id="2533" name="Image 2533"/>
            <wp:cNvGraphicFramePr>
              <a:graphicFrameLocks/>
            </wp:cNvGraphicFramePr>
            <a:graphic>
              <a:graphicData uri="http://schemas.openxmlformats.org/drawingml/2006/picture">
                <pic:pic>
                  <pic:nvPicPr>
                    <pic:cNvPr id="2533" name="Image 2533"/>
                    <pic:cNvPicPr/>
                  </pic:nvPicPr>
                  <pic:blipFill>
                    <a:blip r:embed="rId395"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hAnsi="Times New Roman"/>
          <w:color w:val="231F20"/>
          <w:spacing w:val="40"/>
          <w:sz w:val="20"/>
        </w:rPr>
        <w:t> </w:t>
      </w:r>
      <w:r>
        <w:rPr>
          <w:rFonts w:ascii="Book Antiqua" w:hAnsi="Book Antiqua"/>
          <w:b/>
          <w:color w:val="231F20"/>
          <w:sz w:val="20"/>
        </w:rPr>
        <w:t>Click here to assign an override schedule</w:t>
      </w:r>
      <w:r>
        <w:rPr>
          <w:color w:val="231F20"/>
          <w:sz w:val="20"/>
        </w:rPr>
        <w:t>. Select a </w:t>
      </w:r>
      <w:r>
        <w:rPr>
          <w:color w:val="231F20"/>
          <w:sz w:val="20"/>
        </w:rPr>
        <w:t>defined</w:t>
      </w:r>
      <w:r>
        <w:rPr>
          <w:color w:val="231F20"/>
          <w:sz w:val="20"/>
        </w:rPr>
        <w:t> schedule from the list or create a new schedule (see </w:t>
      </w:r>
      <w:hyperlink w:history="true" w:anchor="_bookmark224">
        <w:r>
          <w:rPr>
            <w:color w:val="231F20"/>
            <w:sz w:val="20"/>
          </w:rPr>
          <w:t>“Select Override</w:t>
        </w:r>
      </w:hyperlink>
      <w:r>
        <w:rPr>
          <w:color w:val="231F20"/>
          <w:sz w:val="20"/>
        </w:rPr>
        <w:t> </w:t>
      </w:r>
      <w:hyperlink w:history="true" w:anchor="_bookmark224">
        <w:r>
          <w:rPr>
            <w:color w:val="231F20"/>
            <w:sz w:val="20"/>
          </w:rPr>
          <w:t>Expression Schedule” on page 301).</w:t>
        </w:r>
      </w:hyperlink>
    </w:p>
    <w:p>
      <w:pPr>
        <w:pStyle w:val="BodyText"/>
        <w:spacing w:line="213" w:lineRule="auto" w:before="58"/>
        <w:ind w:left="3406" w:right="274" w:hanging="216"/>
      </w:pPr>
      <w:r>
        <w:rPr>
          <w:rFonts w:ascii="Futura MdCn BT"/>
          <w:color w:val="231F20"/>
        </w:rPr>
        <w:t>v</w:t>
      </w:r>
      <w:r>
        <w:rPr>
          <w:rFonts w:ascii="Futura MdCn BT"/>
          <w:color w:val="231F20"/>
          <w:spacing w:val="80"/>
        </w:rPr>
        <w:t> </w:t>
      </w:r>
      <w:r>
        <w:rPr>
          <w:color w:val="231F20"/>
        </w:rPr>
        <w:t>Click</w:t>
      </w:r>
      <w:r>
        <w:rPr>
          <w:color w:val="231F20"/>
          <w:spacing w:val="35"/>
        </w:rPr>
        <w:t> </w:t>
      </w:r>
      <w:r>
        <w:rPr>
          <w:color w:val="231F20"/>
          <w:spacing w:val="-24"/>
          <w:position w:val="-1"/>
        </w:rPr>
        <w:drawing>
          <wp:inline distT="0" distB="0" distL="0" distR="0">
            <wp:extent cx="95250" cy="101600"/>
            <wp:effectExtent l="0" t="0" r="0" b="0"/>
            <wp:docPr id="2534" name="Image 2534"/>
            <wp:cNvGraphicFramePr>
              <a:graphicFrameLocks/>
            </wp:cNvGraphicFramePr>
            <a:graphic>
              <a:graphicData uri="http://schemas.openxmlformats.org/drawingml/2006/picture">
                <pic:pic>
                  <pic:nvPicPr>
                    <pic:cNvPr id="2534" name="Image 2534"/>
                    <pic:cNvPicPr/>
                  </pic:nvPicPr>
                  <pic:blipFill>
                    <a:blip r:embed="rId397"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32"/>
        </w:rPr>
        <w:t> </w:t>
      </w:r>
      <w:r>
        <w:rPr>
          <w:color w:val="231F20"/>
        </w:rPr>
        <w:t>the </w:t>
      </w:r>
      <w:r>
        <w:rPr>
          <w:rFonts w:ascii="Book Antiqua"/>
          <w:b/>
          <w:color w:val="231F20"/>
        </w:rPr>
        <w:t>Select an area in the chart to create a schedule for </w:t>
      </w:r>
      <w:r>
        <w:rPr>
          <w:color w:val="231F20"/>
        </w:rPr>
        <w:t>in the</w:t>
      </w:r>
      <w:r>
        <w:rPr>
          <w:color w:val="231F20"/>
          <w:spacing w:val="40"/>
        </w:rPr>
        <w:t> </w:t>
      </w:r>
      <w:r>
        <w:rPr>
          <w:color w:val="231F20"/>
        </w:rPr>
        <w:t>toolbar.</w:t>
      </w:r>
      <w:r>
        <w:rPr>
          <w:color w:val="231F20"/>
          <w:spacing w:val="25"/>
        </w:rPr>
        <w:t> </w:t>
      </w:r>
      <w:r>
        <w:rPr>
          <w:color w:val="231F20"/>
        </w:rPr>
        <w:t>Drag</w:t>
      </w:r>
      <w:r>
        <w:rPr>
          <w:color w:val="231F20"/>
          <w:spacing w:val="25"/>
        </w:rPr>
        <w:t> </w:t>
      </w:r>
      <w:r>
        <w:rPr>
          <w:color w:val="231F20"/>
        </w:rPr>
        <w:t>the</w:t>
      </w:r>
      <w:r>
        <w:rPr>
          <w:color w:val="231F20"/>
          <w:spacing w:val="25"/>
        </w:rPr>
        <w:t> </w:t>
      </w:r>
      <w:r>
        <w:rPr>
          <w:color w:val="231F20"/>
        </w:rPr>
        <w:t>mouse</w:t>
      </w:r>
      <w:r>
        <w:rPr>
          <w:color w:val="231F20"/>
          <w:spacing w:val="25"/>
        </w:rPr>
        <w:t> </w:t>
      </w:r>
      <w:r>
        <w:rPr>
          <w:color w:val="231F20"/>
        </w:rPr>
        <w:t>from</w:t>
      </w:r>
      <w:r>
        <w:rPr>
          <w:color w:val="231F20"/>
          <w:spacing w:val="25"/>
        </w:rPr>
        <w:t> </w:t>
      </w:r>
      <w:r>
        <w:rPr>
          <w:color w:val="231F20"/>
        </w:rPr>
        <w:t>left</w:t>
      </w:r>
      <w:r>
        <w:rPr>
          <w:color w:val="231F20"/>
          <w:spacing w:val="25"/>
        </w:rPr>
        <w:t> </w:t>
      </w:r>
      <w:r>
        <w:rPr>
          <w:color w:val="231F20"/>
        </w:rPr>
        <w:t>to</w:t>
      </w:r>
      <w:r>
        <w:rPr>
          <w:color w:val="231F20"/>
          <w:spacing w:val="25"/>
        </w:rPr>
        <w:t> </w:t>
      </w:r>
      <w:r>
        <w:rPr>
          <w:color w:val="231F20"/>
        </w:rPr>
        <w:t>right</w:t>
      </w:r>
      <w:r>
        <w:rPr>
          <w:color w:val="231F20"/>
          <w:spacing w:val="25"/>
        </w:rPr>
        <w:t> </w:t>
      </w:r>
      <w:r>
        <w:rPr>
          <w:color w:val="231F20"/>
        </w:rPr>
        <w:t>or</w:t>
      </w:r>
      <w:r>
        <w:rPr>
          <w:color w:val="231F20"/>
          <w:spacing w:val="25"/>
        </w:rPr>
        <w:t> </w:t>
      </w:r>
      <w:r>
        <w:rPr>
          <w:color w:val="231F20"/>
        </w:rPr>
        <w:t>from</w:t>
      </w:r>
      <w:r>
        <w:rPr>
          <w:color w:val="231F20"/>
          <w:spacing w:val="25"/>
        </w:rPr>
        <w:t> </w:t>
      </w:r>
      <w:r>
        <w:rPr>
          <w:color w:val="231F20"/>
        </w:rPr>
        <w:t>right</w:t>
      </w:r>
      <w:r>
        <w:rPr>
          <w:color w:val="231F20"/>
          <w:spacing w:val="25"/>
        </w:rPr>
        <w:t> </w:t>
      </w:r>
      <w:r>
        <w:rPr>
          <w:color w:val="231F20"/>
        </w:rPr>
        <w:t>to</w:t>
      </w:r>
      <w:r>
        <w:rPr>
          <w:color w:val="231F20"/>
          <w:spacing w:val="25"/>
        </w:rPr>
        <w:t> </w:t>
      </w:r>
      <w:r>
        <w:rPr>
          <w:color w:val="231F20"/>
        </w:rPr>
        <w:t>left</w:t>
      </w:r>
      <w:r>
        <w:rPr>
          <w:color w:val="231F20"/>
          <w:spacing w:val="25"/>
        </w:rPr>
        <w:t> </w:t>
      </w:r>
      <w:r>
        <w:rPr>
          <w:color w:val="231F20"/>
        </w:rPr>
        <w:t>to highlight</w:t>
      </w:r>
      <w:r>
        <w:rPr>
          <w:color w:val="231F20"/>
          <w:spacing w:val="30"/>
        </w:rPr>
        <w:t> </w:t>
      </w:r>
      <w:r>
        <w:rPr>
          <w:color w:val="231F20"/>
        </w:rPr>
        <w:t>the</w:t>
      </w:r>
      <w:r>
        <w:rPr>
          <w:color w:val="231F20"/>
          <w:spacing w:val="30"/>
        </w:rPr>
        <w:t> </w:t>
      </w:r>
      <w:r>
        <w:rPr>
          <w:color w:val="231F20"/>
        </w:rPr>
        <w:t>time</w:t>
      </w:r>
      <w:r>
        <w:rPr>
          <w:color w:val="231F20"/>
          <w:spacing w:val="30"/>
        </w:rPr>
        <w:t> </w:t>
      </w:r>
      <w:r>
        <w:rPr>
          <w:color w:val="231F20"/>
        </w:rPr>
        <w:t>range</w:t>
      </w:r>
      <w:r>
        <w:rPr>
          <w:color w:val="231F20"/>
          <w:spacing w:val="30"/>
        </w:rPr>
        <w:t> </w:t>
      </w:r>
      <w:r>
        <w:rPr>
          <w:color w:val="231F20"/>
        </w:rPr>
        <w:t>when</w:t>
      </w:r>
      <w:r>
        <w:rPr>
          <w:color w:val="231F20"/>
          <w:spacing w:val="30"/>
        </w:rPr>
        <w:t> </w:t>
      </w:r>
      <w:r>
        <w:rPr>
          <w:color w:val="231F20"/>
        </w:rPr>
        <w:t>the</w:t>
      </w:r>
      <w:r>
        <w:rPr>
          <w:color w:val="231F20"/>
          <w:spacing w:val="30"/>
        </w:rPr>
        <w:t> </w:t>
      </w:r>
      <w:r>
        <w:rPr>
          <w:color w:val="231F20"/>
        </w:rPr>
        <w:t>schedule</w:t>
      </w:r>
      <w:r>
        <w:rPr>
          <w:color w:val="231F20"/>
          <w:spacing w:val="30"/>
        </w:rPr>
        <w:t> </w:t>
      </w:r>
      <w:r>
        <w:rPr>
          <w:color w:val="231F20"/>
        </w:rPr>
        <w:t>should</w:t>
      </w:r>
      <w:r>
        <w:rPr>
          <w:color w:val="231F20"/>
          <w:spacing w:val="30"/>
        </w:rPr>
        <w:t> </w:t>
      </w:r>
      <w:r>
        <w:rPr>
          <w:color w:val="231F20"/>
        </w:rPr>
        <w:t>run. After</w:t>
      </w:r>
      <w:r>
        <w:rPr>
          <w:color w:val="231F20"/>
          <w:spacing w:val="30"/>
        </w:rPr>
        <w:t> </w:t>
      </w:r>
      <w:r>
        <w:rPr>
          <w:color w:val="231F20"/>
        </w:rPr>
        <w:t>you release the mouse button, a new expression row is added with a daily schedule defined for that time period, which is expressed on the chart </w:t>
      </w:r>
      <w:r>
        <w:rPr>
          <w:color w:val="231F20"/>
        </w:rPr>
        <w:t>as</w:t>
      </w:r>
      <w:r>
        <w:rPr>
          <w:color w:val="231F20"/>
          <w:spacing w:val="80"/>
        </w:rPr>
        <w:t> </w:t>
      </w:r>
      <w:r>
        <w:rPr>
          <w:color w:val="231F20"/>
        </w:rPr>
        <w:t>a shaded area. (See example.)</w:t>
      </w:r>
    </w:p>
    <w:p>
      <w:pPr>
        <w:pStyle w:val="BodyText"/>
        <w:spacing w:line="213" w:lineRule="auto" w:before="115"/>
        <w:ind w:left="3190" w:right="258"/>
      </w:pPr>
      <w:r>
        <w:rPr>
          <w:color w:val="231F20"/>
        </w:rPr>
        <w:t>A defined schedule is indicated by</w:t>
      </w:r>
      <w:r>
        <w:rPr>
          <w:color w:val="231F20"/>
          <w:spacing w:val="24"/>
        </w:rPr>
        <w:t> </w:t>
      </w:r>
      <w:r>
        <w:rPr>
          <w:color w:val="231F20"/>
          <w:spacing w:val="-24"/>
          <w:position w:val="-1"/>
        </w:rPr>
        <w:drawing>
          <wp:inline distT="0" distB="0" distL="0" distR="0">
            <wp:extent cx="95250" cy="101600"/>
            <wp:effectExtent l="0" t="0" r="0" b="0"/>
            <wp:docPr id="2535" name="Image 2535"/>
            <wp:cNvGraphicFramePr>
              <a:graphicFrameLocks/>
            </wp:cNvGraphicFramePr>
            <a:graphic>
              <a:graphicData uri="http://schemas.openxmlformats.org/drawingml/2006/picture">
                <pic:pic>
                  <pic:nvPicPr>
                    <pic:cNvPr id="2535" name="Image 2535"/>
                    <pic:cNvPicPr/>
                  </pic:nvPicPr>
                  <pic:blipFill>
                    <a:blip r:embed="rId396"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for a schedule that runs on specific days</w:t>
      </w:r>
      <w:r>
        <w:rPr>
          <w:color w:val="231F20"/>
          <w:spacing w:val="12"/>
        </w:rPr>
        <w:t> </w:t>
      </w:r>
      <w:r>
        <w:rPr>
          <w:color w:val="231F20"/>
        </w:rPr>
        <w:t>or</w:t>
      </w:r>
      <w:r>
        <w:rPr>
          <w:color w:val="231F20"/>
          <w:spacing w:val="22"/>
        </w:rPr>
        <w:t> </w:t>
      </w:r>
      <w:r>
        <w:rPr>
          <w:color w:val="231F20"/>
          <w:spacing w:val="-24"/>
          <w:position w:val="-1"/>
        </w:rPr>
        <w:drawing>
          <wp:inline distT="0" distB="0" distL="0" distR="0">
            <wp:extent cx="95250" cy="101600"/>
            <wp:effectExtent l="0" t="0" r="0" b="0"/>
            <wp:docPr id="2536" name="Image 2536"/>
            <wp:cNvGraphicFramePr>
              <a:graphicFrameLocks/>
            </wp:cNvGraphicFramePr>
            <a:graphic>
              <a:graphicData uri="http://schemas.openxmlformats.org/drawingml/2006/picture">
                <pic:pic>
                  <pic:nvPicPr>
                    <pic:cNvPr id="2536" name="Image 2536"/>
                    <pic:cNvPicPr/>
                  </pic:nvPicPr>
                  <pic:blipFill>
                    <a:blip r:embed="rId397"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56"/>
          <w:w w:val="150"/>
        </w:rPr>
        <w:t> </w:t>
      </w:r>
      <w:r>
        <w:rPr>
          <w:color w:val="231F20"/>
        </w:rPr>
        <w:t>for</w:t>
      </w:r>
      <w:r>
        <w:rPr>
          <w:color w:val="231F20"/>
          <w:spacing w:val="12"/>
        </w:rPr>
        <w:t> </w:t>
      </w:r>
      <w:r>
        <w:rPr>
          <w:color w:val="231F20"/>
        </w:rPr>
        <w:t>a</w:t>
      </w:r>
      <w:r>
        <w:rPr>
          <w:color w:val="231F20"/>
          <w:spacing w:val="13"/>
        </w:rPr>
        <w:t> </w:t>
      </w:r>
      <w:r>
        <w:rPr>
          <w:color w:val="231F20"/>
        </w:rPr>
        <w:t>schedule</w:t>
      </w:r>
      <w:r>
        <w:rPr>
          <w:color w:val="231F20"/>
          <w:spacing w:val="12"/>
        </w:rPr>
        <w:t> </w:t>
      </w:r>
      <w:r>
        <w:rPr>
          <w:color w:val="231F20"/>
        </w:rPr>
        <w:t>that</w:t>
      </w:r>
      <w:r>
        <w:rPr>
          <w:color w:val="231F20"/>
          <w:spacing w:val="12"/>
        </w:rPr>
        <w:t> </w:t>
      </w:r>
      <w:r>
        <w:rPr>
          <w:color w:val="231F20"/>
        </w:rPr>
        <w:t>runs</w:t>
      </w:r>
      <w:r>
        <w:rPr>
          <w:color w:val="231F20"/>
          <w:spacing w:val="13"/>
        </w:rPr>
        <w:t> </w:t>
      </w:r>
      <w:r>
        <w:rPr>
          <w:color w:val="231F20"/>
        </w:rPr>
        <w:t>daily</w:t>
      </w:r>
      <w:r>
        <w:rPr>
          <w:color w:val="231F20"/>
          <w:spacing w:val="12"/>
        </w:rPr>
        <w:t> </w:t>
      </w:r>
      <w:r>
        <w:rPr>
          <w:color w:val="231F20"/>
        </w:rPr>
        <w:t>within</w:t>
      </w:r>
      <w:r>
        <w:rPr>
          <w:color w:val="231F20"/>
          <w:spacing w:val="13"/>
        </w:rPr>
        <w:t> </w:t>
      </w:r>
      <w:r>
        <w:rPr>
          <w:color w:val="231F20"/>
        </w:rPr>
        <w:t>the</w:t>
      </w:r>
      <w:r>
        <w:rPr>
          <w:color w:val="231F20"/>
          <w:spacing w:val="12"/>
        </w:rPr>
        <w:t> </w:t>
      </w:r>
      <w:r>
        <w:rPr>
          <w:color w:val="231F20"/>
        </w:rPr>
        <w:t>specified</w:t>
      </w:r>
      <w:r>
        <w:rPr>
          <w:color w:val="231F20"/>
          <w:spacing w:val="12"/>
        </w:rPr>
        <w:t> </w:t>
      </w:r>
      <w:r>
        <w:rPr>
          <w:color w:val="231F20"/>
        </w:rPr>
        <w:t>time</w:t>
      </w:r>
      <w:r>
        <w:rPr>
          <w:color w:val="231F20"/>
          <w:spacing w:val="13"/>
        </w:rPr>
        <w:t> </w:t>
      </w:r>
      <w:r>
        <w:rPr>
          <w:color w:val="231F20"/>
          <w:spacing w:val="-2"/>
        </w:rPr>
        <w:t>period.</w:t>
      </w:r>
    </w:p>
    <w:p>
      <w:pPr>
        <w:pStyle w:val="Heading6"/>
      </w:pPr>
      <w:r>
        <w:rPr>
          <w:color w:val="231F20"/>
        </w:rPr>
        <w:t>Column</w:t>
      </w:r>
      <w:r>
        <w:rPr>
          <w:color w:val="231F20"/>
          <w:spacing w:val="8"/>
        </w:rPr>
        <w:t> </w:t>
      </w:r>
      <w:r>
        <w:rPr>
          <w:color w:val="231F20"/>
          <w:spacing w:val="-2"/>
        </w:rPr>
        <w:t>headings</w:t>
      </w:r>
    </w:p>
    <w:p>
      <w:pPr>
        <w:pStyle w:val="BodyText"/>
        <w:spacing w:line="213" w:lineRule="auto" w:before="12"/>
        <w:ind w:left="3190" w:right="258"/>
      </w:pPr>
      <w:r>
        <w:rPr>
          <w:color w:val="231F20"/>
        </w:rPr>
        <w:t>These are the names of the attributes referenced in the situation. Any attributes on the left side of the divider are designated as display items </w:t>
      </w:r>
      <w:r>
        <w:rPr>
          <w:color w:val="231F20"/>
        </w:rPr>
        <w:t>for</w:t>
      </w:r>
    </w:p>
    <w:p>
      <w:pPr>
        <w:spacing w:after="0" w:line="213" w:lineRule="auto"/>
        <w:sectPr>
          <w:pgSz w:w="12240" w:h="15840"/>
          <w:pgMar w:header="0" w:footer="736" w:top="1460" w:bottom="920" w:left="1000" w:right="1060"/>
        </w:sectPr>
      </w:pPr>
    </w:p>
    <w:p>
      <w:pPr>
        <w:pStyle w:val="BodyText"/>
        <w:spacing w:line="213" w:lineRule="auto" w:before="85"/>
        <w:ind w:left="2951" w:right="545"/>
      </w:pPr>
      <w:r>
        <w:rPr>
          <w:color w:val="231F20"/>
        </w:rPr>
        <w:t>the situation and can be used as an override condition. The override expression is applied only when the comparisons you specify are true. </w:t>
      </w:r>
      <w:r>
        <w:rPr>
          <w:color w:val="231F20"/>
        </w:rPr>
        <w:t>The attribute on the right side of the divider are the comparison values for the expression being modeled. These values are used instead of those in the reference formula when the override condition is true, or if no override condition is set.</w:t>
      </w:r>
    </w:p>
    <w:p>
      <w:pPr>
        <w:pStyle w:val="BodyText"/>
        <w:spacing w:line="213" w:lineRule="auto" w:before="115"/>
        <w:ind w:left="2951" w:right="545"/>
      </w:pPr>
      <w:r>
        <w:rPr>
          <w:color w:val="231F20"/>
        </w:rPr>
        <w:t>Click inside a comparison value cell on the right side of the divider to </w:t>
      </w:r>
      <w:r>
        <w:rPr>
          <w:color w:val="231F20"/>
        </w:rPr>
        <w:t>see only that attribute plotted on the chart and to edit the value.</w:t>
      </w:r>
    </w:p>
    <w:p>
      <w:pPr>
        <w:pStyle w:val="BodyText"/>
        <w:spacing w:line="211" w:lineRule="auto" w:before="126"/>
        <w:ind w:left="2951" w:right="493"/>
      </w:pPr>
      <w:r>
        <w:rPr>
          <w:color w:val="231F20"/>
        </w:rPr>
        <w:t>After you edit a value and press Enter, the cell has a </w:t>
      </w:r>
      <w:r>
        <w:rPr>
          <w:color w:val="231F20"/>
          <w:spacing w:val="15"/>
        </w:rPr>
        <w:drawing>
          <wp:inline distT="0" distB="0" distL="0" distR="0">
            <wp:extent cx="82550" cy="82550"/>
            <wp:effectExtent l="0" t="0" r="0" b="0"/>
            <wp:docPr id="2537" name="Image 2537"/>
            <wp:cNvGraphicFramePr>
              <a:graphicFrameLocks/>
            </wp:cNvGraphicFramePr>
            <a:graphic>
              <a:graphicData uri="http://schemas.openxmlformats.org/drawingml/2006/picture">
                <pic:pic>
                  <pic:nvPicPr>
                    <pic:cNvPr id="2537" name="Image 2537"/>
                    <pic:cNvPicPr/>
                  </pic:nvPicPr>
                  <pic:blipFill>
                    <a:blip r:embed="rId404"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9"/>
        </w:rPr>
        <w:t> </w:t>
      </w:r>
      <w:r>
        <w:rPr>
          <w:color w:val="231F20"/>
        </w:rPr>
        <w:t>blue background to indicate it has changed from the original value. A line is drawn across the chart to represent the current comparison value. A shaded region appears above</w:t>
      </w:r>
      <w:r>
        <w:rPr>
          <w:color w:val="231F20"/>
          <w:spacing w:val="28"/>
        </w:rPr>
        <w:t> </w:t>
      </w:r>
      <w:r>
        <w:rPr>
          <w:color w:val="231F20"/>
        </w:rPr>
        <w:t>or</w:t>
      </w:r>
      <w:r>
        <w:rPr>
          <w:color w:val="231F20"/>
          <w:spacing w:val="28"/>
        </w:rPr>
        <w:t> </w:t>
      </w:r>
      <w:r>
        <w:rPr>
          <w:color w:val="231F20"/>
        </w:rPr>
        <w:t>below</w:t>
      </w:r>
      <w:r>
        <w:rPr>
          <w:color w:val="231F20"/>
          <w:spacing w:val="28"/>
        </w:rPr>
        <w:t> </w:t>
      </w:r>
      <w:r>
        <w:rPr>
          <w:color w:val="231F20"/>
        </w:rPr>
        <w:t>this</w:t>
      </w:r>
      <w:r>
        <w:rPr>
          <w:color w:val="231F20"/>
          <w:spacing w:val="28"/>
        </w:rPr>
        <w:t> </w:t>
      </w:r>
      <w:r>
        <w:rPr>
          <w:color w:val="231F20"/>
        </w:rPr>
        <w:t>marker</w:t>
      </w:r>
      <w:r>
        <w:rPr>
          <w:color w:val="231F20"/>
          <w:spacing w:val="28"/>
        </w:rPr>
        <w:t> </w:t>
      </w:r>
      <w:r>
        <w:rPr>
          <w:color w:val="231F20"/>
        </w:rPr>
        <w:t>line</w:t>
      </w:r>
      <w:r>
        <w:rPr>
          <w:color w:val="231F20"/>
          <w:spacing w:val="28"/>
        </w:rPr>
        <w:t> </w:t>
      </w:r>
      <w:r>
        <w:rPr>
          <w:color w:val="231F20"/>
        </w:rPr>
        <w:t>if</w:t>
      </w:r>
      <w:r>
        <w:rPr>
          <w:color w:val="231F20"/>
          <w:spacing w:val="28"/>
        </w:rPr>
        <w:t> </w:t>
      </w:r>
      <w:r>
        <w:rPr>
          <w:color w:val="231F20"/>
        </w:rPr>
        <w:t>the</w:t>
      </w:r>
      <w:r>
        <w:rPr>
          <w:color w:val="231F20"/>
          <w:spacing w:val="28"/>
        </w:rPr>
        <w:t> </w:t>
      </w:r>
      <w:r>
        <w:rPr>
          <w:color w:val="231F20"/>
        </w:rPr>
        <w:t>relational</w:t>
      </w:r>
      <w:r>
        <w:rPr>
          <w:color w:val="231F20"/>
          <w:spacing w:val="28"/>
        </w:rPr>
        <w:t> </w:t>
      </w:r>
      <w:r>
        <w:rPr>
          <w:color w:val="231F20"/>
        </w:rPr>
        <w:t>operator</w:t>
      </w:r>
      <w:r>
        <w:rPr>
          <w:color w:val="231F20"/>
          <w:spacing w:val="28"/>
        </w:rPr>
        <w:t> </w:t>
      </w:r>
      <w:r>
        <w:rPr>
          <w:color w:val="231F20"/>
        </w:rPr>
        <w:t>represents</w:t>
      </w:r>
      <w:r>
        <w:rPr>
          <w:color w:val="231F20"/>
          <w:spacing w:val="28"/>
        </w:rPr>
        <w:t> </w:t>
      </w:r>
      <w:r>
        <w:rPr>
          <w:color w:val="231F20"/>
        </w:rPr>
        <w:t>a range</w:t>
      </w:r>
      <w:r>
        <w:rPr>
          <w:color w:val="231F20"/>
          <w:spacing w:val="40"/>
        </w:rPr>
        <w:t> </w:t>
      </w:r>
      <w:r>
        <w:rPr>
          <w:color w:val="231F20"/>
        </w:rPr>
        <w:t>of</w:t>
      </w:r>
      <w:r>
        <w:rPr>
          <w:color w:val="231F20"/>
          <w:spacing w:val="40"/>
        </w:rPr>
        <w:t> </w:t>
      </w:r>
      <w:r>
        <w:rPr>
          <w:color w:val="231F20"/>
        </w:rPr>
        <w:t>trigger</w:t>
      </w:r>
      <w:r>
        <w:rPr>
          <w:color w:val="231F20"/>
          <w:spacing w:val="40"/>
        </w:rPr>
        <w:t> </w:t>
      </w:r>
      <w:r>
        <w:rPr>
          <w:color w:val="231F20"/>
        </w:rPr>
        <w:t>values</w:t>
      </w:r>
      <w:r>
        <w:rPr>
          <w:color w:val="231F20"/>
          <w:spacing w:val="40"/>
        </w:rPr>
        <w:t> </w:t>
      </w:r>
      <w:r>
        <w:rPr>
          <w:color w:val="231F20"/>
        </w:rPr>
        <w:t>(&gt;,</w:t>
      </w:r>
      <w:r>
        <w:rPr>
          <w:color w:val="231F20"/>
          <w:spacing w:val="40"/>
        </w:rPr>
        <w:t> </w:t>
      </w:r>
      <w:r>
        <w:rPr>
          <w:color w:val="231F20"/>
        </w:rPr>
        <w:t>&gt;=,</w:t>
      </w:r>
      <w:r>
        <w:rPr>
          <w:color w:val="231F20"/>
          <w:spacing w:val="40"/>
        </w:rPr>
        <w:t> </w:t>
      </w:r>
      <w:r>
        <w:rPr>
          <w:color w:val="231F20"/>
        </w:rPr>
        <w:t>&lt;,</w:t>
      </w:r>
      <w:r>
        <w:rPr>
          <w:color w:val="231F20"/>
          <w:spacing w:val="40"/>
        </w:rPr>
        <w:t> </w:t>
      </w:r>
      <w:r>
        <w:rPr>
          <w:color w:val="231F20"/>
        </w:rPr>
        <w:t>&lt;=).</w:t>
      </w:r>
    </w:p>
    <w:p>
      <w:pPr>
        <w:pStyle w:val="BodyText"/>
        <w:spacing w:line="213" w:lineRule="auto" w:before="123"/>
        <w:ind w:left="2951" w:right="763"/>
      </w:pPr>
      <w:r>
        <w:rPr>
          <w:color w:val="231F20"/>
        </w:rPr>
        <w:t>If you click inside a blue cell and change the value, it is plotted in the</w:t>
      </w:r>
      <w:r>
        <w:rPr>
          <w:color w:val="231F20"/>
          <w:spacing w:val="40"/>
        </w:rPr>
        <w:t> </w:t>
      </w:r>
      <w:r>
        <w:rPr>
          <w:color w:val="231F20"/>
        </w:rPr>
        <w:t>chart automatically. This enables you to fine tune a threshold value </w:t>
      </w:r>
      <w:r>
        <w:rPr>
          <w:color w:val="231F20"/>
        </w:rPr>
        <w:t>and observe the affected values in the chart.</w:t>
      </w:r>
    </w:p>
    <w:p>
      <w:pPr>
        <w:pStyle w:val="BodyText"/>
        <w:spacing w:line="213" w:lineRule="auto" w:before="117"/>
        <w:ind w:left="2951" w:right="385"/>
      </w:pPr>
      <w:r>
        <w:rPr>
          <w:color w:val="231F20"/>
        </w:rPr>
        <w:t>If you click another object (such as a Time Span or Function field) while </w:t>
      </w:r>
      <w:r>
        <w:rPr>
          <w:color w:val="231F20"/>
        </w:rPr>
        <w:t>an attribute</w:t>
      </w:r>
      <w:r>
        <w:rPr>
          <w:color w:val="231F20"/>
          <w:spacing w:val="25"/>
        </w:rPr>
        <w:t> </w:t>
      </w:r>
      <w:r>
        <w:rPr>
          <w:color w:val="231F20"/>
        </w:rPr>
        <w:t>cell</w:t>
      </w:r>
      <w:r>
        <w:rPr>
          <w:color w:val="231F20"/>
          <w:spacing w:val="25"/>
        </w:rPr>
        <w:t> </w:t>
      </w:r>
      <w:r>
        <w:rPr>
          <w:color w:val="231F20"/>
        </w:rPr>
        <w:t>is</w:t>
      </w:r>
      <w:r>
        <w:rPr>
          <w:color w:val="231F20"/>
          <w:spacing w:val="25"/>
        </w:rPr>
        <w:t> </w:t>
      </w:r>
      <w:r>
        <w:rPr>
          <w:color w:val="231F20"/>
        </w:rPr>
        <w:t>active,</w:t>
      </w:r>
      <w:r>
        <w:rPr>
          <w:color w:val="231F20"/>
          <w:spacing w:val="25"/>
        </w:rPr>
        <w:t> </w:t>
      </w:r>
      <w:r>
        <w:rPr>
          <w:color w:val="231F20"/>
        </w:rPr>
        <w:t>the</w:t>
      </w:r>
      <w:r>
        <w:rPr>
          <w:color w:val="231F20"/>
          <w:spacing w:val="25"/>
        </w:rPr>
        <w:t> </w:t>
      </w:r>
      <w:r>
        <w:rPr>
          <w:color w:val="231F20"/>
        </w:rPr>
        <w:t>cell</w:t>
      </w:r>
      <w:r>
        <w:rPr>
          <w:color w:val="231F20"/>
          <w:spacing w:val="25"/>
        </w:rPr>
        <w:t> </w:t>
      </w:r>
      <w:r>
        <w:rPr>
          <w:color w:val="231F20"/>
        </w:rPr>
        <w:t>is</w:t>
      </w:r>
      <w:r>
        <w:rPr>
          <w:color w:val="231F20"/>
          <w:spacing w:val="25"/>
        </w:rPr>
        <w:t> </w:t>
      </w:r>
      <w:r>
        <w:rPr>
          <w:color w:val="231F20"/>
        </w:rPr>
        <w:t>highlighted</w:t>
      </w:r>
      <w:r>
        <w:rPr>
          <w:color w:val="231F20"/>
          <w:spacing w:val="25"/>
        </w:rPr>
        <w:t> </w:t>
      </w:r>
      <w:r>
        <w:rPr>
          <w:color w:val="231F20"/>
        </w:rPr>
        <w:t>in</w:t>
      </w:r>
      <w:r>
        <w:rPr>
          <w:color w:val="231F20"/>
          <w:spacing w:val="15"/>
        </w:rPr>
        <w:t> </w:t>
      </w:r>
      <w:r>
        <w:rPr>
          <w:color w:val="231F20"/>
          <w:spacing w:val="15"/>
        </w:rPr>
        <w:drawing>
          <wp:inline distT="0" distB="0" distL="0" distR="0">
            <wp:extent cx="82550" cy="82550"/>
            <wp:effectExtent l="0" t="0" r="0" b="0"/>
            <wp:docPr id="2538" name="Image 2538"/>
            <wp:cNvGraphicFramePr>
              <a:graphicFrameLocks/>
            </wp:cNvGraphicFramePr>
            <a:graphic>
              <a:graphicData uri="http://schemas.openxmlformats.org/drawingml/2006/picture">
                <pic:pic>
                  <pic:nvPicPr>
                    <pic:cNvPr id="2538" name="Image 2538"/>
                    <pic:cNvPicPr/>
                  </pic:nvPicPr>
                  <pic:blipFill>
                    <a:blip r:embed="rId405"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rPr>
        <w:t> </w:t>
      </w:r>
      <w:r>
        <w:rPr>
          <w:color w:val="231F20"/>
        </w:rPr>
        <w:t>yellow.</w:t>
      </w:r>
      <w:r>
        <w:rPr>
          <w:color w:val="231F20"/>
          <w:spacing w:val="25"/>
        </w:rPr>
        <w:t> </w:t>
      </w:r>
      <w:r>
        <w:rPr>
          <w:color w:val="231F20"/>
        </w:rPr>
        <w:t>If</w:t>
      </w:r>
      <w:r>
        <w:rPr>
          <w:color w:val="231F20"/>
          <w:spacing w:val="25"/>
        </w:rPr>
        <w:t> </w:t>
      </w:r>
      <w:r>
        <w:rPr>
          <w:color w:val="231F20"/>
        </w:rPr>
        <w:t>you</w:t>
      </w:r>
      <w:r>
        <w:rPr>
          <w:color w:val="231F20"/>
          <w:spacing w:val="25"/>
        </w:rPr>
        <w:t> </w:t>
      </w:r>
      <w:r>
        <w:rPr>
          <w:color w:val="231F20"/>
        </w:rPr>
        <w:t>click</w:t>
      </w:r>
      <w:r>
        <w:rPr>
          <w:color w:val="231F20"/>
          <w:spacing w:val="25"/>
        </w:rPr>
        <w:t> </w:t>
      </w:r>
      <w:r>
        <w:rPr>
          <w:color w:val="231F20"/>
        </w:rPr>
        <w:t>a point</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chart</w:t>
      </w:r>
      <w:r>
        <w:rPr>
          <w:color w:val="231F20"/>
          <w:spacing w:val="22"/>
        </w:rPr>
        <w:t> </w:t>
      </w:r>
      <w:r>
        <w:rPr>
          <w:color w:val="231F20"/>
        </w:rPr>
        <w:t>area,</w:t>
      </w:r>
      <w:r>
        <w:rPr>
          <w:color w:val="231F20"/>
          <w:spacing w:val="22"/>
        </w:rPr>
        <w:t> </w:t>
      </w:r>
      <w:r>
        <w:rPr>
          <w:color w:val="231F20"/>
        </w:rPr>
        <w:t>the</w:t>
      </w:r>
      <w:r>
        <w:rPr>
          <w:color w:val="231F20"/>
          <w:spacing w:val="22"/>
        </w:rPr>
        <w:t> </w:t>
      </w:r>
      <w:r>
        <w:rPr>
          <w:color w:val="231F20"/>
        </w:rPr>
        <w:t>value</w:t>
      </w:r>
      <w:r>
        <w:rPr>
          <w:color w:val="231F20"/>
          <w:spacing w:val="22"/>
        </w:rPr>
        <w:t> </w:t>
      </w:r>
      <w:r>
        <w:rPr>
          <w:color w:val="231F20"/>
        </w:rPr>
        <w:t>where</w:t>
      </w:r>
      <w:r>
        <w:rPr>
          <w:color w:val="231F20"/>
          <w:spacing w:val="22"/>
        </w:rPr>
        <w:t> </w:t>
      </w:r>
      <w:r>
        <w:rPr>
          <w:color w:val="231F20"/>
        </w:rPr>
        <w:t>you</w:t>
      </w:r>
      <w:r>
        <w:rPr>
          <w:color w:val="231F20"/>
          <w:spacing w:val="22"/>
        </w:rPr>
        <w:t> </w:t>
      </w:r>
      <w:r>
        <w:rPr>
          <w:color w:val="231F20"/>
        </w:rPr>
        <w:t>clicked</w:t>
      </w:r>
      <w:r>
        <w:rPr>
          <w:color w:val="231F20"/>
          <w:spacing w:val="22"/>
        </w:rPr>
        <w:t> </w:t>
      </w:r>
      <w:r>
        <w:rPr>
          <w:color w:val="231F20"/>
        </w:rPr>
        <w:t>is</w:t>
      </w:r>
      <w:r>
        <w:rPr>
          <w:color w:val="231F20"/>
          <w:spacing w:val="22"/>
        </w:rPr>
        <w:t> </w:t>
      </w:r>
      <w:r>
        <w:rPr>
          <w:color w:val="231F20"/>
        </w:rPr>
        <w:t>inserted</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cell.</w:t>
      </w:r>
    </w:p>
    <w:p>
      <w:pPr>
        <w:pStyle w:val="Heading5"/>
        <w:ind w:left="2232"/>
      </w:pPr>
      <w:r>
        <w:rPr>
          <w:color w:val="231F20"/>
          <w:spacing w:val="-2"/>
        </w:rPr>
        <w:t>Functions</w:t>
      </w:r>
    </w:p>
    <w:p>
      <w:pPr>
        <w:pStyle w:val="BodyText"/>
        <w:spacing w:line="213" w:lineRule="auto" w:before="246"/>
        <w:ind w:left="2232" w:right="636"/>
      </w:pPr>
      <w:r>
        <w:rPr>
          <w:color w:val="231F20"/>
        </w:rPr>
        <w:t>This area is displayed when the attribute group used in the situation has historically collected values. Click a cell in the </w:t>
      </w:r>
      <w:r>
        <w:rPr>
          <w:rFonts w:ascii="Book Antiqua"/>
          <w:b/>
          <w:color w:val="231F20"/>
        </w:rPr>
        <w:t>Expressions </w:t>
      </w:r>
      <w:r>
        <w:rPr>
          <w:color w:val="231F20"/>
        </w:rPr>
        <w:t>area to enable </w:t>
      </w:r>
      <w:r>
        <w:rPr>
          <w:color w:val="231F20"/>
        </w:rPr>
        <w:t>the </w:t>
      </w:r>
      <w:r>
        <w:rPr>
          <w:rFonts w:ascii="Book Antiqua"/>
          <w:b/>
          <w:color w:val="231F20"/>
        </w:rPr>
        <w:t>Functions </w:t>
      </w:r>
      <w:r>
        <w:rPr>
          <w:color w:val="231F20"/>
        </w:rPr>
        <w:t>area, and select the check box for the statistical function to use.</w:t>
      </w:r>
    </w:p>
    <w:p>
      <w:pPr>
        <w:pStyle w:val="BodyText"/>
        <w:spacing w:line="213" w:lineRule="auto"/>
        <w:ind w:left="2232" w:right="545"/>
      </w:pPr>
      <w:r>
        <w:rPr>
          <w:color w:val="231F20"/>
        </w:rPr>
        <w:t>Optionally enter a value in the </w:t>
      </w:r>
      <w:r>
        <w:rPr>
          <w:rFonts w:ascii="Book Antiqua"/>
          <w:b/>
          <w:color w:val="231F20"/>
        </w:rPr>
        <w:t>Argument </w:t>
      </w:r>
      <w:r>
        <w:rPr>
          <w:color w:val="231F20"/>
        </w:rPr>
        <w:t>field and click </w:t>
      </w:r>
      <w:r>
        <w:rPr>
          <w:rFonts w:ascii="Book Antiqua"/>
          <w:b/>
          <w:color w:val="231F20"/>
        </w:rPr>
        <w:t>Recalculate </w:t>
      </w:r>
      <w:r>
        <w:rPr>
          <w:color w:val="231F20"/>
        </w:rPr>
        <w:t>to see </w:t>
      </w:r>
      <w:r>
        <w:rPr>
          <w:color w:val="231F20"/>
        </w:rPr>
        <w:t>the adjusted</w:t>
      </w:r>
      <w:r>
        <w:rPr>
          <w:color w:val="231F20"/>
          <w:spacing w:val="11"/>
        </w:rPr>
        <w:t> </w:t>
      </w:r>
      <w:r>
        <w:rPr>
          <w:color w:val="231F20"/>
        </w:rPr>
        <w:t>threshold</w:t>
      </w:r>
      <w:r>
        <w:rPr>
          <w:color w:val="231F20"/>
          <w:spacing w:val="12"/>
        </w:rPr>
        <w:t> </w:t>
      </w:r>
      <w:r>
        <w:rPr>
          <w:color w:val="231F20"/>
        </w:rPr>
        <w:t>in</w:t>
      </w:r>
      <w:r>
        <w:rPr>
          <w:color w:val="231F20"/>
          <w:spacing w:val="11"/>
        </w:rPr>
        <w:t> </w:t>
      </w:r>
      <w:r>
        <w:rPr>
          <w:color w:val="231F20"/>
        </w:rPr>
        <w:t>the</w:t>
      </w:r>
      <w:r>
        <w:rPr>
          <w:color w:val="231F20"/>
          <w:spacing w:val="12"/>
        </w:rPr>
        <w:t> </w:t>
      </w:r>
      <w:r>
        <w:rPr>
          <w:rFonts w:ascii="Book Antiqua"/>
          <w:b/>
          <w:color w:val="231F20"/>
        </w:rPr>
        <w:t>Result</w:t>
      </w:r>
      <w:r>
        <w:rPr>
          <w:rFonts w:ascii="Book Antiqua"/>
          <w:b/>
          <w:color w:val="231F20"/>
          <w:spacing w:val="12"/>
        </w:rPr>
        <w:t> </w:t>
      </w:r>
      <w:r>
        <w:rPr>
          <w:color w:val="231F20"/>
        </w:rPr>
        <w:t>field</w:t>
      </w:r>
      <w:r>
        <w:rPr>
          <w:color w:val="231F20"/>
          <w:spacing w:val="11"/>
        </w:rPr>
        <w:t> </w:t>
      </w:r>
      <w:r>
        <w:rPr>
          <w:color w:val="231F20"/>
        </w:rPr>
        <w:t>and</w:t>
      </w:r>
      <w:r>
        <w:rPr>
          <w:color w:val="231F20"/>
          <w:spacing w:val="12"/>
        </w:rPr>
        <w:t> </w:t>
      </w:r>
      <w:r>
        <w:rPr>
          <w:color w:val="231F20"/>
        </w:rPr>
        <w:t>plot</w:t>
      </w:r>
      <w:r>
        <w:rPr>
          <w:color w:val="231F20"/>
          <w:spacing w:val="12"/>
        </w:rPr>
        <w:t> </w:t>
      </w:r>
      <w:r>
        <w:rPr>
          <w:color w:val="231F20"/>
        </w:rPr>
        <w:t>it</w:t>
      </w:r>
      <w:r>
        <w:rPr>
          <w:color w:val="231F20"/>
          <w:spacing w:val="11"/>
        </w:rPr>
        <w:t> </w:t>
      </w:r>
      <w:r>
        <w:rPr>
          <w:color w:val="231F20"/>
        </w:rPr>
        <w:t>on</w:t>
      </w:r>
      <w:r>
        <w:rPr>
          <w:color w:val="231F20"/>
          <w:spacing w:val="12"/>
        </w:rPr>
        <w:t> </w:t>
      </w:r>
      <w:r>
        <w:rPr>
          <w:color w:val="231F20"/>
        </w:rPr>
        <w:t>the</w:t>
      </w:r>
      <w:r>
        <w:rPr>
          <w:color w:val="231F20"/>
          <w:spacing w:val="11"/>
        </w:rPr>
        <w:t> </w:t>
      </w:r>
      <w:r>
        <w:rPr>
          <w:color w:val="231F20"/>
        </w:rPr>
        <w:t>chart</w:t>
      </w:r>
      <w:r>
        <w:rPr>
          <w:color w:val="231F20"/>
          <w:spacing w:val="12"/>
        </w:rPr>
        <w:t> </w:t>
      </w:r>
      <w:r>
        <w:rPr>
          <w:color w:val="231F20"/>
        </w:rPr>
        <w:t>as</w:t>
      </w:r>
      <w:r>
        <w:rPr>
          <w:color w:val="231F20"/>
          <w:spacing w:val="12"/>
        </w:rPr>
        <w:t> </w:t>
      </w:r>
      <w:r>
        <w:rPr>
          <w:color w:val="231F20"/>
        </w:rPr>
        <w:t>a</w:t>
      </w:r>
      <w:r>
        <w:rPr>
          <w:color w:val="231F20"/>
          <w:spacing w:val="11"/>
        </w:rPr>
        <w:t> </w:t>
      </w:r>
      <w:r>
        <w:rPr>
          <w:color w:val="231F20"/>
        </w:rPr>
        <w:t>colored</w:t>
      </w:r>
      <w:r>
        <w:rPr>
          <w:color w:val="231F20"/>
          <w:spacing w:val="12"/>
        </w:rPr>
        <w:t> </w:t>
      </w:r>
      <w:r>
        <w:rPr>
          <w:color w:val="231F20"/>
          <w:spacing w:val="-2"/>
        </w:rPr>
        <w:t>line.</w:t>
      </w:r>
    </w:p>
    <w:p>
      <w:pPr>
        <w:spacing w:line="238" w:lineRule="exact" w:before="120"/>
        <w:ind w:left="2232" w:right="0" w:firstLine="0"/>
        <w:jc w:val="left"/>
        <w:rPr>
          <w:rFonts w:ascii="Book Antiqua"/>
          <w:b/>
          <w:sz w:val="20"/>
        </w:rPr>
      </w:pPr>
      <w:r>
        <w:rPr/>
        <w:drawing>
          <wp:inline distT="0" distB="0" distL="0" distR="0">
            <wp:extent cx="82550" cy="82550"/>
            <wp:effectExtent l="0" t="0" r="0" b="0"/>
            <wp:docPr id="2539" name="Image 2539"/>
            <wp:cNvGraphicFramePr>
              <a:graphicFrameLocks/>
            </wp:cNvGraphicFramePr>
            <a:graphic>
              <a:graphicData uri="http://schemas.openxmlformats.org/drawingml/2006/picture">
                <pic:pic>
                  <pic:nvPicPr>
                    <pic:cNvPr id="2539" name="Image 2539"/>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AVG</w:t>
      </w:r>
    </w:p>
    <w:p>
      <w:pPr>
        <w:spacing w:after="0" w:line="238" w:lineRule="exact"/>
        <w:jc w:val="left"/>
        <w:rPr>
          <w:rFonts w:ascii="Book Antiqua"/>
          <w:sz w:val="20"/>
        </w:rPr>
        <w:sectPr>
          <w:pgSz w:w="12240" w:h="15840"/>
          <w:pgMar w:header="0" w:footer="736" w:top="1180" w:bottom="920" w:left="1000" w:right="1060"/>
        </w:sectPr>
      </w:pPr>
    </w:p>
    <w:p>
      <w:pPr>
        <w:pStyle w:val="BodyText"/>
        <w:rPr>
          <w:rFonts w:ascii="Book Antiqua"/>
          <w:b/>
        </w:rPr>
      </w:pPr>
    </w:p>
    <w:p>
      <w:pPr>
        <w:pStyle w:val="BodyText"/>
        <w:rPr>
          <w:rFonts w:ascii="Book Antiqua"/>
          <w:b/>
        </w:rPr>
      </w:pPr>
    </w:p>
    <w:p>
      <w:pPr>
        <w:pStyle w:val="BodyText"/>
        <w:spacing w:before="116"/>
        <w:rPr>
          <w:rFonts w:ascii="Book Antiqua"/>
          <w:b/>
        </w:rPr>
      </w:pPr>
    </w:p>
    <w:p>
      <w:pPr>
        <w:spacing w:before="1"/>
        <w:ind w:left="0" w:right="0" w:firstLine="0"/>
        <w:jc w:val="right"/>
        <w:rPr>
          <w:rFonts w:ascii="Book Antiqua"/>
          <w:b/>
          <w:sz w:val="20"/>
        </w:rPr>
      </w:pPr>
      <w:r>
        <w:rPr/>
        <w:drawing>
          <wp:inline distT="0" distB="0" distL="0" distR="0">
            <wp:extent cx="82550" cy="82550"/>
            <wp:effectExtent l="0" t="0" r="0" b="0"/>
            <wp:docPr id="2540" name="Image 2540"/>
            <wp:cNvGraphicFramePr>
              <a:graphicFrameLocks/>
            </wp:cNvGraphicFramePr>
            <a:graphic>
              <a:graphicData uri="http://schemas.openxmlformats.org/drawingml/2006/picture">
                <pic:pic>
                  <pic:nvPicPr>
                    <pic:cNvPr id="2540" name="Image 254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MIN</w:t>
      </w:r>
    </w:p>
    <w:p>
      <w:pPr>
        <w:pStyle w:val="BodyText"/>
        <w:spacing w:line="213" w:lineRule="auto"/>
        <w:ind w:right="522"/>
      </w:pPr>
      <w:r>
        <w:rPr/>
        <w:br w:type="column"/>
      </w:r>
      <w:r>
        <w:rPr>
          <w:color w:val="231F20"/>
        </w:rPr>
        <w:t>For the selected attribute, calculate the average value from the samples taken during the time period, and add or subtract the standard </w:t>
      </w:r>
      <w:r>
        <w:rPr>
          <w:color w:val="231F20"/>
        </w:rPr>
        <w:t>deviation that was entered in the </w:t>
      </w:r>
      <w:r>
        <w:rPr>
          <w:rFonts w:ascii="Book Antiqua"/>
          <w:b/>
          <w:color w:val="231F20"/>
        </w:rPr>
        <w:t>Argument </w:t>
      </w:r>
      <w:r>
        <w:rPr>
          <w:color w:val="231F20"/>
        </w:rPr>
        <w:t>field. Valid values are -6 to 6.</w:t>
      </w:r>
    </w:p>
    <w:p>
      <w:pPr>
        <w:pStyle w:val="BodyText"/>
        <w:spacing w:before="85"/>
      </w:pPr>
    </w:p>
    <w:p>
      <w:pPr>
        <w:pStyle w:val="BodyText"/>
        <w:spacing w:line="213" w:lineRule="auto"/>
        <w:ind w:right="694"/>
      </w:pPr>
      <w:r>
        <w:rPr>
          <w:color w:val="231F20"/>
        </w:rPr>
        <w:t>For the selected attribute, find the lowest sampled value within the </w:t>
      </w:r>
      <w:r>
        <w:rPr>
          <w:color w:val="231F20"/>
        </w:rPr>
        <w:t>time period, and increase or decrease that value by the percentage that was entered in the </w:t>
      </w:r>
      <w:r>
        <w:rPr>
          <w:rFonts w:ascii="Book Antiqua"/>
          <w:b/>
          <w:color w:val="231F20"/>
        </w:rPr>
        <w:t>Argument </w:t>
      </w:r>
      <w:r>
        <w:rPr>
          <w:color w:val="231F20"/>
        </w:rPr>
        <w:t>field. Valid values are -100 to 100.</w:t>
      </w:r>
    </w:p>
    <w:p>
      <w:pPr>
        <w:spacing w:after="0" w:line="213" w:lineRule="auto"/>
        <w:sectPr>
          <w:type w:val="continuous"/>
          <w:pgSz w:w="12240" w:h="15840"/>
          <w:pgMar w:header="0" w:footer="736" w:top="0" w:bottom="4660" w:left="1000" w:right="1060"/>
          <w:cols w:num="2" w:equalWidth="0">
            <w:col w:w="2933" w:space="18"/>
            <w:col w:w="7229"/>
          </w:cols>
        </w:sectPr>
      </w:pPr>
    </w:p>
    <w:p>
      <w:pPr>
        <w:spacing w:line="227" w:lineRule="exact" w:before="122"/>
        <w:ind w:left="2232" w:right="0" w:firstLine="0"/>
        <w:jc w:val="left"/>
        <w:rPr>
          <w:rFonts w:ascii="Book Antiqua"/>
          <w:b/>
          <w:sz w:val="20"/>
        </w:rPr>
      </w:pPr>
      <w:r>
        <w:rPr/>
        <w:drawing>
          <wp:inline distT="0" distB="0" distL="0" distR="0">
            <wp:extent cx="82550" cy="82550"/>
            <wp:effectExtent l="0" t="0" r="0" b="0"/>
            <wp:docPr id="2541" name="Image 2541"/>
            <wp:cNvGraphicFramePr>
              <a:graphicFrameLocks/>
            </wp:cNvGraphicFramePr>
            <a:graphic>
              <a:graphicData uri="http://schemas.openxmlformats.org/drawingml/2006/picture">
                <pic:pic>
                  <pic:nvPicPr>
                    <pic:cNvPr id="2541" name="Image 2541"/>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40"/>
          <w:sz w:val="20"/>
        </w:rPr>
        <w:t> </w:t>
      </w:r>
      <w:r>
        <w:rPr>
          <w:rFonts w:ascii="Book Antiqua"/>
          <w:b/>
          <w:color w:val="231F20"/>
          <w:sz w:val="20"/>
        </w:rPr>
        <w:t>MAX</w:t>
      </w:r>
    </w:p>
    <w:p>
      <w:pPr>
        <w:pStyle w:val="BodyText"/>
        <w:spacing w:line="213" w:lineRule="auto" w:before="9"/>
        <w:ind w:left="2951" w:right="545"/>
      </w:pPr>
      <w:r>
        <w:rPr>
          <w:color w:val="231F20"/>
        </w:rPr>
        <w:t>For the selected attribute, find the highest sampled value within the </w:t>
      </w:r>
      <w:r>
        <w:rPr>
          <w:color w:val="231F20"/>
        </w:rPr>
        <w:t>time period and increase or decrease that value by the percentage that was entered in the </w:t>
      </w:r>
      <w:r>
        <w:rPr>
          <w:rFonts w:ascii="Book Antiqua"/>
          <w:b/>
          <w:color w:val="231F20"/>
        </w:rPr>
        <w:t>Argument </w:t>
      </w:r>
      <w:r>
        <w:rPr>
          <w:color w:val="231F20"/>
        </w:rPr>
        <w:t>field. Valid values are -100 to 100.</w:t>
      </w:r>
    </w:p>
    <w:p>
      <w:pPr>
        <w:pStyle w:val="Heading6"/>
        <w:spacing w:line="227" w:lineRule="exact" w:before="121"/>
        <w:ind w:left="2232"/>
      </w:pPr>
      <w:r>
        <w:rPr>
          <w:b w:val="0"/>
        </w:rPr>
        <w:drawing>
          <wp:inline distT="0" distB="0" distL="0" distR="0">
            <wp:extent cx="82550" cy="82550"/>
            <wp:effectExtent l="0" t="0" r="0" b="0"/>
            <wp:docPr id="2542" name="Image 2542"/>
            <wp:cNvGraphicFramePr>
              <a:graphicFrameLocks/>
            </wp:cNvGraphicFramePr>
            <a:graphic>
              <a:graphicData uri="http://schemas.openxmlformats.org/drawingml/2006/picture">
                <pic:pic>
                  <pic:nvPicPr>
                    <pic:cNvPr id="2542" name="Image 2542"/>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PERCENTILE</w:t>
      </w:r>
    </w:p>
    <w:p>
      <w:pPr>
        <w:pStyle w:val="BodyText"/>
        <w:spacing w:line="213" w:lineRule="auto" w:before="9"/>
        <w:ind w:left="2951" w:right="545"/>
      </w:pPr>
      <w:r>
        <w:rPr>
          <w:color w:val="231F20"/>
        </w:rPr>
        <w:t>For the selected attribute, find the value below which NUM percent of </w:t>
      </w:r>
      <w:r>
        <w:rPr>
          <w:color w:val="231F20"/>
        </w:rPr>
        <w:t>the data points fall; where NUM is the value from the </w:t>
      </w:r>
      <w:r>
        <w:rPr>
          <w:rFonts w:ascii="Book Antiqua"/>
          <w:b/>
          <w:color w:val="231F20"/>
        </w:rPr>
        <w:t>Argument </w:t>
      </w:r>
      <w:r>
        <w:rPr>
          <w:color w:val="231F20"/>
        </w:rPr>
        <w:t>field. Valid values are 1 to 100.</w:t>
      </w:r>
    </w:p>
    <w:p>
      <w:pPr>
        <w:pStyle w:val="Heading6"/>
        <w:spacing w:line="227" w:lineRule="exact" w:before="121"/>
        <w:ind w:left="2232"/>
      </w:pPr>
      <w:r>
        <w:rPr>
          <w:b w:val="0"/>
        </w:rPr>
        <w:drawing>
          <wp:inline distT="0" distB="0" distL="0" distR="0">
            <wp:extent cx="82550" cy="82550"/>
            <wp:effectExtent l="0" t="0" r="0" b="0"/>
            <wp:docPr id="2543" name="Image 2543"/>
            <wp:cNvGraphicFramePr>
              <a:graphicFrameLocks/>
            </wp:cNvGraphicFramePr>
            <a:graphic>
              <a:graphicData uri="http://schemas.openxmlformats.org/drawingml/2006/picture">
                <pic:pic>
                  <pic:nvPicPr>
                    <pic:cNvPr id="2543" name="Image 2543"/>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MODE</w:t>
      </w:r>
    </w:p>
    <w:p>
      <w:pPr>
        <w:pStyle w:val="BodyText"/>
        <w:spacing w:line="213" w:lineRule="auto" w:before="9"/>
        <w:ind w:left="2951" w:right="603"/>
      </w:pPr>
      <w:r>
        <w:rPr>
          <w:color w:val="231F20"/>
        </w:rPr>
        <w:t>For the selected attribute, find the most frequently observed value </w:t>
      </w:r>
      <w:r>
        <w:rPr>
          <w:color w:val="231F20"/>
        </w:rPr>
        <w:t>within the time period. No argument is entered for a MODE calculation.</w:t>
      </w:r>
    </w:p>
    <w:p>
      <w:pPr>
        <w:pStyle w:val="Heading6"/>
        <w:ind w:left="2252"/>
      </w:pPr>
      <w:r>
        <w:rPr>
          <w:b w:val="0"/>
          <w:position w:val="-1"/>
        </w:rPr>
        <w:drawing>
          <wp:inline distT="0" distB="0" distL="0" distR="0">
            <wp:extent cx="82550" cy="95250"/>
            <wp:effectExtent l="0" t="0" r="0" b="0"/>
            <wp:docPr id="2544" name="Image 2544"/>
            <wp:cNvGraphicFramePr>
              <a:graphicFrameLocks/>
            </wp:cNvGraphicFramePr>
            <a:graphic>
              <a:graphicData uri="http://schemas.openxmlformats.org/drawingml/2006/picture">
                <pic:pic>
                  <pic:nvPicPr>
                    <pic:cNvPr id="2544" name="Image 2544"/>
                    <pic:cNvPicPr/>
                  </pic:nvPicPr>
                  <pic:blipFill>
                    <a:blip r:embed="rId332"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rPr>
        <w:t> </w:t>
      </w:r>
      <w:r>
        <w:rPr>
          <w:color w:val="231F20"/>
        </w:rPr>
        <w:t>Copy</w:t>
      </w:r>
    </w:p>
    <w:p>
      <w:pPr>
        <w:pStyle w:val="BodyText"/>
        <w:spacing w:line="213" w:lineRule="auto" w:before="12"/>
        <w:ind w:left="2951" w:right="636"/>
      </w:pPr>
      <w:r>
        <w:rPr>
          <w:color w:val="231F20"/>
        </w:rPr>
        <w:t>Add the value from the </w:t>
      </w:r>
      <w:r>
        <w:rPr>
          <w:rFonts w:ascii="Book Antiqua"/>
          <w:b/>
          <w:color w:val="231F20"/>
        </w:rPr>
        <w:t>Result </w:t>
      </w:r>
      <w:r>
        <w:rPr>
          <w:color w:val="231F20"/>
        </w:rPr>
        <w:t>cell to the selected cell in the </w:t>
      </w:r>
      <w:r>
        <w:rPr>
          <w:color w:val="231F20"/>
        </w:rPr>
        <w:t>Attributes </w:t>
      </w:r>
      <w:r>
        <w:rPr>
          <w:color w:val="231F20"/>
          <w:spacing w:val="-2"/>
        </w:rPr>
        <w:t>area.</w:t>
      </w:r>
    </w:p>
    <w:p>
      <w:pPr>
        <w:spacing w:after="0" w:line="213" w:lineRule="auto"/>
        <w:sectPr>
          <w:type w:val="continuous"/>
          <w:pgSz w:w="12240" w:h="15840"/>
          <w:pgMar w:header="0" w:footer="736" w:top="0" w:bottom="4660" w:left="1000" w:right="1060"/>
        </w:sectPr>
      </w:pPr>
    </w:p>
    <w:p>
      <w:pPr>
        <w:pStyle w:val="Heading6"/>
        <w:spacing w:line="232" w:lineRule="exact" w:before="83"/>
        <w:ind w:left="2482"/>
      </w:pPr>
      <w:r>
        <w:rPr>
          <w:b w:val="0"/>
          <w:position w:val="-1"/>
        </w:rPr>
        <w:drawing>
          <wp:inline distT="0" distB="0" distL="0" distR="0">
            <wp:extent cx="95250" cy="101600"/>
            <wp:effectExtent l="0" t="0" r="0" b="0"/>
            <wp:docPr id="2545" name="Image 2545"/>
            <wp:cNvGraphicFramePr>
              <a:graphicFrameLocks/>
            </wp:cNvGraphicFramePr>
            <a:graphic>
              <a:graphicData uri="http://schemas.openxmlformats.org/drawingml/2006/picture">
                <pic:pic>
                  <pic:nvPicPr>
                    <pic:cNvPr id="2545" name="Image 2545"/>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rPr>
        <w:t> </w:t>
      </w:r>
      <w:r>
        <w:rPr>
          <w:color w:val="231F20"/>
        </w:rPr>
        <w:t>Chart</w:t>
      </w:r>
      <w:r>
        <w:rPr>
          <w:color w:val="231F20"/>
          <w:spacing w:val="18"/>
        </w:rPr>
        <w:t> </w:t>
      </w:r>
      <w:r>
        <w:rPr>
          <w:color w:val="231F20"/>
        </w:rPr>
        <w:t>options</w:t>
      </w:r>
    </w:p>
    <w:p>
      <w:pPr>
        <w:spacing w:line="211" w:lineRule="auto" w:before="16"/>
        <w:ind w:left="3190" w:right="274" w:firstLine="0"/>
        <w:jc w:val="left"/>
        <w:rPr>
          <w:sz w:val="20"/>
        </w:rPr>
      </w:pPr>
      <w:r>
        <w:rPr>
          <w:color w:val="231F20"/>
          <w:sz w:val="20"/>
        </w:rPr>
        <w:t>Modify the appearance of the threshold: </w:t>
      </w:r>
      <w:r>
        <w:rPr>
          <w:color w:val="231F20"/>
          <w:spacing w:val="15"/>
          <w:sz w:val="20"/>
        </w:rPr>
        <w:drawing>
          <wp:inline distT="0" distB="0" distL="0" distR="0">
            <wp:extent cx="82550" cy="82550"/>
            <wp:effectExtent l="0" t="0" r="0" b="0"/>
            <wp:docPr id="2546" name="Image 2546"/>
            <wp:cNvGraphicFramePr>
              <a:graphicFrameLocks/>
            </wp:cNvGraphicFramePr>
            <a:graphic>
              <a:graphicData uri="http://schemas.openxmlformats.org/drawingml/2006/picture">
                <pic:pic>
                  <pic:nvPicPr>
                    <pic:cNvPr id="2546" name="Image 2546"/>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Visible in legend </w:t>
      </w:r>
      <w:r>
        <w:rPr>
          <w:color w:val="231F20"/>
          <w:sz w:val="20"/>
        </w:rPr>
        <w:t>to add </w:t>
      </w:r>
      <w:r>
        <w:rPr>
          <w:rFonts w:ascii="Book Antiqua"/>
          <w:b/>
          <w:color w:val="231F20"/>
          <w:sz w:val="20"/>
        </w:rPr>
        <w:t>Threshold </w:t>
      </w:r>
      <w:r>
        <w:rPr>
          <w:color w:val="231F20"/>
          <w:sz w:val="20"/>
        </w:rPr>
        <w:t>to the legend, </w:t>
      </w:r>
      <w:r>
        <w:rPr>
          <w:color w:val="231F20"/>
          <w:spacing w:val="16"/>
          <w:sz w:val="20"/>
        </w:rPr>
        <w:drawing>
          <wp:inline distT="0" distB="0" distL="0" distR="0">
            <wp:extent cx="82550" cy="82550"/>
            <wp:effectExtent l="0" t="0" r="0" b="0"/>
            <wp:docPr id="2547" name="Image 2547"/>
            <wp:cNvGraphicFramePr>
              <a:graphicFrameLocks/>
            </wp:cNvGraphicFramePr>
            <a:graphic>
              <a:graphicData uri="http://schemas.openxmlformats.org/drawingml/2006/picture">
                <pic:pic>
                  <pic:nvPicPr>
                    <pic:cNvPr id="2547" name="Image 254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Show chart label </w:t>
      </w:r>
      <w:r>
        <w:rPr>
          <w:color w:val="231F20"/>
          <w:sz w:val="20"/>
        </w:rPr>
        <w:t>to add a threshold label, and </w:t>
      </w:r>
      <w:r>
        <w:rPr>
          <w:rFonts w:ascii="Book Antiqua"/>
          <w:b/>
          <w:color w:val="231F20"/>
          <w:sz w:val="20"/>
        </w:rPr>
        <w:t>Fill Style </w:t>
      </w:r>
      <w:r>
        <w:rPr>
          <w:color w:val="231F20"/>
          <w:sz w:val="20"/>
        </w:rPr>
        <w:t>to change the threshold pattern or color. Click </w:t>
      </w:r>
      <w:r>
        <w:rPr>
          <w:rFonts w:ascii="Book Antiqua"/>
          <w:b/>
          <w:color w:val="231F20"/>
          <w:sz w:val="20"/>
        </w:rPr>
        <w:t>Custom Colors </w:t>
      </w:r>
      <w:r>
        <w:rPr>
          <w:color w:val="231F20"/>
          <w:sz w:val="20"/>
        </w:rPr>
        <w:t>to choose from a wider selection of colors or to create your own.</w:t>
      </w:r>
    </w:p>
    <w:p>
      <w:pPr>
        <w:pStyle w:val="Heading5"/>
        <w:spacing w:before="221"/>
      </w:pPr>
      <w:r>
        <w:rPr>
          <w:color w:val="231F20"/>
        </w:rPr>
        <w:t>Time</w:t>
      </w:r>
      <w:r>
        <w:rPr>
          <w:color w:val="231F20"/>
          <w:spacing w:val="1"/>
        </w:rPr>
        <w:t> </w:t>
      </w:r>
      <w:r>
        <w:rPr>
          <w:color w:val="231F20"/>
          <w:spacing w:val="-4"/>
        </w:rPr>
        <w:t>Span</w:t>
      </w:r>
    </w:p>
    <w:p>
      <w:pPr>
        <w:pStyle w:val="BodyText"/>
        <w:spacing w:line="213" w:lineRule="auto" w:before="246"/>
        <w:ind w:left="2472" w:right="545"/>
      </w:pPr>
      <w:r>
        <w:rPr>
          <w:color w:val="231F20"/>
        </w:rPr>
        <w:t>This area is displayed when the attribute group used in the situation </w:t>
      </w:r>
      <w:r>
        <w:rPr>
          <w:color w:val="231F20"/>
        </w:rPr>
        <w:t>has historically collected values. The </w:t>
      </w:r>
      <w:r>
        <w:rPr>
          <w:rFonts w:ascii="Book Antiqua"/>
          <w:b/>
          <w:color w:val="231F20"/>
        </w:rPr>
        <w:t>Last </w:t>
      </w:r>
      <w:r>
        <w:rPr>
          <w:color w:val="231F20"/>
        </w:rPr>
        <w:t>24 Hours is shown by default.</w:t>
      </w:r>
    </w:p>
    <w:p>
      <w:pPr>
        <w:pStyle w:val="BodyText"/>
        <w:tabs>
          <w:tab w:pos="3190" w:val="left" w:leader="none"/>
        </w:tabs>
        <w:spacing w:line="213" w:lineRule="auto" w:before="118"/>
        <w:ind w:left="3190" w:right="545" w:hanging="719"/>
      </w:pPr>
      <w:r>
        <w:rPr>
          <w:rFonts w:ascii="Book Antiqua"/>
          <w:b/>
          <w:color w:val="231F20"/>
          <w:spacing w:val="-4"/>
        </w:rPr>
        <w:t>Last</w:t>
      </w:r>
      <w:r>
        <w:rPr>
          <w:rFonts w:ascii="Book Antiqua"/>
          <w:b/>
          <w:color w:val="231F20"/>
        </w:rPr>
        <w:tab/>
      </w:r>
      <w:r>
        <w:rPr>
          <w:color w:val="231F20"/>
        </w:rPr>
        <w:t>You can change from the default 24 hours to a different value or unit of time (Hours, Days, Weeks, Months, Quarters, Years).</w:t>
      </w:r>
    </w:p>
    <w:p>
      <w:pPr>
        <w:pStyle w:val="BodyText"/>
        <w:spacing w:line="255" w:lineRule="exact" w:before="95"/>
        <w:ind w:left="3190"/>
      </w:pPr>
      <w:r>
        <w:rPr>
          <w:color w:val="231F20"/>
        </w:rPr>
        <w:t>The</w:t>
      </w:r>
      <w:r>
        <w:rPr>
          <w:color w:val="231F20"/>
          <w:spacing w:val="10"/>
        </w:rPr>
        <w:t> </w:t>
      </w:r>
      <w:r>
        <w:rPr>
          <w:rFonts w:ascii="Book Antiqua"/>
          <w:b/>
          <w:color w:val="231F20"/>
        </w:rPr>
        <w:t>Time</w:t>
      </w:r>
      <w:r>
        <w:rPr>
          <w:rFonts w:ascii="Book Antiqua"/>
          <w:b/>
          <w:color w:val="231F20"/>
          <w:spacing w:val="11"/>
        </w:rPr>
        <w:t> </w:t>
      </w:r>
      <w:r>
        <w:rPr>
          <w:rFonts w:ascii="Book Antiqua"/>
          <w:b/>
          <w:color w:val="231F20"/>
        </w:rPr>
        <w:t>Column</w:t>
      </w:r>
      <w:r>
        <w:rPr>
          <w:rFonts w:ascii="Book Antiqua"/>
          <w:b/>
          <w:color w:val="231F20"/>
          <w:spacing w:val="10"/>
        </w:rPr>
        <w:t> </w:t>
      </w:r>
      <w:r>
        <w:rPr>
          <w:color w:val="231F20"/>
        </w:rPr>
        <w:t>field</w:t>
      </w:r>
      <w:r>
        <w:rPr>
          <w:color w:val="231F20"/>
          <w:spacing w:val="11"/>
        </w:rPr>
        <w:t> </w:t>
      </w:r>
      <w:r>
        <w:rPr>
          <w:color w:val="231F20"/>
        </w:rPr>
        <w:t>shows</w:t>
      </w:r>
      <w:r>
        <w:rPr>
          <w:color w:val="231F20"/>
          <w:spacing w:val="10"/>
        </w:rPr>
        <w:t> </w:t>
      </w:r>
      <w:r>
        <w:rPr>
          <w:color w:val="231F20"/>
        </w:rPr>
        <w:t>the</w:t>
      </w:r>
      <w:r>
        <w:rPr>
          <w:color w:val="231F20"/>
          <w:spacing w:val="11"/>
        </w:rPr>
        <w:t> </w:t>
      </w:r>
      <w:r>
        <w:rPr>
          <w:color w:val="231F20"/>
        </w:rPr>
        <w:t>attribute</w:t>
      </w:r>
      <w:r>
        <w:rPr>
          <w:color w:val="231F20"/>
          <w:spacing w:val="10"/>
        </w:rPr>
        <w:t> </w:t>
      </w:r>
      <w:r>
        <w:rPr>
          <w:color w:val="231F20"/>
        </w:rPr>
        <w:t>for</w:t>
      </w:r>
      <w:r>
        <w:rPr>
          <w:color w:val="231F20"/>
          <w:spacing w:val="11"/>
        </w:rPr>
        <w:t> </w:t>
      </w:r>
      <w:r>
        <w:rPr>
          <w:color w:val="231F20"/>
        </w:rPr>
        <w:t>the</w:t>
      </w:r>
      <w:r>
        <w:rPr>
          <w:color w:val="231F20"/>
          <w:spacing w:val="10"/>
        </w:rPr>
        <w:t> </w:t>
      </w:r>
      <w:r>
        <w:rPr>
          <w:color w:val="231F20"/>
        </w:rPr>
        <w:t>time</w:t>
      </w:r>
      <w:r>
        <w:rPr>
          <w:color w:val="231F20"/>
          <w:spacing w:val="11"/>
        </w:rPr>
        <w:t> </w:t>
      </w:r>
      <w:r>
        <w:rPr>
          <w:color w:val="231F20"/>
        </w:rPr>
        <w:t>stamp,</w:t>
      </w:r>
      <w:r>
        <w:rPr>
          <w:color w:val="231F20"/>
          <w:spacing w:val="10"/>
        </w:rPr>
        <w:t> </w:t>
      </w:r>
      <w:r>
        <w:rPr>
          <w:color w:val="231F20"/>
        </w:rPr>
        <w:t>such</w:t>
      </w:r>
      <w:r>
        <w:rPr>
          <w:color w:val="231F20"/>
          <w:spacing w:val="11"/>
        </w:rPr>
        <w:t> </w:t>
      </w:r>
      <w:r>
        <w:rPr>
          <w:color w:val="231F20"/>
          <w:spacing w:val="-5"/>
        </w:rPr>
        <w:t>as</w:t>
      </w:r>
    </w:p>
    <w:p>
      <w:pPr>
        <w:pStyle w:val="Heading6"/>
        <w:spacing w:line="255" w:lineRule="exact" w:before="0"/>
        <w:ind w:left="3190"/>
        <w:rPr>
          <w:rFonts w:ascii="Palatino Linotype"/>
          <w:b w:val="0"/>
        </w:rPr>
      </w:pPr>
      <w:r>
        <w:rPr>
          <w:color w:val="231F20"/>
        </w:rPr>
        <w:t>Recording</w:t>
      </w:r>
      <w:r>
        <w:rPr>
          <w:color w:val="231F20"/>
          <w:spacing w:val="6"/>
        </w:rPr>
        <w:t> </w:t>
      </w:r>
      <w:r>
        <w:rPr>
          <w:color w:val="231F20"/>
          <w:spacing w:val="-4"/>
        </w:rPr>
        <w:t>Time</w:t>
      </w:r>
      <w:r>
        <w:rPr>
          <w:rFonts w:ascii="Palatino Linotype"/>
          <w:b w:val="0"/>
          <w:color w:val="231F20"/>
          <w:spacing w:val="-4"/>
        </w:rPr>
        <w:t>.</w:t>
      </w:r>
    </w:p>
    <w:p>
      <w:pPr>
        <w:spacing w:line="229" w:lineRule="exact" w:before="112"/>
        <w:ind w:left="2472" w:right="0" w:firstLine="0"/>
        <w:jc w:val="left"/>
        <w:rPr>
          <w:rFonts w:ascii="Book Antiqua"/>
          <w:b/>
          <w:sz w:val="20"/>
        </w:rPr>
      </w:pPr>
      <w:r>
        <w:rPr>
          <w:rFonts w:ascii="Book Antiqua"/>
          <w:b/>
          <w:color w:val="231F20"/>
          <w:spacing w:val="-2"/>
          <w:sz w:val="20"/>
        </w:rPr>
        <w:t>Custom</w:t>
      </w:r>
    </w:p>
    <w:p>
      <w:pPr>
        <w:pStyle w:val="BodyText"/>
        <w:spacing w:line="213" w:lineRule="auto" w:before="11"/>
        <w:ind w:left="3190" w:right="493"/>
      </w:pPr>
      <w:r>
        <w:rPr>
          <w:color w:val="231F20"/>
        </w:rPr>
        <w:t>Use the </w:t>
      </w:r>
      <w:r>
        <w:rPr>
          <w:rFonts w:ascii="Book Antiqua"/>
          <w:b/>
          <w:color w:val="231F20"/>
        </w:rPr>
        <w:t>Custom </w:t>
      </w:r>
      <w:r>
        <w:rPr>
          <w:color w:val="231F20"/>
        </w:rPr>
        <w:t>tab to plot a specific date range or to select a different time attribute.</w:t>
      </w:r>
    </w:p>
    <w:p>
      <w:pPr>
        <w:spacing w:line="360" w:lineRule="atLeast" w:before="5"/>
        <w:ind w:left="3190" w:right="274" w:firstLine="0"/>
        <w:jc w:val="left"/>
        <w:rPr>
          <w:sz w:val="20"/>
        </w:rPr>
      </w:pPr>
      <w:r>
        <w:rPr>
          <w:color w:val="231F20"/>
          <w:sz w:val="20"/>
        </w:rPr>
        <w:t>Click inside the </w:t>
      </w:r>
      <w:r>
        <w:rPr>
          <w:rFonts w:ascii="Book Antiqua"/>
          <w:b/>
          <w:color w:val="231F20"/>
          <w:sz w:val="20"/>
        </w:rPr>
        <w:t>Start Time </w:t>
      </w:r>
      <w:r>
        <w:rPr>
          <w:color w:val="231F20"/>
          <w:sz w:val="20"/>
        </w:rPr>
        <w:t>and </w:t>
      </w:r>
      <w:r>
        <w:rPr>
          <w:rFonts w:ascii="Book Antiqua"/>
          <w:b/>
          <w:color w:val="231F20"/>
          <w:sz w:val="20"/>
        </w:rPr>
        <w:t>End Time </w:t>
      </w:r>
      <w:r>
        <w:rPr>
          <w:color w:val="231F20"/>
          <w:sz w:val="20"/>
        </w:rPr>
        <w:t>fields to select a date and time. The </w:t>
      </w:r>
      <w:r>
        <w:rPr>
          <w:rFonts w:ascii="Book Antiqua"/>
          <w:b/>
          <w:color w:val="231F20"/>
          <w:sz w:val="20"/>
        </w:rPr>
        <w:t>Time Column </w:t>
      </w:r>
      <w:r>
        <w:rPr>
          <w:color w:val="231F20"/>
          <w:sz w:val="20"/>
        </w:rPr>
        <w:t>field shows the attribute for the time stamp, such as</w:t>
      </w:r>
    </w:p>
    <w:p>
      <w:pPr>
        <w:pStyle w:val="Heading6"/>
        <w:spacing w:line="239" w:lineRule="exact" w:before="0"/>
        <w:ind w:left="3190"/>
        <w:rPr>
          <w:rFonts w:ascii="Palatino Linotype"/>
          <w:b w:val="0"/>
        </w:rPr>
      </w:pPr>
      <w:r>
        <w:rPr>
          <w:color w:val="231F20"/>
        </w:rPr>
        <w:t>Recording</w:t>
      </w:r>
      <w:r>
        <w:rPr>
          <w:color w:val="231F20"/>
          <w:spacing w:val="6"/>
        </w:rPr>
        <w:t> </w:t>
      </w:r>
      <w:r>
        <w:rPr>
          <w:color w:val="231F20"/>
          <w:spacing w:val="-4"/>
        </w:rPr>
        <w:t>Time</w:t>
      </w:r>
      <w:r>
        <w:rPr>
          <w:rFonts w:ascii="Palatino Linotype"/>
          <w:b w:val="0"/>
          <w:color w:val="231F20"/>
          <w:spacing w:val="-4"/>
        </w:rPr>
        <w:t>.</w:t>
      </w:r>
    </w:p>
    <w:p>
      <w:pPr>
        <w:tabs>
          <w:tab w:pos="3190" w:val="left" w:leader="none"/>
        </w:tabs>
        <w:spacing w:before="90"/>
        <w:ind w:left="2472" w:right="0" w:firstLine="0"/>
        <w:jc w:val="left"/>
        <w:rPr>
          <w:sz w:val="20"/>
        </w:rPr>
      </w:pPr>
      <w:r>
        <w:rPr>
          <w:rFonts w:ascii="Book Antiqua"/>
          <w:b/>
          <w:color w:val="231F20"/>
          <w:spacing w:val="-2"/>
          <w:sz w:val="20"/>
        </w:rPr>
        <w:t>Daily</w:t>
      </w:r>
      <w:r>
        <w:rPr>
          <w:rFonts w:ascii="Book Antiqua"/>
          <w:b/>
          <w:color w:val="231F20"/>
          <w:sz w:val="20"/>
        </w:rPr>
        <w:tab/>
      </w:r>
      <w:r>
        <w:rPr>
          <w:color w:val="231F20"/>
          <w:sz w:val="20"/>
        </w:rPr>
        <w:t>Use</w:t>
      </w:r>
      <w:r>
        <w:rPr>
          <w:color w:val="231F20"/>
          <w:spacing w:val="12"/>
          <w:sz w:val="20"/>
        </w:rPr>
        <w:t> </w:t>
      </w:r>
      <w:r>
        <w:rPr>
          <w:color w:val="231F20"/>
          <w:sz w:val="20"/>
        </w:rPr>
        <w:t>the</w:t>
      </w:r>
      <w:r>
        <w:rPr>
          <w:color w:val="231F20"/>
          <w:spacing w:val="13"/>
          <w:sz w:val="20"/>
        </w:rPr>
        <w:t> </w:t>
      </w:r>
      <w:r>
        <w:rPr>
          <w:rFonts w:ascii="Book Antiqua"/>
          <w:b/>
          <w:color w:val="231F20"/>
          <w:sz w:val="20"/>
        </w:rPr>
        <w:t>Daily</w:t>
      </w:r>
      <w:r>
        <w:rPr>
          <w:rFonts w:ascii="Book Antiqua"/>
          <w:b/>
          <w:color w:val="231F20"/>
          <w:spacing w:val="12"/>
          <w:sz w:val="20"/>
        </w:rPr>
        <w:t> </w:t>
      </w:r>
      <w:r>
        <w:rPr>
          <w:color w:val="231F20"/>
          <w:sz w:val="20"/>
        </w:rPr>
        <w:t>tab</w:t>
      </w:r>
      <w:r>
        <w:rPr>
          <w:color w:val="231F20"/>
          <w:spacing w:val="13"/>
          <w:sz w:val="20"/>
        </w:rPr>
        <w:t> </w:t>
      </w:r>
      <w:r>
        <w:rPr>
          <w:color w:val="231F20"/>
          <w:sz w:val="20"/>
        </w:rPr>
        <w:t>to</w:t>
      </w:r>
      <w:r>
        <w:rPr>
          <w:color w:val="231F20"/>
          <w:spacing w:val="12"/>
          <w:sz w:val="20"/>
        </w:rPr>
        <w:t> </w:t>
      </w:r>
      <w:r>
        <w:rPr>
          <w:color w:val="231F20"/>
          <w:sz w:val="20"/>
        </w:rPr>
        <w:t>plot</w:t>
      </w:r>
      <w:r>
        <w:rPr>
          <w:color w:val="231F20"/>
          <w:spacing w:val="13"/>
          <w:sz w:val="20"/>
        </w:rPr>
        <w:t> </w:t>
      </w:r>
      <w:r>
        <w:rPr>
          <w:color w:val="231F20"/>
          <w:sz w:val="20"/>
        </w:rPr>
        <w:t>a</w:t>
      </w:r>
      <w:r>
        <w:rPr>
          <w:color w:val="231F20"/>
          <w:spacing w:val="13"/>
          <w:sz w:val="20"/>
        </w:rPr>
        <w:t> </w:t>
      </w:r>
      <w:r>
        <w:rPr>
          <w:color w:val="231F20"/>
          <w:sz w:val="20"/>
        </w:rPr>
        <w:t>specific</w:t>
      </w:r>
      <w:r>
        <w:rPr>
          <w:color w:val="231F20"/>
          <w:spacing w:val="12"/>
          <w:sz w:val="20"/>
        </w:rPr>
        <w:t> </w:t>
      </w:r>
      <w:r>
        <w:rPr>
          <w:color w:val="231F20"/>
          <w:sz w:val="20"/>
        </w:rPr>
        <w:t>time</w:t>
      </w:r>
      <w:r>
        <w:rPr>
          <w:color w:val="231F20"/>
          <w:spacing w:val="13"/>
          <w:sz w:val="20"/>
        </w:rPr>
        <w:t> </w:t>
      </w:r>
      <w:r>
        <w:rPr>
          <w:color w:val="231F20"/>
          <w:spacing w:val="-2"/>
          <w:sz w:val="20"/>
        </w:rPr>
        <w:t>range.</w:t>
      </w:r>
    </w:p>
    <w:p>
      <w:pPr>
        <w:spacing w:before="89"/>
        <w:ind w:left="3190" w:right="0" w:firstLine="0"/>
        <w:jc w:val="left"/>
        <w:rPr>
          <w:sz w:val="20"/>
        </w:rPr>
      </w:pPr>
      <w:r>
        <w:rPr>
          <w:color w:val="231F20"/>
          <w:sz w:val="20"/>
        </w:rPr>
        <w:t>Click</w:t>
      </w:r>
      <w:r>
        <w:rPr>
          <w:color w:val="231F20"/>
          <w:spacing w:val="10"/>
          <w:sz w:val="20"/>
        </w:rPr>
        <w:t> </w:t>
      </w:r>
      <w:r>
        <w:rPr>
          <w:color w:val="231F20"/>
          <w:sz w:val="20"/>
        </w:rPr>
        <w:t>inside</w:t>
      </w:r>
      <w:r>
        <w:rPr>
          <w:color w:val="231F20"/>
          <w:spacing w:val="11"/>
          <w:sz w:val="20"/>
        </w:rPr>
        <w:t> </w:t>
      </w:r>
      <w:r>
        <w:rPr>
          <w:color w:val="231F20"/>
          <w:sz w:val="20"/>
        </w:rPr>
        <w:t>the</w:t>
      </w:r>
      <w:r>
        <w:rPr>
          <w:color w:val="231F20"/>
          <w:spacing w:val="10"/>
          <w:sz w:val="20"/>
        </w:rPr>
        <w:t> </w:t>
      </w:r>
      <w:r>
        <w:rPr>
          <w:rFonts w:ascii="Book Antiqua"/>
          <w:b/>
          <w:color w:val="231F20"/>
          <w:sz w:val="20"/>
        </w:rPr>
        <w:t>Start</w:t>
      </w:r>
      <w:r>
        <w:rPr>
          <w:rFonts w:ascii="Book Antiqua"/>
          <w:b/>
          <w:color w:val="231F20"/>
          <w:spacing w:val="11"/>
          <w:sz w:val="20"/>
        </w:rPr>
        <w:t> </w:t>
      </w:r>
      <w:r>
        <w:rPr>
          <w:rFonts w:ascii="Book Antiqua"/>
          <w:b/>
          <w:color w:val="231F20"/>
          <w:sz w:val="20"/>
        </w:rPr>
        <w:t>Time</w:t>
      </w:r>
      <w:r>
        <w:rPr>
          <w:rFonts w:ascii="Book Antiqua"/>
          <w:b/>
          <w:color w:val="231F20"/>
          <w:spacing w:val="11"/>
          <w:sz w:val="20"/>
        </w:rPr>
        <w:t> </w:t>
      </w:r>
      <w:r>
        <w:rPr>
          <w:color w:val="231F20"/>
          <w:sz w:val="20"/>
        </w:rPr>
        <w:t>and</w:t>
      </w:r>
      <w:r>
        <w:rPr>
          <w:color w:val="231F20"/>
          <w:spacing w:val="10"/>
          <w:sz w:val="20"/>
        </w:rPr>
        <w:t> </w:t>
      </w:r>
      <w:r>
        <w:rPr>
          <w:rFonts w:ascii="Book Antiqua"/>
          <w:b/>
          <w:color w:val="231F20"/>
          <w:sz w:val="20"/>
        </w:rPr>
        <w:t>End</w:t>
      </w:r>
      <w:r>
        <w:rPr>
          <w:rFonts w:ascii="Book Antiqua"/>
          <w:b/>
          <w:color w:val="231F20"/>
          <w:spacing w:val="11"/>
          <w:sz w:val="20"/>
        </w:rPr>
        <w:t> </w:t>
      </w:r>
      <w:r>
        <w:rPr>
          <w:rFonts w:ascii="Book Antiqua"/>
          <w:b/>
          <w:color w:val="231F20"/>
          <w:sz w:val="20"/>
        </w:rPr>
        <w:t>Time</w:t>
      </w:r>
      <w:r>
        <w:rPr>
          <w:rFonts w:ascii="Book Antiqua"/>
          <w:b/>
          <w:color w:val="231F20"/>
          <w:spacing w:val="10"/>
          <w:sz w:val="20"/>
        </w:rPr>
        <w:t> </w:t>
      </w:r>
      <w:r>
        <w:rPr>
          <w:color w:val="231F20"/>
          <w:sz w:val="20"/>
        </w:rPr>
        <w:t>fields</w:t>
      </w:r>
      <w:r>
        <w:rPr>
          <w:color w:val="231F20"/>
          <w:spacing w:val="11"/>
          <w:sz w:val="20"/>
        </w:rPr>
        <w:t> </w:t>
      </w:r>
      <w:r>
        <w:rPr>
          <w:color w:val="231F20"/>
          <w:sz w:val="20"/>
        </w:rPr>
        <w:t>to</w:t>
      </w:r>
      <w:r>
        <w:rPr>
          <w:color w:val="231F20"/>
          <w:spacing w:val="11"/>
          <w:sz w:val="20"/>
        </w:rPr>
        <w:t> </w:t>
      </w:r>
      <w:r>
        <w:rPr>
          <w:color w:val="231F20"/>
          <w:sz w:val="20"/>
        </w:rPr>
        <w:t>select</w:t>
      </w:r>
      <w:r>
        <w:rPr>
          <w:color w:val="231F20"/>
          <w:spacing w:val="10"/>
          <w:sz w:val="20"/>
        </w:rPr>
        <w:t> </w:t>
      </w:r>
      <w:r>
        <w:rPr>
          <w:color w:val="231F20"/>
          <w:sz w:val="20"/>
        </w:rPr>
        <w:t>a</w:t>
      </w:r>
      <w:r>
        <w:rPr>
          <w:color w:val="231F20"/>
          <w:spacing w:val="11"/>
          <w:sz w:val="20"/>
        </w:rPr>
        <w:t> </w:t>
      </w:r>
      <w:r>
        <w:rPr>
          <w:color w:val="231F20"/>
          <w:sz w:val="20"/>
        </w:rPr>
        <w:t>date</w:t>
      </w:r>
      <w:r>
        <w:rPr>
          <w:color w:val="231F20"/>
          <w:spacing w:val="11"/>
          <w:sz w:val="20"/>
        </w:rPr>
        <w:t> </w:t>
      </w:r>
      <w:r>
        <w:rPr>
          <w:color w:val="231F20"/>
          <w:sz w:val="20"/>
        </w:rPr>
        <w:t>and</w:t>
      </w:r>
      <w:r>
        <w:rPr>
          <w:color w:val="231F20"/>
          <w:spacing w:val="10"/>
          <w:sz w:val="20"/>
        </w:rPr>
        <w:t> </w:t>
      </w:r>
      <w:r>
        <w:rPr>
          <w:color w:val="231F20"/>
          <w:spacing w:val="-2"/>
          <w:sz w:val="20"/>
        </w:rPr>
        <w:t>time.</w:t>
      </w:r>
    </w:p>
    <w:p>
      <w:pPr>
        <w:spacing w:line="208" w:lineRule="auto" w:before="122"/>
        <w:ind w:left="3190" w:right="545" w:firstLine="0"/>
        <w:jc w:val="left"/>
        <w:rPr>
          <w:sz w:val="20"/>
        </w:rPr>
      </w:pPr>
      <w:r>
        <w:rPr>
          <w:color w:val="231F20"/>
          <w:sz w:val="20"/>
        </w:rPr>
        <w:t>Select the </w:t>
      </w:r>
      <w:r>
        <w:rPr>
          <w:color w:val="231F20"/>
          <w:spacing w:val="16"/>
          <w:sz w:val="20"/>
        </w:rPr>
        <w:drawing>
          <wp:inline distT="0" distB="0" distL="0" distR="0">
            <wp:extent cx="82549" cy="82550"/>
            <wp:effectExtent l="0" t="0" r="0" b="0"/>
            <wp:docPr id="2548" name="Image 2548"/>
            <wp:cNvGraphicFramePr>
              <a:graphicFrameLocks/>
            </wp:cNvGraphicFramePr>
            <a:graphic>
              <a:graphicData uri="http://schemas.openxmlformats.org/drawingml/2006/picture">
                <pic:pic>
                  <pic:nvPicPr>
                    <pic:cNvPr id="2548" name="Image 2548"/>
                    <pic:cNvPicPr/>
                  </pic:nvPicPr>
                  <pic:blipFill>
                    <a:blip r:embed="rId87" cstate="print"/>
                    <a:stretch>
                      <a:fillRect/>
                    </a:stretch>
                  </pic:blipFill>
                  <pic:spPr>
                    <a:xfrm>
                      <a:off x="0" y="0"/>
                      <a:ext cx="82549" cy="82550"/>
                    </a:xfrm>
                    <a:prstGeom prst="rect">
                      <a:avLst/>
                    </a:prstGeom>
                  </pic:spPr>
                </pic:pic>
              </a:graphicData>
            </a:graphic>
          </wp:inline>
        </w:drawing>
      </w:r>
      <w:r>
        <w:rPr>
          <w:color w:val="231F20"/>
          <w:spacing w:val="16"/>
          <w:sz w:val="20"/>
        </w:rPr>
      </w:r>
      <w:r>
        <w:rPr>
          <w:rFonts w:ascii="Times New Roman"/>
          <w:color w:val="231F20"/>
          <w:spacing w:val="-8"/>
          <w:sz w:val="20"/>
        </w:rPr>
        <w:t> </w:t>
      </w:r>
      <w:r>
        <w:rPr>
          <w:rFonts w:ascii="Book Antiqua"/>
          <w:b/>
          <w:color w:val="231F20"/>
          <w:sz w:val="20"/>
        </w:rPr>
        <w:t>Show data for last </w:t>
      </w:r>
      <w:r>
        <w:rPr>
          <w:rFonts w:ascii="Book Antiqua"/>
          <w:b/>
          <w:color w:val="231F20"/>
          <w:spacing w:val="16"/>
          <w:sz w:val="20"/>
        </w:rPr>
        <w:drawing>
          <wp:inline distT="0" distB="0" distL="0" distR="0">
            <wp:extent cx="158750" cy="82550"/>
            <wp:effectExtent l="0" t="0" r="0" b="0"/>
            <wp:docPr id="2549" name="Image 2549"/>
            <wp:cNvGraphicFramePr>
              <a:graphicFrameLocks/>
            </wp:cNvGraphicFramePr>
            <a:graphic>
              <a:graphicData uri="http://schemas.openxmlformats.org/drawingml/2006/picture">
                <pic:pic>
                  <pic:nvPicPr>
                    <pic:cNvPr id="2549" name="Image 2549"/>
                    <pic:cNvPicPr/>
                  </pic:nvPicPr>
                  <pic:blipFill>
                    <a:blip r:embed="rId192" cstate="print"/>
                    <a:stretch>
                      <a:fillRect/>
                    </a:stretch>
                  </pic:blipFill>
                  <pic:spPr>
                    <a:xfrm>
                      <a:off x="0" y="0"/>
                      <a:ext cx="158750" cy="82550"/>
                    </a:xfrm>
                    <a:prstGeom prst="rect">
                      <a:avLst/>
                    </a:prstGeom>
                  </pic:spPr>
                </pic:pic>
              </a:graphicData>
            </a:graphic>
          </wp:inline>
        </w:drawing>
      </w:r>
      <w:r>
        <w:rPr>
          <w:rFonts w:ascii="Book Antiqua"/>
          <w:b/>
          <w:color w:val="231F20"/>
          <w:spacing w:val="16"/>
          <w:sz w:val="20"/>
        </w:rPr>
      </w:r>
      <w:r>
        <w:rPr>
          <w:rFonts w:ascii="Times New Roman"/>
          <w:color w:val="231F20"/>
          <w:spacing w:val="40"/>
          <w:sz w:val="20"/>
        </w:rPr>
        <w:t> </w:t>
      </w:r>
      <w:r>
        <w:rPr>
          <w:color w:val="231F20"/>
          <w:sz w:val="20"/>
        </w:rPr>
        <w:t>check box and specify the number of days to plot.</w:t>
      </w:r>
    </w:p>
    <w:p>
      <w:pPr>
        <w:pStyle w:val="BodyText"/>
        <w:spacing w:line="211" w:lineRule="auto" w:before="127"/>
        <w:ind w:left="3190" w:right="258"/>
      </w:pPr>
      <w:r>
        <w:rPr>
          <w:color w:val="231F20"/>
        </w:rPr>
        <w:t>Select</w:t>
      </w:r>
      <w:r>
        <w:rPr>
          <w:color w:val="231F20"/>
          <w:spacing w:val="16"/>
        </w:rPr>
        <w:t> </w:t>
      </w:r>
      <w:r>
        <w:rPr>
          <w:color w:val="231F20"/>
          <w:spacing w:val="16"/>
        </w:rPr>
        <w:drawing>
          <wp:inline distT="0" distB="0" distL="0" distR="0">
            <wp:extent cx="88900" cy="82550"/>
            <wp:effectExtent l="0" t="0" r="0" b="0"/>
            <wp:docPr id="2550" name="Image 2550"/>
            <wp:cNvGraphicFramePr>
              <a:graphicFrameLocks/>
            </wp:cNvGraphicFramePr>
            <a:graphic>
              <a:graphicData uri="http://schemas.openxmlformats.org/drawingml/2006/picture">
                <pic:pic>
                  <pic:nvPicPr>
                    <pic:cNvPr id="2550" name="Image 2550"/>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1"/>
        </w:rPr>
        <w:t> </w:t>
      </w:r>
      <w:r>
        <w:rPr>
          <w:rFonts w:ascii="Book Antiqua"/>
          <w:b/>
          <w:color w:val="231F20"/>
        </w:rPr>
        <w:t>calendar</w:t>
      </w:r>
      <w:r>
        <w:rPr>
          <w:rFonts w:ascii="Book Antiqua"/>
          <w:b/>
          <w:color w:val="231F20"/>
          <w:spacing w:val="28"/>
        </w:rPr>
        <w:t> </w:t>
      </w:r>
      <w:r>
        <w:rPr>
          <w:rFonts w:ascii="Book Antiqua"/>
          <w:b/>
          <w:color w:val="231F20"/>
        </w:rPr>
        <w:t>day</w:t>
      </w:r>
      <w:r>
        <w:rPr>
          <w:rFonts w:ascii="Book Antiqua"/>
          <w:b/>
          <w:color w:val="231F20"/>
          <w:spacing w:val="28"/>
        </w:rPr>
        <w:t> </w:t>
      </w:r>
      <w:r>
        <w:rPr>
          <w:color w:val="231F20"/>
        </w:rPr>
        <w:t>to</w:t>
      </w:r>
      <w:r>
        <w:rPr>
          <w:color w:val="231F20"/>
          <w:spacing w:val="28"/>
        </w:rPr>
        <w:t> </w:t>
      </w:r>
      <w:r>
        <w:rPr>
          <w:color w:val="231F20"/>
        </w:rPr>
        <w:t>include</w:t>
      </w:r>
      <w:r>
        <w:rPr>
          <w:color w:val="231F20"/>
          <w:spacing w:val="28"/>
        </w:rPr>
        <w:t> </w:t>
      </w:r>
      <w:r>
        <w:rPr>
          <w:color w:val="231F20"/>
        </w:rPr>
        <w:t>any</w:t>
      </w:r>
      <w:r>
        <w:rPr>
          <w:color w:val="231F20"/>
          <w:spacing w:val="28"/>
        </w:rPr>
        <w:t> </w:t>
      </w:r>
      <w:r>
        <w:rPr>
          <w:color w:val="231F20"/>
        </w:rPr>
        <w:t>weekend</w:t>
      </w:r>
      <w:r>
        <w:rPr>
          <w:color w:val="231F20"/>
          <w:spacing w:val="28"/>
        </w:rPr>
        <w:t> </w:t>
      </w:r>
      <w:r>
        <w:rPr>
          <w:color w:val="231F20"/>
        </w:rPr>
        <w:t>days</w:t>
      </w:r>
      <w:r>
        <w:rPr>
          <w:color w:val="231F20"/>
          <w:spacing w:val="28"/>
        </w:rPr>
        <w:t> </w:t>
      </w:r>
      <w:r>
        <w:rPr>
          <w:color w:val="231F20"/>
        </w:rPr>
        <w:t>that</w:t>
      </w:r>
      <w:r>
        <w:rPr>
          <w:color w:val="231F20"/>
          <w:spacing w:val="28"/>
        </w:rPr>
        <w:t> </w:t>
      </w:r>
      <w:r>
        <w:rPr>
          <w:color w:val="231F20"/>
        </w:rPr>
        <w:t>fall</w:t>
      </w:r>
      <w:r>
        <w:rPr>
          <w:color w:val="231F20"/>
          <w:spacing w:val="28"/>
        </w:rPr>
        <w:t> </w:t>
      </w:r>
      <w:r>
        <w:rPr>
          <w:color w:val="231F20"/>
        </w:rPr>
        <w:t>within</w:t>
      </w:r>
      <w:r>
        <w:rPr>
          <w:color w:val="231F20"/>
          <w:spacing w:val="28"/>
        </w:rPr>
        <w:t> </w:t>
      </w:r>
      <w:r>
        <w:rPr>
          <w:color w:val="231F20"/>
        </w:rPr>
        <w:t>the</w:t>
      </w:r>
      <w:r>
        <w:rPr>
          <w:color w:val="231F20"/>
        </w:rPr>
        <w:t> date range; or </w:t>
      </w:r>
      <w:r>
        <w:rPr>
          <w:color w:val="231F20"/>
          <w:spacing w:val="16"/>
        </w:rPr>
        <w:drawing>
          <wp:inline distT="0" distB="0" distL="0" distR="0">
            <wp:extent cx="88900" cy="82550"/>
            <wp:effectExtent l="0" t="0" r="0" b="0"/>
            <wp:docPr id="2551" name="Image 2551"/>
            <wp:cNvGraphicFramePr>
              <a:graphicFrameLocks/>
            </wp:cNvGraphicFramePr>
            <a:graphic>
              <a:graphicData uri="http://schemas.openxmlformats.org/drawingml/2006/picture">
                <pic:pic>
                  <pic:nvPicPr>
                    <pic:cNvPr id="2551" name="Image 2551"/>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6"/>
        </w:rPr>
      </w:r>
      <w:r>
        <w:rPr>
          <w:rFonts w:ascii="Times New Roman"/>
          <w:color w:val="231F20"/>
          <w:spacing w:val="-17"/>
        </w:rPr>
        <w:t> </w:t>
      </w:r>
      <w:r>
        <w:rPr>
          <w:rFonts w:ascii="Book Antiqua"/>
          <w:b/>
          <w:color w:val="231F20"/>
        </w:rPr>
        <w:t>weekdays </w:t>
      </w:r>
      <w:r>
        <w:rPr>
          <w:color w:val="231F20"/>
        </w:rPr>
        <w:t>to exclude weekend days. For example, if today</w:t>
      </w:r>
      <w:r>
        <w:rPr>
          <w:color w:val="231F20"/>
          <w:spacing w:val="40"/>
        </w:rPr>
        <w:t> </w:t>
      </w:r>
      <w:r>
        <w:rPr>
          <w:color w:val="231F20"/>
        </w:rPr>
        <w:t>is Monday and you select the last 2 weekdays, Thursday and Friday of the past week are plotted.</w:t>
      </w:r>
    </w:p>
    <w:p>
      <w:pPr>
        <w:spacing w:line="208" w:lineRule="auto" w:before="130"/>
        <w:ind w:left="3190" w:right="0" w:firstLine="0"/>
        <w:jc w:val="left"/>
        <w:rPr>
          <w:sz w:val="20"/>
        </w:rPr>
      </w:pPr>
      <w:r>
        <w:rPr>
          <w:color w:val="231F20"/>
          <w:sz w:val="20"/>
        </w:rPr>
        <w:t>Select the </w:t>
      </w:r>
      <w:r>
        <w:rPr>
          <w:color w:val="231F20"/>
          <w:spacing w:val="16"/>
          <w:sz w:val="20"/>
        </w:rPr>
        <w:drawing>
          <wp:inline distT="0" distB="0" distL="0" distR="0">
            <wp:extent cx="82549" cy="82550"/>
            <wp:effectExtent l="0" t="0" r="0" b="0"/>
            <wp:docPr id="2552" name="Image 2552"/>
            <wp:cNvGraphicFramePr>
              <a:graphicFrameLocks/>
            </wp:cNvGraphicFramePr>
            <a:graphic>
              <a:graphicData uri="http://schemas.openxmlformats.org/drawingml/2006/picture">
                <pic:pic>
                  <pic:nvPicPr>
                    <pic:cNvPr id="2552" name="Image 2552"/>
                    <pic:cNvPicPr/>
                  </pic:nvPicPr>
                  <pic:blipFill>
                    <a:blip r:embed="rId120" cstate="print"/>
                    <a:stretch>
                      <a:fillRect/>
                    </a:stretch>
                  </pic:blipFill>
                  <pic:spPr>
                    <a:xfrm>
                      <a:off x="0" y="0"/>
                      <a:ext cx="82549" cy="82550"/>
                    </a:xfrm>
                    <a:prstGeom prst="rect">
                      <a:avLst/>
                    </a:prstGeom>
                  </pic:spPr>
                </pic:pic>
              </a:graphicData>
            </a:graphic>
          </wp:inline>
        </w:drawing>
      </w:r>
      <w:r>
        <w:rPr>
          <w:color w:val="231F20"/>
          <w:spacing w:val="16"/>
          <w:sz w:val="20"/>
        </w:rPr>
      </w:r>
      <w:r>
        <w:rPr>
          <w:rFonts w:ascii="Times New Roman"/>
          <w:color w:val="231F20"/>
          <w:spacing w:val="-9"/>
          <w:sz w:val="20"/>
        </w:rPr>
        <w:t> </w:t>
      </w:r>
      <w:r>
        <w:rPr>
          <w:rFonts w:ascii="Book Antiqua"/>
          <w:b/>
          <w:color w:val="231F20"/>
          <w:sz w:val="20"/>
        </w:rPr>
        <w:t>Show this day's data </w:t>
      </w:r>
      <w:r>
        <w:rPr>
          <w:color w:val="231F20"/>
          <w:sz w:val="20"/>
        </w:rPr>
        <w:t>check box to select a specific date to plot</w:t>
      </w:r>
      <w:r>
        <w:rPr>
          <w:color w:val="231F20"/>
          <w:spacing w:val="40"/>
          <w:sz w:val="20"/>
        </w:rPr>
        <w:t> </w:t>
      </w:r>
      <w:r>
        <w:rPr>
          <w:color w:val="231F20"/>
          <w:sz w:val="20"/>
        </w:rPr>
        <w:t>within the time range.</w:t>
      </w:r>
    </w:p>
    <w:p>
      <w:pPr>
        <w:pStyle w:val="Heading5"/>
        <w:spacing w:before="220"/>
      </w:pPr>
      <w:r>
        <w:rPr>
          <w:color w:val="231F20"/>
          <w:spacing w:val="-2"/>
        </w:rPr>
        <w:t>Buttons</w:t>
      </w:r>
    </w:p>
    <w:p>
      <w:pPr>
        <w:pStyle w:val="Heading6"/>
        <w:spacing w:before="124"/>
      </w:pPr>
      <w:r>
        <w:rPr>
          <w:color w:val="231F20"/>
          <w:spacing w:val="-2"/>
        </w:rPr>
        <w:t>Recalculate</w:t>
      </w:r>
    </w:p>
    <w:p>
      <w:pPr>
        <w:pStyle w:val="BodyText"/>
        <w:spacing w:line="213" w:lineRule="auto" w:before="12"/>
        <w:ind w:left="3190" w:right="274"/>
      </w:pPr>
      <w:r>
        <w:rPr>
          <w:color w:val="231F20"/>
        </w:rPr>
        <w:t>Click </w:t>
      </w:r>
      <w:r>
        <w:rPr>
          <w:rFonts w:ascii="Book Antiqua"/>
          <w:b/>
          <w:color w:val="231F20"/>
        </w:rPr>
        <w:t>Recalculate </w:t>
      </w:r>
      <w:r>
        <w:rPr>
          <w:color w:val="231F20"/>
        </w:rPr>
        <w:t>after you have entered an argument for a statistical function</w:t>
      </w:r>
      <w:r>
        <w:rPr>
          <w:color w:val="231F20"/>
          <w:spacing w:val="27"/>
        </w:rPr>
        <w:t> </w:t>
      </w:r>
      <w:r>
        <w:rPr>
          <w:color w:val="231F20"/>
        </w:rPr>
        <w:t>to</w:t>
      </w:r>
      <w:r>
        <w:rPr>
          <w:color w:val="231F20"/>
          <w:spacing w:val="27"/>
        </w:rPr>
        <w:t> </w:t>
      </w:r>
      <w:r>
        <w:rPr>
          <w:color w:val="231F20"/>
        </w:rPr>
        <w:t>see</w:t>
      </w:r>
      <w:r>
        <w:rPr>
          <w:color w:val="231F20"/>
          <w:spacing w:val="27"/>
        </w:rPr>
        <w:t> </w:t>
      </w:r>
      <w:r>
        <w:rPr>
          <w:color w:val="231F20"/>
        </w:rPr>
        <w:t>the</w:t>
      </w:r>
      <w:r>
        <w:rPr>
          <w:color w:val="231F20"/>
          <w:spacing w:val="27"/>
        </w:rPr>
        <w:t> </w:t>
      </w:r>
      <w:r>
        <w:rPr>
          <w:color w:val="231F20"/>
        </w:rPr>
        <w:t>result</w:t>
      </w:r>
      <w:r>
        <w:rPr>
          <w:color w:val="231F20"/>
          <w:spacing w:val="27"/>
        </w:rPr>
        <w:t> </w:t>
      </w:r>
      <w:r>
        <w:rPr>
          <w:color w:val="231F20"/>
        </w:rPr>
        <w:t>in</w:t>
      </w:r>
      <w:r>
        <w:rPr>
          <w:color w:val="231F20"/>
          <w:spacing w:val="27"/>
        </w:rPr>
        <w:t> </w:t>
      </w:r>
      <w:r>
        <w:rPr>
          <w:color w:val="231F20"/>
        </w:rPr>
        <w:t>the</w:t>
      </w:r>
      <w:r>
        <w:rPr>
          <w:color w:val="231F20"/>
          <w:spacing w:val="27"/>
        </w:rPr>
        <w:t> </w:t>
      </w:r>
      <w:r>
        <w:rPr>
          <w:rFonts w:ascii="Book Antiqua"/>
          <w:b/>
          <w:color w:val="231F20"/>
        </w:rPr>
        <w:t>Result</w:t>
      </w:r>
      <w:r>
        <w:rPr>
          <w:rFonts w:ascii="Book Antiqua"/>
          <w:b/>
          <w:color w:val="231F20"/>
          <w:spacing w:val="27"/>
        </w:rPr>
        <w:t> </w:t>
      </w:r>
      <w:r>
        <w:rPr>
          <w:color w:val="231F20"/>
        </w:rPr>
        <w:t>column</w:t>
      </w:r>
      <w:r>
        <w:rPr>
          <w:color w:val="231F20"/>
          <w:spacing w:val="27"/>
        </w:rPr>
        <w:t> </w:t>
      </w:r>
      <w:r>
        <w:rPr>
          <w:color w:val="231F20"/>
        </w:rPr>
        <w:t>and</w:t>
      </w:r>
      <w:r>
        <w:rPr>
          <w:color w:val="231F20"/>
          <w:spacing w:val="27"/>
        </w:rPr>
        <w:t> </w:t>
      </w:r>
      <w:r>
        <w:rPr>
          <w:color w:val="231F20"/>
        </w:rPr>
        <w:t>plotted</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chart. Use this button also to refresh the chart with any changes you make to the time span selection or override key conditions.</w:t>
      </w:r>
    </w:p>
    <w:p>
      <w:pPr>
        <w:pStyle w:val="BodyText"/>
        <w:tabs>
          <w:tab w:pos="3190" w:val="left" w:leader="none"/>
        </w:tabs>
        <w:spacing w:line="213" w:lineRule="auto" w:before="117"/>
        <w:ind w:left="3190" w:right="379" w:hanging="719"/>
      </w:pPr>
      <w:r>
        <w:rPr>
          <w:rFonts w:ascii="Book Antiqua"/>
          <w:b/>
          <w:color w:val="231F20"/>
          <w:spacing w:val="-6"/>
        </w:rPr>
        <w:t>OK</w:t>
      </w:r>
      <w:r>
        <w:rPr>
          <w:rFonts w:ascii="Book Antiqua"/>
          <w:b/>
          <w:color w:val="231F20"/>
        </w:rPr>
        <w:tab/>
      </w:r>
      <w:r>
        <w:rPr>
          <w:color w:val="231F20"/>
        </w:rPr>
        <w:t>Click </w:t>
      </w:r>
      <w:r>
        <w:rPr>
          <w:rFonts w:ascii="Book Antiqua"/>
          <w:b/>
          <w:color w:val="231F20"/>
        </w:rPr>
        <w:t>OK </w:t>
      </w:r>
      <w:r>
        <w:rPr>
          <w:color w:val="231F20"/>
        </w:rPr>
        <w:t>to close the dialog and use the values from the Expressions area for the expression override.</w:t>
      </w:r>
    </w:p>
    <w:p>
      <w:pPr>
        <w:pStyle w:val="BodyText"/>
        <w:tabs>
          <w:tab w:pos="3190" w:val="left" w:leader="none"/>
        </w:tabs>
        <w:spacing w:line="213" w:lineRule="auto" w:before="118"/>
        <w:ind w:left="3190" w:right="274" w:hanging="719"/>
      </w:pPr>
      <w:r>
        <w:rPr>
          <w:rFonts w:ascii="Book Antiqua"/>
          <w:b/>
          <w:color w:val="231F20"/>
          <w:spacing w:val="-2"/>
        </w:rPr>
        <w:t>Reset</w:t>
      </w:r>
      <w:r>
        <w:rPr>
          <w:rFonts w:ascii="Book Antiqua"/>
          <w:b/>
          <w:color w:val="231F20"/>
        </w:rPr>
        <w:tab/>
      </w:r>
      <w:r>
        <w:rPr>
          <w:color w:val="231F20"/>
        </w:rPr>
        <w:t>After</w:t>
      </w:r>
      <w:r>
        <w:rPr>
          <w:color w:val="231F20"/>
          <w:spacing w:val="27"/>
        </w:rPr>
        <w:t> </w:t>
      </w:r>
      <w:r>
        <w:rPr>
          <w:color w:val="231F20"/>
        </w:rPr>
        <w:t>you</w:t>
      </w:r>
      <w:r>
        <w:rPr>
          <w:color w:val="231F20"/>
          <w:spacing w:val="27"/>
        </w:rPr>
        <w:t> </w:t>
      </w:r>
      <w:r>
        <w:rPr>
          <w:color w:val="231F20"/>
        </w:rPr>
        <w:t>click</w:t>
      </w:r>
      <w:r>
        <w:rPr>
          <w:color w:val="231F20"/>
          <w:spacing w:val="27"/>
        </w:rPr>
        <w:t> </w:t>
      </w:r>
      <w:r>
        <w:rPr>
          <w:color w:val="231F20"/>
        </w:rPr>
        <w:t>inside</w:t>
      </w:r>
      <w:r>
        <w:rPr>
          <w:color w:val="231F20"/>
          <w:spacing w:val="27"/>
        </w:rPr>
        <w:t> </w:t>
      </w:r>
      <w:r>
        <w:rPr>
          <w:color w:val="231F20"/>
        </w:rPr>
        <w:t>an</w:t>
      </w:r>
      <w:r>
        <w:rPr>
          <w:color w:val="231F20"/>
          <w:spacing w:val="27"/>
        </w:rPr>
        <w:t> </w:t>
      </w:r>
      <w:r>
        <w:rPr>
          <w:color w:val="231F20"/>
        </w:rPr>
        <w:t>attribute</w:t>
      </w:r>
      <w:r>
        <w:rPr>
          <w:color w:val="231F20"/>
          <w:spacing w:val="27"/>
        </w:rPr>
        <w:t> </w:t>
      </w:r>
      <w:r>
        <w:rPr>
          <w:color w:val="231F20"/>
        </w:rPr>
        <w:t>cell,</w:t>
      </w:r>
      <w:r>
        <w:rPr>
          <w:color w:val="231F20"/>
          <w:spacing w:val="27"/>
        </w:rPr>
        <w:t> </w:t>
      </w:r>
      <w:r>
        <w:rPr>
          <w:color w:val="231F20"/>
        </w:rPr>
        <w:t>the</w:t>
      </w:r>
      <w:r>
        <w:rPr>
          <w:color w:val="231F20"/>
          <w:spacing w:val="27"/>
        </w:rPr>
        <w:t> </w:t>
      </w:r>
      <w:r>
        <w:rPr>
          <w:color w:val="231F20"/>
        </w:rPr>
        <w:t>chart</w:t>
      </w:r>
      <w:r>
        <w:rPr>
          <w:color w:val="231F20"/>
          <w:spacing w:val="27"/>
        </w:rPr>
        <w:t> </w:t>
      </w:r>
      <w:r>
        <w:rPr>
          <w:color w:val="231F20"/>
        </w:rPr>
        <w:t>is</w:t>
      </w:r>
      <w:r>
        <w:rPr>
          <w:color w:val="231F20"/>
          <w:spacing w:val="27"/>
        </w:rPr>
        <w:t> </w:t>
      </w:r>
      <w:r>
        <w:rPr>
          <w:color w:val="231F20"/>
        </w:rPr>
        <w:t>redrawn</w:t>
      </w:r>
      <w:r>
        <w:rPr>
          <w:color w:val="231F20"/>
          <w:spacing w:val="27"/>
        </w:rPr>
        <w:t> </w:t>
      </w:r>
      <w:r>
        <w:rPr>
          <w:color w:val="231F20"/>
        </w:rPr>
        <w:t>to</w:t>
      </w:r>
      <w:r>
        <w:rPr>
          <w:color w:val="231F20"/>
          <w:spacing w:val="27"/>
        </w:rPr>
        <w:t> </w:t>
      </w:r>
      <w:r>
        <w:rPr>
          <w:color w:val="231F20"/>
        </w:rPr>
        <w:t>plot</w:t>
      </w:r>
      <w:r>
        <w:rPr>
          <w:color w:val="231F20"/>
          <w:spacing w:val="27"/>
        </w:rPr>
        <w:t> </w:t>
      </w:r>
      <w:r>
        <w:rPr>
          <w:color w:val="231F20"/>
        </w:rPr>
        <w:t>only that attribute. If you also select a statistical function and click </w:t>
      </w:r>
      <w:r>
        <w:rPr>
          <w:rFonts w:ascii="Book Antiqua"/>
          <w:b/>
          <w:color w:val="231F20"/>
        </w:rPr>
        <w:t>Recalculate</w:t>
      </w:r>
      <w:r>
        <w:rPr>
          <w:color w:val="231F20"/>
        </w:rPr>
        <w:t>, the statistical result is also plotted. Click </w:t>
      </w:r>
      <w:r>
        <w:rPr>
          <w:rFonts w:ascii="Book Antiqua"/>
          <w:b/>
          <w:color w:val="231F20"/>
        </w:rPr>
        <w:t>Reset </w:t>
      </w:r>
      <w:r>
        <w:rPr>
          <w:color w:val="231F20"/>
        </w:rPr>
        <w:t>to redraw the chart with all </w:t>
      </w:r>
      <w:r>
        <w:rPr>
          <w:color w:val="231F20"/>
          <w:spacing w:val="-2"/>
        </w:rPr>
        <w:t>attributes.</w:t>
      </w:r>
    </w:p>
    <w:p>
      <w:pPr>
        <w:pStyle w:val="BodyText"/>
        <w:spacing w:before="94"/>
        <w:ind w:left="3190"/>
      </w:pPr>
      <w:r>
        <w:rPr>
          <w:color w:val="231F20"/>
        </w:rPr>
        <w:t>These</w:t>
      </w:r>
      <w:r>
        <w:rPr>
          <w:color w:val="231F20"/>
          <w:spacing w:val="10"/>
        </w:rPr>
        <w:t> </w:t>
      </w:r>
      <w:r>
        <w:rPr>
          <w:color w:val="231F20"/>
        </w:rPr>
        <w:t>are</w:t>
      </w:r>
      <w:r>
        <w:rPr>
          <w:color w:val="231F20"/>
          <w:spacing w:val="11"/>
        </w:rPr>
        <w:t> </w:t>
      </w:r>
      <w:r>
        <w:rPr>
          <w:color w:val="231F20"/>
        </w:rPr>
        <w:t>all</w:t>
      </w:r>
      <w:r>
        <w:rPr>
          <w:color w:val="231F20"/>
          <w:spacing w:val="11"/>
        </w:rPr>
        <w:t> </w:t>
      </w:r>
      <w:r>
        <w:rPr>
          <w:color w:val="231F20"/>
        </w:rPr>
        <w:t>the</w:t>
      </w:r>
      <w:r>
        <w:rPr>
          <w:color w:val="231F20"/>
          <w:spacing w:val="11"/>
        </w:rPr>
        <w:t> </w:t>
      </w:r>
      <w:r>
        <w:rPr>
          <w:color w:val="231F20"/>
        </w:rPr>
        <w:t>reset</w:t>
      </w:r>
      <w:r>
        <w:rPr>
          <w:color w:val="231F20"/>
          <w:spacing w:val="10"/>
        </w:rPr>
        <w:t> </w:t>
      </w:r>
      <w:r>
        <w:rPr>
          <w:color w:val="231F20"/>
        </w:rPr>
        <w:t>actions</w:t>
      </w:r>
      <w:r>
        <w:rPr>
          <w:color w:val="231F20"/>
          <w:spacing w:val="11"/>
        </w:rPr>
        <w:t> </w:t>
      </w:r>
      <w:r>
        <w:rPr>
          <w:color w:val="231F20"/>
          <w:spacing w:val="-2"/>
        </w:rPr>
        <w:t>taken:</w:t>
      </w:r>
    </w:p>
    <w:p>
      <w:pPr>
        <w:pStyle w:val="BodyText"/>
        <w:spacing w:before="30"/>
        <w:ind w:left="3190"/>
      </w:pPr>
      <w:r>
        <w:rPr>
          <w:rFonts w:ascii="Futura MdCn BT"/>
          <w:color w:val="231F20"/>
        </w:rPr>
        <w:t>v</w:t>
      </w:r>
      <w:r>
        <w:rPr>
          <w:rFonts w:ascii="Futura MdCn BT"/>
          <w:color w:val="231F20"/>
          <w:spacing w:val="31"/>
        </w:rPr>
        <w:t>  </w:t>
      </w:r>
      <w:r>
        <w:rPr>
          <w:color w:val="231F20"/>
        </w:rPr>
        <w:t>Cancel</w:t>
      </w:r>
      <w:r>
        <w:rPr>
          <w:color w:val="231F20"/>
          <w:spacing w:val="13"/>
        </w:rPr>
        <w:t> </w:t>
      </w:r>
      <w:r>
        <w:rPr>
          <w:color w:val="231F20"/>
        </w:rPr>
        <w:t>any</w:t>
      </w:r>
      <w:r>
        <w:rPr>
          <w:color w:val="231F20"/>
          <w:spacing w:val="13"/>
        </w:rPr>
        <w:t> </w:t>
      </w:r>
      <w:r>
        <w:rPr>
          <w:color w:val="231F20"/>
        </w:rPr>
        <w:t>attribute</w:t>
      </w:r>
      <w:r>
        <w:rPr>
          <w:color w:val="231F20"/>
          <w:spacing w:val="12"/>
        </w:rPr>
        <w:t> </w:t>
      </w:r>
      <w:r>
        <w:rPr>
          <w:color w:val="231F20"/>
        </w:rPr>
        <w:t>selection</w:t>
      </w:r>
      <w:r>
        <w:rPr>
          <w:color w:val="231F20"/>
          <w:spacing w:val="13"/>
        </w:rPr>
        <w:t> </w:t>
      </w:r>
      <w:r>
        <w:rPr>
          <w:color w:val="231F20"/>
        </w:rPr>
        <w:t>in</w:t>
      </w:r>
      <w:r>
        <w:rPr>
          <w:color w:val="231F20"/>
          <w:spacing w:val="12"/>
        </w:rPr>
        <w:t> </w:t>
      </w:r>
      <w:r>
        <w:rPr>
          <w:color w:val="231F20"/>
        </w:rPr>
        <w:t>the</w:t>
      </w:r>
      <w:r>
        <w:rPr>
          <w:color w:val="231F20"/>
          <w:spacing w:val="13"/>
        </w:rPr>
        <w:t> </w:t>
      </w:r>
      <w:r>
        <w:rPr>
          <w:color w:val="231F20"/>
          <w:spacing w:val="-2"/>
        </w:rPr>
        <w:t>table</w:t>
      </w:r>
    </w:p>
    <w:p>
      <w:pPr>
        <w:pStyle w:val="BodyText"/>
        <w:spacing w:line="266" w:lineRule="auto" w:before="29"/>
        <w:ind w:left="3190" w:right="2730"/>
      </w:pPr>
      <w:r>
        <w:rPr>
          <w:rFonts w:ascii="Futura MdCn BT"/>
          <w:color w:val="231F20"/>
        </w:rPr>
        <w:t>v</w:t>
      </w:r>
      <w:r>
        <w:rPr>
          <w:rFonts w:ascii="Futura MdCn BT"/>
          <w:color w:val="231F20"/>
          <w:spacing w:val="80"/>
        </w:rPr>
        <w:t> </w:t>
      </w:r>
      <w:r>
        <w:rPr>
          <w:color w:val="231F20"/>
        </w:rPr>
        <w:t>Clear any shaded threshold area in the chart</w:t>
      </w:r>
      <w:r>
        <w:rPr>
          <w:color w:val="231F20"/>
          <w:spacing w:val="80"/>
          <w:w w:val="150"/>
        </w:rPr>
        <w:t> </w:t>
      </w:r>
      <w:r>
        <w:rPr>
          <w:rFonts w:ascii="Futura MdCn BT"/>
          <w:color w:val="231F20"/>
        </w:rPr>
        <w:t>v</w:t>
      </w:r>
      <w:r>
        <w:rPr>
          <w:rFonts w:ascii="Futura MdCn BT"/>
          <w:color w:val="231F20"/>
          <w:spacing w:val="80"/>
          <w:w w:val="150"/>
        </w:rPr>
        <w:t> </w:t>
      </w:r>
      <w:r>
        <w:rPr>
          <w:color w:val="231F20"/>
        </w:rPr>
        <w:t>Show</w:t>
      </w:r>
      <w:r>
        <w:rPr>
          <w:color w:val="231F20"/>
          <w:spacing w:val="21"/>
        </w:rPr>
        <w:t> </w:t>
      </w:r>
      <w:r>
        <w:rPr>
          <w:color w:val="231F20"/>
        </w:rPr>
        <w:t>all</w:t>
      </w:r>
      <w:r>
        <w:rPr>
          <w:color w:val="231F20"/>
          <w:spacing w:val="21"/>
        </w:rPr>
        <w:t> </w:t>
      </w:r>
      <w:r>
        <w:rPr>
          <w:color w:val="231F20"/>
        </w:rPr>
        <w:t>chart</w:t>
      </w:r>
      <w:r>
        <w:rPr>
          <w:color w:val="231F20"/>
          <w:spacing w:val="21"/>
        </w:rPr>
        <w:t> </w:t>
      </w:r>
      <w:r>
        <w:rPr>
          <w:color w:val="231F20"/>
        </w:rPr>
        <w:t>series</w:t>
      </w:r>
      <w:r>
        <w:rPr>
          <w:color w:val="231F20"/>
          <w:spacing w:val="21"/>
        </w:rPr>
        <w:t> </w:t>
      </w:r>
      <w:r>
        <w:rPr>
          <w:color w:val="231F20"/>
        </w:rPr>
        <w:t>if</w:t>
      </w:r>
      <w:r>
        <w:rPr>
          <w:color w:val="231F20"/>
          <w:spacing w:val="21"/>
        </w:rPr>
        <w:t> </w:t>
      </w:r>
      <w:r>
        <w:rPr>
          <w:color w:val="231F20"/>
        </w:rPr>
        <w:t>any</w:t>
      </w:r>
      <w:r>
        <w:rPr>
          <w:color w:val="231F20"/>
          <w:spacing w:val="21"/>
        </w:rPr>
        <w:t> </w:t>
      </w:r>
      <w:r>
        <w:rPr>
          <w:color w:val="231F20"/>
        </w:rPr>
        <w:t>were</w:t>
      </w:r>
      <w:r>
        <w:rPr>
          <w:color w:val="231F20"/>
          <w:spacing w:val="21"/>
        </w:rPr>
        <w:t> </w:t>
      </w:r>
      <w:r>
        <w:rPr>
          <w:color w:val="231F20"/>
        </w:rPr>
        <w:t>not</w:t>
      </w:r>
      <w:r>
        <w:rPr>
          <w:color w:val="231F20"/>
          <w:spacing w:val="21"/>
        </w:rPr>
        <w:t> </w:t>
      </w:r>
      <w:r>
        <w:rPr>
          <w:color w:val="231F20"/>
        </w:rPr>
        <w:t>visible</w:t>
      </w:r>
      <w:r>
        <w:rPr>
          <w:color w:val="231F20"/>
        </w:rPr>
        <w:t> </w:t>
      </w:r>
      <w:r>
        <w:rPr>
          <w:rFonts w:ascii="Futura MdCn BT"/>
          <w:color w:val="231F20"/>
        </w:rPr>
        <w:t>v</w:t>
      </w:r>
      <w:r>
        <w:rPr>
          <w:rFonts w:ascii="Futura MdCn BT"/>
          <w:color w:val="231F20"/>
          <w:spacing w:val="80"/>
        </w:rPr>
        <w:t> </w:t>
      </w:r>
      <w:r>
        <w:rPr>
          <w:color w:val="231F20"/>
        </w:rPr>
        <w:t>Remove all statistical markers from the </w:t>
      </w:r>
      <w:r>
        <w:rPr>
          <w:color w:val="231F20"/>
        </w:rPr>
        <w:t>chart</w:t>
      </w:r>
    </w:p>
    <w:p>
      <w:pPr>
        <w:spacing w:after="0" w:line="266" w:lineRule="auto"/>
        <w:sectPr>
          <w:pgSz w:w="12240" w:h="15840"/>
          <w:pgMar w:header="0" w:footer="736" w:top="1180" w:bottom="920" w:left="1000" w:right="1060"/>
        </w:sectPr>
      </w:pPr>
    </w:p>
    <w:p>
      <w:pPr>
        <w:pStyle w:val="BodyText"/>
      </w:pPr>
    </w:p>
    <w:p>
      <w:pPr>
        <w:pStyle w:val="BodyText"/>
      </w:pPr>
    </w:p>
    <w:p>
      <w:pPr>
        <w:pStyle w:val="BodyText"/>
        <w:spacing w:before="232"/>
      </w:pPr>
    </w:p>
    <w:p>
      <w:pPr>
        <w:pStyle w:val="Heading6"/>
        <w:spacing w:line="240" w:lineRule="auto" w:before="0"/>
        <w:ind w:left="0"/>
        <w:jc w:val="right"/>
      </w:pPr>
      <w:bookmarkStart w:name="_bookmark228" w:id="480"/>
      <w:bookmarkEnd w:id="480"/>
      <w:r>
        <w:rPr>
          <w:b w:val="0"/>
        </w:rPr>
      </w:r>
      <w:r>
        <w:rPr>
          <w:color w:val="231F20"/>
          <w:spacing w:val="-2"/>
        </w:rPr>
        <w:t>Cancel</w:t>
      </w:r>
    </w:p>
    <w:p>
      <w:pPr>
        <w:pStyle w:val="BodyText"/>
        <w:spacing w:before="62"/>
        <w:ind w:left="57"/>
      </w:pPr>
      <w:r>
        <w:rPr/>
        <w:br w:type="column"/>
      </w:r>
      <w:r>
        <w:rPr>
          <w:rFonts w:ascii="Futura MdCn BT"/>
          <w:color w:val="231F20"/>
        </w:rPr>
        <w:t>v</w:t>
      </w:r>
      <w:r>
        <w:rPr>
          <w:rFonts w:ascii="Futura MdCn BT"/>
          <w:color w:val="231F20"/>
          <w:spacing w:val="30"/>
        </w:rPr>
        <w:t>  </w:t>
      </w:r>
      <w:r>
        <w:rPr>
          <w:color w:val="231F20"/>
        </w:rPr>
        <w:t>Clear</w:t>
      </w:r>
      <w:r>
        <w:rPr>
          <w:color w:val="231F20"/>
          <w:spacing w:val="12"/>
        </w:rPr>
        <w:t> </w:t>
      </w:r>
      <w:r>
        <w:rPr>
          <w:color w:val="231F20"/>
        </w:rPr>
        <w:t>the</w:t>
      </w:r>
      <w:r>
        <w:rPr>
          <w:color w:val="231F20"/>
          <w:spacing w:val="12"/>
        </w:rPr>
        <w:t> </w:t>
      </w:r>
      <w:r>
        <w:rPr>
          <w:color w:val="231F20"/>
        </w:rPr>
        <w:t>Function</w:t>
      </w:r>
      <w:r>
        <w:rPr>
          <w:color w:val="231F20"/>
          <w:spacing w:val="12"/>
        </w:rPr>
        <w:t> </w:t>
      </w:r>
      <w:r>
        <w:rPr>
          <w:color w:val="231F20"/>
        </w:rPr>
        <w:t>fields,</w:t>
      </w:r>
      <w:r>
        <w:rPr>
          <w:color w:val="231F20"/>
          <w:spacing w:val="11"/>
        </w:rPr>
        <w:t> </w:t>
      </w:r>
      <w:r>
        <w:rPr>
          <w:color w:val="231F20"/>
        </w:rPr>
        <w:t>including</w:t>
      </w:r>
      <w:r>
        <w:rPr>
          <w:color w:val="231F20"/>
          <w:spacing w:val="12"/>
        </w:rPr>
        <w:t> </w:t>
      </w:r>
      <w:r>
        <w:rPr>
          <w:color w:val="231F20"/>
        </w:rPr>
        <w:t>function</w:t>
      </w:r>
      <w:r>
        <w:rPr>
          <w:color w:val="231F20"/>
          <w:spacing w:val="11"/>
        </w:rPr>
        <w:t> </w:t>
      </w:r>
      <w:r>
        <w:rPr>
          <w:color w:val="231F20"/>
          <w:spacing w:val="-2"/>
        </w:rPr>
        <w:t>results</w:t>
      </w:r>
    </w:p>
    <w:p>
      <w:pPr>
        <w:pStyle w:val="BodyText"/>
        <w:spacing w:before="29"/>
        <w:ind w:left="57"/>
      </w:pPr>
      <w:r>
        <w:rPr>
          <w:rFonts w:ascii="Futura MdCn BT"/>
          <w:color w:val="231F20"/>
        </w:rPr>
        <w:t>v</w:t>
      </w:r>
      <w:r>
        <w:rPr>
          <w:rFonts w:ascii="Futura MdCn BT"/>
          <w:color w:val="231F20"/>
          <w:spacing w:val="32"/>
        </w:rPr>
        <w:t>  </w:t>
      </w:r>
      <w:r>
        <w:rPr>
          <w:color w:val="231F20"/>
        </w:rPr>
        <w:t>Cancel</w:t>
      </w:r>
      <w:r>
        <w:rPr>
          <w:color w:val="231F20"/>
          <w:spacing w:val="14"/>
        </w:rPr>
        <w:t> </w:t>
      </w:r>
      <w:r>
        <w:rPr>
          <w:color w:val="231F20"/>
        </w:rPr>
        <w:t>any</w:t>
      </w:r>
      <w:r>
        <w:rPr>
          <w:color w:val="231F20"/>
          <w:spacing w:val="13"/>
        </w:rPr>
        <w:t> </w:t>
      </w:r>
      <w:r>
        <w:rPr>
          <w:color w:val="231F20"/>
        </w:rPr>
        <w:t>zooms</w:t>
      </w:r>
      <w:r>
        <w:rPr>
          <w:color w:val="231F20"/>
          <w:spacing w:val="14"/>
        </w:rPr>
        <w:t> </w:t>
      </w:r>
      <w:r>
        <w:rPr>
          <w:color w:val="231F20"/>
        </w:rPr>
        <w:t>in</w:t>
      </w:r>
      <w:r>
        <w:rPr>
          <w:color w:val="231F20"/>
          <w:spacing w:val="13"/>
        </w:rPr>
        <w:t> </w:t>
      </w:r>
      <w:r>
        <w:rPr>
          <w:color w:val="231F20"/>
          <w:spacing w:val="-2"/>
        </w:rPr>
        <w:t>progress</w:t>
      </w:r>
    </w:p>
    <w:p>
      <w:pPr>
        <w:pStyle w:val="BodyText"/>
        <w:spacing w:before="30"/>
        <w:ind w:left="57"/>
      </w:pPr>
      <w:r>
        <w:rPr>
          <w:rFonts w:ascii="Futura MdCn BT"/>
          <w:color w:val="231F20"/>
        </w:rPr>
        <w:t>v</w:t>
      </w:r>
      <w:r>
        <w:rPr>
          <w:rFonts w:ascii="Futura MdCn BT"/>
          <w:color w:val="231F20"/>
          <w:spacing w:val="30"/>
        </w:rPr>
        <w:t>  </w:t>
      </w:r>
      <w:r>
        <w:rPr>
          <w:color w:val="231F20"/>
        </w:rPr>
        <w:t>Disable</w:t>
      </w:r>
      <w:r>
        <w:rPr>
          <w:color w:val="231F20"/>
          <w:spacing w:val="13"/>
        </w:rPr>
        <w:t> </w:t>
      </w:r>
      <w:r>
        <w:rPr>
          <w:color w:val="231F20"/>
        </w:rPr>
        <w:t>the</w:t>
      </w:r>
      <w:r>
        <w:rPr>
          <w:color w:val="231F20"/>
          <w:spacing w:val="12"/>
        </w:rPr>
        <w:t> </w:t>
      </w:r>
      <w:r>
        <w:rPr>
          <w:color w:val="231F20"/>
        </w:rPr>
        <w:t>create</w:t>
      </w:r>
      <w:r>
        <w:rPr>
          <w:color w:val="231F20"/>
          <w:spacing w:val="12"/>
        </w:rPr>
        <w:t> </w:t>
      </w:r>
      <w:r>
        <w:rPr>
          <w:color w:val="231F20"/>
        </w:rPr>
        <w:t>schedule</w:t>
      </w:r>
      <w:r>
        <w:rPr>
          <w:color w:val="231F20"/>
          <w:spacing w:val="11"/>
        </w:rPr>
        <w:t> </w:t>
      </w:r>
      <w:r>
        <w:rPr>
          <w:color w:val="231F20"/>
          <w:spacing w:val="-2"/>
        </w:rPr>
        <w:t>action</w:t>
      </w:r>
    </w:p>
    <w:p>
      <w:pPr>
        <w:pStyle w:val="BodyText"/>
        <w:spacing w:before="58"/>
      </w:pPr>
    </w:p>
    <w:p>
      <w:pPr>
        <w:pStyle w:val="BodyText"/>
        <w:spacing w:before="1"/>
        <w:ind w:left="57"/>
      </w:pPr>
      <w:r>
        <w:rPr>
          <w:color w:val="231F20"/>
        </w:rPr>
        <w:t>Click</w:t>
      </w:r>
      <w:r>
        <w:rPr>
          <w:color w:val="231F20"/>
          <w:spacing w:val="11"/>
        </w:rPr>
        <w:t> </w:t>
      </w:r>
      <w:r>
        <w:rPr>
          <w:rFonts w:ascii="Book Antiqua"/>
          <w:b/>
          <w:color w:val="231F20"/>
        </w:rPr>
        <w:t>Cancel</w:t>
      </w:r>
      <w:r>
        <w:rPr>
          <w:rFonts w:ascii="Book Antiqua"/>
          <w:b/>
          <w:color w:val="231F20"/>
          <w:spacing w:val="11"/>
        </w:rPr>
        <w:t> </w:t>
      </w:r>
      <w:r>
        <w:rPr>
          <w:color w:val="231F20"/>
        </w:rPr>
        <w:t>to</w:t>
      </w:r>
      <w:r>
        <w:rPr>
          <w:color w:val="231F20"/>
          <w:spacing w:val="12"/>
        </w:rPr>
        <w:t> </w:t>
      </w:r>
      <w:r>
        <w:rPr>
          <w:color w:val="231F20"/>
        </w:rPr>
        <w:t>exit</w:t>
      </w:r>
      <w:r>
        <w:rPr>
          <w:color w:val="231F20"/>
          <w:spacing w:val="11"/>
        </w:rPr>
        <w:t> </w:t>
      </w:r>
      <w:r>
        <w:rPr>
          <w:color w:val="231F20"/>
        </w:rPr>
        <w:t>the</w:t>
      </w:r>
      <w:r>
        <w:rPr>
          <w:color w:val="231F20"/>
          <w:spacing w:val="12"/>
        </w:rPr>
        <w:t> </w:t>
      </w:r>
      <w:r>
        <w:rPr>
          <w:color w:val="231F20"/>
        </w:rPr>
        <w:t>dialog</w:t>
      </w:r>
      <w:r>
        <w:rPr>
          <w:color w:val="231F20"/>
          <w:spacing w:val="11"/>
        </w:rPr>
        <w:t> </w:t>
      </w:r>
      <w:r>
        <w:rPr>
          <w:color w:val="231F20"/>
        </w:rPr>
        <w:t>without</w:t>
      </w:r>
      <w:r>
        <w:rPr>
          <w:color w:val="231F20"/>
          <w:spacing w:val="11"/>
        </w:rPr>
        <w:t> </w:t>
      </w:r>
      <w:r>
        <w:rPr>
          <w:color w:val="231F20"/>
        </w:rPr>
        <w:t>saving</w:t>
      </w:r>
      <w:r>
        <w:rPr>
          <w:color w:val="231F20"/>
          <w:spacing w:val="12"/>
        </w:rPr>
        <w:t> </w:t>
      </w:r>
      <w:r>
        <w:rPr>
          <w:color w:val="231F20"/>
        </w:rPr>
        <w:t>your</w:t>
      </w:r>
      <w:r>
        <w:rPr>
          <w:color w:val="231F20"/>
          <w:spacing w:val="11"/>
        </w:rPr>
        <w:t> </w:t>
      </w:r>
      <w:r>
        <w:rPr>
          <w:color w:val="231F20"/>
          <w:spacing w:val="-2"/>
        </w:rPr>
        <w:t>changes.</w:t>
      </w:r>
    </w:p>
    <w:p>
      <w:pPr>
        <w:spacing w:after="0"/>
        <w:sectPr>
          <w:pgSz w:w="12240" w:h="15840"/>
          <w:pgMar w:header="0" w:footer="736" w:top="1180" w:bottom="920" w:left="1000" w:right="1060"/>
          <w:cols w:num="2" w:equalWidth="0">
            <w:col w:w="2854" w:space="40"/>
            <w:col w:w="7286"/>
          </w:cols>
        </w:sectPr>
      </w:pPr>
    </w:p>
    <w:p>
      <w:pPr>
        <w:pStyle w:val="Heading5"/>
        <w:spacing w:before="212"/>
        <w:ind w:left="2232"/>
      </w:pPr>
      <w:r>
        <w:rPr>
          <w:color w:val="231F20"/>
          <w:spacing w:val="-2"/>
        </w:rPr>
        <w:t>Example</w:t>
      </w:r>
    </w:p>
    <w:p>
      <w:pPr>
        <w:pStyle w:val="BodyText"/>
        <w:spacing w:line="213" w:lineRule="auto" w:before="246"/>
        <w:ind w:left="2232" w:right="603"/>
      </w:pPr>
      <w:r>
        <w:rPr>
          <w:color w:val="231F20"/>
        </w:rPr>
        <w:t>This example shows a daily schedule over three days that applies the override </w:t>
      </w:r>
      <w:r>
        <w:rPr>
          <w:color w:val="231F20"/>
        </w:rPr>
        <w:t>&gt;=</w:t>
      </w:r>
      <w:r>
        <w:rPr>
          <w:color w:val="231F20"/>
          <w:spacing w:val="40"/>
        </w:rPr>
        <w:t> </w:t>
      </w:r>
      <w:r>
        <w:rPr>
          <w:color w:val="231F20"/>
        </w:rPr>
        <w:t>75 from 01:00 to 06:00.</w:t>
      </w:r>
    </w:p>
    <w:p>
      <w:pPr>
        <w:pStyle w:val="BodyText"/>
        <w:spacing w:before="5"/>
        <w:rPr>
          <w:sz w:val="11"/>
        </w:rPr>
      </w:pPr>
      <w:r>
        <w:rPr/>
        <w:drawing>
          <wp:anchor distT="0" distB="0" distL="0" distR="0" allowOverlap="1" layoutInCell="1" locked="0" behindDoc="1" simplePos="0" relativeHeight="487730688">
            <wp:simplePos x="0" y="0"/>
            <wp:positionH relativeFrom="page">
              <wp:posOffset>2052863</wp:posOffset>
            </wp:positionH>
            <wp:positionV relativeFrom="paragraph">
              <wp:posOffset>113170</wp:posOffset>
            </wp:positionV>
            <wp:extent cx="4777740" cy="2124837"/>
            <wp:effectExtent l="0" t="0" r="0" b="0"/>
            <wp:wrapTopAndBottom/>
            <wp:docPr id="2553" name="Image 2553"/>
            <wp:cNvGraphicFramePr>
              <a:graphicFrameLocks/>
            </wp:cNvGraphicFramePr>
            <a:graphic>
              <a:graphicData uri="http://schemas.openxmlformats.org/drawingml/2006/picture">
                <pic:pic>
                  <pic:nvPicPr>
                    <pic:cNvPr id="2553" name="Image 2553"/>
                    <pic:cNvPicPr/>
                  </pic:nvPicPr>
                  <pic:blipFill>
                    <a:blip r:embed="rId406" cstate="print"/>
                    <a:stretch>
                      <a:fillRect/>
                    </a:stretch>
                  </pic:blipFill>
                  <pic:spPr>
                    <a:xfrm>
                      <a:off x="0" y="0"/>
                      <a:ext cx="4777740" cy="2124837"/>
                    </a:xfrm>
                    <a:prstGeom prst="rect">
                      <a:avLst/>
                    </a:prstGeom>
                  </pic:spPr>
                </pic:pic>
              </a:graphicData>
            </a:graphic>
          </wp:anchor>
        </w:drawing>
      </w:r>
      <w:r>
        <w:rPr/>
        <mc:AlternateContent>
          <mc:Choice Requires="wps">
            <w:drawing>
              <wp:anchor distT="0" distB="0" distL="0" distR="0" allowOverlap="1" layoutInCell="1" locked="0" behindDoc="1" simplePos="0" relativeHeight="487731200">
                <wp:simplePos x="0" y="0"/>
                <wp:positionH relativeFrom="page">
                  <wp:posOffset>760323</wp:posOffset>
                </wp:positionH>
                <wp:positionV relativeFrom="paragraph">
                  <wp:posOffset>2449457</wp:posOffset>
                </wp:positionV>
                <wp:extent cx="6082665" cy="1270"/>
                <wp:effectExtent l="0" t="0" r="0" b="0"/>
                <wp:wrapTopAndBottom/>
                <wp:docPr id="2554" name="Graphic 2554"/>
                <wp:cNvGraphicFramePr>
                  <a:graphicFrameLocks/>
                </wp:cNvGraphicFramePr>
                <a:graphic>
                  <a:graphicData uri="http://schemas.microsoft.com/office/word/2010/wordprocessingShape">
                    <wps:wsp>
                      <wps:cNvPr id="2554" name="Graphic 2554"/>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92.870667pt;width:478.95pt;height:.1pt;mso-position-horizontal-relative:page;mso-position-vertical-relative:paragraph;z-index:-15585280;mso-wrap-distance-left:0;mso-wrap-distance-right:0" id="docshape220" coordorigin="1197,3857" coordsize="9579,0" path="m1197,3857l10776,3857e" filled="false" stroked="true" strokeweight=".499pt" strokecolor="#231f20">
                <v:path arrowok="t"/>
                <v:stroke dashstyle="solid"/>
                <w10:wrap type="topAndBottom"/>
              </v:shape>
            </w:pict>
          </mc:Fallback>
        </mc:AlternateContent>
      </w:r>
    </w:p>
    <w:p>
      <w:pPr>
        <w:pStyle w:val="BodyText"/>
        <w:spacing w:before="39"/>
      </w:pPr>
    </w:p>
    <w:p>
      <w:pPr>
        <w:pStyle w:val="Heading3"/>
        <w:ind w:left="197"/>
      </w:pPr>
      <w:bookmarkStart w:name="Embedding a situation" w:id="481"/>
      <w:bookmarkEnd w:id="481"/>
      <w:r>
        <w:rPr>
          <w:b w:val="0"/>
        </w:rPr>
      </w:r>
      <w:r>
        <w:rPr>
          <w:color w:val="231F20"/>
        </w:rPr>
        <w:t>Embedding</w:t>
      </w:r>
      <w:r>
        <w:rPr>
          <w:color w:val="231F20"/>
          <w:spacing w:val="6"/>
        </w:rPr>
        <w:t> </w:t>
      </w:r>
      <w:r>
        <w:rPr>
          <w:color w:val="231F20"/>
        </w:rPr>
        <w:t>a</w:t>
      </w:r>
      <w:r>
        <w:rPr>
          <w:color w:val="231F20"/>
          <w:spacing w:val="7"/>
        </w:rPr>
        <w:t> </w:t>
      </w:r>
      <w:r>
        <w:rPr>
          <w:color w:val="231F20"/>
          <w:spacing w:val="-2"/>
        </w:rPr>
        <w:t>situation</w:t>
      </w:r>
    </w:p>
    <w:p>
      <w:pPr>
        <w:pStyle w:val="BodyText"/>
        <w:spacing w:line="213" w:lineRule="auto" w:before="138"/>
        <w:ind w:left="2232" w:right="636"/>
      </w:pPr>
      <w:r>
        <w:rPr>
          <w:color w:val="231F20"/>
        </w:rPr>
        <w:t>Reference a situation in another situation by embedding it. Embedding </w:t>
      </w:r>
      <w:r>
        <w:rPr>
          <w:color w:val="231F20"/>
        </w:rPr>
        <w:t>situations enables you to monitor several conditions with the same situation and mix and match them to create new situations, rather than having to manually enter different combinations of expressions.</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To</w:t>
      </w:r>
      <w:r>
        <w:rPr>
          <w:color w:val="231F20"/>
          <w:spacing w:val="9"/>
        </w:rPr>
        <w:t> </w:t>
      </w:r>
      <w:r>
        <w:rPr>
          <w:color w:val="231F20"/>
        </w:rPr>
        <w:t>use</w:t>
      </w:r>
      <w:r>
        <w:rPr>
          <w:color w:val="231F20"/>
          <w:spacing w:val="10"/>
        </w:rPr>
        <w:t> </w:t>
      </w:r>
      <w:r>
        <w:rPr>
          <w:color w:val="231F20"/>
        </w:rPr>
        <w:t>this</w:t>
      </w:r>
      <w:r>
        <w:rPr>
          <w:color w:val="231F20"/>
          <w:spacing w:val="9"/>
        </w:rPr>
        <w:t> </w:t>
      </w:r>
      <w:r>
        <w:rPr>
          <w:color w:val="231F20"/>
        </w:rPr>
        <w:t>feature,</w:t>
      </w:r>
      <w:r>
        <w:rPr>
          <w:color w:val="231F20"/>
          <w:spacing w:val="10"/>
        </w:rPr>
        <w:t> </w:t>
      </w:r>
      <w:r>
        <w:rPr>
          <w:color w:val="231F20"/>
        </w:rPr>
        <w:t>your</w:t>
      </w:r>
      <w:r>
        <w:rPr>
          <w:color w:val="231F20"/>
          <w:spacing w:val="10"/>
        </w:rPr>
        <w:t> </w:t>
      </w:r>
      <w:r>
        <w:rPr>
          <w:color w:val="231F20"/>
        </w:rPr>
        <w:t>user</w:t>
      </w:r>
      <w:r>
        <w:rPr>
          <w:color w:val="231F20"/>
          <w:spacing w:val="9"/>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9"/>
        </w:rPr>
        <w:t> </w:t>
      </w:r>
      <w:r>
        <w:rPr>
          <w:color w:val="231F20"/>
        </w:rPr>
        <w:t>Modify</w:t>
      </w:r>
      <w:r>
        <w:rPr>
          <w:color w:val="231F20"/>
          <w:spacing w:val="10"/>
        </w:rPr>
        <w:t> </w:t>
      </w:r>
      <w:r>
        <w:rPr>
          <w:color w:val="231F20"/>
        </w:rPr>
        <w:t>permission</w:t>
      </w:r>
      <w:r>
        <w:rPr>
          <w:color w:val="231F20"/>
          <w:spacing w:val="10"/>
        </w:rPr>
        <w:t> </w:t>
      </w:r>
      <w:r>
        <w:rPr>
          <w:color w:val="231F20"/>
        </w:rPr>
        <w:t>for</w:t>
      </w:r>
      <w:r>
        <w:rPr>
          <w:color w:val="231F20"/>
          <w:spacing w:val="9"/>
        </w:rPr>
        <w:t> </w:t>
      </w:r>
      <w:r>
        <w:rPr>
          <w:color w:val="231F20"/>
          <w:spacing w:val="-2"/>
        </w:rPr>
        <w:t>Situations</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spacing w:line="211" w:lineRule="auto" w:before="248"/>
        <w:ind w:left="2232" w:right="588" w:firstLine="0"/>
        <w:jc w:val="both"/>
        <w:rPr>
          <w:sz w:val="20"/>
        </w:rPr>
      </w:pPr>
      <w:r>
        <w:rPr>
          <w:color w:val="231F20"/>
          <w:sz w:val="20"/>
        </w:rPr>
        <w:t>You embed a situation by selecting </w:t>
      </w:r>
      <w:r>
        <w:rPr>
          <w:color w:val="231F20"/>
          <w:spacing w:val="15"/>
          <w:sz w:val="20"/>
        </w:rPr>
        <w:drawing>
          <wp:inline distT="0" distB="0" distL="0" distR="0">
            <wp:extent cx="88900" cy="82550"/>
            <wp:effectExtent l="0" t="0" r="0" b="0"/>
            <wp:docPr id="2555" name="Image 2555"/>
            <wp:cNvGraphicFramePr>
              <a:graphicFrameLocks/>
            </wp:cNvGraphicFramePr>
            <a:graphic>
              <a:graphicData uri="http://schemas.openxmlformats.org/drawingml/2006/picture">
                <pic:pic>
                  <pic:nvPicPr>
                    <pic:cNvPr id="2555" name="Image 255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5"/>
          <w:sz w:val="20"/>
        </w:rPr>
        <w:t> </w:t>
      </w:r>
      <w:r>
        <w:rPr>
          <w:rFonts w:ascii="Book Antiqua"/>
          <w:b/>
          <w:color w:val="231F20"/>
          <w:sz w:val="20"/>
        </w:rPr>
        <w:t>Situation Comparison </w:t>
      </w:r>
      <w:r>
        <w:rPr>
          <w:color w:val="231F20"/>
          <w:sz w:val="20"/>
        </w:rPr>
        <w:t>for </w:t>
      </w:r>
      <w:r>
        <w:rPr>
          <w:rFonts w:ascii="Book Antiqua"/>
          <w:b/>
          <w:color w:val="231F20"/>
          <w:sz w:val="20"/>
        </w:rPr>
        <w:t>Condition Type</w:t>
      </w:r>
      <w:r>
        <w:rPr>
          <w:rFonts w:ascii="Book Antiqua"/>
          <w:b/>
          <w:color w:val="231F20"/>
          <w:spacing w:val="40"/>
          <w:sz w:val="20"/>
        </w:rPr>
        <w:t> </w:t>
      </w:r>
      <w:r>
        <w:rPr>
          <w:color w:val="231F20"/>
          <w:sz w:val="20"/>
        </w:rPr>
        <w:t>in the Select Condition window. The Select Condition window appears after you click </w:t>
      </w:r>
      <w:r>
        <w:rPr>
          <w:rFonts w:ascii="Book Antiqua"/>
          <w:b/>
          <w:color w:val="231F20"/>
          <w:sz w:val="20"/>
        </w:rPr>
        <w:t>OK </w:t>
      </w:r>
      <w:r>
        <w:rPr>
          <w:color w:val="231F20"/>
          <w:sz w:val="20"/>
        </w:rPr>
        <w:t>on the Create Situation window, or after you select </w:t>
      </w:r>
      <w:r>
        <w:rPr>
          <w:rFonts w:ascii="Book Antiqua"/>
          <w:b/>
          <w:color w:val="231F20"/>
          <w:sz w:val="20"/>
        </w:rPr>
        <w:t>Add Condition... </w:t>
      </w:r>
      <w:r>
        <w:rPr>
          <w:color w:val="231F20"/>
          <w:sz w:val="20"/>
        </w:rPr>
        <w:t>on the </w:t>
      </w:r>
      <w:r>
        <w:rPr>
          <w:rFonts w:ascii="Book Antiqua"/>
          <w:b/>
          <w:color w:val="231F20"/>
          <w:sz w:val="20"/>
        </w:rPr>
        <w:t>Formula </w:t>
      </w:r>
      <w:r>
        <w:rPr>
          <w:color w:val="231F20"/>
          <w:sz w:val="20"/>
        </w:rPr>
        <w:t>tab. Take these steps to embed a situation:</w:t>
      </w:r>
    </w:p>
    <w:p>
      <w:pPr>
        <w:pStyle w:val="Heading4"/>
        <w:spacing w:before="203"/>
      </w:pPr>
      <w:r>
        <w:rPr>
          <w:color w:val="231F20"/>
          <w:spacing w:val="-2"/>
        </w:rPr>
        <w:t>Procedure</w:t>
      </w:r>
    </w:p>
    <w:p>
      <w:pPr>
        <w:pStyle w:val="ListParagraph"/>
        <w:numPr>
          <w:ilvl w:val="0"/>
          <w:numId w:val="136"/>
        </w:numPr>
        <w:tabs>
          <w:tab w:pos="2547" w:val="left" w:leader="none"/>
        </w:tabs>
        <w:spacing w:line="240" w:lineRule="auto" w:before="43" w:after="0"/>
        <w:ind w:left="2547" w:right="0" w:hanging="315"/>
        <w:jc w:val="left"/>
        <w:rPr>
          <w:sz w:val="20"/>
        </w:rPr>
      </w:pPr>
      <w:r>
        <w:rPr>
          <w:color w:val="231F20"/>
          <w:sz w:val="20"/>
        </w:rPr>
        <w:t>In</w:t>
      </w:r>
      <w:r>
        <w:rPr>
          <w:color w:val="231F20"/>
          <w:spacing w:val="5"/>
          <w:sz w:val="20"/>
        </w:rPr>
        <w:t> </w:t>
      </w:r>
      <w:r>
        <w:rPr>
          <w:color w:val="231F20"/>
          <w:sz w:val="20"/>
        </w:rPr>
        <w:t>the</w:t>
      </w:r>
      <w:r>
        <w:rPr>
          <w:color w:val="231F20"/>
          <w:spacing w:val="10"/>
          <w:sz w:val="20"/>
        </w:rPr>
        <w:t> </w:t>
      </w:r>
      <w:r>
        <w:rPr>
          <w:color w:val="231F20"/>
          <w:sz w:val="20"/>
        </w:rPr>
        <w:t>Select</w:t>
      </w:r>
      <w:r>
        <w:rPr>
          <w:color w:val="231F20"/>
          <w:spacing w:val="9"/>
          <w:sz w:val="20"/>
        </w:rPr>
        <w:t> </w:t>
      </w:r>
      <w:r>
        <w:rPr>
          <w:color w:val="231F20"/>
          <w:sz w:val="20"/>
        </w:rPr>
        <w:t>Condition,</w:t>
      </w:r>
      <w:r>
        <w:rPr>
          <w:color w:val="231F20"/>
          <w:spacing w:val="10"/>
          <w:sz w:val="20"/>
        </w:rPr>
        <w:t> </w:t>
      </w:r>
      <w:r>
        <w:rPr>
          <w:color w:val="231F20"/>
          <w:sz w:val="20"/>
        </w:rPr>
        <w:t>for</w:t>
      </w:r>
      <w:r>
        <w:rPr>
          <w:color w:val="231F20"/>
          <w:spacing w:val="9"/>
          <w:sz w:val="20"/>
        </w:rPr>
        <w:t> </w:t>
      </w:r>
      <w:r>
        <w:rPr>
          <w:color w:val="231F20"/>
          <w:sz w:val="20"/>
        </w:rPr>
        <w:t>the</w:t>
      </w:r>
      <w:r>
        <w:rPr>
          <w:color w:val="231F20"/>
          <w:spacing w:val="9"/>
          <w:sz w:val="20"/>
        </w:rPr>
        <w:t> </w:t>
      </w:r>
      <w:r>
        <w:rPr>
          <w:color w:val="231F20"/>
          <w:sz w:val="20"/>
        </w:rPr>
        <w:t>Condition</w:t>
      </w:r>
      <w:r>
        <w:rPr>
          <w:color w:val="231F20"/>
          <w:spacing w:val="10"/>
          <w:sz w:val="20"/>
        </w:rPr>
        <w:t> </w:t>
      </w:r>
      <w:r>
        <w:rPr>
          <w:color w:val="231F20"/>
          <w:sz w:val="20"/>
        </w:rPr>
        <w:t>Type,</w:t>
      </w:r>
      <w:r>
        <w:rPr>
          <w:color w:val="231F20"/>
          <w:spacing w:val="9"/>
          <w:sz w:val="20"/>
        </w:rPr>
        <w:t> </w:t>
      </w:r>
      <w:r>
        <w:rPr>
          <w:color w:val="231F20"/>
          <w:sz w:val="20"/>
        </w:rPr>
        <w:t>select</w:t>
      </w:r>
      <w:r>
        <w:rPr>
          <w:color w:val="231F20"/>
          <w:spacing w:val="8"/>
          <w:sz w:val="20"/>
        </w:rPr>
        <w:t> </w:t>
      </w:r>
      <w:r>
        <w:rPr>
          <w:color w:val="231F20"/>
          <w:spacing w:val="15"/>
          <w:sz w:val="20"/>
        </w:rPr>
        <w:drawing>
          <wp:inline distT="0" distB="0" distL="0" distR="0">
            <wp:extent cx="88900" cy="82550"/>
            <wp:effectExtent l="0" t="0" r="0" b="0"/>
            <wp:docPr id="2556" name="Image 2556"/>
            <wp:cNvGraphicFramePr>
              <a:graphicFrameLocks/>
            </wp:cNvGraphicFramePr>
            <a:graphic>
              <a:graphicData uri="http://schemas.openxmlformats.org/drawingml/2006/picture">
                <pic:pic>
                  <pic:nvPicPr>
                    <pic:cNvPr id="2556" name="Image 255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6"/>
          <w:sz w:val="20"/>
        </w:rPr>
        <w:t> </w:t>
      </w:r>
      <w:r>
        <w:rPr>
          <w:rFonts w:ascii="Book Antiqua"/>
          <w:b/>
          <w:color w:val="231F20"/>
          <w:sz w:val="20"/>
        </w:rPr>
        <w:t>Situation</w:t>
      </w:r>
      <w:r>
        <w:rPr>
          <w:rFonts w:ascii="Book Antiqua"/>
          <w:b/>
          <w:color w:val="231F20"/>
          <w:spacing w:val="10"/>
          <w:sz w:val="20"/>
        </w:rPr>
        <w:t> </w:t>
      </w:r>
      <w:r>
        <w:rPr>
          <w:rFonts w:ascii="Book Antiqua"/>
          <w:b/>
          <w:color w:val="231F20"/>
          <w:spacing w:val="-2"/>
          <w:sz w:val="20"/>
        </w:rPr>
        <w:t>Comparison</w:t>
      </w:r>
      <w:r>
        <w:rPr>
          <w:color w:val="231F20"/>
          <w:spacing w:val="-2"/>
          <w:sz w:val="20"/>
        </w:rPr>
        <w:t>.</w:t>
      </w:r>
    </w:p>
    <w:p>
      <w:pPr>
        <w:pStyle w:val="ListParagraph"/>
        <w:numPr>
          <w:ilvl w:val="0"/>
          <w:numId w:val="136"/>
        </w:numPr>
        <w:tabs>
          <w:tab w:pos="2548" w:val="left" w:leader="none"/>
        </w:tabs>
        <w:spacing w:line="213" w:lineRule="auto" w:before="48" w:after="0"/>
        <w:ind w:left="2548" w:right="670" w:hanging="316"/>
        <w:jc w:val="left"/>
        <w:rPr>
          <w:sz w:val="20"/>
        </w:rPr>
      </w:pPr>
      <w:r>
        <w:rPr>
          <w:color w:val="231F20"/>
          <w:sz w:val="20"/>
        </w:rPr>
        <w:t>Select the situation to embed. You can then use Ctrl+click to select additional situations from the list or Shift+click to select all situations between and including the first selection and this one. Situations that have already been chosen are colored blue.</w:t>
      </w:r>
    </w:p>
    <w:p>
      <w:pPr>
        <w:pStyle w:val="ListParagraph"/>
        <w:numPr>
          <w:ilvl w:val="0"/>
          <w:numId w:val="136"/>
        </w:numPr>
        <w:tabs>
          <w:tab w:pos="2547" w:val="left" w:leader="none"/>
        </w:tabs>
        <w:spacing w:line="240" w:lineRule="auto" w:before="34" w:after="0"/>
        <w:ind w:left="2547" w:right="0" w:hanging="315"/>
        <w:jc w:val="left"/>
        <w:rPr>
          <w:sz w:val="20"/>
        </w:rPr>
      </w:pPr>
      <w:r>
        <w:rPr>
          <w:color w:val="231F20"/>
          <w:sz w:val="20"/>
        </w:rPr>
        <w:t>Click</w:t>
      </w:r>
      <w:r>
        <w:rPr>
          <w:color w:val="231F20"/>
          <w:spacing w:val="12"/>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2"/>
          <w:sz w:val="20"/>
        </w:rPr>
        <w:t> </w:t>
      </w:r>
      <w:r>
        <w:rPr>
          <w:color w:val="231F20"/>
          <w:sz w:val="20"/>
        </w:rPr>
        <w:t>see</w:t>
      </w:r>
      <w:r>
        <w:rPr>
          <w:color w:val="231F20"/>
          <w:spacing w:val="12"/>
          <w:sz w:val="20"/>
        </w:rPr>
        <w:t> </w:t>
      </w:r>
      <w:r>
        <w:rPr>
          <w:color w:val="231F20"/>
          <w:sz w:val="20"/>
        </w:rPr>
        <w:t>the</w:t>
      </w:r>
      <w:r>
        <w:rPr>
          <w:color w:val="231F20"/>
          <w:spacing w:val="12"/>
          <w:sz w:val="20"/>
        </w:rPr>
        <w:t> </w:t>
      </w:r>
      <w:r>
        <w:rPr>
          <w:color w:val="231F20"/>
          <w:sz w:val="20"/>
        </w:rPr>
        <w:t>situations</w:t>
      </w:r>
      <w:r>
        <w:rPr>
          <w:color w:val="231F20"/>
          <w:spacing w:val="12"/>
          <w:sz w:val="20"/>
        </w:rPr>
        <w:t> </w:t>
      </w:r>
      <w:r>
        <w:rPr>
          <w:color w:val="231F20"/>
          <w:sz w:val="20"/>
        </w:rPr>
        <w:t>in</w:t>
      </w:r>
      <w:r>
        <w:rPr>
          <w:color w:val="231F20"/>
          <w:spacing w:val="12"/>
          <w:sz w:val="20"/>
        </w:rPr>
        <w:t> </w:t>
      </w:r>
      <w:r>
        <w:rPr>
          <w:color w:val="231F20"/>
          <w:sz w:val="20"/>
        </w:rPr>
        <w:t>the</w:t>
      </w:r>
      <w:r>
        <w:rPr>
          <w:color w:val="231F20"/>
          <w:spacing w:val="12"/>
          <w:sz w:val="20"/>
        </w:rPr>
        <w:t> </w:t>
      </w:r>
      <w:r>
        <w:rPr>
          <w:color w:val="231F20"/>
          <w:sz w:val="20"/>
        </w:rPr>
        <w:t>formula</w:t>
      </w:r>
      <w:r>
        <w:rPr>
          <w:color w:val="231F20"/>
          <w:spacing w:val="12"/>
          <w:sz w:val="20"/>
        </w:rPr>
        <w:t> </w:t>
      </w:r>
      <w:r>
        <w:rPr>
          <w:color w:val="231F20"/>
          <w:spacing w:val="-2"/>
          <w:sz w:val="20"/>
        </w:rPr>
        <w:t>editor.</w:t>
      </w:r>
    </w:p>
    <w:p>
      <w:pPr>
        <w:pStyle w:val="ListParagraph"/>
        <w:numPr>
          <w:ilvl w:val="0"/>
          <w:numId w:val="136"/>
        </w:numPr>
        <w:tabs>
          <w:tab w:pos="2546" w:val="left" w:leader="none"/>
          <w:tab w:pos="2548" w:val="left" w:leader="none"/>
        </w:tabs>
        <w:spacing w:line="213" w:lineRule="auto" w:before="52" w:after="0"/>
        <w:ind w:left="2548" w:right="474" w:hanging="317"/>
        <w:jc w:val="left"/>
        <w:rPr>
          <w:sz w:val="20"/>
        </w:rPr>
      </w:pPr>
      <w:r>
        <w:rPr>
          <w:color w:val="231F20"/>
          <w:sz w:val="20"/>
        </w:rPr>
        <w:t>Click in a cell below each new column to add </w:t>
      </w:r>
      <w:r>
        <w:rPr>
          <w:color w:val="231F20"/>
          <w:spacing w:val="15"/>
          <w:position w:val="-1"/>
          <w:sz w:val="20"/>
        </w:rPr>
        <w:drawing>
          <wp:inline distT="0" distB="0" distL="0" distR="0">
            <wp:extent cx="101600" cy="95250"/>
            <wp:effectExtent l="0" t="0" r="0" b="0"/>
            <wp:docPr id="2557" name="Image 2557"/>
            <wp:cNvGraphicFramePr>
              <a:graphicFrameLocks/>
            </wp:cNvGraphicFramePr>
            <a:graphic>
              <a:graphicData uri="http://schemas.openxmlformats.org/drawingml/2006/picture">
                <pic:pic>
                  <pic:nvPicPr>
                    <pic:cNvPr id="2557" name="Image 2557"/>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 True </w:t>
      </w:r>
      <w:r>
        <w:rPr>
          <w:color w:val="231F20"/>
          <w:sz w:val="20"/>
        </w:rPr>
        <w:t>and complete the expression. If two conditions must be satisfied, this is an AND comparison </w:t>
      </w:r>
      <w:r>
        <w:rPr>
          <w:color w:val="231F20"/>
          <w:sz w:val="20"/>
        </w:rPr>
        <w:t>and their expressions must be entered on the same row of the editor; if either</w:t>
      </w:r>
    </w:p>
    <w:p>
      <w:pPr>
        <w:spacing w:after="0" w:line="213" w:lineRule="auto"/>
        <w:jc w:val="left"/>
        <w:rPr>
          <w:sz w:val="20"/>
        </w:rPr>
        <w:sectPr>
          <w:type w:val="continuous"/>
          <w:pgSz w:w="12240" w:h="15840"/>
          <w:pgMar w:header="0" w:footer="736" w:top="0" w:bottom="4660" w:left="1000" w:right="1060"/>
        </w:sectPr>
      </w:pPr>
    </w:p>
    <w:p>
      <w:pPr>
        <w:pStyle w:val="BodyText"/>
        <w:spacing w:line="213" w:lineRule="auto" w:before="85"/>
        <w:ind w:left="2788" w:right="545"/>
      </w:pPr>
      <w:r>
        <w:rPr>
          <w:color w:val="231F20"/>
        </w:rPr>
        <w:t>condition can be satisfied for the situation to be true, then this is an OR comparison and the expressions are entered on different rows.</w:t>
      </w:r>
    </w:p>
    <w:p>
      <w:pPr>
        <w:pStyle w:val="ListParagraph"/>
        <w:numPr>
          <w:ilvl w:val="0"/>
          <w:numId w:val="136"/>
        </w:numPr>
        <w:tabs>
          <w:tab w:pos="2788" w:val="left" w:leader="none"/>
        </w:tabs>
        <w:spacing w:line="213" w:lineRule="auto" w:before="58" w:after="0"/>
        <w:ind w:left="2788" w:right="379" w:hanging="316"/>
        <w:jc w:val="left"/>
        <w:rPr>
          <w:sz w:val="20"/>
        </w:rPr>
      </w:pPr>
      <w:r>
        <w:rPr>
          <w:color w:val="231F20"/>
          <w:sz w:val="20"/>
        </w:rPr>
        <w:t>A situation that embeds another requires at least two conditions. If you have more conditions to add, click </w:t>
      </w:r>
      <w:r>
        <w:rPr>
          <w:rFonts w:ascii="Book Antiqua"/>
          <w:b/>
          <w:color w:val="231F20"/>
          <w:sz w:val="20"/>
        </w:rPr>
        <w:t>Add Conditions</w:t>
      </w:r>
      <w:r>
        <w:rPr>
          <w:color w:val="231F20"/>
          <w:sz w:val="20"/>
        </w:rPr>
        <w:t>, and repeat steps 1 through 4 until you are finished with the formula. The other condition can be a </w:t>
      </w:r>
      <w:r>
        <w:rPr>
          <w:color w:val="231F20"/>
          <w:sz w:val="20"/>
        </w:rPr>
        <w:t>formula function or another embedded situation.</w:t>
      </w:r>
    </w:p>
    <w:p>
      <w:pPr>
        <w:pStyle w:val="ListParagraph"/>
        <w:numPr>
          <w:ilvl w:val="0"/>
          <w:numId w:val="136"/>
        </w:numPr>
        <w:tabs>
          <w:tab w:pos="2788" w:val="left" w:leader="none"/>
        </w:tabs>
        <w:spacing w:line="213" w:lineRule="auto" w:before="57" w:after="0"/>
        <w:ind w:left="2788" w:right="197" w:hanging="316"/>
        <w:jc w:val="left"/>
        <w:rPr>
          <w:sz w:val="20"/>
        </w:rPr>
      </w:pPr>
      <w:r>
        <w:rPr>
          <w:color w:val="231F20"/>
          <w:sz w:val="20"/>
        </w:rPr>
        <w:t>When you are finished composing or editing the situation, save your changes</w:t>
      </w:r>
      <w:r>
        <w:rPr>
          <w:color w:val="231F20"/>
          <w:spacing w:val="40"/>
          <w:sz w:val="20"/>
        </w:rPr>
        <w:t> </w:t>
      </w:r>
      <w:r>
        <w:rPr>
          <w:color w:val="231F20"/>
          <w:sz w:val="20"/>
        </w:rPr>
        <w:t>and start the situation by clicking </w:t>
      </w:r>
      <w:r>
        <w:rPr>
          <w:rFonts w:ascii="Book Antiqua"/>
          <w:b/>
          <w:color w:val="231F20"/>
          <w:sz w:val="20"/>
        </w:rPr>
        <w:t>Apply </w:t>
      </w:r>
      <w:r>
        <w:rPr>
          <w:color w:val="231F20"/>
          <w:sz w:val="20"/>
        </w:rPr>
        <w:t>to keep the editor open; or by </w:t>
      </w:r>
      <w:r>
        <w:rPr>
          <w:color w:val="231F20"/>
          <w:sz w:val="20"/>
        </w:rPr>
        <w:t>clicking </w:t>
      </w:r>
      <w:r>
        <w:rPr>
          <w:rFonts w:ascii="Book Antiqua"/>
          <w:b/>
          <w:color w:val="231F20"/>
          <w:sz w:val="20"/>
        </w:rPr>
        <w:t>OK </w:t>
      </w:r>
      <w:r>
        <w:rPr>
          <w:color w:val="231F20"/>
          <w:sz w:val="20"/>
        </w:rPr>
        <w:t>to close the Situation editor.</w:t>
      </w:r>
    </w:p>
    <w:p>
      <w:pPr>
        <w:pStyle w:val="Heading4"/>
        <w:ind w:left="2472"/>
      </w:pPr>
      <w:r>
        <w:rPr>
          <w:color w:val="231F20"/>
          <w:spacing w:val="-2"/>
        </w:rPr>
        <w:t>Results</w:t>
      </w:r>
    </w:p>
    <w:p>
      <w:pPr>
        <w:pStyle w:val="BodyText"/>
        <w:spacing w:line="213" w:lineRule="auto" w:before="241"/>
        <w:ind w:left="2472" w:right="313"/>
      </w:pPr>
      <w:r>
        <w:rPr>
          <w:color w:val="231F20"/>
        </w:rPr>
        <w:t>The Situation editor performs syntax checking on each expression you enter. If </w:t>
      </w:r>
      <w:r>
        <w:rPr>
          <w:color w:val="231F20"/>
        </w:rPr>
        <w:t>you entered an improper value for an attribute, such as “abc” for Disk Size, the cell</w:t>
      </w:r>
      <w:r>
        <w:rPr>
          <w:color w:val="231F20"/>
          <w:spacing w:val="80"/>
          <w:w w:val="150"/>
        </w:rPr>
        <w:t> </w:t>
      </w:r>
      <w:r>
        <w:rPr>
          <w:color w:val="231F20"/>
        </w:rPr>
        <w:t>turns red and the situation will not be saved until you correct the error.</w:t>
      </w:r>
    </w:p>
    <w:p>
      <w:pPr>
        <w:pStyle w:val="BodyText"/>
        <w:spacing w:line="213" w:lineRule="auto" w:before="237"/>
        <w:ind w:left="2472" w:right="545"/>
      </w:pPr>
      <w:r>
        <w:rPr>
          <w:color w:val="231F20"/>
        </w:rPr>
        <w:t>The properties of the embedding situation, such as the monitoring </w:t>
      </w:r>
      <w:r>
        <w:rPr>
          <w:color w:val="231F20"/>
        </w:rPr>
        <w:t>interval, override the properties of the embedded situation.</w:t>
      </w:r>
    </w:p>
    <w:p>
      <w:pPr>
        <w:pStyle w:val="BodyText"/>
        <w:spacing w:line="213" w:lineRule="auto" w:before="238"/>
        <w:ind w:left="2472" w:right="683"/>
        <w:jc w:val="both"/>
      </w:pPr>
      <w:r>
        <w:rPr>
          <w:color w:val="231F20"/>
        </w:rPr>
        <w:t>In the unlikely event that two users attempt to save a situation with the </w:t>
      </w:r>
      <w:r>
        <w:rPr>
          <w:color w:val="231F20"/>
        </w:rPr>
        <w:t>same name simultaneously, an error will occur ensuring that one situation does not overwrite another.</w:t>
      </w:r>
    </w:p>
    <w:p>
      <w:pPr>
        <w:pStyle w:val="Heading4"/>
        <w:ind w:left="2472"/>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472" w:right="385"/>
      </w:pPr>
      <w:r>
        <w:rPr>
          <w:color w:val="231F20"/>
        </w:rPr>
        <w:t>If you opened the Situation editor from the toolbar, the situation you just created will not be associated with any Navigator items and no event indicator is</w:t>
      </w:r>
      <w:r>
        <w:rPr>
          <w:color w:val="231F20"/>
          <w:spacing w:val="40"/>
        </w:rPr>
        <w:t> </w:t>
      </w:r>
      <w:r>
        <w:rPr>
          <w:color w:val="231F20"/>
        </w:rPr>
        <w:t>displayed when the situation becomes true. You must associate a situation with a Navigator item or change its state and click </w:t>
      </w:r>
      <w:r>
        <w:rPr>
          <w:rFonts w:ascii="Book Antiqua"/>
          <w:b/>
          <w:color w:val="231F20"/>
        </w:rPr>
        <w:t>Apply</w:t>
      </w:r>
      <w:r>
        <w:rPr>
          <w:color w:val="231F20"/>
        </w:rPr>
        <w:t>.</w:t>
      </w:r>
    </w:p>
    <w:p>
      <w:pPr>
        <w:pStyle w:val="BodyText"/>
        <w:spacing w:line="213" w:lineRule="auto" w:before="237"/>
        <w:ind w:left="2472" w:right="274"/>
      </w:pPr>
      <w:r>
        <w:rPr>
          <w:color w:val="231F20"/>
        </w:rPr>
        <w:t>You must distribute each embedded situation to the same managed systems as </w:t>
      </w:r>
      <w:r>
        <w:rPr>
          <w:color w:val="231F20"/>
        </w:rPr>
        <w:t>the embedding situation. Otherwise, the embedding situation does not run.</w:t>
      </w:r>
    </w:p>
    <w:p>
      <w:pPr>
        <w:pStyle w:val="BodyText"/>
        <w:spacing w:line="213" w:lineRule="auto" w:before="238"/>
        <w:ind w:left="2472" w:right="385"/>
      </w:pPr>
      <w:r>
        <w:rPr>
          <w:color w:val="231F20"/>
        </w:rPr>
        <w:t>If you change an embedded situation, you must restart each situation that </w:t>
      </w:r>
      <w:r>
        <w:rPr>
          <w:color w:val="231F20"/>
        </w:rPr>
        <w:t>embeds</w:t>
      </w:r>
      <w:r>
        <w:rPr>
          <w:color w:val="231F20"/>
          <w:spacing w:val="40"/>
        </w:rPr>
        <w:t> </w:t>
      </w:r>
      <w:r>
        <w:rPr>
          <w:color w:val="231F20"/>
          <w:spacing w:val="-4"/>
        </w:rPr>
        <w:t>it.</w:t>
      </w:r>
    </w:p>
    <w:p>
      <w:pPr>
        <w:pStyle w:val="BodyText"/>
        <w:spacing w:line="213" w:lineRule="auto" w:before="238"/>
        <w:ind w:left="2472" w:right="769"/>
        <w:jc w:val="both"/>
      </w:pPr>
      <w:r>
        <w:rPr>
          <w:color w:val="231F20"/>
        </w:rPr>
        <w:t>When you stop a situation that embeds other situations, only the </w:t>
      </w:r>
      <w:r>
        <w:rPr>
          <w:color w:val="231F20"/>
        </w:rPr>
        <w:t>embedding situation is stopped; the embedded situations continue to run.</w:t>
      </w:r>
    </w:p>
    <w:p>
      <w:pPr>
        <w:pStyle w:val="BodyText"/>
        <w:spacing w:line="213" w:lineRule="auto" w:before="238"/>
        <w:ind w:left="2472" w:right="258"/>
      </w:pPr>
      <w:r>
        <w:rPr>
          <w:color w:val="231F20"/>
        </w:rPr>
        <w:t>A situation cannot be embedded in the situation if it has a display item assigned. You can create another situation and remove the display item assignment from </w:t>
      </w:r>
      <w:r>
        <w:rPr>
          <w:color w:val="231F20"/>
        </w:rPr>
        <w:t>the new situation to enable it for embedding.</w:t>
      </w:r>
    </w:p>
    <w:p>
      <w:pPr>
        <w:pStyle w:val="BodyText"/>
        <w:spacing w:line="213" w:lineRule="auto" w:before="237"/>
        <w:ind w:left="2472" w:right="258"/>
      </w:pPr>
      <w:r>
        <w:rPr>
          <w:color w:val="231F20"/>
        </w:rPr>
        <w:t>Situations</w:t>
      </w:r>
      <w:r>
        <w:rPr>
          <w:color w:val="231F20"/>
          <w:spacing w:val="25"/>
        </w:rPr>
        <w:t> </w:t>
      </w:r>
      <w:r>
        <w:rPr>
          <w:color w:val="231F20"/>
        </w:rPr>
        <w:t>are</w:t>
      </w:r>
      <w:r>
        <w:rPr>
          <w:color w:val="231F20"/>
          <w:spacing w:val="25"/>
        </w:rPr>
        <w:t> </w:t>
      </w:r>
      <w:r>
        <w:rPr>
          <w:color w:val="231F20"/>
        </w:rPr>
        <w:t>stored</w:t>
      </w:r>
      <w:r>
        <w:rPr>
          <w:color w:val="231F20"/>
          <w:spacing w:val="25"/>
        </w:rPr>
        <w:t> </w:t>
      </w:r>
      <w:r>
        <w:rPr>
          <w:color w:val="231F20"/>
        </w:rPr>
        <w:t>at</w:t>
      </w:r>
      <w:r>
        <w:rPr>
          <w:color w:val="231F20"/>
          <w:spacing w:val="25"/>
        </w:rPr>
        <w:t> </w:t>
      </w:r>
      <w:r>
        <w:rPr>
          <w:color w:val="231F20"/>
        </w:rPr>
        <w:t>the</w:t>
      </w:r>
      <w:r>
        <w:rPr>
          <w:color w:val="231F20"/>
          <w:spacing w:val="25"/>
        </w:rPr>
        <w:t> </w:t>
      </w:r>
      <w:r>
        <w:rPr>
          <w:color w:val="231F20"/>
        </w:rPr>
        <w:t>hub</w:t>
      </w:r>
      <w:r>
        <w:rPr>
          <w:color w:val="231F20"/>
          <w:spacing w:val="25"/>
        </w:rPr>
        <w:t> </w:t>
      </w:r>
      <w:r>
        <w:rPr>
          <w:color w:val="231F20"/>
        </w:rPr>
        <w:t>monitoring</w:t>
      </w:r>
      <w:r>
        <w:rPr>
          <w:color w:val="231F20"/>
          <w:spacing w:val="25"/>
        </w:rPr>
        <w:t> </w:t>
      </w:r>
      <w:r>
        <w:rPr>
          <w:color w:val="231F20"/>
        </w:rPr>
        <w:t>server.</w:t>
      </w:r>
      <w:r>
        <w:rPr>
          <w:color w:val="231F20"/>
          <w:spacing w:val="25"/>
        </w:rPr>
        <w:t> </w:t>
      </w:r>
      <w:r>
        <w:rPr>
          <w:color w:val="231F20"/>
        </w:rPr>
        <w:t>It</w:t>
      </w:r>
      <w:r>
        <w:rPr>
          <w:color w:val="231F20"/>
          <w:spacing w:val="25"/>
        </w:rPr>
        <w:t> </w:t>
      </w:r>
      <w:r>
        <w:rPr>
          <w:color w:val="231F20"/>
        </w:rPr>
        <w:t>is</w:t>
      </w:r>
      <w:r>
        <w:rPr>
          <w:color w:val="231F20"/>
          <w:spacing w:val="25"/>
        </w:rPr>
        <w:t> </w:t>
      </w:r>
      <w:r>
        <w:rPr>
          <w:color w:val="231F20"/>
        </w:rPr>
        <w:t>possible</w:t>
      </w:r>
      <w:r>
        <w:rPr>
          <w:color w:val="231F20"/>
          <w:spacing w:val="25"/>
        </w:rPr>
        <w:t> </w:t>
      </w:r>
      <w:r>
        <w:rPr>
          <w:color w:val="231F20"/>
        </w:rPr>
        <w:t>that</w:t>
      </w:r>
      <w:r>
        <w:rPr>
          <w:color w:val="231F20"/>
          <w:spacing w:val="25"/>
        </w:rPr>
        <w:t> </w:t>
      </w:r>
      <w:r>
        <w:rPr>
          <w:color w:val="231F20"/>
        </w:rPr>
        <w:t>while</w:t>
      </w:r>
      <w:r>
        <w:rPr>
          <w:color w:val="231F20"/>
          <w:spacing w:val="25"/>
        </w:rPr>
        <w:t> </w:t>
      </w:r>
      <w:r>
        <w:rPr>
          <w:color w:val="231F20"/>
        </w:rPr>
        <w:t>you were building the situation that any of the embedded situations could have be deleted. Should this happen, a message will tell you that the embedded situation </w:t>
      </w:r>
      <w:r>
        <w:rPr>
          <w:color w:val="231F20"/>
        </w:rPr>
        <w:t>is missing when you attempt to save your changes. You will need to remove the embedded situation from this one before you can save it. You can always create a new</w:t>
      </w:r>
      <w:r>
        <w:rPr>
          <w:color w:val="231F20"/>
          <w:spacing w:val="27"/>
        </w:rPr>
        <w:t> </w:t>
      </w:r>
      <w:r>
        <w:rPr>
          <w:color w:val="231F20"/>
        </w:rPr>
        <w:t>situation</w:t>
      </w:r>
      <w:r>
        <w:rPr>
          <w:color w:val="231F20"/>
          <w:spacing w:val="27"/>
        </w:rPr>
        <w:t> </w:t>
      </w:r>
      <w:r>
        <w:rPr>
          <w:color w:val="231F20"/>
        </w:rPr>
        <w:t>to</w:t>
      </w:r>
      <w:r>
        <w:rPr>
          <w:color w:val="231F20"/>
          <w:spacing w:val="27"/>
        </w:rPr>
        <w:t> </w:t>
      </w:r>
      <w:r>
        <w:rPr>
          <w:color w:val="231F20"/>
        </w:rPr>
        <w:t>be</w:t>
      </w:r>
      <w:r>
        <w:rPr>
          <w:color w:val="231F20"/>
          <w:spacing w:val="27"/>
        </w:rPr>
        <w:t> </w:t>
      </w:r>
      <w:r>
        <w:rPr>
          <w:color w:val="231F20"/>
        </w:rPr>
        <w:t>embedded</w:t>
      </w:r>
      <w:r>
        <w:rPr>
          <w:color w:val="231F20"/>
          <w:spacing w:val="27"/>
        </w:rPr>
        <w:t> </w:t>
      </w:r>
      <w:r>
        <w:rPr>
          <w:color w:val="231F20"/>
        </w:rPr>
        <w:t>or</w:t>
      </w:r>
      <w:r>
        <w:rPr>
          <w:color w:val="231F20"/>
          <w:spacing w:val="27"/>
        </w:rPr>
        <w:t> </w:t>
      </w:r>
      <w:r>
        <w:rPr>
          <w:color w:val="231F20"/>
        </w:rPr>
        <w:t>find</w:t>
      </w:r>
      <w:r>
        <w:rPr>
          <w:color w:val="231F20"/>
          <w:spacing w:val="27"/>
        </w:rPr>
        <w:t> </w:t>
      </w:r>
      <w:r>
        <w:rPr>
          <w:color w:val="231F20"/>
        </w:rPr>
        <w:t>another</w:t>
      </w:r>
      <w:r>
        <w:rPr>
          <w:color w:val="231F20"/>
          <w:spacing w:val="27"/>
        </w:rPr>
        <w:t> </w:t>
      </w:r>
      <w:r>
        <w:rPr>
          <w:color w:val="231F20"/>
        </w:rPr>
        <w:t>one</w:t>
      </w:r>
      <w:r>
        <w:rPr>
          <w:color w:val="231F20"/>
          <w:spacing w:val="27"/>
        </w:rPr>
        <w:t> </w:t>
      </w:r>
      <w:r>
        <w:rPr>
          <w:color w:val="231F20"/>
        </w:rPr>
        <w:t>that</w:t>
      </w:r>
      <w:r>
        <w:rPr>
          <w:color w:val="231F20"/>
          <w:spacing w:val="27"/>
        </w:rPr>
        <w:t> </w:t>
      </w:r>
      <w:r>
        <w:rPr>
          <w:color w:val="231F20"/>
        </w:rPr>
        <w:t>is</w:t>
      </w:r>
      <w:r>
        <w:rPr>
          <w:color w:val="231F20"/>
          <w:spacing w:val="27"/>
        </w:rPr>
        <w:t> </w:t>
      </w:r>
      <w:r>
        <w:rPr>
          <w:color w:val="231F20"/>
        </w:rPr>
        <w:t>the</w:t>
      </w:r>
      <w:r>
        <w:rPr>
          <w:color w:val="231F20"/>
          <w:spacing w:val="27"/>
        </w:rPr>
        <w:t> </w:t>
      </w:r>
      <w:r>
        <w:rPr>
          <w:color w:val="231F20"/>
        </w:rPr>
        <w:t>equivalent</w:t>
      </w:r>
      <w:r>
        <w:rPr>
          <w:color w:val="231F20"/>
          <w:spacing w:val="27"/>
        </w:rPr>
        <w:t> </w:t>
      </w:r>
      <w:r>
        <w:rPr>
          <w:color w:val="231F20"/>
        </w:rPr>
        <w:t>and embed that one.</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229" w:id="482"/>
      <w:bookmarkEnd w:id="482"/>
      <w:r>
        <w:rPr/>
      </w:r>
      <w:r>
        <w:rPr>
          <w:sz w:val="2"/>
        </w:rPr>
        <mc:AlternateContent>
          <mc:Choice Requires="wps">
            <w:drawing>
              <wp:inline distT="0" distB="0" distL="0" distR="0">
                <wp:extent cx="6082665" cy="6350"/>
                <wp:effectExtent l="9525" t="0" r="0" b="3175"/>
                <wp:docPr id="2558" name="Group 2558"/>
                <wp:cNvGraphicFramePr>
                  <a:graphicFrameLocks/>
                </wp:cNvGraphicFramePr>
                <a:graphic>
                  <a:graphicData uri="http://schemas.microsoft.com/office/word/2010/wordprocessingGroup">
                    <wpg:wgp>
                      <wpg:cNvPr id="2558" name="Group 2558"/>
                      <wpg:cNvGrpSpPr/>
                      <wpg:grpSpPr>
                        <a:xfrm>
                          <a:off x="0" y="0"/>
                          <a:ext cx="6082665" cy="6350"/>
                          <a:chExt cx="6082665" cy="6350"/>
                        </a:xfrm>
                      </wpg:grpSpPr>
                      <wps:wsp>
                        <wps:cNvPr id="2559" name="Graphic 2559"/>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21"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Correlating situations" w:id="483"/>
      <w:bookmarkEnd w:id="483"/>
      <w:r>
        <w:rPr>
          <w:b w:val="0"/>
        </w:rPr>
      </w:r>
      <w:r>
        <w:rPr>
          <w:color w:val="231F20"/>
        </w:rPr>
        <w:t>Correlating </w:t>
      </w:r>
      <w:r>
        <w:rPr>
          <w:color w:val="231F20"/>
          <w:spacing w:val="-2"/>
        </w:rPr>
        <w:t>situations</w:t>
      </w:r>
    </w:p>
    <w:p>
      <w:pPr>
        <w:pStyle w:val="BodyText"/>
        <w:spacing w:line="213" w:lineRule="auto" w:before="138"/>
        <w:ind w:left="2232" w:right="545"/>
      </w:pPr>
      <w:r>
        <w:rPr>
          <w:color w:val="231F20"/>
        </w:rPr>
        <w:t>Create</w:t>
      </w:r>
      <w:r>
        <w:rPr>
          <w:color w:val="231F20"/>
          <w:spacing w:val="27"/>
        </w:rPr>
        <w:t> </w:t>
      </w:r>
      <w:r>
        <w:rPr>
          <w:color w:val="231F20"/>
        </w:rPr>
        <w:t>a</w:t>
      </w:r>
      <w:r>
        <w:rPr>
          <w:color w:val="231F20"/>
          <w:spacing w:val="27"/>
        </w:rPr>
        <w:t> </w:t>
      </w:r>
      <w:r>
        <w:rPr>
          <w:color w:val="231F20"/>
        </w:rPr>
        <w:t>correlated</w:t>
      </w:r>
      <w:r>
        <w:rPr>
          <w:color w:val="231F20"/>
          <w:spacing w:val="27"/>
        </w:rPr>
        <w:t> </w:t>
      </w:r>
      <w:r>
        <w:rPr>
          <w:color w:val="231F20"/>
        </w:rPr>
        <w:t>situation,</w:t>
      </w:r>
      <w:r>
        <w:rPr>
          <w:color w:val="231F20"/>
          <w:spacing w:val="27"/>
        </w:rPr>
        <w:t> </w:t>
      </w:r>
      <w:r>
        <w:rPr>
          <w:color w:val="231F20"/>
        </w:rPr>
        <w:t>which</w:t>
      </w:r>
      <w:r>
        <w:rPr>
          <w:color w:val="231F20"/>
          <w:spacing w:val="27"/>
        </w:rPr>
        <w:t> </w:t>
      </w:r>
      <w:r>
        <w:rPr>
          <w:color w:val="231F20"/>
        </w:rPr>
        <w:t>is</w:t>
      </w:r>
      <w:r>
        <w:rPr>
          <w:color w:val="231F20"/>
          <w:spacing w:val="27"/>
        </w:rPr>
        <w:t> </w:t>
      </w:r>
      <w:r>
        <w:rPr>
          <w:color w:val="231F20"/>
        </w:rPr>
        <w:t>made</w:t>
      </w:r>
      <w:r>
        <w:rPr>
          <w:color w:val="231F20"/>
          <w:spacing w:val="27"/>
        </w:rPr>
        <w:t> </w:t>
      </w:r>
      <w:r>
        <w:rPr>
          <w:color w:val="231F20"/>
        </w:rPr>
        <w:t>up</w:t>
      </w:r>
      <w:r>
        <w:rPr>
          <w:color w:val="231F20"/>
          <w:spacing w:val="27"/>
        </w:rPr>
        <w:t> </w:t>
      </w:r>
      <w:r>
        <w:rPr>
          <w:color w:val="231F20"/>
        </w:rPr>
        <w:t>entirely</w:t>
      </w:r>
      <w:r>
        <w:rPr>
          <w:color w:val="231F20"/>
          <w:spacing w:val="27"/>
        </w:rPr>
        <w:t> </w:t>
      </w:r>
      <w:r>
        <w:rPr>
          <w:color w:val="231F20"/>
        </w:rPr>
        <w:t>of</w:t>
      </w:r>
      <w:r>
        <w:rPr>
          <w:color w:val="231F20"/>
          <w:spacing w:val="27"/>
        </w:rPr>
        <w:t> </w:t>
      </w:r>
      <w:r>
        <w:rPr>
          <w:color w:val="231F20"/>
        </w:rPr>
        <w:t>other</w:t>
      </w:r>
      <w:r>
        <w:rPr>
          <w:color w:val="231F20"/>
          <w:spacing w:val="27"/>
        </w:rPr>
        <w:t> </w:t>
      </w:r>
      <w:r>
        <w:rPr>
          <w:color w:val="231F20"/>
        </w:rPr>
        <w:t>situations,</w:t>
      </w:r>
      <w:r>
        <w:rPr>
          <w:color w:val="231F20"/>
          <w:spacing w:val="27"/>
        </w:rPr>
        <w:t> </w:t>
      </w:r>
      <w:r>
        <w:rPr>
          <w:color w:val="231F20"/>
        </w:rPr>
        <w:t>to target a set of conditions on a subset of the original distribution. For example, </w:t>
      </w:r>
      <w:r>
        <w:rPr>
          <w:color w:val="231F20"/>
        </w:rPr>
        <w:t>you might</w:t>
      </w:r>
      <w:r>
        <w:rPr>
          <w:color w:val="231F20"/>
          <w:spacing w:val="28"/>
        </w:rPr>
        <w:t> </w:t>
      </w:r>
      <w:r>
        <w:rPr>
          <w:color w:val="231F20"/>
        </w:rPr>
        <w:t>have</w:t>
      </w:r>
      <w:r>
        <w:rPr>
          <w:color w:val="231F20"/>
          <w:spacing w:val="28"/>
        </w:rPr>
        <w:t> </w:t>
      </w:r>
      <w:r>
        <w:rPr>
          <w:color w:val="231F20"/>
        </w:rPr>
        <w:t>two</w:t>
      </w:r>
      <w:r>
        <w:rPr>
          <w:color w:val="231F20"/>
          <w:spacing w:val="28"/>
        </w:rPr>
        <w:t> </w:t>
      </w:r>
      <w:r>
        <w:rPr>
          <w:color w:val="231F20"/>
        </w:rPr>
        <w:t>situations</w:t>
      </w:r>
      <w:r>
        <w:rPr>
          <w:color w:val="231F20"/>
          <w:spacing w:val="28"/>
        </w:rPr>
        <w:t> </w:t>
      </w:r>
      <w:r>
        <w:rPr>
          <w:color w:val="231F20"/>
        </w:rPr>
        <w:t>that</w:t>
      </w:r>
      <w:r>
        <w:rPr>
          <w:color w:val="231F20"/>
          <w:spacing w:val="28"/>
        </w:rPr>
        <w:t> </w:t>
      </w:r>
      <w:r>
        <w:rPr>
          <w:color w:val="231F20"/>
        </w:rPr>
        <w:t>signify</w:t>
      </w:r>
      <w:r>
        <w:rPr>
          <w:color w:val="231F20"/>
          <w:spacing w:val="28"/>
        </w:rPr>
        <w:t> </w:t>
      </w:r>
      <w:r>
        <w:rPr>
          <w:color w:val="231F20"/>
        </w:rPr>
        <w:t>a</w:t>
      </w:r>
      <w:r>
        <w:rPr>
          <w:color w:val="231F20"/>
          <w:spacing w:val="28"/>
        </w:rPr>
        <w:t> </w:t>
      </w:r>
      <w:r>
        <w:rPr>
          <w:color w:val="231F20"/>
        </w:rPr>
        <w:t>critical</w:t>
      </w:r>
      <w:r>
        <w:rPr>
          <w:color w:val="231F20"/>
          <w:spacing w:val="28"/>
        </w:rPr>
        <w:t> </w:t>
      </w:r>
      <w:r>
        <w:rPr>
          <w:color w:val="231F20"/>
        </w:rPr>
        <w:t>breakdown</w:t>
      </w:r>
      <w:r>
        <w:rPr>
          <w:color w:val="231F20"/>
          <w:spacing w:val="28"/>
        </w:rPr>
        <w:t> </w:t>
      </w:r>
      <w:r>
        <w:rPr>
          <w:color w:val="231F20"/>
        </w:rPr>
        <w:t>when</w:t>
      </w:r>
      <w:r>
        <w:rPr>
          <w:color w:val="231F20"/>
          <w:spacing w:val="28"/>
        </w:rPr>
        <w:t> </w:t>
      </w:r>
      <w:r>
        <w:rPr>
          <w:color w:val="231F20"/>
        </w:rPr>
        <w:t>they</w:t>
      </w:r>
      <w:r>
        <w:rPr>
          <w:color w:val="231F20"/>
          <w:spacing w:val="28"/>
        </w:rPr>
        <w:t> </w:t>
      </w:r>
      <w:r>
        <w:rPr>
          <w:color w:val="231F20"/>
        </w:rPr>
        <w:t>both become true on a particular managed system. You can create a correlated situation of these two situations and distribute it to the managed system in question.</w:t>
      </w:r>
    </w:p>
    <w:p>
      <w:pPr>
        <w:pStyle w:val="Heading4"/>
        <w:spacing w:before="198"/>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To use this feature, your user ID must have Modify permission for Situations </w:t>
      </w:r>
      <w:r>
        <w:rPr>
          <w:color w:val="231F20"/>
        </w:rPr>
        <w:t>and have the Enterprise Monitoring Server as an Allowed Application.</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545"/>
      </w:pPr>
      <w:r>
        <w:rPr>
          <w:color w:val="231F20"/>
        </w:rPr>
        <w:t>The behavior of situations embedded in a correlated situation can each be </w:t>
      </w:r>
      <w:r>
        <w:rPr>
          <w:color w:val="231F20"/>
        </w:rPr>
        <w:t>targeted to monitor a subset of their original distribution.</w:t>
      </w:r>
    </w:p>
    <w:p>
      <w:pPr>
        <w:pStyle w:val="BodyText"/>
        <w:spacing w:line="213" w:lineRule="auto" w:before="238"/>
        <w:ind w:left="2232" w:right="697"/>
        <w:jc w:val="both"/>
      </w:pPr>
      <w:r>
        <w:rPr>
          <w:color w:val="231F20"/>
        </w:rPr>
        <w:t>Suppose you have a Disk_Usage_Warning situation that has been distributed to 100 managed systems. The correlated situation in this examples alerts you </w:t>
      </w:r>
      <w:r>
        <w:rPr>
          <w:color w:val="231F20"/>
        </w:rPr>
        <w:t>when Disk Space Warning is true on the most critical managed systems:</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7"/>
        <w:gridCol w:w="2385"/>
        <w:gridCol w:w="2403"/>
        <w:gridCol w:w="2370"/>
      </w:tblGrid>
      <w:tr>
        <w:trPr>
          <w:trHeight w:val="493" w:hRule="atLeast"/>
        </w:trPr>
        <w:tc>
          <w:tcPr>
            <w:tcW w:w="377" w:type="dxa"/>
          </w:tcPr>
          <w:p>
            <w:pPr>
              <w:pStyle w:val="TableParagraph"/>
              <w:spacing w:before="0"/>
              <w:ind w:left="0"/>
              <w:rPr>
                <w:rFonts w:ascii="Times New Roman"/>
                <w:sz w:val="18"/>
              </w:rPr>
            </w:pPr>
          </w:p>
        </w:tc>
        <w:tc>
          <w:tcPr>
            <w:tcW w:w="2385" w:type="dxa"/>
          </w:tcPr>
          <w:p>
            <w:pPr>
              <w:pStyle w:val="TableParagraph"/>
              <w:spacing w:line="216" w:lineRule="auto" w:before="9"/>
              <w:rPr>
                <w:sz w:val="18"/>
              </w:rPr>
            </w:pPr>
            <w:r>
              <w:rPr>
                <w:color w:val="231F20"/>
                <w:spacing w:val="-2"/>
                <w:sz w:val="18"/>
              </w:rPr>
              <w:t>Disk_Usage_Warning @Primary:MAIN1:NT</w:t>
            </w:r>
          </w:p>
        </w:tc>
        <w:tc>
          <w:tcPr>
            <w:tcW w:w="2403" w:type="dxa"/>
          </w:tcPr>
          <w:p>
            <w:pPr>
              <w:pStyle w:val="TableParagraph"/>
              <w:spacing w:line="216" w:lineRule="auto" w:before="9"/>
              <w:ind w:left="58"/>
              <w:rPr>
                <w:sz w:val="18"/>
              </w:rPr>
            </w:pPr>
            <w:r>
              <w:rPr>
                <w:color w:val="231F20"/>
                <w:spacing w:val="-2"/>
                <w:sz w:val="18"/>
              </w:rPr>
              <w:t>Disk_Usage_Warning @Primary:MAIN2:NT</w:t>
            </w:r>
          </w:p>
        </w:tc>
        <w:tc>
          <w:tcPr>
            <w:tcW w:w="2370" w:type="dxa"/>
          </w:tcPr>
          <w:p>
            <w:pPr>
              <w:pStyle w:val="TableParagraph"/>
              <w:spacing w:line="216" w:lineRule="auto" w:before="9"/>
              <w:ind w:left="58"/>
              <w:rPr>
                <w:sz w:val="18"/>
              </w:rPr>
            </w:pPr>
            <w:r>
              <w:rPr>
                <w:color w:val="231F20"/>
                <w:spacing w:val="-2"/>
                <w:sz w:val="18"/>
              </w:rPr>
              <w:t>Disk_Usage_Warning @Primary:MAIN3:NT</w:t>
            </w:r>
          </w:p>
        </w:tc>
      </w:tr>
      <w:tr>
        <w:trPr>
          <w:trHeight w:val="314" w:hRule="atLeast"/>
        </w:trPr>
        <w:tc>
          <w:tcPr>
            <w:tcW w:w="377" w:type="dxa"/>
          </w:tcPr>
          <w:p>
            <w:pPr>
              <w:pStyle w:val="TableParagraph"/>
              <w:ind w:left="44"/>
              <w:rPr>
                <w:sz w:val="18"/>
              </w:rPr>
            </w:pPr>
            <w:r>
              <w:rPr>
                <w:color w:val="231F20"/>
                <w:spacing w:val="-10"/>
                <w:sz w:val="18"/>
              </w:rPr>
              <w:t>1</w:t>
            </w:r>
          </w:p>
        </w:tc>
        <w:tc>
          <w:tcPr>
            <w:tcW w:w="2385" w:type="dxa"/>
          </w:tcPr>
          <w:p>
            <w:pPr>
              <w:pStyle w:val="TableParagraph"/>
              <w:spacing w:before="45"/>
              <w:rPr>
                <w:rFonts w:ascii="Book Antiqua"/>
                <w:b/>
                <w:sz w:val="18"/>
              </w:rPr>
            </w:pPr>
            <w:r>
              <w:rPr>
                <w:position w:val="-3"/>
              </w:rPr>
              <w:drawing>
                <wp:inline distT="0" distB="0" distL="0" distR="0">
                  <wp:extent cx="101600" cy="95250"/>
                  <wp:effectExtent l="0" t="0" r="0" b="0"/>
                  <wp:docPr id="2560" name="Image 2560"/>
                  <wp:cNvGraphicFramePr>
                    <a:graphicFrameLocks/>
                  </wp:cNvGraphicFramePr>
                  <a:graphic>
                    <a:graphicData uri="http://schemas.openxmlformats.org/drawingml/2006/picture">
                      <pic:pic>
                        <pic:nvPicPr>
                          <pic:cNvPr id="2560" name="Image 2560"/>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403"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1" name="Image 2561"/>
                  <wp:cNvGraphicFramePr>
                    <a:graphicFrameLocks/>
                  </wp:cNvGraphicFramePr>
                  <a:graphic>
                    <a:graphicData uri="http://schemas.openxmlformats.org/drawingml/2006/picture">
                      <pic:pic>
                        <pic:nvPicPr>
                          <pic:cNvPr id="2561" name="Image 2561"/>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370"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2" name="Image 2562"/>
                  <wp:cNvGraphicFramePr>
                    <a:graphicFrameLocks/>
                  </wp:cNvGraphicFramePr>
                  <a:graphic>
                    <a:graphicData uri="http://schemas.openxmlformats.org/drawingml/2006/picture">
                      <pic:pic>
                        <pic:nvPicPr>
                          <pic:cNvPr id="2562" name="Image 2562"/>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r>
    </w:tbl>
    <w:p>
      <w:pPr>
        <w:pStyle w:val="BodyText"/>
        <w:spacing w:before="138"/>
      </w:pPr>
    </w:p>
    <w:p>
      <w:pPr>
        <w:pStyle w:val="BodyText"/>
        <w:spacing w:line="213" w:lineRule="auto"/>
        <w:ind w:left="2232"/>
      </w:pPr>
      <w:r>
        <w:rPr>
          <w:color w:val="231F20"/>
        </w:rPr>
        <w:t>This correlated situation can be edited so that it becomes true when the Disk_Usage_Warning situation opens an event on any two of these three </w:t>
      </w:r>
      <w:r>
        <w:rPr>
          <w:color w:val="231F20"/>
        </w:rPr>
        <w:t>managed </w:t>
      </w:r>
      <w:r>
        <w:rPr>
          <w:color w:val="231F20"/>
          <w:spacing w:val="-2"/>
        </w:rPr>
        <w:t>systems:</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7"/>
        <w:gridCol w:w="2385"/>
        <w:gridCol w:w="2403"/>
        <w:gridCol w:w="2370"/>
      </w:tblGrid>
      <w:tr>
        <w:trPr>
          <w:trHeight w:val="493" w:hRule="atLeast"/>
        </w:trPr>
        <w:tc>
          <w:tcPr>
            <w:tcW w:w="377" w:type="dxa"/>
          </w:tcPr>
          <w:p>
            <w:pPr>
              <w:pStyle w:val="TableParagraph"/>
              <w:spacing w:before="0"/>
              <w:ind w:left="0"/>
              <w:rPr>
                <w:rFonts w:ascii="Times New Roman"/>
                <w:sz w:val="18"/>
              </w:rPr>
            </w:pPr>
          </w:p>
        </w:tc>
        <w:tc>
          <w:tcPr>
            <w:tcW w:w="2385" w:type="dxa"/>
          </w:tcPr>
          <w:p>
            <w:pPr>
              <w:pStyle w:val="TableParagraph"/>
              <w:spacing w:line="216" w:lineRule="auto" w:before="9"/>
              <w:rPr>
                <w:sz w:val="18"/>
              </w:rPr>
            </w:pPr>
            <w:r>
              <w:rPr>
                <w:color w:val="231F20"/>
                <w:spacing w:val="-2"/>
                <w:sz w:val="18"/>
              </w:rPr>
              <w:t>Disk_Usage_Warning @Primary:MAIN1:NT</w:t>
            </w:r>
          </w:p>
        </w:tc>
        <w:tc>
          <w:tcPr>
            <w:tcW w:w="2403" w:type="dxa"/>
          </w:tcPr>
          <w:p>
            <w:pPr>
              <w:pStyle w:val="TableParagraph"/>
              <w:spacing w:line="216" w:lineRule="auto" w:before="9"/>
              <w:ind w:left="58"/>
              <w:rPr>
                <w:sz w:val="18"/>
              </w:rPr>
            </w:pPr>
            <w:r>
              <w:rPr>
                <w:color w:val="231F20"/>
                <w:spacing w:val="-2"/>
                <w:sz w:val="18"/>
              </w:rPr>
              <w:t>Disk_Usage_Warning @Primary:MAIN2:NT</w:t>
            </w:r>
          </w:p>
        </w:tc>
        <w:tc>
          <w:tcPr>
            <w:tcW w:w="2370" w:type="dxa"/>
          </w:tcPr>
          <w:p>
            <w:pPr>
              <w:pStyle w:val="TableParagraph"/>
              <w:spacing w:line="216" w:lineRule="auto" w:before="9"/>
              <w:ind w:left="58"/>
              <w:rPr>
                <w:sz w:val="18"/>
              </w:rPr>
            </w:pPr>
            <w:r>
              <w:rPr>
                <w:color w:val="231F20"/>
                <w:spacing w:val="-2"/>
                <w:sz w:val="18"/>
              </w:rPr>
              <w:t>Disk_Usage_Warning @Primary:MAIN3:NT</w:t>
            </w:r>
          </w:p>
        </w:tc>
      </w:tr>
      <w:tr>
        <w:trPr>
          <w:trHeight w:val="309" w:hRule="atLeast"/>
        </w:trPr>
        <w:tc>
          <w:tcPr>
            <w:tcW w:w="377" w:type="dxa"/>
          </w:tcPr>
          <w:p>
            <w:pPr>
              <w:pStyle w:val="TableParagraph"/>
              <w:ind w:left="44"/>
              <w:rPr>
                <w:sz w:val="18"/>
              </w:rPr>
            </w:pPr>
            <w:r>
              <w:rPr>
                <w:color w:val="231F20"/>
                <w:spacing w:val="-10"/>
                <w:sz w:val="18"/>
              </w:rPr>
              <w:t>1</w:t>
            </w:r>
          </w:p>
        </w:tc>
        <w:tc>
          <w:tcPr>
            <w:tcW w:w="2385" w:type="dxa"/>
          </w:tcPr>
          <w:p>
            <w:pPr>
              <w:pStyle w:val="TableParagraph"/>
              <w:spacing w:before="45"/>
              <w:rPr>
                <w:rFonts w:ascii="Book Antiqua"/>
                <w:b/>
                <w:sz w:val="18"/>
              </w:rPr>
            </w:pPr>
            <w:r>
              <w:rPr>
                <w:position w:val="-3"/>
              </w:rPr>
              <w:drawing>
                <wp:inline distT="0" distB="0" distL="0" distR="0">
                  <wp:extent cx="101600" cy="95250"/>
                  <wp:effectExtent l="0" t="0" r="0" b="0"/>
                  <wp:docPr id="2563" name="Image 2563"/>
                  <wp:cNvGraphicFramePr>
                    <a:graphicFrameLocks/>
                  </wp:cNvGraphicFramePr>
                  <a:graphic>
                    <a:graphicData uri="http://schemas.openxmlformats.org/drawingml/2006/picture">
                      <pic:pic>
                        <pic:nvPicPr>
                          <pic:cNvPr id="2563" name="Image 2563"/>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403"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4" name="Image 2564"/>
                  <wp:cNvGraphicFramePr>
                    <a:graphicFrameLocks/>
                  </wp:cNvGraphicFramePr>
                  <a:graphic>
                    <a:graphicData uri="http://schemas.openxmlformats.org/drawingml/2006/picture">
                      <pic:pic>
                        <pic:nvPicPr>
                          <pic:cNvPr id="2564" name="Image 2564"/>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370" w:type="dxa"/>
          </w:tcPr>
          <w:p>
            <w:pPr>
              <w:pStyle w:val="TableParagraph"/>
              <w:spacing w:before="0"/>
              <w:ind w:left="0"/>
              <w:rPr>
                <w:rFonts w:ascii="Times New Roman"/>
                <w:sz w:val="18"/>
              </w:rPr>
            </w:pPr>
          </w:p>
        </w:tc>
      </w:tr>
      <w:tr>
        <w:trPr>
          <w:trHeight w:val="309" w:hRule="atLeast"/>
        </w:trPr>
        <w:tc>
          <w:tcPr>
            <w:tcW w:w="377" w:type="dxa"/>
          </w:tcPr>
          <w:p>
            <w:pPr>
              <w:pStyle w:val="TableParagraph"/>
              <w:ind w:left="44"/>
              <w:rPr>
                <w:sz w:val="18"/>
              </w:rPr>
            </w:pPr>
            <w:r>
              <w:rPr>
                <w:color w:val="231F20"/>
                <w:spacing w:val="-10"/>
                <w:sz w:val="18"/>
              </w:rPr>
              <w:t>2</w:t>
            </w:r>
          </w:p>
        </w:tc>
        <w:tc>
          <w:tcPr>
            <w:tcW w:w="2385" w:type="dxa"/>
          </w:tcPr>
          <w:p>
            <w:pPr>
              <w:pStyle w:val="TableParagraph"/>
              <w:spacing w:before="45"/>
              <w:rPr>
                <w:rFonts w:ascii="Book Antiqua"/>
                <w:b/>
                <w:sz w:val="18"/>
              </w:rPr>
            </w:pPr>
            <w:r>
              <w:rPr>
                <w:position w:val="-3"/>
              </w:rPr>
              <w:drawing>
                <wp:inline distT="0" distB="0" distL="0" distR="0">
                  <wp:extent cx="101600" cy="95250"/>
                  <wp:effectExtent l="0" t="0" r="0" b="0"/>
                  <wp:docPr id="2565" name="Image 2565"/>
                  <wp:cNvGraphicFramePr>
                    <a:graphicFrameLocks/>
                  </wp:cNvGraphicFramePr>
                  <a:graphic>
                    <a:graphicData uri="http://schemas.openxmlformats.org/drawingml/2006/picture">
                      <pic:pic>
                        <pic:nvPicPr>
                          <pic:cNvPr id="2565" name="Image 2565"/>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403" w:type="dxa"/>
          </w:tcPr>
          <w:p>
            <w:pPr>
              <w:pStyle w:val="TableParagraph"/>
              <w:spacing w:before="0"/>
              <w:ind w:left="0"/>
              <w:rPr>
                <w:rFonts w:ascii="Times New Roman"/>
                <w:sz w:val="18"/>
              </w:rPr>
            </w:pPr>
          </w:p>
        </w:tc>
        <w:tc>
          <w:tcPr>
            <w:tcW w:w="2370"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6" name="Image 2566"/>
                  <wp:cNvGraphicFramePr>
                    <a:graphicFrameLocks/>
                  </wp:cNvGraphicFramePr>
                  <a:graphic>
                    <a:graphicData uri="http://schemas.openxmlformats.org/drawingml/2006/picture">
                      <pic:pic>
                        <pic:nvPicPr>
                          <pic:cNvPr id="2566" name="Image 2566"/>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r>
      <w:tr>
        <w:trPr>
          <w:trHeight w:val="314" w:hRule="atLeast"/>
        </w:trPr>
        <w:tc>
          <w:tcPr>
            <w:tcW w:w="377" w:type="dxa"/>
          </w:tcPr>
          <w:p>
            <w:pPr>
              <w:pStyle w:val="TableParagraph"/>
              <w:ind w:left="44"/>
              <w:rPr>
                <w:sz w:val="18"/>
              </w:rPr>
            </w:pPr>
            <w:r>
              <w:rPr>
                <w:color w:val="231F20"/>
                <w:spacing w:val="-10"/>
                <w:sz w:val="18"/>
              </w:rPr>
              <w:t>3</w:t>
            </w:r>
          </w:p>
        </w:tc>
        <w:tc>
          <w:tcPr>
            <w:tcW w:w="2385" w:type="dxa"/>
          </w:tcPr>
          <w:p>
            <w:pPr>
              <w:pStyle w:val="TableParagraph"/>
              <w:spacing w:before="0"/>
              <w:ind w:left="0"/>
              <w:rPr>
                <w:rFonts w:ascii="Times New Roman"/>
                <w:sz w:val="18"/>
              </w:rPr>
            </w:pPr>
          </w:p>
        </w:tc>
        <w:tc>
          <w:tcPr>
            <w:tcW w:w="2403"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7" name="Image 2567"/>
                  <wp:cNvGraphicFramePr>
                    <a:graphicFrameLocks/>
                  </wp:cNvGraphicFramePr>
                  <a:graphic>
                    <a:graphicData uri="http://schemas.openxmlformats.org/drawingml/2006/picture">
                      <pic:pic>
                        <pic:nvPicPr>
                          <pic:cNvPr id="2567" name="Image 2567"/>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c>
          <w:tcPr>
            <w:tcW w:w="2370" w:type="dxa"/>
          </w:tcPr>
          <w:p>
            <w:pPr>
              <w:pStyle w:val="TableParagraph"/>
              <w:spacing w:before="45"/>
              <w:ind w:left="58"/>
              <w:rPr>
                <w:rFonts w:ascii="Book Antiqua"/>
                <w:b/>
                <w:sz w:val="18"/>
              </w:rPr>
            </w:pPr>
            <w:r>
              <w:rPr>
                <w:position w:val="-3"/>
              </w:rPr>
              <w:drawing>
                <wp:inline distT="0" distB="0" distL="0" distR="0">
                  <wp:extent cx="101600" cy="95250"/>
                  <wp:effectExtent l="0" t="0" r="0" b="0"/>
                  <wp:docPr id="2568" name="Image 2568"/>
                  <wp:cNvGraphicFramePr>
                    <a:graphicFrameLocks/>
                  </wp:cNvGraphicFramePr>
                  <a:graphic>
                    <a:graphicData uri="http://schemas.openxmlformats.org/drawingml/2006/picture">
                      <pic:pic>
                        <pic:nvPicPr>
                          <pic:cNvPr id="2568" name="Image 2568"/>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w:t>
            </w:r>
            <w:r>
              <w:rPr>
                <w:rFonts w:ascii="Book Antiqua"/>
                <w:b/>
                <w:color w:val="231F20"/>
                <w:spacing w:val="36"/>
                <w:sz w:val="18"/>
              </w:rPr>
              <w:t> </w:t>
            </w:r>
            <w:r>
              <w:rPr>
                <w:rFonts w:ascii="Book Antiqua"/>
                <w:b/>
                <w:color w:val="231F20"/>
                <w:sz w:val="18"/>
              </w:rPr>
              <w:t>True</w:t>
            </w:r>
          </w:p>
        </w:tc>
      </w:tr>
    </w:tbl>
    <w:p>
      <w:pPr>
        <w:pStyle w:val="BodyText"/>
        <w:spacing w:before="115"/>
      </w:pPr>
    </w:p>
    <w:p>
      <w:pPr>
        <w:pStyle w:val="BodyText"/>
        <w:ind w:left="2232"/>
        <w:jc w:val="both"/>
      </w:pPr>
      <w:r>
        <w:rPr>
          <w:color w:val="231F20"/>
        </w:rPr>
        <w:t>Take</w:t>
      </w:r>
      <w:r>
        <w:rPr>
          <w:color w:val="231F20"/>
          <w:spacing w:val="7"/>
        </w:rPr>
        <w:t> </w:t>
      </w:r>
      <w:r>
        <w:rPr>
          <w:color w:val="231F20"/>
        </w:rPr>
        <w:t>these</w:t>
      </w:r>
      <w:r>
        <w:rPr>
          <w:color w:val="231F20"/>
          <w:spacing w:val="8"/>
        </w:rPr>
        <w:t> </w:t>
      </w:r>
      <w:r>
        <w:rPr>
          <w:color w:val="231F20"/>
        </w:rPr>
        <w:t>steps</w:t>
      </w:r>
      <w:r>
        <w:rPr>
          <w:color w:val="231F20"/>
          <w:spacing w:val="8"/>
        </w:rPr>
        <w:t> </w:t>
      </w:r>
      <w:r>
        <w:rPr>
          <w:color w:val="231F20"/>
        </w:rPr>
        <w:t>to</w:t>
      </w:r>
      <w:r>
        <w:rPr>
          <w:color w:val="231F20"/>
          <w:spacing w:val="8"/>
        </w:rPr>
        <w:t> </w:t>
      </w:r>
      <w:r>
        <w:rPr>
          <w:color w:val="231F20"/>
        </w:rPr>
        <w:t>create</w:t>
      </w:r>
      <w:r>
        <w:rPr>
          <w:color w:val="231F20"/>
          <w:spacing w:val="8"/>
        </w:rPr>
        <w:t> </w:t>
      </w:r>
      <w:r>
        <w:rPr>
          <w:color w:val="231F20"/>
        </w:rPr>
        <w:t>a</w:t>
      </w:r>
      <w:r>
        <w:rPr>
          <w:color w:val="231F20"/>
          <w:spacing w:val="7"/>
        </w:rPr>
        <w:t> </w:t>
      </w:r>
      <w:r>
        <w:rPr>
          <w:color w:val="231F20"/>
        </w:rPr>
        <w:t>correlated</w:t>
      </w:r>
      <w:r>
        <w:rPr>
          <w:color w:val="231F20"/>
          <w:spacing w:val="8"/>
        </w:rPr>
        <w:t> </w:t>
      </w:r>
      <w:r>
        <w:rPr>
          <w:color w:val="231F20"/>
          <w:spacing w:val="-2"/>
        </w:rPr>
        <w:t>situation:</w:t>
      </w:r>
    </w:p>
    <w:p>
      <w:pPr>
        <w:pStyle w:val="Heading4"/>
        <w:spacing w:before="194"/>
      </w:pPr>
      <w:r>
        <w:rPr>
          <w:color w:val="231F20"/>
          <w:spacing w:val="-2"/>
        </w:rPr>
        <w:t>Procedure</w:t>
      </w:r>
    </w:p>
    <w:p>
      <w:pPr>
        <w:pStyle w:val="ListParagraph"/>
        <w:numPr>
          <w:ilvl w:val="0"/>
          <w:numId w:val="137"/>
        </w:numPr>
        <w:tabs>
          <w:tab w:pos="2726" w:val="left" w:leader="none"/>
        </w:tabs>
        <w:spacing w:line="240" w:lineRule="auto" w:before="39" w:after="0"/>
        <w:ind w:left="2726" w:right="0" w:hanging="383"/>
        <w:jc w:val="left"/>
        <w:rPr>
          <w:sz w:val="20"/>
        </w:rPr>
      </w:pPr>
      <w:r>
        <w:rPr>
          <w:color w:val="231F20"/>
          <w:sz w:val="20"/>
        </w:rPr>
        <w:t>Do</w:t>
      </w:r>
      <w:r>
        <w:rPr>
          <w:color w:val="231F20"/>
          <w:spacing w:val="12"/>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following</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the</w:t>
      </w:r>
      <w:r>
        <w:rPr>
          <w:color w:val="231F20"/>
          <w:spacing w:val="12"/>
          <w:sz w:val="20"/>
        </w:rPr>
        <w:t> </w:t>
      </w:r>
      <w:r>
        <w:rPr>
          <w:color w:val="231F20"/>
          <w:sz w:val="20"/>
        </w:rPr>
        <w:t>Situation</w:t>
      </w:r>
      <w:r>
        <w:rPr>
          <w:color w:val="231F20"/>
          <w:spacing w:val="12"/>
          <w:sz w:val="20"/>
        </w:rPr>
        <w:t> </w:t>
      </w:r>
      <w:r>
        <w:rPr>
          <w:color w:val="231F20"/>
          <w:spacing w:val="-2"/>
          <w:sz w:val="20"/>
        </w:rPr>
        <w:t>editor:</w:t>
      </w:r>
    </w:p>
    <w:p>
      <w:pPr>
        <w:pStyle w:val="BodyText"/>
        <w:spacing w:line="213" w:lineRule="auto" w:before="52"/>
        <w:ind w:left="2875" w:right="603"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95250"/>
            <wp:effectExtent l="0" t="0" r="0" b="0"/>
            <wp:docPr id="2569" name="Image 2569"/>
            <wp:cNvGraphicFramePr>
              <a:graphicFrameLocks/>
            </wp:cNvGraphicFramePr>
            <a:graphic>
              <a:graphicData uri="http://schemas.openxmlformats.org/drawingml/2006/picture">
                <pic:pic>
                  <pic:nvPicPr>
                    <pic:cNvPr id="2569" name="Image 2569"/>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if, for the time being, you do not want to see an event indicator</w:t>
      </w:r>
      <w:r>
        <w:rPr>
          <w:color w:val="231F20"/>
          <w:spacing w:val="80"/>
        </w:rPr>
        <w:t> </w:t>
      </w:r>
      <w:r>
        <w:rPr>
          <w:color w:val="231F20"/>
        </w:rPr>
        <w:t>when this situation becomes true. (You can associate the situation at a </w:t>
      </w:r>
      <w:r>
        <w:rPr>
          <w:color w:val="231F20"/>
        </w:rPr>
        <w:t>later</w:t>
      </w:r>
      <w:r>
        <w:rPr>
          <w:color w:val="231F20"/>
        </w:rPr>
        <w:t> </w:t>
      </w:r>
      <w:r>
        <w:rPr>
          <w:color w:val="231F20"/>
          <w:spacing w:val="-2"/>
        </w:rPr>
        <w:t>time.)</w:t>
      </w:r>
    </w:p>
    <w:p>
      <w:pPr>
        <w:pStyle w:val="BodyText"/>
        <w:spacing w:before="35"/>
        <w:ind w:left="2659"/>
      </w:pPr>
      <w:r>
        <w:rPr>
          <w:rFonts w:ascii="Futura MdCn BT"/>
          <w:color w:val="231F20"/>
        </w:rPr>
        <w:t>v</w:t>
      </w:r>
      <w:r>
        <w:rPr>
          <w:rFonts w:ascii="Futura MdCn BT"/>
          <w:color w:val="231F20"/>
          <w:spacing w:val="79"/>
          <w:w w:val="150"/>
        </w:rPr>
        <w:t> </w:t>
      </w:r>
      <w:r>
        <w:rPr>
          <w:color w:val="231F20"/>
        </w:rPr>
        <w:t>Right-click</w:t>
      </w:r>
      <w:r>
        <w:rPr>
          <w:color w:val="231F20"/>
          <w:spacing w:val="12"/>
        </w:rPr>
        <w:t> </w:t>
      </w:r>
      <w:r>
        <w:rPr>
          <w:color w:val="231F20"/>
        </w:rPr>
        <w:t>the</w:t>
      </w:r>
      <w:r>
        <w:rPr>
          <w:color w:val="231F20"/>
          <w:spacing w:val="12"/>
        </w:rPr>
        <w:t> </w:t>
      </w:r>
      <w:r>
        <w:rPr>
          <w:color w:val="231F20"/>
          <w:spacing w:val="16"/>
          <w:position w:val="-1"/>
        </w:rPr>
        <w:drawing>
          <wp:inline distT="0" distB="0" distL="0" distR="0">
            <wp:extent cx="95250" cy="101600"/>
            <wp:effectExtent l="0" t="0" r="0" b="0"/>
            <wp:docPr id="2570" name="Image 2570"/>
            <wp:cNvGraphicFramePr>
              <a:graphicFrameLocks/>
            </wp:cNvGraphicFramePr>
            <a:graphic>
              <a:graphicData uri="http://schemas.openxmlformats.org/drawingml/2006/picture">
                <pic:pic>
                  <pic:nvPicPr>
                    <pic:cNvPr id="2570" name="Image 2570"/>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rPr>
      </w:r>
      <w:r>
        <w:rPr>
          <w:rFonts w:ascii="Times New Roman"/>
          <w:color w:val="231F20"/>
          <w:spacing w:val="-10"/>
        </w:rPr>
        <w:t> </w:t>
      </w:r>
      <w:r>
        <w:rPr>
          <w:color w:val="231F20"/>
        </w:rPr>
        <w:t>Enterprise</w:t>
      </w:r>
      <w:r>
        <w:rPr>
          <w:color w:val="231F20"/>
          <w:spacing w:val="12"/>
        </w:rPr>
        <w:t> </w:t>
      </w:r>
      <w:r>
        <w:rPr>
          <w:color w:val="231F20"/>
        </w:rPr>
        <w:t>Navigator</w:t>
      </w:r>
      <w:r>
        <w:rPr>
          <w:color w:val="231F20"/>
          <w:spacing w:val="12"/>
        </w:rPr>
        <w:t> </w:t>
      </w:r>
      <w:r>
        <w:rPr>
          <w:color w:val="231F20"/>
        </w:rPr>
        <w:t>item</w:t>
      </w:r>
      <w:r>
        <w:rPr>
          <w:color w:val="231F20"/>
          <w:spacing w:val="12"/>
        </w:rPr>
        <w:t> </w:t>
      </w:r>
      <w:r>
        <w:rPr>
          <w:color w:val="231F20"/>
        </w:rPr>
        <w:t>and</w:t>
      </w:r>
      <w:r>
        <w:rPr>
          <w:color w:val="231F20"/>
          <w:spacing w:val="12"/>
        </w:rPr>
        <w:t> </w:t>
      </w:r>
      <w:r>
        <w:rPr>
          <w:color w:val="231F20"/>
        </w:rPr>
        <w:t>click</w:t>
      </w:r>
      <w:r>
        <w:rPr>
          <w:color w:val="231F20"/>
          <w:spacing w:val="11"/>
        </w:rPr>
        <w:t> </w:t>
      </w:r>
      <w:r>
        <w:rPr>
          <w:color w:val="231F20"/>
          <w:spacing w:val="15"/>
          <w:position w:val="-1"/>
        </w:rPr>
        <w:drawing>
          <wp:inline distT="0" distB="0" distL="0" distR="0">
            <wp:extent cx="101600" cy="95250"/>
            <wp:effectExtent l="0" t="0" r="0" b="0"/>
            <wp:docPr id="2571" name="Image 2571"/>
            <wp:cNvGraphicFramePr>
              <a:graphicFrameLocks/>
            </wp:cNvGraphicFramePr>
            <a:graphic>
              <a:graphicData uri="http://schemas.openxmlformats.org/drawingml/2006/picture">
                <pic:pic>
                  <pic:nvPicPr>
                    <pic:cNvPr id="2571" name="Image 2571"/>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spacing w:val="-2"/>
        </w:rPr>
        <w:t>Situations</w:t>
      </w:r>
      <w:r>
        <w:rPr>
          <w:color w:val="231F20"/>
          <w:spacing w:val="-2"/>
        </w:rPr>
        <w:t>.</w:t>
      </w:r>
    </w:p>
    <w:p>
      <w:pPr>
        <w:pStyle w:val="BodyText"/>
        <w:spacing w:line="213" w:lineRule="auto" w:before="113"/>
        <w:ind w:left="2659" w:right="636"/>
      </w:pPr>
      <w:r>
        <w:rPr>
          <w:color w:val="231F20"/>
        </w:rPr>
        <w:t>Correlated situations are run at the Hub Tivoli Enterprise Monitoring Server, so they can be associated only with the Enterprise Navigator item. If this is </w:t>
      </w:r>
      <w:r>
        <w:rPr>
          <w:color w:val="231F20"/>
        </w:rPr>
        <w:t>a custom Navigator view, the association can be to any Navigator item where the hub (HUB_HOSTNAME) is assigned.</w:t>
      </w:r>
    </w:p>
    <w:p>
      <w:pPr>
        <w:pStyle w:val="ListParagraph"/>
        <w:numPr>
          <w:ilvl w:val="0"/>
          <w:numId w:val="137"/>
        </w:numPr>
        <w:tabs>
          <w:tab w:pos="2658" w:val="left" w:leader="none"/>
        </w:tabs>
        <w:spacing w:line="240" w:lineRule="auto" w:before="108" w:after="0"/>
        <w:ind w:left="2658" w:right="0" w:hanging="315"/>
        <w:jc w:val="left"/>
        <w:rPr>
          <w:sz w:val="20"/>
        </w:rPr>
      </w:pPr>
      <w:r>
        <w:rPr>
          <w:color w:val="231F20"/>
          <w:sz w:val="20"/>
        </w:rPr>
        <w:t>Click</w:t>
      </w:r>
      <w:r>
        <w:rPr>
          <w:color w:val="231F20"/>
          <w:spacing w:val="25"/>
          <w:sz w:val="20"/>
        </w:rPr>
        <w:t> </w:t>
      </w:r>
      <w:r>
        <w:rPr>
          <w:color w:val="231F20"/>
          <w:spacing w:val="-19"/>
          <w:position w:val="-1"/>
          <w:sz w:val="20"/>
        </w:rPr>
        <w:drawing>
          <wp:inline distT="0" distB="0" distL="0" distR="0">
            <wp:extent cx="142875" cy="152400"/>
            <wp:effectExtent l="0" t="0" r="0" b="0"/>
            <wp:docPr id="2572" name="Image 2572"/>
            <wp:cNvGraphicFramePr>
              <a:graphicFrameLocks/>
            </wp:cNvGraphicFramePr>
            <a:graphic>
              <a:graphicData uri="http://schemas.openxmlformats.org/drawingml/2006/picture">
                <pic:pic>
                  <pic:nvPicPr>
                    <pic:cNvPr id="2572" name="Image 2572"/>
                    <pic:cNvPicPr/>
                  </pic:nvPicPr>
                  <pic:blipFill>
                    <a:blip r:embed="rId26" cstate="print"/>
                    <a:stretch>
                      <a:fillRect/>
                    </a:stretch>
                  </pic:blipFill>
                  <pic:spPr>
                    <a:xfrm>
                      <a:off x="0" y="0"/>
                      <a:ext cx="142875" cy="152400"/>
                    </a:xfrm>
                    <a:prstGeom prst="rect">
                      <a:avLst/>
                    </a:prstGeom>
                  </pic:spPr>
                </pic:pic>
              </a:graphicData>
            </a:graphic>
          </wp:inline>
        </w:drawing>
      </w:r>
      <w:r>
        <w:rPr>
          <w:color w:val="231F20"/>
          <w:spacing w:val="-19"/>
          <w:position w:val="-1"/>
          <w:sz w:val="20"/>
        </w:rPr>
      </w:r>
      <w:r>
        <w:rPr>
          <w:rFonts w:ascii="Times New Roman"/>
          <w:color w:val="231F20"/>
          <w:spacing w:val="76"/>
          <w:sz w:val="20"/>
        </w:rPr>
        <w:t> </w:t>
      </w:r>
      <w:r>
        <w:rPr>
          <w:rFonts w:ascii="Book Antiqua"/>
          <w:b/>
          <w:color w:val="231F20"/>
          <w:sz w:val="20"/>
        </w:rPr>
        <w:t>New</w:t>
      </w:r>
      <w:r>
        <w:rPr>
          <w:rFonts w:ascii="Book Antiqua"/>
          <w:b/>
          <w:color w:val="231F20"/>
          <w:spacing w:val="11"/>
          <w:sz w:val="20"/>
        </w:rPr>
        <w:t> </w:t>
      </w:r>
      <w:r>
        <w:rPr>
          <w:rFonts w:ascii="Book Antiqua"/>
          <w:b/>
          <w:color w:val="231F20"/>
          <w:sz w:val="20"/>
        </w:rPr>
        <w:t>Situation</w:t>
      </w:r>
      <w:r>
        <w:rPr>
          <w:rFonts w:ascii="Book Antiqua"/>
          <w:b/>
          <w:color w:val="231F20"/>
          <w:spacing w:val="12"/>
          <w:sz w:val="20"/>
        </w:rPr>
        <w:t> </w:t>
      </w:r>
      <w:r>
        <w:rPr>
          <w:color w:val="231F20"/>
          <w:sz w:val="20"/>
        </w:rPr>
        <w:t>to</w:t>
      </w:r>
      <w:r>
        <w:rPr>
          <w:color w:val="231F20"/>
          <w:spacing w:val="12"/>
          <w:sz w:val="20"/>
        </w:rPr>
        <w:t> </w:t>
      </w: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Create</w:t>
      </w:r>
      <w:r>
        <w:rPr>
          <w:color w:val="231F20"/>
          <w:spacing w:val="12"/>
          <w:sz w:val="20"/>
        </w:rPr>
        <w:t> </w:t>
      </w:r>
      <w:r>
        <w:rPr>
          <w:color w:val="231F20"/>
          <w:sz w:val="20"/>
        </w:rPr>
        <w:t>Situation</w:t>
      </w:r>
      <w:r>
        <w:rPr>
          <w:color w:val="231F20"/>
          <w:spacing w:val="11"/>
          <w:sz w:val="20"/>
        </w:rPr>
        <w:t> </w:t>
      </w:r>
      <w:r>
        <w:rPr>
          <w:color w:val="231F20"/>
          <w:spacing w:val="-2"/>
          <w:sz w:val="20"/>
        </w:rPr>
        <w:t>window.</w:t>
      </w:r>
    </w:p>
    <w:p>
      <w:pPr>
        <w:pStyle w:val="ListParagraph"/>
        <w:numPr>
          <w:ilvl w:val="0"/>
          <w:numId w:val="137"/>
        </w:numPr>
        <w:tabs>
          <w:tab w:pos="2659" w:val="left" w:leader="none"/>
        </w:tabs>
        <w:spacing w:line="213" w:lineRule="auto" w:before="53" w:after="0"/>
        <w:ind w:left="2659" w:right="478" w:hanging="316"/>
        <w:jc w:val="left"/>
        <w:rPr>
          <w:sz w:val="20"/>
        </w:rPr>
      </w:pPr>
      <w:r>
        <w:rPr>
          <w:color w:val="231F20"/>
          <w:sz w:val="20"/>
        </w:rPr>
        <w:t>Type a name for the situation in the </w:t>
      </w:r>
      <w:r>
        <w:rPr>
          <w:rFonts w:ascii="Book Antiqua"/>
          <w:b/>
          <w:color w:val="231F20"/>
          <w:sz w:val="20"/>
        </w:rPr>
        <w:t>Name </w:t>
      </w:r>
      <w:r>
        <w:rPr>
          <w:color w:val="231F20"/>
          <w:sz w:val="20"/>
        </w:rPr>
        <w:t>field and, optionally, a description</w:t>
      </w:r>
      <w:r>
        <w:rPr>
          <w:color w:val="231F20"/>
          <w:spacing w:val="40"/>
          <w:sz w:val="20"/>
        </w:rPr>
        <w:t> </w:t>
      </w:r>
      <w:r>
        <w:rPr>
          <w:color w:val="231F20"/>
          <w:sz w:val="20"/>
        </w:rPr>
        <w:t>in the </w:t>
      </w:r>
      <w:r>
        <w:rPr>
          <w:rFonts w:ascii="Book Antiqua"/>
          <w:b/>
          <w:color w:val="231F20"/>
          <w:sz w:val="20"/>
        </w:rPr>
        <w:t>Description </w:t>
      </w:r>
      <w:r>
        <w:rPr>
          <w:color w:val="231F20"/>
          <w:sz w:val="20"/>
        </w:rPr>
        <w:t>field. The situation name can contain any UTF-8 </w:t>
      </w:r>
      <w:r>
        <w:rPr>
          <w:color w:val="231F20"/>
          <w:sz w:val="20"/>
        </w:rPr>
        <w:t>characters</w:t>
      </w:r>
    </w:p>
    <w:p>
      <w:pPr>
        <w:spacing w:after="0" w:line="213" w:lineRule="auto"/>
        <w:jc w:val="left"/>
        <w:rPr>
          <w:sz w:val="20"/>
        </w:rPr>
        <w:sectPr>
          <w:pgSz w:w="12240" w:h="15840"/>
          <w:pgMar w:header="0" w:footer="736" w:top="1220" w:bottom="920" w:left="1000" w:right="1060"/>
        </w:sectPr>
      </w:pPr>
    </w:p>
    <w:p>
      <w:pPr>
        <w:pStyle w:val="BodyText"/>
        <w:spacing w:line="213" w:lineRule="auto" w:before="85"/>
        <w:ind w:left="2899" w:right="493"/>
      </w:pPr>
      <w:r>
        <w:rPr>
          <w:color w:val="231F20"/>
        </w:rPr>
        <w:t>and can be up to 256 bytes long. The description can be up to 64 </w:t>
      </w:r>
      <w:r>
        <w:rPr>
          <w:color w:val="231F20"/>
        </w:rPr>
        <w:t>characters</w:t>
      </w:r>
      <w:r>
        <w:rPr>
          <w:color w:val="231F20"/>
          <w:spacing w:val="40"/>
        </w:rPr>
        <w:t> </w:t>
      </w:r>
      <w:r>
        <w:rPr>
          <w:color w:val="231F20"/>
        </w:rPr>
        <w:t>long. The description is displayed in the Situation editor, in the Manage Situations window, and when you select the situation for embedding in or correlating with another situation.</w:t>
      </w:r>
    </w:p>
    <w:p>
      <w:pPr>
        <w:pStyle w:val="ListParagraph"/>
        <w:numPr>
          <w:ilvl w:val="0"/>
          <w:numId w:val="137"/>
        </w:numPr>
        <w:tabs>
          <w:tab w:pos="2899" w:val="left" w:leader="none"/>
        </w:tabs>
        <w:spacing w:line="213" w:lineRule="auto" w:before="57" w:after="0"/>
        <w:ind w:left="2899" w:right="231" w:hanging="316"/>
        <w:jc w:val="left"/>
        <w:rPr>
          <w:sz w:val="20"/>
        </w:rPr>
      </w:pPr>
      <w:r>
        <w:rPr>
          <w:color w:val="231F20"/>
          <w:sz w:val="20"/>
        </w:rPr>
        <w:t>Select</w:t>
      </w:r>
      <w:r>
        <w:rPr>
          <w:color w:val="231F20"/>
          <w:spacing w:val="29"/>
          <w:sz w:val="20"/>
        </w:rPr>
        <w:t> </w:t>
      </w:r>
      <w:r>
        <w:rPr>
          <w:rFonts w:ascii="Arial"/>
          <w:color w:val="231F20"/>
          <w:sz w:val="20"/>
        </w:rPr>
        <w:t>Correlated Situation </w:t>
      </w:r>
      <w:r>
        <w:rPr>
          <w:color w:val="231F20"/>
          <w:sz w:val="20"/>
        </w:rPr>
        <w:t>from</w:t>
      </w:r>
      <w:r>
        <w:rPr>
          <w:color w:val="231F20"/>
          <w:spacing w:val="29"/>
          <w:sz w:val="20"/>
        </w:rPr>
        <w:t> </w:t>
      </w:r>
      <w:r>
        <w:rPr>
          <w:color w:val="231F20"/>
          <w:sz w:val="20"/>
        </w:rPr>
        <w:t>the</w:t>
      </w:r>
      <w:r>
        <w:rPr>
          <w:color w:val="231F20"/>
          <w:spacing w:val="29"/>
          <w:sz w:val="20"/>
        </w:rPr>
        <w:t> </w:t>
      </w:r>
      <w:r>
        <w:rPr>
          <w:rFonts w:ascii="Book Antiqua"/>
          <w:b/>
          <w:color w:val="231F20"/>
          <w:sz w:val="20"/>
        </w:rPr>
        <w:t>Type</w:t>
      </w:r>
      <w:r>
        <w:rPr>
          <w:rFonts w:ascii="Book Antiqua"/>
          <w:b/>
          <w:color w:val="231F20"/>
          <w:spacing w:val="29"/>
          <w:sz w:val="20"/>
        </w:rPr>
        <w:t> </w:t>
      </w:r>
      <w:r>
        <w:rPr>
          <w:color w:val="231F20"/>
          <w:sz w:val="20"/>
        </w:rPr>
        <w:t>list</w:t>
      </w:r>
      <w:r>
        <w:rPr>
          <w:color w:val="231F20"/>
          <w:spacing w:val="29"/>
          <w:sz w:val="20"/>
        </w:rPr>
        <w:t> </w:t>
      </w:r>
      <w:r>
        <w:rPr>
          <w:color w:val="231F20"/>
          <w:sz w:val="20"/>
        </w:rPr>
        <w:t>and</w:t>
      </w:r>
      <w:r>
        <w:rPr>
          <w:color w:val="231F20"/>
          <w:spacing w:val="29"/>
          <w:sz w:val="20"/>
        </w:rPr>
        <w:t> </w:t>
      </w:r>
      <w:r>
        <w:rPr>
          <w:color w:val="231F20"/>
          <w:sz w:val="20"/>
        </w:rPr>
        <w:t>click</w:t>
      </w:r>
      <w:r>
        <w:rPr>
          <w:color w:val="231F20"/>
          <w:spacing w:val="29"/>
          <w:sz w:val="20"/>
        </w:rPr>
        <w:t> </w:t>
      </w:r>
      <w:r>
        <w:rPr>
          <w:rFonts w:ascii="Book Antiqua"/>
          <w:b/>
          <w:color w:val="231F20"/>
          <w:sz w:val="20"/>
        </w:rPr>
        <w:t>OK</w:t>
      </w:r>
      <w:r>
        <w:rPr>
          <w:color w:val="231F20"/>
          <w:sz w:val="20"/>
        </w:rPr>
        <w:t>. After</w:t>
      </w:r>
      <w:r>
        <w:rPr>
          <w:color w:val="231F20"/>
          <w:spacing w:val="29"/>
          <w:sz w:val="20"/>
        </w:rPr>
        <w:t> </w:t>
      </w:r>
      <w:r>
        <w:rPr>
          <w:color w:val="231F20"/>
          <w:sz w:val="20"/>
        </w:rPr>
        <w:t>you</w:t>
      </w:r>
      <w:r>
        <w:rPr>
          <w:color w:val="231F20"/>
          <w:spacing w:val="29"/>
          <w:sz w:val="20"/>
        </w:rPr>
        <w:t> </w:t>
      </w:r>
      <w:r>
        <w:rPr>
          <w:color w:val="231F20"/>
          <w:sz w:val="20"/>
        </w:rPr>
        <w:t>select Correlated Situation, the </w:t>
      </w:r>
      <w:r>
        <w:rPr>
          <w:rFonts w:ascii="Book Antiqua"/>
          <w:b/>
          <w:color w:val="231F20"/>
          <w:sz w:val="20"/>
        </w:rPr>
        <w:t>Monitored Application </w:t>
      </w:r>
      <w:r>
        <w:rPr>
          <w:color w:val="231F20"/>
          <w:sz w:val="20"/>
        </w:rPr>
        <w:t>field is set to </w:t>
      </w:r>
      <w:r>
        <w:rPr>
          <w:rFonts w:ascii="Arial"/>
          <w:color w:val="231F20"/>
          <w:w w:val="105"/>
          <w:sz w:val="20"/>
        </w:rPr>
        <w:t>All </w:t>
      </w:r>
      <w:r>
        <w:rPr>
          <w:rFonts w:ascii="Arial"/>
          <w:color w:val="231F20"/>
          <w:sz w:val="20"/>
        </w:rPr>
        <w:t>Managed Systems </w:t>
      </w:r>
      <w:r>
        <w:rPr>
          <w:color w:val="231F20"/>
          <w:sz w:val="20"/>
        </w:rPr>
        <w:t>and disabled. Correlated situations are distributed to the hub monitoring server automatically.</w:t>
      </w:r>
    </w:p>
    <w:p>
      <w:pPr>
        <w:pStyle w:val="ListParagraph"/>
        <w:numPr>
          <w:ilvl w:val="0"/>
          <w:numId w:val="137"/>
        </w:numPr>
        <w:tabs>
          <w:tab w:pos="2899" w:val="left" w:leader="none"/>
        </w:tabs>
        <w:spacing w:line="213" w:lineRule="auto" w:before="57" w:after="0"/>
        <w:ind w:left="2899" w:right="171" w:hanging="316"/>
        <w:jc w:val="left"/>
        <w:rPr>
          <w:sz w:val="20"/>
        </w:rPr>
      </w:pPr>
      <w:r>
        <w:rPr>
          <w:color w:val="231F20"/>
          <w:sz w:val="20"/>
        </w:rPr>
        <w:t>In the Correlated Situation Selection window, select a situation from the </w:t>
      </w:r>
      <w:r>
        <w:rPr>
          <w:rFonts w:ascii="Book Antiqua"/>
          <w:b/>
          <w:color w:val="231F20"/>
          <w:sz w:val="20"/>
        </w:rPr>
        <w:t>Available Situations </w:t>
      </w:r>
      <w:r>
        <w:rPr>
          <w:color w:val="231F20"/>
          <w:sz w:val="20"/>
        </w:rPr>
        <w:t>list, select the managed system (or managed systems) to correlate from the </w:t>
      </w:r>
      <w:r>
        <w:rPr>
          <w:rFonts w:ascii="Book Antiqua"/>
          <w:b/>
          <w:color w:val="231F20"/>
          <w:sz w:val="20"/>
        </w:rPr>
        <w:t>Available Managed Systems </w:t>
      </w:r>
      <w:r>
        <w:rPr>
          <w:color w:val="231F20"/>
          <w:sz w:val="20"/>
        </w:rPr>
        <w:t>list, then click </w:t>
      </w:r>
      <w:r>
        <w:rPr>
          <w:rFonts w:ascii="Book Antiqua"/>
          <w:b/>
          <w:color w:val="231F20"/>
          <w:sz w:val="20"/>
        </w:rPr>
        <w:t>OK </w:t>
      </w:r>
      <w:r>
        <w:rPr>
          <w:color w:val="231F20"/>
          <w:sz w:val="20"/>
        </w:rPr>
        <w:t>to add the situation to the editor. A column is inserted for each managed system that </w:t>
      </w:r>
      <w:r>
        <w:rPr>
          <w:color w:val="231F20"/>
          <w:sz w:val="20"/>
        </w:rPr>
        <w:t>was </w:t>
      </w:r>
      <w:r>
        <w:rPr>
          <w:color w:val="231F20"/>
          <w:spacing w:val="-2"/>
          <w:sz w:val="20"/>
        </w:rPr>
        <w:t>selected.</w:t>
      </w:r>
    </w:p>
    <w:p>
      <w:pPr>
        <w:pStyle w:val="ListParagraph"/>
        <w:numPr>
          <w:ilvl w:val="0"/>
          <w:numId w:val="137"/>
        </w:numPr>
        <w:tabs>
          <w:tab w:pos="2899" w:val="left" w:leader="none"/>
        </w:tabs>
        <w:spacing w:line="213" w:lineRule="auto" w:before="57" w:after="0"/>
        <w:ind w:left="2899" w:right="197" w:hanging="316"/>
        <w:jc w:val="left"/>
        <w:rPr>
          <w:sz w:val="20"/>
        </w:rPr>
      </w:pPr>
      <w:r>
        <w:rPr>
          <w:color w:val="231F20"/>
          <w:sz w:val="20"/>
        </w:rPr>
        <w:t>Click in a cell below each new column to add </w:t>
      </w:r>
      <w:r>
        <w:rPr>
          <w:color w:val="231F20"/>
          <w:spacing w:val="15"/>
          <w:position w:val="-1"/>
          <w:sz w:val="20"/>
        </w:rPr>
        <w:drawing>
          <wp:inline distT="0" distB="0" distL="0" distR="0">
            <wp:extent cx="101600" cy="95250"/>
            <wp:effectExtent l="0" t="0" r="0" b="0"/>
            <wp:docPr id="2573" name="Image 2573"/>
            <wp:cNvGraphicFramePr>
              <a:graphicFrameLocks/>
            </wp:cNvGraphicFramePr>
            <a:graphic>
              <a:graphicData uri="http://schemas.openxmlformats.org/drawingml/2006/picture">
                <pic:pic>
                  <pic:nvPicPr>
                    <pic:cNvPr id="2573" name="Image 2573"/>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 True </w:t>
      </w:r>
      <w:r>
        <w:rPr>
          <w:color w:val="231F20"/>
          <w:sz w:val="20"/>
        </w:rPr>
        <w:t>and complete the expression. If the comparison must be satisfied on both managed systems, </w:t>
      </w:r>
      <w:r>
        <w:rPr>
          <w:color w:val="231F20"/>
          <w:sz w:val="20"/>
        </w:rPr>
        <w:t>this</w:t>
      </w:r>
      <w:r>
        <w:rPr>
          <w:color w:val="231F20"/>
          <w:spacing w:val="40"/>
          <w:sz w:val="20"/>
        </w:rPr>
        <w:t> </w:t>
      </w:r>
      <w:r>
        <w:rPr>
          <w:color w:val="231F20"/>
          <w:sz w:val="20"/>
        </w:rPr>
        <w:t>is</w:t>
      </w:r>
      <w:r>
        <w:rPr>
          <w:color w:val="231F20"/>
          <w:spacing w:val="27"/>
          <w:sz w:val="20"/>
        </w:rPr>
        <w:t> </w:t>
      </w:r>
      <w:r>
        <w:rPr>
          <w:color w:val="231F20"/>
          <w:sz w:val="20"/>
        </w:rPr>
        <w:t>an AND</w:t>
      </w:r>
      <w:r>
        <w:rPr>
          <w:color w:val="231F20"/>
          <w:spacing w:val="27"/>
          <w:sz w:val="20"/>
        </w:rPr>
        <w:t> </w:t>
      </w:r>
      <w:r>
        <w:rPr>
          <w:color w:val="231F20"/>
          <w:sz w:val="20"/>
        </w:rPr>
        <w:t>comparison</w:t>
      </w:r>
      <w:r>
        <w:rPr>
          <w:color w:val="231F20"/>
          <w:spacing w:val="27"/>
          <w:sz w:val="20"/>
        </w:rPr>
        <w:t> </w:t>
      </w:r>
      <w:r>
        <w:rPr>
          <w:color w:val="231F20"/>
          <w:sz w:val="20"/>
        </w:rPr>
        <w:t>and</w:t>
      </w:r>
      <w:r>
        <w:rPr>
          <w:color w:val="231F20"/>
          <w:spacing w:val="27"/>
          <w:sz w:val="20"/>
        </w:rPr>
        <w:t> </w:t>
      </w:r>
      <w:r>
        <w:rPr>
          <w:color w:val="231F20"/>
          <w:sz w:val="20"/>
        </w:rPr>
        <w:t>their</w:t>
      </w:r>
      <w:r>
        <w:rPr>
          <w:color w:val="231F20"/>
          <w:spacing w:val="27"/>
          <w:sz w:val="20"/>
        </w:rPr>
        <w:t> </w:t>
      </w:r>
      <w:r>
        <w:rPr>
          <w:color w:val="231F20"/>
          <w:sz w:val="20"/>
        </w:rPr>
        <w:t>expressions</w:t>
      </w:r>
      <w:r>
        <w:rPr>
          <w:color w:val="231F20"/>
          <w:spacing w:val="27"/>
          <w:sz w:val="20"/>
        </w:rPr>
        <w:t> </w:t>
      </w:r>
      <w:r>
        <w:rPr>
          <w:color w:val="231F20"/>
          <w:sz w:val="20"/>
        </w:rPr>
        <w:t>must</w:t>
      </w:r>
      <w:r>
        <w:rPr>
          <w:color w:val="231F20"/>
          <w:spacing w:val="27"/>
          <w:sz w:val="20"/>
        </w:rPr>
        <w:t> </w:t>
      </w:r>
      <w:r>
        <w:rPr>
          <w:color w:val="231F20"/>
          <w:sz w:val="20"/>
        </w:rPr>
        <w:t>be</w:t>
      </w:r>
      <w:r>
        <w:rPr>
          <w:color w:val="231F20"/>
          <w:spacing w:val="27"/>
          <w:sz w:val="20"/>
        </w:rPr>
        <w:t> </w:t>
      </w:r>
      <w:r>
        <w:rPr>
          <w:color w:val="231F20"/>
          <w:sz w:val="20"/>
        </w:rPr>
        <w:t>entered</w:t>
      </w:r>
      <w:r>
        <w:rPr>
          <w:color w:val="231F20"/>
          <w:spacing w:val="27"/>
          <w:sz w:val="20"/>
        </w:rPr>
        <w:t> </w:t>
      </w:r>
      <w:r>
        <w:rPr>
          <w:color w:val="231F20"/>
          <w:sz w:val="20"/>
        </w:rPr>
        <w:t>on</w:t>
      </w:r>
      <w:r>
        <w:rPr>
          <w:color w:val="231F20"/>
          <w:spacing w:val="27"/>
          <w:sz w:val="20"/>
        </w:rPr>
        <w:t> </w:t>
      </w:r>
      <w:r>
        <w:rPr>
          <w:color w:val="231F20"/>
          <w:sz w:val="20"/>
        </w:rPr>
        <w:t>the</w:t>
      </w:r>
      <w:r>
        <w:rPr>
          <w:color w:val="231F20"/>
          <w:spacing w:val="27"/>
          <w:sz w:val="20"/>
        </w:rPr>
        <w:t> </w:t>
      </w:r>
      <w:r>
        <w:rPr>
          <w:color w:val="231F20"/>
          <w:sz w:val="20"/>
        </w:rPr>
        <w:t>same row;</w:t>
      </w:r>
      <w:r>
        <w:rPr>
          <w:color w:val="231F20"/>
          <w:spacing w:val="26"/>
          <w:sz w:val="20"/>
        </w:rPr>
        <w:t> </w:t>
      </w:r>
      <w:r>
        <w:rPr>
          <w:color w:val="231F20"/>
          <w:sz w:val="20"/>
        </w:rPr>
        <w:t>if</w:t>
      </w:r>
      <w:r>
        <w:rPr>
          <w:color w:val="231F20"/>
          <w:spacing w:val="26"/>
          <w:sz w:val="20"/>
        </w:rPr>
        <w:t> </w:t>
      </w:r>
      <w:r>
        <w:rPr>
          <w:color w:val="231F20"/>
          <w:sz w:val="20"/>
        </w:rPr>
        <w:t>the</w:t>
      </w:r>
      <w:r>
        <w:rPr>
          <w:color w:val="231F20"/>
          <w:spacing w:val="26"/>
          <w:sz w:val="20"/>
        </w:rPr>
        <w:t> </w:t>
      </w:r>
      <w:r>
        <w:rPr>
          <w:color w:val="231F20"/>
          <w:sz w:val="20"/>
        </w:rPr>
        <w:t>comparison</w:t>
      </w:r>
      <w:r>
        <w:rPr>
          <w:color w:val="231F20"/>
          <w:spacing w:val="26"/>
          <w:sz w:val="20"/>
        </w:rPr>
        <w:t> </w:t>
      </w:r>
      <w:r>
        <w:rPr>
          <w:color w:val="231F20"/>
          <w:sz w:val="20"/>
        </w:rPr>
        <w:t>can</w:t>
      </w:r>
      <w:r>
        <w:rPr>
          <w:color w:val="231F20"/>
          <w:spacing w:val="26"/>
          <w:sz w:val="20"/>
        </w:rPr>
        <w:t> </w:t>
      </w:r>
      <w:r>
        <w:rPr>
          <w:color w:val="231F20"/>
          <w:sz w:val="20"/>
        </w:rPr>
        <w:t>be</w:t>
      </w:r>
      <w:r>
        <w:rPr>
          <w:color w:val="231F20"/>
          <w:spacing w:val="26"/>
          <w:sz w:val="20"/>
        </w:rPr>
        <w:t> </w:t>
      </w:r>
      <w:r>
        <w:rPr>
          <w:color w:val="231F20"/>
          <w:sz w:val="20"/>
        </w:rPr>
        <w:t>satisfied</w:t>
      </w:r>
      <w:r>
        <w:rPr>
          <w:color w:val="231F20"/>
          <w:spacing w:val="26"/>
          <w:sz w:val="20"/>
        </w:rPr>
        <w:t> </w:t>
      </w:r>
      <w:r>
        <w:rPr>
          <w:color w:val="231F20"/>
          <w:sz w:val="20"/>
        </w:rPr>
        <w:t>on</w:t>
      </w:r>
      <w:r>
        <w:rPr>
          <w:color w:val="231F20"/>
          <w:spacing w:val="26"/>
          <w:sz w:val="20"/>
        </w:rPr>
        <w:t> </w:t>
      </w:r>
      <w:r>
        <w:rPr>
          <w:color w:val="231F20"/>
          <w:sz w:val="20"/>
        </w:rPr>
        <w:t>either</w:t>
      </w:r>
      <w:r>
        <w:rPr>
          <w:color w:val="231F20"/>
          <w:spacing w:val="26"/>
          <w:sz w:val="20"/>
        </w:rPr>
        <w:t> </w:t>
      </w:r>
      <w:r>
        <w:rPr>
          <w:color w:val="231F20"/>
          <w:sz w:val="20"/>
        </w:rPr>
        <w:t>managed</w:t>
      </w:r>
      <w:r>
        <w:rPr>
          <w:color w:val="231F20"/>
          <w:spacing w:val="26"/>
          <w:sz w:val="20"/>
        </w:rPr>
        <w:t> </w:t>
      </w:r>
      <w:r>
        <w:rPr>
          <w:color w:val="231F20"/>
          <w:sz w:val="20"/>
        </w:rPr>
        <w:t>system,</w:t>
      </w:r>
      <w:r>
        <w:rPr>
          <w:color w:val="231F20"/>
          <w:spacing w:val="26"/>
          <w:sz w:val="20"/>
        </w:rPr>
        <w:t> </w:t>
      </w:r>
      <w:r>
        <w:rPr>
          <w:color w:val="231F20"/>
          <w:sz w:val="20"/>
        </w:rPr>
        <w:t>this</w:t>
      </w:r>
      <w:r>
        <w:rPr>
          <w:color w:val="231F20"/>
          <w:spacing w:val="26"/>
          <w:sz w:val="20"/>
        </w:rPr>
        <w:t> </w:t>
      </w:r>
      <w:r>
        <w:rPr>
          <w:color w:val="231F20"/>
          <w:sz w:val="20"/>
        </w:rPr>
        <w:t>is</w:t>
      </w:r>
      <w:r>
        <w:rPr>
          <w:color w:val="231F20"/>
          <w:spacing w:val="26"/>
          <w:sz w:val="20"/>
        </w:rPr>
        <w:t> </w:t>
      </w:r>
      <w:r>
        <w:rPr>
          <w:color w:val="231F20"/>
          <w:sz w:val="20"/>
        </w:rPr>
        <w:t>an OR comparison and the expressions must be entered on different rows.</w:t>
      </w:r>
    </w:p>
    <w:p>
      <w:pPr>
        <w:pStyle w:val="ListParagraph"/>
        <w:numPr>
          <w:ilvl w:val="0"/>
          <w:numId w:val="137"/>
        </w:numPr>
        <w:tabs>
          <w:tab w:pos="2899" w:val="left" w:leader="none"/>
        </w:tabs>
        <w:spacing w:line="213" w:lineRule="auto" w:before="56" w:after="0"/>
        <w:ind w:left="2899" w:right="215" w:hanging="316"/>
        <w:jc w:val="left"/>
        <w:rPr>
          <w:sz w:val="20"/>
        </w:rPr>
      </w:pPr>
      <w:r>
        <w:rPr>
          <w:color w:val="231F20"/>
          <w:sz w:val="20"/>
        </w:rPr>
        <w:t>A correlated</w:t>
      </w:r>
      <w:r>
        <w:rPr>
          <w:color w:val="231F20"/>
          <w:spacing w:val="27"/>
          <w:sz w:val="20"/>
        </w:rPr>
        <w:t> </w:t>
      </w:r>
      <w:r>
        <w:rPr>
          <w:color w:val="231F20"/>
          <w:sz w:val="20"/>
        </w:rPr>
        <w:t>situation</w:t>
      </w:r>
      <w:r>
        <w:rPr>
          <w:color w:val="231F20"/>
          <w:spacing w:val="27"/>
          <w:sz w:val="20"/>
        </w:rPr>
        <w:t> </w:t>
      </w:r>
      <w:r>
        <w:rPr>
          <w:color w:val="231F20"/>
          <w:sz w:val="20"/>
        </w:rPr>
        <w:t>is</w:t>
      </w:r>
      <w:r>
        <w:rPr>
          <w:color w:val="231F20"/>
          <w:spacing w:val="27"/>
          <w:sz w:val="20"/>
        </w:rPr>
        <w:t> </w:t>
      </w:r>
      <w:r>
        <w:rPr>
          <w:color w:val="231F20"/>
          <w:sz w:val="20"/>
        </w:rPr>
        <w:t>not</w:t>
      </w:r>
      <w:r>
        <w:rPr>
          <w:color w:val="231F20"/>
          <w:spacing w:val="27"/>
          <w:sz w:val="20"/>
        </w:rPr>
        <w:t> </w:t>
      </w:r>
      <w:r>
        <w:rPr>
          <w:color w:val="231F20"/>
          <w:sz w:val="20"/>
        </w:rPr>
        <w:t>complete</w:t>
      </w:r>
      <w:r>
        <w:rPr>
          <w:color w:val="231F20"/>
          <w:spacing w:val="27"/>
          <w:sz w:val="20"/>
        </w:rPr>
        <w:t> </w:t>
      </w:r>
      <w:r>
        <w:rPr>
          <w:color w:val="231F20"/>
          <w:sz w:val="20"/>
        </w:rPr>
        <w:t>until</w:t>
      </w:r>
      <w:r>
        <w:rPr>
          <w:color w:val="231F20"/>
          <w:spacing w:val="27"/>
          <w:sz w:val="20"/>
        </w:rPr>
        <w:t> </w:t>
      </w:r>
      <w:r>
        <w:rPr>
          <w:color w:val="231F20"/>
          <w:sz w:val="20"/>
        </w:rPr>
        <w:t>it</w:t>
      </w:r>
      <w:r>
        <w:rPr>
          <w:color w:val="231F20"/>
          <w:spacing w:val="27"/>
          <w:sz w:val="20"/>
        </w:rPr>
        <w:t> </w:t>
      </w:r>
      <w:r>
        <w:rPr>
          <w:color w:val="231F20"/>
          <w:sz w:val="20"/>
        </w:rPr>
        <w:t>has</w:t>
      </w:r>
      <w:r>
        <w:rPr>
          <w:color w:val="231F20"/>
          <w:spacing w:val="27"/>
          <w:sz w:val="20"/>
        </w:rPr>
        <w:t> </w:t>
      </w:r>
      <w:r>
        <w:rPr>
          <w:color w:val="231F20"/>
          <w:sz w:val="20"/>
        </w:rPr>
        <w:t>at</w:t>
      </w:r>
      <w:r>
        <w:rPr>
          <w:color w:val="231F20"/>
          <w:spacing w:val="27"/>
          <w:sz w:val="20"/>
        </w:rPr>
        <w:t> </w:t>
      </w:r>
      <w:r>
        <w:rPr>
          <w:color w:val="231F20"/>
          <w:sz w:val="20"/>
        </w:rPr>
        <w:t>least</w:t>
      </w:r>
      <w:r>
        <w:rPr>
          <w:color w:val="231F20"/>
          <w:spacing w:val="27"/>
          <w:sz w:val="20"/>
        </w:rPr>
        <w:t> </w:t>
      </w:r>
      <w:r>
        <w:rPr>
          <w:color w:val="231F20"/>
          <w:sz w:val="20"/>
        </w:rPr>
        <w:t>two</w:t>
      </w:r>
      <w:r>
        <w:rPr>
          <w:color w:val="231F20"/>
          <w:spacing w:val="27"/>
          <w:sz w:val="20"/>
        </w:rPr>
        <w:t> </w:t>
      </w:r>
      <w:r>
        <w:rPr>
          <w:color w:val="231F20"/>
          <w:sz w:val="20"/>
        </w:rPr>
        <w:t>conditions.</w:t>
      </w:r>
      <w:r>
        <w:rPr>
          <w:color w:val="231F20"/>
          <w:spacing w:val="27"/>
          <w:sz w:val="20"/>
        </w:rPr>
        <w:t> </w:t>
      </w:r>
      <w:r>
        <w:rPr>
          <w:color w:val="231F20"/>
          <w:sz w:val="20"/>
        </w:rPr>
        <w:t>If you have more situations to add, click </w:t>
      </w:r>
      <w:r>
        <w:rPr>
          <w:rFonts w:ascii="Book Antiqua"/>
          <w:b/>
          <w:color w:val="231F20"/>
          <w:sz w:val="20"/>
        </w:rPr>
        <w:t>Add Conditions</w:t>
      </w:r>
      <w:r>
        <w:rPr>
          <w:color w:val="231F20"/>
          <w:sz w:val="20"/>
        </w:rPr>
        <w:t>, select the next</w:t>
      </w:r>
      <w:r>
        <w:rPr>
          <w:color w:val="231F20"/>
          <w:spacing w:val="80"/>
          <w:sz w:val="20"/>
        </w:rPr>
        <w:t> </w:t>
      </w:r>
      <w:r>
        <w:rPr>
          <w:color w:val="231F20"/>
          <w:sz w:val="20"/>
        </w:rPr>
        <w:t>situation and managed system (or managed systems), click </w:t>
      </w:r>
      <w:r>
        <w:rPr>
          <w:rFonts w:ascii="Book Antiqua"/>
          <w:b/>
          <w:color w:val="231F20"/>
          <w:sz w:val="20"/>
        </w:rPr>
        <w:t>OK</w:t>
      </w:r>
      <w:r>
        <w:rPr>
          <w:color w:val="231F20"/>
          <w:sz w:val="20"/>
        </w:rPr>
        <w:t>, and select inside a cell of each column added. If a managed system name is colored </w:t>
      </w:r>
      <w:r>
        <w:rPr>
          <w:color w:val="231F20"/>
          <w:sz w:val="20"/>
        </w:rPr>
        <w:t>blue instead of black, it means the situation for this managed system was already added to the correlation formula.</w:t>
      </w:r>
    </w:p>
    <w:p>
      <w:pPr>
        <w:pStyle w:val="ListParagraph"/>
        <w:numPr>
          <w:ilvl w:val="0"/>
          <w:numId w:val="137"/>
        </w:numPr>
        <w:tabs>
          <w:tab w:pos="2898" w:val="left" w:leader="none"/>
        </w:tabs>
        <w:spacing w:line="240" w:lineRule="auto" w:before="33" w:after="0"/>
        <w:ind w:left="2898" w:right="0" w:hanging="315"/>
        <w:jc w:val="left"/>
        <w:rPr>
          <w:sz w:val="20"/>
        </w:rPr>
      </w:pPr>
      <w:r>
        <w:rPr>
          <w:color w:val="231F20"/>
          <w:sz w:val="20"/>
        </w:rPr>
        <w:t>Adjust</w:t>
      </w:r>
      <w:r>
        <w:rPr>
          <w:color w:val="231F20"/>
          <w:spacing w:val="11"/>
          <w:sz w:val="20"/>
        </w:rPr>
        <w:t> </w:t>
      </w:r>
      <w:r>
        <w:rPr>
          <w:color w:val="231F20"/>
          <w:sz w:val="20"/>
        </w:rPr>
        <w:t>any</w:t>
      </w:r>
      <w:r>
        <w:rPr>
          <w:color w:val="231F20"/>
          <w:spacing w:val="12"/>
          <w:sz w:val="20"/>
        </w:rPr>
        <w:t> </w:t>
      </w:r>
      <w:r>
        <w:rPr>
          <w:color w:val="231F20"/>
          <w:sz w:val="20"/>
        </w:rPr>
        <w:t>other</w:t>
      </w:r>
      <w:r>
        <w:rPr>
          <w:color w:val="231F20"/>
          <w:spacing w:val="11"/>
          <w:sz w:val="20"/>
        </w:rPr>
        <w:t> </w:t>
      </w:r>
      <w:r>
        <w:rPr>
          <w:color w:val="231F20"/>
          <w:sz w:val="20"/>
        </w:rPr>
        <w:t>settings</w:t>
      </w:r>
      <w:r>
        <w:rPr>
          <w:color w:val="231F20"/>
          <w:spacing w:val="12"/>
          <w:sz w:val="20"/>
        </w:rPr>
        <w:t> </w:t>
      </w:r>
      <w:r>
        <w:rPr>
          <w:color w:val="231F20"/>
          <w:sz w:val="20"/>
        </w:rPr>
        <w:t>in</w:t>
      </w:r>
      <w:r>
        <w:rPr>
          <w:color w:val="231F20"/>
          <w:spacing w:val="12"/>
          <w:sz w:val="20"/>
        </w:rPr>
        <w:t> </w:t>
      </w:r>
      <w:r>
        <w:rPr>
          <w:color w:val="231F20"/>
          <w:sz w:val="20"/>
        </w:rPr>
        <w:t>the</w:t>
      </w:r>
      <w:r>
        <w:rPr>
          <w:color w:val="231F20"/>
          <w:spacing w:val="11"/>
          <w:sz w:val="20"/>
        </w:rPr>
        <w:t> </w:t>
      </w:r>
      <w:r>
        <w:rPr>
          <w:rFonts w:ascii="Book Antiqua"/>
          <w:b/>
          <w:color w:val="231F20"/>
          <w:sz w:val="20"/>
        </w:rPr>
        <w:t>Formula</w:t>
      </w:r>
      <w:r>
        <w:rPr>
          <w:rFonts w:ascii="Book Antiqua"/>
          <w:b/>
          <w:color w:val="231F20"/>
          <w:spacing w:val="12"/>
          <w:sz w:val="20"/>
        </w:rPr>
        <w:t> </w:t>
      </w:r>
      <w:r>
        <w:rPr>
          <w:color w:val="231F20"/>
          <w:sz w:val="20"/>
        </w:rPr>
        <w:t>tab</w:t>
      </w:r>
      <w:r>
        <w:rPr>
          <w:color w:val="231F20"/>
          <w:spacing w:val="11"/>
          <w:sz w:val="20"/>
        </w:rPr>
        <w:t> </w:t>
      </w:r>
      <w:r>
        <w:rPr>
          <w:color w:val="231F20"/>
          <w:sz w:val="20"/>
        </w:rPr>
        <w:t>to</w:t>
      </w:r>
      <w:r>
        <w:rPr>
          <w:color w:val="231F20"/>
          <w:spacing w:val="12"/>
          <w:sz w:val="20"/>
        </w:rPr>
        <w:t> </w:t>
      </w:r>
      <w:r>
        <w:rPr>
          <w:color w:val="231F20"/>
          <w:sz w:val="20"/>
        </w:rPr>
        <w:t>complete</w:t>
      </w:r>
      <w:r>
        <w:rPr>
          <w:color w:val="231F20"/>
          <w:spacing w:val="12"/>
          <w:sz w:val="20"/>
        </w:rPr>
        <w:t> </w:t>
      </w:r>
      <w:r>
        <w:rPr>
          <w:color w:val="231F20"/>
          <w:sz w:val="20"/>
        </w:rPr>
        <w:t>the</w:t>
      </w:r>
      <w:r>
        <w:rPr>
          <w:color w:val="231F20"/>
          <w:spacing w:val="11"/>
          <w:sz w:val="20"/>
        </w:rPr>
        <w:t> </w:t>
      </w:r>
      <w:r>
        <w:rPr>
          <w:color w:val="231F20"/>
          <w:spacing w:val="-2"/>
          <w:sz w:val="20"/>
        </w:rPr>
        <w:t>formula:</w:t>
      </w:r>
    </w:p>
    <w:p>
      <w:pPr>
        <w:pStyle w:val="BodyText"/>
        <w:spacing w:before="29"/>
        <w:ind w:left="2899"/>
      </w:pPr>
      <w:r>
        <w:rPr>
          <w:rFonts w:ascii="Futura MdCn BT"/>
          <w:color w:val="231F20"/>
        </w:rPr>
        <w:t>v</w:t>
      </w:r>
      <w:r>
        <w:rPr>
          <w:rFonts w:ascii="Futura MdCn BT"/>
          <w:color w:val="231F20"/>
          <w:spacing w:val="77"/>
          <w:w w:val="150"/>
        </w:rPr>
        <w:t> </w:t>
      </w:r>
      <w:r>
        <w:rPr>
          <w:color w:val="231F20"/>
        </w:rPr>
        <w:t>To</w:t>
      </w:r>
      <w:r>
        <w:rPr>
          <w:color w:val="231F20"/>
          <w:spacing w:val="9"/>
        </w:rPr>
        <w:t> </w:t>
      </w:r>
      <w:r>
        <w:rPr>
          <w:color w:val="231F20"/>
        </w:rPr>
        <w:t>add</w:t>
      </w:r>
      <w:r>
        <w:rPr>
          <w:color w:val="231F20"/>
          <w:spacing w:val="10"/>
        </w:rPr>
        <w:t> </w:t>
      </w:r>
      <w:r>
        <w:rPr>
          <w:color w:val="231F20"/>
        </w:rPr>
        <w:t>event</w:t>
      </w:r>
      <w:r>
        <w:rPr>
          <w:color w:val="231F20"/>
          <w:spacing w:val="10"/>
        </w:rPr>
        <w:t> </w:t>
      </w:r>
      <w:r>
        <w:rPr>
          <w:color w:val="231F20"/>
        </w:rPr>
        <w:t>persistence,</w:t>
      </w:r>
      <w:r>
        <w:rPr>
          <w:color w:val="231F20"/>
          <w:spacing w:val="10"/>
        </w:rPr>
        <w:t> </w:t>
      </w:r>
      <w:r>
        <w:rPr>
          <w:color w:val="231F20"/>
        </w:rPr>
        <w:t>click</w:t>
      </w:r>
      <w:r>
        <w:rPr>
          <w:color w:val="231F20"/>
          <w:spacing w:val="10"/>
        </w:rPr>
        <w:t> </w:t>
      </w:r>
      <w:r>
        <w:rPr>
          <w:rFonts w:ascii="Book Antiqua"/>
          <w:b/>
          <w:color w:val="231F20"/>
          <w:spacing w:val="-2"/>
        </w:rPr>
        <w:t>Advanced</w:t>
      </w:r>
      <w:r>
        <w:rPr>
          <w:color w:val="231F20"/>
          <w:spacing w:val="-2"/>
        </w:rPr>
        <w:t>.</w:t>
      </w:r>
    </w:p>
    <w:p>
      <w:pPr>
        <w:pStyle w:val="BodyText"/>
        <w:spacing w:line="213" w:lineRule="auto" w:before="53"/>
        <w:ind w:left="3115" w:hanging="216"/>
      </w:pPr>
      <w:r>
        <w:rPr>
          <w:rFonts w:ascii="Futura MdCn BT"/>
          <w:color w:val="231F20"/>
        </w:rPr>
        <w:t>v</w:t>
      </w:r>
      <w:r>
        <w:rPr>
          <w:rFonts w:ascii="Futura MdCn BT"/>
          <w:color w:val="231F20"/>
          <w:spacing w:val="80"/>
        </w:rPr>
        <w:t> </w:t>
      </w:r>
      <w:r>
        <w:rPr>
          <w:color w:val="231F20"/>
        </w:rPr>
        <w:t>To change the sampling interval, click inside the dd (day), hh (hour), </w:t>
      </w:r>
      <w:r>
        <w:rPr>
          <w:color w:val="231F20"/>
        </w:rPr>
        <w:t>mm</w:t>
      </w:r>
      <w:r>
        <w:rPr>
          <w:color w:val="231F20"/>
        </w:rPr>
        <w:t> (minute) or ss (second) field and click the up and down arrows.</w:t>
      </w:r>
    </w:p>
    <w:p>
      <w:pPr>
        <w:pStyle w:val="BodyText"/>
        <w:spacing w:before="40"/>
        <w:ind w:left="2899"/>
      </w:pPr>
      <w:r>
        <w:rPr>
          <w:rFonts w:ascii="Futura MdCn BT"/>
          <w:color w:val="231F20"/>
        </w:rPr>
        <w:t>v</w:t>
      </w:r>
      <w:r>
        <w:rPr>
          <w:rFonts w:ascii="Futura MdCn BT"/>
          <w:color w:val="231F20"/>
          <w:spacing w:val="73"/>
          <w:w w:val="150"/>
        </w:rPr>
        <w:t> </w:t>
      </w:r>
      <w:r>
        <w:rPr>
          <w:color w:val="231F20"/>
        </w:rPr>
        <w:t>To</w:t>
      </w:r>
      <w:r>
        <w:rPr>
          <w:color w:val="231F20"/>
          <w:spacing w:val="8"/>
        </w:rPr>
        <w:t> </w:t>
      </w:r>
      <w:r>
        <w:rPr>
          <w:color w:val="231F20"/>
        </w:rPr>
        <w:t>start</w:t>
      </w:r>
      <w:r>
        <w:rPr>
          <w:color w:val="231F20"/>
          <w:spacing w:val="8"/>
        </w:rPr>
        <w:t> </w:t>
      </w:r>
      <w:r>
        <w:rPr>
          <w:color w:val="231F20"/>
        </w:rPr>
        <w:t>the</w:t>
      </w:r>
      <w:r>
        <w:rPr>
          <w:color w:val="231F20"/>
          <w:spacing w:val="8"/>
        </w:rPr>
        <w:t> </w:t>
      </w:r>
      <w:r>
        <w:rPr>
          <w:color w:val="231F20"/>
        </w:rPr>
        <w:t>situation</w:t>
      </w:r>
      <w:r>
        <w:rPr>
          <w:color w:val="231F20"/>
          <w:spacing w:val="8"/>
        </w:rPr>
        <w:t> </w:t>
      </w:r>
      <w:r>
        <w:rPr>
          <w:color w:val="231F20"/>
        </w:rPr>
        <w:t>manually</w:t>
      </w:r>
      <w:r>
        <w:rPr>
          <w:color w:val="231F20"/>
          <w:spacing w:val="8"/>
        </w:rPr>
        <w:t> </w:t>
      </w:r>
      <w:r>
        <w:rPr>
          <w:color w:val="231F20"/>
        </w:rPr>
        <w:t>rather</w:t>
      </w:r>
      <w:r>
        <w:rPr>
          <w:color w:val="231F20"/>
          <w:spacing w:val="8"/>
        </w:rPr>
        <w:t> </w:t>
      </w:r>
      <w:r>
        <w:rPr>
          <w:color w:val="231F20"/>
        </w:rPr>
        <w:t>than</w:t>
      </w:r>
      <w:r>
        <w:rPr>
          <w:color w:val="231F20"/>
          <w:spacing w:val="9"/>
        </w:rPr>
        <w:t> </w:t>
      </w:r>
      <w:r>
        <w:rPr>
          <w:color w:val="231F20"/>
        </w:rPr>
        <w:t>automatically,</w:t>
      </w:r>
      <w:r>
        <w:rPr>
          <w:color w:val="231F20"/>
          <w:spacing w:val="8"/>
        </w:rPr>
        <w:t> </w:t>
      </w:r>
      <w:r>
        <w:rPr>
          <w:color w:val="231F20"/>
        </w:rPr>
        <w:t>clear</w:t>
      </w:r>
      <w:r>
        <w:rPr>
          <w:color w:val="231F20"/>
          <w:spacing w:val="7"/>
        </w:rPr>
        <w:t> </w:t>
      </w:r>
      <w:r>
        <w:rPr>
          <w:color w:val="231F20"/>
          <w:spacing w:val="15"/>
        </w:rPr>
        <w:drawing>
          <wp:inline distT="0" distB="0" distL="0" distR="0">
            <wp:extent cx="82550" cy="82550"/>
            <wp:effectExtent l="0" t="0" r="0" b="0"/>
            <wp:docPr id="2574" name="Image 2574"/>
            <wp:cNvGraphicFramePr>
              <a:graphicFrameLocks/>
            </wp:cNvGraphicFramePr>
            <a:graphic>
              <a:graphicData uri="http://schemas.openxmlformats.org/drawingml/2006/picture">
                <pic:pic>
                  <pic:nvPicPr>
                    <pic:cNvPr id="2574" name="Image 2574"/>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1"/>
        </w:rPr>
        <w:t> </w:t>
      </w:r>
      <w:r>
        <w:rPr>
          <w:color w:val="231F20"/>
          <w:spacing w:val="-10"/>
        </w:rPr>
        <w:t>.</w:t>
      </w:r>
    </w:p>
    <w:p>
      <w:pPr>
        <w:pStyle w:val="BodyText"/>
        <w:spacing w:line="213" w:lineRule="auto" w:before="48"/>
        <w:ind w:left="3115" w:right="545" w:hanging="216"/>
      </w:pPr>
      <w:r>
        <w:rPr>
          <w:rFonts w:ascii="Futura MdCn BT"/>
          <w:color w:val="231F20"/>
        </w:rPr>
        <w:t>v</w:t>
      </w:r>
      <w:r>
        <w:rPr>
          <w:rFonts w:ascii="Futura MdCn BT"/>
          <w:color w:val="231F20"/>
          <w:spacing w:val="80"/>
        </w:rPr>
        <w:t> </w:t>
      </w:r>
      <w:r>
        <w:rPr>
          <w:color w:val="231F20"/>
        </w:rPr>
        <w:t>To choose a different </w:t>
      </w:r>
      <w:r>
        <w:rPr>
          <w:rFonts w:ascii="Book Antiqua"/>
          <w:b/>
          <w:color w:val="231F20"/>
        </w:rPr>
        <w:t>State</w:t>
      </w:r>
      <w:r>
        <w:rPr>
          <w:color w:val="231F20"/>
        </w:rPr>
        <w:t>, select one from the list. (Not available if you opened the Situation editor from the main toolbar.)</w:t>
      </w:r>
    </w:p>
    <w:p>
      <w:pPr>
        <w:pStyle w:val="BodyText"/>
        <w:spacing w:line="211" w:lineRule="auto" w:before="65"/>
        <w:ind w:left="3115" w:right="274" w:hanging="216"/>
      </w:pPr>
      <w:r>
        <w:rPr>
          <w:rFonts w:ascii="Futura MdCn BT"/>
          <w:color w:val="231F20"/>
        </w:rPr>
        <w:t>v</w:t>
      </w:r>
      <w:r>
        <w:rPr>
          <w:rFonts w:ascii="Futura MdCn BT"/>
          <w:color w:val="231F20"/>
          <w:spacing w:val="80"/>
          <w:w w:val="150"/>
        </w:rPr>
        <w:t> </w:t>
      </w:r>
      <w:r>
        <w:rPr>
          <w:color w:val="231F20"/>
        </w:rPr>
        <w:t>To</w:t>
      </w:r>
      <w:r>
        <w:rPr>
          <w:color w:val="231F20"/>
          <w:spacing w:val="23"/>
        </w:rPr>
        <w:t> </w:t>
      </w:r>
      <w:r>
        <w:rPr>
          <w:color w:val="231F20"/>
        </w:rPr>
        <w:t>play</w:t>
      </w:r>
      <w:r>
        <w:rPr>
          <w:color w:val="231F20"/>
          <w:spacing w:val="23"/>
        </w:rPr>
        <w:t> </w:t>
      </w:r>
      <w:r>
        <w:rPr>
          <w:color w:val="231F20"/>
        </w:rPr>
        <w:t>a</w:t>
      </w:r>
      <w:r>
        <w:rPr>
          <w:color w:val="231F20"/>
          <w:spacing w:val="23"/>
        </w:rPr>
        <w:t> </w:t>
      </w:r>
      <w:r>
        <w:rPr>
          <w:color w:val="231F20"/>
        </w:rPr>
        <w:t>sound</w:t>
      </w:r>
      <w:r>
        <w:rPr>
          <w:color w:val="231F20"/>
          <w:spacing w:val="23"/>
        </w:rPr>
        <w:t> </w:t>
      </w:r>
      <w:r>
        <w:rPr>
          <w:color w:val="231F20"/>
        </w:rPr>
        <w:t>when</w:t>
      </w:r>
      <w:r>
        <w:rPr>
          <w:color w:val="231F20"/>
          <w:spacing w:val="23"/>
        </w:rPr>
        <w:t> </w:t>
      </w:r>
      <w:r>
        <w:rPr>
          <w:color w:val="231F20"/>
        </w:rPr>
        <w:t>an</w:t>
      </w:r>
      <w:r>
        <w:rPr>
          <w:color w:val="231F20"/>
          <w:spacing w:val="23"/>
        </w:rPr>
        <w:t> </w:t>
      </w:r>
      <w:r>
        <w:rPr>
          <w:color w:val="231F20"/>
        </w:rPr>
        <w:t>event</w:t>
      </w:r>
      <w:r>
        <w:rPr>
          <w:color w:val="231F20"/>
          <w:spacing w:val="23"/>
        </w:rPr>
        <w:t> </w:t>
      </w:r>
      <w:r>
        <w:rPr>
          <w:color w:val="231F20"/>
        </w:rPr>
        <w:t>opens,</w:t>
      </w:r>
      <w:r>
        <w:rPr>
          <w:color w:val="231F20"/>
          <w:spacing w:val="23"/>
        </w:rPr>
        <w:t> </w:t>
      </w:r>
      <w:r>
        <w:rPr>
          <w:color w:val="231F20"/>
        </w:rPr>
        <w:t>select</w:t>
      </w:r>
      <w:r>
        <w:rPr>
          <w:color w:val="231F20"/>
          <w:spacing w:val="-1"/>
        </w:rPr>
        <w:drawing>
          <wp:inline distT="0" distB="0" distL="0" distR="0">
            <wp:extent cx="82550" cy="82550"/>
            <wp:effectExtent l="0" t="0" r="0" b="0"/>
            <wp:docPr id="2575" name="Image 2575"/>
            <wp:cNvGraphicFramePr>
              <a:graphicFrameLocks/>
            </wp:cNvGraphicFramePr>
            <a:graphic>
              <a:graphicData uri="http://schemas.openxmlformats.org/drawingml/2006/picture">
                <pic:pic>
                  <pic:nvPicPr>
                    <pic:cNvPr id="2575" name="Image 2575"/>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
        </w:rPr>
      </w:r>
      <w:r>
        <w:rPr>
          <w:rFonts w:ascii="Times New Roman"/>
          <w:color w:val="231F20"/>
          <w:spacing w:val="80"/>
        </w:rPr>
        <w:t> </w:t>
      </w:r>
      <w:r>
        <w:rPr>
          <w:color w:val="231F20"/>
        </w:rPr>
        <w:t>in</w:t>
      </w:r>
      <w:r>
        <w:rPr>
          <w:color w:val="231F20"/>
          <w:spacing w:val="23"/>
        </w:rPr>
        <w:t> </w:t>
      </w:r>
      <w:r>
        <w:rPr>
          <w:color w:val="231F20"/>
        </w:rPr>
        <w:t>the</w:t>
      </w:r>
      <w:r>
        <w:rPr>
          <w:color w:val="231F20"/>
          <w:spacing w:val="23"/>
        </w:rPr>
        <w:t> </w:t>
      </w:r>
      <w:r>
        <w:rPr>
          <w:rFonts w:ascii="Book Antiqua"/>
          <w:b/>
          <w:color w:val="231F20"/>
        </w:rPr>
        <w:t>Sound</w:t>
      </w:r>
      <w:r>
        <w:rPr>
          <w:rFonts w:ascii="Book Antiqua"/>
          <w:b/>
          <w:color w:val="231F20"/>
          <w:spacing w:val="23"/>
        </w:rPr>
        <w:t> </w:t>
      </w:r>
      <w:r>
        <w:rPr>
          <w:color w:val="231F20"/>
        </w:rPr>
        <w:t>area.</w:t>
      </w:r>
      <w:r>
        <w:rPr>
          <w:color w:val="231F20"/>
          <w:spacing w:val="23"/>
        </w:rPr>
        <w:t> </w:t>
      </w:r>
      <w:r>
        <w:rPr>
          <w:color w:val="231F20"/>
        </w:rPr>
        <w:t>Click </w:t>
      </w:r>
      <w:r>
        <w:rPr>
          <w:rFonts w:ascii="Book Antiqua"/>
          <w:b/>
          <w:color w:val="231F20"/>
        </w:rPr>
        <w:t>Edit </w:t>
      </w:r>
      <w:r>
        <w:rPr>
          <w:color w:val="231F20"/>
        </w:rPr>
        <w:t>to change the sound file or its properties. (Not available if you </w:t>
      </w:r>
      <w:r>
        <w:rPr>
          <w:color w:val="231F20"/>
        </w:rPr>
        <w:t>opened</w:t>
      </w:r>
      <w:r>
        <w:rPr>
          <w:color w:val="231F20"/>
        </w:rPr>
        <w:t> the Situation editor from the main toolbar.)</w:t>
      </w:r>
    </w:p>
    <w:p>
      <w:pPr>
        <w:pStyle w:val="ListParagraph"/>
        <w:numPr>
          <w:ilvl w:val="0"/>
          <w:numId w:val="137"/>
        </w:numPr>
        <w:tabs>
          <w:tab w:pos="2898" w:val="left" w:leader="none"/>
        </w:tabs>
        <w:spacing w:line="240" w:lineRule="auto" w:before="36" w:after="0"/>
        <w:ind w:left="2898" w:right="0" w:hanging="315"/>
        <w:jc w:val="left"/>
        <w:rPr>
          <w:sz w:val="20"/>
        </w:rPr>
      </w:pPr>
      <w:r>
        <w:rPr>
          <w:color w:val="231F20"/>
          <w:sz w:val="20"/>
        </w:rPr>
        <w:t>Specify</w:t>
      </w:r>
      <w:r>
        <w:rPr>
          <w:color w:val="231F20"/>
          <w:spacing w:val="11"/>
          <w:sz w:val="20"/>
        </w:rPr>
        <w:t> </w:t>
      </w:r>
      <w:r>
        <w:rPr>
          <w:color w:val="231F20"/>
          <w:sz w:val="20"/>
        </w:rPr>
        <w:t>options</w:t>
      </w:r>
      <w:r>
        <w:rPr>
          <w:color w:val="231F20"/>
          <w:spacing w:val="12"/>
          <w:sz w:val="20"/>
        </w:rPr>
        <w:t> </w:t>
      </w:r>
      <w:r>
        <w:rPr>
          <w:color w:val="231F20"/>
          <w:sz w:val="20"/>
        </w:rPr>
        <w:t>on</w:t>
      </w:r>
      <w:r>
        <w:rPr>
          <w:color w:val="231F20"/>
          <w:spacing w:val="12"/>
          <w:sz w:val="20"/>
        </w:rPr>
        <w:t> </w:t>
      </w:r>
      <w:r>
        <w:rPr>
          <w:color w:val="231F20"/>
          <w:sz w:val="20"/>
        </w:rPr>
        <w:t>the</w:t>
      </w:r>
      <w:r>
        <w:rPr>
          <w:color w:val="231F20"/>
          <w:spacing w:val="12"/>
          <w:sz w:val="20"/>
        </w:rPr>
        <w:t> </w:t>
      </w:r>
      <w:r>
        <w:rPr>
          <w:color w:val="231F20"/>
          <w:sz w:val="20"/>
        </w:rPr>
        <w:t>other</w:t>
      </w:r>
      <w:r>
        <w:rPr>
          <w:color w:val="231F20"/>
          <w:spacing w:val="12"/>
          <w:sz w:val="20"/>
        </w:rPr>
        <w:t> </w:t>
      </w:r>
      <w:r>
        <w:rPr>
          <w:color w:val="231F20"/>
          <w:sz w:val="20"/>
        </w:rPr>
        <w:t>tabs</w:t>
      </w:r>
      <w:r>
        <w:rPr>
          <w:color w:val="231F20"/>
          <w:spacing w:val="12"/>
          <w:sz w:val="20"/>
        </w:rPr>
        <w:t> </w:t>
      </w:r>
      <w:r>
        <w:rPr>
          <w:color w:val="231F20"/>
          <w:sz w:val="20"/>
        </w:rPr>
        <w:t>as</w:t>
      </w:r>
      <w:r>
        <w:rPr>
          <w:color w:val="231F20"/>
          <w:spacing w:val="12"/>
          <w:sz w:val="20"/>
        </w:rPr>
        <w:t> </w:t>
      </w:r>
      <w:r>
        <w:rPr>
          <w:color w:val="231F20"/>
          <w:spacing w:val="-2"/>
          <w:sz w:val="20"/>
        </w:rPr>
        <w:t>needed.</w:t>
      </w:r>
    </w:p>
    <w:p>
      <w:pPr>
        <w:pStyle w:val="ListParagraph"/>
        <w:numPr>
          <w:ilvl w:val="0"/>
          <w:numId w:val="137"/>
        </w:numPr>
        <w:tabs>
          <w:tab w:pos="2899" w:val="left" w:leader="none"/>
        </w:tabs>
        <w:spacing w:line="213" w:lineRule="auto" w:before="53" w:after="0"/>
        <w:ind w:left="2899" w:right="279" w:hanging="427"/>
        <w:jc w:val="left"/>
        <w:rPr>
          <w:sz w:val="20"/>
        </w:rPr>
      </w:pPr>
      <w:r>
        <w:rPr>
          <w:color w:val="231F20"/>
          <w:sz w:val="20"/>
        </w:rPr>
        <w:t>When you are finished composing or editing the situation, save your </w:t>
      </w:r>
      <w:r>
        <w:rPr>
          <w:color w:val="231F20"/>
          <w:sz w:val="20"/>
        </w:rPr>
        <w:t>changes and start the situation by clicking </w:t>
      </w:r>
      <w:r>
        <w:rPr>
          <w:rFonts w:ascii="Book Antiqua"/>
          <w:b/>
          <w:color w:val="231F20"/>
          <w:sz w:val="20"/>
        </w:rPr>
        <w:t>Apply </w:t>
      </w:r>
      <w:r>
        <w:rPr>
          <w:color w:val="231F20"/>
          <w:sz w:val="20"/>
        </w:rPr>
        <w:t>to keep the editor open; or by</w:t>
      </w:r>
      <w:r>
        <w:rPr>
          <w:color w:val="231F20"/>
          <w:spacing w:val="80"/>
          <w:sz w:val="20"/>
        </w:rPr>
        <w:t> </w:t>
      </w:r>
      <w:r>
        <w:rPr>
          <w:color w:val="231F20"/>
          <w:sz w:val="20"/>
        </w:rPr>
        <w:t>clicking </w:t>
      </w:r>
      <w:r>
        <w:rPr>
          <w:rFonts w:ascii="Book Antiqua"/>
          <w:b/>
          <w:color w:val="231F20"/>
          <w:sz w:val="20"/>
        </w:rPr>
        <w:t>OK </w:t>
      </w:r>
      <w:r>
        <w:rPr>
          <w:color w:val="231F20"/>
          <w:sz w:val="20"/>
        </w:rPr>
        <w:t>to close the Situation editor.</w:t>
      </w:r>
    </w:p>
    <w:p>
      <w:pPr>
        <w:pStyle w:val="Heading4"/>
        <w:spacing w:before="199"/>
        <w:ind w:left="2472"/>
      </w:pPr>
      <w:r>
        <w:rPr>
          <w:color w:val="231F20"/>
          <w:spacing w:val="-2"/>
        </w:rPr>
        <w:t>Results</w:t>
      </w:r>
    </w:p>
    <w:p>
      <w:pPr>
        <w:pStyle w:val="BodyText"/>
        <w:spacing w:line="213" w:lineRule="auto" w:before="241"/>
        <w:ind w:left="2472" w:right="545"/>
      </w:pPr>
      <w:r>
        <w:rPr>
          <w:color w:val="231F20"/>
        </w:rPr>
        <w:t>The properties of the embedding situation, such as the monitoring </w:t>
      </w:r>
      <w:r>
        <w:rPr>
          <w:color w:val="231F20"/>
        </w:rPr>
        <w:t>interval, override the properties of the embedded situation.</w:t>
      </w:r>
    </w:p>
    <w:p>
      <w:pPr>
        <w:pStyle w:val="BodyText"/>
        <w:spacing w:line="213" w:lineRule="auto" w:before="238"/>
        <w:ind w:left="2472" w:right="385"/>
      </w:pPr>
      <w:r>
        <w:rPr>
          <w:color w:val="231F20"/>
        </w:rPr>
        <w:t>If you enter a system command in the Action tab, the </w:t>
      </w:r>
      <w:r>
        <w:rPr>
          <w:rFonts w:ascii="Book Antiqua"/>
          <w:b/>
          <w:color w:val="231F20"/>
        </w:rPr>
        <w:t>Attribute Substitution</w:t>
      </w:r>
      <w:r>
        <w:rPr>
          <w:rFonts w:ascii="Book Antiqua"/>
          <w:b/>
          <w:color w:val="231F20"/>
          <w:spacing w:val="40"/>
        </w:rPr>
        <w:t> </w:t>
      </w:r>
      <w:r>
        <w:rPr>
          <w:color w:val="231F20"/>
        </w:rPr>
        <w:t>button is disabled because a correlated situation references one or more </w:t>
      </w:r>
      <w:r>
        <w:rPr>
          <w:color w:val="231F20"/>
        </w:rPr>
        <w:t>situations and not attribute groups.</w:t>
      </w:r>
    </w:p>
    <w:p>
      <w:pPr>
        <w:pStyle w:val="BodyText"/>
        <w:spacing w:line="213" w:lineRule="auto" w:before="238"/>
        <w:ind w:left="2472" w:right="493"/>
      </w:pPr>
      <w:r>
        <w:rPr>
          <w:color w:val="231F20"/>
        </w:rPr>
        <w:t>When you stop a situation that embeds other situations, only the </w:t>
      </w:r>
      <w:r>
        <w:rPr>
          <w:color w:val="231F20"/>
        </w:rPr>
        <w:t>embedding situation is stopped; the embedded situations continue to run.</w:t>
      </w:r>
    </w:p>
    <w:p>
      <w:pPr>
        <w:spacing w:after="0" w:line="213" w:lineRule="auto"/>
        <w:sectPr>
          <w:pgSz w:w="12240" w:h="15840"/>
          <w:pgMar w:header="0" w:footer="736" w:top="1180" w:bottom="920" w:left="1000" w:right="1060"/>
        </w:sectPr>
      </w:pPr>
    </w:p>
    <w:p>
      <w:pPr>
        <w:pStyle w:val="Heading4"/>
        <w:spacing w:before="86"/>
      </w:pPr>
      <w:bookmarkStart w:name="_bookmark230" w:id="484"/>
      <w:bookmarkEnd w:id="484"/>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232" w:right="545"/>
      </w:pPr>
      <w:r>
        <w:rPr>
          <w:color w:val="231F20"/>
        </w:rPr>
        <w:t>If you change an embedded situation, you must restart each situation that </w:t>
      </w:r>
      <w:r>
        <w:rPr>
          <w:color w:val="231F20"/>
        </w:rPr>
        <w:t>embeds</w:t>
      </w:r>
      <w:r>
        <w:rPr>
          <w:color w:val="231F20"/>
          <w:spacing w:val="40"/>
        </w:rPr>
        <w:t> </w:t>
      </w:r>
      <w:r>
        <w:rPr>
          <w:color w:val="231F20"/>
          <w:spacing w:val="-4"/>
        </w:rPr>
        <w:t>it.</w:t>
      </w:r>
    </w:p>
    <w:p>
      <w:pPr>
        <w:pStyle w:val="BodyText"/>
        <w:spacing w:line="213" w:lineRule="auto" w:before="238"/>
        <w:ind w:left="2232" w:right="636"/>
      </w:pPr>
      <w:r>
        <w:rPr>
          <w:color w:val="231F20"/>
        </w:rPr>
        <w:t>If you opened the Situation editor from the toolbar or from any Navigator item other than the one to which the hub monitoring server is assigned, the </w:t>
      </w:r>
      <w:r>
        <w:rPr>
          <w:color w:val="231F20"/>
        </w:rPr>
        <w:t>situation you just created will not be associated with any Navigator items and no event indicator is displayed when the situation becomes true. If this is the case,</w:t>
      </w:r>
    </w:p>
    <w:p>
      <w:pPr>
        <w:spacing w:line="213" w:lineRule="auto" w:before="0"/>
        <w:ind w:left="2232" w:right="636" w:firstLine="0"/>
        <w:jc w:val="left"/>
        <w:rPr>
          <w:sz w:val="20"/>
        </w:rPr>
      </w:pPr>
      <w:r>
        <w:rPr>
          <w:color w:val="231F20"/>
          <w:sz w:val="20"/>
        </w:rPr>
        <w:t>right-click the </w:t>
      </w:r>
      <w:r>
        <w:rPr>
          <w:color w:val="231F20"/>
          <w:spacing w:val="16"/>
          <w:position w:val="-1"/>
          <w:sz w:val="20"/>
        </w:rPr>
        <w:drawing>
          <wp:inline distT="0" distB="0" distL="0" distR="0">
            <wp:extent cx="95250" cy="101600"/>
            <wp:effectExtent l="0" t="0" r="0" b="0"/>
            <wp:docPr id="2576" name="Image 2576"/>
            <wp:cNvGraphicFramePr>
              <a:graphicFrameLocks/>
            </wp:cNvGraphicFramePr>
            <a:graphic>
              <a:graphicData uri="http://schemas.openxmlformats.org/drawingml/2006/picture">
                <pic:pic>
                  <pic:nvPicPr>
                    <pic:cNvPr id="2576" name="Image 2576"/>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8"/>
          <w:sz w:val="20"/>
        </w:rPr>
        <w:t> </w:t>
      </w:r>
      <w:r>
        <w:rPr>
          <w:color w:val="231F20"/>
          <w:sz w:val="20"/>
        </w:rPr>
        <w:t>Enterprise Navigator item and click </w:t>
      </w:r>
      <w:r>
        <w:rPr>
          <w:color w:val="231F20"/>
          <w:spacing w:val="15"/>
          <w:position w:val="-1"/>
          <w:sz w:val="20"/>
        </w:rPr>
        <w:drawing>
          <wp:inline distT="0" distB="0" distL="0" distR="0">
            <wp:extent cx="101600" cy="95250"/>
            <wp:effectExtent l="0" t="0" r="0" b="0"/>
            <wp:docPr id="2577" name="Image 2577"/>
            <wp:cNvGraphicFramePr>
              <a:graphicFrameLocks/>
            </wp:cNvGraphicFramePr>
            <a:graphic>
              <a:graphicData uri="http://schemas.openxmlformats.org/drawingml/2006/picture">
                <pic:pic>
                  <pic:nvPicPr>
                    <pic:cNvPr id="2577" name="Image 2577"/>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Situations</w:t>
      </w:r>
      <w:r>
        <w:rPr>
          <w:color w:val="231F20"/>
          <w:sz w:val="20"/>
        </w:rPr>
        <w:t>. In the Situation editor, click</w:t>
      </w:r>
      <w:r>
        <w:rPr>
          <w:color w:val="231F20"/>
          <w:spacing w:val="37"/>
          <w:sz w:val="20"/>
        </w:rPr>
        <w:t> </w:t>
      </w:r>
      <w:r>
        <w:rPr>
          <w:color w:val="231F20"/>
          <w:spacing w:val="-24"/>
          <w:position w:val="-1"/>
          <w:sz w:val="20"/>
        </w:rPr>
        <w:drawing>
          <wp:inline distT="0" distB="0" distL="0" distR="0">
            <wp:extent cx="95250" cy="101600"/>
            <wp:effectExtent l="0" t="0" r="0" b="0"/>
            <wp:docPr id="2578" name="Image 2578"/>
            <wp:cNvGraphicFramePr>
              <a:graphicFrameLocks/>
            </wp:cNvGraphicFramePr>
            <a:graphic>
              <a:graphicData uri="http://schemas.openxmlformats.org/drawingml/2006/picture">
                <pic:pic>
                  <pic:nvPicPr>
                    <pic:cNvPr id="2578" name="Image 2578"/>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Situation Filter </w:t>
      </w:r>
      <w:r>
        <w:rPr>
          <w:color w:val="231F20"/>
          <w:sz w:val="20"/>
        </w:rPr>
        <w:t>and select </w:t>
      </w:r>
      <w:r>
        <w:rPr>
          <w:color w:val="231F20"/>
          <w:spacing w:val="16"/>
          <w:sz w:val="20"/>
        </w:rPr>
        <w:drawing>
          <wp:inline distT="0" distB="0" distL="0" distR="0">
            <wp:extent cx="82550" cy="82550"/>
            <wp:effectExtent l="0" t="0" r="0" b="0"/>
            <wp:docPr id="2579" name="Image 2579"/>
            <wp:cNvGraphicFramePr>
              <a:graphicFrameLocks/>
            </wp:cNvGraphicFramePr>
            <a:graphic>
              <a:graphicData uri="http://schemas.openxmlformats.org/drawingml/2006/picture">
                <pic:pic>
                  <pic:nvPicPr>
                    <pic:cNvPr id="2579" name="Image 257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1"/>
          <w:sz w:val="20"/>
        </w:rPr>
        <w:t> </w:t>
      </w:r>
      <w:r>
        <w:rPr>
          <w:rFonts w:ascii="Book Antiqua"/>
          <w:b/>
          <w:color w:val="231F20"/>
          <w:sz w:val="20"/>
        </w:rPr>
        <w:t>Eligible for Association</w:t>
      </w:r>
      <w:r>
        <w:rPr>
          <w:color w:val="231F20"/>
          <w:sz w:val="20"/>
        </w:rPr>
        <w:t>. In the Situation tree, right-click the correlated situation and click</w:t>
      </w:r>
      <w:r>
        <w:rPr>
          <w:color w:val="231F20"/>
          <w:spacing w:val="40"/>
          <w:sz w:val="20"/>
        </w:rPr>
        <w:t> </w:t>
      </w:r>
      <w:r>
        <w:rPr>
          <w:color w:val="231F20"/>
          <w:spacing w:val="-15"/>
          <w:sz w:val="20"/>
        </w:rPr>
        <w:drawing>
          <wp:inline distT="0" distB="0" distL="0" distR="0">
            <wp:extent cx="101600" cy="88900"/>
            <wp:effectExtent l="0" t="0" r="0" b="0"/>
            <wp:docPr id="2580" name="Image 2580"/>
            <wp:cNvGraphicFramePr>
              <a:graphicFrameLocks/>
            </wp:cNvGraphicFramePr>
            <a:graphic>
              <a:graphicData uri="http://schemas.openxmlformats.org/drawingml/2006/picture">
                <pic:pic>
                  <pic:nvPicPr>
                    <pic:cNvPr id="2580" name="Image 2580"/>
                    <pic:cNvPicPr/>
                  </pic:nvPicPr>
                  <pic:blipFill>
                    <a:blip r:embed="rId377" cstate="print"/>
                    <a:stretch>
                      <a:fillRect/>
                    </a:stretch>
                  </pic:blipFill>
                  <pic:spPr>
                    <a:xfrm>
                      <a:off x="0" y="0"/>
                      <a:ext cx="101600" cy="88900"/>
                    </a:xfrm>
                    <a:prstGeom prst="rect">
                      <a:avLst/>
                    </a:prstGeom>
                  </pic:spPr>
                </pic:pic>
              </a:graphicData>
            </a:graphic>
          </wp:inline>
        </w:drawing>
      </w:r>
      <w:r>
        <w:rPr>
          <w:color w:val="231F20"/>
          <w:spacing w:val="-15"/>
          <w:sz w:val="20"/>
        </w:rPr>
      </w:r>
      <w:r>
        <w:rPr>
          <w:rFonts w:ascii="Times New Roman"/>
          <w:color w:val="231F20"/>
          <w:spacing w:val="80"/>
          <w:sz w:val="20"/>
        </w:rPr>
        <w:t> </w:t>
      </w:r>
      <w:r>
        <w:rPr>
          <w:rFonts w:ascii="Book Antiqua"/>
          <w:b/>
          <w:color w:val="231F20"/>
          <w:sz w:val="20"/>
        </w:rPr>
        <w:t>Associate</w:t>
      </w:r>
      <w:r>
        <w:rPr>
          <w:color w:val="231F20"/>
          <w:sz w:val="20"/>
        </w:rPr>
        <w:t>,</w:t>
      </w:r>
      <w:r>
        <w:rPr>
          <w:color w:val="231F20"/>
          <w:spacing w:val="80"/>
          <w:sz w:val="20"/>
        </w:rPr>
        <w:t> </w:t>
      </w:r>
      <w:r>
        <w:rPr>
          <w:color w:val="231F20"/>
          <w:sz w:val="20"/>
        </w:rPr>
        <w:t>then</w:t>
      </w:r>
      <w:r>
        <w:rPr>
          <w:rFonts w:ascii="Book Antiqua"/>
          <w:b/>
          <w:color w:val="231F20"/>
          <w:sz w:val="20"/>
        </w:rPr>
        <w:t>Apply </w:t>
      </w:r>
      <w:r>
        <w:rPr>
          <w:color w:val="231F20"/>
          <w:sz w:val="20"/>
        </w:rPr>
        <w:t>or </w:t>
      </w:r>
      <w:r>
        <w:rPr>
          <w:rFonts w:ascii="Book Antiqua"/>
          <w:b/>
          <w:color w:val="231F20"/>
          <w:sz w:val="20"/>
        </w:rPr>
        <w:t>OK</w:t>
      </w:r>
      <w:r>
        <w:rPr>
          <w:color w:val="231F20"/>
          <w:sz w:val="20"/>
        </w:rPr>
        <w:t>.</w:t>
      </w:r>
    </w:p>
    <w:p>
      <w:pPr>
        <w:pStyle w:val="BodyText"/>
        <w:spacing w:line="213" w:lineRule="auto" w:before="234"/>
        <w:ind w:left="2232" w:right="385"/>
      </w:pPr>
      <w:r>
        <w:rPr>
          <w:color w:val="231F20"/>
        </w:rPr>
        <w:t>A situation cannot be referenced in the correlated situation if it has a display item assigned. You can create another situation and remove the display item assignment from the new situation to enable it for inclusion in a correlated situation.</w:t>
      </w:r>
    </w:p>
    <w:p>
      <w:pPr>
        <w:pStyle w:val="Heading3"/>
        <w:spacing w:before="216"/>
        <w:ind w:left="862" w:right="538"/>
        <w:jc w:val="center"/>
      </w:pPr>
      <w:r>
        <w:rPr>
          <w:color w:val="231F20"/>
        </w:rPr>
        <w:t>Tutorial:</w:t>
      </w:r>
      <w:r>
        <w:rPr>
          <w:color w:val="231F20"/>
          <w:spacing w:val="-2"/>
        </w:rPr>
        <w:t> </w:t>
      </w:r>
      <w:r>
        <w:rPr>
          <w:color w:val="231F20"/>
        </w:rPr>
        <w:t>Correlating</w:t>
      </w:r>
      <w:r>
        <w:rPr>
          <w:color w:val="231F20"/>
          <w:spacing w:val="-1"/>
        </w:rPr>
        <w:t> </w:t>
      </w:r>
      <w:r>
        <w:rPr>
          <w:color w:val="231F20"/>
        </w:rPr>
        <w:t>situations</w:t>
      </w:r>
      <w:r>
        <w:rPr>
          <w:color w:val="231F20"/>
          <w:spacing w:val="-1"/>
        </w:rPr>
        <w:t> </w:t>
      </w:r>
      <w:r>
        <w:rPr>
          <w:color w:val="231F20"/>
        </w:rPr>
        <w:t>across</w:t>
      </w:r>
      <w:r>
        <w:rPr>
          <w:color w:val="231F20"/>
          <w:spacing w:val="-2"/>
        </w:rPr>
        <w:t> </w:t>
      </w:r>
      <w:r>
        <w:rPr>
          <w:color w:val="231F20"/>
        </w:rPr>
        <w:t>managed</w:t>
      </w:r>
      <w:r>
        <w:rPr>
          <w:color w:val="231F20"/>
          <w:spacing w:val="-1"/>
        </w:rPr>
        <w:t> </w:t>
      </w:r>
      <w:r>
        <w:rPr>
          <w:color w:val="231F20"/>
          <w:spacing w:val="-2"/>
        </w:rPr>
        <w:t>resources</w:t>
      </w:r>
    </w:p>
    <w:p>
      <w:pPr>
        <w:pStyle w:val="BodyText"/>
        <w:spacing w:line="213" w:lineRule="auto" w:before="58"/>
        <w:ind w:left="2232" w:right="545"/>
      </w:pPr>
      <w:r>
        <w:rPr>
          <w:color w:val="231F20"/>
        </w:rPr>
        <w:t>You can gets hands on experience in correlating situations across </w:t>
      </w:r>
      <w:r>
        <w:rPr>
          <w:color w:val="231F20"/>
        </w:rPr>
        <w:t>managed resources by completing the tasks in this tutorial.</w:t>
      </w:r>
    </w:p>
    <w:p>
      <w:pPr>
        <w:pStyle w:val="Heading6"/>
        <w:spacing w:line="240" w:lineRule="auto" w:before="118"/>
        <w:ind w:left="2232"/>
      </w:pPr>
      <w:r>
        <w:rPr>
          <w:color w:val="231F20"/>
        </w:rPr>
        <w:t>Tasks</w:t>
      </w:r>
      <w:r>
        <w:rPr>
          <w:color w:val="231F20"/>
          <w:spacing w:val="5"/>
        </w:rPr>
        <w:t> </w:t>
      </w:r>
      <w:r>
        <w:rPr>
          <w:color w:val="231F20"/>
        </w:rPr>
        <w:t>to</w:t>
      </w:r>
      <w:r>
        <w:rPr>
          <w:color w:val="231F20"/>
          <w:spacing w:val="5"/>
        </w:rPr>
        <w:t> </w:t>
      </w:r>
      <w:r>
        <w:rPr>
          <w:color w:val="231F20"/>
        </w:rPr>
        <w:t>accomplish</w:t>
      </w:r>
      <w:r>
        <w:rPr>
          <w:color w:val="231F20"/>
          <w:spacing w:val="5"/>
        </w:rPr>
        <w:t> </w:t>
      </w:r>
      <w:r>
        <w:rPr>
          <w:color w:val="231F20"/>
        </w:rPr>
        <w:t>the</w:t>
      </w:r>
      <w:r>
        <w:rPr>
          <w:color w:val="231F20"/>
          <w:spacing w:val="5"/>
        </w:rPr>
        <w:t> </w:t>
      </w:r>
      <w:r>
        <w:rPr>
          <w:color w:val="231F20"/>
          <w:spacing w:val="-4"/>
        </w:rPr>
        <w:t>goal</w:t>
      </w:r>
    </w:p>
    <w:p>
      <w:pPr>
        <w:pStyle w:val="BodyText"/>
        <w:spacing w:before="96"/>
        <w:ind w:left="2951"/>
      </w:pPr>
      <w:r>
        <w:rPr>
          <w:color w:val="231F20"/>
        </w:rPr>
        <w:t>The</w:t>
      </w:r>
      <w:r>
        <w:rPr>
          <w:color w:val="231F20"/>
          <w:spacing w:val="10"/>
        </w:rPr>
        <w:t> </w:t>
      </w:r>
      <w:r>
        <w:rPr>
          <w:color w:val="231F20"/>
        </w:rPr>
        <w:t>following</w:t>
      </w:r>
      <w:r>
        <w:rPr>
          <w:color w:val="231F20"/>
          <w:spacing w:val="11"/>
        </w:rPr>
        <w:t> </w:t>
      </w:r>
      <w:r>
        <w:rPr>
          <w:color w:val="231F20"/>
        </w:rPr>
        <w:t>tasks</w:t>
      </w:r>
      <w:r>
        <w:rPr>
          <w:color w:val="231F20"/>
          <w:spacing w:val="10"/>
        </w:rPr>
        <w:t> </w:t>
      </w:r>
      <w:r>
        <w:rPr>
          <w:color w:val="231F20"/>
        </w:rPr>
        <w:t>will</w:t>
      </w:r>
      <w:r>
        <w:rPr>
          <w:color w:val="231F20"/>
          <w:spacing w:val="11"/>
        </w:rPr>
        <w:t> </w:t>
      </w:r>
      <w:r>
        <w:rPr>
          <w:color w:val="231F20"/>
        </w:rPr>
        <w:t>accomplish</w:t>
      </w:r>
      <w:r>
        <w:rPr>
          <w:color w:val="231F20"/>
          <w:spacing w:val="10"/>
        </w:rPr>
        <w:t> </w:t>
      </w:r>
      <w:r>
        <w:rPr>
          <w:color w:val="231F20"/>
        </w:rPr>
        <w:t>the</w:t>
      </w:r>
      <w:r>
        <w:rPr>
          <w:color w:val="231F20"/>
          <w:spacing w:val="11"/>
        </w:rPr>
        <w:t> </w:t>
      </w:r>
      <w:r>
        <w:rPr>
          <w:color w:val="231F20"/>
          <w:spacing w:val="-2"/>
        </w:rPr>
        <w:t>goal:</w:t>
      </w:r>
    </w:p>
    <w:p>
      <w:pPr>
        <w:pStyle w:val="ListParagraph"/>
        <w:numPr>
          <w:ilvl w:val="1"/>
          <w:numId w:val="137"/>
        </w:numPr>
        <w:tabs>
          <w:tab w:pos="3267" w:val="left" w:leader="none"/>
          <w:tab w:pos="3333" w:val="left" w:leader="none"/>
        </w:tabs>
        <w:spacing w:line="213" w:lineRule="auto" w:before="52" w:after="0"/>
        <w:ind w:left="3267" w:right="565" w:hanging="316"/>
        <w:jc w:val="left"/>
        <w:rPr>
          <w:sz w:val="20"/>
        </w:rPr>
      </w:pPr>
      <w:r>
        <w:rPr>
          <w:rFonts w:ascii="Arial"/>
          <w:color w:val="231F20"/>
          <w:sz w:val="20"/>
        </w:rPr>
        <w:tab/>
      </w:r>
      <w:r>
        <w:rPr>
          <w:color w:val="231F20"/>
          <w:sz w:val="20"/>
        </w:rPr>
        <w:t>Create a situation that monitors for the missing process and opens </w:t>
      </w:r>
      <w:r>
        <w:rPr>
          <w:color w:val="231F20"/>
          <w:sz w:val="20"/>
        </w:rPr>
        <w:t>an Informational situation event.</w:t>
      </w:r>
    </w:p>
    <w:p>
      <w:pPr>
        <w:pStyle w:val="ListParagraph"/>
        <w:numPr>
          <w:ilvl w:val="1"/>
          <w:numId w:val="137"/>
        </w:numPr>
        <w:tabs>
          <w:tab w:pos="3267" w:val="left" w:leader="none"/>
          <w:tab w:pos="3333" w:val="left" w:leader="none"/>
        </w:tabs>
        <w:spacing w:line="213" w:lineRule="auto" w:before="59" w:after="0"/>
        <w:ind w:left="3267" w:right="578" w:hanging="316"/>
        <w:jc w:val="left"/>
        <w:rPr>
          <w:sz w:val="20"/>
        </w:rPr>
      </w:pPr>
      <w:r>
        <w:rPr>
          <w:rFonts w:ascii="Arial"/>
          <w:color w:val="231F20"/>
          <w:sz w:val="20"/>
        </w:rPr>
        <w:tab/>
      </w:r>
      <w:r>
        <w:rPr>
          <w:color w:val="231F20"/>
          <w:sz w:val="20"/>
        </w:rPr>
        <w:t>Create a correlated situation to reference this situation and to </w:t>
      </w:r>
      <w:r>
        <w:rPr>
          <w:color w:val="231F20"/>
          <w:sz w:val="20"/>
        </w:rPr>
        <w:t>become true for any two of the three computers. When the situation becomes true it will open a Warning situation event.</w:t>
      </w:r>
    </w:p>
    <w:p>
      <w:pPr>
        <w:pStyle w:val="ListParagraph"/>
        <w:numPr>
          <w:ilvl w:val="1"/>
          <w:numId w:val="137"/>
        </w:numPr>
        <w:tabs>
          <w:tab w:pos="3267" w:val="left" w:leader="none"/>
          <w:tab w:pos="3333" w:val="left" w:leader="none"/>
        </w:tabs>
        <w:spacing w:line="213" w:lineRule="auto" w:before="58" w:after="0"/>
        <w:ind w:left="3267" w:right="519" w:hanging="316"/>
        <w:jc w:val="left"/>
        <w:rPr>
          <w:sz w:val="20"/>
        </w:rPr>
      </w:pPr>
      <w:r>
        <w:rPr>
          <w:rFonts w:ascii="Arial"/>
          <w:color w:val="231F20"/>
          <w:sz w:val="20"/>
        </w:rPr>
        <w:tab/>
      </w:r>
      <w:r>
        <w:rPr>
          <w:color w:val="231F20"/>
          <w:sz w:val="20"/>
        </w:rPr>
        <w:t>Create a second correlated situation much like the other, but have it become true only when the process is missing on all three computers. When</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1"/>
          <w:sz w:val="20"/>
        </w:rPr>
        <w:t> </w:t>
      </w:r>
      <w:r>
        <w:rPr>
          <w:color w:val="231F20"/>
          <w:sz w:val="20"/>
        </w:rPr>
        <w:t>becomes</w:t>
      </w:r>
      <w:r>
        <w:rPr>
          <w:color w:val="231F20"/>
          <w:spacing w:val="11"/>
          <w:sz w:val="20"/>
        </w:rPr>
        <w:t> </w:t>
      </w:r>
      <w:r>
        <w:rPr>
          <w:color w:val="231F20"/>
          <w:sz w:val="20"/>
        </w:rPr>
        <w:t>true</w:t>
      </w:r>
      <w:r>
        <w:rPr>
          <w:color w:val="231F20"/>
          <w:spacing w:val="11"/>
          <w:sz w:val="20"/>
        </w:rPr>
        <w:t> </w:t>
      </w:r>
      <w:r>
        <w:rPr>
          <w:color w:val="231F20"/>
          <w:sz w:val="20"/>
        </w:rPr>
        <w:t>it</w:t>
      </w:r>
      <w:r>
        <w:rPr>
          <w:color w:val="231F20"/>
          <w:spacing w:val="11"/>
          <w:sz w:val="20"/>
        </w:rPr>
        <w:t> </w:t>
      </w:r>
      <w:r>
        <w:rPr>
          <w:color w:val="231F20"/>
          <w:sz w:val="20"/>
        </w:rPr>
        <w:t>will</w:t>
      </w:r>
      <w:r>
        <w:rPr>
          <w:color w:val="231F20"/>
          <w:spacing w:val="12"/>
          <w:sz w:val="20"/>
        </w:rPr>
        <w:t> </w:t>
      </w:r>
      <w:r>
        <w:rPr>
          <w:color w:val="231F20"/>
          <w:sz w:val="20"/>
        </w:rPr>
        <w:t>open</w:t>
      </w:r>
      <w:r>
        <w:rPr>
          <w:color w:val="231F20"/>
          <w:spacing w:val="11"/>
          <w:sz w:val="20"/>
        </w:rPr>
        <w:t> </w:t>
      </w:r>
      <w:r>
        <w:rPr>
          <w:color w:val="231F20"/>
          <w:sz w:val="20"/>
        </w:rPr>
        <w:t>a</w:t>
      </w:r>
      <w:r>
        <w:rPr>
          <w:color w:val="231F20"/>
          <w:spacing w:val="11"/>
          <w:sz w:val="20"/>
        </w:rPr>
        <w:t> </w:t>
      </w:r>
      <w:r>
        <w:rPr>
          <w:color w:val="231F20"/>
          <w:sz w:val="20"/>
        </w:rPr>
        <w:t>Critical</w:t>
      </w:r>
      <w:r>
        <w:rPr>
          <w:color w:val="231F20"/>
          <w:spacing w:val="11"/>
          <w:sz w:val="20"/>
        </w:rPr>
        <w:t> </w:t>
      </w:r>
      <w:r>
        <w:rPr>
          <w:color w:val="231F20"/>
          <w:sz w:val="20"/>
        </w:rPr>
        <w:t>situation</w:t>
      </w:r>
      <w:r>
        <w:rPr>
          <w:color w:val="231F20"/>
          <w:spacing w:val="11"/>
          <w:sz w:val="20"/>
        </w:rPr>
        <w:t> </w:t>
      </w:r>
      <w:r>
        <w:rPr>
          <w:color w:val="231F20"/>
          <w:spacing w:val="-2"/>
          <w:sz w:val="20"/>
        </w:rPr>
        <w:t>event.</w:t>
      </w:r>
    </w:p>
    <w:p>
      <w:pPr>
        <w:pStyle w:val="BodyText"/>
        <w:spacing w:line="213" w:lineRule="auto" w:before="118"/>
        <w:ind w:left="2951" w:right="545" w:firstLine="20"/>
      </w:pPr>
      <w:r>
        <w:rPr>
          <w:position w:val="-1"/>
        </w:rPr>
        <w:drawing>
          <wp:inline distT="0" distB="0" distL="0" distR="0">
            <wp:extent cx="82550" cy="101600"/>
            <wp:effectExtent l="0" t="0" r="0" b="0"/>
            <wp:docPr id="2581" name="Image 2581"/>
            <wp:cNvGraphicFramePr>
              <a:graphicFrameLocks/>
            </wp:cNvGraphicFramePr>
            <a:graphic>
              <a:graphicData uri="http://schemas.openxmlformats.org/drawingml/2006/picture">
                <pic:pic>
                  <pic:nvPicPr>
                    <pic:cNvPr id="2581" name="Image 2581"/>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feature, your user ID must have Modify permission </w:t>
      </w:r>
      <w:r>
        <w:rPr>
          <w:color w:val="231F20"/>
        </w:rPr>
        <w:t>for </w:t>
      </w:r>
      <w:r>
        <w:rPr>
          <w:color w:val="231F20"/>
          <w:spacing w:val="-2"/>
        </w:rPr>
        <w:t>Situations.</w:t>
      </w:r>
    </w:p>
    <w:p>
      <w:pPr>
        <w:pStyle w:val="BodyText"/>
        <w:spacing w:line="213" w:lineRule="auto" w:before="238"/>
        <w:ind w:left="2951" w:right="493"/>
      </w:pPr>
      <w:r>
        <w:rPr>
          <w:rFonts w:ascii="Book Antiqua"/>
          <w:b/>
          <w:color w:val="231F20"/>
        </w:rPr>
        <w:t>Note:</w:t>
      </w:r>
      <w:r>
        <w:rPr>
          <w:rFonts w:ascii="Book Antiqua"/>
          <w:b/>
          <w:color w:val="231F20"/>
          <w:spacing w:val="40"/>
        </w:rPr>
        <w:t> </w:t>
      </w:r>
      <w:r>
        <w:rPr>
          <w:color w:val="231F20"/>
        </w:rPr>
        <w:t>The following scenario assumes that you have the Windows </w:t>
      </w:r>
      <w:r>
        <w:rPr>
          <w:color w:val="231F20"/>
        </w:rPr>
        <w:t>OS monitoring agent installed.</w:t>
      </w:r>
    </w:p>
    <w:p>
      <w:pPr>
        <w:pStyle w:val="BodyText"/>
        <w:spacing w:line="213" w:lineRule="auto" w:before="238"/>
        <w:ind w:left="2232" w:right="636"/>
      </w:pPr>
      <w:r>
        <w:rPr>
          <w:color w:val="231F20"/>
        </w:rPr>
        <w:t>The situations developed for your monitoring environment can be designed to convey the true urgency of the situation event while ensuring that operators </w:t>
      </w:r>
      <w:r>
        <w:rPr>
          <w:color w:val="231F20"/>
        </w:rPr>
        <w:t>are not overwhelmed by unnecessary alerts.</w:t>
      </w:r>
    </w:p>
    <w:p>
      <w:pPr>
        <w:pStyle w:val="BodyText"/>
        <w:spacing w:line="213" w:lineRule="auto" w:before="237"/>
        <w:ind w:left="2232" w:right="493"/>
      </w:pPr>
      <w:r>
        <w:rPr>
          <w:color w:val="231F20"/>
        </w:rPr>
        <w:t>In this scenario, a company has software used by the support staff that must be running on any of three computers at all times. The goal is to find out when the</w:t>
      </w:r>
      <w:r>
        <w:rPr>
          <w:color w:val="231F20"/>
          <w:spacing w:val="40"/>
        </w:rPr>
        <w:t> </w:t>
      </w:r>
      <w:r>
        <w:rPr>
          <w:color w:val="231F20"/>
        </w:rPr>
        <w:t>software is not running, and to prioritize the alerts so that when the process is stopped on two systems, a warning alert is issued; and if it is stopped on all three</w:t>
      </w:r>
      <w:r>
        <w:rPr>
          <w:color w:val="231F20"/>
          <w:spacing w:val="40"/>
        </w:rPr>
        <w:t> </w:t>
      </w:r>
      <w:r>
        <w:rPr>
          <w:color w:val="231F20"/>
        </w:rPr>
        <w:t>systems, a critical alert is issued.</w:t>
      </w:r>
    </w:p>
    <w:p>
      <w:pPr>
        <w:pStyle w:val="Heading6"/>
        <w:spacing w:line="240" w:lineRule="auto" w:before="115"/>
        <w:ind w:left="2232"/>
      </w:pPr>
      <w:r>
        <w:rPr>
          <w:color w:val="231F20"/>
        </w:rPr>
        <w:t>First</w:t>
      </w:r>
      <w:r>
        <w:rPr>
          <w:color w:val="231F20"/>
          <w:spacing w:val="11"/>
        </w:rPr>
        <w:t> </w:t>
      </w:r>
      <w:r>
        <w:rPr>
          <w:color w:val="231F20"/>
          <w:spacing w:val="-4"/>
        </w:rPr>
        <w:t>task</w:t>
      </w:r>
    </w:p>
    <w:p>
      <w:pPr>
        <w:pStyle w:val="BodyText"/>
        <w:spacing w:line="213" w:lineRule="auto" w:before="120"/>
        <w:ind w:left="2951"/>
      </w:pPr>
      <w:r>
        <w:rPr>
          <w:color w:val="231F20"/>
        </w:rPr>
        <w:t>Create a situation that monitors for the missing process and opens </w:t>
      </w:r>
      <w:r>
        <w:rPr>
          <w:color w:val="231F20"/>
        </w:rPr>
        <w:t>an Informational situation event:</w:t>
      </w:r>
    </w:p>
    <w:p>
      <w:pPr>
        <w:pStyle w:val="ListParagraph"/>
        <w:numPr>
          <w:ilvl w:val="0"/>
          <w:numId w:val="138"/>
        </w:numPr>
        <w:tabs>
          <w:tab w:pos="3267" w:val="left" w:leader="none"/>
          <w:tab w:pos="3333" w:val="left" w:leader="none"/>
        </w:tabs>
        <w:spacing w:line="213" w:lineRule="auto" w:before="58" w:after="0"/>
        <w:ind w:left="3267" w:right="682" w:hanging="316"/>
        <w:jc w:val="left"/>
        <w:rPr>
          <w:sz w:val="20"/>
        </w:rPr>
      </w:pPr>
      <w:r>
        <w:rPr>
          <w:rFonts w:ascii="Arial"/>
          <w:color w:val="231F20"/>
          <w:sz w:val="20"/>
        </w:rPr>
        <w:tab/>
      </w:r>
      <w:r>
        <w:rPr>
          <w:color w:val="231F20"/>
          <w:sz w:val="20"/>
        </w:rPr>
        <w:t>Right-click the Process (</w:t>
      </w:r>
      <w:r>
        <w:rPr>
          <w:rFonts w:ascii="Book Antiqua"/>
          <w:b/>
          <w:color w:val="231F20"/>
          <w:sz w:val="20"/>
        </w:rPr>
        <w:t>Enterprise &gt; Windows Systems &gt; </w:t>
      </w:r>
      <w:r>
        <w:rPr>
          <w:rFonts w:ascii="Book Antiqua"/>
          <w:b/>
          <w:color w:val="231F20"/>
          <w:sz w:val="20"/>
        </w:rPr>
        <w:t>Windows OS &gt; Process</w:t>
      </w:r>
      <w:r>
        <w:rPr>
          <w:color w:val="231F20"/>
          <w:sz w:val="20"/>
        </w:rPr>
        <w:t>) Navigator item and click </w:t>
      </w:r>
      <w:r>
        <w:rPr>
          <w:color w:val="231F20"/>
          <w:spacing w:val="15"/>
          <w:position w:val="-1"/>
          <w:sz w:val="20"/>
        </w:rPr>
        <w:drawing>
          <wp:inline distT="0" distB="0" distL="0" distR="0">
            <wp:extent cx="101600" cy="95250"/>
            <wp:effectExtent l="0" t="0" r="0" b="0"/>
            <wp:docPr id="2582" name="Image 2582"/>
            <wp:cNvGraphicFramePr>
              <a:graphicFrameLocks/>
            </wp:cNvGraphicFramePr>
            <a:graphic>
              <a:graphicData uri="http://schemas.openxmlformats.org/drawingml/2006/picture">
                <pic:pic>
                  <pic:nvPicPr>
                    <pic:cNvPr id="2582" name="Image 258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Situations</w:t>
      </w:r>
      <w:r>
        <w:rPr>
          <w:color w:val="231F20"/>
          <w:sz w:val="20"/>
        </w:rPr>
        <w:t>.</w:t>
      </w:r>
    </w:p>
    <w:p>
      <w:pPr>
        <w:spacing w:after="0" w:line="213" w:lineRule="auto"/>
        <w:jc w:val="left"/>
        <w:rPr>
          <w:sz w:val="20"/>
        </w:rPr>
        <w:sectPr>
          <w:pgSz w:w="12240" w:h="15840"/>
          <w:pgMar w:header="0" w:footer="736" w:top="1140" w:bottom="920" w:left="1000" w:right="1060"/>
        </w:sectPr>
      </w:pPr>
    </w:p>
    <w:p>
      <w:pPr>
        <w:pStyle w:val="ListParagraph"/>
        <w:numPr>
          <w:ilvl w:val="0"/>
          <w:numId w:val="138"/>
        </w:numPr>
        <w:tabs>
          <w:tab w:pos="3506" w:val="left" w:leader="none"/>
          <w:tab w:pos="3573" w:val="left" w:leader="none"/>
        </w:tabs>
        <w:spacing w:line="213" w:lineRule="auto" w:before="85" w:after="0"/>
        <w:ind w:left="3506" w:right="701" w:hanging="316"/>
        <w:jc w:val="left"/>
        <w:rPr>
          <w:sz w:val="20"/>
        </w:rPr>
      </w:pPr>
      <w:r>
        <w:rPr>
          <w:rFonts w:ascii="Arial"/>
          <w:color w:val="231F20"/>
          <w:sz w:val="20"/>
        </w:rPr>
        <w:tab/>
      </w:r>
      <w:r>
        <w:rPr>
          <w:color w:val="231F20"/>
          <w:sz w:val="20"/>
        </w:rPr>
        <w:t>In the Situation editor, click </w:t>
      </w:r>
      <w:r>
        <w:rPr>
          <w:color w:val="231F20"/>
          <w:spacing w:val="-25"/>
          <w:position w:val="-1"/>
          <w:sz w:val="20"/>
        </w:rPr>
        <w:drawing>
          <wp:inline distT="0" distB="0" distL="0" distR="0">
            <wp:extent cx="95250" cy="101600"/>
            <wp:effectExtent l="0" t="0" r="0" b="0"/>
            <wp:docPr id="2583" name="Image 2583"/>
            <wp:cNvGraphicFramePr>
              <a:graphicFrameLocks/>
            </wp:cNvGraphicFramePr>
            <a:graphic>
              <a:graphicData uri="http://schemas.openxmlformats.org/drawingml/2006/picture">
                <pic:pic>
                  <pic:nvPicPr>
                    <pic:cNvPr id="2583" name="Image 2583"/>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5"/>
          <w:sz w:val="20"/>
        </w:rPr>
        <w:t> </w:t>
      </w:r>
      <w:r>
        <w:rPr>
          <w:rFonts w:ascii="Book Antiqua"/>
          <w:b/>
          <w:color w:val="231F20"/>
          <w:sz w:val="20"/>
        </w:rPr>
        <w:t>New Situation </w:t>
      </w:r>
      <w:r>
        <w:rPr>
          <w:color w:val="231F20"/>
          <w:sz w:val="20"/>
        </w:rPr>
        <w:t>to open the </w:t>
      </w:r>
      <w:r>
        <w:rPr>
          <w:color w:val="231F20"/>
          <w:sz w:val="20"/>
        </w:rPr>
        <w:t>Create Situation window.</w:t>
      </w:r>
    </w:p>
    <w:p>
      <w:pPr>
        <w:pStyle w:val="ListParagraph"/>
        <w:numPr>
          <w:ilvl w:val="0"/>
          <w:numId w:val="138"/>
        </w:numPr>
        <w:tabs>
          <w:tab w:pos="3506" w:val="left" w:leader="none"/>
          <w:tab w:pos="3575" w:val="left" w:leader="none"/>
        </w:tabs>
        <w:spacing w:line="213" w:lineRule="auto" w:before="58" w:after="0"/>
        <w:ind w:left="3506" w:right="397" w:hanging="316"/>
        <w:jc w:val="left"/>
        <w:rPr>
          <w:sz w:val="20"/>
        </w:rPr>
      </w:pPr>
      <w:r>
        <w:rPr>
          <w:rFonts w:ascii="Arial"/>
          <w:color w:val="231F20"/>
          <w:sz w:val="20"/>
        </w:rPr>
        <w:tab/>
      </w:r>
      <w:r>
        <w:rPr>
          <w:color w:val="231F20"/>
          <w:sz w:val="20"/>
        </w:rPr>
        <w:t>Type </w:t>
      </w:r>
      <w:r>
        <w:rPr>
          <w:rFonts w:ascii="Arial"/>
          <w:color w:val="231F20"/>
          <w:sz w:val="20"/>
        </w:rPr>
        <w:t>Missing Process </w:t>
      </w:r>
      <w:r>
        <w:rPr>
          <w:color w:val="231F20"/>
          <w:sz w:val="20"/>
        </w:rPr>
        <w:t>in the </w:t>
      </w:r>
      <w:r>
        <w:rPr>
          <w:rFonts w:ascii="Book Antiqua"/>
          <w:b/>
          <w:color w:val="231F20"/>
          <w:sz w:val="20"/>
        </w:rPr>
        <w:t>Name </w:t>
      </w:r>
      <w:r>
        <w:rPr>
          <w:color w:val="231F20"/>
          <w:sz w:val="20"/>
        </w:rPr>
        <w:t>field (where </w:t>
      </w:r>
      <w:r>
        <w:rPr>
          <w:rFonts w:ascii="Arial"/>
          <w:color w:val="231F20"/>
          <w:sz w:val="20"/>
        </w:rPr>
        <w:t>Process </w:t>
      </w:r>
      <w:r>
        <w:rPr>
          <w:color w:val="231F20"/>
          <w:sz w:val="20"/>
        </w:rPr>
        <w:t>is the </w:t>
      </w:r>
      <w:r>
        <w:rPr>
          <w:color w:val="231F20"/>
          <w:sz w:val="20"/>
        </w:rPr>
        <w:t>name of the executable software), select </w:t>
      </w:r>
      <w:r>
        <w:rPr>
          <w:rFonts w:ascii="Arial"/>
          <w:color w:val="231F20"/>
          <w:sz w:val="20"/>
        </w:rPr>
        <w:t>Windows OS </w:t>
      </w:r>
      <w:r>
        <w:rPr>
          <w:color w:val="231F20"/>
          <w:sz w:val="20"/>
        </w:rPr>
        <w:t>as the </w:t>
      </w:r>
      <w:r>
        <w:rPr>
          <w:rFonts w:ascii="Book Antiqua"/>
          <w:b/>
          <w:color w:val="231F20"/>
          <w:sz w:val="20"/>
        </w:rPr>
        <w:t>Monitored Application</w:t>
      </w:r>
      <w:r>
        <w:rPr>
          <w:color w:val="231F20"/>
          <w:sz w:val="20"/>
        </w:rPr>
        <w:t>, and click </w:t>
      </w:r>
      <w:r>
        <w:rPr>
          <w:rFonts w:ascii="Book Antiqua"/>
          <w:b/>
          <w:color w:val="231F20"/>
          <w:sz w:val="20"/>
        </w:rPr>
        <w:t>OK</w:t>
      </w:r>
      <w:r>
        <w:rPr>
          <w:color w:val="231F20"/>
          <w:sz w:val="20"/>
        </w:rPr>
        <w:t>.</w:t>
      </w:r>
    </w:p>
    <w:p>
      <w:pPr>
        <w:pStyle w:val="ListParagraph"/>
        <w:numPr>
          <w:ilvl w:val="0"/>
          <w:numId w:val="138"/>
        </w:numPr>
        <w:tabs>
          <w:tab w:pos="3506" w:val="left" w:leader="none"/>
          <w:tab w:pos="3573" w:val="left" w:leader="none"/>
        </w:tabs>
        <w:spacing w:line="213" w:lineRule="auto" w:before="58" w:after="0"/>
        <w:ind w:left="3506" w:right="270" w:hanging="316"/>
        <w:jc w:val="left"/>
        <w:rPr>
          <w:sz w:val="20"/>
        </w:rPr>
      </w:pPr>
      <w:r>
        <w:rPr>
          <w:rFonts w:ascii="Arial"/>
          <w:color w:val="231F20"/>
          <w:sz w:val="20"/>
        </w:rPr>
        <w:tab/>
      </w:r>
      <w:r>
        <w:rPr>
          <w:color w:val="231F20"/>
          <w:sz w:val="20"/>
        </w:rPr>
        <w:t>In the Select Condition window, select the NT_Process attribute </w:t>
      </w:r>
      <w:r>
        <w:rPr>
          <w:color w:val="231F20"/>
          <w:sz w:val="20"/>
        </w:rPr>
        <w:t>group and the Process Name attribute, then click </w:t>
      </w:r>
      <w:r>
        <w:rPr>
          <w:rFonts w:ascii="Book Antiqua"/>
          <w:b/>
          <w:color w:val="231F20"/>
          <w:sz w:val="20"/>
        </w:rPr>
        <w:t>OK</w:t>
      </w:r>
      <w:r>
        <w:rPr>
          <w:color w:val="231F20"/>
          <w:sz w:val="20"/>
        </w:rPr>
        <w:t>.</w:t>
      </w:r>
    </w:p>
    <w:p>
      <w:pPr>
        <w:pStyle w:val="ListParagraph"/>
        <w:numPr>
          <w:ilvl w:val="0"/>
          <w:numId w:val="138"/>
        </w:numPr>
        <w:tabs>
          <w:tab w:pos="3506" w:val="left" w:leader="none"/>
          <w:tab w:pos="3573" w:val="left" w:leader="none"/>
        </w:tabs>
        <w:spacing w:line="213" w:lineRule="auto" w:before="59" w:after="0"/>
        <w:ind w:left="3506" w:right="363" w:hanging="317"/>
        <w:jc w:val="left"/>
        <w:rPr>
          <w:sz w:val="20"/>
        </w:rPr>
      </w:pPr>
      <w:r>
        <w:rPr>
          <w:rFonts w:ascii="Arial"/>
          <w:color w:val="231F20"/>
          <w:sz w:val="20"/>
        </w:rPr>
        <w:tab/>
      </w:r>
      <w:r>
        <w:rPr>
          <w:color w:val="231F20"/>
          <w:sz w:val="20"/>
        </w:rPr>
        <w:t>Click inside the row 1 Process Name cell, click the </w:t>
      </w:r>
      <w:r>
        <w:rPr>
          <w:color w:val="231F20"/>
          <w:spacing w:val="15"/>
          <w:position w:val="-1"/>
          <w:sz w:val="20"/>
        </w:rPr>
        <w:drawing>
          <wp:inline distT="0" distB="0" distL="0" distR="0">
            <wp:extent cx="152400" cy="101600"/>
            <wp:effectExtent l="0" t="0" r="0" b="0"/>
            <wp:docPr id="2584" name="Image 2584"/>
            <wp:cNvGraphicFramePr>
              <a:graphicFrameLocks/>
            </wp:cNvGraphicFramePr>
            <a:graphic>
              <a:graphicData uri="http://schemas.openxmlformats.org/drawingml/2006/picture">
                <pic:pic>
                  <pic:nvPicPr>
                    <pic:cNvPr id="2584" name="Image 2584"/>
                    <pic:cNvPicPr/>
                  </pic:nvPicPr>
                  <pic:blipFill>
                    <a:blip r:embed="rId191" cstate="print"/>
                    <a:stretch>
                      <a:fillRect/>
                    </a:stretch>
                  </pic:blipFill>
                  <pic:spPr>
                    <a:xfrm>
                      <a:off x="0" y="0"/>
                      <a:ext cx="152400" cy="10160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rFonts w:ascii="Book Antiqua"/>
          <w:b/>
          <w:color w:val="231F20"/>
          <w:sz w:val="20"/>
        </w:rPr>
        <w:t>Function </w:t>
      </w:r>
      <w:r>
        <w:rPr>
          <w:color w:val="231F20"/>
          <w:sz w:val="20"/>
        </w:rPr>
        <w:t>field and select </w:t>
      </w:r>
      <w:r>
        <w:rPr>
          <w:color w:val="231F20"/>
          <w:spacing w:val="16"/>
          <w:position w:val="-1"/>
          <w:sz w:val="20"/>
        </w:rPr>
        <w:drawing>
          <wp:inline distT="0" distB="0" distL="0" distR="0">
            <wp:extent cx="101600" cy="101600"/>
            <wp:effectExtent l="0" t="0" r="0" b="0"/>
            <wp:docPr id="2585" name="Image 2585"/>
            <wp:cNvGraphicFramePr>
              <a:graphicFrameLocks/>
            </wp:cNvGraphicFramePr>
            <a:graphic>
              <a:graphicData uri="http://schemas.openxmlformats.org/drawingml/2006/picture">
                <pic:pic>
                  <pic:nvPicPr>
                    <pic:cNvPr id="2585" name="Image 2585"/>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Check for Missing Items.</w:t>
      </w:r>
    </w:p>
    <w:p>
      <w:pPr>
        <w:pStyle w:val="ListParagraph"/>
        <w:numPr>
          <w:ilvl w:val="0"/>
          <w:numId w:val="138"/>
        </w:numPr>
        <w:tabs>
          <w:tab w:pos="3506" w:val="left" w:leader="none"/>
          <w:tab w:pos="3573" w:val="left" w:leader="none"/>
        </w:tabs>
        <w:spacing w:line="213" w:lineRule="auto" w:before="58" w:after="0"/>
        <w:ind w:left="3506" w:right="516" w:hanging="316"/>
        <w:jc w:val="left"/>
        <w:rPr>
          <w:sz w:val="20"/>
        </w:rPr>
      </w:pPr>
      <w:r>
        <w:rPr>
          <w:rFonts w:ascii="Arial"/>
          <w:color w:val="231F20"/>
          <w:sz w:val="20"/>
        </w:rPr>
        <w:tab/>
      </w:r>
      <w:r>
        <w:rPr>
          <w:color w:val="231F20"/>
          <w:sz w:val="20"/>
        </w:rPr>
        <w:t>Type the name of the software process in the Missing Item List </w:t>
      </w:r>
      <w:r>
        <w:rPr>
          <w:color w:val="231F20"/>
          <w:sz w:val="20"/>
        </w:rPr>
        <w:t>and click </w:t>
      </w:r>
      <w:r>
        <w:rPr>
          <w:rFonts w:ascii="Book Antiqua"/>
          <w:b/>
          <w:color w:val="231F20"/>
          <w:sz w:val="20"/>
        </w:rPr>
        <w:t>OK</w:t>
      </w:r>
      <w:r>
        <w:rPr>
          <w:color w:val="231F20"/>
          <w:sz w:val="20"/>
        </w:rPr>
        <w:t>.</w:t>
      </w:r>
    </w:p>
    <w:p>
      <w:pPr>
        <w:pStyle w:val="BodyText"/>
        <w:spacing w:before="35"/>
        <w:ind w:left="3506"/>
      </w:pPr>
      <w:r>
        <w:rPr>
          <w:color w:val="231F20"/>
        </w:rPr>
        <w:t>For</w:t>
      </w:r>
      <w:r>
        <w:rPr>
          <w:color w:val="231F20"/>
          <w:spacing w:val="10"/>
        </w:rPr>
        <w:t> </w:t>
      </w:r>
      <w:r>
        <w:rPr>
          <w:color w:val="231F20"/>
        </w:rPr>
        <w:t>the</w:t>
      </w:r>
      <w:r>
        <w:rPr>
          <w:color w:val="231F20"/>
          <w:spacing w:val="11"/>
        </w:rPr>
        <w:t> </w:t>
      </w:r>
      <w:r>
        <w:rPr>
          <w:color w:val="231F20"/>
        </w:rPr>
        <w:t>hands-on</w:t>
      </w:r>
      <w:r>
        <w:rPr>
          <w:color w:val="231F20"/>
          <w:spacing w:val="11"/>
        </w:rPr>
        <w:t> </w:t>
      </w:r>
      <w:r>
        <w:rPr>
          <w:color w:val="231F20"/>
        </w:rPr>
        <w:t>practice,</w:t>
      </w:r>
      <w:r>
        <w:rPr>
          <w:color w:val="231F20"/>
          <w:spacing w:val="11"/>
        </w:rPr>
        <w:t> </w:t>
      </w:r>
      <w:r>
        <w:rPr>
          <w:color w:val="231F20"/>
        </w:rPr>
        <w:t>type</w:t>
      </w:r>
      <w:r>
        <w:rPr>
          <w:color w:val="231F20"/>
          <w:spacing w:val="11"/>
        </w:rPr>
        <w:t> </w:t>
      </w:r>
      <w:r>
        <w:rPr>
          <w:color w:val="231F20"/>
          <w:spacing w:val="-2"/>
        </w:rPr>
        <w:t>notepad.</w:t>
      </w:r>
    </w:p>
    <w:p>
      <w:pPr>
        <w:pStyle w:val="ListParagraph"/>
        <w:numPr>
          <w:ilvl w:val="0"/>
          <w:numId w:val="138"/>
        </w:numPr>
        <w:tabs>
          <w:tab w:pos="3573" w:val="left" w:leader="none"/>
        </w:tabs>
        <w:spacing w:line="240" w:lineRule="auto" w:before="30" w:after="0"/>
        <w:ind w:left="3573" w:right="0" w:hanging="383"/>
        <w:jc w:val="left"/>
        <w:rPr>
          <w:sz w:val="20"/>
        </w:rPr>
      </w:pPr>
      <w:r>
        <w:rPr>
          <w:color w:val="231F20"/>
          <w:sz w:val="20"/>
        </w:rPr>
        <w:t>Select</w:t>
      </w:r>
      <w:r>
        <w:rPr>
          <w:color w:val="231F20"/>
          <w:spacing w:val="20"/>
          <w:sz w:val="20"/>
        </w:rPr>
        <w:t> </w:t>
      </w:r>
      <w:r>
        <w:rPr>
          <w:color w:val="231F20"/>
          <w:spacing w:val="-24"/>
          <w:position w:val="-1"/>
          <w:sz w:val="20"/>
        </w:rPr>
        <w:drawing>
          <wp:inline distT="0" distB="0" distL="0" distR="0">
            <wp:extent cx="95250" cy="95250"/>
            <wp:effectExtent l="0" t="0" r="0" b="0"/>
            <wp:docPr id="2586" name="Image 2586"/>
            <wp:cNvGraphicFramePr>
              <a:graphicFrameLocks/>
            </wp:cNvGraphicFramePr>
            <a:graphic>
              <a:graphicData uri="http://schemas.openxmlformats.org/drawingml/2006/picture">
                <pic:pic>
                  <pic:nvPicPr>
                    <pic:cNvPr id="2586" name="Image 2586"/>
                    <pic:cNvPicPr/>
                  </pic:nvPicPr>
                  <pic:blipFill>
                    <a:blip r:embed="rId126"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5"/>
          <w:w w:val="150"/>
          <w:sz w:val="20"/>
        </w:rPr>
        <w:t> </w:t>
      </w:r>
      <w:r>
        <w:rPr>
          <w:rFonts w:ascii="Book Antiqua"/>
          <w:b/>
          <w:color w:val="231F20"/>
          <w:sz w:val="20"/>
        </w:rPr>
        <w:t>Informational</w:t>
      </w:r>
      <w:r>
        <w:rPr>
          <w:rFonts w:ascii="Book Antiqua"/>
          <w:b/>
          <w:color w:val="231F20"/>
          <w:spacing w:val="11"/>
          <w:sz w:val="20"/>
        </w:rPr>
        <w:t> </w:t>
      </w:r>
      <w:r>
        <w:rPr>
          <w:color w:val="231F20"/>
          <w:sz w:val="20"/>
        </w:rPr>
        <w:t>from</w:t>
      </w:r>
      <w:r>
        <w:rPr>
          <w:color w:val="231F20"/>
          <w:spacing w:val="11"/>
          <w:sz w:val="20"/>
        </w:rPr>
        <w:t> </w:t>
      </w:r>
      <w:r>
        <w:rPr>
          <w:color w:val="231F20"/>
          <w:sz w:val="20"/>
        </w:rPr>
        <w:t>the</w:t>
      </w:r>
      <w:r>
        <w:rPr>
          <w:color w:val="231F20"/>
          <w:spacing w:val="12"/>
          <w:sz w:val="20"/>
        </w:rPr>
        <w:t> </w:t>
      </w:r>
      <w:r>
        <w:rPr>
          <w:color w:val="231F20"/>
          <w:sz w:val="20"/>
        </w:rPr>
        <w:t>State</w:t>
      </w:r>
      <w:r>
        <w:rPr>
          <w:color w:val="231F20"/>
          <w:spacing w:val="11"/>
          <w:sz w:val="20"/>
        </w:rPr>
        <w:t> </w:t>
      </w:r>
      <w:r>
        <w:rPr>
          <w:color w:val="231F20"/>
          <w:spacing w:val="-2"/>
          <w:sz w:val="20"/>
        </w:rPr>
        <w:t>field.</w:t>
      </w:r>
    </w:p>
    <w:p>
      <w:pPr>
        <w:pStyle w:val="ListParagraph"/>
        <w:numPr>
          <w:ilvl w:val="0"/>
          <w:numId w:val="138"/>
        </w:numPr>
        <w:tabs>
          <w:tab w:pos="3506" w:val="left" w:leader="none"/>
          <w:tab w:pos="3573" w:val="left" w:leader="none"/>
        </w:tabs>
        <w:spacing w:line="213" w:lineRule="auto" w:before="53" w:after="0"/>
        <w:ind w:left="3506" w:right="468" w:hanging="316"/>
        <w:jc w:val="left"/>
        <w:rPr>
          <w:sz w:val="20"/>
        </w:rPr>
      </w:pPr>
      <w:r>
        <w:rPr>
          <w:rFonts w:ascii="Arial"/>
          <w:color w:val="231F20"/>
          <w:sz w:val="20"/>
        </w:rPr>
        <w:tab/>
      </w:r>
      <w:r>
        <w:rPr>
          <w:color w:val="231F20"/>
          <w:sz w:val="20"/>
        </w:rPr>
        <w:t>Click the </w:t>
      </w:r>
      <w:r>
        <w:rPr>
          <w:rFonts w:ascii="Book Antiqua"/>
          <w:b/>
          <w:color w:val="231F20"/>
          <w:sz w:val="20"/>
        </w:rPr>
        <w:t>Distribution </w:t>
      </w:r>
      <w:r>
        <w:rPr>
          <w:color w:val="231F20"/>
          <w:sz w:val="20"/>
        </w:rPr>
        <w:t>tab, move the other two managed systems </w:t>
      </w:r>
      <w:r>
        <w:rPr>
          <w:color w:val="231F20"/>
          <w:sz w:val="20"/>
        </w:rPr>
        <w:t>to the </w:t>
      </w:r>
      <w:r>
        <w:rPr>
          <w:rFonts w:ascii="Book Antiqua"/>
          <w:b/>
          <w:color w:val="231F20"/>
          <w:sz w:val="20"/>
        </w:rPr>
        <w:t>Assigned </w:t>
      </w:r>
      <w:r>
        <w:rPr>
          <w:color w:val="231F20"/>
          <w:sz w:val="20"/>
        </w:rPr>
        <w:t>list.</w:t>
      </w:r>
    </w:p>
    <w:p>
      <w:pPr>
        <w:pStyle w:val="BodyText"/>
        <w:spacing w:line="213" w:lineRule="auto" w:before="58"/>
        <w:ind w:left="3506" w:right="493"/>
      </w:pPr>
      <w:r>
        <w:rPr>
          <w:color w:val="231F20"/>
        </w:rPr>
        <w:t>The Assigned list must show only the names of the three </w:t>
      </w:r>
      <w:r>
        <w:rPr>
          <w:color w:val="231F20"/>
        </w:rPr>
        <w:t>managed systems to be monitored for this software.</w:t>
      </w:r>
    </w:p>
    <w:p>
      <w:pPr>
        <w:pStyle w:val="ListParagraph"/>
        <w:numPr>
          <w:ilvl w:val="0"/>
          <w:numId w:val="138"/>
        </w:numPr>
        <w:tabs>
          <w:tab w:pos="3573" w:val="left" w:leader="none"/>
        </w:tabs>
        <w:spacing w:line="240" w:lineRule="auto" w:before="36" w:after="0"/>
        <w:ind w:left="3573" w:right="0" w:hanging="383"/>
        <w:jc w:val="left"/>
        <w:rPr>
          <w:sz w:val="20"/>
        </w:rPr>
      </w:pPr>
      <w:r>
        <w:rPr>
          <w:color w:val="231F20"/>
          <w:sz w:val="20"/>
        </w:rPr>
        <w:t>Click</w:t>
      </w:r>
      <w:r>
        <w:rPr>
          <w:color w:val="231F20"/>
          <w:spacing w:val="11"/>
          <w:sz w:val="20"/>
        </w:rPr>
        <w:t> </w:t>
      </w:r>
      <w:r>
        <w:rPr>
          <w:rFonts w:ascii="Book Antiqua"/>
          <w:b/>
          <w:color w:val="231F20"/>
          <w:spacing w:val="-2"/>
          <w:sz w:val="20"/>
        </w:rPr>
        <w:t>Apply</w:t>
      </w:r>
      <w:r>
        <w:rPr>
          <w:color w:val="231F20"/>
          <w:spacing w:val="-2"/>
          <w:sz w:val="20"/>
        </w:rPr>
        <w:t>.</w:t>
      </w:r>
    </w:p>
    <w:p>
      <w:pPr>
        <w:pStyle w:val="BodyText"/>
        <w:spacing w:line="213" w:lineRule="auto" w:before="112"/>
        <w:ind w:left="3190" w:right="545"/>
      </w:pPr>
      <w:r>
        <w:rPr>
          <w:color w:val="231F20"/>
        </w:rPr>
        <w:t>The situation is now running on all the managed systems of interest </w:t>
      </w:r>
      <w:r>
        <w:rPr>
          <w:color w:val="231F20"/>
        </w:rPr>
        <w:t>and will provide an informational alert if the software stops on any of the managed systems.</w:t>
      </w:r>
    </w:p>
    <w:p>
      <w:pPr>
        <w:pStyle w:val="BodyText"/>
        <w:spacing w:line="213" w:lineRule="auto" w:before="237"/>
        <w:ind w:left="3190" w:right="167"/>
      </w:pPr>
      <w:r>
        <w:rPr>
          <w:rFonts w:ascii="Book Antiqua"/>
          <w:b/>
          <w:color w:val="231F20"/>
        </w:rPr>
        <w:t>Tip:</w:t>
      </w:r>
      <w:r>
        <w:rPr>
          <w:rFonts w:ascii="Book Antiqua"/>
          <w:b/>
          <w:color w:val="231F20"/>
          <w:spacing w:val="40"/>
        </w:rPr>
        <w:t> </w:t>
      </w:r>
      <w:r>
        <w:rPr>
          <w:color w:val="231F20"/>
        </w:rPr>
        <w:t>If</w:t>
      </w:r>
      <w:r>
        <w:rPr>
          <w:color w:val="231F20"/>
          <w:spacing w:val="25"/>
        </w:rPr>
        <w:t> </w:t>
      </w:r>
      <w:r>
        <w:rPr>
          <w:color w:val="231F20"/>
        </w:rPr>
        <w:t>you</w:t>
      </w:r>
      <w:r>
        <w:rPr>
          <w:color w:val="231F20"/>
          <w:spacing w:val="25"/>
        </w:rPr>
        <w:t> </w:t>
      </w:r>
      <w:r>
        <w:rPr>
          <w:color w:val="231F20"/>
        </w:rPr>
        <w:t>were</w:t>
      </w:r>
      <w:r>
        <w:rPr>
          <w:color w:val="231F20"/>
          <w:spacing w:val="25"/>
        </w:rPr>
        <w:t> </w:t>
      </w:r>
      <w:r>
        <w:rPr>
          <w:color w:val="231F20"/>
        </w:rPr>
        <w:t>not</w:t>
      </w:r>
      <w:r>
        <w:rPr>
          <w:color w:val="231F20"/>
          <w:spacing w:val="25"/>
        </w:rPr>
        <w:t> </w:t>
      </w:r>
      <w:r>
        <w:rPr>
          <w:color w:val="231F20"/>
        </w:rPr>
        <w:t>planning</w:t>
      </w:r>
      <w:r>
        <w:rPr>
          <w:color w:val="231F20"/>
          <w:spacing w:val="25"/>
        </w:rPr>
        <w:t> </w:t>
      </w:r>
      <w:r>
        <w:rPr>
          <w:color w:val="231F20"/>
        </w:rPr>
        <w:t>to</w:t>
      </w:r>
      <w:r>
        <w:rPr>
          <w:color w:val="231F20"/>
          <w:spacing w:val="25"/>
        </w:rPr>
        <w:t> </w:t>
      </w:r>
      <w:r>
        <w:rPr>
          <w:color w:val="231F20"/>
        </w:rPr>
        <w:t>use</w:t>
      </w:r>
      <w:r>
        <w:rPr>
          <w:color w:val="231F20"/>
          <w:spacing w:val="25"/>
        </w:rPr>
        <w:t> </w:t>
      </w:r>
      <w:r>
        <w:rPr>
          <w:color w:val="231F20"/>
        </w:rPr>
        <w:t>this</w:t>
      </w:r>
      <w:r>
        <w:rPr>
          <w:color w:val="231F20"/>
          <w:spacing w:val="25"/>
        </w:rPr>
        <w:t> </w:t>
      </w:r>
      <w:r>
        <w:rPr>
          <w:color w:val="231F20"/>
        </w:rPr>
        <w:t>in</w:t>
      </w:r>
      <w:r>
        <w:rPr>
          <w:color w:val="231F20"/>
          <w:spacing w:val="25"/>
        </w:rPr>
        <w:t> </w:t>
      </w:r>
      <w:r>
        <w:rPr>
          <w:color w:val="231F20"/>
        </w:rPr>
        <w:t>a</w:t>
      </w:r>
      <w:r>
        <w:rPr>
          <w:color w:val="231F20"/>
          <w:spacing w:val="25"/>
        </w:rPr>
        <w:t> </w:t>
      </w:r>
      <w:r>
        <w:rPr>
          <w:color w:val="231F20"/>
        </w:rPr>
        <w:t>correlated</w:t>
      </w:r>
      <w:r>
        <w:rPr>
          <w:color w:val="231F20"/>
          <w:spacing w:val="25"/>
        </w:rPr>
        <w:t> </w:t>
      </w:r>
      <w:r>
        <w:rPr>
          <w:color w:val="231F20"/>
        </w:rPr>
        <w:t>situation,</w:t>
      </w:r>
      <w:r>
        <w:rPr>
          <w:color w:val="231F20"/>
          <w:spacing w:val="25"/>
        </w:rPr>
        <w:t> </w:t>
      </w:r>
      <w:r>
        <w:rPr>
          <w:color w:val="231F20"/>
        </w:rPr>
        <w:t>you could</w:t>
      </w:r>
      <w:r>
        <w:rPr>
          <w:color w:val="231F20"/>
          <w:spacing w:val="31"/>
        </w:rPr>
        <w:t> </w:t>
      </w:r>
      <w:r>
        <w:rPr>
          <w:color w:val="231F20"/>
        </w:rPr>
        <w:t>have</w:t>
      </w:r>
      <w:r>
        <w:rPr>
          <w:color w:val="231F20"/>
          <w:spacing w:val="31"/>
        </w:rPr>
        <w:t> </w:t>
      </w:r>
      <w:r>
        <w:rPr>
          <w:color w:val="231F20"/>
        </w:rPr>
        <w:t>chosen</w:t>
      </w:r>
      <w:r>
        <w:rPr>
          <w:color w:val="231F20"/>
          <w:spacing w:val="31"/>
        </w:rPr>
        <w:t> </w:t>
      </w:r>
      <w:r>
        <w:rPr>
          <w:color w:val="231F20"/>
        </w:rPr>
        <w:t>Process_Name</w:t>
      </w:r>
      <w:r>
        <w:rPr>
          <w:color w:val="231F20"/>
          <w:spacing w:val="31"/>
        </w:rPr>
        <w:t> </w:t>
      </w:r>
      <w:r>
        <w:rPr>
          <w:color w:val="231F20"/>
        </w:rPr>
        <w:t>for</w:t>
      </w:r>
      <w:r>
        <w:rPr>
          <w:color w:val="231F20"/>
          <w:spacing w:val="31"/>
        </w:rPr>
        <w:t> </w:t>
      </w:r>
      <w:r>
        <w:rPr>
          <w:color w:val="231F20"/>
        </w:rPr>
        <w:t>the</w:t>
      </w:r>
      <w:r>
        <w:rPr>
          <w:color w:val="231F20"/>
          <w:spacing w:val="31"/>
        </w:rPr>
        <w:t> </w:t>
      </w:r>
      <w:r>
        <w:rPr>
          <w:color w:val="231F20"/>
        </w:rPr>
        <w:t>Display</w:t>
      </w:r>
      <w:r>
        <w:rPr>
          <w:color w:val="231F20"/>
          <w:spacing w:val="31"/>
        </w:rPr>
        <w:t> </w:t>
      </w:r>
      <w:r>
        <w:rPr>
          <w:color w:val="231F20"/>
        </w:rPr>
        <w:t>Item</w:t>
      </w:r>
      <w:r>
        <w:rPr>
          <w:color w:val="231F20"/>
          <w:spacing w:val="31"/>
        </w:rPr>
        <w:t> </w:t>
      </w:r>
      <w:r>
        <w:rPr>
          <w:color w:val="231F20"/>
        </w:rPr>
        <w:t>(</w:t>
      </w:r>
      <w:r>
        <w:rPr>
          <w:rFonts w:ascii="Book Antiqua"/>
          <w:b/>
          <w:color w:val="231F20"/>
        </w:rPr>
        <w:t>Advanced</w:t>
      </w:r>
      <w:r>
        <w:rPr>
          <w:rFonts w:ascii="Book Antiqua"/>
          <w:b/>
          <w:color w:val="231F20"/>
          <w:spacing w:val="31"/>
        </w:rPr>
        <w:t> </w:t>
      </w:r>
      <w:r>
        <w:rPr>
          <w:color w:val="231F20"/>
        </w:rPr>
        <w:t>button</w:t>
      </w:r>
      <w:r>
        <w:rPr>
          <w:color w:val="231F20"/>
        </w:rPr>
        <w:t> in the </w:t>
      </w:r>
      <w:r>
        <w:rPr>
          <w:rFonts w:ascii="Book Antiqua"/>
          <w:b/>
          <w:color w:val="231F20"/>
        </w:rPr>
        <w:t>Formula </w:t>
      </w:r>
      <w:r>
        <w:rPr>
          <w:color w:val="231F20"/>
        </w:rPr>
        <w:t>tab), which enables a situation event to be opened for each managed system where the process is missing rather than only the first one </w:t>
      </w:r>
      <w:r>
        <w:rPr>
          <w:color w:val="231F20"/>
          <w:spacing w:val="-2"/>
        </w:rPr>
        <w:t>found.</w:t>
      </w:r>
    </w:p>
    <w:p>
      <w:pPr>
        <w:pStyle w:val="Heading6"/>
        <w:spacing w:line="240" w:lineRule="auto" w:before="116"/>
      </w:pPr>
      <w:r>
        <w:rPr>
          <w:color w:val="231F20"/>
        </w:rPr>
        <w:t>Second</w:t>
      </w:r>
      <w:r>
        <w:rPr>
          <w:color w:val="231F20"/>
          <w:spacing w:val="9"/>
        </w:rPr>
        <w:t> </w:t>
      </w:r>
      <w:r>
        <w:rPr>
          <w:color w:val="231F20"/>
          <w:spacing w:val="-4"/>
        </w:rPr>
        <w:t>task</w:t>
      </w:r>
    </w:p>
    <w:p>
      <w:pPr>
        <w:pStyle w:val="BodyText"/>
        <w:spacing w:line="213" w:lineRule="auto" w:before="119"/>
        <w:ind w:left="3190" w:right="258"/>
      </w:pPr>
      <w:r>
        <w:rPr>
          <w:color w:val="231F20"/>
        </w:rPr>
        <w:t>Create a correlated situation to reference this situation and to become true for</w:t>
      </w:r>
      <w:r>
        <w:rPr>
          <w:color w:val="231F20"/>
          <w:spacing w:val="27"/>
        </w:rPr>
        <w:t> </w:t>
      </w:r>
      <w:r>
        <w:rPr>
          <w:color w:val="231F20"/>
        </w:rPr>
        <w:t>any</w:t>
      </w:r>
      <w:r>
        <w:rPr>
          <w:color w:val="231F20"/>
          <w:spacing w:val="27"/>
        </w:rPr>
        <w:t> </w:t>
      </w:r>
      <w:r>
        <w:rPr>
          <w:color w:val="231F20"/>
        </w:rPr>
        <w:t>two</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three</w:t>
      </w:r>
      <w:r>
        <w:rPr>
          <w:color w:val="231F20"/>
          <w:spacing w:val="27"/>
        </w:rPr>
        <w:t> </w:t>
      </w:r>
      <w:r>
        <w:rPr>
          <w:color w:val="231F20"/>
        </w:rPr>
        <w:t>computers.</w:t>
      </w:r>
      <w:r>
        <w:rPr>
          <w:color w:val="231F20"/>
          <w:spacing w:val="27"/>
        </w:rPr>
        <w:t> </w:t>
      </w:r>
      <w:r>
        <w:rPr>
          <w:color w:val="231F20"/>
        </w:rPr>
        <w:t>When</w:t>
      </w:r>
      <w:r>
        <w:rPr>
          <w:color w:val="231F20"/>
          <w:spacing w:val="27"/>
        </w:rPr>
        <w:t> </w:t>
      </w:r>
      <w:r>
        <w:rPr>
          <w:color w:val="231F20"/>
        </w:rPr>
        <w:t>the</w:t>
      </w:r>
      <w:r>
        <w:rPr>
          <w:color w:val="231F20"/>
          <w:spacing w:val="27"/>
        </w:rPr>
        <w:t> </w:t>
      </w:r>
      <w:r>
        <w:rPr>
          <w:color w:val="231F20"/>
        </w:rPr>
        <w:t>situation</w:t>
      </w:r>
      <w:r>
        <w:rPr>
          <w:color w:val="231F20"/>
          <w:spacing w:val="27"/>
        </w:rPr>
        <w:t> </w:t>
      </w:r>
      <w:r>
        <w:rPr>
          <w:color w:val="231F20"/>
        </w:rPr>
        <w:t>becomes</w:t>
      </w:r>
      <w:r>
        <w:rPr>
          <w:color w:val="231F20"/>
          <w:spacing w:val="27"/>
        </w:rPr>
        <w:t> </w:t>
      </w:r>
      <w:r>
        <w:rPr>
          <w:color w:val="231F20"/>
        </w:rPr>
        <w:t>true</w:t>
      </w:r>
      <w:r>
        <w:rPr>
          <w:color w:val="231F20"/>
          <w:spacing w:val="27"/>
        </w:rPr>
        <w:t> </w:t>
      </w:r>
      <w:r>
        <w:rPr>
          <w:color w:val="231F20"/>
        </w:rPr>
        <w:t>it will open a Warning situation event</w:t>
      </w:r>
    </w:p>
    <w:p>
      <w:pPr>
        <w:pStyle w:val="ListParagraph"/>
        <w:numPr>
          <w:ilvl w:val="0"/>
          <w:numId w:val="139"/>
        </w:numPr>
        <w:tabs>
          <w:tab w:pos="3573" w:val="left" w:leader="none"/>
        </w:tabs>
        <w:spacing w:line="240" w:lineRule="auto" w:before="35" w:after="0"/>
        <w:ind w:left="3573" w:right="0" w:hanging="383"/>
        <w:jc w:val="left"/>
        <w:rPr>
          <w:sz w:val="20"/>
        </w:rPr>
      </w:pPr>
      <w:r>
        <w:rPr>
          <w:color w:val="231F20"/>
          <w:sz w:val="20"/>
        </w:rPr>
        <w:t>While</w:t>
      </w:r>
      <w:r>
        <w:rPr>
          <w:color w:val="231F20"/>
          <w:spacing w:val="12"/>
          <w:sz w:val="20"/>
        </w:rPr>
        <w:t> </w:t>
      </w:r>
      <w:r>
        <w:rPr>
          <w:color w:val="231F20"/>
          <w:sz w:val="20"/>
        </w:rPr>
        <w:t>the</w:t>
      </w:r>
      <w:r>
        <w:rPr>
          <w:color w:val="231F20"/>
          <w:spacing w:val="12"/>
          <w:sz w:val="20"/>
        </w:rPr>
        <w:t> </w:t>
      </w:r>
      <w:r>
        <w:rPr>
          <w:color w:val="231F20"/>
          <w:sz w:val="20"/>
        </w:rPr>
        <w:t>Situation</w:t>
      </w:r>
      <w:r>
        <w:rPr>
          <w:color w:val="231F20"/>
          <w:spacing w:val="13"/>
          <w:sz w:val="20"/>
        </w:rPr>
        <w:t> </w:t>
      </w:r>
      <w:r>
        <w:rPr>
          <w:color w:val="231F20"/>
          <w:sz w:val="20"/>
        </w:rPr>
        <w:t>editor</w:t>
      </w:r>
      <w:r>
        <w:rPr>
          <w:color w:val="231F20"/>
          <w:spacing w:val="12"/>
          <w:sz w:val="20"/>
        </w:rPr>
        <w:t> </w:t>
      </w:r>
      <w:r>
        <w:rPr>
          <w:color w:val="231F20"/>
          <w:sz w:val="20"/>
        </w:rPr>
        <w:t>is</w:t>
      </w:r>
      <w:r>
        <w:rPr>
          <w:color w:val="231F20"/>
          <w:spacing w:val="13"/>
          <w:sz w:val="20"/>
        </w:rPr>
        <w:t> </w:t>
      </w:r>
      <w:r>
        <w:rPr>
          <w:color w:val="231F20"/>
          <w:sz w:val="20"/>
        </w:rPr>
        <w:t>open,</w:t>
      </w:r>
      <w:r>
        <w:rPr>
          <w:color w:val="231F20"/>
          <w:spacing w:val="12"/>
          <w:sz w:val="20"/>
        </w:rPr>
        <w:t> </w:t>
      </w:r>
      <w:r>
        <w:rPr>
          <w:color w:val="231F20"/>
          <w:sz w:val="20"/>
        </w:rPr>
        <w:t>click</w:t>
      </w:r>
      <w:r>
        <w:rPr>
          <w:color w:val="231F20"/>
          <w:spacing w:val="21"/>
          <w:sz w:val="20"/>
        </w:rPr>
        <w:t> </w:t>
      </w:r>
      <w:r>
        <w:rPr>
          <w:color w:val="231F20"/>
          <w:spacing w:val="-25"/>
          <w:position w:val="-1"/>
          <w:sz w:val="20"/>
        </w:rPr>
        <w:drawing>
          <wp:inline distT="0" distB="0" distL="0" distR="0">
            <wp:extent cx="95250" cy="101600"/>
            <wp:effectExtent l="0" t="0" r="0" b="0"/>
            <wp:docPr id="2587" name="Image 2587"/>
            <wp:cNvGraphicFramePr>
              <a:graphicFrameLocks/>
            </wp:cNvGraphicFramePr>
            <a:graphic>
              <a:graphicData uri="http://schemas.openxmlformats.org/drawingml/2006/picture">
                <pic:pic>
                  <pic:nvPicPr>
                    <pic:cNvPr id="2587" name="Image 2587"/>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58"/>
          <w:w w:val="150"/>
          <w:sz w:val="20"/>
        </w:rPr>
        <w:t> </w:t>
      </w:r>
      <w:r>
        <w:rPr>
          <w:rFonts w:ascii="Book Antiqua"/>
          <w:b/>
          <w:color w:val="231F20"/>
          <w:sz w:val="20"/>
        </w:rPr>
        <w:t>New</w:t>
      </w:r>
      <w:r>
        <w:rPr>
          <w:rFonts w:ascii="Book Antiqua"/>
          <w:b/>
          <w:color w:val="231F20"/>
          <w:spacing w:val="12"/>
          <w:sz w:val="20"/>
        </w:rPr>
        <w:t> </w:t>
      </w:r>
      <w:r>
        <w:rPr>
          <w:rFonts w:ascii="Book Antiqua"/>
          <w:b/>
          <w:color w:val="231F20"/>
          <w:spacing w:val="-2"/>
          <w:sz w:val="20"/>
        </w:rPr>
        <w:t>Situation</w:t>
      </w:r>
      <w:r>
        <w:rPr>
          <w:color w:val="231F20"/>
          <w:spacing w:val="-2"/>
          <w:sz w:val="20"/>
        </w:rPr>
        <w:t>.</w:t>
      </w:r>
    </w:p>
    <w:p>
      <w:pPr>
        <w:pStyle w:val="ListParagraph"/>
        <w:numPr>
          <w:ilvl w:val="0"/>
          <w:numId w:val="139"/>
        </w:numPr>
        <w:tabs>
          <w:tab w:pos="3506" w:val="left" w:leader="none"/>
          <w:tab w:pos="3573" w:val="left" w:leader="none"/>
        </w:tabs>
        <w:spacing w:line="213" w:lineRule="auto" w:before="52" w:after="0"/>
        <w:ind w:left="3506" w:right="2199" w:hanging="316"/>
        <w:jc w:val="left"/>
        <w:rPr>
          <w:sz w:val="20"/>
        </w:rPr>
      </w:pPr>
      <w:r>
        <w:rPr>
          <w:rFonts w:ascii="Arial"/>
          <w:color w:val="231F20"/>
          <w:sz w:val="20"/>
        </w:rPr>
        <w:tab/>
      </w:r>
      <w:r>
        <w:rPr>
          <w:color w:val="231F20"/>
          <w:sz w:val="20"/>
        </w:rPr>
        <w:t>Type a name for the correlated situation (such </w:t>
      </w:r>
      <w:r>
        <w:rPr>
          <w:color w:val="231F20"/>
          <w:sz w:val="20"/>
        </w:rPr>
        <w:t>as </w:t>
      </w:r>
      <w:r>
        <w:rPr>
          <w:color w:val="231F20"/>
          <w:spacing w:val="-2"/>
          <w:sz w:val="20"/>
        </w:rPr>
        <w:t>No_Notepad_Warning).</w:t>
      </w:r>
    </w:p>
    <w:p>
      <w:pPr>
        <w:pStyle w:val="ListParagraph"/>
        <w:numPr>
          <w:ilvl w:val="0"/>
          <w:numId w:val="139"/>
        </w:numPr>
        <w:tabs>
          <w:tab w:pos="3577" w:val="left" w:leader="none"/>
        </w:tabs>
        <w:spacing w:line="240" w:lineRule="auto" w:before="36" w:after="0"/>
        <w:ind w:left="3577" w:right="0" w:hanging="387"/>
        <w:jc w:val="left"/>
        <w:rPr>
          <w:sz w:val="20"/>
        </w:rPr>
      </w:pPr>
      <w:r>
        <w:rPr>
          <w:color w:val="231F20"/>
          <w:sz w:val="20"/>
        </w:rPr>
        <w:t>Select</w:t>
      </w:r>
      <w:r>
        <w:rPr>
          <w:color w:val="231F20"/>
          <w:spacing w:val="43"/>
          <w:sz w:val="20"/>
        </w:rPr>
        <w:t> </w:t>
      </w:r>
      <w:r>
        <w:rPr>
          <w:rFonts w:ascii="Arial"/>
          <w:color w:val="231F20"/>
          <w:sz w:val="20"/>
        </w:rPr>
        <w:t>Correlated</w:t>
      </w:r>
      <w:r>
        <w:rPr>
          <w:rFonts w:ascii="Arial"/>
          <w:color w:val="231F20"/>
          <w:spacing w:val="38"/>
          <w:sz w:val="20"/>
        </w:rPr>
        <w:t> </w:t>
      </w:r>
      <w:r>
        <w:rPr>
          <w:rFonts w:ascii="Arial"/>
          <w:color w:val="231F20"/>
          <w:sz w:val="20"/>
        </w:rPr>
        <w:t>Situation</w:t>
      </w:r>
      <w:r>
        <w:rPr>
          <w:rFonts w:ascii="Arial"/>
          <w:color w:val="231F20"/>
          <w:spacing w:val="38"/>
          <w:sz w:val="20"/>
        </w:rPr>
        <w:t> </w:t>
      </w:r>
      <w:r>
        <w:rPr>
          <w:rFonts w:ascii="Book Antiqua"/>
          <w:b/>
          <w:color w:val="231F20"/>
          <w:sz w:val="20"/>
        </w:rPr>
        <w:t>Type</w:t>
      </w:r>
      <w:r>
        <w:rPr>
          <w:rFonts w:ascii="Book Antiqua"/>
          <w:b/>
          <w:color w:val="231F20"/>
          <w:spacing w:val="44"/>
          <w:sz w:val="20"/>
        </w:rPr>
        <w:t> </w:t>
      </w:r>
      <w:r>
        <w:rPr>
          <w:color w:val="231F20"/>
          <w:sz w:val="20"/>
        </w:rPr>
        <w:t>and</w:t>
      </w:r>
      <w:r>
        <w:rPr>
          <w:color w:val="231F20"/>
          <w:spacing w:val="44"/>
          <w:sz w:val="20"/>
        </w:rPr>
        <w:t> </w:t>
      </w:r>
      <w:r>
        <w:rPr>
          <w:color w:val="231F20"/>
          <w:sz w:val="20"/>
        </w:rPr>
        <w:t>click</w:t>
      </w:r>
      <w:r>
        <w:rPr>
          <w:color w:val="231F20"/>
          <w:spacing w:val="44"/>
          <w:sz w:val="20"/>
        </w:rPr>
        <w:t> </w:t>
      </w:r>
      <w:r>
        <w:rPr>
          <w:rFonts w:ascii="Book Antiqua"/>
          <w:b/>
          <w:color w:val="231F20"/>
          <w:spacing w:val="-5"/>
          <w:sz w:val="20"/>
        </w:rPr>
        <w:t>OK</w:t>
      </w:r>
      <w:r>
        <w:rPr>
          <w:color w:val="231F20"/>
          <w:spacing w:val="-5"/>
          <w:sz w:val="20"/>
        </w:rPr>
        <w:t>.</w:t>
      </w:r>
    </w:p>
    <w:p>
      <w:pPr>
        <w:pStyle w:val="ListParagraph"/>
        <w:numPr>
          <w:ilvl w:val="0"/>
          <w:numId w:val="139"/>
        </w:numPr>
        <w:tabs>
          <w:tab w:pos="3506" w:val="left" w:leader="none"/>
          <w:tab w:pos="3573" w:val="left" w:leader="none"/>
        </w:tabs>
        <w:spacing w:line="213" w:lineRule="auto" w:before="52" w:after="0"/>
        <w:ind w:left="3506" w:right="186" w:hanging="316"/>
        <w:jc w:val="left"/>
        <w:rPr>
          <w:sz w:val="20"/>
        </w:rPr>
      </w:pPr>
      <w:r>
        <w:rPr>
          <w:rFonts w:ascii="Arial"/>
          <w:color w:val="231F20"/>
          <w:sz w:val="20"/>
        </w:rPr>
        <w:tab/>
      </w:r>
      <w:r>
        <w:rPr>
          <w:color w:val="231F20"/>
          <w:sz w:val="20"/>
        </w:rPr>
        <w:t>In the Correlated Situation Selection window that opens, select the missing process situation (such as Missing_Notepad) from the </w:t>
      </w:r>
      <w:r>
        <w:rPr>
          <w:color w:val="231F20"/>
          <w:sz w:val="20"/>
        </w:rPr>
        <w:t>Available Situations list.</w:t>
      </w:r>
    </w:p>
    <w:p>
      <w:pPr>
        <w:pStyle w:val="ListParagraph"/>
        <w:numPr>
          <w:ilvl w:val="0"/>
          <w:numId w:val="139"/>
        </w:numPr>
        <w:tabs>
          <w:tab w:pos="3506" w:val="left" w:leader="none"/>
          <w:tab w:pos="3573" w:val="left" w:leader="none"/>
        </w:tabs>
        <w:spacing w:line="213" w:lineRule="auto" w:before="58" w:after="0"/>
        <w:ind w:left="3506" w:right="448" w:hanging="316"/>
        <w:jc w:val="left"/>
        <w:rPr>
          <w:sz w:val="20"/>
        </w:rPr>
      </w:pPr>
      <w:r>
        <w:rPr>
          <w:rFonts w:ascii="Arial"/>
          <w:color w:val="231F20"/>
          <w:sz w:val="20"/>
        </w:rPr>
        <w:tab/>
      </w:r>
      <w:r>
        <w:rPr>
          <w:color w:val="231F20"/>
          <w:sz w:val="20"/>
        </w:rPr>
        <w:t>Select the first two of the three managed systems from the </w:t>
      </w:r>
      <w:r>
        <w:rPr>
          <w:color w:val="231F20"/>
          <w:sz w:val="20"/>
        </w:rPr>
        <w:t>Available Managed System Group and click </w:t>
      </w:r>
      <w:r>
        <w:rPr>
          <w:rFonts w:ascii="Book Antiqua"/>
          <w:b/>
          <w:color w:val="231F20"/>
          <w:sz w:val="20"/>
        </w:rPr>
        <w:t>OK</w:t>
      </w:r>
      <w:r>
        <w:rPr>
          <w:color w:val="231F20"/>
          <w:sz w:val="20"/>
        </w:rPr>
        <w:t>.</w:t>
      </w:r>
    </w:p>
    <w:p>
      <w:pPr>
        <w:pStyle w:val="ListParagraph"/>
        <w:numPr>
          <w:ilvl w:val="0"/>
          <w:numId w:val="139"/>
        </w:numPr>
        <w:tabs>
          <w:tab w:pos="3506" w:val="left" w:leader="none"/>
          <w:tab w:pos="3573" w:val="left" w:leader="none"/>
        </w:tabs>
        <w:spacing w:line="213" w:lineRule="auto" w:before="59" w:after="0"/>
        <w:ind w:left="3506" w:right="796" w:hanging="317"/>
        <w:jc w:val="left"/>
        <w:rPr>
          <w:sz w:val="20"/>
        </w:rPr>
      </w:pPr>
      <w:r>
        <w:rPr>
          <w:rFonts w:ascii="Arial"/>
          <w:color w:val="231F20"/>
          <w:sz w:val="20"/>
        </w:rPr>
        <w:tab/>
      </w:r>
      <w:r>
        <w:rPr>
          <w:color w:val="231F20"/>
          <w:sz w:val="20"/>
        </w:rPr>
        <w:t>Click inside each row 1 cell to add </w:t>
      </w:r>
      <w:r>
        <w:rPr>
          <w:color w:val="231F20"/>
          <w:spacing w:val="15"/>
          <w:position w:val="-1"/>
          <w:sz w:val="20"/>
        </w:rPr>
        <w:drawing>
          <wp:inline distT="0" distB="0" distL="0" distR="0">
            <wp:extent cx="101600" cy="95250"/>
            <wp:effectExtent l="0" t="0" r="0" b="0"/>
            <wp:docPr id="2588" name="Image 2588"/>
            <wp:cNvGraphicFramePr>
              <a:graphicFrameLocks/>
            </wp:cNvGraphicFramePr>
            <a:graphic>
              <a:graphicData uri="http://schemas.openxmlformats.org/drawingml/2006/picture">
                <pic:pic>
                  <pic:nvPicPr>
                    <pic:cNvPr id="2588" name="Image 2588"/>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5"/>
          <w:sz w:val="20"/>
        </w:rPr>
        <w:t> </w:t>
      </w:r>
      <w:r>
        <w:rPr>
          <w:rFonts w:ascii="Book Antiqua"/>
          <w:b/>
          <w:color w:val="231F20"/>
          <w:sz w:val="20"/>
        </w:rPr>
        <w:t>== True </w:t>
      </w:r>
      <w:r>
        <w:rPr>
          <w:color w:val="231F20"/>
          <w:sz w:val="20"/>
        </w:rPr>
        <w:t>and complete the </w:t>
      </w:r>
      <w:r>
        <w:rPr>
          <w:color w:val="231F20"/>
          <w:spacing w:val="-2"/>
          <w:sz w:val="20"/>
        </w:rPr>
        <w:t>condition.</w:t>
      </w:r>
    </w:p>
    <w:p>
      <w:pPr>
        <w:pStyle w:val="ListParagraph"/>
        <w:numPr>
          <w:ilvl w:val="0"/>
          <w:numId w:val="139"/>
        </w:numPr>
        <w:tabs>
          <w:tab w:pos="3506" w:val="left" w:leader="none"/>
          <w:tab w:pos="3573" w:val="left" w:leader="none"/>
        </w:tabs>
        <w:spacing w:line="213" w:lineRule="auto" w:before="58" w:after="0"/>
        <w:ind w:left="3506" w:right="318" w:hanging="316"/>
        <w:jc w:val="left"/>
        <w:rPr>
          <w:sz w:val="20"/>
        </w:rPr>
      </w:pPr>
      <w:r>
        <w:rPr>
          <w:rFonts w:ascii="Arial"/>
          <w:color w:val="231F20"/>
          <w:sz w:val="20"/>
        </w:rPr>
        <w:tab/>
      </w:r>
      <w:r>
        <w:rPr>
          <w:color w:val="231F20"/>
          <w:sz w:val="20"/>
        </w:rPr>
        <w:t>Click </w:t>
      </w:r>
      <w:r>
        <w:rPr>
          <w:rFonts w:ascii="Book Antiqua"/>
          <w:b/>
          <w:color w:val="231F20"/>
          <w:sz w:val="20"/>
        </w:rPr>
        <w:t>Add conditions</w:t>
      </w:r>
      <w:r>
        <w:rPr>
          <w:color w:val="231F20"/>
          <w:sz w:val="20"/>
        </w:rPr>
        <w:t>, select the first and third managed systems </w:t>
      </w:r>
      <w:r>
        <w:rPr>
          <w:color w:val="231F20"/>
          <w:sz w:val="20"/>
        </w:rPr>
        <w:t>and click </w:t>
      </w:r>
      <w:r>
        <w:rPr>
          <w:rFonts w:ascii="Book Antiqua"/>
          <w:b/>
          <w:color w:val="231F20"/>
          <w:sz w:val="20"/>
        </w:rPr>
        <w:t>OK</w:t>
      </w:r>
      <w:r>
        <w:rPr>
          <w:color w:val="231F20"/>
          <w:sz w:val="20"/>
        </w:rPr>
        <w:t>, then click inside the row 2 cells for these managed systems.</w:t>
      </w:r>
    </w:p>
    <w:p>
      <w:pPr>
        <w:pStyle w:val="ListParagraph"/>
        <w:numPr>
          <w:ilvl w:val="0"/>
          <w:numId w:val="139"/>
        </w:numPr>
        <w:tabs>
          <w:tab w:pos="3506" w:val="left" w:leader="none"/>
          <w:tab w:pos="3573" w:val="left" w:leader="none"/>
        </w:tabs>
        <w:spacing w:line="213" w:lineRule="auto" w:before="59" w:after="0"/>
        <w:ind w:left="3506" w:right="459" w:hanging="316"/>
        <w:jc w:val="left"/>
        <w:rPr>
          <w:sz w:val="20"/>
        </w:rPr>
      </w:pPr>
      <w:r>
        <w:rPr>
          <w:rFonts w:ascii="Arial"/>
          <w:color w:val="231F20"/>
          <w:sz w:val="20"/>
        </w:rPr>
        <w:tab/>
      </w:r>
      <w:r>
        <w:rPr>
          <w:color w:val="231F20"/>
          <w:sz w:val="20"/>
        </w:rPr>
        <w:t>Click </w:t>
      </w:r>
      <w:r>
        <w:rPr>
          <w:rFonts w:ascii="Book Antiqua"/>
          <w:b/>
          <w:color w:val="231F20"/>
          <w:sz w:val="20"/>
        </w:rPr>
        <w:t>Add conditions</w:t>
      </w:r>
      <w:r>
        <w:rPr>
          <w:color w:val="231F20"/>
          <w:sz w:val="20"/>
        </w:rPr>
        <w:t>, select the second and third managed </w:t>
      </w:r>
      <w:r>
        <w:rPr>
          <w:color w:val="231F20"/>
          <w:sz w:val="20"/>
        </w:rPr>
        <w:t>systems and click </w:t>
      </w:r>
      <w:r>
        <w:rPr>
          <w:rFonts w:ascii="Book Antiqua"/>
          <w:b/>
          <w:color w:val="231F20"/>
          <w:sz w:val="20"/>
        </w:rPr>
        <w:t>OK</w:t>
      </w:r>
      <w:r>
        <w:rPr>
          <w:color w:val="231F20"/>
          <w:sz w:val="20"/>
        </w:rPr>
        <w:t>, then click inside the row 3 cells for these managed </w:t>
      </w:r>
      <w:r>
        <w:rPr>
          <w:color w:val="231F20"/>
          <w:spacing w:val="-2"/>
          <w:sz w:val="20"/>
        </w:rPr>
        <w:t>systems.</w:t>
      </w:r>
    </w:p>
    <w:p>
      <w:pPr>
        <w:pStyle w:val="BodyText"/>
        <w:spacing w:before="35"/>
        <w:ind w:left="3506"/>
      </w:pPr>
      <w:r>
        <w:rPr>
          <w:color w:val="231F20"/>
        </w:rPr>
        <w:t>When</w:t>
      </w:r>
      <w:r>
        <w:rPr>
          <w:color w:val="231F20"/>
          <w:spacing w:val="10"/>
        </w:rPr>
        <w:t> </w:t>
      </w:r>
      <w:r>
        <w:rPr>
          <w:color w:val="231F20"/>
        </w:rPr>
        <w:t>you</w:t>
      </w:r>
      <w:r>
        <w:rPr>
          <w:color w:val="231F20"/>
          <w:spacing w:val="11"/>
        </w:rPr>
        <w:t> </w:t>
      </w:r>
      <w:r>
        <w:rPr>
          <w:color w:val="231F20"/>
        </w:rPr>
        <w:t>are</w:t>
      </w:r>
      <w:r>
        <w:rPr>
          <w:color w:val="231F20"/>
          <w:spacing w:val="11"/>
        </w:rPr>
        <w:t> </w:t>
      </w:r>
      <w:r>
        <w:rPr>
          <w:color w:val="231F20"/>
        </w:rPr>
        <w:t>finished,</w:t>
      </w:r>
      <w:r>
        <w:rPr>
          <w:color w:val="231F20"/>
          <w:spacing w:val="11"/>
        </w:rPr>
        <w:t> </w:t>
      </w:r>
      <w:r>
        <w:rPr>
          <w:color w:val="231F20"/>
        </w:rPr>
        <w:t>the</w:t>
      </w:r>
      <w:r>
        <w:rPr>
          <w:color w:val="231F20"/>
          <w:spacing w:val="11"/>
        </w:rPr>
        <w:t> </w:t>
      </w:r>
      <w:r>
        <w:rPr>
          <w:color w:val="231F20"/>
        </w:rPr>
        <w:t>formula</w:t>
      </w:r>
      <w:r>
        <w:rPr>
          <w:color w:val="231F20"/>
          <w:spacing w:val="11"/>
        </w:rPr>
        <w:t> </w:t>
      </w:r>
      <w:r>
        <w:rPr>
          <w:color w:val="231F20"/>
        </w:rPr>
        <w:t>editor</w:t>
      </w:r>
      <w:r>
        <w:rPr>
          <w:color w:val="231F20"/>
          <w:spacing w:val="10"/>
        </w:rPr>
        <w:t> </w:t>
      </w:r>
      <w:r>
        <w:rPr>
          <w:color w:val="231F20"/>
        </w:rPr>
        <w:t>should</w:t>
      </w:r>
      <w:r>
        <w:rPr>
          <w:color w:val="231F20"/>
          <w:spacing w:val="11"/>
        </w:rPr>
        <w:t> </w:t>
      </w:r>
      <w:r>
        <w:rPr>
          <w:color w:val="231F20"/>
        </w:rPr>
        <w:t>look</w:t>
      </w:r>
      <w:r>
        <w:rPr>
          <w:color w:val="231F20"/>
          <w:spacing w:val="11"/>
        </w:rPr>
        <w:t> </w:t>
      </w:r>
      <w:r>
        <w:rPr>
          <w:color w:val="231F20"/>
        </w:rPr>
        <w:t>like</w:t>
      </w:r>
      <w:r>
        <w:rPr>
          <w:color w:val="231F20"/>
          <w:spacing w:val="11"/>
        </w:rPr>
        <w:t> </w:t>
      </w:r>
      <w:r>
        <w:rPr>
          <w:color w:val="231F20"/>
          <w:spacing w:val="-2"/>
        </w:rPr>
        <w:t>this:</w:t>
      </w:r>
    </w:p>
    <w:p>
      <w:pPr>
        <w:spacing w:after="0"/>
        <w:sectPr>
          <w:pgSz w:w="12240" w:h="15840"/>
          <w:pgMar w:header="0" w:footer="736" w:top="1180" w:bottom="920" w:left="1000" w:right="1060"/>
        </w:sectPr>
      </w:pPr>
    </w:p>
    <w:p>
      <w:pPr>
        <w:spacing w:before="88"/>
        <w:ind w:left="2282" w:right="0" w:firstLine="0"/>
        <w:jc w:val="left"/>
        <w:rPr>
          <w:rFonts w:ascii="Arial"/>
          <w:i/>
          <w:sz w:val="18"/>
        </w:rPr>
      </w:pPr>
      <w:r>
        <w:rPr>
          <w:rFonts w:ascii="Arial"/>
          <w:i/>
          <w:color w:val="231F20"/>
          <w:sz w:val="18"/>
        </w:rPr>
        <w:t>Table</w:t>
      </w:r>
      <w:r>
        <w:rPr>
          <w:rFonts w:ascii="Arial"/>
          <w:i/>
          <w:color w:val="231F20"/>
          <w:spacing w:val="-10"/>
          <w:sz w:val="18"/>
        </w:rPr>
        <w:t> </w:t>
      </w:r>
      <w:r>
        <w:rPr>
          <w:rFonts w:ascii="Arial"/>
          <w:i/>
          <w:color w:val="231F20"/>
          <w:sz w:val="18"/>
        </w:rPr>
        <w:t>8.</w:t>
      </w:r>
      <w:r>
        <w:rPr>
          <w:rFonts w:ascii="Arial"/>
          <w:i/>
          <w:color w:val="231F20"/>
          <w:spacing w:val="-2"/>
          <w:sz w:val="18"/>
        </w:rPr>
        <w:t> </w:t>
      </w:r>
      <w:r>
        <w:rPr>
          <w:rFonts w:ascii="Arial"/>
          <w:i/>
          <w:color w:val="231F20"/>
          <w:sz w:val="18"/>
        </w:rPr>
        <w:t>Formula</w:t>
      </w:r>
      <w:r>
        <w:rPr>
          <w:rFonts w:ascii="Arial"/>
          <w:i/>
          <w:color w:val="231F20"/>
          <w:spacing w:val="-1"/>
          <w:sz w:val="18"/>
        </w:rPr>
        <w:t> </w:t>
      </w:r>
      <w:r>
        <w:rPr>
          <w:rFonts w:ascii="Arial"/>
          <w:i/>
          <w:color w:val="231F20"/>
          <w:spacing w:val="-2"/>
          <w:sz w:val="18"/>
        </w:rPr>
        <w:t>Editor</w:t>
      </w:r>
    </w:p>
    <w:p>
      <w:pPr>
        <w:pStyle w:val="BodyText"/>
        <w:spacing w:before="11"/>
        <w:rPr>
          <w:rFonts w:ascii="Arial"/>
          <w:i/>
          <w:sz w:val="7"/>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76"/>
        <w:gridCol w:w="1891"/>
        <w:gridCol w:w="1891"/>
        <w:gridCol w:w="1876"/>
      </w:tblGrid>
      <w:tr>
        <w:trPr>
          <w:trHeight w:val="493" w:hRule="atLeast"/>
        </w:trPr>
        <w:tc>
          <w:tcPr>
            <w:tcW w:w="1876" w:type="dxa"/>
          </w:tcPr>
          <w:p>
            <w:pPr>
              <w:pStyle w:val="TableParagraph"/>
              <w:spacing w:before="22"/>
              <w:ind w:left="0"/>
              <w:rPr>
                <w:rFonts w:ascii="Arial"/>
                <w:i/>
                <w:sz w:val="18"/>
              </w:rPr>
            </w:pPr>
          </w:p>
          <w:p>
            <w:pPr>
              <w:pStyle w:val="TableParagraph"/>
              <w:spacing w:before="0"/>
              <w:ind w:left="44"/>
              <w:rPr>
                <w:rFonts w:ascii="Book Antiqua"/>
                <w:b/>
                <w:sz w:val="18"/>
              </w:rPr>
            </w:pPr>
            <w:r>
              <w:rPr>
                <w:rFonts w:ascii="Book Antiqua"/>
                <w:b/>
                <w:color w:val="231F20"/>
                <w:spacing w:val="-2"/>
                <w:sz w:val="18"/>
              </w:rPr>
              <w:t>Header</w:t>
            </w:r>
          </w:p>
        </w:tc>
        <w:tc>
          <w:tcPr>
            <w:tcW w:w="1891" w:type="dxa"/>
          </w:tcPr>
          <w:p>
            <w:pPr>
              <w:pStyle w:val="TableParagraph"/>
              <w:spacing w:line="242" w:lineRule="auto" w:before="10"/>
              <w:rPr>
                <w:rFonts w:ascii="Book Antiqua"/>
                <w:b/>
                <w:sz w:val="18"/>
              </w:rPr>
            </w:pPr>
            <w:r>
              <w:rPr>
                <w:rFonts w:ascii="Book Antiqua"/>
                <w:b/>
                <w:color w:val="231F20"/>
                <w:spacing w:val="-2"/>
                <w:sz w:val="18"/>
              </w:rPr>
              <w:t>Missing_Notepad @Primary:Ali</w:t>
            </w:r>
          </w:p>
        </w:tc>
        <w:tc>
          <w:tcPr>
            <w:tcW w:w="1891" w:type="dxa"/>
          </w:tcPr>
          <w:p>
            <w:pPr>
              <w:pStyle w:val="TableParagraph"/>
              <w:spacing w:line="242" w:lineRule="auto" w:before="10"/>
              <w:rPr>
                <w:rFonts w:ascii="Book Antiqua"/>
                <w:b/>
                <w:sz w:val="18"/>
              </w:rPr>
            </w:pPr>
            <w:r>
              <w:rPr>
                <w:rFonts w:ascii="Book Antiqua"/>
                <w:b/>
                <w:color w:val="231F20"/>
                <w:spacing w:val="-2"/>
                <w:sz w:val="18"/>
              </w:rPr>
              <w:t>Missing_Notepad @Primary:Beth</w:t>
            </w:r>
          </w:p>
        </w:tc>
        <w:tc>
          <w:tcPr>
            <w:tcW w:w="1876" w:type="dxa"/>
          </w:tcPr>
          <w:p>
            <w:pPr>
              <w:pStyle w:val="TableParagraph"/>
              <w:spacing w:line="242" w:lineRule="auto" w:before="10"/>
              <w:rPr>
                <w:rFonts w:ascii="Book Antiqua"/>
                <w:b/>
                <w:sz w:val="18"/>
              </w:rPr>
            </w:pPr>
            <w:r>
              <w:rPr>
                <w:rFonts w:ascii="Book Antiqua"/>
                <w:b/>
                <w:color w:val="231F20"/>
                <w:spacing w:val="-2"/>
                <w:sz w:val="18"/>
              </w:rPr>
              <w:t>Missing_Notepad @Primary:Carol</w:t>
            </w:r>
          </w:p>
        </w:tc>
      </w:tr>
      <w:tr>
        <w:trPr>
          <w:trHeight w:val="309" w:hRule="atLeast"/>
        </w:trPr>
        <w:tc>
          <w:tcPr>
            <w:tcW w:w="1876" w:type="dxa"/>
          </w:tcPr>
          <w:p>
            <w:pPr>
              <w:pStyle w:val="TableParagraph"/>
              <w:ind w:left="44"/>
              <w:rPr>
                <w:sz w:val="18"/>
              </w:rPr>
            </w:pPr>
            <w:r>
              <w:rPr>
                <w:color w:val="231F20"/>
                <w:spacing w:val="-10"/>
                <w:sz w:val="18"/>
              </w:rPr>
              <w:t>1</w:t>
            </w: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89" name="Image 2589"/>
                  <wp:cNvGraphicFramePr>
                    <a:graphicFrameLocks/>
                  </wp:cNvGraphicFramePr>
                  <a:graphic>
                    <a:graphicData uri="http://schemas.openxmlformats.org/drawingml/2006/picture">
                      <pic:pic>
                        <pic:nvPicPr>
                          <pic:cNvPr id="2589" name="Image 2589"/>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90" name="Image 2590"/>
                  <wp:cNvGraphicFramePr>
                    <a:graphicFrameLocks/>
                  </wp:cNvGraphicFramePr>
                  <a:graphic>
                    <a:graphicData uri="http://schemas.openxmlformats.org/drawingml/2006/picture">
                      <pic:pic>
                        <pic:nvPicPr>
                          <pic:cNvPr id="2590" name="Image 2590"/>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c>
          <w:tcPr>
            <w:tcW w:w="1876" w:type="dxa"/>
          </w:tcPr>
          <w:p>
            <w:pPr>
              <w:pStyle w:val="TableParagraph"/>
              <w:spacing w:before="0"/>
              <w:ind w:left="0"/>
              <w:rPr>
                <w:rFonts w:ascii="Times New Roman"/>
                <w:sz w:val="18"/>
              </w:rPr>
            </w:pPr>
          </w:p>
        </w:tc>
      </w:tr>
      <w:tr>
        <w:trPr>
          <w:trHeight w:val="309" w:hRule="atLeast"/>
        </w:trPr>
        <w:tc>
          <w:tcPr>
            <w:tcW w:w="1876" w:type="dxa"/>
          </w:tcPr>
          <w:p>
            <w:pPr>
              <w:pStyle w:val="TableParagraph"/>
              <w:ind w:left="44"/>
              <w:rPr>
                <w:sz w:val="18"/>
              </w:rPr>
            </w:pPr>
            <w:r>
              <w:rPr>
                <w:color w:val="231F20"/>
                <w:spacing w:val="-10"/>
                <w:sz w:val="18"/>
              </w:rPr>
              <w:t>2</w:t>
            </w: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91" name="Image 2591"/>
                  <wp:cNvGraphicFramePr>
                    <a:graphicFrameLocks/>
                  </wp:cNvGraphicFramePr>
                  <a:graphic>
                    <a:graphicData uri="http://schemas.openxmlformats.org/drawingml/2006/picture">
                      <pic:pic>
                        <pic:nvPicPr>
                          <pic:cNvPr id="2591" name="Image 2591"/>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c>
          <w:tcPr>
            <w:tcW w:w="1891" w:type="dxa"/>
          </w:tcPr>
          <w:p>
            <w:pPr>
              <w:pStyle w:val="TableParagraph"/>
              <w:spacing w:before="0"/>
              <w:ind w:left="0"/>
              <w:rPr>
                <w:rFonts w:ascii="Times New Roman"/>
                <w:sz w:val="18"/>
              </w:rPr>
            </w:pPr>
          </w:p>
        </w:tc>
        <w:tc>
          <w:tcPr>
            <w:tcW w:w="1876" w:type="dxa"/>
          </w:tcPr>
          <w:p>
            <w:pPr>
              <w:pStyle w:val="TableParagraph"/>
              <w:spacing w:before="45"/>
              <w:rPr>
                <w:rFonts w:ascii="Arial"/>
                <w:sz w:val="18"/>
              </w:rPr>
            </w:pPr>
            <w:r>
              <w:rPr>
                <w:position w:val="-3"/>
              </w:rPr>
              <w:drawing>
                <wp:inline distT="0" distB="0" distL="0" distR="0">
                  <wp:extent cx="101600" cy="95250"/>
                  <wp:effectExtent l="0" t="0" r="0" b="0"/>
                  <wp:docPr id="2592" name="Image 2592"/>
                  <wp:cNvGraphicFramePr>
                    <a:graphicFrameLocks/>
                  </wp:cNvGraphicFramePr>
                  <a:graphic>
                    <a:graphicData uri="http://schemas.openxmlformats.org/drawingml/2006/picture">
                      <pic:pic>
                        <pic:nvPicPr>
                          <pic:cNvPr id="2592" name="Image 2592"/>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r>
      <w:tr>
        <w:trPr>
          <w:trHeight w:val="314" w:hRule="atLeast"/>
        </w:trPr>
        <w:tc>
          <w:tcPr>
            <w:tcW w:w="1876" w:type="dxa"/>
          </w:tcPr>
          <w:p>
            <w:pPr>
              <w:pStyle w:val="TableParagraph"/>
              <w:ind w:left="44"/>
              <w:rPr>
                <w:sz w:val="18"/>
              </w:rPr>
            </w:pPr>
            <w:r>
              <w:rPr>
                <w:color w:val="231F20"/>
                <w:spacing w:val="-10"/>
                <w:sz w:val="18"/>
              </w:rPr>
              <w:t>3</w:t>
            </w:r>
          </w:p>
        </w:tc>
        <w:tc>
          <w:tcPr>
            <w:tcW w:w="1891" w:type="dxa"/>
          </w:tcPr>
          <w:p>
            <w:pPr>
              <w:pStyle w:val="TableParagraph"/>
              <w:spacing w:before="0"/>
              <w:ind w:left="0"/>
              <w:rPr>
                <w:rFonts w:ascii="Times New Roman"/>
                <w:sz w:val="18"/>
              </w:rPr>
            </w:pP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93" name="Image 2593"/>
                  <wp:cNvGraphicFramePr>
                    <a:graphicFrameLocks/>
                  </wp:cNvGraphicFramePr>
                  <a:graphic>
                    <a:graphicData uri="http://schemas.openxmlformats.org/drawingml/2006/picture">
                      <pic:pic>
                        <pic:nvPicPr>
                          <pic:cNvPr id="2593" name="Image 2593"/>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c>
          <w:tcPr>
            <w:tcW w:w="1876" w:type="dxa"/>
          </w:tcPr>
          <w:p>
            <w:pPr>
              <w:pStyle w:val="TableParagraph"/>
              <w:spacing w:before="45"/>
              <w:rPr>
                <w:rFonts w:ascii="Arial"/>
                <w:sz w:val="18"/>
              </w:rPr>
            </w:pPr>
            <w:r>
              <w:rPr>
                <w:position w:val="-3"/>
              </w:rPr>
              <w:drawing>
                <wp:inline distT="0" distB="0" distL="0" distR="0">
                  <wp:extent cx="101600" cy="95250"/>
                  <wp:effectExtent l="0" t="0" r="0" b="0"/>
                  <wp:docPr id="2594" name="Image 2594"/>
                  <wp:cNvGraphicFramePr>
                    <a:graphicFrameLocks/>
                  </wp:cNvGraphicFramePr>
                  <a:graphic>
                    <a:graphicData uri="http://schemas.openxmlformats.org/drawingml/2006/picture">
                      <pic:pic>
                        <pic:nvPicPr>
                          <pic:cNvPr id="2594" name="Image 2594"/>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z w:val="18"/>
              </w:rPr>
              <w:t>==True</w:t>
            </w:r>
          </w:p>
        </w:tc>
      </w:tr>
    </w:tbl>
    <w:p>
      <w:pPr>
        <w:pStyle w:val="ListParagraph"/>
        <w:numPr>
          <w:ilvl w:val="0"/>
          <w:numId w:val="139"/>
        </w:numPr>
        <w:tabs>
          <w:tab w:pos="3333" w:val="left" w:leader="none"/>
        </w:tabs>
        <w:spacing w:line="240" w:lineRule="auto" w:before="205" w:after="0"/>
        <w:ind w:left="3333" w:right="0" w:hanging="382"/>
        <w:jc w:val="left"/>
        <w:rPr>
          <w:sz w:val="20"/>
        </w:rPr>
      </w:pPr>
      <w:r>
        <w:rPr>
          <w:color w:val="231F20"/>
          <w:sz w:val="20"/>
        </w:rPr>
        <w:t>Select</w:t>
      </w:r>
      <w:r>
        <w:rPr>
          <w:color w:val="231F20"/>
          <w:spacing w:val="19"/>
          <w:sz w:val="20"/>
        </w:rPr>
        <w:t> </w:t>
      </w:r>
      <w:r>
        <w:rPr>
          <w:color w:val="231F20"/>
          <w:spacing w:val="-24"/>
          <w:position w:val="-1"/>
          <w:sz w:val="20"/>
        </w:rPr>
        <w:drawing>
          <wp:inline distT="0" distB="0" distL="0" distR="0">
            <wp:extent cx="95250" cy="95250"/>
            <wp:effectExtent l="0" t="0" r="0" b="0"/>
            <wp:docPr id="2595" name="Image 2595"/>
            <wp:cNvGraphicFramePr>
              <a:graphicFrameLocks/>
            </wp:cNvGraphicFramePr>
            <a:graphic>
              <a:graphicData uri="http://schemas.openxmlformats.org/drawingml/2006/picture">
                <pic:pic>
                  <pic:nvPicPr>
                    <pic:cNvPr id="2595" name="Image 2595"/>
                    <pic:cNvPicPr/>
                  </pic:nvPicPr>
                  <pic:blipFill>
                    <a:blip r:embed="rId125"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8"/>
          <w:sz w:val="20"/>
        </w:rPr>
        <w:t> </w:t>
      </w:r>
      <w:r>
        <w:rPr>
          <w:rFonts w:ascii="Book Antiqua"/>
          <w:b/>
          <w:color w:val="231F20"/>
          <w:sz w:val="20"/>
        </w:rPr>
        <w:t>Warning</w:t>
      </w:r>
      <w:r>
        <w:rPr>
          <w:rFonts w:ascii="Book Antiqua"/>
          <w:b/>
          <w:color w:val="231F20"/>
          <w:spacing w:val="11"/>
          <w:sz w:val="20"/>
        </w:rPr>
        <w:t> </w:t>
      </w:r>
      <w:r>
        <w:rPr>
          <w:color w:val="231F20"/>
          <w:sz w:val="20"/>
        </w:rPr>
        <w:t>from</w:t>
      </w:r>
      <w:r>
        <w:rPr>
          <w:color w:val="231F20"/>
          <w:spacing w:val="10"/>
          <w:sz w:val="20"/>
        </w:rPr>
        <w:t> </w:t>
      </w:r>
      <w:r>
        <w:rPr>
          <w:color w:val="231F20"/>
          <w:sz w:val="20"/>
        </w:rPr>
        <w:t>the</w:t>
      </w:r>
      <w:r>
        <w:rPr>
          <w:color w:val="231F20"/>
          <w:spacing w:val="11"/>
          <w:sz w:val="20"/>
        </w:rPr>
        <w:t> </w:t>
      </w:r>
      <w:r>
        <w:rPr>
          <w:color w:val="231F20"/>
          <w:sz w:val="20"/>
        </w:rPr>
        <w:t>State</w:t>
      </w:r>
      <w:r>
        <w:rPr>
          <w:color w:val="231F20"/>
          <w:spacing w:val="10"/>
          <w:sz w:val="20"/>
        </w:rPr>
        <w:t> </w:t>
      </w:r>
      <w:r>
        <w:rPr>
          <w:color w:val="231F20"/>
          <w:sz w:val="20"/>
        </w:rPr>
        <w:t>field,</w:t>
      </w:r>
      <w:r>
        <w:rPr>
          <w:color w:val="231F20"/>
          <w:spacing w:val="11"/>
          <w:sz w:val="20"/>
        </w:rPr>
        <w:t> </w:t>
      </w:r>
      <w:r>
        <w:rPr>
          <w:color w:val="231F20"/>
          <w:sz w:val="20"/>
        </w:rPr>
        <w:t>and</w:t>
      </w:r>
      <w:r>
        <w:rPr>
          <w:color w:val="231F20"/>
          <w:spacing w:val="10"/>
          <w:sz w:val="20"/>
        </w:rPr>
        <w:t> </w:t>
      </w:r>
      <w:r>
        <w:rPr>
          <w:color w:val="231F20"/>
          <w:sz w:val="20"/>
        </w:rPr>
        <w:t>click</w:t>
      </w:r>
      <w:r>
        <w:rPr>
          <w:color w:val="231F20"/>
          <w:spacing w:val="11"/>
          <w:sz w:val="20"/>
        </w:rPr>
        <w:t> </w:t>
      </w:r>
      <w:r>
        <w:rPr>
          <w:rFonts w:ascii="Book Antiqua"/>
          <w:b/>
          <w:color w:val="231F20"/>
          <w:spacing w:val="-2"/>
          <w:sz w:val="20"/>
        </w:rPr>
        <w:t>Apply</w:t>
      </w:r>
      <w:r>
        <w:rPr>
          <w:color w:val="231F20"/>
          <w:spacing w:val="-2"/>
          <w:sz w:val="20"/>
        </w:rPr>
        <w:t>.</w:t>
      </w:r>
    </w:p>
    <w:p>
      <w:pPr>
        <w:pStyle w:val="BodyText"/>
        <w:spacing w:line="213" w:lineRule="auto" w:before="113"/>
        <w:ind w:left="2951" w:right="545"/>
      </w:pPr>
      <w:r>
        <w:rPr>
          <w:color w:val="231F20"/>
        </w:rPr>
        <w:t>Now, as well as the original situation, you have a correlated situation </w:t>
      </w:r>
      <w:r>
        <w:rPr>
          <w:color w:val="231F20"/>
        </w:rPr>
        <w:t>that escalates the alert to Warning when the software is stopped on two managed systems.</w:t>
      </w:r>
    </w:p>
    <w:p>
      <w:pPr>
        <w:pStyle w:val="Heading6"/>
        <w:spacing w:line="240" w:lineRule="auto" w:before="116"/>
        <w:ind w:left="2232"/>
      </w:pPr>
      <w:r>
        <w:rPr>
          <w:color w:val="231F20"/>
        </w:rPr>
        <w:t>Third</w:t>
      </w:r>
      <w:r>
        <w:rPr>
          <w:color w:val="231F20"/>
          <w:spacing w:val="10"/>
        </w:rPr>
        <w:t> </w:t>
      </w:r>
      <w:r>
        <w:rPr>
          <w:color w:val="231F20"/>
          <w:spacing w:val="-4"/>
        </w:rPr>
        <w:t>task</w:t>
      </w:r>
    </w:p>
    <w:p>
      <w:pPr>
        <w:pStyle w:val="BodyText"/>
        <w:spacing w:line="213" w:lineRule="auto" w:before="120"/>
        <w:ind w:left="2951" w:right="636"/>
      </w:pPr>
      <w:r>
        <w:rPr>
          <w:color w:val="231F20"/>
        </w:rPr>
        <w:t>Create a second correlated situation much like the other, but have it become true only when the process is missing on all three computers. When</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becomes</w:t>
      </w:r>
      <w:r>
        <w:rPr>
          <w:color w:val="231F20"/>
          <w:spacing w:val="11"/>
        </w:rPr>
        <w:t> </w:t>
      </w:r>
      <w:r>
        <w:rPr>
          <w:color w:val="231F20"/>
        </w:rPr>
        <w:t>true</w:t>
      </w:r>
      <w:r>
        <w:rPr>
          <w:color w:val="231F20"/>
          <w:spacing w:val="11"/>
        </w:rPr>
        <w:t> </w:t>
      </w:r>
      <w:r>
        <w:rPr>
          <w:color w:val="231F20"/>
        </w:rPr>
        <w:t>it</w:t>
      </w:r>
      <w:r>
        <w:rPr>
          <w:color w:val="231F20"/>
          <w:spacing w:val="11"/>
        </w:rPr>
        <w:t> </w:t>
      </w:r>
      <w:r>
        <w:rPr>
          <w:color w:val="231F20"/>
        </w:rPr>
        <w:t>will</w:t>
      </w:r>
      <w:r>
        <w:rPr>
          <w:color w:val="231F20"/>
          <w:spacing w:val="12"/>
        </w:rPr>
        <w:t> </w:t>
      </w:r>
      <w:r>
        <w:rPr>
          <w:color w:val="231F20"/>
        </w:rPr>
        <w:t>open</w:t>
      </w:r>
      <w:r>
        <w:rPr>
          <w:color w:val="231F20"/>
          <w:spacing w:val="11"/>
        </w:rPr>
        <w:t> </w:t>
      </w:r>
      <w:r>
        <w:rPr>
          <w:color w:val="231F20"/>
        </w:rPr>
        <w:t>a</w:t>
      </w:r>
      <w:r>
        <w:rPr>
          <w:color w:val="231F20"/>
          <w:spacing w:val="11"/>
        </w:rPr>
        <w:t> </w:t>
      </w:r>
      <w:r>
        <w:rPr>
          <w:color w:val="231F20"/>
        </w:rPr>
        <w:t>Critical</w:t>
      </w:r>
      <w:r>
        <w:rPr>
          <w:color w:val="231F20"/>
          <w:spacing w:val="11"/>
        </w:rPr>
        <w:t> </w:t>
      </w:r>
      <w:r>
        <w:rPr>
          <w:color w:val="231F20"/>
        </w:rPr>
        <w:t>situation</w:t>
      </w:r>
      <w:r>
        <w:rPr>
          <w:color w:val="231F20"/>
          <w:spacing w:val="11"/>
        </w:rPr>
        <w:t> </w:t>
      </w:r>
      <w:r>
        <w:rPr>
          <w:color w:val="231F20"/>
          <w:spacing w:val="-2"/>
        </w:rPr>
        <w:t>event</w:t>
      </w:r>
    </w:p>
    <w:p>
      <w:pPr>
        <w:pStyle w:val="ListParagraph"/>
        <w:numPr>
          <w:ilvl w:val="0"/>
          <w:numId w:val="140"/>
        </w:numPr>
        <w:tabs>
          <w:tab w:pos="3117" w:val="left" w:leader="none"/>
        </w:tabs>
        <w:spacing w:line="240" w:lineRule="auto" w:before="57" w:after="0"/>
        <w:ind w:left="3117" w:right="0" w:hanging="166"/>
        <w:jc w:val="left"/>
        <w:rPr>
          <w:rFonts w:ascii="Arial"/>
          <w:sz w:val="20"/>
        </w:rPr>
      </w:pPr>
    </w:p>
    <w:p>
      <w:pPr>
        <w:spacing w:before="47"/>
        <w:ind w:left="3267" w:right="0" w:firstLine="0"/>
        <w:jc w:val="left"/>
        <w:rPr>
          <w:sz w:val="20"/>
        </w:rPr>
      </w:pPr>
      <w:r>
        <w:rPr>
          <w:color w:val="231F20"/>
          <w:sz w:val="20"/>
        </w:rPr>
        <w:t>With</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1"/>
          <w:sz w:val="20"/>
        </w:rPr>
        <w:t> </w:t>
      </w:r>
      <w:r>
        <w:rPr>
          <w:color w:val="231F20"/>
          <w:sz w:val="20"/>
        </w:rPr>
        <w:t>editor</w:t>
      </w:r>
      <w:r>
        <w:rPr>
          <w:color w:val="231F20"/>
          <w:spacing w:val="11"/>
          <w:sz w:val="20"/>
        </w:rPr>
        <w:t> </w:t>
      </w:r>
      <w:r>
        <w:rPr>
          <w:color w:val="231F20"/>
          <w:sz w:val="20"/>
        </w:rPr>
        <w:t>is</w:t>
      </w:r>
      <w:r>
        <w:rPr>
          <w:color w:val="231F20"/>
          <w:spacing w:val="12"/>
          <w:sz w:val="20"/>
        </w:rPr>
        <w:t> </w:t>
      </w:r>
      <w:r>
        <w:rPr>
          <w:color w:val="231F20"/>
          <w:sz w:val="20"/>
        </w:rPr>
        <w:t>open,</w:t>
      </w:r>
      <w:r>
        <w:rPr>
          <w:color w:val="231F20"/>
          <w:spacing w:val="11"/>
          <w:sz w:val="20"/>
        </w:rPr>
        <w:t> </w:t>
      </w:r>
      <w:r>
        <w:rPr>
          <w:color w:val="231F20"/>
          <w:sz w:val="20"/>
        </w:rPr>
        <w:t>click</w:t>
      </w:r>
      <w:r>
        <w:rPr>
          <w:color w:val="231F20"/>
          <w:spacing w:val="29"/>
          <w:sz w:val="20"/>
        </w:rPr>
        <w:t> </w:t>
      </w:r>
      <w:r>
        <w:rPr>
          <w:color w:val="231F20"/>
          <w:spacing w:val="-15"/>
          <w:position w:val="-1"/>
          <w:sz w:val="20"/>
        </w:rPr>
        <w:drawing>
          <wp:inline distT="0" distB="0" distL="0" distR="0">
            <wp:extent cx="82550" cy="95250"/>
            <wp:effectExtent l="0" t="0" r="0" b="0"/>
            <wp:docPr id="2596" name="Image 2596"/>
            <wp:cNvGraphicFramePr>
              <a:graphicFrameLocks/>
            </wp:cNvGraphicFramePr>
            <a:graphic>
              <a:graphicData uri="http://schemas.openxmlformats.org/drawingml/2006/picture">
                <pic:pic>
                  <pic:nvPicPr>
                    <pic:cNvPr id="2596" name="Image 2596"/>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sz w:val="20"/>
        </w:rPr>
      </w:r>
      <w:r>
        <w:rPr>
          <w:rFonts w:ascii="Times New Roman"/>
          <w:color w:val="231F20"/>
          <w:spacing w:val="79"/>
          <w:sz w:val="20"/>
        </w:rPr>
        <w:t> </w:t>
      </w:r>
      <w:r>
        <w:rPr>
          <w:rFonts w:ascii="Book Antiqua"/>
          <w:b/>
          <w:color w:val="231F20"/>
          <w:sz w:val="20"/>
        </w:rPr>
        <w:t>Create</w:t>
      </w:r>
      <w:r>
        <w:rPr>
          <w:rFonts w:ascii="Book Antiqua"/>
          <w:b/>
          <w:color w:val="231F20"/>
          <w:spacing w:val="12"/>
          <w:sz w:val="20"/>
        </w:rPr>
        <w:t> </w:t>
      </w:r>
      <w:r>
        <w:rPr>
          <w:rFonts w:ascii="Book Antiqua"/>
          <w:b/>
          <w:color w:val="231F20"/>
          <w:sz w:val="20"/>
        </w:rPr>
        <w:t>another</w:t>
      </w:r>
      <w:r>
        <w:rPr>
          <w:rFonts w:ascii="Book Antiqua"/>
          <w:b/>
          <w:color w:val="231F20"/>
          <w:spacing w:val="11"/>
          <w:sz w:val="20"/>
        </w:rPr>
        <w:t> </w:t>
      </w:r>
      <w:r>
        <w:rPr>
          <w:rFonts w:ascii="Book Antiqua"/>
          <w:b/>
          <w:color w:val="231F20"/>
          <w:spacing w:val="-2"/>
          <w:sz w:val="20"/>
        </w:rPr>
        <w:t>Situation</w:t>
      </w:r>
      <w:r>
        <w:rPr>
          <w:color w:val="231F20"/>
          <w:spacing w:val="-2"/>
          <w:sz w:val="20"/>
        </w:rPr>
        <w:t>.</w:t>
      </w:r>
    </w:p>
    <w:p>
      <w:pPr>
        <w:pStyle w:val="ListParagraph"/>
        <w:numPr>
          <w:ilvl w:val="0"/>
          <w:numId w:val="140"/>
        </w:numPr>
        <w:tabs>
          <w:tab w:pos="3117" w:val="left" w:leader="none"/>
        </w:tabs>
        <w:spacing w:line="240" w:lineRule="auto" w:before="52" w:after="0"/>
        <w:ind w:left="3117" w:right="0" w:hanging="166"/>
        <w:jc w:val="left"/>
        <w:rPr>
          <w:rFonts w:ascii="Arial"/>
          <w:sz w:val="20"/>
        </w:rPr>
      </w:pPr>
    </w:p>
    <w:p>
      <w:pPr>
        <w:pStyle w:val="BodyText"/>
        <w:spacing w:before="47"/>
        <w:ind w:left="3267"/>
      </w:pPr>
      <w:r>
        <w:rPr>
          <w:color w:val="231F20"/>
        </w:rPr>
        <w:t>Type</w:t>
      </w:r>
      <w:r>
        <w:rPr>
          <w:color w:val="231F20"/>
          <w:spacing w:val="9"/>
        </w:rPr>
        <w:t> </w:t>
      </w:r>
      <w:r>
        <w:rPr>
          <w:color w:val="231F20"/>
        </w:rPr>
        <w:t>a</w:t>
      </w:r>
      <w:r>
        <w:rPr>
          <w:color w:val="231F20"/>
          <w:spacing w:val="9"/>
        </w:rPr>
        <w:t> </w:t>
      </w:r>
      <w:r>
        <w:rPr>
          <w:color w:val="231F20"/>
        </w:rPr>
        <w:t>name</w:t>
      </w:r>
      <w:r>
        <w:rPr>
          <w:color w:val="231F20"/>
          <w:spacing w:val="9"/>
        </w:rPr>
        <w:t> </w:t>
      </w:r>
      <w:r>
        <w:rPr>
          <w:color w:val="231F20"/>
        </w:rPr>
        <w:t>for</w:t>
      </w:r>
      <w:r>
        <w:rPr>
          <w:color w:val="231F20"/>
          <w:spacing w:val="9"/>
        </w:rPr>
        <w:t> </w:t>
      </w:r>
      <w:r>
        <w:rPr>
          <w:color w:val="231F20"/>
        </w:rPr>
        <w:t>the</w:t>
      </w:r>
      <w:r>
        <w:rPr>
          <w:color w:val="231F20"/>
          <w:spacing w:val="10"/>
        </w:rPr>
        <w:t> </w:t>
      </w:r>
      <w:r>
        <w:rPr>
          <w:color w:val="231F20"/>
        </w:rPr>
        <w:t>correlated</w:t>
      </w:r>
      <w:r>
        <w:rPr>
          <w:color w:val="231F20"/>
          <w:spacing w:val="9"/>
        </w:rPr>
        <w:t> </w:t>
      </w:r>
      <w:r>
        <w:rPr>
          <w:color w:val="231F20"/>
        </w:rPr>
        <w:t>situation</w:t>
      </w:r>
      <w:r>
        <w:rPr>
          <w:color w:val="231F20"/>
          <w:spacing w:val="9"/>
        </w:rPr>
        <w:t> </w:t>
      </w:r>
      <w:r>
        <w:rPr>
          <w:color w:val="231F20"/>
        </w:rPr>
        <w:t>(such</w:t>
      </w:r>
      <w:r>
        <w:rPr>
          <w:color w:val="231F20"/>
          <w:spacing w:val="9"/>
        </w:rPr>
        <w:t> </w:t>
      </w:r>
      <w:r>
        <w:rPr>
          <w:color w:val="231F20"/>
        </w:rPr>
        <w:t>as</w:t>
      </w:r>
      <w:r>
        <w:rPr>
          <w:color w:val="231F20"/>
          <w:spacing w:val="9"/>
        </w:rPr>
        <w:t> </w:t>
      </w:r>
      <w:r>
        <w:rPr>
          <w:color w:val="231F20"/>
          <w:spacing w:val="-2"/>
        </w:rPr>
        <w:t>No_Notepad_Critical).</w:t>
      </w:r>
    </w:p>
    <w:p>
      <w:pPr>
        <w:pStyle w:val="ListParagraph"/>
        <w:numPr>
          <w:ilvl w:val="0"/>
          <w:numId w:val="140"/>
        </w:numPr>
        <w:tabs>
          <w:tab w:pos="3117" w:val="left" w:leader="none"/>
        </w:tabs>
        <w:spacing w:line="240" w:lineRule="auto" w:before="52" w:after="0"/>
        <w:ind w:left="3117" w:right="0" w:hanging="166"/>
        <w:jc w:val="left"/>
        <w:rPr>
          <w:rFonts w:ascii="Arial"/>
          <w:sz w:val="20"/>
        </w:rPr>
      </w:pPr>
    </w:p>
    <w:p>
      <w:pPr>
        <w:pStyle w:val="BodyText"/>
        <w:spacing w:line="213" w:lineRule="auto" w:before="70"/>
        <w:ind w:left="3267" w:right="407"/>
      </w:pPr>
      <w:r>
        <w:rPr>
          <w:color w:val="231F20"/>
        </w:rPr>
        <w:t>For rows 2 and 3, right click the row number and select Delete from the pop-up menu.</w:t>
      </w:r>
    </w:p>
    <w:p>
      <w:pPr>
        <w:pStyle w:val="ListParagraph"/>
        <w:numPr>
          <w:ilvl w:val="0"/>
          <w:numId w:val="140"/>
        </w:numPr>
        <w:tabs>
          <w:tab w:pos="3267" w:val="left" w:leader="none"/>
        </w:tabs>
        <w:spacing w:line="213" w:lineRule="auto" w:before="58" w:after="0"/>
        <w:ind w:left="3267" w:right="667" w:hanging="316"/>
        <w:jc w:val="left"/>
        <w:rPr>
          <w:sz w:val="20"/>
        </w:rPr>
      </w:pPr>
      <w:r>
        <w:rPr>
          <w:color w:val="231F20"/>
          <w:sz w:val="20"/>
        </w:rPr>
        <w:t>Click inside the third cell in row 1 to add the managed system to the situation definition.</w:t>
      </w:r>
    </w:p>
    <w:p>
      <w:pPr>
        <w:pStyle w:val="BodyText"/>
        <w:spacing w:before="36"/>
        <w:ind w:left="3267"/>
      </w:pPr>
      <w:r>
        <w:rPr>
          <w:color w:val="231F20"/>
        </w:rPr>
        <w:t>The</w:t>
      </w:r>
      <w:r>
        <w:rPr>
          <w:color w:val="231F20"/>
          <w:spacing w:val="11"/>
        </w:rPr>
        <w:t> </w:t>
      </w:r>
      <w:r>
        <w:rPr>
          <w:color w:val="231F20"/>
        </w:rPr>
        <w:t>formula</w:t>
      </w:r>
      <w:r>
        <w:rPr>
          <w:color w:val="231F20"/>
          <w:spacing w:val="11"/>
        </w:rPr>
        <w:t> </w:t>
      </w:r>
      <w:r>
        <w:rPr>
          <w:color w:val="231F20"/>
        </w:rPr>
        <w:t>should</w:t>
      </w:r>
      <w:r>
        <w:rPr>
          <w:color w:val="231F20"/>
          <w:spacing w:val="11"/>
        </w:rPr>
        <w:t> </w:t>
      </w:r>
      <w:r>
        <w:rPr>
          <w:color w:val="231F20"/>
        </w:rPr>
        <w:t>look</w:t>
      </w:r>
      <w:r>
        <w:rPr>
          <w:color w:val="231F20"/>
          <w:spacing w:val="12"/>
        </w:rPr>
        <w:t> </w:t>
      </w:r>
      <w:r>
        <w:rPr>
          <w:color w:val="231F20"/>
        </w:rPr>
        <w:t>like</w:t>
      </w:r>
      <w:r>
        <w:rPr>
          <w:color w:val="231F20"/>
          <w:spacing w:val="11"/>
        </w:rPr>
        <w:t> </w:t>
      </w:r>
      <w:r>
        <w:rPr>
          <w:color w:val="231F20"/>
          <w:spacing w:val="-2"/>
        </w:rPr>
        <w:t>this:</w:t>
      </w:r>
    </w:p>
    <w:p>
      <w:pPr>
        <w:spacing w:before="135"/>
        <w:ind w:left="2282" w:right="0" w:firstLine="0"/>
        <w:jc w:val="left"/>
        <w:rPr>
          <w:rFonts w:ascii="Arial"/>
          <w:i/>
          <w:sz w:val="18"/>
        </w:rPr>
      </w:pPr>
      <w:r>
        <w:rPr>
          <w:rFonts w:ascii="Arial"/>
          <w:i/>
          <w:color w:val="231F20"/>
          <w:sz w:val="18"/>
        </w:rPr>
        <w:t>Table</w:t>
      </w:r>
      <w:r>
        <w:rPr>
          <w:rFonts w:ascii="Arial"/>
          <w:i/>
          <w:color w:val="231F20"/>
          <w:spacing w:val="-14"/>
          <w:sz w:val="18"/>
        </w:rPr>
        <w:t> </w:t>
      </w:r>
      <w:r>
        <w:rPr>
          <w:rFonts w:ascii="Arial"/>
          <w:i/>
          <w:color w:val="231F20"/>
          <w:sz w:val="18"/>
        </w:rPr>
        <w:t>9.</w:t>
      </w:r>
      <w:r>
        <w:rPr>
          <w:rFonts w:ascii="Arial"/>
          <w:i/>
          <w:color w:val="231F20"/>
          <w:spacing w:val="-3"/>
          <w:sz w:val="18"/>
        </w:rPr>
        <w:t> </w:t>
      </w:r>
      <w:r>
        <w:rPr>
          <w:rFonts w:ascii="Arial"/>
          <w:i/>
          <w:color w:val="231F20"/>
          <w:spacing w:val="-2"/>
          <w:sz w:val="18"/>
        </w:rPr>
        <w:t>Formula</w:t>
      </w:r>
    </w:p>
    <w:p>
      <w:pPr>
        <w:pStyle w:val="BodyText"/>
        <w:rPr>
          <w:rFonts w:ascii="Arial"/>
          <w:i/>
          <w:sz w:val="8"/>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876"/>
        <w:gridCol w:w="1891"/>
        <w:gridCol w:w="1891"/>
        <w:gridCol w:w="1876"/>
      </w:tblGrid>
      <w:tr>
        <w:trPr>
          <w:trHeight w:val="493" w:hRule="atLeast"/>
        </w:trPr>
        <w:tc>
          <w:tcPr>
            <w:tcW w:w="1876" w:type="dxa"/>
          </w:tcPr>
          <w:p>
            <w:pPr>
              <w:pStyle w:val="TableParagraph"/>
              <w:spacing w:before="22"/>
              <w:ind w:left="0"/>
              <w:rPr>
                <w:rFonts w:ascii="Arial"/>
                <w:i/>
                <w:sz w:val="18"/>
              </w:rPr>
            </w:pPr>
          </w:p>
          <w:p>
            <w:pPr>
              <w:pStyle w:val="TableParagraph"/>
              <w:spacing w:before="0"/>
              <w:ind w:left="44"/>
              <w:rPr>
                <w:rFonts w:ascii="Book Antiqua"/>
                <w:b/>
                <w:sz w:val="18"/>
              </w:rPr>
            </w:pPr>
            <w:r>
              <w:rPr>
                <w:rFonts w:ascii="Book Antiqua"/>
                <w:b/>
                <w:color w:val="231F20"/>
                <w:spacing w:val="-2"/>
                <w:sz w:val="18"/>
              </w:rPr>
              <w:t>Header</w:t>
            </w:r>
          </w:p>
        </w:tc>
        <w:tc>
          <w:tcPr>
            <w:tcW w:w="1891" w:type="dxa"/>
          </w:tcPr>
          <w:p>
            <w:pPr>
              <w:pStyle w:val="TableParagraph"/>
              <w:spacing w:line="242" w:lineRule="auto" w:before="10"/>
              <w:rPr>
                <w:rFonts w:ascii="Book Antiqua"/>
                <w:b/>
                <w:sz w:val="18"/>
              </w:rPr>
            </w:pPr>
            <w:r>
              <w:rPr>
                <w:rFonts w:ascii="Book Antiqua"/>
                <w:b/>
                <w:color w:val="231F20"/>
                <w:spacing w:val="-2"/>
                <w:sz w:val="18"/>
              </w:rPr>
              <w:t>Missing_Notepad @Primary:Ali</w:t>
            </w:r>
          </w:p>
        </w:tc>
        <w:tc>
          <w:tcPr>
            <w:tcW w:w="1891" w:type="dxa"/>
          </w:tcPr>
          <w:p>
            <w:pPr>
              <w:pStyle w:val="TableParagraph"/>
              <w:spacing w:line="242" w:lineRule="auto" w:before="10"/>
              <w:rPr>
                <w:rFonts w:ascii="Book Antiqua"/>
                <w:b/>
                <w:sz w:val="18"/>
              </w:rPr>
            </w:pPr>
            <w:r>
              <w:rPr>
                <w:rFonts w:ascii="Book Antiqua"/>
                <w:b/>
                <w:color w:val="231F20"/>
                <w:spacing w:val="-2"/>
                <w:sz w:val="18"/>
              </w:rPr>
              <w:t>Missing_Notepad @Primary:Beth</w:t>
            </w:r>
          </w:p>
        </w:tc>
        <w:tc>
          <w:tcPr>
            <w:tcW w:w="1876" w:type="dxa"/>
          </w:tcPr>
          <w:p>
            <w:pPr>
              <w:pStyle w:val="TableParagraph"/>
              <w:spacing w:line="242" w:lineRule="auto" w:before="10"/>
              <w:rPr>
                <w:rFonts w:ascii="Book Antiqua"/>
                <w:b/>
                <w:sz w:val="18"/>
              </w:rPr>
            </w:pPr>
            <w:r>
              <w:rPr>
                <w:rFonts w:ascii="Book Antiqua"/>
                <w:b/>
                <w:color w:val="231F20"/>
                <w:spacing w:val="-2"/>
                <w:sz w:val="18"/>
              </w:rPr>
              <w:t>Missing_Notepad @Primary:Carol</w:t>
            </w:r>
          </w:p>
        </w:tc>
      </w:tr>
      <w:tr>
        <w:trPr>
          <w:trHeight w:val="314" w:hRule="atLeast"/>
        </w:trPr>
        <w:tc>
          <w:tcPr>
            <w:tcW w:w="1876" w:type="dxa"/>
          </w:tcPr>
          <w:p>
            <w:pPr>
              <w:pStyle w:val="TableParagraph"/>
              <w:ind w:left="44"/>
              <w:rPr>
                <w:sz w:val="18"/>
              </w:rPr>
            </w:pPr>
            <w:r>
              <w:rPr>
                <w:color w:val="231F20"/>
                <w:spacing w:val="-10"/>
                <w:sz w:val="18"/>
              </w:rPr>
              <w:t>1</w:t>
            </w: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97" name="Image 2597"/>
                  <wp:cNvGraphicFramePr>
                    <a:graphicFrameLocks/>
                  </wp:cNvGraphicFramePr>
                  <a:graphic>
                    <a:graphicData uri="http://schemas.openxmlformats.org/drawingml/2006/picture">
                      <pic:pic>
                        <pic:nvPicPr>
                          <pic:cNvPr id="2597" name="Image 2597"/>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pacing w:val="-4"/>
                <w:sz w:val="18"/>
              </w:rPr>
              <w:t>==</w:t>
            </w:r>
            <w:r>
              <w:rPr>
                <w:rFonts w:ascii="Arial"/>
                <w:color w:val="231F20"/>
                <w:sz w:val="18"/>
              </w:rPr>
              <w:t> True</w:t>
            </w:r>
          </w:p>
        </w:tc>
        <w:tc>
          <w:tcPr>
            <w:tcW w:w="1891" w:type="dxa"/>
          </w:tcPr>
          <w:p>
            <w:pPr>
              <w:pStyle w:val="TableParagraph"/>
              <w:spacing w:before="45"/>
              <w:rPr>
                <w:rFonts w:ascii="Arial"/>
                <w:sz w:val="18"/>
              </w:rPr>
            </w:pPr>
            <w:r>
              <w:rPr>
                <w:position w:val="-3"/>
              </w:rPr>
              <w:drawing>
                <wp:inline distT="0" distB="0" distL="0" distR="0">
                  <wp:extent cx="101600" cy="95250"/>
                  <wp:effectExtent l="0" t="0" r="0" b="0"/>
                  <wp:docPr id="2598" name="Image 2598"/>
                  <wp:cNvGraphicFramePr>
                    <a:graphicFrameLocks/>
                  </wp:cNvGraphicFramePr>
                  <a:graphic>
                    <a:graphicData uri="http://schemas.openxmlformats.org/drawingml/2006/picture">
                      <pic:pic>
                        <pic:nvPicPr>
                          <pic:cNvPr id="2598" name="Image 2598"/>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pacing w:val="-4"/>
                <w:sz w:val="18"/>
              </w:rPr>
              <w:t>==</w:t>
            </w:r>
            <w:r>
              <w:rPr>
                <w:rFonts w:ascii="Arial"/>
                <w:color w:val="231F20"/>
                <w:sz w:val="18"/>
              </w:rPr>
              <w:t> True</w:t>
            </w:r>
          </w:p>
        </w:tc>
        <w:tc>
          <w:tcPr>
            <w:tcW w:w="1876" w:type="dxa"/>
          </w:tcPr>
          <w:p>
            <w:pPr>
              <w:pStyle w:val="TableParagraph"/>
              <w:spacing w:before="45"/>
              <w:rPr>
                <w:rFonts w:ascii="Arial"/>
                <w:sz w:val="18"/>
              </w:rPr>
            </w:pPr>
            <w:r>
              <w:rPr>
                <w:position w:val="-3"/>
              </w:rPr>
              <w:drawing>
                <wp:inline distT="0" distB="0" distL="0" distR="0">
                  <wp:extent cx="101600" cy="95250"/>
                  <wp:effectExtent l="0" t="0" r="0" b="0"/>
                  <wp:docPr id="2599" name="Image 2599"/>
                  <wp:cNvGraphicFramePr>
                    <a:graphicFrameLocks/>
                  </wp:cNvGraphicFramePr>
                  <a:graphic>
                    <a:graphicData uri="http://schemas.openxmlformats.org/drawingml/2006/picture">
                      <pic:pic>
                        <pic:nvPicPr>
                          <pic:cNvPr id="2599" name="Image 2599"/>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sz w:val="20"/>
              </w:rPr>
              <w:t> </w:t>
            </w:r>
            <w:r>
              <w:rPr>
                <w:rFonts w:ascii="Arial"/>
                <w:color w:val="231F20"/>
                <w:spacing w:val="-4"/>
                <w:sz w:val="18"/>
              </w:rPr>
              <w:t>==</w:t>
            </w:r>
            <w:r>
              <w:rPr>
                <w:rFonts w:ascii="Arial"/>
                <w:color w:val="231F20"/>
                <w:sz w:val="18"/>
              </w:rPr>
              <w:t> True</w:t>
            </w:r>
          </w:p>
        </w:tc>
      </w:tr>
    </w:tbl>
    <w:p>
      <w:pPr>
        <w:pStyle w:val="ListParagraph"/>
        <w:numPr>
          <w:ilvl w:val="0"/>
          <w:numId w:val="140"/>
        </w:numPr>
        <w:tabs>
          <w:tab w:pos="3265" w:val="left" w:leader="none"/>
        </w:tabs>
        <w:spacing w:line="338" w:lineRule="auto" w:before="205" w:after="0"/>
        <w:ind w:left="2232" w:right="2222" w:firstLine="718"/>
        <w:jc w:val="left"/>
        <w:rPr>
          <w:rFonts w:ascii="Book Antiqua"/>
          <w:b/>
          <w:sz w:val="20"/>
        </w:rPr>
      </w:pPr>
      <w:r>
        <w:rPr>
          <w:color w:val="231F20"/>
          <w:sz w:val="20"/>
        </w:rPr>
        <w:t>Select </w:t>
      </w:r>
      <w:r>
        <w:rPr>
          <w:color w:val="231F20"/>
          <w:spacing w:val="-24"/>
          <w:position w:val="-1"/>
          <w:sz w:val="20"/>
        </w:rPr>
        <w:drawing>
          <wp:inline distT="0" distB="0" distL="0" distR="0">
            <wp:extent cx="95250" cy="95250"/>
            <wp:effectExtent l="0" t="0" r="0" b="0"/>
            <wp:docPr id="2600" name="Image 2600"/>
            <wp:cNvGraphicFramePr>
              <a:graphicFrameLocks/>
            </wp:cNvGraphicFramePr>
            <a:graphic>
              <a:graphicData uri="http://schemas.openxmlformats.org/drawingml/2006/picture">
                <pic:pic>
                  <pic:nvPicPr>
                    <pic:cNvPr id="2600" name="Image 2600"/>
                    <pic:cNvPicPr/>
                  </pic:nvPicPr>
                  <pic:blipFill>
                    <a:blip r:embed="rId38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5"/>
          <w:sz w:val="20"/>
        </w:rPr>
        <w:t> </w:t>
      </w:r>
      <w:r>
        <w:rPr>
          <w:rFonts w:ascii="Book Antiqua"/>
          <w:b/>
          <w:color w:val="231F20"/>
          <w:sz w:val="20"/>
        </w:rPr>
        <w:t>Critical </w:t>
      </w:r>
      <w:r>
        <w:rPr>
          <w:color w:val="231F20"/>
          <w:sz w:val="20"/>
        </w:rPr>
        <w:t>from the State field, and click </w:t>
      </w:r>
      <w:r>
        <w:rPr>
          <w:rFonts w:ascii="Book Antiqua"/>
          <w:b/>
          <w:color w:val="231F20"/>
          <w:sz w:val="20"/>
        </w:rPr>
        <w:t>OK</w:t>
      </w:r>
      <w:r>
        <w:rPr>
          <w:color w:val="231F20"/>
          <w:sz w:val="20"/>
        </w:rPr>
        <w:t>. </w:t>
      </w:r>
      <w:r>
        <w:rPr>
          <w:rFonts w:ascii="Book Antiqua"/>
          <w:b/>
          <w:color w:val="231F20"/>
          <w:sz w:val="20"/>
        </w:rPr>
        <w:t>Test the situation</w:t>
      </w:r>
    </w:p>
    <w:p>
      <w:pPr>
        <w:pStyle w:val="BodyText"/>
        <w:spacing w:line="268" w:lineRule="exact"/>
        <w:ind w:left="2951"/>
      </w:pPr>
      <w:r>
        <w:rPr>
          <w:color w:val="231F20"/>
        </w:rPr>
        <w:t>Now</w:t>
      </w:r>
      <w:r>
        <w:rPr>
          <w:color w:val="231F20"/>
          <w:spacing w:val="12"/>
        </w:rPr>
        <w:t> </w:t>
      </w:r>
      <w:r>
        <w:rPr>
          <w:color w:val="231F20"/>
        </w:rPr>
        <w:t>test</w:t>
      </w:r>
      <w:r>
        <w:rPr>
          <w:color w:val="231F20"/>
          <w:spacing w:val="13"/>
        </w:rPr>
        <w:t> </w:t>
      </w:r>
      <w:r>
        <w:rPr>
          <w:color w:val="231F20"/>
        </w:rPr>
        <w:t>the</w:t>
      </w:r>
      <w:r>
        <w:rPr>
          <w:color w:val="231F20"/>
          <w:spacing w:val="12"/>
        </w:rPr>
        <w:t> </w:t>
      </w:r>
      <w:r>
        <w:rPr>
          <w:color w:val="231F20"/>
          <w:spacing w:val="-2"/>
        </w:rPr>
        <w:t>scenario:</w:t>
      </w:r>
    </w:p>
    <w:p>
      <w:pPr>
        <w:pStyle w:val="BodyText"/>
        <w:spacing w:before="52"/>
        <w:ind w:left="2951"/>
        <w:rPr>
          <w:rFonts w:ascii="Arial"/>
        </w:rPr>
      </w:pPr>
      <w:r>
        <w:rPr>
          <w:rFonts w:ascii="Arial"/>
          <w:color w:val="231F20"/>
          <w:spacing w:val="-5"/>
        </w:rPr>
        <w:t>1.</w:t>
      </w:r>
    </w:p>
    <w:p>
      <w:pPr>
        <w:pStyle w:val="BodyText"/>
        <w:spacing w:before="47"/>
        <w:ind w:left="3267"/>
      </w:pPr>
      <w:r>
        <w:rPr>
          <w:color w:val="231F20"/>
        </w:rPr>
        <w:t>Start</w:t>
      </w:r>
      <w:r>
        <w:rPr>
          <w:color w:val="231F20"/>
          <w:spacing w:val="10"/>
        </w:rPr>
        <w:t> </w:t>
      </w:r>
      <w:r>
        <w:rPr>
          <w:color w:val="231F20"/>
        </w:rPr>
        <w:t>the</w:t>
      </w:r>
      <w:r>
        <w:rPr>
          <w:color w:val="231F20"/>
          <w:spacing w:val="11"/>
        </w:rPr>
        <w:t> </w:t>
      </w:r>
      <w:r>
        <w:rPr>
          <w:color w:val="231F20"/>
        </w:rPr>
        <w:t>software</w:t>
      </w:r>
      <w:r>
        <w:rPr>
          <w:color w:val="231F20"/>
          <w:spacing w:val="10"/>
        </w:rPr>
        <w:t> </w:t>
      </w:r>
      <w:r>
        <w:rPr>
          <w:color w:val="231F20"/>
        </w:rPr>
        <w:t>(such</w:t>
      </w:r>
      <w:r>
        <w:rPr>
          <w:color w:val="231F20"/>
          <w:spacing w:val="11"/>
        </w:rPr>
        <w:t> </w:t>
      </w:r>
      <w:r>
        <w:rPr>
          <w:color w:val="231F20"/>
        </w:rPr>
        <w:t>as</w:t>
      </w:r>
      <w:r>
        <w:rPr>
          <w:color w:val="231F20"/>
          <w:spacing w:val="10"/>
        </w:rPr>
        <w:t> </w:t>
      </w:r>
      <w:r>
        <w:rPr>
          <w:color w:val="231F20"/>
        </w:rPr>
        <w:t>Notepad)</w:t>
      </w:r>
      <w:r>
        <w:rPr>
          <w:color w:val="231F20"/>
          <w:spacing w:val="11"/>
        </w:rPr>
        <w:t> </w:t>
      </w:r>
      <w:r>
        <w:rPr>
          <w:color w:val="231F20"/>
        </w:rPr>
        <w:t>on</w:t>
      </w:r>
      <w:r>
        <w:rPr>
          <w:color w:val="231F20"/>
          <w:spacing w:val="10"/>
        </w:rPr>
        <w:t> </w:t>
      </w:r>
      <w:r>
        <w:rPr>
          <w:color w:val="231F20"/>
        </w:rPr>
        <w:t>all</w:t>
      </w:r>
      <w:r>
        <w:rPr>
          <w:color w:val="231F20"/>
          <w:spacing w:val="11"/>
        </w:rPr>
        <w:t> </w:t>
      </w:r>
      <w:r>
        <w:rPr>
          <w:color w:val="231F20"/>
        </w:rPr>
        <w:t>three</w:t>
      </w:r>
      <w:r>
        <w:rPr>
          <w:color w:val="231F20"/>
          <w:spacing w:val="10"/>
        </w:rPr>
        <w:t> </w:t>
      </w:r>
      <w:r>
        <w:rPr>
          <w:color w:val="231F20"/>
        </w:rPr>
        <w:t>managed</w:t>
      </w:r>
      <w:r>
        <w:rPr>
          <w:color w:val="231F20"/>
          <w:spacing w:val="11"/>
        </w:rPr>
        <w:t> </w:t>
      </w:r>
      <w:r>
        <w:rPr>
          <w:color w:val="231F20"/>
          <w:spacing w:val="-2"/>
        </w:rPr>
        <w:t>systems.</w:t>
      </w:r>
    </w:p>
    <w:p>
      <w:pPr>
        <w:pStyle w:val="BodyText"/>
        <w:spacing w:before="52"/>
        <w:ind w:left="2951"/>
        <w:rPr>
          <w:rFonts w:ascii="Arial"/>
        </w:rPr>
      </w:pPr>
      <w:r>
        <w:rPr>
          <w:rFonts w:ascii="Arial"/>
          <w:color w:val="231F20"/>
          <w:spacing w:val="-5"/>
        </w:rPr>
        <w:t>2.</w:t>
      </w:r>
    </w:p>
    <w:p>
      <w:pPr>
        <w:pStyle w:val="BodyText"/>
        <w:spacing w:line="213" w:lineRule="auto" w:before="70"/>
        <w:ind w:left="3267" w:right="636"/>
      </w:pPr>
      <w:r>
        <w:rPr>
          <w:color w:val="231F20"/>
        </w:rPr>
        <w:t>Stop the software on one managed system and wait for an informational event indicator to appear on the Navigator </w:t>
      </w:r>
      <w:r>
        <w:rPr>
          <w:color w:val="231F20"/>
        </w:rPr>
        <w:t>item.</w:t>
      </w:r>
    </w:p>
    <w:p>
      <w:pPr>
        <w:pStyle w:val="BodyText"/>
        <w:spacing w:before="57"/>
        <w:ind w:left="2951"/>
        <w:rPr>
          <w:rFonts w:ascii="Arial"/>
        </w:rPr>
      </w:pPr>
      <w:r>
        <w:rPr>
          <w:rFonts w:ascii="Arial"/>
          <w:color w:val="231F20"/>
          <w:spacing w:val="-5"/>
        </w:rPr>
        <w:t>3.</w:t>
      </w:r>
    </w:p>
    <w:p>
      <w:pPr>
        <w:pStyle w:val="BodyText"/>
        <w:spacing w:line="213" w:lineRule="auto" w:before="71"/>
        <w:ind w:left="3267" w:right="545"/>
      </w:pPr>
      <w:r>
        <w:rPr>
          <w:color w:val="231F20"/>
        </w:rPr>
        <w:t>Stop the software on one of the other managed systems and wait for </w:t>
      </w:r>
      <w:r>
        <w:rPr>
          <w:color w:val="231F20"/>
        </w:rPr>
        <w:t>a warning event indicator to appear.</w:t>
      </w:r>
    </w:p>
    <w:p>
      <w:pPr>
        <w:pStyle w:val="BodyText"/>
        <w:spacing w:before="57"/>
        <w:ind w:left="2951"/>
        <w:rPr>
          <w:rFonts w:ascii="Arial"/>
        </w:rPr>
      </w:pPr>
      <w:r>
        <w:rPr>
          <w:rFonts w:ascii="Arial"/>
          <w:color w:val="231F20"/>
          <w:spacing w:val="-5"/>
        </w:rPr>
        <w:t>4.</w:t>
      </w:r>
    </w:p>
    <w:p>
      <w:pPr>
        <w:pStyle w:val="BodyText"/>
        <w:spacing w:line="213" w:lineRule="auto" w:before="70"/>
        <w:ind w:left="3267" w:right="545"/>
      </w:pPr>
      <w:r>
        <w:rPr>
          <w:color w:val="231F20"/>
        </w:rPr>
        <w:t>Stop the software on the third managed system and wait for the </w:t>
      </w:r>
      <w:r>
        <w:rPr>
          <w:color w:val="231F20"/>
        </w:rPr>
        <w:t>critical event indicator.</w:t>
      </w:r>
    </w:p>
    <w:p>
      <w:pPr>
        <w:spacing w:after="0" w:line="213" w:lineRule="auto"/>
        <w:sectPr>
          <w:pgSz w:w="12240" w:h="15840"/>
          <w:pgMar w:header="0" w:footer="736" w:top="1200" w:bottom="920" w:left="1000" w:right="1060"/>
        </w:sectPr>
      </w:pPr>
    </w:p>
    <w:p>
      <w:pPr>
        <w:pStyle w:val="BodyText"/>
        <w:spacing w:line="208" w:lineRule="auto" w:before="88"/>
        <w:ind w:left="3190" w:right="294"/>
        <w:jc w:val="both"/>
      </w:pPr>
      <w:bookmarkStart w:name="_bookmark231" w:id="485"/>
      <w:bookmarkEnd w:id="485"/>
      <w:r>
        <w:rPr/>
      </w:r>
      <w:r>
        <w:rPr>
          <w:color w:val="231F20"/>
        </w:rPr>
        <w:t>The Navigator would first show an </w:t>
      </w:r>
      <w:r>
        <w:rPr>
          <w:color w:val="231F20"/>
          <w:spacing w:val="15"/>
          <w:position w:val="-5"/>
        </w:rPr>
        <w:drawing>
          <wp:inline distT="0" distB="0" distL="0" distR="0">
            <wp:extent cx="127000" cy="127000"/>
            <wp:effectExtent l="0" t="0" r="0" b="0"/>
            <wp:docPr id="2601" name="Image 2601"/>
            <wp:cNvGraphicFramePr>
              <a:graphicFrameLocks/>
            </wp:cNvGraphicFramePr>
            <a:graphic>
              <a:graphicData uri="http://schemas.openxmlformats.org/drawingml/2006/picture">
                <pic:pic>
                  <pic:nvPicPr>
                    <pic:cNvPr id="2601" name="Image 2601"/>
                    <pic:cNvPicPr/>
                  </pic:nvPicPr>
                  <pic:blipFill>
                    <a:blip r:embed="rId407" cstate="print"/>
                    <a:stretch>
                      <a:fillRect/>
                    </a:stretch>
                  </pic:blipFill>
                  <pic:spPr>
                    <a:xfrm>
                      <a:off x="0" y="0"/>
                      <a:ext cx="127000" cy="127000"/>
                    </a:xfrm>
                    <a:prstGeom prst="rect">
                      <a:avLst/>
                    </a:prstGeom>
                  </pic:spPr>
                </pic:pic>
              </a:graphicData>
            </a:graphic>
          </wp:inline>
        </w:drawing>
      </w:r>
      <w:r>
        <w:rPr>
          <w:color w:val="231F20"/>
          <w:spacing w:val="15"/>
          <w:position w:val="-5"/>
        </w:rPr>
      </w:r>
      <w:r>
        <w:rPr>
          <w:rFonts w:ascii="Times New Roman"/>
          <w:color w:val="231F20"/>
          <w:spacing w:val="15"/>
        </w:rPr>
        <w:t> </w:t>
      </w:r>
      <w:r>
        <w:rPr>
          <w:color w:val="231F20"/>
        </w:rPr>
        <w:t>Informational event indicator over one of the Process Navigator items, then a </w:t>
      </w:r>
      <w:r>
        <w:rPr>
          <w:color w:val="231F20"/>
          <w:spacing w:val="15"/>
          <w:position w:val="-5"/>
        </w:rPr>
        <w:drawing>
          <wp:inline distT="0" distB="0" distL="0" distR="0">
            <wp:extent cx="127000" cy="127000"/>
            <wp:effectExtent l="0" t="0" r="0" b="0"/>
            <wp:docPr id="2602" name="Image 2602"/>
            <wp:cNvGraphicFramePr>
              <a:graphicFrameLocks/>
            </wp:cNvGraphicFramePr>
            <a:graphic>
              <a:graphicData uri="http://schemas.openxmlformats.org/drawingml/2006/picture">
                <pic:pic>
                  <pic:nvPicPr>
                    <pic:cNvPr id="2602" name="Image 2602"/>
                    <pic:cNvPicPr/>
                  </pic:nvPicPr>
                  <pic:blipFill>
                    <a:blip r:embed="rId408" cstate="print"/>
                    <a:stretch>
                      <a:fillRect/>
                    </a:stretch>
                  </pic:blipFill>
                  <pic:spPr>
                    <a:xfrm>
                      <a:off x="0" y="0"/>
                      <a:ext cx="127000" cy="127000"/>
                    </a:xfrm>
                    <a:prstGeom prst="rect">
                      <a:avLst/>
                    </a:prstGeom>
                  </pic:spPr>
                </pic:pic>
              </a:graphicData>
            </a:graphic>
          </wp:inline>
        </w:drawing>
      </w:r>
      <w:r>
        <w:rPr>
          <w:color w:val="231F20"/>
          <w:spacing w:val="15"/>
          <w:position w:val="-5"/>
        </w:rPr>
      </w:r>
      <w:r>
        <w:rPr>
          <w:rFonts w:ascii="Times New Roman"/>
          <w:color w:val="231F20"/>
          <w:spacing w:val="40"/>
        </w:rPr>
        <w:t> </w:t>
      </w:r>
      <w:r>
        <w:rPr>
          <w:color w:val="231F20"/>
        </w:rPr>
        <w:t>Warning indicator over two of the items and, finally, a </w:t>
      </w:r>
      <w:r>
        <w:rPr>
          <w:color w:val="231F20"/>
          <w:spacing w:val="16"/>
          <w:position w:val="-5"/>
        </w:rPr>
        <w:drawing>
          <wp:inline distT="0" distB="0" distL="0" distR="0">
            <wp:extent cx="127000" cy="127000"/>
            <wp:effectExtent l="0" t="0" r="0" b="0"/>
            <wp:docPr id="2603" name="Image 2603"/>
            <wp:cNvGraphicFramePr>
              <a:graphicFrameLocks/>
            </wp:cNvGraphicFramePr>
            <a:graphic>
              <a:graphicData uri="http://schemas.openxmlformats.org/drawingml/2006/picture">
                <pic:pic>
                  <pic:nvPicPr>
                    <pic:cNvPr id="2603" name="Image 2603"/>
                    <pic:cNvPicPr/>
                  </pic:nvPicPr>
                  <pic:blipFill>
                    <a:blip r:embed="rId409" cstate="print"/>
                    <a:stretch>
                      <a:fillRect/>
                    </a:stretch>
                  </pic:blipFill>
                  <pic:spPr>
                    <a:xfrm>
                      <a:off x="0" y="0"/>
                      <a:ext cx="127000" cy="127000"/>
                    </a:xfrm>
                    <a:prstGeom prst="rect">
                      <a:avLst/>
                    </a:prstGeom>
                  </pic:spPr>
                </pic:pic>
              </a:graphicData>
            </a:graphic>
          </wp:inline>
        </w:drawing>
      </w:r>
      <w:r>
        <w:rPr>
          <w:color w:val="231F20"/>
          <w:spacing w:val="16"/>
          <w:position w:val="-5"/>
        </w:rPr>
      </w:r>
      <w:r>
        <w:rPr>
          <w:rFonts w:ascii="Times New Roman"/>
          <w:color w:val="231F20"/>
          <w:spacing w:val="40"/>
        </w:rPr>
        <w:t> </w:t>
      </w:r>
      <w:r>
        <w:rPr>
          <w:color w:val="231F20"/>
        </w:rPr>
        <w:t>Critical indicator over all three items.</w:t>
      </w:r>
    </w:p>
    <w:p>
      <w:pPr>
        <w:pStyle w:val="BodyText"/>
        <w:spacing w:before="33"/>
        <w:ind w:left="3556"/>
      </w:pPr>
      <w:r>
        <w:rPr>
          <w:position w:val="-1"/>
        </w:rPr>
        <w:drawing>
          <wp:inline distT="0" distB="0" distL="0" distR="0">
            <wp:extent cx="95250" cy="101600"/>
            <wp:effectExtent l="0" t="0" r="0" b="0"/>
            <wp:docPr id="2604" name="Image 2604"/>
            <wp:cNvGraphicFramePr>
              <a:graphicFrameLocks/>
            </wp:cNvGraphicFramePr>
            <a:graphic>
              <a:graphicData uri="http://schemas.openxmlformats.org/drawingml/2006/picture">
                <pic:pic>
                  <pic:nvPicPr>
                    <pic:cNvPr id="2604" name="Image 2604"/>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66" w:lineRule="auto" w:before="29"/>
        <w:ind w:left="4055" w:right="4299" w:hanging="100"/>
      </w:pPr>
      <w:r>
        <w:rPr>
          <w:position w:val="-1"/>
        </w:rPr>
        <w:drawing>
          <wp:inline distT="0" distB="0" distL="0" distR="0">
            <wp:extent cx="101600" cy="95250"/>
            <wp:effectExtent l="0" t="0" r="0" b="0"/>
            <wp:docPr id="2605" name="Image 2605"/>
            <wp:cNvGraphicFramePr>
              <a:graphicFrameLocks/>
            </wp:cNvGraphicFramePr>
            <a:graphic>
              <a:graphicData uri="http://schemas.openxmlformats.org/drawingml/2006/picture">
                <pic:pic>
                  <pic:nvPicPr>
                    <pic:cNvPr id="2605" name="Image 260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3"/>
        </w:rPr>
        <w:t> </w:t>
      </w:r>
      <w:r>
        <w:rPr>
          <w:color w:val="231F20"/>
        </w:rPr>
        <w:t>Systems </w:t>
      </w:r>
      <w:r>
        <w:rPr>
          <w:color w:val="231F20"/>
          <w:position w:val="-1"/>
        </w:rPr>
        <w:drawing>
          <wp:inline distT="0" distB="0" distL="0" distR="0">
            <wp:extent cx="101599" cy="95250"/>
            <wp:effectExtent l="0" t="0" r="0" b="0"/>
            <wp:docPr id="2606" name="Image 2606"/>
            <wp:cNvGraphicFramePr>
              <a:graphicFrameLocks/>
            </wp:cNvGraphicFramePr>
            <a:graphic>
              <a:graphicData uri="http://schemas.openxmlformats.org/drawingml/2006/picture">
                <pic:pic>
                  <pic:nvPicPr>
                    <pic:cNvPr id="2606" name="Image 2606"/>
                    <pic:cNvPicPr/>
                  </pic:nvPicPr>
                  <pic:blipFill>
                    <a:blip r:embed="rId90" cstate="print"/>
                    <a:stretch>
                      <a:fillRect/>
                    </a:stretch>
                  </pic:blipFill>
                  <pic:spPr>
                    <a:xfrm>
                      <a:off x="0" y="0"/>
                      <a:ext cx="101599" cy="95250"/>
                    </a:xfrm>
                    <a:prstGeom prst="rect">
                      <a:avLst/>
                    </a:prstGeom>
                  </pic:spPr>
                </pic:pic>
              </a:graphicData>
            </a:graphic>
          </wp:inline>
        </w:drawing>
      </w:r>
      <w:r>
        <w:rPr>
          <w:color w:val="231F20"/>
          <w:position w:val="-1"/>
        </w:rPr>
      </w:r>
      <w:r>
        <w:rPr>
          <w:rFonts w:ascii="Times New Roman"/>
          <w:color w:val="231F20"/>
          <w:spacing w:val="40"/>
        </w:rPr>
        <w:t> </w:t>
      </w:r>
      <w:r>
        <w:rPr>
          <w:color w:val="231F20"/>
        </w:rPr>
        <w:t>Ali</w:t>
      </w:r>
    </w:p>
    <w:p>
      <w:pPr>
        <w:pStyle w:val="BodyText"/>
        <w:spacing w:line="266" w:lineRule="auto"/>
        <w:ind w:left="4630" w:right="4295" w:hanging="266"/>
      </w:pPr>
      <w:r>
        <w:rPr>
          <w:position w:val="-1"/>
        </w:rPr>
        <w:drawing>
          <wp:inline distT="0" distB="0" distL="0" distR="0">
            <wp:extent cx="95250" cy="95250"/>
            <wp:effectExtent l="0" t="0" r="0" b="0"/>
            <wp:docPr id="2607" name="Image 2607"/>
            <wp:cNvGraphicFramePr>
              <a:graphicFrameLocks/>
            </wp:cNvGraphicFramePr>
            <a:graphic>
              <a:graphicData uri="http://schemas.openxmlformats.org/drawingml/2006/picture">
                <pic:pic>
                  <pic:nvPicPr>
                    <pic:cNvPr id="2607" name="Image 2607"/>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OS </w:t>
      </w:r>
      <w:r>
        <w:rPr>
          <w:color w:val="231F20"/>
          <w:position w:val="-1"/>
        </w:rPr>
        <w:drawing>
          <wp:inline distT="0" distB="0" distL="0" distR="0">
            <wp:extent cx="88900" cy="101600"/>
            <wp:effectExtent l="0" t="0" r="0" b="0"/>
            <wp:docPr id="2608" name="Image 2608"/>
            <wp:cNvGraphicFramePr>
              <a:graphicFrameLocks/>
            </wp:cNvGraphicFramePr>
            <a:graphic>
              <a:graphicData uri="http://schemas.openxmlformats.org/drawingml/2006/picture">
                <pic:pic>
                  <pic:nvPicPr>
                    <pic:cNvPr id="2608" name="Image 2608"/>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66" w:lineRule="auto"/>
        <w:ind w:left="4630" w:right="3513"/>
      </w:pPr>
      <w:r>
        <w:rPr>
          <w:position w:val="-1"/>
        </w:rPr>
        <w:drawing>
          <wp:inline distT="0" distB="0" distL="0" distR="0">
            <wp:extent cx="88900" cy="101600"/>
            <wp:effectExtent l="0" t="0" r="0" b="0"/>
            <wp:docPr id="2609" name="Image 2609"/>
            <wp:cNvGraphicFramePr>
              <a:graphicFrameLocks/>
            </wp:cNvGraphicFramePr>
            <a:graphic>
              <a:graphicData uri="http://schemas.openxmlformats.org/drawingml/2006/picture">
                <pic:pic>
                  <pic:nvPicPr>
                    <pic:cNvPr id="2609" name="Image 2609"/>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Enterprise </w:t>
      </w:r>
      <w:r>
        <w:rPr>
          <w:color w:val="231F20"/>
        </w:rPr>
        <w:t>Services </w:t>
      </w:r>
      <w:r>
        <w:rPr>
          <w:color w:val="231F20"/>
          <w:position w:val="-1"/>
        </w:rPr>
        <w:drawing>
          <wp:inline distT="0" distB="0" distL="0" distR="0">
            <wp:extent cx="88900" cy="101600"/>
            <wp:effectExtent l="0" t="0" r="0" b="0"/>
            <wp:docPr id="2610" name="Image 2610"/>
            <wp:cNvGraphicFramePr>
              <a:graphicFrameLocks/>
            </wp:cNvGraphicFramePr>
            <a:graphic>
              <a:graphicData uri="http://schemas.openxmlformats.org/drawingml/2006/picture">
                <pic:pic>
                  <pic:nvPicPr>
                    <pic:cNvPr id="2610" name="Image 2610"/>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66" w:lineRule="auto"/>
        <w:ind w:left="4630" w:right="4420"/>
      </w:pPr>
      <w:r>
        <w:rPr>
          <w:position w:val="-1"/>
        </w:rPr>
        <w:drawing>
          <wp:inline distT="0" distB="0" distL="0" distR="0">
            <wp:extent cx="88900" cy="101600"/>
            <wp:effectExtent l="0" t="0" r="0" b="0"/>
            <wp:docPr id="2611" name="Image 2611"/>
            <wp:cNvGraphicFramePr>
              <a:graphicFrameLocks/>
            </wp:cNvGraphicFramePr>
            <a:graphic>
              <a:graphicData uri="http://schemas.openxmlformats.org/drawingml/2006/picture">
                <pic:pic>
                  <pic:nvPicPr>
                    <pic:cNvPr id="2611" name="Image 2611"/>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37"/>
        </w:rPr>
        <w:t> </w:t>
      </w:r>
      <w:r>
        <w:rPr>
          <w:color w:val="231F20"/>
        </w:rPr>
        <w:t>Network </w:t>
      </w:r>
      <w:r>
        <w:rPr>
          <w:color w:val="231F20"/>
          <w:position w:val="-1"/>
        </w:rPr>
        <w:drawing>
          <wp:inline distT="0" distB="0" distL="0" distR="0">
            <wp:extent cx="88900" cy="101600"/>
            <wp:effectExtent l="0" t="0" r="0" b="0"/>
            <wp:docPr id="2612" name="Image 2612"/>
            <wp:cNvGraphicFramePr>
              <a:graphicFrameLocks/>
            </wp:cNvGraphicFramePr>
            <a:graphic>
              <a:graphicData uri="http://schemas.openxmlformats.org/drawingml/2006/picture">
                <pic:pic>
                  <pic:nvPicPr>
                    <pic:cNvPr id="2612" name="Image 2612"/>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Printer</w:t>
      </w:r>
    </w:p>
    <w:p>
      <w:pPr>
        <w:pStyle w:val="BodyText"/>
        <w:spacing w:line="269" w:lineRule="exact"/>
        <w:ind w:left="4936"/>
      </w:pPr>
      <w:r>
        <w:rPr/>
        <w:drawing>
          <wp:anchor distT="0" distB="0" distL="0" distR="0" allowOverlap="1" layoutInCell="1" locked="0" behindDoc="0" simplePos="0" relativeHeight="15873024">
            <wp:simplePos x="0" y="0"/>
            <wp:positionH relativeFrom="page">
              <wp:posOffset>3569183</wp:posOffset>
            </wp:positionH>
            <wp:positionV relativeFrom="paragraph">
              <wp:posOffset>46923</wp:posOffset>
            </wp:positionV>
            <wp:extent cx="127000" cy="127000"/>
            <wp:effectExtent l="0" t="0" r="0" b="0"/>
            <wp:wrapNone/>
            <wp:docPr id="2613" name="Image 2613"/>
            <wp:cNvGraphicFramePr>
              <a:graphicFrameLocks/>
            </wp:cNvGraphicFramePr>
            <a:graphic>
              <a:graphicData uri="http://schemas.openxmlformats.org/drawingml/2006/picture">
                <pic:pic>
                  <pic:nvPicPr>
                    <pic:cNvPr id="2613" name="Image 2613"/>
                    <pic:cNvPicPr/>
                  </pic:nvPicPr>
                  <pic:blipFill>
                    <a:blip r:embed="rId407" cstate="print"/>
                    <a:stretch>
                      <a:fillRect/>
                    </a:stretch>
                  </pic:blipFill>
                  <pic:spPr>
                    <a:xfrm>
                      <a:off x="0" y="0"/>
                      <a:ext cx="127000" cy="127000"/>
                    </a:xfrm>
                    <a:prstGeom prst="rect">
                      <a:avLst/>
                    </a:prstGeom>
                  </pic:spPr>
                </pic:pic>
              </a:graphicData>
            </a:graphic>
          </wp:anchor>
        </w:drawing>
      </w:r>
      <w:r>
        <w:rPr>
          <w:color w:val="231F20"/>
          <w:spacing w:val="-2"/>
        </w:rPr>
        <w:t>Process</w:t>
      </w:r>
    </w:p>
    <w:p>
      <w:pPr>
        <w:pStyle w:val="BodyText"/>
        <w:spacing w:before="29"/>
        <w:ind w:right="1392"/>
        <w:jc w:val="center"/>
      </w:pPr>
      <w:r>
        <w:rPr>
          <w:position w:val="-1"/>
        </w:rPr>
        <w:drawing>
          <wp:inline distT="0" distB="0" distL="0" distR="0">
            <wp:extent cx="101599" cy="95250"/>
            <wp:effectExtent l="0" t="0" r="0" b="0"/>
            <wp:docPr id="2614" name="Image 2614"/>
            <wp:cNvGraphicFramePr>
              <a:graphicFrameLocks/>
            </wp:cNvGraphicFramePr>
            <a:graphic>
              <a:graphicData uri="http://schemas.openxmlformats.org/drawingml/2006/picture">
                <pic:pic>
                  <pic:nvPicPr>
                    <pic:cNvPr id="2614" name="Image 2614"/>
                    <pic:cNvPicPr/>
                  </pic:nvPicPr>
                  <pic:blipFill>
                    <a:blip r:embed="rId90" cstate="print"/>
                    <a:stretch>
                      <a:fillRect/>
                    </a:stretch>
                  </pic:blipFill>
                  <pic:spPr>
                    <a:xfrm>
                      <a:off x="0" y="0"/>
                      <a:ext cx="101599" cy="95250"/>
                    </a:xfrm>
                    <a:prstGeom prst="rect">
                      <a:avLst/>
                    </a:prstGeom>
                  </pic:spPr>
                </pic:pic>
              </a:graphicData>
            </a:graphic>
          </wp:inline>
        </w:drawing>
      </w:r>
      <w:r>
        <w:rPr>
          <w:position w:val="-1"/>
        </w:rPr>
      </w:r>
      <w:r>
        <w:rPr>
          <w:rFonts w:ascii="Times New Roman"/>
          <w:spacing w:val="40"/>
        </w:rPr>
        <w:t> </w:t>
      </w:r>
      <w:r>
        <w:rPr>
          <w:color w:val="231F20"/>
        </w:rPr>
        <w:t>Beth</w:t>
      </w:r>
    </w:p>
    <w:p>
      <w:pPr>
        <w:pStyle w:val="BodyText"/>
        <w:spacing w:line="266" w:lineRule="auto" w:before="29"/>
        <w:ind w:left="4630" w:right="4295" w:hanging="266"/>
      </w:pPr>
      <w:r>
        <w:rPr>
          <w:position w:val="-1"/>
        </w:rPr>
        <w:drawing>
          <wp:inline distT="0" distB="0" distL="0" distR="0">
            <wp:extent cx="95250" cy="95250"/>
            <wp:effectExtent l="0" t="0" r="0" b="0"/>
            <wp:docPr id="2615" name="Image 2615"/>
            <wp:cNvGraphicFramePr>
              <a:graphicFrameLocks/>
            </wp:cNvGraphicFramePr>
            <a:graphic>
              <a:graphicData uri="http://schemas.openxmlformats.org/drawingml/2006/picture">
                <pic:pic>
                  <pic:nvPicPr>
                    <pic:cNvPr id="2615" name="Image 2615"/>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OS </w:t>
      </w:r>
      <w:r>
        <w:rPr>
          <w:color w:val="231F20"/>
          <w:position w:val="-1"/>
        </w:rPr>
        <w:drawing>
          <wp:inline distT="0" distB="0" distL="0" distR="0">
            <wp:extent cx="88900" cy="101600"/>
            <wp:effectExtent l="0" t="0" r="0" b="0"/>
            <wp:docPr id="2616" name="Image 2616"/>
            <wp:cNvGraphicFramePr>
              <a:graphicFrameLocks/>
            </wp:cNvGraphicFramePr>
            <a:graphic>
              <a:graphicData uri="http://schemas.openxmlformats.org/drawingml/2006/picture">
                <pic:pic>
                  <pic:nvPicPr>
                    <pic:cNvPr id="2616" name="Image 2616"/>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66" w:lineRule="auto"/>
        <w:ind w:left="4630" w:right="3513"/>
      </w:pPr>
      <w:r>
        <w:rPr>
          <w:position w:val="-1"/>
        </w:rPr>
        <w:drawing>
          <wp:inline distT="0" distB="0" distL="0" distR="0">
            <wp:extent cx="88900" cy="101600"/>
            <wp:effectExtent l="0" t="0" r="0" b="0"/>
            <wp:docPr id="2617" name="Image 2617"/>
            <wp:cNvGraphicFramePr>
              <a:graphicFrameLocks/>
            </wp:cNvGraphicFramePr>
            <a:graphic>
              <a:graphicData uri="http://schemas.openxmlformats.org/drawingml/2006/picture">
                <pic:pic>
                  <pic:nvPicPr>
                    <pic:cNvPr id="2617" name="Image 2617"/>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Enterprise </w:t>
      </w:r>
      <w:r>
        <w:rPr>
          <w:color w:val="231F20"/>
        </w:rPr>
        <w:t>Services </w:t>
      </w:r>
      <w:r>
        <w:rPr>
          <w:color w:val="231F20"/>
          <w:position w:val="-1"/>
        </w:rPr>
        <w:drawing>
          <wp:inline distT="0" distB="0" distL="0" distR="0">
            <wp:extent cx="88900" cy="101600"/>
            <wp:effectExtent l="0" t="0" r="0" b="0"/>
            <wp:docPr id="2618" name="Image 2618"/>
            <wp:cNvGraphicFramePr>
              <a:graphicFrameLocks/>
            </wp:cNvGraphicFramePr>
            <a:graphic>
              <a:graphicData uri="http://schemas.openxmlformats.org/drawingml/2006/picture">
                <pic:pic>
                  <pic:nvPicPr>
                    <pic:cNvPr id="2618" name="Image 2618"/>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66" w:lineRule="auto"/>
        <w:ind w:left="4630" w:right="4509"/>
      </w:pPr>
      <w:r>
        <w:rPr>
          <w:position w:val="-1"/>
        </w:rPr>
        <w:drawing>
          <wp:inline distT="0" distB="0" distL="0" distR="0">
            <wp:extent cx="88900" cy="101600"/>
            <wp:effectExtent l="0" t="0" r="0" b="0"/>
            <wp:docPr id="2619" name="Image 2619"/>
            <wp:cNvGraphicFramePr>
              <a:graphicFrameLocks/>
            </wp:cNvGraphicFramePr>
            <a:graphic>
              <a:graphicData uri="http://schemas.openxmlformats.org/drawingml/2006/picture">
                <pic:pic>
                  <pic:nvPicPr>
                    <pic:cNvPr id="2619" name="Image 2619"/>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37"/>
        </w:rPr>
        <w:t> </w:t>
      </w:r>
      <w:r>
        <w:rPr>
          <w:color w:val="231F20"/>
        </w:rPr>
        <w:t>Network </w:t>
      </w:r>
      <w:r>
        <w:rPr>
          <w:color w:val="231F20"/>
          <w:position w:val="-1"/>
        </w:rPr>
        <w:drawing>
          <wp:inline distT="0" distB="0" distL="0" distR="0">
            <wp:extent cx="88900" cy="101600"/>
            <wp:effectExtent l="0" t="0" r="0" b="0"/>
            <wp:docPr id="2620" name="Image 2620"/>
            <wp:cNvGraphicFramePr>
              <a:graphicFrameLocks/>
            </wp:cNvGraphicFramePr>
            <a:graphic>
              <a:graphicData uri="http://schemas.openxmlformats.org/drawingml/2006/picture">
                <pic:pic>
                  <pic:nvPicPr>
                    <pic:cNvPr id="2620" name="Image 2620"/>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Printer</w:t>
      </w:r>
      <w:r>
        <w:rPr>
          <w:color w:val="231F20"/>
          <w:spacing w:val="80"/>
        </w:rPr>
        <w:t> </w:t>
      </w:r>
      <w:r>
        <w:rPr>
          <w:color w:val="231F20"/>
          <w:position w:val="-1"/>
        </w:rPr>
        <w:drawing>
          <wp:inline distT="0" distB="0" distL="0" distR="0">
            <wp:extent cx="88900" cy="101600"/>
            <wp:effectExtent l="0" t="0" r="0" b="0"/>
            <wp:docPr id="2621" name="Image 2621"/>
            <wp:cNvGraphicFramePr>
              <a:graphicFrameLocks/>
            </wp:cNvGraphicFramePr>
            <a:graphic>
              <a:graphicData uri="http://schemas.openxmlformats.org/drawingml/2006/picture">
                <pic:pic>
                  <pic:nvPicPr>
                    <pic:cNvPr id="2621" name="Image 2621"/>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Process</w:t>
      </w:r>
    </w:p>
    <w:p>
      <w:pPr>
        <w:spacing w:after="0" w:line="266" w:lineRule="auto"/>
        <w:sectPr>
          <w:pgSz w:w="12240" w:h="15840"/>
          <w:pgMar w:header="0" w:footer="736" w:top="1180" w:bottom="920" w:left="1000" w:right="106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369"/>
        <w:rPr>
          <w:sz w:val="28"/>
        </w:rPr>
      </w:pPr>
    </w:p>
    <w:p>
      <w:pPr>
        <w:pStyle w:val="Heading3"/>
        <w:spacing w:before="0"/>
      </w:pPr>
      <w:r>
        <w:rPr/>
        <mc:AlternateContent>
          <mc:Choice Requires="wps">
            <w:drawing>
              <wp:anchor distT="0" distB="0" distL="0" distR="0" allowOverlap="1" layoutInCell="1" locked="0" behindDoc="0" simplePos="0" relativeHeight="15873536">
                <wp:simplePos x="0" y="0"/>
                <wp:positionH relativeFrom="page">
                  <wp:posOffset>912380</wp:posOffset>
                </wp:positionH>
                <wp:positionV relativeFrom="paragraph">
                  <wp:posOffset>-20050</wp:posOffset>
                </wp:positionV>
                <wp:extent cx="6082665" cy="1270"/>
                <wp:effectExtent l="0" t="0" r="0" b="0"/>
                <wp:wrapNone/>
                <wp:docPr id="2622" name="Graphic 2622"/>
                <wp:cNvGraphicFramePr>
                  <a:graphicFrameLocks/>
                </wp:cNvGraphicFramePr>
                <a:graphic>
                  <a:graphicData uri="http://schemas.microsoft.com/office/word/2010/wordprocessingShape">
                    <wps:wsp>
                      <wps:cNvPr id="2622" name="Graphic 2622"/>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3536" from="71.841003pt,-1.578749pt" to="550.783003pt,-1.578749pt" stroked="true" strokeweight=".499pt" strokecolor="#231f20">
                <v:stroke dashstyle="solid"/>
                <w10:wrap type="none"/>
              </v:line>
            </w:pict>
          </mc:Fallback>
        </mc:AlternateContent>
      </w:r>
      <w:bookmarkStart w:name="Situation examples" w:id="486"/>
      <w:bookmarkEnd w:id="486"/>
      <w:r>
        <w:rPr>
          <w:b w:val="0"/>
        </w:rPr>
      </w:r>
      <w:r>
        <w:rPr>
          <w:color w:val="231F20"/>
        </w:rPr>
        <w:t>Situation</w:t>
      </w:r>
      <w:r>
        <w:rPr>
          <w:color w:val="231F20"/>
          <w:spacing w:val="3"/>
        </w:rPr>
        <w:t> </w:t>
      </w:r>
      <w:r>
        <w:rPr>
          <w:color w:val="231F20"/>
          <w:spacing w:val="-2"/>
        </w:rPr>
        <w:t>examples</w:t>
      </w:r>
    </w:p>
    <w:p>
      <w:pPr>
        <w:pStyle w:val="BodyText"/>
        <w:spacing w:line="269" w:lineRule="exact"/>
        <w:ind w:left="436"/>
      </w:pPr>
      <w:r>
        <w:rPr/>
        <w:br w:type="column"/>
      </w:r>
      <w:r>
        <w:rPr>
          <w:position w:val="-1"/>
        </w:rPr>
        <w:drawing>
          <wp:inline distT="0" distB="0" distL="0" distR="0">
            <wp:extent cx="101599" cy="95250"/>
            <wp:effectExtent l="0" t="0" r="0" b="0"/>
            <wp:docPr id="2623" name="Image 2623"/>
            <wp:cNvGraphicFramePr>
              <a:graphicFrameLocks/>
            </wp:cNvGraphicFramePr>
            <a:graphic>
              <a:graphicData uri="http://schemas.openxmlformats.org/drawingml/2006/picture">
                <pic:pic>
                  <pic:nvPicPr>
                    <pic:cNvPr id="2623" name="Image 2623"/>
                    <pic:cNvPicPr/>
                  </pic:nvPicPr>
                  <pic:blipFill>
                    <a:blip r:embed="rId90" cstate="print"/>
                    <a:stretch>
                      <a:fillRect/>
                    </a:stretch>
                  </pic:blipFill>
                  <pic:spPr>
                    <a:xfrm>
                      <a:off x="0" y="0"/>
                      <a:ext cx="101599" cy="95250"/>
                    </a:xfrm>
                    <a:prstGeom prst="rect">
                      <a:avLst/>
                    </a:prstGeom>
                  </pic:spPr>
                </pic:pic>
              </a:graphicData>
            </a:graphic>
          </wp:inline>
        </w:drawing>
      </w:r>
      <w:r>
        <w:rPr>
          <w:position w:val="-1"/>
        </w:rPr>
      </w:r>
      <w:r>
        <w:rPr>
          <w:rFonts w:ascii="Times New Roman"/>
          <w:spacing w:val="40"/>
        </w:rPr>
        <w:t> </w:t>
      </w:r>
      <w:r>
        <w:rPr>
          <w:color w:val="231F20"/>
        </w:rPr>
        <w:t>Carol</w:t>
      </w:r>
    </w:p>
    <w:p>
      <w:pPr>
        <w:pStyle w:val="BodyText"/>
        <w:spacing w:line="266" w:lineRule="auto" w:before="29"/>
        <w:ind w:left="1012" w:right="4295" w:hanging="266"/>
      </w:pPr>
      <w:r>
        <w:rPr>
          <w:position w:val="-1"/>
        </w:rPr>
        <w:drawing>
          <wp:inline distT="0" distB="0" distL="0" distR="0">
            <wp:extent cx="95250" cy="95250"/>
            <wp:effectExtent l="0" t="0" r="0" b="0"/>
            <wp:docPr id="2624" name="Image 2624"/>
            <wp:cNvGraphicFramePr>
              <a:graphicFrameLocks/>
            </wp:cNvGraphicFramePr>
            <a:graphic>
              <a:graphicData uri="http://schemas.openxmlformats.org/drawingml/2006/picture">
                <pic:pic>
                  <pic:nvPicPr>
                    <pic:cNvPr id="2624" name="Image 2624"/>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3"/>
        </w:rPr>
        <w:t> </w:t>
      </w:r>
      <w:r>
        <w:rPr>
          <w:color w:val="231F20"/>
        </w:rPr>
        <w:t>OS </w:t>
      </w:r>
      <w:r>
        <w:rPr>
          <w:color w:val="231F20"/>
          <w:position w:val="-1"/>
        </w:rPr>
        <w:drawing>
          <wp:inline distT="0" distB="0" distL="0" distR="0">
            <wp:extent cx="88900" cy="101600"/>
            <wp:effectExtent l="0" t="0" r="0" b="0"/>
            <wp:docPr id="2625" name="Image 2625"/>
            <wp:cNvGraphicFramePr>
              <a:graphicFrameLocks/>
            </wp:cNvGraphicFramePr>
            <a:graphic>
              <a:graphicData uri="http://schemas.openxmlformats.org/drawingml/2006/picture">
                <pic:pic>
                  <pic:nvPicPr>
                    <pic:cNvPr id="2625" name="Image 2625"/>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Disk</w:t>
      </w:r>
    </w:p>
    <w:p>
      <w:pPr>
        <w:pStyle w:val="BodyText"/>
        <w:spacing w:line="266" w:lineRule="auto"/>
        <w:ind w:left="1012" w:right="3512"/>
      </w:pPr>
      <w:r>
        <w:rPr>
          <w:position w:val="-1"/>
        </w:rPr>
        <w:drawing>
          <wp:inline distT="0" distB="0" distL="0" distR="0">
            <wp:extent cx="88900" cy="101600"/>
            <wp:effectExtent l="0" t="0" r="0" b="0"/>
            <wp:docPr id="2626" name="Image 2626"/>
            <wp:cNvGraphicFramePr>
              <a:graphicFrameLocks/>
            </wp:cNvGraphicFramePr>
            <a:graphic>
              <a:graphicData uri="http://schemas.openxmlformats.org/drawingml/2006/picture">
                <pic:pic>
                  <pic:nvPicPr>
                    <pic:cNvPr id="2626" name="Image 2626"/>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40"/>
        </w:rPr>
        <w:t> </w:t>
      </w:r>
      <w:r>
        <w:rPr>
          <w:color w:val="231F20"/>
        </w:rPr>
        <w:t>Enterprise </w:t>
      </w:r>
      <w:r>
        <w:rPr>
          <w:color w:val="231F20"/>
        </w:rPr>
        <w:t>Services </w:t>
      </w:r>
      <w:r>
        <w:rPr>
          <w:color w:val="231F20"/>
          <w:position w:val="-1"/>
        </w:rPr>
        <w:drawing>
          <wp:inline distT="0" distB="0" distL="0" distR="0">
            <wp:extent cx="88900" cy="101600"/>
            <wp:effectExtent l="0" t="0" r="0" b="0"/>
            <wp:docPr id="2627" name="Image 2627"/>
            <wp:cNvGraphicFramePr>
              <a:graphicFrameLocks/>
            </wp:cNvGraphicFramePr>
            <a:graphic>
              <a:graphicData uri="http://schemas.openxmlformats.org/drawingml/2006/picture">
                <pic:pic>
                  <pic:nvPicPr>
                    <pic:cNvPr id="2627" name="Image 2627"/>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Memory</w:t>
      </w:r>
    </w:p>
    <w:p>
      <w:pPr>
        <w:pStyle w:val="BodyText"/>
        <w:spacing w:line="266" w:lineRule="auto"/>
        <w:ind w:left="1012" w:right="4509"/>
      </w:pPr>
      <w:r>
        <w:rPr>
          <w:position w:val="-1"/>
        </w:rPr>
        <w:drawing>
          <wp:inline distT="0" distB="0" distL="0" distR="0">
            <wp:extent cx="88900" cy="101600"/>
            <wp:effectExtent l="0" t="0" r="0" b="0"/>
            <wp:docPr id="2628" name="Image 2628"/>
            <wp:cNvGraphicFramePr>
              <a:graphicFrameLocks/>
            </wp:cNvGraphicFramePr>
            <a:graphic>
              <a:graphicData uri="http://schemas.openxmlformats.org/drawingml/2006/picture">
                <pic:pic>
                  <pic:nvPicPr>
                    <pic:cNvPr id="2628" name="Image 2628"/>
                    <pic:cNvPicPr/>
                  </pic:nvPicPr>
                  <pic:blipFill>
                    <a:blip r:embed="rId83" cstate="print"/>
                    <a:stretch>
                      <a:fillRect/>
                    </a:stretch>
                  </pic:blipFill>
                  <pic:spPr>
                    <a:xfrm>
                      <a:off x="0" y="0"/>
                      <a:ext cx="88900" cy="101600"/>
                    </a:xfrm>
                    <a:prstGeom prst="rect">
                      <a:avLst/>
                    </a:prstGeom>
                  </pic:spPr>
                </pic:pic>
              </a:graphicData>
            </a:graphic>
          </wp:inline>
        </w:drawing>
      </w:r>
      <w:r>
        <w:rPr>
          <w:position w:val="-1"/>
        </w:rPr>
      </w:r>
      <w:r>
        <w:rPr>
          <w:rFonts w:ascii="Times New Roman"/>
          <w:spacing w:val="36"/>
        </w:rPr>
        <w:t> </w:t>
      </w:r>
      <w:r>
        <w:rPr>
          <w:color w:val="231F20"/>
        </w:rPr>
        <w:t>Network </w:t>
      </w:r>
      <w:r>
        <w:rPr>
          <w:color w:val="231F20"/>
          <w:position w:val="-1"/>
        </w:rPr>
        <w:drawing>
          <wp:inline distT="0" distB="0" distL="0" distR="0">
            <wp:extent cx="88900" cy="101600"/>
            <wp:effectExtent l="0" t="0" r="0" b="0"/>
            <wp:docPr id="2629" name="Image 2629"/>
            <wp:cNvGraphicFramePr>
              <a:graphicFrameLocks/>
            </wp:cNvGraphicFramePr>
            <a:graphic>
              <a:graphicData uri="http://schemas.openxmlformats.org/drawingml/2006/picture">
                <pic:pic>
                  <pic:nvPicPr>
                    <pic:cNvPr id="2629" name="Image 2629"/>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Printer</w:t>
      </w:r>
      <w:r>
        <w:rPr>
          <w:color w:val="231F20"/>
          <w:spacing w:val="80"/>
        </w:rPr>
        <w:t> </w:t>
      </w:r>
      <w:r>
        <w:rPr>
          <w:color w:val="231F20"/>
          <w:position w:val="-1"/>
        </w:rPr>
        <w:drawing>
          <wp:inline distT="0" distB="0" distL="0" distR="0">
            <wp:extent cx="88900" cy="101600"/>
            <wp:effectExtent l="0" t="0" r="0" b="0"/>
            <wp:docPr id="2630" name="Image 2630"/>
            <wp:cNvGraphicFramePr>
              <a:graphicFrameLocks/>
            </wp:cNvGraphicFramePr>
            <a:graphic>
              <a:graphicData uri="http://schemas.openxmlformats.org/drawingml/2006/picture">
                <pic:pic>
                  <pic:nvPicPr>
                    <pic:cNvPr id="2630" name="Image 2630"/>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Process</w:t>
      </w:r>
    </w:p>
    <w:p>
      <w:pPr>
        <w:spacing w:after="0" w:line="266" w:lineRule="auto"/>
        <w:sectPr>
          <w:type w:val="continuous"/>
          <w:pgSz w:w="12240" w:h="15840"/>
          <w:pgMar w:header="0" w:footer="736" w:top="0" w:bottom="4660" w:left="1000" w:right="1060"/>
          <w:cols w:num="2" w:equalWidth="0">
            <w:col w:w="3039" w:space="580"/>
            <w:col w:w="6561"/>
          </w:cols>
        </w:sectPr>
      </w:pPr>
    </w:p>
    <w:p>
      <w:pPr>
        <w:pStyle w:val="BodyText"/>
        <w:spacing w:line="213" w:lineRule="auto" w:before="138"/>
        <w:ind w:left="2472"/>
      </w:pPr>
      <w:r>
        <w:rPr>
          <w:color w:val="231F20"/>
        </w:rPr>
        <w:t>Review the situation definition examples to better understand the different types </w:t>
      </w:r>
      <w:r>
        <w:rPr>
          <w:color w:val="231F20"/>
        </w:rPr>
        <w:t>of situations you can create.</w:t>
      </w:r>
    </w:p>
    <w:p>
      <w:pPr>
        <w:pStyle w:val="Heading4"/>
        <w:ind w:left="2472"/>
      </w:pPr>
      <w:r>
        <w:rPr>
          <w:color w:val="231F20"/>
        </w:rPr>
        <w:t>Display</w:t>
      </w:r>
      <w:r>
        <w:rPr>
          <w:color w:val="231F20"/>
          <w:spacing w:val="6"/>
        </w:rPr>
        <w:t> </w:t>
      </w:r>
      <w:r>
        <w:rPr>
          <w:color w:val="231F20"/>
        </w:rPr>
        <w:t>item</w:t>
      </w:r>
      <w:r>
        <w:rPr>
          <w:color w:val="231F20"/>
          <w:spacing w:val="6"/>
        </w:rPr>
        <w:t> </w:t>
      </w:r>
      <w:r>
        <w:rPr>
          <w:color w:val="231F20"/>
          <w:spacing w:val="-2"/>
        </w:rPr>
        <w:t>examples</w:t>
      </w:r>
    </w:p>
    <w:p>
      <w:pPr>
        <w:pStyle w:val="BodyText"/>
        <w:spacing w:line="213" w:lineRule="auto" w:before="241"/>
        <w:ind w:left="2472" w:right="385"/>
      </w:pPr>
      <w:r>
        <w:rPr>
          <w:color w:val="231F20"/>
        </w:rPr>
        <w:t>Some multiple-row attribute groups have attributes that can be designated as display items in situations. When you add a display item to the situation, it</w:t>
      </w:r>
      <w:r>
        <w:rPr>
          <w:color w:val="231F20"/>
          <w:spacing w:val="40"/>
        </w:rPr>
        <w:t> </w:t>
      </w:r>
      <w:r>
        <w:rPr>
          <w:color w:val="231F20"/>
        </w:rPr>
        <w:t>behaves a little differently. Like any other situation, it opens an event when its condition is true. But unlike other situations, it can become true again for </w:t>
      </w:r>
      <w:r>
        <w:rPr>
          <w:color w:val="231F20"/>
        </w:rPr>
        <w:t>another row in the data sampling if the condition is true.</w:t>
      </w:r>
    </w:p>
    <w:p>
      <w:pPr>
        <w:pStyle w:val="Heading6"/>
        <w:spacing w:line="240" w:lineRule="auto" w:before="115"/>
      </w:pPr>
      <w:r>
        <w:rPr>
          <w:color w:val="231F20"/>
        </w:rPr>
        <w:t>Processes</w:t>
      </w:r>
      <w:r>
        <w:rPr>
          <w:color w:val="231F20"/>
          <w:spacing w:val="7"/>
        </w:rPr>
        <w:t> </w:t>
      </w:r>
      <w:r>
        <w:rPr>
          <w:color w:val="231F20"/>
          <w:spacing w:val="-2"/>
        </w:rPr>
        <w:t>situation</w:t>
      </w:r>
    </w:p>
    <w:p>
      <w:pPr>
        <w:pStyle w:val="BodyText"/>
        <w:spacing w:line="213" w:lineRule="auto" w:before="119"/>
        <w:ind w:left="3190" w:right="202"/>
      </w:pPr>
      <w:r>
        <w:rPr>
          <w:color w:val="231F20"/>
        </w:rPr>
        <w:t>To</w:t>
      </w:r>
      <w:r>
        <w:rPr>
          <w:color w:val="231F20"/>
          <w:spacing w:val="18"/>
        </w:rPr>
        <w:t> </w:t>
      </w:r>
      <w:r>
        <w:rPr>
          <w:color w:val="231F20"/>
        </w:rPr>
        <w:t>illustrate,</w:t>
      </w:r>
      <w:r>
        <w:rPr>
          <w:color w:val="231F20"/>
          <w:spacing w:val="18"/>
        </w:rPr>
        <w:t> </w:t>
      </w:r>
      <w:r>
        <w:rPr>
          <w:color w:val="231F20"/>
        </w:rPr>
        <w:t>consider</w:t>
      </w:r>
      <w:r>
        <w:rPr>
          <w:color w:val="231F20"/>
          <w:spacing w:val="18"/>
        </w:rPr>
        <w:t> </w:t>
      </w:r>
      <w:r>
        <w:rPr>
          <w:color w:val="231F20"/>
        </w:rPr>
        <w:t>a</w:t>
      </w:r>
      <w:r>
        <w:rPr>
          <w:color w:val="231F20"/>
          <w:spacing w:val="18"/>
        </w:rPr>
        <w:t> </w:t>
      </w:r>
      <w:r>
        <w:rPr>
          <w:color w:val="231F20"/>
        </w:rPr>
        <w:t>situation</w:t>
      </w:r>
      <w:r>
        <w:rPr>
          <w:color w:val="231F20"/>
          <w:spacing w:val="18"/>
        </w:rPr>
        <w:t> </w:t>
      </w:r>
      <w:r>
        <w:rPr>
          <w:color w:val="231F20"/>
        </w:rPr>
        <w:t>that</w:t>
      </w:r>
      <w:r>
        <w:rPr>
          <w:color w:val="231F20"/>
          <w:spacing w:val="18"/>
        </w:rPr>
        <w:t> </w:t>
      </w:r>
      <w:r>
        <w:rPr>
          <w:color w:val="231F20"/>
        </w:rPr>
        <w:t>looks</w:t>
      </w:r>
      <w:r>
        <w:rPr>
          <w:color w:val="231F20"/>
          <w:spacing w:val="18"/>
        </w:rPr>
        <w:t> </w:t>
      </w:r>
      <w:r>
        <w:rPr>
          <w:color w:val="231F20"/>
        </w:rPr>
        <w:t>for</w:t>
      </w:r>
      <w:r>
        <w:rPr>
          <w:color w:val="231F20"/>
          <w:spacing w:val="18"/>
        </w:rPr>
        <w:t> </w:t>
      </w:r>
      <w:r>
        <w:rPr>
          <w:color w:val="231F20"/>
        </w:rPr>
        <w:t>any</w:t>
      </w:r>
      <w:r>
        <w:rPr>
          <w:color w:val="231F20"/>
          <w:spacing w:val="18"/>
        </w:rPr>
        <w:t> </w:t>
      </w:r>
      <w:r>
        <w:rPr>
          <w:color w:val="231F20"/>
        </w:rPr>
        <w:t>Windows</w:t>
      </w:r>
      <w:r>
        <w:rPr>
          <w:color w:val="231F20"/>
          <w:spacing w:val="18"/>
        </w:rPr>
        <w:t> </w:t>
      </w:r>
      <w:r>
        <w:rPr>
          <w:color w:val="231F20"/>
        </w:rPr>
        <w:t>process</w:t>
      </w:r>
      <w:r>
        <w:rPr>
          <w:color w:val="231F20"/>
          <w:spacing w:val="18"/>
        </w:rPr>
        <w:t> </w:t>
      </w:r>
      <w:r>
        <w:rPr>
          <w:color w:val="231F20"/>
        </w:rPr>
        <w:t>that is</w:t>
      </w:r>
      <w:r>
        <w:rPr>
          <w:color w:val="231F20"/>
          <w:spacing w:val="30"/>
        </w:rPr>
        <w:t> </w:t>
      </w:r>
      <w:r>
        <w:rPr>
          <w:color w:val="231F20"/>
        </w:rPr>
        <w:t>consuming</w:t>
      </w:r>
      <w:r>
        <w:rPr>
          <w:color w:val="231F20"/>
          <w:spacing w:val="30"/>
        </w:rPr>
        <w:t> </w:t>
      </w:r>
      <w:r>
        <w:rPr>
          <w:color w:val="231F20"/>
        </w:rPr>
        <w:t>over</w:t>
      </w:r>
      <w:r>
        <w:rPr>
          <w:color w:val="231F20"/>
          <w:spacing w:val="30"/>
        </w:rPr>
        <w:t> </w:t>
      </w:r>
      <w:r>
        <w:rPr>
          <w:color w:val="231F20"/>
        </w:rPr>
        <w:t>5%</w:t>
      </w:r>
      <w:r>
        <w:rPr>
          <w:color w:val="231F20"/>
          <w:spacing w:val="30"/>
        </w:rPr>
        <w:t> </w:t>
      </w:r>
      <w:r>
        <w:rPr>
          <w:color w:val="231F20"/>
        </w:rPr>
        <w:t>of</w:t>
      </w:r>
      <w:r>
        <w:rPr>
          <w:color w:val="231F20"/>
          <w:spacing w:val="30"/>
        </w:rPr>
        <w:t> </w:t>
      </w:r>
      <w:r>
        <w:rPr>
          <w:color w:val="231F20"/>
        </w:rPr>
        <w:t>processor</w:t>
      </w:r>
      <w:r>
        <w:rPr>
          <w:color w:val="231F20"/>
          <w:spacing w:val="30"/>
        </w:rPr>
        <w:t> </w:t>
      </w:r>
      <w:r>
        <w:rPr>
          <w:color w:val="231F20"/>
        </w:rPr>
        <w:t>time</w:t>
      </w:r>
      <w:r>
        <w:rPr>
          <w:color w:val="231F20"/>
          <w:spacing w:val="30"/>
        </w:rPr>
        <w:t> </w:t>
      </w:r>
      <w:r>
        <w:rPr>
          <w:color w:val="231F20"/>
        </w:rPr>
        <w:t>and</w:t>
      </w:r>
      <w:r>
        <w:rPr>
          <w:color w:val="231F20"/>
          <w:spacing w:val="30"/>
        </w:rPr>
        <w:t> </w:t>
      </w:r>
      <w:r>
        <w:rPr>
          <w:color w:val="231F20"/>
        </w:rPr>
        <w:t>with</w:t>
      </w:r>
      <w:r>
        <w:rPr>
          <w:color w:val="231F20"/>
          <w:spacing w:val="30"/>
        </w:rPr>
        <w:t> </w:t>
      </w:r>
      <w:r>
        <w:rPr>
          <w:color w:val="231F20"/>
        </w:rPr>
        <w:t>Process</w:t>
      </w:r>
      <w:r>
        <w:rPr>
          <w:color w:val="231F20"/>
          <w:spacing w:val="30"/>
        </w:rPr>
        <w:t> </w:t>
      </w:r>
      <w:r>
        <w:rPr>
          <w:color w:val="231F20"/>
        </w:rPr>
        <w:t>Name designated as the display item. As it is displayed in the Formula tab of </w:t>
      </w:r>
      <w:r>
        <w:rPr>
          <w:color w:val="231F20"/>
        </w:rPr>
        <w:t>the Situation editor:</w:t>
      </w:r>
    </w:p>
    <w:p>
      <w:pPr>
        <w:spacing w:after="0" w:line="213" w:lineRule="auto"/>
        <w:sectPr>
          <w:type w:val="continuous"/>
          <w:pgSz w:w="12240" w:h="15840"/>
          <w:pgMar w:header="0" w:footer="736" w:top="0" w:bottom="4660" w:left="1000" w:right="1060"/>
        </w:sectPr>
      </w:pPr>
    </w:p>
    <w:tbl>
      <w:tblPr>
        <w:tblW w:w="0" w:type="auto"/>
        <w:jc w:val="left"/>
        <w:tblInd w:w="29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98"/>
        <w:gridCol w:w="5417"/>
      </w:tblGrid>
      <w:tr>
        <w:trPr>
          <w:trHeight w:val="274" w:hRule="atLeast"/>
        </w:trPr>
        <w:tc>
          <w:tcPr>
            <w:tcW w:w="1398" w:type="dxa"/>
          </w:tcPr>
          <w:p>
            <w:pPr>
              <w:pStyle w:val="TableParagraph"/>
              <w:spacing w:before="0"/>
              <w:ind w:left="0"/>
              <w:rPr>
                <w:rFonts w:ascii="Times New Roman"/>
                <w:sz w:val="18"/>
              </w:rPr>
            </w:pPr>
          </w:p>
        </w:tc>
        <w:tc>
          <w:tcPr>
            <w:tcW w:w="5417" w:type="dxa"/>
          </w:tcPr>
          <w:p>
            <w:pPr>
              <w:pStyle w:val="TableParagraph"/>
              <w:spacing w:before="10"/>
              <w:ind w:left="25"/>
              <w:jc w:val="center"/>
              <w:rPr>
                <w:rFonts w:ascii="Book Antiqua"/>
                <w:b/>
                <w:sz w:val="18"/>
              </w:rPr>
            </w:pPr>
            <w:r>
              <w:rPr>
                <w:rFonts w:ascii="Book Antiqua"/>
                <w:b/>
                <w:color w:val="231F20"/>
                <w:sz w:val="18"/>
              </w:rPr>
              <w:t>%</w:t>
            </w:r>
            <w:r>
              <w:rPr>
                <w:rFonts w:ascii="Book Antiqua"/>
                <w:b/>
                <w:color w:val="231F20"/>
                <w:spacing w:val="9"/>
                <w:sz w:val="18"/>
              </w:rPr>
              <w:t> </w:t>
            </w:r>
            <w:r>
              <w:rPr>
                <w:rFonts w:ascii="Book Antiqua"/>
                <w:b/>
                <w:color w:val="231F20"/>
                <w:sz w:val="18"/>
              </w:rPr>
              <w:t>Processor</w:t>
            </w:r>
            <w:r>
              <w:rPr>
                <w:rFonts w:ascii="Book Antiqua"/>
                <w:b/>
                <w:color w:val="231F20"/>
                <w:spacing w:val="9"/>
                <w:sz w:val="18"/>
              </w:rPr>
              <w:t> </w:t>
            </w:r>
            <w:r>
              <w:rPr>
                <w:rFonts w:ascii="Book Antiqua"/>
                <w:b/>
                <w:color w:val="231F20"/>
                <w:spacing w:val="-4"/>
                <w:sz w:val="18"/>
              </w:rPr>
              <w:t>Time</w:t>
            </w:r>
          </w:p>
        </w:tc>
      </w:tr>
      <w:tr>
        <w:trPr>
          <w:trHeight w:val="314" w:hRule="atLeast"/>
        </w:trPr>
        <w:tc>
          <w:tcPr>
            <w:tcW w:w="1398" w:type="dxa"/>
          </w:tcPr>
          <w:p>
            <w:pPr>
              <w:pStyle w:val="TableParagraph"/>
              <w:ind w:left="44"/>
              <w:rPr>
                <w:sz w:val="18"/>
              </w:rPr>
            </w:pPr>
            <w:r>
              <w:rPr>
                <w:color w:val="231F20"/>
                <w:spacing w:val="-10"/>
                <w:sz w:val="18"/>
              </w:rPr>
              <w:t>1</w:t>
            </w:r>
          </w:p>
        </w:tc>
        <w:tc>
          <w:tcPr>
            <w:tcW w:w="5417" w:type="dxa"/>
          </w:tcPr>
          <w:p>
            <w:pPr>
              <w:pStyle w:val="TableParagraph"/>
              <w:rPr>
                <w:sz w:val="18"/>
              </w:rPr>
            </w:pPr>
            <w:r>
              <w:rPr>
                <w:color w:val="231F20"/>
                <w:w w:val="110"/>
                <w:sz w:val="18"/>
              </w:rPr>
              <w:t>&gt;</w:t>
            </w:r>
            <w:r>
              <w:rPr>
                <w:color w:val="231F20"/>
                <w:spacing w:val="18"/>
                <w:w w:val="110"/>
                <w:sz w:val="18"/>
              </w:rPr>
              <w:t> </w:t>
            </w:r>
            <w:r>
              <w:rPr>
                <w:color w:val="231F20"/>
                <w:spacing w:val="-5"/>
                <w:w w:val="110"/>
                <w:sz w:val="18"/>
              </w:rPr>
              <w:t>%5</w:t>
            </w:r>
          </w:p>
        </w:tc>
      </w:tr>
    </w:tbl>
    <w:p>
      <w:pPr>
        <w:pStyle w:val="BodyText"/>
        <w:spacing w:before="147"/>
        <w:ind w:left="2951"/>
      </w:pPr>
      <w:r>
        <w:rPr>
          <w:color w:val="231F20"/>
        </w:rPr>
        <w:t>and</w:t>
      </w:r>
      <w:r>
        <w:rPr>
          <w:color w:val="231F20"/>
          <w:spacing w:val="12"/>
        </w:rPr>
        <w:t> </w:t>
      </w:r>
      <w:r>
        <w:rPr>
          <w:color w:val="231F20"/>
        </w:rPr>
        <w:t>in</w:t>
      </w:r>
      <w:r>
        <w:rPr>
          <w:color w:val="231F20"/>
          <w:spacing w:val="13"/>
        </w:rPr>
        <w:t> </w:t>
      </w:r>
      <w:r>
        <w:rPr>
          <w:color w:val="231F20"/>
        </w:rPr>
        <w:t>Show</w:t>
      </w:r>
      <w:r>
        <w:rPr>
          <w:color w:val="231F20"/>
          <w:spacing w:val="12"/>
        </w:rPr>
        <w:t> </w:t>
      </w:r>
      <w:r>
        <w:rPr>
          <w:color w:val="231F20"/>
          <w:spacing w:val="-2"/>
        </w:rPr>
        <w:t>Formula</w:t>
      </w:r>
    </w:p>
    <w:p>
      <w:pPr>
        <w:spacing w:before="50"/>
        <w:ind w:left="2951" w:right="0" w:firstLine="0"/>
        <w:jc w:val="left"/>
        <w:rPr>
          <w:rFonts w:ascii="Arial"/>
          <w:sz w:val="18"/>
        </w:rPr>
      </w:pPr>
      <w:r>
        <w:rPr>
          <w:rFonts w:ascii="Arial"/>
          <w:color w:val="231F20"/>
          <w:sz w:val="18"/>
        </w:rPr>
        <w:t>(%</w:t>
      </w:r>
      <w:r>
        <w:rPr>
          <w:rFonts w:ascii="Arial"/>
          <w:color w:val="231F20"/>
          <w:spacing w:val="29"/>
          <w:sz w:val="18"/>
        </w:rPr>
        <w:t> </w:t>
      </w:r>
      <w:r>
        <w:rPr>
          <w:rFonts w:ascii="Arial"/>
          <w:color w:val="231F20"/>
          <w:sz w:val="18"/>
        </w:rPr>
        <w:t>Processor</w:t>
      </w:r>
      <w:r>
        <w:rPr>
          <w:rFonts w:ascii="Arial"/>
          <w:color w:val="231F20"/>
          <w:spacing w:val="30"/>
          <w:sz w:val="18"/>
        </w:rPr>
        <w:t> </w:t>
      </w:r>
      <w:r>
        <w:rPr>
          <w:rFonts w:ascii="Arial"/>
          <w:color w:val="231F20"/>
          <w:sz w:val="18"/>
        </w:rPr>
        <w:t>Time</w:t>
      </w:r>
      <w:r>
        <w:rPr>
          <w:rFonts w:ascii="Arial"/>
          <w:color w:val="231F20"/>
          <w:spacing w:val="30"/>
          <w:sz w:val="18"/>
        </w:rPr>
        <w:t> </w:t>
      </w:r>
      <w:r>
        <w:rPr>
          <w:rFonts w:ascii="Arial"/>
          <w:color w:val="231F20"/>
          <w:sz w:val="18"/>
        </w:rPr>
        <w:t>&gt;</w:t>
      </w:r>
      <w:r>
        <w:rPr>
          <w:rFonts w:ascii="Arial"/>
          <w:color w:val="231F20"/>
          <w:spacing w:val="29"/>
          <w:sz w:val="18"/>
        </w:rPr>
        <w:t> </w:t>
      </w:r>
      <w:r>
        <w:rPr>
          <w:rFonts w:ascii="Arial"/>
          <w:color w:val="231F20"/>
          <w:sz w:val="18"/>
        </w:rPr>
        <w:t>5)</w:t>
      </w:r>
      <w:r>
        <w:rPr>
          <w:rFonts w:ascii="Arial"/>
          <w:color w:val="231F20"/>
          <w:spacing w:val="30"/>
          <w:sz w:val="18"/>
        </w:rPr>
        <w:t> </w:t>
      </w:r>
      <w:r>
        <w:rPr>
          <w:rFonts w:ascii="Arial"/>
          <w:color w:val="231F20"/>
          <w:sz w:val="18"/>
        </w:rPr>
        <w:t>Display</w:t>
      </w:r>
      <w:r>
        <w:rPr>
          <w:rFonts w:ascii="Arial"/>
          <w:color w:val="231F20"/>
          <w:spacing w:val="30"/>
          <w:sz w:val="18"/>
        </w:rPr>
        <w:t> </w:t>
      </w:r>
      <w:r>
        <w:rPr>
          <w:rFonts w:ascii="Arial"/>
          <w:color w:val="231F20"/>
          <w:spacing w:val="-2"/>
          <w:sz w:val="18"/>
        </w:rPr>
        <w:t>Item:NT_Process.Process_Name</w:t>
      </w:r>
    </w:p>
    <w:p>
      <w:pPr>
        <w:pStyle w:val="BodyText"/>
        <w:spacing w:before="42"/>
        <w:rPr>
          <w:rFonts w:ascii="Arial"/>
          <w:sz w:val="18"/>
        </w:rPr>
      </w:pPr>
    </w:p>
    <w:p>
      <w:pPr>
        <w:pStyle w:val="BodyText"/>
        <w:spacing w:line="213" w:lineRule="auto"/>
        <w:ind w:left="2951" w:right="385"/>
      </w:pPr>
      <w:r>
        <w:rPr>
          <w:color w:val="231F20"/>
        </w:rPr>
        <w:t>After</w:t>
      </w:r>
      <w:r>
        <w:rPr>
          <w:color w:val="231F20"/>
          <w:spacing w:val="29"/>
        </w:rPr>
        <w:t> </w:t>
      </w:r>
      <w:r>
        <w:rPr>
          <w:color w:val="231F20"/>
        </w:rPr>
        <w:t>starting</w:t>
      </w:r>
      <w:r>
        <w:rPr>
          <w:color w:val="231F20"/>
          <w:spacing w:val="29"/>
        </w:rPr>
        <w:t> </w:t>
      </w:r>
      <w:r>
        <w:rPr>
          <w:color w:val="231F20"/>
        </w:rPr>
        <w:t>the</w:t>
      </w:r>
      <w:r>
        <w:rPr>
          <w:color w:val="231F20"/>
          <w:spacing w:val="29"/>
        </w:rPr>
        <w:t> </w:t>
      </w:r>
      <w:r>
        <w:rPr>
          <w:color w:val="231F20"/>
        </w:rPr>
        <w:t>situation</w:t>
      </w:r>
      <w:r>
        <w:rPr>
          <w:color w:val="231F20"/>
          <w:spacing w:val="29"/>
        </w:rPr>
        <w:t> </w:t>
      </w:r>
      <w:r>
        <w:rPr>
          <w:color w:val="231F20"/>
        </w:rPr>
        <w:t>on</w:t>
      </w:r>
      <w:r>
        <w:rPr>
          <w:color w:val="231F20"/>
          <w:spacing w:val="29"/>
        </w:rPr>
        <w:t> </w:t>
      </w:r>
      <w:r>
        <w:rPr>
          <w:color w:val="231F20"/>
        </w:rPr>
        <w:t>MYSYSTEM,</w:t>
      </w:r>
      <w:r>
        <w:rPr>
          <w:color w:val="231F20"/>
          <w:spacing w:val="29"/>
        </w:rPr>
        <w:t> </w:t>
      </w:r>
      <w:r>
        <w:rPr>
          <w:color w:val="231F20"/>
        </w:rPr>
        <w:t>we</w:t>
      </w:r>
      <w:r>
        <w:rPr>
          <w:color w:val="231F20"/>
          <w:spacing w:val="29"/>
        </w:rPr>
        <w:t> </w:t>
      </w:r>
      <w:r>
        <w:rPr>
          <w:color w:val="231F20"/>
        </w:rPr>
        <w:t>learn</w:t>
      </w:r>
      <w:r>
        <w:rPr>
          <w:color w:val="231F20"/>
          <w:spacing w:val="29"/>
        </w:rPr>
        <w:t> </w:t>
      </w:r>
      <w:r>
        <w:rPr>
          <w:color w:val="231F20"/>
        </w:rPr>
        <w:t>that</w:t>
      </w:r>
      <w:r>
        <w:rPr>
          <w:color w:val="231F20"/>
          <w:spacing w:val="29"/>
        </w:rPr>
        <w:t> </w:t>
      </w:r>
      <w:r>
        <w:rPr>
          <w:color w:val="231F20"/>
        </w:rPr>
        <w:t>three</w:t>
      </w:r>
      <w:r>
        <w:rPr>
          <w:color w:val="231F20"/>
          <w:spacing w:val="29"/>
        </w:rPr>
        <w:t> </w:t>
      </w:r>
      <w:r>
        <w:rPr>
          <w:color w:val="231F20"/>
        </w:rPr>
        <w:t>processes are consuming more than 5%. The situation becomes true for BIG, </w:t>
      </w:r>
      <w:r>
        <w:rPr>
          <w:color w:val="231F20"/>
        </w:rPr>
        <w:t>BIGGER, and BIGGEST, and three events are opened. If this situation had no display item, it would have become true for BIG, but never would have found BIGGER or BIGGEST until the first process went below 6% and the event </w:t>
      </w:r>
      <w:r>
        <w:rPr>
          <w:color w:val="231F20"/>
          <w:spacing w:val="-2"/>
        </w:rPr>
        <w:t>closed.</w:t>
      </w:r>
    </w:p>
    <w:p>
      <w:pPr>
        <w:pStyle w:val="BodyText"/>
        <w:spacing w:line="213" w:lineRule="auto" w:before="236"/>
        <w:ind w:left="2951" w:right="493"/>
      </w:pPr>
      <w:r>
        <w:rPr>
          <w:color w:val="231F20"/>
        </w:rPr>
        <w:t>If you were to look at the events in the message log view, they would look like this:</w:t>
      </w:r>
    </w:p>
    <w:p>
      <w:pPr>
        <w:pStyle w:val="BodyText"/>
        <w:spacing w:before="8"/>
        <w:rPr>
          <w:sz w:val="12"/>
        </w:rPr>
      </w:pPr>
    </w:p>
    <w:tbl>
      <w:tblPr>
        <w:tblW w:w="0" w:type="auto"/>
        <w:jc w:val="left"/>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68"/>
        <w:gridCol w:w="2153"/>
        <w:gridCol w:w="2153"/>
        <w:gridCol w:w="2311"/>
        <w:gridCol w:w="1585"/>
      </w:tblGrid>
      <w:tr>
        <w:trPr>
          <w:trHeight w:val="493" w:hRule="atLeast"/>
        </w:trPr>
        <w:tc>
          <w:tcPr>
            <w:tcW w:w="1368" w:type="dxa"/>
          </w:tcPr>
          <w:p>
            <w:pPr>
              <w:pStyle w:val="TableParagraph"/>
              <w:spacing w:before="229"/>
              <w:ind w:left="44"/>
              <w:rPr>
                <w:rFonts w:ascii="Book Antiqua"/>
                <w:b/>
                <w:sz w:val="18"/>
              </w:rPr>
            </w:pPr>
            <w:r>
              <w:rPr>
                <w:rFonts w:ascii="Book Antiqua"/>
                <w:b/>
                <w:color w:val="231F20"/>
                <w:spacing w:val="-2"/>
                <w:sz w:val="18"/>
              </w:rPr>
              <w:t>Status</w:t>
            </w:r>
          </w:p>
        </w:tc>
        <w:tc>
          <w:tcPr>
            <w:tcW w:w="2153" w:type="dxa"/>
          </w:tcPr>
          <w:p>
            <w:pPr>
              <w:pStyle w:val="TableParagraph"/>
              <w:spacing w:before="229"/>
              <w:ind w:left="423"/>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pacing w:val="-4"/>
                <w:sz w:val="18"/>
              </w:rPr>
              <w:t>Name</w:t>
            </w:r>
          </w:p>
        </w:tc>
        <w:tc>
          <w:tcPr>
            <w:tcW w:w="2153" w:type="dxa"/>
          </w:tcPr>
          <w:p>
            <w:pPr>
              <w:pStyle w:val="TableParagraph"/>
              <w:spacing w:before="229"/>
              <w:ind w:left="532"/>
              <w:rPr>
                <w:rFonts w:ascii="Book Antiqua"/>
                <w:b/>
                <w:sz w:val="18"/>
              </w:rPr>
            </w:pPr>
            <w:r>
              <w:rPr>
                <w:rFonts w:ascii="Book Antiqua"/>
                <w:b/>
                <w:color w:val="231F20"/>
                <w:sz w:val="18"/>
              </w:rPr>
              <w:t>Display</w:t>
            </w:r>
            <w:r>
              <w:rPr>
                <w:rFonts w:ascii="Book Antiqua"/>
                <w:b/>
                <w:color w:val="231F20"/>
                <w:spacing w:val="7"/>
                <w:sz w:val="18"/>
              </w:rPr>
              <w:t> </w:t>
            </w:r>
            <w:r>
              <w:rPr>
                <w:rFonts w:ascii="Book Antiqua"/>
                <w:b/>
                <w:color w:val="231F20"/>
                <w:spacing w:val="-4"/>
                <w:sz w:val="18"/>
              </w:rPr>
              <w:t>Item</w:t>
            </w:r>
          </w:p>
        </w:tc>
        <w:tc>
          <w:tcPr>
            <w:tcW w:w="2311" w:type="dxa"/>
          </w:tcPr>
          <w:p>
            <w:pPr>
              <w:pStyle w:val="TableParagraph"/>
              <w:spacing w:before="229"/>
              <w:ind w:left="625"/>
              <w:rPr>
                <w:rFonts w:ascii="Book Antiqua"/>
                <w:b/>
                <w:sz w:val="18"/>
              </w:rPr>
            </w:pPr>
            <w:r>
              <w:rPr>
                <w:rFonts w:ascii="Book Antiqua"/>
                <w:b/>
                <w:color w:val="231F20"/>
                <w:sz w:val="18"/>
              </w:rPr>
              <w:t>Origin</w:t>
            </w:r>
            <w:r>
              <w:rPr>
                <w:rFonts w:ascii="Book Antiqua"/>
                <w:b/>
                <w:color w:val="231F20"/>
                <w:spacing w:val="8"/>
                <w:sz w:val="18"/>
              </w:rPr>
              <w:t> </w:t>
            </w:r>
            <w:r>
              <w:rPr>
                <w:rFonts w:ascii="Book Antiqua"/>
                <w:b/>
                <w:color w:val="231F20"/>
                <w:spacing w:val="-4"/>
                <w:sz w:val="18"/>
              </w:rPr>
              <w:t>Node</w:t>
            </w:r>
          </w:p>
        </w:tc>
        <w:tc>
          <w:tcPr>
            <w:tcW w:w="1585" w:type="dxa"/>
          </w:tcPr>
          <w:p>
            <w:pPr>
              <w:pStyle w:val="TableParagraph"/>
              <w:spacing w:line="242" w:lineRule="auto" w:before="10"/>
              <w:ind w:left="339" w:firstLine="174"/>
              <w:rPr>
                <w:rFonts w:ascii="Book Antiqua"/>
                <w:b/>
                <w:sz w:val="18"/>
              </w:rPr>
            </w:pPr>
            <w:r>
              <w:rPr>
                <w:rFonts w:ascii="Book Antiqua"/>
                <w:b/>
                <w:color w:val="231F20"/>
                <w:spacing w:val="-2"/>
                <w:sz w:val="18"/>
              </w:rPr>
              <w:t>Global </w:t>
            </w:r>
            <w:r>
              <w:rPr>
                <w:rFonts w:ascii="Book Antiqua"/>
                <w:b/>
                <w:color w:val="231F20"/>
                <w:spacing w:val="-4"/>
                <w:sz w:val="18"/>
              </w:rPr>
              <w:t>Timestamp</w:t>
            </w:r>
          </w:p>
        </w:tc>
      </w:tr>
      <w:tr>
        <w:trPr>
          <w:trHeight w:val="528" w:hRule="atLeast"/>
        </w:trPr>
        <w:tc>
          <w:tcPr>
            <w:tcW w:w="1368" w:type="dxa"/>
          </w:tcPr>
          <w:p>
            <w:pPr>
              <w:pStyle w:val="TableParagraph"/>
              <w:ind w:left="0" w:right="411"/>
              <w:jc w:val="right"/>
              <w:rPr>
                <w:sz w:val="18"/>
              </w:rPr>
            </w:pPr>
            <w:r>
              <w:rPr>
                <w:position w:val="-3"/>
              </w:rPr>
              <w:drawing>
                <wp:inline distT="0" distB="0" distL="0" distR="0">
                  <wp:extent cx="95250" cy="95250"/>
                  <wp:effectExtent l="0" t="0" r="0" b="0"/>
                  <wp:docPr id="2631" name="Image 2631"/>
                  <wp:cNvGraphicFramePr>
                    <a:graphicFrameLocks/>
                  </wp:cNvGraphicFramePr>
                  <a:graphic>
                    <a:graphicData uri="http://schemas.openxmlformats.org/drawingml/2006/picture">
                      <pic:pic>
                        <pic:nvPicPr>
                          <pic:cNvPr id="2631" name="Image 2631"/>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Opened</w:t>
            </w:r>
          </w:p>
        </w:tc>
        <w:tc>
          <w:tcPr>
            <w:tcW w:w="2153" w:type="dxa"/>
          </w:tcPr>
          <w:p>
            <w:pPr>
              <w:pStyle w:val="TableParagraph"/>
              <w:spacing w:line="216" w:lineRule="auto" w:before="44"/>
              <w:ind w:right="55" w:hanging="1"/>
              <w:rPr>
                <w:sz w:val="18"/>
              </w:rPr>
            </w:pPr>
            <w:r>
              <w:rPr>
                <w:color w:val="231F20"/>
                <w:sz w:val="18"/>
              </w:rPr>
              <w:t>Process</w:t>
            </w:r>
            <w:r>
              <w:rPr>
                <w:color w:val="231F20"/>
                <w:spacing w:val="-3"/>
                <w:sz w:val="18"/>
              </w:rPr>
              <w:t> </w:t>
            </w:r>
            <w:r>
              <w:rPr>
                <w:color w:val="231F20"/>
                <w:sz w:val="18"/>
              </w:rPr>
              <w:t>Time</w:t>
            </w:r>
            <w:r>
              <w:rPr>
                <w:color w:val="231F20"/>
                <w:spacing w:val="-3"/>
                <w:sz w:val="18"/>
              </w:rPr>
              <w:t> </w:t>
            </w:r>
            <w:r>
              <w:rPr>
                <w:color w:val="231F20"/>
                <w:sz w:val="18"/>
              </w:rPr>
              <w:t>GT</w:t>
            </w:r>
            <w:r>
              <w:rPr>
                <w:color w:val="231F20"/>
                <w:spacing w:val="-3"/>
                <w:sz w:val="18"/>
              </w:rPr>
              <w:t> </w:t>
            </w:r>
            <w:r>
              <w:rPr>
                <w:color w:val="231F20"/>
                <w:sz w:val="18"/>
              </w:rPr>
              <w:t>5 </w:t>
            </w:r>
            <w:r>
              <w:rPr>
                <w:color w:val="231F20"/>
                <w:spacing w:val="-2"/>
                <w:sz w:val="18"/>
              </w:rPr>
              <w:t>percent</w:t>
            </w:r>
          </w:p>
        </w:tc>
        <w:tc>
          <w:tcPr>
            <w:tcW w:w="2153" w:type="dxa"/>
          </w:tcPr>
          <w:p>
            <w:pPr>
              <w:pStyle w:val="TableParagraph"/>
              <w:rPr>
                <w:sz w:val="18"/>
              </w:rPr>
            </w:pPr>
            <w:r>
              <w:rPr>
                <w:color w:val="231F20"/>
                <w:spacing w:val="-2"/>
                <w:sz w:val="18"/>
              </w:rPr>
              <w:t>Biggest</w:t>
            </w:r>
          </w:p>
        </w:tc>
        <w:tc>
          <w:tcPr>
            <w:tcW w:w="2311" w:type="dxa"/>
          </w:tcPr>
          <w:p>
            <w:pPr>
              <w:pStyle w:val="TableParagraph"/>
              <w:rPr>
                <w:sz w:val="18"/>
              </w:rPr>
            </w:pPr>
            <w:r>
              <w:rPr>
                <w:color w:val="231F20"/>
                <w:spacing w:val="-2"/>
                <w:sz w:val="18"/>
              </w:rPr>
              <w:t>Primary:SYSTEM:NT</w:t>
            </w:r>
          </w:p>
        </w:tc>
        <w:tc>
          <w:tcPr>
            <w:tcW w:w="1585" w:type="dxa"/>
          </w:tcPr>
          <w:p>
            <w:pPr>
              <w:pStyle w:val="TableParagraph"/>
              <w:ind w:left="0" w:right="20"/>
              <w:jc w:val="center"/>
              <w:rPr>
                <w:sz w:val="18"/>
              </w:rPr>
            </w:pPr>
            <w:r>
              <w:rPr>
                <w:color w:val="231F20"/>
                <w:w w:val="110"/>
                <w:sz w:val="18"/>
              </w:rPr>
              <w:t>12/15/09</w:t>
            </w:r>
            <w:r>
              <w:rPr>
                <w:color w:val="231F20"/>
                <w:spacing w:val="42"/>
                <w:w w:val="110"/>
                <w:sz w:val="18"/>
              </w:rPr>
              <w:t> </w:t>
            </w:r>
            <w:r>
              <w:rPr>
                <w:color w:val="231F20"/>
                <w:spacing w:val="-2"/>
                <w:w w:val="110"/>
                <w:sz w:val="18"/>
              </w:rPr>
              <w:t>11:10:05</w:t>
            </w:r>
          </w:p>
        </w:tc>
      </w:tr>
      <w:tr>
        <w:trPr>
          <w:trHeight w:val="528" w:hRule="atLeast"/>
        </w:trPr>
        <w:tc>
          <w:tcPr>
            <w:tcW w:w="1368" w:type="dxa"/>
          </w:tcPr>
          <w:p>
            <w:pPr>
              <w:pStyle w:val="TableParagraph"/>
              <w:ind w:left="0" w:right="411"/>
              <w:jc w:val="right"/>
              <w:rPr>
                <w:sz w:val="18"/>
              </w:rPr>
            </w:pPr>
            <w:r>
              <w:rPr>
                <w:position w:val="-3"/>
              </w:rPr>
              <w:drawing>
                <wp:inline distT="0" distB="0" distL="0" distR="0">
                  <wp:extent cx="95250" cy="95250"/>
                  <wp:effectExtent l="0" t="0" r="0" b="0"/>
                  <wp:docPr id="2632" name="Image 2632"/>
                  <wp:cNvGraphicFramePr>
                    <a:graphicFrameLocks/>
                  </wp:cNvGraphicFramePr>
                  <a:graphic>
                    <a:graphicData uri="http://schemas.openxmlformats.org/drawingml/2006/picture">
                      <pic:pic>
                        <pic:nvPicPr>
                          <pic:cNvPr id="2632" name="Image 2632"/>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Opened</w:t>
            </w:r>
          </w:p>
        </w:tc>
        <w:tc>
          <w:tcPr>
            <w:tcW w:w="2153" w:type="dxa"/>
          </w:tcPr>
          <w:p>
            <w:pPr>
              <w:pStyle w:val="TableParagraph"/>
              <w:spacing w:line="216" w:lineRule="auto" w:before="44"/>
              <w:ind w:right="55" w:hanging="1"/>
              <w:rPr>
                <w:sz w:val="18"/>
              </w:rPr>
            </w:pPr>
            <w:r>
              <w:rPr>
                <w:color w:val="231F20"/>
                <w:sz w:val="18"/>
              </w:rPr>
              <w:t>Process</w:t>
            </w:r>
            <w:r>
              <w:rPr>
                <w:color w:val="231F20"/>
                <w:spacing w:val="-3"/>
                <w:sz w:val="18"/>
              </w:rPr>
              <w:t> </w:t>
            </w:r>
            <w:r>
              <w:rPr>
                <w:color w:val="231F20"/>
                <w:sz w:val="18"/>
              </w:rPr>
              <w:t>Time</w:t>
            </w:r>
            <w:r>
              <w:rPr>
                <w:color w:val="231F20"/>
                <w:spacing w:val="-3"/>
                <w:sz w:val="18"/>
              </w:rPr>
              <w:t> </w:t>
            </w:r>
            <w:r>
              <w:rPr>
                <w:color w:val="231F20"/>
                <w:sz w:val="18"/>
              </w:rPr>
              <w:t>GT</w:t>
            </w:r>
            <w:r>
              <w:rPr>
                <w:color w:val="231F20"/>
                <w:spacing w:val="-3"/>
                <w:sz w:val="18"/>
              </w:rPr>
              <w:t> </w:t>
            </w:r>
            <w:r>
              <w:rPr>
                <w:color w:val="231F20"/>
                <w:sz w:val="18"/>
              </w:rPr>
              <w:t>5 </w:t>
            </w:r>
            <w:r>
              <w:rPr>
                <w:color w:val="231F20"/>
                <w:spacing w:val="-2"/>
                <w:sz w:val="18"/>
              </w:rPr>
              <w:t>percent</w:t>
            </w:r>
          </w:p>
        </w:tc>
        <w:tc>
          <w:tcPr>
            <w:tcW w:w="2153" w:type="dxa"/>
          </w:tcPr>
          <w:p>
            <w:pPr>
              <w:pStyle w:val="TableParagraph"/>
              <w:rPr>
                <w:sz w:val="18"/>
              </w:rPr>
            </w:pPr>
            <w:r>
              <w:rPr>
                <w:color w:val="231F20"/>
                <w:spacing w:val="-2"/>
                <w:sz w:val="18"/>
              </w:rPr>
              <w:t>Bigger</w:t>
            </w:r>
          </w:p>
        </w:tc>
        <w:tc>
          <w:tcPr>
            <w:tcW w:w="2311" w:type="dxa"/>
          </w:tcPr>
          <w:p>
            <w:pPr>
              <w:pStyle w:val="TableParagraph"/>
              <w:rPr>
                <w:sz w:val="18"/>
              </w:rPr>
            </w:pPr>
            <w:r>
              <w:rPr>
                <w:color w:val="231F20"/>
                <w:spacing w:val="-2"/>
                <w:sz w:val="18"/>
              </w:rPr>
              <w:t>Primary:SYSTEM:NT</w:t>
            </w:r>
          </w:p>
        </w:tc>
        <w:tc>
          <w:tcPr>
            <w:tcW w:w="1585" w:type="dxa"/>
          </w:tcPr>
          <w:p>
            <w:pPr>
              <w:pStyle w:val="TableParagraph"/>
              <w:ind w:left="0" w:right="20"/>
              <w:jc w:val="center"/>
              <w:rPr>
                <w:sz w:val="18"/>
              </w:rPr>
            </w:pPr>
            <w:r>
              <w:rPr>
                <w:color w:val="231F20"/>
                <w:w w:val="110"/>
                <w:sz w:val="18"/>
              </w:rPr>
              <w:t>12/15/09</w:t>
            </w:r>
            <w:r>
              <w:rPr>
                <w:color w:val="231F20"/>
                <w:spacing w:val="42"/>
                <w:w w:val="110"/>
                <w:sz w:val="18"/>
              </w:rPr>
              <w:t> </w:t>
            </w:r>
            <w:r>
              <w:rPr>
                <w:color w:val="231F20"/>
                <w:spacing w:val="-2"/>
                <w:w w:val="110"/>
                <w:sz w:val="18"/>
              </w:rPr>
              <w:t>11:09:27</w:t>
            </w:r>
          </w:p>
        </w:tc>
      </w:tr>
      <w:tr>
        <w:trPr>
          <w:trHeight w:val="533" w:hRule="atLeast"/>
        </w:trPr>
        <w:tc>
          <w:tcPr>
            <w:tcW w:w="1368" w:type="dxa"/>
          </w:tcPr>
          <w:p>
            <w:pPr>
              <w:pStyle w:val="TableParagraph"/>
              <w:ind w:left="0" w:right="471"/>
              <w:jc w:val="right"/>
              <w:rPr>
                <w:sz w:val="18"/>
              </w:rPr>
            </w:pPr>
            <w:r>
              <w:rPr>
                <w:position w:val="-3"/>
              </w:rPr>
              <w:drawing>
                <wp:inline distT="0" distB="0" distL="0" distR="0">
                  <wp:extent cx="95250" cy="95250"/>
                  <wp:effectExtent l="0" t="0" r="0" b="0"/>
                  <wp:docPr id="2633" name="Image 2633"/>
                  <wp:cNvGraphicFramePr>
                    <a:graphicFrameLocks/>
                  </wp:cNvGraphicFramePr>
                  <a:graphic>
                    <a:graphicData uri="http://schemas.openxmlformats.org/drawingml/2006/picture">
                      <pic:pic>
                        <pic:nvPicPr>
                          <pic:cNvPr id="2633" name="Image 2633"/>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Opened</w:t>
            </w:r>
          </w:p>
        </w:tc>
        <w:tc>
          <w:tcPr>
            <w:tcW w:w="2153" w:type="dxa"/>
          </w:tcPr>
          <w:p>
            <w:pPr>
              <w:pStyle w:val="TableParagraph"/>
              <w:spacing w:line="216" w:lineRule="auto" w:before="44"/>
              <w:ind w:right="55" w:hanging="1"/>
              <w:rPr>
                <w:sz w:val="18"/>
              </w:rPr>
            </w:pPr>
            <w:r>
              <w:rPr>
                <w:color w:val="231F20"/>
                <w:sz w:val="18"/>
              </w:rPr>
              <w:t>Process</w:t>
            </w:r>
            <w:r>
              <w:rPr>
                <w:color w:val="231F20"/>
                <w:spacing w:val="-3"/>
                <w:sz w:val="18"/>
              </w:rPr>
              <w:t> </w:t>
            </w:r>
            <w:r>
              <w:rPr>
                <w:color w:val="231F20"/>
                <w:sz w:val="18"/>
              </w:rPr>
              <w:t>Time</w:t>
            </w:r>
            <w:r>
              <w:rPr>
                <w:color w:val="231F20"/>
                <w:spacing w:val="-3"/>
                <w:sz w:val="18"/>
              </w:rPr>
              <w:t> </w:t>
            </w:r>
            <w:r>
              <w:rPr>
                <w:color w:val="231F20"/>
                <w:sz w:val="18"/>
              </w:rPr>
              <w:t>GT</w:t>
            </w:r>
            <w:r>
              <w:rPr>
                <w:color w:val="231F20"/>
                <w:spacing w:val="-3"/>
                <w:sz w:val="18"/>
              </w:rPr>
              <w:t> </w:t>
            </w:r>
            <w:r>
              <w:rPr>
                <w:color w:val="231F20"/>
                <w:sz w:val="18"/>
              </w:rPr>
              <w:t>5 </w:t>
            </w:r>
            <w:r>
              <w:rPr>
                <w:color w:val="231F20"/>
                <w:spacing w:val="-2"/>
                <w:sz w:val="18"/>
              </w:rPr>
              <w:t>percent</w:t>
            </w:r>
          </w:p>
        </w:tc>
        <w:tc>
          <w:tcPr>
            <w:tcW w:w="2153" w:type="dxa"/>
          </w:tcPr>
          <w:p>
            <w:pPr>
              <w:pStyle w:val="TableParagraph"/>
              <w:rPr>
                <w:sz w:val="18"/>
              </w:rPr>
            </w:pPr>
            <w:r>
              <w:rPr>
                <w:color w:val="231F20"/>
                <w:spacing w:val="-5"/>
                <w:sz w:val="18"/>
              </w:rPr>
              <w:t>Big</w:t>
            </w:r>
          </w:p>
        </w:tc>
        <w:tc>
          <w:tcPr>
            <w:tcW w:w="2311" w:type="dxa"/>
          </w:tcPr>
          <w:p>
            <w:pPr>
              <w:pStyle w:val="TableParagraph"/>
              <w:rPr>
                <w:sz w:val="18"/>
              </w:rPr>
            </w:pPr>
            <w:r>
              <w:rPr>
                <w:color w:val="231F20"/>
                <w:spacing w:val="-2"/>
                <w:sz w:val="18"/>
              </w:rPr>
              <w:t>Primary:SYSTEM:NT</w:t>
            </w:r>
          </w:p>
        </w:tc>
        <w:tc>
          <w:tcPr>
            <w:tcW w:w="1585" w:type="dxa"/>
          </w:tcPr>
          <w:p>
            <w:pPr>
              <w:pStyle w:val="TableParagraph"/>
              <w:ind w:left="0" w:right="20"/>
              <w:jc w:val="center"/>
              <w:rPr>
                <w:sz w:val="18"/>
              </w:rPr>
            </w:pPr>
            <w:r>
              <w:rPr>
                <w:color w:val="231F20"/>
                <w:w w:val="110"/>
                <w:sz w:val="18"/>
              </w:rPr>
              <w:t>12/15/09</w:t>
            </w:r>
            <w:r>
              <w:rPr>
                <w:color w:val="231F20"/>
                <w:spacing w:val="42"/>
                <w:w w:val="110"/>
                <w:sz w:val="18"/>
              </w:rPr>
              <w:t> </w:t>
            </w:r>
            <w:r>
              <w:rPr>
                <w:color w:val="231F20"/>
                <w:spacing w:val="-2"/>
                <w:w w:val="110"/>
                <w:sz w:val="18"/>
              </w:rPr>
              <w:t>11:09:05</w:t>
            </w:r>
          </w:p>
        </w:tc>
      </w:tr>
    </w:tbl>
    <w:p>
      <w:pPr>
        <w:pStyle w:val="BodyText"/>
        <w:spacing w:before="19"/>
      </w:pPr>
    </w:p>
    <w:p>
      <w:pPr>
        <w:pStyle w:val="Heading6"/>
        <w:spacing w:before="0"/>
        <w:ind w:left="2232"/>
      </w:pPr>
      <w:r>
        <w:rPr>
          <w:color w:val="231F20"/>
        </w:rPr>
        <w:t>Event</w:t>
      </w:r>
      <w:r>
        <w:rPr>
          <w:color w:val="231F20"/>
          <w:spacing w:val="11"/>
        </w:rPr>
        <w:t> </w:t>
      </w:r>
      <w:r>
        <w:rPr>
          <w:color w:val="231F20"/>
        </w:rPr>
        <w:t>log</w:t>
      </w:r>
      <w:r>
        <w:rPr>
          <w:color w:val="231F20"/>
          <w:spacing w:val="12"/>
        </w:rPr>
        <w:t> </w:t>
      </w:r>
      <w:r>
        <w:rPr>
          <w:color w:val="231F20"/>
          <w:spacing w:val="-2"/>
        </w:rPr>
        <w:t>situation</w:t>
      </w:r>
    </w:p>
    <w:p>
      <w:pPr>
        <w:pStyle w:val="BodyText"/>
        <w:spacing w:line="213" w:lineRule="auto" w:before="11"/>
        <w:ind w:left="2951" w:right="619"/>
        <w:jc w:val="both"/>
      </w:pPr>
      <w:r>
        <w:rPr>
          <w:color w:val="231F20"/>
        </w:rPr>
        <w:t>In this example, the log space low situation checks the Windows logs for any that are over 95% capacity, and has the event log name as its display </w:t>
      </w:r>
      <w:r>
        <w:rPr>
          <w:color w:val="231F20"/>
          <w:spacing w:val="-2"/>
        </w:rPr>
        <w:t>item.</w:t>
      </w:r>
    </w:p>
    <w:p>
      <w:pPr>
        <w:pStyle w:val="BodyText"/>
        <w:spacing w:before="8"/>
        <w:rPr>
          <w:sz w:val="12"/>
        </w:rPr>
      </w:pPr>
    </w:p>
    <w:tbl>
      <w:tblPr>
        <w:tblW w:w="0" w:type="auto"/>
        <w:jc w:val="left"/>
        <w:tblInd w:w="2961"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036"/>
        <w:gridCol w:w="4780"/>
      </w:tblGrid>
      <w:tr>
        <w:trPr>
          <w:trHeight w:val="274" w:hRule="atLeast"/>
        </w:trPr>
        <w:tc>
          <w:tcPr>
            <w:tcW w:w="2036" w:type="dxa"/>
          </w:tcPr>
          <w:p>
            <w:pPr>
              <w:pStyle w:val="TableParagraph"/>
              <w:spacing w:before="0"/>
              <w:ind w:left="0"/>
              <w:rPr>
                <w:rFonts w:ascii="Times New Roman"/>
                <w:sz w:val="18"/>
              </w:rPr>
            </w:pPr>
          </w:p>
        </w:tc>
        <w:tc>
          <w:tcPr>
            <w:tcW w:w="4780" w:type="dxa"/>
          </w:tcPr>
          <w:p>
            <w:pPr>
              <w:pStyle w:val="TableParagraph"/>
              <w:spacing w:before="10"/>
              <w:rPr>
                <w:rFonts w:ascii="Book Antiqua"/>
                <w:b/>
                <w:sz w:val="18"/>
              </w:rPr>
            </w:pPr>
            <w:r>
              <w:rPr>
                <w:rFonts w:ascii="Book Antiqua"/>
                <w:b/>
                <w:color w:val="231F20"/>
                <w:sz w:val="18"/>
              </w:rPr>
              <w:t>%</w:t>
            </w:r>
            <w:r>
              <w:rPr>
                <w:rFonts w:ascii="Book Antiqua"/>
                <w:b/>
                <w:color w:val="231F20"/>
                <w:spacing w:val="12"/>
                <w:sz w:val="18"/>
              </w:rPr>
              <w:t> </w:t>
            </w:r>
            <w:r>
              <w:rPr>
                <w:rFonts w:ascii="Book Antiqua"/>
                <w:b/>
                <w:color w:val="231F20"/>
                <w:spacing w:val="-4"/>
                <w:sz w:val="18"/>
              </w:rPr>
              <w:t>Usage</w:t>
            </w:r>
          </w:p>
        </w:tc>
      </w:tr>
      <w:tr>
        <w:trPr>
          <w:trHeight w:val="314" w:hRule="atLeast"/>
        </w:trPr>
        <w:tc>
          <w:tcPr>
            <w:tcW w:w="2036" w:type="dxa"/>
          </w:tcPr>
          <w:p>
            <w:pPr>
              <w:pStyle w:val="TableParagraph"/>
              <w:ind w:left="44"/>
              <w:rPr>
                <w:sz w:val="18"/>
              </w:rPr>
            </w:pPr>
            <w:r>
              <w:rPr>
                <w:color w:val="231F20"/>
                <w:spacing w:val="-10"/>
                <w:sz w:val="18"/>
              </w:rPr>
              <w:t>1</w:t>
            </w:r>
          </w:p>
        </w:tc>
        <w:tc>
          <w:tcPr>
            <w:tcW w:w="4780" w:type="dxa"/>
          </w:tcPr>
          <w:p>
            <w:pPr>
              <w:pStyle w:val="TableParagraph"/>
              <w:rPr>
                <w:sz w:val="18"/>
              </w:rPr>
            </w:pPr>
            <w:r>
              <w:rPr>
                <w:color w:val="231F20"/>
                <w:w w:val="110"/>
                <w:sz w:val="18"/>
              </w:rPr>
              <w:t>&gt;=</w:t>
            </w:r>
            <w:r>
              <w:rPr>
                <w:color w:val="231F20"/>
                <w:spacing w:val="27"/>
                <w:w w:val="110"/>
                <w:sz w:val="18"/>
              </w:rPr>
              <w:t> </w:t>
            </w:r>
            <w:r>
              <w:rPr>
                <w:color w:val="231F20"/>
                <w:spacing w:val="-5"/>
                <w:w w:val="110"/>
                <w:sz w:val="18"/>
              </w:rPr>
              <w:t>95</w:t>
            </w:r>
          </w:p>
        </w:tc>
      </w:tr>
    </w:tbl>
    <w:p>
      <w:pPr>
        <w:pStyle w:val="BodyText"/>
        <w:spacing w:before="130"/>
        <w:ind w:left="2951"/>
        <w:jc w:val="both"/>
      </w:pPr>
      <w:r>
        <w:rPr>
          <w:color w:val="231F20"/>
        </w:rPr>
        <w:t>and</w:t>
      </w:r>
      <w:r>
        <w:rPr>
          <w:color w:val="231F20"/>
          <w:spacing w:val="12"/>
        </w:rPr>
        <w:t> </w:t>
      </w:r>
      <w:r>
        <w:rPr>
          <w:color w:val="231F20"/>
        </w:rPr>
        <w:t>in</w:t>
      </w:r>
      <w:r>
        <w:rPr>
          <w:color w:val="231F20"/>
          <w:spacing w:val="13"/>
        </w:rPr>
        <w:t> </w:t>
      </w:r>
      <w:r>
        <w:rPr>
          <w:color w:val="231F20"/>
        </w:rPr>
        <w:t>Show</w:t>
      </w:r>
      <w:r>
        <w:rPr>
          <w:color w:val="231F20"/>
          <w:spacing w:val="12"/>
        </w:rPr>
        <w:t> </w:t>
      </w:r>
      <w:r>
        <w:rPr>
          <w:color w:val="231F20"/>
          <w:spacing w:val="-2"/>
        </w:rPr>
        <w:t>Formula:</w:t>
      </w:r>
    </w:p>
    <w:p>
      <w:pPr>
        <w:spacing w:before="50"/>
        <w:ind w:left="2951" w:right="0" w:firstLine="0"/>
        <w:jc w:val="both"/>
        <w:rPr>
          <w:rFonts w:ascii="Arial"/>
          <w:sz w:val="18"/>
        </w:rPr>
      </w:pPr>
      <w:r>
        <w:rPr>
          <w:rFonts w:ascii="Arial"/>
          <w:color w:val="231F20"/>
          <w:sz w:val="18"/>
        </w:rPr>
        <w:t>(%</w:t>
      </w:r>
      <w:r>
        <w:rPr>
          <w:rFonts w:ascii="Arial"/>
          <w:color w:val="231F20"/>
          <w:spacing w:val="18"/>
          <w:sz w:val="18"/>
        </w:rPr>
        <w:t> </w:t>
      </w:r>
      <w:r>
        <w:rPr>
          <w:rFonts w:ascii="Arial"/>
          <w:color w:val="231F20"/>
          <w:sz w:val="18"/>
        </w:rPr>
        <w:t>Usage</w:t>
      </w:r>
      <w:r>
        <w:rPr>
          <w:rFonts w:ascii="Arial"/>
          <w:color w:val="231F20"/>
          <w:spacing w:val="18"/>
          <w:sz w:val="18"/>
        </w:rPr>
        <w:t> </w:t>
      </w:r>
      <w:r>
        <w:rPr>
          <w:rFonts w:ascii="Arial"/>
          <w:color w:val="231F20"/>
          <w:sz w:val="18"/>
        </w:rPr>
        <w:t>&gt;=</w:t>
      </w:r>
      <w:r>
        <w:rPr>
          <w:rFonts w:ascii="Arial"/>
          <w:color w:val="231F20"/>
          <w:spacing w:val="19"/>
          <w:sz w:val="18"/>
        </w:rPr>
        <w:t> </w:t>
      </w:r>
      <w:r>
        <w:rPr>
          <w:rFonts w:ascii="Arial"/>
          <w:color w:val="231F20"/>
          <w:sz w:val="18"/>
        </w:rPr>
        <w:t>95)</w:t>
      </w:r>
      <w:r>
        <w:rPr>
          <w:rFonts w:ascii="Arial"/>
          <w:color w:val="231F20"/>
          <w:spacing w:val="18"/>
          <w:sz w:val="18"/>
        </w:rPr>
        <w:t> </w:t>
      </w:r>
      <w:r>
        <w:rPr>
          <w:rFonts w:ascii="Arial"/>
          <w:color w:val="231F20"/>
          <w:sz w:val="18"/>
        </w:rPr>
        <w:t>Display</w:t>
      </w:r>
      <w:r>
        <w:rPr>
          <w:rFonts w:ascii="Arial"/>
          <w:color w:val="231F20"/>
          <w:spacing w:val="19"/>
          <w:sz w:val="18"/>
        </w:rPr>
        <w:t> </w:t>
      </w:r>
      <w:r>
        <w:rPr>
          <w:rFonts w:ascii="Arial"/>
          <w:color w:val="231F20"/>
          <w:spacing w:val="-2"/>
          <w:sz w:val="18"/>
        </w:rPr>
        <w:t>Item:NT_Monitored_Logs_Report.Log_Name</w:t>
      </w:r>
    </w:p>
    <w:p>
      <w:pPr>
        <w:pStyle w:val="BodyText"/>
        <w:spacing w:before="42"/>
        <w:rPr>
          <w:rFonts w:ascii="Arial"/>
          <w:sz w:val="18"/>
        </w:rPr>
      </w:pPr>
    </w:p>
    <w:p>
      <w:pPr>
        <w:pStyle w:val="BodyText"/>
        <w:spacing w:line="213" w:lineRule="auto"/>
        <w:ind w:left="2951" w:right="636"/>
      </w:pPr>
      <w:r>
        <w:rPr>
          <w:color w:val="231F20"/>
        </w:rPr>
        <w:t>After starting the situation on MYSYSTEM, we learn that two log files </w:t>
      </w:r>
      <w:r>
        <w:rPr>
          <w:color w:val="231F20"/>
        </w:rPr>
        <w:t>are almost full, Application and System, so two events are opened. If this situation had no display item, it would have become true for System, but never would have found Application until the System log file size had</w:t>
      </w:r>
      <w:r>
        <w:rPr>
          <w:color w:val="231F20"/>
          <w:spacing w:val="40"/>
        </w:rPr>
        <w:t> </w:t>
      </w:r>
      <w:r>
        <w:rPr>
          <w:color w:val="231F20"/>
        </w:rPr>
        <w:t>been reduced to less than 95% capacity.</w:t>
      </w:r>
    </w:p>
    <w:p>
      <w:pPr>
        <w:pStyle w:val="BodyText"/>
        <w:spacing w:line="213" w:lineRule="auto" w:before="236"/>
        <w:ind w:left="2951" w:right="493"/>
      </w:pPr>
      <w:r>
        <w:rPr>
          <w:color w:val="231F20"/>
        </w:rPr>
        <w:t>If you were to look at the events in the message log view, they would look like this:</w:t>
      </w:r>
    </w:p>
    <w:p>
      <w:pPr>
        <w:pStyle w:val="BodyText"/>
        <w:spacing w:before="9"/>
        <w:rPr>
          <w:sz w:val="12"/>
        </w:rPr>
      </w:pPr>
    </w:p>
    <w:tbl>
      <w:tblPr>
        <w:tblW w:w="0" w:type="auto"/>
        <w:jc w:val="left"/>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588"/>
        <w:gridCol w:w="2111"/>
        <w:gridCol w:w="2091"/>
        <w:gridCol w:w="2274"/>
        <w:gridCol w:w="1507"/>
      </w:tblGrid>
      <w:tr>
        <w:trPr>
          <w:trHeight w:val="493" w:hRule="atLeast"/>
        </w:trPr>
        <w:tc>
          <w:tcPr>
            <w:tcW w:w="1588" w:type="dxa"/>
          </w:tcPr>
          <w:p>
            <w:pPr>
              <w:pStyle w:val="TableParagraph"/>
              <w:spacing w:before="229"/>
              <w:ind w:left="44"/>
              <w:rPr>
                <w:rFonts w:ascii="Book Antiqua"/>
                <w:b/>
                <w:sz w:val="18"/>
              </w:rPr>
            </w:pPr>
            <w:r>
              <w:rPr>
                <w:rFonts w:ascii="Book Antiqua"/>
                <w:b/>
                <w:color w:val="231F20"/>
                <w:spacing w:val="-2"/>
                <w:sz w:val="18"/>
              </w:rPr>
              <w:t>Status</w:t>
            </w:r>
          </w:p>
        </w:tc>
        <w:tc>
          <w:tcPr>
            <w:tcW w:w="2111" w:type="dxa"/>
          </w:tcPr>
          <w:p>
            <w:pPr>
              <w:pStyle w:val="TableParagraph"/>
              <w:spacing w:before="229"/>
              <w:ind w:left="402"/>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pacing w:val="-4"/>
                <w:sz w:val="18"/>
              </w:rPr>
              <w:t>Name</w:t>
            </w:r>
          </w:p>
        </w:tc>
        <w:tc>
          <w:tcPr>
            <w:tcW w:w="2091" w:type="dxa"/>
          </w:tcPr>
          <w:p>
            <w:pPr>
              <w:pStyle w:val="TableParagraph"/>
              <w:spacing w:before="229"/>
              <w:ind w:left="501"/>
              <w:rPr>
                <w:rFonts w:ascii="Book Antiqua"/>
                <w:b/>
                <w:sz w:val="18"/>
              </w:rPr>
            </w:pPr>
            <w:r>
              <w:rPr>
                <w:rFonts w:ascii="Book Antiqua"/>
                <w:b/>
                <w:color w:val="231F20"/>
                <w:sz w:val="18"/>
              </w:rPr>
              <w:t>Display</w:t>
            </w:r>
            <w:r>
              <w:rPr>
                <w:rFonts w:ascii="Book Antiqua"/>
                <w:b/>
                <w:color w:val="231F20"/>
                <w:spacing w:val="7"/>
                <w:sz w:val="18"/>
              </w:rPr>
              <w:t> </w:t>
            </w:r>
            <w:r>
              <w:rPr>
                <w:rFonts w:ascii="Book Antiqua"/>
                <w:b/>
                <w:color w:val="231F20"/>
                <w:spacing w:val="-4"/>
                <w:sz w:val="18"/>
              </w:rPr>
              <w:t>Item</w:t>
            </w:r>
          </w:p>
        </w:tc>
        <w:tc>
          <w:tcPr>
            <w:tcW w:w="2274" w:type="dxa"/>
          </w:tcPr>
          <w:p>
            <w:pPr>
              <w:pStyle w:val="TableParagraph"/>
              <w:spacing w:before="229"/>
              <w:ind w:left="607"/>
              <w:rPr>
                <w:rFonts w:ascii="Book Antiqua"/>
                <w:b/>
                <w:sz w:val="18"/>
              </w:rPr>
            </w:pPr>
            <w:r>
              <w:rPr>
                <w:rFonts w:ascii="Book Antiqua"/>
                <w:b/>
                <w:color w:val="231F20"/>
                <w:sz w:val="18"/>
              </w:rPr>
              <w:t>Origin</w:t>
            </w:r>
            <w:r>
              <w:rPr>
                <w:rFonts w:ascii="Book Antiqua"/>
                <w:b/>
                <w:color w:val="231F20"/>
                <w:spacing w:val="8"/>
                <w:sz w:val="18"/>
              </w:rPr>
              <w:t> </w:t>
            </w:r>
            <w:r>
              <w:rPr>
                <w:rFonts w:ascii="Book Antiqua"/>
                <w:b/>
                <w:color w:val="231F20"/>
                <w:spacing w:val="-4"/>
                <w:sz w:val="18"/>
              </w:rPr>
              <w:t>Node</w:t>
            </w:r>
          </w:p>
        </w:tc>
        <w:tc>
          <w:tcPr>
            <w:tcW w:w="1507" w:type="dxa"/>
          </w:tcPr>
          <w:p>
            <w:pPr>
              <w:pStyle w:val="TableParagraph"/>
              <w:spacing w:line="242" w:lineRule="auto" w:before="10"/>
              <w:ind w:left="300" w:firstLine="174"/>
              <w:rPr>
                <w:rFonts w:ascii="Book Antiqua"/>
                <w:b/>
                <w:sz w:val="18"/>
              </w:rPr>
            </w:pPr>
            <w:r>
              <w:rPr>
                <w:rFonts w:ascii="Book Antiqua"/>
                <w:b/>
                <w:color w:val="231F20"/>
                <w:spacing w:val="-2"/>
                <w:sz w:val="18"/>
              </w:rPr>
              <w:t>Global </w:t>
            </w:r>
            <w:r>
              <w:rPr>
                <w:rFonts w:ascii="Book Antiqua"/>
                <w:b/>
                <w:color w:val="231F20"/>
                <w:spacing w:val="-4"/>
                <w:sz w:val="18"/>
              </w:rPr>
              <w:t>Timestamp</w:t>
            </w:r>
          </w:p>
        </w:tc>
      </w:tr>
      <w:tr>
        <w:trPr>
          <w:trHeight w:val="528" w:hRule="atLeast"/>
        </w:trPr>
        <w:tc>
          <w:tcPr>
            <w:tcW w:w="1588" w:type="dxa"/>
          </w:tcPr>
          <w:p>
            <w:pPr>
              <w:pStyle w:val="TableParagraph"/>
              <w:ind w:left="0" w:right="691"/>
              <w:jc w:val="right"/>
              <w:rPr>
                <w:sz w:val="18"/>
              </w:rPr>
            </w:pPr>
            <w:r>
              <w:rPr>
                <w:position w:val="-3"/>
              </w:rPr>
              <w:drawing>
                <wp:inline distT="0" distB="0" distL="0" distR="0">
                  <wp:extent cx="95250" cy="95250"/>
                  <wp:effectExtent l="0" t="0" r="0" b="0"/>
                  <wp:docPr id="2634" name="Image 2634"/>
                  <wp:cNvGraphicFramePr>
                    <a:graphicFrameLocks/>
                  </wp:cNvGraphicFramePr>
                  <a:graphic>
                    <a:graphicData uri="http://schemas.openxmlformats.org/drawingml/2006/picture">
                      <pic:pic>
                        <pic:nvPicPr>
                          <pic:cNvPr id="2634" name="Image 2634"/>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Opened</w:t>
            </w:r>
          </w:p>
        </w:tc>
        <w:tc>
          <w:tcPr>
            <w:tcW w:w="2111" w:type="dxa"/>
          </w:tcPr>
          <w:p>
            <w:pPr>
              <w:pStyle w:val="TableParagraph"/>
              <w:rPr>
                <w:sz w:val="18"/>
              </w:rPr>
            </w:pPr>
            <w:r>
              <w:rPr>
                <w:color w:val="231F20"/>
                <w:sz w:val="18"/>
              </w:rPr>
              <w:t>NT</w:t>
            </w:r>
            <w:r>
              <w:rPr>
                <w:color w:val="231F20"/>
                <w:spacing w:val="10"/>
                <w:sz w:val="18"/>
              </w:rPr>
              <w:t> </w:t>
            </w:r>
            <w:r>
              <w:rPr>
                <w:color w:val="231F20"/>
                <w:sz w:val="18"/>
              </w:rPr>
              <w:t>Log</w:t>
            </w:r>
            <w:r>
              <w:rPr>
                <w:color w:val="231F20"/>
                <w:spacing w:val="11"/>
                <w:sz w:val="18"/>
              </w:rPr>
              <w:t> </w:t>
            </w:r>
            <w:r>
              <w:rPr>
                <w:color w:val="231F20"/>
                <w:sz w:val="18"/>
              </w:rPr>
              <w:t>Space</w:t>
            </w:r>
            <w:r>
              <w:rPr>
                <w:color w:val="231F20"/>
                <w:spacing w:val="10"/>
                <w:sz w:val="18"/>
              </w:rPr>
              <w:t> </w:t>
            </w:r>
            <w:r>
              <w:rPr>
                <w:color w:val="231F20"/>
                <w:spacing w:val="-5"/>
                <w:sz w:val="18"/>
              </w:rPr>
              <w:t>Low</w:t>
            </w:r>
          </w:p>
        </w:tc>
        <w:tc>
          <w:tcPr>
            <w:tcW w:w="2091" w:type="dxa"/>
          </w:tcPr>
          <w:p>
            <w:pPr>
              <w:pStyle w:val="TableParagraph"/>
              <w:rPr>
                <w:sz w:val="18"/>
              </w:rPr>
            </w:pPr>
            <w:r>
              <w:rPr>
                <w:color w:val="231F20"/>
                <w:spacing w:val="-2"/>
                <w:sz w:val="18"/>
              </w:rPr>
              <w:t>Application</w:t>
            </w:r>
          </w:p>
        </w:tc>
        <w:tc>
          <w:tcPr>
            <w:tcW w:w="2274" w:type="dxa"/>
          </w:tcPr>
          <w:p>
            <w:pPr>
              <w:pStyle w:val="TableParagraph"/>
              <w:ind w:left="58"/>
              <w:rPr>
                <w:sz w:val="18"/>
              </w:rPr>
            </w:pPr>
            <w:r>
              <w:rPr>
                <w:color w:val="231F20"/>
                <w:spacing w:val="-2"/>
                <w:sz w:val="18"/>
              </w:rPr>
              <w:t>Primary:SYSTEM:NT</w:t>
            </w:r>
          </w:p>
        </w:tc>
        <w:tc>
          <w:tcPr>
            <w:tcW w:w="1507" w:type="dxa"/>
          </w:tcPr>
          <w:p>
            <w:pPr>
              <w:pStyle w:val="TableParagraph"/>
              <w:spacing w:line="231" w:lineRule="exact"/>
              <w:ind w:left="58"/>
              <w:rPr>
                <w:sz w:val="18"/>
              </w:rPr>
            </w:pPr>
            <w:r>
              <w:rPr>
                <w:color w:val="231F20"/>
                <w:spacing w:val="-2"/>
                <w:w w:val="115"/>
                <w:sz w:val="18"/>
              </w:rPr>
              <w:t>12/15/09</w:t>
            </w:r>
          </w:p>
          <w:p>
            <w:pPr>
              <w:pStyle w:val="TableParagraph"/>
              <w:spacing w:line="231" w:lineRule="exact" w:before="0"/>
              <w:ind w:left="58"/>
              <w:rPr>
                <w:sz w:val="18"/>
              </w:rPr>
            </w:pPr>
            <w:r>
              <w:rPr>
                <w:color w:val="231F20"/>
                <w:spacing w:val="-2"/>
                <w:sz w:val="18"/>
              </w:rPr>
              <w:t>11:10:05</w:t>
            </w:r>
          </w:p>
        </w:tc>
      </w:tr>
      <w:tr>
        <w:trPr>
          <w:trHeight w:val="533" w:hRule="atLeast"/>
        </w:trPr>
        <w:tc>
          <w:tcPr>
            <w:tcW w:w="1588" w:type="dxa"/>
          </w:tcPr>
          <w:p>
            <w:pPr>
              <w:pStyle w:val="TableParagraph"/>
              <w:ind w:left="0" w:right="691"/>
              <w:jc w:val="right"/>
              <w:rPr>
                <w:sz w:val="18"/>
              </w:rPr>
            </w:pPr>
            <w:r>
              <w:rPr>
                <w:position w:val="-3"/>
              </w:rPr>
              <w:drawing>
                <wp:inline distT="0" distB="0" distL="0" distR="0">
                  <wp:extent cx="95250" cy="95250"/>
                  <wp:effectExtent l="0" t="0" r="0" b="0"/>
                  <wp:docPr id="2635" name="Image 2635"/>
                  <wp:cNvGraphicFramePr>
                    <a:graphicFrameLocks/>
                  </wp:cNvGraphicFramePr>
                  <a:graphic>
                    <a:graphicData uri="http://schemas.openxmlformats.org/drawingml/2006/picture">
                      <pic:pic>
                        <pic:nvPicPr>
                          <pic:cNvPr id="2635" name="Image 2635"/>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Opened</w:t>
            </w:r>
          </w:p>
        </w:tc>
        <w:tc>
          <w:tcPr>
            <w:tcW w:w="2111" w:type="dxa"/>
          </w:tcPr>
          <w:p>
            <w:pPr>
              <w:pStyle w:val="TableParagraph"/>
              <w:rPr>
                <w:sz w:val="18"/>
              </w:rPr>
            </w:pPr>
            <w:r>
              <w:rPr>
                <w:color w:val="231F20"/>
                <w:sz w:val="18"/>
              </w:rPr>
              <w:t>NT</w:t>
            </w:r>
            <w:r>
              <w:rPr>
                <w:color w:val="231F20"/>
                <w:spacing w:val="10"/>
                <w:sz w:val="18"/>
              </w:rPr>
              <w:t> </w:t>
            </w:r>
            <w:r>
              <w:rPr>
                <w:color w:val="231F20"/>
                <w:sz w:val="18"/>
              </w:rPr>
              <w:t>Log</w:t>
            </w:r>
            <w:r>
              <w:rPr>
                <w:color w:val="231F20"/>
                <w:spacing w:val="11"/>
                <w:sz w:val="18"/>
              </w:rPr>
              <w:t> </w:t>
            </w:r>
            <w:r>
              <w:rPr>
                <w:color w:val="231F20"/>
                <w:sz w:val="18"/>
              </w:rPr>
              <w:t>Space</w:t>
            </w:r>
            <w:r>
              <w:rPr>
                <w:color w:val="231F20"/>
                <w:spacing w:val="10"/>
                <w:sz w:val="18"/>
              </w:rPr>
              <w:t> </w:t>
            </w:r>
            <w:r>
              <w:rPr>
                <w:color w:val="231F20"/>
                <w:spacing w:val="-5"/>
                <w:sz w:val="18"/>
              </w:rPr>
              <w:t>Low</w:t>
            </w:r>
          </w:p>
        </w:tc>
        <w:tc>
          <w:tcPr>
            <w:tcW w:w="2091" w:type="dxa"/>
          </w:tcPr>
          <w:p>
            <w:pPr>
              <w:pStyle w:val="TableParagraph"/>
              <w:rPr>
                <w:sz w:val="18"/>
              </w:rPr>
            </w:pPr>
            <w:r>
              <w:rPr>
                <w:color w:val="231F20"/>
                <w:spacing w:val="-2"/>
                <w:sz w:val="18"/>
              </w:rPr>
              <w:t>System</w:t>
            </w:r>
          </w:p>
        </w:tc>
        <w:tc>
          <w:tcPr>
            <w:tcW w:w="2274" w:type="dxa"/>
          </w:tcPr>
          <w:p>
            <w:pPr>
              <w:pStyle w:val="TableParagraph"/>
              <w:ind w:left="58"/>
              <w:rPr>
                <w:sz w:val="18"/>
              </w:rPr>
            </w:pPr>
            <w:r>
              <w:rPr>
                <w:color w:val="231F20"/>
                <w:spacing w:val="-2"/>
                <w:sz w:val="18"/>
              </w:rPr>
              <w:t>Primary:SYSTEM:NT</w:t>
            </w:r>
          </w:p>
        </w:tc>
        <w:tc>
          <w:tcPr>
            <w:tcW w:w="1507" w:type="dxa"/>
          </w:tcPr>
          <w:p>
            <w:pPr>
              <w:pStyle w:val="TableParagraph"/>
              <w:spacing w:line="231" w:lineRule="exact"/>
              <w:ind w:left="58"/>
              <w:rPr>
                <w:sz w:val="18"/>
              </w:rPr>
            </w:pPr>
            <w:r>
              <w:rPr>
                <w:color w:val="231F20"/>
                <w:spacing w:val="-2"/>
                <w:w w:val="115"/>
                <w:sz w:val="18"/>
              </w:rPr>
              <w:t>12/15/09</w:t>
            </w:r>
          </w:p>
          <w:p>
            <w:pPr>
              <w:pStyle w:val="TableParagraph"/>
              <w:spacing w:line="231" w:lineRule="exact" w:before="0"/>
              <w:ind w:left="58"/>
              <w:rPr>
                <w:sz w:val="18"/>
              </w:rPr>
            </w:pPr>
            <w:r>
              <w:rPr>
                <w:color w:val="231F20"/>
                <w:spacing w:val="-2"/>
                <w:sz w:val="18"/>
              </w:rPr>
              <w:t>11:09:27</w:t>
            </w:r>
          </w:p>
        </w:tc>
      </w:tr>
    </w:tbl>
    <w:p>
      <w:pPr>
        <w:spacing w:after="0" w:line="231" w:lineRule="exact"/>
        <w:rPr>
          <w:sz w:val="18"/>
        </w:rPr>
        <w:sectPr>
          <w:pgSz w:w="12240" w:h="15840"/>
          <w:pgMar w:header="0" w:footer="736" w:top="1300" w:bottom="920" w:left="1000" w:right="1060"/>
        </w:sectPr>
      </w:pPr>
    </w:p>
    <w:p>
      <w:pPr>
        <w:pStyle w:val="Heading4"/>
        <w:spacing w:before="86"/>
        <w:ind w:left="2472"/>
      </w:pPr>
      <w:r>
        <w:rPr>
          <w:color w:val="231F20"/>
        </w:rPr>
        <w:t>Embedded</w:t>
      </w:r>
      <w:r>
        <w:rPr>
          <w:color w:val="231F20"/>
          <w:spacing w:val="1"/>
        </w:rPr>
        <w:t> </w:t>
      </w:r>
      <w:r>
        <w:rPr>
          <w:color w:val="231F20"/>
        </w:rPr>
        <w:t>situation</w:t>
      </w:r>
      <w:r>
        <w:rPr>
          <w:color w:val="231F20"/>
          <w:spacing w:val="2"/>
        </w:rPr>
        <w:t> </w:t>
      </w:r>
      <w:r>
        <w:rPr>
          <w:color w:val="231F20"/>
          <w:spacing w:val="-2"/>
        </w:rPr>
        <w:t>examples</w:t>
      </w:r>
    </w:p>
    <w:p>
      <w:pPr>
        <w:pStyle w:val="BodyText"/>
        <w:spacing w:line="213" w:lineRule="auto" w:before="242"/>
        <w:ind w:left="2472" w:right="308"/>
      </w:pPr>
      <w:r>
        <w:rPr>
          <w:color w:val="231F20"/>
        </w:rPr>
        <w:t>Conditions that can be combined in many different situation scenarios make </w:t>
      </w:r>
      <w:r>
        <w:rPr>
          <w:color w:val="231F20"/>
        </w:rPr>
        <w:t>useful embedded situations. The following situation can be embedded in any situation</w:t>
      </w:r>
      <w:r>
        <w:rPr>
          <w:color w:val="231F20"/>
          <w:spacing w:val="80"/>
          <w:w w:val="150"/>
        </w:rPr>
        <w:t> </w:t>
      </w:r>
      <w:r>
        <w:rPr>
          <w:color w:val="231F20"/>
        </w:rPr>
        <w:t>that</w:t>
      </w:r>
      <w:r>
        <w:rPr>
          <w:color w:val="231F20"/>
          <w:spacing w:val="26"/>
        </w:rPr>
        <w:t> </w:t>
      </w:r>
      <w:r>
        <w:rPr>
          <w:color w:val="231F20"/>
        </w:rPr>
        <w:t>you</w:t>
      </w:r>
      <w:r>
        <w:rPr>
          <w:color w:val="231F20"/>
          <w:spacing w:val="26"/>
        </w:rPr>
        <w:t> </w:t>
      </w:r>
      <w:r>
        <w:rPr>
          <w:color w:val="231F20"/>
        </w:rPr>
        <w:t>do</w:t>
      </w:r>
      <w:r>
        <w:rPr>
          <w:color w:val="231F20"/>
          <w:spacing w:val="26"/>
        </w:rPr>
        <w:t> </w:t>
      </w:r>
      <w:r>
        <w:rPr>
          <w:color w:val="231F20"/>
        </w:rPr>
        <w:t>not</w:t>
      </w:r>
      <w:r>
        <w:rPr>
          <w:color w:val="231F20"/>
          <w:spacing w:val="26"/>
        </w:rPr>
        <w:t> </w:t>
      </w:r>
      <w:r>
        <w:rPr>
          <w:color w:val="231F20"/>
        </w:rPr>
        <w:t>want</w:t>
      </w:r>
      <w:r>
        <w:rPr>
          <w:color w:val="231F20"/>
          <w:spacing w:val="26"/>
        </w:rPr>
        <w:t> </w:t>
      </w:r>
      <w:r>
        <w:rPr>
          <w:color w:val="231F20"/>
        </w:rPr>
        <w:t>to</w:t>
      </w:r>
      <w:r>
        <w:rPr>
          <w:color w:val="231F20"/>
          <w:spacing w:val="26"/>
        </w:rPr>
        <w:t> </w:t>
      </w:r>
      <w:r>
        <w:rPr>
          <w:color w:val="231F20"/>
        </w:rPr>
        <w:t>run</w:t>
      </w:r>
      <w:r>
        <w:rPr>
          <w:color w:val="231F20"/>
          <w:spacing w:val="26"/>
        </w:rPr>
        <w:t> </w:t>
      </w:r>
      <w:r>
        <w:rPr>
          <w:color w:val="231F20"/>
        </w:rPr>
        <w:t>on</w:t>
      </w:r>
      <w:r>
        <w:rPr>
          <w:color w:val="231F20"/>
          <w:spacing w:val="26"/>
        </w:rPr>
        <w:t> </w:t>
      </w:r>
      <w:r>
        <w:rPr>
          <w:color w:val="231F20"/>
        </w:rPr>
        <w:t>Sundays</w:t>
      </w:r>
      <w:r>
        <w:rPr>
          <w:color w:val="231F20"/>
          <w:spacing w:val="26"/>
        </w:rPr>
        <w:t> </w:t>
      </w:r>
      <w:r>
        <w:rPr>
          <w:color w:val="231F20"/>
        </w:rPr>
        <w:t>when</w:t>
      </w:r>
      <w:r>
        <w:rPr>
          <w:color w:val="231F20"/>
          <w:spacing w:val="26"/>
        </w:rPr>
        <w:t> </w:t>
      </w:r>
      <w:r>
        <w:rPr>
          <w:color w:val="231F20"/>
        </w:rPr>
        <w:t>the</w:t>
      </w:r>
      <w:r>
        <w:rPr>
          <w:color w:val="231F20"/>
          <w:spacing w:val="26"/>
        </w:rPr>
        <w:t> </w:t>
      </w:r>
      <w:r>
        <w:rPr>
          <w:color w:val="231F20"/>
        </w:rPr>
        <w:t>computer</w:t>
      </w:r>
      <w:r>
        <w:rPr>
          <w:color w:val="231F20"/>
          <w:spacing w:val="26"/>
        </w:rPr>
        <w:t> </w:t>
      </w:r>
      <w:r>
        <w:rPr>
          <w:color w:val="231F20"/>
        </w:rPr>
        <w:t>is</w:t>
      </w:r>
      <w:r>
        <w:rPr>
          <w:color w:val="231F20"/>
          <w:spacing w:val="26"/>
        </w:rPr>
        <w:t> </w:t>
      </w:r>
      <w:r>
        <w:rPr>
          <w:color w:val="231F20"/>
        </w:rPr>
        <w:t>being</w:t>
      </w:r>
      <w:r>
        <w:rPr>
          <w:color w:val="231F20"/>
          <w:spacing w:val="26"/>
        </w:rPr>
        <w:t> </w:t>
      </w:r>
      <w:r>
        <w:rPr>
          <w:color w:val="231F20"/>
        </w:rPr>
        <w:t>serviced.</w:t>
      </w:r>
    </w:p>
    <w:p>
      <w:pPr>
        <w:pStyle w:val="BodyText"/>
        <w:spacing w:before="214"/>
        <w:ind w:left="2472"/>
      </w:pPr>
      <w:r>
        <w:rPr>
          <w:color w:val="231F20"/>
        </w:rPr>
        <w:t>Not_Sunday</w:t>
      </w:r>
      <w:r>
        <w:rPr>
          <w:color w:val="231F20"/>
          <w:spacing w:val="4"/>
        </w:rPr>
        <w:t> </w:t>
      </w:r>
      <w:r>
        <w:rPr>
          <w:color w:val="231F20"/>
          <w:spacing w:val="-2"/>
        </w:rPr>
        <w:t>situation:</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208"/>
        <w:gridCol w:w="5325"/>
      </w:tblGrid>
      <w:tr>
        <w:trPr>
          <w:trHeight w:val="274" w:hRule="atLeast"/>
        </w:trPr>
        <w:tc>
          <w:tcPr>
            <w:tcW w:w="2208" w:type="dxa"/>
          </w:tcPr>
          <w:p>
            <w:pPr>
              <w:pStyle w:val="TableParagraph"/>
              <w:spacing w:before="0"/>
              <w:ind w:left="0"/>
              <w:rPr>
                <w:rFonts w:ascii="Times New Roman"/>
                <w:sz w:val="18"/>
              </w:rPr>
            </w:pPr>
          </w:p>
        </w:tc>
        <w:tc>
          <w:tcPr>
            <w:tcW w:w="5325" w:type="dxa"/>
          </w:tcPr>
          <w:p>
            <w:pPr>
              <w:pStyle w:val="TableParagraph"/>
              <w:spacing w:before="10"/>
              <w:rPr>
                <w:rFonts w:ascii="Book Antiqua"/>
                <w:b/>
                <w:sz w:val="18"/>
              </w:rPr>
            </w:pPr>
            <w:r>
              <w:rPr>
                <w:rFonts w:ascii="Book Antiqua"/>
                <w:b/>
                <w:color w:val="231F20"/>
                <w:sz w:val="18"/>
              </w:rPr>
              <w:t>Day</w:t>
            </w:r>
            <w:r>
              <w:rPr>
                <w:rFonts w:ascii="Book Antiqua"/>
                <w:b/>
                <w:color w:val="231F20"/>
                <w:spacing w:val="11"/>
                <w:sz w:val="18"/>
              </w:rPr>
              <w:t> </w:t>
            </w:r>
            <w:r>
              <w:rPr>
                <w:rFonts w:ascii="Book Antiqua"/>
                <w:b/>
                <w:color w:val="231F20"/>
                <w:sz w:val="18"/>
              </w:rPr>
              <w:t>of</w:t>
            </w:r>
            <w:r>
              <w:rPr>
                <w:rFonts w:ascii="Book Antiqua"/>
                <w:b/>
                <w:color w:val="231F20"/>
                <w:spacing w:val="11"/>
                <w:sz w:val="18"/>
              </w:rPr>
              <w:t> </w:t>
            </w:r>
            <w:r>
              <w:rPr>
                <w:rFonts w:ascii="Book Antiqua"/>
                <w:b/>
                <w:color w:val="231F20"/>
                <w:spacing w:val="-4"/>
                <w:sz w:val="18"/>
              </w:rPr>
              <w:t>Week</w:t>
            </w:r>
          </w:p>
        </w:tc>
      </w:tr>
      <w:tr>
        <w:trPr>
          <w:trHeight w:val="314" w:hRule="atLeast"/>
        </w:trPr>
        <w:tc>
          <w:tcPr>
            <w:tcW w:w="2208" w:type="dxa"/>
          </w:tcPr>
          <w:p>
            <w:pPr>
              <w:pStyle w:val="TableParagraph"/>
              <w:ind w:left="44"/>
              <w:rPr>
                <w:sz w:val="18"/>
              </w:rPr>
            </w:pPr>
            <w:r>
              <w:rPr>
                <w:color w:val="231F20"/>
                <w:spacing w:val="-10"/>
                <w:sz w:val="18"/>
              </w:rPr>
              <w:t>1</w:t>
            </w:r>
          </w:p>
        </w:tc>
        <w:tc>
          <w:tcPr>
            <w:tcW w:w="5325" w:type="dxa"/>
          </w:tcPr>
          <w:p>
            <w:pPr>
              <w:pStyle w:val="TableParagraph"/>
              <w:rPr>
                <w:sz w:val="18"/>
              </w:rPr>
            </w:pPr>
            <w:r>
              <w:rPr>
                <w:color w:val="231F20"/>
                <w:spacing w:val="-2"/>
                <w:sz w:val="18"/>
              </w:rPr>
              <w:t>&gt;'Sunday'</w:t>
            </w:r>
          </w:p>
        </w:tc>
      </w:tr>
    </w:tbl>
    <w:p>
      <w:pPr>
        <w:pStyle w:val="BodyText"/>
        <w:spacing w:before="114"/>
      </w:pPr>
    </w:p>
    <w:p>
      <w:pPr>
        <w:pStyle w:val="BodyText"/>
        <w:ind w:left="2472"/>
      </w:pPr>
      <w:r>
        <w:rPr>
          <w:color w:val="231F20"/>
          <w:spacing w:val="-2"/>
        </w:rPr>
        <w:t>NT_Services_AutoStart_NoSunday</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881"/>
        <w:gridCol w:w="2373"/>
        <w:gridCol w:w="2335"/>
        <w:gridCol w:w="1941"/>
      </w:tblGrid>
      <w:tr>
        <w:trPr>
          <w:trHeight w:val="274" w:hRule="atLeast"/>
        </w:trPr>
        <w:tc>
          <w:tcPr>
            <w:tcW w:w="881" w:type="dxa"/>
          </w:tcPr>
          <w:p>
            <w:pPr>
              <w:pStyle w:val="TableParagraph"/>
              <w:spacing w:before="0"/>
              <w:ind w:left="0"/>
              <w:rPr>
                <w:rFonts w:ascii="Times New Roman"/>
                <w:sz w:val="18"/>
              </w:rPr>
            </w:pPr>
          </w:p>
        </w:tc>
        <w:tc>
          <w:tcPr>
            <w:tcW w:w="2373" w:type="dxa"/>
          </w:tcPr>
          <w:p>
            <w:pPr>
              <w:pStyle w:val="TableParagraph"/>
              <w:spacing w:before="10"/>
              <w:ind w:left="60"/>
              <w:rPr>
                <w:rFonts w:ascii="Book Antiqua"/>
                <w:b/>
                <w:sz w:val="18"/>
              </w:rPr>
            </w:pPr>
            <w:r>
              <w:rPr>
                <w:rFonts w:ascii="Book Antiqua"/>
                <w:b/>
                <w:color w:val="231F20"/>
                <w:sz w:val="18"/>
              </w:rPr>
              <w:t>Start</w:t>
            </w:r>
            <w:r>
              <w:rPr>
                <w:rFonts w:ascii="Book Antiqua"/>
                <w:b/>
                <w:color w:val="231F20"/>
                <w:spacing w:val="10"/>
                <w:sz w:val="18"/>
              </w:rPr>
              <w:t> </w:t>
            </w:r>
            <w:r>
              <w:rPr>
                <w:rFonts w:ascii="Book Antiqua"/>
                <w:b/>
                <w:color w:val="231F20"/>
                <w:spacing w:val="-4"/>
                <w:sz w:val="18"/>
              </w:rPr>
              <w:t>Type</w:t>
            </w:r>
          </w:p>
        </w:tc>
        <w:tc>
          <w:tcPr>
            <w:tcW w:w="2335" w:type="dxa"/>
          </w:tcPr>
          <w:p>
            <w:pPr>
              <w:pStyle w:val="TableParagraph"/>
              <w:spacing w:before="10"/>
              <w:ind w:left="61"/>
              <w:rPr>
                <w:rFonts w:ascii="Book Antiqua"/>
                <w:b/>
                <w:sz w:val="18"/>
              </w:rPr>
            </w:pPr>
            <w:r>
              <w:rPr>
                <w:rFonts w:ascii="Book Antiqua"/>
                <w:b/>
                <w:color w:val="231F20"/>
                <w:sz w:val="18"/>
              </w:rPr>
              <w:t>Current</w:t>
            </w:r>
            <w:r>
              <w:rPr>
                <w:rFonts w:ascii="Book Antiqua"/>
                <w:b/>
                <w:color w:val="231F20"/>
                <w:spacing w:val="7"/>
                <w:sz w:val="18"/>
              </w:rPr>
              <w:t> </w:t>
            </w:r>
            <w:r>
              <w:rPr>
                <w:rFonts w:ascii="Book Antiqua"/>
                <w:b/>
                <w:color w:val="231F20"/>
                <w:spacing w:val="-2"/>
                <w:sz w:val="18"/>
              </w:rPr>
              <w:t>State</w:t>
            </w:r>
          </w:p>
        </w:tc>
        <w:tc>
          <w:tcPr>
            <w:tcW w:w="1941" w:type="dxa"/>
          </w:tcPr>
          <w:p>
            <w:pPr>
              <w:pStyle w:val="TableParagraph"/>
              <w:spacing w:before="10"/>
              <w:ind w:left="0" w:right="777"/>
              <w:jc w:val="center"/>
              <w:rPr>
                <w:rFonts w:ascii="Book Antiqua"/>
                <w:b/>
                <w:sz w:val="18"/>
              </w:rPr>
            </w:pPr>
            <w:r>
              <w:rPr>
                <w:rFonts w:ascii="Book Antiqua"/>
                <w:b/>
                <w:color w:val="231F20"/>
                <w:spacing w:val="-2"/>
                <w:sz w:val="18"/>
              </w:rPr>
              <w:t>Not_Sunday</w:t>
            </w:r>
          </w:p>
        </w:tc>
      </w:tr>
      <w:tr>
        <w:trPr>
          <w:trHeight w:val="314" w:hRule="atLeast"/>
        </w:trPr>
        <w:tc>
          <w:tcPr>
            <w:tcW w:w="881" w:type="dxa"/>
          </w:tcPr>
          <w:p>
            <w:pPr>
              <w:pStyle w:val="TableParagraph"/>
              <w:ind w:left="44"/>
              <w:rPr>
                <w:sz w:val="18"/>
              </w:rPr>
            </w:pPr>
            <w:r>
              <w:rPr>
                <w:color w:val="231F20"/>
                <w:spacing w:val="-10"/>
                <w:sz w:val="18"/>
              </w:rPr>
              <w:t>1</w:t>
            </w:r>
          </w:p>
        </w:tc>
        <w:tc>
          <w:tcPr>
            <w:tcW w:w="2373" w:type="dxa"/>
          </w:tcPr>
          <w:p>
            <w:pPr>
              <w:pStyle w:val="TableParagraph"/>
              <w:ind w:left="60"/>
              <w:rPr>
                <w:sz w:val="18"/>
              </w:rPr>
            </w:pPr>
            <w:r>
              <w:rPr>
                <w:color w:val="231F20"/>
                <w:spacing w:val="-2"/>
                <w:w w:val="105"/>
                <w:sz w:val="18"/>
              </w:rPr>
              <w:t>=='Automatic'</w:t>
            </w:r>
          </w:p>
        </w:tc>
        <w:tc>
          <w:tcPr>
            <w:tcW w:w="2335" w:type="dxa"/>
          </w:tcPr>
          <w:p>
            <w:pPr>
              <w:pStyle w:val="TableParagraph"/>
              <w:ind w:left="61"/>
              <w:rPr>
                <w:sz w:val="18"/>
              </w:rPr>
            </w:pPr>
            <w:r>
              <w:rPr>
                <w:color w:val="231F20"/>
                <w:w w:val="105"/>
                <w:sz w:val="18"/>
              </w:rPr>
              <w:t>==</w:t>
            </w:r>
            <w:r>
              <w:rPr>
                <w:color w:val="231F20"/>
                <w:spacing w:val="38"/>
                <w:w w:val="105"/>
                <w:sz w:val="18"/>
              </w:rPr>
              <w:t> </w:t>
            </w:r>
            <w:r>
              <w:rPr>
                <w:color w:val="231F20"/>
                <w:spacing w:val="-2"/>
                <w:w w:val="105"/>
                <w:sz w:val="18"/>
              </w:rPr>
              <w:t>'Stopped'</w:t>
            </w:r>
          </w:p>
        </w:tc>
        <w:tc>
          <w:tcPr>
            <w:tcW w:w="1941" w:type="dxa"/>
          </w:tcPr>
          <w:p>
            <w:pPr>
              <w:pStyle w:val="TableParagraph"/>
              <w:ind w:left="0" w:right="905"/>
              <w:jc w:val="center"/>
              <w:rPr>
                <w:sz w:val="18"/>
              </w:rPr>
            </w:pPr>
            <w:r>
              <w:rPr>
                <w:position w:val="-3"/>
              </w:rPr>
              <w:drawing>
                <wp:inline distT="0" distB="0" distL="0" distR="0">
                  <wp:extent cx="101600" cy="95250"/>
                  <wp:effectExtent l="0" t="0" r="0" b="0"/>
                  <wp:docPr id="2636" name="Image 2636"/>
                  <wp:cNvGraphicFramePr>
                    <a:graphicFrameLocks/>
                  </wp:cNvGraphicFramePr>
                  <a:graphic>
                    <a:graphicData uri="http://schemas.openxmlformats.org/drawingml/2006/picture">
                      <pic:pic>
                        <pic:nvPicPr>
                          <pic:cNvPr id="2636" name="Image 2636"/>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27"/>
                <w:w w:val="110"/>
                <w:sz w:val="18"/>
              </w:rPr>
              <w:t> </w:t>
            </w:r>
            <w:r>
              <w:rPr>
                <w:color w:val="231F20"/>
                <w:w w:val="110"/>
                <w:sz w:val="18"/>
              </w:rPr>
              <w:t>True</w:t>
            </w:r>
          </w:p>
        </w:tc>
      </w:tr>
    </w:tbl>
    <w:p>
      <w:pPr>
        <w:pStyle w:val="BodyText"/>
        <w:spacing w:before="137"/>
      </w:pPr>
    </w:p>
    <w:p>
      <w:pPr>
        <w:pStyle w:val="BodyText"/>
        <w:spacing w:line="213" w:lineRule="auto"/>
        <w:ind w:left="2472" w:right="274"/>
      </w:pPr>
      <w:r>
        <w:rPr>
          <w:color w:val="231F20"/>
        </w:rPr>
        <w:t>The Not_Sunday situation is distributed to, but not associated with the managed system</w:t>
      </w:r>
      <w:r>
        <w:rPr>
          <w:color w:val="231F20"/>
          <w:spacing w:val="26"/>
        </w:rPr>
        <w:t> </w:t>
      </w:r>
      <w:r>
        <w:rPr>
          <w:color w:val="231F20"/>
        </w:rPr>
        <w:t>so</w:t>
      </w:r>
      <w:r>
        <w:rPr>
          <w:color w:val="231F20"/>
          <w:spacing w:val="26"/>
        </w:rPr>
        <w:t> </w:t>
      </w:r>
      <w:r>
        <w:rPr>
          <w:color w:val="231F20"/>
        </w:rPr>
        <w:t>you</w:t>
      </w:r>
      <w:r>
        <w:rPr>
          <w:color w:val="231F20"/>
          <w:spacing w:val="26"/>
        </w:rPr>
        <w:t> </w:t>
      </w:r>
      <w:r>
        <w:rPr>
          <w:color w:val="231F20"/>
        </w:rPr>
        <w:t>do</w:t>
      </w:r>
      <w:r>
        <w:rPr>
          <w:color w:val="231F20"/>
          <w:spacing w:val="26"/>
        </w:rPr>
        <w:t> </w:t>
      </w:r>
      <w:r>
        <w:rPr>
          <w:color w:val="231F20"/>
        </w:rPr>
        <w:t>not</w:t>
      </w:r>
      <w:r>
        <w:rPr>
          <w:color w:val="231F20"/>
          <w:spacing w:val="26"/>
        </w:rPr>
        <w:t> </w:t>
      </w:r>
      <w:r>
        <w:rPr>
          <w:color w:val="231F20"/>
        </w:rPr>
        <w:t>see</w:t>
      </w:r>
      <w:r>
        <w:rPr>
          <w:color w:val="231F20"/>
          <w:spacing w:val="26"/>
        </w:rPr>
        <w:t> </w:t>
      </w:r>
      <w:r>
        <w:rPr>
          <w:color w:val="231F20"/>
        </w:rPr>
        <w:t>an</w:t>
      </w:r>
      <w:r>
        <w:rPr>
          <w:color w:val="231F20"/>
          <w:spacing w:val="26"/>
        </w:rPr>
        <w:t> </w:t>
      </w:r>
      <w:r>
        <w:rPr>
          <w:color w:val="231F20"/>
        </w:rPr>
        <w:t>event</w:t>
      </w:r>
      <w:r>
        <w:rPr>
          <w:color w:val="231F20"/>
          <w:spacing w:val="26"/>
        </w:rPr>
        <w:t> </w:t>
      </w:r>
      <w:r>
        <w:rPr>
          <w:color w:val="231F20"/>
        </w:rPr>
        <w:t>indicator</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Navigator</w:t>
      </w:r>
      <w:r>
        <w:rPr>
          <w:color w:val="231F20"/>
          <w:spacing w:val="26"/>
        </w:rPr>
        <w:t> </w:t>
      </w:r>
      <w:r>
        <w:rPr>
          <w:color w:val="231F20"/>
        </w:rPr>
        <w:t>when</w:t>
      </w:r>
      <w:r>
        <w:rPr>
          <w:color w:val="231F20"/>
          <w:spacing w:val="26"/>
        </w:rPr>
        <w:t> </w:t>
      </w:r>
      <w:r>
        <w:rPr>
          <w:color w:val="231F20"/>
        </w:rPr>
        <w:t>it</w:t>
      </w:r>
      <w:r>
        <w:rPr>
          <w:color w:val="231F20"/>
          <w:spacing w:val="26"/>
        </w:rPr>
        <w:t> </w:t>
      </w:r>
      <w:r>
        <w:rPr>
          <w:color w:val="231F20"/>
        </w:rPr>
        <w:t>becomes true, which would otherwise happen every day except Sunday. The sampling interval for this situation was set to 1 day. This enables the situations in which it is</w:t>
      </w:r>
      <w:r>
        <w:rPr>
          <w:color w:val="231F20"/>
          <w:spacing w:val="40"/>
        </w:rPr>
        <w:t> </w:t>
      </w:r>
      <w:r>
        <w:rPr>
          <w:color w:val="231F20"/>
        </w:rPr>
        <w:t>embedded, like NT_Services_AutoStart_NoSunday, to continue running but not cause alerts on Sunday when the computer is unavailable.</w:t>
      </w:r>
    </w:p>
    <w:p>
      <w:pPr>
        <w:pStyle w:val="Heading4"/>
        <w:spacing w:before="197"/>
        <w:ind w:left="2472"/>
      </w:pPr>
      <w:r>
        <w:rPr>
          <w:color w:val="231F20"/>
        </w:rPr>
        <w:t>Correlated situation</w:t>
      </w:r>
      <w:r>
        <w:rPr>
          <w:color w:val="231F20"/>
          <w:spacing w:val="2"/>
        </w:rPr>
        <w:t> </w:t>
      </w:r>
      <w:r>
        <w:rPr>
          <w:color w:val="231F20"/>
          <w:spacing w:val="-2"/>
        </w:rPr>
        <w:t>examples</w:t>
      </w:r>
    </w:p>
    <w:p>
      <w:pPr>
        <w:pStyle w:val="BodyText"/>
        <w:spacing w:line="213" w:lineRule="auto" w:before="242"/>
        <w:ind w:left="2472" w:right="385"/>
      </w:pPr>
      <w:r>
        <w:rPr>
          <w:color w:val="231F20"/>
        </w:rPr>
        <w:t>Suppose you have a Disk_Usage_Warning situation that has been distributed to 100 managed systems. You create a correlated situation that alerts you when Disk Space Warning is true on the most critical managed systems.</w:t>
      </w:r>
    </w:p>
    <w:p>
      <w:pPr>
        <w:pStyle w:val="BodyText"/>
        <w:spacing w:before="7"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607"/>
        <w:gridCol w:w="2321"/>
        <w:gridCol w:w="2379"/>
        <w:gridCol w:w="2229"/>
      </w:tblGrid>
      <w:tr>
        <w:trPr>
          <w:trHeight w:val="493" w:hRule="atLeast"/>
        </w:trPr>
        <w:tc>
          <w:tcPr>
            <w:tcW w:w="607" w:type="dxa"/>
          </w:tcPr>
          <w:p>
            <w:pPr>
              <w:pStyle w:val="TableParagraph"/>
              <w:spacing w:before="0"/>
              <w:ind w:left="0"/>
              <w:rPr>
                <w:rFonts w:ascii="Times New Roman"/>
                <w:sz w:val="18"/>
              </w:rPr>
            </w:pPr>
          </w:p>
        </w:tc>
        <w:tc>
          <w:tcPr>
            <w:tcW w:w="2321" w:type="dxa"/>
          </w:tcPr>
          <w:p>
            <w:pPr>
              <w:pStyle w:val="TableParagraph"/>
              <w:spacing w:line="242" w:lineRule="auto" w:before="10"/>
              <w:rPr>
                <w:rFonts w:ascii="Book Antiqua"/>
                <w:b/>
                <w:sz w:val="18"/>
              </w:rPr>
            </w:pPr>
            <w:r>
              <w:rPr>
                <w:rFonts w:ascii="Book Antiqua"/>
                <w:b/>
                <w:color w:val="231F20"/>
                <w:spacing w:val="-2"/>
                <w:sz w:val="18"/>
              </w:rPr>
              <w:t>Disk_Usage_Warning @Primary:MAIN1:NT</w:t>
            </w:r>
          </w:p>
        </w:tc>
        <w:tc>
          <w:tcPr>
            <w:tcW w:w="2379" w:type="dxa"/>
          </w:tcPr>
          <w:p>
            <w:pPr>
              <w:pStyle w:val="TableParagraph"/>
              <w:spacing w:line="242" w:lineRule="auto" w:before="10"/>
              <w:ind w:left="58"/>
              <w:rPr>
                <w:rFonts w:ascii="Book Antiqua"/>
                <w:b/>
                <w:sz w:val="18"/>
              </w:rPr>
            </w:pPr>
            <w:r>
              <w:rPr>
                <w:rFonts w:ascii="Book Antiqua"/>
                <w:b/>
                <w:color w:val="231F20"/>
                <w:spacing w:val="-2"/>
                <w:sz w:val="18"/>
              </w:rPr>
              <w:t>Disk_Usage_Warning @Primary:MAIN2:NT</w:t>
            </w:r>
          </w:p>
        </w:tc>
        <w:tc>
          <w:tcPr>
            <w:tcW w:w="2229" w:type="dxa"/>
          </w:tcPr>
          <w:p>
            <w:pPr>
              <w:pStyle w:val="TableParagraph"/>
              <w:spacing w:line="242" w:lineRule="auto" w:before="10"/>
              <w:ind w:left="58"/>
              <w:rPr>
                <w:rFonts w:ascii="Book Antiqua"/>
                <w:b/>
                <w:sz w:val="18"/>
              </w:rPr>
            </w:pPr>
            <w:r>
              <w:rPr>
                <w:rFonts w:ascii="Book Antiqua"/>
                <w:b/>
                <w:color w:val="231F20"/>
                <w:spacing w:val="-2"/>
                <w:sz w:val="18"/>
              </w:rPr>
              <w:t>Disk_Usage_Warning @Primary:MAIN3:NT</w:t>
            </w:r>
          </w:p>
        </w:tc>
      </w:tr>
      <w:tr>
        <w:trPr>
          <w:trHeight w:val="314" w:hRule="atLeast"/>
        </w:trPr>
        <w:tc>
          <w:tcPr>
            <w:tcW w:w="607" w:type="dxa"/>
          </w:tcPr>
          <w:p>
            <w:pPr>
              <w:pStyle w:val="TableParagraph"/>
              <w:ind w:left="44"/>
              <w:rPr>
                <w:sz w:val="18"/>
              </w:rPr>
            </w:pPr>
            <w:r>
              <w:rPr>
                <w:color w:val="231F20"/>
                <w:spacing w:val="-10"/>
                <w:sz w:val="18"/>
              </w:rPr>
              <w:t>1</w:t>
            </w:r>
          </w:p>
        </w:tc>
        <w:tc>
          <w:tcPr>
            <w:tcW w:w="2321" w:type="dxa"/>
          </w:tcPr>
          <w:p>
            <w:pPr>
              <w:pStyle w:val="TableParagraph"/>
              <w:rPr>
                <w:sz w:val="18"/>
              </w:rPr>
            </w:pPr>
            <w:r>
              <w:rPr>
                <w:position w:val="-3"/>
              </w:rPr>
              <w:drawing>
                <wp:inline distT="0" distB="0" distL="0" distR="0">
                  <wp:extent cx="101600" cy="95250"/>
                  <wp:effectExtent l="0" t="0" r="0" b="0"/>
                  <wp:docPr id="2637" name="Image 2637"/>
                  <wp:cNvGraphicFramePr>
                    <a:graphicFrameLocks/>
                  </wp:cNvGraphicFramePr>
                  <a:graphic>
                    <a:graphicData uri="http://schemas.openxmlformats.org/drawingml/2006/picture">
                      <pic:pic>
                        <pic:nvPicPr>
                          <pic:cNvPr id="2637" name="Image 2637"/>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z w:val="20"/>
              </w:rPr>
              <w:t> </w:t>
            </w:r>
            <w:r>
              <w:rPr>
                <w:color w:val="231F20"/>
                <w:w w:val="110"/>
                <w:sz w:val="18"/>
              </w:rPr>
              <w:t>==</w:t>
            </w:r>
            <w:r>
              <w:rPr>
                <w:color w:val="231F20"/>
                <w:spacing w:val="21"/>
                <w:w w:val="110"/>
                <w:sz w:val="18"/>
              </w:rPr>
              <w:t> </w:t>
            </w:r>
            <w:r>
              <w:rPr>
                <w:color w:val="231F20"/>
                <w:w w:val="110"/>
                <w:sz w:val="18"/>
              </w:rPr>
              <w:t>True</w:t>
            </w:r>
          </w:p>
        </w:tc>
        <w:tc>
          <w:tcPr>
            <w:tcW w:w="2379" w:type="dxa"/>
          </w:tcPr>
          <w:p>
            <w:pPr>
              <w:pStyle w:val="TableParagraph"/>
              <w:ind w:left="58"/>
              <w:rPr>
                <w:sz w:val="18"/>
              </w:rPr>
            </w:pPr>
            <w:r>
              <w:rPr>
                <w:position w:val="-3"/>
              </w:rPr>
              <w:drawing>
                <wp:inline distT="0" distB="0" distL="0" distR="0">
                  <wp:extent cx="101600" cy="95250"/>
                  <wp:effectExtent l="0" t="0" r="0" b="0"/>
                  <wp:docPr id="2638" name="Image 2638"/>
                  <wp:cNvGraphicFramePr>
                    <a:graphicFrameLocks/>
                  </wp:cNvGraphicFramePr>
                  <a:graphic>
                    <a:graphicData uri="http://schemas.openxmlformats.org/drawingml/2006/picture">
                      <pic:pic>
                        <pic:nvPicPr>
                          <pic:cNvPr id="2638" name="Image 2638"/>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z w:val="20"/>
              </w:rPr>
              <w:t> </w:t>
            </w:r>
            <w:r>
              <w:rPr>
                <w:color w:val="231F20"/>
                <w:w w:val="110"/>
                <w:sz w:val="18"/>
              </w:rPr>
              <w:t>==</w:t>
            </w:r>
            <w:r>
              <w:rPr>
                <w:color w:val="231F20"/>
                <w:spacing w:val="21"/>
                <w:w w:val="110"/>
                <w:sz w:val="18"/>
              </w:rPr>
              <w:t> </w:t>
            </w:r>
            <w:r>
              <w:rPr>
                <w:color w:val="231F20"/>
                <w:w w:val="110"/>
                <w:sz w:val="18"/>
              </w:rPr>
              <w:t>True</w:t>
            </w:r>
          </w:p>
        </w:tc>
        <w:tc>
          <w:tcPr>
            <w:tcW w:w="2229" w:type="dxa"/>
          </w:tcPr>
          <w:p>
            <w:pPr>
              <w:pStyle w:val="TableParagraph"/>
              <w:ind w:left="58"/>
              <w:rPr>
                <w:sz w:val="18"/>
              </w:rPr>
            </w:pPr>
            <w:r>
              <w:rPr>
                <w:position w:val="-3"/>
              </w:rPr>
              <w:drawing>
                <wp:inline distT="0" distB="0" distL="0" distR="0">
                  <wp:extent cx="101600" cy="95250"/>
                  <wp:effectExtent l="0" t="0" r="0" b="0"/>
                  <wp:docPr id="2639" name="Image 2639"/>
                  <wp:cNvGraphicFramePr>
                    <a:graphicFrameLocks/>
                  </wp:cNvGraphicFramePr>
                  <a:graphic>
                    <a:graphicData uri="http://schemas.openxmlformats.org/drawingml/2006/picture">
                      <pic:pic>
                        <pic:nvPicPr>
                          <pic:cNvPr id="2639" name="Image 2639"/>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z w:val="20"/>
              </w:rPr>
              <w:t> </w:t>
            </w:r>
            <w:r>
              <w:rPr>
                <w:color w:val="231F20"/>
                <w:w w:val="110"/>
                <w:sz w:val="18"/>
              </w:rPr>
              <w:t>==</w:t>
            </w:r>
            <w:r>
              <w:rPr>
                <w:color w:val="231F20"/>
                <w:spacing w:val="21"/>
                <w:w w:val="110"/>
                <w:sz w:val="18"/>
              </w:rPr>
              <w:t> </w:t>
            </w:r>
            <w:r>
              <w:rPr>
                <w:color w:val="231F20"/>
                <w:w w:val="110"/>
                <w:sz w:val="18"/>
              </w:rPr>
              <w:t>True</w:t>
            </w:r>
          </w:p>
        </w:tc>
      </w:tr>
    </w:tbl>
    <w:p>
      <w:pPr>
        <w:pStyle w:val="BodyText"/>
        <w:spacing w:before="138"/>
      </w:pPr>
    </w:p>
    <w:p>
      <w:pPr>
        <w:pStyle w:val="BodyText"/>
        <w:spacing w:line="213" w:lineRule="auto"/>
        <w:ind w:left="2472" w:right="274"/>
      </w:pPr>
      <w:r>
        <w:rPr>
          <w:color w:val="231F20"/>
        </w:rPr>
        <w:t>This correlated situation can be edited so that it becomes true when the Disk_Usage_Warning situation opens an event on any two of these three </w:t>
      </w:r>
      <w:r>
        <w:rPr>
          <w:color w:val="231F20"/>
        </w:rPr>
        <w:t>managed </w:t>
      </w:r>
      <w:r>
        <w:rPr>
          <w:color w:val="231F20"/>
          <w:spacing w:val="-2"/>
        </w:rPr>
        <w:t>systems:</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637"/>
        <w:gridCol w:w="2323"/>
        <w:gridCol w:w="2361"/>
        <w:gridCol w:w="2213"/>
      </w:tblGrid>
      <w:tr>
        <w:trPr>
          <w:trHeight w:val="493" w:hRule="atLeast"/>
        </w:trPr>
        <w:tc>
          <w:tcPr>
            <w:tcW w:w="637" w:type="dxa"/>
          </w:tcPr>
          <w:p>
            <w:pPr>
              <w:pStyle w:val="TableParagraph"/>
              <w:spacing w:before="0"/>
              <w:ind w:left="0"/>
              <w:rPr>
                <w:rFonts w:ascii="Times New Roman"/>
                <w:sz w:val="18"/>
              </w:rPr>
            </w:pPr>
          </w:p>
        </w:tc>
        <w:tc>
          <w:tcPr>
            <w:tcW w:w="2323" w:type="dxa"/>
          </w:tcPr>
          <w:p>
            <w:pPr>
              <w:pStyle w:val="TableParagraph"/>
              <w:spacing w:line="242" w:lineRule="auto" w:before="10"/>
              <w:rPr>
                <w:rFonts w:ascii="Book Antiqua"/>
                <w:b/>
                <w:sz w:val="18"/>
              </w:rPr>
            </w:pPr>
            <w:r>
              <w:rPr>
                <w:rFonts w:ascii="Book Antiqua"/>
                <w:b/>
                <w:color w:val="231F20"/>
                <w:spacing w:val="-2"/>
                <w:sz w:val="18"/>
              </w:rPr>
              <w:t>Disk_Usage_Warning @Primary:MAIN1:NT</w:t>
            </w:r>
          </w:p>
        </w:tc>
        <w:tc>
          <w:tcPr>
            <w:tcW w:w="2361" w:type="dxa"/>
          </w:tcPr>
          <w:p>
            <w:pPr>
              <w:pStyle w:val="TableParagraph"/>
              <w:spacing w:line="242" w:lineRule="auto" w:before="10"/>
              <w:rPr>
                <w:rFonts w:ascii="Book Antiqua"/>
                <w:b/>
                <w:sz w:val="18"/>
              </w:rPr>
            </w:pPr>
            <w:r>
              <w:rPr>
                <w:rFonts w:ascii="Book Antiqua"/>
                <w:b/>
                <w:color w:val="231F20"/>
                <w:spacing w:val="-2"/>
                <w:sz w:val="18"/>
              </w:rPr>
              <w:t>Disk_Usage_Warning @Primary:MAIN2:NT</w:t>
            </w:r>
          </w:p>
        </w:tc>
        <w:tc>
          <w:tcPr>
            <w:tcW w:w="2213" w:type="dxa"/>
          </w:tcPr>
          <w:p>
            <w:pPr>
              <w:pStyle w:val="TableParagraph"/>
              <w:spacing w:line="242" w:lineRule="auto" w:before="10"/>
              <w:rPr>
                <w:rFonts w:ascii="Book Antiqua"/>
                <w:b/>
                <w:sz w:val="18"/>
              </w:rPr>
            </w:pPr>
            <w:r>
              <w:rPr>
                <w:rFonts w:ascii="Book Antiqua"/>
                <w:b/>
                <w:color w:val="231F20"/>
                <w:spacing w:val="-2"/>
                <w:sz w:val="18"/>
              </w:rPr>
              <w:t>Disk_Usage_Warning @Primary:MAIN3:NT</w:t>
            </w:r>
          </w:p>
        </w:tc>
      </w:tr>
      <w:tr>
        <w:trPr>
          <w:trHeight w:val="309" w:hRule="atLeast"/>
        </w:trPr>
        <w:tc>
          <w:tcPr>
            <w:tcW w:w="637" w:type="dxa"/>
          </w:tcPr>
          <w:p>
            <w:pPr>
              <w:pStyle w:val="TableParagraph"/>
              <w:ind w:left="44"/>
              <w:rPr>
                <w:sz w:val="18"/>
              </w:rPr>
            </w:pPr>
            <w:r>
              <w:rPr>
                <w:color w:val="231F20"/>
                <w:spacing w:val="-10"/>
                <w:sz w:val="18"/>
              </w:rPr>
              <w:t>1</w:t>
            </w:r>
          </w:p>
        </w:tc>
        <w:tc>
          <w:tcPr>
            <w:tcW w:w="2323" w:type="dxa"/>
          </w:tcPr>
          <w:p>
            <w:pPr>
              <w:pStyle w:val="TableParagraph"/>
              <w:rPr>
                <w:sz w:val="18"/>
              </w:rPr>
            </w:pPr>
            <w:r>
              <w:rPr>
                <w:position w:val="-3"/>
              </w:rPr>
              <w:drawing>
                <wp:inline distT="0" distB="0" distL="0" distR="0">
                  <wp:extent cx="101600" cy="95250"/>
                  <wp:effectExtent l="0" t="0" r="0" b="0"/>
                  <wp:docPr id="2640" name="Image 2640"/>
                  <wp:cNvGraphicFramePr>
                    <a:graphicFrameLocks/>
                  </wp:cNvGraphicFramePr>
                  <a:graphic>
                    <a:graphicData uri="http://schemas.openxmlformats.org/drawingml/2006/picture">
                      <pic:pic>
                        <pic:nvPicPr>
                          <pic:cNvPr id="2640" name="Image 2640"/>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True</w:t>
            </w:r>
          </w:p>
        </w:tc>
        <w:tc>
          <w:tcPr>
            <w:tcW w:w="2361" w:type="dxa"/>
          </w:tcPr>
          <w:p>
            <w:pPr>
              <w:pStyle w:val="TableParagraph"/>
              <w:rPr>
                <w:sz w:val="18"/>
              </w:rPr>
            </w:pPr>
            <w:r>
              <w:rPr>
                <w:position w:val="-3"/>
              </w:rPr>
              <w:drawing>
                <wp:inline distT="0" distB="0" distL="0" distR="0">
                  <wp:extent cx="101600" cy="95250"/>
                  <wp:effectExtent l="0" t="0" r="0" b="0"/>
                  <wp:docPr id="2641" name="Image 2641"/>
                  <wp:cNvGraphicFramePr>
                    <a:graphicFrameLocks/>
                  </wp:cNvGraphicFramePr>
                  <a:graphic>
                    <a:graphicData uri="http://schemas.openxmlformats.org/drawingml/2006/picture">
                      <pic:pic>
                        <pic:nvPicPr>
                          <pic:cNvPr id="2641" name="Image 2641"/>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True</w:t>
            </w:r>
          </w:p>
        </w:tc>
        <w:tc>
          <w:tcPr>
            <w:tcW w:w="2213" w:type="dxa"/>
          </w:tcPr>
          <w:p>
            <w:pPr>
              <w:pStyle w:val="TableParagraph"/>
              <w:rPr>
                <w:sz w:val="18"/>
              </w:rPr>
            </w:pPr>
            <w:r>
              <w:rPr>
                <w:color w:val="231F20"/>
                <w:w w:val="110"/>
                <w:sz w:val="18"/>
              </w:rPr>
              <w:t>==</w:t>
            </w:r>
            <w:r>
              <w:rPr>
                <w:color w:val="231F20"/>
                <w:spacing w:val="27"/>
                <w:w w:val="110"/>
                <w:sz w:val="18"/>
              </w:rPr>
              <w:t> </w:t>
            </w:r>
            <w:r>
              <w:rPr>
                <w:color w:val="231F20"/>
                <w:spacing w:val="-4"/>
                <w:w w:val="110"/>
                <w:sz w:val="18"/>
              </w:rPr>
              <w:t>True</w:t>
            </w:r>
          </w:p>
        </w:tc>
      </w:tr>
      <w:tr>
        <w:trPr>
          <w:trHeight w:val="309" w:hRule="atLeast"/>
        </w:trPr>
        <w:tc>
          <w:tcPr>
            <w:tcW w:w="637" w:type="dxa"/>
          </w:tcPr>
          <w:p>
            <w:pPr>
              <w:pStyle w:val="TableParagraph"/>
              <w:ind w:left="44"/>
              <w:rPr>
                <w:sz w:val="18"/>
              </w:rPr>
            </w:pPr>
            <w:r>
              <w:rPr>
                <w:color w:val="231F20"/>
                <w:spacing w:val="-10"/>
                <w:sz w:val="18"/>
              </w:rPr>
              <w:t>2</w:t>
            </w:r>
          </w:p>
        </w:tc>
        <w:tc>
          <w:tcPr>
            <w:tcW w:w="2323" w:type="dxa"/>
          </w:tcPr>
          <w:p>
            <w:pPr>
              <w:pStyle w:val="TableParagraph"/>
              <w:rPr>
                <w:sz w:val="18"/>
              </w:rPr>
            </w:pPr>
            <w:r>
              <w:rPr>
                <w:position w:val="-3"/>
              </w:rPr>
              <w:drawing>
                <wp:inline distT="0" distB="0" distL="0" distR="0">
                  <wp:extent cx="101600" cy="95250"/>
                  <wp:effectExtent l="0" t="0" r="0" b="0"/>
                  <wp:docPr id="2642" name="Image 2642"/>
                  <wp:cNvGraphicFramePr>
                    <a:graphicFrameLocks/>
                  </wp:cNvGraphicFramePr>
                  <a:graphic>
                    <a:graphicData uri="http://schemas.openxmlformats.org/drawingml/2006/picture">
                      <pic:pic>
                        <pic:nvPicPr>
                          <pic:cNvPr id="2642" name="Image 2642"/>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True</w:t>
            </w:r>
          </w:p>
        </w:tc>
        <w:tc>
          <w:tcPr>
            <w:tcW w:w="2361" w:type="dxa"/>
          </w:tcPr>
          <w:p>
            <w:pPr>
              <w:pStyle w:val="TableParagraph"/>
              <w:spacing w:before="0"/>
              <w:ind w:left="0"/>
              <w:rPr>
                <w:rFonts w:ascii="Times New Roman"/>
                <w:sz w:val="18"/>
              </w:rPr>
            </w:pPr>
          </w:p>
        </w:tc>
        <w:tc>
          <w:tcPr>
            <w:tcW w:w="2213" w:type="dxa"/>
          </w:tcPr>
          <w:p>
            <w:pPr>
              <w:pStyle w:val="TableParagraph"/>
              <w:ind w:left="0" w:right="1242"/>
              <w:jc w:val="right"/>
              <w:rPr>
                <w:sz w:val="18"/>
              </w:rPr>
            </w:pPr>
            <w:r>
              <w:rPr>
                <w:position w:val="-3"/>
              </w:rPr>
              <w:drawing>
                <wp:inline distT="0" distB="0" distL="0" distR="0">
                  <wp:extent cx="101600" cy="95250"/>
                  <wp:effectExtent l="0" t="0" r="0" b="0"/>
                  <wp:docPr id="2643" name="Image 2643"/>
                  <wp:cNvGraphicFramePr>
                    <a:graphicFrameLocks/>
                  </wp:cNvGraphicFramePr>
                  <a:graphic>
                    <a:graphicData uri="http://schemas.openxmlformats.org/drawingml/2006/picture">
                      <pic:pic>
                        <pic:nvPicPr>
                          <pic:cNvPr id="2643" name="Image 2643"/>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4"/>
                <w:w w:val="110"/>
                <w:sz w:val="18"/>
              </w:rPr>
              <w:t> </w:t>
            </w:r>
            <w:r>
              <w:rPr>
                <w:color w:val="231F20"/>
                <w:w w:val="110"/>
                <w:sz w:val="18"/>
              </w:rPr>
              <w:t>True</w:t>
            </w:r>
          </w:p>
        </w:tc>
      </w:tr>
      <w:tr>
        <w:trPr>
          <w:trHeight w:val="314" w:hRule="atLeast"/>
        </w:trPr>
        <w:tc>
          <w:tcPr>
            <w:tcW w:w="637" w:type="dxa"/>
          </w:tcPr>
          <w:p>
            <w:pPr>
              <w:pStyle w:val="TableParagraph"/>
              <w:ind w:left="44"/>
              <w:rPr>
                <w:sz w:val="18"/>
              </w:rPr>
            </w:pPr>
            <w:r>
              <w:rPr>
                <w:color w:val="231F20"/>
                <w:spacing w:val="-10"/>
                <w:sz w:val="18"/>
              </w:rPr>
              <w:t>3</w:t>
            </w:r>
          </w:p>
        </w:tc>
        <w:tc>
          <w:tcPr>
            <w:tcW w:w="2323" w:type="dxa"/>
          </w:tcPr>
          <w:p>
            <w:pPr>
              <w:pStyle w:val="TableParagraph"/>
              <w:spacing w:before="0"/>
              <w:ind w:left="0"/>
              <w:rPr>
                <w:rFonts w:ascii="Times New Roman"/>
                <w:sz w:val="18"/>
              </w:rPr>
            </w:pPr>
          </w:p>
        </w:tc>
        <w:tc>
          <w:tcPr>
            <w:tcW w:w="2361" w:type="dxa"/>
          </w:tcPr>
          <w:p>
            <w:pPr>
              <w:pStyle w:val="TableParagraph"/>
              <w:rPr>
                <w:sz w:val="18"/>
              </w:rPr>
            </w:pPr>
            <w:r>
              <w:rPr>
                <w:position w:val="-3"/>
              </w:rPr>
              <w:drawing>
                <wp:inline distT="0" distB="0" distL="0" distR="0">
                  <wp:extent cx="101600" cy="95250"/>
                  <wp:effectExtent l="0" t="0" r="0" b="0"/>
                  <wp:docPr id="2644" name="Image 2644"/>
                  <wp:cNvGraphicFramePr>
                    <a:graphicFrameLocks/>
                  </wp:cNvGraphicFramePr>
                  <a:graphic>
                    <a:graphicData uri="http://schemas.openxmlformats.org/drawingml/2006/picture">
                      <pic:pic>
                        <pic:nvPicPr>
                          <pic:cNvPr id="2644" name="Image 2644"/>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40"/>
                <w:w w:val="110"/>
                <w:sz w:val="20"/>
              </w:rPr>
              <w:t> </w:t>
            </w:r>
            <w:r>
              <w:rPr>
                <w:color w:val="231F20"/>
                <w:w w:val="110"/>
                <w:sz w:val="18"/>
              </w:rPr>
              <w:t>==</w:t>
            </w:r>
            <w:r>
              <w:rPr>
                <w:color w:val="231F20"/>
                <w:spacing w:val="39"/>
                <w:w w:val="110"/>
                <w:sz w:val="18"/>
              </w:rPr>
              <w:t> </w:t>
            </w:r>
            <w:r>
              <w:rPr>
                <w:color w:val="231F20"/>
                <w:w w:val="110"/>
                <w:sz w:val="18"/>
              </w:rPr>
              <w:t>True</w:t>
            </w:r>
          </w:p>
        </w:tc>
        <w:tc>
          <w:tcPr>
            <w:tcW w:w="2213" w:type="dxa"/>
          </w:tcPr>
          <w:p>
            <w:pPr>
              <w:pStyle w:val="TableParagraph"/>
              <w:ind w:left="0" w:right="1301"/>
              <w:jc w:val="right"/>
              <w:rPr>
                <w:sz w:val="18"/>
              </w:rPr>
            </w:pPr>
            <w:r>
              <w:rPr>
                <w:position w:val="-3"/>
              </w:rPr>
              <w:drawing>
                <wp:inline distT="0" distB="0" distL="0" distR="0">
                  <wp:extent cx="101600" cy="95250"/>
                  <wp:effectExtent l="0" t="0" r="0" b="0"/>
                  <wp:docPr id="2645" name="Image 2645"/>
                  <wp:cNvGraphicFramePr>
                    <a:graphicFrameLocks/>
                  </wp:cNvGraphicFramePr>
                  <a:graphic>
                    <a:graphicData uri="http://schemas.openxmlformats.org/drawingml/2006/picture">
                      <pic:pic>
                        <pic:nvPicPr>
                          <pic:cNvPr id="2645" name="Image 2645"/>
                          <pic:cNvPicPr/>
                        </pic:nvPicPr>
                        <pic:blipFill>
                          <a:blip r:embed="rId31" cstate="print"/>
                          <a:stretch>
                            <a:fillRect/>
                          </a:stretch>
                        </pic:blipFill>
                        <pic:spPr>
                          <a:xfrm>
                            <a:off x="0" y="0"/>
                            <a:ext cx="101600" cy="95250"/>
                          </a:xfrm>
                          <a:prstGeom prst="rect">
                            <a:avLst/>
                          </a:prstGeom>
                        </pic:spPr>
                      </pic:pic>
                    </a:graphicData>
                  </a:graphic>
                </wp:inline>
              </w:drawing>
            </w:r>
            <w:r>
              <w:rPr>
                <w:position w:val="-3"/>
              </w:rPr>
            </w:r>
            <w:r>
              <w:rPr>
                <w:rFonts w:ascii="Times New Roman"/>
                <w:spacing w:val="-2"/>
                <w:sz w:val="20"/>
              </w:rPr>
              <w:t> </w:t>
            </w:r>
            <w:r>
              <w:rPr>
                <w:color w:val="231F20"/>
                <w:w w:val="110"/>
                <w:sz w:val="18"/>
              </w:rPr>
              <w:t>==</w:t>
            </w:r>
            <w:r>
              <w:rPr>
                <w:color w:val="231F20"/>
                <w:spacing w:val="17"/>
                <w:w w:val="110"/>
                <w:sz w:val="18"/>
              </w:rPr>
              <w:t> </w:t>
            </w:r>
            <w:r>
              <w:rPr>
                <w:color w:val="231F20"/>
                <w:w w:val="110"/>
                <w:sz w:val="18"/>
              </w:rPr>
              <w:t>True</w:t>
            </w:r>
          </w:p>
        </w:tc>
      </w:tr>
    </w:tbl>
    <w:p>
      <w:pPr>
        <w:pStyle w:val="BodyText"/>
        <w:spacing w:before="100"/>
      </w:pPr>
    </w:p>
    <w:p>
      <w:pPr>
        <w:pStyle w:val="Heading4"/>
        <w:spacing w:before="0"/>
        <w:ind w:left="2472"/>
      </w:pPr>
      <w:r>
        <w:rPr>
          <w:color w:val="231F20"/>
        </w:rPr>
        <w:t>Expert</w:t>
      </w:r>
      <w:r>
        <w:rPr>
          <w:color w:val="231F20"/>
          <w:spacing w:val="5"/>
        </w:rPr>
        <w:t> </w:t>
      </w:r>
      <w:r>
        <w:rPr>
          <w:color w:val="231F20"/>
        </w:rPr>
        <w:t>advice</w:t>
      </w:r>
      <w:r>
        <w:rPr>
          <w:color w:val="231F20"/>
          <w:spacing w:val="6"/>
        </w:rPr>
        <w:t> </w:t>
      </w:r>
      <w:r>
        <w:rPr>
          <w:color w:val="231F20"/>
        </w:rPr>
        <w:t>HTML</w:t>
      </w:r>
      <w:r>
        <w:rPr>
          <w:color w:val="231F20"/>
          <w:spacing w:val="1"/>
        </w:rPr>
        <w:t> </w:t>
      </w:r>
      <w:r>
        <w:rPr>
          <w:color w:val="231F20"/>
          <w:spacing w:val="-2"/>
        </w:rPr>
        <w:t>examples</w:t>
      </w:r>
    </w:p>
    <w:p>
      <w:pPr>
        <w:pStyle w:val="BodyText"/>
        <w:spacing w:before="241"/>
        <w:ind w:left="2472"/>
        <w:rPr>
          <w:rFonts w:ascii="Arial"/>
        </w:rPr>
      </w:pPr>
      <w:r>
        <w:rPr>
          <w:rFonts w:ascii="Arial"/>
          <w:color w:val="231F20"/>
          <w:spacing w:val="-2"/>
          <w:w w:val="90"/>
        </w:rPr>
        <w:t>node=$EVENT:ATTRIBUTE.ISITSTSH.NODE$;</w:t>
      </w:r>
    </w:p>
    <w:p>
      <w:pPr>
        <w:pStyle w:val="BodyText"/>
        <w:spacing w:before="9"/>
        <w:ind w:left="2472"/>
        <w:rPr>
          <w:rFonts w:ascii="Arial" w:hAnsi="Arial"/>
        </w:rPr>
      </w:pPr>
      <w:r>
        <w:rPr>
          <w:rFonts w:ascii="Arial" w:hAnsi="Arial"/>
          <w:color w:val="231F20"/>
          <w:w w:val="90"/>
        </w:rPr>
        <w:t>"BODY</w:t>
      </w:r>
      <w:r>
        <w:rPr>
          <w:rFonts w:ascii="Arial" w:hAnsi="Arial"/>
          <w:color w:val="231F20"/>
          <w:spacing w:val="68"/>
          <w:w w:val="150"/>
        </w:rPr>
        <w:t> </w:t>
      </w:r>
      <w:r>
        <w:rPr>
          <w:rFonts w:ascii="Arial" w:hAnsi="Arial"/>
          <w:color w:val="231F20"/>
          <w:w w:val="90"/>
        </w:rPr>
        <w:t>BGCOLOR=’#FFF80’&gt;&lt;div</w:t>
      </w:r>
      <w:r>
        <w:rPr>
          <w:rFonts w:ascii="Arial" w:hAnsi="Arial"/>
          <w:color w:val="231F20"/>
          <w:spacing w:val="69"/>
          <w:w w:val="150"/>
        </w:rPr>
        <w:t> </w:t>
      </w:r>
      <w:r>
        <w:rPr>
          <w:rFonts w:ascii="Arial" w:hAnsi="Arial"/>
          <w:color w:val="231F20"/>
          <w:w w:val="90"/>
        </w:rPr>
        <w:t>align=center&gt;&lt;h3&gt;&lt;i&gt;Advice</w:t>
      </w:r>
      <w:r>
        <w:rPr>
          <w:rFonts w:ascii="Arial" w:hAnsi="Arial"/>
          <w:color w:val="231F20"/>
          <w:spacing w:val="69"/>
          <w:w w:val="150"/>
        </w:rPr>
        <w:t> </w:t>
      </w:r>
      <w:r>
        <w:rPr>
          <w:rFonts w:ascii="Arial" w:hAnsi="Arial"/>
          <w:color w:val="231F20"/>
          <w:w w:val="90"/>
        </w:rPr>
        <w:t>on</w:t>
      </w:r>
      <w:r>
        <w:rPr>
          <w:rFonts w:ascii="Arial" w:hAnsi="Arial"/>
          <w:color w:val="231F20"/>
          <w:spacing w:val="69"/>
          <w:w w:val="150"/>
        </w:rPr>
        <w:t> </w:t>
      </w:r>
      <w:r>
        <w:rPr>
          <w:rFonts w:ascii="Arial" w:hAnsi="Arial"/>
          <w:color w:val="231F20"/>
          <w:spacing w:val="-2"/>
          <w:w w:val="90"/>
        </w:rPr>
        <w:t>situation</w:t>
      </w:r>
    </w:p>
    <w:p>
      <w:pPr>
        <w:pStyle w:val="BodyText"/>
        <w:spacing w:line="249" w:lineRule="auto" w:before="10"/>
        <w:ind w:left="2472" w:right="202"/>
        <w:rPr>
          <w:rFonts w:ascii="Arial"/>
        </w:rPr>
      </w:pPr>
      <w:r>
        <w:rPr>
          <w:rFonts w:ascii="Arial"/>
          <w:color w:val="231F20"/>
        </w:rPr>
        <w:t>&lt;/i&gt;&lt;/h3&gt;&lt;h2&gt;"+name+"&lt;/h1&gt;&lt;p&gt;&lt;img</w:t>
      </w:r>
      <w:r>
        <w:rPr>
          <w:rFonts w:ascii="Arial"/>
          <w:color w:val="231F20"/>
          <w:spacing w:val="40"/>
        </w:rPr>
        <w:t> </w:t>
      </w:r>
      <w:r>
        <w:rPr>
          <w:rFonts w:ascii="Arial"/>
          <w:color w:val="231F20"/>
        </w:rPr>
        <w:t>src=http://localhost:15200/wws_globe.gif&gt; </w:t>
      </w:r>
      <w:r>
        <w:rPr>
          <w:rFonts w:ascii="Arial"/>
          <w:color w:val="231F20"/>
          <w:w w:val="105"/>
        </w:rPr>
        <w:t>The</w:t>
      </w:r>
      <w:r>
        <w:rPr>
          <w:rFonts w:ascii="Arial"/>
          <w:color w:val="231F20"/>
          <w:spacing w:val="30"/>
          <w:w w:val="105"/>
        </w:rPr>
        <w:t> </w:t>
      </w:r>
      <w:r>
        <w:rPr>
          <w:rFonts w:ascii="Arial"/>
          <w:color w:val="231F20"/>
          <w:w w:val="105"/>
        </w:rPr>
        <w:t>number</w:t>
      </w:r>
      <w:r>
        <w:rPr>
          <w:rFonts w:ascii="Arial"/>
          <w:color w:val="231F20"/>
          <w:spacing w:val="30"/>
          <w:w w:val="105"/>
        </w:rPr>
        <w:t> </w:t>
      </w:r>
      <w:r>
        <w:rPr>
          <w:rFonts w:ascii="Arial"/>
          <w:color w:val="231F20"/>
          <w:w w:val="105"/>
        </w:rPr>
        <w:t>of</w:t>
      </w:r>
      <w:r>
        <w:rPr>
          <w:rFonts w:ascii="Arial"/>
          <w:color w:val="231F20"/>
          <w:spacing w:val="30"/>
          <w:w w:val="105"/>
        </w:rPr>
        <w:t> </w:t>
      </w:r>
      <w:r>
        <w:rPr>
          <w:rFonts w:ascii="Arial"/>
          <w:color w:val="231F20"/>
          <w:w w:val="105"/>
        </w:rPr>
        <w:t>concurrent</w:t>
      </w:r>
      <w:r>
        <w:rPr>
          <w:rFonts w:ascii="Arial"/>
          <w:color w:val="231F20"/>
          <w:spacing w:val="30"/>
          <w:w w:val="105"/>
        </w:rPr>
        <w:t> </w:t>
      </w:r>
      <w:r>
        <w:rPr>
          <w:rFonts w:ascii="Arial"/>
          <w:color w:val="231F20"/>
          <w:w w:val="105"/>
        </w:rPr>
        <w:t>connections</w:t>
      </w:r>
      <w:r>
        <w:rPr>
          <w:rFonts w:ascii="Arial"/>
          <w:color w:val="231F20"/>
          <w:spacing w:val="30"/>
          <w:w w:val="105"/>
        </w:rPr>
        <w:t> </w:t>
      </w:r>
      <w:r>
        <w:rPr>
          <w:rFonts w:ascii="Arial"/>
          <w:color w:val="231F20"/>
          <w:w w:val="105"/>
        </w:rPr>
        <w:t>associated</w:t>
      </w:r>
      <w:r>
        <w:rPr>
          <w:rFonts w:ascii="Arial"/>
          <w:color w:val="231F20"/>
          <w:spacing w:val="30"/>
          <w:w w:val="105"/>
        </w:rPr>
        <w:t> </w:t>
      </w:r>
      <w:r>
        <w:rPr>
          <w:rFonts w:ascii="Arial"/>
          <w:color w:val="231F20"/>
          <w:w w:val="105"/>
        </w:rPr>
        <w:t>with</w:t>
      </w:r>
      <w:r>
        <w:rPr>
          <w:rFonts w:ascii="Arial"/>
          <w:color w:val="231F20"/>
          <w:spacing w:val="30"/>
          <w:w w:val="105"/>
        </w:rPr>
        <w:t> </w:t>
      </w:r>
      <w:r>
        <w:rPr>
          <w:rFonts w:ascii="Arial"/>
          <w:color w:val="231F20"/>
          <w:w w:val="105"/>
        </w:rPr>
        <w:t>the</w:t>
      </w:r>
      <w:r>
        <w:rPr>
          <w:rFonts w:ascii="Arial"/>
          <w:color w:val="231F20"/>
          <w:spacing w:val="30"/>
          <w:w w:val="105"/>
        </w:rPr>
        <w:t> </w:t>
      </w:r>
      <w:r>
        <w:rPr>
          <w:rFonts w:ascii="Arial"/>
          <w:color w:val="231F20"/>
          <w:w w:val="105"/>
        </w:rPr>
        <w:t>Tracker</w:t>
      </w:r>
      <w:r>
        <w:rPr>
          <w:rFonts w:ascii="Arial"/>
          <w:color w:val="231F20"/>
          <w:spacing w:val="30"/>
          <w:w w:val="105"/>
        </w:rPr>
        <w:t> </w:t>
      </w:r>
      <w:r>
        <w:rPr>
          <w:rFonts w:ascii="Arial"/>
          <w:color w:val="231F20"/>
          <w:w w:val="105"/>
        </w:rPr>
        <w:t>server</w:t>
      </w:r>
      <w:r>
        <w:rPr>
          <w:rFonts w:ascii="Arial"/>
          <w:color w:val="231F20"/>
          <w:spacing w:val="30"/>
          <w:w w:val="105"/>
        </w:rPr>
        <w:t> </w:t>
      </w:r>
      <w:r>
        <w:rPr>
          <w:rFonts w:ascii="Arial"/>
          <w:color w:val="231F20"/>
          <w:w w:val="105"/>
        </w:rPr>
        <w:t>on</w:t>
      </w:r>
    </w:p>
    <w:p>
      <w:pPr>
        <w:pStyle w:val="BodyText"/>
        <w:spacing w:line="249" w:lineRule="auto"/>
        <w:ind w:left="2472"/>
        <w:rPr>
          <w:rFonts w:ascii="Arial"/>
        </w:rPr>
      </w:pPr>
      <w:r>
        <w:rPr>
          <w:rFonts w:ascii="Arial"/>
          <w:color w:val="231F20"/>
        </w:rPr>
        <w:t>&lt;b&gt;"+node+"&lt;/b&gt;</w:t>
      </w:r>
      <w:r>
        <w:rPr>
          <w:rFonts w:ascii="Arial"/>
          <w:color w:val="231F20"/>
          <w:spacing w:val="40"/>
        </w:rPr>
        <w:t> </w:t>
      </w:r>
      <w:r>
        <w:rPr>
          <w:rFonts w:ascii="Arial"/>
          <w:color w:val="231F20"/>
        </w:rPr>
        <w:t>is</w:t>
      </w:r>
      <w:r>
        <w:rPr>
          <w:rFonts w:ascii="Arial"/>
          <w:color w:val="231F20"/>
          <w:spacing w:val="40"/>
        </w:rPr>
        <w:t> </w:t>
      </w:r>
      <w:r>
        <w:rPr>
          <w:rFonts w:ascii="Arial"/>
          <w:color w:val="231F20"/>
        </w:rPr>
        <w:t>high.&lt;p&gt;</w:t>
      </w:r>
      <w:r>
        <w:rPr>
          <w:rFonts w:ascii="Arial"/>
          <w:color w:val="231F20"/>
          <w:spacing w:val="40"/>
        </w:rPr>
        <w:t> </w:t>
      </w:r>
      <w:r>
        <w:rPr>
          <w:rFonts w:ascii="Arial"/>
          <w:color w:val="231F20"/>
        </w:rPr>
        <w:t>Click</w:t>
      </w:r>
      <w:r>
        <w:rPr>
          <w:rFonts w:ascii="Arial"/>
          <w:color w:val="231F20"/>
          <w:spacing w:val="40"/>
        </w:rPr>
        <w:t> </w:t>
      </w:r>
      <w:r>
        <w:rPr>
          <w:rFonts w:ascii="Arial"/>
          <w:color w:val="231F20"/>
        </w:rPr>
        <w:t>here</w:t>
      </w:r>
      <w:r>
        <w:rPr>
          <w:rFonts w:ascii="Arial"/>
          <w:color w:val="231F20"/>
          <w:spacing w:val="40"/>
        </w:rPr>
        <w:t> </w:t>
      </w:r>
      <w:r>
        <w:rPr>
          <w:rFonts w:ascii="Arial"/>
          <w:color w:val="231F20"/>
        </w:rPr>
        <w:t>for</w:t>
      </w:r>
      <w:r>
        <w:rPr>
          <w:rFonts w:ascii="Arial"/>
          <w:color w:val="231F20"/>
          <w:spacing w:val="40"/>
        </w:rPr>
        <w:t> </w:t>
      </w:r>
      <w:r>
        <w:rPr>
          <w:rFonts w:ascii="Arial"/>
          <w:color w:val="231F20"/>
        </w:rPr>
        <w:t>more</w:t>
      </w:r>
      <w:r>
        <w:rPr>
          <w:rFonts w:ascii="Arial"/>
          <w:color w:val="231F20"/>
          <w:spacing w:val="40"/>
        </w:rPr>
        <w:t> </w:t>
      </w:r>
      <w:r>
        <w:rPr>
          <w:rFonts w:ascii="Arial"/>
          <w:color w:val="231F20"/>
        </w:rPr>
        <w:t>information:</w:t>
      </w:r>
      <w:r>
        <w:rPr>
          <w:rFonts w:ascii="Arial"/>
          <w:color w:val="231F20"/>
          <w:spacing w:val="40"/>
        </w:rPr>
        <w:t> </w:t>
      </w:r>
      <w:r>
        <w:rPr>
          <w:rFonts w:ascii="Arial"/>
          <w:color w:val="231F20"/>
        </w:rPr>
        <w:t>&lt;a</w:t>
      </w:r>
      <w:r>
        <w:rPr>
          <w:rFonts w:ascii="Arial"/>
          <w:color w:val="231F20"/>
          <w:w w:val="110"/>
        </w:rPr>
        <w:t> </w:t>
      </w:r>
      <w:r>
        <w:rPr>
          <w:rFonts w:ascii="Arial"/>
          <w:color w:val="231F20"/>
          <w:spacing w:val="-2"/>
          <w:w w:val="110"/>
        </w:rPr>
        <w:t>href=http://localhost:15200/classes/candle/fw/resources/help/</w:t>
      </w:r>
    </w:p>
    <w:p>
      <w:pPr>
        <w:spacing w:after="0" w:line="249" w:lineRule="auto"/>
        <w:rPr>
          <w:rFonts w:ascii="Arial"/>
        </w:rPr>
        <w:sectPr>
          <w:pgSz w:w="12240" w:h="15840"/>
          <w:pgMar w:header="0" w:footer="736" w:top="1140" w:bottom="920" w:left="1000" w:right="1060"/>
        </w:sectPr>
      </w:pPr>
    </w:p>
    <w:p>
      <w:pPr>
        <w:pStyle w:val="BodyText"/>
        <w:spacing w:before="64"/>
        <w:ind w:left="2232"/>
        <w:rPr>
          <w:rFonts w:ascii="Arial"/>
        </w:rPr>
      </w:pPr>
      <w:bookmarkStart w:name="_bookmark232" w:id="487"/>
      <w:bookmarkEnd w:id="487"/>
      <w:r>
        <w:rPr/>
      </w:r>
      <w:r>
        <w:rPr>
          <w:rFonts w:ascii="Arial"/>
          <w:color w:val="231F20"/>
          <w:spacing w:val="-2"/>
        </w:rPr>
        <w:t>wkspace_overview.htm&gt;Operations</w:t>
      </w:r>
      <w:r>
        <w:rPr>
          <w:rFonts w:ascii="Arial"/>
          <w:color w:val="231F20"/>
          <w:spacing w:val="10"/>
        </w:rPr>
        <w:t> </w:t>
      </w:r>
      <w:r>
        <w:rPr>
          <w:rFonts w:ascii="Arial"/>
          <w:color w:val="231F20"/>
          <w:spacing w:val="-2"/>
        </w:rPr>
        <w:t>Runbook&lt;/a&gt;&lt;/div&gt;"</w:t>
      </w:r>
    </w:p>
    <w:p>
      <w:pPr>
        <w:pStyle w:val="BodyText"/>
        <w:spacing w:before="3"/>
        <w:rPr>
          <w:rFonts w:ascii="Arial"/>
        </w:rPr>
      </w:pPr>
      <w:r>
        <w:rPr/>
        <mc:AlternateContent>
          <mc:Choice Requires="wps">
            <w:drawing>
              <wp:anchor distT="0" distB="0" distL="0" distR="0" allowOverlap="1" layoutInCell="1" locked="0" behindDoc="1" simplePos="0" relativeHeight="487733248">
                <wp:simplePos x="0" y="0"/>
                <wp:positionH relativeFrom="page">
                  <wp:posOffset>760323</wp:posOffset>
                </wp:positionH>
                <wp:positionV relativeFrom="paragraph">
                  <wp:posOffset>163296</wp:posOffset>
                </wp:positionV>
                <wp:extent cx="6082665" cy="1270"/>
                <wp:effectExtent l="0" t="0" r="0" b="0"/>
                <wp:wrapTopAndBottom/>
                <wp:docPr id="2646" name="Graphic 2646"/>
                <wp:cNvGraphicFramePr>
                  <a:graphicFrameLocks/>
                </wp:cNvGraphicFramePr>
                <a:graphic>
                  <a:graphicData uri="http://schemas.microsoft.com/office/word/2010/wordprocessingShape">
                    <wps:wsp>
                      <wps:cNvPr id="2646" name="Graphic 264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857977pt;width:478.95pt;height:.1pt;mso-position-horizontal-relative:page;mso-position-vertical-relative:paragraph;z-index:-15583232;mso-wrap-distance-left:0;mso-wrap-distance-right:0" id="docshape222" coordorigin="1197,257" coordsize="9579,0" path="m1197,257l10776,257e" filled="false" stroked="true" strokeweight=".499pt" strokecolor="#231f20">
                <v:path arrowok="t"/>
                <v:stroke dashstyle="solid"/>
                <w10:wrap type="topAndBottom"/>
              </v:shape>
            </w:pict>
          </mc:Fallback>
        </mc:AlternateContent>
      </w:r>
    </w:p>
    <w:p>
      <w:pPr>
        <w:pStyle w:val="Heading3"/>
        <w:ind w:left="197"/>
      </w:pPr>
      <w:bookmarkStart w:name="Situation troubleshooting" w:id="488"/>
      <w:bookmarkEnd w:id="488"/>
      <w:r>
        <w:rPr>
          <w:b w:val="0"/>
        </w:rPr>
      </w:r>
      <w:r>
        <w:rPr>
          <w:color w:val="231F20"/>
        </w:rPr>
        <w:t>Situation</w:t>
      </w:r>
      <w:r>
        <w:rPr>
          <w:color w:val="231F20"/>
          <w:spacing w:val="3"/>
        </w:rPr>
        <w:t> </w:t>
      </w:r>
      <w:r>
        <w:rPr>
          <w:color w:val="231F20"/>
          <w:spacing w:val="-2"/>
        </w:rPr>
        <w:t>troubleshooting</w:t>
      </w:r>
    </w:p>
    <w:p>
      <w:pPr>
        <w:pStyle w:val="BodyText"/>
        <w:spacing w:before="115"/>
        <w:ind w:left="2232"/>
      </w:pPr>
      <w:r>
        <w:rPr>
          <w:color w:val="231F20"/>
        </w:rPr>
        <w:t>Use</w:t>
      </w:r>
      <w:r>
        <w:rPr>
          <w:color w:val="231F20"/>
          <w:spacing w:val="8"/>
        </w:rPr>
        <w:t> </w:t>
      </w:r>
      <w:r>
        <w:rPr>
          <w:color w:val="231F20"/>
        </w:rPr>
        <w:t>troubleshooting</w:t>
      </w:r>
      <w:r>
        <w:rPr>
          <w:color w:val="231F20"/>
          <w:spacing w:val="9"/>
        </w:rPr>
        <w:t> </w:t>
      </w:r>
      <w:r>
        <w:rPr>
          <w:color w:val="231F20"/>
        </w:rPr>
        <w:t>situations</w:t>
      </w:r>
      <w:r>
        <w:rPr>
          <w:color w:val="231F20"/>
          <w:spacing w:val="9"/>
        </w:rPr>
        <w:t> </w:t>
      </w:r>
      <w:r>
        <w:rPr>
          <w:color w:val="231F20"/>
        </w:rPr>
        <w:t>to</w:t>
      </w:r>
      <w:r>
        <w:rPr>
          <w:color w:val="231F20"/>
          <w:spacing w:val="9"/>
        </w:rPr>
        <w:t> </w:t>
      </w:r>
      <w:r>
        <w:rPr>
          <w:color w:val="231F20"/>
        </w:rPr>
        <w:t>resolve</w:t>
      </w:r>
      <w:r>
        <w:rPr>
          <w:color w:val="231F20"/>
          <w:spacing w:val="9"/>
        </w:rPr>
        <w:t> </w:t>
      </w:r>
      <w:r>
        <w:rPr>
          <w:color w:val="231F20"/>
        </w:rPr>
        <w:t>some</w:t>
      </w:r>
      <w:r>
        <w:rPr>
          <w:color w:val="231F20"/>
          <w:spacing w:val="9"/>
        </w:rPr>
        <w:t> </w:t>
      </w:r>
      <w:r>
        <w:rPr>
          <w:color w:val="231F20"/>
        </w:rPr>
        <w:t>problems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spacing w:val="-2"/>
        </w:rPr>
        <w:t>environment.</w:t>
      </w:r>
    </w:p>
    <w:p>
      <w:pPr>
        <w:pStyle w:val="BodyText"/>
        <w:spacing w:line="213" w:lineRule="auto" w:before="232"/>
        <w:ind w:left="2232" w:right="545"/>
      </w:pPr>
      <w:r>
        <w:rPr>
          <w:color w:val="231F20"/>
        </w:rPr>
        <w:t>As well as following these diagnostic steps, you can use a set of Web Services tools for Tivoli Monitoring that help you perform audits of the environment and correct common issues. See the </w:t>
      </w:r>
      <w:hyperlink r:id="rId410">
        <w:r>
          <w:rPr>
            <w:color w:val="231F20"/>
          </w:rPr>
          <w:t>IBM Integrated Service Management Library</w:t>
        </w:r>
      </w:hyperlink>
      <w:r>
        <w:rPr>
          <w:color w:val="231F20"/>
        </w:rPr>
        <w:t> for more </w:t>
      </w:r>
      <w:r>
        <w:rPr>
          <w:color w:val="231F20"/>
          <w:spacing w:val="-2"/>
        </w:rPr>
        <w:t>information.</w:t>
      </w:r>
    </w:p>
    <w:p>
      <w:pPr>
        <w:pStyle w:val="BodyText"/>
        <w:spacing w:line="213" w:lineRule="auto" w:before="237"/>
        <w:ind w:left="2232" w:right="493"/>
      </w:pPr>
      <w:r>
        <w:rPr>
          <w:color w:val="231F20"/>
        </w:rPr>
        <w:t>You can also use the ITMSUPER Tools to learn about the health of your managed systems, situations, and environment configuration. The ITMSUPER Tools are included in the IBM Support Assistant (ISA), a free local software serviceability workbench that helps you resolve questions and problems with IBM software products. To install the ISA software, go to </w:t>
      </w:r>
      <w:hyperlink r:id="rId411">
        <w:r>
          <w:rPr>
            <w:color w:val="231F20"/>
          </w:rPr>
          <w:t>IBM Support Assistant.</w:t>
        </w:r>
      </w:hyperlink>
    </w:p>
    <w:p>
      <w:pPr>
        <w:pStyle w:val="Heading3"/>
        <w:spacing w:before="215"/>
        <w:ind w:left="1334"/>
      </w:pPr>
      <w:r>
        <w:rPr>
          <w:color w:val="231F20"/>
        </w:rPr>
        <w:t>Agent</w:t>
      </w:r>
      <w:r>
        <w:rPr>
          <w:color w:val="231F20"/>
          <w:spacing w:val="7"/>
        </w:rPr>
        <w:t> </w:t>
      </w:r>
      <w:r>
        <w:rPr>
          <w:color w:val="231F20"/>
        </w:rPr>
        <w:t>not</w:t>
      </w:r>
      <w:r>
        <w:rPr>
          <w:color w:val="231F20"/>
          <w:spacing w:val="7"/>
        </w:rPr>
        <w:t> </w:t>
      </w:r>
      <w:r>
        <w:rPr>
          <w:color w:val="231F20"/>
        </w:rPr>
        <w:t>connected</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monitoring</w:t>
      </w:r>
      <w:r>
        <w:rPr>
          <w:color w:val="231F20"/>
          <w:spacing w:val="7"/>
        </w:rPr>
        <w:t> </w:t>
      </w:r>
      <w:r>
        <w:rPr>
          <w:color w:val="231F20"/>
          <w:spacing w:val="-2"/>
        </w:rPr>
        <w:t>server</w:t>
      </w:r>
    </w:p>
    <w:p>
      <w:pPr>
        <w:pStyle w:val="BodyText"/>
        <w:spacing w:line="213" w:lineRule="auto" w:before="59"/>
        <w:ind w:left="2232" w:right="545"/>
      </w:pPr>
      <w:r>
        <w:rPr>
          <w:color w:val="231F20"/>
        </w:rPr>
        <w:t>After a situation has been distributed to an agent and started, it continues to run until it is stopped manually. Most situations at the agent also stop when the agent</w:t>
      </w:r>
      <w:r>
        <w:rPr>
          <w:color w:val="231F20"/>
          <w:spacing w:val="40"/>
        </w:rPr>
        <w:t> </w:t>
      </w:r>
      <w:r>
        <w:rPr>
          <w:color w:val="231F20"/>
        </w:rPr>
        <w:t>to which the situations are distributed loses contact with its Tivoli Enterprise Monitoring Server.</w:t>
      </w:r>
    </w:p>
    <w:p>
      <w:pPr>
        <w:pStyle w:val="BodyText"/>
        <w:spacing w:line="213" w:lineRule="auto" w:before="236"/>
        <w:ind w:left="2232"/>
      </w:pPr>
      <w:r>
        <w:rPr>
          <w:color w:val="231F20"/>
        </w:rPr>
        <w:t>The situations that continue to run at the agent are considered to be autonomous </w:t>
      </w:r>
      <w:r>
        <w:rPr>
          <w:color w:val="231F20"/>
          <w:spacing w:val="-2"/>
        </w:rPr>
        <w:t>situations.</w:t>
      </w:r>
    </w:p>
    <w:p>
      <w:pPr>
        <w:pStyle w:val="BodyText"/>
        <w:spacing w:before="215"/>
        <w:ind w:left="2232"/>
      </w:pPr>
      <w:r>
        <w:rPr>
          <w:color w:val="231F20"/>
        </w:rPr>
        <w:t>There</w:t>
      </w:r>
      <w:r>
        <w:rPr>
          <w:color w:val="231F20"/>
          <w:spacing w:val="9"/>
        </w:rPr>
        <w:t> </w:t>
      </w:r>
      <w:r>
        <w:rPr>
          <w:color w:val="231F20"/>
        </w:rPr>
        <w:t>are</w:t>
      </w:r>
      <w:r>
        <w:rPr>
          <w:color w:val="231F20"/>
          <w:spacing w:val="9"/>
        </w:rPr>
        <w:t> </w:t>
      </w:r>
      <w:r>
        <w:rPr>
          <w:color w:val="231F20"/>
        </w:rPr>
        <w:t>two</w:t>
      </w:r>
      <w:r>
        <w:rPr>
          <w:color w:val="231F20"/>
          <w:spacing w:val="10"/>
        </w:rPr>
        <w:t> </w:t>
      </w:r>
      <w:r>
        <w:rPr>
          <w:color w:val="231F20"/>
        </w:rPr>
        <w:t>categories</w:t>
      </w:r>
      <w:r>
        <w:rPr>
          <w:color w:val="231F20"/>
          <w:spacing w:val="9"/>
        </w:rPr>
        <w:t> </w:t>
      </w:r>
      <w:r>
        <w:rPr>
          <w:color w:val="231F20"/>
        </w:rPr>
        <w:t>of</w:t>
      </w:r>
      <w:r>
        <w:rPr>
          <w:color w:val="231F20"/>
          <w:spacing w:val="10"/>
        </w:rPr>
        <w:t> </w:t>
      </w:r>
      <w:r>
        <w:rPr>
          <w:color w:val="231F20"/>
        </w:rPr>
        <w:t>autonomous</w:t>
      </w:r>
      <w:r>
        <w:rPr>
          <w:color w:val="231F20"/>
          <w:spacing w:val="9"/>
        </w:rPr>
        <w:t> </w:t>
      </w:r>
      <w:r>
        <w:rPr>
          <w:color w:val="231F20"/>
        </w:rPr>
        <w:t>agent</w:t>
      </w:r>
      <w:r>
        <w:rPr>
          <w:color w:val="231F20"/>
          <w:spacing w:val="10"/>
        </w:rPr>
        <w:t> </w:t>
      </w:r>
      <w:r>
        <w:rPr>
          <w:color w:val="231F20"/>
          <w:spacing w:val="-2"/>
        </w:rPr>
        <w:t>situations:</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Historical data collection (or UADVISOR) situations where historical data is configured to be stored at the agent. UADVISOR situations are used to gather</w:t>
      </w:r>
      <w:r>
        <w:rPr>
          <w:color w:val="231F20"/>
          <w:spacing w:val="80"/>
        </w:rPr>
        <w:t> </w:t>
      </w:r>
      <w:r>
        <w:rPr>
          <w:color w:val="231F20"/>
        </w:rPr>
        <w:t>data samples at intervals and then insert the samples in historical data files</w:t>
      </w:r>
      <w:r>
        <w:rPr>
          <w:color w:val="231F20"/>
          <w:spacing w:val="80"/>
        </w:rPr>
        <w:t> </w:t>
      </w:r>
      <w:r>
        <w:rPr>
          <w:color w:val="231F20"/>
        </w:rPr>
        <w:t>located at either the monitoring server (TEMS) or agent (TEMA). When </w:t>
      </w:r>
      <w:r>
        <w:rPr>
          <w:color w:val="231F20"/>
        </w:rPr>
        <w:t>historical</w:t>
      </w:r>
      <w:r>
        <w:rPr>
          <w:color w:val="231F20"/>
        </w:rPr>
        <w:t> data collection is stored at the agent, the UADVISOR situations continue to run when the agent loses communication with its monitoring server.</w:t>
      </w:r>
    </w:p>
    <w:p>
      <w:pPr>
        <w:pStyle w:val="BodyText"/>
        <w:spacing w:line="213" w:lineRule="auto" w:before="56"/>
        <w:ind w:left="2448" w:right="493" w:hanging="216"/>
      </w:pPr>
      <w:r>
        <w:rPr>
          <w:rFonts w:ascii="Futura MdCn BT"/>
          <w:color w:val="231F20"/>
        </w:rPr>
        <w:t>v</w:t>
      </w:r>
      <w:r>
        <w:rPr>
          <w:rFonts w:ascii="Futura MdCn BT"/>
          <w:color w:val="231F20"/>
          <w:spacing w:val="80"/>
        </w:rPr>
        <w:t> </w:t>
      </w:r>
      <w:r>
        <w:rPr>
          <w:color w:val="231F20"/>
        </w:rPr>
        <w:t>A situation that specifies an action command (reflex automation) that is to be executed at the agent. A situation containing an action command creates two separate requests that are sent to the agent. One request returns the event data back to the monitoring server. The second request executes the command. </w:t>
      </w:r>
      <w:r>
        <w:rPr>
          <w:color w:val="231F20"/>
        </w:rPr>
        <w:t>Only</w:t>
      </w:r>
      <w:r>
        <w:rPr>
          <w:color w:val="231F20"/>
        </w:rPr>
        <w:t> the request executing the command at the agent will remain active when the monitoring server connection is lost.</w:t>
      </w:r>
    </w:p>
    <w:p>
      <w:pPr>
        <w:pStyle w:val="Heading3"/>
        <w:spacing w:before="214"/>
        <w:ind w:left="1334"/>
      </w:pPr>
      <w:r>
        <w:rPr>
          <w:color w:val="231F20"/>
        </w:rPr>
        <w:t>Troubleshooting</w:t>
      </w:r>
      <w:r>
        <w:rPr>
          <w:color w:val="231F20"/>
          <w:spacing w:val="-3"/>
        </w:rPr>
        <w:t> </w:t>
      </w:r>
      <w:r>
        <w:rPr>
          <w:color w:val="231F20"/>
        </w:rPr>
        <w:t>events</w:t>
      </w:r>
      <w:r>
        <w:rPr>
          <w:color w:val="231F20"/>
          <w:spacing w:val="-2"/>
        </w:rPr>
        <w:t> </w:t>
      </w:r>
      <w:r>
        <w:rPr>
          <w:color w:val="231F20"/>
        </w:rPr>
        <w:t>not</w:t>
      </w:r>
      <w:r>
        <w:rPr>
          <w:color w:val="231F20"/>
          <w:spacing w:val="-2"/>
        </w:rPr>
        <w:t> opening</w:t>
      </w:r>
    </w:p>
    <w:p>
      <w:pPr>
        <w:pStyle w:val="BodyText"/>
        <w:spacing w:line="213" w:lineRule="auto" w:before="59"/>
        <w:ind w:left="2232"/>
      </w:pPr>
      <w:r>
        <w:rPr>
          <w:color w:val="231F20"/>
        </w:rPr>
        <w:t>A Critical, Warning, or Informational status light goes on in the Navigator when </w:t>
      </w:r>
      <w:r>
        <w:rPr>
          <w:color w:val="231F20"/>
        </w:rPr>
        <w:t>a situation associated with an item becomes true.</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545"/>
      </w:pPr>
      <w:r>
        <w:rPr>
          <w:color w:val="231F20"/>
        </w:rPr>
        <w:t>If a light is not displayed when you think it should be, check each item below in</w:t>
      </w:r>
      <w:r>
        <w:rPr>
          <w:color w:val="231F20"/>
          <w:spacing w:val="40"/>
        </w:rPr>
        <w:t> </w:t>
      </w:r>
      <w:r>
        <w:rPr>
          <w:color w:val="231F20"/>
        </w:rPr>
        <w:t>sequence until the issue is resolved:</w:t>
      </w:r>
    </w:p>
    <w:p>
      <w:pPr>
        <w:pStyle w:val="Heading4"/>
        <w:spacing w:before="199"/>
      </w:pPr>
      <w:r>
        <w:rPr>
          <w:color w:val="231F20"/>
          <w:spacing w:val="-2"/>
        </w:rPr>
        <w:t>Procedure</w:t>
      </w:r>
    </w:p>
    <w:p>
      <w:pPr>
        <w:pStyle w:val="ListParagraph"/>
        <w:numPr>
          <w:ilvl w:val="0"/>
          <w:numId w:val="141"/>
        </w:numPr>
        <w:tabs>
          <w:tab w:pos="2548" w:val="left" w:leader="none"/>
        </w:tabs>
        <w:spacing w:line="213" w:lineRule="auto" w:before="62" w:after="0"/>
        <w:ind w:left="2548" w:right="952" w:hanging="316"/>
        <w:jc w:val="left"/>
        <w:rPr>
          <w:sz w:val="20"/>
        </w:rPr>
      </w:pPr>
      <w:r>
        <w:rPr>
          <w:rFonts w:ascii="Book Antiqua"/>
          <w:i/>
          <w:color w:val="231F20"/>
          <w:sz w:val="20"/>
        </w:rPr>
        <w:t>Is the managed system online ? </w:t>
      </w:r>
      <w:r>
        <w:rPr>
          <w:color w:val="231F20"/>
          <w:sz w:val="20"/>
        </w:rPr>
        <w:t>Situations cannot run on an offline managed </w:t>
      </w:r>
      <w:r>
        <w:rPr>
          <w:color w:val="231F20"/>
          <w:spacing w:val="-2"/>
          <w:sz w:val="20"/>
        </w:rPr>
        <w:t>system.</w:t>
      </w:r>
    </w:p>
    <w:p>
      <w:pPr>
        <w:spacing w:after="0" w:line="213" w:lineRule="auto"/>
        <w:jc w:val="left"/>
        <w:rPr>
          <w:sz w:val="20"/>
        </w:rPr>
        <w:sectPr>
          <w:pgSz w:w="12240" w:h="15840"/>
          <w:pgMar w:header="0" w:footer="736" w:top="1200" w:bottom="920" w:left="1000" w:right="1060"/>
        </w:sectPr>
      </w:pPr>
    </w:p>
    <w:p>
      <w:pPr>
        <w:pStyle w:val="BodyText"/>
        <w:spacing w:line="213" w:lineRule="auto" w:before="85"/>
        <w:ind w:left="3004" w:right="274" w:hanging="216"/>
      </w:pPr>
      <w:r>
        <w:rPr>
          <w:rFonts w:ascii="Futura MdCn BT"/>
          <w:color w:val="231F20"/>
        </w:rPr>
        <w:t>v</w:t>
      </w:r>
      <w:r>
        <w:rPr>
          <w:rFonts w:ascii="Futura MdCn BT"/>
          <w:color w:val="231F20"/>
          <w:spacing w:val="80"/>
        </w:rPr>
        <w:t> </w:t>
      </w:r>
      <w:r>
        <w:rPr>
          <w:color w:val="231F20"/>
        </w:rPr>
        <w:t>If the agent is offline, restart it. The installation guide for your IBM Tivoli Monitoring product has instructions for configuring and starting an agent. </w:t>
      </w:r>
      <w:r>
        <w:rPr>
          <w:color w:val="231F20"/>
        </w:rPr>
        <w:t>If</w:t>
      </w:r>
      <w:r>
        <w:rPr>
          <w:color w:val="231F20"/>
        </w:rPr>
        <w:t> you cannot restart the agent, contact IBM Support.</w:t>
      </w:r>
    </w:p>
    <w:p>
      <w:pPr>
        <w:pStyle w:val="BodyText"/>
        <w:spacing w:line="213" w:lineRule="auto" w:before="57"/>
        <w:ind w:left="3004" w:right="493" w:hanging="216"/>
      </w:pPr>
      <w:r>
        <w:rPr>
          <w:rFonts w:ascii="Futura MdCn BT"/>
          <w:color w:val="231F20"/>
        </w:rPr>
        <w:t>v</w:t>
      </w:r>
      <w:r>
        <w:rPr>
          <w:rFonts w:ascii="Futura MdCn BT"/>
          <w:color w:val="231F20"/>
          <w:spacing w:val="80"/>
        </w:rPr>
        <w:t> </w:t>
      </w:r>
      <w:r>
        <w:rPr>
          <w:color w:val="231F20"/>
        </w:rPr>
        <w:t>If you see a status discrepancy between the Navigator and the </w:t>
      </w:r>
      <w:r>
        <w:rPr>
          <w:color w:val="231F20"/>
        </w:rPr>
        <w:t>Managed</w:t>
      </w:r>
      <w:r>
        <w:rPr>
          <w:color w:val="231F20"/>
        </w:rPr>
        <w:t> Systems Status table (one view shows the agent is offline and the other shows it online), try recycling the Tivoli Enterprise Portal Server. If the condition does not clear, contact IBM Support.</w:t>
      </w:r>
    </w:p>
    <w:p>
      <w:pPr>
        <w:pStyle w:val="ListParagraph"/>
        <w:numPr>
          <w:ilvl w:val="0"/>
          <w:numId w:val="141"/>
        </w:numPr>
        <w:tabs>
          <w:tab w:pos="2788" w:val="left" w:leader="none"/>
        </w:tabs>
        <w:spacing w:line="213" w:lineRule="auto" w:before="77" w:after="0"/>
        <w:ind w:left="2788" w:right="338" w:hanging="316"/>
        <w:jc w:val="left"/>
        <w:rPr>
          <w:sz w:val="20"/>
        </w:rPr>
      </w:pPr>
      <w:r>
        <w:rPr>
          <w:rFonts w:ascii="Book Antiqua"/>
          <w:i/>
          <w:color w:val="231F20"/>
          <w:sz w:val="20"/>
        </w:rPr>
        <w:t>Is the situation distributed to the managed system and associated with a Navigator</w:t>
      </w:r>
      <w:r>
        <w:rPr>
          <w:rFonts w:ascii="Book Antiqua"/>
          <w:i/>
          <w:color w:val="231F20"/>
          <w:sz w:val="20"/>
        </w:rPr>
        <w:t> item? </w:t>
      </w:r>
      <w:r>
        <w:rPr>
          <w:color w:val="231F20"/>
          <w:sz w:val="20"/>
        </w:rPr>
        <w:t>To find out, right-click the Navigator item where the event light should</w:t>
      </w:r>
      <w:r>
        <w:rPr>
          <w:color w:val="231F20"/>
          <w:spacing w:val="40"/>
          <w:sz w:val="20"/>
        </w:rPr>
        <w:t> </w:t>
      </w:r>
      <w:r>
        <w:rPr>
          <w:color w:val="231F20"/>
          <w:sz w:val="20"/>
        </w:rPr>
        <w:t>be displayed, then select Situations from the pop-up menu. The left frame of</w:t>
      </w:r>
      <w:r>
        <w:rPr>
          <w:color w:val="231F20"/>
          <w:spacing w:val="40"/>
          <w:sz w:val="20"/>
        </w:rPr>
        <w:t> </w:t>
      </w:r>
      <w:r>
        <w:rPr>
          <w:color w:val="231F20"/>
          <w:sz w:val="20"/>
        </w:rPr>
        <w:t>the Situation editor shows all situations distributed to and associated with </w:t>
      </w:r>
      <w:r>
        <w:rPr>
          <w:color w:val="231F20"/>
          <w:sz w:val="20"/>
        </w:rPr>
        <w:t>the Navigator item. If the situation is listed, it has been properly distributed and </w:t>
      </w:r>
      <w:r>
        <w:rPr>
          <w:color w:val="231F20"/>
          <w:spacing w:val="-2"/>
          <w:sz w:val="20"/>
        </w:rPr>
        <w:t>associated.</w:t>
      </w:r>
    </w:p>
    <w:p>
      <w:pPr>
        <w:pStyle w:val="BodyText"/>
        <w:spacing w:line="213" w:lineRule="auto" w:before="60"/>
        <w:ind w:left="3004" w:right="274" w:hanging="216"/>
      </w:pPr>
      <w:r>
        <w:rPr>
          <w:rFonts w:ascii="Futura MdCn BT"/>
          <w:color w:val="231F20"/>
        </w:rPr>
        <w:t>v</w:t>
      </w:r>
      <w:r>
        <w:rPr>
          <w:rFonts w:ascii="Futura MdCn BT"/>
          <w:color w:val="231F20"/>
          <w:spacing w:val="80"/>
        </w:rPr>
        <w:t> </w:t>
      </w:r>
      <w:r>
        <w:rPr>
          <w:color w:val="231F20"/>
        </w:rPr>
        <w:t>If you do not see the situation, click</w:t>
      </w:r>
      <w:r>
        <w:rPr>
          <w:color w:val="231F20"/>
          <w:spacing w:val="20"/>
        </w:rPr>
        <w:t> </w:t>
      </w:r>
      <w:r>
        <w:rPr>
          <w:color w:val="231F20"/>
          <w:spacing w:val="-25"/>
          <w:position w:val="-1"/>
        </w:rPr>
        <w:drawing>
          <wp:inline distT="0" distB="0" distL="0" distR="0">
            <wp:extent cx="95250" cy="101600"/>
            <wp:effectExtent l="0" t="0" r="0" b="0"/>
            <wp:docPr id="2647" name="Image 2647"/>
            <wp:cNvGraphicFramePr>
              <a:graphicFrameLocks/>
            </wp:cNvGraphicFramePr>
            <a:graphic>
              <a:graphicData uri="http://schemas.openxmlformats.org/drawingml/2006/picture">
                <pic:pic>
                  <pic:nvPicPr>
                    <pic:cNvPr id="2647" name="Image 2647"/>
                    <pic:cNvPicPr/>
                  </pic:nvPicPr>
                  <pic:blipFill>
                    <a:blip r:embed="rId88"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Situation Filter</w:t>
      </w:r>
      <w:r>
        <w:rPr>
          <w:color w:val="231F20"/>
        </w:rPr>
        <w:t>, adjust the settings </w:t>
      </w:r>
      <w:r>
        <w:rPr>
          <w:color w:val="231F20"/>
        </w:rPr>
        <w:t>as</w:t>
      </w:r>
      <w:r>
        <w:rPr>
          <w:color w:val="231F20"/>
        </w:rPr>
        <w:t> shown below and click </w:t>
      </w:r>
      <w:r>
        <w:rPr>
          <w:rFonts w:ascii="Book Antiqua"/>
          <w:b/>
          <w:color w:val="231F20"/>
        </w:rPr>
        <w:t>OK</w:t>
      </w:r>
      <w:r>
        <w:rPr>
          <w:color w:val="231F20"/>
        </w:rPr>
        <w:t>:</w:t>
      </w:r>
    </w:p>
    <w:p>
      <w:pPr>
        <w:pStyle w:val="Heading6"/>
        <w:spacing w:line="297" w:lineRule="auto" w:before="62"/>
        <w:ind w:left="2788" w:right="3435"/>
      </w:pPr>
      <w:r>
        <w:rPr>
          <w:b w:val="0"/>
        </w:rPr>
        <w:drawing>
          <wp:inline distT="0" distB="0" distL="0" distR="0">
            <wp:extent cx="82550" cy="82550"/>
            <wp:effectExtent l="0" t="0" r="0" b="0"/>
            <wp:docPr id="2648" name="Image 2648"/>
            <wp:cNvGraphicFramePr>
              <a:graphicFrameLocks/>
            </wp:cNvGraphicFramePr>
            <a:graphic>
              <a:graphicData uri="http://schemas.openxmlformats.org/drawingml/2006/picture">
                <pic:pic>
                  <pic:nvPicPr>
                    <pic:cNvPr id="2648" name="Image 2648"/>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Associated with Monitored </w:t>
      </w:r>
      <w:r>
        <w:rPr>
          <w:color w:val="231F20"/>
        </w:rPr>
        <w:t>Application </w:t>
      </w:r>
      <w:r>
        <w:rPr>
          <w:color w:val="231F20"/>
        </w:rPr>
        <w:drawing>
          <wp:inline distT="0" distB="0" distL="0" distR="0">
            <wp:extent cx="82550" cy="82550"/>
            <wp:effectExtent l="0" t="0" r="0" b="0"/>
            <wp:docPr id="2649" name="Image 2649"/>
            <wp:cNvGraphicFramePr>
              <a:graphicFrameLocks/>
            </wp:cNvGraphicFramePr>
            <a:graphic>
              <a:graphicData uri="http://schemas.openxmlformats.org/drawingml/2006/picture">
                <pic:pic>
                  <pic:nvPicPr>
                    <pic:cNvPr id="2649" name="Image 2649"/>
                    <pic:cNvPicPr/>
                  </pic:nvPicPr>
                  <pic:blipFill>
                    <a:blip r:embed="rId87" cstate="print"/>
                    <a:stretch>
                      <a:fillRect/>
                    </a:stretch>
                  </pic:blipFill>
                  <pic:spPr>
                    <a:xfrm>
                      <a:off x="0" y="0"/>
                      <a:ext cx="82550" cy="82550"/>
                    </a:xfrm>
                    <a:prstGeom prst="rect">
                      <a:avLst/>
                    </a:prstGeom>
                  </pic:spPr>
                </pic:pic>
              </a:graphicData>
            </a:graphic>
          </wp:inline>
        </w:drawing>
      </w:r>
      <w:r>
        <w:rPr>
          <w:color w:val="231F20"/>
        </w:rPr>
      </w:r>
      <w:r>
        <w:rPr>
          <w:rFonts w:ascii="Times New Roman"/>
          <w:b w:val="0"/>
          <w:color w:val="231F20"/>
          <w:spacing w:val="40"/>
        </w:rPr>
        <w:t> </w:t>
      </w:r>
      <w:r>
        <w:rPr>
          <w:color w:val="231F20"/>
        </w:rPr>
        <w:t>Eligible for Association</w:t>
      </w:r>
    </w:p>
    <w:p>
      <w:pPr>
        <w:spacing w:before="1"/>
        <w:ind w:left="2788" w:right="0" w:firstLine="0"/>
        <w:jc w:val="left"/>
        <w:rPr>
          <w:rFonts w:ascii="Book Antiqua"/>
          <w:b/>
          <w:sz w:val="20"/>
        </w:rPr>
      </w:pPr>
      <w:r>
        <w:rPr/>
        <w:drawing>
          <wp:inline distT="0" distB="0" distL="0" distR="0">
            <wp:extent cx="82550" cy="82550"/>
            <wp:effectExtent l="0" t="0" r="0" b="0"/>
            <wp:docPr id="2650" name="Image 2650"/>
            <wp:cNvGraphicFramePr>
              <a:graphicFrameLocks/>
            </wp:cNvGraphicFramePr>
            <a:graphic>
              <a:graphicData uri="http://schemas.openxmlformats.org/drawingml/2006/picture">
                <pic:pic>
                  <pic:nvPicPr>
                    <pic:cNvPr id="2650" name="Image 2650"/>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80"/>
          <w:sz w:val="20"/>
        </w:rPr>
        <w:t> </w:t>
      </w:r>
      <w:r>
        <w:rPr>
          <w:rFonts w:ascii="Book Antiqua"/>
          <w:b/>
          <w:color w:val="231F20"/>
          <w:sz w:val="20"/>
        </w:rPr>
        <w:t>Associated</w:t>
      </w:r>
      <w:r>
        <w:rPr>
          <w:rFonts w:ascii="Book Antiqua"/>
          <w:b/>
          <w:color w:val="231F20"/>
          <w:spacing w:val="29"/>
          <w:sz w:val="20"/>
        </w:rPr>
        <w:t> </w:t>
      </w:r>
      <w:r>
        <w:rPr>
          <w:rFonts w:ascii="Book Antiqua"/>
          <w:b/>
          <w:color w:val="231F20"/>
          <w:sz w:val="20"/>
        </w:rPr>
        <w:t>with</w:t>
      </w:r>
      <w:r>
        <w:rPr>
          <w:rFonts w:ascii="Book Antiqua"/>
          <w:b/>
          <w:color w:val="231F20"/>
          <w:spacing w:val="29"/>
          <w:sz w:val="20"/>
        </w:rPr>
        <w:t> </w:t>
      </w:r>
      <w:r>
        <w:rPr>
          <w:rFonts w:ascii="Book Antiqua"/>
          <w:b/>
          <w:color w:val="231F20"/>
          <w:sz w:val="20"/>
        </w:rPr>
        <w:t>this</w:t>
      </w:r>
      <w:r>
        <w:rPr>
          <w:rFonts w:ascii="Book Antiqua"/>
          <w:b/>
          <w:color w:val="231F20"/>
          <w:spacing w:val="29"/>
          <w:sz w:val="20"/>
        </w:rPr>
        <w:t> </w:t>
      </w:r>
      <w:r>
        <w:rPr>
          <w:rFonts w:ascii="Book Antiqua"/>
          <w:b/>
          <w:color w:val="231F20"/>
          <w:sz w:val="20"/>
        </w:rPr>
        <w:t>object</w:t>
      </w:r>
    </w:p>
    <w:p>
      <w:pPr>
        <w:pStyle w:val="BodyText"/>
        <w:spacing w:line="213" w:lineRule="auto" w:before="54"/>
        <w:ind w:left="2788" w:right="385"/>
      </w:pPr>
      <w:r>
        <w:rPr>
          <w:color w:val="231F20"/>
        </w:rPr>
        <w:t>For each IBM Tivoli Monitoring product applicable to this Navigator item, </w:t>
      </w:r>
      <w:r>
        <w:rPr>
          <w:color w:val="231F20"/>
        </w:rPr>
        <w:t>you will see:</w:t>
      </w:r>
    </w:p>
    <w:p>
      <w:pPr>
        <w:pStyle w:val="BodyText"/>
        <w:spacing w:before="35"/>
        <w:ind w:left="2798"/>
      </w:pPr>
      <w:r>
        <w:rPr>
          <w:position w:val="-1"/>
        </w:rPr>
        <w:drawing>
          <wp:inline distT="0" distB="0" distL="0" distR="0">
            <wp:extent cx="95250" cy="95250"/>
            <wp:effectExtent l="0" t="0" r="0" b="0"/>
            <wp:docPr id="2651" name="Image 2651"/>
            <wp:cNvGraphicFramePr>
              <a:graphicFrameLocks/>
            </wp:cNvGraphicFramePr>
            <a:graphic>
              <a:graphicData uri="http://schemas.openxmlformats.org/drawingml/2006/picture">
                <pic:pic>
                  <pic:nvPicPr>
                    <pic:cNvPr id="2651" name="Image 2651"/>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color w:val="231F20"/>
        </w:rPr>
        <w:t>Agent type</w:t>
      </w:r>
    </w:p>
    <w:p>
      <w:pPr>
        <w:pStyle w:val="BodyText"/>
        <w:spacing w:line="213" w:lineRule="auto" w:before="113"/>
        <w:ind w:left="3506" w:right="545"/>
      </w:pPr>
      <w:r>
        <w:rPr/>
        <w:drawing>
          <wp:anchor distT="0" distB="0" distL="0" distR="0" allowOverlap="1" layoutInCell="1" locked="0" behindDoc="0" simplePos="0" relativeHeight="15874560">
            <wp:simplePos x="0" y="0"/>
            <wp:positionH relativeFrom="page">
              <wp:posOffset>2405592</wp:posOffset>
            </wp:positionH>
            <wp:positionV relativeFrom="paragraph">
              <wp:posOffset>111172</wp:posOffset>
            </wp:positionV>
            <wp:extent cx="101600" cy="95250"/>
            <wp:effectExtent l="0" t="0" r="0" b="0"/>
            <wp:wrapNone/>
            <wp:docPr id="2652" name="Image 2652"/>
            <wp:cNvGraphicFramePr>
              <a:graphicFrameLocks/>
            </wp:cNvGraphicFramePr>
            <a:graphic>
              <a:graphicData uri="http://schemas.openxmlformats.org/drawingml/2006/picture">
                <pic:pic>
                  <pic:nvPicPr>
                    <pic:cNvPr id="2652" name="Image 2652"/>
                    <pic:cNvPicPr/>
                  </pic:nvPicPr>
                  <pic:blipFill>
                    <a:blip r:embed="rId31" cstate="print"/>
                    <a:stretch>
                      <a:fillRect/>
                    </a:stretch>
                  </pic:blipFill>
                  <pic:spPr>
                    <a:xfrm>
                      <a:off x="0" y="0"/>
                      <a:ext cx="101600" cy="95250"/>
                    </a:xfrm>
                    <a:prstGeom prst="rect">
                      <a:avLst/>
                    </a:prstGeom>
                  </pic:spPr>
                </pic:pic>
              </a:graphicData>
            </a:graphic>
          </wp:anchor>
        </w:drawing>
      </w:r>
      <w:r>
        <w:rPr>
          <w:color w:val="231F20"/>
        </w:rPr>
        <w:t>Distributed to this managed system but not associated with </w:t>
      </w:r>
      <w:r>
        <w:rPr>
          <w:color w:val="231F20"/>
        </w:rPr>
        <w:t>the Navigator item.</w:t>
      </w:r>
    </w:p>
    <w:p>
      <w:pPr>
        <w:pStyle w:val="BodyText"/>
        <w:spacing w:line="213" w:lineRule="auto" w:before="118"/>
        <w:ind w:left="3506"/>
      </w:pPr>
      <w:r>
        <w:rPr>
          <w:color w:val="231F20"/>
        </w:rPr>
        <w:t>You need to assign the Informational, Warning or Critical state and </w:t>
      </w:r>
      <w:r>
        <w:rPr>
          <w:color w:val="231F20"/>
        </w:rPr>
        <w:t>any sound, and click </w:t>
      </w:r>
      <w:r>
        <w:rPr>
          <w:rFonts w:ascii="Book Antiqua"/>
          <w:b/>
          <w:color w:val="231F20"/>
        </w:rPr>
        <w:t>Apply</w:t>
      </w:r>
      <w:r>
        <w:rPr>
          <w:color w:val="231F20"/>
        </w:rPr>
        <w:t>.</w:t>
      </w:r>
    </w:p>
    <w:p>
      <w:pPr>
        <w:pStyle w:val="BodyText"/>
        <w:spacing w:line="213" w:lineRule="auto" w:before="119"/>
        <w:ind w:left="3506" w:right="493"/>
      </w:pPr>
      <w:r>
        <w:rPr/>
        <w:drawing>
          <wp:anchor distT="0" distB="0" distL="0" distR="0" allowOverlap="1" layoutInCell="1" locked="0" behindDoc="0" simplePos="0" relativeHeight="15875072">
            <wp:simplePos x="0" y="0"/>
            <wp:positionH relativeFrom="page">
              <wp:posOffset>2405592</wp:posOffset>
            </wp:positionH>
            <wp:positionV relativeFrom="paragraph">
              <wp:posOffset>108493</wp:posOffset>
            </wp:positionV>
            <wp:extent cx="101600" cy="101600"/>
            <wp:effectExtent l="0" t="0" r="0" b="0"/>
            <wp:wrapNone/>
            <wp:docPr id="2653" name="Image 2653"/>
            <wp:cNvGraphicFramePr>
              <a:graphicFrameLocks/>
            </wp:cNvGraphicFramePr>
            <a:graphic>
              <a:graphicData uri="http://schemas.openxmlformats.org/drawingml/2006/picture">
                <pic:pic>
                  <pic:nvPicPr>
                    <pic:cNvPr id="2653" name="Image 2653"/>
                    <pic:cNvPicPr/>
                  </pic:nvPicPr>
                  <pic:blipFill>
                    <a:blip r:embed="rId351" cstate="print"/>
                    <a:stretch>
                      <a:fillRect/>
                    </a:stretch>
                  </pic:blipFill>
                  <pic:spPr>
                    <a:xfrm>
                      <a:off x="0" y="0"/>
                      <a:ext cx="101600" cy="101600"/>
                    </a:xfrm>
                    <a:prstGeom prst="rect">
                      <a:avLst/>
                    </a:prstGeom>
                  </pic:spPr>
                </pic:pic>
              </a:graphicData>
            </a:graphic>
          </wp:anchor>
        </w:drawing>
      </w:r>
      <w:r>
        <w:rPr>
          <w:color w:val="231F20"/>
        </w:rPr>
        <w:t>Neither distributed to this managed system nor associated with </w:t>
      </w:r>
      <w:r>
        <w:rPr>
          <w:color w:val="231F20"/>
        </w:rPr>
        <w:t>the Navigator item.</w:t>
      </w:r>
    </w:p>
    <w:p>
      <w:pPr>
        <w:pStyle w:val="BodyText"/>
        <w:spacing w:line="213" w:lineRule="auto" w:before="118"/>
        <w:ind w:left="3506" w:right="274"/>
      </w:pPr>
      <w:r>
        <w:rPr>
          <w:color w:val="231F20"/>
        </w:rPr>
        <w:t>Select the Distribution tab and distribute the situation. Then assign </w:t>
      </w:r>
      <w:r>
        <w:rPr>
          <w:color w:val="231F20"/>
        </w:rPr>
        <w:t>the Informational, Warning or Critical state and any sound , and click </w:t>
      </w:r>
      <w:r>
        <w:rPr>
          <w:rFonts w:ascii="Book Antiqua"/>
          <w:b/>
          <w:color w:val="231F20"/>
          <w:spacing w:val="-2"/>
        </w:rPr>
        <w:t>Apply</w:t>
      </w:r>
      <w:r>
        <w:rPr>
          <w:color w:val="231F20"/>
          <w:spacing w:val="-2"/>
        </w:rPr>
        <w:t>.</w:t>
      </w:r>
    </w:p>
    <w:p>
      <w:pPr>
        <w:pStyle w:val="BodyText"/>
        <w:spacing w:before="35"/>
        <w:ind w:left="2788"/>
      </w:pPr>
      <w:r>
        <w:rPr>
          <w:rFonts w:ascii="Futura MdCn BT"/>
          <w:color w:val="231F20"/>
        </w:rPr>
        <w:t>v</w:t>
      </w:r>
      <w:r>
        <w:rPr>
          <w:rFonts w:ascii="Futura MdCn BT"/>
          <w:color w:val="231F20"/>
          <w:spacing w:val="32"/>
        </w:rPr>
        <w:t>  </w:t>
      </w:r>
      <w:r>
        <w:rPr>
          <w:color w:val="231F20"/>
        </w:rPr>
        <w:t>If</w:t>
      </w:r>
      <w:r>
        <w:rPr>
          <w:color w:val="231F20"/>
          <w:spacing w:val="13"/>
        </w:rPr>
        <w:t> </w:t>
      </w:r>
      <w:r>
        <w:rPr>
          <w:color w:val="231F20"/>
        </w:rPr>
        <w:t>you</w:t>
      </w:r>
      <w:r>
        <w:rPr>
          <w:color w:val="231F20"/>
          <w:spacing w:val="13"/>
        </w:rPr>
        <w:t> </w:t>
      </w:r>
      <w:r>
        <w:rPr>
          <w:color w:val="231F20"/>
        </w:rPr>
        <w:t>still</w:t>
      </w:r>
      <w:r>
        <w:rPr>
          <w:color w:val="231F20"/>
          <w:spacing w:val="13"/>
        </w:rPr>
        <w:t> </w:t>
      </w:r>
      <w:r>
        <w:rPr>
          <w:color w:val="231F20"/>
        </w:rPr>
        <w:t>do</w:t>
      </w:r>
      <w:r>
        <w:rPr>
          <w:color w:val="231F20"/>
          <w:spacing w:val="13"/>
        </w:rPr>
        <w:t> </w:t>
      </w:r>
      <w:r>
        <w:rPr>
          <w:color w:val="231F20"/>
        </w:rPr>
        <w:t>not</w:t>
      </w:r>
      <w:r>
        <w:rPr>
          <w:color w:val="231F20"/>
          <w:spacing w:val="13"/>
        </w:rPr>
        <w:t> </w:t>
      </w:r>
      <w:r>
        <w:rPr>
          <w:color w:val="231F20"/>
        </w:rPr>
        <w:t>see</w:t>
      </w:r>
      <w:r>
        <w:rPr>
          <w:color w:val="231F20"/>
          <w:spacing w:val="13"/>
        </w:rPr>
        <w:t> </w:t>
      </w:r>
      <w:r>
        <w:rPr>
          <w:color w:val="231F20"/>
        </w:rPr>
        <w:t>the</w:t>
      </w:r>
      <w:r>
        <w:rPr>
          <w:color w:val="231F20"/>
          <w:spacing w:val="13"/>
        </w:rPr>
        <w:t> </w:t>
      </w:r>
      <w:r>
        <w:rPr>
          <w:color w:val="231F20"/>
        </w:rPr>
        <w:t>situation,</w:t>
      </w:r>
      <w:r>
        <w:rPr>
          <w:color w:val="231F20"/>
          <w:spacing w:val="13"/>
        </w:rPr>
        <w:t> </w:t>
      </w:r>
      <w:r>
        <w:rPr>
          <w:color w:val="231F20"/>
        </w:rPr>
        <w:t>contact</w:t>
      </w:r>
      <w:r>
        <w:rPr>
          <w:color w:val="231F20"/>
          <w:spacing w:val="13"/>
        </w:rPr>
        <w:t> </w:t>
      </w:r>
      <w:r>
        <w:rPr>
          <w:color w:val="231F20"/>
        </w:rPr>
        <w:t>IBM</w:t>
      </w:r>
      <w:r>
        <w:rPr>
          <w:color w:val="231F20"/>
          <w:spacing w:val="13"/>
        </w:rPr>
        <w:t> </w:t>
      </w:r>
      <w:r>
        <w:rPr>
          <w:color w:val="231F20"/>
          <w:spacing w:val="-2"/>
        </w:rPr>
        <w:t>Support.</w:t>
      </w:r>
    </w:p>
    <w:p>
      <w:pPr>
        <w:pStyle w:val="ListParagraph"/>
        <w:numPr>
          <w:ilvl w:val="0"/>
          <w:numId w:val="141"/>
        </w:numPr>
        <w:tabs>
          <w:tab w:pos="2788" w:val="left" w:leader="none"/>
        </w:tabs>
        <w:spacing w:line="213" w:lineRule="auto" w:before="53" w:after="0"/>
        <w:ind w:left="2788" w:right="255" w:hanging="316"/>
        <w:jc w:val="left"/>
        <w:rPr>
          <w:sz w:val="20"/>
        </w:rPr>
      </w:pPr>
      <w:r>
        <w:rPr>
          <w:rFonts w:ascii="Book Antiqua"/>
          <w:i/>
          <w:color w:val="231F20"/>
          <w:sz w:val="20"/>
        </w:rPr>
        <w:t>Does the message log view </w:t>
      </w:r>
      <w:r>
        <w:rPr>
          <w:rFonts w:ascii="Book Antiqua"/>
          <w:b/>
          <w:i/>
          <w:color w:val="231F20"/>
          <w:sz w:val="20"/>
        </w:rPr>
        <w:t>show that the situation has started? </w:t>
      </w:r>
      <w:r>
        <w:rPr>
          <w:color w:val="231F20"/>
          <w:sz w:val="20"/>
        </w:rPr>
        <w:t>Click the Enterprise item in the Navigator Physical view to see the message log view </w:t>
      </w:r>
      <w:r>
        <w:rPr>
          <w:color w:val="231F20"/>
          <w:sz w:val="20"/>
        </w:rPr>
        <w:t>(or you can create one). The situation must show as Started and Open. If not, click</w:t>
      </w:r>
      <w:r>
        <w:rPr>
          <w:color w:val="231F20"/>
          <w:spacing w:val="80"/>
          <w:sz w:val="20"/>
        </w:rPr>
        <w:t> </w:t>
      </w:r>
      <w:r>
        <w:rPr>
          <w:color w:val="231F20"/>
          <w:position w:val="-1"/>
          <w:sz w:val="20"/>
        </w:rPr>
        <w:drawing>
          <wp:inline distT="0" distB="0" distL="0" distR="0">
            <wp:extent cx="101600" cy="95250"/>
            <wp:effectExtent l="0" t="0" r="0" b="0"/>
            <wp:docPr id="2654" name="Image 2654"/>
            <wp:cNvGraphicFramePr>
              <a:graphicFrameLocks/>
            </wp:cNvGraphicFramePr>
            <a:graphic>
              <a:graphicData uri="http://schemas.openxmlformats.org/drawingml/2006/picture">
                <pic:pic>
                  <pic:nvPicPr>
                    <pic:cNvPr id="2654" name="Image 2654"/>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position w:val="-1"/>
          <w:sz w:val="20"/>
        </w:rPr>
      </w:r>
      <w:r>
        <w:rPr>
          <w:rFonts w:ascii="Times New Roman"/>
          <w:color w:val="231F20"/>
          <w:spacing w:val="40"/>
          <w:sz w:val="20"/>
        </w:rPr>
        <w:t> </w:t>
      </w:r>
      <w:r>
        <w:rPr>
          <w:color w:val="231F20"/>
          <w:sz w:val="20"/>
        </w:rPr>
        <w:t>Situation Editor and do one of the following:</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Status</w:t>
            </w:r>
          </w:p>
        </w:tc>
        <w:tc>
          <w:tcPr>
            <w:tcW w:w="3767" w:type="dxa"/>
          </w:tcPr>
          <w:p>
            <w:pPr>
              <w:pStyle w:val="TableParagraph"/>
              <w:spacing w:before="10"/>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pacing w:val="-4"/>
                <w:sz w:val="18"/>
              </w:rPr>
              <w:t>Name</w:t>
            </w:r>
          </w:p>
        </w:tc>
      </w:tr>
      <w:tr>
        <w:trPr>
          <w:trHeight w:val="309" w:hRule="atLeast"/>
        </w:trPr>
        <w:tc>
          <w:tcPr>
            <w:tcW w:w="3767" w:type="dxa"/>
          </w:tcPr>
          <w:p>
            <w:pPr>
              <w:pStyle w:val="TableParagraph"/>
              <w:ind w:left="0" w:right="2775"/>
              <w:jc w:val="right"/>
              <w:rPr>
                <w:sz w:val="18"/>
              </w:rPr>
            </w:pPr>
            <w:r>
              <w:rPr>
                <w:position w:val="-3"/>
              </w:rPr>
              <w:drawing>
                <wp:inline distT="0" distB="0" distL="0" distR="0">
                  <wp:extent cx="95250" cy="95250"/>
                  <wp:effectExtent l="0" t="0" r="0" b="0"/>
                  <wp:docPr id="2655" name="Image 2655"/>
                  <wp:cNvGraphicFramePr>
                    <a:graphicFrameLocks/>
                  </wp:cNvGraphicFramePr>
                  <a:graphic>
                    <a:graphicData uri="http://schemas.openxmlformats.org/drawingml/2006/picture">
                      <pic:pic>
                        <pic:nvPicPr>
                          <pic:cNvPr id="2655" name="Image 2655"/>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Problem</w:t>
            </w:r>
          </w:p>
        </w:tc>
        <w:tc>
          <w:tcPr>
            <w:tcW w:w="3767" w:type="dxa"/>
          </w:tcPr>
          <w:p>
            <w:pPr>
              <w:pStyle w:val="TableParagraph"/>
              <w:rPr>
                <w:sz w:val="18"/>
              </w:rPr>
            </w:pPr>
            <w:r>
              <w:rPr>
                <w:color w:val="231F20"/>
                <w:spacing w:val="-2"/>
                <w:sz w:val="18"/>
              </w:rPr>
              <w:t>Test_Situation</w:t>
            </w:r>
          </w:p>
        </w:tc>
      </w:tr>
      <w:tr>
        <w:trPr>
          <w:trHeight w:val="389" w:hRule="atLeast"/>
        </w:trPr>
        <w:tc>
          <w:tcPr>
            <w:tcW w:w="3767" w:type="dxa"/>
          </w:tcPr>
          <w:p>
            <w:pPr>
              <w:pStyle w:val="TableParagraph"/>
              <w:spacing w:before="104"/>
              <w:ind w:left="0" w:right="2818"/>
              <w:jc w:val="right"/>
              <w:rPr>
                <w:sz w:val="18"/>
              </w:rPr>
            </w:pPr>
            <w:r>
              <w:rPr>
                <w:position w:val="-1"/>
              </w:rPr>
              <w:drawing>
                <wp:inline distT="0" distB="0" distL="0" distR="0">
                  <wp:extent cx="82550" cy="133350"/>
                  <wp:effectExtent l="0" t="0" r="0" b="0"/>
                  <wp:docPr id="2656" name="Image 2656"/>
                  <wp:cNvGraphicFramePr>
                    <a:graphicFrameLocks/>
                  </wp:cNvGraphicFramePr>
                  <a:graphic>
                    <a:graphicData uri="http://schemas.openxmlformats.org/drawingml/2006/picture">
                      <pic:pic>
                        <pic:nvPicPr>
                          <pic:cNvPr id="2656" name="Image 2656"/>
                          <pic:cNvPicPr/>
                        </pic:nvPicPr>
                        <pic:blipFill>
                          <a:blip r:embed="rId166" cstate="print"/>
                          <a:stretch>
                            <a:fillRect/>
                          </a:stretch>
                        </pic:blipFill>
                        <pic:spPr>
                          <a:xfrm>
                            <a:off x="0" y="0"/>
                            <a:ext cx="82550" cy="133350"/>
                          </a:xfrm>
                          <a:prstGeom prst="rect">
                            <a:avLst/>
                          </a:prstGeom>
                        </pic:spPr>
                      </pic:pic>
                    </a:graphicData>
                  </a:graphic>
                </wp:inline>
              </w:drawing>
            </w:r>
            <w:r>
              <w:rPr>
                <w:position w:val="-1"/>
              </w:rPr>
            </w:r>
            <w:r>
              <w:rPr>
                <w:rFonts w:ascii="Times New Roman"/>
                <w:spacing w:val="40"/>
                <w:sz w:val="20"/>
              </w:rPr>
              <w:t> </w:t>
            </w:r>
            <w:r>
              <w:rPr>
                <w:color w:val="231F20"/>
                <w:sz w:val="18"/>
              </w:rPr>
              <w:t>Started</w:t>
            </w:r>
          </w:p>
        </w:tc>
        <w:tc>
          <w:tcPr>
            <w:tcW w:w="3767" w:type="dxa"/>
          </w:tcPr>
          <w:p>
            <w:pPr>
              <w:pStyle w:val="TableParagraph"/>
              <w:rPr>
                <w:sz w:val="18"/>
              </w:rPr>
            </w:pPr>
            <w:r>
              <w:rPr>
                <w:color w:val="231F20"/>
                <w:spacing w:val="-2"/>
                <w:sz w:val="18"/>
              </w:rPr>
              <w:t>My_Situation</w:t>
            </w:r>
          </w:p>
        </w:tc>
      </w:tr>
      <w:tr>
        <w:trPr>
          <w:trHeight w:val="314" w:hRule="atLeast"/>
        </w:trPr>
        <w:tc>
          <w:tcPr>
            <w:tcW w:w="3767" w:type="dxa"/>
          </w:tcPr>
          <w:p>
            <w:pPr>
              <w:pStyle w:val="TableParagraph"/>
              <w:ind w:left="54"/>
              <w:rPr>
                <w:sz w:val="18"/>
              </w:rPr>
            </w:pPr>
            <w:r>
              <w:rPr>
                <w:position w:val="-3"/>
              </w:rPr>
              <w:drawing>
                <wp:inline distT="0" distB="0" distL="0" distR="0">
                  <wp:extent cx="95250" cy="95250"/>
                  <wp:effectExtent l="0" t="0" r="0" b="0"/>
                  <wp:docPr id="2657" name="Image 2657"/>
                  <wp:cNvGraphicFramePr>
                    <a:graphicFrameLocks/>
                  </wp:cNvGraphicFramePr>
                  <a:graphic>
                    <a:graphicData uri="http://schemas.openxmlformats.org/drawingml/2006/picture">
                      <pic:pic>
                        <pic:nvPicPr>
                          <pic:cNvPr id="2657" name="Image 2657"/>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Open</w:t>
            </w:r>
          </w:p>
        </w:tc>
        <w:tc>
          <w:tcPr>
            <w:tcW w:w="3767" w:type="dxa"/>
          </w:tcPr>
          <w:p>
            <w:pPr>
              <w:pStyle w:val="TableParagraph"/>
              <w:rPr>
                <w:sz w:val="18"/>
              </w:rPr>
            </w:pPr>
            <w:r>
              <w:rPr>
                <w:color w:val="231F20"/>
                <w:spacing w:val="-2"/>
                <w:sz w:val="18"/>
              </w:rPr>
              <w:t>My_Situation</w:t>
            </w:r>
          </w:p>
        </w:tc>
      </w:tr>
    </w:tbl>
    <w:p>
      <w:pPr>
        <w:pStyle w:val="BodyText"/>
        <w:spacing w:line="266" w:lineRule="auto" w:before="205"/>
        <w:ind w:left="3004" w:right="493" w:hanging="216"/>
      </w:pPr>
      <w:r>
        <w:rPr>
          <w:rFonts w:ascii="Futura MdCn BT"/>
          <w:color w:val="231F20"/>
        </w:rPr>
        <w:t>v</w:t>
      </w:r>
      <w:r>
        <w:rPr>
          <w:rFonts w:ascii="Futura MdCn BT"/>
          <w:color w:val="231F20"/>
          <w:spacing w:val="80"/>
        </w:rPr>
        <w:t> </w:t>
      </w:r>
      <w:r>
        <w:rPr>
          <w:color w:val="231F20"/>
        </w:rPr>
        <w:t>If you do not see the situation as Started, right-click the situation name </w:t>
      </w:r>
      <w:r>
        <w:rPr>
          <w:color w:val="231F20"/>
        </w:rPr>
        <w:t>and</w:t>
      </w:r>
      <w:r>
        <w:rPr>
          <w:color w:val="231F20"/>
          <w:spacing w:val="40"/>
        </w:rPr>
        <w:t> </w:t>
      </w:r>
      <w:r>
        <w:rPr>
          <w:color w:val="231F20"/>
        </w:rPr>
        <w:t>click</w:t>
      </w:r>
      <w:r>
        <w:rPr>
          <w:color w:val="231F20"/>
          <w:spacing w:val="80"/>
        </w:rPr>
        <w:t> </w:t>
      </w:r>
      <w:r>
        <w:rPr>
          <w:color w:val="231F20"/>
          <w:spacing w:val="-14"/>
          <w:position w:val="-1"/>
        </w:rPr>
        <w:drawing>
          <wp:inline distT="0" distB="0" distL="0" distR="0">
            <wp:extent cx="82550" cy="133350"/>
            <wp:effectExtent l="0" t="0" r="0" b="0"/>
            <wp:docPr id="2658" name="Image 2658"/>
            <wp:cNvGraphicFramePr>
              <a:graphicFrameLocks/>
            </wp:cNvGraphicFramePr>
            <a:graphic>
              <a:graphicData uri="http://schemas.openxmlformats.org/drawingml/2006/picture">
                <pic:pic>
                  <pic:nvPicPr>
                    <pic:cNvPr id="2658" name="Image 2658"/>
                    <pic:cNvPicPr/>
                  </pic:nvPicPr>
                  <pic:blipFill>
                    <a:blip r:embed="rId166" cstate="print"/>
                    <a:stretch>
                      <a:fillRect/>
                    </a:stretch>
                  </pic:blipFill>
                  <pic:spPr>
                    <a:xfrm>
                      <a:off x="0" y="0"/>
                      <a:ext cx="82550" cy="133350"/>
                    </a:xfrm>
                    <a:prstGeom prst="rect">
                      <a:avLst/>
                    </a:prstGeom>
                  </pic:spPr>
                </pic:pic>
              </a:graphicData>
            </a:graphic>
          </wp:inline>
        </w:drawing>
      </w:r>
      <w:r>
        <w:rPr>
          <w:color w:val="231F20"/>
          <w:spacing w:val="-14"/>
          <w:position w:val="-1"/>
        </w:rPr>
      </w:r>
      <w:r>
        <w:rPr>
          <w:rFonts w:ascii="Times New Roman"/>
          <w:color w:val="231F20"/>
          <w:spacing w:val="40"/>
        </w:rPr>
        <w:t> </w:t>
      </w:r>
      <w:r>
        <w:rPr>
          <w:rFonts w:ascii="Book Antiqua"/>
          <w:b/>
          <w:color w:val="231F20"/>
        </w:rPr>
        <w:t>Start the situation</w:t>
      </w:r>
      <w:r>
        <w:rPr>
          <w:color w:val="231F20"/>
        </w:rPr>
        <w:t>, and then click </w:t>
      </w:r>
      <w:r>
        <w:rPr>
          <w:rFonts w:ascii="Book Antiqua"/>
          <w:b/>
          <w:color w:val="231F20"/>
        </w:rPr>
        <w:t>OK</w:t>
      </w:r>
      <w:r>
        <w:rPr>
          <w:color w:val="231F20"/>
        </w:rPr>
        <w:t>.</w:t>
      </w:r>
    </w:p>
    <w:p>
      <w:pPr>
        <w:pStyle w:val="BodyText"/>
        <w:spacing w:line="269" w:lineRule="exact"/>
        <w:ind w:left="2788"/>
      </w:pPr>
      <w:r>
        <w:rPr>
          <w:rFonts w:ascii="Futura MdCn BT"/>
          <w:color w:val="231F20"/>
        </w:rPr>
        <w:t>v</w:t>
      </w:r>
      <w:r>
        <w:rPr>
          <w:rFonts w:ascii="Futura MdCn BT"/>
          <w:color w:val="231F20"/>
          <w:spacing w:val="31"/>
        </w:rPr>
        <w:t>  </w:t>
      </w:r>
      <w:r>
        <w:rPr>
          <w:color w:val="231F20"/>
        </w:rPr>
        <w:t>If</w:t>
      </w:r>
      <w:r>
        <w:rPr>
          <w:color w:val="231F20"/>
          <w:spacing w:val="14"/>
        </w:rPr>
        <w:t> </w:t>
      </w:r>
      <w:r>
        <w:rPr>
          <w:color w:val="231F20"/>
        </w:rPr>
        <w:t>the</w:t>
      </w:r>
      <w:r>
        <w:rPr>
          <w:color w:val="231F20"/>
          <w:spacing w:val="12"/>
        </w:rPr>
        <w:t> </w:t>
      </w:r>
      <w:r>
        <w:rPr>
          <w:color w:val="231F20"/>
        </w:rPr>
        <w:t>situation</w:t>
      </w:r>
      <w:r>
        <w:rPr>
          <w:color w:val="231F20"/>
          <w:spacing w:val="13"/>
        </w:rPr>
        <w:t> </w:t>
      </w:r>
      <w:r>
        <w:rPr>
          <w:color w:val="231F20"/>
        </w:rPr>
        <w:t>is</w:t>
      </w:r>
      <w:r>
        <w:rPr>
          <w:color w:val="231F20"/>
          <w:spacing w:val="12"/>
        </w:rPr>
        <w:t> </w:t>
      </w:r>
      <w:r>
        <w:rPr>
          <w:color w:val="231F20"/>
        </w:rPr>
        <w:t>started</w:t>
      </w:r>
      <w:r>
        <w:rPr>
          <w:color w:val="231F20"/>
          <w:spacing w:val="13"/>
        </w:rPr>
        <w:t> </w:t>
      </w:r>
      <w:r>
        <w:rPr>
          <w:color w:val="231F20"/>
        </w:rPr>
        <w:t>but</w:t>
      </w:r>
      <w:r>
        <w:rPr>
          <w:color w:val="231F20"/>
          <w:spacing w:val="12"/>
        </w:rPr>
        <w:t> </w:t>
      </w:r>
      <w:r>
        <w:rPr>
          <w:color w:val="231F20"/>
        </w:rPr>
        <w:t>no</w:t>
      </w:r>
      <w:r>
        <w:rPr>
          <w:color w:val="231F20"/>
          <w:spacing w:val="13"/>
        </w:rPr>
        <w:t> </w:t>
      </w:r>
      <w:r>
        <w:rPr>
          <w:color w:val="231F20"/>
        </w:rPr>
        <w:t>event</w:t>
      </w:r>
      <w:r>
        <w:rPr>
          <w:color w:val="231F20"/>
          <w:spacing w:val="12"/>
        </w:rPr>
        <w:t> </w:t>
      </w:r>
      <w:r>
        <w:rPr>
          <w:color w:val="231F20"/>
        </w:rPr>
        <w:t>opens,</w:t>
      </w:r>
      <w:r>
        <w:rPr>
          <w:color w:val="231F20"/>
          <w:spacing w:val="13"/>
        </w:rPr>
        <w:t> </w:t>
      </w:r>
      <w:r>
        <w:rPr>
          <w:color w:val="231F20"/>
        </w:rPr>
        <w:t>check</w:t>
      </w:r>
      <w:r>
        <w:rPr>
          <w:color w:val="231F20"/>
          <w:spacing w:val="12"/>
        </w:rPr>
        <w:t> </w:t>
      </w:r>
      <w:r>
        <w:rPr>
          <w:color w:val="231F20"/>
        </w:rPr>
        <w:t>that</w:t>
      </w:r>
      <w:r>
        <w:rPr>
          <w:color w:val="231F20"/>
          <w:spacing w:val="13"/>
        </w:rPr>
        <w:t> </w:t>
      </w:r>
      <w:r>
        <w:rPr>
          <w:color w:val="231F20"/>
        </w:rPr>
        <w:t>the</w:t>
      </w:r>
      <w:r>
        <w:rPr>
          <w:color w:val="231F20"/>
          <w:spacing w:val="12"/>
        </w:rPr>
        <w:t> </w:t>
      </w:r>
      <w:r>
        <w:rPr>
          <w:color w:val="231F20"/>
        </w:rPr>
        <w:t>condition</w:t>
      </w:r>
      <w:r>
        <w:rPr>
          <w:color w:val="231F20"/>
          <w:spacing w:val="13"/>
        </w:rPr>
        <w:t> </w:t>
      </w:r>
      <w:r>
        <w:rPr>
          <w:color w:val="231F20"/>
        </w:rPr>
        <w:t>is</w:t>
      </w:r>
      <w:r>
        <w:rPr>
          <w:color w:val="231F20"/>
          <w:spacing w:val="13"/>
        </w:rPr>
        <w:t> </w:t>
      </w:r>
      <w:r>
        <w:rPr>
          <w:color w:val="231F20"/>
          <w:spacing w:val="-2"/>
        </w:rPr>
        <w:t>true.</w:t>
      </w:r>
    </w:p>
    <w:p>
      <w:pPr>
        <w:pStyle w:val="BodyText"/>
        <w:spacing w:before="29"/>
        <w:ind w:left="3004"/>
      </w:pPr>
      <w:r>
        <w:rPr>
          <w:color w:val="231F20"/>
        </w:rPr>
        <w:t>Continue</w:t>
      </w:r>
      <w:r>
        <w:rPr>
          <w:color w:val="231F20"/>
          <w:spacing w:val="13"/>
        </w:rPr>
        <w:t> </w:t>
      </w:r>
      <w:r>
        <w:rPr>
          <w:color w:val="231F20"/>
        </w:rPr>
        <w:t>to</w:t>
      </w:r>
      <w:r>
        <w:rPr>
          <w:color w:val="231F20"/>
          <w:spacing w:val="13"/>
        </w:rPr>
        <w:t> </w:t>
      </w:r>
      <w:r>
        <w:rPr>
          <w:color w:val="231F20"/>
        </w:rPr>
        <w:t>Step</w:t>
      </w:r>
      <w:r>
        <w:rPr>
          <w:color w:val="231F20"/>
          <w:spacing w:val="55"/>
          <w:w w:val="150"/>
        </w:rPr>
        <w:t> </w:t>
      </w:r>
      <w:r>
        <w:rPr>
          <w:color w:val="231F20"/>
          <w:spacing w:val="-15"/>
          <w:position w:val="-1"/>
        </w:rPr>
        <w:drawing>
          <wp:inline distT="0" distB="0" distL="0" distR="0">
            <wp:extent cx="82550" cy="133350"/>
            <wp:effectExtent l="0" t="0" r="0" b="0"/>
            <wp:docPr id="2659" name="Image 2659"/>
            <wp:cNvGraphicFramePr>
              <a:graphicFrameLocks/>
            </wp:cNvGraphicFramePr>
            <a:graphic>
              <a:graphicData uri="http://schemas.openxmlformats.org/drawingml/2006/picture">
                <pic:pic>
                  <pic:nvPicPr>
                    <pic:cNvPr id="2659" name="Image 2659"/>
                    <pic:cNvPicPr/>
                  </pic:nvPicPr>
                  <pic:blipFill>
                    <a:blip r:embed="rId166" cstate="print"/>
                    <a:stretch>
                      <a:fillRect/>
                    </a:stretch>
                  </pic:blipFill>
                  <pic:spPr>
                    <a:xfrm>
                      <a:off x="0" y="0"/>
                      <a:ext cx="82550" cy="133350"/>
                    </a:xfrm>
                    <a:prstGeom prst="rect">
                      <a:avLst/>
                    </a:prstGeom>
                  </pic:spPr>
                </pic:pic>
              </a:graphicData>
            </a:graphic>
          </wp:inline>
        </w:drawing>
      </w:r>
      <w:r>
        <w:rPr>
          <w:color w:val="231F20"/>
          <w:spacing w:val="-15"/>
          <w:position w:val="-1"/>
        </w:rPr>
      </w:r>
      <w:r>
        <w:rPr>
          <w:rFonts w:ascii="Times New Roman"/>
          <w:color w:val="231F20"/>
          <w:spacing w:val="31"/>
        </w:rPr>
        <w:t> </w:t>
      </w:r>
      <w:r>
        <w:rPr>
          <w:color w:val="231F20"/>
          <w:spacing w:val="-10"/>
        </w:rPr>
        <w:t>.</w:t>
      </w:r>
    </w:p>
    <w:p>
      <w:pPr>
        <w:pStyle w:val="BodyText"/>
        <w:spacing w:line="213" w:lineRule="auto" w:before="53"/>
        <w:ind w:left="3004" w:right="258" w:hanging="216"/>
      </w:pPr>
      <w:r>
        <w:rPr>
          <w:rFonts w:ascii="Futura MdCn BT"/>
          <w:color w:val="231F20"/>
        </w:rPr>
        <w:t>v</w:t>
      </w:r>
      <w:r>
        <w:rPr>
          <w:rFonts w:ascii="Futura MdCn BT"/>
          <w:color w:val="231F20"/>
          <w:spacing w:val="80"/>
          <w:w w:val="150"/>
        </w:rPr>
        <w:t> </w:t>
      </w:r>
      <w:r>
        <w:rPr>
          <w:color w:val="231F20"/>
        </w:rPr>
        <w:t>If</w:t>
      </w:r>
      <w:r>
        <w:rPr>
          <w:color w:val="231F20"/>
          <w:spacing w:val="25"/>
        </w:rPr>
        <w:t> </w:t>
      </w:r>
      <w:r>
        <w:rPr>
          <w:color w:val="231F20"/>
        </w:rPr>
        <w:t>the</w:t>
      </w:r>
      <w:r>
        <w:rPr>
          <w:color w:val="231F20"/>
          <w:spacing w:val="25"/>
        </w:rPr>
        <w:t> </w:t>
      </w:r>
      <w:r>
        <w:rPr>
          <w:color w:val="231F20"/>
        </w:rPr>
        <w:t>message</w:t>
      </w:r>
      <w:r>
        <w:rPr>
          <w:color w:val="231F20"/>
          <w:spacing w:val="25"/>
        </w:rPr>
        <w:t> </w:t>
      </w:r>
      <w:r>
        <w:rPr>
          <w:color w:val="231F20"/>
        </w:rPr>
        <w:t>log</w:t>
      </w:r>
      <w:r>
        <w:rPr>
          <w:color w:val="231F20"/>
          <w:spacing w:val="25"/>
        </w:rPr>
        <w:t> </w:t>
      </w:r>
      <w:r>
        <w:rPr>
          <w:color w:val="231F20"/>
        </w:rPr>
        <w:t>shows</w:t>
      </w:r>
      <w:r>
        <w:rPr>
          <w:color w:val="231F20"/>
          <w:spacing w:val="25"/>
        </w:rPr>
        <w:t> </w:t>
      </w:r>
      <w:r>
        <w:rPr>
          <w:color w:val="231F20"/>
        </w:rPr>
        <w:t>the</w:t>
      </w:r>
      <w:r>
        <w:rPr>
          <w:color w:val="231F20"/>
          <w:spacing w:val="25"/>
        </w:rPr>
        <w:t> </w:t>
      </w:r>
      <w:r>
        <w:rPr>
          <w:color w:val="231F20"/>
        </w:rPr>
        <w:t>situation</w:t>
      </w:r>
      <w:r>
        <w:rPr>
          <w:color w:val="231F20"/>
          <w:spacing w:val="25"/>
        </w:rPr>
        <w:t> </w:t>
      </w:r>
      <w:r>
        <w:rPr>
          <w:color w:val="231F20"/>
        </w:rPr>
        <w:t>has</w:t>
      </w:r>
      <w:r>
        <w:rPr>
          <w:color w:val="231F20"/>
          <w:spacing w:val="25"/>
        </w:rPr>
        <w:t> </w:t>
      </w:r>
      <w:r>
        <w:rPr>
          <w:color w:val="231F20"/>
        </w:rPr>
        <w:t>a</w:t>
      </w:r>
      <w:r>
        <w:rPr>
          <w:color w:val="231F20"/>
          <w:spacing w:val="25"/>
        </w:rPr>
        <w:t> </w:t>
      </w:r>
      <w:r>
        <w:rPr>
          <w:color w:val="231F20"/>
        </w:rPr>
        <w:t>Problem,</w:t>
      </w:r>
      <w:r>
        <w:rPr>
          <w:color w:val="231F20"/>
          <w:spacing w:val="25"/>
        </w:rPr>
        <w:t> </w:t>
      </w:r>
      <w:r>
        <w:rPr>
          <w:color w:val="231F20"/>
        </w:rPr>
        <w:t>the</w:t>
      </w:r>
      <w:r>
        <w:rPr>
          <w:color w:val="231F20"/>
          <w:spacing w:val="25"/>
        </w:rPr>
        <w:t> </w:t>
      </w:r>
      <w:r>
        <w:rPr>
          <w:color w:val="231F20"/>
        </w:rPr>
        <w:t>cause</w:t>
      </w:r>
      <w:r>
        <w:rPr>
          <w:color w:val="231F20"/>
          <w:spacing w:val="25"/>
        </w:rPr>
        <w:t> </w:t>
      </w:r>
      <w:r>
        <w:rPr>
          <w:color w:val="231F20"/>
        </w:rPr>
        <w:t>might</w:t>
      </w:r>
      <w:r>
        <w:rPr>
          <w:color w:val="231F20"/>
          <w:spacing w:val="25"/>
        </w:rPr>
        <w:t> </w:t>
      </w:r>
      <w:r>
        <w:rPr>
          <w:color w:val="231F20"/>
        </w:rPr>
        <w:t>be that</w:t>
      </w:r>
      <w:r>
        <w:rPr>
          <w:color w:val="231F20"/>
          <w:spacing w:val="18"/>
        </w:rPr>
        <w:t> </w:t>
      </w:r>
      <w:r>
        <w:rPr>
          <w:color w:val="231F20"/>
        </w:rPr>
        <w:t>the</w:t>
      </w:r>
      <w:r>
        <w:rPr>
          <w:color w:val="231F20"/>
          <w:spacing w:val="18"/>
        </w:rPr>
        <w:t> </w:t>
      </w:r>
      <w:r>
        <w:rPr>
          <w:color w:val="231F20"/>
        </w:rPr>
        <w:t>formula</w:t>
      </w:r>
      <w:r>
        <w:rPr>
          <w:color w:val="231F20"/>
          <w:spacing w:val="18"/>
        </w:rPr>
        <w:t> </w:t>
      </w:r>
      <w:r>
        <w:rPr>
          <w:color w:val="231F20"/>
        </w:rPr>
        <w:t>has</w:t>
      </w:r>
      <w:r>
        <w:rPr>
          <w:color w:val="231F20"/>
          <w:spacing w:val="18"/>
        </w:rPr>
        <w:t> </w:t>
      </w:r>
      <w:r>
        <w:rPr>
          <w:color w:val="231F20"/>
        </w:rPr>
        <w:t>a</w:t>
      </w:r>
      <w:r>
        <w:rPr>
          <w:color w:val="231F20"/>
          <w:spacing w:val="18"/>
        </w:rPr>
        <w:t> </w:t>
      </w:r>
      <w:r>
        <w:rPr>
          <w:color w:val="231F20"/>
        </w:rPr>
        <w:t>syntax</w:t>
      </w:r>
      <w:r>
        <w:rPr>
          <w:color w:val="231F20"/>
          <w:spacing w:val="18"/>
        </w:rPr>
        <w:t> </w:t>
      </w:r>
      <w:r>
        <w:rPr>
          <w:color w:val="231F20"/>
        </w:rPr>
        <w:t>error</w:t>
      </w:r>
      <w:r>
        <w:rPr>
          <w:color w:val="231F20"/>
          <w:spacing w:val="18"/>
        </w:rPr>
        <w:t> </w:t>
      </w:r>
      <w:r>
        <w:rPr>
          <w:color w:val="231F20"/>
        </w:rPr>
        <w:t>and</w:t>
      </w:r>
      <w:r>
        <w:rPr>
          <w:color w:val="231F20"/>
          <w:spacing w:val="18"/>
        </w:rPr>
        <w:t> </w:t>
      </w:r>
      <w:r>
        <w:rPr>
          <w:color w:val="231F20"/>
        </w:rPr>
        <w:t>you</w:t>
      </w:r>
      <w:r>
        <w:rPr>
          <w:color w:val="231F20"/>
          <w:spacing w:val="18"/>
        </w:rPr>
        <w:t> </w:t>
      </w:r>
      <w:r>
        <w:rPr>
          <w:color w:val="231F20"/>
        </w:rPr>
        <w:t>must</w:t>
      </w:r>
      <w:r>
        <w:rPr>
          <w:color w:val="231F20"/>
          <w:spacing w:val="18"/>
        </w:rPr>
        <w:t> </w:t>
      </w:r>
      <w:r>
        <w:rPr>
          <w:color w:val="231F20"/>
        </w:rPr>
        <w:t>follow</w:t>
      </w:r>
      <w:r>
        <w:rPr>
          <w:color w:val="231F20"/>
          <w:spacing w:val="18"/>
        </w:rPr>
        <w:t> </w:t>
      </w:r>
      <w:r>
        <w:rPr>
          <w:color w:val="231F20"/>
        </w:rPr>
        <w:t>step</w:t>
      </w:r>
      <w:r>
        <w:rPr>
          <w:color w:val="231F20"/>
          <w:spacing w:val="15"/>
        </w:rPr>
        <w:t> </w:t>
      </w:r>
      <w:r>
        <w:rPr>
          <w:color w:val="231F20"/>
          <w:spacing w:val="15"/>
        </w:rPr>
        <w:drawing>
          <wp:inline distT="0" distB="0" distL="0" distR="0">
            <wp:extent cx="76200" cy="76200"/>
            <wp:effectExtent l="0" t="0" r="0" b="0"/>
            <wp:docPr id="2660" name="Image 2660"/>
            <wp:cNvGraphicFramePr>
              <a:graphicFrameLocks/>
            </wp:cNvGraphicFramePr>
            <a:graphic>
              <a:graphicData uri="http://schemas.openxmlformats.org/drawingml/2006/picture">
                <pic:pic>
                  <pic:nvPicPr>
                    <pic:cNvPr id="2660" name="Image 2660"/>
                    <pic:cNvPicPr/>
                  </pic:nvPicPr>
                  <pic:blipFill>
                    <a:blip r:embed="rId412" cstate="print"/>
                    <a:stretch>
                      <a:fillRect/>
                    </a:stretch>
                  </pic:blipFill>
                  <pic:spPr>
                    <a:xfrm>
                      <a:off x="0" y="0"/>
                      <a:ext cx="76200" cy="76200"/>
                    </a:xfrm>
                    <a:prstGeom prst="rect">
                      <a:avLst/>
                    </a:prstGeom>
                  </pic:spPr>
                </pic:pic>
              </a:graphicData>
            </a:graphic>
          </wp:inline>
        </w:drawing>
      </w:r>
      <w:r>
        <w:rPr>
          <w:color w:val="231F20"/>
          <w:spacing w:val="15"/>
        </w:rPr>
      </w:r>
      <w:r>
        <w:rPr>
          <w:rFonts w:ascii="Times New Roman"/>
          <w:color w:val="231F20"/>
          <w:spacing w:val="-15"/>
        </w:rPr>
        <w:t> </w:t>
      </w:r>
      <w:r>
        <w:rPr>
          <w:color w:val="231F20"/>
        </w:rPr>
        <w:t>;</w:t>
      </w:r>
      <w:r>
        <w:rPr>
          <w:color w:val="231F20"/>
          <w:spacing w:val="18"/>
        </w:rPr>
        <w:t> </w:t>
      </w:r>
      <w:r>
        <w:rPr>
          <w:color w:val="231F20"/>
        </w:rPr>
        <w:t>-OR-</w:t>
      </w:r>
      <w:r>
        <w:rPr>
          <w:color w:val="231F20"/>
          <w:spacing w:val="18"/>
        </w:rPr>
        <w:t> </w:t>
      </w:r>
      <w:r>
        <w:rPr>
          <w:color w:val="231F20"/>
        </w:rPr>
        <w:t>there is a version mismatch between the agent support at the Tivoli Enterprise Monitoring Server and the Tivoli Enterprise Portal Server. Contact </w:t>
      </w:r>
      <w:r>
        <w:rPr>
          <w:color w:val="231F20"/>
        </w:rPr>
        <w:t>Customer</w:t>
      </w:r>
    </w:p>
    <w:p>
      <w:pPr>
        <w:spacing w:after="0" w:line="213" w:lineRule="auto"/>
        <w:sectPr>
          <w:pgSz w:w="12240" w:h="15840"/>
          <w:pgMar w:header="0" w:footer="736" w:top="1180" w:bottom="920" w:left="1000" w:right="1060"/>
        </w:sectPr>
      </w:pPr>
    </w:p>
    <w:p>
      <w:pPr>
        <w:pStyle w:val="BodyText"/>
        <w:spacing w:line="213" w:lineRule="auto" w:before="85"/>
        <w:ind w:left="2764" w:right="636"/>
      </w:pPr>
      <w:bookmarkStart w:name="_bookmark233" w:id="489"/>
      <w:bookmarkEnd w:id="489"/>
      <w:r>
        <w:rPr/>
      </w:r>
      <w:r>
        <w:rPr>
          <w:color w:val="231F20"/>
        </w:rPr>
        <w:t>Support. This can easily happen when the Tivoli Enterprise Monitoring Server and Tivoli Enterprise Portal Server are on different computers </w:t>
      </w:r>
      <w:r>
        <w:rPr>
          <w:color w:val="231F20"/>
        </w:rPr>
        <w:t>and you upgrade the Tivoli Enterprise Portal Server and not the monitoring </w:t>
      </w:r>
      <w:r>
        <w:rPr>
          <w:color w:val="231F20"/>
          <w:spacing w:val="-2"/>
        </w:rPr>
        <w:t>server.</w:t>
      </w:r>
    </w:p>
    <w:p>
      <w:pPr>
        <w:pStyle w:val="ListParagraph"/>
        <w:numPr>
          <w:ilvl w:val="0"/>
          <w:numId w:val="141"/>
        </w:numPr>
        <w:tabs>
          <w:tab w:pos="2548" w:val="left" w:leader="none"/>
        </w:tabs>
        <w:spacing w:line="213" w:lineRule="auto" w:before="57" w:after="0"/>
        <w:ind w:left="2548" w:right="508" w:hanging="316"/>
        <w:jc w:val="left"/>
        <w:rPr>
          <w:sz w:val="20"/>
        </w:rPr>
      </w:pPr>
      <w:r>
        <w:rPr>
          <w:rFonts w:ascii="Book Antiqua"/>
          <w:i/>
          <w:color w:val="231F20"/>
          <w:sz w:val="20"/>
        </w:rPr>
        <w:t>Has the condition specified in the formula been met? </w:t>
      </w:r>
      <w:r>
        <w:rPr>
          <w:color w:val="231F20"/>
          <w:sz w:val="20"/>
        </w:rPr>
        <w:t>It is possible that everything about the situation, its distribution and association are correct but the </w:t>
      </w:r>
      <w:r>
        <w:rPr>
          <w:color w:val="231F20"/>
          <w:sz w:val="20"/>
        </w:rPr>
        <w:t>situation does not fire because the condition has not been met.</w:t>
      </w:r>
    </w:p>
    <w:p>
      <w:pPr>
        <w:pStyle w:val="BodyText"/>
        <w:spacing w:line="213" w:lineRule="auto" w:before="58"/>
        <w:ind w:left="2548" w:right="274"/>
      </w:pPr>
      <w:r>
        <w:rPr>
          <w:color w:val="231F20"/>
        </w:rPr>
        <w:t>Before</w:t>
      </w:r>
      <w:r>
        <w:rPr>
          <w:color w:val="231F20"/>
          <w:spacing w:val="21"/>
        </w:rPr>
        <w:t> </w:t>
      </w:r>
      <w:r>
        <w:rPr>
          <w:color w:val="231F20"/>
        </w:rPr>
        <w:t>you</w:t>
      </w:r>
      <w:r>
        <w:rPr>
          <w:color w:val="231F20"/>
          <w:spacing w:val="21"/>
        </w:rPr>
        <w:t> </w:t>
      </w:r>
      <w:r>
        <w:rPr>
          <w:color w:val="231F20"/>
        </w:rPr>
        <w:t>open</w:t>
      </w:r>
      <w:r>
        <w:rPr>
          <w:color w:val="231F20"/>
          <w:spacing w:val="21"/>
        </w:rPr>
        <w:t> </w:t>
      </w:r>
      <w:r>
        <w:rPr>
          <w:color w:val="231F20"/>
        </w:rPr>
        <w:t>the</w:t>
      </w:r>
      <w:r>
        <w:rPr>
          <w:color w:val="231F20"/>
          <w:spacing w:val="21"/>
        </w:rPr>
        <w:t> </w:t>
      </w:r>
      <w:r>
        <w:rPr>
          <w:color w:val="231F20"/>
        </w:rPr>
        <w:t>Situation</w:t>
      </w:r>
      <w:r>
        <w:rPr>
          <w:color w:val="231F20"/>
          <w:spacing w:val="21"/>
        </w:rPr>
        <w:t> </w:t>
      </w:r>
      <w:r>
        <w:rPr>
          <w:color w:val="231F20"/>
        </w:rPr>
        <w:t>editor,</w:t>
      </w:r>
      <w:r>
        <w:rPr>
          <w:color w:val="231F20"/>
          <w:spacing w:val="21"/>
        </w:rPr>
        <w:t> </w:t>
      </w:r>
      <w:r>
        <w:rPr>
          <w:color w:val="231F20"/>
        </w:rPr>
        <w:t>it</w:t>
      </w:r>
      <w:r>
        <w:rPr>
          <w:color w:val="231F20"/>
          <w:spacing w:val="21"/>
        </w:rPr>
        <w:t> </w:t>
      </w:r>
      <w:r>
        <w:rPr>
          <w:color w:val="231F20"/>
        </w:rPr>
        <w:t>is</w:t>
      </w:r>
      <w:r>
        <w:rPr>
          <w:color w:val="231F20"/>
          <w:spacing w:val="21"/>
        </w:rPr>
        <w:t> </w:t>
      </w:r>
      <w:r>
        <w:rPr>
          <w:color w:val="231F20"/>
        </w:rPr>
        <w:t>a</w:t>
      </w:r>
      <w:r>
        <w:rPr>
          <w:color w:val="231F20"/>
          <w:spacing w:val="21"/>
        </w:rPr>
        <w:t> </w:t>
      </w:r>
      <w:r>
        <w:rPr>
          <w:color w:val="231F20"/>
        </w:rPr>
        <w:t>good</w:t>
      </w:r>
      <w:r>
        <w:rPr>
          <w:color w:val="231F20"/>
          <w:spacing w:val="21"/>
        </w:rPr>
        <w:t> </w:t>
      </w:r>
      <w:r>
        <w:rPr>
          <w:color w:val="231F20"/>
        </w:rPr>
        <w:t>idea</w:t>
      </w:r>
      <w:r>
        <w:rPr>
          <w:color w:val="231F20"/>
          <w:spacing w:val="21"/>
        </w:rPr>
        <w:t> </w:t>
      </w:r>
      <w:r>
        <w:rPr>
          <w:color w:val="231F20"/>
        </w:rPr>
        <w:t>to</w:t>
      </w:r>
      <w:r>
        <w:rPr>
          <w:color w:val="231F20"/>
          <w:spacing w:val="21"/>
        </w:rPr>
        <w:t> </w:t>
      </w:r>
      <w:r>
        <w:rPr>
          <w:color w:val="231F20"/>
        </w:rPr>
        <w:t>create</w:t>
      </w:r>
      <w:r>
        <w:rPr>
          <w:color w:val="231F20"/>
          <w:spacing w:val="21"/>
        </w:rPr>
        <w:t> </w:t>
      </w:r>
      <w:r>
        <w:rPr>
          <w:color w:val="231F20"/>
        </w:rPr>
        <w:t>a</w:t>
      </w:r>
      <w:r>
        <w:rPr>
          <w:color w:val="231F20"/>
          <w:spacing w:val="21"/>
        </w:rPr>
        <w:t> </w:t>
      </w:r>
      <w:r>
        <w:rPr>
          <w:color w:val="231F20"/>
        </w:rPr>
        <w:t>table</w:t>
      </w:r>
      <w:r>
        <w:rPr>
          <w:color w:val="231F20"/>
          <w:spacing w:val="21"/>
        </w:rPr>
        <w:t> </w:t>
      </w:r>
      <w:r>
        <w:rPr>
          <w:color w:val="231F20"/>
        </w:rPr>
        <w:t>view</w:t>
      </w:r>
      <w:r>
        <w:rPr>
          <w:color w:val="231F20"/>
          <w:spacing w:val="21"/>
        </w:rPr>
        <w:t> </w:t>
      </w:r>
      <w:r>
        <w:rPr>
          <w:color w:val="231F20"/>
        </w:rPr>
        <w:t>of the same attributes as those in the situation. You can then compare the returned values against those in the formula.</w:t>
      </w:r>
    </w:p>
    <w:p>
      <w:pPr>
        <w:pStyle w:val="BodyText"/>
        <w:spacing w:line="213" w:lineRule="auto" w:before="58"/>
        <w:ind w:left="2764" w:right="533" w:hanging="216"/>
        <w:jc w:val="both"/>
      </w:pPr>
      <w:r>
        <w:rPr>
          <w:rFonts w:ascii="Futura MdCn BT"/>
          <w:color w:val="231F20"/>
        </w:rPr>
        <w:t>v</w:t>
      </w:r>
      <w:r>
        <w:rPr>
          <w:rFonts w:ascii="Futura MdCn BT"/>
          <w:color w:val="231F20"/>
          <w:spacing w:val="40"/>
        </w:rPr>
        <w:t> </w:t>
      </w:r>
      <w:r>
        <w:rPr>
          <w:color w:val="231F20"/>
        </w:rPr>
        <w:t>In the Situation editor, click </w:t>
      </w:r>
      <w:r>
        <w:rPr>
          <w:color w:val="231F20"/>
          <w:spacing w:val="15"/>
          <w:position w:val="-1"/>
        </w:rPr>
        <w:drawing>
          <wp:inline distT="0" distB="0" distL="0" distR="0">
            <wp:extent cx="101600" cy="101600"/>
            <wp:effectExtent l="0" t="0" r="0" b="0"/>
            <wp:docPr id="2661" name="Image 2661"/>
            <wp:cNvGraphicFramePr>
              <a:graphicFrameLocks/>
            </wp:cNvGraphicFramePr>
            <a:graphic>
              <a:graphicData uri="http://schemas.openxmlformats.org/drawingml/2006/picture">
                <pic:pic>
                  <pic:nvPicPr>
                    <pic:cNvPr id="2661" name="Image 2661"/>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rFonts w:ascii="Book Antiqua"/>
          <w:b/>
          <w:color w:val="231F20"/>
        </w:rPr>
        <w:t>Show Formula </w:t>
      </w:r>
      <w:r>
        <w:rPr>
          <w:color w:val="231F20"/>
        </w:rPr>
        <w:t>and review the expressions to confirm that the syntax and threshold values accurately reflect the </w:t>
      </w:r>
      <w:r>
        <w:rPr>
          <w:color w:val="231F20"/>
        </w:rPr>
        <w:t>condition</w:t>
      </w:r>
      <w:r>
        <w:rPr>
          <w:color w:val="231F20"/>
        </w:rPr>
        <w:t> you are testing for.</w:t>
      </w:r>
    </w:p>
    <w:p>
      <w:pPr>
        <w:pStyle w:val="BodyText"/>
        <w:spacing w:line="213" w:lineRule="auto" w:before="57"/>
        <w:ind w:left="2764" w:right="493" w:hanging="216"/>
      </w:pPr>
      <w:r>
        <w:rPr>
          <w:rFonts w:ascii="Futura MdCn BT"/>
          <w:color w:val="231F20"/>
        </w:rPr>
        <w:t>v</w:t>
      </w:r>
      <w:r>
        <w:rPr>
          <w:rFonts w:ascii="Futura MdCn BT"/>
          <w:color w:val="231F20"/>
          <w:spacing w:val="80"/>
        </w:rPr>
        <w:t> </w:t>
      </w:r>
      <w:r>
        <w:rPr>
          <w:color w:val="231F20"/>
        </w:rPr>
        <w:t>Has persistence been added to the situation and has the threshold been exceeded? The light will go on and the message log will show Open after </w:t>
      </w:r>
      <w:r>
        <w:rPr>
          <w:color w:val="231F20"/>
        </w:rPr>
        <w:t>the</w:t>
      </w:r>
      <w:r>
        <w:rPr>
          <w:color w:val="231F20"/>
        </w:rPr>
        <w:t> situation has remained true through the consecutive number of intervals </w:t>
      </w:r>
      <w:r>
        <w:rPr>
          <w:color w:val="231F20"/>
          <w:spacing w:val="-2"/>
        </w:rPr>
        <w:t>specified.</w:t>
      </w:r>
    </w:p>
    <w:p>
      <w:pPr>
        <w:pStyle w:val="BodyText"/>
        <w:spacing w:line="255" w:lineRule="exact" w:before="34"/>
        <w:ind w:left="2548"/>
      </w:pPr>
      <w:r>
        <w:rPr>
          <w:rFonts w:ascii="Futura MdCn BT"/>
          <w:color w:val="231F20"/>
        </w:rPr>
        <w:t>v</w:t>
      </w:r>
      <w:r>
        <w:rPr>
          <w:rFonts w:ascii="Futura MdCn BT"/>
          <w:color w:val="231F20"/>
          <w:spacing w:val="31"/>
        </w:rPr>
        <w:t>  </w:t>
      </w:r>
      <w:r>
        <w:rPr>
          <w:color w:val="231F20"/>
        </w:rPr>
        <w:t>Does</w:t>
      </w:r>
      <w:r>
        <w:rPr>
          <w:color w:val="231F20"/>
          <w:spacing w:val="13"/>
        </w:rPr>
        <w:t> </w:t>
      </w:r>
      <w:r>
        <w:rPr>
          <w:color w:val="231F20"/>
        </w:rPr>
        <w:t>the</w:t>
      </w:r>
      <w:r>
        <w:rPr>
          <w:color w:val="231F20"/>
          <w:spacing w:val="12"/>
        </w:rPr>
        <w:t> </w:t>
      </w:r>
      <w:r>
        <w:rPr>
          <w:color w:val="231F20"/>
        </w:rPr>
        <w:t>situation</w:t>
      </w:r>
      <w:r>
        <w:rPr>
          <w:color w:val="231F20"/>
          <w:spacing w:val="12"/>
        </w:rPr>
        <w:t> </w:t>
      </w:r>
      <w:r>
        <w:rPr>
          <w:color w:val="231F20"/>
        </w:rPr>
        <w:t>have</w:t>
      </w:r>
      <w:r>
        <w:rPr>
          <w:color w:val="231F20"/>
          <w:spacing w:val="12"/>
        </w:rPr>
        <w:t> </w:t>
      </w:r>
      <w:r>
        <w:rPr>
          <w:color w:val="231F20"/>
        </w:rPr>
        <w:t>an</w:t>
      </w:r>
      <w:r>
        <w:rPr>
          <w:color w:val="231F20"/>
          <w:spacing w:val="13"/>
        </w:rPr>
        <w:t> </w:t>
      </w:r>
      <w:r>
        <w:rPr>
          <w:color w:val="231F20"/>
        </w:rPr>
        <w:t>UNTIL</w:t>
      </w:r>
      <w:r>
        <w:rPr>
          <w:color w:val="231F20"/>
          <w:spacing w:val="5"/>
        </w:rPr>
        <w:t> </w:t>
      </w:r>
      <w:r>
        <w:rPr>
          <w:color w:val="231F20"/>
        </w:rPr>
        <w:t>clause</w:t>
      </w:r>
      <w:r>
        <w:rPr>
          <w:color w:val="231F20"/>
          <w:spacing w:val="13"/>
        </w:rPr>
        <w:t> </w:t>
      </w:r>
      <w:r>
        <w:rPr>
          <w:color w:val="231F20"/>
        </w:rPr>
        <w:t>and</w:t>
      </w:r>
      <w:r>
        <w:rPr>
          <w:color w:val="231F20"/>
          <w:spacing w:val="12"/>
        </w:rPr>
        <w:t> </w:t>
      </w:r>
      <w:r>
        <w:rPr>
          <w:color w:val="231F20"/>
        </w:rPr>
        <w:t>is</w:t>
      </w:r>
      <w:r>
        <w:rPr>
          <w:color w:val="231F20"/>
          <w:spacing w:val="12"/>
        </w:rPr>
        <w:t> </w:t>
      </w:r>
      <w:r>
        <w:rPr>
          <w:color w:val="231F20"/>
        </w:rPr>
        <w:t>the</w:t>
      </w:r>
      <w:r>
        <w:rPr>
          <w:color w:val="231F20"/>
          <w:spacing w:val="12"/>
        </w:rPr>
        <w:t> </w:t>
      </w:r>
      <w:r>
        <w:rPr>
          <w:color w:val="231F20"/>
        </w:rPr>
        <w:t>other</w:t>
      </w:r>
      <w:r>
        <w:rPr>
          <w:color w:val="231F20"/>
          <w:spacing w:val="12"/>
        </w:rPr>
        <w:t> </w:t>
      </w:r>
      <w:r>
        <w:rPr>
          <w:color w:val="231F20"/>
        </w:rPr>
        <w:t>situation</w:t>
      </w:r>
      <w:r>
        <w:rPr>
          <w:color w:val="231F20"/>
          <w:spacing w:val="13"/>
        </w:rPr>
        <w:t> </w:t>
      </w:r>
      <w:r>
        <w:rPr>
          <w:color w:val="231F20"/>
          <w:spacing w:val="-2"/>
        </w:rPr>
        <w:t>true?</w:t>
      </w:r>
    </w:p>
    <w:p>
      <w:pPr>
        <w:pStyle w:val="BodyText"/>
        <w:spacing w:line="213" w:lineRule="auto" w:before="8"/>
        <w:ind w:left="2764" w:right="526"/>
        <w:jc w:val="both"/>
      </w:pPr>
      <w:r>
        <w:rPr>
          <w:color w:val="231F20"/>
        </w:rPr>
        <w:t>When the other situation is true, the event for this situation is closed even </w:t>
      </w:r>
      <w:r>
        <w:rPr>
          <w:color w:val="231F20"/>
        </w:rPr>
        <w:t>if the condition still exists. An event will not be opened until the next interval and only if the condition is true.</w:t>
      </w:r>
    </w:p>
    <w:p>
      <w:pPr>
        <w:pStyle w:val="BodyText"/>
        <w:spacing w:line="213" w:lineRule="auto" w:before="58"/>
        <w:ind w:left="2764" w:right="545" w:hanging="216"/>
      </w:pPr>
      <w:r>
        <w:rPr>
          <w:rFonts w:ascii="Futura MdCn BT"/>
          <w:color w:val="231F20"/>
        </w:rPr>
        <w:t>v</w:t>
      </w:r>
      <w:r>
        <w:rPr>
          <w:rFonts w:ascii="Futura MdCn BT"/>
          <w:color w:val="231F20"/>
          <w:spacing w:val="80"/>
        </w:rPr>
        <w:t> </w:t>
      </w:r>
      <w:r>
        <w:rPr>
          <w:color w:val="231F20"/>
        </w:rPr>
        <w:t>If you still can't determine the cause of the situation not firing, try adding an</w:t>
      </w:r>
      <w:r>
        <w:rPr>
          <w:color w:val="231F20"/>
          <w:spacing w:val="40"/>
        </w:rPr>
        <w:t> </w:t>
      </w:r>
      <w:r>
        <w:rPr>
          <w:color w:val="231F20"/>
        </w:rPr>
        <w:t>OR expression for one of the attributes that is sure to be true. Then click</w:t>
      </w:r>
      <w:r>
        <w:rPr>
          <w:color w:val="231F20"/>
          <w:spacing w:val="80"/>
        </w:rPr>
        <w:t> </w:t>
      </w:r>
      <w:r>
        <w:rPr>
          <w:rFonts w:ascii="Book Antiqua"/>
          <w:b/>
          <w:color w:val="231F20"/>
        </w:rPr>
        <w:t>Apply </w:t>
      </w:r>
      <w:r>
        <w:rPr>
          <w:color w:val="231F20"/>
        </w:rPr>
        <w:t>to restart the situation with the true condition. It should become true. Remove the OR expression when you are done.</w:t>
      </w:r>
    </w:p>
    <w:p>
      <w:pPr>
        <w:pStyle w:val="ListParagraph"/>
        <w:numPr>
          <w:ilvl w:val="0"/>
          <w:numId w:val="141"/>
        </w:numPr>
        <w:tabs>
          <w:tab w:pos="2548" w:val="left" w:leader="none"/>
        </w:tabs>
        <w:spacing w:line="213" w:lineRule="auto" w:before="57" w:after="0"/>
        <w:ind w:left="2548" w:right="560" w:hanging="316"/>
        <w:jc w:val="left"/>
        <w:rPr>
          <w:sz w:val="20"/>
        </w:rPr>
      </w:pPr>
      <w:r>
        <w:rPr>
          <w:color w:val="231F20"/>
          <w:sz w:val="20"/>
        </w:rPr>
        <w:t>Contact customer support If you went through all these steps and still think it should</w:t>
      </w:r>
      <w:r>
        <w:rPr>
          <w:color w:val="231F20"/>
          <w:spacing w:val="26"/>
          <w:sz w:val="20"/>
        </w:rPr>
        <w:t> </w:t>
      </w:r>
      <w:r>
        <w:rPr>
          <w:color w:val="231F20"/>
          <w:sz w:val="20"/>
        </w:rPr>
        <w:t>be</w:t>
      </w:r>
      <w:r>
        <w:rPr>
          <w:color w:val="231F20"/>
          <w:spacing w:val="26"/>
          <w:sz w:val="20"/>
        </w:rPr>
        <w:t> </w:t>
      </w:r>
      <w:r>
        <w:rPr>
          <w:color w:val="231F20"/>
          <w:sz w:val="20"/>
        </w:rPr>
        <w:t>firing,</w:t>
      </w:r>
      <w:r>
        <w:rPr>
          <w:color w:val="231F20"/>
          <w:spacing w:val="26"/>
          <w:sz w:val="20"/>
        </w:rPr>
        <w:t> </w:t>
      </w:r>
      <w:r>
        <w:rPr>
          <w:color w:val="231F20"/>
          <w:sz w:val="20"/>
        </w:rPr>
        <w:t>then</w:t>
      </w:r>
      <w:r>
        <w:rPr>
          <w:color w:val="231F20"/>
          <w:spacing w:val="26"/>
          <w:sz w:val="20"/>
        </w:rPr>
        <w:t> </w:t>
      </w:r>
      <w:r>
        <w:rPr>
          <w:color w:val="231F20"/>
          <w:sz w:val="20"/>
        </w:rPr>
        <w:t>turn</w:t>
      </w:r>
      <w:r>
        <w:rPr>
          <w:color w:val="231F20"/>
          <w:spacing w:val="26"/>
          <w:sz w:val="20"/>
        </w:rPr>
        <w:t> </w:t>
      </w:r>
      <w:r>
        <w:rPr>
          <w:color w:val="231F20"/>
          <w:sz w:val="20"/>
        </w:rPr>
        <w:t>on</w:t>
      </w:r>
      <w:r>
        <w:rPr>
          <w:color w:val="231F20"/>
          <w:spacing w:val="26"/>
          <w:sz w:val="20"/>
        </w:rPr>
        <w:t> </w:t>
      </w:r>
      <w:r>
        <w:rPr>
          <w:color w:val="231F20"/>
          <w:sz w:val="20"/>
        </w:rPr>
        <w:t>RAS</w:t>
      </w:r>
      <w:r>
        <w:rPr>
          <w:color w:val="231F20"/>
          <w:spacing w:val="26"/>
          <w:sz w:val="20"/>
        </w:rPr>
        <w:t> </w:t>
      </w:r>
      <w:r>
        <w:rPr>
          <w:color w:val="231F20"/>
          <w:sz w:val="20"/>
        </w:rPr>
        <w:t>traces</w:t>
      </w:r>
      <w:r>
        <w:rPr>
          <w:color w:val="231F20"/>
          <w:spacing w:val="26"/>
          <w:sz w:val="20"/>
        </w:rPr>
        <w:t> </w:t>
      </w:r>
      <w:r>
        <w:rPr>
          <w:color w:val="231F20"/>
          <w:sz w:val="20"/>
        </w:rPr>
        <w:t>on</w:t>
      </w:r>
      <w:r>
        <w:rPr>
          <w:color w:val="231F20"/>
          <w:spacing w:val="26"/>
          <w:sz w:val="20"/>
        </w:rPr>
        <w:t> </w:t>
      </w:r>
      <w:r>
        <w:rPr>
          <w:color w:val="231F20"/>
          <w:sz w:val="20"/>
        </w:rPr>
        <w:t>the</w:t>
      </w:r>
      <w:r>
        <w:rPr>
          <w:color w:val="231F20"/>
          <w:spacing w:val="26"/>
          <w:sz w:val="20"/>
        </w:rPr>
        <w:t> </w:t>
      </w:r>
      <w:r>
        <w:rPr>
          <w:color w:val="231F20"/>
          <w:sz w:val="20"/>
        </w:rPr>
        <w:t>monitoring</w:t>
      </w:r>
      <w:r>
        <w:rPr>
          <w:color w:val="231F20"/>
          <w:spacing w:val="26"/>
          <w:sz w:val="20"/>
        </w:rPr>
        <w:t> </w:t>
      </w:r>
      <w:r>
        <w:rPr>
          <w:color w:val="231F20"/>
          <w:sz w:val="20"/>
        </w:rPr>
        <w:t>server</w:t>
      </w:r>
      <w:r>
        <w:rPr>
          <w:color w:val="231F20"/>
          <w:spacing w:val="26"/>
          <w:sz w:val="20"/>
        </w:rPr>
        <w:t> </w:t>
      </w:r>
      <w:r>
        <w:rPr>
          <w:color w:val="231F20"/>
          <w:sz w:val="20"/>
        </w:rPr>
        <w:t>to</w:t>
      </w:r>
      <w:r>
        <w:rPr>
          <w:color w:val="231F20"/>
          <w:spacing w:val="26"/>
          <w:sz w:val="20"/>
        </w:rPr>
        <w:t> </w:t>
      </w:r>
      <w:r>
        <w:rPr>
          <w:color w:val="231F20"/>
          <w:sz w:val="20"/>
        </w:rPr>
        <w:t>which the managed system is connected as instructed by Customer Support.</w:t>
      </w:r>
    </w:p>
    <w:p>
      <w:pPr>
        <w:pStyle w:val="Heading3"/>
        <w:spacing w:before="217"/>
        <w:ind w:left="1334"/>
      </w:pPr>
      <w:r>
        <w:rPr>
          <w:color w:val="231F20"/>
        </w:rPr>
        <w:t>Troubleshooting</w:t>
      </w:r>
      <w:r>
        <w:rPr>
          <w:color w:val="231F20"/>
          <w:spacing w:val="-3"/>
        </w:rPr>
        <w:t> </w:t>
      </w:r>
      <w:r>
        <w:rPr>
          <w:color w:val="231F20"/>
        </w:rPr>
        <w:t>events</w:t>
      </w:r>
      <w:r>
        <w:rPr>
          <w:color w:val="231F20"/>
          <w:spacing w:val="-2"/>
        </w:rPr>
        <w:t> </w:t>
      </w:r>
      <w:r>
        <w:rPr>
          <w:color w:val="231F20"/>
        </w:rPr>
        <w:t>not</w:t>
      </w:r>
      <w:r>
        <w:rPr>
          <w:color w:val="231F20"/>
          <w:spacing w:val="-2"/>
        </w:rPr>
        <w:t> closing</w:t>
      </w:r>
    </w:p>
    <w:p>
      <w:pPr>
        <w:pStyle w:val="BodyText"/>
        <w:spacing w:line="213" w:lineRule="auto" w:before="58"/>
        <w:ind w:left="2232" w:right="545"/>
      </w:pPr>
      <w:r>
        <w:rPr>
          <w:color w:val="231F20"/>
        </w:rPr>
        <w:t>If you have a situation that seems always to be true and have open events, you can</w:t>
      </w:r>
      <w:r>
        <w:rPr>
          <w:color w:val="231F20"/>
          <w:spacing w:val="40"/>
        </w:rPr>
        <w:t> </w:t>
      </w:r>
      <w:r>
        <w:rPr>
          <w:color w:val="231F20"/>
        </w:rPr>
        <w:t>adjust the formula or the interval or add persistence to the definition.</w:t>
      </w:r>
    </w:p>
    <w:p>
      <w:pPr>
        <w:pStyle w:val="Heading4"/>
        <w:spacing w:line="478" w:lineRule="exact" w:before="43"/>
        <w:ind w:right="5533"/>
      </w:pPr>
      <w:r>
        <w:rPr>
          <w:color w:val="231F20"/>
        </w:rPr>
        <w:t>About</w:t>
      </w:r>
      <w:r>
        <w:rPr>
          <w:color w:val="231F20"/>
          <w:spacing w:val="-8"/>
        </w:rPr>
        <w:t> </w:t>
      </w:r>
      <w:r>
        <w:rPr>
          <w:color w:val="231F20"/>
        </w:rPr>
        <w:t>this</w:t>
      </w:r>
      <w:r>
        <w:rPr>
          <w:color w:val="231F20"/>
          <w:spacing w:val="-8"/>
        </w:rPr>
        <w:t> </w:t>
      </w:r>
      <w:r>
        <w:rPr>
          <w:color w:val="231F20"/>
        </w:rPr>
        <w:t>task </w:t>
      </w:r>
      <w:r>
        <w:rPr>
          <w:color w:val="231F20"/>
          <w:spacing w:val="-2"/>
        </w:rPr>
        <w:t>Procedure</w:t>
      </w:r>
    </w:p>
    <w:p>
      <w:pPr>
        <w:pStyle w:val="ListParagraph"/>
        <w:numPr>
          <w:ilvl w:val="0"/>
          <w:numId w:val="142"/>
        </w:numPr>
        <w:tabs>
          <w:tab w:pos="2548" w:val="left" w:leader="none"/>
        </w:tabs>
        <w:spacing w:line="213" w:lineRule="auto" w:before="17" w:after="0"/>
        <w:ind w:left="2548" w:right="458" w:hanging="316"/>
        <w:jc w:val="left"/>
        <w:rPr>
          <w:sz w:val="20"/>
        </w:rPr>
      </w:pPr>
      <w:r>
        <w:rPr>
          <w:color w:val="231F20"/>
          <w:sz w:val="20"/>
        </w:rPr>
        <w:t>Are the condition thresholds too stringent? The threshold values in the formula might</w:t>
      </w:r>
      <w:r>
        <w:rPr>
          <w:color w:val="231F20"/>
          <w:spacing w:val="27"/>
          <w:sz w:val="20"/>
        </w:rPr>
        <w:t> </w:t>
      </w:r>
      <w:r>
        <w:rPr>
          <w:color w:val="231F20"/>
          <w:sz w:val="20"/>
        </w:rPr>
        <w:t>be</w:t>
      </w:r>
      <w:r>
        <w:rPr>
          <w:color w:val="231F20"/>
          <w:spacing w:val="27"/>
          <w:sz w:val="20"/>
        </w:rPr>
        <w:t> </w:t>
      </w:r>
      <w:r>
        <w:rPr>
          <w:color w:val="231F20"/>
          <w:sz w:val="20"/>
        </w:rPr>
        <w:t>appropriate</w:t>
      </w:r>
      <w:r>
        <w:rPr>
          <w:color w:val="231F20"/>
          <w:spacing w:val="27"/>
          <w:sz w:val="20"/>
        </w:rPr>
        <w:t> </w:t>
      </w:r>
      <w:r>
        <w:rPr>
          <w:color w:val="231F20"/>
          <w:sz w:val="20"/>
        </w:rPr>
        <w:t>to</w:t>
      </w:r>
      <w:r>
        <w:rPr>
          <w:color w:val="231F20"/>
          <w:spacing w:val="27"/>
          <w:sz w:val="20"/>
        </w:rPr>
        <w:t> </w:t>
      </w:r>
      <w:r>
        <w:rPr>
          <w:color w:val="231F20"/>
          <w:sz w:val="20"/>
        </w:rPr>
        <w:t>signal</w:t>
      </w:r>
      <w:r>
        <w:rPr>
          <w:color w:val="231F20"/>
          <w:spacing w:val="27"/>
          <w:sz w:val="20"/>
        </w:rPr>
        <w:t> </w:t>
      </w:r>
      <w:r>
        <w:rPr>
          <w:color w:val="231F20"/>
          <w:sz w:val="20"/>
        </w:rPr>
        <w:t>an</w:t>
      </w:r>
      <w:r>
        <w:rPr>
          <w:color w:val="231F20"/>
          <w:spacing w:val="27"/>
          <w:sz w:val="20"/>
        </w:rPr>
        <w:t> </w:t>
      </w:r>
      <w:r>
        <w:rPr>
          <w:color w:val="231F20"/>
          <w:sz w:val="20"/>
        </w:rPr>
        <w:t>alert</w:t>
      </w:r>
      <w:r>
        <w:rPr>
          <w:color w:val="231F20"/>
          <w:spacing w:val="27"/>
          <w:sz w:val="20"/>
        </w:rPr>
        <w:t> </w:t>
      </w:r>
      <w:r>
        <w:rPr>
          <w:color w:val="231F20"/>
          <w:sz w:val="20"/>
        </w:rPr>
        <w:t>on</w:t>
      </w:r>
      <w:r>
        <w:rPr>
          <w:color w:val="231F20"/>
          <w:spacing w:val="27"/>
          <w:sz w:val="20"/>
        </w:rPr>
        <w:t> </w:t>
      </w:r>
      <w:r>
        <w:rPr>
          <w:color w:val="231F20"/>
          <w:sz w:val="20"/>
        </w:rPr>
        <w:t>one</w:t>
      </w:r>
      <w:r>
        <w:rPr>
          <w:color w:val="231F20"/>
          <w:spacing w:val="27"/>
          <w:sz w:val="20"/>
        </w:rPr>
        <w:t> </w:t>
      </w:r>
      <w:r>
        <w:rPr>
          <w:color w:val="231F20"/>
          <w:sz w:val="20"/>
        </w:rPr>
        <w:t>managed</w:t>
      </w:r>
      <w:r>
        <w:rPr>
          <w:color w:val="231F20"/>
          <w:spacing w:val="27"/>
          <w:sz w:val="20"/>
        </w:rPr>
        <w:t> </w:t>
      </w:r>
      <w:r>
        <w:rPr>
          <w:color w:val="231F20"/>
          <w:sz w:val="20"/>
        </w:rPr>
        <w:t>system</w:t>
      </w:r>
      <w:r>
        <w:rPr>
          <w:color w:val="231F20"/>
          <w:spacing w:val="27"/>
          <w:sz w:val="20"/>
        </w:rPr>
        <w:t> </w:t>
      </w:r>
      <w:r>
        <w:rPr>
          <w:color w:val="231F20"/>
          <w:sz w:val="20"/>
        </w:rPr>
        <w:t>but</w:t>
      </w:r>
      <w:r>
        <w:rPr>
          <w:color w:val="231F20"/>
          <w:spacing w:val="27"/>
          <w:sz w:val="20"/>
        </w:rPr>
        <w:t> </w:t>
      </w:r>
      <w:r>
        <w:rPr>
          <w:color w:val="231F20"/>
          <w:sz w:val="20"/>
        </w:rPr>
        <w:t>not another. Try adjusting the formula to raise the threshold. Or, if the threshold should vary for the different types of managed systems you are monitoring, create another situation, edit the values, and distribute to only the managed systems to which it applies. You will also need to remove these managed</w:t>
      </w:r>
      <w:r>
        <w:rPr>
          <w:color w:val="231F20"/>
          <w:spacing w:val="40"/>
          <w:sz w:val="20"/>
        </w:rPr>
        <w:t> </w:t>
      </w:r>
      <w:r>
        <w:rPr>
          <w:color w:val="231F20"/>
          <w:sz w:val="20"/>
        </w:rPr>
        <w:t>systems from the distribute list of the original situation.</w:t>
      </w:r>
    </w:p>
    <w:p>
      <w:pPr>
        <w:pStyle w:val="ListParagraph"/>
        <w:numPr>
          <w:ilvl w:val="0"/>
          <w:numId w:val="142"/>
        </w:numPr>
        <w:tabs>
          <w:tab w:pos="2548" w:val="left" w:leader="none"/>
        </w:tabs>
        <w:spacing w:line="213" w:lineRule="auto" w:before="56" w:after="0"/>
        <w:ind w:left="2548" w:right="450" w:hanging="316"/>
        <w:jc w:val="left"/>
        <w:rPr>
          <w:sz w:val="20"/>
        </w:rPr>
      </w:pPr>
      <w:r>
        <w:rPr>
          <w:color w:val="231F20"/>
          <w:sz w:val="20"/>
        </w:rPr>
        <w:t>Is the interval too short? If the situation is always true, the interval might be so</w:t>
      </w:r>
      <w:r>
        <w:rPr>
          <w:color w:val="231F20"/>
          <w:spacing w:val="40"/>
          <w:sz w:val="20"/>
        </w:rPr>
        <w:t> </w:t>
      </w:r>
      <w:r>
        <w:rPr>
          <w:color w:val="231F20"/>
          <w:sz w:val="20"/>
        </w:rPr>
        <w:t>short as to not allow the condition to resolve itself before the next data</w:t>
      </w:r>
      <w:r>
        <w:rPr>
          <w:color w:val="231F20"/>
          <w:spacing w:val="80"/>
          <w:w w:val="150"/>
          <w:sz w:val="20"/>
        </w:rPr>
        <w:t> </w:t>
      </w:r>
      <w:r>
        <w:rPr>
          <w:color w:val="231F20"/>
          <w:sz w:val="20"/>
        </w:rPr>
        <w:t>sampling. Try increasing the interval between data samplings to a time that enables the condition to return to normal status; -OR- consider adding persistence or an UNTIL clause, described next.</w:t>
      </w:r>
    </w:p>
    <w:p>
      <w:pPr>
        <w:pStyle w:val="ListParagraph"/>
        <w:numPr>
          <w:ilvl w:val="0"/>
          <w:numId w:val="142"/>
        </w:numPr>
        <w:tabs>
          <w:tab w:pos="2548" w:val="left" w:leader="none"/>
        </w:tabs>
        <w:spacing w:line="213" w:lineRule="auto" w:before="56" w:after="0"/>
        <w:ind w:left="2548" w:right="667" w:hanging="316"/>
        <w:jc w:val="left"/>
        <w:rPr>
          <w:sz w:val="20"/>
        </w:rPr>
      </w:pPr>
      <w:r>
        <w:rPr>
          <w:color w:val="231F20"/>
          <w:sz w:val="20"/>
        </w:rPr>
        <w:t>Has persistence or an UNTIL clause been added? When the other situation </w:t>
      </w:r>
      <w:r>
        <w:rPr>
          <w:color w:val="231F20"/>
          <w:sz w:val="20"/>
        </w:rPr>
        <w:t>is true, the event for this situation is closed even if the condition still exists. An event will not be opened until the next interval and only if the condition is</w:t>
      </w:r>
      <w:r>
        <w:rPr>
          <w:color w:val="231F20"/>
          <w:spacing w:val="40"/>
          <w:sz w:val="20"/>
        </w:rPr>
        <w:t> </w:t>
      </w:r>
      <w:r>
        <w:rPr>
          <w:color w:val="231F20"/>
          <w:spacing w:val="-2"/>
          <w:sz w:val="20"/>
        </w:rPr>
        <w:t>true.</w:t>
      </w:r>
    </w:p>
    <w:p>
      <w:pPr>
        <w:spacing w:after="0" w:line="213" w:lineRule="auto"/>
        <w:jc w:val="left"/>
        <w:rPr>
          <w:sz w:val="20"/>
        </w:rPr>
        <w:sectPr>
          <w:pgSz w:w="12240" w:h="15840"/>
          <w:pgMar w:header="0" w:footer="736" w:top="1180" w:bottom="920" w:left="1000" w:right="1060"/>
        </w:sectPr>
      </w:pPr>
    </w:p>
    <w:p>
      <w:pPr>
        <w:pStyle w:val="ListParagraph"/>
        <w:numPr>
          <w:ilvl w:val="0"/>
          <w:numId w:val="142"/>
        </w:numPr>
        <w:tabs>
          <w:tab w:pos="2788" w:val="left" w:leader="none"/>
        </w:tabs>
        <w:spacing w:line="213" w:lineRule="auto" w:before="85" w:after="0"/>
        <w:ind w:left="2788" w:right="320" w:hanging="316"/>
        <w:jc w:val="left"/>
        <w:rPr>
          <w:sz w:val="20"/>
        </w:rPr>
      </w:pPr>
      <w:bookmarkStart w:name="_bookmark234" w:id="490"/>
      <w:bookmarkEnd w:id="490"/>
      <w:r>
        <w:rPr/>
      </w:r>
      <w:r>
        <w:rPr>
          <w:color w:val="231F20"/>
          <w:sz w:val="20"/>
        </w:rPr>
        <w:t>Contact customer support If you went through these steps and the situation is still true too does not work as you expect, contact Customer Support.</w:t>
      </w:r>
    </w:p>
    <w:p>
      <w:pPr>
        <w:pStyle w:val="BodyText"/>
        <w:spacing w:line="213" w:lineRule="auto" w:before="238"/>
        <w:ind w:left="2788" w:right="258"/>
      </w:pPr>
      <w:r>
        <w:rPr>
          <w:rFonts w:ascii="Book Antiqua"/>
          <w:b/>
          <w:color w:val="231F20"/>
        </w:rPr>
        <w:t>Note:</w:t>
      </w:r>
      <w:r>
        <w:rPr>
          <w:rFonts w:ascii="Book Antiqua"/>
          <w:b/>
          <w:color w:val="231F20"/>
          <w:spacing w:val="40"/>
        </w:rPr>
        <w:t> </w:t>
      </w:r>
      <w:r>
        <w:rPr>
          <w:color w:val="231F20"/>
        </w:rPr>
        <w:t>If</w:t>
      </w:r>
      <w:r>
        <w:rPr>
          <w:color w:val="231F20"/>
          <w:spacing w:val="26"/>
        </w:rPr>
        <w:t> </w:t>
      </w:r>
      <w:r>
        <w:rPr>
          <w:color w:val="231F20"/>
        </w:rPr>
        <w:t>you</w:t>
      </w:r>
      <w:r>
        <w:rPr>
          <w:color w:val="231F20"/>
          <w:spacing w:val="26"/>
        </w:rPr>
        <w:t> </w:t>
      </w:r>
      <w:r>
        <w:rPr>
          <w:color w:val="231F20"/>
        </w:rPr>
        <w:t>only</w:t>
      </w:r>
      <w:r>
        <w:rPr>
          <w:color w:val="231F20"/>
          <w:spacing w:val="26"/>
        </w:rPr>
        <w:t> </w:t>
      </w:r>
      <w:r>
        <w:rPr>
          <w:color w:val="231F20"/>
        </w:rPr>
        <w:t>want</w:t>
      </w:r>
      <w:r>
        <w:rPr>
          <w:color w:val="231F20"/>
          <w:spacing w:val="26"/>
        </w:rPr>
        <w:t> </w:t>
      </w:r>
      <w:r>
        <w:rPr>
          <w:color w:val="231F20"/>
        </w:rPr>
        <w:t>to</w:t>
      </w:r>
      <w:r>
        <w:rPr>
          <w:color w:val="231F20"/>
          <w:spacing w:val="26"/>
        </w:rPr>
        <w:t> </w:t>
      </w:r>
      <w:r>
        <w:rPr>
          <w:color w:val="231F20"/>
        </w:rPr>
        <w:t>stop</w:t>
      </w:r>
      <w:r>
        <w:rPr>
          <w:color w:val="231F20"/>
          <w:spacing w:val="26"/>
        </w:rPr>
        <w:t> </w:t>
      </w:r>
      <w:r>
        <w:rPr>
          <w:color w:val="231F20"/>
        </w:rPr>
        <w:t>events</w:t>
      </w:r>
      <w:r>
        <w:rPr>
          <w:color w:val="231F20"/>
          <w:spacing w:val="26"/>
        </w:rPr>
        <w:t> </w:t>
      </w:r>
      <w:r>
        <w:rPr>
          <w:color w:val="231F20"/>
        </w:rPr>
        <w:t>opening</w:t>
      </w:r>
      <w:r>
        <w:rPr>
          <w:color w:val="231F20"/>
          <w:spacing w:val="26"/>
        </w:rPr>
        <w:t> </w:t>
      </w:r>
      <w:r>
        <w:rPr>
          <w:color w:val="231F20"/>
        </w:rPr>
        <w:t>for</w:t>
      </w:r>
      <w:r>
        <w:rPr>
          <w:color w:val="231F20"/>
          <w:spacing w:val="26"/>
        </w:rPr>
        <w:t> </w:t>
      </w:r>
      <w:r>
        <w:rPr>
          <w:color w:val="231F20"/>
        </w:rPr>
        <w:t>a</w:t>
      </w:r>
      <w:r>
        <w:rPr>
          <w:color w:val="231F20"/>
          <w:spacing w:val="26"/>
        </w:rPr>
        <w:t> </w:t>
      </w:r>
      <w:r>
        <w:rPr>
          <w:color w:val="231F20"/>
        </w:rPr>
        <w:t>certain</w:t>
      </w:r>
      <w:r>
        <w:rPr>
          <w:color w:val="231F20"/>
          <w:spacing w:val="26"/>
        </w:rPr>
        <w:t> </w:t>
      </w:r>
      <w:r>
        <w:rPr>
          <w:color w:val="231F20"/>
        </w:rPr>
        <w:t>period</w:t>
      </w:r>
      <w:r>
        <w:rPr>
          <w:color w:val="231F20"/>
          <w:spacing w:val="26"/>
        </w:rPr>
        <w:t> </w:t>
      </w:r>
      <w:r>
        <w:rPr>
          <w:color w:val="231F20"/>
        </w:rPr>
        <w:t>of</w:t>
      </w:r>
      <w:r>
        <w:rPr>
          <w:color w:val="231F20"/>
          <w:spacing w:val="26"/>
        </w:rPr>
        <w:t> </w:t>
      </w:r>
      <w:r>
        <w:rPr>
          <w:color w:val="231F20"/>
        </w:rPr>
        <w:t>time while you take down a system or application for maintenance, you can disassociate situations from Navigator items. The situations will continue to </w:t>
      </w:r>
      <w:r>
        <w:rPr>
          <w:color w:val="231F20"/>
        </w:rPr>
        <w:t>run but will not send event notifications to the Navigator until you associate them again. See Associate Situations. Alternatively, you can add an UNTIL clause</w:t>
      </w:r>
    </w:p>
    <w:p>
      <w:pPr>
        <w:pStyle w:val="BodyText"/>
        <w:spacing w:line="213" w:lineRule="auto"/>
        <w:ind w:left="2788" w:right="545"/>
      </w:pPr>
      <w:r>
        <w:rPr>
          <w:color w:val="231F20"/>
        </w:rPr>
        <w:t>that closes the event when another situation is true. The other situation specifies a time span, such as Sunday after 10:00 PM or Monday before </w:t>
      </w:r>
      <w:r>
        <w:rPr>
          <w:color w:val="231F20"/>
        </w:rPr>
        <w:t>4:00 AM. See Create a Situation; Situation Editor - Until.</w:t>
      </w:r>
    </w:p>
    <w:p>
      <w:pPr>
        <w:pStyle w:val="Heading3"/>
        <w:spacing w:before="213"/>
        <w:ind w:left="1574"/>
      </w:pPr>
      <w:r>
        <w:rPr>
          <w:color w:val="231F20"/>
        </w:rPr>
        <w:t>High</w:t>
      </w:r>
      <w:r>
        <w:rPr>
          <w:color w:val="231F20"/>
          <w:spacing w:val="7"/>
        </w:rPr>
        <w:t> </w:t>
      </w:r>
      <w:r>
        <w:rPr>
          <w:color w:val="231F20"/>
        </w:rPr>
        <w:t>CPU</w:t>
      </w:r>
      <w:r>
        <w:rPr>
          <w:color w:val="231F20"/>
          <w:spacing w:val="8"/>
        </w:rPr>
        <w:t> </w:t>
      </w:r>
      <w:r>
        <w:rPr>
          <w:color w:val="231F20"/>
        </w:rPr>
        <w:t>usage</w:t>
      </w:r>
      <w:r>
        <w:rPr>
          <w:color w:val="231F20"/>
          <w:spacing w:val="8"/>
        </w:rPr>
        <w:t> </w:t>
      </w:r>
      <w:r>
        <w:rPr>
          <w:color w:val="231F20"/>
        </w:rPr>
        <w:t>on</w:t>
      </w:r>
      <w:r>
        <w:rPr>
          <w:color w:val="231F20"/>
          <w:spacing w:val="8"/>
        </w:rPr>
        <w:t> </w:t>
      </w:r>
      <w:r>
        <w:rPr>
          <w:color w:val="231F20"/>
        </w:rPr>
        <w:t>the</w:t>
      </w:r>
      <w:r>
        <w:rPr>
          <w:color w:val="231F20"/>
          <w:spacing w:val="8"/>
        </w:rPr>
        <w:t> </w:t>
      </w:r>
      <w:r>
        <w:rPr>
          <w:color w:val="231F20"/>
        </w:rPr>
        <w:t>monitoring</w:t>
      </w:r>
      <w:r>
        <w:rPr>
          <w:color w:val="231F20"/>
          <w:spacing w:val="8"/>
        </w:rPr>
        <w:t> </w:t>
      </w:r>
      <w:r>
        <w:rPr>
          <w:color w:val="231F20"/>
          <w:spacing w:val="-2"/>
        </w:rPr>
        <w:t>server</w:t>
      </w:r>
    </w:p>
    <w:p>
      <w:pPr>
        <w:pStyle w:val="BodyText"/>
        <w:spacing w:line="213" w:lineRule="auto" w:before="58"/>
        <w:ind w:left="2472"/>
      </w:pPr>
      <w:r>
        <w:rPr>
          <w:color w:val="231F20"/>
        </w:rPr>
        <w:t>A poorly written situation can have a surprisingly large impact on CPU usage on </w:t>
      </w:r>
      <w:r>
        <w:rPr>
          <w:color w:val="231F20"/>
        </w:rPr>
        <w:t>a monitoring server.</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185"/>
      </w:pPr>
      <w:r>
        <w:rPr>
          <w:color w:val="231F20"/>
        </w:rPr>
        <w:t>Using wildcard characters (*) in situations is one of the most common mistakes</w:t>
      </w:r>
      <w:r>
        <w:rPr>
          <w:color w:val="231F20"/>
          <w:spacing w:val="80"/>
        </w:rPr>
        <w:t> </w:t>
      </w:r>
      <w:r>
        <w:rPr>
          <w:color w:val="231F20"/>
        </w:rPr>
        <w:t>made in writing situations. Using fields longer than required can also cause additional work to evaluate the situation. Making the changes below have, in </w:t>
      </w:r>
      <w:r>
        <w:rPr>
          <w:color w:val="231F20"/>
        </w:rPr>
        <w:t>some instances,</w:t>
      </w:r>
      <w:r>
        <w:rPr>
          <w:color w:val="231F20"/>
          <w:spacing w:val="19"/>
        </w:rPr>
        <w:t> </w:t>
      </w:r>
      <w:r>
        <w:rPr>
          <w:color w:val="231F20"/>
        </w:rPr>
        <w:t>reduced</w:t>
      </w:r>
      <w:r>
        <w:rPr>
          <w:color w:val="231F20"/>
          <w:spacing w:val="19"/>
        </w:rPr>
        <w:t> </w:t>
      </w:r>
      <w:r>
        <w:rPr>
          <w:color w:val="231F20"/>
        </w:rPr>
        <w:t>CPU</w:t>
      </w:r>
      <w:r>
        <w:rPr>
          <w:color w:val="231F20"/>
          <w:spacing w:val="19"/>
        </w:rPr>
        <w:t> </w:t>
      </w:r>
      <w:r>
        <w:rPr>
          <w:color w:val="231F20"/>
        </w:rPr>
        <w:t>usage</w:t>
      </w:r>
      <w:r>
        <w:rPr>
          <w:color w:val="231F20"/>
          <w:spacing w:val="19"/>
        </w:rPr>
        <w:t> </w:t>
      </w:r>
      <w:r>
        <w:rPr>
          <w:color w:val="231F20"/>
        </w:rPr>
        <w:t>on</w:t>
      </w:r>
      <w:r>
        <w:rPr>
          <w:color w:val="231F20"/>
          <w:spacing w:val="19"/>
        </w:rPr>
        <w:t> </w:t>
      </w:r>
      <w:r>
        <w:rPr>
          <w:color w:val="231F20"/>
        </w:rPr>
        <w:t>a</w:t>
      </w:r>
      <w:r>
        <w:rPr>
          <w:color w:val="231F20"/>
          <w:spacing w:val="19"/>
        </w:rPr>
        <w:t> </w:t>
      </w:r>
      <w:r>
        <w:rPr>
          <w:color w:val="231F20"/>
        </w:rPr>
        <w:t>monitoring</w:t>
      </w:r>
      <w:r>
        <w:rPr>
          <w:color w:val="231F20"/>
          <w:spacing w:val="19"/>
        </w:rPr>
        <w:t> </w:t>
      </w:r>
      <w:r>
        <w:rPr>
          <w:color w:val="231F20"/>
        </w:rPr>
        <w:t>server</w:t>
      </w:r>
      <w:r>
        <w:rPr>
          <w:color w:val="231F20"/>
          <w:spacing w:val="19"/>
        </w:rPr>
        <w:t> </w:t>
      </w:r>
      <w:r>
        <w:rPr>
          <w:color w:val="231F20"/>
        </w:rPr>
        <w:t>from</w:t>
      </w:r>
      <w:r>
        <w:rPr>
          <w:color w:val="231F20"/>
          <w:spacing w:val="19"/>
        </w:rPr>
        <w:t> </w:t>
      </w:r>
      <w:r>
        <w:rPr>
          <w:color w:val="231F20"/>
        </w:rPr>
        <w:t>close</w:t>
      </w:r>
      <w:r>
        <w:rPr>
          <w:color w:val="231F20"/>
          <w:spacing w:val="19"/>
        </w:rPr>
        <w:t> </w:t>
      </w:r>
      <w:r>
        <w:rPr>
          <w:color w:val="231F20"/>
        </w:rPr>
        <w:t>to</w:t>
      </w:r>
      <w:r>
        <w:rPr>
          <w:color w:val="231F20"/>
          <w:spacing w:val="19"/>
        </w:rPr>
        <w:t> </w:t>
      </w:r>
      <w:r>
        <w:rPr>
          <w:color w:val="231F20"/>
        </w:rPr>
        <w:t>full</w:t>
      </w:r>
      <w:r>
        <w:rPr>
          <w:color w:val="231F20"/>
          <w:spacing w:val="19"/>
        </w:rPr>
        <w:t> </w:t>
      </w:r>
      <w:r>
        <w:rPr>
          <w:color w:val="231F20"/>
        </w:rPr>
        <w:t>utilization to nearly completely idle. The CPU usage manifests itself in the kdsmain process.</w:t>
      </w:r>
    </w:p>
    <w:p>
      <w:pPr>
        <w:pStyle w:val="BodyText"/>
        <w:spacing w:line="213" w:lineRule="auto" w:before="236"/>
        <w:ind w:left="2472" w:right="385"/>
      </w:pPr>
      <w:r>
        <w:rPr>
          <w:color w:val="231F20"/>
        </w:rPr>
        <w:t>You might notice that kdsmain uses large amounts of CPU, agents appear offline, agent deployments fail, and other symptoms occur. Follow the guidelines for situations below.</w:t>
      </w:r>
    </w:p>
    <w:p>
      <w:pPr>
        <w:pStyle w:val="Heading4"/>
        <w:spacing w:before="199"/>
        <w:ind w:left="2472"/>
      </w:pPr>
      <w:r>
        <w:rPr>
          <w:color w:val="231F20"/>
          <w:spacing w:val="-2"/>
        </w:rPr>
        <w:t>Procedure</w:t>
      </w:r>
    </w:p>
    <w:p>
      <w:pPr>
        <w:pStyle w:val="ListParagraph"/>
        <w:numPr>
          <w:ilvl w:val="0"/>
          <w:numId w:val="143"/>
        </w:numPr>
        <w:tabs>
          <w:tab w:pos="2787" w:val="left" w:leader="none"/>
        </w:tabs>
        <w:spacing w:line="240" w:lineRule="auto" w:before="39" w:after="0"/>
        <w:ind w:left="2787" w:right="0" w:hanging="315"/>
        <w:jc w:val="left"/>
        <w:rPr>
          <w:sz w:val="20"/>
        </w:rPr>
      </w:pPr>
      <w:r>
        <w:rPr>
          <w:color w:val="231F20"/>
          <w:sz w:val="20"/>
        </w:rPr>
        <w:t>Avoid</w:t>
      </w:r>
      <w:r>
        <w:rPr>
          <w:color w:val="231F20"/>
          <w:spacing w:val="6"/>
          <w:sz w:val="20"/>
        </w:rPr>
        <w:t> </w:t>
      </w:r>
      <w:r>
        <w:rPr>
          <w:color w:val="231F20"/>
          <w:sz w:val="20"/>
        </w:rPr>
        <w:t>using</w:t>
      </w:r>
      <w:r>
        <w:rPr>
          <w:color w:val="231F20"/>
          <w:spacing w:val="6"/>
          <w:sz w:val="20"/>
        </w:rPr>
        <w:t> </w:t>
      </w:r>
      <w:r>
        <w:rPr>
          <w:color w:val="231F20"/>
          <w:sz w:val="20"/>
        </w:rPr>
        <w:t>wildcard</w:t>
      </w:r>
      <w:r>
        <w:rPr>
          <w:color w:val="231F20"/>
          <w:spacing w:val="6"/>
          <w:sz w:val="20"/>
        </w:rPr>
        <w:t> </w:t>
      </w:r>
      <w:r>
        <w:rPr>
          <w:color w:val="231F20"/>
          <w:sz w:val="20"/>
        </w:rPr>
        <w:t>characters</w:t>
      </w:r>
      <w:r>
        <w:rPr>
          <w:color w:val="231F20"/>
          <w:spacing w:val="6"/>
          <w:sz w:val="20"/>
        </w:rPr>
        <w:t> </w:t>
      </w:r>
      <w:r>
        <w:rPr>
          <w:color w:val="231F20"/>
          <w:sz w:val="20"/>
        </w:rPr>
        <w:t>in</w:t>
      </w:r>
      <w:r>
        <w:rPr>
          <w:color w:val="231F20"/>
          <w:spacing w:val="6"/>
          <w:sz w:val="20"/>
        </w:rPr>
        <w:t> </w:t>
      </w:r>
      <w:r>
        <w:rPr>
          <w:color w:val="231F20"/>
          <w:sz w:val="20"/>
        </w:rPr>
        <w:t>situations</w:t>
      </w:r>
      <w:r>
        <w:rPr>
          <w:color w:val="231F20"/>
          <w:spacing w:val="6"/>
          <w:sz w:val="20"/>
        </w:rPr>
        <w:t> </w:t>
      </w:r>
      <w:r>
        <w:rPr>
          <w:color w:val="231F20"/>
          <w:sz w:val="20"/>
        </w:rPr>
        <w:t>whenever</w:t>
      </w:r>
      <w:r>
        <w:rPr>
          <w:color w:val="231F20"/>
          <w:spacing w:val="6"/>
          <w:sz w:val="20"/>
        </w:rPr>
        <w:t> </w:t>
      </w:r>
      <w:r>
        <w:rPr>
          <w:color w:val="231F20"/>
          <w:spacing w:val="-2"/>
          <w:sz w:val="20"/>
        </w:rPr>
        <w:t>possible.</w:t>
      </w:r>
    </w:p>
    <w:p>
      <w:pPr>
        <w:pStyle w:val="ListParagraph"/>
        <w:numPr>
          <w:ilvl w:val="0"/>
          <w:numId w:val="143"/>
        </w:numPr>
        <w:tabs>
          <w:tab w:pos="2788" w:val="left" w:leader="none"/>
        </w:tabs>
        <w:spacing w:line="213" w:lineRule="auto" w:before="53" w:after="0"/>
        <w:ind w:left="2788" w:right="212" w:hanging="316"/>
        <w:jc w:val="left"/>
        <w:rPr>
          <w:sz w:val="20"/>
        </w:rPr>
      </w:pPr>
      <w:r>
        <w:rPr>
          <w:color w:val="231F20"/>
          <w:sz w:val="20"/>
        </w:rPr>
        <w:t>Use the simplest field possible that will provide the required value. Look at the attributes</w:t>
      </w:r>
      <w:r>
        <w:rPr>
          <w:color w:val="231F20"/>
          <w:spacing w:val="29"/>
          <w:sz w:val="20"/>
        </w:rPr>
        <w:t> </w:t>
      </w:r>
      <w:r>
        <w:rPr>
          <w:color w:val="231F20"/>
          <w:sz w:val="20"/>
        </w:rPr>
        <w:t>under</w:t>
      </w:r>
      <w:r>
        <w:rPr>
          <w:color w:val="231F20"/>
          <w:spacing w:val="29"/>
          <w:sz w:val="20"/>
        </w:rPr>
        <w:t> </w:t>
      </w:r>
      <w:r>
        <w:rPr>
          <w:color w:val="231F20"/>
          <w:sz w:val="20"/>
        </w:rPr>
        <w:t>consideration</w:t>
      </w:r>
      <w:r>
        <w:rPr>
          <w:color w:val="231F20"/>
          <w:spacing w:val="29"/>
          <w:sz w:val="20"/>
        </w:rPr>
        <w:t> </w:t>
      </w:r>
      <w:r>
        <w:rPr>
          <w:color w:val="231F20"/>
          <w:sz w:val="20"/>
        </w:rPr>
        <w:t>in</w:t>
      </w:r>
      <w:r>
        <w:rPr>
          <w:color w:val="231F20"/>
          <w:spacing w:val="29"/>
          <w:sz w:val="20"/>
        </w:rPr>
        <w:t> </w:t>
      </w:r>
      <w:r>
        <w:rPr>
          <w:color w:val="231F20"/>
          <w:sz w:val="20"/>
        </w:rPr>
        <w:t>the</w:t>
      </w:r>
      <w:r>
        <w:rPr>
          <w:color w:val="231F20"/>
          <w:spacing w:val="29"/>
          <w:sz w:val="20"/>
        </w:rPr>
        <w:t> </w:t>
      </w:r>
      <w:r>
        <w:rPr>
          <w:color w:val="231F20"/>
          <w:sz w:val="20"/>
        </w:rPr>
        <w:t>Tivoli</w:t>
      </w:r>
      <w:r>
        <w:rPr>
          <w:color w:val="231F20"/>
          <w:spacing w:val="29"/>
          <w:sz w:val="20"/>
        </w:rPr>
        <w:t> </w:t>
      </w:r>
      <w:r>
        <w:rPr>
          <w:color w:val="231F20"/>
          <w:sz w:val="20"/>
        </w:rPr>
        <w:t>Enterprise</w:t>
      </w:r>
      <w:r>
        <w:rPr>
          <w:color w:val="231F20"/>
          <w:spacing w:val="29"/>
          <w:sz w:val="20"/>
        </w:rPr>
        <w:t> </w:t>
      </w:r>
      <w:r>
        <w:rPr>
          <w:color w:val="231F20"/>
          <w:sz w:val="20"/>
        </w:rPr>
        <w:t>Portal</w:t>
      </w:r>
      <w:r>
        <w:rPr>
          <w:color w:val="231F20"/>
          <w:spacing w:val="29"/>
          <w:sz w:val="20"/>
        </w:rPr>
        <w:t> </w:t>
      </w:r>
      <w:r>
        <w:rPr>
          <w:color w:val="231F20"/>
          <w:sz w:val="20"/>
        </w:rPr>
        <w:t>prior</w:t>
      </w:r>
      <w:r>
        <w:rPr>
          <w:color w:val="231F20"/>
          <w:spacing w:val="29"/>
          <w:sz w:val="20"/>
        </w:rPr>
        <w:t> </w:t>
      </w:r>
      <w:r>
        <w:rPr>
          <w:color w:val="231F20"/>
          <w:sz w:val="20"/>
        </w:rPr>
        <w:t>to</w:t>
      </w:r>
      <w:r>
        <w:rPr>
          <w:color w:val="231F20"/>
          <w:spacing w:val="29"/>
          <w:sz w:val="20"/>
        </w:rPr>
        <w:t> </w:t>
      </w:r>
      <w:r>
        <w:rPr>
          <w:color w:val="231F20"/>
          <w:sz w:val="20"/>
        </w:rPr>
        <w:t>writing the situation. There might be a field that gives the required value without performing a search operation on that field.</w:t>
      </w:r>
    </w:p>
    <w:p>
      <w:pPr>
        <w:pStyle w:val="ListParagraph"/>
        <w:numPr>
          <w:ilvl w:val="0"/>
          <w:numId w:val="143"/>
        </w:numPr>
        <w:tabs>
          <w:tab w:pos="2788" w:val="left" w:leader="none"/>
        </w:tabs>
        <w:spacing w:line="213" w:lineRule="auto" w:before="57" w:after="0"/>
        <w:ind w:left="2788" w:right="278" w:hanging="316"/>
        <w:jc w:val="left"/>
        <w:rPr>
          <w:sz w:val="20"/>
        </w:rPr>
      </w:pPr>
      <w:r>
        <w:rPr>
          <w:color w:val="231F20"/>
          <w:sz w:val="20"/>
        </w:rPr>
        <w:t>If a situation requires searching for a phrase within a field, use </w:t>
      </w:r>
      <w:r>
        <w:rPr>
          <w:rFonts w:ascii="Book Antiqua"/>
          <w:b/>
          <w:color w:val="231F20"/>
          <w:sz w:val="20"/>
        </w:rPr>
        <w:t>Scan for string within a string</w:t>
      </w:r>
      <w:r>
        <w:rPr>
          <w:color w:val="231F20"/>
          <w:sz w:val="20"/>
        </w:rPr>
        <w:t>.</w:t>
      </w:r>
    </w:p>
    <w:p>
      <w:pPr>
        <w:pStyle w:val="ListParagraph"/>
        <w:numPr>
          <w:ilvl w:val="0"/>
          <w:numId w:val="143"/>
        </w:numPr>
        <w:tabs>
          <w:tab w:pos="2788" w:val="left" w:leader="none"/>
        </w:tabs>
        <w:spacing w:line="213" w:lineRule="auto" w:before="58" w:after="0"/>
        <w:ind w:left="2788" w:right="405" w:hanging="316"/>
        <w:jc w:val="left"/>
        <w:rPr>
          <w:sz w:val="20"/>
        </w:rPr>
      </w:pPr>
      <w:r>
        <w:rPr>
          <w:color w:val="231F20"/>
          <w:sz w:val="20"/>
        </w:rPr>
        <w:t>When performing a </w:t>
      </w:r>
      <w:r>
        <w:rPr>
          <w:rFonts w:ascii="Book Antiqua"/>
          <w:b/>
          <w:color w:val="231F20"/>
          <w:sz w:val="20"/>
        </w:rPr>
        <w:t>Count of group members </w:t>
      </w:r>
      <w:r>
        <w:rPr>
          <w:color w:val="231F20"/>
          <w:sz w:val="20"/>
        </w:rPr>
        <w:t>operation, use a short field </w:t>
      </w:r>
      <w:r>
        <w:rPr>
          <w:color w:val="231F20"/>
          <w:sz w:val="20"/>
        </w:rPr>
        <w:t>for the count. The field selected does not change the result, but does cause less data to be handled to derive it.</w:t>
      </w:r>
    </w:p>
    <w:p>
      <w:pPr>
        <w:pStyle w:val="ListParagraph"/>
        <w:numPr>
          <w:ilvl w:val="0"/>
          <w:numId w:val="143"/>
        </w:numPr>
        <w:tabs>
          <w:tab w:pos="2788" w:val="left" w:leader="none"/>
        </w:tabs>
        <w:spacing w:line="213" w:lineRule="auto" w:before="58" w:after="0"/>
        <w:ind w:left="2788" w:right="912" w:hanging="316"/>
        <w:jc w:val="left"/>
        <w:rPr>
          <w:sz w:val="20"/>
        </w:rPr>
      </w:pPr>
      <w:r>
        <w:rPr>
          <w:color w:val="231F20"/>
          <w:sz w:val="20"/>
        </w:rPr>
        <w:t>Avoid using Unicode fields unless they are required. They require more processing then their non-Unicode counterparts.</w:t>
      </w:r>
    </w:p>
    <w:p>
      <w:pPr>
        <w:pStyle w:val="Heading4"/>
        <w:ind w:left="2472"/>
      </w:pPr>
      <w:r>
        <w:rPr>
          <w:color w:val="231F20"/>
          <w:spacing w:val="-2"/>
        </w:rPr>
        <w:t>Example</w:t>
      </w:r>
    </w:p>
    <w:p>
      <w:pPr>
        <w:pStyle w:val="BodyText"/>
        <w:spacing w:before="218"/>
        <w:ind w:left="2472"/>
      </w:pPr>
      <w:r>
        <w:rPr>
          <w:rFonts w:ascii="Book Antiqua"/>
          <w:b/>
          <w:color w:val="231F20"/>
        </w:rPr>
        <w:t>Scenario</w:t>
      </w:r>
      <w:r>
        <w:rPr>
          <w:rFonts w:ascii="Book Antiqua"/>
          <w:b/>
          <w:color w:val="231F20"/>
          <w:spacing w:val="10"/>
        </w:rPr>
        <w:t> </w:t>
      </w:r>
      <w:r>
        <w:rPr>
          <w:rFonts w:ascii="Book Antiqua"/>
          <w:b/>
          <w:color w:val="231F20"/>
        </w:rPr>
        <w:t>1</w:t>
      </w:r>
      <w:r>
        <w:rPr>
          <w:color w:val="231F20"/>
        </w:rPr>
        <w:t>:</w:t>
      </w:r>
      <w:r>
        <w:rPr>
          <w:color w:val="231F20"/>
          <w:spacing w:val="11"/>
        </w:rPr>
        <w:t> </w:t>
      </w:r>
      <w:r>
        <w:rPr>
          <w:color w:val="231F20"/>
        </w:rPr>
        <w:t>Situation</w:t>
      </w:r>
      <w:r>
        <w:rPr>
          <w:color w:val="231F20"/>
          <w:spacing w:val="11"/>
        </w:rPr>
        <w:t> </w:t>
      </w:r>
      <w:r>
        <w:rPr>
          <w:color w:val="231F20"/>
        </w:rPr>
        <w:t>to</w:t>
      </w:r>
      <w:r>
        <w:rPr>
          <w:color w:val="231F20"/>
          <w:spacing w:val="10"/>
        </w:rPr>
        <w:t> </w:t>
      </w:r>
      <w:r>
        <w:rPr>
          <w:color w:val="231F20"/>
        </w:rPr>
        <w:t>ensure</w:t>
      </w:r>
      <w:r>
        <w:rPr>
          <w:color w:val="231F20"/>
          <w:spacing w:val="11"/>
        </w:rPr>
        <w:t> </w:t>
      </w:r>
      <w:r>
        <w:rPr>
          <w:color w:val="231F20"/>
        </w:rPr>
        <w:t>syslogd</w:t>
      </w:r>
      <w:r>
        <w:rPr>
          <w:color w:val="231F20"/>
          <w:spacing w:val="11"/>
        </w:rPr>
        <w:t> </w:t>
      </w:r>
      <w:r>
        <w:rPr>
          <w:color w:val="231F20"/>
        </w:rPr>
        <w:t>is</w:t>
      </w:r>
      <w:r>
        <w:rPr>
          <w:color w:val="231F20"/>
          <w:spacing w:val="10"/>
        </w:rPr>
        <w:t> </w:t>
      </w:r>
      <w:r>
        <w:rPr>
          <w:color w:val="231F20"/>
          <w:spacing w:val="-2"/>
        </w:rPr>
        <w:t>running.</w:t>
      </w:r>
    </w:p>
    <w:p>
      <w:pPr>
        <w:pStyle w:val="BodyText"/>
        <w:spacing w:before="30"/>
        <w:ind w:left="2771"/>
        <w:rPr>
          <w:rFonts w:ascii="Arial" w:hAnsi="Arial"/>
        </w:rPr>
      </w:pPr>
      <w:r>
        <w:rPr>
          <w:color w:val="231F20"/>
        </w:rPr>
        <w:t>Original</w:t>
      </w:r>
      <w:r>
        <w:rPr>
          <w:color w:val="231F20"/>
          <w:spacing w:val="19"/>
        </w:rPr>
        <w:t> </w:t>
      </w:r>
      <w:r>
        <w:rPr>
          <w:color w:val="231F20"/>
        </w:rPr>
        <w:t>situation:</w:t>
      </w:r>
      <w:r>
        <w:rPr>
          <w:color w:val="231F20"/>
          <w:spacing w:val="19"/>
        </w:rPr>
        <w:t> </w:t>
      </w:r>
      <w:r>
        <w:rPr>
          <w:rFonts w:ascii="Arial" w:hAnsi="Arial"/>
          <w:color w:val="231F20"/>
        </w:rPr>
        <w:t>MISSING(Process</w:t>
      </w:r>
      <w:r>
        <w:rPr>
          <w:rFonts w:ascii="Arial" w:hAnsi="Arial"/>
          <w:color w:val="231F20"/>
          <w:spacing w:val="13"/>
        </w:rPr>
        <w:t> </w:t>
      </w:r>
      <w:r>
        <w:rPr>
          <w:rFonts w:ascii="Arial" w:hAnsi="Arial"/>
          <w:color w:val="231F20"/>
        </w:rPr>
        <w:t>Command</w:t>
      </w:r>
      <w:r>
        <w:rPr>
          <w:rFonts w:ascii="Arial" w:hAnsi="Arial"/>
          <w:color w:val="231F20"/>
          <w:spacing w:val="14"/>
        </w:rPr>
        <w:t> </w:t>
      </w:r>
      <w:r>
        <w:rPr>
          <w:rFonts w:ascii="Arial" w:hAnsi="Arial"/>
          <w:color w:val="231F20"/>
        </w:rPr>
        <w:t>(Unicode))</w:t>
      </w:r>
      <w:r>
        <w:rPr>
          <w:rFonts w:ascii="Arial" w:hAnsi="Arial"/>
          <w:color w:val="231F20"/>
          <w:spacing w:val="13"/>
        </w:rPr>
        <w:t> </w:t>
      </w:r>
      <w:r>
        <w:rPr>
          <w:rFonts w:ascii="Arial" w:hAnsi="Arial"/>
          <w:color w:val="231F20"/>
        </w:rPr>
        <w:t>==</w:t>
      </w:r>
      <w:r>
        <w:rPr>
          <w:rFonts w:ascii="Arial" w:hAnsi="Arial"/>
          <w:color w:val="231F20"/>
          <w:spacing w:val="13"/>
        </w:rPr>
        <w:t> </w:t>
      </w:r>
      <w:r>
        <w:rPr>
          <w:rFonts w:ascii="Arial" w:hAnsi="Arial"/>
          <w:color w:val="231F20"/>
        </w:rPr>
        <w:t>(</w:t>
      </w:r>
      <w:r>
        <w:rPr>
          <w:rFonts w:ascii="Arial" w:hAnsi="Arial"/>
          <w:color w:val="231F20"/>
          <w:spacing w:val="14"/>
        </w:rPr>
        <w:t> </w:t>
      </w:r>
      <w:r>
        <w:rPr>
          <w:rFonts w:ascii="Arial" w:hAnsi="Arial"/>
          <w:color w:val="231F20"/>
        </w:rPr>
        <w:t>’*syslogd*’</w:t>
      </w:r>
      <w:r>
        <w:rPr>
          <w:rFonts w:ascii="Arial" w:hAnsi="Arial"/>
          <w:color w:val="231F20"/>
          <w:spacing w:val="13"/>
        </w:rPr>
        <w:t> </w:t>
      </w:r>
      <w:r>
        <w:rPr>
          <w:rFonts w:ascii="Arial" w:hAnsi="Arial"/>
          <w:color w:val="231F20"/>
          <w:spacing w:val="-10"/>
        </w:rPr>
        <w:t>)</w:t>
      </w:r>
    </w:p>
    <w:p>
      <w:pPr>
        <w:pStyle w:val="BodyText"/>
        <w:spacing w:before="29"/>
        <w:ind w:left="2771"/>
        <w:rPr>
          <w:rFonts w:ascii="Arial" w:hAnsi="Arial"/>
        </w:rPr>
      </w:pPr>
      <w:r>
        <w:rPr>
          <w:color w:val="231F20"/>
          <w:spacing w:val="-2"/>
        </w:rPr>
        <w:t>Revised</w:t>
      </w:r>
      <w:r>
        <w:rPr>
          <w:color w:val="231F20"/>
          <w:spacing w:val="16"/>
        </w:rPr>
        <w:t> </w:t>
      </w:r>
      <w:r>
        <w:rPr>
          <w:color w:val="231F20"/>
          <w:spacing w:val="-2"/>
        </w:rPr>
        <w:t>situation:</w:t>
      </w:r>
      <w:r>
        <w:rPr>
          <w:color w:val="231F20"/>
          <w:spacing w:val="16"/>
        </w:rPr>
        <w:t> </w:t>
      </w:r>
      <w:r>
        <w:rPr>
          <w:rFonts w:ascii="Arial" w:hAnsi="Arial"/>
          <w:color w:val="231F20"/>
          <w:spacing w:val="-2"/>
        </w:rPr>
        <w:t>MISSING(Base</w:t>
      </w:r>
      <w:r>
        <w:rPr>
          <w:rFonts w:ascii="Arial" w:hAnsi="Arial"/>
          <w:color w:val="231F20"/>
          <w:spacing w:val="11"/>
        </w:rPr>
        <w:t> </w:t>
      </w:r>
      <w:r>
        <w:rPr>
          <w:rFonts w:ascii="Arial" w:hAnsi="Arial"/>
          <w:color w:val="231F20"/>
          <w:spacing w:val="-2"/>
        </w:rPr>
        <w:t>Command)</w:t>
      </w:r>
      <w:r>
        <w:rPr>
          <w:rFonts w:ascii="Arial" w:hAnsi="Arial"/>
          <w:color w:val="231F20"/>
          <w:spacing w:val="10"/>
        </w:rPr>
        <w:t> </w:t>
      </w:r>
      <w:r>
        <w:rPr>
          <w:rFonts w:ascii="Arial" w:hAnsi="Arial"/>
          <w:color w:val="231F20"/>
          <w:spacing w:val="-2"/>
        </w:rPr>
        <w:t>==</w:t>
      </w:r>
      <w:r>
        <w:rPr>
          <w:rFonts w:ascii="Arial" w:hAnsi="Arial"/>
          <w:color w:val="231F20"/>
          <w:spacing w:val="11"/>
        </w:rPr>
        <w:t> </w:t>
      </w:r>
      <w:r>
        <w:rPr>
          <w:rFonts w:ascii="Arial" w:hAnsi="Arial"/>
          <w:color w:val="231F20"/>
          <w:spacing w:val="-2"/>
        </w:rPr>
        <w:t>(</w:t>
      </w:r>
      <w:r>
        <w:rPr>
          <w:rFonts w:ascii="Arial" w:hAnsi="Arial"/>
          <w:color w:val="231F20"/>
          <w:spacing w:val="10"/>
        </w:rPr>
        <w:t> </w:t>
      </w:r>
      <w:r>
        <w:rPr>
          <w:rFonts w:ascii="Arial" w:hAnsi="Arial"/>
          <w:color w:val="231F20"/>
          <w:spacing w:val="-2"/>
        </w:rPr>
        <w:t>’syslogd’</w:t>
      </w:r>
      <w:r>
        <w:rPr>
          <w:rFonts w:ascii="Arial" w:hAnsi="Arial"/>
          <w:color w:val="231F20"/>
          <w:spacing w:val="11"/>
        </w:rPr>
        <w:t> </w:t>
      </w:r>
      <w:r>
        <w:rPr>
          <w:rFonts w:ascii="Arial" w:hAnsi="Arial"/>
          <w:color w:val="231F20"/>
          <w:spacing w:val="-10"/>
        </w:rPr>
        <w:t>)</w:t>
      </w:r>
    </w:p>
    <w:p>
      <w:pPr>
        <w:pStyle w:val="BodyText"/>
        <w:spacing w:line="213" w:lineRule="auto" w:before="113"/>
        <w:ind w:left="2472" w:right="258"/>
      </w:pPr>
      <w:r>
        <w:rPr>
          <w:color w:val="231F20"/>
        </w:rPr>
        <w:t>The revised situation is better for several reasons. First, it removes the wildcard characters</w:t>
      </w:r>
      <w:r>
        <w:rPr>
          <w:color w:val="231F20"/>
          <w:spacing w:val="27"/>
        </w:rPr>
        <w:t> </w:t>
      </w:r>
      <w:r>
        <w:rPr>
          <w:color w:val="231F20"/>
        </w:rPr>
        <w:t>from</w:t>
      </w:r>
      <w:r>
        <w:rPr>
          <w:color w:val="231F20"/>
          <w:spacing w:val="27"/>
        </w:rPr>
        <w:t> </w:t>
      </w:r>
      <w:r>
        <w:rPr>
          <w:color w:val="231F20"/>
        </w:rPr>
        <w:t>the</w:t>
      </w:r>
      <w:r>
        <w:rPr>
          <w:color w:val="231F20"/>
          <w:spacing w:val="27"/>
        </w:rPr>
        <w:t> </w:t>
      </w:r>
      <w:r>
        <w:rPr>
          <w:color w:val="231F20"/>
        </w:rPr>
        <w:t>situation.</w:t>
      </w:r>
      <w:r>
        <w:rPr>
          <w:color w:val="231F20"/>
          <w:spacing w:val="27"/>
        </w:rPr>
        <w:t> </w:t>
      </w:r>
      <w:r>
        <w:rPr>
          <w:color w:val="231F20"/>
        </w:rPr>
        <w:t>Second,</w:t>
      </w:r>
      <w:r>
        <w:rPr>
          <w:color w:val="231F20"/>
          <w:spacing w:val="27"/>
        </w:rPr>
        <w:t> </w:t>
      </w:r>
      <w:r>
        <w:rPr>
          <w:color w:val="231F20"/>
        </w:rPr>
        <w:t>it</w:t>
      </w:r>
      <w:r>
        <w:rPr>
          <w:color w:val="231F20"/>
          <w:spacing w:val="27"/>
        </w:rPr>
        <w:t> </w:t>
      </w:r>
      <w:r>
        <w:rPr>
          <w:color w:val="231F20"/>
        </w:rPr>
        <w:t>uses</w:t>
      </w:r>
      <w:r>
        <w:rPr>
          <w:color w:val="231F20"/>
          <w:spacing w:val="27"/>
        </w:rPr>
        <w:t> </w:t>
      </w:r>
      <w:r>
        <w:rPr>
          <w:color w:val="231F20"/>
        </w:rPr>
        <w:t>a</w:t>
      </w:r>
      <w:r>
        <w:rPr>
          <w:color w:val="231F20"/>
          <w:spacing w:val="27"/>
        </w:rPr>
        <w:t> </w:t>
      </w:r>
      <w:r>
        <w:rPr>
          <w:color w:val="231F20"/>
        </w:rPr>
        <w:t>non-Unicode</w:t>
      </w:r>
      <w:r>
        <w:rPr>
          <w:color w:val="231F20"/>
          <w:spacing w:val="27"/>
        </w:rPr>
        <w:t> </w:t>
      </w:r>
      <w:r>
        <w:rPr>
          <w:color w:val="231F20"/>
        </w:rPr>
        <w:t>field.</w:t>
      </w:r>
      <w:r>
        <w:rPr>
          <w:color w:val="231F20"/>
          <w:spacing w:val="27"/>
        </w:rPr>
        <w:t> </w:t>
      </w:r>
      <w:r>
        <w:rPr>
          <w:color w:val="231F20"/>
        </w:rPr>
        <w:t>Third,</w:t>
      </w:r>
      <w:r>
        <w:rPr>
          <w:color w:val="231F20"/>
          <w:spacing w:val="27"/>
        </w:rPr>
        <w:t> </w:t>
      </w:r>
      <w:r>
        <w:rPr>
          <w:color w:val="231F20"/>
        </w:rPr>
        <w:t>it</w:t>
      </w:r>
      <w:r>
        <w:rPr>
          <w:color w:val="231F20"/>
          <w:spacing w:val="27"/>
        </w:rPr>
        <w:t> </w:t>
      </w:r>
      <w:r>
        <w:rPr>
          <w:color w:val="231F20"/>
        </w:rPr>
        <w:t>does not require any searching operation as the </w:t>
      </w:r>
      <w:r>
        <w:rPr>
          <w:rFonts w:ascii="Book Antiqua"/>
          <w:b/>
          <w:color w:val="231F20"/>
        </w:rPr>
        <w:t>Base Command </w:t>
      </w:r>
      <w:r>
        <w:rPr>
          <w:color w:val="231F20"/>
        </w:rPr>
        <w:t>field returns exactly </w:t>
      </w:r>
      <w:r>
        <w:rPr>
          <w:color w:val="231F20"/>
        </w:rPr>
        <w:t>the required phrase.</w:t>
      </w:r>
    </w:p>
    <w:p>
      <w:pPr>
        <w:spacing w:after="0" w:line="213" w:lineRule="auto"/>
        <w:sectPr>
          <w:pgSz w:w="12240" w:h="15840"/>
          <w:pgMar w:header="0" w:footer="736" w:top="1180" w:bottom="920" w:left="1000" w:right="1060"/>
        </w:sectPr>
      </w:pPr>
    </w:p>
    <w:p>
      <w:pPr>
        <w:pStyle w:val="BodyText"/>
        <w:spacing w:line="255" w:lineRule="exact" w:before="62"/>
        <w:ind w:left="2232"/>
      </w:pPr>
      <w:r>
        <w:rPr>
          <w:rFonts w:ascii="Book Antiqua"/>
          <w:b/>
          <w:color w:val="231F20"/>
        </w:rPr>
        <w:t>Scenario</w:t>
      </w:r>
      <w:r>
        <w:rPr>
          <w:rFonts w:ascii="Book Antiqua"/>
          <w:b/>
          <w:color w:val="231F20"/>
          <w:spacing w:val="10"/>
        </w:rPr>
        <w:t> </w:t>
      </w:r>
      <w:r>
        <w:rPr>
          <w:rFonts w:ascii="Book Antiqua"/>
          <w:b/>
          <w:color w:val="231F20"/>
        </w:rPr>
        <w:t>2</w:t>
      </w:r>
      <w:r>
        <w:rPr>
          <w:color w:val="231F20"/>
        </w:rPr>
        <w:t>:</w:t>
      </w:r>
      <w:r>
        <w:rPr>
          <w:color w:val="231F20"/>
          <w:spacing w:val="11"/>
        </w:rPr>
        <w:t> </w:t>
      </w:r>
      <w:r>
        <w:rPr>
          <w:color w:val="231F20"/>
        </w:rPr>
        <w:t>Situation</w:t>
      </w:r>
      <w:r>
        <w:rPr>
          <w:color w:val="231F20"/>
          <w:spacing w:val="10"/>
        </w:rPr>
        <w:t> </w:t>
      </w:r>
      <w:r>
        <w:rPr>
          <w:color w:val="231F20"/>
        </w:rPr>
        <w:t>checks</w:t>
      </w:r>
      <w:r>
        <w:rPr>
          <w:color w:val="231F20"/>
          <w:spacing w:val="10"/>
        </w:rPr>
        <w:t> </w:t>
      </w:r>
      <w:r>
        <w:rPr>
          <w:color w:val="231F20"/>
        </w:rPr>
        <w:t>for</w:t>
      </w:r>
      <w:r>
        <w:rPr>
          <w:color w:val="231F20"/>
          <w:spacing w:val="11"/>
        </w:rPr>
        <w:t> </w:t>
      </w:r>
      <w:r>
        <w:rPr>
          <w:color w:val="231F20"/>
        </w:rPr>
        <w:t>free</w:t>
      </w:r>
      <w:r>
        <w:rPr>
          <w:color w:val="231F20"/>
          <w:spacing w:val="10"/>
        </w:rPr>
        <w:t> </w:t>
      </w:r>
      <w:r>
        <w:rPr>
          <w:color w:val="231F20"/>
        </w:rPr>
        <w:t>space</w:t>
      </w:r>
      <w:r>
        <w:rPr>
          <w:color w:val="231F20"/>
          <w:spacing w:val="11"/>
        </w:rPr>
        <w:t> </w:t>
      </w:r>
      <w:r>
        <w:rPr>
          <w:color w:val="231F20"/>
        </w:rPr>
        <w:t>on</w:t>
      </w:r>
      <w:r>
        <w:rPr>
          <w:color w:val="231F20"/>
          <w:spacing w:val="10"/>
        </w:rPr>
        <w:t> </w:t>
      </w:r>
      <w:r>
        <w:rPr>
          <w:color w:val="231F20"/>
        </w:rPr>
        <w:t>multiple</w:t>
      </w:r>
      <w:r>
        <w:rPr>
          <w:color w:val="231F20"/>
          <w:spacing w:val="11"/>
        </w:rPr>
        <w:t> </w:t>
      </w:r>
      <w:r>
        <w:rPr>
          <w:color w:val="231F20"/>
        </w:rPr>
        <w:t>mount</w:t>
      </w:r>
      <w:r>
        <w:rPr>
          <w:color w:val="231F20"/>
          <w:spacing w:val="10"/>
        </w:rPr>
        <w:t> </w:t>
      </w:r>
      <w:r>
        <w:rPr>
          <w:color w:val="231F20"/>
        </w:rPr>
        <w:t>points</w:t>
      </w:r>
      <w:r>
        <w:rPr>
          <w:color w:val="231F20"/>
          <w:spacing w:val="11"/>
        </w:rPr>
        <w:t> </w:t>
      </w:r>
      <w:r>
        <w:rPr>
          <w:color w:val="231F20"/>
        </w:rPr>
        <w:t>starting</w:t>
      </w:r>
      <w:r>
        <w:rPr>
          <w:color w:val="231F20"/>
          <w:spacing w:val="10"/>
        </w:rPr>
        <w:t> </w:t>
      </w:r>
      <w:r>
        <w:rPr>
          <w:color w:val="231F20"/>
          <w:spacing w:val="-4"/>
        </w:rPr>
        <w:t>with</w:t>
      </w:r>
    </w:p>
    <w:p>
      <w:pPr>
        <w:pStyle w:val="BodyText"/>
        <w:spacing w:line="255" w:lineRule="exact"/>
        <w:ind w:left="2232"/>
      </w:pPr>
      <w:r>
        <w:rPr>
          <w:color w:val="231F20"/>
          <w:spacing w:val="-2"/>
          <w:w w:val="115"/>
        </w:rPr>
        <w:t>/opt/IBM.</w:t>
      </w:r>
    </w:p>
    <w:p>
      <w:pPr>
        <w:pStyle w:val="BodyText"/>
        <w:spacing w:line="266" w:lineRule="exact" w:before="29"/>
        <w:ind w:left="2532"/>
        <w:rPr>
          <w:rFonts w:ascii="Arial" w:hAnsi="Arial"/>
        </w:rPr>
      </w:pPr>
      <w:r>
        <w:rPr>
          <w:color w:val="231F20"/>
        </w:rPr>
        <w:t>Original</w:t>
      </w:r>
      <w:r>
        <w:rPr>
          <w:color w:val="231F20"/>
          <w:spacing w:val="41"/>
        </w:rPr>
        <w:t> </w:t>
      </w:r>
      <w:r>
        <w:rPr>
          <w:color w:val="231F20"/>
        </w:rPr>
        <w:t>situation:</w:t>
      </w:r>
      <w:r>
        <w:rPr>
          <w:color w:val="231F20"/>
          <w:spacing w:val="41"/>
        </w:rPr>
        <w:t> </w:t>
      </w:r>
      <w:r>
        <w:rPr>
          <w:rFonts w:ascii="Arial" w:hAnsi="Arial"/>
          <w:color w:val="231F20"/>
        </w:rPr>
        <w:t>Mount</w:t>
      </w:r>
      <w:r>
        <w:rPr>
          <w:rFonts w:ascii="Arial" w:hAnsi="Arial"/>
          <w:color w:val="231F20"/>
          <w:spacing w:val="35"/>
        </w:rPr>
        <w:t> </w:t>
      </w:r>
      <w:r>
        <w:rPr>
          <w:rFonts w:ascii="Arial" w:hAnsi="Arial"/>
          <w:color w:val="231F20"/>
        </w:rPr>
        <w:t>Point</w:t>
      </w:r>
      <w:r>
        <w:rPr>
          <w:rFonts w:ascii="Arial" w:hAnsi="Arial"/>
          <w:color w:val="231F20"/>
          <w:spacing w:val="35"/>
        </w:rPr>
        <w:t> </w:t>
      </w:r>
      <w:r>
        <w:rPr>
          <w:rFonts w:ascii="Arial" w:hAnsi="Arial"/>
          <w:color w:val="231F20"/>
        </w:rPr>
        <w:t>==</w:t>
      </w:r>
      <w:r>
        <w:rPr>
          <w:rFonts w:ascii="Arial" w:hAnsi="Arial"/>
          <w:color w:val="231F20"/>
          <w:spacing w:val="35"/>
        </w:rPr>
        <w:t> </w:t>
      </w:r>
      <w:r>
        <w:rPr>
          <w:rFonts w:ascii="Arial" w:hAnsi="Arial"/>
          <w:color w:val="231F20"/>
        </w:rPr>
        <w:t>’/opt/IBM*’</w:t>
      </w:r>
      <w:r>
        <w:rPr>
          <w:rFonts w:ascii="Arial" w:hAnsi="Arial"/>
          <w:color w:val="231F20"/>
          <w:spacing w:val="35"/>
        </w:rPr>
        <w:t> </w:t>
      </w:r>
      <w:r>
        <w:rPr>
          <w:rFonts w:ascii="Arial" w:hAnsi="Arial"/>
          <w:color w:val="231F20"/>
        </w:rPr>
        <w:t>AND</w:t>
      </w:r>
      <w:r>
        <w:rPr>
          <w:rFonts w:ascii="Arial" w:hAnsi="Arial"/>
          <w:color w:val="231F20"/>
          <w:spacing w:val="35"/>
        </w:rPr>
        <w:t> </w:t>
      </w:r>
      <w:r>
        <w:rPr>
          <w:rFonts w:ascii="Arial" w:hAnsi="Arial"/>
          <w:color w:val="231F20"/>
        </w:rPr>
        <w:t>Space</w:t>
      </w:r>
      <w:r>
        <w:rPr>
          <w:rFonts w:ascii="Arial" w:hAnsi="Arial"/>
          <w:color w:val="231F20"/>
          <w:spacing w:val="36"/>
        </w:rPr>
        <w:t> </w:t>
      </w:r>
      <w:r>
        <w:rPr>
          <w:rFonts w:ascii="Arial" w:hAnsi="Arial"/>
          <w:color w:val="231F20"/>
        </w:rPr>
        <w:t>Available</w:t>
      </w:r>
      <w:r>
        <w:rPr>
          <w:rFonts w:ascii="Arial" w:hAnsi="Arial"/>
          <w:color w:val="231F20"/>
          <w:spacing w:val="35"/>
        </w:rPr>
        <w:t> </w:t>
      </w:r>
      <w:r>
        <w:rPr>
          <w:rFonts w:ascii="Arial" w:hAnsi="Arial"/>
          <w:color w:val="231F20"/>
          <w:spacing w:val="-2"/>
        </w:rPr>
        <w:t>Percent</w:t>
      </w:r>
    </w:p>
    <w:p>
      <w:pPr>
        <w:pStyle w:val="BodyText"/>
        <w:spacing w:line="226" w:lineRule="exact"/>
        <w:ind w:left="2532"/>
        <w:rPr>
          <w:rFonts w:ascii="Arial"/>
        </w:rPr>
      </w:pPr>
      <w:r>
        <w:rPr>
          <w:rFonts w:ascii="Arial"/>
          <w:color w:val="231F20"/>
          <w:spacing w:val="44"/>
          <w:w w:val="95"/>
        </w:rPr>
        <w:t>&lt;</w:t>
      </w:r>
      <w:r>
        <w:rPr>
          <w:rFonts w:ascii="Arial"/>
          <w:color w:val="231F20"/>
          <w:spacing w:val="-7"/>
          <w:w w:val="95"/>
        </w:rPr>
        <w:t> </w:t>
      </w:r>
      <w:r>
        <w:rPr>
          <w:rFonts w:ascii="Arial"/>
          <w:color w:val="231F20"/>
          <w:spacing w:val="-10"/>
          <w:w w:val="95"/>
        </w:rPr>
        <w:t>5</w:t>
      </w:r>
      <w:r>
        <w:rPr>
          <w:rFonts w:ascii="Arial"/>
          <w:color w:val="231F20"/>
          <w:spacing w:val="-10"/>
          <w:w w:val="95"/>
        </w:rPr>
        <w:t> </w:t>
      </w:r>
    </w:p>
    <w:p>
      <w:pPr>
        <w:pStyle w:val="BodyText"/>
        <w:spacing w:line="232" w:lineRule="auto" w:before="53"/>
        <w:ind w:left="2532" w:right="545"/>
        <w:rPr>
          <w:rFonts w:ascii="Arial" w:hAnsi="Arial"/>
        </w:rPr>
      </w:pPr>
      <w:r>
        <w:rPr>
          <w:color w:val="231F20"/>
        </w:rPr>
        <w:t>Revised</w:t>
      </w:r>
      <w:r>
        <w:rPr>
          <w:color w:val="231F20"/>
          <w:spacing w:val="26"/>
        </w:rPr>
        <w:t> </w:t>
      </w:r>
      <w:r>
        <w:rPr>
          <w:color w:val="231F20"/>
        </w:rPr>
        <w:t>situation:</w:t>
      </w:r>
      <w:r>
        <w:rPr>
          <w:color w:val="231F20"/>
          <w:spacing w:val="26"/>
        </w:rPr>
        <w:t> </w:t>
      </w:r>
      <w:r>
        <w:rPr>
          <w:rFonts w:ascii="Arial" w:hAnsi="Arial"/>
          <w:color w:val="231F20"/>
        </w:rPr>
        <w:t>SCAN(Mount</w:t>
      </w:r>
      <w:r>
        <w:rPr>
          <w:rFonts w:ascii="Arial" w:hAnsi="Arial"/>
          <w:color w:val="231F20"/>
          <w:spacing w:val="20"/>
        </w:rPr>
        <w:t> </w:t>
      </w:r>
      <w:r>
        <w:rPr>
          <w:rFonts w:ascii="Arial" w:hAnsi="Arial"/>
          <w:color w:val="231F20"/>
        </w:rPr>
        <w:t>Point)</w:t>
      </w:r>
      <w:r>
        <w:rPr>
          <w:rFonts w:ascii="Arial" w:hAnsi="Arial"/>
          <w:color w:val="231F20"/>
          <w:spacing w:val="20"/>
        </w:rPr>
        <w:t> </w:t>
      </w:r>
      <w:r>
        <w:rPr>
          <w:rFonts w:ascii="Arial" w:hAnsi="Arial"/>
          <w:color w:val="231F20"/>
        </w:rPr>
        <w:t>==</w:t>
      </w:r>
      <w:r>
        <w:rPr>
          <w:rFonts w:ascii="Arial" w:hAnsi="Arial"/>
          <w:color w:val="231F20"/>
          <w:spacing w:val="20"/>
        </w:rPr>
        <w:t> </w:t>
      </w:r>
      <w:r>
        <w:rPr>
          <w:rFonts w:ascii="Arial" w:hAnsi="Arial"/>
          <w:color w:val="231F20"/>
        </w:rPr>
        <w:t>’/opt/IBM’</w:t>
      </w:r>
      <w:r>
        <w:rPr>
          <w:rFonts w:ascii="Arial" w:hAnsi="Arial"/>
          <w:color w:val="231F20"/>
          <w:spacing w:val="20"/>
        </w:rPr>
        <w:t> </w:t>
      </w:r>
      <w:r>
        <w:rPr>
          <w:rFonts w:ascii="Arial" w:hAnsi="Arial"/>
          <w:color w:val="231F20"/>
        </w:rPr>
        <w:t>AND</w:t>
      </w:r>
      <w:r>
        <w:rPr>
          <w:rFonts w:ascii="Arial" w:hAnsi="Arial"/>
          <w:color w:val="231F20"/>
          <w:spacing w:val="20"/>
        </w:rPr>
        <w:t> </w:t>
      </w:r>
      <w:r>
        <w:rPr>
          <w:rFonts w:ascii="Arial" w:hAnsi="Arial"/>
          <w:color w:val="231F20"/>
        </w:rPr>
        <w:t>Space</w:t>
      </w:r>
      <w:r>
        <w:rPr>
          <w:rFonts w:ascii="Arial" w:hAnsi="Arial"/>
          <w:color w:val="231F20"/>
          <w:spacing w:val="20"/>
        </w:rPr>
        <w:t> </w:t>
      </w:r>
      <w:r>
        <w:rPr>
          <w:rFonts w:ascii="Arial" w:hAnsi="Arial"/>
          <w:color w:val="231F20"/>
        </w:rPr>
        <w:t>Available Percent</w:t>
      </w:r>
      <w:r>
        <w:rPr>
          <w:rFonts w:ascii="Arial" w:hAnsi="Arial"/>
          <w:color w:val="231F20"/>
          <w:spacing w:val="40"/>
        </w:rPr>
        <w:t> </w:t>
      </w:r>
      <w:r>
        <w:rPr>
          <w:rFonts w:ascii="Arial" w:hAnsi="Arial"/>
          <w:color w:val="231F20"/>
        </w:rPr>
        <w:t>&lt;</w:t>
      </w:r>
      <w:r>
        <w:rPr>
          <w:rFonts w:ascii="Arial" w:hAnsi="Arial"/>
          <w:color w:val="231F20"/>
          <w:spacing w:val="40"/>
        </w:rPr>
        <w:t> </w:t>
      </w:r>
      <w:r>
        <w:rPr>
          <w:rFonts w:ascii="Arial" w:hAnsi="Arial"/>
          <w:color w:val="231F20"/>
        </w:rPr>
        <w:t>5</w:t>
      </w:r>
    </w:p>
    <w:p>
      <w:pPr>
        <w:pStyle w:val="BodyText"/>
        <w:spacing w:line="213" w:lineRule="auto" w:before="131"/>
        <w:ind w:left="2232" w:right="545"/>
      </w:pPr>
      <w:r>
        <w:rPr>
          <w:color w:val="231F20"/>
        </w:rPr>
        <w:t>The revised situation removed the wildcard character and used the more efficient SCAN function.</w:t>
      </w:r>
    </w:p>
    <w:p>
      <w:pPr>
        <w:pStyle w:val="BodyText"/>
        <w:spacing w:before="215"/>
        <w:ind w:left="2232"/>
      </w:pPr>
      <w:r>
        <w:rPr>
          <w:rFonts w:ascii="Book Antiqua"/>
          <w:b/>
          <w:color w:val="231F20"/>
        </w:rPr>
        <w:t>Scenario</w:t>
      </w:r>
      <w:r>
        <w:rPr>
          <w:rFonts w:ascii="Book Antiqua"/>
          <w:b/>
          <w:color w:val="231F20"/>
          <w:spacing w:val="10"/>
        </w:rPr>
        <w:t> </w:t>
      </w:r>
      <w:r>
        <w:rPr>
          <w:rFonts w:ascii="Book Antiqua"/>
          <w:b/>
          <w:color w:val="231F20"/>
        </w:rPr>
        <w:t>3</w:t>
      </w:r>
      <w:r>
        <w:rPr>
          <w:color w:val="231F20"/>
        </w:rPr>
        <w:t>:</w:t>
      </w:r>
      <w:r>
        <w:rPr>
          <w:color w:val="231F20"/>
          <w:spacing w:val="10"/>
        </w:rPr>
        <w:t> </w:t>
      </w:r>
      <w:r>
        <w:rPr>
          <w:color w:val="231F20"/>
        </w:rPr>
        <w:t>Situation</w:t>
      </w:r>
      <w:r>
        <w:rPr>
          <w:color w:val="231F20"/>
          <w:spacing w:val="11"/>
        </w:rPr>
        <w:t> </w:t>
      </w:r>
      <w:r>
        <w:rPr>
          <w:color w:val="231F20"/>
        </w:rPr>
        <w:t>checks</w:t>
      </w:r>
      <w:r>
        <w:rPr>
          <w:color w:val="231F20"/>
          <w:spacing w:val="10"/>
        </w:rPr>
        <w:t> </w:t>
      </w:r>
      <w:r>
        <w:rPr>
          <w:color w:val="231F20"/>
        </w:rPr>
        <w:t>for</w:t>
      </w:r>
      <w:r>
        <w:rPr>
          <w:color w:val="231F20"/>
          <w:spacing w:val="10"/>
        </w:rPr>
        <w:t> </w:t>
      </w:r>
      <w:r>
        <w:rPr>
          <w:color w:val="231F20"/>
        </w:rPr>
        <w:t>more</w:t>
      </w:r>
      <w:r>
        <w:rPr>
          <w:color w:val="231F20"/>
          <w:spacing w:val="11"/>
        </w:rPr>
        <w:t> </w:t>
      </w:r>
      <w:r>
        <w:rPr>
          <w:color w:val="231F20"/>
        </w:rPr>
        <w:t>than</w:t>
      </w:r>
      <w:r>
        <w:rPr>
          <w:color w:val="231F20"/>
          <w:spacing w:val="10"/>
        </w:rPr>
        <w:t> </w:t>
      </w:r>
      <w:r>
        <w:rPr>
          <w:color w:val="231F20"/>
        </w:rPr>
        <w:t>3</w:t>
      </w:r>
      <w:r>
        <w:rPr>
          <w:color w:val="231F20"/>
          <w:spacing w:val="10"/>
        </w:rPr>
        <w:t> </w:t>
      </w:r>
      <w:r>
        <w:rPr>
          <w:color w:val="231F20"/>
        </w:rPr>
        <w:t>tecad_logfile</w:t>
      </w:r>
      <w:r>
        <w:rPr>
          <w:color w:val="231F20"/>
          <w:spacing w:val="11"/>
        </w:rPr>
        <w:t> </w:t>
      </w:r>
      <w:r>
        <w:rPr>
          <w:color w:val="231F20"/>
          <w:spacing w:val="-2"/>
        </w:rPr>
        <w:t>processes.</w:t>
      </w:r>
    </w:p>
    <w:p>
      <w:pPr>
        <w:pStyle w:val="BodyText"/>
        <w:spacing w:line="232" w:lineRule="auto" w:before="36"/>
        <w:ind w:left="2532"/>
        <w:rPr>
          <w:rFonts w:ascii="Arial" w:hAnsi="Arial"/>
        </w:rPr>
      </w:pPr>
      <w:r>
        <w:rPr>
          <w:color w:val="231F20"/>
        </w:rPr>
        <w:t>Original</w:t>
      </w:r>
      <w:r>
        <w:rPr>
          <w:color w:val="231F20"/>
          <w:spacing w:val="12"/>
        </w:rPr>
        <w:t> </w:t>
      </w:r>
      <w:r>
        <w:rPr>
          <w:color w:val="231F20"/>
        </w:rPr>
        <w:t>Situation:</w:t>
      </w:r>
      <w:r>
        <w:rPr>
          <w:color w:val="231F20"/>
          <w:spacing w:val="12"/>
        </w:rPr>
        <w:t> </w:t>
      </w:r>
      <w:r>
        <w:rPr>
          <w:rFonts w:ascii="Arial" w:hAnsi="Arial"/>
          <w:color w:val="231F20"/>
        </w:rPr>
        <w:t>Process</w:t>
      </w:r>
      <w:r>
        <w:rPr>
          <w:rFonts w:ascii="Arial" w:hAnsi="Arial"/>
          <w:color w:val="231F20"/>
          <w:spacing w:val="6"/>
        </w:rPr>
        <w:t> </w:t>
      </w:r>
      <w:r>
        <w:rPr>
          <w:rFonts w:ascii="Arial" w:hAnsi="Arial"/>
          <w:color w:val="231F20"/>
        </w:rPr>
        <w:t>Command</w:t>
      </w:r>
      <w:r>
        <w:rPr>
          <w:rFonts w:ascii="Arial" w:hAnsi="Arial"/>
          <w:color w:val="231F20"/>
          <w:spacing w:val="6"/>
        </w:rPr>
        <w:t> </w:t>
      </w:r>
      <w:r>
        <w:rPr>
          <w:rFonts w:ascii="Arial" w:hAnsi="Arial"/>
          <w:color w:val="231F20"/>
        </w:rPr>
        <w:t>(Unicode)</w:t>
      </w:r>
      <w:r>
        <w:rPr>
          <w:rFonts w:ascii="Arial" w:hAnsi="Arial"/>
          <w:color w:val="231F20"/>
          <w:spacing w:val="6"/>
        </w:rPr>
        <w:t> </w:t>
      </w:r>
      <w:r>
        <w:rPr>
          <w:rFonts w:ascii="Arial" w:hAnsi="Arial"/>
          <w:color w:val="231F20"/>
        </w:rPr>
        <w:t>==</w:t>
      </w:r>
      <w:r>
        <w:rPr>
          <w:rFonts w:ascii="Arial" w:hAnsi="Arial"/>
          <w:color w:val="231F20"/>
          <w:spacing w:val="6"/>
        </w:rPr>
        <w:t> </w:t>
      </w:r>
      <w:r>
        <w:rPr>
          <w:rFonts w:ascii="Arial" w:hAnsi="Arial"/>
          <w:color w:val="231F20"/>
        </w:rPr>
        <w:t>*tecad_logfile*</w:t>
      </w:r>
      <w:r>
        <w:rPr>
          <w:rFonts w:ascii="Arial" w:hAnsi="Arial"/>
          <w:color w:val="231F20"/>
          <w:spacing w:val="6"/>
        </w:rPr>
        <w:t> </w:t>
      </w:r>
      <w:r>
        <w:rPr>
          <w:rFonts w:ascii="Arial" w:hAnsi="Arial"/>
          <w:color w:val="231F20"/>
        </w:rPr>
        <w:t>AND COUNT(Process</w:t>
      </w:r>
      <w:r>
        <w:rPr>
          <w:rFonts w:ascii="Arial" w:hAnsi="Arial"/>
          <w:color w:val="231F20"/>
          <w:spacing w:val="13"/>
        </w:rPr>
        <w:t> </w:t>
      </w:r>
      <w:r>
        <w:rPr>
          <w:rFonts w:ascii="Arial" w:hAnsi="Arial"/>
          <w:color w:val="231F20"/>
        </w:rPr>
        <w:t>Command</w:t>
      </w:r>
      <w:r>
        <w:rPr>
          <w:rFonts w:ascii="Arial" w:hAnsi="Arial"/>
          <w:color w:val="231F20"/>
          <w:spacing w:val="13"/>
        </w:rPr>
        <w:t> </w:t>
      </w:r>
      <w:r>
        <w:rPr>
          <w:rFonts w:ascii="Arial" w:hAnsi="Arial"/>
          <w:color w:val="231F20"/>
        </w:rPr>
        <w:t>(Unicode))</w:t>
      </w:r>
      <w:r>
        <w:rPr>
          <w:rFonts w:ascii="Arial" w:hAnsi="Arial"/>
          <w:color w:val="231F20"/>
          <w:spacing w:val="13"/>
        </w:rPr>
        <w:t> </w:t>
      </w:r>
      <w:r>
        <w:rPr>
          <w:rFonts w:ascii="Arial" w:hAnsi="Arial"/>
          <w:color w:val="231F20"/>
        </w:rPr>
        <w:t>&gt;</w:t>
      </w:r>
      <w:r>
        <w:rPr>
          <w:rFonts w:ascii="Arial" w:hAnsi="Arial"/>
          <w:color w:val="231F20"/>
          <w:spacing w:val="13"/>
        </w:rPr>
        <w:t> </w:t>
      </w:r>
      <w:r>
        <w:rPr>
          <w:rFonts w:ascii="Arial" w:hAnsi="Arial"/>
          <w:color w:val="231F20"/>
        </w:rPr>
        <w:t>’3’</w:t>
      </w:r>
    </w:p>
    <w:p>
      <w:pPr>
        <w:pStyle w:val="BodyText"/>
        <w:spacing w:line="266" w:lineRule="exact" w:before="48"/>
        <w:ind w:left="2532"/>
        <w:rPr>
          <w:rFonts w:ascii="Arial" w:hAnsi="Arial"/>
        </w:rPr>
      </w:pPr>
      <w:r>
        <w:rPr>
          <w:color w:val="231F20"/>
          <w:spacing w:val="-4"/>
        </w:rPr>
        <w:t>Revised</w:t>
      </w:r>
      <w:r>
        <w:rPr>
          <w:color w:val="231F20"/>
          <w:spacing w:val="15"/>
        </w:rPr>
        <w:t> </w:t>
      </w:r>
      <w:r>
        <w:rPr>
          <w:color w:val="231F20"/>
          <w:spacing w:val="-4"/>
        </w:rPr>
        <w:t>Situation:</w:t>
      </w:r>
      <w:r>
        <w:rPr>
          <w:color w:val="231F20"/>
          <w:spacing w:val="16"/>
        </w:rPr>
        <w:t> </w:t>
      </w:r>
      <w:r>
        <w:rPr>
          <w:rFonts w:ascii="Arial" w:hAnsi="Arial"/>
          <w:color w:val="231F20"/>
          <w:spacing w:val="-4"/>
        </w:rPr>
        <w:t>Base</w:t>
      </w:r>
      <w:r>
        <w:rPr>
          <w:rFonts w:ascii="Arial" w:hAnsi="Arial"/>
          <w:color w:val="231F20"/>
          <w:spacing w:val="9"/>
        </w:rPr>
        <w:t> </w:t>
      </w:r>
      <w:r>
        <w:rPr>
          <w:rFonts w:ascii="Arial" w:hAnsi="Arial"/>
          <w:color w:val="231F20"/>
          <w:spacing w:val="-4"/>
        </w:rPr>
        <w:t>Command</w:t>
      </w:r>
      <w:r>
        <w:rPr>
          <w:rFonts w:ascii="Arial" w:hAnsi="Arial"/>
          <w:color w:val="231F20"/>
          <w:spacing w:val="10"/>
        </w:rPr>
        <w:t> </w:t>
      </w:r>
      <w:r>
        <w:rPr>
          <w:rFonts w:ascii="Arial" w:hAnsi="Arial"/>
          <w:color w:val="231F20"/>
          <w:spacing w:val="-4"/>
        </w:rPr>
        <w:t>==</w:t>
      </w:r>
      <w:r>
        <w:rPr>
          <w:rFonts w:ascii="Arial" w:hAnsi="Arial"/>
          <w:color w:val="231F20"/>
          <w:spacing w:val="9"/>
        </w:rPr>
        <w:t> </w:t>
      </w:r>
      <w:r>
        <w:rPr>
          <w:rFonts w:ascii="Arial" w:hAnsi="Arial"/>
          <w:color w:val="231F20"/>
          <w:spacing w:val="-4"/>
        </w:rPr>
        <w:t>’tecad_logfile’</w:t>
      </w:r>
      <w:r>
        <w:rPr>
          <w:rFonts w:ascii="Arial" w:hAnsi="Arial"/>
          <w:color w:val="231F20"/>
          <w:spacing w:val="10"/>
        </w:rPr>
        <w:t> </w:t>
      </w:r>
      <w:r>
        <w:rPr>
          <w:rFonts w:ascii="Arial" w:hAnsi="Arial"/>
          <w:color w:val="231F20"/>
          <w:spacing w:val="-4"/>
        </w:rPr>
        <w:t>AND</w:t>
      </w:r>
      <w:r>
        <w:rPr>
          <w:rFonts w:ascii="Arial" w:hAnsi="Arial"/>
          <w:color w:val="231F20"/>
          <w:spacing w:val="10"/>
        </w:rPr>
        <w:t> </w:t>
      </w:r>
      <w:r>
        <w:rPr>
          <w:rFonts w:ascii="Arial" w:hAnsi="Arial"/>
          <w:color w:val="231F20"/>
          <w:spacing w:val="-4"/>
        </w:rPr>
        <w:t>COUNT(Base</w:t>
      </w:r>
      <w:r>
        <w:rPr>
          <w:rFonts w:ascii="Arial" w:hAnsi="Arial"/>
          <w:color w:val="231F20"/>
          <w:spacing w:val="9"/>
        </w:rPr>
        <w:t> </w:t>
      </w:r>
      <w:r>
        <w:rPr>
          <w:rFonts w:ascii="Arial" w:hAnsi="Arial"/>
          <w:color w:val="231F20"/>
          <w:spacing w:val="-4"/>
        </w:rPr>
        <w:t>Command)</w:t>
      </w:r>
    </w:p>
    <w:p>
      <w:pPr>
        <w:pStyle w:val="BodyText"/>
        <w:spacing w:line="226" w:lineRule="exact"/>
        <w:ind w:left="2532"/>
        <w:rPr>
          <w:rFonts w:ascii="Arial" w:hAnsi="Arial"/>
        </w:rPr>
      </w:pPr>
      <w:r>
        <w:rPr>
          <w:rFonts w:ascii="Arial" w:hAnsi="Arial"/>
          <w:color w:val="231F20"/>
          <w:w w:val="110"/>
        </w:rPr>
        <w:t>&gt;</w:t>
      </w:r>
      <w:r>
        <w:rPr>
          <w:rFonts w:ascii="Arial" w:hAnsi="Arial"/>
          <w:color w:val="231F20"/>
          <w:spacing w:val="-3"/>
          <w:w w:val="130"/>
        </w:rPr>
        <w:t> </w:t>
      </w:r>
      <w:r>
        <w:rPr>
          <w:rFonts w:ascii="Arial" w:hAnsi="Arial"/>
          <w:color w:val="231F20"/>
          <w:spacing w:val="-5"/>
          <w:w w:val="130"/>
        </w:rPr>
        <w:t>’3’</w:t>
      </w:r>
    </w:p>
    <w:p>
      <w:pPr>
        <w:pStyle w:val="BodyText"/>
        <w:spacing w:line="213" w:lineRule="auto" w:before="130"/>
        <w:ind w:left="2232" w:right="636"/>
      </w:pPr>
      <w:r>
        <w:rPr>
          <w:color w:val="231F20"/>
        </w:rPr>
        <w:t>The revised situation uses </w:t>
      </w:r>
      <w:r>
        <w:rPr>
          <w:rFonts w:ascii="Book Antiqua"/>
          <w:b/>
          <w:color w:val="231F20"/>
        </w:rPr>
        <w:t>Base Command </w:t>
      </w:r>
      <w:r>
        <w:rPr>
          <w:color w:val="231F20"/>
        </w:rPr>
        <w:t>instead of a search or wildcard characters to find the required value. It also uses a shorter field to perform the count operation and avoids Unicode fields.</w:t>
      </w:r>
    </w:p>
    <w:p>
      <w:pPr>
        <w:spacing w:after="0" w:line="213" w:lineRule="auto"/>
        <w:sectPr>
          <w:pgSz w:w="12240" w:h="15840"/>
          <w:pgMar w:header="0" w:footer="736" w:top="1180" w:bottom="920" w:left="1000" w:right="1060"/>
        </w:sectPr>
      </w:pPr>
    </w:p>
    <w:p>
      <w:pPr>
        <w:pStyle w:val="BodyText"/>
        <w:spacing w:line="20" w:lineRule="exact"/>
        <w:ind w:left="436"/>
        <w:rPr>
          <w:sz w:val="2"/>
        </w:rPr>
      </w:pPr>
      <w:bookmarkStart w:name="_bookmark236" w:id="491"/>
      <w:bookmarkEnd w:id="491"/>
      <w:r>
        <w:rPr/>
      </w:r>
      <w:r>
        <w:rPr>
          <w:sz w:val="2"/>
        </w:rPr>
        <mc:AlternateContent>
          <mc:Choice Requires="wps">
            <w:drawing>
              <wp:inline distT="0" distB="0" distL="0" distR="0">
                <wp:extent cx="6082665" cy="25400"/>
                <wp:effectExtent l="19050" t="0" r="3810" b="3175"/>
                <wp:docPr id="2665" name="Group 2665"/>
                <wp:cNvGraphicFramePr>
                  <a:graphicFrameLocks/>
                </wp:cNvGraphicFramePr>
                <a:graphic>
                  <a:graphicData uri="http://schemas.microsoft.com/office/word/2010/wordprocessingGroup">
                    <wpg:wgp>
                      <wpg:cNvPr id="2665" name="Group 2665"/>
                      <wpg:cNvGrpSpPr/>
                      <wpg:grpSpPr>
                        <a:xfrm>
                          <a:off x="0" y="0"/>
                          <a:ext cx="6082665" cy="25400"/>
                          <a:chExt cx="6082665" cy="25400"/>
                        </a:xfrm>
                      </wpg:grpSpPr>
                      <wps:wsp>
                        <wps:cNvPr id="2666" name="Graphic 266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26"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11. Automating actions and respo" w:id="492"/>
      <w:bookmarkEnd w:id="492"/>
      <w:r>
        <w:rPr>
          <w:b w:val="0"/>
        </w:rPr>
      </w:r>
      <w:r>
        <w:rPr>
          <w:color w:val="231F20"/>
        </w:rPr>
        <w:t>Chapter</w:t>
      </w:r>
      <w:r>
        <w:rPr>
          <w:color w:val="231F20"/>
          <w:spacing w:val="-14"/>
        </w:rPr>
        <w:t> </w:t>
      </w:r>
      <w:r>
        <w:rPr>
          <w:color w:val="231F20"/>
        </w:rPr>
        <w:t>11.</w:t>
      </w:r>
      <w:r>
        <w:rPr>
          <w:color w:val="231F20"/>
          <w:spacing w:val="-8"/>
        </w:rPr>
        <w:t> </w:t>
      </w:r>
      <w:r>
        <w:rPr>
          <w:color w:val="231F20"/>
        </w:rPr>
        <w:t>Automating</w:t>
      </w:r>
      <w:r>
        <w:rPr>
          <w:color w:val="231F20"/>
          <w:spacing w:val="3"/>
        </w:rPr>
        <w:t> </w:t>
      </w:r>
      <w:r>
        <w:rPr>
          <w:color w:val="231F20"/>
        </w:rPr>
        <w:t>actions</w:t>
      </w:r>
      <w:r>
        <w:rPr>
          <w:color w:val="231F20"/>
          <w:spacing w:val="2"/>
        </w:rPr>
        <w:t> </w:t>
      </w:r>
      <w:r>
        <w:rPr>
          <w:color w:val="231F20"/>
        </w:rPr>
        <w:t>and</w:t>
      </w:r>
      <w:r>
        <w:rPr>
          <w:color w:val="231F20"/>
          <w:spacing w:val="2"/>
        </w:rPr>
        <w:t> </w:t>
      </w:r>
      <w:r>
        <w:rPr>
          <w:color w:val="231F20"/>
          <w:spacing w:val="-2"/>
        </w:rPr>
        <w:t>responses</w:t>
      </w:r>
    </w:p>
    <w:p>
      <w:pPr>
        <w:pStyle w:val="BodyText"/>
        <w:spacing w:line="213" w:lineRule="auto" w:before="304"/>
        <w:ind w:left="2472" w:right="274"/>
      </w:pPr>
      <w:r>
        <w:rPr>
          <w:color w:val="231F20"/>
        </w:rPr>
        <w:t>The Tivoli Enterprise Portal has functionality that enables you to design your own Take Action commands, Launch Application definitions, and Policy definitions,</w:t>
      </w:r>
      <w:r>
        <w:rPr>
          <w:color w:val="231F20"/>
          <w:spacing w:val="40"/>
        </w:rPr>
        <w:t> </w:t>
      </w:r>
      <w:r>
        <w:rPr>
          <w:color w:val="231F20"/>
        </w:rPr>
        <w:t>then store them for use by other users. A policy, rather than being run by the user, runs automatically when a referenced situation event is opened.</w:t>
      </w:r>
    </w:p>
    <w:p>
      <w:pPr>
        <w:pStyle w:val="BodyText"/>
        <w:spacing w:before="4"/>
        <w:rPr>
          <w:sz w:val="16"/>
        </w:rPr>
      </w:pPr>
      <w:r>
        <w:rPr/>
        <mc:AlternateContent>
          <mc:Choice Requires="wps">
            <w:drawing>
              <wp:anchor distT="0" distB="0" distL="0" distR="0" allowOverlap="1" layoutInCell="1" locked="0" behindDoc="1" simplePos="0" relativeHeight="487735296">
                <wp:simplePos x="0" y="0"/>
                <wp:positionH relativeFrom="page">
                  <wp:posOffset>912380</wp:posOffset>
                </wp:positionH>
                <wp:positionV relativeFrom="paragraph">
                  <wp:posOffset>155281</wp:posOffset>
                </wp:positionV>
                <wp:extent cx="6082665" cy="1270"/>
                <wp:effectExtent l="0" t="0" r="0" b="0"/>
                <wp:wrapTopAndBottom/>
                <wp:docPr id="2667" name="Graphic 2667"/>
                <wp:cNvGraphicFramePr>
                  <a:graphicFrameLocks/>
                </wp:cNvGraphicFramePr>
                <a:graphic>
                  <a:graphicData uri="http://schemas.microsoft.com/office/word/2010/wordprocessingShape">
                    <wps:wsp>
                      <wps:cNvPr id="2667" name="Graphic 266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26914pt;width:478.95pt;height:.1pt;mso-position-horizontal-relative:page;mso-position-vertical-relative:paragraph;z-index:-15581184;mso-wrap-distance-left:0;mso-wrap-distance-right:0" id="docshape227"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Automation with policies" w:id="493"/>
      <w:bookmarkEnd w:id="493"/>
      <w:r>
        <w:rPr>
          <w:b w:val="0"/>
        </w:rPr>
      </w:r>
      <w:r>
        <w:rPr>
          <w:color w:val="231F20"/>
        </w:rPr>
        <w:t>Automation</w:t>
      </w:r>
      <w:r>
        <w:rPr>
          <w:color w:val="231F20"/>
          <w:spacing w:val="4"/>
        </w:rPr>
        <w:t> </w:t>
      </w:r>
      <w:r>
        <w:rPr>
          <w:color w:val="231F20"/>
        </w:rPr>
        <w:t>with</w:t>
      </w:r>
      <w:r>
        <w:rPr>
          <w:color w:val="231F20"/>
          <w:spacing w:val="4"/>
        </w:rPr>
        <w:t> </w:t>
      </w:r>
      <w:bookmarkStart w:name="_bookmark235" w:id="494"/>
      <w:bookmarkEnd w:id="494"/>
      <w:r>
        <w:rPr>
          <w:color w:val="231F20"/>
          <w:spacing w:val="-2"/>
        </w:rPr>
        <w:t>policies</w:t>
      </w:r>
    </w:p>
    <w:p>
      <w:pPr>
        <w:pStyle w:val="BodyText"/>
        <w:spacing w:line="213" w:lineRule="auto" w:before="138"/>
        <w:ind w:left="2472" w:right="258"/>
      </w:pPr>
      <w:r>
        <w:rPr>
          <w:color w:val="231F20"/>
        </w:rPr>
        <w:t>A </w:t>
      </w:r>
      <w:r>
        <w:rPr>
          <w:rFonts w:ascii="Book Antiqua"/>
          <w:i/>
          <w:color w:val="231F20"/>
        </w:rPr>
        <w:t>policy </w:t>
      </w:r>
      <w:r>
        <w:rPr>
          <w:color w:val="231F20"/>
        </w:rPr>
        <w:t>is a logical expression that describes a series, or </w:t>
      </w:r>
      <w:r>
        <w:rPr>
          <w:rFonts w:ascii="Book Antiqua"/>
          <w:i/>
          <w:color w:val="231F20"/>
        </w:rPr>
        <w:t>workflow</w:t>
      </w:r>
      <w:r>
        <w:rPr>
          <w:color w:val="231F20"/>
        </w:rPr>
        <w:t>, of automated</w:t>
      </w:r>
      <w:r>
        <w:rPr>
          <w:color w:val="231F20"/>
          <w:spacing w:val="40"/>
        </w:rPr>
        <w:t> </w:t>
      </w:r>
      <w:r>
        <w:rPr>
          <w:color w:val="231F20"/>
        </w:rPr>
        <w:t>steps, called </w:t>
      </w:r>
      <w:r>
        <w:rPr>
          <w:rFonts w:ascii="Book Antiqua"/>
          <w:i/>
          <w:color w:val="231F20"/>
        </w:rPr>
        <w:t>activities</w:t>
      </w:r>
      <w:r>
        <w:rPr>
          <w:color w:val="231F20"/>
        </w:rPr>
        <w:t>, whose order of execution you control. You can create policies that implement fully automated workflow strategies and policies that require user </w:t>
      </w:r>
      <w:r>
        <w:rPr>
          <w:color w:val="231F20"/>
          <w:spacing w:val="-2"/>
        </w:rPr>
        <w:t>intervention.</w:t>
      </w:r>
    </w:p>
    <w:p>
      <w:pPr>
        <w:pStyle w:val="Heading6"/>
        <w:spacing w:before="116"/>
      </w:pPr>
      <w:r>
        <w:rPr>
          <w:color w:val="231F20"/>
        </w:rPr>
        <w:t>Policy</w:t>
      </w:r>
      <w:r>
        <w:rPr>
          <w:color w:val="231F20"/>
          <w:spacing w:val="10"/>
        </w:rPr>
        <w:t> </w:t>
      </w:r>
      <w:r>
        <w:rPr>
          <w:color w:val="231F20"/>
          <w:spacing w:val="-2"/>
        </w:rPr>
        <w:t>workflow</w:t>
      </w:r>
    </w:p>
    <w:p>
      <w:pPr>
        <w:pStyle w:val="BodyText"/>
        <w:spacing w:line="213" w:lineRule="auto" w:before="12"/>
        <w:ind w:left="3190" w:right="385"/>
      </w:pPr>
      <w:r>
        <w:rPr>
          <w:color w:val="231F20"/>
        </w:rPr>
        <w:t>A policy begins by waiting for a situation to become true, then starts a series of actions. The simplest policy will simply wait until a situation is true and then take some action. For example, the predefined Windows OS policy named </w:t>
      </w:r>
      <w:r>
        <w:rPr>
          <w:rFonts w:ascii="Book Antiqua"/>
          <w:i/>
          <w:color w:val="231F20"/>
        </w:rPr>
        <w:t>NT Disk Busy </w:t>
      </w:r>
      <w:r>
        <w:rPr>
          <w:color w:val="231F20"/>
        </w:rPr>
        <w:t>is activated when </w:t>
      </w:r>
      <w:r>
        <w:rPr>
          <w:color w:val="231F20"/>
          <w:spacing w:val="15"/>
          <w:position w:val="-1"/>
        </w:rPr>
        <w:drawing>
          <wp:inline distT="0" distB="0" distL="0" distR="0">
            <wp:extent cx="101600" cy="95250"/>
            <wp:effectExtent l="0" t="0" r="0" b="0"/>
            <wp:docPr id="2668" name="Image 2668"/>
            <wp:cNvGraphicFramePr>
              <a:graphicFrameLocks/>
            </wp:cNvGraphicFramePr>
            <a:graphic>
              <a:graphicData uri="http://schemas.openxmlformats.org/drawingml/2006/picture">
                <pic:pic>
                  <pic:nvPicPr>
                    <pic:cNvPr id="2668" name="Image 2668"/>
                    <pic:cNvPicPr/>
                  </pic:nvPicPr>
                  <pic:blipFill>
                    <a:blip r:embed="rId216"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the </w:t>
      </w:r>
      <w:r>
        <w:rPr>
          <w:rFonts w:ascii="Book Antiqua"/>
          <w:i/>
          <w:color w:val="231F20"/>
        </w:rPr>
        <w:t>NT Percent Disk Time</w:t>
      </w:r>
      <w:r>
        <w:rPr>
          <w:rFonts w:ascii="Book Antiqua"/>
          <w:i/>
          <w:color w:val="231F20"/>
        </w:rPr>
        <w:t> </w:t>
      </w:r>
      <w:r>
        <w:rPr>
          <w:color w:val="231F20"/>
        </w:rPr>
        <w:t>situation becomes true (disk busy more than 95%). Then </w:t>
      </w:r>
      <w:r>
        <w:rPr>
          <w:color w:val="231F20"/>
          <w:spacing w:val="15"/>
          <w:position w:val="-1"/>
        </w:rPr>
        <w:drawing>
          <wp:inline distT="0" distB="0" distL="0" distR="0">
            <wp:extent cx="101600" cy="95250"/>
            <wp:effectExtent l="0" t="0" r="0" b="0"/>
            <wp:docPr id="2669" name="Image 2669"/>
            <wp:cNvGraphicFramePr>
              <a:graphicFrameLocks/>
            </wp:cNvGraphicFramePr>
            <a:graphic>
              <a:graphicData uri="http://schemas.openxmlformats.org/drawingml/2006/picture">
                <pic:pic>
                  <pic:nvPicPr>
                    <pic:cNvPr id="2669" name="Image 2669"/>
                    <pic:cNvPicPr/>
                  </pic:nvPicPr>
                  <pic:blipFill>
                    <a:blip r:embed="rId217"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0"/>
        </w:rPr>
        <w:t> </w:t>
      </w:r>
      <w:r>
        <w:rPr>
          <w:rFonts w:ascii="Book Antiqua"/>
          <w:i/>
          <w:color w:val="231F20"/>
        </w:rPr>
        <w:t>NT Missing</w:t>
      </w:r>
      <w:r>
        <w:rPr>
          <w:rFonts w:ascii="Book Antiqua"/>
          <w:i/>
          <w:color w:val="231F20"/>
        </w:rPr>
        <w:t> Process </w:t>
      </w:r>
      <w:r>
        <w:rPr>
          <w:color w:val="231F20"/>
        </w:rPr>
        <w:t>situation is evaluated. If the situation is true </w:t>
      </w:r>
      <w:r>
        <w:rPr>
          <w:color w:val="231F20"/>
          <w:spacing w:val="15"/>
          <w:position w:val="-1"/>
        </w:rPr>
        <w:drawing>
          <wp:inline distT="0" distB="0" distL="0" distR="0">
            <wp:extent cx="101600" cy="95250"/>
            <wp:effectExtent l="0" t="0" r="0" b="0"/>
            <wp:docPr id="2670" name="Image 2670"/>
            <wp:cNvGraphicFramePr>
              <a:graphicFrameLocks/>
            </wp:cNvGraphicFramePr>
            <a:graphic>
              <a:graphicData uri="http://schemas.openxmlformats.org/drawingml/2006/picture">
                <pic:pic>
                  <pic:nvPicPr>
                    <pic:cNvPr id="2670" name="Image 2670"/>
                    <pic:cNvPicPr/>
                  </pic:nvPicPr>
                  <pic:blipFill>
                    <a:blip r:embed="rId218"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6"/>
        </w:rPr>
        <w:t> </w:t>
      </w:r>
      <w:r>
        <w:rPr>
          <w:color w:val="231F20"/>
        </w:rPr>
        <w:t>, a script is run at 1</w:t>
      </w:r>
      <w:r>
        <w:rPr>
          <w:color w:val="231F20"/>
          <w:spacing w:val="40"/>
        </w:rPr>
        <w:t> </w:t>
      </w:r>
      <w:r>
        <w:rPr>
          <w:color w:val="231F20"/>
        </w:rPr>
        <w:t>A.M.; if the situation is false </w:t>
      </w:r>
      <w:r>
        <w:rPr>
          <w:color w:val="231F20"/>
          <w:spacing w:val="20"/>
          <w:position w:val="-1"/>
        </w:rPr>
        <w:drawing>
          <wp:inline distT="0" distB="0" distL="0" distR="0">
            <wp:extent cx="101600" cy="95250"/>
            <wp:effectExtent l="0" t="0" r="0" b="0"/>
            <wp:docPr id="2671" name="Image 2671"/>
            <wp:cNvGraphicFramePr>
              <a:graphicFrameLocks/>
            </wp:cNvGraphicFramePr>
            <a:graphic>
              <a:graphicData uri="http://schemas.openxmlformats.org/drawingml/2006/picture">
                <pic:pic>
                  <pic:nvPicPr>
                    <pic:cNvPr id="2671" name="Image 2671"/>
                    <pic:cNvPicPr/>
                  </pic:nvPicPr>
                  <pic:blipFill>
                    <a:blip r:embed="rId415" cstate="print"/>
                    <a:stretch>
                      <a:fillRect/>
                    </a:stretch>
                  </pic:blipFill>
                  <pic:spPr>
                    <a:xfrm>
                      <a:off x="0" y="0"/>
                      <a:ext cx="101600" cy="95250"/>
                    </a:xfrm>
                    <a:prstGeom prst="rect">
                      <a:avLst/>
                    </a:prstGeom>
                  </pic:spPr>
                </pic:pic>
              </a:graphicData>
            </a:graphic>
          </wp:inline>
        </w:drawing>
      </w:r>
      <w:r>
        <w:rPr>
          <w:color w:val="231F20"/>
          <w:spacing w:val="20"/>
          <w:position w:val="-1"/>
        </w:rPr>
      </w:r>
      <w:r>
        <w:rPr>
          <w:rFonts w:ascii="Times New Roman"/>
          <w:color w:val="231F20"/>
          <w:spacing w:val="-21"/>
        </w:rPr>
        <w:t> </w:t>
      </w:r>
      <w:r>
        <w:rPr>
          <w:color w:val="231F20"/>
        </w:rPr>
        <w:t>, the </w:t>
      </w:r>
      <w:r>
        <w:rPr>
          <w:rFonts w:ascii="Arial"/>
          <w:color w:val="231F20"/>
        </w:rPr>
        <w:t>net </w:t>
      </w:r>
      <w:r>
        <w:rPr>
          <w:rFonts w:ascii="Arial"/>
          <w:color w:val="231F20"/>
          <w:w w:val="105"/>
        </w:rPr>
        <w:t>start </w:t>
      </w:r>
      <w:r>
        <w:rPr>
          <w:rFonts w:ascii="Arial"/>
          <w:color w:val="231F20"/>
        </w:rPr>
        <w:t>command </w:t>
      </w:r>
      <w:r>
        <w:rPr>
          <w:color w:val="231F20"/>
        </w:rPr>
        <w:t>is run to start that service;</w:t>
      </w:r>
      <w:r>
        <w:rPr>
          <w:color w:val="231F20"/>
          <w:spacing w:val="26"/>
        </w:rPr>
        <w:t> </w:t>
      </w:r>
      <w:r>
        <w:rPr>
          <w:color w:val="231F20"/>
        </w:rPr>
        <w:t>if</w:t>
      </w:r>
      <w:r>
        <w:rPr>
          <w:color w:val="231F20"/>
          <w:spacing w:val="26"/>
        </w:rPr>
        <w:t> </w:t>
      </w:r>
      <w:r>
        <w:rPr>
          <w:color w:val="231F20"/>
        </w:rPr>
        <w:t>it</w:t>
      </w:r>
      <w:r>
        <w:rPr>
          <w:color w:val="231F20"/>
          <w:spacing w:val="26"/>
        </w:rPr>
        <w:t> </w:t>
      </w:r>
      <w:r>
        <w:rPr>
          <w:color w:val="231F20"/>
        </w:rPr>
        <w:t>is</w:t>
      </w:r>
      <w:r>
        <w:rPr>
          <w:color w:val="231F20"/>
          <w:spacing w:val="26"/>
        </w:rPr>
        <w:t> </w:t>
      </w:r>
      <w:r>
        <w:rPr>
          <w:color w:val="231F20"/>
        </w:rPr>
        <w:t>in</w:t>
      </w:r>
      <w:r>
        <w:rPr>
          <w:color w:val="231F20"/>
          <w:spacing w:val="26"/>
        </w:rPr>
        <w:t> </w:t>
      </w:r>
      <w:r>
        <w:rPr>
          <w:color w:val="231F20"/>
        </w:rPr>
        <w:t>error </w:t>
      </w:r>
      <w:r>
        <w:rPr>
          <w:color w:val="231F20"/>
          <w:spacing w:val="15"/>
          <w:position w:val="-1"/>
        </w:rPr>
        <w:drawing>
          <wp:inline distT="0" distB="0" distL="0" distR="0">
            <wp:extent cx="101600" cy="95250"/>
            <wp:effectExtent l="0" t="0" r="0" b="0"/>
            <wp:docPr id="2672" name="Image 2672"/>
            <wp:cNvGraphicFramePr>
              <a:graphicFrameLocks/>
            </wp:cNvGraphicFramePr>
            <a:graphic>
              <a:graphicData uri="http://schemas.openxmlformats.org/drawingml/2006/picture">
                <pic:pic>
                  <pic:nvPicPr>
                    <pic:cNvPr id="2672" name="Image 2672"/>
                    <pic:cNvPicPr/>
                  </pic:nvPicPr>
                  <pic:blipFill>
                    <a:blip r:embed="rId416"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1"/>
        </w:rPr>
        <w:t> </w:t>
      </w:r>
      <w:r>
        <w:rPr>
          <w:color w:val="231F20"/>
        </w:rPr>
        <w:t>,</w:t>
      </w:r>
      <w:r>
        <w:rPr>
          <w:color w:val="231F20"/>
          <w:spacing w:val="26"/>
        </w:rPr>
        <w:t> </w:t>
      </w:r>
      <w:r>
        <w:rPr>
          <w:color w:val="231F20"/>
        </w:rPr>
        <w:t>a</w:t>
      </w:r>
      <w:r>
        <w:rPr>
          <w:color w:val="231F20"/>
          <w:spacing w:val="26"/>
        </w:rPr>
        <w:t> </w:t>
      </w:r>
      <w:r>
        <w:rPr>
          <w:color w:val="231F20"/>
        </w:rPr>
        <w:t>script</w:t>
      </w:r>
      <w:r>
        <w:rPr>
          <w:color w:val="231F20"/>
          <w:spacing w:val="26"/>
        </w:rPr>
        <w:t> </w:t>
      </w:r>
      <w:r>
        <w:rPr>
          <w:color w:val="231F20"/>
        </w:rPr>
        <w:t>is</w:t>
      </w:r>
      <w:r>
        <w:rPr>
          <w:color w:val="231F20"/>
          <w:spacing w:val="26"/>
        </w:rPr>
        <w:t> </w:t>
      </w:r>
      <w:r>
        <w:rPr>
          <w:color w:val="231F20"/>
        </w:rPr>
        <w:t>run</w:t>
      </w:r>
      <w:r>
        <w:rPr>
          <w:color w:val="231F20"/>
          <w:spacing w:val="26"/>
        </w:rPr>
        <w:t> </w:t>
      </w:r>
      <w:r>
        <w:rPr>
          <w:color w:val="231F20"/>
        </w:rPr>
        <w:t>at</w:t>
      </w:r>
      <w:r>
        <w:rPr>
          <w:color w:val="231F20"/>
          <w:spacing w:val="26"/>
        </w:rPr>
        <w:t> </w:t>
      </w:r>
      <w:r>
        <w:rPr>
          <w:color w:val="231F20"/>
        </w:rPr>
        <w:t>1 A.M.</w:t>
      </w:r>
    </w:p>
    <w:p>
      <w:pPr>
        <w:pStyle w:val="BodyText"/>
        <w:spacing w:before="11"/>
        <w:rPr>
          <w:sz w:val="15"/>
        </w:rPr>
      </w:pPr>
      <w:r>
        <w:rPr/>
        <w:drawing>
          <wp:anchor distT="0" distB="0" distL="0" distR="0" allowOverlap="1" layoutInCell="1" locked="0" behindDoc="1" simplePos="0" relativeHeight="487735808">
            <wp:simplePos x="0" y="0"/>
            <wp:positionH relativeFrom="page">
              <wp:posOffset>3361303</wp:posOffset>
            </wp:positionH>
            <wp:positionV relativeFrom="paragraph">
              <wp:posOffset>150778</wp:posOffset>
            </wp:positionV>
            <wp:extent cx="2910078" cy="1065752"/>
            <wp:effectExtent l="0" t="0" r="0" b="0"/>
            <wp:wrapTopAndBottom/>
            <wp:docPr id="2673" name="Image 2673"/>
            <wp:cNvGraphicFramePr>
              <a:graphicFrameLocks/>
            </wp:cNvGraphicFramePr>
            <a:graphic>
              <a:graphicData uri="http://schemas.openxmlformats.org/drawingml/2006/picture">
                <pic:pic>
                  <pic:nvPicPr>
                    <pic:cNvPr id="2673" name="Image 2673"/>
                    <pic:cNvPicPr/>
                  </pic:nvPicPr>
                  <pic:blipFill>
                    <a:blip r:embed="rId417" cstate="print"/>
                    <a:stretch>
                      <a:fillRect/>
                    </a:stretch>
                  </pic:blipFill>
                  <pic:spPr>
                    <a:xfrm>
                      <a:off x="0" y="0"/>
                      <a:ext cx="2910078" cy="1065752"/>
                    </a:xfrm>
                    <a:prstGeom prst="rect">
                      <a:avLst/>
                    </a:prstGeom>
                  </pic:spPr>
                </pic:pic>
              </a:graphicData>
            </a:graphic>
          </wp:anchor>
        </w:drawing>
      </w:r>
    </w:p>
    <w:p>
      <w:pPr>
        <w:pStyle w:val="Heading6"/>
        <w:spacing w:before="232"/>
      </w:pPr>
      <w:r>
        <w:rPr>
          <w:color w:val="231F20"/>
          <w:spacing w:val="-2"/>
        </w:rPr>
        <w:t>Workflow</w:t>
      </w:r>
      <w:r>
        <w:rPr>
          <w:color w:val="231F20"/>
          <w:spacing w:val="7"/>
        </w:rPr>
        <w:t> </w:t>
      </w:r>
      <w:r>
        <w:rPr>
          <w:color w:val="231F20"/>
          <w:spacing w:val="-2"/>
        </w:rPr>
        <w:t>activities</w:t>
      </w:r>
    </w:p>
    <w:p>
      <w:pPr>
        <w:pStyle w:val="BodyText"/>
        <w:spacing w:line="213" w:lineRule="auto" w:before="12"/>
        <w:ind w:left="3190" w:right="318"/>
      </w:pPr>
      <w:r>
        <w:rPr>
          <w:color w:val="231F20"/>
        </w:rPr>
        <w:t>A policy consists of activities that can automate responses to events or routine operator tasks. An activity can be an activity program, a situation,</w:t>
      </w:r>
      <w:r>
        <w:rPr>
          <w:color w:val="231F20"/>
          <w:spacing w:val="40"/>
        </w:rPr>
        <w:t> </w:t>
      </w:r>
      <w:r>
        <w:rPr>
          <w:color w:val="231F20"/>
        </w:rPr>
        <w:t>or another policy. The workflow elements, activities and </w:t>
      </w:r>
      <w:r>
        <w:rPr>
          <w:color w:val="231F20"/>
          <w:spacing w:val="15"/>
          <w:position w:val="1"/>
        </w:rPr>
        <w:drawing>
          <wp:inline distT="0" distB="0" distL="0" distR="0">
            <wp:extent cx="311150" cy="63500"/>
            <wp:effectExtent l="0" t="0" r="0" b="0"/>
            <wp:docPr id="2674" name="Image 2674"/>
            <wp:cNvGraphicFramePr>
              <a:graphicFrameLocks/>
            </wp:cNvGraphicFramePr>
            <a:graphic>
              <a:graphicData uri="http://schemas.openxmlformats.org/drawingml/2006/picture">
                <pic:pic>
                  <pic:nvPicPr>
                    <pic:cNvPr id="2674" name="Image 2674"/>
                    <pic:cNvPicPr/>
                  </pic:nvPicPr>
                  <pic:blipFill>
                    <a:blip r:embed="rId418" cstate="print"/>
                    <a:stretch>
                      <a:fillRect/>
                    </a:stretch>
                  </pic:blipFill>
                  <pic:spPr>
                    <a:xfrm>
                      <a:off x="0" y="0"/>
                      <a:ext cx="311150" cy="635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connectors, are represented in the Grapher view in the Workflow window much as</w:t>
      </w:r>
      <w:r>
        <w:rPr>
          <w:color w:val="231F20"/>
          <w:spacing w:val="80"/>
        </w:rPr>
        <w:t> </w:t>
      </w:r>
      <w:r>
        <w:rPr>
          <w:color w:val="231F20"/>
        </w:rPr>
        <w:t>they would be in a flow chart: Some activities flow directly to the next activity, while others branch off depending on the result of the previous </w:t>
      </w:r>
      <w:r>
        <w:rPr>
          <w:color w:val="231F20"/>
          <w:spacing w:val="-2"/>
        </w:rPr>
        <w:t>activity.</w:t>
      </w:r>
    </w:p>
    <w:p>
      <w:pPr>
        <w:pStyle w:val="BodyText"/>
        <w:spacing w:before="92"/>
        <w:ind w:left="3190"/>
      </w:pPr>
      <w:r>
        <w:rPr>
          <w:color w:val="231F20"/>
        </w:rPr>
        <w:t>Policies</w:t>
      </w:r>
      <w:r>
        <w:rPr>
          <w:color w:val="231F20"/>
          <w:spacing w:val="11"/>
        </w:rPr>
        <w:t> </w:t>
      </w:r>
      <w:r>
        <w:rPr>
          <w:color w:val="231F20"/>
        </w:rPr>
        <w:t>can</w:t>
      </w:r>
      <w:r>
        <w:rPr>
          <w:color w:val="231F20"/>
          <w:spacing w:val="12"/>
        </w:rPr>
        <w:t> </w:t>
      </w:r>
      <w:r>
        <w:rPr>
          <w:color w:val="231F20"/>
        </w:rPr>
        <w:t>have</w:t>
      </w:r>
      <w:r>
        <w:rPr>
          <w:color w:val="231F20"/>
          <w:spacing w:val="12"/>
        </w:rPr>
        <w:t> </w:t>
      </w:r>
      <w:r>
        <w:rPr>
          <w:color w:val="231F20"/>
        </w:rPr>
        <w:t>these</w:t>
      </w:r>
      <w:r>
        <w:rPr>
          <w:color w:val="231F20"/>
          <w:spacing w:val="12"/>
        </w:rPr>
        <w:t> </w:t>
      </w:r>
      <w:r>
        <w:rPr>
          <w:color w:val="231F20"/>
        </w:rPr>
        <w:t>types</w:t>
      </w:r>
      <w:r>
        <w:rPr>
          <w:color w:val="231F20"/>
          <w:spacing w:val="12"/>
        </w:rPr>
        <w:t> </w:t>
      </w:r>
      <w:r>
        <w:rPr>
          <w:color w:val="231F20"/>
        </w:rPr>
        <w:t>of</w:t>
      </w:r>
      <w:r>
        <w:rPr>
          <w:color w:val="231F20"/>
          <w:spacing w:val="11"/>
        </w:rPr>
        <w:t> </w:t>
      </w:r>
      <w:r>
        <w:rPr>
          <w:color w:val="231F20"/>
          <w:spacing w:val="-2"/>
        </w:rPr>
        <w:t>activities:</w:t>
      </w:r>
    </w:p>
    <w:p>
      <w:pPr>
        <w:pStyle w:val="BodyText"/>
        <w:spacing w:line="213" w:lineRule="auto" w:before="52"/>
        <w:ind w:left="3406" w:right="274" w:hanging="216"/>
      </w:pPr>
      <w:r>
        <w:rPr>
          <w:rFonts w:ascii="Futura MdCn BT"/>
          <w:color w:val="231F20"/>
        </w:rPr>
        <w:t>v</w:t>
      </w:r>
      <w:r>
        <w:rPr>
          <w:rFonts w:ascii="Futura MdCn BT"/>
          <w:color w:val="231F20"/>
          <w:spacing w:val="80"/>
        </w:rPr>
        <w:t> </w:t>
      </w:r>
      <w:r>
        <w:rPr>
          <w:color w:val="231F20"/>
        </w:rPr>
        <w:t>Predecessor activities, which directly precede other activities; successor activities, which directly follow other activities. They act on the basis </w:t>
      </w:r>
      <w:r>
        <w:rPr>
          <w:color w:val="231F20"/>
        </w:rPr>
        <w:t>of</w:t>
      </w:r>
      <w:r>
        <w:rPr>
          <w:color w:val="231F20"/>
        </w:rPr>
        <w:t> the </w:t>
      </w:r>
      <w:r>
        <w:rPr>
          <w:rFonts w:ascii="Book Antiqua"/>
          <w:i/>
          <w:color w:val="231F20"/>
        </w:rPr>
        <w:t>endcode </w:t>
      </w:r>
      <w:r>
        <w:rPr>
          <w:color w:val="231F20"/>
        </w:rPr>
        <w:t>of their predecessor.</w:t>
      </w:r>
    </w:p>
    <w:p>
      <w:pPr>
        <w:pStyle w:val="BodyText"/>
        <w:spacing w:before="35"/>
        <w:ind w:left="3190"/>
      </w:pPr>
      <w:r>
        <w:rPr>
          <w:rFonts w:ascii="Futura MdCn BT"/>
          <w:color w:val="231F20"/>
        </w:rPr>
        <w:t>v</w:t>
      </w:r>
      <w:r>
        <w:rPr>
          <w:rFonts w:ascii="Futura MdCn BT"/>
          <w:color w:val="231F20"/>
          <w:spacing w:val="31"/>
        </w:rPr>
        <w:t>  </w:t>
      </w:r>
      <w:r>
        <w:rPr>
          <w:color w:val="231F20"/>
        </w:rPr>
        <w:t>Parallel</w:t>
      </w:r>
      <w:r>
        <w:rPr>
          <w:color w:val="231F20"/>
          <w:spacing w:val="14"/>
        </w:rPr>
        <w:t> </w:t>
      </w:r>
      <w:r>
        <w:rPr>
          <w:color w:val="231F20"/>
        </w:rPr>
        <w:t>activities</w:t>
      </w:r>
      <w:r>
        <w:rPr>
          <w:color w:val="231F20"/>
          <w:spacing w:val="12"/>
        </w:rPr>
        <w:t> </w:t>
      </w:r>
      <w:r>
        <w:rPr>
          <w:color w:val="231F20"/>
        </w:rPr>
        <w:t>that</w:t>
      </w:r>
      <w:r>
        <w:rPr>
          <w:color w:val="231F20"/>
          <w:spacing w:val="13"/>
        </w:rPr>
        <w:t> </w:t>
      </w:r>
      <w:r>
        <w:rPr>
          <w:color w:val="231F20"/>
        </w:rPr>
        <w:t>run</w:t>
      </w:r>
      <w:r>
        <w:rPr>
          <w:color w:val="231F20"/>
          <w:spacing w:val="12"/>
        </w:rPr>
        <w:t> </w:t>
      </w:r>
      <w:r>
        <w:rPr>
          <w:color w:val="231F20"/>
        </w:rPr>
        <w:t>at</w:t>
      </w:r>
      <w:r>
        <w:rPr>
          <w:color w:val="231F20"/>
          <w:spacing w:val="13"/>
        </w:rPr>
        <w:t> </w:t>
      </w:r>
      <w:r>
        <w:rPr>
          <w:color w:val="231F20"/>
        </w:rPr>
        <w:t>the</w:t>
      </w:r>
      <w:r>
        <w:rPr>
          <w:color w:val="231F20"/>
          <w:spacing w:val="12"/>
        </w:rPr>
        <w:t> </w:t>
      </w:r>
      <w:r>
        <w:rPr>
          <w:color w:val="231F20"/>
        </w:rPr>
        <w:t>same</w:t>
      </w:r>
      <w:r>
        <w:rPr>
          <w:color w:val="231F20"/>
          <w:spacing w:val="13"/>
        </w:rPr>
        <w:t> </w:t>
      </w:r>
      <w:r>
        <w:rPr>
          <w:color w:val="231F20"/>
          <w:spacing w:val="-2"/>
        </w:rPr>
        <w:t>time.</w:t>
      </w:r>
    </w:p>
    <w:p>
      <w:pPr>
        <w:pStyle w:val="BodyText"/>
        <w:spacing w:before="30"/>
        <w:ind w:left="3190"/>
      </w:pPr>
      <w:r>
        <w:rPr>
          <w:rFonts w:ascii="Futura MdCn BT"/>
          <w:color w:val="231F20"/>
        </w:rPr>
        <w:t>v</w:t>
      </w:r>
      <w:r>
        <w:rPr>
          <w:rFonts w:ascii="Futura MdCn BT"/>
          <w:color w:val="231F20"/>
          <w:spacing w:val="31"/>
        </w:rPr>
        <w:t>  </w:t>
      </w:r>
      <w:r>
        <w:rPr>
          <w:color w:val="231F20"/>
        </w:rPr>
        <w:t>Sequential</w:t>
      </w:r>
      <w:r>
        <w:rPr>
          <w:color w:val="231F20"/>
          <w:spacing w:val="14"/>
        </w:rPr>
        <w:t> </w:t>
      </w:r>
      <w:r>
        <w:rPr>
          <w:color w:val="231F20"/>
        </w:rPr>
        <w:t>activities</w:t>
      </w:r>
      <w:r>
        <w:rPr>
          <w:color w:val="231F20"/>
          <w:spacing w:val="13"/>
        </w:rPr>
        <w:t> </w:t>
      </w:r>
      <w:r>
        <w:rPr>
          <w:color w:val="231F20"/>
        </w:rPr>
        <w:t>that</w:t>
      </w:r>
      <w:r>
        <w:rPr>
          <w:color w:val="231F20"/>
          <w:spacing w:val="13"/>
        </w:rPr>
        <w:t> </w:t>
      </w:r>
      <w:r>
        <w:rPr>
          <w:color w:val="231F20"/>
        </w:rPr>
        <w:t>run</w:t>
      </w:r>
      <w:r>
        <w:rPr>
          <w:color w:val="231F20"/>
          <w:spacing w:val="12"/>
        </w:rPr>
        <w:t> </w:t>
      </w:r>
      <w:r>
        <w:rPr>
          <w:color w:val="231F20"/>
        </w:rPr>
        <w:t>one</w:t>
      </w:r>
      <w:r>
        <w:rPr>
          <w:color w:val="231F20"/>
          <w:spacing w:val="13"/>
        </w:rPr>
        <w:t> </w:t>
      </w:r>
      <w:r>
        <w:rPr>
          <w:color w:val="231F20"/>
        </w:rPr>
        <w:t>at</w:t>
      </w:r>
      <w:r>
        <w:rPr>
          <w:color w:val="231F20"/>
          <w:spacing w:val="13"/>
        </w:rPr>
        <w:t> </w:t>
      </w:r>
      <w:r>
        <w:rPr>
          <w:color w:val="231F20"/>
        </w:rPr>
        <w:t>a</w:t>
      </w:r>
      <w:r>
        <w:rPr>
          <w:color w:val="231F20"/>
          <w:spacing w:val="12"/>
        </w:rPr>
        <w:t> </w:t>
      </w:r>
      <w:r>
        <w:rPr>
          <w:color w:val="231F20"/>
        </w:rPr>
        <w:t>time</w:t>
      </w:r>
      <w:r>
        <w:rPr>
          <w:color w:val="231F20"/>
          <w:spacing w:val="13"/>
        </w:rPr>
        <w:t> </w:t>
      </w:r>
      <w:r>
        <w:rPr>
          <w:color w:val="231F20"/>
        </w:rPr>
        <w:t>in</w:t>
      </w:r>
      <w:r>
        <w:rPr>
          <w:color w:val="231F20"/>
          <w:spacing w:val="13"/>
        </w:rPr>
        <w:t> </w:t>
      </w:r>
      <w:r>
        <w:rPr>
          <w:color w:val="231F20"/>
          <w:spacing w:val="-2"/>
        </w:rPr>
        <w:t>succession.</w:t>
      </w:r>
    </w:p>
    <w:p>
      <w:pPr>
        <w:pStyle w:val="Heading6"/>
        <w:spacing w:before="111"/>
      </w:pPr>
      <w:r>
        <w:rPr>
          <w:color w:val="231F20"/>
          <w:spacing w:val="-2"/>
        </w:rPr>
        <w:t>Workflow</w:t>
      </w:r>
      <w:r>
        <w:rPr>
          <w:color w:val="231F20"/>
          <w:spacing w:val="7"/>
        </w:rPr>
        <w:t> </w:t>
      </w:r>
      <w:r>
        <w:rPr>
          <w:color w:val="231F20"/>
          <w:spacing w:val="-2"/>
        </w:rPr>
        <w:t>endcodes</w:t>
      </w:r>
    </w:p>
    <w:p>
      <w:pPr>
        <w:pStyle w:val="BodyText"/>
        <w:spacing w:line="213" w:lineRule="auto" w:before="11"/>
        <w:ind w:left="3190"/>
      </w:pPr>
      <w:r>
        <w:rPr>
          <w:color w:val="231F20"/>
        </w:rPr>
        <w:t>When an activity ends, it returns an endcode. Endcodes control the flow </w:t>
      </w:r>
      <w:r>
        <w:rPr>
          <w:color w:val="231F20"/>
        </w:rPr>
        <w:t>of activities in a policy.</w:t>
      </w:r>
    </w:p>
    <w:p>
      <w:pPr>
        <w:pStyle w:val="Heading6"/>
      </w:pPr>
      <w:r>
        <w:rPr>
          <w:color w:val="231F20"/>
        </w:rPr>
        <w:t>Policy</w:t>
      </w:r>
      <w:r>
        <w:rPr>
          <w:color w:val="231F20"/>
          <w:spacing w:val="10"/>
        </w:rPr>
        <w:t> </w:t>
      </w:r>
      <w:r>
        <w:rPr>
          <w:color w:val="231F20"/>
          <w:spacing w:val="-2"/>
        </w:rPr>
        <w:t>distribution</w:t>
      </w:r>
    </w:p>
    <w:p>
      <w:pPr>
        <w:pStyle w:val="BodyText"/>
        <w:spacing w:line="258" w:lineRule="exact"/>
        <w:ind w:left="3190"/>
      </w:pPr>
      <w:r>
        <w:rPr>
          <w:color w:val="231F20"/>
        </w:rPr>
        <w:t>Policies</w:t>
      </w:r>
      <w:r>
        <w:rPr>
          <w:color w:val="231F20"/>
          <w:spacing w:val="10"/>
        </w:rPr>
        <w:t> </w:t>
      </w:r>
      <w:r>
        <w:rPr>
          <w:color w:val="231F20"/>
        </w:rPr>
        <w:t>are</w:t>
      </w:r>
      <w:r>
        <w:rPr>
          <w:color w:val="231F20"/>
          <w:spacing w:val="11"/>
        </w:rPr>
        <w:t> </w:t>
      </w:r>
      <w:r>
        <w:rPr>
          <w:color w:val="231F20"/>
        </w:rPr>
        <w:t>distributed</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managed</w:t>
      </w:r>
      <w:r>
        <w:rPr>
          <w:color w:val="231F20"/>
          <w:spacing w:val="11"/>
        </w:rPr>
        <w:t> </w:t>
      </w:r>
      <w:r>
        <w:rPr>
          <w:color w:val="231F20"/>
        </w:rPr>
        <w:t>systems</w:t>
      </w:r>
      <w:r>
        <w:rPr>
          <w:color w:val="231F20"/>
          <w:spacing w:val="11"/>
        </w:rPr>
        <w:t> </w:t>
      </w:r>
      <w:r>
        <w:rPr>
          <w:color w:val="231F20"/>
        </w:rPr>
        <w:t>that</w:t>
      </w:r>
      <w:r>
        <w:rPr>
          <w:color w:val="231F20"/>
          <w:spacing w:val="11"/>
        </w:rPr>
        <w:t> </w:t>
      </w:r>
      <w:r>
        <w:rPr>
          <w:color w:val="231F20"/>
        </w:rPr>
        <w:t>you</w:t>
      </w:r>
      <w:r>
        <w:rPr>
          <w:color w:val="231F20"/>
          <w:spacing w:val="11"/>
        </w:rPr>
        <w:t> </w:t>
      </w:r>
      <w:r>
        <w:rPr>
          <w:color w:val="231F20"/>
        </w:rPr>
        <w:t>want</w:t>
      </w:r>
      <w:r>
        <w:rPr>
          <w:color w:val="231F20"/>
          <w:spacing w:val="10"/>
        </w:rPr>
        <w:t> </w:t>
      </w:r>
      <w:r>
        <w:rPr>
          <w:color w:val="231F20"/>
        </w:rPr>
        <w:t>to</w:t>
      </w:r>
      <w:r>
        <w:rPr>
          <w:color w:val="231F20"/>
          <w:spacing w:val="11"/>
        </w:rPr>
        <w:t> </w:t>
      </w:r>
      <w:r>
        <w:rPr>
          <w:color w:val="231F20"/>
          <w:spacing w:val="-2"/>
        </w:rPr>
        <w:t>monitor</w:t>
      </w:r>
    </w:p>
    <w:p>
      <w:pPr>
        <w:spacing w:after="0" w:line="258" w:lineRule="exact"/>
        <w:sectPr>
          <w:footerReference w:type="default" r:id="rId413"/>
          <w:footerReference w:type="even" r:id="rId414"/>
          <w:pgSz w:w="12240" w:h="15840"/>
          <w:pgMar w:header="0" w:footer="736" w:top="1300" w:bottom="920" w:left="1000" w:right="1060"/>
          <w:pgNumType w:start="323"/>
        </w:sectPr>
      </w:pPr>
    </w:p>
    <w:p>
      <w:pPr>
        <w:pStyle w:val="BodyText"/>
        <w:spacing w:line="213" w:lineRule="auto" w:before="85"/>
        <w:ind w:left="2951" w:right="545"/>
      </w:pPr>
      <w:bookmarkStart w:name="_bookmark237" w:id="495"/>
      <w:bookmarkEnd w:id="495"/>
      <w:r>
        <w:rPr/>
      </w:r>
      <w:r>
        <w:rPr>
          <w:color w:val="231F20"/>
        </w:rPr>
        <w:t>and send commands to and controlled by the Tivoli Enterprise </w:t>
      </w:r>
      <w:r>
        <w:rPr>
          <w:color w:val="231F20"/>
        </w:rPr>
        <w:t>Monitoring Server that the monitoring agents connect to.</w:t>
      </w:r>
    </w:p>
    <w:p>
      <w:pPr>
        <w:pStyle w:val="BodyText"/>
        <w:spacing w:line="211" w:lineRule="auto" w:before="125"/>
        <w:ind w:left="2951" w:right="636"/>
      </w:pPr>
      <w:r>
        <w:rPr>
          <w:color w:val="231F20"/>
        </w:rPr>
        <w:t>A policy starts after you save it if </w:t>
      </w:r>
      <w:r>
        <w:rPr>
          <w:color w:val="231F20"/>
          <w:spacing w:val="15"/>
        </w:rPr>
        <w:drawing>
          <wp:inline distT="0" distB="0" distL="0" distR="0">
            <wp:extent cx="82550" cy="82550"/>
            <wp:effectExtent l="0" t="0" r="0" b="0"/>
            <wp:docPr id="2675" name="Image 2675"/>
            <wp:cNvGraphicFramePr>
              <a:graphicFrameLocks/>
            </wp:cNvGraphicFramePr>
            <a:graphic>
              <a:graphicData uri="http://schemas.openxmlformats.org/drawingml/2006/picture">
                <pic:pic>
                  <pic:nvPicPr>
                    <pic:cNvPr id="2675" name="Image 2675"/>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Auto start </w:t>
      </w:r>
      <w:r>
        <w:rPr>
          <w:color w:val="231F20"/>
        </w:rPr>
        <w:t>is enabled (the default setting). A policy also starts after you select it and click</w:t>
      </w:r>
      <w:r>
        <w:rPr>
          <w:color w:val="231F20"/>
          <w:spacing w:val="40"/>
        </w:rPr>
        <w:t> </w:t>
      </w:r>
      <w:r>
        <w:rPr>
          <w:color w:val="231F20"/>
          <w:spacing w:val="15"/>
          <w:position w:val="-1"/>
        </w:rPr>
        <w:drawing>
          <wp:inline distT="0" distB="0" distL="0" distR="0">
            <wp:extent cx="63500" cy="101600"/>
            <wp:effectExtent l="0" t="0" r="0" b="0"/>
            <wp:docPr id="2676" name="Image 2676"/>
            <wp:cNvGraphicFramePr>
              <a:graphicFrameLocks/>
            </wp:cNvGraphicFramePr>
            <a:graphic>
              <a:graphicData uri="http://schemas.openxmlformats.org/drawingml/2006/picture">
                <pic:pic>
                  <pic:nvPicPr>
                    <pic:cNvPr id="2676" name="Image 2676"/>
                    <pic:cNvPicPr/>
                  </pic:nvPicPr>
                  <pic:blipFill>
                    <a:blip r:embed="rId376" cstate="print"/>
                    <a:stretch>
                      <a:fillRect/>
                    </a:stretch>
                  </pic:blipFill>
                  <pic:spPr>
                    <a:xfrm>
                      <a:off x="0" y="0"/>
                      <a:ext cx="63500" cy="101600"/>
                    </a:xfrm>
                    <a:prstGeom prst="rect">
                      <a:avLst/>
                    </a:prstGeom>
                  </pic:spPr>
                </pic:pic>
              </a:graphicData>
            </a:graphic>
          </wp:inline>
        </w:drawing>
      </w:r>
      <w:r>
        <w:rPr>
          <w:color w:val="231F20"/>
          <w:spacing w:val="15"/>
          <w:position w:val="-1"/>
        </w:rPr>
      </w:r>
      <w:r>
        <w:rPr>
          <w:rFonts w:ascii="Times New Roman"/>
          <w:color w:val="231F20"/>
          <w:spacing w:val="-8"/>
        </w:rPr>
        <w:t> </w:t>
      </w:r>
      <w:r>
        <w:rPr>
          <w:rFonts w:ascii="Book Antiqua"/>
          <w:b/>
          <w:color w:val="231F20"/>
        </w:rPr>
        <w:t>Start Policy </w:t>
      </w:r>
      <w:r>
        <w:rPr>
          <w:color w:val="231F20"/>
        </w:rPr>
        <w:t>in the Workflows editor or Manage Policies at Managed Systems window.</w:t>
      </w:r>
    </w:p>
    <w:p>
      <w:pPr>
        <w:pStyle w:val="BodyText"/>
        <w:spacing w:line="213" w:lineRule="auto" w:before="119"/>
        <w:ind w:left="2951" w:right="385"/>
      </w:pPr>
      <w:r>
        <w:rPr>
          <w:color w:val="231F20"/>
        </w:rPr>
        <w:t>If the policy distribution is changed manually or dynamically, the policy is restarted. Dynamic updates happen after a new agent comes online or </w:t>
      </w:r>
      <w:r>
        <w:rPr>
          <w:color w:val="231F20"/>
        </w:rPr>
        <w:t>after an agent connection switches from one monitoring server to another.</w:t>
      </w:r>
    </w:p>
    <w:p>
      <w:pPr>
        <w:pStyle w:val="Heading6"/>
        <w:spacing w:before="116"/>
        <w:ind w:left="2232"/>
      </w:pPr>
      <w:r>
        <w:rPr>
          <w:color w:val="231F20"/>
        </w:rPr>
        <w:t>Predefined</w:t>
      </w:r>
      <w:r>
        <w:rPr>
          <w:color w:val="231F20"/>
          <w:spacing w:val="5"/>
        </w:rPr>
        <w:t> </w:t>
      </w:r>
      <w:r>
        <w:rPr>
          <w:color w:val="231F20"/>
          <w:spacing w:val="-2"/>
        </w:rPr>
        <w:t>policies</w:t>
      </w:r>
    </w:p>
    <w:p>
      <w:pPr>
        <w:pStyle w:val="BodyText"/>
        <w:spacing w:line="213" w:lineRule="auto" w:before="12"/>
        <w:ind w:left="2951" w:right="491"/>
        <w:jc w:val="both"/>
      </w:pPr>
      <w:r>
        <w:rPr>
          <w:color w:val="231F20"/>
        </w:rPr>
        <w:t>Some monitoring agents provide predefined policies that you can use as </w:t>
      </w:r>
      <w:r>
        <w:rPr>
          <w:color w:val="231F20"/>
        </w:rPr>
        <w:t>is or</w:t>
      </w:r>
      <w:r>
        <w:rPr>
          <w:color w:val="231F20"/>
          <w:spacing w:val="14"/>
        </w:rPr>
        <w:t> </w:t>
      </w:r>
      <w:r>
        <w:rPr>
          <w:color w:val="231F20"/>
        </w:rPr>
        <w:t>modify</w:t>
      </w:r>
      <w:r>
        <w:rPr>
          <w:color w:val="231F20"/>
          <w:spacing w:val="14"/>
        </w:rPr>
        <w:t> </w:t>
      </w:r>
      <w:r>
        <w:rPr>
          <w:color w:val="231F20"/>
        </w:rPr>
        <w:t>for</w:t>
      </w:r>
      <w:r>
        <w:rPr>
          <w:color w:val="231F20"/>
          <w:spacing w:val="14"/>
        </w:rPr>
        <w:t> </w:t>
      </w:r>
      <w:r>
        <w:rPr>
          <w:color w:val="231F20"/>
        </w:rPr>
        <w:t>your</w:t>
      </w:r>
      <w:r>
        <w:rPr>
          <w:color w:val="231F20"/>
          <w:spacing w:val="14"/>
        </w:rPr>
        <w:t> </w:t>
      </w:r>
      <w:r>
        <w:rPr>
          <w:color w:val="231F20"/>
        </w:rPr>
        <w:t>environment.</w:t>
      </w:r>
      <w:r>
        <w:rPr>
          <w:color w:val="231F20"/>
          <w:spacing w:val="14"/>
        </w:rPr>
        <w:t> </w:t>
      </w:r>
      <w:r>
        <w:rPr>
          <w:color w:val="231F20"/>
        </w:rPr>
        <w:t>See</w:t>
      </w:r>
      <w:r>
        <w:rPr>
          <w:color w:val="231F20"/>
          <w:spacing w:val="14"/>
        </w:rPr>
        <w:t> </w:t>
      </w:r>
      <w:r>
        <w:rPr>
          <w:color w:val="231F20"/>
        </w:rPr>
        <w:t>the</w:t>
      </w:r>
      <w:r>
        <w:rPr>
          <w:color w:val="231F20"/>
          <w:spacing w:val="14"/>
        </w:rPr>
        <w:t> </w:t>
      </w:r>
      <w:r>
        <w:rPr>
          <w:color w:val="231F20"/>
        </w:rPr>
        <w:t>user's</w:t>
      </w:r>
      <w:r>
        <w:rPr>
          <w:color w:val="231F20"/>
          <w:spacing w:val="14"/>
        </w:rPr>
        <w:t> </w:t>
      </w:r>
      <w:r>
        <w:rPr>
          <w:color w:val="231F20"/>
        </w:rPr>
        <w:t>guide</w:t>
      </w:r>
      <w:r>
        <w:rPr>
          <w:color w:val="231F20"/>
          <w:spacing w:val="14"/>
        </w:rPr>
        <w:t> </w:t>
      </w:r>
      <w:r>
        <w:rPr>
          <w:color w:val="231F20"/>
        </w:rPr>
        <w:t>for</w:t>
      </w:r>
      <w:r>
        <w:rPr>
          <w:color w:val="231F20"/>
          <w:spacing w:val="14"/>
        </w:rPr>
        <w:t> </w:t>
      </w:r>
      <w:r>
        <w:rPr>
          <w:color w:val="231F20"/>
        </w:rPr>
        <w:t>your</w:t>
      </w:r>
      <w:r>
        <w:rPr>
          <w:color w:val="231F20"/>
          <w:spacing w:val="14"/>
        </w:rPr>
        <w:t> </w:t>
      </w:r>
      <w:r>
        <w:rPr>
          <w:color w:val="231F20"/>
        </w:rPr>
        <w:t>product</w:t>
      </w:r>
      <w:r>
        <w:rPr>
          <w:color w:val="231F20"/>
          <w:spacing w:val="14"/>
        </w:rPr>
        <w:t> </w:t>
      </w:r>
      <w:r>
        <w:rPr>
          <w:color w:val="231F20"/>
        </w:rPr>
        <w:t>for a description of any predefined policies.</w:t>
      </w:r>
    </w:p>
    <w:p>
      <w:pPr>
        <w:pStyle w:val="Heading3"/>
        <w:spacing w:before="216"/>
        <w:ind w:left="0" w:right="5913"/>
        <w:jc w:val="right"/>
      </w:pPr>
      <w:bookmarkStart w:name="Viewing policy details" w:id="496"/>
      <w:bookmarkEnd w:id="496"/>
      <w:r>
        <w:rPr>
          <w:b w:val="0"/>
        </w:rPr>
      </w:r>
      <w:r>
        <w:rPr>
          <w:color w:val="231F20"/>
        </w:rPr>
        <w:t>Viewing</w:t>
      </w:r>
      <w:r>
        <w:rPr>
          <w:color w:val="231F20"/>
          <w:spacing w:val="3"/>
        </w:rPr>
        <w:t> </w:t>
      </w:r>
      <w:r>
        <w:rPr>
          <w:color w:val="231F20"/>
        </w:rPr>
        <w:t>policy</w:t>
      </w:r>
      <w:r>
        <w:rPr>
          <w:color w:val="231F20"/>
          <w:spacing w:val="3"/>
        </w:rPr>
        <w:t> </w:t>
      </w:r>
      <w:r>
        <w:rPr>
          <w:color w:val="231F20"/>
          <w:spacing w:val="-2"/>
        </w:rPr>
        <w:t>details</w:t>
      </w:r>
    </w:p>
    <w:p>
      <w:pPr>
        <w:pStyle w:val="BodyText"/>
        <w:spacing w:line="213" w:lineRule="auto" w:before="58"/>
        <w:ind w:left="2232" w:right="493"/>
      </w:pPr>
      <w:r>
        <w:rPr>
          <w:color w:val="231F20"/>
        </w:rPr>
        <w:t>The Policy Details area of the Workflows window is a listing of all the policies on your managed network and their settings.</w:t>
      </w:r>
    </w:p>
    <w:p>
      <w:pPr>
        <w:pStyle w:val="Heading4"/>
        <w:ind w:left="0" w:right="5962"/>
        <w:jc w:val="right"/>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If the Workflows tool is disabled, your user ID does not have View </w:t>
      </w:r>
      <w:r>
        <w:rPr>
          <w:color w:val="231F20"/>
        </w:rPr>
        <w:t>Policy permission or Workspace Author Mode permission or both.</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right="493"/>
      </w:pPr>
      <w:r>
        <w:rPr>
          <w:color w:val="231F20"/>
        </w:rPr>
        <w:t>Take one of these actions to see a list of the policies that are available on your</w:t>
      </w:r>
      <w:r>
        <w:rPr>
          <w:color w:val="231F20"/>
          <w:spacing w:val="40"/>
        </w:rPr>
        <w:t> </w:t>
      </w:r>
      <w:r>
        <w:rPr>
          <w:color w:val="231F20"/>
        </w:rPr>
        <w:t>managed network or on a particular managed system.</w:t>
      </w:r>
    </w:p>
    <w:p>
      <w:pPr>
        <w:pStyle w:val="Heading4"/>
        <w:spacing w:before="199"/>
      </w:pPr>
      <w:r>
        <w:rPr>
          <w:color w:val="231F20"/>
          <w:spacing w:val="-2"/>
        </w:rPr>
        <w:t>Procedure</w:t>
      </w:r>
    </w:p>
    <w:p>
      <w:pPr>
        <w:pStyle w:val="BodyText"/>
        <w:spacing w:line="213" w:lineRule="auto" w:before="62"/>
        <w:ind w:left="2448" w:right="493"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101600"/>
            <wp:effectExtent l="0" t="0" r="0" b="0"/>
            <wp:docPr id="2677" name="Image 2677"/>
            <wp:cNvGraphicFramePr>
              <a:graphicFrameLocks/>
            </wp:cNvGraphicFramePr>
            <a:graphic>
              <a:graphicData uri="http://schemas.openxmlformats.org/drawingml/2006/picture">
                <pic:pic>
                  <pic:nvPicPr>
                    <pic:cNvPr id="2677" name="Image 2677"/>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Workflow Editor</w:t>
      </w:r>
      <w:r>
        <w:rPr>
          <w:color w:val="231F20"/>
        </w:rPr>
        <w:t>. With this method, you can see and select all policies, distributed or not distributed. The Workflows window opens with the policy details at the top. If any of the column headings are obscured, you can move the</w:t>
      </w:r>
      <w:r>
        <w:rPr>
          <w:color w:val="231F20"/>
          <w:spacing w:val="40"/>
        </w:rPr>
        <w:t> </w:t>
      </w:r>
      <w:r>
        <w:rPr>
          <w:color w:val="231F20"/>
        </w:rPr>
        <w:t>mouse</w:t>
      </w:r>
      <w:r>
        <w:rPr>
          <w:color w:val="231F20"/>
          <w:spacing w:val="26"/>
        </w:rPr>
        <w:t> </w:t>
      </w:r>
      <w:r>
        <w:rPr>
          <w:color w:val="231F20"/>
        </w:rPr>
        <w:t>pointer</w:t>
      </w:r>
      <w:r>
        <w:rPr>
          <w:color w:val="231F20"/>
          <w:spacing w:val="26"/>
        </w:rPr>
        <w:t> </w:t>
      </w:r>
      <w:r>
        <w:rPr>
          <w:color w:val="231F20"/>
        </w:rPr>
        <w:t>over</w:t>
      </w:r>
      <w:r>
        <w:rPr>
          <w:color w:val="231F20"/>
          <w:spacing w:val="26"/>
        </w:rPr>
        <w:t> </w:t>
      </w:r>
      <w:r>
        <w:rPr>
          <w:color w:val="231F20"/>
        </w:rPr>
        <w:t>them</w:t>
      </w:r>
      <w:r>
        <w:rPr>
          <w:color w:val="231F20"/>
          <w:spacing w:val="26"/>
        </w:rPr>
        <w:t> </w:t>
      </w:r>
      <w:r>
        <w:rPr>
          <w:color w:val="231F20"/>
        </w:rPr>
        <w:t>to</w:t>
      </w:r>
      <w:r>
        <w:rPr>
          <w:color w:val="231F20"/>
          <w:spacing w:val="26"/>
        </w:rPr>
        <w:t> </w:t>
      </w:r>
      <w:r>
        <w:rPr>
          <w:color w:val="231F20"/>
        </w:rPr>
        <w:t>see</w:t>
      </w:r>
      <w:r>
        <w:rPr>
          <w:color w:val="231F20"/>
          <w:spacing w:val="26"/>
        </w:rPr>
        <w:t> </w:t>
      </w:r>
      <w:r>
        <w:rPr>
          <w:color w:val="231F20"/>
        </w:rPr>
        <w:t>their</w:t>
      </w:r>
      <w:r>
        <w:rPr>
          <w:color w:val="231F20"/>
          <w:spacing w:val="26"/>
        </w:rPr>
        <w:t> </w:t>
      </w:r>
      <w:r>
        <w:rPr>
          <w:color w:val="231F20"/>
        </w:rPr>
        <w:t>titles</w:t>
      </w:r>
      <w:r>
        <w:rPr>
          <w:color w:val="231F20"/>
          <w:spacing w:val="26"/>
        </w:rPr>
        <w:t> </w:t>
      </w:r>
      <w:r>
        <w:rPr>
          <w:color w:val="231F20"/>
        </w:rPr>
        <w:t>or</w:t>
      </w:r>
      <w:r>
        <w:rPr>
          <w:color w:val="231F20"/>
          <w:spacing w:val="26"/>
        </w:rPr>
        <w:t> </w:t>
      </w:r>
      <w:r>
        <w:rPr>
          <w:color w:val="231F20"/>
        </w:rPr>
        <w:t>drag</w:t>
      </w:r>
      <w:r>
        <w:rPr>
          <w:color w:val="231F20"/>
          <w:spacing w:val="26"/>
        </w:rPr>
        <w:t> </w:t>
      </w:r>
      <w:r>
        <w:rPr>
          <w:color w:val="231F20"/>
        </w:rPr>
        <w:t>the</w:t>
      </w:r>
      <w:r>
        <w:rPr>
          <w:color w:val="231F20"/>
          <w:spacing w:val="26"/>
        </w:rPr>
        <w:t> </w:t>
      </w:r>
      <w:r>
        <w:rPr>
          <w:color w:val="231F20"/>
        </w:rPr>
        <w:t>column</w:t>
      </w:r>
      <w:r>
        <w:rPr>
          <w:color w:val="231F20"/>
          <w:spacing w:val="26"/>
        </w:rPr>
        <w:t> </w:t>
      </w:r>
      <w:r>
        <w:rPr>
          <w:color w:val="231F20"/>
        </w:rPr>
        <w:t>border</w:t>
      </w:r>
      <w:r>
        <w:rPr>
          <w:color w:val="231F20"/>
          <w:spacing w:val="26"/>
        </w:rPr>
        <w:t> </w:t>
      </w:r>
      <w:r>
        <w:rPr>
          <w:color w:val="231F20"/>
        </w:rPr>
        <w:t>left</w:t>
      </w:r>
      <w:r>
        <w:rPr>
          <w:color w:val="231F20"/>
          <w:spacing w:val="26"/>
        </w:rPr>
        <w:t> </w:t>
      </w:r>
      <w:r>
        <w:rPr>
          <w:color w:val="231F20"/>
        </w:rPr>
        <w:t>or right to adjust their width.</w:t>
      </w:r>
    </w:p>
    <w:p>
      <w:pPr>
        <w:pStyle w:val="BodyText"/>
        <w:spacing w:line="213" w:lineRule="auto" w:before="57"/>
        <w:ind w:left="2458" w:right="493" w:hanging="226"/>
      </w:pPr>
      <w:r>
        <w:rPr>
          <w:rFonts w:ascii="Futura MdCn BT"/>
          <w:color w:val="231F20"/>
        </w:rPr>
        <w:t>v</w:t>
      </w:r>
      <w:r>
        <w:rPr>
          <w:rFonts w:ascii="Futura MdCn BT"/>
          <w:color w:val="231F20"/>
          <w:spacing w:val="80"/>
        </w:rPr>
        <w:t> </w:t>
      </w:r>
      <w:r>
        <w:rPr>
          <w:color w:val="231F20"/>
        </w:rPr>
        <w:t>In the Navigator Physical view, right-click the </w:t>
      </w:r>
      <w:r>
        <w:rPr>
          <w:color w:val="231F20"/>
          <w:spacing w:val="15"/>
          <w:position w:val="-1"/>
        </w:rPr>
        <w:drawing>
          <wp:inline distT="0" distB="0" distL="0" distR="0">
            <wp:extent cx="95250" cy="101600"/>
            <wp:effectExtent l="0" t="0" r="0" b="0"/>
            <wp:docPr id="2678" name="Image 2678"/>
            <wp:cNvGraphicFramePr>
              <a:graphicFrameLocks/>
            </wp:cNvGraphicFramePr>
            <a:graphic>
              <a:graphicData uri="http://schemas.openxmlformats.org/drawingml/2006/picture">
                <pic:pic>
                  <pic:nvPicPr>
                    <pic:cNvPr id="2678" name="Image 267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9"/>
        </w:rPr>
        <w:t> </w:t>
      </w:r>
      <w:r>
        <w:rPr>
          <w:color w:val="231F20"/>
        </w:rPr>
        <w:t>Enterprise Navigator item or an</w:t>
      </w:r>
      <w:r>
        <w:rPr>
          <w:color w:val="231F20"/>
          <w:spacing w:val="80"/>
        </w:rPr>
        <w:t> </w:t>
      </w:r>
      <w:r>
        <w:rPr>
          <w:color w:val="231F20"/>
          <w:position w:val="-1"/>
        </w:rPr>
        <w:drawing>
          <wp:inline distT="0" distB="0" distL="0" distR="0">
            <wp:extent cx="95250" cy="95250"/>
            <wp:effectExtent l="0" t="0" r="0" b="0"/>
            <wp:docPr id="2679" name="Image 2679"/>
            <wp:cNvGraphicFramePr>
              <a:graphicFrameLocks/>
            </wp:cNvGraphicFramePr>
            <a:graphic>
              <a:graphicData uri="http://schemas.openxmlformats.org/drawingml/2006/picture">
                <pic:pic>
                  <pic:nvPicPr>
                    <pic:cNvPr id="2679" name="Image 267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spacing w:val="40"/>
        </w:rPr>
        <w:t> </w:t>
      </w:r>
      <w:r>
        <w:rPr>
          <w:color w:val="231F20"/>
        </w:rPr>
        <w:t>Agent</w:t>
      </w:r>
      <w:r>
        <w:rPr>
          <w:color w:val="231F20"/>
          <w:spacing w:val="26"/>
        </w:rPr>
        <w:t> </w:t>
      </w:r>
      <w:r>
        <w:rPr>
          <w:color w:val="231F20"/>
        </w:rPr>
        <w:t>Navigator</w:t>
      </w:r>
      <w:r>
        <w:rPr>
          <w:color w:val="231F20"/>
          <w:spacing w:val="26"/>
        </w:rPr>
        <w:t> </w:t>
      </w:r>
      <w:r>
        <w:rPr>
          <w:color w:val="231F20"/>
        </w:rPr>
        <w:t>item</w:t>
      </w:r>
      <w:r>
        <w:rPr>
          <w:color w:val="231F20"/>
          <w:spacing w:val="26"/>
        </w:rPr>
        <w:t> </w:t>
      </w:r>
      <w:r>
        <w:rPr>
          <w:color w:val="231F20"/>
        </w:rPr>
        <w:t>and</w:t>
      </w:r>
      <w:r>
        <w:rPr>
          <w:color w:val="231F20"/>
          <w:spacing w:val="26"/>
        </w:rPr>
        <w:t> </w:t>
      </w:r>
      <w:r>
        <w:rPr>
          <w:color w:val="231F20"/>
        </w:rPr>
        <w:t>click</w:t>
      </w:r>
      <w:r>
        <w:rPr>
          <w:color w:val="231F20"/>
          <w:spacing w:val="36"/>
        </w:rPr>
        <w:t> </w:t>
      </w:r>
      <w:r>
        <w:rPr>
          <w:color w:val="231F20"/>
          <w:spacing w:val="-25"/>
          <w:position w:val="-1"/>
        </w:rPr>
        <w:drawing>
          <wp:inline distT="0" distB="0" distL="0" distR="0">
            <wp:extent cx="95250" cy="95250"/>
            <wp:effectExtent l="0" t="0" r="0" b="0"/>
            <wp:docPr id="2680" name="Image 2680"/>
            <wp:cNvGraphicFramePr>
              <a:graphicFrameLocks/>
            </wp:cNvGraphicFramePr>
            <a:graphic>
              <a:graphicData uri="http://schemas.openxmlformats.org/drawingml/2006/picture">
                <pic:pic>
                  <pic:nvPicPr>
                    <pic:cNvPr id="2680" name="Image 2680"/>
                    <pic:cNvPicPr/>
                  </pic:nvPicPr>
                  <pic:blipFill>
                    <a:blip r:embed="rId419"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Manage</w:t>
      </w:r>
      <w:r>
        <w:rPr>
          <w:color w:val="231F20"/>
          <w:spacing w:val="26"/>
        </w:rPr>
        <w:t> </w:t>
      </w:r>
      <w:r>
        <w:rPr>
          <w:color w:val="231F20"/>
        </w:rPr>
        <w:t>Policies</w:t>
      </w:r>
      <w:r>
        <w:rPr>
          <w:color w:val="231F20"/>
          <w:spacing w:val="26"/>
        </w:rPr>
        <w:t> </w:t>
      </w:r>
      <w:r>
        <w:rPr>
          <w:color w:val="231F20"/>
        </w:rPr>
        <w:t>from</w:t>
      </w:r>
      <w:r>
        <w:rPr>
          <w:color w:val="231F20"/>
          <w:spacing w:val="26"/>
        </w:rPr>
        <w:t> </w:t>
      </w:r>
      <w:r>
        <w:rPr>
          <w:color w:val="231F20"/>
        </w:rPr>
        <w:t>the</w:t>
      </w:r>
      <w:r>
        <w:rPr>
          <w:color w:val="231F20"/>
          <w:spacing w:val="26"/>
        </w:rPr>
        <w:t> </w:t>
      </w:r>
      <w:r>
        <w:rPr>
          <w:color w:val="231F20"/>
        </w:rPr>
        <w:t>popup</w:t>
      </w:r>
      <w:r>
        <w:rPr>
          <w:color w:val="231F20"/>
          <w:spacing w:val="26"/>
        </w:rPr>
        <w:t> </w:t>
      </w:r>
      <w:r>
        <w:rPr>
          <w:color w:val="231F20"/>
        </w:rPr>
        <w:t>menu.</w:t>
      </w:r>
    </w:p>
    <w:p>
      <w:pPr>
        <w:pStyle w:val="BodyText"/>
        <w:spacing w:line="213" w:lineRule="auto"/>
        <w:ind w:left="2448" w:right="1104"/>
      </w:pPr>
      <w:r>
        <w:rPr>
          <w:color w:val="231F20"/>
        </w:rPr>
        <w:t>With this method, you can see and select from all the policies that are </w:t>
      </w:r>
      <w:bookmarkStart w:name="Creating a policy" w:id="497"/>
      <w:bookmarkEnd w:id="497"/>
      <w:r>
        <w:rPr>
          <w:color w:val="231F20"/>
        </w:rPr>
        <w:t>distributed</w:t>
      </w:r>
      <w:r>
        <w:rPr>
          <w:color w:val="231F20"/>
        </w:rPr>
        <w:t> to the selected managed system.</w:t>
      </w:r>
    </w:p>
    <w:p>
      <w:pPr>
        <w:pStyle w:val="Heading3"/>
        <w:spacing w:before="215"/>
        <w:ind w:left="1334"/>
      </w:pPr>
      <w:r>
        <w:rPr>
          <w:color w:val="231F20"/>
        </w:rPr>
        <w:t>Creating</w:t>
      </w:r>
      <w:r>
        <w:rPr>
          <w:color w:val="231F20"/>
          <w:spacing w:val="8"/>
        </w:rPr>
        <w:t> </w:t>
      </w:r>
      <w:r>
        <w:rPr>
          <w:color w:val="231F20"/>
        </w:rPr>
        <w:t>a</w:t>
      </w:r>
      <w:r>
        <w:rPr>
          <w:color w:val="231F20"/>
          <w:spacing w:val="9"/>
        </w:rPr>
        <w:t> </w:t>
      </w:r>
      <w:r>
        <w:rPr>
          <w:color w:val="231F20"/>
          <w:spacing w:val="-2"/>
        </w:rPr>
        <w:t>policy</w:t>
      </w:r>
    </w:p>
    <w:p>
      <w:pPr>
        <w:pStyle w:val="BodyText"/>
        <w:spacing w:line="213" w:lineRule="auto" w:before="59"/>
        <w:ind w:left="2232" w:right="493"/>
      </w:pPr>
      <w:r>
        <w:rPr>
          <w:color w:val="231F20"/>
        </w:rPr>
        <w:t>Use policies to perform actions, schedule work, and automate manual tasks on </w:t>
      </w:r>
      <w:r>
        <w:rPr>
          <w:color w:val="231F20"/>
        </w:rPr>
        <w:t>one or more managed systems in your enterprise.</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Your user ID must have Modify Policy permission. Otherwise, the Workflows tool is disabled.</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right="636"/>
      </w:pPr>
      <w:r>
        <w:rPr>
          <w:color w:val="231F20"/>
        </w:rPr>
        <w:t>The first step to building a policy for automation is to create a new policy and fill</w:t>
      </w:r>
      <w:r>
        <w:rPr>
          <w:color w:val="231F20"/>
          <w:spacing w:val="80"/>
        </w:rPr>
        <w:t> </w:t>
      </w:r>
      <w:r>
        <w:rPr>
          <w:color w:val="231F20"/>
        </w:rPr>
        <w:t>in important details such as where it is distributed to and whether it is auto</w:t>
      </w:r>
      <w:r>
        <w:rPr>
          <w:color w:val="231F20"/>
          <w:spacing w:val="80"/>
        </w:rPr>
        <w:t> </w:t>
      </w:r>
      <w:r>
        <w:rPr>
          <w:color w:val="231F20"/>
        </w:rPr>
        <w:t>started. Take these steps to begin building a new policy.</w:t>
      </w:r>
    </w:p>
    <w:p>
      <w:pPr>
        <w:spacing w:after="0" w:line="213" w:lineRule="auto"/>
        <w:sectPr>
          <w:pgSz w:w="12240" w:h="15840"/>
          <w:pgMar w:header="0" w:footer="736" w:top="1180" w:bottom="920" w:left="1000" w:right="1060"/>
        </w:sectPr>
      </w:pPr>
    </w:p>
    <w:p>
      <w:pPr>
        <w:pStyle w:val="Heading4"/>
        <w:spacing w:before="86"/>
        <w:ind w:left="2472"/>
      </w:pPr>
      <w:r>
        <w:rPr>
          <w:color w:val="231F20"/>
          <w:spacing w:val="-2"/>
        </w:rPr>
        <w:t>Procedure</w:t>
      </w:r>
    </w:p>
    <w:p>
      <w:pPr>
        <w:pStyle w:val="ListParagraph"/>
        <w:numPr>
          <w:ilvl w:val="0"/>
          <w:numId w:val="144"/>
        </w:numPr>
        <w:tabs>
          <w:tab w:pos="2898" w:val="left" w:leader="none"/>
        </w:tabs>
        <w:spacing w:line="240" w:lineRule="auto" w:before="39" w:after="0"/>
        <w:ind w:left="2898" w:right="0" w:hanging="315"/>
        <w:jc w:val="left"/>
        <w:rPr>
          <w:sz w:val="20"/>
        </w:rPr>
      </w:pPr>
      <w:r>
        <w:rPr>
          <w:color w:val="231F20"/>
          <w:sz w:val="20"/>
        </w:rPr>
        <w:t>Click</w:t>
      </w:r>
      <w:r>
        <w:rPr>
          <w:color w:val="231F20"/>
          <w:spacing w:val="7"/>
          <w:sz w:val="20"/>
        </w:rPr>
        <w:t> </w:t>
      </w:r>
      <w:r>
        <w:rPr>
          <w:color w:val="231F20"/>
          <w:spacing w:val="16"/>
          <w:position w:val="-1"/>
          <w:sz w:val="20"/>
        </w:rPr>
        <w:drawing>
          <wp:inline distT="0" distB="0" distL="0" distR="0">
            <wp:extent cx="101600" cy="101600"/>
            <wp:effectExtent l="0" t="0" r="0" b="0"/>
            <wp:docPr id="2683" name="Image 2683"/>
            <wp:cNvGraphicFramePr>
              <a:graphicFrameLocks/>
            </wp:cNvGraphicFramePr>
            <a:graphic>
              <a:graphicData uri="http://schemas.openxmlformats.org/drawingml/2006/picture">
                <pic:pic>
                  <pic:nvPicPr>
                    <pic:cNvPr id="2683" name="Image 2683"/>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37"/>
          <w:sz w:val="20"/>
        </w:rPr>
        <w:t> </w:t>
      </w:r>
      <w:r>
        <w:rPr>
          <w:rFonts w:ascii="Book Antiqua"/>
          <w:b/>
          <w:color w:val="231F20"/>
          <w:sz w:val="20"/>
        </w:rPr>
        <w:t>Workflow</w:t>
      </w:r>
      <w:r>
        <w:rPr>
          <w:rFonts w:ascii="Book Antiqua"/>
          <w:b/>
          <w:color w:val="231F20"/>
          <w:spacing w:val="8"/>
          <w:sz w:val="20"/>
        </w:rPr>
        <w:t> </w:t>
      </w:r>
      <w:r>
        <w:rPr>
          <w:rFonts w:ascii="Book Antiqua"/>
          <w:b/>
          <w:color w:val="231F20"/>
          <w:spacing w:val="-2"/>
          <w:sz w:val="20"/>
        </w:rPr>
        <w:t>Editor</w:t>
      </w:r>
      <w:r>
        <w:rPr>
          <w:color w:val="231F20"/>
          <w:spacing w:val="-2"/>
          <w:sz w:val="20"/>
        </w:rPr>
        <w:t>.</w:t>
      </w:r>
    </w:p>
    <w:p>
      <w:pPr>
        <w:pStyle w:val="ListParagraph"/>
        <w:numPr>
          <w:ilvl w:val="0"/>
          <w:numId w:val="144"/>
        </w:numPr>
        <w:tabs>
          <w:tab w:pos="2899" w:val="left" w:leader="none"/>
        </w:tabs>
        <w:spacing w:line="213" w:lineRule="auto" w:before="53" w:after="0"/>
        <w:ind w:left="2899" w:right="201" w:hanging="316"/>
        <w:jc w:val="left"/>
        <w:rPr>
          <w:sz w:val="20"/>
        </w:rPr>
      </w:pPr>
      <w:r>
        <w:rPr>
          <w:color w:val="231F20"/>
          <w:sz w:val="20"/>
        </w:rPr>
        <w:t>Click</w:t>
      </w:r>
      <w:r>
        <w:rPr>
          <w:color w:val="231F20"/>
          <w:spacing w:val="40"/>
          <w:sz w:val="20"/>
        </w:rPr>
        <w:t> </w:t>
      </w:r>
      <w:r>
        <w:rPr>
          <w:color w:val="231F20"/>
          <w:spacing w:val="-24"/>
          <w:position w:val="-1"/>
          <w:sz w:val="20"/>
        </w:rPr>
        <w:drawing>
          <wp:inline distT="0" distB="0" distL="0" distR="0">
            <wp:extent cx="95250" cy="101600"/>
            <wp:effectExtent l="0" t="0" r="0" b="0"/>
            <wp:docPr id="2684" name="Image 2684"/>
            <wp:cNvGraphicFramePr>
              <a:graphicFrameLocks/>
            </wp:cNvGraphicFramePr>
            <a:graphic>
              <a:graphicData uri="http://schemas.openxmlformats.org/drawingml/2006/picture">
                <pic:pic>
                  <pic:nvPicPr>
                    <pic:cNvPr id="2684" name="Image 2684"/>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37"/>
          <w:sz w:val="20"/>
        </w:rPr>
        <w:t> </w:t>
      </w:r>
      <w:r>
        <w:rPr>
          <w:rFonts w:ascii="Book Antiqua"/>
          <w:b/>
          <w:color w:val="231F20"/>
          <w:sz w:val="20"/>
        </w:rPr>
        <w:t>New Policy </w:t>
      </w:r>
      <w:r>
        <w:rPr>
          <w:color w:val="231F20"/>
          <w:sz w:val="20"/>
        </w:rPr>
        <w:t>(or Alt+</w:t>
      </w:r>
      <w:r>
        <w:rPr>
          <w:color w:val="231F20"/>
          <w:spacing w:val="9"/>
          <w:position w:val="-1"/>
          <w:sz w:val="20"/>
        </w:rPr>
        <w:drawing>
          <wp:inline distT="0" distB="0" distL="0" distR="0">
            <wp:extent cx="95250" cy="101600"/>
            <wp:effectExtent l="0" t="0" r="0" b="0"/>
            <wp:docPr id="2685" name="Image 2685"/>
            <wp:cNvGraphicFramePr>
              <a:graphicFrameLocks/>
            </wp:cNvGraphicFramePr>
            <a:graphic>
              <a:graphicData uri="http://schemas.openxmlformats.org/drawingml/2006/picture">
                <pic:pic>
                  <pic:nvPicPr>
                    <pic:cNvPr id="2685" name="Image 2685"/>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9"/>
          <w:position w:val="-1"/>
          <w:sz w:val="20"/>
        </w:rPr>
      </w:r>
      <w:r>
        <w:rPr>
          <w:rFonts w:ascii="Times New Roman"/>
          <w:color w:val="231F20"/>
          <w:spacing w:val="40"/>
          <w:sz w:val="20"/>
        </w:rPr>
        <w:t> </w:t>
      </w:r>
      <w:r>
        <w:rPr>
          <w:color w:val="231F20"/>
          <w:sz w:val="20"/>
        </w:rPr>
        <w:t>to keep the full Policies Details area open). New_Policy</w:t>
      </w:r>
      <w:r>
        <w:rPr>
          <w:color w:val="231F20"/>
          <w:spacing w:val="28"/>
          <w:sz w:val="20"/>
        </w:rPr>
        <w:t> </w:t>
      </w:r>
      <w:r>
        <w:rPr>
          <w:color w:val="231F20"/>
          <w:sz w:val="20"/>
        </w:rPr>
        <w:t>is</w:t>
      </w:r>
      <w:r>
        <w:rPr>
          <w:color w:val="231F20"/>
          <w:spacing w:val="28"/>
          <w:sz w:val="20"/>
        </w:rPr>
        <w:t> </w:t>
      </w:r>
      <w:r>
        <w:rPr>
          <w:color w:val="231F20"/>
          <w:sz w:val="20"/>
        </w:rPr>
        <w:t>added</w:t>
      </w:r>
      <w:r>
        <w:rPr>
          <w:color w:val="231F20"/>
          <w:spacing w:val="28"/>
          <w:sz w:val="20"/>
        </w:rPr>
        <w:t> </w:t>
      </w:r>
      <w:r>
        <w:rPr>
          <w:color w:val="231F20"/>
          <w:sz w:val="20"/>
        </w:rPr>
        <w:t>to</w:t>
      </w:r>
      <w:r>
        <w:rPr>
          <w:color w:val="231F20"/>
          <w:spacing w:val="28"/>
          <w:sz w:val="20"/>
        </w:rPr>
        <w:t> </w:t>
      </w:r>
      <w:r>
        <w:rPr>
          <w:color w:val="231F20"/>
          <w:sz w:val="20"/>
        </w:rPr>
        <w:t>the</w:t>
      </w:r>
      <w:r>
        <w:rPr>
          <w:color w:val="231F20"/>
          <w:spacing w:val="28"/>
          <w:sz w:val="20"/>
        </w:rPr>
        <w:t> </w:t>
      </w:r>
      <w:r>
        <w:rPr>
          <w:color w:val="231F20"/>
          <w:sz w:val="20"/>
        </w:rPr>
        <w:t>Policy</w:t>
      </w:r>
      <w:r>
        <w:rPr>
          <w:color w:val="231F20"/>
          <w:spacing w:val="28"/>
          <w:sz w:val="20"/>
        </w:rPr>
        <w:t> </w:t>
      </w:r>
      <w:r>
        <w:rPr>
          <w:color w:val="231F20"/>
          <w:sz w:val="20"/>
        </w:rPr>
        <w:t>Details</w:t>
      </w:r>
      <w:r>
        <w:rPr>
          <w:color w:val="231F20"/>
          <w:spacing w:val="28"/>
          <w:sz w:val="20"/>
        </w:rPr>
        <w:t> </w:t>
      </w:r>
      <w:r>
        <w:rPr>
          <w:color w:val="231F20"/>
          <w:sz w:val="20"/>
        </w:rPr>
        <w:t>list</w:t>
      </w:r>
      <w:r>
        <w:rPr>
          <w:color w:val="231F20"/>
          <w:spacing w:val="28"/>
          <w:sz w:val="20"/>
        </w:rPr>
        <w:t> </w:t>
      </w:r>
      <w:r>
        <w:rPr>
          <w:color w:val="231F20"/>
          <w:sz w:val="20"/>
        </w:rPr>
        <w:t>and</w:t>
      </w:r>
      <w:r>
        <w:rPr>
          <w:color w:val="231F20"/>
          <w:spacing w:val="28"/>
          <w:sz w:val="20"/>
        </w:rPr>
        <w:t> </w:t>
      </w:r>
      <w:r>
        <w:rPr>
          <w:color w:val="231F20"/>
          <w:sz w:val="20"/>
        </w:rPr>
        <w:t>a</w:t>
      </w:r>
      <w:r>
        <w:rPr>
          <w:color w:val="231F20"/>
          <w:spacing w:val="28"/>
          <w:sz w:val="20"/>
        </w:rPr>
        <w:t> </w:t>
      </w:r>
      <w:r>
        <w:rPr>
          <w:color w:val="231F20"/>
          <w:sz w:val="20"/>
        </w:rPr>
        <w:t>blank</w:t>
      </w:r>
      <w:r>
        <w:rPr>
          <w:color w:val="231F20"/>
          <w:spacing w:val="28"/>
          <w:sz w:val="20"/>
        </w:rPr>
        <w:t> </w:t>
      </w:r>
      <w:r>
        <w:rPr>
          <w:color w:val="231F20"/>
          <w:sz w:val="20"/>
        </w:rPr>
        <w:t>Grapher</w:t>
      </w:r>
      <w:r>
        <w:rPr>
          <w:color w:val="231F20"/>
          <w:spacing w:val="28"/>
          <w:sz w:val="20"/>
        </w:rPr>
        <w:t> </w:t>
      </w:r>
      <w:r>
        <w:rPr>
          <w:color w:val="231F20"/>
          <w:sz w:val="20"/>
        </w:rPr>
        <w:t>view opens in the Workflow editor for you to add and connect activities. To enlarge the grapher view, click </w:t>
      </w:r>
      <w:r>
        <w:rPr>
          <w:color w:val="231F20"/>
          <w:spacing w:val="15"/>
          <w:sz w:val="20"/>
        </w:rPr>
        <w:drawing>
          <wp:inline distT="0" distB="0" distL="0" distR="0">
            <wp:extent cx="190500" cy="57150"/>
            <wp:effectExtent l="0" t="0" r="0" b="0"/>
            <wp:docPr id="2686" name="Image 2686"/>
            <wp:cNvGraphicFramePr>
              <a:graphicFrameLocks/>
            </wp:cNvGraphicFramePr>
            <a:graphic>
              <a:graphicData uri="http://schemas.openxmlformats.org/drawingml/2006/picture">
                <pic:pic>
                  <pic:nvPicPr>
                    <pic:cNvPr id="2686" name="Image 2686"/>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5"/>
          <w:sz w:val="20"/>
        </w:rPr>
      </w:r>
      <w:r>
        <w:rPr>
          <w:rFonts w:ascii="Times New Roman"/>
          <w:color w:val="231F20"/>
          <w:spacing w:val="40"/>
          <w:sz w:val="20"/>
        </w:rPr>
        <w:t> </w:t>
      </w:r>
      <w:r>
        <w:rPr>
          <w:color w:val="231F20"/>
          <w:sz w:val="20"/>
        </w:rPr>
        <w:t>Collapse, which collapses the Policy Details area and expands the Workflow Editor area to full window; click </w:t>
      </w:r>
      <w:r>
        <w:rPr>
          <w:color w:val="231F20"/>
          <w:spacing w:val="15"/>
          <w:sz w:val="20"/>
        </w:rPr>
        <w:drawing>
          <wp:inline distT="0" distB="0" distL="0" distR="0">
            <wp:extent cx="190500" cy="57150"/>
            <wp:effectExtent l="0" t="0" r="0" b="0"/>
            <wp:docPr id="2687" name="Image 2687"/>
            <wp:cNvGraphicFramePr>
              <a:graphicFrameLocks/>
            </wp:cNvGraphicFramePr>
            <a:graphic>
              <a:graphicData uri="http://schemas.openxmlformats.org/drawingml/2006/picture">
                <pic:pic>
                  <pic:nvPicPr>
                    <pic:cNvPr id="2687" name="Image 2687"/>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5"/>
          <w:sz w:val="20"/>
        </w:rPr>
      </w:r>
      <w:r>
        <w:rPr>
          <w:rFonts w:ascii="Times New Roman"/>
          <w:color w:val="231F20"/>
          <w:spacing w:val="40"/>
          <w:sz w:val="20"/>
        </w:rPr>
        <w:t> </w:t>
      </w:r>
      <w:r>
        <w:rPr>
          <w:color w:val="231F20"/>
          <w:sz w:val="20"/>
        </w:rPr>
        <w:t>Expand to restore the Policies Details area. You can also drag the border up or down.</w:t>
      </w:r>
    </w:p>
    <w:p>
      <w:pPr>
        <w:pStyle w:val="ListParagraph"/>
        <w:numPr>
          <w:ilvl w:val="0"/>
          <w:numId w:val="144"/>
        </w:numPr>
        <w:tabs>
          <w:tab w:pos="2899" w:val="left" w:leader="none"/>
        </w:tabs>
        <w:spacing w:line="213" w:lineRule="auto" w:before="55" w:after="0"/>
        <w:ind w:left="2899" w:right="784" w:hanging="316"/>
        <w:jc w:val="left"/>
        <w:rPr>
          <w:sz w:val="20"/>
        </w:rPr>
      </w:pPr>
      <w:r>
        <w:rPr>
          <w:color w:val="231F20"/>
          <w:sz w:val="20"/>
        </w:rPr>
        <w:t>In the newly added row of the </w:t>
      </w:r>
      <w:r>
        <w:rPr>
          <w:rFonts w:ascii="Book Antiqua" w:hAnsi="Book Antiqua"/>
          <w:b/>
          <w:color w:val="231F20"/>
          <w:sz w:val="20"/>
        </w:rPr>
        <w:t>Policy Details </w:t>
      </w:r>
      <w:r>
        <w:rPr>
          <w:color w:val="231F20"/>
          <w:sz w:val="20"/>
        </w:rPr>
        <w:t>area, edit the name and description, distribute the policy, and adjust the settings as needed. </w:t>
      </w:r>
      <w:r>
        <w:rPr>
          <w:color w:val="231F20"/>
          <w:sz w:val="20"/>
        </w:rPr>
        <w:t>(See </w:t>
      </w:r>
      <w:hyperlink w:history="true" w:anchor="_bookmark244">
        <w:r>
          <w:rPr>
            <w:color w:val="231F20"/>
            <w:sz w:val="20"/>
          </w:rPr>
          <w:t>“Policy list” on page 332.)</w:t>
        </w:r>
      </w:hyperlink>
    </w:p>
    <w:p>
      <w:pPr>
        <w:pStyle w:val="ListParagraph"/>
        <w:numPr>
          <w:ilvl w:val="0"/>
          <w:numId w:val="144"/>
        </w:numPr>
        <w:tabs>
          <w:tab w:pos="2897" w:val="left" w:leader="none"/>
          <w:tab w:pos="2899" w:val="left" w:leader="none"/>
        </w:tabs>
        <w:spacing w:line="211" w:lineRule="auto" w:before="60" w:after="0"/>
        <w:ind w:left="2899" w:right="358" w:hanging="317"/>
        <w:jc w:val="left"/>
        <w:rPr>
          <w:sz w:val="20"/>
        </w:rPr>
      </w:pPr>
      <w:r>
        <w:rPr>
          <w:color w:val="231F20"/>
          <w:sz w:val="20"/>
        </w:rPr>
        <w:t>In the Workflow editor, add a </w:t>
      </w:r>
      <w:r>
        <w:rPr>
          <w:color w:val="231F20"/>
          <w:spacing w:val="15"/>
          <w:position w:val="-5"/>
          <w:sz w:val="20"/>
        </w:rPr>
        <w:drawing>
          <wp:inline distT="0" distB="0" distL="0" distR="0">
            <wp:extent cx="120650" cy="120650"/>
            <wp:effectExtent l="0" t="0" r="0" b="0"/>
            <wp:docPr id="2688" name="Image 2688"/>
            <wp:cNvGraphicFramePr>
              <a:graphicFrameLocks/>
            </wp:cNvGraphicFramePr>
            <a:graphic>
              <a:graphicData uri="http://schemas.openxmlformats.org/drawingml/2006/picture">
                <pic:pic>
                  <pic:nvPicPr>
                    <pic:cNvPr id="2688" name="Image 2688"/>
                    <pic:cNvPicPr/>
                  </pic:nvPicPr>
                  <pic:blipFill>
                    <a:blip r:embed="rId424" cstate="print"/>
                    <a:stretch>
                      <a:fillRect/>
                    </a:stretch>
                  </pic:blipFill>
                  <pic:spPr>
                    <a:xfrm>
                      <a:off x="0" y="0"/>
                      <a:ext cx="120650" cy="120650"/>
                    </a:xfrm>
                    <a:prstGeom prst="rect">
                      <a:avLst/>
                    </a:prstGeom>
                  </pic:spPr>
                </pic:pic>
              </a:graphicData>
            </a:graphic>
          </wp:inline>
        </w:drawing>
      </w:r>
      <w:r>
        <w:rPr>
          <w:color w:val="231F20"/>
          <w:spacing w:val="15"/>
          <w:position w:val="-5"/>
          <w:sz w:val="20"/>
        </w:rPr>
      </w:r>
      <w:r>
        <w:rPr>
          <w:rFonts w:ascii="Times New Roman"/>
          <w:color w:val="231F20"/>
          <w:spacing w:val="40"/>
          <w:sz w:val="20"/>
        </w:rPr>
        <w:t> </w:t>
      </w:r>
      <w:r>
        <w:rPr>
          <w:rFonts w:ascii="Book Antiqua"/>
          <w:b/>
          <w:color w:val="231F20"/>
          <w:sz w:val="20"/>
        </w:rPr>
        <w:t>Wait until a situation is True </w:t>
      </w:r>
      <w:r>
        <w:rPr>
          <w:color w:val="231F20"/>
          <w:sz w:val="20"/>
        </w:rPr>
        <w:t>activity:</w:t>
      </w:r>
      <w:r>
        <w:rPr>
          <w:rFonts w:ascii="Book Antiqua"/>
          <w:b/>
          <w:color w:val="231F20"/>
          <w:sz w:val="20"/>
        </w:rPr>
        <w:t>Wait until a situation is True </w:t>
      </w:r>
      <w:r>
        <w:rPr>
          <w:color w:val="231F20"/>
          <w:sz w:val="20"/>
        </w:rPr>
        <w:t>in the General activities tab of the Workflow components frame. The policy must begin with this activity type unless it is uncorrelated, in which case you can start with any activity.</w:t>
      </w:r>
    </w:p>
    <w:p>
      <w:pPr>
        <w:pStyle w:val="ListParagraph"/>
        <w:numPr>
          <w:ilvl w:val="1"/>
          <w:numId w:val="144"/>
        </w:numPr>
        <w:tabs>
          <w:tab w:pos="3214" w:val="left" w:leader="none"/>
        </w:tabs>
        <w:spacing w:line="240" w:lineRule="auto" w:before="38" w:after="0"/>
        <w:ind w:left="3214" w:right="0" w:hanging="315"/>
        <w:jc w:val="left"/>
        <w:rPr>
          <w:sz w:val="20"/>
        </w:rPr>
      </w:pPr>
      <w:r>
        <w:rPr>
          <w:color w:val="231F20"/>
          <w:sz w:val="20"/>
        </w:rPr>
        <w:t>Click</w:t>
      </w:r>
      <w:r>
        <w:rPr>
          <w:color w:val="231F20"/>
          <w:spacing w:val="8"/>
          <w:sz w:val="20"/>
        </w:rPr>
        <w:t> </w:t>
      </w:r>
      <w:r>
        <w:rPr>
          <w:color w:val="231F20"/>
          <w:sz w:val="20"/>
        </w:rPr>
        <w:t>the</w:t>
      </w:r>
      <w:r>
        <w:rPr>
          <w:color w:val="231F20"/>
          <w:spacing w:val="8"/>
          <w:sz w:val="20"/>
        </w:rPr>
        <w:t> </w:t>
      </w:r>
      <w:r>
        <w:rPr>
          <w:color w:val="231F20"/>
          <w:spacing w:val="16"/>
          <w:position w:val="-5"/>
          <w:sz w:val="20"/>
        </w:rPr>
        <w:drawing>
          <wp:inline distT="0" distB="0" distL="0" distR="0">
            <wp:extent cx="120649" cy="120650"/>
            <wp:effectExtent l="0" t="0" r="0" b="0"/>
            <wp:docPr id="2689" name="Image 2689"/>
            <wp:cNvGraphicFramePr>
              <a:graphicFrameLocks/>
            </wp:cNvGraphicFramePr>
            <a:graphic>
              <a:graphicData uri="http://schemas.openxmlformats.org/drawingml/2006/picture">
                <pic:pic>
                  <pic:nvPicPr>
                    <pic:cNvPr id="2689" name="Image 2689"/>
                    <pic:cNvPicPr/>
                  </pic:nvPicPr>
                  <pic:blipFill>
                    <a:blip r:embed="rId424" cstate="print"/>
                    <a:stretch>
                      <a:fillRect/>
                    </a:stretch>
                  </pic:blipFill>
                  <pic:spPr>
                    <a:xfrm>
                      <a:off x="0" y="0"/>
                      <a:ext cx="120649" cy="120650"/>
                    </a:xfrm>
                    <a:prstGeom prst="rect">
                      <a:avLst/>
                    </a:prstGeom>
                  </pic:spPr>
                </pic:pic>
              </a:graphicData>
            </a:graphic>
          </wp:inline>
        </w:drawing>
      </w:r>
      <w:r>
        <w:rPr>
          <w:color w:val="231F20"/>
          <w:spacing w:val="16"/>
          <w:position w:val="-5"/>
          <w:sz w:val="20"/>
        </w:rPr>
      </w:r>
      <w:r>
        <w:rPr>
          <w:rFonts w:ascii="Times New Roman"/>
          <w:color w:val="231F20"/>
          <w:spacing w:val="-13"/>
          <w:sz w:val="20"/>
        </w:rPr>
        <w:t> </w:t>
      </w:r>
      <w:r>
        <w:rPr>
          <w:rFonts w:ascii="Book Antiqua"/>
          <w:b/>
          <w:color w:val="231F20"/>
          <w:sz w:val="20"/>
        </w:rPr>
        <w:t>Wait</w:t>
      </w:r>
      <w:r>
        <w:rPr>
          <w:rFonts w:ascii="Book Antiqua"/>
          <w:b/>
          <w:color w:val="231F20"/>
          <w:spacing w:val="8"/>
          <w:sz w:val="20"/>
        </w:rPr>
        <w:t> </w:t>
      </w:r>
      <w:r>
        <w:rPr>
          <w:rFonts w:ascii="Book Antiqua"/>
          <w:b/>
          <w:color w:val="231F20"/>
          <w:sz w:val="20"/>
        </w:rPr>
        <w:t>until</w:t>
      </w:r>
      <w:r>
        <w:rPr>
          <w:rFonts w:ascii="Book Antiqua"/>
          <w:b/>
          <w:color w:val="231F20"/>
          <w:spacing w:val="8"/>
          <w:sz w:val="20"/>
        </w:rPr>
        <w:t> </w:t>
      </w:r>
      <w:r>
        <w:rPr>
          <w:rFonts w:ascii="Book Antiqua"/>
          <w:b/>
          <w:color w:val="231F20"/>
          <w:sz w:val="20"/>
        </w:rPr>
        <w:t>a</w:t>
      </w:r>
      <w:r>
        <w:rPr>
          <w:rFonts w:ascii="Book Antiqua"/>
          <w:b/>
          <w:color w:val="231F20"/>
          <w:spacing w:val="8"/>
          <w:sz w:val="20"/>
        </w:rPr>
        <w:t> </w:t>
      </w:r>
      <w:r>
        <w:rPr>
          <w:rFonts w:ascii="Book Antiqua"/>
          <w:b/>
          <w:color w:val="231F20"/>
          <w:sz w:val="20"/>
        </w:rPr>
        <w:t>situation</w:t>
      </w:r>
      <w:r>
        <w:rPr>
          <w:rFonts w:ascii="Book Antiqua"/>
          <w:b/>
          <w:color w:val="231F20"/>
          <w:spacing w:val="8"/>
          <w:sz w:val="20"/>
        </w:rPr>
        <w:t> </w:t>
      </w:r>
      <w:r>
        <w:rPr>
          <w:rFonts w:ascii="Book Antiqua"/>
          <w:b/>
          <w:color w:val="231F20"/>
          <w:sz w:val="20"/>
        </w:rPr>
        <w:t>is</w:t>
      </w:r>
      <w:r>
        <w:rPr>
          <w:rFonts w:ascii="Book Antiqua"/>
          <w:b/>
          <w:color w:val="231F20"/>
          <w:spacing w:val="8"/>
          <w:sz w:val="20"/>
        </w:rPr>
        <w:t> </w:t>
      </w:r>
      <w:r>
        <w:rPr>
          <w:rFonts w:ascii="Book Antiqua"/>
          <w:b/>
          <w:color w:val="231F20"/>
          <w:sz w:val="20"/>
        </w:rPr>
        <w:t>True</w:t>
      </w:r>
      <w:r>
        <w:rPr>
          <w:rFonts w:ascii="Book Antiqua"/>
          <w:b/>
          <w:color w:val="231F20"/>
          <w:spacing w:val="8"/>
          <w:sz w:val="20"/>
        </w:rPr>
        <w:t> </w:t>
      </w:r>
      <w:r>
        <w:rPr>
          <w:color w:val="231F20"/>
          <w:spacing w:val="-2"/>
          <w:sz w:val="20"/>
        </w:rPr>
        <w:t>activity.</w:t>
      </w:r>
    </w:p>
    <w:p>
      <w:pPr>
        <w:pStyle w:val="ListParagraph"/>
        <w:numPr>
          <w:ilvl w:val="1"/>
          <w:numId w:val="144"/>
        </w:numPr>
        <w:tabs>
          <w:tab w:pos="3215" w:val="left" w:leader="none"/>
        </w:tabs>
        <w:spacing w:line="213" w:lineRule="auto" w:before="48" w:after="0"/>
        <w:ind w:left="3215" w:right="297" w:hanging="316"/>
        <w:jc w:val="left"/>
        <w:rPr>
          <w:sz w:val="20"/>
        </w:rPr>
      </w:pPr>
      <w:r>
        <w:rPr>
          <w:color w:val="231F20"/>
          <w:sz w:val="20"/>
        </w:rPr>
        <w:t>Click inside the Grapher view to place the activity icon. The Select a Situation window opens for you to select a situation that, when true or </w:t>
      </w:r>
      <w:r>
        <w:rPr>
          <w:color w:val="231F20"/>
          <w:sz w:val="20"/>
        </w:rPr>
        <w:t>in error, triggers the next activity in the workflow.</w:t>
      </w:r>
    </w:p>
    <w:p>
      <w:pPr>
        <w:pStyle w:val="ListParagraph"/>
        <w:numPr>
          <w:ilvl w:val="1"/>
          <w:numId w:val="144"/>
        </w:numPr>
        <w:tabs>
          <w:tab w:pos="3202" w:val="left" w:leader="none"/>
          <w:tab w:pos="3204" w:val="left" w:leader="none"/>
        </w:tabs>
        <w:spacing w:line="213" w:lineRule="auto" w:before="58" w:after="0"/>
        <w:ind w:left="3204" w:right="528" w:hanging="305"/>
        <w:jc w:val="left"/>
        <w:rPr>
          <w:sz w:val="20"/>
        </w:rPr>
      </w:pPr>
      <w:r>
        <w:rPr>
          <w:color w:val="231F20"/>
          <w:sz w:val="20"/>
        </w:rPr>
        <w:t>Select the situation and click </w:t>
      </w:r>
      <w:r>
        <w:rPr>
          <w:rFonts w:ascii="Book Antiqua"/>
          <w:b/>
          <w:color w:val="231F20"/>
          <w:sz w:val="20"/>
        </w:rPr>
        <w:t>OK</w:t>
      </w:r>
      <w:r>
        <w:rPr>
          <w:color w:val="231F20"/>
          <w:sz w:val="20"/>
        </w:rPr>
        <w:t>. (If you do not see the situation in </w:t>
      </w:r>
      <w:r>
        <w:rPr>
          <w:color w:val="231F20"/>
          <w:sz w:val="20"/>
        </w:rPr>
        <w:t>the list, click </w:t>
      </w:r>
      <w:r>
        <w:rPr>
          <w:rFonts w:ascii="Book Antiqua"/>
          <w:b/>
          <w:color w:val="231F20"/>
          <w:sz w:val="20"/>
        </w:rPr>
        <w:t>Cancel</w:t>
      </w:r>
      <w:r>
        <w:rPr>
          <w:color w:val="231F20"/>
          <w:sz w:val="20"/>
        </w:rPr>
        <w:t>, and create the situation you need, then repeat these steps.) The activity icon displays with the name of the situation.</w:t>
      </w:r>
    </w:p>
    <w:p>
      <w:pPr>
        <w:pStyle w:val="ListParagraph"/>
        <w:numPr>
          <w:ilvl w:val="0"/>
          <w:numId w:val="144"/>
        </w:numPr>
        <w:tabs>
          <w:tab w:pos="2899" w:val="left" w:leader="none"/>
        </w:tabs>
        <w:spacing w:line="213" w:lineRule="auto" w:before="57" w:after="0"/>
        <w:ind w:left="2899" w:right="163" w:hanging="316"/>
        <w:jc w:val="left"/>
        <w:rPr>
          <w:sz w:val="20"/>
        </w:rPr>
      </w:pPr>
      <w:r>
        <w:rPr>
          <w:color w:val="231F20"/>
          <w:sz w:val="20"/>
        </w:rPr>
        <w:t>Add other activities to the policy (see </w:t>
      </w:r>
      <w:hyperlink w:history="true" w:anchor="_bookmark242">
        <w:r>
          <w:rPr>
            <w:color w:val="231F20"/>
            <w:sz w:val="20"/>
          </w:rPr>
          <w:t>Workflow Components).</w:t>
        </w:r>
      </w:hyperlink>
      <w:r>
        <w:rPr>
          <w:color w:val="231F20"/>
          <w:sz w:val="20"/>
        </w:rPr>
        <w:t> Double-click </w:t>
      </w:r>
      <w:r>
        <w:rPr>
          <w:color w:val="231F20"/>
          <w:sz w:val="20"/>
        </w:rPr>
        <w:t>an activity</w:t>
      </w:r>
      <w:r>
        <w:rPr>
          <w:color w:val="231F20"/>
          <w:spacing w:val="24"/>
          <w:sz w:val="20"/>
        </w:rPr>
        <w:t> </w:t>
      </w:r>
      <w:r>
        <w:rPr>
          <w:color w:val="231F20"/>
          <w:sz w:val="20"/>
        </w:rPr>
        <w:t>tool</w:t>
      </w:r>
      <w:r>
        <w:rPr>
          <w:color w:val="231F20"/>
          <w:spacing w:val="24"/>
          <w:sz w:val="20"/>
        </w:rPr>
        <w:t> </w:t>
      </w:r>
      <w:r>
        <w:rPr>
          <w:color w:val="231F20"/>
          <w:sz w:val="20"/>
        </w:rPr>
        <w:t>to</w:t>
      </w:r>
      <w:r>
        <w:rPr>
          <w:color w:val="231F20"/>
          <w:spacing w:val="24"/>
          <w:sz w:val="20"/>
        </w:rPr>
        <w:t> </w:t>
      </w:r>
      <w:r>
        <w:rPr>
          <w:color w:val="231F20"/>
          <w:sz w:val="20"/>
        </w:rPr>
        <w:t>keep</w:t>
      </w:r>
      <w:r>
        <w:rPr>
          <w:color w:val="231F20"/>
          <w:spacing w:val="24"/>
          <w:sz w:val="20"/>
        </w:rPr>
        <w:t> </w:t>
      </w:r>
      <w:r>
        <w:rPr>
          <w:color w:val="231F20"/>
          <w:sz w:val="20"/>
        </w:rPr>
        <w:t>it</w:t>
      </w:r>
      <w:r>
        <w:rPr>
          <w:color w:val="231F20"/>
          <w:spacing w:val="24"/>
          <w:sz w:val="20"/>
        </w:rPr>
        <w:t> </w:t>
      </w:r>
      <w:r>
        <w:rPr>
          <w:color w:val="231F20"/>
          <w:sz w:val="20"/>
        </w:rPr>
        <w:t>on. You</w:t>
      </w:r>
      <w:r>
        <w:rPr>
          <w:color w:val="231F20"/>
          <w:spacing w:val="24"/>
          <w:sz w:val="20"/>
        </w:rPr>
        <w:t> </w:t>
      </w:r>
      <w:r>
        <w:rPr>
          <w:color w:val="231F20"/>
          <w:sz w:val="20"/>
        </w:rPr>
        <w:t>can</w:t>
      </w:r>
      <w:r>
        <w:rPr>
          <w:color w:val="231F20"/>
          <w:spacing w:val="24"/>
          <w:sz w:val="20"/>
        </w:rPr>
        <w:t> </w:t>
      </w:r>
      <w:r>
        <w:rPr>
          <w:color w:val="231F20"/>
          <w:sz w:val="20"/>
        </w:rPr>
        <w:t>add</w:t>
      </w:r>
      <w:r>
        <w:rPr>
          <w:color w:val="231F20"/>
          <w:spacing w:val="24"/>
          <w:sz w:val="20"/>
        </w:rPr>
        <w:t> </w:t>
      </w:r>
      <w:r>
        <w:rPr>
          <w:color w:val="231F20"/>
          <w:sz w:val="20"/>
        </w:rPr>
        <w:t>activities</w:t>
      </w:r>
      <w:r>
        <w:rPr>
          <w:color w:val="231F20"/>
          <w:spacing w:val="24"/>
          <w:sz w:val="20"/>
        </w:rPr>
        <w:t> </w:t>
      </w:r>
      <w:r>
        <w:rPr>
          <w:color w:val="231F20"/>
          <w:sz w:val="20"/>
        </w:rPr>
        <w:t>to</w:t>
      </w:r>
      <w:r>
        <w:rPr>
          <w:color w:val="231F20"/>
          <w:spacing w:val="24"/>
          <w:sz w:val="20"/>
        </w:rPr>
        <w:t> </w:t>
      </w:r>
      <w:r>
        <w:rPr>
          <w:color w:val="231F20"/>
          <w:sz w:val="20"/>
        </w:rPr>
        <w:t>start</w:t>
      </w:r>
      <w:r>
        <w:rPr>
          <w:color w:val="231F20"/>
          <w:spacing w:val="24"/>
          <w:sz w:val="20"/>
        </w:rPr>
        <w:t> </w:t>
      </w:r>
      <w:r>
        <w:rPr>
          <w:color w:val="231F20"/>
          <w:sz w:val="20"/>
        </w:rPr>
        <w:t>or</w:t>
      </w:r>
      <w:r>
        <w:rPr>
          <w:color w:val="231F20"/>
          <w:spacing w:val="24"/>
          <w:sz w:val="20"/>
        </w:rPr>
        <w:t> </w:t>
      </w:r>
      <w:r>
        <w:rPr>
          <w:color w:val="231F20"/>
          <w:sz w:val="20"/>
        </w:rPr>
        <w:t>to</w:t>
      </w:r>
      <w:r>
        <w:rPr>
          <w:color w:val="231F20"/>
          <w:spacing w:val="24"/>
          <w:sz w:val="20"/>
        </w:rPr>
        <w:t> </w:t>
      </w:r>
      <w:r>
        <w:rPr>
          <w:color w:val="231F20"/>
          <w:sz w:val="20"/>
        </w:rPr>
        <w:t>stop</w:t>
      </w:r>
      <w:r>
        <w:rPr>
          <w:color w:val="231F20"/>
          <w:spacing w:val="24"/>
          <w:sz w:val="20"/>
        </w:rPr>
        <w:t> </w:t>
      </w:r>
      <w:r>
        <w:rPr>
          <w:color w:val="231F20"/>
          <w:sz w:val="20"/>
        </w:rPr>
        <w:t>other policies or situations, to suspend execution for a given period of time, to evaluate</w:t>
      </w:r>
      <w:r>
        <w:rPr>
          <w:color w:val="231F20"/>
          <w:spacing w:val="27"/>
          <w:sz w:val="20"/>
        </w:rPr>
        <w:t> </w:t>
      </w:r>
      <w:r>
        <w:rPr>
          <w:color w:val="231F20"/>
          <w:sz w:val="20"/>
        </w:rPr>
        <w:t>a</w:t>
      </w:r>
      <w:r>
        <w:rPr>
          <w:color w:val="231F20"/>
          <w:spacing w:val="27"/>
          <w:sz w:val="20"/>
        </w:rPr>
        <w:t> </w:t>
      </w:r>
      <w:r>
        <w:rPr>
          <w:color w:val="231F20"/>
          <w:sz w:val="20"/>
        </w:rPr>
        <w:t>situation,</w:t>
      </w:r>
      <w:r>
        <w:rPr>
          <w:color w:val="231F20"/>
          <w:spacing w:val="27"/>
          <w:sz w:val="20"/>
        </w:rPr>
        <w:t> </w:t>
      </w:r>
      <w:r>
        <w:rPr>
          <w:color w:val="231F20"/>
          <w:sz w:val="20"/>
        </w:rPr>
        <w:t>and</w:t>
      </w:r>
      <w:r>
        <w:rPr>
          <w:color w:val="231F20"/>
          <w:spacing w:val="27"/>
          <w:sz w:val="20"/>
        </w:rPr>
        <w:t> </w:t>
      </w:r>
      <w:r>
        <w:rPr>
          <w:color w:val="231F20"/>
          <w:sz w:val="20"/>
        </w:rPr>
        <w:t>to</w:t>
      </w:r>
      <w:r>
        <w:rPr>
          <w:color w:val="231F20"/>
          <w:spacing w:val="27"/>
          <w:sz w:val="20"/>
        </w:rPr>
        <w:t> </w:t>
      </w:r>
      <w:r>
        <w:rPr>
          <w:color w:val="231F20"/>
          <w:sz w:val="20"/>
        </w:rPr>
        <w:t>invoke</w:t>
      </w:r>
      <w:r>
        <w:rPr>
          <w:color w:val="231F20"/>
          <w:spacing w:val="27"/>
          <w:sz w:val="20"/>
        </w:rPr>
        <w:t> </w:t>
      </w:r>
      <w:r>
        <w:rPr>
          <w:color w:val="231F20"/>
          <w:sz w:val="20"/>
        </w:rPr>
        <w:t>specific</w:t>
      </w:r>
      <w:r>
        <w:rPr>
          <w:color w:val="231F20"/>
          <w:spacing w:val="27"/>
          <w:sz w:val="20"/>
        </w:rPr>
        <w:t> </w:t>
      </w:r>
      <w:r>
        <w:rPr>
          <w:color w:val="231F20"/>
          <w:sz w:val="20"/>
        </w:rPr>
        <w:t>actions You</w:t>
      </w:r>
      <w:r>
        <w:rPr>
          <w:color w:val="231F20"/>
          <w:spacing w:val="27"/>
          <w:sz w:val="20"/>
        </w:rPr>
        <w:t> </w:t>
      </w:r>
      <w:r>
        <w:rPr>
          <w:color w:val="231F20"/>
          <w:sz w:val="20"/>
        </w:rPr>
        <w:t>can</w:t>
      </w:r>
      <w:r>
        <w:rPr>
          <w:color w:val="231F20"/>
          <w:spacing w:val="27"/>
          <w:sz w:val="20"/>
        </w:rPr>
        <w:t> </w:t>
      </w:r>
      <w:r>
        <w:rPr>
          <w:color w:val="231F20"/>
          <w:sz w:val="20"/>
        </w:rPr>
        <w:t>have</w:t>
      </w:r>
      <w:r>
        <w:rPr>
          <w:color w:val="231F20"/>
          <w:spacing w:val="27"/>
          <w:sz w:val="20"/>
        </w:rPr>
        <w:t> </w:t>
      </w:r>
      <w:r>
        <w:rPr>
          <w:color w:val="231F20"/>
          <w:sz w:val="20"/>
        </w:rPr>
        <w:t>several activity programs running either sequentially or in parallel.</w:t>
      </w:r>
    </w:p>
    <w:p>
      <w:pPr>
        <w:pStyle w:val="ListParagraph"/>
        <w:numPr>
          <w:ilvl w:val="0"/>
          <w:numId w:val="144"/>
        </w:numPr>
        <w:tabs>
          <w:tab w:pos="2898" w:val="left" w:leader="none"/>
        </w:tabs>
        <w:spacing w:line="240" w:lineRule="auto" w:before="34" w:after="0"/>
        <w:ind w:left="2898" w:right="0" w:hanging="315"/>
        <w:jc w:val="left"/>
        <w:rPr>
          <w:sz w:val="20"/>
        </w:rPr>
      </w:pPr>
      <w:r>
        <w:rPr>
          <w:color w:val="231F20"/>
          <w:sz w:val="20"/>
        </w:rPr>
        <w:t>Draw</w:t>
      </w:r>
      <w:r>
        <w:rPr>
          <w:color w:val="231F20"/>
          <w:spacing w:val="10"/>
          <w:sz w:val="20"/>
        </w:rPr>
        <w:t> </w:t>
      </w:r>
      <w:r>
        <w:rPr>
          <w:color w:val="231F20"/>
          <w:sz w:val="20"/>
        </w:rPr>
        <w:t>connecting</w:t>
      </w:r>
      <w:r>
        <w:rPr>
          <w:color w:val="231F20"/>
          <w:spacing w:val="11"/>
          <w:sz w:val="20"/>
        </w:rPr>
        <w:t> </w:t>
      </w:r>
      <w:r>
        <w:rPr>
          <w:color w:val="231F20"/>
          <w:sz w:val="20"/>
        </w:rPr>
        <w:t>lines</w:t>
      </w:r>
      <w:r>
        <w:rPr>
          <w:color w:val="231F20"/>
          <w:spacing w:val="10"/>
          <w:sz w:val="20"/>
        </w:rPr>
        <w:t> </w:t>
      </w:r>
      <w:r>
        <w:rPr>
          <w:color w:val="231F20"/>
          <w:sz w:val="20"/>
        </w:rPr>
        <w:t>to</w:t>
      </w:r>
      <w:r>
        <w:rPr>
          <w:color w:val="231F20"/>
          <w:spacing w:val="11"/>
          <w:sz w:val="20"/>
        </w:rPr>
        <w:t> </w:t>
      </w:r>
      <w:r>
        <w:rPr>
          <w:color w:val="231F20"/>
          <w:sz w:val="20"/>
        </w:rPr>
        <w:t>direct</w:t>
      </w:r>
      <w:r>
        <w:rPr>
          <w:color w:val="231F20"/>
          <w:spacing w:val="10"/>
          <w:sz w:val="20"/>
        </w:rPr>
        <w:t> </w:t>
      </w:r>
      <w:r>
        <w:rPr>
          <w:color w:val="231F20"/>
          <w:sz w:val="20"/>
        </w:rPr>
        <w:t>the</w:t>
      </w:r>
      <w:r>
        <w:rPr>
          <w:color w:val="231F20"/>
          <w:spacing w:val="11"/>
          <w:sz w:val="20"/>
        </w:rPr>
        <w:t> </w:t>
      </w:r>
      <w:r>
        <w:rPr>
          <w:color w:val="231F20"/>
          <w:spacing w:val="-2"/>
          <w:sz w:val="20"/>
        </w:rPr>
        <w:t>workflow:</w:t>
      </w:r>
    </w:p>
    <w:p>
      <w:pPr>
        <w:pStyle w:val="ListParagraph"/>
        <w:numPr>
          <w:ilvl w:val="1"/>
          <w:numId w:val="144"/>
        </w:numPr>
        <w:tabs>
          <w:tab w:pos="3213" w:val="left" w:leader="none"/>
          <w:tab w:pos="3215" w:val="left" w:leader="none"/>
        </w:tabs>
        <w:spacing w:line="213" w:lineRule="auto" w:before="52" w:after="0"/>
        <w:ind w:left="3215" w:right="258" w:hanging="317"/>
        <w:jc w:val="left"/>
        <w:rPr>
          <w:sz w:val="20"/>
        </w:rPr>
      </w:pPr>
      <w:r>
        <w:rPr>
          <w:color w:val="231F20"/>
          <w:sz w:val="20"/>
        </w:rPr>
        <w:t>Click </w:t>
      </w:r>
      <w:r>
        <w:rPr>
          <w:color w:val="231F20"/>
          <w:spacing w:val="16"/>
          <w:position w:val="1"/>
          <w:sz w:val="20"/>
        </w:rPr>
        <w:drawing>
          <wp:inline distT="0" distB="0" distL="0" distR="0">
            <wp:extent cx="311149" cy="63500"/>
            <wp:effectExtent l="0" t="0" r="0" b="0"/>
            <wp:docPr id="2690" name="Image 2690"/>
            <wp:cNvGraphicFramePr>
              <a:graphicFrameLocks/>
            </wp:cNvGraphicFramePr>
            <a:graphic>
              <a:graphicData uri="http://schemas.openxmlformats.org/drawingml/2006/picture">
                <pic:pic>
                  <pic:nvPicPr>
                    <pic:cNvPr id="2690" name="Image 2690"/>
                    <pic:cNvPicPr/>
                  </pic:nvPicPr>
                  <pic:blipFill>
                    <a:blip r:embed="rId418" cstate="print"/>
                    <a:stretch>
                      <a:fillRect/>
                    </a:stretch>
                  </pic:blipFill>
                  <pic:spPr>
                    <a:xfrm>
                      <a:off x="0" y="0"/>
                      <a:ext cx="311149" cy="635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Connector, then click inside one activity and again inside the one that follows. The Select a link condition window opens with a list of possible conditions that will run the next activity. When you join </w:t>
      </w:r>
      <w:r>
        <w:rPr>
          <w:color w:val="231F20"/>
          <w:sz w:val="20"/>
        </w:rPr>
        <w:t>activities with the Connect tool, you assign an endcode to each connection. An endcode indicates the result of activity processing and control the flow of activities in a policy.</w:t>
      </w:r>
    </w:p>
    <w:p>
      <w:pPr>
        <w:pStyle w:val="ListParagraph"/>
        <w:numPr>
          <w:ilvl w:val="1"/>
          <w:numId w:val="144"/>
        </w:numPr>
        <w:tabs>
          <w:tab w:pos="3215" w:val="left" w:leader="none"/>
        </w:tabs>
        <w:spacing w:line="213" w:lineRule="auto" w:before="56" w:after="0"/>
        <w:ind w:left="3215" w:right="166" w:hanging="316"/>
        <w:jc w:val="left"/>
        <w:rPr>
          <w:sz w:val="20"/>
        </w:rPr>
      </w:pPr>
      <w:r>
        <w:rPr>
          <w:color w:val="231F20"/>
          <w:sz w:val="20"/>
        </w:rPr>
        <w:t>Select the result that will trigger the next activity, then click </w:t>
      </w:r>
      <w:r>
        <w:rPr>
          <w:rFonts w:ascii="Book Antiqua"/>
          <w:b/>
          <w:color w:val="231F20"/>
          <w:sz w:val="20"/>
        </w:rPr>
        <w:t>OK</w:t>
      </w:r>
      <w:r>
        <w:rPr>
          <w:color w:val="231F20"/>
          <w:sz w:val="20"/>
        </w:rPr>
        <w:t>. The completion of one activity starts the execution of the next activity based on the link condition chosen here. If, for example, you connect a </w:t>
      </w:r>
      <w:r>
        <w:rPr>
          <w:rFonts w:ascii="Book Antiqua"/>
          <w:b/>
          <w:color w:val="231F20"/>
          <w:sz w:val="20"/>
        </w:rPr>
        <w:t>Wait until a situation is True </w:t>
      </w:r>
      <w:r>
        <w:rPr>
          <w:color w:val="231F20"/>
          <w:sz w:val="20"/>
        </w:rPr>
        <w:t>activity to a </w:t>
      </w:r>
      <w:r>
        <w:rPr>
          <w:rFonts w:ascii="Book Antiqua"/>
          <w:b/>
          <w:color w:val="231F20"/>
          <w:sz w:val="20"/>
        </w:rPr>
        <w:t>Take action or Write message </w:t>
      </w:r>
      <w:r>
        <w:rPr>
          <w:color w:val="231F20"/>
          <w:sz w:val="20"/>
        </w:rPr>
        <w:t>activity, and choose</w:t>
      </w:r>
      <w:r>
        <w:rPr>
          <w:color w:val="231F20"/>
          <w:spacing w:val="26"/>
          <w:sz w:val="20"/>
        </w:rPr>
        <w:t> </w:t>
      </w:r>
      <w:r>
        <w:rPr>
          <w:rFonts w:ascii="Book Antiqua"/>
          <w:b/>
          <w:color w:val="231F20"/>
          <w:sz w:val="20"/>
        </w:rPr>
        <w:t>Situation</w:t>
      </w:r>
      <w:r>
        <w:rPr>
          <w:rFonts w:ascii="Book Antiqua"/>
          <w:b/>
          <w:color w:val="231F20"/>
          <w:spacing w:val="26"/>
          <w:sz w:val="20"/>
        </w:rPr>
        <w:t> </w:t>
      </w:r>
      <w:r>
        <w:rPr>
          <w:rFonts w:ascii="Book Antiqua"/>
          <w:b/>
          <w:color w:val="231F20"/>
          <w:sz w:val="20"/>
        </w:rPr>
        <w:t>is</w:t>
      </w:r>
      <w:r>
        <w:rPr>
          <w:rFonts w:ascii="Book Antiqua"/>
          <w:b/>
          <w:color w:val="231F20"/>
          <w:spacing w:val="26"/>
          <w:sz w:val="20"/>
        </w:rPr>
        <w:t> </w:t>
      </w:r>
      <w:r>
        <w:rPr>
          <w:rFonts w:ascii="Book Antiqua"/>
          <w:b/>
          <w:color w:val="231F20"/>
          <w:sz w:val="20"/>
        </w:rPr>
        <w:t>true</w:t>
      </w:r>
      <w:r>
        <w:rPr>
          <w:rFonts w:ascii="Book Antiqua"/>
          <w:b/>
          <w:color w:val="231F20"/>
          <w:spacing w:val="26"/>
          <w:sz w:val="20"/>
        </w:rPr>
        <w:t> </w:t>
      </w:r>
      <w:r>
        <w:rPr>
          <w:color w:val="231F20"/>
          <w:sz w:val="20"/>
        </w:rPr>
        <w:t>as</w:t>
      </w:r>
      <w:r>
        <w:rPr>
          <w:color w:val="231F20"/>
          <w:spacing w:val="26"/>
          <w:sz w:val="20"/>
        </w:rPr>
        <w:t> </w:t>
      </w:r>
      <w:r>
        <w:rPr>
          <w:color w:val="231F20"/>
          <w:sz w:val="20"/>
        </w:rPr>
        <w:t>the</w:t>
      </w:r>
      <w:r>
        <w:rPr>
          <w:color w:val="231F20"/>
          <w:spacing w:val="26"/>
          <w:sz w:val="20"/>
        </w:rPr>
        <w:t> </w:t>
      </w:r>
      <w:r>
        <w:rPr>
          <w:color w:val="231F20"/>
          <w:sz w:val="20"/>
        </w:rPr>
        <w:t>condition,</w:t>
      </w:r>
      <w:r>
        <w:rPr>
          <w:color w:val="231F20"/>
          <w:spacing w:val="26"/>
          <w:sz w:val="20"/>
        </w:rPr>
        <w:t> </w:t>
      </w:r>
      <w:r>
        <w:rPr>
          <w:color w:val="231F20"/>
          <w:sz w:val="20"/>
        </w:rPr>
        <w:t>the</w:t>
      </w:r>
      <w:r>
        <w:rPr>
          <w:color w:val="231F20"/>
          <w:spacing w:val="26"/>
          <w:sz w:val="20"/>
        </w:rPr>
        <w:t> </w:t>
      </w:r>
      <w:r>
        <w:rPr>
          <w:rFonts w:ascii="Book Antiqua"/>
          <w:b/>
          <w:color w:val="231F20"/>
          <w:sz w:val="20"/>
        </w:rPr>
        <w:t>Take</w:t>
      </w:r>
      <w:r>
        <w:rPr>
          <w:rFonts w:ascii="Book Antiqua"/>
          <w:b/>
          <w:color w:val="231F20"/>
          <w:spacing w:val="26"/>
          <w:sz w:val="20"/>
        </w:rPr>
        <w:t> </w:t>
      </w:r>
      <w:r>
        <w:rPr>
          <w:rFonts w:ascii="Book Antiqua"/>
          <w:b/>
          <w:color w:val="231F20"/>
          <w:sz w:val="20"/>
        </w:rPr>
        <w:t>action</w:t>
      </w:r>
      <w:r>
        <w:rPr>
          <w:rFonts w:ascii="Book Antiqua"/>
          <w:b/>
          <w:color w:val="231F20"/>
          <w:spacing w:val="26"/>
          <w:sz w:val="20"/>
        </w:rPr>
        <w:t> </w:t>
      </w:r>
      <w:r>
        <w:rPr>
          <w:rFonts w:ascii="Book Antiqua"/>
          <w:b/>
          <w:color w:val="231F20"/>
          <w:sz w:val="20"/>
        </w:rPr>
        <w:t>or</w:t>
      </w:r>
      <w:r>
        <w:rPr>
          <w:rFonts w:ascii="Book Antiqua"/>
          <w:b/>
          <w:color w:val="231F20"/>
          <w:spacing w:val="26"/>
          <w:sz w:val="20"/>
        </w:rPr>
        <w:t> </w:t>
      </w:r>
      <w:r>
        <w:rPr>
          <w:rFonts w:ascii="Book Antiqua"/>
          <w:b/>
          <w:color w:val="231F20"/>
          <w:sz w:val="20"/>
        </w:rPr>
        <w:t>Write</w:t>
      </w:r>
      <w:r>
        <w:rPr>
          <w:rFonts w:ascii="Book Antiqua"/>
          <w:b/>
          <w:color w:val="231F20"/>
          <w:sz w:val="20"/>
        </w:rPr>
        <w:t> message </w:t>
      </w:r>
      <w:r>
        <w:rPr>
          <w:color w:val="231F20"/>
          <w:sz w:val="20"/>
        </w:rPr>
        <w:t>activity begins executing when the situation becomes true. Every activity type except </w:t>
      </w:r>
      <w:r>
        <w:rPr>
          <w:rFonts w:ascii="Book Antiqua"/>
          <w:b/>
          <w:color w:val="231F20"/>
          <w:sz w:val="20"/>
        </w:rPr>
        <w:t>Suspend execution </w:t>
      </w:r>
      <w:r>
        <w:rPr>
          <w:color w:val="231F20"/>
          <w:sz w:val="20"/>
        </w:rPr>
        <w:t>gives you multiple conditions from which to choose. You can create an activity for each one of these</w:t>
      </w:r>
    </w:p>
    <w:p>
      <w:pPr>
        <w:pStyle w:val="BodyText"/>
        <w:spacing w:line="241" w:lineRule="exact"/>
        <w:ind w:left="3215"/>
      </w:pPr>
      <w:r>
        <w:rPr>
          <w:color w:val="231F20"/>
        </w:rPr>
        <w:t>conditions</w:t>
      </w:r>
      <w:r>
        <w:rPr>
          <w:color w:val="231F20"/>
          <w:spacing w:val="10"/>
        </w:rPr>
        <w:t> </w:t>
      </w:r>
      <w:r>
        <w:rPr>
          <w:color w:val="231F20"/>
        </w:rPr>
        <w:t>and</w:t>
      </w:r>
      <w:r>
        <w:rPr>
          <w:color w:val="231F20"/>
          <w:spacing w:val="11"/>
        </w:rPr>
        <w:t> </w:t>
      </w:r>
      <w:r>
        <w:rPr>
          <w:color w:val="231F20"/>
        </w:rPr>
        <w:t>connect</w:t>
      </w:r>
      <w:r>
        <w:rPr>
          <w:color w:val="231F20"/>
          <w:spacing w:val="11"/>
        </w:rPr>
        <w:t> </w:t>
      </w:r>
      <w:r>
        <w:rPr>
          <w:color w:val="231F20"/>
        </w:rPr>
        <w:t>to</w:t>
      </w:r>
      <w:r>
        <w:rPr>
          <w:color w:val="231F20"/>
          <w:spacing w:val="11"/>
        </w:rPr>
        <w:t> </w:t>
      </w:r>
      <w:r>
        <w:rPr>
          <w:color w:val="231F20"/>
        </w:rPr>
        <w:t>each</w:t>
      </w:r>
      <w:r>
        <w:rPr>
          <w:color w:val="231F20"/>
          <w:spacing w:val="10"/>
        </w:rPr>
        <w:t> </w:t>
      </w:r>
      <w:r>
        <w:rPr>
          <w:color w:val="231F20"/>
        </w:rPr>
        <w:t>of</w:t>
      </w:r>
      <w:r>
        <w:rPr>
          <w:color w:val="231F20"/>
          <w:spacing w:val="11"/>
        </w:rPr>
        <w:t> </w:t>
      </w:r>
      <w:r>
        <w:rPr>
          <w:color w:val="231F20"/>
        </w:rPr>
        <w:t>them</w:t>
      </w:r>
      <w:r>
        <w:rPr>
          <w:color w:val="231F20"/>
          <w:spacing w:val="11"/>
        </w:rPr>
        <w:t> </w:t>
      </w:r>
      <w:r>
        <w:rPr>
          <w:color w:val="231F20"/>
        </w:rPr>
        <w:t>from</w:t>
      </w:r>
      <w:r>
        <w:rPr>
          <w:color w:val="231F20"/>
          <w:spacing w:val="11"/>
        </w:rPr>
        <w:t> </w:t>
      </w:r>
      <w:r>
        <w:rPr>
          <w:color w:val="231F20"/>
        </w:rPr>
        <w:t>the</w:t>
      </w:r>
      <w:r>
        <w:rPr>
          <w:color w:val="231F20"/>
          <w:spacing w:val="10"/>
        </w:rPr>
        <w:t> </w:t>
      </w:r>
      <w:r>
        <w:rPr>
          <w:color w:val="231F20"/>
        </w:rPr>
        <w:t>source</w:t>
      </w:r>
      <w:r>
        <w:rPr>
          <w:color w:val="231F20"/>
          <w:spacing w:val="11"/>
        </w:rPr>
        <w:t> </w:t>
      </w:r>
      <w:r>
        <w:rPr>
          <w:color w:val="231F20"/>
          <w:spacing w:val="-2"/>
        </w:rPr>
        <w:t>activity.</w:t>
      </w:r>
    </w:p>
    <w:p>
      <w:pPr>
        <w:pStyle w:val="ListParagraph"/>
        <w:numPr>
          <w:ilvl w:val="1"/>
          <w:numId w:val="144"/>
        </w:numPr>
        <w:tabs>
          <w:tab w:pos="3202" w:val="left" w:leader="none"/>
        </w:tabs>
        <w:spacing w:line="240" w:lineRule="auto" w:before="30" w:after="0"/>
        <w:ind w:left="3202" w:right="0" w:hanging="303"/>
        <w:jc w:val="left"/>
        <w:rPr>
          <w:sz w:val="20"/>
        </w:rPr>
      </w:pPr>
      <w:r>
        <w:rPr>
          <w:color w:val="231F20"/>
          <w:sz w:val="20"/>
        </w:rPr>
        <w:t>Connect</w:t>
      </w:r>
      <w:r>
        <w:rPr>
          <w:color w:val="231F20"/>
          <w:spacing w:val="8"/>
          <w:sz w:val="20"/>
        </w:rPr>
        <w:t> </w:t>
      </w:r>
      <w:r>
        <w:rPr>
          <w:color w:val="231F20"/>
          <w:sz w:val="20"/>
        </w:rPr>
        <w:t>the</w:t>
      </w:r>
      <w:r>
        <w:rPr>
          <w:color w:val="231F20"/>
          <w:spacing w:val="8"/>
          <w:sz w:val="20"/>
        </w:rPr>
        <w:t> </w:t>
      </w:r>
      <w:r>
        <w:rPr>
          <w:color w:val="231F20"/>
          <w:sz w:val="20"/>
        </w:rPr>
        <w:t>remaining</w:t>
      </w:r>
      <w:r>
        <w:rPr>
          <w:color w:val="231F20"/>
          <w:spacing w:val="8"/>
          <w:sz w:val="20"/>
        </w:rPr>
        <w:t> </w:t>
      </w:r>
      <w:r>
        <w:rPr>
          <w:color w:val="231F20"/>
          <w:spacing w:val="-2"/>
          <w:sz w:val="20"/>
        </w:rPr>
        <w:t>activities.</w:t>
      </w:r>
    </w:p>
    <w:p>
      <w:pPr>
        <w:pStyle w:val="BodyText"/>
        <w:spacing w:line="213" w:lineRule="auto" w:before="52"/>
        <w:ind w:left="3419" w:right="385" w:hanging="216"/>
      </w:pPr>
      <w:r>
        <w:rPr>
          <w:rFonts w:ascii="Futura MdCn BT"/>
          <w:color w:val="231F20"/>
        </w:rPr>
        <w:t>v</w:t>
      </w:r>
      <w:r>
        <w:rPr>
          <w:rFonts w:ascii="Futura MdCn BT"/>
          <w:color w:val="231F20"/>
          <w:spacing w:val="80"/>
        </w:rPr>
        <w:t> </w:t>
      </w:r>
      <w:r>
        <w:rPr>
          <w:color w:val="231F20"/>
        </w:rPr>
        <w:t>You</w:t>
      </w:r>
      <w:r>
        <w:rPr>
          <w:color w:val="231F20"/>
          <w:spacing w:val="26"/>
        </w:rPr>
        <w:t> </w:t>
      </w:r>
      <w:r>
        <w:rPr>
          <w:color w:val="231F20"/>
        </w:rPr>
        <w:t>can</w:t>
      </w:r>
      <w:r>
        <w:rPr>
          <w:color w:val="231F20"/>
          <w:spacing w:val="26"/>
        </w:rPr>
        <w:t> </w:t>
      </w:r>
      <w:r>
        <w:rPr>
          <w:color w:val="231F20"/>
        </w:rPr>
        <w:t>double-click</w:t>
      </w:r>
      <w:r>
        <w:rPr>
          <w:color w:val="231F20"/>
          <w:spacing w:val="16"/>
        </w:rPr>
        <w:t> </w:t>
      </w:r>
      <w:r>
        <w:rPr>
          <w:color w:val="231F20"/>
          <w:spacing w:val="16"/>
          <w:position w:val="1"/>
        </w:rPr>
        <w:drawing>
          <wp:inline distT="0" distB="0" distL="0" distR="0">
            <wp:extent cx="311150" cy="63500"/>
            <wp:effectExtent l="0" t="0" r="0" b="0"/>
            <wp:docPr id="2691" name="Image 2691"/>
            <wp:cNvGraphicFramePr>
              <a:graphicFrameLocks/>
            </wp:cNvGraphicFramePr>
            <a:graphic>
              <a:graphicData uri="http://schemas.openxmlformats.org/drawingml/2006/picture">
                <pic:pic>
                  <pic:nvPicPr>
                    <pic:cNvPr id="2691" name="Image 2691"/>
                    <pic:cNvPicPr/>
                  </pic:nvPicPr>
                  <pic:blipFill>
                    <a:blip r:embed="rId418" cstate="print"/>
                    <a:stretch>
                      <a:fillRect/>
                    </a:stretch>
                  </pic:blipFill>
                  <pic:spPr>
                    <a:xfrm>
                      <a:off x="0" y="0"/>
                      <a:ext cx="311150" cy="63500"/>
                    </a:xfrm>
                    <a:prstGeom prst="rect">
                      <a:avLst/>
                    </a:prstGeom>
                  </pic:spPr>
                </pic:pic>
              </a:graphicData>
            </a:graphic>
          </wp:inline>
        </w:drawing>
      </w:r>
      <w:r>
        <w:rPr>
          <w:color w:val="231F20"/>
          <w:spacing w:val="16"/>
          <w:position w:val="1"/>
        </w:rPr>
      </w:r>
      <w:r>
        <w:rPr>
          <w:rFonts w:ascii="Times New Roman"/>
          <w:color w:val="231F20"/>
          <w:spacing w:val="-2"/>
        </w:rPr>
        <w:t> </w:t>
      </w:r>
      <w:r>
        <w:rPr>
          <w:rFonts w:ascii="Book Antiqua"/>
          <w:b/>
          <w:color w:val="231F20"/>
        </w:rPr>
        <w:t>Connect</w:t>
      </w:r>
      <w:r>
        <w:rPr>
          <w:rFonts w:ascii="Book Antiqua"/>
          <w:b/>
          <w:color w:val="231F20"/>
          <w:spacing w:val="26"/>
        </w:rPr>
        <w:t> </w:t>
      </w:r>
      <w:r>
        <w:rPr>
          <w:color w:val="231F20"/>
        </w:rPr>
        <w:t>to</w:t>
      </w:r>
      <w:r>
        <w:rPr>
          <w:color w:val="231F20"/>
          <w:spacing w:val="26"/>
        </w:rPr>
        <w:t> </w:t>
      </w:r>
      <w:r>
        <w:rPr>
          <w:color w:val="231F20"/>
        </w:rPr>
        <w:t>keep</w:t>
      </w:r>
      <w:r>
        <w:rPr>
          <w:color w:val="231F20"/>
          <w:spacing w:val="26"/>
        </w:rPr>
        <w:t> </w:t>
      </w:r>
      <w:r>
        <w:rPr>
          <w:color w:val="231F20"/>
        </w:rPr>
        <w:t>it</w:t>
      </w:r>
      <w:r>
        <w:rPr>
          <w:color w:val="231F20"/>
          <w:spacing w:val="26"/>
        </w:rPr>
        <w:t> </w:t>
      </w:r>
      <w:r>
        <w:rPr>
          <w:color w:val="231F20"/>
        </w:rPr>
        <w:t>on</w:t>
      </w:r>
      <w:r>
        <w:rPr>
          <w:color w:val="231F20"/>
          <w:spacing w:val="26"/>
        </w:rPr>
        <w:t> </w:t>
      </w:r>
      <w:r>
        <w:rPr>
          <w:color w:val="231F20"/>
        </w:rPr>
        <w:t>until</w:t>
      </w:r>
      <w:r>
        <w:rPr>
          <w:color w:val="231F20"/>
          <w:spacing w:val="26"/>
        </w:rPr>
        <w:t> </w:t>
      </w:r>
      <w:r>
        <w:rPr>
          <w:color w:val="231F20"/>
        </w:rPr>
        <w:t>you</w:t>
      </w:r>
      <w:r>
        <w:rPr>
          <w:color w:val="231F20"/>
          <w:spacing w:val="26"/>
        </w:rPr>
        <w:t> </w:t>
      </w:r>
      <w:r>
        <w:rPr>
          <w:color w:val="231F20"/>
        </w:rPr>
        <w:t>select another activity or click</w:t>
      </w:r>
      <w:r>
        <w:rPr>
          <w:color w:val="231F20"/>
          <w:spacing w:val="39"/>
        </w:rPr>
        <w:t> </w:t>
      </w:r>
      <w:r>
        <w:rPr>
          <w:color w:val="231F20"/>
          <w:spacing w:val="-5"/>
          <w:position w:val="-1"/>
        </w:rPr>
        <w:drawing>
          <wp:inline distT="0" distB="0" distL="0" distR="0">
            <wp:extent cx="63500" cy="101600"/>
            <wp:effectExtent l="0" t="0" r="0" b="0"/>
            <wp:docPr id="2692" name="Image 2692"/>
            <wp:cNvGraphicFramePr>
              <a:graphicFrameLocks/>
            </wp:cNvGraphicFramePr>
            <a:graphic>
              <a:graphicData uri="http://schemas.openxmlformats.org/drawingml/2006/picture">
                <pic:pic>
                  <pic:nvPicPr>
                    <pic:cNvPr id="2692" name="Image 2692"/>
                    <pic:cNvPicPr/>
                  </pic:nvPicPr>
                  <pic:blipFill>
                    <a:blip r:embed="rId273" cstate="print"/>
                    <a:stretch>
                      <a:fillRect/>
                    </a:stretch>
                  </pic:blipFill>
                  <pic:spPr>
                    <a:xfrm>
                      <a:off x="0" y="0"/>
                      <a:ext cx="63500" cy="101600"/>
                    </a:xfrm>
                    <a:prstGeom prst="rect">
                      <a:avLst/>
                    </a:prstGeom>
                  </pic:spPr>
                </pic:pic>
              </a:graphicData>
            </a:graphic>
          </wp:inline>
        </w:drawing>
      </w:r>
      <w:r>
        <w:rPr>
          <w:color w:val="231F20"/>
          <w:spacing w:val="-5"/>
          <w:position w:val="-1"/>
        </w:rPr>
      </w:r>
      <w:r>
        <w:rPr>
          <w:rFonts w:ascii="Times New Roman"/>
          <w:color w:val="231F20"/>
          <w:spacing w:val="29"/>
        </w:rPr>
        <w:t> </w:t>
      </w:r>
      <w:r>
        <w:rPr>
          <w:rFonts w:ascii="Book Antiqua"/>
          <w:b/>
          <w:color w:val="231F20"/>
        </w:rPr>
        <w:t>Select</w:t>
      </w:r>
      <w:r>
        <w:rPr>
          <w:color w:val="231F20"/>
        </w:rPr>
        <w:t>. After drawing a connector line, a </w:t>
      </w:r>
      <w:r>
        <w:rPr>
          <w:color w:val="231F20"/>
        </w:rPr>
        <w:t>thin</w:t>
      </w:r>
      <w:r>
        <w:rPr>
          <w:color w:val="231F20"/>
        </w:rPr>
        <w:t> black line is displayed between the two activities. The line disappears when you draw the next connector line or turn off the tool.</w:t>
      </w:r>
    </w:p>
    <w:p>
      <w:pPr>
        <w:pStyle w:val="BodyText"/>
        <w:spacing w:line="213" w:lineRule="auto" w:before="58"/>
        <w:ind w:left="3419" w:right="385" w:hanging="216"/>
      </w:pPr>
      <w:r>
        <w:rPr>
          <w:rFonts w:ascii="Futura MdCn BT"/>
          <w:color w:val="231F20"/>
        </w:rPr>
        <w:t>v</w:t>
      </w:r>
      <w:r>
        <w:rPr>
          <w:rFonts w:ascii="Futura MdCn BT"/>
          <w:color w:val="231F20"/>
          <w:spacing w:val="80"/>
        </w:rPr>
        <w:t> </w:t>
      </w:r>
      <w:r>
        <w:rPr>
          <w:color w:val="231F20"/>
        </w:rPr>
        <w:t>While </w:t>
      </w:r>
      <w:r>
        <w:rPr>
          <w:color w:val="231F20"/>
          <w:spacing w:val="16"/>
          <w:position w:val="1"/>
        </w:rPr>
        <w:drawing>
          <wp:inline distT="0" distB="0" distL="0" distR="0">
            <wp:extent cx="311150" cy="63500"/>
            <wp:effectExtent l="0" t="0" r="0" b="0"/>
            <wp:docPr id="2693" name="Image 2693"/>
            <wp:cNvGraphicFramePr>
              <a:graphicFrameLocks/>
            </wp:cNvGraphicFramePr>
            <a:graphic>
              <a:graphicData uri="http://schemas.openxmlformats.org/drawingml/2006/picture">
                <pic:pic>
                  <pic:nvPicPr>
                    <pic:cNvPr id="2693" name="Image 2693"/>
                    <pic:cNvPicPr/>
                  </pic:nvPicPr>
                  <pic:blipFill>
                    <a:blip r:embed="rId418" cstate="print"/>
                    <a:stretch>
                      <a:fillRect/>
                    </a:stretch>
                  </pic:blipFill>
                  <pic:spPr>
                    <a:xfrm>
                      <a:off x="0" y="0"/>
                      <a:ext cx="311150" cy="63500"/>
                    </a:xfrm>
                    <a:prstGeom prst="rect">
                      <a:avLst/>
                    </a:prstGeom>
                  </pic:spPr>
                </pic:pic>
              </a:graphicData>
            </a:graphic>
          </wp:inline>
        </w:drawing>
      </w:r>
      <w:r>
        <w:rPr>
          <w:color w:val="231F20"/>
          <w:spacing w:val="16"/>
          <w:position w:val="1"/>
        </w:rPr>
      </w:r>
      <w:r>
        <w:rPr>
          <w:rFonts w:ascii="Times New Roman"/>
          <w:color w:val="231F20"/>
          <w:spacing w:val="-2"/>
        </w:rPr>
        <w:t> </w:t>
      </w:r>
      <w:r>
        <w:rPr>
          <w:color w:val="231F20"/>
        </w:rPr>
        <w:t>Connect is active, every mouse movement in the Grapher view draws the connector line. Right-click if you want to stop drawing temporarily. As soon as you click an activity in the Grapher view </w:t>
      </w:r>
      <w:r>
        <w:rPr>
          <w:color w:val="231F20"/>
        </w:rPr>
        <w:t>again,</w:t>
      </w:r>
    </w:p>
    <w:p>
      <w:pPr>
        <w:spacing w:after="0" w:line="213" w:lineRule="auto"/>
        <w:sectPr>
          <w:footerReference w:type="default" r:id="rId420"/>
          <w:footerReference w:type="even" r:id="rId421"/>
          <w:pgSz w:w="12240" w:h="15840"/>
          <w:pgMar w:header="0" w:footer="736" w:top="1140" w:bottom="920" w:left="1000" w:right="1060"/>
          <w:pgNumType w:start="325"/>
        </w:sectPr>
      </w:pPr>
    </w:p>
    <w:p>
      <w:pPr>
        <w:pStyle w:val="BodyText"/>
        <w:spacing w:line="213" w:lineRule="auto" w:before="85"/>
        <w:ind w:left="3180" w:right="545"/>
      </w:pPr>
      <w:r>
        <w:rPr>
          <w:color w:val="231F20"/>
        </w:rPr>
        <w:t>the tool will be reactivated and you can continue to draw. Also, you </w:t>
      </w:r>
      <w:r>
        <w:rPr>
          <w:color w:val="231F20"/>
        </w:rPr>
        <w:t>can click</w:t>
      </w:r>
      <w:r>
        <w:rPr>
          <w:color w:val="231F20"/>
          <w:spacing w:val="38"/>
        </w:rPr>
        <w:t> </w:t>
      </w:r>
      <w:r>
        <w:rPr>
          <w:color w:val="231F20"/>
          <w:spacing w:val="-24"/>
          <w:position w:val="-1"/>
        </w:rPr>
        <w:drawing>
          <wp:inline distT="0" distB="0" distL="0" distR="0">
            <wp:extent cx="88900" cy="88900"/>
            <wp:effectExtent l="0" t="0" r="0" b="0"/>
            <wp:docPr id="2694" name="Image 2694"/>
            <wp:cNvGraphicFramePr>
              <a:graphicFrameLocks/>
            </wp:cNvGraphicFramePr>
            <a:graphic>
              <a:graphicData uri="http://schemas.openxmlformats.org/drawingml/2006/picture">
                <pic:pic>
                  <pic:nvPicPr>
                    <pic:cNvPr id="2694" name="Image 2694"/>
                    <pic:cNvPicPr/>
                  </pic:nvPicPr>
                  <pic:blipFill>
                    <a:blip r:embed="rId42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40"/>
        </w:rPr>
        <w:t> </w:t>
      </w:r>
      <w:r>
        <w:rPr>
          <w:rFonts w:ascii="Book Antiqua"/>
          <w:b/>
          <w:color w:val="231F20"/>
        </w:rPr>
        <w:t>Undo </w:t>
      </w:r>
      <w:r>
        <w:rPr>
          <w:color w:val="231F20"/>
        </w:rPr>
        <w:t>to cancel the last change you made (or changes, if you continue to click).</w:t>
      </w:r>
    </w:p>
    <w:p>
      <w:pPr>
        <w:pStyle w:val="ListParagraph"/>
        <w:numPr>
          <w:ilvl w:val="0"/>
          <w:numId w:val="144"/>
        </w:numPr>
        <w:tabs>
          <w:tab w:pos="2658" w:val="left" w:leader="none"/>
        </w:tabs>
        <w:spacing w:line="255" w:lineRule="exact" w:before="34" w:after="0"/>
        <w:ind w:left="2658" w:right="0" w:hanging="315"/>
        <w:jc w:val="left"/>
        <w:rPr>
          <w:sz w:val="20"/>
        </w:rPr>
      </w:pPr>
      <w:r>
        <w:rPr>
          <w:color w:val="231F20"/>
          <w:sz w:val="20"/>
        </w:rPr>
        <w:t>When</w:t>
      </w:r>
      <w:r>
        <w:rPr>
          <w:color w:val="231F20"/>
          <w:spacing w:val="10"/>
          <w:sz w:val="20"/>
        </w:rPr>
        <w:t> </w:t>
      </w:r>
      <w:r>
        <w:rPr>
          <w:color w:val="231F20"/>
          <w:sz w:val="20"/>
        </w:rPr>
        <w:t>you</w:t>
      </w:r>
      <w:r>
        <w:rPr>
          <w:color w:val="231F20"/>
          <w:spacing w:val="10"/>
          <w:sz w:val="20"/>
        </w:rPr>
        <w:t> </w:t>
      </w:r>
      <w:r>
        <w:rPr>
          <w:color w:val="231F20"/>
          <w:sz w:val="20"/>
        </w:rPr>
        <w:t>have</w:t>
      </w:r>
      <w:r>
        <w:rPr>
          <w:color w:val="231F20"/>
          <w:spacing w:val="10"/>
          <w:sz w:val="20"/>
        </w:rPr>
        <w:t> </w:t>
      </w:r>
      <w:r>
        <w:rPr>
          <w:color w:val="231F20"/>
          <w:sz w:val="20"/>
        </w:rPr>
        <w:t>finished</w:t>
      </w:r>
      <w:r>
        <w:rPr>
          <w:color w:val="231F20"/>
          <w:spacing w:val="10"/>
          <w:sz w:val="20"/>
        </w:rPr>
        <w:t> </w:t>
      </w:r>
      <w:r>
        <w:rPr>
          <w:color w:val="231F20"/>
          <w:sz w:val="20"/>
        </w:rPr>
        <w:t>adding</w:t>
      </w:r>
      <w:r>
        <w:rPr>
          <w:color w:val="231F20"/>
          <w:spacing w:val="10"/>
          <w:sz w:val="20"/>
        </w:rPr>
        <w:t> </w:t>
      </w:r>
      <w:r>
        <w:rPr>
          <w:color w:val="231F20"/>
          <w:sz w:val="20"/>
        </w:rPr>
        <w:t>activities</w:t>
      </w:r>
      <w:r>
        <w:rPr>
          <w:color w:val="231F20"/>
          <w:spacing w:val="11"/>
          <w:sz w:val="20"/>
        </w:rPr>
        <w:t> </w:t>
      </w:r>
      <w:r>
        <w:rPr>
          <w:color w:val="231F20"/>
          <w:sz w:val="20"/>
        </w:rPr>
        <w:t>and</w:t>
      </w:r>
      <w:r>
        <w:rPr>
          <w:color w:val="231F20"/>
          <w:spacing w:val="10"/>
          <w:sz w:val="20"/>
        </w:rPr>
        <w:t> </w:t>
      </w:r>
      <w:r>
        <w:rPr>
          <w:color w:val="231F20"/>
          <w:sz w:val="20"/>
        </w:rPr>
        <w:t>connecting</w:t>
      </w:r>
      <w:r>
        <w:rPr>
          <w:color w:val="231F20"/>
          <w:spacing w:val="10"/>
          <w:sz w:val="20"/>
        </w:rPr>
        <w:t> </w:t>
      </w:r>
      <w:r>
        <w:rPr>
          <w:color w:val="231F20"/>
          <w:sz w:val="20"/>
        </w:rPr>
        <w:t>them,</w:t>
      </w:r>
      <w:r>
        <w:rPr>
          <w:color w:val="231F20"/>
          <w:spacing w:val="10"/>
          <w:sz w:val="20"/>
        </w:rPr>
        <w:t> </w:t>
      </w:r>
      <w:r>
        <w:rPr>
          <w:color w:val="231F20"/>
          <w:spacing w:val="-2"/>
          <w:sz w:val="20"/>
        </w:rPr>
        <w:t>click</w:t>
      </w:r>
    </w:p>
    <w:p>
      <w:pPr>
        <w:pStyle w:val="BodyText"/>
        <w:spacing w:line="213" w:lineRule="auto" w:before="8"/>
        <w:ind w:left="2659" w:right="545" w:firstLine="10"/>
      </w:pPr>
      <w:r>
        <w:rPr>
          <w:position w:val="-1"/>
        </w:rPr>
        <w:drawing>
          <wp:inline distT="0" distB="0" distL="0" distR="0">
            <wp:extent cx="95250" cy="95250"/>
            <wp:effectExtent l="0" t="0" r="0" b="0"/>
            <wp:docPr id="2695" name="Image 2695"/>
            <wp:cNvGraphicFramePr>
              <a:graphicFrameLocks/>
            </wp:cNvGraphicFramePr>
            <a:graphic>
              <a:graphicData uri="http://schemas.openxmlformats.org/drawingml/2006/picture">
                <pic:pic>
                  <pic:nvPicPr>
                    <pic:cNvPr id="2695" name="Image 2695"/>
                    <pic:cNvPicPr/>
                  </pic:nvPicPr>
                  <pic:blipFill>
                    <a:blip r:embed="rId42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6"/>
        </w:rPr>
        <w:t> </w:t>
      </w:r>
      <w:r>
        <w:rPr>
          <w:rFonts w:ascii="Book Antiqua"/>
          <w:b/>
          <w:color w:val="231F20"/>
        </w:rPr>
        <w:t>Validate </w:t>
      </w:r>
      <w:r>
        <w:rPr>
          <w:color w:val="231F20"/>
        </w:rPr>
        <w:t>to check the logic flow. If you get an error message, you must fix the problem before you can save the policy.</w:t>
      </w:r>
    </w:p>
    <w:p>
      <w:pPr>
        <w:pStyle w:val="ListParagraph"/>
        <w:numPr>
          <w:ilvl w:val="0"/>
          <w:numId w:val="144"/>
        </w:numPr>
        <w:tabs>
          <w:tab w:pos="2659" w:val="left" w:leader="none"/>
        </w:tabs>
        <w:spacing w:line="213" w:lineRule="auto" w:before="59" w:after="0"/>
        <w:ind w:left="2659" w:right="447" w:hanging="316"/>
        <w:jc w:val="left"/>
        <w:rPr>
          <w:sz w:val="20"/>
        </w:rPr>
      </w:pPr>
      <w:r>
        <w:rPr>
          <w:color w:val="231F20"/>
          <w:sz w:val="20"/>
        </w:rPr>
        <w:t>If</w:t>
      </w:r>
      <w:r>
        <w:rPr>
          <w:color w:val="231F20"/>
          <w:spacing w:val="26"/>
          <w:sz w:val="20"/>
        </w:rPr>
        <w:t> </w:t>
      </w:r>
      <w:r>
        <w:rPr>
          <w:color w:val="231F20"/>
          <w:sz w:val="20"/>
        </w:rPr>
        <w:t>you</w:t>
      </w:r>
      <w:r>
        <w:rPr>
          <w:color w:val="231F20"/>
          <w:spacing w:val="26"/>
          <w:sz w:val="20"/>
        </w:rPr>
        <w:t> </w:t>
      </w:r>
      <w:r>
        <w:rPr>
          <w:color w:val="231F20"/>
          <w:sz w:val="20"/>
        </w:rPr>
        <w:t>have</w:t>
      </w:r>
      <w:r>
        <w:rPr>
          <w:color w:val="231F20"/>
          <w:spacing w:val="26"/>
          <w:sz w:val="20"/>
        </w:rPr>
        <w:t> </w:t>
      </w:r>
      <w:r>
        <w:rPr>
          <w:color w:val="231F20"/>
          <w:sz w:val="20"/>
        </w:rPr>
        <w:t>not</w:t>
      </w:r>
      <w:r>
        <w:rPr>
          <w:color w:val="231F20"/>
          <w:spacing w:val="26"/>
          <w:sz w:val="20"/>
        </w:rPr>
        <w:t> </w:t>
      </w:r>
      <w:r>
        <w:rPr>
          <w:color w:val="231F20"/>
          <w:sz w:val="20"/>
        </w:rPr>
        <w:t>yet</w:t>
      </w:r>
      <w:r>
        <w:rPr>
          <w:color w:val="231F20"/>
          <w:spacing w:val="26"/>
          <w:sz w:val="20"/>
        </w:rPr>
        <w:t> </w:t>
      </w:r>
      <w:r>
        <w:rPr>
          <w:color w:val="231F20"/>
          <w:sz w:val="20"/>
        </w:rPr>
        <w:t>distributed</w:t>
      </w:r>
      <w:r>
        <w:rPr>
          <w:color w:val="231F20"/>
          <w:spacing w:val="26"/>
          <w:sz w:val="20"/>
        </w:rPr>
        <w:t> </w:t>
      </w:r>
      <w:r>
        <w:rPr>
          <w:color w:val="231F20"/>
          <w:sz w:val="20"/>
        </w:rPr>
        <w:t>the</w:t>
      </w:r>
      <w:r>
        <w:rPr>
          <w:color w:val="231F20"/>
          <w:spacing w:val="26"/>
          <w:sz w:val="20"/>
        </w:rPr>
        <w:t> </w:t>
      </w:r>
      <w:r>
        <w:rPr>
          <w:color w:val="231F20"/>
          <w:sz w:val="20"/>
        </w:rPr>
        <w:t>policy</w:t>
      </w:r>
      <w:r>
        <w:rPr>
          <w:color w:val="231F20"/>
          <w:spacing w:val="26"/>
          <w:sz w:val="20"/>
        </w:rPr>
        <w:t> </w:t>
      </w:r>
      <w:r>
        <w:rPr>
          <w:color w:val="231F20"/>
          <w:sz w:val="20"/>
        </w:rPr>
        <w:t>to</w:t>
      </w:r>
      <w:r>
        <w:rPr>
          <w:color w:val="231F20"/>
          <w:spacing w:val="26"/>
          <w:sz w:val="20"/>
        </w:rPr>
        <w:t> </w:t>
      </w:r>
      <w:r>
        <w:rPr>
          <w:color w:val="231F20"/>
          <w:sz w:val="20"/>
        </w:rPr>
        <w:t>the</w:t>
      </w:r>
      <w:r>
        <w:rPr>
          <w:color w:val="231F20"/>
          <w:spacing w:val="26"/>
          <w:sz w:val="20"/>
        </w:rPr>
        <w:t> </w:t>
      </w:r>
      <w:r>
        <w:rPr>
          <w:color w:val="231F20"/>
          <w:sz w:val="20"/>
        </w:rPr>
        <w:t>managed</w:t>
      </w:r>
      <w:r>
        <w:rPr>
          <w:color w:val="231F20"/>
          <w:spacing w:val="26"/>
          <w:sz w:val="20"/>
        </w:rPr>
        <w:t> </w:t>
      </w:r>
      <w:r>
        <w:rPr>
          <w:color w:val="231F20"/>
          <w:sz w:val="20"/>
        </w:rPr>
        <w:t>systems</w:t>
      </w:r>
      <w:r>
        <w:rPr>
          <w:color w:val="231F20"/>
          <w:spacing w:val="26"/>
          <w:sz w:val="20"/>
        </w:rPr>
        <w:t> </w:t>
      </w:r>
      <w:r>
        <w:rPr>
          <w:color w:val="231F20"/>
          <w:sz w:val="20"/>
        </w:rPr>
        <w:t>where</w:t>
      </w:r>
      <w:r>
        <w:rPr>
          <w:color w:val="231F20"/>
          <w:spacing w:val="26"/>
          <w:sz w:val="20"/>
        </w:rPr>
        <w:t> </w:t>
      </w:r>
      <w:r>
        <w:rPr>
          <w:color w:val="231F20"/>
          <w:sz w:val="20"/>
        </w:rPr>
        <w:t>it will run, select </w:t>
      </w:r>
      <w:r>
        <w:rPr>
          <w:color w:val="231F20"/>
          <w:spacing w:val="16"/>
          <w:sz w:val="20"/>
        </w:rPr>
        <w:drawing>
          <wp:inline distT="0" distB="0" distL="0" distR="0">
            <wp:extent cx="82550" cy="82550"/>
            <wp:effectExtent l="0" t="0" r="0" b="0"/>
            <wp:docPr id="2696" name="Image 2696"/>
            <wp:cNvGraphicFramePr>
              <a:graphicFrameLocks/>
            </wp:cNvGraphicFramePr>
            <a:graphic>
              <a:graphicData uri="http://schemas.openxmlformats.org/drawingml/2006/picture">
                <pic:pic>
                  <pic:nvPicPr>
                    <pic:cNvPr id="2696" name="Image 2696"/>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9"/>
          <w:sz w:val="20"/>
        </w:rPr>
        <w:t> </w:t>
      </w:r>
      <w:r>
        <w:rPr>
          <w:rFonts w:ascii="Book Antiqua"/>
          <w:b/>
          <w:color w:val="231F20"/>
          <w:sz w:val="20"/>
        </w:rPr>
        <w:t>Distributed</w:t>
      </w:r>
      <w:r>
        <w:rPr>
          <w:color w:val="231F20"/>
          <w:sz w:val="20"/>
        </w:rPr>
        <w:t>, select the managed systems or managed system groups to which you want to distribute the policy.</w:t>
      </w:r>
    </w:p>
    <w:p>
      <w:pPr>
        <w:pStyle w:val="ListParagraph"/>
        <w:numPr>
          <w:ilvl w:val="0"/>
          <w:numId w:val="144"/>
        </w:numPr>
        <w:tabs>
          <w:tab w:pos="2659" w:val="left" w:leader="none"/>
        </w:tabs>
        <w:spacing w:line="213" w:lineRule="auto" w:before="58" w:after="0"/>
        <w:ind w:left="2659" w:right="436" w:hanging="316"/>
        <w:jc w:val="left"/>
        <w:rPr>
          <w:sz w:val="20"/>
        </w:rPr>
      </w:pPr>
      <w:r>
        <w:rPr>
          <w:color w:val="231F20"/>
          <w:sz w:val="20"/>
        </w:rPr>
        <w:t>When you are finished creating the policy, click </w:t>
      </w:r>
      <w:r>
        <w:rPr>
          <w:rFonts w:ascii="Book Antiqua"/>
          <w:b/>
          <w:color w:val="231F20"/>
          <w:sz w:val="20"/>
        </w:rPr>
        <w:t>Apply</w:t>
      </w:r>
      <w:r>
        <w:rPr>
          <w:color w:val="231F20"/>
          <w:sz w:val="20"/>
        </w:rPr>
        <w:t>. Policies are stored at and controlled by the monitoring server to which the managed system is connected, either a remote or the hub Tivoli Enterprise Monitoring Server. </w:t>
      </w:r>
      <w:r>
        <w:rPr>
          <w:color w:val="231F20"/>
          <w:sz w:val="20"/>
        </w:rPr>
        <w:t>The policy</w:t>
      </w:r>
      <w:r>
        <w:rPr>
          <w:color w:val="231F20"/>
          <w:spacing w:val="17"/>
          <w:sz w:val="20"/>
        </w:rPr>
        <w:t> </w:t>
      </w:r>
      <w:r>
        <w:rPr>
          <w:color w:val="231F20"/>
          <w:sz w:val="20"/>
        </w:rPr>
        <w:t>is</w:t>
      </w:r>
      <w:r>
        <w:rPr>
          <w:color w:val="231F20"/>
          <w:spacing w:val="17"/>
          <w:sz w:val="20"/>
        </w:rPr>
        <w:t> </w:t>
      </w:r>
      <w:r>
        <w:rPr>
          <w:color w:val="231F20"/>
          <w:sz w:val="20"/>
        </w:rPr>
        <w:t>saved</w:t>
      </w:r>
      <w:r>
        <w:rPr>
          <w:color w:val="231F20"/>
          <w:spacing w:val="17"/>
          <w:sz w:val="20"/>
        </w:rPr>
        <w:t> </w:t>
      </w:r>
      <w:r>
        <w:rPr>
          <w:color w:val="231F20"/>
          <w:sz w:val="20"/>
        </w:rPr>
        <w:t>and</w:t>
      </w:r>
      <w:r>
        <w:rPr>
          <w:color w:val="231F20"/>
          <w:spacing w:val="17"/>
          <w:sz w:val="20"/>
        </w:rPr>
        <w:t> </w:t>
      </w:r>
      <w:r>
        <w:rPr>
          <w:color w:val="231F20"/>
          <w:sz w:val="20"/>
        </w:rPr>
        <w:t>started</w:t>
      </w:r>
      <w:r>
        <w:rPr>
          <w:color w:val="231F20"/>
          <w:spacing w:val="17"/>
          <w:sz w:val="20"/>
        </w:rPr>
        <w:t> </w:t>
      </w:r>
      <w:r>
        <w:rPr>
          <w:color w:val="231F20"/>
          <w:sz w:val="20"/>
        </w:rPr>
        <w:t>automatically</w:t>
      </w:r>
      <w:r>
        <w:rPr>
          <w:color w:val="231F20"/>
          <w:spacing w:val="17"/>
          <w:sz w:val="20"/>
        </w:rPr>
        <w:t> </w:t>
      </w:r>
      <w:r>
        <w:rPr>
          <w:color w:val="231F20"/>
          <w:sz w:val="20"/>
        </w:rPr>
        <w:t>on</w:t>
      </w:r>
      <w:r>
        <w:rPr>
          <w:color w:val="231F20"/>
          <w:spacing w:val="17"/>
          <w:sz w:val="20"/>
        </w:rPr>
        <w:t> </w:t>
      </w:r>
      <w:r>
        <w:rPr>
          <w:color w:val="231F20"/>
          <w:sz w:val="20"/>
        </w:rPr>
        <w:t>the</w:t>
      </w:r>
      <w:r>
        <w:rPr>
          <w:color w:val="231F20"/>
          <w:spacing w:val="17"/>
          <w:sz w:val="20"/>
        </w:rPr>
        <w:t> </w:t>
      </w:r>
      <w:r>
        <w:rPr>
          <w:color w:val="231F20"/>
          <w:sz w:val="20"/>
        </w:rPr>
        <w:t>managed</w:t>
      </w:r>
      <w:r>
        <w:rPr>
          <w:color w:val="231F20"/>
          <w:spacing w:val="17"/>
          <w:sz w:val="20"/>
        </w:rPr>
        <w:t> </w:t>
      </w:r>
      <w:r>
        <w:rPr>
          <w:color w:val="231F20"/>
          <w:sz w:val="20"/>
        </w:rPr>
        <w:t>systems</w:t>
      </w:r>
      <w:r>
        <w:rPr>
          <w:color w:val="231F20"/>
          <w:spacing w:val="17"/>
          <w:sz w:val="20"/>
        </w:rPr>
        <w:t> </w:t>
      </w:r>
      <w:r>
        <w:rPr>
          <w:color w:val="231F20"/>
          <w:sz w:val="20"/>
        </w:rPr>
        <w:t>to</w:t>
      </w:r>
      <w:r>
        <w:rPr>
          <w:color w:val="231F20"/>
          <w:spacing w:val="17"/>
          <w:sz w:val="20"/>
        </w:rPr>
        <w:t> </w:t>
      </w:r>
      <w:r>
        <w:rPr>
          <w:color w:val="231F20"/>
          <w:sz w:val="20"/>
        </w:rPr>
        <w:t>which</w:t>
      </w:r>
      <w:r>
        <w:rPr>
          <w:color w:val="231F20"/>
          <w:spacing w:val="17"/>
          <w:sz w:val="20"/>
        </w:rPr>
        <w:t> </w:t>
      </w:r>
      <w:r>
        <w:rPr>
          <w:color w:val="231F20"/>
          <w:sz w:val="20"/>
        </w:rPr>
        <w:t>it is distributed unless you cleared the </w:t>
      </w:r>
      <w:r>
        <w:rPr>
          <w:color w:val="231F20"/>
          <w:spacing w:val="15"/>
          <w:sz w:val="20"/>
        </w:rPr>
        <w:drawing>
          <wp:inline distT="0" distB="0" distL="0" distR="0">
            <wp:extent cx="82550" cy="82550"/>
            <wp:effectExtent l="0" t="0" r="0" b="0"/>
            <wp:docPr id="2697" name="Image 2697"/>
            <wp:cNvGraphicFramePr>
              <a:graphicFrameLocks/>
            </wp:cNvGraphicFramePr>
            <a:graphic>
              <a:graphicData uri="http://schemas.openxmlformats.org/drawingml/2006/picture">
                <pic:pic>
                  <pic:nvPicPr>
                    <pic:cNvPr id="2697" name="Image 269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Auto start </w:t>
      </w:r>
      <w:r>
        <w:rPr>
          <w:color w:val="231F20"/>
          <w:sz w:val="20"/>
        </w:rPr>
        <w:t>check box.</w:t>
      </w:r>
    </w:p>
    <w:p>
      <w:pPr>
        <w:pStyle w:val="ListParagraph"/>
        <w:numPr>
          <w:ilvl w:val="0"/>
          <w:numId w:val="144"/>
        </w:numPr>
        <w:tabs>
          <w:tab w:pos="2659" w:val="left" w:leader="none"/>
        </w:tabs>
        <w:spacing w:line="255" w:lineRule="exact" w:before="33" w:after="0"/>
        <w:ind w:left="2659" w:right="0" w:hanging="427"/>
        <w:jc w:val="left"/>
        <w:rPr>
          <w:sz w:val="20"/>
        </w:rPr>
      </w:pPr>
      <w:r>
        <w:rPr>
          <w:color w:val="231F20"/>
          <w:sz w:val="20"/>
        </w:rPr>
        <w:t>If</w:t>
      </w:r>
      <w:r>
        <w:rPr>
          <w:color w:val="231F20"/>
          <w:spacing w:val="17"/>
          <w:sz w:val="20"/>
        </w:rPr>
        <w:t> </w:t>
      </w:r>
      <w:r>
        <w:rPr>
          <w:color w:val="231F20"/>
          <w:sz w:val="20"/>
        </w:rPr>
        <w:t>the</w:t>
      </w:r>
      <w:r>
        <w:rPr>
          <w:color w:val="231F20"/>
          <w:spacing w:val="17"/>
          <w:sz w:val="20"/>
        </w:rPr>
        <w:t> </w:t>
      </w:r>
      <w:r>
        <w:rPr>
          <w:color w:val="231F20"/>
          <w:sz w:val="20"/>
        </w:rPr>
        <w:t>policy</w:t>
      </w:r>
      <w:r>
        <w:rPr>
          <w:color w:val="231F20"/>
          <w:spacing w:val="17"/>
          <w:sz w:val="20"/>
        </w:rPr>
        <w:t> </w:t>
      </w:r>
      <w:r>
        <w:rPr>
          <w:color w:val="231F20"/>
          <w:sz w:val="20"/>
        </w:rPr>
        <w:t>is</w:t>
      </w:r>
      <w:r>
        <w:rPr>
          <w:color w:val="231F20"/>
          <w:spacing w:val="17"/>
          <w:sz w:val="20"/>
        </w:rPr>
        <w:t> </w:t>
      </w:r>
      <w:r>
        <w:rPr>
          <w:color w:val="231F20"/>
          <w:sz w:val="20"/>
        </w:rPr>
        <w:t>not</w:t>
      </w:r>
      <w:r>
        <w:rPr>
          <w:color w:val="231F20"/>
          <w:spacing w:val="17"/>
          <w:sz w:val="20"/>
        </w:rPr>
        <w:t> </w:t>
      </w:r>
      <w:r>
        <w:rPr>
          <w:color w:val="231F20"/>
          <w:sz w:val="20"/>
        </w:rPr>
        <w:t>set</w:t>
      </w:r>
      <w:r>
        <w:rPr>
          <w:color w:val="231F20"/>
          <w:spacing w:val="17"/>
          <w:sz w:val="20"/>
        </w:rPr>
        <w:t> </w:t>
      </w:r>
      <w:r>
        <w:rPr>
          <w:color w:val="231F20"/>
          <w:sz w:val="20"/>
        </w:rPr>
        <w:t>to</w:t>
      </w:r>
      <w:r>
        <w:rPr>
          <w:color w:val="231F20"/>
          <w:spacing w:val="10"/>
          <w:sz w:val="20"/>
        </w:rPr>
        <w:t> </w:t>
      </w:r>
      <w:r>
        <w:rPr>
          <w:color w:val="231F20"/>
          <w:sz w:val="20"/>
        </w:rPr>
        <w:t>Auto</w:t>
      </w:r>
      <w:r>
        <w:rPr>
          <w:color w:val="231F20"/>
          <w:spacing w:val="17"/>
          <w:sz w:val="20"/>
        </w:rPr>
        <w:t> </w:t>
      </w:r>
      <w:r>
        <w:rPr>
          <w:color w:val="231F20"/>
          <w:sz w:val="20"/>
        </w:rPr>
        <w:t>start,</w:t>
      </w:r>
      <w:r>
        <w:rPr>
          <w:color w:val="231F20"/>
          <w:spacing w:val="17"/>
          <w:sz w:val="20"/>
        </w:rPr>
        <w:t> </w:t>
      </w:r>
      <w:r>
        <w:rPr>
          <w:color w:val="231F20"/>
          <w:sz w:val="20"/>
        </w:rPr>
        <w:t>start</w:t>
      </w:r>
      <w:r>
        <w:rPr>
          <w:color w:val="231F20"/>
          <w:spacing w:val="17"/>
          <w:sz w:val="20"/>
        </w:rPr>
        <w:t> </w:t>
      </w:r>
      <w:r>
        <w:rPr>
          <w:color w:val="231F20"/>
          <w:sz w:val="20"/>
        </w:rPr>
        <w:t>the</w:t>
      </w:r>
      <w:r>
        <w:rPr>
          <w:color w:val="231F20"/>
          <w:spacing w:val="17"/>
          <w:sz w:val="20"/>
        </w:rPr>
        <w:t> </w:t>
      </w:r>
      <w:r>
        <w:rPr>
          <w:color w:val="231F20"/>
          <w:sz w:val="20"/>
        </w:rPr>
        <w:t>policy</w:t>
      </w:r>
      <w:r>
        <w:rPr>
          <w:color w:val="231F20"/>
          <w:spacing w:val="17"/>
          <w:sz w:val="20"/>
        </w:rPr>
        <w:t> </w:t>
      </w:r>
      <w:r>
        <w:rPr>
          <w:color w:val="231F20"/>
          <w:sz w:val="20"/>
        </w:rPr>
        <w:t>manually</w:t>
      </w:r>
      <w:r>
        <w:rPr>
          <w:color w:val="231F20"/>
          <w:spacing w:val="17"/>
          <w:sz w:val="20"/>
        </w:rPr>
        <w:t> </w:t>
      </w:r>
      <w:r>
        <w:rPr>
          <w:color w:val="231F20"/>
          <w:sz w:val="20"/>
        </w:rPr>
        <w:t>by</w:t>
      </w:r>
      <w:r>
        <w:rPr>
          <w:color w:val="231F20"/>
          <w:spacing w:val="17"/>
          <w:sz w:val="20"/>
        </w:rPr>
        <w:t> </w:t>
      </w:r>
      <w:r>
        <w:rPr>
          <w:color w:val="231F20"/>
          <w:sz w:val="20"/>
        </w:rPr>
        <w:t>clicking</w:t>
      </w:r>
      <w:r>
        <w:rPr>
          <w:color w:val="231F20"/>
          <w:spacing w:val="66"/>
          <w:sz w:val="20"/>
        </w:rPr>
        <w:t> </w:t>
      </w:r>
      <w:r>
        <w:rPr>
          <w:color w:val="231F20"/>
          <w:spacing w:val="14"/>
          <w:position w:val="-1"/>
          <w:sz w:val="20"/>
        </w:rPr>
        <w:drawing>
          <wp:inline distT="0" distB="0" distL="0" distR="0">
            <wp:extent cx="63500" cy="101600"/>
            <wp:effectExtent l="0" t="0" r="0" b="0"/>
            <wp:docPr id="2698" name="Image 2698"/>
            <wp:cNvGraphicFramePr>
              <a:graphicFrameLocks/>
            </wp:cNvGraphicFramePr>
            <a:graphic>
              <a:graphicData uri="http://schemas.openxmlformats.org/drawingml/2006/picture">
                <pic:pic>
                  <pic:nvPicPr>
                    <pic:cNvPr id="2698" name="Image 2698"/>
                    <pic:cNvPicPr/>
                  </pic:nvPicPr>
                  <pic:blipFill>
                    <a:blip r:embed="rId376" cstate="print"/>
                    <a:stretch>
                      <a:fillRect/>
                    </a:stretch>
                  </pic:blipFill>
                  <pic:spPr>
                    <a:xfrm>
                      <a:off x="0" y="0"/>
                      <a:ext cx="63500" cy="101600"/>
                    </a:xfrm>
                    <a:prstGeom prst="rect">
                      <a:avLst/>
                    </a:prstGeom>
                  </pic:spPr>
                </pic:pic>
              </a:graphicData>
            </a:graphic>
          </wp:inline>
        </w:drawing>
      </w:r>
      <w:r>
        <w:rPr>
          <w:color w:val="231F20"/>
          <w:spacing w:val="14"/>
          <w:position w:val="-1"/>
          <w:sz w:val="20"/>
        </w:rPr>
      </w:r>
    </w:p>
    <w:p>
      <w:pPr>
        <w:pStyle w:val="Heading6"/>
        <w:spacing w:line="255" w:lineRule="exact" w:before="0"/>
        <w:ind w:left="2659"/>
        <w:rPr>
          <w:rFonts w:ascii="Palatino Linotype"/>
          <w:b w:val="0"/>
        </w:rPr>
      </w:pPr>
      <w:r>
        <w:rPr>
          <w:color w:val="231F20"/>
        </w:rPr>
        <w:t>Start</w:t>
      </w:r>
      <w:r>
        <w:rPr>
          <w:color w:val="231F20"/>
          <w:spacing w:val="11"/>
        </w:rPr>
        <w:t> </w:t>
      </w:r>
      <w:r>
        <w:rPr>
          <w:color w:val="231F20"/>
          <w:spacing w:val="-2"/>
        </w:rPr>
        <w:t>Policy</w:t>
      </w:r>
      <w:r>
        <w:rPr>
          <w:rFonts w:ascii="Palatino Linotype"/>
          <w:b w:val="0"/>
          <w:color w:val="231F20"/>
          <w:spacing w:val="-2"/>
        </w:rPr>
        <w:t>.</w:t>
      </w:r>
    </w:p>
    <w:p>
      <w:pPr>
        <w:pStyle w:val="ListParagraph"/>
        <w:numPr>
          <w:ilvl w:val="0"/>
          <w:numId w:val="144"/>
        </w:numPr>
        <w:tabs>
          <w:tab w:pos="2643" w:val="left" w:leader="none"/>
          <w:tab w:pos="2645" w:val="left" w:leader="none"/>
        </w:tabs>
        <w:spacing w:line="213" w:lineRule="auto" w:before="53" w:after="0"/>
        <w:ind w:left="2645" w:right="934" w:hanging="413"/>
        <w:jc w:val="left"/>
        <w:rPr>
          <w:sz w:val="20"/>
        </w:rPr>
      </w:pPr>
      <w:r>
        <w:rPr>
          <w:color w:val="231F20"/>
          <w:sz w:val="20"/>
        </w:rPr>
        <w:t>If you are prompted to specify the TEMS to start the policy on, select the monitoring server (or servers) and click </w:t>
      </w:r>
      <w:r>
        <w:rPr>
          <w:rFonts w:ascii="Book Antiqua"/>
          <w:b/>
          <w:color w:val="231F20"/>
          <w:sz w:val="20"/>
        </w:rPr>
        <w:t>Start</w:t>
      </w:r>
      <w:r>
        <w:rPr>
          <w:color w:val="231F20"/>
          <w:sz w:val="20"/>
        </w:rPr>
        <w:t>.</w:t>
      </w:r>
    </w:p>
    <w:p>
      <w:pPr>
        <w:pStyle w:val="Heading4"/>
      </w:pPr>
      <w:r>
        <w:rPr>
          <w:color w:val="231F20"/>
          <w:spacing w:val="-2"/>
        </w:rPr>
        <w:t>Results</w:t>
      </w:r>
    </w:p>
    <w:p>
      <w:pPr>
        <w:pStyle w:val="BodyText"/>
        <w:spacing w:line="213" w:lineRule="auto" w:before="241"/>
        <w:ind w:left="2232" w:right="545"/>
      </w:pPr>
      <w:r>
        <w:rPr>
          <w:color w:val="231F20"/>
        </w:rPr>
        <w:t>The policy is stored at and controlled by the Tivoli Enterprise Monitoring Server to which the agent is connected, either a remote or the hub monitoring server. If the policy distribution is changed manually or dynamically, the policy is restarted.</w:t>
      </w:r>
    </w:p>
    <w:p>
      <w:pPr>
        <w:pStyle w:val="BodyText"/>
        <w:spacing w:line="213" w:lineRule="auto"/>
        <w:ind w:left="2232" w:right="545"/>
      </w:pPr>
      <w:r>
        <w:rPr>
          <w:color w:val="231F20"/>
        </w:rPr>
        <w:t>Dynamic updates happen after a new agent comes online or after an </w:t>
      </w:r>
      <w:r>
        <w:rPr>
          <w:color w:val="231F20"/>
        </w:rPr>
        <w:t>agent connection switches from one monitoring server to another.</w:t>
      </w:r>
    </w:p>
    <w:p>
      <w:pPr>
        <w:pStyle w:val="BodyText"/>
        <w:spacing w:line="211" w:lineRule="auto" w:before="237"/>
        <w:ind w:left="2232" w:right="385"/>
      </w:pPr>
      <w:r>
        <w:rPr>
          <w:color w:val="231F20"/>
        </w:rPr>
        <w:t>The</w:t>
      </w:r>
      <w:r>
        <w:rPr>
          <w:color w:val="231F20"/>
          <w:spacing w:val="22"/>
        </w:rPr>
        <w:t> </w:t>
      </w:r>
      <w:r>
        <w:rPr>
          <w:color w:val="231F20"/>
        </w:rPr>
        <w:t>first</w:t>
      </w:r>
      <w:r>
        <w:rPr>
          <w:color w:val="231F20"/>
          <w:spacing w:val="22"/>
        </w:rPr>
        <w:t> </w:t>
      </w:r>
      <w:r>
        <w:rPr>
          <w:color w:val="231F20"/>
        </w:rPr>
        <w:t>activity</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policy</w:t>
      </w:r>
      <w:r>
        <w:rPr>
          <w:color w:val="231F20"/>
          <w:spacing w:val="22"/>
        </w:rPr>
        <w:t> </w:t>
      </w:r>
      <w:r>
        <w:rPr>
          <w:color w:val="231F20"/>
        </w:rPr>
        <w:t>is</w:t>
      </w:r>
      <w:r>
        <w:rPr>
          <w:color w:val="231F20"/>
          <w:spacing w:val="15"/>
        </w:rPr>
        <w:t> </w:t>
      </w:r>
      <w:r>
        <w:rPr>
          <w:color w:val="231F20"/>
          <w:spacing w:val="15"/>
          <w:position w:val="-5"/>
        </w:rPr>
        <w:drawing>
          <wp:inline distT="0" distB="0" distL="0" distR="0">
            <wp:extent cx="120650" cy="120650"/>
            <wp:effectExtent l="0" t="0" r="0" b="0"/>
            <wp:docPr id="2699" name="Image 2699"/>
            <wp:cNvGraphicFramePr>
              <a:graphicFrameLocks/>
            </wp:cNvGraphicFramePr>
            <a:graphic>
              <a:graphicData uri="http://schemas.openxmlformats.org/drawingml/2006/picture">
                <pic:pic>
                  <pic:nvPicPr>
                    <pic:cNvPr id="2699" name="Image 2699"/>
                    <pic:cNvPicPr/>
                  </pic:nvPicPr>
                  <pic:blipFill>
                    <a:blip r:embed="rId424" cstate="print"/>
                    <a:stretch>
                      <a:fillRect/>
                    </a:stretch>
                  </pic:blipFill>
                  <pic:spPr>
                    <a:xfrm>
                      <a:off x="0" y="0"/>
                      <a:ext cx="120650" cy="120650"/>
                    </a:xfrm>
                    <a:prstGeom prst="rect">
                      <a:avLst/>
                    </a:prstGeom>
                  </pic:spPr>
                </pic:pic>
              </a:graphicData>
            </a:graphic>
          </wp:inline>
        </w:drawing>
      </w:r>
      <w:r>
        <w:rPr>
          <w:color w:val="231F20"/>
          <w:spacing w:val="15"/>
          <w:position w:val="-5"/>
        </w:rPr>
      </w:r>
      <w:r>
        <w:rPr>
          <w:rFonts w:ascii="Times New Roman"/>
          <w:color w:val="231F20"/>
          <w:spacing w:val="71"/>
        </w:rPr>
        <w:t> </w:t>
      </w:r>
      <w:r>
        <w:rPr>
          <w:rFonts w:ascii="Book Antiqua"/>
          <w:b/>
          <w:color w:val="231F20"/>
        </w:rPr>
        <w:t>Wait</w:t>
      </w:r>
      <w:r>
        <w:rPr>
          <w:rFonts w:ascii="Book Antiqua"/>
          <w:b/>
          <w:color w:val="231F20"/>
          <w:spacing w:val="22"/>
        </w:rPr>
        <w:t> </w:t>
      </w:r>
      <w:r>
        <w:rPr>
          <w:rFonts w:ascii="Book Antiqua"/>
          <w:b/>
          <w:color w:val="231F20"/>
        </w:rPr>
        <w:t>until</w:t>
      </w:r>
      <w:r>
        <w:rPr>
          <w:rFonts w:ascii="Book Antiqua"/>
          <w:b/>
          <w:color w:val="231F20"/>
          <w:spacing w:val="22"/>
        </w:rPr>
        <w:t> </w:t>
      </w:r>
      <w:r>
        <w:rPr>
          <w:rFonts w:ascii="Book Antiqua"/>
          <w:b/>
          <w:color w:val="231F20"/>
        </w:rPr>
        <w:t>a</w:t>
      </w:r>
      <w:r>
        <w:rPr>
          <w:rFonts w:ascii="Book Antiqua"/>
          <w:b/>
          <w:color w:val="231F20"/>
          <w:spacing w:val="22"/>
        </w:rPr>
        <w:t> </w:t>
      </w:r>
      <w:r>
        <w:rPr>
          <w:rFonts w:ascii="Book Antiqua"/>
          <w:b/>
          <w:color w:val="231F20"/>
        </w:rPr>
        <w:t>situation</w:t>
      </w:r>
      <w:r>
        <w:rPr>
          <w:rFonts w:ascii="Book Antiqua"/>
          <w:b/>
          <w:color w:val="231F20"/>
          <w:spacing w:val="22"/>
        </w:rPr>
        <w:t> </w:t>
      </w:r>
      <w:r>
        <w:rPr>
          <w:rFonts w:ascii="Book Antiqua"/>
          <w:b/>
          <w:color w:val="231F20"/>
        </w:rPr>
        <w:t>is</w:t>
      </w:r>
      <w:r>
        <w:rPr>
          <w:rFonts w:ascii="Book Antiqua"/>
          <w:b/>
          <w:color w:val="231F20"/>
          <w:spacing w:val="22"/>
        </w:rPr>
        <w:t> </w:t>
      </w:r>
      <w:r>
        <w:rPr>
          <w:rFonts w:ascii="Book Antiqua"/>
          <w:b/>
          <w:color w:val="231F20"/>
        </w:rPr>
        <w:t>True</w:t>
      </w:r>
      <w:r>
        <w:rPr>
          <w:color w:val="231F20"/>
        </w:rPr>
        <w:t>,</w:t>
      </w:r>
      <w:r>
        <w:rPr>
          <w:color w:val="231F20"/>
          <w:spacing w:val="22"/>
        </w:rPr>
        <w:t> </w:t>
      </w:r>
      <w:r>
        <w:rPr>
          <w:color w:val="231F20"/>
        </w:rPr>
        <w:t>which</w:t>
      </w:r>
      <w:r>
        <w:rPr>
          <w:color w:val="231F20"/>
          <w:spacing w:val="22"/>
        </w:rPr>
        <w:t> </w:t>
      </w:r>
      <w:r>
        <w:rPr>
          <w:color w:val="231F20"/>
        </w:rPr>
        <w:t>might give</w:t>
      </w:r>
      <w:r>
        <w:rPr>
          <w:color w:val="231F20"/>
          <w:spacing w:val="26"/>
        </w:rPr>
        <w:t> </w:t>
      </w:r>
      <w:r>
        <w:rPr>
          <w:color w:val="231F20"/>
        </w:rPr>
        <w:t>the</w:t>
      </w:r>
      <w:r>
        <w:rPr>
          <w:color w:val="231F20"/>
          <w:spacing w:val="26"/>
        </w:rPr>
        <w:t> </w:t>
      </w:r>
      <w:r>
        <w:rPr>
          <w:color w:val="231F20"/>
        </w:rPr>
        <w:t>impression</w:t>
      </w:r>
      <w:r>
        <w:rPr>
          <w:color w:val="231F20"/>
          <w:spacing w:val="26"/>
        </w:rPr>
        <w:t> </w:t>
      </w:r>
      <w:r>
        <w:rPr>
          <w:color w:val="231F20"/>
        </w:rPr>
        <w:t>that</w:t>
      </w:r>
      <w:r>
        <w:rPr>
          <w:color w:val="231F20"/>
          <w:spacing w:val="26"/>
        </w:rPr>
        <w:t> </w:t>
      </w:r>
      <w:r>
        <w:rPr>
          <w:color w:val="231F20"/>
        </w:rPr>
        <w:t>the</w:t>
      </w:r>
      <w:r>
        <w:rPr>
          <w:color w:val="231F20"/>
          <w:spacing w:val="26"/>
        </w:rPr>
        <w:t> </w:t>
      </w:r>
      <w:r>
        <w:rPr>
          <w:color w:val="231F20"/>
        </w:rPr>
        <w:t>policy</w:t>
      </w:r>
      <w:r>
        <w:rPr>
          <w:color w:val="231F20"/>
          <w:spacing w:val="26"/>
        </w:rPr>
        <w:t> </w:t>
      </w:r>
      <w:r>
        <w:rPr>
          <w:color w:val="231F20"/>
        </w:rPr>
        <w:t>is</w:t>
      </w:r>
      <w:r>
        <w:rPr>
          <w:color w:val="231F20"/>
          <w:spacing w:val="26"/>
        </w:rPr>
        <w:t> </w:t>
      </w:r>
      <w:r>
        <w:rPr>
          <w:color w:val="231F20"/>
        </w:rPr>
        <w:t>not</w:t>
      </w:r>
      <w:r>
        <w:rPr>
          <w:color w:val="231F20"/>
          <w:spacing w:val="26"/>
        </w:rPr>
        <w:t> </w:t>
      </w:r>
      <w:r>
        <w:rPr>
          <w:color w:val="231F20"/>
        </w:rPr>
        <w:t>running</w:t>
      </w:r>
      <w:r>
        <w:rPr>
          <w:color w:val="231F20"/>
          <w:spacing w:val="26"/>
        </w:rPr>
        <w:t> </w:t>
      </w:r>
      <w:r>
        <w:rPr>
          <w:color w:val="231F20"/>
        </w:rPr>
        <w:t>because</w:t>
      </w:r>
      <w:r>
        <w:rPr>
          <w:color w:val="231F20"/>
          <w:spacing w:val="26"/>
        </w:rPr>
        <w:t> </w:t>
      </w:r>
      <w:r>
        <w:rPr>
          <w:color w:val="231F20"/>
        </w:rPr>
        <w:t>it</w:t>
      </w:r>
      <w:r>
        <w:rPr>
          <w:color w:val="231F20"/>
          <w:spacing w:val="26"/>
        </w:rPr>
        <w:t> </w:t>
      </w:r>
      <w:r>
        <w:rPr>
          <w:color w:val="231F20"/>
        </w:rPr>
        <w:t>is</w:t>
      </w:r>
      <w:r>
        <w:rPr>
          <w:color w:val="231F20"/>
          <w:spacing w:val="26"/>
        </w:rPr>
        <w:t> </w:t>
      </w:r>
      <w:r>
        <w:rPr>
          <w:color w:val="231F20"/>
        </w:rPr>
        <w:t>an</w:t>
      </w:r>
      <w:r>
        <w:rPr>
          <w:color w:val="231F20"/>
          <w:spacing w:val="26"/>
        </w:rPr>
        <w:t> </w:t>
      </w:r>
      <w:r>
        <w:rPr>
          <w:color w:val="231F20"/>
        </w:rPr>
        <w:t>activity</w:t>
      </w:r>
      <w:r>
        <w:rPr>
          <w:color w:val="231F20"/>
          <w:spacing w:val="26"/>
        </w:rPr>
        <w:t> </w:t>
      </w:r>
      <w:r>
        <w:rPr>
          <w:color w:val="231F20"/>
        </w:rPr>
        <w:t>that waits and does nothing until the situation is true. But after that happens, the workflow progresses and continues until all activities have been completed or </w:t>
      </w:r>
      <w:r>
        <w:rPr>
          <w:color w:val="231F20"/>
        </w:rPr>
        <w:t>until the</w:t>
      </w:r>
      <w:r>
        <w:rPr>
          <w:color w:val="231F20"/>
          <w:spacing w:val="26"/>
        </w:rPr>
        <w:t> </w:t>
      </w:r>
      <w:r>
        <w:rPr>
          <w:color w:val="231F20"/>
        </w:rPr>
        <w:t>policy</w:t>
      </w:r>
      <w:r>
        <w:rPr>
          <w:color w:val="231F20"/>
          <w:spacing w:val="26"/>
        </w:rPr>
        <w:t> </w:t>
      </w:r>
      <w:r>
        <w:rPr>
          <w:color w:val="231F20"/>
        </w:rPr>
        <w:t>is</w:t>
      </w:r>
      <w:r>
        <w:rPr>
          <w:color w:val="231F20"/>
          <w:spacing w:val="26"/>
        </w:rPr>
        <w:t> </w:t>
      </w:r>
      <w:r>
        <w:rPr>
          <w:color w:val="231F20"/>
        </w:rPr>
        <w:t>manually</w:t>
      </w:r>
      <w:r>
        <w:rPr>
          <w:color w:val="231F20"/>
          <w:spacing w:val="26"/>
        </w:rPr>
        <w:t> </w:t>
      </w:r>
      <w:r>
        <w:rPr>
          <w:color w:val="231F20"/>
        </w:rPr>
        <w:t>stopped</w:t>
      </w:r>
      <w:r>
        <w:rPr>
          <w:color w:val="231F20"/>
          <w:spacing w:val="26"/>
        </w:rPr>
        <w:t> </w:t>
      </w:r>
      <w:r>
        <w:rPr>
          <w:color w:val="231F20"/>
        </w:rPr>
        <w:t>with</w:t>
      </w:r>
      <w:r>
        <w:rPr>
          <w:color w:val="231F20"/>
          <w:spacing w:val="36"/>
        </w:rPr>
        <w:t> </w:t>
      </w:r>
      <w:r>
        <w:rPr>
          <w:color w:val="231F20"/>
          <w:spacing w:val="-25"/>
          <w:position w:val="-1"/>
        </w:rPr>
        <w:drawing>
          <wp:inline distT="0" distB="0" distL="0" distR="0">
            <wp:extent cx="95250" cy="95250"/>
            <wp:effectExtent l="0" t="0" r="0" b="0"/>
            <wp:docPr id="2700" name="Image 2700"/>
            <wp:cNvGraphicFramePr>
              <a:graphicFrameLocks/>
            </wp:cNvGraphicFramePr>
            <a:graphic>
              <a:graphicData uri="http://schemas.openxmlformats.org/drawingml/2006/picture">
                <pic:pic>
                  <pic:nvPicPr>
                    <pic:cNvPr id="2700" name="Image 2700"/>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35"/>
        </w:rPr>
        <w:t> </w:t>
      </w:r>
      <w:r>
        <w:rPr>
          <w:rFonts w:ascii="Book Antiqua"/>
          <w:b/>
          <w:color w:val="231F20"/>
        </w:rPr>
        <w:t>Stop</w:t>
      </w:r>
      <w:r>
        <w:rPr>
          <w:rFonts w:ascii="Book Antiqua"/>
          <w:b/>
          <w:color w:val="231F20"/>
          <w:spacing w:val="26"/>
        </w:rPr>
        <w:t> </w:t>
      </w:r>
      <w:r>
        <w:rPr>
          <w:rFonts w:ascii="Book Antiqua"/>
          <w:b/>
          <w:color w:val="231F20"/>
        </w:rPr>
        <w:t>Policy</w:t>
      </w:r>
      <w:r>
        <w:rPr>
          <w:color w:val="231F20"/>
        </w:rPr>
        <w:t>.</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enabled</w:t>
      </w:r>
      <w:r>
        <w:rPr>
          <w:color w:val="231F20"/>
          <w:spacing w:val="15"/>
        </w:rPr>
        <w:t> </w:t>
      </w:r>
      <w:r>
        <w:rPr>
          <w:color w:val="231F20"/>
          <w:spacing w:val="15"/>
        </w:rPr>
        <w:drawing>
          <wp:inline distT="0" distB="0" distL="0" distR="0">
            <wp:extent cx="82550" cy="82550"/>
            <wp:effectExtent l="0" t="0" r="0" b="0"/>
            <wp:docPr id="2701" name="Image 2701"/>
            <wp:cNvGraphicFramePr>
              <a:graphicFrameLocks/>
            </wp:cNvGraphicFramePr>
            <a:graphic>
              <a:graphicData uri="http://schemas.openxmlformats.org/drawingml/2006/picture">
                <pic:pic>
                  <pic:nvPicPr>
                    <pic:cNvPr id="2701" name="Image 2701"/>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
        </w:rPr>
        <w:t> </w:t>
      </w:r>
      <w:r>
        <w:rPr>
          <w:rFonts w:ascii="Book Antiqua"/>
          <w:b/>
          <w:color w:val="231F20"/>
        </w:rPr>
        <w:t>Restart</w:t>
      </w:r>
      <w:r>
        <w:rPr>
          <w:rFonts w:ascii="Book Antiqua"/>
          <w:b/>
          <w:color w:val="231F20"/>
          <w:spacing w:val="26"/>
        </w:rPr>
        <w:t> </w:t>
      </w:r>
      <w:r>
        <w:rPr>
          <w:color w:val="231F20"/>
        </w:rPr>
        <w:t>and the situation is still true, the policy begins again.</w:t>
      </w:r>
    </w:p>
    <w:p>
      <w:pPr>
        <w:pStyle w:val="BodyText"/>
        <w:spacing w:line="213" w:lineRule="auto" w:before="246"/>
        <w:ind w:left="2232" w:right="636"/>
      </w:pPr>
      <w:r>
        <w:rPr>
          <w:color w:val="231F20"/>
        </w:rPr>
        <w:t>If there are invalid activities in the logical workflow, visual feedback is provided showing you which activities are valid and which are not valid. The label of all valid activities changes to blue following validation. If an activity is not valid, </w:t>
      </w:r>
      <w:r>
        <w:rPr>
          <w:color w:val="231F20"/>
        </w:rPr>
        <w:t>the appearance changes in the following ways:</w:t>
      </w:r>
    </w:p>
    <w:p>
      <w:pPr>
        <w:pStyle w:val="BodyText"/>
        <w:spacing w:before="34"/>
        <w:ind w:left="2232"/>
      </w:pPr>
      <w:r>
        <w:rPr>
          <w:rFonts w:ascii="Futura MdCn BT"/>
          <w:color w:val="231F20"/>
        </w:rPr>
        <w:t>v</w:t>
      </w:r>
      <w:r>
        <w:rPr>
          <w:rFonts w:ascii="Futura MdCn BT"/>
          <w:color w:val="231F20"/>
          <w:spacing w:val="79"/>
          <w:w w:val="150"/>
        </w:rPr>
        <w:t> </w:t>
      </w:r>
      <w:r>
        <w:rPr>
          <w:color w:val="231F20"/>
        </w:rPr>
        <w:t>Border</w:t>
      </w:r>
      <w:r>
        <w:rPr>
          <w:color w:val="231F20"/>
          <w:spacing w:val="12"/>
        </w:rPr>
        <w:t> </w:t>
      </w:r>
      <w:r>
        <w:rPr>
          <w:color w:val="231F20"/>
        </w:rPr>
        <w:t>changes</w:t>
      </w:r>
      <w:r>
        <w:rPr>
          <w:color w:val="231F20"/>
          <w:spacing w:val="11"/>
        </w:rPr>
        <w:t> </w:t>
      </w:r>
      <w:r>
        <w:rPr>
          <w:color w:val="231F20"/>
        </w:rPr>
        <w:t>from</w:t>
      </w:r>
      <w:r>
        <w:rPr>
          <w:color w:val="231F20"/>
          <w:spacing w:val="11"/>
        </w:rPr>
        <w:t> </w:t>
      </w:r>
      <w:r>
        <w:rPr>
          <w:color w:val="231F20"/>
        </w:rPr>
        <w:t>magenta</w:t>
      </w:r>
      <w:r>
        <w:rPr>
          <w:color w:val="231F20"/>
          <w:spacing w:val="11"/>
        </w:rPr>
        <w:t> </w:t>
      </w:r>
      <w:r>
        <w:rPr>
          <w:color w:val="231F20"/>
        </w:rPr>
        <w:t>to</w:t>
      </w:r>
      <w:r>
        <w:rPr>
          <w:color w:val="231F20"/>
          <w:spacing w:val="11"/>
        </w:rPr>
        <w:t> </w:t>
      </w:r>
      <w:r>
        <w:rPr>
          <w:color w:val="231F20"/>
          <w:spacing w:val="-2"/>
        </w:rPr>
        <w:t>black</w:t>
      </w:r>
    </w:p>
    <w:p>
      <w:pPr>
        <w:pStyle w:val="BodyText"/>
        <w:spacing w:before="29"/>
        <w:ind w:left="2232"/>
      </w:pPr>
      <w:r>
        <w:rPr>
          <w:rFonts w:ascii="Futura MdCn BT"/>
          <w:color w:val="231F20"/>
        </w:rPr>
        <w:t>v</w:t>
      </w:r>
      <w:r>
        <w:rPr>
          <w:rFonts w:ascii="Futura MdCn BT"/>
          <w:color w:val="231F20"/>
          <w:spacing w:val="31"/>
        </w:rPr>
        <w:t>  </w:t>
      </w:r>
      <w:r>
        <w:rPr>
          <w:color w:val="231F20"/>
        </w:rPr>
        <w:t>Label</w:t>
      </w:r>
      <w:r>
        <w:rPr>
          <w:color w:val="231F20"/>
          <w:spacing w:val="13"/>
        </w:rPr>
        <w:t> </w:t>
      </w:r>
      <w:r>
        <w:rPr>
          <w:color w:val="231F20"/>
        </w:rPr>
        <w:t>changes</w:t>
      </w:r>
      <w:r>
        <w:rPr>
          <w:color w:val="231F20"/>
          <w:spacing w:val="12"/>
        </w:rPr>
        <w:t> </w:t>
      </w:r>
      <w:r>
        <w:rPr>
          <w:color w:val="231F20"/>
        </w:rPr>
        <w:t>from</w:t>
      </w:r>
      <w:r>
        <w:rPr>
          <w:color w:val="231F20"/>
          <w:spacing w:val="13"/>
        </w:rPr>
        <w:t> </w:t>
      </w:r>
      <w:r>
        <w:rPr>
          <w:color w:val="231F20"/>
        </w:rPr>
        <w:t>black</w:t>
      </w:r>
      <w:r>
        <w:rPr>
          <w:color w:val="231F20"/>
          <w:spacing w:val="12"/>
        </w:rPr>
        <w:t> </w:t>
      </w:r>
      <w:r>
        <w:rPr>
          <w:color w:val="231F20"/>
        </w:rPr>
        <w:t>to</w:t>
      </w:r>
      <w:r>
        <w:rPr>
          <w:color w:val="231F20"/>
          <w:spacing w:val="12"/>
        </w:rPr>
        <w:t> </w:t>
      </w:r>
      <w:r>
        <w:rPr>
          <w:color w:val="231F20"/>
          <w:spacing w:val="-5"/>
        </w:rPr>
        <w:t>red</w:t>
      </w:r>
    </w:p>
    <w:p>
      <w:pPr>
        <w:pStyle w:val="BodyText"/>
        <w:spacing w:before="30"/>
        <w:ind w:left="2232"/>
      </w:pPr>
      <w:r>
        <w:rPr>
          <w:rFonts w:ascii="Futura MdCn BT"/>
          <w:color w:val="231F20"/>
        </w:rPr>
        <w:t>v</w:t>
      </w:r>
      <w:r>
        <w:rPr>
          <w:rFonts w:ascii="Futura MdCn BT"/>
          <w:color w:val="231F20"/>
          <w:spacing w:val="78"/>
          <w:w w:val="150"/>
        </w:rPr>
        <w:t> </w:t>
      </w:r>
      <w:r>
        <w:rPr>
          <w:color w:val="231F20"/>
        </w:rPr>
        <w:t>Shape</w:t>
      </w:r>
      <w:r>
        <w:rPr>
          <w:color w:val="231F20"/>
          <w:spacing w:val="10"/>
        </w:rPr>
        <w:t> </w:t>
      </w:r>
      <w:r>
        <w:rPr>
          <w:color w:val="231F20"/>
        </w:rPr>
        <w:t>changes</w:t>
      </w:r>
      <w:r>
        <w:rPr>
          <w:color w:val="231F20"/>
          <w:spacing w:val="10"/>
        </w:rPr>
        <w:t> </w:t>
      </w:r>
      <w:r>
        <w:rPr>
          <w:color w:val="231F20"/>
        </w:rPr>
        <w:t>from</w:t>
      </w:r>
      <w:r>
        <w:rPr>
          <w:color w:val="231F20"/>
          <w:spacing w:val="11"/>
        </w:rPr>
        <w:t> </w:t>
      </w:r>
      <w:r>
        <w:rPr>
          <w:color w:val="231F20"/>
        </w:rPr>
        <w:t>rounded</w:t>
      </w:r>
      <w:r>
        <w:rPr>
          <w:color w:val="231F20"/>
          <w:spacing w:val="10"/>
        </w:rPr>
        <w:t> </w:t>
      </w:r>
      <w:r>
        <w:rPr>
          <w:color w:val="231F20"/>
        </w:rPr>
        <w:t>rectangle</w:t>
      </w:r>
      <w:r>
        <w:rPr>
          <w:color w:val="231F20"/>
          <w:spacing w:val="11"/>
        </w:rPr>
        <w:t> </w:t>
      </w:r>
      <w:r>
        <w:rPr>
          <w:color w:val="231F20"/>
        </w:rPr>
        <w:t>to</w:t>
      </w:r>
      <w:r>
        <w:rPr>
          <w:color w:val="231F20"/>
          <w:spacing w:val="10"/>
        </w:rPr>
        <w:t> </w:t>
      </w:r>
      <w:r>
        <w:rPr>
          <w:color w:val="231F20"/>
          <w:spacing w:val="-2"/>
        </w:rPr>
        <w:t>rectangle</w:t>
      </w:r>
    </w:p>
    <w:p>
      <w:pPr>
        <w:pStyle w:val="BodyText"/>
        <w:spacing w:before="29"/>
        <w:ind w:left="2232"/>
      </w:pPr>
      <w:r>
        <w:rPr>
          <w:rFonts w:ascii="Futura MdCn BT"/>
          <w:color w:val="231F20"/>
        </w:rPr>
        <w:t>v</w:t>
      </w:r>
      <w:r>
        <w:rPr>
          <w:rFonts w:ascii="Futura MdCn BT"/>
          <w:color w:val="231F20"/>
          <w:spacing w:val="30"/>
        </w:rPr>
        <w:t>  </w:t>
      </w:r>
      <w:r>
        <w:rPr>
          <w:color w:val="231F20"/>
        </w:rPr>
        <w:t>Tool</w:t>
      </w:r>
      <w:r>
        <w:rPr>
          <w:color w:val="231F20"/>
          <w:spacing w:val="11"/>
        </w:rPr>
        <w:t> </w:t>
      </w:r>
      <w:r>
        <w:rPr>
          <w:color w:val="231F20"/>
        </w:rPr>
        <w:t>tip</w:t>
      </w:r>
      <w:r>
        <w:rPr>
          <w:color w:val="231F20"/>
          <w:spacing w:val="12"/>
        </w:rPr>
        <w:t> </w:t>
      </w:r>
      <w:r>
        <w:rPr>
          <w:color w:val="231F20"/>
        </w:rPr>
        <w:t>changes</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last</w:t>
      </w:r>
      <w:r>
        <w:rPr>
          <w:color w:val="231F20"/>
          <w:spacing w:val="12"/>
        </w:rPr>
        <w:t> </w:t>
      </w:r>
      <w:r>
        <w:rPr>
          <w:color w:val="231F20"/>
        </w:rPr>
        <w:t>error</w:t>
      </w:r>
      <w:r>
        <w:rPr>
          <w:color w:val="231F20"/>
          <w:spacing w:val="11"/>
        </w:rPr>
        <w:t> </w:t>
      </w:r>
      <w:r>
        <w:rPr>
          <w:color w:val="231F20"/>
        </w:rPr>
        <w:t>that</w:t>
      </w:r>
      <w:r>
        <w:rPr>
          <w:color w:val="231F20"/>
          <w:spacing w:val="11"/>
        </w:rPr>
        <w:t> </w:t>
      </w:r>
      <w:r>
        <w:rPr>
          <w:color w:val="231F20"/>
        </w:rPr>
        <w:t>applies</w:t>
      </w:r>
      <w:r>
        <w:rPr>
          <w:color w:val="231F20"/>
          <w:spacing w:val="11"/>
        </w:rPr>
        <w:t> </w:t>
      </w:r>
      <w:r>
        <w:rPr>
          <w:color w:val="231F20"/>
        </w:rPr>
        <w:t>to</w:t>
      </w:r>
      <w:r>
        <w:rPr>
          <w:color w:val="231F20"/>
          <w:spacing w:val="12"/>
        </w:rPr>
        <w:t> </w:t>
      </w:r>
      <w:r>
        <w:rPr>
          <w:color w:val="231F20"/>
        </w:rPr>
        <w:t>the</w:t>
      </w:r>
      <w:r>
        <w:rPr>
          <w:color w:val="231F20"/>
          <w:spacing w:val="11"/>
        </w:rPr>
        <w:t> </w:t>
      </w:r>
      <w:r>
        <w:rPr>
          <w:color w:val="231F20"/>
          <w:spacing w:val="-2"/>
        </w:rPr>
        <w:t>activity</w:t>
      </w:r>
    </w:p>
    <w:p>
      <w:pPr>
        <w:spacing w:after="0"/>
        <w:sectPr>
          <w:pgSz w:w="12240" w:h="15840"/>
          <w:pgMar w:header="0" w:footer="736" w:top="1180" w:bottom="920" w:left="1000" w:right="1060"/>
        </w:sectPr>
      </w:pPr>
    </w:p>
    <w:p>
      <w:pPr>
        <w:pStyle w:val="Heading6"/>
        <w:spacing w:line="240" w:lineRule="auto" w:before="62"/>
        <w:rPr>
          <w:rFonts w:ascii="Palatino Linotype"/>
          <w:b w:val="0"/>
        </w:rPr>
      </w:pPr>
      <w:bookmarkStart w:name="_bookmark238" w:id="498"/>
      <w:bookmarkEnd w:id="498"/>
      <w:r>
        <w:rPr>
          <w:b w:val="0"/>
        </w:rPr>
      </w: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472"/>
      </w:pPr>
      <w:hyperlink w:history="true" w:anchor="_bookmark243">
        <w:r>
          <w:rPr>
            <w:color w:val="231F20"/>
          </w:rPr>
          <w:t>“Policy</w:t>
        </w:r>
        <w:r>
          <w:rPr>
            <w:color w:val="231F20"/>
            <w:spacing w:val="10"/>
          </w:rPr>
          <w:t> </w:t>
        </w:r>
        <w:r>
          <w:rPr>
            <w:color w:val="231F20"/>
          </w:rPr>
          <w:t>Details”</w:t>
        </w:r>
        <w:r>
          <w:rPr>
            <w:color w:val="231F20"/>
            <w:spacing w:val="11"/>
          </w:rPr>
          <w:t> </w:t>
        </w:r>
        <w:r>
          <w:rPr>
            <w:color w:val="231F20"/>
          </w:rPr>
          <w:t>on</w:t>
        </w:r>
        <w:r>
          <w:rPr>
            <w:color w:val="231F20"/>
            <w:spacing w:val="11"/>
          </w:rPr>
          <w:t> </w:t>
        </w:r>
        <w:r>
          <w:rPr>
            <w:color w:val="231F20"/>
          </w:rPr>
          <w:t>page</w:t>
        </w:r>
        <w:r>
          <w:rPr>
            <w:color w:val="231F20"/>
            <w:spacing w:val="11"/>
          </w:rPr>
          <w:t> </w:t>
        </w:r>
        <w:r>
          <w:rPr>
            <w:color w:val="231F20"/>
            <w:spacing w:val="-5"/>
          </w:rPr>
          <w:t>331</w:t>
        </w:r>
      </w:hyperlink>
    </w:p>
    <w:p>
      <w:pPr>
        <w:pStyle w:val="BodyText"/>
        <w:spacing w:line="213" w:lineRule="auto" w:before="8"/>
        <w:ind w:left="2472" w:right="258"/>
      </w:pPr>
      <w:r>
        <w:rPr>
          <w:color w:val="231F20"/>
        </w:rPr>
        <w:t>Review the Policy Details area of the Workflows window to see the entire list of policies in your monitored environment and information about each policy, such </w:t>
      </w:r>
      <w:r>
        <w:rPr>
          <w:color w:val="231F20"/>
        </w:rPr>
        <w:t>as whether it is distributed or auto started.</w:t>
      </w:r>
    </w:p>
    <w:p>
      <w:pPr>
        <w:pStyle w:val="BodyText"/>
        <w:spacing w:line="255" w:lineRule="exact" w:before="35"/>
        <w:ind w:left="2472"/>
      </w:pPr>
      <w:hyperlink w:history="true" w:anchor="_bookmark245">
        <w:r>
          <w:rPr>
            <w:color w:val="231F20"/>
          </w:rPr>
          <w:t>“Workflow</w:t>
        </w:r>
        <w:r>
          <w:rPr>
            <w:color w:val="231F20"/>
            <w:spacing w:val="5"/>
          </w:rPr>
          <w:t> </w:t>
        </w:r>
        <w:r>
          <w:rPr>
            <w:color w:val="231F20"/>
          </w:rPr>
          <w:t>Editor”</w:t>
        </w:r>
        <w:r>
          <w:rPr>
            <w:color w:val="231F20"/>
            <w:spacing w:val="5"/>
          </w:rPr>
          <w:t> </w:t>
        </w:r>
        <w:r>
          <w:rPr>
            <w:color w:val="231F20"/>
          </w:rPr>
          <w:t>on</w:t>
        </w:r>
        <w:r>
          <w:rPr>
            <w:color w:val="231F20"/>
            <w:spacing w:val="6"/>
          </w:rPr>
          <w:t> </w:t>
        </w:r>
        <w:r>
          <w:rPr>
            <w:color w:val="231F20"/>
          </w:rPr>
          <w:t>page</w:t>
        </w:r>
        <w:r>
          <w:rPr>
            <w:color w:val="231F20"/>
            <w:spacing w:val="5"/>
          </w:rPr>
          <w:t> </w:t>
        </w:r>
        <w:r>
          <w:rPr>
            <w:color w:val="231F20"/>
            <w:spacing w:val="-5"/>
          </w:rPr>
          <w:t>334</w:t>
        </w:r>
      </w:hyperlink>
    </w:p>
    <w:p>
      <w:pPr>
        <w:pStyle w:val="BodyText"/>
        <w:spacing w:line="213" w:lineRule="auto" w:before="8"/>
        <w:ind w:left="2472" w:right="545"/>
      </w:pPr>
      <w:r>
        <w:rPr>
          <w:color w:val="231F20"/>
        </w:rPr>
        <w:t>Use the Workflow editor portion of the Workflows window to create and edit policy workflows by selecting, configuring, arranging, and connecting </w:t>
      </w:r>
      <w:r>
        <w:rPr>
          <w:color w:val="231F20"/>
        </w:rPr>
        <w:t>activities, and to test their validity.</w:t>
      </w:r>
    </w:p>
    <w:p>
      <w:pPr>
        <w:pStyle w:val="Heading3"/>
        <w:spacing w:before="216"/>
        <w:ind w:left="1574"/>
      </w:pPr>
      <w:bookmarkStart w:name="Editing a policy" w:id="499"/>
      <w:bookmarkEnd w:id="499"/>
      <w:r>
        <w:rPr>
          <w:b w:val="0"/>
        </w:rPr>
      </w:r>
      <w:r>
        <w:rPr>
          <w:color w:val="231F20"/>
        </w:rPr>
        <w:t>Editing</w:t>
      </w:r>
      <w:r>
        <w:rPr>
          <w:color w:val="231F20"/>
          <w:spacing w:val="9"/>
        </w:rPr>
        <w:t> </w:t>
      </w:r>
      <w:r>
        <w:rPr>
          <w:color w:val="231F20"/>
        </w:rPr>
        <w:t>a</w:t>
      </w:r>
      <w:r>
        <w:rPr>
          <w:color w:val="231F20"/>
          <w:spacing w:val="9"/>
        </w:rPr>
        <w:t> </w:t>
      </w:r>
      <w:r>
        <w:rPr>
          <w:color w:val="231F20"/>
          <w:spacing w:val="-2"/>
        </w:rPr>
        <w:t>policy</w:t>
      </w:r>
    </w:p>
    <w:p>
      <w:pPr>
        <w:pStyle w:val="BodyText"/>
        <w:spacing w:line="213" w:lineRule="auto" w:before="58"/>
        <w:ind w:left="2472" w:right="274"/>
      </w:pPr>
      <w:r>
        <w:rPr>
          <w:color w:val="231F20"/>
        </w:rPr>
        <w:t>Use the Policy Details area of the Workflows window for changing policy </w:t>
      </w:r>
      <w:r>
        <w:rPr>
          <w:color w:val="231F20"/>
        </w:rPr>
        <w:t>settings and the Workflow editor area for editing policy workflows.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9"/>
        </w:rPr>
        <w:t> </w:t>
      </w:r>
      <w:r>
        <w:rPr>
          <w:color w:val="231F20"/>
        </w:rPr>
        <w:t>user</w:t>
      </w:r>
      <w:r>
        <w:rPr>
          <w:color w:val="231F20"/>
          <w:spacing w:val="10"/>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10"/>
        </w:rPr>
        <w:t> </w:t>
      </w:r>
      <w:r>
        <w:rPr>
          <w:color w:val="231F20"/>
        </w:rPr>
        <w:t>Modify</w:t>
      </w:r>
      <w:r>
        <w:rPr>
          <w:color w:val="231F20"/>
          <w:spacing w:val="9"/>
        </w:rPr>
        <w:t> </w:t>
      </w:r>
      <w:r>
        <w:rPr>
          <w:color w:val="231F20"/>
        </w:rPr>
        <w:t>Policy</w:t>
      </w:r>
      <w:r>
        <w:rPr>
          <w:color w:val="231F20"/>
          <w:spacing w:val="10"/>
        </w:rPr>
        <w:t> </w:t>
      </w:r>
      <w:r>
        <w:rPr>
          <w:color w:val="231F20"/>
        </w:rPr>
        <w:t>permission</w:t>
      </w:r>
      <w:r>
        <w:rPr>
          <w:color w:val="231F20"/>
          <w:spacing w:val="10"/>
        </w:rPr>
        <w:t> </w:t>
      </w:r>
      <w:r>
        <w:rPr>
          <w:color w:val="231F20"/>
        </w:rPr>
        <w:t>to</w:t>
      </w:r>
      <w:r>
        <w:rPr>
          <w:color w:val="231F20"/>
          <w:spacing w:val="10"/>
        </w:rPr>
        <w:t> </w:t>
      </w:r>
      <w:r>
        <w:rPr>
          <w:color w:val="231F20"/>
        </w:rPr>
        <w:t>use</w:t>
      </w:r>
      <w:r>
        <w:rPr>
          <w:color w:val="231F20"/>
          <w:spacing w:val="10"/>
        </w:rPr>
        <w:t> </w:t>
      </w:r>
      <w:r>
        <w:rPr>
          <w:color w:val="231F20"/>
        </w:rPr>
        <w:t>this</w:t>
      </w:r>
      <w:r>
        <w:rPr>
          <w:color w:val="231F20"/>
          <w:spacing w:val="9"/>
        </w:rPr>
        <w:t> </w:t>
      </w:r>
      <w:r>
        <w:rPr>
          <w:color w:val="231F20"/>
          <w:spacing w:val="-2"/>
        </w:rPr>
        <w:t>function.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To</w:t>
      </w:r>
      <w:r>
        <w:rPr>
          <w:color w:val="231F20"/>
          <w:spacing w:val="7"/>
        </w:rPr>
        <w:t> </w:t>
      </w:r>
      <w:r>
        <w:rPr>
          <w:color w:val="231F20"/>
        </w:rPr>
        <w:t>edit</w:t>
      </w:r>
      <w:r>
        <w:rPr>
          <w:color w:val="231F20"/>
          <w:spacing w:val="7"/>
        </w:rPr>
        <w:t> </w:t>
      </w:r>
      <w:r>
        <w:rPr>
          <w:color w:val="231F20"/>
        </w:rPr>
        <w:t>a</w:t>
      </w:r>
      <w:r>
        <w:rPr>
          <w:color w:val="231F20"/>
          <w:spacing w:val="8"/>
        </w:rPr>
        <w:t> </w:t>
      </w:r>
      <w:r>
        <w:rPr>
          <w:color w:val="231F20"/>
          <w:spacing w:val="-2"/>
        </w:rPr>
        <w:t>policy:</w:t>
      </w:r>
    </w:p>
    <w:p>
      <w:pPr>
        <w:pStyle w:val="Heading4"/>
        <w:spacing w:before="194"/>
        <w:ind w:left="2472"/>
      </w:pPr>
      <w:r>
        <w:rPr>
          <w:color w:val="231F20"/>
          <w:spacing w:val="-2"/>
        </w:rPr>
        <w:t>Procedure</w:t>
      </w:r>
    </w:p>
    <w:p>
      <w:pPr>
        <w:pStyle w:val="ListParagraph"/>
        <w:numPr>
          <w:ilvl w:val="0"/>
          <w:numId w:val="145"/>
        </w:numPr>
        <w:tabs>
          <w:tab w:pos="2787" w:val="left" w:leader="none"/>
        </w:tabs>
        <w:spacing w:line="240" w:lineRule="auto" w:before="39" w:after="0"/>
        <w:ind w:left="2787" w:right="0" w:hanging="315"/>
        <w:jc w:val="left"/>
        <w:rPr>
          <w:sz w:val="20"/>
        </w:rPr>
      </w:pPr>
      <w:r>
        <w:rPr>
          <w:color w:val="231F20"/>
          <w:sz w:val="20"/>
        </w:rPr>
        <w:t>If</w:t>
      </w:r>
      <w:r>
        <w:rPr>
          <w:color w:val="231F20"/>
          <w:spacing w:val="8"/>
          <w:sz w:val="20"/>
        </w:rPr>
        <w:t> </w:t>
      </w:r>
      <w:r>
        <w:rPr>
          <w:color w:val="231F20"/>
          <w:sz w:val="20"/>
        </w:rPr>
        <w:t>the</w:t>
      </w:r>
      <w:r>
        <w:rPr>
          <w:color w:val="231F20"/>
          <w:spacing w:val="9"/>
          <w:sz w:val="20"/>
        </w:rPr>
        <w:t> </w:t>
      </w:r>
      <w:r>
        <w:rPr>
          <w:color w:val="231F20"/>
          <w:sz w:val="20"/>
        </w:rPr>
        <w:t>Workflows</w:t>
      </w:r>
      <w:r>
        <w:rPr>
          <w:color w:val="231F20"/>
          <w:spacing w:val="8"/>
          <w:sz w:val="20"/>
        </w:rPr>
        <w:t> </w:t>
      </w:r>
      <w:r>
        <w:rPr>
          <w:color w:val="231F20"/>
          <w:sz w:val="20"/>
        </w:rPr>
        <w:t>window</w:t>
      </w:r>
      <w:r>
        <w:rPr>
          <w:color w:val="231F20"/>
          <w:spacing w:val="9"/>
          <w:sz w:val="20"/>
        </w:rPr>
        <w:t> </w:t>
      </w:r>
      <w:r>
        <w:rPr>
          <w:color w:val="231F20"/>
          <w:sz w:val="20"/>
        </w:rPr>
        <w:t>is</w:t>
      </w:r>
      <w:r>
        <w:rPr>
          <w:color w:val="231F20"/>
          <w:spacing w:val="8"/>
          <w:sz w:val="20"/>
        </w:rPr>
        <w:t> </w:t>
      </w:r>
      <w:r>
        <w:rPr>
          <w:color w:val="231F20"/>
          <w:sz w:val="20"/>
        </w:rPr>
        <w:t>not</w:t>
      </w:r>
      <w:r>
        <w:rPr>
          <w:color w:val="231F20"/>
          <w:spacing w:val="9"/>
          <w:sz w:val="20"/>
        </w:rPr>
        <w:t> </w:t>
      </w:r>
      <w:r>
        <w:rPr>
          <w:color w:val="231F20"/>
          <w:sz w:val="20"/>
        </w:rPr>
        <w:t>open,</w:t>
      </w:r>
      <w:r>
        <w:rPr>
          <w:color w:val="231F20"/>
          <w:spacing w:val="9"/>
          <w:sz w:val="20"/>
        </w:rPr>
        <w:t> </w:t>
      </w:r>
      <w:r>
        <w:rPr>
          <w:color w:val="231F20"/>
          <w:sz w:val="20"/>
        </w:rPr>
        <w:t>click</w:t>
      </w:r>
      <w:r>
        <w:rPr>
          <w:color w:val="231F20"/>
          <w:spacing w:val="7"/>
          <w:sz w:val="20"/>
        </w:rPr>
        <w:t> </w:t>
      </w:r>
      <w:r>
        <w:rPr>
          <w:color w:val="231F20"/>
          <w:spacing w:val="15"/>
          <w:position w:val="-1"/>
          <w:sz w:val="20"/>
        </w:rPr>
        <w:drawing>
          <wp:inline distT="0" distB="0" distL="0" distR="0">
            <wp:extent cx="101600" cy="101600"/>
            <wp:effectExtent l="0" t="0" r="0" b="0"/>
            <wp:docPr id="2702" name="Image 2702"/>
            <wp:cNvGraphicFramePr>
              <a:graphicFrameLocks/>
            </wp:cNvGraphicFramePr>
            <a:graphic>
              <a:graphicData uri="http://schemas.openxmlformats.org/drawingml/2006/picture">
                <pic:pic>
                  <pic:nvPicPr>
                    <pic:cNvPr id="2702" name="Image 2702"/>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39"/>
          <w:sz w:val="20"/>
        </w:rPr>
        <w:t> </w:t>
      </w:r>
      <w:r>
        <w:rPr>
          <w:rFonts w:ascii="Book Antiqua"/>
          <w:b/>
          <w:color w:val="231F20"/>
          <w:sz w:val="20"/>
        </w:rPr>
        <w:t>Workflow</w:t>
      </w:r>
      <w:r>
        <w:rPr>
          <w:rFonts w:ascii="Book Antiqua"/>
          <w:b/>
          <w:color w:val="231F20"/>
          <w:spacing w:val="9"/>
          <w:sz w:val="20"/>
        </w:rPr>
        <w:t> </w:t>
      </w:r>
      <w:r>
        <w:rPr>
          <w:rFonts w:ascii="Book Antiqua"/>
          <w:b/>
          <w:color w:val="231F20"/>
          <w:spacing w:val="-2"/>
          <w:sz w:val="20"/>
        </w:rPr>
        <w:t>Editor</w:t>
      </w:r>
      <w:r>
        <w:rPr>
          <w:color w:val="231F20"/>
          <w:spacing w:val="-2"/>
          <w:sz w:val="20"/>
        </w:rPr>
        <w:t>.</w:t>
      </w:r>
    </w:p>
    <w:p>
      <w:pPr>
        <w:pStyle w:val="ListParagraph"/>
        <w:numPr>
          <w:ilvl w:val="0"/>
          <w:numId w:val="145"/>
        </w:numPr>
        <w:tabs>
          <w:tab w:pos="2788" w:val="left" w:leader="none"/>
        </w:tabs>
        <w:spacing w:line="213" w:lineRule="auto" w:before="52" w:after="0"/>
        <w:ind w:left="2788" w:right="209" w:hanging="316"/>
        <w:jc w:val="left"/>
        <w:rPr>
          <w:sz w:val="20"/>
        </w:rPr>
      </w:pPr>
      <w:r>
        <w:rPr>
          <w:color w:val="231F20"/>
          <w:sz w:val="20"/>
        </w:rPr>
        <w:t>In </w:t>
      </w:r>
      <w:r>
        <w:rPr>
          <w:rFonts w:ascii="Book Antiqua"/>
          <w:b/>
          <w:color w:val="231F20"/>
          <w:sz w:val="20"/>
        </w:rPr>
        <w:t>Policy Details</w:t>
      </w:r>
      <w:r>
        <w:rPr>
          <w:color w:val="231F20"/>
          <w:sz w:val="20"/>
        </w:rPr>
        <w:t>, click the row whose policy you want to change, then edit the cells as needed. As soon as you make a change,</w:t>
      </w:r>
      <w:r>
        <w:rPr>
          <w:color w:val="231F20"/>
          <w:spacing w:val="32"/>
          <w:sz w:val="20"/>
        </w:rPr>
        <w:t> </w:t>
      </w:r>
      <w:r>
        <w:rPr>
          <w:color w:val="231F20"/>
          <w:spacing w:val="-25"/>
          <w:position w:val="-1"/>
          <w:sz w:val="20"/>
        </w:rPr>
        <w:drawing>
          <wp:inline distT="0" distB="0" distL="0" distR="0">
            <wp:extent cx="88900" cy="88900"/>
            <wp:effectExtent l="0" t="0" r="0" b="0"/>
            <wp:docPr id="2703" name="Image 2703"/>
            <wp:cNvGraphicFramePr>
              <a:graphicFrameLocks/>
            </wp:cNvGraphicFramePr>
            <a:graphic>
              <a:graphicData uri="http://schemas.openxmlformats.org/drawingml/2006/picture">
                <pic:pic>
                  <pic:nvPicPr>
                    <pic:cNvPr id="2703" name="Image 2703"/>
                    <pic:cNvPicPr/>
                  </pic:nvPicPr>
                  <pic:blipFill>
                    <a:blip r:embed="rId425" cstate="print"/>
                    <a:stretch>
                      <a:fillRect/>
                    </a:stretch>
                  </pic:blipFill>
                  <pic:spPr>
                    <a:xfrm>
                      <a:off x="0" y="0"/>
                      <a:ext cx="88900" cy="88900"/>
                    </a:xfrm>
                    <a:prstGeom prst="rect">
                      <a:avLst/>
                    </a:prstGeom>
                  </pic:spPr>
                </pic:pic>
              </a:graphicData>
            </a:graphic>
          </wp:inline>
        </w:drawing>
      </w:r>
      <w:r>
        <w:rPr>
          <w:color w:val="231F20"/>
          <w:spacing w:val="-25"/>
          <w:position w:val="-1"/>
          <w:sz w:val="20"/>
        </w:rPr>
      </w:r>
      <w:r>
        <w:rPr>
          <w:rFonts w:ascii="Times New Roman"/>
          <w:color w:val="231F20"/>
          <w:spacing w:val="40"/>
          <w:sz w:val="20"/>
        </w:rPr>
        <w:t> </w:t>
      </w:r>
      <w:r>
        <w:rPr>
          <w:rFonts w:ascii="Book Antiqua"/>
          <w:b/>
          <w:color w:val="231F20"/>
          <w:sz w:val="20"/>
        </w:rPr>
        <w:t>Undo </w:t>
      </w:r>
      <w:r>
        <w:rPr>
          <w:color w:val="231F20"/>
          <w:sz w:val="20"/>
        </w:rPr>
        <w:t>is enabled. Click it if you want to undo the changes made so far to the policy settings.</w:t>
      </w:r>
    </w:p>
    <w:p>
      <w:pPr>
        <w:pStyle w:val="BodyText"/>
        <w:spacing w:line="213" w:lineRule="auto" w:before="58"/>
        <w:ind w:left="2788" w:right="493"/>
      </w:pPr>
      <w:r>
        <w:rPr>
          <w:color w:val="231F20"/>
        </w:rPr>
        <w:t>After a policy has been saved, you cannot change its name. Instead, copy </w:t>
      </w:r>
      <w:r>
        <w:rPr>
          <w:color w:val="231F20"/>
        </w:rPr>
        <w:t>the policy and edit the name of the copy.</w:t>
      </w:r>
    </w:p>
    <w:p>
      <w:pPr>
        <w:pStyle w:val="ListParagraph"/>
        <w:numPr>
          <w:ilvl w:val="0"/>
          <w:numId w:val="145"/>
        </w:numPr>
        <w:tabs>
          <w:tab w:pos="2786" w:val="left" w:leader="none"/>
          <w:tab w:pos="2788" w:val="left" w:leader="none"/>
        </w:tabs>
        <w:spacing w:line="213" w:lineRule="auto" w:before="59" w:after="0"/>
        <w:ind w:left="2788" w:right="501" w:hanging="317"/>
        <w:jc w:val="left"/>
        <w:rPr>
          <w:sz w:val="20"/>
        </w:rPr>
      </w:pPr>
      <w:r>
        <w:rPr>
          <w:color w:val="231F20"/>
          <w:sz w:val="20"/>
        </w:rPr>
        <w:t>Click </w:t>
      </w:r>
      <w:r>
        <w:rPr>
          <w:color w:val="231F20"/>
          <w:spacing w:val="-24"/>
          <w:position w:val="-1"/>
          <w:sz w:val="20"/>
        </w:rPr>
        <w:drawing>
          <wp:inline distT="0" distB="0" distL="0" distR="0">
            <wp:extent cx="95250" cy="101600"/>
            <wp:effectExtent l="0" t="0" r="0" b="0"/>
            <wp:docPr id="2704" name="Image 2704"/>
            <wp:cNvGraphicFramePr>
              <a:graphicFrameLocks/>
            </wp:cNvGraphicFramePr>
            <a:graphic>
              <a:graphicData uri="http://schemas.openxmlformats.org/drawingml/2006/picture">
                <pic:pic>
                  <pic:nvPicPr>
                    <pic:cNvPr id="2704" name="Image 2704"/>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2"/>
          <w:sz w:val="20"/>
        </w:rPr>
        <w:t> </w:t>
      </w:r>
      <w:r>
        <w:rPr>
          <w:rFonts w:ascii="Book Antiqua"/>
          <w:b/>
          <w:color w:val="231F20"/>
          <w:sz w:val="20"/>
        </w:rPr>
        <w:t>Edit Workflow </w:t>
      </w:r>
      <w:r>
        <w:rPr>
          <w:color w:val="231F20"/>
          <w:sz w:val="20"/>
        </w:rPr>
        <w:t>to open the policy in the Workflow editor, then </w:t>
      </w:r>
      <w:r>
        <w:rPr>
          <w:color w:val="231F20"/>
          <w:sz w:val="20"/>
        </w:rPr>
        <w:t>edit the activities as needed:</w:t>
      </w:r>
    </w:p>
    <w:p>
      <w:pPr>
        <w:pStyle w:val="BodyText"/>
        <w:spacing w:before="35"/>
        <w:ind w:left="2788"/>
      </w:pPr>
      <w:r>
        <w:rPr>
          <w:rFonts w:ascii="Futura MdCn BT"/>
          <w:color w:val="231F20"/>
        </w:rPr>
        <w:t>v</w:t>
      </w:r>
      <w:r>
        <w:rPr>
          <w:rFonts w:ascii="Futura MdCn BT"/>
          <w:color w:val="231F20"/>
          <w:spacing w:val="69"/>
          <w:w w:val="150"/>
        </w:rPr>
        <w:t> </w:t>
      </w:r>
      <w:r>
        <w:rPr>
          <w:color w:val="231F20"/>
        </w:rPr>
        <w:t>To</w:t>
      </w:r>
      <w:r>
        <w:rPr>
          <w:color w:val="231F20"/>
          <w:spacing w:val="7"/>
        </w:rPr>
        <w:t> </w:t>
      </w:r>
      <w:r>
        <w:rPr>
          <w:color w:val="231F20"/>
        </w:rPr>
        <w:t>edit</w:t>
      </w:r>
      <w:r>
        <w:rPr>
          <w:color w:val="231F20"/>
          <w:spacing w:val="6"/>
        </w:rPr>
        <w:t> </w:t>
      </w:r>
      <w:r>
        <w:rPr>
          <w:color w:val="231F20"/>
        </w:rPr>
        <w:t>an</w:t>
      </w:r>
      <w:r>
        <w:rPr>
          <w:color w:val="231F20"/>
          <w:spacing w:val="7"/>
        </w:rPr>
        <w:t> </w:t>
      </w:r>
      <w:r>
        <w:rPr>
          <w:color w:val="231F20"/>
        </w:rPr>
        <w:t>activity,</w:t>
      </w:r>
      <w:r>
        <w:rPr>
          <w:color w:val="231F20"/>
          <w:spacing w:val="7"/>
        </w:rPr>
        <w:t> </w:t>
      </w:r>
      <w:r>
        <w:rPr>
          <w:color w:val="231F20"/>
        </w:rPr>
        <w:t>double-click</w:t>
      </w:r>
      <w:r>
        <w:rPr>
          <w:color w:val="231F20"/>
          <w:spacing w:val="6"/>
        </w:rPr>
        <w:t> </w:t>
      </w:r>
      <w:r>
        <w:rPr>
          <w:color w:val="231F20"/>
          <w:spacing w:val="-5"/>
        </w:rPr>
        <w:t>it.</w:t>
      </w:r>
    </w:p>
    <w:p>
      <w:pPr>
        <w:pStyle w:val="BodyText"/>
        <w:spacing w:line="213" w:lineRule="auto" w:before="53"/>
        <w:ind w:left="3004" w:right="493" w:hanging="216"/>
      </w:pPr>
      <w:r>
        <w:rPr>
          <w:rFonts w:ascii="Futura MdCn BT"/>
          <w:color w:val="231F20"/>
        </w:rPr>
        <w:t>v</w:t>
      </w:r>
      <w:r>
        <w:rPr>
          <w:rFonts w:ascii="Futura MdCn BT"/>
          <w:color w:val="231F20"/>
          <w:spacing w:val="80"/>
        </w:rPr>
        <w:t> </w:t>
      </w:r>
      <w:r>
        <w:rPr>
          <w:color w:val="231F20"/>
        </w:rPr>
        <w:t>To delete an activity or connector, select it and click </w:t>
      </w:r>
      <w:r>
        <w:rPr>
          <w:color w:val="231F20"/>
          <w:spacing w:val="-25"/>
          <w:position w:val="-1"/>
        </w:rPr>
        <w:drawing>
          <wp:inline distT="0" distB="0" distL="0" distR="0">
            <wp:extent cx="95250" cy="101600"/>
            <wp:effectExtent l="0" t="0" r="0" b="0"/>
            <wp:docPr id="2705" name="Image 2705"/>
            <wp:cNvGraphicFramePr>
              <a:graphicFrameLocks/>
            </wp:cNvGraphicFramePr>
            <a:graphic>
              <a:graphicData uri="http://schemas.openxmlformats.org/drawingml/2006/picture">
                <pic:pic>
                  <pic:nvPicPr>
                    <pic:cNvPr id="2705" name="Image 2705"/>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6"/>
        </w:rPr>
        <w:t> </w:t>
      </w:r>
      <w:r>
        <w:rPr>
          <w:rFonts w:ascii="Book Antiqua"/>
          <w:b/>
          <w:color w:val="231F20"/>
        </w:rPr>
        <w:t>Delete</w:t>
      </w:r>
      <w:r>
        <w:rPr>
          <w:color w:val="231F20"/>
        </w:rPr>
        <w:t>. You can </w:t>
      </w:r>
      <w:r>
        <w:rPr>
          <w:color w:val="231F20"/>
        </w:rPr>
        <w:t>also</w:t>
      </w:r>
      <w:r>
        <w:rPr>
          <w:color w:val="231F20"/>
        </w:rPr>
        <w:t> use Shift+click to select multiple activities or use click and drag to select a</w:t>
      </w:r>
      <w:r>
        <w:rPr>
          <w:color w:val="231F20"/>
          <w:spacing w:val="40"/>
        </w:rPr>
        <w:t> </w:t>
      </w:r>
      <w:r>
        <w:rPr>
          <w:color w:val="231F20"/>
        </w:rPr>
        <w:t>rectangular area.</w:t>
      </w:r>
    </w:p>
    <w:p>
      <w:pPr>
        <w:pStyle w:val="BodyText"/>
        <w:spacing w:line="213" w:lineRule="auto" w:before="58"/>
        <w:ind w:left="3004" w:right="385" w:hanging="216"/>
      </w:pPr>
      <w:r>
        <w:rPr>
          <w:rFonts w:ascii="Futura MdCn BT"/>
          <w:color w:val="231F20"/>
        </w:rPr>
        <w:t>v</w:t>
      </w:r>
      <w:r>
        <w:rPr>
          <w:rFonts w:ascii="Futura MdCn BT"/>
          <w:color w:val="231F20"/>
          <w:spacing w:val="80"/>
        </w:rPr>
        <w:t> </w:t>
      </w:r>
      <w:r>
        <w:rPr>
          <w:color w:val="231F20"/>
        </w:rPr>
        <w:t>To copy an activity, select it, click</w:t>
      </w:r>
      <w:r>
        <w:rPr>
          <w:color w:val="231F20"/>
          <w:spacing w:val="29"/>
        </w:rPr>
        <w:t> </w:t>
      </w:r>
      <w:r>
        <w:rPr>
          <w:color w:val="231F20"/>
          <w:spacing w:val="-15"/>
          <w:position w:val="-1"/>
        </w:rPr>
        <w:drawing>
          <wp:inline distT="0" distB="0" distL="0" distR="0">
            <wp:extent cx="82550" cy="95250"/>
            <wp:effectExtent l="0" t="0" r="0" b="0"/>
            <wp:docPr id="2706" name="Image 2706"/>
            <wp:cNvGraphicFramePr>
              <a:graphicFrameLocks/>
            </wp:cNvGraphicFramePr>
            <a:graphic>
              <a:graphicData uri="http://schemas.openxmlformats.org/drawingml/2006/picture">
                <pic:pic>
                  <pic:nvPicPr>
                    <pic:cNvPr id="2706" name="Image 2706"/>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Copy</w:t>
      </w:r>
      <w:r>
        <w:rPr>
          <w:color w:val="231F20"/>
        </w:rPr>
        <w:t>. Click where you want it to go in</w:t>
      </w:r>
      <w:r>
        <w:rPr>
          <w:color w:val="231F20"/>
          <w:spacing w:val="40"/>
        </w:rPr>
        <w:t> </w:t>
      </w:r>
      <w:r>
        <w:rPr>
          <w:color w:val="231F20"/>
        </w:rPr>
        <w:t>this or another policy open in the work area, and click </w:t>
      </w:r>
      <w:r>
        <w:rPr>
          <w:color w:val="231F20"/>
          <w:spacing w:val="-25"/>
          <w:position w:val="-1"/>
        </w:rPr>
        <w:drawing>
          <wp:inline distT="0" distB="0" distL="0" distR="0">
            <wp:extent cx="95250" cy="101600"/>
            <wp:effectExtent l="0" t="0" r="0" b="0"/>
            <wp:docPr id="2707" name="Image 2707"/>
            <wp:cNvGraphicFramePr>
              <a:graphicFrameLocks/>
            </wp:cNvGraphicFramePr>
            <a:graphic>
              <a:graphicData uri="http://schemas.openxmlformats.org/drawingml/2006/picture">
                <pic:pic>
                  <pic:nvPicPr>
                    <pic:cNvPr id="2707" name="Image 2707"/>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7"/>
        </w:rPr>
        <w:t> </w:t>
      </w:r>
      <w:r>
        <w:rPr>
          <w:rFonts w:ascii="Book Antiqua"/>
          <w:b/>
          <w:color w:val="231F20"/>
        </w:rPr>
        <w:t>Paste</w:t>
      </w:r>
      <w:r>
        <w:rPr>
          <w:color w:val="231F20"/>
        </w:rPr>
        <w:t>. You can </w:t>
      </w:r>
      <w:r>
        <w:rPr>
          <w:color w:val="231F20"/>
        </w:rPr>
        <w:t>also</w:t>
      </w:r>
      <w:r>
        <w:rPr>
          <w:color w:val="231F20"/>
        </w:rPr>
        <w:t> use Shift+click to select multiple activities or use click and drag to select a</w:t>
      </w:r>
      <w:r>
        <w:rPr>
          <w:color w:val="231F20"/>
          <w:spacing w:val="40"/>
        </w:rPr>
        <w:t> </w:t>
      </w:r>
      <w:r>
        <w:rPr>
          <w:color w:val="231F20"/>
        </w:rPr>
        <w:t>rectangular area.</w:t>
      </w:r>
    </w:p>
    <w:p>
      <w:pPr>
        <w:pStyle w:val="BodyText"/>
        <w:spacing w:line="213" w:lineRule="auto" w:before="57"/>
        <w:ind w:left="3004" w:right="292" w:hanging="216"/>
      </w:pPr>
      <w:r>
        <w:rPr>
          <w:rFonts w:ascii="Futura MdCn BT"/>
          <w:color w:val="231F20"/>
        </w:rPr>
        <w:t>v</w:t>
      </w:r>
      <w:r>
        <w:rPr>
          <w:rFonts w:ascii="Futura MdCn BT"/>
          <w:color w:val="231F20"/>
          <w:spacing w:val="80"/>
        </w:rPr>
        <w:t> </w:t>
      </w:r>
      <w:r>
        <w:rPr>
          <w:color w:val="231F20"/>
        </w:rPr>
        <w:t>To move an activity, select it, click </w:t>
      </w:r>
      <w:r>
        <w:rPr>
          <w:color w:val="231F20"/>
          <w:spacing w:val="15"/>
          <w:position w:val="-1"/>
        </w:rPr>
        <w:drawing>
          <wp:inline distT="0" distB="0" distL="0" distR="0">
            <wp:extent cx="101600" cy="101600"/>
            <wp:effectExtent l="0" t="0" r="0" b="0"/>
            <wp:docPr id="2708" name="Image 2708"/>
            <wp:cNvGraphicFramePr>
              <a:graphicFrameLocks/>
            </wp:cNvGraphicFramePr>
            <a:graphic>
              <a:graphicData uri="http://schemas.openxmlformats.org/drawingml/2006/picture">
                <pic:pic>
                  <pic:nvPicPr>
                    <pic:cNvPr id="2708" name="Image 2708"/>
                    <pic:cNvPicPr/>
                  </pic:nvPicPr>
                  <pic:blipFill>
                    <a:blip r:embed="rId334"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rFonts w:ascii="Book Antiqua"/>
          <w:b/>
          <w:color w:val="231F20"/>
        </w:rPr>
        <w:t>Cut</w:t>
      </w:r>
      <w:r>
        <w:rPr>
          <w:color w:val="231F20"/>
        </w:rPr>
        <w:t>, then click to where you want to move</w:t>
      </w:r>
      <w:r>
        <w:rPr>
          <w:color w:val="231F20"/>
          <w:spacing w:val="25"/>
        </w:rPr>
        <w:t> </w:t>
      </w:r>
      <w:r>
        <w:rPr>
          <w:color w:val="231F20"/>
        </w:rPr>
        <w:t>it</w:t>
      </w:r>
      <w:r>
        <w:rPr>
          <w:color w:val="231F20"/>
          <w:spacing w:val="25"/>
        </w:rPr>
        <w:t> </w:t>
      </w:r>
      <w:r>
        <w:rPr>
          <w:color w:val="231F20"/>
        </w:rPr>
        <w:t>in</w:t>
      </w:r>
      <w:r>
        <w:rPr>
          <w:color w:val="231F20"/>
          <w:spacing w:val="25"/>
        </w:rPr>
        <w:t> </w:t>
      </w:r>
      <w:r>
        <w:rPr>
          <w:color w:val="231F20"/>
        </w:rPr>
        <w:t>this</w:t>
      </w:r>
      <w:r>
        <w:rPr>
          <w:color w:val="231F20"/>
          <w:spacing w:val="25"/>
        </w:rPr>
        <w:t> </w:t>
      </w:r>
      <w:r>
        <w:rPr>
          <w:color w:val="231F20"/>
        </w:rPr>
        <w:t>or</w:t>
      </w:r>
      <w:r>
        <w:rPr>
          <w:color w:val="231F20"/>
          <w:spacing w:val="25"/>
        </w:rPr>
        <w:t> </w:t>
      </w:r>
      <w:r>
        <w:rPr>
          <w:color w:val="231F20"/>
        </w:rPr>
        <w:t>another</w:t>
      </w:r>
      <w:r>
        <w:rPr>
          <w:color w:val="231F20"/>
          <w:spacing w:val="25"/>
        </w:rPr>
        <w:t> </w:t>
      </w:r>
      <w:r>
        <w:rPr>
          <w:color w:val="231F20"/>
        </w:rPr>
        <w:t>policy</w:t>
      </w:r>
      <w:r>
        <w:rPr>
          <w:color w:val="231F20"/>
          <w:spacing w:val="25"/>
        </w:rPr>
        <w:t> </w:t>
      </w:r>
      <w:r>
        <w:rPr>
          <w:color w:val="231F20"/>
        </w:rPr>
        <w:t>open</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work</w:t>
      </w:r>
      <w:r>
        <w:rPr>
          <w:color w:val="231F20"/>
          <w:spacing w:val="25"/>
        </w:rPr>
        <w:t> </w:t>
      </w:r>
      <w:r>
        <w:rPr>
          <w:color w:val="231F20"/>
        </w:rPr>
        <w:t>area,</w:t>
      </w:r>
      <w:r>
        <w:rPr>
          <w:color w:val="231F20"/>
          <w:spacing w:val="25"/>
        </w:rPr>
        <w:t> </w:t>
      </w:r>
      <w:r>
        <w:rPr>
          <w:color w:val="231F20"/>
        </w:rPr>
        <w:t>and</w:t>
      </w:r>
      <w:r>
        <w:rPr>
          <w:color w:val="231F20"/>
          <w:spacing w:val="25"/>
        </w:rPr>
        <w:t> </w:t>
      </w:r>
      <w:r>
        <w:rPr>
          <w:color w:val="231F20"/>
        </w:rPr>
        <w:t>click</w:t>
      </w:r>
      <w:r>
        <w:rPr>
          <w:color w:val="231F20"/>
          <w:spacing w:val="24"/>
        </w:rPr>
        <w:t> </w:t>
      </w:r>
      <w:r>
        <w:rPr>
          <w:color w:val="231F20"/>
          <w:spacing w:val="24"/>
          <w:position w:val="-1"/>
        </w:rPr>
        <w:drawing>
          <wp:inline distT="0" distB="0" distL="0" distR="0">
            <wp:extent cx="95250" cy="101600"/>
            <wp:effectExtent l="0" t="0" r="0" b="0"/>
            <wp:docPr id="2709" name="Image 2709"/>
            <wp:cNvGraphicFramePr>
              <a:graphicFrameLocks/>
            </wp:cNvGraphicFramePr>
            <a:graphic>
              <a:graphicData uri="http://schemas.openxmlformats.org/drawingml/2006/picture">
                <pic:pic>
                  <pic:nvPicPr>
                    <pic:cNvPr id="2709" name="Image 2709"/>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2"/>
        </w:rPr>
        <w:t> </w:t>
      </w:r>
      <w:r>
        <w:rPr>
          <w:rFonts w:ascii="Book Antiqua"/>
          <w:b/>
          <w:color w:val="231F20"/>
        </w:rPr>
        <w:t>Paste</w:t>
      </w:r>
      <w:r>
        <w:rPr>
          <w:color w:val="231F20"/>
        </w:rPr>
        <w:t>. You can also use Shift+click to select multiple activities or use click and </w:t>
      </w:r>
      <w:r>
        <w:rPr>
          <w:color w:val="231F20"/>
        </w:rPr>
        <w:t>drag</w:t>
      </w:r>
      <w:r>
        <w:rPr>
          <w:color w:val="231F20"/>
          <w:spacing w:val="40"/>
        </w:rPr>
        <w:t> </w:t>
      </w:r>
      <w:r>
        <w:rPr>
          <w:color w:val="231F20"/>
        </w:rPr>
        <w:t>to select a rectangular area.</w:t>
      </w:r>
    </w:p>
    <w:p>
      <w:pPr>
        <w:pStyle w:val="BodyText"/>
        <w:spacing w:line="213" w:lineRule="auto" w:before="57"/>
        <w:ind w:left="3004" w:right="493" w:hanging="216"/>
      </w:pPr>
      <w:r>
        <w:rPr>
          <w:rFonts w:ascii="Futura MdCn BT"/>
          <w:color w:val="231F20"/>
        </w:rPr>
        <w:t>v</w:t>
      </w:r>
      <w:r>
        <w:rPr>
          <w:rFonts w:ascii="Futura MdCn BT"/>
          <w:color w:val="231F20"/>
          <w:spacing w:val="80"/>
        </w:rPr>
        <w:t> </w:t>
      </w:r>
      <w:r>
        <w:rPr>
          <w:color w:val="231F20"/>
        </w:rPr>
        <w:t>To add an activity, click its icon in the Workflow components frame, then click inside the Grapher view.</w:t>
      </w:r>
    </w:p>
    <w:p>
      <w:pPr>
        <w:pStyle w:val="BodyText"/>
        <w:spacing w:line="213" w:lineRule="auto" w:before="59"/>
        <w:ind w:left="3004" w:right="545" w:hanging="216"/>
      </w:pPr>
      <w:r>
        <w:rPr>
          <w:rFonts w:ascii="Futura MdCn BT"/>
          <w:color w:val="231F20"/>
        </w:rPr>
        <w:t>v</w:t>
      </w:r>
      <w:r>
        <w:rPr>
          <w:rFonts w:ascii="Futura MdCn BT"/>
          <w:color w:val="231F20"/>
          <w:spacing w:val="80"/>
        </w:rPr>
        <w:t> </w:t>
      </w:r>
      <w:r>
        <w:rPr>
          <w:color w:val="231F20"/>
        </w:rPr>
        <w:t>To connect an activity, click </w:t>
      </w:r>
      <w:r>
        <w:rPr>
          <w:color w:val="231F20"/>
          <w:spacing w:val="15"/>
          <w:position w:val="1"/>
        </w:rPr>
        <w:drawing>
          <wp:inline distT="0" distB="0" distL="0" distR="0">
            <wp:extent cx="311150" cy="63500"/>
            <wp:effectExtent l="0" t="0" r="0" b="0"/>
            <wp:docPr id="2710" name="Image 2710"/>
            <wp:cNvGraphicFramePr>
              <a:graphicFrameLocks/>
            </wp:cNvGraphicFramePr>
            <a:graphic>
              <a:graphicData uri="http://schemas.openxmlformats.org/drawingml/2006/picture">
                <pic:pic>
                  <pic:nvPicPr>
                    <pic:cNvPr id="2710" name="Image 2710"/>
                    <pic:cNvPicPr/>
                  </pic:nvPicPr>
                  <pic:blipFill>
                    <a:blip r:embed="rId418" cstate="print"/>
                    <a:stretch>
                      <a:fillRect/>
                    </a:stretch>
                  </pic:blipFill>
                  <pic:spPr>
                    <a:xfrm>
                      <a:off x="0" y="0"/>
                      <a:ext cx="311150" cy="635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Connect</w:t>
      </w:r>
      <w:r>
        <w:rPr>
          <w:color w:val="231F20"/>
        </w:rPr>
        <w:t>, then drag from the source activity to the target and click.</w:t>
      </w:r>
    </w:p>
    <w:p>
      <w:pPr>
        <w:pStyle w:val="BodyText"/>
        <w:spacing w:line="213" w:lineRule="auto" w:before="58"/>
        <w:ind w:left="3004" w:hanging="216"/>
      </w:pPr>
      <w:r>
        <w:rPr>
          <w:rFonts w:ascii="Futura MdCn BT"/>
          <w:color w:val="231F20"/>
        </w:rPr>
        <w:t>v</w:t>
      </w:r>
      <w:r>
        <w:rPr>
          <w:rFonts w:ascii="Futura MdCn BT"/>
          <w:color w:val="231F20"/>
          <w:spacing w:val="80"/>
        </w:rPr>
        <w:t> </w:t>
      </w:r>
      <w:r>
        <w:rPr>
          <w:color w:val="231F20"/>
        </w:rPr>
        <w:t>To restore the Policy Details area, click </w:t>
      </w:r>
      <w:r>
        <w:rPr>
          <w:color w:val="231F20"/>
          <w:spacing w:val="15"/>
        </w:rPr>
        <w:drawing>
          <wp:inline distT="0" distB="0" distL="0" distR="0">
            <wp:extent cx="190500" cy="57150"/>
            <wp:effectExtent l="0" t="0" r="0" b="0"/>
            <wp:docPr id="2711" name="Image 2711"/>
            <wp:cNvGraphicFramePr>
              <a:graphicFrameLocks/>
            </wp:cNvGraphicFramePr>
            <a:graphic>
              <a:graphicData uri="http://schemas.openxmlformats.org/drawingml/2006/picture">
                <pic:pic>
                  <pic:nvPicPr>
                    <pic:cNvPr id="2711" name="Image 2711"/>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5"/>
        </w:rPr>
      </w:r>
      <w:r>
        <w:rPr>
          <w:rFonts w:ascii="Times New Roman"/>
          <w:color w:val="231F20"/>
          <w:spacing w:val="40"/>
        </w:rPr>
        <w:t> </w:t>
      </w:r>
      <w:r>
        <w:rPr>
          <w:color w:val="231F20"/>
        </w:rPr>
        <w:t>Expand; to collapse it, click </w:t>
      </w:r>
      <w:r>
        <w:rPr>
          <w:color w:val="231F20"/>
          <w:spacing w:val="15"/>
        </w:rPr>
        <w:drawing>
          <wp:inline distT="0" distB="0" distL="0" distR="0">
            <wp:extent cx="190500" cy="57150"/>
            <wp:effectExtent l="0" t="0" r="0" b="0"/>
            <wp:docPr id="2712" name="Image 2712"/>
            <wp:cNvGraphicFramePr>
              <a:graphicFrameLocks/>
            </wp:cNvGraphicFramePr>
            <a:graphic>
              <a:graphicData uri="http://schemas.openxmlformats.org/drawingml/2006/picture">
                <pic:pic>
                  <pic:nvPicPr>
                    <pic:cNvPr id="2712" name="Image 2712"/>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5"/>
        </w:rPr>
      </w:r>
      <w:r>
        <w:rPr>
          <w:rFonts w:ascii="Times New Roman"/>
          <w:color w:val="231F20"/>
          <w:spacing w:val="15"/>
        </w:rPr>
        <w:t> </w:t>
      </w:r>
      <w:r>
        <w:rPr>
          <w:color w:val="231F20"/>
          <w:spacing w:val="-2"/>
        </w:rPr>
        <w:t>Collapse.</w:t>
      </w:r>
    </w:p>
    <w:p>
      <w:pPr>
        <w:pStyle w:val="ListParagraph"/>
        <w:numPr>
          <w:ilvl w:val="0"/>
          <w:numId w:val="145"/>
        </w:numPr>
        <w:tabs>
          <w:tab w:pos="2788" w:val="left" w:leader="none"/>
        </w:tabs>
        <w:spacing w:line="213" w:lineRule="auto" w:before="59" w:after="0"/>
        <w:ind w:left="2788" w:right="385" w:hanging="316"/>
        <w:jc w:val="left"/>
        <w:rPr>
          <w:sz w:val="20"/>
        </w:rPr>
      </w:pPr>
      <w:r>
        <w:rPr>
          <w:color w:val="231F20"/>
          <w:sz w:val="20"/>
        </w:rPr>
        <w:t>When you have finished editing, if </w:t>
      </w:r>
      <w:r>
        <w:rPr>
          <w:color w:val="231F20"/>
          <w:spacing w:val="-25"/>
          <w:position w:val="-1"/>
          <w:sz w:val="20"/>
        </w:rPr>
        <w:drawing>
          <wp:inline distT="0" distB="0" distL="0" distR="0">
            <wp:extent cx="95250" cy="95250"/>
            <wp:effectExtent l="0" t="0" r="0" b="0"/>
            <wp:docPr id="2713" name="Image 2713"/>
            <wp:cNvGraphicFramePr>
              <a:graphicFrameLocks/>
            </wp:cNvGraphicFramePr>
            <a:graphic>
              <a:graphicData uri="http://schemas.openxmlformats.org/drawingml/2006/picture">
                <pic:pic>
                  <pic:nvPicPr>
                    <pic:cNvPr id="2713" name="Image 2713"/>
                    <pic:cNvPicPr/>
                  </pic:nvPicPr>
                  <pic:blipFill>
                    <a:blip r:embed="rId426"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6"/>
          <w:sz w:val="20"/>
        </w:rPr>
        <w:t> </w:t>
      </w:r>
      <w:r>
        <w:rPr>
          <w:rFonts w:ascii="Book Antiqua"/>
          <w:b/>
          <w:color w:val="231F20"/>
          <w:sz w:val="20"/>
        </w:rPr>
        <w:t>Validate </w:t>
      </w:r>
      <w:r>
        <w:rPr>
          <w:color w:val="231F20"/>
          <w:sz w:val="20"/>
        </w:rPr>
        <w:t>is enabled, click it to check </w:t>
      </w:r>
      <w:r>
        <w:rPr>
          <w:color w:val="231F20"/>
          <w:sz w:val="20"/>
        </w:rPr>
        <w:t>the logic</w:t>
      </w:r>
      <w:r>
        <w:rPr>
          <w:color w:val="231F20"/>
          <w:spacing w:val="18"/>
          <w:sz w:val="20"/>
        </w:rPr>
        <w:t> </w:t>
      </w:r>
      <w:r>
        <w:rPr>
          <w:color w:val="231F20"/>
          <w:sz w:val="20"/>
        </w:rPr>
        <w:t>flow.</w:t>
      </w:r>
      <w:r>
        <w:rPr>
          <w:color w:val="231F20"/>
          <w:spacing w:val="18"/>
          <w:sz w:val="20"/>
        </w:rPr>
        <w:t> </w:t>
      </w:r>
      <w:r>
        <w:rPr>
          <w:color w:val="231F20"/>
          <w:sz w:val="20"/>
        </w:rPr>
        <w:t>If</w:t>
      </w:r>
      <w:r>
        <w:rPr>
          <w:color w:val="231F20"/>
          <w:spacing w:val="18"/>
          <w:sz w:val="20"/>
        </w:rPr>
        <w:t> </w:t>
      </w:r>
      <w:r>
        <w:rPr>
          <w:color w:val="231F20"/>
          <w:sz w:val="20"/>
        </w:rPr>
        <w:t>there</w:t>
      </w:r>
      <w:r>
        <w:rPr>
          <w:color w:val="231F20"/>
          <w:spacing w:val="18"/>
          <w:sz w:val="20"/>
        </w:rPr>
        <w:t> </w:t>
      </w:r>
      <w:r>
        <w:rPr>
          <w:color w:val="231F20"/>
          <w:sz w:val="20"/>
        </w:rPr>
        <w:t>are</w:t>
      </w:r>
      <w:r>
        <w:rPr>
          <w:color w:val="231F20"/>
          <w:spacing w:val="18"/>
          <w:sz w:val="20"/>
        </w:rPr>
        <w:t> </w:t>
      </w:r>
      <w:r>
        <w:rPr>
          <w:color w:val="231F20"/>
          <w:sz w:val="20"/>
        </w:rPr>
        <w:t>errors,</w:t>
      </w:r>
      <w:r>
        <w:rPr>
          <w:color w:val="231F20"/>
          <w:spacing w:val="18"/>
          <w:sz w:val="20"/>
        </w:rPr>
        <w:t> </w:t>
      </w:r>
      <w:r>
        <w:rPr>
          <w:color w:val="231F20"/>
          <w:sz w:val="20"/>
        </w:rPr>
        <w:t>fix</w:t>
      </w:r>
      <w:r>
        <w:rPr>
          <w:color w:val="231F20"/>
          <w:spacing w:val="18"/>
          <w:sz w:val="20"/>
        </w:rPr>
        <w:t> </w:t>
      </w:r>
      <w:r>
        <w:rPr>
          <w:color w:val="231F20"/>
          <w:sz w:val="20"/>
        </w:rPr>
        <w:t>them</w:t>
      </w:r>
      <w:r>
        <w:rPr>
          <w:color w:val="231F20"/>
          <w:spacing w:val="18"/>
          <w:sz w:val="20"/>
        </w:rPr>
        <w:t> </w:t>
      </w:r>
      <w:r>
        <w:rPr>
          <w:color w:val="231F20"/>
          <w:sz w:val="20"/>
        </w:rPr>
        <w:t>as</w:t>
      </w:r>
      <w:r>
        <w:rPr>
          <w:color w:val="231F20"/>
          <w:spacing w:val="18"/>
          <w:sz w:val="20"/>
        </w:rPr>
        <w:t> </w:t>
      </w:r>
      <w:r>
        <w:rPr>
          <w:color w:val="231F20"/>
          <w:sz w:val="20"/>
        </w:rPr>
        <w:t>indicated</w:t>
      </w:r>
      <w:r>
        <w:rPr>
          <w:color w:val="231F20"/>
          <w:spacing w:val="18"/>
          <w:sz w:val="20"/>
        </w:rPr>
        <w:t> </w:t>
      </w:r>
      <w:r>
        <w:rPr>
          <w:color w:val="231F20"/>
          <w:sz w:val="20"/>
        </w:rPr>
        <w:t>in</w:t>
      </w:r>
      <w:r>
        <w:rPr>
          <w:color w:val="231F20"/>
          <w:spacing w:val="18"/>
          <w:sz w:val="20"/>
        </w:rPr>
        <w:t> </w:t>
      </w:r>
      <w:r>
        <w:rPr>
          <w:color w:val="231F20"/>
          <w:sz w:val="20"/>
        </w:rPr>
        <w:t>the</w:t>
      </w:r>
      <w:r>
        <w:rPr>
          <w:color w:val="231F20"/>
          <w:spacing w:val="18"/>
          <w:sz w:val="20"/>
        </w:rPr>
        <w:t> </w:t>
      </w:r>
      <w:r>
        <w:rPr>
          <w:color w:val="231F20"/>
          <w:sz w:val="20"/>
        </w:rPr>
        <w:t>message,</w:t>
      </w:r>
      <w:r>
        <w:rPr>
          <w:color w:val="231F20"/>
          <w:spacing w:val="18"/>
          <w:sz w:val="20"/>
        </w:rPr>
        <w:t> </w:t>
      </w:r>
      <w:r>
        <w:rPr>
          <w:color w:val="231F20"/>
          <w:sz w:val="20"/>
        </w:rPr>
        <w:t>and</w:t>
      </w:r>
      <w:r>
        <w:rPr>
          <w:color w:val="231F20"/>
          <w:spacing w:val="18"/>
          <w:sz w:val="20"/>
        </w:rPr>
        <w:t> </w:t>
      </w:r>
      <w:r>
        <w:rPr>
          <w:color w:val="231F20"/>
          <w:sz w:val="20"/>
        </w:rPr>
        <w:t>click </w:t>
      </w:r>
      <w:r>
        <w:rPr>
          <w:color w:val="231F20"/>
          <w:position w:val="-1"/>
          <w:sz w:val="20"/>
        </w:rPr>
        <w:drawing>
          <wp:inline distT="0" distB="0" distL="0" distR="0">
            <wp:extent cx="95250" cy="95250"/>
            <wp:effectExtent l="0" t="0" r="0" b="0"/>
            <wp:docPr id="2714" name="Image 2714"/>
            <wp:cNvGraphicFramePr>
              <a:graphicFrameLocks/>
            </wp:cNvGraphicFramePr>
            <a:graphic>
              <a:graphicData uri="http://schemas.openxmlformats.org/drawingml/2006/picture">
                <pic:pic>
                  <pic:nvPicPr>
                    <pic:cNvPr id="2714" name="Image 2714"/>
                    <pic:cNvPicPr/>
                  </pic:nvPicPr>
                  <pic:blipFill>
                    <a:blip r:embed="rId426" cstate="print"/>
                    <a:stretch>
                      <a:fillRect/>
                    </a:stretch>
                  </pic:blipFill>
                  <pic:spPr>
                    <a:xfrm>
                      <a:off x="0" y="0"/>
                      <a:ext cx="95250" cy="95250"/>
                    </a:xfrm>
                    <a:prstGeom prst="rect">
                      <a:avLst/>
                    </a:prstGeom>
                  </pic:spPr>
                </pic:pic>
              </a:graphicData>
            </a:graphic>
          </wp:inline>
        </w:drawing>
      </w:r>
      <w:r>
        <w:rPr>
          <w:color w:val="231F20"/>
          <w:position w:val="-1"/>
          <w:sz w:val="20"/>
        </w:rPr>
      </w:r>
      <w:r>
        <w:rPr>
          <w:rFonts w:ascii="Times New Roman"/>
          <w:color w:val="231F20"/>
          <w:sz w:val="20"/>
        </w:rPr>
        <w:t> </w:t>
      </w:r>
      <w:r>
        <w:rPr>
          <w:rFonts w:ascii="Book Antiqua"/>
          <w:b/>
          <w:color w:val="231F20"/>
          <w:sz w:val="20"/>
        </w:rPr>
        <w:t>Validate </w:t>
      </w:r>
      <w:r>
        <w:rPr>
          <w:color w:val="231F20"/>
          <w:sz w:val="20"/>
        </w:rPr>
        <w:t>again.</w:t>
      </w:r>
    </w:p>
    <w:p>
      <w:pPr>
        <w:spacing w:after="0" w:line="213" w:lineRule="auto"/>
        <w:jc w:val="left"/>
        <w:rPr>
          <w:sz w:val="20"/>
        </w:rPr>
        <w:sectPr>
          <w:pgSz w:w="12240" w:h="15840"/>
          <w:pgMar w:header="0" w:footer="736" w:top="1180" w:bottom="920" w:left="1000" w:right="1060"/>
        </w:sectPr>
      </w:pPr>
    </w:p>
    <w:p>
      <w:pPr>
        <w:pStyle w:val="ListParagraph"/>
        <w:numPr>
          <w:ilvl w:val="0"/>
          <w:numId w:val="145"/>
        </w:numPr>
        <w:tabs>
          <w:tab w:pos="2548" w:val="left" w:leader="none"/>
        </w:tabs>
        <w:spacing w:line="213" w:lineRule="auto" w:before="85" w:after="0"/>
        <w:ind w:left="2548" w:right="758" w:hanging="316"/>
        <w:jc w:val="left"/>
        <w:rPr>
          <w:sz w:val="20"/>
        </w:rPr>
      </w:pPr>
      <w:bookmarkStart w:name="_bookmark239" w:id="500"/>
      <w:bookmarkEnd w:id="500"/>
      <w:r>
        <w:rPr/>
      </w:r>
      <w:r>
        <w:rPr>
          <w:color w:val="231F20"/>
          <w:sz w:val="20"/>
        </w:rPr>
        <w:t>Click </w:t>
      </w:r>
      <w:r>
        <w:rPr>
          <w:rFonts w:ascii="Book Antiqua"/>
          <w:b/>
          <w:color w:val="231F20"/>
          <w:sz w:val="20"/>
        </w:rPr>
        <w:t>Apply </w:t>
      </w:r>
      <w:r>
        <w:rPr>
          <w:color w:val="231F20"/>
          <w:sz w:val="20"/>
        </w:rPr>
        <w:t>to save your changes and continue working with policies; </w:t>
      </w:r>
      <w:r>
        <w:rPr>
          <w:color w:val="231F20"/>
          <w:sz w:val="20"/>
        </w:rPr>
        <w:t>-OR- click</w:t>
      </w:r>
      <w:r>
        <w:rPr>
          <w:color w:val="231F20"/>
          <w:spacing w:val="19"/>
          <w:sz w:val="20"/>
        </w:rPr>
        <w:t> </w:t>
      </w:r>
      <w:r>
        <w:rPr>
          <w:rFonts w:ascii="Book Antiqua"/>
          <w:b/>
          <w:color w:val="231F20"/>
          <w:sz w:val="20"/>
        </w:rPr>
        <w:t>OK</w:t>
      </w:r>
      <w:r>
        <w:rPr>
          <w:rFonts w:ascii="Book Antiqua"/>
          <w:b/>
          <w:color w:val="231F20"/>
          <w:spacing w:val="19"/>
          <w:sz w:val="20"/>
        </w:rPr>
        <w:t> </w:t>
      </w:r>
      <w:r>
        <w:rPr>
          <w:color w:val="231F20"/>
          <w:sz w:val="20"/>
        </w:rPr>
        <w:t>to</w:t>
      </w:r>
      <w:r>
        <w:rPr>
          <w:color w:val="231F20"/>
          <w:spacing w:val="19"/>
          <w:sz w:val="20"/>
        </w:rPr>
        <w:t> </w:t>
      </w:r>
      <w:r>
        <w:rPr>
          <w:color w:val="231F20"/>
          <w:sz w:val="20"/>
        </w:rPr>
        <w:t>save</w:t>
      </w:r>
      <w:r>
        <w:rPr>
          <w:color w:val="231F20"/>
          <w:spacing w:val="19"/>
          <w:sz w:val="20"/>
        </w:rPr>
        <w:t> </w:t>
      </w:r>
      <w:r>
        <w:rPr>
          <w:color w:val="231F20"/>
          <w:sz w:val="20"/>
        </w:rPr>
        <w:t>your</w:t>
      </w:r>
      <w:r>
        <w:rPr>
          <w:color w:val="231F20"/>
          <w:spacing w:val="19"/>
          <w:sz w:val="20"/>
        </w:rPr>
        <w:t> </w:t>
      </w:r>
      <w:r>
        <w:rPr>
          <w:color w:val="231F20"/>
          <w:sz w:val="20"/>
        </w:rPr>
        <w:t>changes</w:t>
      </w:r>
      <w:r>
        <w:rPr>
          <w:color w:val="231F20"/>
          <w:spacing w:val="19"/>
          <w:sz w:val="20"/>
        </w:rPr>
        <w:t> </w:t>
      </w:r>
      <w:r>
        <w:rPr>
          <w:color w:val="231F20"/>
          <w:sz w:val="20"/>
        </w:rPr>
        <w:t>and</w:t>
      </w:r>
      <w:r>
        <w:rPr>
          <w:color w:val="231F20"/>
          <w:spacing w:val="19"/>
          <w:sz w:val="20"/>
        </w:rPr>
        <w:t> </w:t>
      </w:r>
      <w:r>
        <w:rPr>
          <w:color w:val="231F20"/>
          <w:sz w:val="20"/>
        </w:rPr>
        <w:t>close</w:t>
      </w:r>
      <w:r>
        <w:rPr>
          <w:color w:val="231F20"/>
          <w:spacing w:val="19"/>
          <w:sz w:val="20"/>
        </w:rPr>
        <w:t> </w:t>
      </w:r>
      <w:r>
        <w:rPr>
          <w:color w:val="231F20"/>
          <w:sz w:val="20"/>
        </w:rPr>
        <w:t>the</w:t>
      </w:r>
      <w:r>
        <w:rPr>
          <w:color w:val="231F20"/>
          <w:spacing w:val="19"/>
          <w:sz w:val="20"/>
        </w:rPr>
        <w:t> </w:t>
      </w:r>
      <w:r>
        <w:rPr>
          <w:color w:val="231F20"/>
          <w:sz w:val="20"/>
        </w:rPr>
        <w:t>window.</w:t>
      </w:r>
      <w:r>
        <w:rPr>
          <w:color w:val="231F20"/>
          <w:spacing w:val="19"/>
          <w:sz w:val="20"/>
        </w:rPr>
        <w:t> </w:t>
      </w:r>
      <w:r>
        <w:rPr>
          <w:color w:val="231F20"/>
          <w:sz w:val="20"/>
        </w:rPr>
        <w:t>If</w:t>
      </w:r>
      <w:r>
        <w:rPr>
          <w:color w:val="231F20"/>
          <w:spacing w:val="19"/>
          <w:sz w:val="20"/>
        </w:rPr>
        <w:t> </w:t>
      </w:r>
      <w:r>
        <w:rPr>
          <w:color w:val="231F20"/>
          <w:sz w:val="20"/>
        </w:rPr>
        <w:t>the</w:t>
      </w:r>
      <w:r>
        <w:rPr>
          <w:color w:val="231F20"/>
          <w:spacing w:val="19"/>
          <w:sz w:val="20"/>
        </w:rPr>
        <w:t> </w:t>
      </w:r>
      <w:r>
        <w:rPr>
          <w:color w:val="231F20"/>
          <w:sz w:val="20"/>
        </w:rPr>
        <w:t>policy</w:t>
      </w:r>
      <w:r>
        <w:rPr>
          <w:color w:val="231F20"/>
          <w:spacing w:val="19"/>
          <w:sz w:val="20"/>
        </w:rPr>
        <w:t> </w:t>
      </w:r>
      <w:r>
        <w:rPr>
          <w:color w:val="231F20"/>
          <w:sz w:val="20"/>
        </w:rPr>
        <w:t>is</w:t>
      </w:r>
      <w:r>
        <w:rPr>
          <w:color w:val="231F20"/>
          <w:spacing w:val="19"/>
          <w:sz w:val="20"/>
        </w:rPr>
        <w:t> </w:t>
      </w:r>
      <w:r>
        <w:rPr>
          <w:color w:val="231F20"/>
          <w:sz w:val="20"/>
        </w:rPr>
        <w:t>set</w:t>
      </w:r>
      <w:r>
        <w:rPr>
          <w:color w:val="231F20"/>
          <w:spacing w:val="19"/>
          <w:sz w:val="20"/>
        </w:rPr>
        <w:t> </w:t>
      </w:r>
      <w:r>
        <w:rPr>
          <w:color w:val="231F20"/>
          <w:sz w:val="20"/>
        </w:rPr>
        <w:t>to</w:t>
      </w:r>
    </w:p>
    <w:p>
      <w:pPr>
        <w:pStyle w:val="BodyText"/>
        <w:spacing w:line="230" w:lineRule="exact"/>
        <w:ind w:left="2548"/>
      </w:pPr>
      <w:r>
        <w:rPr/>
        <w:drawing>
          <wp:inline distT="0" distB="0" distL="0" distR="0">
            <wp:extent cx="82550" cy="82550"/>
            <wp:effectExtent l="0" t="0" r="0" b="0"/>
            <wp:docPr id="2715" name="Image 2715"/>
            <wp:cNvGraphicFramePr>
              <a:graphicFrameLocks/>
            </wp:cNvGraphicFramePr>
            <a:graphic>
              <a:graphicData uri="http://schemas.openxmlformats.org/drawingml/2006/picture">
                <pic:pic>
                  <pic:nvPicPr>
                    <pic:cNvPr id="2715" name="Image 2715"/>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13"/>
        </w:rPr>
        <w:t> </w:t>
      </w:r>
      <w:r>
        <w:rPr>
          <w:color w:val="231F20"/>
        </w:rPr>
        <w:t>Auto</w:t>
      </w:r>
      <w:r>
        <w:rPr>
          <w:color w:val="231F20"/>
          <w:spacing w:val="20"/>
        </w:rPr>
        <w:t> </w:t>
      </w:r>
      <w:r>
        <w:rPr>
          <w:color w:val="231F20"/>
        </w:rPr>
        <w:t>start,</w:t>
      </w:r>
      <w:r>
        <w:rPr>
          <w:color w:val="231F20"/>
          <w:spacing w:val="20"/>
        </w:rPr>
        <w:t> </w:t>
      </w:r>
      <w:r>
        <w:rPr>
          <w:color w:val="231F20"/>
        </w:rPr>
        <w:t>it</w:t>
      </w:r>
      <w:r>
        <w:rPr>
          <w:color w:val="231F20"/>
          <w:spacing w:val="20"/>
        </w:rPr>
        <w:t> </w:t>
      </w:r>
      <w:r>
        <w:rPr>
          <w:color w:val="231F20"/>
        </w:rPr>
        <w:t>will</w:t>
      </w:r>
      <w:r>
        <w:rPr>
          <w:color w:val="231F20"/>
          <w:spacing w:val="20"/>
        </w:rPr>
        <w:t> </w:t>
      </w:r>
      <w:r>
        <w:rPr>
          <w:color w:val="231F20"/>
        </w:rPr>
        <w:t>start</w:t>
      </w:r>
      <w:r>
        <w:rPr>
          <w:color w:val="231F20"/>
          <w:spacing w:val="20"/>
        </w:rPr>
        <w:t> </w:t>
      </w:r>
      <w:r>
        <w:rPr>
          <w:color w:val="231F20"/>
        </w:rPr>
        <w:t>running</w:t>
      </w:r>
      <w:r>
        <w:rPr>
          <w:color w:val="231F20"/>
          <w:spacing w:val="20"/>
        </w:rPr>
        <w:t> </w:t>
      </w:r>
      <w:r>
        <w:rPr>
          <w:color w:val="231F20"/>
        </w:rPr>
        <w:t>automatically;</w:t>
      </w:r>
      <w:r>
        <w:rPr>
          <w:color w:val="231F20"/>
          <w:spacing w:val="20"/>
        </w:rPr>
        <w:t> </w:t>
      </w:r>
      <w:r>
        <w:rPr>
          <w:color w:val="231F20"/>
        </w:rPr>
        <w:t>if</w:t>
      </w:r>
      <w:r>
        <w:rPr>
          <w:color w:val="231F20"/>
          <w:spacing w:val="20"/>
        </w:rPr>
        <w:t> </w:t>
      </w:r>
      <w:r>
        <w:rPr>
          <w:color w:val="231F20"/>
        </w:rPr>
        <w:t>not,</w:t>
      </w:r>
      <w:r>
        <w:rPr>
          <w:color w:val="231F20"/>
          <w:spacing w:val="20"/>
        </w:rPr>
        <w:t> </w:t>
      </w:r>
      <w:r>
        <w:rPr>
          <w:color w:val="231F20"/>
        </w:rPr>
        <w:t>you</w:t>
      </w:r>
      <w:r>
        <w:rPr>
          <w:color w:val="231F20"/>
          <w:spacing w:val="20"/>
        </w:rPr>
        <w:t> </w:t>
      </w:r>
      <w:r>
        <w:rPr>
          <w:color w:val="231F20"/>
        </w:rPr>
        <w:t>will</w:t>
      </w:r>
      <w:r>
        <w:rPr>
          <w:color w:val="231F20"/>
          <w:spacing w:val="20"/>
        </w:rPr>
        <w:t> </w:t>
      </w:r>
      <w:r>
        <w:rPr>
          <w:color w:val="231F20"/>
        </w:rPr>
        <w:t>need</w:t>
      </w:r>
      <w:r>
        <w:rPr>
          <w:color w:val="231F20"/>
          <w:spacing w:val="20"/>
        </w:rPr>
        <w:t> </w:t>
      </w:r>
      <w:r>
        <w:rPr>
          <w:color w:val="231F20"/>
        </w:rPr>
        <w:t>to</w:t>
      </w:r>
      <w:r>
        <w:rPr>
          <w:color w:val="231F20"/>
          <w:spacing w:val="20"/>
        </w:rPr>
        <w:t> </w:t>
      </w:r>
      <w:r>
        <w:rPr>
          <w:color w:val="231F20"/>
        </w:rPr>
        <w:t>click</w:t>
      </w:r>
      <w:r>
        <w:rPr>
          <w:color w:val="231F20"/>
          <w:spacing w:val="72"/>
        </w:rPr>
        <w:t> </w:t>
      </w:r>
      <w:r>
        <w:rPr>
          <w:color w:val="231F20"/>
          <w:spacing w:val="14"/>
          <w:position w:val="-1"/>
        </w:rPr>
        <w:drawing>
          <wp:inline distT="0" distB="0" distL="0" distR="0">
            <wp:extent cx="63500" cy="101600"/>
            <wp:effectExtent l="0" t="0" r="0" b="0"/>
            <wp:docPr id="2716" name="Image 2716"/>
            <wp:cNvGraphicFramePr>
              <a:graphicFrameLocks/>
            </wp:cNvGraphicFramePr>
            <a:graphic>
              <a:graphicData uri="http://schemas.openxmlformats.org/drawingml/2006/picture">
                <pic:pic>
                  <pic:nvPicPr>
                    <pic:cNvPr id="2716" name="Image 2716"/>
                    <pic:cNvPicPr/>
                  </pic:nvPicPr>
                  <pic:blipFill>
                    <a:blip r:embed="rId376" cstate="print"/>
                    <a:stretch>
                      <a:fillRect/>
                    </a:stretch>
                  </pic:blipFill>
                  <pic:spPr>
                    <a:xfrm>
                      <a:off x="0" y="0"/>
                      <a:ext cx="63500" cy="101600"/>
                    </a:xfrm>
                    <a:prstGeom prst="rect">
                      <a:avLst/>
                    </a:prstGeom>
                  </pic:spPr>
                </pic:pic>
              </a:graphicData>
            </a:graphic>
          </wp:inline>
        </w:drawing>
      </w:r>
      <w:r>
        <w:rPr>
          <w:color w:val="231F20"/>
          <w:spacing w:val="14"/>
          <w:position w:val="-1"/>
        </w:rPr>
      </w:r>
    </w:p>
    <w:p>
      <w:pPr>
        <w:spacing w:line="255" w:lineRule="exact" w:before="0"/>
        <w:ind w:left="2548" w:right="0" w:firstLine="0"/>
        <w:jc w:val="left"/>
        <w:rPr>
          <w:sz w:val="20"/>
        </w:rPr>
      </w:pPr>
      <w:r>
        <w:rPr>
          <w:rFonts w:ascii="Book Antiqua"/>
          <w:b/>
          <w:color w:val="231F20"/>
          <w:sz w:val="20"/>
        </w:rPr>
        <w:t>Start</w:t>
      </w:r>
      <w:r>
        <w:rPr>
          <w:rFonts w:ascii="Book Antiqua"/>
          <w:b/>
          <w:color w:val="231F20"/>
          <w:spacing w:val="11"/>
          <w:sz w:val="20"/>
        </w:rPr>
        <w:t> </w:t>
      </w:r>
      <w:r>
        <w:rPr>
          <w:rFonts w:ascii="Book Antiqua"/>
          <w:b/>
          <w:color w:val="231F20"/>
          <w:spacing w:val="-2"/>
          <w:sz w:val="20"/>
        </w:rPr>
        <w:t>Policy</w:t>
      </w:r>
      <w:r>
        <w:rPr>
          <w:color w:val="231F20"/>
          <w:spacing w:val="-2"/>
          <w:sz w:val="20"/>
        </w:rPr>
        <w:t>.</w:t>
      </w:r>
    </w:p>
    <w:p>
      <w:pPr>
        <w:pStyle w:val="Heading3"/>
        <w:spacing w:before="211"/>
        <w:ind w:left="1334"/>
      </w:pPr>
      <w:bookmarkStart w:name="Copying a policy" w:id="501"/>
      <w:bookmarkEnd w:id="501"/>
      <w:r>
        <w:rPr>
          <w:b w:val="0"/>
        </w:rPr>
      </w:r>
      <w:r>
        <w:rPr>
          <w:color w:val="231F20"/>
        </w:rPr>
        <w:t>Copying</w:t>
      </w:r>
      <w:r>
        <w:rPr>
          <w:color w:val="231F20"/>
          <w:spacing w:val="8"/>
        </w:rPr>
        <w:t> </w:t>
      </w:r>
      <w:r>
        <w:rPr>
          <w:color w:val="231F20"/>
        </w:rPr>
        <w:t>a</w:t>
      </w:r>
      <w:r>
        <w:rPr>
          <w:color w:val="231F20"/>
          <w:spacing w:val="9"/>
        </w:rPr>
        <w:t> </w:t>
      </w:r>
      <w:r>
        <w:rPr>
          <w:color w:val="231F20"/>
          <w:spacing w:val="-2"/>
        </w:rPr>
        <w:t>policy</w:t>
      </w:r>
    </w:p>
    <w:p>
      <w:pPr>
        <w:pStyle w:val="BodyText"/>
        <w:spacing w:line="213" w:lineRule="auto" w:before="58"/>
        <w:ind w:left="2232" w:right="545"/>
      </w:pPr>
      <w:r>
        <w:rPr>
          <w:color w:val="231F20"/>
        </w:rPr>
        <w:t>Copy a policy when you want to use part or all of an existing workflow in a new</w:t>
      </w:r>
      <w:r>
        <w:rPr>
          <w:color w:val="231F20"/>
          <w:spacing w:val="80"/>
        </w:rPr>
        <w:t> </w:t>
      </w:r>
      <w:r>
        <w:rPr>
          <w:color w:val="231F20"/>
        </w:rPr>
        <w:t>policy that you can edit for different activities or settings. Also, use this method when you want to rename a policy.</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Your</w:t>
      </w:r>
      <w:r>
        <w:rPr>
          <w:color w:val="231F20"/>
          <w:spacing w:val="9"/>
        </w:rPr>
        <w:t> </w:t>
      </w:r>
      <w:r>
        <w:rPr>
          <w:color w:val="231F20"/>
        </w:rPr>
        <w:t>user</w:t>
      </w:r>
      <w:r>
        <w:rPr>
          <w:color w:val="231F20"/>
          <w:spacing w:val="10"/>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10"/>
        </w:rPr>
        <w:t> </w:t>
      </w:r>
      <w:r>
        <w:rPr>
          <w:color w:val="231F20"/>
        </w:rPr>
        <w:t>Modify</w:t>
      </w:r>
      <w:r>
        <w:rPr>
          <w:color w:val="231F20"/>
          <w:spacing w:val="9"/>
        </w:rPr>
        <w:t> </w:t>
      </w:r>
      <w:r>
        <w:rPr>
          <w:color w:val="231F20"/>
        </w:rPr>
        <w:t>Policy</w:t>
      </w:r>
      <w:r>
        <w:rPr>
          <w:color w:val="231F20"/>
          <w:spacing w:val="10"/>
        </w:rPr>
        <w:t> </w:t>
      </w:r>
      <w:r>
        <w:rPr>
          <w:color w:val="231F20"/>
        </w:rPr>
        <w:t>permission</w:t>
      </w:r>
      <w:r>
        <w:rPr>
          <w:color w:val="231F20"/>
          <w:spacing w:val="10"/>
        </w:rPr>
        <w:t> </w:t>
      </w:r>
      <w:r>
        <w:rPr>
          <w:color w:val="231F20"/>
        </w:rPr>
        <w:t>to</w:t>
      </w:r>
      <w:r>
        <w:rPr>
          <w:color w:val="231F20"/>
          <w:spacing w:val="10"/>
        </w:rPr>
        <w:t> </w:t>
      </w:r>
      <w:r>
        <w:rPr>
          <w:color w:val="231F20"/>
        </w:rPr>
        <w:t>use</w:t>
      </w:r>
      <w:r>
        <w:rPr>
          <w:color w:val="231F20"/>
          <w:spacing w:val="10"/>
        </w:rPr>
        <w:t> </w:t>
      </w:r>
      <w:r>
        <w:rPr>
          <w:color w:val="231F20"/>
        </w:rPr>
        <w:t>this</w:t>
      </w:r>
      <w:r>
        <w:rPr>
          <w:color w:val="231F20"/>
          <w:spacing w:val="9"/>
        </w:rPr>
        <w:t> </w:t>
      </w:r>
      <w:r>
        <w:rPr>
          <w:color w:val="231F20"/>
          <w:spacing w:val="-2"/>
        </w:rPr>
        <w:t>function.</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7"/>
        </w:rPr>
        <w:t> </w:t>
      </w:r>
      <w:r>
        <w:rPr>
          <w:color w:val="231F20"/>
        </w:rPr>
        <w:t>copy</w:t>
      </w:r>
      <w:r>
        <w:rPr>
          <w:color w:val="231F20"/>
          <w:spacing w:val="7"/>
        </w:rPr>
        <w:t> </w:t>
      </w:r>
      <w:r>
        <w:rPr>
          <w:color w:val="231F20"/>
        </w:rPr>
        <w:t>a</w:t>
      </w:r>
      <w:r>
        <w:rPr>
          <w:color w:val="231F20"/>
          <w:spacing w:val="7"/>
        </w:rPr>
        <w:t> </w:t>
      </w:r>
      <w:r>
        <w:rPr>
          <w:color w:val="231F20"/>
          <w:spacing w:val="-2"/>
        </w:rPr>
        <w:t>policy:</w:t>
      </w:r>
    </w:p>
    <w:p>
      <w:pPr>
        <w:pStyle w:val="Heading4"/>
        <w:spacing w:before="194"/>
      </w:pPr>
      <w:r>
        <w:rPr>
          <w:color w:val="231F20"/>
          <w:spacing w:val="-2"/>
        </w:rPr>
        <w:t>Procedure</w:t>
      </w:r>
    </w:p>
    <w:p>
      <w:pPr>
        <w:pStyle w:val="ListParagraph"/>
        <w:numPr>
          <w:ilvl w:val="0"/>
          <w:numId w:val="146"/>
        </w:numPr>
        <w:tabs>
          <w:tab w:pos="2547" w:val="left" w:leader="none"/>
        </w:tabs>
        <w:spacing w:line="240" w:lineRule="auto" w:before="39" w:after="0"/>
        <w:ind w:left="2547" w:right="0" w:hanging="315"/>
        <w:jc w:val="left"/>
        <w:rPr>
          <w:sz w:val="20"/>
        </w:rPr>
      </w:pPr>
      <w:r>
        <w:rPr>
          <w:color w:val="231F20"/>
          <w:sz w:val="20"/>
        </w:rPr>
        <w:t>If</w:t>
      </w:r>
      <w:r>
        <w:rPr>
          <w:color w:val="231F20"/>
          <w:spacing w:val="8"/>
          <w:sz w:val="20"/>
        </w:rPr>
        <w:t> </w:t>
      </w:r>
      <w:r>
        <w:rPr>
          <w:color w:val="231F20"/>
          <w:sz w:val="20"/>
        </w:rPr>
        <w:t>the</w:t>
      </w:r>
      <w:r>
        <w:rPr>
          <w:color w:val="231F20"/>
          <w:spacing w:val="9"/>
          <w:sz w:val="20"/>
        </w:rPr>
        <w:t> </w:t>
      </w:r>
      <w:r>
        <w:rPr>
          <w:color w:val="231F20"/>
          <w:sz w:val="20"/>
        </w:rPr>
        <w:t>Workflows</w:t>
      </w:r>
      <w:r>
        <w:rPr>
          <w:color w:val="231F20"/>
          <w:spacing w:val="8"/>
          <w:sz w:val="20"/>
        </w:rPr>
        <w:t> </w:t>
      </w:r>
      <w:r>
        <w:rPr>
          <w:color w:val="231F20"/>
          <w:sz w:val="20"/>
        </w:rPr>
        <w:t>window</w:t>
      </w:r>
      <w:r>
        <w:rPr>
          <w:color w:val="231F20"/>
          <w:spacing w:val="9"/>
          <w:sz w:val="20"/>
        </w:rPr>
        <w:t> </w:t>
      </w:r>
      <w:r>
        <w:rPr>
          <w:color w:val="231F20"/>
          <w:sz w:val="20"/>
        </w:rPr>
        <w:t>is</w:t>
      </w:r>
      <w:r>
        <w:rPr>
          <w:color w:val="231F20"/>
          <w:spacing w:val="8"/>
          <w:sz w:val="20"/>
        </w:rPr>
        <w:t> </w:t>
      </w:r>
      <w:r>
        <w:rPr>
          <w:color w:val="231F20"/>
          <w:sz w:val="20"/>
        </w:rPr>
        <w:t>not</w:t>
      </w:r>
      <w:r>
        <w:rPr>
          <w:color w:val="231F20"/>
          <w:spacing w:val="9"/>
          <w:sz w:val="20"/>
        </w:rPr>
        <w:t> </w:t>
      </w:r>
      <w:r>
        <w:rPr>
          <w:color w:val="231F20"/>
          <w:sz w:val="20"/>
        </w:rPr>
        <w:t>open,</w:t>
      </w:r>
      <w:r>
        <w:rPr>
          <w:color w:val="231F20"/>
          <w:spacing w:val="9"/>
          <w:sz w:val="20"/>
        </w:rPr>
        <w:t> </w:t>
      </w:r>
      <w:r>
        <w:rPr>
          <w:color w:val="231F20"/>
          <w:sz w:val="20"/>
        </w:rPr>
        <w:t>click</w:t>
      </w:r>
      <w:r>
        <w:rPr>
          <w:color w:val="231F20"/>
          <w:spacing w:val="7"/>
          <w:sz w:val="20"/>
        </w:rPr>
        <w:t> </w:t>
      </w:r>
      <w:r>
        <w:rPr>
          <w:color w:val="231F20"/>
          <w:spacing w:val="15"/>
          <w:position w:val="-1"/>
          <w:sz w:val="20"/>
        </w:rPr>
        <w:drawing>
          <wp:inline distT="0" distB="0" distL="0" distR="0">
            <wp:extent cx="101600" cy="101600"/>
            <wp:effectExtent l="0" t="0" r="0" b="0"/>
            <wp:docPr id="2717" name="Image 2717"/>
            <wp:cNvGraphicFramePr>
              <a:graphicFrameLocks/>
            </wp:cNvGraphicFramePr>
            <a:graphic>
              <a:graphicData uri="http://schemas.openxmlformats.org/drawingml/2006/picture">
                <pic:pic>
                  <pic:nvPicPr>
                    <pic:cNvPr id="2717" name="Image 2717"/>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39"/>
          <w:sz w:val="20"/>
        </w:rPr>
        <w:t> </w:t>
      </w:r>
      <w:r>
        <w:rPr>
          <w:rFonts w:ascii="Book Antiqua"/>
          <w:b/>
          <w:color w:val="231F20"/>
          <w:sz w:val="20"/>
        </w:rPr>
        <w:t>Workflow</w:t>
      </w:r>
      <w:r>
        <w:rPr>
          <w:rFonts w:ascii="Book Antiqua"/>
          <w:b/>
          <w:color w:val="231F20"/>
          <w:spacing w:val="9"/>
          <w:sz w:val="20"/>
        </w:rPr>
        <w:t> </w:t>
      </w:r>
      <w:r>
        <w:rPr>
          <w:rFonts w:ascii="Book Antiqua"/>
          <w:b/>
          <w:color w:val="231F20"/>
          <w:spacing w:val="-2"/>
          <w:sz w:val="20"/>
        </w:rPr>
        <w:t>Editor</w:t>
      </w:r>
      <w:r>
        <w:rPr>
          <w:color w:val="231F20"/>
          <w:spacing w:val="-2"/>
          <w:sz w:val="20"/>
        </w:rPr>
        <w:t>.</w:t>
      </w:r>
    </w:p>
    <w:p>
      <w:pPr>
        <w:pStyle w:val="ListParagraph"/>
        <w:numPr>
          <w:ilvl w:val="0"/>
          <w:numId w:val="146"/>
        </w:numPr>
        <w:tabs>
          <w:tab w:pos="2547" w:val="left" w:leader="none"/>
        </w:tabs>
        <w:spacing w:line="240" w:lineRule="auto" w:before="29" w:after="0"/>
        <w:ind w:left="2547" w:right="0" w:hanging="315"/>
        <w:jc w:val="left"/>
        <w:rPr>
          <w:sz w:val="20"/>
        </w:rPr>
      </w:pPr>
      <w:r>
        <w:rPr>
          <w:color w:val="231F20"/>
          <w:sz w:val="20"/>
        </w:rPr>
        <w:t>In</w:t>
      </w:r>
      <w:r>
        <w:rPr>
          <w:color w:val="231F20"/>
          <w:spacing w:val="11"/>
          <w:sz w:val="20"/>
        </w:rPr>
        <w:t> </w:t>
      </w:r>
      <w:r>
        <w:rPr>
          <w:rFonts w:ascii="Book Antiqua"/>
          <w:b/>
          <w:color w:val="231F20"/>
          <w:sz w:val="20"/>
        </w:rPr>
        <w:t>Policy</w:t>
      </w:r>
      <w:r>
        <w:rPr>
          <w:rFonts w:ascii="Book Antiqua"/>
          <w:b/>
          <w:color w:val="231F20"/>
          <w:spacing w:val="12"/>
          <w:sz w:val="20"/>
        </w:rPr>
        <w:t> </w:t>
      </w:r>
      <w:r>
        <w:rPr>
          <w:rFonts w:ascii="Book Antiqua"/>
          <w:b/>
          <w:color w:val="231F20"/>
          <w:sz w:val="20"/>
        </w:rPr>
        <w:t>Details</w:t>
      </w:r>
      <w:r>
        <w:rPr>
          <w:color w:val="231F20"/>
          <w:sz w:val="20"/>
        </w:rPr>
        <w:t>,</w:t>
      </w:r>
      <w:r>
        <w:rPr>
          <w:color w:val="231F20"/>
          <w:spacing w:val="12"/>
          <w:sz w:val="20"/>
        </w:rPr>
        <w:t> </w:t>
      </w:r>
      <w:r>
        <w:rPr>
          <w:color w:val="231F20"/>
          <w:sz w:val="20"/>
        </w:rPr>
        <w:t>click</w:t>
      </w:r>
      <w:r>
        <w:rPr>
          <w:color w:val="231F20"/>
          <w:spacing w:val="12"/>
          <w:sz w:val="20"/>
        </w:rPr>
        <w:t> </w:t>
      </w:r>
      <w:r>
        <w:rPr>
          <w:color w:val="231F20"/>
          <w:sz w:val="20"/>
        </w:rPr>
        <w:t>the</w:t>
      </w:r>
      <w:r>
        <w:rPr>
          <w:color w:val="231F20"/>
          <w:spacing w:val="12"/>
          <w:sz w:val="20"/>
        </w:rPr>
        <w:t> </w:t>
      </w:r>
      <w:r>
        <w:rPr>
          <w:color w:val="231F20"/>
          <w:sz w:val="20"/>
        </w:rPr>
        <w:t>row</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policy</w:t>
      </w:r>
      <w:r>
        <w:rPr>
          <w:color w:val="231F20"/>
          <w:spacing w:val="12"/>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pacing w:val="-2"/>
          <w:sz w:val="20"/>
        </w:rPr>
        <w:t>copy.</w:t>
      </w:r>
    </w:p>
    <w:p>
      <w:pPr>
        <w:pStyle w:val="ListParagraph"/>
        <w:numPr>
          <w:ilvl w:val="0"/>
          <w:numId w:val="146"/>
        </w:numPr>
        <w:tabs>
          <w:tab w:pos="2546" w:val="left" w:leader="none"/>
          <w:tab w:pos="2548" w:val="left" w:leader="none"/>
        </w:tabs>
        <w:spacing w:line="213" w:lineRule="auto" w:before="53" w:after="0"/>
        <w:ind w:left="2548" w:right="646" w:hanging="317"/>
        <w:jc w:val="left"/>
        <w:rPr>
          <w:sz w:val="20"/>
        </w:rPr>
      </w:pPr>
      <w:r>
        <w:rPr>
          <w:color w:val="231F20"/>
          <w:sz w:val="20"/>
        </w:rPr>
        <w:t>Click</w:t>
      </w:r>
      <w:r>
        <w:rPr>
          <w:color w:val="231F20"/>
          <w:spacing w:val="40"/>
          <w:sz w:val="20"/>
        </w:rPr>
        <w:t> </w:t>
      </w:r>
      <w:r>
        <w:rPr>
          <w:color w:val="231F20"/>
          <w:spacing w:val="-14"/>
          <w:position w:val="-1"/>
          <w:sz w:val="20"/>
        </w:rPr>
        <w:drawing>
          <wp:inline distT="0" distB="0" distL="0" distR="0">
            <wp:extent cx="82550" cy="95250"/>
            <wp:effectExtent l="0" t="0" r="0" b="0"/>
            <wp:docPr id="2718" name="Image 2718"/>
            <wp:cNvGraphicFramePr>
              <a:graphicFrameLocks/>
            </wp:cNvGraphicFramePr>
            <a:graphic>
              <a:graphicData uri="http://schemas.openxmlformats.org/drawingml/2006/picture">
                <pic:pic>
                  <pic:nvPicPr>
                    <pic:cNvPr id="2718" name="Image 2718"/>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rFonts w:ascii="Book Antiqua"/>
          <w:b/>
          <w:color w:val="231F20"/>
          <w:sz w:val="20"/>
        </w:rPr>
        <w:t>Copy</w:t>
      </w:r>
      <w:r>
        <w:rPr>
          <w:color w:val="231F20"/>
          <w:sz w:val="20"/>
        </w:rPr>
        <w:t>. A new row is added to the list and the policy titled, </w:t>
      </w:r>
      <w:r>
        <w:rPr>
          <w:rFonts w:ascii="Arial"/>
          <w:color w:val="231F20"/>
          <w:spacing w:val="-2"/>
          <w:sz w:val="20"/>
        </w:rPr>
        <w:t>Copy_of_name</w:t>
      </w:r>
      <w:r>
        <w:rPr>
          <w:color w:val="231F20"/>
          <w:spacing w:val="-2"/>
          <w:sz w:val="20"/>
        </w:rPr>
        <w:t>, where </w:t>
      </w:r>
      <w:r>
        <w:rPr>
          <w:rFonts w:ascii="Arial"/>
          <w:color w:val="231F20"/>
          <w:spacing w:val="-2"/>
          <w:sz w:val="20"/>
        </w:rPr>
        <w:t>name</w:t>
      </w:r>
      <w:r>
        <w:rPr>
          <w:color w:val="231F20"/>
          <w:spacing w:val="-2"/>
          <w:sz w:val="20"/>
        </w:rPr>
        <w:t>is the name of the original policy. The details of </w:t>
      </w:r>
      <w:r>
        <w:rPr>
          <w:color w:val="231F20"/>
          <w:spacing w:val="-2"/>
          <w:sz w:val="20"/>
        </w:rPr>
        <w:t>the </w:t>
      </w:r>
      <w:r>
        <w:rPr>
          <w:color w:val="231F20"/>
          <w:sz w:val="20"/>
        </w:rPr>
        <w:t>original policy, such as the distribution, are replicated to the new policy.</w:t>
      </w:r>
    </w:p>
    <w:p>
      <w:pPr>
        <w:pStyle w:val="ListParagraph"/>
        <w:numPr>
          <w:ilvl w:val="0"/>
          <w:numId w:val="146"/>
        </w:numPr>
        <w:tabs>
          <w:tab w:pos="2548" w:val="left" w:leader="none"/>
        </w:tabs>
        <w:spacing w:line="213" w:lineRule="auto" w:before="58" w:after="0"/>
        <w:ind w:left="2548" w:right="834" w:hanging="316"/>
        <w:jc w:val="left"/>
        <w:rPr>
          <w:sz w:val="20"/>
        </w:rPr>
      </w:pPr>
      <w:r>
        <w:rPr>
          <w:color w:val="231F20"/>
          <w:sz w:val="20"/>
        </w:rPr>
        <w:t>Click inside the </w:t>
      </w:r>
      <w:r>
        <w:rPr>
          <w:rFonts w:ascii="Book Antiqua"/>
          <w:b/>
          <w:color w:val="231F20"/>
          <w:sz w:val="20"/>
        </w:rPr>
        <w:t>Policy name </w:t>
      </w:r>
      <w:r>
        <w:rPr>
          <w:color w:val="231F20"/>
          <w:sz w:val="20"/>
        </w:rPr>
        <w:t>field and change the name. After the policy is saved, you will not be able to rename it.</w:t>
      </w:r>
    </w:p>
    <w:p>
      <w:pPr>
        <w:pStyle w:val="ListParagraph"/>
        <w:numPr>
          <w:ilvl w:val="0"/>
          <w:numId w:val="146"/>
        </w:numPr>
        <w:tabs>
          <w:tab w:pos="2547" w:val="left" w:leader="none"/>
        </w:tabs>
        <w:spacing w:line="240" w:lineRule="auto" w:before="35" w:after="0"/>
        <w:ind w:left="2547" w:right="0" w:hanging="315"/>
        <w:jc w:val="left"/>
        <w:rPr>
          <w:sz w:val="20"/>
        </w:rPr>
      </w:pPr>
      <w:r>
        <w:rPr>
          <w:color w:val="231F20"/>
          <w:sz w:val="20"/>
        </w:rPr>
        <w:t>Change</w:t>
      </w:r>
      <w:r>
        <w:rPr>
          <w:color w:val="231F20"/>
          <w:spacing w:val="11"/>
          <w:sz w:val="20"/>
        </w:rPr>
        <w:t> </w:t>
      </w:r>
      <w:r>
        <w:rPr>
          <w:color w:val="231F20"/>
          <w:sz w:val="20"/>
        </w:rPr>
        <w:t>any</w:t>
      </w:r>
      <w:r>
        <w:rPr>
          <w:color w:val="231F20"/>
          <w:spacing w:val="12"/>
          <w:sz w:val="20"/>
        </w:rPr>
        <w:t> </w:t>
      </w:r>
      <w:r>
        <w:rPr>
          <w:color w:val="231F20"/>
          <w:sz w:val="20"/>
        </w:rPr>
        <w:t>other</w:t>
      </w:r>
      <w:r>
        <w:rPr>
          <w:color w:val="231F20"/>
          <w:spacing w:val="11"/>
          <w:sz w:val="20"/>
        </w:rPr>
        <w:t> </w:t>
      </w:r>
      <w:r>
        <w:rPr>
          <w:color w:val="231F20"/>
          <w:sz w:val="20"/>
        </w:rPr>
        <w:t>settings</w:t>
      </w:r>
      <w:r>
        <w:rPr>
          <w:color w:val="231F20"/>
          <w:spacing w:val="12"/>
          <w:sz w:val="20"/>
        </w:rPr>
        <w:t> </w:t>
      </w:r>
      <w:r>
        <w:rPr>
          <w:color w:val="231F20"/>
          <w:sz w:val="20"/>
        </w:rPr>
        <w:t>for</w:t>
      </w:r>
      <w:r>
        <w:rPr>
          <w:color w:val="231F20"/>
          <w:spacing w:val="12"/>
          <w:sz w:val="20"/>
        </w:rPr>
        <w:t> </w:t>
      </w:r>
      <w:r>
        <w:rPr>
          <w:color w:val="231F20"/>
          <w:sz w:val="20"/>
        </w:rPr>
        <w:t>the</w:t>
      </w:r>
      <w:r>
        <w:rPr>
          <w:color w:val="231F20"/>
          <w:spacing w:val="11"/>
          <w:sz w:val="20"/>
        </w:rPr>
        <w:t> </w:t>
      </w:r>
      <w:r>
        <w:rPr>
          <w:color w:val="231F20"/>
          <w:sz w:val="20"/>
        </w:rPr>
        <w:t>new</w:t>
      </w:r>
      <w:r>
        <w:rPr>
          <w:color w:val="231F20"/>
          <w:spacing w:val="12"/>
          <w:sz w:val="20"/>
        </w:rPr>
        <w:t> </w:t>
      </w:r>
      <w:r>
        <w:rPr>
          <w:color w:val="231F20"/>
          <w:sz w:val="20"/>
        </w:rPr>
        <w:t>policy</w:t>
      </w:r>
      <w:r>
        <w:rPr>
          <w:color w:val="231F20"/>
          <w:spacing w:val="12"/>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Policy</w:t>
      </w:r>
      <w:r>
        <w:rPr>
          <w:color w:val="231F20"/>
          <w:spacing w:val="12"/>
          <w:sz w:val="20"/>
        </w:rPr>
        <w:t> </w:t>
      </w:r>
      <w:r>
        <w:rPr>
          <w:color w:val="231F20"/>
          <w:sz w:val="20"/>
        </w:rPr>
        <w:t>Details</w:t>
      </w:r>
      <w:r>
        <w:rPr>
          <w:color w:val="231F20"/>
          <w:spacing w:val="11"/>
          <w:sz w:val="20"/>
        </w:rPr>
        <w:t> </w:t>
      </w:r>
      <w:r>
        <w:rPr>
          <w:color w:val="231F20"/>
          <w:spacing w:val="-2"/>
          <w:sz w:val="20"/>
        </w:rPr>
        <w:t>area.</w:t>
      </w:r>
    </w:p>
    <w:p>
      <w:pPr>
        <w:pStyle w:val="ListParagraph"/>
        <w:numPr>
          <w:ilvl w:val="0"/>
          <w:numId w:val="146"/>
        </w:numPr>
        <w:tabs>
          <w:tab w:pos="2547" w:val="left" w:leader="none"/>
        </w:tabs>
        <w:spacing w:line="240" w:lineRule="auto" w:before="30"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9"/>
          <w:sz w:val="20"/>
        </w:rPr>
        <w:t> </w:t>
      </w:r>
      <w:r>
        <w:rPr>
          <w:rFonts w:ascii="Book Antiqua"/>
          <w:b/>
          <w:color w:val="231F20"/>
          <w:sz w:val="20"/>
        </w:rPr>
        <w:t>Workflow</w:t>
      </w:r>
      <w:r>
        <w:rPr>
          <w:rFonts w:ascii="Book Antiqua"/>
          <w:b/>
          <w:color w:val="231F20"/>
          <w:spacing w:val="9"/>
          <w:sz w:val="20"/>
        </w:rPr>
        <w:t> </w:t>
      </w:r>
      <w:r>
        <w:rPr>
          <w:rFonts w:ascii="Book Antiqua"/>
          <w:b/>
          <w:color w:val="231F20"/>
          <w:sz w:val="20"/>
        </w:rPr>
        <w:t>editor</w:t>
      </w:r>
      <w:r>
        <w:rPr>
          <w:color w:val="231F20"/>
          <w:sz w:val="20"/>
        </w:rPr>
        <w:t>,</w:t>
      </w:r>
      <w:r>
        <w:rPr>
          <w:color w:val="231F20"/>
          <w:spacing w:val="10"/>
          <w:sz w:val="20"/>
        </w:rPr>
        <w:t> </w:t>
      </w:r>
      <w:r>
        <w:rPr>
          <w:color w:val="231F20"/>
          <w:sz w:val="20"/>
        </w:rPr>
        <w:t>modify</w:t>
      </w:r>
      <w:r>
        <w:rPr>
          <w:color w:val="231F20"/>
          <w:spacing w:val="9"/>
          <w:sz w:val="20"/>
        </w:rPr>
        <w:t> </w:t>
      </w:r>
      <w:r>
        <w:rPr>
          <w:color w:val="231F20"/>
          <w:sz w:val="20"/>
        </w:rPr>
        <w:t>the</w:t>
      </w:r>
      <w:r>
        <w:rPr>
          <w:color w:val="231F20"/>
          <w:spacing w:val="9"/>
          <w:sz w:val="20"/>
        </w:rPr>
        <w:t> </w:t>
      </w:r>
      <w:r>
        <w:rPr>
          <w:color w:val="231F20"/>
          <w:sz w:val="20"/>
        </w:rPr>
        <w:t>activities</w:t>
      </w:r>
      <w:r>
        <w:rPr>
          <w:color w:val="231F20"/>
          <w:spacing w:val="9"/>
          <w:sz w:val="20"/>
        </w:rPr>
        <w:t> </w:t>
      </w:r>
      <w:r>
        <w:rPr>
          <w:color w:val="231F20"/>
          <w:sz w:val="20"/>
        </w:rPr>
        <w:t>as</w:t>
      </w:r>
      <w:r>
        <w:rPr>
          <w:color w:val="231F20"/>
          <w:spacing w:val="10"/>
          <w:sz w:val="20"/>
        </w:rPr>
        <w:t> </w:t>
      </w:r>
      <w:r>
        <w:rPr>
          <w:color w:val="231F20"/>
          <w:spacing w:val="-2"/>
          <w:sz w:val="20"/>
        </w:rPr>
        <w:t>needed:</w:t>
      </w:r>
    </w:p>
    <w:p>
      <w:pPr>
        <w:pStyle w:val="BodyText"/>
        <w:spacing w:before="29"/>
        <w:ind w:left="2548"/>
      </w:pPr>
      <w:r>
        <w:rPr>
          <w:rFonts w:ascii="Futura MdCn BT"/>
          <w:color w:val="231F20"/>
        </w:rPr>
        <w:t>v</w:t>
      </w:r>
      <w:r>
        <w:rPr>
          <w:rFonts w:ascii="Futura MdCn BT"/>
          <w:color w:val="231F20"/>
          <w:spacing w:val="77"/>
          <w:w w:val="150"/>
        </w:rPr>
        <w:t> </w:t>
      </w:r>
      <w:r>
        <w:rPr>
          <w:color w:val="231F20"/>
        </w:rPr>
        <w:t>To</w:t>
      </w:r>
      <w:r>
        <w:rPr>
          <w:color w:val="231F20"/>
          <w:spacing w:val="10"/>
        </w:rPr>
        <w:t> </w:t>
      </w:r>
      <w:r>
        <w:rPr>
          <w:color w:val="231F20"/>
        </w:rPr>
        <w:t>open</w:t>
      </w:r>
      <w:r>
        <w:rPr>
          <w:color w:val="231F20"/>
          <w:spacing w:val="10"/>
        </w:rPr>
        <w:t> </w:t>
      </w:r>
      <w:r>
        <w:rPr>
          <w:color w:val="231F20"/>
        </w:rPr>
        <w:t>an</w:t>
      </w:r>
      <w:r>
        <w:rPr>
          <w:color w:val="231F20"/>
          <w:spacing w:val="10"/>
        </w:rPr>
        <w:t> </w:t>
      </w:r>
      <w:r>
        <w:rPr>
          <w:color w:val="231F20"/>
        </w:rPr>
        <w:t>activity</w:t>
      </w:r>
      <w:r>
        <w:rPr>
          <w:color w:val="231F20"/>
          <w:spacing w:val="10"/>
        </w:rPr>
        <w:t> </w:t>
      </w:r>
      <w:r>
        <w:rPr>
          <w:color w:val="231F20"/>
        </w:rPr>
        <w:t>for</w:t>
      </w:r>
      <w:r>
        <w:rPr>
          <w:color w:val="231F20"/>
          <w:spacing w:val="10"/>
        </w:rPr>
        <w:t> </w:t>
      </w:r>
      <w:r>
        <w:rPr>
          <w:color w:val="231F20"/>
        </w:rPr>
        <w:t>editing,</w:t>
      </w:r>
      <w:r>
        <w:rPr>
          <w:color w:val="231F20"/>
          <w:spacing w:val="10"/>
        </w:rPr>
        <w:t> </w:t>
      </w:r>
      <w:r>
        <w:rPr>
          <w:color w:val="231F20"/>
        </w:rPr>
        <w:t>double-click</w:t>
      </w:r>
      <w:r>
        <w:rPr>
          <w:color w:val="231F20"/>
          <w:spacing w:val="11"/>
        </w:rPr>
        <w:t> </w:t>
      </w:r>
      <w:r>
        <w:rPr>
          <w:color w:val="231F20"/>
          <w:spacing w:val="-5"/>
        </w:rPr>
        <w:t>it.</w:t>
      </w:r>
    </w:p>
    <w:p>
      <w:pPr>
        <w:pStyle w:val="BodyText"/>
        <w:spacing w:line="213" w:lineRule="auto" w:before="53"/>
        <w:ind w:left="2764" w:right="603" w:hanging="216"/>
      </w:pPr>
      <w:r>
        <w:rPr>
          <w:rFonts w:ascii="Futura MdCn BT"/>
          <w:color w:val="231F20"/>
        </w:rPr>
        <w:t>v</w:t>
      </w:r>
      <w:r>
        <w:rPr>
          <w:rFonts w:ascii="Futura MdCn BT"/>
          <w:color w:val="231F20"/>
          <w:spacing w:val="80"/>
        </w:rPr>
        <w:t> </w:t>
      </w:r>
      <w:r>
        <w:rPr>
          <w:color w:val="231F20"/>
        </w:rPr>
        <w:t>To delete an activity or connector, select it and click </w:t>
      </w:r>
      <w:r>
        <w:rPr>
          <w:color w:val="231F20"/>
          <w:spacing w:val="-25"/>
          <w:position w:val="-1"/>
        </w:rPr>
        <w:drawing>
          <wp:inline distT="0" distB="0" distL="0" distR="0">
            <wp:extent cx="95250" cy="101600"/>
            <wp:effectExtent l="0" t="0" r="0" b="0"/>
            <wp:docPr id="2719" name="Image 2719"/>
            <wp:cNvGraphicFramePr>
              <a:graphicFrameLocks/>
            </wp:cNvGraphicFramePr>
            <a:graphic>
              <a:graphicData uri="http://schemas.openxmlformats.org/drawingml/2006/picture">
                <pic:pic>
                  <pic:nvPicPr>
                    <pic:cNvPr id="2719" name="Image 2719"/>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6"/>
        </w:rPr>
        <w:t> </w:t>
      </w:r>
      <w:r>
        <w:rPr>
          <w:rFonts w:ascii="Book Antiqua"/>
          <w:b/>
          <w:color w:val="231F20"/>
        </w:rPr>
        <w:t>Delete</w:t>
      </w:r>
      <w:r>
        <w:rPr>
          <w:color w:val="231F20"/>
        </w:rPr>
        <w:t>. You can </w:t>
      </w:r>
      <w:r>
        <w:rPr>
          <w:color w:val="231F20"/>
        </w:rPr>
        <w:t>also</w:t>
      </w:r>
      <w:r>
        <w:rPr>
          <w:color w:val="231F20"/>
        </w:rPr>
        <w:t> use Shift+click to select multiple activities or use click and drag to select a</w:t>
      </w:r>
      <w:r>
        <w:rPr>
          <w:color w:val="231F20"/>
          <w:spacing w:val="40"/>
        </w:rPr>
        <w:t> </w:t>
      </w:r>
      <w:r>
        <w:rPr>
          <w:color w:val="231F20"/>
        </w:rPr>
        <w:t>rectangular area.</w:t>
      </w:r>
    </w:p>
    <w:p>
      <w:pPr>
        <w:pStyle w:val="BodyText"/>
        <w:spacing w:line="213" w:lineRule="auto" w:before="58"/>
        <w:ind w:left="2764" w:right="544" w:hanging="216"/>
      </w:pPr>
      <w:r>
        <w:rPr>
          <w:rFonts w:ascii="Futura MdCn BT"/>
          <w:color w:val="231F20"/>
        </w:rPr>
        <w:t>v</w:t>
      </w:r>
      <w:r>
        <w:rPr>
          <w:rFonts w:ascii="Futura MdCn BT"/>
          <w:color w:val="231F20"/>
          <w:spacing w:val="80"/>
        </w:rPr>
        <w:t> </w:t>
      </w:r>
      <w:r>
        <w:rPr>
          <w:color w:val="231F20"/>
        </w:rPr>
        <w:t>To</w:t>
      </w:r>
      <w:r>
        <w:rPr>
          <w:color w:val="231F20"/>
          <w:spacing w:val="21"/>
        </w:rPr>
        <w:t> </w:t>
      </w:r>
      <w:r>
        <w:rPr>
          <w:color w:val="231F20"/>
        </w:rPr>
        <w:t>copy</w:t>
      </w:r>
      <w:r>
        <w:rPr>
          <w:color w:val="231F20"/>
          <w:spacing w:val="21"/>
        </w:rPr>
        <w:t> </w:t>
      </w:r>
      <w:r>
        <w:rPr>
          <w:color w:val="231F20"/>
        </w:rPr>
        <w:t>an</w:t>
      </w:r>
      <w:r>
        <w:rPr>
          <w:color w:val="231F20"/>
          <w:spacing w:val="21"/>
        </w:rPr>
        <w:t> </w:t>
      </w:r>
      <w:r>
        <w:rPr>
          <w:color w:val="231F20"/>
        </w:rPr>
        <w:t>activity,</w:t>
      </w:r>
      <w:r>
        <w:rPr>
          <w:color w:val="231F20"/>
          <w:spacing w:val="21"/>
        </w:rPr>
        <w:t> </w:t>
      </w:r>
      <w:r>
        <w:rPr>
          <w:color w:val="231F20"/>
        </w:rPr>
        <w:t>select</w:t>
      </w:r>
      <w:r>
        <w:rPr>
          <w:color w:val="231F20"/>
          <w:spacing w:val="21"/>
        </w:rPr>
        <w:t> </w:t>
      </w:r>
      <w:r>
        <w:rPr>
          <w:color w:val="231F20"/>
        </w:rPr>
        <w:t>it,</w:t>
      </w:r>
      <w:r>
        <w:rPr>
          <w:color w:val="231F20"/>
          <w:spacing w:val="21"/>
        </w:rPr>
        <w:t> </w:t>
      </w:r>
      <w:r>
        <w:rPr>
          <w:color w:val="231F20"/>
        </w:rPr>
        <w:t>click</w:t>
      </w:r>
      <w:r>
        <w:rPr>
          <w:color w:val="231F20"/>
          <w:spacing w:val="40"/>
        </w:rPr>
        <w:t> </w:t>
      </w:r>
      <w:r>
        <w:rPr>
          <w:color w:val="231F20"/>
          <w:spacing w:val="-15"/>
          <w:position w:val="-1"/>
        </w:rPr>
        <w:drawing>
          <wp:inline distT="0" distB="0" distL="0" distR="0">
            <wp:extent cx="82550" cy="95250"/>
            <wp:effectExtent l="0" t="0" r="0" b="0"/>
            <wp:docPr id="2720" name="Image 2720"/>
            <wp:cNvGraphicFramePr>
              <a:graphicFrameLocks/>
            </wp:cNvGraphicFramePr>
            <a:graphic>
              <a:graphicData uri="http://schemas.openxmlformats.org/drawingml/2006/picture">
                <pic:pic>
                  <pic:nvPicPr>
                    <pic:cNvPr id="2720" name="Image 2720"/>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Copy</w:t>
      </w:r>
      <w:r>
        <w:rPr>
          <w:color w:val="231F20"/>
        </w:rPr>
        <w:t>,</w:t>
      </w:r>
      <w:r>
        <w:rPr>
          <w:color w:val="231F20"/>
          <w:spacing w:val="21"/>
        </w:rPr>
        <w:t> </w:t>
      </w:r>
      <w:r>
        <w:rPr>
          <w:color w:val="231F20"/>
        </w:rPr>
        <w:t>then</w:t>
      </w:r>
      <w:r>
        <w:rPr>
          <w:color w:val="231F20"/>
          <w:spacing w:val="21"/>
        </w:rPr>
        <w:t> </w:t>
      </w:r>
      <w:r>
        <w:rPr>
          <w:color w:val="231F20"/>
        </w:rPr>
        <w:t>click</w:t>
      </w:r>
      <w:r>
        <w:rPr>
          <w:color w:val="231F20"/>
          <w:spacing w:val="21"/>
        </w:rPr>
        <w:t> </w:t>
      </w:r>
      <w:r>
        <w:rPr>
          <w:color w:val="231F20"/>
        </w:rPr>
        <w:t>where</w:t>
      </w:r>
      <w:r>
        <w:rPr>
          <w:color w:val="231F20"/>
          <w:spacing w:val="21"/>
        </w:rPr>
        <w:t> </w:t>
      </w:r>
      <w:r>
        <w:rPr>
          <w:color w:val="231F20"/>
        </w:rPr>
        <w:t>you</w:t>
      </w:r>
      <w:r>
        <w:rPr>
          <w:color w:val="231F20"/>
          <w:spacing w:val="21"/>
        </w:rPr>
        <w:t> </w:t>
      </w:r>
      <w:r>
        <w:rPr>
          <w:color w:val="231F20"/>
        </w:rPr>
        <w:t>want</w:t>
      </w:r>
      <w:r>
        <w:rPr>
          <w:color w:val="231F20"/>
          <w:spacing w:val="21"/>
        </w:rPr>
        <w:t> </w:t>
      </w:r>
      <w:r>
        <w:rPr>
          <w:color w:val="231F20"/>
        </w:rPr>
        <w:t>to copy</w:t>
      </w:r>
      <w:r>
        <w:rPr>
          <w:color w:val="231F20"/>
          <w:spacing w:val="25"/>
        </w:rPr>
        <w:t> </w:t>
      </w:r>
      <w:r>
        <w:rPr>
          <w:color w:val="231F20"/>
        </w:rPr>
        <w:t>it</w:t>
      </w:r>
      <w:r>
        <w:rPr>
          <w:color w:val="231F20"/>
          <w:spacing w:val="25"/>
        </w:rPr>
        <w:t> </w:t>
      </w:r>
      <w:r>
        <w:rPr>
          <w:color w:val="231F20"/>
        </w:rPr>
        <w:t>in</w:t>
      </w:r>
      <w:r>
        <w:rPr>
          <w:color w:val="231F20"/>
          <w:spacing w:val="25"/>
        </w:rPr>
        <w:t> </w:t>
      </w:r>
      <w:r>
        <w:rPr>
          <w:color w:val="231F20"/>
        </w:rPr>
        <w:t>this</w:t>
      </w:r>
      <w:r>
        <w:rPr>
          <w:color w:val="231F20"/>
          <w:spacing w:val="25"/>
        </w:rPr>
        <w:t> </w:t>
      </w:r>
      <w:r>
        <w:rPr>
          <w:color w:val="231F20"/>
        </w:rPr>
        <w:t>or</w:t>
      </w:r>
      <w:r>
        <w:rPr>
          <w:color w:val="231F20"/>
          <w:spacing w:val="25"/>
        </w:rPr>
        <w:t> </w:t>
      </w:r>
      <w:r>
        <w:rPr>
          <w:color w:val="231F20"/>
        </w:rPr>
        <w:t>another</w:t>
      </w:r>
      <w:r>
        <w:rPr>
          <w:color w:val="231F20"/>
          <w:spacing w:val="25"/>
        </w:rPr>
        <w:t> </w:t>
      </w:r>
      <w:r>
        <w:rPr>
          <w:color w:val="231F20"/>
        </w:rPr>
        <w:t>policy</w:t>
      </w:r>
      <w:r>
        <w:rPr>
          <w:color w:val="231F20"/>
          <w:spacing w:val="25"/>
        </w:rPr>
        <w:t> </w:t>
      </w:r>
      <w:r>
        <w:rPr>
          <w:color w:val="231F20"/>
        </w:rPr>
        <w:t>open</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work</w:t>
      </w:r>
      <w:r>
        <w:rPr>
          <w:color w:val="231F20"/>
          <w:spacing w:val="25"/>
        </w:rPr>
        <w:t> </w:t>
      </w:r>
      <w:r>
        <w:rPr>
          <w:color w:val="231F20"/>
        </w:rPr>
        <w:t>area,</w:t>
      </w:r>
      <w:r>
        <w:rPr>
          <w:color w:val="231F20"/>
          <w:spacing w:val="25"/>
        </w:rPr>
        <w:t> </w:t>
      </w:r>
      <w:r>
        <w:rPr>
          <w:color w:val="231F20"/>
        </w:rPr>
        <w:t>and</w:t>
      </w:r>
      <w:r>
        <w:rPr>
          <w:color w:val="231F20"/>
          <w:spacing w:val="25"/>
        </w:rPr>
        <w:t> </w:t>
      </w:r>
      <w:r>
        <w:rPr>
          <w:color w:val="231F20"/>
        </w:rPr>
        <w:t>click</w:t>
      </w:r>
      <w:r>
        <w:rPr>
          <w:color w:val="231F20"/>
          <w:spacing w:val="24"/>
        </w:rPr>
        <w:t> </w:t>
      </w:r>
      <w:r>
        <w:rPr>
          <w:color w:val="231F20"/>
          <w:spacing w:val="24"/>
          <w:position w:val="-1"/>
        </w:rPr>
        <w:drawing>
          <wp:inline distT="0" distB="0" distL="0" distR="0">
            <wp:extent cx="95250" cy="101600"/>
            <wp:effectExtent l="0" t="0" r="0" b="0"/>
            <wp:docPr id="2721" name="Image 2721"/>
            <wp:cNvGraphicFramePr>
              <a:graphicFrameLocks/>
            </wp:cNvGraphicFramePr>
            <a:graphic>
              <a:graphicData uri="http://schemas.openxmlformats.org/drawingml/2006/picture">
                <pic:pic>
                  <pic:nvPicPr>
                    <pic:cNvPr id="2721" name="Image 2721"/>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24"/>
        </w:rPr>
        <w:t> </w:t>
      </w:r>
      <w:r>
        <w:rPr>
          <w:rFonts w:ascii="Book Antiqua"/>
          <w:b/>
          <w:color w:val="231F20"/>
        </w:rPr>
        <w:t>Paste</w:t>
      </w:r>
      <w:r>
        <w:rPr>
          <w:color w:val="231F20"/>
        </w:rPr>
        <w:t>. You can also use Shift+click to select multiple activities or use click and </w:t>
      </w:r>
      <w:r>
        <w:rPr>
          <w:color w:val="231F20"/>
        </w:rPr>
        <w:t>drag</w:t>
      </w:r>
      <w:r>
        <w:rPr>
          <w:color w:val="231F20"/>
          <w:spacing w:val="40"/>
        </w:rPr>
        <w:t> </w:t>
      </w:r>
      <w:r>
        <w:rPr>
          <w:color w:val="231F20"/>
        </w:rPr>
        <w:t>to select a rectangular area.</w:t>
      </w:r>
    </w:p>
    <w:p>
      <w:pPr>
        <w:pStyle w:val="BodyText"/>
        <w:spacing w:line="213" w:lineRule="auto" w:before="57"/>
        <w:ind w:left="2764" w:right="416" w:hanging="216"/>
        <w:jc w:val="both"/>
      </w:pPr>
      <w:r>
        <w:rPr>
          <w:rFonts w:ascii="Futura MdCn BT"/>
          <w:color w:val="231F20"/>
        </w:rPr>
        <w:t>v</w:t>
      </w:r>
      <w:r>
        <w:rPr>
          <w:rFonts w:ascii="Futura MdCn BT"/>
          <w:color w:val="231F20"/>
          <w:spacing w:val="80"/>
        </w:rPr>
        <w:t> </w:t>
      </w:r>
      <w:r>
        <w:rPr>
          <w:color w:val="231F20"/>
        </w:rPr>
        <w:t>To</w:t>
      </w:r>
      <w:r>
        <w:rPr>
          <w:color w:val="231F20"/>
          <w:spacing w:val="11"/>
        </w:rPr>
        <w:t> </w:t>
      </w:r>
      <w:r>
        <w:rPr>
          <w:color w:val="231F20"/>
        </w:rPr>
        <w:t>move</w:t>
      </w:r>
      <w:r>
        <w:rPr>
          <w:color w:val="231F20"/>
          <w:spacing w:val="11"/>
        </w:rPr>
        <w:t> </w:t>
      </w:r>
      <w:r>
        <w:rPr>
          <w:color w:val="231F20"/>
        </w:rPr>
        <w:t>an</w:t>
      </w:r>
      <w:r>
        <w:rPr>
          <w:color w:val="231F20"/>
          <w:spacing w:val="11"/>
        </w:rPr>
        <w:t> </w:t>
      </w:r>
      <w:r>
        <w:rPr>
          <w:color w:val="231F20"/>
        </w:rPr>
        <w:t>activity,</w:t>
      </w:r>
      <w:r>
        <w:rPr>
          <w:color w:val="231F20"/>
          <w:spacing w:val="11"/>
        </w:rPr>
        <w:t> </w:t>
      </w:r>
      <w:r>
        <w:rPr>
          <w:color w:val="231F20"/>
        </w:rPr>
        <w:t>select</w:t>
      </w:r>
      <w:r>
        <w:rPr>
          <w:color w:val="231F20"/>
          <w:spacing w:val="11"/>
        </w:rPr>
        <w:t> </w:t>
      </w:r>
      <w:r>
        <w:rPr>
          <w:color w:val="231F20"/>
        </w:rPr>
        <w:t>it,</w:t>
      </w:r>
      <w:r>
        <w:rPr>
          <w:color w:val="231F20"/>
          <w:spacing w:val="11"/>
        </w:rPr>
        <w:t> </w:t>
      </w:r>
      <w:r>
        <w:rPr>
          <w:color w:val="231F20"/>
        </w:rPr>
        <w:t>click</w:t>
      </w:r>
      <w:r>
        <w:rPr>
          <w:color w:val="231F20"/>
          <w:spacing w:val="10"/>
        </w:rPr>
        <w:t> </w:t>
      </w:r>
      <w:r>
        <w:rPr>
          <w:color w:val="231F20"/>
          <w:spacing w:val="15"/>
          <w:position w:val="-1"/>
        </w:rPr>
        <w:drawing>
          <wp:inline distT="0" distB="0" distL="0" distR="0">
            <wp:extent cx="101600" cy="101600"/>
            <wp:effectExtent l="0" t="0" r="0" b="0"/>
            <wp:docPr id="2722" name="Image 2722"/>
            <wp:cNvGraphicFramePr>
              <a:graphicFrameLocks/>
            </wp:cNvGraphicFramePr>
            <a:graphic>
              <a:graphicData uri="http://schemas.openxmlformats.org/drawingml/2006/picture">
                <pic:pic>
                  <pic:nvPicPr>
                    <pic:cNvPr id="2722" name="Image 2722"/>
                    <pic:cNvPicPr/>
                  </pic:nvPicPr>
                  <pic:blipFill>
                    <a:blip r:embed="rId334"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rFonts w:ascii="Book Antiqua"/>
          <w:b/>
          <w:color w:val="231F20"/>
        </w:rPr>
        <w:t>Cut</w:t>
      </w:r>
      <w:r>
        <w:rPr>
          <w:color w:val="231F20"/>
        </w:rPr>
        <w:t>,</w:t>
      </w:r>
      <w:r>
        <w:rPr>
          <w:color w:val="231F20"/>
          <w:spacing w:val="12"/>
        </w:rPr>
        <w:t> </w:t>
      </w:r>
      <w:r>
        <w:rPr>
          <w:color w:val="231F20"/>
        </w:rPr>
        <w:t>then</w:t>
      </w:r>
      <w:r>
        <w:rPr>
          <w:color w:val="231F20"/>
          <w:spacing w:val="11"/>
        </w:rPr>
        <w:t> </w:t>
      </w:r>
      <w:r>
        <w:rPr>
          <w:color w:val="231F20"/>
        </w:rPr>
        <w:t>click</w:t>
      </w:r>
      <w:r>
        <w:rPr>
          <w:color w:val="231F20"/>
          <w:spacing w:val="11"/>
        </w:rPr>
        <w:t> </w:t>
      </w:r>
      <w:r>
        <w:rPr>
          <w:color w:val="231F20"/>
        </w:rPr>
        <w:t>where</w:t>
      </w:r>
      <w:r>
        <w:rPr>
          <w:color w:val="231F20"/>
          <w:spacing w:val="11"/>
        </w:rPr>
        <w:t> </w:t>
      </w:r>
      <w:r>
        <w:rPr>
          <w:color w:val="231F20"/>
        </w:rPr>
        <w:t>you</w:t>
      </w:r>
      <w:r>
        <w:rPr>
          <w:color w:val="231F20"/>
          <w:spacing w:val="11"/>
        </w:rPr>
        <w:t> </w:t>
      </w:r>
      <w:r>
        <w:rPr>
          <w:color w:val="231F20"/>
        </w:rPr>
        <w:t>want</w:t>
      </w:r>
      <w:r>
        <w:rPr>
          <w:color w:val="231F20"/>
          <w:spacing w:val="11"/>
        </w:rPr>
        <w:t> </w:t>
      </w:r>
      <w:r>
        <w:rPr>
          <w:color w:val="231F20"/>
        </w:rPr>
        <w:t>to</w:t>
      </w:r>
      <w:r>
        <w:rPr>
          <w:color w:val="231F20"/>
          <w:spacing w:val="11"/>
        </w:rPr>
        <w:t> </w:t>
      </w:r>
      <w:r>
        <w:rPr>
          <w:color w:val="231F20"/>
        </w:rPr>
        <w:t>move it in this or another policy open in the work area, and click </w:t>
      </w:r>
      <w:r>
        <w:rPr>
          <w:color w:val="231F20"/>
          <w:spacing w:val="-25"/>
          <w:position w:val="-1"/>
        </w:rPr>
        <w:drawing>
          <wp:inline distT="0" distB="0" distL="0" distR="0">
            <wp:extent cx="95250" cy="101600"/>
            <wp:effectExtent l="0" t="0" r="0" b="0"/>
            <wp:docPr id="2723" name="Image 2723"/>
            <wp:cNvGraphicFramePr>
              <a:graphicFrameLocks/>
            </wp:cNvGraphicFramePr>
            <a:graphic>
              <a:graphicData uri="http://schemas.openxmlformats.org/drawingml/2006/picture">
                <pic:pic>
                  <pic:nvPicPr>
                    <pic:cNvPr id="2723" name="Image 2723"/>
                    <pic:cNvPicPr/>
                  </pic:nvPicPr>
                  <pic:blipFill>
                    <a:blip r:embed="rId335"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40"/>
        </w:rPr>
        <w:t> </w:t>
      </w:r>
      <w:r>
        <w:rPr>
          <w:rFonts w:ascii="Book Antiqua"/>
          <w:b/>
          <w:color w:val="231F20"/>
        </w:rPr>
        <w:t>Paste</w:t>
      </w:r>
      <w:r>
        <w:rPr>
          <w:color w:val="231F20"/>
        </w:rPr>
        <w:t>. You </w:t>
      </w:r>
      <w:r>
        <w:rPr>
          <w:color w:val="231F20"/>
        </w:rPr>
        <w:t>can</w:t>
      </w:r>
      <w:r>
        <w:rPr>
          <w:color w:val="231F20"/>
        </w:rPr>
        <w:t> also</w:t>
      </w:r>
      <w:r>
        <w:rPr>
          <w:color w:val="231F20"/>
          <w:spacing w:val="17"/>
        </w:rPr>
        <w:t> </w:t>
      </w:r>
      <w:r>
        <w:rPr>
          <w:color w:val="231F20"/>
        </w:rPr>
        <w:t>use</w:t>
      </w:r>
      <w:r>
        <w:rPr>
          <w:color w:val="231F20"/>
          <w:spacing w:val="17"/>
        </w:rPr>
        <w:t> </w:t>
      </w:r>
      <w:r>
        <w:rPr>
          <w:color w:val="231F20"/>
        </w:rPr>
        <w:t>Shift+click</w:t>
      </w:r>
      <w:r>
        <w:rPr>
          <w:color w:val="231F20"/>
          <w:spacing w:val="17"/>
        </w:rPr>
        <w:t> </w:t>
      </w:r>
      <w:r>
        <w:rPr>
          <w:color w:val="231F20"/>
        </w:rPr>
        <w:t>to</w:t>
      </w:r>
      <w:r>
        <w:rPr>
          <w:color w:val="231F20"/>
          <w:spacing w:val="17"/>
        </w:rPr>
        <w:t> </w:t>
      </w:r>
      <w:r>
        <w:rPr>
          <w:color w:val="231F20"/>
        </w:rPr>
        <w:t>select</w:t>
      </w:r>
      <w:r>
        <w:rPr>
          <w:color w:val="231F20"/>
          <w:spacing w:val="17"/>
        </w:rPr>
        <w:t> </w:t>
      </w:r>
      <w:r>
        <w:rPr>
          <w:color w:val="231F20"/>
        </w:rPr>
        <w:t>multiple</w:t>
      </w:r>
      <w:r>
        <w:rPr>
          <w:color w:val="231F20"/>
          <w:spacing w:val="17"/>
        </w:rPr>
        <w:t> </w:t>
      </w:r>
      <w:r>
        <w:rPr>
          <w:color w:val="231F20"/>
        </w:rPr>
        <w:t>activities</w:t>
      </w:r>
      <w:r>
        <w:rPr>
          <w:color w:val="231F20"/>
          <w:spacing w:val="17"/>
        </w:rPr>
        <w:t> </w:t>
      </w:r>
      <w:r>
        <w:rPr>
          <w:color w:val="231F20"/>
        </w:rPr>
        <w:t>or</w:t>
      </w:r>
      <w:r>
        <w:rPr>
          <w:color w:val="231F20"/>
          <w:spacing w:val="17"/>
        </w:rPr>
        <w:t> </w:t>
      </w:r>
      <w:r>
        <w:rPr>
          <w:color w:val="231F20"/>
        </w:rPr>
        <w:t>use</w:t>
      </w:r>
      <w:r>
        <w:rPr>
          <w:color w:val="231F20"/>
          <w:spacing w:val="17"/>
        </w:rPr>
        <w:t> </w:t>
      </w:r>
      <w:r>
        <w:rPr>
          <w:color w:val="231F20"/>
        </w:rPr>
        <w:t>click</w:t>
      </w:r>
      <w:r>
        <w:rPr>
          <w:color w:val="231F20"/>
          <w:spacing w:val="17"/>
        </w:rPr>
        <w:t> </w:t>
      </w:r>
      <w:r>
        <w:rPr>
          <w:color w:val="231F20"/>
        </w:rPr>
        <w:t>and</w:t>
      </w:r>
      <w:r>
        <w:rPr>
          <w:color w:val="231F20"/>
          <w:spacing w:val="17"/>
        </w:rPr>
        <w:t> </w:t>
      </w:r>
      <w:r>
        <w:rPr>
          <w:color w:val="231F20"/>
        </w:rPr>
        <w:t>drag</w:t>
      </w:r>
      <w:r>
        <w:rPr>
          <w:color w:val="231F20"/>
          <w:spacing w:val="17"/>
        </w:rPr>
        <w:t> </w:t>
      </w:r>
      <w:r>
        <w:rPr>
          <w:color w:val="231F20"/>
        </w:rPr>
        <w:t>to</w:t>
      </w:r>
      <w:r>
        <w:rPr>
          <w:color w:val="231F20"/>
          <w:spacing w:val="17"/>
        </w:rPr>
        <w:t> </w:t>
      </w:r>
      <w:r>
        <w:rPr>
          <w:color w:val="231F20"/>
        </w:rPr>
        <w:t>select a rectangular area.</w:t>
      </w:r>
    </w:p>
    <w:p>
      <w:pPr>
        <w:pStyle w:val="BodyText"/>
        <w:spacing w:line="213" w:lineRule="auto" w:before="57"/>
        <w:ind w:left="2764" w:right="802" w:hanging="216"/>
        <w:jc w:val="both"/>
      </w:pPr>
      <w:r>
        <w:rPr>
          <w:rFonts w:ascii="Futura MdCn BT"/>
          <w:color w:val="231F20"/>
        </w:rPr>
        <w:t>v</w:t>
      </w:r>
      <w:r>
        <w:rPr>
          <w:rFonts w:ascii="Futura MdCn BT"/>
          <w:color w:val="231F20"/>
          <w:spacing w:val="40"/>
        </w:rPr>
        <w:t> </w:t>
      </w:r>
      <w:r>
        <w:rPr>
          <w:color w:val="231F20"/>
        </w:rPr>
        <w:t>To add an activity, click its icon in the Workflow components frame, then click inside the Grapher view.</w:t>
      </w:r>
    </w:p>
    <w:p>
      <w:pPr>
        <w:pStyle w:val="BodyText"/>
        <w:spacing w:line="213" w:lineRule="auto" w:before="59"/>
        <w:ind w:left="2764" w:right="899" w:hanging="216"/>
        <w:jc w:val="both"/>
      </w:pPr>
      <w:r>
        <w:rPr>
          <w:rFonts w:ascii="Futura MdCn BT"/>
          <w:color w:val="231F20"/>
        </w:rPr>
        <w:t>v</w:t>
      </w:r>
      <w:r>
        <w:rPr>
          <w:rFonts w:ascii="Futura MdCn BT"/>
          <w:color w:val="231F20"/>
          <w:spacing w:val="40"/>
        </w:rPr>
        <w:t> </w:t>
      </w:r>
      <w:r>
        <w:rPr>
          <w:color w:val="231F20"/>
        </w:rPr>
        <w:t>To connect an activity, click </w:t>
      </w:r>
      <w:r>
        <w:rPr>
          <w:color w:val="231F20"/>
          <w:spacing w:val="15"/>
          <w:position w:val="1"/>
        </w:rPr>
        <w:drawing>
          <wp:inline distT="0" distB="0" distL="0" distR="0">
            <wp:extent cx="311150" cy="63500"/>
            <wp:effectExtent l="0" t="0" r="0" b="0"/>
            <wp:docPr id="2724" name="Image 2724"/>
            <wp:cNvGraphicFramePr>
              <a:graphicFrameLocks/>
            </wp:cNvGraphicFramePr>
            <a:graphic>
              <a:graphicData uri="http://schemas.openxmlformats.org/drawingml/2006/picture">
                <pic:pic>
                  <pic:nvPicPr>
                    <pic:cNvPr id="2724" name="Image 2724"/>
                    <pic:cNvPicPr/>
                  </pic:nvPicPr>
                  <pic:blipFill>
                    <a:blip r:embed="rId418" cstate="print"/>
                    <a:stretch>
                      <a:fillRect/>
                    </a:stretch>
                  </pic:blipFill>
                  <pic:spPr>
                    <a:xfrm>
                      <a:off x="0" y="0"/>
                      <a:ext cx="311150" cy="635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Connector, then drag from the source activity to the target and click.</w:t>
      </w:r>
    </w:p>
    <w:p>
      <w:pPr>
        <w:pStyle w:val="ListParagraph"/>
        <w:numPr>
          <w:ilvl w:val="0"/>
          <w:numId w:val="146"/>
        </w:numPr>
        <w:tabs>
          <w:tab w:pos="2547" w:val="left" w:leader="none"/>
        </w:tabs>
        <w:spacing w:line="240" w:lineRule="auto" w:before="35" w:after="0"/>
        <w:ind w:left="2547" w:right="0" w:hanging="315"/>
        <w:jc w:val="both"/>
        <w:rPr>
          <w:sz w:val="20"/>
        </w:rPr>
      </w:pPr>
      <w:r>
        <w:rPr>
          <w:color w:val="231F20"/>
          <w:sz w:val="20"/>
        </w:rPr>
        <w:t>To</w:t>
      </w:r>
      <w:r>
        <w:rPr>
          <w:color w:val="231F20"/>
          <w:spacing w:val="10"/>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z w:val="20"/>
        </w:rPr>
        <w:t>changes,</w:t>
      </w:r>
      <w:r>
        <w:rPr>
          <w:color w:val="231F20"/>
          <w:spacing w:val="11"/>
          <w:sz w:val="20"/>
        </w:rPr>
        <w:t> </w:t>
      </w:r>
      <w:r>
        <w:rPr>
          <w:color w:val="231F20"/>
          <w:sz w:val="20"/>
        </w:rPr>
        <w:t>click</w:t>
      </w:r>
      <w:r>
        <w:rPr>
          <w:color w:val="231F20"/>
          <w:spacing w:val="10"/>
          <w:sz w:val="20"/>
        </w:rPr>
        <w:t> </w:t>
      </w:r>
      <w:r>
        <w:rPr>
          <w:rFonts w:ascii="Book Antiqua"/>
          <w:b/>
          <w:color w:val="231F20"/>
          <w:sz w:val="20"/>
        </w:rPr>
        <w:t>Apply</w:t>
      </w:r>
      <w:r>
        <w:rPr>
          <w:rFonts w:ascii="Book Antiqua"/>
          <w:b/>
          <w:color w:val="231F20"/>
          <w:spacing w:val="11"/>
          <w:sz w:val="20"/>
        </w:rPr>
        <w:t> </w:t>
      </w:r>
      <w:r>
        <w:rPr>
          <w:color w:val="231F20"/>
          <w:sz w:val="20"/>
        </w:rPr>
        <w:t>to</w:t>
      </w:r>
      <w:r>
        <w:rPr>
          <w:color w:val="231F20"/>
          <w:spacing w:val="11"/>
          <w:sz w:val="20"/>
        </w:rPr>
        <w:t> </w:t>
      </w:r>
      <w:r>
        <w:rPr>
          <w:color w:val="231F20"/>
          <w:sz w:val="20"/>
        </w:rPr>
        <w:t>keep</w:t>
      </w:r>
      <w:r>
        <w:rPr>
          <w:color w:val="231F20"/>
          <w:spacing w:val="11"/>
          <w:sz w:val="20"/>
        </w:rPr>
        <w:t> </w:t>
      </w:r>
      <w:r>
        <w:rPr>
          <w:color w:val="231F20"/>
          <w:sz w:val="20"/>
        </w:rPr>
        <w:t>the</w:t>
      </w:r>
      <w:r>
        <w:rPr>
          <w:color w:val="231F20"/>
          <w:spacing w:val="10"/>
          <w:sz w:val="20"/>
        </w:rPr>
        <w:t> </w:t>
      </w:r>
      <w:r>
        <w:rPr>
          <w:color w:val="231F20"/>
          <w:sz w:val="20"/>
        </w:rPr>
        <w:t>window</w:t>
      </w:r>
      <w:r>
        <w:rPr>
          <w:color w:val="231F20"/>
          <w:spacing w:val="11"/>
          <w:sz w:val="20"/>
        </w:rPr>
        <w:t> </w:t>
      </w:r>
      <w:r>
        <w:rPr>
          <w:color w:val="231F20"/>
          <w:sz w:val="20"/>
        </w:rPr>
        <w:t>open</w:t>
      </w:r>
      <w:r>
        <w:rPr>
          <w:color w:val="231F20"/>
          <w:spacing w:val="11"/>
          <w:sz w:val="20"/>
        </w:rPr>
        <w:t> </w:t>
      </w:r>
      <w:r>
        <w:rPr>
          <w:color w:val="231F20"/>
          <w:sz w:val="20"/>
        </w:rPr>
        <w:t>or</w:t>
      </w:r>
      <w:r>
        <w:rPr>
          <w:color w:val="231F20"/>
          <w:spacing w:val="11"/>
          <w:sz w:val="20"/>
        </w:rPr>
        <w:t> </w:t>
      </w:r>
      <w:r>
        <w:rPr>
          <w:rFonts w:ascii="Book Antiqua"/>
          <w:b/>
          <w:color w:val="231F20"/>
          <w:sz w:val="20"/>
        </w:rPr>
        <w:t>OK</w:t>
      </w:r>
      <w:r>
        <w:rPr>
          <w:rFonts w:ascii="Book Antiqua"/>
          <w:b/>
          <w:color w:val="231F20"/>
          <w:spacing w:val="10"/>
          <w:sz w:val="20"/>
        </w:rPr>
        <w:t> </w:t>
      </w:r>
      <w:r>
        <w:rPr>
          <w:color w:val="231F20"/>
          <w:sz w:val="20"/>
        </w:rPr>
        <w:t>to</w:t>
      </w:r>
      <w:r>
        <w:rPr>
          <w:color w:val="231F20"/>
          <w:spacing w:val="11"/>
          <w:sz w:val="20"/>
        </w:rPr>
        <w:t> </w:t>
      </w:r>
      <w:r>
        <w:rPr>
          <w:color w:val="231F20"/>
          <w:sz w:val="20"/>
        </w:rPr>
        <w:t>close</w:t>
      </w:r>
      <w:r>
        <w:rPr>
          <w:color w:val="231F20"/>
          <w:spacing w:val="11"/>
          <w:sz w:val="20"/>
        </w:rPr>
        <w:t> </w:t>
      </w:r>
      <w:r>
        <w:rPr>
          <w:color w:val="231F20"/>
          <w:spacing w:val="-5"/>
          <w:sz w:val="20"/>
        </w:rPr>
        <w:t>it.</w:t>
      </w:r>
    </w:p>
    <w:p>
      <w:pPr>
        <w:pStyle w:val="Heading4"/>
        <w:spacing w:before="19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before="218"/>
        <w:ind w:left="2232"/>
      </w:pPr>
      <w:bookmarkStart w:name="Deleting a policy" w:id="502"/>
      <w:bookmarkEnd w:id="502"/>
      <w:r>
        <w:rPr/>
      </w:r>
      <w:r>
        <w:rPr>
          <w:color w:val="231F20"/>
        </w:rPr>
        <w:t>If</w:t>
      </w:r>
      <w:r>
        <w:rPr>
          <w:color w:val="231F20"/>
          <w:spacing w:val="9"/>
        </w:rPr>
        <w:t> </w:t>
      </w:r>
      <w:r>
        <w:rPr>
          <w:color w:val="231F20"/>
        </w:rPr>
        <w:t>you</w:t>
      </w:r>
      <w:r>
        <w:rPr>
          <w:color w:val="231F20"/>
          <w:spacing w:val="10"/>
        </w:rPr>
        <w:t> </w:t>
      </w:r>
      <w:r>
        <w:rPr>
          <w:color w:val="231F20"/>
        </w:rPr>
        <w:t>used</w:t>
      </w:r>
      <w:r>
        <w:rPr>
          <w:color w:val="231F20"/>
          <w:spacing w:val="10"/>
        </w:rPr>
        <w:t> </w:t>
      </w:r>
      <w:r>
        <w:rPr>
          <w:color w:val="231F20"/>
        </w:rPr>
        <w:t>these</w:t>
      </w:r>
      <w:r>
        <w:rPr>
          <w:color w:val="231F20"/>
          <w:spacing w:val="10"/>
        </w:rPr>
        <w:t> </w:t>
      </w:r>
      <w:r>
        <w:rPr>
          <w:color w:val="231F20"/>
        </w:rPr>
        <w:t>steps</w:t>
      </w:r>
      <w:r>
        <w:rPr>
          <w:color w:val="231F20"/>
          <w:spacing w:val="9"/>
        </w:rPr>
        <w:t> </w:t>
      </w:r>
      <w:r>
        <w:rPr>
          <w:color w:val="231F20"/>
        </w:rPr>
        <w:t>to</w:t>
      </w:r>
      <w:r>
        <w:rPr>
          <w:color w:val="231F20"/>
          <w:spacing w:val="10"/>
        </w:rPr>
        <w:t> </w:t>
      </w:r>
      <w:r>
        <w:rPr>
          <w:color w:val="231F20"/>
        </w:rPr>
        <w:t>rename</w:t>
      </w:r>
      <w:r>
        <w:rPr>
          <w:color w:val="231F20"/>
          <w:spacing w:val="10"/>
        </w:rPr>
        <w:t> </w:t>
      </w:r>
      <w:r>
        <w:rPr>
          <w:color w:val="231F20"/>
        </w:rPr>
        <w:t>a</w:t>
      </w:r>
      <w:r>
        <w:rPr>
          <w:color w:val="231F20"/>
          <w:spacing w:val="10"/>
        </w:rPr>
        <w:t> </w:t>
      </w:r>
      <w:r>
        <w:rPr>
          <w:color w:val="231F20"/>
        </w:rPr>
        <w:t>policy,</w:t>
      </w:r>
      <w:r>
        <w:rPr>
          <w:color w:val="231F20"/>
          <w:spacing w:val="18"/>
        </w:rPr>
        <w:t> </w:t>
      </w:r>
      <w:r>
        <w:rPr>
          <w:color w:val="231F20"/>
          <w:spacing w:val="-25"/>
          <w:position w:val="-1"/>
        </w:rPr>
        <w:drawing>
          <wp:inline distT="0" distB="0" distL="0" distR="0">
            <wp:extent cx="95250" cy="101600"/>
            <wp:effectExtent l="0" t="0" r="0" b="0"/>
            <wp:docPr id="2725" name="Image 2725"/>
            <wp:cNvGraphicFramePr>
              <a:graphicFrameLocks/>
            </wp:cNvGraphicFramePr>
            <a:graphic>
              <a:graphicData uri="http://schemas.openxmlformats.org/drawingml/2006/picture">
                <pic:pic>
                  <pic:nvPicPr>
                    <pic:cNvPr id="2725" name="Image 2725"/>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7"/>
        </w:rPr>
        <w:t> </w:t>
      </w:r>
      <w:r>
        <w:rPr>
          <w:rFonts w:ascii="Book Antiqua"/>
          <w:b/>
          <w:color w:val="231F20"/>
        </w:rPr>
        <w:t>Delete</w:t>
      </w:r>
      <w:r>
        <w:rPr>
          <w:color w:val="231F20"/>
        </w:rPr>
        <w:t>the</w:t>
      </w:r>
      <w:r>
        <w:rPr>
          <w:color w:val="231F20"/>
          <w:spacing w:val="10"/>
        </w:rPr>
        <w:t> </w:t>
      </w:r>
      <w:r>
        <w:rPr>
          <w:color w:val="231F20"/>
        </w:rPr>
        <w:t>original</w:t>
      </w:r>
      <w:r>
        <w:rPr>
          <w:color w:val="231F20"/>
          <w:spacing w:val="9"/>
        </w:rPr>
        <w:t> </w:t>
      </w:r>
      <w:r>
        <w:rPr>
          <w:color w:val="231F20"/>
          <w:spacing w:val="-2"/>
        </w:rPr>
        <w:t>policy.</w:t>
      </w:r>
    </w:p>
    <w:p>
      <w:pPr>
        <w:pStyle w:val="Heading3"/>
        <w:spacing w:before="212"/>
        <w:ind w:left="1334"/>
      </w:pPr>
      <w:r>
        <w:rPr>
          <w:color w:val="231F20"/>
        </w:rPr>
        <w:t>Deleting</w:t>
      </w:r>
      <w:r>
        <w:rPr>
          <w:color w:val="231F20"/>
          <w:spacing w:val="8"/>
        </w:rPr>
        <w:t> </w:t>
      </w:r>
      <w:r>
        <w:rPr>
          <w:color w:val="231F20"/>
        </w:rPr>
        <w:t>a</w:t>
      </w:r>
      <w:r>
        <w:rPr>
          <w:color w:val="231F20"/>
          <w:spacing w:val="9"/>
        </w:rPr>
        <w:t> </w:t>
      </w:r>
      <w:r>
        <w:rPr>
          <w:color w:val="231F20"/>
          <w:spacing w:val="-2"/>
        </w:rPr>
        <w:t>policy</w:t>
      </w:r>
    </w:p>
    <w:p>
      <w:pPr>
        <w:pStyle w:val="BodyText"/>
        <w:spacing w:before="35"/>
        <w:ind w:left="2232"/>
      </w:pPr>
      <w:r>
        <w:rPr>
          <w:color w:val="231F20"/>
        </w:rPr>
        <w:t>You</w:t>
      </w:r>
      <w:r>
        <w:rPr>
          <w:color w:val="231F20"/>
          <w:spacing w:val="10"/>
        </w:rPr>
        <w:t> </w:t>
      </w:r>
      <w:r>
        <w:rPr>
          <w:color w:val="231F20"/>
        </w:rPr>
        <w:t>can</w:t>
      </w:r>
      <w:r>
        <w:rPr>
          <w:color w:val="231F20"/>
          <w:spacing w:val="10"/>
        </w:rPr>
        <w:t> </w:t>
      </w:r>
      <w:r>
        <w:rPr>
          <w:color w:val="231F20"/>
        </w:rPr>
        <w:t>delete</w:t>
      </w:r>
      <w:r>
        <w:rPr>
          <w:color w:val="231F20"/>
          <w:spacing w:val="11"/>
        </w:rPr>
        <w:t> </w:t>
      </w:r>
      <w:r>
        <w:rPr>
          <w:color w:val="231F20"/>
        </w:rPr>
        <w:t>a</w:t>
      </w:r>
      <w:r>
        <w:rPr>
          <w:color w:val="231F20"/>
          <w:spacing w:val="10"/>
        </w:rPr>
        <w:t> </w:t>
      </w:r>
      <w:r>
        <w:rPr>
          <w:color w:val="231F20"/>
        </w:rPr>
        <w:t>policy</w:t>
      </w:r>
      <w:r>
        <w:rPr>
          <w:color w:val="231F20"/>
          <w:spacing w:val="11"/>
        </w:rPr>
        <w:t> </w:t>
      </w:r>
      <w:r>
        <w:rPr>
          <w:color w:val="231F20"/>
        </w:rPr>
        <w:t>that</w:t>
      </w:r>
      <w:r>
        <w:rPr>
          <w:color w:val="231F20"/>
          <w:spacing w:val="10"/>
        </w:rPr>
        <w:t> </w:t>
      </w:r>
      <w:r>
        <w:rPr>
          <w:color w:val="231F20"/>
        </w:rPr>
        <w:t>is</w:t>
      </w:r>
      <w:r>
        <w:rPr>
          <w:color w:val="231F20"/>
          <w:spacing w:val="10"/>
        </w:rPr>
        <w:t> </w:t>
      </w:r>
      <w:r>
        <w:rPr>
          <w:color w:val="231F20"/>
        </w:rPr>
        <w:t>no</w:t>
      </w:r>
      <w:r>
        <w:rPr>
          <w:color w:val="231F20"/>
          <w:spacing w:val="11"/>
        </w:rPr>
        <w:t> </w:t>
      </w:r>
      <w:r>
        <w:rPr>
          <w:color w:val="231F20"/>
        </w:rPr>
        <w:t>longer</w:t>
      </w:r>
      <w:r>
        <w:rPr>
          <w:color w:val="231F20"/>
          <w:spacing w:val="10"/>
        </w:rPr>
        <w:t> </w:t>
      </w:r>
      <w:r>
        <w:rPr>
          <w:color w:val="231F20"/>
          <w:spacing w:val="-2"/>
        </w:rPr>
        <w:t>needed.</w:t>
      </w:r>
    </w:p>
    <w:p>
      <w:pPr>
        <w:spacing w:after="0"/>
        <w:sectPr>
          <w:pgSz w:w="12240" w:h="15840"/>
          <w:pgMar w:header="0" w:footer="736" w:top="1180" w:bottom="920" w:left="1000" w:right="1060"/>
        </w:sectPr>
      </w:pPr>
    </w:p>
    <w:p>
      <w:pPr>
        <w:pStyle w:val="Heading4"/>
        <w:spacing w:before="86"/>
        <w:ind w:left="2472"/>
      </w:pPr>
      <w:bookmarkStart w:name="_bookmark240" w:id="503"/>
      <w:bookmarkEnd w:id="503"/>
      <w:r>
        <w:rPr>
          <w:b w:val="0"/>
        </w:rPr>
      </w: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9"/>
        </w:rPr>
        <w:t> </w:t>
      </w:r>
      <w:r>
        <w:rPr>
          <w:color w:val="231F20"/>
        </w:rPr>
        <w:t>user</w:t>
      </w:r>
      <w:r>
        <w:rPr>
          <w:color w:val="231F20"/>
          <w:spacing w:val="10"/>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10"/>
        </w:rPr>
        <w:t> </w:t>
      </w:r>
      <w:r>
        <w:rPr>
          <w:color w:val="231F20"/>
        </w:rPr>
        <w:t>Modify</w:t>
      </w:r>
      <w:r>
        <w:rPr>
          <w:color w:val="231F20"/>
          <w:spacing w:val="9"/>
        </w:rPr>
        <w:t> </w:t>
      </w:r>
      <w:r>
        <w:rPr>
          <w:color w:val="231F20"/>
        </w:rPr>
        <w:t>Policy</w:t>
      </w:r>
      <w:r>
        <w:rPr>
          <w:color w:val="231F20"/>
          <w:spacing w:val="10"/>
        </w:rPr>
        <w:t> </w:t>
      </w:r>
      <w:r>
        <w:rPr>
          <w:color w:val="231F20"/>
        </w:rPr>
        <w:t>permission</w:t>
      </w:r>
      <w:r>
        <w:rPr>
          <w:color w:val="231F20"/>
          <w:spacing w:val="10"/>
        </w:rPr>
        <w:t> </w:t>
      </w:r>
      <w:r>
        <w:rPr>
          <w:color w:val="231F20"/>
        </w:rPr>
        <w:t>to</w:t>
      </w:r>
      <w:r>
        <w:rPr>
          <w:color w:val="231F20"/>
          <w:spacing w:val="10"/>
        </w:rPr>
        <w:t> </w:t>
      </w:r>
      <w:r>
        <w:rPr>
          <w:color w:val="231F20"/>
        </w:rPr>
        <w:t>use</w:t>
      </w:r>
      <w:r>
        <w:rPr>
          <w:color w:val="231F20"/>
          <w:spacing w:val="10"/>
        </w:rPr>
        <w:t> </w:t>
      </w:r>
      <w:r>
        <w:rPr>
          <w:color w:val="231F20"/>
        </w:rPr>
        <w:t>this</w:t>
      </w:r>
      <w:r>
        <w:rPr>
          <w:color w:val="231F20"/>
          <w:spacing w:val="9"/>
        </w:rPr>
        <w:t> </w:t>
      </w:r>
      <w:r>
        <w:rPr>
          <w:color w:val="231F20"/>
          <w:spacing w:val="-2"/>
        </w:rPr>
        <w:t>function.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472"/>
      </w:pPr>
      <w:r>
        <w:rPr>
          <w:color w:val="231F20"/>
        </w:rPr>
        <w:t>Complete</w:t>
      </w:r>
      <w:r>
        <w:rPr>
          <w:color w:val="231F20"/>
          <w:spacing w:val="11"/>
        </w:rPr>
        <w:t> </w:t>
      </w:r>
      <w:r>
        <w:rPr>
          <w:color w:val="231F20"/>
        </w:rPr>
        <w:t>these</w:t>
      </w:r>
      <w:r>
        <w:rPr>
          <w:color w:val="231F20"/>
          <w:spacing w:val="12"/>
        </w:rPr>
        <w:t> </w:t>
      </w:r>
      <w:r>
        <w:rPr>
          <w:color w:val="231F20"/>
        </w:rPr>
        <w:t>steps</w:t>
      </w:r>
      <w:r>
        <w:rPr>
          <w:color w:val="231F20"/>
          <w:spacing w:val="12"/>
        </w:rPr>
        <w:t> </w:t>
      </w:r>
      <w:r>
        <w:rPr>
          <w:color w:val="231F20"/>
        </w:rPr>
        <w:t>to</w:t>
      </w:r>
      <w:r>
        <w:rPr>
          <w:color w:val="231F20"/>
          <w:spacing w:val="11"/>
        </w:rPr>
        <w:t> </w:t>
      </w:r>
      <w:r>
        <w:rPr>
          <w:color w:val="231F20"/>
        </w:rPr>
        <w:t>delete</w:t>
      </w:r>
      <w:r>
        <w:rPr>
          <w:color w:val="231F20"/>
          <w:spacing w:val="12"/>
        </w:rPr>
        <w:t> </w:t>
      </w:r>
      <w:r>
        <w:rPr>
          <w:color w:val="231F20"/>
        </w:rPr>
        <w:t>a</w:t>
      </w:r>
      <w:r>
        <w:rPr>
          <w:color w:val="231F20"/>
          <w:spacing w:val="12"/>
        </w:rPr>
        <w:t> </w:t>
      </w:r>
      <w:r>
        <w:rPr>
          <w:color w:val="231F20"/>
          <w:spacing w:val="-2"/>
        </w:rPr>
        <w:t>policy.</w:t>
      </w:r>
    </w:p>
    <w:p>
      <w:pPr>
        <w:pStyle w:val="Heading4"/>
        <w:spacing w:before="194"/>
        <w:ind w:left="2472"/>
      </w:pPr>
      <w:r>
        <w:rPr>
          <w:color w:val="231F20"/>
          <w:spacing w:val="-2"/>
        </w:rPr>
        <w:t>Procedure</w:t>
      </w:r>
    </w:p>
    <w:p>
      <w:pPr>
        <w:pStyle w:val="ListParagraph"/>
        <w:numPr>
          <w:ilvl w:val="1"/>
          <w:numId w:val="146"/>
        </w:numPr>
        <w:tabs>
          <w:tab w:pos="2787" w:val="left" w:leader="none"/>
        </w:tabs>
        <w:spacing w:line="240" w:lineRule="auto" w:before="38" w:after="0"/>
        <w:ind w:left="2787" w:right="0" w:hanging="315"/>
        <w:jc w:val="left"/>
        <w:rPr>
          <w:sz w:val="20"/>
        </w:rPr>
      </w:pPr>
      <w:r>
        <w:rPr>
          <w:color w:val="231F20"/>
          <w:sz w:val="20"/>
        </w:rPr>
        <w:t>If</w:t>
      </w:r>
      <w:r>
        <w:rPr>
          <w:color w:val="231F20"/>
          <w:spacing w:val="8"/>
          <w:sz w:val="20"/>
        </w:rPr>
        <w:t> </w:t>
      </w:r>
      <w:r>
        <w:rPr>
          <w:color w:val="231F20"/>
          <w:sz w:val="20"/>
        </w:rPr>
        <w:t>the</w:t>
      </w:r>
      <w:r>
        <w:rPr>
          <w:color w:val="231F20"/>
          <w:spacing w:val="9"/>
          <w:sz w:val="20"/>
        </w:rPr>
        <w:t> </w:t>
      </w:r>
      <w:r>
        <w:rPr>
          <w:color w:val="231F20"/>
          <w:sz w:val="20"/>
        </w:rPr>
        <w:t>Workflows</w:t>
      </w:r>
      <w:r>
        <w:rPr>
          <w:color w:val="231F20"/>
          <w:spacing w:val="9"/>
          <w:sz w:val="20"/>
        </w:rPr>
        <w:t> </w:t>
      </w:r>
      <w:r>
        <w:rPr>
          <w:color w:val="231F20"/>
          <w:sz w:val="20"/>
        </w:rPr>
        <w:t>editor</w:t>
      </w:r>
      <w:r>
        <w:rPr>
          <w:color w:val="231F20"/>
          <w:spacing w:val="9"/>
          <w:sz w:val="20"/>
        </w:rPr>
        <w:t> </w:t>
      </w:r>
      <w:r>
        <w:rPr>
          <w:color w:val="231F20"/>
          <w:sz w:val="20"/>
        </w:rPr>
        <w:t>is</w:t>
      </w:r>
      <w:r>
        <w:rPr>
          <w:color w:val="231F20"/>
          <w:spacing w:val="8"/>
          <w:sz w:val="20"/>
        </w:rPr>
        <w:t> </w:t>
      </w:r>
      <w:r>
        <w:rPr>
          <w:color w:val="231F20"/>
          <w:sz w:val="20"/>
        </w:rPr>
        <w:t>not</w:t>
      </w:r>
      <w:r>
        <w:rPr>
          <w:color w:val="231F20"/>
          <w:spacing w:val="9"/>
          <w:sz w:val="20"/>
        </w:rPr>
        <w:t> </w:t>
      </w:r>
      <w:r>
        <w:rPr>
          <w:color w:val="231F20"/>
          <w:sz w:val="20"/>
        </w:rPr>
        <w:t>open,</w:t>
      </w:r>
      <w:r>
        <w:rPr>
          <w:color w:val="231F20"/>
          <w:spacing w:val="9"/>
          <w:sz w:val="20"/>
        </w:rPr>
        <w:t> </w:t>
      </w:r>
      <w:r>
        <w:rPr>
          <w:color w:val="231F20"/>
          <w:sz w:val="20"/>
        </w:rPr>
        <w:t>click</w:t>
      </w:r>
      <w:r>
        <w:rPr>
          <w:color w:val="231F20"/>
          <w:spacing w:val="8"/>
          <w:sz w:val="20"/>
        </w:rPr>
        <w:t> </w:t>
      </w:r>
      <w:r>
        <w:rPr>
          <w:color w:val="231F20"/>
          <w:spacing w:val="15"/>
          <w:position w:val="-1"/>
          <w:sz w:val="20"/>
        </w:rPr>
        <w:drawing>
          <wp:inline distT="0" distB="0" distL="0" distR="0">
            <wp:extent cx="101600" cy="101600"/>
            <wp:effectExtent l="0" t="0" r="0" b="0"/>
            <wp:docPr id="2726" name="Image 2726"/>
            <wp:cNvGraphicFramePr>
              <a:graphicFrameLocks/>
            </wp:cNvGraphicFramePr>
            <a:graphic>
              <a:graphicData uri="http://schemas.openxmlformats.org/drawingml/2006/picture">
                <pic:pic>
                  <pic:nvPicPr>
                    <pic:cNvPr id="2726" name="Image 2726"/>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39"/>
          <w:sz w:val="20"/>
        </w:rPr>
        <w:t> </w:t>
      </w:r>
      <w:r>
        <w:rPr>
          <w:rFonts w:ascii="Book Antiqua"/>
          <w:b/>
          <w:color w:val="231F20"/>
          <w:sz w:val="20"/>
        </w:rPr>
        <w:t>Workflow</w:t>
      </w:r>
      <w:r>
        <w:rPr>
          <w:rFonts w:ascii="Book Antiqua"/>
          <w:b/>
          <w:color w:val="231F20"/>
          <w:spacing w:val="9"/>
          <w:sz w:val="20"/>
        </w:rPr>
        <w:t> </w:t>
      </w:r>
      <w:r>
        <w:rPr>
          <w:rFonts w:ascii="Book Antiqua"/>
          <w:b/>
          <w:color w:val="231F20"/>
          <w:spacing w:val="-2"/>
          <w:sz w:val="20"/>
        </w:rPr>
        <w:t>Editor</w:t>
      </w:r>
      <w:r>
        <w:rPr>
          <w:color w:val="231F20"/>
          <w:spacing w:val="-2"/>
          <w:sz w:val="20"/>
        </w:rPr>
        <w:t>.</w:t>
      </w:r>
    </w:p>
    <w:p>
      <w:pPr>
        <w:pStyle w:val="ListParagraph"/>
        <w:numPr>
          <w:ilvl w:val="1"/>
          <w:numId w:val="146"/>
        </w:numPr>
        <w:tabs>
          <w:tab w:pos="2788" w:val="left" w:leader="none"/>
        </w:tabs>
        <w:spacing w:line="213" w:lineRule="auto" w:before="53" w:after="0"/>
        <w:ind w:left="2788" w:right="778" w:hanging="316"/>
        <w:jc w:val="left"/>
        <w:rPr>
          <w:sz w:val="20"/>
        </w:rPr>
      </w:pPr>
      <w:r>
        <w:rPr>
          <w:color w:val="231F20"/>
          <w:sz w:val="20"/>
        </w:rPr>
        <w:t>Select the row that lists the policy you want to delete. You can also select multiple policies with Ctrl+click, or Shift+click to select all applications between the first selection and this one.</w:t>
      </w:r>
    </w:p>
    <w:p>
      <w:pPr>
        <w:pStyle w:val="ListParagraph"/>
        <w:numPr>
          <w:ilvl w:val="1"/>
          <w:numId w:val="146"/>
        </w:numPr>
        <w:tabs>
          <w:tab w:pos="2787" w:val="left" w:leader="none"/>
        </w:tabs>
        <w:spacing w:line="240" w:lineRule="auto" w:before="34" w:after="0"/>
        <w:ind w:left="2787" w:right="0" w:hanging="315"/>
        <w:jc w:val="left"/>
        <w:rPr>
          <w:sz w:val="20"/>
        </w:rPr>
      </w:pPr>
      <w:r>
        <w:rPr>
          <w:color w:val="231F20"/>
          <w:sz w:val="20"/>
        </w:rPr>
        <w:t>Click</w:t>
      </w:r>
      <w:r>
        <w:rPr>
          <w:color w:val="231F20"/>
          <w:spacing w:val="23"/>
          <w:sz w:val="20"/>
        </w:rPr>
        <w:t> </w:t>
      </w:r>
      <w:r>
        <w:rPr>
          <w:color w:val="231F20"/>
          <w:spacing w:val="-24"/>
          <w:position w:val="-1"/>
          <w:sz w:val="20"/>
        </w:rPr>
        <w:drawing>
          <wp:inline distT="0" distB="0" distL="0" distR="0">
            <wp:extent cx="95250" cy="101600"/>
            <wp:effectExtent l="0" t="0" r="0" b="0"/>
            <wp:docPr id="2727" name="Image 2727"/>
            <wp:cNvGraphicFramePr>
              <a:graphicFrameLocks/>
            </wp:cNvGraphicFramePr>
            <a:graphic>
              <a:graphicData uri="http://schemas.openxmlformats.org/drawingml/2006/picture">
                <pic:pic>
                  <pic:nvPicPr>
                    <pic:cNvPr id="2727" name="Image 2727"/>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rFonts w:ascii="Book Antiqua"/>
          <w:b/>
          <w:color w:val="231F20"/>
          <w:sz w:val="20"/>
        </w:rPr>
        <w:t>Delete</w:t>
      </w:r>
      <w:r>
        <w:rPr>
          <w:rFonts w:ascii="Book Antiqua"/>
          <w:b/>
          <w:color w:val="231F20"/>
          <w:spacing w:val="14"/>
          <w:sz w:val="20"/>
        </w:rPr>
        <w:t> </w:t>
      </w:r>
      <w:r>
        <w:rPr>
          <w:rFonts w:ascii="Book Antiqua"/>
          <w:b/>
          <w:color w:val="231F20"/>
          <w:spacing w:val="-2"/>
          <w:sz w:val="20"/>
        </w:rPr>
        <w:t>Policy</w:t>
      </w:r>
      <w:r>
        <w:rPr>
          <w:color w:val="231F20"/>
          <w:spacing w:val="-2"/>
          <w:sz w:val="20"/>
        </w:rPr>
        <w:t>.</w:t>
      </w:r>
    </w:p>
    <w:p>
      <w:pPr>
        <w:pStyle w:val="Heading4"/>
        <w:spacing w:before="194"/>
        <w:ind w:left="2472"/>
      </w:pPr>
      <w:r>
        <w:rPr>
          <w:color w:val="231F20"/>
          <w:spacing w:val="-2"/>
        </w:rPr>
        <w:t>Results</w:t>
      </w:r>
    </w:p>
    <w:p>
      <w:pPr>
        <w:pStyle w:val="BodyText"/>
        <w:spacing w:line="213" w:lineRule="auto" w:before="242"/>
        <w:ind w:left="2472" w:right="385"/>
      </w:pPr>
      <w:r>
        <w:rPr>
          <w:color w:val="231F20"/>
        </w:rPr>
        <w:t>After you click </w:t>
      </w:r>
      <w:r>
        <w:rPr>
          <w:rFonts w:ascii="Book Antiqua"/>
          <w:b/>
          <w:color w:val="231F20"/>
        </w:rPr>
        <w:t>OK </w:t>
      </w:r>
      <w:r>
        <w:rPr>
          <w:color w:val="231F20"/>
        </w:rPr>
        <w:t>in response to the confirmation message, the policy is </w:t>
      </w:r>
      <w:r>
        <w:rPr>
          <w:color w:val="231F20"/>
        </w:rPr>
        <w:t>deleted from the list. If it was running at the time, it stops; if it was in the middle of</w:t>
      </w:r>
      <w:r>
        <w:rPr>
          <w:color w:val="231F20"/>
          <w:spacing w:val="80"/>
        </w:rPr>
        <w:t> </w:t>
      </w:r>
      <w:r>
        <w:rPr>
          <w:color w:val="231F20"/>
        </w:rPr>
        <w:t>executing an activity, that activity will complete.</w:t>
      </w:r>
    </w:p>
    <w:p>
      <w:pPr>
        <w:pStyle w:val="Heading3"/>
        <w:spacing w:before="216"/>
        <w:ind w:left="1574"/>
      </w:pPr>
      <w:bookmarkStart w:name="Starting and stopping policies" w:id="504"/>
      <w:bookmarkEnd w:id="504"/>
      <w:r>
        <w:rPr>
          <w:b w:val="0"/>
        </w:rPr>
      </w:r>
      <w:r>
        <w:rPr>
          <w:color w:val="231F20"/>
        </w:rPr>
        <w:t>Starting</w:t>
      </w:r>
      <w:r>
        <w:rPr>
          <w:color w:val="231F20"/>
          <w:spacing w:val="5"/>
        </w:rPr>
        <w:t> </w:t>
      </w:r>
      <w:r>
        <w:rPr>
          <w:color w:val="231F20"/>
        </w:rPr>
        <w:t>and</w:t>
      </w:r>
      <w:r>
        <w:rPr>
          <w:color w:val="231F20"/>
          <w:spacing w:val="6"/>
        </w:rPr>
        <w:t> </w:t>
      </w:r>
      <w:r>
        <w:rPr>
          <w:color w:val="231F20"/>
        </w:rPr>
        <w:t>stopping</w:t>
      </w:r>
      <w:r>
        <w:rPr>
          <w:color w:val="231F20"/>
          <w:spacing w:val="6"/>
        </w:rPr>
        <w:t> </w:t>
      </w:r>
      <w:r>
        <w:rPr>
          <w:color w:val="231F20"/>
          <w:spacing w:val="-2"/>
        </w:rPr>
        <w:t>policies</w:t>
      </w:r>
    </w:p>
    <w:p>
      <w:pPr>
        <w:pStyle w:val="BodyText"/>
        <w:spacing w:line="213" w:lineRule="auto" w:before="58"/>
        <w:ind w:left="2472" w:right="201"/>
      </w:pPr>
      <w:r>
        <w:rPr>
          <w:color w:val="231F20"/>
        </w:rPr>
        <w:t>You can start or stop a policy as you find necessary. When you create or edit a</w:t>
      </w:r>
      <w:r>
        <w:rPr>
          <w:color w:val="231F20"/>
          <w:spacing w:val="80"/>
        </w:rPr>
        <w:t> </w:t>
      </w:r>
      <w:r>
        <w:rPr>
          <w:color w:val="231F20"/>
        </w:rPr>
        <w:t>policy that is set to start automatically, it starts running as soon as you click </w:t>
      </w:r>
      <w:r>
        <w:rPr>
          <w:rFonts w:ascii="Book Antiqua"/>
          <w:b/>
          <w:color w:val="231F20"/>
        </w:rPr>
        <w:t>Apply</w:t>
      </w:r>
      <w:r>
        <w:rPr>
          <w:rFonts w:ascii="Book Antiqua"/>
          <w:b/>
          <w:color w:val="231F20"/>
          <w:spacing w:val="40"/>
        </w:rPr>
        <w:t> </w:t>
      </w:r>
      <w:r>
        <w:rPr>
          <w:color w:val="231F20"/>
        </w:rPr>
        <w:t>or</w:t>
      </w:r>
      <w:r>
        <w:rPr>
          <w:color w:val="231F20"/>
          <w:spacing w:val="17"/>
        </w:rPr>
        <w:t> </w:t>
      </w:r>
      <w:r>
        <w:rPr>
          <w:rFonts w:ascii="Book Antiqua"/>
          <w:b/>
          <w:color w:val="231F20"/>
        </w:rPr>
        <w:t>OK</w:t>
      </w:r>
      <w:r>
        <w:rPr>
          <w:rFonts w:ascii="Book Antiqua"/>
          <w:b/>
          <w:color w:val="231F20"/>
          <w:spacing w:val="17"/>
        </w:rPr>
        <w:t> </w:t>
      </w:r>
      <w:r>
        <w:rPr>
          <w:color w:val="231F20"/>
        </w:rPr>
        <w:t>in</w:t>
      </w:r>
      <w:r>
        <w:rPr>
          <w:color w:val="231F20"/>
          <w:spacing w:val="17"/>
        </w:rPr>
        <w:t> </w:t>
      </w:r>
      <w:r>
        <w:rPr>
          <w:color w:val="231F20"/>
        </w:rPr>
        <w:t>the</w:t>
      </w:r>
      <w:r>
        <w:rPr>
          <w:color w:val="231F20"/>
          <w:spacing w:val="17"/>
        </w:rPr>
        <w:t> </w:t>
      </w:r>
      <w:r>
        <w:rPr>
          <w:color w:val="231F20"/>
        </w:rPr>
        <w:t>Workflow</w:t>
      </w:r>
      <w:r>
        <w:rPr>
          <w:color w:val="231F20"/>
          <w:spacing w:val="17"/>
        </w:rPr>
        <w:t> </w:t>
      </w:r>
      <w:r>
        <w:rPr>
          <w:color w:val="231F20"/>
        </w:rPr>
        <w:t>editor.</w:t>
      </w:r>
      <w:r>
        <w:rPr>
          <w:color w:val="231F20"/>
          <w:spacing w:val="17"/>
        </w:rPr>
        <w:t> </w:t>
      </w:r>
      <w:r>
        <w:rPr>
          <w:color w:val="231F20"/>
        </w:rPr>
        <w:t>If</w:t>
      </w:r>
      <w:r>
        <w:rPr>
          <w:color w:val="231F20"/>
          <w:spacing w:val="17"/>
        </w:rPr>
        <w:t> </w:t>
      </w:r>
      <w:r>
        <w:rPr>
          <w:color w:val="231F20"/>
        </w:rPr>
        <w:t>it</w:t>
      </w:r>
      <w:r>
        <w:rPr>
          <w:color w:val="231F20"/>
          <w:spacing w:val="17"/>
        </w:rPr>
        <w:t> </w:t>
      </w:r>
      <w:r>
        <w:rPr>
          <w:color w:val="231F20"/>
        </w:rPr>
        <w:t>is</w:t>
      </w:r>
      <w:r>
        <w:rPr>
          <w:color w:val="231F20"/>
          <w:spacing w:val="17"/>
        </w:rPr>
        <w:t> </w:t>
      </w:r>
      <w:r>
        <w:rPr>
          <w:color w:val="231F20"/>
        </w:rPr>
        <w:t>not</w:t>
      </w:r>
      <w:r>
        <w:rPr>
          <w:color w:val="231F20"/>
          <w:spacing w:val="17"/>
        </w:rPr>
        <w:t> </w:t>
      </w:r>
      <w:r>
        <w:rPr>
          <w:color w:val="231F20"/>
        </w:rPr>
        <w:t>set</w:t>
      </w:r>
      <w:r>
        <w:rPr>
          <w:color w:val="231F20"/>
          <w:spacing w:val="17"/>
        </w:rPr>
        <w:t> </w:t>
      </w:r>
      <w:r>
        <w:rPr>
          <w:color w:val="231F20"/>
        </w:rPr>
        <w:t>to Auto</w:t>
      </w:r>
      <w:r>
        <w:rPr>
          <w:color w:val="231F20"/>
          <w:spacing w:val="17"/>
        </w:rPr>
        <w:t> </w:t>
      </w:r>
      <w:r>
        <w:rPr>
          <w:color w:val="231F20"/>
        </w:rPr>
        <w:t>start,</w:t>
      </w:r>
      <w:r>
        <w:rPr>
          <w:color w:val="231F20"/>
          <w:spacing w:val="17"/>
        </w:rPr>
        <w:t> </w:t>
      </w:r>
      <w:r>
        <w:rPr>
          <w:color w:val="231F20"/>
        </w:rPr>
        <w:t>you</w:t>
      </w:r>
      <w:r>
        <w:rPr>
          <w:color w:val="231F20"/>
          <w:spacing w:val="17"/>
        </w:rPr>
        <w:t> </w:t>
      </w:r>
      <w:r>
        <w:rPr>
          <w:color w:val="231F20"/>
        </w:rPr>
        <w:t>can</w:t>
      </w:r>
      <w:r>
        <w:rPr>
          <w:color w:val="231F20"/>
          <w:spacing w:val="17"/>
        </w:rPr>
        <w:t> </w:t>
      </w:r>
      <w:r>
        <w:rPr>
          <w:color w:val="231F20"/>
        </w:rPr>
        <w:t>manually</w:t>
      </w:r>
      <w:r>
        <w:rPr>
          <w:color w:val="231F20"/>
          <w:spacing w:val="17"/>
        </w:rPr>
        <w:t> </w:t>
      </w:r>
      <w:r>
        <w:rPr>
          <w:color w:val="231F20"/>
        </w:rPr>
        <w:t>start it. You can also stop the policy and restart it manually.</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545"/>
      </w:pPr>
      <w:r>
        <w:rPr>
          <w:color w:val="231F20"/>
        </w:rPr>
        <w:t>For you to stop or start a policy, your user ID must have Start/Stop Policy</w:t>
      </w:r>
      <w:r>
        <w:rPr>
          <w:color w:val="231F20"/>
          <w:spacing w:val="40"/>
        </w:rPr>
        <w:t> </w:t>
      </w:r>
      <w:r>
        <w:rPr>
          <w:color w:val="231F20"/>
          <w:spacing w:val="-2"/>
        </w:rPr>
        <w:t>permission.</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493"/>
      </w:pPr>
      <w:r>
        <w:rPr>
          <w:color w:val="231F20"/>
        </w:rPr>
        <w:t>A workflow can involve many activities and can be in various states for different monitoring agents. Stopping or restarting a policy causes those states to be lost.</w:t>
      </w:r>
    </w:p>
    <w:p>
      <w:pPr>
        <w:pStyle w:val="BodyText"/>
        <w:spacing w:line="213" w:lineRule="auto" w:before="238"/>
        <w:ind w:left="2472"/>
      </w:pPr>
      <w:r>
        <w:rPr>
          <w:color w:val="231F20"/>
        </w:rPr>
        <w:t>You can choose to start or stop a policy on all monitoring agents to which it is</w:t>
      </w:r>
      <w:r>
        <w:rPr>
          <w:color w:val="231F20"/>
          <w:spacing w:val="40"/>
        </w:rPr>
        <w:t> </w:t>
      </w:r>
      <w:r>
        <w:rPr>
          <w:color w:val="231F20"/>
        </w:rPr>
        <w:t>distributed or, if your configuration includes remote Tivoli Enterprise Monitoring Servers, on all agents that report to a particular monitoring server. With this </w:t>
      </w:r>
      <w:r>
        <w:rPr>
          <w:color w:val="231F20"/>
        </w:rPr>
        <w:t>added control, you can configure your enterprise in such a way that automation can be stopped for agents that, say, are monitoring subsystems that are undergoing </w:t>
      </w:r>
      <w:r>
        <w:rPr>
          <w:color w:val="231F20"/>
          <w:spacing w:val="-2"/>
        </w:rPr>
        <w:t>maintenance.</w:t>
      </w:r>
    </w:p>
    <w:p>
      <w:pPr>
        <w:pStyle w:val="Heading4"/>
        <w:spacing w:before="197"/>
        <w:ind w:left="2472"/>
      </w:pPr>
      <w:r>
        <w:rPr>
          <w:color w:val="231F20"/>
          <w:spacing w:val="-2"/>
        </w:rPr>
        <w:t>Procedure</w:t>
      </w:r>
    </w:p>
    <w:p>
      <w:pPr>
        <w:pStyle w:val="ListParagraph"/>
        <w:numPr>
          <w:ilvl w:val="0"/>
          <w:numId w:val="147"/>
        </w:numPr>
        <w:tabs>
          <w:tab w:pos="2787" w:val="left" w:leader="none"/>
        </w:tabs>
        <w:spacing w:line="240" w:lineRule="auto" w:before="39" w:after="0"/>
        <w:ind w:left="2787" w:right="0" w:hanging="315"/>
        <w:jc w:val="left"/>
        <w:rPr>
          <w:sz w:val="20"/>
        </w:rPr>
      </w:pPr>
      <w:r>
        <w:rPr>
          <w:color w:val="231F20"/>
          <w:sz w:val="20"/>
        </w:rPr>
        <w:t>Open</w:t>
      </w:r>
      <w:r>
        <w:rPr>
          <w:color w:val="231F20"/>
          <w:spacing w:val="11"/>
          <w:sz w:val="20"/>
        </w:rPr>
        <w:t> </w:t>
      </w:r>
      <w:r>
        <w:rPr>
          <w:color w:val="231F20"/>
          <w:sz w:val="20"/>
        </w:rPr>
        <w:t>the</w:t>
      </w:r>
      <w:r>
        <w:rPr>
          <w:color w:val="231F20"/>
          <w:spacing w:val="12"/>
          <w:sz w:val="20"/>
        </w:rPr>
        <w:t> </w:t>
      </w:r>
      <w:r>
        <w:rPr>
          <w:color w:val="231F20"/>
          <w:sz w:val="20"/>
        </w:rPr>
        <w:t>policy</w:t>
      </w:r>
      <w:r>
        <w:rPr>
          <w:color w:val="231F20"/>
          <w:spacing w:val="11"/>
          <w:sz w:val="20"/>
        </w:rPr>
        <w:t> </w:t>
      </w:r>
      <w:r>
        <w:rPr>
          <w:color w:val="231F20"/>
          <w:spacing w:val="-2"/>
          <w:sz w:val="20"/>
        </w:rPr>
        <w:t>list:</w:t>
      </w:r>
    </w:p>
    <w:p>
      <w:pPr>
        <w:pStyle w:val="BodyText"/>
        <w:spacing w:line="213" w:lineRule="auto" w:before="53"/>
        <w:ind w:left="3004" w:right="274" w:hanging="216"/>
      </w:pPr>
      <w:r>
        <w:rPr>
          <w:rFonts w:ascii="Futura MdCn BT"/>
          <w:color w:val="231F20"/>
        </w:rPr>
        <w:t>v</w:t>
      </w:r>
      <w:r>
        <w:rPr>
          <w:rFonts w:ascii="Futura MdCn BT"/>
          <w:color w:val="231F20"/>
          <w:spacing w:val="80"/>
        </w:rPr>
        <w:t> </w:t>
      </w:r>
      <w:r>
        <w:rPr>
          <w:color w:val="231F20"/>
        </w:rPr>
        <w:t>In the Navigator Physical view, right-click the </w:t>
      </w:r>
      <w:r>
        <w:rPr>
          <w:color w:val="231F20"/>
          <w:spacing w:val="15"/>
          <w:position w:val="-1"/>
        </w:rPr>
        <w:drawing>
          <wp:inline distT="0" distB="0" distL="0" distR="0">
            <wp:extent cx="95250" cy="101600"/>
            <wp:effectExtent l="0" t="0" r="0" b="0"/>
            <wp:docPr id="2728" name="Image 2728"/>
            <wp:cNvGraphicFramePr>
              <a:graphicFrameLocks/>
            </wp:cNvGraphicFramePr>
            <a:graphic>
              <a:graphicData uri="http://schemas.openxmlformats.org/drawingml/2006/picture">
                <pic:pic>
                  <pic:nvPicPr>
                    <pic:cNvPr id="2728" name="Image 2728"/>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9"/>
        </w:rPr>
        <w:t> </w:t>
      </w:r>
      <w:r>
        <w:rPr>
          <w:color w:val="231F20"/>
        </w:rPr>
        <w:t>Enterprise Navigator item or an</w:t>
      </w:r>
      <w:r>
        <w:rPr>
          <w:color w:val="231F20"/>
          <w:spacing w:val="37"/>
        </w:rPr>
        <w:t> </w:t>
      </w:r>
      <w:r>
        <w:rPr>
          <w:color w:val="231F20"/>
          <w:spacing w:val="-24"/>
          <w:position w:val="-1"/>
        </w:rPr>
        <w:drawing>
          <wp:inline distT="0" distB="0" distL="0" distR="0">
            <wp:extent cx="95250" cy="95250"/>
            <wp:effectExtent l="0" t="0" r="0" b="0"/>
            <wp:docPr id="2729" name="Image 2729"/>
            <wp:cNvGraphicFramePr>
              <a:graphicFrameLocks/>
            </wp:cNvGraphicFramePr>
            <a:graphic>
              <a:graphicData uri="http://schemas.openxmlformats.org/drawingml/2006/picture">
                <pic:pic>
                  <pic:nvPicPr>
                    <pic:cNvPr id="2729" name="Image 272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Agent Navigator item and click</w:t>
      </w:r>
      <w:r>
        <w:rPr>
          <w:color w:val="231F20"/>
          <w:spacing w:val="36"/>
        </w:rPr>
        <w:t> </w:t>
      </w:r>
      <w:r>
        <w:rPr>
          <w:color w:val="231F20"/>
          <w:spacing w:val="-25"/>
          <w:position w:val="-1"/>
        </w:rPr>
        <w:drawing>
          <wp:inline distT="0" distB="0" distL="0" distR="0">
            <wp:extent cx="95250" cy="95250"/>
            <wp:effectExtent l="0" t="0" r="0" b="0"/>
            <wp:docPr id="2730" name="Image 2730"/>
            <wp:cNvGraphicFramePr>
              <a:graphicFrameLocks/>
            </wp:cNvGraphicFramePr>
            <a:graphic>
              <a:graphicData uri="http://schemas.openxmlformats.org/drawingml/2006/picture">
                <pic:pic>
                  <pic:nvPicPr>
                    <pic:cNvPr id="2730" name="Image 2730"/>
                    <pic:cNvPicPr/>
                  </pic:nvPicPr>
                  <pic:blipFill>
                    <a:blip r:embed="rId419"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Manage Policies from the popup menu. With this method, you can see and select from all the policies that are distributed to the selected managed system.</w:t>
      </w:r>
    </w:p>
    <w:p>
      <w:pPr>
        <w:pStyle w:val="BodyText"/>
        <w:spacing w:line="213" w:lineRule="auto" w:before="57"/>
        <w:ind w:left="3004" w:right="493" w:hanging="216"/>
      </w:pPr>
      <w:r>
        <w:rPr>
          <w:rFonts w:ascii="Futura MdCn BT"/>
          <w:color w:val="231F20"/>
        </w:rPr>
        <w:t>v</w:t>
      </w:r>
      <w:r>
        <w:rPr>
          <w:rFonts w:ascii="Futura MdCn BT"/>
          <w:color w:val="231F20"/>
          <w:spacing w:val="80"/>
        </w:rPr>
        <w:t> </w:t>
      </w:r>
      <w:r>
        <w:rPr>
          <w:color w:val="231F20"/>
        </w:rPr>
        <w:t>Click </w:t>
      </w:r>
      <w:r>
        <w:rPr>
          <w:color w:val="231F20"/>
          <w:spacing w:val="16"/>
          <w:position w:val="-1"/>
        </w:rPr>
        <w:drawing>
          <wp:inline distT="0" distB="0" distL="0" distR="0">
            <wp:extent cx="101600" cy="101600"/>
            <wp:effectExtent l="0" t="0" r="0" b="0"/>
            <wp:docPr id="2731" name="Image 2731"/>
            <wp:cNvGraphicFramePr>
              <a:graphicFrameLocks/>
            </wp:cNvGraphicFramePr>
            <a:graphic>
              <a:graphicData uri="http://schemas.openxmlformats.org/drawingml/2006/picture">
                <pic:pic>
                  <pic:nvPicPr>
                    <pic:cNvPr id="2731" name="Image 2731"/>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Workflow Editor</w:t>
      </w:r>
      <w:r>
        <w:rPr>
          <w:color w:val="231F20"/>
        </w:rPr>
        <w:t>. With this method, you can see and select all policies, distributed or not distributed.</w:t>
      </w:r>
    </w:p>
    <w:p>
      <w:pPr>
        <w:pStyle w:val="ListParagraph"/>
        <w:numPr>
          <w:ilvl w:val="0"/>
          <w:numId w:val="147"/>
        </w:numPr>
        <w:tabs>
          <w:tab w:pos="2788" w:val="left" w:leader="none"/>
        </w:tabs>
        <w:spacing w:line="213" w:lineRule="auto" w:before="58" w:after="0"/>
        <w:ind w:left="2788" w:right="198" w:hanging="316"/>
        <w:jc w:val="left"/>
        <w:rPr>
          <w:sz w:val="20"/>
        </w:rPr>
      </w:pPr>
      <w:r>
        <w:rPr>
          <w:color w:val="231F20"/>
          <w:sz w:val="20"/>
        </w:rPr>
        <w:t>Select the policy that you want to start or stop. You can use Ctrl+click to select</w:t>
      </w:r>
      <w:r>
        <w:rPr>
          <w:color w:val="231F20"/>
          <w:spacing w:val="40"/>
          <w:sz w:val="20"/>
        </w:rPr>
        <w:t> </w:t>
      </w:r>
      <w:r>
        <w:rPr>
          <w:color w:val="231F20"/>
          <w:sz w:val="20"/>
        </w:rPr>
        <w:t>additional policies or Shift+click to select all policies between and including </w:t>
      </w:r>
      <w:r>
        <w:rPr>
          <w:color w:val="231F20"/>
          <w:sz w:val="20"/>
        </w:rPr>
        <w:t>the</w:t>
      </w:r>
    </w:p>
    <w:p>
      <w:pPr>
        <w:spacing w:after="0" w:line="213" w:lineRule="auto"/>
        <w:jc w:val="left"/>
        <w:rPr>
          <w:sz w:val="20"/>
        </w:rPr>
        <w:sectPr>
          <w:pgSz w:w="12240" w:h="15840"/>
          <w:pgMar w:header="0" w:footer="736" w:top="1140" w:bottom="920" w:left="1000" w:right="1060"/>
        </w:sectPr>
      </w:pPr>
    </w:p>
    <w:p>
      <w:pPr>
        <w:pStyle w:val="BodyText"/>
        <w:spacing w:line="213" w:lineRule="auto" w:before="85"/>
        <w:ind w:left="2548" w:right="545"/>
      </w:pPr>
      <w:bookmarkStart w:name="_bookmark241" w:id="505"/>
      <w:bookmarkEnd w:id="505"/>
      <w:r>
        <w:rPr/>
      </w:r>
      <w:r>
        <w:rPr>
          <w:color w:val="231F20"/>
        </w:rPr>
        <w:t>first selection and this one. In the Manage Policies at Managed System </w:t>
      </w:r>
      <w:r>
        <w:rPr>
          <w:color w:val="231F20"/>
        </w:rPr>
        <w:t>window, you can also click </w:t>
      </w:r>
      <w:r>
        <w:rPr>
          <w:rFonts w:ascii="Book Antiqua"/>
          <w:b/>
          <w:color w:val="231F20"/>
        </w:rPr>
        <w:t>Select All </w:t>
      </w:r>
      <w:r>
        <w:rPr>
          <w:color w:val="231F20"/>
        </w:rPr>
        <w:t>for all the policies in the list.</w:t>
      </w:r>
    </w:p>
    <w:p>
      <w:pPr>
        <w:pStyle w:val="ListParagraph"/>
        <w:numPr>
          <w:ilvl w:val="0"/>
          <w:numId w:val="147"/>
        </w:numPr>
        <w:tabs>
          <w:tab w:pos="2547" w:val="left" w:leader="none"/>
        </w:tabs>
        <w:spacing w:line="240" w:lineRule="auto" w:before="95" w:after="0"/>
        <w:ind w:left="2547" w:right="0" w:hanging="315"/>
        <w:jc w:val="left"/>
        <w:rPr>
          <w:sz w:val="20"/>
        </w:rPr>
      </w:pPr>
      <w:r>
        <w:rPr>
          <w:color w:val="231F20"/>
          <w:sz w:val="20"/>
        </w:rPr>
        <w:t>Click</w:t>
      </w:r>
      <w:r>
        <w:rPr>
          <w:color w:val="231F20"/>
          <w:spacing w:val="56"/>
          <w:w w:val="150"/>
          <w:sz w:val="20"/>
        </w:rPr>
        <w:t> </w:t>
      </w:r>
      <w:r>
        <w:rPr>
          <w:color w:val="231F20"/>
          <w:spacing w:val="-14"/>
          <w:position w:val="-1"/>
          <w:sz w:val="20"/>
        </w:rPr>
        <w:drawing>
          <wp:inline distT="0" distB="0" distL="0" distR="0">
            <wp:extent cx="82550" cy="133350"/>
            <wp:effectExtent l="0" t="0" r="0" b="0"/>
            <wp:docPr id="2732" name="Image 2732"/>
            <wp:cNvGraphicFramePr>
              <a:graphicFrameLocks/>
            </wp:cNvGraphicFramePr>
            <a:graphic>
              <a:graphicData uri="http://schemas.openxmlformats.org/drawingml/2006/picture">
                <pic:pic>
                  <pic:nvPicPr>
                    <pic:cNvPr id="2732" name="Image 2732"/>
                    <pic:cNvPicPr/>
                  </pic:nvPicPr>
                  <pic:blipFill>
                    <a:blip r:embed="rId166" cstate="print"/>
                    <a:stretch>
                      <a:fillRect/>
                    </a:stretch>
                  </pic:blipFill>
                  <pic:spPr>
                    <a:xfrm>
                      <a:off x="0" y="0"/>
                      <a:ext cx="82550" cy="133350"/>
                    </a:xfrm>
                    <a:prstGeom prst="rect">
                      <a:avLst/>
                    </a:prstGeom>
                  </pic:spPr>
                </pic:pic>
              </a:graphicData>
            </a:graphic>
          </wp:inline>
        </w:drawing>
      </w:r>
      <w:r>
        <w:rPr>
          <w:color w:val="231F20"/>
          <w:spacing w:val="-14"/>
          <w:position w:val="-1"/>
          <w:sz w:val="20"/>
        </w:rPr>
      </w:r>
      <w:r>
        <w:rPr>
          <w:rFonts w:ascii="Times New Roman"/>
          <w:color w:val="231F20"/>
          <w:spacing w:val="30"/>
          <w:sz w:val="20"/>
        </w:rPr>
        <w:t> </w:t>
      </w:r>
      <w:r>
        <w:rPr>
          <w:rFonts w:ascii="Book Antiqua"/>
          <w:b/>
          <w:color w:val="231F20"/>
          <w:sz w:val="20"/>
        </w:rPr>
        <w:t>Start</w:t>
      </w:r>
      <w:r>
        <w:rPr>
          <w:rFonts w:ascii="Book Antiqua"/>
          <w:b/>
          <w:color w:val="231F20"/>
          <w:spacing w:val="13"/>
          <w:sz w:val="20"/>
        </w:rPr>
        <w:t> </w:t>
      </w:r>
      <w:r>
        <w:rPr>
          <w:rFonts w:ascii="Book Antiqua"/>
          <w:b/>
          <w:color w:val="231F20"/>
          <w:sz w:val="20"/>
        </w:rPr>
        <w:t>Policy</w:t>
      </w:r>
      <w:r>
        <w:rPr>
          <w:rFonts w:ascii="Book Antiqua"/>
          <w:b/>
          <w:color w:val="231F20"/>
          <w:spacing w:val="14"/>
          <w:sz w:val="20"/>
        </w:rPr>
        <w:t> </w:t>
      </w:r>
      <w:r>
        <w:rPr>
          <w:color w:val="231F20"/>
          <w:sz w:val="20"/>
        </w:rPr>
        <w:t>or</w:t>
      </w:r>
      <w:r>
        <w:rPr>
          <w:color w:val="231F20"/>
          <w:spacing w:val="23"/>
          <w:sz w:val="20"/>
        </w:rPr>
        <w:t> </w:t>
      </w:r>
      <w:r>
        <w:rPr>
          <w:color w:val="231F20"/>
          <w:spacing w:val="-24"/>
          <w:position w:val="-1"/>
          <w:sz w:val="20"/>
        </w:rPr>
        <w:drawing>
          <wp:inline distT="0" distB="0" distL="0" distR="0">
            <wp:extent cx="95250" cy="95250"/>
            <wp:effectExtent l="0" t="0" r="0" b="0"/>
            <wp:docPr id="2733" name="Image 2733"/>
            <wp:cNvGraphicFramePr>
              <a:graphicFrameLocks/>
            </wp:cNvGraphicFramePr>
            <a:graphic>
              <a:graphicData uri="http://schemas.openxmlformats.org/drawingml/2006/picture">
                <pic:pic>
                  <pic:nvPicPr>
                    <pic:cNvPr id="2733" name="Image 2733"/>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0"/>
          <w:sz w:val="20"/>
        </w:rPr>
        <w:t> </w:t>
      </w:r>
      <w:r>
        <w:rPr>
          <w:rFonts w:ascii="Book Antiqua"/>
          <w:b/>
          <w:color w:val="231F20"/>
          <w:sz w:val="20"/>
        </w:rPr>
        <w:t>Stop</w:t>
      </w:r>
      <w:r>
        <w:rPr>
          <w:rFonts w:ascii="Book Antiqua"/>
          <w:b/>
          <w:color w:val="231F20"/>
          <w:spacing w:val="14"/>
          <w:sz w:val="20"/>
        </w:rPr>
        <w:t> </w:t>
      </w:r>
      <w:r>
        <w:rPr>
          <w:rFonts w:ascii="Book Antiqua"/>
          <w:b/>
          <w:color w:val="231F20"/>
          <w:spacing w:val="-2"/>
          <w:sz w:val="20"/>
        </w:rPr>
        <w:t>Policy</w:t>
      </w:r>
      <w:r>
        <w:rPr>
          <w:color w:val="231F20"/>
          <w:spacing w:val="-2"/>
          <w:sz w:val="20"/>
        </w:rPr>
        <w:t>.</w:t>
      </w:r>
    </w:p>
    <w:p>
      <w:pPr>
        <w:pStyle w:val="ListParagraph"/>
        <w:numPr>
          <w:ilvl w:val="0"/>
          <w:numId w:val="147"/>
        </w:numPr>
        <w:tabs>
          <w:tab w:pos="2548" w:val="left" w:leader="none"/>
        </w:tabs>
        <w:spacing w:line="213" w:lineRule="auto" w:before="53" w:after="0"/>
        <w:ind w:left="2548" w:right="411" w:hanging="316"/>
        <w:jc w:val="left"/>
        <w:rPr>
          <w:sz w:val="20"/>
        </w:rPr>
      </w:pPr>
      <w:r>
        <w:rPr>
          <w:color w:val="231F20"/>
          <w:sz w:val="20"/>
        </w:rPr>
        <w:t>When a message asks you to specify the TEMS list on which to start or stop the</w:t>
      </w:r>
      <w:r>
        <w:rPr>
          <w:color w:val="231F20"/>
          <w:spacing w:val="40"/>
          <w:sz w:val="20"/>
        </w:rPr>
        <w:t> </w:t>
      </w:r>
      <w:r>
        <w:rPr>
          <w:color w:val="231F20"/>
          <w:sz w:val="20"/>
        </w:rPr>
        <w:t>policy, select the monitoring server (or servers) and click </w:t>
      </w:r>
      <w:r>
        <w:rPr>
          <w:rFonts w:ascii="Book Antiqua"/>
          <w:b/>
          <w:color w:val="231F20"/>
          <w:sz w:val="20"/>
        </w:rPr>
        <w:t>Start </w:t>
      </w:r>
      <w:r>
        <w:rPr>
          <w:color w:val="231F20"/>
          <w:sz w:val="20"/>
        </w:rPr>
        <w:t>or </w:t>
      </w:r>
      <w:r>
        <w:rPr>
          <w:rFonts w:ascii="Book Antiqua"/>
          <w:b/>
          <w:color w:val="231F20"/>
          <w:sz w:val="20"/>
        </w:rPr>
        <w:t>Stop</w:t>
      </w:r>
      <w:r>
        <w:rPr>
          <w:color w:val="231F20"/>
          <w:sz w:val="20"/>
        </w:rPr>
        <w:t>.</w:t>
      </w:r>
    </w:p>
    <w:p>
      <w:pPr>
        <w:pStyle w:val="ListParagraph"/>
        <w:numPr>
          <w:ilvl w:val="0"/>
          <w:numId w:val="147"/>
        </w:numPr>
        <w:tabs>
          <w:tab w:pos="2547" w:val="left" w:leader="none"/>
        </w:tabs>
        <w:spacing w:line="255" w:lineRule="exact" w:before="35" w:after="0"/>
        <w:ind w:left="2547" w:right="0" w:hanging="315"/>
        <w:jc w:val="left"/>
        <w:rPr>
          <w:rFonts w:ascii="Book Antiqua"/>
          <w:b/>
          <w:sz w:val="20"/>
        </w:rPr>
      </w:pPr>
      <w:r>
        <w:rPr>
          <w:color w:val="231F20"/>
          <w:sz w:val="20"/>
        </w:rPr>
        <w:t>If</w:t>
      </w:r>
      <w:r>
        <w:rPr>
          <w:color w:val="231F20"/>
          <w:spacing w:val="10"/>
          <w:sz w:val="20"/>
        </w:rPr>
        <w:t> </w:t>
      </w:r>
      <w:r>
        <w:rPr>
          <w:color w:val="231F20"/>
          <w:sz w:val="20"/>
        </w:rPr>
        <w:t>you</w:t>
      </w:r>
      <w:r>
        <w:rPr>
          <w:color w:val="231F20"/>
          <w:spacing w:val="10"/>
          <w:sz w:val="20"/>
        </w:rPr>
        <w:t> </w:t>
      </w:r>
      <w:r>
        <w:rPr>
          <w:color w:val="231F20"/>
          <w:sz w:val="20"/>
        </w:rPr>
        <w:t>are</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Manage</w:t>
      </w:r>
      <w:r>
        <w:rPr>
          <w:color w:val="231F20"/>
          <w:spacing w:val="11"/>
          <w:sz w:val="20"/>
        </w:rPr>
        <w:t> </w:t>
      </w:r>
      <w:r>
        <w:rPr>
          <w:color w:val="231F20"/>
          <w:sz w:val="20"/>
        </w:rPr>
        <w:t>Policies</w:t>
      </w:r>
      <w:r>
        <w:rPr>
          <w:color w:val="231F20"/>
          <w:spacing w:val="10"/>
          <w:sz w:val="20"/>
        </w:rPr>
        <w:t> </w:t>
      </w:r>
      <w:r>
        <w:rPr>
          <w:color w:val="231F20"/>
          <w:sz w:val="20"/>
        </w:rPr>
        <w:t>at</w:t>
      </w:r>
      <w:r>
        <w:rPr>
          <w:color w:val="231F20"/>
          <w:spacing w:val="10"/>
          <w:sz w:val="20"/>
        </w:rPr>
        <w:t> </w:t>
      </w:r>
      <w:r>
        <w:rPr>
          <w:color w:val="231F20"/>
          <w:sz w:val="20"/>
        </w:rPr>
        <w:t>Managed</w:t>
      </w:r>
      <w:r>
        <w:rPr>
          <w:color w:val="231F20"/>
          <w:spacing w:val="10"/>
          <w:sz w:val="20"/>
        </w:rPr>
        <w:t> </w:t>
      </w:r>
      <w:r>
        <w:rPr>
          <w:color w:val="231F20"/>
          <w:sz w:val="20"/>
        </w:rPr>
        <w:t>System</w:t>
      </w:r>
      <w:r>
        <w:rPr>
          <w:color w:val="231F20"/>
          <w:spacing w:val="10"/>
          <w:sz w:val="20"/>
        </w:rPr>
        <w:t> </w:t>
      </w:r>
      <w:r>
        <w:rPr>
          <w:color w:val="231F20"/>
          <w:sz w:val="20"/>
        </w:rPr>
        <w:t>window,</w:t>
      </w:r>
      <w:r>
        <w:rPr>
          <w:color w:val="231F20"/>
          <w:spacing w:val="10"/>
          <w:sz w:val="20"/>
        </w:rPr>
        <w:t> </w:t>
      </w:r>
      <w:r>
        <w:rPr>
          <w:color w:val="231F20"/>
          <w:sz w:val="20"/>
        </w:rPr>
        <w:t>click</w:t>
      </w:r>
      <w:r>
        <w:rPr>
          <w:color w:val="231F20"/>
          <w:spacing w:val="19"/>
          <w:sz w:val="20"/>
        </w:rPr>
        <w:t> </w:t>
      </w:r>
      <w:r>
        <w:rPr>
          <w:color w:val="231F20"/>
          <w:spacing w:val="-25"/>
          <w:position w:val="-1"/>
          <w:sz w:val="20"/>
        </w:rPr>
        <w:drawing>
          <wp:inline distT="0" distB="0" distL="0" distR="0">
            <wp:extent cx="95250" cy="101600"/>
            <wp:effectExtent l="0" t="0" r="0" b="0"/>
            <wp:docPr id="2734" name="Image 2734"/>
            <wp:cNvGraphicFramePr>
              <a:graphicFrameLocks/>
            </wp:cNvGraphicFramePr>
            <a:graphic>
              <a:graphicData uri="http://schemas.openxmlformats.org/drawingml/2006/picture">
                <pic:pic>
                  <pic:nvPicPr>
                    <pic:cNvPr id="2734" name="Image 2734"/>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7"/>
          <w:sz w:val="20"/>
        </w:rPr>
        <w:t> </w:t>
      </w:r>
      <w:r>
        <w:rPr>
          <w:rFonts w:ascii="Book Antiqua"/>
          <w:b/>
          <w:color w:val="231F20"/>
          <w:spacing w:val="-2"/>
          <w:sz w:val="20"/>
        </w:rPr>
        <w:t>Refresh</w:t>
      </w:r>
    </w:p>
    <w:p>
      <w:pPr>
        <w:pStyle w:val="BodyText"/>
        <w:spacing w:line="255" w:lineRule="exact"/>
        <w:ind w:left="2548"/>
      </w:pPr>
      <w:r>
        <w:rPr>
          <w:color w:val="231F20"/>
        </w:rPr>
        <w:t>to</w:t>
      </w:r>
      <w:r>
        <w:rPr>
          <w:color w:val="231F20"/>
          <w:spacing w:val="11"/>
        </w:rPr>
        <w:t> </w:t>
      </w:r>
      <w:r>
        <w:rPr>
          <w:color w:val="231F20"/>
        </w:rPr>
        <w:t>refresh</w:t>
      </w:r>
      <w:r>
        <w:rPr>
          <w:color w:val="231F20"/>
          <w:spacing w:val="11"/>
        </w:rPr>
        <w:t> </w:t>
      </w:r>
      <w:r>
        <w:rPr>
          <w:color w:val="231F20"/>
        </w:rPr>
        <w:t>the</w:t>
      </w:r>
      <w:r>
        <w:rPr>
          <w:color w:val="231F20"/>
          <w:spacing w:val="11"/>
        </w:rPr>
        <w:t> </w:t>
      </w:r>
      <w:r>
        <w:rPr>
          <w:color w:val="231F20"/>
        </w:rPr>
        <w:t>view</w:t>
      </w:r>
      <w:r>
        <w:rPr>
          <w:color w:val="231F20"/>
          <w:spacing w:val="11"/>
        </w:rPr>
        <w:t> </w:t>
      </w:r>
      <w:r>
        <w:rPr>
          <w:color w:val="231F20"/>
        </w:rPr>
        <w:t>and</w:t>
      </w:r>
      <w:r>
        <w:rPr>
          <w:color w:val="231F20"/>
          <w:spacing w:val="12"/>
        </w:rPr>
        <w:t> </w:t>
      </w:r>
      <w:r>
        <w:rPr>
          <w:color w:val="231F20"/>
        </w:rPr>
        <w:t>see</w:t>
      </w:r>
      <w:r>
        <w:rPr>
          <w:color w:val="231F20"/>
          <w:spacing w:val="11"/>
        </w:rPr>
        <w:t> </w:t>
      </w:r>
      <w:r>
        <w:rPr>
          <w:color w:val="231F20"/>
        </w:rPr>
        <w:t>your</w:t>
      </w:r>
      <w:r>
        <w:rPr>
          <w:color w:val="231F20"/>
          <w:spacing w:val="11"/>
        </w:rPr>
        <w:t> </w:t>
      </w:r>
      <w:r>
        <w:rPr>
          <w:color w:val="231F20"/>
          <w:spacing w:val="-2"/>
        </w:rPr>
        <w:t>changes.</w:t>
      </w:r>
    </w:p>
    <w:p>
      <w:pPr>
        <w:pStyle w:val="Heading4"/>
        <w:spacing w:before="194"/>
      </w:pPr>
      <w:r>
        <w:rPr>
          <w:color w:val="231F20"/>
          <w:spacing w:val="-2"/>
        </w:rPr>
        <w:t>Results</w:t>
      </w:r>
    </w:p>
    <w:p>
      <w:pPr>
        <w:pStyle w:val="BodyText"/>
        <w:spacing w:line="213" w:lineRule="auto" w:before="241"/>
        <w:ind w:left="2232" w:right="545"/>
      </w:pPr>
      <w:r>
        <w:rPr>
          <w:color w:val="231F20"/>
        </w:rPr>
        <w:t>When you start a policy, it starts on the managed systems to which it is distributed on the selected monitoring server (or servers). All the situations within the policy</w:t>
      </w:r>
      <w:r>
        <w:rPr>
          <w:color w:val="231F20"/>
          <w:spacing w:val="80"/>
        </w:rPr>
        <w:t> </w:t>
      </w:r>
      <w:r>
        <w:rPr>
          <w:color w:val="231F20"/>
        </w:rPr>
        <w:t>are also started or restarted.</w:t>
      </w:r>
    </w:p>
    <w:p>
      <w:pPr>
        <w:pStyle w:val="BodyText"/>
        <w:spacing w:line="213" w:lineRule="auto" w:before="238"/>
        <w:ind w:left="2232" w:right="545"/>
      </w:pPr>
      <w:r>
        <w:rPr>
          <w:color w:val="231F20"/>
        </w:rPr>
        <w:t>When</w:t>
      </w:r>
      <w:r>
        <w:rPr>
          <w:color w:val="231F20"/>
          <w:spacing w:val="22"/>
        </w:rPr>
        <w:t> </w:t>
      </w:r>
      <w:r>
        <w:rPr>
          <w:color w:val="231F20"/>
        </w:rPr>
        <w:t>you</w:t>
      </w:r>
      <w:r>
        <w:rPr>
          <w:color w:val="231F20"/>
          <w:spacing w:val="22"/>
        </w:rPr>
        <w:t> </w:t>
      </w:r>
      <w:r>
        <w:rPr>
          <w:color w:val="231F20"/>
        </w:rPr>
        <w:t>stop</w:t>
      </w:r>
      <w:r>
        <w:rPr>
          <w:color w:val="231F20"/>
          <w:spacing w:val="22"/>
        </w:rPr>
        <w:t> </w:t>
      </w:r>
      <w:r>
        <w:rPr>
          <w:color w:val="231F20"/>
        </w:rPr>
        <w:t>a</w:t>
      </w:r>
      <w:r>
        <w:rPr>
          <w:color w:val="231F20"/>
          <w:spacing w:val="22"/>
        </w:rPr>
        <w:t> </w:t>
      </w:r>
      <w:r>
        <w:rPr>
          <w:color w:val="231F20"/>
        </w:rPr>
        <w:t>policy,</w:t>
      </w:r>
      <w:r>
        <w:rPr>
          <w:color w:val="231F20"/>
          <w:spacing w:val="22"/>
        </w:rPr>
        <w:t> </w:t>
      </w:r>
      <w:r>
        <w:rPr>
          <w:color w:val="231F20"/>
        </w:rPr>
        <w:t>if</w:t>
      </w:r>
      <w:r>
        <w:rPr>
          <w:color w:val="231F20"/>
          <w:spacing w:val="22"/>
        </w:rPr>
        <w:t> </w:t>
      </w:r>
      <w:r>
        <w:rPr>
          <w:color w:val="231F20"/>
        </w:rPr>
        <w:t>it</w:t>
      </w:r>
      <w:r>
        <w:rPr>
          <w:color w:val="231F20"/>
          <w:spacing w:val="22"/>
        </w:rPr>
        <w:t> </w:t>
      </w:r>
      <w:r>
        <w:rPr>
          <w:color w:val="231F20"/>
        </w:rPr>
        <w:t>was</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middle</w:t>
      </w:r>
      <w:r>
        <w:rPr>
          <w:color w:val="231F20"/>
          <w:spacing w:val="22"/>
        </w:rPr>
        <w:t> </w:t>
      </w:r>
      <w:r>
        <w:rPr>
          <w:color w:val="231F20"/>
        </w:rPr>
        <w:t>of</w:t>
      </w:r>
      <w:r>
        <w:rPr>
          <w:color w:val="231F20"/>
          <w:spacing w:val="22"/>
        </w:rPr>
        <w:t> </w:t>
      </w:r>
      <w:r>
        <w:rPr>
          <w:color w:val="231F20"/>
        </w:rPr>
        <w:t>executing</w:t>
      </w:r>
      <w:r>
        <w:rPr>
          <w:color w:val="231F20"/>
          <w:spacing w:val="22"/>
        </w:rPr>
        <w:t> </w:t>
      </w:r>
      <w:r>
        <w:rPr>
          <w:color w:val="231F20"/>
        </w:rPr>
        <w:t>an</w:t>
      </w:r>
      <w:r>
        <w:rPr>
          <w:color w:val="231F20"/>
          <w:spacing w:val="22"/>
        </w:rPr>
        <w:t> </w:t>
      </w:r>
      <w:r>
        <w:rPr>
          <w:color w:val="231F20"/>
        </w:rPr>
        <w:t>activity,</w:t>
      </w:r>
      <w:r>
        <w:rPr>
          <w:color w:val="231F20"/>
          <w:spacing w:val="22"/>
        </w:rPr>
        <w:t> </w:t>
      </w:r>
      <w:r>
        <w:rPr>
          <w:color w:val="231F20"/>
        </w:rPr>
        <w:t>that activity</w:t>
      </w:r>
      <w:r>
        <w:rPr>
          <w:color w:val="231F20"/>
          <w:spacing w:val="28"/>
        </w:rPr>
        <w:t> </w:t>
      </w:r>
      <w:r>
        <w:rPr>
          <w:color w:val="231F20"/>
        </w:rPr>
        <w:t>will</w:t>
      </w:r>
      <w:r>
        <w:rPr>
          <w:color w:val="231F20"/>
          <w:spacing w:val="28"/>
        </w:rPr>
        <w:t> </w:t>
      </w:r>
      <w:r>
        <w:rPr>
          <w:color w:val="231F20"/>
        </w:rPr>
        <w:t>complete.</w:t>
      </w:r>
      <w:r>
        <w:rPr>
          <w:color w:val="231F20"/>
          <w:spacing w:val="28"/>
        </w:rPr>
        <w:t> </w:t>
      </w:r>
      <w:r>
        <w:rPr>
          <w:color w:val="231F20"/>
        </w:rPr>
        <w:t>Policies</w:t>
      </w:r>
      <w:r>
        <w:rPr>
          <w:color w:val="231F20"/>
          <w:spacing w:val="28"/>
        </w:rPr>
        <w:t> </w:t>
      </w:r>
      <w:r>
        <w:rPr>
          <w:color w:val="231F20"/>
        </w:rPr>
        <w:t>are</w:t>
      </w:r>
      <w:r>
        <w:rPr>
          <w:color w:val="231F20"/>
          <w:spacing w:val="28"/>
        </w:rPr>
        <w:t> </w:t>
      </w:r>
      <w:r>
        <w:rPr>
          <w:color w:val="231F20"/>
        </w:rPr>
        <w:t>stored</w:t>
      </w:r>
      <w:r>
        <w:rPr>
          <w:color w:val="231F20"/>
          <w:spacing w:val="28"/>
        </w:rPr>
        <w:t> </w:t>
      </w:r>
      <w:r>
        <w:rPr>
          <w:color w:val="231F20"/>
        </w:rPr>
        <w:t>at</w:t>
      </w:r>
      <w:r>
        <w:rPr>
          <w:color w:val="231F20"/>
          <w:spacing w:val="28"/>
        </w:rPr>
        <w:t> </w:t>
      </w:r>
      <w:r>
        <w:rPr>
          <w:color w:val="231F20"/>
        </w:rPr>
        <w:t>and</w:t>
      </w:r>
      <w:r>
        <w:rPr>
          <w:color w:val="231F20"/>
          <w:spacing w:val="28"/>
        </w:rPr>
        <w:t> </w:t>
      </w:r>
      <w:r>
        <w:rPr>
          <w:color w:val="231F20"/>
        </w:rPr>
        <w:t>controlled</w:t>
      </w:r>
      <w:r>
        <w:rPr>
          <w:color w:val="231F20"/>
          <w:spacing w:val="28"/>
        </w:rPr>
        <w:t> </w:t>
      </w:r>
      <w:r>
        <w:rPr>
          <w:color w:val="231F20"/>
        </w:rPr>
        <w:t>by</w:t>
      </w:r>
      <w:r>
        <w:rPr>
          <w:color w:val="231F20"/>
          <w:spacing w:val="28"/>
        </w:rPr>
        <w:t> </w:t>
      </w:r>
      <w:r>
        <w:rPr>
          <w:color w:val="231F20"/>
        </w:rPr>
        <w:t>the</w:t>
      </w:r>
      <w:r>
        <w:rPr>
          <w:color w:val="231F20"/>
          <w:spacing w:val="28"/>
        </w:rPr>
        <w:t> </w:t>
      </w:r>
      <w:r>
        <w:rPr>
          <w:color w:val="231F20"/>
        </w:rPr>
        <w:t>monitoring server</w:t>
      </w:r>
      <w:r>
        <w:rPr>
          <w:color w:val="231F20"/>
          <w:spacing w:val="28"/>
        </w:rPr>
        <w:t> </w:t>
      </w:r>
      <w:r>
        <w:rPr>
          <w:color w:val="231F20"/>
        </w:rPr>
        <w:t>to</w:t>
      </w:r>
      <w:r>
        <w:rPr>
          <w:color w:val="231F20"/>
          <w:spacing w:val="28"/>
        </w:rPr>
        <w:t> </w:t>
      </w:r>
      <w:r>
        <w:rPr>
          <w:color w:val="231F20"/>
        </w:rPr>
        <w:t>which</w:t>
      </w:r>
      <w:r>
        <w:rPr>
          <w:color w:val="231F20"/>
          <w:spacing w:val="28"/>
        </w:rPr>
        <w:t> </w:t>
      </w:r>
      <w:r>
        <w:rPr>
          <w:color w:val="231F20"/>
        </w:rPr>
        <w:t>the</w:t>
      </w:r>
      <w:r>
        <w:rPr>
          <w:color w:val="231F20"/>
          <w:spacing w:val="28"/>
        </w:rPr>
        <w:t> </w:t>
      </w:r>
      <w:r>
        <w:rPr>
          <w:color w:val="231F20"/>
        </w:rPr>
        <w:t>managed</w:t>
      </w:r>
      <w:r>
        <w:rPr>
          <w:color w:val="231F20"/>
          <w:spacing w:val="28"/>
        </w:rPr>
        <w:t> </w:t>
      </w:r>
      <w:r>
        <w:rPr>
          <w:color w:val="231F20"/>
        </w:rPr>
        <w:t>system</w:t>
      </w:r>
      <w:r>
        <w:rPr>
          <w:color w:val="231F20"/>
          <w:spacing w:val="28"/>
        </w:rPr>
        <w:t> </w:t>
      </w:r>
      <w:r>
        <w:rPr>
          <w:color w:val="231F20"/>
        </w:rPr>
        <w:t>connects.</w:t>
      </w:r>
      <w:r>
        <w:rPr>
          <w:color w:val="231F20"/>
          <w:spacing w:val="28"/>
        </w:rPr>
        <w:t> </w:t>
      </w:r>
      <w:r>
        <w:rPr>
          <w:color w:val="231F20"/>
        </w:rPr>
        <w:t>The</w:t>
      </w:r>
      <w:r>
        <w:rPr>
          <w:color w:val="231F20"/>
          <w:spacing w:val="28"/>
        </w:rPr>
        <w:t> </w:t>
      </w:r>
      <w:r>
        <w:rPr>
          <w:color w:val="231F20"/>
        </w:rPr>
        <w:t>policy</w:t>
      </w:r>
      <w:r>
        <w:rPr>
          <w:color w:val="231F20"/>
          <w:spacing w:val="28"/>
        </w:rPr>
        <w:t> </w:t>
      </w:r>
      <w:r>
        <w:rPr>
          <w:color w:val="231F20"/>
        </w:rPr>
        <w:t>will</w:t>
      </w:r>
      <w:r>
        <w:rPr>
          <w:color w:val="231F20"/>
          <w:spacing w:val="28"/>
        </w:rPr>
        <w:t> </w:t>
      </w:r>
      <w:r>
        <w:rPr>
          <w:color w:val="231F20"/>
        </w:rPr>
        <w:t>remain</w:t>
      </w:r>
      <w:r>
        <w:rPr>
          <w:color w:val="231F20"/>
          <w:spacing w:val="28"/>
        </w:rPr>
        <w:t> </w:t>
      </w:r>
      <w:r>
        <w:rPr>
          <w:color w:val="231F20"/>
        </w:rPr>
        <w:t>stopped until you start it again manually or, if it is set to </w:t>
      </w:r>
      <w:r>
        <w:rPr>
          <w:rFonts w:ascii="Book Antiqua"/>
          <w:b/>
          <w:color w:val="231F20"/>
        </w:rPr>
        <w:t>Auto Start</w:t>
      </w:r>
      <w:r>
        <w:rPr>
          <w:color w:val="231F20"/>
        </w:rPr>
        <w:t>, until you next edit the</w:t>
      </w:r>
      <w:r>
        <w:rPr>
          <w:color w:val="231F20"/>
          <w:spacing w:val="80"/>
        </w:rPr>
        <w:t> </w:t>
      </w:r>
      <w:r>
        <w:rPr>
          <w:color w:val="231F20"/>
        </w:rPr>
        <w:t>policy or restart the monitoring server.</w:t>
      </w:r>
    </w:p>
    <w:p>
      <w:pPr>
        <w:pStyle w:val="BodyText"/>
        <w:spacing w:line="213" w:lineRule="auto" w:before="236"/>
        <w:ind w:left="2232" w:right="603"/>
      </w:pPr>
      <w:r>
        <w:rPr>
          <w:color w:val="231F20"/>
        </w:rPr>
        <w:t>If the policy distribution is changed manually or dynamically, the policy is restarted. Dynamic updates happen after a new agent comes online or after </w:t>
      </w:r>
      <w:r>
        <w:rPr>
          <w:color w:val="231F20"/>
        </w:rPr>
        <w:t>an agent connection switches from one monitoring server to another.</w:t>
      </w:r>
    </w:p>
    <w:p>
      <w:pPr>
        <w:pStyle w:val="Heading3"/>
        <w:spacing w:before="216"/>
        <w:ind w:left="1334"/>
      </w:pPr>
      <w:bookmarkStart w:name="Policy distribution" w:id="506"/>
      <w:bookmarkEnd w:id="506"/>
      <w:r>
        <w:rPr>
          <w:b w:val="0"/>
        </w:rPr>
      </w:r>
      <w:r>
        <w:rPr>
          <w:color w:val="231F20"/>
        </w:rPr>
        <w:t>Policy</w:t>
      </w:r>
      <w:r>
        <w:rPr>
          <w:color w:val="231F20"/>
          <w:spacing w:val="6"/>
        </w:rPr>
        <w:t> </w:t>
      </w:r>
      <w:r>
        <w:rPr>
          <w:color w:val="231F20"/>
          <w:spacing w:val="-2"/>
        </w:rPr>
        <w:t>distribution</w:t>
      </w:r>
    </w:p>
    <w:p>
      <w:pPr>
        <w:pStyle w:val="BodyText"/>
        <w:spacing w:line="213" w:lineRule="auto" w:before="58"/>
        <w:ind w:left="2232" w:right="636"/>
      </w:pPr>
      <w:r>
        <w:rPr>
          <w:color w:val="231F20"/>
        </w:rPr>
        <w:t>When you create a new policy, it is not initially distributed to any managed systems. This window opens after you select </w:t>
      </w:r>
      <w:r>
        <w:rPr>
          <w:color w:val="231F20"/>
          <w:spacing w:val="15"/>
        </w:rPr>
        <w:drawing>
          <wp:inline distT="0" distB="0" distL="0" distR="0">
            <wp:extent cx="82550" cy="82550"/>
            <wp:effectExtent l="0" t="0" r="0" b="0"/>
            <wp:docPr id="2735" name="Image 2735"/>
            <wp:cNvGraphicFramePr>
              <a:graphicFrameLocks/>
            </wp:cNvGraphicFramePr>
            <a:graphic>
              <a:graphicData uri="http://schemas.openxmlformats.org/drawingml/2006/picture">
                <pic:pic>
                  <pic:nvPicPr>
                    <pic:cNvPr id="2735" name="Image 2735"/>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6"/>
        </w:rPr>
        <w:t> </w:t>
      </w:r>
      <w:r>
        <w:rPr>
          <w:rFonts w:ascii="Book Antiqua"/>
          <w:b/>
          <w:color w:val="231F20"/>
        </w:rPr>
        <w:t>Distribution </w:t>
      </w:r>
      <w:r>
        <w:rPr>
          <w:color w:val="231F20"/>
        </w:rPr>
        <w:t>for a policy in the </w:t>
      </w:r>
      <w:r>
        <w:rPr>
          <w:rFonts w:ascii="Book Antiqua"/>
          <w:b/>
          <w:color w:val="231F20"/>
        </w:rPr>
        <w:t>Policy Details </w:t>
      </w:r>
      <w:r>
        <w:rPr>
          <w:color w:val="231F20"/>
        </w:rPr>
        <w:t>list, so you can select the managed systems where you want </w:t>
      </w:r>
      <w:r>
        <w:rPr>
          <w:color w:val="231F20"/>
        </w:rPr>
        <w:t>the policy to run.</w:t>
      </w:r>
    </w:p>
    <w:p>
      <w:pPr>
        <w:pStyle w:val="BodyText"/>
        <w:spacing w:line="213" w:lineRule="auto" w:before="237"/>
        <w:ind w:left="2232" w:right="457"/>
      </w:pPr>
      <w:r>
        <w:rPr>
          <w:color w:val="231F20"/>
        </w:rPr>
        <w:t>If the system is selected and has multiple agents of this type, then distribution will</w:t>
      </w:r>
      <w:r>
        <w:rPr>
          <w:color w:val="231F20"/>
          <w:spacing w:val="40"/>
        </w:rPr>
        <w:t> </w:t>
      </w:r>
      <w:r>
        <w:rPr>
          <w:color w:val="231F20"/>
        </w:rPr>
        <w:t>be</w:t>
      </w:r>
      <w:r>
        <w:rPr>
          <w:color w:val="231F20"/>
          <w:spacing w:val="12"/>
        </w:rPr>
        <w:t> </w:t>
      </w:r>
      <w:r>
        <w:rPr>
          <w:color w:val="231F20"/>
        </w:rPr>
        <w:t>to</w:t>
      </w:r>
      <w:r>
        <w:rPr>
          <w:color w:val="231F20"/>
          <w:spacing w:val="12"/>
        </w:rPr>
        <w:t> </w:t>
      </w:r>
      <w:r>
        <w:rPr>
          <w:color w:val="231F20"/>
        </w:rPr>
        <w:t>all</w:t>
      </w:r>
      <w:r>
        <w:rPr>
          <w:color w:val="231F20"/>
          <w:spacing w:val="12"/>
        </w:rPr>
        <w:t> </w:t>
      </w:r>
      <w:r>
        <w:rPr>
          <w:color w:val="231F20"/>
        </w:rPr>
        <w:t>of</w:t>
      </w:r>
      <w:r>
        <w:rPr>
          <w:color w:val="231F20"/>
          <w:spacing w:val="12"/>
        </w:rPr>
        <w:t> </w:t>
      </w:r>
      <w:r>
        <w:rPr>
          <w:color w:val="231F20"/>
        </w:rPr>
        <w:t>them.</w:t>
      </w:r>
      <w:r>
        <w:rPr>
          <w:color w:val="231F20"/>
          <w:spacing w:val="12"/>
        </w:rPr>
        <w:t> </w:t>
      </w:r>
      <w:r>
        <w:rPr>
          <w:color w:val="231F20"/>
        </w:rPr>
        <w:t>For</w:t>
      </w:r>
      <w:r>
        <w:rPr>
          <w:color w:val="231F20"/>
          <w:spacing w:val="12"/>
        </w:rPr>
        <w:t> </w:t>
      </w:r>
      <w:r>
        <w:rPr>
          <w:color w:val="231F20"/>
        </w:rPr>
        <w:t>example,</w:t>
      </w:r>
      <w:r>
        <w:rPr>
          <w:color w:val="231F20"/>
          <w:spacing w:val="12"/>
        </w:rPr>
        <w:t> </w:t>
      </w:r>
      <w:r>
        <w:rPr>
          <w:color w:val="231F20"/>
        </w:rPr>
        <w:t>a</w:t>
      </w:r>
      <w:r>
        <w:rPr>
          <w:color w:val="231F20"/>
          <w:spacing w:val="12"/>
        </w:rPr>
        <w:t> </w:t>
      </w:r>
      <w:r>
        <w:rPr>
          <w:color w:val="231F20"/>
        </w:rPr>
        <w:t>WebSphere</w:t>
      </w:r>
      <w:r>
        <w:rPr>
          <w:color w:val="231F20"/>
          <w:spacing w:val="12"/>
        </w:rPr>
        <w:t> </w:t>
      </w:r>
      <w:r>
        <w:rPr>
          <w:color w:val="231F20"/>
        </w:rPr>
        <w:t>MQ</w:t>
      </w:r>
      <w:r>
        <w:rPr>
          <w:color w:val="231F20"/>
          <w:spacing w:val="12"/>
        </w:rPr>
        <w:t> </w:t>
      </w:r>
      <w:r>
        <w:rPr>
          <w:color w:val="231F20"/>
        </w:rPr>
        <w:t>message</w:t>
      </w:r>
      <w:r>
        <w:rPr>
          <w:color w:val="231F20"/>
          <w:spacing w:val="12"/>
        </w:rPr>
        <w:t> </w:t>
      </w:r>
      <w:r>
        <w:rPr>
          <w:color w:val="231F20"/>
        </w:rPr>
        <w:t>queue</w:t>
      </w:r>
      <w:r>
        <w:rPr>
          <w:color w:val="231F20"/>
          <w:spacing w:val="12"/>
        </w:rPr>
        <w:t> </w:t>
      </w:r>
      <w:r>
        <w:rPr>
          <w:color w:val="231F20"/>
        </w:rPr>
        <w:t>policy</w:t>
      </w:r>
      <w:r>
        <w:rPr>
          <w:color w:val="231F20"/>
          <w:spacing w:val="12"/>
        </w:rPr>
        <w:t> </w:t>
      </w:r>
      <w:r>
        <w:rPr>
          <w:color w:val="231F20"/>
        </w:rPr>
        <w:t>written</w:t>
      </w:r>
      <w:r>
        <w:rPr>
          <w:color w:val="231F20"/>
          <w:spacing w:val="12"/>
        </w:rPr>
        <w:t> </w:t>
      </w:r>
      <w:r>
        <w:rPr>
          <w:color w:val="231F20"/>
        </w:rPr>
        <w:t>for a system with three WebSphere MQ message queues would be distributed to the three agents of this type on the system.</w:t>
      </w:r>
    </w:p>
    <w:p>
      <w:pPr>
        <w:pStyle w:val="Heading6"/>
        <w:spacing w:before="116"/>
        <w:ind w:left="2232"/>
      </w:pPr>
      <w:r>
        <w:rPr>
          <w:color w:val="231F20"/>
          <w:spacing w:val="-2"/>
        </w:rPr>
        <w:t>Assigned</w:t>
      </w:r>
    </w:p>
    <w:p>
      <w:pPr>
        <w:pStyle w:val="BodyText"/>
        <w:spacing w:line="258" w:lineRule="exact"/>
        <w:ind w:left="2951"/>
      </w:pPr>
      <w:r>
        <w:rPr>
          <w:color w:val="231F20"/>
        </w:rPr>
        <w:t>Shows</w:t>
      </w:r>
      <w:r>
        <w:rPr>
          <w:color w:val="231F20"/>
          <w:spacing w:val="12"/>
        </w:rPr>
        <w:t> </w:t>
      </w:r>
      <w:r>
        <w:rPr>
          <w:color w:val="231F20"/>
        </w:rPr>
        <w:t>the</w:t>
      </w:r>
      <w:r>
        <w:rPr>
          <w:color w:val="231F20"/>
          <w:spacing w:val="12"/>
        </w:rPr>
        <w:t> </w:t>
      </w:r>
      <w:r>
        <w:rPr>
          <w:color w:val="231F20"/>
        </w:rPr>
        <w:t>agents</w:t>
      </w:r>
      <w:r>
        <w:rPr>
          <w:color w:val="231F20"/>
          <w:spacing w:val="12"/>
        </w:rPr>
        <w:t> </w:t>
      </w:r>
      <w:r>
        <w:rPr>
          <w:color w:val="231F20"/>
        </w:rPr>
        <w:t>to</w:t>
      </w:r>
      <w:r>
        <w:rPr>
          <w:color w:val="231F20"/>
          <w:spacing w:val="12"/>
        </w:rPr>
        <w:t> </w:t>
      </w:r>
      <w:r>
        <w:rPr>
          <w:color w:val="231F20"/>
        </w:rPr>
        <w:t>which</w:t>
      </w:r>
      <w:r>
        <w:rPr>
          <w:color w:val="231F20"/>
          <w:spacing w:val="12"/>
        </w:rPr>
        <w:t> </w:t>
      </w:r>
      <w:r>
        <w:rPr>
          <w:color w:val="231F20"/>
        </w:rPr>
        <w:t>the</w:t>
      </w:r>
      <w:r>
        <w:rPr>
          <w:color w:val="231F20"/>
          <w:spacing w:val="12"/>
        </w:rPr>
        <w:t> </w:t>
      </w:r>
      <w:r>
        <w:rPr>
          <w:color w:val="231F20"/>
        </w:rPr>
        <w:t>policy</w:t>
      </w:r>
      <w:r>
        <w:rPr>
          <w:color w:val="231F20"/>
          <w:spacing w:val="12"/>
        </w:rPr>
        <w:t> </w:t>
      </w:r>
      <w:r>
        <w:rPr>
          <w:color w:val="231F20"/>
        </w:rPr>
        <w:t>is</w:t>
      </w:r>
      <w:r>
        <w:rPr>
          <w:color w:val="231F20"/>
          <w:spacing w:val="12"/>
        </w:rPr>
        <w:t> </w:t>
      </w:r>
      <w:r>
        <w:rPr>
          <w:color w:val="231F20"/>
          <w:spacing w:val="-2"/>
        </w:rPr>
        <w:t>assigned.</w:t>
      </w:r>
    </w:p>
    <w:p>
      <w:pPr>
        <w:pStyle w:val="Heading6"/>
        <w:spacing w:before="111"/>
        <w:ind w:left="2232"/>
      </w:pPr>
      <w:r>
        <w:rPr>
          <w:color w:val="231F20"/>
        </w:rPr>
        <w:t>Available Managed </w:t>
      </w:r>
      <w:r>
        <w:rPr>
          <w:color w:val="231F20"/>
          <w:spacing w:val="-2"/>
        </w:rPr>
        <w:t>Systems</w:t>
      </w:r>
    </w:p>
    <w:p>
      <w:pPr>
        <w:pStyle w:val="BodyText"/>
        <w:spacing w:line="213" w:lineRule="auto" w:before="12"/>
        <w:ind w:left="2951" w:right="545"/>
      </w:pPr>
      <w:r>
        <w:rPr>
          <w:color w:val="231F20"/>
        </w:rPr>
        <w:t>Shows the agents of the same type to which the policy can be distributed, such as all UNIX agents for a UNIX situation. To add a managed system </w:t>
      </w:r>
      <w:r>
        <w:rPr>
          <w:color w:val="231F20"/>
        </w:rPr>
        <w:t>to the</w:t>
      </w:r>
      <w:r>
        <w:rPr>
          <w:color w:val="231F20"/>
          <w:spacing w:val="25"/>
        </w:rPr>
        <w:t> </w:t>
      </w:r>
      <w:r>
        <w:rPr>
          <w:color w:val="231F20"/>
        </w:rPr>
        <w:t>distribution,</w:t>
      </w:r>
      <w:r>
        <w:rPr>
          <w:color w:val="231F20"/>
          <w:spacing w:val="25"/>
        </w:rPr>
        <w:t> </w:t>
      </w:r>
      <w:r>
        <w:rPr>
          <w:color w:val="231F20"/>
        </w:rPr>
        <w:t>click</w:t>
      </w:r>
      <w:r>
        <w:rPr>
          <w:color w:val="231F20"/>
          <w:spacing w:val="25"/>
        </w:rPr>
        <w:t> </w:t>
      </w:r>
      <w:r>
        <w:rPr>
          <w:color w:val="231F20"/>
        </w:rPr>
        <w:t>the</w:t>
      </w:r>
      <w:r>
        <w:rPr>
          <w:color w:val="231F20"/>
          <w:spacing w:val="25"/>
        </w:rPr>
        <w:t> </w:t>
      </w:r>
      <w:r>
        <w:rPr>
          <w:color w:val="231F20"/>
        </w:rPr>
        <w:t>name,</w:t>
      </w:r>
      <w:r>
        <w:rPr>
          <w:color w:val="231F20"/>
          <w:spacing w:val="25"/>
        </w:rPr>
        <w:t> </w:t>
      </w:r>
      <w:r>
        <w:rPr>
          <w:color w:val="231F20"/>
        </w:rPr>
        <w:t>then</w:t>
      </w:r>
      <w:r>
        <w:rPr>
          <w:color w:val="231F20"/>
          <w:spacing w:val="80"/>
        </w:rPr>
        <w:t> </w:t>
      </w:r>
      <w:r>
        <w:rPr>
          <w:color w:val="231F20"/>
          <w:spacing w:val="15"/>
          <w:position w:val="1"/>
        </w:rPr>
        <w:drawing>
          <wp:inline distT="0" distB="0" distL="0" distR="0">
            <wp:extent cx="44450" cy="76200"/>
            <wp:effectExtent l="0" t="0" r="0" b="0"/>
            <wp:docPr id="2736" name="Image 2736"/>
            <wp:cNvGraphicFramePr>
              <a:graphicFrameLocks/>
            </wp:cNvGraphicFramePr>
            <a:graphic>
              <a:graphicData uri="http://schemas.openxmlformats.org/drawingml/2006/picture">
                <pic:pic>
                  <pic:nvPicPr>
                    <pic:cNvPr id="2736" name="Image 2736"/>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80"/>
          <w:w w:val="150"/>
        </w:rPr>
        <w:t> </w:t>
      </w:r>
      <w:r>
        <w:rPr>
          <w:color w:val="231F20"/>
        </w:rPr>
        <w:t>to</w:t>
      </w:r>
      <w:r>
        <w:rPr>
          <w:color w:val="231F20"/>
          <w:spacing w:val="25"/>
        </w:rPr>
        <w:t> </w:t>
      </w:r>
      <w:r>
        <w:rPr>
          <w:color w:val="231F20"/>
        </w:rPr>
        <w:t>move</w:t>
      </w:r>
      <w:r>
        <w:rPr>
          <w:color w:val="231F20"/>
          <w:spacing w:val="25"/>
        </w:rPr>
        <w:t> </w:t>
      </w:r>
      <w:r>
        <w:rPr>
          <w:color w:val="231F20"/>
        </w:rPr>
        <w:t>it</w:t>
      </w:r>
      <w:r>
        <w:rPr>
          <w:color w:val="231F20"/>
          <w:spacing w:val="25"/>
        </w:rPr>
        <w:t> </w:t>
      </w:r>
      <w:r>
        <w:rPr>
          <w:color w:val="231F20"/>
        </w:rPr>
        <w:t>to</w:t>
      </w:r>
      <w:r>
        <w:rPr>
          <w:color w:val="231F20"/>
          <w:spacing w:val="25"/>
        </w:rPr>
        <w:t> </w:t>
      </w:r>
      <w:r>
        <w:rPr>
          <w:color w:val="231F20"/>
        </w:rPr>
        <w:t>the Assigned</w:t>
      </w:r>
      <w:r>
        <w:rPr>
          <w:color w:val="231F20"/>
          <w:spacing w:val="25"/>
        </w:rPr>
        <w:t> </w:t>
      </w:r>
      <w:r>
        <w:rPr>
          <w:color w:val="231F20"/>
        </w:rPr>
        <w:t>list.</w:t>
      </w:r>
    </w:p>
    <w:p>
      <w:pPr>
        <w:pStyle w:val="Heading6"/>
        <w:spacing w:before="116"/>
        <w:ind w:left="2232"/>
      </w:pPr>
      <w:r>
        <w:rPr>
          <w:color w:val="231F20"/>
        </w:rPr>
        <w:t>Available</w:t>
      </w:r>
      <w:r>
        <w:rPr>
          <w:color w:val="231F20"/>
          <w:spacing w:val="3"/>
        </w:rPr>
        <w:t> </w:t>
      </w:r>
      <w:r>
        <w:rPr>
          <w:color w:val="231F20"/>
        </w:rPr>
        <w:t>Managed</w:t>
      </w:r>
      <w:r>
        <w:rPr>
          <w:color w:val="231F20"/>
          <w:spacing w:val="3"/>
        </w:rPr>
        <w:t> </w:t>
      </w:r>
      <w:r>
        <w:rPr>
          <w:color w:val="231F20"/>
        </w:rPr>
        <w:t>System</w:t>
      </w:r>
      <w:r>
        <w:rPr>
          <w:color w:val="231F20"/>
          <w:spacing w:val="3"/>
        </w:rPr>
        <w:t> </w:t>
      </w:r>
      <w:r>
        <w:rPr>
          <w:color w:val="231F20"/>
          <w:spacing w:val="-2"/>
        </w:rPr>
        <w:t>Groups</w:t>
      </w:r>
    </w:p>
    <w:p>
      <w:pPr>
        <w:pStyle w:val="BodyText"/>
        <w:spacing w:line="213" w:lineRule="auto" w:before="11"/>
        <w:ind w:left="2951" w:right="543"/>
      </w:pPr>
      <w:r>
        <w:rPr>
          <w:color w:val="231F20"/>
        </w:rPr>
        <w:t>Your product comes with one managed system group named for the </w:t>
      </w:r>
      <w:r>
        <w:rPr>
          <w:color w:val="231F20"/>
          <w:spacing w:val="-4"/>
        </w:rPr>
        <w:t>product,</w:t>
      </w:r>
      <w:r>
        <w:rPr>
          <w:color w:val="231F20"/>
          <w:spacing w:val="-8"/>
        </w:rPr>
        <w:t> </w:t>
      </w:r>
      <w:r>
        <w:rPr>
          <w:color w:val="231F20"/>
          <w:spacing w:val="-4"/>
        </w:rPr>
        <w:t>such</w:t>
      </w:r>
      <w:r>
        <w:rPr>
          <w:color w:val="231F20"/>
          <w:spacing w:val="-7"/>
        </w:rPr>
        <w:t> </w:t>
      </w:r>
      <w:r>
        <w:rPr>
          <w:color w:val="231F20"/>
          <w:spacing w:val="-4"/>
        </w:rPr>
        <w:t>as</w:t>
      </w:r>
      <w:r>
        <w:rPr>
          <w:color w:val="231F20"/>
          <w:spacing w:val="-7"/>
        </w:rPr>
        <w:t> </w:t>
      </w:r>
      <w:r>
        <w:rPr>
          <w:rFonts w:ascii="Arial"/>
          <w:color w:val="231F20"/>
          <w:spacing w:val="-4"/>
        </w:rPr>
        <w:t>*MS_SQL_SERVER</w:t>
      </w:r>
      <w:r>
        <w:rPr>
          <w:rFonts w:ascii="Arial"/>
          <w:color w:val="231F20"/>
          <w:spacing w:val="-10"/>
        </w:rPr>
        <w:t> </w:t>
      </w:r>
      <w:r>
        <w:rPr>
          <w:color w:val="231F20"/>
          <w:spacing w:val="-4"/>
        </w:rPr>
        <w:t>for</w:t>
      </w:r>
      <w:r>
        <w:rPr>
          <w:color w:val="231F20"/>
          <w:spacing w:val="-7"/>
        </w:rPr>
        <w:t> </w:t>
      </w:r>
      <w:r>
        <w:rPr>
          <w:color w:val="231F20"/>
          <w:spacing w:val="-4"/>
        </w:rPr>
        <w:t>all</w:t>
      </w:r>
      <w:r>
        <w:rPr>
          <w:color w:val="231F20"/>
          <w:spacing w:val="-7"/>
        </w:rPr>
        <w:t> </w:t>
      </w:r>
      <w:r>
        <w:rPr>
          <w:color w:val="231F20"/>
          <w:spacing w:val="-4"/>
        </w:rPr>
        <w:t>MS</w:t>
      </w:r>
      <w:r>
        <w:rPr>
          <w:color w:val="231F20"/>
          <w:spacing w:val="-7"/>
        </w:rPr>
        <w:t> </w:t>
      </w:r>
      <w:r>
        <w:rPr>
          <w:color w:val="231F20"/>
          <w:spacing w:val="-4"/>
        </w:rPr>
        <w:t>SQL</w:t>
      </w:r>
      <w:r>
        <w:rPr>
          <w:color w:val="231F20"/>
          <w:spacing w:val="-8"/>
        </w:rPr>
        <w:t> </w:t>
      </w:r>
      <w:r>
        <w:rPr>
          <w:color w:val="231F20"/>
          <w:spacing w:val="-4"/>
        </w:rPr>
        <w:t>Server</w:t>
      </w:r>
      <w:r>
        <w:rPr>
          <w:color w:val="231F20"/>
          <w:spacing w:val="-8"/>
        </w:rPr>
        <w:t> </w:t>
      </w:r>
      <w:r>
        <w:rPr>
          <w:color w:val="231F20"/>
          <w:spacing w:val="-4"/>
        </w:rPr>
        <w:t>managed</w:t>
      </w:r>
      <w:r>
        <w:rPr>
          <w:color w:val="231F20"/>
          <w:spacing w:val="-7"/>
        </w:rPr>
        <w:t> </w:t>
      </w:r>
      <w:r>
        <w:rPr>
          <w:color w:val="231F20"/>
          <w:spacing w:val="-4"/>
        </w:rPr>
        <w:t>systems. </w:t>
      </w:r>
      <w:r>
        <w:rPr>
          <w:color w:val="231F20"/>
        </w:rPr>
        <w:t>To</w:t>
      </w:r>
      <w:r>
        <w:rPr>
          <w:color w:val="231F20"/>
          <w:spacing w:val="18"/>
        </w:rPr>
        <w:t> </w:t>
      </w:r>
      <w:r>
        <w:rPr>
          <w:color w:val="231F20"/>
        </w:rPr>
        <w:t>add</w:t>
      </w:r>
      <w:r>
        <w:rPr>
          <w:color w:val="231F20"/>
          <w:spacing w:val="18"/>
        </w:rPr>
        <w:t> </w:t>
      </w:r>
      <w:r>
        <w:rPr>
          <w:color w:val="231F20"/>
        </w:rPr>
        <w:t>a</w:t>
      </w:r>
      <w:r>
        <w:rPr>
          <w:color w:val="231F20"/>
          <w:spacing w:val="18"/>
        </w:rPr>
        <w:t> </w:t>
      </w:r>
      <w:r>
        <w:rPr>
          <w:color w:val="231F20"/>
        </w:rPr>
        <w:t>managed</w:t>
      </w:r>
      <w:r>
        <w:rPr>
          <w:color w:val="231F20"/>
          <w:spacing w:val="18"/>
        </w:rPr>
        <w:t> </w:t>
      </w:r>
      <w:r>
        <w:rPr>
          <w:color w:val="231F20"/>
        </w:rPr>
        <w:t>system</w:t>
      </w:r>
      <w:r>
        <w:rPr>
          <w:color w:val="231F20"/>
          <w:spacing w:val="18"/>
        </w:rPr>
        <w:t> </w:t>
      </w:r>
      <w:r>
        <w:rPr>
          <w:color w:val="231F20"/>
        </w:rPr>
        <w:t>group</w:t>
      </w:r>
      <w:r>
        <w:rPr>
          <w:color w:val="231F20"/>
          <w:spacing w:val="18"/>
        </w:rPr>
        <w:t> </w:t>
      </w:r>
      <w:r>
        <w:rPr>
          <w:color w:val="231F20"/>
        </w:rPr>
        <w:t>to</w:t>
      </w:r>
      <w:r>
        <w:rPr>
          <w:color w:val="231F20"/>
          <w:spacing w:val="18"/>
        </w:rPr>
        <w:t> </w:t>
      </w:r>
      <w:r>
        <w:rPr>
          <w:color w:val="231F20"/>
        </w:rPr>
        <w:t>the</w:t>
      </w:r>
      <w:r>
        <w:rPr>
          <w:color w:val="231F20"/>
          <w:spacing w:val="18"/>
        </w:rPr>
        <w:t> </w:t>
      </w:r>
      <w:r>
        <w:rPr>
          <w:color w:val="231F20"/>
        </w:rPr>
        <w:t>distribution,</w:t>
      </w:r>
      <w:r>
        <w:rPr>
          <w:color w:val="231F20"/>
          <w:spacing w:val="18"/>
        </w:rPr>
        <w:t> </w:t>
      </w:r>
      <w:r>
        <w:rPr>
          <w:color w:val="231F20"/>
        </w:rPr>
        <w:t>click</w:t>
      </w:r>
      <w:r>
        <w:rPr>
          <w:color w:val="231F20"/>
          <w:spacing w:val="18"/>
        </w:rPr>
        <w:t> </w:t>
      </w:r>
      <w:r>
        <w:rPr>
          <w:color w:val="231F20"/>
        </w:rPr>
        <w:t>the</w:t>
      </w:r>
      <w:r>
        <w:rPr>
          <w:color w:val="231F20"/>
          <w:spacing w:val="18"/>
        </w:rPr>
        <w:t> </w:t>
      </w:r>
      <w:r>
        <w:rPr>
          <w:color w:val="231F20"/>
        </w:rPr>
        <w:t>name,</w:t>
      </w:r>
      <w:r>
        <w:rPr>
          <w:color w:val="231F20"/>
          <w:spacing w:val="18"/>
        </w:rPr>
        <w:t> </w:t>
      </w:r>
      <w:r>
        <w:rPr>
          <w:color w:val="231F20"/>
        </w:rPr>
        <w:t>then </w:t>
      </w:r>
      <w:r>
        <w:rPr>
          <w:color w:val="231F20"/>
          <w:position w:val="1"/>
        </w:rPr>
        <w:drawing>
          <wp:inline distT="0" distB="0" distL="0" distR="0">
            <wp:extent cx="44450" cy="76200"/>
            <wp:effectExtent l="0" t="0" r="0" b="0"/>
            <wp:docPr id="2737" name="Image 2737"/>
            <wp:cNvGraphicFramePr>
              <a:graphicFrameLocks/>
            </wp:cNvGraphicFramePr>
            <a:graphic>
              <a:graphicData uri="http://schemas.openxmlformats.org/drawingml/2006/picture">
                <pic:pic>
                  <pic:nvPicPr>
                    <pic:cNvPr id="2737" name="Image 2737"/>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position w:val="1"/>
        </w:rPr>
      </w:r>
      <w:r>
        <w:rPr>
          <w:rFonts w:ascii="Times New Roman"/>
          <w:color w:val="231F20"/>
          <w:spacing w:val="80"/>
        </w:rPr>
        <w:t> </w:t>
      </w:r>
      <w:r>
        <w:rPr>
          <w:color w:val="231F20"/>
        </w:rPr>
        <w:t>to move it to the Assigned list.</w:t>
      </w:r>
    </w:p>
    <w:p>
      <w:pPr>
        <w:pStyle w:val="BodyText"/>
        <w:spacing w:line="213" w:lineRule="auto" w:before="237"/>
        <w:ind w:left="2232" w:right="636"/>
      </w:pPr>
      <w:r>
        <w:rPr>
          <w:rFonts w:ascii="Book Antiqua"/>
          <w:b/>
          <w:color w:val="231F20"/>
        </w:rPr>
        <w:t>Note:</w:t>
      </w:r>
      <w:r>
        <w:rPr>
          <w:rFonts w:ascii="Book Antiqua"/>
          <w:b/>
          <w:color w:val="231F20"/>
          <w:spacing w:val="40"/>
        </w:rPr>
        <w:t> </w:t>
      </w:r>
      <w:r>
        <w:rPr>
          <w:color w:val="231F20"/>
        </w:rPr>
        <w:t>If </w:t>
      </w:r>
      <w:r>
        <w:rPr>
          <w:rFonts w:ascii="Book Antiqua"/>
          <w:b/>
          <w:color w:val="231F20"/>
        </w:rPr>
        <w:t>Correlate by </w:t>
      </w:r>
      <w:r>
        <w:rPr>
          <w:color w:val="231F20"/>
        </w:rPr>
        <w:t>is set to Business Application, no individual </w:t>
      </w:r>
      <w:r>
        <w:rPr>
          <w:color w:val="231F20"/>
        </w:rPr>
        <w:t>managed systems are shown; only managed system groups.</w:t>
      </w:r>
    </w:p>
    <w:p>
      <w:pPr>
        <w:spacing w:after="0" w:line="213" w:lineRule="auto"/>
        <w:sectPr>
          <w:pgSz w:w="12240" w:h="15840"/>
          <w:pgMar w:header="0" w:footer="736" w:top="1180" w:bottom="920" w:left="1000" w:right="1060"/>
        </w:sectPr>
      </w:pPr>
    </w:p>
    <w:p>
      <w:pPr>
        <w:pStyle w:val="Heading3"/>
        <w:spacing w:before="84"/>
        <w:ind w:left="1574"/>
      </w:pPr>
      <w:bookmarkStart w:name="_bookmark243" w:id="507"/>
      <w:bookmarkEnd w:id="507"/>
      <w:r>
        <w:rPr>
          <w:b w:val="0"/>
        </w:rPr>
      </w:r>
      <w:bookmarkStart w:name="Workflows" w:id="508"/>
      <w:bookmarkEnd w:id="508"/>
      <w:r>
        <w:rPr>
          <w:b w:val="0"/>
        </w:rPr>
      </w:r>
      <w:r>
        <w:rPr>
          <w:color w:val="231F20"/>
          <w:spacing w:val="-2"/>
        </w:rPr>
        <w:t>W</w:t>
      </w:r>
      <w:bookmarkStart w:name="_bookmark242" w:id="509"/>
      <w:bookmarkEnd w:id="509"/>
      <w:r>
        <w:rPr>
          <w:color w:val="231F20"/>
          <w:spacing w:val="-2"/>
        </w:rPr>
        <w:t>orkflows</w:t>
      </w:r>
    </w:p>
    <w:p>
      <w:pPr>
        <w:pStyle w:val="BodyText"/>
        <w:spacing w:line="213" w:lineRule="auto" w:before="58"/>
        <w:ind w:left="2472" w:right="258"/>
      </w:pPr>
      <w:r>
        <w:rPr>
          <w:color w:val="231F20"/>
        </w:rPr>
        <w:t>The Workflows window opens when you click </w:t>
      </w:r>
      <w:r>
        <w:rPr>
          <w:color w:val="231F20"/>
          <w:spacing w:val="15"/>
          <w:position w:val="-1"/>
        </w:rPr>
        <w:drawing>
          <wp:inline distT="0" distB="0" distL="0" distR="0">
            <wp:extent cx="101600" cy="101600"/>
            <wp:effectExtent l="0" t="0" r="0" b="0"/>
            <wp:docPr id="2738" name="Image 2738"/>
            <wp:cNvGraphicFramePr>
              <a:graphicFrameLocks/>
            </wp:cNvGraphicFramePr>
            <a:graphic>
              <a:graphicData uri="http://schemas.openxmlformats.org/drawingml/2006/picture">
                <pic:pic>
                  <pic:nvPicPr>
                    <pic:cNvPr id="2738" name="Image 2738"/>
                    <pic:cNvPicPr/>
                  </pic:nvPicPr>
                  <pic:blipFill>
                    <a:blip r:embed="rId427"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1"/>
        </w:rPr>
        <w:t> </w:t>
      </w:r>
      <w:r>
        <w:rPr>
          <w:rFonts w:ascii="Book Antiqua"/>
          <w:b/>
          <w:color w:val="231F20"/>
        </w:rPr>
        <w:t>Workflow Editor</w:t>
      </w:r>
      <w:r>
        <w:rPr>
          <w:color w:val="231F20"/>
        </w:rPr>
        <w:t>. Use this</w:t>
      </w:r>
      <w:r>
        <w:rPr>
          <w:color w:val="231F20"/>
          <w:spacing w:val="80"/>
        </w:rPr>
        <w:t> </w:t>
      </w:r>
      <w:r>
        <w:rPr>
          <w:color w:val="231F20"/>
        </w:rPr>
        <w:t>window to see all the policies in your managed environment and to create and </w:t>
      </w:r>
      <w:r>
        <w:rPr>
          <w:color w:val="231F20"/>
        </w:rPr>
        <w:t>edit policy workflows.</w:t>
      </w:r>
    </w:p>
    <w:p>
      <w:pPr>
        <w:pStyle w:val="BodyText"/>
        <w:spacing w:before="214"/>
        <w:ind w:left="2472"/>
      </w:pPr>
      <w:bookmarkStart w:name="Policy Details" w:id="510"/>
      <w:bookmarkEnd w:id="510"/>
      <w:r>
        <w:rPr/>
      </w:r>
      <w:r>
        <w:rPr>
          <w:color w:val="231F20"/>
        </w:rPr>
        <w:t>The</w:t>
      </w:r>
      <w:r>
        <w:rPr>
          <w:color w:val="231F20"/>
          <w:spacing w:val="6"/>
        </w:rPr>
        <w:t> </w:t>
      </w:r>
      <w:r>
        <w:rPr>
          <w:color w:val="231F20"/>
        </w:rPr>
        <w:t>Workflows</w:t>
      </w:r>
      <w:r>
        <w:rPr>
          <w:color w:val="231F20"/>
          <w:spacing w:val="7"/>
        </w:rPr>
        <w:t> </w:t>
      </w:r>
      <w:r>
        <w:rPr>
          <w:color w:val="231F20"/>
        </w:rPr>
        <w:t>window</w:t>
      </w:r>
      <w:r>
        <w:rPr>
          <w:color w:val="231F20"/>
          <w:spacing w:val="6"/>
        </w:rPr>
        <w:t> </w:t>
      </w:r>
      <w:r>
        <w:rPr>
          <w:color w:val="231F20"/>
        </w:rPr>
        <w:t>has</w:t>
      </w:r>
      <w:r>
        <w:rPr>
          <w:color w:val="231F20"/>
          <w:spacing w:val="7"/>
        </w:rPr>
        <w:t> </w:t>
      </w:r>
      <w:r>
        <w:rPr>
          <w:color w:val="231F20"/>
        </w:rPr>
        <w:t>two</w:t>
      </w:r>
      <w:r>
        <w:rPr>
          <w:color w:val="231F20"/>
          <w:spacing w:val="6"/>
        </w:rPr>
        <w:t> </w:t>
      </w:r>
      <w:r>
        <w:rPr>
          <w:color w:val="231F20"/>
        </w:rPr>
        <w:t>parts:</w:t>
      </w:r>
      <w:r>
        <w:rPr>
          <w:color w:val="231F20"/>
          <w:spacing w:val="7"/>
        </w:rPr>
        <w:t> </w:t>
      </w:r>
      <w:r>
        <w:rPr>
          <w:color w:val="231F20"/>
        </w:rPr>
        <w:t>Policy</w:t>
      </w:r>
      <w:r>
        <w:rPr>
          <w:color w:val="231F20"/>
          <w:spacing w:val="7"/>
        </w:rPr>
        <w:t> </w:t>
      </w:r>
      <w:r>
        <w:rPr>
          <w:color w:val="231F20"/>
        </w:rPr>
        <w:t>Details</w:t>
      </w:r>
      <w:r>
        <w:rPr>
          <w:color w:val="231F20"/>
          <w:spacing w:val="6"/>
        </w:rPr>
        <w:t> </w:t>
      </w:r>
      <w:r>
        <w:rPr>
          <w:color w:val="231F20"/>
        </w:rPr>
        <w:t>and</w:t>
      </w:r>
      <w:r>
        <w:rPr>
          <w:color w:val="231F20"/>
          <w:spacing w:val="7"/>
        </w:rPr>
        <w:t> </w:t>
      </w:r>
      <w:r>
        <w:rPr>
          <w:color w:val="231F20"/>
        </w:rPr>
        <w:t>Workflow</w:t>
      </w:r>
      <w:r>
        <w:rPr>
          <w:color w:val="231F20"/>
          <w:spacing w:val="6"/>
        </w:rPr>
        <w:t> </w:t>
      </w:r>
      <w:r>
        <w:rPr>
          <w:color w:val="231F20"/>
          <w:spacing w:val="-2"/>
        </w:rPr>
        <w:t>Editor.</w:t>
      </w:r>
    </w:p>
    <w:p>
      <w:pPr>
        <w:pStyle w:val="Heading4"/>
        <w:spacing w:line="273" w:lineRule="exact" w:before="159"/>
        <w:ind w:left="2472"/>
      </w:pPr>
      <w:r>
        <w:rPr>
          <w:color w:val="231F20"/>
        </w:rPr>
        <w:t>Policy</w:t>
      </w:r>
      <w:r>
        <w:rPr>
          <w:color w:val="231F20"/>
          <w:spacing w:val="5"/>
        </w:rPr>
        <w:t> </w:t>
      </w:r>
      <w:r>
        <w:rPr>
          <w:color w:val="231F20"/>
          <w:spacing w:val="-2"/>
        </w:rPr>
        <w:t>Details</w:t>
      </w:r>
    </w:p>
    <w:p>
      <w:pPr>
        <w:pStyle w:val="BodyText"/>
        <w:spacing w:line="213" w:lineRule="auto" w:before="20"/>
        <w:ind w:left="2472" w:right="258"/>
      </w:pPr>
      <w:r>
        <w:rPr>
          <w:color w:val="231F20"/>
        </w:rPr>
        <w:t>Review the Policy Details area of the Workflows window to see the entire list of policies in your monitored environment and information about each policy, such </w:t>
      </w:r>
      <w:r>
        <w:rPr>
          <w:color w:val="231F20"/>
        </w:rPr>
        <w:t>as whether it is distributed or auto started.</w:t>
      </w:r>
    </w:p>
    <w:p>
      <w:pPr>
        <w:pStyle w:val="Heading5"/>
      </w:pPr>
      <w:r>
        <w:rPr>
          <w:color w:val="231F20"/>
          <w:spacing w:val="-2"/>
        </w:rPr>
        <w:t>Toolbar</w:t>
      </w:r>
    </w:p>
    <w:p>
      <w:pPr>
        <w:pStyle w:val="BodyText"/>
        <w:spacing w:line="213" w:lineRule="auto" w:before="246"/>
        <w:ind w:left="2472" w:right="258"/>
      </w:pPr>
      <w:r>
        <w:rPr>
          <w:color w:val="231F20"/>
        </w:rPr>
        <w:t>The Policy Details lists the policies that are stored on the Hub Tivoli Enterprise Monitoring Server and any remote monitoring servers. It has tools for creating and maintaining policies and an area that shows the current version of each Workflow software component.If none of the tools is available, your user ID does not have Modify Policy permission; if, after you select a policy, the Start and Stop tools both remain dimmed, your user ID does not have Start/Stop Policy permission.</w:t>
      </w:r>
    </w:p>
    <w:p>
      <w:pPr>
        <w:pStyle w:val="Heading6"/>
        <w:spacing w:before="114"/>
        <w:ind w:left="2522"/>
      </w:pPr>
      <w:r>
        <w:rPr>
          <w:b w:val="0"/>
          <w:position w:val="-1"/>
        </w:rPr>
        <w:drawing>
          <wp:inline distT="0" distB="0" distL="0" distR="0">
            <wp:extent cx="63500" cy="101600"/>
            <wp:effectExtent l="0" t="0" r="0" b="0"/>
            <wp:docPr id="2739" name="Image 2739"/>
            <wp:cNvGraphicFramePr>
              <a:graphicFrameLocks/>
            </wp:cNvGraphicFramePr>
            <a:graphic>
              <a:graphicData uri="http://schemas.openxmlformats.org/drawingml/2006/picture">
                <pic:pic>
                  <pic:nvPicPr>
                    <pic:cNvPr id="2739" name="Image 2739"/>
                    <pic:cNvPicPr/>
                  </pic:nvPicPr>
                  <pic:blipFill>
                    <a:blip r:embed="rId376" cstate="print"/>
                    <a:stretch>
                      <a:fillRect/>
                    </a:stretch>
                  </pic:blipFill>
                  <pic:spPr>
                    <a:xfrm>
                      <a:off x="0" y="0"/>
                      <a:ext cx="63500" cy="101600"/>
                    </a:xfrm>
                    <a:prstGeom prst="rect">
                      <a:avLst/>
                    </a:prstGeom>
                  </pic:spPr>
                </pic:pic>
              </a:graphicData>
            </a:graphic>
          </wp:inline>
        </w:drawing>
      </w:r>
      <w:r>
        <w:rPr>
          <w:b w:val="0"/>
          <w:position w:val="-1"/>
        </w:rPr>
      </w:r>
      <w:r>
        <w:rPr>
          <w:rFonts w:ascii="Times New Roman"/>
          <w:b w:val="0"/>
          <w:spacing w:val="80"/>
        </w:rPr>
        <w:t> </w:t>
      </w:r>
      <w:r>
        <w:rPr>
          <w:color w:val="231F20"/>
        </w:rPr>
        <w:t>Start Policy</w:t>
      </w:r>
    </w:p>
    <w:p>
      <w:pPr>
        <w:pStyle w:val="BodyText"/>
        <w:spacing w:line="213" w:lineRule="auto" w:before="11"/>
        <w:ind w:left="3190" w:right="385"/>
      </w:pPr>
      <w:r>
        <w:rPr>
          <w:color w:val="231F20"/>
        </w:rPr>
        <w:t>Starts the selected policy (or policies) on the managed systems to which </w:t>
      </w:r>
      <w:r>
        <w:rPr>
          <w:color w:val="231F20"/>
        </w:rPr>
        <w:t>it</w:t>
      </w:r>
      <w:r>
        <w:rPr>
          <w:color w:val="231F20"/>
          <w:spacing w:val="40"/>
        </w:rPr>
        <w:t> </w:t>
      </w:r>
      <w:r>
        <w:rPr>
          <w:color w:val="231F20"/>
        </w:rPr>
        <w:t>is distributed.</w:t>
      </w:r>
    </w:p>
    <w:p>
      <w:pPr>
        <w:pStyle w:val="Heading6"/>
        <w:spacing w:before="118"/>
        <w:ind w:left="2482"/>
      </w:pPr>
      <w:r>
        <w:rPr>
          <w:b w:val="0"/>
          <w:position w:val="-1"/>
        </w:rPr>
        <w:drawing>
          <wp:inline distT="0" distB="0" distL="0" distR="0">
            <wp:extent cx="95250" cy="95250"/>
            <wp:effectExtent l="0" t="0" r="0" b="0"/>
            <wp:docPr id="2740" name="Image 2740"/>
            <wp:cNvGraphicFramePr>
              <a:graphicFrameLocks/>
            </wp:cNvGraphicFramePr>
            <a:graphic>
              <a:graphicData uri="http://schemas.openxmlformats.org/drawingml/2006/picture">
                <pic:pic>
                  <pic:nvPicPr>
                    <pic:cNvPr id="2740" name="Image 2740"/>
                    <pic:cNvPicPr/>
                  </pic:nvPicPr>
                  <pic:blipFill>
                    <a:blip r:embed="rId38"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Stop Policy</w:t>
      </w:r>
    </w:p>
    <w:p>
      <w:pPr>
        <w:pStyle w:val="BodyText"/>
        <w:spacing w:line="213" w:lineRule="auto" w:before="11"/>
        <w:ind w:left="3190" w:right="493"/>
      </w:pPr>
      <w:r>
        <w:rPr>
          <w:color w:val="231F20"/>
        </w:rPr>
        <w:t>Stops running the selected policy (or policies). If the workflow </w:t>
      </w:r>
      <w:r>
        <w:rPr>
          <w:color w:val="231F20"/>
        </w:rPr>
        <w:t>activities are currently executing, processing stops after the current activity is </w:t>
      </w:r>
      <w:r>
        <w:rPr>
          <w:color w:val="231F20"/>
          <w:spacing w:val="-2"/>
        </w:rPr>
        <w:t>completed.</w:t>
      </w:r>
    </w:p>
    <w:p>
      <w:pPr>
        <w:pStyle w:val="Heading6"/>
        <w:spacing w:before="116"/>
        <w:ind w:left="2482"/>
      </w:pPr>
      <w:r>
        <w:rPr>
          <w:b w:val="0"/>
          <w:position w:val="-1"/>
        </w:rPr>
        <w:drawing>
          <wp:inline distT="0" distB="0" distL="0" distR="0">
            <wp:extent cx="95250" cy="101600"/>
            <wp:effectExtent l="0" t="0" r="0" b="0"/>
            <wp:docPr id="2741" name="Image 2741"/>
            <wp:cNvGraphicFramePr>
              <a:graphicFrameLocks/>
            </wp:cNvGraphicFramePr>
            <a:graphic>
              <a:graphicData uri="http://schemas.openxmlformats.org/drawingml/2006/picture">
                <pic:pic>
                  <pic:nvPicPr>
                    <pic:cNvPr id="2741" name="Image 2741"/>
                    <pic:cNvPicPr/>
                  </pic:nvPicPr>
                  <pic:blipFill>
                    <a:blip r:embed="rId26"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New Policy</w:t>
      </w:r>
    </w:p>
    <w:p>
      <w:pPr>
        <w:pStyle w:val="BodyText"/>
        <w:spacing w:line="213" w:lineRule="auto" w:before="12"/>
        <w:ind w:left="3190" w:right="402"/>
      </w:pPr>
      <w:r>
        <w:rPr>
          <w:color w:val="231F20"/>
        </w:rPr>
        <w:t>Adds a new row to the Policy list, partially collapses the Policy Details</w:t>
      </w:r>
      <w:r>
        <w:rPr>
          <w:color w:val="231F20"/>
          <w:spacing w:val="80"/>
        </w:rPr>
        <w:t> </w:t>
      </w:r>
      <w:r>
        <w:rPr>
          <w:color w:val="231F20"/>
        </w:rPr>
        <w:t>area to show only the new policy, and expands the Workflow Editor area so</w:t>
      </w:r>
      <w:r>
        <w:rPr>
          <w:color w:val="231F20"/>
          <w:spacing w:val="23"/>
        </w:rPr>
        <w:t> </w:t>
      </w:r>
      <w:r>
        <w:rPr>
          <w:color w:val="231F20"/>
        </w:rPr>
        <w:t>you</w:t>
      </w:r>
      <w:r>
        <w:rPr>
          <w:color w:val="231F20"/>
          <w:spacing w:val="23"/>
        </w:rPr>
        <w:t> </w:t>
      </w:r>
      <w:r>
        <w:rPr>
          <w:color w:val="231F20"/>
        </w:rPr>
        <w:t>can</w:t>
      </w:r>
      <w:r>
        <w:rPr>
          <w:color w:val="231F20"/>
          <w:spacing w:val="23"/>
        </w:rPr>
        <w:t> </w:t>
      </w:r>
      <w:r>
        <w:rPr>
          <w:color w:val="231F20"/>
        </w:rPr>
        <w:t>build</w:t>
      </w:r>
      <w:r>
        <w:rPr>
          <w:color w:val="231F20"/>
          <w:spacing w:val="23"/>
        </w:rPr>
        <w:t> </w:t>
      </w:r>
      <w:r>
        <w:rPr>
          <w:color w:val="231F20"/>
        </w:rPr>
        <w:t>the</w:t>
      </w:r>
      <w:r>
        <w:rPr>
          <w:color w:val="231F20"/>
          <w:spacing w:val="23"/>
        </w:rPr>
        <w:t> </w:t>
      </w:r>
      <w:r>
        <w:rPr>
          <w:color w:val="231F20"/>
        </w:rPr>
        <w:t>workflow. You</w:t>
      </w:r>
      <w:r>
        <w:rPr>
          <w:color w:val="231F20"/>
          <w:spacing w:val="23"/>
        </w:rPr>
        <w:t> </w:t>
      </w:r>
      <w:r>
        <w:rPr>
          <w:color w:val="231F20"/>
        </w:rPr>
        <w:t>can</w:t>
      </w:r>
      <w:r>
        <w:rPr>
          <w:color w:val="231F20"/>
          <w:spacing w:val="23"/>
        </w:rPr>
        <w:t> </w:t>
      </w:r>
      <w:r>
        <w:rPr>
          <w:color w:val="231F20"/>
        </w:rPr>
        <w:t>restore</w:t>
      </w:r>
      <w:r>
        <w:rPr>
          <w:color w:val="231F20"/>
          <w:spacing w:val="23"/>
        </w:rPr>
        <w:t> </w:t>
      </w:r>
      <w:r>
        <w:rPr>
          <w:color w:val="231F20"/>
        </w:rPr>
        <w:t>the</w:t>
      </w:r>
      <w:r>
        <w:rPr>
          <w:color w:val="231F20"/>
          <w:spacing w:val="23"/>
        </w:rPr>
        <w:t> </w:t>
      </w:r>
      <w:r>
        <w:rPr>
          <w:color w:val="231F20"/>
        </w:rPr>
        <w:t>policy</w:t>
      </w:r>
      <w:r>
        <w:rPr>
          <w:color w:val="231F20"/>
          <w:spacing w:val="23"/>
        </w:rPr>
        <w:t> </w:t>
      </w:r>
      <w:r>
        <w:rPr>
          <w:color w:val="231F20"/>
        </w:rPr>
        <w:t>list</w:t>
      </w:r>
      <w:r>
        <w:rPr>
          <w:color w:val="231F20"/>
          <w:spacing w:val="23"/>
        </w:rPr>
        <w:t> </w:t>
      </w:r>
      <w:r>
        <w:rPr>
          <w:color w:val="231F20"/>
        </w:rPr>
        <w:t>with </w:t>
      </w:r>
      <w:r>
        <w:rPr>
          <w:color w:val="231F20"/>
          <w:spacing w:val="14"/>
        </w:rPr>
        <w:drawing>
          <wp:inline distT="0" distB="0" distL="0" distR="0">
            <wp:extent cx="190500" cy="57150"/>
            <wp:effectExtent l="0" t="0" r="0" b="0"/>
            <wp:docPr id="2742" name="Image 2742"/>
            <wp:cNvGraphicFramePr>
              <a:graphicFrameLocks/>
            </wp:cNvGraphicFramePr>
            <a:graphic>
              <a:graphicData uri="http://schemas.openxmlformats.org/drawingml/2006/picture">
                <pic:pic>
                  <pic:nvPicPr>
                    <pic:cNvPr id="2742" name="Image 2742"/>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4"/>
        </w:rPr>
      </w:r>
      <w:r>
        <w:rPr>
          <w:rFonts w:ascii="Times New Roman"/>
          <w:color w:val="231F20"/>
          <w:spacing w:val="14"/>
        </w:rPr>
        <w:t> </w:t>
      </w:r>
      <w:r>
        <w:rPr>
          <w:color w:val="231F20"/>
        </w:rPr>
        <w:t>and collapse it with </w:t>
      </w:r>
      <w:r>
        <w:rPr>
          <w:color w:val="231F20"/>
          <w:spacing w:val="16"/>
        </w:rPr>
        <w:drawing>
          <wp:inline distT="0" distB="0" distL="0" distR="0">
            <wp:extent cx="190500" cy="57150"/>
            <wp:effectExtent l="0" t="0" r="0" b="0"/>
            <wp:docPr id="2743" name="Image 2743"/>
            <wp:cNvGraphicFramePr>
              <a:graphicFrameLocks/>
            </wp:cNvGraphicFramePr>
            <a:graphic>
              <a:graphicData uri="http://schemas.openxmlformats.org/drawingml/2006/picture">
                <pic:pic>
                  <pic:nvPicPr>
                    <pic:cNvPr id="2743" name="Image 2743"/>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6"/>
        </w:rPr>
      </w:r>
      <w:r>
        <w:rPr>
          <w:rFonts w:ascii="Times New Roman"/>
          <w:color w:val="231F20"/>
          <w:spacing w:val="16"/>
        </w:rPr>
        <w:t> </w:t>
      </w:r>
      <w:r>
        <w:rPr>
          <w:color w:val="231F20"/>
        </w:rPr>
        <w:t>, or drag the border up or down. Initially, the policy is named and described as New_Policy. Click inside the field to change the name. Use the Delete or Backspace key to erase to the right </w:t>
      </w:r>
      <w:r>
        <w:rPr>
          <w:color w:val="231F20"/>
        </w:rPr>
        <w:t>or left of the cursor.</w:t>
      </w:r>
    </w:p>
    <w:p>
      <w:pPr>
        <w:pStyle w:val="BodyText"/>
        <w:spacing w:line="213" w:lineRule="auto" w:before="115"/>
        <w:ind w:left="3190"/>
      </w:pPr>
      <w:r>
        <w:rPr>
          <w:color w:val="231F20"/>
        </w:rPr>
        <w:t>If you prefer to keep the Policies Details area open when you create a new policy, use Alt+ </w:t>
      </w:r>
      <w:r>
        <w:rPr>
          <w:color w:val="231F20"/>
          <w:spacing w:val="-24"/>
          <w:position w:val="-1"/>
        </w:rPr>
        <w:drawing>
          <wp:inline distT="0" distB="0" distL="0" distR="0">
            <wp:extent cx="95250" cy="101600"/>
            <wp:effectExtent l="0" t="0" r="0" b="0"/>
            <wp:docPr id="2744" name="Image 2744"/>
            <wp:cNvGraphicFramePr>
              <a:graphicFrameLocks/>
            </wp:cNvGraphicFramePr>
            <a:graphic>
              <a:graphicData uri="http://schemas.openxmlformats.org/drawingml/2006/picture">
                <pic:pic>
                  <pic:nvPicPr>
                    <pic:cNvPr id="2744" name="Image 2744"/>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rPr>
      </w:r>
      <w:r>
        <w:rPr>
          <w:rFonts w:ascii="Times New Roman"/>
          <w:color w:val="231F20"/>
          <w:spacing w:val="80"/>
        </w:rPr>
        <w:t> </w:t>
      </w:r>
      <w:r>
        <w:rPr>
          <w:color w:val="231F20"/>
        </w:rPr>
        <w:t>.</w:t>
      </w:r>
    </w:p>
    <w:p>
      <w:pPr>
        <w:pStyle w:val="Heading6"/>
        <w:ind w:left="2492"/>
      </w:pPr>
      <w:r>
        <w:rPr>
          <w:b w:val="0"/>
          <w:position w:val="-1"/>
        </w:rPr>
        <w:drawing>
          <wp:inline distT="0" distB="0" distL="0" distR="0">
            <wp:extent cx="82550" cy="95250"/>
            <wp:effectExtent l="0" t="0" r="0" b="0"/>
            <wp:docPr id="2745" name="Image 2745"/>
            <wp:cNvGraphicFramePr>
              <a:graphicFrameLocks/>
            </wp:cNvGraphicFramePr>
            <a:graphic>
              <a:graphicData uri="http://schemas.openxmlformats.org/drawingml/2006/picture">
                <pic:pic>
                  <pic:nvPicPr>
                    <pic:cNvPr id="2745" name="Image 2745"/>
                    <pic:cNvPicPr/>
                  </pic:nvPicPr>
                  <pic:blipFill>
                    <a:blip r:embed="rId332"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spacing w:val="80"/>
        </w:rPr>
        <w:t> </w:t>
      </w:r>
      <w:r>
        <w:rPr>
          <w:color w:val="231F20"/>
        </w:rPr>
        <w:t>Copy Policy</w:t>
      </w:r>
    </w:p>
    <w:p>
      <w:pPr>
        <w:pStyle w:val="BodyText"/>
        <w:spacing w:line="213" w:lineRule="auto" w:before="11"/>
        <w:ind w:left="3190" w:right="292"/>
      </w:pPr>
      <w:r>
        <w:rPr>
          <w:color w:val="231F20"/>
        </w:rPr>
        <w:t>Copies</w:t>
      </w:r>
      <w:r>
        <w:rPr>
          <w:color w:val="231F20"/>
          <w:spacing w:val="25"/>
        </w:rPr>
        <w:t> </w:t>
      </w:r>
      <w:r>
        <w:rPr>
          <w:color w:val="231F20"/>
        </w:rPr>
        <w:t>the</w:t>
      </w:r>
      <w:r>
        <w:rPr>
          <w:color w:val="231F20"/>
          <w:spacing w:val="25"/>
        </w:rPr>
        <w:t> </w:t>
      </w:r>
      <w:r>
        <w:rPr>
          <w:color w:val="231F20"/>
        </w:rPr>
        <w:t>selected</w:t>
      </w:r>
      <w:r>
        <w:rPr>
          <w:color w:val="231F20"/>
          <w:spacing w:val="25"/>
        </w:rPr>
        <w:t> </w:t>
      </w:r>
      <w:r>
        <w:rPr>
          <w:color w:val="231F20"/>
        </w:rPr>
        <w:t>policy. A new</w:t>
      </w:r>
      <w:r>
        <w:rPr>
          <w:color w:val="231F20"/>
          <w:spacing w:val="25"/>
        </w:rPr>
        <w:t> </w:t>
      </w:r>
      <w:r>
        <w:rPr>
          <w:color w:val="231F20"/>
        </w:rPr>
        <w:t>row</w:t>
      </w:r>
      <w:r>
        <w:rPr>
          <w:color w:val="231F20"/>
          <w:spacing w:val="25"/>
        </w:rPr>
        <w:t> </w:t>
      </w:r>
      <w:r>
        <w:rPr>
          <w:color w:val="231F20"/>
        </w:rPr>
        <w:t>is</w:t>
      </w:r>
      <w:r>
        <w:rPr>
          <w:color w:val="231F20"/>
          <w:spacing w:val="25"/>
        </w:rPr>
        <w:t> </w:t>
      </w:r>
      <w:r>
        <w:rPr>
          <w:color w:val="231F20"/>
        </w:rPr>
        <w:t>added</w:t>
      </w:r>
      <w:r>
        <w:rPr>
          <w:color w:val="231F20"/>
          <w:spacing w:val="25"/>
        </w:rPr>
        <w:t> </w:t>
      </w:r>
      <w:r>
        <w:rPr>
          <w:color w:val="231F20"/>
        </w:rPr>
        <w:t>to</w:t>
      </w:r>
      <w:r>
        <w:rPr>
          <w:color w:val="231F20"/>
          <w:spacing w:val="25"/>
        </w:rPr>
        <w:t> </w:t>
      </w:r>
      <w:r>
        <w:rPr>
          <w:color w:val="231F20"/>
        </w:rPr>
        <w:t>the</w:t>
      </w:r>
      <w:r>
        <w:rPr>
          <w:color w:val="231F20"/>
          <w:spacing w:val="25"/>
        </w:rPr>
        <w:t> </w:t>
      </w:r>
      <w:r>
        <w:rPr>
          <w:color w:val="231F20"/>
        </w:rPr>
        <w:t>list,</w:t>
      </w:r>
      <w:r>
        <w:rPr>
          <w:color w:val="231F20"/>
          <w:spacing w:val="25"/>
        </w:rPr>
        <w:t> </w:t>
      </w:r>
      <w:r>
        <w:rPr>
          <w:color w:val="231F20"/>
        </w:rPr>
        <w:t>the</w:t>
      </w:r>
      <w:r>
        <w:rPr>
          <w:color w:val="231F20"/>
          <w:spacing w:val="25"/>
        </w:rPr>
        <w:t> </w:t>
      </w:r>
      <w:r>
        <w:rPr>
          <w:color w:val="231F20"/>
        </w:rPr>
        <w:t>Policy Details area collapses, and the Workflow Editor area expands to the full window so you can build the workflow. You can manually restore the</w:t>
      </w:r>
      <w:r>
        <w:rPr>
          <w:color w:val="231F20"/>
          <w:spacing w:val="40"/>
        </w:rPr>
        <w:t> </w:t>
      </w:r>
      <w:r>
        <w:rPr>
          <w:color w:val="231F20"/>
        </w:rPr>
        <w:t>policy list with </w:t>
      </w:r>
      <w:r>
        <w:rPr>
          <w:color w:val="231F20"/>
          <w:spacing w:val="16"/>
        </w:rPr>
        <w:drawing>
          <wp:inline distT="0" distB="0" distL="0" distR="0">
            <wp:extent cx="190500" cy="57150"/>
            <wp:effectExtent l="0" t="0" r="0" b="0"/>
            <wp:docPr id="2746" name="Image 2746"/>
            <wp:cNvGraphicFramePr>
              <a:graphicFrameLocks/>
            </wp:cNvGraphicFramePr>
            <a:graphic>
              <a:graphicData uri="http://schemas.openxmlformats.org/drawingml/2006/picture">
                <pic:pic>
                  <pic:nvPicPr>
                    <pic:cNvPr id="2746" name="Image 2746"/>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6"/>
        </w:rPr>
      </w:r>
      <w:r>
        <w:rPr>
          <w:rFonts w:ascii="Times New Roman" w:hAnsi="Times New Roman"/>
          <w:color w:val="231F20"/>
          <w:spacing w:val="40"/>
        </w:rPr>
        <w:t> </w:t>
      </w:r>
      <w:r>
        <w:rPr>
          <w:color w:val="231F20"/>
        </w:rPr>
        <w:t>and collapse it with </w:t>
      </w:r>
      <w:r>
        <w:rPr>
          <w:color w:val="231F20"/>
          <w:spacing w:val="16"/>
        </w:rPr>
        <w:drawing>
          <wp:inline distT="0" distB="0" distL="0" distR="0">
            <wp:extent cx="190500" cy="57150"/>
            <wp:effectExtent l="0" t="0" r="0" b="0"/>
            <wp:docPr id="2747" name="Image 2747"/>
            <wp:cNvGraphicFramePr>
              <a:graphicFrameLocks/>
            </wp:cNvGraphicFramePr>
            <a:graphic>
              <a:graphicData uri="http://schemas.openxmlformats.org/drawingml/2006/picture">
                <pic:pic>
                  <pic:nvPicPr>
                    <pic:cNvPr id="2747" name="Image 2747"/>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6"/>
        </w:rPr>
      </w:r>
      <w:r>
        <w:rPr>
          <w:rFonts w:ascii="Times New Roman" w:hAnsi="Times New Roman"/>
          <w:color w:val="231F20"/>
          <w:spacing w:val="40"/>
        </w:rPr>
        <w:t> </w:t>
      </w:r>
      <w:r>
        <w:rPr>
          <w:color w:val="231F20"/>
        </w:rPr>
        <w:t>. Initially, the policy is given</w:t>
      </w:r>
      <w:r>
        <w:rPr>
          <w:color w:val="231F20"/>
          <w:spacing w:val="80"/>
        </w:rPr>
        <w:t> </w:t>
      </w:r>
      <w:r>
        <w:rPr>
          <w:color w:val="231F20"/>
        </w:rPr>
        <w:t>the same name as the original, but prefixed with “Copy_of_”. In the </w:t>
      </w:r>
      <w:r>
        <w:rPr>
          <w:color w:val="231F20"/>
        </w:rPr>
        <w:t>Policy Details area, click inside the </w:t>
      </w:r>
      <w:r>
        <w:rPr>
          <w:rFonts w:ascii="Book Antiqua" w:hAnsi="Book Antiqua"/>
          <w:b/>
          <w:color w:val="231F20"/>
        </w:rPr>
        <w:t>Name </w:t>
      </w:r>
      <w:r>
        <w:rPr>
          <w:color w:val="231F20"/>
        </w:rPr>
        <w:t>field to change the name; use Delete or Backspace to erase to the right or left of the cursor.</w:t>
      </w:r>
    </w:p>
    <w:p>
      <w:pPr>
        <w:pStyle w:val="BodyText"/>
        <w:spacing w:line="213" w:lineRule="auto" w:before="115"/>
        <w:ind w:left="3210" w:right="385" w:hanging="21"/>
      </w:pPr>
      <w:r>
        <w:rPr>
          <w:color w:val="231F20"/>
        </w:rPr>
        <w:t>To keep the Policies Details area open when you copy the policy, use Alt+</w:t>
      </w:r>
      <w:r>
        <w:rPr>
          <w:color w:val="231F20"/>
          <w:spacing w:val="40"/>
        </w:rPr>
        <w:t> </w:t>
      </w:r>
      <w:r>
        <w:rPr>
          <w:color w:val="231F20"/>
          <w:position w:val="-1"/>
        </w:rPr>
        <w:drawing>
          <wp:inline distT="0" distB="0" distL="0" distR="0">
            <wp:extent cx="82550" cy="95250"/>
            <wp:effectExtent l="0" t="0" r="0" b="0"/>
            <wp:docPr id="2748" name="Image 2748"/>
            <wp:cNvGraphicFramePr>
              <a:graphicFrameLocks/>
            </wp:cNvGraphicFramePr>
            <a:graphic>
              <a:graphicData uri="http://schemas.openxmlformats.org/drawingml/2006/picture">
                <pic:pic>
                  <pic:nvPicPr>
                    <pic:cNvPr id="2748" name="Image 2748"/>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position w:val="-1"/>
        </w:rPr>
      </w:r>
      <w:r>
        <w:rPr>
          <w:rFonts w:ascii="Times New Roman"/>
          <w:color w:val="231F20"/>
          <w:spacing w:val="40"/>
        </w:rPr>
        <w:t> </w:t>
      </w:r>
      <w:r>
        <w:rPr>
          <w:color w:val="231F20"/>
        </w:rPr>
        <w:t>.</w:t>
      </w:r>
    </w:p>
    <w:p>
      <w:pPr>
        <w:pStyle w:val="Heading6"/>
        <w:ind w:left="2482"/>
      </w:pPr>
      <w:r>
        <w:rPr>
          <w:b w:val="0"/>
          <w:position w:val="-1"/>
        </w:rPr>
        <w:drawing>
          <wp:inline distT="0" distB="0" distL="0" distR="0">
            <wp:extent cx="95250" cy="101600"/>
            <wp:effectExtent l="0" t="0" r="0" b="0"/>
            <wp:docPr id="2749" name="Image 2749"/>
            <wp:cNvGraphicFramePr>
              <a:graphicFrameLocks/>
            </wp:cNvGraphicFramePr>
            <a:graphic>
              <a:graphicData uri="http://schemas.openxmlformats.org/drawingml/2006/picture">
                <pic:pic>
                  <pic:nvPicPr>
                    <pic:cNvPr id="2749" name="Image 2749"/>
                    <pic:cNvPicPr/>
                  </pic:nvPicPr>
                  <pic:blipFill>
                    <a:blip r:embed="rId26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Delete Policy</w:t>
      </w:r>
    </w:p>
    <w:p>
      <w:pPr>
        <w:pStyle w:val="BodyText"/>
        <w:spacing w:line="258" w:lineRule="exact"/>
        <w:ind w:left="3190"/>
      </w:pPr>
      <w:r>
        <w:rPr>
          <w:color w:val="231F20"/>
        </w:rPr>
        <w:t>Deletes</w:t>
      </w:r>
      <w:r>
        <w:rPr>
          <w:color w:val="231F20"/>
          <w:spacing w:val="10"/>
        </w:rPr>
        <w:t> </w:t>
      </w:r>
      <w:r>
        <w:rPr>
          <w:color w:val="231F20"/>
        </w:rPr>
        <w:t>the</w:t>
      </w:r>
      <w:r>
        <w:rPr>
          <w:color w:val="231F20"/>
          <w:spacing w:val="11"/>
        </w:rPr>
        <w:t> </w:t>
      </w:r>
      <w:r>
        <w:rPr>
          <w:color w:val="231F20"/>
        </w:rPr>
        <w:t>selected</w:t>
      </w:r>
      <w:r>
        <w:rPr>
          <w:color w:val="231F20"/>
          <w:spacing w:val="10"/>
        </w:rPr>
        <w:t> </w:t>
      </w:r>
      <w:r>
        <w:rPr>
          <w:color w:val="231F20"/>
          <w:spacing w:val="-2"/>
        </w:rPr>
        <w:t>policy.</w:t>
      </w:r>
    </w:p>
    <w:p>
      <w:pPr>
        <w:spacing w:after="0" w:line="258" w:lineRule="exact"/>
        <w:sectPr>
          <w:pgSz w:w="12240" w:h="15840"/>
          <w:pgMar w:header="0" w:footer="736" w:top="1160" w:bottom="920" w:left="1000" w:right="1060"/>
        </w:sectPr>
      </w:pPr>
    </w:p>
    <w:p>
      <w:pPr>
        <w:pStyle w:val="Heading6"/>
        <w:spacing w:before="83"/>
        <w:ind w:left="2242"/>
      </w:pPr>
      <w:bookmarkStart w:name="_bookmark244" w:id="511"/>
      <w:bookmarkEnd w:id="511"/>
      <w:r>
        <w:rPr>
          <w:b w:val="0"/>
        </w:rPr>
      </w:r>
      <w:r>
        <w:rPr>
          <w:b w:val="0"/>
          <w:position w:val="-1"/>
        </w:rPr>
        <w:drawing>
          <wp:inline distT="0" distB="0" distL="0" distR="0">
            <wp:extent cx="95250" cy="101600"/>
            <wp:effectExtent l="0" t="0" r="0" b="0"/>
            <wp:docPr id="2750" name="Image 2750"/>
            <wp:cNvGraphicFramePr>
              <a:graphicFrameLocks/>
            </wp:cNvGraphicFramePr>
            <a:graphic>
              <a:graphicData uri="http://schemas.openxmlformats.org/drawingml/2006/picture">
                <pic:pic>
                  <pic:nvPicPr>
                    <pic:cNvPr id="2750" name="Image 2750"/>
                    <pic:cNvPicPr/>
                  </pic:nvPicPr>
                  <pic:blipFill>
                    <a:blip r:embed="rId3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Refresh List</w:t>
      </w:r>
    </w:p>
    <w:p>
      <w:pPr>
        <w:pStyle w:val="BodyText"/>
        <w:spacing w:line="213" w:lineRule="auto" w:before="12"/>
        <w:ind w:left="2951" w:right="493"/>
      </w:pPr>
      <w:r>
        <w:rPr>
          <w:color w:val="231F20"/>
        </w:rPr>
        <w:t>If any policies have been added, edited, or deleted by other users in </w:t>
      </w:r>
      <w:r>
        <w:rPr>
          <w:color w:val="231F20"/>
        </w:rPr>
        <w:t>your Tivoli</w:t>
      </w:r>
      <w:r>
        <w:rPr>
          <w:color w:val="231F20"/>
          <w:vertAlign w:val="superscript"/>
        </w:rPr>
        <w:t>®</w:t>
      </w:r>
      <w:r>
        <w:rPr>
          <w:color w:val="231F20"/>
          <w:vertAlign w:val="baseline"/>
        </w:rPr>
        <w:t> managed network, you can refresh the Policies list to show the </w:t>
      </w:r>
      <w:r>
        <w:rPr>
          <w:color w:val="231F20"/>
          <w:spacing w:val="-2"/>
          <w:vertAlign w:val="baseline"/>
        </w:rPr>
        <w:t>changes.</w:t>
      </w:r>
    </w:p>
    <w:p>
      <w:pPr>
        <w:pStyle w:val="Heading5"/>
        <w:ind w:left="2232"/>
      </w:pPr>
      <w:r>
        <w:rPr>
          <w:color w:val="231F20"/>
        </w:rPr>
        <w:t>Policy</w:t>
      </w:r>
      <w:r>
        <w:rPr>
          <w:color w:val="231F20"/>
          <w:spacing w:val="4"/>
        </w:rPr>
        <w:t> </w:t>
      </w:r>
      <w:r>
        <w:rPr>
          <w:color w:val="231F20"/>
          <w:spacing w:val="-4"/>
        </w:rPr>
        <w:t>list</w:t>
      </w:r>
    </w:p>
    <w:p>
      <w:pPr>
        <w:pStyle w:val="BodyText"/>
        <w:spacing w:line="213" w:lineRule="auto" w:before="245"/>
        <w:ind w:left="2232" w:right="379"/>
      </w:pPr>
      <w:r>
        <w:rPr>
          <w:color w:val="231F20"/>
        </w:rPr>
        <w:t>The policy list is a table containing the names and properties of policies on the hub</w:t>
      </w:r>
      <w:r>
        <w:rPr>
          <w:color w:val="231F20"/>
          <w:spacing w:val="40"/>
        </w:rPr>
        <w:t> </w:t>
      </w:r>
      <w:r>
        <w:rPr>
          <w:color w:val="231F20"/>
        </w:rPr>
        <w:t>monitoring server and any remote monitoring servers. The first two columns of the table</w:t>
      </w:r>
      <w:r>
        <w:rPr>
          <w:color w:val="231F20"/>
          <w:spacing w:val="21"/>
        </w:rPr>
        <w:t> </w:t>
      </w:r>
      <w:r>
        <w:rPr>
          <w:color w:val="231F20"/>
        </w:rPr>
        <w:t>allow</w:t>
      </w:r>
      <w:r>
        <w:rPr>
          <w:color w:val="231F20"/>
          <w:spacing w:val="21"/>
        </w:rPr>
        <w:t> </w:t>
      </w:r>
      <w:r>
        <w:rPr>
          <w:color w:val="231F20"/>
        </w:rPr>
        <w:t>you</w:t>
      </w:r>
      <w:r>
        <w:rPr>
          <w:color w:val="231F20"/>
          <w:spacing w:val="21"/>
        </w:rPr>
        <w:t> </w:t>
      </w:r>
      <w:r>
        <w:rPr>
          <w:color w:val="231F20"/>
        </w:rPr>
        <w:t>to</w:t>
      </w:r>
      <w:r>
        <w:rPr>
          <w:color w:val="231F20"/>
          <w:spacing w:val="21"/>
        </w:rPr>
        <w:t> </w:t>
      </w:r>
      <w:r>
        <w:rPr>
          <w:color w:val="231F20"/>
        </w:rPr>
        <w:t>edit</w:t>
      </w:r>
      <w:r>
        <w:rPr>
          <w:color w:val="231F20"/>
          <w:spacing w:val="21"/>
        </w:rPr>
        <w:t> </w:t>
      </w:r>
      <w:r>
        <w:rPr>
          <w:color w:val="231F20"/>
        </w:rPr>
        <w:t>a</w:t>
      </w:r>
      <w:r>
        <w:rPr>
          <w:color w:val="231F20"/>
          <w:spacing w:val="21"/>
        </w:rPr>
        <w:t> </w:t>
      </w:r>
      <w:r>
        <w:rPr>
          <w:color w:val="231F20"/>
        </w:rPr>
        <w:t>policy</w:t>
      </w:r>
      <w:r>
        <w:rPr>
          <w:color w:val="231F20"/>
          <w:spacing w:val="21"/>
        </w:rPr>
        <w:t> </w:t>
      </w:r>
      <w:r>
        <w:rPr>
          <w:color w:val="231F20"/>
        </w:rPr>
        <w:t>workflow</w:t>
      </w:r>
      <w:r>
        <w:rPr>
          <w:color w:val="231F20"/>
          <w:spacing w:val="21"/>
        </w:rPr>
        <w:t> </w:t>
      </w:r>
      <w:r>
        <w:rPr>
          <w:color w:val="231F20"/>
        </w:rPr>
        <w:t>or</w:t>
      </w:r>
      <w:r>
        <w:rPr>
          <w:color w:val="231F20"/>
          <w:spacing w:val="21"/>
        </w:rPr>
        <w:t> </w:t>
      </w:r>
      <w:r>
        <w:rPr>
          <w:color w:val="231F20"/>
        </w:rPr>
        <w:t>to</w:t>
      </w:r>
      <w:r>
        <w:rPr>
          <w:color w:val="231F20"/>
          <w:spacing w:val="21"/>
        </w:rPr>
        <w:t> </w:t>
      </w:r>
      <w:r>
        <w:rPr>
          <w:color w:val="231F20"/>
        </w:rPr>
        <w:t>undo</w:t>
      </w:r>
      <w:r>
        <w:rPr>
          <w:color w:val="231F20"/>
          <w:spacing w:val="21"/>
        </w:rPr>
        <w:t> </w:t>
      </w:r>
      <w:r>
        <w:rPr>
          <w:color w:val="231F20"/>
        </w:rPr>
        <w:t>any</w:t>
      </w:r>
      <w:r>
        <w:rPr>
          <w:color w:val="231F20"/>
          <w:spacing w:val="21"/>
        </w:rPr>
        <w:t> </w:t>
      </w:r>
      <w:r>
        <w:rPr>
          <w:color w:val="231F20"/>
        </w:rPr>
        <w:t>changes</w:t>
      </w:r>
      <w:r>
        <w:rPr>
          <w:color w:val="231F20"/>
          <w:spacing w:val="21"/>
        </w:rPr>
        <w:t> </w:t>
      </w:r>
      <w:r>
        <w:rPr>
          <w:color w:val="231F20"/>
        </w:rPr>
        <w:t>you</w:t>
      </w:r>
      <w:r>
        <w:rPr>
          <w:color w:val="231F20"/>
          <w:spacing w:val="21"/>
        </w:rPr>
        <w:t> </w:t>
      </w:r>
      <w:r>
        <w:rPr>
          <w:color w:val="231F20"/>
        </w:rPr>
        <w:t>have</w:t>
      </w:r>
      <w:r>
        <w:rPr>
          <w:color w:val="231F20"/>
          <w:spacing w:val="21"/>
        </w:rPr>
        <w:t> </w:t>
      </w:r>
      <w:r>
        <w:rPr>
          <w:color w:val="231F20"/>
        </w:rPr>
        <w:t>made to</w:t>
      </w:r>
      <w:r>
        <w:rPr>
          <w:color w:val="231F20"/>
          <w:spacing w:val="26"/>
        </w:rPr>
        <w:t> </w:t>
      </w:r>
      <w:r>
        <w:rPr>
          <w:color w:val="231F20"/>
        </w:rPr>
        <w:t>the</w:t>
      </w:r>
      <w:r>
        <w:rPr>
          <w:color w:val="231F20"/>
          <w:spacing w:val="26"/>
        </w:rPr>
        <w:t> </w:t>
      </w:r>
      <w:r>
        <w:rPr>
          <w:color w:val="231F20"/>
        </w:rPr>
        <w:t>policy</w:t>
      </w:r>
      <w:r>
        <w:rPr>
          <w:color w:val="231F20"/>
          <w:spacing w:val="26"/>
        </w:rPr>
        <w:t> </w:t>
      </w:r>
      <w:r>
        <w:rPr>
          <w:color w:val="231F20"/>
        </w:rPr>
        <w:t>during</w:t>
      </w:r>
      <w:r>
        <w:rPr>
          <w:color w:val="231F20"/>
          <w:spacing w:val="26"/>
        </w:rPr>
        <w:t> </w:t>
      </w:r>
      <w:r>
        <w:rPr>
          <w:color w:val="231F20"/>
        </w:rPr>
        <w:t>the</w:t>
      </w:r>
      <w:r>
        <w:rPr>
          <w:color w:val="231F20"/>
          <w:spacing w:val="26"/>
        </w:rPr>
        <w:t> </w:t>
      </w:r>
      <w:r>
        <w:rPr>
          <w:color w:val="231F20"/>
        </w:rPr>
        <w:t>current</w:t>
      </w:r>
      <w:r>
        <w:rPr>
          <w:color w:val="231F20"/>
          <w:spacing w:val="26"/>
        </w:rPr>
        <w:t> </w:t>
      </w:r>
      <w:r>
        <w:rPr>
          <w:color w:val="231F20"/>
        </w:rPr>
        <w:t>session.</w:t>
      </w:r>
      <w:r>
        <w:rPr>
          <w:color w:val="231F20"/>
          <w:spacing w:val="26"/>
        </w:rPr>
        <w:t> </w:t>
      </w:r>
      <w:r>
        <w:rPr>
          <w:color w:val="231F20"/>
        </w:rPr>
        <w:t>The</w:t>
      </w:r>
      <w:r>
        <w:rPr>
          <w:color w:val="231F20"/>
          <w:spacing w:val="26"/>
        </w:rPr>
        <w:t> </w:t>
      </w:r>
      <w:r>
        <w:rPr>
          <w:color w:val="231F20"/>
        </w:rPr>
        <w:t>other</w:t>
      </w:r>
      <w:r>
        <w:rPr>
          <w:color w:val="231F20"/>
          <w:spacing w:val="26"/>
        </w:rPr>
        <w:t> </w:t>
      </w:r>
      <w:r>
        <w:rPr>
          <w:color w:val="231F20"/>
        </w:rPr>
        <w:t>columns</w:t>
      </w:r>
      <w:r>
        <w:rPr>
          <w:color w:val="231F20"/>
          <w:spacing w:val="26"/>
        </w:rPr>
        <w:t> </w:t>
      </w:r>
      <w:r>
        <w:rPr>
          <w:color w:val="231F20"/>
        </w:rPr>
        <w:t>contain</w:t>
      </w:r>
      <w:r>
        <w:rPr>
          <w:color w:val="231F20"/>
          <w:spacing w:val="26"/>
        </w:rPr>
        <w:t> </w:t>
      </w:r>
      <w:r>
        <w:rPr>
          <w:color w:val="231F20"/>
        </w:rPr>
        <w:t>the</w:t>
      </w:r>
      <w:r>
        <w:rPr>
          <w:color w:val="231F20"/>
          <w:spacing w:val="26"/>
        </w:rPr>
        <w:t> </w:t>
      </w:r>
      <w:r>
        <w:rPr>
          <w:color w:val="231F20"/>
        </w:rPr>
        <w:t>names</w:t>
      </w:r>
      <w:r>
        <w:rPr>
          <w:color w:val="231F20"/>
          <w:spacing w:val="26"/>
        </w:rPr>
        <w:t> </w:t>
      </w:r>
      <w:r>
        <w:rPr>
          <w:color w:val="231F20"/>
        </w:rPr>
        <w:t>of the policies and properties that you can specify or edit. These columns include the </w:t>
      </w:r>
      <w:r>
        <w:rPr>
          <w:color w:val="231F20"/>
          <w:spacing w:val="-2"/>
        </w:rPr>
        <w:t>following:</w:t>
      </w:r>
    </w:p>
    <w:p>
      <w:pPr>
        <w:pStyle w:val="Heading6"/>
        <w:spacing w:before="115"/>
        <w:ind w:left="2242"/>
      </w:pPr>
      <w:r>
        <w:rPr>
          <w:b w:val="0"/>
          <w:position w:val="-1"/>
        </w:rPr>
        <w:drawing>
          <wp:inline distT="0" distB="0" distL="0" distR="0">
            <wp:extent cx="88900" cy="88900"/>
            <wp:effectExtent l="0" t="0" r="0" b="0"/>
            <wp:docPr id="2751" name="Image 2751"/>
            <wp:cNvGraphicFramePr>
              <a:graphicFrameLocks/>
            </wp:cNvGraphicFramePr>
            <a:graphic>
              <a:graphicData uri="http://schemas.openxmlformats.org/drawingml/2006/picture">
                <pic:pic>
                  <pic:nvPicPr>
                    <pic:cNvPr id="2751" name="Image 2751"/>
                    <pic:cNvPicPr/>
                  </pic:nvPicPr>
                  <pic:blipFill>
                    <a:blip r:embed="rId42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40"/>
        </w:rPr>
        <w:t> </w:t>
      </w:r>
      <w:r>
        <w:rPr>
          <w:color w:val="231F20"/>
        </w:rPr>
        <w:t>Undo</w:t>
      </w:r>
    </w:p>
    <w:p>
      <w:pPr>
        <w:pStyle w:val="BodyText"/>
        <w:spacing w:line="258" w:lineRule="exact"/>
        <w:ind w:left="2951"/>
      </w:pPr>
      <w:r>
        <w:rPr>
          <w:color w:val="231F20"/>
        </w:rPr>
        <w:t>Voids</w:t>
      </w:r>
      <w:r>
        <w:rPr>
          <w:color w:val="231F20"/>
          <w:spacing w:val="9"/>
        </w:rPr>
        <w:t> </w:t>
      </w:r>
      <w:r>
        <w:rPr>
          <w:color w:val="231F20"/>
        </w:rPr>
        <w:t>your</w:t>
      </w:r>
      <w:r>
        <w:rPr>
          <w:color w:val="231F20"/>
          <w:spacing w:val="9"/>
        </w:rPr>
        <w:t> </w:t>
      </w:r>
      <w:r>
        <w:rPr>
          <w:color w:val="231F20"/>
        </w:rPr>
        <w:t>changes</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policy</w:t>
      </w:r>
      <w:r>
        <w:rPr>
          <w:color w:val="231F20"/>
          <w:spacing w:val="10"/>
        </w:rPr>
        <w:t> </w:t>
      </w:r>
      <w:r>
        <w:rPr>
          <w:color w:val="231F20"/>
        </w:rPr>
        <w:t>in</w:t>
      </w:r>
      <w:r>
        <w:rPr>
          <w:color w:val="231F20"/>
          <w:spacing w:val="9"/>
        </w:rPr>
        <w:t> </w:t>
      </w:r>
      <w:r>
        <w:rPr>
          <w:color w:val="231F20"/>
        </w:rPr>
        <w:t>this</w:t>
      </w:r>
      <w:r>
        <w:rPr>
          <w:color w:val="231F20"/>
          <w:spacing w:val="9"/>
        </w:rPr>
        <w:t> </w:t>
      </w:r>
      <w:r>
        <w:rPr>
          <w:color w:val="231F20"/>
          <w:spacing w:val="-4"/>
        </w:rPr>
        <w:t>row.</w:t>
      </w:r>
    </w:p>
    <w:p>
      <w:pPr>
        <w:pStyle w:val="Heading6"/>
        <w:spacing w:before="111"/>
        <w:ind w:left="2242"/>
      </w:pPr>
      <w:r>
        <w:rPr>
          <w:b w:val="0"/>
          <w:position w:val="-1"/>
        </w:rPr>
        <w:drawing>
          <wp:inline distT="0" distB="0" distL="0" distR="0">
            <wp:extent cx="95250" cy="101600"/>
            <wp:effectExtent l="0" t="0" r="0" b="0"/>
            <wp:docPr id="2752" name="Image 2752"/>
            <wp:cNvGraphicFramePr>
              <a:graphicFrameLocks/>
            </wp:cNvGraphicFramePr>
            <a:graphic>
              <a:graphicData uri="http://schemas.openxmlformats.org/drawingml/2006/picture">
                <pic:pic>
                  <pic:nvPicPr>
                    <pic:cNvPr id="2752" name="Image 2752"/>
                    <pic:cNvPicPr/>
                  </pic:nvPicPr>
                  <pic:blipFill>
                    <a:blip r:embed="rId74"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Edit Workflow</w:t>
      </w:r>
    </w:p>
    <w:p>
      <w:pPr>
        <w:pStyle w:val="BodyText"/>
        <w:spacing w:line="213" w:lineRule="auto" w:before="11"/>
        <w:ind w:left="2951" w:right="545"/>
      </w:pPr>
      <w:r>
        <w:rPr>
          <w:color w:val="231F20"/>
        </w:rPr>
        <w:t>Opens the policy in the Workflow editor for viewing and editing the workflow components. When you do, the </w:t>
      </w:r>
      <w:r>
        <w:rPr>
          <w:rFonts w:ascii="Book Antiqua"/>
          <w:b/>
          <w:color w:val="231F20"/>
        </w:rPr>
        <w:t>Policies Details </w:t>
      </w:r>
      <w:r>
        <w:rPr>
          <w:color w:val="231F20"/>
        </w:rPr>
        <w:t>area partially collapses to show only the policy you selected and the Workflow Editor</w:t>
      </w:r>
      <w:r>
        <w:rPr>
          <w:color w:val="231F20"/>
          <w:spacing w:val="40"/>
        </w:rPr>
        <w:t> </w:t>
      </w:r>
      <w:r>
        <w:rPr>
          <w:color w:val="231F20"/>
        </w:rPr>
        <w:t>area expands. If you prefer to keep the Policies Details area open, use </w:t>
      </w:r>
      <w:r>
        <w:rPr>
          <w:color w:val="231F20"/>
        </w:rPr>
        <w:t>Alt+</w:t>
      </w:r>
      <w:r>
        <w:rPr>
          <w:color w:val="231F20"/>
          <w:spacing w:val="80"/>
        </w:rPr>
        <w:t> </w:t>
      </w:r>
      <w:r>
        <w:rPr>
          <w:color w:val="231F20"/>
          <w:position w:val="-1"/>
        </w:rPr>
        <w:drawing>
          <wp:inline distT="0" distB="0" distL="0" distR="0">
            <wp:extent cx="95250" cy="101600"/>
            <wp:effectExtent l="0" t="0" r="0" b="0"/>
            <wp:docPr id="2753" name="Image 2753"/>
            <wp:cNvGraphicFramePr>
              <a:graphicFrameLocks/>
            </wp:cNvGraphicFramePr>
            <a:graphic>
              <a:graphicData uri="http://schemas.openxmlformats.org/drawingml/2006/picture">
                <pic:pic>
                  <pic:nvPicPr>
                    <pic:cNvPr id="2753" name="Image 2753"/>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when you open the Workflow editor.</w:t>
      </w:r>
    </w:p>
    <w:p>
      <w:pPr>
        <w:pStyle w:val="BodyText"/>
        <w:spacing w:line="213" w:lineRule="auto" w:before="117"/>
        <w:ind w:left="2951" w:right="545"/>
      </w:pPr>
      <w:r>
        <w:rPr>
          <w:color w:val="231F20"/>
        </w:rPr>
        <w:t>Note that you can manually restore the policy list with </w:t>
      </w:r>
      <w:r>
        <w:rPr>
          <w:color w:val="231F20"/>
          <w:spacing w:val="15"/>
        </w:rPr>
        <w:drawing>
          <wp:inline distT="0" distB="0" distL="0" distR="0">
            <wp:extent cx="190500" cy="57150"/>
            <wp:effectExtent l="0" t="0" r="0" b="0"/>
            <wp:docPr id="2754" name="Image 2754"/>
            <wp:cNvGraphicFramePr>
              <a:graphicFrameLocks/>
            </wp:cNvGraphicFramePr>
            <a:graphic>
              <a:graphicData uri="http://schemas.openxmlformats.org/drawingml/2006/picture">
                <pic:pic>
                  <pic:nvPicPr>
                    <pic:cNvPr id="2754" name="Image 2754"/>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5"/>
        </w:rPr>
      </w:r>
      <w:r>
        <w:rPr>
          <w:rFonts w:ascii="Times New Roman"/>
          <w:color w:val="231F20"/>
          <w:spacing w:val="15"/>
        </w:rPr>
        <w:t> </w:t>
      </w:r>
      <w:r>
        <w:rPr>
          <w:color w:val="231F20"/>
        </w:rPr>
        <w:t>Expand and collapse it with </w:t>
      </w:r>
      <w:r>
        <w:rPr>
          <w:color w:val="231F20"/>
          <w:spacing w:val="16"/>
        </w:rPr>
        <w:drawing>
          <wp:inline distT="0" distB="0" distL="0" distR="0">
            <wp:extent cx="190500" cy="57150"/>
            <wp:effectExtent l="0" t="0" r="0" b="0"/>
            <wp:docPr id="2755" name="Image 2755"/>
            <wp:cNvGraphicFramePr>
              <a:graphicFrameLocks/>
            </wp:cNvGraphicFramePr>
            <a:graphic>
              <a:graphicData uri="http://schemas.openxmlformats.org/drawingml/2006/picture">
                <pic:pic>
                  <pic:nvPicPr>
                    <pic:cNvPr id="2755" name="Image 2755"/>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6"/>
        </w:rPr>
      </w:r>
      <w:r>
        <w:rPr>
          <w:rFonts w:ascii="Times New Roman"/>
          <w:color w:val="231F20"/>
          <w:spacing w:val="40"/>
        </w:rPr>
        <w:t> </w:t>
      </w:r>
      <w:r>
        <w:rPr>
          <w:color w:val="231F20"/>
        </w:rPr>
        <w:t>Collapse, or by dragging the border up or down.</w:t>
      </w:r>
    </w:p>
    <w:p>
      <w:pPr>
        <w:pStyle w:val="Heading6"/>
        <w:ind w:left="2232"/>
      </w:pPr>
      <w:r>
        <w:rPr>
          <w:color w:val="231F20"/>
        </w:rPr>
        <w:t>Policy</w:t>
      </w:r>
      <w:r>
        <w:rPr>
          <w:color w:val="231F20"/>
          <w:spacing w:val="10"/>
        </w:rPr>
        <w:t> </w:t>
      </w:r>
      <w:r>
        <w:rPr>
          <w:color w:val="231F20"/>
          <w:spacing w:val="-4"/>
        </w:rPr>
        <w:t>name</w:t>
      </w:r>
    </w:p>
    <w:p>
      <w:pPr>
        <w:pStyle w:val="BodyText"/>
        <w:spacing w:line="213" w:lineRule="auto" w:before="11"/>
        <w:ind w:left="2951" w:right="545"/>
      </w:pPr>
      <w:r>
        <w:rPr>
          <w:color w:val="231F20"/>
        </w:rPr>
        <w:t>The name of the policy, up to 32 letters and numbers, with no spaces or special characters other than the underscore character (_). Click inside </w:t>
      </w:r>
      <w:r>
        <w:rPr>
          <w:color w:val="231F20"/>
        </w:rPr>
        <w:t>this field and edit the text as needed, using the Backspace and Delete keys to erase text to the left or right.</w:t>
      </w:r>
    </w:p>
    <w:p>
      <w:pPr>
        <w:pStyle w:val="BodyText"/>
        <w:spacing w:line="213" w:lineRule="auto" w:before="117"/>
        <w:ind w:left="2951" w:right="640" w:hanging="1"/>
        <w:jc w:val="both"/>
      </w:pPr>
      <w:r>
        <w:rPr>
          <w:color w:val="231F20"/>
        </w:rPr>
        <w:t>You cannot rename the policy after it has been saved with </w:t>
      </w:r>
      <w:r>
        <w:rPr>
          <w:rFonts w:ascii="Book Antiqua"/>
          <w:b/>
          <w:color w:val="231F20"/>
        </w:rPr>
        <w:t>Apply </w:t>
      </w:r>
      <w:r>
        <w:rPr>
          <w:color w:val="231F20"/>
        </w:rPr>
        <w:t>or </w:t>
      </w:r>
      <w:r>
        <w:rPr>
          <w:rFonts w:ascii="Book Antiqua"/>
          <w:b/>
          <w:color w:val="231F20"/>
        </w:rPr>
        <w:t>OK</w:t>
      </w:r>
      <w:r>
        <w:rPr>
          <w:color w:val="231F20"/>
        </w:rPr>
        <w:t>. Instead, copy the policy and change the name and any other settings for the new policy in the </w:t>
      </w:r>
      <w:r>
        <w:rPr>
          <w:rFonts w:ascii="Book Antiqua"/>
          <w:b/>
          <w:color w:val="231F20"/>
        </w:rPr>
        <w:t>Policy Details </w:t>
      </w:r>
      <w:r>
        <w:rPr>
          <w:color w:val="231F20"/>
        </w:rPr>
        <w:t>area.</w:t>
      </w:r>
    </w:p>
    <w:p>
      <w:pPr>
        <w:pStyle w:val="Heading6"/>
        <w:spacing w:line="227" w:lineRule="exact" w:before="122"/>
        <w:ind w:left="2232"/>
      </w:pPr>
      <w:r>
        <w:rPr>
          <w:b w:val="0"/>
        </w:rPr>
        <w:drawing>
          <wp:inline distT="0" distB="0" distL="0" distR="0">
            <wp:extent cx="82550" cy="82550"/>
            <wp:effectExtent l="0" t="0" r="0" b="0"/>
            <wp:docPr id="2756" name="Image 2756"/>
            <wp:cNvGraphicFramePr>
              <a:graphicFrameLocks/>
            </wp:cNvGraphicFramePr>
            <a:graphic>
              <a:graphicData uri="http://schemas.openxmlformats.org/drawingml/2006/picture">
                <pic:pic>
                  <pic:nvPicPr>
                    <pic:cNvPr id="2756" name="Image 2756"/>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Distributed</w:t>
      </w:r>
    </w:p>
    <w:p>
      <w:pPr>
        <w:pStyle w:val="BodyText"/>
        <w:spacing w:line="213" w:lineRule="auto" w:before="8"/>
        <w:ind w:left="2951" w:right="545"/>
      </w:pPr>
      <w:r>
        <w:rPr>
          <w:color w:val="231F20"/>
        </w:rPr>
        <w:t>Specifies</w:t>
      </w:r>
      <w:r>
        <w:rPr>
          <w:color w:val="231F20"/>
          <w:spacing w:val="27"/>
        </w:rPr>
        <w:t> </w:t>
      </w:r>
      <w:r>
        <w:rPr>
          <w:color w:val="231F20"/>
        </w:rPr>
        <w:t>where</w:t>
      </w:r>
      <w:r>
        <w:rPr>
          <w:color w:val="231F20"/>
          <w:spacing w:val="27"/>
        </w:rPr>
        <w:t> </w:t>
      </w:r>
      <w:r>
        <w:rPr>
          <w:color w:val="231F20"/>
        </w:rPr>
        <w:t>the</w:t>
      </w:r>
      <w:r>
        <w:rPr>
          <w:color w:val="231F20"/>
          <w:spacing w:val="27"/>
        </w:rPr>
        <w:t> </w:t>
      </w:r>
      <w:r>
        <w:rPr>
          <w:color w:val="231F20"/>
        </w:rPr>
        <w:t>policy</w:t>
      </w:r>
      <w:r>
        <w:rPr>
          <w:color w:val="231F20"/>
          <w:spacing w:val="27"/>
        </w:rPr>
        <w:t> </w:t>
      </w:r>
      <w:r>
        <w:rPr>
          <w:color w:val="231F20"/>
        </w:rPr>
        <w:t>is</w:t>
      </w:r>
      <w:r>
        <w:rPr>
          <w:color w:val="231F20"/>
          <w:spacing w:val="27"/>
        </w:rPr>
        <w:t> </w:t>
      </w:r>
      <w:r>
        <w:rPr>
          <w:color w:val="231F20"/>
        </w:rPr>
        <w:t>to</w:t>
      </w:r>
      <w:r>
        <w:rPr>
          <w:color w:val="231F20"/>
          <w:spacing w:val="27"/>
        </w:rPr>
        <w:t> </w:t>
      </w:r>
      <w:r>
        <w:rPr>
          <w:color w:val="231F20"/>
        </w:rPr>
        <w:t>be</w:t>
      </w:r>
      <w:r>
        <w:rPr>
          <w:color w:val="231F20"/>
          <w:spacing w:val="27"/>
        </w:rPr>
        <w:t> </w:t>
      </w:r>
      <w:r>
        <w:rPr>
          <w:color w:val="231F20"/>
        </w:rPr>
        <w:t>distributed</w:t>
      </w:r>
      <w:r>
        <w:rPr>
          <w:color w:val="231F20"/>
          <w:spacing w:val="27"/>
        </w:rPr>
        <w:t> </w:t>
      </w:r>
      <w:r>
        <w:rPr>
          <w:color w:val="231F20"/>
        </w:rPr>
        <w:t>and</w:t>
      </w:r>
      <w:r>
        <w:rPr>
          <w:color w:val="231F20"/>
          <w:spacing w:val="27"/>
        </w:rPr>
        <w:t> </w:t>
      </w:r>
      <w:r>
        <w:rPr>
          <w:color w:val="231F20"/>
        </w:rPr>
        <w:t>run.</w:t>
      </w:r>
      <w:r>
        <w:rPr>
          <w:color w:val="231F20"/>
          <w:spacing w:val="27"/>
        </w:rPr>
        <w:t> </w:t>
      </w:r>
      <w:r>
        <w:rPr>
          <w:color w:val="231F20"/>
        </w:rPr>
        <w:t>When</w:t>
      </w:r>
      <w:r>
        <w:rPr>
          <w:color w:val="231F20"/>
          <w:spacing w:val="27"/>
        </w:rPr>
        <w:t> </w:t>
      </w:r>
      <w:r>
        <w:rPr>
          <w:color w:val="231F20"/>
        </w:rPr>
        <w:t>you</w:t>
      </w:r>
      <w:r>
        <w:rPr>
          <w:color w:val="231F20"/>
          <w:spacing w:val="27"/>
        </w:rPr>
        <w:t> </w:t>
      </w:r>
      <w:r>
        <w:rPr>
          <w:color w:val="231F20"/>
        </w:rPr>
        <w:t>select this option, the Change Policy Distribution window opens with a list of </w:t>
      </w:r>
      <w:r>
        <w:rPr>
          <w:color w:val="231F20"/>
        </w:rPr>
        <w:t>the available managed systems to which you can assign the policy.</w:t>
      </w:r>
    </w:p>
    <w:p>
      <w:pPr>
        <w:spacing w:line="213" w:lineRule="auto" w:before="118"/>
        <w:ind w:left="2951" w:right="545" w:firstLine="0"/>
        <w:jc w:val="left"/>
        <w:rPr>
          <w:sz w:val="20"/>
        </w:rPr>
      </w:pPr>
      <w:r>
        <w:rPr>
          <w:color w:val="231F20"/>
          <w:sz w:val="20"/>
        </w:rPr>
        <w:t>If </w:t>
      </w:r>
      <w:r>
        <w:rPr>
          <w:rFonts w:ascii="Book Antiqua"/>
          <w:b/>
          <w:color w:val="231F20"/>
          <w:sz w:val="20"/>
        </w:rPr>
        <w:t>Correlate by </w:t>
      </w:r>
      <w:r>
        <w:rPr>
          <w:color w:val="231F20"/>
          <w:sz w:val="20"/>
        </w:rPr>
        <w:t>is set to Logical Application Group, no individual </w:t>
      </w:r>
      <w:r>
        <w:rPr>
          <w:color w:val="231F20"/>
          <w:sz w:val="20"/>
        </w:rPr>
        <w:t>managed systems</w:t>
      </w:r>
      <w:r>
        <w:rPr>
          <w:color w:val="231F20"/>
          <w:spacing w:val="28"/>
          <w:sz w:val="20"/>
        </w:rPr>
        <w:t> </w:t>
      </w:r>
      <w:r>
        <w:rPr>
          <w:color w:val="231F20"/>
          <w:sz w:val="20"/>
        </w:rPr>
        <w:t>are</w:t>
      </w:r>
      <w:r>
        <w:rPr>
          <w:color w:val="231F20"/>
          <w:spacing w:val="28"/>
          <w:sz w:val="20"/>
        </w:rPr>
        <w:t> </w:t>
      </w:r>
      <w:r>
        <w:rPr>
          <w:color w:val="231F20"/>
          <w:sz w:val="20"/>
        </w:rPr>
        <w:t>shown;</w:t>
      </w:r>
      <w:r>
        <w:rPr>
          <w:color w:val="231F20"/>
          <w:spacing w:val="28"/>
          <w:sz w:val="20"/>
        </w:rPr>
        <w:t> </w:t>
      </w:r>
      <w:r>
        <w:rPr>
          <w:color w:val="231F20"/>
          <w:sz w:val="20"/>
        </w:rPr>
        <w:t>only</w:t>
      </w:r>
      <w:r>
        <w:rPr>
          <w:color w:val="231F20"/>
          <w:spacing w:val="28"/>
          <w:sz w:val="20"/>
        </w:rPr>
        <w:t> </w:t>
      </w:r>
      <w:r>
        <w:rPr>
          <w:color w:val="231F20"/>
          <w:sz w:val="20"/>
        </w:rPr>
        <w:t>managed</w:t>
      </w:r>
      <w:r>
        <w:rPr>
          <w:color w:val="231F20"/>
          <w:spacing w:val="28"/>
          <w:sz w:val="20"/>
        </w:rPr>
        <w:t> </w:t>
      </w:r>
      <w:r>
        <w:rPr>
          <w:color w:val="231F20"/>
          <w:sz w:val="20"/>
        </w:rPr>
        <w:t>system</w:t>
      </w:r>
      <w:r>
        <w:rPr>
          <w:color w:val="231F20"/>
          <w:spacing w:val="28"/>
          <w:sz w:val="20"/>
        </w:rPr>
        <w:t> </w:t>
      </w:r>
      <w:r>
        <w:rPr>
          <w:color w:val="231F20"/>
          <w:sz w:val="20"/>
        </w:rPr>
        <w:t>groups. You</w:t>
      </w:r>
      <w:r>
        <w:rPr>
          <w:color w:val="231F20"/>
          <w:spacing w:val="28"/>
          <w:sz w:val="20"/>
        </w:rPr>
        <w:t> </w:t>
      </w:r>
      <w:r>
        <w:rPr>
          <w:color w:val="231F20"/>
          <w:sz w:val="20"/>
        </w:rPr>
        <w:t>must</w:t>
      </w:r>
      <w:r>
        <w:rPr>
          <w:color w:val="231F20"/>
          <w:spacing w:val="28"/>
          <w:sz w:val="20"/>
        </w:rPr>
        <w:t> </w:t>
      </w:r>
      <w:r>
        <w:rPr>
          <w:color w:val="231F20"/>
          <w:sz w:val="20"/>
        </w:rPr>
        <w:t>select</w:t>
      </w:r>
      <w:r>
        <w:rPr>
          <w:color w:val="231F20"/>
          <w:spacing w:val="28"/>
          <w:sz w:val="20"/>
        </w:rPr>
        <w:t> </w:t>
      </w:r>
      <w:r>
        <w:rPr>
          <w:color w:val="231F20"/>
          <w:sz w:val="20"/>
        </w:rPr>
        <w:t>one from the </w:t>
      </w:r>
      <w:r>
        <w:rPr>
          <w:rFonts w:ascii="Book Antiqua"/>
          <w:b/>
          <w:color w:val="231F20"/>
          <w:sz w:val="20"/>
        </w:rPr>
        <w:t>Available managed system groups </w:t>
      </w:r>
      <w:r>
        <w:rPr>
          <w:color w:val="231F20"/>
          <w:sz w:val="20"/>
        </w:rPr>
        <w:t>list and click</w:t>
      </w:r>
      <w:r>
        <w:rPr>
          <w:color w:val="231F20"/>
          <w:spacing w:val="40"/>
          <w:sz w:val="20"/>
        </w:rPr>
        <w:t> </w:t>
      </w:r>
      <w:r>
        <w:rPr>
          <w:color w:val="231F20"/>
          <w:spacing w:val="15"/>
          <w:position w:val="1"/>
          <w:sz w:val="20"/>
        </w:rPr>
        <w:drawing>
          <wp:inline distT="0" distB="0" distL="0" distR="0">
            <wp:extent cx="44450" cy="76200"/>
            <wp:effectExtent l="0" t="0" r="0" b="0"/>
            <wp:docPr id="2757" name="Image 2757"/>
            <wp:cNvGraphicFramePr>
              <a:graphicFrameLocks/>
            </wp:cNvGraphicFramePr>
            <a:graphic>
              <a:graphicData uri="http://schemas.openxmlformats.org/drawingml/2006/picture">
                <pic:pic>
                  <pic:nvPicPr>
                    <pic:cNvPr id="2757" name="Image 2757"/>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w:t>
      </w:r>
    </w:p>
    <w:p>
      <w:pPr>
        <w:pStyle w:val="Heading6"/>
        <w:spacing w:line="227" w:lineRule="exact" w:before="122"/>
        <w:ind w:left="2232"/>
      </w:pPr>
      <w:r>
        <w:rPr>
          <w:b w:val="0"/>
        </w:rPr>
        <w:drawing>
          <wp:inline distT="0" distB="0" distL="0" distR="0">
            <wp:extent cx="82550" cy="82550"/>
            <wp:effectExtent l="0" t="0" r="0" b="0"/>
            <wp:docPr id="2758" name="Image 2758"/>
            <wp:cNvGraphicFramePr>
              <a:graphicFrameLocks/>
            </wp:cNvGraphicFramePr>
            <a:graphic>
              <a:graphicData uri="http://schemas.openxmlformats.org/drawingml/2006/picture">
                <pic:pic>
                  <pic:nvPicPr>
                    <pic:cNvPr id="2758" name="Image 2758"/>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Auto start</w:t>
      </w:r>
    </w:p>
    <w:p>
      <w:pPr>
        <w:pStyle w:val="BodyText"/>
        <w:spacing w:line="213" w:lineRule="auto" w:before="9"/>
        <w:ind w:left="2951" w:right="598"/>
        <w:jc w:val="both"/>
      </w:pPr>
      <w:r>
        <w:rPr>
          <w:color w:val="231F20"/>
        </w:rPr>
        <w:t>When selected, starts the policy automatically when it is saved and </w:t>
      </w:r>
      <w:r>
        <w:rPr>
          <w:color w:val="231F20"/>
        </w:rPr>
        <w:t>when the monitoring server is started. Clear this option if you want to start the policy manually.</w:t>
      </w:r>
    </w:p>
    <w:p>
      <w:pPr>
        <w:pStyle w:val="Heading6"/>
        <w:spacing w:line="227" w:lineRule="exact" w:before="121"/>
        <w:ind w:left="2232"/>
      </w:pPr>
      <w:r>
        <w:rPr>
          <w:b w:val="0"/>
        </w:rPr>
        <w:drawing>
          <wp:inline distT="0" distB="0" distL="0" distR="0">
            <wp:extent cx="82550" cy="82550"/>
            <wp:effectExtent l="0" t="0" r="0" b="0"/>
            <wp:docPr id="2759" name="Image 2759"/>
            <wp:cNvGraphicFramePr>
              <a:graphicFrameLocks/>
            </wp:cNvGraphicFramePr>
            <a:graphic>
              <a:graphicData uri="http://schemas.openxmlformats.org/drawingml/2006/picture">
                <pic:pic>
                  <pic:nvPicPr>
                    <pic:cNvPr id="2759" name="Image 2759"/>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80"/>
        </w:rPr>
        <w:t> </w:t>
      </w:r>
      <w:r>
        <w:rPr>
          <w:color w:val="231F20"/>
        </w:rPr>
        <w:t>Save Results</w:t>
      </w:r>
    </w:p>
    <w:p>
      <w:pPr>
        <w:pStyle w:val="BodyText"/>
        <w:spacing w:line="213" w:lineRule="auto" w:before="9"/>
        <w:ind w:left="2951" w:right="596"/>
        <w:jc w:val="both"/>
      </w:pPr>
      <w:r>
        <w:rPr>
          <w:color w:val="231F20"/>
        </w:rPr>
        <w:t>When selected, saves the results data internally. You can save results data only to policies that contain a user choice activity.</w:t>
      </w:r>
    </w:p>
    <w:p>
      <w:pPr>
        <w:pStyle w:val="Heading6"/>
        <w:spacing w:line="240" w:lineRule="auto"/>
        <w:ind w:left="2232"/>
      </w:pPr>
      <w:r>
        <w:rPr>
          <w:b w:val="0"/>
          <w:position w:val="-1"/>
        </w:rPr>
        <w:drawing>
          <wp:inline distT="0" distB="0" distL="0" distR="0">
            <wp:extent cx="101600" cy="101600"/>
            <wp:effectExtent l="0" t="0" r="0" b="0"/>
            <wp:docPr id="2760" name="Image 2760"/>
            <wp:cNvGraphicFramePr>
              <a:graphicFrameLocks/>
            </wp:cNvGraphicFramePr>
            <a:graphic>
              <a:graphicData uri="http://schemas.openxmlformats.org/drawingml/2006/picture">
                <pic:pic>
                  <pic:nvPicPr>
                    <pic:cNvPr id="2760" name="Image 2760"/>
                    <pic:cNvPicPr/>
                  </pic:nvPicPr>
                  <pic:blipFill>
                    <a:blip r:embed="rId75"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Correlate by</w:t>
      </w:r>
    </w:p>
    <w:p>
      <w:pPr>
        <w:spacing w:line="229" w:lineRule="exact" w:before="118"/>
        <w:ind w:left="2951" w:right="0" w:firstLine="0"/>
        <w:jc w:val="both"/>
        <w:rPr>
          <w:rFonts w:ascii="Book Antiqua"/>
          <w:b/>
          <w:sz w:val="20"/>
        </w:rPr>
      </w:pPr>
      <w:r>
        <w:rPr>
          <w:rFonts w:ascii="Book Antiqua"/>
          <w:b/>
          <w:color w:val="231F20"/>
          <w:sz w:val="20"/>
        </w:rPr>
        <w:t>Host</w:t>
      </w:r>
      <w:r>
        <w:rPr>
          <w:rFonts w:ascii="Book Antiqua"/>
          <w:b/>
          <w:color w:val="231F20"/>
          <w:spacing w:val="11"/>
          <w:sz w:val="20"/>
        </w:rPr>
        <w:t> </w:t>
      </w:r>
      <w:r>
        <w:rPr>
          <w:rFonts w:ascii="Book Antiqua"/>
          <w:b/>
          <w:color w:val="231F20"/>
          <w:spacing w:val="-4"/>
          <w:sz w:val="20"/>
        </w:rPr>
        <w:t>Name</w:t>
      </w:r>
    </w:p>
    <w:p>
      <w:pPr>
        <w:pStyle w:val="BodyText"/>
        <w:spacing w:line="213" w:lineRule="auto" w:before="11"/>
        <w:ind w:left="3669" w:right="461"/>
      </w:pPr>
      <w:r>
        <w:rPr>
          <w:color w:val="231F20"/>
        </w:rPr>
        <w:t>the default mode, maintains separate paths of execution for each host where one or more different managed systems are running. If the</w:t>
      </w:r>
      <w:r>
        <w:rPr>
          <w:color w:val="231F20"/>
          <w:spacing w:val="10"/>
        </w:rPr>
        <w:t> </w:t>
      </w:r>
      <w:r>
        <w:rPr>
          <w:color w:val="231F20"/>
        </w:rPr>
        <w:t>host</w:t>
      </w:r>
      <w:r>
        <w:rPr>
          <w:color w:val="231F20"/>
          <w:spacing w:val="11"/>
        </w:rPr>
        <w:t> </w:t>
      </w:r>
      <w:r>
        <w:rPr>
          <w:color w:val="231F20"/>
        </w:rPr>
        <w:t>name</w:t>
      </w:r>
      <w:r>
        <w:rPr>
          <w:color w:val="231F20"/>
          <w:spacing w:val="11"/>
        </w:rPr>
        <w:t> </w:t>
      </w:r>
      <w:r>
        <w:rPr>
          <w:color w:val="231F20"/>
        </w:rPr>
        <w:t>for</w:t>
      </w:r>
      <w:r>
        <w:rPr>
          <w:color w:val="231F20"/>
          <w:spacing w:val="11"/>
        </w:rPr>
        <w:t> </w:t>
      </w:r>
      <w:r>
        <w:rPr>
          <w:color w:val="231F20"/>
        </w:rPr>
        <w:t>two</w:t>
      </w:r>
      <w:r>
        <w:rPr>
          <w:color w:val="231F20"/>
          <w:spacing w:val="10"/>
        </w:rPr>
        <w:t> </w:t>
      </w:r>
      <w:r>
        <w:rPr>
          <w:color w:val="231F20"/>
        </w:rPr>
        <w:t>different</w:t>
      </w:r>
      <w:r>
        <w:rPr>
          <w:color w:val="231F20"/>
          <w:spacing w:val="11"/>
        </w:rPr>
        <w:t> </w:t>
      </w:r>
      <w:r>
        <w:rPr>
          <w:color w:val="231F20"/>
        </w:rPr>
        <w:t>managed</w:t>
      </w:r>
      <w:r>
        <w:rPr>
          <w:color w:val="231F20"/>
          <w:spacing w:val="11"/>
        </w:rPr>
        <w:t> </w:t>
      </w:r>
      <w:r>
        <w:rPr>
          <w:color w:val="231F20"/>
        </w:rPr>
        <w:t>systems</w:t>
      </w:r>
      <w:r>
        <w:rPr>
          <w:color w:val="231F20"/>
          <w:spacing w:val="11"/>
        </w:rPr>
        <w:t> </w:t>
      </w:r>
      <w:r>
        <w:rPr>
          <w:color w:val="231F20"/>
        </w:rPr>
        <w:t>is</w:t>
      </w:r>
      <w:r>
        <w:rPr>
          <w:color w:val="231F20"/>
          <w:spacing w:val="10"/>
        </w:rPr>
        <w:t> </w:t>
      </w:r>
      <w:r>
        <w:rPr>
          <w:color w:val="231F20"/>
        </w:rPr>
        <w:t>the</w:t>
      </w:r>
      <w:r>
        <w:rPr>
          <w:color w:val="231F20"/>
          <w:spacing w:val="11"/>
        </w:rPr>
        <w:t> </w:t>
      </w:r>
      <w:r>
        <w:rPr>
          <w:color w:val="231F20"/>
        </w:rPr>
        <w:t>same,</w:t>
      </w:r>
      <w:r>
        <w:rPr>
          <w:color w:val="231F20"/>
          <w:spacing w:val="11"/>
        </w:rPr>
        <w:t> </w:t>
      </w:r>
      <w:r>
        <w:rPr>
          <w:color w:val="231F20"/>
          <w:spacing w:val="-4"/>
        </w:rPr>
        <w:t>both</w:t>
      </w:r>
    </w:p>
    <w:p>
      <w:pPr>
        <w:spacing w:after="0" w:line="213" w:lineRule="auto"/>
        <w:sectPr>
          <w:pgSz w:w="12240" w:h="15840"/>
          <w:pgMar w:header="0" w:footer="736" w:top="1180" w:bottom="920" w:left="1000" w:right="1060"/>
        </w:sectPr>
      </w:pPr>
    </w:p>
    <w:p>
      <w:pPr>
        <w:pStyle w:val="BodyText"/>
        <w:spacing w:line="213" w:lineRule="auto" w:before="85"/>
        <w:ind w:left="3909" w:right="300"/>
        <w:jc w:val="both"/>
      </w:pPr>
      <w:r>
        <w:rPr>
          <w:color w:val="231F20"/>
        </w:rPr>
        <w:t>managed systems take the same path through the policy. For each distinct path, the policy waits for data from, or runs programs </w:t>
      </w:r>
      <w:r>
        <w:rPr>
          <w:color w:val="231F20"/>
        </w:rPr>
        <w:t>on, the same host that started that path of execution.</w:t>
      </w:r>
    </w:p>
    <w:p>
      <w:pPr>
        <w:pStyle w:val="Heading6"/>
        <w:spacing w:before="116"/>
        <w:ind w:left="3190"/>
      </w:pPr>
      <w:r>
        <w:rPr>
          <w:color w:val="231F20"/>
        </w:rPr>
        <w:t>Host</w:t>
      </w:r>
      <w:r>
        <w:rPr>
          <w:color w:val="231F20"/>
          <w:spacing w:val="11"/>
        </w:rPr>
        <w:t> </w:t>
      </w:r>
      <w:r>
        <w:rPr>
          <w:color w:val="231F20"/>
          <w:spacing w:val="-2"/>
        </w:rPr>
        <w:t>Address</w:t>
      </w:r>
    </w:p>
    <w:p>
      <w:pPr>
        <w:pStyle w:val="BodyText"/>
        <w:spacing w:line="213" w:lineRule="auto" w:before="11"/>
        <w:ind w:left="3909" w:right="493"/>
      </w:pPr>
      <w:r>
        <w:rPr>
          <w:color w:val="231F20"/>
        </w:rPr>
        <w:t>works identically to Host Name except it identifies the managed systems by their host address instead of host name. It is </w:t>
      </w:r>
      <w:r>
        <w:rPr>
          <w:color w:val="231F20"/>
        </w:rPr>
        <w:t>typically used only if the policy cannot run when it references the host </w:t>
      </w:r>
      <w:r>
        <w:rPr>
          <w:color w:val="231F20"/>
          <w:spacing w:val="-2"/>
        </w:rPr>
        <w:t>name.</w:t>
      </w:r>
    </w:p>
    <w:p>
      <w:pPr>
        <w:pStyle w:val="Heading6"/>
        <w:spacing w:before="116"/>
        <w:ind w:left="3190"/>
      </w:pPr>
      <w:r>
        <w:rPr>
          <w:color w:val="231F20"/>
        </w:rPr>
        <w:t>Logical</w:t>
      </w:r>
      <w:r>
        <w:rPr>
          <w:color w:val="231F20"/>
          <w:spacing w:val="7"/>
        </w:rPr>
        <w:t> </w:t>
      </w:r>
      <w:r>
        <w:rPr>
          <w:color w:val="231F20"/>
        </w:rPr>
        <w:t>Application</w:t>
      </w:r>
      <w:r>
        <w:rPr>
          <w:color w:val="231F20"/>
          <w:spacing w:val="7"/>
        </w:rPr>
        <w:t> </w:t>
      </w:r>
      <w:r>
        <w:rPr>
          <w:color w:val="231F20"/>
          <w:spacing w:val="-2"/>
        </w:rPr>
        <w:t>Group</w:t>
      </w:r>
    </w:p>
    <w:p>
      <w:pPr>
        <w:pStyle w:val="BodyText"/>
        <w:spacing w:line="213" w:lineRule="auto" w:before="12"/>
        <w:ind w:left="3909"/>
      </w:pPr>
      <w:r>
        <w:rPr>
          <w:color w:val="231F20"/>
        </w:rPr>
        <w:t>identifies the managed systems for processing by their managed system group name. This mode is used to combine disparate </w:t>
      </w:r>
      <w:r>
        <w:rPr>
          <w:color w:val="231F20"/>
        </w:rPr>
        <w:t>agent types. The policy maintains separate paths of execution for each managed system group to which the policy is distributed.</w:t>
      </w:r>
    </w:p>
    <w:p>
      <w:pPr>
        <w:pStyle w:val="Heading6"/>
        <w:spacing w:before="115"/>
        <w:ind w:left="3190"/>
      </w:pPr>
      <w:r>
        <w:rPr>
          <w:color w:val="231F20"/>
          <w:spacing w:val="-2"/>
        </w:rPr>
        <w:t>Uncorrelated</w:t>
      </w:r>
    </w:p>
    <w:p>
      <w:pPr>
        <w:pStyle w:val="BodyText"/>
        <w:spacing w:line="213" w:lineRule="auto" w:before="12"/>
        <w:ind w:left="3909" w:right="292"/>
      </w:pPr>
      <w:r>
        <w:rPr>
          <w:color w:val="231F20"/>
        </w:rPr>
        <w:t>which is not normally used, takes one path through the policy for</w:t>
      </w:r>
      <w:r>
        <w:rPr>
          <w:color w:val="231F20"/>
          <w:spacing w:val="80"/>
        </w:rPr>
        <w:t> </w:t>
      </w:r>
      <w:r>
        <w:rPr>
          <w:color w:val="231F20"/>
        </w:rPr>
        <w:t>all managed systems to which the policy is distributed. No </w:t>
      </w:r>
      <w:r>
        <w:rPr>
          <w:color w:val="231F20"/>
        </w:rPr>
        <w:t>attempt</w:t>
      </w:r>
      <w:r>
        <w:rPr>
          <w:color w:val="231F20"/>
          <w:spacing w:val="40"/>
        </w:rPr>
        <w:t> </w:t>
      </w:r>
      <w:r>
        <w:rPr>
          <w:color w:val="231F20"/>
        </w:rPr>
        <w:t>is made to correlate data from different managed systems as one activity terminates and subsequent activities are started.</w:t>
      </w:r>
    </w:p>
    <w:p>
      <w:pPr>
        <w:pStyle w:val="Heading6"/>
        <w:spacing w:line="227" w:lineRule="exact" w:before="121"/>
      </w:pPr>
      <w:r>
        <w:rPr>
          <w:b w:val="0"/>
        </w:rPr>
        <w:drawing>
          <wp:inline distT="0" distB="0" distL="0" distR="0">
            <wp:extent cx="82550" cy="82550"/>
            <wp:effectExtent l="0" t="0" r="0" b="0"/>
            <wp:docPr id="2761" name="Image 2761"/>
            <wp:cNvGraphicFramePr>
              <a:graphicFrameLocks/>
            </wp:cNvGraphicFramePr>
            <a:graphic>
              <a:graphicData uri="http://schemas.openxmlformats.org/drawingml/2006/picture">
                <pic:pic>
                  <pic:nvPicPr>
                    <pic:cNvPr id="2761" name="Image 2761"/>
                    <pic:cNvPicPr/>
                  </pic:nvPicPr>
                  <pic:blipFill>
                    <a:blip r:embed="rId120" cstate="print"/>
                    <a:stretch>
                      <a:fillRect/>
                    </a:stretch>
                  </pic:blipFill>
                  <pic:spPr>
                    <a:xfrm>
                      <a:off x="0" y="0"/>
                      <a:ext cx="82550" cy="82550"/>
                    </a:xfrm>
                    <a:prstGeom prst="rect">
                      <a:avLst/>
                    </a:prstGeom>
                  </pic:spPr>
                </pic:pic>
              </a:graphicData>
            </a:graphic>
          </wp:inline>
        </w:drawing>
      </w:r>
      <w:r>
        <w:rPr>
          <w:b w:val="0"/>
        </w:rPr>
      </w:r>
      <w:r>
        <w:rPr>
          <w:rFonts w:ascii="Times New Roman"/>
          <w:b w:val="0"/>
        </w:rPr>
        <w:t> </w:t>
      </w:r>
      <w:r>
        <w:rPr>
          <w:color w:val="231F20"/>
        </w:rPr>
        <w:t>Limit</w:t>
      </w:r>
      <w:r>
        <w:rPr>
          <w:color w:val="231F20"/>
          <w:spacing w:val="23"/>
        </w:rPr>
        <w:t> </w:t>
      </w:r>
      <w:r>
        <w:rPr>
          <w:color w:val="231F20"/>
        </w:rPr>
        <w:t>restarts</w:t>
      </w:r>
    </w:p>
    <w:p>
      <w:pPr>
        <w:pStyle w:val="BodyText"/>
        <w:spacing w:line="213" w:lineRule="auto" w:before="8"/>
        <w:ind w:left="3190" w:right="385"/>
      </w:pPr>
      <w:r>
        <w:rPr>
          <w:color w:val="231F20"/>
        </w:rPr>
        <w:t>Left cleared, specifies no limitation on the number of times the policy </w:t>
      </w:r>
      <w:r>
        <w:rPr>
          <w:color w:val="231F20"/>
        </w:rPr>
        <w:t>can begin running again. When selected, stops the policy after it has run five times in a 24-hour period.</w:t>
      </w:r>
    </w:p>
    <w:p>
      <w:pPr>
        <w:pStyle w:val="Heading6"/>
        <w:spacing w:line="227" w:lineRule="exact" w:before="122"/>
      </w:pPr>
      <w:r>
        <w:rPr>
          <w:b w:val="0"/>
        </w:rPr>
        <w:drawing>
          <wp:inline distT="0" distB="0" distL="0" distR="0">
            <wp:extent cx="82550" cy="82550"/>
            <wp:effectExtent l="0" t="0" r="0" b="0"/>
            <wp:docPr id="2762" name="Image 2762"/>
            <wp:cNvGraphicFramePr>
              <a:graphicFrameLocks/>
            </wp:cNvGraphicFramePr>
            <a:graphic>
              <a:graphicData uri="http://schemas.openxmlformats.org/drawingml/2006/picture">
                <pic:pic>
                  <pic:nvPicPr>
                    <pic:cNvPr id="2762" name="Image 2762"/>
                    <pic:cNvPicPr/>
                  </pic:nvPicPr>
                  <pic:blipFill>
                    <a:blip r:embed="rId87" cstate="print"/>
                    <a:stretch>
                      <a:fillRect/>
                    </a:stretch>
                  </pic:blipFill>
                  <pic:spPr>
                    <a:xfrm>
                      <a:off x="0" y="0"/>
                      <a:ext cx="82550" cy="82550"/>
                    </a:xfrm>
                    <a:prstGeom prst="rect">
                      <a:avLst/>
                    </a:prstGeom>
                  </pic:spPr>
                </pic:pic>
              </a:graphicData>
            </a:graphic>
          </wp:inline>
        </w:drawing>
      </w:r>
      <w:r>
        <w:rPr>
          <w:b w:val="0"/>
        </w:rPr>
      </w:r>
      <w:r>
        <w:rPr>
          <w:rFonts w:ascii="Times New Roman"/>
          <w:b w:val="0"/>
          <w:spacing w:val="40"/>
        </w:rPr>
        <w:t> </w:t>
      </w:r>
      <w:r>
        <w:rPr>
          <w:color w:val="231F20"/>
        </w:rPr>
        <w:t>Restart</w:t>
      </w:r>
    </w:p>
    <w:p>
      <w:pPr>
        <w:pStyle w:val="BodyText"/>
        <w:spacing w:line="213" w:lineRule="auto" w:before="9"/>
        <w:ind w:left="3190" w:right="258"/>
      </w:pPr>
      <w:r>
        <w:rPr>
          <w:color w:val="231F20"/>
        </w:rPr>
        <w:t>Starts the policy again after the last activity finishes executing. When</w:t>
      </w:r>
      <w:r>
        <w:rPr>
          <w:color w:val="231F20"/>
          <w:spacing w:val="40"/>
        </w:rPr>
        <w:t> </w:t>
      </w:r>
      <w:r>
        <w:rPr>
          <w:color w:val="231F20"/>
        </w:rPr>
        <w:t>cleared, stops the policy after the last activity finishes executing until it is started again manually or, if you have </w:t>
      </w:r>
      <w:r>
        <w:rPr>
          <w:color w:val="231F20"/>
          <w:spacing w:val="15"/>
        </w:rPr>
        <w:drawing>
          <wp:inline distT="0" distB="0" distL="0" distR="0">
            <wp:extent cx="82550" cy="82550"/>
            <wp:effectExtent l="0" t="0" r="0" b="0"/>
            <wp:docPr id="2763" name="Image 2763"/>
            <wp:cNvGraphicFramePr>
              <a:graphicFrameLocks/>
            </wp:cNvGraphicFramePr>
            <a:graphic>
              <a:graphicData uri="http://schemas.openxmlformats.org/drawingml/2006/picture">
                <pic:pic>
                  <pic:nvPicPr>
                    <pic:cNvPr id="2763" name="Image 2763"/>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Auto start </w:t>
      </w:r>
      <w:r>
        <w:rPr>
          <w:color w:val="231F20"/>
        </w:rPr>
        <w:t>enabled, the next time the policy is saved or when the monitoring server on which it is running is </w:t>
      </w:r>
      <w:r>
        <w:rPr>
          <w:color w:val="231F20"/>
          <w:spacing w:val="-2"/>
        </w:rPr>
        <w:t>recycled.</w:t>
      </w:r>
    </w:p>
    <w:p>
      <w:pPr>
        <w:pStyle w:val="Heading6"/>
        <w:spacing w:before="115"/>
      </w:pPr>
      <w:r>
        <w:rPr>
          <w:color w:val="231F20"/>
          <w:spacing w:val="-2"/>
        </w:rPr>
        <w:t>Description</w:t>
      </w:r>
    </w:p>
    <w:p>
      <w:pPr>
        <w:pStyle w:val="BodyText"/>
        <w:spacing w:line="213" w:lineRule="auto" w:before="11"/>
        <w:ind w:left="3190" w:right="258"/>
      </w:pPr>
      <w:r>
        <w:rPr>
          <w:color w:val="231F20"/>
        </w:rPr>
        <w:t>Shows the description for the policy. Click inside this field and edit the text as needed, using the Backspace and Delete keys to erase text to the left or</w:t>
      </w:r>
      <w:r>
        <w:rPr>
          <w:color w:val="231F20"/>
          <w:spacing w:val="40"/>
        </w:rPr>
        <w:t> </w:t>
      </w:r>
      <w:r>
        <w:rPr>
          <w:color w:val="231F20"/>
          <w:spacing w:val="-2"/>
        </w:rPr>
        <w:t>right.</w:t>
      </w:r>
    </w:p>
    <w:p>
      <w:pPr>
        <w:pStyle w:val="Heading6"/>
      </w:pPr>
      <w:r>
        <w:rPr>
          <w:color w:val="231F20"/>
          <w:spacing w:val="-2"/>
        </w:rPr>
        <w:t>Version</w:t>
      </w:r>
    </w:p>
    <w:p>
      <w:pPr>
        <w:pStyle w:val="BodyText"/>
        <w:spacing w:line="258" w:lineRule="exact"/>
        <w:ind w:right="31"/>
        <w:jc w:val="center"/>
      </w:pPr>
      <w:r>
        <w:rPr>
          <w:color w:val="231F20"/>
        </w:rPr>
        <w:t>The</w:t>
      </w:r>
      <w:r>
        <w:rPr>
          <w:color w:val="231F20"/>
          <w:spacing w:val="11"/>
        </w:rPr>
        <w:t> </w:t>
      </w:r>
      <w:r>
        <w:rPr>
          <w:color w:val="231F20"/>
        </w:rPr>
        <w:t>version</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hub</w:t>
      </w:r>
      <w:r>
        <w:rPr>
          <w:color w:val="231F20"/>
          <w:spacing w:val="11"/>
        </w:rPr>
        <w:t> </w:t>
      </w:r>
      <w:r>
        <w:rPr>
          <w:color w:val="231F20"/>
        </w:rPr>
        <w:t>monitoring</w:t>
      </w:r>
      <w:r>
        <w:rPr>
          <w:color w:val="231F20"/>
          <w:spacing w:val="12"/>
        </w:rPr>
        <w:t> </w:t>
      </w:r>
      <w:r>
        <w:rPr>
          <w:color w:val="231F20"/>
          <w:spacing w:val="-2"/>
        </w:rPr>
        <w:t>server.</w:t>
      </w:r>
    </w:p>
    <w:p>
      <w:pPr>
        <w:pStyle w:val="Heading6"/>
        <w:spacing w:before="111"/>
      </w:pPr>
      <w:r>
        <w:rPr>
          <w:color w:val="231F20"/>
        </w:rPr>
        <w:t>Modified</w:t>
      </w:r>
      <w:r>
        <w:rPr>
          <w:color w:val="231F20"/>
          <w:spacing w:val="7"/>
        </w:rPr>
        <w:t> </w:t>
      </w:r>
      <w:r>
        <w:rPr>
          <w:color w:val="231F20"/>
          <w:spacing w:val="-5"/>
        </w:rPr>
        <w:t>by</w:t>
      </w:r>
    </w:p>
    <w:p>
      <w:pPr>
        <w:pStyle w:val="BodyText"/>
        <w:spacing w:line="258" w:lineRule="exact"/>
        <w:ind w:left="3190"/>
      </w:pPr>
      <w:r>
        <w:rPr>
          <w:color w:val="231F20"/>
        </w:rPr>
        <w:t>Shows</w:t>
      </w:r>
      <w:r>
        <w:rPr>
          <w:color w:val="231F20"/>
          <w:spacing w:val="11"/>
        </w:rPr>
        <w:t> </w:t>
      </w:r>
      <w:r>
        <w:rPr>
          <w:color w:val="231F20"/>
        </w:rPr>
        <w:t>the</w:t>
      </w:r>
      <w:r>
        <w:rPr>
          <w:color w:val="231F20"/>
          <w:spacing w:val="12"/>
        </w:rPr>
        <w:t> </w:t>
      </w:r>
      <w:r>
        <w:rPr>
          <w:color w:val="231F20"/>
        </w:rPr>
        <w:t>user</w:t>
      </w:r>
      <w:r>
        <w:rPr>
          <w:color w:val="231F20"/>
          <w:spacing w:val="11"/>
        </w:rPr>
        <w:t> </w:t>
      </w:r>
      <w:r>
        <w:rPr>
          <w:color w:val="231F20"/>
        </w:rPr>
        <w:t>ID</w:t>
      </w:r>
      <w:r>
        <w:rPr>
          <w:color w:val="231F20"/>
          <w:spacing w:val="12"/>
        </w:rPr>
        <w:t> </w:t>
      </w:r>
      <w:r>
        <w:rPr>
          <w:color w:val="231F20"/>
        </w:rPr>
        <w:t>of</w:t>
      </w:r>
      <w:r>
        <w:rPr>
          <w:color w:val="231F20"/>
          <w:spacing w:val="11"/>
        </w:rPr>
        <w:t> </w:t>
      </w:r>
      <w:r>
        <w:rPr>
          <w:color w:val="231F20"/>
        </w:rPr>
        <w:t>the</w:t>
      </w:r>
      <w:r>
        <w:rPr>
          <w:color w:val="231F20"/>
          <w:spacing w:val="12"/>
        </w:rPr>
        <w:t> </w:t>
      </w:r>
      <w:r>
        <w:rPr>
          <w:color w:val="231F20"/>
        </w:rPr>
        <w:t>person</w:t>
      </w:r>
      <w:r>
        <w:rPr>
          <w:color w:val="231F20"/>
          <w:spacing w:val="12"/>
        </w:rPr>
        <w:t> </w:t>
      </w:r>
      <w:r>
        <w:rPr>
          <w:color w:val="231F20"/>
        </w:rPr>
        <w:t>who</w:t>
      </w:r>
      <w:r>
        <w:rPr>
          <w:color w:val="231F20"/>
          <w:spacing w:val="11"/>
        </w:rPr>
        <w:t> </w:t>
      </w:r>
      <w:r>
        <w:rPr>
          <w:color w:val="231F20"/>
        </w:rPr>
        <w:t>most</w:t>
      </w:r>
      <w:r>
        <w:rPr>
          <w:color w:val="231F20"/>
          <w:spacing w:val="12"/>
        </w:rPr>
        <w:t> </w:t>
      </w:r>
      <w:r>
        <w:rPr>
          <w:color w:val="231F20"/>
        </w:rPr>
        <w:t>recently</w:t>
      </w:r>
      <w:r>
        <w:rPr>
          <w:color w:val="231F20"/>
          <w:spacing w:val="11"/>
        </w:rPr>
        <w:t> </w:t>
      </w:r>
      <w:r>
        <w:rPr>
          <w:color w:val="231F20"/>
        </w:rPr>
        <w:t>edited</w:t>
      </w:r>
      <w:r>
        <w:rPr>
          <w:color w:val="231F20"/>
          <w:spacing w:val="12"/>
        </w:rPr>
        <w:t> </w:t>
      </w:r>
      <w:r>
        <w:rPr>
          <w:color w:val="231F20"/>
        </w:rPr>
        <w:t>the</w:t>
      </w:r>
      <w:r>
        <w:rPr>
          <w:color w:val="231F20"/>
          <w:spacing w:val="12"/>
        </w:rPr>
        <w:t> </w:t>
      </w:r>
      <w:r>
        <w:rPr>
          <w:color w:val="231F20"/>
          <w:spacing w:val="-2"/>
        </w:rPr>
        <w:t>policy.</w:t>
      </w:r>
    </w:p>
    <w:p>
      <w:pPr>
        <w:pStyle w:val="Heading6"/>
        <w:spacing w:before="111"/>
      </w:pPr>
      <w:r>
        <w:rPr>
          <w:color w:val="231F20"/>
        </w:rPr>
        <w:t>Modified</w:t>
      </w:r>
      <w:r>
        <w:rPr>
          <w:color w:val="231F20"/>
          <w:spacing w:val="7"/>
        </w:rPr>
        <w:t> </w:t>
      </w:r>
      <w:r>
        <w:rPr>
          <w:color w:val="231F20"/>
          <w:spacing w:val="-4"/>
        </w:rPr>
        <w:t>date</w:t>
      </w:r>
    </w:p>
    <w:p>
      <w:pPr>
        <w:pStyle w:val="BodyText"/>
        <w:spacing w:line="258" w:lineRule="exact"/>
        <w:ind w:left="3190"/>
      </w:pPr>
      <w:r>
        <w:rPr>
          <w:color w:val="231F20"/>
        </w:rPr>
        <w:t>Shows</w:t>
      </w:r>
      <w:r>
        <w:rPr>
          <w:color w:val="231F20"/>
          <w:spacing w:val="12"/>
        </w:rPr>
        <w:t> </w:t>
      </w:r>
      <w:r>
        <w:rPr>
          <w:color w:val="231F20"/>
        </w:rPr>
        <w:t>the</w:t>
      </w:r>
      <w:r>
        <w:rPr>
          <w:color w:val="231F20"/>
          <w:spacing w:val="12"/>
        </w:rPr>
        <w:t> </w:t>
      </w:r>
      <w:r>
        <w:rPr>
          <w:color w:val="231F20"/>
        </w:rPr>
        <w:t>time</w:t>
      </w:r>
      <w:r>
        <w:rPr>
          <w:color w:val="231F20"/>
          <w:spacing w:val="12"/>
        </w:rPr>
        <w:t> </w:t>
      </w:r>
      <w:r>
        <w:rPr>
          <w:color w:val="231F20"/>
        </w:rPr>
        <w:t>and</w:t>
      </w:r>
      <w:r>
        <w:rPr>
          <w:color w:val="231F20"/>
          <w:spacing w:val="12"/>
        </w:rPr>
        <w:t> </w:t>
      </w:r>
      <w:r>
        <w:rPr>
          <w:color w:val="231F20"/>
        </w:rPr>
        <w:t>date</w:t>
      </w:r>
      <w:r>
        <w:rPr>
          <w:color w:val="231F20"/>
          <w:spacing w:val="12"/>
        </w:rPr>
        <w:t> </w:t>
      </w:r>
      <w:r>
        <w:rPr>
          <w:color w:val="231F20"/>
        </w:rPr>
        <w:t>the</w:t>
      </w:r>
      <w:r>
        <w:rPr>
          <w:color w:val="231F20"/>
          <w:spacing w:val="12"/>
        </w:rPr>
        <w:t> </w:t>
      </w:r>
      <w:r>
        <w:rPr>
          <w:color w:val="231F20"/>
        </w:rPr>
        <w:t>policy</w:t>
      </w:r>
      <w:r>
        <w:rPr>
          <w:color w:val="231F20"/>
          <w:spacing w:val="13"/>
        </w:rPr>
        <w:t> </w:t>
      </w:r>
      <w:r>
        <w:rPr>
          <w:color w:val="231F20"/>
        </w:rPr>
        <w:t>was</w:t>
      </w:r>
      <w:r>
        <w:rPr>
          <w:color w:val="231F20"/>
          <w:spacing w:val="12"/>
        </w:rPr>
        <w:t> </w:t>
      </w:r>
      <w:r>
        <w:rPr>
          <w:color w:val="231F20"/>
        </w:rPr>
        <w:t>last</w:t>
      </w:r>
      <w:r>
        <w:rPr>
          <w:color w:val="231F20"/>
          <w:spacing w:val="12"/>
        </w:rPr>
        <w:t> </w:t>
      </w:r>
      <w:r>
        <w:rPr>
          <w:color w:val="231F20"/>
          <w:spacing w:val="-2"/>
        </w:rPr>
        <w:t>edited.</w:t>
      </w:r>
    </w:p>
    <w:p>
      <w:pPr>
        <w:pStyle w:val="Heading5"/>
        <w:spacing w:before="213"/>
      </w:pPr>
      <w:r>
        <w:rPr>
          <w:color w:val="231F20"/>
        </w:rPr>
        <w:t>Compatibility</w:t>
      </w:r>
      <w:r>
        <w:rPr>
          <w:color w:val="231F20"/>
          <w:spacing w:val="-3"/>
        </w:rPr>
        <w:t> </w:t>
      </w:r>
      <w:r>
        <w:rPr>
          <w:color w:val="231F20"/>
          <w:spacing w:val="-2"/>
        </w:rPr>
        <w:t>levels</w:t>
      </w:r>
    </w:p>
    <w:p>
      <w:pPr>
        <w:pStyle w:val="BodyText"/>
        <w:spacing w:before="1"/>
        <w:rPr>
          <w:rFonts w:ascii="Arial"/>
          <w:b/>
          <w:sz w:val="22"/>
        </w:rPr>
      </w:pPr>
    </w:p>
    <w:p>
      <w:pPr>
        <w:pStyle w:val="BodyText"/>
        <w:spacing w:line="208" w:lineRule="auto" w:before="1"/>
        <w:ind w:left="2472" w:right="545"/>
      </w:pPr>
      <w:r>
        <w:rPr>
          <w:color w:val="231F20"/>
        </w:rPr>
        <w:t>This area of the window shows </w:t>
      </w:r>
      <w:r>
        <w:rPr>
          <w:color w:val="231F20"/>
          <w:spacing w:val="15"/>
        </w:rPr>
        <w:drawing>
          <wp:inline distT="0" distB="0" distL="0" distR="0">
            <wp:extent cx="76200" cy="82550"/>
            <wp:effectExtent l="0" t="0" r="0" b="0"/>
            <wp:docPr id="2764" name="Image 2764"/>
            <wp:cNvGraphicFramePr>
              <a:graphicFrameLocks/>
            </wp:cNvGraphicFramePr>
            <a:graphic>
              <a:graphicData uri="http://schemas.openxmlformats.org/drawingml/2006/picture">
                <pic:pic>
                  <pic:nvPicPr>
                    <pic:cNvPr id="2764" name="Image 2764"/>
                    <pic:cNvPicPr/>
                  </pic:nvPicPr>
                  <pic:blipFill>
                    <a:blip r:embed="rId428" cstate="print"/>
                    <a:stretch>
                      <a:fillRect/>
                    </a:stretch>
                  </pic:blipFill>
                  <pic:spPr>
                    <a:xfrm>
                      <a:off x="0" y="0"/>
                      <a:ext cx="76200" cy="82550"/>
                    </a:xfrm>
                    <a:prstGeom prst="rect">
                      <a:avLst/>
                    </a:prstGeom>
                  </pic:spPr>
                </pic:pic>
              </a:graphicData>
            </a:graphic>
          </wp:inline>
        </w:drawing>
      </w:r>
      <w:r>
        <w:rPr>
          <w:color w:val="231F20"/>
          <w:spacing w:val="15"/>
        </w:rPr>
      </w:r>
      <w:r>
        <w:rPr>
          <w:rFonts w:ascii="Times New Roman"/>
          <w:color w:val="231F20"/>
          <w:spacing w:val="-16"/>
        </w:rPr>
        <w:t> </w:t>
      </w:r>
      <w:r>
        <w:rPr>
          <w:color w:val="231F20"/>
        </w:rPr>
        <w:t>, which you can click to list the minimum version of the Workflow Editor software components that are compatible:</w:t>
      </w:r>
    </w:p>
    <w:p>
      <w:pPr>
        <w:pStyle w:val="BodyText"/>
        <w:spacing w:before="37"/>
        <w:ind w:left="2472"/>
      </w:pPr>
      <w:r>
        <w:rPr>
          <w:rFonts w:ascii="Futura MdCn BT"/>
          <w:color w:val="231F20"/>
        </w:rPr>
        <w:t>v</w:t>
      </w:r>
      <w:r>
        <w:rPr>
          <w:rFonts w:ascii="Futura MdCn BT"/>
          <w:color w:val="231F20"/>
          <w:spacing w:val="71"/>
          <w:w w:val="150"/>
        </w:rPr>
        <w:t> </w:t>
      </w:r>
      <w:r>
        <w:rPr>
          <w:color w:val="231F20"/>
        </w:rPr>
        <w:t>Workflow</w:t>
      </w:r>
      <w:r>
        <w:rPr>
          <w:color w:val="231F20"/>
          <w:spacing w:val="7"/>
        </w:rPr>
        <w:t> </w:t>
      </w:r>
      <w:r>
        <w:rPr>
          <w:color w:val="231F20"/>
          <w:spacing w:val="-2"/>
        </w:rPr>
        <w:t>Editor</w:t>
      </w:r>
    </w:p>
    <w:p>
      <w:pPr>
        <w:pStyle w:val="BodyText"/>
        <w:spacing w:before="29"/>
        <w:ind w:left="2472"/>
      </w:pPr>
      <w:r>
        <w:rPr>
          <w:rFonts w:ascii="Futura MdCn BT"/>
          <w:color w:val="231F20"/>
        </w:rPr>
        <w:t>v</w:t>
      </w:r>
      <w:r>
        <w:rPr>
          <w:rFonts w:ascii="Futura MdCn BT"/>
          <w:color w:val="231F20"/>
          <w:spacing w:val="75"/>
          <w:w w:val="150"/>
        </w:rPr>
        <w:t> </w:t>
      </w:r>
      <w:r>
        <w:rPr>
          <w:color w:val="231F20"/>
        </w:rPr>
        <w:t>Tivoli</w:t>
      </w:r>
      <w:r>
        <w:rPr>
          <w:color w:val="231F20"/>
          <w:spacing w:val="9"/>
        </w:rPr>
        <w:t> </w:t>
      </w:r>
      <w:r>
        <w:rPr>
          <w:color w:val="231F20"/>
        </w:rPr>
        <w:t>Enterprise</w:t>
      </w:r>
      <w:r>
        <w:rPr>
          <w:color w:val="231F20"/>
          <w:spacing w:val="10"/>
        </w:rPr>
        <w:t> </w:t>
      </w:r>
      <w:r>
        <w:rPr>
          <w:color w:val="231F20"/>
        </w:rPr>
        <w:t>Portal</w:t>
      </w:r>
      <w:r>
        <w:rPr>
          <w:color w:val="231F20"/>
          <w:spacing w:val="3"/>
        </w:rPr>
        <w:t> </w:t>
      </w:r>
      <w:r>
        <w:rPr>
          <w:color w:val="231F20"/>
        </w:rPr>
        <w:t>Automation</w:t>
      </w:r>
      <w:r>
        <w:rPr>
          <w:color w:val="231F20"/>
          <w:spacing w:val="9"/>
        </w:rPr>
        <w:t> </w:t>
      </w:r>
      <w:r>
        <w:rPr>
          <w:color w:val="231F20"/>
          <w:spacing w:val="-2"/>
        </w:rPr>
        <w:t>Server</w:t>
      </w:r>
    </w:p>
    <w:p>
      <w:pPr>
        <w:pStyle w:val="BodyText"/>
        <w:spacing w:before="30"/>
        <w:ind w:left="2472"/>
      </w:pPr>
      <w:r>
        <w:rPr>
          <w:rFonts w:ascii="Futura MdCn BT"/>
          <w:color w:val="231F20"/>
        </w:rPr>
        <w:t>v</w:t>
      </w:r>
      <w:r>
        <w:rPr>
          <w:rFonts w:ascii="Futura MdCn BT"/>
          <w:color w:val="231F20"/>
          <w:spacing w:val="74"/>
          <w:w w:val="150"/>
        </w:rPr>
        <w:t> </w:t>
      </w:r>
      <w:r>
        <w:rPr>
          <w:color w:val="231F20"/>
        </w:rPr>
        <w:t>Tivoli</w:t>
      </w:r>
      <w:r>
        <w:rPr>
          <w:color w:val="231F20"/>
          <w:spacing w:val="9"/>
        </w:rPr>
        <w:t> </w:t>
      </w:r>
      <w:r>
        <w:rPr>
          <w:color w:val="231F20"/>
        </w:rPr>
        <w:t>Enterprise</w:t>
      </w:r>
      <w:r>
        <w:rPr>
          <w:color w:val="231F20"/>
          <w:spacing w:val="8"/>
        </w:rPr>
        <w:t> </w:t>
      </w:r>
      <w:r>
        <w:rPr>
          <w:color w:val="231F20"/>
        </w:rPr>
        <w:t>Monitoring</w:t>
      </w:r>
      <w:r>
        <w:rPr>
          <w:color w:val="231F20"/>
          <w:spacing w:val="9"/>
        </w:rPr>
        <w:t> </w:t>
      </w:r>
      <w:r>
        <w:rPr>
          <w:color w:val="231F20"/>
        </w:rPr>
        <w:t>Server</w:t>
      </w:r>
      <w:r>
        <w:rPr>
          <w:color w:val="231F20"/>
          <w:spacing w:val="3"/>
        </w:rPr>
        <w:t> </w:t>
      </w:r>
      <w:r>
        <w:rPr>
          <w:color w:val="231F20"/>
        </w:rPr>
        <w:t>Automation</w:t>
      </w:r>
      <w:r>
        <w:rPr>
          <w:color w:val="231F20"/>
          <w:spacing w:val="8"/>
        </w:rPr>
        <w:t> </w:t>
      </w:r>
      <w:r>
        <w:rPr>
          <w:color w:val="231F20"/>
          <w:spacing w:val="-2"/>
        </w:rPr>
        <w:t>Server</w:t>
      </w:r>
    </w:p>
    <w:p>
      <w:pPr>
        <w:spacing w:after="0"/>
        <w:sectPr>
          <w:pgSz w:w="12240" w:h="15840"/>
          <w:pgMar w:header="0" w:footer="736" w:top="1180" w:bottom="920" w:left="1000" w:right="1060"/>
        </w:sectPr>
      </w:pPr>
    </w:p>
    <w:p>
      <w:pPr>
        <w:pStyle w:val="Heading6"/>
        <w:spacing w:line="240" w:lineRule="auto" w:before="62"/>
        <w:ind w:left="2232"/>
        <w:rPr>
          <w:rFonts w:ascii="Palatino Linotype"/>
          <w:b w:val="0"/>
        </w:rPr>
      </w:pPr>
      <w:bookmarkStart w:name="_bookmark245" w:id="512"/>
      <w:bookmarkEnd w:id="512"/>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29"/>
        <w:ind w:left="2232"/>
      </w:pPr>
      <w:hyperlink w:history="true" w:anchor="_bookmark237">
        <w:r>
          <w:rPr>
            <w:color w:val="231F20"/>
          </w:rPr>
          <w:t>“Creating</w:t>
        </w:r>
        <w:r>
          <w:rPr>
            <w:color w:val="231F20"/>
            <w:spacing w:val="10"/>
          </w:rPr>
          <w:t> </w:t>
        </w:r>
        <w:r>
          <w:rPr>
            <w:color w:val="231F20"/>
          </w:rPr>
          <w:t>a</w:t>
        </w:r>
        <w:r>
          <w:rPr>
            <w:color w:val="231F20"/>
            <w:spacing w:val="11"/>
          </w:rPr>
          <w:t> </w:t>
        </w:r>
        <w:r>
          <w:rPr>
            <w:color w:val="231F20"/>
          </w:rPr>
          <w:t>policy”</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324</w:t>
        </w:r>
      </w:hyperlink>
    </w:p>
    <w:p>
      <w:pPr>
        <w:pStyle w:val="BodyText"/>
        <w:spacing w:line="213" w:lineRule="auto" w:before="8"/>
        <w:ind w:left="2232" w:right="493"/>
      </w:pPr>
      <w:r>
        <w:rPr>
          <w:color w:val="231F20"/>
        </w:rPr>
        <w:t>Use policies to perform actions, schedule work, and automate manual tasks on </w:t>
      </w:r>
      <w:r>
        <w:rPr>
          <w:color w:val="231F20"/>
        </w:rPr>
        <w:t>one </w:t>
      </w:r>
      <w:bookmarkStart w:name="Workflow Editor" w:id="513"/>
      <w:bookmarkEnd w:id="513"/>
      <w:r>
        <w:rPr>
          <w:color w:val="231F20"/>
        </w:rPr>
        <w:t>or</w:t>
      </w:r>
      <w:r>
        <w:rPr>
          <w:color w:val="231F20"/>
        </w:rPr>
        <w:t> more managed systems in your enterprise.</w:t>
      </w:r>
    </w:p>
    <w:p>
      <w:pPr>
        <w:pStyle w:val="Heading4"/>
        <w:spacing w:line="273" w:lineRule="exact" w:before="165"/>
      </w:pPr>
      <w:r>
        <w:rPr>
          <w:color w:val="231F20"/>
        </w:rPr>
        <w:t>Workflow</w:t>
      </w:r>
      <w:r>
        <w:rPr>
          <w:color w:val="231F20"/>
          <w:spacing w:val="-3"/>
        </w:rPr>
        <w:t> </w:t>
      </w:r>
      <w:r>
        <w:rPr>
          <w:color w:val="231F20"/>
          <w:spacing w:val="-2"/>
        </w:rPr>
        <w:t>Editor</w:t>
      </w:r>
    </w:p>
    <w:p>
      <w:pPr>
        <w:pStyle w:val="BodyText"/>
        <w:spacing w:line="213" w:lineRule="auto" w:before="20"/>
        <w:ind w:left="2232" w:right="603"/>
      </w:pPr>
      <w:r>
        <w:rPr>
          <w:color w:val="231F20"/>
        </w:rPr>
        <w:t>Use the Workflow editor portion of the Workflows window to create and edit policy workflows by selecting, configuring, arranging, and connecting </w:t>
      </w:r>
      <w:r>
        <w:rPr>
          <w:color w:val="231F20"/>
        </w:rPr>
        <w:t>activities, and to test their validity.</w:t>
      </w:r>
    </w:p>
    <w:p>
      <w:pPr>
        <w:pStyle w:val="BodyText"/>
        <w:spacing w:line="213" w:lineRule="auto" w:before="237"/>
        <w:ind w:left="2232" w:right="488"/>
      </w:pPr>
      <w:r>
        <w:rPr>
          <w:color w:val="231F20"/>
        </w:rPr>
        <w:t>When</w:t>
      </w:r>
      <w:r>
        <w:rPr>
          <w:color w:val="231F20"/>
          <w:spacing w:val="11"/>
        </w:rPr>
        <w:t> </w:t>
      </w:r>
      <w:r>
        <w:rPr>
          <w:color w:val="231F20"/>
        </w:rPr>
        <w:t>you</w:t>
      </w:r>
      <w:r>
        <w:rPr>
          <w:color w:val="231F20"/>
          <w:spacing w:val="11"/>
        </w:rPr>
        <w:t> </w:t>
      </w:r>
      <w:r>
        <w:rPr>
          <w:color w:val="231F20"/>
        </w:rPr>
        <w:t>select</w:t>
      </w:r>
      <w:r>
        <w:rPr>
          <w:color w:val="231F20"/>
          <w:spacing w:val="11"/>
        </w:rPr>
        <w:t> </w:t>
      </w:r>
      <w:r>
        <w:rPr>
          <w:color w:val="231F20"/>
        </w:rPr>
        <w:t>a</w:t>
      </w:r>
      <w:r>
        <w:rPr>
          <w:color w:val="231F20"/>
          <w:spacing w:val="11"/>
        </w:rPr>
        <w:t> </w:t>
      </w:r>
      <w:r>
        <w:rPr>
          <w:color w:val="231F20"/>
        </w:rPr>
        <w:t>policy</w:t>
      </w:r>
      <w:r>
        <w:rPr>
          <w:color w:val="231F20"/>
          <w:spacing w:val="11"/>
        </w:rPr>
        <w:t> </w:t>
      </w:r>
      <w:r>
        <w:rPr>
          <w:color w:val="231F20"/>
        </w:rPr>
        <w:t>from</w:t>
      </w:r>
      <w:r>
        <w:rPr>
          <w:color w:val="231F20"/>
          <w:spacing w:val="11"/>
        </w:rPr>
        <w:t> </w:t>
      </w:r>
      <w:r>
        <w:rPr>
          <w:color w:val="231F20"/>
        </w:rPr>
        <w:t>the</w:t>
      </w:r>
      <w:r>
        <w:rPr>
          <w:color w:val="231F20"/>
          <w:spacing w:val="11"/>
        </w:rPr>
        <w:t> </w:t>
      </w:r>
      <w:r>
        <w:rPr>
          <w:rFonts w:ascii="Book Antiqua"/>
          <w:b/>
          <w:color w:val="231F20"/>
        </w:rPr>
        <w:t>Policy</w:t>
      </w:r>
      <w:r>
        <w:rPr>
          <w:rFonts w:ascii="Book Antiqua"/>
          <w:b/>
          <w:color w:val="231F20"/>
          <w:spacing w:val="11"/>
        </w:rPr>
        <w:t> </w:t>
      </w:r>
      <w:r>
        <w:rPr>
          <w:rFonts w:ascii="Book Antiqua"/>
          <w:b/>
          <w:color w:val="231F20"/>
        </w:rPr>
        <w:t>Details</w:t>
      </w:r>
      <w:r>
        <w:rPr>
          <w:rFonts w:ascii="Book Antiqua"/>
          <w:b/>
          <w:color w:val="231F20"/>
          <w:spacing w:val="11"/>
        </w:rPr>
        <w:t> </w:t>
      </w:r>
      <w:r>
        <w:rPr>
          <w:color w:val="231F20"/>
        </w:rPr>
        <w:t>list</w:t>
      </w:r>
      <w:r>
        <w:rPr>
          <w:color w:val="231F20"/>
          <w:spacing w:val="11"/>
        </w:rPr>
        <w:t> </w:t>
      </w:r>
      <w:r>
        <w:rPr>
          <w:color w:val="231F20"/>
        </w:rPr>
        <w:t>and</w:t>
      </w:r>
      <w:r>
        <w:rPr>
          <w:color w:val="231F20"/>
          <w:spacing w:val="11"/>
        </w:rPr>
        <w:t> </w:t>
      </w:r>
      <w:r>
        <w:rPr>
          <w:color w:val="231F20"/>
        </w:rPr>
        <w:t>click</w:t>
      </w:r>
      <w:r>
        <w:rPr>
          <w:color w:val="231F20"/>
          <w:spacing w:val="19"/>
        </w:rPr>
        <w:t> </w:t>
      </w:r>
      <w:r>
        <w:rPr>
          <w:color w:val="231F20"/>
          <w:spacing w:val="-25"/>
          <w:position w:val="-1"/>
        </w:rPr>
        <w:drawing>
          <wp:inline distT="0" distB="0" distL="0" distR="0">
            <wp:extent cx="95250" cy="101600"/>
            <wp:effectExtent l="0" t="0" r="0" b="0"/>
            <wp:docPr id="2765" name="Image 2765"/>
            <wp:cNvGraphicFramePr>
              <a:graphicFrameLocks/>
            </wp:cNvGraphicFramePr>
            <a:graphic>
              <a:graphicData uri="http://schemas.openxmlformats.org/drawingml/2006/picture">
                <pic:pic>
                  <pic:nvPicPr>
                    <pic:cNvPr id="2765" name="Image 2765"/>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Edit</w:t>
      </w:r>
      <w:r>
        <w:rPr>
          <w:rFonts w:ascii="Book Antiqua"/>
          <w:b/>
          <w:color w:val="231F20"/>
          <w:spacing w:val="11"/>
        </w:rPr>
        <w:t> </w:t>
      </w:r>
      <w:r>
        <w:rPr>
          <w:rFonts w:ascii="Book Antiqua"/>
          <w:b/>
          <w:color w:val="231F20"/>
        </w:rPr>
        <w:t>Workflow</w:t>
      </w:r>
      <w:r>
        <w:rPr>
          <w:color w:val="231F20"/>
        </w:rPr>
        <w:t>, a Grapher view pane opens in the Workflow editor so you can see and edit the policy activities. You can open multiple policies in the Workflow editor, each in its own pane. This area of the Workflows window has the following components:</w:t>
      </w:r>
    </w:p>
    <w:p>
      <w:pPr>
        <w:pStyle w:val="BodyText"/>
        <w:spacing w:before="34"/>
        <w:ind w:left="2232"/>
      </w:pPr>
      <w:r>
        <w:rPr>
          <w:rFonts w:ascii="Futura MdCn BT"/>
          <w:color w:val="231F20"/>
        </w:rPr>
        <w:t>v</w:t>
      </w:r>
      <w:r>
        <w:rPr>
          <w:rFonts w:ascii="Futura MdCn BT"/>
          <w:color w:val="231F20"/>
          <w:spacing w:val="35"/>
        </w:rPr>
        <w:t>  </w:t>
      </w:r>
      <w:r>
        <w:rPr>
          <w:color w:val="231F20"/>
        </w:rPr>
        <w:t>A</w:t>
      </w:r>
      <w:r>
        <w:rPr>
          <w:color w:val="231F20"/>
          <w:spacing w:val="4"/>
        </w:rPr>
        <w:t> </w:t>
      </w:r>
      <w:r>
        <w:rPr>
          <w:color w:val="231F20"/>
          <w:spacing w:val="-2"/>
        </w:rPr>
        <w:t>Toolbar</w:t>
      </w:r>
    </w:p>
    <w:p>
      <w:pPr>
        <w:pStyle w:val="BodyText"/>
        <w:spacing w:line="213" w:lineRule="auto" w:before="53"/>
        <w:ind w:left="2448" w:right="493" w:hanging="216"/>
      </w:pPr>
      <w:r>
        <w:rPr>
          <w:rFonts w:ascii="Futura MdCn BT"/>
          <w:color w:val="231F20"/>
        </w:rPr>
        <w:t>v</w:t>
      </w:r>
      <w:r>
        <w:rPr>
          <w:rFonts w:ascii="Futura MdCn BT"/>
          <w:color w:val="231F20"/>
          <w:spacing w:val="80"/>
        </w:rPr>
        <w:t> </w:t>
      </w:r>
      <w:r>
        <w:rPr>
          <w:color w:val="231F20"/>
        </w:rPr>
        <w:t>A Workflow Components area, with tabs for General activities, Emitter </w:t>
      </w:r>
      <w:r>
        <w:rPr>
          <w:color w:val="231F20"/>
        </w:rPr>
        <w:t>activities,</w:t>
      </w:r>
      <w:r>
        <w:rPr>
          <w:color w:val="231F20"/>
        </w:rPr>
        <w:t> and Extensions on the left</w:t>
      </w:r>
    </w:p>
    <w:p>
      <w:pPr>
        <w:pStyle w:val="BodyText"/>
        <w:spacing w:line="213" w:lineRule="auto" w:before="58"/>
        <w:ind w:left="2448" w:right="603" w:hanging="216"/>
      </w:pPr>
      <w:r>
        <w:rPr>
          <w:rFonts w:ascii="Futura MdCn BT"/>
          <w:color w:val="231F20"/>
        </w:rPr>
        <w:t>v</w:t>
      </w:r>
      <w:r>
        <w:rPr>
          <w:rFonts w:ascii="Futura MdCn BT"/>
          <w:color w:val="231F20"/>
          <w:spacing w:val="80"/>
        </w:rPr>
        <w:t> </w:t>
      </w:r>
      <w:r>
        <w:rPr>
          <w:color w:val="231F20"/>
        </w:rPr>
        <w:t>A Work area and grapher view area where you add and connect activities to create a workflow on the right</w:t>
      </w:r>
    </w:p>
    <w:p>
      <w:pPr>
        <w:pStyle w:val="BodyText"/>
        <w:spacing w:line="213" w:lineRule="auto" w:before="239"/>
        <w:ind w:left="2232" w:right="545" w:hanging="1"/>
      </w:pPr>
      <w:r>
        <w:rPr>
          <w:color w:val="231F20"/>
        </w:rPr>
        <w:t>Click </w:t>
      </w:r>
      <w:r>
        <w:rPr>
          <w:color w:val="231F20"/>
          <w:spacing w:val="16"/>
        </w:rPr>
        <w:drawing>
          <wp:inline distT="0" distB="0" distL="0" distR="0">
            <wp:extent cx="190500" cy="57150"/>
            <wp:effectExtent l="0" t="0" r="0" b="0"/>
            <wp:docPr id="2766" name="Image 2766"/>
            <wp:cNvGraphicFramePr>
              <a:graphicFrameLocks/>
            </wp:cNvGraphicFramePr>
            <a:graphic>
              <a:graphicData uri="http://schemas.openxmlformats.org/drawingml/2006/picture">
                <pic:pic>
                  <pic:nvPicPr>
                    <pic:cNvPr id="2766" name="Image 2766"/>
                    <pic:cNvPicPr/>
                  </pic:nvPicPr>
                  <pic:blipFill>
                    <a:blip r:embed="rId422" cstate="print"/>
                    <a:stretch>
                      <a:fillRect/>
                    </a:stretch>
                  </pic:blipFill>
                  <pic:spPr>
                    <a:xfrm>
                      <a:off x="0" y="0"/>
                      <a:ext cx="190500" cy="57150"/>
                    </a:xfrm>
                    <a:prstGeom prst="rect">
                      <a:avLst/>
                    </a:prstGeom>
                  </pic:spPr>
                </pic:pic>
              </a:graphicData>
            </a:graphic>
          </wp:inline>
        </w:drawing>
      </w:r>
      <w:r>
        <w:rPr>
          <w:color w:val="231F20"/>
          <w:spacing w:val="16"/>
        </w:rPr>
      </w:r>
      <w:r>
        <w:rPr>
          <w:rFonts w:ascii="Times New Roman"/>
          <w:color w:val="231F20"/>
          <w:spacing w:val="16"/>
        </w:rPr>
        <w:t> </w:t>
      </w:r>
      <w:r>
        <w:rPr>
          <w:color w:val="231F20"/>
        </w:rPr>
        <w:t>(between the Workflow Editor and </w:t>
      </w:r>
      <w:r>
        <w:rPr>
          <w:rFonts w:ascii="Book Antiqua"/>
          <w:b/>
          <w:color w:val="231F20"/>
        </w:rPr>
        <w:t>Policy Details</w:t>
      </w:r>
      <w:r>
        <w:rPr>
          <w:color w:val="231F20"/>
        </w:rPr>
        <w:t>) to expand the</w:t>
      </w:r>
      <w:r>
        <w:rPr>
          <w:color w:val="231F20"/>
          <w:spacing w:val="40"/>
        </w:rPr>
        <w:t> </w:t>
      </w:r>
      <w:r>
        <w:rPr>
          <w:color w:val="231F20"/>
        </w:rPr>
        <w:t>Workflow Editor area to the top of the window or </w:t>
      </w:r>
      <w:r>
        <w:rPr>
          <w:color w:val="231F20"/>
          <w:spacing w:val="15"/>
        </w:rPr>
        <w:drawing>
          <wp:inline distT="0" distB="0" distL="0" distR="0">
            <wp:extent cx="190500" cy="57150"/>
            <wp:effectExtent l="0" t="0" r="0" b="0"/>
            <wp:docPr id="2767" name="Image 2767"/>
            <wp:cNvGraphicFramePr>
              <a:graphicFrameLocks/>
            </wp:cNvGraphicFramePr>
            <a:graphic>
              <a:graphicData uri="http://schemas.openxmlformats.org/drawingml/2006/picture">
                <pic:pic>
                  <pic:nvPicPr>
                    <pic:cNvPr id="2767" name="Image 2767"/>
                    <pic:cNvPicPr/>
                  </pic:nvPicPr>
                  <pic:blipFill>
                    <a:blip r:embed="rId423" cstate="print"/>
                    <a:stretch>
                      <a:fillRect/>
                    </a:stretch>
                  </pic:blipFill>
                  <pic:spPr>
                    <a:xfrm>
                      <a:off x="0" y="0"/>
                      <a:ext cx="190500" cy="57150"/>
                    </a:xfrm>
                    <a:prstGeom prst="rect">
                      <a:avLst/>
                    </a:prstGeom>
                  </pic:spPr>
                </pic:pic>
              </a:graphicData>
            </a:graphic>
          </wp:inline>
        </w:drawing>
      </w:r>
      <w:r>
        <w:rPr>
          <w:color w:val="231F20"/>
          <w:spacing w:val="15"/>
        </w:rPr>
      </w:r>
      <w:r>
        <w:rPr>
          <w:rFonts w:ascii="Times New Roman"/>
          <w:color w:val="231F20"/>
          <w:spacing w:val="40"/>
        </w:rPr>
        <w:t> </w:t>
      </w:r>
      <w:r>
        <w:rPr>
          <w:color w:val="231F20"/>
        </w:rPr>
        <w:t>to restore the policy list and return the editor to its former size.</w:t>
      </w:r>
    </w:p>
    <w:p>
      <w:pPr>
        <w:pStyle w:val="BodyText"/>
        <w:spacing w:before="19"/>
      </w:pPr>
    </w:p>
    <w:p>
      <w:pPr>
        <w:pStyle w:val="BodyText"/>
        <w:ind w:left="2232"/>
      </w:pPr>
      <w:r>
        <w:rPr>
          <w:color w:val="231F20"/>
        </w:rPr>
        <w:t>Click</w:t>
      </w:r>
      <w:r>
        <w:rPr>
          <w:color w:val="231F20"/>
          <w:spacing w:val="17"/>
        </w:rPr>
        <w:t> </w:t>
      </w:r>
      <w:r>
        <w:rPr>
          <w:color w:val="231F20"/>
          <w:spacing w:val="-24"/>
          <w:position w:val="-1"/>
        </w:rPr>
        <w:drawing>
          <wp:inline distT="0" distB="0" distL="0" distR="0">
            <wp:extent cx="57150" cy="190500"/>
            <wp:effectExtent l="0" t="0" r="0" b="0"/>
            <wp:docPr id="2768" name="Image 2768"/>
            <wp:cNvGraphicFramePr>
              <a:graphicFrameLocks/>
            </wp:cNvGraphicFramePr>
            <a:graphic>
              <a:graphicData uri="http://schemas.openxmlformats.org/drawingml/2006/picture">
                <pic:pic>
                  <pic:nvPicPr>
                    <pic:cNvPr id="2768" name="Image 2768"/>
                    <pic:cNvPicPr/>
                  </pic:nvPicPr>
                  <pic:blipFill>
                    <a:blip r:embed="rId429" cstate="print"/>
                    <a:stretch>
                      <a:fillRect/>
                    </a:stretch>
                  </pic:blipFill>
                  <pic:spPr>
                    <a:xfrm>
                      <a:off x="0" y="0"/>
                      <a:ext cx="57150" cy="190500"/>
                    </a:xfrm>
                    <a:prstGeom prst="rect">
                      <a:avLst/>
                    </a:prstGeom>
                  </pic:spPr>
                </pic:pic>
              </a:graphicData>
            </a:graphic>
          </wp:inline>
        </w:drawing>
      </w:r>
      <w:r>
        <w:rPr>
          <w:color w:val="231F20"/>
          <w:spacing w:val="-24"/>
          <w:position w:val="-1"/>
        </w:rPr>
      </w:r>
      <w:r>
        <w:rPr>
          <w:rFonts w:ascii="Times New Roman"/>
          <w:color w:val="231F20"/>
          <w:spacing w:val="16"/>
        </w:rPr>
        <w:t> </w:t>
      </w:r>
      <w:r>
        <w:rPr>
          <w:color w:val="231F20"/>
        </w:rPr>
        <w:t>Expand</w:t>
      </w:r>
      <w:r>
        <w:rPr>
          <w:color w:val="231F20"/>
          <w:spacing w:val="9"/>
        </w:rPr>
        <w:t> </w:t>
      </w:r>
      <w:r>
        <w:rPr>
          <w:color w:val="231F20"/>
        </w:rPr>
        <w:t>(between</w:t>
      </w:r>
      <w:r>
        <w:rPr>
          <w:color w:val="231F20"/>
          <w:spacing w:val="8"/>
        </w:rPr>
        <w:t> </w:t>
      </w:r>
      <w:r>
        <w:rPr>
          <w:color w:val="231F20"/>
        </w:rPr>
        <w:t>the</w:t>
      </w:r>
      <w:r>
        <w:rPr>
          <w:color w:val="231F20"/>
          <w:spacing w:val="9"/>
        </w:rPr>
        <w:t> </w:t>
      </w:r>
      <w:r>
        <w:rPr>
          <w:color w:val="231F20"/>
        </w:rPr>
        <w:t>Workflow</w:t>
      </w:r>
      <w:r>
        <w:rPr>
          <w:color w:val="231F20"/>
          <w:spacing w:val="9"/>
        </w:rPr>
        <w:t> </w:t>
      </w:r>
      <w:r>
        <w:rPr>
          <w:color w:val="231F20"/>
        </w:rPr>
        <w:t>components</w:t>
      </w:r>
      <w:r>
        <w:rPr>
          <w:color w:val="231F20"/>
          <w:spacing w:val="9"/>
        </w:rPr>
        <w:t> </w:t>
      </w:r>
      <w:r>
        <w:rPr>
          <w:color w:val="231F20"/>
        </w:rPr>
        <w:t>and</w:t>
      </w:r>
      <w:r>
        <w:rPr>
          <w:color w:val="231F20"/>
          <w:spacing w:val="9"/>
        </w:rPr>
        <w:t> </w:t>
      </w:r>
      <w:r>
        <w:rPr>
          <w:color w:val="231F20"/>
        </w:rPr>
        <w:t>the</w:t>
      </w:r>
      <w:r>
        <w:rPr>
          <w:color w:val="231F20"/>
          <w:spacing w:val="9"/>
        </w:rPr>
        <w:t> </w:t>
      </w:r>
      <w:r>
        <w:rPr>
          <w:color w:val="231F20"/>
        </w:rPr>
        <w:t>work</w:t>
      </w:r>
      <w:r>
        <w:rPr>
          <w:color w:val="231F20"/>
          <w:spacing w:val="9"/>
        </w:rPr>
        <w:t> </w:t>
      </w:r>
      <w:r>
        <w:rPr>
          <w:color w:val="231F20"/>
        </w:rPr>
        <w:t>Grapher</w:t>
      </w:r>
      <w:r>
        <w:rPr>
          <w:color w:val="231F20"/>
          <w:spacing w:val="9"/>
        </w:rPr>
        <w:t> </w:t>
      </w:r>
      <w:r>
        <w:rPr>
          <w:color w:val="231F20"/>
          <w:spacing w:val="-2"/>
        </w:rPr>
        <w:t>view)</w:t>
      </w:r>
    </w:p>
    <w:p>
      <w:pPr>
        <w:pStyle w:val="BodyText"/>
        <w:spacing w:line="213" w:lineRule="auto" w:before="70"/>
        <w:ind w:left="2232" w:right="545"/>
      </w:pPr>
      <w:r>
        <w:rPr>
          <w:color w:val="231F20"/>
        </w:rPr>
        <w:t>to expand the work area to the width of the window or </w:t>
      </w:r>
      <w:r>
        <w:rPr>
          <w:color w:val="231F20"/>
          <w:spacing w:val="15"/>
          <w:position w:val="-1"/>
        </w:rPr>
        <w:drawing>
          <wp:inline distT="0" distB="0" distL="0" distR="0">
            <wp:extent cx="57150" cy="190500"/>
            <wp:effectExtent l="0" t="0" r="0" b="0"/>
            <wp:docPr id="2769" name="Image 2769"/>
            <wp:cNvGraphicFramePr>
              <a:graphicFrameLocks/>
            </wp:cNvGraphicFramePr>
            <a:graphic>
              <a:graphicData uri="http://schemas.openxmlformats.org/drawingml/2006/picture">
                <pic:pic>
                  <pic:nvPicPr>
                    <pic:cNvPr id="2769" name="Image 2769"/>
                    <pic:cNvPicPr/>
                  </pic:nvPicPr>
                  <pic:blipFill>
                    <a:blip r:embed="rId430" cstate="print"/>
                    <a:stretch>
                      <a:fillRect/>
                    </a:stretch>
                  </pic:blipFill>
                  <pic:spPr>
                    <a:xfrm>
                      <a:off x="0" y="0"/>
                      <a:ext cx="57150" cy="190500"/>
                    </a:xfrm>
                    <a:prstGeom prst="rect">
                      <a:avLst/>
                    </a:prstGeom>
                  </pic:spPr>
                </pic:pic>
              </a:graphicData>
            </a:graphic>
          </wp:inline>
        </w:drawing>
      </w:r>
      <w:r>
        <w:rPr>
          <w:color w:val="231F20"/>
          <w:spacing w:val="15"/>
          <w:position w:val="-1"/>
        </w:rPr>
      </w:r>
      <w:r>
        <w:rPr>
          <w:rFonts w:ascii="Times New Roman"/>
          <w:color w:val="231F20"/>
          <w:spacing w:val="-8"/>
        </w:rPr>
        <w:t> </w:t>
      </w:r>
      <w:r>
        <w:rPr>
          <w:color w:val="231F20"/>
        </w:rPr>
        <w:t>Restore to restore the</w:t>
      </w:r>
      <w:r>
        <w:rPr>
          <w:color w:val="231F20"/>
          <w:spacing w:val="40"/>
        </w:rPr>
        <w:t> </w:t>
      </w:r>
      <w:r>
        <w:rPr>
          <w:color w:val="231F20"/>
        </w:rPr>
        <w:t>Workflow components and return the work area to its previous width.</w:t>
      </w:r>
    </w:p>
    <w:p>
      <w:pPr>
        <w:pStyle w:val="BodyText"/>
        <w:spacing w:line="213" w:lineRule="auto" w:before="239"/>
        <w:ind w:left="2232" w:right="636"/>
      </w:pPr>
      <w:r>
        <w:rPr>
          <w:color w:val="231F20"/>
        </w:rPr>
        <w:t>By right-clicking a situation activity in the Grapher view, you can choose to </w:t>
      </w:r>
      <w:r>
        <w:rPr>
          <w:color w:val="231F20"/>
        </w:rPr>
        <w:t>edit the</w:t>
      </w:r>
      <w:r>
        <w:rPr>
          <w:color w:val="231F20"/>
          <w:spacing w:val="9"/>
        </w:rPr>
        <w:t> </w:t>
      </w:r>
      <w:r>
        <w:rPr>
          <w:color w:val="231F20"/>
        </w:rPr>
        <w:t>situation</w:t>
      </w:r>
      <w:r>
        <w:rPr>
          <w:color w:val="231F20"/>
          <w:spacing w:val="9"/>
        </w:rPr>
        <w:t> </w:t>
      </w:r>
      <w:r>
        <w:rPr>
          <w:color w:val="231F20"/>
        </w:rPr>
        <w:t>specified</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activity.</w:t>
      </w:r>
      <w:r>
        <w:rPr>
          <w:color w:val="231F20"/>
          <w:spacing w:val="10"/>
        </w:rPr>
        <w:t> </w:t>
      </w:r>
      <w:r>
        <w:rPr>
          <w:color w:val="231F20"/>
        </w:rPr>
        <w:t>The</w:t>
      </w:r>
      <w:r>
        <w:rPr>
          <w:color w:val="231F20"/>
          <w:spacing w:val="9"/>
        </w:rPr>
        <w:t> </w:t>
      </w:r>
      <w:r>
        <w:rPr>
          <w:color w:val="231F20"/>
        </w:rPr>
        <w:t>situation</w:t>
      </w:r>
      <w:r>
        <w:rPr>
          <w:color w:val="231F20"/>
          <w:spacing w:val="9"/>
        </w:rPr>
        <w:t> </w:t>
      </w:r>
      <w:r>
        <w:rPr>
          <w:color w:val="231F20"/>
        </w:rPr>
        <w:t>opens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Situation</w:t>
      </w:r>
      <w:r>
        <w:rPr>
          <w:color w:val="231F20"/>
          <w:spacing w:val="10"/>
        </w:rPr>
        <w:t> </w:t>
      </w:r>
      <w:r>
        <w:rPr>
          <w:color w:val="231F20"/>
          <w:spacing w:val="-2"/>
        </w:rPr>
        <w:t>editor.</w:t>
      </w:r>
    </w:p>
    <w:p>
      <w:pPr>
        <w:pStyle w:val="Heading6"/>
        <w:spacing w:line="240" w:lineRule="auto"/>
        <w:ind w:left="2232"/>
      </w:pPr>
      <w:r>
        <w:rPr>
          <w:color w:val="231F20"/>
          <w:spacing w:val="-2"/>
        </w:rPr>
        <w:t>Toolbar</w:t>
      </w:r>
    </w:p>
    <w:p>
      <w:pPr>
        <w:spacing w:line="229" w:lineRule="exact" w:before="118"/>
        <w:ind w:left="2961" w:right="0" w:firstLine="0"/>
        <w:jc w:val="left"/>
        <w:rPr>
          <w:rFonts w:ascii="Book Antiqua"/>
          <w:b/>
          <w:sz w:val="20"/>
        </w:rPr>
      </w:pPr>
      <w:r>
        <w:rPr>
          <w:position w:val="-1"/>
        </w:rPr>
        <w:drawing>
          <wp:inline distT="0" distB="0" distL="0" distR="0">
            <wp:extent cx="95250" cy="95250"/>
            <wp:effectExtent l="0" t="0" r="0" b="0"/>
            <wp:docPr id="2770" name="Image 2770"/>
            <wp:cNvGraphicFramePr>
              <a:graphicFrameLocks/>
            </wp:cNvGraphicFramePr>
            <a:graphic>
              <a:graphicData uri="http://schemas.openxmlformats.org/drawingml/2006/picture">
                <pic:pic>
                  <pic:nvPicPr>
                    <pic:cNvPr id="2770" name="Image 2770"/>
                    <pic:cNvPicPr/>
                  </pic:nvPicPr>
                  <pic:blipFill>
                    <a:blip r:embed="rId426"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Validate</w:t>
      </w:r>
    </w:p>
    <w:p>
      <w:pPr>
        <w:pStyle w:val="BodyText"/>
        <w:spacing w:line="213" w:lineRule="auto" w:before="11"/>
        <w:ind w:left="3669" w:right="385"/>
      </w:pPr>
      <w:r>
        <w:rPr>
          <w:color w:val="231F20"/>
        </w:rPr>
        <w:t>Test the workflow to ensure it is composed logically. The text turns blue for activities that validate successfully.</w:t>
      </w:r>
    </w:p>
    <w:p>
      <w:pPr>
        <w:pStyle w:val="BodyText"/>
        <w:spacing w:line="213" w:lineRule="auto" w:before="119"/>
        <w:ind w:left="3669" w:right="636"/>
      </w:pPr>
      <w:r>
        <w:rPr>
          <w:color w:val="231F20"/>
        </w:rPr>
        <w:t>Any errors are reported in a Workflow Definition Error </w:t>
      </w:r>
      <w:r>
        <w:rPr>
          <w:color w:val="231F20"/>
        </w:rPr>
        <w:t>message. The message supplies the activity ID in brackets, which is displayed in a flyover description when you move the mouse pointer over an activity; followed by the name and the error message. You cannot save the policy until you fix any problems and the workflow passes validation.</w:t>
      </w:r>
    </w:p>
    <w:p>
      <w:pPr>
        <w:spacing w:after="0" w:line="213" w:lineRule="auto"/>
        <w:sectPr>
          <w:pgSz w:w="12240" w:h="15840"/>
          <w:pgMar w:header="0" w:footer="736" w:top="1180" w:bottom="920" w:left="1000" w:right="1060"/>
        </w:sectPr>
      </w:pPr>
    </w:p>
    <w:p>
      <w:pPr>
        <w:spacing w:before="114"/>
        <w:ind w:left="0" w:right="0" w:firstLine="0"/>
        <w:jc w:val="right"/>
        <w:rPr>
          <w:rFonts w:ascii="Book Antiqua"/>
          <w:b/>
          <w:sz w:val="20"/>
        </w:rPr>
      </w:pPr>
      <w:r>
        <w:rPr>
          <w:position w:val="-1"/>
        </w:rPr>
        <w:drawing>
          <wp:inline distT="0" distB="0" distL="0" distR="0">
            <wp:extent cx="101600" cy="101600"/>
            <wp:effectExtent l="0" t="0" r="0" b="0"/>
            <wp:docPr id="2771" name="Image 2771"/>
            <wp:cNvGraphicFramePr>
              <a:graphicFrameLocks/>
            </wp:cNvGraphicFramePr>
            <a:graphic>
              <a:graphicData uri="http://schemas.openxmlformats.org/drawingml/2006/picture">
                <pic:pic>
                  <pic:nvPicPr>
                    <pic:cNvPr id="2771" name="Image 2771"/>
                    <pic:cNvPicPr/>
                  </pic:nvPicPr>
                  <pic:blipFill>
                    <a:blip r:embed="rId334"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Cut</w:t>
      </w:r>
    </w:p>
    <w:p>
      <w:pPr>
        <w:spacing w:line="240" w:lineRule="auto" w:before="113"/>
        <w:rPr>
          <w:rFonts w:ascii="Book Antiqua"/>
          <w:b/>
          <w:sz w:val="20"/>
        </w:rPr>
      </w:pPr>
      <w:r>
        <w:rPr/>
        <w:br w:type="column"/>
      </w:r>
      <w:r>
        <w:rPr>
          <w:rFonts w:ascii="Book Antiqua"/>
          <w:b/>
          <w:sz w:val="20"/>
        </w:rPr>
      </w:r>
    </w:p>
    <w:p>
      <w:pPr>
        <w:pStyle w:val="BodyText"/>
        <w:spacing w:line="213" w:lineRule="auto" w:before="1"/>
        <w:ind w:left="69" w:right="1187"/>
      </w:pPr>
      <w:r>
        <w:rPr>
          <w:color w:val="231F20"/>
        </w:rPr>
        <w:t>Removes the selected activity or activities and place on </w:t>
      </w:r>
      <w:r>
        <w:rPr>
          <w:color w:val="231F20"/>
        </w:rPr>
        <w:t>the </w:t>
      </w:r>
      <w:r>
        <w:rPr>
          <w:color w:val="231F20"/>
          <w:spacing w:val="-2"/>
        </w:rPr>
        <w:t>clipboard.</w:t>
      </w:r>
    </w:p>
    <w:p>
      <w:pPr>
        <w:spacing w:after="0" w:line="213" w:lineRule="auto"/>
        <w:sectPr>
          <w:type w:val="continuous"/>
          <w:pgSz w:w="12240" w:h="15840"/>
          <w:pgMar w:header="0" w:footer="736" w:top="0" w:bottom="4660" w:left="1000" w:right="1060"/>
          <w:cols w:num="2" w:equalWidth="0">
            <w:col w:w="3560" w:space="40"/>
            <w:col w:w="6580"/>
          </w:cols>
        </w:sectPr>
      </w:pPr>
    </w:p>
    <w:p>
      <w:pPr>
        <w:pStyle w:val="Heading6"/>
        <w:ind w:left="2971"/>
      </w:pPr>
      <w:r>
        <w:rPr>
          <w:b w:val="0"/>
          <w:position w:val="-1"/>
        </w:rPr>
        <w:drawing>
          <wp:inline distT="0" distB="0" distL="0" distR="0">
            <wp:extent cx="82550" cy="95250"/>
            <wp:effectExtent l="0" t="0" r="0" b="0"/>
            <wp:docPr id="2772" name="Image 2772"/>
            <wp:cNvGraphicFramePr>
              <a:graphicFrameLocks/>
            </wp:cNvGraphicFramePr>
            <a:graphic>
              <a:graphicData uri="http://schemas.openxmlformats.org/drawingml/2006/picture">
                <pic:pic>
                  <pic:nvPicPr>
                    <pic:cNvPr id="2772" name="Image 2772"/>
                    <pic:cNvPicPr/>
                  </pic:nvPicPr>
                  <pic:blipFill>
                    <a:blip r:embed="rId332" cstate="print"/>
                    <a:stretch>
                      <a:fillRect/>
                    </a:stretch>
                  </pic:blipFill>
                  <pic:spPr>
                    <a:xfrm>
                      <a:off x="0" y="0"/>
                      <a:ext cx="82550" cy="95250"/>
                    </a:xfrm>
                    <a:prstGeom prst="rect">
                      <a:avLst/>
                    </a:prstGeom>
                  </pic:spPr>
                </pic:pic>
              </a:graphicData>
            </a:graphic>
          </wp:inline>
        </w:drawing>
      </w:r>
      <w:r>
        <w:rPr>
          <w:b w:val="0"/>
          <w:position w:val="-1"/>
        </w:rPr>
      </w:r>
      <w:r>
        <w:rPr>
          <w:rFonts w:ascii="Times New Roman"/>
          <w:b w:val="0"/>
          <w:spacing w:val="40"/>
        </w:rPr>
        <w:t> </w:t>
      </w:r>
      <w:r>
        <w:rPr>
          <w:color w:val="231F20"/>
        </w:rPr>
        <w:t>Copy</w:t>
      </w:r>
    </w:p>
    <w:p>
      <w:pPr>
        <w:pStyle w:val="BodyText"/>
        <w:spacing w:line="258" w:lineRule="exact"/>
        <w:ind w:left="3669"/>
      </w:pPr>
      <w:r>
        <w:rPr>
          <w:color w:val="231F20"/>
        </w:rPr>
        <w:t>Copies</w:t>
      </w:r>
      <w:r>
        <w:rPr>
          <w:color w:val="231F20"/>
          <w:spacing w:val="10"/>
        </w:rPr>
        <w:t> </w:t>
      </w:r>
      <w:r>
        <w:rPr>
          <w:color w:val="231F20"/>
        </w:rPr>
        <w:t>the</w:t>
      </w:r>
      <w:r>
        <w:rPr>
          <w:color w:val="231F20"/>
          <w:spacing w:val="11"/>
        </w:rPr>
        <w:t> </w:t>
      </w:r>
      <w:r>
        <w:rPr>
          <w:color w:val="231F20"/>
        </w:rPr>
        <w:t>selected</w:t>
      </w:r>
      <w:r>
        <w:rPr>
          <w:color w:val="231F20"/>
          <w:spacing w:val="11"/>
        </w:rPr>
        <w:t> </w:t>
      </w:r>
      <w:r>
        <w:rPr>
          <w:color w:val="231F20"/>
          <w:spacing w:val="-2"/>
        </w:rPr>
        <w:t>activity.</w:t>
      </w:r>
    </w:p>
    <w:p>
      <w:pPr>
        <w:pStyle w:val="Heading6"/>
        <w:spacing w:before="111"/>
        <w:ind w:left="2961"/>
      </w:pPr>
      <w:r>
        <w:rPr>
          <w:b w:val="0"/>
          <w:position w:val="-1"/>
        </w:rPr>
        <w:drawing>
          <wp:inline distT="0" distB="0" distL="0" distR="0">
            <wp:extent cx="95250" cy="101600"/>
            <wp:effectExtent l="0" t="0" r="0" b="0"/>
            <wp:docPr id="2773" name="Image 2773"/>
            <wp:cNvGraphicFramePr>
              <a:graphicFrameLocks/>
            </wp:cNvGraphicFramePr>
            <a:graphic>
              <a:graphicData uri="http://schemas.openxmlformats.org/drawingml/2006/picture">
                <pic:pic>
                  <pic:nvPicPr>
                    <pic:cNvPr id="2773" name="Image 2773"/>
                    <pic:cNvPicPr/>
                  </pic:nvPicPr>
                  <pic:blipFill>
                    <a:blip r:embed="rId335"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Paste</w:t>
      </w:r>
    </w:p>
    <w:p>
      <w:pPr>
        <w:pStyle w:val="BodyText"/>
        <w:spacing w:line="258" w:lineRule="exact"/>
        <w:ind w:left="3669"/>
      </w:pPr>
      <w:r>
        <w:rPr>
          <w:color w:val="231F20"/>
        </w:rPr>
        <w:t>Pastes</w:t>
      </w:r>
      <w:r>
        <w:rPr>
          <w:color w:val="231F20"/>
          <w:spacing w:val="11"/>
        </w:rPr>
        <w:t> </w:t>
      </w:r>
      <w:r>
        <w:rPr>
          <w:color w:val="231F20"/>
        </w:rPr>
        <w:t>the</w:t>
      </w:r>
      <w:r>
        <w:rPr>
          <w:color w:val="231F20"/>
          <w:spacing w:val="11"/>
        </w:rPr>
        <w:t> </w:t>
      </w:r>
      <w:r>
        <w:rPr>
          <w:color w:val="231F20"/>
        </w:rPr>
        <w:t>contents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clipboard</w:t>
      </w:r>
      <w:r>
        <w:rPr>
          <w:color w:val="231F20"/>
          <w:spacing w:val="11"/>
        </w:rPr>
        <w:t> </w:t>
      </w:r>
      <w:r>
        <w:rPr>
          <w:color w:val="231F20"/>
        </w:rPr>
        <w:t>into</w:t>
      </w:r>
      <w:r>
        <w:rPr>
          <w:color w:val="231F20"/>
          <w:spacing w:val="11"/>
        </w:rPr>
        <w:t> </w:t>
      </w:r>
      <w:r>
        <w:rPr>
          <w:color w:val="231F20"/>
        </w:rPr>
        <w:t>the</w:t>
      </w:r>
      <w:r>
        <w:rPr>
          <w:color w:val="231F20"/>
          <w:spacing w:val="12"/>
        </w:rPr>
        <w:t> </w:t>
      </w:r>
      <w:r>
        <w:rPr>
          <w:color w:val="231F20"/>
          <w:spacing w:val="-2"/>
        </w:rPr>
        <w:t>editor</w:t>
      </w:r>
    </w:p>
    <w:p>
      <w:pPr>
        <w:pStyle w:val="Heading6"/>
        <w:spacing w:before="111"/>
        <w:ind w:left="2961"/>
      </w:pPr>
      <w:r>
        <w:rPr>
          <w:b w:val="0"/>
          <w:position w:val="-1"/>
        </w:rPr>
        <w:drawing>
          <wp:inline distT="0" distB="0" distL="0" distR="0">
            <wp:extent cx="95250" cy="101600"/>
            <wp:effectExtent l="0" t="0" r="0" b="0"/>
            <wp:docPr id="2774" name="Image 2774"/>
            <wp:cNvGraphicFramePr>
              <a:graphicFrameLocks/>
            </wp:cNvGraphicFramePr>
            <a:graphic>
              <a:graphicData uri="http://schemas.openxmlformats.org/drawingml/2006/picture">
                <pic:pic>
                  <pic:nvPicPr>
                    <pic:cNvPr id="2774" name="Image 2774"/>
                    <pic:cNvPicPr/>
                  </pic:nvPicPr>
                  <pic:blipFill>
                    <a:blip r:embed="rId269" cstate="print"/>
                    <a:stretch>
                      <a:fillRect/>
                    </a:stretch>
                  </pic:blipFill>
                  <pic:spPr>
                    <a:xfrm>
                      <a:off x="0" y="0"/>
                      <a:ext cx="95250" cy="101600"/>
                    </a:xfrm>
                    <a:prstGeom prst="rect">
                      <a:avLst/>
                    </a:prstGeom>
                  </pic:spPr>
                </pic:pic>
              </a:graphicData>
            </a:graphic>
          </wp:inline>
        </w:drawing>
      </w:r>
      <w:r>
        <w:rPr>
          <w:b w:val="0"/>
          <w:position w:val="-1"/>
        </w:rPr>
      </w:r>
      <w:r>
        <w:rPr>
          <w:rFonts w:ascii="Times New Roman"/>
          <w:b w:val="0"/>
          <w:spacing w:val="40"/>
        </w:rPr>
        <w:t> </w:t>
      </w:r>
      <w:r>
        <w:rPr>
          <w:color w:val="231F20"/>
        </w:rPr>
        <w:t>Clear</w:t>
      </w:r>
    </w:p>
    <w:p>
      <w:pPr>
        <w:pStyle w:val="BodyText"/>
        <w:spacing w:line="258" w:lineRule="exact"/>
        <w:ind w:left="3669"/>
      </w:pPr>
      <w:r>
        <w:rPr>
          <w:color w:val="231F20"/>
        </w:rPr>
        <w:t>Removes</w:t>
      </w:r>
      <w:r>
        <w:rPr>
          <w:color w:val="231F20"/>
          <w:spacing w:val="9"/>
        </w:rPr>
        <w:t> </w:t>
      </w:r>
      <w:r>
        <w:rPr>
          <w:color w:val="231F20"/>
        </w:rPr>
        <w:t>the</w:t>
      </w:r>
      <w:r>
        <w:rPr>
          <w:color w:val="231F20"/>
          <w:spacing w:val="10"/>
        </w:rPr>
        <w:t> </w:t>
      </w:r>
      <w:r>
        <w:rPr>
          <w:color w:val="231F20"/>
        </w:rPr>
        <w:t>selected</w:t>
      </w:r>
      <w:r>
        <w:rPr>
          <w:color w:val="231F20"/>
          <w:spacing w:val="10"/>
        </w:rPr>
        <w:t> </w:t>
      </w:r>
      <w:r>
        <w:rPr>
          <w:color w:val="231F20"/>
        </w:rPr>
        <w:t>activities</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spacing w:val="-2"/>
        </w:rPr>
        <w:t>workflow.</w:t>
      </w:r>
    </w:p>
    <w:p>
      <w:pPr>
        <w:spacing w:after="0" w:line="258" w:lineRule="exact"/>
        <w:sectPr>
          <w:type w:val="continuous"/>
          <w:pgSz w:w="12240" w:h="15840"/>
          <w:pgMar w:header="0" w:footer="736" w:top="0" w:bottom="4660" w:left="1000" w:right="1060"/>
        </w:sectPr>
      </w:pPr>
    </w:p>
    <w:p>
      <w:pPr>
        <w:pStyle w:val="Heading6"/>
        <w:spacing w:before="83"/>
        <w:ind w:left="3200"/>
      </w:pPr>
      <w:bookmarkStart w:name="_bookmark246" w:id="514"/>
      <w:bookmarkEnd w:id="514"/>
      <w:r>
        <w:rPr>
          <w:b w:val="0"/>
        </w:rPr>
      </w:r>
      <w:r>
        <w:rPr>
          <w:b w:val="0"/>
          <w:position w:val="-1"/>
        </w:rPr>
        <w:drawing>
          <wp:inline distT="0" distB="0" distL="0" distR="0">
            <wp:extent cx="88900" cy="88900"/>
            <wp:effectExtent l="0" t="0" r="0" b="0"/>
            <wp:docPr id="2775" name="Image 2775"/>
            <wp:cNvGraphicFramePr>
              <a:graphicFrameLocks/>
            </wp:cNvGraphicFramePr>
            <a:graphic>
              <a:graphicData uri="http://schemas.openxmlformats.org/drawingml/2006/picture">
                <pic:pic>
                  <pic:nvPicPr>
                    <pic:cNvPr id="2775" name="Image 2775"/>
                    <pic:cNvPicPr/>
                  </pic:nvPicPr>
                  <pic:blipFill>
                    <a:blip r:embed="rId42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40"/>
        </w:rPr>
        <w:t> </w:t>
      </w:r>
      <w:r>
        <w:rPr>
          <w:color w:val="231F20"/>
        </w:rPr>
        <w:t>Undo</w:t>
      </w:r>
    </w:p>
    <w:p>
      <w:pPr>
        <w:pStyle w:val="BodyText"/>
        <w:spacing w:line="258" w:lineRule="exact"/>
        <w:ind w:left="3909"/>
      </w:pPr>
      <w:r>
        <w:rPr>
          <w:color w:val="231F20"/>
        </w:rPr>
        <w:t>Voids</w:t>
      </w:r>
      <w:r>
        <w:rPr>
          <w:color w:val="231F20"/>
          <w:spacing w:val="9"/>
        </w:rPr>
        <w:t> </w:t>
      </w:r>
      <w:r>
        <w:rPr>
          <w:color w:val="231F20"/>
        </w:rPr>
        <w:t>the</w:t>
      </w:r>
      <w:r>
        <w:rPr>
          <w:color w:val="231F20"/>
          <w:spacing w:val="10"/>
        </w:rPr>
        <w:t> </w:t>
      </w:r>
      <w:r>
        <w:rPr>
          <w:color w:val="231F20"/>
        </w:rPr>
        <w:t>last</w:t>
      </w:r>
      <w:r>
        <w:rPr>
          <w:color w:val="231F20"/>
          <w:spacing w:val="10"/>
        </w:rPr>
        <w:t> </w:t>
      </w:r>
      <w:r>
        <w:rPr>
          <w:color w:val="231F20"/>
        </w:rPr>
        <w:t>action</w:t>
      </w:r>
      <w:r>
        <w:rPr>
          <w:color w:val="231F20"/>
          <w:spacing w:val="10"/>
        </w:rPr>
        <w:t> </w:t>
      </w:r>
      <w:r>
        <w:rPr>
          <w:color w:val="231F20"/>
        </w:rPr>
        <w:t>(or</w:t>
      </w:r>
      <w:r>
        <w:rPr>
          <w:color w:val="231F20"/>
          <w:spacing w:val="9"/>
        </w:rPr>
        <w:t> </w:t>
      </w:r>
      <w:r>
        <w:rPr>
          <w:color w:val="231F20"/>
        </w:rPr>
        <w:t>actions</w:t>
      </w:r>
      <w:r>
        <w:rPr>
          <w:color w:val="231F20"/>
          <w:spacing w:val="10"/>
        </w:rPr>
        <w:t> </w:t>
      </w:r>
      <w:r>
        <w:rPr>
          <w:color w:val="231F20"/>
        </w:rPr>
        <w:t>if</w:t>
      </w:r>
      <w:r>
        <w:rPr>
          <w:color w:val="231F20"/>
          <w:spacing w:val="10"/>
        </w:rPr>
        <w:t> </w:t>
      </w:r>
      <w:r>
        <w:rPr>
          <w:color w:val="231F20"/>
        </w:rPr>
        <w:t>you</w:t>
      </w:r>
      <w:r>
        <w:rPr>
          <w:color w:val="231F20"/>
          <w:spacing w:val="10"/>
        </w:rPr>
        <w:t> </w:t>
      </w:r>
      <w:r>
        <w:rPr>
          <w:color w:val="231F20"/>
        </w:rPr>
        <w:t>continue</w:t>
      </w:r>
      <w:r>
        <w:rPr>
          <w:color w:val="231F20"/>
          <w:spacing w:val="9"/>
        </w:rPr>
        <w:t> </w:t>
      </w:r>
      <w:r>
        <w:rPr>
          <w:color w:val="231F20"/>
        </w:rPr>
        <w:t>to</w:t>
      </w:r>
      <w:r>
        <w:rPr>
          <w:color w:val="231F20"/>
          <w:spacing w:val="10"/>
        </w:rPr>
        <w:t> </w:t>
      </w:r>
      <w:r>
        <w:rPr>
          <w:color w:val="231F20"/>
          <w:spacing w:val="-2"/>
        </w:rPr>
        <w:t>click).</w:t>
      </w:r>
    </w:p>
    <w:p>
      <w:pPr>
        <w:pStyle w:val="Heading6"/>
        <w:spacing w:before="112"/>
        <w:ind w:left="3200"/>
      </w:pPr>
      <w:r>
        <w:rPr>
          <w:b w:val="0"/>
          <w:position w:val="-1"/>
        </w:rPr>
        <w:drawing>
          <wp:inline distT="0" distB="0" distL="0" distR="0">
            <wp:extent cx="88900" cy="88900"/>
            <wp:effectExtent l="0" t="0" r="0" b="0"/>
            <wp:docPr id="2776" name="Image 2776"/>
            <wp:cNvGraphicFramePr>
              <a:graphicFrameLocks/>
            </wp:cNvGraphicFramePr>
            <a:graphic>
              <a:graphicData uri="http://schemas.openxmlformats.org/drawingml/2006/picture">
                <pic:pic>
                  <pic:nvPicPr>
                    <pic:cNvPr id="2776" name="Image 2776"/>
                    <pic:cNvPicPr/>
                  </pic:nvPicPr>
                  <pic:blipFill>
                    <a:blip r:embed="rId283"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40"/>
        </w:rPr>
        <w:t> </w:t>
      </w:r>
      <w:r>
        <w:rPr>
          <w:color w:val="231F20"/>
        </w:rPr>
        <w:t>Redo</w:t>
      </w:r>
    </w:p>
    <w:p>
      <w:pPr>
        <w:pStyle w:val="BodyText"/>
        <w:spacing w:line="258" w:lineRule="exact"/>
        <w:ind w:left="3909"/>
      </w:pPr>
      <w:r>
        <w:rPr>
          <w:color w:val="231F20"/>
        </w:rPr>
        <w:t>Repeats</w:t>
      </w:r>
      <w:r>
        <w:rPr>
          <w:color w:val="231F20"/>
          <w:spacing w:val="11"/>
        </w:rPr>
        <w:t> </w:t>
      </w:r>
      <w:r>
        <w:rPr>
          <w:color w:val="231F20"/>
        </w:rPr>
        <w:t>the</w:t>
      </w:r>
      <w:r>
        <w:rPr>
          <w:color w:val="231F20"/>
          <w:spacing w:val="12"/>
        </w:rPr>
        <w:t> </w:t>
      </w:r>
      <w:r>
        <w:rPr>
          <w:color w:val="231F20"/>
        </w:rPr>
        <w:t>last</w:t>
      </w:r>
      <w:r>
        <w:rPr>
          <w:color w:val="231F20"/>
          <w:spacing w:val="12"/>
        </w:rPr>
        <w:t> </w:t>
      </w:r>
      <w:r>
        <w:rPr>
          <w:color w:val="231F20"/>
          <w:spacing w:val="-2"/>
        </w:rPr>
        <w:t>action.</w:t>
      </w:r>
    </w:p>
    <w:p>
      <w:pPr>
        <w:pStyle w:val="Heading6"/>
        <w:spacing w:before="111"/>
        <w:ind w:left="3220"/>
      </w:pPr>
      <w:r>
        <w:rPr>
          <w:b w:val="0"/>
          <w:position w:val="-1"/>
        </w:rPr>
        <w:drawing>
          <wp:inline distT="0" distB="0" distL="0" distR="0">
            <wp:extent cx="63500" cy="101600"/>
            <wp:effectExtent l="0" t="0" r="0" b="0"/>
            <wp:docPr id="2777" name="Image 2777"/>
            <wp:cNvGraphicFramePr>
              <a:graphicFrameLocks/>
            </wp:cNvGraphicFramePr>
            <a:graphic>
              <a:graphicData uri="http://schemas.openxmlformats.org/drawingml/2006/picture">
                <pic:pic>
                  <pic:nvPicPr>
                    <pic:cNvPr id="2777" name="Image 2777"/>
                    <pic:cNvPicPr/>
                  </pic:nvPicPr>
                  <pic:blipFill>
                    <a:blip r:embed="rId273" cstate="print"/>
                    <a:stretch>
                      <a:fillRect/>
                    </a:stretch>
                  </pic:blipFill>
                  <pic:spPr>
                    <a:xfrm>
                      <a:off x="0" y="0"/>
                      <a:ext cx="63500" cy="101600"/>
                    </a:xfrm>
                    <a:prstGeom prst="rect">
                      <a:avLst/>
                    </a:prstGeom>
                  </pic:spPr>
                </pic:pic>
              </a:graphicData>
            </a:graphic>
          </wp:inline>
        </w:drawing>
      </w:r>
      <w:r>
        <w:rPr>
          <w:b w:val="0"/>
          <w:position w:val="-1"/>
        </w:rPr>
      </w:r>
      <w:r>
        <w:rPr>
          <w:rFonts w:ascii="Times New Roman"/>
          <w:b w:val="0"/>
          <w:spacing w:val="80"/>
        </w:rPr>
        <w:t> </w:t>
      </w:r>
      <w:r>
        <w:rPr>
          <w:color w:val="231F20"/>
        </w:rPr>
        <w:t>Select</w:t>
      </w:r>
    </w:p>
    <w:p>
      <w:pPr>
        <w:pStyle w:val="BodyText"/>
        <w:spacing w:line="213" w:lineRule="auto" w:before="11"/>
        <w:ind w:left="3909" w:right="274"/>
      </w:pPr>
      <w:r>
        <w:rPr>
          <w:color w:val="231F20"/>
        </w:rPr>
        <w:t>Selection mode. This is a toggle tool. Click it again to turn off selection. Use the </w:t>
      </w:r>
      <w:r>
        <w:rPr>
          <w:rFonts w:ascii="Book Antiqua"/>
          <w:b/>
          <w:color w:val="231F20"/>
        </w:rPr>
        <w:t>Select </w:t>
      </w:r>
      <w:r>
        <w:rPr>
          <w:color w:val="231F20"/>
        </w:rPr>
        <w:t>tool to drag an activity into position or </w:t>
      </w:r>
      <w:r>
        <w:rPr>
          <w:color w:val="231F20"/>
        </w:rPr>
        <w:t>to select it for removal. You can click and drag from one point to the opposite corner to select a group of activities, or use Shift+click to select multiple activities individually.</w:t>
      </w:r>
    </w:p>
    <w:p>
      <w:pPr>
        <w:pStyle w:val="Heading6"/>
        <w:spacing w:before="115"/>
        <w:ind w:left="3200"/>
      </w:pPr>
      <w:r>
        <w:rPr>
          <w:b w:val="0"/>
          <w:position w:val="-3"/>
        </w:rPr>
        <w:drawing>
          <wp:inline distT="0" distB="0" distL="0" distR="0">
            <wp:extent cx="241006" cy="107894"/>
            <wp:effectExtent l="0" t="0" r="0" b="0"/>
            <wp:docPr id="2778" name="Image 2778"/>
            <wp:cNvGraphicFramePr>
              <a:graphicFrameLocks/>
            </wp:cNvGraphicFramePr>
            <a:graphic>
              <a:graphicData uri="http://schemas.openxmlformats.org/drawingml/2006/picture">
                <pic:pic>
                  <pic:nvPicPr>
                    <pic:cNvPr id="2778" name="Image 2778"/>
                    <pic:cNvPicPr/>
                  </pic:nvPicPr>
                  <pic:blipFill>
                    <a:blip r:embed="rId431" cstate="print"/>
                    <a:stretch>
                      <a:fillRect/>
                    </a:stretch>
                  </pic:blipFill>
                  <pic:spPr>
                    <a:xfrm>
                      <a:off x="0" y="0"/>
                      <a:ext cx="241006" cy="107894"/>
                    </a:xfrm>
                    <a:prstGeom prst="rect">
                      <a:avLst/>
                    </a:prstGeom>
                  </pic:spPr>
                </pic:pic>
              </a:graphicData>
            </a:graphic>
          </wp:inline>
        </w:drawing>
      </w:r>
      <w:r>
        <w:rPr>
          <w:b w:val="0"/>
          <w:position w:val="-3"/>
        </w:rPr>
      </w:r>
      <w:r>
        <w:rPr>
          <w:rFonts w:ascii="Times New Roman"/>
          <w:b w:val="0"/>
          <w:spacing w:val="80"/>
        </w:rPr>
        <w:t> </w:t>
      </w:r>
      <w:r>
        <w:rPr>
          <w:color w:val="231F20"/>
        </w:rPr>
        <w:t>Perform</w:t>
      </w:r>
      <w:r>
        <w:rPr>
          <w:color w:val="231F20"/>
          <w:spacing w:val="36"/>
        </w:rPr>
        <w:t> </w:t>
      </w:r>
      <w:r>
        <w:rPr>
          <w:color w:val="231F20"/>
        </w:rPr>
        <w:t>node</w:t>
      </w:r>
      <w:r>
        <w:rPr>
          <w:color w:val="231F20"/>
          <w:spacing w:val="36"/>
        </w:rPr>
        <w:t> </w:t>
      </w:r>
      <w:r>
        <w:rPr>
          <w:color w:val="231F20"/>
        </w:rPr>
        <w:t>layout</w:t>
      </w:r>
    </w:p>
    <w:p>
      <w:pPr>
        <w:pStyle w:val="BodyText"/>
        <w:spacing w:line="213" w:lineRule="auto" w:before="12"/>
        <w:ind w:left="3909" w:right="258"/>
      </w:pPr>
      <w:r>
        <w:rPr>
          <w:color w:val="231F20"/>
        </w:rPr>
        <w:t>Rearranges, as needed, the activities and their connectors to best </w:t>
      </w:r>
      <w:r>
        <w:rPr>
          <w:color w:val="231F20"/>
        </w:rPr>
        <w:t>fit in the view.</w:t>
      </w:r>
    </w:p>
    <w:p>
      <w:pPr>
        <w:pStyle w:val="Heading6"/>
        <w:ind w:left="3200"/>
      </w:pPr>
      <w:r>
        <w:rPr>
          <w:b w:val="0"/>
          <w:position w:val="-1"/>
        </w:rPr>
        <w:drawing>
          <wp:inline distT="0" distB="0" distL="0" distR="0">
            <wp:extent cx="95250" cy="95250"/>
            <wp:effectExtent l="0" t="0" r="0" b="0"/>
            <wp:docPr id="2779" name="Image 2779"/>
            <wp:cNvGraphicFramePr>
              <a:graphicFrameLocks/>
            </wp:cNvGraphicFramePr>
            <a:graphic>
              <a:graphicData uri="http://schemas.openxmlformats.org/drawingml/2006/picture">
                <pic:pic>
                  <pic:nvPicPr>
                    <pic:cNvPr id="2779" name="Image 2779"/>
                    <pic:cNvPicPr/>
                  </pic:nvPicPr>
                  <pic:blipFill>
                    <a:blip r:embed="rId432"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Actual size</w:t>
      </w:r>
    </w:p>
    <w:p>
      <w:pPr>
        <w:pStyle w:val="BodyText"/>
        <w:spacing w:line="258" w:lineRule="exact"/>
        <w:ind w:left="3909"/>
      </w:pPr>
      <w:r>
        <w:rPr>
          <w:color w:val="231F20"/>
        </w:rPr>
        <w:t>Returns</w:t>
      </w:r>
      <w:r>
        <w:rPr>
          <w:color w:val="231F20"/>
          <w:spacing w:val="11"/>
        </w:rPr>
        <w:t> </w:t>
      </w:r>
      <w:r>
        <w:rPr>
          <w:color w:val="231F20"/>
        </w:rPr>
        <w:t>the</w:t>
      </w:r>
      <w:r>
        <w:rPr>
          <w:color w:val="231F20"/>
          <w:spacing w:val="12"/>
        </w:rPr>
        <w:t> </w:t>
      </w:r>
      <w:r>
        <w:rPr>
          <w:color w:val="231F20"/>
        </w:rPr>
        <w:t>view</w:t>
      </w:r>
      <w:r>
        <w:rPr>
          <w:color w:val="231F20"/>
          <w:spacing w:val="11"/>
        </w:rPr>
        <w:t> </w:t>
      </w:r>
      <w:r>
        <w:rPr>
          <w:color w:val="231F20"/>
        </w:rPr>
        <w:t>to</w:t>
      </w:r>
      <w:r>
        <w:rPr>
          <w:color w:val="231F20"/>
          <w:spacing w:val="12"/>
        </w:rPr>
        <w:t> </w:t>
      </w:r>
      <w:r>
        <w:rPr>
          <w:color w:val="231F20"/>
        </w:rPr>
        <w:t>normal</w:t>
      </w:r>
      <w:r>
        <w:rPr>
          <w:color w:val="231F20"/>
          <w:spacing w:val="12"/>
        </w:rPr>
        <w:t> </w:t>
      </w:r>
      <w:r>
        <w:rPr>
          <w:color w:val="231F20"/>
        </w:rPr>
        <w:t>size.</w:t>
      </w:r>
      <w:r>
        <w:rPr>
          <w:color w:val="231F20"/>
          <w:spacing w:val="11"/>
        </w:rPr>
        <w:t> </w:t>
      </w:r>
      <w:r>
        <w:rPr>
          <w:color w:val="231F20"/>
        </w:rPr>
        <w:t>Used</w:t>
      </w:r>
      <w:r>
        <w:rPr>
          <w:color w:val="231F20"/>
          <w:spacing w:val="12"/>
        </w:rPr>
        <w:t> </w:t>
      </w:r>
      <w:r>
        <w:rPr>
          <w:color w:val="231F20"/>
        </w:rPr>
        <w:t>after</w:t>
      </w:r>
      <w:r>
        <w:rPr>
          <w:color w:val="231F20"/>
          <w:spacing w:val="12"/>
        </w:rPr>
        <w:t> </w:t>
      </w:r>
      <w:r>
        <w:rPr>
          <w:color w:val="231F20"/>
          <w:spacing w:val="-2"/>
        </w:rPr>
        <w:t>zooming.</w:t>
      </w:r>
    </w:p>
    <w:p>
      <w:pPr>
        <w:pStyle w:val="Heading6"/>
        <w:spacing w:before="111"/>
        <w:ind w:left="3200"/>
      </w:pPr>
      <w:r>
        <w:rPr>
          <w:b w:val="0"/>
          <w:position w:val="-1"/>
        </w:rPr>
        <w:drawing>
          <wp:inline distT="0" distB="0" distL="0" distR="0">
            <wp:extent cx="95250" cy="95249"/>
            <wp:effectExtent l="0" t="0" r="0" b="0"/>
            <wp:docPr id="2780" name="Image 2780"/>
            <wp:cNvGraphicFramePr>
              <a:graphicFrameLocks/>
            </wp:cNvGraphicFramePr>
            <a:graphic>
              <a:graphicData uri="http://schemas.openxmlformats.org/drawingml/2006/picture">
                <pic:pic>
                  <pic:nvPicPr>
                    <pic:cNvPr id="2780" name="Image 2780"/>
                    <pic:cNvPicPr/>
                  </pic:nvPicPr>
                  <pic:blipFill>
                    <a:blip r:embed="rId255" cstate="print"/>
                    <a:stretch>
                      <a:fillRect/>
                    </a:stretch>
                  </pic:blipFill>
                  <pic:spPr>
                    <a:xfrm>
                      <a:off x="0" y="0"/>
                      <a:ext cx="95250" cy="95249"/>
                    </a:xfrm>
                    <a:prstGeom prst="rect">
                      <a:avLst/>
                    </a:prstGeom>
                  </pic:spPr>
                </pic:pic>
              </a:graphicData>
            </a:graphic>
          </wp:inline>
        </w:drawing>
      </w:r>
      <w:r>
        <w:rPr>
          <w:b w:val="0"/>
          <w:position w:val="-1"/>
        </w:rPr>
      </w:r>
      <w:r>
        <w:rPr>
          <w:rFonts w:ascii="Times New Roman"/>
          <w:b w:val="0"/>
          <w:spacing w:val="80"/>
        </w:rPr>
        <w:t> </w:t>
      </w:r>
      <w:r>
        <w:rPr>
          <w:color w:val="231F20"/>
        </w:rPr>
        <w:t>Fit</w:t>
      </w:r>
      <w:r>
        <w:rPr>
          <w:color w:val="231F20"/>
          <w:spacing w:val="34"/>
        </w:rPr>
        <w:t> </w:t>
      </w:r>
      <w:r>
        <w:rPr>
          <w:color w:val="231F20"/>
        </w:rPr>
        <w:t>to</w:t>
      </w:r>
      <w:r>
        <w:rPr>
          <w:color w:val="231F20"/>
          <w:spacing w:val="34"/>
        </w:rPr>
        <w:t> </w:t>
      </w:r>
      <w:r>
        <w:rPr>
          <w:color w:val="231F20"/>
        </w:rPr>
        <w:t>Contents</w:t>
      </w:r>
    </w:p>
    <w:p>
      <w:pPr>
        <w:pStyle w:val="BodyText"/>
        <w:spacing w:line="213" w:lineRule="auto" w:before="12"/>
        <w:ind w:left="3909" w:right="258"/>
      </w:pPr>
      <w:r>
        <w:rPr>
          <w:color w:val="231F20"/>
        </w:rPr>
        <w:t>Scales the view so all activities are visible. This is useful when </w:t>
      </w:r>
      <w:r>
        <w:rPr>
          <w:color w:val="231F20"/>
        </w:rPr>
        <w:t>you have added or removed activities.</w:t>
      </w:r>
    </w:p>
    <w:p>
      <w:pPr>
        <w:pStyle w:val="Heading6"/>
        <w:ind w:left="3190"/>
      </w:pPr>
      <w:r>
        <w:rPr>
          <w:b w:val="0"/>
          <w:position w:val="-1"/>
        </w:rPr>
        <w:drawing>
          <wp:inline distT="0" distB="0" distL="0" distR="0">
            <wp:extent cx="101600" cy="101600"/>
            <wp:effectExtent l="0" t="0" r="0" b="0"/>
            <wp:docPr id="2781" name="Image 2781"/>
            <wp:cNvGraphicFramePr>
              <a:graphicFrameLocks/>
            </wp:cNvGraphicFramePr>
            <a:graphic>
              <a:graphicData uri="http://schemas.openxmlformats.org/drawingml/2006/picture">
                <pic:pic>
                  <pic:nvPicPr>
                    <pic:cNvPr id="2781" name="Image 2781"/>
                    <pic:cNvPicPr/>
                  </pic:nvPicPr>
                  <pic:blipFill>
                    <a:blip r:embed="rId276"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in</w:t>
      </w:r>
    </w:p>
    <w:p>
      <w:pPr>
        <w:pStyle w:val="BodyText"/>
        <w:spacing w:line="258" w:lineRule="exact"/>
        <w:ind w:left="3909"/>
      </w:pPr>
      <w:r>
        <w:rPr>
          <w:color w:val="231F20"/>
        </w:rPr>
        <w:t>Zooms</w:t>
      </w:r>
      <w:r>
        <w:rPr>
          <w:color w:val="231F20"/>
          <w:spacing w:val="12"/>
        </w:rPr>
        <w:t> </w:t>
      </w:r>
      <w:r>
        <w:rPr>
          <w:color w:val="231F20"/>
        </w:rPr>
        <w:t>in</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view</w:t>
      </w:r>
      <w:r>
        <w:rPr>
          <w:color w:val="231F20"/>
          <w:spacing w:val="12"/>
        </w:rPr>
        <w:t> </w:t>
      </w:r>
      <w:r>
        <w:rPr>
          <w:color w:val="231F20"/>
        </w:rPr>
        <w:t>to</w:t>
      </w:r>
      <w:r>
        <w:rPr>
          <w:color w:val="231F20"/>
          <w:spacing w:val="12"/>
        </w:rPr>
        <w:t> </w:t>
      </w:r>
      <w:r>
        <w:rPr>
          <w:color w:val="231F20"/>
        </w:rPr>
        <w:t>see</w:t>
      </w:r>
      <w:r>
        <w:rPr>
          <w:color w:val="231F20"/>
          <w:spacing w:val="12"/>
        </w:rPr>
        <w:t> </w:t>
      </w:r>
      <w:r>
        <w:rPr>
          <w:color w:val="231F20"/>
        </w:rPr>
        <w:t>an</w:t>
      </w:r>
      <w:r>
        <w:rPr>
          <w:color w:val="231F20"/>
          <w:spacing w:val="12"/>
        </w:rPr>
        <w:t> </w:t>
      </w:r>
      <w:r>
        <w:rPr>
          <w:color w:val="231F20"/>
        </w:rPr>
        <w:t>enlarged</w:t>
      </w:r>
      <w:r>
        <w:rPr>
          <w:color w:val="231F20"/>
          <w:spacing w:val="12"/>
        </w:rPr>
        <w:t> </w:t>
      </w:r>
      <w:r>
        <w:rPr>
          <w:color w:val="231F20"/>
          <w:spacing w:val="-2"/>
        </w:rPr>
        <w:t>version.</w:t>
      </w:r>
    </w:p>
    <w:p>
      <w:pPr>
        <w:pStyle w:val="Heading6"/>
        <w:spacing w:before="111"/>
        <w:ind w:left="3190"/>
      </w:pPr>
      <w:r>
        <w:rPr>
          <w:b w:val="0"/>
          <w:position w:val="-1"/>
        </w:rPr>
        <w:drawing>
          <wp:inline distT="0" distB="0" distL="0" distR="0">
            <wp:extent cx="101600" cy="101600"/>
            <wp:effectExtent l="0" t="0" r="0" b="0"/>
            <wp:docPr id="2782" name="Image 2782"/>
            <wp:cNvGraphicFramePr>
              <a:graphicFrameLocks/>
            </wp:cNvGraphicFramePr>
            <a:graphic>
              <a:graphicData uri="http://schemas.openxmlformats.org/drawingml/2006/picture">
                <pic:pic>
                  <pic:nvPicPr>
                    <pic:cNvPr id="2782" name="Image 2782"/>
                    <pic:cNvPicPr/>
                  </pic:nvPicPr>
                  <pic:blipFill>
                    <a:blip r:embed="rId390"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out</w:t>
      </w:r>
    </w:p>
    <w:p>
      <w:pPr>
        <w:pStyle w:val="BodyText"/>
        <w:spacing w:line="213" w:lineRule="auto" w:before="11"/>
        <w:ind w:left="3909" w:right="545"/>
      </w:pPr>
      <w:r>
        <w:rPr>
          <w:color w:val="231F20"/>
        </w:rPr>
        <w:t>Zooms the view out to reduce the size and see more in the </w:t>
      </w:r>
      <w:r>
        <w:rPr>
          <w:color w:val="231F20"/>
        </w:rPr>
        <w:t>work </w:t>
      </w:r>
      <w:r>
        <w:rPr>
          <w:color w:val="231F20"/>
          <w:spacing w:val="-2"/>
        </w:rPr>
        <w:t>area.</w:t>
      </w:r>
    </w:p>
    <w:p>
      <w:pPr>
        <w:pStyle w:val="Heading6"/>
        <w:ind w:left="3190"/>
      </w:pPr>
      <w:r>
        <w:rPr>
          <w:b w:val="0"/>
          <w:position w:val="-1"/>
        </w:rPr>
        <w:drawing>
          <wp:inline distT="0" distB="0" distL="0" distR="0">
            <wp:extent cx="101600" cy="101600"/>
            <wp:effectExtent l="0" t="0" r="0" b="0"/>
            <wp:docPr id="2783" name="Image 2783"/>
            <wp:cNvGraphicFramePr>
              <a:graphicFrameLocks/>
            </wp:cNvGraphicFramePr>
            <a:graphic>
              <a:graphicData uri="http://schemas.openxmlformats.org/drawingml/2006/picture">
                <pic:pic>
                  <pic:nvPicPr>
                    <pic:cNvPr id="2783" name="Image 2783"/>
                    <pic:cNvPicPr/>
                  </pic:nvPicPr>
                  <pic:blipFill>
                    <a:blip r:embed="rId278"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40"/>
        </w:rPr>
        <w:t> </w:t>
      </w:r>
      <w:r>
        <w:rPr>
          <w:color w:val="231F20"/>
        </w:rPr>
        <w:t>Zoom Box</w:t>
      </w:r>
    </w:p>
    <w:p>
      <w:pPr>
        <w:pStyle w:val="BodyText"/>
        <w:spacing w:line="258" w:lineRule="exact"/>
        <w:ind w:left="3909"/>
      </w:pPr>
      <w:r>
        <w:rPr>
          <w:color w:val="231F20"/>
        </w:rPr>
        <w:t>Expands</w:t>
      </w:r>
      <w:r>
        <w:rPr>
          <w:color w:val="231F20"/>
          <w:spacing w:val="11"/>
        </w:rPr>
        <w:t> </w:t>
      </w:r>
      <w:r>
        <w:rPr>
          <w:color w:val="231F20"/>
        </w:rPr>
        <w:t>or</w:t>
      </w:r>
      <w:r>
        <w:rPr>
          <w:color w:val="231F20"/>
          <w:spacing w:val="12"/>
        </w:rPr>
        <w:t> </w:t>
      </w:r>
      <w:r>
        <w:rPr>
          <w:color w:val="231F20"/>
        </w:rPr>
        <w:t>contracts</w:t>
      </w:r>
      <w:r>
        <w:rPr>
          <w:color w:val="231F20"/>
          <w:spacing w:val="12"/>
        </w:rPr>
        <w:t> </w:t>
      </w:r>
      <w:r>
        <w:rPr>
          <w:color w:val="231F20"/>
        </w:rPr>
        <w:t>the</w:t>
      </w:r>
      <w:r>
        <w:rPr>
          <w:color w:val="231F20"/>
          <w:spacing w:val="12"/>
        </w:rPr>
        <w:t> </w:t>
      </w:r>
      <w:r>
        <w:rPr>
          <w:color w:val="231F20"/>
        </w:rPr>
        <w:t>view</w:t>
      </w:r>
      <w:r>
        <w:rPr>
          <w:color w:val="231F20"/>
          <w:spacing w:val="12"/>
        </w:rPr>
        <w:t> </w:t>
      </w:r>
      <w:r>
        <w:rPr>
          <w:color w:val="231F20"/>
        </w:rPr>
        <w:t>to</w:t>
      </w:r>
      <w:r>
        <w:rPr>
          <w:color w:val="231F20"/>
          <w:spacing w:val="12"/>
        </w:rPr>
        <w:t> </w:t>
      </w:r>
      <w:r>
        <w:rPr>
          <w:color w:val="231F20"/>
        </w:rPr>
        <w:t>fit</w:t>
      </w:r>
      <w:r>
        <w:rPr>
          <w:color w:val="231F20"/>
          <w:spacing w:val="12"/>
        </w:rPr>
        <w:t> </w:t>
      </w:r>
      <w:r>
        <w:rPr>
          <w:color w:val="231F20"/>
        </w:rPr>
        <w:t>a</w:t>
      </w:r>
      <w:r>
        <w:rPr>
          <w:color w:val="231F20"/>
          <w:spacing w:val="12"/>
        </w:rPr>
        <w:t> </w:t>
      </w:r>
      <w:r>
        <w:rPr>
          <w:color w:val="231F20"/>
        </w:rPr>
        <w:t>selected</w:t>
      </w:r>
      <w:r>
        <w:rPr>
          <w:color w:val="231F20"/>
          <w:spacing w:val="12"/>
        </w:rPr>
        <w:t> </w:t>
      </w:r>
      <w:r>
        <w:rPr>
          <w:color w:val="231F20"/>
          <w:spacing w:val="-2"/>
        </w:rPr>
        <w:t>area.</w:t>
      </w:r>
    </w:p>
    <w:p>
      <w:pPr>
        <w:spacing w:after="0" w:line="258" w:lineRule="exact"/>
        <w:sectPr>
          <w:pgSz w:w="12240" w:h="15840"/>
          <w:pgMar w:header="0" w:footer="736" w:top="1180" w:bottom="920" w:left="1000" w:right="1060"/>
        </w:sectPr>
      </w:pPr>
    </w:p>
    <w:p>
      <w:pPr>
        <w:spacing w:before="112"/>
        <w:ind w:left="0" w:right="0" w:firstLine="0"/>
        <w:jc w:val="right"/>
        <w:rPr>
          <w:rFonts w:ascii="Book Antiqua"/>
          <w:b/>
          <w:sz w:val="20"/>
        </w:rPr>
      </w:pPr>
      <w:r>
        <w:rPr>
          <w:position w:val="-1"/>
        </w:rPr>
        <w:drawing>
          <wp:inline distT="0" distB="0" distL="0" distR="0">
            <wp:extent cx="95250" cy="95250"/>
            <wp:effectExtent l="0" t="0" r="0" b="0"/>
            <wp:docPr id="2784" name="Image 2784"/>
            <wp:cNvGraphicFramePr>
              <a:graphicFrameLocks/>
            </wp:cNvGraphicFramePr>
            <a:graphic>
              <a:graphicData uri="http://schemas.openxmlformats.org/drawingml/2006/picture">
                <pic:pic>
                  <pic:nvPicPr>
                    <pic:cNvPr id="2784" name="Image 2784"/>
                    <pic:cNvPicPr/>
                  </pic:nvPicPr>
                  <pic:blipFill>
                    <a:blip r:embed="rId279"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Pan</w:t>
      </w:r>
    </w:p>
    <w:p>
      <w:pPr>
        <w:pStyle w:val="BodyText"/>
        <w:rPr>
          <w:rFonts w:ascii="Book Antiqua"/>
          <w:b/>
        </w:rPr>
      </w:pPr>
    </w:p>
    <w:p>
      <w:pPr>
        <w:pStyle w:val="BodyText"/>
        <w:spacing w:before="33"/>
        <w:rPr>
          <w:rFonts w:ascii="Book Antiqua"/>
          <w:b/>
        </w:rPr>
      </w:pPr>
    </w:p>
    <w:p>
      <w:pPr>
        <w:pStyle w:val="Heading6"/>
        <w:spacing w:line="240" w:lineRule="auto" w:before="0"/>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spacing w:line="240" w:lineRule="auto" w:before="82"/>
        <w:rPr>
          <w:sz w:val="20"/>
        </w:rPr>
      </w:pPr>
      <w:r>
        <w:rPr/>
        <w:br w:type="column"/>
      </w:r>
      <w:r>
        <w:rPr>
          <w:sz w:val="20"/>
        </w:rPr>
      </w:r>
    </w:p>
    <w:p>
      <w:pPr>
        <w:pStyle w:val="BodyText"/>
        <w:spacing w:line="213" w:lineRule="auto" w:before="1"/>
        <w:ind w:left="58" w:right="418"/>
      </w:pPr>
      <w:r>
        <w:rPr>
          <w:color w:val="231F20"/>
        </w:rPr>
        <w:t>Pans the view, which selects the entire policy and enables you </w:t>
      </w:r>
      <w:r>
        <w:rPr>
          <w:color w:val="231F20"/>
        </w:rPr>
        <w:t>to move it around the Grapher view.</w:t>
      </w:r>
    </w:p>
    <w:p>
      <w:pPr>
        <w:spacing w:after="0" w:line="213" w:lineRule="auto"/>
        <w:sectPr>
          <w:type w:val="continuous"/>
          <w:pgSz w:w="12240" w:h="15840"/>
          <w:pgMar w:header="0" w:footer="736" w:top="0" w:bottom="4660" w:left="1000" w:right="1060"/>
          <w:cols w:num="2" w:equalWidth="0">
            <w:col w:w="3811" w:space="40"/>
            <w:col w:w="6329"/>
          </w:cols>
        </w:sectPr>
      </w:pPr>
    </w:p>
    <w:p>
      <w:pPr>
        <w:pStyle w:val="BodyText"/>
        <w:spacing w:line="255" w:lineRule="exact" w:before="29"/>
        <w:ind w:left="2472"/>
      </w:pPr>
      <w:hyperlink w:history="true" w:anchor="_bookmark237">
        <w:r>
          <w:rPr>
            <w:color w:val="231F20"/>
          </w:rPr>
          <w:t>“Creating</w:t>
        </w:r>
        <w:r>
          <w:rPr>
            <w:color w:val="231F20"/>
            <w:spacing w:val="10"/>
          </w:rPr>
          <w:t> </w:t>
        </w:r>
        <w:r>
          <w:rPr>
            <w:color w:val="231F20"/>
          </w:rPr>
          <w:t>a</w:t>
        </w:r>
        <w:r>
          <w:rPr>
            <w:color w:val="231F20"/>
            <w:spacing w:val="11"/>
          </w:rPr>
          <w:t> </w:t>
        </w:r>
        <w:r>
          <w:rPr>
            <w:color w:val="231F20"/>
          </w:rPr>
          <w:t>policy”</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324</w:t>
        </w:r>
      </w:hyperlink>
    </w:p>
    <w:p>
      <w:pPr>
        <w:pStyle w:val="BodyText"/>
        <w:spacing w:line="213" w:lineRule="auto" w:before="8"/>
        <w:ind w:left="2472" w:right="258"/>
      </w:pPr>
      <w:r>
        <w:rPr>
          <w:color w:val="231F20"/>
        </w:rPr>
        <w:t>Use policies to perform actions, schedule work, and automate manual tasks on </w:t>
      </w:r>
      <w:r>
        <w:rPr>
          <w:color w:val="231F20"/>
        </w:rPr>
        <w:t>one </w:t>
      </w:r>
      <w:bookmarkStart w:name="Grapher View" w:id="515"/>
      <w:bookmarkEnd w:id="515"/>
      <w:r>
        <w:rPr>
          <w:color w:val="231F20"/>
        </w:rPr>
        <w:t>or</w:t>
      </w:r>
      <w:r>
        <w:rPr>
          <w:color w:val="231F20"/>
        </w:rPr>
        <w:t> more managed systems in your enterprise.</w:t>
      </w:r>
    </w:p>
    <w:p>
      <w:pPr>
        <w:pStyle w:val="Heading4"/>
        <w:spacing w:line="273" w:lineRule="exact" w:before="165"/>
        <w:ind w:left="2472"/>
      </w:pPr>
      <w:r>
        <w:rPr>
          <w:color w:val="231F20"/>
        </w:rPr>
        <w:t>Grapher</w:t>
      </w:r>
      <w:r>
        <w:rPr>
          <w:color w:val="231F20"/>
          <w:spacing w:val="3"/>
        </w:rPr>
        <w:t> </w:t>
      </w:r>
      <w:r>
        <w:rPr>
          <w:color w:val="231F20"/>
          <w:spacing w:val="-4"/>
        </w:rPr>
        <w:t>View</w:t>
      </w:r>
    </w:p>
    <w:p>
      <w:pPr>
        <w:pStyle w:val="BodyText"/>
        <w:spacing w:line="213" w:lineRule="auto" w:before="20"/>
        <w:ind w:left="2472" w:right="545"/>
      </w:pPr>
      <w:r>
        <w:rPr>
          <w:color w:val="231F20"/>
        </w:rPr>
        <w:t>The grapher view is displayed when you create a workflow or have chosen </w:t>
      </w:r>
      <w:r>
        <w:rPr>
          <w:color w:val="231F20"/>
        </w:rPr>
        <w:t>a workflow to edit. Use it to add, edit, and connect activities.</w:t>
      </w:r>
    </w:p>
    <w:p>
      <w:pPr>
        <w:pStyle w:val="BodyText"/>
        <w:spacing w:line="213" w:lineRule="auto" w:before="238"/>
        <w:ind w:left="2472" w:right="242"/>
      </w:pPr>
      <w:r>
        <w:rPr>
          <w:color w:val="231F20"/>
        </w:rPr>
        <w:t>After a workflow activity has been added to the grapher view, you can move the mouse pointer over the activity to see its identifier. If the Workflow was created in the Workflow Editor, the ID will be the activity name followed by a sequence number, such as "WaitOnSituation1" or "SystemCommand3". Otherwise, the ID </w:t>
      </w:r>
      <w:r>
        <w:rPr>
          <w:color w:val="231F20"/>
        </w:rPr>
        <w:t>will look something like "NT285". The activity identifier is referenced in two places:</w:t>
      </w:r>
    </w:p>
    <w:p>
      <w:pPr>
        <w:pStyle w:val="BodyText"/>
        <w:spacing w:line="211" w:lineRule="auto" w:before="58"/>
        <w:ind w:left="2688" w:right="274" w:hanging="216"/>
      </w:pPr>
      <w:r>
        <w:rPr>
          <w:rFonts w:ascii="Futura MdCn BT"/>
          <w:color w:val="231F20"/>
        </w:rPr>
        <w:t>v</w:t>
      </w:r>
      <w:r>
        <w:rPr>
          <w:rFonts w:ascii="Futura MdCn BT"/>
          <w:color w:val="231F20"/>
          <w:spacing w:val="80"/>
        </w:rPr>
        <w:t> </w:t>
      </w:r>
      <w:r>
        <w:rPr>
          <w:color w:val="231F20"/>
        </w:rPr>
        <w:t>In the</w:t>
      </w:r>
      <w:r>
        <w:rPr>
          <w:color w:val="231F20"/>
          <w:spacing w:val="32"/>
        </w:rPr>
        <w:t> </w:t>
      </w:r>
      <w:r>
        <w:rPr>
          <w:color w:val="231F20"/>
          <w:spacing w:val="-24"/>
          <w:position w:val="-5"/>
        </w:rPr>
        <w:drawing>
          <wp:inline distT="0" distB="0" distL="0" distR="0">
            <wp:extent cx="152400" cy="127000"/>
            <wp:effectExtent l="0" t="0" r="0" b="0"/>
            <wp:docPr id="2785" name="Image 2785"/>
            <wp:cNvGraphicFramePr>
              <a:graphicFrameLocks/>
            </wp:cNvGraphicFramePr>
            <a:graphic>
              <a:graphicData uri="http://schemas.openxmlformats.org/drawingml/2006/picture">
                <pic:pic>
                  <pic:nvPicPr>
                    <pic:cNvPr id="2785" name="Image 2785"/>
                    <pic:cNvPicPr/>
                  </pic:nvPicPr>
                  <pic:blipFill>
                    <a:blip r:embed="rId272" cstate="print"/>
                    <a:stretch>
                      <a:fillRect/>
                    </a:stretch>
                  </pic:blipFill>
                  <pic:spPr>
                    <a:xfrm>
                      <a:off x="0" y="0"/>
                      <a:ext cx="152400" cy="127000"/>
                    </a:xfrm>
                    <a:prstGeom prst="rect">
                      <a:avLst/>
                    </a:prstGeom>
                  </pic:spPr>
                </pic:pic>
              </a:graphicData>
            </a:graphic>
          </wp:inline>
        </w:drawing>
      </w:r>
      <w:r>
        <w:rPr>
          <w:color w:val="231F20"/>
          <w:spacing w:val="-24"/>
          <w:position w:val="-5"/>
        </w:rPr>
      </w:r>
      <w:r>
        <w:rPr>
          <w:rFonts w:ascii="Times New Roman"/>
          <w:color w:val="231F20"/>
          <w:spacing w:val="40"/>
        </w:rPr>
        <w:t> </w:t>
      </w:r>
      <w:r>
        <w:rPr>
          <w:rFonts w:ascii="Book Antiqua"/>
          <w:b/>
          <w:color w:val="231F20"/>
        </w:rPr>
        <w:t>Take action or Write message </w:t>
      </w:r>
      <w:r>
        <w:rPr>
          <w:color w:val="231F20"/>
        </w:rPr>
        <w:t>activity, the </w:t>
      </w:r>
      <w:r>
        <w:rPr>
          <w:rFonts w:ascii="Book Antiqua"/>
          <w:b/>
          <w:color w:val="231F20"/>
        </w:rPr>
        <w:t>More options </w:t>
      </w:r>
      <w:r>
        <w:rPr>
          <w:color w:val="231F20"/>
        </w:rPr>
        <w:t>button expands the Action Settings dialog. If multiple data items are returned, you can choose to take action on every item generated by the situation in an activity. You can also choose to take action on the agent that returned data for the situation </w:t>
      </w:r>
      <w:r>
        <w:rPr>
          <w:color w:val="231F20"/>
        </w:rPr>
        <w:t>in</w:t>
      </w:r>
      <w:r>
        <w:rPr>
          <w:color w:val="231F20"/>
          <w:spacing w:val="40"/>
        </w:rPr>
        <w:t> </w:t>
      </w:r>
      <w:r>
        <w:rPr>
          <w:color w:val="231F20"/>
        </w:rPr>
        <w:t>an activity The activity ID is selected from a list.</w:t>
      </w:r>
    </w:p>
    <w:p>
      <w:pPr>
        <w:pStyle w:val="BodyText"/>
        <w:spacing w:line="213" w:lineRule="auto" w:before="64"/>
        <w:ind w:left="2688" w:right="493" w:hanging="216"/>
      </w:pPr>
      <w:r>
        <w:rPr>
          <w:rFonts w:ascii="Futura MdCn BT"/>
          <w:color w:val="231F20"/>
        </w:rPr>
        <w:t>v</w:t>
      </w:r>
      <w:r>
        <w:rPr>
          <w:rFonts w:ascii="Futura MdCn BT"/>
          <w:color w:val="231F20"/>
          <w:spacing w:val="80"/>
        </w:rPr>
        <w:t> </w:t>
      </w:r>
      <w:r>
        <w:rPr>
          <w:color w:val="231F20"/>
        </w:rPr>
        <w:t>When the workflow has been tested with </w:t>
      </w:r>
      <w:r>
        <w:rPr>
          <w:color w:val="231F20"/>
          <w:spacing w:val="-25"/>
          <w:position w:val="-1"/>
        </w:rPr>
        <w:drawing>
          <wp:inline distT="0" distB="0" distL="0" distR="0">
            <wp:extent cx="95250" cy="95250"/>
            <wp:effectExtent l="0" t="0" r="0" b="0"/>
            <wp:docPr id="2786" name="Image 2786"/>
            <wp:cNvGraphicFramePr>
              <a:graphicFrameLocks/>
            </wp:cNvGraphicFramePr>
            <a:graphic>
              <a:graphicData uri="http://schemas.openxmlformats.org/drawingml/2006/picture">
                <pic:pic>
                  <pic:nvPicPr>
                    <pic:cNvPr id="2786" name="Image 2786"/>
                    <pic:cNvPicPr/>
                  </pic:nvPicPr>
                  <pic:blipFill>
                    <a:blip r:embed="rId426"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7"/>
        </w:rPr>
        <w:t> </w:t>
      </w:r>
      <w:r>
        <w:rPr>
          <w:rFonts w:ascii="Book Antiqua"/>
          <w:b/>
          <w:color w:val="231F20"/>
        </w:rPr>
        <w:t>Validate</w:t>
      </w:r>
      <w:r>
        <w:rPr>
          <w:color w:val="231F20"/>
        </w:rPr>
        <w:t>, if errors are found, </w:t>
      </w:r>
      <w:r>
        <w:rPr>
          <w:color w:val="231F20"/>
        </w:rPr>
        <w:t>the</w:t>
      </w:r>
      <w:r>
        <w:rPr>
          <w:color w:val="231F20"/>
        </w:rPr>
        <w:t> IDs of the affected activities are referenced in the Workflow Definition Error </w:t>
      </w:r>
      <w:r>
        <w:rPr>
          <w:color w:val="231F20"/>
          <w:spacing w:val="-2"/>
        </w:rPr>
        <w:t>message.</w:t>
      </w:r>
    </w:p>
    <w:p>
      <w:pPr>
        <w:spacing w:after="0" w:line="213" w:lineRule="auto"/>
        <w:sectPr>
          <w:type w:val="continuous"/>
          <w:pgSz w:w="12240" w:h="15840"/>
          <w:pgMar w:header="0" w:footer="736" w:top="0" w:bottom="4660" w:left="1000" w:right="1060"/>
        </w:sectPr>
      </w:pPr>
    </w:p>
    <w:p>
      <w:pPr>
        <w:pStyle w:val="Heading4"/>
        <w:spacing w:line="273" w:lineRule="exact" w:before="91"/>
      </w:pPr>
      <w:bookmarkStart w:name="_bookmark247" w:id="516"/>
      <w:bookmarkEnd w:id="516"/>
      <w:r>
        <w:rPr>
          <w:b w:val="0"/>
        </w:rPr>
      </w:r>
      <w:bookmarkStart w:name="General activities" w:id="517"/>
      <w:bookmarkEnd w:id="517"/>
      <w:r>
        <w:rPr>
          <w:b w:val="0"/>
        </w:rPr>
      </w:r>
      <w:r>
        <w:rPr>
          <w:color w:val="231F20"/>
        </w:rPr>
        <w:t>General</w:t>
      </w:r>
      <w:r>
        <w:rPr>
          <w:color w:val="231F20"/>
          <w:spacing w:val="4"/>
        </w:rPr>
        <w:t> </w:t>
      </w:r>
      <w:r>
        <w:rPr>
          <w:color w:val="231F20"/>
          <w:spacing w:val="-2"/>
        </w:rPr>
        <w:t>activities</w:t>
      </w:r>
    </w:p>
    <w:p>
      <w:pPr>
        <w:pStyle w:val="BodyText"/>
        <w:spacing w:line="213" w:lineRule="auto" w:before="20"/>
        <w:ind w:left="2232" w:right="603"/>
      </w:pPr>
      <w:r>
        <w:rPr>
          <w:color w:val="231F20"/>
        </w:rPr>
        <w:t>The </w:t>
      </w:r>
      <w:r>
        <w:rPr>
          <w:rFonts w:ascii="Book Antiqua"/>
          <w:b/>
          <w:color w:val="231F20"/>
        </w:rPr>
        <w:t>General activities </w:t>
      </w:r>
      <w:r>
        <w:rPr>
          <w:color w:val="231F20"/>
        </w:rPr>
        <w:t>tab in the Workflow Editor displays the default </w:t>
      </w:r>
      <w:r>
        <w:rPr>
          <w:color w:val="231F20"/>
        </w:rPr>
        <w:t>activities and product-provided predefined activities.</w:t>
      </w:r>
    </w:p>
    <w:p>
      <w:pPr>
        <w:pStyle w:val="Heading6"/>
        <w:spacing w:line="235" w:lineRule="exact"/>
        <w:ind w:left="2232"/>
      </w:pPr>
      <w:r>
        <w:rPr>
          <w:b w:val="0"/>
          <w:position w:val="-5"/>
        </w:rPr>
        <w:drawing>
          <wp:inline distT="0" distB="0" distL="0" distR="0">
            <wp:extent cx="120650" cy="120650"/>
            <wp:effectExtent l="0" t="0" r="0" b="0"/>
            <wp:docPr id="2787" name="Image 2787"/>
            <wp:cNvGraphicFramePr>
              <a:graphicFrameLocks/>
            </wp:cNvGraphicFramePr>
            <a:graphic>
              <a:graphicData uri="http://schemas.openxmlformats.org/drawingml/2006/picture">
                <pic:pic>
                  <pic:nvPicPr>
                    <pic:cNvPr id="2787" name="Image 2787"/>
                    <pic:cNvPicPr/>
                  </pic:nvPicPr>
                  <pic:blipFill>
                    <a:blip r:embed="rId424" cstate="print"/>
                    <a:stretch>
                      <a:fillRect/>
                    </a:stretch>
                  </pic:blipFill>
                  <pic:spPr>
                    <a:xfrm>
                      <a:off x="0" y="0"/>
                      <a:ext cx="120650" cy="120650"/>
                    </a:xfrm>
                    <a:prstGeom prst="rect">
                      <a:avLst/>
                    </a:prstGeom>
                  </pic:spPr>
                </pic:pic>
              </a:graphicData>
            </a:graphic>
          </wp:inline>
        </w:drawing>
      </w:r>
      <w:r>
        <w:rPr>
          <w:b w:val="0"/>
          <w:position w:val="-5"/>
        </w:rPr>
      </w:r>
      <w:r>
        <w:rPr>
          <w:rFonts w:ascii="Times New Roman"/>
          <w:b w:val="0"/>
          <w:spacing w:val="80"/>
        </w:rPr>
        <w:t> </w:t>
      </w:r>
      <w:r>
        <w:rPr>
          <w:color w:val="231F20"/>
        </w:rPr>
        <w:t>Wait</w:t>
      </w:r>
      <w:r>
        <w:rPr>
          <w:color w:val="231F20"/>
          <w:spacing w:val="23"/>
        </w:rPr>
        <w:t> </w:t>
      </w:r>
      <w:r>
        <w:rPr>
          <w:color w:val="231F20"/>
        </w:rPr>
        <w:t>until</w:t>
      </w:r>
      <w:r>
        <w:rPr>
          <w:color w:val="231F20"/>
          <w:spacing w:val="23"/>
        </w:rPr>
        <w:t> </w:t>
      </w:r>
      <w:r>
        <w:rPr>
          <w:color w:val="231F20"/>
        </w:rPr>
        <w:t>a</w:t>
      </w:r>
      <w:r>
        <w:rPr>
          <w:color w:val="231F20"/>
          <w:spacing w:val="23"/>
        </w:rPr>
        <w:t> </w:t>
      </w:r>
      <w:r>
        <w:rPr>
          <w:color w:val="231F20"/>
        </w:rPr>
        <w:t>situation</w:t>
      </w:r>
      <w:r>
        <w:rPr>
          <w:color w:val="231F20"/>
          <w:spacing w:val="23"/>
        </w:rPr>
        <w:t> </w:t>
      </w:r>
      <w:r>
        <w:rPr>
          <w:color w:val="231F20"/>
        </w:rPr>
        <w:t>is</w:t>
      </w:r>
      <w:r>
        <w:rPr>
          <w:color w:val="231F20"/>
          <w:spacing w:val="23"/>
        </w:rPr>
        <w:t> </w:t>
      </w:r>
      <w:r>
        <w:rPr>
          <w:color w:val="231F20"/>
        </w:rPr>
        <w:t>True</w:t>
      </w:r>
    </w:p>
    <w:p>
      <w:pPr>
        <w:pStyle w:val="BodyText"/>
        <w:spacing w:line="213" w:lineRule="auto" w:before="6"/>
        <w:ind w:left="2951" w:right="385"/>
      </w:pPr>
      <w:r>
        <w:rPr>
          <w:color w:val="231F20"/>
        </w:rPr>
        <w:t>Opens a list of the situations distributed on your managed network. When you</w:t>
      </w:r>
      <w:r>
        <w:rPr>
          <w:color w:val="231F20"/>
          <w:spacing w:val="27"/>
        </w:rPr>
        <w:t> </w:t>
      </w:r>
      <w:r>
        <w:rPr>
          <w:color w:val="231F20"/>
        </w:rPr>
        <w:t>select</w:t>
      </w:r>
      <w:r>
        <w:rPr>
          <w:color w:val="231F20"/>
          <w:spacing w:val="27"/>
        </w:rPr>
        <w:t> </w:t>
      </w:r>
      <w:r>
        <w:rPr>
          <w:color w:val="231F20"/>
        </w:rPr>
        <w:t>the</w:t>
      </w:r>
      <w:r>
        <w:rPr>
          <w:color w:val="231F20"/>
          <w:spacing w:val="27"/>
        </w:rPr>
        <w:t> </w:t>
      </w:r>
      <w:r>
        <w:rPr>
          <w:color w:val="231F20"/>
        </w:rPr>
        <w:t>situation</w:t>
      </w:r>
      <w:r>
        <w:rPr>
          <w:color w:val="231F20"/>
          <w:spacing w:val="27"/>
        </w:rPr>
        <w:t> </w:t>
      </w:r>
      <w:r>
        <w:rPr>
          <w:color w:val="231F20"/>
        </w:rPr>
        <w:t>and</w:t>
      </w:r>
      <w:r>
        <w:rPr>
          <w:color w:val="231F20"/>
          <w:spacing w:val="27"/>
        </w:rPr>
        <w:t> </w:t>
      </w:r>
      <w:r>
        <w:rPr>
          <w:color w:val="231F20"/>
        </w:rPr>
        <w:t>click</w:t>
      </w:r>
      <w:r>
        <w:rPr>
          <w:color w:val="231F20"/>
          <w:spacing w:val="27"/>
        </w:rPr>
        <w:t> </w:t>
      </w:r>
      <w:r>
        <w:rPr>
          <w:rFonts w:ascii="Book Antiqua"/>
          <w:b/>
          <w:color w:val="231F20"/>
        </w:rPr>
        <w:t>OK</w:t>
      </w:r>
      <w:r>
        <w:rPr>
          <w:color w:val="231F20"/>
        </w:rPr>
        <w:t>,</w:t>
      </w:r>
      <w:r>
        <w:rPr>
          <w:color w:val="231F20"/>
          <w:spacing w:val="27"/>
        </w:rPr>
        <w:t> </w:t>
      </w:r>
      <w:r>
        <w:rPr>
          <w:color w:val="231F20"/>
        </w:rPr>
        <w:t>the</w:t>
      </w:r>
      <w:r>
        <w:rPr>
          <w:color w:val="231F20"/>
          <w:spacing w:val="27"/>
        </w:rPr>
        <w:t> </w:t>
      </w:r>
      <w:r>
        <w:rPr>
          <w:color w:val="231F20"/>
        </w:rPr>
        <w:t>icon</w:t>
      </w:r>
      <w:r>
        <w:rPr>
          <w:color w:val="231F20"/>
          <w:spacing w:val="27"/>
        </w:rPr>
        <w:t> </w:t>
      </w:r>
      <w:r>
        <w:rPr>
          <w:color w:val="231F20"/>
        </w:rPr>
        <w:t>with</w:t>
      </w:r>
      <w:r>
        <w:rPr>
          <w:color w:val="231F20"/>
          <w:spacing w:val="27"/>
        </w:rPr>
        <w:t> </w:t>
      </w:r>
      <w:r>
        <w:rPr>
          <w:color w:val="231F20"/>
        </w:rPr>
        <w:t>the</w:t>
      </w:r>
      <w:r>
        <w:rPr>
          <w:color w:val="231F20"/>
          <w:spacing w:val="27"/>
        </w:rPr>
        <w:t> </w:t>
      </w:r>
      <w:r>
        <w:rPr>
          <w:color w:val="231F20"/>
        </w:rPr>
        <w:t>name</w:t>
      </w:r>
      <w:r>
        <w:rPr>
          <w:color w:val="231F20"/>
          <w:spacing w:val="27"/>
        </w:rPr>
        <w:t> </w:t>
      </w:r>
      <w:r>
        <w:rPr>
          <w:color w:val="231F20"/>
        </w:rPr>
        <w:t>of</w:t>
      </w:r>
      <w:r>
        <w:rPr>
          <w:color w:val="231F20"/>
          <w:spacing w:val="27"/>
        </w:rPr>
        <w:t> </w:t>
      </w:r>
      <w:r>
        <w:rPr>
          <w:color w:val="231F20"/>
        </w:rPr>
        <w:t>the situation is displayed in the grapher view. When the policy encounters this object in the workflow, it suspends execution until the situation is true. You then must add an activity to perform when the situation fires.</w:t>
      </w:r>
    </w:p>
    <w:p>
      <w:pPr>
        <w:pStyle w:val="BodyText"/>
        <w:spacing w:line="319" w:lineRule="auto" w:before="93"/>
        <w:ind w:left="2951" w:right="385"/>
      </w:pPr>
      <w:r>
        <w:rPr>
          <w:color w:val="231F20"/>
        </w:rPr>
        <w:t>All policies except those that are uncorrelated must begin with this </w:t>
      </w:r>
      <w:r>
        <w:rPr>
          <w:color w:val="231F20"/>
        </w:rPr>
        <w:t>activity. End code choices for starting the next activity: </w:t>
      </w:r>
      <w:r>
        <w:rPr>
          <w:rFonts w:ascii="Book Antiqua"/>
          <w:i/>
          <w:color w:val="231F20"/>
        </w:rPr>
        <w:t>Situation is true; Error</w:t>
      </w:r>
      <w:r>
        <w:rPr>
          <w:color w:val="231F20"/>
        </w:rPr>
        <w:t>.</w:t>
      </w:r>
    </w:p>
    <w:p>
      <w:pPr>
        <w:pStyle w:val="Heading6"/>
        <w:spacing w:line="235" w:lineRule="exact" w:before="23"/>
        <w:ind w:left="2232"/>
      </w:pPr>
      <w:r>
        <w:rPr>
          <w:b w:val="0"/>
          <w:position w:val="-5"/>
        </w:rPr>
        <w:drawing>
          <wp:inline distT="0" distB="0" distL="0" distR="0">
            <wp:extent cx="120650" cy="120650"/>
            <wp:effectExtent l="0" t="0" r="0" b="0"/>
            <wp:docPr id="2788" name="Image 2788"/>
            <wp:cNvGraphicFramePr>
              <a:graphicFrameLocks/>
            </wp:cNvGraphicFramePr>
            <a:graphic>
              <a:graphicData uri="http://schemas.openxmlformats.org/drawingml/2006/picture">
                <pic:pic>
                  <pic:nvPicPr>
                    <pic:cNvPr id="2788" name="Image 2788"/>
                    <pic:cNvPicPr/>
                  </pic:nvPicPr>
                  <pic:blipFill>
                    <a:blip r:embed="rId433" cstate="print"/>
                    <a:stretch>
                      <a:fillRect/>
                    </a:stretch>
                  </pic:blipFill>
                  <pic:spPr>
                    <a:xfrm>
                      <a:off x="0" y="0"/>
                      <a:ext cx="120650" cy="120650"/>
                    </a:xfrm>
                    <a:prstGeom prst="rect">
                      <a:avLst/>
                    </a:prstGeom>
                  </pic:spPr>
                </pic:pic>
              </a:graphicData>
            </a:graphic>
          </wp:inline>
        </w:drawing>
      </w:r>
      <w:r>
        <w:rPr>
          <w:b w:val="0"/>
          <w:position w:val="-5"/>
        </w:rPr>
      </w:r>
      <w:r>
        <w:rPr>
          <w:rFonts w:ascii="Times New Roman"/>
          <w:b w:val="0"/>
          <w:spacing w:val="80"/>
        </w:rPr>
        <w:t> </w:t>
      </w:r>
      <w:r>
        <w:rPr>
          <w:color w:val="231F20"/>
        </w:rPr>
        <w:t>Evaluate</w:t>
      </w:r>
      <w:r>
        <w:rPr>
          <w:color w:val="231F20"/>
          <w:spacing w:val="29"/>
        </w:rPr>
        <w:t> </w:t>
      </w:r>
      <w:r>
        <w:rPr>
          <w:color w:val="231F20"/>
        </w:rPr>
        <w:t>a</w:t>
      </w:r>
      <w:r>
        <w:rPr>
          <w:color w:val="231F20"/>
          <w:spacing w:val="29"/>
        </w:rPr>
        <w:t> </w:t>
      </w:r>
      <w:r>
        <w:rPr>
          <w:color w:val="231F20"/>
        </w:rPr>
        <w:t>situation</w:t>
      </w:r>
      <w:r>
        <w:rPr>
          <w:color w:val="231F20"/>
          <w:spacing w:val="29"/>
        </w:rPr>
        <w:t> </w:t>
      </w:r>
      <w:r>
        <w:rPr>
          <w:color w:val="231F20"/>
        </w:rPr>
        <w:t>now</w:t>
      </w:r>
    </w:p>
    <w:p>
      <w:pPr>
        <w:pStyle w:val="BodyText"/>
        <w:spacing w:line="213" w:lineRule="auto" w:before="5"/>
        <w:ind w:left="2951" w:right="545"/>
      </w:pPr>
      <w:r>
        <w:rPr>
          <w:color w:val="231F20"/>
        </w:rPr>
        <w:t>Examine</w:t>
      </w:r>
      <w:r>
        <w:rPr>
          <w:color w:val="231F20"/>
          <w:spacing w:val="29"/>
        </w:rPr>
        <w:t> </w:t>
      </w:r>
      <w:r>
        <w:rPr>
          <w:color w:val="231F20"/>
        </w:rPr>
        <w:t>the</w:t>
      </w:r>
      <w:r>
        <w:rPr>
          <w:color w:val="231F20"/>
          <w:spacing w:val="29"/>
        </w:rPr>
        <w:t> </w:t>
      </w:r>
      <w:r>
        <w:rPr>
          <w:color w:val="231F20"/>
        </w:rPr>
        <w:t>status</w:t>
      </w:r>
      <w:r>
        <w:rPr>
          <w:color w:val="231F20"/>
          <w:spacing w:val="29"/>
        </w:rPr>
        <w:t> </w:t>
      </w:r>
      <w:r>
        <w:rPr>
          <w:color w:val="231F20"/>
        </w:rPr>
        <w:t>of</w:t>
      </w:r>
      <w:r>
        <w:rPr>
          <w:color w:val="231F20"/>
          <w:spacing w:val="29"/>
        </w:rPr>
        <w:t> </w:t>
      </w:r>
      <w:r>
        <w:rPr>
          <w:color w:val="231F20"/>
        </w:rPr>
        <w:t>an</w:t>
      </w:r>
      <w:r>
        <w:rPr>
          <w:color w:val="231F20"/>
          <w:spacing w:val="29"/>
        </w:rPr>
        <w:t> </w:t>
      </w:r>
      <w:r>
        <w:rPr>
          <w:color w:val="231F20"/>
        </w:rPr>
        <w:t>existing</w:t>
      </w:r>
      <w:r>
        <w:rPr>
          <w:color w:val="231F20"/>
          <w:spacing w:val="29"/>
        </w:rPr>
        <w:t> </w:t>
      </w:r>
      <w:r>
        <w:rPr>
          <w:color w:val="231F20"/>
        </w:rPr>
        <w:t>situation.</w:t>
      </w:r>
      <w:r>
        <w:rPr>
          <w:color w:val="231F20"/>
          <w:spacing w:val="29"/>
        </w:rPr>
        <w:t> </w:t>
      </w:r>
      <w:r>
        <w:rPr>
          <w:color w:val="231F20"/>
        </w:rPr>
        <w:t>Select</w:t>
      </w:r>
      <w:r>
        <w:rPr>
          <w:color w:val="231F20"/>
          <w:spacing w:val="29"/>
        </w:rPr>
        <w:t> </w:t>
      </w:r>
      <w:r>
        <w:rPr>
          <w:color w:val="231F20"/>
        </w:rPr>
        <w:t>a</w:t>
      </w:r>
      <w:r>
        <w:rPr>
          <w:color w:val="231F20"/>
          <w:spacing w:val="29"/>
        </w:rPr>
        <w:t> </w:t>
      </w:r>
      <w:r>
        <w:rPr>
          <w:color w:val="231F20"/>
        </w:rPr>
        <w:t>situation</w:t>
      </w:r>
      <w:r>
        <w:rPr>
          <w:color w:val="231F20"/>
          <w:spacing w:val="29"/>
        </w:rPr>
        <w:t> </w:t>
      </w:r>
      <w:r>
        <w:rPr>
          <w:color w:val="231F20"/>
        </w:rPr>
        <w:t>from</w:t>
      </w:r>
      <w:r>
        <w:rPr>
          <w:color w:val="231F20"/>
          <w:spacing w:val="29"/>
        </w:rPr>
        <w:t> </w:t>
      </w:r>
      <w:r>
        <w:rPr>
          <w:color w:val="231F20"/>
        </w:rPr>
        <w:t>the scroll box that is displayed after you drop the activity into the Graphic</w:t>
      </w:r>
      <w:r>
        <w:rPr>
          <w:color w:val="231F20"/>
          <w:spacing w:val="80"/>
        </w:rPr>
        <w:t> </w:t>
      </w:r>
      <w:r>
        <w:rPr>
          <w:color w:val="231F20"/>
        </w:rPr>
        <w:t>view. Click </w:t>
      </w:r>
      <w:r>
        <w:rPr>
          <w:rFonts w:ascii="Book Antiqua" w:hAnsi="Book Antiqua"/>
          <w:b/>
          <w:color w:val="231F20"/>
        </w:rPr>
        <w:t>OK </w:t>
      </w:r>
      <w:r>
        <w:rPr>
          <w:color w:val="231F20"/>
        </w:rPr>
        <w:t>to confirm your selection. Note that the evaluation </w:t>
      </w:r>
      <w:r>
        <w:rPr>
          <w:color w:val="231F20"/>
        </w:rPr>
        <w:t>interval is</w:t>
      </w:r>
      <w:r>
        <w:rPr>
          <w:color w:val="231F20"/>
          <w:spacing w:val="28"/>
        </w:rPr>
        <w:t> </w:t>
      </w:r>
      <w:r>
        <w:rPr>
          <w:color w:val="231F20"/>
        </w:rPr>
        <w:t>based</w:t>
      </w:r>
      <w:r>
        <w:rPr>
          <w:color w:val="231F20"/>
          <w:spacing w:val="28"/>
        </w:rPr>
        <w:t> </w:t>
      </w:r>
      <w:r>
        <w:rPr>
          <w:color w:val="231F20"/>
        </w:rPr>
        <w:t>on</w:t>
      </w:r>
      <w:r>
        <w:rPr>
          <w:color w:val="231F20"/>
          <w:spacing w:val="28"/>
        </w:rPr>
        <w:t> </w:t>
      </w:r>
      <w:r>
        <w:rPr>
          <w:color w:val="231F20"/>
        </w:rPr>
        <w:t>the</w:t>
      </w:r>
      <w:r>
        <w:rPr>
          <w:color w:val="231F20"/>
          <w:spacing w:val="28"/>
        </w:rPr>
        <w:t> </w:t>
      </w:r>
      <w:r>
        <w:rPr>
          <w:color w:val="231F20"/>
        </w:rPr>
        <w:t>monitoring</w:t>
      </w:r>
      <w:r>
        <w:rPr>
          <w:color w:val="231F20"/>
          <w:spacing w:val="28"/>
        </w:rPr>
        <w:t> </w:t>
      </w:r>
      <w:r>
        <w:rPr>
          <w:color w:val="231F20"/>
        </w:rPr>
        <w:t>interval</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selected</w:t>
      </w:r>
      <w:r>
        <w:rPr>
          <w:color w:val="231F20"/>
          <w:spacing w:val="28"/>
        </w:rPr>
        <w:t> </w:t>
      </w:r>
      <w:r>
        <w:rPr>
          <w:color w:val="231F20"/>
        </w:rPr>
        <w:t>situation.</w:t>
      </w:r>
      <w:r>
        <w:rPr>
          <w:color w:val="231F20"/>
          <w:spacing w:val="28"/>
        </w:rPr>
        <w:t> </w:t>
      </w:r>
      <w:r>
        <w:rPr>
          <w:color w:val="231F20"/>
        </w:rPr>
        <w:t>There</w:t>
      </w:r>
      <w:r>
        <w:rPr>
          <w:color w:val="231F20"/>
          <w:spacing w:val="28"/>
        </w:rPr>
        <w:t> </w:t>
      </w:r>
      <w:r>
        <w:rPr>
          <w:color w:val="231F20"/>
        </w:rPr>
        <w:t>are some special considerations related to the evaluate situation activity described in </w:t>
      </w:r>
      <w:r>
        <w:rPr>
          <w:rFonts w:ascii="Book Antiqua" w:hAnsi="Book Antiqua"/>
          <w:i/>
          <w:color w:val="231F20"/>
        </w:rPr>
        <w:t>Using IBM</w:t>
      </w:r>
      <w:r>
        <w:rPr>
          <w:rFonts w:ascii="Book Antiqua" w:hAnsi="Book Antiqua"/>
          <w:i/>
          <w:color w:val="231F20"/>
          <w:vertAlign w:val="superscript"/>
        </w:rPr>
        <w:t>®</w:t>
      </w:r>
      <w:r>
        <w:rPr>
          <w:rFonts w:ascii="Book Antiqua" w:hAnsi="Book Antiqua"/>
          <w:i/>
          <w:color w:val="231F20"/>
          <w:vertAlign w:val="baseline"/>
        </w:rPr>
        <w:t> Tivoli</w:t>
      </w:r>
      <w:r>
        <w:rPr>
          <w:rFonts w:ascii="Book Antiqua" w:hAnsi="Book Antiqua"/>
          <w:i/>
          <w:color w:val="231F20"/>
          <w:vertAlign w:val="superscript"/>
        </w:rPr>
        <w:t>®</w:t>
      </w:r>
      <w:r>
        <w:rPr>
          <w:rFonts w:ascii="Book Antiqua" w:hAnsi="Book Antiqua"/>
          <w:i/>
          <w:color w:val="231F20"/>
          <w:vertAlign w:val="baseline"/>
        </w:rPr>
        <w:t> Monitoring</w:t>
      </w:r>
      <w:r>
        <w:rPr>
          <w:color w:val="231F20"/>
          <w:vertAlign w:val="baseline"/>
        </w:rPr>
        <w:t>.</w:t>
      </w:r>
    </w:p>
    <w:p>
      <w:pPr>
        <w:spacing w:line="213" w:lineRule="auto" w:before="116"/>
        <w:ind w:left="2951" w:right="493" w:firstLine="0"/>
        <w:jc w:val="left"/>
        <w:rPr>
          <w:sz w:val="20"/>
        </w:rPr>
      </w:pPr>
      <w:r>
        <w:rPr>
          <w:color w:val="231F20"/>
          <w:sz w:val="20"/>
        </w:rPr>
        <w:t>End code choices for starting the next activity: </w:t>
      </w:r>
      <w:r>
        <w:rPr>
          <w:rFonts w:ascii="Book Antiqua"/>
          <w:i/>
          <w:color w:val="231F20"/>
          <w:sz w:val="20"/>
        </w:rPr>
        <w:t>Situation is true; Situation </w:t>
      </w:r>
      <w:r>
        <w:rPr>
          <w:rFonts w:ascii="Book Antiqua"/>
          <w:i/>
          <w:color w:val="231F20"/>
          <w:sz w:val="20"/>
        </w:rPr>
        <w:t>is</w:t>
      </w:r>
      <w:r>
        <w:rPr>
          <w:rFonts w:ascii="Book Antiqua"/>
          <w:i/>
          <w:color w:val="231F20"/>
          <w:sz w:val="20"/>
        </w:rPr>
        <w:t> false; Error</w:t>
      </w:r>
      <w:r>
        <w:rPr>
          <w:color w:val="231F20"/>
          <w:sz w:val="20"/>
        </w:rPr>
        <w:t>.</w:t>
      </w:r>
    </w:p>
    <w:p>
      <w:pPr>
        <w:pStyle w:val="Heading6"/>
        <w:spacing w:line="235" w:lineRule="exact"/>
        <w:ind w:left="2242"/>
      </w:pPr>
      <w:r>
        <w:rPr>
          <w:b w:val="0"/>
          <w:position w:val="-5"/>
        </w:rPr>
        <w:drawing>
          <wp:inline distT="0" distB="0" distL="0" distR="0">
            <wp:extent cx="152400" cy="127000"/>
            <wp:effectExtent l="0" t="0" r="0" b="0"/>
            <wp:docPr id="2789" name="Image 2789"/>
            <wp:cNvGraphicFramePr>
              <a:graphicFrameLocks/>
            </wp:cNvGraphicFramePr>
            <a:graphic>
              <a:graphicData uri="http://schemas.openxmlformats.org/drawingml/2006/picture">
                <pic:pic>
                  <pic:nvPicPr>
                    <pic:cNvPr id="2789" name="Image 2789"/>
                    <pic:cNvPicPr/>
                  </pic:nvPicPr>
                  <pic:blipFill>
                    <a:blip r:embed="rId272" cstate="print"/>
                    <a:stretch>
                      <a:fillRect/>
                    </a:stretch>
                  </pic:blipFill>
                  <pic:spPr>
                    <a:xfrm>
                      <a:off x="0" y="0"/>
                      <a:ext cx="152400" cy="127000"/>
                    </a:xfrm>
                    <a:prstGeom prst="rect">
                      <a:avLst/>
                    </a:prstGeom>
                  </pic:spPr>
                </pic:pic>
              </a:graphicData>
            </a:graphic>
          </wp:inline>
        </w:drawing>
      </w:r>
      <w:r>
        <w:rPr>
          <w:b w:val="0"/>
          <w:position w:val="-5"/>
        </w:rPr>
      </w:r>
      <w:r>
        <w:rPr>
          <w:rFonts w:ascii="Times New Roman"/>
          <w:b w:val="0"/>
        </w:rPr>
        <w:t> </w:t>
      </w:r>
      <w:r>
        <w:rPr>
          <w:color w:val="231F20"/>
        </w:rPr>
        <w:t>Take</w:t>
      </w:r>
      <w:r>
        <w:rPr>
          <w:color w:val="231F20"/>
          <w:spacing w:val="8"/>
        </w:rPr>
        <w:t> </w:t>
      </w:r>
      <w:r>
        <w:rPr>
          <w:color w:val="231F20"/>
        </w:rPr>
        <w:t>action</w:t>
      </w:r>
      <w:r>
        <w:rPr>
          <w:color w:val="231F20"/>
          <w:spacing w:val="8"/>
        </w:rPr>
        <w:t> </w:t>
      </w:r>
      <w:r>
        <w:rPr>
          <w:color w:val="231F20"/>
        </w:rPr>
        <w:t>or</w:t>
      </w:r>
      <w:r>
        <w:rPr>
          <w:color w:val="231F20"/>
          <w:spacing w:val="8"/>
        </w:rPr>
        <w:t> </w:t>
      </w:r>
      <w:r>
        <w:rPr>
          <w:color w:val="231F20"/>
        </w:rPr>
        <w:t>Write</w:t>
      </w:r>
      <w:r>
        <w:rPr>
          <w:color w:val="231F20"/>
          <w:spacing w:val="8"/>
        </w:rPr>
        <w:t> </w:t>
      </w:r>
      <w:r>
        <w:rPr>
          <w:color w:val="231F20"/>
        </w:rPr>
        <w:t>message</w:t>
      </w:r>
    </w:p>
    <w:p>
      <w:pPr>
        <w:pStyle w:val="BodyText"/>
        <w:spacing w:line="213" w:lineRule="auto" w:before="5"/>
        <w:ind w:left="2951" w:right="545"/>
      </w:pPr>
      <w:r>
        <w:rPr>
          <w:color w:val="231F20"/>
        </w:rPr>
        <w:t>Enables you to issue a system command from a policy or generate a universal message that can be seen in the Universal Message console </w:t>
      </w:r>
      <w:r>
        <w:rPr>
          <w:color w:val="231F20"/>
        </w:rPr>
        <w:t>view.</w:t>
      </w:r>
    </w:p>
    <w:p>
      <w:pPr>
        <w:pStyle w:val="BodyText"/>
        <w:spacing w:line="213" w:lineRule="auto" w:before="119"/>
        <w:ind w:left="2951" w:right="545"/>
      </w:pPr>
      <w:r>
        <w:rPr>
          <w:color w:val="231F20"/>
        </w:rPr>
        <w:t>When issuing a system command, keep in mind that there is a timeout period of 50 seconds. If the command does not complete within that </w:t>
      </w:r>
      <w:r>
        <w:rPr>
          <w:color w:val="231F20"/>
        </w:rPr>
        <w:t>time, an error is issued. As well, the command must be valid on the operating platform on which it will execute.</w:t>
      </w:r>
    </w:p>
    <w:p>
      <w:pPr>
        <w:pStyle w:val="BodyText"/>
        <w:spacing w:line="213" w:lineRule="auto" w:before="117"/>
        <w:ind w:left="2951" w:right="545"/>
      </w:pPr>
      <w:r>
        <w:rPr>
          <w:color w:val="231F20"/>
        </w:rPr>
        <w:t>You can send Simple Object Access Protocol (SOAP) requests. See the </w:t>
      </w:r>
      <w:r>
        <w:rPr>
          <w:rFonts w:ascii="Book Antiqua"/>
          <w:i/>
          <w:color w:val="231F20"/>
        </w:rPr>
        <w:t>IBM</w:t>
      </w:r>
      <w:r>
        <w:rPr>
          <w:rFonts w:ascii="Book Antiqua"/>
          <w:i/>
          <w:color w:val="231F20"/>
        </w:rPr>
        <w:t> Tivoli Monitoring Administrator's Guide </w:t>
      </w:r>
      <w:r>
        <w:rPr>
          <w:color w:val="231F20"/>
        </w:rPr>
        <w:t>for details. If the action command </w:t>
      </w:r>
      <w:r>
        <w:rPr>
          <w:color w:val="231F20"/>
        </w:rPr>
        <w:t>is</w:t>
      </w:r>
      <w:r>
        <w:rPr>
          <w:color w:val="231F20"/>
          <w:spacing w:val="40"/>
        </w:rPr>
        <w:t> </w:t>
      </w:r>
      <w:r>
        <w:rPr>
          <w:color w:val="231F20"/>
        </w:rPr>
        <w:t>a SOAP request, the policy must be distributed to the hub_ hostname managed system (or *HUB managed system group).</w:t>
      </w:r>
    </w:p>
    <w:p>
      <w:pPr>
        <w:spacing w:before="94"/>
        <w:ind w:left="2951" w:right="0" w:firstLine="0"/>
        <w:jc w:val="left"/>
        <w:rPr>
          <w:sz w:val="20"/>
        </w:rPr>
      </w:pPr>
      <w:r>
        <w:rPr>
          <w:color w:val="231F20"/>
          <w:sz w:val="20"/>
        </w:rPr>
        <w:t>End</w:t>
      </w:r>
      <w:r>
        <w:rPr>
          <w:color w:val="231F20"/>
          <w:spacing w:val="10"/>
          <w:sz w:val="20"/>
        </w:rPr>
        <w:t> </w:t>
      </w:r>
      <w:r>
        <w:rPr>
          <w:color w:val="231F20"/>
          <w:sz w:val="20"/>
        </w:rPr>
        <w:t>code</w:t>
      </w:r>
      <w:r>
        <w:rPr>
          <w:color w:val="231F20"/>
          <w:spacing w:val="11"/>
          <w:sz w:val="20"/>
        </w:rPr>
        <w:t> </w:t>
      </w:r>
      <w:r>
        <w:rPr>
          <w:color w:val="231F20"/>
          <w:sz w:val="20"/>
        </w:rPr>
        <w:t>choices</w:t>
      </w:r>
      <w:r>
        <w:rPr>
          <w:color w:val="231F20"/>
          <w:spacing w:val="11"/>
          <w:sz w:val="20"/>
        </w:rPr>
        <w:t> </w:t>
      </w:r>
      <w:r>
        <w:rPr>
          <w:color w:val="231F20"/>
          <w:sz w:val="20"/>
        </w:rPr>
        <w:t>for</w:t>
      </w:r>
      <w:r>
        <w:rPr>
          <w:color w:val="231F20"/>
          <w:spacing w:val="11"/>
          <w:sz w:val="20"/>
        </w:rPr>
        <w:t> </w:t>
      </w:r>
      <w:r>
        <w:rPr>
          <w:color w:val="231F20"/>
          <w:sz w:val="20"/>
        </w:rPr>
        <w:t>starting</w:t>
      </w:r>
      <w:r>
        <w:rPr>
          <w:color w:val="231F20"/>
          <w:spacing w:val="11"/>
          <w:sz w:val="20"/>
        </w:rPr>
        <w:t> </w:t>
      </w:r>
      <w:r>
        <w:rPr>
          <w:color w:val="231F20"/>
          <w:sz w:val="20"/>
        </w:rPr>
        <w:t>the</w:t>
      </w:r>
      <w:r>
        <w:rPr>
          <w:color w:val="231F20"/>
          <w:spacing w:val="11"/>
          <w:sz w:val="20"/>
        </w:rPr>
        <w:t> </w:t>
      </w:r>
      <w:r>
        <w:rPr>
          <w:color w:val="231F20"/>
          <w:sz w:val="20"/>
        </w:rPr>
        <w:t>next</w:t>
      </w:r>
      <w:r>
        <w:rPr>
          <w:color w:val="231F20"/>
          <w:spacing w:val="10"/>
          <w:sz w:val="20"/>
        </w:rPr>
        <w:t> </w:t>
      </w:r>
      <w:r>
        <w:rPr>
          <w:color w:val="231F20"/>
          <w:sz w:val="20"/>
        </w:rPr>
        <w:t>activity:</w:t>
      </w:r>
      <w:r>
        <w:rPr>
          <w:color w:val="231F20"/>
          <w:spacing w:val="11"/>
          <w:sz w:val="20"/>
        </w:rPr>
        <w:t> </w:t>
      </w:r>
      <w:r>
        <w:rPr>
          <w:rFonts w:ascii="Book Antiqua"/>
          <w:i/>
          <w:color w:val="231F20"/>
          <w:sz w:val="20"/>
        </w:rPr>
        <w:t>Error;</w:t>
      </w:r>
      <w:r>
        <w:rPr>
          <w:rFonts w:ascii="Book Antiqua"/>
          <w:i/>
          <w:color w:val="231F20"/>
          <w:spacing w:val="11"/>
          <w:sz w:val="20"/>
        </w:rPr>
        <w:t> </w:t>
      </w:r>
      <w:r>
        <w:rPr>
          <w:rFonts w:ascii="Book Antiqua"/>
          <w:i/>
          <w:color w:val="231F20"/>
          <w:sz w:val="20"/>
        </w:rPr>
        <w:t>Action</w:t>
      </w:r>
      <w:r>
        <w:rPr>
          <w:rFonts w:ascii="Book Antiqua"/>
          <w:i/>
          <w:color w:val="231F20"/>
          <w:spacing w:val="11"/>
          <w:sz w:val="20"/>
        </w:rPr>
        <w:t> </w:t>
      </w:r>
      <w:r>
        <w:rPr>
          <w:rFonts w:ascii="Book Antiqua"/>
          <w:i/>
          <w:color w:val="231F20"/>
          <w:spacing w:val="-2"/>
          <w:sz w:val="20"/>
        </w:rPr>
        <w:t>succeeded</w:t>
      </w:r>
      <w:r>
        <w:rPr>
          <w:color w:val="231F20"/>
          <w:spacing w:val="-2"/>
          <w:sz w:val="20"/>
        </w:rPr>
        <w:t>.</w:t>
      </w:r>
    </w:p>
    <w:p>
      <w:pPr>
        <w:pStyle w:val="Heading6"/>
        <w:spacing w:line="246" w:lineRule="exact" w:before="111"/>
        <w:ind w:left="2232"/>
      </w:pPr>
      <w:r>
        <w:rPr>
          <w:b w:val="0"/>
          <w:position w:val="-5"/>
        </w:rPr>
        <w:drawing>
          <wp:inline distT="0" distB="0" distL="0" distR="0">
            <wp:extent cx="95250" cy="120650"/>
            <wp:effectExtent l="0" t="0" r="0" b="0"/>
            <wp:docPr id="2790" name="Image 2790"/>
            <wp:cNvGraphicFramePr>
              <a:graphicFrameLocks/>
            </wp:cNvGraphicFramePr>
            <a:graphic>
              <a:graphicData uri="http://schemas.openxmlformats.org/drawingml/2006/picture">
                <pic:pic>
                  <pic:nvPicPr>
                    <pic:cNvPr id="2790" name="Image 2790"/>
                    <pic:cNvPicPr/>
                  </pic:nvPicPr>
                  <pic:blipFill>
                    <a:blip r:embed="rId434" cstate="print"/>
                    <a:stretch>
                      <a:fillRect/>
                    </a:stretch>
                  </pic:blipFill>
                  <pic:spPr>
                    <a:xfrm>
                      <a:off x="0" y="0"/>
                      <a:ext cx="95250" cy="120650"/>
                    </a:xfrm>
                    <a:prstGeom prst="rect">
                      <a:avLst/>
                    </a:prstGeom>
                  </pic:spPr>
                </pic:pic>
              </a:graphicData>
            </a:graphic>
          </wp:inline>
        </w:drawing>
      </w:r>
      <w:r>
        <w:rPr>
          <w:b w:val="0"/>
          <w:position w:val="-5"/>
        </w:rPr>
      </w:r>
      <w:r>
        <w:rPr>
          <w:rFonts w:ascii="Times New Roman"/>
          <w:b w:val="0"/>
          <w:spacing w:val="80"/>
        </w:rPr>
        <w:t> </w:t>
      </w:r>
      <w:r>
        <w:rPr>
          <w:color w:val="231F20"/>
        </w:rPr>
        <w:t>Make</w:t>
      </w:r>
      <w:r>
        <w:rPr>
          <w:color w:val="231F20"/>
          <w:spacing w:val="36"/>
        </w:rPr>
        <w:t> </w:t>
      </w:r>
      <w:r>
        <w:rPr>
          <w:color w:val="231F20"/>
        </w:rPr>
        <w:t>a</w:t>
      </w:r>
      <w:r>
        <w:rPr>
          <w:color w:val="231F20"/>
          <w:spacing w:val="36"/>
        </w:rPr>
        <w:t> </w:t>
      </w:r>
      <w:r>
        <w:rPr>
          <w:color w:val="231F20"/>
        </w:rPr>
        <w:t>choice</w:t>
      </w:r>
    </w:p>
    <w:p>
      <w:pPr>
        <w:spacing w:line="234" w:lineRule="exact" w:before="0"/>
        <w:ind w:left="2951" w:right="0" w:firstLine="0"/>
        <w:jc w:val="left"/>
        <w:rPr>
          <w:rFonts w:ascii="Book Antiqua"/>
          <w:b/>
          <w:sz w:val="20"/>
        </w:rPr>
      </w:pPr>
      <w:r>
        <w:rPr>
          <w:rFonts w:ascii="Book Antiqua"/>
          <w:b/>
          <w:color w:val="231F20"/>
          <w:sz w:val="20"/>
        </w:rPr>
        <w:t>Not</w:t>
      </w:r>
      <w:r>
        <w:rPr>
          <w:rFonts w:ascii="Book Antiqua"/>
          <w:b/>
          <w:color w:val="231F20"/>
          <w:spacing w:val="12"/>
          <w:sz w:val="20"/>
        </w:rPr>
        <w:t> </w:t>
      </w:r>
      <w:r>
        <w:rPr>
          <w:rFonts w:ascii="Book Antiqua"/>
          <w:b/>
          <w:color w:val="231F20"/>
          <w:spacing w:val="-2"/>
          <w:sz w:val="20"/>
        </w:rPr>
        <w:t>editable</w:t>
      </w:r>
    </w:p>
    <w:p>
      <w:pPr>
        <w:pStyle w:val="BodyText"/>
        <w:spacing w:line="213" w:lineRule="auto" w:before="119"/>
        <w:ind w:left="2951" w:right="545"/>
      </w:pPr>
      <w:r>
        <w:rPr>
          <w:color w:val="231F20"/>
        </w:rPr>
        <w:t>This option is displayed when any of the policies in the list was created </w:t>
      </w:r>
      <w:r>
        <w:rPr>
          <w:color w:val="231F20"/>
        </w:rPr>
        <w:t>in the Candle</w:t>
      </w:r>
      <w:r>
        <w:rPr>
          <w:color w:val="231F20"/>
          <w:vertAlign w:val="superscript"/>
        </w:rPr>
        <w:t>®</w:t>
      </w:r>
      <w:r>
        <w:rPr>
          <w:color w:val="231F20"/>
          <w:vertAlign w:val="baseline"/>
        </w:rPr>
        <w:t> Management Workstation (predecessor user interface to the Tivoli Enterprise</w:t>
      </w:r>
      <w:r>
        <w:rPr>
          <w:color w:val="231F20"/>
          <w:vertAlign w:val="superscript"/>
        </w:rPr>
        <w:t>™</w:t>
      </w:r>
      <w:r>
        <w:rPr>
          <w:color w:val="231F20"/>
          <w:vertAlign w:val="baseline"/>
        </w:rPr>
        <w:t> Portal) and includes a Make a choice activity. However,</w:t>
      </w:r>
      <w:r>
        <w:rPr>
          <w:color w:val="231F20"/>
          <w:spacing w:val="40"/>
          <w:vertAlign w:val="baseline"/>
        </w:rPr>
        <w:t> </w:t>
      </w:r>
      <w:r>
        <w:rPr>
          <w:color w:val="231F20"/>
          <w:vertAlign w:val="baseline"/>
        </w:rPr>
        <w:t>it is not available for adding to policies.</w:t>
      </w:r>
    </w:p>
    <w:p>
      <w:pPr>
        <w:pStyle w:val="Heading6"/>
        <w:spacing w:before="116"/>
        <w:ind w:left="2242"/>
      </w:pPr>
      <w:r>
        <w:rPr>
          <w:b w:val="0"/>
          <w:position w:val="-3"/>
        </w:rPr>
        <w:drawing>
          <wp:inline distT="0" distB="0" distL="0" distR="0">
            <wp:extent cx="158750" cy="107950"/>
            <wp:effectExtent l="0" t="0" r="0" b="0"/>
            <wp:docPr id="2791" name="Image 2791"/>
            <wp:cNvGraphicFramePr>
              <a:graphicFrameLocks/>
            </wp:cNvGraphicFramePr>
            <a:graphic>
              <a:graphicData uri="http://schemas.openxmlformats.org/drawingml/2006/picture">
                <pic:pic>
                  <pic:nvPicPr>
                    <pic:cNvPr id="2791" name="Image 2791"/>
                    <pic:cNvPicPr/>
                  </pic:nvPicPr>
                  <pic:blipFill>
                    <a:blip r:embed="rId435" cstate="print"/>
                    <a:stretch>
                      <a:fillRect/>
                    </a:stretch>
                  </pic:blipFill>
                  <pic:spPr>
                    <a:xfrm>
                      <a:off x="0" y="0"/>
                      <a:ext cx="158750" cy="107950"/>
                    </a:xfrm>
                    <a:prstGeom prst="rect">
                      <a:avLst/>
                    </a:prstGeom>
                  </pic:spPr>
                </pic:pic>
              </a:graphicData>
            </a:graphic>
          </wp:inline>
        </w:drawing>
      </w:r>
      <w:r>
        <w:rPr>
          <w:b w:val="0"/>
          <w:position w:val="-3"/>
        </w:rPr>
      </w:r>
      <w:r>
        <w:rPr>
          <w:rFonts w:ascii="Times New Roman"/>
          <w:b w:val="0"/>
          <w:spacing w:val="40"/>
        </w:rPr>
        <w:t> </w:t>
      </w:r>
      <w:r>
        <w:rPr>
          <w:color w:val="231F20"/>
        </w:rPr>
        <w:t>Suspend execution</w:t>
      </w:r>
    </w:p>
    <w:p>
      <w:pPr>
        <w:pStyle w:val="BodyText"/>
        <w:spacing w:line="213" w:lineRule="auto" w:before="11"/>
        <w:ind w:left="2951" w:right="603"/>
      </w:pPr>
      <w:r>
        <w:rPr>
          <w:color w:val="231F20"/>
        </w:rPr>
        <w:t>Specifies a unit of time, expressed in seconds, that you want a policy to</w:t>
      </w:r>
      <w:r>
        <w:rPr>
          <w:color w:val="231F20"/>
          <w:spacing w:val="80"/>
        </w:rPr>
        <w:t> </w:t>
      </w:r>
      <w:r>
        <w:rPr>
          <w:color w:val="231F20"/>
        </w:rPr>
        <w:t>wait prior to running. This is a useful feature if, for example, you issued </w:t>
      </w:r>
      <w:r>
        <w:rPr>
          <w:color w:val="231F20"/>
        </w:rPr>
        <w:t>a command, and you want to give the system administrator time to resolve the problem prior to continuing to run the policy.</w:t>
      </w:r>
    </w:p>
    <w:p>
      <w:pPr>
        <w:pStyle w:val="Heading6"/>
        <w:spacing w:before="116"/>
        <w:ind w:left="2232"/>
      </w:pPr>
      <w:r>
        <w:rPr>
          <w:b w:val="0"/>
          <w:position w:val="-3"/>
        </w:rPr>
        <w:drawing>
          <wp:inline distT="0" distB="0" distL="0" distR="0">
            <wp:extent cx="114300" cy="114300"/>
            <wp:effectExtent l="0" t="0" r="0" b="0"/>
            <wp:docPr id="2792" name="Image 2792"/>
            <wp:cNvGraphicFramePr>
              <a:graphicFrameLocks/>
            </wp:cNvGraphicFramePr>
            <a:graphic>
              <a:graphicData uri="http://schemas.openxmlformats.org/drawingml/2006/picture">
                <pic:pic>
                  <pic:nvPicPr>
                    <pic:cNvPr id="2792" name="Image 2792"/>
                    <pic:cNvPicPr/>
                  </pic:nvPicPr>
                  <pic:blipFill>
                    <a:blip r:embed="rId436" cstate="print"/>
                    <a:stretch>
                      <a:fillRect/>
                    </a:stretch>
                  </pic:blipFill>
                  <pic:spPr>
                    <a:xfrm>
                      <a:off x="0" y="0"/>
                      <a:ext cx="114300" cy="114300"/>
                    </a:xfrm>
                    <a:prstGeom prst="rect">
                      <a:avLst/>
                    </a:prstGeom>
                  </pic:spPr>
                </pic:pic>
              </a:graphicData>
            </a:graphic>
          </wp:inline>
        </w:drawing>
      </w:r>
      <w:r>
        <w:rPr>
          <w:b w:val="0"/>
          <w:position w:val="-3"/>
        </w:rPr>
      </w:r>
      <w:r>
        <w:rPr>
          <w:rFonts w:ascii="Times New Roman"/>
          <w:b w:val="0"/>
          <w:spacing w:val="80"/>
        </w:rPr>
        <w:t> </w:t>
      </w:r>
      <w:r>
        <w:rPr>
          <w:color w:val="231F20"/>
        </w:rPr>
        <w:t>Start/Stop</w:t>
      </w:r>
      <w:r>
        <w:rPr>
          <w:color w:val="231F20"/>
          <w:spacing w:val="33"/>
        </w:rPr>
        <w:t> </w:t>
      </w:r>
      <w:r>
        <w:rPr>
          <w:color w:val="231F20"/>
        </w:rPr>
        <w:t>a</w:t>
      </w:r>
      <w:r>
        <w:rPr>
          <w:color w:val="231F20"/>
          <w:spacing w:val="33"/>
        </w:rPr>
        <w:t> </w:t>
      </w:r>
      <w:r>
        <w:rPr>
          <w:color w:val="231F20"/>
        </w:rPr>
        <w:t>policy</w:t>
      </w:r>
    </w:p>
    <w:p>
      <w:pPr>
        <w:pStyle w:val="BodyText"/>
        <w:spacing w:line="213" w:lineRule="auto" w:before="12"/>
        <w:ind w:left="2951" w:right="545"/>
      </w:pPr>
      <w:r>
        <w:rPr>
          <w:color w:val="231F20"/>
        </w:rPr>
        <w:t>Use this activity in a policy to stop another policy from running while </w:t>
      </w:r>
      <w:r>
        <w:rPr>
          <w:color w:val="231F20"/>
        </w:rPr>
        <w:t>the current policy is executing. You can also use to start another policy while the current policy is executing.</w:t>
      </w:r>
    </w:p>
    <w:p>
      <w:pPr>
        <w:spacing w:before="94"/>
        <w:ind w:left="2951" w:right="0" w:firstLine="0"/>
        <w:jc w:val="left"/>
        <w:rPr>
          <w:sz w:val="20"/>
        </w:rPr>
      </w:pPr>
      <w:r>
        <w:rPr>
          <w:color w:val="231F20"/>
          <w:sz w:val="20"/>
        </w:rPr>
        <w:t>End</w:t>
      </w:r>
      <w:r>
        <w:rPr>
          <w:color w:val="231F20"/>
          <w:spacing w:val="11"/>
          <w:sz w:val="20"/>
        </w:rPr>
        <w:t> </w:t>
      </w:r>
      <w:r>
        <w:rPr>
          <w:color w:val="231F20"/>
          <w:sz w:val="20"/>
        </w:rPr>
        <w:t>code</w:t>
      </w:r>
      <w:r>
        <w:rPr>
          <w:color w:val="231F20"/>
          <w:spacing w:val="11"/>
          <w:sz w:val="20"/>
        </w:rPr>
        <w:t> </w:t>
      </w:r>
      <w:r>
        <w:rPr>
          <w:color w:val="231F20"/>
          <w:sz w:val="20"/>
        </w:rPr>
        <w:t>choices</w:t>
      </w:r>
      <w:r>
        <w:rPr>
          <w:color w:val="231F20"/>
          <w:spacing w:val="11"/>
          <w:sz w:val="20"/>
        </w:rPr>
        <w:t> </w:t>
      </w:r>
      <w:r>
        <w:rPr>
          <w:color w:val="231F20"/>
          <w:sz w:val="20"/>
        </w:rPr>
        <w:t>for</w:t>
      </w:r>
      <w:r>
        <w:rPr>
          <w:color w:val="231F20"/>
          <w:spacing w:val="11"/>
          <w:sz w:val="20"/>
        </w:rPr>
        <w:t> </w:t>
      </w:r>
      <w:r>
        <w:rPr>
          <w:color w:val="231F20"/>
          <w:sz w:val="20"/>
        </w:rPr>
        <w:t>starting</w:t>
      </w:r>
      <w:r>
        <w:rPr>
          <w:color w:val="231F20"/>
          <w:spacing w:val="11"/>
          <w:sz w:val="20"/>
        </w:rPr>
        <w:t> </w:t>
      </w:r>
      <w:r>
        <w:rPr>
          <w:color w:val="231F20"/>
          <w:sz w:val="20"/>
        </w:rPr>
        <w:t>the</w:t>
      </w:r>
      <w:r>
        <w:rPr>
          <w:color w:val="231F20"/>
          <w:spacing w:val="12"/>
          <w:sz w:val="20"/>
        </w:rPr>
        <w:t> </w:t>
      </w:r>
      <w:r>
        <w:rPr>
          <w:color w:val="231F20"/>
          <w:sz w:val="20"/>
        </w:rPr>
        <w:t>next</w:t>
      </w:r>
      <w:r>
        <w:rPr>
          <w:color w:val="231F20"/>
          <w:spacing w:val="11"/>
          <w:sz w:val="20"/>
        </w:rPr>
        <w:t> </w:t>
      </w:r>
      <w:r>
        <w:rPr>
          <w:color w:val="231F20"/>
          <w:sz w:val="20"/>
        </w:rPr>
        <w:t>activity:</w:t>
      </w:r>
      <w:r>
        <w:rPr>
          <w:color w:val="231F20"/>
          <w:spacing w:val="11"/>
          <w:sz w:val="20"/>
        </w:rPr>
        <w:t> </w:t>
      </w:r>
      <w:r>
        <w:rPr>
          <w:rFonts w:ascii="Book Antiqua"/>
          <w:i/>
          <w:color w:val="231F20"/>
          <w:sz w:val="20"/>
        </w:rPr>
        <w:t>Policy</w:t>
      </w:r>
      <w:r>
        <w:rPr>
          <w:rFonts w:ascii="Book Antiqua"/>
          <w:i/>
          <w:color w:val="231F20"/>
          <w:spacing w:val="11"/>
          <w:sz w:val="20"/>
        </w:rPr>
        <w:t> </w:t>
      </w:r>
      <w:r>
        <w:rPr>
          <w:rFonts w:ascii="Book Antiqua"/>
          <w:i/>
          <w:color w:val="231F20"/>
          <w:sz w:val="20"/>
        </w:rPr>
        <w:t>started;</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spacing w:after="0"/>
        <w:jc w:val="left"/>
        <w:rPr>
          <w:sz w:val="20"/>
        </w:rPr>
        <w:sectPr>
          <w:pgSz w:w="12240" w:h="15840"/>
          <w:pgMar w:header="0" w:footer="736" w:top="1160" w:bottom="920" w:left="1000" w:right="1060"/>
        </w:sectPr>
      </w:pPr>
    </w:p>
    <w:p>
      <w:pPr>
        <w:pStyle w:val="Heading6"/>
        <w:spacing w:before="83"/>
      </w:pPr>
      <w:r>
        <w:rPr>
          <w:b w:val="0"/>
          <w:position w:val="-3"/>
        </w:rPr>
        <w:drawing>
          <wp:inline distT="0" distB="0" distL="0" distR="0">
            <wp:extent cx="114300" cy="114300"/>
            <wp:effectExtent l="0" t="0" r="0" b="0"/>
            <wp:docPr id="2793" name="Image 2793"/>
            <wp:cNvGraphicFramePr>
              <a:graphicFrameLocks/>
            </wp:cNvGraphicFramePr>
            <a:graphic>
              <a:graphicData uri="http://schemas.openxmlformats.org/drawingml/2006/picture">
                <pic:pic>
                  <pic:nvPicPr>
                    <pic:cNvPr id="2793" name="Image 2793"/>
                    <pic:cNvPicPr/>
                  </pic:nvPicPr>
                  <pic:blipFill>
                    <a:blip r:embed="rId437" cstate="print"/>
                    <a:stretch>
                      <a:fillRect/>
                    </a:stretch>
                  </pic:blipFill>
                  <pic:spPr>
                    <a:xfrm>
                      <a:off x="0" y="0"/>
                      <a:ext cx="114300" cy="114300"/>
                    </a:xfrm>
                    <a:prstGeom prst="rect">
                      <a:avLst/>
                    </a:prstGeom>
                  </pic:spPr>
                </pic:pic>
              </a:graphicData>
            </a:graphic>
          </wp:inline>
        </w:drawing>
      </w:r>
      <w:r>
        <w:rPr>
          <w:b w:val="0"/>
          <w:position w:val="-3"/>
        </w:rPr>
      </w:r>
      <w:r>
        <w:rPr>
          <w:rFonts w:ascii="Times New Roman"/>
          <w:b w:val="0"/>
          <w:spacing w:val="80"/>
        </w:rPr>
        <w:t> </w:t>
      </w:r>
      <w:r>
        <w:rPr>
          <w:color w:val="231F20"/>
        </w:rPr>
        <w:t>Start/Stop</w:t>
      </w:r>
      <w:r>
        <w:rPr>
          <w:color w:val="231F20"/>
          <w:spacing w:val="33"/>
        </w:rPr>
        <w:t> </w:t>
      </w:r>
      <w:r>
        <w:rPr>
          <w:color w:val="231F20"/>
        </w:rPr>
        <w:t>a</w:t>
      </w:r>
      <w:r>
        <w:rPr>
          <w:color w:val="231F20"/>
          <w:spacing w:val="33"/>
        </w:rPr>
        <w:t> </w:t>
      </w:r>
      <w:r>
        <w:rPr>
          <w:color w:val="231F20"/>
        </w:rPr>
        <w:t>situation</w:t>
      </w:r>
    </w:p>
    <w:p>
      <w:pPr>
        <w:pStyle w:val="BodyText"/>
        <w:spacing w:line="213" w:lineRule="auto" w:before="12"/>
        <w:ind w:left="3190" w:right="352"/>
        <w:jc w:val="both"/>
      </w:pPr>
      <w:r>
        <w:rPr>
          <w:color w:val="231F20"/>
        </w:rPr>
        <w:t>Stops a situation from running while the current policy is executing. You can also use this option to start another situation while the current </w:t>
      </w:r>
      <w:r>
        <w:rPr>
          <w:color w:val="231F20"/>
        </w:rPr>
        <w:t>policy</w:t>
      </w:r>
      <w:r>
        <w:rPr>
          <w:color w:val="231F20"/>
          <w:spacing w:val="40"/>
        </w:rPr>
        <w:t> </w:t>
      </w:r>
      <w:r>
        <w:rPr>
          <w:color w:val="231F20"/>
        </w:rPr>
        <w:t>is executing.</w:t>
      </w:r>
    </w:p>
    <w:p>
      <w:pPr>
        <w:spacing w:before="94"/>
        <w:ind w:left="3190" w:right="0" w:firstLine="0"/>
        <w:jc w:val="both"/>
        <w:rPr>
          <w:sz w:val="20"/>
        </w:rPr>
      </w:pPr>
      <w:r>
        <w:rPr>
          <w:color w:val="231F20"/>
          <w:sz w:val="20"/>
        </w:rPr>
        <w:t>End</w:t>
      </w:r>
      <w:r>
        <w:rPr>
          <w:color w:val="231F20"/>
          <w:spacing w:val="10"/>
          <w:sz w:val="20"/>
        </w:rPr>
        <w:t> </w:t>
      </w:r>
      <w:r>
        <w:rPr>
          <w:color w:val="231F20"/>
          <w:sz w:val="20"/>
        </w:rPr>
        <w:t>code</w:t>
      </w:r>
      <w:r>
        <w:rPr>
          <w:color w:val="231F20"/>
          <w:spacing w:val="11"/>
          <w:sz w:val="20"/>
        </w:rPr>
        <w:t> </w:t>
      </w:r>
      <w:r>
        <w:rPr>
          <w:color w:val="231F20"/>
          <w:sz w:val="20"/>
        </w:rPr>
        <w:t>choices</w:t>
      </w:r>
      <w:r>
        <w:rPr>
          <w:color w:val="231F20"/>
          <w:spacing w:val="11"/>
          <w:sz w:val="20"/>
        </w:rPr>
        <w:t> </w:t>
      </w:r>
      <w:r>
        <w:rPr>
          <w:color w:val="231F20"/>
          <w:sz w:val="20"/>
        </w:rPr>
        <w:t>for</w:t>
      </w:r>
      <w:r>
        <w:rPr>
          <w:color w:val="231F20"/>
          <w:spacing w:val="11"/>
          <w:sz w:val="20"/>
        </w:rPr>
        <w:t> </w:t>
      </w:r>
      <w:r>
        <w:rPr>
          <w:color w:val="231F20"/>
          <w:sz w:val="20"/>
        </w:rPr>
        <w:t>starting</w:t>
      </w:r>
      <w:r>
        <w:rPr>
          <w:color w:val="231F20"/>
          <w:spacing w:val="11"/>
          <w:sz w:val="20"/>
        </w:rPr>
        <w:t> </w:t>
      </w:r>
      <w:r>
        <w:rPr>
          <w:color w:val="231F20"/>
          <w:sz w:val="20"/>
        </w:rPr>
        <w:t>the</w:t>
      </w:r>
      <w:r>
        <w:rPr>
          <w:color w:val="231F20"/>
          <w:spacing w:val="11"/>
          <w:sz w:val="20"/>
        </w:rPr>
        <w:t> </w:t>
      </w:r>
      <w:r>
        <w:rPr>
          <w:color w:val="231F20"/>
          <w:sz w:val="20"/>
        </w:rPr>
        <w:t>next</w:t>
      </w:r>
      <w:r>
        <w:rPr>
          <w:color w:val="231F20"/>
          <w:spacing w:val="11"/>
          <w:sz w:val="20"/>
        </w:rPr>
        <w:t> </w:t>
      </w:r>
      <w:r>
        <w:rPr>
          <w:color w:val="231F20"/>
          <w:sz w:val="20"/>
        </w:rPr>
        <w:t>activity:</w:t>
      </w:r>
      <w:r>
        <w:rPr>
          <w:color w:val="231F20"/>
          <w:spacing w:val="11"/>
          <w:sz w:val="20"/>
        </w:rPr>
        <w:t> </w:t>
      </w:r>
      <w:r>
        <w:rPr>
          <w:rFonts w:ascii="Book Antiqua"/>
          <w:i/>
          <w:color w:val="231F20"/>
          <w:sz w:val="20"/>
        </w:rPr>
        <w:t>Situation</w:t>
      </w:r>
      <w:r>
        <w:rPr>
          <w:rFonts w:ascii="Book Antiqua"/>
          <w:i/>
          <w:color w:val="231F20"/>
          <w:spacing w:val="11"/>
          <w:sz w:val="20"/>
        </w:rPr>
        <w:t> </w:t>
      </w:r>
      <w:r>
        <w:rPr>
          <w:rFonts w:ascii="Book Antiqua"/>
          <w:i/>
          <w:color w:val="231F20"/>
          <w:sz w:val="20"/>
        </w:rPr>
        <w:t>started;</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pStyle w:val="Heading6"/>
        <w:spacing w:before="112"/>
      </w:pPr>
      <w:r>
        <w:rPr>
          <w:b w:val="0"/>
          <w:position w:val="1"/>
        </w:rPr>
        <w:drawing>
          <wp:inline distT="0" distB="0" distL="0" distR="0">
            <wp:extent cx="311150" cy="63500"/>
            <wp:effectExtent l="0" t="0" r="0" b="0"/>
            <wp:docPr id="2794" name="Image 2794"/>
            <wp:cNvGraphicFramePr>
              <a:graphicFrameLocks/>
            </wp:cNvGraphicFramePr>
            <a:graphic>
              <a:graphicData uri="http://schemas.openxmlformats.org/drawingml/2006/picture">
                <pic:pic>
                  <pic:nvPicPr>
                    <pic:cNvPr id="2794" name="Image 2794"/>
                    <pic:cNvPicPr/>
                  </pic:nvPicPr>
                  <pic:blipFill>
                    <a:blip r:embed="rId418" cstate="print"/>
                    <a:stretch>
                      <a:fillRect/>
                    </a:stretch>
                  </pic:blipFill>
                  <pic:spPr>
                    <a:xfrm>
                      <a:off x="0" y="0"/>
                      <a:ext cx="311150" cy="63500"/>
                    </a:xfrm>
                    <a:prstGeom prst="rect">
                      <a:avLst/>
                    </a:prstGeom>
                  </pic:spPr>
                </pic:pic>
              </a:graphicData>
            </a:graphic>
          </wp:inline>
        </w:drawing>
      </w:r>
      <w:r>
        <w:rPr>
          <w:b w:val="0"/>
          <w:position w:val="1"/>
        </w:rPr>
      </w:r>
      <w:r>
        <w:rPr>
          <w:rFonts w:ascii="Times New Roman"/>
          <w:b w:val="0"/>
          <w:spacing w:val="40"/>
        </w:rPr>
        <w:t> </w:t>
      </w:r>
      <w:r>
        <w:rPr>
          <w:color w:val="231F20"/>
        </w:rPr>
        <w:t>Connector</w:t>
      </w:r>
    </w:p>
    <w:p>
      <w:pPr>
        <w:pStyle w:val="BodyText"/>
        <w:spacing w:line="213" w:lineRule="auto" w:before="11"/>
        <w:ind w:left="3190" w:right="545"/>
      </w:pPr>
      <w:r>
        <w:rPr>
          <w:color w:val="231F20"/>
        </w:rPr>
        <w:t>Adds connecting lines from one activity to the next to control </w:t>
      </w:r>
      <w:r>
        <w:rPr>
          <w:color w:val="231F20"/>
        </w:rPr>
        <w:t>the workflow of the policy.</w:t>
      </w:r>
    </w:p>
    <w:p>
      <w:pPr>
        <w:pStyle w:val="BodyText"/>
        <w:spacing w:line="213" w:lineRule="auto" w:before="118"/>
        <w:ind w:left="3190" w:right="313"/>
      </w:pPr>
      <w:r>
        <w:rPr>
          <w:color w:val="231F20"/>
        </w:rPr>
        <w:t>You can have a single connector from an activity, and you can have multiple connectors from an activity so long as each connector links to a separate activity. Multiple connectors from an activity are processed </w:t>
      </w:r>
      <w:r>
        <w:rPr>
          <w:color w:val="231F20"/>
        </w:rPr>
        <w:t>using AND logic.</w:t>
      </w:r>
    </w:p>
    <w:p>
      <w:pPr>
        <w:pStyle w:val="BodyText"/>
        <w:spacing w:line="213" w:lineRule="auto" w:before="117"/>
        <w:ind w:left="3190" w:right="292"/>
      </w:pPr>
      <w:r>
        <w:rPr>
          <w:color w:val="231F20"/>
        </w:rPr>
        <w:t>When you join activities using the Connector tool, you assign an end code</w:t>
      </w:r>
      <w:r>
        <w:rPr>
          <w:color w:val="231F20"/>
          <w:spacing w:val="80"/>
          <w:w w:val="150"/>
        </w:rPr>
        <w:t> </w:t>
      </w:r>
      <w:r>
        <w:rPr>
          <w:color w:val="231F20"/>
        </w:rPr>
        <w:t>to each connection. As you click and drag from one activity to the next </w:t>
      </w:r>
      <w:r>
        <w:rPr>
          <w:color w:val="231F20"/>
        </w:rPr>
        <w:t>one</w:t>
      </w:r>
      <w:r>
        <w:rPr>
          <w:color w:val="231F20"/>
          <w:spacing w:val="40"/>
        </w:rPr>
        <w:t> </w:t>
      </w:r>
      <w:r>
        <w:rPr>
          <w:color w:val="231F20"/>
        </w:rPr>
        <w:t>in succession, a window opens from which you select a link condition. The possible conditions (end codes) resulting from the source activity that will invoke the target activity are listed in the window. For example, if you are connecting a </w:t>
      </w:r>
      <w:r>
        <w:rPr>
          <w:rFonts w:ascii="Book Antiqua"/>
          <w:b/>
          <w:color w:val="231F20"/>
        </w:rPr>
        <w:t>Wait until a situation is True </w:t>
      </w:r>
      <w:r>
        <w:rPr>
          <w:color w:val="231F20"/>
        </w:rPr>
        <w:t>activity and choose </w:t>
      </w:r>
      <w:r>
        <w:rPr>
          <w:rFonts w:ascii="Book Antiqua"/>
          <w:b/>
          <w:color w:val="231F20"/>
        </w:rPr>
        <w:t>Situation is true </w:t>
      </w:r>
      <w:r>
        <w:rPr>
          <w:color w:val="231F20"/>
        </w:rPr>
        <w:t>as the link condition, the target activity will begin executing when the situation becomes true.</w:t>
      </w:r>
    </w:p>
    <w:p>
      <w:pPr>
        <w:pStyle w:val="BodyText"/>
        <w:spacing w:before="92"/>
        <w:ind w:left="3190"/>
      </w:pPr>
      <w:r>
        <w:rPr>
          <w:color w:val="231F20"/>
        </w:rPr>
        <w:t>Available</w:t>
      </w:r>
      <w:r>
        <w:rPr>
          <w:color w:val="231F20"/>
          <w:spacing w:val="6"/>
        </w:rPr>
        <w:t> </w:t>
      </w:r>
      <w:r>
        <w:rPr>
          <w:color w:val="231F20"/>
        </w:rPr>
        <w:t>end</w:t>
      </w:r>
      <w:r>
        <w:rPr>
          <w:color w:val="231F20"/>
          <w:spacing w:val="7"/>
        </w:rPr>
        <w:t> </w:t>
      </w:r>
      <w:r>
        <w:rPr>
          <w:color w:val="231F20"/>
        </w:rPr>
        <w:t>codes</w:t>
      </w:r>
      <w:r>
        <w:rPr>
          <w:color w:val="231F20"/>
          <w:spacing w:val="7"/>
        </w:rPr>
        <w:t> </w:t>
      </w:r>
      <w:r>
        <w:rPr>
          <w:color w:val="231F20"/>
        </w:rPr>
        <w:t>include</w:t>
      </w:r>
      <w:r>
        <w:rPr>
          <w:color w:val="231F20"/>
          <w:spacing w:val="7"/>
        </w:rPr>
        <w:t> </w:t>
      </w:r>
      <w:r>
        <w:rPr>
          <w:color w:val="231F20"/>
        </w:rPr>
        <w:t>the</w:t>
      </w:r>
      <w:r>
        <w:rPr>
          <w:color w:val="231F20"/>
          <w:spacing w:val="7"/>
        </w:rPr>
        <w:t> </w:t>
      </w:r>
      <w:r>
        <w:rPr>
          <w:color w:val="231F20"/>
          <w:spacing w:val="-2"/>
        </w:rPr>
        <w:t>following:</w:t>
      </w:r>
    </w:p>
    <w:p>
      <w:pPr>
        <w:pStyle w:val="Heading6"/>
        <w:spacing w:before="111"/>
        <w:ind w:left="3190"/>
      </w:pPr>
      <w:r>
        <w:rPr>
          <w:color w:val="231F20"/>
        </w:rPr>
        <w:t>Action</w:t>
      </w:r>
      <w:r>
        <w:rPr>
          <w:color w:val="231F20"/>
          <w:spacing w:val="9"/>
        </w:rPr>
        <w:t> </w:t>
      </w:r>
      <w:r>
        <w:rPr>
          <w:color w:val="231F20"/>
          <w:spacing w:val="-2"/>
        </w:rPr>
        <w:t>succeeded</w:t>
      </w:r>
    </w:p>
    <w:p>
      <w:pPr>
        <w:pStyle w:val="BodyText"/>
        <w:spacing w:line="258" w:lineRule="exact"/>
        <w:ind w:left="3909"/>
      </w:pPr>
      <w:r>
        <w:rPr>
          <w:color w:val="231F20"/>
        </w:rPr>
        <w:t>The</w:t>
      </w:r>
      <w:r>
        <w:rPr>
          <w:color w:val="231F20"/>
          <w:spacing w:val="9"/>
        </w:rPr>
        <w:t> </w:t>
      </w:r>
      <w:r>
        <w:rPr>
          <w:color w:val="231F20"/>
        </w:rPr>
        <w:t>action</w:t>
      </w:r>
      <w:r>
        <w:rPr>
          <w:color w:val="231F20"/>
          <w:spacing w:val="10"/>
        </w:rPr>
        <w:t> </w:t>
      </w:r>
      <w:r>
        <w:rPr>
          <w:color w:val="231F20"/>
        </w:rPr>
        <w:t>completed</w:t>
      </w:r>
      <w:r>
        <w:rPr>
          <w:color w:val="231F20"/>
          <w:spacing w:val="10"/>
        </w:rPr>
        <w:t> </w:t>
      </w:r>
      <w:r>
        <w:rPr>
          <w:color w:val="231F20"/>
        </w:rPr>
        <w:t>without</w:t>
      </w:r>
      <w:r>
        <w:rPr>
          <w:color w:val="231F20"/>
          <w:spacing w:val="9"/>
        </w:rPr>
        <w:t> </w:t>
      </w:r>
      <w:r>
        <w:rPr>
          <w:color w:val="231F20"/>
          <w:spacing w:val="-2"/>
        </w:rPr>
        <w:t>errors.</w:t>
      </w:r>
    </w:p>
    <w:p>
      <w:pPr>
        <w:pStyle w:val="BodyText"/>
        <w:tabs>
          <w:tab w:pos="3909" w:val="left" w:leader="none"/>
        </w:tabs>
        <w:spacing w:line="213" w:lineRule="auto" w:before="112"/>
        <w:ind w:left="3909" w:right="493" w:hanging="719"/>
      </w:pPr>
      <w:r>
        <w:rPr>
          <w:rFonts w:ascii="Book Antiqua"/>
          <w:b/>
          <w:color w:val="231F20"/>
          <w:spacing w:val="-2"/>
        </w:rPr>
        <w:t>Error</w:t>
      </w:r>
      <w:r>
        <w:rPr>
          <w:rFonts w:ascii="Book Antiqua"/>
          <w:b/>
          <w:color w:val="231F20"/>
        </w:rPr>
        <w:tab/>
      </w:r>
      <w:r>
        <w:rPr>
          <w:color w:val="231F20"/>
        </w:rPr>
        <w:t>The activity failed to complete successfully. The reason might be that a referenced object does not exist or a command returned </w:t>
      </w:r>
      <w:r>
        <w:rPr>
          <w:color w:val="231F20"/>
        </w:rPr>
        <w:t>an error status from the operating system.</w:t>
      </w:r>
    </w:p>
    <w:p>
      <w:pPr>
        <w:pStyle w:val="Heading6"/>
        <w:ind w:left="3190"/>
      </w:pPr>
      <w:r>
        <w:rPr>
          <w:color w:val="231F20"/>
          <w:spacing w:val="-2"/>
        </w:rPr>
        <w:t>Resume</w:t>
      </w:r>
    </w:p>
    <w:p>
      <w:pPr>
        <w:pStyle w:val="BodyText"/>
        <w:spacing w:line="213" w:lineRule="auto" w:before="11"/>
        <w:ind w:left="3909" w:right="385"/>
      </w:pPr>
      <w:r>
        <w:rPr>
          <w:color w:val="231F20"/>
        </w:rPr>
        <w:t>The </w:t>
      </w:r>
      <w:r>
        <w:rPr>
          <w:rFonts w:ascii="Book Antiqua"/>
          <w:b/>
          <w:color w:val="231F20"/>
        </w:rPr>
        <w:t>Suspend execution </w:t>
      </w:r>
      <w:r>
        <w:rPr>
          <w:color w:val="231F20"/>
        </w:rPr>
        <w:t>activity waits a specified period of </w:t>
      </w:r>
      <w:r>
        <w:rPr>
          <w:color w:val="231F20"/>
        </w:rPr>
        <w:t>time, then resumes executing the policy.</w:t>
      </w:r>
    </w:p>
    <w:p>
      <w:pPr>
        <w:pStyle w:val="Heading6"/>
        <w:ind w:left="3190"/>
      </w:pPr>
      <w:r>
        <w:rPr>
          <w:color w:val="231F20"/>
        </w:rPr>
        <w:t>Situation</w:t>
      </w:r>
      <w:r>
        <w:rPr>
          <w:color w:val="231F20"/>
          <w:spacing w:val="11"/>
        </w:rPr>
        <w:t> </w:t>
      </w:r>
      <w:r>
        <w:rPr>
          <w:color w:val="231F20"/>
        </w:rPr>
        <w:t>is</w:t>
      </w:r>
      <w:r>
        <w:rPr>
          <w:color w:val="231F20"/>
          <w:spacing w:val="11"/>
        </w:rPr>
        <w:t> </w:t>
      </w:r>
      <w:r>
        <w:rPr>
          <w:color w:val="231F20"/>
          <w:spacing w:val="-2"/>
        </w:rPr>
        <w:t>false</w:t>
      </w:r>
    </w:p>
    <w:p>
      <w:pPr>
        <w:spacing w:line="243" w:lineRule="exact" w:before="0"/>
        <w:ind w:left="3909" w:right="0" w:firstLine="0"/>
        <w:jc w:val="left"/>
        <w:rPr>
          <w:rFonts w:ascii="Book Antiqua"/>
          <w:b/>
          <w:sz w:val="20"/>
        </w:rPr>
      </w:pPr>
      <w:r>
        <w:rPr>
          <w:color w:val="231F20"/>
          <w:sz w:val="20"/>
        </w:rPr>
        <w:t>The</w:t>
      </w:r>
      <w:r>
        <w:rPr>
          <w:color w:val="231F20"/>
          <w:spacing w:val="9"/>
          <w:sz w:val="20"/>
        </w:rPr>
        <w:t> </w:t>
      </w:r>
      <w:r>
        <w:rPr>
          <w:rFonts w:ascii="Book Antiqua"/>
          <w:b/>
          <w:color w:val="231F20"/>
          <w:sz w:val="20"/>
        </w:rPr>
        <w:t>Evaluate</w:t>
      </w:r>
      <w:r>
        <w:rPr>
          <w:rFonts w:ascii="Book Antiqua"/>
          <w:b/>
          <w:color w:val="231F20"/>
          <w:spacing w:val="10"/>
          <w:sz w:val="20"/>
        </w:rPr>
        <w:t> </w:t>
      </w:r>
      <w:r>
        <w:rPr>
          <w:rFonts w:ascii="Book Antiqua"/>
          <w:b/>
          <w:color w:val="231F20"/>
          <w:sz w:val="20"/>
        </w:rPr>
        <w:t>situation</w:t>
      </w:r>
      <w:r>
        <w:rPr>
          <w:rFonts w:ascii="Book Antiqua"/>
          <w:b/>
          <w:color w:val="231F20"/>
          <w:spacing w:val="10"/>
          <w:sz w:val="20"/>
        </w:rPr>
        <w:t> </w:t>
      </w:r>
      <w:r>
        <w:rPr>
          <w:rFonts w:ascii="Book Antiqua"/>
          <w:b/>
          <w:color w:val="231F20"/>
          <w:sz w:val="20"/>
        </w:rPr>
        <w:t>now</w:t>
      </w:r>
      <w:r>
        <w:rPr>
          <w:rFonts w:ascii="Book Antiqua"/>
          <w:b/>
          <w:color w:val="231F20"/>
          <w:spacing w:val="10"/>
          <w:sz w:val="20"/>
        </w:rPr>
        <w:t> </w:t>
      </w:r>
      <w:r>
        <w:rPr>
          <w:color w:val="231F20"/>
          <w:sz w:val="20"/>
        </w:rPr>
        <w:t>and</w:t>
      </w:r>
      <w:r>
        <w:rPr>
          <w:color w:val="231F20"/>
          <w:spacing w:val="10"/>
          <w:sz w:val="20"/>
        </w:rPr>
        <w:t> </w:t>
      </w:r>
      <w:r>
        <w:rPr>
          <w:rFonts w:ascii="Book Antiqua"/>
          <w:b/>
          <w:color w:val="231F20"/>
          <w:sz w:val="20"/>
        </w:rPr>
        <w:t>Wait</w:t>
      </w:r>
      <w:r>
        <w:rPr>
          <w:rFonts w:ascii="Book Antiqua"/>
          <w:b/>
          <w:color w:val="231F20"/>
          <w:spacing w:val="10"/>
          <w:sz w:val="20"/>
        </w:rPr>
        <w:t> </w:t>
      </w:r>
      <w:r>
        <w:rPr>
          <w:rFonts w:ascii="Book Antiqua"/>
          <w:b/>
          <w:color w:val="231F20"/>
          <w:sz w:val="20"/>
        </w:rPr>
        <w:t>until</w:t>
      </w:r>
      <w:r>
        <w:rPr>
          <w:rFonts w:ascii="Book Antiqua"/>
          <w:b/>
          <w:color w:val="231F20"/>
          <w:spacing w:val="10"/>
          <w:sz w:val="20"/>
        </w:rPr>
        <w:t> </w:t>
      </w:r>
      <w:r>
        <w:rPr>
          <w:rFonts w:ascii="Book Antiqua"/>
          <w:b/>
          <w:color w:val="231F20"/>
          <w:sz w:val="20"/>
        </w:rPr>
        <w:t>a</w:t>
      </w:r>
      <w:r>
        <w:rPr>
          <w:rFonts w:ascii="Book Antiqua"/>
          <w:b/>
          <w:color w:val="231F20"/>
          <w:spacing w:val="10"/>
          <w:sz w:val="20"/>
        </w:rPr>
        <w:t> </w:t>
      </w:r>
      <w:r>
        <w:rPr>
          <w:rFonts w:ascii="Book Antiqua"/>
          <w:b/>
          <w:color w:val="231F20"/>
          <w:sz w:val="20"/>
        </w:rPr>
        <w:t>situation</w:t>
      </w:r>
      <w:r>
        <w:rPr>
          <w:rFonts w:ascii="Book Antiqua"/>
          <w:b/>
          <w:color w:val="231F20"/>
          <w:spacing w:val="9"/>
          <w:sz w:val="20"/>
        </w:rPr>
        <w:t> </w:t>
      </w:r>
      <w:r>
        <w:rPr>
          <w:rFonts w:ascii="Book Antiqua"/>
          <w:b/>
          <w:color w:val="231F20"/>
          <w:sz w:val="20"/>
        </w:rPr>
        <w:t>is</w:t>
      </w:r>
      <w:r>
        <w:rPr>
          <w:rFonts w:ascii="Book Antiqua"/>
          <w:b/>
          <w:color w:val="231F20"/>
          <w:spacing w:val="10"/>
          <w:sz w:val="20"/>
        </w:rPr>
        <w:t> </w:t>
      </w:r>
      <w:r>
        <w:rPr>
          <w:rFonts w:ascii="Book Antiqua"/>
          <w:b/>
          <w:color w:val="231F20"/>
          <w:spacing w:val="-2"/>
          <w:sz w:val="20"/>
        </w:rPr>
        <w:t>False</w:t>
      </w:r>
    </w:p>
    <w:p>
      <w:pPr>
        <w:pStyle w:val="BodyText"/>
        <w:spacing w:line="255" w:lineRule="exact"/>
        <w:ind w:left="3909"/>
      </w:pPr>
      <w:r>
        <w:rPr>
          <w:color w:val="231F20"/>
        </w:rPr>
        <w:t>activities</w:t>
      </w:r>
      <w:r>
        <w:rPr>
          <w:color w:val="231F20"/>
          <w:spacing w:val="10"/>
        </w:rPr>
        <w:t> </w:t>
      </w:r>
      <w:r>
        <w:rPr>
          <w:color w:val="231F20"/>
        </w:rPr>
        <w:t>return</w:t>
      </w:r>
      <w:r>
        <w:rPr>
          <w:color w:val="231F20"/>
          <w:spacing w:val="11"/>
        </w:rPr>
        <w:t> </w:t>
      </w:r>
      <w:r>
        <w:rPr>
          <w:color w:val="231F20"/>
        </w:rPr>
        <w:t>this</w:t>
      </w:r>
      <w:r>
        <w:rPr>
          <w:color w:val="231F20"/>
          <w:spacing w:val="11"/>
        </w:rPr>
        <w:t> </w:t>
      </w:r>
      <w:r>
        <w:rPr>
          <w:color w:val="231F20"/>
        </w:rPr>
        <w:t>end</w:t>
      </w:r>
      <w:r>
        <w:rPr>
          <w:color w:val="231F20"/>
          <w:spacing w:val="11"/>
        </w:rPr>
        <w:t> </w:t>
      </w:r>
      <w:r>
        <w:rPr>
          <w:color w:val="231F20"/>
        </w:rPr>
        <w:t>code</w:t>
      </w:r>
      <w:r>
        <w:rPr>
          <w:color w:val="231F20"/>
          <w:spacing w:val="11"/>
        </w:rPr>
        <w:t> </w:t>
      </w:r>
      <w:r>
        <w:rPr>
          <w:color w:val="231F20"/>
        </w:rPr>
        <w:t>if</w:t>
      </w:r>
      <w:r>
        <w:rPr>
          <w:color w:val="231F20"/>
          <w:spacing w:val="11"/>
        </w:rPr>
        <w:t> </w:t>
      </w:r>
      <w:r>
        <w:rPr>
          <w:color w:val="231F20"/>
        </w:rPr>
        <w:t>the</w:t>
      </w:r>
      <w:r>
        <w:rPr>
          <w:color w:val="231F20"/>
          <w:spacing w:val="11"/>
        </w:rPr>
        <w:t> </w:t>
      </w:r>
      <w:r>
        <w:rPr>
          <w:color w:val="231F20"/>
        </w:rPr>
        <w:t>situation</w:t>
      </w:r>
      <w:r>
        <w:rPr>
          <w:color w:val="231F20"/>
          <w:spacing w:val="10"/>
        </w:rPr>
        <w:t> </w:t>
      </w:r>
      <w:r>
        <w:rPr>
          <w:color w:val="231F20"/>
        </w:rPr>
        <w:t>is</w:t>
      </w:r>
      <w:r>
        <w:rPr>
          <w:color w:val="231F20"/>
          <w:spacing w:val="11"/>
        </w:rPr>
        <w:t> </w:t>
      </w:r>
      <w:r>
        <w:rPr>
          <w:color w:val="231F20"/>
        </w:rPr>
        <w:t>not</w:t>
      </w:r>
      <w:r>
        <w:rPr>
          <w:color w:val="231F20"/>
          <w:spacing w:val="11"/>
        </w:rPr>
        <w:t> </w:t>
      </w:r>
      <w:r>
        <w:rPr>
          <w:color w:val="231F20"/>
        </w:rPr>
        <w:t>currently</w:t>
      </w:r>
      <w:r>
        <w:rPr>
          <w:color w:val="231F20"/>
          <w:spacing w:val="11"/>
        </w:rPr>
        <w:t> </w:t>
      </w:r>
      <w:r>
        <w:rPr>
          <w:color w:val="231F20"/>
          <w:spacing w:val="-2"/>
        </w:rPr>
        <w:t>true.</w:t>
      </w:r>
    </w:p>
    <w:p>
      <w:pPr>
        <w:pStyle w:val="Heading6"/>
        <w:spacing w:before="112"/>
        <w:ind w:left="3190"/>
      </w:pPr>
      <w:r>
        <w:rPr>
          <w:color w:val="231F20"/>
        </w:rPr>
        <w:t>Situation</w:t>
      </w:r>
      <w:r>
        <w:rPr>
          <w:color w:val="231F20"/>
          <w:spacing w:val="11"/>
        </w:rPr>
        <w:t> </w:t>
      </w:r>
      <w:r>
        <w:rPr>
          <w:color w:val="231F20"/>
        </w:rPr>
        <w:t>is</w:t>
      </w:r>
      <w:r>
        <w:rPr>
          <w:color w:val="231F20"/>
          <w:spacing w:val="11"/>
        </w:rPr>
        <w:t> </w:t>
      </w:r>
      <w:r>
        <w:rPr>
          <w:color w:val="231F20"/>
          <w:spacing w:val="-4"/>
        </w:rPr>
        <w:t>true</w:t>
      </w:r>
    </w:p>
    <w:p>
      <w:pPr>
        <w:spacing w:line="243" w:lineRule="exact" w:before="0"/>
        <w:ind w:left="3909" w:right="0" w:firstLine="0"/>
        <w:jc w:val="left"/>
        <w:rPr>
          <w:rFonts w:ascii="Book Antiqua"/>
          <w:b/>
          <w:sz w:val="20"/>
        </w:rPr>
      </w:pPr>
      <w:r>
        <w:rPr>
          <w:color w:val="231F20"/>
          <w:sz w:val="20"/>
        </w:rPr>
        <w:t>The</w:t>
      </w:r>
      <w:r>
        <w:rPr>
          <w:color w:val="231F20"/>
          <w:spacing w:val="7"/>
          <w:sz w:val="20"/>
        </w:rPr>
        <w:t> </w:t>
      </w:r>
      <w:r>
        <w:rPr>
          <w:rFonts w:ascii="Book Antiqua"/>
          <w:b/>
          <w:color w:val="231F20"/>
          <w:sz w:val="20"/>
        </w:rPr>
        <w:t>Wait</w:t>
      </w:r>
      <w:r>
        <w:rPr>
          <w:rFonts w:ascii="Book Antiqua"/>
          <w:b/>
          <w:color w:val="231F20"/>
          <w:spacing w:val="8"/>
          <w:sz w:val="20"/>
        </w:rPr>
        <w:t> </w:t>
      </w:r>
      <w:r>
        <w:rPr>
          <w:rFonts w:ascii="Book Antiqua"/>
          <w:b/>
          <w:color w:val="231F20"/>
          <w:sz w:val="20"/>
        </w:rPr>
        <w:t>until</w:t>
      </w:r>
      <w:r>
        <w:rPr>
          <w:rFonts w:ascii="Book Antiqua"/>
          <w:b/>
          <w:color w:val="231F20"/>
          <w:spacing w:val="7"/>
          <w:sz w:val="20"/>
        </w:rPr>
        <w:t> </w:t>
      </w:r>
      <w:r>
        <w:rPr>
          <w:rFonts w:ascii="Book Antiqua"/>
          <w:b/>
          <w:color w:val="231F20"/>
          <w:sz w:val="20"/>
        </w:rPr>
        <w:t>a</w:t>
      </w:r>
      <w:r>
        <w:rPr>
          <w:rFonts w:ascii="Book Antiqua"/>
          <w:b/>
          <w:color w:val="231F20"/>
          <w:spacing w:val="8"/>
          <w:sz w:val="20"/>
        </w:rPr>
        <w:t> </w:t>
      </w:r>
      <w:r>
        <w:rPr>
          <w:rFonts w:ascii="Book Antiqua"/>
          <w:b/>
          <w:color w:val="231F20"/>
          <w:sz w:val="20"/>
        </w:rPr>
        <w:t>situation</w:t>
      </w:r>
      <w:r>
        <w:rPr>
          <w:rFonts w:ascii="Book Antiqua"/>
          <w:b/>
          <w:color w:val="231F20"/>
          <w:spacing w:val="7"/>
          <w:sz w:val="20"/>
        </w:rPr>
        <w:t> </w:t>
      </w:r>
      <w:r>
        <w:rPr>
          <w:rFonts w:ascii="Book Antiqua"/>
          <w:b/>
          <w:color w:val="231F20"/>
          <w:sz w:val="20"/>
        </w:rPr>
        <w:t>is</w:t>
      </w:r>
      <w:r>
        <w:rPr>
          <w:rFonts w:ascii="Book Antiqua"/>
          <w:b/>
          <w:color w:val="231F20"/>
          <w:spacing w:val="8"/>
          <w:sz w:val="20"/>
        </w:rPr>
        <w:t> </w:t>
      </w:r>
      <w:r>
        <w:rPr>
          <w:rFonts w:ascii="Book Antiqua"/>
          <w:b/>
          <w:color w:val="231F20"/>
          <w:sz w:val="20"/>
        </w:rPr>
        <w:t>True</w:t>
      </w:r>
      <w:r>
        <w:rPr>
          <w:rFonts w:ascii="Book Antiqua"/>
          <w:b/>
          <w:color w:val="231F20"/>
          <w:spacing w:val="7"/>
          <w:sz w:val="20"/>
        </w:rPr>
        <w:t> </w:t>
      </w:r>
      <w:r>
        <w:rPr>
          <w:color w:val="231F20"/>
          <w:sz w:val="20"/>
        </w:rPr>
        <w:t>and</w:t>
      </w:r>
      <w:r>
        <w:rPr>
          <w:color w:val="231F20"/>
          <w:spacing w:val="8"/>
          <w:sz w:val="20"/>
        </w:rPr>
        <w:t> </w:t>
      </w:r>
      <w:r>
        <w:rPr>
          <w:rFonts w:ascii="Book Antiqua"/>
          <w:b/>
          <w:color w:val="231F20"/>
          <w:sz w:val="20"/>
        </w:rPr>
        <w:t>Evaluate</w:t>
      </w:r>
      <w:r>
        <w:rPr>
          <w:rFonts w:ascii="Book Antiqua"/>
          <w:b/>
          <w:color w:val="231F20"/>
          <w:spacing w:val="7"/>
          <w:sz w:val="20"/>
        </w:rPr>
        <w:t> </w:t>
      </w:r>
      <w:r>
        <w:rPr>
          <w:rFonts w:ascii="Book Antiqua"/>
          <w:b/>
          <w:color w:val="231F20"/>
          <w:sz w:val="20"/>
        </w:rPr>
        <w:t>situation</w:t>
      </w:r>
      <w:r>
        <w:rPr>
          <w:rFonts w:ascii="Book Antiqua"/>
          <w:b/>
          <w:color w:val="231F20"/>
          <w:spacing w:val="8"/>
          <w:sz w:val="20"/>
        </w:rPr>
        <w:t> </w:t>
      </w:r>
      <w:r>
        <w:rPr>
          <w:rFonts w:ascii="Book Antiqua"/>
          <w:b/>
          <w:color w:val="231F20"/>
          <w:spacing w:val="-5"/>
          <w:sz w:val="20"/>
        </w:rPr>
        <w:t>now</w:t>
      </w:r>
    </w:p>
    <w:p>
      <w:pPr>
        <w:pStyle w:val="BodyText"/>
        <w:spacing w:line="255" w:lineRule="exact"/>
        <w:ind w:left="3909"/>
      </w:pPr>
      <w:r>
        <w:rPr>
          <w:color w:val="231F20"/>
        </w:rPr>
        <w:t>activities</w:t>
      </w:r>
      <w:r>
        <w:rPr>
          <w:color w:val="231F20"/>
          <w:spacing w:val="10"/>
        </w:rPr>
        <w:t> </w:t>
      </w:r>
      <w:r>
        <w:rPr>
          <w:color w:val="231F20"/>
        </w:rPr>
        <w:t>return</w:t>
      </w:r>
      <w:r>
        <w:rPr>
          <w:color w:val="231F20"/>
          <w:spacing w:val="11"/>
        </w:rPr>
        <w:t> </w:t>
      </w:r>
      <w:r>
        <w:rPr>
          <w:color w:val="231F20"/>
        </w:rPr>
        <w:t>this</w:t>
      </w:r>
      <w:r>
        <w:rPr>
          <w:color w:val="231F20"/>
          <w:spacing w:val="10"/>
        </w:rPr>
        <w:t> </w:t>
      </w:r>
      <w:r>
        <w:rPr>
          <w:color w:val="231F20"/>
        </w:rPr>
        <w:t>end</w:t>
      </w:r>
      <w:r>
        <w:rPr>
          <w:color w:val="231F20"/>
          <w:spacing w:val="11"/>
        </w:rPr>
        <w:t> </w:t>
      </w:r>
      <w:r>
        <w:rPr>
          <w:color w:val="231F20"/>
        </w:rPr>
        <w:t>code</w:t>
      </w:r>
      <w:r>
        <w:rPr>
          <w:color w:val="231F20"/>
          <w:spacing w:val="11"/>
        </w:rPr>
        <w:t> </w:t>
      </w:r>
      <w:r>
        <w:rPr>
          <w:color w:val="231F20"/>
        </w:rPr>
        <w:t>if</w:t>
      </w:r>
      <w:r>
        <w:rPr>
          <w:color w:val="231F20"/>
          <w:spacing w:val="10"/>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0"/>
        </w:rPr>
        <w:t> </w:t>
      </w:r>
      <w:r>
        <w:rPr>
          <w:color w:val="231F20"/>
        </w:rPr>
        <w:t>currently</w:t>
      </w:r>
      <w:r>
        <w:rPr>
          <w:color w:val="231F20"/>
          <w:spacing w:val="11"/>
        </w:rPr>
        <w:t> </w:t>
      </w:r>
      <w:r>
        <w:rPr>
          <w:color w:val="231F20"/>
          <w:spacing w:val="-2"/>
        </w:rPr>
        <w:t>true.</w:t>
      </w:r>
    </w:p>
    <w:p>
      <w:pPr>
        <w:pStyle w:val="Heading6"/>
        <w:spacing w:before="111"/>
        <w:ind w:left="3190"/>
      </w:pPr>
      <w:r>
        <w:rPr>
          <w:color w:val="231F20"/>
          <w:spacing w:val="-2"/>
        </w:rPr>
        <w:t>Choice</w:t>
      </w:r>
    </w:p>
    <w:p>
      <w:pPr>
        <w:pStyle w:val="BodyText"/>
        <w:spacing w:line="213" w:lineRule="auto" w:before="11"/>
        <w:ind w:left="3909" w:right="385"/>
      </w:pPr>
      <w:r>
        <w:rPr>
          <w:color w:val="231F20"/>
        </w:rPr>
        <w:t>The </w:t>
      </w:r>
      <w:r>
        <w:rPr>
          <w:rFonts w:ascii="Book Antiqua"/>
          <w:b/>
          <w:color w:val="231F20"/>
        </w:rPr>
        <w:t>Make a choice </w:t>
      </w:r>
      <w:r>
        <w:rPr>
          <w:color w:val="231F20"/>
        </w:rPr>
        <w:t>activity uses this end code to indicate that </w:t>
      </w:r>
      <w:r>
        <w:rPr>
          <w:color w:val="231F20"/>
        </w:rPr>
        <w:t>the linked activity is a potential choice offered to the user when a</w:t>
      </w:r>
      <w:r>
        <w:rPr>
          <w:color w:val="231F20"/>
          <w:spacing w:val="80"/>
        </w:rPr>
        <w:t> </w:t>
      </w:r>
      <w:r>
        <w:rPr>
          <w:color w:val="231F20"/>
        </w:rPr>
        <w:t>work item is opened.</w:t>
      </w:r>
    </w:p>
    <w:p>
      <w:pPr>
        <w:pStyle w:val="Heading6"/>
        <w:ind w:left="3190"/>
      </w:pPr>
      <w:r>
        <w:rPr>
          <w:color w:val="231F20"/>
          <w:spacing w:val="-2"/>
        </w:rPr>
        <w:t>Timeout</w:t>
      </w:r>
    </w:p>
    <w:p>
      <w:pPr>
        <w:pStyle w:val="BodyText"/>
        <w:spacing w:line="213" w:lineRule="auto" w:before="11"/>
        <w:ind w:left="3909" w:right="402"/>
      </w:pPr>
      <w:r>
        <w:rPr>
          <w:color w:val="231F20"/>
        </w:rPr>
        <w:t>The </w:t>
      </w:r>
      <w:r>
        <w:rPr>
          <w:rFonts w:ascii="Book Antiqua"/>
          <w:b/>
          <w:color w:val="231F20"/>
        </w:rPr>
        <w:t>Make a choice </w:t>
      </w:r>
      <w:r>
        <w:rPr>
          <w:color w:val="231F20"/>
        </w:rPr>
        <w:t>activity uses this end code to indicate the </w:t>
      </w:r>
      <w:r>
        <w:rPr>
          <w:color w:val="231F20"/>
        </w:rPr>
        <w:t>next activity is to run if the user choice times out before a user selects</w:t>
      </w:r>
      <w:r>
        <w:rPr>
          <w:color w:val="231F20"/>
          <w:spacing w:val="80"/>
          <w:w w:val="150"/>
        </w:rPr>
        <w:t> </w:t>
      </w:r>
      <w:r>
        <w:rPr>
          <w:color w:val="231F20"/>
        </w:rPr>
        <w:t>an option.</w:t>
      </w:r>
    </w:p>
    <w:p>
      <w:pPr>
        <w:pStyle w:val="Heading6"/>
        <w:ind w:left="3190"/>
      </w:pPr>
      <w:r>
        <w:rPr>
          <w:color w:val="231F20"/>
        </w:rPr>
        <w:t>Action</w:t>
      </w:r>
      <w:r>
        <w:rPr>
          <w:color w:val="231F20"/>
          <w:spacing w:val="9"/>
        </w:rPr>
        <w:t> </w:t>
      </w:r>
      <w:r>
        <w:rPr>
          <w:color w:val="231F20"/>
          <w:spacing w:val="-2"/>
        </w:rPr>
        <w:t>Succeeded</w:t>
      </w:r>
    </w:p>
    <w:p>
      <w:pPr>
        <w:spacing w:line="213" w:lineRule="auto" w:before="11"/>
        <w:ind w:left="3909" w:right="493" w:firstLine="0"/>
        <w:jc w:val="left"/>
        <w:rPr>
          <w:sz w:val="20"/>
        </w:rPr>
      </w:pPr>
      <w:r>
        <w:rPr>
          <w:color w:val="231F20"/>
          <w:sz w:val="20"/>
        </w:rPr>
        <w:t>The </w:t>
      </w:r>
      <w:r>
        <w:rPr>
          <w:rFonts w:ascii="Book Antiqua"/>
          <w:b/>
          <w:color w:val="231F20"/>
          <w:sz w:val="20"/>
        </w:rPr>
        <w:t>Take action or Write message </w:t>
      </w:r>
      <w:r>
        <w:rPr>
          <w:color w:val="231F20"/>
          <w:sz w:val="20"/>
        </w:rPr>
        <w:t>activity uses this endcode </w:t>
      </w:r>
      <w:r>
        <w:rPr>
          <w:color w:val="231F20"/>
          <w:sz w:val="20"/>
        </w:rPr>
        <w:t>to indicate the action completed without errors.</w:t>
      </w:r>
    </w:p>
    <w:p>
      <w:pPr>
        <w:spacing w:after="0" w:line="213" w:lineRule="auto"/>
        <w:jc w:val="left"/>
        <w:rPr>
          <w:sz w:val="20"/>
        </w:rPr>
        <w:sectPr>
          <w:pgSz w:w="12240" w:h="15840"/>
          <w:pgMar w:header="0" w:footer="736" w:top="1180" w:bottom="920" w:left="1000" w:right="1060"/>
        </w:sectPr>
      </w:pPr>
    </w:p>
    <w:p>
      <w:pPr>
        <w:pStyle w:val="Heading6"/>
        <w:spacing w:line="240" w:lineRule="auto" w:before="83"/>
        <w:ind w:left="2232"/>
      </w:pPr>
      <w:r>
        <w:rPr>
          <w:color w:val="231F20"/>
        </w:rPr>
        <w:t>Action</w:t>
      </w:r>
      <w:r>
        <w:rPr>
          <w:color w:val="231F20"/>
          <w:spacing w:val="9"/>
        </w:rPr>
        <w:t> </w:t>
      </w:r>
      <w:r>
        <w:rPr>
          <w:color w:val="231F20"/>
          <w:spacing w:val="-2"/>
        </w:rPr>
        <w:t>Settings:</w:t>
      </w:r>
    </w:p>
    <w:p>
      <w:pPr>
        <w:pStyle w:val="BodyText"/>
        <w:rPr>
          <w:rFonts w:ascii="Book Antiqua"/>
          <w:b/>
        </w:rPr>
      </w:pPr>
    </w:p>
    <w:p>
      <w:pPr>
        <w:pStyle w:val="BodyText"/>
        <w:spacing w:line="211" w:lineRule="auto"/>
        <w:ind w:left="2232" w:right="385"/>
      </w:pPr>
      <w:r>
        <w:rPr>
          <w:color w:val="231F20"/>
        </w:rPr>
        <w:t>In the Workflow editor, clicking </w:t>
      </w:r>
      <w:r>
        <w:rPr>
          <w:color w:val="231F20"/>
          <w:spacing w:val="-25"/>
          <w:position w:val="-5"/>
        </w:rPr>
        <w:drawing>
          <wp:inline distT="0" distB="0" distL="0" distR="0">
            <wp:extent cx="152400" cy="127000"/>
            <wp:effectExtent l="0" t="0" r="0" b="0"/>
            <wp:docPr id="2795" name="Image 2795"/>
            <wp:cNvGraphicFramePr>
              <a:graphicFrameLocks/>
            </wp:cNvGraphicFramePr>
            <a:graphic>
              <a:graphicData uri="http://schemas.openxmlformats.org/drawingml/2006/picture">
                <pic:pic>
                  <pic:nvPicPr>
                    <pic:cNvPr id="2795" name="Image 2795"/>
                    <pic:cNvPicPr/>
                  </pic:nvPicPr>
                  <pic:blipFill>
                    <a:blip r:embed="rId272" cstate="print"/>
                    <a:stretch>
                      <a:fillRect/>
                    </a:stretch>
                  </pic:blipFill>
                  <pic:spPr>
                    <a:xfrm>
                      <a:off x="0" y="0"/>
                      <a:ext cx="152400" cy="127000"/>
                    </a:xfrm>
                    <a:prstGeom prst="rect">
                      <a:avLst/>
                    </a:prstGeom>
                  </pic:spPr>
                </pic:pic>
              </a:graphicData>
            </a:graphic>
          </wp:inline>
        </w:drawing>
      </w:r>
      <w:r>
        <w:rPr>
          <w:color w:val="231F20"/>
          <w:spacing w:val="-25"/>
          <w:position w:val="-5"/>
        </w:rPr>
      </w:r>
      <w:r>
        <w:rPr>
          <w:rFonts w:ascii="Times New Roman"/>
          <w:color w:val="231F20"/>
          <w:spacing w:val="20"/>
        </w:rPr>
        <w:t> </w:t>
      </w:r>
      <w:r>
        <w:rPr>
          <w:rFonts w:ascii="Book Antiqua"/>
          <w:b/>
          <w:color w:val="231F20"/>
        </w:rPr>
        <w:t>Take action or Write message </w:t>
      </w:r>
      <w:r>
        <w:rPr>
          <w:color w:val="231F20"/>
        </w:rPr>
        <w:t>opens the</w:t>
      </w:r>
      <w:r>
        <w:rPr>
          <w:color w:val="231F20"/>
          <w:spacing w:val="-1"/>
        </w:rPr>
        <w:t> </w:t>
      </w:r>
      <w:r>
        <w:rPr>
          <w:color w:val="231F20"/>
        </w:rPr>
        <w:t>Action Settings window. Use this function to send a command or universal message to the system.</w:t>
      </w:r>
      <w:r>
        <w:rPr>
          <w:color w:val="231F20"/>
          <w:spacing w:val="24"/>
        </w:rPr>
        <w:t> </w:t>
      </w:r>
      <w:r>
        <w:rPr>
          <w:color w:val="231F20"/>
        </w:rPr>
        <w:t>For</w:t>
      </w:r>
      <w:r>
        <w:rPr>
          <w:color w:val="231F20"/>
          <w:spacing w:val="24"/>
        </w:rPr>
        <w:t> </w:t>
      </w:r>
      <w:r>
        <w:rPr>
          <w:color w:val="231F20"/>
        </w:rPr>
        <w:t>example,</w:t>
      </w:r>
      <w:r>
        <w:rPr>
          <w:color w:val="231F20"/>
          <w:spacing w:val="24"/>
        </w:rPr>
        <w:t> </w:t>
      </w:r>
      <w:r>
        <w:rPr>
          <w:color w:val="231F20"/>
        </w:rPr>
        <w:t>you</w:t>
      </w:r>
      <w:r>
        <w:rPr>
          <w:color w:val="231F20"/>
          <w:spacing w:val="24"/>
        </w:rPr>
        <w:t> </w:t>
      </w:r>
      <w:r>
        <w:rPr>
          <w:color w:val="231F20"/>
        </w:rPr>
        <w:t>might</w:t>
      </w:r>
      <w:r>
        <w:rPr>
          <w:color w:val="231F20"/>
          <w:spacing w:val="24"/>
        </w:rPr>
        <w:t> </w:t>
      </w:r>
      <w:r>
        <w:rPr>
          <w:color w:val="231F20"/>
        </w:rPr>
        <w:t>want</w:t>
      </w:r>
      <w:r>
        <w:rPr>
          <w:color w:val="231F20"/>
          <w:spacing w:val="24"/>
        </w:rPr>
        <w:t> </w:t>
      </w:r>
      <w:r>
        <w:rPr>
          <w:color w:val="231F20"/>
        </w:rPr>
        <w:t>to</w:t>
      </w:r>
      <w:r>
        <w:rPr>
          <w:color w:val="231F20"/>
          <w:spacing w:val="24"/>
        </w:rPr>
        <w:t> </w:t>
      </w:r>
      <w:r>
        <w:rPr>
          <w:color w:val="231F20"/>
        </w:rPr>
        <w:t>log</w:t>
      </w:r>
      <w:r>
        <w:rPr>
          <w:color w:val="231F20"/>
          <w:spacing w:val="24"/>
        </w:rPr>
        <w:t> </w:t>
      </w:r>
      <w:r>
        <w:rPr>
          <w:color w:val="231F20"/>
        </w:rPr>
        <w:t>information,</w:t>
      </w:r>
      <w:r>
        <w:rPr>
          <w:color w:val="231F20"/>
          <w:spacing w:val="24"/>
        </w:rPr>
        <w:t> </w:t>
      </w:r>
      <w:r>
        <w:rPr>
          <w:color w:val="231F20"/>
        </w:rPr>
        <w:t>trigger</w:t>
      </w:r>
      <w:r>
        <w:rPr>
          <w:color w:val="231F20"/>
          <w:spacing w:val="24"/>
        </w:rPr>
        <w:t> </w:t>
      </w:r>
      <w:r>
        <w:rPr>
          <w:color w:val="231F20"/>
        </w:rPr>
        <w:t>an</w:t>
      </w:r>
      <w:r>
        <w:rPr>
          <w:color w:val="231F20"/>
          <w:spacing w:val="24"/>
        </w:rPr>
        <w:t> </w:t>
      </w:r>
      <w:r>
        <w:rPr>
          <w:color w:val="231F20"/>
        </w:rPr>
        <w:t>audible</w:t>
      </w:r>
      <w:r>
        <w:rPr>
          <w:color w:val="231F20"/>
          <w:spacing w:val="24"/>
        </w:rPr>
        <w:t> </w:t>
      </w:r>
      <w:r>
        <w:rPr>
          <w:color w:val="231F20"/>
        </w:rPr>
        <w:t>beep, or stop a job that is using too many resources.</w:t>
      </w:r>
    </w:p>
    <w:p>
      <w:pPr>
        <w:pStyle w:val="Heading6"/>
        <w:spacing w:line="232" w:lineRule="exact" w:before="120"/>
        <w:ind w:left="2232"/>
      </w:pPr>
      <w:r>
        <w:rPr>
          <w:color w:val="231F20"/>
        </w:rPr>
        <w:t>Action</w:t>
      </w:r>
      <w:r>
        <w:rPr>
          <w:color w:val="231F20"/>
          <w:spacing w:val="9"/>
        </w:rPr>
        <w:t> </w:t>
      </w:r>
      <w:r>
        <w:rPr>
          <w:color w:val="231F20"/>
          <w:spacing w:val="-2"/>
        </w:rPr>
        <w:t>Selection</w:t>
      </w:r>
    </w:p>
    <w:p>
      <w:pPr>
        <w:spacing w:line="261" w:lineRule="exact" w:before="0"/>
        <w:ind w:left="2951" w:right="0" w:firstLine="0"/>
        <w:jc w:val="left"/>
        <w:rPr>
          <w:sz w:val="20"/>
        </w:rPr>
      </w:pPr>
      <w:r>
        <w:rPr/>
        <w:drawing>
          <wp:inline distT="0" distB="0" distL="0" distR="0">
            <wp:extent cx="88900" cy="82550"/>
            <wp:effectExtent l="0" t="0" r="0" b="0"/>
            <wp:docPr id="2796" name="Image 2796"/>
            <wp:cNvGraphicFramePr>
              <a:graphicFrameLocks/>
            </wp:cNvGraphicFramePr>
            <a:graphic>
              <a:graphicData uri="http://schemas.openxmlformats.org/drawingml/2006/picture">
                <pic:pic>
                  <pic:nvPicPr>
                    <pic:cNvPr id="2796" name="Image 2796"/>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74"/>
          <w:sz w:val="20"/>
        </w:rPr>
        <w:t> </w:t>
      </w:r>
      <w:r>
        <w:rPr>
          <w:rFonts w:ascii="Book Antiqua"/>
          <w:b/>
          <w:color w:val="231F20"/>
          <w:sz w:val="20"/>
        </w:rPr>
        <w:t>Universal</w:t>
      </w:r>
      <w:r>
        <w:rPr>
          <w:rFonts w:ascii="Book Antiqua"/>
          <w:b/>
          <w:color w:val="231F20"/>
          <w:spacing w:val="20"/>
          <w:sz w:val="20"/>
        </w:rPr>
        <w:t> </w:t>
      </w:r>
      <w:r>
        <w:rPr>
          <w:rFonts w:ascii="Book Antiqua"/>
          <w:b/>
          <w:color w:val="231F20"/>
          <w:sz w:val="20"/>
        </w:rPr>
        <w:t>Message</w:t>
      </w:r>
      <w:r>
        <w:rPr>
          <w:color w:val="231F20"/>
          <w:sz w:val="20"/>
        </w:rPr>
        <w:t>,</w:t>
      </w:r>
      <w:r>
        <w:rPr>
          <w:color w:val="231F20"/>
          <w:spacing w:val="20"/>
          <w:sz w:val="20"/>
        </w:rPr>
        <w:t> </w:t>
      </w:r>
      <w:r>
        <w:rPr>
          <w:color w:val="231F20"/>
          <w:sz w:val="20"/>
        </w:rPr>
        <w:t>when</w:t>
      </w:r>
      <w:r>
        <w:rPr>
          <w:color w:val="231F20"/>
          <w:spacing w:val="20"/>
          <w:sz w:val="20"/>
        </w:rPr>
        <w:t> </w:t>
      </w:r>
      <w:r>
        <w:rPr>
          <w:color w:val="231F20"/>
          <w:sz w:val="20"/>
        </w:rPr>
        <w:t>selected,</w:t>
      </w:r>
      <w:r>
        <w:rPr>
          <w:color w:val="231F20"/>
          <w:spacing w:val="20"/>
          <w:sz w:val="20"/>
        </w:rPr>
        <w:t> </w:t>
      </w:r>
      <w:r>
        <w:rPr>
          <w:color w:val="231F20"/>
          <w:sz w:val="20"/>
        </w:rPr>
        <w:t>opens</w:t>
      </w:r>
      <w:r>
        <w:rPr>
          <w:color w:val="231F20"/>
          <w:spacing w:val="20"/>
          <w:sz w:val="20"/>
        </w:rPr>
        <w:t> </w:t>
      </w:r>
      <w:r>
        <w:rPr>
          <w:color w:val="231F20"/>
          <w:sz w:val="20"/>
        </w:rPr>
        <w:t>this</w:t>
      </w:r>
      <w:r>
        <w:rPr>
          <w:color w:val="231F20"/>
          <w:spacing w:val="20"/>
          <w:sz w:val="20"/>
        </w:rPr>
        <w:t> </w:t>
      </w:r>
      <w:r>
        <w:rPr>
          <w:color w:val="231F20"/>
          <w:sz w:val="20"/>
        </w:rPr>
        <w:t>area:</w:t>
      </w:r>
    </w:p>
    <w:p>
      <w:pPr>
        <w:pStyle w:val="BodyText"/>
        <w:spacing w:line="213" w:lineRule="auto" w:before="48"/>
        <w:ind w:left="3250" w:right="545"/>
      </w:pPr>
      <w:r>
        <w:rPr>
          <w:rFonts w:ascii="Book Antiqua"/>
          <w:b/>
          <w:color w:val="231F20"/>
        </w:rPr>
        <w:t>Category </w:t>
      </w:r>
      <w:r>
        <w:rPr>
          <w:color w:val="231F20"/>
        </w:rPr>
        <w:t>of the message you are defining. Type one of the </w:t>
      </w:r>
      <w:r>
        <w:rPr>
          <w:color w:val="231F20"/>
        </w:rPr>
        <w:t>following: critical, warning, or informational.</w:t>
      </w:r>
    </w:p>
    <w:p>
      <w:pPr>
        <w:pStyle w:val="BodyText"/>
        <w:spacing w:line="213" w:lineRule="auto" w:before="58"/>
        <w:ind w:left="3250" w:right="636"/>
      </w:pPr>
      <w:r>
        <w:rPr>
          <w:rFonts w:ascii="Book Antiqua"/>
          <w:b/>
          <w:color w:val="231F20"/>
        </w:rPr>
        <w:t>Severity </w:t>
      </w:r>
      <w:r>
        <w:rPr>
          <w:color w:val="231F20"/>
        </w:rPr>
        <w:t>that you want assigned to the message. Type a </w:t>
      </w:r>
      <w:r>
        <w:rPr>
          <w:color w:val="231F20"/>
        </w:rPr>
        <w:t>severity number (1, 2, and so forth).</w:t>
      </w:r>
    </w:p>
    <w:p>
      <w:pPr>
        <w:pStyle w:val="BodyText"/>
        <w:spacing w:line="213" w:lineRule="auto" w:before="59"/>
        <w:ind w:left="3250" w:right="545"/>
      </w:pPr>
      <w:r>
        <w:rPr>
          <w:rFonts w:ascii="Book Antiqua"/>
          <w:b/>
          <w:color w:val="231F20"/>
        </w:rPr>
        <w:t>Message </w:t>
      </w:r>
      <w:r>
        <w:rPr>
          <w:color w:val="231F20"/>
        </w:rPr>
        <w:t>that is displayed. Type the message text you want to be displayed at the system specified (see Where should the action be </w:t>
      </w:r>
      <w:r>
        <w:rPr>
          <w:color w:val="231F20"/>
        </w:rPr>
        <w:t>run, </w:t>
      </w:r>
      <w:r>
        <w:rPr>
          <w:color w:val="231F20"/>
          <w:spacing w:val="-2"/>
        </w:rPr>
        <w:t>below).</w:t>
      </w:r>
    </w:p>
    <w:p>
      <w:pPr>
        <w:spacing w:before="94"/>
        <w:ind w:left="2951" w:right="0" w:firstLine="0"/>
        <w:jc w:val="left"/>
        <w:rPr>
          <w:sz w:val="20"/>
        </w:rPr>
      </w:pPr>
      <w:r>
        <w:rPr>
          <w:color w:val="231F20"/>
          <w:sz w:val="20"/>
        </w:rPr>
        <w:t>Universal</w:t>
      </w:r>
      <w:r>
        <w:rPr>
          <w:color w:val="231F20"/>
          <w:spacing w:val="6"/>
          <w:sz w:val="20"/>
        </w:rPr>
        <w:t> </w:t>
      </w:r>
      <w:r>
        <w:rPr>
          <w:color w:val="231F20"/>
          <w:sz w:val="20"/>
        </w:rPr>
        <w:t>messages</w:t>
      </w:r>
      <w:r>
        <w:rPr>
          <w:color w:val="231F20"/>
          <w:spacing w:val="10"/>
          <w:sz w:val="20"/>
        </w:rPr>
        <w:t> </w:t>
      </w:r>
      <w:r>
        <w:rPr>
          <w:color w:val="231F20"/>
          <w:sz w:val="20"/>
        </w:rPr>
        <w:t>are</w:t>
      </w:r>
      <w:r>
        <w:rPr>
          <w:color w:val="231F20"/>
          <w:spacing w:val="10"/>
          <w:sz w:val="20"/>
        </w:rPr>
        <w:t> </w:t>
      </w:r>
      <w:r>
        <w:rPr>
          <w:color w:val="231F20"/>
          <w:sz w:val="20"/>
        </w:rPr>
        <w:t>shown</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9"/>
          <w:sz w:val="20"/>
        </w:rPr>
        <w:t> </w:t>
      </w:r>
      <w:r>
        <w:rPr>
          <w:color w:val="231F20"/>
          <w:spacing w:val="15"/>
          <w:position w:val="-1"/>
          <w:sz w:val="20"/>
        </w:rPr>
        <w:drawing>
          <wp:inline distT="0" distB="0" distL="0" distR="0">
            <wp:extent cx="101600" cy="101600"/>
            <wp:effectExtent l="0" t="0" r="0" b="0"/>
            <wp:docPr id="2797" name="Image 2797"/>
            <wp:cNvGraphicFramePr>
              <a:graphicFrameLocks/>
            </wp:cNvGraphicFramePr>
            <a:graphic>
              <a:graphicData uri="http://schemas.openxmlformats.org/drawingml/2006/picture">
                <pic:pic>
                  <pic:nvPicPr>
                    <pic:cNvPr id="2797" name="Image 2797"/>
                    <pic:cNvPicPr/>
                  </pic:nvPicPr>
                  <pic:blipFill>
                    <a:blip r:embed="rId52"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Universal</w:t>
      </w:r>
      <w:r>
        <w:rPr>
          <w:rFonts w:ascii="Book Antiqua"/>
          <w:b/>
          <w:color w:val="231F20"/>
          <w:spacing w:val="9"/>
          <w:sz w:val="20"/>
        </w:rPr>
        <w:t> </w:t>
      </w:r>
      <w:r>
        <w:rPr>
          <w:rFonts w:ascii="Book Antiqua"/>
          <w:b/>
          <w:color w:val="231F20"/>
          <w:sz w:val="20"/>
        </w:rPr>
        <w:t>Message</w:t>
      </w:r>
      <w:r>
        <w:rPr>
          <w:rFonts w:ascii="Book Antiqua"/>
          <w:b/>
          <w:color w:val="231F20"/>
          <w:spacing w:val="10"/>
          <w:sz w:val="20"/>
        </w:rPr>
        <w:t> </w:t>
      </w:r>
      <w:r>
        <w:rPr>
          <w:rFonts w:ascii="Book Antiqua"/>
          <w:b/>
          <w:color w:val="231F20"/>
          <w:sz w:val="20"/>
        </w:rPr>
        <w:t>Console</w:t>
      </w:r>
      <w:r>
        <w:rPr>
          <w:rFonts w:ascii="Book Antiqua"/>
          <w:b/>
          <w:color w:val="231F20"/>
          <w:spacing w:val="10"/>
          <w:sz w:val="20"/>
        </w:rPr>
        <w:t> </w:t>
      </w:r>
      <w:r>
        <w:rPr>
          <w:color w:val="231F20"/>
          <w:spacing w:val="-2"/>
          <w:sz w:val="20"/>
        </w:rPr>
        <w:t>view.</w:t>
      </w:r>
    </w:p>
    <w:p>
      <w:pPr>
        <w:pStyle w:val="BodyText"/>
        <w:spacing w:line="211" w:lineRule="auto" w:before="120"/>
        <w:ind w:left="2951" w:right="545" w:hanging="1"/>
      </w:pPr>
      <w:r>
        <w:rPr/>
        <w:drawing>
          <wp:inline distT="0" distB="0" distL="0" distR="0">
            <wp:extent cx="88900" cy="82550"/>
            <wp:effectExtent l="0" t="0" r="0" b="0"/>
            <wp:docPr id="2798" name="Image 2798"/>
            <wp:cNvGraphicFramePr>
              <a:graphicFrameLocks/>
            </wp:cNvGraphicFramePr>
            <a:graphic>
              <a:graphicData uri="http://schemas.openxmlformats.org/drawingml/2006/picture">
                <pic:pic>
                  <pic:nvPicPr>
                    <pic:cNvPr id="2798" name="Image 2798"/>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System Command</w:t>
      </w:r>
      <w:r>
        <w:rPr>
          <w:color w:val="231F20"/>
        </w:rPr>
        <w:t>, when selected, opens a text box for entering the command to issue at the system. The command language is that of the application and operating platform you are running (such as a UNIX </w:t>
      </w:r>
      <w:r>
        <w:rPr>
          <w:color w:val="231F20"/>
        </w:rPr>
        <w:t>shell command to run at a UNIX system).</w:t>
      </w:r>
    </w:p>
    <w:p>
      <w:pPr>
        <w:pStyle w:val="BodyText"/>
        <w:spacing w:line="213" w:lineRule="auto" w:before="61"/>
        <w:ind w:left="3250" w:right="545"/>
      </w:pPr>
      <w:r>
        <w:rPr>
          <w:color w:val="231F20"/>
        </w:rPr>
        <w:t>Example: Windows has a command for sending a message to a </w:t>
      </w:r>
      <w:r>
        <w:rPr>
          <w:color w:val="231F20"/>
        </w:rPr>
        <w:t>system: net send computer_name message, as in net send MYPC Disk is 85%</w:t>
      </w:r>
      <w:r>
        <w:rPr>
          <w:color w:val="231F20"/>
          <w:spacing w:val="40"/>
        </w:rPr>
        <w:t> </w:t>
      </w:r>
      <w:r>
        <w:rPr>
          <w:color w:val="231F20"/>
        </w:rPr>
        <w:t>full. Delete some files.</w:t>
      </w:r>
    </w:p>
    <w:p>
      <w:pPr>
        <w:pStyle w:val="BodyText"/>
        <w:spacing w:line="213" w:lineRule="auto" w:before="58"/>
        <w:ind w:left="3250" w:right="545"/>
      </w:pPr>
      <w:r>
        <w:rPr>
          <w:color w:val="231F20"/>
        </w:rPr>
        <w:t>Example: UNIX has the mail command for directing messages: </w:t>
      </w:r>
      <w:r>
        <w:rPr>
          <w:color w:val="231F20"/>
        </w:rPr>
        <w:t>mail node userID text.</w:t>
      </w:r>
    </w:p>
    <w:p>
      <w:pPr>
        <w:pStyle w:val="Heading6"/>
        <w:ind w:left="2232"/>
      </w:pPr>
      <w:r>
        <w:rPr>
          <w:color w:val="231F20"/>
          <w:spacing w:val="-2"/>
        </w:rPr>
        <w:t>Attribute</w:t>
      </w:r>
    </w:p>
    <w:p>
      <w:pPr>
        <w:pStyle w:val="BodyText"/>
        <w:spacing w:line="213" w:lineRule="auto" w:before="11"/>
        <w:ind w:left="2951" w:right="545"/>
      </w:pPr>
      <w:r>
        <w:rPr>
          <w:color w:val="231F20"/>
        </w:rPr>
        <w:t>A window is opened for choosing an attribute to include in the </w:t>
      </w:r>
      <w:r>
        <w:rPr>
          <w:color w:val="231F20"/>
        </w:rPr>
        <w:t>universal message or system command. In the Select Attribute window, specify an attribute group and item, then click </w:t>
      </w:r>
      <w:r>
        <w:rPr>
          <w:rFonts w:ascii="Book Antiqua"/>
          <w:b/>
          <w:color w:val="231F20"/>
        </w:rPr>
        <w:t>OK</w:t>
      </w:r>
      <w:r>
        <w:rPr>
          <w:color w:val="231F20"/>
        </w:rPr>
        <w:t>.</w:t>
      </w:r>
    </w:p>
    <w:p>
      <w:pPr>
        <w:pStyle w:val="BodyText"/>
        <w:spacing w:line="213" w:lineRule="auto" w:before="118"/>
        <w:ind w:left="2951" w:right="545"/>
      </w:pPr>
      <w:r>
        <w:rPr>
          <w:color w:val="231F20"/>
        </w:rPr>
        <w:t>The attribute you selected is displayed in the </w:t>
      </w:r>
      <w:r>
        <w:rPr>
          <w:rFonts w:ascii="Book Antiqua"/>
          <w:b/>
          <w:color w:val="231F20"/>
        </w:rPr>
        <w:t>Message </w:t>
      </w:r>
      <w:r>
        <w:rPr>
          <w:color w:val="231F20"/>
        </w:rPr>
        <w:t>field or the </w:t>
      </w:r>
      <w:r>
        <w:rPr>
          <w:rFonts w:ascii="Book Antiqua"/>
          <w:b/>
          <w:color w:val="231F20"/>
        </w:rPr>
        <w:t>System Command </w:t>
      </w:r>
      <w:r>
        <w:rPr>
          <w:color w:val="231F20"/>
        </w:rPr>
        <w:t>field. The attribute name is replaced by the actual value </w:t>
      </w:r>
      <w:r>
        <w:rPr>
          <w:color w:val="231F20"/>
        </w:rPr>
        <w:t>during execution of the action. The attributes available for you to select are based on</w:t>
      </w:r>
      <w:r>
        <w:rPr>
          <w:color w:val="231F20"/>
          <w:spacing w:val="27"/>
        </w:rPr>
        <w:t> </w:t>
      </w:r>
      <w:r>
        <w:rPr>
          <w:color w:val="231F20"/>
        </w:rPr>
        <w:t>the</w:t>
      </w:r>
      <w:r>
        <w:rPr>
          <w:color w:val="231F20"/>
          <w:spacing w:val="27"/>
        </w:rPr>
        <w:t> </w:t>
      </w:r>
      <w:r>
        <w:rPr>
          <w:color w:val="231F20"/>
        </w:rPr>
        <w:t>situations</w:t>
      </w:r>
      <w:r>
        <w:rPr>
          <w:color w:val="231F20"/>
          <w:spacing w:val="27"/>
        </w:rPr>
        <w:t> </w:t>
      </w:r>
      <w:r>
        <w:rPr>
          <w:color w:val="231F20"/>
        </w:rPr>
        <w:t>you</w:t>
      </w:r>
      <w:r>
        <w:rPr>
          <w:color w:val="231F20"/>
          <w:spacing w:val="27"/>
        </w:rPr>
        <w:t> </w:t>
      </w:r>
      <w:r>
        <w:rPr>
          <w:color w:val="231F20"/>
        </w:rPr>
        <w:t>have</w:t>
      </w:r>
      <w:r>
        <w:rPr>
          <w:color w:val="231F20"/>
          <w:spacing w:val="27"/>
        </w:rPr>
        <w:t> </w:t>
      </w:r>
      <w:r>
        <w:rPr>
          <w:color w:val="231F20"/>
        </w:rPr>
        <w:t>added</w:t>
      </w:r>
      <w:r>
        <w:rPr>
          <w:color w:val="231F20"/>
          <w:spacing w:val="27"/>
        </w:rPr>
        <w:t> </w:t>
      </w:r>
      <w:r>
        <w:rPr>
          <w:color w:val="231F20"/>
        </w:rPr>
        <w:t>to</w:t>
      </w:r>
      <w:r>
        <w:rPr>
          <w:color w:val="231F20"/>
          <w:spacing w:val="27"/>
        </w:rPr>
        <w:t> </w:t>
      </w:r>
      <w:r>
        <w:rPr>
          <w:color w:val="231F20"/>
        </w:rPr>
        <w:t>the</w:t>
      </w:r>
      <w:r>
        <w:rPr>
          <w:color w:val="231F20"/>
          <w:spacing w:val="27"/>
        </w:rPr>
        <w:t> </w:t>
      </w:r>
      <w:r>
        <w:rPr>
          <w:color w:val="231F20"/>
        </w:rPr>
        <w:t>policy</w:t>
      </w:r>
      <w:r>
        <w:rPr>
          <w:color w:val="231F20"/>
          <w:spacing w:val="27"/>
        </w:rPr>
        <w:t> </w:t>
      </w:r>
      <w:r>
        <w:rPr>
          <w:color w:val="231F20"/>
        </w:rPr>
        <w:t>preceding</w:t>
      </w:r>
      <w:r>
        <w:rPr>
          <w:color w:val="231F20"/>
          <w:spacing w:val="27"/>
        </w:rPr>
        <w:t> </w:t>
      </w:r>
      <w:r>
        <w:rPr>
          <w:color w:val="231F20"/>
        </w:rPr>
        <w:t>the</w:t>
      </w:r>
      <w:r>
        <w:rPr>
          <w:color w:val="231F20"/>
          <w:spacing w:val="27"/>
        </w:rPr>
        <w:t> </w:t>
      </w:r>
      <w:r>
        <w:rPr>
          <w:color w:val="231F20"/>
        </w:rPr>
        <w:t>action.</w:t>
      </w:r>
      <w:r>
        <w:rPr>
          <w:color w:val="231F20"/>
          <w:spacing w:val="27"/>
        </w:rPr>
        <w:t> </w:t>
      </w:r>
      <w:r>
        <w:rPr>
          <w:color w:val="231F20"/>
        </w:rPr>
        <w:t>If there are no situations in the policy, the </w:t>
      </w:r>
      <w:r>
        <w:rPr>
          <w:rFonts w:ascii="Book Antiqua"/>
          <w:b/>
          <w:color w:val="231F20"/>
        </w:rPr>
        <w:t>Attribute </w:t>
      </w:r>
      <w:r>
        <w:rPr>
          <w:color w:val="231F20"/>
        </w:rPr>
        <w:t>button is disabled.</w:t>
      </w:r>
    </w:p>
    <w:p>
      <w:pPr>
        <w:pStyle w:val="BodyText"/>
        <w:spacing w:line="213" w:lineRule="auto" w:before="116"/>
        <w:ind w:left="2951" w:right="545"/>
      </w:pPr>
      <w:r>
        <w:rPr>
          <w:color w:val="231F20"/>
        </w:rPr>
        <w:t>In the example that follows, the command sends an email that </w:t>
      </w:r>
      <w:r>
        <w:rPr>
          <w:color w:val="231F20"/>
        </w:rPr>
        <w:t>reads, "System: MyServer, Disk: D:, Space Available: 15%":</w:t>
      </w:r>
    </w:p>
    <w:p>
      <w:pPr>
        <w:spacing w:line="230" w:lineRule="auto" w:before="68"/>
        <w:ind w:left="2951" w:right="545" w:firstLine="0"/>
        <w:jc w:val="left"/>
        <w:rPr>
          <w:rFonts w:ascii="Arial"/>
          <w:sz w:val="18"/>
        </w:rPr>
      </w:pPr>
      <w:r>
        <w:rPr>
          <w:rFonts w:ascii="Arial"/>
          <w:color w:val="231F20"/>
          <w:sz w:val="18"/>
        </w:rPr>
        <w:t>echo</w:t>
      </w:r>
      <w:r>
        <w:rPr>
          <w:rFonts w:ascii="Arial"/>
          <w:color w:val="231F20"/>
          <w:spacing w:val="10"/>
          <w:sz w:val="18"/>
        </w:rPr>
        <w:t> </w:t>
      </w:r>
      <w:r>
        <w:rPr>
          <w:rFonts w:ascii="Arial"/>
          <w:color w:val="231F20"/>
          <w:sz w:val="18"/>
        </w:rPr>
        <w:t>System:</w:t>
      </w:r>
      <w:r>
        <w:rPr>
          <w:rFonts w:ascii="Arial"/>
          <w:color w:val="231F20"/>
          <w:spacing w:val="10"/>
          <w:sz w:val="18"/>
        </w:rPr>
        <w:t> </w:t>
      </w:r>
      <w:r>
        <w:rPr>
          <w:rFonts w:ascii="Arial"/>
          <w:color w:val="231F20"/>
          <w:sz w:val="18"/>
        </w:rPr>
        <w:t>&amp;NT_Logical_Disk.Server_Name;,</w:t>
      </w:r>
      <w:r>
        <w:rPr>
          <w:rFonts w:ascii="Arial"/>
          <w:color w:val="231F20"/>
          <w:spacing w:val="10"/>
          <w:sz w:val="18"/>
        </w:rPr>
        <w:t> </w:t>
      </w:r>
      <w:r>
        <w:rPr>
          <w:rFonts w:ascii="Arial"/>
          <w:color w:val="231F20"/>
          <w:sz w:val="18"/>
        </w:rPr>
        <w:t>Disk: &amp;NT_Logical_Disk.Disk_Name;,</w:t>
      </w:r>
      <w:r>
        <w:rPr>
          <w:rFonts w:ascii="Arial"/>
          <w:color w:val="231F20"/>
          <w:spacing w:val="40"/>
          <w:sz w:val="18"/>
        </w:rPr>
        <w:t> </w:t>
      </w:r>
      <w:r>
        <w:rPr>
          <w:rFonts w:ascii="Arial"/>
          <w:color w:val="231F20"/>
          <w:sz w:val="18"/>
        </w:rPr>
        <w:t>Space</w:t>
      </w:r>
      <w:r>
        <w:rPr>
          <w:rFonts w:ascii="Arial"/>
          <w:color w:val="231F20"/>
          <w:spacing w:val="40"/>
          <w:sz w:val="18"/>
        </w:rPr>
        <w:t> </w:t>
      </w:r>
      <w:r>
        <w:rPr>
          <w:rFonts w:ascii="Arial"/>
          <w:color w:val="231F20"/>
          <w:sz w:val="18"/>
        </w:rPr>
        <w:t>Available: &amp;NT_Logical_Disk.;%_Free%|mail</w:t>
      </w:r>
      <w:r>
        <w:rPr>
          <w:rFonts w:ascii="Arial"/>
          <w:color w:val="231F20"/>
          <w:spacing w:val="40"/>
          <w:sz w:val="18"/>
        </w:rPr>
        <w:t> </w:t>
      </w:r>
      <w:r>
        <w:rPr>
          <w:rFonts w:ascii="Arial"/>
          <w:color w:val="231F20"/>
          <w:sz w:val="18"/>
        </w:rPr>
        <w:t>userID.</w:t>
      </w:r>
    </w:p>
    <w:p>
      <w:pPr>
        <w:pStyle w:val="Heading6"/>
        <w:spacing w:line="240" w:lineRule="auto" w:before="132"/>
        <w:ind w:left="2232"/>
      </w:pPr>
      <w:r>
        <w:rPr>
          <w:color w:val="231F20"/>
        </w:rPr>
        <w:t>More</w:t>
      </w:r>
      <w:r>
        <w:rPr>
          <w:color w:val="231F20"/>
          <w:spacing w:val="11"/>
        </w:rPr>
        <w:t> </w:t>
      </w:r>
      <w:r>
        <w:rPr>
          <w:color w:val="231F20"/>
          <w:spacing w:val="-2"/>
        </w:rPr>
        <w:t>Options</w:t>
      </w:r>
    </w:p>
    <w:p>
      <w:pPr>
        <w:spacing w:line="229" w:lineRule="exact" w:before="118"/>
        <w:ind w:left="2951" w:right="0" w:firstLine="0"/>
        <w:jc w:val="left"/>
        <w:rPr>
          <w:rFonts w:ascii="Book Antiqua"/>
          <w:b/>
          <w:sz w:val="20"/>
        </w:rPr>
      </w:pPr>
      <w:r>
        <w:rPr>
          <w:rFonts w:ascii="Book Antiqua"/>
          <w:b/>
          <w:color w:val="231F20"/>
          <w:sz w:val="20"/>
        </w:rPr>
        <w:t>If</w:t>
      </w:r>
      <w:r>
        <w:rPr>
          <w:rFonts w:ascii="Book Antiqua"/>
          <w:b/>
          <w:color w:val="231F20"/>
          <w:spacing w:val="11"/>
          <w:sz w:val="20"/>
        </w:rPr>
        <w:t> </w:t>
      </w:r>
      <w:r>
        <w:rPr>
          <w:rFonts w:ascii="Book Antiqua"/>
          <w:b/>
          <w:color w:val="231F20"/>
          <w:sz w:val="20"/>
        </w:rPr>
        <w:t>multiple</w:t>
      </w:r>
      <w:r>
        <w:rPr>
          <w:rFonts w:ascii="Book Antiqua"/>
          <w:b/>
          <w:color w:val="231F20"/>
          <w:spacing w:val="12"/>
          <w:sz w:val="20"/>
        </w:rPr>
        <w:t> </w:t>
      </w:r>
      <w:r>
        <w:rPr>
          <w:rFonts w:ascii="Book Antiqua"/>
          <w:b/>
          <w:color w:val="231F20"/>
          <w:sz w:val="20"/>
        </w:rPr>
        <w:t>data</w:t>
      </w:r>
      <w:r>
        <w:rPr>
          <w:rFonts w:ascii="Book Antiqua"/>
          <w:b/>
          <w:color w:val="231F20"/>
          <w:spacing w:val="12"/>
          <w:sz w:val="20"/>
        </w:rPr>
        <w:t> </w:t>
      </w:r>
      <w:r>
        <w:rPr>
          <w:rFonts w:ascii="Book Antiqua"/>
          <w:b/>
          <w:color w:val="231F20"/>
          <w:sz w:val="20"/>
        </w:rPr>
        <w:t>items</w:t>
      </w:r>
      <w:r>
        <w:rPr>
          <w:rFonts w:ascii="Book Antiqua"/>
          <w:b/>
          <w:color w:val="231F20"/>
          <w:spacing w:val="12"/>
          <w:sz w:val="20"/>
        </w:rPr>
        <w:t> </w:t>
      </w:r>
      <w:r>
        <w:rPr>
          <w:rFonts w:ascii="Book Antiqua"/>
          <w:b/>
          <w:color w:val="231F20"/>
          <w:sz w:val="20"/>
        </w:rPr>
        <w:t>are</w:t>
      </w:r>
      <w:r>
        <w:rPr>
          <w:rFonts w:ascii="Book Antiqua"/>
          <w:b/>
          <w:color w:val="231F20"/>
          <w:spacing w:val="11"/>
          <w:sz w:val="20"/>
        </w:rPr>
        <w:t> </w:t>
      </w:r>
      <w:r>
        <w:rPr>
          <w:rFonts w:ascii="Book Antiqua"/>
          <w:b/>
          <w:color w:val="231F20"/>
          <w:spacing w:val="-2"/>
          <w:sz w:val="20"/>
        </w:rPr>
        <w:t>returned</w:t>
      </w:r>
    </w:p>
    <w:p>
      <w:pPr>
        <w:pStyle w:val="BodyText"/>
        <w:spacing w:line="213" w:lineRule="auto" w:before="11"/>
        <w:ind w:left="3669" w:right="545"/>
      </w:pPr>
      <w:r>
        <w:rPr>
          <w:color w:val="231F20"/>
        </w:rPr>
        <w:t>These options determine what action to take if more than one monitored</w:t>
      </w:r>
      <w:r>
        <w:rPr>
          <w:color w:val="231F20"/>
          <w:spacing w:val="10"/>
        </w:rPr>
        <w:t> </w:t>
      </w:r>
      <w:r>
        <w:rPr>
          <w:color w:val="231F20"/>
        </w:rPr>
        <w:t>item</w:t>
      </w:r>
      <w:r>
        <w:rPr>
          <w:color w:val="231F20"/>
          <w:spacing w:val="11"/>
        </w:rPr>
        <w:t> </w:t>
      </w:r>
      <w:r>
        <w:rPr>
          <w:color w:val="231F20"/>
        </w:rPr>
        <w:t>of</w:t>
      </w:r>
      <w:r>
        <w:rPr>
          <w:color w:val="231F20"/>
          <w:spacing w:val="10"/>
        </w:rPr>
        <w:t> </w:t>
      </w:r>
      <w:r>
        <w:rPr>
          <w:color w:val="231F20"/>
        </w:rPr>
        <w:t>data</w:t>
      </w:r>
      <w:r>
        <w:rPr>
          <w:color w:val="231F20"/>
          <w:spacing w:val="11"/>
        </w:rPr>
        <w:t> </w:t>
      </w:r>
      <w:r>
        <w:rPr>
          <w:color w:val="231F20"/>
        </w:rPr>
        <w:t>is</w:t>
      </w:r>
      <w:r>
        <w:rPr>
          <w:color w:val="231F20"/>
          <w:spacing w:val="10"/>
        </w:rPr>
        <w:t> </w:t>
      </w:r>
      <w:r>
        <w:rPr>
          <w:color w:val="231F20"/>
        </w:rPr>
        <w:t>returned</w:t>
      </w:r>
      <w:r>
        <w:rPr>
          <w:color w:val="231F20"/>
          <w:spacing w:val="11"/>
        </w:rPr>
        <w:t> </w:t>
      </w:r>
      <w:r>
        <w:rPr>
          <w:color w:val="231F20"/>
        </w:rPr>
        <w:t>by</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spacing w:val="-2"/>
        </w:rPr>
        <w:t>evaluation:</w:t>
      </w:r>
    </w:p>
    <w:p>
      <w:pPr>
        <w:spacing w:line="211" w:lineRule="auto" w:before="126"/>
        <w:ind w:left="3669" w:right="583" w:firstLine="0"/>
        <w:jc w:val="both"/>
        <w:rPr>
          <w:sz w:val="20"/>
        </w:rPr>
      </w:pPr>
      <w:r>
        <w:rPr/>
        <w:drawing>
          <wp:inline distT="0" distB="0" distL="0" distR="0">
            <wp:extent cx="88900" cy="82550"/>
            <wp:effectExtent l="0" t="0" r="0" b="0"/>
            <wp:docPr id="2799" name="Image 2799"/>
            <wp:cNvGraphicFramePr>
              <a:graphicFrameLocks/>
            </wp:cNvGraphicFramePr>
            <a:graphic>
              <a:graphicData uri="http://schemas.openxmlformats.org/drawingml/2006/picture">
                <pic:pic>
                  <pic:nvPicPr>
                    <pic:cNvPr id="2799" name="Image 2799"/>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Only take action on first item </w:t>
      </w:r>
      <w:r>
        <w:rPr>
          <w:color w:val="231F20"/>
          <w:sz w:val="20"/>
        </w:rPr>
        <w:t>issues the universal message or the system command on only the first item of data that meets </w:t>
      </w:r>
      <w:r>
        <w:rPr>
          <w:color w:val="231F20"/>
          <w:sz w:val="20"/>
        </w:rPr>
        <w:t>the situation criteria.</w:t>
      </w:r>
    </w:p>
    <w:p>
      <w:pPr>
        <w:spacing w:line="211" w:lineRule="auto" w:before="125"/>
        <w:ind w:left="3669" w:right="545" w:firstLine="0"/>
        <w:jc w:val="left"/>
        <w:rPr>
          <w:sz w:val="20"/>
        </w:rPr>
      </w:pPr>
      <w:r>
        <w:rPr/>
        <w:drawing>
          <wp:inline distT="0" distB="0" distL="0" distR="0">
            <wp:extent cx="88900" cy="82550"/>
            <wp:effectExtent l="0" t="0" r="0" b="0"/>
            <wp:docPr id="2800" name="Image 2800"/>
            <wp:cNvGraphicFramePr>
              <a:graphicFrameLocks/>
            </wp:cNvGraphicFramePr>
            <a:graphic>
              <a:graphicData uri="http://schemas.openxmlformats.org/drawingml/2006/picture">
                <pic:pic>
                  <pic:nvPicPr>
                    <pic:cNvPr id="2800" name="Image 2800"/>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Take action on each item from activity </w:t>
      </w:r>
      <w:r>
        <w:rPr>
          <w:color w:val="231F20"/>
          <w:sz w:val="20"/>
        </w:rPr>
        <w:t>issues the universal message or system command on all items of data generated by </w:t>
      </w:r>
      <w:r>
        <w:rPr>
          <w:color w:val="231F20"/>
          <w:sz w:val="20"/>
        </w:rPr>
        <w:t>the situation specified in the activity selected from the </w:t>
      </w:r>
      <w:r>
        <w:rPr>
          <w:color w:val="231F20"/>
          <w:spacing w:val="15"/>
          <w:position w:val="-1"/>
          <w:sz w:val="20"/>
        </w:rPr>
        <w:drawing>
          <wp:inline distT="0" distB="0" distL="0" distR="0">
            <wp:extent cx="101600" cy="101600"/>
            <wp:effectExtent l="0" t="0" r="0" b="0"/>
            <wp:docPr id="2801" name="Image 2801"/>
            <wp:cNvGraphicFramePr>
              <a:graphicFrameLocks/>
            </wp:cNvGraphicFramePr>
            <a:graphic>
              <a:graphicData uri="http://schemas.openxmlformats.org/drawingml/2006/picture">
                <pic:pic>
                  <pic:nvPicPr>
                    <pic:cNvPr id="2801" name="Image 280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list. The ID</w:t>
      </w:r>
    </w:p>
    <w:p>
      <w:pPr>
        <w:spacing w:after="0" w:line="211" w:lineRule="auto"/>
        <w:jc w:val="left"/>
        <w:rPr>
          <w:sz w:val="20"/>
        </w:rPr>
        <w:sectPr>
          <w:pgSz w:w="12240" w:h="15840"/>
          <w:pgMar w:header="0" w:footer="736" w:top="1180" w:bottom="920" w:left="1000" w:right="1060"/>
        </w:sectPr>
      </w:pPr>
    </w:p>
    <w:p>
      <w:pPr>
        <w:pStyle w:val="BodyText"/>
        <w:spacing w:line="213" w:lineRule="auto" w:before="85"/>
        <w:ind w:left="3909"/>
      </w:pPr>
      <w:r>
        <w:rPr>
          <w:color w:val="231F20"/>
        </w:rPr>
        <w:t>for an activity is shown in the Grapher View when you move </w:t>
      </w:r>
      <w:r>
        <w:rPr>
          <w:color w:val="231F20"/>
        </w:rPr>
        <w:t>the mouse pointer over the activity graphic.</w:t>
      </w:r>
    </w:p>
    <w:p>
      <w:pPr>
        <w:pStyle w:val="BodyText"/>
        <w:spacing w:line="255" w:lineRule="exact" w:before="95"/>
        <w:ind w:left="3909"/>
      </w:pPr>
      <w:r>
        <w:rPr>
          <w:color w:val="231F20"/>
        </w:rPr>
        <w:t>The</w:t>
      </w:r>
      <w:r>
        <w:rPr>
          <w:color w:val="231F20"/>
          <w:spacing w:val="10"/>
        </w:rPr>
        <w:t> </w:t>
      </w:r>
      <w:r>
        <w:rPr>
          <w:color w:val="231F20"/>
        </w:rPr>
        <w:t>results</w:t>
      </w:r>
      <w:r>
        <w:rPr>
          <w:color w:val="231F20"/>
          <w:spacing w:val="10"/>
        </w:rPr>
        <w:t> </w:t>
      </w:r>
      <w:r>
        <w:rPr>
          <w:color w:val="231F20"/>
        </w:rPr>
        <w:t>data</w:t>
      </w:r>
      <w:r>
        <w:rPr>
          <w:color w:val="231F20"/>
          <w:spacing w:val="10"/>
        </w:rPr>
        <w:t> </w:t>
      </w:r>
      <w:r>
        <w:rPr>
          <w:color w:val="231F20"/>
        </w:rPr>
        <w:t>returned</w:t>
      </w:r>
      <w:r>
        <w:rPr>
          <w:color w:val="231F20"/>
          <w:spacing w:val="10"/>
        </w:rPr>
        <w:t> </w:t>
      </w:r>
      <w:r>
        <w:rPr>
          <w:color w:val="231F20"/>
        </w:rPr>
        <w:t>from</w:t>
      </w:r>
      <w:r>
        <w:rPr>
          <w:color w:val="231F20"/>
          <w:spacing w:val="10"/>
        </w:rPr>
        <w:t> </w:t>
      </w:r>
      <w:r>
        <w:rPr>
          <w:color w:val="231F20"/>
        </w:rPr>
        <w:t>each</w:t>
      </w:r>
      <w:r>
        <w:rPr>
          <w:color w:val="231F20"/>
          <w:spacing w:val="10"/>
        </w:rPr>
        <w:t> </w:t>
      </w:r>
      <w:r>
        <w:rPr>
          <w:color w:val="231F20"/>
        </w:rPr>
        <w:t>of</w:t>
      </w:r>
      <w:r>
        <w:rPr>
          <w:color w:val="231F20"/>
          <w:spacing w:val="10"/>
        </w:rPr>
        <w:t> </w:t>
      </w:r>
      <w:r>
        <w:rPr>
          <w:color w:val="231F20"/>
        </w:rPr>
        <w:t>these</w:t>
      </w:r>
      <w:r>
        <w:rPr>
          <w:color w:val="231F20"/>
          <w:spacing w:val="10"/>
        </w:rPr>
        <w:t> </w:t>
      </w:r>
      <w:r>
        <w:rPr>
          <w:color w:val="231F20"/>
          <w:spacing w:val="-2"/>
        </w:rPr>
        <w:t>individual</w:t>
      </w:r>
    </w:p>
    <w:p>
      <w:pPr>
        <w:pStyle w:val="BodyText"/>
        <w:spacing w:line="213" w:lineRule="auto" w:before="8"/>
        <w:ind w:left="3909" w:right="167"/>
      </w:pPr>
      <w:r>
        <w:rPr>
          <w:color w:val="231F20"/>
        </w:rPr>
        <w:t>situation-based activities might originate from the same attribute group on an agent or from attribute groups on different agents. </w:t>
      </w:r>
      <w:r>
        <w:rPr>
          <w:color w:val="231F20"/>
        </w:rPr>
        <w:t>For example, the workflow might be triggered by an OMEGAMON XE for</w:t>
      </w:r>
      <w:r>
        <w:rPr>
          <w:color w:val="231F20"/>
          <w:spacing w:val="32"/>
        </w:rPr>
        <w:t> </w:t>
      </w:r>
      <w:r>
        <w:rPr>
          <w:color w:val="231F20"/>
        </w:rPr>
        <w:t>CICS</w:t>
      </w:r>
      <w:r>
        <w:rPr>
          <w:color w:val="231F20"/>
          <w:spacing w:val="32"/>
        </w:rPr>
        <w:t> </w:t>
      </w:r>
      <w:r>
        <w:rPr>
          <w:color w:val="231F20"/>
        </w:rPr>
        <w:t>on</w:t>
      </w:r>
      <w:r>
        <w:rPr>
          <w:color w:val="231F20"/>
          <w:spacing w:val="32"/>
        </w:rPr>
        <w:t> </w:t>
      </w:r>
      <w:r>
        <w:rPr>
          <w:color w:val="231F20"/>
        </w:rPr>
        <w:t>z/OS</w:t>
      </w:r>
      <w:r>
        <w:rPr>
          <w:color w:val="231F20"/>
          <w:spacing w:val="32"/>
        </w:rPr>
        <w:t> </w:t>
      </w:r>
      <w:r>
        <w:rPr>
          <w:color w:val="231F20"/>
        </w:rPr>
        <w:t>situation</w:t>
      </w:r>
      <w:r>
        <w:rPr>
          <w:color w:val="231F20"/>
          <w:spacing w:val="32"/>
        </w:rPr>
        <w:t> </w:t>
      </w:r>
      <w:r>
        <w:rPr>
          <w:color w:val="231F20"/>
        </w:rPr>
        <w:t>that</w:t>
      </w:r>
      <w:r>
        <w:rPr>
          <w:color w:val="231F20"/>
          <w:spacing w:val="32"/>
        </w:rPr>
        <w:t> </w:t>
      </w:r>
      <w:r>
        <w:rPr>
          <w:color w:val="231F20"/>
        </w:rPr>
        <w:t>monitors</w:t>
      </w:r>
      <w:r>
        <w:rPr>
          <w:color w:val="231F20"/>
          <w:spacing w:val="32"/>
        </w:rPr>
        <w:t> </w:t>
      </w:r>
      <w:r>
        <w:rPr>
          <w:color w:val="231F20"/>
        </w:rPr>
        <w:t>for</w:t>
      </w:r>
      <w:r>
        <w:rPr>
          <w:color w:val="231F20"/>
          <w:spacing w:val="32"/>
        </w:rPr>
        <w:t> </w:t>
      </w:r>
      <w:r>
        <w:rPr>
          <w:color w:val="231F20"/>
        </w:rPr>
        <w:t>delayed</w:t>
      </w:r>
      <w:r>
        <w:rPr>
          <w:color w:val="231F20"/>
          <w:spacing w:val="32"/>
        </w:rPr>
        <w:t> </w:t>
      </w:r>
      <w:r>
        <w:rPr>
          <w:color w:val="231F20"/>
        </w:rPr>
        <w:t>transactions on an CICS monitoring agent, (activity ID </w:t>
      </w:r>
      <w:r>
        <w:rPr>
          <w:rFonts w:ascii="Book Antiqua"/>
          <w:i/>
          <w:color w:val="231F20"/>
        </w:rPr>
        <w:t>WaitOnSituation1</w:t>
      </w:r>
      <w:r>
        <w:rPr>
          <w:color w:val="231F20"/>
        </w:rPr>
        <w:t>) and might</w:t>
      </w:r>
      <w:r>
        <w:rPr>
          <w:color w:val="231F20"/>
          <w:spacing w:val="30"/>
        </w:rPr>
        <w:t> </w:t>
      </w:r>
      <w:r>
        <w:rPr>
          <w:color w:val="231F20"/>
        </w:rPr>
        <w:t>then</w:t>
      </w:r>
      <w:r>
        <w:rPr>
          <w:color w:val="231F20"/>
          <w:spacing w:val="30"/>
        </w:rPr>
        <w:t> </w:t>
      </w:r>
      <w:r>
        <w:rPr>
          <w:color w:val="231F20"/>
        </w:rPr>
        <w:t>evaluate</w:t>
      </w:r>
      <w:r>
        <w:rPr>
          <w:color w:val="231F20"/>
          <w:spacing w:val="30"/>
        </w:rPr>
        <w:t> </w:t>
      </w:r>
      <w:r>
        <w:rPr>
          <w:color w:val="231F20"/>
        </w:rPr>
        <w:t>the</w:t>
      </w:r>
      <w:r>
        <w:rPr>
          <w:color w:val="231F20"/>
          <w:spacing w:val="30"/>
        </w:rPr>
        <w:t> </w:t>
      </w:r>
      <w:r>
        <w:rPr>
          <w:color w:val="231F20"/>
        </w:rPr>
        <w:t>state</w:t>
      </w:r>
      <w:r>
        <w:rPr>
          <w:color w:val="231F20"/>
          <w:spacing w:val="30"/>
        </w:rPr>
        <w:t> </w:t>
      </w:r>
      <w:r>
        <w:rPr>
          <w:color w:val="231F20"/>
        </w:rPr>
        <w:t>of</w:t>
      </w:r>
      <w:r>
        <w:rPr>
          <w:color w:val="231F20"/>
          <w:spacing w:val="30"/>
        </w:rPr>
        <w:t> </w:t>
      </w:r>
      <w:r>
        <w:rPr>
          <w:color w:val="231F20"/>
        </w:rPr>
        <w:t>a</w:t>
      </w:r>
      <w:r>
        <w:rPr>
          <w:color w:val="231F20"/>
          <w:spacing w:val="30"/>
        </w:rPr>
        <w:t> </w:t>
      </w:r>
      <w:r>
        <w:rPr>
          <w:color w:val="231F20"/>
        </w:rPr>
        <w:t>situation</w:t>
      </w:r>
      <w:r>
        <w:rPr>
          <w:color w:val="231F20"/>
          <w:spacing w:val="30"/>
        </w:rPr>
        <w:t> </w:t>
      </w:r>
      <w:r>
        <w:rPr>
          <w:color w:val="231F20"/>
        </w:rPr>
        <w:t>that</w:t>
      </w:r>
      <w:r>
        <w:rPr>
          <w:color w:val="231F20"/>
          <w:spacing w:val="30"/>
        </w:rPr>
        <w:t> </w:t>
      </w:r>
      <w:r>
        <w:rPr>
          <w:color w:val="231F20"/>
        </w:rPr>
        <w:t>monitors</w:t>
      </w:r>
      <w:r>
        <w:rPr>
          <w:color w:val="231F20"/>
          <w:spacing w:val="30"/>
        </w:rPr>
        <w:t> </w:t>
      </w:r>
      <w:r>
        <w:rPr>
          <w:color w:val="231F20"/>
        </w:rPr>
        <w:t>threads on an OMEGAMON XE for DB2 monitoring agent, (activity ID </w:t>
      </w:r>
      <w:r>
        <w:rPr>
          <w:rFonts w:ascii="Book Antiqua"/>
          <w:i/>
          <w:color w:val="231F20"/>
          <w:spacing w:val="-2"/>
        </w:rPr>
        <w:t>EvaluateSituation2</w:t>
      </w:r>
      <w:r>
        <w:rPr>
          <w:color w:val="231F20"/>
          <w:spacing w:val="-2"/>
        </w:rPr>
        <w:t>).</w:t>
      </w:r>
    </w:p>
    <w:p>
      <w:pPr>
        <w:pStyle w:val="BodyText"/>
        <w:spacing w:line="213" w:lineRule="auto" w:before="114"/>
        <w:ind w:left="3909" w:right="385"/>
      </w:pPr>
      <w:r>
        <w:rPr>
          <w:color w:val="231F20"/>
        </w:rPr>
        <w:t>Some situations can return a single row and others can return multiple rows for each sample. You can control the number of universal messages or system commands to issue when there are multiple situation rows: a message or a command can be sent for the first row only or for every row. As mentioned earlier, though, there can be multiple sets of situation data originating from different activities. Select this radio button to control which set </w:t>
      </w:r>
      <w:r>
        <w:rPr>
          <w:color w:val="231F20"/>
        </w:rPr>
        <w:t>of results data to use.</w:t>
      </w:r>
    </w:p>
    <w:p>
      <w:pPr>
        <w:pStyle w:val="BodyText"/>
        <w:spacing w:line="213" w:lineRule="auto" w:before="115"/>
        <w:ind w:left="3909" w:right="258"/>
      </w:pPr>
      <w:r>
        <w:rPr>
          <w:color w:val="231F20"/>
        </w:rPr>
        <w:t>Referring to the earlier example, send one command for every row returned by the CICS situation by selecting </w:t>
      </w:r>
      <w:r>
        <w:rPr>
          <w:rFonts w:ascii="Book Antiqua"/>
          <w:i/>
          <w:color w:val="231F20"/>
        </w:rPr>
        <w:t>WaitOnSituation1</w:t>
      </w:r>
      <w:r>
        <w:rPr>
          <w:color w:val="231F20"/>
        </w:rPr>
        <w:t>; or</w:t>
      </w:r>
      <w:r>
        <w:rPr>
          <w:color w:val="231F20"/>
          <w:spacing w:val="40"/>
        </w:rPr>
        <w:t> </w:t>
      </w:r>
      <w:r>
        <w:rPr>
          <w:color w:val="231F20"/>
        </w:rPr>
        <w:t>send one command for every row returned by the DB2 situation </w:t>
      </w:r>
      <w:r>
        <w:rPr>
          <w:color w:val="231F20"/>
        </w:rPr>
        <w:t>by selecting </w:t>
      </w:r>
      <w:r>
        <w:rPr>
          <w:rFonts w:ascii="Book Antiqua"/>
          <w:i/>
          <w:color w:val="231F20"/>
        </w:rPr>
        <w:t>EvaluateSituation2</w:t>
      </w:r>
      <w:r>
        <w:rPr>
          <w:color w:val="231F20"/>
        </w:rPr>
        <w:t>.</w:t>
      </w:r>
    </w:p>
    <w:p>
      <w:pPr>
        <w:pStyle w:val="BodyText"/>
        <w:spacing w:line="211" w:lineRule="auto" w:before="124"/>
        <w:ind w:left="3909" w:right="258"/>
      </w:pPr>
      <w:r>
        <w:rPr/>
        <w:drawing>
          <wp:inline distT="0" distB="0" distL="0" distR="0">
            <wp:extent cx="82550" cy="82550"/>
            <wp:effectExtent l="0" t="0" r="0" b="0"/>
            <wp:docPr id="2802" name="Image 2802"/>
            <wp:cNvGraphicFramePr>
              <a:graphicFrameLocks/>
            </wp:cNvGraphicFramePr>
            <a:graphic>
              <a:graphicData uri="http://schemas.openxmlformats.org/drawingml/2006/picture">
                <pic:pic>
                  <pic:nvPicPr>
                    <pic:cNvPr id="2802" name="Image 2802"/>
                    <pic:cNvPicPr/>
                  </pic:nvPicPr>
                  <pic:blipFill>
                    <a:blip r:embed="rId120" cstate="print"/>
                    <a:stretch>
                      <a:fillRect/>
                    </a:stretch>
                  </pic:blipFill>
                  <pic:spPr>
                    <a:xfrm>
                      <a:off x="0" y="0"/>
                      <a:ext cx="82550" cy="82550"/>
                    </a:xfrm>
                    <a:prstGeom prst="rect">
                      <a:avLst/>
                    </a:prstGeom>
                  </pic:spPr>
                </pic:pic>
              </a:graphicData>
            </a:graphic>
          </wp:inline>
        </w:drawing>
      </w:r>
      <w:r>
        <w:rPr/>
      </w:r>
      <w:r>
        <w:rPr>
          <w:rFonts w:ascii="Times New Roman"/>
          <w:spacing w:val="80"/>
        </w:rPr>
        <w:t> </w:t>
      </w:r>
      <w:r>
        <w:rPr>
          <w:rFonts w:ascii="Book Antiqua"/>
          <w:b/>
          <w:color w:val="231F20"/>
        </w:rPr>
        <w:t>Continue</w:t>
      </w:r>
      <w:r>
        <w:rPr>
          <w:rFonts w:ascii="Book Antiqua"/>
          <w:b/>
          <w:color w:val="231F20"/>
          <w:spacing w:val="32"/>
        </w:rPr>
        <w:t> </w:t>
      </w:r>
      <w:r>
        <w:rPr>
          <w:rFonts w:ascii="Book Antiqua"/>
          <w:b/>
          <w:color w:val="231F20"/>
        </w:rPr>
        <w:t>processing</w:t>
      </w:r>
      <w:r>
        <w:rPr>
          <w:rFonts w:ascii="Book Antiqua"/>
          <w:b/>
          <w:color w:val="231F20"/>
          <w:spacing w:val="32"/>
        </w:rPr>
        <w:t> </w:t>
      </w:r>
      <w:r>
        <w:rPr>
          <w:rFonts w:ascii="Book Antiqua"/>
          <w:b/>
          <w:color w:val="231F20"/>
        </w:rPr>
        <w:t>rows</w:t>
      </w:r>
      <w:r>
        <w:rPr>
          <w:rFonts w:ascii="Book Antiqua"/>
          <w:b/>
          <w:color w:val="231F20"/>
          <w:spacing w:val="32"/>
        </w:rPr>
        <w:t> </w:t>
      </w:r>
      <w:r>
        <w:rPr>
          <w:rFonts w:ascii="Book Antiqua"/>
          <w:b/>
          <w:color w:val="231F20"/>
        </w:rPr>
        <w:t>on</w:t>
      </w:r>
      <w:r>
        <w:rPr>
          <w:rFonts w:ascii="Book Antiqua"/>
          <w:b/>
          <w:color w:val="231F20"/>
          <w:spacing w:val="32"/>
        </w:rPr>
        <w:t> </w:t>
      </w:r>
      <w:r>
        <w:rPr>
          <w:rFonts w:ascii="Book Antiqua"/>
          <w:b/>
          <w:color w:val="231F20"/>
        </w:rPr>
        <w:t>failure</w:t>
      </w:r>
      <w:r>
        <w:rPr>
          <w:color w:val="231F20"/>
        </w:rPr>
        <w:t>,</w:t>
      </w:r>
      <w:r>
        <w:rPr>
          <w:color w:val="231F20"/>
          <w:spacing w:val="32"/>
        </w:rPr>
        <w:t> </w:t>
      </w:r>
      <w:r>
        <w:rPr>
          <w:color w:val="231F20"/>
        </w:rPr>
        <w:t>when</w:t>
      </w:r>
      <w:r>
        <w:rPr>
          <w:color w:val="231F20"/>
          <w:spacing w:val="32"/>
        </w:rPr>
        <w:t> </w:t>
      </w:r>
      <w:r>
        <w:rPr>
          <w:color w:val="231F20"/>
        </w:rPr>
        <w:t>selected,</w:t>
      </w:r>
      <w:r>
        <w:rPr>
          <w:color w:val="231F20"/>
          <w:spacing w:val="32"/>
        </w:rPr>
        <w:t> </w:t>
      </w:r>
      <w:r>
        <w:rPr>
          <w:color w:val="231F20"/>
        </w:rPr>
        <w:t>keeps track of both the rows for which the command failed and those </w:t>
      </w:r>
      <w:r>
        <w:rPr>
          <w:color w:val="231F20"/>
        </w:rPr>
        <w:t>for which it succeeded. A policy can be constructed so that one path is taken for the rows that succeeded and another for the rows that </w:t>
      </w:r>
      <w:r>
        <w:rPr>
          <w:color w:val="231F20"/>
          <w:spacing w:val="-2"/>
        </w:rPr>
        <w:t>failed.</w:t>
      </w:r>
    </w:p>
    <w:p>
      <w:pPr>
        <w:pStyle w:val="BodyText"/>
        <w:spacing w:line="213" w:lineRule="auto" w:before="122"/>
        <w:ind w:left="3909" w:right="258"/>
      </w:pPr>
      <w:r>
        <w:rPr>
          <w:color w:val="231F20"/>
        </w:rPr>
        <w:t>This</w:t>
      </w:r>
      <w:r>
        <w:rPr>
          <w:color w:val="231F20"/>
          <w:spacing w:val="27"/>
        </w:rPr>
        <w:t> </w:t>
      </w:r>
      <w:r>
        <w:rPr>
          <w:color w:val="231F20"/>
        </w:rPr>
        <w:t>is</w:t>
      </w:r>
      <w:r>
        <w:rPr>
          <w:color w:val="231F20"/>
          <w:spacing w:val="27"/>
        </w:rPr>
        <w:t> </w:t>
      </w:r>
      <w:r>
        <w:rPr>
          <w:color w:val="231F20"/>
        </w:rPr>
        <w:t>a</w:t>
      </w:r>
      <w:r>
        <w:rPr>
          <w:color w:val="231F20"/>
          <w:spacing w:val="27"/>
        </w:rPr>
        <w:t> </w:t>
      </w:r>
      <w:r>
        <w:rPr>
          <w:color w:val="231F20"/>
        </w:rPr>
        <w:t>useful</w:t>
      </w:r>
      <w:r>
        <w:rPr>
          <w:color w:val="231F20"/>
          <w:spacing w:val="27"/>
        </w:rPr>
        <w:t> </w:t>
      </w:r>
      <w:r>
        <w:rPr>
          <w:color w:val="231F20"/>
        </w:rPr>
        <w:t>feature</w:t>
      </w:r>
      <w:r>
        <w:rPr>
          <w:color w:val="231F20"/>
          <w:spacing w:val="27"/>
        </w:rPr>
        <w:t> </w:t>
      </w:r>
      <w:r>
        <w:rPr>
          <w:color w:val="231F20"/>
        </w:rPr>
        <w:t>when,</w:t>
      </w:r>
      <w:r>
        <w:rPr>
          <w:color w:val="231F20"/>
          <w:spacing w:val="27"/>
        </w:rPr>
        <w:t> </w:t>
      </w:r>
      <w:r>
        <w:rPr>
          <w:color w:val="231F20"/>
        </w:rPr>
        <w:t>for</w:t>
      </w:r>
      <w:r>
        <w:rPr>
          <w:color w:val="231F20"/>
          <w:spacing w:val="27"/>
        </w:rPr>
        <w:t> </w:t>
      </w:r>
      <w:r>
        <w:rPr>
          <w:color w:val="231F20"/>
        </w:rPr>
        <w:t>example,</w:t>
      </w:r>
      <w:r>
        <w:rPr>
          <w:color w:val="231F20"/>
          <w:spacing w:val="27"/>
        </w:rPr>
        <w:t> </w:t>
      </w:r>
      <w:r>
        <w:rPr>
          <w:color w:val="231F20"/>
        </w:rPr>
        <w:t>you</w:t>
      </w:r>
      <w:r>
        <w:rPr>
          <w:color w:val="231F20"/>
          <w:spacing w:val="27"/>
        </w:rPr>
        <w:t> </w:t>
      </w:r>
      <w:r>
        <w:rPr>
          <w:color w:val="231F20"/>
        </w:rPr>
        <w:t>want</w:t>
      </w:r>
      <w:r>
        <w:rPr>
          <w:color w:val="231F20"/>
          <w:spacing w:val="27"/>
        </w:rPr>
        <w:t> </w:t>
      </w:r>
      <w:r>
        <w:rPr>
          <w:color w:val="231F20"/>
        </w:rPr>
        <w:t>to</w:t>
      </w:r>
      <w:r>
        <w:rPr>
          <w:color w:val="231F20"/>
          <w:spacing w:val="27"/>
        </w:rPr>
        <w:t> </w:t>
      </w:r>
      <w:r>
        <w:rPr>
          <w:color w:val="231F20"/>
        </w:rPr>
        <w:t>run</w:t>
      </w:r>
      <w:r>
        <w:rPr>
          <w:color w:val="231F20"/>
          <w:spacing w:val="27"/>
        </w:rPr>
        <w:t> </w:t>
      </w:r>
      <w:r>
        <w:rPr>
          <w:color w:val="231F20"/>
        </w:rPr>
        <w:t>a script to filter results. In this case, a failed condition does not </w:t>
      </w:r>
      <w:r>
        <w:rPr>
          <w:color w:val="231F20"/>
        </w:rPr>
        <w:t>mean that the activity itself encountered a problem but that a particular row did not satisfy some criteria. When this option is cleared, a system command that returns a non-zero result while processing a series of situation result rows stops further processing of any remaining rows and the activity is terminated with </w:t>
      </w:r>
      <w:r>
        <w:rPr>
          <w:rFonts w:ascii="Arial"/>
          <w:color w:val="231F20"/>
        </w:rPr>
        <w:t>Error</w:t>
      </w:r>
      <w:r>
        <w:rPr>
          <w:color w:val="231F20"/>
        </w:rPr>
        <w:t>, even though some of the commands might have succeeded.</w:t>
      </w:r>
    </w:p>
    <w:p>
      <w:pPr>
        <w:pStyle w:val="BodyText"/>
        <w:spacing w:line="213" w:lineRule="auto" w:before="235"/>
        <w:ind w:left="3909" w:right="258"/>
      </w:pPr>
      <w:r>
        <w:rPr>
          <w:rFonts w:ascii="Book Antiqua" w:hAnsi="Book Antiqua"/>
          <w:b/>
          <w:color w:val="231F20"/>
        </w:rPr>
        <w:t>Note:</w:t>
      </w:r>
      <w:r>
        <w:rPr>
          <w:rFonts w:ascii="Book Antiqua" w:hAnsi="Book Antiqua"/>
          <w:b/>
          <w:color w:val="231F20"/>
          <w:spacing w:val="80"/>
        </w:rPr>
        <w:t> </w:t>
      </w:r>
      <w:r>
        <w:rPr>
          <w:color w:val="231F20"/>
        </w:rPr>
        <w:t>If the situation has a Display Item set and the "Only take action on first item" option is selected, the action is taken once for each unique display item in the rows of data. For example, if </w:t>
      </w:r>
      <w:r>
        <w:rPr>
          <w:color w:val="231F20"/>
        </w:rPr>
        <w:t>there were 100 total rows that qualified and there were 6 unique display items, the situation would fire 6 times. See </w:t>
      </w:r>
      <w:hyperlink w:history="true" w:anchor="_bookmark187">
        <w:r>
          <w:rPr>
            <w:color w:val="231F20"/>
          </w:rPr>
          <w:t>“Formula” on page 255</w:t>
        </w:r>
      </w:hyperlink>
      <w:r>
        <w:rPr>
          <w:color w:val="231F20"/>
        </w:rPr>
        <w:t> for more information on display items.</w:t>
      </w:r>
    </w:p>
    <w:p>
      <w:pPr>
        <w:pStyle w:val="Heading6"/>
        <w:spacing w:before="114"/>
        <w:ind w:left="0" w:right="371"/>
        <w:jc w:val="center"/>
      </w:pPr>
      <w:r>
        <w:rPr>
          <w:color w:val="231F20"/>
        </w:rPr>
        <w:t>Where</w:t>
      </w:r>
      <w:r>
        <w:rPr>
          <w:color w:val="231F20"/>
          <w:spacing w:val="11"/>
        </w:rPr>
        <w:t> </w:t>
      </w:r>
      <w:r>
        <w:rPr>
          <w:color w:val="231F20"/>
        </w:rPr>
        <w:t>should</w:t>
      </w:r>
      <w:r>
        <w:rPr>
          <w:color w:val="231F20"/>
          <w:spacing w:val="11"/>
        </w:rPr>
        <w:t> </w:t>
      </w:r>
      <w:r>
        <w:rPr>
          <w:color w:val="231F20"/>
        </w:rPr>
        <w:t>the</w:t>
      </w:r>
      <w:r>
        <w:rPr>
          <w:color w:val="231F20"/>
          <w:spacing w:val="12"/>
        </w:rPr>
        <w:t> </w:t>
      </w:r>
      <w:r>
        <w:rPr>
          <w:color w:val="231F20"/>
        </w:rPr>
        <w:t>action</w:t>
      </w:r>
      <w:r>
        <w:rPr>
          <w:color w:val="231F20"/>
          <w:spacing w:val="11"/>
        </w:rPr>
        <w:t> </w:t>
      </w:r>
      <w:r>
        <w:rPr>
          <w:color w:val="231F20"/>
        </w:rPr>
        <w:t>be</w:t>
      </w:r>
      <w:r>
        <w:rPr>
          <w:color w:val="231F20"/>
          <w:spacing w:val="12"/>
        </w:rPr>
        <w:t> </w:t>
      </w:r>
      <w:r>
        <w:rPr>
          <w:color w:val="231F20"/>
          <w:spacing w:val="-2"/>
        </w:rPr>
        <w:t>executed</w:t>
      </w:r>
    </w:p>
    <w:p>
      <w:pPr>
        <w:pStyle w:val="BodyText"/>
        <w:spacing w:line="213" w:lineRule="auto" w:before="11"/>
        <w:ind w:left="3909" w:right="258"/>
      </w:pPr>
      <w:r>
        <w:rPr>
          <w:color w:val="231F20"/>
        </w:rPr>
        <w:t>Determines where to perform the action: on the system where the agent resides, the monitoring server to which it is connected, or </w:t>
      </w:r>
      <w:r>
        <w:rPr>
          <w:color w:val="231F20"/>
        </w:rPr>
        <w:t>the system selected from the list.</w:t>
      </w:r>
    </w:p>
    <w:p>
      <w:pPr>
        <w:pStyle w:val="BodyText"/>
        <w:spacing w:line="213" w:lineRule="auto" w:before="143"/>
        <w:ind w:left="3909" w:right="258"/>
      </w:pPr>
      <w:r>
        <w:rPr/>
        <w:drawing>
          <wp:inline distT="0" distB="0" distL="0" distR="0">
            <wp:extent cx="88900" cy="82550"/>
            <wp:effectExtent l="0" t="0" r="0" b="0"/>
            <wp:docPr id="2803" name="Image 2803"/>
            <wp:cNvGraphicFramePr>
              <a:graphicFrameLocks/>
            </wp:cNvGraphicFramePr>
            <a:graphic>
              <a:graphicData uri="http://schemas.openxmlformats.org/drawingml/2006/picture">
                <pic:pic>
                  <pic:nvPicPr>
                    <pic:cNvPr id="2803" name="Image 2803"/>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rPr>
        <w:t> </w:t>
      </w:r>
      <w:r>
        <w:rPr>
          <w:rFonts w:ascii="Book Antiqua"/>
          <w:b/>
          <w:color w:val="231F20"/>
        </w:rPr>
        <w:t>Execute the action at the agent that returned data for activity </w:t>
      </w:r>
      <w:r>
        <w:rPr>
          <w:color w:val="231F20"/>
        </w:rPr>
        <w:t>issues the universal message or system command on the agent </w:t>
      </w:r>
      <w:r>
        <w:rPr>
          <w:color w:val="231F20"/>
        </w:rPr>
        <w:t>that returned data for the situation in the specified activity (selected</w:t>
      </w:r>
      <w:r>
        <w:rPr>
          <w:color w:val="231F20"/>
          <w:spacing w:val="40"/>
        </w:rPr>
        <w:t> </w:t>
      </w:r>
      <w:r>
        <w:rPr>
          <w:color w:val="231F20"/>
        </w:rPr>
        <w:t>from the </w:t>
      </w:r>
      <w:r>
        <w:rPr>
          <w:color w:val="231F20"/>
          <w:spacing w:val="16"/>
          <w:position w:val="-1"/>
        </w:rPr>
        <w:drawing>
          <wp:inline distT="0" distB="0" distL="0" distR="0">
            <wp:extent cx="101600" cy="101600"/>
            <wp:effectExtent l="0" t="0" r="0" b="0"/>
            <wp:docPr id="2804" name="Image 2804"/>
            <wp:cNvGraphicFramePr>
              <a:graphicFrameLocks/>
            </wp:cNvGraphicFramePr>
            <a:graphic>
              <a:graphicData uri="http://schemas.openxmlformats.org/drawingml/2006/picture">
                <pic:pic>
                  <pic:nvPicPr>
                    <pic:cNvPr id="2804" name="Image 2804"/>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list). The ID for an activity is shown in the Grapher</w:t>
      </w:r>
      <w:r>
        <w:rPr>
          <w:color w:val="231F20"/>
          <w:spacing w:val="40"/>
        </w:rPr>
        <w:t> </w:t>
      </w:r>
      <w:r>
        <w:rPr>
          <w:color w:val="231F20"/>
        </w:rPr>
        <w:t>View when you move the mouse pointer over the activity graphic.</w:t>
      </w:r>
    </w:p>
    <w:p>
      <w:pPr>
        <w:spacing w:after="0" w:line="213" w:lineRule="auto"/>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8"/>
      </w:pPr>
    </w:p>
    <w:p>
      <w:pPr>
        <w:pStyle w:val="Heading6"/>
        <w:spacing w:line="240" w:lineRule="auto" w:before="0"/>
        <w:ind w:left="2232"/>
        <w:rPr>
          <w:rFonts w:ascii="Palatino Linotype"/>
          <w:b w:val="0"/>
        </w:rPr>
      </w:pPr>
      <w:bookmarkStart w:name="_bookmark248" w:id="518"/>
      <w:bookmarkEnd w:id="518"/>
      <w:r>
        <w:rPr>
          <w:b w:val="0"/>
        </w:rPr>
      </w:r>
      <w:r>
        <w:rPr>
          <w:color w:val="231F20"/>
        </w:rPr>
        <w:t>Related</w:t>
      </w:r>
      <w:r>
        <w:rPr>
          <w:color w:val="231F20"/>
          <w:spacing w:val="9"/>
        </w:rPr>
        <w:t> </w:t>
      </w:r>
      <w:r>
        <w:rPr>
          <w:color w:val="231F20"/>
          <w:spacing w:val="-2"/>
        </w:rPr>
        <w:t>tasks</w:t>
      </w:r>
      <w:r>
        <w:rPr>
          <w:rFonts w:ascii="Palatino Linotype"/>
          <w:b w:val="0"/>
          <w:color w:val="231F20"/>
          <w:spacing w:val="-2"/>
        </w:rPr>
        <w:t>:</w:t>
      </w:r>
    </w:p>
    <w:p>
      <w:pPr>
        <w:spacing w:line="213" w:lineRule="auto" w:before="85"/>
        <w:ind w:left="116" w:right="302" w:firstLine="0"/>
        <w:jc w:val="left"/>
        <w:rPr>
          <w:sz w:val="20"/>
        </w:rPr>
      </w:pPr>
      <w:r>
        <w:rPr/>
        <w:br w:type="column"/>
      </w:r>
      <w:r>
        <w:rPr>
          <w:color w:val="231F20"/>
          <w:sz w:val="20"/>
        </w:rPr>
        <w:t>Referring to the </w:t>
      </w:r>
      <w:r>
        <w:rPr>
          <w:rFonts w:ascii="Book Antiqua"/>
          <w:b/>
          <w:color w:val="231F20"/>
          <w:sz w:val="20"/>
        </w:rPr>
        <w:t>Take action on each item from activity </w:t>
      </w:r>
      <w:r>
        <w:rPr>
          <w:color w:val="231F20"/>
          <w:sz w:val="20"/>
        </w:rPr>
        <w:t>example, </w:t>
      </w:r>
      <w:r>
        <w:rPr>
          <w:color w:val="231F20"/>
          <w:sz w:val="20"/>
        </w:rPr>
        <w:t>if the action must be executed at the DB2 agent, you would specify </w:t>
      </w:r>
      <w:r>
        <w:rPr>
          <w:rFonts w:ascii="Book Antiqua"/>
          <w:i/>
          <w:color w:val="231F20"/>
          <w:sz w:val="20"/>
        </w:rPr>
        <w:t>EvaluateSituation2</w:t>
      </w:r>
      <w:r>
        <w:rPr>
          <w:rFonts w:ascii="Book Antiqua"/>
          <w:i/>
          <w:color w:val="231F20"/>
          <w:spacing w:val="32"/>
          <w:sz w:val="20"/>
        </w:rPr>
        <w:t> </w:t>
      </w:r>
      <w:r>
        <w:rPr>
          <w:color w:val="231F20"/>
          <w:sz w:val="20"/>
        </w:rPr>
        <w:t>because</w:t>
      </w:r>
      <w:r>
        <w:rPr>
          <w:color w:val="231F20"/>
          <w:spacing w:val="32"/>
          <w:sz w:val="20"/>
        </w:rPr>
        <w:t> </w:t>
      </w:r>
      <w:r>
        <w:rPr>
          <w:color w:val="231F20"/>
          <w:sz w:val="20"/>
        </w:rPr>
        <w:t>this</w:t>
      </w:r>
      <w:r>
        <w:rPr>
          <w:color w:val="231F20"/>
          <w:spacing w:val="32"/>
          <w:sz w:val="20"/>
        </w:rPr>
        <w:t> </w:t>
      </w:r>
      <w:r>
        <w:rPr>
          <w:color w:val="231F20"/>
          <w:sz w:val="20"/>
        </w:rPr>
        <w:t>is</w:t>
      </w:r>
      <w:r>
        <w:rPr>
          <w:color w:val="231F20"/>
          <w:spacing w:val="32"/>
          <w:sz w:val="20"/>
        </w:rPr>
        <w:t> </w:t>
      </w:r>
      <w:r>
        <w:rPr>
          <w:color w:val="231F20"/>
          <w:sz w:val="20"/>
        </w:rPr>
        <w:t>the</w:t>
      </w:r>
      <w:r>
        <w:rPr>
          <w:color w:val="231F20"/>
          <w:spacing w:val="32"/>
          <w:sz w:val="20"/>
        </w:rPr>
        <w:t> </w:t>
      </w:r>
      <w:r>
        <w:rPr>
          <w:color w:val="231F20"/>
          <w:sz w:val="20"/>
        </w:rPr>
        <w:t>ID</w:t>
      </w:r>
      <w:r>
        <w:rPr>
          <w:color w:val="231F20"/>
          <w:spacing w:val="32"/>
          <w:sz w:val="20"/>
        </w:rPr>
        <w:t> </w:t>
      </w:r>
      <w:r>
        <w:rPr>
          <w:color w:val="231F20"/>
          <w:sz w:val="20"/>
        </w:rPr>
        <w:t>of</w:t>
      </w:r>
      <w:r>
        <w:rPr>
          <w:color w:val="231F20"/>
          <w:spacing w:val="32"/>
          <w:sz w:val="20"/>
        </w:rPr>
        <w:t> </w:t>
      </w:r>
      <w:r>
        <w:rPr>
          <w:color w:val="231F20"/>
          <w:sz w:val="20"/>
        </w:rPr>
        <w:t>the</w:t>
      </w:r>
      <w:r>
        <w:rPr>
          <w:color w:val="231F20"/>
          <w:spacing w:val="32"/>
          <w:sz w:val="20"/>
        </w:rPr>
        <w:t> </w:t>
      </w:r>
      <w:r>
        <w:rPr>
          <w:color w:val="231F20"/>
          <w:sz w:val="20"/>
        </w:rPr>
        <w:t>activity</w:t>
      </w:r>
      <w:r>
        <w:rPr>
          <w:color w:val="231F20"/>
          <w:spacing w:val="32"/>
          <w:sz w:val="20"/>
        </w:rPr>
        <w:t> </w:t>
      </w:r>
      <w:r>
        <w:rPr>
          <w:color w:val="231F20"/>
          <w:sz w:val="20"/>
        </w:rPr>
        <w:t>that evaluates the state of the DB2 situation on the DB2 agent.</w:t>
      </w:r>
    </w:p>
    <w:p>
      <w:pPr>
        <w:spacing w:line="213" w:lineRule="auto" w:before="141"/>
        <w:ind w:left="116" w:right="302" w:firstLine="0"/>
        <w:jc w:val="left"/>
        <w:rPr>
          <w:sz w:val="20"/>
        </w:rPr>
      </w:pPr>
      <w:r>
        <w:rPr/>
        <w:drawing>
          <wp:inline distT="0" distB="0" distL="0" distR="0">
            <wp:extent cx="88900" cy="82550"/>
            <wp:effectExtent l="0" t="0" r="0" b="0"/>
            <wp:docPr id="2805" name="Image 2805"/>
            <wp:cNvGraphicFramePr>
              <a:graphicFrameLocks/>
            </wp:cNvGraphicFramePr>
            <a:graphic>
              <a:graphicData uri="http://schemas.openxmlformats.org/drawingml/2006/picture">
                <pic:pic>
                  <pic:nvPicPr>
                    <pic:cNvPr id="2805" name="Image 2805"/>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Execute the action at the Tivoli Enterprise Monitoring Server </w:t>
      </w:r>
      <w:r>
        <w:rPr>
          <w:color w:val="231F20"/>
          <w:sz w:val="20"/>
        </w:rPr>
        <w:t>issues the universal message or system command at the </w:t>
      </w:r>
      <w:r>
        <w:rPr>
          <w:color w:val="231F20"/>
          <w:sz w:val="20"/>
        </w:rPr>
        <w:t>monitoring server that the agent connects to.</w:t>
      </w:r>
    </w:p>
    <w:p>
      <w:pPr>
        <w:spacing w:line="208" w:lineRule="auto" w:before="128"/>
        <w:ind w:left="116" w:right="1074" w:firstLine="0"/>
        <w:jc w:val="left"/>
        <w:rPr>
          <w:sz w:val="20"/>
        </w:rPr>
      </w:pPr>
      <w:r>
        <w:rPr/>
        <w:drawing>
          <wp:inline distT="0" distB="0" distL="0" distR="0">
            <wp:extent cx="88900" cy="82550"/>
            <wp:effectExtent l="0" t="0" r="0" b="0"/>
            <wp:docPr id="2806" name="Image 2806"/>
            <wp:cNvGraphicFramePr>
              <a:graphicFrameLocks/>
            </wp:cNvGraphicFramePr>
            <a:graphic>
              <a:graphicData uri="http://schemas.openxmlformats.org/drawingml/2006/picture">
                <pic:pic>
                  <pic:nvPicPr>
                    <pic:cNvPr id="2806" name="Image 2806"/>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Execute the action at </w:t>
      </w:r>
      <w:r>
        <w:rPr>
          <w:color w:val="231F20"/>
          <w:sz w:val="20"/>
        </w:rPr>
        <w:t>is used to select a specific </w:t>
      </w:r>
      <w:r>
        <w:rPr>
          <w:color w:val="231F20"/>
          <w:sz w:val="20"/>
        </w:rPr>
        <w:t>managed system from the </w:t>
      </w:r>
      <w:r>
        <w:rPr>
          <w:color w:val="231F20"/>
          <w:spacing w:val="16"/>
          <w:position w:val="-1"/>
          <w:sz w:val="20"/>
        </w:rPr>
        <w:drawing>
          <wp:inline distT="0" distB="0" distL="0" distR="0">
            <wp:extent cx="101600" cy="101600"/>
            <wp:effectExtent l="0" t="0" r="0" b="0"/>
            <wp:docPr id="2807" name="Image 2807"/>
            <wp:cNvGraphicFramePr>
              <a:graphicFrameLocks/>
            </wp:cNvGraphicFramePr>
            <a:graphic>
              <a:graphicData uri="http://schemas.openxmlformats.org/drawingml/2006/picture">
                <pic:pic>
                  <pic:nvPicPr>
                    <pic:cNvPr id="2807" name="Image 2807"/>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list.</w:t>
      </w:r>
    </w:p>
    <w:p>
      <w:pPr>
        <w:spacing w:after="0" w:line="208" w:lineRule="auto"/>
        <w:jc w:val="left"/>
        <w:rPr>
          <w:sz w:val="20"/>
        </w:rPr>
        <w:sectPr>
          <w:pgSz w:w="12240" w:h="15840"/>
          <w:pgMar w:header="0" w:footer="736" w:top="1180" w:bottom="920" w:left="1000" w:right="1060"/>
          <w:cols w:num="2" w:equalWidth="0">
            <w:col w:w="3513" w:space="40"/>
            <w:col w:w="6627"/>
          </w:cols>
        </w:sectPr>
      </w:pPr>
    </w:p>
    <w:p>
      <w:pPr>
        <w:pStyle w:val="BodyText"/>
        <w:spacing w:line="255" w:lineRule="exact" w:before="29"/>
        <w:ind w:left="2232"/>
      </w:pPr>
      <w:hyperlink w:history="true" w:anchor="_bookmark107">
        <w:r>
          <w:rPr>
            <w:color w:val="231F20"/>
          </w:rPr>
          <w:t>“Adding</w:t>
        </w:r>
        <w:r>
          <w:rPr>
            <w:color w:val="231F20"/>
            <w:spacing w:val="10"/>
          </w:rPr>
          <w:t> </w:t>
        </w:r>
        <w:r>
          <w:rPr>
            <w:color w:val="231F20"/>
          </w:rPr>
          <w:t>a</w:t>
        </w:r>
        <w:r>
          <w:rPr>
            <w:color w:val="231F20"/>
            <w:spacing w:val="10"/>
          </w:rPr>
          <w:t> </w:t>
        </w:r>
        <w:r>
          <w:rPr>
            <w:color w:val="231F20"/>
          </w:rPr>
          <w:t>Universal</w:t>
        </w:r>
        <w:r>
          <w:rPr>
            <w:color w:val="231F20"/>
            <w:spacing w:val="11"/>
          </w:rPr>
          <w:t> </w:t>
        </w:r>
        <w:r>
          <w:rPr>
            <w:color w:val="231F20"/>
          </w:rPr>
          <w:t>Message</w:t>
        </w:r>
        <w:r>
          <w:rPr>
            <w:color w:val="231F20"/>
            <w:spacing w:val="10"/>
          </w:rPr>
          <w:t> </w:t>
        </w:r>
        <w:r>
          <w:rPr>
            <w:color w:val="231F20"/>
          </w:rPr>
          <w:t>Console</w:t>
        </w:r>
        <w:r>
          <w:rPr>
            <w:color w:val="231F20"/>
            <w:spacing w:val="11"/>
          </w:rPr>
          <w:t> </w:t>
        </w:r>
        <w:r>
          <w:rPr>
            <w:color w:val="231F20"/>
          </w:rPr>
          <w:t>view”</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5"/>
          </w:rPr>
          <w:t>143</w:t>
        </w:r>
      </w:hyperlink>
    </w:p>
    <w:p>
      <w:pPr>
        <w:pStyle w:val="BodyText"/>
        <w:spacing w:line="213" w:lineRule="auto" w:before="8"/>
        <w:ind w:left="2232" w:right="545"/>
      </w:pPr>
      <w:r>
        <w:rPr>
          <w:color w:val="231F20"/>
        </w:rPr>
        <w:t>Create a Universal Message Console view to see the messages produced at the hub Tivoli Enterprise Monitoring Server.</w:t>
      </w:r>
    </w:p>
    <w:p>
      <w:pPr>
        <w:pStyle w:val="Heading6"/>
        <w:spacing w:line="240" w:lineRule="auto" w:before="217"/>
        <w:ind w:left="2232"/>
      </w:pPr>
      <w:r>
        <w:rPr>
          <w:color w:val="231F20"/>
        </w:rPr>
        <w:t>Attribute</w:t>
      </w:r>
      <w:r>
        <w:rPr>
          <w:color w:val="231F20"/>
          <w:spacing w:val="7"/>
        </w:rPr>
        <w:t> </w:t>
      </w:r>
      <w:r>
        <w:rPr>
          <w:color w:val="231F20"/>
          <w:spacing w:val="-2"/>
        </w:rPr>
        <w:t>selection:</w:t>
      </w:r>
    </w:p>
    <w:p>
      <w:pPr>
        <w:pStyle w:val="BodyText"/>
        <w:spacing w:line="213" w:lineRule="auto" w:before="239"/>
        <w:ind w:left="2232" w:right="545"/>
      </w:pPr>
      <w:r>
        <w:rPr>
          <w:color w:val="231F20"/>
        </w:rPr>
        <w:t>The Attribute Selection window lists the available attributes for the group, with those selected listed on the left. This window opens automatically when you </w:t>
      </w:r>
      <w:r>
        <w:rPr>
          <w:color w:val="231F20"/>
        </w:rPr>
        <w:t>select </w:t>
      </w:r>
      <w:r>
        <w:rPr>
          <w:rFonts w:ascii="Book Antiqua"/>
          <w:b/>
          <w:color w:val="231F20"/>
        </w:rPr>
        <w:t>Attributes </w:t>
      </w:r>
      <w:r>
        <w:rPr>
          <w:color w:val="231F20"/>
        </w:rPr>
        <w:t>from one of the other panes in the Workflow editor.</w:t>
      </w:r>
    </w:p>
    <w:p>
      <w:pPr>
        <w:pStyle w:val="Heading6"/>
        <w:ind w:left="2232"/>
      </w:pPr>
      <w:r>
        <w:rPr>
          <w:color w:val="231F20"/>
        </w:rPr>
        <w:t>Selected</w:t>
      </w:r>
      <w:r>
        <w:rPr>
          <w:color w:val="231F20"/>
          <w:spacing w:val="8"/>
        </w:rPr>
        <w:t> </w:t>
      </w:r>
      <w:r>
        <w:rPr>
          <w:color w:val="231F20"/>
          <w:spacing w:val="-2"/>
        </w:rPr>
        <w:t>Attributes</w:t>
      </w:r>
    </w:p>
    <w:p>
      <w:pPr>
        <w:pStyle w:val="BodyText"/>
        <w:spacing w:line="213" w:lineRule="auto" w:before="11"/>
        <w:ind w:left="2951" w:right="545"/>
      </w:pPr>
      <w:r>
        <w:rPr>
          <w:color w:val="231F20"/>
        </w:rPr>
        <w:t>Displays the attributes selected for this activity. To remove an attribute from this list, select the attribute you want to remove and click </w:t>
      </w:r>
      <w:r>
        <w:rPr>
          <w:rFonts w:ascii="Book Antiqua"/>
          <w:b/>
          <w:color w:val="231F20"/>
        </w:rPr>
        <w:t>Remove</w:t>
      </w:r>
      <w:r>
        <w:rPr>
          <w:color w:val="231F20"/>
        </w:rPr>
        <w:t>. After selecting the first attribute, you can use Ctrl+click to select others </w:t>
      </w:r>
      <w:r>
        <w:rPr>
          <w:color w:val="231F20"/>
        </w:rPr>
        <w:t>or Shift+click to select all attributes between the first selection and this one.</w:t>
      </w:r>
    </w:p>
    <w:p>
      <w:pPr>
        <w:pStyle w:val="BodyText"/>
        <w:spacing w:line="213" w:lineRule="auto" w:before="117"/>
        <w:ind w:left="2951" w:right="545"/>
      </w:pPr>
      <w:r>
        <w:rPr>
          <w:rFonts w:ascii="Book Antiqua"/>
          <w:b/>
          <w:color w:val="231F20"/>
        </w:rPr>
        <w:t>Remove All </w:t>
      </w:r>
      <w:r>
        <w:rPr>
          <w:color w:val="231F20"/>
        </w:rPr>
        <w:t>selects and moves all the attributes back to the </w:t>
      </w:r>
      <w:r>
        <w:rPr>
          <w:color w:val="231F20"/>
        </w:rPr>
        <w:t>Available Attributes list.</w:t>
      </w:r>
    </w:p>
    <w:p>
      <w:pPr>
        <w:pStyle w:val="Heading6"/>
        <w:ind w:left="2232"/>
      </w:pPr>
      <w:r>
        <w:rPr>
          <w:color w:val="231F20"/>
        </w:rPr>
        <w:t>Available</w:t>
      </w:r>
      <w:r>
        <w:rPr>
          <w:color w:val="231F20"/>
          <w:spacing w:val="-7"/>
        </w:rPr>
        <w:t> </w:t>
      </w:r>
      <w:r>
        <w:rPr>
          <w:color w:val="231F20"/>
          <w:spacing w:val="-2"/>
        </w:rPr>
        <w:t>Attributes</w:t>
      </w:r>
    </w:p>
    <w:p>
      <w:pPr>
        <w:pStyle w:val="BodyText"/>
        <w:spacing w:line="213" w:lineRule="auto" w:before="12"/>
        <w:ind w:left="2951" w:right="544"/>
      </w:pPr>
      <w:r>
        <w:rPr>
          <w:color w:val="231F20"/>
        </w:rPr>
        <w:t>Shows the selected attribute group, followed by the attributes available </w:t>
      </w:r>
      <w:r>
        <w:rPr>
          <w:color w:val="231F20"/>
        </w:rPr>
        <w:t>for that group. Click </w:t>
      </w:r>
      <w:r>
        <w:rPr>
          <w:color w:val="231F20"/>
          <w:spacing w:val="16"/>
          <w:position w:val="-1"/>
        </w:rPr>
        <w:drawing>
          <wp:inline distT="0" distB="0" distL="0" distR="0">
            <wp:extent cx="101600" cy="101600"/>
            <wp:effectExtent l="0" t="0" r="0" b="0"/>
            <wp:docPr id="2808" name="Image 2808"/>
            <wp:cNvGraphicFramePr>
              <a:graphicFrameLocks/>
            </wp:cNvGraphicFramePr>
            <a:graphic>
              <a:graphicData uri="http://schemas.openxmlformats.org/drawingml/2006/picture">
                <pic:pic>
                  <pic:nvPicPr>
                    <pic:cNvPr id="2808" name="Image 2808"/>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to see and select from the available attribute groups.</w:t>
      </w:r>
      <w:r>
        <w:rPr>
          <w:color w:val="231F20"/>
          <w:spacing w:val="40"/>
        </w:rPr>
        <w:t> </w:t>
      </w:r>
      <w:r>
        <w:rPr>
          <w:color w:val="231F20"/>
        </w:rPr>
        <w:t>The common attributes for Local Time are always available. The other attribute groups are those associated with the emitter type.</w:t>
      </w:r>
    </w:p>
    <w:p>
      <w:pPr>
        <w:pStyle w:val="BodyText"/>
        <w:spacing w:line="213" w:lineRule="auto" w:before="117"/>
        <w:ind w:left="2951" w:right="669"/>
        <w:jc w:val="both"/>
      </w:pPr>
      <w:r>
        <w:rPr>
          <w:color w:val="231F20"/>
        </w:rPr>
        <w:t>Select the attribute you want from the list and click </w:t>
      </w:r>
      <w:r>
        <w:rPr>
          <w:rFonts w:ascii="Book Antiqua"/>
          <w:b/>
          <w:color w:val="231F20"/>
        </w:rPr>
        <w:t>Add</w:t>
      </w:r>
      <w:r>
        <w:rPr>
          <w:color w:val="231F20"/>
        </w:rPr>
        <w:t>. After selecting the first attribute, you can use Ctrl+click to select others or Shift+click </w:t>
      </w:r>
      <w:r>
        <w:rPr>
          <w:color w:val="231F20"/>
        </w:rPr>
        <w:t>to select all attributes between the first selection and this one.</w:t>
      </w:r>
    </w:p>
    <w:p>
      <w:pPr>
        <w:pStyle w:val="BodyText"/>
        <w:spacing w:line="255" w:lineRule="exact" w:before="94"/>
        <w:ind w:left="2951"/>
        <w:jc w:val="both"/>
      </w:pPr>
      <w:r>
        <w:rPr>
          <w:rFonts w:ascii="Book Antiqua"/>
          <w:b/>
          <w:color w:val="231F20"/>
        </w:rPr>
        <w:t>Add</w:t>
      </w:r>
      <w:r>
        <w:rPr>
          <w:rFonts w:ascii="Book Antiqua"/>
          <w:b/>
          <w:color w:val="231F20"/>
          <w:spacing w:val="12"/>
        </w:rPr>
        <w:t> </w:t>
      </w:r>
      <w:r>
        <w:rPr>
          <w:rFonts w:ascii="Book Antiqua"/>
          <w:b/>
          <w:color w:val="231F20"/>
        </w:rPr>
        <w:t>All</w:t>
      </w:r>
      <w:r>
        <w:rPr>
          <w:rFonts w:ascii="Book Antiqua"/>
          <w:b/>
          <w:color w:val="231F20"/>
          <w:spacing w:val="12"/>
        </w:rPr>
        <w:t> </w:t>
      </w:r>
      <w:r>
        <w:rPr>
          <w:color w:val="231F20"/>
        </w:rPr>
        <w:t>selects</w:t>
      </w:r>
      <w:r>
        <w:rPr>
          <w:color w:val="231F20"/>
          <w:spacing w:val="12"/>
        </w:rPr>
        <w:t> </w:t>
      </w:r>
      <w:r>
        <w:rPr>
          <w:color w:val="231F20"/>
        </w:rPr>
        <w:t>all</w:t>
      </w:r>
      <w:r>
        <w:rPr>
          <w:color w:val="231F20"/>
          <w:spacing w:val="13"/>
        </w:rPr>
        <w:t> </w:t>
      </w:r>
      <w:r>
        <w:rPr>
          <w:color w:val="231F20"/>
        </w:rPr>
        <w:t>the</w:t>
      </w:r>
      <w:r>
        <w:rPr>
          <w:color w:val="231F20"/>
          <w:spacing w:val="12"/>
        </w:rPr>
        <w:t> </w:t>
      </w:r>
      <w:r>
        <w:rPr>
          <w:color w:val="231F20"/>
        </w:rPr>
        <w:t>attributes</w:t>
      </w:r>
      <w:r>
        <w:rPr>
          <w:color w:val="231F20"/>
          <w:spacing w:val="12"/>
        </w:rPr>
        <w:t> </w:t>
      </w:r>
      <w:r>
        <w:rPr>
          <w:color w:val="231F20"/>
        </w:rPr>
        <w:t>in</w:t>
      </w:r>
      <w:r>
        <w:rPr>
          <w:color w:val="231F20"/>
          <w:spacing w:val="12"/>
        </w:rPr>
        <w:t> </w:t>
      </w:r>
      <w:r>
        <w:rPr>
          <w:color w:val="231F20"/>
        </w:rPr>
        <w:t>the</w:t>
      </w:r>
      <w:r>
        <w:rPr>
          <w:color w:val="231F20"/>
          <w:spacing w:val="13"/>
        </w:rPr>
        <w:t> </w:t>
      </w:r>
      <w:r>
        <w:rPr>
          <w:color w:val="231F20"/>
        </w:rPr>
        <w:t>list</w:t>
      </w:r>
      <w:r>
        <w:rPr>
          <w:color w:val="231F20"/>
          <w:spacing w:val="12"/>
        </w:rPr>
        <w:t> </w:t>
      </w:r>
      <w:r>
        <w:rPr>
          <w:color w:val="231F20"/>
        </w:rPr>
        <w:t>and</w:t>
      </w:r>
      <w:r>
        <w:rPr>
          <w:color w:val="231F20"/>
          <w:spacing w:val="12"/>
        </w:rPr>
        <w:t> </w:t>
      </w:r>
      <w:r>
        <w:rPr>
          <w:color w:val="231F20"/>
        </w:rPr>
        <w:t>moves</w:t>
      </w:r>
      <w:r>
        <w:rPr>
          <w:color w:val="231F20"/>
          <w:spacing w:val="12"/>
        </w:rPr>
        <w:t> </w:t>
      </w:r>
      <w:r>
        <w:rPr>
          <w:color w:val="231F20"/>
        </w:rPr>
        <w:t>them</w:t>
      </w:r>
      <w:r>
        <w:rPr>
          <w:color w:val="231F20"/>
          <w:spacing w:val="13"/>
        </w:rPr>
        <w:t> </w:t>
      </w:r>
      <w:r>
        <w:rPr>
          <w:color w:val="231F20"/>
        </w:rPr>
        <w:t>to</w:t>
      </w:r>
      <w:r>
        <w:rPr>
          <w:color w:val="231F20"/>
          <w:spacing w:val="12"/>
        </w:rPr>
        <w:t> </w:t>
      </w:r>
      <w:r>
        <w:rPr>
          <w:color w:val="231F20"/>
          <w:spacing w:val="-5"/>
        </w:rPr>
        <w:t>the</w:t>
      </w:r>
    </w:p>
    <w:p>
      <w:pPr>
        <w:pStyle w:val="Heading6"/>
        <w:spacing w:line="255" w:lineRule="exact" w:before="0"/>
        <w:ind w:left="2951"/>
        <w:rPr>
          <w:rFonts w:ascii="Palatino Linotype"/>
          <w:b w:val="0"/>
        </w:rPr>
      </w:pPr>
      <w:r>
        <w:rPr>
          <w:color w:val="231F20"/>
        </w:rPr>
        <w:t>Selected</w:t>
      </w:r>
      <w:r>
        <w:rPr>
          <w:color w:val="231F20"/>
          <w:spacing w:val="7"/>
        </w:rPr>
        <w:t> </w:t>
      </w:r>
      <w:r>
        <w:rPr>
          <w:color w:val="231F20"/>
        </w:rPr>
        <w:t>Attributes</w:t>
      </w:r>
      <w:r>
        <w:rPr>
          <w:color w:val="231F20"/>
          <w:spacing w:val="8"/>
        </w:rPr>
        <w:t> </w:t>
      </w:r>
      <w:r>
        <w:rPr>
          <w:rFonts w:ascii="Palatino Linotype"/>
          <w:b w:val="0"/>
          <w:color w:val="231F20"/>
          <w:spacing w:val="-2"/>
        </w:rPr>
        <w:t>list.</w:t>
      </w:r>
    </w:p>
    <w:p>
      <w:pPr>
        <w:spacing w:line="229" w:lineRule="exact" w:before="111"/>
        <w:ind w:left="2232" w:right="0" w:firstLine="0"/>
        <w:jc w:val="left"/>
        <w:rPr>
          <w:rFonts w:ascii="Book Antiqua"/>
          <w:b/>
          <w:sz w:val="20"/>
        </w:rPr>
      </w:pPr>
      <w:r>
        <w:rPr>
          <w:rFonts w:ascii="Book Antiqua"/>
          <w:b/>
          <w:color w:val="231F20"/>
          <w:spacing w:val="-2"/>
          <w:sz w:val="20"/>
        </w:rPr>
        <w:t>Description</w:t>
      </w:r>
    </w:p>
    <w:p>
      <w:pPr>
        <w:pStyle w:val="BodyText"/>
        <w:spacing w:line="258" w:lineRule="exact"/>
        <w:ind w:left="2951"/>
        <w:jc w:val="both"/>
      </w:pPr>
      <w:bookmarkStart w:name="Emitter activities" w:id="519"/>
      <w:bookmarkEnd w:id="519"/>
      <w:r>
        <w:rPr/>
      </w:r>
      <w:r>
        <w:rPr>
          <w:color w:val="231F20"/>
        </w:rPr>
        <w:t>Displays</w:t>
      </w:r>
      <w:r>
        <w:rPr>
          <w:color w:val="231F20"/>
          <w:spacing w:val="11"/>
        </w:rPr>
        <w:t> </w:t>
      </w:r>
      <w:r>
        <w:rPr>
          <w:color w:val="231F20"/>
        </w:rPr>
        <w:t>a</w:t>
      </w:r>
      <w:r>
        <w:rPr>
          <w:color w:val="231F20"/>
          <w:spacing w:val="11"/>
        </w:rPr>
        <w:t> </w:t>
      </w:r>
      <w:r>
        <w:rPr>
          <w:color w:val="231F20"/>
        </w:rPr>
        <w:t>short</w:t>
      </w:r>
      <w:r>
        <w:rPr>
          <w:color w:val="231F20"/>
          <w:spacing w:val="11"/>
        </w:rPr>
        <w:t> </w:t>
      </w:r>
      <w:r>
        <w:rPr>
          <w:color w:val="231F20"/>
        </w:rPr>
        <w:t>description</w:t>
      </w:r>
      <w:r>
        <w:rPr>
          <w:color w:val="231F20"/>
          <w:spacing w:val="12"/>
        </w:rPr>
        <w:t> </w:t>
      </w:r>
      <w:r>
        <w:rPr>
          <w:color w:val="231F20"/>
        </w:rPr>
        <w:t>of</w:t>
      </w:r>
      <w:r>
        <w:rPr>
          <w:color w:val="231F20"/>
          <w:spacing w:val="11"/>
        </w:rPr>
        <w:t> </w:t>
      </w:r>
      <w:r>
        <w:rPr>
          <w:color w:val="231F20"/>
        </w:rPr>
        <w:t>a</w:t>
      </w:r>
      <w:r>
        <w:rPr>
          <w:color w:val="231F20"/>
          <w:spacing w:val="11"/>
        </w:rPr>
        <w:t> </w:t>
      </w:r>
      <w:r>
        <w:rPr>
          <w:color w:val="231F20"/>
        </w:rPr>
        <w:t>selected</w:t>
      </w:r>
      <w:r>
        <w:rPr>
          <w:color w:val="231F20"/>
          <w:spacing w:val="11"/>
        </w:rPr>
        <w:t> </w:t>
      </w:r>
      <w:r>
        <w:rPr>
          <w:color w:val="231F20"/>
          <w:spacing w:val="-2"/>
        </w:rPr>
        <w:t>attribute.</w:t>
      </w:r>
    </w:p>
    <w:p>
      <w:pPr>
        <w:pStyle w:val="Heading4"/>
        <w:spacing w:line="273" w:lineRule="exact" w:before="159"/>
      </w:pPr>
      <w:r>
        <w:rPr>
          <w:color w:val="231F20"/>
        </w:rPr>
        <w:t>Emitter</w:t>
      </w:r>
      <w:r>
        <w:rPr>
          <w:color w:val="231F20"/>
          <w:spacing w:val="4"/>
        </w:rPr>
        <w:t> </w:t>
      </w:r>
      <w:r>
        <w:rPr>
          <w:color w:val="231F20"/>
          <w:spacing w:val="-2"/>
        </w:rPr>
        <w:t>activities</w:t>
      </w:r>
    </w:p>
    <w:p>
      <w:pPr>
        <w:pStyle w:val="BodyText"/>
        <w:spacing w:line="213" w:lineRule="auto" w:before="20"/>
        <w:ind w:left="2232" w:right="545"/>
      </w:pPr>
      <w:r>
        <w:rPr>
          <w:color w:val="231F20"/>
        </w:rPr>
        <w:t>The </w:t>
      </w:r>
      <w:r>
        <w:rPr>
          <w:rFonts w:ascii="Book Antiqua"/>
          <w:b/>
          <w:color w:val="231F20"/>
        </w:rPr>
        <w:t>Emitter activities </w:t>
      </w:r>
      <w:r>
        <w:rPr>
          <w:color w:val="231F20"/>
        </w:rPr>
        <w:t>in the Workflow Editor displays activities associated </w:t>
      </w:r>
      <w:r>
        <w:rPr>
          <w:color w:val="231F20"/>
        </w:rPr>
        <w:t>with alert emitters.</w:t>
      </w:r>
    </w:p>
    <w:p>
      <w:pPr>
        <w:pStyle w:val="BodyText"/>
        <w:spacing w:line="213" w:lineRule="auto" w:before="238"/>
        <w:ind w:left="2232" w:right="545"/>
      </w:pPr>
      <w:r>
        <w:rPr>
          <w:color w:val="231F20"/>
        </w:rPr>
        <w:t>When your managed network includes an IBM Tivoli Alert Adapter or IBM </w:t>
      </w:r>
      <w:r>
        <w:rPr>
          <w:color w:val="231F20"/>
        </w:rPr>
        <w:t>Tivoli Alert Manager, this tab shows the emitter activities available for your products.</w:t>
      </w:r>
    </w:p>
    <w:p>
      <w:pPr>
        <w:pStyle w:val="BodyText"/>
        <w:spacing w:line="213" w:lineRule="auto"/>
        <w:ind w:left="2232" w:right="545"/>
      </w:pPr>
      <w:r>
        <w:rPr>
          <w:color w:val="231F20"/>
        </w:rPr>
        <w:t>Emitter activities are used to forward situation events to Tivoli </w:t>
      </w:r>
      <w:r>
        <w:rPr>
          <w:color w:val="231F20"/>
        </w:rPr>
        <w:t>management products and to third-party party management products.</w:t>
      </w:r>
    </w:p>
    <w:p>
      <w:pPr>
        <w:pStyle w:val="BodyText"/>
        <w:spacing w:line="213" w:lineRule="auto" w:before="237"/>
        <w:ind w:left="2232" w:right="545"/>
      </w:pPr>
      <w:r>
        <w:rPr>
          <w:color w:val="231F20"/>
        </w:rPr>
        <w:t>For more information on the parameters for the emitter activity, click </w:t>
      </w:r>
      <w:r>
        <w:rPr>
          <w:rFonts w:ascii="Book Antiqua"/>
          <w:b/>
          <w:color w:val="231F20"/>
        </w:rPr>
        <w:t>Help </w:t>
      </w:r>
      <w:r>
        <w:rPr>
          <w:color w:val="231F20"/>
        </w:rPr>
        <w:t>in the Emitter Settings window and refer to the documentation of the target </w:t>
      </w:r>
      <w:r>
        <w:rPr>
          <w:color w:val="231F20"/>
        </w:rPr>
        <w:t>management</w:t>
      </w:r>
    </w:p>
    <w:p>
      <w:pPr>
        <w:spacing w:after="0" w:line="213" w:lineRule="auto"/>
        <w:sectPr>
          <w:type w:val="continuous"/>
          <w:pgSz w:w="12240" w:h="15840"/>
          <w:pgMar w:header="0" w:footer="736" w:top="0" w:bottom="4660" w:left="1000" w:right="1060"/>
        </w:sectPr>
      </w:pPr>
    </w:p>
    <w:p>
      <w:pPr>
        <w:pStyle w:val="BodyText"/>
        <w:spacing w:line="213" w:lineRule="auto" w:before="85"/>
        <w:ind w:left="2472" w:right="258"/>
      </w:pPr>
      <w:bookmarkStart w:name="_bookmark249" w:id="520"/>
      <w:bookmarkEnd w:id="520"/>
      <w:r>
        <w:rPr/>
      </w:r>
      <w:r>
        <w:rPr>
          <w:color w:val="231F20"/>
        </w:rPr>
        <w:t>product. The SNMP Event activity is available to all users; many of the other activities are available only if your environment has policies that were created </w:t>
      </w:r>
      <w:r>
        <w:rPr>
          <w:color w:val="231F20"/>
        </w:rPr>
        <w:t>with one of the other alert manager products.</w:t>
      </w:r>
    </w:p>
    <w:p>
      <w:pPr>
        <w:pStyle w:val="Heading6"/>
        <w:spacing w:line="240" w:lineRule="auto" w:before="116"/>
        <w:ind w:left="2482"/>
      </w:pPr>
      <w:r>
        <w:rPr>
          <w:b w:val="0"/>
          <w:position w:val="-5"/>
        </w:rPr>
        <w:drawing>
          <wp:inline distT="0" distB="0" distL="0" distR="0">
            <wp:extent cx="152400" cy="127000"/>
            <wp:effectExtent l="0" t="0" r="0" b="0"/>
            <wp:docPr id="2809" name="Image 2809"/>
            <wp:cNvGraphicFramePr>
              <a:graphicFrameLocks/>
            </wp:cNvGraphicFramePr>
            <a:graphic>
              <a:graphicData uri="http://schemas.openxmlformats.org/drawingml/2006/picture">
                <pic:pic>
                  <pic:nvPicPr>
                    <pic:cNvPr id="2809" name="Image 2809"/>
                    <pic:cNvPicPr/>
                  </pic:nvPicPr>
                  <pic:blipFill>
                    <a:blip r:embed="rId272" cstate="print"/>
                    <a:stretch>
                      <a:fillRect/>
                    </a:stretch>
                  </pic:blipFill>
                  <pic:spPr>
                    <a:xfrm>
                      <a:off x="0" y="0"/>
                      <a:ext cx="152400" cy="127000"/>
                    </a:xfrm>
                    <a:prstGeom prst="rect">
                      <a:avLst/>
                    </a:prstGeom>
                  </pic:spPr>
                </pic:pic>
              </a:graphicData>
            </a:graphic>
          </wp:inline>
        </w:drawing>
      </w:r>
      <w:r>
        <w:rPr>
          <w:b w:val="0"/>
          <w:position w:val="-5"/>
        </w:rPr>
      </w:r>
      <w:r>
        <w:rPr>
          <w:rFonts w:ascii="Times New Roman" w:hAnsi="Times New Roman"/>
          <w:b w:val="0"/>
        </w:rPr>
        <w:t> </w:t>
      </w:r>
      <w:r>
        <w:rPr>
          <w:color w:val="231F20"/>
        </w:rPr>
        <w:t>NetView</w:t>
      </w:r>
      <w:r>
        <w:rPr>
          <w:color w:val="231F20"/>
          <w:vertAlign w:val="superscript"/>
        </w:rPr>
        <w:t>®</w:t>
      </w:r>
      <w:r>
        <w:rPr>
          <w:color w:val="231F20"/>
          <w:vertAlign w:val="baseline"/>
        </w:rPr>
        <w:t> Event</w:t>
      </w:r>
    </w:p>
    <w:p>
      <w:pPr>
        <w:pStyle w:val="BodyText"/>
        <w:spacing w:before="85"/>
        <w:ind w:left="3190"/>
      </w:pPr>
      <w:r>
        <w:rPr>
          <w:color w:val="231F20"/>
        </w:rPr>
        <w:t>IBM</w:t>
      </w:r>
      <w:r>
        <w:rPr>
          <w:color w:val="231F20"/>
          <w:spacing w:val="10"/>
        </w:rPr>
        <w:t> </w:t>
      </w:r>
      <w:r>
        <w:rPr>
          <w:color w:val="231F20"/>
        </w:rPr>
        <w:t>Tivoli</w:t>
      </w:r>
      <w:r>
        <w:rPr>
          <w:color w:val="231F20"/>
          <w:spacing w:val="3"/>
        </w:rPr>
        <w:t> </w:t>
      </w:r>
      <w:r>
        <w:rPr>
          <w:color w:val="231F20"/>
        </w:rPr>
        <w:t>Alert</w:t>
      </w:r>
      <w:r>
        <w:rPr>
          <w:color w:val="231F20"/>
          <w:spacing w:val="4"/>
        </w:rPr>
        <w:t> </w:t>
      </w:r>
      <w:r>
        <w:rPr>
          <w:color w:val="231F20"/>
        </w:rPr>
        <w:t>Adapter</w:t>
      </w:r>
      <w:r>
        <w:rPr>
          <w:color w:val="231F20"/>
          <w:spacing w:val="10"/>
        </w:rPr>
        <w:t> </w:t>
      </w:r>
      <w:r>
        <w:rPr>
          <w:color w:val="231F20"/>
        </w:rPr>
        <w:t>for</w:t>
      </w:r>
      <w:r>
        <w:rPr>
          <w:color w:val="231F20"/>
          <w:spacing w:val="10"/>
        </w:rPr>
        <w:t> </w:t>
      </w:r>
      <w:r>
        <w:rPr>
          <w:color w:val="231F20"/>
        </w:rPr>
        <w:t>TME</w:t>
      </w:r>
      <w:r>
        <w:rPr>
          <w:color w:val="231F20"/>
          <w:spacing w:val="10"/>
        </w:rPr>
        <w:t> </w:t>
      </w:r>
      <w:r>
        <w:rPr>
          <w:color w:val="231F20"/>
        </w:rPr>
        <w:t>10</w:t>
      </w:r>
      <w:r>
        <w:rPr>
          <w:color w:val="231F20"/>
          <w:spacing w:val="10"/>
        </w:rPr>
        <w:t> </w:t>
      </w:r>
      <w:r>
        <w:rPr>
          <w:color w:val="231F20"/>
          <w:spacing w:val="-2"/>
        </w:rPr>
        <w:t>Netview.</w:t>
      </w:r>
    </w:p>
    <w:p>
      <w:pPr>
        <w:pStyle w:val="Heading6"/>
        <w:spacing w:line="240" w:lineRule="auto" w:before="111"/>
        <w:ind w:left="2482"/>
      </w:pPr>
      <w:r>
        <w:rPr>
          <w:b w:val="0"/>
          <w:position w:val="-5"/>
        </w:rPr>
        <w:drawing>
          <wp:inline distT="0" distB="0" distL="0" distR="0">
            <wp:extent cx="152400" cy="127000"/>
            <wp:effectExtent l="0" t="0" r="0" b="0"/>
            <wp:docPr id="2810" name="Image 2810"/>
            <wp:cNvGraphicFramePr>
              <a:graphicFrameLocks/>
            </wp:cNvGraphicFramePr>
            <a:graphic>
              <a:graphicData uri="http://schemas.openxmlformats.org/drawingml/2006/picture">
                <pic:pic>
                  <pic:nvPicPr>
                    <pic:cNvPr id="2810" name="Image 2810"/>
                    <pic:cNvPicPr/>
                  </pic:nvPicPr>
                  <pic:blipFill>
                    <a:blip r:embed="rId272" cstate="print"/>
                    <a:stretch>
                      <a:fillRect/>
                    </a:stretch>
                  </pic:blipFill>
                  <pic:spPr>
                    <a:xfrm>
                      <a:off x="0" y="0"/>
                      <a:ext cx="152400" cy="127000"/>
                    </a:xfrm>
                    <a:prstGeom prst="rect">
                      <a:avLst/>
                    </a:prstGeom>
                  </pic:spPr>
                </pic:pic>
              </a:graphicData>
            </a:graphic>
          </wp:inline>
        </w:drawing>
      </w:r>
      <w:r>
        <w:rPr>
          <w:b w:val="0"/>
          <w:position w:val="-5"/>
        </w:rPr>
      </w:r>
      <w:r>
        <w:rPr>
          <w:rFonts w:ascii="Times New Roman"/>
          <w:b w:val="0"/>
        </w:rPr>
        <w:t> </w:t>
      </w:r>
      <w:r>
        <w:rPr>
          <w:color w:val="231F20"/>
        </w:rPr>
        <w:t>SNMP</w:t>
      </w:r>
      <w:r>
        <w:rPr>
          <w:color w:val="231F20"/>
          <w:spacing w:val="22"/>
        </w:rPr>
        <w:t> </w:t>
      </w:r>
      <w:r>
        <w:rPr>
          <w:color w:val="231F20"/>
        </w:rPr>
        <w:t>Event</w:t>
      </w:r>
    </w:p>
    <w:p>
      <w:pPr>
        <w:pStyle w:val="BodyText"/>
        <w:spacing w:line="213" w:lineRule="auto" w:before="107"/>
        <w:ind w:left="3190" w:right="385"/>
      </w:pPr>
      <w:r>
        <w:rPr>
          <w:color w:val="231F20"/>
        </w:rPr>
        <w:t>This activity is available with the Universal Agent. It enables you to </w:t>
      </w:r>
      <w:r>
        <w:rPr>
          <w:color w:val="231F20"/>
        </w:rPr>
        <w:t>send an SNMP trap with information about any situation event to an SNMP </w:t>
      </w:r>
      <w:r>
        <w:rPr>
          <w:color w:val="231F20"/>
          <w:spacing w:val="-2"/>
        </w:rPr>
        <w:t>manager.</w:t>
      </w:r>
    </w:p>
    <w:p>
      <w:pPr>
        <w:pStyle w:val="Heading6"/>
      </w:pPr>
      <w:r>
        <w:rPr>
          <w:b w:val="0"/>
          <w:position w:val="1"/>
        </w:rPr>
        <w:drawing>
          <wp:inline distT="0" distB="0" distL="0" distR="0">
            <wp:extent cx="311150" cy="63500"/>
            <wp:effectExtent l="0" t="0" r="0" b="0"/>
            <wp:docPr id="2811" name="Image 2811"/>
            <wp:cNvGraphicFramePr>
              <a:graphicFrameLocks/>
            </wp:cNvGraphicFramePr>
            <a:graphic>
              <a:graphicData uri="http://schemas.openxmlformats.org/drawingml/2006/picture">
                <pic:pic>
                  <pic:nvPicPr>
                    <pic:cNvPr id="2811" name="Image 2811"/>
                    <pic:cNvPicPr/>
                  </pic:nvPicPr>
                  <pic:blipFill>
                    <a:blip r:embed="rId418" cstate="print"/>
                    <a:stretch>
                      <a:fillRect/>
                    </a:stretch>
                  </pic:blipFill>
                  <pic:spPr>
                    <a:xfrm>
                      <a:off x="0" y="0"/>
                      <a:ext cx="311150" cy="63500"/>
                    </a:xfrm>
                    <a:prstGeom prst="rect">
                      <a:avLst/>
                    </a:prstGeom>
                  </pic:spPr>
                </pic:pic>
              </a:graphicData>
            </a:graphic>
          </wp:inline>
        </w:drawing>
      </w:r>
      <w:r>
        <w:rPr>
          <w:b w:val="0"/>
          <w:position w:val="1"/>
        </w:rPr>
      </w:r>
      <w:r>
        <w:rPr>
          <w:rFonts w:ascii="Times New Roman"/>
          <w:b w:val="0"/>
          <w:spacing w:val="40"/>
        </w:rPr>
        <w:t> </w:t>
      </w:r>
      <w:r>
        <w:rPr>
          <w:color w:val="231F20"/>
        </w:rPr>
        <w:t>Connector</w:t>
      </w:r>
    </w:p>
    <w:p>
      <w:pPr>
        <w:pStyle w:val="BodyText"/>
        <w:spacing w:line="213" w:lineRule="auto" w:before="11"/>
        <w:ind w:left="3190" w:right="385"/>
      </w:pPr>
      <w:r>
        <w:rPr>
          <w:color w:val="231F20"/>
        </w:rPr>
        <w:t>Use the Connector tool to add connecting lines between the activity </w:t>
      </w:r>
      <w:r>
        <w:rPr>
          <w:color w:val="231F20"/>
        </w:rPr>
        <w:t>icons to control the workflow of the policy.</w:t>
      </w:r>
    </w:p>
    <w:p>
      <w:pPr>
        <w:pStyle w:val="BodyText"/>
        <w:spacing w:line="213" w:lineRule="auto" w:before="118"/>
        <w:ind w:left="3190" w:right="313"/>
      </w:pPr>
      <w:r>
        <w:rPr>
          <w:color w:val="231F20"/>
        </w:rPr>
        <w:t>You can have a single connector from an activity, and you can have multiple connectors from an activity so long as each connector links to a separate activity. Multiple connectors from an activity are processed </w:t>
      </w:r>
      <w:r>
        <w:rPr>
          <w:color w:val="231F20"/>
        </w:rPr>
        <w:t>using AND logic.</w:t>
      </w:r>
    </w:p>
    <w:p>
      <w:pPr>
        <w:pStyle w:val="BodyText"/>
        <w:spacing w:line="213" w:lineRule="auto" w:before="118"/>
        <w:ind w:left="3190" w:right="258"/>
      </w:pPr>
      <w:r>
        <w:rPr>
          <w:color w:val="231F20"/>
        </w:rPr>
        <w:t>When joining activities with the Connector tool, you assign an end code </w:t>
      </w:r>
      <w:r>
        <w:rPr>
          <w:color w:val="231F20"/>
        </w:rPr>
        <w:t>to each connection. Emitter activities can generate the following end codes:</w:t>
      </w:r>
    </w:p>
    <w:p>
      <w:pPr>
        <w:pStyle w:val="BodyText"/>
        <w:spacing w:line="213" w:lineRule="auto" w:before="58"/>
        <w:ind w:left="3406" w:hanging="216"/>
      </w:pPr>
      <w:r>
        <w:rPr>
          <w:rFonts w:ascii="Futura MdCn BT"/>
          <w:color w:val="231F20"/>
        </w:rPr>
        <w:t>v</w:t>
      </w:r>
      <w:r>
        <w:rPr>
          <w:rFonts w:ascii="Futura MdCn BT"/>
          <w:color w:val="231F20"/>
          <w:spacing w:val="80"/>
        </w:rPr>
        <w:t> </w:t>
      </w:r>
      <w:r>
        <w:rPr>
          <w:rFonts w:ascii="Book Antiqua"/>
          <w:b/>
          <w:color w:val="231F20"/>
        </w:rPr>
        <w:t>Error </w:t>
      </w:r>
      <w:r>
        <w:rPr>
          <w:color w:val="231F20"/>
        </w:rPr>
        <w:t>means that the emitter activity failed to complete successfully. </w:t>
      </w:r>
      <w:r>
        <w:rPr>
          <w:color w:val="231F20"/>
        </w:rPr>
        <w:t>The</w:t>
      </w:r>
      <w:r>
        <w:rPr>
          <w:color w:val="231F20"/>
        </w:rPr>
        <w:t> reason might be that a referenced object does not exist or a command returned an error status from the operating system.</w:t>
      </w:r>
    </w:p>
    <w:p>
      <w:pPr>
        <w:pStyle w:val="BodyText"/>
        <w:spacing w:line="213" w:lineRule="auto" w:before="58"/>
        <w:ind w:left="3406" w:hanging="216"/>
      </w:pPr>
      <w:r>
        <w:rPr>
          <w:rFonts w:ascii="Futura MdCn BT"/>
          <w:color w:val="231F20"/>
        </w:rPr>
        <w:t>v</w:t>
      </w:r>
      <w:r>
        <w:rPr>
          <w:rFonts w:ascii="Futura MdCn BT"/>
          <w:color w:val="231F20"/>
          <w:spacing w:val="80"/>
        </w:rPr>
        <w:t> </w:t>
      </w:r>
      <w:r>
        <w:rPr>
          <w:rFonts w:ascii="Book Antiqua"/>
          <w:b/>
          <w:color w:val="231F20"/>
        </w:rPr>
        <w:t>Data emitted </w:t>
      </w:r>
      <w:r>
        <w:rPr>
          <w:color w:val="231F20"/>
        </w:rPr>
        <w:t>means that the data generated by the activity was </w:t>
      </w:r>
      <w:r>
        <w:rPr>
          <w:color w:val="231F20"/>
        </w:rPr>
        <w:t>emitted</w:t>
      </w:r>
      <w:r>
        <w:rPr>
          <w:color w:val="231F20"/>
        </w:rPr>
        <w:t> successfully to the application.</w:t>
      </w:r>
    </w:p>
    <w:p>
      <w:pPr>
        <w:pStyle w:val="Heading6"/>
        <w:spacing w:line="240" w:lineRule="auto" w:before="217"/>
      </w:pPr>
      <w:r>
        <w:rPr>
          <w:color w:val="231F20"/>
        </w:rPr>
        <w:t>Emitter</w:t>
      </w:r>
      <w:r>
        <w:rPr>
          <w:color w:val="231F20"/>
          <w:spacing w:val="9"/>
        </w:rPr>
        <w:t> </w:t>
      </w:r>
      <w:r>
        <w:rPr>
          <w:color w:val="231F20"/>
          <w:spacing w:val="-2"/>
        </w:rPr>
        <w:t>settings:</w:t>
      </w:r>
    </w:p>
    <w:p>
      <w:pPr>
        <w:pStyle w:val="BodyText"/>
        <w:spacing w:line="213" w:lineRule="auto" w:before="239"/>
        <w:ind w:left="2472" w:right="545"/>
      </w:pPr>
      <w:r>
        <w:rPr>
          <w:color w:val="231F20"/>
        </w:rPr>
        <w:t>The Emitter activities tab of the Workflow editor contains the available emitter activities for your installed products. After you drop an emitter activity into </w:t>
      </w:r>
      <w:r>
        <w:rPr>
          <w:color w:val="231F20"/>
        </w:rPr>
        <w:t>the grapher view, this window is displayed for you to configure the activity.</w:t>
      </w:r>
    </w:p>
    <w:p>
      <w:pPr>
        <w:pStyle w:val="Heading6"/>
        <w:spacing w:before="116"/>
      </w:pPr>
      <w:r>
        <w:rPr>
          <w:color w:val="231F20"/>
        </w:rPr>
        <w:t>Emitter</w:t>
      </w:r>
      <w:r>
        <w:rPr>
          <w:color w:val="231F20"/>
          <w:spacing w:val="9"/>
        </w:rPr>
        <w:t> </w:t>
      </w:r>
      <w:r>
        <w:rPr>
          <w:color w:val="231F20"/>
          <w:spacing w:val="-4"/>
        </w:rPr>
        <w:t>Type</w:t>
      </w:r>
    </w:p>
    <w:p>
      <w:pPr>
        <w:pStyle w:val="BodyText"/>
        <w:spacing w:line="258" w:lineRule="exact"/>
        <w:ind w:left="3190"/>
      </w:pPr>
      <w:r>
        <w:rPr>
          <w:color w:val="231F20"/>
        </w:rPr>
        <w:t>Shows</w:t>
      </w:r>
      <w:r>
        <w:rPr>
          <w:color w:val="231F20"/>
          <w:spacing w:val="11"/>
        </w:rPr>
        <w:t> </w:t>
      </w:r>
      <w:r>
        <w:rPr>
          <w:color w:val="231F20"/>
        </w:rPr>
        <w:t>the</w:t>
      </w:r>
      <w:r>
        <w:rPr>
          <w:color w:val="231F20"/>
          <w:spacing w:val="12"/>
        </w:rPr>
        <w:t> </w:t>
      </w:r>
      <w:r>
        <w:rPr>
          <w:color w:val="231F20"/>
        </w:rPr>
        <w:t>name</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emitter</w:t>
      </w:r>
      <w:r>
        <w:rPr>
          <w:color w:val="231F20"/>
          <w:spacing w:val="12"/>
        </w:rPr>
        <w:t> </w:t>
      </w:r>
      <w:r>
        <w:rPr>
          <w:color w:val="231F20"/>
          <w:spacing w:val="-2"/>
        </w:rPr>
        <w:t>activity.</w:t>
      </w:r>
    </w:p>
    <w:p>
      <w:pPr>
        <w:pStyle w:val="Heading6"/>
        <w:spacing w:before="112"/>
      </w:pPr>
      <w:r>
        <w:rPr>
          <w:color w:val="231F20"/>
          <w:spacing w:val="-2"/>
        </w:rPr>
        <w:t>Parameters</w:t>
      </w:r>
    </w:p>
    <w:p>
      <w:pPr>
        <w:pStyle w:val="BodyText"/>
        <w:spacing w:line="213" w:lineRule="auto" w:before="11"/>
        <w:ind w:left="3190"/>
      </w:pPr>
      <w:r>
        <w:rPr>
          <w:color w:val="231F20"/>
        </w:rPr>
        <w:t>Lists the parameters required for this emitter. Select a parameter to see </w:t>
      </w:r>
      <w:r>
        <w:rPr>
          <w:color w:val="231F20"/>
        </w:rPr>
        <w:t>its current value on the right.</w:t>
      </w:r>
    </w:p>
    <w:p>
      <w:pPr>
        <w:pStyle w:val="BodyText"/>
        <w:spacing w:line="213" w:lineRule="auto" w:before="118"/>
        <w:ind w:left="3190" w:right="545"/>
      </w:pPr>
      <w:r>
        <w:rPr>
          <w:rFonts w:ascii="Book Antiqua"/>
          <w:b/>
          <w:color w:val="231F20"/>
        </w:rPr>
        <w:t>Emitter target </w:t>
      </w:r>
      <w:r>
        <w:rPr>
          <w:color w:val="231F20"/>
        </w:rPr>
        <w:t>identifies the emitter that transfers the request (such as </w:t>
      </w:r>
      <w:r>
        <w:rPr>
          <w:color w:val="231F20"/>
        </w:rPr>
        <w:t>a command or log entry) to the third-party software. The host name is followed by the emitter name, separated by a colon (:), such as </w:t>
      </w:r>
      <w:r>
        <w:rPr>
          <w:color w:val="231F20"/>
          <w:spacing w:val="-2"/>
        </w:rPr>
        <w:t>myhost:TME_Emit.</w:t>
      </w:r>
    </w:p>
    <w:p>
      <w:pPr>
        <w:pStyle w:val="BodyText"/>
        <w:spacing w:line="213" w:lineRule="auto" w:before="117"/>
        <w:ind w:left="3190" w:right="545"/>
      </w:pPr>
      <w:r>
        <w:rPr>
          <w:rFonts w:ascii="Book Antiqua"/>
          <w:b/>
          <w:color w:val="231F20"/>
        </w:rPr>
        <w:t>Attributes </w:t>
      </w:r>
      <w:r>
        <w:rPr>
          <w:color w:val="231F20"/>
        </w:rPr>
        <w:t>opens the Attribute Selection window, which shows the attributes currently selected to be included in the communication. </w:t>
      </w:r>
      <w:r>
        <w:rPr>
          <w:color w:val="231F20"/>
        </w:rPr>
        <w:t>After viewing and adjusting the list as needed, click </w:t>
      </w:r>
      <w:r>
        <w:rPr>
          <w:rFonts w:ascii="Book Antiqua"/>
          <w:b/>
          <w:color w:val="231F20"/>
        </w:rPr>
        <w:t>OK </w:t>
      </w:r>
      <w:r>
        <w:rPr>
          <w:color w:val="231F20"/>
        </w:rPr>
        <w:t>to close the window and see the selected attributes in this area.</w:t>
      </w:r>
    </w:p>
    <w:p>
      <w:pPr>
        <w:pStyle w:val="BodyText"/>
        <w:spacing w:line="213" w:lineRule="auto" w:before="118"/>
        <w:ind w:left="3190" w:right="545"/>
      </w:pPr>
      <w:r>
        <w:rPr>
          <w:color w:val="231F20"/>
        </w:rPr>
        <w:t>Any other required parameters for your IBM Tivoli Monitoring </w:t>
      </w:r>
      <w:r>
        <w:rPr>
          <w:color w:val="231F20"/>
        </w:rPr>
        <w:t>product will display here. See your product documentation for details.</w:t>
      </w:r>
    </w:p>
    <w:p>
      <w:pPr>
        <w:pStyle w:val="Heading6"/>
      </w:pPr>
      <w:r>
        <w:rPr>
          <w:color w:val="231F20"/>
        </w:rPr>
        <w:t>Current</w:t>
      </w:r>
      <w:r>
        <w:rPr>
          <w:color w:val="231F20"/>
          <w:spacing w:val="8"/>
        </w:rPr>
        <w:t> </w:t>
      </w:r>
      <w:r>
        <w:rPr>
          <w:color w:val="231F20"/>
          <w:spacing w:val="-4"/>
        </w:rPr>
        <w:t>value</w:t>
      </w:r>
    </w:p>
    <w:p>
      <w:pPr>
        <w:pStyle w:val="BodyText"/>
        <w:spacing w:line="213" w:lineRule="auto" w:before="11"/>
        <w:ind w:left="3190" w:right="493"/>
      </w:pPr>
      <w:r>
        <w:rPr>
          <w:color w:val="231F20"/>
        </w:rPr>
        <w:t>Shows and enables you to change the value or values of the </w:t>
      </w:r>
      <w:r>
        <w:rPr>
          <w:color w:val="231F20"/>
        </w:rPr>
        <w:t>selected </w:t>
      </w:r>
      <w:r>
        <w:rPr>
          <w:color w:val="231F20"/>
          <w:spacing w:val="-2"/>
        </w:rPr>
        <w:t>parameter.</w:t>
      </w:r>
    </w:p>
    <w:p>
      <w:pPr>
        <w:pStyle w:val="Heading6"/>
      </w:pPr>
      <w:r>
        <w:rPr>
          <w:color w:val="231F20"/>
        </w:rPr>
        <w:t>Operation</w:t>
      </w:r>
      <w:r>
        <w:rPr>
          <w:color w:val="231F20"/>
          <w:spacing w:val="6"/>
        </w:rPr>
        <w:t> </w:t>
      </w:r>
      <w:r>
        <w:rPr>
          <w:color w:val="231F20"/>
          <w:spacing w:val="-4"/>
        </w:rPr>
        <w:t>Mode</w:t>
      </w:r>
    </w:p>
    <w:p>
      <w:pPr>
        <w:pStyle w:val="BodyText"/>
        <w:spacing w:line="258" w:lineRule="exact"/>
        <w:ind w:left="3190"/>
      </w:pPr>
      <w:r>
        <w:rPr>
          <w:color w:val="231F20"/>
        </w:rPr>
        <w:t>Determines</w:t>
      </w:r>
      <w:r>
        <w:rPr>
          <w:color w:val="231F20"/>
          <w:spacing w:val="9"/>
        </w:rPr>
        <w:t> </w:t>
      </w:r>
      <w:r>
        <w:rPr>
          <w:color w:val="231F20"/>
        </w:rPr>
        <w:t>how</w:t>
      </w:r>
      <w:r>
        <w:rPr>
          <w:color w:val="231F20"/>
          <w:spacing w:val="10"/>
        </w:rPr>
        <w:t> </w:t>
      </w:r>
      <w:r>
        <w:rPr>
          <w:color w:val="231F20"/>
        </w:rPr>
        <w:t>the</w:t>
      </w:r>
      <w:r>
        <w:rPr>
          <w:color w:val="231F20"/>
          <w:spacing w:val="10"/>
        </w:rPr>
        <w:t> </w:t>
      </w:r>
      <w:r>
        <w:rPr>
          <w:color w:val="231F20"/>
        </w:rPr>
        <w:t>communication</w:t>
      </w:r>
      <w:r>
        <w:rPr>
          <w:color w:val="231F20"/>
          <w:spacing w:val="9"/>
        </w:rPr>
        <w:t> </w:t>
      </w:r>
      <w:r>
        <w:rPr>
          <w:color w:val="231F20"/>
        </w:rPr>
        <w:t>is</w:t>
      </w:r>
      <w:r>
        <w:rPr>
          <w:color w:val="231F20"/>
          <w:spacing w:val="10"/>
        </w:rPr>
        <w:t> </w:t>
      </w:r>
      <w:r>
        <w:rPr>
          <w:color w:val="231F20"/>
        </w:rPr>
        <w:t>transferred</w:t>
      </w:r>
      <w:r>
        <w:rPr>
          <w:color w:val="231F20"/>
          <w:spacing w:val="10"/>
        </w:rPr>
        <w:t> </w:t>
      </w:r>
      <w:r>
        <w:rPr>
          <w:color w:val="231F20"/>
        </w:rPr>
        <w:t>to</w:t>
      </w:r>
      <w:r>
        <w:rPr>
          <w:color w:val="231F20"/>
          <w:spacing w:val="9"/>
        </w:rPr>
        <w:t> </w:t>
      </w:r>
      <w:r>
        <w:rPr>
          <w:color w:val="231F20"/>
        </w:rPr>
        <w:t>the</w:t>
      </w:r>
      <w:r>
        <w:rPr>
          <w:color w:val="231F20"/>
          <w:spacing w:val="10"/>
        </w:rPr>
        <w:t> </w:t>
      </w:r>
      <w:r>
        <w:rPr>
          <w:color w:val="231F20"/>
          <w:spacing w:val="-2"/>
        </w:rPr>
        <w:t>emitter.</w:t>
      </w:r>
    </w:p>
    <w:p>
      <w:pPr>
        <w:spacing w:after="0" w:line="258" w:lineRule="exact"/>
        <w:sectPr>
          <w:pgSz w:w="12240" w:h="15840"/>
          <w:pgMar w:header="0" w:footer="736" w:top="1180" w:bottom="920" w:left="1000" w:right="1060"/>
        </w:sectPr>
      </w:pPr>
    </w:p>
    <w:p>
      <w:pPr>
        <w:spacing w:line="208" w:lineRule="auto" w:before="94"/>
        <w:ind w:left="2951" w:right="545" w:firstLine="0"/>
        <w:jc w:val="left"/>
        <w:rPr>
          <w:sz w:val="20"/>
        </w:rPr>
      </w:pPr>
      <w:bookmarkStart w:name="_bookmark250" w:id="521"/>
      <w:bookmarkEnd w:id="521"/>
      <w:r>
        <w:rPr/>
      </w:r>
      <w:r>
        <w:rPr/>
        <w:drawing>
          <wp:inline distT="0" distB="0" distL="0" distR="0">
            <wp:extent cx="88900" cy="82550"/>
            <wp:effectExtent l="0" t="0" r="0" b="0"/>
            <wp:docPr id="2812" name="Image 2812"/>
            <wp:cNvGraphicFramePr>
              <a:graphicFrameLocks/>
            </wp:cNvGraphicFramePr>
            <a:graphic>
              <a:graphicData uri="http://schemas.openxmlformats.org/drawingml/2006/picture">
                <pic:pic>
                  <pic:nvPicPr>
                    <pic:cNvPr id="2812" name="Image 2812"/>
                    <pic:cNvPicPr/>
                  </pic:nvPicPr>
                  <pic:blipFill>
                    <a:blip r:embed="rId140"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Invoke emitter once for each data row</w:t>
      </w:r>
      <w:r>
        <w:rPr>
          <w:color w:val="231F20"/>
          <w:sz w:val="20"/>
        </w:rPr>
        <w:t>, the default, repeats the </w:t>
      </w:r>
      <w:r>
        <w:rPr>
          <w:color w:val="231F20"/>
          <w:sz w:val="20"/>
        </w:rPr>
        <w:t>emitter activity for every row in the data sample that renders the situation true.</w:t>
      </w:r>
    </w:p>
    <w:p>
      <w:pPr>
        <w:spacing w:line="211" w:lineRule="auto" w:before="127"/>
        <w:ind w:left="2951" w:right="636" w:hanging="1"/>
        <w:jc w:val="left"/>
        <w:rPr>
          <w:sz w:val="20"/>
        </w:rPr>
      </w:pPr>
      <w:r>
        <w:rPr/>
        <w:drawing>
          <wp:inline distT="0" distB="0" distL="0" distR="0">
            <wp:extent cx="88900" cy="82550"/>
            <wp:effectExtent l="0" t="0" r="0" b="0"/>
            <wp:docPr id="2813" name="Image 2813"/>
            <wp:cNvGraphicFramePr>
              <a:graphicFrameLocks/>
            </wp:cNvGraphicFramePr>
            <a:graphic>
              <a:graphicData uri="http://schemas.openxmlformats.org/drawingml/2006/picture">
                <pic:pic>
                  <pic:nvPicPr>
                    <pic:cNvPr id="2813" name="Image 2813"/>
                    <pic:cNvPicPr/>
                  </pic:nvPicPr>
                  <pic:blipFill>
                    <a:blip r:embed="rId182" cstate="print"/>
                    <a:stretch>
                      <a:fillRect/>
                    </a:stretch>
                  </pic:blipFill>
                  <pic:spPr>
                    <a:xfrm>
                      <a:off x="0" y="0"/>
                      <a:ext cx="88900" cy="82550"/>
                    </a:xfrm>
                    <a:prstGeom prst="rect">
                      <a:avLst/>
                    </a:prstGeom>
                  </pic:spPr>
                </pic:pic>
              </a:graphicData>
            </a:graphic>
          </wp:inline>
        </w:drawing>
      </w:r>
      <w:r>
        <w:rPr/>
      </w:r>
      <w:r>
        <w:rPr>
          <w:rFonts w:ascii="Times New Roman"/>
          <w:spacing w:val="40"/>
          <w:sz w:val="20"/>
        </w:rPr>
        <w:t> </w:t>
      </w:r>
      <w:r>
        <w:rPr>
          <w:rFonts w:ascii="Book Antiqua"/>
          <w:b/>
          <w:color w:val="231F20"/>
          <w:sz w:val="20"/>
        </w:rPr>
        <w:t>Bundle data rows and invoke emitter once </w:t>
      </w:r>
      <w:r>
        <w:rPr>
          <w:color w:val="231F20"/>
          <w:sz w:val="20"/>
        </w:rPr>
        <w:t>assembles the emitter communication for every row returned in the true situation and </w:t>
      </w:r>
      <w:r>
        <w:rPr>
          <w:color w:val="231F20"/>
          <w:sz w:val="20"/>
        </w:rPr>
        <w:t>sends them as one emitter activity.</w:t>
      </w:r>
    </w:p>
    <w:p>
      <w:pPr>
        <w:pStyle w:val="BodyText"/>
        <w:spacing w:line="213" w:lineRule="auto" w:before="119"/>
        <w:ind w:left="2951" w:right="545"/>
      </w:pPr>
      <w:r>
        <w:rPr>
          <w:color w:val="231F20"/>
        </w:rPr>
        <w:t>For example, consider a situation that fires when the disk space is below 20%. Of the four rows in the data sampling, one for each disk, three meet</w:t>
      </w:r>
      <w:r>
        <w:rPr>
          <w:color w:val="231F20"/>
          <w:spacing w:val="80"/>
        </w:rPr>
        <w:t> </w:t>
      </w:r>
      <w:r>
        <w:rPr>
          <w:color w:val="231F20"/>
        </w:rPr>
        <w:t>the condition. The emitter activity sends a message to the third-party event console, depending on the operation mode, once for each of the three </w:t>
      </w:r>
      <w:r>
        <w:rPr>
          <w:color w:val="231F20"/>
        </w:rPr>
        <w:t>disks </w:t>
      </w:r>
      <w:bookmarkStart w:name="Extensions" w:id="522"/>
      <w:bookmarkEnd w:id="522"/>
      <w:r>
        <w:rPr>
          <w:color w:val="231F20"/>
        </w:rPr>
        <w:t>below</w:t>
      </w:r>
      <w:r>
        <w:rPr>
          <w:color w:val="231F20"/>
        </w:rPr>
        <w:t> 20% or once for all three disks.</w:t>
      </w:r>
    </w:p>
    <w:p>
      <w:pPr>
        <w:pStyle w:val="Heading4"/>
        <w:spacing w:line="273" w:lineRule="exact" w:before="163"/>
      </w:pPr>
      <w:r>
        <w:rPr>
          <w:color w:val="231F20"/>
          <w:spacing w:val="-2"/>
        </w:rPr>
        <w:t>Extensions</w:t>
      </w:r>
    </w:p>
    <w:p>
      <w:pPr>
        <w:pStyle w:val="BodyText"/>
        <w:spacing w:line="213" w:lineRule="auto" w:before="19"/>
        <w:ind w:left="2232" w:right="545"/>
      </w:pPr>
      <w:r>
        <w:rPr>
          <w:color w:val="231F20"/>
        </w:rPr>
        <w:t>The </w:t>
      </w:r>
      <w:r>
        <w:rPr>
          <w:rFonts w:ascii="Book Antiqua"/>
          <w:b/>
          <w:color w:val="231F20"/>
        </w:rPr>
        <w:t>Extensions </w:t>
      </w:r>
      <w:r>
        <w:rPr>
          <w:color w:val="231F20"/>
        </w:rPr>
        <w:t>tab displays the Wait until a situation is False activity, On Demand Report activity, Send an e-mail activity, and activities associated with Tivoli Application Dependency Discovery Manager (TADDM) integration.</w:t>
      </w:r>
    </w:p>
    <w:p>
      <w:pPr>
        <w:pStyle w:val="Heading6"/>
        <w:ind w:left="2232"/>
      </w:pPr>
      <w:r>
        <w:rPr>
          <w:b w:val="0"/>
          <w:position w:val="-3"/>
        </w:rPr>
        <w:drawing>
          <wp:inline distT="0" distB="0" distL="0" distR="0">
            <wp:extent cx="120650" cy="114300"/>
            <wp:effectExtent l="0" t="0" r="0" b="0"/>
            <wp:docPr id="2814" name="Image 2814"/>
            <wp:cNvGraphicFramePr>
              <a:graphicFrameLocks/>
            </wp:cNvGraphicFramePr>
            <a:graphic>
              <a:graphicData uri="http://schemas.openxmlformats.org/drawingml/2006/picture">
                <pic:pic>
                  <pic:nvPicPr>
                    <pic:cNvPr id="2814" name="Image 2814"/>
                    <pic:cNvPicPr/>
                  </pic:nvPicPr>
                  <pic:blipFill>
                    <a:blip r:embed="rId438" cstate="print"/>
                    <a:stretch>
                      <a:fillRect/>
                    </a:stretch>
                  </pic:blipFill>
                  <pic:spPr>
                    <a:xfrm>
                      <a:off x="0" y="0"/>
                      <a:ext cx="120650" cy="114300"/>
                    </a:xfrm>
                    <a:prstGeom prst="rect">
                      <a:avLst/>
                    </a:prstGeom>
                  </pic:spPr>
                </pic:pic>
              </a:graphicData>
            </a:graphic>
          </wp:inline>
        </w:drawing>
      </w:r>
      <w:r>
        <w:rPr>
          <w:b w:val="0"/>
          <w:position w:val="-3"/>
        </w:rPr>
      </w:r>
      <w:r>
        <w:rPr>
          <w:rFonts w:ascii="Times New Roman"/>
          <w:b w:val="0"/>
          <w:spacing w:val="80"/>
        </w:rPr>
        <w:t> </w:t>
      </w:r>
      <w:r>
        <w:rPr>
          <w:color w:val="231F20"/>
        </w:rPr>
        <w:t>Wait</w:t>
      </w:r>
      <w:r>
        <w:rPr>
          <w:color w:val="231F20"/>
          <w:spacing w:val="23"/>
        </w:rPr>
        <w:t> </w:t>
      </w:r>
      <w:r>
        <w:rPr>
          <w:color w:val="231F20"/>
        </w:rPr>
        <w:t>until</w:t>
      </w:r>
      <w:r>
        <w:rPr>
          <w:color w:val="231F20"/>
          <w:spacing w:val="23"/>
        </w:rPr>
        <w:t> </w:t>
      </w:r>
      <w:r>
        <w:rPr>
          <w:color w:val="231F20"/>
        </w:rPr>
        <w:t>a</w:t>
      </w:r>
      <w:r>
        <w:rPr>
          <w:color w:val="231F20"/>
          <w:spacing w:val="23"/>
        </w:rPr>
        <w:t> </w:t>
      </w:r>
      <w:r>
        <w:rPr>
          <w:color w:val="231F20"/>
        </w:rPr>
        <w:t>situation</w:t>
      </w:r>
      <w:r>
        <w:rPr>
          <w:color w:val="231F20"/>
          <w:spacing w:val="23"/>
        </w:rPr>
        <w:t> </w:t>
      </w:r>
      <w:r>
        <w:rPr>
          <w:color w:val="231F20"/>
        </w:rPr>
        <w:t>is</w:t>
      </w:r>
      <w:r>
        <w:rPr>
          <w:color w:val="231F20"/>
          <w:spacing w:val="23"/>
        </w:rPr>
        <w:t> </w:t>
      </w:r>
      <w:r>
        <w:rPr>
          <w:color w:val="231F20"/>
        </w:rPr>
        <w:t>False</w:t>
      </w:r>
    </w:p>
    <w:p>
      <w:pPr>
        <w:pStyle w:val="BodyText"/>
        <w:spacing w:line="213" w:lineRule="auto" w:before="11"/>
        <w:ind w:left="2951" w:right="545"/>
      </w:pPr>
      <w:r>
        <w:rPr>
          <w:color w:val="231F20"/>
        </w:rPr>
        <w:t>Waits for the state of a specified situation to change from true back to false, which causes the open event to close. The event closes automatically when the agent is next sampled (determined by the situation sampling interval) and the condition is no longer true.</w:t>
      </w:r>
    </w:p>
    <w:p>
      <w:pPr>
        <w:pStyle w:val="BodyText"/>
        <w:spacing w:line="213" w:lineRule="auto" w:before="117"/>
        <w:ind w:left="2951" w:right="493"/>
      </w:pPr>
      <w:r>
        <w:rPr>
          <w:rFonts w:ascii="Book Antiqua"/>
          <w:b/>
          <w:color w:val="231F20"/>
        </w:rPr>
        <w:t>Wait until a situation is False </w:t>
      </w:r>
      <w:r>
        <w:rPr>
          <w:color w:val="231F20"/>
        </w:rPr>
        <w:t>is useful for policies you want to repeat but only when the state returns to false. An example would be a repeating</w:t>
      </w:r>
      <w:r>
        <w:rPr>
          <w:color w:val="231F20"/>
          <w:spacing w:val="80"/>
        </w:rPr>
        <w:t> </w:t>
      </w:r>
      <w:r>
        <w:rPr>
          <w:color w:val="231F20"/>
        </w:rPr>
        <w:t>policy that uses an emitter activity to generate a trouble ticket when CPU activity is high. If this condition continues beyond the 30-minute sampling interval, a new trouble ticket would be generated every 30 minutes. To prevent this from happening the user adds a </w:t>
      </w:r>
      <w:r>
        <w:rPr>
          <w:rFonts w:ascii="Book Antiqua"/>
          <w:b/>
          <w:color w:val="231F20"/>
        </w:rPr>
        <w:t>Wait until a situation is False </w:t>
      </w:r>
      <w:r>
        <w:rPr>
          <w:color w:val="231F20"/>
        </w:rPr>
        <w:t>activity to the end of the workflow, so the policy will not restart until the situation has gone to false, then true again.</w:t>
      </w:r>
    </w:p>
    <w:p>
      <w:pPr>
        <w:spacing w:before="92"/>
        <w:ind w:left="2951" w:right="0" w:firstLine="0"/>
        <w:jc w:val="left"/>
        <w:rPr>
          <w:sz w:val="20"/>
        </w:rPr>
      </w:pPr>
      <w:r>
        <w:rPr>
          <w:color w:val="231F20"/>
          <w:sz w:val="20"/>
        </w:rPr>
        <w:t>End</w:t>
      </w:r>
      <w:r>
        <w:rPr>
          <w:color w:val="231F20"/>
          <w:spacing w:val="11"/>
          <w:sz w:val="20"/>
        </w:rPr>
        <w:t> </w:t>
      </w:r>
      <w:r>
        <w:rPr>
          <w:color w:val="231F20"/>
          <w:sz w:val="20"/>
        </w:rPr>
        <w:t>code</w:t>
      </w:r>
      <w:r>
        <w:rPr>
          <w:color w:val="231F20"/>
          <w:spacing w:val="11"/>
          <w:sz w:val="20"/>
        </w:rPr>
        <w:t> </w:t>
      </w:r>
      <w:r>
        <w:rPr>
          <w:color w:val="231F20"/>
          <w:sz w:val="20"/>
        </w:rPr>
        <w:t>choices</w:t>
      </w:r>
      <w:r>
        <w:rPr>
          <w:color w:val="231F20"/>
          <w:spacing w:val="12"/>
          <w:sz w:val="20"/>
        </w:rPr>
        <w:t> </w:t>
      </w:r>
      <w:r>
        <w:rPr>
          <w:color w:val="231F20"/>
          <w:sz w:val="20"/>
        </w:rPr>
        <w:t>for</w:t>
      </w:r>
      <w:r>
        <w:rPr>
          <w:color w:val="231F20"/>
          <w:spacing w:val="11"/>
          <w:sz w:val="20"/>
        </w:rPr>
        <w:t> </w:t>
      </w:r>
      <w:r>
        <w:rPr>
          <w:color w:val="231F20"/>
          <w:sz w:val="20"/>
        </w:rPr>
        <w:t>starting</w:t>
      </w:r>
      <w:r>
        <w:rPr>
          <w:color w:val="231F20"/>
          <w:spacing w:val="12"/>
          <w:sz w:val="20"/>
        </w:rPr>
        <w:t> </w:t>
      </w:r>
      <w:r>
        <w:rPr>
          <w:color w:val="231F20"/>
          <w:sz w:val="20"/>
        </w:rPr>
        <w:t>the</w:t>
      </w:r>
      <w:r>
        <w:rPr>
          <w:color w:val="231F20"/>
          <w:spacing w:val="11"/>
          <w:sz w:val="20"/>
        </w:rPr>
        <w:t> </w:t>
      </w:r>
      <w:r>
        <w:rPr>
          <w:color w:val="231F20"/>
          <w:sz w:val="20"/>
        </w:rPr>
        <w:t>next</w:t>
      </w:r>
      <w:r>
        <w:rPr>
          <w:color w:val="231F20"/>
          <w:spacing w:val="12"/>
          <w:sz w:val="20"/>
        </w:rPr>
        <w:t> </w:t>
      </w:r>
      <w:r>
        <w:rPr>
          <w:color w:val="231F20"/>
          <w:sz w:val="20"/>
        </w:rPr>
        <w:t>activity:</w:t>
      </w:r>
      <w:r>
        <w:rPr>
          <w:color w:val="231F20"/>
          <w:spacing w:val="11"/>
          <w:sz w:val="20"/>
        </w:rPr>
        <w:t> </w:t>
      </w:r>
      <w:r>
        <w:rPr>
          <w:rFonts w:ascii="Book Antiqua"/>
          <w:i/>
          <w:color w:val="231F20"/>
          <w:sz w:val="20"/>
        </w:rPr>
        <w:t>Situation</w:t>
      </w:r>
      <w:r>
        <w:rPr>
          <w:rFonts w:ascii="Book Antiqua"/>
          <w:i/>
          <w:color w:val="231F20"/>
          <w:spacing w:val="11"/>
          <w:sz w:val="20"/>
        </w:rPr>
        <w:t> </w:t>
      </w:r>
      <w:r>
        <w:rPr>
          <w:rFonts w:ascii="Book Antiqua"/>
          <w:i/>
          <w:color w:val="231F20"/>
          <w:sz w:val="20"/>
        </w:rPr>
        <w:t>is</w:t>
      </w:r>
      <w:r>
        <w:rPr>
          <w:rFonts w:ascii="Book Antiqua"/>
          <w:i/>
          <w:color w:val="231F20"/>
          <w:spacing w:val="12"/>
          <w:sz w:val="20"/>
        </w:rPr>
        <w:t> </w:t>
      </w:r>
      <w:r>
        <w:rPr>
          <w:rFonts w:ascii="Book Antiqua"/>
          <w:i/>
          <w:color w:val="231F20"/>
          <w:sz w:val="20"/>
        </w:rPr>
        <w:t>false;</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pStyle w:val="BodyText"/>
        <w:spacing w:before="209"/>
        <w:ind w:left="2951"/>
      </w:pPr>
      <w:r>
        <w:rPr>
          <w:rFonts w:ascii="Book Antiqua"/>
          <w:b/>
          <w:color w:val="231F20"/>
        </w:rPr>
        <w:t>Note:</w:t>
      </w:r>
      <w:r>
        <w:rPr>
          <w:rFonts w:ascii="Book Antiqua"/>
          <w:b/>
          <w:color w:val="231F20"/>
          <w:spacing w:val="42"/>
        </w:rPr>
        <w:t> </w:t>
      </w:r>
      <w:r>
        <w:rPr>
          <w:color w:val="231F20"/>
        </w:rPr>
        <w:t>This</w:t>
      </w:r>
      <w:r>
        <w:rPr>
          <w:color w:val="231F20"/>
          <w:spacing w:val="12"/>
        </w:rPr>
        <w:t> </w:t>
      </w:r>
      <w:r>
        <w:rPr>
          <w:color w:val="231F20"/>
        </w:rPr>
        <w:t>activity</w:t>
      </w:r>
      <w:r>
        <w:rPr>
          <w:color w:val="231F20"/>
          <w:spacing w:val="11"/>
        </w:rPr>
        <w:t> </w:t>
      </w:r>
      <w:r>
        <w:rPr>
          <w:color w:val="231F20"/>
        </w:rPr>
        <w:t>does</w:t>
      </w:r>
      <w:r>
        <w:rPr>
          <w:color w:val="231F20"/>
          <w:spacing w:val="12"/>
        </w:rPr>
        <w:t> </w:t>
      </w:r>
      <w:r>
        <w:rPr>
          <w:color w:val="231F20"/>
        </w:rPr>
        <w:t>not</w:t>
      </w:r>
      <w:r>
        <w:rPr>
          <w:color w:val="231F20"/>
          <w:spacing w:val="12"/>
        </w:rPr>
        <w:t> </w:t>
      </w:r>
      <w:r>
        <w:rPr>
          <w:color w:val="231F20"/>
        </w:rPr>
        <w:t>apply</w:t>
      </w:r>
      <w:r>
        <w:rPr>
          <w:color w:val="231F20"/>
          <w:spacing w:val="12"/>
        </w:rPr>
        <w:t> </w:t>
      </w:r>
      <w:r>
        <w:rPr>
          <w:color w:val="231F20"/>
        </w:rPr>
        <w:t>to</w:t>
      </w:r>
      <w:r>
        <w:rPr>
          <w:color w:val="231F20"/>
          <w:spacing w:val="11"/>
        </w:rPr>
        <w:t> </w:t>
      </w:r>
      <w:r>
        <w:rPr>
          <w:color w:val="231F20"/>
        </w:rPr>
        <w:t>manual</w:t>
      </w:r>
      <w:r>
        <w:rPr>
          <w:color w:val="231F20"/>
          <w:spacing w:val="12"/>
        </w:rPr>
        <w:t> </w:t>
      </w:r>
      <w:r>
        <w:rPr>
          <w:color w:val="231F20"/>
        </w:rPr>
        <w:t>event</w:t>
      </w:r>
      <w:r>
        <w:rPr>
          <w:color w:val="231F20"/>
          <w:spacing w:val="12"/>
        </w:rPr>
        <w:t> </w:t>
      </w:r>
      <w:r>
        <w:rPr>
          <w:color w:val="231F20"/>
          <w:spacing w:val="-2"/>
        </w:rPr>
        <w:t>closures.</w:t>
      </w:r>
    </w:p>
    <w:p>
      <w:pPr>
        <w:spacing w:line="216" w:lineRule="auto" w:before="188"/>
        <w:ind w:left="2951" w:right="545" w:hanging="719"/>
        <w:jc w:val="left"/>
        <w:rPr>
          <w:sz w:val="20"/>
        </w:rPr>
      </w:pPr>
      <w:r>
        <w:rPr>
          <w:position w:val="-1"/>
        </w:rPr>
        <w:drawing>
          <wp:inline distT="0" distB="0" distL="0" distR="0">
            <wp:extent cx="146304" cy="176784"/>
            <wp:effectExtent l="0" t="0" r="0" b="0"/>
            <wp:docPr id="2815" name="Image 2815"/>
            <wp:cNvGraphicFramePr>
              <a:graphicFrameLocks/>
            </wp:cNvGraphicFramePr>
            <a:graphic>
              <a:graphicData uri="http://schemas.openxmlformats.org/drawingml/2006/picture">
                <pic:pic>
                  <pic:nvPicPr>
                    <pic:cNvPr id="2815" name="Image 2815"/>
                    <pic:cNvPicPr/>
                  </pic:nvPicPr>
                  <pic:blipFill>
                    <a:blip r:embed="rId439" cstate="print"/>
                    <a:stretch>
                      <a:fillRect/>
                    </a:stretch>
                  </pic:blipFill>
                  <pic:spPr>
                    <a:xfrm>
                      <a:off x="0" y="0"/>
                      <a:ext cx="146304" cy="176784"/>
                    </a:xfrm>
                    <a:prstGeom prst="rect">
                      <a:avLst/>
                    </a:prstGeom>
                  </pic:spPr>
                </pic:pic>
              </a:graphicData>
            </a:graphic>
          </wp:inline>
        </w:drawing>
      </w:r>
      <w:r>
        <w:rPr>
          <w:position w:val="-1"/>
        </w:rPr>
      </w:r>
      <w:r>
        <w:rPr>
          <w:rFonts w:ascii="Times New Roman"/>
          <w:spacing w:val="40"/>
          <w:sz w:val="20"/>
        </w:rPr>
        <w:t> </w:t>
      </w:r>
      <w:r>
        <w:rPr>
          <w:rFonts w:ascii="Book Antiqua"/>
          <w:b/>
          <w:color w:val="231F20"/>
          <w:sz w:val="20"/>
        </w:rPr>
        <w:t>Configure Tivoli Application Dependency Discovery Manager Integration</w:t>
      </w:r>
      <w:r>
        <w:rPr>
          <w:rFonts w:ascii="Book Antiqua"/>
          <w:b/>
          <w:color w:val="231F20"/>
          <w:spacing w:val="40"/>
          <w:sz w:val="20"/>
        </w:rPr>
        <w:t> </w:t>
      </w:r>
      <w:r>
        <w:rPr>
          <w:color w:val="231F20"/>
          <w:sz w:val="20"/>
        </w:rPr>
        <w:t>This activity is the first step in establishing communication with a </w:t>
      </w:r>
      <w:r>
        <w:rPr>
          <w:color w:val="231F20"/>
          <w:sz w:val="20"/>
        </w:rPr>
        <w:t>TADDM server. There must be one Configuration Tivoli Application Dependency Manager Integration activity for each TADDM server you want to update.</w:t>
      </w:r>
    </w:p>
    <w:p>
      <w:pPr>
        <w:spacing w:before="91"/>
        <w:ind w:left="2951" w:right="0" w:firstLine="0"/>
        <w:jc w:val="left"/>
        <w:rPr>
          <w:sz w:val="20"/>
        </w:rPr>
      </w:pPr>
      <w:r>
        <w:rPr>
          <w:color w:val="231F20"/>
          <w:sz w:val="20"/>
        </w:rPr>
        <w:t>End</w:t>
      </w:r>
      <w:r>
        <w:rPr>
          <w:color w:val="231F20"/>
          <w:spacing w:val="10"/>
          <w:sz w:val="20"/>
        </w:rPr>
        <w:t> </w:t>
      </w:r>
      <w:r>
        <w:rPr>
          <w:color w:val="231F20"/>
          <w:sz w:val="20"/>
        </w:rPr>
        <w:t>code</w:t>
      </w:r>
      <w:r>
        <w:rPr>
          <w:color w:val="231F20"/>
          <w:spacing w:val="11"/>
          <w:sz w:val="20"/>
        </w:rPr>
        <w:t> </w:t>
      </w:r>
      <w:r>
        <w:rPr>
          <w:color w:val="231F20"/>
          <w:sz w:val="20"/>
        </w:rPr>
        <w:t>choices:</w:t>
      </w:r>
      <w:r>
        <w:rPr>
          <w:color w:val="231F20"/>
          <w:spacing w:val="10"/>
          <w:sz w:val="20"/>
        </w:rPr>
        <w:t> </w:t>
      </w:r>
      <w:r>
        <w:rPr>
          <w:rFonts w:ascii="Book Antiqua"/>
          <w:i/>
          <w:color w:val="231F20"/>
          <w:sz w:val="20"/>
        </w:rPr>
        <w:t>Success;</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pStyle w:val="BodyText"/>
        <w:spacing w:line="213" w:lineRule="auto" w:before="113"/>
        <w:ind w:left="2951" w:right="545"/>
      </w:pPr>
      <w:r>
        <w:rPr>
          <w:color w:val="231F20"/>
        </w:rPr>
        <w:t>See </w:t>
      </w:r>
      <w:hyperlink w:history="true" w:anchor="_bookmark252">
        <w:r>
          <w:rPr>
            <w:color w:val="231F20"/>
          </w:rPr>
          <w:t>“Configure Tivoli</w:t>
        </w:r>
        <w:r>
          <w:rPr>
            <w:color w:val="231F20"/>
            <w:spacing w:val="-1"/>
          </w:rPr>
          <w:t> </w:t>
        </w:r>
        <w:r>
          <w:rPr>
            <w:color w:val="231F20"/>
          </w:rPr>
          <w:t>Application Dependency Discovery </w:t>
        </w:r>
        <w:r>
          <w:rPr>
            <w:color w:val="231F20"/>
          </w:rPr>
          <w:t>Manager</w:t>
        </w:r>
      </w:hyperlink>
      <w:r>
        <w:rPr>
          <w:color w:val="231F20"/>
        </w:rPr>
        <w:t> </w:t>
      </w:r>
      <w:hyperlink w:history="true" w:anchor="_bookmark252">
        <w:r>
          <w:rPr>
            <w:color w:val="231F20"/>
          </w:rPr>
          <w:t>Integration” on page 343.</w:t>
        </w:r>
      </w:hyperlink>
    </w:p>
    <w:p>
      <w:pPr>
        <w:pStyle w:val="Heading6"/>
        <w:spacing w:line="271" w:lineRule="exact" w:before="175"/>
        <w:ind w:left="2232"/>
      </w:pPr>
      <w:r>
        <w:rPr>
          <w:b w:val="0"/>
          <w:position w:val="-1"/>
        </w:rPr>
        <w:drawing>
          <wp:inline distT="0" distB="0" distL="0" distR="0">
            <wp:extent cx="146304" cy="161544"/>
            <wp:effectExtent l="0" t="0" r="0" b="0"/>
            <wp:docPr id="2816" name="Image 2816"/>
            <wp:cNvGraphicFramePr>
              <a:graphicFrameLocks/>
            </wp:cNvGraphicFramePr>
            <a:graphic>
              <a:graphicData uri="http://schemas.openxmlformats.org/drawingml/2006/picture">
                <pic:pic>
                  <pic:nvPicPr>
                    <pic:cNvPr id="2816" name="Image 2816"/>
                    <pic:cNvPicPr/>
                  </pic:nvPicPr>
                  <pic:blipFill>
                    <a:blip r:embed="rId440" cstate="print"/>
                    <a:stretch>
                      <a:fillRect/>
                    </a:stretch>
                  </pic:blipFill>
                  <pic:spPr>
                    <a:xfrm>
                      <a:off x="0" y="0"/>
                      <a:ext cx="146304" cy="161544"/>
                    </a:xfrm>
                    <a:prstGeom prst="rect">
                      <a:avLst/>
                    </a:prstGeom>
                  </pic:spPr>
                </pic:pic>
              </a:graphicData>
            </a:graphic>
          </wp:inline>
        </w:drawing>
      </w:r>
      <w:r>
        <w:rPr>
          <w:b w:val="0"/>
          <w:position w:val="-1"/>
        </w:rPr>
      </w:r>
      <w:r>
        <w:rPr>
          <w:rFonts w:ascii="Times New Roman"/>
          <w:b w:val="0"/>
          <w:spacing w:val="79"/>
        </w:rPr>
        <w:t> </w:t>
      </w:r>
      <w:r>
        <w:rPr>
          <w:color w:val="231F20"/>
        </w:rPr>
        <w:t>Send</w:t>
      </w:r>
      <w:r>
        <w:rPr>
          <w:color w:val="231F20"/>
          <w:spacing w:val="18"/>
        </w:rPr>
        <w:t> </w:t>
      </w:r>
      <w:r>
        <w:rPr>
          <w:color w:val="231F20"/>
        </w:rPr>
        <w:t>a</w:t>
      </w:r>
      <w:r>
        <w:rPr>
          <w:color w:val="231F20"/>
          <w:spacing w:val="18"/>
        </w:rPr>
        <w:t> </w:t>
      </w:r>
      <w:r>
        <w:rPr>
          <w:color w:val="231F20"/>
        </w:rPr>
        <w:t>Tivoli</w:t>
      </w:r>
      <w:r>
        <w:rPr>
          <w:color w:val="231F20"/>
          <w:spacing w:val="18"/>
        </w:rPr>
        <w:t> </w:t>
      </w:r>
      <w:r>
        <w:rPr>
          <w:color w:val="231F20"/>
        </w:rPr>
        <w:t>Application</w:t>
      </w:r>
      <w:r>
        <w:rPr>
          <w:color w:val="231F20"/>
          <w:spacing w:val="18"/>
        </w:rPr>
        <w:t> </w:t>
      </w:r>
      <w:r>
        <w:rPr>
          <w:color w:val="231F20"/>
        </w:rPr>
        <w:t>Dependency</w:t>
      </w:r>
      <w:r>
        <w:rPr>
          <w:color w:val="231F20"/>
          <w:spacing w:val="18"/>
        </w:rPr>
        <w:t> </w:t>
      </w:r>
      <w:r>
        <w:rPr>
          <w:color w:val="231F20"/>
        </w:rPr>
        <w:t>Discovery</w:t>
      </w:r>
      <w:r>
        <w:rPr>
          <w:color w:val="231F20"/>
          <w:spacing w:val="18"/>
        </w:rPr>
        <w:t> </w:t>
      </w:r>
      <w:r>
        <w:rPr>
          <w:color w:val="231F20"/>
        </w:rPr>
        <w:t>Manager</w:t>
      </w:r>
      <w:r>
        <w:rPr>
          <w:color w:val="231F20"/>
          <w:spacing w:val="18"/>
        </w:rPr>
        <w:t> </w:t>
      </w:r>
      <w:r>
        <w:rPr>
          <w:color w:val="231F20"/>
        </w:rPr>
        <w:t>Update</w:t>
      </w:r>
    </w:p>
    <w:p>
      <w:pPr>
        <w:pStyle w:val="BodyText"/>
        <w:spacing w:line="213" w:lineRule="auto" w:before="12"/>
        <w:ind w:left="2951" w:right="567"/>
      </w:pPr>
      <w:r>
        <w:rPr>
          <w:color w:val="231F20"/>
        </w:rPr>
        <w:t>Sends information in response to a triggered situation to a TADDM </w:t>
      </w:r>
      <w:r>
        <w:rPr>
          <w:color w:val="231F20"/>
        </w:rPr>
        <w:t>server (previously specified in a </w:t>
      </w:r>
      <w:r>
        <w:rPr>
          <w:rFonts w:ascii="Book Antiqua"/>
          <w:b/>
          <w:color w:val="231F20"/>
        </w:rPr>
        <w:t>Configure Tivoli Application Dependency Discovery Manager Integration </w:t>
      </w:r>
      <w:r>
        <w:rPr>
          <w:color w:val="231F20"/>
        </w:rPr>
        <w:t>activity). Use this activity to notify TADDM of resource changes in your monitoring environment. The</w:t>
      </w:r>
      <w:r>
        <w:rPr>
          <w:color w:val="231F20"/>
          <w:spacing w:val="40"/>
        </w:rPr>
        <w:t> </w:t>
      </w:r>
      <w:r>
        <w:rPr>
          <w:color w:val="231F20"/>
        </w:rPr>
        <w:t>requests sent can include returned situation data or information from On Demand Report activities.</w:t>
      </w:r>
    </w:p>
    <w:p>
      <w:pPr>
        <w:spacing w:before="92"/>
        <w:ind w:left="2951" w:right="0" w:firstLine="0"/>
        <w:jc w:val="left"/>
        <w:rPr>
          <w:sz w:val="20"/>
        </w:rPr>
      </w:pPr>
      <w:r>
        <w:rPr>
          <w:color w:val="231F20"/>
          <w:sz w:val="20"/>
        </w:rPr>
        <w:t>End</w:t>
      </w:r>
      <w:r>
        <w:rPr>
          <w:color w:val="231F20"/>
          <w:spacing w:val="10"/>
          <w:sz w:val="20"/>
        </w:rPr>
        <w:t> </w:t>
      </w:r>
      <w:r>
        <w:rPr>
          <w:color w:val="231F20"/>
          <w:sz w:val="20"/>
        </w:rPr>
        <w:t>code</w:t>
      </w:r>
      <w:r>
        <w:rPr>
          <w:color w:val="231F20"/>
          <w:spacing w:val="11"/>
          <w:sz w:val="20"/>
        </w:rPr>
        <w:t> </w:t>
      </w:r>
      <w:r>
        <w:rPr>
          <w:color w:val="231F20"/>
          <w:sz w:val="20"/>
        </w:rPr>
        <w:t>choices:</w:t>
      </w:r>
      <w:r>
        <w:rPr>
          <w:color w:val="231F20"/>
          <w:spacing w:val="10"/>
          <w:sz w:val="20"/>
        </w:rPr>
        <w:t> </w:t>
      </w:r>
      <w:r>
        <w:rPr>
          <w:rFonts w:ascii="Book Antiqua"/>
          <w:i/>
          <w:color w:val="231F20"/>
          <w:sz w:val="20"/>
        </w:rPr>
        <w:t>Success;</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pStyle w:val="BodyText"/>
        <w:spacing w:line="213" w:lineRule="auto" w:before="113"/>
        <w:ind w:left="2951" w:right="636"/>
      </w:pPr>
      <w:r>
        <w:rPr>
          <w:color w:val="231F20"/>
        </w:rPr>
        <w:t>See </w:t>
      </w:r>
      <w:hyperlink w:history="true" w:anchor="_bookmark254">
        <w:r>
          <w:rPr>
            <w:color w:val="231F20"/>
          </w:rPr>
          <w:t>“Send a Tivoli Application Dependency Discovery Manager </w:t>
        </w:r>
        <w:r>
          <w:rPr>
            <w:color w:val="231F20"/>
          </w:rPr>
          <w:t>Update”</w:t>
        </w:r>
      </w:hyperlink>
      <w:r>
        <w:rPr>
          <w:color w:val="231F20"/>
        </w:rPr>
        <w:t> </w:t>
      </w:r>
      <w:hyperlink w:history="true" w:anchor="_bookmark254">
        <w:r>
          <w:rPr>
            <w:color w:val="231F20"/>
          </w:rPr>
          <w:t>on page 345.</w:t>
        </w:r>
      </w:hyperlink>
    </w:p>
    <w:p>
      <w:pPr>
        <w:spacing w:after="0" w:line="213" w:lineRule="auto"/>
        <w:sectPr>
          <w:pgSz w:w="12240" w:h="15840"/>
          <w:pgMar w:header="0" w:footer="736" w:top="1180" w:bottom="920" w:left="1000" w:right="1060"/>
        </w:sectPr>
      </w:pPr>
    </w:p>
    <w:p>
      <w:pPr>
        <w:pStyle w:val="Heading6"/>
        <w:spacing w:line="304" w:lineRule="exact" w:before="8"/>
      </w:pPr>
      <w:bookmarkStart w:name="_bookmark252" w:id="523"/>
      <w:bookmarkEnd w:id="523"/>
      <w:r>
        <w:rPr>
          <w:b w:val="0"/>
        </w:rPr>
      </w:r>
      <w:r>
        <w:rPr>
          <w:b w:val="0"/>
          <w:position w:val="-1"/>
        </w:rPr>
        <w:drawing>
          <wp:inline distT="0" distB="0" distL="0" distR="0">
            <wp:extent cx="146304" cy="182879"/>
            <wp:effectExtent l="0" t="0" r="0" b="0"/>
            <wp:docPr id="2817" name="Image 2817"/>
            <wp:cNvGraphicFramePr>
              <a:graphicFrameLocks/>
            </wp:cNvGraphicFramePr>
            <a:graphic>
              <a:graphicData uri="http://schemas.openxmlformats.org/drawingml/2006/picture">
                <pic:pic>
                  <pic:nvPicPr>
                    <pic:cNvPr id="2817" name="Image 2817"/>
                    <pic:cNvPicPr/>
                  </pic:nvPicPr>
                  <pic:blipFill>
                    <a:blip r:embed="rId441" cstate="print"/>
                    <a:stretch>
                      <a:fillRect/>
                    </a:stretch>
                  </pic:blipFill>
                  <pic:spPr>
                    <a:xfrm>
                      <a:off x="0" y="0"/>
                      <a:ext cx="146304" cy="182879"/>
                    </a:xfrm>
                    <a:prstGeom prst="rect">
                      <a:avLst/>
                    </a:prstGeom>
                  </pic:spPr>
                </pic:pic>
              </a:graphicData>
            </a:graphic>
          </wp:inline>
        </w:drawing>
      </w:r>
      <w:r>
        <w:rPr>
          <w:b w:val="0"/>
          <w:position w:val="-1"/>
        </w:rPr>
      </w:r>
      <w:r>
        <w:rPr>
          <w:rFonts w:ascii="Times New Roman"/>
          <w:b w:val="0"/>
          <w:spacing w:val="80"/>
        </w:rPr>
        <w:t> </w:t>
      </w:r>
      <w:r>
        <w:rPr>
          <w:color w:val="231F20"/>
        </w:rPr>
        <w:t>On</w:t>
      </w:r>
      <w:r>
        <w:rPr>
          <w:color w:val="231F20"/>
          <w:spacing w:val="35"/>
        </w:rPr>
        <w:t> </w:t>
      </w:r>
      <w:r>
        <w:rPr>
          <w:color w:val="231F20"/>
        </w:rPr>
        <w:t>Demand</w:t>
      </w:r>
      <w:r>
        <w:rPr>
          <w:color w:val="231F20"/>
          <w:spacing w:val="35"/>
        </w:rPr>
        <w:t> </w:t>
      </w:r>
      <w:r>
        <w:rPr>
          <w:color w:val="231F20"/>
        </w:rPr>
        <w:t>report</w:t>
      </w:r>
    </w:p>
    <w:p>
      <w:pPr>
        <w:pStyle w:val="BodyText"/>
        <w:spacing w:line="213" w:lineRule="auto" w:before="11"/>
        <w:ind w:left="3190"/>
      </w:pPr>
      <w:r>
        <w:rPr>
          <w:color w:val="231F20"/>
        </w:rPr>
        <w:t>Sends an on-demand request to retrieve attribute data for a specified monitoring agent report. You can specify filters to be used in the request, limiting data to the situation that triggered the workflow.</w:t>
      </w:r>
    </w:p>
    <w:p>
      <w:pPr>
        <w:spacing w:before="95"/>
        <w:ind w:left="3190" w:right="0" w:firstLine="0"/>
        <w:jc w:val="left"/>
        <w:rPr>
          <w:sz w:val="20"/>
        </w:rPr>
      </w:pPr>
      <w:r>
        <w:rPr>
          <w:color w:val="231F20"/>
          <w:sz w:val="20"/>
        </w:rPr>
        <w:t>End</w:t>
      </w:r>
      <w:r>
        <w:rPr>
          <w:color w:val="231F20"/>
          <w:spacing w:val="10"/>
          <w:sz w:val="20"/>
        </w:rPr>
        <w:t> </w:t>
      </w:r>
      <w:r>
        <w:rPr>
          <w:color w:val="231F20"/>
          <w:sz w:val="20"/>
        </w:rPr>
        <w:t>code</w:t>
      </w:r>
      <w:r>
        <w:rPr>
          <w:color w:val="231F20"/>
          <w:spacing w:val="11"/>
          <w:sz w:val="20"/>
        </w:rPr>
        <w:t> </w:t>
      </w:r>
      <w:r>
        <w:rPr>
          <w:color w:val="231F20"/>
          <w:sz w:val="20"/>
        </w:rPr>
        <w:t>choices:</w:t>
      </w:r>
      <w:r>
        <w:rPr>
          <w:color w:val="231F20"/>
          <w:spacing w:val="10"/>
          <w:sz w:val="20"/>
        </w:rPr>
        <w:t> </w:t>
      </w:r>
      <w:r>
        <w:rPr>
          <w:rFonts w:ascii="Book Antiqua"/>
          <w:i/>
          <w:color w:val="231F20"/>
          <w:sz w:val="20"/>
        </w:rPr>
        <w:t>Success;</w:t>
      </w:r>
      <w:r>
        <w:rPr>
          <w:rFonts w:ascii="Book Antiqua"/>
          <w:i/>
          <w:color w:val="231F20"/>
          <w:spacing w:val="11"/>
          <w:sz w:val="20"/>
        </w:rPr>
        <w:t> </w:t>
      </w:r>
      <w:r>
        <w:rPr>
          <w:rFonts w:ascii="Book Antiqua"/>
          <w:i/>
          <w:color w:val="231F20"/>
          <w:spacing w:val="-2"/>
          <w:sz w:val="20"/>
        </w:rPr>
        <w:t>Error</w:t>
      </w:r>
      <w:r>
        <w:rPr>
          <w:color w:val="231F20"/>
          <w:spacing w:val="-2"/>
          <w:sz w:val="20"/>
        </w:rPr>
        <w:t>.</w:t>
      </w:r>
    </w:p>
    <w:p>
      <w:pPr>
        <w:pStyle w:val="BodyText"/>
        <w:spacing w:before="89"/>
        <w:ind w:left="3190"/>
      </w:pPr>
      <w:r>
        <w:rPr>
          <w:color w:val="231F20"/>
        </w:rPr>
        <w:t>See</w:t>
      </w:r>
      <w:r>
        <w:rPr>
          <w:color w:val="231F20"/>
          <w:spacing w:val="11"/>
        </w:rPr>
        <w:t> </w:t>
      </w:r>
      <w:hyperlink w:history="true" w:anchor="_bookmark256">
        <w:r>
          <w:rPr>
            <w:color w:val="231F20"/>
          </w:rPr>
          <w:t>“On</w:t>
        </w:r>
        <w:r>
          <w:rPr>
            <w:color w:val="231F20"/>
            <w:spacing w:val="11"/>
          </w:rPr>
          <w:t> </w:t>
        </w:r>
        <w:r>
          <w:rPr>
            <w:color w:val="231F20"/>
          </w:rPr>
          <w:t>Demand</w:t>
        </w:r>
        <w:r>
          <w:rPr>
            <w:color w:val="231F20"/>
            <w:spacing w:val="12"/>
          </w:rPr>
          <w:t> </w:t>
        </w:r>
        <w:r>
          <w:rPr>
            <w:color w:val="231F20"/>
          </w:rPr>
          <w:t>Report”</w:t>
        </w:r>
        <w:r>
          <w:rPr>
            <w:color w:val="231F20"/>
            <w:spacing w:val="11"/>
          </w:rPr>
          <w:t> </w:t>
        </w:r>
        <w:r>
          <w:rPr>
            <w:color w:val="231F20"/>
          </w:rPr>
          <w:t>on</w:t>
        </w:r>
        <w:r>
          <w:rPr>
            <w:color w:val="231F20"/>
            <w:spacing w:val="11"/>
          </w:rPr>
          <w:t> </w:t>
        </w:r>
        <w:r>
          <w:rPr>
            <w:color w:val="231F20"/>
          </w:rPr>
          <w:t>page</w:t>
        </w:r>
        <w:r>
          <w:rPr>
            <w:color w:val="231F20"/>
            <w:spacing w:val="12"/>
          </w:rPr>
          <w:t> </w:t>
        </w:r>
        <w:r>
          <w:rPr>
            <w:color w:val="231F20"/>
            <w:spacing w:val="-4"/>
          </w:rPr>
          <w:t>346.</w:t>
        </w:r>
      </w:hyperlink>
    </w:p>
    <w:p>
      <w:pPr>
        <w:pStyle w:val="Heading6"/>
        <w:spacing w:before="112"/>
      </w:pPr>
      <w:r>
        <w:rPr>
          <w:b w:val="0"/>
          <w:position w:val="-3"/>
        </w:rPr>
        <w:drawing>
          <wp:inline distT="0" distB="0" distL="0" distR="0">
            <wp:extent cx="146304" cy="103631"/>
            <wp:effectExtent l="0" t="0" r="0" b="0"/>
            <wp:docPr id="2818" name="Image 2818"/>
            <wp:cNvGraphicFramePr>
              <a:graphicFrameLocks/>
            </wp:cNvGraphicFramePr>
            <a:graphic>
              <a:graphicData uri="http://schemas.openxmlformats.org/drawingml/2006/picture">
                <pic:pic>
                  <pic:nvPicPr>
                    <pic:cNvPr id="2818" name="Image 2818"/>
                    <pic:cNvPicPr/>
                  </pic:nvPicPr>
                  <pic:blipFill>
                    <a:blip r:embed="rId442" cstate="print"/>
                    <a:stretch>
                      <a:fillRect/>
                    </a:stretch>
                  </pic:blipFill>
                  <pic:spPr>
                    <a:xfrm>
                      <a:off x="0" y="0"/>
                      <a:ext cx="146304" cy="103631"/>
                    </a:xfrm>
                    <a:prstGeom prst="rect">
                      <a:avLst/>
                    </a:prstGeom>
                  </pic:spPr>
                </pic:pic>
              </a:graphicData>
            </a:graphic>
          </wp:inline>
        </w:drawing>
      </w:r>
      <w:r>
        <w:rPr>
          <w:b w:val="0"/>
          <w:position w:val="-3"/>
        </w:rPr>
      </w:r>
      <w:r>
        <w:rPr>
          <w:rFonts w:ascii="Times New Roman"/>
          <w:b w:val="0"/>
          <w:spacing w:val="80"/>
        </w:rPr>
        <w:t> </w:t>
      </w:r>
      <w:r>
        <w:rPr>
          <w:color w:val="231F20"/>
        </w:rPr>
        <w:t>Send</w:t>
      </w:r>
      <w:r>
        <w:rPr>
          <w:color w:val="231F20"/>
          <w:spacing w:val="35"/>
        </w:rPr>
        <w:t> </w:t>
      </w:r>
      <w:r>
        <w:rPr>
          <w:color w:val="231F20"/>
        </w:rPr>
        <w:t>an</w:t>
      </w:r>
      <w:r>
        <w:rPr>
          <w:color w:val="231F20"/>
          <w:spacing w:val="35"/>
        </w:rPr>
        <w:t> </w:t>
      </w:r>
      <w:r>
        <w:rPr>
          <w:color w:val="231F20"/>
        </w:rPr>
        <w:t>e-mail</w:t>
      </w:r>
    </w:p>
    <w:p>
      <w:pPr>
        <w:pStyle w:val="BodyText"/>
        <w:spacing w:line="213" w:lineRule="auto" w:before="11"/>
        <w:ind w:left="3190" w:right="545"/>
      </w:pPr>
      <w:r>
        <w:rPr>
          <w:color w:val="231F20"/>
        </w:rPr>
        <w:t>Sends an e-mail to a single recipient in response to a triggered </w:t>
      </w:r>
      <w:r>
        <w:rPr>
          <w:color w:val="231F20"/>
        </w:rPr>
        <w:t>situation event or activity in your workflow.</w:t>
      </w:r>
    </w:p>
    <w:p>
      <w:pPr>
        <w:spacing w:line="319" w:lineRule="auto" w:before="95"/>
        <w:ind w:left="3190" w:right="3985" w:firstLine="0"/>
        <w:jc w:val="left"/>
        <w:rPr>
          <w:sz w:val="20"/>
        </w:rPr>
      </w:pPr>
      <w:r>
        <w:rPr>
          <w:color w:val="231F20"/>
          <w:sz w:val="20"/>
        </w:rPr>
        <w:t>End code choices: </w:t>
      </w:r>
      <w:r>
        <w:rPr>
          <w:rFonts w:ascii="Book Antiqua" w:hAnsi="Book Antiqua"/>
          <w:i/>
          <w:color w:val="231F20"/>
          <w:sz w:val="20"/>
        </w:rPr>
        <w:t>Success; Error</w:t>
      </w:r>
      <w:r>
        <w:rPr>
          <w:color w:val="231F20"/>
          <w:sz w:val="20"/>
        </w:rPr>
        <w:t>. See </w:t>
      </w:r>
      <w:hyperlink w:history="true" w:anchor="_bookmark259">
        <w:r>
          <w:rPr>
            <w:color w:val="231F20"/>
            <w:sz w:val="20"/>
          </w:rPr>
          <w:t>“Send an email” on page </w:t>
        </w:r>
        <w:r>
          <w:rPr>
            <w:color w:val="231F20"/>
            <w:sz w:val="20"/>
          </w:rPr>
          <w:t>348.</w:t>
        </w:r>
      </w:hyperlink>
    </w:p>
    <w:p>
      <w:pPr>
        <w:pStyle w:val="Heading6"/>
        <w:spacing w:before="23"/>
      </w:pPr>
      <w:r>
        <w:rPr>
          <w:b w:val="0"/>
          <w:position w:val="1"/>
        </w:rPr>
        <w:drawing>
          <wp:inline distT="0" distB="0" distL="0" distR="0">
            <wp:extent cx="311150" cy="63500"/>
            <wp:effectExtent l="0" t="0" r="0" b="0"/>
            <wp:docPr id="2819" name="Image 2819"/>
            <wp:cNvGraphicFramePr>
              <a:graphicFrameLocks/>
            </wp:cNvGraphicFramePr>
            <a:graphic>
              <a:graphicData uri="http://schemas.openxmlformats.org/drawingml/2006/picture">
                <pic:pic>
                  <pic:nvPicPr>
                    <pic:cNvPr id="2819" name="Image 2819"/>
                    <pic:cNvPicPr/>
                  </pic:nvPicPr>
                  <pic:blipFill>
                    <a:blip r:embed="rId418" cstate="print"/>
                    <a:stretch>
                      <a:fillRect/>
                    </a:stretch>
                  </pic:blipFill>
                  <pic:spPr>
                    <a:xfrm>
                      <a:off x="0" y="0"/>
                      <a:ext cx="311150" cy="63500"/>
                    </a:xfrm>
                    <a:prstGeom prst="rect">
                      <a:avLst/>
                    </a:prstGeom>
                  </pic:spPr>
                </pic:pic>
              </a:graphicData>
            </a:graphic>
          </wp:inline>
        </w:drawing>
      </w:r>
      <w:r>
        <w:rPr>
          <w:b w:val="0"/>
          <w:position w:val="1"/>
        </w:rPr>
      </w:r>
      <w:r>
        <w:rPr>
          <w:rFonts w:ascii="Times New Roman"/>
          <w:b w:val="0"/>
          <w:spacing w:val="40"/>
        </w:rPr>
        <w:t> </w:t>
      </w:r>
      <w:r>
        <w:rPr>
          <w:color w:val="231F20"/>
        </w:rPr>
        <w:t>Connector</w:t>
      </w:r>
    </w:p>
    <w:p>
      <w:pPr>
        <w:pStyle w:val="BodyText"/>
        <w:spacing w:line="213" w:lineRule="auto" w:before="11"/>
        <w:ind w:left="3190" w:right="545"/>
      </w:pPr>
      <w:r>
        <w:rPr>
          <w:color w:val="231F20"/>
        </w:rPr>
        <w:t>Adds connecting lines from one activity to the next to control </w:t>
      </w:r>
      <w:r>
        <w:rPr>
          <w:color w:val="231F20"/>
        </w:rPr>
        <w:t>the workflow of the policy.</w:t>
      </w:r>
    </w:p>
    <w:p>
      <w:pPr>
        <w:pStyle w:val="BodyText"/>
        <w:spacing w:line="213" w:lineRule="auto" w:before="119"/>
        <w:ind w:left="3190" w:right="545"/>
      </w:pPr>
      <w:r>
        <w:rPr>
          <w:color w:val="231F20"/>
        </w:rPr>
        <w:t>You can have a single connector from an activity, and you can have multiple connectors from an activity so long as each connector links to </w:t>
      </w:r>
      <w:r>
        <w:rPr>
          <w:color w:val="231F20"/>
        </w:rPr>
        <w:t>a separate activity. Multiple connectors to an activity are processed using AND logic.</w:t>
      </w:r>
    </w:p>
    <w:p>
      <w:pPr>
        <w:pStyle w:val="BodyText"/>
        <w:spacing w:line="213" w:lineRule="auto" w:before="117"/>
        <w:ind w:left="3190" w:right="292"/>
      </w:pPr>
      <w:r>
        <w:rPr>
          <w:color w:val="231F20"/>
        </w:rPr>
        <w:t>When you join activities using the Connector tool, you assign an end code</w:t>
      </w:r>
      <w:r>
        <w:rPr>
          <w:color w:val="231F20"/>
          <w:spacing w:val="80"/>
          <w:w w:val="150"/>
        </w:rPr>
        <w:t> </w:t>
      </w:r>
      <w:r>
        <w:rPr>
          <w:color w:val="231F20"/>
        </w:rPr>
        <w:t>to each connection. As you click and drag from one activity to the next </w:t>
      </w:r>
      <w:r>
        <w:rPr>
          <w:color w:val="231F20"/>
        </w:rPr>
        <w:t>one</w:t>
      </w:r>
      <w:r>
        <w:rPr>
          <w:color w:val="231F20"/>
          <w:spacing w:val="40"/>
        </w:rPr>
        <w:t> </w:t>
      </w:r>
      <w:r>
        <w:rPr>
          <w:color w:val="231F20"/>
        </w:rPr>
        <w:t>in succession, a window opens from which you select a link condition. The possible conditions (end codes) resulting from the source activity that will invoke the target activity are listed in the window. For example, if you are connecting a </w:t>
      </w:r>
      <w:r>
        <w:rPr>
          <w:rFonts w:ascii="Book Antiqua"/>
          <w:b/>
          <w:color w:val="231F20"/>
        </w:rPr>
        <w:t>Wait until a situation is True </w:t>
      </w:r>
      <w:r>
        <w:rPr>
          <w:color w:val="231F20"/>
        </w:rPr>
        <w:t>activity and choose </w:t>
      </w:r>
      <w:r>
        <w:rPr>
          <w:rFonts w:ascii="Book Antiqua"/>
          <w:b/>
          <w:color w:val="231F20"/>
        </w:rPr>
        <w:t>Situation is true </w:t>
      </w:r>
      <w:r>
        <w:rPr>
          <w:color w:val="231F20"/>
        </w:rPr>
        <w:t>as the link condition, the target activity will begin executing when the situation becomes true.</w:t>
      </w:r>
    </w:p>
    <w:p>
      <w:pPr>
        <w:pStyle w:val="Heading6"/>
        <w:spacing w:line="240" w:lineRule="auto" w:before="31"/>
        <w:rPr>
          <w:rFonts w:ascii="Palatino Linotype"/>
          <w:b w:val="0"/>
        </w:rPr>
      </w:pPr>
      <w:r>
        <w:rPr>
          <w:color w:val="231F20"/>
        </w:rPr>
        <w:t>Related</w:t>
      </w:r>
      <w:r>
        <w:rPr>
          <w:color w:val="231F20"/>
          <w:spacing w:val="9"/>
        </w:rPr>
        <w:t> </w:t>
      </w:r>
      <w:r>
        <w:rPr>
          <w:color w:val="231F20"/>
          <w:spacing w:val="-2"/>
        </w:rPr>
        <w:t>concepts</w:t>
      </w:r>
      <w:r>
        <w:rPr>
          <w:rFonts w:ascii="Palatino Linotype"/>
          <w:b w:val="0"/>
          <w:color w:val="231F20"/>
          <w:spacing w:val="-2"/>
        </w:rPr>
        <w:t>:</w:t>
      </w:r>
    </w:p>
    <w:p>
      <w:pPr>
        <w:pStyle w:val="BodyText"/>
        <w:spacing w:line="213" w:lineRule="auto" w:before="53"/>
        <w:ind w:left="2472" w:right="763"/>
      </w:pPr>
      <w:hyperlink w:history="true" w:anchor="_bookmark260">
        <w:r>
          <w:rPr>
            <w:color w:val="231F20"/>
          </w:rPr>
          <w:t>“Tivoli Application Dependency Discovery Manager policies” on page 349</w:t>
        </w:r>
      </w:hyperlink>
      <w:r>
        <w:rPr>
          <w:color w:val="231F20"/>
          <w:spacing w:val="40"/>
        </w:rPr>
        <w:t> </w:t>
      </w:r>
      <w:r>
        <w:rPr>
          <w:color w:val="231F20"/>
        </w:rPr>
        <w:t>You can create policies that interact with your Tivoli Application </w:t>
      </w:r>
      <w:r>
        <w:rPr>
          <w:color w:val="231F20"/>
        </w:rPr>
        <w:t>Dependency</w:t>
      </w:r>
    </w:p>
    <w:p>
      <w:pPr>
        <w:pStyle w:val="BodyText"/>
        <w:spacing w:line="213" w:lineRule="auto"/>
        <w:ind w:left="2472" w:right="545"/>
      </w:pPr>
      <w:r>
        <w:rPr>
          <w:color w:val="231F20"/>
        </w:rPr>
        <w:t>Discovery Manager (TADDM) environment. These policies can forward </w:t>
      </w:r>
      <w:r>
        <w:rPr>
          <w:color w:val="231F20"/>
        </w:rPr>
        <w:t>updates such as, new, changed, or destroyed resources to your TADDM server.</w:t>
      </w:r>
    </w:p>
    <w:p>
      <w:pPr>
        <w:pStyle w:val="Heading6"/>
        <w:spacing w:line="240" w:lineRule="auto" w:before="215"/>
      </w:pPr>
      <w:r>
        <w:rPr>
          <w:color w:val="231F20"/>
        </w:rPr>
        <w:t>Configure</w:t>
      </w:r>
      <w:r>
        <w:rPr>
          <w:color w:val="231F20"/>
          <w:spacing w:val="5"/>
        </w:rPr>
        <w:t> </w:t>
      </w:r>
      <w:r>
        <w:rPr>
          <w:color w:val="231F20"/>
        </w:rPr>
        <w:t>Tivoli</w:t>
      </w:r>
      <w:r>
        <w:rPr>
          <w:color w:val="231F20"/>
          <w:spacing w:val="5"/>
        </w:rPr>
        <w:t> </w:t>
      </w:r>
      <w:r>
        <w:rPr>
          <w:color w:val="231F20"/>
        </w:rPr>
        <w:t>Application</w:t>
      </w:r>
      <w:r>
        <w:rPr>
          <w:color w:val="231F20"/>
          <w:spacing w:val="5"/>
        </w:rPr>
        <w:t> </w:t>
      </w:r>
      <w:r>
        <w:rPr>
          <w:color w:val="231F20"/>
        </w:rPr>
        <w:t>Dependency</w:t>
      </w:r>
      <w:r>
        <w:rPr>
          <w:color w:val="231F20"/>
          <w:spacing w:val="5"/>
        </w:rPr>
        <w:t> </w:t>
      </w:r>
      <w:r>
        <w:rPr>
          <w:color w:val="231F20"/>
        </w:rPr>
        <w:t>Discovery</w:t>
      </w:r>
      <w:r>
        <w:rPr>
          <w:color w:val="231F20"/>
          <w:spacing w:val="5"/>
        </w:rPr>
        <w:t> </w:t>
      </w:r>
      <w:r>
        <w:rPr>
          <w:color w:val="231F20"/>
        </w:rPr>
        <w:t>Manager</w:t>
      </w:r>
      <w:r>
        <w:rPr>
          <w:color w:val="231F20"/>
          <w:spacing w:val="5"/>
        </w:rPr>
        <w:t> </w:t>
      </w:r>
      <w:bookmarkStart w:name="_bookmark251" w:id="524"/>
      <w:bookmarkEnd w:id="524"/>
      <w:r>
        <w:rPr>
          <w:color w:val="231F20"/>
          <w:spacing w:val="-2"/>
        </w:rPr>
        <w:t>Integration:</w:t>
      </w:r>
    </w:p>
    <w:p>
      <w:pPr>
        <w:spacing w:line="213" w:lineRule="auto" w:before="239"/>
        <w:ind w:left="2472" w:right="545" w:firstLine="0"/>
        <w:jc w:val="left"/>
        <w:rPr>
          <w:sz w:val="20"/>
        </w:rPr>
      </w:pPr>
      <w:r>
        <w:rPr>
          <w:color w:val="231F20"/>
          <w:sz w:val="20"/>
        </w:rPr>
        <w:t>Selecting the </w:t>
      </w:r>
      <w:r>
        <w:rPr>
          <w:rFonts w:ascii="Book Antiqua"/>
          <w:b/>
          <w:color w:val="231F20"/>
          <w:sz w:val="20"/>
        </w:rPr>
        <w:t>Configure Tivoli Application Dependency Discovery Manager Integration </w:t>
      </w:r>
      <w:r>
        <w:rPr>
          <w:color w:val="231F20"/>
          <w:sz w:val="20"/>
        </w:rPr>
        <w:t>activity opens a dialog box for entering the information required </w:t>
      </w:r>
      <w:r>
        <w:rPr>
          <w:color w:val="231F20"/>
          <w:sz w:val="20"/>
        </w:rPr>
        <w:t>to send updates to the TADDM server.</w:t>
      </w:r>
    </w:p>
    <w:p>
      <w:pPr>
        <w:pStyle w:val="BodyText"/>
        <w:spacing w:line="213" w:lineRule="auto" w:before="238"/>
        <w:ind w:left="2472" w:right="258"/>
      </w:pPr>
      <w:r>
        <w:rPr>
          <w:color w:val="231F20"/>
        </w:rPr>
        <w:t>Define how Tivoli Monitoring communicates with TADDM and prepares </w:t>
      </w:r>
      <w:r>
        <w:rPr>
          <w:color w:val="231F20"/>
        </w:rPr>
        <w:t>TADDM to accept subsequent update requests from your Tivoli Monitoring environment.</w:t>
      </w:r>
    </w:p>
    <w:p>
      <w:pPr>
        <w:spacing w:line="213" w:lineRule="auto" w:before="238"/>
        <w:ind w:left="2472" w:right="313" w:firstLine="0"/>
        <w:jc w:val="left"/>
        <w:rPr>
          <w:sz w:val="20"/>
        </w:rPr>
      </w:pPr>
      <w:r>
        <w:rPr>
          <w:color w:val="231F20"/>
          <w:sz w:val="20"/>
        </w:rPr>
        <w:t>If you have multiple TADDM servers, you must provide information for each</w:t>
      </w:r>
      <w:r>
        <w:rPr>
          <w:color w:val="231F20"/>
          <w:spacing w:val="40"/>
          <w:sz w:val="20"/>
        </w:rPr>
        <w:t> </w:t>
      </w:r>
      <w:r>
        <w:rPr>
          <w:color w:val="231F20"/>
          <w:sz w:val="20"/>
        </w:rPr>
        <w:t>server using separate </w:t>
      </w:r>
      <w:r>
        <w:rPr>
          <w:rFonts w:ascii="Book Antiqua"/>
          <w:b/>
          <w:color w:val="231F20"/>
          <w:sz w:val="20"/>
        </w:rPr>
        <w:t>Configure Tivoli Application Dependency Discovery Manager Integration </w:t>
      </w:r>
      <w:r>
        <w:rPr>
          <w:color w:val="231F20"/>
          <w:sz w:val="20"/>
        </w:rPr>
        <w:t>activities. Include this configuration activity in the </w:t>
      </w:r>
      <w:r>
        <w:rPr>
          <w:color w:val="231F20"/>
          <w:sz w:val="20"/>
        </w:rPr>
        <w:t>workflow of a policy that is defined with </w:t>
      </w:r>
      <w:r>
        <w:rPr>
          <w:rFonts w:ascii="Book Antiqua"/>
          <w:b/>
          <w:color w:val="231F20"/>
          <w:sz w:val="20"/>
        </w:rPr>
        <w:t>Auto start </w:t>
      </w:r>
      <w:r>
        <w:rPr>
          <w:rFonts w:ascii="Book Antiqua"/>
          <w:b/>
          <w:color w:val="231F20"/>
          <w:spacing w:val="15"/>
          <w:sz w:val="20"/>
        </w:rPr>
        <w:drawing>
          <wp:inline distT="0" distB="0" distL="0" distR="0">
            <wp:extent cx="82550" cy="82550"/>
            <wp:effectExtent l="0" t="0" r="0" b="0"/>
            <wp:docPr id="2820" name="Image 2820"/>
            <wp:cNvGraphicFramePr>
              <a:graphicFrameLocks/>
            </wp:cNvGraphicFramePr>
            <a:graphic>
              <a:graphicData uri="http://schemas.openxmlformats.org/drawingml/2006/picture">
                <pic:pic>
                  <pic:nvPicPr>
                    <pic:cNvPr id="2820" name="Image 2820"/>
                    <pic:cNvPicPr/>
                  </pic:nvPicPr>
                  <pic:blipFill>
                    <a:blip r:embed="rId87" cstate="print"/>
                    <a:stretch>
                      <a:fillRect/>
                    </a:stretch>
                  </pic:blipFill>
                  <pic:spPr>
                    <a:xfrm>
                      <a:off x="0" y="0"/>
                      <a:ext cx="82550" cy="82550"/>
                    </a:xfrm>
                    <a:prstGeom prst="rect">
                      <a:avLst/>
                    </a:prstGeom>
                  </pic:spPr>
                </pic:pic>
              </a:graphicData>
            </a:graphic>
          </wp:inline>
        </w:drawing>
      </w:r>
      <w:r>
        <w:rPr>
          <w:rFonts w:ascii="Book Antiqua"/>
          <w:b/>
          <w:color w:val="231F20"/>
          <w:spacing w:val="15"/>
          <w:sz w:val="20"/>
        </w:rPr>
      </w:r>
      <w:r>
        <w:rPr>
          <w:rFonts w:ascii="Times New Roman"/>
          <w:color w:val="231F20"/>
          <w:spacing w:val="40"/>
          <w:sz w:val="20"/>
        </w:rPr>
        <w:t> </w:t>
      </w:r>
      <w:r>
        <w:rPr>
          <w:color w:val="231F20"/>
          <w:sz w:val="20"/>
        </w:rPr>
        <w:t>selected, </w:t>
      </w:r>
      <w:r>
        <w:rPr>
          <w:rFonts w:ascii="Book Antiqua"/>
          <w:b/>
          <w:color w:val="231F20"/>
          <w:sz w:val="20"/>
        </w:rPr>
        <w:t>Correlated by </w:t>
      </w:r>
      <w:r>
        <w:rPr>
          <w:color w:val="231F20"/>
          <w:sz w:val="20"/>
        </w:rPr>
        <w:t>set to</w:t>
      </w:r>
      <w:r>
        <w:rPr>
          <w:color w:val="231F20"/>
          <w:spacing w:val="40"/>
          <w:sz w:val="20"/>
        </w:rPr>
        <w:t> </w:t>
      </w:r>
      <w:r>
        <w:rPr>
          <w:rFonts w:ascii="Book Antiqua"/>
          <w:b/>
          <w:color w:val="231F20"/>
          <w:sz w:val="20"/>
        </w:rPr>
        <w:t>Uncorrelated</w:t>
      </w:r>
      <w:r>
        <w:rPr>
          <w:color w:val="231F20"/>
          <w:sz w:val="20"/>
        </w:rPr>
        <w:t>, and </w:t>
      </w:r>
      <w:r>
        <w:rPr>
          <w:rFonts w:ascii="Book Antiqua"/>
          <w:b/>
          <w:color w:val="231F20"/>
          <w:sz w:val="20"/>
        </w:rPr>
        <w:t>Restart </w:t>
      </w:r>
      <w:r>
        <w:rPr>
          <w:rFonts w:ascii="Book Antiqua"/>
          <w:b/>
          <w:color w:val="231F20"/>
          <w:spacing w:val="16"/>
          <w:sz w:val="20"/>
        </w:rPr>
        <w:drawing>
          <wp:inline distT="0" distB="0" distL="0" distR="0">
            <wp:extent cx="82550" cy="82550"/>
            <wp:effectExtent l="0" t="0" r="0" b="0"/>
            <wp:docPr id="2821" name="Image 2821"/>
            <wp:cNvGraphicFramePr>
              <a:graphicFrameLocks/>
            </wp:cNvGraphicFramePr>
            <a:graphic>
              <a:graphicData uri="http://schemas.openxmlformats.org/drawingml/2006/picture">
                <pic:pic>
                  <pic:nvPicPr>
                    <pic:cNvPr id="2821" name="Image 2821"/>
                    <pic:cNvPicPr/>
                  </pic:nvPicPr>
                  <pic:blipFill>
                    <a:blip r:embed="rId120" cstate="print"/>
                    <a:stretch>
                      <a:fillRect/>
                    </a:stretch>
                  </pic:blipFill>
                  <pic:spPr>
                    <a:xfrm>
                      <a:off x="0" y="0"/>
                      <a:ext cx="82550" cy="82550"/>
                    </a:xfrm>
                    <a:prstGeom prst="rect">
                      <a:avLst/>
                    </a:prstGeom>
                  </pic:spPr>
                </pic:pic>
              </a:graphicData>
            </a:graphic>
          </wp:inline>
        </w:drawing>
      </w:r>
      <w:r>
        <w:rPr>
          <w:rFonts w:ascii="Book Antiqua"/>
          <w:b/>
          <w:color w:val="231F20"/>
          <w:spacing w:val="16"/>
          <w:sz w:val="20"/>
        </w:rPr>
      </w:r>
      <w:r>
        <w:rPr>
          <w:rFonts w:ascii="Times New Roman"/>
          <w:color w:val="231F20"/>
          <w:spacing w:val="40"/>
          <w:sz w:val="20"/>
        </w:rPr>
        <w:t> </w:t>
      </w:r>
      <w:r>
        <w:rPr>
          <w:rFonts w:ascii="Book Antiqua"/>
          <w:i/>
          <w:color w:val="231F20"/>
          <w:sz w:val="20"/>
        </w:rPr>
        <w:t>not </w:t>
      </w:r>
      <w:r>
        <w:rPr>
          <w:color w:val="231F20"/>
          <w:sz w:val="20"/>
        </w:rPr>
        <w:t>selected.</w:t>
      </w:r>
    </w:p>
    <w:p>
      <w:pPr>
        <w:pStyle w:val="BodyText"/>
        <w:spacing w:line="213" w:lineRule="auto" w:before="236"/>
        <w:ind w:left="2472" w:right="385"/>
      </w:pPr>
      <w:r>
        <w:rPr>
          <w:color w:val="231F20"/>
        </w:rPr>
        <w:t>If you change any fields at a later date, the new values become effective immediately (assuming the containing policy has been defined to </w:t>
      </w:r>
      <w:r>
        <w:rPr>
          <w:rFonts w:ascii="Book Antiqua"/>
          <w:b/>
          <w:color w:val="231F20"/>
        </w:rPr>
        <w:t>Auto start</w:t>
      </w:r>
      <w:r>
        <w:rPr>
          <w:color w:val="231F20"/>
        </w:rPr>
        <w:t>); </w:t>
      </w:r>
      <w:r>
        <w:rPr>
          <w:color w:val="231F20"/>
        </w:rPr>
        <w:t>the next update sent by any policy to this TADDM server uses the new values.</w:t>
      </w:r>
    </w:p>
    <w:p>
      <w:pPr>
        <w:spacing w:after="0" w:line="213" w:lineRule="auto"/>
        <w:sectPr>
          <w:pgSz w:w="12240" w:h="15840"/>
          <w:pgMar w:header="0" w:footer="736" w:top="1320" w:bottom="920" w:left="1000" w:right="1060"/>
        </w:sectPr>
      </w:pPr>
    </w:p>
    <w:p>
      <w:pPr>
        <w:pStyle w:val="Heading6"/>
        <w:spacing w:before="83"/>
        <w:ind w:left="2232"/>
      </w:pPr>
      <w:r>
        <w:rPr>
          <w:color w:val="231F20"/>
        </w:rPr>
        <w:t>Tivoli</w:t>
      </w:r>
      <w:r>
        <w:rPr>
          <w:color w:val="231F20"/>
          <w:spacing w:val="5"/>
        </w:rPr>
        <w:t> </w:t>
      </w:r>
      <w:r>
        <w:rPr>
          <w:color w:val="231F20"/>
        </w:rPr>
        <w:t>Application</w:t>
      </w:r>
      <w:r>
        <w:rPr>
          <w:color w:val="231F20"/>
          <w:spacing w:val="6"/>
        </w:rPr>
        <w:t> </w:t>
      </w:r>
      <w:r>
        <w:rPr>
          <w:color w:val="231F20"/>
        </w:rPr>
        <w:t>Dependency</w:t>
      </w:r>
      <w:r>
        <w:rPr>
          <w:color w:val="231F20"/>
          <w:spacing w:val="5"/>
        </w:rPr>
        <w:t> </w:t>
      </w:r>
      <w:r>
        <w:rPr>
          <w:color w:val="231F20"/>
        </w:rPr>
        <w:t>Discovery</w:t>
      </w:r>
      <w:r>
        <w:rPr>
          <w:color w:val="231F20"/>
          <w:spacing w:val="6"/>
        </w:rPr>
        <w:t> </w:t>
      </w:r>
      <w:r>
        <w:rPr>
          <w:color w:val="231F20"/>
        </w:rPr>
        <w:t>Manager</w:t>
      </w:r>
      <w:r>
        <w:rPr>
          <w:color w:val="231F20"/>
          <w:spacing w:val="6"/>
        </w:rPr>
        <w:t> </w:t>
      </w:r>
      <w:r>
        <w:rPr>
          <w:color w:val="231F20"/>
        </w:rPr>
        <w:t>Server</w:t>
      </w:r>
      <w:r>
        <w:rPr>
          <w:color w:val="231F20"/>
          <w:spacing w:val="5"/>
        </w:rPr>
        <w:t> </w:t>
      </w:r>
      <w:r>
        <w:rPr>
          <w:color w:val="231F20"/>
          <w:spacing w:val="-2"/>
        </w:rPr>
        <w:t>Alias</w:t>
      </w:r>
    </w:p>
    <w:p>
      <w:pPr>
        <w:pStyle w:val="BodyText"/>
        <w:spacing w:line="213" w:lineRule="auto" w:before="12"/>
        <w:ind w:left="2951" w:right="385"/>
      </w:pPr>
      <w:r>
        <w:rPr>
          <w:color w:val="231F20"/>
        </w:rPr>
        <w:t>The server alias represents a TADDM server. The server alias specified </w:t>
      </w:r>
      <w:r>
        <w:rPr>
          <w:color w:val="231F20"/>
        </w:rPr>
        <w:t>here must be used by all activities that intend to send updates to this TADDM </w:t>
      </w:r>
      <w:r>
        <w:rPr>
          <w:color w:val="231F20"/>
          <w:spacing w:val="-2"/>
        </w:rPr>
        <w:t>server.</w:t>
      </w:r>
    </w:p>
    <w:p>
      <w:pPr>
        <w:spacing w:line="213" w:lineRule="auto" w:before="117"/>
        <w:ind w:left="2951" w:right="962" w:firstLine="0"/>
        <w:jc w:val="both"/>
        <w:rPr>
          <w:sz w:val="20"/>
        </w:rPr>
      </w:pPr>
      <w:r>
        <w:rPr>
          <w:color w:val="231F20"/>
          <w:sz w:val="20"/>
        </w:rPr>
        <w:t>For example, the server alias specified for the associated </w:t>
      </w:r>
      <w:r>
        <w:rPr>
          <w:rFonts w:ascii="Book Antiqua"/>
          <w:b/>
          <w:color w:val="231F20"/>
          <w:sz w:val="20"/>
        </w:rPr>
        <w:t>Send Tivoli Application Dependency Discovery Manager Update </w:t>
      </w:r>
      <w:r>
        <w:rPr>
          <w:color w:val="231F20"/>
          <w:sz w:val="20"/>
        </w:rPr>
        <w:t>activities </w:t>
      </w:r>
      <w:r>
        <w:rPr>
          <w:color w:val="231F20"/>
          <w:sz w:val="20"/>
        </w:rPr>
        <w:t>must match the server alias specified here.</w:t>
      </w:r>
    </w:p>
    <w:p>
      <w:pPr>
        <w:pStyle w:val="BodyText"/>
        <w:spacing w:before="95"/>
        <w:ind w:left="2951"/>
        <w:jc w:val="both"/>
      </w:pPr>
      <w:r>
        <w:rPr>
          <w:color w:val="231F20"/>
        </w:rPr>
        <w:t>The</w:t>
      </w:r>
      <w:r>
        <w:rPr>
          <w:color w:val="231F20"/>
          <w:spacing w:val="9"/>
        </w:rPr>
        <w:t> </w:t>
      </w:r>
      <w:r>
        <w:rPr>
          <w:color w:val="231F20"/>
        </w:rPr>
        <w:t>server</w:t>
      </w:r>
      <w:r>
        <w:rPr>
          <w:color w:val="231F20"/>
          <w:spacing w:val="10"/>
        </w:rPr>
        <w:t> </w:t>
      </w:r>
      <w:r>
        <w:rPr>
          <w:color w:val="231F20"/>
        </w:rPr>
        <w:t>alias</w:t>
      </w:r>
      <w:r>
        <w:rPr>
          <w:color w:val="231F20"/>
          <w:spacing w:val="9"/>
        </w:rPr>
        <w:t> </w:t>
      </w:r>
      <w:r>
        <w:rPr>
          <w:color w:val="231F20"/>
        </w:rPr>
        <w:t>can</w:t>
      </w:r>
      <w:r>
        <w:rPr>
          <w:color w:val="231F20"/>
          <w:spacing w:val="10"/>
        </w:rPr>
        <w:t> </w:t>
      </w:r>
      <w:r>
        <w:rPr>
          <w:color w:val="231F20"/>
        </w:rPr>
        <w:t>be</w:t>
      </w:r>
      <w:r>
        <w:rPr>
          <w:color w:val="231F20"/>
          <w:spacing w:val="9"/>
        </w:rPr>
        <w:t> </w:t>
      </w:r>
      <w:r>
        <w:rPr>
          <w:color w:val="231F20"/>
        </w:rPr>
        <w:t>an</w:t>
      </w:r>
      <w:r>
        <w:rPr>
          <w:color w:val="231F20"/>
          <w:spacing w:val="10"/>
        </w:rPr>
        <w:t> </w:t>
      </w:r>
      <w:r>
        <w:rPr>
          <w:color w:val="231F20"/>
        </w:rPr>
        <w:t>arbitrary</w:t>
      </w:r>
      <w:r>
        <w:rPr>
          <w:color w:val="231F20"/>
          <w:spacing w:val="9"/>
        </w:rPr>
        <w:t> </w:t>
      </w:r>
      <w:r>
        <w:rPr>
          <w:color w:val="231F20"/>
        </w:rPr>
        <w:t>name</w:t>
      </w:r>
      <w:r>
        <w:rPr>
          <w:color w:val="231F20"/>
          <w:spacing w:val="9"/>
        </w:rPr>
        <w:t> </w:t>
      </w:r>
      <w:r>
        <w:rPr>
          <w:color w:val="231F20"/>
        </w:rPr>
        <w:t>such</w:t>
      </w:r>
      <w:r>
        <w:rPr>
          <w:color w:val="231F20"/>
          <w:spacing w:val="10"/>
        </w:rPr>
        <w:t> </w:t>
      </w:r>
      <w:r>
        <w:rPr>
          <w:color w:val="231F20"/>
        </w:rPr>
        <w:t>as,</w:t>
      </w:r>
      <w:r>
        <w:rPr>
          <w:color w:val="231F20"/>
          <w:spacing w:val="9"/>
        </w:rPr>
        <w:t> </w:t>
      </w:r>
      <w:r>
        <w:rPr>
          <w:rFonts w:ascii="Arial"/>
          <w:color w:val="231F20"/>
        </w:rPr>
        <w:t>Prod1</w:t>
      </w:r>
      <w:r>
        <w:rPr>
          <w:color w:val="231F20"/>
        </w:rPr>
        <w:t>,</w:t>
      </w:r>
      <w:r>
        <w:rPr>
          <w:color w:val="231F20"/>
          <w:spacing w:val="10"/>
        </w:rPr>
        <w:t> </w:t>
      </w:r>
      <w:r>
        <w:rPr>
          <w:rFonts w:ascii="Arial"/>
          <w:color w:val="231F20"/>
        </w:rPr>
        <w:t>Test2</w:t>
      </w:r>
      <w:r>
        <w:rPr>
          <w:color w:val="231F20"/>
        </w:rPr>
        <w:t>,</w:t>
      </w:r>
      <w:r>
        <w:rPr>
          <w:color w:val="231F20"/>
          <w:spacing w:val="9"/>
        </w:rPr>
        <w:t> </w:t>
      </w:r>
      <w:r>
        <w:rPr>
          <w:color w:val="231F20"/>
        </w:rPr>
        <w:t>or</w:t>
      </w:r>
      <w:r>
        <w:rPr>
          <w:color w:val="231F20"/>
          <w:spacing w:val="10"/>
        </w:rPr>
        <w:t> </w:t>
      </w:r>
      <w:r>
        <w:rPr>
          <w:rFonts w:ascii="Arial"/>
          <w:color w:val="231F20"/>
          <w:spacing w:val="-2"/>
        </w:rPr>
        <w:t>Austin3</w:t>
      </w:r>
      <w:r>
        <w:rPr>
          <w:color w:val="231F20"/>
          <w:spacing w:val="-2"/>
        </w:rPr>
        <w:t>.</w:t>
      </w:r>
    </w:p>
    <w:p>
      <w:pPr>
        <w:pStyle w:val="Heading6"/>
        <w:spacing w:before="111"/>
        <w:ind w:left="2232"/>
      </w:pPr>
      <w:r>
        <w:rPr>
          <w:color w:val="231F20"/>
        </w:rPr>
        <w:t>Tivoli</w:t>
      </w:r>
      <w:r>
        <w:rPr>
          <w:color w:val="231F20"/>
          <w:spacing w:val="5"/>
        </w:rPr>
        <w:t> </w:t>
      </w:r>
      <w:r>
        <w:rPr>
          <w:color w:val="231F20"/>
        </w:rPr>
        <w:t>Application</w:t>
      </w:r>
      <w:r>
        <w:rPr>
          <w:color w:val="231F20"/>
          <w:spacing w:val="6"/>
        </w:rPr>
        <w:t> </w:t>
      </w:r>
      <w:r>
        <w:rPr>
          <w:color w:val="231F20"/>
        </w:rPr>
        <w:t>Dependency</w:t>
      </w:r>
      <w:r>
        <w:rPr>
          <w:color w:val="231F20"/>
          <w:spacing w:val="5"/>
        </w:rPr>
        <w:t> </w:t>
      </w:r>
      <w:r>
        <w:rPr>
          <w:color w:val="231F20"/>
        </w:rPr>
        <w:t>Discovery</w:t>
      </w:r>
      <w:r>
        <w:rPr>
          <w:color w:val="231F20"/>
          <w:spacing w:val="6"/>
        </w:rPr>
        <w:t> </w:t>
      </w:r>
      <w:r>
        <w:rPr>
          <w:color w:val="231F20"/>
        </w:rPr>
        <w:t>Manager</w:t>
      </w:r>
      <w:r>
        <w:rPr>
          <w:color w:val="231F20"/>
          <w:spacing w:val="6"/>
        </w:rPr>
        <w:t> </w:t>
      </w:r>
      <w:r>
        <w:rPr>
          <w:color w:val="231F20"/>
        </w:rPr>
        <w:t>Server</w:t>
      </w:r>
      <w:r>
        <w:rPr>
          <w:color w:val="231F20"/>
          <w:spacing w:val="5"/>
        </w:rPr>
        <w:t> </w:t>
      </w:r>
      <w:r>
        <w:rPr>
          <w:color w:val="231F20"/>
          <w:spacing w:val="-4"/>
        </w:rPr>
        <w:t>Type</w:t>
      </w:r>
    </w:p>
    <w:p>
      <w:pPr>
        <w:pStyle w:val="BodyText"/>
        <w:spacing w:line="213" w:lineRule="auto" w:before="12"/>
        <w:ind w:left="2951" w:right="636"/>
      </w:pPr>
      <w:r>
        <w:rPr>
          <w:color w:val="231F20"/>
        </w:rPr>
        <w:t>Select the corresponding server type of the TADDM server to which you</w:t>
      </w:r>
      <w:r>
        <w:rPr>
          <w:color w:val="231F20"/>
          <w:spacing w:val="40"/>
        </w:rPr>
        <w:t> </w:t>
      </w:r>
      <w:r>
        <w:rPr>
          <w:color w:val="231F20"/>
        </w:rPr>
        <w:t>are sending updates. The server type depends on how the TADDM </w:t>
      </w:r>
      <w:r>
        <w:rPr>
          <w:color w:val="231F20"/>
        </w:rPr>
        <w:t>server</w:t>
      </w:r>
      <w:r>
        <w:rPr>
          <w:color w:val="231F20"/>
          <w:spacing w:val="40"/>
        </w:rPr>
        <w:t> </w:t>
      </w:r>
      <w:r>
        <w:rPr>
          <w:color w:val="231F20"/>
        </w:rPr>
        <w:t>is configured. Select one of the following options: Synchronization or Domain/Storage. See </w:t>
      </w:r>
      <w:hyperlink r:id="rId443">
        <w:r>
          <w:rPr>
            <w:color w:val="231F20"/>
          </w:rPr>
          <w:t>Three ways of deploying TADDM</w:t>
        </w:r>
      </w:hyperlink>
      <w:r>
        <w:rPr>
          <w:color w:val="231F20"/>
        </w:rPr>
        <w:t> in the TADDM Information Center for more details.</w:t>
      </w:r>
    </w:p>
    <w:p>
      <w:pPr>
        <w:pStyle w:val="Heading6"/>
        <w:spacing w:before="115"/>
        <w:ind w:left="2232"/>
      </w:pPr>
      <w:r>
        <w:rPr>
          <w:color w:val="231F20"/>
        </w:rPr>
        <w:t>Management</w:t>
      </w:r>
      <w:r>
        <w:rPr>
          <w:color w:val="231F20"/>
          <w:spacing w:val="7"/>
        </w:rPr>
        <w:t> </w:t>
      </w:r>
      <w:r>
        <w:rPr>
          <w:color w:val="231F20"/>
        </w:rPr>
        <w:t>Software</w:t>
      </w:r>
      <w:r>
        <w:rPr>
          <w:color w:val="231F20"/>
          <w:spacing w:val="7"/>
        </w:rPr>
        <w:t> </w:t>
      </w:r>
      <w:r>
        <w:rPr>
          <w:color w:val="231F20"/>
        </w:rPr>
        <w:t>System</w:t>
      </w:r>
      <w:r>
        <w:rPr>
          <w:color w:val="231F20"/>
          <w:spacing w:val="7"/>
        </w:rPr>
        <w:t> </w:t>
      </w:r>
      <w:r>
        <w:rPr>
          <w:color w:val="231F20"/>
          <w:spacing w:val="-2"/>
        </w:rPr>
        <w:t>Hostname</w:t>
      </w:r>
    </w:p>
    <w:p>
      <w:pPr>
        <w:pStyle w:val="BodyText"/>
        <w:spacing w:line="213" w:lineRule="auto" w:before="11"/>
        <w:ind w:left="2951" w:right="545"/>
      </w:pPr>
      <w:r>
        <w:rPr>
          <w:color w:val="231F20"/>
        </w:rPr>
        <w:t>This hostname must match the hostname provided by the Discovery Library Adapter (DLA) discovery process. This value is used to construct the MSSName that is used in subsequent TADDM update activities. The MSSName is used by the TADDM server to correlate update </w:t>
      </w:r>
      <w:r>
        <w:rPr>
          <w:color w:val="231F20"/>
        </w:rPr>
        <w:t>notifications with information provided through the discovery process.</w:t>
      </w:r>
    </w:p>
    <w:p>
      <w:pPr>
        <w:pStyle w:val="BodyText"/>
        <w:spacing w:line="213" w:lineRule="auto" w:before="117"/>
        <w:ind w:left="2951" w:right="493"/>
      </w:pPr>
      <w:r>
        <w:rPr>
          <w:color w:val="231F20"/>
        </w:rPr>
        <w:t>Typically, the value should specify the hostname of the portal server </w:t>
      </w:r>
      <w:r>
        <w:rPr>
          <w:color w:val="231F20"/>
        </w:rPr>
        <w:t>found in the DLA XML output file. For example, if the DLA XML output file includes </w:t>
      </w:r>
      <w:r>
        <w:rPr>
          <w:rFonts w:ascii="Arial"/>
          <w:color w:val="231F20"/>
        </w:rPr>
        <w:t>&lt;cdm:Hostname&gt;aix1.lab.raleigh.ibm.com&lt;/cdm:Hostname&gt;</w:t>
      </w:r>
      <w:r>
        <w:rPr>
          <w:color w:val="231F20"/>
        </w:rPr>
        <w:t>, then </w:t>
      </w:r>
      <w:r>
        <w:rPr>
          <w:rFonts w:ascii="Arial"/>
          <w:color w:val="231F20"/>
        </w:rPr>
        <w:t>aix1.lab.raleigh.ibm.com</w:t>
      </w:r>
      <w:r>
        <w:rPr>
          <w:rFonts w:ascii="Arial"/>
          <w:color w:val="231F20"/>
          <w:spacing w:val="40"/>
        </w:rPr>
        <w:t> </w:t>
      </w:r>
      <w:r>
        <w:rPr>
          <w:color w:val="231F20"/>
        </w:rPr>
        <w:t>would</w:t>
      </w:r>
      <w:r>
        <w:rPr>
          <w:color w:val="231F20"/>
          <w:spacing w:val="40"/>
        </w:rPr>
        <w:t> </w:t>
      </w:r>
      <w:r>
        <w:rPr>
          <w:color w:val="231F20"/>
        </w:rPr>
        <w:t>be</w:t>
      </w:r>
      <w:r>
        <w:rPr>
          <w:color w:val="231F20"/>
          <w:spacing w:val="40"/>
        </w:rPr>
        <w:t> </w:t>
      </w:r>
      <w:r>
        <w:rPr>
          <w:color w:val="231F20"/>
        </w:rPr>
        <w:t>the</w:t>
      </w:r>
      <w:r>
        <w:rPr>
          <w:color w:val="231F20"/>
          <w:spacing w:val="40"/>
        </w:rPr>
        <w:t> </w:t>
      </w:r>
      <w:r>
        <w:rPr>
          <w:color w:val="231F20"/>
        </w:rPr>
        <w:t>hostname</w:t>
      </w:r>
      <w:r>
        <w:rPr>
          <w:color w:val="231F20"/>
          <w:spacing w:val="40"/>
        </w:rPr>
        <w:t> </w:t>
      </w:r>
      <w:r>
        <w:rPr>
          <w:color w:val="231F20"/>
        </w:rPr>
        <w:t>you</w:t>
      </w:r>
      <w:r>
        <w:rPr>
          <w:color w:val="231F20"/>
          <w:spacing w:val="40"/>
        </w:rPr>
        <w:t> </w:t>
      </w:r>
      <w:r>
        <w:rPr>
          <w:color w:val="231F20"/>
        </w:rPr>
        <w:t>specify.</w:t>
      </w:r>
    </w:p>
    <w:p>
      <w:pPr>
        <w:pStyle w:val="BodyText"/>
        <w:spacing w:line="213" w:lineRule="auto" w:before="117"/>
        <w:ind w:left="2951" w:right="545"/>
      </w:pPr>
      <w:r>
        <w:rPr>
          <w:color w:val="231F20"/>
        </w:rPr>
        <w:t>For more information on the DLA process see “Using the Tivoli Management Services Discovery Library Adapter” in the </w:t>
      </w:r>
      <w:hyperlink r:id="rId372">
        <w:r>
          <w:rPr>
            <w:rFonts w:ascii="Book Antiqua" w:hAnsi="Book Antiqua"/>
            <w:i/>
            <w:color w:val="231F20"/>
          </w:rPr>
          <w:t>IBM Tivoli</w:t>
        </w:r>
      </w:hyperlink>
      <w:r>
        <w:rPr>
          <w:rFonts w:ascii="Book Antiqua" w:hAnsi="Book Antiqua"/>
          <w:i/>
          <w:color w:val="231F20"/>
        </w:rPr>
        <w:t> </w:t>
      </w:r>
      <w:hyperlink r:id="rId372">
        <w:r>
          <w:rPr>
            <w:rFonts w:ascii="Book Antiqua" w:hAnsi="Book Antiqua"/>
            <w:i/>
            <w:color w:val="231F20"/>
          </w:rPr>
          <w:t>Monitoring Administrator's Guide</w:t>
        </w:r>
      </w:hyperlink>
      <w:r>
        <w:rPr>
          <w:rFonts w:ascii="Book Antiqua" w:hAnsi="Book Antiqua"/>
          <w:i/>
          <w:color w:val="231F20"/>
        </w:rPr>
        <w:t> </w:t>
      </w:r>
      <w:hyperlink r:id="rId444">
        <w:r>
          <w:rPr>
            <w:color w:val="231F20"/>
          </w:rPr>
          <w:t>(http://pic.dhe.ibm.com/infocenter/</w:t>
        </w:r>
      </w:hyperlink>
      <w:r>
        <w:rPr>
          <w:color w:val="231F20"/>
          <w:spacing w:val="80"/>
        </w:rPr>
        <w:t> </w:t>
      </w:r>
      <w:r>
        <w:rPr>
          <w:color w:val="231F20"/>
          <w:spacing w:val="-2"/>
        </w:rPr>
        <w:t>tivihelp/v61r1/topic/com.ibm.itm.doc_6.3/adminuse/itm_admin.htm).</w:t>
      </w:r>
    </w:p>
    <w:p>
      <w:pPr>
        <w:pStyle w:val="Heading6"/>
        <w:spacing w:before="115"/>
        <w:ind w:left="2232"/>
      </w:pPr>
      <w:r>
        <w:rPr>
          <w:color w:val="231F20"/>
        </w:rPr>
        <w:t>Tivoli</w:t>
      </w:r>
      <w:r>
        <w:rPr>
          <w:color w:val="231F20"/>
          <w:spacing w:val="5"/>
        </w:rPr>
        <w:t> </w:t>
      </w:r>
      <w:r>
        <w:rPr>
          <w:color w:val="231F20"/>
        </w:rPr>
        <w:t>Application</w:t>
      </w:r>
      <w:r>
        <w:rPr>
          <w:color w:val="231F20"/>
          <w:spacing w:val="6"/>
        </w:rPr>
        <w:t> </w:t>
      </w:r>
      <w:r>
        <w:rPr>
          <w:color w:val="231F20"/>
        </w:rPr>
        <w:t>Dependency</w:t>
      </w:r>
      <w:r>
        <w:rPr>
          <w:color w:val="231F20"/>
          <w:spacing w:val="5"/>
        </w:rPr>
        <w:t> </w:t>
      </w:r>
      <w:r>
        <w:rPr>
          <w:color w:val="231F20"/>
        </w:rPr>
        <w:t>Discovery</w:t>
      </w:r>
      <w:r>
        <w:rPr>
          <w:color w:val="231F20"/>
          <w:spacing w:val="6"/>
        </w:rPr>
        <w:t> </w:t>
      </w:r>
      <w:r>
        <w:rPr>
          <w:color w:val="231F20"/>
        </w:rPr>
        <w:t>Manager</w:t>
      </w:r>
      <w:r>
        <w:rPr>
          <w:color w:val="231F20"/>
          <w:spacing w:val="6"/>
        </w:rPr>
        <w:t> </w:t>
      </w:r>
      <w:r>
        <w:rPr>
          <w:color w:val="231F20"/>
        </w:rPr>
        <w:t>Server</w:t>
      </w:r>
      <w:r>
        <w:rPr>
          <w:color w:val="231F20"/>
          <w:spacing w:val="5"/>
        </w:rPr>
        <w:t> </w:t>
      </w:r>
      <w:r>
        <w:rPr>
          <w:color w:val="231F20"/>
          <w:spacing w:val="-5"/>
        </w:rPr>
        <w:t>URL</w:t>
      </w:r>
    </w:p>
    <w:p>
      <w:pPr>
        <w:pStyle w:val="BodyText"/>
        <w:spacing w:line="213" w:lineRule="auto" w:before="12"/>
        <w:ind w:left="2951" w:right="493"/>
      </w:pPr>
      <w:r>
        <w:rPr>
          <w:color w:val="231F20"/>
        </w:rPr>
        <w:t>Enter the information for the TADDM server. The protocol options are </w:t>
      </w:r>
      <w:r>
        <w:rPr>
          <w:color w:val="231F20"/>
        </w:rPr>
        <w:t>http (default port 9430) or https (default port 9431). You can also specify your own valid port number.</w:t>
      </w:r>
    </w:p>
    <w:p>
      <w:pPr>
        <w:pStyle w:val="Heading6"/>
        <w:spacing w:before="116"/>
        <w:ind w:left="2232"/>
      </w:pPr>
      <w:r>
        <w:rPr>
          <w:color w:val="231F20"/>
        </w:rPr>
        <w:t>Tivoli</w:t>
      </w:r>
      <w:r>
        <w:rPr>
          <w:color w:val="231F20"/>
          <w:spacing w:val="5"/>
        </w:rPr>
        <w:t> </w:t>
      </w:r>
      <w:r>
        <w:rPr>
          <w:color w:val="231F20"/>
        </w:rPr>
        <w:t>Application</w:t>
      </w:r>
      <w:r>
        <w:rPr>
          <w:color w:val="231F20"/>
          <w:spacing w:val="6"/>
        </w:rPr>
        <w:t> </w:t>
      </w:r>
      <w:r>
        <w:rPr>
          <w:color w:val="231F20"/>
        </w:rPr>
        <w:t>Dependency</w:t>
      </w:r>
      <w:r>
        <w:rPr>
          <w:color w:val="231F20"/>
          <w:spacing w:val="6"/>
        </w:rPr>
        <w:t> </w:t>
      </w:r>
      <w:r>
        <w:rPr>
          <w:color w:val="231F20"/>
        </w:rPr>
        <w:t>Discovery</w:t>
      </w:r>
      <w:r>
        <w:rPr>
          <w:color w:val="231F20"/>
          <w:spacing w:val="6"/>
        </w:rPr>
        <w:t> </w:t>
      </w:r>
      <w:r>
        <w:rPr>
          <w:color w:val="231F20"/>
        </w:rPr>
        <w:t>Manager</w:t>
      </w:r>
      <w:r>
        <w:rPr>
          <w:color w:val="231F20"/>
          <w:spacing w:val="6"/>
        </w:rPr>
        <w:t> </w:t>
      </w:r>
      <w:r>
        <w:rPr>
          <w:color w:val="231F20"/>
        </w:rPr>
        <w:t>User</w:t>
      </w:r>
      <w:r>
        <w:rPr>
          <w:color w:val="231F20"/>
          <w:spacing w:val="6"/>
        </w:rPr>
        <w:t> </w:t>
      </w:r>
      <w:r>
        <w:rPr>
          <w:color w:val="231F20"/>
          <w:spacing w:val="-2"/>
        </w:rPr>
        <w:t>Credentials</w:t>
      </w:r>
    </w:p>
    <w:p>
      <w:pPr>
        <w:pStyle w:val="BodyText"/>
        <w:spacing w:line="258" w:lineRule="exact"/>
        <w:ind w:left="2951"/>
        <w:jc w:val="both"/>
      </w:pPr>
      <w:r>
        <w:rPr>
          <w:color w:val="231F20"/>
        </w:rPr>
        <w:t>Required</w:t>
      </w:r>
      <w:r>
        <w:rPr>
          <w:color w:val="231F20"/>
          <w:spacing w:val="5"/>
        </w:rPr>
        <w:t> </w:t>
      </w:r>
      <w:r>
        <w:rPr>
          <w:color w:val="231F20"/>
        </w:rPr>
        <w:t>user</w:t>
      </w:r>
      <w:r>
        <w:rPr>
          <w:color w:val="231F20"/>
          <w:spacing w:val="8"/>
        </w:rPr>
        <w:t> </w:t>
      </w:r>
      <w:r>
        <w:rPr>
          <w:color w:val="231F20"/>
        </w:rPr>
        <w:t>name</w:t>
      </w:r>
      <w:r>
        <w:rPr>
          <w:color w:val="231F20"/>
          <w:spacing w:val="8"/>
        </w:rPr>
        <w:t> </w:t>
      </w:r>
      <w:r>
        <w:rPr>
          <w:color w:val="231F20"/>
        </w:rPr>
        <w:t>and</w:t>
      </w:r>
      <w:r>
        <w:rPr>
          <w:color w:val="231F20"/>
          <w:spacing w:val="8"/>
        </w:rPr>
        <w:t> </w:t>
      </w:r>
      <w:r>
        <w:rPr>
          <w:color w:val="231F20"/>
        </w:rPr>
        <w:t>password</w:t>
      </w:r>
      <w:r>
        <w:rPr>
          <w:color w:val="231F20"/>
          <w:spacing w:val="8"/>
        </w:rPr>
        <w:t> </w:t>
      </w:r>
      <w:r>
        <w:rPr>
          <w:color w:val="231F20"/>
        </w:rPr>
        <w:t>for</w:t>
      </w:r>
      <w:r>
        <w:rPr>
          <w:color w:val="231F20"/>
          <w:spacing w:val="8"/>
        </w:rPr>
        <w:t> </w:t>
      </w:r>
      <w:r>
        <w:rPr>
          <w:color w:val="231F20"/>
        </w:rPr>
        <w:t>the</w:t>
      </w:r>
      <w:r>
        <w:rPr>
          <w:color w:val="231F20"/>
          <w:spacing w:val="8"/>
        </w:rPr>
        <w:t> </w:t>
      </w:r>
      <w:r>
        <w:rPr>
          <w:color w:val="231F20"/>
        </w:rPr>
        <w:t>TADDM</w:t>
      </w:r>
      <w:r>
        <w:rPr>
          <w:color w:val="231F20"/>
          <w:spacing w:val="8"/>
        </w:rPr>
        <w:t> </w:t>
      </w:r>
      <w:r>
        <w:rPr>
          <w:color w:val="231F20"/>
          <w:spacing w:val="-2"/>
        </w:rPr>
        <w:t>server.</w:t>
      </w:r>
    </w:p>
    <w:p>
      <w:pPr>
        <w:pStyle w:val="Heading6"/>
        <w:spacing w:before="112"/>
        <w:ind w:left="2232"/>
      </w:pPr>
      <w:r>
        <w:rPr>
          <w:color w:val="231F20"/>
        </w:rPr>
        <w:t>Tivoli</w:t>
      </w:r>
      <w:r>
        <w:rPr>
          <w:color w:val="231F20"/>
          <w:spacing w:val="6"/>
        </w:rPr>
        <w:t> </w:t>
      </w:r>
      <w:r>
        <w:rPr>
          <w:color w:val="231F20"/>
        </w:rPr>
        <w:t>Enterprise</w:t>
      </w:r>
      <w:r>
        <w:rPr>
          <w:color w:val="231F20"/>
          <w:spacing w:val="7"/>
        </w:rPr>
        <w:t> </w:t>
      </w:r>
      <w:r>
        <w:rPr>
          <w:color w:val="231F20"/>
        </w:rPr>
        <w:t>Portal</w:t>
      </w:r>
      <w:r>
        <w:rPr>
          <w:color w:val="231F20"/>
          <w:spacing w:val="7"/>
        </w:rPr>
        <w:t> </w:t>
      </w:r>
      <w:r>
        <w:rPr>
          <w:color w:val="231F20"/>
        </w:rPr>
        <w:t>Server</w:t>
      </w:r>
      <w:r>
        <w:rPr>
          <w:color w:val="231F20"/>
          <w:spacing w:val="6"/>
        </w:rPr>
        <w:t> </w:t>
      </w:r>
      <w:r>
        <w:rPr>
          <w:color w:val="231F20"/>
          <w:spacing w:val="-5"/>
        </w:rPr>
        <w:t>URL</w:t>
      </w:r>
    </w:p>
    <w:p>
      <w:pPr>
        <w:pStyle w:val="BodyText"/>
        <w:spacing w:line="213" w:lineRule="auto" w:before="11"/>
        <w:ind w:left="2951" w:right="545"/>
      </w:pPr>
      <w:r>
        <w:rPr>
          <w:color w:val="231F20"/>
        </w:rPr>
        <w:t>Enter the information for the Tivoli Enterprise Portal Server. This URL is stored in the TADDM server and used to perform any launch-in-context activity. The protocol options are http (default port 1920) or https </w:t>
      </w:r>
      <w:r>
        <w:rPr>
          <w:color w:val="231F20"/>
        </w:rPr>
        <w:t>(default port 3660). You can also specify your own valid port number. Specify the same hostname and port number that your portal server is configured to </w:t>
      </w:r>
      <w:r>
        <w:rPr>
          <w:color w:val="231F20"/>
          <w:spacing w:val="-4"/>
        </w:rPr>
        <w:t>use.</w:t>
      </w:r>
    </w:p>
    <w:p>
      <w:pPr>
        <w:pStyle w:val="Heading6"/>
        <w:spacing w:before="114"/>
        <w:ind w:left="2232"/>
      </w:pPr>
      <w:r>
        <w:rPr>
          <w:color w:val="231F20"/>
        </w:rPr>
        <w:t>Request</w:t>
      </w:r>
      <w:r>
        <w:rPr>
          <w:color w:val="231F20"/>
          <w:spacing w:val="8"/>
        </w:rPr>
        <w:t> </w:t>
      </w:r>
      <w:r>
        <w:rPr>
          <w:color w:val="231F20"/>
          <w:spacing w:val="-2"/>
        </w:rPr>
        <w:t>Parameters</w:t>
      </w:r>
    </w:p>
    <w:p>
      <w:pPr>
        <w:pStyle w:val="BodyText"/>
        <w:spacing w:line="213" w:lineRule="auto" w:before="12"/>
        <w:ind w:left="2951" w:right="545"/>
      </w:pPr>
      <w:r>
        <w:rPr>
          <w:color w:val="231F20"/>
        </w:rPr>
        <w:t>The Request Parameters section is used to define the format of the JavaScript Object Notation (JSON) update request that IBM Tivoli Monitoring sends to the TADDM server. These three fields are </w:t>
      </w:r>
      <w:r>
        <w:rPr>
          <w:color w:val="231F20"/>
        </w:rPr>
        <w:t>included: Key, Value Type, and Value.</w:t>
      </w:r>
    </w:p>
    <w:p>
      <w:pPr>
        <w:pStyle w:val="BodyText"/>
        <w:spacing w:before="94"/>
        <w:ind w:left="2951"/>
      </w:pPr>
      <w:r>
        <w:rPr>
          <w:color w:val="231F20"/>
        </w:rPr>
        <w:t>This</w:t>
      </w:r>
      <w:r>
        <w:rPr>
          <w:color w:val="231F20"/>
          <w:spacing w:val="9"/>
        </w:rPr>
        <w:t> </w:t>
      </w:r>
      <w:r>
        <w:rPr>
          <w:color w:val="231F20"/>
        </w:rPr>
        <w:t>section</w:t>
      </w:r>
      <w:r>
        <w:rPr>
          <w:color w:val="231F20"/>
          <w:spacing w:val="10"/>
        </w:rPr>
        <w:t> </w:t>
      </w:r>
      <w:r>
        <w:rPr>
          <w:color w:val="231F20"/>
        </w:rPr>
        <w:t>is</w:t>
      </w:r>
      <w:r>
        <w:rPr>
          <w:color w:val="231F20"/>
          <w:spacing w:val="9"/>
        </w:rPr>
        <w:t> </w:t>
      </w:r>
      <w:r>
        <w:rPr>
          <w:color w:val="231F20"/>
        </w:rPr>
        <w:t>predefined</w:t>
      </w:r>
      <w:r>
        <w:rPr>
          <w:color w:val="231F20"/>
          <w:spacing w:val="10"/>
        </w:rPr>
        <w:t> </w:t>
      </w:r>
      <w:r>
        <w:rPr>
          <w:color w:val="231F20"/>
        </w:rPr>
        <w:t>and</w:t>
      </w:r>
      <w:r>
        <w:rPr>
          <w:color w:val="231F20"/>
          <w:spacing w:val="9"/>
        </w:rPr>
        <w:t> </w:t>
      </w:r>
      <w:r>
        <w:rPr>
          <w:color w:val="231F20"/>
        </w:rPr>
        <w:t>typically</w:t>
      </w:r>
      <w:r>
        <w:rPr>
          <w:color w:val="231F20"/>
          <w:spacing w:val="10"/>
        </w:rPr>
        <w:t> </w:t>
      </w:r>
      <w:r>
        <w:rPr>
          <w:color w:val="231F20"/>
        </w:rPr>
        <w:t>does</w:t>
      </w:r>
      <w:r>
        <w:rPr>
          <w:color w:val="231F20"/>
          <w:spacing w:val="10"/>
        </w:rPr>
        <w:t> </w:t>
      </w:r>
      <w:r>
        <w:rPr>
          <w:color w:val="231F20"/>
        </w:rPr>
        <w:t>not</w:t>
      </w:r>
      <w:r>
        <w:rPr>
          <w:color w:val="231F20"/>
          <w:spacing w:val="9"/>
        </w:rPr>
        <w:t> </w:t>
      </w:r>
      <w:r>
        <w:rPr>
          <w:color w:val="231F20"/>
        </w:rPr>
        <w:t>require</w:t>
      </w:r>
      <w:r>
        <w:rPr>
          <w:color w:val="231F20"/>
          <w:spacing w:val="10"/>
        </w:rPr>
        <w:t> </w:t>
      </w:r>
      <w:r>
        <w:rPr>
          <w:color w:val="231F20"/>
          <w:spacing w:val="-2"/>
        </w:rPr>
        <w:t>modification.</w:t>
      </w:r>
    </w:p>
    <w:p>
      <w:pPr>
        <w:pStyle w:val="BodyText"/>
        <w:spacing w:line="213" w:lineRule="auto" w:before="112"/>
        <w:ind w:left="2951" w:right="545"/>
      </w:pPr>
      <w:r>
        <w:rPr>
          <w:color w:val="231F20"/>
        </w:rPr>
        <w:t>If needed, make a copy of the TADDM_Initialization policy and use </w:t>
      </w:r>
      <w:r>
        <w:rPr>
          <w:color w:val="231F20"/>
        </w:rPr>
        <w:t>the request parameters included in the Configure Tivoli Application Dependency Discovery Manager Integration activity.</w:t>
      </w:r>
    </w:p>
    <w:p>
      <w:pPr>
        <w:spacing w:after="0" w:line="213" w:lineRule="auto"/>
        <w:sectPr>
          <w:pgSz w:w="12240" w:h="15840"/>
          <w:pgMar w:header="0" w:footer="736" w:top="1180" w:bottom="920" w:left="1000" w:right="1060"/>
        </w:sectPr>
      </w:pPr>
    </w:p>
    <w:p>
      <w:pPr>
        <w:pStyle w:val="Heading6"/>
        <w:spacing w:before="83"/>
      </w:pPr>
      <w:bookmarkStart w:name="_bookmark254" w:id="525"/>
      <w:bookmarkEnd w:id="525"/>
      <w:r>
        <w:rPr>
          <w:b w:val="0"/>
        </w:rPr>
      </w:r>
      <w:r>
        <w:rPr>
          <w:color w:val="231F20"/>
        </w:rPr>
        <w:t>Insert</w:t>
      </w:r>
      <w:r>
        <w:rPr>
          <w:color w:val="231F20"/>
          <w:spacing w:val="-3"/>
        </w:rPr>
        <w:t> </w:t>
      </w:r>
      <w:r>
        <w:rPr>
          <w:color w:val="231F20"/>
        </w:rPr>
        <w:t>Variable</w:t>
      </w:r>
      <w:r>
        <w:rPr>
          <w:color w:val="231F20"/>
          <w:spacing w:val="-2"/>
        </w:rPr>
        <w:t> </w:t>
      </w:r>
      <w:r>
        <w:rPr>
          <w:color w:val="231F20"/>
          <w:spacing w:val="-4"/>
        </w:rPr>
        <w:t>Data</w:t>
      </w:r>
    </w:p>
    <w:p>
      <w:pPr>
        <w:pStyle w:val="BodyText"/>
        <w:spacing w:line="213" w:lineRule="auto" w:before="12"/>
        <w:ind w:left="3190"/>
      </w:pPr>
      <w:r>
        <w:rPr>
          <w:color w:val="231F20"/>
        </w:rPr>
        <w:t>Because the Request Parameters section is typically predefined, you do </w:t>
      </w:r>
      <w:r>
        <w:rPr>
          <w:color w:val="231F20"/>
        </w:rPr>
        <w:t>not need to use substitution options.</w:t>
      </w:r>
    </w:p>
    <w:p>
      <w:pPr>
        <w:pStyle w:val="Heading6"/>
      </w:pPr>
      <w:r>
        <w:rPr>
          <w:color w:val="231F20"/>
        </w:rPr>
        <w:t>Request</w:t>
      </w:r>
      <w:r>
        <w:rPr>
          <w:color w:val="231F20"/>
          <w:spacing w:val="8"/>
        </w:rPr>
        <w:t> </w:t>
      </w:r>
      <w:r>
        <w:rPr>
          <w:color w:val="231F20"/>
          <w:spacing w:val="-2"/>
        </w:rPr>
        <w:t>timeout</w:t>
      </w:r>
    </w:p>
    <w:p>
      <w:pPr>
        <w:pStyle w:val="BodyText"/>
        <w:spacing w:line="213" w:lineRule="auto" w:before="11"/>
        <w:ind w:left="3190" w:right="545"/>
      </w:pPr>
      <w:r>
        <w:rPr>
          <w:color w:val="231F20"/>
        </w:rPr>
        <w:t>Select the amount of time in seconds you want to allow before a </w:t>
      </w:r>
      <w:r>
        <w:rPr>
          <w:color w:val="231F20"/>
        </w:rPr>
        <w:t>timeout occurs. A timeout occurs when IBM Tivoli Monitoring doesn't receive a response from the TADDM server. Options (in seconds): 5, 10, 15, 30</w:t>
      </w:r>
    </w:p>
    <w:p>
      <w:pPr>
        <w:pStyle w:val="BodyText"/>
        <w:spacing w:line="245" w:lineRule="exact"/>
        <w:ind w:left="3190"/>
      </w:pPr>
      <w:r>
        <w:rPr>
          <w:color w:val="231F20"/>
        </w:rPr>
        <w:t>(default),</w:t>
      </w:r>
      <w:r>
        <w:rPr>
          <w:color w:val="231F20"/>
          <w:spacing w:val="12"/>
        </w:rPr>
        <w:t> </w:t>
      </w:r>
      <w:r>
        <w:rPr>
          <w:color w:val="231F20"/>
        </w:rPr>
        <w:t>45,</w:t>
      </w:r>
      <w:r>
        <w:rPr>
          <w:color w:val="231F20"/>
          <w:spacing w:val="12"/>
        </w:rPr>
        <w:t> </w:t>
      </w:r>
      <w:r>
        <w:rPr>
          <w:color w:val="231F20"/>
        </w:rPr>
        <w:t>60,</w:t>
      </w:r>
      <w:r>
        <w:rPr>
          <w:color w:val="231F20"/>
          <w:spacing w:val="12"/>
        </w:rPr>
        <w:t> </w:t>
      </w:r>
      <w:r>
        <w:rPr>
          <w:color w:val="231F20"/>
        </w:rPr>
        <w:t>90,</w:t>
      </w:r>
      <w:r>
        <w:rPr>
          <w:color w:val="231F20"/>
          <w:spacing w:val="12"/>
        </w:rPr>
        <w:t> </w:t>
      </w:r>
      <w:r>
        <w:rPr>
          <w:color w:val="231F20"/>
          <w:spacing w:val="-4"/>
        </w:rPr>
        <w:t>120.</w:t>
      </w:r>
    </w:p>
    <w:p>
      <w:pPr>
        <w:pStyle w:val="Heading6"/>
        <w:spacing w:line="240" w:lineRule="auto" w:before="211"/>
      </w:pPr>
      <w:r>
        <w:rPr>
          <w:color w:val="231F20"/>
        </w:rPr>
        <w:t>Send</w:t>
      </w:r>
      <w:r>
        <w:rPr>
          <w:color w:val="231F20"/>
          <w:spacing w:val="7"/>
        </w:rPr>
        <w:t> </w:t>
      </w:r>
      <w:r>
        <w:rPr>
          <w:color w:val="231F20"/>
        </w:rPr>
        <w:t>a</w:t>
      </w:r>
      <w:r>
        <w:rPr>
          <w:color w:val="231F20"/>
          <w:spacing w:val="7"/>
        </w:rPr>
        <w:t> </w:t>
      </w:r>
      <w:r>
        <w:rPr>
          <w:color w:val="231F20"/>
        </w:rPr>
        <w:t>Tivoli</w:t>
      </w:r>
      <w:r>
        <w:rPr>
          <w:color w:val="231F20"/>
          <w:spacing w:val="7"/>
        </w:rPr>
        <w:t> </w:t>
      </w:r>
      <w:r>
        <w:rPr>
          <w:color w:val="231F20"/>
        </w:rPr>
        <w:t>Application</w:t>
      </w:r>
      <w:r>
        <w:rPr>
          <w:color w:val="231F20"/>
          <w:spacing w:val="7"/>
        </w:rPr>
        <w:t> </w:t>
      </w:r>
      <w:r>
        <w:rPr>
          <w:color w:val="231F20"/>
        </w:rPr>
        <w:t>Dependency</w:t>
      </w:r>
      <w:r>
        <w:rPr>
          <w:color w:val="231F20"/>
          <w:spacing w:val="7"/>
        </w:rPr>
        <w:t> </w:t>
      </w:r>
      <w:r>
        <w:rPr>
          <w:color w:val="231F20"/>
        </w:rPr>
        <w:t>Discovery</w:t>
      </w:r>
      <w:r>
        <w:rPr>
          <w:color w:val="231F20"/>
          <w:spacing w:val="7"/>
        </w:rPr>
        <w:t> </w:t>
      </w:r>
      <w:r>
        <w:rPr>
          <w:color w:val="231F20"/>
        </w:rPr>
        <w:t>Manager</w:t>
      </w:r>
      <w:r>
        <w:rPr>
          <w:color w:val="231F20"/>
          <w:spacing w:val="8"/>
        </w:rPr>
        <w:t> </w:t>
      </w:r>
      <w:bookmarkStart w:name="_bookmark253" w:id="526"/>
      <w:bookmarkEnd w:id="526"/>
      <w:r>
        <w:rPr>
          <w:color w:val="231F20"/>
          <w:spacing w:val="-2"/>
        </w:rPr>
        <w:t>Update:</w:t>
      </w:r>
    </w:p>
    <w:p>
      <w:pPr>
        <w:spacing w:line="213" w:lineRule="auto" w:before="239"/>
        <w:ind w:left="2472" w:right="0" w:firstLine="0"/>
        <w:jc w:val="left"/>
        <w:rPr>
          <w:sz w:val="20"/>
        </w:rPr>
      </w:pPr>
      <w:r>
        <w:rPr>
          <w:color w:val="231F20"/>
          <w:sz w:val="20"/>
        </w:rPr>
        <w:t>Selecting the </w:t>
      </w:r>
      <w:r>
        <w:rPr>
          <w:rFonts w:ascii="Book Antiqua"/>
          <w:b/>
          <w:color w:val="231F20"/>
          <w:sz w:val="20"/>
        </w:rPr>
        <w:t>Send a Tivoli Application Dependency Discovery Manager Update </w:t>
      </w:r>
      <w:r>
        <w:rPr>
          <w:color w:val="231F20"/>
          <w:sz w:val="20"/>
        </w:rPr>
        <w:t>activity opens a dialog box for entering information required to forward changes </w:t>
      </w:r>
      <w:r>
        <w:rPr>
          <w:color w:val="231F20"/>
          <w:sz w:val="20"/>
        </w:rPr>
        <w:t>in your monitoring environment, discovered through situation events, to a TADDM </w:t>
      </w:r>
      <w:r>
        <w:rPr>
          <w:color w:val="231F20"/>
          <w:spacing w:val="-2"/>
          <w:sz w:val="20"/>
        </w:rPr>
        <w:t>server.</w:t>
      </w:r>
    </w:p>
    <w:p>
      <w:pPr>
        <w:pStyle w:val="Heading6"/>
        <w:spacing w:before="116"/>
      </w:pPr>
      <w:r>
        <w:rPr>
          <w:color w:val="231F20"/>
        </w:rPr>
        <w:t>Tivoli</w:t>
      </w:r>
      <w:r>
        <w:rPr>
          <w:color w:val="231F20"/>
          <w:spacing w:val="4"/>
        </w:rPr>
        <w:t> </w:t>
      </w:r>
      <w:r>
        <w:rPr>
          <w:color w:val="231F20"/>
        </w:rPr>
        <w:t>Application</w:t>
      </w:r>
      <w:r>
        <w:rPr>
          <w:color w:val="231F20"/>
          <w:spacing w:val="5"/>
        </w:rPr>
        <w:t> </w:t>
      </w:r>
      <w:r>
        <w:rPr>
          <w:color w:val="231F20"/>
        </w:rPr>
        <w:t>Dependency</w:t>
      </w:r>
      <w:r>
        <w:rPr>
          <w:color w:val="231F20"/>
          <w:spacing w:val="5"/>
        </w:rPr>
        <w:t> </w:t>
      </w:r>
      <w:r>
        <w:rPr>
          <w:color w:val="231F20"/>
        </w:rPr>
        <w:t>Discovery</w:t>
      </w:r>
      <w:r>
        <w:rPr>
          <w:color w:val="231F20"/>
          <w:spacing w:val="4"/>
        </w:rPr>
        <w:t> </w:t>
      </w:r>
      <w:r>
        <w:rPr>
          <w:color w:val="231F20"/>
        </w:rPr>
        <w:t>Manager</w:t>
      </w:r>
      <w:r>
        <w:rPr>
          <w:color w:val="231F20"/>
          <w:spacing w:val="5"/>
        </w:rPr>
        <w:t> </w:t>
      </w:r>
      <w:r>
        <w:rPr>
          <w:color w:val="231F20"/>
          <w:spacing w:val="-2"/>
        </w:rPr>
        <w:t>Alias</w:t>
      </w:r>
    </w:p>
    <w:p>
      <w:pPr>
        <w:spacing w:line="213" w:lineRule="auto" w:before="12"/>
        <w:ind w:left="3190" w:right="292" w:firstLine="0"/>
        <w:jc w:val="left"/>
        <w:rPr>
          <w:sz w:val="20"/>
        </w:rPr>
      </w:pPr>
      <w:r>
        <w:rPr>
          <w:color w:val="231F20"/>
          <w:sz w:val="20"/>
        </w:rPr>
        <w:t>The server alias represents a TADDM server. Use the same server alias that you specified in the associated </w:t>
      </w:r>
      <w:r>
        <w:rPr>
          <w:rFonts w:ascii="Book Antiqua"/>
          <w:b/>
          <w:color w:val="231F20"/>
          <w:sz w:val="20"/>
        </w:rPr>
        <w:t>Configure Tivoli Application Dependency Discovery Manager Integration </w:t>
      </w:r>
      <w:r>
        <w:rPr>
          <w:color w:val="231F20"/>
          <w:sz w:val="20"/>
        </w:rPr>
        <w:t>activity. The server alias can be an</w:t>
      </w:r>
      <w:r>
        <w:rPr>
          <w:color w:val="231F20"/>
          <w:spacing w:val="80"/>
          <w:sz w:val="20"/>
        </w:rPr>
        <w:t> </w:t>
      </w:r>
      <w:r>
        <w:rPr>
          <w:color w:val="231F20"/>
          <w:sz w:val="20"/>
        </w:rPr>
        <w:t>arbitrary name such as </w:t>
      </w:r>
      <w:r>
        <w:rPr>
          <w:rFonts w:ascii="Arial"/>
          <w:color w:val="231F20"/>
          <w:sz w:val="20"/>
        </w:rPr>
        <w:t>Prod1</w:t>
      </w:r>
      <w:r>
        <w:rPr>
          <w:color w:val="231F20"/>
          <w:sz w:val="20"/>
        </w:rPr>
        <w:t>, </w:t>
      </w:r>
      <w:r>
        <w:rPr>
          <w:rFonts w:ascii="Arial"/>
          <w:color w:val="231F20"/>
          <w:sz w:val="20"/>
        </w:rPr>
        <w:t>Test2</w:t>
      </w:r>
      <w:r>
        <w:rPr>
          <w:color w:val="231F20"/>
          <w:sz w:val="20"/>
        </w:rPr>
        <w:t>, or </w:t>
      </w:r>
      <w:r>
        <w:rPr>
          <w:rFonts w:ascii="Arial"/>
          <w:color w:val="231F20"/>
          <w:sz w:val="20"/>
        </w:rPr>
        <w:t>Austin3</w:t>
      </w:r>
      <w:r>
        <w:rPr>
          <w:color w:val="231F20"/>
          <w:sz w:val="20"/>
        </w:rPr>
        <w:t>.</w:t>
      </w:r>
    </w:p>
    <w:p>
      <w:pPr>
        <w:pStyle w:val="Heading6"/>
        <w:spacing w:before="115"/>
      </w:pPr>
      <w:r>
        <w:rPr>
          <w:color w:val="231F20"/>
        </w:rPr>
        <w:t>Operation</w:t>
      </w:r>
      <w:r>
        <w:rPr>
          <w:color w:val="231F20"/>
          <w:spacing w:val="6"/>
        </w:rPr>
        <w:t> </w:t>
      </w:r>
      <w:r>
        <w:rPr>
          <w:color w:val="231F20"/>
          <w:spacing w:val="-4"/>
        </w:rPr>
        <w:t>Type</w:t>
      </w:r>
    </w:p>
    <w:p>
      <w:pPr>
        <w:pStyle w:val="BodyText"/>
        <w:spacing w:line="213" w:lineRule="auto" w:before="12"/>
        <w:ind w:left="3190"/>
      </w:pPr>
      <w:r>
        <w:rPr>
          <w:color w:val="231F20"/>
        </w:rPr>
        <w:t>The operation type determines what type of update is sent to the </w:t>
      </w:r>
      <w:r>
        <w:rPr>
          <w:color w:val="231F20"/>
        </w:rPr>
        <w:t>TADDM server. Select one of the following types appropriate to the situation that triggered the workflow: Create, Update, Move, or Delete.</w:t>
      </w:r>
    </w:p>
    <w:p>
      <w:pPr>
        <w:pStyle w:val="Heading6"/>
        <w:spacing w:before="116"/>
      </w:pPr>
      <w:r>
        <w:rPr>
          <w:color w:val="231F20"/>
        </w:rPr>
        <w:t>Request</w:t>
      </w:r>
      <w:r>
        <w:rPr>
          <w:color w:val="231F20"/>
          <w:spacing w:val="8"/>
        </w:rPr>
        <w:t> </w:t>
      </w:r>
      <w:r>
        <w:rPr>
          <w:color w:val="231F20"/>
          <w:spacing w:val="-2"/>
        </w:rPr>
        <w:t>Parameters</w:t>
      </w:r>
    </w:p>
    <w:p>
      <w:pPr>
        <w:pStyle w:val="BodyText"/>
        <w:spacing w:line="213" w:lineRule="auto" w:before="12"/>
        <w:ind w:left="3190" w:right="385"/>
      </w:pPr>
      <w:r>
        <w:rPr>
          <w:color w:val="231F20"/>
        </w:rPr>
        <w:t>The Request Parameters section is used to define a JavaScript Object Notation (JSON) update request that IBM Tivoli Monitoring sends to </w:t>
      </w:r>
      <w:r>
        <w:rPr>
          <w:color w:val="231F20"/>
        </w:rPr>
        <w:t>the TADDM server. These three fields are included: Key, Value Type, and Value. Monitoring agents that exploit this activity provide policies that include predefined request parameters.</w:t>
      </w:r>
    </w:p>
    <w:p>
      <w:pPr>
        <w:pStyle w:val="BodyText"/>
        <w:spacing w:line="213" w:lineRule="auto" w:before="116"/>
        <w:ind w:left="3190" w:right="258"/>
      </w:pPr>
      <w:r>
        <w:rPr>
          <w:color w:val="231F20"/>
        </w:rPr>
        <w:t>The Key contains a list of common predefined keys. Other valid key </w:t>
      </w:r>
      <w:r>
        <w:rPr>
          <w:color w:val="231F20"/>
        </w:rPr>
        <w:t>values can be entered, but they must be part of the Tivoli Common Data Model (defined in the IBM Multilingual Terminology database).</w:t>
      </w:r>
    </w:p>
    <w:p>
      <w:pPr>
        <w:pStyle w:val="BodyText"/>
        <w:spacing w:before="95"/>
        <w:ind w:left="3190"/>
      </w:pPr>
      <w:r>
        <w:rPr>
          <w:color w:val="231F20"/>
        </w:rPr>
        <w:t>The</w:t>
      </w:r>
      <w:r>
        <w:rPr>
          <w:color w:val="231F20"/>
          <w:spacing w:val="8"/>
        </w:rPr>
        <w:t> </w:t>
      </w:r>
      <w:r>
        <w:rPr>
          <w:color w:val="231F20"/>
        </w:rPr>
        <w:t>Value</w:t>
      </w:r>
      <w:r>
        <w:rPr>
          <w:color w:val="231F20"/>
          <w:spacing w:val="8"/>
        </w:rPr>
        <w:t> </w:t>
      </w:r>
      <w:r>
        <w:rPr>
          <w:color w:val="231F20"/>
        </w:rPr>
        <w:t>Type</w:t>
      </w:r>
      <w:r>
        <w:rPr>
          <w:color w:val="231F20"/>
          <w:spacing w:val="8"/>
        </w:rPr>
        <w:t> </w:t>
      </w:r>
      <w:r>
        <w:rPr>
          <w:color w:val="231F20"/>
        </w:rPr>
        <w:t>is</w:t>
      </w:r>
      <w:r>
        <w:rPr>
          <w:color w:val="231F20"/>
          <w:spacing w:val="8"/>
        </w:rPr>
        <w:t> </w:t>
      </w:r>
      <w:r>
        <w:rPr>
          <w:color w:val="231F20"/>
        </w:rPr>
        <w:t>a</w:t>
      </w:r>
      <w:r>
        <w:rPr>
          <w:color w:val="231F20"/>
          <w:spacing w:val="9"/>
        </w:rPr>
        <w:t> </w:t>
      </w:r>
      <w:r>
        <w:rPr>
          <w:color w:val="231F20"/>
        </w:rPr>
        <w:t>fixed</w:t>
      </w:r>
      <w:r>
        <w:rPr>
          <w:color w:val="231F20"/>
          <w:spacing w:val="8"/>
        </w:rPr>
        <w:t> </w:t>
      </w:r>
      <w:r>
        <w:rPr>
          <w:color w:val="231F20"/>
        </w:rPr>
        <w:t>list</w:t>
      </w:r>
      <w:r>
        <w:rPr>
          <w:color w:val="231F20"/>
          <w:spacing w:val="8"/>
        </w:rPr>
        <w:t> </w:t>
      </w:r>
      <w:r>
        <w:rPr>
          <w:color w:val="231F20"/>
        </w:rPr>
        <w:t>of</w:t>
      </w:r>
      <w:r>
        <w:rPr>
          <w:color w:val="231F20"/>
          <w:spacing w:val="8"/>
        </w:rPr>
        <w:t> </w:t>
      </w:r>
      <w:r>
        <w:rPr>
          <w:color w:val="231F20"/>
        </w:rPr>
        <w:t>selectable</w:t>
      </w:r>
      <w:r>
        <w:rPr>
          <w:color w:val="231F20"/>
          <w:spacing w:val="9"/>
        </w:rPr>
        <w:t> </w:t>
      </w:r>
      <w:r>
        <w:rPr>
          <w:color w:val="231F20"/>
          <w:spacing w:val="-2"/>
        </w:rPr>
        <w:t>values.</w:t>
      </w:r>
    </w:p>
    <w:p>
      <w:pPr>
        <w:pStyle w:val="BodyText"/>
        <w:spacing w:line="213" w:lineRule="auto" w:before="112"/>
        <w:ind w:left="3190" w:right="385"/>
      </w:pPr>
      <w:r>
        <w:rPr>
          <w:color w:val="231F20"/>
        </w:rPr>
        <w:t>The Value can be a predefined selected value or a user-defined value. The most common options are displayed.</w:t>
      </w:r>
    </w:p>
    <w:p>
      <w:pPr>
        <w:pStyle w:val="BodyText"/>
        <w:spacing w:before="95"/>
        <w:ind w:left="3190"/>
      </w:pPr>
      <w:r>
        <w:rPr>
          <w:color w:val="231F20"/>
        </w:rPr>
        <w:t>See</w:t>
      </w:r>
      <w:r>
        <w:rPr>
          <w:color w:val="231F20"/>
          <w:spacing w:val="10"/>
        </w:rPr>
        <w:t> </w:t>
      </w:r>
      <w:hyperlink w:history="true" w:anchor="_bookmark261">
        <w:r>
          <w:rPr>
            <w:color w:val="231F20"/>
          </w:rPr>
          <w:t>“Request</w:t>
        </w:r>
        <w:r>
          <w:rPr>
            <w:color w:val="231F20"/>
            <w:spacing w:val="11"/>
          </w:rPr>
          <w:t> </w:t>
        </w:r>
        <w:r>
          <w:rPr>
            <w:color w:val="231F20"/>
          </w:rPr>
          <w:t>Parameters”</w:t>
        </w:r>
        <w:r>
          <w:rPr>
            <w:color w:val="231F20"/>
            <w:spacing w:val="10"/>
          </w:rPr>
          <w:t> </w:t>
        </w:r>
        <w:r>
          <w:rPr>
            <w:color w:val="231F20"/>
          </w:rPr>
          <w:t>on</w:t>
        </w:r>
        <w:r>
          <w:rPr>
            <w:color w:val="231F20"/>
            <w:spacing w:val="11"/>
          </w:rPr>
          <w:t> </w:t>
        </w:r>
        <w:r>
          <w:rPr>
            <w:color w:val="231F20"/>
          </w:rPr>
          <w:t>page</w:t>
        </w:r>
        <w:r>
          <w:rPr>
            <w:color w:val="231F20"/>
            <w:spacing w:val="11"/>
          </w:rPr>
          <w:t> </w:t>
        </w:r>
        <w:r>
          <w:rPr>
            <w:color w:val="231F20"/>
          </w:rPr>
          <w:t>350</w:t>
        </w:r>
      </w:hyperlink>
      <w:r>
        <w:rPr>
          <w:color w:val="231F20"/>
          <w:spacing w:val="10"/>
        </w:rPr>
        <w:t> </w:t>
      </w:r>
      <w:r>
        <w:rPr>
          <w:color w:val="231F20"/>
        </w:rPr>
        <w:t>for</w:t>
      </w:r>
      <w:r>
        <w:rPr>
          <w:color w:val="231F20"/>
          <w:spacing w:val="11"/>
        </w:rPr>
        <w:t> </w:t>
      </w:r>
      <w:r>
        <w:rPr>
          <w:color w:val="231F20"/>
        </w:rPr>
        <w:t>more</w:t>
      </w:r>
      <w:r>
        <w:rPr>
          <w:color w:val="231F20"/>
          <w:spacing w:val="11"/>
        </w:rPr>
        <w:t> </w:t>
      </w:r>
      <w:r>
        <w:rPr>
          <w:color w:val="231F20"/>
          <w:spacing w:val="-2"/>
        </w:rPr>
        <w:t>information.</w:t>
      </w:r>
    </w:p>
    <w:p>
      <w:pPr>
        <w:pStyle w:val="Heading6"/>
        <w:spacing w:before="112"/>
      </w:pPr>
      <w:r>
        <w:rPr>
          <w:color w:val="231F20"/>
        </w:rPr>
        <w:t>Insert</w:t>
      </w:r>
      <w:r>
        <w:rPr>
          <w:color w:val="231F20"/>
          <w:spacing w:val="-3"/>
        </w:rPr>
        <w:t> </w:t>
      </w:r>
      <w:r>
        <w:rPr>
          <w:color w:val="231F20"/>
        </w:rPr>
        <w:t>Variable</w:t>
      </w:r>
      <w:r>
        <w:rPr>
          <w:color w:val="231F20"/>
          <w:spacing w:val="-2"/>
        </w:rPr>
        <w:t> </w:t>
      </w:r>
      <w:r>
        <w:rPr>
          <w:color w:val="231F20"/>
          <w:spacing w:val="-4"/>
        </w:rPr>
        <w:t>Data</w:t>
      </w:r>
    </w:p>
    <w:p>
      <w:pPr>
        <w:spacing w:line="213" w:lineRule="auto" w:before="11"/>
        <w:ind w:left="3190" w:right="818" w:firstLine="0"/>
        <w:jc w:val="both"/>
        <w:rPr>
          <w:sz w:val="20"/>
        </w:rPr>
      </w:pPr>
      <w:r>
        <w:rPr>
          <w:color w:val="231F20"/>
          <w:sz w:val="20"/>
        </w:rPr>
        <w:t>Specify </w:t>
      </w:r>
      <w:r>
        <w:rPr>
          <w:rFonts w:ascii="Book Antiqua"/>
          <w:b/>
          <w:color w:val="231F20"/>
          <w:sz w:val="20"/>
        </w:rPr>
        <w:t>Situation Attribute </w:t>
      </w:r>
      <w:r>
        <w:rPr>
          <w:color w:val="231F20"/>
          <w:sz w:val="20"/>
        </w:rPr>
        <w:t>or </w:t>
      </w:r>
      <w:r>
        <w:rPr>
          <w:rFonts w:ascii="Book Antiqua"/>
          <w:b/>
          <w:color w:val="231F20"/>
          <w:sz w:val="20"/>
        </w:rPr>
        <w:t>Other value </w:t>
      </w:r>
      <w:r>
        <w:rPr>
          <w:color w:val="231F20"/>
          <w:sz w:val="20"/>
        </w:rPr>
        <w:t>to substitute data from </w:t>
      </w:r>
      <w:r>
        <w:rPr>
          <w:color w:val="231F20"/>
          <w:sz w:val="20"/>
        </w:rPr>
        <w:t>a preceding situation or On Demand activity.</w:t>
      </w:r>
    </w:p>
    <w:p>
      <w:pPr>
        <w:pStyle w:val="BodyText"/>
        <w:spacing w:line="213" w:lineRule="auto" w:before="118"/>
        <w:ind w:left="3190" w:right="655"/>
        <w:jc w:val="both"/>
      </w:pPr>
      <w:r>
        <w:rPr>
          <w:color w:val="231F20"/>
        </w:rPr>
        <w:t>The </w:t>
      </w:r>
      <w:r>
        <w:rPr>
          <w:rFonts w:ascii="Book Antiqua"/>
          <w:b/>
          <w:color w:val="231F20"/>
        </w:rPr>
        <w:t>Situation Attribute </w:t>
      </w:r>
      <w:r>
        <w:rPr>
          <w:color w:val="231F20"/>
        </w:rPr>
        <w:t>button becomes active if the policy contains </w:t>
      </w:r>
      <w:r>
        <w:rPr>
          <w:color w:val="231F20"/>
        </w:rPr>
        <w:t>a "Wait until a situation is true" activity and you select a row cell under </w:t>
      </w:r>
      <w:r>
        <w:rPr>
          <w:color w:val="231F20"/>
          <w:spacing w:val="-2"/>
        </w:rPr>
        <w:t>Value.</w:t>
      </w:r>
    </w:p>
    <w:p>
      <w:pPr>
        <w:pStyle w:val="BodyText"/>
        <w:spacing w:line="213" w:lineRule="auto" w:before="118"/>
        <w:ind w:left="3190" w:right="385"/>
      </w:pPr>
      <w:r>
        <w:rPr>
          <w:color w:val="231F20"/>
        </w:rPr>
        <w:t>The </w:t>
      </w:r>
      <w:r>
        <w:rPr>
          <w:rFonts w:ascii="Book Antiqua"/>
          <w:b/>
          <w:color w:val="231F20"/>
        </w:rPr>
        <w:t>Other value </w:t>
      </w:r>
      <w:r>
        <w:rPr>
          <w:color w:val="231F20"/>
        </w:rPr>
        <w:t>button becomes active if the user selects a row cell </w:t>
      </w:r>
      <w:r>
        <w:rPr>
          <w:color w:val="231F20"/>
        </w:rPr>
        <w:t>under Value. Selecting this button opens a dialog box that facilitates the substitution of data returned by a preceding On Demand activity, as well</w:t>
      </w:r>
      <w:r>
        <w:rPr>
          <w:color w:val="231F20"/>
          <w:spacing w:val="80"/>
        </w:rPr>
        <w:t> </w:t>
      </w:r>
      <w:r>
        <w:rPr>
          <w:color w:val="231F20"/>
        </w:rPr>
        <w:t>as diagnostic information regarding TADDM activities and On Demand </w:t>
      </w:r>
      <w:r>
        <w:rPr>
          <w:color w:val="231F20"/>
          <w:spacing w:val="-2"/>
        </w:rPr>
        <w:t>activities.</w:t>
      </w:r>
    </w:p>
    <w:p>
      <w:pPr>
        <w:pStyle w:val="Heading6"/>
        <w:spacing w:before="115"/>
      </w:pPr>
      <w:r>
        <w:rPr>
          <w:color w:val="231F20"/>
        </w:rPr>
        <w:t>Request</w:t>
      </w:r>
      <w:r>
        <w:rPr>
          <w:color w:val="231F20"/>
          <w:spacing w:val="8"/>
        </w:rPr>
        <w:t> </w:t>
      </w:r>
      <w:r>
        <w:rPr>
          <w:color w:val="231F20"/>
          <w:spacing w:val="-2"/>
        </w:rPr>
        <w:t>timeout</w:t>
      </w:r>
    </w:p>
    <w:p>
      <w:pPr>
        <w:pStyle w:val="BodyText"/>
        <w:spacing w:line="258" w:lineRule="exact"/>
        <w:ind w:left="3190"/>
      </w:pPr>
      <w:r>
        <w:rPr>
          <w:color w:val="231F20"/>
        </w:rPr>
        <w:t>Select</w:t>
      </w:r>
      <w:r>
        <w:rPr>
          <w:color w:val="231F20"/>
          <w:spacing w:val="11"/>
        </w:rPr>
        <w:t> </w:t>
      </w:r>
      <w:r>
        <w:rPr>
          <w:color w:val="231F20"/>
        </w:rPr>
        <w:t>the</w:t>
      </w:r>
      <w:r>
        <w:rPr>
          <w:color w:val="231F20"/>
          <w:spacing w:val="12"/>
        </w:rPr>
        <w:t> </w:t>
      </w:r>
      <w:r>
        <w:rPr>
          <w:color w:val="231F20"/>
        </w:rPr>
        <w:t>amount</w:t>
      </w:r>
      <w:r>
        <w:rPr>
          <w:color w:val="231F20"/>
          <w:spacing w:val="12"/>
        </w:rPr>
        <w:t> </w:t>
      </w:r>
      <w:r>
        <w:rPr>
          <w:color w:val="231F20"/>
        </w:rPr>
        <w:t>of</w:t>
      </w:r>
      <w:r>
        <w:rPr>
          <w:color w:val="231F20"/>
          <w:spacing w:val="12"/>
        </w:rPr>
        <w:t> </w:t>
      </w:r>
      <w:r>
        <w:rPr>
          <w:color w:val="231F20"/>
        </w:rPr>
        <w:t>time</w:t>
      </w:r>
      <w:r>
        <w:rPr>
          <w:color w:val="231F20"/>
          <w:spacing w:val="12"/>
        </w:rPr>
        <w:t> </w:t>
      </w:r>
      <w:r>
        <w:rPr>
          <w:color w:val="231F20"/>
        </w:rPr>
        <w:t>in</w:t>
      </w:r>
      <w:r>
        <w:rPr>
          <w:color w:val="231F20"/>
          <w:spacing w:val="11"/>
        </w:rPr>
        <w:t> </w:t>
      </w:r>
      <w:r>
        <w:rPr>
          <w:color w:val="231F20"/>
        </w:rPr>
        <w:t>seconds</w:t>
      </w:r>
      <w:r>
        <w:rPr>
          <w:color w:val="231F20"/>
          <w:spacing w:val="12"/>
        </w:rPr>
        <w:t> </w:t>
      </w:r>
      <w:r>
        <w:rPr>
          <w:color w:val="231F20"/>
        </w:rPr>
        <w:t>you</w:t>
      </w:r>
      <w:r>
        <w:rPr>
          <w:color w:val="231F20"/>
          <w:spacing w:val="12"/>
        </w:rPr>
        <w:t> </w:t>
      </w:r>
      <w:r>
        <w:rPr>
          <w:color w:val="231F20"/>
        </w:rPr>
        <w:t>want</w:t>
      </w:r>
      <w:r>
        <w:rPr>
          <w:color w:val="231F20"/>
          <w:spacing w:val="12"/>
        </w:rPr>
        <w:t> </w:t>
      </w:r>
      <w:r>
        <w:rPr>
          <w:color w:val="231F20"/>
        </w:rPr>
        <w:t>to</w:t>
      </w:r>
      <w:r>
        <w:rPr>
          <w:color w:val="231F20"/>
          <w:spacing w:val="12"/>
        </w:rPr>
        <w:t> </w:t>
      </w:r>
      <w:r>
        <w:rPr>
          <w:color w:val="231F20"/>
        </w:rPr>
        <w:t>allow</w:t>
      </w:r>
      <w:r>
        <w:rPr>
          <w:color w:val="231F20"/>
          <w:spacing w:val="12"/>
        </w:rPr>
        <w:t> </w:t>
      </w:r>
      <w:r>
        <w:rPr>
          <w:color w:val="231F20"/>
        </w:rPr>
        <w:t>before</w:t>
      </w:r>
      <w:r>
        <w:rPr>
          <w:color w:val="231F20"/>
          <w:spacing w:val="11"/>
        </w:rPr>
        <w:t> </w:t>
      </w:r>
      <w:r>
        <w:rPr>
          <w:color w:val="231F20"/>
        </w:rPr>
        <w:t>a</w:t>
      </w:r>
      <w:r>
        <w:rPr>
          <w:color w:val="231F20"/>
          <w:spacing w:val="12"/>
        </w:rPr>
        <w:t> </w:t>
      </w:r>
      <w:r>
        <w:rPr>
          <w:color w:val="231F20"/>
          <w:spacing w:val="-2"/>
        </w:rPr>
        <w:t>timeout</w:t>
      </w:r>
    </w:p>
    <w:p>
      <w:pPr>
        <w:spacing w:after="0" w:line="258" w:lineRule="exact"/>
        <w:sectPr>
          <w:pgSz w:w="12240" w:h="15840"/>
          <w:pgMar w:header="0" w:footer="736" w:top="1180" w:bottom="920" w:left="1000" w:right="1060"/>
        </w:sectPr>
      </w:pPr>
    </w:p>
    <w:p>
      <w:pPr>
        <w:pStyle w:val="BodyText"/>
        <w:spacing w:line="213" w:lineRule="auto" w:before="85"/>
        <w:ind w:left="2951" w:right="545"/>
      </w:pPr>
      <w:bookmarkStart w:name="_bookmark256" w:id="527"/>
      <w:bookmarkEnd w:id="527"/>
      <w:r>
        <w:rPr/>
      </w:r>
      <w:r>
        <w:rPr>
          <w:color w:val="231F20"/>
        </w:rPr>
        <w:t>occurs. A timeout occurs when IBM Tivoli Monitoring doesn't receive a response from the TADDM server. Options (in seconds): 5, 10, 15 </w:t>
      </w:r>
      <w:r>
        <w:rPr>
          <w:color w:val="231F20"/>
        </w:rPr>
        <w:t>(default), 30, 45, 60, 90, 120.</w:t>
      </w:r>
    </w:p>
    <w:p>
      <w:pPr>
        <w:pStyle w:val="Heading6"/>
        <w:spacing w:before="116"/>
        <w:ind w:left="2232"/>
      </w:pPr>
      <w:r>
        <w:rPr>
          <w:color w:val="231F20"/>
        </w:rPr>
        <w:t>If</w:t>
      </w:r>
      <w:r>
        <w:rPr>
          <w:color w:val="231F20"/>
          <w:spacing w:val="11"/>
        </w:rPr>
        <w:t> </w:t>
      </w:r>
      <w:r>
        <w:rPr>
          <w:color w:val="231F20"/>
        </w:rPr>
        <w:t>multiple</w:t>
      </w:r>
      <w:r>
        <w:rPr>
          <w:color w:val="231F20"/>
          <w:spacing w:val="12"/>
        </w:rPr>
        <w:t> </w:t>
      </w:r>
      <w:r>
        <w:rPr>
          <w:color w:val="231F20"/>
        </w:rPr>
        <w:t>data</w:t>
      </w:r>
      <w:r>
        <w:rPr>
          <w:color w:val="231F20"/>
          <w:spacing w:val="12"/>
        </w:rPr>
        <w:t> </w:t>
      </w:r>
      <w:r>
        <w:rPr>
          <w:color w:val="231F20"/>
        </w:rPr>
        <w:t>items</w:t>
      </w:r>
      <w:r>
        <w:rPr>
          <w:color w:val="231F20"/>
          <w:spacing w:val="12"/>
        </w:rPr>
        <w:t> </w:t>
      </w:r>
      <w:r>
        <w:rPr>
          <w:color w:val="231F20"/>
        </w:rPr>
        <w:t>are</w:t>
      </w:r>
      <w:r>
        <w:rPr>
          <w:color w:val="231F20"/>
          <w:spacing w:val="11"/>
        </w:rPr>
        <w:t> </w:t>
      </w:r>
      <w:r>
        <w:rPr>
          <w:color w:val="231F20"/>
          <w:spacing w:val="-2"/>
        </w:rPr>
        <w:t>returned</w:t>
      </w:r>
    </w:p>
    <w:p>
      <w:pPr>
        <w:pStyle w:val="BodyText"/>
        <w:spacing w:line="213" w:lineRule="auto" w:before="11"/>
        <w:ind w:left="2951" w:right="493"/>
      </w:pPr>
      <w:r>
        <w:rPr>
          <w:color w:val="231F20"/>
        </w:rPr>
        <w:t>Your selection here controls how this activity behaves if the triggering situation returns multiple rows of data. The selection should be </w:t>
      </w:r>
      <w:r>
        <w:rPr>
          <w:color w:val="231F20"/>
        </w:rPr>
        <w:t>predefined based on the supported monitoring agent.</w:t>
      </w:r>
    </w:p>
    <w:p>
      <w:pPr>
        <w:spacing w:line="213" w:lineRule="auto" w:before="118"/>
        <w:ind w:left="2951" w:right="461" w:firstLine="0"/>
        <w:jc w:val="left"/>
        <w:rPr>
          <w:sz w:val="20"/>
        </w:rPr>
      </w:pPr>
      <w:r>
        <w:rPr>
          <w:color w:val="231F20"/>
          <w:sz w:val="20"/>
        </w:rPr>
        <w:t>If an update request should be sent only for the first situation row, select </w:t>
      </w:r>
      <w:r>
        <w:rPr>
          <w:rFonts w:ascii="Book Antiqua"/>
          <w:b/>
          <w:color w:val="231F20"/>
          <w:sz w:val="20"/>
        </w:rPr>
        <w:t>Execute request once</w:t>
      </w:r>
      <w:r>
        <w:rPr>
          <w:color w:val="231F20"/>
          <w:sz w:val="20"/>
        </w:rPr>
        <w:t>. Otherwise, select </w:t>
      </w:r>
      <w:r>
        <w:rPr>
          <w:rFonts w:ascii="Book Antiqua"/>
          <w:b/>
          <w:color w:val="231F20"/>
          <w:sz w:val="20"/>
        </w:rPr>
        <w:t>Execute request for each row </w:t>
      </w:r>
      <w:r>
        <w:rPr>
          <w:rFonts w:ascii="Book Antiqua"/>
          <w:b/>
          <w:color w:val="231F20"/>
          <w:sz w:val="20"/>
        </w:rPr>
        <w:t>from activity</w:t>
      </w:r>
      <w:r>
        <w:rPr>
          <w:rFonts w:ascii="Book Antiqua"/>
          <w:b/>
          <w:color w:val="231F20"/>
          <w:spacing w:val="28"/>
          <w:sz w:val="20"/>
        </w:rPr>
        <w:t> </w:t>
      </w:r>
      <w:r>
        <w:rPr>
          <w:color w:val="231F20"/>
          <w:sz w:val="20"/>
        </w:rPr>
        <w:t>and</w:t>
      </w:r>
      <w:r>
        <w:rPr>
          <w:color w:val="231F20"/>
          <w:spacing w:val="28"/>
          <w:sz w:val="20"/>
        </w:rPr>
        <w:t> </w:t>
      </w:r>
      <w:r>
        <w:rPr>
          <w:color w:val="231F20"/>
          <w:sz w:val="20"/>
        </w:rPr>
        <w:t>select</w:t>
      </w:r>
      <w:r>
        <w:rPr>
          <w:color w:val="231F20"/>
          <w:spacing w:val="28"/>
          <w:sz w:val="20"/>
        </w:rPr>
        <w:t> </w:t>
      </w:r>
      <w:r>
        <w:rPr>
          <w:color w:val="231F20"/>
          <w:sz w:val="20"/>
        </w:rPr>
        <w:t>either</w:t>
      </w:r>
      <w:r>
        <w:rPr>
          <w:color w:val="231F20"/>
          <w:spacing w:val="28"/>
          <w:sz w:val="20"/>
        </w:rPr>
        <w:t> </w:t>
      </w:r>
      <w:r>
        <w:rPr>
          <w:color w:val="231F20"/>
          <w:sz w:val="20"/>
        </w:rPr>
        <w:t>the</w:t>
      </w:r>
      <w:r>
        <w:rPr>
          <w:color w:val="231F20"/>
          <w:spacing w:val="28"/>
          <w:sz w:val="20"/>
        </w:rPr>
        <w:t> </w:t>
      </w:r>
      <w:r>
        <w:rPr>
          <w:color w:val="231F20"/>
          <w:sz w:val="20"/>
        </w:rPr>
        <w:t>situation</w:t>
      </w:r>
      <w:r>
        <w:rPr>
          <w:color w:val="231F20"/>
          <w:spacing w:val="28"/>
          <w:sz w:val="20"/>
        </w:rPr>
        <w:t> </w:t>
      </w:r>
      <w:r>
        <w:rPr>
          <w:color w:val="231F20"/>
          <w:sz w:val="20"/>
        </w:rPr>
        <w:t>that</w:t>
      </w:r>
      <w:r>
        <w:rPr>
          <w:color w:val="231F20"/>
          <w:spacing w:val="28"/>
          <w:sz w:val="20"/>
        </w:rPr>
        <w:t> </w:t>
      </w:r>
      <w:r>
        <w:rPr>
          <w:color w:val="231F20"/>
          <w:sz w:val="20"/>
        </w:rPr>
        <w:t>triggered</w:t>
      </w:r>
      <w:r>
        <w:rPr>
          <w:color w:val="231F20"/>
          <w:spacing w:val="28"/>
          <w:sz w:val="20"/>
        </w:rPr>
        <w:t> </w:t>
      </w:r>
      <w:r>
        <w:rPr>
          <w:color w:val="231F20"/>
          <w:sz w:val="20"/>
        </w:rPr>
        <w:t>the</w:t>
      </w:r>
      <w:r>
        <w:rPr>
          <w:color w:val="231F20"/>
          <w:spacing w:val="28"/>
          <w:sz w:val="20"/>
        </w:rPr>
        <w:t> </w:t>
      </w:r>
      <w:r>
        <w:rPr>
          <w:color w:val="231F20"/>
          <w:sz w:val="20"/>
        </w:rPr>
        <w:t>workflow</w:t>
      </w:r>
      <w:r>
        <w:rPr>
          <w:color w:val="231F20"/>
          <w:spacing w:val="28"/>
          <w:sz w:val="20"/>
        </w:rPr>
        <w:t> </w:t>
      </w:r>
      <w:r>
        <w:rPr>
          <w:color w:val="231F20"/>
          <w:sz w:val="20"/>
        </w:rPr>
        <w:t>or</w:t>
      </w:r>
      <w:r>
        <w:rPr>
          <w:color w:val="231F20"/>
          <w:spacing w:val="28"/>
          <w:sz w:val="20"/>
        </w:rPr>
        <w:t> </w:t>
      </w:r>
      <w:r>
        <w:rPr>
          <w:color w:val="231F20"/>
          <w:sz w:val="20"/>
        </w:rPr>
        <w:t>the On Demand activity. Ensure the </w:t>
      </w:r>
      <w:r>
        <w:rPr>
          <w:rFonts w:ascii="Book Antiqua"/>
          <w:b/>
          <w:color w:val="231F20"/>
          <w:sz w:val="20"/>
        </w:rPr>
        <w:t>Continue processing rows on failure</w:t>
      </w:r>
      <w:r>
        <w:rPr>
          <w:rFonts w:ascii="Book Antiqua"/>
          <w:b/>
          <w:color w:val="231F20"/>
          <w:spacing w:val="40"/>
          <w:sz w:val="20"/>
        </w:rPr>
        <w:t> </w:t>
      </w:r>
      <w:r>
        <w:rPr>
          <w:color w:val="231F20"/>
          <w:sz w:val="20"/>
        </w:rPr>
        <w:t>option is selected.</w:t>
      </w:r>
    </w:p>
    <w:p>
      <w:pPr>
        <w:pStyle w:val="Heading6"/>
        <w:spacing w:line="240" w:lineRule="auto" w:before="215"/>
        <w:ind w:left="2232"/>
      </w:pPr>
      <w:r>
        <w:rPr>
          <w:color w:val="231F20"/>
        </w:rPr>
        <w:t>On</w:t>
      </w:r>
      <w:r>
        <w:rPr>
          <w:color w:val="231F20"/>
          <w:spacing w:val="10"/>
        </w:rPr>
        <w:t> </w:t>
      </w:r>
      <w:r>
        <w:rPr>
          <w:color w:val="231F20"/>
        </w:rPr>
        <w:t>Demand</w:t>
      </w:r>
      <w:r>
        <w:rPr>
          <w:color w:val="231F20"/>
          <w:spacing w:val="11"/>
        </w:rPr>
        <w:t> </w:t>
      </w:r>
      <w:bookmarkStart w:name="_bookmark255" w:id="528"/>
      <w:bookmarkEnd w:id="528"/>
      <w:r>
        <w:rPr>
          <w:color w:val="231F20"/>
          <w:spacing w:val="-2"/>
        </w:rPr>
        <w:t>Report:</w:t>
      </w:r>
    </w:p>
    <w:p>
      <w:pPr>
        <w:pStyle w:val="BodyText"/>
        <w:spacing w:line="213" w:lineRule="auto" w:before="239"/>
        <w:ind w:left="2232" w:right="385"/>
      </w:pPr>
      <w:r>
        <w:rPr>
          <w:color w:val="231F20"/>
        </w:rPr>
        <w:t>Use the </w:t>
      </w:r>
      <w:r>
        <w:rPr>
          <w:rFonts w:ascii="Book Antiqua"/>
          <w:b/>
          <w:color w:val="231F20"/>
        </w:rPr>
        <w:t>On Demand Report </w:t>
      </w:r>
      <w:r>
        <w:rPr>
          <w:color w:val="231F20"/>
        </w:rPr>
        <w:t>activity to request real-time data from any </w:t>
      </w:r>
      <w:r>
        <w:rPr>
          <w:color w:val="231F20"/>
        </w:rPr>
        <w:t>monitoring agent.</w:t>
      </w:r>
      <w:r>
        <w:rPr>
          <w:color w:val="231F20"/>
          <w:spacing w:val="28"/>
        </w:rPr>
        <w:t> </w:t>
      </w:r>
      <w:r>
        <w:rPr>
          <w:color w:val="231F20"/>
        </w:rPr>
        <w:t>This</w:t>
      </w:r>
      <w:r>
        <w:rPr>
          <w:color w:val="231F20"/>
          <w:spacing w:val="28"/>
        </w:rPr>
        <w:t> </w:t>
      </w:r>
      <w:r>
        <w:rPr>
          <w:color w:val="231F20"/>
        </w:rPr>
        <w:t>activity</w:t>
      </w:r>
      <w:r>
        <w:rPr>
          <w:color w:val="231F20"/>
          <w:spacing w:val="28"/>
        </w:rPr>
        <w:t> </w:t>
      </w:r>
      <w:r>
        <w:rPr>
          <w:color w:val="231F20"/>
        </w:rPr>
        <w:t>is</w:t>
      </w:r>
      <w:r>
        <w:rPr>
          <w:color w:val="231F20"/>
          <w:spacing w:val="28"/>
        </w:rPr>
        <w:t> </w:t>
      </w:r>
      <w:r>
        <w:rPr>
          <w:color w:val="231F20"/>
        </w:rPr>
        <w:t>generally</w:t>
      </w:r>
      <w:r>
        <w:rPr>
          <w:color w:val="231F20"/>
          <w:spacing w:val="28"/>
        </w:rPr>
        <w:t> </w:t>
      </w:r>
      <w:r>
        <w:rPr>
          <w:color w:val="231F20"/>
        </w:rPr>
        <w:t>used</w:t>
      </w:r>
      <w:r>
        <w:rPr>
          <w:color w:val="231F20"/>
          <w:spacing w:val="28"/>
        </w:rPr>
        <w:t> </w:t>
      </w:r>
      <w:r>
        <w:rPr>
          <w:color w:val="231F20"/>
        </w:rPr>
        <w:t>to</w:t>
      </w:r>
      <w:r>
        <w:rPr>
          <w:color w:val="231F20"/>
          <w:spacing w:val="28"/>
        </w:rPr>
        <w:t> </w:t>
      </w:r>
      <w:r>
        <w:rPr>
          <w:color w:val="231F20"/>
        </w:rPr>
        <w:t>retrieve</w:t>
      </w:r>
      <w:r>
        <w:rPr>
          <w:color w:val="231F20"/>
          <w:spacing w:val="28"/>
        </w:rPr>
        <w:t> </w:t>
      </w:r>
      <w:r>
        <w:rPr>
          <w:color w:val="231F20"/>
        </w:rPr>
        <w:t>additional</w:t>
      </w:r>
      <w:r>
        <w:rPr>
          <w:color w:val="231F20"/>
          <w:spacing w:val="28"/>
        </w:rPr>
        <w:t> </w:t>
      </w:r>
      <w:r>
        <w:rPr>
          <w:color w:val="231F20"/>
        </w:rPr>
        <w:t>information</w:t>
      </w:r>
      <w:r>
        <w:rPr>
          <w:color w:val="231F20"/>
          <w:spacing w:val="28"/>
        </w:rPr>
        <w:t> </w:t>
      </w:r>
      <w:r>
        <w:rPr>
          <w:color w:val="231F20"/>
        </w:rPr>
        <w:t>related</w:t>
      </w:r>
      <w:r>
        <w:rPr>
          <w:color w:val="231F20"/>
          <w:spacing w:val="28"/>
        </w:rPr>
        <w:t> </w:t>
      </w:r>
      <w:r>
        <w:rPr>
          <w:color w:val="231F20"/>
        </w:rPr>
        <w:t>to the situation that triggered a workflow.</w:t>
      </w:r>
    </w:p>
    <w:p>
      <w:pPr>
        <w:pStyle w:val="Heading6"/>
        <w:ind w:left="2232"/>
      </w:pPr>
      <w:r>
        <w:rPr>
          <w:color w:val="231F20"/>
        </w:rPr>
        <w:t>ITM</w:t>
      </w:r>
      <w:r>
        <w:rPr>
          <w:color w:val="231F20"/>
          <w:spacing w:val="10"/>
        </w:rPr>
        <w:t> </w:t>
      </w:r>
      <w:r>
        <w:rPr>
          <w:color w:val="231F20"/>
        </w:rPr>
        <w:t>SOAP</w:t>
      </w:r>
      <w:r>
        <w:rPr>
          <w:color w:val="231F20"/>
          <w:spacing w:val="11"/>
        </w:rPr>
        <w:t> </w:t>
      </w:r>
      <w:r>
        <w:rPr>
          <w:color w:val="231F20"/>
        </w:rPr>
        <w:t>Server</w:t>
      </w:r>
      <w:r>
        <w:rPr>
          <w:color w:val="231F20"/>
          <w:spacing w:val="11"/>
        </w:rPr>
        <w:t> </w:t>
      </w:r>
      <w:r>
        <w:rPr>
          <w:color w:val="231F20"/>
          <w:spacing w:val="-5"/>
        </w:rPr>
        <w:t>URL</w:t>
      </w:r>
    </w:p>
    <w:p>
      <w:pPr>
        <w:pStyle w:val="BodyText"/>
        <w:spacing w:line="213" w:lineRule="auto" w:before="11"/>
        <w:ind w:left="2951" w:right="385"/>
      </w:pPr>
      <w:r>
        <w:rPr>
          <w:color w:val="231F20"/>
        </w:rPr>
        <w:t>The default value is </w:t>
      </w:r>
      <w:r>
        <w:rPr>
          <w:rFonts w:ascii="Book Antiqua"/>
          <w:b/>
          <w:color w:val="231F20"/>
        </w:rPr>
        <w:t>Localhost</w:t>
      </w:r>
      <w:r>
        <w:rPr>
          <w:color w:val="231F20"/>
        </w:rPr>
        <w:t>. </w:t>
      </w:r>
      <w:r>
        <w:rPr>
          <w:rFonts w:ascii="Book Antiqua"/>
          <w:b/>
          <w:color w:val="231F20"/>
        </w:rPr>
        <w:t>Protocol </w:t>
      </w:r>
      <w:r>
        <w:rPr>
          <w:color w:val="231F20"/>
        </w:rPr>
        <w:t>options are http (default) or https. Select </w:t>
      </w:r>
      <w:r>
        <w:rPr>
          <w:rFonts w:ascii="Book Antiqua"/>
          <w:b/>
          <w:color w:val="231F20"/>
        </w:rPr>
        <w:t>Localhost </w:t>
      </w:r>
      <w:r>
        <w:rPr>
          <w:color w:val="231F20"/>
        </w:rPr>
        <w:t>or </w:t>
      </w:r>
      <w:r>
        <w:rPr>
          <w:rFonts w:ascii="Book Antiqua"/>
          <w:b/>
          <w:color w:val="231F20"/>
        </w:rPr>
        <w:t>Other</w:t>
      </w:r>
      <w:r>
        <w:rPr>
          <w:color w:val="231F20"/>
        </w:rPr>
        <w:t>. When selecting </w:t>
      </w:r>
      <w:r>
        <w:rPr>
          <w:rFonts w:ascii="Book Antiqua"/>
          <w:b/>
          <w:color w:val="231F20"/>
        </w:rPr>
        <w:t>Other</w:t>
      </w:r>
      <w:r>
        <w:rPr>
          <w:color w:val="231F20"/>
        </w:rPr>
        <w:t>, enter the specific hub monitoring server where the targeted SOAP server is running and to </w:t>
      </w:r>
      <w:r>
        <w:rPr>
          <w:color w:val="231F20"/>
        </w:rPr>
        <w:t>which the On Demand Report will be sent. You must also specify the valid port number used by the SOAP server.</w:t>
      </w:r>
    </w:p>
    <w:p>
      <w:pPr>
        <w:pStyle w:val="Heading6"/>
        <w:spacing w:before="115"/>
        <w:ind w:left="2232"/>
      </w:pPr>
      <w:r>
        <w:rPr>
          <w:color w:val="231F20"/>
          <w:spacing w:val="-2"/>
        </w:rPr>
        <w:t>Application</w:t>
      </w:r>
    </w:p>
    <w:p>
      <w:pPr>
        <w:pStyle w:val="BodyText"/>
        <w:spacing w:line="258" w:lineRule="exact"/>
        <w:ind w:left="2951"/>
      </w:pPr>
      <w:r>
        <w:rPr>
          <w:color w:val="231F20"/>
        </w:rPr>
        <w:t>Select</w:t>
      </w:r>
      <w:r>
        <w:rPr>
          <w:color w:val="231F20"/>
          <w:spacing w:val="-2"/>
        </w:rPr>
        <w:t> </w:t>
      </w:r>
      <w:r>
        <w:rPr>
          <w:color w:val="231F20"/>
        </w:rPr>
        <w:t>the</w:t>
      </w:r>
      <w:r>
        <w:rPr>
          <w:color w:val="231F20"/>
          <w:spacing w:val="-2"/>
        </w:rPr>
        <w:t> </w:t>
      </w:r>
      <w:r>
        <w:rPr>
          <w:color w:val="231F20"/>
        </w:rPr>
        <w:t>application.</w:t>
      </w:r>
      <w:r>
        <w:rPr>
          <w:color w:val="231F20"/>
          <w:spacing w:val="-2"/>
        </w:rPr>
        <w:t> </w:t>
      </w:r>
      <w:r>
        <w:rPr>
          <w:color w:val="231F20"/>
        </w:rPr>
        <w:t>For</w:t>
      </w:r>
      <w:r>
        <w:rPr>
          <w:color w:val="231F20"/>
          <w:spacing w:val="-2"/>
        </w:rPr>
        <w:t> </w:t>
      </w:r>
      <w:r>
        <w:rPr>
          <w:color w:val="231F20"/>
        </w:rPr>
        <w:t>example,</w:t>
      </w:r>
      <w:r>
        <w:rPr>
          <w:color w:val="231F20"/>
          <w:spacing w:val="-2"/>
        </w:rPr>
        <w:t> </w:t>
      </w:r>
      <w:r>
        <w:rPr>
          <w:rFonts w:ascii="Arial"/>
          <w:color w:val="231F20"/>
        </w:rPr>
        <w:t>Windows</w:t>
      </w:r>
      <w:r>
        <w:rPr>
          <w:rFonts w:ascii="Arial"/>
          <w:color w:val="231F20"/>
          <w:spacing w:val="-7"/>
        </w:rPr>
        <w:t> </w:t>
      </w:r>
      <w:r>
        <w:rPr>
          <w:rFonts w:ascii="Arial"/>
          <w:color w:val="231F20"/>
          <w:spacing w:val="-5"/>
        </w:rPr>
        <w:t>OS</w:t>
      </w:r>
      <w:r>
        <w:rPr>
          <w:color w:val="231F20"/>
          <w:spacing w:val="-5"/>
        </w:rPr>
        <w:t>.</w:t>
      </w:r>
    </w:p>
    <w:p>
      <w:pPr>
        <w:pStyle w:val="Heading6"/>
        <w:spacing w:before="111"/>
        <w:ind w:left="2232"/>
      </w:pPr>
      <w:r>
        <w:rPr>
          <w:color w:val="231F20"/>
        </w:rPr>
        <w:t>Attribute</w:t>
      </w:r>
      <w:r>
        <w:rPr>
          <w:color w:val="231F20"/>
          <w:spacing w:val="7"/>
        </w:rPr>
        <w:t> </w:t>
      </w:r>
      <w:r>
        <w:rPr>
          <w:color w:val="231F20"/>
          <w:spacing w:val="-2"/>
        </w:rPr>
        <w:t>Group</w:t>
      </w:r>
    </w:p>
    <w:p>
      <w:pPr>
        <w:pStyle w:val="BodyText"/>
        <w:spacing w:line="213" w:lineRule="auto" w:before="12"/>
        <w:ind w:left="2951" w:right="545"/>
      </w:pPr>
      <w:r>
        <w:rPr>
          <w:color w:val="231F20"/>
        </w:rPr>
        <w:t>Select the attribute group. Your options depend on the application </w:t>
      </w:r>
      <w:r>
        <w:rPr>
          <w:color w:val="231F20"/>
        </w:rPr>
        <w:t>you previously selected.</w:t>
      </w:r>
    </w:p>
    <w:p>
      <w:pPr>
        <w:pStyle w:val="Heading6"/>
        <w:ind w:left="2232"/>
      </w:pPr>
      <w:r>
        <w:rPr>
          <w:color w:val="231F20"/>
        </w:rPr>
        <w:t>Data</w:t>
      </w:r>
      <w:r>
        <w:rPr>
          <w:color w:val="231F20"/>
          <w:spacing w:val="11"/>
        </w:rPr>
        <w:t> </w:t>
      </w:r>
      <w:r>
        <w:rPr>
          <w:color w:val="231F20"/>
          <w:spacing w:val="-2"/>
        </w:rPr>
        <w:t>source</w:t>
      </w:r>
    </w:p>
    <w:p>
      <w:pPr>
        <w:pStyle w:val="BodyText"/>
        <w:spacing w:line="213" w:lineRule="auto" w:before="11"/>
        <w:ind w:left="2951" w:right="545"/>
      </w:pPr>
      <w:r>
        <w:rPr>
          <w:color w:val="231F20"/>
        </w:rPr>
        <w:t>For Automatic, the On Demand Report request is sent to the </w:t>
      </w:r>
      <w:r>
        <w:rPr>
          <w:color w:val="231F20"/>
        </w:rPr>
        <w:t>monitoring agent that triggered the workflow. For Other, you can specify a valid managed system name to which the On Demand Report request will be </w:t>
      </w:r>
      <w:r>
        <w:rPr>
          <w:color w:val="231F20"/>
          <w:spacing w:val="-2"/>
        </w:rPr>
        <w:t>sent.</w:t>
      </w:r>
    </w:p>
    <w:p>
      <w:pPr>
        <w:pStyle w:val="Heading6"/>
        <w:spacing w:before="116"/>
        <w:ind w:left="2232"/>
      </w:pPr>
      <w:r>
        <w:rPr>
          <w:color w:val="231F20"/>
        </w:rPr>
        <w:t>ITM</w:t>
      </w:r>
      <w:r>
        <w:rPr>
          <w:color w:val="231F20"/>
          <w:spacing w:val="11"/>
        </w:rPr>
        <w:t> </w:t>
      </w:r>
      <w:r>
        <w:rPr>
          <w:color w:val="231F20"/>
        </w:rPr>
        <w:t>SOAP</w:t>
      </w:r>
      <w:r>
        <w:rPr>
          <w:color w:val="231F20"/>
          <w:spacing w:val="11"/>
        </w:rPr>
        <w:t> </w:t>
      </w:r>
      <w:r>
        <w:rPr>
          <w:color w:val="231F20"/>
        </w:rPr>
        <w:t>Server</w:t>
      </w:r>
      <w:r>
        <w:rPr>
          <w:color w:val="231F20"/>
          <w:spacing w:val="11"/>
        </w:rPr>
        <w:t> </w:t>
      </w:r>
      <w:r>
        <w:rPr>
          <w:color w:val="231F20"/>
        </w:rPr>
        <w:t>User</w:t>
      </w:r>
      <w:r>
        <w:rPr>
          <w:color w:val="231F20"/>
          <w:spacing w:val="11"/>
        </w:rPr>
        <w:t> </w:t>
      </w:r>
      <w:r>
        <w:rPr>
          <w:color w:val="231F20"/>
          <w:spacing w:val="-2"/>
        </w:rPr>
        <w:t>Credentials</w:t>
      </w:r>
    </w:p>
    <w:p>
      <w:pPr>
        <w:pStyle w:val="BodyText"/>
        <w:spacing w:line="213" w:lineRule="auto" w:before="11"/>
        <w:ind w:left="2951" w:right="545"/>
      </w:pPr>
      <w:r>
        <w:rPr>
          <w:color w:val="231F20"/>
        </w:rPr>
        <w:t>Enter the user name and password to access the ITM SOAP server. Credentials are required if authentication is enabled at the hub </w:t>
      </w:r>
      <w:r>
        <w:rPr>
          <w:color w:val="231F20"/>
        </w:rPr>
        <w:t>monitoring server where the targeted SOAP server is running.</w:t>
      </w:r>
    </w:p>
    <w:p>
      <w:pPr>
        <w:pStyle w:val="Heading6"/>
        <w:ind w:left="2232"/>
      </w:pPr>
      <w:r>
        <w:rPr>
          <w:color w:val="231F20"/>
          <w:spacing w:val="-2"/>
        </w:rPr>
        <w:t>Attributes</w:t>
      </w:r>
    </w:p>
    <w:p>
      <w:pPr>
        <w:pStyle w:val="BodyText"/>
        <w:spacing w:line="213" w:lineRule="auto" w:before="11"/>
        <w:ind w:left="2951" w:right="545"/>
      </w:pPr>
      <w:r>
        <w:rPr>
          <w:color w:val="231F20"/>
        </w:rPr>
        <w:t>Select the attributes you want to be returned in the report. You must select as least one attribute.</w:t>
      </w:r>
    </w:p>
    <w:p>
      <w:pPr>
        <w:pStyle w:val="BodyText"/>
        <w:tabs>
          <w:tab w:pos="2951" w:val="left" w:leader="none"/>
        </w:tabs>
        <w:spacing w:line="213" w:lineRule="auto" w:before="119"/>
        <w:ind w:left="2951" w:right="700" w:hanging="719"/>
      </w:pPr>
      <w:r>
        <w:rPr>
          <w:rFonts w:ascii="Book Antiqua"/>
          <w:b/>
          <w:color w:val="231F20"/>
          <w:spacing w:val="-2"/>
        </w:rPr>
        <w:t>Filter</w:t>
      </w:r>
      <w:r>
        <w:rPr>
          <w:rFonts w:ascii="Book Antiqua"/>
          <w:b/>
          <w:color w:val="231F20"/>
        </w:rPr>
        <w:tab/>
      </w:r>
      <w:r>
        <w:rPr>
          <w:color w:val="231F20"/>
        </w:rPr>
        <w:t>Add optional filters to the report. The report returns only rows that meet the filter criteria.</w:t>
      </w:r>
    </w:p>
    <w:p>
      <w:pPr>
        <w:spacing w:line="213" w:lineRule="auto" w:before="118"/>
        <w:ind w:left="2951" w:right="545" w:firstLine="0"/>
        <w:jc w:val="left"/>
        <w:rPr>
          <w:sz w:val="20"/>
        </w:rPr>
      </w:pPr>
      <w:r>
        <w:rPr>
          <w:color w:val="231F20"/>
          <w:sz w:val="20"/>
        </w:rPr>
        <w:t>The </w:t>
      </w:r>
      <w:r>
        <w:rPr>
          <w:rFonts w:ascii="Book Antiqua"/>
          <w:b/>
          <w:color w:val="231F20"/>
          <w:sz w:val="20"/>
        </w:rPr>
        <w:t>Attribute </w:t>
      </w:r>
      <w:r>
        <w:rPr>
          <w:color w:val="231F20"/>
          <w:sz w:val="20"/>
        </w:rPr>
        <w:t>element is a list of attributes based on the selected </w:t>
      </w:r>
      <w:r>
        <w:rPr>
          <w:rFonts w:ascii="Book Antiqua"/>
          <w:b/>
          <w:color w:val="231F20"/>
          <w:sz w:val="20"/>
        </w:rPr>
        <w:t>Attribute </w:t>
      </w:r>
      <w:r>
        <w:rPr>
          <w:rFonts w:ascii="Book Antiqua"/>
          <w:b/>
          <w:color w:val="231F20"/>
          <w:spacing w:val="-2"/>
          <w:sz w:val="20"/>
        </w:rPr>
        <w:t>Group</w:t>
      </w:r>
      <w:r>
        <w:rPr>
          <w:color w:val="231F20"/>
          <w:spacing w:val="-2"/>
          <w:sz w:val="20"/>
        </w:rPr>
        <w:t>.</w:t>
      </w:r>
    </w:p>
    <w:p>
      <w:pPr>
        <w:pStyle w:val="BodyText"/>
        <w:spacing w:line="213" w:lineRule="auto" w:before="118"/>
        <w:ind w:left="2951" w:right="545"/>
      </w:pPr>
      <w:r>
        <w:rPr>
          <w:color w:val="231F20"/>
        </w:rPr>
        <w:t>The supported operator values are Equal to, Not equal to, Less than, </w:t>
      </w:r>
      <w:r>
        <w:rPr>
          <w:color w:val="231F20"/>
        </w:rPr>
        <w:t>Less than or equal to, Greater than or equal to, Greater than, and Like. For the Like operator, the '*' character matches one or more characters. Only supported for text attributes.</w:t>
      </w:r>
    </w:p>
    <w:p>
      <w:pPr>
        <w:spacing w:after="0" w:line="213" w:lineRule="auto"/>
        <w:sectPr>
          <w:pgSz w:w="12240" w:h="15840"/>
          <w:pgMar w:header="0" w:footer="736" w:top="1180" w:bottom="920" w:left="1000" w:right="1060"/>
        </w:sectPr>
      </w:pPr>
    </w:p>
    <w:p>
      <w:pPr>
        <w:pStyle w:val="BodyText"/>
        <w:spacing w:line="213" w:lineRule="auto" w:before="85"/>
        <w:ind w:left="3190" w:right="493"/>
      </w:pPr>
      <w:bookmarkStart w:name="_bookmark257" w:id="529"/>
      <w:bookmarkEnd w:id="529"/>
      <w:r>
        <w:rPr/>
      </w:r>
      <w:r>
        <w:rPr>
          <w:color w:val="231F20"/>
        </w:rPr>
        <w:t>The </w:t>
      </w:r>
      <w:r>
        <w:rPr>
          <w:rFonts w:ascii="Book Antiqua"/>
          <w:b/>
          <w:color w:val="231F20"/>
        </w:rPr>
        <w:t>Value </w:t>
      </w:r>
      <w:r>
        <w:rPr>
          <w:color w:val="231F20"/>
        </w:rPr>
        <w:t>element can be a hard-coded literal or the substitution of an attribute or value returned by a preceding Wait On Situation or On Demand activity.</w:t>
      </w:r>
    </w:p>
    <w:p>
      <w:pPr>
        <w:pStyle w:val="BodyText"/>
        <w:spacing w:line="213" w:lineRule="auto" w:before="117"/>
        <w:ind w:left="3190"/>
      </w:pPr>
      <w:r>
        <w:rPr>
          <w:color w:val="231F20"/>
        </w:rPr>
        <w:t>Multiple filters are supported as conjuncts, for example, using AND to </w:t>
      </w:r>
      <w:r>
        <w:rPr>
          <w:color w:val="231F20"/>
        </w:rPr>
        <w:t>join </w:t>
      </w:r>
      <w:r>
        <w:rPr>
          <w:color w:val="231F20"/>
          <w:spacing w:val="-2"/>
        </w:rPr>
        <w:t>together.</w:t>
      </w:r>
    </w:p>
    <w:p>
      <w:pPr>
        <w:pStyle w:val="Heading6"/>
        <w:spacing w:before="118"/>
      </w:pPr>
      <w:r>
        <w:rPr>
          <w:color w:val="231F20"/>
        </w:rPr>
        <w:t>Insert</w:t>
      </w:r>
      <w:r>
        <w:rPr>
          <w:color w:val="231F20"/>
          <w:spacing w:val="-3"/>
        </w:rPr>
        <w:t> </w:t>
      </w:r>
      <w:r>
        <w:rPr>
          <w:color w:val="231F20"/>
        </w:rPr>
        <w:t>Variable</w:t>
      </w:r>
      <w:r>
        <w:rPr>
          <w:color w:val="231F20"/>
          <w:spacing w:val="-2"/>
        </w:rPr>
        <w:t> </w:t>
      </w:r>
      <w:r>
        <w:rPr>
          <w:color w:val="231F20"/>
          <w:spacing w:val="-4"/>
        </w:rPr>
        <w:t>Data</w:t>
      </w:r>
    </w:p>
    <w:p>
      <w:pPr>
        <w:spacing w:line="213" w:lineRule="auto" w:before="11"/>
        <w:ind w:left="3190" w:right="818" w:firstLine="0"/>
        <w:jc w:val="both"/>
        <w:rPr>
          <w:sz w:val="20"/>
        </w:rPr>
      </w:pPr>
      <w:r>
        <w:rPr>
          <w:color w:val="231F20"/>
          <w:sz w:val="20"/>
        </w:rPr>
        <w:t>Specify </w:t>
      </w:r>
      <w:r>
        <w:rPr>
          <w:rFonts w:ascii="Book Antiqua"/>
          <w:b/>
          <w:color w:val="231F20"/>
          <w:sz w:val="20"/>
        </w:rPr>
        <w:t>Situation Attribute </w:t>
      </w:r>
      <w:r>
        <w:rPr>
          <w:color w:val="231F20"/>
          <w:sz w:val="20"/>
        </w:rPr>
        <w:t>or </w:t>
      </w:r>
      <w:r>
        <w:rPr>
          <w:rFonts w:ascii="Book Antiqua"/>
          <w:b/>
          <w:color w:val="231F20"/>
          <w:sz w:val="20"/>
        </w:rPr>
        <w:t>Other value </w:t>
      </w:r>
      <w:r>
        <w:rPr>
          <w:color w:val="231F20"/>
          <w:sz w:val="20"/>
        </w:rPr>
        <w:t>to substitute data from </w:t>
      </w:r>
      <w:r>
        <w:rPr>
          <w:color w:val="231F20"/>
          <w:sz w:val="20"/>
        </w:rPr>
        <w:t>a preceding situation or On Demand activity.</w:t>
      </w:r>
    </w:p>
    <w:p>
      <w:pPr>
        <w:pStyle w:val="BodyText"/>
        <w:spacing w:line="213" w:lineRule="auto" w:before="118"/>
        <w:ind w:left="3190" w:right="655"/>
        <w:jc w:val="both"/>
      </w:pPr>
      <w:r>
        <w:rPr>
          <w:color w:val="231F20"/>
        </w:rPr>
        <w:t>The </w:t>
      </w:r>
      <w:r>
        <w:rPr>
          <w:rFonts w:ascii="Book Antiqua"/>
          <w:b/>
          <w:color w:val="231F20"/>
        </w:rPr>
        <w:t>Situation Attribute </w:t>
      </w:r>
      <w:r>
        <w:rPr>
          <w:color w:val="231F20"/>
        </w:rPr>
        <w:t>button becomes active if the policy contains </w:t>
      </w:r>
      <w:r>
        <w:rPr>
          <w:color w:val="231F20"/>
        </w:rPr>
        <w:t>a "Wait until a situation is true" activity and you select a row cell under </w:t>
      </w:r>
      <w:r>
        <w:rPr>
          <w:color w:val="231F20"/>
          <w:spacing w:val="-2"/>
        </w:rPr>
        <w:t>Value.</w:t>
      </w:r>
    </w:p>
    <w:p>
      <w:pPr>
        <w:pStyle w:val="BodyText"/>
        <w:spacing w:line="213" w:lineRule="auto" w:before="118"/>
        <w:ind w:left="3190" w:right="385"/>
      </w:pPr>
      <w:r>
        <w:rPr>
          <w:color w:val="231F20"/>
        </w:rPr>
        <w:t>The </w:t>
      </w:r>
      <w:r>
        <w:rPr>
          <w:rFonts w:ascii="Book Antiqua"/>
          <w:b/>
          <w:color w:val="231F20"/>
        </w:rPr>
        <w:t>Other value </w:t>
      </w:r>
      <w:r>
        <w:rPr>
          <w:color w:val="231F20"/>
        </w:rPr>
        <w:t>button becomes active if the user selects a row cell </w:t>
      </w:r>
      <w:r>
        <w:rPr>
          <w:color w:val="231F20"/>
        </w:rPr>
        <w:t>under Value. Selecting this button opens a dialog box that facilitates the substitution of data returned by a preceding On Demand activity, as well</w:t>
      </w:r>
      <w:r>
        <w:rPr>
          <w:color w:val="231F20"/>
          <w:spacing w:val="80"/>
        </w:rPr>
        <w:t> </w:t>
      </w:r>
      <w:r>
        <w:rPr>
          <w:color w:val="231F20"/>
        </w:rPr>
        <w:t>as diagnostic information regarding TADDM activities and On Demand </w:t>
      </w:r>
      <w:r>
        <w:rPr>
          <w:color w:val="231F20"/>
          <w:spacing w:val="-2"/>
        </w:rPr>
        <w:t>activities.</w:t>
      </w:r>
    </w:p>
    <w:p>
      <w:pPr>
        <w:pStyle w:val="Heading6"/>
        <w:spacing w:before="115"/>
      </w:pPr>
      <w:r>
        <w:rPr>
          <w:color w:val="231F20"/>
        </w:rPr>
        <w:t>Request</w:t>
      </w:r>
      <w:r>
        <w:rPr>
          <w:color w:val="231F20"/>
          <w:spacing w:val="8"/>
        </w:rPr>
        <w:t> </w:t>
      </w:r>
      <w:r>
        <w:rPr>
          <w:color w:val="231F20"/>
          <w:spacing w:val="-2"/>
        </w:rPr>
        <w:t>timeout</w:t>
      </w:r>
    </w:p>
    <w:p>
      <w:pPr>
        <w:pStyle w:val="BodyText"/>
        <w:spacing w:line="213" w:lineRule="auto" w:before="11"/>
        <w:ind w:left="3190" w:right="258"/>
      </w:pPr>
      <w:r>
        <w:rPr>
          <w:color w:val="231F20"/>
        </w:rPr>
        <w:t>Select the amount of time in seconds you want to allow before a timeout occurs. A timeout occurs when IBM Tivoli Monitoring doesn't receive a response from the SOAP server. Options (in seconds): 5, 10, 15 (default), </w:t>
      </w:r>
      <w:r>
        <w:rPr>
          <w:color w:val="231F20"/>
        </w:rPr>
        <w:t>30,</w:t>
      </w:r>
    </w:p>
    <w:p>
      <w:pPr>
        <w:pStyle w:val="BodyText"/>
        <w:spacing w:line="245" w:lineRule="exact"/>
        <w:ind w:left="3190"/>
      </w:pPr>
      <w:r>
        <w:rPr>
          <w:color w:val="231F20"/>
        </w:rPr>
        <w:t>45,</w:t>
      </w:r>
      <w:r>
        <w:rPr>
          <w:color w:val="231F20"/>
          <w:spacing w:val="13"/>
        </w:rPr>
        <w:t> </w:t>
      </w:r>
      <w:r>
        <w:rPr>
          <w:color w:val="231F20"/>
        </w:rPr>
        <w:t>60,</w:t>
      </w:r>
      <w:r>
        <w:rPr>
          <w:color w:val="231F20"/>
          <w:spacing w:val="14"/>
        </w:rPr>
        <w:t> </w:t>
      </w:r>
      <w:r>
        <w:rPr>
          <w:color w:val="231F20"/>
        </w:rPr>
        <w:t>90,</w:t>
      </w:r>
      <w:r>
        <w:rPr>
          <w:color w:val="231F20"/>
          <w:spacing w:val="13"/>
        </w:rPr>
        <w:t> </w:t>
      </w:r>
      <w:r>
        <w:rPr>
          <w:color w:val="231F20"/>
          <w:spacing w:val="-4"/>
        </w:rPr>
        <w:t>120.</w:t>
      </w:r>
    </w:p>
    <w:p>
      <w:pPr>
        <w:pStyle w:val="Heading6"/>
        <w:spacing w:before="112"/>
      </w:pPr>
      <w:r>
        <w:rPr>
          <w:color w:val="231F20"/>
        </w:rPr>
        <w:t>If</w:t>
      </w:r>
      <w:r>
        <w:rPr>
          <w:color w:val="231F20"/>
          <w:spacing w:val="11"/>
        </w:rPr>
        <w:t> </w:t>
      </w:r>
      <w:r>
        <w:rPr>
          <w:color w:val="231F20"/>
        </w:rPr>
        <w:t>multiple</w:t>
      </w:r>
      <w:r>
        <w:rPr>
          <w:color w:val="231F20"/>
          <w:spacing w:val="12"/>
        </w:rPr>
        <w:t> </w:t>
      </w:r>
      <w:r>
        <w:rPr>
          <w:color w:val="231F20"/>
        </w:rPr>
        <w:t>data</w:t>
      </w:r>
      <w:r>
        <w:rPr>
          <w:color w:val="231F20"/>
          <w:spacing w:val="12"/>
        </w:rPr>
        <w:t> </w:t>
      </w:r>
      <w:r>
        <w:rPr>
          <w:color w:val="231F20"/>
        </w:rPr>
        <w:t>items</w:t>
      </w:r>
      <w:r>
        <w:rPr>
          <w:color w:val="231F20"/>
          <w:spacing w:val="12"/>
        </w:rPr>
        <w:t> </w:t>
      </w:r>
      <w:r>
        <w:rPr>
          <w:color w:val="231F20"/>
        </w:rPr>
        <w:t>are</w:t>
      </w:r>
      <w:r>
        <w:rPr>
          <w:color w:val="231F20"/>
          <w:spacing w:val="11"/>
        </w:rPr>
        <w:t> </w:t>
      </w:r>
      <w:r>
        <w:rPr>
          <w:color w:val="231F20"/>
          <w:spacing w:val="-2"/>
        </w:rPr>
        <w:t>returned</w:t>
      </w:r>
    </w:p>
    <w:p>
      <w:pPr>
        <w:pStyle w:val="BodyText"/>
        <w:spacing w:line="213" w:lineRule="auto" w:before="11"/>
        <w:ind w:left="3190" w:right="258"/>
      </w:pPr>
      <w:r>
        <w:rPr>
          <w:color w:val="231F20"/>
        </w:rPr>
        <w:t>Your selection here controls how this activity behaves if the triggering situation returns multiple rows of data. The selection should be </w:t>
      </w:r>
      <w:r>
        <w:rPr>
          <w:color w:val="231F20"/>
        </w:rPr>
        <w:t>predefined based on the supported monitoring agent.</w:t>
      </w:r>
    </w:p>
    <w:p>
      <w:pPr>
        <w:spacing w:line="213" w:lineRule="auto" w:before="118"/>
        <w:ind w:left="3190" w:right="202" w:firstLine="0"/>
        <w:jc w:val="left"/>
        <w:rPr>
          <w:sz w:val="20"/>
        </w:rPr>
      </w:pPr>
      <w:r>
        <w:rPr>
          <w:color w:val="231F20"/>
          <w:sz w:val="20"/>
        </w:rPr>
        <w:t>If an update request should be sent only for the first situation row, select </w:t>
      </w:r>
      <w:r>
        <w:rPr>
          <w:rFonts w:ascii="Book Antiqua"/>
          <w:b/>
          <w:color w:val="231F20"/>
          <w:sz w:val="20"/>
        </w:rPr>
        <w:t>Execute request once</w:t>
      </w:r>
      <w:r>
        <w:rPr>
          <w:color w:val="231F20"/>
          <w:sz w:val="20"/>
        </w:rPr>
        <w:t>. Otherwise, select </w:t>
      </w:r>
      <w:r>
        <w:rPr>
          <w:rFonts w:ascii="Book Antiqua"/>
          <w:b/>
          <w:color w:val="231F20"/>
          <w:sz w:val="20"/>
        </w:rPr>
        <w:t>Execute request for each row </w:t>
      </w:r>
      <w:r>
        <w:rPr>
          <w:rFonts w:ascii="Book Antiqua"/>
          <w:b/>
          <w:color w:val="231F20"/>
          <w:sz w:val="20"/>
        </w:rPr>
        <w:t>from activity</w:t>
      </w:r>
      <w:r>
        <w:rPr>
          <w:rFonts w:ascii="Book Antiqua"/>
          <w:b/>
          <w:color w:val="231F20"/>
          <w:spacing w:val="28"/>
          <w:sz w:val="20"/>
        </w:rPr>
        <w:t> </w:t>
      </w:r>
      <w:r>
        <w:rPr>
          <w:color w:val="231F20"/>
          <w:sz w:val="20"/>
        </w:rPr>
        <w:t>and</w:t>
      </w:r>
      <w:r>
        <w:rPr>
          <w:color w:val="231F20"/>
          <w:spacing w:val="28"/>
          <w:sz w:val="20"/>
        </w:rPr>
        <w:t> </w:t>
      </w:r>
      <w:r>
        <w:rPr>
          <w:color w:val="231F20"/>
          <w:sz w:val="20"/>
        </w:rPr>
        <w:t>select</w:t>
      </w:r>
      <w:r>
        <w:rPr>
          <w:color w:val="231F20"/>
          <w:spacing w:val="28"/>
          <w:sz w:val="20"/>
        </w:rPr>
        <w:t> </w:t>
      </w:r>
      <w:r>
        <w:rPr>
          <w:color w:val="231F20"/>
          <w:sz w:val="20"/>
        </w:rPr>
        <w:t>either</w:t>
      </w:r>
      <w:r>
        <w:rPr>
          <w:color w:val="231F20"/>
          <w:spacing w:val="28"/>
          <w:sz w:val="20"/>
        </w:rPr>
        <w:t> </w:t>
      </w:r>
      <w:r>
        <w:rPr>
          <w:color w:val="231F20"/>
          <w:sz w:val="20"/>
        </w:rPr>
        <w:t>the</w:t>
      </w:r>
      <w:r>
        <w:rPr>
          <w:color w:val="231F20"/>
          <w:spacing w:val="28"/>
          <w:sz w:val="20"/>
        </w:rPr>
        <w:t> </w:t>
      </w:r>
      <w:r>
        <w:rPr>
          <w:color w:val="231F20"/>
          <w:sz w:val="20"/>
        </w:rPr>
        <w:t>situation</w:t>
      </w:r>
      <w:r>
        <w:rPr>
          <w:color w:val="231F20"/>
          <w:spacing w:val="28"/>
          <w:sz w:val="20"/>
        </w:rPr>
        <w:t> </w:t>
      </w:r>
      <w:r>
        <w:rPr>
          <w:color w:val="231F20"/>
          <w:sz w:val="20"/>
        </w:rPr>
        <w:t>that</w:t>
      </w:r>
      <w:r>
        <w:rPr>
          <w:color w:val="231F20"/>
          <w:spacing w:val="28"/>
          <w:sz w:val="20"/>
        </w:rPr>
        <w:t> </w:t>
      </w:r>
      <w:r>
        <w:rPr>
          <w:color w:val="231F20"/>
          <w:sz w:val="20"/>
        </w:rPr>
        <w:t>triggered</w:t>
      </w:r>
      <w:r>
        <w:rPr>
          <w:color w:val="231F20"/>
          <w:spacing w:val="28"/>
          <w:sz w:val="20"/>
        </w:rPr>
        <w:t> </w:t>
      </w:r>
      <w:r>
        <w:rPr>
          <w:color w:val="231F20"/>
          <w:sz w:val="20"/>
        </w:rPr>
        <w:t>the</w:t>
      </w:r>
      <w:r>
        <w:rPr>
          <w:color w:val="231F20"/>
          <w:spacing w:val="28"/>
          <w:sz w:val="20"/>
        </w:rPr>
        <w:t> </w:t>
      </w:r>
      <w:r>
        <w:rPr>
          <w:color w:val="231F20"/>
          <w:sz w:val="20"/>
        </w:rPr>
        <w:t>workflow</w:t>
      </w:r>
      <w:r>
        <w:rPr>
          <w:color w:val="231F20"/>
          <w:spacing w:val="28"/>
          <w:sz w:val="20"/>
        </w:rPr>
        <w:t> </w:t>
      </w:r>
      <w:r>
        <w:rPr>
          <w:color w:val="231F20"/>
          <w:sz w:val="20"/>
        </w:rPr>
        <w:t>or</w:t>
      </w:r>
      <w:r>
        <w:rPr>
          <w:color w:val="231F20"/>
          <w:spacing w:val="28"/>
          <w:sz w:val="20"/>
        </w:rPr>
        <w:t> </w:t>
      </w:r>
      <w:r>
        <w:rPr>
          <w:color w:val="231F20"/>
          <w:sz w:val="20"/>
        </w:rPr>
        <w:t>the On Demand activity. Ensure the </w:t>
      </w:r>
      <w:r>
        <w:rPr>
          <w:rFonts w:ascii="Book Antiqua"/>
          <w:b/>
          <w:color w:val="231F20"/>
          <w:sz w:val="20"/>
        </w:rPr>
        <w:t>Continue processing rows on failure</w:t>
      </w:r>
      <w:r>
        <w:rPr>
          <w:rFonts w:ascii="Book Antiqua"/>
          <w:b/>
          <w:color w:val="231F20"/>
          <w:spacing w:val="40"/>
          <w:sz w:val="20"/>
        </w:rPr>
        <w:t> </w:t>
      </w:r>
      <w:r>
        <w:rPr>
          <w:color w:val="231F20"/>
          <w:sz w:val="20"/>
        </w:rPr>
        <w:t>option is selected.</w:t>
      </w:r>
    </w:p>
    <w:p>
      <w:pPr>
        <w:pStyle w:val="Heading6"/>
        <w:spacing w:line="240" w:lineRule="auto" w:before="215"/>
      </w:pPr>
      <w:r>
        <w:rPr>
          <w:color w:val="231F20"/>
          <w:spacing w:val="-2"/>
        </w:rPr>
        <w:t>Value</w:t>
      </w:r>
      <w:r>
        <w:rPr>
          <w:color w:val="231F20"/>
          <w:spacing w:val="-3"/>
        </w:rPr>
        <w:t> </w:t>
      </w:r>
      <w:r>
        <w:rPr>
          <w:color w:val="231F20"/>
          <w:spacing w:val="-2"/>
        </w:rPr>
        <w:t>Substitution:</w:t>
      </w:r>
    </w:p>
    <w:p>
      <w:pPr>
        <w:pStyle w:val="BodyText"/>
        <w:spacing w:line="213" w:lineRule="auto" w:before="239"/>
        <w:ind w:left="2472" w:right="545"/>
      </w:pPr>
      <w:r>
        <w:rPr>
          <w:color w:val="231F20"/>
        </w:rPr>
        <w:t>When you are using </w:t>
      </w:r>
      <w:r>
        <w:rPr>
          <w:rFonts w:ascii="Book Antiqua"/>
          <w:b/>
          <w:color w:val="231F20"/>
        </w:rPr>
        <w:t>Other value </w:t>
      </w:r>
      <w:r>
        <w:rPr>
          <w:color w:val="231F20"/>
        </w:rPr>
        <w:t>data substitution, the following options </w:t>
      </w:r>
      <w:r>
        <w:rPr>
          <w:color w:val="231F20"/>
        </w:rPr>
        <w:t>are </w:t>
      </w:r>
      <w:r>
        <w:rPr>
          <w:color w:val="231F20"/>
          <w:spacing w:val="-2"/>
        </w:rPr>
        <w:t>available.</w:t>
      </w:r>
    </w:p>
    <w:p>
      <w:pPr>
        <w:pStyle w:val="BodyText"/>
        <w:spacing w:before="215"/>
        <w:ind w:left="2472"/>
      </w:pPr>
      <w:r>
        <w:rPr>
          <w:color w:val="231F20"/>
        </w:rPr>
        <w:t>The</w:t>
      </w:r>
      <w:r>
        <w:rPr>
          <w:color w:val="231F20"/>
          <w:spacing w:val="10"/>
        </w:rPr>
        <w:t> </w:t>
      </w:r>
      <w:r>
        <w:rPr>
          <w:color w:val="231F20"/>
        </w:rPr>
        <w:t>default</w:t>
      </w:r>
      <w:r>
        <w:rPr>
          <w:color w:val="231F20"/>
          <w:spacing w:val="11"/>
        </w:rPr>
        <w:t> </w:t>
      </w:r>
      <w:r>
        <w:rPr>
          <w:color w:val="231F20"/>
        </w:rPr>
        <w:t>substitution</w:t>
      </w:r>
      <w:r>
        <w:rPr>
          <w:color w:val="231F20"/>
          <w:spacing w:val="11"/>
        </w:rPr>
        <w:t> </w:t>
      </w:r>
      <w:r>
        <w:rPr>
          <w:color w:val="231F20"/>
        </w:rPr>
        <w:t>values</w:t>
      </w:r>
      <w:r>
        <w:rPr>
          <w:color w:val="231F20"/>
          <w:spacing w:val="10"/>
        </w:rPr>
        <w:t> </w:t>
      </w:r>
      <w:r>
        <w:rPr>
          <w:color w:val="231F20"/>
        </w:rPr>
        <w:t>are</w:t>
      </w:r>
      <w:r>
        <w:rPr>
          <w:color w:val="231F20"/>
          <w:spacing w:val="11"/>
        </w:rPr>
        <w:t> </w:t>
      </w:r>
      <w:r>
        <w:rPr>
          <w:color w:val="231F20"/>
        </w:rPr>
        <w:t>for</w:t>
      </w:r>
      <w:r>
        <w:rPr>
          <w:color w:val="231F20"/>
          <w:spacing w:val="11"/>
        </w:rPr>
        <w:t> </w:t>
      </w:r>
      <w:r>
        <w:rPr>
          <w:color w:val="231F20"/>
        </w:rPr>
        <w:t>an</w:t>
      </w:r>
      <w:r>
        <w:rPr>
          <w:color w:val="231F20"/>
          <w:spacing w:val="10"/>
        </w:rPr>
        <w:t> </w:t>
      </w:r>
      <w:r>
        <w:rPr>
          <w:color w:val="231F20"/>
        </w:rPr>
        <w:t>On</w:t>
      </w:r>
      <w:r>
        <w:rPr>
          <w:color w:val="231F20"/>
          <w:spacing w:val="11"/>
        </w:rPr>
        <w:t> </w:t>
      </w:r>
      <w:r>
        <w:rPr>
          <w:color w:val="231F20"/>
        </w:rPr>
        <w:t>Demand</w:t>
      </w:r>
      <w:r>
        <w:rPr>
          <w:color w:val="231F20"/>
          <w:spacing w:val="11"/>
        </w:rPr>
        <w:t> </w:t>
      </w:r>
      <w:r>
        <w:rPr>
          <w:color w:val="231F20"/>
          <w:spacing w:val="-2"/>
        </w:rPr>
        <w:t>activity.</w:t>
      </w:r>
    </w:p>
    <w:p>
      <w:pPr>
        <w:pStyle w:val="Heading6"/>
        <w:spacing w:before="111"/>
      </w:pPr>
      <w:r>
        <w:rPr>
          <w:color w:val="231F20"/>
        </w:rPr>
        <w:t>Substitution</w:t>
      </w:r>
      <w:r>
        <w:rPr>
          <w:color w:val="231F20"/>
          <w:spacing w:val="4"/>
        </w:rPr>
        <w:t> </w:t>
      </w:r>
      <w:r>
        <w:rPr>
          <w:color w:val="231F20"/>
          <w:spacing w:val="-4"/>
        </w:rPr>
        <w:t>type</w:t>
      </w:r>
    </w:p>
    <w:p>
      <w:pPr>
        <w:pStyle w:val="BodyText"/>
        <w:spacing w:line="258" w:lineRule="exact"/>
        <w:ind w:left="3190"/>
      </w:pPr>
      <w:r>
        <w:rPr>
          <w:color w:val="231F20"/>
        </w:rPr>
        <w:t>Your</w:t>
      </w:r>
      <w:r>
        <w:rPr>
          <w:color w:val="231F20"/>
          <w:spacing w:val="6"/>
        </w:rPr>
        <w:t> </w:t>
      </w:r>
      <w:r>
        <w:rPr>
          <w:color w:val="231F20"/>
        </w:rPr>
        <w:t>selection</w:t>
      </w:r>
      <w:r>
        <w:rPr>
          <w:color w:val="231F20"/>
          <w:spacing w:val="6"/>
        </w:rPr>
        <w:t> </w:t>
      </w:r>
      <w:r>
        <w:rPr>
          <w:color w:val="231F20"/>
        </w:rPr>
        <w:t>here</w:t>
      </w:r>
      <w:r>
        <w:rPr>
          <w:color w:val="231F20"/>
          <w:spacing w:val="7"/>
        </w:rPr>
        <w:t> </w:t>
      </w:r>
      <w:r>
        <w:rPr>
          <w:color w:val="231F20"/>
        </w:rPr>
        <w:t>dynamically</w:t>
      </w:r>
      <w:r>
        <w:rPr>
          <w:color w:val="231F20"/>
          <w:spacing w:val="6"/>
        </w:rPr>
        <w:t> </w:t>
      </w:r>
      <w:r>
        <w:rPr>
          <w:color w:val="231F20"/>
        </w:rPr>
        <w:t>changes</w:t>
      </w:r>
      <w:r>
        <w:rPr>
          <w:color w:val="231F20"/>
          <w:spacing w:val="6"/>
        </w:rPr>
        <w:t> </w:t>
      </w:r>
      <w:r>
        <w:rPr>
          <w:color w:val="231F20"/>
        </w:rPr>
        <w:t>the</w:t>
      </w:r>
      <w:r>
        <w:rPr>
          <w:color w:val="231F20"/>
          <w:spacing w:val="7"/>
        </w:rPr>
        <w:t> </w:t>
      </w:r>
      <w:r>
        <w:rPr>
          <w:color w:val="231F20"/>
        </w:rPr>
        <w:t>window</w:t>
      </w:r>
      <w:r>
        <w:rPr>
          <w:color w:val="231F20"/>
          <w:spacing w:val="6"/>
        </w:rPr>
        <w:t> </w:t>
      </w:r>
      <w:r>
        <w:rPr>
          <w:color w:val="231F20"/>
          <w:spacing w:val="-2"/>
        </w:rPr>
        <w:t>options.</w:t>
      </w:r>
    </w:p>
    <w:p>
      <w:pPr>
        <w:pStyle w:val="BodyText"/>
        <w:spacing w:before="89"/>
        <w:ind w:left="3190"/>
      </w:pPr>
      <w:r>
        <w:rPr>
          <w:rFonts w:ascii="Book Antiqua"/>
          <w:b/>
          <w:color w:val="231F20"/>
        </w:rPr>
        <w:t>Value</w:t>
      </w:r>
      <w:r>
        <w:rPr>
          <w:color w:val="231F20"/>
        </w:rPr>
        <w:t>:</w:t>
      </w:r>
      <w:r>
        <w:rPr>
          <w:color w:val="231F20"/>
          <w:spacing w:val="9"/>
        </w:rPr>
        <w:t> </w:t>
      </w:r>
      <w:r>
        <w:rPr>
          <w:color w:val="231F20"/>
        </w:rPr>
        <w:t>Use</w:t>
      </w:r>
      <w:r>
        <w:rPr>
          <w:color w:val="231F20"/>
          <w:spacing w:val="9"/>
        </w:rPr>
        <w:t> </w:t>
      </w:r>
      <w:r>
        <w:rPr>
          <w:color w:val="231F20"/>
        </w:rPr>
        <w:t>this</w:t>
      </w:r>
      <w:r>
        <w:rPr>
          <w:color w:val="231F20"/>
          <w:spacing w:val="9"/>
        </w:rPr>
        <w:t> </w:t>
      </w:r>
      <w:r>
        <w:rPr>
          <w:color w:val="231F20"/>
        </w:rPr>
        <w:t>type</w:t>
      </w:r>
      <w:r>
        <w:rPr>
          <w:color w:val="231F20"/>
          <w:spacing w:val="10"/>
        </w:rPr>
        <w:t> </w:t>
      </w:r>
      <w:r>
        <w:rPr>
          <w:color w:val="231F20"/>
        </w:rPr>
        <w:t>to</w:t>
      </w:r>
      <w:r>
        <w:rPr>
          <w:color w:val="231F20"/>
          <w:spacing w:val="9"/>
        </w:rPr>
        <w:t> </w:t>
      </w:r>
      <w:r>
        <w:rPr>
          <w:color w:val="231F20"/>
        </w:rPr>
        <w:t>substitute</w:t>
      </w:r>
      <w:r>
        <w:rPr>
          <w:color w:val="231F20"/>
          <w:spacing w:val="9"/>
        </w:rPr>
        <w:t> </w:t>
      </w:r>
      <w:r>
        <w:rPr>
          <w:color w:val="231F20"/>
        </w:rPr>
        <w:t>data</w:t>
      </w:r>
      <w:r>
        <w:rPr>
          <w:color w:val="231F20"/>
          <w:spacing w:val="10"/>
        </w:rPr>
        <w:t> </w:t>
      </w:r>
      <w:r>
        <w:rPr>
          <w:color w:val="231F20"/>
        </w:rPr>
        <w:t>returned</w:t>
      </w:r>
      <w:r>
        <w:rPr>
          <w:color w:val="231F20"/>
          <w:spacing w:val="9"/>
        </w:rPr>
        <w:t> </w:t>
      </w:r>
      <w:r>
        <w:rPr>
          <w:color w:val="231F20"/>
        </w:rPr>
        <w:t>by</w:t>
      </w:r>
      <w:r>
        <w:rPr>
          <w:color w:val="231F20"/>
          <w:spacing w:val="9"/>
        </w:rPr>
        <w:t> </w:t>
      </w:r>
      <w:r>
        <w:rPr>
          <w:color w:val="231F20"/>
        </w:rPr>
        <w:t>an</w:t>
      </w:r>
      <w:r>
        <w:rPr>
          <w:color w:val="231F20"/>
          <w:spacing w:val="10"/>
        </w:rPr>
        <w:t> </w:t>
      </w:r>
      <w:r>
        <w:rPr>
          <w:color w:val="231F20"/>
        </w:rPr>
        <w:t>On</w:t>
      </w:r>
      <w:r>
        <w:rPr>
          <w:color w:val="231F20"/>
          <w:spacing w:val="9"/>
        </w:rPr>
        <w:t> </w:t>
      </w:r>
      <w:r>
        <w:rPr>
          <w:color w:val="231F20"/>
        </w:rPr>
        <w:t>Demand</w:t>
      </w:r>
      <w:r>
        <w:rPr>
          <w:color w:val="231F20"/>
          <w:spacing w:val="9"/>
        </w:rPr>
        <w:t> </w:t>
      </w:r>
      <w:r>
        <w:rPr>
          <w:color w:val="231F20"/>
          <w:spacing w:val="-2"/>
        </w:rPr>
        <w:t>activity.</w:t>
      </w:r>
    </w:p>
    <w:p>
      <w:pPr>
        <w:pStyle w:val="BodyText"/>
        <w:spacing w:before="90"/>
        <w:ind w:left="3190"/>
      </w:pPr>
      <w:r>
        <w:rPr>
          <w:rFonts w:ascii="Book Antiqua"/>
          <w:b/>
          <w:color w:val="231F20"/>
        </w:rPr>
        <w:t>Diagnosis</w:t>
      </w:r>
      <w:r>
        <w:rPr>
          <w:color w:val="231F20"/>
        </w:rPr>
        <w:t>:</w:t>
      </w:r>
      <w:r>
        <w:rPr>
          <w:color w:val="231F20"/>
          <w:spacing w:val="10"/>
        </w:rPr>
        <w:t> </w:t>
      </w:r>
      <w:r>
        <w:rPr>
          <w:color w:val="231F20"/>
        </w:rPr>
        <w:t>Use</w:t>
      </w:r>
      <w:r>
        <w:rPr>
          <w:color w:val="231F20"/>
          <w:spacing w:val="10"/>
        </w:rPr>
        <w:t> </w:t>
      </w:r>
      <w:r>
        <w:rPr>
          <w:color w:val="231F20"/>
        </w:rPr>
        <w:t>this</w:t>
      </w:r>
      <w:r>
        <w:rPr>
          <w:color w:val="231F20"/>
          <w:spacing w:val="11"/>
        </w:rPr>
        <w:t> </w:t>
      </w:r>
      <w:r>
        <w:rPr>
          <w:color w:val="231F20"/>
        </w:rPr>
        <w:t>type</w:t>
      </w:r>
      <w:r>
        <w:rPr>
          <w:color w:val="231F20"/>
          <w:spacing w:val="10"/>
        </w:rPr>
        <w:t> </w:t>
      </w:r>
      <w:r>
        <w:rPr>
          <w:color w:val="231F20"/>
        </w:rPr>
        <w:t>to</w:t>
      </w:r>
      <w:r>
        <w:rPr>
          <w:color w:val="231F20"/>
          <w:spacing w:val="11"/>
        </w:rPr>
        <w:t> </w:t>
      </w:r>
      <w:r>
        <w:rPr>
          <w:color w:val="231F20"/>
        </w:rPr>
        <w:t>substitute</w:t>
      </w:r>
      <w:r>
        <w:rPr>
          <w:color w:val="231F20"/>
          <w:spacing w:val="10"/>
        </w:rPr>
        <w:t> </w:t>
      </w:r>
      <w:r>
        <w:rPr>
          <w:color w:val="231F20"/>
        </w:rPr>
        <w:t>diagnosis</w:t>
      </w:r>
      <w:r>
        <w:rPr>
          <w:color w:val="231F20"/>
          <w:spacing w:val="10"/>
        </w:rPr>
        <w:t> </w:t>
      </w:r>
      <w:r>
        <w:rPr>
          <w:color w:val="231F20"/>
          <w:spacing w:val="-4"/>
        </w:rPr>
        <w:t>data.</w:t>
      </w:r>
    </w:p>
    <w:p>
      <w:pPr>
        <w:pStyle w:val="BodyText"/>
        <w:spacing w:before="89"/>
        <w:ind w:left="3190"/>
      </w:pPr>
      <w:r>
        <w:rPr>
          <w:rFonts w:ascii="Book Antiqua"/>
          <w:b/>
          <w:color w:val="231F20"/>
        </w:rPr>
        <w:t>Other</w:t>
      </w:r>
      <w:r>
        <w:rPr>
          <w:color w:val="231F20"/>
        </w:rPr>
        <w:t>:</w:t>
      </w:r>
      <w:r>
        <w:rPr>
          <w:color w:val="231F20"/>
          <w:spacing w:val="11"/>
        </w:rPr>
        <w:t> </w:t>
      </w:r>
      <w:r>
        <w:rPr>
          <w:color w:val="231F20"/>
        </w:rPr>
        <w:t>Use</w:t>
      </w:r>
      <w:r>
        <w:rPr>
          <w:color w:val="231F20"/>
          <w:spacing w:val="11"/>
        </w:rPr>
        <w:t> </w:t>
      </w:r>
      <w:r>
        <w:rPr>
          <w:color w:val="231F20"/>
        </w:rPr>
        <w:t>this</w:t>
      </w:r>
      <w:r>
        <w:rPr>
          <w:color w:val="231F20"/>
          <w:spacing w:val="11"/>
        </w:rPr>
        <w:t> </w:t>
      </w:r>
      <w:r>
        <w:rPr>
          <w:color w:val="231F20"/>
        </w:rPr>
        <w:t>type</w:t>
      </w:r>
      <w:r>
        <w:rPr>
          <w:color w:val="231F20"/>
          <w:spacing w:val="11"/>
        </w:rPr>
        <w:t> </w:t>
      </w:r>
      <w:r>
        <w:rPr>
          <w:color w:val="231F20"/>
        </w:rPr>
        <w:t>to</w:t>
      </w:r>
      <w:r>
        <w:rPr>
          <w:color w:val="231F20"/>
          <w:spacing w:val="11"/>
        </w:rPr>
        <w:t> </w:t>
      </w:r>
      <w:r>
        <w:rPr>
          <w:color w:val="231F20"/>
        </w:rPr>
        <w:t>substitute</w:t>
      </w:r>
      <w:r>
        <w:rPr>
          <w:color w:val="231F20"/>
          <w:spacing w:val="11"/>
        </w:rPr>
        <w:t> </w:t>
      </w:r>
      <w:r>
        <w:rPr>
          <w:color w:val="231F20"/>
        </w:rPr>
        <w:t>other</w:t>
      </w:r>
      <w:r>
        <w:rPr>
          <w:color w:val="231F20"/>
          <w:spacing w:val="11"/>
        </w:rPr>
        <w:t> </w:t>
      </w:r>
      <w:r>
        <w:rPr>
          <w:color w:val="231F20"/>
        </w:rPr>
        <w:t>values</w:t>
      </w:r>
      <w:r>
        <w:rPr>
          <w:color w:val="231F20"/>
          <w:spacing w:val="12"/>
        </w:rPr>
        <w:t> </w:t>
      </w:r>
      <w:r>
        <w:rPr>
          <w:color w:val="231F20"/>
        </w:rPr>
        <w:t>from</w:t>
      </w:r>
      <w:r>
        <w:rPr>
          <w:color w:val="231F20"/>
          <w:spacing w:val="11"/>
        </w:rPr>
        <w:t> </w:t>
      </w:r>
      <w:r>
        <w:rPr>
          <w:color w:val="231F20"/>
        </w:rPr>
        <w:t>the</w:t>
      </w:r>
      <w:r>
        <w:rPr>
          <w:color w:val="231F20"/>
          <w:spacing w:val="11"/>
        </w:rPr>
        <w:t> </w:t>
      </w:r>
      <w:r>
        <w:rPr>
          <w:color w:val="231F20"/>
        </w:rPr>
        <w:t>active</w:t>
      </w:r>
      <w:r>
        <w:rPr>
          <w:color w:val="231F20"/>
          <w:spacing w:val="11"/>
        </w:rPr>
        <w:t> </w:t>
      </w:r>
      <w:r>
        <w:rPr>
          <w:color w:val="231F20"/>
          <w:spacing w:val="-2"/>
        </w:rPr>
        <w:t>policy.</w:t>
      </w:r>
    </w:p>
    <w:p>
      <w:pPr>
        <w:pStyle w:val="Heading6"/>
        <w:spacing w:before="111"/>
      </w:pPr>
      <w:r>
        <w:rPr>
          <w:color w:val="231F20"/>
        </w:rPr>
        <w:t>Web</w:t>
      </w:r>
      <w:r>
        <w:rPr>
          <w:color w:val="231F20"/>
          <w:spacing w:val="2"/>
        </w:rPr>
        <w:t> </w:t>
      </w:r>
      <w:r>
        <w:rPr>
          <w:color w:val="231F20"/>
        </w:rPr>
        <w:t>Services</w:t>
      </w:r>
      <w:r>
        <w:rPr>
          <w:color w:val="231F20"/>
          <w:spacing w:val="3"/>
        </w:rPr>
        <w:t> </w:t>
      </w:r>
      <w:r>
        <w:rPr>
          <w:color w:val="231F20"/>
          <w:spacing w:val="-2"/>
        </w:rPr>
        <w:t>Activity</w:t>
      </w:r>
    </w:p>
    <w:p>
      <w:pPr>
        <w:pStyle w:val="BodyText"/>
        <w:spacing w:line="213" w:lineRule="auto" w:before="12"/>
        <w:ind w:left="3190"/>
      </w:pPr>
      <w:r>
        <w:rPr>
          <w:color w:val="231F20"/>
        </w:rPr>
        <w:t>Displays when </w:t>
      </w:r>
      <w:r>
        <w:rPr>
          <w:rFonts w:ascii="Book Antiqua"/>
          <w:b/>
          <w:color w:val="231F20"/>
        </w:rPr>
        <w:t>Value </w:t>
      </w:r>
      <w:r>
        <w:rPr>
          <w:color w:val="231F20"/>
        </w:rPr>
        <w:t>and </w:t>
      </w:r>
      <w:r>
        <w:rPr>
          <w:rFonts w:ascii="Book Antiqua"/>
          <w:b/>
          <w:color w:val="231F20"/>
        </w:rPr>
        <w:t>Diagnosis </w:t>
      </w:r>
      <w:r>
        <w:rPr>
          <w:color w:val="231F20"/>
        </w:rPr>
        <w:t>are selected as the substitution </w:t>
      </w:r>
      <w:r>
        <w:rPr>
          <w:color w:val="231F20"/>
        </w:rPr>
        <w:t>type. Select the appropriate activity from the drop-down list.</w:t>
      </w:r>
    </w:p>
    <w:p>
      <w:pPr>
        <w:pStyle w:val="Heading6"/>
      </w:pPr>
      <w:r>
        <w:rPr>
          <w:color w:val="231F20"/>
          <w:spacing w:val="-2"/>
        </w:rPr>
        <w:t>Value</w:t>
      </w:r>
      <w:r>
        <w:rPr>
          <w:color w:val="231F20"/>
          <w:spacing w:val="-3"/>
        </w:rPr>
        <w:t> </w:t>
      </w:r>
      <w:r>
        <w:rPr>
          <w:color w:val="231F20"/>
          <w:spacing w:val="-4"/>
        </w:rPr>
        <w:t>Type</w:t>
      </w:r>
    </w:p>
    <w:p>
      <w:pPr>
        <w:pStyle w:val="BodyText"/>
        <w:spacing w:line="213" w:lineRule="auto" w:before="11"/>
        <w:ind w:left="3190" w:right="916" w:hanging="1"/>
        <w:jc w:val="both"/>
      </w:pPr>
      <w:r>
        <w:rPr>
          <w:color w:val="231F20"/>
        </w:rPr>
        <w:t>Displays only when </w:t>
      </w:r>
      <w:r>
        <w:rPr>
          <w:rFonts w:ascii="Book Antiqua"/>
          <w:b/>
          <w:color w:val="231F20"/>
        </w:rPr>
        <w:t>Value </w:t>
      </w:r>
      <w:r>
        <w:rPr>
          <w:color w:val="231F20"/>
        </w:rPr>
        <w:t>is selected as the substitution type. Your selection here dynamically changes the window options.</w:t>
      </w:r>
    </w:p>
    <w:p>
      <w:pPr>
        <w:spacing w:after="0" w:line="213" w:lineRule="auto"/>
        <w:jc w:val="both"/>
        <w:sectPr>
          <w:pgSz w:w="12240" w:h="15840"/>
          <w:pgMar w:header="0" w:footer="736" w:top="1180" w:bottom="920" w:left="1000" w:right="1060"/>
        </w:sectPr>
      </w:pPr>
    </w:p>
    <w:p>
      <w:pPr>
        <w:pStyle w:val="BodyText"/>
        <w:spacing w:line="213" w:lineRule="auto" w:before="85"/>
        <w:ind w:left="2951" w:right="545"/>
      </w:pPr>
      <w:bookmarkStart w:name="_bookmark259" w:id="530"/>
      <w:bookmarkEnd w:id="530"/>
      <w:r>
        <w:rPr/>
      </w:r>
      <w:r>
        <w:rPr>
          <w:rFonts w:ascii="Book Antiqua"/>
          <w:b/>
          <w:color w:val="231F20"/>
        </w:rPr>
        <w:t>On Demand attribute</w:t>
      </w:r>
      <w:r>
        <w:rPr>
          <w:color w:val="231F20"/>
        </w:rPr>
        <w:t>: Use this type to substitute an attribute from an </w:t>
      </w:r>
      <w:r>
        <w:rPr>
          <w:color w:val="231F20"/>
        </w:rPr>
        <w:t>On Demand activity. In the </w:t>
      </w:r>
      <w:r>
        <w:rPr>
          <w:rFonts w:ascii="Book Antiqua"/>
          <w:b/>
          <w:color w:val="231F20"/>
        </w:rPr>
        <w:t>Attribute name </w:t>
      </w:r>
      <w:r>
        <w:rPr>
          <w:color w:val="231F20"/>
        </w:rPr>
        <w:t>field, specify the name of the attribute returned by the On Demand activity.</w:t>
      </w:r>
    </w:p>
    <w:p>
      <w:pPr>
        <w:pStyle w:val="BodyText"/>
        <w:spacing w:line="213" w:lineRule="auto" w:before="57"/>
        <w:ind w:left="3250" w:right="1037"/>
      </w:pPr>
      <w:r>
        <w:rPr>
          <w:rFonts w:ascii="Book Antiqua"/>
          <w:b/>
          <w:color w:val="231F20"/>
        </w:rPr>
        <w:t>Note: </w:t>
      </w:r>
      <w:r>
        <w:rPr>
          <w:color w:val="231F20"/>
        </w:rPr>
        <w:t>Leave out any non-alphanumeric characters and replace </w:t>
      </w:r>
      <w:r>
        <w:rPr>
          <w:color w:val="231F20"/>
        </w:rPr>
        <w:t>all spaces with underscores (_). If an attribute name begins with a non-alphanumeric character followed by a space, omit both. For</w:t>
      </w:r>
    </w:p>
    <w:p>
      <w:pPr>
        <w:pStyle w:val="BodyText"/>
        <w:spacing w:line="213" w:lineRule="auto"/>
        <w:ind w:left="3250" w:right="636"/>
      </w:pPr>
      <w:r>
        <w:rPr>
          <w:color w:val="231F20"/>
          <w:w w:val="95"/>
        </w:rPr>
        <w:t>example,</w:t>
      </w:r>
      <w:r>
        <w:rPr>
          <w:color w:val="231F20"/>
          <w:spacing w:val="17"/>
        </w:rPr>
        <w:t> </w:t>
      </w:r>
      <w:r>
        <w:rPr>
          <w:rFonts w:ascii="Arial"/>
          <w:color w:val="231F20"/>
          <w:w w:val="95"/>
        </w:rPr>
        <w:t>% User Time </w:t>
      </w:r>
      <w:r>
        <w:rPr>
          <w:color w:val="231F20"/>
          <w:w w:val="95"/>
        </w:rPr>
        <w:t>is</w:t>
      </w:r>
      <w:r>
        <w:rPr>
          <w:color w:val="231F20"/>
          <w:spacing w:val="17"/>
        </w:rPr>
        <w:t> </w:t>
      </w:r>
      <w:r>
        <w:rPr>
          <w:color w:val="231F20"/>
          <w:w w:val="95"/>
        </w:rPr>
        <w:t>entered</w:t>
      </w:r>
      <w:r>
        <w:rPr>
          <w:color w:val="231F20"/>
          <w:spacing w:val="17"/>
        </w:rPr>
        <w:t> </w:t>
      </w:r>
      <w:r>
        <w:rPr>
          <w:color w:val="231F20"/>
          <w:w w:val="95"/>
        </w:rPr>
        <w:t>as</w:t>
      </w:r>
      <w:r>
        <w:rPr>
          <w:color w:val="231F20"/>
          <w:spacing w:val="17"/>
        </w:rPr>
        <w:t> </w:t>
      </w:r>
      <w:r>
        <w:rPr>
          <w:rFonts w:ascii="Arial"/>
          <w:color w:val="231F20"/>
          <w:w w:val="95"/>
        </w:rPr>
        <w:t>User_Time </w:t>
      </w:r>
      <w:r>
        <w:rPr>
          <w:color w:val="231F20"/>
          <w:w w:val="95"/>
        </w:rPr>
        <w:t>and</w:t>
      </w:r>
      <w:r>
        <w:rPr>
          <w:color w:val="231F20"/>
          <w:spacing w:val="17"/>
        </w:rPr>
        <w:t> </w:t>
      </w:r>
      <w:r>
        <w:rPr>
          <w:rFonts w:ascii="Arial"/>
          <w:color w:val="231F20"/>
          <w:w w:val="95"/>
        </w:rPr>
        <w:t>Avg % Processor Time </w:t>
      </w:r>
      <w:r>
        <w:rPr>
          <w:color w:val="231F20"/>
          <w:w w:val="95"/>
        </w:rPr>
        <w:t>is entered as </w:t>
      </w:r>
      <w:r>
        <w:rPr>
          <w:rFonts w:ascii="Arial"/>
          <w:color w:val="231F20"/>
          <w:w w:val="95"/>
        </w:rPr>
        <w:t>Avg</w:t>
      </w:r>
      <w:r>
        <w:rPr>
          <w:rFonts w:ascii="Times New Roman"/>
          <w:color w:val="231F20"/>
          <w:spacing w:val="80"/>
          <w:u w:val="single" w:color="221E1F"/>
        </w:rPr>
        <w:t> </w:t>
      </w:r>
      <w:r>
        <w:rPr>
          <w:rFonts w:ascii="Arial"/>
          <w:color w:val="231F20"/>
          <w:w w:val="95"/>
          <w:u w:val="none"/>
        </w:rPr>
        <w:t>Processor_Time</w:t>
      </w:r>
      <w:r>
        <w:rPr>
          <w:color w:val="231F20"/>
          <w:w w:val="95"/>
          <w:u w:val="none"/>
        </w:rPr>
        <w:t>.</w:t>
      </w:r>
    </w:p>
    <w:p>
      <w:pPr>
        <w:pStyle w:val="BodyText"/>
        <w:spacing w:line="213" w:lineRule="auto" w:before="117"/>
        <w:ind w:left="2951" w:right="636"/>
      </w:pPr>
      <w:r>
        <w:rPr>
          <w:rFonts w:ascii="Book Antiqua"/>
          <w:b/>
          <w:color w:val="231F20"/>
        </w:rPr>
        <w:t>XML element</w:t>
      </w:r>
      <w:r>
        <w:rPr>
          <w:color w:val="231F20"/>
        </w:rPr>
        <w:t>: Use this type to substitute XML data. Fill out the now visible </w:t>
      </w:r>
      <w:r>
        <w:rPr>
          <w:rFonts w:ascii="Book Antiqua"/>
          <w:b/>
          <w:color w:val="231F20"/>
        </w:rPr>
        <w:t>Element substitution </w:t>
      </w:r>
      <w:r>
        <w:rPr>
          <w:color w:val="231F20"/>
        </w:rPr>
        <w:t>section providing the appropriate </w:t>
      </w:r>
      <w:r>
        <w:rPr>
          <w:color w:val="231F20"/>
        </w:rPr>
        <w:t>attribute and XML data. Typically this is not used.</w:t>
      </w:r>
    </w:p>
    <w:p>
      <w:pPr>
        <w:pStyle w:val="Heading6"/>
        <w:spacing w:before="116"/>
        <w:ind w:left="2232"/>
      </w:pPr>
      <w:r>
        <w:rPr>
          <w:color w:val="231F20"/>
        </w:rPr>
        <w:t>Diagnosis</w:t>
      </w:r>
      <w:r>
        <w:rPr>
          <w:color w:val="231F20"/>
          <w:spacing w:val="6"/>
        </w:rPr>
        <w:t> </w:t>
      </w:r>
      <w:r>
        <w:rPr>
          <w:color w:val="231F20"/>
          <w:spacing w:val="-4"/>
        </w:rPr>
        <w:t>type</w:t>
      </w:r>
    </w:p>
    <w:p>
      <w:pPr>
        <w:pStyle w:val="BodyText"/>
        <w:spacing w:line="213" w:lineRule="auto" w:before="12"/>
        <w:ind w:left="2951" w:right="545"/>
      </w:pPr>
      <w:r>
        <w:rPr>
          <w:color w:val="231F20"/>
        </w:rPr>
        <w:t>Displays when </w:t>
      </w:r>
      <w:r>
        <w:rPr>
          <w:rFonts w:ascii="Book Antiqua"/>
          <w:b/>
          <w:color w:val="231F20"/>
        </w:rPr>
        <w:t>Diagnosis </w:t>
      </w:r>
      <w:r>
        <w:rPr>
          <w:color w:val="231F20"/>
        </w:rPr>
        <w:t>is selected as the substitution type. Select one </w:t>
      </w:r>
      <w:r>
        <w:rPr>
          <w:color w:val="231F20"/>
        </w:rPr>
        <w:t>of the following options:</w:t>
      </w:r>
    </w:p>
    <w:p>
      <w:pPr>
        <w:pStyle w:val="BodyText"/>
        <w:spacing w:line="213" w:lineRule="auto" w:before="118"/>
        <w:ind w:left="2951" w:right="545"/>
      </w:pPr>
      <w:r>
        <w:rPr>
          <w:rFonts w:ascii="Book Antiqua"/>
          <w:b/>
          <w:color w:val="231F20"/>
        </w:rPr>
        <w:t>Request</w:t>
      </w:r>
      <w:r>
        <w:rPr>
          <w:color w:val="231F20"/>
        </w:rPr>
        <w:t>: Use when you want the content of the request sent by </w:t>
      </w:r>
      <w:r>
        <w:rPr>
          <w:color w:val="231F20"/>
        </w:rPr>
        <w:t>the specified Web Services Activity.</w:t>
      </w:r>
    </w:p>
    <w:p>
      <w:pPr>
        <w:spacing w:line="213" w:lineRule="auto" w:before="118"/>
        <w:ind w:left="2951" w:right="545" w:firstLine="0"/>
        <w:jc w:val="left"/>
        <w:rPr>
          <w:sz w:val="20"/>
        </w:rPr>
      </w:pPr>
      <w:r>
        <w:rPr>
          <w:rFonts w:ascii="Book Antiqua"/>
          <w:b/>
          <w:color w:val="231F20"/>
          <w:sz w:val="20"/>
        </w:rPr>
        <w:t>Response</w:t>
      </w:r>
      <w:r>
        <w:rPr>
          <w:color w:val="231F20"/>
          <w:sz w:val="20"/>
        </w:rPr>
        <w:t>: Use when you want the response returned by the request. No response is available for the </w:t>
      </w:r>
      <w:r>
        <w:rPr>
          <w:rFonts w:ascii="Book Antiqua"/>
          <w:b/>
          <w:color w:val="231F20"/>
          <w:sz w:val="20"/>
        </w:rPr>
        <w:t>Configure Tivoli Application Dependency Discovery Manager Integration </w:t>
      </w:r>
      <w:r>
        <w:rPr>
          <w:color w:val="231F20"/>
          <w:sz w:val="20"/>
        </w:rPr>
        <w:t>activity or the </w:t>
      </w:r>
      <w:r>
        <w:rPr>
          <w:rFonts w:ascii="Book Antiqua"/>
          <w:b/>
          <w:color w:val="231F20"/>
          <w:sz w:val="20"/>
        </w:rPr>
        <w:t>Send a Tivoli Application Dependency Discovery Manager Update </w:t>
      </w:r>
      <w:r>
        <w:rPr>
          <w:color w:val="231F20"/>
          <w:sz w:val="20"/>
        </w:rPr>
        <w:t>activity; N/A is returned if </w:t>
      </w:r>
      <w:r>
        <w:rPr>
          <w:color w:val="231F20"/>
          <w:sz w:val="20"/>
        </w:rPr>
        <w:t>these activities are selected as the web service.</w:t>
      </w:r>
    </w:p>
    <w:p>
      <w:pPr>
        <w:pStyle w:val="BodyText"/>
        <w:spacing w:before="94"/>
        <w:ind w:left="2951"/>
      </w:pPr>
      <w:r>
        <w:rPr>
          <w:rFonts w:ascii="Book Antiqua"/>
          <w:b/>
          <w:color w:val="231F20"/>
        </w:rPr>
        <w:t>Status</w:t>
      </w:r>
      <w:r>
        <w:rPr>
          <w:color w:val="231F20"/>
        </w:rPr>
        <w:t>:</w:t>
      </w:r>
      <w:r>
        <w:rPr>
          <w:color w:val="231F20"/>
          <w:spacing w:val="11"/>
        </w:rPr>
        <w:t> </w:t>
      </w:r>
      <w:r>
        <w:rPr>
          <w:color w:val="231F20"/>
        </w:rPr>
        <w:t>Use</w:t>
      </w:r>
      <w:r>
        <w:rPr>
          <w:color w:val="231F20"/>
          <w:spacing w:val="12"/>
        </w:rPr>
        <w:t> </w:t>
      </w:r>
      <w:r>
        <w:rPr>
          <w:color w:val="231F20"/>
        </w:rPr>
        <w:t>when</w:t>
      </w:r>
      <w:r>
        <w:rPr>
          <w:color w:val="231F20"/>
          <w:spacing w:val="12"/>
        </w:rPr>
        <w:t> </w:t>
      </w:r>
      <w:r>
        <w:rPr>
          <w:color w:val="231F20"/>
        </w:rPr>
        <w:t>you</w:t>
      </w:r>
      <w:r>
        <w:rPr>
          <w:color w:val="231F20"/>
          <w:spacing w:val="12"/>
        </w:rPr>
        <w:t> </w:t>
      </w:r>
      <w:r>
        <w:rPr>
          <w:color w:val="231F20"/>
        </w:rPr>
        <w:t>want</w:t>
      </w:r>
      <w:r>
        <w:rPr>
          <w:color w:val="231F20"/>
          <w:spacing w:val="12"/>
        </w:rPr>
        <w:t> </w:t>
      </w:r>
      <w:r>
        <w:rPr>
          <w:color w:val="231F20"/>
        </w:rPr>
        <w:t>the</w:t>
      </w:r>
      <w:r>
        <w:rPr>
          <w:color w:val="231F20"/>
          <w:spacing w:val="12"/>
        </w:rPr>
        <w:t> </w:t>
      </w:r>
      <w:r>
        <w:rPr>
          <w:color w:val="231F20"/>
        </w:rPr>
        <w:t>HTTP</w:t>
      </w:r>
      <w:r>
        <w:rPr>
          <w:color w:val="231F20"/>
          <w:spacing w:val="8"/>
        </w:rPr>
        <w:t> </w:t>
      </w:r>
      <w:r>
        <w:rPr>
          <w:color w:val="231F20"/>
        </w:rPr>
        <w:t>status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spacing w:val="-2"/>
        </w:rPr>
        <w:t>request.</w:t>
      </w:r>
    </w:p>
    <w:p>
      <w:pPr>
        <w:pStyle w:val="Heading6"/>
        <w:spacing w:before="111"/>
        <w:ind w:left="2232"/>
      </w:pPr>
      <w:r>
        <w:rPr>
          <w:color w:val="231F20"/>
        </w:rPr>
        <w:t>Other</w:t>
      </w:r>
      <w:r>
        <w:rPr>
          <w:color w:val="231F20"/>
          <w:spacing w:val="10"/>
        </w:rPr>
        <w:t> </w:t>
      </w:r>
      <w:r>
        <w:rPr>
          <w:color w:val="231F20"/>
          <w:spacing w:val="-2"/>
        </w:rPr>
        <w:t>values</w:t>
      </w:r>
    </w:p>
    <w:p>
      <w:pPr>
        <w:pStyle w:val="BodyText"/>
        <w:spacing w:line="213" w:lineRule="auto" w:before="11"/>
        <w:ind w:left="2951" w:hanging="1"/>
      </w:pPr>
      <w:r>
        <w:rPr>
          <w:color w:val="231F20"/>
        </w:rPr>
        <w:t>Displays only when </w:t>
      </w:r>
      <w:r>
        <w:rPr>
          <w:rFonts w:ascii="Book Antiqua"/>
          <w:b/>
          <w:color w:val="231F20"/>
        </w:rPr>
        <w:t>Other </w:t>
      </w:r>
      <w:r>
        <w:rPr>
          <w:color w:val="231F20"/>
        </w:rPr>
        <w:t>is selected as the substitution type. Select </w:t>
      </w:r>
      <w:r>
        <w:rPr>
          <w:color w:val="231F20"/>
        </w:rPr>
        <w:t>the appropriate value from the drop-down list.</w:t>
      </w:r>
    </w:p>
    <w:p>
      <w:pPr>
        <w:pStyle w:val="Heading6"/>
        <w:spacing w:line="240" w:lineRule="auto" w:before="217"/>
        <w:ind w:left="2232"/>
      </w:pPr>
      <w:r>
        <w:rPr>
          <w:color w:val="231F20"/>
        </w:rPr>
        <w:t>Send</w:t>
      </w:r>
      <w:r>
        <w:rPr>
          <w:color w:val="231F20"/>
          <w:spacing w:val="12"/>
        </w:rPr>
        <w:t> </w:t>
      </w:r>
      <w:r>
        <w:rPr>
          <w:color w:val="231F20"/>
        </w:rPr>
        <w:t>an</w:t>
      </w:r>
      <w:r>
        <w:rPr>
          <w:color w:val="231F20"/>
          <w:spacing w:val="13"/>
        </w:rPr>
        <w:t> </w:t>
      </w:r>
      <w:bookmarkStart w:name="_bookmark258" w:id="531"/>
      <w:bookmarkEnd w:id="531"/>
      <w:r>
        <w:rPr>
          <w:color w:val="231F20"/>
          <w:spacing w:val="-2"/>
        </w:rPr>
        <w:t>email:</w:t>
      </w:r>
    </w:p>
    <w:p>
      <w:pPr>
        <w:pStyle w:val="BodyText"/>
        <w:spacing w:line="213" w:lineRule="auto" w:before="239"/>
        <w:ind w:left="2232" w:right="636"/>
      </w:pPr>
      <w:r>
        <w:rPr>
          <w:color w:val="231F20"/>
        </w:rPr>
        <w:t>Use the </w:t>
      </w:r>
      <w:r>
        <w:rPr>
          <w:rFonts w:ascii="Book Antiqua"/>
          <w:b/>
          <w:color w:val="231F20"/>
        </w:rPr>
        <w:t>Send an email </w:t>
      </w:r>
      <w:r>
        <w:rPr>
          <w:color w:val="231F20"/>
        </w:rPr>
        <w:t>window to send notification of a situation event or </w:t>
      </w:r>
      <w:r>
        <w:rPr>
          <w:color w:val="231F20"/>
        </w:rPr>
        <w:t>activity</w:t>
      </w:r>
      <w:r>
        <w:rPr>
          <w:color w:val="231F20"/>
          <w:spacing w:val="40"/>
        </w:rPr>
        <w:t> </w:t>
      </w:r>
      <w:r>
        <w:rPr>
          <w:color w:val="231F20"/>
        </w:rPr>
        <w:t>in your workflow to a single recipient. This activity does not support multiple</w:t>
      </w:r>
      <w:r>
        <w:rPr>
          <w:color w:val="231F20"/>
          <w:spacing w:val="80"/>
          <w:w w:val="150"/>
        </w:rPr>
        <w:t> </w:t>
      </w:r>
      <w:r>
        <w:rPr>
          <w:color w:val="231F20"/>
        </w:rPr>
        <w:t>email</w:t>
      </w:r>
      <w:r>
        <w:rPr>
          <w:color w:val="231F20"/>
          <w:spacing w:val="32"/>
        </w:rPr>
        <w:t> </w:t>
      </w:r>
      <w:r>
        <w:rPr>
          <w:color w:val="231F20"/>
        </w:rPr>
        <w:t>recipients.</w:t>
      </w:r>
      <w:r>
        <w:rPr>
          <w:color w:val="231F20"/>
          <w:spacing w:val="32"/>
        </w:rPr>
        <w:t> </w:t>
      </w:r>
      <w:r>
        <w:rPr>
          <w:color w:val="231F20"/>
        </w:rPr>
        <w:t>This</w:t>
      </w:r>
      <w:r>
        <w:rPr>
          <w:color w:val="231F20"/>
          <w:spacing w:val="32"/>
        </w:rPr>
        <w:t> </w:t>
      </w:r>
      <w:r>
        <w:rPr>
          <w:color w:val="231F20"/>
        </w:rPr>
        <w:t>activity</w:t>
      </w:r>
      <w:r>
        <w:rPr>
          <w:color w:val="231F20"/>
          <w:spacing w:val="32"/>
        </w:rPr>
        <w:t> </w:t>
      </w:r>
      <w:r>
        <w:rPr>
          <w:color w:val="231F20"/>
        </w:rPr>
        <w:t>is</w:t>
      </w:r>
      <w:r>
        <w:rPr>
          <w:color w:val="231F20"/>
          <w:spacing w:val="32"/>
        </w:rPr>
        <w:t> </w:t>
      </w:r>
      <w:r>
        <w:rPr>
          <w:color w:val="231F20"/>
        </w:rPr>
        <w:t>not</w:t>
      </w:r>
      <w:r>
        <w:rPr>
          <w:color w:val="231F20"/>
          <w:spacing w:val="32"/>
        </w:rPr>
        <w:t> </w:t>
      </w:r>
      <w:r>
        <w:rPr>
          <w:color w:val="231F20"/>
        </w:rPr>
        <w:t>supported</w:t>
      </w:r>
      <w:r>
        <w:rPr>
          <w:color w:val="231F20"/>
          <w:spacing w:val="32"/>
        </w:rPr>
        <w:t> </w:t>
      </w:r>
      <w:r>
        <w:rPr>
          <w:color w:val="231F20"/>
        </w:rPr>
        <w:t>on</w:t>
      </w:r>
      <w:r>
        <w:rPr>
          <w:color w:val="231F20"/>
          <w:spacing w:val="32"/>
        </w:rPr>
        <w:t> </w:t>
      </w:r>
      <w:r>
        <w:rPr>
          <w:color w:val="231F20"/>
        </w:rPr>
        <w:t>a</w:t>
      </w:r>
      <w:r>
        <w:rPr>
          <w:color w:val="231F20"/>
          <w:spacing w:val="32"/>
        </w:rPr>
        <w:t> </w:t>
      </w:r>
      <w:r>
        <w:rPr>
          <w:color w:val="231F20"/>
        </w:rPr>
        <w:t>z/OS</w:t>
      </w:r>
      <w:r>
        <w:rPr>
          <w:color w:val="231F20"/>
          <w:spacing w:val="32"/>
        </w:rPr>
        <w:t> </w:t>
      </w:r>
      <w:r>
        <w:rPr>
          <w:color w:val="231F20"/>
        </w:rPr>
        <w:t>monitoring</w:t>
      </w:r>
      <w:r>
        <w:rPr>
          <w:color w:val="231F20"/>
          <w:spacing w:val="32"/>
        </w:rPr>
        <w:t> </w:t>
      </w:r>
      <w:r>
        <w:rPr>
          <w:color w:val="231F20"/>
        </w:rPr>
        <w:t>server.</w:t>
      </w:r>
    </w:p>
    <w:p>
      <w:pPr>
        <w:pStyle w:val="BodyText"/>
        <w:spacing w:line="213" w:lineRule="auto" w:before="238"/>
        <w:ind w:left="2232" w:right="385"/>
      </w:pPr>
      <w:r>
        <w:rPr>
          <w:color w:val="231F20"/>
        </w:rPr>
        <w:t>However,</w:t>
      </w:r>
      <w:r>
        <w:rPr>
          <w:color w:val="231F20"/>
          <w:spacing w:val="29"/>
        </w:rPr>
        <w:t> </w:t>
      </w:r>
      <w:r>
        <w:rPr>
          <w:color w:val="231F20"/>
        </w:rPr>
        <w:t>if</w:t>
      </w:r>
      <w:r>
        <w:rPr>
          <w:color w:val="231F20"/>
          <w:spacing w:val="29"/>
        </w:rPr>
        <w:t> </w:t>
      </w:r>
      <w:r>
        <w:rPr>
          <w:color w:val="231F20"/>
        </w:rPr>
        <w:t>the</w:t>
      </w:r>
      <w:r>
        <w:rPr>
          <w:color w:val="231F20"/>
          <w:spacing w:val="29"/>
        </w:rPr>
        <w:t> </w:t>
      </w:r>
      <w:r>
        <w:rPr>
          <w:color w:val="231F20"/>
        </w:rPr>
        <w:t>hub</w:t>
      </w:r>
      <w:r>
        <w:rPr>
          <w:color w:val="231F20"/>
          <w:spacing w:val="29"/>
        </w:rPr>
        <w:t> </w:t>
      </w:r>
      <w:r>
        <w:rPr>
          <w:color w:val="231F20"/>
        </w:rPr>
        <w:t>monitoring</w:t>
      </w:r>
      <w:r>
        <w:rPr>
          <w:color w:val="231F20"/>
          <w:spacing w:val="29"/>
        </w:rPr>
        <w:t> </w:t>
      </w:r>
      <w:r>
        <w:rPr>
          <w:color w:val="231F20"/>
        </w:rPr>
        <w:t>server</w:t>
      </w:r>
      <w:r>
        <w:rPr>
          <w:color w:val="231F20"/>
          <w:spacing w:val="29"/>
        </w:rPr>
        <w:t> </w:t>
      </w:r>
      <w:r>
        <w:rPr>
          <w:color w:val="231F20"/>
        </w:rPr>
        <w:t>is</w:t>
      </w:r>
      <w:r>
        <w:rPr>
          <w:color w:val="231F20"/>
          <w:spacing w:val="29"/>
        </w:rPr>
        <w:t> </w:t>
      </w:r>
      <w:r>
        <w:rPr>
          <w:color w:val="231F20"/>
        </w:rPr>
        <w:t>not</w:t>
      </w:r>
      <w:r>
        <w:rPr>
          <w:color w:val="231F20"/>
          <w:spacing w:val="29"/>
        </w:rPr>
        <w:t> </w:t>
      </w:r>
      <w:r>
        <w:rPr>
          <w:color w:val="231F20"/>
        </w:rPr>
        <w:t>running</w:t>
      </w:r>
      <w:r>
        <w:rPr>
          <w:color w:val="231F20"/>
          <w:spacing w:val="29"/>
        </w:rPr>
        <w:t> </w:t>
      </w:r>
      <w:r>
        <w:rPr>
          <w:color w:val="231F20"/>
        </w:rPr>
        <w:t>on</w:t>
      </w:r>
      <w:r>
        <w:rPr>
          <w:color w:val="231F20"/>
          <w:spacing w:val="29"/>
        </w:rPr>
        <w:t> </w:t>
      </w:r>
      <w:r>
        <w:rPr>
          <w:color w:val="231F20"/>
        </w:rPr>
        <w:t>z/OS,</w:t>
      </w:r>
      <w:r>
        <w:rPr>
          <w:color w:val="231F20"/>
          <w:spacing w:val="29"/>
        </w:rPr>
        <w:t> </w:t>
      </w:r>
      <w:r>
        <w:rPr>
          <w:color w:val="231F20"/>
        </w:rPr>
        <w:t>a</w:t>
      </w:r>
      <w:r>
        <w:rPr>
          <w:color w:val="231F20"/>
          <w:spacing w:val="29"/>
        </w:rPr>
        <w:t> </w:t>
      </w:r>
      <w:r>
        <w:rPr>
          <w:color w:val="231F20"/>
        </w:rPr>
        <w:t>policy</w:t>
      </w:r>
      <w:r>
        <w:rPr>
          <w:color w:val="231F20"/>
          <w:spacing w:val="29"/>
        </w:rPr>
        <w:t> </w:t>
      </w:r>
      <w:r>
        <w:rPr>
          <w:color w:val="231F20"/>
        </w:rPr>
        <w:t>running on a z/OS remote monitoring server can be configured to send emails through the</w:t>
      </w:r>
      <w:r>
        <w:rPr>
          <w:color w:val="231F20"/>
          <w:spacing w:val="40"/>
        </w:rPr>
        <w:t> </w:t>
      </w:r>
      <w:r>
        <w:rPr>
          <w:color w:val="231F20"/>
        </w:rPr>
        <w:t>hub’s SOAP server.</w:t>
      </w:r>
    </w:p>
    <w:p>
      <w:pPr>
        <w:pStyle w:val="Heading6"/>
        <w:spacing w:before="116"/>
        <w:ind w:left="2232"/>
      </w:pPr>
      <w:r>
        <w:rPr>
          <w:color w:val="231F20"/>
        </w:rPr>
        <w:t>ITM</w:t>
      </w:r>
      <w:r>
        <w:rPr>
          <w:color w:val="231F20"/>
          <w:spacing w:val="6"/>
        </w:rPr>
        <w:t> </w:t>
      </w:r>
      <w:r>
        <w:rPr>
          <w:color w:val="231F20"/>
        </w:rPr>
        <w:t>Web</w:t>
      </w:r>
      <w:r>
        <w:rPr>
          <w:color w:val="231F20"/>
          <w:spacing w:val="6"/>
        </w:rPr>
        <w:t> </w:t>
      </w:r>
      <w:r>
        <w:rPr>
          <w:color w:val="231F20"/>
        </w:rPr>
        <w:t>Server</w:t>
      </w:r>
      <w:r>
        <w:rPr>
          <w:color w:val="231F20"/>
          <w:spacing w:val="6"/>
        </w:rPr>
        <w:t> </w:t>
      </w:r>
      <w:r>
        <w:rPr>
          <w:color w:val="231F20"/>
          <w:spacing w:val="-5"/>
        </w:rPr>
        <w:t>URL</w:t>
      </w:r>
    </w:p>
    <w:p>
      <w:pPr>
        <w:pStyle w:val="BodyText"/>
        <w:spacing w:line="213" w:lineRule="auto" w:before="12"/>
        <w:ind w:left="2951" w:right="636"/>
      </w:pPr>
      <w:r>
        <w:rPr>
          <w:color w:val="231F20"/>
        </w:rPr>
        <w:t>The default value is </w:t>
      </w:r>
      <w:r>
        <w:rPr>
          <w:rFonts w:ascii="Book Antiqua"/>
          <w:b/>
          <w:color w:val="231F20"/>
        </w:rPr>
        <w:t>Localhost</w:t>
      </w:r>
      <w:r>
        <w:rPr>
          <w:color w:val="231F20"/>
        </w:rPr>
        <w:t>. </w:t>
      </w:r>
      <w:r>
        <w:rPr>
          <w:rFonts w:ascii="Book Antiqua"/>
          <w:b/>
          <w:color w:val="231F20"/>
        </w:rPr>
        <w:t>Protocol </w:t>
      </w:r>
      <w:r>
        <w:rPr>
          <w:color w:val="231F20"/>
        </w:rPr>
        <w:t>options: http (default) or https. Only http and https are supported. Select </w:t>
      </w:r>
      <w:r>
        <w:rPr>
          <w:rFonts w:ascii="Book Antiqua"/>
          <w:b/>
          <w:color w:val="231F20"/>
        </w:rPr>
        <w:t>Localhost </w:t>
      </w:r>
      <w:r>
        <w:rPr>
          <w:color w:val="231F20"/>
        </w:rPr>
        <w:t>or </w:t>
      </w:r>
      <w:r>
        <w:rPr>
          <w:rFonts w:ascii="Book Antiqua"/>
          <w:b/>
          <w:color w:val="231F20"/>
        </w:rPr>
        <w:t>Other</w:t>
      </w:r>
      <w:r>
        <w:rPr>
          <w:color w:val="231F20"/>
        </w:rPr>
        <w:t>. When selecting </w:t>
      </w:r>
      <w:r>
        <w:rPr>
          <w:rFonts w:ascii="Book Antiqua"/>
          <w:b/>
          <w:color w:val="231F20"/>
        </w:rPr>
        <w:t>Other</w:t>
      </w:r>
      <w:r>
        <w:rPr>
          <w:color w:val="231F20"/>
        </w:rPr>
        <w:t>, enter the specific hub monitoring server where the targeted SOAP server is running and to which the email request will be sent. You must also specify the valid port number used by the SOAP </w:t>
      </w:r>
      <w:r>
        <w:rPr>
          <w:color w:val="231F20"/>
          <w:spacing w:val="-2"/>
        </w:rPr>
        <w:t>server.</w:t>
      </w:r>
    </w:p>
    <w:p>
      <w:pPr>
        <w:pStyle w:val="Heading6"/>
        <w:spacing w:before="114"/>
        <w:ind w:left="2232"/>
      </w:pPr>
      <w:r>
        <w:rPr>
          <w:color w:val="231F20"/>
        </w:rPr>
        <w:t>SMTP</w:t>
      </w:r>
      <w:r>
        <w:rPr>
          <w:color w:val="231F20"/>
          <w:spacing w:val="10"/>
        </w:rPr>
        <w:t> </w:t>
      </w:r>
      <w:r>
        <w:rPr>
          <w:color w:val="231F20"/>
          <w:spacing w:val="-2"/>
        </w:rPr>
        <w:t>Server</w:t>
      </w:r>
    </w:p>
    <w:p>
      <w:pPr>
        <w:pStyle w:val="BodyText"/>
        <w:spacing w:line="258" w:lineRule="exact"/>
        <w:ind w:left="2951"/>
      </w:pPr>
      <w:r>
        <w:rPr>
          <w:color w:val="231F20"/>
        </w:rPr>
        <w:t>Your</w:t>
      </w:r>
      <w:r>
        <w:rPr>
          <w:color w:val="231F20"/>
          <w:spacing w:val="3"/>
        </w:rPr>
        <w:t> </w:t>
      </w:r>
      <w:r>
        <w:rPr>
          <w:color w:val="231F20"/>
        </w:rPr>
        <w:t>email</w:t>
      </w:r>
      <w:r>
        <w:rPr>
          <w:color w:val="231F20"/>
          <w:spacing w:val="4"/>
        </w:rPr>
        <w:t> </w:t>
      </w:r>
      <w:r>
        <w:rPr>
          <w:color w:val="231F20"/>
        </w:rPr>
        <w:t>server.</w:t>
      </w:r>
      <w:r>
        <w:rPr>
          <w:color w:val="231F20"/>
          <w:spacing w:val="4"/>
        </w:rPr>
        <w:t> </w:t>
      </w:r>
      <w:r>
        <w:rPr>
          <w:color w:val="231F20"/>
        </w:rPr>
        <w:t>For</w:t>
      </w:r>
      <w:r>
        <w:rPr>
          <w:color w:val="231F20"/>
          <w:spacing w:val="4"/>
        </w:rPr>
        <w:t> </w:t>
      </w:r>
      <w:r>
        <w:rPr>
          <w:color w:val="231F20"/>
        </w:rPr>
        <w:t>example,</w:t>
      </w:r>
      <w:r>
        <w:rPr>
          <w:color w:val="231F20"/>
          <w:spacing w:val="4"/>
        </w:rPr>
        <w:t> </w:t>
      </w:r>
      <w:r>
        <w:rPr>
          <w:rFonts w:ascii="Arial"/>
          <w:color w:val="231F20"/>
          <w:spacing w:val="-2"/>
        </w:rPr>
        <w:t>smpt.us.ibm.com</w:t>
      </w:r>
      <w:r>
        <w:rPr>
          <w:color w:val="231F20"/>
          <w:spacing w:val="-2"/>
        </w:rPr>
        <w:t>.</w:t>
      </w:r>
    </w:p>
    <w:p>
      <w:pPr>
        <w:pStyle w:val="Heading6"/>
        <w:spacing w:before="111"/>
        <w:ind w:left="2232"/>
      </w:pPr>
      <w:r>
        <w:rPr>
          <w:color w:val="231F20"/>
          <w:spacing w:val="-2"/>
        </w:rPr>
        <w:t>Sender</w:t>
      </w:r>
    </w:p>
    <w:p>
      <w:pPr>
        <w:pStyle w:val="BodyText"/>
        <w:spacing w:line="258" w:lineRule="exact"/>
        <w:ind w:left="221"/>
        <w:jc w:val="center"/>
      </w:pPr>
      <w:r>
        <w:rPr>
          <w:color w:val="231F20"/>
        </w:rPr>
        <w:t>The</w:t>
      </w:r>
      <w:r>
        <w:rPr>
          <w:color w:val="231F20"/>
          <w:spacing w:val="11"/>
        </w:rPr>
        <w:t> </w:t>
      </w:r>
      <w:r>
        <w:rPr>
          <w:color w:val="231F20"/>
        </w:rPr>
        <w:t>email</w:t>
      </w:r>
      <w:r>
        <w:rPr>
          <w:color w:val="231F20"/>
          <w:spacing w:val="11"/>
        </w:rPr>
        <w:t> </w:t>
      </w:r>
      <w:r>
        <w:rPr>
          <w:color w:val="231F20"/>
        </w:rPr>
        <w:t>address</w:t>
      </w:r>
      <w:r>
        <w:rPr>
          <w:color w:val="231F20"/>
          <w:spacing w:val="11"/>
        </w:rPr>
        <w:t> </w:t>
      </w:r>
      <w:r>
        <w:rPr>
          <w:color w:val="231F20"/>
        </w:rPr>
        <w:t>that</w:t>
      </w:r>
      <w:r>
        <w:rPr>
          <w:color w:val="231F20"/>
          <w:spacing w:val="11"/>
        </w:rPr>
        <w:t> </w:t>
      </w:r>
      <w:r>
        <w:rPr>
          <w:color w:val="231F20"/>
        </w:rPr>
        <w:t>is</w:t>
      </w:r>
      <w:r>
        <w:rPr>
          <w:color w:val="231F20"/>
          <w:spacing w:val="11"/>
        </w:rPr>
        <w:t> </w:t>
      </w:r>
      <w:r>
        <w:rPr>
          <w:color w:val="231F20"/>
        </w:rPr>
        <w:t>sending</w:t>
      </w:r>
      <w:r>
        <w:rPr>
          <w:color w:val="231F20"/>
          <w:spacing w:val="12"/>
        </w:rPr>
        <w:t> </w:t>
      </w:r>
      <w:r>
        <w:rPr>
          <w:color w:val="231F20"/>
        </w:rPr>
        <w:t>the</w:t>
      </w:r>
      <w:r>
        <w:rPr>
          <w:color w:val="231F20"/>
          <w:spacing w:val="11"/>
        </w:rPr>
        <w:t> </w:t>
      </w:r>
      <w:r>
        <w:rPr>
          <w:color w:val="231F20"/>
          <w:spacing w:val="-2"/>
        </w:rPr>
        <w:t>notification.</w:t>
      </w:r>
    </w:p>
    <w:p>
      <w:pPr>
        <w:pStyle w:val="BodyText"/>
        <w:tabs>
          <w:tab w:pos="2951" w:val="left" w:leader="none"/>
        </w:tabs>
        <w:spacing w:line="213" w:lineRule="auto" w:before="113"/>
        <w:ind w:left="2951" w:right="765" w:hanging="719"/>
      </w:pPr>
      <w:r>
        <w:rPr>
          <w:rFonts w:ascii="Book Antiqua"/>
          <w:b/>
          <w:color w:val="231F20"/>
          <w:spacing w:val="-6"/>
        </w:rPr>
        <w:t>To</w:t>
      </w:r>
      <w:r>
        <w:rPr>
          <w:rFonts w:ascii="Book Antiqua"/>
          <w:b/>
          <w:color w:val="231F20"/>
        </w:rPr>
        <w:tab/>
      </w:r>
      <w:r>
        <w:rPr>
          <w:color w:val="231F20"/>
        </w:rPr>
        <w:t>The email address of a single recipient. Separate a list of recipients with </w:t>
      </w:r>
      <w:r>
        <w:rPr>
          <w:color w:val="231F20"/>
          <w:spacing w:val="-2"/>
        </w:rPr>
        <w:t>commas.</w:t>
      </w:r>
    </w:p>
    <w:p>
      <w:pPr>
        <w:pStyle w:val="Heading6"/>
        <w:ind w:left="2232"/>
      </w:pPr>
      <w:r>
        <w:rPr>
          <w:color w:val="231F20"/>
          <w:spacing w:val="-2"/>
        </w:rPr>
        <w:t>Subject</w:t>
      </w:r>
    </w:p>
    <w:p>
      <w:pPr>
        <w:pStyle w:val="BodyText"/>
        <w:spacing w:line="258" w:lineRule="exact"/>
        <w:ind w:left="2951"/>
      </w:pPr>
      <w:r>
        <w:rPr>
          <w:color w:val="231F20"/>
        </w:rPr>
        <w:t>Specify</w:t>
      </w:r>
      <w:r>
        <w:rPr>
          <w:color w:val="231F20"/>
          <w:spacing w:val="11"/>
        </w:rPr>
        <w:t> </w:t>
      </w:r>
      <w:r>
        <w:rPr>
          <w:color w:val="231F20"/>
        </w:rPr>
        <w:t>the</w:t>
      </w:r>
      <w:r>
        <w:rPr>
          <w:color w:val="231F20"/>
          <w:spacing w:val="12"/>
        </w:rPr>
        <w:t> </w:t>
      </w:r>
      <w:r>
        <w:rPr>
          <w:color w:val="231F20"/>
        </w:rPr>
        <w:t>subject</w:t>
      </w:r>
      <w:r>
        <w:rPr>
          <w:color w:val="231F20"/>
          <w:spacing w:val="12"/>
        </w:rPr>
        <w:t> </w:t>
      </w:r>
      <w:r>
        <w:rPr>
          <w:color w:val="231F20"/>
        </w:rPr>
        <w:t>heading</w:t>
      </w:r>
      <w:r>
        <w:rPr>
          <w:color w:val="231F20"/>
          <w:spacing w:val="12"/>
        </w:rPr>
        <w:t> </w:t>
      </w:r>
      <w:r>
        <w:rPr>
          <w:color w:val="231F20"/>
        </w:rPr>
        <w:t>of</w:t>
      </w:r>
      <w:r>
        <w:rPr>
          <w:color w:val="231F20"/>
          <w:spacing w:val="12"/>
        </w:rPr>
        <w:t> </w:t>
      </w:r>
      <w:r>
        <w:rPr>
          <w:color w:val="231F20"/>
        </w:rPr>
        <w:t>the</w:t>
      </w:r>
      <w:r>
        <w:rPr>
          <w:color w:val="231F20"/>
          <w:spacing w:val="11"/>
        </w:rPr>
        <w:t> </w:t>
      </w:r>
      <w:r>
        <w:rPr>
          <w:color w:val="231F20"/>
        </w:rPr>
        <w:t>email.</w:t>
      </w:r>
      <w:r>
        <w:rPr>
          <w:color w:val="231F20"/>
          <w:spacing w:val="12"/>
        </w:rPr>
        <w:t> </w:t>
      </w:r>
      <w:r>
        <w:rPr>
          <w:color w:val="231F20"/>
        </w:rPr>
        <w:t>This</w:t>
      </w:r>
      <w:r>
        <w:rPr>
          <w:color w:val="231F20"/>
          <w:spacing w:val="12"/>
        </w:rPr>
        <w:t> </w:t>
      </w:r>
      <w:r>
        <w:rPr>
          <w:color w:val="231F20"/>
        </w:rPr>
        <w:t>field</w:t>
      </w:r>
      <w:r>
        <w:rPr>
          <w:color w:val="231F20"/>
          <w:spacing w:val="12"/>
        </w:rPr>
        <w:t> </w:t>
      </w:r>
      <w:r>
        <w:rPr>
          <w:color w:val="231F20"/>
        </w:rPr>
        <w:t>is</w:t>
      </w:r>
      <w:r>
        <w:rPr>
          <w:color w:val="231F20"/>
          <w:spacing w:val="12"/>
        </w:rPr>
        <w:t> </w:t>
      </w:r>
      <w:r>
        <w:rPr>
          <w:color w:val="231F20"/>
          <w:spacing w:val="-2"/>
        </w:rPr>
        <w:t>optional.</w:t>
      </w:r>
    </w:p>
    <w:p>
      <w:pPr>
        <w:spacing w:after="0" w:line="258" w:lineRule="exact"/>
        <w:sectPr>
          <w:pgSz w:w="12240" w:h="15840"/>
          <w:pgMar w:header="0" w:footer="736" w:top="1180" w:bottom="920" w:left="1000" w:right="1060"/>
        </w:sectPr>
      </w:pPr>
    </w:p>
    <w:p>
      <w:pPr>
        <w:pStyle w:val="BodyText"/>
        <w:tabs>
          <w:tab w:pos="3190" w:val="left" w:leader="none"/>
        </w:tabs>
        <w:spacing w:before="62"/>
        <w:ind w:left="2472"/>
      </w:pPr>
      <w:bookmarkStart w:name="_bookmark260" w:id="532"/>
      <w:bookmarkEnd w:id="532"/>
      <w:r>
        <w:rPr/>
      </w:r>
      <w:r>
        <w:rPr>
          <w:rFonts w:ascii="Book Antiqua"/>
          <w:b/>
          <w:color w:val="231F20"/>
          <w:spacing w:val="-4"/>
        </w:rPr>
        <w:t>Text</w:t>
      </w:r>
      <w:r>
        <w:rPr>
          <w:rFonts w:ascii="Book Antiqua"/>
          <w:b/>
          <w:color w:val="231F20"/>
        </w:rPr>
        <w:tab/>
      </w:r>
      <w:r>
        <w:rPr>
          <w:color w:val="231F20"/>
        </w:rPr>
        <w:t>Specify</w:t>
      </w:r>
      <w:r>
        <w:rPr>
          <w:color w:val="231F20"/>
          <w:spacing w:val="12"/>
        </w:rPr>
        <w:t> </w:t>
      </w:r>
      <w:r>
        <w:rPr>
          <w:color w:val="231F20"/>
        </w:rPr>
        <w:t>any</w:t>
      </w:r>
      <w:r>
        <w:rPr>
          <w:color w:val="231F20"/>
          <w:spacing w:val="12"/>
        </w:rPr>
        <w:t> </w:t>
      </w:r>
      <w:r>
        <w:rPr>
          <w:color w:val="231F20"/>
        </w:rPr>
        <w:t>text</w:t>
      </w:r>
      <w:r>
        <w:rPr>
          <w:color w:val="231F20"/>
          <w:spacing w:val="13"/>
        </w:rPr>
        <w:t> </w:t>
      </w:r>
      <w:r>
        <w:rPr>
          <w:color w:val="231F20"/>
        </w:rPr>
        <w:t>to</w:t>
      </w:r>
      <w:r>
        <w:rPr>
          <w:color w:val="231F20"/>
          <w:spacing w:val="12"/>
        </w:rPr>
        <w:t> </w:t>
      </w:r>
      <w:r>
        <w:rPr>
          <w:color w:val="231F20"/>
        </w:rPr>
        <w:t>be</w:t>
      </w:r>
      <w:r>
        <w:rPr>
          <w:color w:val="231F20"/>
          <w:spacing w:val="12"/>
        </w:rPr>
        <w:t> </w:t>
      </w:r>
      <w:r>
        <w:rPr>
          <w:color w:val="231F20"/>
        </w:rPr>
        <w:t>included</w:t>
      </w:r>
      <w:r>
        <w:rPr>
          <w:color w:val="231F20"/>
          <w:spacing w:val="13"/>
        </w:rPr>
        <w:t> </w:t>
      </w:r>
      <w:r>
        <w:rPr>
          <w:color w:val="231F20"/>
        </w:rPr>
        <w:t>in</w:t>
      </w:r>
      <w:r>
        <w:rPr>
          <w:color w:val="231F20"/>
          <w:spacing w:val="12"/>
        </w:rPr>
        <w:t> </w:t>
      </w:r>
      <w:r>
        <w:rPr>
          <w:color w:val="231F20"/>
        </w:rPr>
        <w:t>the</w:t>
      </w:r>
      <w:r>
        <w:rPr>
          <w:color w:val="231F20"/>
          <w:spacing w:val="12"/>
        </w:rPr>
        <w:t> </w:t>
      </w:r>
      <w:r>
        <w:rPr>
          <w:color w:val="231F20"/>
        </w:rPr>
        <w:t>email.</w:t>
      </w:r>
      <w:r>
        <w:rPr>
          <w:color w:val="231F20"/>
          <w:spacing w:val="13"/>
        </w:rPr>
        <w:t> </w:t>
      </w:r>
      <w:r>
        <w:rPr>
          <w:color w:val="231F20"/>
        </w:rPr>
        <w:t>This</w:t>
      </w:r>
      <w:r>
        <w:rPr>
          <w:color w:val="231F20"/>
          <w:spacing w:val="12"/>
        </w:rPr>
        <w:t> </w:t>
      </w:r>
      <w:r>
        <w:rPr>
          <w:color w:val="231F20"/>
        </w:rPr>
        <w:t>field</w:t>
      </w:r>
      <w:r>
        <w:rPr>
          <w:color w:val="231F20"/>
          <w:spacing w:val="12"/>
        </w:rPr>
        <w:t> </w:t>
      </w:r>
      <w:r>
        <w:rPr>
          <w:color w:val="231F20"/>
        </w:rPr>
        <w:t>is</w:t>
      </w:r>
      <w:r>
        <w:rPr>
          <w:color w:val="231F20"/>
          <w:spacing w:val="13"/>
        </w:rPr>
        <w:t> </w:t>
      </w:r>
      <w:r>
        <w:rPr>
          <w:color w:val="231F20"/>
          <w:spacing w:val="-2"/>
        </w:rPr>
        <w:t>optional.</w:t>
      </w:r>
    </w:p>
    <w:p>
      <w:pPr>
        <w:pStyle w:val="Heading6"/>
        <w:spacing w:before="111"/>
      </w:pPr>
      <w:r>
        <w:rPr>
          <w:color w:val="231F20"/>
        </w:rPr>
        <w:t>Insert</w:t>
      </w:r>
      <w:r>
        <w:rPr>
          <w:color w:val="231F20"/>
          <w:spacing w:val="-3"/>
        </w:rPr>
        <w:t> </w:t>
      </w:r>
      <w:r>
        <w:rPr>
          <w:color w:val="231F20"/>
        </w:rPr>
        <w:t>Variable</w:t>
      </w:r>
      <w:r>
        <w:rPr>
          <w:color w:val="231F20"/>
          <w:spacing w:val="-2"/>
        </w:rPr>
        <w:t> </w:t>
      </w:r>
      <w:r>
        <w:rPr>
          <w:color w:val="231F20"/>
          <w:spacing w:val="-4"/>
        </w:rPr>
        <w:t>Data</w:t>
      </w:r>
    </w:p>
    <w:p>
      <w:pPr>
        <w:spacing w:line="213" w:lineRule="auto" w:before="11"/>
        <w:ind w:left="3190" w:right="818" w:firstLine="0"/>
        <w:jc w:val="both"/>
        <w:rPr>
          <w:sz w:val="20"/>
        </w:rPr>
      </w:pPr>
      <w:r>
        <w:rPr>
          <w:color w:val="231F20"/>
          <w:sz w:val="20"/>
        </w:rPr>
        <w:t>Specify </w:t>
      </w:r>
      <w:r>
        <w:rPr>
          <w:rFonts w:ascii="Book Antiqua"/>
          <w:b/>
          <w:color w:val="231F20"/>
          <w:sz w:val="20"/>
        </w:rPr>
        <w:t>Situation Attribute </w:t>
      </w:r>
      <w:r>
        <w:rPr>
          <w:color w:val="231F20"/>
          <w:sz w:val="20"/>
        </w:rPr>
        <w:t>or </w:t>
      </w:r>
      <w:r>
        <w:rPr>
          <w:rFonts w:ascii="Book Antiqua"/>
          <w:b/>
          <w:color w:val="231F20"/>
          <w:sz w:val="20"/>
        </w:rPr>
        <w:t>Other value </w:t>
      </w:r>
      <w:r>
        <w:rPr>
          <w:color w:val="231F20"/>
          <w:sz w:val="20"/>
        </w:rPr>
        <w:t>to substitute data from </w:t>
      </w:r>
      <w:r>
        <w:rPr>
          <w:color w:val="231F20"/>
          <w:sz w:val="20"/>
        </w:rPr>
        <w:t>a preceding situation or On Demand activity.</w:t>
      </w:r>
    </w:p>
    <w:p>
      <w:pPr>
        <w:pStyle w:val="BodyText"/>
        <w:spacing w:line="213" w:lineRule="auto" w:before="119"/>
        <w:ind w:left="3190" w:right="655"/>
        <w:jc w:val="both"/>
      </w:pPr>
      <w:r>
        <w:rPr>
          <w:color w:val="231F20"/>
        </w:rPr>
        <w:t>The </w:t>
      </w:r>
      <w:r>
        <w:rPr>
          <w:rFonts w:ascii="Book Antiqua"/>
          <w:b/>
          <w:color w:val="231F20"/>
        </w:rPr>
        <w:t>Situation Attribute </w:t>
      </w:r>
      <w:r>
        <w:rPr>
          <w:color w:val="231F20"/>
        </w:rPr>
        <w:t>button becomes active if the policy contains </w:t>
      </w:r>
      <w:r>
        <w:rPr>
          <w:color w:val="231F20"/>
        </w:rPr>
        <w:t>a "Wait until a situation is true" activity and you select a row cell under </w:t>
      </w:r>
      <w:r>
        <w:rPr>
          <w:color w:val="231F20"/>
          <w:spacing w:val="-2"/>
        </w:rPr>
        <w:t>Value.</w:t>
      </w:r>
    </w:p>
    <w:p>
      <w:pPr>
        <w:pStyle w:val="BodyText"/>
        <w:spacing w:line="213" w:lineRule="auto" w:before="117"/>
        <w:ind w:left="3190" w:right="385"/>
      </w:pPr>
      <w:r>
        <w:rPr>
          <w:color w:val="231F20"/>
        </w:rPr>
        <w:t>The </w:t>
      </w:r>
      <w:r>
        <w:rPr>
          <w:rFonts w:ascii="Book Antiqua"/>
          <w:b/>
          <w:color w:val="231F20"/>
        </w:rPr>
        <w:t>Other value </w:t>
      </w:r>
      <w:r>
        <w:rPr>
          <w:color w:val="231F20"/>
        </w:rPr>
        <w:t>button becomes active if the user selects a field. </w:t>
      </w:r>
      <w:r>
        <w:rPr>
          <w:color w:val="231F20"/>
        </w:rPr>
        <w:t>Selecting this button displays a dialogue that facilitates the substitution of data returned by a preceding On Demand activity, as well as diagnostic information regarding TADDM and On Demand activities.</w:t>
      </w:r>
    </w:p>
    <w:p>
      <w:pPr>
        <w:pStyle w:val="Heading6"/>
        <w:spacing w:before="116"/>
      </w:pPr>
      <w:r>
        <w:rPr>
          <w:color w:val="231F20"/>
        </w:rPr>
        <w:t>If</w:t>
      </w:r>
      <w:r>
        <w:rPr>
          <w:color w:val="231F20"/>
          <w:spacing w:val="11"/>
        </w:rPr>
        <w:t> </w:t>
      </w:r>
      <w:r>
        <w:rPr>
          <w:color w:val="231F20"/>
        </w:rPr>
        <w:t>multiple</w:t>
      </w:r>
      <w:r>
        <w:rPr>
          <w:color w:val="231F20"/>
          <w:spacing w:val="12"/>
        </w:rPr>
        <w:t> </w:t>
      </w:r>
      <w:r>
        <w:rPr>
          <w:color w:val="231F20"/>
        </w:rPr>
        <w:t>data</w:t>
      </w:r>
      <w:r>
        <w:rPr>
          <w:color w:val="231F20"/>
          <w:spacing w:val="12"/>
        </w:rPr>
        <w:t> </w:t>
      </w:r>
      <w:r>
        <w:rPr>
          <w:color w:val="231F20"/>
        </w:rPr>
        <w:t>items</w:t>
      </w:r>
      <w:r>
        <w:rPr>
          <w:color w:val="231F20"/>
          <w:spacing w:val="12"/>
        </w:rPr>
        <w:t> </w:t>
      </w:r>
      <w:r>
        <w:rPr>
          <w:color w:val="231F20"/>
        </w:rPr>
        <w:t>are</w:t>
      </w:r>
      <w:r>
        <w:rPr>
          <w:color w:val="231F20"/>
          <w:spacing w:val="11"/>
        </w:rPr>
        <w:t> </w:t>
      </w:r>
      <w:r>
        <w:rPr>
          <w:color w:val="231F20"/>
          <w:spacing w:val="-2"/>
        </w:rPr>
        <w:t>returned</w:t>
      </w:r>
    </w:p>
    <w:p>
      <w:pPr>
        <w:pStyle w:val="BodyText"/>
        <w:spacing w:line="213" w:lineRule="auto" w:before="11"/>
        <w:ind w:left="3190" w:right="545"/>
      </w:pPr>
      <w:r>
        <w:rPr>
          <w:color w:val="231F20"/>
        </w:rPr>
        <w:t>Your selection here controls how this activity behaves if the </w:t>
      </w:r>
      <w:r>
        <w:rPr>
          <w:color w:val="231F20"/>
        </w:rPr>
        <w:t>triggering situation returns multiple rows of data.</w:t>
      </w:r>
    </w:p>
    <w:p>
      <w:pPr>
        <w:spacing w:line="213" w:lineRule="auto" w:before="119"/>
        <w:ind w:left="3190" w:right="167" w:firstLine="0"/>
        <w:jc w:val="left"/>
        <w:rPr>
          <w:sz w:val="20"/>
        </w:rPr>
      </w:pPr>
      <w:r>
        <w:rPr>
          <w:color w:val="231F20"/>
          <w:sz w:val="20"/>
        </w:rPr>
        <w:t>If an update request should be sent only for the first situation row, select </w:t>
      </w:r>
      <w:r>
        <w:rPr>
          <w:rFonts w:ascii="Book Antiqua"/>
          <w:b/>
          <w:color w:val="231F20"/>
          <w:sz w:val="20"/>
        </w:rPr>
        <w:t>Execute request once</w:t>
      </w:r>
      <w:r>
        <w:rPr>
          <w:color w:val="231F20"/>
          <w:sz w:val="20"/>
        </w:rPr>
        <w:t>. Otherwise, select </w:t>
      </w:r>
      <w:r>
        <w:rPr>
          <w:rFonts w:ascii="Book Antiqua"/>
          <w:b/>
          <w:color w:val="231F20"/>
          <w:sz w:val="20"/>
        </w:rPr>
        <w:t>Execute request for each row </w:t>
      </w:r>
      <w:r>
        <w:rPr>
          <w:rFonts w:ascii="Book Antiqua"/>
          <w:b/>
          <w:color w:val="231F20"/>
          <w:sz w:val="20"/>
        </w:rPr>
        <w:t>from activity</w:t>
      </w:r>
      <w:r>
        <w:rPr>
          <w:color w:val="231F20"/>
          <w:sz w:val="20"/>
        </w:rPr>
        <w:t>, then select the situation that triggered the workflow or the On Demand</w:t>
      </w:r>
      <w:r>
        <w:rPr>
          <w:color w:val="231F20"/>
          <w:spacing w:val="28"/>
          <w:sz w:val="20"/>
        </w:rPr>
        <w:t> </w:t>
      </w:r>
      <w:r>
        <w:rPr>
          <w:color w:val="231F20"/>
          <w:sz w:val="20"/>
        </w:rPr>
        <w:t>activity.</w:t>
      </w:r>
      <w:r>
        <w:rPr>
          <w:color w:val="231F20"/>
          <w:spacing w:val="28"/>
          <w:sz w:val="20"/>
        </w:rPr>
        <w:t> </w:t>
      </w:r>
      <w:r>
        <w:rPr>
          <w:color w:val="231F20"/>
          <w:sz w:val="20"/>
        </w:rPr>
        <w:t>Ensure</w:t>
      </w:r>
      <w:r>
        <w:rPr>
          <w:color w:val="231F20"/>
          <w:spacing w:val="28"/>
          <w:sz w:val="20"/>
        </w:rPr>
        <w:t> </w:t>
      </w:r>
      <w:r>
        <w:rPr>
          <w:color w:val="231F20"/>
          <w:sz w:val="20"/>
        </w:rPr>
        <w:t>the</w:t>
      </w:r>
      <w:r>
        <w:rPr>
          <w:color w:val="231F20"/>
          <w:spacing w:val="28"/>
          <w:sz w:val="20"/>
        </w:rPr>
        <w:t> </w:t>
      </w:r>
      <w:r>
        <w:rPr>
          <w:rFonts w:ascii="Book Antiqua"/>
          <w:b/>
          <w:color w:val="231F20"/>
          <w:sz w:val="20"/>
        </w:rPr>
        <w:t>Continue</w:t>
      </w:r>
      <w:r>
        <w:rPr>
          <w:rFonts w:ascii="Book Antiqua"/>
          <w:b/>
          <w:color w:val="231F20"/>
          <w:spacing w:val="28"/>
          <w:sz w:val="20"/>
        </w:rPr>
        <w:t> </w:t>
      </w:r>
      <w:r>
        <w:rPr>
          <w:rFonts w:ascii="Book Antiqua"/>
          <w:b/>
          <w:color w:val="231F20"/>
          <w:sz w:val="20"/>
        </w:rPr>
        <w:t>processing</w:t>
      </w:r>
      <w:r>
        <w:rPr>
          <w:rFonts w:ascii="Book Antiqua"/>
          <w:b/>
          <w:color w:val="231F20"/>
          <w:spacing w:val="28"/>
          <w:sz w:val="20"/>
        </w:rPr>
        <w:t> </w:t>
      </w:r>
      <w:r>
        <w:rPr>
          <w:rFonts w:ascii="Book Antiqua"/>
          <w:b/>
          <w:color w:val="231F20"/>
          <w:sz w:val="20"/>
        </w:rPr>
        <w:t>rows</w:t>
      </w:r>
      <w:r>
        <w:rPr>
          <w:rFonts w:ascii="Book Antiqua"/>
          <w:b/>
          <w:color w:val="231F20"/>
          <w:spacing w:val="28"/>
          <w:sz w:val="20"/>
        </w:rPr>
        <w:t> </w:t>
      </w:r>
      <w:r>
        <w:rPr>
          <w:rFonts w:ascii="Book Antiqua"/>
          <w:b/>
          <w:color w:val="231F20"/>
          <w:sz w:val="20"/>
        </w:rPr>
        <w:t>on</w:t>
      </w:r>
      <w:r>
        <w:rPr>
          <w:rFonts w:ascii="Book Antiqua"/>
          <w:b/>
          <w:color w:val="231F20"/>
          <w:spacing w:val="28"/>
          <w:sz w:val="20"/>
        </w:rPr>
        <w:t> </w:t>
      </w:r>
      <w:r>
        <w:rPr>
          <w:rFonts w:ascii="Book Antiqua"/>
          <w:b/>
          <w:color w:val="231F20"/>
          <w:sz w:val="20"/>
        </w:rPr>
        <w:t>failure</w:t>
      </w:r>
      <w:r>
        <w:rPr>
          <w:rFonts w:ascii="Book Antiqua"/>
          <w:b/>
          <w:color w:val="231F20"/>
          <w:spacing w:val="28"/>
          <w:sz w:val="20"/>
        </w:rPr>
        <w:t> </w:t>
      </w:r>
      <w:r>
        <w:rPr>
          <w:color w:val="231F20"/>
          <w:sz w:val="20"/>
        </w:rPr>
        <w:t>option is selected.</w:t>
      </w:r>
    </w:p>
    <w:p>
      <w:pPr>
        <w:pStyle w:val="Heading3"/>
        <w:spacing w:before="215"/>
        <w:ind w:left="1574"/>
      </w:pPr>
      <w:bookmarkStart w:name="Tivoli Application Dependency Discovery " w:id="533"/>
      <w:bookmarkEnd w:id="533"/>
      <w:r>
        <w:rPr>
          <w:b w:val="0"/>
        </w:rPr>
      </w:r>
      <w:r>
        <w:rPr>
          <w:color w:val="231F20"/>
        </w:rPr>
        <w:t>Tivoli</w:t>
      </w:r>
      <w:r>
        <w:rPr>
          <w:color w:val="231F20"/>
          <w:spacing w:val="-9"/>
        </w:rPr>
        <w:t> </w:t>
      </w:r>
      <w:r>
        <w:rPr>
          <w:color w:val="231F20"/>
        </w:rPr>
        <w:t>Application</w:t>
      </w:r>
      <w:r>
        <w:rPr>
          <w:color w:val="231F20"/>
          <w:spacing w:val="1"/>
        </w:rPr>
        <w:t> </w:t>
      </w:r>
      <w:r>
        <w:rPr>
          <w:color w:val="231F20"/>
        </w:rPr>
        <w:t>Dependency</w:t>
      </w:r>
      <w:r>
        <w:rPr>
          <w:color w:val="231F20"/>
          <w:spacing w:val="1"/>
        </w:rPr>
        <w:t> </w:t>
      </w:r>
      <w:r>
        <w:rPr>
          <w:color w:val="231F20"/>
        </w:rPr>
        <w:t>Discovery</w:t>
      </w:r>
      <w:r>
        <w:rPr>
          <w:color w:val="231F20"/>
          <w:spacing w:val="1"/>
        </w:rPr>
        <w:t> </w:t>
      </w:r>
      <w:r>
        <w:rPr>
          <w:color w:val="231F20"/>
        </w:rPr>
        <w:t>Manager </w:t>
      </w:r>
      <w:r>
        <w:rPr>
          <w:color w:val="231F20"/>
          <w:spacing w:val="-2"/>
        </w:rPr>
        <w:t>policies</w:t>
      </w:r>
    </w:p>
    <w:p>
      <w:pPr>
        <w:pStyle w:val="BodyText"/>
        <w:spacing w:line="213" w:lineRule="auto" w:before="58"/>
        <w:ind w:left="2472" w:right="545"/>
      </w:pPr>
      <w:r>
        <w:rPr>
          <w:color w:val="231F20"/>
        </w:rPr>
        <w:t>You can create policies that interact with your Tivoli Application Dependency Discovery Manager (TADDM) environment. These policies can forward </w:t>
      </w:r>
      <w:r>
        <w:rPr>
          <w:color w:val="231F20"/>
        </w:rPr>
        <w:t>updates such as, new, changed, or destroyed resources to your TADDM server.</w:t>
      </w:r>
    </w:p>
    <w:p>
      <w:pPr>
        <w:pStyle w:val="BodyText"/>
        <w:spacing w:line="213" w:lineRule="auto" w:before="238"/>
        <w:ind w:left="2472" w:right="545"/>
      </w:pPr>
      <w:r>
        <w:rPr>
          <w:rFonts w:ascii="Book Antiqua"/>
          <w:b/>
          <w:color w:val="231F20"/>
        </w:rPr>
        <w:t>Note:</w:t>
      </w:r>
      <w:r>
        <w:rPr>
          <w:rFonts w:ascii="Book Antiqua"/>
          <w:b/>
          <w:color w:val="231F20"/>
          <w:spacing w:val="40"/>
        </w:rPr>
        <w:t> </w:t>
      </w:r>
      <w:r>
        <w:rPr>
          <w:color w:val="231F20"/>
        </w:rPr>
        <w:t>This functionality is only supported for the IBM Tivoli Monitoring </w:t>
      </w:r>
      <w:r>
        <w:rPr>
          <w:color w:val="231F20"/>
        </w:rPr>
        <w:t>for Virtual Environments Agent for VMware VI.</w:t>
      </w:r>
    </w:p>
    <w:p>
      <w:pPr>
        <w:pStyle w:val="BodyText"/>
        <w:spacing w:before="215"/>
        <w:ind w:left="2472"/>
      </w:pPr>
      <w:r>
        <w:rPr>
          <w:color w:val="231F20"/>
        </w:rPr>
        <w:t>Two</w:t>
      </w:r>
      <w:r>
        <w:rPr>
          <w:color w:val="231F20"/>
          <w:spacing w:val="8"/>
        </w:rPr>
        <w:t> </w:t>
      </w:r>
      <w:r>
        <w:rPr>
          <w:color w:val="231F20"/>
        </w:rPr>
        <w:t>types</w:t>
      </w:r>
      <w:r>
        <w:rPr>
          <w:color w:val="231F20"/>
          <w:spacing w:val="8"/>
        </w:rPr>
        <w:t> </w:t>
      </w:r>
      <w:r>
        <w:rPr>
          <w:color w:val="231F20"/>
        </w:rPr>
        <w:t>of</w:t>
      </w:r>
      <w:r>
        <w:rPr>
          <w:color w:val="231F20"/>
          <w:spacing w:val="8"/>
        </w:rPr>
        <w:t> </w:t>
      </w:r>
      <w:r>
        <w:rPr>
          <w:color w:val="231F20"/>
        </w:rPr>
        <w:t>policies</w:t>
      </w:r>
      <w:r>
        <w:rPr>
          <w:color w:val="231F20"/>
          <w:spacing w:val="8"/>
        </w:rPr>
        <w:t> </w:t>
      </w:r>
      <w:r>
        <w:rPr>
          <w:color w:val="231F20"/>
        </w:rPr>
        <w:t>are</w:t>
      </w:r>
      <w:r>
        <w:rPr>
          <w:color w:val="231F20"/>
          <w:spacing w:val="8"/>
        </w:rPr>
        <w:t> </w:t>
      </w:r>
      <w:r>
        <w:rPr>
          <w:color w:val="231F20"/>
        </w:rPr>
        <w:t>associated</w:t>
      </w:r>
      <w:r>
        <w:rPr>
          <w:color w:val="231F20"/>
          <w:spacing w:val="8"/>
        </w:rPr>
        <w:t> </w:t>
      </w:r>
      <w:r>
        <w:rPr>
          <w:color w:val="231F20"/>
        </w:rPr>
        <w:t>with</w:t>
      </w:r>
      <w:r>
        <w:rPr>
          <w:color w:val="231F20"/>
          <w:spacing w:val="8"/>
        </w:rPr>
        <w:t> </w:t>
      </w:r>
      <w:r>
        <w:rPr>
          <w:color w:val="231F20"/>
          <w:spacing w:val="-2"/>
        </w:rPr>
        <w:t>TADDM:</w:t>
      </w:r>
    </w:p>
    <w:p>
      <w:pPr>
        <w:pStyle w:val="Heading6"/>
        <w:spacing w:before="111"/>
      </w:pPr>
      <w:r>
        <w:rPr>
          <w:color w:val="231F20"/>
          <w:spacing w:val="-2"/>
        </w:rPr>
        <w:t>Initialization</w:t>
      </w:r>
    </w:p>
    <w:p>
      <w:pPr>
        <w:spacing w:line="213" w:lineRule="auto" w:before="11"/>
        <w:ind w:left="3190" w:right="385" w:firstLine="0"/>
        <w:jc w:val="left"/>
        <w:rPr>
          <w:sz w:val="20"/>
        </w:rPr>
      </w:pPr>
      <w:r>
        <w:rPr>
          <w:color w:val="231F20"/>
          <w:sz w:val="20"/>
        </w:rPr>
        <w:t>Initialization policies establish communication with a TADDM server </w:t>
      </w:r>
      <w:r>
        <w:rPr>
          <w:color w:val="231F20"/>
          <w:sz w:val="20"/>
        </w:rPr>
        <w:t>and only contain the </w:t>
      </w:r>
      <w:hyperlink w:history="true" w:anchor="_bookmark251">
        <w:r>
          <w:rPr>
            <w:rFonts w:ascii="Book Antiqua"/>
            <w:b/>
            <w:color w:val="231F20"/>
            <w:sz w:val="20"/>
          </w:rPr>
          <w:t>Configure Tivoli Application Dependency Discovery</w:t>
        </w:r>
      </w:hyperlink>
      <w:r>
        <w:rPr>
          <w:rFonts w:ascii="Book Antiqua"/>
          <w:b/>
          <w:color w:val="231F20"/>
          <w:sz w:val="20"/>
        </w:rPr>
        <w:t> </w:t>
      </w:r>
      <w:hyperlink w:history="true" w:anchor="_bookmark251">
        <w:r>
          <w:rPr>
            <w:rFonts w:ascii="Book Antiqua"/>
            <w:b/>
            <w:color w:val="231F20"/>
            <w:sz w:val="20"/>
          </w:rPr>
          <w:t>Manager Integration</w:t>
        </w:r>
      </w:hyperlink>
      <w:r>
        <w:rPr>
          <w:rFonts w:ascii="Book Antiqua"/>
          <w:b/>
          <w:color w:val="231F20"/>
          <w:sz w:val="20"/>
        </w:rPr>
        <w:t> </w:t>
      </w:r>
      <w:r>
        <w:rPr>
          <w:color w:val="231F20"/>
          <w:sz w:val="20"/>
        </w:rPr>
        <w:t>activity. For every TADDM server you wish to update, you must have a matching </w:t>
      </w:r>
      <w:r>
        <w:rPr>
          <w:rFonts w:ascii="Book Antiqua"/>
          <w:b/>
          <w:color w:val="231F20"/>
          <w:sz w:val="20"/>
        </w:rPr>
        <w:t>Configure Tivoli Application Dependency Discovery Manager Integration </w:t>
      </w:r>
      <w:r>
        <w:rPr>
          <w:color w:val="231F20"/>
          <w:sz w:val="20"/>
        </w:rPr>
        <w:t>activity.</w:t>
      </w:r>
    </w:p>
    <w:p>
      <w:pPr>
        <w:spacing w:line="213" w:lineRule="auto" w:before="117"/>
        <w:ind w:left="3190" w:right="493" w:firstLine="0"/>
        <w:jc w:val="left"/>
        <w:rPr>
          <w:sz w:val="20"/>
        </w:rPr>
      </w:pPr>
      <w:r>
        <w:rPr>
          <w:color w:val="231F20"/>
          <w:sz w:val="20"/>
        </w:rPr>
        <w:t>IBM Tivoli Monitoring provides the TADDM_Initialization policy as </w:t>
      </w:r>
      <w:r>
        <w:rPr>
          <w:color w:val="231F20"/>
          <w:sz w:val="20"/>
        </w:rPr>
        <w:t>a template. This policy includes one </w:t>
      </w:r>
      <w:r>
        <w:rPr>
          <w:rFonts w:ascii="Book Antiqua"/>
          <w:b/>
          <w:color w:val="231F20"/>
          <w:sz w:val="20"/>
        </w:rPr>
        <w:t>Configure Tivoli Application Dependency Discovery Manager Integration </w:t>
      </w:r>
      <w:r>
        <w:rPr>
          <w:color w:val="231F20"/>
          <w:sz w:val="20"/>
        </w:rPr>
        <w:t>activity.</w:t>
      </w:r>
    </w:p>
    <w:p>
      <w:pPr>
        <w:pStyle w:val="BodyText"/>
        <w:spacing w:before="94"/>
        <w:ind w:left="3190"/>
      </w:pPr>
      <w:r>
        <w:rPr>
          <w:color w:val="231F20"/>
        </w:rPr>
        <w:t>To</w:t>
      </w:r>
      <w:r>
        <w:rPr>
          <w:color w:val="231F20"/>
          <w:spacing w:val="6"/>
        </w:rPr>
        <w:t> </w:t>
      </w:r>
      <w:r>
        <w:rPr>
          <w:color w:val="231F20"/>
        </w:rPr>
        <w:t>set</w:t>
      </w:r>
      <w:r>
        <w:rPr>
          <w:color w:val="231F20"/>
          <w:spacing w:val="7"/>
        </w:rPr>
        <w:t> </w:t>
      </w:r>
      <w:r>
        <w:rPr>
          <w:color w:val="231F20"/>
        </w:rPr>
        <w:t>up</w:t>
      </w:r>
      <w:r>
        <w:rPr>
          <w:color w:val="231F20"/>
          <w:spacing w:val="7"/>
        </w:rPr>
        <w:t> </w:t>
      </w:r>
      <w:r>
        <w:rPr>
          <w:color w:val="231F20"/>
        </w:rPr>
        <w:t>your</w:t>
      </w:r>
      <w:r>
        <w:rPr>
          <w:color w:val="231F20"/>
          <w:spacing w:val="7"/>
        </w:rPr>
        <w:t> </w:t>
      </w:r>
      <w:r>
        <w:rPr>
          <w:color w:val="231F20"/>
        </w:rPr>
        <w:t>TADDM</w:t>
      </w:r>
      <w:r>
        <w:rPr>
          <w:color w:val="231F20"/>
          <w:spacing w:val="7"/>
        </w:rPr>
        <w:t> </w:t>
      </w:r>
      <w:r>
        <w:rPr>
          <w:color w:val="231F20"/>
        </w:rPr>
        <w:t>integration,</w:t>
      </w:r>
      <w:r>
        <w:rPr>
          <w:color w:val="231F20"/>
          <w:spacing w:val="6"/>
        </w:rPr>
        <w:t> </w:t>
      </w:r>
      <w:r>
        <w:rPr>
          <w:color w:val="231F20"/>
        </w:rPr>
        <w:t>complete</w:t>
      </w:r>
      <w:r>
        <w:rPr>
          <w:color w:val="231F20"/>
          <w:spacing w:val="7"/>
        </w:rPr>
        <w:t> </w:t>
      </w:r>
      <w:r>
        <w:rPr>
          <w:color w:val="231F20"/>
        </w:rPr>
        <w:t>the</w:t>
      </w:r>
      <w:r>
        <w:rPr>
          <w:color w:val="231F20"/>
          <w:spacing w:val="7"/>
        </w:rPr>
        <w:t> </w:t>
      </w:r>
      <w:r>
        <w:rPr>
          <w:color w:val="231F20"/>
        </w:rPr>
        <w:t>following</w:t>
      </w:r>
      <w:r>
        <w:rPr>
          <w:color w:val="231F20"/>
          <w:spacing w:val="7"/>
        </w:rPr>
        <w:t> </w:t>
      </w:r>
      <w:r>
        <w:rPr>
          <w:color w:val="231F20"/>
          <w:spacing w:val="-2"/>
        </w:rPr>
        <w:t>steps:</w:t>
      </w:r>
    </w:p>
    <w:p>
      <w:pPr>
        <w:pStyle w:val="ListParagraph"/>
        <w:numPr>
          <w:ilvl w:val="0"/>
          <w:numId w:val="148"/>
        </w:numPr>
        <w:tabs>
          <w:tab w:pos="3505" w:val="left" w:leader="none"/>
        </w:tabs>
        <w:spacing w:line="240" w:lineRule="auto" w:before="30" w:after="0"/>
        <w:ind w:left="3505" w:right="0" w:hanging="315"/>
        <w:jc w:val="left"/>
        <w:rPr>
          <w:sz w:val="20"/>
        </w:rPr>
      </w:pPr>
      <w:r>
        <w:rPr>
          <w:color w:val="231F20"/>
          <w:sz w:val="20"/>
        </w:rPr>
        <w:t>Click</w:t>
      </w:r>
      <w:r>
        <w:rPr>
          <w:color w:val="231F20"/>
          <w:spacing w:val="7"/>
          <w:sz w:val="20"/>
        </w:rPr>
        <w:t> </w:t>
      </w:r>
      <w:r>
        <w:rPr>
          <w:color w:val="231F20"/>
          <w:spacing w:val="16"/>
          <w:position w:val="-1"/>
          <w:sz w:val="20"/>
        </w:rPr>
        <w:drawing>
          <wp:inline distT="0" distB="0" distL="0" distR="0">
            <wp:extent cx="101600" cy="101600"/>
            <wp:effectExtent l="0" t="0" r="0" b="0"/>
            <wp:docPr id="2822" name="Image 2822"/>
            <wp:cNvGraphicFramePr>
              <a:graphicFrameLocks/>
            </wp:cNvGraphicFramePr>
            <a:graphic>
              <a:graphicData uri="http://schemas.openxmlformats.org/drawingml/2006/picture">
                <pic:pic>
                  <pic:nvPicPr>
                    <pic:cNvPr id="2822" name="Image 2822"/>
                    <pic:cNvPicPr/>
                  </pic:nvPicPr>
                  <pic:blipFill>
                    <a:blip r:embed="rId3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37"/>
          <w:sz w:val="20"/>
        </w:rPr>
        <w:t> </w:t>
      </w:r>
      <w:r>
        <w:rPr>
          <w:rFonts w:ascii="Book Antiqua"/>
          <w:b/>
          <w:color w:val="231F20"/>
          <w:sz w:val="20"/>
        </w:rPr>
        <w:t>Workflow</w:t>
      </w:r>
      <w:r>
        <w:rPr>
          <w:rFonts w:ascii="Book Antiqua"/>
          <w:b/>
          <w:color w:val="231F20"/>
          <w:spacing w:val="8"/>
          <w:sz w:val="20"/>
        </w:rPr>
        <w:t> </w:t>
      </w:r>
      <w:r>
        <w:rPr>
          <w:rFonts w:ascii="Book Antiqua"/>
          <w:b/>
          <w:color w:val="231F20"/>
          <w:spacing w:val="-2"/>
          <w:sz w:val="20"/>
        </w:rPr>
        <w:t>Editor</w:t>
      </w:r>
      <w:r>
        <w:rPr>
          <w:color w:val="231F20"/>
          <w:spacing w:val="-2"/>
          <w:sz w:val="20"/>
        </w:rPr>
        <w:t>.</w:t>
      </w:r>
    </w:p>
    <w:p>
      <w:pPr>
        <w:pStyle w:val="ListParagraph"/>
        <w:numPr>
          <w:ilvl w:val="0"/>
          <w:numId w:val="148"/>
        </w:numPr>
        <w:tabs>
          <w:tab w:pos="3506" w:val="left" w:leader="none"/>
        </w:tabs>
        <w:spacing w:line="213" w:lineRule="auto" w:before="52" w:after="0"/>
        <w:ind w:left="3506" w:right="359" w:hanging="316"/>
        <w:jc w:val="left"/>
        <w:rPr>
          <w:sz w:val="20"/>
        </w:rPr>
      </w:pPr>
      <w:r>
        <w:rPr>
          <w:color w:val="231F20"/>
          <w:sz w:val="20"/>
        </w:rPr>
        <w:t>Select the </w:t>
      </w:r>
      <w:r>
        <w:rPr>
          <w:rFonts w:ascii="Book Antiqua"/>
          <w:b/>
          <w:color w:val="231F20"/>
          <w:sz w:val="20"/>
        </w:rPr>
        <w:t>TADDM_Initialization </w:t>
      </w:r>
      <w:r>
        <w:rPr>
          <w:color w:val="231F20"/>
          <w:sz w:val="20"/>
        </w:rPr>
        <w:t>policy, and click</w:t>
      </w:r>
      <w:r>
        <w:rPr>
          <w:color w:val="231F20"/>
          <w:spacing w:val="40"/>
          <w:sz w:val="20"/>
        </w:rPr>
        <w:t> </w:t>
      </w:r>
      <w:r>
        <w:rPr>
          <w:color w:val="231F20"/>
          <w:spacing w:val="-15"/>
          <w:position w:val="-1"/>
          <w:sz w:val="20"/>
        </w:rPr>
        <w:drawing>
          <wp:inline distT="0" distB="0" distL="0" distR="0">
            <wp:extent cx="82550" cy="95250"/>
            <wp:effectExtent l="0" t="0" r="0" b="0"/>
            <wp:docPr id="2823" name="Image 2823"/>
            <wp:cNvGraphicFramePr>
              <a:graphicFrameLocks/>
            </wp:cNvGraphicFramePr>
            <a:graphic>
              <a:graphicData uri="http://schemas.openxmlformats.org/drawingml/2006/picture">
                <pic:pic>
                  <pic:nvPicPr>
                    <pic:cNvPr id="2823" name="Image 2823"/>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rFonts w:ascii="Book Antiqua"/>
          <w:b/>
          <w:color w:val="231F20"/>
          <w:sz w:val="20"/>
        </w:rPr>
        <w:t>Copy Policy</w:t>
      </w:r>
      <w:r>
        <w:rPr>
          <w:color w:val="231F20"/>
          <w:sz w:val="20"/>
        </w:rPr>
        <w:t>. Give the new policy a meaningful name, such as </w:t>
      </w:r>
      <w:r>
        <w:rPr>
          <w:rFonts w:ascii="Arial"/>
          <w:color w:val="231F20"/>
          <w:sz w:val="20"/>
        </w:rPr>
        <w:t>TADDM_Init_Austin3</w:t>
      </w:r>
      <w:r>
        <w:rPr>
          <w:color w:val="231F20"/>
          <w:sz w:val="20"/>
        </w:rPr>
        <w:t>.</w:t>
      </w:r>
    </w:p>
    <w:p>
      <w:pPr>
        <w:pStyle w:val="ListParagraph"/>
        <w:numPr>
          <w:ilvl w:val="0"/>
          <w:numId w:val="148"/>
        </w:numPr>
        <w:tabs>
          <w:tab w:pos="3506" w:val="left" w:leader="none"/>
        </w:tabs>
        <w:spacing w:line="213" w:lineRule="auto" w:before="59" w:after="0"/>
        <w:ind w:left="3506" w:right="219" w:hanging="316"/>
        <w:jc w:val="left"/>
        <w:rPr>
          <w:sz w:val="20"/>
        </w:rPr>
      </w:pPr>
      <w:r>
        <w:rPr>
          <w:color w:val="231F20"/>
          <w:sz w:val="20"/>
        </w:rPr>
        <w:t>In the workflow for your new policy, double-click the </w:t>
      </w:r>
      <w:r>
        <w:rPr>
          <w:rFonts w:ascii="Book Antiqua"/>
          <w:b/>
          <w:color w:val="231F20"/>
          <w:sz w:val="20"/>
        </w:rPr>
        <w:t>Configure Tivoli Application Dependency Discovery Manager Integration </w:t>
      </w:r>
      <w:r>
        <w:rPr>
          <w:color w:val="231F20"/>
          <w:sz w:val="20"/>
        </w:rPr>
        <w:t>activity and enter your specific server information. Fill out any required fields (indicated by </w:t>
      </w:r>
      <w:r>
        <w:rPr>
          <w:rFonts w:ascii="Arial"/>
          <w:color w:val="231F20"/>
          <w:sz w:val="20"/>
        </w:rPr>
        <w:t>???</w:t>
      </w:r>
      <w:r>
        <w:rPr>
          <w:color w:val="231F20"/>
          <w:sz w:val="20"/>
        </w:rPr>
        <w:t>).</w:t>
      </w:r>
    </w:p>
    <w:p>
      <w:pPr>
        <w:pStyle w:val="ListParagraph"/>
        <w:numPr>
          <w:ilvl w:val="0"/>
          <w:numId w:val="148"/>
        </w:numPr>
        <w:tabs>
          <w:tab w:pos="3505" w:val="left" w:leader="none"/>
        </w:tabs>
        <w:spacing w:line="240" w:lineRule="auto" w:before="34" w:after="0"/>
        <w:ind w:left="3505" w:right="0" w:hanging="315"/>
        <w:jc w:val="left"/>
        <w:rPr>
          <w:sz w:val="20"/>
        </w:rPr>
      </w:pPr>
      <w:r>
        <w:rPr>
          <w:color w:val="231F20"/>
          <w:sz w:val="20"/>
        </w:rPr>
        <w:t>Ensure</w:t>
      </w:r>
      <w:r>
        <w:rPr>
          <w:color w:val="231F20"/>
          <w:spacing w:val="10"/>
          <w:sz w:val="20"/>
        </w:rPr>
        <w:t> </w:t>
      </w:r>
      <w:r>
        <w:rPr>
          <w:color w:val="231F20"/>
          <w:sz w:val="20"/>
        </w:rPr>
        <w:t>the</w:t>
      </w:r>
      <w:r>
        <w:rPr>
          <w:color w:val="231F20"/>
          <w:spacing w:val="10"/>
          <w:sz w:val="20"/>
        </w:rPr>
        <w:t> </w:t>
      </w:r>
      <w:r>
        <w:rPr>
          <w:color w:val="231F20"/>
          <w:sz w:val="20"/>
        </w:rPr>
        <w:t>policy</w:t>
      </w:r>
      <w:r>
        <w:rPr>
          <w:color w:val="231F20"/>
          <w:spacing w:val="10"/>
          <w:sz w:val="20"/>
        </w:rPr>
        <w:t> </w:t>
      </w:r>
      <w:r>
        <w:rPr>
          <w:color w:val="231F20"/>
          <w:sz w:val="20"/>
        </w:rPr>
        <w:t>is</w:t>
      </w:r>
      <w:r>
        <w:rPr>
          <w:color w:val="231F20"/>
          <w:spacing w:val="10"/>
          <w:sz w:val="20"/>
        </w:rPr>
        <w:t> </w:t>
      </w:r>
      <w:r>
        <w:rPr>
          <w:color w:val="231F20"/>
          <w:sz w:val="20"/>
        </w:rPr>
        <w:t>configured</w:t>
      </w:r>
      <w:r>
        <w:rPr>
          <w:color w:val="231F20"/>
          <w:spacing w:val="10"/>
          <w:sz w:val="20"/>
        </w:rPr>
        <w:t> </w:t>
      </w:r>
      <w:r>
        <w:rPr>
          <w:color w:val="231F20"/>
          <w:sz w:val="20"/>
        </w:rPr>
        <w:t>as</w:t>
      </w:r>
      <w:r>
        <w:rPr>
          <w:color w:val="231F20"/>
          <w:spacing w:val="10"/>
          <w:sz w:val="20"/>
        </w:rPr>
        <w:t> </w:t>
      </w:r>
      <w:r>
        <w:rPr>
          <w:color w:val="231F20"/>
          <w:spacing w:val="-2"/>
          <w:sz w:val="20"/>
        </w:rPr>
        <w:t>follows:</w:t>
      </w:r>
    </w:p>
    <w:p>
      <w:pPr>
        <w:pStyle w:val="BodyText"/>
        <w:spacing w:before="2"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08"/>
        <w:gridCol w:w="990"/>
        <w:gridCol w:w="990"/>
        <w:gridCol w:w="990"/>
        <w:gridCol w:w="990"/>
        <w:gridCol w:w="990"/>
        <w:gridCol w:w="975"/>
      </w:tblGrid>
      <w:tr>
        <w:trPr>
          <w:trHeight w:val="229" w:hRule="atLeast"/>
        </w:trPr>
        <w:tc>
          <w:tcPr>
            <w:tcW w:w="1608" w:type="dxa"/>
          </w:tcPr>
          <w:p>
            <w:pPr>
              <w:pStyle w:val="TableParagraph"/>
              <w:spacing w:before="23"/>
              <w:ind w:left="44"/>
              <w:rPr>
                <w:rFonts w:ascii="Book Antiqua"/>
                <w:b/>
                <w:sz w:val="14"/>
              </w:rPr>
            </w:pPr>
            <w:r>
              <w:rPr>
                <w:rFonts w:ascii="Book Antiqua"/>
                <w:b/>
                <w:color w:val="231F20"/>
                <w:sz w:val="14"/>
              </w:rPr>
              <w:t>Policy</w:t>
            </w:r>
            <w:r>
              <w:rPr>
                <w:rFonts w:ascii="Book Antiqua"/>
                <w:b/>
                <w:color w:val="231F20"/>
                <w:spacing w:val="7"/>
                <w:sz w:val="14"/>
              </w:rPr>
              <w:t> </w:t>
            </w:r>
            <w:r>
              <w:rPr>
                <w:rFonts w:ascii="Book Antiqua"/>
                <w:b/>
                <w:color w:val="231F20"/>
                <w:spacing w:val="-4"/>
                <w:sz w:val="14"/>
              </w:rPr>
              <w:t>name</w:t>
            </w:r>
          </w:p>
        </w:tc>
        <w:tc>
          <w:tcPr>
            <w:tcW w:w="990" w:type="dxa"/>
          </w:tcPr>
          <w:p>
            <w:pPr>
              <w:pStyle w:val="TableParagraph"/>
              <w:spacing w:before="23"/>
              <w:rPr>
                <w:rFonts w:ascii="Book Antiqua"/>
                <w:b/>
                <w:sz w:val="14"/>
              </w:rPr>
            </w:pPr>
            <w:r>
              <w:rPr>
                <w:rFonts w:ascii="Book Antiqua"/>
                <w:b/>
                <w:color w:val="231F20"/>
                <w:spacing w:val="-2"/>
                <w:sz w:val="14"/>
              </w:rPr>
              <w:t>Distributed</w:t>
            </w:r>
          </w:p>
        </w:tc>
        <w:tc>
          <w:tcPr>
            <w:tcW w:w="990" w:type="dxa"/>
          </w:tcPr>
          <w:p>
            <w:pPr>
              <w:pStyle w:val="TableParagraph"/>
              <w:spacing w:before="23"/>
              <w:ind w:left="60"/>
              <w:rPr>
                <w:rFonts w:ascii="Book Antiqua"/>
                <w:b/>
                <w:sz w:val="14"/>
              </w:rPr>
            </w:pPr>
            <w:r>
              <w:rPr>
                <w:rFonts w:ascii="Book Antiqua"/>
                <w:b/>
                <w:color w:val="231F20"/>
                <w:sz w:val="14"/>
              </w:rPr>
              <w:t>Auto</w:t>
            </w:r>
            <w:r>
              <w:rPr>
                <w:rFonts w:ascii="Book Antiqua"/>
                <w:b/>
                <w:color w:val="231F20"/>
                <w:spacing w:val="7"/>
                <w:sz w:val="14"/>
              </w:rPr>
              <w:t> </w:t>
            </w:r>
            <w:r>
              <w:rPr>
                <w:rFonts w:ascii="Book Antiqua"/>
                <w:b/>
                <w:color w:val="231F20"/>
                <w:spacing w:val="-2"/>
                <w:sz w:val="14"/>
              </w:rPr>
              <w:t>start</w:t>
            </w:r>
          </w:p>
        </w:tc>
        <w:tc>
          <w:tcPr>
            <w:tcW w:w="990" w:type="dxa"/>
          </w:tcPr>
          <w:p>
            <w:pPr>
              <w:pStyle w:val="TableParagraph"/>
              <w:spacing w:before="23"/>
              <w:ind w:left="60"/>
              <w:rPr>
                <w:rFonts w:ascii="Book Antiqua"/>
                <w:b/>
                <w:sz w:val="14"/>
              </w:rPr>
            </w:pPr>
            <w:r>
              <w:rPr>
                <w:rFonts w:ascii="Book Antiqua"/>
                <w:b/>
                <w:color w:val="231F20"/>
                <w:sz w:val="14"/>
              </w:rPr>
              <w:t>Save</w:t>
            </w:r>
            <w:r>
              <w:rPr>
                <w:rFonts w:ascii="Book Antiqua"/>
                <w:b/>
                <w:color w:val="231F20"/>
                <w:spacing w:val="7"/>
                <w:sz w:val="14"/>
              </w:rPr>
              <w:t> </w:t>
            </w:r>
            <w:r>
              <w:rPr>
                <w:rFonts w:ascii="Book Antiqua"/>
                <w:b/>
                <w:color w:val="231F20"/>
                <w:spacing w:val="-2"/>
                <w:sz w:val="14"/>
              </w:rPr>
              <w:t>results</w:t>
            </w:r>
          </w:p>
        </w:tc>
        <w:tc>
          <w:tcPr>
            <w:tcW w:w="990" w:type="dxa"/>
          </w:tcPr>
          <w:p>
            <w:pPr>
              <w:pStyle w:val="TableParagraph"/>
              <w:spacing w:before="23"/>
              <w:ind w:left="60"/>
              <w:rPr>
                <w:rFonts w:ascii="Book Antiqua"/>
                <w:b/>
                <w:sz w:val="14"/>
              </w:rPr>
            </w:pPr>
            <w:r>
              <w:rPr>
                <w:rFonts w:ascii="Book Antiqua"/>
                <w:b/>
                <w:color w:val="231F20"/>
                <w:sz w:val="14"/>
              </w:rPr>
              <w:t>Correlate</w:t>
            </w:r>
            <w:r>
              <w:rPr>
                <w:rFonts w:ascii="Book Antiqua"/>
                <w:b/>
                <w:color w:val="231F20"/>
                <w:spacing w:val="5"/>
                <w:sz w:val="14"/>
              </w:rPr>
              <w:t> </w:t>
            </w:r>
            <w:r>
              <w:rPr>
                <w:rFonts w:ascii="Book Antiqua"/>
                <w:b/>
                <w:color w:val="231F20"/>
                <w:spacing w:val="-5"/>
                <w:sz w:val="14"/>
              </w:rPr>
              <w:t>by</w:t>
            </w:r>
          </w:p>
        </w:tc>
        <w:tc>
          <w:tcPr>
            <w:tcW w:w="990" w:type="dxa"/>
          </w:tcPr>
          <w:p>
            <w:pPr>
              <w:pStyle w:val="TableParagraph"/>
              <w:spacing w:before="23"/>
              <w:ind w:left="60"/>
              <w:rPr>
                <w:rFonts w:ascii="Book Antiqua"/>
                <w:b/>
                <w:sz w:val="14"/>
              </w:rPr>
            </w:pPr>
            <w:r>
              <w:rPr>
                <w:rFonts w:ascii="Book Antiqua"/>
                <w:b/>
                <w:color w:val="231F20"/>
                <w:sz w:val="14"/>
              </w:rPr>
              <w:t>Limit</w:t>
            </w:r>
            <w:r>
              <w:rPr>
                <w:rFonts w:ascii="Book Antiqua"/>
                <w:b/>
                <w:color w:val="231F20"/>
                <w:spacing w:val="7"/>
                <w:sz w:val="14"/>
              </w:rPr>
              <w:t> </w:t>
            </w:r>
            <w:r>
              <w:rPr>
                <w:rFonts w:ascii="Book Antiqua"/>
                <w:b/>
                <w:color w:val="231F20"/>
                <w:spacing w:val="-2"/>
                <w:sz w:val="14"/>
              </w:rPr>
              <w:t>restarts</w:t>
            </w:r>
          </w:p>
        </w:tc>
        <w:tc>
          <w:tcPr>
            <w:tcW w:w="975" w:type="dxa"/>
          </w:tcPr>
          <w:p>
            <w:pPr>
              <w:pStyle w:val="TableParagraph"/>
              <w:spacing w:before="23"/>
              <w:ind w:left="60"/>
              <w:rPr>
                <w:rFonts w:ascii="Book Antiqua"/>
                <w:b/>
                <w:sz w:val="14"/>
              </w:rPr>
            </w:pPr>
            <w:r>
              <w:rPr>
                <w:rFonts w:ascii="Book Antiqua"/>
                <w:b/>
                <w:color w:val="231F20"/>
                <w:spacing w:val="-2"/>
                <w:sz w:val="14"/>
              </w:rPr>
              <w:t>Restart</w:t>
            </w:r>
          </w:p>
        </w:tc>
      </w:tr>
      <w:tr>
        <w:trPr>
          <w:trHeight w:val="269" w:hRule="atLeast"/>
        </w:trPr>
        <w:tc>
          <w:tcPr>
            <w:tcW w:w="1608" w:type="dxa"/>
          </w:tcPr>
          <w:p>
            <w:pPr>
              <w:pStyle w:val="TableParagraph"/>
              <w:spacing w:before="38"/>
              <w:ind w:left="44"/>
              <w:rPr>
                <w:rFonts w:ascii="Arial"/>
                <w:sz w:val="14"/>
              </w:rPr>
            </w:pPr>
            <w:r>
              <w:rPr>
                <w:rFonts w:ascii="Arial"/>
                <w:color w:val="231F20"/>
                <w:spacing w:val="-2"/>
                <w:sz w:val="14"/>
              </w:rPr>
              <w:t>TADDM_Init_Austin3</w:t>
            </w:r>
          </w:p>
        </w:tc>
        <w:tc>
          <w:tcPr>
            <w:tcW w:w="990" w:type="dxa"/>
          </w:tcPr>
          <w:p>
            <w:pPr>
              <w:pStyle w:val="TableParagraph"/>
              <w:spacing w:before="3"/>
              <w:ind w:left="0"/>
              <w:rPr>
                <w:sz w:val="6"/>
              </w:rPr>
            </w:pPr>
          </w:p>
          <w:p>
            <w:pPr>
              <w:pStyle w:val="TableParagraph"/>
              <w:spacing w:line="130" w:lineRule="exact" w:before="0"/>
              <w:rPr>
                <w:sz w:val="13"/>
              </w:rPr>
            </w:pPr>
            <w:r>
              <w:rPr>
                <w:position w:val="-2"/>
                <w:sz w:val="13"/>
              </w:rPr>
              <w:drawing>
                <wp:inline distT="0" distB="0" distL="0" distR="0">
                  <wp:extent cx="82962" cy="82962"/>
                  <wp:effectExtent l="0" t="0" r="0" b="0"/>
                  <wp:docPr id="2824" name="Image 2824"/>
                  <wp:cNvGraphicFramePr>
                    <a:graphicFrameLocks/>
                  </wp:cNvGraphicFramePr>
                  <a:graphic>
                    <a:graphicData uri="http://schemas.openxmlformats.org/drawingml/2006/picture">
                      <pic:pic>
                        <pic:nvPicPr>
                          <pic:cNvPr id="2824" name="Image 2824"/>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990" w:type="dxa"/>
          </w:tcPr>
          <w:p>
            <w:pPr>
              <w:pStyle w:val="TableParagraph"/>
              <w:spacing w:before="3"/>
              <w:ind w:left="0"/>
              <w:rPr>
                <w:sz w:val="6"/>
              </w:rPr>
            </w:pPr>
          </w:p>
          <w:p>
            <w:pPr>
              <w:pStyle w:val="TableParagraph"/>
              <w:spacing w:line="130" w:lineRule="exact" w:before="0"/>
              <w:rPr>
                <w:sz w:val="13"/>
              </w:rPr>
            </w:pPr>
            <w:r>
              <w:rPr>
                <w:position w:val="-2"/>
                <w:sz w:val="13"/>
              </w:rPr>
              <w:drawing>
                <wp:inline distT="0" distB="0" distL="0" distR="0">
                  <wp:extent cx="82962" cy="82962"/>
                  <wp:effectExtent l="0" t="0" r="0" b="0"/>
                  <wp:docPr id="2825" name="Image 2825"/>
                  <wp:cNvGraphicFramePr>
                    <a:graphicFrameLocks/>
                  </wp:cNvGraphicFramePr>
                  <a:graphic>
                    <a:graphicData uri="http://schemas.openxmlformats.org/drawingml/2006/picture">
                      <pic:pic>
                        <pic:nvPicPr>
                          <pic:cNvPr id="2825" name="Image 2825"/>
                          <pic:cNvPicPr/>
                        </pic:nvPicPr>
                        <pic:blipFill>
                          <a:blip r:embed="rId87" cstate="print"/>
                          <a:stretch>
                            <a:fillRect/>
                          </a:stretch>
                        </pic:blipFill>
                        <pic:spPr>
                          <a:xfrm>
                            <a:off x="0" y="0"/>
                            <a:ext cx="82962" cy="82962"/>
                          </a:xfrm>
                          <a:prstGeom prst="rect">
                            <a:avLst/>
                          </a:prstGeom>
                        </pic:spPr>
                      </pic:pic>
                    </a:graphicData>
                  </a:graphic>
                </wp:inline>
              </w:drawing>
            </w:r>
            <w:r>
              <w:rPr>
                <w:position w:val="-2"/>
                <w:sz w:val="13"/>
              </w:rPr>
            </w:r>
          </w:p>
        </w:tc>
        <w:tc>
          <w:tcPr>
            <w:tcW w:w="990" w:type="dxa"/>
          </w:tcPr>
          <w:p>
            <w:pPr>
              <w:pStyle w:val="TableParagraph"/>
              <w:spacing w:before="3"/>
              <w:ind w:left="0"/>
              <w:rPr>
                <w:sz w:val="6"/>
              </w:rPr>
            </w:pPr>
          </w:p>
          <w:p>
            <w:pPr>
              <w:pStyle w:val="TableParagraph"/>
              <w:spacing w:line="130" w:lineRule="exact" w:before="0"/>
              <w:ind w:left="60"/>
              <w:rPr>
                <w:sz w:val="13"/>
              </w:rPr>
            </w:pPr>
            <w:r>
              <w:rPr>
                <w:position w:val="-2"/>
                <w:sz w:val="13"/>
              </w:rPr>
              <w:drawing>
                <wp:inline distT="0" distB="0" distL="0" distR="0">
                  <wp:extent cx="82962" cy="82962"/>
                  <wp:effectExtent l="0" t="0" r="0" b="0"/>
                  <wp:docPr id="2826" name="Image 2826"/>
                  <wp:cNvGraphicFramePr>
                    <a:graphicFrameLocks/>
                  </wp:cNvGraphicFramePr>
                  <a:graphic>
                    <a:graphicData uri="http://schemas.openxmlformats.org/drawingml/2006/picture">
                      <pic:pic>
                        <pic:nvPicPr>
                          <pic:cNvPr id="2826" name="Image 2826"/>
                          <pic:cNvPicPr/>
                        </pic:nvPicPr>
                        <pic:blipFill>
                          <a:blip r:embed="rId120" cstate="print"/>
                          <a:stretch>
                            <a:fillRect/>
                          </a:stretch>
                        </pic:blipFill>
                        <pic:spPr>
                          <a:xfrm>
                            <a:off x="0" y="0"/>
                            <a:ext cx="82962" cy="82962"/>
                          </a:xfrm>
                          <a:prstGeom prst="rect">
                            <a:avLst/>
                          </a:prstGeom>
                        </pic:spPr>
                      </pic:pic>
                    </a:graphicData>
                  </a:graphic>
                </wp:inline>
              </w:drawing>
            </w:r>
            <w:r>
              <w:rPr>
                <w:position w:val="-2"/>
                <w:sz w:val="13"/>
              </w:rPr>
            </w:r>
          </w:p>
        </w:tc>
        <w:tc>
          <w:tcPr>
            <w:tcW w:w="990" w:type="dxa"/>
          </w:tcPr>
          <w:p>
            <w:pPr>
              <w:pStyle w:val="TableParagraph"/>
              <w:spacing w:before="22"/>
              <w:ind w:left="60"/>
              <w:rPr>
                <w:sz w:val="14"/>
              </w:rPr>
            </w:pPr>
            <w:r>
              <w:rPr>
                <w:color w:val="231F20"/>
                <w:spacing w:val="-2"/>
                <w:sz w:val="14"/>
              </w:rPr>
              <w:t>Uncorrelated</w:t>
            </w:r>
          </w:p>
        </w:tc>
        <w:tc>
          <w:tcPr>
            <w:tcW w:w="990" w:type="dxa"/>
          </w:tcPr>
          <w:p>
            <w:pPr>
              <w:pStyle w:val="TableParagraph"/>
              <w:spacing w:before="3"/>
              <w:ind w:left="0"/>
              <w:rPr>
                <w:sz w:val="6"/>
              </w:rPr>
            </w:pPr>
          </w:p>
          <w:p>
            <w:pPr>
              <w:pStyle w:val="TableParagraph"/>
              <w:spacing w:line="130" w:lineRule="exact" w:before="0"/>
              <w:ind w:left="60"/>
              <w:rPr>
                <w:sz w:val="13"/>
              </w:rPr>
            </w:pPr>
            <w:r>
              <w:rPr>
                <w:position w:val="-2"/>
                <w:sz w:val="13"/>
              </w:rPr>
              <w:drawing>
                <wp:inline distT="0" distB="0" distL="0" distR="0">
                  <wp:extent cx="82962" cy="82962"/>
                  <wp:effectExtent l="0" t="0" r="0" b="0"/>
                  <wp:docPr id="2827" name="Image 2827"/>
                  <wp:cNvGraphicFramePr>
                    <a:graphicFrameLocks/>
                  </wp:cNvGraphicFramePr>
                  <a:graphic>
                    <a:graphicData uri="http://schemas.openxmlformats.org/drawingml/2006/picture">
                      <pic:pic>
                        <pic:nvPicPr>
                          <pic:cNvPr id="2827" name="Image 2827"/>
                          <pic:cNvPicPr/>
                        </pic:nvPicPr>
                        <pic:blipFill>
                          <a:blip r:embed="rId120" cstate="print"/>
                          <a:stretch>
                            <a:fillRect/>
                          </a:stretch>
                        </pic:blipFill>
                        <pic:spPr>
                          <a:xfrm>
                            <a:off x="0" y="0"/>
                            <a:ext cx="82962" cy="82962"/>
                          </a:xfrm>
                          <a:prstGeom prst="rect">
                            <a:avLst/>
                          </a:prstGeom>
                        </pic:spPr>
                      </pic:pic>
                    </a:graphicData>
                  </a:graphic>
                </wp:inline>
              </w:drawing>
            </w:r>
            <w:r>
              <w:rPr>
                <w:position w:val="-2"/>
                <w:sz w:val="13"/>
              </w:rPr>
            </w:r>
          </w:p>
        </w:tc>
        <w:tc>
          <w:tcPr>
            <w:tcW w:w="975" w:type="dxa"/>
          </w:tcPr>
          <w:p>
            <w:pPr>
              <w:pStyle w:val="TableParagraph"/>
              <w:spacing w:before="3"/>
              <w:ind w:left="0"/>
              <w:rPr>
                <w:sz w:val="6"/>
              </w:rPr>
            </w:pPr>
          </w:p>
          <w:p>
            <w:pPr>
              <w:pStyle w:val="TableParagraph"/>
              <w:spacing w:line="130" w:lineRule="exact" w:before="0"/>
              <w:ind w:left="60"/>
              <w:rPr>
                <w:sz w:val="13"/>
              </w:rPr>
            </w:pPr>
            <w:r>
              <w:rPr>
                <w:position w:val="-2"/>
                <w:sz w:val="13"/>
              </w:rPr>
              <w:drawing>
                <wp:inline distT="0" distB="0" distL="0" distR="0">
                  <wp:extent cx="82962" cy="82962"/>
                  <wp:effectExtent l="0" t="0" r="0" b="0"/>
                  <wp:docPr id="2828" name="Image 2828"/>
                  <wp:cNvGraphicFramePr>
                    <a:graphicFrameLocks/>
                  </wp:cNvGraphicFramePr>
                  <a:graphic>
                    <a:graphicData uri="http://schemas.openxmlformats.org/drawingml/2006/picture">
                      <pic:pic>
                        <pic:nvPicPr>
                          <pic:cNvPr id="2828" name="Image 2828"/>
                          <pic:cNvPicPr/>
                        </pic:nvPicPr>
                        <pic:blipFill>
                          <a:blip r:embed="rId120" cstate="print"/>
                          <a:stretch>
                            <a:fillRect/>
                          </a:stretch>
                        </pic:blipFill>
                        <pic:spPr>
                          <a:xfrm>
                            <a:off x="0" y="0"/>
                            <a:ext cx="82962" cy="82962"/>
                          </a:xfrm>
                          <a:prstGeom prst="rect">
                            <a:avLst/>
                          </a:prstGeom>
                        </pic:spPr>
                      </pic:pic>
                    </a:graphicData>
                  </a:graphic>
                </wp:inline>
              </w:drawing>
            </w:r>
            <w:r>
              <w:rPr>
                <w:position w:val="-2"/>
                <w:sz w:val="13"/>
              </w:rPr>
            </w:r>
          </w:p>
        </w:tc>
      </w:tr>
    </w:tbl>
    <w:p>
      <w:pPr>
        <w:spacing w:after="0" w:line="130" w:lineRule="exact"/>
        <w:rPr>
          <w:sz w:val="13"/>
        </w:rPr>
        <w:sectPr>
          <w:pgSz w:w="12240" w:h="15840"/>
          <w:pgMar w:header="0" w:footer="736" w:top="1180" w:bottom="920" w:left="1000" w:right="10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6"/>
      </w:pPr>
    </w:p>
    <w:p>
      <w:pPr>
        <w:pStyle w:val="Heading6"/>
        <w:spacing w:line="240" w:lineRule="auto" w:before="0"/>
        <w:ind w:left="0"/>
        <w:jc w:val="right"/>
      </w:pPr>
      <w:bookmarkStart w:name="_bookmark261" w:id="534"/>
      <w:bookmarkEnd w:id="534"/>
      <w:r>
        <w:rPr>
          <w:b w:val="0"/>
        </w:rPr>
      </w:r>
      <w:r>
        <w:rPr>
          <w:color w:val="231F20"/>
          <w:spacing w:val="-2"/>
        </w:rPr>
        <w:t>Update</w:t>
      </w:r>
    </w:p>
    <w:p>
      <w:pPr>
        <w:pStyle w:val="BodyText"/>
        <w:spacing w:line="160" w:lineRule="auto" w:before="131"/>
        <w:ind w:left="329" w:right="510"/>
      </w:pPr>
      <w:r>
        <w:rPr/>
        <w:br w:type="column"/>
      </w:r>
      <w:r>
        <w:rPr>
          <w:color w:val="231F20"/>
        </w:rPr>
        <w:t>When selecting </w:t>
      </w:r>
      <w:r>
        <w:rPr>
          <w:rFonts w:ascii="Book Antiqua"/>
          <w:b/>
          <w:color w:val="231F20"/>
        </w:rPr>
        <w:t>Distributed</w:t>
      </w:r>
      <w:r>
        <w:rPr>
          <w:color w:val="231F20"/>
        </w:rPr>
        <w:t>, make sure to assign all monitoring </w:t>
      </w:r>
      <w:r>
        <w:rPr>
          <w:color w:val="231F20"/>
        </w:rPr>
        <w:t>servers (select the </w:t>
      </w:r>
      <w:r>
        <w:rPr>
          <w:rFonts w:ascii="Arial"/>
          <w:color w:val="231F20"/>
        </w:rPr>
        <w:t>*ALL_CMS </w:t>
      </w:r>
      <w:r>
        <w:rPr>
          <w:color w:val="231F20"/>
        </w:rPr>
        <w:t>managed system group).</w:t>
      </w:r>
    </w:p>
    <w:p>
      <w:pPr>
        <w:pStyle w:val="ListParagraph"/>
        <w:numPr>
          <w:ilvl w:val="0"/>
          <w:numId w:val="148"/>
        </w:numPr>
        <w:tabs>
          <w:tab w:pos="328" w:val="left" w:leader="none"/>
        </w:tabs>
        <w:spacing w:line="240" w:lineRule="auto" w:before="28" w:after="0"/>
        <w:ind w:left="328" w:right="0" w:hanging="315"/>
        <w:jc w:val="left"/>
        <w:rPr>
          <w:sz w:val="20"/>
        </w:rPr>
      </w:pPr>
      <w:r>
        <w:rPr>
          <w:color w:val="231F20"/>
          <w:sz w:val="20"/>
        </w:rPr>
        <w:t>To</w:t>
      </w:r>
      <w:r>
        <w:rPr>
          <w:color w:val="231F20"/>
          <w:spacing w:val="9"/>
          <w:sz w:val="20"/>
        </w:rPr>
        <w:t> </w:t>
      </w:r>
      <w:r>
        <w:rPr>
          <w:color w:val="231F20"/>
          <w:sz w:val="20"/>
        </w:rPr>
        <w:t>save</w:t>
      </w:r>
      <w:r>
        <w:rPr>
          <w:color w:val="231F20"/>
          <w:spacing w:val="9"/>
          <w:sz w:val="20"/>
        </w:rPr>
        <w:t> </w:t>
      </w:r>
      <w:r>
        <w:rPr>
          <w:color w:val="231F20"/>
          <w:sz w:val="20"/>
        </w:rPr>
        <w:t>your</w:t>
      </w:r>
      <w:r>
        <w:rPr>
          <w:color w:val="231F20"/>
          <w:spacing w:val="9"/>
          <w:sz w:val="20"/>
        </w:rPr>
        <w:t> </w:t>
      </w:r>
      <w:r>
        <w:rPr>
          <w:color w:val="231F20"/>
          <w:sz w:val="20"/>
        </w:rPr>
        <w:t>changes,</w:t>
      </w:r>
      <w:r>
        <w:rPr>
          <w:color w:val="231F20"/>
          <w:spacing w:val="9"/>
          <w:sz w:val="20"/>
        </w:rPr>
        <w:t> </w:t>
      </w:r>
      <w:r>
        <w:rPr>
          <w:color w:val="231F20"/>
          <w:sz w:val="20"/>
        </w:rPr>
        <w:t>click</w:t>
      </w:r>
      <w:r>
        <w:rPr>
          <w:color w:val="231F20"/>
          <w:spacing w:val="9"/>
          <w:sz w:val="20"/>
        </w:rPr>
        <w:t> </w:t>
      </w:r>
      <w:r>
        <w:rPr>
          <w:rFonts w:ascii="Book Antiqua"/>
          <w:b/>
          <w:color w:val="231F20"/>
          <w:sz w:val="20"/>
        </w:rPr>
        <w:t>Apply</w:t>
      </w:r>
      <w:r>
        <w:rPr>
          <w:rFonts w:ascii="Book Antiqua"/>
          <w:b/>
          <w:color w:val="231F20"/>
          <w:spacing w:val="9"/>
          <w:sz w:val="20"/>
        </w:rPr>
        <w:t> </w:t>
      </w:r>
      <w:r>
        <w:rPr>
          <w:color w:val="231F20"/>
          <w:sz w:val="20"/>
        </w:rPr>
        <w:t>or</w:t>
      </w:r>
      <w:r>
        <w:rPr>
          <w:color w:val="231F20"/>
          <w:spacing w:val="9"/>
          <w:sz w:val="20"/>
        </w:rPr>
        <w:t> </w:t>
      </w:r>
      <w:r>
        <w:rPr>
          <w:rFonts w:ascii="Book Antiqua"/>
          <w:b/>
          <w:color w:val="231F20"/>
          <w:spacing w:val="-5"/>
          <w:sz w:val="20"/>
        </w:rPr>
        <w:t>OK</w:t>
      </w:r>
      <w:r>
        <w:rPr>
          <w:color w:val="231F20"/>
          <w:spacing w:val="-5"/>
          <w:sz w:val="20"/>
        </w:rPr>
        <w:t>.</w:t>
      </w:r>
    </w:p>
    <w:p>
      <w:pPr>
        <w:pStyle w:val="BodyText"/>
        <w:spacing w:line="213" w:lineRule="auto" w:before="113"/>
        <w:ind w:left="13" w:right="555"/>
      </w:pPr>
      <w:r>
        <w:rPr>
          <w:color w:val="231F20"/>
        </w:rPr>
        <w:t>Making a copy of the original TADDM_Initialization policy template ensures that any future updates to this policy template do not </w:t>
      </w:r>
      <w:r>
        <w:rPr>
          <w:color w:val="231F20"/>
        </w:rPr>
        <w:t>overwrite your customization.</w:t>
      </w:r>
    </w:p>
    <w:p>
      <w:pPr>
        <w:pStyle w:val="BodyText"/>
        <w:spacing w:line="213" w:lineRule="auto" w:before="117"/>
        <w:ind w:left="13" w:right="555"/>
      </w:pPr>
      <w:r>
        <w:rPr>
          <w:color w:val="231F20"/>
        </w:rPr>
        <w:t>Since initialization policies are uncorrelated and not triggered by a situation, they start with the monitoring server and establish a </w:t>
      </w:r>
      <w:r>
        <w:rPr>
          <w:color w:val="231F20"/>
        </w:rPr>
        <w:t>connection to the TADDM server before the update policies start.</w:t>
      </w:r>
    </w:p>
    <w:p>
      <w:pPr>
        <w:spacing w:line="213" w:lineRule="auto" w:before="118"/>
        <w:ind w:left="13" w:right="510" w:firstLine="0"/>
        <w:jc w:val="left"/>
        <w:rPr>
          <w:sz w:val="20"/>
        </w:rPr>
      </w:pPr>
      <w:r>
        <w:rPr>
          <w:color w:val="231F20"/>
          <w:sz w:val="20"/>
        </w:rPr>
        <w:t>If your environment includes multiple TADDM servers, you can group multiple </w:t>
      </w:r>
      <w:r>
        <w:rPr>
          <w:rFonts w:ascii="Book Antiqua"/>
          <w:b/>
          <w:color w:val="231F20"/>
          <w:sz w:val="20"/>
        </w:rPr>
        <w:t>Configure Tivoli Application Dependency Discovery Manager Integration </w:t>
      </w:r>
      <w:r>
        <w:rPr>
          <w:color w:val="231F20"/>
          <w:sz w:val="20"/>
        </w:rPr>
        <w:t>activities in one initialization policy. These activities do not need to be connected to each other. Choosing to group your </w:t>
      </w:r>
      <w:r>
        <w:rPr>
          <w:rFonts w:ascii="Book Antiqua"/>
          <w:b/>
          <w:color w:val="231F20"/>
          <w:sz w:val="20"/>
        </w:rPr>
        <w:t>Configure Tivoli Application Dependency Discovery Manager Integration </w:t>
      </w:r>
      <w:r>
        <w:rPr>
          <w:color w:val="231F20"/>
          <w:sz w:val="20"/>
        </w:rPr>
        <w:t>activities might be a good idea for administrative maintenance.</w:t>
      </w:r>
    </w:p>
    <w:p>
      <w:pPr>
        <w:spacing w:line="213" w:lineRule="auto" w:before="116"/>
        <w:ind w:left="13" w:right="555" w:firstLine="0"/>
        <w:jc w:val="left"/>
        <w:rPr>
          <w:sz w:val="20"/>
        </w:rPr>
      </w:pPr>
      <w:r>
        <w:rPr>
          <w:color w:val="231F20"/>
          <w:sz w:val="20"/>
        </w:rPr>
        <w:t>The </w:t>
      </w:r>
      <w:r>
        <w:rPr>
          <w:rFonts w:ascii="Book Antiqua"/>
          <w:b/>
          <w:color w:val="231F20"/>
          <w:sz w:val="20"/>
        </w:rPr>
        <w:t>Configure Tivoli Application Dependency Discovery Manager Integration </w:t>
      </w:r>
      <w:r>
        <w:rPr>
          <w:color w:val="231F20"/>
          <w:sz w:val="20"/>
        </w:rPr>
        <w:t>activity defines values that are later used by </w:t>
      </w:r>
      <w:r>
        <w:rPr>
          <w:rFonts w:ascii="Book Antiqua"/>
          <w:b/>
          <w:color w:val="231F20"/>
          <w:sz w:val="20"/>
        </w:rPr>
        <w:t>Send a </w:t>
      </w:r>
      <w:r>
        <w:rPr>
          <w:rFonts w:ascii="Book Antiqua"/>
          <w:b/>
          <w:color w:val="231F20"/>
          <w:sz w:val="20"/>
        </w:rPr>
        <w:t>Tivoli Application Dependency Discovery Manager Update </w:t>
      </w:r>
      <w:r>
        <w:rPr>
          <w:color w:val="231F20"/>
          <w:sz w:val="20"/>
        </w:rPr>
        <w:t>activities.</w:t>
      </w:r>
    </w:p>
    <w:p>
      <w:pPr>
        <w:pStyle w:val="BodyText"/>
        <w:spacing w:before="87"/>
      </w:pPr>
    </w:p>
    <w:p>
      <w:pPr>
        <w:spacing w:line="213" w:lineRule="auto" w:before="0"/>
        <w:ind w:left="13" w:right="280" w:firstLine="0"/>
        <w:jc w:val="left"/>
        <w:rPr>
          <w:sz w:val="20"/>
        </w:rPr>
      </w:pPr>
      <w:r>
        <w:rPr>
          <w:color w:val="231F20"/>
          <w:sz w:val="20"/>
        </w:rPr>
        <w:t>Update policies forward changes in your monitoring environment to a TADDM server in response to a triggered situation. Update policies </w:t>
      </w:r>
      <w:r>
        <w:rPr>
          <w:color w:val="231F20"/>
          <w:sz w:val="20"/>
        </w:rPr>
        <w:t>contain the </w:t>
      </w:r>
      <w:hyperlink w:history="true" w:anchor="_bookmark253">
        <w:r>
          <w:rPr>
            <w:rFonts w:ascii="Book Antiqua"/>
            <w:b/>
            <w:color w:val="231F20"/>
            <w:sz w:val="20"/>
          </w:rPr>
          <w:t>Send a Tivoli Application Dependency Discovery Manager Update</w:t>
        </w:r>
      </w:hyperlink>
      <w:r>
        <w:rPr>
          <w:rFonts w:ascii="Book Antiqua"/>
          <w:b/>
          <w:color w:val="231F20"/>
          <w:sz w:val="20"/>
        </w:rPr>
        <w:t> </w:t>
      </w:r>
      <w:r>
        <w:rPr>
          <w:color w:val="231F20"/>
          <w:sz w:val="20"/>
        </w:rPr>
        <w:t>activity, and might contain other activities such as </w:t>
      </w:r>
      <w:hyperlink w:history="true" w:anchor="_bookmark255">
        <w:r>
          <w:rPr>
            <w:rFonts w:ascii="Book Antiqua"/>
            <w:b/>
            <w:color w:val="231F20"/>
            <w:sz w:val="20"/>
          </w:rPr>
          <w:t>On Demand Report</w:t>
        </w:r>
      </w:hyperlink>
      <w:r>
        <w:rPr>
          <w:rFonts w:ascii="Book Antiqua"/>
          <w:b/>
          <w:color w:val="231F20"/>
          <w:sz w:val="20"/>
        </w:rPr>
        <w:t> </w:t>
      </w:r>
      <w:r>
        <w:rPr>
          <w:color w:val="231F20"/>
          <w:sz w:val="20"/>
        </w:rPr>
        <w:t>and </w:t>
      </w:r>
      <w:hyperlink w:history="true" w:anchor="_bookmark258">
        <w:r>
          <w:rPr>
            <w:rFonts w:ascii="Book Antiqua"/>
            <w:b/>
            <w:color w:val="231F20"/>
            <w:sz w:val="20"/>
          </w:rPr>
          <w:t>Send an e-mail</w:t>
        </w:r>
      </w:hyperlink>
      <w:r>
        <w:rPr>
          <w:color w:val="231F20"/>
          <w:sz w:val="20"/>
        </w:rPr>
        <w:t>.</w:t>
      </w:r>
    </w:p>
    <w:p>
      <w:pPr>
        <w:pStyle w:val="BodyText"/>
        <w:spacing w:line="213" w:lineRule="auto" w:before="116"/>
        <w:ind w:left="13" w:right="743"/>
        <w:jc w:val="both"/>
      </w:pPr>
      <w:r>
        <w:rPr>
          <w:color w:val="231F20"/>
        </w:rPr>
        <w:t>Monitoring agents that support TADDM integration provide </w:t>
      </w:r>
      <w:r>
        <w:rPr>
          <w:color w:val="231F20"/>
        </w:rPr>
        <w:t>predefined update policies. Information for the activities within predefined policies might need to be customized for your environment.</w:t>
      </w:r>
    </w:p>
    <w:p>
      <w:pPr>
        <w:pStyle w:val="BodyText"/>
        <w:spacing w:line="213" w:lineRule="auto" w:before="118"/>
        <w:ind w:left="13" w:right="524"/>
        <w:jc w:val="both"/>
      </w:pPr>
      <w:r>
        <w:rPr>
          <w:color w:val="231F20"/>
        </w:rPr>
        <w:t>You can have multiple update policies. Each policy might perform a different</w:t>
      </w:r>
      <w:r>
        <w:rPr>
          <w:color w:val="231F20"/>
          <w:spacing w:val="8"/>
        </w:rPr>
        <w:t> </w:t>
      </w:r>
      <w:r>
        <w:rPr>
          <w:color w:val="231F20"/>
        </w:rPr>
        <w:t>update</w:t>
      </w:r>
      <w:r>
        <w:rPr>
          <w:color w:val="231F20"/>
          <w:spacing w:val="9"/>
        </w:rPr>
        <w:t> </w:t>
      </w:r>
      <w:r>
        <w:rPr>
          <w:color w:val="231F20"/>
        </w:rPr>
        <w:t>operation</w:t>
      </w:r>
      <w:r>
        <w:rPr>
          <w:color w:val="231F20"/>
          <w:spacing w:val="8"/>
        </w:rPr>
        <w:t> </w:t>
      </w:r>
      <w:r>
        <w:rPr>
          <w:color w:val="231F20"/>
        </w:rPr>
        <w:t>(for</w:t>
      </w:r>
      <w:r>
        <w:rPr>
          <w:color w:val="231F20"/>
          <w:spacing w:val="9"/>
        </w:rPr>
        <w:t> </w:t>
      </w:r>
      <w:r>
        <w:rPr>
          <w:color w:val="231F20"/>
        </w:rPr>
        <w:t>example:</w:t>
      </w:r>
      <w:r>
        <w:rPr>
          <w:color w:val="231F20"/>
          <w:spacing w:val="9"/>
        </w:rPr>
        <w:t> </w:t>
      </w:r>
      <w:r>
        <w:rPr>
          <w:color w:val="231F20"/>
        </w:rPr>
        <w:t>Create,</w:t>
      </w:r>
      <w:r>
        <w:rPr>
          <w:color w:val="231F20"/>
          <w:spacing w:val="8"/>
        </w:rPr>
        <w:t> </w:t>
      </w:r>
      <w:r>
        <w:rPr>
          <w:color w:val="231F20"/>
        </w:rPr>
        <w:t>Update,</w:t>
      </w:r>
      <w:r>
        <w:rPr>
          <w:color w:val="231F20"/>
          <w:spacing w:val="9"/>
        </w:rPr>
        <w:t> </w:t>
      </w:r>
      <w:r>
        <w:rPr>
          <w:color w:val="231F20"/>
        </w:rPr>
        <w:t>Move,</w:t>
      </w:r>
      <w:r>
        <w:rPr>
          <w:color w:val="231F20"/>
          <w:spacing w:val="8"/>
        </w:rPr>
        <w:t> </w:t>
      </w:r>
      <w:r>
        <w:rPr>
          <w:color w:val="231F20"/>
        </w:rPr>
        <w:t>or</w:t>
      </w:r>
      <w:r>
        <w:rPr>
          <w:color w:val="231F20"/>
          <w:spacing w:val="9"/>
        </w:rPr>
        <w:t> </w:t>
      </w:r>
      <w:r>
        <w:rPr>
          <w:color w:val="231F20"/>
          <w:spacing w:val="-2"/>
        </w:rPr>
        <w:t>Delete).</w:t>
      </w:r>
    </w:p>
    <w:p>
      <w:pPr>
        <w:spacing w:after="0" w:line="213" w:lineRule="auto"/>
        <w:jc w:val="both"/>
        <w:sectPr>
          <w:pgSz w:w="12240" w:h="15840"/>
          <w:pgMar w:header="0" w:footer="736" w:top="1140" w:bottom="920" w:left="1000" w:right="1060"/>
          <w:cols w:num="2" w:equalWidth="0">
            <w:col w:w="2898" w:space="40"/>
            <w:col w:w="7242"/>
          </w:cols>
        </w:sectPr>
      </w:pPr>
    </w:p>
    <w:p>
      <w:pPr>
        <w:pStyle w:val="BodyText"/>
        <w:spacing w:before="215"/>
        <w:ind w:left="2232"/>
      </w:pPr>
      <w:r>
        <w:rPr>
          <w:color w:val="231F20"/>
        </w:rPr>
        <w:t>Complete</w:t>
      </w:r>
      <w:r>
        <w:rPr>
          <w:color w:val="231F20"/>
          <w:spacing w:val="11"/>
        </w:rPr>
        <w:t> </w:t>
      </w:r>
      <w:r>
        <w:rPr>
          <w:color w:val="231F20"/>
        </w:rPr>
        <w:t>the</w:t>
      </w:r>
      <w:r>
        <w:rPr>
          <w:color w:val="231F20"/>
          <w:spacing w:val="12"/>
        </w:rPr>
        <w:t> </w:t>
      </w:r>
      <w:r>
        <w:rPr>
          <w:color w:val="231F20"/>
        </w:rPr>
        <w:t>following</w:t>
      </w:r>
      <w:r>
        <w:rPr>
          <w:color w:val="231F20"/>
          <w:spacing w:val="11"/>
        </w:rPr>
        <w:t> </w:t>
      </w:r>
      <w:r>
        <w:rPr>
          <w:color w:val="231F20"/>
        </w:rPr>
        <w:t>steps</w:t>
      </w:r>
      <w:r>
        <w:rPr>
          <w:color w:val="231F20"/>
          <w:spacing w:val="12"/>
        </w:rPr>
        <w:t> </w:t>
      </w:r>
      <w:r>
        <w:rPr>
          <w:color w:val="231F20"/>
        </w:rPr>
        <w:t>to</w:t>
      </w:r>
      <w:r>
        <w:rPr>
          <w:color w:val="231F20"/>
          <w:spacing w:val="11"/>
        </w:rPr>
        <w:t> </w:t>
      </w:r>
      <w:r>
        <w:rPr>
          <w:color w:val="231F20"/>
        </w:rPr>
        <w:t>modify</w:t>
      </w:r>
      <w:r>
        <w:rPr>
          <w:color w:val="231F20"/>
          <w:spacing w:val="12"/>
        </w:rPr>
        <w:t> </w:t>
      </w:r>
      <w:r>
        <w:rPr>
          <w:color w:val="231F20"/>
        </w:rPr>
        <w:t>any</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spacing w:val="-2"/>
        </w:rPr>
        <w:t>policies:</w:t>
      </w:r>
    </w:p>
    <w:p>
      <w:pPr>
        <w:pStyle w:val="ListParagraph"/>
        <w:numPr>
          <w:ilvl w:val="1"/>
          <w:numId w:val="148"/>
        </w:numPr>
        <w:tabs>
          <w:tab w:pos="2547" w:val="left" w:leader="none"/>
        </w:tabs>
        <w:spacing w:line="240" w:lineRule="auto" w:before="30" w:after="0"/>
        <w:ind w:left="2547" w:right="0" w:hanging="315"/>
        <w:jc w:val="left"/>
        <w:rPr>
          <w:sz w:val="20"/>
        </w:rPr>
      </w:pPr>
      <w:r>
        <w:rPr>
          <w:color w:val="231F20"/>
          <w:sz w:val="20"/>
        </w:rPr>
        <w:t>Select</w:t>
      </w:r>
      <w:r>
        <w:rPr>
          <w:color w:val="231F20"/>
          <w:spacing w:val="10"/>
          <w:sz w:val="20"/>
        </w:rPr>
        <w:t> </w:t>
      </w:r>
      <w:r>
        <w:rPr>
          <w:color w:val="231F20"/>
          <w:sz w:val="20"/>
        </w:rPr>
        <w:t>the</w:t>
      </w:r>
      <w:r>
        <w:rPr>
          <w:color w:val="231F20"/>
          <w:spacing w:val="10"/>
          <w:sz w:val="20"/>
        </w:rPr>
        <w:t> </w:t>
      </w:r>
      <w:r>
        <w:rPr>
          <w:color w:val="231F20"/>
          <w:sz w:val="20"/>
        </w:rPr>
        <w:t>policy,</w:t>
      </w:r>
      <w:r>
        <w:rPr>
          <w:color w:val="231F20"/>
          <w:spacing w:val="10"/>
          <w:sz w:val="20"/>
        </w:rPr>
        <w:t> </w:t>
      </w:r>
      <w:r>
        <w:rPr>
          <w:color w:val="231F20"/>
          <w:sz w:val="20"/>
        </w:rPr>
        <w:t>and</w:t>
      </w:r>
      <w:r>
        <w:rPr>
          <w:color w:val="231F20"/>
          <w:spacing w:val="10"/>
          <w:sz w:val="20"/>
        </w:rPr>
        <w:t> </w:t>
      </w:r>
      <w:r>
        <w:rPr>
          <w:color w:val="231F20"/>
          <w:sz w:val="20"/>
        </w:rPr>
        <w:t>click</w:t>
      </w:r>
      <w:r>
        <w:rPr>
          <w:color w:val="231F20"/>
          <w:spacing w:val="19"/>
          <w:sz w:val="20"/>
        </w:rPr>
        <w:t> </w:t>
      </w:r>
      <w:r>
        <w:rPr>
          <w:color w:val="231F20"/>
          <w:spacing w:val="-25"/>
          <w:position w:val="-1"/>
          <w:sz w:val="20"/>
        </w:rPr>
        <w:drawing>
          <wp:inline distT="0" distB="0" distL="0" distR="0">
            <wp:extent cx="95250" cy="101600"/>
            <wp:effectExtent l="0" t="0" r="0" b="0"/>
            <wp:docPr id="2829" name="Image 2829"/>
            <wp:cNvGraphicFramePr>
              <a:graphicFrameLocks/>
            </wp:cNvGraphicFramePr>
            <a:graphic>
              <a:graphicData uri="http://schemas.openxmlformats.org/drawingml/2006/picture">
                <pic:pic>
                  <pic:nvPicPr>
                    <pic:cNvPr id="2829" name="Image 2829"/>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77"/>
          <w:sz w:val="20"/>
        </w:rPr>
        <w:t> </w:t>
      </w:r>
      <w:r>
        <w:rPr>
          <w:rFonts w:ascii="Book Antiqua"/>
          <w:b/>
          <w:color w:val="231F20"/>
          <w:sz w:val="20"/>
        </w:rPr>
        <w:t>Edit</w:t>
      </w:r>
      <w:r>
        <w:rPr>
          <w:rFonts w:ascii="Book Antiqua"/>
          <w:b/>
          <w:color w:val="231F20"/>
          <w:spacing w:val="10"/>
          <w:sz w:val="20"/>
        </w:rPr>
        <w:t> </w:t>
      </w:r>
      <w:r>
        <w:rPr>
          <w:rFonts w:ascii="Book Antiqua"/>
          <w:b/>
          <w:color w:val="231F20"/>
          <w:spacing w:val="-2"/>
          <w:sz w:val="20"/>
        </w:rPr>
        <w:t>Workflow</w:t>
      </w:r>
      <w:r>
        <w:rPr>
          <w:color w:val="231F20"/>
          <w:spacing w:val="-2"/>
          <w:sz w:val="20"/>
        </w:rPr>
        <w:t>.</w:t>
      </w:r>
    </w:p>
    <w:p>
      <w:pPr>
        <w:pStyle w:val="ListParagraph"/>
        <w:numPr>
          <w:ilvl w:val="1"/>
          <w:numId w:val="148"/>
        </w:numPr>
        <w:tabs>
          <w:tab w:pos="2547" w:val="left" w:leader="none"/>
        </w:tabs>
        <w:spacing w:line="240" w:lineRule="auto" w:before="29" w:after="0"/>
        <w:ind w:left="2547" w:right="0" w:hanging="315"/>
        <w:jc w:val="left"/>
        <w:rPr>
          <w:sz w:val="20"/>
        </w:rPr>
      </w:pPr>
      <w:r>
        <w:rPr>
          <w:color w:val="231F20"/>
          <w:sz w:val="20"/>
        </w:rPr>
        <w:t>Double-click</w:t>
      </w:r>
      <w:r>
        <w:rPr>
          <w:color w:val="231F20"/>
          <w:spacing w:val="10"/>
          <w:sz w:val="20"/>
        </w:rPr>
        <w:t> </w:t>
      </w:r>
      <w:r>
        <w:rPr>
          <w:color w:val="231F20"/>
          <w:sz w:val="20"/>
        </w:rPr>
        <w:t>any</w:t>
      </w:r>
      <w:r>
        <w:rPr>
          <w:color w:val="231F20"/>
          <w:spacing w:val="10"/>
          <w:sz w:val="20"/>
        </w:rPr>
        <w:t> </w:t>
      </w:r>
      <w:r>
        <w:rPr>
          <w:color w:val="231F20"/>
          <w:sz w:val="20"/>
        </w:rPr>
        <w:t>activity</w:t>
      </w:r>
      <w:r>
        <w:rPr>
          <w:color w:val="231F20"/>
          <w:spacing w:val="11"/>
          <w:sz w:val="20"/>
        </w:rPr>
        <w:t> </w:t>
      </w: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Grapher</w:t>
      </w:r>
      <w:r>
        <w:rPr>
          <w:color w:val="231F20"/>
          <w:spacing w:val="11"/>
          <w:sz w:val="20"/>
        </w:rPr>
        <w:t> </w:t>
      </w:r>
      <w:r>
        <w:rPr>
          <w:color w:val="231F20"/>
          <w:sz w:val="20"/>
        </w:rPr>
        <w:t>View</w:t>
      </w:r>
      <w:r>
        <w:rPr>
          <w:color w:val="231F20"/>
          <w:spacing w:val="10"/>
          <w:sz w:val="20"/>
        </w:rPr>
        <w:t> </w:t>
      </w:r>
      <w:r>
        <w:rPr>
          <w:color w:val="231F20"/>
          <w:sz w:val="20"/>
        </w:rPr>
        <w:t>to</w:t>
      </w:r>
      <w:r>
        <w:rPr>
          <w:color w:val="231F20"/>
          <w:spacing w:val="10"/>
          <w:sz w:val="20"/>
        </w:rPr>
        <w:t> </w:t>
      </w:r>
      <w:r>
        <w:rPr>
          <w:color w:val="231F20"/>
          <w:sz w:val="20"/>
        </w:rPr>
        <w:t>edit</w:t>
      </w:r>
      <w:r>
        <w:rPr>
          <w:color w:val="231F20"/>
          <w:spacing w:val="11"/>
          <w:sz w:val="20"/>
        </w:rPr>
        <w:t> </w:t>
      </w:r>
      <w:r>
        <w:rPr>
          <w:color w:val="231F20"/>
          <w:sz w:val="20"/>
        </w:rPr>
        <w:t>the</w:t>
      </w:r>
      <w:r>
        <w:rPr>
          <w:color w:val="231F20"/>
          <w:spacing w:val="10"/>
          <w:sz w:val="20"/>
        </w:rPr>
        <w:t> </w:t>
      </w:r>
      <w:r>
        <w:rPr>
          <w:color w:val="231F20"/>
          <w:spacing w:val="-2"/>
          <w:sz w:val="20"/>
        </w:rPr>
        <w:t>parameters.</w:t>
      </w:r>
    </w:p>
    <w:p>
      <w:pPr>
        <w:pStyle w:val="BodyText"/>
        <w:spacing w:line="213" w:lineRule="auto" w:before="232"/>
        <w:ind w:left="2232" w:right="545"/>
      </w:pPr>
      <w:r>
        <w:rPr>
          <w:color w:val="231F20"/>
        </w:rPr>
        <w:t>TADDM integration activities are located on the </w:t>
      </w:r>
      <w:r>
        <w:rPr>
          <w:rFonts w:ascii="Book Antiqua"/>
          <w:b/>
          <w:color w:val="231F20"/>
        </w:rPr>
        <w:t>Extensions </w:t>
      </w:r>
      <w:r>
        <w:rPr>
          <w:color w:val="231F20"/>
        </w:rPr>
        <w:t>tab in the </w:t>
      </w:r>
      <w:r>
        <w:rPr>
          <w:color w:val="231F20"/>
        </w:rPr>
        <w:t>Workflow </w:t>
      </w:r>
      <w:r>
        <w:rPr>
          <w:color w:val="231F20"/>
          <w:spacing w:val="-2"/>
        </w:rPr>
        <w:t>Editor.</w:t>
      </w:r>
    </w:p>
    <w:p>
      <w:pPr>
        <w:pStyle w:val="Heading6"/>
        <w:spacing w:line="240" w:lineRule="auto" w:before="237"/>
        <w:ind w:left="2232"/>
      </w:pPr>
      <w:r>
        <w:rPr>
          <w:color w:val="231F20"/>
        </w:rPr>
        <w:t>Usage</w:t>
      </w:r>
      <w:r>
        <w:rPr>
          <w:color w:val="231F20"/>
          <w:spacing w:val="10"/>
        </w:rPr>
        <w:t> </w:t>
      </w:r>
      <w:r>
        <w:rPr>
          <w:color w:val="231F20"/>
          <w:spacing w:val="-2"/>
        </w:rPr>
        <w:t>Notes:</w:t>
      </w:r>
    </w:p>
    <w:p>
      <w:pPr>
        <w:pStyle w:val="BodyText"/>
        <w:spacing w:line="213" w:lineRule="auto" w:before="60"/>
        <w:ind w:left="2448" w:right="493" w:hanging="216"/>
      </w:pPr>
      <w:r>
        <w:rPr>
          <w:rFonts w:ascii="Futura MdCn BT"/>
          <w:color w:val="231F20"/>
        </w:rPr>
        <w:t>v</w:t>
      </w:r>
      <w:r>
        <w:rPr>
          <w:rFonts w:ascii="Futura MdCn BT"/>
          <w:color w:val="231F20"/>
          <w:spacing w:val="80"/>
        </w:rPr>
        <w:t> </w:t>
      </w:r>
      <w:r>
        <w:rPr>
          <w:color w:val="231F20"/>
        </w:rPr>
        <w:t>For z/OS, ICSF (Integrated Cryptographic Service Facility) must be enabled </w:t>
      </w:r>
      <w:r>
        <w:rPr>
          <w:color w:val="231F20"/>
        </w:rPr>
        <w:t>to</w:t>
      </w:r>
      <w:r>
        <w:rPr>
          <w:color w:val="231F20"/>
          <w:spacing w:val="40"/>
        </w:rPr>
        <w:t> </w:t>
      </w:r>
      <w:r>
        <w:rPr>
          <w:color w:val="231F20"/>
        </w:rPr>
        <w:t>allow password encryption.</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232"/>
      </w:pPr>
      <w:hyperlink w:history="true" w:anchor="_bookmark250">
        <w:r>
          <w:rPr>
            <w:color w:val="231F20"/>
          </w:rPr>
          <w:t>“Extensions”</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5"/>
          </w:rPr>
          <w:t>342</w:t>
        </w:r>
      </w:hyperlink>
    </w:p>
    <w:p>
      <w:pPr>
        <w:pStyle w:val="BodyText"/>
        <w:spacing w:line="213" w:lineRule="auto" w:before="8"/>
        <w:ind w:left="2232" w:right="545"/>
      </w:pPr>
      <w:r>
        <w:rPr>
          <w:color w:val="231F20"/>
        </w:rPr>
        <w:t>The </w:t>
      </w:r>
      <w:r>
        <w:rPr>
          <w:rFonts w:ascii="Book Antiqua"/>
          <w:b/>
          <w:color w:val="231F20"/>
        </w:rPr>
        <w:t>Extensions </w:t>
      </w:r>
      <w:r>
        <w:rPr>
          <w:color w:val="231F20"/>
        </w:rPr>
        <w:t>tab displays the Wait until a situation is False activity, On Demand Report activity, Send an e-mail activity, and activities associated with Tivoli </w:t>
      </w:r>
      <w:bookmarkStart w:name="Request Parameters" w:id="535"/>
      <w:bookmarkEnd w:id="535"/>
      <w:r>
        <w:rPr>
          <w:color w:val="231F20"/>
        </w:rPr>
        <w:t>Application</w:t>
      </w:r>
      <w:r>
        <w:rPr>
          <w:color w:val="231F20"/>
        </w:rPr>
        <w:t> Dependency Discovery Manager (TADDM) integration.</w:t>
      </w:r>
    </w:p>
    <w:p>
      <w:pPr>
        <w:pStyle w:val="Heading4"/>
        <w:spacing w:line="273" w:lineRule="exact" w:before="164"/>
      </w:pPr>
      <w:r>
        <w:rPr>
          <w:color w:val="231F20"/>
        </w:rPr>
        <w:t>Request</w:t>
      </w:r>
      <w:r>
        <w:rPr>
          <w:color w:val="231F20"/>
          <w:spacing w:val="3"/>
        </w:rPr>
        <w:t> </w:t>
      </w:r>
      <w:r>
        <w:rPr>
          <w:color w:val="231F20"/>
          <w:spacing w:val="-2"/>
        </w:rPr>
        <w:t>Parameters</w:t>
      </w:r>
    </w:p>
    <w:p>
      <w:pPr>
        <w:pStyle w:val="BodyText"/>
        <w:spacing w:line="213" w:lineRule="auto" w:before="20"/>
        <w:ind w:left="2232" w:right="493"/>
      </w:pPr>
      <w:r>
        <w:rPr>
          <w:color w:val="231F20"/>
        </w:rPr>
        <w:t>The Request Parameters table is used to define a JavaScript Object Notation </w:t>
      </w:r>
      <w:r>
        <w:rPr>
          <w:color w:val="231F20"/>
        </w:rPr>
        <w:t>(JSON) update request that identifies IBM Tivoli Monitoring to the Tivoli Application Dependency Discovery Manager (TADDM) server or that defines the updated resource information that IBM Tivoli Monitoring sends to the TADDM server.</w:t>
      </w:r>
    </w:p>
    <w:p>
      <w:pPr>
        <w:spacing w:after="0" w:line="213" w:lineRule="auto"/>
        <w:sectPr>
          <w:type w:val="continuous"/>
          <w:pgSz w:w="12240" w:h="15840"/>
          <w:pgMar w:header="0" w:footer="736" w:top="0" w:bottom="4660" w:left="1000" w:right="1060"/>
        </w:sectPr>
      </w:pPr>
    </w:p>
    <w:p>
      <w:pPr>
        <w:pStyle w:val="BodyText"/>
        <w:spacing w:line="213" w:lineRule="auto" w:before="85"/>
        <w:ind w:left="2472" w:right="274"/>
      </w:pPr>
      <w:bookmarkStart w:name="_bookmark262" w:id="536"/>
      <w:bookmarkEnd w:id="536"/>
      <w:r>
        <w:rPr/>
      </w:r>
      <w:r>
        <w:rPr>
          <w:color w:val="231F20"/>
        </w:rPr>
        <w:t>Monitoring agents that support TADDM integration will provide predefined policies</w:t>
      </w:r>
      <w:r>
        <w:rPr>
          <w:color w:val="231F20"/>
          <w:spacing w:val="5"/>
        </w:rPr>
        <w:t> </w:t>
      </w:r>
      <w:r>
        <w:rPr>
          <w:color w:val="231F20"/>
        </w:rPr>
        <w:t>containing</w:t>
      </w:r>
      <w:r>
        <w:rPr>
          <w:color w:val="231F20"/>
          <w:spacing w:val="6"/>
        </w:rPr>
        <w:t> </w:t>
      </w:r>
      <w:r>
        <w:rPr>
          <w:color w:val="231F20"/>
        </w:rPr>
        <w:t>TADDM</w:t>
      </w:r>
      <w:r>
        <w:rPr>
          <w:color w:val="231F20"/>
          <w:spacing w:val="6"/>
        </w:rPr>
        <w:t> </w:t>
      </w:r>
      <w:r>
        <w:rPr>
          <w:color w:val="231F20"/>
        </w:rPr>
        <w:t>activities</w:t>
      </w:r>
      <w:r>
        <w:rPr>
          <w:color w:val="231F20"/>
          <w:spacing w:val="6"/>
        </w:rPr>
        <w:t> </w:t>
      </w:r>
      <w:r>
        <w:rPr>
          <w:color w:val="231F20"/>
        </w:rPr>
        <w:t>that</w:t>
      </w:r>
      <w:r>
        <w:rPr>
          <w:color w:val="231F20"/>
          <w:spacing w:val="6"/>
        </w:rPr>
        <w:t> </w:t>
      </w:r>
      <w:r>
        <w:rPr>
          <w:color w:val="231F20"/>
        </w:rPr>
        <w:t>include</w:t>
      </w:r>
      <w:r>
        <w:rPr>
          <w:color w:val="231F20"/>
          <w:spacing w:val="6"/>
        </w:rPr>
        <w:t> </w:t>
      </w:r>
      <w:r>
        <w:rPr>
          <w:color w:val="231F20"/>
        </w:rPr>
        <w:t>predefined</w:t>
      </w:r>
      <w:r>
        <w:rPr>
          <w:color w:val="231F20"/>
          <w:spacing w:val="6"/>
        </w:rPr>
        <w:t> </w:t>
      </w:r>
      <w:r>
        <w:rPr>
          <w:color w:val="231F20"/>
        </w:rPr>
        <w:t>request</w:t>
      </w:r>
      <w:r>
        <w:rPr>
          <w:color w:val="231F20"/>
          <w:spacing w:val="5"/>
        </w:rPr>
        <w:t> </w:t>
      </w:r>
      <w:r>
        <w:rPr>
          <w:color w:val="231F20"/>
          <w:spacing w:val="-2"/>
        </w:rPr>
        <w:t>parameters.</w:t>
      </w:r>
    </w:p>
    <w:p>
      <w:pPr>
        <w:pStyle w:val="BodyText"/>
        <w:spacing w:line="213" w:lineRule="auto" w:before="238"/>
        <w:ind w:left="2472" w:right="274"/>
      </w:pPr>
      <w:r>
        <w:rPr>
          <w:color w:val="231F20"/>
        </w:rPr>
        <w:t>There are three fields: Key, Value Type, and Value.</w:t>
      </w:r>
      <w:r>
        <w:rPr>
          <w:color w:val="231F20"/>
          <w:spacing w:val="-1"/>
        </w:rPr>
        <w:t> </w:t>
      </w:r>
      <w:r>
        <w:rPr>
          <w:color w:val="231F20"/>
        </w:rPr>
        <w:t>An update request must begin with a start array and end with an end array. An array can contain one or more objects.</w:t>
      </w:r>
      <w:r>
        <w:rPr>
          <w:color w:val="231F20"/>
          <w:spacing w:val="26"/>
        </w:rPr>
        <w:t> </w:t>
      </w:r>
      <w:r>
        <w:rPr>
          <w:color w:val="231F20"/>
        </w:rPr>
        <w:t>Each</w:t>
      </w:r>
      <w:r>
        <w:rPr>
          <w:color w:val="231F20"/>
          <w:spacing w:val="26"/>
        </w:rPr>
        <w:t> </w:t>
      </w:r>
      <w:r>
        <w:rPr>
          <w:color w:val="231F20"/>
        </w:rPr>
        <w:t>object</w:t>
      </w:r>
      <w:r>
        <w:rPr>
          <w:color w:val="231F20"/>
          <w:spacing w:val="26"/>
        </w:rPr>
        <w:t> </w:t>
      </w:r>
      <w:r>
        <w:rPr>
          <w:color w:val="231F20"/>
        </w:rPr>
        <w:t>is</w:t>
      </w:r>
      <w:r>
        <w:rPr>
          <w:color w:val="231F20"/>
          <w:spacing w:val="26"/>
        </w:rPr>
        <w:t> </w:t>
      </w:r>
      <w:r>
        <w:rPr>
          <w:color w:val="231F20"/>
        </w:rPr>
        <w:t>started</w:t>
      </w:r>
      <w:r>
        <w:rPr>
          <w:color w:val="231F20"/>
          <w:spacing w:val="26"/>
        </w:rPr>
        <w:t> </w:t>
      </w:r>
      <w:r>
        <w:rPr>
          <w:color w:val="231F20"/>
        </w:rPr>
        <w:t>with</w:t>
      </w:r>
      <w:r>
        <w:rPr>
          <w:color w:val="231F20"/>
          <w:spacing w:val="26"/>
        </w:rPr>
        <w:t> </w:t>
      </w:r>
      <w:r>
        <w:rPr>
          <w:color w:val="231F20"/>
        </w:rPr>
        <w:t>a</w:t>
      </w:r>
      <w:r>
        <w:rPr>
          <w:color w:val="231F20"/>
          <w:spacing w:val="26"/>
        </w:rPr>
        <w:t> </w:t>
      </w:r>
      <w:r>
        <w:rPr>
          <w:color w:val="231F20"/>
        </w:rPr>
        <w:t>start</w:t>
      </w:r>
      <w:r>
        <w:rPr>
          <w:color w:val="231F20"/>
          <w:spacing w:val="26"/>
        </w:rPr>
        <w:t> </w:t>
      </w:r>
      <w:r>
        <w:rPr>
          <w:color w:val="231F20"/>
        </w:rPr>
        <w:t>object</w:t>
      </w:r>
      <w:r>
        <w:rPr>
          <w:color w:val="231F20"/>
          <w:spacing w:val="26"/>
        </w:rPr>
        <w:t> </w:t>
      </w:r>
      <w:r>
        <w:rPr>
          <w:color w:val="231F20"/>
        </w:rPr>
        <w:t>and</w:t>
      </w:r>
      <w:r>
        <w:rPr>
          <w:color w:val="231F20"/>
          <w:spacing w:val="26"/>
        </w:rPr>
        <w:t> </w:t>
      </w:r>
      <w:r>
        <w:rPr>
          <w:color w:val="231F20"/>
        </w:rPr>
        <w:t>ended</w:t>
      </w:r>
      <w:r>
        <w:rPr>
          <w:color w:val="231F20"/>
          <w:spacing w:val="26"/>
        </w:rPr>
        <w:t> </w:t>
      </w:r>
      <w:r>
        <w:rPr>
          <w:color w:val="231F20"/>
        </w:rPr>
        <w:t>with</w:t>
      </w:r>
      <w:r>
        <w:rPr>
          <w:color w:val="231F20"/>
          <w:spacing w:val="26"/>
        </w:rPr>
        <w:t> </w:t>
      </w:r>
      <w:r>
        <w:rPr>
          <w:color w:val="231F20"/>
        </w:rPr>
        <w:t>an</w:t>
      </w:r>
      <w:r>
        <w:rPr>
          <w:color w:val="231F20"/>
          <w:spacing w:val="26"/>
        </w:rPr>
        <w:t> </w:t>
      </w:r>
      <w:r>
        <w:rPr>
          <w:color w:val="231F20"/>
        </w:rPr>
        <w:t>end</w:t>
      </w:r>
      <w:r>
        <w:rPr>
          <w:color w:val="231F20"/>
          <w:spacing w:val="26"/>
        </w:rPr>
        <w:t> </w:t>
      </w:r>
      <w:r>
        <w:rPr>
          <w:color w:val="231F20"/>
        </w:rPr>
        <w:t>object.</w:t>
      </w:r>
    </w:p>
    <w:p>
      <w:pPr>
        <w:pStyle w:val="BodyText"/>
        <w:spacing w:line="245" w:lineRule="exact"/>
        <w:ind w:left="2472"/>
      </w:pPr>
      <w:r>
        <w:rPr>
          <w:color w:val="231F20"/>
        </w:rPr>
        <w:t>Within</w:t>
      </w:r>
      <w:r>
        <w:rPr>
          <w:color w:val="231F20"/>
          <w:spacing w:val="10"/>
        </w:rPr>
        <w:t> </w:t>
      </w:r>
      <w:r>
        <w:rPr>
          <w:color w:val="231F20"/>
        </w:rPr>
        <w:t>an</w:t>
      </w:r>
      <w:r>
        <w:rPr>
          <w:color w:val="231F20"/>
          <w:spacing w:val="11"/>
        </w:rPr>
        <w:t> </w:t>
      </w:r>
      <w:r>
        <w:rPr>
          <w:color w:val="231F20"/>
        </w:rPr>
        <w:t>object</w:t>
      </w:r>
      <w:r>
        <w:rPr>
          <w:color w:val="231F20"/>
          <w:spacing w:val="11"/>
        </w:rPr>
        <w:t> </w:t>
      </w:r>
      <w:r>
        <w:rPr>
          <w:color w:val="231F20"/>
        </w:rPr>
        <w:t>every</w:t>
      </w:r>
      <w:r>
        <w:rPr>
          <w:color w:val="231F20"/>
          <w:spacing w:val="10"/>
        </w:rPr>
        <w:t> </w:t>
      </w:r>
      <w:r>
        <w:rPr>
          <w:color w:val="231F20"/>
        </w:rPr>
        <w:t>value</w:t>
      </w:r>
      <w:r>
        <w:rPr>
          <w:color w:val="231F20"/>
          <w:spacing w:val="11"/>
        </w:rPr>
        <w:t> </w:t>
      </w:r>
      <w:r>
        <w:rPr>
          <w:color w:val="231F20"/>
        </w:rPr>
        <w:t>type</w:t>
      </w:r>
      <w:r>
        <w:rPr>
          <w:color w:val="231F20"/>
          <w:spacing w:val="11"/>
        </w:rPr>
        <w:t> </w:t>
      </w:r>
      <w:r>
        <w:rPr>
          <w:color w:val="231F20"/>
        </w:rPr>
        <w:t>has</w:t>
      </w:r>
      <w:r>
        <w:rPr>
          <w:color w:val="231F20"/>
          <w:spacing w:val="11"/>
        </w:rPr>
        <w:t> </w:t>
      </w:r>
      <w:r>
        <w:rPr>
          <w:color w:val="231F20"/>
        </w:rPr>
        <w:t>a</w:t>
      </w:r>
      <w:r>
        <w:rPr>
          <w:color w:val="231F20"/>
          <w:spacing w:val="10"/>
        </w:rPr>
        <w:t> </w:t>
      </w:r>
      <w:r>
        <w:rPr>
          <w:color w:val="231F20"/>
          <w:spacing w:val="-4"/>
        </w:rPr>
        <w:t>key.</w:t>
      </w:r>
    </w:p>
    <w:p>
      <w:pPr>
        <w:pStyle w:val="BodyText"/>
        <w:spacing w:line="255" w:lineRule="exact" w:before="29"/>
        <w:ind w:left="2472"/>
      </w:pPr>
      <w:r>
        <w:rPr>
          <w:rFonts w:ascii="Futura MdCn BT"/>
          <w:color w:val="231F20"/>
        </w:rPr>
        <w:t>v</w:t>
      </w:r>
      <w:r>
        <w:rPr>
          <w:rFonts w:ascii="Futura MdCn BT"/>
          <w:color w:val="231F20"/>
          <w:spacing w:val="30"/>
        </w:rPr>
        <w:t>  </w:t>
      </w:r>
      <w:r>
        <w:rPr>
          <w:color w:val="231F20"/>
        </w:rPr>
        <w:t>The</w:t>
      </w:r>
      <w:r>
        <w:rPr>
          <w:color w:val="231F20"/>
          <w:spacing w:val="13"/>
        </w:rPr>
        <w:t> </w:t>
      </w:r>
      <w:r>
        <w:rPr>
          <w:rFonts w:ascii="Book Antiqua"/>
          <w:b/>
          <w:color w:val="231F20"/>
        </w:rPr>
        <w:t>Key</w:t>
      </w:r>
      <w:r>
        <w:rPr>
          <w:rFonts w:ascii="Book Antiqua"/>
          <w:b/>
          <w:color w:val="231F20"/>
          <w:spacing w:val="11"/>
        </w:rPr>
        <w:t> </w:t>
      </w:r>
      <w:r>
        <w:rPr>
          <w:color w:val="231F20"/>
        </w:rPr>
        <w:t>contains</w:t>
      </w:r>
      <w:r>
        <w:rPr>
          <w:color w:val="231F20"/>
          <w:spacing w:val="12"/>
        </w:rPr>
        <w:t> </w:t>
      </w:r>
      <w:r>
        <w:rPr>
          <w:color w:val="231F20"/>
        </w:rPr>
        <w:t>a</w:t>
      </w:r>
      <w:r>
        <w:rPr>
          <w:color w:val="231F20"/>
          <w:spacing w:val="12"/>
        </w:rPr>
        <w:t> </w:t>
      </w:r>
      <w:r>
        <w:rPr>
          <w:color w:val="231F20"/>
        </w:rPr>
        <w:t>list</w:t>
      </w:r>
      <w:r>
        <w:rPr>
          <w:color w:val="231F20"/>
          <w:spacing w:val="11"/>
        </w:rPr>
        <w:t> </w:t>
      </w:r>
      <w:r>
        <w:rPr>
          <w:color w:val="231F20"/>
        </w:rPr>
        <w:t>of</w:t>
      </w:r>
      <w:r>
        <w:rPr>
          <w:color w:val="231F20"/>
          <w:spacing w:val="12"/>
        </w:rPr>
        <w:t> </w:t>
      </w:r>
      <w:r>
        <w:rPr>
          <w:color w:val="231F20"/>
        </w:rPr>
        <w:t>common</w:t>
      </w:r>
      <w:r>
        <w:rPr>
          <w:color w:val="231F20"/>
          <w:spacing w:val="12"/>
        </w:rPr>
        <w:t> </w:t>
      </w:r>
      <w:r>
        <w:rPr>
          <w:color w:val="231F20"/>
        </w:rPr>
        <w:t>predefined</w:t>
      </w:r>
      <w:r>
        <w:rPr>
          <w:color w:val="231F20"/>
          <w:spacing w:val="11"/>
        </w:rPr>
        <w:t> </w:t>
      </w:r>
      <w:r>
        <w:rPr>
          <w:color w:val="231F20"/>
        </w:rPr>
        <w:t>keys</w:t>
      </w:r>
      <w:r>
        <w:rPr>
          <w:color w:val="231F20"/>
          <w:spacing w:val="12"/>
        </w:rPr>
        <w:t> </w:t>
      </w:r>
      <w:r>
        <w:rPr>
          <w:color w:val="231F20"/>
        </w:rPr>
        <w:t>in</w:t>
      </w:r>
      <w:r>
        <w:rPr>
          <w:color w:val="231F20"/>
          <w:spacing w:val="11"/>
        </w:rPr>
        <w:t> </w:t>
      </w:r>
      <w:r>
        <w:rPr>
          <w:color w:val="231F20"/>
        </w:rPr>
        <w:t>a</w:t>
      </w:r>
      <w:r>
        <w:rPr>
          <w:color w:val="231F20"/>
          <w:spacing w:val="12"/>
        </w:rPr>
        <w:t> </w:t>
      </w:r>
      <w:r>
        <w:rPr>
          <w:color w:val="231F20"/>
        </w:rPr>
        <w:t>drop-down</w:t>
      </w:r>
      <w:r>
        <w:rPr>
          <w:color w:val="231F20"/>
          <w:spacing w:val="12"/>
        </w:rPr>
        <w:t> </w:t>
      </w:r>
      <w:r>
        <w:rPr>
          <w:color w:val="231F20"/>
          <w:spacing w:val="-2"/>
        </w:rPr>
        <w:t>menu.</w:t>
      </w:r>
    </w:p>
    <w:p>
      <w:pPr>
        <w:pStyle w:val="BodyText"/>
        <w:spacing w:line="213" w:lineRule="auto" w:before="8"/>
        <w:ind w:left="2688" w:right="545"/>
      </w:pPr>
      <w:r>
        <w:rPr>
          <w:color w:val="231F20"/>
        </w:rPr>
        <w:t>Other valid key values can be entered, but they must be valid attributes supported by the associated Tivoli Common Data Model (CDM) classes. </w:t>
      </w:r>
      <w:r>
        <w:rPr>
          <w:color w:val="231F20"/>
        </w:rPr>
        <w:t>To access the CDM documentation see the </w:t>
      </w:r>
      <w:hyperlink r:id="rId445">
        <w:r>
          <w:rPr>
            <w:color w:val="231F20"/>
          </w:rPr>
          <w:t>TADDM Software Developer’s Kit</w:t>
        </w:r>
      </w:hyperlink>
      <w:r>
        <w:rPr>
          <w:color w:val="231F20"/>
        </w:rPr>
        <w:t> </w:t>
      </w:r>
      <w:hyperlink r:id="rId445">
        <w:r>
          <w:rPr>
            <w:color w:val="231F20"/>
            <w:spacing w:val="-2"/>
          </w:rPr>
          <w:t>(SDK).</w:t>
        </w:r>
      </w:hyperlink>
    </w:p>
    <w:p>
      <w:pPr>
        <w:pStyle w:val="BodyText"/>
        <w:spacing w:before="34"/>
        <w:ind w:left="2472"/>
        <w:jc w:val="both"/>
      </w:pPr>
      <w:r>
        <w:rPr>
          <w:rFonts w:ascii="Futura MdCn BT"/>
          <w:color w:val="231F20"/>
        </w:rPr>
        <w:t>v</w:t>
      </w:r>
      <w:r>
        <w:rPr>
          <w:rFonts w:ascii="Futura MdCn BT"/>
          <w:color w:val="231F20"/>
          <w:spacing w:val="75"/>
          <w:w w:val="150"/>
        </w:rPr>
        <w:t> </w:t>
      </w:r>
      <w:r>
        <w:rPr>
          <w:color w:val="231F20"/>
        </w:rPr>
        <w:t>The</w:t>
      </w:r>
      <w:r>
        <w:rPr>
          <w:color w:val="231F20"/>
          <w:spacing w:val="9"/>
        </w:rPr>
        <w:t> </w:t>
      </w:r>
      <w:r>
        <w:rPr>
          <w:rFonts w:ascii="Book Antiqua"/>
          <w:b/>
          <w:color w:val="231F20"/>
        </w:rPr>
        <w:t>Value</w:t>
      </w:r>
      <w:r>
        <w:rPr>
          <w:rFonts w:ascii="Book Antiqua"/>
          <w:b/>
          <w:color w:val="231F20"/>
          <w:spacing w:val="9"/>
        </w:rPr>
        <w:t> </w:t>
      </w:r>
      <w:r>
        <w:rPr>
          <w:rFonts w:ascii="Book Antiqua"/>
          <w:b/>
          <w:color w:val="231F20"/>
        </w:rPr>
        <w:t>Type</w:t>
      </w:r>
      <w:r>
        <w:rPr>
          <w:rFonts w:ascii="Book Antiqua"/>
          <w:b/>
          <w:color w:val="231F20"/>
          <w:spacing w:val="10"/>
        </w:rPr>
        <w:t> </w:t>
      </w:r>
      <w:r>
        <w:rPr>
          <w:color w:val="231F20"/>
        </w:rPr>
        <w:t>is</w:t>
      </w:r>
      <w:r>
        <w:rPr>
          <w:color w:val="231F20"/>
          <w:spacing w:val="9"/>
        </w:rPr>
        <w:t> </w:t>
      </w:r>
      <w:r>
        <w:rPr>
          <w:color w:val="231F20"/>
        </w:rPr>
        <w:t>a</w:t>
      </w:r>
      <w:r>
        <w:rPr>
          <w:color w:val="231F20"/>
          <w:spacing w:val="9"/>
        </w:rPr>
        <w:t> </w:t>
      </w:r>
      <w:r>
        <w:rPr>
          <w:color w:val="231F20"/>
        </w:rPr>
        <w:t>fixed</w:t>
      </w:r>
      <w:r>
        <w:rPr>
          <w:color w:val="231F20"/>
          <w:spacing w:val="9"/>
        </w:rPr>
        <w:t> </w:t>
      </w:r>
      <w:r>
        <w:rPr>
          <w:color w:val="231F20"/>
        </w:rPr>
        <w:t>list</w:t>
      </w:r>
      <w:r>
        <w:rPr>
          <w:color w:val="231F20"/>
          <w:spacing w:val="9"/>
        </w:rPr>
        <w:t> </w:t>
      </w:r>
      <w:r>
        <w:rPr>
          <w:color w:val="231F20"/>
        </w:rPr>
        <w:t>of</w:t>
      </w:r>
      <w:r>
        <w:rPr>
          <w:color w:val="231F20"/>
          <w:spacing w:val="10"/>
        </w:rPr>
        <w:t> </w:t>
      </w:r>
      <w:r>
        <w:rPr>
          <w:color w:val="231F20"/>
        </w:rPr>
        <w:t>selectable</w:t>
      </w:r>
      <w:r>
        <w:rPr>
          <w:color w:val="231F20"/>
          <w:spacing w:val="9"/>
        </w:rPr>
        <w:t> </w:t>
      </w:r>
      <w:r>
        <w:rPr>
          <w:color w:val="231F20"/>
        </w:rPr>
        <w:t>values</w:t>
      </w:r>
      <w:r>
        <w:rPr>
          <w:color w:val="231F20"/>
          <w:spacing w:val="9"/>
        </w:rPr>
        <w:t> </w:t>
      </w:r>
      <w:r>
        <w:rPr>
          <w:color w:val="231F20"/>
        </w:rPr>
        <w:t>from</w:t>
      </w:r>
      <w:r>
        <w:rPr>
          <w:color w:val="231F20"/>
          <w:spacing w:val="9"/>
        </w:rPr>
        <w:t> </w:t>
      </w:r>
      <w:r>
        <w:rPr>
          <w:color w:val="231F20"/>
        </w:rPr>
        <w:t>a</w:t>
      </w:r>
      <w:r>
        <w:rPr>
          <w:color w:val="231F20"/>
          <w:spacing w:val="10"/>
        </w:rPr>
        <w:t> </w:t>
      </w:r>
      <w:r>
        <w:rPr>
          <w:color w:val="231F20"/>
        </w:rPr>
        <w:t>drop-down</w:t>
      </w:r>
      <w:r>
        <w:rPr>
          <w:color w:val="231F20"/>
          <w:spacing w:val="9"/>
        </w:rPr>
        <w:t> </w:t>
      </w:r>
      <w:r>
        <w:rPr>
          <w:color w:val="231F20"/>
          <w:spacing w:val="-2"/>
        </w:rPr>
        <w:t>menu.</w:t>
      </w:r>
    </w:p>
    <w:p>
      <w:pPr>
        <w:pStyle w:val="BodyText"/>
        <w:spacing w:line="213" w:lineRule="auto" w:before="53"/>
        <w:ind w:left="2688" w:right="291" w:hanging="216"/>
        <w:jc w:val="both"/>
      </w:pPr>
      <w:r>
        <w:rPr>
          <w:rFonts w:ascii="Futura MdCn BT"/>
          <w:color w:val="231F20"/>
        </w:rPr>
        <w:t>v</w:t>
      </w:r>
      <w:r>
        <w:rPr>
          <w:rFonts w:ascii="Futura MdCn BT"/>
          <w:color w:val="231F20"/>
          <w:spacing w:val="40"/>
        </w:rPr>
        <w:t> </w:t>
      </w:r>
      <w:r>
        <w:rPr>
          <w:color w:val="231F20"/>
        </w:rPr>
        <w:t>The </w:t>
      </w:r>
      <w:r>
        <w:rPr>
          <w:rFonts w:ascii="Book Antiqua"/>
          <w:b/>
          <w:color w:val="231F20"/>
        </w:rPr>
        <w:t>Value </w:t>
      </w:r>
      <w:r>
        <w:rPr>
          <w:color w:val="231F20"/>
        </w:rPr>
        <w:t>can be a predefined selected value or a user-defined value. The most common options are displayed in a drop-down menu.</w:t>
      </w:r>
    </w:p>
    <w:p>
      <w:pPr>
        <w:pStyle w:val="BodyText"/>
        <w:spacing w:line="213" w:lineRule="auto" w:before="58"/>
        <w:ind w:left="2688" w:right="162"/>
        <w:jc w:val="both"/>
      </w:pPr>
      <w:r>
        <w:rPr>
          <w:color w:val="231F20"/>
        </w:rPr>
        <w:t>When providing a value in the Value column for a given Key, you might need to supply the associated IBM Tivoli Monitoring sensor that is provided by </w:t>
      </w:r>
      <w:r>
        <w:rPr>
          <w:color w:val="231F20"/>
        </w:rPr>
        <w:t>TADDM. See the "Sensor reference" topics in the </w:t>
      </w:r>
      <w:hyperlink r:id="rId446">
        <w:r>
          <w:rPr>
            <w:color w:val="231F20"/>
          </w:rPr>
          <w:t>Tivoli Application Dependency Discovery</w:t>
        </w:r>
      </w:hyperlink>
      <w:r>
        <w:rPr>
          <w:color w:val="231F20"/>
        </w:rPr>
        <w:t> </w:t>
      </w:r>
      <w:hyperlink r:id="rId446">
        <w:r>
          <w:rPr>
            <w:color w:val="231F20"/>
          </w:rPr>
          <w:t>Manager information center</w:t>
        </w:r>
      </w:hyperlink>
      <w:r>
        <w:rPr>
          <w:color w:val="231F20"/>
        </w:rPr>
        <w:t>.</w:t>
      </w:r>
    </w:p>
    <w:p>
      <w:pPr>
        <w:pStyle w:val="Heading5"/>
      </w:pPr>
      <w:r>
        <w:rPr>
          <w:color w:val="231F20"/>
          <w:spacing w:val="-2"/>
        </w:rPr>
        <w:t>Examples</w:t>
      </w:r>
    </w:p>
    <w:p>
      <w:pPr>
        <w:pStyle w:val="Heading6"/>
        <w:spacing w:line="255" w:lineRule="exact" w:before="222"/>
        <w:rPr>
          <w:rFonts w:ascii="Palatino Linotype"/>
          <w:b w:val="0"/>
        </w:rPr>
      </w:pPr>
      <w:r>
        <w:rPr>
          <w:color w:val="231F20"/>
        </w:rPr>
        <w:t>Configure</w:t>
      </w:r>
      <w:r>
        <w:rPr>
          <w:color w:val="231F20"/>
          <w:spacing w:val="5"/>
        </w:rPr>
        <w:t> </w:t>
      </w:r>
      <w:r>
        <w:rPr>
          <w:color w:val="231F20"/>
        </w:rPr>
        <w:t>Tivoli</w:t>
      </w:r>
      <w:r>
        <w:rPr>
          <w:color w:val="231F20"/>
          <w:spacing w:val="5"/>
        </w:rPr>
        <w:t> </w:t>
      </w:r>
      <w:r>
        <w:rPr>
          <w:color w:val="231F20"/>
        </w:rPr>
        <w:t>Application</w:t>
      </w:r>
      <w:r>
        <w:rPr>
          <w:color w:val="231F20"/>
          <w:spacing w:val="5"/>
        </w:rPr>
        <w:t> </w:t>
      </w:r>
      <w:r>
        <w:rPr>
          <w:color w:val="231F20"/>
        </w:rPr>
        <w:t>Dependency</w:t>
      </w:r>
      <w:r>
        <w:rPr>
          <w:color w:val="231F20"/>
          <w:spacing w:val="5"/>
        </w:rPr>
        <w:t> </w:t>
      </w:r>
      <w:r>
        <w:rPr>
          <w:color w:val="231F20"/>
        </w:rPr>
        <w:t>Discovery</w:t>
      </w:r>
      <w:r>
        <w:rPr>
          <w:color w:val="231F20"/>
          <w:spacing w:val="5"/>
        </w:rPr>
        <w:t> </w:t>
      </w:r>
      <w:r>
        <w:rPr>
          <w:color w:val="231F20"/>
        </w:rPr>
        <w:t>Manager</w:t>
      </w:r>
      <w:r>
        <w:rPr>
          <w:color w:val="231F20"/>
          <w:spacing w:val="5"/>
        </w:rPr>
        <w:t> </w:t>
      </w:r>
      <w:r>
        <w:rPr>
          <w:color w:val="231F20"/>
          <w:spacing w:val="-2"/>
        </w:rPr>
        <w:t>Integration</w:t>
      </w:r>
      <w:r>
        <w:rPr>
          <w:rFonts w:ascii="Palatino Linotype"/>
          <w:b w:val="0"/>
          <w:color w:val="231F20"/>
          <w:spacing w:val="-2"/>
        </w:rPr>
        <w:t>:</w:t>
      </w:r>
    </w:p>
    <w:p>
      <w:pPr>
        <w:pStyle w:val="BodyText"/>
        <w:spacing w:line="213" w:lineRule="auto" w:before="8"/>
        <w:ind w:left="2472" w:right="258"/>
      </w:pPr>
      <w:r>
        <w:rPr>
          <w:color w:val="231F20"/>
        </w:rPr>
        <w:t>The predefined TADDM_Initialization policy includes the following JSON </w:t>
      </w:r>
      <w:r>
        <w:rPr>
          <w:color w:val="231F20"/>
        </w:rPr>
        <w:t>request for the Configure Tivoli Application Dependency Discovery Manager Integration </w:t>
      </w:r>
      <w:r>
        <w:rPr>
          <w:color w:val="231F20"/>
          <w:spacing w:val="-2"/>
        </w:rPr>
        <w:t>activity:</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70"/>
        <w:gridCol w:w="1030"/>
        <w:gridCol w:w="5034"/>
      </w:tblGrid>
      <w:tr>
        <w:trPr>
          <w:trHeight w:val="204" w:hRule="atLeast"/>
        </w:trPr>
        <w:tc>
          <w:tcPr>
            <w:tcW w:w="1470" w:type="dxa"/>
          </w:tcPr>
          <w:p>
            <w:pPr>
              <w:pStyle w:val="TableParagraph"/>
              <w:spacing w:before="27"/>
              <w:ind w:left="44"/>
              <w:rPr>
                <w:rFonts w:ascii="Book Antiqua"/>
                <w:b/>
                <w:sz w:val="12"/>
              </w:rPr>
            </w:pPr>
            <w:r>
              <w:rPr>
                <w:rFonts w:ascii="Book Antiqua"/>
                <w:b/>
                <w:color w:val="231F20"/>
                <w:spacing w:val="-5"/>
                <w:sz w:val="12"/>
              </w:rPr>
              <w:t>Key</w:t>
            </w:r>
          </w:p>
        </w:tc>
        <w:tc>
          <w:tcPr>
            <w:tcW w:w="1030" w:type="dxa"/>
          </w:tcPr>
          <w:p>
            <w:pPr>
              <w:pStyle w:val="TableParagraph"/>
              <w:spacing w:before="27"/>
              <w:rPr>
                <w:rFonts w:ascii="Book Antiqua"/>
                <w:b/>
                <w:sz w:val="12"/>
              </w:rPr>
            </w:pPr>
            <w:r>
              <w:rPr>
                <w:rFonts w:ascii="Book Antiqua"/>
                <w:b/>
                <w:color w:val="231F20"/>
                <w:spacing w:val="-2"/>
                <w:sz w:val="12"/>
              </w:rPr>
              <w:t>Value</w:t>
            </w:r>
            <w:r>
              <w:rPr>
                <w:rFonts w:ascii="Book Antiqua"/>
                <w:b/>
                <w:color w:val="231F20"/>
                <w:spacing w:val="1"/>
                <w:sz w:val="12"/>
              </w:rPr>
              <w:t> </w:t>
            </w:r>
            <w:r>
              <w:rPr>
                <w:rFonts w:ascii="Book Antiqua"/>
                <w:b/>
                <w:color w:val="231F20"/>
                <w:spacing w:val="-4"/>
                <w:sz w:val="12"/>
              </w:rPr>
              <w:t>Type</w:t>
            </w:r>
          </w:p>
        </w:tc>
        <w:tc>
          <w:tcPr>
            <w:tcW w:w="5034" w:type="dxa"/>
          </w:tcPr>
          <w:p>
            <w:pPr>
              <w:pStyle w:val="TableParagraph"/>
              <w:spacing w:before="27"/>
              <w:rPr>
                <w:rFonts w:ascii="Book Antiqua"/>
                <w:b/>
                <w:sz w:val="12"/>
              </w:rPr>
            </w:pPr>
            <w:r>
              <w:rPr>
                <w:rFonts w:ascii="Book Antiqua"/>
                <w:b/>
                <w:color w:val="231F20"/>
                <w:spacing w:val="-2"/>
                <w:sz w:val="12"/>
              </w:rPr>
              <w:t>Value</w:t>
            </w:r>
          </w:p>
        </w:tc>
      </w:tr>
      <w:tr>
        <w:trPr>
          <w:trHeight w:val="209" w:hRule="atLeast"/>
        </w:trPr>
        <w:tc>
          <w:tcPr>
            <w:tcW w:w="1470" w:type="dxa"/>
          </w:tcPr>
          <w:p>
            <w:pPr>
              <w:pStyle w:val="TableParagraph"/>
              <w:spacing w:before="0"/>
              <w:ind w:left="0"/>
              <w:rPr>
                <w:rFonts w:ascii="Times New Roman"/>
                <w:sz w:val="14"/>
              </w:rPr>
            </w:pPr>
          </w:p>
        </w:tc>
        <w:tc>
          <w:tcPr>
            <w:tcW w:w="1030" w:type="dxa"/>
          </w:tcPr>
          <w:p>
            <w:pPr>
              <w:pStyle w:val="TableParagraph"/>
              <w:spacing w:before="18"/>
              <w:rPr>
                <w:sz w:val="12"/>
              </w:rPr>
            </w:pPr>
            <w:r>
              <w:rPr>
                <w:color w:val="231F20"/>
                <w:spacing w:val="-4"/>
                <w:sz w:val="12"/>
              </w:rPr>
              <w:t>Array</w:t>
            </w:r>
          </w:p>
        </w:tc>
        <w:tc>
          <w:tcPr>
            <w:tcW w:w="5034" w:type="dxa"/>
          </w:tcPr>
          <w:p>
            <w:pPr>
              <w:pStyle w:val="TableParagraph"/>
              <w:spacing w:before="18"/>
              <w:rPr>
                <w:sz w:val="12"/>
              </w:rPr>
            </w:pPr>
            <w:r>
              <w:rPr>
                <w:color w:val="231F20"/>
                <w:spacing w:val="-2"/>
                <w:sz w:val="12"/>
              </w:rPr>
              <w:t>Start</w:t>
            </w:r>
          </w:p>
        </w:tc>
      </w:tr>
      <w:tr>
        <w:trPr>
          <w:trHeight w:val="209" w:hRule="atLeast"/>
        </w:trPr>
        <w:tc>
          <w:tcPr>
            <w:tcW w:w="1470" w:type="dxa"/>
          </w:tcPr>
          <w:p>
            <w:pPr>
              <w:pStyle w:val="TableParagraph"/>
              <w:spacing w:before="0"/>
              <w:ind w:left="0"/>
              <w:rPr>
                <w:rFonts w:ascii="Times New Roman"/>
                <w:sz w:val="14"/>
              </w:rPr>
            </w:pPr>
          </w:p>
        </w:tc>
        <w:tc>
          <w:tcPr>
            <w:tcW w:w="1030" w:type="dxa"/>
          </w:tcPr>
          <w:p>
            <w:pPr>
              <w:pStyle w:val="TableParagraph"/>
              <w:spacing w:before="18"/>
              <w:rPr>
                <w:sz w:val="12"/>
              </w:rPr>
            </w:pPr>
            <w:r>
              <w:rPr>
                <w:color w:val="231F20"/>
                <w:spacing w:val="-2"/>
                <w:sz w:val="12"/>
              </w:rPr>
              <w:t>Object</w:t>
            </w:r>
          </w:p>
        </w:tc>
        <w:tc>
          <w:tcPr>
            <w:tcW w:w="5034" w:type="dxa"/>
          </w:tcPr>
          <w:p>
            <w:pPr>
              <w:pStyle w:val="TableParagraph"/>
              <w:spacing w:before="18"/>
              <w:rPr>
                <w:sz w:val="12"/>
              </w:rPr>
            </w:pPr>
            <w:r>
              <w:rPr>
                <w:color w:val="231F20"/>
                <w:spacing w:val="-2"/>
                <w:sz w:val="12"/>
              </w:rPr>
              <w:t>Start</w:t>
            </w:r>
          </w:p>
        </w:tc>
      </w:tr>
      <w:tr>
        <w:trPr>
          <w:trHeight w:val="209" w:hRule="atLeast"/>
        </w:trPr>
        <w:tc>
          <w:tcPr>
            <w:tcW w:w="1470" w:type="dxa"/>
          </w:tcPr>
          <w:p>
            <w:pPr>
              <w:pStyle w:val="TableParagraph"/>
              <w:spacing w:before="18"/>
              <w:ind w:left="44"/>
              <w:rPr>
                <w:sz w:val="12"/>
              </w:rPr>
            </w:pPr>
            <w:r>
              <w:rPr>
                <w:color w:val="231F20"/>
                <w:spacing w:val="-2"/>
                <w:sz w:val="12"/>
              </w:rPr>
              <w:t>_cdmclass</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com.collation.platform.model.topology.process.ManagementSoftwareSystem</w:t>
            </w:r>
          </w:p>
        </w:tc>
      </w:tr>
      <w:tr>
        <w:trPr>
          <w:trHeight w:val="209" w:hRule="atLeast"/>
        </w:trPr>
        <w:tc>
          <w:tcPr>
            <w:tcW w:w="1470" w:type="dxa"/>
          </w:tcPr>
          <w:p>
            <w:pPr>
              <w:pStyle w:val="TableParagraph"/>
              <w:spacing w:before="18"/>
              <w:ind w:left="44"/>
              <w:rPr>
                <w:sz w:val="12"/>
              </w:rPr>
            </w:pPr>
            <w:r>
              <w:rPr>
                <w:color w:val="231F20"/>
                <w:spacing w:val="-2"/>
                <w:sz w:val="12"/>
              </w:rPr>
              <w:t>_jsonid</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_jsonid_0</w:t>
            </w:r>
          </w:p>
        </w:tc>
      </w:tr>
      <w:tr>
        <w:trPr>
          <w:trHeight w:val="209" w:hRule="atLeast"/>
        </w:trPr>
        <w:tc>
          <w:tcPr>
            <w:tcW w:w="1470" w:type="dxa"/>
          </w:tcPr>
          <w:p>
            <w:pPr>
              <w:pStyle w:val="TableParagraph"/>
              <w:spacing w:before="18"/>
              <w:ind w:left="44"/>
              <w:rPr>
                <w:sz w:val="12"/>
              </w:rPr>
            </w:pPr>
            <w:r>
              <w:rPr>
                <w:color w:val="231F20"/>
                <w:spacing w:val="-2"/>
                <w:sz w:val="12"/>
              </w:rPr>
              <w:t>mssname</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&amp;{=(*TADDM_=Alias+_MSSNAME)}</w:t>
            </w:r>
          </w:p>
        </w:tc>
      </w:tr>
      <w:tr>
        <w:trPr>
          <w:trHeight w:val="209" w:hRule="atLeast"/>
        </w:trPr>
        <w:tc>
          <w:tcPr>
            <w:tcW w:w="1470" w:type="dxa"/>
          </w:tcPr>
          <w:p>
            <w:pPr>
              <w:pStyle w:val="TableParagraph"/>
              <w:spacing w:before="18"/>
              <w:ind w:left="44"/>
              <w:rPr>
                <w:sz w:val="12"/>
              </w:rPr>
            </w:pPr>
            <w:r>
              <w:rPr>
                <w:color w:val="231F20"/>
                <w:spacing w:val="-2"/>
                <w:sz w:val="12"/>
              </w:rPr>
              <w:t>hostname</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&amp;{=MSSHostname}</w:t>
            </w:r>
          </w:p>
        </w:tc>
      </w:tr>
      <w:tr>
        <w:trPr>
          <w:trHeight w:val="209" w:hRule="atLeast"/>
        </w:trPr>
        <w:tc>
          <w:tcPr>
            <w:tcW w:w="1470" w:type="dxa"/>
          </w:tcPr>
          <w:p>
            <w:pPr>
              <w:pStyle w:val="TableParagraph"/>
              <w:spacing w:before="18"/>
              <w:ind w:left="44"/>
              <w:rPr>
                <w:sz w:val="12"/>
              </w:rPr>
            </w:pPr>
            <w:r>
              <w:rPr>
                <w:color w:val="231F20"/>
                <w:spacing w:val="-2"/>
                <w:sz w:val="12"/>
              </w:rPr>
              <w:t>manufacturename</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5"/>
                <w:sz w:val="12"/>
              </w:rPr>
              <w:t>IBM</w:t>
            </w:r>
          </w:p>
        </w:tc>
      </w:tr>
      <w:tr>
        <w:trPr>
          <w:trHeight w:val="209" w:hRule="atLeast"/>
        </w:trPr>
        <w:tc>
          <w:tcPr>
            <w:tcW w:w="1470" w:type="dxa"/>
          </w:tcPr>
          <w:p>
            <w:pPr>
              <w:pStyle w:val="TableParagraph"/>
              <w:spacing w:before="18"/>
              <w:ind w:left="44"/>
              <w:rPr>
                <w:sz w:val="12"/>
              </w:rPr>
            </w:pPr>
            <w:r>
              <w:rPr>
                <w:color w:val="231F20"/>
                <w:spacing w:val="-2"/>
                <w:sz w:val="12"/>
              </w:rPr>
              <w:t>productname</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z w:val="12"/>
              </w:rPr>
              <w:t>IBM</w:t>
            </w:r>
            <w:r>
              <w:rPr>
                <w:color w:val="231F20"/>
                <w:spacing w:val="2"/>
                <w:sz w:val="12"/>
              </w:rPr>
              <w:t> </w:t>
            </w:r>
            <w:r>
              <w:rPr>
                <w:color w:val="231F20"/>
                <w:sz w:val="12"/>
              </w:rPr>
              <w:t>Tivoli</w:t>
            </w:r>
            <w:r>
              <w:rPr>
                <w:color w:val="231F20"/>
                <w:spacing w:val="3"/>
                <w:sz w:val="12"/>
              </w:rPr>
              <w:t> </w:t>
            </w:r>
            <w:r>
              <w:rPr>
                <w:color w:val="231F20"/>
                <w:sz w:val="12"/>
              </w:rPr>
              <w:t>Monitoring</w:t>
            </w:r>
            <w:r>
              <w:rPr>
                <w:color w:val="231F20"/>
                <w:spacing w:val="3"/>
                <w:sz w:val="12"/>
              </w:rPr>
              <w:t> </w:t>
            </w:r>
            <w:r>
              <w:rPr>
                <w:color w:val="231F20"/>
                <w:spacing w:val="-2"/>
                <w:sz w:val="12"/>
              </w:rPr>
              <w:t>Services</w:t>
            </w:r>
          </w:p>
        </w:tc>
      </w:tr>
      <w:tr>
        <w:trPr>
          <w:trHeight w:val="209" w:hRule="atLeast"/>
        </w:trPr>
        <w:tc>
          <w:tcPr>
            <w:tcW w:w="1470" w:type="dxa"/>
          </w:tcPr>
          <w:p>
            <w:pPr>
              <w:pStyle w:val="TableParagraph"/>
              <w:spacing w:before="18"/>
              <w:ind w:left="44"/>
              <w:rPr>
                <w:sz w:val="12"/>
              </w:rPr>
            </w:pPr>
            <w:r>
              <w:rPr>
                <w:color w:val="231F20"/>
                <w:spacing w:val="-2"/>
                <w:sz w:val="12"/>
              </w:rPr>
              <w:t>label</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z w:val="12"/>
              </w:rPr>
              <w:t>IBM</w:t>
            </w:r>
            <w:r>
              <w:rPr>
                <w:color w:val="231F20"/>
                <w:spacing w:val="2"/>
                <w:sz w:val="12"/>
              </w:rPr>
              <w:t> </w:t>
            </w:r>
            <w:r>
              <w:rPr>
                <w:color w:val="231F20"/>
                <w:sz w:val="12"/>
              </w:rPr>
              <w:t>Tivoli</w:t>
            </w:r>
            <w:r>
              <w:rPr>
                <w:color w:val="231F20"/>
                <w:spacing w:val="3"/>
                <w:sz w:val="12"/>
              </w:rPr>
              <w:t> </w:t>
            </w:r>
            <w:r>
              <w:rPr>
                <w:color w:val="231F20"/>
                <w:spacing w:val="-2"/>
                <w:sz w:val="12"/>
              </w:rPr>
              <w:t>Monitoring</w:t>
            </w:r>
          </w:p>
        </w:tc>
      </w:tr>
      <w:tr>
        <w:trPr>
          <w:trHeight w:val="209" w:hRule="atLeast"/>
        </w:trPr>
        <w:tc>
          <w:tcPr>
            <w:tcW w:w="1470" w:type="dxa"/>
          </w:tcPr>
          <w:p>
            <w:pPr>
              <w:pStyle w:val="TableParagraph"/>
              <w:spacing w:before="0"/>
              <w:ind w:left="0"/>
              <w:rPr>
                <w:rFonts w:ascii="Times New Roman"/>
                <w:sz w:val="14"/>
              </w:rPr>
            </w:pPr>
          </w:p>
        </w:tc>
        <w:tc>
          <w:tcPr>
            <w:tcW w:w="1030" w:type="dxa"/>
          </w:tcPr>
          <w:p>
            <w:pPr>
              <w:pStyle w:val="TableParagraph"/>
              <w:spacing w:before="18"/>
              <w:rPr>
                <w:sz w:val="12"/>
              </w:rPr>
            </w:pPr>
            <w:r>
              <w:rPr>
                <w:color w:val="231F20"/>
                <w:spacing w:val="-2"/>
                <w:sz w:val="12"/>
              </w:rPr>
              <w:t>Object</w:t>
            </w:r>
          </w:p>
        </w:tc>
        <w:tc>
          <w:tcPr>
            <w:tcW w:w="5034" w:type="dxa"/>
          </w:tcPr>
          <w:p>
            <w:pPr>
              <w:pStyle w:val="TableParagraph"/>
              <w:spacing w:before="18"/>
              <w:rPr>
                <w:sz w:val="12"/>
              </w:rPr>
            </w:pPr>
            <w:r>
              <w:rPr>
                <w:color w:val="231F20"/>
                <w:spacing w:val="-5"/>
                <w:sz w:val="12"/>
              </w:rPr>
              <w:t>End</w:t>
            </w:r>
          </w:p>
        </w:tc>
      </w:tr>
      <w:tr>
        <w:trPr>
          <w:trHeight w:val="209" w:hRule="atLeast"/>
        </w:trPr>
        <w:tc>
          <w:tcPr>
            <w:tcW w:w="1470" w:type="dxa"/>
          </w:tcPr>
          <w:p>
            <w:pPr>
              <w:pStyle w:val="TableParagraph"/>
              <w:spacing w:before="0"/>
              <w:ind w:left="0"/>
              <w:rPr>
                <w:rFonts w:ascii="Times New Roman"/>
                <w:sz w:val="14"/>
              </w:rPr>
            </w:pPr>
          </w:p>
        </w:tc>
        <w:tc>
          <w:tcPr>
            <w:tcW w:w="1030" w:type="dxa"/>
          </w:tcPr>
          <w:p>
            <w:pPr>
              <w:pStyle w:val="TableParagraph"/>
              <w:spacing w:before="18"/>
              <w:rPr>
                <w:sz w:val="12"/>
              </w:rPr>
            </w:pPr>
            <w:r>
              <w:rPr>
                <w:color w:val="231F20"/>
                <w:spacing w:val="-2"/>
                <w:sz w:val="12"/>
              </w:rPr>
              <w:t>Object</w:t>
            </w:r>
          </w:p>
        </w:tc>
        <w:tc>
          <w:tcPr>
            <w:tcW w:w="5034" w:type="dxa"/>
          </w:tcPr>
          <w:p>
            <w:pPr>
              <w:pStyle w:val="TableParagraph"/>
              <w:spacing w:before="18"/>
              <w:rPr>
                <w:sz w:val="12"/>
              </w:rPr>
            </w:pPr>
            <w:r>
              <w:rPr>
                <w:color w:val="231F20"/>
                <w:spacing w:val="-2"/>
                <w:sz w:val="12"/>
              </w:rPr>
              <w:t>Start</w:t>
            </w:r>
          </w:p>
        </w:tc>
      </w:tr>
      <w:tr>
        <w:trPr>
          <w:trHeight w:val="209" w:hRule="atLeast"/>
        </w:trPr>
        <w:tc>
          <w:tcPr>
            <w:tcW w:w="1470" w:type="dxa"/>
          </w:tcPr>
          <w:p>
            <w:pPr>
              <w:pStyle w:val="TableParagraph"/>
              <w:spacing w:before="18"/>
              <w:ind w:left="44"/>
              <w:rPr>
                <w:sz w:val="12"/>
              </w:rPr>
            </w:pPr>
            <w:r>
              <w:rPr>
                <w:color w:val="231F20"/>
                <w:spacing w:val="-2"/>
                <w:sz w:val="12"/>
              </w:rPr>
              <w:t>_cdmclass</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com.collation.platform.model.topology.process.MSSAccessInfo</w:t>
            </w:r>
          </w:p>
        </w:tc>
      </w:tr>
      <w:tr>
        <w:trPr>
          <w:trHeight w:val="209" w:hRule="atLeast"/>
        </w:trPr>
        <w:tc>
          <w:tcPr>
            <w:tcW w:w="1470" w:type="dxa"/>
          </w:tcPr>
          <w:p>
            <w:pPr>
              <w:pStyle w:val="TableParagraph"/>
              <w:spacing w:before="18"/>
              <w:ind w:left="44"/>
              <w:rPr>
                <w:sz w:val="12"/>
              </w:rPr>
            </w:pPr>
            <w:r>
              <w:rPr>
                <w:color w:val="231F20"/>
                <w:spacing w:val="-2"/>
                <w:sz w:val="12"/>
              </w:rPr>
              <w:t>_jsonid</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_jsonid_1</w:t>
            </w:r>
          </w:p>
        </w:tc>
      </w:tr>
      <w:tr>
        <w:trPr>
          <w:trHeight w:val="209" w:hRule="atLeast"/>
        </w:trPr>
        <w:tc>
          <w:tcPr>
            <w:tcW w:w="1470" w:type="dxa"/>
          </w:tcPr>
          <w:p>
            <w:pPr>
              <w:pStyle w:val="TableParagraph"/>
              <w:spacing w:before="18"/>
              <w:ind w:left="44"/>
              <w:rPr>
                <w:sz w:val="12"/>
              </w:rPr>
            </w:pPr>
            <w:r>
              <w:rPr>
                <w:color w:val="231F20"/>
                <w:spacing w:val="-2"/>
                <w:sz w:val="12"/>
              </w:rPr>
              <w:t>accessString</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&amp;{=SourceContactInfo}</w:t>
            </w:r>
          </w:p>
        </w:tc>
      </w:tr>
      <w:tr>
        <w:trPr>
          <w:trHeight w:val="209" w:hRule="atLeast"/>
        </w:trPr>
        <w:tc>
          <w:tcPr>
            <w:tcW w:w="1470" w:type="dxa"/>
          </w:tcPr>
          <w:p>
            <w:pPr>
              <w:pStyle w:val="TableParagraph"/>
              <w:spacing w:before="18"/>
              <w:ind w:left="44"/>
              <w:rPr>
                <w:sz w:val="12"/>
              </w:rPr>
            </w:pPr>
            <w:r>
              <w:rPr>
                <w:color w:val="231F20"/>
                <w:spacing w:val="-2"/>
                <w:sz w:val="12"/>
              </w:rPr>
              <w:t>accessType</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default</w:t>
            </w:r>
          </w:p>
        </w:tc>
      </w:tr>
      <w:tr>
        <w:trPr>
          <w:trHeight w:val="209" w:hRule="atLeast"/>
        </w:trPr>
        <w:tc>
          <w:tcPr>
            <w:tcW w:w="1470" w:type="dxa"/>
          </w:tcPr>
          <w:p>
            <w:pPr>
              <w:pStyle w:val="TableParagraph"/>
              <w:spacing w:before="18"/>
              <w:ind w:left="44"/>
              <w:rPr>
                <w:sz w:val="12"/>
              </w:rPr>
            </w:pPr>
            <w:r>
              <w:rPr>
                <w:color w:val="231F20"/>
                <w:spacing w:val="-2"/>
                <w:sz w:val="12"/>
              </w:rPr>
              <w:t>parent</w:t>
            </w:r>
          </w:p>
        </w:tc>
        <w:tc>
          <w:tcPr>
            <w:tcW w:w="1030" w:type="dxa"/>
          </w:tcPr>
          <w:p>
            <w:pPr>
              <w:pStyle w:val="TableParagraph"/>
              <w:spacing w:before="18"/>
              <w:rPr>
                <w:sz w:val="12"/>
              </w:rPr>
            </w:pPr>
            <w:r>
              <w:rPr>
                <w:color w:val="231F20"/>
                <w:spacing w:val="-2"/>
                <w:sz w:val="12"/>
              </w:rPr>
              <w:t>String</w:t>
            </w:r>
          </w:p>
        </w:tc>
        <w:tc>
          <w:tcPr>
            <w:tcW w:w="5034" w:type="dxa"/>
          </w:tcPr>
          <w:p>
            <w:pPr>
              <w:pStyle w:val="TableParagraph"/>
              <w:spacing w:before="18"/>
              <w:rPr>
                <w:sz w:val="12"/>
              </w:rPr>
            </w:pPr>
            <w:r>
              <w:rPr>
                <w:color w:val="231F20"/>
                <w:spacing w:val="-2"/>
                <w:sz w:val="12"/>
              </w:rPr>
              <w:t>_jsonid_0</w:t>
            </w:r>
          </w:p>
        </w:tc>
      </w:tr>
      <w:tr>
        <w:trPr>
          <w:trHeight w:val="209" w:hRule="atLeast"/>
        </w:trPr>
        <w:tc>
          <w:tcPr>
            <w:tcW w:w="1470" w:type="dxa"/>
          </w:tcPr>
          <w:p>
            <w:pPr>
              <w:pStyle w:val="TableParagraph"/>
              <w:spacing w:before="0"/>
              <w:ind w:left="0"/>
              <w:rPr>
                <w:rFonts w:ascii="Times New Roman"/>
                <w:sz w:val="14"/>
              </w:rPr>
            </w:pPr>
          </w:p>
        </w:tc>
        <w:tc>
          <w:tcPr>
            <w:tcW w:w="1030" w:type="dxa"/>
          </w:tcPr>
          <w:p>
            <w:pPr>
              <w:pStyle w:val="TableParagraph"/>
              <w:spacing w:before="18"/>
              <w:rPr>
                <w:sz w:val="12"/>
              </w:rPr>
            </w:pPr>
            <w:r>
              <w:rPr>
                <w:color w:val="231F20"/>
                <w:spacing w:val="-2"/>
                <w:sz w:val="12"/>
              </w:rPr>
              <w:t>Object</w:t>
            </w:r>
          </w:p>
        </w:tc>
        <w:tc>
          <w:tcPr>
            <w:tcW w:w="5034" w:type="dxa"/>
          </w:tcPr>
          <w:p>
            <w:pPr>
              <w:pStyle w:val="TableParagraph"/>
              <w:spacing w:before="18"/>
              <w:rPr>
                <w:sz w:val="12"/>
              </w:rPr>
            </w:pPr>
            <w:r>
              <w:rPr>
                <w:color w:val="231F20"/>
                <w:spacing w:val="-5"/>
                <w:sz w:val="12"/>
              </w:rPr>
              <w:t>End</w:t>
            </w:r>
          </w:p>
        </w:tc>
      </w:tr>
      <w:tr>
        <w:trPr>
          <w:trHeight w:val="244" w:hRule="atLeast"/>
        </w:trPr>
        <w:tc>
          <w:tcPr>
            <w:tcW w:w="1470" w:type="dxa"/>
          </w:tcPr>
          <w:p>
            <w:pPr>
              <w:pStyle w:val="TableParagraph"/>
              <w:spacing w:before="0"/>
              <w:ind w:left="0"/>
              <w:rPr>
                <w:rFonts w:ascii="Times New Roman"/>
                <w:sz w:val="16"/>
              </w:rPr>
            </w:pPr>
          </w:p>
        </w:tc>
        <w:tc>
          <w:tcPr>
            <w:tcW w:w="1030" w:type="dxa"/>
          </w:tcPr>
          <w:p>
            <w:pPr>
              <w:pStyle w:val="TableParagraph"/>
              <w:spacing w:before="18"/>
              <w:rPr>
                <w:sz w:val="12"/>
              </w:rPr>
            </w:pPr>
            <w:r>
              <w:rPr>
                <w:color w:val="231F20"/>
                <w:spacing w:val="-4"/>
                <w:sz w:val="12"/>
              </w:rPr>
              <w:t>Array</w:t>
            </w:r>
          </w:p>
        </w:tc>
        <w:tc>
          <w:tcPr>
            <w:tcW w:w="5034" w:type="dxa"/>
          </w:tcPr>
          <w:p>
            <w:pPr>
              <w:pStyle w:val="TableParagraph"/>
              <w:spacing w:before="18"/>
              <w:rPr>
                <w:sz w:val="12"/>
              </w:rPr>
            </w:pPr>
            <w:r>
              <w:rPr>
                <w:color w:val="231F20"/>
                <w:spacing w:val="-5"/>
                <w:sz w:val="12"/>
              </w:rPr>
              <w:t>End</w:t>
            </w:r>
          </w:p>
        </w:tc>
      </w:tr>
    </w:tbl>
    <w:p>
      <w:pPr>
        <w:pStyle w:val="BodyText"/>
        <w:spacing w:before="50"/>
      </w:pPr>
    </w:p>
    <w:p>
      <w:pPr>
        <w:pStyle w:val="Heading6"/>
        <w:spacing w:line="266" w:lineRule="exact" w:before="0"/>
        <w:rPr>
          <w:rFonts w:ascii="Palatino Linotype"/>
          <w:b w:val="0"/>
        </w:rPr>
      </w:pPr>
      <w:r>
        <w:rPr>
          <w:color w:val="231F20"/>
        </w:rPr>
        <w:t>Send</w:t>
      </w:r>
      <w:r>
        <w:rPr>
          <w:color w:val="231F20"/>
          <w:spacing w:val="7"/>
        </w:rPr>
        <w:t> </w:t>
      </w:r>
      <w:r>
        <w:rPr>
          <w:color w:val="231F20"/>
        </w:rPr>
        <w:t>a</w:t>
      </w:r>
      <w:r>
        <w:rPr>
          <w:color w:val="231F20"/>
          <w:spacing w:val="7"/>
        </w:rPr>
        <w:t> </w:t>
      </w:r>
      <w:r>
        <w:rPr>
          <w:color w:val="231F20"/>
        </w:rPr>
        <w:t>Tivoli</w:t>
      </w:r>
      <w:r>
        <w:rPr>
          <w:color w:val="231F20"/>
          <w:spacing w:val="8"/>
        </w:rPr>
        <w:t> </w:t>
      </w:r>
      <w:r>
        <w:rPr>
          <w:color w:val="231F20"/>
        </w:rPr>
        <w:t>Application</w:t>
      </w:r>
      <w:r>
        <w:rPr>
          <w:color w:val="231F20"/>
          <w:spacing w:val="7"/>
        </w:rPr>
        <w:t> </w:t>
      </w:r>
      <w:r>
        <w:rPr>
          <w:color w:val="231F20"/>
        </w:rPr>
        <w:t>Dependency</w:t>
      </w:r>
      <w:r>
        <w:rPr>
          <w:color w:val="231F20"/>
          <w:spacing w:val="8"/>
        </w:rPr>
        <w:t> </w:t>
      </w:r>
      <w:r>
        <w:rPr>
          <w:color w:val="231F20"/>
        </w:rPr>
        <w:t>Discovery</w:t>
      </w:r>
      <w:r>
        <w:rPr>
          <w:color w:val="231F20"/>
          <w:spacing w:val="7"/>
        </w:rPr>
        <w:t> </w:t>
      </w:r>
      <w:r>
        <w:rPr>
          <w:color w:val="231F20"/>
        </w:rPr>
        <w:t>Manager</w:t>
      </w:r>
      <w:r>
        <w:rPr>
          <w:color w:val="231F20"/>
          <w:spacing w:val="7"/>
        </w:rPr>
        <w:t> </w:t>
      </w:r>
      <w:r>
        <w:rPr>
          <w:color w:val="231F20"/>
        </w:rPr>
        <w:t>Update</w:t>
      </w:r>
      <w:r>
        <w:rPr>
          <w:color w:val="231F20"/>
          <w:spacing w:val="8"/>
        </w:rPr>
        <w:t> </w:t>
      </w:r>
      <w:r>
        <w:rPr>
          <w:rFonts w:ascii="Palatino Linotype"/>
          <w:b w:val="0"/>
          <w:color w:val="231F20"/>
          <w:spacing w:val="-4"/>
        </w:rPr>
        <w:t>with</w:t>
      </w:r>
    </w:p>
    <w:p>
      <w:pPr>
        <w:spacing w:line="225" w:lineRule="exact" w:before="0"/>
        <w:ind w:left="2472" w:right="0" w:firstLine="0"/>
        <w:jc w:val="left"/>
        <w:rPr>
          <w:rFonts w:ascii="Book Antiqua"/>
          <w:b/>
          <w:sz w:val="20"/>
        </w:rPr>
      </w:pPr>
      <w:r>
        <w:rPr>
          <w:rFonts w:ascii="Book Antiqua"/>
          <w:b/>
          <w:color w:val="231F20"/>
          <w:sz w:val="20"/>
        </w:rPr>
        <w:t>Operation</w:t>
      </w:r>
      <w:r>
        <w:rPr>
          <w:rFonts w:ascii="Book Antiqua"/>
          <w:b/>
          <w:color w:val="231F20"/>
          <w:spacing w:val="-1"/>
          <w:sz w:val="20"/>
        </w:rPr>
        <w:t> </w:t>
      </w:r>
      <w:r>
        <w:rPr>
          <w:rFonts w:ascii="Book Antiqua"/>
          <w:b/>
          <w:color w:val="231F20"/>
          <w:sz w:val="20"/>
        </w:rPr>
        <w:t>Type: </w:t>
      </w:r>
      <w:r>
        <w:rPr>
          <w:rFonts w:ascii="Book Antiqua"/>
          <w:b/>
          <w:color w:val="231F20"/>
          <w:spacing w:val="-2"/>
          <w:sz w:val="20"/>
        </w:rPr>
        <w:t>Create</w:t>
      </w:r>
    </w:p>
    <w:p>
      <w:pPr>
        <w:pStyle w:val="BodyText"/>
        <w:spacing w:line="213" w:lineRule="auto" w:before="11"/>
        <w:ind w:left="2472" w:right="313"/>
      </w:pPr>
      <w:r>
        <w:rPr>
          <w:color w:val="231F20"/>
        </w:rPr>
        <w:t>The VMware VI monitoring agent provides a policy to update TADDM when </w:t>
      </w:r>
      <w:r>
        <w:rPr>
          <w:color w:val="231F20"/>
        </w:rPr>
        <w:t>new resources are created. The following JSON update request is predefined for the</w:t>
      </w:r>
      <w:r>
        <w:rPr>
          <w:color w:val="231F20"/>
          <w:spacing w:val="40"/>
        </w:rPr>
        <w:t> </w:t>
      </w:r>
      <w:r>
        <w:rPr>
          <w:color w:val="231F20"/>
        </w:rPr>
        <w:t>Send a Tivoli Application Dependency Discovery Manager Update activity:</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81"/>
        <w:gridCol w:w="1021"/>
        <w:gridCol w:w="5133"/>
      </w:tblGrid>
      <w:tr>
        <w:trPr>
          <w:trHeight w:val="204" w:hRule="atLeast"/>
        </w:trPr>
        <w:tc>
          <w:tcPr>
            <w:tcW w:w="1381" w:type="dxa"/>
          </w:tcPr>
          <w:p>
            <w:pPr>
              <w:pStyle w:val="TableParagraph"/>
              <w:spacing w:before="27"/>
              <w:ind w:left="44"/>
              <w:rPr>
                <w:rFonts w:ascii="Book Antiqua"/>
                <w:b/>
                <w:sz w:val="12"/>
              </w:rPr>
            </w:pPr>
            <w:r>
              <w:rPr>
                <w:rFonts w:ascii="Book Antiqua"/>
                <w:b/>
                <w:color w:val="231F20"/>
                <w:spacing w:val="-5"/>
                <w:sz w:val="12"/>
              </w:rPr>
              <w:t>Key</w:t>
            </w:r>
          </w:p>
        </w:tc>
        <w:tc>
          <w:tcPr>
            <w:tcW w:w="1021" w:type="dxa"/>
          </w:tcPr>
          <w:p>
            <w:pPr>
              <w:pStyle w:val="TableParagraph"/>
              <w:spacing w:before="27"/>
              <w:rPr>
                <w:rFonts w:ascii="Book Antiqua"/>
                <w:b/>
                <w:sz w:val="12"/>
              </w:rPr>
            </w:pPr>
            <w:r>
              <w:rPr>
                <w:rFonts w:ascii="Book Antiqua"/>
                <w:b/>
                <w:color w:val="231F20"/>
                <w:spacing w:val="-2"/>
                <w:sz w:val="12"/>
              </w:rPr>
              <w:t>Value</w:t>
            </w:r>
            <w:r>
              <w:rPr>
                <w:rFonts w:ascii="Book Antiqua"/>
                <w:b/>
                <w:color w:val="231F20"/>
                <w:spacing w:val="1"/>
                <w:sz w:val="12"/>
              </w:rPr>
              <w:t> </w:t>
            </w:r>
            <w:r>
              <w:rPr>
                <w:rFonts w:ascii="Book Antiqua"/>
                <w:b/>
                <w:color w:val="231F20"/>
                <w:spacing w:val="-4"/>
                <w:sz w:val="12"/>
              </w:rPr>
              <w:t>Type</w:t>
            </w:r>
          </w:p>
        </w:tc>
        <w:tc>
          <w:tcPr>
            <w:tcW w:w="5133" w:type="dxa"/>
          </w:tcPr>
          <w:p>
            <w:pPr>
              <w:pStyle w:val="TableParagraph"/>
              <w:spacing w:before="27"/>
              <w:ind w:left="58"/>
              <w:rPr>
                <w:rFonts w:ascii="Book Antiqua"/>
                <w:b/>
                <w:sz w:val="12"/>
              </w:rPr>
            </w:pPr>
            <w:r>
              <w:rPr>
                <w:rFonts w:ascii="Book Antiqua"/>
                <w:b/>
                <w:color w:val="231F20"/>
                <w:spacing w:val="-2"/>
                <w:sz w:val="12"/>
              </w:rPr>
              <w:t>Value</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2"/>
                <w:sz w:val="12"/>
              </w:rPr>
              <w:t>Start</w:t>
            </w:r>
          </w:p>
        </w:tc>
      </w:tr>
      <w:tr>
        <w:trPr>
          <w:trHeight w:val="244" w:hRule="atLeast"/>
        </w:trPr>
        <w:tc>
          <w:tcPr>
            <w:tcW w:w="1381" w:type="dxa"/>
          </w:tcPr>
          <w:p>
            <w:pPr>
              <w:pStyle w:val="TableParagraph"/>
              <w:spacing w:before="0"/>
              <w:ind w:left="0"/>
              <w:rPr>
                <w:rFonts w:ascii="Times New Roman"/>
                <w:sz w:val="16"/>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2"/>
                <w:sz w:val="12"/>
              </w:rPr>
              <w:t>Start</w:t>
            </w:r>
          </w:p>
        </w:tc>
      </w:tr>
    </w:tbl>
    <w:p>
      <w:pPr>
        <w:spacing w:after="0"/>
        <w:rPr>
          <w:sz w:val="12"/>
        </w:rPr>
        <w:sectPr>
          <w:pgSz w:w="12240" w:h="15840"/>
          <w:pgMar w:header="0" w:footer="736" w:top="1180" w:bottom="1224"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81"/>
        <w:gridCol w:w="1021"/>
        <w:gridCol w:w="5133"/>
      </w:tblGrid>
      <w:tr>
        <w:trPr>
          <w:trHeight w:val="204" w:hRule="atLeast"/>
        </w:trPr>
        <w:tc>
          <w:tcPr>
            <w:tcW w:w="1381" w:type="dxa"/>
          </w:tcPr>
          <w:p>
            <w:pPr>
              <w:pStyle w:val="TableParagraph"/>
              <w:spacing w:before="27"/>
              <w:ind w:left="44"/>
              <w:rPr>
                <w:rFonts w:ascii="Book Antiqua"/>
                <w:b/>
                <w:sz w:val="12"/>
              </w:rPr>
            </w:pPr>
            <w:r>
              <w:rPr>
                <w:rFonts w:ascii="Book Antiqua"/>
                <w:b/>
                <w:color w:val="231F20"/>
                <w:spacing w:val="-5"/>
                <w:sz w:val="12"/>
              </w:rPr>
              <w:t>Key</w:t>
            </w:r>
          </w:p>
        </w:tc>
        <w:tc>
          <w:tcPr>
            <w:tcW w:w="1021" w:type="dxa"/>
          </w:tcPr>
          <w:p>
            <w:pPr>
              <w:pStyle w:val="TableParagraph"/>
              <w:spacing w:before="27"/>
              <w:rPr>
                <w:rFonts w:ascii="Book Antiqua"/>
                <w:b/>
                <w:sz w:val="12"/>
              </w:rPr>
            </w:pPr>
            <w:r>
              <w:rPr>
                <w:rFonts w:ascii="Book Antiqua"/>
                <w:b/>
                <w:color w:val="231F20"/>
                <w:spacing w:val="-2"/>
                <w:sz w:val="12"/>
              </w:rPr>
              <w:t>Value</w:t>
            </w:r>
            <w:r>
              <w:rPr>
                <w:rFonts w:ascii="Book Antiqua"/>
                <w:b/>
                <w:color w:val="231F20"/>
                <w:spacing w:val="1"/>
                <w:sz w:val="12"/>
              </w:rPr>
              <w:t> </w:t>
            </w:r>
            <w:r>
              <w:rPr>
                <w:rFonts w:ascii="Book Antiqua"/>
                <w:b/>
                <w:color w:val="231F20"/>
                <w:spacing w:val="-4"/>
                <w:sz w:val="12"/>
              </w:rPr>
              <w:t>Type</w:t>
            </w:r>
          </w:p>
        </w:tc>
        <w:tc>
          <w:tcPr>
            <w:tcW w:w="5133" w:type="dxa"/>
          </w:tcPr>
          <w:p>
            <w:pPr>
              <w:pStyle w:val="TableParagraph"/>
              <w:spacing w:before="27"/>
              <w:ind w:left="58"/>
              <w:rPr>
                <w:rFonts w:ascii="Book Antiqua"/>
                <w:b/>
                <w:sz w:val="12"/>
              </w:rPr>
            </w:pPr>
            <w:r>
              <w:rPr>
                <w:rFonts w:ascii="Book Antiqua"/>
                <w:b/>
                <w:color w:val="231F20"/>
                <w:spacing w:val="-2"/>
                <w:sz w:val="12"/>
              </w:rPr>
              <w:t>Value</w:t>
            </w:r>
          </w:p>
        </w:tc>
      </w:tr>
      <w:tr>
        <w:trPr>
          <w:trHeight w:val="209" w:hRule="atLeast"/>
        </w:trPr>
        <w:tc>
          <w:tcPr>
            <w:tcW w:w="1381" w:type="dxa"/>
          </w:tcPr>
          <w:p>
            <w:pPr>
              <w:pStyle w:val="TableParagraph"/>
              <w:spacing w:before="18"/>
              <w:ind w:left="44"/>
              <w:rPr>
                <w:sz w:val="12"/>
              </w:rPr>
            </w:pPr>
            <w:r>
              <w:rPr>
                <w:color w:val="231F20"/>
                <w:spacing w:val="-2"/>
                <w:sz w:val="12"/>
              </w:rPr>
              <w:t>_cdmclass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com.collation.platform.model.topology.sys.vmware.VmwareUnitaryComputerSystem</w:t>
            </w:r>
          </w:p>
        </w:tc>
      </w:tr>
      <w:tr>
        <w:trPr>
          <w:trHeight w:val="209" w:hRule="atLeast"/>
        </w:trPr>
        <w:tc>
          <w:tcPr>
            <w:tcW w:w="1381" w:type="dxa"/>
          </w:tcPr>
          <w:p>
            <w:pPr>
              <w:pStyle w:val="TableParagraph"/>
              <w:spacing w:before="18"/>
              <w:ind w:left="44"/>
              <w:rPr>
                <w:sz w:val="12"/>
              </w:rPr>
            </w:pPr>
            <w:r>
              <w:rPr>
                <w:color w:val="231F20"/>
                <w:spacing w:val="-2"/>
                <w:sz w:val="12"/>
              </w:rPr>
              <w:t>_jsonid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_jsonid_1</w:t>
            </w:r>
          </w:p>
        </w:tc>
      </w:tr>
      <w:tr>
        <w:trPr>
          <w:trHeight w:val="209" w:hRule="atLeast"/>
        </w:trPr>
        <w:tc>
          <w:tcPr>
            <w:tcW w:w="1381" w:type="dxa"/>
          </w:tcPr>
          <w:p>
            <w:pPr>
              <w:pStyle w:val="TableParagraph"/>
              <w:spacing w:before="18"/>
              <w:ind w:left="44"/>
              <w:rPr>
                <w:sz w:val="12"/>
              </w:rPr>
            </w:pPr>
            <w:r>
              <w:rPr>
                <w:color w:val="231F20"/>
                <w:spacing w:val="-4"/>
                <w:sz w:val="12"/>
              </w:rPr>
              <w:t>uuid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&amp;WaitOnSituation1:KVM_TOPOLOGICAL_EVENTS.Host_UUID</w:t>
            </w:r>
          </w:p>
        </w:tc>
      </w:tr>
      <w:tr>
        <w:trPr>
          <w:trHeight w:val="209" w:hRule="atLeast"/>
        </w:trPr>
        <w:tc>
          <w:tcPr>
            <w:tcW w:w="1381" w:type="dxa"/>
          </w:tcPr>
          <w:p>
            <w:pPr>
              <w:pStyle w:val="TableParagraph"/>
              <w:spacing w:before="18"/>
              <w:ind w:left="44"/>
              <w:rPr>
                <w:sz w:val="12"/>
              </w:rPr>
            </w:pPr>
            <w:r>
              <w:rPr>
                <w:color w:val="231F20"/>
                <w:spacing w:val="-2"/>
                <w:sz w:val="12"/>
              </w:rPr>
              <w:t>childsystem</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_jsonid_2</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5"/>
                <w:sz w:val="12"/>
              </w:rPr>
              <w:t>End</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18"/>
              <w:ind w:left="44"/>
              <w:rPr>
                <w:sz w:val="12"/>
              </w:rPr>
            </w:pPr>
            <w:r>
              <w:rPr>
                <w:color w:val="231F20"/>
                <w:spacing w:val="-2"/>
                <w:sz w:val="12"/>
              </w:rPr>
              <w:t>_cdmclass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com.collation.platform.model.topology.sys.UnitaryComputerSystem</w:t>
            </w:r>
          </w:p>
        </w:tc>
      </w:tr>
      <w:tr>
        <w:trPr>
          <w:trHeight w:val="209" w:hRule="atLeast"/>
        </w:trPr>
        <w:tc>
          <w:tcPr>
            <w:tcW w:w="1381" w:type="dxa"/>
          </w:tcPr>
          <w:p>
            <w:pPr>
              <w:pStyle w:val="TableParagraph"/>
              <w:spacing w:before="18"/>
              <w:ind w:left="44"/>
              <w:rPr>
                <w:sz w:val="12"/>
              </w:rPr>
            </w:pPr>
            <w:r>
              <w:rPr>
                <w:color w:val="231F20"/>
                <w:spacing w:val="-2"/>
                <w:sz w:val="12"/>
              </w:rPr>
              <w:t>_jsonid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_jsonid_2</w:t>
            </w:r>
          </w:p>
        </w:tc>
      </w:tr>
      <w:tr>
        <w:trPr>
          <w:trHeight w:val="209" w:hRule="atLeast"/>
        </w:trPr>
        <w:tc>
          <w:tcPr>
            <w:tcW w:w="1381" w:type="dxa"/>
          </w:tcPr>
          <w:p>
            <w:pPr>
              <w:pStyle w:val="TableParagraph"/>
              <w:spacing w:before="18"/>
              <w:ind w:left="44"/>
              <w:rPr>
                <w:sz w:val="12"/>
              </w:rPr>
            </w:pPr>
            <w:r>
              <w:rPr>
                <w:color w:val="231F20"/>
                <w:spacing w:val="-2"/>
                <w:sz w:val="12"/>
              </w:rPr>
              <w:t>virtual</w:t>
            </w:r>
          </w:p>
        </w:tc>
        <w:tc>
          <w:tcPr>
            <w:tcW w:w="1021" w:type="dxa"/>
          </w:tcPr>
          <w:p>
            <w:pPr>
              <w:pStyle w:val="TableParagraph"/>
              <w:spacing w:before="18"/>
              <w:rPr>
                <w:sz w:val="12"/>
              </w:rPr>
            </w:pPr>
            <w:r>
              <w:rPr>
                <w:color w:val="231F20"/>
                <w:spacing w:val="-2"/>
                <w:sz w:val="12"/>
              </w:rPr>
              <w:t>Boolean</w:t>
            </w:r>
          </w:p>
        </w:tc>
        <w:tc>
          <w:tcPr>
            <w:tcW w:w="5133" w:type="dxa"/>
          </w:tcPr>
          <w:p>
            <w:pPr>
              <w:pStyle w:val="TableParagraph"/>
              <w:spacing w:before="18"/>
              <w:ind w:left="58"/>
              <w:rPr>
                <w:sz w:val="12"/>
              </w:rPr>
            </w:pPr>
            <w:r>
              <w:rPr>
                <w:color w:val="231F20"/>
                <w:spacing w:val="-4"/>
                <w:sz w:val="12"/>
              </w:rPr>
              <w:t>true</w:t>
            </w:r>
          </w:p>
        </w:tc>
      </w:tr>
      <w:tr>
        <w:trPr>
          <w:trHeight w:val="209" w:hRule="atLeast"/>
        </w:trPr>
        <w:tc>
          <w:tcPr>
            <w:tcW w:w="1381" w:type="dxa"/>
          </w:tcPr>
          <w:p>
            <w:pPr>
              <w:pStyle w:val="TableParagraph"/>
              <w:spacing w:before="18"/>
              <w:ind w:left="44"/>
              <w:rPr>
                <w:sz w:val="12"/>
              </w:rPr>
            </w:pPr>
            <w:r>
              <w:rPr>
                <w:color w:val="231F20"/>
                <w:spacing w:val="-4"/>
                <w:sz w:val="12"/>
              </w:rPr>
              <w:t>name</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&amp;{CT_Get2:/VM_Name}</w:t>
            </w:r>
          </w:p>
        </w:tc>
      </w:tr>
      <w:tr>
        <w:trPr>
          <w:trHeight w:val="209" w:hRule="atLeast"/>
        </w:trPr>
        <w:tc>
          <w:tcPr>
            <w:tcW w:w="1381" w:type="dxa"/>
          </w:tcPr>
          <w:p>
            <w:pPr>
              <w:pStyle w:val="TableParagraph"/>
              <w:spacing w:before="18"/>
              <w:ind w:left="44"/>
              <w:rPr>
                <w:sz w:val="12"/>
              </w:rPr>
            </w:pPr>
            <w:r>
              <w:rPr>
                <w:color w:val="231F20"/>
                <w:spacing w:val="-2"/>
                <w:sz w:val="12"/>
              </w:rPr>
              <w:t>label</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&amp;{CT_Get2:/VM_Name}</w:t>
            </w:r>
          </w:p>
        </w:tc>
      </w:tr>
      <w:tr>
        <w:trPr>
          <w:trHeight w:val="209" w:hRule="atLeast"/>
        </w:trPr>
        <w:tc>
          <w:tcPr>
            <w:tcW w:w="1381" w:type="dxa"/>
          </w:tcPr>
          <w:p>
            <w:pPr>
              <w:pStyle w:val="TableParagraph"/>
              <w:spacing w:before="18"/>
              <w:ind w:left="44"/>
              <w:rPr>
                <w:sz w:val="12"/>
              </w:rPr>
            </w:pPr>
            <w:r>
              <w:rPr>
                <w:color w:val="231F20"/>
                <w:spacing w:val="-4"/>
                <w:sz w:val="12"/>
              </w:rPr>
              <w:t>vmid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&amp;{CT_Get2:/MORef}</w:t>
            </w:r>
          </w:p>
        </w:tc>
      </w:tr>
      <w:tr>
        <w:trPr>
          <w:trHeight w:val="209" w:hRule="atLeast"/>
        </w:trPr>
        <w:tc>
          <w:tcPr>
            <w:tcW w:w="1381" w:type="dxa"/>
          </w:tcPr>
          <w:p>
            <w:pPr>
              <w:pStyle w:val="TableParagraph"/>
              <w:spacing w:before="18"/>
              <w:ind w:left="44"/>
              <w:rPr>
                <w:sz w:val="12"/>
              </w:rPr>
            </w:pPr>
            <w:r>
              <w:rPr>
                <w:color w:val="231F20"/>
                <w:spacing w:val="-4"/>
                <w:sz w:val="12"/>
              </w:rPr>
              <w:t>uuid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&amp;WaitOnSituation1:KVM_TOPOLOGICAL_EVENTS.VM_UUID</w:t>
            </w:r>
          </w:p>
        </w:tc>
      </w:tr>
      <w:tr>
        <w:trPr>
          <w:trHeight w:val="209" w:hRule="atLeast"/>
        </w:trPr>
        <w:tc>
          <w:tcPr>
            <w:tcW w:w="1381" w:type="dxa"/>
          </w:tcPr>
          <w:p>
            <w:pPr>
              <w:pStyle w:val="TableParagraph"/>
              <w:spacing w:before="18"/>
              <w:ind w:left="44"/>
              <w:rPr>
                <w:sz w:val="12"/>
              </w:rPr>
            </w:pPr>
            <w:r>
              <w:rPr>
                <w:color w:val="231F20"/>
                <w:spacing w:val="-2"/>
                <w:sz w:val="12"/>
              </w:rPr>
              <w:t>memorysharesvalue</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&amp;{CT_Get2:/Memory_Shares}</w:t>
            </w:r>
          </w:p>
        </w:tc>
      </w:tr>
      <w:tr>
        <w:trPr>
          <w:trHeight w:val="209" w:hRule="atLeast"/>
        </w:trPr>
        <w:tc>
          <w:tcPr>
            <w:tcW w:w="1381" w:type="dxa"/>
          </w:tcPr>
          <w:p>
            <w:pPr>
              <w:pStyle w:val="TableParagraph"/>
              <w:spacing w:before="18"/>
              <w:ind w:left="44"/>
              <w:rPr>
                <w:sz w:val="12"/>
              </w:rPr>
            </w:pPr>
            <w:r>
              <w:rPr>
                <w:color w:val="231F20"/>
                <w:spacing w:val="-2"/>
                <w:sz w:val="12"/>
              </w:rPr>
              <w:t>numcpus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&amp;{CT_Get2:/Num_CPUS)</w:t>
            </w:r>
          </w:p>
        </w:tc>
      </w:tr>
      <w:tr>
        <w:trPr>
          <w:trHeight w:val="209" w:hRule="atLeast"/>
        </w:trPr>
        <w:tc>
          <w:tcPr>
            <w:tcW w:w="1381" w:type="dxa"/>
          </w:tcPr>
          <w:p>
            <w:pPr>
              <w:pStyle w:val="TableParagraph"/>
              <w:spacing w:before="18"/>
              <w:ind w:left="44"/>
              <w:rPr>
                <w:sz w:val="12"/>
              </w:rPr>
            </w:pPr>
            <w:r>
              <w:rPr>
                <w:color w:val="231F20"/>
                <w:spacing w:val="-2"/>
                <w:sz w:val="12"/>
              </w:rPr>
              <w:t>cpusharesvalue</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&amp;{CPU_Shares)</w:t>
            </w:r>
          </w:p>
        </w:tc>
      </w:tr>
      <w:tr>
        <w:trPr>
          <w:trHeight w:val="209" w:hRule="atLeast"/>
        </w:trPr>
        <w:tc>
          <w:tcPr>
            <w:tcW w:w="1381" w:type="dxa"/>
          </w:tcPr>
          <w:p>
            <w:pPr>
              <w:pStyle w:val="TableParagraph"/>
              <w:spacing w:before="18"/>
              <w:ind w:left="44"/>
              <w:rPr>
                <w:sz w:val="12"/>
              </w:rPr>
            </w:pPr>
            <w:r>
              <w:rPr>
                <w:color w:val="231F20"/>
                <w:spacing w:val="-2"/>
                <w:sz w:val="12"/>
              </w:rPr>
              <w:t>hostsystem</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_jsonid_1</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5"/>
                <w:sz w:val="12"/>
              </w:rPr>
              <w:t>End</w:t>
            </w:r>
          </w:p>
        </w:tc>
      </w:tr>
      <w:tr>
        <w:trPr>
          <w:trHeight w:val="244"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5"/>
                <w:sz w:val="12"/>
              </w:rPr>
              <w:t>End</w:t>
            </w:r>
          </w:p>
        </w:tc>
      </w:tr>
    </w:tbl>
    <w:p>
      <w:pPr>
        <w:pStyle w:val="BodyText"/>
        <w:spacing w:before="68"/>
      </w:pPr>
    </w:p>
    <w:p>
      <w:pPr>
        <w:pStyle w:val="Heading6"/>
        <w:spacing w:line="266" w:lineRule="exact" w:before="0"/>
        <w:ind w:left="2232"/>
        <w:rPr>
          <w:rFonts w:ascii="Palatino Linotype"/>
          <w:b w:val="0"/>
        </w:rPr>
      </w:pPr>
      <w:r>
        <w:rPr>
          <w:color w:val="231F20"/>
        </w:rPr>
        <w:t>Send</w:t>
      </w:r>
      <w:r>
        <w:rPr>
          <w:color w:val="231F20"/>
          <w:spacing w:val="7"/>
        </w:rPr>
        <w:t> </w:t>
      </w:r>
      <w:r>
        <w:rPr>
          <w:color w:val="231F20"/>
        </w:rPr>
        <w:t>a</w:t>
      </w:r>
      <w:r>
        <w:rPr>
          <w:color w:val="231F20"/>
          <w:spacing w:val="7"/>
        </w:rPr>
        <w:t> </w:t>
      </w:r>
      <w:r>
        <w:rPr>
          <w:color w:val="231F20"/>
        </w:rPr>
        <w:t>Tivoli</w:t>
      </w:r>
      <w:r>
        <w:rPr>
          <w:color w:val="231F20"/>
          <w:spacing w:val="8"/>
        </w:rPr>
        <w:t> </w:t>
      </w:r>
      <w:r>
        <w:rPr>
          <w:color w:val="231F20"/>
        </w:rPr>
        <w:t>Application</w:t>
      </w:r>
      <w:r>
        <w:rPr>
          <w:color w:val="231F20"/>
          <w:spacing w:val="7"/>
        </w:rPr>
        <w:t> </w:t>
      </w:r>
      <w:r>
        <w:rPr>
          <w:color w:val="231F20"/>
        </w:rPr>
        <w:t>Dependency</w:t>
      </w:r>
      <w:r>
        <w:rPr>
          <w:color w:val="231F20"/>
          <w:spacing w:val="8"/>
        </w:rPr>
        <w:t> </w:t>
      </w:r>
      <w:r>
        <w:rPr>
          <w:color w:val="231F20"/>
        </w:rPr>
        <w:t>Discovery</w:t>
      </w:r>
      <w:r>
        <w:rPr>
          <w:color w:val="231F20"/>
          <w:spacing w:val="7"/>
        </w:rPr>
        <w:t> </w:t>
      </w:r>
      <w:r>
        <w:rPr>
          <w:color w:val="231F20"/>
        </w:rPr>
        <w:t>Manager</w:t>
      </w:r>
      <w:r>
        <w:rPr>
          <w:color w:val="231F20"/>
          <w:spacing w:val="7"/>
        </w:rPr>
        <w:t> </w:t>
      </w:r>
      <w:r>
        <w:rPr>
          <w:color w:val="231F20"/>
        </w:rPr>
        <w:t>Update</w:t>
      </w:r>
      <w:r>
        <w:rPr>
          <w:color w:val="231F20"/>
          <w:spacing w:val="8"/>
        </w:rPr>
        <w:t> </w:t>
      </w:r>
      <w:r>
        <w:rPr>
          <w:rFonts w:ascii="Palatino Linotype"/>
          <w:b w:val="0"/>
          <w:color w:val="231F20"/>
          <w:spacing w:val="-4"/>
        </w:rPr>
        <w:t>with</w:t>
      </w:r>
    </w:p>
    <w:p>
      <w:pPr>
        <w:spacing w:line="225" w:lineRule="exact" w:before="0"/>
        <w:ind w:left="2232" w:right="0" w:firstLine="0"/>
        <w:jc w:val="left"/>
        <w:rPr>
          <w:rFonts w:ascii="Book Antiqua"/>
          <w:b/>
          <w:sz w:val="20"/>
        </w:rPr>
      </w:pPr>
      <w:r>
        <w:rPr>
          <w:rFonts w:ascii="Book Antiqua"/>
          <w:b/>
          <w:color w:val="231F20"/>
          <w:sz w:val="20"/>
        </w:rPr>
        <w:t>Operation</w:t>
      </w:r>
      <w:r>
        <w:rPr>
          <w:rFonts w:ascii="Book Antiqua"/>
          <w:b/>
          <w:color w:val="231F20"/>
          <w:spacing w:val="-1"/>
          <w:sz w:val="20"/>
        </w:rPr>
        <w:t> </w:t>
      </w:r>
      <w:r>
        <w:rPr>
          <w:rFonts w:ascii="Book Antiqua"/>
          <w:b/>
          <w:color w:val="231F20"/>
          <w:sz w:val="20"/>
        </w:rPr>
        <w:t>Type: </w:t>
      </w:r>
      <w:r>
        <w:rPr>
          <w:rFonts w:ascii="Book Antiqua"/>
          <w:b/>
          <w:color w:val="231F20"/>
          <w:spacing w:val="-2"/>
          <w:sz w:val="20"/>
        </w:rPr>
        <w:t>Delete</w:t>
      </w:r>
    </w:p>
    <w:p>
      <w:pPr>
        <w:pStyle w:val="BodyText"/>
        <w:spacing w:line="213" w:lineRule="auto" w:before="11"/>
        <w:ind w:left="2232" w:right="603"/>
      </w:pPr>
      <w:r>
        <w:rPr>
          <w:color w:val="231F20"/>
        </w:rPr>
        <w:t>The VMware VI monitoring agent provides a policy to update TADDM when resources are deleted. The following JSON update request is predefined for the Send a Tivoli Application Dependency Discovery Manager Update activity:</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81"/>
        <w:gridCol w:w="1021"/>
        <w:gridCol w:w="5133"/>
      </w:tblGrid>
      <w:tr>
        <w:trPr>
          <w:trHeight w:val="204" w:hRule="atLeast"/>
        </w:trPr>
        <w:tc>
          <w:tcPr>
            <w:tcW w:w="1381" w:type="dxa"/>
          </w:tcPr>
          <w:p>
            <w:pPr>
              <w:pStyle w:val="TableParagraph"/>
              <w:spacing w:before="27"/>
              <w:ind w:left="44"/>
              <w:rPr>
                <w:rFonts w:ascii="Book Antiqua"/>
                <w:b/>
                <w:sz w:val="12"/>
              </w:rPr>
            </w:pPr>
            <w:r>
              <w:rPr>
                <w:rFonts w:ascii="Book Antiqua"/>
                <w:b/>
                <w:color w:val="231F20"/>
                <w:spacing w:val="-5"/>
                <w:sz w:val="12"/>
              </w:rPr>
              <w:t>Key</w:t>
            </w:r>
          </w:p>
        </w:tc>
        <w:tc>
          <w:tcPr>
            <w:tcW w:w="1021" w:type="dxa"/>
          </w:tcPr>
          <w:p>
            <w:pPr>
              <w:pStyle w:val="TableParagraph"/>
              <w:spacing w:before="27"/>
              <w:rPr>
                <w:rFonts w:ascii="Book Antiqua"/>
                <w:b/>
                <w:sz w:val="12"/>
              </w:rPr>
            </w:pPr>
            <w:r>
              <w:rPr>
                <w:rFonts w:ascii="Book Antiqua"/>
                <w:b/>
                <w:color w:val="231F20"/>
                <w:spacing w:val="-2"/>
                <w:sz w:val="12"/>
              </w:rPr>
              <w:t>Value</w:t>
            </w:r>
            <w:r>
              <w:rPr>
                <w:rFonts w:ascii="Book Antiqua"/>
                <w:b/>
                <w:color w:val="231F20"/>
                <w:spacing w:val="1"/>
                <w:sz w:val="12"/>
              </w:rPr>
              <w:t> </w:t>
            </w:r>
            <w:r>
              <w:rPr>
                <w:rFonts w:ascii="Book Antiqua"/>
                <w:b/>
                <w:color w:val="231F20"/>
                <w:spacing w:val="-4"/>
                <w:sz w:val="12"/>
              </w:rPr>
              <w:t>Type</w:t>
            </w:r>
          </w:p>
        </w:tc>
        <w:tc>
          <w:tcPr>
            <w:tcW w:w="5133" w:type="dxa"/>
          </w:tcPr>
          <w:p>
            <w:pPr>
              <w:pStyle w:val="TableParagraph"/>
              <w:spacing w:before="27"/>
              <w:ind w:left="58"/>
              <w:rPr>
                <w:rFonts w:ascii="Book Antiqua"/>
                <w:b/>
                <w:sz w:val="12"/>
              </w:rPr>
            </w:pPr>
            <w:r>
              <w:rPr>
                <w:rFonts w:ascii="Book Antiqua"/>
                <w:b/>
                <w:color w:val="231F20"/>
                <w:spacing w:val="-2"/>
                <w:sz w:val="12"/>
              </w:rPr>
              <w:t>Value</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18"/>
              <w:ind w:left="44"/>
              <w:rPr>
                <w:sz w:val="12"/>
              </w:rPr>
            </w:pPr>
            <w:r>
              <w:rPr>
                <w:color w:val="231F20"/>
                <w:spacing w:val="-2"/>
                <w:sz w:val="12"/>
              </w:rPr>
              <w:t>_cdmclass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com.collation.platform.model.topology.sys.windows.WindowsComputerSystem</w:t>
            </w:r>
          </w:p>
        </w:tc>
      </w:tr>
      <w:tr>
        <w:trPr>
          <w:trHeight w:val="209" w:hRule="atLeast"/>
        </w:trPr>
        <w:tc>
          <w:tcPr>
            <w:tcW w:w="1381" w:type="dxa"/>
          </w:tcPr>
          <w:p>
            <w:pPr>
              <w:pStyle w:val="TableParagraph"/>
              <w:spacing w:before="18"/>
              <w:ind w:left="44"/>
              <w:rPr>
                <w:sz w:val="12"/>
              </w:rPr>
            </w:pPr>
            <w:r>
              <w:rPr>
                <w:color w:val="231F20"/>
                <w:spacing w:val="-2"/>
                <w:sz w:val="12"/>
              </w:rPr>
              <w:t>_jsonid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_jsonid_2</w:t>
            </w:r>
          </w:p>
        </w:tc>
      </w:tr>
      <w:tr>
        <w:trPr>
          <w:trHeight w:val="209" w:hRule="atLeast"/>
        </w:trPr>
        <w:tc>
          <w:tcPr>
            <w:tcW w:w="1381" w:type="dxa"/>
          </w:tcPr>
          <w:p>
            <w:pPr>
              <w:pStyle w:val="TableParagraph"/>
              <w:spacing w:before="18"/>
              <w:ind w:left="44"/>
              <w:rPr>
                <w:sz w:val="12"/>
              </w:rPr>
            </w:pPr>
            <w:r>
              <w:rPr>
                <w:color w:val="231F20"/>
                <w:spacing w:val="-4"/>
                <w:sz w:val="12"/>
              </w:rPr>
              <w:t>uuid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&amp;WaitOnSituation1:KVM_TOPOLOGICAL_EVENTS.VM_UUID</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5"/>
                <w:sz w:val="12"/>
              </w:rPr>
              <w:t>End</w:t>
            </w:r>
          </w:p>
        </w:tc>
      </w:tr>
      <w:tr>
        <w:trPr>
          <w:trHeight w:val="244"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5"/>
                <w:sz w:val="12"/>
              </w:rPr>
              <w:t>End</w:t>
            </w:r>
          </w:p>
        </w:tc>
      </w:tr>
    </w:tbl>
    <w:p>
      <w:pPr>
        <w:pStyle w:val="BodyText"/>
        <w:spacing w:before="44"/>
      </w:pPr>
    </w:p>
    <w:p>
      <w:pPr>
        <w:pStyle w:val="Heading6"/>
        <w:spacing w:line="266" w:lineRule="exact" w:before="0"/>
        <w:ind w:left="2232"/>
        <w:rPr>
          <w:rFonts w:ascii="Palatino Linotype"/>
          <w:b w:val="0"/>
        </w:rPr>
      </w:pPr>
      <w:r>
        <w:rPr>
          <w:color w:val="231F20"/>
        </w:rPr>
        <w:t>Send</w:t>
      </w:r>
      <w:r>
        <w:rPr>
          <w:color w:val="231F20"/>
          <w:spacing w:val="7"/>
        </w:rPr>
        <w:t> </w:t>
      </w:r>
      <w:r>
        <w:rPr>
          <w:color w:val="231F20"/>
        </w:rPr>
        <w:t>a</w:t>
      </w:r>
      <w:r>
        <w:rPr>
          <w:color w:val="231F20"/>
          <w:spacing w:val="7"/>
        </w:rPr>
        <w:t> </w:t>
      </w:r>
      <w:r>
        <w:rPr>
          <w:color w:val="231F20"/>
        </w:rPr>
        <w:t>Tivoli</w:t>
      </w:r>
      <w:r>
        <w:rPr>
          <w:color w:val="231F20"/>
          <w:spacing w:val="8"/>
        </w:rPr>
        <w:t> </w:t>
      </w:r>
      <w:r>
        <w:rPr>
          <w:color w:val="231F20"/>
        </w:rPr>
        <w:t>Application</w:t>
      </w:r>
      <w:r>
        <w:rPr>
          <w:color w:val="231F20"/>
          <w:spacing w:val="7"/>
        </w:rPr>
        <w:t> </w:t>
      </w:r>
      <w:r>
        <w:rPr>
          <w:color w:val="231F20"/>
        </w:rPr>
        <w:t>Dependency</w:t>
      </w:r>
      <w:r>
        <w:rPr>
          <w:color w:val="231F20"/>
          <w:spacing w:val="8"/>
        </w:rPr>
        <w:t> </w:t>
      </w:r>
      <w:r>
        <w:rPr>
          <w:color w:val="231F20"/>
        </w:rPr>
        <w:t>Discovery</w:t>
      </w:r>
      <w:r>
        <w:rPr>
          <w:color w:val="231F20"/>
          <w:spacing w:val="7"/>
        </w:rPr>
        <w:t> </w:t>
      </w:r>
      <w:r>
        <w:rPr>
          <w:color w:val="231F20"/>
        </w:rPr>
        <w:t>Manager</w:t>
      </w:r>
      <w:r>
        <w:rPr>
          <w:color w:val="231F20"/>
          <w:spacing w:val="7"/>
        </w:rPr>
        <w:t> </w:t>
      </w:r>
      <w:r>
        <w:rPr>
          <w:color w:val="231F20"/>
        </w:rPr>
        <w:t>Update</w:t>
      </w:r>
      <w:r>
        <w:rPr>
          <w:color w:val="231F20"/>
          <w:spacing w:val="8"/>
        </w:rPr>
        <w:t> </w:t>
      </w:r>
      <w:r>
        <w:rPr>
          <w:rFonts w:ascii="Palatino Linotype"/>
          <w:b w:val="0"/>
          <w:color w:val="231F20"/>
          <w:spacing w:val="-4"/>
        </w:rPr>
        <w:t>with</w:t>
      </w:r>
    </w:p>
    <w:p>
      <w:pPr>
        <w:spacing w:line="225" w:lineRule="exact" w:before="0"/>
        <w:ind w:left="2232" w:right="0" w:firstLine="0"/>
        <w:jc w:val="left"/>
        <w:rPr>
          <w:rFonts w:ascii="Book Antiqua"/>
          <w:b/>
          <w:sz w:val="20"/>
        </w:rPr>
      </w:pPr>
      <w:r>
        <w:rPr>
          <w:rFonts w:ascii="Book Antiqua"/>
          <w:b/>
          <w:color w:val="231F20"/>
          <w:sz w:val="20"/>
        </w:rPr>
        <w:t>Operation</w:t>
      </w:r>
      <w:r>
        <w:rPr>
          <w:rFonts w:ascii="Book Antiqua"/>
          <w:b/>
          <w:color w:val="231F20"/>
          <w:spacing w:val="-1"/>
          <w:sz w:val="20"/>
        </w:rPr>
        <w:t> </w:t>
      </w:r>
      <w:r>
        <w:rPr>
          <w:rFonts w:ascii="Book Antiqua"/>
          <w:b/>
          <w:color w:val="231F20"/>
          <w:sz w:val="20"/>
        </w:rPr>
        <w:t>Type: </w:t>
      </w:r>
      <w:r>
        <w:rPr>
          <w:rFonts w:ascii="Book Antiqua"/>
          <w:b/>
          <w:color w:val="231F20"/>
          <w:spacing w:val="-4"/>
          <w:sz w:val="20"/>
        </w:rPr>
        <w:t>Move</w:t>
      </w:r>
    </w:p>
    <w:p>
      <w:pPr>
        <w:pStyle w:val="BodyText"/>
        <w:spacing w:line="213" w:lineRule="auto" w:before="12"/>
        <w:ind w:left="2232" w:right="636"/>
      </w:pPr>
      <w:r>
        <w:rPr>
          <w:color w:val="231F20"/>
        </w:rPr>
        <w:t>The VMware VI monitoring agent provides a policy to update TADDM when resources are moved. The following JSON update request is predefined for the Send a Tivoli Application Dependency Discovery Manager Update activity:</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81"/>
        <w:gridCol w:w="1021"/>
        <w:gridCol w:w="5133"/>
      </w:tblGrid>
      <w:tr>
        <w:trPr>
          <w:trHeight w:val="204" w:hRule="atLeast"/>
        </w:trPr>
        <w:tc>
          <w:tcPr>
            <w:tcW w:w="1381" w:type="dxa"/>
          </w:tcPr>
          <w:p>
            <w:pPr>
              <w:pStyle w:val="TableParagraph"/>
              <w:spacing w:before="27"/>
              <w:ind w:left="44"/>
              <w:rPr>
                <w:rFonts w:ascii="Book Antiqua"/>
                <w:b/>
                <w:sz w:val="12"/>
              </w:rPr>
            </w:pPr>
            <w:r>
              <w:rPr>
                <w:rFonts w:ascii="Book Antiqua"/>
                <w:b/>
                <w:color w:val="231F20"/>
                <w:spacing w:val="-5"/>
                <w:sz w:val="12"/>
              </w:rPr>
              <w:t>Key</w:t>
            </w:r>
          </w:p>
        </w:tc>
        <w:tc>
          <w:tcPr>
            <w:tcW w:w="1021" w:type="dxa"/>
          </w:tcPr>
          <w:p>
            <w:pPr>
              <w:pStyle w:val="TableParagraph"/>
              <w:spacing w:before="27"/>
              <w:rPr>
                <w:rFonts w:ascii="Book Antiqua"/>
                <w:b/>
                <w:sz w:val="12"/>
              </w:rPr>
            </w:pPr>
            <w:r>
              <w:rPr>
                <w:rFonts w:ascii="Book Antiqua"/>
                <w:b/>
                <w:color w:val="231F20"/>
                <w:spacing w:val="-2"/>
                <w:sz w:val="12"/>
              </w:rPr>
              <w:t>Value</w:t>
            </w:r>
            <w:r>
              <w:rPr>
                <w:rFonts w:ascii="Book Antiqua"/>
                <w:b/>
                <w:color w:val="231F20"/>
                <w:spacing w:val="1"/>
                <w:sz w:val="12"/>
              </w:rPr>
              <w:t> </w:t>
            </w:r>
            <w:r>
              <w:rPr>
                <w:rFonts w:ascii="Book Antiqua"/>
                <w:b/>
                <w:color w:val="231F20"/>
                <w:spacing w:val="-4"/>
                <w:sz w:val="12"/>
              </w:rPr>
              <w:t>Type</w:t>
            </w:r>
          </w:p>
        </w:tc>
        <w:tc>
          <w:tcPr>
            <w:tcW w:w="5133" w:type="dxa"/>
          </w:tcPr>
          <w:p>
            <w:pPr>
              <w:pStyle w:val="TableParagraph"/>
              <w:spacing w:before="27"/>
              <w:ind w:left="58"/>
              <w:rPr>
                <w:rFonts w:ascii="Book Antiqua"/>
                <w:b/>
                <w:sz w:val="12"/>
              </w:rPr>
            </w:pPr>
            <w:r>
              <w:rPr>
                <w:rFonts w:ascii="Book Antiqua"/>
                <w:b/>
                <w:color w:val="231F20"/>
                <w:spacing w:val="-2"/>
                <w:sz w:val="12"/>
              </w:rPr>
              <w:t>Value</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18"/>
              <w:ind w:left="44"/>
              <w:rPr>
                <w:sz w:val="12"/>
              </w:rPr>
            </w:pPr>
            <w:r>
              <w:rPr>
                <w:color w:val="231F20"/>
                <w:spacing w:val="-2"/>
                <w:sz w:val="12"/>
              </w:rPr>
              <w:t>_cdmclass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com.collation.platform.model.topology.sys.vmware.VmwareUnitaryComputerSystem</w:t>
            </w:r>
          </w:p>
        </w:tc>
      </w:tr>
      <w:tr>
        <w:trPr>
          <w:trHeight w:val="209" w:hRule="atLeast"/>
        </w:trPr>
        <w:tc>
          <w:tcPr>
            <w:tcW w:w="1381" w:type="dxa"/>
          </w:tcPr>
          <w:p>
            <w:pPr>
              <w:pStyle w:val="TableParagraph"/>
              <w:spacing w:before="18"/>
              <w:ind w:left="44"/>
              <w:rPr>
                <w:sz w:val="12"/>
              </w:rPr>
            </w:pPr>
            <w:r>
              <w:rPr>
                <w:color w:val="231F20"/>
                <w:spacing w:val="-2"/>
                <w:sz w:val="12"/>
              </w:rPr>
              <w:t>_jsonid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_jsonid_1</w:t>
            </w:r>
          </w:p>
        </w:tc>
      </w:tr>
      <w:tr>
        <w:trPr>
          <w:trHeight w:val="209" w:hRule="atLeast"/>
        </w:trPr>
        <w:tc>
          <w:tcPr>
            <w:tcW w:w="1381" w:type="dxa"/>
          </w:tcPr>
          <w:p>
            <w:pPr>
              <w:pStyle w:val="TableParagraph"/>
              <w:spacing w:before="18"/>
              <w:ind w:left="44"/>
              <w:rPr>
                <w:sz w:val="12"/>
              </w:rPr>
            </w:pPr>
            <w:r>
              <w:rPr>
                <w:color w:val="231F20"/>
                <w:spacing w:val="-4"/>
                <w:sz w:val="12"/>
              </w:rPr>
              <w:t>uuid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&amp;WaitOnSituation1:KVM_TOPOLOGICAL_EVENTS.Host_UUID</w:t>
            </w:r>
          </w:p>
        </w:tc>
      </w:tr>
      <w:tr>
        <w:trPr>
          <w:trHeight w:val="209" w:hRule="atLeast"/>
        </w:trPr>
        <w:tc>
          <w:tcPr>
            <w:tcW w:w="1381" w:type="dxa"/>
          </w:tcPr>
          <w:p>
            <w:pPr>
              <w:pStyle w:val="TableParagraph"/>
              <w:spacing w:before="18"/>
              <w:ind w:left="44"/>
              <w:rPr>
                <w:sz w:val="12"/>
              </w:rPr>
            </w:pPr>
            <w:r>
              <w:rPr>
                <w:color w:val="231F20"/>
                <w:spacing w:val="-2"/>
                <w:sz w:val="12"/>
              </w:rPr>
              <w:t>childsystem</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_jsonid_2</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5"/>
                <w:sz w:val="12"/>
              </w:rPr>
              <w:t>End</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2"/>
                <w:sz w:val="12"/>
              </w:rPr>
              <w:t>Start</w:t>
            </w:r>
          </w:p>
        </w:tc>
      </w:tr>
      <w:tr>
        <w:trPr>
          <w:trHeight w:val="209" w:hRule="atLeast"/>
        </w:trPr>
        <w:tc>
          <w:tcPr>
            <w:tcW w:w="1381" w:type="dxa"/>
          </w:tcPr>
          <w:p>
            <w:pPr>
              <w:pStyle w:val="TableParagraph"/>
              <w:spacing w:before="18"/>
              <w:ind w:left="44"/>
              <w:rPr>
                <w:sz w:val="12"/>
              </w:rPr>
            </w:pPr>
            <w:r>
              <w:rPr>
                <w:color w:val="231F20"/>
                <w:spacing w:val="-2"/>
                <w:sz w:val="12"/>
              </w:rPr>
              <w:t>_cdmclass</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com.collation.platform.model.topology.sys.windows.WindowsComputerSystem</w:t>
            </w:r>
          </w:p>
        </w:tc>
      </w:tr>
      <w:tr>
        <w:trPr>
          <w:trHeight w:val="209" w:hRule="atLeast"/>
        </w:trPr>
        <w:tc>
          <w:tcPr>
            <w:tcW w:w="1381" w:type="dxa"/>
          </w:tcPr>
          <w:p>
            <w:pPr>
              <w:pStyle w:val="TableParagraph"/>
              <w:spacing w:before="18"/>
              <w:ind w:left="44"/>
              <w:rPr>
                <w:sz w:val="12"/>
              </w:rPr>
            </w:pPr>
            <w:r>
              <w:rPr>
                <w:color w:val="231F20"/>
                <w:spacing w:val="-2"/>
                <w:sz w:val="12"/>
              </w:rPr>
              <w:t>_jsonid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_jsonid_2</w:t>
            </w:r>
          </w:p>
        </w:tc>
      </w:tr>
      <w:tr>
        <w:trPr>
          <w:trHeight w:val="209" w:hRule="atLeast"/>
        </w:trPr>
        <w:tc>
          <w:tcPr>
            <w:tcW w:w="1381" w:type="dxa"/>
          </w:tcPr>
          <w:p>
            <w:pPr>
              <w:pStyle w:val="TableParagraph"/>
              <w:spacing w:before="18"/>
              <w:ind w:left="44"/>
              <w:rPr>
                <w:sz w:val="12"/>
              </w:rPr>
            </w:pPr>
            <w:r>
              <w:rPr>
                <w:color w:val="231F20"/>
                <w:spacing w:val="-2"/>
                <w:sz w:val="12"/>
              </w:rPr>
              <w:t>virtual</w:t>
            </w:r>
          </w:p>
        </w:tc>
        <w:tc>
          <w:tcPr>
            <w:tcW w:w="1021" w:type="dxa"/>
          </w:tcPr>
          <w:p>
            <w:pPr>
              <w:pStyle w:val="TableParagraph"/>
              <w:spacing w:before="18"/>
              <w:rPr>
                <w:sz w:val="12"/>
              </w:rPr>
            </w:pPr>
            <w:r>
              <w:rPr>
                <w:color w:val="231F20"/>
                <w:spacing w:val="-2"/>
                <w:sz w:val="12"/>
              </w:rPr>
              <w:t>Boolean</w:t>
            </w:r>
          </w:p>
        </w:tc>
        <w:tc>
          <w:tcPr>
            <w:tcW w:w="5133" w:type="dxa"/>
          </w:tcPr>
          <w:p>
            <w:pPr>
              <w:pStyle w:val="TableParagraph"/>
              <w:spacing w:before="18"/>
              <w:ind w:left="58"/>
              <w:rPr>
                <w:sz w:val="12"/>
              </w:rPr>
            </w:pPr>
            <w:r>
              <w:rPr>
                <w:color w:val="231F20"/>
                <w:spacing w:val="-4"/>
                <w:sz w:val="12"/>
              </w:rPr>
              <w:t>true</w:t>
            </w:r>
          </w:p>
        </w:tc>
      </w:tr>
      <w:tr>
        <w:trPr>
          <w:trHeight w:val="209" w:hRule="atLeast"/>
        </w:trPr>
        <w:tc>
          <w:tcPr>
            <w:tcW w:w="1381" w:type="dxa"/>
          </w:tcPr>
          <w:p>
            <w:pPr>
              <w:pStyle w:val="TableParagraph"/>
              <w:spacing w:before="18"/>
              <w:ind w:left="44"/>
              <w:rPr>
                <w:sz w:val="12"/>
              </w:rPr>
            </w:pPr>
            <w:r>
              <w:rPr>
                <w:color w:val="231F20"/>
                <w:spacing w:val="-4"/>
                <w:sz w:val="12"/>
              </w:rPr>
              <w:t>uuid</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&amp;WaitOnSituation1:KVM_TOPOLOGICAL_EVENTS.VM_UUID</w:t>
            </w:r>
          </w:p>
        </w:tc>
      </w:tr>
      <w:tr>
        <w:trPr>
          <w:trHeight w:val="209" w:hRule="atLeast"/>
        </w:trPr>
        <w:tc>
          <w:tcPr>
            <w:tcW w:w="1381" w:type="dxa"/>
          </w:tcPr>
          <w:p>
            <w:pPr>
              <w:pStyle w:val="TableParagraph"/>
              <w:spacing w:before="18"/>
              <w:ind w:left="44"/>
              <w:rPr>
                <w:sz w:val="12"/>
              </w:rPr>
            </w:pPr>
            <w:r>
              <w:rPr>
                <w:color w:val="231F20"/>
                <w:spacing w:val="-2"/>
                <w:sz w:val="12"/>
              </w:rPr>
              <w:t>hostsystem</w:t>
            </w:r>
          </w:p>
        </w:tc>
        <w:tc>
          <w:tcPr>
            <w:tcW w:w="1021" w:type="dxa"/>
          </w:tcPr>
          <w:p>
            <w:pPr>
              <w:pStyle w:val="TableParagraph"/>
              <w:spacing w:before="18"/>
              <w:rPr>
                <w:sz w:val="12"/>
              </w:rPr>
            </w:pPr>
            <w:r>
              <w:rPr>
                <w:color w:val="231F20"/>
                <w:spacing w:val="-2"/>
                <w:sz w:val="12"/>
              </w:rPr>
              <w:t>String</w:t>
            </w:r>
          </w:p>
        </w:tc>
        <w:tc>
          <w:tcPr>
            <w:tcW w:w="5133" w:type="dxa"/>
          </w:tcPr>
          <w:p>
            <w:pPr>
              <w:pStyle w:val="TableParagraph"/>
              <w:spacing w:before="18"/>
              <w:ind w:left="58"/>
              <w:rPr>
                <w:sz w:val="12"/>
              </w:rPr>
            </w:pPr>
            <w:r>
              <w:rPr>
                <w:color w:val="231F20"/>
                <w:spacing w:val="-2"/>
                <w:sz w:val="12"/>
              </w:rPr>
              <w:t>_jsonid_1</w:t>
            </w:r>
          </w:p>
        </w:tc>
      </w:tr>
      <w:tr>
        <w:trPr>
          <w:trHeight w:val="209"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2"/>
                <w:sz w:val="12"/>
              </w:rPr>
              <w:t>Object</w:t>
            </w:r>
          </w:p>
        </w:tc>
        <w:tc>
          <w:tcPr>
            <w:tcW w:w="5133" w:type="dxa"/>
          </w:tcPr>
          <w:p>
            <w:pPr>
              <w:pStyle w:val="TableParagraph"/>
              <w:spacing w:before="18"/>
              <w:ind w:left="58"/>
              <w:rPr>
                <w:sz w:val="12"/>
              </w:rPr>
            </w:pPr>
            <w:r>
              <w:rPr>
                <w:color w:val="231F20"/>
                <w:spacing w:val="-5"/>
                <w:sz w:val="12"/>
              </w:rPr>
              <w:t>End</w:t>
            </w:r>
          </w:p>
        </w:tc>
      </w:tr>
      <w:tr>
        <w:trPr>
          <w:trHeight w:val="244" w:hRule="atLeast"/>
        </w:trPr>
        <w:tc>
          <w:tcPr>
            <w:tcW w:w="1381" w:type="dxa"/>
          </w:tcPr>
          <w:p>
            <w:pPr>
              <w:pStyle w:val="TableParagraph"/>
              <w:spacing w:before="0"/>
              <w:ind w:left="0"/>
              <w:rPr>
                <w:rFonts w:ascii="Times New Roman"/>
                <w:sz w:val="14"/>
              </w:rPr>
            </w:pPr>
          </w:p>
        </w:tc>
        <w:tc>
          <w:tcPr>
            <w:tcW w:w="1021" w:type="dxa"/>
          </w:tcPr>
          <w:p>
            <w:pPr>
              <w:pStyle w:val="TableParagraph"/>
              <w:spacing w:before="18"/>
              <w:rPr>
                <w:sz w:val="12"/>
              </w:rPr>
            </w:pPr>
            <w:r>
              <w:rPr>
                <w:color w:val="231F20"/>
                <w:spacing w:val="-4"/>
                <w:sz w:val="12"/>
              </w:rPr>
              <w:t>Array</w:t>
            </w:r>
          </w:p>
        </w:tc>
        <w:tc>
          <w:tcPr>
            <w:tcW w:w="5133" w:type="dxa"/>
          </w:tcPr>
          <w:p>
            <w:pPr>
              <w:pStyle w:val="TableParagraph"/>
              <w:spacing w:before="18"/>
              <w:ind w:left="58"/>
              <w:rPr>
                <w:sz w:val="12"/>
              </w:rPr>
            </w:pPr>
            <w:r>
              <w:rPr>
                <w:color w:val="231F20"/>
                <w:spacing w:val="-5"/>
                <w:sz w:val="12"/>
              </w:rPr>
              <w:t>End</w:t>
            </w:r>
          </w:p>
        </w:tc>
      </w:tr>
    </w:tbl>
    <w:p>
      <w:pPr>
        <w:spacing w:after="0"/>
        <w:rPr>
          <w:sz w:val="12"/>
        </w:rPr>
        <w:sectPr>
          <w:type w:val="continuous"/>
          <w:pgSz w:w="12240" w:h="15840"/>
          <w:pgMar w:header="0" w:footer="736" w:top="1300" w:bottom="920" w:left="1000" w:right="1060"/>
        </w:sectPr>
      </w:pPr>
    </w:p>
    <w:p>
      <w:pPr>
        <w:pStyle w:val="BodyText"/>
        <w:spacing w:before="11"/>
        <w:rPr>
          <w:sz w:val="3"/>
        </w:rPr>
      </w:pPr>
    </w:p>
    <w:p>
      <w:pPr>
        <w:pStyle w:val="BodyText"/>
        <w:spacing w:line="20" w:lineRule="exact"/>
        <w:ind w:left="436"/>
        <w:rPr>
          <w:sz w:val="2"/>
        </w:rPr>
      </w:pPr>
      <w:bookmarkStart w:name="_bookmark264" w:id="537"/>
      <w:bookmarkEnd w:id="537"/>
      <w:r>
        <w:rPr/>
      </w:r>
      <w:r>
        <w:rPr>
          <w:sz w:val="2"/>
        </w:rPr>
        <mc:AlternateContent>
          <mc:Choice Requires="wps">
            <w:drawing>
              <wp:inline distT="0" distB="0" distL="0" distR="0">
                <wp:extent cx="6082665" cy="6350"/>
                <wp:effectExtent l="9525" t="0" r="0" b="3175"/>
                <wp:docPr id="2830" name="Group 2830"/>
                <wp:cNvGraphicFramePr>
                  <a:graphicFrameLocks/>
                </wp:cNvGraphicFramePr>
                <a:graphic>
                  <a:graphicData uri="http://schemas.microsoft.com/office/word/2010/wordprocessingGroup">
                    <wpg:wgp>
                      <wpg:cNvPr id="2830" name="Group 2830"/>
                      <wpg:cNvGrpSpPr/>
                      <wpg:grpSpPr>
                        <a:xfrm>
                          <a:off x="0" y="0"/>
                          <a:ext cx="6082665" cy="6350"/>
                          <a:chExt cx="6082665" cy="6350"/>
                        </a:xfrm>
                      </wpg:grpSpPr>
                      <wps:wsp>
                        <wps:cNvPr id="2831" name="Graphic 2831"/>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30" coordorigin="0,0" coordsize="9579,10">
                <v:line style="position:absolute" from="0,5" to="9579,5" stroked="true" strokeweight=".499pt" strokecolor="#231f20">
                  <v:stroke dashstyle="solid"/>
                </v:line>
              </v:group>
            </w:pict>
          </mc:Fallback>
        </mc:AlternateContent>
      </w:r>
      <w:r>
        <w:rPr>
          <w:sz w:val="2"/>
        </w:rPr>
      </w:r>
    </w:p>
    <w:p>
      <w:pPr>
        <w:pStyle w:val="Heading3"/>
        <w:spacing w:before="12"/>
      </w:pPr>
      <w:bookmarkStart w:name="Take action commands" w:id="538"/>
      <w:bookmarkEnd w:id="538"/>
      <w:r>
        <w:rPr>
          <w:b w:val="0"/>
        </w:rPr>
      </w:r>
      <w:r>
        <w:rPr>
          <w:color w:val="231F20"/>
        </w:rPr>
        <w:t>Take</w:t>
      </w:r>
      <w:r>
        <w:rPr>
          <w:color w:val="231F20"/>
          <w:spacing w:val="-3"/>
        </w:rPr>
        <w:t> </w:t>
      </w:r>
      <w:r>
        <w:rPr>
          <w:color w:val="231F20"/>
        </w:rPr>
        <w:t>action</w:t>
      </w:r>
      <w:r>
        <w:rPr>
          <w:color w:val="231F20"/>
          <w:spacing w:val="-3"/>
        </w:rPr>
        <w:t> </w:t>
      </w:r>
      <w:bookmarkStart w:name="_bookmark263" w:id="539"/>
      <w:bookmarkEnd w:id="539"/>
      <w:r>
        <w:rPr>
          <w:color w:val="231F20"/>
          <w:spacing w:val="-2"/>
        </w:rPr>
        <w:t>commands</w:t>
      </w:r>
    </w:p>
    <w:p>
      <w:pPr>
        <w:pStyle w:val="BodyText"/>
        <w:spacing w:line="213" w:lineRule="auto" w:before="138"/>
        <w:ind w:left="2472"/>
      </w:pPr>
      <w:r>
        <w:rPr>
          <w:color w:val="231F20"/>
        </w:rPr>
        <w:t>The take action feature enables you to invoke a predefined command or enter a command on a selected managed system. Action commands can also be added </w:t>
      </w:r>
      <w:r>
        <w:rPr>
          <w:color w:val="231F20"/>
        </w:rPr>
        <w:t>to situations to implement simple (reflex) automation when an event is opened.</w:t>
      </w:r>
    </w:p>
    <w:p>
      <w:pPr>
        <w:pStyle w:val="BodyText"/>
        <w:spacing w:line="213" w:lineRule="auto" w:before="238"/>
        <w:ind w:left="2472" w:right="274"/>
      </w:pPr>
      <w:r>
        <w:rPr>
          <w:color w:val="231F20"/>
        </w:rPr>
        <w:t>Some monitored applications provide predefined take action commands. You </w:t>
      </w:r>
      <w:r>
        <w:rPr>
          <w:color w:val="231F20"/>
        </w:rPr>
        <w:t>can customize those commands and create command definitions of your own, then invoke them on the system you choose.</w:t>
      </w:r>
    </w:p>
    <w:p>
      <w:pPr>
        <w:pStyle w:val="BodyText"/>
        <w:spacing w:line="213" w:lineRule="auto" w:before="237"/>
        <w:ind w:left="2472" w:right="263"/>
      </w:pPr>
      <w:r>
        <w:rPr>
          <w:rFonts w:ascii="Book Antiqua"/>
          <w:b/>
          <w:color w:val="231F20"/>
        </w:rPr>
        <w:t>Tip:</w:t>
      </w:r>
      <w:r>
        <w:rPr>
          <w:rFonts w:ascii="Book Antiqua"/>
          <w:b/>
          <w:color w:val="231F20"/>
          <w:spacing w:val="40"/>
        </w:rPr>
        <w:t> </w:t>
      </w:r>
      <w:r>
        <w:rPr>
          <w:color w:val="231F20"/>
        </w:rPr>
        <w:t>If you want to send a command to another monitored network, use the </w:t>
      </w:r>
      <w:r>
        <w:rPr>
          <w:color w:val="231F20"/>
        </w:rPr>
        <w:t>Tivoli Enterprise Monitoring Web Services to send Simple Object Access Protocol (SOAP) requests to another environment. See the </w:t>
      </w:r>
      <w:r>
        <w:rPr>
          <w:rFonts w:ascii="Book Antiqua"/>
          <w:i/>
          <w:color w:val="231F20"/>
        </w:rPr>
        <w:t>IBM Tivoli Monitoring Administrator's</w:t>
      </w:r>
      <w:r>
        <w:rPr>
          <w:rFonts w:ascii="Book Antiqua"/>
          <w:i/>
          <w:color w:val="231F20"/>
          <w:spacing w:val="40"/>
        </w:rPr>
        <w:t> </w:t>
      </w:r>
      <w:r>
        <w:rPr>
          <w:rFonts w:ascii="Book Antiqua"/>
          <w:i/>
          <w:color w:val="231F20"/>
          <w:spacing w:val="-2"/>
        </w:rPr>
        <w:t>Guide</w:t>
      </w:r>
      <w:r>
        <w:rPr>
          <w:color w:val="231F20"/>
          <w:spacing w:val="-2"/>
        </w:rPr>
        <w:t>.</w:t>
      </w:r>
    </w:p>
    <w:p>
      <w:pPr>
        <w:pStyle w:val="Heading3"/>
        <w:spacing w:before="216"/>
        <w:ind w:left="1574"/>
      </w:pPr>
      <w:bookmarkStart w:name="Creating a take action command" w:id="540"/>
      <w:bookmarkEnd w:id="540"/>
      <w:r>
        <w:rPr>
          <w:b w:val="0"/>
        </w:rPr>
      </w:r>
      <w:r>
        <w:rPr>
          <w:color w:val="231F20"/>
        </w:rPr>
        <w:t>Creating</w:t>
      </w:r>
      <w:r>
        <w:rPr>
          <w:color w:val="231F20"/>
          <w:spacing w:val="8"/>
        </w:rPr>
        <w:t> </w:t>
      </w:r>
      <w:r>
        <w:rPr>
          <w:color w:val="231F20"/>
        </w:rPr>
        <w:t>a</w:t>
      </w:r>
      <w:r>
        <w:rPr>
          <w:color w:val="231F20"/>
          <w:spacing w:val="8"/>
        </w:rPr>
        <w:t> </w:t>
      </w:r>
      <w:r>
        <w:rPr>
          <w:color w:val="231F20"/>
        </w:rPr>
        <w:t>take</w:t>
      </w:r>
      <w:r>
        <w:rPr>
          <w:color w:val="231F20"/>
          <w:spacing w:val="8"/>
        </w:rPr>
        <w:t> </w:t>
      </w:r>
      <w:r>
        <w:rPr>
          <w:color w:val="231F20"/>
        </w:rPr>
        <w:t>action</w:t>
      </w:r>
      <w:r>
        <w:rPr>
          <w:color w:val="231F20"/>
          <w:spacing w:val="9"/>
        </w:rPr>
        <w:t> </w:t>
      </w:r>
      <w:r>
        <w:rPr>
          <w:color w:val="231F20"/>
          <w:spacing w:val="-2"/>
        </w:rPr>
        <w:t>command</w:t>
      </w:r>
    </w:p>
    <w:p>
      <w:pPr>
        <w:pStyle w:val="BodyText"/>
        <w:spacing w:line="213" w:lineRule="auto" w:before="58"/>
        <w:ind w:left="2472" w:right="545"/>
      </w:pPr>
      <w:r>
        <w:rPr>
          <w:color w:val="231F20"/>
        </w:rPr>
        <w:t>You can create take action definitions and save them, then invoke them at will through the pop-up menu for Navigator item or query-based view, or automatically when a situation event is opened.</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9"/>
        </w:rPr>
        <w:t> </w:t>
      </w:r>
      <w:r>
        <w:rPr>
          <w:color w:val="231F20"/>
        </w:rPr>
        <w:t>user</w:t>
      </w:r>
      <w:r>
        <w:rPr>
          <w:color w:val="231F20"/>
          <w:spacing w:val="9"/>
        </w:rPr>
        <w:t> </w:t>
      </w:r>
      <w:r>
        <w:rPr>
          <w:color w:val="231F20"/>
        </w:rPr>
        <w:t>ID</w:t>
      </w:r>
      <w:r>
        <w:rPr>
          <w:color w:val="231F20"/>
          <w:spacing w:val="10"/>
        </w:rPr>
        <w:t> </w:t>
      </w:r>
      <w:r>
        <w:rPr>
          <w:color w:val="231F20"/>
        </w:rPr>
        <w:t>must</w:t>
      </w:r>
      <w:r>
        <w:rPr>
          <w:color w:val="231F20"/>
          <w:spacing w:val="9"/>
        </w:rPr>
        <w:t> </w:t>
      </w:r>
      <w:r>
        <w:rPr>
          <w:color w:val="231F20"/>
        </w:rPr>
        <w:t>have</w:t>
      </w:r>
      <w:r>
        <w:rPr>
          <w:color w:val="231F20"/>
          <w:spacing w:val="9"/>
        </w:rPr>
        <w:t> </w:t>
      </w:r>
      <w:r>
        <w:rPr>
          <w:color w:val="231F20"/>
        </w:rPr>
        <w:t>Modify</w:t>
      </w:r>
      <w:r>
        <w:rPr>
          <w:color w:val="231F20"/>
          <w:spacing w:val="10"/>
        </w:rPr>
        <w:t> </w:t>
      </w:r>
      <w:r>
        <w:rPr>
          <w:color w:val="231F20"/>
        </w:rPr>
        <w:t>permission</w:t>
      </w:r>
      <w:r>
        <w:rPr>
          <w:color w:val="231F20"/>
          <w:spacing w:val="9"/>
        </w:rPr>
        <w:t> </w:t>
      </w:r>
      <w:r>
        <w:rPr>
          <w:color w:val="231F20"/>
        </w:rPr>
        <w:t>for</w:t>
      </w:r>
      <w:r>
        <w:rPr>
          <w:color w:val="231F20"/>
          <w:spacing w:val="9"/>
        </w:rPr>
        <w:t> </w:t>
      </w:r>
      <w:r>
        <w:rPr>
          <w:color w:val="231F20"/>
        </w:rPr>
        <w:t>the</w:t>
      </w:r>
      <w:r>
        <w:rPr>
          <w:color w:val="231F20"/>
          <w:spacing w:val="3"/>
        </w:rPr>
        <w:t> </w:t>
      </w:r>
      <w:r>
        <w:rPr>
          <w:color w:val="231F20"/>
        </w:rPr>
        <w:t>Action</w:t>
      </w:r>
      <w:r>
        <w:rPr>
          <w:color w:val="231F20"/>
          <w:spacing w:val="10"/>
        </w:rPr>
        <w:t> </w:t>
      </w:r>
      <w:r>
        <w:rPr>
          <w:color w:val="231F20"/>
          <w:spacing w:val="-2"/>
        </w:rPr>
        <w:t>feature.</w:t>
      </w:r>
    </w:p>
    <w:p>
      <w:pPr>
        <w:pStyle w:val="BodyText"/>
        <w:spacing w:line="213" w:lineRule="auto" w:before="233"/>
        <w:ind w:left="2472" w:right="258"/>
      </w:pPr>
      <w:r>
        <w:rPr>
          <w:rFonts w:ascii="Book Antiqua"/>
          <w:b/>
          <w:color w:val="231F20"/>
        </w:rPr>
        <w:t>Note:</w:t>
      </w:r>
      <w:r>
        <w:rPr>
          <w:rFonts w:ascii="Book Antiqua"/>
          <w:b/>
          <w:color w:val="231F20"/>
          <w:spacing w:val="80"/>
        </w:rPr>
        <w:t> </w:t>
      </w:r>
      <w:r>
        <w:rPr>
          <w:color w:val="231F20"/>
        </w:rPr>
        <w:t>The action command is issued with the authorization of the user ID on the</w:t>
      </w:r>
      <w:r>
        <w:rPr>
          <w:color w:val="231F20"/>
          <w:spacing w:val="40"/>
        </w:rPr>
        <w:t> </w:t>
      </w:r>
      <w:r>
        <w:rPr>
          <w:color w:val="231F20"/>
        </w:rPr>
        <w:t>monitoring agent or server computer to which it is sent. If your hub Tivoli</w:t>
      </w:r>
      <w:r>
        <w:rPr>
          <w:color w:val="231F20"/>
          <w:spacing w:val="80"/>
        </w:rPr>
        <w:t> </w:t>
      </w:r>
      <w:r>
        <w:rPr>
          <w:color w:val="231F20"/>
        </w:rPr>
        <w:t>Enterprise Monitoring Server is set to </w:t>
      </w:r>
      <w:r>
        <w:rPr>
          <w:color w:val="231F20"/>
          <w:spacing w:val="15"/>
        </w:rPr>
        <w:drawing>
          <wp:inline distT="0" distB="0" distL="0" distR="0">
            <wp:extent cx="82550" cy="82550"/>
            <wp:effectExtent l="0" t="0" r="0" b="0"/>
            <wp:docPr id="2832" name="Image 2832"/>
            <wp:cNvGraphicFramePr>
              <a:graphicFrameLocks/>
            </wp:cNvGraphicFramePr>
            <a:graphic>
              <a:graphicData uri="http://schemas.openxmlformats.org/drawingml/2006/picture">
                <pic:pic>
                  <pic:nvPicPr>
                    <pic:cNvPr id="2832" name="Image 2832"/>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Security: Validate User</w:t>
      </w:r>
      <w:r>
        <w:rPr>
          <w:color w:val="231F20"/>
        </w:rPr>
        <w:t>, the default, then your ID must be authorized on the relevant system receiving the command. For example,</w:t>
      </w:r>
      <w:r>
        <w:rPr>
          <w:color w:val="231F20"/>
          <w:spacing w:val="26"/>
        </w:rPr>
        <w:t> </w:t>
      </w:r>
      <w:r>
        <w:rPr>
          <w:color w:val="231F20"/>
        </w:rPr>
        <w:t>to</w:t>
      </w:r>
      <w:r>
        <w:rPr>
          <w:color w:val="231F20"/>
          <w:spacing w:val="26"/>
        </w:rPr>
        <w:t> </w:t>
      </w:r>
      <w:r>
        <w:rPr>
          <w:color w:val="231F20"/>
        </w:rPr>
        <w:t>issue</w:t>
      </w:r>
      <w:r>
        <w:rPr>
          <w:color w:val="231F20"/>
          <w:spacing w:val="26"/>
        </w:rPr>
        <w:t> </w:t>
      </w:r>
      <w:r>
        <w:rPr>
          <w:color w:val="231F20"/>
        </w:rPr>
        <w:t>a</w:t>
      </w:r>
      <w:r>
        <w:rPr>
          <w:color w:val="231F20"/>
          <w:spacing w:val="26"/>
        </w:rPr>
        <w:t> </w:t>
      </w:r>
      <w:r>
        <w:rPr>
          <w:color w:val="231F20"/>
        </w:rPr>
        <w:t>TSO</w:t>
      </w:r>
      <w:r>
        <w:rPr>
          <w:color w:val="231F20"/>
          <w:spacing w:val="26"/>
        </w:rPr>
        <w:t> </w:t>
      </w:r>
      <w:r>
        <w:rPr>
          <w:color w:val="231F20"/>
        </w:rPr>
        <w:t>command,</w:t>
      </w:r>
      <w:r>
        <w:rPr>
          <w:color w:val="231F20"/>
          <w:spacing w:val="26"/>
        </w:rPr>
        <w:t> </w:t>
      </w:r>
      <w:r>
        <w:rPr>
          <w:color w:val="231F20"/>
        </w:rPr>
        <w:t>your</w:t>
      </w:r>
      <w:r>
        <w:rPr>
          <w:color w:val="231F20"/>
          <w:spacing w:val="26"/>
        </w:rPr>
        <w:t> </w:t>
      </w:r>
      <w:r>
        <w:rPr>
          <w:color w:val="231F20"/>
        </w:rPr>
        <w:t>user</w:t>
      </w:r>
      <w:r>
        <w:rPr>
          <w:color w:val="231F20"/>
          <w:spacing w:val="26"/>
        </w:rPr>
        <w:t> </w:t>
      </w:r>
      <w:r>
        <w:rPr>
          <w:color w:val="231F20"/>
        </w:rPr>
        <w:t>ID</w:t>
      </w:r>
      <w:r>
        <w:rPr>
          <w:color w:val="231F20"/>
          <w:spacing w:val="26"/>
        </w:rPr>
        <w:t> </w:t>
      </w:r>
      <w:r>
        <w:rPr>
          <w:color w:val="231F20"/>
        </w:rPr>
        <w:t>and</w:t>
      </w:r>
      <w:r>
        <w:rPr>
          <w:color w:val="231F20"/>
          <w:spacing w:val="26"/>
        </w:rPr>
        <w:t> </w:t>
      </w:r>
      <w:r>
        <w:rPr>
          <w:color w:val="231F20"/>
        </w:rPr>
        <w:t>password</w:t>
      </w:r>
      <w:r>
        <w:rPr>
          <w:color w:val="231F20"/>
          <w:spacing w:val="26"/>
        </w:rPr>
        <w:t> </w:t>
      </w:r>
      <w:r>
        <w:rPr>
          <w:color w:val="231F20"/>
        </w:rPr>
        <w:t>must</w:t>
      </w:r>
      <w:r>
        <w:rPr>
          <w:color w:val="231F20"/>
          <w:spacing w:val="26"/>
        </w:rPr>
        <w:t> </w:t>
      </w:r>
      <w:r>
        <w:rPr>
          <w:color w:val="231F20"/>
        </w:rPr>
        <w:t>be</w:t>
      </w:r>
      <w:r>
        <w:rPr>
          <w:color w:val="231F20"/>
          <w:spacing w:val="26"/>
        </w:rPr>
        <w:t> </w:t>
      </w:r>
      <w:r>
        <w:rPr>
          <w:color w:val="231F20"/>
        </w:rPr>
        <w:t>a</w:t>
      </w:r>
      <w:r>
        <w:rPr>
          <w:color w:val="231F20"/>
          <w:spacing w:val="26"/>
        </w:rPr>
        <w:t> </w:t>
      </w:r>
      <w:r>
        <w:rPr>
          <w:color w:val="231F20"/>
        </w:rPr>
        <w:t>valid TSO ID and it must also be defined as a valid logon ID on the portal server and on</w:t>
      </w:r>
      <w:r>
        <w:rPr>
          <w:color w:val="231F20"/>
          <w:spacing w:val="80"/>
        </w:rPr>
        <w:t> </w:t>
      </w:r>
      <w:r>
        <w:rPr>
          <w:color w:val="231F20"/>
        </w:rPr>
        <w:t>the domain or operating system where the hub monitoring server resides.</w:t>
      </w:r>
    </w:p>
    <w:p>
      <w:pPr>
        <w:spacing w:line="213" w:lineRule="auto" w:before="234"/>
        <w:ind w:left="2472" w:right="493" w:firstLine="0"/>
        <w:jc w:val="left"/>
        <w:rPr>
          <w:sz w:val="20"/>
        </w:rPr>
      </w:pPr>
      <w:r>
        <w:rPr>
          <w:rFonts w:ascii="Book Antiqua"/>
          <w:b/>
          <w:color w:val="231F20"/>
          <w:sz w:val="20"/>
        </w:rPr>
        <w:t>Tip:</w:t>
      </w:r>
      <w:r>
        <w:rPr>
          <w:rFonts w:ascii="Book Antiqua"/>
          <w:b/>
          <w:color w:val="231F20"/>
          <w:spacing w:val="35"/>
          <w:sz w:val="20"/>
        </w:rPr>
        <w:t> </w:t>
      </w:r>
      <w:r>
        <w:rPr>
          <w:color w:val="231F20"/>
          <w:sz w:val="20"/>
        </w:rPr>
        <w:t>You can employ Tivoli Enterprise Monitoring Web Services to send </w:t>
      </w:r>
      <w:r>
        <w:rPr>
          <w:color w:val="231F20"/>
          <w:sz w:val="20"/>
        </w:rPr>
        <w:t>Simple Object Access Protocol (SOAP) requests to other Tivoli Management Services environments. See the </w:t>
      </w:r>
      <w:r>
        <w:rPr>
          <w:rFonts w:ascii="Book Antiqua"/>
          <w:i/>
          <w:color w:val="231F20"/>
          <w:sz w:val="20"/>
        </w:rPr>
        <w:t>IBM Tivoli Monitoring Administrator's Guide </w:t>
      </w:r>
      <w:r>
        <w:rPr>
          <w:color w:val="231F20"/>
          <w:sz w:val="20"/>
        </w:rPr>
        <w:t>for details.</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238"/>
      </w:pPr>
      <w:r>
        <w:rPr>
          <w:color w:val="231F20"/>
        </w:rPr>
        <w:t>Take</w:t>
      </w:r>
      <w:r>
        <w:rPr>
          <w:color w:val="231F20"/>
          <w:spacing w:val="22"/>
        </w:rPr>
        <w:t> </w:t>
      </w:r>
      <w:r>
        <w:rPr>
          <w:color w:val="231F20"/>
        </w:rPr>
        <w:t>action</w:t>
      </w:r>
      <w:r>
        <w:rPr>
          <w:color w:val="231F20"/>
          <w:spacing w:val="22"/>
        </w:rPr>
        <w:t> </w:t>
      </w:r>
      <w:r>
        <w:rPr>
          <w:color w:val="231F20"/>
        </w:rPr>
        <w:t>commands</w:t>
      </w:r>
      <w:r>
        <w:rPr>
          <w:color w:val="231F20"/>
          <w:spacing w:val="22"/>
        </w:rPr>
        <w:t> </w:t>
      </w:r>
      <w:r>
        <w:rPr>
          <w:color w:val="231F20"/>
        </w:rPr>
        <w:t>can</w:t>
      </w:r>
      <w:r>
        <w:rPr>
          <w:color w:val="231F20"/>
          <w:spacing w:val="22"/>
        </w:rPr>
        <w:t> </w:t>
      </w:r>
      <w:r>
        <w:rPr>
          <w:color w:val="231F20"/>
        </w:rPr>
        <w:t>be</w:t>
      </w:r>
      <w:r>
        <w:rPr>
          <w:color w:val="231F20"/>
          <w:spacing w:val="22"/>
        </w:rPr>
        <w:t> </w:t>
      </w:r>
      <w:r>
        <w:rPr>
          <w:color w:val="231F20"/>
        </w:rPr>
        <w:t>issued</w:t>
      </w:r>
      <w:r>
        <w:rPr>
          <w:color w:val="231F20"/>
          <w:spacing w:val="22"/>
        </w:rPr>
        <w:t> </w:t>
      </w:r>
      <w:r>
        <w:rPr>
          <w:color w:val="231F20"/>
        </w:rPr>
        <w:t>either</w:t>
      </w:r>
      <w:r>
        <w:rPr>
          <w:color w:val="231F20"/>
          <w:spacing w:val="22"/>
        </w:rPr>
        <w:t> </w:t>
      </w:r>
      <w:r>
        <w:rPr>
          <w:color w:val="231F20"/>
        </w:rPr>
        <w:t>by</w:t>
      </w:r>
      <w:r>
        <w:rPr>
          <w:color w:val="231F20"/>
          <w:spacing w:val="22"/>
        </w:rPr>
        <w:t> </w:t>
      </w:r>
      <w:r>
        <w:rPr>
          <w:color w:val="231F20"/>
        </w:rPr>
        <w:t>typing</w:t>
      </w:r>
      <w:r>
        <w:rPr>
          <w:color w:val="231F20"/>
          <w:spacing w:val="22"/>
        </w:rPr>
        <w:t> </w:t>
      </w:r>
      <w:r>
        <w:rPr>
          <w:color w:val="231F20"/>
        </w:rPr>
        <w:t>a</w:t>
      </w:r>
      <w:r>
        <w:rPr>
          <w:color w:val="231F20"/>
          <w:spacing w:val="22"/>
        </w:rPr>
        <w:t> </w:t>
      </w:r>
      <w:r>
        <w:rPr>
          <w:color w:val="231F20"/>
        </w:rPr>
        <w:t>command</w:t>
      </w:r>
      <w:r>
        <w:rPr>
          <w:color w:val="231F20"/>
          <w:spacing w:val="22"/>
        </w:rPr>
        <w:t> </w:t>
      </w:r>
      <w:r>
        <w:rPr>
          <w:color w:val="231F20"/>
        </w:rPr>
        <w:t>into</w:t>
      </w:r>
      <w:r>
        <w:rPr>
          <w:color w:val="231F20"/>
          <w:spacing w:val="22"/>
        </w:rPr>
        <w:t> </w:t>
      </w:r>
      <w:r>
        <w:rPr>
          <w:color w:val="231F20"/>
        </w:rPr>
        <w:t>a</w:t>
      </w:r>
      <w:r>
        <w:rPr>
          <w:color w:val="231F20"/>
          <w:spacing w:val="22"/>
        </w:rPr>
        <w:t> </w:t>
      </w:r>
      <w:r>
        <w:rPr>
          <w:color w:val="231F20"/>
        </w:rPr>
        <w:t>text</w:t>
      </w:r>
      <w:r>
        <w:rPr>
          <w:color w:val="231F20"/>
          <w:spacing w:val="22"/>
        </w:rPr>
        <w:t> </w:t>
      </w:r>
      <w:r>
        <w:rPr>
          <w:color w:val="231F20"/>
        </w:rPr>
        <w:t>box or by selecting a predefined command from a list. Take action commands can also</w:t>
      </w:r>
      <w:r>
        <w:rPr>
          <w:color w:val="231F20"/>
          <w:spacing w:val="40"/>
        </w:rPr>
        <w:t> </w:t>
      </w:r>
      <w:r>
        <w:rPr>
          <w:color w:val="231F20"/>
        </w:rPr>
        <w:t>be added to situations to implement simple (reflex) automation. Some applications provide predefined commands. You can customize those commands or create predefined commands of your own and invoke them as needed on the system </w:t>
      </w:r>
      <w:r>
        <w:rPr>
          <w:color w:val="231F20"/>
        </w:rPr>
        <w:t>you choose. To create or edit a custom Take Action command:</w:t>
      </w:r>
    </w:p>
    <w:p>
      <w:pPr>
        <w:pStyle w:val="Heading4"/>
        <w:spacing w:before="197"/>
        <w:ind w:left="2472"/>
      </w:pPr>
      <w:r>
        <w:rPr>
          <w:color w:val="231F20"/>
          <w:spacing w:val="-2"/>
        </w:rPr>
        <w:t>Procedure</w:t>
      </w:r>
    </w:p>
    <w:p>
      <w:pPr>
        <w:pStyle w:val="ListParagraph"/>
        <w:numPr>
          <w:ilvl w:val="0"/>
          <w:numId w:val="149"/>
        </w:numPr>
        <w:tabs>
          <w:tab w:pos="2899" w:val="left" w:leader="none"/>
        </w:tabs>
        <w:spacing w:line="213" w:lineRule="auto" w:before="62" w:after="0"/>
        <w:ind w:left="2899" w:right="328" w:hanging="316"/>
        <w:jc w:val="left"/>
        <w:rPr>
          <w:rFonts w:ascii="Arial"/>
          <w:color w:val="231F20"/>
          <w:sz w:val="20"/>
        </w:rPr>
      </w:pPr>
      <w:r>
        <w:rPr>
          <w:color w:val="231F20"/>
          <w:sz w:val="20"/>
        </w:rPr>
        <w:t>Select the Navigator item associated with the application on which you </w:t>
      </w:r>
      <w:r>
        <w:rPr>
          <w:color w:val="231F20"/>
          <w:sz w:val="20"/>
        </w:rPr>
        <w:t>want to</w:t>
      </w:r>
      <w:r>
        <w:rPr>
          <w:color w:val="231F20"/>
          <w:spacing w:val="23"/>
          <w:sz w:val="20"/>
        </w:rPr>
        <w:t> </w:t>
      </w:r>
      <w:r>
        <w:rPr>
          <w:color w:val="231F20"/>
          <w:sz w:val="20"/>
        </w:rPr>
        <w:t>run</w:t>
      </w:r>
      <w:r>
        <w:rPr>
          <w:color w:val="231F20"/>
          <w:spacing w:val="23"/>
          <w:sz w:val="20"/>
        </w:rPr>
        <w:t> </w:t>
      </w:r>
      <w:r>
        <w:rPr>
          <w:color w:val="231F20"/>
          <w:sz w:val="20"/>
        </w:rPr>
        <w:t>the</w:t>
      </w:r>
      <w:r>
        <w:rPr>
          <w:color w:val="231F20"/>
          <w:spacing w:val="23"/>
          <w:sz w:val="20"/>
        </w:rPr>
        <w:t> </w:t>
      </w:r>
      <w:r>
        <w:rPr>
          <w:color w:val="231F20"/>
          <w:sz w:val="20"/>
        </w:rPr>
        <w:t>command</w:t>
      </w:r>
      <w:r>
        <w:rPr>
          <w:color w:val="231F20"/>
          <w:spacing w:val="23"/>
          <w:sz w:val="20"/>
        </w:rPr>
        <w:t> </w:t>
      </w:r>
      <w:r>
        <w:rPr>
          <w:color w:val="231F20"/>
          <w:sz w:val="20"/>
        </w:rPr>
        <w:t>(for</w:t>
      </w:r>
      <w:r>
        <w:rPr>
          <w:color w:val="231F20"/>
          <w:spacing w:val="23"/>
          <w:sz w:val="20"/>
        </w:rPr>
        <w:t> </w:t>
      </w:r>
      <w:r>
        <w:rPr>
          <w:color w:val="231F20"/>
          <w:sz w:val="20"/>
        </w:rPr>
        <w:t>example,</w:t>
      </w:r>
      <w:r>
        <w:rPr>
          <w:color w:val="231F20"/>
          <w:spacing w:val="23"/>
          <w:sz w:val="20"/>
        </w:rPr>
        <w:t> </w:t>
      </w:r>
      <w:r>
        <w:rPr>
          <w:color w:val="231F20"/>
          <w:sz w:val="20"/>
        </w:rPr>
        <w:t>Windows</w:t>
      </w:r>
      <w:r>
        <w:rPr>
          <w:color w:val="231F20"/>
          <w:spacing w:val="23"/>
          <w:sz w:val="20"/>
        </w:rPr>
        <w:t> </w:t>
      </w:r>
      <w:r>
        <w:rPr>
          <w:color w:val="231F20"/>
          <w:sz w:val="20"/>
        </w:rPr>
        <w:t>OS</w:t>
      </w:r>
      <w:r>
        <w:rPr>
          <w:color w:val="231F20"/>
          <w:spacing w:val="23"/>
          <w:sz w:val="20"/>
        </w:rPr>
        <w:t> </w:t>
      </w:r>
      <w:r>
        <w:rPr>
          <w:color w:val="231F20"/>
          <w:sz w:val="20"/>
        </w:rPr>
        <w:t>or</w:t>
      </w:r>
      <w:r>
        <w:rPr>
          <w:color w:val="231F20"/>
          <w:spacing w:val="23"/>
          <w:sz w:val="20"/>
        </w:rPr>
        <w:t> </w:t>
      </w:r>
      <w:r>
        <w:rPr>
          <w:color w:val="231F20"/>
          <w:sz w:val="20"/>
        </w:rPr>
        <w:t>z/OS</w:t>
      </w:r>
      <w:r>
        <w:rPr>
          <w:color w:val="231F20"/>
          <w:spacing w:val="23"/>
          <w:sz w:val="20"/>
        </w:rPr>
        <w:t> </w:t>
      </w:r>
      <w:r>
        <w:rPr>
          <w:color w:val="231F20"/>
          <w:sz w:val="20"/>
        </w:rPr>
        <w:t>operating</w:t>
      </w:r>
      <w:r>
        <w:rPr>
          <w:color w:val="231F20"/>
          <w:spacing w:val="23"/>
          <w:sz w:val="20"/>
        </w:rPr>
        <w:t> </w:t>
      </w:r>
      <w:r>
        <w:rPr>
          <w:color w:val="231F20"/>
          <w:sz w:val="20"/>
        </w:rPr>
        <w:t>system).</w:t>
      </w:r>
    </w:p>
    <w:p>
      <w:pPr>
        <w:pStyle w:val="ListParagraph"/>
        <w:numPr>
          <w:ilvl w:val="0"/>
          <w:numId w:val="149"/>
        </w:numPr>
        <w:tabs>
          <w:tab w:pos="2898" w:val="left" w:leader="none"/>
        </w:tabs>
        <w:spacing w:line="240" w:lineRule="auto" w:before="35" w:after="0"/>
        <w:ind w:left="2898" w:right="0" w:hanging="315"/>
        <w:jc w:val="left"/>
        <w:rPr>
          <w:rFonts w:ascii="Arial"/>
          <w:color w:val="231F20"/>
          <w:sz w:val="20"/>
        </w:rPr>
      </w:pPr>
      <w:r>
        <w:rPr>
          <w:color w:val="231F20"/>
          <w:sz w:val="20"/>
        </w:rPr>
        <w:t>Right-click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before="29"/>
        <w:ind w:left="2899"/>
      </w:pPr>
      <w:r>
        <w:rPr>
          <w:rFonts w:ascii="Futura MdCn BT"/>
          <w:color w:val="231F20"/>
        </w:rPr>
        <w:t>v</w:t>
      </w:r>
      <w:r>
        <w:rPr>
          <w:rFonts w:ascii="Futura MdCn BT"/>
          <w:color w:val="231F20"/>
          <w:spacing w:val="29"/>
        </w:rPr>
        <w:t>  </w:t>
      </w:r>
      <w:r>
        <w:rPr>
          <w:color w:val="231F20"/>
        </w:rPr>
        <w:t>The</w:t>
      </w:r>
      <w:r>
        <w:rPr>
          <w:color w:val="231F20"/>
          <w:spacing w:val="13"/>
        </w:rPr>
        <w:t> </w:t>
      </w:r>
      <w:r>
        <w:rPr>
          <w:color w:val="231F20"/>
        </w:rPr>
        <w:t>selected</w:t>
      </w:r>
      <w:r>
        <w:rPr>
          <w:color w:val="231F20"/>
          <w:spacing w:val="12"/>
        </w:rPr>
        <w:t> </w:t>
      </w:r>
      <w:r>
        <w:rPr>
          <w:color w:val="231F20"/>
        </w:rPr>
        <w:t>Navigator</w:t>
      </w:r>
      <w:r>
        <w:rPr>
          <w:color w:val="231F20"/>
          <w:spacing w:val="13"/>
        </w:rPr>
        <w:t> </w:t>
      </w:r>
      <w:r>
        <w:rPr>
          <w:color w:val="231F20"/>
          <w:spacing w:val="-4"/>
        </w:rPr>
        <w:t>item</w:t>
      </w:r>
    </w:p>
    <w:p>
      <w:pPr>
        <w:pStyle w:val="BodyText"/>
        <w:spacing w:before="30"/>
        <w:ind w:left="2899"/>
      </w:pPr>
      <w:r>
        <w:rPr>
          <w:rFonts w:ascii="Futura MdCn BT"/>
          <w:color w:val="231F20"/>
        </w:rPr>
        <w:t>v</w:t>
      </w:r>
      <w:r>
        <w:rPr>
          <w:rFonts w:ascii="Futura MdCn BT"/>
          <w:color w:val="231F20"/>
          <w:spacing w:val="32"/>
        </w:rPr>
        <w:t>  </w:t>
      </w:r>
      <w:r>
        <w:rPr>
          <w:color w:val="231F20"/>
        </w:rPr>
        <w:t>Row</w:t>
      </w:r>
      <w:r>
        <w:rPr>
          <w:color w:val="231F20"/>
          <w:spacing w:val="14"/>
        </w:rPr>
        <w:t> </w:t>
      </w:r>
      <w:r>
        <w:rPr>
          <w:color w:val="231F20"/>
        </w:rPr>
        <w:t>in</w:t>
      </w:r>
      <w:r>
        <w:rPr>
          <w:color w:val="231F20"/>
          <w:spacing w:val="13"/>
        </w:rPr>
        <w:t> </w:t>
      </w:r>
      <w:r>
        <w:rPr>
          <w:color w:val="231F20"/>
        </w:rPr>
        <w:t>a</w:t>
      </w:r>
      <w:r>
        <w:rPr>
          <w:color w:val="231F20"/>
          <w:spacing w:val="13"/>
        </w:rPr>
        <w:t> </w:t>
      </w:r>
      <w:r>
        <w:rPr>
          <w:color w:val="231F20"/>
        </w:rPr>
        <w:t>table</w:t>
      </w:r>
      <w:r>
        <w:rPr>
          <w:color w:val="231F20"/>
          <w:spacing w:val="13"/>
        </w:rPr>
        <w:t> </w:t>
      </w:r>
      <w:r>
        <w:rPr>
          <w:color w:val="231F20"/>
        </w:rPr>
        <w:t>view</w:t>
      </w:r>
      <w:r>
        <w:rPr>
          <w:color w:val="231F20"/>
          <w:spacing w:val="14"/>
        </w:rPr>
        <w:t> </w:t>
      </w:r>
      <w:r>
        <w:rPr>
          <w:color w:val="231F20"/>
        </w:rPr>
        <w:t>or</w:t>
      </w:r>
      <w:r>
        <w:rPr>
          <w:color w:val="231F20"/>
          <w:spacing w:val="13"/>
        </w:rPr>
        <w:t> </w:t>
      </w:r>
      <w:r>
        <w:rPr>
          <w:color w:val="231F20"/>
        </w:rPr>
        <w:t>event</w:t>
      </w:r>
      <w:r>
        <w:rPr>
          <w:color w:val="231F20"/>
          <w:spacing w:val="13"/>
        </w:rPr>
        <w:t> </w:t>
      </w:r>
      <w:r>
        <w:rPr>
          <w:color w:val="231F20"/>
        </w:rPr>
        <w:t>console</w:t>
      </w:r>
      <w:r>
        <w:rPr>
          <w:color w:val="231F20"/>
          <w:spacing w:val="13"/>
        </w:rPr>
        <w:t> </w:t>
      </w:r>
      <w:r>
        <w:rPr>
          <w:color w:val="231F20"/>
          <w:spacing w:val="-4"/>
        </w:rPr>
        <w:t>view</w:t>
      </w:r>
    </w:p>
    <w:p>
      <w:pPr>
        <w:pStyle w:val="BodyText"/>
        <w:spacing w:before="29"/>
        <w:ind w:left="2899"/>
      </w:pPr>
      <w:r>
        <w:rPr>
          <w:rFonts w:ascii="Futura MdCn BT"/>
          <w:color w:val="231F20"/>
        </w:rPr>
        <w:t>v</w:t>
      </w:r>
      <w:r>
        <w:rPr>
          <w:rFonts w:ascii="Futura MdCn BT"/>
          <w:color w:val="231F20"/>
          <w:spacing w:val="33"/>
        </w:rPr>
        <w:t>  </w:t>
      </w:r>
      <w:r>
        <w:rPr>
          <w:color w:val="231F20"/>
        </w:rPr>
        <w:t>Data</w:t>
      </w:r>
      <w:r>
        <w:rPr>
          <w:color w:val="231F20"/>
          <w:spacing w:val="15"/>
        </w:rPr>
        <w:t> </w:t>
      </w:r>
      <w:r>
        <w:rPr>
          <w:color w:val="231F20"/>
        </w:rPr>
        <w:t>point</w:t>
      </w:r>
      <w:r>
        <w:rPr>
          <w:color w:val="231F20"/>
          <w:spacing w:val="14"/>
        </w:rPr>
        <w:t> </w:t>
      </w:r>
      <w:r>
        <w:rPr>
          <w:color w:val="231F20"/>
        </w:rPr>
        <w:t>in</w:t>
      </w:r>
      <w:r>
        <w:rPr>
          <w:color w:val="231F20"/>
          <w:spacing w:val="14"/>
        </w:rPr>
        <w:t> </w:t>
      </w:r>
      <w:r>
        <w:rPr>
          <w:color w:val="231F20"/>
        </w:rPr>
        <w:t>a</w:t>
      </w:r>
      <w:r>
        <w:rPr>
          <w:color w:val="231F20"/>
          <w:spacing w:val="14"/>
        </w:rPr>
        <w:t> </w:t>
      </w:r>
      <w:r>
        <w:rPr>
          <w:color w:val="231F20"/>
          <w:spacing w:val="-2"/>
        </w:rPr>
        <w:t>chart</w:t>
      </w:r>
    </w:p>
    <w:p>
      <w:pPr>
        <w:pStyle w:val="BodyText"/>
        <w:spacing w:before="30"/>
        <w:ind w:left="2899"/>
      </w:pPr>
      <w:r>
        <w:rPr>
          <w:rFonts w:ascii="Futura MdCn BT"/>
          <w:color w:val="231F20"/>
        </w:rPr>
        <w:t>v</w:t>
      </w:r>
      <w:r>
        <w:rPr>
          <w:rFonts w:ascii="Futura MdCn BT"/>
          <w:color w:val="231F20"/>
          <w:spacing w:val="32"/>
        </w:rPr>
        <w:t>  </w:t>
      </w:r>
      <w:r>
        <w:rPr>
          <w:color w:val="231F20"/>
        </w:rPr>
        <w:t>Object</w:t>
      </w:r>
      <w:r>
        <w:rPr>
          <w:color w:val="231F20"/>
          <w:spacing w:val="14"/>
        </w:rPr>
        <w:t> </w:t>
      </w:r>
      <w:r>
        <w:rPr>
          <w:color w:val="231F20"/>
        </w:rPr>
        <w:t>of</w:t>
      </w:r>
      <w:r>
        <w:rPr>
          <w:color w:val="231F20"/>
          <w:spacing w:val="14"/>
        </w:rPr>
        <w:t> </w:t>
      </w:r>
      <w:r>
        <w:rPr>
          <w:color w:val="231F20"/>
        </w:rPr>
        <w:t>a</w:t>
      </w:r>
      <w:r>
        <w:rPr>
          <w:color w:val="231F20"/>
          <w:spacing w:val="13"/>
        </w:rPr>
        <w:t> </w:t>
      </w:r>
      <w:r>
        <w:rPr>
          <w:color w:val="231F20"/>
        </w:rPr>
        <w:t>topology</w:t>
      </w:r>
      <w:r>
        <w:rPr>
          <w:color w:val="231F20"/>
          <w:spacing w:val="14"/>
        </w:rPr>
        <w:t> </w:t>
      </w:r>
      <w:r>
        <w:rPr>
          <w:color w:val="231F20"/>
          <w:spacing w:val="-4"/>
        </w:rPr>
        <w:t>view</w:t>
      </w:r>
    </w:p>
    <w:p>
      <w:pPr>
        <w:spacing w:after="0"/>
        <w:sectPr>
          <w:pgSz w:w="12240" w:h="15840"/>
          <w:pgMar w:header="0" w:footer="736" w:top="1220" w:bottom="920" w:left="1000" w:right="1060"/>
        </w:sectPr>
      </w:pPr>
    </w:p>
    <w:p>
      <w:pPr>
        <w:pStyle w:val="ListParagraph"/>
        <w:numPr>
          <w:ilvl w:val="0"/>
          <w:numId w:val="149"/>
        </w:numPr>
        <w:tabs>
          <w:tab w:pos="2659" w:val="left" w:leader="none"/>
        </w:tabs>
        <w:spacing w:line="206" w:lineRule="auto" w:before="97" w:after="0"/>
        <w:ind w:left="2659" w:right="927" w:hanging="316"/>
        <w:jc w:val="left"/>
        <w:rPr>
          <w:rFonts w:ascii="Arial" w:hAnsi="Arial"/>
          <w:color w:val="231F20"/>
          <w:position w:val="1"/>
          <w:sz w:val="20"/>
        </w:rPr>
      </w:pPr>
      <w:bookmarkStart w:name="_bookmark265" w:id="541"/>
      <w:bookmarkEnd w:id="541"/>
      <w:r>
        <w:rPr/>
      </w:r>
      <w:r>
        <w:rPr>
          <w:color w:val="231F20"/>
          <w:position w:val="1"/>
          <w:sz w:val="20"/>
        </w:rPr>
        <w:t>Click </w:t>
      </w:r>
      <w:r>
        <w:rPr>
          <w:rFonts w:ascii="Book Antiqua" w:hAnsi="Book Antiqua"/>
          <w:b/>
          <w:color w:val="231F20"/>
          <w:position w:val="1"/>
          <w:sz w:val="20"/>
        </w:rPr>
        <w:t>Take Action </w:t>
      </w:r>
      <w:r>
        <w:rPr>
          <w:rFonts w:ascii="Arial" w:hAnsi="Arial"/>
          <w:color w:val="231F20"/>
          <w:w w:val="90"/>
          <w:position w:val="1"/>
          <w:sz w:val="20"/>
        </w:rPr>
        <w:t>→</w:t>
      </w:r>
      <w:r>
        <w:rPr>
          <w:rFonts w:ascii="Arial" w:hAnsi="Arial"/>
          <w:color w:val="231F20"/>
          <w:position w:val="1"/>
          <w:sz w:val="20"/>
        </w:rPr>
        <w:t> </w:t>
      </w:r>
      <w:r>
        <w:rPr>
          <w:rFonts w:ascii="Arial" w:hAnsi="Arial"/>
          <w:color w:val="231F20"/>
          <w:spacing w:val="-26"/>
          <w:sz w:val="20"/>
        </w:rPr>
        <w:drawing>
          <wp:inline distT="0" distB="0" distL="0" distR="0">
            <wp:extent cx="76200" cy="95250"/>
            <wp:effectExtent l="0" t="0" r="0" b="0"/>
            <wp:docPr id="2833" name="Image 2833"/>
            <wp:cNvGraphicFramePr>
              <a:graphicFrameLocks/>
            </wp:cNvGraphicFramePr>
            <a:graphic>
              <a:graphicData uri="http://schemas.openxmlformats.org/drawingml/2006/picture">
                <pic:pic>
                  <pic:nvPicPr>
                    <pic:cNvPr id="2833" name="Image 2833"/>
                    <pic:cNvPicPr/>
                  </pic:nvPicPr>
                  <pic:blipFill>
                    <a:blip r:embed="rId54" cstate="print"/>
                    <a:stretch>
                      <a:fillRect/>
                    </a:stretch>
                  </pic:blipFill>
                  <pic:spPr>
                    <a:xfrm>
                      <a:off x="0" y="0"/>
                      <a:ext cx="76200" cy="95250"/>
                    </a:xfrm>
                    <a:prstGeom prst="rect">
                      <a:avLst/>
                    </a:prstGeom>
                  </pic:spPr>
                </pic:pic>
              </a:graphicData>
            </a:graphic>
          </wp:inline>
        </w:drawing>
      </w:r>
      <w:r>
        <w:rPr>
          <w:rFonts w:ascii="Arial" w:hAnsi="Arial"/>
          <w:color w:val="231F20"/>
          <w:spacing w:val="-26"/>
          <w:sz w:val="20"/>
        </w:rPr>
      </w:r>
      <w:r>
        <w:rPr>
          <w:rFonts w:ascii="Times New Roman" w:hAnsi="Times New Roman"/>
          <w:color w:val="231F20"/>
          <w:spacing w:val="80"/>
          <w:position w:val="1"/>
          <w:sz w:val="20"/>
        </w:rPr>
        <w:t> </w:t>
      </w:r>
      <w:r>
        <w:rPr>
          <w:rFonts w:ascii="Book Antiqua" w:hAnsi="Book Antiqua"/>
          <w:b/>
          <w:color w:val="231F20"/>
          <w:position w:val="1"/>
          <w:sz w:val="20"/>
        </w:rPr>
        <w:t>Create or Edit</w:t>
      </w:r>
      <w:r>
        <w:rPr>
          <w:color w:val="231F20"/>
          <w:position w:val="1"/>
          <w:sz w:val="20"/>
        </w:rPr>
        <w:t>. The Edit</w:t>
      </w:r>
      <w:r>
        <w:rPr>
          <w:color w:val="231F20"/>
          <w:spacing w:val="-2"/>
          <w:position w:val="1"/>
          <w:sz w:val="20"/>
        </w:rPr>
        <w:t> </w:t>
      </w:r>
      <w:r>
        <w:rPr>
          <w:color w:val="231F20"/>
          <w:position w:val="1"/>
          <w:sz w:val="20"/>
        </w:rPr>
        <w:t>Action and Select</w:t>
      </w:r>
      <w:r>
        <w:rPr>
          <w:color w:val="231F20"/>
          <w:spacing w:val="-2"/>
          <w:position w:val="1"/>
          <w:sz w:val="20"/>
        </w:rPr>
        <w:t> </w:t>
      </w:r>
      <w:r>
        <w:rPr>
          <w:color w:val="231F20"/>
          <w:position w:val="1"/>
          <w:sz w:val="20"/>
        </w:rPr>
        <w:t>Action </w:t>
      </w:r>
      <w:r>
        <w:rPr>
          <w:color w:val="231F20"/>
          <w:sz w:val="20"/>
        </w:rPr>
        <w:t>dialogs open.</w:t>
      </w:r>
    </w:p>
    <w:p>
      <w:pPr>
        <w:pStyle w:val="ListParagraph"/>
        <w:numPr>
          <w:ilvl w:val="0"/>
          <w:numId w:val="149"/>
        </w:numPr>
        <w:tabs>
          <w:tab w:pos="2658" w:val="left" w:leader="none"/>
        </w:tabs>
        <w:spacing w:line="240" w:lineRule="auto" w:before="39" w:after="0"/>
        <w:ind w:left="2658" w:right="0" w:hanging="315"/>
        <w:jc w:val="left"/>
        <w:rPr>
          <w:rFonts w:ascii="Arial"/>
          <w:color w:val="231F20"/>
          <w:sz w:val="20"/>
        </w:rPr>
      </w:pPr>
      <w:r>
        <w:rPr>
          <w:color w:val="231F20"/>
          <w:sz w:val="20"/>
        </w:rPr>
        <w:t>Select</w:t>
      </w:r>
      <w:r>
        <w:rPr>
          <w:color w:val="231F20"/>
          <w:spacing w:val="10"/>
          <w:sz w:val="20"/>
        </w:rPr>
        <w:t> </w:t>
      </w:r>
      <w:r>
        <w:rPr>
          <w:rFonts w:ascii="Book Antiqua"/>
          <w:b/>
          <w:color w:val="231F20"/>
          <w:sz w:val="20"/>
        </w:rPr>
        <w:t>&lt;Create</w:t>
      </w:r>
      <w:r>
        <w:rPr>
          <w:rFonts w:ascii="Book Antiqua"/>
          <w:b/>
          <w:color w:val="231F20"/>
          <w:spacing w:val="11"/>
          <w:sz w:val="20"/>
        </w:rPr>
        <w:t> </w:t>
      </w:r>
      <w:r>
        <w:rPr>
          <w:rFonts w:ascii="Book Antiqua"/>
          <w:b/>
          <w:color w:val="231F20"/>
          <w:sz w:val="20"/>
        </w:rPr>
        <w:t>new</w:t>
      </w:r>
      <w:r>
        <w:rPr>
          <w:rFonts w:ascii="Book Antiqua"/>
          <w:b/>
          <w:color w:val="231F20"/>
          <w:spacing w:val="11"/>
          <w:sz w:val="20"/>
        </w:rPr>
        <w:t> </w:t>
      </w:r>
      <w:r>
        <w:rPr>
          <w:rFonts w:ascii="Book Antiqua"/>
          <w:b/>
          <w:color w:val="231F20"/>
          <w:sz w:val="20"/>
        </w:rPr>
        <w:t>Action&gt;</w:t>
      </w:r>
      <w:r>
        <w:rPr>
          <w:rFonts w:ascii="Book Antiqua"/>
          <w:b/>
          <w:color w:val="231F20"/>
          <w:spacing w:val="11"/>
          <w:sz w:val="20"/>
        </w:rPr>
        <w:t> </w:t>
      </w:r>
      <w:r>
        <w:rPr>
          <w:color w:val="231F20"/>
          <w:sz w:val="20"/>
        </w:rPr>
        <w:t>and</w:t>
      </w:r>
      <w:r>
        <w:rPr>
          <w:color w:val="231F20"/>
          <w:spacing w:val="11"/>
          <w:sz w:val="20"/>
        </w:rPr>
        <w:t> </w:t>
      </w: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ListParagraph"/>
        <w:numPr>
          <w:ilvl w:val="0"/>
          <w:numId w:val="149"/>
        </w:numPr>
        <w:tabs>
          <w:tab w:pos="2659" w:val="left" w:leader="none"/>
        </w:tabs>
        <w:spacing w:line="213" w:lineRule="auto" w:before="53" w:after="0"/>
        <w:ind w:left="2659" w:right="1061" w:hanging="316"/>
        <w:jc w:val="left"/>
        <w:rPr>
          <w:rFonts w:ascii="Arial"/>
          <w:color w:val="231F20"/>
          <w:sz w:val="20"/>
        </w:rPr>
      </w:pPr>
      <w:r>
        <w:rPr>
          <w:color w:val="231F20"/>
          <w:sz w:val="20"/>
        </w:rPr>
        <w:t>In the Create New Action window, type a name and description for the </w:t>
      </w:r>
      <w:r>
        <w:rPr>
          <w:color w:val="231F20"/>
          <w:spacing w:val="-2"/>
          <w:sz w:val="20"/>
        </w:rPr>
        <w:t>command.</w:t>
      </w:r>
    </w:p>
    <w:p>
      <w:pPr>
        <w:pStyle w:val="ListParagraph"/>
        <w:numPr>
          <w:ilvl w:val="0"/>
          <w:numId w:val="149"/>
        </w:numPr>
        <w:tabs>
          <w:tab w:pos="2658" w:val="left" w:leader="none"/>
        </w:tabs>
        <w:spacing w:line="240" w:lineRule="auto" w:before="35" w:after="0"/>
        <w:ind w:left="2658" w:right="0" w:hanging="315"/>
        <w:jc w:val="left"/>
        <w:rPr>
          <w:rFonts w:ascii="Arial"/>
          <w:color w:val="231F20"/>
          <w:sz w:val="20"/>
        </w:rPr>
      </w:pPr>
      <w:r>
        <w:rPr>
          <w:color w:val="231F20"/>
          <w:sz w:val="20"/>
        </w:rPr>
        <w:t>If</w:t>
      </w:r>
      <w:r>
        <w:rPr>
          <w:color w:val="231F20"/>
          <w:spacing w:val="10"/>
          <w:sz w:val="20"/>
        </w:rPr>
        <w:t> </w:t>
      </w:r>
      <w:r>
        <w:rPr>
          <w:color w:val="231F20"/>
          <w:sz w:val="20"/>
        </w:rPr>
        <w:t>there</w:t>
      </w:r>
      <w:r>
        <w:rPr>
          <w:color w:val="231F20"/>
          <w:spacing w:val="11"/>
          <w:sz w:val="20"/>
        </w:rPr>
        <w:t> </w:t>
      </w:r>
      <w:r>
        <w:rPr>
          <w:color w:val="231F20"/>
          <w:sz w:val="20"/>
        </w:rPr>
        <w:t>is</w:t>
      </w:r>
      <w:r>
        <w:rPr>
          <w:color w:val="231F20"/>
          <w:spacing w:val="11"/>
          <w:sz w:val="20"/>
        </w:rPr>
        <w:t> </w:t>
      </w:r>
      <w:r>
        <w:rPr>
          <w:color w:val="231F20"/>
          <w:sz w:val="20"/>
        </w:rPr>
        <w:t>a</w:t>
      </w:r>
      <w:r>
        <w:rPr>
          <w:color w:val="231F20"/>
          <w:spacing w:val="10"/>
          <w:sz w:val="20"/>
        </w:rPr>
        <w:t> </w:t>
      </w:r>
      <w:r>
        <w:rPr>
          <w:color w:val="231F20"/>
          <w:sz w:val="20"/>
        </w:rPr>
        <w:t>choice</w:t>
      </w:r>
      <w:r>
        <w:rPr>
          <w:color w:val="231F20"/>
          <w:spacing w:val="11"/>
          <w:sz w:val="20"/>
        </w:rPr>
        <w:t> </w:t>
      </w:r>
      <w:r>
        <w:rPr>
          <w:color w:val="231F20"/>
          <w:sz w:val="20"/>
        </w:rPr>
        <w:t>of</w:t>
      </w:r>
      <w:r>
        <w:rPr>
          <w:color w:val="231F20"/>
          <w:spacing w:val="11"/>
          <w:sz w:val="20"/>
        </w:rPr>
        <w:t> </w:t>
      </w:r>
      <w:r>
        <w:rPr>
          <w:color w:val="231F20"/>
          <w:sz w:val="20"/>
        </w:rPr>
        <w:t>Monitored</w:t>
      </w:r>
      <w:r>
        <w:rPr>
          <w:color w:val="231F20"/>
          <w:spacing w:val="4"/>
          <w:sz w:val="20"/>
        </w:rPr>
        <w:t> </w:t>
      </w:r>
      <w:r>
        <w:rPr>
          <w:color w:val="231F20"/>
          <w:sz w:val="20"/>
        </w:rPr>
        <w:t>Application,</w:t>
      </w:r>
      <w:r>
        <w:rPr>
          <w:color w:val="231F20"/>
          <w:spacing w:val="11"/>
          <w:sz w:val="20"/>
        </w:rPr>
        <w:t> </w:t>
      </w:r>
      <w:r>
        <w:rPr>
          <w:color w:val="231F20"/>
          <w:sz w:val="20"/>
        </w:rPr>
        <w:t>select</w:t>
      </w:r>
      <w:r>
        <w:rPr>
          <w:color w:val="231F20"/>
          <w:spacing w:val="10"/>
          <w:sz w:val="20"/>
        </w:rPr>
        <w:t> </w:t>
      </w:r>
      <w:r>
        <w:rPr>
          <w:color w:val="231F20"/>
          <w:sz w:val="20"/>
        </w:rPr>
        <w:t>one</w:t>
      </w:r>
      <w:r>
        <w:rPr>
          <w:color w:val="231F20"/>
          <w:spacing w:val="11"/>
          <w:sz w:val="20"/>
        </w:rPr>
        <w:t> </w:t>
      </w:r>
      <w:r>
        <w:rPr>
          <w:color w:val="231F20"/>
          <w:sz w:val="20"/>
        </w:rPr>
        <w:t>from</w:t>
      </w:r>
      <w:r>
        <w:rPr>
          <w:color w:val="231F20"/>
          <w:spacing w:val="11"/>
          <w:sz w:val="20"/>
        </w:rPr>
        <w:t> </w:t>
      </w:r>
      <w:r>
        <w:rPr>
          <w:color w:val="231F20"/>
          <w:sz w:val="20"/>
        </w:rPr>
        <w:t>the</w:t>
      </w:r>
      <w:r>
        <w:rPr>
          <w:color w:val="231F20"/>
          <w:spacing w:val="10"/>
          <w:sz w:val="20"/>
        </w:rPr>
        <w:t> </w:t>
      </w:r>
      <w:r>
        <w:rPr>
          <w:color w:val="231F20"/>
          <w:spacing w:val="-2"/>
          <w:sz w:val="20"/>
        </w:rPr>
        <w:t>list.</w:t>
      </w:r>
    </w:p>
    <w:p>
      <w:pPr>
        <w:pStyle w:val="ListParagraph"/>
        <w:numPr>
          <w:ilvl w:val="0"/>
          <w:numId w:val="149"/>
        </w:numPr>
        <w:tabs>
          <w:tab w:pos="2659" w:val="left" w:leader="none"/>
        </w:tabs>
        <w:spacing w:line="213" w:lineRule="auto" w:before="53" w:after="0"/>
        <w:ind w:left="2659" w:right="432" w:hanging="316"/>
        <w:jc w:val="left"/>
        <w:rPr>
          <w:rFonts w:ascii="Arial"/>
          <w:color w:val="231F20"/>
          <w:sz w:val="20"/>
        </w:rPr>
      </w:pPr>
      <w:r>
        <w:rPr>
          <w:color w:val="231F20"/>
          <w:sz w:val="20"/>
        </w:rPr>
        <w:t>Select</w:t>
      </w:r>
      <w:r>
        <w:rPr>
          <w:color w:val="231F20"/>
          <w:spacing w:val="-1"/>
          <w:sz w:val="20"/>
        </w:rPr>
        <w:t> </w:t>
      </w:r>
      <w:r>
        <w:rPr>
          <w:color w:val="231F20"/>
          <w:sz w:val="20"/>
        </w:rPr>
        <w:t>the</w:t>
      </w:r>
      <w:r>
        <w:rPr>
          <w:color w:val="231F20"/>
          <w:spacing w:val="-1"/>
          <w:sz w:val="20"/>
        </w:rPr>
        <w:t> </w:t>
      </w:r>
      <w:r>
        <w:rPr>
          <w:color w:val="231F20"/>
          <w:sz w:val="20"/>
        </w:rPr>
        <w:t>type</w:t>
      </w:r>
      <w:r>
        <w:rPr>
          <w:color w:val="231F20"/>
          <w:spacing w:val="-1"/>
          <w:sz w:val="20"/>
        </w:rPr>
        <w:t> </w:t>
      </w:r>
      <w:r>
        <w:rPr>
          <w:color w:val="231F20"/>
          <w:sz w:val="20"/>
        </w:rPr>
        <w:t>of</w:t>
      </w:r>
      <w:r>
        <w:rPr>
          <w:color w:val="231F20"/>
          <w:spacing w:val="-2"/>
          <w:sz w:val="20"/>
        </w:rPr>
        <w:t> </w:t>
      </w:r>
      <w:r>
        <w:rPr>
          <w:color w:val="231F20"/>
          <w:sz w:val="20"/>
        </w:rPr>
        <w:t>command.</w:t>
      </w:r>
      <w:r>
        <w:rPr>
          <w:color w:val="231F20"/>
          <w:spacing w:val="-1"/>
          <w:sz w:val="20"/>
        </w:rPr>
        <w:t> </w:t>
      </w:r>
      <w:r>
        <w:rPr>
          <w:rFonts w:ascii="Arial"/>
          <w:color w:val="231F20"/>
          <w:sz w:val="20"/>
        </w:rPr>
        <w:t>System</w:t>
      </w:r>
      <w:r>
        <w:rPr>
          <w:rFonts w:ascii="Arial"/>
          <w:color w:val="231F20"/>
          <w:spacing w:val="-7"/>
          <w:sz w:val="20"/>
        </w:rPr>
        <w:t> </w:t>
      </w:r>
      <w:r>
        <w:rPr>
          <w:rFonts w:ascii="Arial"/>
          <w:color w:val="231F20"/>
          <w:sz w:val="20"/>
        </w:rPr>
        <w:t>Command</w:t>
      </w:r>
      <w:r>
        <w:rPr>
          <w:rFonts w:ascii="Arial"/>
          <w:color w:val="231F20"/>
          <w:spacing w:val="-7"/>
          <w:sz w:val="20"/>
        </w:rPr>
        <w:t> </w:t>
      </w:r>
      <w:r>
        <w:rPr>
          <w:color w:val="231F20"/>
          <w:sz w:val="20"/>
        </w:rPr>
        <w:t>is</w:t>
      </w:r>
      <w:r>
        <w:rPr>
          <w:color w:val="231F20"/>
          <w:spacing w:val="-1"/>
          <w:sz w:val="20"/>
        </w:rPr>
        <w:t> </w:t>
      </w:r>
      <w:r>
        <w:rPr>
          <w:color w:val="231F20"/>
          <w:sz w:val="20"/>
        </w:rPr>
        <w:t>for</w:t>
      </w:r>
      <w:r>
        <w:rPr>
          <w:color w:val="231F20"/>
          <w:spacing w:val="-1"/>
          <w:sz w:val="20"/>
        </w:rPr>
        <w:t> </w:t>
      </w:r>
      <w:r>
        <w:rPr>
          <w:color w:val="231F20"/>
          <w:sz w:val="20"/>
        </w:rPr>
        <w:t>issuing</w:t>
      </w:r>
      <w:r>
        <w:rPr>
          <w:color w:val="231F20"/>
          <w:spacing w:val="-1"/>
          <w:sz w:val="20"/>
        </w:rPr>
        <w:t> </w:t>
      </w:r>
      <w:r>
        <w:rPr>
          <w:color w:val="231F20"/>
          <w:sz w:val="20"/>
        </w:rPr>
        <w:t>a</w:t>
      </w:r>
      <w:r>
        <w:rPr>
          <w:color w:val="231F20"/>
          <w:spacing w:val="-1"/>
          <w:sz w:val="20"/>
        </w:rPr>
        <w:t> </w:t>
      </w:r>
      <w:r>
        <w:rPr>
          <w:color w:val="231F20"/>
          <w:sz w:val="20"/>
        </w:rPr>
        <w:t>command</w:t>
      </w:r>
      <w:r>
        <w:rPr>
          <w:color w:val="231F20"/>
          <w:spacing w:val="-1"/>
          <w:sz w:val="20"/>
        </w:rPr>
        <w:t> </w:t>
      </w:r>
      <w:r>
        <w:rPr>
          <w:color w:val="231F20"/>
          <w:sz w:val="20"/>
        </w:rPr>
        <w:t>on</w:t>
      </w:r>
      <w:r>
        <w:rPr>
          <w:color w:val="231F20"/>
          <w:spacing w:val="-1"/>
          <w:sz w:val="20"/>
        </w:rPr>
        <w:t> </w:t>
      </w:r>
      <w:r>
        <w:rPr>
          <w:color w:val="231F20"/>
          <w:sz w:val="20"/>
        </w:rPr>
        <w:t>the operating system associated with this Navigator item. For example, if you selected a Navigator item on the UNIX Systems branch, you can enter a </w:t>
      </w:r>
      <w:r>
        <w:rPr>
          <w:color w:val="231F20"/>
          <w:sz w:val="20"/>
        </w:rPr>
        <w:t>UNIX shell command.</w:t>
      </w:r>
    </w:p>
    <w:p>
      <w:pPr>
        <w:pStyle w:val="BodyText"/>
        <w:spacing w:line="213" w:lineRule="auto" w:before="57"/>
        <w:ind w:left="2659" w:right="636"/>
      </w:pPr>
      <w:r>
        <w:rPr>
          <w:color w:val="231F20"/>
        </w:rPr>
        <w:t>The other types of commands that appear are for the monitoring agents associated with this Navigator item. For example, at the Enterprise level, </w:t>
      </w:r>
      <w:r>
        <w:rPr>
          <w:color w:val="231F20"/>
        </w:rPr>
        <w:t>you will see all agent types on your managed network, whereas at the system</w:t>
      </w:r>
      <w:r>
        <w:rPr>
          <w:color w:val="231F20"/>
          <w:spacing w:val="40"/>
        </w:rPr>
        <w:t> </w:t>
      </w:r>
      <w:r>
        <w:rPr>
          <w:color w:val="231F20"/>
        </w:rPr>
        <w:t>level, you will see those for the types of agents running on that system.</w:t>
      </w:r>
    </w:p>
    <w:p>
      <w:pPr>
        <w:pStyle w:val="ListParagraph"/>
        <w:numPr>
          <w:ilvl w:val="0"/>
          <w:numId w:val="149"/>
        </w:numPr>
        <w:tabs>
          <w:tab w:pos="2659" w:val="left" w:leader="none"/>
        </w:tabs>
        <w:spacing w:line="213" w:lineRule="auto" w:before="57" w:after="0"/>
        <w:ind w:left="2659" w:right="484" w:hanging="316"/>
        <w:jc w:val="left"/>
        <w:rPr>
          <w:rFonts w:ascii="Arial"/>
          <w:color w:val="231F20"/>
          <w:sz w:val="20"/>
        </w:rPr>
      </w:pPr>
      <w:r>
        <w:rPr>
          <w:color w:val="231F20"/>
          <w:sz w:val="20"/>
        </w:rPr>
        <w:t>In the text box, type the command just as you would from the command line. The character limit is 512 bytes, including any attribute substitution you</w:t>
      </w:r>
      <w:r>
        <w:rPr>
          <w:color w:val="231F20"/>
          <w:spacing w:val="40"/>
          <w:sz w:val="20"/>
        </w:rPr>
        <w:t> </w:t>
      </w:r>
      <w:r>
        <w:rPr>
          <w:color w:val="231F20"/>
          <w:sz w:val="20"/>
        </w:rPr>
        <w:t>specify in the next step.</w:t>
      </w:r>
    </w:p>
    <w:p>
      <w:pPr>
        <w:pStyle w:val="ListParagraph"/>
        <w:numPr>
          <w:ilvl w:val="0"/>
          <w:numId w:val="149"/>
        </w:numPr>
        <w:tabs>
          <w:tab w:pos="2659" w:val="left" w:leader="none"/>
        </w:tabs>
        <w:spacing w:line="213" w:lineRule="auto" w:before="58" w:after="0"/>
        <w:ind w:left="2659" w:right="494" w:hanging="316"/>
        <w:jc w:val="left"/>
        <w:rPr>
          <w:rFonts w:ascii="Arial" w:hAnsi="Arial"/>
          <w:color w:val="231F20"/>
          <w:sz w:val="20"/>
        </w:rPr>
      </w:pPr>
      <w:r>
        <w:rPr>
          <w:color w:val="231F20"/>
          <w:sz w:val="20"/>
        </w:rPr>
        <w:t>If you want to insert an attribute variable, which will be replaced by its value</w:t>
      </w:r>
      <w:r>
        <w:rPr>
          <w:color w:val="231F20"/>
          <w:spacing w:val="80"/>
          <w:sz w:val="20"/>
        </w:rPr>
        <w:t> </w:t>
      </w:r>
      <w:r>
        <w:rPr>
          <w:color w:val="231F20"/>
          <w:sz w:val="20"/>
        </w:rPr>
        <w:t>at run time, click </w:t>
      </w:r>
      <w:r>
        <w:rPr>
          <w:rFonts w:ascii="Book Antiqua" w:hAnsi="Book Antiqua"/>
          <w:b/>
          <w:color w:val="231F20"/>
          <w:sz w:val="20"/>
        </w:rPr>
        <w:t>Insert Attribute</w:t>
      </w:r>
      <w:r>
        <w:rPr>
          <w:color w:val="231F20"/>
          <w:sz w:val="20"/>
        </w:rPr>
        <w:t>, then select one from the Select Attribute window. Example: This command sends an email that reads, “System: MyServer, Disk: D:, Space Available: 15”</w:t>
      </w:r>
    </w:p>
    <w:p>
      <w:pPr>
        <w:spacing w:line="230" w:lineRule="auto" w:before="67"/>
        <w:ind w:left="2659" w:right="545" w:firstLine="0"/>
        <w:jc w:val="left"/>
        <w:rPr>
          <w:rFonts w:ascii="Arial"/>
          <w:sz w:val="18"/>
        </w:rPr>
      </w:pPr>
      <w:r>
        <w:rPr>
          <w:rFonts w:ascii="Arial"/>
          <w:color w:val="231F20"/>
          <w:spacing w:val="-2"/>
          <w:sz w:val="18"/>
        </w:rPr>
        <w:t>echo</w:t>
      </w:r>
      <w:r>
        <w:rPr>
          <w:rFonts w:ascii="Arial"/>
          <w:color w:val="231F20"/>
          <w:spacing w:val="22"/>
          <w:sz w:val="18"/>
        </w:rPr>
        <w:t> </w:t>
      </w:r>
      <w:r>
        <w:rPr>
          <w:rFonts w:ascii="Arial"/>
          <w:color w:val="231F20"/>
          <w:spacing w:val="-2"/>
          <w:sz w:val="18"/>
        </w:rPr>
        <w:t>System:</w:t>
      </w:r>
      <w:r>
        <w:rPr>
          <w:rFonts w:ascii="Arial"/>
          <w:color w:val="231F20"/>
          <w:spacing w:val="22"/>
          <w:sz w:val="18"/>
        </w:rPr>
        <w:t> </w:t>
      </w:r>
      <w:r>
        <w:rPr>
          <w:rFonts w:ascii="Arial"/>
          <w:color w:val="231F20"/>
          <w:spacing w:val="-2"/>
          <w:sz w:val="18"/>
        </w:rPr>
        <w:t>&amp;NT_Logical_Disk.Server_Name,</w:t>
      </w:r>
      <w:r>
        <w:rPr>
          <w:rFonts w:ascii="Arial"/>
          <w:color w:val="231F20"/>
          <w:spacing w:val="22"/>
          <w:sz w:val="18"/>
        </w:rPr>
        <w:t> </w:t>
      </w:r>
      <w:r>
        <w:rPr>
          <w:rFonts w:ascii="Arial"/>
          <w:color w:val="231F20"/>
          <w:spacing w:val="-2"/>
          <w:sz w:val="18"/>
        </w:rPr>
        <w:t>Disk:</w:t>
      </w:r>
      <w:r>
        <w:rPr>
          <w:rFonts w:ascii="Arial"/>
          <w:color w:val="231F20"/>
          <w:spacing w:val="22"/>
          <w:sz w:val="18"/>
        </w:rPr>
        <w:t> </w:t>
      </w:r>
      <w:r>
        <w:rPr>
          <w:rFonts w:ascii="Arial"/>
          <w:color w:val="231F20"/>
          <w:spacing w:val="-2"/>
          <w:sz w:val="18"/>
        </w:rPr>
        <w:t>&amp;NT_Logical_Disk.Disk_Name, </w:t>
      </w:r>
      <w:r>
        <w:rPr>
          <w:rFonts w:ascii="Arial"/>
          <w:color w:val="231F20"/>
          <w:sz w:val="18"/>
        </w:rPr>
        <w:t>Space</w:t>
      </w:r>
      <w:r>
        <w:rPr>
          <w:rFonts w:ascii="Arial"/>
          <w:color w:val="231F20"/>
          <w:spacing w:val="40"/>
          <w:sz w:val="18"/>
        </w:rPr>
        <w:t> </w:t>
      </w:r>
      <w:r>
        <w:rPr>
          <w:rFonts w:ascii="Arial"/>
          <w:color w:val="231F20"/>
          <w:sz w:val="18"/>
        </w:rPr>
        <w:t>Available:</w:t>
      </w:r>
      <w:r>
        <w:rPr>
          <w:rFonts w:ascii="Arial"/>
          <w:color w:val="231F20"/>
          <w:spacing w:val="40"/>
          <w:sz w:val="18"/>
        </w:rPr>
        <w:t> </w:t>
      </w:r>
      <w:r>
        <w:rPr>
          <w:rFonts w:ascii="Arial"/>
          <w:color w:val="231F20"/>
          <w:sz w:val="18"/>
        </w:rPr>
        <w:t>&amp;NT_Logical_Disk.%_Free%|mail</w:t>
      </w:r>
      <w:r>
        <w:rPr>
          <w:rFonts w:ascii="Arial"/>
          <w:color w:val="231F20"/>
          <w:spacing w:val="40"/>
          <w:sz w:val="18"/>
        </w:rPr>
        <w:t> </w:t>
      </w:r>
      <w:r>
        <w:rPr>
          <w:rFonts w:ascii="Arial"/>
          <w:color w:val="231F20"/>
          <w:sz w:val="18"/>
        </w:rPr>
        <w:t>userID.</w:t>
      </w:r>
    </w:p>
    <w:p>
      <w:pPr>
        <w:pStyle w:val="BodyText"/>
        <w:spacing w:before="44"/>
        <w:rPr>
          <w:rFonts w:ascii="Arial"/>
          <w:sz w:val="18"/>
        </w:rPr>
      </w:pPr>
    </w:p>
    <w:p>
      <w:pPr>
        <w:pStyle w:val="BodyText"/>
        <w:spacing w:line="213" w:lineRule="auto"/>
        <w:ind w:left="2659" w:right="636"/>
      </w:pPr>
      <w:r>
        <w:rPr>
          <w:color w:val="231F20"/>
        </w:rPr>
        <w:t>The attribute variables will be resolved if the action is launched from a table row or plot point (such as a bar in a bar chart) that can provide the values. If</w:t>
      </w:r>
      <w:r>
        <w:rPr>
          <w:color w:val="231F20"/>
          <w:spacing w:val="80"/>
        </w:rPr>
        <w:t> </w:t>
      </w:r>
      <w:r>
        <w:rPr>
          <w:color w:val="231F20"/>
        </w:rPr>
        <w:t>an attribute (or any other string preceded by an </w:t>
      </w:r>
      <w:r>
        <w:rPr>
          <w:rFonts w:ascii="Book Antiqua"/>
          <w:b/>
          <w:color w:val="231F20"/>
        </w:rPr>
        <w:t>&amp; </w:t>
      </w:r>
      <w:r>
        <w:rPr>
          <w:color w:val="231F20"/>
        </w:rPr>
        <w:t>ampersand) is put into a take action definition, it will be resolved unless no value is found, in which case you are prompted to enter a value. If none is provided, it will be</w:t>
      </w:r>
      <w:r>
        <w:rPr>
          <w:color w:val="231F20"/>
          <w:spacing w:val="80"/>
          <w:w w:val="150"/>
        </w:rPr>
        <w:t> </w:t>
      </w:r>
      <w:r>
        <w:rPr>
          <w:color w:val="231F20"/>
        </w:rPr>
        <w:t>excluded from the generated output.</w:t>
      </w:r>
    </w:p>
    <w:p>
      <w:pPr>
        <w:pStyle w:val="ListParagraph"/>
        <w:numPr>
          <w:ilvl w:val="0"/>
          <w:numId w:val="149"/>
        </w:numPr>
        <w:tabs>
          <w:tab w:pos="2659" w:val="left" w:leader="none"/>
        </w:tabs>
        <w:spacing w:line="255" w:lineRule="exact" w:before="33" w:after="0"/>
        <w:ind w:left="2659" w:right="0" w:hanging="427"/>
        <w:jc w:val="left"/>
        <w:rPr>
          <w:rFonts w:ascii="Arial"/>
          <w:color w:val="231F20"/>
          <w:sz w:val="20"/>
        </w:rPr>
      </w:pPr>
      <w:r>
        <w:rPr>
          <w:color w:val="231F20"/>
          <w:sz w:val="20"/>
        </w:rPr>
        <w:t>When</w:t>
      </w:r>
      <w:r>
        <w:rPr>
          <w:color w:val="231F20"/>
          <w:spacing w:val="11"/>
          <w:sz w:val="20"/>
        </w:rPr>
        <w:t> </w:t>
      </w:r>
      <w:r>
        <w:rPr>
          <w:color w:val="231F20"/>
          <w:sz w:val="20"/>
        </w:rPr>
        <w:t>you</w:t>
      </w:r>
      <w:r>
        <w:rPr>
          <w:color w:val="231F20"/>
          <w:spacing w:val="11"/>
          <w:sz w:val="20"/>
        </w:rPr>
        <w:t> </w:t>
      </w:r>
      <w:r>
        <w:rPr>
          <w:color w:val="231F20"/>
          <w:sz w:val="20"/>
        </w:rPr>
        <w:t>are</w:t>
      </w:r>
      <w:r>
        <w:rPr>
          <w:color w:val="231F20"/>
          <w:spacing w:val="11"/>
          <w:sz w:val="20"/>
        </w:rPr>
        <w:t> </w:t>
      </w:r>
      <w:r>
        <w:rPr>
          <w:color w:val="231F20"/>
          <w:sz w:val="20"/>
        </w:rPr>
        <w:t>finished</w:t>
      </w:r>
      <w:r>
        <w:rPr>
          <w:color w:val="231F20"/>
          <w:spacing w:val="11"/>
          <w:sz w:val="20"/>
        </w:rPr>
        <w:t> </w:t>
      </w:r>
      <w:r>
        <w:rPr>
          <w:color w:val="231F20"/>
          <w:sz w:val="20"/>
        </w:rPr>
        <w:t>creating</w:t>
      </w:r>
      <w:r>
        <w:rPr>
          <w:color w:val="231F20"/>
          <w:spacing w:val="12"/>
          <w:sz w:val="20"/>
        </w:rPr>
        <w:t> </w:t>
      </w:r>
      <w:r>
        <w:rPr>
          <w:color w:val="231F20"/>
          <w:sz w:val="20"/>
        </w:rPr>
        <w:t>the</w:t>
      </w:r>
      <w:r>
        <w:rPr>
          <w:color w:val="231F20"/>
          <w:spacing w:val="11"/>
          <w:sz w:val="20"/>
        </w:rPr>
        <w:t> </w:t>
      </w:r>
      <w:r>
        <w:rPr>
          <w:color w:val="231F20"/>
          <w:sz w:val="20"/>
        </w:rPr>
        <w:t>action,</w:t>
      </w:r>
      <w:r>
        <w:rPr>
          <w:color w:val="231F20"/>
          <w:spacing w:val="11"/>
          <w:sz w:val="20"/>
        </w:rPr>
        <w:t> </w:t>
      </w:r>
      <w:r>
        <w:rPr>
          <w:color w:val="231F20"/>
          <w:sz w:val="20"/>
        </w:rPr>
        <w:t>click</w:t>
      </w:r>
      <w:r>
        <w:rPr>
          <w:color w:val="231F20"/>
          <w:spacing w:val="11"/>
          <w:sz w:val="20"/>
        </w:rPr>
        <w:t> </w:t>
      </w:r>
      <w:r>
        <w:rPr>
          <w:rFonts w:ascii="Book Antiqua"/>
          <w:b/>
          <w:color w:val="231F20"/>
          <w:sz w:val="20"/>
        </w:rPr>
        <w:t>OK</w:t>
      </w:r>
      <w:r>
        <w:rPr>
          <w:rFonts w:ascii="Book Antiqua"/>
          <w:b/>
          <w:color w:val="231F20"/>
          <w:spacing w:val="11"/>
          <w:sz w:val="20"/>
        </w:rPr>
        <w:t> </w:t>
      </w:r>
      <w:r>
        <w:rPr>
          <w:color w:val="231F20"/>
          <w:sz w:val="20"/>
        </w:rPr>
        <w:t>to</w:t>
      </w:r>
      <w:r>
        <w:rPr>
          <w:color w:val="231F20"/>
          <w:spacing w:val="12"/>
          <w:sz w:val="20"/>
        </w:rPr>
        <w:t> </w:t>
      </w:r>
      <w:r>
        <w:rPr>
          <w:color w:val="231F20"/>
          <w:sz w:val="20"/>
        </w:rPr>
        <w:t>save</w:t>
      </w:r>
      <w:r>
        <w:rPr>
          <w:color w:val="231F20"/>
          <w:spacing w:val="11"/>
          <w:sz w:val="20"/>
        </w:rPr>
        <w:t> </w:t>
      </w:r>
      <w:r>
        <w:rPr>
          <w:color w:val="231F20"/>
          <w:sz w:val="20"/>
        </w:rPr>
        <w:t>it.</w:t>
      </w:r>
      <w:r>
        <w:rPr>
          <w:color w:val="231F20"/>
          <w:spacing w:val="7"/>
          <w:sz w:val="20"/>
        </w:rPr>
        <w:t> </w:t>
      </w:r>
      <w:r>
        <w:rPr>
          <w:color w:val="231F20"/>
          <w:spacing w:val="-4"/>
          <w:sz w:val="20"/>
        </w:rPr>
        <w:t>Your</w:t>
      </w:r>
    </w:p>
    <w:p>
      <w:pPr>
        <w:pStyle w:val="BodyText"/>
        <w:spacing w:line="213" w:lineRule="auto" w:before="8"/>
        <w:ind w:left="2659" w:right="493"/>
      </w:pPr>
      <w:r>
        <w:rPr>
          <w:color w:val="231F20"/>
        </w:rPr>
        <w:t>user-defined action is now selectable from the list of actions available for </w:t>
      </w:r>
      <w:r>
        <w:rPr>
          <w:color w:val="231F20"/>
        </w:rPr>
        <w:t>this agent. The action will be available to all users whose IDs have View Action permission and the application the command was written for as one of their Allowed Applications.</w:t>
      </w:r>
    </w:p>
    <w:p>
      <w:pPr>
        <w:pStyle w:val="ListParagraph"/>
        <w:numPr>
          <w:ilvl w:val="0"/>
          <w:numId w:val="149"/>
        </w:numPr>
        <w:tabs>
          <w:tab w:pos="2643" w:val="left" w:leader="none"/>
        </w:tabs>
        <w:spacing w:line="240" w:lineRule="auto" w:before="34" w:after="0"/>
        <w:ind w:left="2643" w:right="0" w:hanging="411"/>
        <w:jc w:val="left"/>
        <w:rPr>
          <w:rFonts w:ascii="Arial"/>
          <w:color w:val="231F20"/>
          <w:sz w:val="20"/>
        </w:rPr>
      </w:pPr>
      <w:r>
        <w:rPr>
          <w:color w:val="231F20"/>
          <w:sz w:val="20"/>
        </w:rPr>
        <w:t>Select</w:t>
      </w:r>
      <w:r>
        <w:rPr>
          <w:color w:val="231F20"/>
          <w:spacing w:val="11"/>
          <w:sz w:val="20"/>
        </w:rPr>
        <w:t> </w:t>
      </w:r>
      <w:r>
        <w:rPr>
          <w:color w:val="231F20"/>
          <w:sz w:val="20"/>
        </w:rPr>
        <w:t>a</w:t>
      </w:r>
      <w:r>
        <w:rPr>
          <w:color w:val="231F20"/>
          <w:spacing w:val="12"/>
          <w:sz w:val="20"/>
        </w:rPr>
        <w:t> </w:t>
      </w:r>
      <w:r>
        <w:rPr>
          <w:color w:val="231F20"/>
          <w:sz w:val="20"/>
        </w:rPr>
        <w:t>name</w:t>
      </w:r>
      <w:r>
        <w:rPr>
          <w:color w:val="231F20"/>
          <w:spacing w:val="12"/>
          <w:sz w:val="20"/>
        </w:rPr>
        <w:t> </w:t>
      </w:r>
      <w:r>
        <w:rPr>
          <w:color w:val="231F20"/>
          <w:sz w:val="20"/>
        </w:rPr>
        <w:t>from</w:t>
      </w:r>
      <w:r>
        <w:rPr>
          <w:color w:val="231F20"/>
          <w:spacing w:val="12"/>
          <w:sz w:val="20"/>
        </w:rPr>
        <w:t> </w:t>
      </w:r>
      <w:r>
        <w:rPr>
          <w:color w:val="231F20"/>
          <w:sz w:val="20"/>
        </w:rPr>
        <w:t>the</w:t>
      </w:r>
      <w:r>
        <w:rPr>
          <w:color w:val="231F20"/>
          <w:spacing w:val="12"/>
          <w:sz w:val="20"/>
        </w:rPr>
        <w:t> </w:t>
      </w:r>
      <w:r>
        <w:rPr>
          <w:color w:val="231F20"/>
          <w:sz w:val="20"/>
        </w:rPr>
        <w:t>list</w:t>
      </w:r>
      <w:r>
        <w:rPr>
          <w:color w:val="231F20"/>
          <w:spacing w:val="12"/>
          <w:sz w:val="20"/>
        </w:rPr>
        <w:t> </w:t>
      </w:r>
      <w:r>
        <w:rPr>
          <w:color w:val="231F20"/>
          <w:sz w:val="20"/>
        </w:rPr>
        <w:t>and</w:t>
      </w:r>
      <w:r>
        <w:rPr>
          <w:color w:val="231F20"/>
          <w:spacing w:val="12"/>
          <w:sz w:val="20"/>
        </w:rPr>
        <w:t> </w:t>
      </w:r>
      <w:r>
        <w:rPr>
          <w:color w:val="231F20"/>
          <w:sz w:val="20"/>
        </w:rPr>
        <w:t>click</w:t>
      </w:r>
      <w:r>
        <w:rPr>
          <w:color w:val="231F20"/>
          <w:spacing w:val="12"/>
          <w:sz w:val="20"/>
        </w:rPr>
        <w:t> </w:t>
      </w:r>
      <w:r>
        <w:rPr>
          <w:rFonts w:ascii="Book Antiqua"/>
          <w:b/>
          <w:color w:val="231F20"/>
          <w:spacing w:val="-5"/>
          <w:sz w:val="20"/>
        </w:rPr>
        <w:t>OK</w:t>
      </w:r>
      <w:r>
        <w:rPr>
          <w:color w:val="231F20"/>
          <w:spacing w:val="-5"/>
          <w:sz w:val="20"/>
        </w:rPr>
        <w:t>.</w:t>
      </w:r>
    </w:p>
    <w:p>
      <w:pPr>
        <w:pStyle w:val="ListParagraph"/>
        <w:numPr>
          <w:ilvl w:val="0"/>
          <w:numId w:val="149"/>
        </w:numPr>
        <w:tabs>
          <w:tab w:pos="2659" w:val="left" w:leader="none"/>
        </w:tabs>
        <w:spacing w:line="240" w:lineRule="auto" w:before="30" w:after="0"/>
        <w:ind w:left="2659" w:right="0" w:hanging="427"/>
        <w:jc w:val="left"/>
        <w:rPr>
          <w:rFonts w:ascii="Arial"/>
          <w:color w:val="231F20"/>
          <w:sz w:val="20"/>
        </w:rPr>
      </w:pPr>
      <w:r>
        <w:rPr>
          <w:color w:val="231F20"/>
          <w:sz w:val="20"/>
        </w:rPr>
        <w:t>In</w:t>
      </w:r>
      <w:r>
        <w:rPr>
          <w:color w:val="231F20"/>
          <w:spacing w:val="9"/>
          <w:sz w:val="20"/>
        </w:rPr>
        <w:t> </w:t>
      </w:r>
      <w:r>
        <w:rPr>
          <w:color w:val="231F20"/>
          <w:sz w:val="20"/>
        </w:rPr>
        <w:t>the</w:t>
      </w:r>
      <w:r>
        <w:rPr>
          <w:color w:val="231F20"/>
          <w:spacing w:val="9"/>
          <w:sz w:val="20"/>
        </w:rPr>
        <w:t> </w:t>
      </w:r>
      <w:r>
        <w:rPr>
          <w:color w:val="231F20"/>
          <w:sz w:val="20"/>
        </w:rPr>
        <w:t>Edit</w:t>
      </w:r>
      <w:r>
        <w:rPr>
          <w:color w:val="231F20"/>
          <w:spacing w:val="3"/>
          <w:sz w:val="20"/>
        </w:rPr>
        <w:t> </w:t>
      </w:r>
      <w:r>
        <w:rPr>
          <w:color w:val="231F20"/>
          <w:sz w:val="20"/>
        </w:rPr>
        <w:t>Action</w:t>
      </w:r>
      <w:r>
        <w:rPr>
          <w:color w:val="231F20"/>
          <w:spacing w:val="10"/>
          <w:sz w:val="20"/>
        </w:rPr>
        <w:t> </w:t>
      </w:r>
      <w:r>
        <w:rPr>
          <w:color w:val="231F20"/>
          <w:sz w:val="20"/>
        </w:rPr>
        <w:t>window,</w:t>
      </w:r>
      <w:r>
        <w:rPr>
          <w:color w:val="231F20"/>
          <w:spacing w:val="9"/>
          <w:sz w:val="20"/>
        </w:rPr>
        <w:t> </w:t>
      </w:r>
      <w:r>
        <w:rPr>
          <w:color w:val="231F20"/>
          <w:sz w:val="20"/>
        </w:rPr>
        <w:t>edit</w:t>
      </w:r>
      <w:r>
        <w:rPr>
          <w:color w:val="231F20"/>
          <w:spacing w:val="10"/>
          <w:sz w:val="20"/>
        </w:rPr>
        <w:t> </w:t>
      </w:r>
      <w:r>
        <w:rPr>
          <w:color w:val="231F20"/>
          <w:sz w:val="20"/>
        </w:rPr>
        <w:t>the</w:t>
      </w:r>
      <w:r>
        <w:rPr>
          <w:color w:val="231F20"/>
          <w:spacing w:val="9"/>
          <w:sz w:val="20"/>
        </w:rPr>
        <w:t> </w:t>
      </w:r>
      <w:r>
        <w:rPr>
          <w:color w:val="231F20"/>
          <w:sz w:val="20"/>
        </w:rPr>
        <w:t>command</w:t>
      </w:r>
      <w:r>
        <w:rPr>
          <w:color w:val="231F20"/>
          <w:spacing w:val="9"/>
          <w:sz w:val="20"/>
        </w:rPr>
        <w:t> </w:t>
      </w:r>
      <w:r>
        <w:rPr>
          <w:color w:val="231F20"/>
          <w:sz w:val="20"/>
        </w:rPr>
        <w:t>name,</w:t>
      </w:r>
      <w:r>
        <w:rPr>
          <w:color w:val="231F20"/>
          <w:spacing w:val="10"/>
          <w:sz w:val="20"/>
        </w:rPr>
        <w:t> </w:t>
      </w:r>
      <w:r>
        <w:rPr>
          <w:color w:val="231F20"/>
          <w:sz w:val="20"/>
        </w:rPr>
        <w:t>description,</w:t>
      </w:r>
      <w:r>
        <w:rPr>
          <w:color w:val="231F20"/>
          <w:spacing w:val="9"/>
          <w:sz w:val="20"/>
        </w:rPr>
        <w:t> </w:t>
      </w:r>
      <w:r>
        <w:rPr>
          <w:color w:val="231F20"/>
          <w:sz w:val="20"/>
        </w:rPr>
        <w:t>type,</w:t>
      </w:r>
      <w:r>
        <w:rPr>
          <w:color w:val="231F20"/>
          <w:spacing w:val="10"/>
          <w:sz w:val="20"/>
        </w:rPr>
        <w:t> </w:t>
      </w:r>
      <w:r>
        <w:rPr>
          <w:color w:val="231F20"/>
          <w:sz w:val="20"/>
        </w:rPr>
        <w:t>or</w:t>
      </w:r>
      <w:r>
        <w:rPr>
          <w:color w:val="231F20"/>
          <w:spacing w:val="9"/>
          <w:sz w:val="20"/>
        </w:rPr>
        <w:t> </w:t>
      </w:r>
      <w:r>
        <w:rPr>
          <w:color w:val="231F20"/>
          <w:spacing w:val="-2"/>
          <w:sz w:val="20"/>
        </w:rPr>
        <w:t>text.</w:t>
      </w:r>
    </w:p>
    <w:p>
      <w:pPr>
        <w:pStyle w:val="ListParagraph"/>
        <w:numPr>
          <w:ilvl w:val="0"/>
          <w:numId w:val="149"/>
        </w:numPr>
        <w:tabs>
          <w:tab w:pos="2659" w:val="left" w:leader="none"/>
        </w:tabs>
        <w:spacing w:line="213" w:lineRule="auto" w:before="52" w:after="0"/>
        <w:ind w:left="2659" w:right="599" w:hanging="427"/>
        <w:jc w:val="left"/>
        <w:rPr>
          <w:rFonts w:ascii="Arial"/>
          <w:color w:val="231F20"/>
          <w:sz w:val="20"/>
        </w:rPr>
      </w:pPr>
      <w:r>
        <w:rPr>
          <w:color w:val="231F20"/>
          <w:sz w:val="20"/>
        </w:rPr>
        <w:t>If you want to insert an attribute name as a variable that will be replaced by</w:t>
      </w:r>
      <w:r>
        <w:rPr>
          <w:color w:val="231F20"/>
          <w:spacing w:val="40"/>
          <w:sz w:val="20"/>
        </w:rPr>
        <w:t> </w:t>
      </w:r>
      <w:r>
        <w:rPr>
          <w:color w:val="231F20"/>
          <w:sz w:val="20"/>
        </w:rPr>
        <w:t>the attribute's current value when the command is invoked, click </w:t>
      </w:r>
      <w:r>
        <w:rPr>
          <w:rFonts w:ascii="Book Antiqua"/>
          <w:b/>
          <w:color w:val="231F20"/>
          <w:sz w:val="20"/>
        </w:rPr>
        <w:t>Insert Attribute </w:t>
      </w:r>
      <w:r>
        <w:rPr>
          <w:color w:val="231F20"/>
          <w:sz w:val="20"/>
        </w:rPr>
        <w:t>and select from the list.</w:t>
      </w:r>
    </w:p>
    <w:p>
      <w:pPr>
        <w:pStyle w:val="ListParagraph"/>
        <w:numPr>
          <w:ilvl w:val="0"/>
          <w:numId w:val="149"/>
        </w:numPr>
        <w:tabs>
          <w:tab w:pos="2659" w:val="left" w:leader="none"/>
        </w:tabs>
        <w:spacing w:line="240" w:lineRule="auto" w:before="35" w:after="0"/>
        <w:ind w:left="2659" w:right="0" w:hanging="427"/>
        <w:jc w:val="left"/>
        <w:rPr>
          <w:rFonts w:ascii="Arial"/>
          <w:color w:val="231F20"/>
          <w:sz w:val="20"/>
        </w:rPr>
      </w:pPr>
      <w:bookmarkStart w:name="Editing a take action command" w:id="542"/>
      <w:bookmarkEnd w:id="542"/>
      <w:r>
        <w:rPr/>
      </w:r>
      <w:r>
        <w:rPr>
          <w:color w:val="231F20"/>
          <w:sz w:val="20"/>
        </w:rPr>
        <w:t>When</w:t>
      </w:r>
      <w:r>
        <w:rPr>
          <w:color w:val="231F20"/>
          <w:spacing w:val="11"/>
          <w:sz w:val="20"/>
        </w:rPr>
        <w:t> </w:t>
      </w:r>
      <w:r>
        <w:rPr>
          <w:color w:val="231F20"/>
          <w:sz w:val="20"/>
        </w:rPr>
        <w:t>you</w:t>
      </w:r>
      <w:r>
        <w:rPr>
          <w:color w:val="231F20"/>
          <w:spacing w:val="11"/>
          <w:sz w:val="20"/>
        </w:rPr>
        <w:t> </w:t>
      </w:r>
      <w:r>
        <w:rPr>
          <w:color w:val="231F20"/>
          <w:sz w:val="20"/>
        </w:rPr>
        <w:t>are</w:t>
      </w:r>
      <w:r>
        <w:rPr>
          <w:color w:val="231F20"/>
          <w:spacing w:val="11"/>
          <w:sz w:val="20"/>
        </w:rPr>
        <w:t> </w:t>
      </w:r>
      <w:r>
        <w:rPr>
          <w:color w:val="231F20"/>
          <w:sz w:val="20"/>
        </w:rPr>
        <w:t>finished</w:t>
      </w:r>
      <w:r>
        <w:rPr>
          <w:color w:val="231F20"/>
          <w:spacing w:val="11"/>
          <w:sz w:val="20"/>
        </w:rPr>
        <w:t> </w:t>
      </w:r>
      <w:r>
        <w:rPr>
          <w:color w:val="231F20"/>
          <w:sz w:val="20"/>
        </w:rPr>
        <w:t>editing</w:t>
      </w:r>
      <w:r>
        <w:rPr>
          <w:color w:val="231F20"/>
          <w:spacing w:val="11"/>
          <w:sz w:val="20"/>
        </w:rPr>
        <w:t> </w:t>
      </w:r>
      <w:r>
        <w:rPr>
          <w:color w:val="231F20"/>
          <w:sz w:val="20"/>
        </w:rPr>
        <w:t>the</w:t>
      </w:r>
      <w:r>
        <w:rPr>
          <w:color w:val="231F20"/>
          <w:spacing w:val="11"/>
          <w:sz w:val="20"/>
        </w:rPr>
        <w:t> </w:t>
      </w:r>
      <w:r>
        <w:rPr>
          <w:color w:val="231F20"/>
          <w:sz w:val="20"/>
        </w:rPr>
        <w:t>command,</w:t>
      </w:r>
      <w:r>
        <w:rPr>
          <w:color w:val="231F20"/>
          <w:spacing w:val="12"/>
          <w:sz w:val="20"/>
        </w:rPr>
        <w:t> </w:t>
      </w:r>
      <w:r>
        <w:rPr>
          <w:color w:val="231F20"/>
          <w:sz w:val="20"/>
        </w:rPr>
        <w:t>click</w:t>
      </w:r>
      <w:r>
        <w:rPr>
          <w:color w:val="231F20"/>
          <w:spacing w:val="11"/>
          <w:sz w:val="20"/>
        </w:rPr>
        <w:t> </w:t>
      </w:r>
      <w:r>
        <w:rPr>
          <w:rFonts w:ascii="Book Antiqua"/>
          <w:b/>
          <w:color w:val="231F20"/>
          <w:sz w:val="20"/>
        </w:rPr>
        <w:t>OK</w:t>
      </w:r>
      <w:r>
        <w:rPr>
          <w:rFonts w:ascii="Book Antiqua"/>
          <w:b/>
          <w:color w:val="231F20"/>
          <w:spacing w:val="11"/>
          <w:sz w:val="20"/>
        </w:rPr>
        <w:t> </w:t>
      </w:r>
      <w:r>
        <w:rPr>
          <w:color w:val="231F20"/>
          <w:sz w:val="20"/>
        </w:rPr>
        <w:t>to</w:t>
      </w:r>
      <w:r>
        <w:rPr>
          <w:color w:val="231F20"/>
          <w:spacing w:val="11"/>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pacing w:val="-2"/>
          <w:sz w:val="20"/>
        </w:rPr>
        <w:t>changes.</w:t>
      </w:r>
    </w:p>
    <w:p>
      <w:pPr>
        <w:pStyle w:val="Heading3"/>
        <w:spacing w:before="211"/>
        <w:ind w:left="1334"/>
      </w:pPr>
      <w:r>
        <w:rPr>
          <w:color w:val="231F20"/>
        </w:rPr>
        <w:t>Editing</w:t>
      </w:r>
      <w:r>
        <w:rPr>
          <w:color w:val="231F20"/>
          <w:spacing w:val="8"/>
        </w:rPr>
        <w:t> </w:t>
      </w:r>
      <w:r>
        <w:rPr>
          <w:color w:val="231F20"/>
        </w:rPr>
        <w:t>a</w:t>
      </w:r>
      <w:r>
        <w:rPr>
          <w:color w:val="231F20"/>
          <w:spacing w:val="9"/>
        </w:rPr>
        <w:t> </w:t>
      </w:r>
      <w:r>
        <w:rPr>
          <w:color w:val="231F20"/>
        </w:rPr>
        <w:t>take</w:t>
      </w:r>
      <w:r>
        <w:rPr>
          <w:color w:val="231F20"/>
          <w:spacing w:val="9"/>
        </w:rPr>
        <w:t> </w:t>
      </w:r>
      <w:r>
        <w:rPr>
          <w:color w:val="231F20"/>
        </w:rPr>
        <w:t>action</w:t>
      </w:r>
      <w:r>
        <w:rPr>
          <w:color w:val="231F20"/>
          <w:spacing w:val="9"/>
        </w:rPr>
        <w:t> </w:t>
      </w:r>
      <w:r>
        <w:rPr>
          <w:color w:val="231F20"/>
          <w:spacing w:val="-2"/>
        </w:rPr>
        <w:t>command</w:t>
      </w:r>
    </w:p>
    <w:p>
      <w:pPr>
        <w:pStyle w:val="BodyText"/>
        <w:spacing w:line="213" w:lineRule="auto" w:before="58"/>
        <w:ind w:left="2232" w:right="636"/>
      </w:pPr>
      <w:r>
        <w:rPr>
          <w:color w:val="231F20"/>
        </w:rPr>
        <w:t>You can open the Edit Action window to see the list of saved take action commands and then select the one that you would like to modify.</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pPr>
      <w:r>
        <w:rPr>
          <w:color w:val="231F20"/>
        </w:rPr>
        <w:t>Your</w:t>
      </w:r>
      <w:r>
        <w:rPr>
          <w:color w:val="231F20"/>
          <w:spacing w:val="9"/>
        </w:rPr>
        <w:t> </w:t>
      </w:r>
      <w:r>
        <w:rPr>
          <w:color w:val="231F20"/>
        </w:rPr>
        <w:t>user</w:t>
      </w:r>
      <w:r>
        <w:rPr>
          <w:color w:val="231F20"/>
          <w:spacing w:val="9"/>
        </w:rPr>
        <w:t> </w:t>
      </w:r>
      <w:r>
        <w:rPr>
          <w:color w:val="231F20"/>
        </w:rPr>
        <w:t>ID</w:t>
      </w:r>
      <w:r>
        <w:rPr>
          <w:color w:val="231F20"/>
          <w:spacing w:val="10"/>
        </w:rPr>
        <w:t> </w:t>
      </w:r>
      <w:r>
        <w:rPr>
          <w:color w:val="231F20"/>
        </w:rPr>
        <w:t>must</w:t>
      </w:r>
      <w:r>
        <w:rPr>
          <w:color w:val="231F20"/>
          <w:spacing w:val="9"/>
        </w:rPr>
        <w:t> </w:t>
      </w:r>
      <w:r>
        <w:rPr>
          <w:color w:val="231F20"/>
        </w:rPr>
        <w:t>have</w:t>
      </w:r>
      <w:r>
        <w:rPr>
          <w:color w:val="231F20"/>
          <w:spacing w:val="9"/>
        </w:rPr>
        <w:t> </w:t>
      </w:r>
      <w:r>
        <w:rPr>
          <w:color w:val="231F20"/>
        </w:rPr>
        <w:t>Modify</w:t>
      </w:r>
      <w:r>
        <w:rPr>
          <w:color w:val="231F20"/>
          <w:spacing w:val="10"/>
        </w:rPr>
        <w:t> </w:t>
      </w:r>
      <w:r>
        <w:rPr>
          <w:color w:val="231F20"/>
        </w:rPr>
        <w:t>permission</w:t>
      </w:r>
      <w:r>
        <w:rPr>
          <w:color w:val="231F20"/>
          <w:spacing w:val="9"/>
        </w:rPr>
        <w:t> </w:t>
      </w:r>
      <w:r>
        <w:rPr>
          <w:color w:val="231F20"/>
        </w:rPr>
        <w:t>for</w:t>
      </w:r>
      <w:r>
        <w:rPr>
          <w:color w:val="231F20"/>
          <w:spacing w:val="9"/>
        </w:rPr>
        <w:t> </w:t>
      </w:r>
      <w:r>
        <w:rPr>
          <w:color w:val="231F20"/>
        </w:rPr>
        <w:t>the</w:t>
      </w:r>
      <w:r>
        <w:rPr>
          <w:color w:val="231F20"/>
          <w:spacing w:val="3"/>
        </w:rPr>
        <w:t> </w:t>
      </w:r>
      <w:r>
        <w:rPr>
          <w:color w:val="231F20"/>
        </w:rPr>
        <w:t>Action</w:t>
      </w:r>
      <w:r>
        <w:rPr>
          <w:color w:val="231F20"/>
          <w:spacing w:val="10"/>
        </w:rPr>
        <w:t> </w:t>
      </w:r>
      <w:r>
        <w:rPr>
          <w:color w:val="231F20"/>
          <w:spacing w:val="-2"/>
        </w:rPr>
        <w:t>feature.</w:t>
      </w:r>
    </w:p>
    <w:p>
      <w:pPr>
        <w:spacing w:after="0"/>
        <w:sectPr>
          <w:pgSz w:w="12240" w:h="15840"/>
          <w:pgMar w:header="0" w:footer="736" w:top="1180" w:bottom="920" w:left="1000" w:right="1060"/>
        </w:sectPr>
      </w:pPr>
    </w:p>
    <w:p>
      <w:pPr>
        <w:pStyle w:val="Heading4"/>
        <w:spacing w:before="86"/>
        <w:ind w:left="2472"/>
      </w:pPr>
      <w:bookmarkStart w:name="_bookmark266" w:id="543"/>
      <w:bookmarkEnd w:id="543"/>
      <w:r>
        <w:rPr>
          <w:b w:val="0"/>
        </w:rPr>
      </w: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Complete</w:t>
      </w:r>
      <w:r>
        <w:rPr>
          <w:color w:val="231F20"/>
          <w:spacing w:val="10"/>
        </w:rPr>
        <w:t> </w:t>
      </w:r>
      <w:r>
        <w:rPr>
          <w:color w:val="231F20"/>
        </w:rPr>
        <w:t>these</w:t>
      </w:r>
      <w:r>
        <w:rPr>
          <w:color w:val="231F20"/>
          <w:spacing w:val="11"/>
        </w:rPr>
        <w:t> </w:t>
      </w:r>
      <w:r>
        <w:rPr>
          <w:color w:val="231F20"/>
        </w:rPr>
        <w:t>steps</w:t>
      </w:r>
      <w:r>
        <w:rPr>
          <w:color w:val="231F20"/>
          <w:spacing w:val="11"/>
        </w:rPr>
        <w:t> </w:t>
      </w:r>
      <w:r>
        <w:rPr>
          <w:color w:val="231F20"/>
        </w:rPr>
        <w:t>to</w:t>
      </w:r>
      <w:r>
        <w:rPr>
          <w:color w:val="231F20"/>
          <w:spacing w:val="10"/>
        </w:rPr>
        <w:t> </w:t>
      </w:r>
      <w:r>
        <w:rPr>
          <w:color w:val="231F20"/>
        </w:rPr>
        <w:t>modify</w:t>
      </w:r>
      <w:r>
        <w:rPr>
          <w:color w:val="231F20"/>
          <w:spacing w:val="11"/>
        </w:rPr>
        <w:t> </w:t>
      </w:r>
      <w:r>
        <w:rPr>
          <w:color w:val="231F20"/>
        </w:rPr>
        <w:t>an</w:t>
      </w:r>
      <w:r>
        <w:rPr>
          <w:color w:val="231F20"/>
          <w:spacing w:val="11"/>
        </w:rPr>
        <w:t> </w:t>
      </w:r>
      <w:r>
        <w:rPr>
          <w:color w:val="231F20"/>
        </w:rPr>
        <w:t>existing</w:t>
      </w:r>
      <w:r>
        <w:rPr>
          <w:color w:val="231F20"/>
          <w:spacing w:val="10"/>
        </w:rPr>
        <w:t> </w:t>
      </w:r>
      <w:r>
        <w:rPr>
          <w:color w:val="231F20"/>
        </w:rPr>
        <w:t>take</w:t>
      </w:r>
      <w:r>
        <w:rPr>
          <w:color w:val="231F20"/>
          <w:spacing w:val="11"/>
        </w:rPr>
        <w:t> </w:t>
      </w:r>
      <w:r>
        <w:rPr>
          <w:color w:val="231F20"/>
        </w:rPr>
        <w:t>action</w:t>
      </w:r>
      <w:r>
        <w:rPr>
          <w:color w:val="231F20"/>
          <w:spacing w:val="11"/>
        </w:rPr>
        <w:t> </w:t>
      </w:r>
      <w:r>
        <w:rPr>
          <w:color w:val="231F20"/>
        </w:rPr>
        <w:t>command</w:t>
      </w:r>
      <w:r>
        <w:rPr>
          <w:color w:val="231F20"/>
          <w:spacing w:val="11"/>
        </w:rPr>
        <w:t> </w:t>
      </w:r>
      <w:r>
        <w:rPr>
          <w:color w:val="231F20"/>
          <w:spacing w:val="-2"/>
        </w:rPr>
        <w:t>definition.</w:t>
      </w:r>
    </w:p>
    <w:p>
      <w:pPr>
        <w:pStyle w:val="Heading4"/>
        <w:spacing w:before="194"/>
        <w:ind w:left="2472"/>
      </w:pPr>
      <w:r>
        <w:rPr>
          <w:color w:val="231F20"/>
          <w:spacing w:val="-2"/>
        </w:rPr>
        <w:t>Procedure</w:t>
      </w:r>
    </w:p>
    <w:p>
      <w:pPr>
        <w:pStyle w:val="ListParagraph"/>
        <w:numPr>
          <w:ilvl w:val="1"/>
          <w:numId w:val="149"/>
        </w:numPr>
        <w:tabs>
          <w:tab w:pos="2788" w:val="left" w:leader="none"/>
        </w:tabs>
        <w:spacing w:line="213" w:lineRule="auto" w:before="62" w:after="0"/>
        <w:ind w:left="2788" w:right="255" w:hanging="316"/>
        <w:jc w:val="left"/>
        <w:rPr>
          <w:rFonts w:ascii="Arial"/>
          <w:color w:val="231F20"/>
          <w:sz w:val="20"/>
        </w:rPr>
      </w:pPr>
      <w:r>
        <w:rPr>
          <w:color w:val="231F20"/>
          <w:sz w:val="20"/>
        </w:rPr>
        <w:t>Select a Navigator item associated with the application or system on which </w:t>
      </w:r>
      <w:r>
        <w:rPr>
          <w:color w:val="231F20"/>
          <w:sz w:val="20"/>
        </w:rPr>
        <w:t>the command can be run.</w:t>
      </w:r>
    </w:p>
    <w:p>
      <w:pPr>
        <w:pStyle w:val="ListParagraph"/>
        <w:numPr>
          <w:ilvl w:val="1"/>
          <w:numId w:val="149"/>
        </w:numPr>
        <w:tabs>
          <w:tab w:pos="2788" w:val="left" w:leader="none"/>
        </w:tabs>
        <w:spacing w:line="213" w:lineRule="auto" w:before="59" w:after="0"/>
        <w:ind w:left="2788" w:right="352" w:hanging="316"/>
        <w:jc w:val="left"/>
        <w:rPr>
          <w:rFonts w:ascii="Arial"/>
          <w:color w:val="231F20"/>
          <w:sz w:val="20"/>
        </w:rPr>
      </w:pPr>
      <w:r>
        <w:rPr>
          <w:color w:val="231F20"/>
          <w:sz w:val="20"/>
        </w:rPr>
        <w:t>Right-click the Navigator item or a data point, row, or object in a query-based </w:t>
      </w:r>
      <w:r>
        <w:rPr>
          <w:color w:val="231F20"/>
          <w:spacing w:val="-2"/>
          <w:sz w:val="20"/>
        </w:rPr>
        <w:t>view.</w:t>
      </w:r>
    </w:p>
    <w:p>
      <w:pPr>
        <w:pStyle w:val="ListParagraph"/>
        <w:numPr>
          <w:ilvl w:val="1"/>
          <w:numId w:val="149"/>
        </w:numPr>
        <w:tabs>
          <w:tab w:pos="2788" w:val="left" w:leader="none"/>
        </w:tabs>
        <w:spacing w:line="206" w:lineRule="auto" w:before="71" w:after="0"/>
        <w:ind w:left="2788" w:right="777" w:hanging="316"/>
        <w:jc w:val="left"/>
        <w:rPr>
          <w:rFonts w:ascii="Arial"/>
          <w:color w:val="231F20"/>
          <w:position w:val="1"/>
          <w:sz w:val="20"/>
        </w:rPr>
      </w:pPr>
      <w:r>
        <w:rPr>
          <w:color w:val="231F20"/>
          <w:position w:val="1"/>
          <w:sz w:val="20"/>
        </w:rPr>
        <w:t>Click </w:t>
      </w:r>
      <w:r>
        <w:rPr>
          <w:rFonts w:ascii="Book Antiqua"/>
          <w:b/>
          <w:color w:val="231F20"/>
          <w:position w:val="1"/>
          <w:sz w:val="20"/>
        </w:rPr>
        <w:t>Take Action </w:t>
      </w:r>
      <w:r>
        <w:rPr>
          <w:color w:val="231F20"/>
          <w:position w:val="1"/>
          <w:sz w:val="20"/>
        </w:rPr>
        <w:t>&gt;</w:t>
      </w:r>
      <w:r>
        <w:rPr>
          <w:color w:val="231F20"/>
          <w:spacing w:val="29"/>
          <w:position w:val="1"/>
          <w:sz w:val="20"/>
        </w:rPr>
        <w:t> </w:t>
      </w:r>
      <w:r>
        <w:rPr>
          <w:color w:val="231F20"/>
          <w:spacing w:val="-15"/>
          <w:sz w:val="20"/>
        </w:rPr>
        <w:drawing>
          <wp:inline distT="0" distB="0" distL="0" distR="0">
            <wp:extent cx="76200" cy="95250"/>
            <wp:effectExtent l="0" t="0" r="0" b="0"/>
            <wp:docPr id="2834" name="Image 2834"/>
            <wp:cNvGraphicFramePr>
              <a:graphicFrameLocks/>
            </wp:cNvGraphicFramePr>
            <a:graphic>
              <a:graphicData uri="http://schemas.openxmlformats.org/drawingml/2006/picture">
                <pic:pic>
                  <pic:nvPicPr>
                    <pic:cNvPr id="2834" name="Image 2834"/>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5"/>
          <w:sz w:val="20"/>
        </w:rPr>
      </w:r>
      <w:r>
        <w:rPr>
          <w:rFonts w:ascii="Times New Roman"/>
          <w:color w:val="231F20"/>
          <w:spacing w:val="80"/>
          <w:position w:val="1"/>
          <w:sz w:val="20"/>
        </w:rPr>
        <w:t> </w:t>
      </w:r>
      <w:r>
        <w:rPr>
          <w:rFonts w:ascii="Book Antiqua"/>
          <w:b/>
          <w:color w:val="231F20"/>
          <w:position w:val="1"/>
          <w:sz w:val="20"/>
        </w:rPr>
        <w:t>Create or Edit</w:t>
      </w:r>
      <w:r>
        <w:rPr>
          <w:color w:val="231F20"/>
          <w:position w:val="1"/>
          <w:sz w:val="20"/>
        </w:rPr>
        <w:t>. The Edit Action and Select </w:t>
      </w:r>
      <w:r>
        <w:rPr>
          <w:color w:val="231F20"/>
          <w:position w:val="1"/>
          <w:sz w:val="20"/>
        </w:rPr>
        <w:t>Action </w:t>
      </w:r>
      <w:r>
        <w:rPr>
          <w:color w:val="231F20"/>
          <w:sz w:val="20"/>
        </w:rPr>
        <w:t>windows open.</w:t>
      </w:r>
    </w:p>
    <w:p>
      <w:pPr>
        <w:pStyle w:val="ListParagraph"/>
        <w:numPr>
          <w:ilvl w:val="1"/>
          <w:numId w:val="149"/>
        </w:numPr>
        <w:tabs>
          <w:tab w:pos="2787" w:val="left" w:leader="none"/>
        </w:tabs>
        <w:spacing w:line="240" w:lineRule="auto" w:before="39" w:after="0"/>
        <w:ind w:left="2787" w:right="0" w:hanging="315"/>
        <w:jc w:val="left"/>
        <w:rPr>
          <w:rFonts w:ascii="Arial"/>
          <w:color w:val="231F20"/>
          <w:sz w:val="20"/>
        </w:rPr>
      </w:pPr>
      <w:r>
        <w:rPr>
          <w:color w:val="231F20"/>
          <w:sz w:val="20"/>
        </w:rPr>
        <w:t>Select</w:t>
      </w:r>
      <w:r>
        <w:rPr>
          <w:color w:val="231F20"/>
          <w:spacing w:val="11"/>
          <w:sz w:val="20"/>
        </w:rPr>
        <w:t> </w:t>
      </w:r>
      <w:r>
        <w:rPr>
          <w:color w:val="231F20"/>
          <w:sz w:val="20"/>
        </w:rPr>
        <w:t>a</w:t>
      </w:r>
      <w:r>
        <w:rPr>
          <w:color w:val="231F20"/>
          <w:spacing w:val="12"/>
          <w:sz w:val="20"/>
        </w:rPr>
        <w:t> </w:t>
      </w:r>
      <w:r>
        <w:rPr>
          <w:color w:val="231F20"/>
          <w:sz w:val="20"/>
        </w:rPr>
        <w:t>name</w:t>
      </w:r>
      <w:r>
        <w:rPr>
          <w:color w:val="231F20"/>
          <w:spacing w:val="12"/>
          <w:sz w:val="20"/>
        </w:rPr>
        <w:t> </w:t>
      </w:r>
      <w:r>
        <w:rPr>
          <w:color w:val="231F20"/>
          <w:sz w:val="20"/>
        </w:rPr>
        <w:t>from</w:t>
      </w:r>
      <w:r>
        <w:rPr>
          <w:color w:val="231F20"/>
          <w:spacing w:val="12"/>
          <w:sz w:val="20"/>
        </w:rPr>
        <w:t> </w:t>
      </w:r>
      <w:r>
        <w:rPr>
          <w:color w:val="231F20"/>
          <w:sz w:val="20"/>
        </w:rPr>
        <w:t>the</w:t>
      </w:r>
      <w:r>
        <w:rPr>
          <w:color w:val="231F20"/>
          <w:spacing w:val="12"/>
          <w:sz w:val="20"/>
        </w:rPr>
        <w:t> </w:t>
      </w:r>
      <w:r>
        <w:rPr>
          <w:color w:val="231F20"/>
          <w:sz w:val="20"/>
        </w:rPr>
        <w:t>list</w:t>
      </w:r>
      <w:r>
        <w:rPr>
          <w:color w:val="231F20"/>
          <w:spacing w:val="12"/>
          <w:sz w:val="20"/>
        </w:rPr>
        <w:t> </w:t>
      </w:r>
      <w:r>
        <w:rPr>
          <w:color w:val="231F20"/>
          <w:sz w:val="20"/>
        </w:rPr>
        <w:t>and</w:t>
      </w:r>
      <w:r>
        <w:rPr>
          <w:color w:val="231F20"/>
          <w:spacing w:val="12"/>
          <w:sz w:val="20"/>
        </w:rPr>
        <w:t> </w:t>
      </w:r>
      <w:r>
        <w:rPr>
          <w:color w:val="231F20"/>
          <w:sz w:val="20"/>
        </w:rPr>
        <w:t>click</w:t>
      </w:r>
      <w:r>
        <w:rPr>
          <w:color w:val="231F20"/>
          <w:spacing w:val="12"/>
          <w:sz w:val="20"/>
        </w:rPr>
        <w:t> </w:t>
      </w:r>
      <w:r>
        <w:rPr>
          <w:rFonts w:ascii="Book Antiqua"/>
          <w:b/>
          <w:color w:val="231F20"/>
          <w:spacing w:val="-5"/>
          <w:sz w:val="20"/>
        </w:rPr>
        <w:t>OK</w:t>
      </w:r>
      <w:r>
        <w:rPr>
          <w:color w:val="231F20"/>
          <w:spacing w:val="-5"/>
          <w:sz w:val="20"/>
        </w:rPr>
        <w:t>.</w:t>
      </w:r>
    </w:p>
    <w:p>
      <w:pPr>
        <w:pStyle w:val="ListParagraph"/>
        <w:numPr>
          <w:ilvl w:val="1"/>
          <w:numId w:val="149"/>
        </w:numPr>
        <w:tabs>
          <w:tab w:pos="2787" w:val="left" w:leader="none"/>
        </w:tabs>
        <w:spacing w:line="240" w:lineRule="auto" w:before="29" w:after="0"/>
        <w:ind w:left="2787" w:right="0" w:hanging="315"/>
        <w:jc w:val="left"/>
        <w:rPr>
          <w:rFonts w:ascii="Arial"/>
          <w:color w:val="231F20"/>
          <w:sz w:val="20"/>
        </w:rPr>
      </w:pPr>
      <w:r>
        <w:rPr>
          <w:color w:val="231F20"/>
          <w:sz w:val="20"/>
        </w:rPr>
        <w:t>In</w:t>
      </w:r>
      <w:r>
        <w:rPr>
          <w:color w:val="231F20"/>
          <w:spacing w:val="9"/>
          <w:sz w:val="20"/>
        </w:rPr>
        <w:t> </w:t>
      </w:r>
      <w:r>
        <w:rPr>
          <w:color w:val="231F20"/>
          <w:sz w:val="20"/>
        </w:rPr>
        <w:t>the</w:t>
      </w:r>
      <w:r>
        <w:rPr>
          <w:color w:val="231F20"/>
          <w:spacing w:val="9"/>
          <w:sz w:val="20"/>
        </w:rPr>
        <w:t> </w:t>
      </w:r>
      <w:r>
        <w:rPr>
          <w:color w:val="231F20"/>
          <w:sz w:val="20"/>
        </w:rPr>
        <w:t>Edit</w:t>
      </w:r>
      <w:r>
        <w:rPr>
          <w:color w:val="231F20"/>
          <w:spacing w:val="3"/>
          <w:sz w:val="20"/>
        </w:rPr>
        <w:t> </w:t>
      </w:r>
      <w:r>
        <w:rPr>
          <w:color w:val="231F20"/>
          <w:sz w:val="20"/>
        </w:rPr>
        <w:t>Action</w:t>
      </w:r>
      <w:r>
        <w:rPr>
          <w:color w:val="231F20"/>
          <w:spacing w:val="10"/>
          <w:sz w:val="20"/>
        </w:rPr>
        <w:t> </w:t>
      </w:r>
      <w:r>
        <w:rPr>
          <w:color w:val="231F20"/>
          <w:sz w:val="20"/>
        </w:rPr>
        <w:t>window,</w:t>
      </w:r>
      <w:r>
        <w:rPr>
          <w:color w:val="231F20"/>
          <w:spacing w:val="9"/>
          <w:sz w:val="20"/>
        </w:rPr>
        <w:t> </w:t>
      </w:r>
      <w:r>
        <w:rPr>
          <w:color w:val="231F20"/>
          <w:sz w:val="20"/>
        </w:rPr>
        <w:t>edit</w:t>
      </w:r>
      <w:r>
        <w:rPr>
          <w:color w:val="231F20"/>
          <w:spacing w:val="10"/>
          <w:sz w:val="20"/>
        </w:rPr>
        <w:t> </w:t>
      </w:r>
      <w:r>
        <w:rPr>
          <w:color w:val="231F20"/>
          <w:sz w:val="20"/>
        </w:rPr>
        <w:t>the</w:t>
      </w:r>
      <w:r>
        <w:rPr>
          <w:color w:val="231F20"/>
          <w:spacing w:val="9"/>
          <w:sz w:val="20"/>
        </w:rPr>
        <w:t> </w:t>
      </w:r>
      <w:r>
        <w:rPr>
          <w:color w:val="231F20"/>
          <w:sz w:val="20"/>
        </w:rPr>
        <w:t>command</w:t>
      </w:r>
      <w:r>
        <w:rPr>
          <w:color w:val="231F20"/>
          <w:spacing w:val="9"/>
          <w:sz w:val="20"/>
        </w:rPr>
        <w:t> </w:t>
      </w:r>
      <w:r>
        <w:rPr>
          <w:color w:val="231F20"/>
          <w:sz w:val="20"/>
        </w:rPr>
        <w:t>name,</w:t>
      </w:r>
      <w:r>
        <w:rPr>
          <w:color w:val="231F20"/>
          <w:spacing w:val="10"/>
          <w:sz w:val="20"/>
        </w:rPr>
        <w:t> </w:t>
      </w:r>
      <w:r>
        <w:rPr>
          <w:color w:val="231F20"/>
          <w:sz w:val="20"/>
        </w:rPr>
        <w:t>description,</w:t>
      </w:r>
      <w:r>
        <w:rPr>
          <w:color w:val="231F20"/>
          <w:spacing w:val="9"/>
          <w:sz w:val="20"/>
        </w:rPr>
        <w:t> </w:t>
      </w:r>
      <w:r>
        <w:rPr>
          <w:color w:val="231F20"/>
          <w:sz w:val="20"/>
        </w:rPr>
        <w:t>type,</w:t>
      </w:r>
      <w:r>
        <w:rPr>
          <w:color w:val="231F20"/>
          <w:spacing w:val="10"/>
          <w:sz w:val="20"/>
        </w:rPr>
        <w:t> </w:t>
      </w:r>
      <w:r>
        <w:rPr>
          <w:color w:val="231F20"/>
          <w:sz w:val="20"/>
        </w:rPr>
        <w:t>or</w:t>
      </w:r>
      <w:r>
        <w:rPr>
          <w:color w:val="231F20"/>
          <w:spacing w:val="9"/>
          <w:sz w:val="20"/>
        </w:rPr>
        <w:t> </w:t>
      </w:r>
      <w:r>
        <w:rPr>
          <w:color w:val="231F20"/>
          <w:spacing w:val="-2"/>
          <w:sz w:val="20"/>
        </w:rPr>
        <w:t>text.</w:t>
      </w:r>
    </w:p>
    <w:p>
      <w:pPr>
        <w:pStyle w:val="ListParagraph"/>
        <w:numPr>
          <w:ilvl w:val="1"/>
          <w:numId w:val="149"/>
        </w:numPr>
        <w:tabs>
          <w:tab w:pos="2788" w:val="left" w:leader="none"/>
        </w:tabs>
        <w:spacing w:line="213" w:lineRule="auto" w:before="53" w:after="0"/>
        <w:ind w:left="2788" w:right="471" w:hanging="316"/>
        <w:jc w:val="left"/>
        <w:rPr>
          <w:rFonts w:ascii="Arial"/>
          <w:color w:val="231F20"/>
          <w:sz w:val="20"/>
        </w:rPr>
      </w:pPr>
      <w:r>
        <w:rPr>
          <w:color w:val="231F20"/>
          <w:sz w:val="20"/>
        </w:rPr>
        <w:t>If you want to insert an attribute name as a variable that will be replaced by</w:t>
      </w:r>
      <w:r>
        <w:rPr>
          <w:color w:val="231F20"/>
          <w:spacing w:val="40"/>
          <w:sz w:val="20"/>
        </w:rPr>
        <w:t> </w:t>
      </w:r>
      <w:r>
        <w:rPr>
          <w:color w:val="231F20"/>
          <w:sz w:val="20"/>
        </w:rPr>
        <w:t>the attribute's current value when the command is invoked, click </w:t>
      </w:r>
      <w:r>
        <w:rPr>
          <w:rFonts w:ascii="Book Antiqua"/>
          <w:b/>
          <w:color w:val="231F20"/>
          <w:sz w:val="20"/>
        </w:rPr>
        <w:t>Insert Attribute </w:t>
      </w:r>
      <w:r>
        <w:rPr>
          <w:color w:val="231F20"/>
          <w:sz w:val="20"/>
        </w:rPr>
        <w:t>and select from the list.</w:t>
      </w:r>
    </w:p>
    <w:p>
      <w:pPr>
        <w:pStyle w:val="ListParagraph"/>
        <w:numPr>
          <w:ilvl w:val="1"/>
          <w:numId w:val="149"/>
        </w:numPr>
        <w:tabs>
          <w:tab w:pos="2787" w:val="left" w:leader="none"/>
        </w:tabs>
        <w:spacing w:line="240" w:lineRule="auto" w:before="35" w:after="0"/>
        <w:ind w:left="2787" w:right="0" w:hanging="315"/>
        <w:jc w:val="left"/>
        <w:rPr>
          <w:rFonts w:ascii="Arial"/>
          <w:color w:val="231F20"/>
          <w:sz w:val="20"/>
        </w:rPr>
      </w:pPr>
      <w:r>
        <w:rPr>
          <w:color w:val="231F20"/>
          <w:sz w:val="20"/>
        </w:rPr>
        <w:t>When</w:t>
      </w:r>
      <w:r>
        <w:rPr>
          <w:color w:val="231F20"/>
          <w:spacing w:val="11"/>
          <w:sz w:val="20"/>
        </w:rPr>
        <w:t> </w:t>
      </w:r>
      <w:r>
        <w:rPr>
          <w:color w:val="231F20"/>
          <w:sz w:val="20"/>
        </w:rPr>
        <w:t>you</w:t>
      </w:r>
      <w:r>
        <w:rPr>
          <w:color w:val="231F20"/>
          <w:spacing w:val="11"/>
          <w:sz w:val="20"/>
        </w:rPr>
        <w:t> </w:t>
      </w:r>
      <w:r>
        <w:rPr>
          <w:color w:val="231F20"/>
          <w:sz w:val="20"/>
        </w:rPr>
        <w:t>are</w:t>
      </w:r>
      <w:r>
        <w:rPr>
          <w:color w:val="231F20"/>
          <w:spacing w:val="11"/>
          <w:sz w:val="20"/>
        </w:rPr>
        <w:t> </w:t>
      </w:r>
      <w:r>
        <w:rPr>
          <w:color w:val="231F20"/>
          <w:sz w:val="20"/>
        </w:rPr>
        <w:t>finished</w:t>
      </w:r>
      <w:r>
        <w:rPr>
          <w:color w:val="231F20"/>
          <w:spacing w:val="11"/>
          <w:sz w:val="20"/>
        </w:rPr>
        <w:t> </w:t>
      </w:r>
      <w:r>
        <w:rPr>
          <w:color w:val="231F20"/>
          <w:sz w:val="20"/>
        </w:rPr>
        <w:t>editing</w:t>
      </w:r>
      <w:r>
        <w:rPr>
          <w:color w:val="231F20"/>
          <w:spacing w:val="11"/>
          <w:sz w:val="20"/>
        </w:rPr>
        <w:t> </w:t>
      </w:r>
      <w:r>
        <w:rPr>
          <w:color w:val="231F20"/>
          <w:sz w:val="20"/>
        </w:rPr>
        <w:t>the</w:t>
      </w:r>
      <w:r>
        <w:rPr>
          <w:color w:val="231F20"/>
          <w:spacing w:val="11"/>
          <w:sz w:val="20"/>
        </w:rPr>
        <w:t> </w:t>
      </w:r>
      <w:r>
        <w:rPr>
          <w:color w:val="231F20"/>
          <w:sz w:val="20"/>
        </w:rPr>
        <w:t>command,</w:t>
      </w:r>
      <w:r>
        <w:rPr>
          <w:color w:val="231F20"/>
          <w:spacing w:val="12"/>
          <w:sz w:val="20"/>
        </w:rPr>
        <w:t> </w:t>
      </w:r>
      <w:r>
        <w:rPr>
          <w:color w:val="231F20"/>
          <w:sz w:val="20"/>
        </w:rPr>
        <w:t>click</w:t>
      </w:r>
      <w:r>
        <w:rPr>
          <w:color w:val="231F20"/>
          <w:spacing w:val="11"/>
          <w:sz w:val="20"/>
        </w:rPr>
        <w:t> </w:t>
      </w:r>
      <w:r>
        <w:rPr>
          <w:rFonts w:ascii="Book Antiqua"/>
          <w:b/>
          <w:color w:val="231F20"/>
          <w:sz w:val="20"/>
        </w:rPr>
        <w:t>OK</w:t>
      </w:r>
      <w:r>
        <w:rPr>
          <w:rFonts w:ascii="Book Antiqua"/>
          <w:b/>
          <w:color w:val="231F20"/>
          <w:spacing w:val="11"/>
          <w:sz w:val="20"/>
        </w:rPr>
        <w:t> </w:t>
      </w:r>
      <w:r>
        <w:rPr>
          <w:color w:val="231F20"/>
          <w:sz w:val="20"/>
        </w:rPr>
        <w:t>to</w:t>
      </w:r>
      <w:r>
        <w:rPr>
          <w:color w:val="231F20"/>
          <w:spacing w:val="11"/>
          <w:sz w:val="20"/>
        </w:rPr>
        <w:t> </w:t>
      </w:r>
      <w:r>
        <w:rPr>
          <w:color w:val="231F20"/>
          <w:sz w:val="20"/>
        </w:rPr>
        <w:t>save</w:t>
      </w:r>
      <w:r>
        <w:rPr>
          <w:color w:val="231F20"/>
          <w:spacing w:val="11"/>
          <w:sz w:val="20"/>
        </w:rPr>
        <w:t> </w:t>
      </w:r>
      <w:r>
        <w:rPr>
          <w:color w:val="231F20"/>
          <w:sz w:val="20"/>
        </w:rPr>
        <w:t>your</w:t>
      </w:r>
      <w:r>
        <w:rPr>
          <w:color w:val="231F20"/>
          <w:spacing w:val="11"/>
          <w:sz w:val="20"/>
        </w:rPr>
        <w:t> </w:t>
      </w:r>
      <w:r>
        <w:rPr>
          <w:color w:val="231F20"/>
          <w:spacing w:val="-2"/>
          <w:sz w:val="20"/>
        </w:rPr>
        <w:t>changes.</w:t>
      </w:r>
    </w:p>
    <w:p>
      <w:pPr>
        <w:pStyle w:val="Heading3"/>
        <w:spacing w:before="211"/>
        <w:ind w:left="1574"/>
      </w:pPr>
      <w:bookmarkStart w:name="Sending a take action command" w:id="544"/>
      <w:bookmarkEnd w:id="544"/>
      <w:r>
        <w:rPr>
          <w:b w:val="0"/>
        </w:rPr>
      </w:r>
      <w:r>
        <w:rPr>
          <w:color w:val="231F20"/>
        </w:rPr>
        <w:t>Sending</w:t>
      </w:r>
      <w:r>
        <w:rPr>
          <w:color w:val="231F20"/>
          <w:spacing w:val="8"/>
        </w:rPr>
        <w:t> </w:t>
      </w:r>
      <w:r>
        <w:rPr>
          <w:color w:val="231F20"/>
        </w:rPr>
        <w:t>a</w:t>
      </w:r>
      <w:r>
        <w:rPr>
          <w:color w:val="231F20"/>
          <w:spacing w:val="8"/>
        </w:rPr>
        <w:t> </w:t>
      </w:r>
      <w:r>
        <w:rPr>
          <w:color w:val="231F20"/>
        </w:rPr>
        <w:t>take</w:t>
      </w:r>
      <w:r>
        <w:rPr>
          <w:color w:val="231F20"/>
          <w:spacing w:val="9"/>
        </w:rPr>
        <w:t> </w:t>
      </w:r>
      <w:r>
        <w:rPr>
          <w:color w:val="231F20"/>
        </w:rPr>
        <w:t>action</w:t>
      </w:r>
      <w:r>
        <w:rPr>
          <w:color w:val="231F20"/>
          <w:spacing w:val="8"/>
        </w:rPr>
        <w:t> </w:t>
      </w:r>
      <w:r>
        <w:rPr>
          <w:color w:val="231F20"/>
          <w:spacing w:val="-2"/>
        </w:rPr>
        <w:t>command</w:t>
      </w:r>
    </w:p>
    <w:p>
      <w:pPr>
        <w:pStyle w:val="BodyText"/>
        <w:spacing w:line="213" w:lineRule="auto" w:before="58"/>
        <w:ind w:left="2472" w:right="385"/>
      </w:pPr>
      <w:r>
        <w:rPr>
          <w:color w:val="231F20"/>
        </w:rPr>
        <w:t>You can use the take action feature to initiate a command on a managed system in your monitored enterprise. For example, you can restart a process that is not functioning properly or you can send a message.</w:t>
      </w:r>
    </w:p>
    <w:p>
      <w:pPr>
        <w:pStyle w:val="Heading4"/>
        <w:spacing w:before="199"/>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8"/>
        </w:rPr>
        <w:t> </w:t>
      </w:r>
      <w:r>
        <w:rPr>
          <w:color w:val="231F20"/>
        </w:rPr>
        <w:t>user</w:t>
      </w:r>
      <w:r>
        <w:rPr>
          <w:color w:val="231F20"/>
          <w:spacing w:val="8"/>
        </w:rPr>
        <w:t> </w:t>
      </w:r>
      <w:r>
        <w:rPr>
          <w:color w:val="231F20"/>
        </w:rPr>
        <w:t>ID</w:t>
      </w:r>
      <w:r>
        <w:rPr>
          <w:color w:val="231F20"/>
          <w:spacing w:val="9"/>
        </w:rPr>
        <w:t> </w:t>
      </w:r>
      <w:r>
        <w:rPr>
          <w:color w:val="231F20"/>
        </w:rPr>
        <w:t>must</w:t>
      </w:r>
      <w:r>
        <w:rPr>
          <w:color w:val="231F20"/>
          <w:spacing w:val="8"/>
        </w:rPr>
        <w:t> </w:t>
      </w:r>
      <w:r>
        <w:rPr>
          <w:color w:val="231F20"/>
        </w:rPr>
        <w:t>have</w:t>
      </w:r>
      <w:r>
        <w:rPr>
          <w:color w:val="231F20"/>
          <w:spacing w:val="9"/>
        </w:rPr>
        <w:t> </w:t>
      </w:r>
      <w:r>
        <w:rPr>
          <w:color w:val="231F20"/>
        </w:rPr>
        <w:t>View</w:t>
      </w:r>
      <w:r>
        <w:rPr>
          <w:color w:val="231F20"/>
          <w:spacing w:val="8"/>
        </w:rPr>
        <w:t> </w:t>
      </w:r>
      <w:r>
        <w:rPr>
          <w:color w:val="231F20"/>
        </w:rPr>
        <w:t>permission</w:t>
      </w:r>
      <w:r>
        <w:rPr>
          <w:color w:val="231F20"/>
          <w:spacing w:val="9"/>
        </w:rPr>
        <w:t> </w:t>
      </w:r>
      <w:r>
        <w:rPr>
          <w:color w:val="231F20"/>
        </w:rPr>
        <w:t>for</w:t>
      </w:r>
      <w:r>
        <w:rPr>
          <w:color w:val="231F20"/>
          <w:spacing w:val="8"/>
        </w:rPr>
        <w:t> </w:t>
      </w:r>
      <w:r>
        <w:rPr>
          <w:color w:val="231F20"/>
        </w:rPr>
        <w:t>the</w:t>
      </w:r>
      <w:r>
        <w:rPr>
          <w:color w:val="231F20"/>
          <w:spacing w:val="2"/>
        </w:rPr>
        <w:t> </w:t>
      </w:r>
      <w:r>
        <w:rPr>
          <w:color w:val="231F20"/>
        </w:rPr>
        <w:t>Action</w:t>
      </w:r>
      <w:r>
        <w:rPr>
          <w:color w:val="231F20"/>
          <w:spacing w:val="9"/>
        </w:rPr>
        <w:t> </w:t>
      </w:r>
      <w:r>
        <w:rPr>
          <w:color w:val="231F20"/>
          <w:spacing w:val="-2"/>
        </w:rPr>
        <w:t>feature.</w:t>
      </w:r>
    </w:p>
    <w:p>
      <w:pPr>
        <w:pStyle w:val="BodyText"/>
        <w:spacing w:line="213" w:lineRule="auto" w:before="233"/>
        <w:ind w:left="2472" w:right="545"/>
      </w:pPr>
      <w:r>
        <w:rPr>
          <w:color w:val="231F20"/>
        </w:rPr>
        <w:t>Your user ID must be identifiable and authorized on the computer where </w:t>
      </w:r>
      <w:r>
        <w:rPr>
          <w:color w:val="231F20"/>
        </w:rPr>
        <w:t>the action will take place.</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472"/>
      </w:pPr>
      <w:r>
        <w:rPr>
          <w:color w:val="231F20"/>
        </w:rPr>
        <w:t>To</w:t>
      </w:r>
      <w:r>
        <w:rPr>
          <w:color w:val="231F20"/>
          <w:spacing w:val="8"/>
        </w:rPr>
        <w:t> </w:t>
      </w:r>
      <w:r>
        <w:rPr>
          <w:color w:val="231F20"/>
        </w:rPr>
        <w:t>send</w:t>
      </w:r>
      <w:r>
        <w:rPr>
          <w:color w:val="231F20"/>
          <w:spacing w:val="9"/>
        </w:rPr>
        <w:t> </w:t>
      </w:r>
      <w:r>
        <w:rPr>
          <w:color w:val="231F20"/>
        </w:rPr>
        <w:t>a</w:t>
      </w:r>
      <w:r>
        <w:rPr>
          <w:color w:val="231F20"/>
          <w:spacing w:val="9"/>
        </w:rPr>
        <w:t> </w:t>
      </w:r>
      <w:r>
        <w:rPr>
          <w:color w:val="231F20"/>
        </w:rPr>
        <w:t>take</w:t>
      </w:r>
      <w:r>
        <w:rPr>
          <w:color w:val="231F20"/>
          <w:spacing w:val="9"/>
        </w:rPr>
        <w:t> </w:t>
      </w:r>
      <w:r>
        <w:rPr>
          <w:color w:val="231F20"/>
        </w:rPr>
        <w:t>action</w:t>
      </w:r>
      <w:r>
        <w:rPr>
          <w:color w:val="231F20"/>
          <w:spacing w:val="8"/>
        </w:rPr>
        <w:t> </w:t>
      </w:r>
      <w:r>
        <w:rPr>
          <w:color w:val="231F20"/>
        </w:rPr>
        <w:t>command,</w:t>
      </w:r>
      <w:r>
        <w:rPr>
          <w:color w:val="231F20"/>
          <w:spacing w:val="9"/>
        </w:rPr>
        <w:t> </w:t>
      </w:r>
      <w:r>
        <w:rPr>
          <w:color w:val="231F20"/>
        </w:rPr>
        <w:t>complete</w:t>
      </w:r>
      <w:r>
        <w:rPr>
          <w:color w:val="231F20"/>
          <w:spacing w:val="9"/>
        </w:rPr>
        <w:t> </w:t>
      </w:r>
      <w:r>
        <w:rPr>
          <w:color w:val="231F20"/>
        </w:rPr>
        <w:t>these</w:t>
      </w:r>
      <w:r>
        <w:rPr>
          <w:color w:val="231F20"/>
          <w:spacing w:val="9"/>
        </w:rPr>
        <w:t> </w:t>
      </w:r>
      <w:r>
        <w:rPr>
          <w:color w:val="231F20"/>
          <w:spacing w:val="-2"/>
        </w:rPr>
        <w:t>steps:</w:t>
      </w:r>
    </w:p>
    <w:p>
      <w:pPr>
        <w:pStyle w:val="Heading4"/>
        <w:spacing w:before="194"/>
        <w:ind w:left="2472"/>
      </w:pPr>
      <w:r>
        <w:rPr>
          <w:color w:val="231F20"/>
          <w:spacing w:val="-2"/>
        </w:rPr>
        <w:t>Procedure</w:t>
      </w:r>
    </w:p>
    <w:p>
      <w:pPr>
        <w:pStyle w:val="ListParagraph"/>
        <w:numPr>
          <w:ilvl w:val="0"/>
          <w:numId w:val="150"/>
        </w:numPr>
        <w:tabs>
          <w:tab w:pos="2787" w:val="left" w:leader="none"/>
        </w:tabs>
        <w:spacing w:line="240" w:lineRule="auto" w:before="38" w:after="0"/>
        <w:ind w:left="2787" w:right="0" w:hanging="315"/>
        <w:jc w:val="left"/>
        <w:rPr>
          <w:rFonts w:ascii="Arial"/>
          <w:color w:val="231F20"/>
          <w:sz w:val="20"/>
        </w:rPr>
      </w:pPr>
      <w:r>
        <w:rPr>
          <w:color w:val="231F20"/>
          <w:sz w:val="20"/>
        </w:rPr>
        <w:t>Take</w:t>
      </w:r>
      <w:r>
        <w:rPr>
          <w:color w:val="231F20"/>
          <w:spacing w:val="8"/>
          <w:sz w:val="20"/>
        </w:rPr>
        <w:t> </w:t>
      </w:r>
      <w:r>
        <w:rPr>
          <w:color w:val="231F20"/>
          <w:sz w:val="20"/>
        </w:rPr>
        <w:t>one</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following</w:t>
      </w:r>
      <w:r>
        <w:rPr>
          <w:color w:val="231F20"/>
          <w:spacing w:val="8"/>
          <w:sz w:val="20"/>
        </w:rPr>
        <w:t> </w:t>
      </w:r>
      <w:r>
        <w:rPr>
          <w:color w:val="231F20"/>
          <w:spacing w:val="-2"/>
          <w:sz w:val="20"/>
        </w:rPr>
        <w:t>actions:</w:t>
      </w:r>
    </w:p>
    <w:p>
      <w:pPr>
        <w:pStyle w:val="BodyText"/>
        <w:spacing w:line="213" w:lineRule="auto" w:before="53"/>
        <w:ind w:left="3004" w:right="385" w:hanging="216"/>
      </w:pPr>
      <w:r>
        <w:rPr>
          <w:rFonts w:ascii="Futura MdCn BT"/>
          <w:color w:val="231F20"/>
        </w:rPr>
        <w:t>v</w:t>
      </w:r>
      <w:r>
        <w:rPr>
          <w:rFonts w:ascii="Futura MdCn BT"/>
          <w:color w:val="231F20"/>
          <w:spacing w:val="80"/>
        </w:rPr>
        <w:t> </w:t>
      </w:r>
      <w:r>
        <w:rPr>
          <w:color w:val="231F20"/>
        </w:rPr>
        <w:t>Select the Navigator item associated with type of command you want to </w:t>
      </w:r>
      <w:r>
        <w:rPr>
          <w:color w:val="231F20"/>
        </w:rPr>
        <w:t>run</w:t>
      </w:r>
      <w:r>
        <w:rPr>
          <w:color w:val="231F20"/>
          <w:spacing w:val="40"/>
        </w:rPr>
        <w:t> </w:t>
      </w:r>
      <w:r>
        <w:rPr>
          <w:color w:val="231F20"/>
        </w:rPr>
        <w:t>or the managed system on which you want to run the command.</w:t>
      </w:r>
    </w:p>
    <w:p>
      <w:pPr>
        <w:pStyle w:val="BodyText"/>
        <w:spacing w:line="213" w:lineRule="auto" w:before="58"/>
        <w:ind w:left="3004" w:right="274" w:hanging="216"/>
      </w:pPr>
      <w:r>
        <w:rPr>
          <w:rFonts w:ascii="Futura MdCn BT"/>
          <w:color w:val="231F20"/>
        </w:rPr>
        <w:t>v</w:t>
      </w:r>
      <w:r>
        <w:rPr>
          <w:rFonts w:ascii="Futura MdCn BT"/>
          <w:color w:val="231F20"/>
          <w:spacing w:val="80"/>
        </w:rPr>
        <w:t> </w:t>
      </w:r>
      <w:r>
        <w:rPr>
          <w:color w:val="231F20"/>
        </w:rPr>
        <w:t>Open the workspace containing the view from which you want to launch </w:t>
      </w:r>
      <w:r>
        <w:rPr>
          <w:color w:val="231F20"/>
        </w:rPr>
        <w:t>the</w:t>
      </w:r>
      <w:r>
        <w:rPr>
          <w:color w:val="231F20"/>
        </w:rPr>
        <w:t> </w:t>
      </w:r>
      <w:r>
        <w:rPr>
          <w:color w:val="231F20"/>
          <w:spacing w:val="-2"/>
        </w:rPr>
        <w:t>application.</w:t>
      </w:r>
    </w:p>
    <w:p>
      <w:pPr>
        <w:pStyle w:val="ListParagraph"/>
        <w:numPr>
          <w:ilvl w:val="0"/>
          <w:numId w:val="150"/>
        </w:numPr>
        <w:tabs>
          <w:tab w:pos="2787" w:val="left" w:leader="none"/>
        </w:tabs>
        <w:spacing w:line="240" w:lineRule="auto" w:before="36" w:after="0"/>
        <w:ind w:left="2787" w:right="0" w:hanging="315"/>
        <w:jc w:val="left"/>
        <w:rPr>
          <w:rFonts w:ascii="Arial"/>
          <w:color w:val="231F20"/>
          <w:sz w:val="20"/>
        </w:rPr>
      </w:pPr>
      <w:r>
        <w:rPr>
          <w:color w:val="231F20"/>
          <w:sz w:val="20"/>
        </w:rPr>
        <w:t>Right-click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before="29"/>
        <w:ind w:left="2788"/>
      </w:pPr>
      <w:r>
        <w:rPr>
          <w:rFonts w:ascii="Futura MdCn BT"/>
          <w:color w:val="231F20"/>
        </w:rPr>
        <w:t>v</w:t>
      </w:r>
      <w:r>
        <w:rPr>
          <w:rFonts w:ascii="Futura MdCn BT"/>
          <w:color w:val="231F20"/>
          <w:spacing w:val="32"/>
        </w:rPr>
        <w:t>  </w:t>
      </w:r>
      <w:r>
        <w:rPr>
          <w:color w:val="231F20"/>
        </w:rPr>
        <w:t>Navigator</w:t>
      </w:r>
      <w:r>
        <w:rPr>
          <w:color w:val="231F20"/>
          <w:spacing w:val="14"/>
        </w:rPr>
        <w:t> </w:t>
      </w:r>
      <w:r>
        <w:rPr>
          <w:color w:val="231F20"/>
          <w:spacing w:val="-2"/>
        </w:rPr>
        <w:t>item.</w:t>
      </w:r>
    </w:p>
    <w:p>
      <w:pPr>
        <w:pStyle w:val="BodyText"/>
        <w:spacing w:before="30"/>
        <w:ind w:left="2788"/>
      </w:pPr>
      <w:r>
        <w:rPr>
          <w:rFonts w:ascii="Futura MdCn BT"/>
          <w:color w:val="231F20"/>
        </w:rPr>
        <w:t>v</w:t>
      </w:r>
      <w:r>
        <w:rPr>
          <w:rFonts w:ascii="Futura MdCn BT"/>
          <w:color w:val="231F20"/>
          <w:spacing w:val="32"/>
        </w:rPr>
        <w:t>  </w:t>
      </w:r>
      <w:r>
        <w:rPr>
          <w:color w:val="231F20"/>
        </w:rPr>
        <w:t>Row</w:t>
      </w:r>
      <w:r>
        <w:rPr>
          <w:color w:val="231F20"/>
          <w:spacing w:val="14"/>
        </w:rPr>
        <w:t> </w:t>
      </w:r>
      <w:r>
        <w:rPr>
          <w:color w:val="231F20"/>
        </w:rPr>
        <w:t>in</w:t>
      </w:r>
      <w:r>
        <w:rPr>
          <w:color w:val="231F20"/>
          <w:spacing w:val="14"/>
        </w:rPr>
        <w:t> </w:t>
      </w:r>
      <w:r>
        <w:rPr>
          <w:color w:val="231F20"/>
        </w:rPr>
        <w:t>a</w:t>
      </w:r>
      <w:r>
        <w:rPr>
          <w:color w:val="231F20"/>
          <w:spacing w:val="13"/>
        </w:rPr>
        <w:t> </w:t>
      </w:r>
      <w:r>
        <w:rPr>
          <w:color w:val="231F20"/>
        </w:rPr>
        <w:t>table</w:t>
      </w:r>
      <w:r>
        <w:rPr>
          <w:color w:val="231F20"/>
          <w:spacing w:val="13"/>
        </w:rPr>
        <w:t> </w:t>
      </w:r>
      <w:r>
        <w:rPr>
          <w:color w:val="231F20"/>
        </w:rPr>
        <w:t>or</w:t>
      </w:r>
      <w:r>
        <w:rPr>
          <w:color w:val="231F20"/>
          <w:spacing w:val="14"/>
        </w:rPr>
        <w:t> </w:t>
      </w:r>
      <w:r>
        <w:rPr>
          <w:color w:val="231F20"/>
        </w:rPr>
        <w:t>event</w:t>
      </w:r>
      <w:r>
        <w:rPr>
          <w:color w:val="231F20"/>
          <w:spacing w:val="13"/>
        </w:rPr>
        <w:t> </w:t>
      </w:r>
      <w:r>
        <w:rPr>
          <w:color w:val="231F20"/>
        </w:rPr>
        <w:t>console</w:t>
      </w:r>
      <w:r>
        <w:rPr>
          <w:color w:val="231F20"/>
          <w:spacing w:val="13"/>
        </w:rPr>
        <w:t> </w:t>
      </w:r>
      <w:r>
        <w:rPr>
          <w:color w:val="231F20"/>
          <w:spacing w:val="-2"/>
        </w:rPr>
        <w:t>view.</w:t>
      </w:r>
    </w:p>
    <w:p>
      <w:pPr>
        <w:pStyle w:val="BodyText"/>
        <w:spacing w:before="29"/>
        <w:ind w:left="2788"/>
      </w:pPr>
      <w:r>
        <w:rPr>
          <w:rFonts w:ascii="Futura MdCn BT"/>
          <w:color w:val="231F20"/>
        </w:rPr>
        <w:t>v</w:t>
      </w:r>
      <w:r>
        <w:rPr>
          <w:rFonts w:ascii="Futura MdCn BT"/>
          <w:color w:val="231F20"/>
          <w:spacing w:val="32"/>
        </w:rPr>
        <w:t>  </w:t>
      </w:r>
      <w:r>
        <w:rPr>
          <w:color w:val="231F20"/>
        </w:rPr>
        <w:t>Data</w:t>
      </w:r>
      <w:r>
        <w:rPr>
          <w:color w:val="231F20"/>
          <w:spacing w:val="15"/>
        </w:rPr>
        <w:t> </w:t>
      </w:r>
      <w:r>
        <w:rPr>
          <w:color w:val="231F20"/>
        </w:rPr>
        <w:t>point</w:t>
      </w:r>
      <w:r>
        <w:rPr>
          <w:color w:val="231F20"/>
          <w:spacing w:val="13"/>
        </w:rPr>
        <w:t> </w:t>
      </w:r>
      <w:r>
        <w:rPr>
          <w:color w:val="231F20"/>
        </w:rPr>
        <w:t>in</w:t>
      </w:r>
      <w:r>
        <w:rPr>
          <w:color w:val="231F20"/>
          <w:spacing w:val="14"/>
        </w:rPr>
        <w:t> </w:t>
      </w:r>
      <w:r>
        <w:rPr>
          <w:color w:val="231F20"/>
        </w:rPr>
        <w:t>a</w:t>
      </w:r>
      <w:r>
        <w:rPr>
          <w:color w:val="231F20"/>
          <w:spacing w:val="13"/>
        </w:rPr>
        <w:t> </w:t>
      </w:r>
      <w:r>
        <w:rPr>
          <w:color w:val="231F20"/>
        </w:rPr>
        <w:t>chart</w:t>
      </w:r>
      <w:r>
        <w:rPr>
          <w:color w:val="231F20"/>
          <w:spacing w:val="14"/>
        </w:rPr>
        <w:t> </w:t>
      </w:r>
      <w:r>
        <w:rPr>
          <w:color w:val="231F20"/>
        </w:rPr>
        <w:t>(such</w:t>
      </w:r>
      <w:r>
        <w:rPr>
          <w:color w:val="231F20"/>
          <w:spacing w:val="13"/>
        </w:rPr>
        <w:t> </w:t>
      </w:r>
      <w:r>
        <w:rPr>
          <w:color w:val="231F20"/>
        </w:rPr>
        <w:t>as</w:t>
      </w:r>
      <w:r>
        <w:rPr>
          <w:color w:val="231F20"/>
          <w:spacing w:val="14"/>
        </w:rPr>
        <w:t> </w:t>
      </w:r>
      <w:r>
        <w:rPr>
          <w:color w:val="231F20"/>
        </w:rPr>
        <w:t>a</w:t>
      </w:r>
      <w:r>
        <w:rPr>
          <w:color w:val="231F20"/>
          <w:spacing w:val="13"/>
        </w:rPr>
        <w:t> </w:t>
      </w:r>
      <w:r>
        <w:rPr>
          <w:color w:val="231F20"/>
        </w:rPr>
        <w:t>pie</w:t>
      </w:r>
      <w:r>
        <w:rPr>
          <w:color w:val="231F20"/>
          <w:spacing w:val="13"/>
        </w:rPr>
        <w:t> </w:t>
      </w:r>
      <w:r>
        <w:rPr>
          <w:color w:val="231F20"/>
        </w:rPr>
        <w:t>chart</w:t>
      </w:r>
      <w:r>
        <w:rPr>
          <w:color w:val="231F20"/>
          <w:spacing w:val="14"/>
        </w:rPr>
        <w:t> </w:t>
      </w:r>
      <w:r>
        <w:rPr>
          <w:color w:val="231F20"/>
          <w:spacing w:val="-2"/>
        </w:rPr>
        <w:t>slice)</w:t>
      </w:r>
    </w:p>
    <w:p>
      <w:pPr>
        <w:pStyle w:val="BodyText"/>
        <w:spacing w:before="30"/>
        <w:ind w:left="2788"/>
      </w:pPr>
      <w:r>
        <w:rPr>
          <w:rFonts w:ascii="Futura MdCn BT"/>
          <w:color w:val="231F20"/>
        </w:rPr>
        <w:t>v</w:t>
      </w:r>
      <w:r>
        <w:rPr>
          <w:rFonts w:ascii="Futura MdCn BT"/>
          <w:color w:val="231F20"/>
          <w:spacing w:val="73"/>
          <w:w w:val="150"/>
        </w:rPr>
        <w:t> </w:t>
      </w:r>
      <w:r>
        <w:rPr>
          <w:color w:val="231F20"/>
        </w:rPr>
        <w:t>Topology</w:t>
      </w:r>
      <w:r>
        <w:rPr>
          <w:color w:val="231F20"/>
          <w:spacing w:val="9"/>
        </w:rPr>
        <w:t> </w:t>
      </w:r>
      <w:r>
        <w:rPr>
          <w:color w:val="231F20"/>
        </w:rPr>
        <w:t>view</w:t>
      </w:r>
      <w:r>
        <w:rPr>
          <w:color w:val="231F20"/>
          <w:spacing w:val="8"/>
        </w:rPr>
        <w:t> </w:t>
      </w:r>
      <w:r>
        <w:rPr>
          <w:color w:val="231F20"/>
          <w:spacing w:val="-2"/>
        </w:rPr>
        <w:t>object.</w:t>
      </w:r>
    </w:p>
    <w:p>
      <w:pPr>
        <w:pStyle w:val="ListParagraph"/>
        <w:numPr>
          <w:ilvl w:val="0"/>
          <w:numId w:val="150"/>
        </w:numPr>
        <w:tabs>
          <w:tab w:pos="2787" w:val="left" w:leader="none"/>
        </w:tabs>
        <w:spacing w:line="240" w:lineRule="auto" w:before="34" w:after="0"/>
        <w:ind w:left="2787" w:right="0" w:hanging="315"/>
        <w:jc w:val="left"/>
        <w:rPr>
          <w:rFonts w:ascii="Arial"/>
          <w:color w:val="231F20"/>
          <w:position w:val="1"/>
          <w:sz w:val="20"/>
        </w:rPr>
      </w:pPr>
      <w:r>
        <w:rPr>
          <w:color w:val="231F20"/>
          <w:position w:val="1"/>
          <w:sz w:val="20"/>
        </w:rPr>
        <w:t>Click</w:t>
      </w:r>
      <w:r>
        <w:rPr>
          <w:color w:val="231F20"/>
          <w:spacing w:val="8"/>
          <w:position w:val="1"/>
          <w:sz w:val="20"/>
        </w:rPr>
        <w:t> </w:t>
      </w:r>
      <w:r>
        <w:rPr>
          <w:rFonts w:ascii="Book Antiqua"/>
          <w:b/>
          <w:color w:val="231F20"/>
          <w:position w:val="1"/>
          <w:sz w:val="20"/>
        </w:rPr>
        <w:t>Take</w:t>
      </w:r>
      <w:r>
        <w:rPr>
          <w:rFonts w:ascii="Book Antiqua"/>
          <w:b/>
          <w:color w:val="231F20"/>
          <w:spacing w:val="9"/>
          <w:position w:val="1"/>
          <w:sz w:val="20"/>
        </w:rPr>
        <w:t> </w:t>
      </w:r>
      <w:r>
        <w:rPr>
          <w:rFonts w:ascii="Book Antiqua"/>
          <w:b/>
          <w:color w:val="231F20"/>
          <w:position w:val="1"/>
          <w:sz w:val="20"/>
        </w:rPr>
        <w:t>Action</w:t>
      </w:r>
      <w:r>
        <w:rPr>
          <w:rFonts w:ascii="Book Antiqua"/>
          <w:b/>
          <w:color w:val="231F20"/>
          <w:spacing w:val="9"/>
          <w:position w:val="1"/>
          <w:sz w:val="20"/>
        </w:rPr>
        <w:t> </w:t>
      </w:r>
      <w:r>
        <w:rPr>
          <w:rFonts w:ascii="Book Antiqua"/>
          <w:b/>
          <w:color w:val="231F20"/>
          <w:position w:val="1"/>
          <w:sz w:val="20"/>
        </w:rPr>
        <w:t>&gt;</w:t>
      </w:r>
      <w:r>
        <w:rPr>
          <w:rFonts w:ascii="Book Antiqua"/>
          <w:b/>
          <w:color w:val="231F20"/>
          <w:spacing w:val="27"/>
          <w:position w:val="1"/>
          <w:sz w:val="20"/>
        </w:rPr>
        <w:t> </w:t>
      </w:r>
      <w:r>
        <w:rPr>
          <w:rFonts w:ascii="Book Antiqua"/>
          <w:b/>
          <w:color w:val="231F20"/>
          <w:spacing w:val="-14"/>
          <w:sz w:val="20"/>
        </w:rPr>
        <w:drawing>
          <wp:inline distT="0" distB="0" distL="0" distR="0">
            <wp:extent cx="76200" cy="95250"/>
            <wp:effectExtent l="0" t="0" r="0" b="0"/>
            <wp:docPr id="2835" name="Image 2835"/>
            <wp:cNvGraphicFramePr>
              <a:graphicFrameLocks/>
            </wp:cNvGraphicFramePr>
            <a:graphic>
              <a:graphicData uri="http://schemas.openxmlformats.org/drawingml/2006/picture">
                <pic:pic>
                  <pic:nvPicPr>
                    <pic:cNvPr id="2835" name="Image 2835"/>
                    <pic:cNvPicPr/>
                  </pic:nvPicPr>
                  <pic:blipFill>
                    <a:blip r:embed="rId54" cstate="print"/>
                    <a:stretch>
                      <a:fillRect/>
                    </a:stretch>
                  </pic:blipFill>
                  <pic:spPr>
                    <a:xfrm>
                      <a:off x="0" y="0"/>
                      <a:ext cx="76200" cy="95250"/>
                    </a:xfrm>
                    <a:prstGeom prst="rect">
                      <a:avLst/>
                    </a:prstGeom>
                  </pic:spPr>
                </pic:pic>
              </a:graphicData>
            </a:graphic>
          </wp:inline>
        </w:drawing>
      </w:r>
      <w:r>
        <w:rPr>
          <w:rFonts w:ascii="Book Antiqua"/>
          <w:b/>
          <w:color w:val="231F20"/>
          <w:spacing w:val="-14"/>
          <w:sz w:val="20"/>
        </w:rPr>
      </w:r>
      <w:r>
        <w:rPr>
          <w:rFonts w:ascii="Times New Roman"/>
          <w:color w:val="231F20"/>
          <w:spacing w:val="24"/>
          <w:position w:val="1"/>
          <w:sz w:val="20"/>
        </w:rPr>
        <w:t> </w:t>
      </w:r>
      <w:r>
        <w:rPr>
          <w:rFonts w:ascii="Book Antiqua"/>
          <w:b/>
          <w:color w:val="231F20"/>
          <w:spacing w:val="-2"/>
          <w:position w:val="1"/>
          <w:sz w:val="20"/>
        </w:rPr>
        <w:t>Select</w:t>
      </w:r>
      <w:r>
        <w:rPr>
          <w:color w:val="231F20"/>
          <w:spacing w:val="-2"/>
          <w:position w:val="1"/>
          <w:sz w:val="20"/>
        </w:rPr>
        <w:t>.</w:t>
      </w:r>
    </w:p>
    <w:p>
      <w:pPr>
        <w:pStyle w:val="ListParagraph"/>
        <w:numPr>
          <w:ilvl w:val="0"/>
          <w:numId w:val="150"/>
        </w:numPr>
        <w:tabs>
          <w:tab w:pos="2787" w:val="left" w:leader="none"/>
        </w:tabs>
        <w:spacing w:line="240" w:lineRule="auto" w:before="25" w:after="0"/>
        <w:ind w:left="2787" w:right="0" w:hanging="315"/>
        <w:jc w:val="left"/>
        <w:rPr>
          <w:rFonts w:ascii="Arial"/>
          <w:color w:val="231F20"/>
          <w:sz w:val="20"/>
        </w:rPr>
      </w:pPr>
      <w:r>
        <w:rPr>
          <w:color w:val="231F20"/>
          <w:sz w:val="20"/>
        </w:rPr>
        <w:t>Select</w:t>
      </w:r>
      <w:r>
        <w:rPr>
          <w:color w:val="231F20"/>
          <w:spacing w:val="10"/>
          <w:sz w:val="20"/>
        </w:rPr>
        <w:t> </w:t>
      </w:r>
      <w:r>
        <w:rPr>
          <w:color w:val="231F20"/>
          <w:sz w:val="20"/>
        </w:rPr>
        <w:t>a</w:t>
      </w:r>
      <w:r>
        <w:rPr>
          <w:color w:val="231F20"/>
          <w:spacing w:val="11"/>
          <w:sz w:val="20"/>
        </w:rPr>
        <w:t> </w:t>
      </w:r>
      <w:r>
        <w:rPr>
          <w:color w:val="231F20"/>
          <w:sz w:val="20"/>
        </w:rPr>
        <w:t>predefined</w:t>
      </w:r>
      <w:r>
        <w:rPr>
          <w:color w:val="231F20"/>
          <w:spacing w:val="10"/>
          <w:sz w:val="20"/>
        </w:rPr>
        <w:t> </w:t>
      </w:r>
      <w:r>
        <w:rPr>
          <w:color w:val="231F20"/>
          <w:sz w:val="20"/>
        </w:rPr>
        <w:t>action</w:t>
      </w:r>
      <w:r>
        <w:rPr>
          <w:color w:val="231F20"/>
          <w:spacing w:val="11"/>
          <w:sz w:val="20"/>
        </w:rPr>
        <w:t> </w:t>
      </w:r>
      <w:r>
        <w:rPr>
          <w:color w:val="231F20"/>
          <w:sz w:val="20"/>
        </w:rPr>
        <w:t>or</w:t>
      </w:r>
      <w:r>
        <w:rPr>
          <w:color w:val="231F20"/>
          <w:spacing w:val="11"/>
          <w:sz w:val="20"/>
        </w:rPr>
        <w:t> </w:t>
      </w:r>
      <w:r>
        <w:rPr>
          <w:color w:val="231F20"/>
          <w:sz w:val="20"/>
        </w:rPr>
        <w:t>enter</w:t>
      </w:r>
      <w:r>
        <w:rPr>
          <w:color w:val="231F20"/>
          <w:spacing w:val="10"/>
          <w:sz w:val="20"/>
        </w:rPr>
        <w:t> </w:t>
      </w:r>
      <w:r>
        <w:rPr>
          <w:color w:val="231F20"/>
          <w:sz w:val="20"/>
        </w:rPr>
        <w:t>a</w:t>
      </w:r>
      <w:r>
        <w:rPr>
          <w:color w:val="231F20"/>
          <w:spacing w:val="11"/>
          <w:sz w:val="20"/>
        </w:rPr>
        <w:t> </w:t>
      </w:r>
      <w:r>
        <w:rPr>
          <w:color w:val="231F20"/>
          <w:sz w:val="20"/>
        </w:rPr>
        <w:t>command</w:t>
      </w:r>
      <w:r>
        <w:rPr>
          <w:color w:val="231F20"/>
          <w:spacing w:val="11"/>
          <w:sz w:val="20"/>
        </w:rPr>
        <w:t> </w:t>
      </w:r>
      <w:r>
        <w:rPr>
          <w:color w:val="231F20"/>
          <w:sz w:val="20"/>
        </w:rPr>
        <w:t>using</w:t>
      </w:r>
      <w:r>
        <w:rPr>
          <w:color w:val="231F20"/>
          <w:spacing w:val="10"/>
          <w:sz w:val="20"/>
        </w:rPr>
        <w:t> </w:t>
      </w:r>
      <w:r>
        <w:rPr>
          <w:color w:val="231F20"/>
          <w:sz w:val="20"/>
        </w:rPr>
        <w:t>the</w:t>
      </w:r>
      <w:r>
        <w:rPr>
          <w:color w:val="231F20"/>
          <w:spacing w:val="11"/>
          <w:sz w:val="20"/>
        </w:rPr>
        <w:t> </w:t>
      </w:r>
      <w:r>
        <w:rPr>
          <w:rFonts w:ascii="Book Antiqua"/>
          <w:b/>
          <w:color w:val="231F20"/>
          <w:sz w:val="20"/>
        </w:rPr>
        <w:t>Command</w:t>
      </w:r>
      <w:r>
        <w:rPr>
          <w:rFonts w:ascii="Book Antiqua"/>
          <w:b/>
          <w:color w:val="231F20"/>
          <w:spacing w:val="11"/>
          <w:sz w:val="20"/>
        </w:rPr>
        <w:t> </w:t>
      </w:r>
      <w:r>
        <w:rPr>
          <w:color w:val="231F20"/>
          <w:spacing w:val="-2"/>
          <w:sz w:val="20"/>
        </w:rPr>
        <w:t>field.</w:t>
      </w:r>
    </w:p>
    <w:p>
      <w:pPr>
        <w:pStyle w:val="Heading6"/>
        <w:spacing w:line="240" w:lineRule="auto" w:before="111"/>
        <w:ind w:left="2788"/>
      </w:pPr>
      <w:r>
        <w:rPr>
          <w:color w:val="231F20"/>
        </w:rPr>
        <w:t>To</w:t>
      </w:r>
      <w:r>
        <w:rPr>
          <w:color w:val="231F20"/>
          <w:spacing w:val="5"/>
        </w:rPr>
        <w:t> </w:t>
      </w:r>
      <w:r>
        <w:rPr>
          <w:color w:val="231F20"/>
        </w:rPr>
        <w:t>select</w:t>
      </w:r>
      <w:r>
        <w:rPr>
          <w:color w:val="231F20"/>
          <w:spacing w:val="6"/>
        </w:rPr>
        <w:t> </w:t>
      </w:r>
      <w:r>
        <w:rPr>
          <w:color w:val="231F20"/>
        </w:rPr>
        <w:t>a</w:t>
      </w:r>
      <w:r>
        <w:rPr>
          <w:color w:val="231F20"/>
          <w:spacing w:val="5"/>
        </w:rPr>
        <w:t> </w:t>
      </w:r>
      <w:r>
        <w:rPr>
          <w:color w:val="231F20"/>
        </w:rPr>
        <w:t>predefined</w:t>
      </w:r>
      <w:r>
        <w:rPr>
          <w:color w:val="231F20"/>
          <w:spacing w:val="6"/>
        </w:rPr>
        <w:t> </w:t>
      </w:r>
      <w:r>
        <w:rPr>
          <w:color w:val="231F20"/>
          <w:spacing w:val="-2"/>
        </w:rPr>
        <w:t>action:</w:t>
      </w:r>
    </w:p>
    <w:p>
      <w:pPr>
        <w:pStyle w:val="ListParagraph"/>
        <w:numPr>
          <w:ilvl w:val="1"/>
          <w:numId w:val="150"/>
        </w:numPr>
        <w:tabs>
          <w:tab w:pos="3820" w:val="left" w:leader="none"/>
          <w:tab w:pos="3822" w:val="left" w:leader="none"/>
        </w:tabs>
        <w:spacing w:line="213" w:lineRule="auto" w:before="59" w:after="0"/>
        <w:ind w:left="3822" w:right="174" w:hanging="317"/>
        <w:jc w:val="left"/>
        <w:rPr>
          <w:sz w:val="20"/>
        </w:rPr>
      </w:pPr>
      <w:r>
        <w:rPr>
          <w:color w:val="231F20"/>
          <w:sz w:val="20"/>
        </w:rPr>
        <w:t>In the </w:t>
      </w:r>
      <w:r>
        <w:rPr>
          <w:rFonts w:ascii="Book Antiqua"/>
          <w:b/>
          <w:color w:val="231F20"/>
          <w:sz w:val="20"/>
        </w:rPr>
        <w:t>Name </w:t>
      </w:r>
      <w:r>
        <w:rPr>
          <w:color w:val="231F20"/>
          <w:sz w:val="20"/>
        </w:rPr>
        <w:t>field click the </w:t>
      </w:r>
      <w:r>
        <w:rPr>
          <w:color w:val="231F20"/>
          <w:spacing w:val="15"/>
          <w:position w:val="-1"/>
          <w:sz w:val="20"/>
        </w:rPr>
        <w:drawing>
          <wp:inline distT="0" distB="0" distL="0" distR="0">
            <wp:extent cx="101600" cy="101600"/>
            <wp:effectExtent l="0" t="0" r="0" b="0"/>
            <wp:docPr id="2836" name="Image 2836"/>
            <wp:cNvGraphicFramePr>
              <a:graphicFrameLocks/>
            </wp:cNvGraphicFramePr>
            <a:graphic>
              <a:graphicData uri="http://schemas.openxmlformats.org/drawingml/2006/picture">
                <pic:pic>
                  <pic:nvPicPr>
                    <pic:cNvPr id="2836" name="Image 2836"/>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List </w:t>
      </w:r>
      <w:r>
        <w:rPr>
          <w:color w:val="231F20"/>
          <w:sz w:val="20"/>
        </w:rPr>
        <w:t>button to see and select an action </w:t>
      </w:r>
      <w:r>
        <w:rPr>
          <w:color w:val="231F20"/>
          <w:spacing w:val="-2"/>
          <w:sz w:val="20"/>
        </w:rPr>
        <w:t>name.</w:t>
      </w:r>
    </w:p>
    <w:p>
      <w:pPr>
        <w:spacing w:after="0" w:line="213" w:lineRule="auto"/>
        <w:jc w:val="left"/>
        <w:rPr>
          <w:sz w:val="20"/>
        </w:rPr>
        <w:sectPr>
          <w:pgSz w:w="12240" w:h="15840"/>
          <w:pgMar w:header="0" w:footer="736" w:top="1140" w:bottom="920" w:left="1000" w:right="1060"/>
        </w:sectPr>
      </w:pPr>
    </w:p>
    <w:p>
      <w:pPr>
        <w:pStyle w:val="BodyText"/>
        <w:spacing w:line="213" w:lineRule="auto" w:before="85"/>
        <w:ind w:left="3583" w:right="493"/>
      </w:pPr>
      <w:bookmarkStart w:name="_bookmark267" w:id="545"/>
      <w:bookmarkEnd w:id="545"/>
      <w:r>
        <w:rPr/>
      </w:r>
      <w:r>
        <w:rPr>
          <w:color w:val="231F20"/>
        </w:rPr>
        <w:t>The command is displayed in the field below. Some actions do not require you to add a value. Those that do open the </w:t>
      </w:r>
      <w:r>
        <w:rPr>
          <w:rFonts w:ascii="Book Antiqua"/>
          <w:b/>
          <w:color w:val="231F20"/>
        </w:rPr>
        <w:t>Edit Argument Values </w:t>
      </w:r>
      <w:r>
        <w:rPr>
          <w:color w:val="231F20"/>
        </w:rPr>
        <w:t>window automatically. Other actions might display a suggested value, which you can change by clicking </w:t>
      </w:r>
      <w:r>
        <w:rPr>
          <w:rFonts w:ascii="Book Antiqua"/>
          <w:b/>
          <w:color w:val="231F20"/>
        </w:rPr>
        <w:t>Arguments </w:t>
      </w:r>
      <w:r>
        <w:rPr>
          <w:color w:val="231F20"/>
        </w:rPr>
        <w:t>and entering a different value.</w:t>
      </w:r>
    </w:p>
    <w:p>
      <w:pPr>
        <w:pStyle w:val="ListParagraph"/>
        <w:numPr>
          <w:ilvl w:val="1"/>
          <w:numId w:val="150"/>
        </w:numPr>
        <w:tabs>
          <w:tab w:pos="3583" w:val="left" w:leader="none"/>
          <w:tab w:pos="3649" w:val="left" w:leader="none"/>
        </w:tabs>
        <w:spacing w:line="213" w:lineRule="auto" w:before="56" w:after="0"/>
        <w:ind w:left="3583" w:right="1010" w:hanging="316"/>
        <w:jc w:val="left"/>
        <w:rPr>
          <w:sz w:val="20"/>
        </w:rPr>
      </w:pPr>
      <w:r>
        <w:rPr>
          <w:rFonts w:ascii="Arial"/>
          <w:color w:val="231F20"/>
          <w:sz w:val="20"/>
        </w:rPr>
        <w:tab/>
      </w:r>
      <w:r>
        <w:rPr>
          <w:color w:val="231F20"/>
          <w:sz w:val="20"/>
        </w:rPr>
        <w:t>If the </w:t>
      </w:r>
      <w:r>
        <w:rPr>
          <w:rFonts w:ascii="Book Antiqua"/>
          <w:b/>
          <w:color w:val="231F20"/>
          <w:sz w:val="20"/>
        </w:rPr>
        <w:t>Edit Argument Values </w:t>
      </w:r>
      <w:r>
        <w:rPr>
          <w:color w:val="231F20"/>
          <w:sz w:val="20"/>
        </w:rPr>
        <w:t>window opens, enter a value </w:t>
      </w:r>
      <w:r>
        <w:rPr>
          <w:color w:val="231F20"/>
          <w:sz w:val="20"/>
        </w:rPr>
        <w:t>to identify the item on which the action must take place.</w:t>
      </w:r>
    </w:p>
    <w:p>
      <w:pPr>
        <w:pStyle w:val="ListParagraph"/>
        <w:numPr>
          <w:ilvl w:val="1"/>
          <w:numId w:val="150"/>
        </w:numPr>
        <w:tabs>
          <w:tab w:pos="3572" w:val="left" w:leader="none"/>
          <w:tab w:pos="3638" w:val="left" w:leader="none"/>
        </w:tabs>
        <w:spacing w:line="213" w:lineRule="auto" w:before="59" w:after="0"/>
        <w:ind w:left="3572" w:right="890" w:hanging="305"/>
        <w:jc w:val="left"/>
        <w:rPr>
          <w:sz w:val="20"/>
        </w:rPr>
      </w:pPr>
      <w:r>
        <w:rPr>
          <w:rFonts w:ascii="Arial"/>
          <w:color w:val="231F20"/>
          <w:sz w:val="20"/>
        </w:rPr>
        <w:tab/>
      </w:r>
      <w:r>
        <w:rPr>
          <w:color w:val="231F20"/>
          <w:sz w:val="20"/>
        </w:rPr>
        <w:t>If the action command fills in the value automatically and </w:t>
      </w:r>
      <w:r>
        <w:rPr>
          <w:color w:val="231F20"/>
          <w:sz w:val="20"/>
        </w:rPr>
        <w:t>you want to change it, click </w:t>
      </w:r>
      <w:r>
        <w:rPr>
          <w:rFonts w:ascii="Book Antiqua"/>
          <w:b/>
          <w:color w:val="231F20"/>
          <w:sz w:val="20"/>
        </w:rPr>
        <w:t>Arguments </w:t>
      </w:r>
      <w:r>
        <w:rPr>
          <w:color w:val="231F20"/>
          <w:sz w:val="20"/>
        </w:rPr>
        <w:t>and enter the value that identifies what to act on.</w:t>
      </w:r>
    </w:p>
    <w:p>
      <w:pPr>
        <w:pStyle w:val="BodyText"/>
        <w:spacing w:line="213" w:lineRule="auto" w:before="58"/>
        <w:ind w:left="3572" w:right="636"/>
      </w:pPr>
      <w:r>
        <w:rPr>
          <w:color w:val="231F20"/>
        </w:rPr>
        <w:t>A two-column window opens with the attribute in the </w:t>
      </w:r>
      <w:r>
        <w:rPr>
          <w:rFonts w:ascii="Book Antiqua"/>
          <w:b/>
          <w:color w:val="231F20"/>
        </w:rPr>
        <w:t>Name </w:t>
      </w:r>
      <w:r>
        <w:rPr>
          <w:color w:val="231F20"/>
        </w:rPr>
        <w:t>column and a place to enter the value of the attribute in the </w:t>
      </w:r>
      <w:r>
        <w:rPr>
          <w:rFonts w:ascii="Book Antiqua"/>
          <w:b/>
          <w:color w:val="231F20"/>
        </w:rPr>
        <w:t>Value </w:t>
      </w:r>
      <w:r>
        <w:rPr>
          <w:color w:val="231F20"/>
        </w:rPr>
        <w:t>column. For example, if you chose the action that starts a process, you must identify the process by entering its name as the value. If</w:t>
      </w:r>
      <w:r>
        <w:rPr>
          <w:color w:val="231F20"/>
          <w:spacing w:val="40"/>
        </w:rPr>
        <w:t> </w:t>
      </w:r>
      <w:r>
        <w:rPr>
          <w:color w:val="231F20"/>
        </w:rPr>
        <w:t>no argument is required for the action command, this function </w:t>
      </w:r>
      <w:r>
        <w:rPr>
          <w:color w:val="231F20"/>
        </w:rPr>
        <w:t>will be disabled.</w:t>
      </w:r>
    </w:p>
    <w:p>
      <w:pPr>
        <w:pStyle w:val="ListParagraph"/>
        <w:numPr>
          <w:ilvl w:val="1"/>
          <w:numId w:val="150"/>
        </w:numPr>
        <w:tabs>
          <w:tab w:pos="3583" w:val="left" w:leader="none"/>
          <w:tab w:pos="3649" w:val="left" w:leader="none"/>
        </w:tabs>
        <w:spacing w:line="266" w:lineRule="auto" w:before="32" w:after="0"/>
        <w:ind w:left="3583" w:right="1274" w:hanging="316"/>
        <w:jc w:val="left"/>
        <w:rPr>
          <w:sz w:val="20"/>
        </w:rPr>
      </w:pPr>
      <w:r>
        <w:rPr>
          <w:rFonts w:ascii="Arial"/>
          <w:color w:val="231F20"/>
          <w:sz w:val="20"/>
        </w:rPr>
        <w:tab/>
      </w:r>
      <w:r>
        <w:rPr>
          <w:color w:val="231F20"/>
          <w:sz w:val="20"/>
        </w:rPr>
        <w:t>Click</w:t>
      </w:r>
      <w:r>
        <w:rPr>
          <w:color w:val="231F20"/>
          <w:spacing w:val="32"/>
          <w:sz w:val="20"/>
        </w:rPr>
        <w:t> </w:t>
      </w:r>
      <w:r>
        <w:rPr>
          <w:color w:val="231F20"/>
          <w:sz w:val="20"/>
        </w:rPr>
        <w:t>an</w:t>
      </w:r>
      <w:r>
        <w:rPr>
          <w:color w:val="231F20"/>
          <w:spacing w:val="32"/>
          <w:sz w:val="20"/>
        </w:rPr>
        <w:t> </w:t>
      </w:r>
      <w:r>
        <w:rPr>
          <w:color w:val="231F20"/>
          <w:sz w:val="20"/>
        </w:rPr>
        <w:t>application</w:t>
      </w:r>
      <w:r>
        <w:rPr>
          <w:color w:val="231F20"/>
          <w:spacing w:val="32"/>
          <w:sz w:val="20"/>
        </w:rPr>
        <w:t> </w:t>
      </w:r>
      <w:r>
        <w:rPr>
          <w:color w:val="231F20"/>
          <w:sz w:val="20"/>
        </w:rPr>
        <w:t>host</w:t>
      </w:r>
      <w:r>
        <w:rPr>
          <w:color w:val="231F20"/>
          <w:spacing w:val="32"/>
          <w:sz w:val="20"/>
        </w:rPr>
        <w:t> </w:t>
      </w:r>
      <w:r>
        <w:rPr>
          <w:color w:val="231F20"/>
          <w:sz w:val="20"/>
        </w:rPr>
        <w:t>in</w:t>
      </w:r>
      <w:r>
        <w:rPr>
          <w:color w:val="231F20"/>
          <w:spacing w:val="32"/>
          <w:sz w:val="20"/>
        </w:rPr>
        <w:t> </w:t>
      </w:r>
      <w:r>
        <w:rPr>
          <w:color w:val="231F20"/>
          <w:sz w:val="20"/>
        </w:rPr>
        <w:t>the</w:t>
      </w:r>
      <w:r>
        <w:rPr>
          <w:color w:val="231F20"/>
          <w:spacing w:val="32"/>
          <w:sz w:val="20"/>
        </w:rPr>
        <w:t> </w:t>
      </w:r>
      <w:r>
        <w:rPr>
          <w:rFonts w:ascii="Book Antiqua"/>
          <w:b/>
          <w:color w:val="231F20"/>
          <w:sz w:val="20"/>
        </w:rPr>
        <w:t>Destination</w:t>
      </w:r>
      <w:r>
        <w:rPr>
          <w:rFonts w:ascii="Book Antiqua"/>
          <w:b/>
          <w:color w:val="231F20"/>
          <w:spacing w:val="32"/>
          <w:sz w:val="20"/>
        </w:rPr>
        <w:t> </w:t>
      </w:r>
      <w:r>
        <w:rPr>
          <w:rFonts w:ascii="Book Antiqua"/>
          <w:b/>
          <w:color w:val="231F20"/>
          <w:sz w:val="20"/>
        </w:rPr>
        <w:t>System</w:t>
      </w:r>
      <w:r>
        <w:rPr>
          <w:rFonts w:ascii="Book Antiqua"/>
          <w:b/>
          <w:color w:val="231F20"/>
          <w:spacing w:val="32"/>
          <w:sz w:val="20"/>
        </w:rPr>
        <w:t> </w:t>
      </w:r>
      <w:r>
        <w:rPr>
          <w:color w:val="231F20"/>
          <w:sz w:val="20"/>
        </w:rPr>
        <w:t>list.</w:t>
      </w:r>
      <w:r>
        <w:rPr>
          <w:color w:val="231F20"/>
          <w:sz w:val="20"/>
        </w:rPr>
        <w:t> If you want to send the command to multiple systems, use</w:t>
      </w:r>
    </w:p>
    <w:p>
      <w:pPr>
        <w:pStyle w:val="BodyText"/>
        <w:spacing w:line="210" w:lineRule="exact"/>
        <w:ind w:left="3583"/>
      </w:pPr>
      <w:r>
        <w:rPr>
          <w:color w:val="231F20"/>
        </w:rPr>
        <w:t>Ctrl+click</w:t>
      </w:r>
      <w:r>
        <w:rPr>
          <w:color w:val="231F20"/>
          <w:spacing w:val="16"/>
        </w:rPr>
        <w:t> </w:t>
      </w:r>
      <w:r>
        <w:rPr>
          <w:color w:val="231F20"/>
        </w:rPr>
        <w:t>to</w:t>
      </w:r>
      <w:r>
        <w:rPr>
          <w:color w:val="231F20"/>
          <w:spacing w:val="16"/>
        </w:rPr>
        <w:t> </w:t>
      </w:r>
      <w:r>
        <w:rPr>
          <w:color w:val="231F20"/>
        </w:rPr>
        <w:t>select</w:t>
      </w:r>
      <w:r>
        <w:rPr>
          <w:color w:val="231F20"/>
          <w:spacing w:val="16"/>
        </w:rPr>
        <w:t> </w:t>
      </w:r>
      <w:r>
        <w:rPr>
          <w:color w:val="231F20"/>
        </w:rPr>
        <w:t>more</w:t>
      </w:r>
      <w:r>
        <w:rPr>
          <w:color w:val="231F20"/>
          <w:spacing w:val="16"/>
        </w:rPr>
        <w:t> </w:t>
      </w:r>
      <w:r>
        <w:rPr>
          <w:color w:val="231F20"/>
        </w:rPr>
        <w:t>or</w:t>
      </w:r>
      <w:r>
        <w:rPr>
          <w:color w:val="231F20"/>
          <w:spacing w:val="17"/>
        </w:rPr>
        <w:t> </w:t>
      </w:r>
      <w:r>
        <w:rPr>
          <w:color w:val="231F20"/>
        </w:rPr>
        <w:t>Shift+click</w:t>
      </w:r>
      <w:r>
        <w:rPr>
          <w:color w:val="231F20"/>
          <w:spacing w:val="16"/>
        </w:rPr>
        <w:t> </w:t>
      </w:r>
      <w:r>
        <w:rPr>
          <w:color w:val="231F20"/>
        </w:rPr>
        <w:t>to</w:t>
      </w:r>
      <w:r>
        <w:rPr>
          <w:color w:val="231F20"/>
          <w:spacing w:val="16"/>
        </w:rPr>
        <w:t> </w:t>
      </w:r>
      <w:r>
        <w:rPr>
          <w:color w:val="231F20"/>
        </w:rPr>
        <w:t>select</w:t>
      </w:r>
      <w:r>
        <w:rPr>
          <w:color w:val="231F20"/>
          <w:spacing w:val="16"/>
        </w:rPr>
        <w:t> </w:t>
      </w:r>
      <w:r>
        <w:rPr>
          <w:color w:val="231F20"/>
        </w:rPr>
        <w:t>all</w:t>
      </w:r>
      <w:r>
        <w:rPr>
          <w:color w:val="231F20"/>
          <w:spacing w:val="17"/>
        </w:rPr>
        <w:t> </w:t>
      </w:r>
      <w:r>
        <w:rPr>
          <w:color w:val="231F20"/>
        </w:rPr>
        <w:t>systems</w:t>
      </w:r>
      <w:r>
        <w:rPr>
          <w:color w:val="231F20"/>
          <w:spacing w:val="16"/>
        </w:rPr>
        <w:t> </w:t>
      </w:r>
      <w:r>
        <w:rPr>
          <w:color w:val="231F20"/>
          <w:spacing w:val="-2"/>
        </w:rPr>
        <w:t>between.</w:t>
      </w:r>
    </w:p>
    <w:p>
      <w:pPr>
        <w:pStyle w:val="Heading6"/>
        <w:spacing w:line="240" w:lineRule="auto" w:before="112"/>
        <w:ind w:left="2548"/>
      </w:pPr>
      <w:r>
        <w:rPr>
          <w:color w:val="231F20"/>
        </w:rPr>
        <w:t>To</w:t>
      </w:r>
      <w:r>
        <w:rPr>
          <w:color w:val="231F20"/>
          <w:spacing w:val="5"/>
        </w:rPr>
        <w:t> </w:t>
      </w:r>
      <w:r>
        <w:rPr>
          <w:color w:val="231F20"/>
        </w:rPr>
        <w:t>enter</w:t>
      </w:r>
      <w:r>
        <w:rPr>
          <w:color w:val="231F20"/>
          <w:spacing w:val="6"/>
        </w:rPr>
        <w:t> </w:t>
      </w:r>
      <w:r>
        <w:rPr>
          <w:color w:val="231F20"/>
        </w:rPr>
        <w:t>a</w:t>
      </w:r>
      <w:r>
        <w:rPr>
          <w:color w:val="231F20"/>
          <w:spacing w:val="5"/>
        </w:rPr>
        <w:t> </w:t>
      </w:r>
      <w:r>
        <w:rPr>
          <w:color w:val="231F20"/>
          <w:spacing w:val="-2"/>
        </w:rPr>
        <w:t>command:</w:t>
      </w:r>
    </w:p>
    <w:p>
      <w:pPr>
        <w:pStyle w:val="ListParagraph"/>
        <w:numPr>
          <w:ilvl w:val="0"/>
          <w:numId w:val="151"/>
        </w:numPr>
        <w:tabs>
          <w:tab w:pos="3582" w:val="left" w:leader="none"/>
        </w:tabs>
        <w:spacing w:line="240" w:lineRule="auto" w:before="36" w:after="0"/>
        <w:ind w:left="3582" w:right="0" w:hanging="315"/>
        <w:jc w:val="left"/>
        <w:rPr>
          <w:sz w:val="20"/>
        </w:rPr>
      </w:pPr>
      <w:r>
        <w:rPr>
          <w:color w:val="231F20"/>
          <w:sz w:val="20"/>
        </w:rPr>
        <w:t>In</w:t>
      </w:r>
      <w:r>
        <w:rPr>
          <w:color w:val="231F20"/>
          <w:spacing w:val="11"/>
          <w:sz w:val="20"/>
        </w:rPr>
        <w:t> </w:t>
      </w:r>
      <w:r>
        <w:rPr>
          <w:color w:val="231F20"/>
          <w:sz w:val="20"/>
        </w:rPr>
        <w:t>the</w:t>
      </w:r>
      <w:r>
        <w:rPr>
          <w:color w:val="231F20"/>
          <w:spacing w:val="12"/>
          <w:sz w:val="20"/>
        </w:rPr>
        <w:t> </w:t>
      </w:r>
      <w:r>
        <w:rPr>
          <w:rFonts w:ascii="Book Antiqua"/>
          <w:b/>
          <w:color w:val="231F20"/>
          <w:sz w:val="20"/>
        </w:rPr>
        <w:t>Command</w:t>
      </w:r>
      <w:r>
        <w:rPr>
          <w:rFonts w:ascii="Book Antiqua"/>
          <w:b/>
          <w:color w:val="231F20"/>
          <w:spacing w:val="12"/>
          <w:sz w:val="20"/>
        </w:rPr>
        <w:t> </w:t>
      </w:r>
      <w:r>
        <w:rPr>
          <w:color w:val="231F20"/>
          <w:sz w:val="20"/>
        </w:rPr>
        <w:t>text</w:t>
      </w:r>
      <w:r>
        <w:rPr>
          <w:color w:val="231F20"/>
          <w:spacing w:val="11"/>
          <w:sz w:val="20"/>
        </w:rPr>
        <w:t> </w:t>
      </w:r>
      <w:r>
        <w:rPr>
          <w:color w:val="231F20"/>
          <w:sz w:val="20"/>
        </w:rPr>
        <w:t>box,</w:t>
      </w:r>
      <w:r>
        <w:rPr>
          <w:color w:val="231F20"/>
          <w:spacing w:val="12"/>
          <w:sz w:val="20"/>
        </w:rPr>
        <w:t> </w:t>
      </w:r>
      <w:r>
        <w:rPr>
          <w:color w:val="231F20"/>
          <w:sz w:val="20"/>
        </w:rPr>
        <w:t>type</w:t>
      </w:r>
      <w:r>
        <w:rPr>
          <w:color w:val="231F20"/>
          <w:spacing w:val="12"/>
          <w:sz w:val="20"/>
        </w:rPr>
        <w:t> </w:t>
      </w:r>
      <w:r>
        <w:rPr>
          <w:color w:val="231F20"/>
          <w:sz w:val="20"/>
        </w:rPr>
        <w:t>a</w:t>
      </w:r>
      <w:r>
        <w:rPr>
          <w:color w:val="231F20"/>
          <w:spacing w:val="12"/>
          <w:sz w:val="20"/>
        </w:rPr>
        <w:t> </w:t>
      </w:r>
      <w:r>
        <w:rPr>
          <w:color w:val="231F20"/>
          <w:sz w:val="20"/>
        </w:rPr>
        <w:t>command.</w:t>
      </w:r>
      <w:r>
        <w:rPr>
          <w:color w:val="231F20"/>
          <w:spacing w:val="11"/>
          <w:sz w:val="20"/>
        </w:rPr>
        <w:t> </w:t>
      </w:r>
      <w:r>
        <w:rPr>
          <w:color w:val="231F20"/>
          <w:sz w:val="20"/>
        </w:rPr>
        <w:t>For</w:t>
      </w:r>
      <w:r>
        <w:rPr>
          <w:color w:val="231F20"/>
          <w:spacing w:val="12"/>
          <w:sz w:val="20"/>
        </w:rPr>
        <w:t> </w:t>
      </w:r>
      <w:r>
        <w:rPr>
          <w:color w:val="231F20"/>
          <w:spacing w:val="-2"/>
          <w:sz w:val="20"/>
        </w:rPr>
        <w:t>example:</w:t>
      </w:r>
    </w:p>
    <w:p>
      <w:pPr>
        <w:spacing w:line="230" w:lineRule="auto" w:before="62"/>
        <w:ind w:left="3583" w:right="1712" w:firstLine="0"/>
        <w:jc w:val="left"/>
        <w:rPr>
          <w:rFonts w:ascii="Arial"/>
          <w:sz w:val="18"/>
        </w:rPr>
      </w:pPr>
      <w:r>
        <w:rPr>
          <w:rFonts w:ascii="Arial"/>
          <w:color w:val="231F20"/>
          <w:sz w:val="18"/>
        </w:rPr>
        <w:t>Net</w:t>
      </w:r>
      <w:r>
        <w:rPr>
          <w:rFonts w:ascii="Arial"/>
          <w:color w:val="231F20"/>
          <w:spacing w:val="30"/>
          <w:sz w:val="18"/>
        </w:rPr>
        <w:t> </w:t>
      </w:r>
      <w:r>
        <w:rPr>
          <w:rFonts w:ascii="Arial"/>
          <w:color w:val="231F20"/>
          <w:sz w:val="18"/>
        </w:rPr>
        <w:t>send</w:t>
      </w:r>
      <w:r>
        <w:rPr>
          <w:rFonts w:ascii="Arial"/>
          <w:color w:val="231F20"/>
          <w:spacing w:val="30"/>
          <w:sz w:val="18"/>
        </w:rPr>
        <w:t> </w:t>
      </w:r>
      <w:r>
        <w:rPr>
          <w:rFonts w:ascii="Arial"/>
          <w:color w:val="231F20"/>
          <w:sz w:val="18"/>
        </w:rPr>
        <w:t>mars</w:t>
      </w:r>
      <w:r>
        <w:rPr>
          <w:rFonts w:ascii="Arial"/>
          <w:color w:val="231F20"/>
          <w:spacing w:val="30"/>
          <w:sz w:val="18"/>
        </w:rPr>
        <w:t> </w:t>
      </w:r>
      <w:r>
        <w:rPr>
          <w:rFonts w:ascii="Arial"/>
          <w:color w:val="231F20"/>
          <w:sz w:val="18"/>
        </w:rPr>
        <w:t>The</w:t>
      </w:r>
      <w:r>
        <w:rPr>
          <w:rFonts w:ascii="Arial"/>
          <w:color w:val="231F20"/>
          <w:spacing w:val="30"/>
          <w:sz w:val="18"/>
        </w:rPr>
        <w:t> </w:t>
      </w:r>
      <w:r>
        <w:rPr>
          <w:rFonts w:ascii="Arial"/>
          <w:color w:val="231F20"/>
          <w:sz w:val="18"/>
        </w:rPr>
        <w:t>server</w:t>
      </w:r>
      <w:r>
        <w:rPr>
          <w:rFonts w:ascii="Arial"/>
          <w:color w:val="231F20"/>
          <w:spacing w:val="25"/>
          <w:w w:val="110"/>
          <w:sz w:val="18"/>
        </w:rPr>
        <w:t> </w:t>
      </w:r>
      <w:r>
        <w:rPr>
          <w:rFonts w:ascii="Arial"/>
          <w:color w:val="231F20"/>
          <w:w w:val="110"/>
          <w:sz w:val="18"/>
        </w:rPr>
        <w:t>is</w:t>
      </w:r>
      <w:r>
        <w:rPr>
          <w:rFonts w:ascii="Arial"/>
          <w:color w:val="231F20"/>
          <w:spacing w:val="25"/>
          <w:w w:val="110"/>
          <w:sz w:val="18"/>
        </w:rPr>
        <w:t> </w:t>
      </w:r>
      <w:r>
        <w:rPr>
          <w:rFonts w:ascii="Arial"/>
          <w:color w:val="231F20"/>
          <w:sz w:val="18"/>
        </w:rPr>
        <w:t>running</w:t>
      </w:r>
      <w:r>
        <w:rPr>
          <w:rFonts w:ascii="Arial"/>
          <w:color w:val="231F20"/>
          <w:spacing w:val="30"/>
          <w:sz w:val="18"/>
        </w:rPr>
        <w:t> </w:t>
      </w:r>
      <w:r>
        <w:rPr>
          <w:rFonts w:ascii="Arial"/>
          <w:color w:val="231F20"/>
          <w:sz w:val="18"/>
        </w:rPr>
        <w:t>out</w:t>
      </w:r>
      <w:r>
        <w:rPr>
          <w:rFonts w:ascii="Arial"/>
          <w:color w:val="231F20"/>
          <w:spacing w:val="30"/>
          <w:sz w:val="18"/>
        </w:rPr>
        <w:t> </w:t>
      </w:r>
      <w:r>
        <w:rPr>
          <w:rFonts w:ascii="Arial"/>
          <w:color w:val="231F20"/>
          <w:sz w:val="18"/>
        </w:rPr>
        <w:t>of</w:t>
      </w:r>
      <w:r>
        <w:rPr>
          <w:rFonts w:ascii="Arial"/>
          <w:color w:val="231F20"/>
          <w:spacing w:val="30"/>
          <w:sz w:val="18"/>
        </w:rPr>
        <w:t> </w:t>
      </w:r>
      <w:r>
        <w:rPr>
          <w:rFonts w:ascii="Arial"/>
          <w:color w:val="231F20"/>
          <w:sz w:val="18"/>
        </w:rPr>
        <w:t>memory. Close</w:t>
      </w:r>
      <w:r>
        <w:rPr>
          <w:rFonts w:ascii="Arial"/>
          <w:color w:val="231F20"/>
          <w:spacing w:val="40"/>
          <w:sz w:val="18"/>
        </w:rPr>
        <w:t> </w:t>
      </w:r>
      <w:r>
        <w:rPr>
          <w:rFonts w:ascii="Arial"/>
          <w:color w:val="231F20"/>
          <w:sz w:val="18"/>
        </w:rPr>
        <w:t>some</w:t>
      </w:r>
      <w:r>
        <w:rPr>
          <w:rFonts w:ascii="Arial"/>
          <w:color w:val="231F20"/>
          <w:spacing w:val="40"/>
          <w:sz w:val="18"/>
        </w:rPr>
        <w:t> </w:t>
      </w:r>
      <w:r>
        <w:rPr>
          <w:rFonts w:ascii="Arial"/>
          <w:color w:val="231F20"/>
          <w:sz w:val="18"/>
        </w:rPr>
        <w:t>applications</w:t>
      </w:r>
    </w:p>
    <w:p>
      <w:pPr>
        <w:pStyle w:val="BodyText"/>
        <w:spacing w:line="213" w:lineRule="auto" w:before="72"/>
        <w:ind w:left="3583" w:right="493"/>
      </w:pPr>
      <w:r>
        <w:rPr>
          <w:color w:val="231F20"/>
        </w:rPr>
        <w:t>The user at the system named mars sees the message, "The server </w:t>
      </w:r>
      <w:r>
        <w:rPr>
          <w:color w:val="231F20"/>
        </w:rPr>
        <w:t>is running out of memory. Close some applications."</w:t>
      </w:r>
    </w:p>
    <w:p>
      <w:pPr>
        <w:pStyle w:val="ListParagraph"/>
        <w:numPr>
          <w:ilvl w:val="0"/>
          <w:numId w:val="151"/>
        </w:numPr>
        <w:tabs>
          <w:tab w:pos="3583" w:val="left" w:leader="none"/>
          <w:tab w:pos="3649" w:val="left" w:leader="none"/>
        </w:tabs>
        <w:spacing w:line="266" w:lineRule="auto" w:before="35" w:after="0"/>
        <w:ind w:left="3583" w:right="1274" w:hanging="316"/>
        <w:jc w:val="left"/>
        <w:rPr>
          <w:sz w:val="20"/>
        </w:rPr>
      </w:pPr>
      <w:r>
        <w:rPr>
          <w:rFonts w:ascii="Arial"/>
          <w:color w:val="231F20"/>
          <w:sz w:val="20"/>
        </w:rPr>
        <w:tab/>
      </w:r>
      <w:r>
        <w:rPr>
          <w:color w:val="231F20"/>
          <w:sz w:val="20"/>
        </w:rPr>
        <w:t>Click</w:t>
      </w:r>
      <w:r>
        <w:rPr>
          <w:color w:val="231F20"/>
          <w:spacing w:val="32"/>
          <w:sz w:val="20"/>
        </w:rPr>
        <w:t> </w:t>
      </w:r>
      <w:r>
        <w:rPr>
          <w:color w:val="231F20"/>
          <w:sz w:val="20"/>
        </w:rPr>
        <w:t>an</w:t>
      </w:r>
      <w:r>
        <w:rPr>
          <w:color w:val="231F20"/>
          <w:spacing w:val="32"/>
          <w:sz w:val="20"/>
        </w:rPr>
        <w:t> </w:t>
      </w:r>
      <w:r>
        <w:rPr>
          <w:color w:val="231F20"/>
          <w:sz w:val="20"/>
        </w:rPr>
        <w:t>application</w:t>
      </w:r>
      <w:r>
        <w:rPr>
          <w:color w:val="231F20"/>
          <w:spacing w:val="32"/>
          <w:sz w:val="20"/>
        </w:rPr>
        <w:t> </w:t>
      </w:r>
      <w:r>
        <w:rPr>
          <w:color w:val="231F20"/>
          <w:sz w:val="20"/>
        </w:rPr>
        <w:t>host</w:t>
      </w:r>
      <w:r>
        <w:rPr>
          <w:color w:val="231F20"/>
          <w:spacing w:val="32"/>
          <w:sz w:val="20"/>
        </w:rPr>
        <w:t> </w:t>
      </w:r>
      <w:r>
        <w:rPr>
          <w:color w:val="231F20"/>
          <w:sz w:val="20"/>
        </w:rPr>
        <w:t>in</w:t>
      </w:r>
      <w:r>
        <w:rPr>
          <w:color w:val="231F20"/>
          <w:spacing w:val="32"/>
          <w:sz w:val="20"/>
        </w:rPr>
        <w:t> </w:t>
      </w:r>
      <w:r>
        <w:rPr>
          <w:color w:val="231F20"/>
          <w:sz w:val="20"/>
        </w:rPr>
        <w:t>the</w:t>
      </w:r>
      <w:r>
        <w:rPr>
          <w:color w:val="231F20"/>
          <w:spacing w:val="32"/>
          <w:sz w:val="20"/>
        </w:rPr>
        <w:t> </w:t>
      </w:r>
      <w:r>
        <w:rPr>
          <w:rFonts w:ascii="Book Antiqua"/>
          <w:b/>
          <w:color w:val="231F20"/>
          <w:sz w:val="20"/>
        </w:rPr>
        <w:t>Destination</w:t>
      </w:r>
      <w:r>
        <w:rPr>
          <w:rFonts w:ascii="Book Antiqua"/>
          <w:b/>
          <w:color w:val="231F20"/>
          <w:spacing w:val="32"/>
          <w:sz w:val="20"/>
        </w:rPr>
        <w:t> </w:t>
      </w:r>
      <w:r>
        <w:rPr>
          <w:rFonts w:ascii="Book Antiqua"/>
          <w:b/>
          <w:color w:val="231F20"/>
          <w:sz w:val="20"/>
        </w:rPr>
        <w:t>System</w:t>
      </w:r>
      <w:r>
        <w:rPr>
          <w:rFonts w:ascii="Book Antiqua"/>
          <w:b/>
          <w:color w:val="231F20"/>
          <w:spacing w:val="32"/>
          <w:sz w:val="20"/>
        </w:rPr>
        <w:t> </w:t>
      </w:r>
      <w:r>
        <w:rPr>
          <w:color w:val="231F20"/>
          <w:sz w:val="20"/>
        </w:rPr>
        <w:t>list.</w:t>
      </w:r>
      <w:r>
        <w:rPr>
          <w:color w:val="231F20"/>
          <w:sz w:val="20"/>
        </w:rPr>
        <w:t> If you want to send the command to multiple systems, use</w:t>
      </w:r>
    </w:p>
    <w:p>
      <w:pPr>
        <w:pStyle w:val="BodyText"/>
        <w:spacing w:line="194" w:lineRule="exact"/>
        <w:ind w:left="3583"/>
      </w:pPr>
      <w:r>
        <w:rPr>
          <w:color w:val="231F20"/>
        </w:rPr>
        <w:t>Ctrl+click</w:t>
      </w:r>
      <w:r>
        <w:rPr>
          <w:color w:val="231F20"/>
          <w:spacing w:val="16"/>
        </w:rPr>
        <w:t> </w:t>
      </w:r>
      <w:r>
        <w:rPr>
          <w:color w:val="231F20"/>
        </w:rPr>
        <w:t>to</w:t>
      </w:r>
      <w:r>
        <w:rPr>
          <w:color w:val="231F20"/>
          <w:spacing w:val="16"/>
        </w:rPr>
        <w:t> </w:t>
      </w:r>
      <w:r>
        <w:rPr>
          <w:color w:val="231F20"/>
        </w:rPr>
        <w:t>select</w:t>
      </w:r>
      <w:r>
        <w:rPr>
          <w:color w:val="231F20"/>
          <w:spacing w:val="16"/>
        </w:rPr>
        <w:t> </w:t>
      </w:r>
      <w:r>
        <w:rPr>
          <w:color w:val="231F20"/>
        </w:rPr>
        <w:t>more</w:t>
      </w:r>
      <w:r>
        <w:rPr>
          <w:color w:val="231F20"/>
          <w:spacing w:val="16"/>
        </w:rPr>
        <w:t> </w:t>
      </w:r>
      <w:r>
        <w:rPr>
          <w:color w:val="231F20"/>
        </w:rPr>
        <w:t>or</w:t>
      </w:r>
      <w:r>
        <w:rPr>
          <w:color w:val="231F20"/>
          <w:spacing w:val="17"/>
        </w:rPr>
        <w:t> </w:t>
      </w:r>
      <w:r>
        <w:rPr>
          <w:color w:val="231F20"/>
        </w:rPr>
        <w:t>Shift+click</w:t>
      </w:r>
      <w:r>
        <w:rPr>
          <w:color w:val="231F20"/>
          <w:spacing w:val="16"/>
        </w:rPr>
        <w:t> </w:t>
      </w:r>
      <w:r>
        <w:rPr>
          <w:color w:val="231F20"/>
        </w:rPr>
        <w:t>to</w:t>
      </w:r>
      <w:r>
        <w:rPr>
          <w:color w:val="231F20"/>
          <w:spacing w:val="16"/>
        </w:rPr>
        <w:t> </w:t>
      </w:r>
      <w:r>
        <w:rPr>
          <w:color w:val="231F20"/>
        </w:rPr>
        <w:t>select</w:t>
      </w:r>
      <w:r>
        <w:rPr>
          <w:color w:val="231F20"/>
          <w:spacing w:val="16"/>
        </w:rPr>
        <w:t> </w:t>
      </w:r>
      <w:r>
        <w:rPr>
          <w:color w:val="231F20"/>
        </w:rPr>
        <w:t>all</w:t>
      </w:r>
      <w:r>
        <w:rPr>
          <w:color w:val="231F20"/>
          <w:spacing w:val="17"/>
        </w:rPr>
        <w:t> </w:t>
      </w:r>
      <w:r>
        <w:rPr>
          <w:color w:val="231F20"/>
        </w:rPr>
        <w:t>systems</w:t>
      </w:r>
      <w:r>
        <w:rPr>
          <w:color w:val="231F20"/>
          <w:spacing w:val="16"/>
        </w:rPr>
        <w:t> </w:t>
      </w:r>
      <w:r>
        <w:rPr>
          <w:color w:val="231F20"/>
          <w:spacing w:val="-2"/>
        </w:rPr>
        <w:t>between.</w:t>
      </w:r>
    </w:p>
    <w:p>
      <w:pPr>
        <w:pStyle w:val="BodyText"/>
        <w:spacing w:line="213" w:lineRule="auto" w:before="8"/>
        <w:ind w:left="3583" w:right="545"/>
      </w:pPr>
      <w:r>
        <w:rPr>
          <w:color w:val="231F20"/>
        </w:rPr>
        <w:t>After you click OK, the command is run on the selected system or systems. If a message is returned, it will be from the application </w:t>
      </w:r>
      <w:r>
        <w:rPr>
          <w:color w:val="231F20"/>
        </w:rPr>
        <w:t>on </w:t>
      </w:r>
      <w:bookmarkStart w:name="Creating a take action view" w:id="546"/>
      <w:bookmarkEnd w:id="546"/>
      <w:r>
        <w:rPr>
          <w:color w:val="231F20"/>
        </w:rPr>
        <w:t>which</w:t>
      </w:r>
      <w:r>
        <w:rPr>
          <w:color w:val="231F20"/>
        </w:rPr>
        <w:t> the command was run.</w:t>
      </w:r>
    </w:p>
    <w:p>
      <w:pPr>
        <w:pStyle w:val="Heading3"/>
        <w:spacing w:before="217"/>
        <w:ind w:left="1334"/>
      </w:pPr>
      <w:r>
        <w:rPr>
          <w:color w:val="231F20"/>
        </w:rPr>
        <w:t>Creating</w:t>
      </w:r>
      <w:r>
        <w:rPr>
          <w:color w:val="231F20"/>
          <w:spacing w:val="8"/>
        </w:rPr>
        <w:t> </w:t>
      </w:r>
      <w:r>
        <w:rPr>
          <w:color w:val="231F20"/>
        </w:rPr>
        <w:t>a</w:t>
      </w:r>
      <w:r>
        <w:rPr>
          <w:color w:val="231F20"/>
          <w:spacing w:val="8"/>
        </w:rPr>
        <w:t> </w:t>
      </w:r>
      <w:r>
        <w:rPr>
          <w:color w:val="231F20"/>
        </w:rPr>
        <w:t>take</w:t>
      </w:r>
      <w:r>
        <w:rPr>
          <w:color w:val="231F20"/>
          <w:spacing w:val="8"/>
        </w:rPr>
        <w:t> </w:t>
      </w:r>
      <w:r>
        <w:rPr>
          <w:color w:val="231F20"/>
        </w:rPr>
        <w:t>action</w:t>
      </w:r>
      <w:r>
        <w:rPr>
          <w:color w:val="231F20"/>
          <w:spacing w:val="9"/>
        </w:rPr>
        <w:t> </w:t>
      </w:r>
      <w:r>
        <w:rPr>
          <w:color w:val="231F20"/>
          <w:spacing w:val="-4"/>
        </w:rPr>
        <w:t>view</w:t>
      </w:r>
    </w:p>
    <w:p>
      <w:pPr>
        <w:pStyle w:val="BodyText"/>
        <w:spacing w:line="213" w:lineRule="auto" w:before="58"/>
        <w:ind w:left="2232" w:right="506"/>
        <w:jc w:val="both"/>
      </w:pPr>
      <w:r>
        <w:rPr>
          <w:color w:val="231F20"/>
        </w:rPr>
        <w:t>Tivoli Enterprise Portal enables you to interact directly with your applications </w:t>
      </w:r>
      <w:r>
        <w:rPr>
          <w:color w:val="231F20"/>
        </w:rPr>
        <w:t>and operating system through its take action feature. You can use the take action view</w:t>
      </w:r>
      <w:r>
        <w:rPr>
          <w:color w:val="231F20"/>
          <w:spacing w:val="40"/>
        </w:rPr>
        <w:t> </w:t>
      </w:r>
      <w:r>
        <w:rPr>
          <w:color w:val="231F20"/>
        </w:rPr>
        <w:t>to</w:t>
      </w:r>
      <w:r>
        <w:rPr>
          <w:color w:val="231F20"/>
          <w:spacing w:val="26"/>
        </w:rPr>
        <w:t> </w:t>
      </w:r>
      <w:r>
        <w:rPr>
          <w:color w:val="231F20"/>
        </w:rPr>
        <w:t>enter</w:t>
      </w:r>
      <w:r>
        <w:rPr>
          <w:color w:val="231F20"/>
          <w:spacing w:val="26"/>
        </w:rPr>
        <w:t> </w:t>
      </w:r>
      <w:r>
        <w:rPr>
          <w:color w:val="231F20"/>
        </w:rPr>
        <w:t>a</w:t>
      </w:r>
      <w:r>
        <w:rPr>
          <w:color w:val="231F20"/>
          <w:spacing w:val="26"/>
        </w:rPr>
        <w:t> </w:t>
      </w:r>
      <w:r>
        <w:rPr>
          <w:color w:val="231F20"/>
        </w:rPr>
        <w:t>system</w:t>
      </w:r>
      <w:r>
        <w:rPr>
          <w:color w:val="231F20"/>
          <w:spacing w:val="26"/>
        </w:rPr>
        <w:t> </w:t>
      </w:r>
      <w:r>
        <w:rPr>
          <w:color w:val="231F20"/>
        </w:rPr>
        <w:t>command</w:t>
      </w:r>
      <w:r>
        <w:rPr>
          <w:color w:val="231F20"/>
          <w:spacing w:val="26"/>
        </w:rPr>
        <w:t> </w:t>
      </w:r>
      <w:r>
        <w:rPr>
          <w:color w:val="231F20"/>
        </w:rPr>
        <w:t>or</w:t>
      </w:r>
      <w:r>
        <w:rPr>
          <w:color w:val="231F20"/>
          <w:spacing w:val="26"/>
        </w:rPr>
        <w:t> </w:t>
      </w:r>
      <w:r>
        <w:rPr>
          <w:color w:val="231F20"/>
        </w:rPr>
        <w:t>to</w:t>
      </w:r>
      <w:r>
        <w:rPr>
          <w:color w:val="231F20"/>
          <w:spacing w:val="26"/>
        </w:rPr>
        <w:t> </w:t>
      </w:r>
      <w:r>
        <w:rPr>
          <w:color w:val="231F20"/>
        </w:rPr>
        <w:t>stop</w:t>
      </w:r>
      <w:r>
        <w:rPr>
          <w:color w:val="231F20"/>
          <w:spacing w:val="26"/>
        </w:rPr>
        <w:t> </w:t>
      </w:r>
      <w:r>
        <w:rPr>
          <w:color w:val="231F20"/>
        </w:rPr>
        <w:t>or</w:t>
      </w:r>
      <w:r>
        <w:rPr>
          <w:color w:val="231F20"/>
          <w:spacing w:val="26"/>
        </w:rPr>
        <w:t> </w:t>
      </w:r>
      <w:r>
        <w:rPr>
          <w:color w:val="231F20"/>
        </w:rPr>
        <w:t>start</w:t>
      </w:r>
      <w:r>
        <w:rPr>
          <w:color w:val="231F20"/>
          <w:spacing w:val="26"/>
        </w:rPr>
        <w:t> </w:t>
      </w:r>
      <w:r>
        <w:rPr>
          <w:color w:val="231F20"/>
        </w:rPr>
        <w:t>a</w:t>
      </w:r>
      <w:r>
        <w:rPr>
          <w:color w:val="231F20"/>
          <w:spacing w:val="26"/>
        </w:rPr>
        <w:t> </w:t>
      </w:r>
      <w:r>
        <w:rPr>
          <w:color w:val="231F20"/>
        </w:rPr>
        <w:t>process</w:t>
      </w:r>
      <w:r>
        <w:rPr>
          <w:color w:val="231F20"/>
          <w:spacing w:val="26"/>
        </w:rPr>
        <w:t> </w:t>
      </w:r>
      <w:r>
        <w:rPr>
          <w:color w:val="231F20"/>
        </w:rPr>
        <w:t>at</w:t>
      </w:r>
      <w:r>
        <w:rPr>
          <w:color w:val="231F20"/>
          <w:spacing w:val="26"/>
        </w:rPr>
        <w:t> </w:t>
      </w:r>
      <w:r>
        <w:rPr>
          <w:color w:val="231F20"/>
        </w:rPr>
        <w:t>the</w:t>
      </w:r>
      <w:r>
        <w:rPr>
          <w:color w:val="231F20"/>
          <w:spacing w:val="26"/>
        </w:rPr>
        <w:t> </w:t>
      </w:r>
      <w:r>
        <w:rPr>
          <w:color w:val="231F20"/>
        </w:rPr>
        <w:t>system.</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232"/>
        <w:jc w:val="both"/>
      </w:pPr>
      <w:r>
        <w:rPr>
          <w:color w:val="231F20"/>
        </w:rPr>
        <w:t>Your</w:t>
      </w:r>
      <w:r>
        <w:rPr>
          <w:color w:val="231F20"/>
          <w:spacing w:val="7"/>
        </w:rPr>
        <w:t> </w:t>
      </w:r>
      <w:r>
        <w:rPr>
          <w:color w:val="231F20"/>
        </w:rPr>
        <w:t>user</w:t>
      </w:r>
      <w:r>
        <w:rPr>
          <w:color w:val="231F20"/>
          <w:spacing w:val="8"/>
        </w:rPr>
        <w:t> </w:t>
      </w:r>
      <w:r>
        <w:rPr>
          <w:color w:val="231F20"/>
        </w:rPr>
        <w:t>ID</w:t>
      </w:r>
      <w:r>
        <w:rPr>
          <w:color w:val="231F20"/>
          <w:spacing w:val="8"/>
        </w:rPr>
        <w:t> </w:t>
      </w:r>
      <w:r>
        <w:rPr>
          <w:color w:val="231F20"/>
        </w:rPr>
        <w:t>must</w:t>
      </w:r>
      <w:r>
        <w:rPr>
          <w:color w:val="231F20"/>
          <w:spacing w:val="8"/>
        </w:rPr>
        <w:t> </w:t>
      </w:r>
      <w:r>
        <w:rPr>
          <w:color w:val="231F20"/>
        </w:rPr>
        <w:t>have</w:t>
      </w:r>
      <w:r>
        <w:rPr>
          <w:color w:val="231F20"/>
          <w:spacing w:val="8"/>
        </w:rPr>
        <w:t> </w:t>
      </w:r>
      <w:r>
        <w:rPr>
          <w:color w:val="231F20"/>
        </w:rPr>
        <w:t>Workspace</w:t>
      </w:r>
      <w:r>
        <w:rPr>
          <w:color w:val="231F20"/>
          <w:spacing w:val="2"/>
        </w:rPr>
        <w:t> </w:t>
      </w:r>
      <w:r>
        <w:rPr>
          <w:color w:val="231F20"/>
        </w:rPr>
        <w:t>Author</w:t>
      </w:r>
      <w:r>
        <w:rPr>
          <w:color w:val="231F20"/>
          <w:spacing w:val="8"/>
        </w:rPr>
        <w:t> </w:t>
      </w:r>
      <w:r>
        <w:rPr>
          <w:color w:val="231F20"/>
        </w:rPr>
        <w:t>Mode</w:t>
      </w:r>
      <w:r>
        <w:rPr>
          <w:color w:val="231F20"/>
          <w:spacing w:val="7"/>
        </w:rPr>
        <w:t> </w:t>
      </w:r>
      <w:r>
        <w:rPr>
          <w:color w:val="231F20"/>
        </w:rPr>
        <w:t>permission</w:t>
      </w:r>
      <w:r>
        <w:rPr>
          <w:color w:val="231F20"/>
          <w:spacing w:val="8"/>
        </w:rPr>
        <w:t> </w:t>
      </w:r>
      <w:r>
        <w:rPr>
          <w:color w:val="231F20"/>
        </w:rPr>
        <w:t>to</w:t>
      </w:r>
      <w:r>
        <w:rPr>
          <w:color w:val="231F20"/>
          <w:spacing w:val="8"/>
        </w:rPr>
        <w:t> </w:t>
      </w:r>
      <w:r>
        <w:rPr>
          <w:color w:val="231F20"/>
        </w:rPr>
        <w:t>use</w:t>
      </w:r>
      <w:r>
        <w:rPr>
          <w:color w:val="231F20"/>
          <w:spacing w:val="8"/>
        </w:rPr>
        <w:t> </w:t>
      </w:r>
      <w:r>
        <w:rPr>
          <w:color w:val="231F20"/>
        </w:rPr>
        <w:t>this</w:t>
      </w:r>
      <w:r>
        <w:rPr>
          <w:color w:val="231F20"/>
          <w:spacing w:val="8"/>
        </w:rPr>
        <w:t> </w:t>
      </w:r>
      <w:r>
        <w:rPr>
          <w:color w:val="231F20"/>
          <w:spacing w:val="-2"/>
        </w:rPr>
        <w:t>function.</w:t>
      </w:r>
    </w:p>
    <w:p>
      <w:pPr>
        <w:pStyle w:val="Heading4"/>
        <w:spacing w:before="194"/>
      </w:pPr>
      <w:r>
        <w:rPr>
          <w:color w:val="231F20"/>
          <w:spacing w:val="-2"/>
        </w:rPr>
        <w:t>Procedure</w:t>
      </w:r>
    </w:p>
    <w:p>
      <w:pPr>
        <w:pStyle w:val="ListParagraph"/>
        <w:numPr>
          <w:ilvl w:val="0"/>
          <w:numId w:val="152"/>
        </w:numPr>
        <w:tabs>
          <w:tab w:pos="2547" w:val="left" w:leader="none"/>
        </w:tabs>
        <w:spacing w:line="240" w:lineRule="auto" w:before="39" w:after="0"/>
        <w:ind w:left="2547" w:right="0" w:hanging="315"/>
        <w:jc w:val="left"/>
        <w:rPr>
          <w:rFonts w:ascii="Arial"/>
          <w:color w:val="231F20"/>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152"/>
        </w:numPr>
        <w:tabs>
          <w:tab w:pos="2548" w:val="left" w:leader="none"/>
        </w:tabs>
        <w:spacing w:line="213" w:lineRule="auto" w:before="52" w:after="0"/>
        <w:ind w:left="2548" w:right="404" w:hanging="316"/>
        <w:jc w:val="left"/>
        <w:rPr>
          <w:rFonts w:ascii="Arial"/>
          <w:color w:val="231F20"/>
          <w:sz w:val="20"/>
        </w:rPr>
      </w:pPr>
      <w:r>
        <w:rPr>
          <w:color w:val="231F20"/>
          <w:sz w:val="20"/>
        </w:rPr>
        <w:t>If you want the view to occupy a new pane, click</w:t>
      </w:r>
      <w:r>
        <w:rPr>
          <w:color w:val="231F20"/>
          <w:spacing w:val="35"/>
          <w:sz w:val="20"/>
        </w:rPr>
        <w:t> </w:t>
      </w:r>
      <w:r>
        <w:rPr>
          <w:color w:val="231F20"/>
          <w:spacing w:val="-15"/>
          <w:position w:val="-1"/>
          <w:sz w:val="20"/>
        </w:rPr>
        <w:drawing>
          <wp:inline distT="0" distB="0" distL="0" distR="0">
            <wp:extent cx="88900" cy="88900"/>
            <wp:effectExtent l="0" t="0" r="0" b="0"/>
            <wp:docPr id="2837" name="Image 2837"/>
            <wp:cNvGraphicFramePr>
              <a:graphicFrameLocks/>
            </wp:cNvGraphicFramePr>
            <a:graphic>
              <a:graphicData uri="http://schemas.openxmlformats.org/drawingml/2006/picture">
                <pic:pic>
                  <pic:nvPicPr>
                    <pic:cNvPr id="2837" name="Image 2837"/>
                    <pic:cNvPicPr/>
                  </pic:nvPicPr>
                  <pic:blipFill>
                    <a:blip r:embed="rId66" cstate="print"/>
                    <a:stretch>
                      <a:fillRect/>
                    </a:stretch>
                  </pic:blipFill>
                  <pic:spPr>
                    <a:xfrm>
                      <a:off x="0" y="0"/>
                      <a:ext cx="88900" cy="889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Split Vertically or</w:t>
      </w:r>
      <w:r>
        <w:rPr>
          <w:color w:val="231F20"/>
          <w:spacing w:val="36"/>
          <w:sz w:val="20"/>
        </w:rPr>
        <w:t> </w:t>
      </w:r>
      <w:r>
        <w:rPr>
          <w:color w:val="231F20"/>
          <w:spacing w:val="-14"/>
          <w:position w:val="-1"/>
          <w:sz w:val="20"/>
        </w:rPr>
        <w:drawing>
          <wp:inline distT="0" distB="0" distL="0" distR="0">
            <wp:extent cx="88900" cy="88900"/>
            <wp:effectExtent l="0" t="0" r="0" b="0"/>
            <wp:docPr id="2838" name="Image 2838"/>
            <wp:cNvGraphicFramePr>
              <a:graphicFrameLocks/>
            </wp:cNvGraphicFramePr>
            <a:graphic>
              <a:graphicData uri="http://schemas.openxmlformats.org/drawingml/2006/picture">
                <pic:pic>
                  <pic:nvPicPr>
                    <pic:cNvPr id="2838" name="Image 2838"/>
                    <pic:cNvPicPr/>
                  </pic:nvPicPr>
                  <pic:blipFill>
                    <a:blip r:embed="rId65" cstate="print"/>
                    <a:stretch>
                      <a:fillRect/>
                    </a:stretch>
                  </pic:blipFill>
                  <pic:spPr>
                    <a:xfrm>
                      <a:off x="0" y="0"/>
                      <a:ext cx="88900" cy="88900"/>
                    </a:xfrm>
                    <a:prstGeom prst="rect">
                      <a:avLst/>
                    </a:prstGeom>
                  </pic:spPr>
                </pic:pic>
              </a:graphicData>
            </a:graphic>
          </wp:inline>
        </w:drawing>
      </w:r>
      <w:r>
        <w:rPr>
          <w:color w:val="231F20"/>
          <w:spacing w:val="-14"/>
          <w:position w:val="-1"/>
          <w:sz w:val="20"/>
        </w:rPr>
      </w:r>
      <w:r>
        <w:rPr>
          <w:rFonts w:ascii="Times New Roman"/>
          <w:color w:val="231F20"/>
          <w:spacing w:val="80"/>
          <w:sz w:val="20"/>
        </w:rPr>
        <w:t> </w:t>
      </w:r>
      <w:r>
        <w:rPr>
          <w:color w:val="231F20"/>
          <w:sz w:val="20"/>
        </w:rPr>
        <w:t>Split Horizontally in one of the views. The pane divides and a duplicate is created. </w:t>
      </w:r>
      <w:r>
        <w:rPr>
          <w:color w:val="231F20"/>
          <w:sz w:val="20"/>
        </w:rPr>
        <w:t>If you split the Navigator, the new view is empty.</w:t>
      </w:r>
    </w:p>
    <w:p>
      <w:pPr>
        <w:pStyle w:val="ListParagraph"/>
        <w:numPr>
          <w:ilvl w:val="0"/>
          <w:numId w:val="152"/>
        </w:numPr>
        <w:tabs>
          <w:tab w:pos="2546" w:val="left" w:leader="none"/>
          <w:tab w:pos="2548" w:val="left" w:leader="none"/>
        </w:tabs>
        <w:spacing w:line="211" w:lineRule="auto" w:before="67" w:after="0"/>
        <w:ind w:left="2548" w:right="651" w:hanging="317"/>
        <w:jc w:val="left"/>
        <w:rPr>
          <w:rFonts w:ascii="Arial"/>
          <w:color w:val="231F20"/>
          <w:position w:val="1"/>
          <w:sz w:val="20"/>
        </w:rPr>
      </w:pPr>
      <w:r>
        <w:rPr>
          <w:color w:val="231F20"/>
          <w:position w:val="1"/>
          <w:sz w:val="20"/>
        </w:rPr>
        <w:t>Click</w:t>
      </w:r>
      <w:r>
        <w:rPr>
          <w:color w:val="231F20"/>
          <w:spacing w:val="28"/>
          <w:position w:val="1"/>
          <w:sz w:val="20"/>
        </w:rPr>
        <w:t> </w:t>
      </w:r>
      <w:r>
        <w:rPr>
          <w:color w:val="231F20"/>
          <w:spacing w:val="-14"/>
          <w:sz w:val="20"/>
        </w:rPr>
        <w:drawing>
          <wp:inline distT="0" distB="0" distL="0" distR="0">
            <wp:extent cx="76200" cy="95250"/>
            <wp:effectExtent l="0" t="0" r="0" b="0"/>
            <wp:docPr id="2839" name="Image 2839"/>
            <wp:cNvGraphicFramePr>
              <a:graphicFrameLocks/>
            </wp:cNvGraphicFramePr>
            <a:graphic>
              <a:graphicData uri="http://schemas.openxmlformats.org/drawingml/2006/picture">
                <pic:pic>
                  <pic:nvPicPr>
                    <pic:cNvPr id="2839" name="Image 2839"/>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4"/>
          <w:sz w:val="20"/>
        </w:rPr>
      </w:r>
      <w:r>
        <w:rPr>
          <w:rFonts w:ascii="Times New Roman"/>
          <w:color w:val="231F20"/>
          <w:spacing w:val="25"/>
          <w:position w:val="1"/>
          <w:sz w:val="20"/>
        </w:rPr>
        <w:t> </w:t>
      </w:r>
      <w:r>
        <w:rPr>
          <w:rFonts w:ascii="Book Antiqua"/>
          <w:b/>
          <w:color w:val="231F20"/>
          <w:position w:val="1"/>
          <w:sz w:val="20"/>
        </w:rPr>
        <w:t>Take Action</w:t>
      </w:r>
      <w:r>
        <w:rPr>
          <w:color w:val="231F20"/>
          <w:position w:val="1"/>
          <w:sz w:val="20"/>
        </w:rPr>
        <w:t>. The mouse pointer changes to the view icon (hand </w:t>
      </w:r>
      <w:r>
        <w:rPr>
          <w:color w:val="231F20"/>
          <w:position w:val="1"/>
          <w:sz w:val="20"/>
        </w:rPr>
        <w:t>icon </w:t>
      </w:r>
      <w:r>
        <w:rPr>
          <w:color w:val="231F20"/>
          <w:sz w:val="20"/>
        </w:rPr>
        <w:t>on Linux). If you get the wrong icon or decide not to add the view, press Escape or click somewhere in the toolbar.</w:t>
      </w:r>
    </w:p>
    <w:p>
      <w:pPr>
        <w:pStyle w:val="ListParagraph"/>
        <w:numPr>
          <w:ilvl w:val="0"/>
          <w:numId w:val="152"/>
        </w:numPr>
        <w:tabs>
          <w:tab w:pos="2548" w:val="left" w:leader="none"/>
        </w:tabs>
        <w:spacing w:line="213" w:lineRule="auto" w:before="57" w:after="0"/>
        <w:ind w:left="2548" w:right="486" w:hanging="316"/>
        <w:jc w:val="left"/>
        <w:rPr>
          <w:rFonts w:ascii="Arial"/>
          <w:color w:val="231F20"/>
          <w:sz w:val="20"/>
        </w:rPr>
      </w:pPr>
      <w:r>
        <w:rPr>
          <w:color w:val="231F20"/>
          <w:sz w:val="20"/>
        </w:rPr>
        <w:t>Click inside the view where you want the take action view. After you click, the old view is replaced by the take action view.</w:t>
      </w:r>
    </w:p>
    <w:p>
      <w:pPr>
        <w:spacing w:after="0" w:line="213" w:lineRule="auto"/>
        <w:jc w:val="left"/>
        <w:rPr>
          <w:rFonts w:ascii="Arial"/>
          <w:sz w:val="20"/>
        </w:rPr>
        <w:sectPr>
          <w:pgSz w:w="12240" w:h="15840"/>
          <w:pgMar w:header="0" w:footer="736" w:top="1180" w:bottom="920" w:left="1000" w:right="1060"/>
        </w:sectPr>
      </w:pPr>
    </w:p>
    <w:p>
      <w:pPr>
        <w:pStyle w:val="Heading4"/>
        <w:spacing w:before="86"/>
        <w:ind w:left="2472"/>
      </w:pPr>
      <w:bookmarkStart w:name="_bookmark268" w:id="547"/>
      <w:bookmarkEnd w:id="547"/>
      <w:r>
        <w:rPr>
          <w:b w:val="0"/>
        </w:rPr>
      </w: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2"/>
        <w:ind w:left="2472" w:right="545"/>
      </w:pPr>
      <w:r>
        <w:rPr>
          <w:color w:val="231F20"/>
        </w:rPr>
        <w:t>If you want to keep the take action view in this workspace for future work sessions, either click</w:t>
      </w:r>
      <w:r>
        <w:rPr>
          <w:color w:val="231F20"/>
          <w:spacing w:val="19"/>
        </w:rPr>
        <w:t> </w:t>
      </w:r>
      <w:r>
        <w:rPr>
          <w:color w:val="231F20"/>
          <w:spacing w:val="-24"/>
          <w:position w:val="-1"/>
        </w:rPr>
        <w:drawing>
          <wp:inline distT="0" distB="0" distL="0" distR="0">
            <wp:extent cx="95250" cy="95250"/>
            <wp:effectExtent l="0" t="0" r="0" b="0"/>
            <wp:docPr id="2840" name="Image 2840"/>
            <wp:cNvGraphicFramePr>
              <a:graphicFrameLocks/>
            </wp:cNvGraphicFramePr>
            <a:graphic>
              <a:graphicData uri="http://schemas.openxmlformats.org/drawingml/2006/picture">
                <pic:pic>
                  <pic:nvPicPr>
                    <pic:cNvPr id="2840" name="Image 2840"/>
                    <pic:cNvPicPr/>
                  </pic:nvPicPr>
                  <pic:blipFill>
                    <a:blip r:embed="rId27"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16"/>
        </w:rPr>
        <w:t> </w:t>
      </w:r>
      <w:r>
        <w:rPr>
          <w:rFonts w:ascii="Book Antiqua"/>
          <w:b/>
          <w:color w:val="231F20"/>
        </w:rPr>
        <w:t>Save </w:t>
      </w:r>
      <w:r>
        <w:rPr>
          <w:color w:val="231F20"/>
        </w:rPr>
        <w:t>to update the workspace properties with the </w:t>
      </w:r>
      <w:r>
        <w:rPr>
          <w:color w:val="231F20"/>
        </w:rPr>
        <w:t>new view, or click </w:t>
      </w:r>
      <w:r>
        <w:rPr>
          <w:rFonts w:ascii="Book Antiqua"/>
          <w:b/>
          <w:color w:val="231F20"/>
        </w:rPr>
        <w:t>File </w:t>
      </w:r>
      <w:r>
        <w:rPr>
          <w:color w:val="231F20"/>
        </w:rPr>
        <w:t>&gt; </w:t>
      </w:r>
      <w:r>
        <w:rPr>
          <w:rFonts w:ascii="Book Antiqua"/>
          <w:b/>
          <w:color w:val="231F20"/>
        </w:rPr>
        <w:t>Save Workspace As </w:t>
      </w:r>
      <w:r>
        <w:rPr>
          <w:color w:val="231F20"/>
        </w:rPr>
        <w:t>to save this as a new workspace and</w:t>
      </w:r>
      <w:r>
        <w:rPr>
          <w:color w:val="231F20"/>
          <w:spacing w:val="40"/>
        </w:rPr>
        <w:t> </w:t>
      </w:r>
      <w:r>
        <w:rPr>
          <w:color w:val="231F20"/>
        </w:rPr>
        <w:t>leave the original unchanged.</w:t>
      </w:r>
    </w:p>
    <w:p>
      <w:pPr>
        <w:pStyle w:val="Heading3"/>
        <w:spacing w:before="215"/>
        <w:ind w:left="0" w:right="602"/>
        <w:jc w:val="center"/>
      </w:pPr>
      <w:bookmarkStart w:name="Rules and guidelines for take action com" w:id="548"/>
      <w:bookmarkEnd w:id="548"/>
      <w:r>
        <w:rPr>
          <w:b w:val="0"/>
        </w:rPr>
      </w:r>
      <w:r>
        <w:rPr>
          <w:color w:val="231F20"/>
        </w:rPr>
        <w:t>Rules</w:t>
      </w:r>
      <w:r>
        <w:rPr>
          <w:color w:val="231F20"/>
          <w:spacing w:val="7"/>
        </w:rPr>
        <w:t> </w:t>
      </w:r>
      <w:r>
        <w:rPr>
          <w:color w:val="231F20"/>
        </w:rPr>
        <w:t>and</w:t>
      </w:r>
      <w:r>
        <w:rPr>
          <w:color w:val="231F20"/>
          <w:spacing w:val="8"/>
        </w:rPr>
        <w:t> </w:t>
      </w:r>
      <w:r>
        <w:rPr>
          <w:color w:val="231F20"/>
        </w:rPr>
        <w:t>guidelines</w:t>
      </w:r>
      <w:r>
        <w:rPr>
          <w:color w:val="231F20"/>
          <w:spacing w:val="7"/>
        </w:rPr>
        <w:t> </w:t>
      </w:r>
      <w:r>
        <w:rPr>
          <w:color w:val="231F20"/>
        </w:rPr>
        <w:t>for</w:t>
      </w:r>
      <w:r>
        <w:rPr>
          <w:color w:val="231F20"/>
          <w:spacing w:val="8"/>
        </w:rPr>
        <w:t> </w:t>
      </w:r>
      <w:r>
        <w:rPr>
          <w:color w:val="231F20"/>
        </w:rPr>
        <w:t>take</w:t>
      </w:r>
      <w:r>
        <w:rPr>
          <w:color w:val="231F20"/>
          <w:spacing w:val="8"/>
        </w:rPr>
        <w:t> </w:t>
      </w:r>
      <w:r>
        <w:rPr>
          <w:color w:val="231F20"/>
        </w:rPr>
        <w:t>action</w:t>
      </w:r>
      <w:r>
        <w:rPr>
          <w:color w:val="231F20"/>
          <w:spacing w:val="7"/>
        </w:rPr>
        <w:t> </w:t>
      </w:r>
      <w:r>
        <w:rPr>
          <w:color w:val="231F20"/>
          <w:spacing w:val="-2"/>
        </w:rPr>
        <w:t>commands</w:t>
      </w:r>
    </w:p>
    <w:p>
      <w:pPr>
        <w:pStyle w:val="BodyText"/>
        <w:spacing w:line="213" w:lineRule="auto" w:before="59"/>
        <w:ind w:left="2472"/>
      </w:pPr>
      <w:r>
        <w:rPr>
          <w:color w:val="231F20"/>
        </w:rPr>
        <w:t>Follow these rules when specifying arguments and commands for a take </w:t>
      </w:r>
      <w:r>
        <w:rPr>
          <w:color w:val="231F20"/>
        </w:rPr>
        <w:t>action </w:t>
      </w:r>
      <w:r>
        <w:rPr>
          <w:color w:val="231F20"/>
          <w:spacing w:val="-2"/>
        </w:rPr>
        <w:t>definition.</w:t>
      </w:r>
    </w:p>
    <w:p>
      <w:pPr>
        <w:pStyle w:val="BodyText"/>
        <w:spacing w:line="213" w:lineRule="auto" w:before="58"/>
        <w:ind w:left="2688" w:right="493" w:hanging="216"/>
      </w:pPr>
      <w:r>
        <w:rPr>
          <w:rFonts w:ascii="Futura MdCn BT" w:hAnsi="Futura MdCn BT"/>
          <w:color w:val="231F20"/>
        </w:rPr>
        <w:t>v</w:t>
      </w:r>
      <w:r>
        <w:rPr>
          <w:rFonts w:ascii="Futura MdCn BT" w:hAnsi="Futura MdCn BT"/>
          <w:color w:val="231F20"/>
          <w:spacing w:val="80"/>
        </w:rPr>
        <w:t> </w:t>
      </w:r>
      <w:r>
        <w:rPr>
          <w:color w:val="231F20"/>
        </w:rPr>
        <w:t>A single parameter should not contain interleaving blanks, unless you enclose the text in double quotes ("). Arguments containing interleaving blanks are separated into individual values. Example: F </w:t>
      </w:r>
      <w:r>
        <w:rPr>
          <w:color w:val="231F20"/>
        </w:rPr>
        <w:t>HCHECKER,UPDATE,CHECK=(</w:t>
      </w:r>
      <w:r>
        <w:rPr>
          <w:color w:val="231F20"/>
        </w:rPr>
        <w:t> </w:t>
      </w:r>
      <w:r>
        <w:rPr>
          <w:color w:val="231F20"/>
          <w:spacing w:val="-2"/>
        </w:rPr>
        <w:t>&amp;Health_Checker_Checks.Check_Owner, &amp;Health_Checker_Checks.Check_Name),PARM=“&amp;Health_Checker_Checks. Parameters”</w:t>
      </w:r>
    </w:p>
    <w:p>
      <w:pPr>
        <w:pStyle w:val="BodyText"/>
        <w:spacing w:line="213" w:lineRule="auto" w:before="56"/>
        <w:ind w:left="2688" w:right="493" w:hanging="216"/>
      </w:pPr>
      <w:r>
        <w:rPr>
          <w:rFonts w:ascii="Futura MdCn BT"/>
          <w:color w:val="231F20"/>
        </w:rPr>
        <w:t>v</w:t>
      </w:r>
      <w:r>
        <w:rPr>
          <w:rFonts w:ascii="Futura MdCn BT"/>
          <w:color w:val="231F20"/>
          <w:spacing w:val="80"/>
        </w:rPr>
        <w:t> </w:t>
      </w:r>
      <w:r>
        <w:rPr>
          <w:color w:val="231F20"/>
        </w:rPr>
        <w:t>Specify substitution variables by prefixing attribute names with an </w:t>
      </w:r>
      <w:r>
        <w:rPr>
          <w:color w:val="231F20"/>
        </w:rPr>
        <w:t>&amp;</w:t>
      </w:r>
      <w:r>
        <w:rPr>
          <w:color w:val="231F20"/>
        </w:rPr>
        <w:t> </w:t>
      </w:r>
      <w:r>
        <w:rPr>
          <w:color w:val="231F20"/>
          <w:spacing w:val="-2"/>
        </w:rPr>
        <w:t>ampersand.</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Specify fully qualified attributes in the </w:t>
      </w:r>
      <w:r>
        <w:rPr>
          <w:rFonts w:ascii="Book Antiqua"/>
          <w:i/>
          <w:color w:val="231F20"/>
        </w:rPr>
        <w:t>&amp;Groupname.Attributename </w:t>
      </w:r>
      <w:r>
        <w:rPr>
          <w:color w:val="231F20"/>
        </w:rPr>
        <w:t>format, indicating that a value can only be substituted from a specific attribute </w:t>
      </w:r>
      <w:r>
        <w:rPr>
          <w:color w:val="231F20"/>
        </w:rPr>
        <w:t>group.</w:t>
      </w:r>
    </w:p>
    <w:p>
      <w:pPr>
        <w:pStyle w:val="BodyText"/>
        <w:spacing w:line="213" w:lineRule="auto" w:before="59"/>
        <w:ind w:left="2688" w:right="493" w:hanging="216"/>
      </w:pPr>
      <w:r>
        <w:rPr>
          <w:rFonts w:ascii="Futura MdCn BT"/>
          <w:color w:val="231F20"/>
        </w:rPr>
        <w:t>v</w:t>
      </w:r>
      <w:r>
        <w:rPr>
          <w:rFonts w:ascii="Futura MdCn BT"/>
          <w:color w:val="231F20"/>
          <w:spacing w:val="80"/>
        </w:rPr>
        <w:t> </w:t>
      </w:r>
      <w:r>
        <w:rPr>
          <w:color w:val="231F20"/>
        </w:rPr>
        <w:t>Command strings are created by concatenating the contents of the </w:t>
      </w:r>
      <w:r>
        <w:rPr>
          <w:color w:val="231F20"/>
        </w:rPr>
        <w:t>Command</w:t>
      </w:r>
      <w:r>
        <w:rPr>
          <w:color w:val="231F20"/>
        </w:rPr>
        <w:t> entry field with all the arguments in the Arguments field.</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When an attribute is selected and added to the Arguments field, the attribute </w:t>
      </w:r>
      <w:r>
        <w:rPr>
          <w:color w:val="231F20"/>
        </w:rPr>
        <w:t>is</w:t>
      </w:r>
      <w:r>
        <w:rPr>
          <w:color w:val="231F20"/>
        </w:rPr>
        <w:t> removed from the list of available attributes.</w:t>
      </w:r>
    </w:p>
    <w:p>
      <w:pPr>
        <w:pStyle w:val="BodyText"/>
        <w:spacing w:line="255" w:lineRule="exact" w:before="35"/>
        <w:ind w:left="2472"/>
      </w:pPr>
      <w:r>
        <w:rPr>
          <w:rFonts w:ascii="Futura MdCn BT"/>
          <w:color w:val="231F20"/>
        </w:rPr>
        <w:t>v</w:t>
      </w:r>
      <w:r>
        <w:rPr>
          <w:rFonts w:ascii="Futura MdCn BT"/>
          <w:color w:val="231F20"/>
          <w:spacing w:val="32"/>
        </w:rPr>
        <w:t>  </w:t>
      </w:r>
      <w:r>
        <w:rPr>
          <w:color w:val="231F20"/>
        </w:rPr>
        <w:t>A</w:t>
      </w:r>
      <w:r>
        <w:rPr>
          <w:color w:val="231F20"/>
          <w:spacing w:val="2"/>
        </w:rPr>
        <w:t> </w:t>
      </w:r>
      <w:r>
        <w:rPr>
          <w:color w:val="231F20"/>
        </w:rPr>
        <w:t>command</w:t>
      </w:r>
      <w:r>
        <w:rPr>
          <w:color w:val="231F20"/>
          <w:spacing w:val="13"/>
        </w:rPr>
        <w:t> </w:t>
      </w:r>
      <w:r>
        <w:rPr>
          <w:color w:val="231F20"/>
        </w:rPr>
        <w:t>string</w:t>
      </w:r>
      <w:r>
        <w:rPr>
          <w:color w:val="231F20"/>
          <w:spacing w:val="13"/>
        </w:rPr>
        <w:t> </w:t>
      </w:r>
      <w:r>
        <w:rPr>
          <w:color w:val="231F20"/>
        </w:rPr>
        <w:t>(Command</w:t>
      </w:r>
      <w:r>
        <w:rPr>
          <w:color w:val="231F20"/>
          <w:spacing w:val="12"/>
        </w:rPr>
        <w:t> </w:t>
      </w:r>
      <w:r>
        <w:rPr>
          <w:color w:val="231F20"/>
        </w:rPr>
        <w:t>+</w:t>
      </w:r>
      <w:r>
        <w:rPr>
          <w:color w:val="231F20"/>
          <w:spacing w:val="7"/>
        </w:rPr>
        <w:t> </w:t>
      </w:r>
      <w:r>
        <w:rPr>
          <w:color w:val="231F20"/>
        </w:rPr>
        <w:t>Arguments)</w:t>
      </w:r>
      <w:r>
        <w:rPr>
          <w:color w:val="231F20"/>
          <w:spacing w:val="12"/>
        </w:rPr>
        <w:t> </w:t>
      </w:r>
      <w:r>
        <w:rPr>
          <w:color w:val="231F20"/>
        </w:rPr>
        <w:t>definition</w:t>
      </w:r>
      <w:r>
        <w:rPr>
          <w:color w:val="231F20"/>
          <w:spacing w:val="13"/>
        </w:rPr>
        <w:t> </w:t>
      </w:r>
      <w:r>
        <w:rPr>
          <w:color w:val="231F20"/>
        </w:rPr>
        <w:t>is</w:t>
      </w:r>
      <w:r>
        <w:rPr>
          <w:color w:val="231F20"/>
          <w:spacing w:val="13"/>
        </w:rPr>
        <w:t> </w:t>
      </w:r>
      <w:r>
        <w:rPr>
          <w:color w:val="231F20"/>
        </w:rPr>
        <w:t>limited</w:t>
      </w:r>
      <w:r>
        <w:rPr>
          <w:color w:val="231F20"/>
          <w:spacing w:val="13"/>
        </w:rPr>
        <w:t> </w:t>
      </w:r>
      <w:r>
        <w:rPr>
          <w:color w:val="231F20"/>
        </w:rPr>
        <w:t>to</w:t>
      </w:r>
      <w:r>
        <w:rPr>
          <w:color w:val="231F20"/>
          <w:spacing w:val="13"/>
        </w:rPr>
        <w:t> </w:t>
      </w:r>
      <w:r>
        <w:rPr>
          <w:color w:val="231F20"/>
        </w:rPr>
        <w:t>512</w:t>
      </w:r>
      <w:r>
        <w:rPr>
          <w:color w:val="231F20"/>
          <w:spacing w:val="12"/>
        </w:rPr>
        <w:t> </w:t>
      </w:r>
      <w:r>
        <w:rPr>
          <w:color w:val="231F20"/>
          <w:spacing w:val="-2"/>
        </w:rPr>
        <w:t>bytes.</w:t>
      </w:r>
    </w:p>
    <w:p>
      <w:pPr>
        <w:pStyle w:val="BodyText"/>
        <w:spacing w:line="213" w:lineRule="auto" w:before="8"/>
        <w:ind w:left="2688" w:right="545"/>
      </w:pPr>
      <w:r>
        <w:rPr>
          <w:color w:val="231F20"/>
        </w:rPr>
        <w:t>The formatted command string, after variable substitution, is limited to </w:t>
      </w:r>
      <w:r>
        <w:rPr>
          <w:color w:val="231F20"/>
        </w:rPr>
        <w:t>256 </w:t>
      </w:r>
      <w:r>
        <w:rPr>
          <w:color w:val="231F20"/>
          <w:spacing w:val="-2"/>
        </w:rPr>
        <w:t>bytes.</w:t>
      </w:r>
    </w:p>
    <w:p>
      <w:pPr>
        <w:pStyle w:val="BodyText"/>
        <w:spacing w:line="213" w:lineRule="auto" w:before="58"/>
        <w:ind w:left="2688" w:right="274" w:hanging="216"/>
      </w:pPr>
      <w:r>
        <w:rPr>
          <w:rFonts w:ascii="Futura MdCn BT"/>
          <w:color w:val="231F20"/>
        </w:rPr>
        <w:t>v</w:t>
      </w:r>
      <w:r>
        <w:rPr>
          <w:rFonts w:ascii="Futura MdCn BT"/>
          <w:color w:val="231F20"/>
          <w:spacing w:val="80"/>
        </w:rPr>
        <w:t> </w:t>
      </w:r>
      <w:r>
        <w:rPr>
          <w:color w:val="231F20"/>
        </w:rPr>
        <w:t>The action command is issued with the authorization of the user ID on the</w:t>
      </w:r>
      <w:r>
        <w:rPr>
          <w:color w:val="231F20"/>
          <w:spacing w:val="40"/>
        </w:rPr>
        <w:t> </w:t>
      </w:r>
      <w:r>
        <w:rPr>
          <w:color w:val="231F20"/>
        </w:rPr>
        <w:t>managed system or monitoring server machine to which it is sent. If your managed network validates user IDs, then your ID must be authorized on the relevant system receiving the command. For example, to issue a TSO </w:t>
      </w:r>
      <w:r>
        <w:rPr>
          <w:color w:val="231F20"/>
        </w:rPr>
        <w:t>command,</w:t>
      </w:r>
      <w:r>
        <w:rPr>
          <w:color w:val="231F20"/>
        </w:rPr>
        <w:t> your</w:t>
      </w:r>
      <w:r>
        <w:rPr>
          <w:color w:val="231F20"/>
          <w:spacing w:val="24"/>
        </w:rPr>
        <w:t> </w:t>
      </w:r>
      <w:r>
        <w:rPr>
          <w:color w:val="231F20"/>
        </w:rPr>
        <w:t>user</w:t>
      </w:r>
      <w:r>
        <w:rPr>
          <w:color w:val="231F20"/>
          <w:spacing w:val="24"/>
        </w:rPr>
        <w:t> </w:t>
      </w:r>
      <w:r>
        <w:rPr>
          <w:color w:val="231F20"/>
        </w:rPr>
        <w:t>ID</w:t>
      </w:r>
      <w:r>
        <w:rPr>
          <w:color w:val="231F20"/>
          <w:spacing w:val="24"/>
        </w:rPr>
        <w:t> </w:t>
      </w:r>
      <w:r>
        <w:rPr>
          <w:color w:val="231F20"/>
        </w:rPr>
        <w:t>must</w:t>
      </w:r>
      <w:r>
        <w:rPr>
          <w:color w:val="231F20"/>
          <w:spacing w:val="24"/>
        </w:rPr>
        <w:t> </w:t>
      </w:r>
      <w:r>
        <w:rPr>
          <w:color w:val="231F20"/>
        </w:rPr>
        <w:t>be</w:t>
      </w:r>
      <w:r>
        <w:rPr>
          <w:color w:val="231F20"/>
          <w:spacing w:val="24"/>
        </w:rPr>
        <w:t> </w:t>
      </w:r>
      <w:r>
        <w:rPr>
          <w:color w:val="231F20"/>
        </w:rPr>
        <w:t>a</w:t>
      </w:r>
      <w:r>
        <w:rPr>
          <w:color w:val="231F20"/>
          <w:spacing w:val="24"/>
        </w:rPr>
        <w:t> </w:t>
      </w:r>
      <w:r>
        <w:rPr>
          <w:color w:val="231F20"/>
        </w:rPr>
        <w:t>valid</w:t>
      </w:r>
      <w:r>
        <w:rPr>
          <w:color w:val="231F20"/>
          <w:spacing w:val="24"/>
        </w:rPr>
        <w:t> </w:t>
      </w:r>
      <w:r>
        <w:rPr>
          <w:color w:val="231F20"/>
        </w:rPr>
        <w:t>TSO</w:t>
      </w:r>
      <w:r>
        <w:rPr>
          <w:color w:val="231F20"/>
          <w:spacing w:val="24"/>
        </w:rPr>
        <w:t> </w:t>
      </w:r>
      <w:r>
        <w:rPr>
          <w:color w:val="231F20"/>
        </w:rPr>
        <w:t>ID</w:t>
      </w:r>
      <w:r>
        <w:rPr>
          <w:color w:val="231F20"/>
          <w:spacing w:val="24"/>
        </w:rPr>
        <w:t> </w:t>
      </w:r>
      <w:r>
        <w:rPr>
          <w:color w:val="231F20"/>
        </w:rPr>
        <w:t>and</w:t>
      </w:r>
      <w:r>
        <w:rPr>
          <w:color w:val="231F20"/>
          <w:spacing w:val="24"/>
        </w:rPr>
        <w:t> </w:t>
      </w:r>
      <w:r>
        <w:rPr>
          <w:color w:val="231F20"/>
        </w:rPr>
        <w:t>it</w:t>
      </w:r>
      <w:r>
        <w:rPr>
          <w:color w:val="231F20"/>
          <w:spacing w:val="24"/>
        </w:rPr>
        <w:t> </w:t>
      </w:r>
      <w:r>
        <w:rPr>
          <w:color w:val="231F20"/>
        </w:rPr>
        <w:t>must</w:t>
      </w:r>
      <w:r>
        <w:rPr>
          <w:color w:val="231F20"/>
          <w:spacing w:val="24"/>
        </w:rPr>
        <w:t> </w:t>
      </w:r>
      <w:r>
        <w:rPr>
          <w:color w:val="231F20"/>
        </w:rPr>
        <w:t>also</w:t>
      </w:r>
      <w:r>
        <w:rPr>
          <w:color w:val="231F20"/>
          <w:spacing w:val="24"/>
        </w:rPr>
        <w:t> </w:t>
      </w:r>
      <w:r>
        <w:rPr>
          <w:color w:val="231F20"/>
        </w:rPr>
        <w:t>be</w:t>
      </w:r>
      <w:r>
        <w:rPr>
          <w:color w:val="231F20"/>
          <w:spacing w:val="24"/>
        </w:rPr>
        <w:t> </w:t>
      </w:r>
      <w:r>
        <w:rPr>
          <w:color w:val="231F20"/>
        </w:rPr>
        <w:t>defined</w:t>
      </w:r>
      <w:r>
        <w:rPr>
          <w:color w:val="231F20"/>
          <w:spacing w:val="24"/>
        </w:rPr>
        <w:t> </w:t>
      </w:r>
      <w:r>
        <w:rPr>
          <w:color w:val="231F20"/>
        </w:rPr>
        <w:t>as</w:t>
      </w:r>
      <w:r>
        <w:rPr>
          <w:color w:val="231F20"/>
          <w:spacing w:val="24"/>
        </w:rPr>
        <w:t> </w:t>
      </w:r>
      <w:r>
        <w:rPr>
          <w:color w:val="231F20"/>
        </w:rPr>
        <w:t>a</w:t>
      </w:r>
      <w:r>
        <w:rPr>
          <w:color w:val="231F20"/>
          <w:spacing w:val="24"/>
        </w:rPr>
        <w:t> </w:t>
      </w:r>
      <w:r>
        <w:rPr>
          <w:color w:val="231F20"/>
        </w:rPr>
        <w:t>valid logon ID for the Tivoli Enterprise Portal.</w:t>
      </w:r>
    </w:p>
    <w:p>
      <w:pPr>
        <w:pStyle w:val="BodyText"/>
        <w:spacing w:before="3"/>
        <w:rPr>
          <w:sz w:val="16"/>
        </w:rPr>
      </w:pPr>
      <w:r>
        <w:rPr/>
        <mc:AlternateContent>
          <mc:Choice Requires="wps">
            <w:drawing>
              <wp:anchor distT="0" distB="0" distL="0" distR="0" allowOverlap="1" layoutInCell="1" locked="0" behindDoc="1" simplePos="0" relativeHeight="487736832">
                <wp:simplePos x="0" y="0"/>
                <wp:positionH relativeFrom="page">
                  <wp:posOffset>912380</wp:posOffset>
                </wp:positionH>
                <wp:positionV relativeFrom="paragraph">
                  <wp:posOffset>154548</wp:posOffset>
                </wp:positionV>
                <wp:extent cx="6082665" cy="1270"/>
                <wp:effectExtent l="0" t="0" r="0" b="0"/>
                <wp:wrapTopAndBottom/>
                <wp:docPr id="2841" name="Graphic 2841"/>
                <wp:cNvGraphicFramePr>
                  <a:graphicFrameLocks/>
                </wp:cNvGraphicFramePr>
                <a:graphic>
                  <a:graphicData uri="http://schemas.microsoft.com/office/word/2010/wordprocessingShape">
                    <wps:wsp>
                      <wps:cNvPr id="2841" name="Graphic 2841"/>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69156pt;width:478.95pt;height:.1pt;mso-position-horizontal-relative:page;mso-position-vertical-relative:paragraph;z-index:-15579648;mso-wrap-distance-left:0;mso-wrap-distance-right:0" id="docshape231"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Launch application" w:id="549"/>
      <w:bookmarkEnd w:id="549"/>
      <w:r>
        <w:rPr>
          <w:b w:val="0"/>
        </w:rPr>
      </w:r>
      <w:r>
        <w:rPr>
          <w:color w:val="231F20"/>
        </w:rPr>
        <w:t>Launch</w:t>
      </w:r>
      <w:r>
        <w:rPr>
          <w:color w:val="231F20"/>
          <w:spacing w:val="5"/>
        </w:rPr>
        <w:t> </w:t>
      </w:r>
      <w:r>
        <w:rPr>
          <w:color w:val="231F20"/>
          <w:spacing w:val="-2"/>
        </w:rPr>
        <w:t>application</w:t>
      </w:r>
    </w:p>
    <w:p>
      <w:pPr>
        <w:pStyle w:val="BodyText"/>
        <w:spacing w:line="213" w:lineRule="auto" w:before="138"/>
        <w:ind w:left="2472" w:right="258"/>
      </w:pPr>
      <w:r>
        <w:rPr>
          <w:color w:val="231F20"/>
        </w:rPr>
        <w:t>Use the launch application feature to write and save definitions that start</w:t>
      </w:r>
      <w:r>
        <w:rPr>
          <w:color w:val="231F20"/>
          <w:spacing w:val="40"/>
        </w:rPr>
        <w:t> </w:t>
      </w:r>
      <w:r>
        <w:rPr>
          <w:color w:val="231F20"/>
        </w:rPr>
        <w:t>applications on your computer. For example, using single sign-on in the browser client or Java Web Start client, you can launch into another participating Tivoli </w:t>
      </w:r>
      <w:r>
        <w:rPr>
          <w:color w:val="231F20"/>
        </w:rPr>
        <w:t>web </w:t>
      </w:r>
      <w:r>
        <w:rPr>
          <w:color w:val="231F20"/>
          <w:spacing w:val="-2"/>
        </w:rPr>
        <w:t>application.</w:t>
      </w:r>
    </w:p>
    <w:p>
      <w:pPr>
        <w:pStyle w:val="BodyText"/>
        <w:spacing w:line="213" w:lineRule="auto" w:before="237"/>
        <w:ind w:left="2472" w:right="292"/>
      </w:pPr>
      <w:r>
        <w:rPr>
          <w:color w:val="231F20"/>
        </w:rPr>
        <w:t>A launch definition can include arguments that are passed to the application </w:t>
      </w:r>
      <w:r>
        <w:rPr>
          <w:color w:val="231F20"/>
        </w:rPr>
        <w:t>when</w:t>
      </w:r>
      <w:r>
        <w:rPr>
          <w:color w:val="231F20"/>
          <w:spacing w:val="40"/>
        </w:rPr>
        <w:t> </w:t>
      </w:r>
      <w:r>
        <w:rPr>
          <w:color w:val="231F20"/>
        </w:rPr>
        <w:t>it is started. The definition can be an operating system command or URL, and can</w:t>
      </w:r>
      <w:r>
        <w:rPr>
          <w:color w:val="231F20"/>
          <w:spacing w:val="40"/>
        </w:rPr>
        <w:t> </w:t>
      </w:r>
      <w:r>
        <w:rPr>
          <w:color w:val="231F20"/>
        </w:rPr>
        <w:t>include arguments. A simple example is opening a specific text file in a text editor. And another example is opening your browser to access the RMF</w:t>
      </w:r>
      <w:r>
        <w:rPr>
          <w:color w:val="231F20"/>
          <w:vertAlign w:val="superscript"/>
        </w:rPr>
        <w:t>™</w:t>
      </w:r>
      <w:r>
        <w:rPr>
          <w:color w:val="231F20"/>
          <w:vertAlign w:val="baseline"/>
        </w:rPr>
        <w:t> Monitor III </w:t>
      </w:r>
      <w:r>
        <w:rPr>
          <w:color w:val="231F20"/>
          <w:spacing w:val="-2"/>
          <w:vertAlign w:val="baseline"/>
        </w:rPr>
        <w:t>Portal.</w:t>
      </w:r>
    </w:p>
    <w:p>
      <w:pPr>
        <w:pStyle w:val="BodyText"/>
        <w:spacing w:line="213" w:lineRule="auto" w:before="236"/>
        <w:ind w:left="2472" w:right="257"/>
      </w:pPr>
      <w:r>
        <w:rPr>
          <w:color w:val="231F20"/>
        </w:rPr>
        <w:t>You</w:t>
      </w:r>
      <w:r>
        <w:rPr>
          <w:color w:val="231F20"/>
          <w:spacing w:val="24"/>
        </w:rPr>
        <w:t> </w:t>
      </w:r>
      <w:r>
        <w:rPr>
          <w:color w:val="231F20"/>
        </w:rPr>
        <w:t>can</w:t>
      </w:r>
      <w:r>
        <w:rPr>
          <w:color w:val="231F20"/>
          <w:spacing w:val="24"/>
        </w:rPr>
        <w:t> </w:t>
      </w:r>
      <w:r>
        <w:rPr>
          <w:color w:val="231F20"/>
        </w:rPr>
        <w:t>launch</w:t>
      </w:r>
      <w:r>
        <w:rPr>
          <w:color w:val="231F20"/>
          <w:spacing w:val="24"/>
        </w:rPr>
        <w:t> </w:t>
      </w:r>
      <w:r>
        <w:rPr>
          <w:color w:val="231F20"/>
        </w:rPr>
        <w:t>an</w:t>
      </w:r>
      <w:r>
        <w:rPr>
          <w:color w:val="231F20"/>
          <w:spacing w:val="24"/>
        </w:rPr>
        <w:t> </w:t>
      </w:r>
      <w:r>
        <w:rPr>
          <w:color w:val="231F20"/>
        </w:rPr>
        <w:t>application</w:t>
      </w:r>
      <w:r>
        <w:rPr>
          <w:color w:val="231F20"/>
          <w:spacing w:val="24"/>
        </w:rPr>
        <w:t> </w:t>
      </w:r>
      <w:r>
        <w:rPr>
          <w:color w:val="231F20"/>
        </w:rPr>
        <w:t>by</w:t>
      </w:r>
      <w:r>
        <w:rPr>
          <w:color w:val="231F20"/>
          <w:spacing w:val="24"/>
        </w:rPr>
        <w:t> </w:t>
      </w:r>
      <w:r>
        <w:rPr>
          <w:color w:val="231F20"/>
        </w:rPr>
        <w:t>creating</w:t>
      </w:r>
      <w:r>
        <w:rPr>
          <w:color w:val="231F20"/>
          <w:spacing w:val="24"/>
        </w:rPr>
        <w:t> </w:t>
      </w:r>
      <w:r>
        <w:rPr>
          <w:color w:val="231F20"/>
        </w:rPr>
        <w:t>a</w:t>
      </w:r>
      <w:r>
        <w:rPr>
          <w:color w:val="231F20"/>
          <w:spacing w:val="24"/>
        </w:rPr>
        <w:t> </w:t>
      </w:r>
      <w:r>
        <w:rPr>
          <w:color w:val="231F20"/>
        </w:rPr>
        <w:t>definition</w:t>
      </w:r>
      <w:r>
        <w:rPr>
          <w:color w:val="231F20"/>
          <w:spacing w:val="24"/>
        </w:rPr>
        <w:t> </w:t>
      </w:r>
      <w:r>
        <w:rPr>
          <w:color w:val="231F20"/>
        </w:rPr>
        <w:t>right</w:t>
      </w:r>
      <w:r>
        <w:rPr>
          <w:color w:val="231F20"/>
          <w:spacing w:val="24"/>
        </w:rPr>
        <w:t> </w:t>
      </w:r>
      <w:r>
        <w:rPr>
          <w:color w:val="231F20"/>
        </w:rPr>
        <w:t>when</w:t>
      </w:r>
      <w:r>
        <w:rPr>
          <w:color w:val="231F20"/>
          <w:spacing w:val="24"/>
        </w:rPr>
        <w:t> </w:t>
      </w:r>
      <w:r>
        <w:rPr>
          <w:color w:val="231F20"/>
        </w:rPr>
        <w:t>you</w:t>
      </w:r>
      <w:r>
        <w:rPr>
          <w:color w:val="231F20"/>
          <w:spacing w:val="24"/>
        </w:rPr>
        <w:t> </w:t>
      </w:r>
      <w:r>
        <w:rPr>
          <w:color w:val="231F20"/>
        </w:rPr>
        <w:t>need</w:t>
      </w:r>
      <w:r>
        <w:rPr>
          <w:color w:val="231F20"/>
          <w:spacing w:val="24"/>
        </w:rPr>
        <w:t> </w:t>
      </w:r>
      <w:r>
        <w:rPr>
          <w:color w:val="231F20"/>
        </w:rPr>
        <w:t>it</w:t>
      </w:r>
      <w:r>
        <w:rPr>
          <w:color w:val="231F20"/>
          <w:spacing w:val="24"/>
        </w:rPr>
        <w:t> </w:t>
      </w:r>
      <w:r>
        <w:rPr>
          <w:color w:val="231F20"/>
        </w:rPr>
        <w:t>or by selecting from a list of existing definitions. Some monitoring products provide predefined launch definitions. You can customize those definitions or use the</w:t>
      </w:r>
      <w:r>
        <w:rPr>
          <w:color w:val="231F20"/>
          <w:spacing w:val="80"/>
        </w:rPr>
        <w:t> </w:t>
      </w:r>
      <w:r>
        <w:rPr>
          <w:color w:val="231F20"/>
        </w:rPr>
        <w:t>launch application feature to build a set of command definitions for yourself or </w:t>
      </w:r>
      <w:r>
        <w:rPr>
          <w:color w:val="231F20"/>
        </w:rPr>
        <w:t>for all users in your monitored environment.</w:t>
      </w:r>
    </w:p>
    <w:p>
      <w:pPr>
        <w:spacing w:after="0" w:line="213" w:lineRule="auto"/>
        <w:sectPr>
          <w:pgSz w:w="12240" w:h="15840"/>
          <w:pgMar w:header="0" w:footer="736" w:top="1140" w:bottom="920" w:left="1000" w:right="1060"/>
        </w:sectPr>
      </w:pPr>
    </w:p>
    <w:p>
      <w:pPr>
        <w:pStyle w:val="BodyText"/>
        <w:spacing w:line="213" w:lineRule="auto" w:before="85"/>
        <w:ind w:left="2232" w:right="587"/>
      </w:pPr>
      <w:bookmarkStart w:name="_bookmark269" w:id="550"/>
      <w:bookmarkEnd w:id="550"/>
      <w:r>
        <w:rPr/>
      </w:r>
      <w:r>
        <w:rPr>
          <w:color w:val="231F20"/>
        </w:rPr>
        <w:t>The Tivoli Enterprise Portal single sign-on (SSO) feature enables you to launch </w:t>
      </w:r>
      <w:r>
        <w:rPr>
          <w:color w:val="231F20"/>
        </w:rPr>
        <w:t>out of the portal into other Tivoli web-based or web-enabled applications without having to re-enter your user credentials. From the portal browser client or Java</w:t>
      </w:r>
      <w:r>
        <w:rPr>
          <w:color w:val="231F20"/>
          <w:spacing w:val="80"/>
          <w:w w:val="150"/>
        </w:rPr>
        <w:t> </w:t>
      </w:r>
      <w:r>
        <w:rPr>
          <w:color w:val="231F20"/>
        </w:rPr>
        <w:t>Web Start client, you can launch into another participating Tivoli web application.</w:t>
      </w:r>
    </w:p>
    <w:p>
      <w:pPr>
        <w:pStyle w:val="Heading3"/>
        <w:spacing w:before="216"/>
        <w:ind w:left="0" w:right="3783"/>
        <w:jc w:val="center"/>
      </w:pPr>
      <w:bookmarkStart w:name="Creating a launch definition" w:id="551"/>
      <w:bookmarkEnd w:id="551"/>
      <w:r>
        <w:rPr>
          <w:b w:val="0"/>
        </w:rPr>
      </w:r>
      <w:r>
        <w:rPr>
          <w:color w:val="231F20"/>
        </w:rPr>
        <w:t>Creating</w:t>
      </w:r>
      <w:r>
        <w:rPr>
          <w:color w:val="231F20"/>
          <w:spacing w:val="7"/>
        </w:rPr>
        <w:t> </w:t>
      </w:r>
      <w:r>
        <w:rPr>
          <w:color w:val="231F20"/>
        </w:rPr>
        <w:t>a</w:t>
      </w:r>
      <w:r>
        <w:rPr>
          <w:color w:val="231F20"/>
          <w:spacing w:val="8"/>
        </w:rPr>
        <w:t> </w:t>
      </w:r>
      <w:r>
        <w:rPr>
          <w:color w:val="231F20"/>
        </w:rPr>
        <w:t>launch</w:t>
      </w:r>
      <w:r>
        <w:rPr>
          <w:color w:val="231F20"/>
          <w:spacing w:val="8"/>
        </w:rPr>
        <w:t> </w:t>
      </w:r>
      <w:r>
        <w:rPr>
          <w:color w:val="231F20"/>
          <w:spacing w:val="-2"/>
        </w:rPr>
        <w:t>definition</w:t>
      </w:r>
    </w:p>
    <w:p>
      <w:pPr>
        <w:pStyle w:val="BodyText"/>
        <w:spacing w:line="213" w:lineRule="auto" w:before="58"/>
        <w:ind w:left="2232" w:right="385"/>
      </w:pPr>
      <w:r>
        <w:rPr>
          <w:color w:val="231F20"/>
        </w:rPr>
        <w:t>Create a custom launch definition from the Navigator item or query-based view (including event console views) where you want to enter the command. When launched from a query-based view, the command can include attribute values </w:t>
      </w:r>
      <w:r>
        <w:rPr>
          <w:color w:val="231F20"/>
        </w:rPr>
        <w:t>from the launch point, such as IP address or process name.</w:t>
      </w:r>
    </w:p>
    <w:p>
      <w:pPr>
        <w:pStyle w:val="Heading4"/>
        <w:spacing w:before="198"/>
        <w:ind w:left="0" w:right="3730"/>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385"/>
      </w:pPr>
      <w:r>
        <w:rPr>
          <w:color w:val="231F20"/>
        </w:rPr>
        <w:t>If your monitored application has predefined launch application definitions or you would</w:t>
      </w:r>
      <w:r>
        <w:rPr>
          <w:color w:val="231F20"/>
          <w:spacing w:val="26"/>
        </w:rPr>
        <w:t> </w:t>
      </w:r>
      <w:r>
        <w:rPr>
          <w:color w:val="231F20"/>
        </w:rPr>
        <w:t>like</w:t>
      </w:r>
      <w:r>
        <w:rPr>
          <w:color w:val="231F20"/>
          <w:spacing w:val="26"/>
        </w:rPr>
        <w:t> </w:t>
      </w:r>
      <w:r>
        <w:rPr>
          <w:color w:val="231F20"/>
        </w:rPr>
        <w:t>to</w:t>
      </w:r>
      <w:r>
        <w:rPr>
          <w:color w:val="231F20"/>
          <w:spacing w:val="26"/>
        </w:rPr>
        <w:t> </w:t>
      </w:r>
      <w:r>
        <w:rPr>
          <w:color w:val="231F20"/>
        </w:rPr>
        <w:t>include</w:t>
      </w:r>
      <w:r>
        <w:rPr>
          <w:color w:val="231F20"/>
          <w:spacing w:val="26"/>
        </w:rPr>
        <w:t> </w:t>
      </w:r>
      <w:r>
        <w:rPr>
          <w:color w:val="231F20"/>
        </w:rPr>
        <w:t>attribute</w:t>
      </w:r>
      <w:r>
        <w:rPr>
          <w:color w:val="231F20"/>
          <w:spacing w:val="26"/>
        </w:rPr>
        <w:t> </w:t>
      </w:r>
      <w:r>
        <w:rPr>
          <w:color w:val="231F20"/>
        </w:rPr>
        <w:t>names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argument</w:t>
      </w:r>
      <w:r>
        <w:rPr>
          <w:color w:val="231F20"/>
          <w:spacing w:val="26"/>
        </w:rPr>
        <w:t> </w:t>
      </w:r>
      <w:r>
        <w:rPr>
          <w:color w:val="231F20"/>
        </w:rPr>
        <w:t>as</w:t>
      </w:r>
      <w:r>
        <w:rPr>
          <w:color w:val="231F20"/>
          <w:spacing w:val="26"/>
        </w:rPr>
        <w:t> </w:t>
      </w:r>
      <w:r>
        <w:rPr>
          <w:color w:val="231F20"/>
        </w:rPr>
        <w:t>symbols</w:t>
      </w:r>
      <w:r>
        <w:rPr>
          <w:color w:val="231F20"/>
          <w:spacing w:val="26"/>
        </w:rPr>
        <w:t> </w:t>
      </w:r>
      <w:r>
        <w:rPr>
          <w:color w:val="231F20"/>
        </w:rPr>
        <w:t>to</w:t>
      </w:r>
      <w:r>
        <w:rPr>
          <w:color w:val="231F20"/>
          <w:spacing w:val="26"/>
        </w:rPr>
        <w:t> </w:t>
      </w:r>
      <w:r>
        <w:rPr>
          <w:color w:val="231F20"/>
        </w:rPr>
        <w:t>be</w:t>
      </w:r>
      <w:r>
        <w:rPr>
          <w:color w:val="231F20"/>
          <w:spacing w:val="26"/>
        </w:rPr>
        <w:t> </w:t>
      </w:r>
      <w:r>
        <w:rPr>
          <w:color w:val="231F20"/>
        </w:rPr>
        <w:t>replaced by</w:t>
      </w:r>
      <w:r>
        <w:rPr>
          <w:color w:val="231F20"/>
          <w:spacing w:val="12"/>
        </w:rPr>
        <w:t> </w:t>
      </w:r>
      <w:r>
        <w:rPr>
          <w:color w:val="231F20"/>
        </w:rPr>
        <w:t>the</w:t>
      </w:r>
      <w:r>
        <w:rPr>
          <w:color w:val="231F20"/>
          <w:spacing w:val="12"/>
        </w:rPr>
        <w:t> </w:t>
      </w:r>
      <w:r>
        <w:rPr>
          <w:color w:val="231F20"/>
        </w:rPr>
        <w:t>attribute</w:t>
      </w:r>
      <w:r>
        <w:rPr>
          <w:color w:val="231F20"/>
          <w:spacing w:val="12"/>
        </w:rPr>
        <w:t> </w:t>
      </w:r>
      <w:r>
        <w:rPr>
          <w:color w:val="231F20"/>
        </w:rPr>
        <w:t>values</w:t>
      </w:r>
      <w:r>
        <w:rPr>
          <w:color w:val="231F20"/>
          <w:spacing w:val="12"/>
        </w:rPr>
        <w:t> </w:t>
      </w:r>
      <w:r>
        <w:rPr>
          <w:color w:val="231F20"/>
        </w:rPr>
        <w:t>at</w:t>
      </w:r>
      <w:r>
        <w:rPr>
          <w:color w:val="231F20"/>
          <w:spacing w:val="12"/>
        </w:rPr>
        <w:t> </w:t>
      </w:r>
      <w:r>
        <w:rPr>
          <w:color w:val="231F20"/>
        </w:rPr>
        <w:t>launch</w:t>
      </w:r>
      <w:r>
        <w:rPr>
          <w:color w:val="231F20"/>
          <w:spacing w:val="12"/>
        </w:rPr>
        <w:t> </w:t>
      </w:r>
      <w:r>
        <w:rPr>
          <w:color w:val="231F20"/>
        </w:rPr>
        <w:t>time,</w:t>
      </w:r>
      <w:r>
        <w:rPr>
          <w:color w:val="231F20"/>
          <w:spacing w:val="12"/>
        </w:rPr>
        <w:t> </w:t>
      </w:r>
      <w:r>
        <w:rPr>
          <w:color w:val="231F20"/>
        </w:rPr>
        <w:t>see</w:t>
      </w:r>
      <w:r>
        <w:rPr>
          <w:color w:val="231F20"/>
          <w:spacing w:val="12"/>
        </w:rPr>
        <w:t> </w:t>
      </w:r>
      <w:r>
        <w:rPr>
          <w:color w:val="231F20"/>
        </w:rPr>
        <w:t>the</w:t>
      </w:r>
      <w:r>
        <w:rPr>
          <w:color w:val="231F20"/>
          <w:spacing w:val="12"/>
        </w:rPr>
        <w:t> </w:t>
      </w:r>
      <w:r>
        <w:rPr>
          <w:color w:val="231F20"/>
        </w:rPr>
        <w:t>product</w:t>
      </w:r>
      <w:r>
        <w:rPr>
          <w:color w:val="231F20"/>
          <w:spacing w:val="12"/>
        </w:rPr>
        <w:t> </w:t>
      </w:r>
      <w:r>
        <w:rPr>
          <w:color w:val="231F20"/>
        </w:rPr>
        <w:t>user's</w:t>
      </w:r>
      <w:r>
        <w:rPr>
          <w:color w:val="231F20"/>
          <w:spacing w:val="12"/>
        </w:rPr>
        <w:t> </w:t>
      </w:r>
      <w:r>
        <w:rPr>
          <w:color w:val="231F20"/>
        </w:rPr>
        <w:t>guide</w:t>
      </w:r>
      <w:r>
        <w:rPr>
          <w:color w:val="231F20"/>
          <w:spacing w:val="12"/>
        </w:rPr>
        <w:t> </w:t>
      </w:r>
      <w:r>
        <w:rPr>
          <w:color w:val="231F20"/>
        </w:rPr>
        <w:t>for</w:t>
      </w:r>
      <w:r>
        <w:rPr>
          <w:color w:val="231F20"/>
          <w:spacing w:val="12"/>
        </w:rPr>
        <w:t> </w:t>
      </w:r>
      <w:r>
        <w:rPr>
          <w:color w:val="231F20"/>
        </w:rPr>
        <w:t>the</w:t>
      </w:r>
      <w:r>
        <w:rPr>
          <w:color w:val="231F20"/>
          <w:spacing w:val="12"/>
        </w:rPr>
        <w:t> </w:t>
      </w:r>
      <w:r>
        <w:rPr>
          <w:color w:val="231F20"/>
        </w:rPr>
        <w:t>settings.</w:t>
      </w:r>
    </w:p>
    <w:p>
      <w:pPr>
        <w:pStyle w:val="BodyText"/>
        <w:spacing w:line="213" w:lineRule="auto" w:before="238"/>
        <w:ind w:left="2232" w:right="591"/>
        <w:jc w:val="both"/>
      </w:pPr>
      <w:r>
        <w:rPr>
          <w:color w:val="231F20"/>
        </w:rPr>
        <w:t>Your user ID must have View and Modify permission for the Launch </w:t>
      </w:r>
      <w:r>
        <w:rPr>
          <w:color w:val="231F20"/>
        </w:rPr>
        <w:t>Application feature. If you want the new launch definition to be available to other users, you must be in Workspace administration mode when you create it.</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jc w:val="both"/>
      </w:pPr>
      <w:r>
        <w:rPr>
          <w:color w:val="231F20"/>
        </w:rPr>
        <w:t>Take</w:t>
      </w:r>
      <w:r>
        <w:rPr>
          <w:color w:val="231F20"/>
          <w:spacing w:val="8"/>
        </w:rPr>
        <w:t> </w:t>
      </w:r>
      <w:r>
        <w:rPr>
          <w:color w:val="231F20"/>
        </w:rPr>
        <w:t>these</w:t>
      </w:r>
      <w:r>
        <w:rPr>
          <w:color w:val="231F20"/>
          <w:spacing w:val="9"/>
        </w:rPr>
        <w:t> </w:t>
      </w:r>
      <w:r>
        <w:rPr>
          <w:color w:val="231F20"/>
        </w:rPr>
        <w:t>steps</w:t>
      </w:r>
      <w:r>
        <w:rPr>
          <w:color w:val="231F20"/>
          <w:spacing w:val="9"/>
        </w:rPr>
        <w:t> </w:t>
      </w:r>
      <w:r>
        <w:rPr>
          <w:color w:val="231F20"/>
        </w:rPr>
        <w:t>to</w:t>
      </w:r>
      <w:r>
        <w:rPr>
          <w:color w:val="231F20"/>
          <w:spacing w:val="9"/>
        </w:rPr>
        <w:t> </w:t>
      </w:r>
      <w:r>
        <w:rPr>
          <w:color w:val="231F20"/>
        </w:rPr>
        <w:t>create</w:t>
      </w:r>
      <w:r>
        <w:rPr>
          <w:color w:val="231F20"/>
          <w:spacing w:val="9"/>
        </w:rPr>
        <w:t> </w:t>
      </w:r>
      <w:r>
        <w:rPr>
          <w:color w:val="231F20"/>
        </w:rPr>
        <w:t>a</w:t>
      </w:r>
      <w:r>
        <w:rPr>
          <w:color w:val="231F20"/>
          <w:spacing w:val="8"/>
        </w:rPr>
        <w:t> </w:t>
      </w:r>
      <w:r>
        <w:rPr>
          <w:color w:val="231F20"/>
        </w:rPr>
        <w:t>launch</w:t>
      </w:r>
      <w:r>
        <w:rPr>
          <w:color w:val="231F20"/>
          <w:spacing w:val="9"/>
        </w:rPr>
        <w:t> </w:t>
      </w:r>
      <w:r>
        <w:rPr>
          <w:color w:val="231F20"/>
          <w:spacing w:val="-2"/>
        </w:rPr>
        <w:t>definition:</w:t>
      </w:r>
    </w:p>
    <w:p>
      <w:pPr>
        <w:pStyle w:val="Heading4"/>
        <w:spacing w:before="194"/>
      </w:pPr>
      <w:r>
        <w:rPr>
          <w:color w:val="231F20"/>
          <w:spacing w:val="-2"/>
        </w:rPr>
        <w:t>Procedure</w:t>
      </w:r>
    </w:p>
    <w:p>
      <w:pPr>
        <w:pStyle w:val="ListParagraph"/>
        <w:numPr>
          <w:ilvl w:val="0"/>
          <w:numId w:val="153"/>
        </w:numPr>
        <w:tabs>
          <w:tab w:pos="2658" w:val="left" w:leader="none"/>
        </w:tabs>
        <w:spacing w:line="240" w:lineRule="auto" w:before="39" w:after="0"/>
        <w:ind w:left="2658" w:right="0" w:hanging="315"/>
        <w:jc w:val="left"/>
        <w:rPr>
          <w:sz w:val="20"/>
        </w:rPr>
      </w:pPr>
      <w:r>
        <w:rPr>
          <w:color w:val="231F20"/>
          <w:sz w:val="20"/>
        </w:rPr>
        <w:t>Select</w:t>
      </w:r>
      <w:r>
        <w:rPr>
          <w:color w:val="231F20"/>
          <w:spacing w:val="11"/>
          <w:sz w:val="20"/>
        </w:rPr>
        <w:t> </w:t>
      </w:r>
      <w:r>
        <w:rPr>
          <w:color w:val="231F20"/>
          <w:sz w:val="20"/>
        </w:rPr>
        <w:t>the</w:t>
      </w:r>
      <w:r>
        <w:rPr>
          <w:color w:val="231F20"/>
          <w:spacing w:val="11"/>
          <w:sz w:val="20"/>
        </w:rPr>
        <w:t> </w:t>
      </w:r>
      <w:r>
        <w:rPr>
          <w:color w:val="231F20"/>
          <w:sz w:val="20"/>
        </w:rPr>
        <w:t>Navigator</w:t>
      </w:r>
      <w:r>
        <w:rPr>
          <w:color w:val="231F20"/>
          <w:spacing w:val="11"/>
          <w:sz w:val="20"/>
        </w:rPr>
        <w:t> </w:t>
      </w:r>
      <w:r>
        <w:rPr>
          <w:color w:val="231F20"/>
          <w:sz w:val="20"/>
        </w:rPr>
        <w:t>item</w:t>
      </w:r>
      <w:r>
        <w:rPr>
          <w:color w:val="231F20"/>
          <w:spacing w:val="11"/>
          <w:sz w:val="20"/>
        </w:rPr>
        <w:t> </w:t>
      </w:r>
      <w:r>
        <w:rPr>
          <w:color w:val="231F20"/>
          <w:sz w:val="20"/>
        </w:rPr>
        <w:t>to</w:t>
      </w:r>
      <w:r>
        <w:rPr>
          <w:color w:val="231F20"/>
          <w:spacing w:val="12"/>
          <w:sz w:val="20"/>
        </w:rPr>
        <w:t> </w:t>
      </w:r>
      <w:r>
        <w:rPr>
          <w:color w:val="231F20"/>
          <w:sz w:val="20"/>
        </w:rPr>
        <w:t>launch</w:t>
      </w:r>
      <w:r>
        <w:rPr>
          <w:color w:val="231F20"/>
          <w:spacing w:val="11"/>
          <w:sz w:val="20"/>
        </w:rPr>
        <w:t> </w:t>
      </w:r>
      <w:r>
        <w:rPr>
          <w:color w:val="231F20"/>
          <w:spacing w:val="-2"/>
          <w:sz w:val="20"/>
        </w:rPr>
        <w:t>from.</w:t>
      </w:r>
    </w:p>
    <w:p>
      <w:pPr>
        <w:pStyle w:val="ListParagraph"/>
        <w:numPr>
          <w:ilvl w:val="0"/>
          <w:numId w:val="153"/>
        </w:numPr>
        <w:tabs>
          <w:tab w:pos="2659" w:val="left" w:leader="none"/>
        </w:tabs>
        <w:spacing w:line="213" w:lineRule="auto" w:before="52" w:after="0"/>
        <w:ind w:left="2659" w:right="453" w:hanging="316"/>
        <w:jc w:val="left"/>
        <w:rPr>
          <w:sz w:val="20"/>
        </w:rPr>
      </w:pPr>
      <w:r>
        <w:rPr>
          <w:color w:val="231F20"/>
          <w:sz w:val="20"/>
        </w:rPr>
        <w:t>If</w:t>
      </w:r>
      <w:r>
        <w:rPr>
          <w:color w:val="231F20"/>
          <w:spacing w:val="22"/>
          <w:sz w:val="20"/>
        </w:rPr>
        <w:t> </w:t>
      </w:r>
      <w:r>
        <w:rPr>
          <w:color w:val="231F20"/>
          <w:sz w:val="20"/>
        </w:rPr>
        <w:t>the</w:t>
      </w:r>
      <w:r>
        <w:rPr>
          <w:color w:val="231F20"/>
          <w:spacing w:val="22"/>
          <w:sz w:val="20"/>
        </w:rPr>
        <w:t> </w:t>
      </w:r>
      <w:r>
        <w:rPr>
          <w:color w:val="231F20"/>
          <w:sz w:val="20"/>
        </w:rPr>
        <w:t>launch</w:t>
      </w:r>
      <w:r>
        <w:rPr>
          <w:color w:val="231F20"/>
          <w:spacing w:val="22"/>
          <w:sz w:val="20"/>
        </w:rPr>
        <w:t> </w:t>
      </w:r>
      <w:r>
        <w:rPr>
          <w:color w:val="231F20"/>
          <w:sz w:val="20"/>
        </w:rPr>
        <w:t>definition</w:t>
      </w:r>
      <w:r>
        <w:rPr>
          <w:color w:val="231F20"/>
          <w:spacing w:val="22"/>
          <w:sz w:val="20"/>
        </w:rPr>
        <w:t> </w:t>
      </w:r>
      <w:r>
        <w:rPr>
          <w:color w:val="231F20"/>
          <w:sz w:val="20"/>
        </w:rPr>
        <w:t>will</w:t>
      </w:r>
      <w:r>
        <w:rPr>
          <w:color w:val="231F20"/>
          <w:spacing w:val="22"/>
          <w:sz w:val="20"/>
        </w:rPr>
        <w:t> </w:t>
      </w:r>
      <w:r>
        <w:rPr>
          <w:color w:val="231F20"/>
          <w:sz w:val="20"/>
        </w:rPr>
        <w:t>originate</w:t>
      </w:r>
      <w:r>
        <w:rPr>
          <w:color w:val="231F20"/>
          <w:spacing w:val="22"/>
          <w:sz w:val="20"/>
        </w:rPr>
        <w:t> </w:t>
      </w:r>
      <w:r>
        <w:rPr>
          <w:color w:val="231F20"/>
          <w:sz w:val="20"/>
        </w:rPr>
        <w:t>from</w:t>
      </w:r>
      <w:r>
        <w:rPr>
          <w:color w:val="231F20"/>
          <w:spacing w:val="22"/>
          <w:sz w:val="20"/>
        </w:rPr>
        <w:t> </w:t>
      </w:r>
      <w:r>
        <w:rPr>
          <w:color w:val="231F20"/>
          <w:sz w:val="20"/>
        </w:rPr>
        <w:t>a</w:t>
      </w:r>
      <w:r>
        <w:rPr>
          <w:color w:val="231F20"/>
          <w:spacing w:val="22"/>
          <w:sz w:val="20"/>
        </w:rPr>
        <w:t> </w:t>
      </w:r>
      <w:r>
        <w:rPr>
          <w:color w:val="231F20"/>
          <w:sz w:val="20"/>
        </w:rPr>
        <w:t>table,</w:t>
      </w:r>
      <w:r>
        <w:rPr>
          <w:color w:val="231F20"/>
          <w:spacing w:val="22"/>
          <w:sz w:val="20"/>
        </w:rPr>
        <w:t> </w:t>
      </w:r>
      <w:r>
        <w:rPr>
          <w:color w:val="231F20"/>
          <w:sz w:val="20"/>
        </w:rPr>
        <w:t>chart,</w:t>
      </w:r>
      <w:r>
        <w:rPr>
          <w:color w:val="231F20"/>
          <w:spacing w:val="22"/>
          <w:sz w:val="20"/>
        </w:rPr>
        <w:t> </w:t>
      </w:r>
      <w:r>
        <w:rPr>
          <w:color w:val="231F20"/>
          <w:sz w:val="20"/>
        </w:rPr>
        <w:t>event</w:t>
      </w:r>
      <w:r>
        <w:rPr>
          <w:color w:val="231F20"/>
          <w:spacing w:val="22"/>
          <w:sz w:val="20"/>
        </w:rPr>
        <w:t> </w:t>
      </w:r>
      <w:r>
        <w:rPr>
          <w:color w:val="231F20"/>
          <w:sz w:val="20"/>
        </w:rPr>
        <w:t>console</w:t>
      </w:r>
      <w:r>
        <w:rPr>
          <w:color w:val="231F20"/>
          <w:spacing w:val="22"/>
          <w:sz w:val="20"/>
        </w:rPr>
        <w:t> </w:t>
      </w:r>
      <w:r>
        <w:rPr>
          <w:color w:val="231F20"/>
          <w:sz w:val="20"/>
        </w:rPr>
        <w:t>view, or relational-based topology view, open the workspace containing the view. If the workspace is not the default, use the </w:t>
      </w:r>
      <w:r>
        <w:rPr>
          <w:color w:val="231F20"/>
          <w:spacing w:val="15"/>
          <w:position w:val="-1"/>
          <w:sz w:val="20"/>
        </w:rPr>
        <w:drawing>
          <wp:inline distT="0" distB="0" distL="0" distR="0">
            <wp:extent cx="101600" cy="101600"/>
            <wp:effectExtent l="0" t="0" r="0" b="0"/>
            <wp:docPr id="2842" name="Image 2842"/>
            <wp:cNvGraphicFramePr>
              <a:graphicFrameLocks/>
            </wp:cNvGraphicFramePr>
            <a:graphic>
              <a:graphicData uri="http://schemas.openxmlformats.org/drawingml/2006/picture">
                <pic:pic>
                  <pic:nvPicPr>
                    <pic:cNvPr id="2842" name="Image 2842"/>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color w:val="231F20"/>
          <w:sz w:val="20"/>
        </w:rPr>
        <w:t>Workspace Gallery to select it. You can add an argument that includes attribute names in the definition that are resolved at launch time with the current attribute values.</w:t>
      </w:r>
    </w:p>
    <w:p>
      <w:pPr>
        <w:pStyle w:val="ListParagraph"/>
        <w:numPr>
          <w:ilvl w:val="0"/>
          <w:numId w:val="153"/>
        </w:numPr>
        <w:tabs>
          <w:tab w:pos="2658" w:val="left" w:leader="none"/>
        </w:tabs>
        <w:spacing w:line="255" w:lineRule="exact" w:before="34" w:after="0"/>
        <w:ind w:left="2658" w:right="0" w:hanging="315"/>
        <w:jc w:val="left"/>
        <w:rPr>
          <w:sz w:val="20"/>
        </w:rPr>
      </w:pPr>
      <w:r>
        <w:rPr>
          <w:color w:val="231F20"/>
          <w:sz w:val="20"/>
        </w:rPr>
        <w:t>Right-click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line="239" w:lineRule="exact"/>
        <w:ind w:left="2659"/>
      </w:pPr>
      <w:r>
        <w:rPr>
          <w:rFonts w:ascii="Futura MdCn BT"/>
          <w:color w:val="231F20"/>
        </w:rPr>
        <w:t>v</w:t>
      </w:r>
      <w:r>
        <w:rPr>
          <w:rFonts w:ascii="Futura MdCn BT"/>
          <w:color w:val="231F20"/>
          <w:spacing w:val="32"/>
        </w:rPr>
        <w:t>  </w:t>
      </w:r>
      <w:r>
        <w:rPr>
          <w:color w:val="231F20"/>
        </w:rPr>
        <w:t>Navigator</w:t>
      </w:r>
      <w:r>
        <w:rPr>
          <w:color w:val="231F20"/>
          <w:spacing w:val="14"/>
        </w:rPr>
        <w:t> </w:t>
      </w:r>
      <w:r>
        <w:rPr>
          <w:color w:val="231F20"/>
          <w:spacing w:val="-2"/>
        </w:rPr>
        <w:t>item.</w:t>
      </w:r>
    </w:p>
    <w:p>
      <w:pPr>
        <w:pStyle w:val="BodyText"/>
        <w:spacing w:line="239" w:lineRule="exact"/>
        <w:ind w:left="2659"/>
      </w:pPr>
      <w:r>
        <w:rPr>
          <w:rFonts w:ascii="Futura MdCn BT"/>
          <w:color w:val="231F20"/>
        </w:rPr>
        <w:t>v</w:t>
      </w:r>
      <w:r>
        <w:rPr>
          <w:rFonts w:ascii="Futura MdCn BT"/>
          <w:color w:val="231F20"/>
          <w:spacing w:val="32"/>
        </w:rPr>
        <w:t>  </w:t>
      </w:r>
      <w:r>
        <w:rPr>
          <w:color w:val="231F20"/>
        </w:rPr>
        <w:t>Row</w:t>
      </w:r>
      <w:r>
        <w:rPr>
          <w:color w:val="231F20"/>
          <w:spacing w:val="14"/>
        </w:rPr>
        <w:t> </w:t>
      </w:r>
      <w:r>
        <w:rPr>
          <w:color w:val="231F20"/>
        </w:rPr>
        <w:t>in</w:t>
      </w:r>
      <w:r>
        <w:rPr>
          <w:color w:val="231F20"/>
          <w:spacing w:val="14"/>
        </w:rPr>
        <w:t> </w:t>
      </w:r>
      <w:r>
        <w:rPr>
          <w:color w:val="231F20"/>
        </w:rPr>
        <w:t>a</w:t>
      </w:r>
      <w:r>
        <w:rPr>
          <w:color w:val="231F20"/>
          <w:spacing w:val="13"/>
        </w:rPr>
        <w:t> </w:t>
      </w:r>
      <w:r>
        <w:rPr>
          <w:color w:val="231F20"/>
        </w:rPr>
        <w:t>table</w:t>
      </w:r>
      <w:r>
        <w:rPr>
          <w:color w:val="231F20"/>
          <w:spacing w:val="13"/>
        </w:rPr>
        <w:t> </w:t>
      </w:r>
      <w:r>
        <w:rPr>
          <w:color w:val="231F20"/>
        </w:rPr>
        <w:t>or</w:t>
      </w:r>
      <w:r>
        <w:rPr>
          <w:color w:val="231F20"/>
          <w:spacing w:val="14"/>
        </w:rPr>
        <w:t> </w:t>
      </w:r>
      <w:r>
        <w:rPr>
          <w:color w:val="231F20"/>
        </w:rPr>
        <w:t>event</w:t>
      </w:r>
      <w:r>
        <w:rPr>
          <w:color w:val="231F20"/>
          <w:spacing w:val="13"/>
        </w:rPr>
        <w:t> </w:t>
      </w:r>
      <w:r>
        <w:rPr>
          <w:color w:val="231F20"/>
        </w:rPr>
        <w:t>console</w:t>
      </w:r>
      <w:r>
        <w:rPr>
          <w:color w:val="231F20"/>
          <w:spacing w:val="13"/>
        </w:rPr>
        <w:t> </w:t>
      </w:r>
      <w:r>
        <w:rPr>
          <w:color w:val="231F20"/>
          <w:spacing w:val="-2"/>
        </w:rPr>
        <w:t>view.</w:t>
      </w:r>
    </w:p>
    <w:p>
      <w:pPr>
        <w:pStyle w:val="BodyText"/>
        <w:spacing w:line="239" w:lineRule="exact"/>
        <w:ind w:left="2659"/>
      </w:pPr>
      <w:r>
        <w:rPr>
          <w:rFonts w:ascii="Futura MdCn BT"/>
          <w:color w:val="231F20"/>
        </w:rPr>
        <w:t>v</w:t>
      </w:r>
      <w:r>
        <w:rPr>
          <w:rFonts w:ascii="Futura MdCn BT"/>
          <w:color w:val="231F20"/>
          <w:spacing w:val="32"/>
        </w:rPr>
        <w:t>  </w:t>
      </w:r>
      <w:r>
        <w:rPr>
          <w:color w:val="231F20"/>
        </w:rPr>
        <w:t>Data</w:t>
      </w:r>
      <w:r>
        <w:rPr>
          <w:color w:val="231F20"/>
          <w:spacing w:val="15"/>
        </w:rPr>
        <w:t> </w:t>
      </w:r>
      <w:r>
        <w:rPr>
          <w:color w:val="231F20"/>
        </w:rPr>
        <w:t>point</w:t>
      </w:r>
      <w:r>
        <w:rPr>
          <w:color w:val="231F20"/>
          <w:spacing w:val="13"/>
        </w:rPr>
        <w:t> </w:t>
      </w:r>
      <w:r>
        <w:rPr>
          <w:color w:val="231F20"/>
        </w:rPr>
        <w:t>in</w:t>
      </w:r>
      <w:r>
        <w:rPr>
          <w:color w:val="231F20"/>
          <w:spacing w:val="13"/>
        </w:rPr>
        <w:t> </w:t>
      </w:r>
      <w:r>
        <w:rPr>
          <w:color w:val="231F20"/>
        </w:rPr>
        <w:t>a</w:t>
      </w:r>
      <w:r>
        <w:rPr>
          <w:color w:val="231F20"/>
          <w:spacing w:val="14"/>
        </w:rPr>
        <w:t> </w:t>
      </w:r>
      <w:r>
        <w:rPr>
          <w:color w:val="231F20"/>
        </w:rPr>
        <w:t>chart</w:t>
      </w:r>
      <w:r>
        <w:rPr>
          <w:color w:val="231F20"/>
          <w:spacing w:val="13"/>
        </w:rPr>
        <w:t> </w:t>
      </w:r>
      <w:r>
        <w:rPr>
          <w:color w:val="231F20"/>
        </w:rPr>
        <w:t>(such</w:t>
      </w:r>
      <w:r>
        <w:rPr>
          <w:color w:val="231F20"/>
          <w:spacing w:val="14"/>
        </w:rPr>
        <w:t> </w:t>
      </w:r>
      <w:r>
        <w:rPr>
          <w:color w:val="231F20"/>
        </w:rPr>
        <w:t>as</w:t>
      </w:r>
      <w:r>
        <w:rPr>
          <w:color w:val="231F20"/>
          <w:spacing w:val="13"/>
        </w:rPr>
        <w:t> </w:t>
      </w:r>
      <w:r>
        <w:rPr>
          <w:color w:val="231F20"/>
        </w:rPr>
        <w:t>a</w:t>
      </w:r>
      <w:r>
        <w:rPr>
          <w:color w:val="231F20"/>
          <w:spacing w:val="13"/>
        </w:rPr>
        <w:t> </w:t>
      </w:r>
      <w:r>
        <w:rPr>
          <w:color w:val="231F20"/>
        </w:rPr>
        <w:t>plot</w:t>
      </w:r>
      <w:r>
        <w:rPr>
          <w:color w:val="231F20"/>
          <w:spacing w:val="14"/>
        </w:rPr>
        <w:t> </w:t>
      </w:r>
      <w:r>
        <w:rPr>
          <w:color w:val="231F20"/>
        </w:rPr>
        <w:t>chart</w:t>
      </w:r>
      <w:r>
        <w:rPr>
          <w:color w:val="231F20"/>
          <w:spacing w:val="13"/>
        </w:rPr>
        <w:t> </w:t>
      </w:r>
      <w:r>
        <w:rPr>
          <w:color w:val="231F20"/>
          <w:spacing w:val="-2"/>
        </w:rPr>
        <w:t>point).</w:t>
      </w:r>
    </w:p>
    <w:p>
      <w:pPr>
        <w:pStyle w:val="BodyText"/>
        <w:spacing w:line="255" w:lineRule="exact"/>
        <w:ind w:left="2659"/>
      </w:pPr>
      <w:r>
        <w:rPr>
          <w:rFonts w:ascii="Futura MdCn BT"/>
          <w:color w:val="231F20"/>
        </w:rPr>
        <w:t>v</w:t>
      </w:r>
      <w:r>
        <w:rPr>
          <w:rFonts w:ascii="Futura MdCn BT"/>
          <w:color w:val="231F20"/>
          <w:spacing w:val="73"/>
          <w:w w:val="150"/>
        </w:rPr>
        <w:t> </w:t>
      </w:r>
      <w:r>
        <w:rPr>
          <w:color w:val="231F20"/>
        </w:rPr>
        <w:t>Topology</w:t>
      </w:r>
      <w:r>
        <w:rPr>
          <w:color w:val="231F20"/>
          <w:spacing w:val="9"/>
        </w:rPr>
        <w:t> </w:t>
      </w:r>
      <w:r>
        <w:rPr>
          <w:color w:val="231F20"/>
        </w:rPr>
        <w:t>view</w:t>
      </w:r>
      <w:r>
        <w:rPr>
          <w:color w:val="231F20"/>
          <w:spacing w:val="8"/>
        </w:rPr>
        <w:t> </w:t>
      </w:r>
      <w:r>
        <w:rPr>
          <w:color w:val="231F20"/>
          <w:spacing w:val="-2"/>
        </w:rPr>
        <w:t>object.</w:t>
      </w:r>
    </w:p>
    <w:p>
      <w:pPr>
        <w:pStyle w:val="ListParagraph"/>
        <w:numPr>
          <w:ilvl w:val="0"/>
          <w:numId w:val="153"/>
        </w:numPr>
        <w:tabs>
          <w:tab w:pos="2658" w:val="left" w:leader="none"/>
        </w:tabs>
        <w:spacing w:line="255" w:lineRule="exact" w:before="29" w:after="0"/>
        <w:ind w:left="2658" w:right="0" w:hanging="315"/>
        <w:jc w:val="left"/>
        <w:rPr>
          <w:sz w:val="20"/>
        </w:rPr>
      </w:pPr>
      <w:r>
        <w:rPr>
          <w:color w:val="231F20"/>
          <w:sz w:val="20"/>
        </w:rPr>
        <w:t>Click</w:t>
      </w:r>
      <w:r>
        <w:rPr>
          <w:color w:val="231F20"/>
          <w:spacing w:val="19"/>
          <w:sz w:val="20"/>
        </w:rPr>
        <w:t> </w:t>
      </w:r>
      <w:r>
        <w:rPr>
          <w:color w:val="231F20"/>
          <w:spacing w:val="-24"/>
          <w:position w:val="-1"/>
          <w:sz w:val="20"/>
        </w:rPr>
        <w:drawing>
          <wp:inline distT="0" distB="0" distL="0" distR="0">
            <wp:extent cx="95250" cy="95250"/>
            <wp:effectExtent l="0" t="0" r="0" b="0"/>
            <wp:docPr id="2843" name="Image 2843"/>
            <wp:cNvGraphicFramePr>
              <a:graphicFrameLocks/>
            </wp:cNvGraphicFramePr>
            <a:graphic>
              <a:graphicData uri="http://schemas.openxmlformats.org/drawingml/2006/picture">
                <pic:pic>
                  <pic:nvPicPr>
                    <pic:cNvPr id="2843" name="Image 2843"/>
                    <pic:cNvPicPr/>
                  </pic:nvPicPr>
                  <pic:blipFill>
                    <a:blip r:embed="rId44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6"/>
          <w:sz w:val="20"/>
        </w:rPr>
        <w:t> </w:t>
      </w:r>
      <w:r>
        <w:rPr>
          <w:rFonts w:ascii="Book Antiqua"/>
          <w:b/>
          <w:color w:val="231F20"/>
          <w:sz w:val="20"/>
        </w:rPr>
        <w:t>Launch</w:t>
      </w:r>
      <w:r>
        <w:rPr>
          <w:rFonts w:ascii="Book Antiqua"/>
          <w:b/>
          <w:color w:val="231F20"/>
          <w:spacing w:val="10"/>
          <w:sz w:val="20"/>
        </w:rPr>
        <w:t> </w:t>
      </w:r>
      <w:r>
        <w:rPr>
          <w:color w:val="231F20"/>
          <w:sz w:val="20"/>
        </w:rPr>
        <w:t>and,</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11"/>
          <w:sz w:val="20"/>
        </w:rPr>
        <w:t> </w:t>
      </w:r>
      <w:r>
        <w:rPr>
          <w:color w:val="231F20"/>
          <w:sz w:val="20"/>
        </w:rPr>
        <w:t>Create</w:t>
      </w:r>
      <w:r>
        <w:rPr>
          <w:color w:val="231F20"/>
          <w:spacing w:val="10"/>
          <w:sz w:val="20"/>
        </w:rPr>
        <w:t> </w:t>
      </w:r>
      <w:r>
        <w:rPr>
          <w:color w:val="231F20"/>
          <w:sz w:val="20"/>
        </w:rPr>
        <w:t>or</w:t>
      </w:r>
      <w:r>
        <w:rPr>
          <w:color w:val="231F20"/>
          <w:spacing w:val="10"/>
          <w:sz w:val="20"/>
        </w:rPr>
        <w:t> </w:t>
      </w:r>
      <w:r>
        <w:rPr>
          <w:color w:val="231F20"/>
          <w:sz w:val="20"/>
        </w:rPr>
        <w:t>Edit</w:t>
      </w:r>
      <w:r>
        <w:rPr>
          <w:color w:val="231F20"/>
          <w:spacing w:val="10"/>
          <w:sz w:val="20"/>
        </w:rPr>
        <w:t> </w:t>
      </w:r>
      <w:r>
        <w:rPr>
          <w:color w:val="231F20"/>
          <w:sz w:val="20"/>
        </w:rPr>
        <w:t>Launch</w:t>
      </w:r>
      <w:r>
        <w:rPr>
          <w:color w:val="231F20"/>
          <w:spacing w:val="10"/>
          <w:sz w:val="20"/>
        </w:rPr>
        <w:t> </w:t>
      </w:r>
      <w:r>
        <w:rPr>
          <w:color w:val="231F20"/>
          <w:sz w:val="20"/>
        </w:rPr>
        <w:t>Definitions</w:t>
      </w:r>
      <w:r>
        <w:rPr>
          <w:color w:val="231F20"/>
          <w:spacing w:val="10"/>
          <w:sz w:val="20"/>
        </w:rPr>
        <w:t> </w:t>
      </w:r>
      <w:r>
        <w:rPr>
          <w:color w:val="231F20"/>
          <w:sz w:val="20"/>
        </w:rPr>
        <w:t>window,</w:t>
      </w:r>
      <w:r>
        <w:rPr>
          <w:color w:val="231F20"/>
          <w:spacing w:val="10"/>
          <w:sz w:val="20"/>
        </w:rPr>
        <w:t> </w:t>
      </w:r>
      <w:r>
        <w:rPr>
          <w:color w:val="231F20"/>
          <w:spacing w:val="-2"/>
          <w:sz w:val="20"/>
        </w:rPr>
        <w:t>click</w:t>
      </w:r>
    </w:p>
    <w:p>
      <w:pPr>
        <w:pStyle w:val="Heading6"/>
        <w:spacing w:line="255" w:lineRule="exact" w:before="0"/>
        <w:ind w:left="2659"/>
        <w:rPr>
          <w:rFonts w:ascii="Palatino Linotype"/>
          <w:b w:val="0"/>
        </w:rPr>
      </w:pPr>
      <w:r>
        <w:rPr>
          <w:color w:val="231F20"/>
        </w:rPr>
        <w:t>Create</w:t>
      </w:r>
      <w:r>
        <w:rPr>
          <w:color w:val="231F20"/>
          <w:spacing w:val="10"/>
        </w:rPr>
        <w:t> </w:t>
      </w:r>
      <w:r>
        <w:rPr>
          <w:color w:val="231F20"/>
          <w:spacing w:val="-4"/>
        </w:rPr>
        <w:t>New</w:t>
      </w:r>
      <w:r>
        <w:rPr>
          <w:rFonts w:ascii="Palatino Linotype"/>
          <w:b w:val="0"/>
          <w:color w:val="231F20"/>
          <w:spacing w:val="-4"/>
        </w:rPr>
        <w:t>.</w:t>
      </w:r>
    </w:p>
    <w:p>
      <w:pPr>
        <w:pStyle w:val="ListParagraph"/>
        <w:numPr>
          <w:ilvl w:val="0"/>
          <w:numId w:val="153"/>
        </w:numPr>
        <w:tabs>
          <w:tab w:pos="2658" w:val="left" w:leader="none"/>
        </w:tabs>
        <w:spacing w:line="240" w:lineRule="auto" w:before="30" w:after="0"/>
        <w:ind w:left="2658" w:right="0" w:hanging="315"/>
        <w:jc w:val="left"/>
        <w:rPr>
          <w:sz w:val="20"/>
        </w:rPr>
      </w:pPr>
      <w:r>
        <w:rPr>
          <w:color w:val="231F20"/>
          <w:sz w:val="20"/>
        </w:rPr>
        <w:t>In</w:t>
      </w:r>
      <w:r>
        <w:rPr>
          <w:color w:val="231F20"/>
          <w:spacing w:val="12"/>
          <w:sz w:val="20"/>
        </w:rPr>
        <w:t> </w:t>
      </w:r>
      <w:r>
        <w:rPr>
          <w:color w:val="231F20"/>
          <w:sz w:val="20"/>
        </w:rPr>
        <w:t>the</w:t>
      </w:r>
      <w:r>
        <w:rPr>
          <w:color w:val="231F20"/>
          <w:spacing w:val="12"/>
          <w:sz w:val="20"/>
        </w:rPr>
        <w:t> </w:t>
      </w:r>
      <w:r>
        <w:rPr>
          <w:rFonts w:ascii="Book Antiqua"/>
          <w:b/>
          <w:color w:val="231F20"/>
          <w:sz w:val="20"/>
        </w:rPr>
        <w:t>Name</w:t>
      </w:r>
      <w:r>
        <w:rPr>
          <w:rFonts w:ascii="Book Antiqua"/>
          <w:b/>
          <w:color w:val="231F20"/>
          <w:spacing w:val="12"/>
          <w:sz w:val="20"/>
        </w:rPr>
        <w:t> </w:t>
      </w:r>
      <w:r>
        <w:rPr>
          <w:color w:val="231F20"/>
          <w:sz w:val="20"/>
        </w:rPr>
        <w:t>text</w:t>
      </w:r>
      <w:r>
        <w:rPr>
          <w:color w:val="231F20"/>
          <w:spacing w:val="12"/>
          <w:sz w:val="20"/>
        </w:rPr>
        <w:t> </w:t>
      </w:r>
      <w:r>
        <w:rPr>
          <w:color w:val="231F20"/>
          <w:sz w:val="20"/>
        </w:rPr>
        <w:t>box,</w:t>
      </w:r>
      <w:r>
        <w:rPr>
          <w:color w:val="231F20"/>
          <w:spacing w:val="12"/>
          <w:sz w:val="20"/>
        </w:rPr>
        <w:t> </w:t>
      </w:r>
      <w:r>
        <w:rPr>
          <w:color w:val="231F20"/>
          <w:sz w:val="20"/>
        </w:rPr>
        <w:t>type</w:t>
      </w:r>
      <w:r>
        <w:rPr>
          <w:color w:val="231F20"/>
          <w:spacing w:val="12"/>
          <w:sz w:val="20"/>
        </w:rPr>
        <w:t> </w:t>
      </w:r>
      <w:r>
        <w:rPr>
          <w:color w:val="231F20"/>
          <w:sz w:val="20"/>
        </w:rPr>
        <w:t>a</w:t>
      </w:r>
      <w:r>
        <w:rPr>
          <w:color w:val="231F20"/>
          <w:spacing w:val="12"/>
          <w:sz w:val="20"/>
        </w:rPr>
        <w:t> </w:t>
      </w:r>
      <w:r>
        <w:rPr>
          <w:color w:val="231F20"/>
          <w:sz w:val="20"/>
        </w:rPr>
        <w:t>descriptive</w:t>
      </w:r>
      <w:r>
        <w:rPr>
          <w:color w:val="231F20"/>
          <w:spacing w:val="12"/>
          <w:sz w:val="20"/>
        </w:rPr>
        <w:t> </w:t>
      </w:r>
      <w:r>
        <w:rPr>
          <w:color w:val="231F20"/>
          <w:spacing w:val="-2"/>
          <w:sz w:val="20"/>
        </w:rPr>
        <w:t>name.</w:t>
      </w:r>
    </w:p>
    <w:p>
      <w:pPr>
        <w:pStyle w:val="ListParagraph"/>
        <w:numPr>
          <w:ilvl w:val="0"/>
          <w:numId w:val="153"/>
        </w:numPr>
        <w:tabs>
          <w:tab w:pos="2657" w:val="left" w:leader="none"/>
          <w:tab w:pos="2659" w:val="left" w:leader="none"/>
        </w:tabs>
        <w:spacing w:line="213" w:lineRule="auto" w:before="52" w:after="0"/>
        <w:ind w:left="2659" w:right="494" w:hanging="317"/>
        <w:jc w:val="left"/>
        <w:rPr>
          <w:sz w:val="20"/>
        </w:rPr>
      </w:pPr>
      <w:r>
        <w:rPr>
          <w:color w:val="231F20"/>
          <w:sz w:val="20"/>
        </w:rPr>
        <w:t>In the </w:t>
      </w:r>
      <w:r>
        <w:rPr>
          <w:rFonts w:ascii="Book Antiqua"/>
          <w:b/>
          <w:color w:val="231F20"/>
          <w:sz w:val="20"/>
        </w:rPr>
        <w:t>Target </w:t>
      </w:r>
      <w:r>
        <w:rPr>
          <w:color w:val="231F20"/>
          <w:sz w:val="20"/>
        </w:rPr>
        <w:t>text box, click </w:t>
      </w:r>
      <w:r>
        <w:rPr>
          <w:rFonts w:ascii="Book Antiqua"/>
          <w:b/>
          <w:color w:val="231F20"/>
          <w:sz w:val="20"/>
        </w:rPr>
        <w:t>Browse </w:t>
      </w:r>
      <w:r>
        <w:rPr>
          <w:color w:val="231F20"/>
          <w:sz w:val="20"/>
        </w:rPr>
        <w:t>to locate and select the application to launch. If you leave the field empty, the default behavior is to open Windows Internet Explorer as the launch application. This is desirable when a URL is included in the definition and it will be launched from different computers. If you want a different browser used, the kjr.browser.default client parameter</w:t>
      </w:r>
      <w:r>
        <w:rPr>
          <w:color w:val="231F20"/>
          <w:spacing w:val="80"/>
          <w:sz w:val="20"/>
        </w:rPr>
        <w:t> </w:t>
      </w:r>
      <w:r>
        <w:rPr>
          <w:color w:val="231F20"/>
          <w:sz w:val="20"/>
        </w:rPr>
        <w:t>can be changed through Manage Tivoli Enterprise Monitoring Services, as described in the </w:t>
      </w:r>
      <w:r>
        <w:rPr>
          <w:rFonts w:ascii="Book Antiqua"/>
          <w:i/>
          <w:color w:val="231F20"/>
          <w:sz w:val="20"/>
        </w:rPr>
        <w:t>IBM Tivoli Monitoring Administrator's Guide</w:t>
      </w:r>
      <w:r>
        <w:rPr>
          <w:color w:val="231F20"/>
          <w:sz w:val="20"/>
        </w:rPr>
        <w:t>.</w:t>
      </w:r>
    </w:p>
    <w:p>
      <w:pPr>
        <w:pStyle w:val="ListParagraph"/>
        <w:numPr>
          <w:ilvl w:val="0"/>
          <w:numId w:val="153"/>
        </w:numPr>
        <w:tabs>
          <w:tab w:pos="2659" w:val="left" w:leader="none"/>
        </w:tabs>
        <w:spacing w:line="213" w:lineRule="auto" w:before="55" w:after="0"/>
        <w:ind w:left="2659" w:right="1025" w:hanging="316"/>
        <w:jc w:val="left"/>
        <w:rPr>
          <w:sz w:val="20"/>
        </w:rPr>
      </w:pPr>
      <w:r>
        <w:rPr>
          <w:color w:val="231F20"/>
          <w:sz w:val="20"/>
        </w:rPr>
        <w:t>In the </w:t>
      </w:r>
      <w:r>
        <w:rPr>
          <w:rFonts w:ascii="Book Antiqua"/>
          <w:b/>
          <w:color w:val="231F20"/>
          <w:sz w:val="20"/>
        </w:rPr>
        <w:t>Arguments </w:t>
      </w:r>
      <w:r>
        <w:rPr>
          <w:color w:val="231F20"/>
          <w:sz w:val="20"/>
        </w:rPr>
        <w:t>text box, type any arguments to be added to start the </w:t>
      </w:r>
      <w:r>
        <w:rPr>
          <w:color w:val="231F20"/>
          <w:spacing w:val="-2"/>
          <w:sz w:val="20"/>
        </w:rPr>
        <w:t>application:</w:t>
      </w:r>
    </w:p>
    <w:p>
      <w:pPr>
        <w:spacing w:before="36"/>
        <w:ind w:left="2659" w:right="0" w:firstLine="0"/>
        <w:jc w:val="left"/>
        <w:rPr>
          <w:sz w:val="20"/>
        </w:rPr>
      </w:pPr>
      <w:r>
        <w:rPr>
          <w:rFonts w:ascii="Futura MdCn BT"/>
          <w:color w:val="231F20"/>
          <w:sz w:val="20"/>
        </w:rPr>
        <w:t>v</w:t>
      </w:r>
      <w:r>
        <w:rPr>
          <w:rFonts w:ascii="Futura MdCn BT"/>
          <w:color w:val="231F20"/>
          <w:spacing w:val="30"/>
          <w:sz w:val="20"/>
        </w:rPr>
        <w:t>  </w:t>
      </w:r>
      <w:r>
        <w:rPr>
          <w:color w:val="231F20"/>
          <w:sz w:val="20"/>
        </w:rPr>
        <w:t>To</w:t>
      </w:r>
      <w:r>
        <w:rPr>
          <w:color w:val="231F20"/>
          <w:spacing w:val="12"/>
          <w:sz w:val="20"/>
        </w:rPr>
        <w:t> </w:t>
      </w:r>
      <w:r>
        <w:rPr>
          <w:color w:val="231F20"/>
          <w:sz w:val="20"/>
        </w:rPr>
        <w:t>launch</w:t>
      </w:r>
      <w:r>
        <w:rPr>
          <w:color w:val="231F20"/>
          <w:spacing w:val="12"/>
          <w:sz w:val="20"/>
        </w:rPr>
        <w:t> </w:t>
      </w:r>
      <w:r>
        <w:rPr>
          <w:color w:val="231F20"/>
          <w:sz w:val="20"/>
        </w:rPr>
        <w:t>a</w:t>
      </w:r>
      <w:r>
        <w:rPr>
          <w:color w:val="231F20"/>
          <w:spacing w:val="11"/>
          <w:sz w:val="20"/>
        </w:rPr>
        <w:t> </w:t>
      </w:r>
      <w:r>
        <w:rPr>
          <w:color w:val="231F20"/>
          <w:sz w:val="20"/>
        </w:rPr>
        <w:t>web</w:t>
      </w:r>
      <w:r>
        <w:rPr>
          <w:color w:val="231F20"/>
          <w:spacing w:val="12"/>
          <w:sz w:val="20"/>
        </w:rPr>
        <w:t> </w:t>
      </w:r>
      <w:r>
        <w:rPr>
          <w:color w:val="231F20"/>
          <w:sz w:val="20"/>
        </w:rPr>
        <w:t>page,</w:t>
      </w:r>
      <w:r>
        <w:rPr>
          <w:color w:val="231F20"/>
          <w:spacing w:val="12"/>
          <w:sz w:val="20"/>
        </w:rPr>
        <w:t> </w:t>
      </w:r>
      <w:r>
        <w:rPr>
          <w:color w:val="231F20"/>
          <w:sz w:val="20"/>
        </w:rPr>
        <w:t>enter</w:t>
      </w:r>
      <w:r>
        <w:rPr>
          <w:color w:val="231F20"/>
          <w:spacing w:val="11"/>
          <w:sz w:val="20"/>
        </w:rPr>
        <w:t> </w:t>
      </w:r>
      <w:r>
        <w:rPr>
          <w:color w:val="231F20"/>
          <w:sz w:val="20"/>
        </w:rPr>
        <w:t>the</w:t>
      </w:r>
      <w:r>
        <w:rPr>
          <w:color w:val="231F20"/>
          <w:spacing w:val="12"/>
          <w:sz w:val="20"/>
        </w:rPr>
        <w:t> </w:t>
      </w:r>
      <w:r>
        <w:rPr>
          <w:color w:val="231F20"/>
          <w:sz w:val="20"/>
        </w:rPr>
        <w:t>URL,</w:t>
      </w:r>
      <w:r>
        <w:rPr>
          <w:color w:val="231F20"/>
          <w:spacing w:val="11"/>
          <w:sz w:val="20"/>
        </w:rPr>
        <w:t> </w:t>
      </w:r>
      <w:r>
        <w:rPr>
          <w:color w:val="231F20"/>
          <w:sz w:val="20"/>
        </w:rPr>
        <w:t>such</w:t>
      </w:r>
      <w:r>
        <w:rPr>
          <w:color w:val="231F20"/>
          <w:spacing w:val="12"/>
          <w:sz w:val="20"/>
        </w:rPr>
        <w:t> </w:t>
      </w:r>
      <w:r>
        <w:rPr>
          <w:color w:val="231F20"/>
          <w:sz w:val="20"/>
        </w:rPr>
        <w:t>as</w:t>
      </w:r>
      <w:r>
        <w:rPr>
          <w:color w:val="231F20"/>
          <w:spacing w:val="11"/>
          <w:sz w:val="20"/>
        </w:rPr>
        <w:t> </w:t>
      </w:r>
      <w:hyperlink r:id="rId448">
        <w:r>
          <w:rPr>
            <w:rFonts w:ascii="Arial"/>
            <w:b/>
            <w:color w:val="231F20"/>
            <w:spacing w:val="-2"/>
            <w:sz w:val="20"/>
          </w:rPr>
          <w:t>http://ibm.com</w:t>
        </w:r>
        <w:r>
          <w:rPr>
            <w:color w:val="231F20"/>
            <w:spacing w:val="-2"/>
            <w:sz w:val="20"/>
          </w:rPr>
          <w:t>.</w:t>
        </w:r>
      </w:hyperlink>
    </w:p>
    <w:p>
      <w:pPr>
        <w:pStyle w:val="BodyText"/>
        <w:spacing w:line="208" w:lineRule="auto" w:before="62"/>
        <w:ind w:left="2875" w:right="636" w:hanging="216"/>
      </w:pPr>
      <w:r>
        <w:rPr>
          <w:rFonts w:ascii="Futura MdCn BT"/>
          <w:color w:val="231F20"/>
        </w:rPr>
        <w:t>v</w:t>
      </w:r>
      <w:r>
        <w:rPr>
          <w:rFonts w:ascii="Futura MdCn BT"/>
          <w:color w:val="231F20"/>
          <w:spacing w:val="80"/>
        </w:rPr>
        <w:t> </w:t>
      </w:r>
      <w:r>
        <w:rPr>
          <w:color w:val="231F20"/>
        </w:rPr>
        <w:t>To add a file name, click </w:t>
      </w:r>
      <w:r>
        <w:rPr>
          <w:rFonts w:ascii="Book Antiqua"/>
          <w:b/>
          <w:color w:val="231F20"/>
        </w:rPr>
        <w:t>Browse</w:t>
      </w:r>
      <w:r>
        <w:rPr>
          <w:color w:val="231F20"/>
        </w:rPr>
        <w:t>, select </w:t>
      </w:r>
      <w:r>
        <w:rPr>
          <w:color w:val="231F20"/>
          <w:spacing w:val="15"/>
        </w:rPr>
        <w:drawing>
          <wp:inline distT="0" distB="0" distL="0" distR="0">
            <wp:extent cx="88900" cy="82550"/>
            <wp:effectExtent l="0" t="0" r="0" b="0"/>
            <wp:docPr id="2844" name="Image 2844"/>
            <wp:cNvGraphicFramePr>
              <a:graphicFrameLocks/>
            </wp:cNvGraphicFramePr>
            <a:graphic>
              <a:graphicData uri="http://schemas.openxmlformats.org/drawingml/2006/picture">
                <pic:pic>
                  <pic:nvPicPr>
                    <pic:cNvPr id="2844" name="Image 2844"/>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6"/>
        </w:rPr>
        <w:t> </w:t>
      </w:r>
      <w:r>
        <w:rPr>
          <w:rFonts w:ascii="Book Antiqua"/>
          <w:b/>
          <w:color w:val="231F20"/>
        </w:rPr>
        <w:t>Filename</w:t>
      </w:r>
      <w:r>
        <w:rPr>
          <w:color w:val="231F20"/>
        </w:rPr>
        <w:t>, then locate and select the file.</w:t>
      </w:r>
    </w:p>
    <w:p>
      <w:pPr>
        <w:spacing w:after="0" w:line="208" w:lineRule="auto"/>
        <w:sectPr>
          <w:pgSz w:w="12240" w:h="15840"/>
          <w:pgMar w:header="0" w:footer="736" w:top="1180" w:bottom="920" w:left="1000" w:right="1060"/>
        </w:sectPr>
      </w:pPr>
    </w:p>
    <w:p>
      <w:pPr>
        <w:pStyle w:val="BodyText"/>
        <w:spacing w:line="213" w:lineRule="auto" w:before="85"/>
        <w:ind w:left="3115" w:right="385"/>
      </w:pPr>
      <w:bookmarkStart w:name="_bookmark270" w:id="552"/>
      <w:bookmarkEnd w:id="552"/>
      <w:r>
        <w:rPr/>
      </w:r>
      <w:r>
        <w:rPr>
          <w:color w:val="231F20"/>
        </w:rPr>
        <w:t>If any of the argument contains spaces, surround it with double quotes, </w:t>
      </w:r>
      <w:r>
        <w:rPr>
          <w:color w:val="231F20"/>
        </w:rPr>
        <w:t>as in</w:t>
      </w:r>
      <w:r>
        <w:rPr>
          <w:color w:val="231F20"/>
          <w:spacing w:val="40"/>
        </w:rPr>
        <w:t> </w:t>
      </w:r>
      <w:r>
        <w:rPr>
          <w:rFonts w:ascii="Arial" w:hAnsi="Arial"/>
          <w:color w:val="231F20"/>
        </w:rPr>
        <w:t>“C:\Documents</w:t>
      </w:r>
      <w:r>
        <w:rPr>
          <w:rFonts w:ascii="Arial" w:hAnsi="Arial"/>
          <w:color w:val="231F20"/>
          <w:spacing w:val="40"/>
        </w:rPr>
        <w:t> </w:t>
      </w:r>
      <w:r>
        <w:rPr>
          <w:rFonts w:ascii="Arial" w:hAnsi="Arial"/>
          <w:color w:val="231F20"/>
        </w:rPr>
        <w:t>and</w:t>
      </w:r>
      <w:r>
        <w:rPr>
          <w:rFonts w:ascii="Arial" w:hAnsi="Arial"/>
          <w:color w:val="231F20"/>
          <w:spacing w:val="40"/>
        </w:rPr>
        <w:t> </w:t>
      </w:r>
      <w:r>
        <w:rPr>
          <w:rFonts w:ascii="Arial" w:hAnsi="Arial"/>
          <w:color w:val="231F20"/>
        </w:rPr>
        <w:t>Settings\Administrator\My</w:t>
      </w:r>
      <w:r>
        <w:rPr>
          <w:rFonts w:ascii="Arial" w:hAnsi="Arial"/>
          <w:color w:val="231F20"/>
          <w:spacing w:val="40"/>
        </w:rPr>
        <w:t> </w:t>
      </w:r>
      <w:r>
        <w:rPr>
          <w:rFonts w:ascii="Arial" w:hAnsi="Arial"/>
          <w:color w:val="231F20"/>
        </w:rPr>
        <w:t>Documents\ db_notes.doc”</w:t>
      </w:r>
      <w:r>
        <w:rPr>
          <w:color w:val="231F20"/>
        </w:rPr>
        <w:t>. If you have multiple files to specify, separate each entry</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space</w:t>
      </w:r>
      <w:r>
        <w:rPr>
          <w:color w:val="231F20"/>
          <w:spacing w:val="40"/>
        </w:rPr>
        <w:t> </w:t>
      </w:r>
      <w:r>
        <w:rPr>
          <w:color w:val="231F20"/>
        </w:rPr>
        <w:t>and</w:t>
      </w:r>
      <w:r>
        <w:rPr>
          <w:color w:val="231F20"/>
          <w:spacing w:val="40"/>
        </w:rPr>
        <w:t> </w:t>
      </w:r>
      <w:r>
        <w:rPr>
          <w:color w:val="231F20"/>
        </w:rPr>
        <w:t>enclose</w:t>
      </w:r>
      <w:r>
        <w:rPr>
          <w:color w:val="231F20"/>
          <w:spacing w:val="40"/>
        </w:rPr>
        <w:t> </w:t>
      </w:r>
      <w:r>
        <w:rPr>
          <w:color w:val="231F20"/>
        </w:rPr>
        <w:t>in</w:t>
      </w:r>
      <w:r>
        <w:rPr>
          <w:color w:val="231F20"/>
          <w:spacing w:val="40"/>
        </w:rPr>
        <w:t> </w:t>
      </w:r>
      <w:r>
        <w:rPr>
          <w:color w:val="231F20"/>
        </w:rPr>
        <w:t>double</w:t>
      </w:r>
      <w:r>
        <w:rPr>
          <w:color w:val="231F20"/>
          <w:spacing w:val="40"/>
        </w:rPr>
        <w:t> </w:t>
      </w:r>
      <w:r>
        <w:rPr>
          <w:color w:val="231F20"/>
        </w:rPr>
        <w:t>quotes,</w:t>
      </w:r>
      <w:r>
        <w:rPr>
          <w:color w:val="231F20"/>
          <w:spacing w:val="40"/>
        </w:rPr>
        <w:t> </w:t>
      </w:r>
      <w:r>
        <w:rPr>
          <w:color w:val="231F20"/>
        </w:rPr>
        <w:t>as</w:t>
      </w:r>
      <w:r>
        <w:rPr>
          <w:color w:val="231F20"/>
          <w:spacing w:val="40"/>
        </w:rPr>
        <w:t> </w:t>
      </w:r>
      <w:r>
        <w:rPr>
          <w:color w:val="231F20"/>
        </w:rPr>
        <w:t>in</w:t>
      </w:r>
      <w:r>
        <w:rPr>
          <w:color w:val="231F20"/>
          <w:spacing w:val="40"/>
        </w:rPr>
        <w:t> </w:t>
      </w:r>
      <w:r>
        <w:rPr>
          <w:rFonts w:ascii="Arial" w:hAnsi="Arial"/>
          <w:color w:val="231F20"/>
        </w:rPr>
        <w:t>“C:temp\my_log.txt” </w:t>
      </w:r>
      <w:r>
        <w:rPr>
          <w:rFonts w:ascii="Arial" w:hAnsi="Arial"/>
          <w:color w:val="231F20"/>
          <w:spacing w:val="-2"/>
        </w:rPr>
        <w:t>“C:temp\your_log.txt”</w:t>
      </w:r>
      <w:r>
        <w:rPr>
          <w:color w:val="231F20"/>
          <w:spacing w:val="-2"/>
        </w:rPr>
        <w:t>.</w:t>
      </w:r>
    </w:p>
    <w:p>
      <w:pPr>
        <w:pStyle w:val="BodyText"/>
        <w:spacing w:line="213" w:lineRule="auto" w:before="56"/>
        <w:ind w:left="3115" w:right="274" w:hanging="216"/>
      </w:pPr>
      <w:r>
        <w:rPr>
          <w:rFonts w:ascii="Futura MdCn BT"/>
          <w:color w:val="231F20"/>
        </w:rPr>
        <w:t>v</w:t>
      </w:r>
      <w:r>
        <w:rPr>
          <w:rFonts w:ascii="Futura MdCn BT"/>
          <w:color w:val="231F20"/>
          <w:spacing w:val="80"/>
        </w:rPr>
        <w:t> </w:t>
      </w:r>
      <w:r>
        <w:rPr>
          <w:color w:val="231F20"/>
        </w:rPr>
        <w:t>To</w:t>
      </w:r>
      <w:r>
        <w:rPr>
          <w:color w:val="231F20"/>
          <w:spacing w:val="24"/>
        </w:rPr>
        <w:t> </w:t>
      </w:r>
      <w:r>
        <w:rPr>
          <w:color w:val="231F20"/>
        </w:rPr>
        <w:t>add</w:t>
      </w:r>
      <w:r>
        <w:rPr>
          <w:color w:val="231F20"/>
          <w:spacing w:val="24"/>
        </w:rPr>
        <w:t> </w:t>
      </w:r>
      <w:r>
        <w:rPr>
          <w:color w:val="231F20"/>
        </w:rPr>
        <w:t>an</w:t>
      </w:r>
      <w:r>
        <w:rPr>
          <w:color w:val="231F20"/>
          <w:spacing w:val="24"/>
        </w:rPr>
        <w:t> </w:t>
      </w:r>
      <w:r>
        <w:rPr>
          <w:color w:val="231F20"/>
        </w:rPr>
        <w:t>attribute</w:t>
      </w:r>
      <w:r>
        <w:rPr>
          <w:color w:val="231F20"/>
          <w:spacing w:val="24"/>
        </w:rPr>
        <w:t> </w:t>
      </w:r>
      <w:r>
        <w:rPr>
          <w:color w:val="231F20"/>
        </w:rPr>
        <w:t>or</w:t>
      </w:r>
      <w:r>
        <w:rPr>
          <w:color w:val="231F20"/>
          <w:spacing w:val="24"/>
        </w:rPr>
        <w:t> </w:t>
      </w:r>
      <w:r>
        <w:rPr>
          <w:color w:val="231F20"/>
        </w:rPr>
        <w:t>other</w:t>
      </w:r>
      <w:r>
        <w:rPr>
          <w:color w:val="231F20"/>
          <w:spacing w:val="24"/>
        </w:rPr>
        <w:t> </w:t>
      </w:r>
      <w:r>
        <w:rPr>
          <w:color w:val="231F20"/>
        </w:rPr>
        <w:t>symbolic</w:t>
      </w:r>
      <w:r>
        <w:rPr>
          <w:color w:val="231F20"/>
          <w:spacing w:val="24"/>
        </w:rPr>
        <w:t> </w:t>
      </w:r>
      <w:r>
        <w:rPr>
          <w:color w:val="231F20"/>
        </w:rPr>
        <w:t>reference</w:t>
      </w:r>
      <w:r>
        <w:rPr>
          <w:color w:val="231F20"/>
          <w:spacing w:val="24"/>
        </w:rPr>
        <w:t> </w:t>
      </w:r>
      <w:r>
        <w:rPr>
          <w:color w:val="231F20"/>
        </w:rPr>
        <w:t>that</w:t>
      </w:r>
      <w:r>
        <w:rPr>
          <w:color w:val="231F20"/>
          <w:spacing w:val="24"/>
        </w:rPr>
        <w:t> </w:t>
      </w:r>
      <w:r>
        <w:rPr>
          <w:color w:val="231F20"/>
        </w:rPr>
        <w:t>is</w:t>
      </w:r>
      <w:r>
        <w:rPr>
          <w:color w:val="231F20"/>
          <w:spacing w:val="24"/>
        </w:rPr>
        <w:t> </w:t>
      </w:r>
      <w:r>
        <w:rPr>
          <w:color w:val="231F20"/>
        </w:rPr>
        <w:t>known</w:t>
      </w:r>
      <w:r>
        <w:rPr>
          <w:color w:val="231F20"/>
          <w:spacing w:val="24"/>
        </w:rPr>
        <w:t> </w:t>
      </w:r>
      <w:r>
        <w:rPr>
          <w:color w:val="231F20"/>
        </w:rPr>
        <w:t>at</w:t>
      </w:r>
      <w:r>
        <w:rPr>
          <w:color w:val="231F20"/>
          <w:spacing w:val="24"/>
        </w:rPr>
        <w:t> </w:t>
      </w:r>
      <w:r>
        <w:rPr>
          <w:color w:val="231F20"/>
        </w:rPr>
        <w:t>this location, click </w:t>
      </w:r>
      <w:r>
        <w:rPr>
          <w:rFonts w:ascii="Book Antiqua"/>
          <w:b/>
          <w:color w:val="231F20"/>
        </w:rPr>
        <w:t>Browse</w:t>
      </w:r>
      <w:r>
        <w:rPr>
          <w:color w:val="231F20"/>
        </w:rPr>
        <w:t>, select </w:t>
      </w:r>
      <w:r>
        <w:rPr>
          <w:color w:val="231F20"/>
          <w:spacing w:val="15"/>
        </w:rPr>
        <w:drawing>
          <wp:inline distT="0" distB="0" distL="0" distR="0">
            <wp:extent cx="88900" cy="82550"/>
            <wp:effectExtent l="0" t="0" r="0" b="0"/>
            <wp:docPr id="2845" name="Image 2845"/>
            <wp:cNvGraphicFramePr>
              <a:graphicFrameLocks/>
            </wp:cNvGraphicFramePr>
            <a:graphic>
              <a:graphicData uri="http://schemas.openxmlformats.org/drawingml/2006/picture">
                <pic:pic>
                  <pic:nvPicPr>
                    <pic:cNvPr id="2845" name="Image 2845"/>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rPr>
      </w:r>
      <w:r>
        <w:rPr>
          <w:rFonts w:ascii="Times New Roman"/>
          <w:color w:val="231F20"/>
          <w:spacing w:val="-15"/>
        </w:rPr>
        <w:t> </w:t>
      </w:r>
      <w:r>
        <w:rPr>
          <w:rFonts w:ascii="Book Antiqua"/>
          <w:b/>
          <w:color w:val="231F20"/>
        </w:rPr>
        <w:t>Substitutable Items</w:t>
      </w:r>
      <w:r>
        <w:rPr>
          <w:color w:val="231F20"/>
        </w:rPr>
        <w:t>, then select an attribute from the </w:t>
      </w:r>
      <w:r>
        <w:rPr>
          <w:color w:val="231F20"/>
          <w:spacing w:val="16"/>
        </w:rPr>
        <w:drawing>
          <wp:inline distT="0" distB="0" distL="0" distR="0">
            <wp:extent cx="101600" cy="76200"/>
            <wp:effectExtent l="0" t="0" r="0" b="0"/>
            <wp:docPr id="2846" name="Image 2846"/>
            <wp:cNvGraphicFramePr>
              <a:graphicFrameLocks/>
            </wp:cNvGraphicFramePr>
            <a:graphic>
              <a:graphicData uri="http://schemas.openxmlformats.org/drawingml/2006/picture">
                <pic:pic>
                  <pic:nvPicPr>
                    <pic:cNvPr id="2846" name="Image 2846"/>
                    <pic:cNvPicPr/>
                  </pic:nvPicPr>
                  <pic:blipFill>
                    <a:blip r:embed="rId384" cstate="print"/>
                    <a:stretch>
                      <a:fillRect/>
                    </a:stretch>
                  </pic:blipFill>
                  <pic:spPr>
                    <a:xfrm>
                      <a:off x="0" y="0"/>
                      <a:ext cx="101600" cy="7620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Selected Context </w:t>
      </w:r>
      <w:r>
        <w:rPr>
          <w:color w:val="231F20"/>
        </w:rPr>
        <w:t>list or a symbol from the </w:t>
      </w:r>
      <w:r>
        <w:rPr>
          <w:color w:val="231F20"/>
          <w:spacing w:val="15"/>
        </w:rPr>
        <w:drawing>
          <wp:inline distT="0" distB="0" distL="0" distR="0">
            <wp:extent cx="101600" cy="76200"/>
            <wp:effectExtent l="0" t="0" r="0" b="0"/>
            <wp:docPr id="2847" name="Image 2847"/>
            <wp:cNvGraphicFramePr>
              <a:graphicFrameLocks/>
            </wp:cNvGraphicFramePr>
            <a:graphic>
              <a:graphicData uri="http://schemas.openxmlformats.org/drawingml/2006/picture">
                <pic:pic>
                  <pic:nvPicPr>
                    <pic:cNvPr id="2847" name="Image 2847"/>
                    <pic:cNvPicPr/>
                  </pic:nvPicPr>
                  <pic:blipFill>
                    <a:blip r:embed="rId384" cstate="print"/>
                    <a:stretch>
                      <a:fillRect/>
                    </a:stretch>
                  </pic:blipFill>
                  <pic:spPr>
                    <a:xfrm>
                      <a:off x="0" y="0"/>
                      <a:ext cx="101600" cy="76200"/>
                    </a:xfrm>
                    <a:prstGeom prst="rect">
                      <a:avLst/>
                    </a:prstGeom>
                  </pic:spPr>
                </pic:pic>
              </a:graphicData>
            </a:graphic>
          </wp:inline>
        </w:drawing>
      </w:r>
      <w:r>
        <w:rPr>
          <w:color w:val="231F20"/>
          <w:spacing w:val="15"/>
        </w:rPr>
      </w:r>
      <w:r>
        <w:rPr>
          <w:rFonts w:ascii="Times New Roman"/>
          <w:color w:val="231F20"/>
          <w:spacing w:val="-15"/>
        </w:rPr>
        <w:t> </w:t>
      </w:r>
      <w:r>
        <w:rPr>
          <w:rFonts w:ascii="Book Antiqua"/>
          <w:b/>
          <w:color w:val="231F20"/>
        </w:rPr>
        <w:t>Extended Context </w:t>
      </w:r>
      <w:r>
        <w:rPr>
          <w:color w:val="231F20"/>
        </w:rPr>
        <w:t>list. The value will be retrieved at launch time. For example,</w:t>
      </w:r>
      <w:r>
        <w:rPr>
          <w:color w:val="231F20"/>
          <w:spacing w:val="29"/>
        </w:rPr>
        <w:t> </w:t>
      </w:r>
      <w:r>
        <w:rPr>
          <w:color w:val="231F20"/>
          <w:spacing w:val="-15"/>
          <w:position w:val="-1"/>
        </w:rPr>
        <w:drawing>
          <wp:inline distT="0" distB="0" distL="0" distR="0">
            <wp:extent cx="82550" cy="101600"/>
            <wp:effectExtent l="0" t="0" r="0" b="0"/>
            <wp:docPr id="2848" name="Image 2848"/>
            <wp:cNvGraphicFramePr>
              <a:graphicFrameLocks/>
            </wp:cNvGraphicFramePr>
            <a:graphic>
              <a:graphicData uri="http://schemas.openxmlformats.org/drawingml/2006/picture">
                <pic:pic>
                  <pic:nvPicPr>
                    <pic:cNvPr id="2848" name="Image 2848"/>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User Id </w:t>
      </w:r>
      <w:r>
        <w:rPr>
          <w:rFonts w:ascii="Book Antiqua"/>
          <w:b/>
          <w:color w:val="231F20"/>
        </w:rPr>
        <w:t>(As</w:t>
      </w:r>
      <w:r>
        <w:rPr>
          <w:rFonts w:ascii="Book Antiqua"/>
          <w:b/>
          <w:color w:val="231F20"/>
        </w:rPr>
        <w:t> Typed) </w:t>
      </w:r>
      <w:r>
        <w:rPr>
          <w:color w:val="231F20"/>
        </w:rPr>
        <w:t>shows as </w:t>
      </w:r>
      <w:r>
        <w:rPr>
          <w:rFonts w:ascii="Arial"/>
          <w:color w:val="231F20"/>
        </w:rPr>
        <w:t>&amp;-12002 </w:t>
      </w:r>
      <w:r>
        <w:rPr>
          <w:color w:val="231F20"/>
        </w:rPr>
        <w:t>in the argument and evaluates to </w:t>
      </w:r>
      <w:r>
        <w:rPr>
          <w:rFonts w:ascii="Arial"/>
          <w:color w:val="231F20"/>
        </w:rPr>
        <w:t>sysadmin</w:t>
      </w:r>
      <w:r>
        <w:rPr>
          <w:color w:val="231F20"/>
        </w:rPr>
        <w:t>; </w:t>
      </w:r>
      <w:r>
        <w:rPr>
          <w:color w:val="231F20"/>
          <w:spacing w:val="-25"/>
          <w:position w:val="-1"/>
        </w:rPr>
        <w:drawing>
          <wp:inline distT="0" distB="0" distL="0" distR="0">
            <wp:extent cx="95250" cy="101600"/>
            <wp:effectExtent l="0" t="0" r="0" b="0"/>
            <wp:docPr id="2849" name="Image 2849"/>
            <wp:cNvGraphicFramePr>
              <a:graphicFrameLocks/>
            </wp:cNvGraphicFramePr>
            <a:graphic>
              <a:graphicData uri="http://schemas.openxmlformats.org/drawingml/2006/picture">
                <pic:pic>
                  <pic:nvPicPr>
                    <pic:cNvPr id="2849" name="Image 2849"/>
                    <pic:cNvPicPr/>
                  </pic:nvPicPr>
                  <pic:blipFill>
                    <a:blip r:embed="rId4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position w:val="-1"/>
        </w:rPr>
        <w:t> </w:t>
      </w:r>
      <w:r>
        <w:rPr>
          <w:rFonts w:ascii="Book Antiqua"/>
          <w:b/>
          <w:color w:val="231F20"/>
        </w:rPr>
        <w:t>Process Name </w:t>
      </w:r>
      <w:r>
        <w:rPr>
          <w:color w:val="231F20"/>
        </w:rPr>
        <w:t>shows as </w:t>
      </w:r>
      <w:r>
        <w:rPr>
          <w:rFonts w:ascii="Arial"/>
          <w:color w:val="231F20"/>
        </w:rPr>
        <w:t>&amp;NT_Process.Process_Name</w:t>
      </w:r>
      <w:r>
        <w:rPr>
          <w:rFonts w:ascii="Arial"/>
          <w:color w:val="231F20"/>
          <w:spacing w:val="-5"/>
        </w:rPr>
        <w:t> </w:t>
      </w:r>
      <w:r>
        <w:rPr>
          <w:color w:val="231F20"/>
        </w:rPr>
        <w:t>in the argument and evaluates to </w:t>
      </w:r>
      <w:r>
        <w:rPr>
          <w:rFonts w:ascii="Arial"/>
          <w:color w:val="231F20"/>
        </w:rPr>
        <w:t>BigProcess</w:t>
      </w:r>
      <w:r>
        <w:rPr>
          <w:color w:val="231F20"/>
        </w:rPr>
        <w:t>.</w:t>
      </w:r>
    </w:p>
    <w:p>
      <w:pPr>
        <w:pStyle w:val="BodyText"/>
        <w:spacing w:line="213" w:lineRule="auto" w:before="55"/>
        <w:ind w:left="3115" w:right="202" w:hanging="216"/>
      </w:pPr>
      <w:r>
        <w:rPr>
          <w:rFonts w:ascii="Futura MdCn BT"/>
          <w:color w:val="231F20"/>
        </w:rPr>
        <w:t>v</w:t>
      </w:r>
      <w:r>
        <w:rPr>
          <w:rFonts w:ascii="Futura MdCn BT"/>
          <w:color w:val="231F20"/>
          <w:spacing w:val="80"/>
        </w:rPr>
        <w:t> </w:t>
      </w:r>
      <w:r>
        <w:rPr>
          <w:color w:val="231F20"/>
        </w:rPr>
        <w:t>To prompt for a value, type a ^ caret mark then the prompt, as in </w:t>
      </w:r>
      <w:r>
        <w:rPr>
          <w:rFonts w:ascii="Arial"/>
          <w:color w:val="231F20"/>
        </w:rPr>
        <w:t>^Name</w:t>
      </w:r>
      <w:r>
        <w:rPr>
          <w:color w:val="231F20"/>
        </w:rPr>
        <w:t>, followed</w:t>
      </w:r>
      <w:r>
        <w:rPr>
          <w:color w:val="231F20"/>
          <w:spacing w:val="26"/>
        </w:rPr>
        <w:t> </w:t>
      </w:r>
      <w:r>
        <w:rPr>
          <w:color w:val="231F20"/>
        </w:rPr>
        <w:t>by</w:t>
      </w:r>
      <w:r>
        <w:rPr>
          <w:color w:val="231F20"/>
          <w:spacing w:val="26"/>
        </w:rPr>
        <w:t> </w:t>
      </w:r>
      <w:r>
        <w:rPr>
          <w:color w:val="231F20"/>
        </w:rPr>
        <w:t>a</w:t>
      </w:r>
      <w:r>
        <w:rPr>
          <w:color w:val="231F20"/>
          <w:spacing w:val="26"/>
        </w:rPr>
        <w:t> </w:t>
      </w:r>
      <w:r>
        <w:rPr>
          <w:color w:val="231F20"/>
        </w:rPr>
        <w:t>single</w:t>
      </w:r>
      <w:r>
        <w:rPr>
          <w:color w:val="231F20"/>
          <w:spacing w:val="26"/>
        </w:rPr>
        <w:t> </w:t>
      </w:r>
      <w:r>
        <w:rPr>
          <w:color w:val="231F20"/>
        </w:rPr>
        <w:t>space</w:t>
      </w:r>
      <w:r>
        <w:rPr>
          <w:color w:val="231F20"/>
          <w:spacing w:val="26"/>
        </w:rPr>
        <w:t> </w:t>
      </w:r>
      <w:r>
        <w:rPr>
          <w:color w:val="231F20"/>
        </w:rPr>
        <w:t>or</w:t>
      </w:r>
      <w:r>
        <w:rPr>
          <w:color w:val="231F20"/>
          <w:spacing w:val="26"/>
        </w:rPr>
        <w:t> </w:t>
      </w:r>
      <w:r>
        <w:rPr>
          <w:color w:val="231F20"/>
        </w:rPr>
        <w:t>a</w:t>
      </w:r>
      <w:r>
        <w:rPr>
          <w:color w:val="231F20"/>
          <w:spacing w:val="26"/>
        </w:rPr>
        <w:t> </w:t>
      </w:r>
      <w:r>
        <w:rPr>
          <w:color w:val="231F20"/>
        </w:rPr>
        <w:t>comma.</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would</w:t>
      </w:r>
      <w:r>
        <w:rPr>
          <w:color w:val="231F20"/>
          <w:spacing w:val="26"/>
        </w:rPr>
        <w:t> </w:t>
      </w:r>
      <w:r>
        <w:rPr>
          <w:color w:val="231F20"/>
        </w:rPr>
        <w:t>like</w:t>
      </w:r>
      <w:r>
        <w:rPr>
          <w:color w:val="231F20"/>
          <w:spacing w:val="26"/>
        </w:rPr>
        <w:t> </w:t>
      </w:r>
      <w:r>
        <w:rPr>
          <w:color w:val="231F20"/>
        </w:rPr>
        <w:t>to</w:t>
      </w:r>
      <w:r>
        <w:rPr>
          <w:color w:val="231F20"/>
          <w:spacing w:val="26"/>
        </w:rPr>
        <w:t> </w:t>
      </w:r>
      <w:r>
        <w:rPr>
          <w:color w:val="231F20"/>
        </w:rPr>
        <w:t>supply</w:t>
      </w:r>
      <w:r>
        <w:rPr>
          <w:color w:val="231F20"/>
          <w:spacing w:val="26"/>
        </w:rPr>
        <w:t> </w:t>
      </w:r>
      <w:r>
        <w:rPr>
          <w:color w:val="231F20"/>
        </w:rPr>
        <w:t>a default value, but also enable the user to change it, append the prompt </w:t>
      </w:r>
      <w:r>
        <w:rPr>
          <w:color w:val="231F20"/>
        </w:rPr>
        <w:t>with</w:t>
      </w:r>
      <w:r>
        <w:rPr>
          <w:color w:val="231F20"/>
        </w:rPr>
        <w:t> an = equal sign and the value. For example, </w:t>
      </w:r>
      <w:r>
        <w:rPr>
          <w:rFonts w:ascii="Arial"/>
          <w:color w:val="231F20"/>
        </w:rPr>
        <w:t>^Name=Fred</w:t>
      </w:r>
      <w:r>
        <w:rPr>
          <w:color w:val="231F20"/>
        </w:rPr>
        <w:t>, where </w:t>
      </w:r>
      <w:r>
        <w:rPr>
          <w:rFonts w:ascii="Arial"/>
          <w:color w:val="231F20"/>
        </w:rPr>
        <w:t>Name</w:t>
      </w:r>
      <w:r>
        <w:rPr>
          <w:rFonts w:ascii="Arial"/>
          <w:color w:val="231F20"/>
          <w:spacing w:val="-1"/>
        </w:rPr>
        <w:t> </w:t>
      </w:r>
      <w:r>
        <w:rPr>
          <w:color w:val="231F20"/>
        </w:rPr>
        <w:t>is the prompt and </w:t>
      </w:r>
      <w:r>
        <w:rPr>
          <w:rFonts w:ascii="Arial"/>
          <w:color w:val="231F20"/>
        </w:rPr>
        <w:t>Fred</w:t>
      </w:r>
      <w:r>
        <w:rPr>
          <w:color w:val="231F20"/>
        </w:rPr>
        <w:t>is the default value.</w:t>
      </w:r>
    </w:p>
    <w:p>
      <w:pPr>
        <w:pStyle w:val="BodyText"/>
        <w:spacing w:line="213" w:lineRule="auto" w:before="57"/>
        <w:ind w:left="3115" w:right="274" w:hanging="216"/>
      </w:pPr>
      <w:r>
        <w:rPr>
          <w:rFonts w:ascii="Futura MdCn BT"/>
          <w:color w:val="231F20"/>
        </w:rPr>
        <w:t>v</w:t>
      </w:r>
      <w:r>
        <w:rPr>
          <w:rFonts w:ascii="Futura MdCn BT"/>
          <w:color w:val="231F20"/>
          <w:spacing w:val="80"/>
        </w:rPr>
        <w:t> </w:t>
      </w:r>
      <w:r>
        <w:rPr>
          <w:color w:val="231F20"/>
        </w:rPr>
        <w:t>To prompt for a hidden value, such as a password, type two ^^ caret marks</w:t>
      </w:r>
      <w:r>
        <w:rPr>
          <w:color w:val="231F20"/>
          <w:spacing w:val="80"/>
        </w:rPr>
        <w:t> </w:t>
      </w:r>
      <w:r>
        <w:rPr>
          <w:color w:val="231F20"/>
        </w:rPr>
        <w:t>then the prompt (no spaces are allowed), as in </w:t>
      </w:r>
      <w:r>
        <w:rPr>
          <w:rFonts w:ascii="Arial"/>
          <w:color w:val="231F20"/>
        </w:rPr>
        <w:t>^^Password</w:t>
      </w:r>
      <w:r>
        <w:rPr>
          <w:color w:val="231F20"/>
        </w:rPr>
        <w:t>.</w:t>
      </w:r>
    </w:p>
    <w:p>
      <w:pPr>
        <w:pStyle w:val="BodyText"/>
        <w:spacing w:line="213" w:lineRule="auto" w:before="58"/>
        <w:ind w:left="3115" w:right="493" w:hanging="216"/>
      </w:pPr>
      <w:r>
        <w:rPr>
          <w:rFonts w:ascii="Futura MdCn BT"/>
          <w:color w:val="231F20"/>
        </w:rPr>
        <w:t>v</w:t>
      </w:r>
      <w:r>
        <w:rPr>
          <w:rFonts w:ascii="Futura MdCn BT"/>
          <w:color w:val="231F20"/>
          <w:spacing w:val="80"/>
        </w:rPr>
        <w:t> </w:t>
      </w:r>
      <w:r>
        <w:rPr>
          <w:color w:val="231F20"/>
        </w:rPr>
        <w:t>To add data or an attribute to look up in context, precede the data with an</w:t>
      </w:r>
      <w:r>
        <w:rPr>
          <w:color w:val="231F20"/>
          <w:spacing w:val="80"/>
          <w:w w:val="150"/>
        </w:rPr>
        <w:t> </w:t>
      </w:r>
      <w:r>
        <w:rPr>
          <w:color w:val="231F20"/>
        </w:rPr>
        <w:t>&amp; ampersand.</w:t>
      </w:r>
    </w:p>
    <w:p>
      <w:pPr>
        <w:pStyle w:val="BodyText"/>
        <w:spacing w:line="213" w:lineRule="auto" w:before="59"/>
        <w:ind w:left="3115" w:right="274" w:hanging="216"/>
      </w:pPr>
      <w:r>
        <w:rPr>
          <w:rFonts w:ascii="Futura MdCn BT"/>
          <w:color w:val="231F20"/>
          <w:w w:val="105"/>
        </w:rPr>
        <w:t>v</w:t>
      </w:r>
      <w:r>
        <w:rPr>
          <w:rFonts w:ascii="Futura MdCn BT"/>
          <w:color w:val="231F20"/>
          <w:spacing w:val="61"/>
          <w:w w:val="105"/>
        </w:rPr>
        <w:t> </w:t>
      </w:r>
      <w:r>
        <w:rPr>
          <w:color w:val="231F20"/>
          <w:w w:val="105"/>
        </w:rPr>
        <w:t>To</w:t>
      </w:r>
      <w:r>
        <w:rPr>
          <w:color w:val="231F20"/>
          <w:spacing w:val="-8"/>
          <w:w w:val="105"/>
        </w:rPr>
        <w:t> </w:t>
      </w:r>
      <w:r>
        <w:rPr>
          <w:color w:val="231F20"/>
          <w:w w:val="105"/>
        </w:rPr>
        <w:t>include</w:t>
      </w:r>
      <w:r>
        <w:rPr>
          <w:color w:val="231F20"/>
          <w:spacing w:val="-8"/>
          <w:w w:val="105"/>
        </w:rPr>
        <w:t> </w:t>
      </w:r>
      <w:r>
        <w:rPr>
          <w:color w:val="231F20"/>
          <w:w w:val="105"/>
        </w:rPr>
        <w:t>an</w:t>
      </w:r>
      <w:r>
        <w:rPr>
          <w:color w:val="231F20"/>
          <w:spacing w:val="-8"/>
          <w:w w:val="105"/>
        </w:rPr>
        <w:t> </w:t>
      </w:r>
      <w:r>
        <w:rPr>
          <w:color w:val="231F20"/>
          <w:w w:val="105"/>
        </w:rPr>
        <w:t>&amp;</w:t>
      </w:r>
      <w:r>
        <w:rPr>
          <w:color w:val="231F20"/>
          <w:spacing w:val="-8"/>
          <w:w w:val="105"/>
        </w:rPr>
        <w:t> </w:t>
      </w:r>
      <w:r>
        <w:rPr>
          <w:color w:val="231F20"/>
          <w:w w:val="105"/>
        </w:rPr>
        <w:t>ampersand</w:t>
      </w:r>
      <w:r>
        <w:rPr>
          <w:color w:val="231F20"/>
          <w:spacing w:val="-8"/>
          <w:w w:val="105"/>
        </w:rPr>
        <w:t> </w:t>
      </w:r>
      <w:r>
        <w:rPr>
          <w:color w:val="231F20"/>
          <w:w w:val="105"/>
        </w:rPr>
        <w:t>or</w:t>
      </w:r>
      <w:r>
        <w:rPr>
          <w:color w:val="231F20"/>
          <w:spacing w:val="-8"/>
          <w:w w:val="105"/>
        </w:rPr>
        <w:t> </w:t>
      </w:r>
      <w:r>
        <w:rPr>
          <w:color w:val="231F20"/>
          <w:w w:val="105"/>
        </w:rPr>
        <w:t>^</w:t>
      </w:r>
      <w:r>
        <w:rPr>
          <w:color w:val="231F20"/>
          <w:spacing w:val="-8"/>
          <w:w w:val="105"/>
        </w:rPr>
        <w:t> </w:t>
      </w:r>
      <w:r>
        <w:rPr>
          <w:color w:val="231F20"/>
          <w:w w:val="105"/>
        </w:rPr>
        <w:t>caret</w:t>
      </w:r>
      <w:r>
        <w:rPr>
          <w:color w:val="231F20"/>
          <w:spacing w:val="-8"/>
          <w:w w:val="105"/>
        </w:rPr>
        <w:t> </w:t>
      </w: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filename</w:t>
      </w:r>
      <w:r>
        <w:rPr>
          <w:color w:val="231F20"/>
          <w:spacing w:val="-8"/>
          <w:w w:val="105"/>
        </w:rPr>
        <w:t> </w:t>
      </w:r>
      <w:r>
        <w:rPr>
          <w:color w:val="231F20"/>
          <w:w w:val="105"/>
        </w:rPr>
        <w:t>or</w:t>
      </w:r>
      <w:r>
        <w:rPr>
          <w:color w:val="231F20"/>
          <w:spacing w:val="-8"/>
          <w:w w:val="105"/>
        </w:rPr>
        <w:t> </w:t>
      </w:r>
      <w:r>
        <w:rPr>
          <w:color w:val="231F20"/>
          <w:w w:val="105"/>
        </w:rPr>
        <w:t>value,</w:t>
      </w:r>
      <w:r>
        <w:rPr>
          <w:color w:val="231F20"/>
          <w:spacing w:val="-8"/>
          <w:w w:val="105"/>
        </w:rPr>
        <w:t> </w:t>
      </w:r>
      <w:r>
        <w:rPr>
          <w:color w:val="231F20"/>
          <w:w w:val="105"/>
        </w:rPr>
        <w:t>precede</w:t>
      </w:r>
      <w:r>
        <w:rPr>
          <w:color w:val="231F20"/>
          <w:spacing w:val="-8"/>
          <w:w w:val="105"/>
        </w:rPr>
        <w:t> </w:t>
      </w:r>
      <w:r>
        <w:rPr>
          <w:color w:val="231F20"/>
          <w:w w:val="105"/>
        </w:rPr>
        <w:t>it with</w:t>
      </w:r>
      <w:r>
        <w:rPr>
          <w:color w:val="231F20"/>
          <w:spacing w:val="-10"/>
          <w:w w:val="105"/>
        </w:rPr>
        <w:t> </w:t>
      </w:r>
      <w:r>
        <w:rPr>
          <w:color w:val="231F20"/>
          <w:w w:val="105"/>
        </w:rPr>
        <w:t>a</w:t>
      </w:r>
      <w:r>
        <w:rPr>
          <w:color w:val="231F20"/>
          <w:spacing w:val="-5"/>
          <w:w w:val="105"/>
        </w:rPr>
        <w:t> </w:t>
      </w:r>
      <w:r>
        <w:rPr>
          <w:color w:val="231F20"/>
          <w:w w:val="160"/>
        </w:rPr>
        <w:t>/</w:t>
      </w:r>
      <w:r>
        <w:rPr>
          <w:color w:val="231F20"/>
          <w:spacing w:val="-20"/>
          <w:w w:val="160"/>
        </w:rPr>
        <w:t> </w:t>
      </w:r>
      <w:r>
        <w:rPr>
          <w:color w:val="231F20"/>
          <w:w w:val="105"/>
        </w:rPr>
        <w:t>forward</w:t>
      </w:r>
      <w:r>
        <w:rPr>
          <w:color w:val="231F20"/>
          <w:spacing w:val="-3"/>
          <w:w w:val="105"/>
        </w:rPr>
        <w:t> </w:t>
      </w:r>
      <w:r>
        <w:rPr>
          <w:color w:val="231F20"/>
          <w:w w:val="105"/>
        </w:rPr>
        <w:t>slash.</w:t>
      </w:r>
      <w:r>
        <w:rPr>
          <w:color w:val="231F20"/>
          <w:spacing w:val="-3"/>
          <w:w w:val="105"/>
        </w:rPr>
        <w:t> </w:t>
      </w:r>
      <w:r>
        <w:rPr>
          <w:color w:val="231F20"/>
          <w:w w:val="105"/>
        </w:rPr>
        <w:t>For</w:t>
      </w:r>
      <w:r>
        <w:rPr>
          <w:color w:val="231F20"/>
          <w:spacing w:val="-3"/>
          <w:w w:val="105"/>
        </w:rPr>
        <w:t> </w:t>
      </w:r>
      <w:r>
        <w:rPr>
          <w:color w:val="231F20"/>
          <w:w w:val="105"/>
        </w:rPr>
        <w:t>example</w:t>
      </w:r>
      <w:r>
        <w:rPr>
          <w:color w:val="231F20"/>
          <w:spacing w:val="22"/>
          <w:w w:val="105"/>
        </w:rPr>
        <w:t> </w:t>
      </w:r>
      <w:r>
        <w:rPr>
          <w:rFonts w:ascii="Arial"/>
          <w:color w:val="231F20"/>
          <w:w w:val="105"/>
        </w:rPr>
        <w:t>john&amp;jane.lwp</w:t>
      </w:r>
      <w:r>
        <w:rPr>
          <w:rFonts w:ascii="Arial"/>
          <w:color w:val="231F20"/>
          <w:spacing w:val="-9"/>
          <w:w w:val="105"/>
        </w:rPr>
        <w:t> </w:t>
      </w:r>
      <w:r>
        <w:rPr>
          <w:color w:val="231F20"/>
          <w:w w:val="105"/>
        </w:rPr>
        <w:t>would</w:t>
      </w:r>
      <w:r>
        <w:rPr>
          <w:color w:val="231F20"/>
          <w:spacing w:val="-3"/>
          <w:w w:val="105"/>
        </w:rPr>
        <w:t> </w:t>
      </w:r>
      <w:r>
        <w:rPr>
          <w:color w:val="231F20"/>
          <w:w w:val="105"/>
        </w:rPr>
        <w:t>be</w:t>
      </w:r>
      <w:r>
        <w:rPr>
          <w:color w:val="231F20"/>
          <w:spacing w:val="-3"/>
          <w:w w:val="105"/>
        </w:rPr>
        <w:t> </w:t>
      </w:r>
      <w:r>
        <w:rPr>
          <w:color w:val="231F20"/>
          <w:w w:val="105"/>
        </w:rPr>
        <w:t>entered</w:t>
      </w:r>
      <w:r>
        <w:rPr>
          <w:color w:val="231F20"/>
          <w:spacing w:val="-3"/>
          <w:w w:val="105"/>
        </w:rPr>
        <w:t> </w:t>
      </w:r>
      <w:r>
        <w:rPr>
          <w:color w:val="231F20"/>
          <w:w w:val="105"/>
        </w:rPr>
        <w:t>as </w:t>
      </w:r>
      <w:r>
        <w:rPr>
          <w:rFonts w:ascii="Arial"/>
          <w:color w:val="231F20"/>
          <w:spacing w:val="-2"/>
          <w:w w:val="105"/>
        </w:rPr>
        <w:t>john/&amp;jane.lwp</w:t>
      </w:r>
      <w:r>
        <w:rPr>
          <w:color w:val="231F20"/>
          <w:spacing w:val="-2"/>
          <w:w w:val="105"/>
        </w:rPr>
        <w:t>.</w:t>
      </w:r>
    </w:p>
    <w:p>
      <w:pPr>
        <w:pStyle w:val="ListParagraph"/>
        <w:numPr>
          <w:ilvl w:val="0"/>
          <w:numId w:val="153"/>
        </w:numPr>
        <w:tabs>
          <w:tab w:pos="2899" w:val="left" w:leader="none"/>
        </w:tabs>
        <w:spacing w:line="218" w:lineRule="auto" w:before="54" w:after="0"/>
        <w:ind w:left="2899" w:right="775" w:hanging="316"/>
        <w:jc w:val="left"/>
        <w:rPr>
          <w:sz w:val="20"/>
        </w:rPr>
      </w:pPr>
      <w:r>
        <w:rPr>
          <w:color w:val="231F20"/>
          <w:sz w:val="20"/>
        </w:rPr>
        <w:t>If you added arguments, you can give the user the option to change the values at launch time by selecting </w:t>
      </w:r>
      <w:r>
        <w:rPr>
          <w:color w:val="231F20"/>
          <w:spacing w:val="15"/>
          <w:sz w:val="20"/>
        </w:rPr>
        <w:drawing>
          <wp:inline distT="0" distB="0" distL="0" distR="0">
            <wp:extent cx="82550" cy="82550"/>
            <wp:effectExtent l="0" t="0" r="0" b="0"/>
            <wp:docPr id="2850" name="Image 2850"/>
            <wp:cNvGraphicFramePr>
              <a:graphicFrameLocks/>
            </wp:cNvGraphicFramePr>
            <a:graphic>
              <a:graphicData uri="http://schemas.openxmlformats.org/drawingml/2006/picture">
                <pic:pic>
                  <pic:nvPicPr>
                    <pic:cNvPr id="2850" name="Image 2850"/>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Edit arguments before execution</w:t>
      </w:r>
      <w:r>
        <w:rPr>
          <w:color w:val="231F20"/>
          <w:sz w:val="20"/>
        </w:rPr>
        <w:t>.</w:t>
      </w:r>
    </w:p>
    <w:p>
      <w:pPr>
        <w:pStyle w:val="ListParagraph"/>
        <w:numPr>
          <w:ilvl w:val="0"/>
          <w:numId w:val="153"/>
        </w:numPr>
        <w:tabs>
          <w:tab w:pos="2899" w:val="left" w:leader="none"/>
        </w:tabs>
        <w:spacing w:line="213" w:lineRule="auto" w:before="51" w:after="0"/>
        <w:ind w:left="2899" w:right="399" w:hanging="316"/>
        <w:jc w:val="left"/>
        <w:rPr>
          <w:sz w:val="20"/>
        </w:rPr>
      </w:pPr>
      <w:r>
        <w:rPr>
          <w:color w:val="231F20"/>
          <w:sz w:val="20"/>
        </w:rPr>
        <w:t>If you need to specify the </w:t>
      </w:r>
      <w:r>
        <w:rPr>
          <w:rFonts w:ascii="Book Antiqua"/>
          <w:b/>
          <w:color w:val="231F20"/>
          <w:sz w:val="20"/>
        </w:rPr>
        <w:t>Start in </w:t>
      </w:r>
      <w:r>
        <w:rPr>
          <w:color w:val="231F20"/>
          <w:sz w:val="20"/>
        </w:rPr>
        <w:t>location, click </w:t>
      </w:r>
      <w:r>
        <w:rPr>
          <w:rFonts w:ascii="Book Antiqua"/>
          <w:b/>
          <w:color w:val="231F20"/>
          <w:sz w:val="20"/>
        </w:rPr>
        <w:t>Browse </w:t>
      </w:r>
      <w:r>
        <w:rPr>
          <w:color w:val="231F20"/>
          <w:sz w:val="20"/>
        </w:rPr>
        <w:t>to locate and select</w:t>
      </w:r>
      <w:r>
        <w:rPr>
          <w:color w:val="231F20"/>
          <w:spacing w:val="40"/>
          <w:sz w:val="20"/>
        </w:rPr>
        <w:t> </w:t>
      </w:r>
      <w:r>
        <w:rPr>
          <w:color w:val="231F20"/>
          <w:sz w:val="20"/>
        </w:rPr>
        <w:t>the folder for the program or other required files.</w:t>
      </w:r>
    </w:p>
    <w:p>
      <w:pPr>
        <w:pStyle w:val="ListParagraph"/>
        <w:numPr>
          <w:ilvl w:val="0"/>
          <w:numId w:val="153"/>
        </w:numPr>
        <w:tabs>
          <w:tab w:pos="2899" w:val="left" w:leader="none"/>
        </w:tabs>
        <w:spacing w:line="213" w:lineRule="auto" w:before="59" w:after="0"/>
        <w:ind w:left="2899" w:right="313" w:hanging="427"/>
        <w:jc w:val="both"/>
        <w:rPr>
          <w:sz w:val="20"/>
        </w:rPr>
      </w:pPr>
      <w:r>
        <w:rPr>
          <w:color w:val="231F20"/>
          <w:sz w:val="20"/>
        </w:rPr>
        <w:t>If the definition originates from a Navigator item and you want to restrict its availability to this item only or to others of the same type, click </w:t>
      </w:r>
      <w:r>
        <w:rPr>
          <w:rFonts w:ascii="Book Antiqua"/>
          <w:b/>
          <w:color w:val="231F20"/>
          <w:sz w:val="20"/>
        </w:rPr>
        <w:t>Advanced </w:t>
      </w:r>
      <w:r>
        <w:rPr>
          <w:color w:val="231F20"/>
          <w:sz w:val="20"/>
        </w:rPr>
        <w:t>to open the Advanced Options for Launch Definition window and select one of the options.</w:t>
      </w:r>
    </w:p>
    <w:p>
      <w:pPr>
        <w:pStyle w:val="ListParagraph"/>
        <w:numPr>
          <w:ilvl w:val="0"/>
          <w:numId w:val="153"/>
        </w:numPr>
        <w:tabs>
          <w:tab w:pos="2882" w:val="left" w:leader="none"/>
          <w:tab w:pos="2884" w:val="left" w:leader="none"/>
        </w:tabs>
        <w:spacing w:line="213" w:lineRule="auto" w:before="57" w:after="0"/>
        <w:ind w:left="2884" w:right="521" w:hanging="413"/>
        <w:jc w:val="both"/>
        <w:rPr>
          <w:sz w:val="20"/>
        </w:rPr>
      </w:pPr>
      <w:r>
        <w:rPr>
          <w:color w:val="231F20"/>
          <w:sz w:val="20"/>
        </w:rPr>
        <w:t>Click </w:t>
      </w:r>
      <w:r>
        <w:rPr>
          <w:rFonts w:ascii="Book Antiqua"/>
          <w:b/>
          <w:color w:val="231F20"/>
          <w:sz w:val="20"/>
        </w:rPr>
        <w:t>Evaluate </w:t>
      </w:r>
      <w:r>
        <w:rPr>
          <w:color w:val="231F20"/>
          <w:sz w:val="20"/>
        </w:rPr>
        <w:t>to see how the arguments will resolve when the application </w:t>
      </w:r>
      <w:r>
        <w:rPr>
          <w:color w:val="231F20"/>
          <w:spacing w:val="-2"/>
          <w:sz w:val="20"/>
        </w:rPr>
        <w:t>launches.</w:t>
      </w:r>
    </w:p>
    <w:p>
      <w:pPr>
        <w:pStyle w:val="ListParagraph"/>
        <w:numPr>
          <w:ilvl w:val="0"/>
          <w:numId w:val="153"/>
        </w:numPr>
        <w:tabs>
          <w:tab w:pos="2899" w:val="left" w:leader="none"/>
        </w:tabs>
        <w:spacing w:line="213" w:lineRule="auto" w:before="59" w:after="0"/>
        <w:ind w:left="2899" w:right="463" w:hanging="427"/>
        <w:jc w:val="both"/>
        <w:rPr>
          <w:sz w:val="20"/>
        </w:rPr>
      </w:pPr>
      <w:r>
        <w:rPr>
          <w:color w:val="231F20"/>
          <w:sz w:val="20"/>
        </w:rPr>
        <w:t>When you are finished with the launch definition, click </w:t>
      </w:r>
      <w:r>
        <w:rPr>
          <w:rFonts w:ascii="Book Antiqua"/>
          <w:b/>
          <w:color w:val="231F20"/>
          <w:sz w:val="20"/>
        </w:rPr>
        <w:t>Apply </w:t>
      </w:r>
      <w:r>
        <w:rPr>
          <w:color w:val="231F20"/>
          <w:sz w:val="20"/>
        </w:rPr>
        <w:t>to save </w:t>
      </w:r>
      <w:r>
        <w:rPr>
          <w:color w:val="231F20"/>
          <w:sz w:val="20"/>
        </w:rPr>
        <w:t>your changes and keep the window open; or click </w:t>
      </w:r>
      <w:r>
        <w:rPr>
          <w:rFonts w:ascii="Book Antiqua"/>
          <w:b/>
          <w:color w:val="231F20"/>
          <w:sz w:val="20"/>
        </w:rPr>
        <w:t>OK </w:t>
      </w:r>
      <w:r>
        <w:rPr>
          <w:color w:val="231F20"/>
          <w:sz w:val="20"/>
        </w:rPr>
        <w:t>to save your changes and </w:t>
      </w:r>
      <w:bookmarkStart w:name="Copying or editing a launch definition" w:id="553"/>
      <w:bookmarkEnd w:id="553"/>
      <w:r>
        <w:rPr>
          <w:color w:val="231F20"/>
          <w:sz w:val="20"/>
        </w:rPr>
        <w:t>close</w:t>
      </w:r>
      <w:r>
        <w:rPr>
          <w:color w:val="231F20"/>
          <w:sz w:val="20"/>
        </w:rPr>
        <w:t> the window.</w:t>
      </w:r>
    </w:p>
    <w:p>
      <w:pPr>
        <w:pStyle w:val="Heading3"/>
        <w:spacing w:before="216"/>
        <w:ind w:left="1574"/>
      </w:pPr>
      <w:r>
        <w:rPr>
          <w:color w:val="231F20"/>
        </w:rPr>
        <w:t>Copying</w:t>
      </w:r>
      <w:r>
        <w:rPr>
          <w:color w:val="231F20"/>
          <w:spacing w:val="8"/>
        </w:rPr>
        <w:t> </w:t>
      </w:r>
      <w:r>
        <w:rPr>
          <w:color w:val="231F20"/>
        </w:rPr>
        <w:t>or</w:t>
      </w:r>
      <w:r>
        <w:rPr>
          <w:color w:val="231F20"/>
          <w:spacing w:val="8"/>
        </w:rPr>
        <w:t> </w:t>
      </w:r>
      <w:r>
        <w:rPr>
          <w:color w:val="231F20"/>
        </w:rPr>
        <w:t>editing</w:t>
      </w:r>
      <w:r>
        <w:rPr>
          <w:color w:val="231F20"/>
          <w:spacing w:val="8"/>
        </w:rPr>
        <w:t> </w:t>
      </w:r>
      <w:r>
        <w:rPr>
          <w:color w:val="231F20"/>
        </w:rPr>
        <w:t>a</w:t>
      </w:r>
      <w:r>
        <w:rPr>
          <w:color w:val="231F20"/>
          <w:spacing w:val="9"/>
        </w:rPr>
        <w:t> </w:t>
      </w:r>
      <w:r>
        <w:rPr>
          <w:color w:val="231F20"/>
        </w:rPr>
        <w:t>launch</w:t>
      </w:r>
      <w:r>
        <w:rPr>
          <w:color w:val="231F20"/>
          <w:spacing w:val="8"/>
        </w:rPr>
        <w:t> </w:t>
      </w:r>
      <w:r>
        <w:rPr>
          <w:color w:val="231F20"/>
          <w:spacing w:val="-2"/>
        </w:rPr>
        <w:t>definition</w:t>
      </w:r>
    </w:p>
    <w:p>
      <w:pPr>
        <w:pStyle w:val="BodyText"/>
        <w:spacing w:line="213" w:lineRule="auto" w:before="58"/>
        <w:ind w:left="2472" w:right="385"/>
      </w:pPr>
      <w:r>
        <w:rPr>
          <w:color w:val="231F20"/>
        </w:rPr>
        <w:t>You can use an existing launch definition as a template for creating another definition and edit the copy. The predefined definitions for your product can offer</w:t>
      </w:r>
      <w:r>
        <w:rPr>
          <w:color w:val="231F20"/>
          <w:spacing w:val="80"/>
        </w:rPr>
        <w:t> </w:t>
      </w:r>
      <w:r>
        <w:rPr>
          <w:color w:val="231F20"/>
        </w:rPr>
        <w:t>a good starting point.</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pPr>
      <w:r>
        <w:rPr>
          <w:color w:val="231F20"/>
        </w:rPr>
        <w:t>Your user ID must have View and Modify permission for the Launch </w:t>
      </w:r>
      <w:r>
        <w:rPr>
          <w:color w:val="231F20"/>
        </w:rPr>
        <w:t>Application </w:t>
      </w:r>
      <w:r>
        <w:rPr>
          <w:color w:val="231F20"/>
          <w:spacing w:val="-2"/>
        </w:rPr>
        <w:t>feature.</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Take</w:t>
      </w:r>
      <w:r>
        <w:rPr>
          <w:color w:val="231F20"/>
          <w:spacing w:val="10"/>
        </w:rPr>
        <w:t> </w:t>
      </w:r>
      <w:r>
        <w:rPr>
          <w:color w:val="231F20"/>
        </w:rPr>
        <w:t>these</w:t>
      </w:r>
      <w:r>
        <w:rPr>
          <w:color w:val="231F20"/>
          <w:spacing w:val="10"/>
        </w:rPr>
        <w:t> </w:t>
      </w:r>
      <w:r>
        <w:rPr>
          <w:color w:val="231F20"/>
        </w:rPr>
        <w:t>steps</w:t>
      </w:r>
      <w:r>
        <w:rPr>
          <w:color w:val="231F20"/>
          <w:spacing w:val="11"/>
        </w:rPr>
        <w:t> </w:t>
      </w:r>
      <w:r>
        <w:rPr>
          <w:color w:val="231F20"/>
        </w:rPr>
        <w:t>to</w:t>
      </w:r>
      <w:r>
        <w:rPr>
          <w:color w:val="231F20"/>
          <w:spacing w:val="10"/>
        </w:rPr>
        <w:t> </w:t>
      </w:r>
      <w:r>
        <w:rPr>
          <w:color w:val="231F20"/>
        </w:rPr>
        <w:t>copy</w:t>
      </w:r>
      <w:r>
        <w:rPr>
          <w:color w:val="231F20"/>
          <w:spacing w:val="10"/>
        </w:rPr>
        <w:t> </w:t>
      </w:r>
      <w:r>
        <w:rPr>
          <w:color w:val="231F20"/>
        </w:rPr>
        <w:t>or</w:t>
      </w:r>
      <w:r>
        <w:rPr>
          <w:color w:val="231F20"/>
          <w:spacing w:val="11"/>
        </w:rPr>
        <w:t> </w:t>
      </w:r>
      <w:r>
        <w:rPr>
          <w:color w:val="231F20"/>
        </w:rPr>
        <w:t>edit</w:t>
      </w:r>
      <w:r>
        <w:rPr>
          <w:color w:val="231F20"/>
          <w:spacing w:val="10"/>
        </w:rPr>
        <w:t> </w:t>
      </w:r>
      <w:r>
        <w:rPr>
          <w:color w:val="231F20"/>
        </w:rPr>
        <w:t>a</w:t>
      </w:r>
      <w:r>
        <w:rPr>
          <w:color w:val="231F20"/>
          <w:spacing w:val="10"/>
        </w:rPr>
        <w:t> </w:t>
      </w:r>
      <w:r>
        <w:rPr>
          <w:color w:val="231F20"/>
        </w:rPr>
        <w:t>launch</w:t>
      </w:r>
      <w:r>
        <w:rPr>
          <w:color w:val="231F20"/>
          <w:spacing w:val="11"/>
        </w:rPr>
        <w:t> </w:t>
      </w:r>
      <w:r>
        <w:rPr>
          <w:color w:val="231F20"/>
          <w:spacing w:val="-2"/>
        </w:rPr>
        <w:t>definition:</w:t>
      </w:r>
    </w:p>
    <w:p>
      <w:pPr>
        <w:spacing w:after="0"/>
        <w:sectPr>
          <w:pgSz w:w="12240" w:h="15840"/>
          <w:pgMar w:header="0" w:footer="736" w:top="1180" w:bottom="920" w:left="1000" w:right="1060"/>
        </w:sectPr>
      </w:pPr>
    </w:p>
    <w:p>
      <w:pPr>
        <w:pStyle w:val="Heading4"/>
        <w:spacing w:before="86"/>
      </w:pPr>
      <w:bookmarkStart w:name="_bookmark271" w:id="554"/>
      <w:bookmarkEnd w:id="554"/>
      <w:r>
        <w:rPr>
          <w:b w:val="0"/>
        </w:rPr>
      </w:r>
      <w:r>
        <w:rPr>
          <w:color w:val="231F20"/>
          <w:spacing w:val="-2"/>
        </w:rPr>
        <w:t>Procedure</w:t>
      </w:r>
    </w:p>
    <w:p>
      <w:pPr>
        <w:pStyle w:val="ListParagraph"/>
        <w:numPr>
          <w:ilvl w:val="0"/>
          <w:numId w:val="154"/>
        </w:numPr>
        <w:tabs>
          <w:tab w:pos="2547" w:val="left" w:leader="none"/>
        </w:tabs>
        <w:spacing w:line="240" w:lineRule="auto" w:before="39" w:after="0"/>
        <w:ind w:left="2547" w:right="0" w:hanging="315"/>
        <w:jc w:val="left"/>
        <w:rPr>
          <w:sz w:val="20"/>
        </w:rPr>
      </w:pPr>
      <w:r>
        <w:rPr>
          <w:color w:val="231F20"/>
          <w:sz w:val="20"/>
        </w:rPr>
        <w:t>Select</w:t>
      </w:r>
      <w:r>
        <w:rPr>
          <w:color w:val="231F20"/>
          <w:spacing w:val="10"/>
          <w:sz w:val="20"/>
        </w:rPr>
        <w:t> </w:t>
      </w:r>
      <w:r>
        <w:rPr>
          <w:color w:val="231F20"/>
          <w:sz w:val="20"/>
        </w:rPr>
        <w:t>the</w:t>
      </w:r>
      <w:r>
        <w:rPr>
          <w:color w:val="231F20"/>
          <w:spacing w:val="10"/>
          <w:sz w:val="20"/>
        </w:rPr>
        <w:t> </w:t>
      </w:r>
      <w:r>
        <w:rPr>
          <w:color w:val="231F20"/>
          <w:sz w:val="20"/>
        </w:rPr>
        <w:t>Navigator</w:t>
      </w:r>
      <w:r>
        <w:rPr>
          <w:color w:val="231F20"/>
          <w:spacing w:val="10"/>
          <w:sz w:val="20"/>
        </w:rPr>
        <w:t> </w:t>
      </w:r>
      <w:r>
        <w:rPr>
          <w:color w:val="231F20"/>
          <w:sz w:val="20"/>
        </w:rPr>
        <w:t>item</w:t>
      </w:r>
      <w:r>
        <w:rPr>
          <w:color w:val="231F20"/>
          <w:spacing w:val="10"/>
          <w:sz w:val="20"/>
        </w:rPr>
        <w:t> </w:t>
      </w:r>
      <w:r>
        <w:rPr>
          <w:color w:val="231F20"/>
          <w:sz w:val="20"/>
        </w:rPr>
        <w:t>where</w:t>
      </w:r>
      <w:r>
        <w:rPr>
          <w:color w:val="231F20"/>
          <w:spacing w:val="10"/>
          <w:sz w:val="20"/>
        </w:rPr>
        <w:t> </w:t>
      </w:r>
      <w:r>
        <w:rPr>
          <w:color w:val="231F20"/>
          <w:sz w:val="20"/>
        </w:rPr>
        <w:t>the</w:t>
      </w:r>
      <w:r>
        <w:rPr>
          <w:color w:val="231F20"/>
          <w:spacing w:val="10"/>
          <w:sz w:val="20"/>
        </w:rPr>
        <w:t> </w:t>
      </w:r>
      <w:r>
        <w:rPr>
          <w:color w:val="231F20"/>
          <w:sz w:val="20"/>
        </w:rPr>
        <w:t>launch</w:t>
      </w:r>
      <w:r>
        <w:rPr>
          <w:color w:val="231F20"/>
          <w:spacing w:val="10"/>
          <w:sz w:val="20"/>
        </w:rPr>
        <w:t> </w:t>
      </w:r>
      <w:r>
        <w:rPr>
          <w:color w:val="231F20"/>
          <w:sz w:val="20"/>
        </w:rPr>
        <w:t>definition</w:t>
      </w:r>
      <w:r>
        <w:rPr>
          <w:color w:val="231F20"/>
          <w:spacing w:val="10"/>
          <w:sz w:val="20"/>
        </w:rPr>
        <w:t> </w:t>
      </w:r>
      <w:r>
        <w:rPr>
          <w:color w:val="231F20"/>
          <w:spacing w:val="-2"/>
          <w:sz w:val="20"/>
        </w:rPr>
        <w:t>originates.</w:t>
      </w:r>
    </w:p>
    <w:p>
      <w:pPr>
        <w:pStyle w:val="ListParagraph"/>
        <w:numPr>
          <w:ilvl w:val="0"/>
          <w:numId w:val="154"/>
        </w:numPr>
        <w:tabs>
          <w:tab w:pos="2548" w:val="left" w:leader="none"/>
        </w:tabs>
        <w:spacing w:line="213" w:lineRule="auto" w:before="53" w:after="0"/>
        <w:ind w:left="2548" w:right="645" w:hanging="316"/>
        <w:jc w:val="left"/>
        <w:rPr>
          <w:sz w:val="20"/>
        </w:rPr>
      </w:pPr>
      <w:r>
        <w:rPr>
          <w:color w:val="231F20"/>
          <w:sz w:val="20"/>
        </w:rPr>
        <w:t>If the launch definition was created from a table, chart or event console view, open the workspace containing the view. Use the Workspace Gallery to see thumbnail graphics of the workspaces for a Navigator item, and select one </w:t>
      </w:r>
      <w:r>
        <w:rPr>
          <w:color w:val="231F20"/>
          <w:sz w:val="20"/>
        </w:rPr>
        <w:t>to </w:t>
      </w:r>
      <w:r>
        <w:rPr>
          <w:color w:val="231F20"/>
          <w:spacing w:val="-2"/>
          <w:sz w:val="20"/>
        </w:rPr>
        <w:t>open.</w:t>
      </w:r>
    </w:p>
    <w:p>
      <w:pPr>
        <w:pStyle w:val="ListParagraph"/>
        <w:numPr>
          <w:ilvl w:val="0"/>
          <w:numId w:val="154"/>
        </w:numPr>
        <w:tabs>
          <w:tab w:pos="2547" w:val="left" w:leader="none"/>
        </w:tabs>
        <w:spacing w:line="255" w:lineRule="exact" w:before="34" w:after="0"/>
        <w:ind w:left="2547" w:right="0" w:hanging="315"/>
        <w:jc w:val="left"/>
        <w:rPr>
          <w:sz w:val="20"/>
        </w:rPr>
      </w:pPr>
      <w:r>
        <w:rPr>
          <w:color w:val="231F20"/>
          <w:sz w:val="20"/>
        </w:rPr>
        <w:t>Right-click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line="239" w:lineRule="exact"/>
        <w:ind w:left="2548"/>
      </w:pPr>
      <w:r>
        <w:rPr>
          <w:rFonts w:ascii="Futura MdCn BT"/>
          <w:color w:val="231F20"/>
        </w:rPr>
        <w:t>v</w:t>
      </w:r>
      <w:r>
        <w:rPr>
          <w:rFonts w:ascii="Futura MdCn BT"/>
          <w:color w:val="231F20"/>
          <w:spacing w:val="32"/>
        </w:rPr>
        <w:t>  </w:t>
      </w:r>
      <w:r>
        <w:rPr>
          <w:color w:val="231F20"/>
        </w:rPr>
        <w:t>Navigator</w:t>
      </w:r>
      <w:r>
        <w:rPr>
          <w:color w:val="231F20"/>
          <w:spacing w:val="14"/>
        </w:rPr>
        <w:t> </w:t>
      </w:r>
      <w:r>
        <w:rPr>
          <w:color w:val="231F20"/>
          <w:spacing w:val="-2"/>
        </w:rPr>
        <w:t>item.</w:t>
      </w:r>
    </w:p>
    <w:p>
      <w:pPr>
        <w:pStyle w:val="BodyText"/>
        <w:spacing w:line="239" w:lineRule="exact"/>
        <w:ind w:left="2548"/>
      </w:pPr>
      <w:r>
        <w:rPr>
          <w:rFonts w:ascii="Futura MdCn BT"/>
          <w:color w:val="231F20"/>
        </w:rPr>
        <w:t>v</w:t>
      </w:r>
      <w:r>
        <w:rPr>
          <w:rFonts w:ascii="Futura MdCn BT"/>
          <w:color w:val="231F20"/>
          <w:spacing w:val="32"/>
        </w:rPr>
        <w:t>  </w:t>
      </w:r>
      <w:r>
        <w:rPr>
          <w:color w:val="231F20"/>
        </w:rPr>
        <w:t>Row</w:t>
      </w:r>
      <w:r>
        <w:rPr>
          <w:color w:val="231F20"/>
          <w:spacing w:val="14"/>
        </w:rPr>
        <w:t> </w:t>
      </w:r>
      <w:r>
        <w:rPr>
          <w:color w:val="231F20"/>
        </w:rPr>
        <w:t>in</w:t>
      </w:r>
      <w:r>
        <w:rPr>
          <w:color w:val="231F20"/>
          <w:spacing w:val="14"/>
        </w:rPr>
        <w:t> </w:t>
      </w:r>
      <w:r>
        <w:rPr>
          <w:color w:val="231F20"/>
        </w:rPr>
        <w:t>a</w:t>
      </w:r>
      <w:r>
        <w:rPr>
          <w:color w:val="231F20"/>
          <w:spacing w:val="13"/>
        </w:rPr>
        <w:t> </w:t>
      </w:r>
      <w:r>
        <w:rPr>
          <w:color w:val="231F20"/>
        </w:rPr>
        <w:t>table</w:t>
      </w:r>
      <w:r>
        <w:rPr>
          <w:color w:val="231F20"/>
          <w:spacing w:val="13"/>
        </w:rPr>
        <w:t> </w:t>
      </w:r>
      <w:r>
        <w:rPr>
          <w:color w:val="231F20"/>
        </w:rPr>
        <w:t>or</w:t>
      </w:r>
      <w:r>
        <w:rPr>
          <w:color w:val="231F20"/>
          <w:spacing w:val="14"/>
        </w:rPr>
        <w:t> </w:t>
      </w:r>
      <w:r>
        <w:rPr>
          <w:color w:val="231F20"/>
        </w:rPr>
        <w:t>event</w:t>
      </w:r>
      <w:r>
        <w:rPr>
          <w:color w:val="231F20"/>
          <w:spacing w:val="13"/>
        </w:rPr>
        <w:t> </w:t>
      </w:r>
      <w:r>
        <w:rPr>
          <w:color w:val="231F20"/>
        </w:rPr>
        <w:t>console</w:t>
      </w:r>
      <w:r>
        <w:rPr>
          <w:color w:val="231F20"/>
          <w:spacing w:val="13"/>
        </w:rPr>
        <w:t> </w:t>
      </w:r>
      <w:r>
        <w:rPr>
          <w:color w:val="231F20"/>
          <w:spacing w:val="-2"/>
        </w:rPr>
        <w:t>view.</w:t>
      </w:r>
    </w:p>
    <w:p>
      <w:pPr>
        <w:pStyle w:val="BodyText"/>
        <w:spacing w:line="239" w:lineRule="exact"/>
        <w:ind w:left="2548"/>
      </w:pPr>
      <w:r>
        <w:rPr>
          <w:rFonts w:ascii="Futura MdCn BT"/>
          <w:color w:val="231F20"/>
        </w:rPr>
        <w:t>v</w:t>
      </w:r>
      <w:r>
        <w:rPr>
          <w:rFonts w:ascii="Futura MdCn BT"/>
          <w:color w:val="231F20"/>
          <w:spacing w:val="32"/>
        </w:rPr>
        <w:t>  </w:t>
      </w:r>
      <w:r>
        <w:rPr>
          <w:color w:val="231F20"/>
        </w:rPr>
        <w:t>Data</w:t>
      </w:r>
      <w:r>
        <w:rPr>
          <w:color w:val="231F20"/>
          <w:spacing w:val="15"/>
        </w:rPr>
        <w:t> </w:t>
      </w:r>
      <w:r>
        <w:rPr>
          <w:color w:val="231F20"/>
        </w:rPr>
        <w:t>point</w:t>
      </w:r>
      <w:r>
        <w:rPr>
          <w:color w:val="231F20"/>
          <w:spacing w:val="14"/>
        </w:rPr>
        <w:t> </w:t>
      </w:r>
      <w:r>
        <w:rPr>
          <w:color w:val="231F20"/>
        </w:rPr>
        <w:t>in</w:t>
      </w:r>
      <w:r>
        <w:rPr>
          <w:color w:val="231F20"/>
          <w:spacing w:val="13"/>
        </w:rPr>
        <w:t> </w:t>
      </w:r>
      <w:r>
        <w:rPr>
          <w:color w:val="231F20"/>
        </w:rPr>
        <w:t>a</w:t>
      </w:r>
      <w:r>
        <w:rPr>
          <w:color w:val="231F20"/>
          <w:spacing w:val="14"/>
        </w:rPr>
        <w:t> </w:t>
      </w:r>
      <w:r>
        <w:rPr>
          <w:color w:val="231F20"/>
        </w:rPr>
        <w:t>chart</w:t>
      </w:r>
      <w:r>
        <w:rPr>
          <w:color w:val="231F20"/>
          <w:spacing w:val="13"/>
        </w:rPr>
        <w:t> </w:t>
      </w:r>
      <w:r>
        <w:rPr>
          <w:color w:val="231F20"/>
        </w:rPr>
        <w:t>(such</w:t>
      </w:r>
      <w:r>
        <w:rPr>
          <w:color w:val="231F20"/>
          <w:spacing w:val="14"/>
        </w:rPr>
        <w:t> </w:t>
      </w:r>
      <w:r>
        <w:rPr>
          <w:color w:val="231F20"/>
        </w:rPr>
        <w:t>as</w:t>
      </w:r>
      <w:r>
        <w:rPr>
          <w:color w:val="231F20"/>
          <w:spacing w:val="13"/>
        </w:rPr>
        <w:t> </w:t>
      </w:r>
      <w:r>
        <w:rPr>
          <w:color w:val="231F20"/>
        </w:rPr>
        <w:t>a</w:t>
      </w:r>
      <w:r>
        <w:rPr>
          <w:color w:val="231F20"/>
          <w:spacing w:val="14"/>
        </w:rPr>
        <w:t> </w:t>
      </w:r>
      <w:r>
        <w:rPr>
          <w:color w:val="231F20"/>
        </w:rPr>
        <w:t>pie</w:t>
      </w:r>
      <w:r>
        <w:rPr>
          <w:color w:val="231F20"/>
          <w:spacing w:val="14"/>
        </w:rPr>
        <w:t> </w:t>
      </w:r>
      <w:r>
        <w:rPr>
          <w:color w:val="231F20"/>
        </w:rPr>
        <w:t>slice</w:t>
      </w:r>
      <w:r>
        <w:rPr>
          <w:color w:val="231F20"/>
          <w:spacing w:val="13"/>
        </w:rPr>
        <w:t> </w:t>
      </w:r>
      <w:r>
        <w:rPr>
          <w:color w:val="231F20"/>
        </w:rPr>
        <w:t>or</w:t>
      </w:r>
      <w:r>
        <w:rPr>
          <w:color w:val="231F20"/>
          <w:spacing w:val="14"/>
        </w:rPr>
        <w:t> </w:t>
      </w:r>
      <w:r>
        <w:rPr>
          <w:color w:val="231F20"/>
          <w:spacing w:val="-4"/>
        </w:rPr>
        <w:t>bar).</w:t>
      </w:r>
    </w:p>
    <w:p>
      <w:pPr>
        <w:pStyle w:val="BodyText"/>
        <w:spacing w:line="255" w:lineRule="exact"/>
        <w:ind w:left="2548"/>
      </w:pPr>
      <w:r>
        <w:rPr>
          <w:rFonts w:ascii="Futura MdCn BT"/>
          <w:color w:val="231F20"/>
        </w:rPr>
        <w:t>v</w:t>
      </w:r>
      <w:r>
        <w:rPr>
          <w:rFonts w:ascii="Futura MdCn BT"/>
          <w:color w:val="231F20"/>
          <w:spacing w:val="73"/>
          <w:w w:val="150"/>
        </w:rPr>
        <w:t> </w:t>
      </w:r>
      <w:r>
        <w:rPr>
          <w:color w:val="231F20"/>
        </w:rPr>
        <w:t>Topology</w:t>
      </w:r>
      <w:r>
        <w:rPr>
          <w:color w:val="231F20"/>
          <w:spacing w:val="9"/>
        </w:rPr>
        <w:t> </w:t>
      </w:r>
      <w:r>
        <w:rPr>
          <w:color w:val="231F20"/>
        </w:rPr>
        <w:t>view</w:t>
      </w:r>
      <w:r>
        <w:rPr>
          <w:color w:val="231F20"/>
          <w:spacing w:val="8"/>
        </w:rPr>
        <w:t> </w:t>
      </w:r>
      <w:r>
        <w:rPr>
          <w:color w:val="231F20"/>
          <w:spacing w:val="-2"/>
        </w:rPr>
        <w:t>object</w:t>
      </w:r>
    </w:p>
    <w:p>
      <w:pPr>
        <w:pStyle w:val="ListParagraph"/>
        <w:numPr>
          <w:ilvl w:val="0"/>
          <w:numId w:val="154"/>
        </w:numPr>
        <w:tabs>
          <w:tab w:pos="2547" w:val="left" w:leader="none"/>
        </w:tabs>
        <w:spacing w:line="240" w:lineRule="auto" w:before="29" w:after="0"/>
        <w:ind w:left="2547" w:right="0" w:hanging="315"/>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95250"/>
            <wp:effectExtent l="0" t="0" r="0" b="0"/>
            <wp:docPr id="2851" name="Image 2851"/>
            <wp:cNvGraphicFramePr>
              <a:graphicFrameLocks/>
            </wp:cNvGraphicFramePr>
            <a:graphic>
              <a:graphicData uri="http://schemas.openxmlformats.org/drawingml/2006/picture">
                <pic:pic>
                  <pic:nvPicPr>
                    <pic:cNvPr id="2851" name="Image 2851"/>
                    <pic:cNvPicPr/>
                  </pic:nvPicPr>
                  <pic:blipFill>
                    <a:blip r:embed="rId44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7"/>
          <w:w w:val="150"/>
          <w:sz w:val="20"/>
        </w:rPr>
        <w:t> </w:t>
      </w:r>
      <w:r>
        <w:rPr>
          <w:rFonts w:ascii="Book Antiqua"/>
          <w:b/>
          <w:color w:val="231F20"/>
          <w:sz w:val="20"/>
        </w:rPr>
        <w:t>Launch</w:t>
      </w:r>
      <w:r>
        <w:rPr>
          <w:rFonts w:ascii="Book Antiqua"/>
          <w:b/>
          <w:color w:val="231F20"/>
          <w:spacing w:val="12"/>
          <w:sz w:val="20"/>
        </w:rPr>
        <w:t> </w:t>
      </w:r>
      <w:r>
        <w:rPr>
          <w:color w:val="231F20"/>
          <w:sz w:val="20"/>
        </w:rPr>
        <w:t>and</w:t>
      </w:r>
      <w:r>
        <w:rPr>
          <w:color w:val="231F20"/>
          <w:spacing w:val="13"/>
          <w:sz w:val="20"/>
        </w:rPr>
        <w:t> </w:t>
      </w:r>
      <w:r>
        <w:rPr>
          <w:color w:val="231F20"/>
          <w:sz w:val="20"/>
        </w:rPr>
        <w:t>select</w:t>
      </w:r>
      <w:r>
        <w:rPr>
          <w:color w:val="231F20"/>
          <w:spacing w:val="12"/>
          <w:sz w:val="20"/>
        </w:rPr>
        <w:t> </w:t>
      </w:r>
      <w:r>
        <w:rPr>
          <w:color w:val="231F20"/>
          <w:sz w:val="20"/>
        </w:rPr>
        <w:t>the</w:t>
      </w:r>
      <w:r>
        <w:rPr>
          <w:color w:val="231F20"/>
          <w:spacing w:val="13"/>
          <w:sz w:val="20"/>
        </w:rPr>
        <w:t> </w:t>
      </w:r>
      <w:r>
        <w:rPr>
          <w:color w:val="231F20"/>
          <w:sz w:val="20"/>
        </w:rPr>
        <w:t>definition</w:t>
      </w:r>
      <w:r>
        <w:rPr>
          <w:color w:val="231F20"/>
          <w:spacing w:val="12"/>
          <w:sz w:val="20"/>
        </w:rPr>
        <w:t> </w:t>
      </w:r>
      <w:r>
        <w:rPr>
          <w:color w:val="231F20"/>
          <w:sz w:val="20"/>
        </w:rPr>
        <w:t>you</w:t>
      </w:r>
      <w:r>
        <w:rPr>
          <w:color w:val="231F20"/>
          <w:spacing w:val="13"/>
          <w:sz w:val="20"/>
        </w:rPr>
        <w:t> </w:t>
      </w:r>
      <w:r>
        <w:rPr>
          <w:color w:val="231F20"/>
          <w:sz w:val="20"/>
        </w:rPr>
        <w:t>want</w:t>
      </w:r>
      <w:r>
        <w:rPr>
          <w:color w:val="231F20"/>
          <w:spacing w:val="12"/>
          <w:sz w:val="20"/>
        </w:rPr>
        <w:t> </w:t>
      </w:r>
      <w:r>
        <w:rPr>
          <w:color w:val="231F20"/>
          <w:sz w:val="20"/>
        </w:rPr>
        <w:t>to</w:t>
      </w:r>
      <w:r>
        <w:rPr>
          <w:color w:val="231F20"/>
          <w:spacing w:val="13"/>
          <w:sz w:val="20"/>
        </w:rPr>
        <w:t> </w:t>
      </w:r>
      <w:r>
        <w:rPr>
          <w:color w:val="231F20"/>
          <w:sz w:val="20"/>
        </w:rPr>
        <w:t>copy</w:t>
      </w:r>
      <w:r>
        <w:rPr>
          <w:color w:val="231F20"/>
          <w:spacing w:val="12"/>
          <w:sz w:val="20"/>
        </w:rPr>
        <w:t> </w:t>
      </w:r>
      <w:r>
        <w:rPr>
          <w:color w:val="231F20"/>
          <w:sz w:val="20"/>
        </w:rPr>
        <w:t>or</w:t>
      </w:r>
      <w:r>
        <w:rPr>
          <w:color w:val="231F20"/>
          <w:spacing w:val="13"/>
          <w:sz w:val="20"/>
        </w:rPr>
        <w:t> </w:t>
      </w:r>
      <w:r>
        <w:rPr>
          <w:color w:val="231F20"/>
          <w:spacing w:val="-2"/>
          <w:sz w:val="20"/>
        </w:rPr>
        <w:t>edit.</w:t>
      </w:r>
    </w:p>
    <w:p>
      <w:pPr>
        <w:pStyle w:val="ListParagraph"/>
        <w:numPr>
          <w:ilvl w:val="0"/>
          <w:numId w:val="154"/>
        </w:numPr>
        <w:tabs>
          <w:tab w:pos="2547" w:val="left" w:leader="none"/>
        </w:tabs>
        <w:spacing w:line="240" w:lineRule="auto" w:before="30" w:after="0"/>
        <w:ind w:left="2547" w:right="0" w:hanging="315"/>
        <w:jc w:val="left"/>
        <w:rPr>
          <w:sz w:val="20"/>
        </w:rPr>
      </w:pPr>
      <w:r>
        <w:rPr>
          <w:color w:val="231F20"/>
          <w:sz w:val="20"/>
        </w:rPr>
        <w:t>If</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z w:val="20"/>
        </w:rPr>
        <w:t>create</w:t>
      </w:r>
      <w:r>
        <w:rPr>
          <w:color w:val="231F20"/>
          <w:spacing w:val="12"/>
          <w:sz w:val="20"/>
        </w:rPr>
        <w:t> </w:t>
      </w:r>
      <w:r>
        <w:rPr>
          <w:color w:val="231F20"/>
          <w:sz w:val="20"/>
        </w:rPr>
        <w:t>a</w:t>
      </w:r>
      <w:r>
        <w:rPr>
          <w:color w:val="231F20"/>
          <w:spacing w:val="12"/>
          <w:sz w:val="20"/>
        </w:rPr>
        <w:t> </w:t>
      </w:r>
      <w:r>
        <w:rPr>
          <w:color w:val="231F20"/>
          <w:sz w:val="20"/>
        </w:rPr>
        <w:t>copy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definition,</w:t>
      </w:r>
      <w:r>
        <w:rPr>
          <w:color w:val="231F20"/>
          <w:spacing w:val="12"/>
          <w:sz w:val="20"/>
        </w:rPr>
        <w:t> </w:t>
      </w:r>
      <w:r>
        <w:rPr>
          <w:color w:val="231F20"/>
          <w:sz w:val="20"/>
        </w:rPr>
        <w:t>click</w:t>
      </w:r>
      <w:r>
        <w:rPr>
          <w:color w:val="231F20"/>
          <w:spacing w:val="11"/>
          <w:sz w:val="20"/>
        </w:rPr>
        <w:t> </w:t>
      </w:r>
      <w:r>
        <w:rPr>
          <w:rFonts w:ascii="Book Antiqua"/>
          <w:b/>
          <w:color w:val="231F20"/>
          <w:sz w:val="20"/>
        </w:rPr>
        <w:t>Create</w:t>
      </w:r>
      <w:r>
        <w:rPr>
          <w:rFonts w:ascii="Book Antiqua"/>
          <w:b/>
          <w:color w:val="231F20"/>
          <w:spacing w:val="12"/>
          <w:sz w:val="20"/>
        </w:rPr>
        <w:t> </w:t>
      </w:r>
      <w:r>
        <w:rPr>
          <w:rFonts w:ascii="Book Antiqua"/>
          <w:b/>
          <w:color w:val="231F20"/>
          <w:spacing w:val="-2"/>
          <w:sz w:val="20"/>
        </w:rPr>
        <w:t>Another</w:t>
      </w:r>
      <w:r>
        <w:rPr>
          <w:color w:val="231F20"/>
          <w:spacing w:val="-2"/>
          <w:sz w:val="20"/>
        </w:rPr>
        <w:t>.</w:t>
      </w:r>
    </w:p>
    <w:p>
      <w:pPr>
        <w:pStyle w:val="ListParagraph"/>
        <w:numPr>
          <w:ilvl w:val="0"/>
          <w:numId w:val="154"/>
        </w:numPr>
        <w:tabs>
          <w:tab w:pos="2548" w:val="left" w:leader="none"/>
        </w:tabs>
        <w:spacing w:line="213" w:lineRule="auto" w:before="52" w:after="0"/>
        <w:ind w:left="2548" w:right="406" w:hanging="316"/>
        <w:jc w:val="left"/>
        <w:rPr>
          <w:sz w:val="20"/>
        </w:rPr>
      </w:pPr>
      <w:r>
        <w:rPr>
          <w:color w:val="231F20"/>
          <w:sz w:val="20"/>
        </w:rPr>
        <w:t>Starting at the step for selecting the application to launch in the </w:t>
      </w:r>
      <w:r>
        <w:rPr>
          <w:rFonts w:ascii="Book Antiqua"/>
          <w:b/>
          <w:color w:val="231F20"/>
          <w:sz w:val="20"/>
        </w:rPr>
        <w:t>Target </w:t>
      </w:r>
      <w:r>
        <w:rPr>
          <w:color w:val="231F20"/>
          <w:sz w:val="20"/>
        </w:rPr>
        <w:t>text box, continue with the remaining steps for "Creating a launch definition".</w:t>
      </w:r>
    </w:p>
    <w:p>
      <w:pPr>
        <w:pStyle w:val="Heading3"/>
        <w:spacing w:before="217"/>
        <w:ind w:left="0" w:right="3814"/>
        <w:jc w:val="center"/>
      </w:pPr>
      <w:bookmarkStart w:name="Deleting a launch definition" w:id="555"/>
      <w:bookmarkEnd w:id="555"/>
      <w:r>
        <w:rPr>
          <w:b w:val="0"/>
        </w:rPr>
      </w:r>
      <w:r>
        <w:rPr>
          <w:color w:val="231F20"/>
        </w:rPr>
        <w:t>Deleting</w:t>
      </w:r>
      <w:r>
        <w:rPr>
          <w:color w:val="231F20"/>
          <w:spacing w:val="7"/>
        </w:rPr>
        <w:t> </w:t>
      </w:r>
      <w:r>
        <w:rPr>
          <w:color w:val="231F20"/>
        </w:rPr>
        <w:t>a</w:t>
      </w:r>
      <w:r>
        <w:rPr>
          <w:color w:val="231F20"/>
          <w:spacing w:val="8"/>
        </w:rPr>
        <w:t> </w:t>
      </w:r>
      <w:r>
        <w:rPr>
          <w:color w:val="231F20"/>
        </w:rPr>
        <w:t>launch</w:t>
      </w:r>
      <w:r>
        <w:rPr>
          <w:color w:val="231F20"/>
          <w:spacing w:val="8"/>
        </w:rPr>
        <w:t> </w:t>
      </w:r>
      <w:r>
        <w:rPr>
          <w:color w:val="231F20"/>
          <w:spacing w:val="-2"/>
        </w:rPr>
        <w:t>definition</w:t>
      </w:r>
    </w:p>
    <w:p>
      <w:pPr>
        <w:pStyle w:val="BodyText"/>
        <w:spacing w:before="35"/>
        <w:ind w:left="2232"/>
      </w:pPr>
      <w:r>
        <w:rPr>
          <w:color w:val="231F20"/>
        </w:rPr>
        <w:t>When</w:t>
      </w:r>
      <w:r>
        <w:rPr>
          <w:color w:val="231F20"/>
          <w:spacing w:val="11"/>
        </w:rPr>
        <w:t> </w:t>
      </w:r>
      <w:r>
        <w:rPr>
          <w:color w:val="231F20"/>
        </w:rPr>
        <w:t>you</w:t>
      </w:r>
      <w:r>
        <w:rPr>
          <w:color w:val="231F20"/>
          <w:spacing w:val="11"/>
        </w:rPr>
        <w:t> </w:t>
      </w:r>
      <w:r>
        <w:rPr>
          <w:color w:val="231F20"/>
        </w:rPr>
        <w:t>no</w:t>
      </w:r>
      <w:r>
        <w:rPr>
          <w:color w:val="231F20"/>
          <w:spacing w:val="11"/>
        </w:rPr>
        <w:t> </w:t>
      </w:r>
      <w:r>
        <w:rPr>
          <w:color w:val="231F20"/>
        </w:rPr>
        <w:t>longer</w:t>
      </w:r>
      <w:r>
        <w:rPr>
          <w:color w:val="231F20"/>
          <w:spacing w:val="12"/>
        </w:rPr>
        <w:t> </w:t>
      </w:r>
      <w:r>
        <w:rPr>
          <w:color w:val="231F20"/>
        </w:rPr>
        <w:t>need</w:t>
      </w:r>
      <w:r>
        <w:rPr>
          <w:color w:val="231F20"/>
          <w:spacing w:val="11"/>
        </w:rPr>
        <w:t> </w:t>
      </w:r>
      <w:r>
        <w:rPr>
          <w:color w:val="231F20"/>
        </w:rPr>
        <w:t>to</w:t>
      </w:r>
      <w:r>
        <w:rPr>
          <w:color w:val="231F20"/>
          <w:spacing w:val="11"/>
        </w:rPr>
        <w:t> </w:t>
      </w:r>
      <w:r>
        <w:rPr>
          <w:color w:val="231F20"/>
        </w:rPr>
        <w:t>keep</w:t>
      </w:r>
      <w:r>
        <w:rPr>
          <w:color w:val="231F20"/>
          <w:spacing w:val="11"/>
        </w:rPr>
        <w:t> </w:t>
      </w:r>
      <w:r>
        <w:rPr>
          <w:color w:val="231F20"/>
        </w:rPr>
        <w:t>a</w:t>
      </w:r>
      <w:r>
        <w:rPr>
          <w:color w:val="231F20"/>
          <w:spacing w:val="12"/>
        </w:rPr>
        <w:t> </w:t>
      </w:r>
      <w:r>
        <w:rPr>
          <w:color w:val="231F20"/>
        </w:rPr>
        <w:t>launch</w:t>
      </w:r>
      <w:r>
        <w:rPr>
          <w:color w:val="231F20"/>
          <w:spacing w:val="11"/>
        </w:rPr>
        <w:t> </w:t>
      </w:r>
      <w:r>
        <w:rPr>
          <w:color w:val="231F20"/>
        </w:rPr>
        <w:t>definition,</w:t>
      </w:r>
      <w:r>
        <w:rPr>
          <w:color w:val="231F20"/>
          <w:spacing w:val="11"/>
        </w:rPr>
        <w:t> </w:t>
      </w:r>
      <w:r>
        <w:rPr>
          <w:color w:val="231F20"/>
        </w:rPr>
        <w:t>remove</w:t>
      </w:r>
      <w:r>
        <w:rPr>
          <w:color w:val="231F20"/>
          <w:spacing w:val="12"/>
        </w:rPr>
        <w:t> </w:t>
      </w:r>
      <w:r>
        <w:rPr>
          <w:color w:val="231F20"/>
        </w:rPr>
        <w:t>it</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spacing w:val="-2"/>
        </w:rPr>
        <w:t>list.</w:t>
      </w:r>
    </w:p>
    <w:p>
      <w:pPr>
        <w:pStyle w:val="Heading4"/>
        <w:spacing w:before="194"/>
        <w:ind w:left="0" w:right="3730"/>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Your user ID must have View and Modify permission for the Launch </w:t>
      </w:r>
      <w:r>
        <w:rPr>
          <w:color w:val="231F20"/>
        </w:rPr>
        <w:t>Application </w:t>
      </w:r>
      <w:r>
        <w:rPr>
          <w:color w:val="231F20"/>
          <w:spacing w:val="-2"/>
        </w:rPr>
        <w:t>feature.</w:t>
      </w:r>
    </w:p>
    <w:p>
      <w:pPr>
        <w:pStyle w:val="Heading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9"/>
        </w:rPr>
        <w:t> </w:t>
      </w:r>
      <w:r>
        <w:rPr>
          <w:color w:val="231F20"/>
        </w:rPr>
        <w:t>these</w:t>
      </w:r>
      <w:r>
        <w:rPr>
          <w:color w:val="231F20"/>
          <w:spacing w:val="9"/>
        </w:rPr>
        <w:t> </w:t>
      </w:r>
      <w:r>
        <w:rPr>
          <w:color w:val="231F20"/>
        </w:rPr>
        <w:t>steps</w:t>
      </w:r>
      <w:r>
        <w:rPr>
          <w:color w:val="231F20"/>
          <w:spacing w:val="10"/>
        </w:rPr>
        <w:t> </w:t>
      </w:r>
      <w:r>
        <w:rPr>
          <w:color w:val="231F20"/>
        </w:rPr>
        <w:t>to</w:t>
      </w:r>
      <w:r>
        <w:rPr>
          <w:color w:val="231F20"/>
          <w:spacing w:val="9"/>
        </w:rPr>
        <w:t> </w:t>
      </w:r>
      <w:r>
        <w:rPr>
          <w:color w:val="231F20"/>
        </w:rPr>
        <w:t>delete</w:t>
      </w:r>
      <w:r>
        <w:rPr>
          <w:color w:val="231F20"/>
          <w:spacing w:val="9"/>
        </w:rPr>
        <w:t> </w:t>
      </w:r>
      <w:r>
        <w:rPr>
          <w:color w:val="231F20"/>
        </w:rPr>
        <w:t>a</w:t>
      </w:r>
      <w:r>
        <w:rPr>
          <w:color w:val="231F20"/>
          <w:spacing w:val="10"/>
        </w:rPr>
        <w:t> </w:t>
      </w:r>
      <w:r>
        <w:rPr>
          <w:color w:val="231F20"/>
        </w:rPr>
        <w:t>launch</w:t>
      </w:r>
      <w:r>
        <w:rPr>
          <w:color w:val="231F20"/>
          <w:spacing w:val="9"/>
        </w:rPr>
        <w:t> </w:t>
      </w:r>
      <w:r>
        <w:rPr>
          <w:color w:val="231F20"/>
          <w:spacing w:val="-2"/>
        </w:rPr>
        <w:t>definition:</w:t>
      </w:r>
    </w:p>
    <w:p>
      <w:pPr>
        <w:pStyle w:val="Heading4"/>
        <w:spacing w:before="194"/>
      </w:pPr>
      <w:r>
        <w:rPr>
          <w:color w:val="231F20"/>
          <w:spacing w:val="-2"/>
        </w:rPr>
        <w:t>Procedure</w:t>
      </w:r>
    </w:p>
    <w:p>
      <w:pPr>
        <w:pStyle w:val="ListParagraph"/>
        <w:numPr>
          <w:ilvl w:val="0"/>
          <w:numId w:val="155"/>
        </w:numPr>
        <w:tabs>
          <w:tab w:pos="2547" w:val="left" w:leader="none"/>
        </w:tabs>
        <w:spacing w:line="240" w:lineRule="auto" w:before="38" w:after="0"/>
        <w:ind w:left="2547" w:right="0" w:hanging="315"/>
        <w:jc w:val="left"/>
        <w:rPr>
          <w:sz w:val="20"/>
        </w:rPr>
      </w:pPr>
      <w:r>
        <w:rPr>
          <w:color w:val="231F20"/>
          <w:sz w:val="20"/>
        </w:rPr>
        <w:t>Select</w:t>
      </w:r>
      <w:r>
        <w:rPr>
          <w:color w:val="231F20"/>
          <w:spacing w:val="10"/>
          <w:sz w:val="20"/>
        </w:rPr>
        <w:t> </w:t>
      </w:r>
      <w:r>
        <w:rPr>
          <w:color w:val="231F20"/>
          <w:sz w:val="20"/>
        </w:rPr>
        <w:t>the</w:t>
      </w:r>
      <w:r>
        <w:rPr>
          <w:color w:val="231F20"/>
          <w:spacing w:val="10"/>
          <w:sz w:val="20"/>
        </w:rPr>
        <w:t> </w:t>
      </w:r>
      <w:r>
        <w:rPr>
          <w:color w:val="231F20"/>
          <w:sz w:val="20"/>
        </w:rPr>
        <w:t>Navigator</w:t>
      </w:r>
      <w:r>
        <w:rPr>
          <w:color w:val="231F20"/>
          <w:spacing w:val="10"/>
          <w:sz w:val="20"/>
        </w:rPr>
        <w:t> </w:t>
      </w:r>
      <w:r>
        <w:rPr>
          <w:color w:val="231F20"/>
          <w:sz w:val="20"/>
        </w:rPr>
        <w:t>item</w:t>
      </w:r>
      <w:r>
        <w:rPr>
          <w:color w:val="231F20"/>
          <w:spacing w:val="10"/>
          <w:sz w:val="20"/>
        </w:rPr>
        <w:t> </w:t>
      </w:r>
      <w:r>
        <w:rPr>
          <w:color w:val="231F20"/>
          <w:sz w:val="20"/>
        </w:rPr>
        <w:t>where</w:t>
      </w:r>
      <w:r>
        <w:rPr>
          <w:color w:val="231F20"/>
          <w:spacing w:val="10"/>
          <w:sz w:val="20"/>
        </w:rPr>
        <w:t> </w:t>
      </w:r>
      <w:r>
        <w:rPr>
          <w:color w:val="231F20"/>
          <w:sz w:val="20"/>
        </w:rPr>
        <w:t>the</w:t>
      </w:r>
      <w:r>
        <w:rPr>
          <w:color w:val="231F20"/>
          <w:spacing w:val="10"/>
          <w:sz w:val="20"/>
        </w:rPr>
        <w:t> </w:t>
      </w:r>
      <w:r>
        <w:rPr>
          <w:color w:val="231F20"/>
          <w:sz w:val="20"/>
        </w:rPr>
        <w:t>launch</w:t>
      </w:r>
      <w:r>
        <w:rPr>
          <w:color w:val="231F20"/>
          <w:spacing w:val="10"/>
          <w:sz w:val="20"/>
        </w:rPr>
        <w:t> </w:t>
      </w:r>
      <w:r>
        <w:rPr>
          <w:color w:val="231F20"/>
          <w:sz w:val="20"/>
        </w:rPr>
        <w:t>definition</w:t>
      </w:r>
      <w:r>
        <w:rPr>
          <w:color w:val="231F20"/>
          <w:spacing w:val="10"/>
          <w:sz w:val="20"/>
        </w:rPr>
        <w:t> </w:t>
      </w:r>
      <w:r>
        <w:rPr>
          <w:color w:val="231F20"/>
          <w:spacing w:val="-2"/>
          <w:sz w:val="20"/>
        </w:rPr>
        <w:t>originates.</w:t>
      </w:r>
    </w:p>
    <w:p>
      <w:pPr>
        <w:pStyle w:val="ListParagraph"/>
        <w:numPr>
          <w:ilvl w:val="0"/>
          <w:numId w:val="155"/>
        </w:numPr>
        <w:tabs>
          <w:tab w:pos="2548" w:val="left" w:leader="none"/>
        </w:tabs>
        <w:spacing w:line="213" w:lineRule="auto" w:before="53" w:after="0"/>
        <w:ind w:left="2548" w:right="646" w:hanging="316"/>
        <w:jc w:val="left"/>
        <w:rPr>
          <w:sz w:val="20"/>
        </w:rPr>
      </w:pPr>
      <w:r>
        <w:rPr>
          <w:color w:val="231F20"/>
          <w:sz w:val="20"/>
        </w:rPr>
        <w:t>If the launch definition was created from a table, chart or event console view, open the workspace containing the view.</w:t>
      </w:r>
    </w:p>
    <w:p>
      <w:pPr>
        <w:pStyle w:val="ListParagraph"/>
        <w:numPr>
          <w:ilvl w:val="0"/>
          <w:numId w:val="155"/>
        </w:numPr>
        <w:tabs>
          <w:tab w:pos="2547" w:val="left" w:leader="none"/>
        </w:tabs>
        <w:spacing w:line="240" w:lineRule="auto" w:before="35" w:after="0"/>
        <w:ind w:left="2547" w:right="0" w:hanging="315"/>
        <w:jc w:val="left"/>
        <w:rPr>
          <w:sz w:val="20"/>
        </w:rPr>
      </w:pPr>
      <w:r>
        <w:rPr>
          <w:color w:val="231F20"/>
          <w:sz w:val="20"/>
        </w:rPr>
        <w:t>Right-click</w:t>
      </w:r>
      <w:r>
        <w:rPr>
          <w:color w:val="231F20"/>
          <w:spacing w:val="11"/>
          <w:sz w:val="20"/>
        </w:rPr>
        <w:t> </w:t>
      </w:r>
      <w:r>
        <w:rPr>
          <w:color w:val="231F20"/>
          <w:sz w:val="20"/>
        </w:rPr>
        <w:t>one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following:</w:t>
      </w:r>
    </w:p>
    <w:p>
      <w:pPr>
        <w:pStyle w:val="BodyText"/>
        <w:spacing w:before="30"/>
        <w:ind w:left="2548"/>
      </w:pPr>
      <w:r>
        <w:rPr>
          <w:rFonts w:ascii="Futura MdCn BT"/>
          <w:color w:val="231F20"/>
        </w:rPr>
        <w:t>v</w:t>
      </w:r>
      <w:r>
        <w:rPr>
          <w:rFonts w:ascii="Futura MdCn BT"/>
          <w:color w:val="231F20"/>
          <w:spacing w:val="32"/>
        </w:rPr>
        <w:t>  </w:t>
      </w:r>
      <w:r>
        <w:rPr>
          <w:color w:val="231F20"/>
        </w:rPr>
        <w:t>Navigator</w:t>
      </w:r>
      <w:r>
        <w:rPr>
          <w:color w:val="231F20"/>
          <w:spacing w:val="14"/>
        </w:rPr>
        <w:t> </w:t>
      </w:r>
      <w:r>
        <w:rPr>
          <w:color w:val="231F20"/>
          <w:spacing w:val="-2"/>
        </w:rPr>
        <w:t>item.</w:t>
      </w:r>
    </w:p>
    <w:p>
      <w:pPr>
        <w:pStyle w:val="BodyText"/>
        <w:spacing w:before="29"/>
        <w:ind w:left="2548"/>
      </w:pPr>
      <w:r>
        <w:rPr>
          <w:rFonts w:ascii="Futura MdCn BT"/>
          <w:color w:val="231F20"/>
        </w:rPr>
        <w:t>v</w:t>
      </w:r>
      <w:r>
        <w:rPr>
          <w:rFonts w:ascii="Futura MdCn BT"/>
          <w:color w:val="231F20"/>
          <w:spacing w:val="32"/>
        </w:rPr>
        <w:t>  </w:t>
      </w:r>
      <w:r>
        <w:rPr>
          <w:color w:val="231F20"/>
        </w:rPr>
        <w:t>Row</w:t>
      </w:r>
      <w:r>
        <w:rPr>
          <w:color w:val="231F20"/>
          <w:spacing w:val="14"/>
        </w:rPr>
        <w:t> </w:t>
      </w:r>
      <w:r>
        <w:rPr>
          <w:color w:val="231F20"/>
        </w:rPr>
        <w:t>in</w:t>
      </w:r>
      <w:r>
        <w:rPr>
          <w:color w:val="231F20"/>
          <w:spacing w:val="14"/>
        </w:rPr>
        <w:t> </w:t>
      </w:r>
      <w:r>
        <w:rPr>
          <w:color w:val="231F20"/>
        </w:rPr>
        <w:t>a</w:t>
      </w:r>
      <w:r>
        <w:rPr>
          <w:color w:val="231F20"/>
          <w:spacing w:val="13"/>
        </w:rPr>
        <w:t> </w:t>
      </w:r>
      <w:r>
        <w:rPr>
          <w:color w:val="231F20"/>
        </w:rPr>
        <w:t>table</w:t>
      </w:r>
      <w:r>
        <w:rPr>
          <w:color w:val="231F20"/>
          <w:spacing w:val="13"/>
        </w:rPr>
        <w:t> </w:t>
      </w:r>
      <w:r>
        <w:rPr>
          <w:color w:val="231F20"/>
        </w:rPr>
        <w:t>or</w:t>
      </w:r>
      <w:r>
        <w:rPr>
          <w:color w:val="231F20"/>
          <w:spacing w:val="14"/>
        </w:rPr>
        <w:t> </w:t>
      </w:r>
      <w:r>
        <w:rPr>
          <w:color w:val="231F20"/>
        </w:rPr>
        <w:t>event</w:t>
      </w:r>
      <w:r>
        <w:rPr>
          <w:color w:val="231F20"/>
          <w:spacing w:val="13"/>
        </w:rPr>
        <w:t> </w:t>
      </w:r>
      <w:r>
        <w:rPr>
          <w:color w:val="231F20"/>
        </w:rPr>
        <w:t>console</w:t>
      </w:r>
      <w:r>
        <w:rPr>
          <w:color w:val="231F20"/>
          <w:spacing w:val="13"/>
        </w:rPr>
        <w:t> </w:t>
      </w:r>
      <w:r>
        <w:rPr>
          <w:color w:val="231F20"/>
          <w:spacing w:val="-2"/>
        </w:rPr>
        <w:t>view.</w:t>
      </w:r>
    </w:p>
    <w:p>
      <w:pPr>
        <w:pStyle w:val="BodyText"/>
        <w:spacing w:before="30"/>
        <w:ind w:left="2548"/>
      </w:pPr>
      <w:r>
        <w:rPr>
          <w:rFonts w:ascii="Futura MdCn BT"/>
          <w:color w:val="231F20"/>
        </w:rPr>
        <w:t>v</w:t>
      </w:r>
      <w:r>
        <w:rPr>
          <w:rFonts w:ascii="Futura MdCn BT"/>
          <w:color w:val="231F20"/>
          <w:spacing w:val="32"/>
        </w:rPr>
        <w:t>  </w:t>
      </w:r>
      <w:r>
        <w:rPr>
          <w:color w:val="231F20"/>
        </w:rPr>
        <w:t>Point</w:t>
      </w:r>
      <w:r>
        <w:rPr>
          <w:color w:val="231F20"/>
          <w:spacing w:val="14"/>
        </w:rPr>
        <w:t> </w:t>
      </w:r>
      <w:r>
        <w:rPr>
          <w:color w:val="231F20"/>
        </w:rPr>
        <w:t>in</w:t>
      </w:r>
      <w:r>
        <w:rPr>
          <w:color w:val="231F20"/>
          <w:spacing w:val="13"/>
        </w:rPr>
        <w:t> </w:t>
      </w:r>
      <w:r>
        <w:rPr>
          <w:color w:val="231F20"/>
        </w:rPr>
        <w:t>a</w:t>
      </w:r>
      <w:r>
        <w:rPr>
          <w:color w:val="231F20"/>
          <w:spacing w:val="13"/>
        </w:rPr>
        <w:t> </w:t>
      </w:r>
      <w:r>
        <w:rPr>
          <w:color w:val="231F20"/>
        </w:rPr>
        <w:t>chart</w:t>
      </w:r>
      <w:r>
        <w:rPr>
          <w:color w:val="231F20"/>
          <w:spacing w:val="13"/>
        </w:rPr>
        <w:t> </w:t>
      </w:r>
      <w:r>
        <w:rPr>
          <w:color w:val="231F20"/>
        </w:rPr>
        <w:t>(such</w:t>
      </w:r>
      <w:r>
        <w:rPr>
          <w:color w:val="231F20"/>
          <w:spacing w:val="13"/>
        </w:rPr>
        <w:t> </w:t>
      </w:r>
      <w:r>
        <w:rPr>
          <w:color w:val="231F20"/>
        </w:rPr>
        <w:t>as</w:t>
      </w:r>
      <w:r>
        <w:rPr>
          <w:color w:val="231F20"/>
          <w:spacing w:val="13"/>
        </w:rPr>
        <w:t> </w:t>
      </w:r>
      <w:r>
        <w:rPr>
          <w:color w:val="231F20"/>
        </w:rPr>
        <w:t>a</w:t>
      </w:r>
      <w:r>
        <w:rPr>
          <w:color w:val="231F20"/>
          <w:spacing w:val="13"/>
        </w:rPr>
        <w:t> </w:t>
      </w:r>
      <w:r>
        <w:rPr>
          <w:color w:val="231F20"/>
        </w:rPr>
        <w:t>pie</w:t>
      </w:r>
      <w:r>
        <w:rPr>
          <w:color w:val="231F20"/>
          <w:spacing w:val="14"/>
        </w:rPr>
        <w:t> </w:t>
      </w:r>
      <w:r>
        <w:rPr>
          <w:color w:val="231F20"/>
        </w:rPr>
        <w:t>slice</w:t>
      </w:r>
      <w:r>
        <w:rPr>
          <w:color w:val="231F20"/>
          <w:spacing w:val="13"/>
        </w:rPr>
        <w:t> </w:t>
      </w:r>
      <w:r>
        <w:rPr>
          <w:color w:val="231F20"/>
        </w:rPr>
        <w:t>or</w:t>
      </w:r>
      <w:r>
        <w:rPr>
          <w:color w:val="231F20"/>
          <w:spacing w:val="13"/>
        </w:rPr>
        <w:t> </w:t>
      </w:r>
      <w:r>
        <w:rPr>
          <w:color w:val="231F20"/>
        </w:rPr>
        <w:t>anywhere</w:t>
      </w:r>
      <w:r>
        <w:rPr>
          <w:color w:val="231F20"/>
          <w:spacing w:val="13"/>
        </w:rPr>
        <w:t> </w:t>
      </w:r>
      <w:r>
        <w:rPr>
          <w:color w:val="231F20"/>
        </w:rPr>
        <w:t>in</w:t>
      </w:r>
      <w:r>
        <w:rPr>
          <w:color w:val="231F20"/>
          <w:spacing w:val="13"/>
        </w:rPr>
        <w:t> </w:t>
      </w:r>
      <w:r>
        <w:rPr>
          <w:color w:val="231F20"/>
        </w:rPr>
        <w:t>a</w:t>
      </w:r>
      <w:r>
        <w:rPr>
          <w:color w:val="231F20"/>
          <w:spacing w:val="13"/>
        </w:rPr>
        <w:t> </w:t>
      </w:r>
      <w:r>
        <w:rPr>
          <w:color w:val="231F20"/>
          <w:spacing w:val="-2"/>
        </w:rPr>
        <w:t>gauge)</w:t>
      </w:r>
    </w:p>
    <w:p>
      <w:pPr>
        <w:pStyle w:val="BodyText"/>
        <w:spacing w:before="29"/>
        <w:ind w:left="2548"/>
      </w:pPr>
      <w:r>
        <w:rPr>
          <w:rFonts w:ascii="Futura MdCn BT"/>
          <w:color w:val="231F20"/>
        </w:rPr>
        <w:t>v</w:t>
      </w:r>
      <w:r>
        <w:rPr>
          <w:rFonts w:ascii="Futura MdCn BT"/>
          <w:color w:val="231F20"/>
          <w:spacing w:val="73"/>
          <w:w w:val="150"/>
        </w:rPr>
        <w:t> </w:t>
      </w:r>
      <w:r>
        <w:rPr>
          <w:color w:val="231F20"/>
        </w:rPr>
        <w:t>Topology</w:t>
      </w:r>
      <w:r>
        <w:rPr>
          <w:color w:val="231F20"/>
          <w:spacing w:val="9"/>
        </w:rPr>
        <w:t> </w:t>
      </w:r>
      <w:r>
        <w:rPr>
          <w:color w:val="231F20"/>
        </w:rPr>
        <w:t>view</w:t>
      </w:r>
      <w:r>
        <w:rPr>
          <w:color w:val="231F20"/>
          <w:spacing w:val="8"/>
        </w:rPr>
        <w:t> </w:t>
      </w:r>
      <w:r>
        <w:rPr>
          <w:color w:val="231F20"/>
          <w:spacing w:val="-2"/>
        </w:rPr>
        <w:t>object</w:t>
      </w:r>
    </w:p>
    <w:p>
      <w:pPr>
        <w:pStyle w:val="ListParagraph"/>
        <w:numPr>
          <w:ilvl w:val="0"/>
          <w:numId w:val="155"/>
        </w:numPr>
        <w:tabs>
          <w:tab w:pos="2547" w:val="left" w:leader="none"/>
        </w:tabs>
        <w:spacing w:line="240" w:lineRule="auto" w:before="30" w:after="0"/>
        <w:ind w:left="2547" w:right="0" w:hanging="315"/>
        <w:jc w:val="left"/>
        <w:rPr>
          <w:sz w:val="20"/>
        </w:rPr>
      </w:pPr>
      <w:r>
        <w:rPr>
          <w:color w:val="231F20"/>
          <w:sz w:val="20"/>
        </w:rPr>
        <w:t>Click</w:t>
      </w:r>
      <w:r>
        <w:rPr>
          <w:color w:val="231F20"/>
          <w:spacing w:val="24"/>
          <w:sz w:val="20"/>
        </w:rPr>
        <w:t> </w:t>
      </w:r>
      <w:r>
        <w:rPr>
          <w:color w:val="231F20"/>
          <w:spacing w:val="-24"/>
          <w:position w:val="-1"/>
          <w:sz w:val="20"/>
        </w:rPr>
        <w:drawing>
          <wp:inline distT="0" distB="0" distL="0" distR="0">
            <wp:extent cx="95250" cy="95250"/>
            <wp:effectExtent l="0" t="0" r="0" b="0"/>
            <wp:docPr id="2852" name="Image 2852"/>
            <wp:cNvGraphicFramePr>
              <a:graphicFrameLocks/>
            </wp:cNvGraphicFramePr>
            <a:graphic>
              <a:graphicData uri="http://schemas.openxmlformats.org/drawingml/2006/picture">
                <pic:pic>
                  <pic:nvPicPr>
                    <pic:cNvPr id="2852" name="Image 2852"/>
                    <pic:cNvPicPr/>
                  </pic:nvPicPr>
                  <pic:blipFill>
                    <a:blip r:embed="rId447"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61"/>
          <w:w w:val="150"/>
          <w:sz w:val="20"/>
        </w:rPr>
        <w:t> </w:t>
      </w:r>
      <w:r>
        <w:rPr>
          <w:rFonts w:ascii="Book Antiqua"/>
          <w:b/>
          <w:color w:val="231F20"/>
          <w:spacing w:val="-2"/>
          <w:sz w:val="20"/>
        </w:rPr>
        <w:t>Launch</w:t>
      </w:r>
      <w:r>
        <w:rPr>
          <w:color w:val="231F20"/>
          <w:spacing w:val="-2"/>
          <w:sz w:val="20"/>
        </w:rPr>
        <w:t>.</w:t>
      </w:r>
    </w:p>
    <w:p>
      <w:pPr>
        <w:pStyle w:val="ListParagraph"/>
        <w:numPr>
          <w:ilvl w:val="0"/>
          <w:numId w:val="155"/>
        </w:numPr>
        <w:tabs>
          <w:tab w:pos="2547" w:val="left" w:leader="none"/>
        </w:tabs>
        <w:spacing w:line="240" w:lineRule="auto" w:before="29" w:after="0"/>
        <w:ind w:left="2547" w:right="0" w:hanging="315"/>
        <w:jc w:val="left"/>
        <w:rPr>
          <w:sz w:val="20"/>
        </w:rPr>
      </w:pPr>
      <w:r>
        <w:rPr>
          <w:color w:val="231F20"/>
          <w:sz w:val="20"/>
        </w:rPr>
        <w:t>Select</w:t>
      </w:r>
      <w:r>
        <w:rPr>
          <w:color w:val="231F20"/>
          <w:spacing w:val="11"/>
          <w:sz w:val="20"/>
        </w:rPr>
        <w:t> </w:t>
      </w:r>
      <w:r>
        <w:rPr>
          <w:color w:val="231F20"/>
          <w:sz w:val="20"/>
        </w:rPr>
        <w:t>the</w:t>
      </w:r>
      <w:r>
        <w:rPr>
          <w:color w:val="231F20"/>
          <w:spacing w:val="11"/>
          <w:sz w:val="20"/>
        </w:rPr>
        <w:t> </w:t>
      </w:r>
      <w:r>
        <w:rPr>
          <w:color w:val="231F20"/>
          <w:sz w:val="20"/>
        </w:rPr>
        <w:t>definition</w:t>
      </w:r>
      <w:r>
        <w:rPr>
          <w:color w:val="231F20"/>
          <w:spacing w:val="11"/>
          <w:sz w:val="20"/>
        </w:rPr>
        <w:t> </w:t>
      </w:r>
      <w:r>
        <w:rPr>
          <w:color w:val="231F20"/>
          <w:sz w:val="20"/>
        </w:rPr>
        <w:t>from</w:t>
      </w:r>
      <w:r>
        <w:rPr>
          <w:color w:val="231F20"/>
          <w:spacing w:val="12"/>
          <w:sz w:val="20"/>
        </w:rPr>
        <w:t> </w:t>
      </w:r>
      <w:r>
        <w:rPr>
          <w:color w:val="231F20"/>
          <w:sz w:val="20"/>
        </w:rPr>
        <w:t>the</w:t>
      </w:r>
      <w:r>
        <w:rPr>
          <w:color w:val="231F20"/>
          <w:spacing w:val="11"/>
          <w:sz w:val="20"/>
        </w:rPr>
        <w:t> </w:t>
      </w:r>
      <w:r>
        <w:rPr>
          <w:color w:val="231F20"/>
          <w:sz w:val="20"/>
        </w:rPr>
        <w:t>list</w:t>
      </w:r>
      <w:r>
        <w:rPr>
          <w:color w:val="231F20"/>
          <w:spacing w:val="11"/>
          <w:sz w:val="20"/>
        </w:rPr>
        <w:t> </w:t>
      </w:r>
      <w:r>
        <w:rPr>
          <w:color w:val="231F20"/>
          <w:sz w:val="20"/>
        </w:rPr>
        <w:t>and</w:t>
      </w:r>
      <w:r>
        <w:rPr>
          <w:color w:val="231F20"/>
          <w:spacing w:val="12"/>
          <w:sz w:val="20"/>
        </w:rPr>
        <w:t> </w:t>
      </w:r>
      <w:r>
        <w:rPr>
          <w:color w:val="231F20"/>
          <w:sz w:val="20"/>
        </w:rPr>
        <w:t>click</w:t>
      </w:r>
      <w:r>
        <w:rPr>
          <w:color w:val="231F20"/>
          <w:spacing w:val="11"/>
          <w:sz w:val="20"/>
        </w:rPr>
        <w:t> </w:t>
      </w:r>
      <w:r>
        <w:rPr>
          <w:rFonts w:ascii="Book Antiqua"/>
          <w:b/>
          <w:color w:val="231F20"/>
          <w:spacing w:val="-2"/>
          <w:sz w:val="20"/>
        </w:rPr>
        <w:t>Delete</w:t>
      </w:r>
      <w:r>
        <w:rPr>
          <w:color w:val="231F20"/>
          <w:spacing w:val="-2"/>
          <w:sz w:val="20"/>
        </w:rPr>
        <w:t>.</w:t>
      </w:r>
    </w:p>
    <w:p>
      <w:pPr>
        <w:pStyle w:val="ListParagraph"/>
        <w:numPr>
          <w:ilvl w:val="0"/>
          <w:numId w:val="155"/>
        </w:numPr>
        <w:tabs>
          <w:tab w:pos="2548" w:val="left" w:leader="none"/>
        </w:tabs>
        <w:spacing w:line="213" w:lineRule="auto" w:before="53" w:after="0"/>
        <w:ind w:left="2548" w:right="614" w:hanging="316"/>
        <w:jc w:val="left"/>
        <w:rPr>
          <w:sz w:val="20"/>
        </w:rPr>
      </w:pPr>
      <w:r>
        <w:rPr>
          <w:color w:val="231F20"/>
          <w:sz w:val="20"/>
        </w:rPr>
        <w:t>Click </w:t>
      </w:r>
      <w:r>
        <w:rPr>
          <w:rFonts w:ascii="Book Antiqua"/>
          <w:b/>
          <w:color w:val="231F20"/>
          <w:sz w:val="20"/>
        </w:rPr>
        <w:t>Apply </w:t>
      </w:r>
      <w:r>
        <w:rPr>
          <w:color w:val="231F20"/>
          <w:sz w:val="20"/>
        </w:rPr>
        <w:t>to save your changes and keep the window open, or click </w:t>
      </w:r>
      <w:r>
        <w:rPr>
          <w:rFonts w:ascii="Book Antiqua"/>
          <w:b/>
          <w:color w:val="231F20"/>
          <w:sz w:val="20"/>
        </w:rPr>
        <w:t>OK </w:t>
      </w:r>
      <w:r>
        <w:rPr>
          <w:color w:val="231F20"/>
          <w:sz w:val="20"/>
        </w:rPr>
        <w:t>to</w:t>
      </w:r>
      <w:r>
        <w:rPr>
          <w:color w:val="231F20"/>
          <w:spacing w:val="40"/>
          <w:sz w:val="20"/>
        </w:rPr>
        <w:t> </w:t>
      </w:r>
      <w:bookmarkStart w:name="Launch application examples" w:id="556"/>
      <w:bookmarkEnd w:id="556"/>
      <w:r>
        <w:rPr>
          <w:color w:val="231F20"/>
          <w:sz w:val="20"/>
        </w:rPr>
        <w:t>save</w:t>
      </w:r>
      <w:r>
        <w:rPr>
          <w:color w:val="231F20"/>
          <w:sz w:val="20"/>
        </w:rPr>
        <w:t> your changes and close the window.</w:t>
      </w:r>
    </w:p>
    <w:p>
      <w:pPr>
        <w:pStyle w:val="Heading3"/>
        <w:spacing w:before="217"/>
        <w:ind w:left="0" w:right="3580"/>
        <w:jc w:val="center"/>
      </w:pPr>
      <w:r>
        <w:rPr>
          <w:color w:val="231F20"/>
        </w:rPr>
        <w:t>Launch</w:t>
      </w:r>
      <w:r>
        <w:rPr>
          <w:color w:val="231F20"/>
          <w:spacing w:val="2"/>
        </w:rPr>
        <w:t> </w:t>
      </w:r>
      <w:r>
        <w:rPr>
          <w:color w:val="231F20"/>
        </w:rPr>
        <w:t>application</w:t>
      </w:r>
      <w:r>
        <w:rPr>
          <w:color w:val="231F20"/>
          <w:spacing w:val="3"/>
        </w:rPr>
        <w:t> </w:t>
      </w:r>
      <w:r>
        <w:rPr>
          <w:color w:val="231F20"/>
          <w:spacing w:val="-2"/>
        </w:rPr>
        <w:t>examples</w:t>
      </w:r>
    </w:p>
    <w:p>
      <w:pPr>
        <w:pStyle w:val="BodyText"/>
        <w:spacing w:line="213" w:lineRule="auto" w:before="58"/>
        <w:ind w:left="2232" w:right="545"/>
      </w:pPr>
      <w:r>
        <w:rPr>
          <w:color w:val="231F20"/>
        </w:rPr>
        <w:t>These examples illustrate some of the uses for launch application and give </w:t>
      </w:r>
      <w:r>
        <w:rPr>
          <w:color w:val="231F20"/>
        </w:rPr>
        <w:t>the definition syntax.</w:t>
      </w:r>
    </w:p>
    <w:p>
      <w:pPr>
        <w:pStyle w:val="Heading6"/>
        <w:ind w:left="0" w:right="3628"/>
        <w:jc w:val="center"/>
      </w:pPr>
      <w:r>
        <w:rPr>
          <w:color w:val="231F20"/>
        </w:rPr>
        <w:t>Launching</w:t>
      </w:r>
      <w:r>
        <w:rPr>
          <w:color w:val="231F20"/>
          <w:spacing w:val="10"/>
        </w:rPr>
        <w:t> </w:t>
      </w:r>
      <w:r>
        <w:rPr>
          <w:color w:val="231F20"/>
        </w:rPr>
        <w:t>a</w:t>
      </w:r>
      <w:r>
        <w:rPr>
          <w:color w:val="231F20"/>
          <w:spacing w:val="11"/>
        </w:rPr>
        <w:t> </w:t>
      </w:r>
      <w:r>
        <w:rPr>
          <w:color w:val="231F20"/>
        </w:rPr>
        <w:t>batch</w:t>
      </w:r>
      <w:r>
        <w:rPr>
          <w:color w:val="231F20"/>
          <w:spacing w:val="11"/>
        </w:rPr>
        <w:t> </w:t>
      </w:r>
      <w:r>
        <w:rPr>
          <w:color w:val="231F20"/>
          <w:spacing w:val="-4"/>
        </w:rPr>
        <w:t>file</w:t>
      </w:r>
    </w:p>
    <w:p>
      <w:pPr>
        <w:pStyle w:val="BodyText"/>
        <w:spacing w:line="213" w:lineRule="auto" w:before="12"/>
        <w:ind w:left="2951" w:right="493"/>
      </w:pPr>
      <w:r>
        <w:rPr>
          <w:color w:val="231F20"/>
        </w:rPr>
        <w:t>To launch a batch file, you must specify the command prompt as the target and the batch file as the argument. This example starts myscript.bat.</w:t>
      </w:r>
    </w:p>
    <w:p>
      <w:pPr>
        <w:pStyle w:val="BodyText"/>
        <w:spacing w:line="230" w:lineRule="exact"/>
        <w:ind w:left="3250"/>
        <w:rPr>
          <w:rFonts w:ascii="Arial"/>
        </w:rPr>
      </w:pPr>
      <w:r>
        <w:rPr>
          <w:color w:val="231F20"/>
          <w:spacing w:val="-2"/>
        </w:rPr>
        <w:t>Target:</w:t>
      </w:r>
      <w:r>
        <w:rPr>
          <w:color w:val="231F20"/>
        </w:rPr>
        <w:t> </w:t>
      </w:r>
      <w:r>
        <w:rPr>
          <w:rFonts w:ascii="Arial"/>
          <w:color w:val="231F20"/>
          <w:spacing w:val="-2"/>
        </w:rPr>
        <w:t>c:\windows\system32\cmd.exe</w:t>
      </w:r>
    </w:p>
    <w:p>
      <w:pPr>
        <w:pStyle w:val="BodyText"/>
        <w:spacing w:line="255" w:lineRule="exact"/>
        <w:ind w:left="3250"/>
        <w:rPr>
          <w:rFonts w:ascii="Arial"/>
        </w:rPr>
      </w:pPr>
      <w:r>
        <w:rPr>
          <w:color w:val="231F20"/>
          <w:w w:val="110"/>
        </w:rPr>
        <w:t>Arguments:</w:t>
      </w:r>
      <w:r>
        <w:rPr>
          <w:color w:val="231F20"/>
          <w:spacing w:val="37"/>
          <w:w w:val="110"/>
        </w:rPr>
        <w:t> </w:t>
      </w:r>
      <w:r>
        <w:rPr>
          <w:rFonts w:ascii="Arial"/>
          <w:color w:val="231F20"/>
          <w:w w:val="110"/>
        </w:rPr>
        <w:t>/c</w:t>
      </w:r>
      <w:r>
        <w:rPr>
          <w:rFonts w:ascii="Arial"/>
          <w:color w:val="231F20"/>
          <w:spacing w:val="32"/>
          <w:w w:val="110"/>
        </w:rPr>
        <w:t> </w:t>
      </w:r>
      <w:r>
        <w:rPr>
          <w:rFonts w:ascii="Arial"/>
          <w:color w:val="231F20"/>
          <w:w w:val="110"/>
        </w:rPr>
        <w:t>start</w:t>
      </w:r>
      <w:r>
        <w:rPr>
          <w:rFonts w:ascii="Arial"/>
          <w:color w:val="231F20"/>
          <w:spacing w:val="31"/>
          <w:w w:val="110"/>
        </w:rPr>
        <w:t> </w:t>
      </w:r>
      <w:r>
        <w:rPr>
          <w:rFonts w:ascii="Arial"/>
          <w:color w:val="231F20"/>
          <w:spacing w:val="-2"/>
          <w:w w:val="110"/>
        </w:rPr>
        <w:t>c:\scripts\myscript.bat</w:t>
      </w:r>
    </w:p>
    <w:p>
      <w:pPr>
        <w:spacing w:after="0" w:line="255" w:lineRule="exact"/>
        <w:rPr>
          <w:rFonts w:ascii="Arial"/>
        </w:rPr>
        <w:sectPr>
          <w:pgSz w:w="12240" w:h="15840"/>
          <w:pgMar w:header="0" w:footer="736" w:top="1140" w:bottom="920" w:left="1000" w:right="1060"/>
        </w:sectPr>
      </w:pPr>
    </w:p>
    <w:p>
      <w:pPr>
        <w:pStyle w:val="BodyText"/>
        <w:spacing w:before="62"/>
        <w:ind w:left="3490"/>
        <w:rPr>
          <w:rFonts w:ascii="Arial"/>
        </w:rPr>
      </w:pPr>
      <w:r>
        <w:rPr>
          <w:color w:val="231F20"/>
        </w:rPr>
        <w:t>Start</w:t>
      </w:r>
      <w:r>
        <w:rPr>
          <w:color w:val="231F20"/>
          <w:spacing w:val="12"/>
        </w:rPr>
        <w:t> </w:t>
      </w:r>
      <w:r>
        <w:rPr>
          <w:color w:val="231F20"/>
        </w:rPr>
        <w:t>in:</w:t>
      </w:r>
      <w:r>
        <w:rPr>
          <w:color w:val="231F20"/>
          <w:spacing w:val="13"/>
        </w:rPr>
        <w:t> </w:t>
      </w:r>
      <w:r>
        <w:rPr>
          <w:rFonts w:ascii="Arial"/>
          <w:color w:val="231F20"/>
          <w:spacing w:val="-2"/>
        </w:rPr>
        <w:t>c:\windows\system32</w:t>
      </w:r>
    </w:p>
    <w:p>
      <w:pPr>
        <w:pStyle w:val="Heading6"/>
        <w:spacing w:before="111"/>
      </w:pPr>
      <w:r>
        <w:rPr>
          <w:color w:val="231F20"/>
        </w:rPr>
        <w:t>Launching</w:t>
      </w:r>
      <w:r>
        <w:rPr>
          <w:color w:val="231F20"/>
          <w:spacing w:val="10"/>
        </w:rPr>
        <w:t> </w:t>
      </w:r>
      <w:r>
        <w:rPr>
          <w:color w:val="231F20"/>
        </w:rPr>
        <w:t>a</w:t>
      </w:r>
      <w:r>
        <w:rPr>
          <w:color w:val="231F20"/>
          <w:spacing w:val="10"/>
        </w:rPr>
        <w:t> </w:t>
      </w:r>
      <w:r>
        <w:rPr>
          <w:color w:val="231F20"/>
        </w:rPr>
        <w:t>website</w:t>
      </w:r>
      <w:r>
        <w:rPr>
          <w:color w:val="231F20"/>
          <w:spacing w:val="11"/>
        </w:rPr>
        <w:t> </w:t>
      </w:r>
      <w:r>
        <w:rPr>
          <w:color w:val="231F20"/>
        </w:rPr>
        <w:t>with</w:t>
      </w:r>
      <w:r>
        <w:rPr>
          <w:color w:val="231F20"/>
          <w:spacing w:val="10"/>
        </w:rPr>
        <w:t> </w:t>
      </w:r>
      <w:r>
        <w:rPr>
          <w:color w:val="231F20"/>
        </w:rPr>
        <w:t>search</w:t>
      </w:r>
      <w:r>
        <w:rPr>
          <w:color w:val="231F20"/>
          <w:spacing w:val="11"/>
        </w:rPr>
        <w:t> </w:t>
      </w:r>
      <w:r>
        <w:rPr>
          <w:color w:val="231F20"/>
          <w:spacing w:val="-4"/>
        </w:rPr>
        <w:t>text</w:t>
      </w:r>
    </w:p>
    <w:p>
      <w:pPr>
        <w:pStyle w:val="BodyText"/>
        <w:spacing w:line="213" w:lineRule="auto" w:before="11"/>
        <w:ind w:left="3190" w:right="258"/>
      </w:pPr>
      <w:r>
        <w:rPr>
          <w:color w:val="231F20"/>
        </w:rPr>
        <w:t>In</w:t>
      </w:r>
      <w:r>
        <w:rPr>
          <w:color w:val="231F20"/>
          <w:spacing w:val="29"/>
        </w:rPr>
        <w:t> </w:t>
      </w:r>
      <w:r>
        <w:rPr>
          <w:color w:val="231F20"/>
        </w:rPr>
        <w:t>this</w:t>
      </w:r>
      <w:r>
        <w:rPr>
          <w:color w:val="231F20"/>
          <w:spacing w:val="29"/>
        </w:rPr>
        <w:t> </w:t>
      </w:r>
      <w:r>
        <w:rPr>
          <w:color w:val="231F20"/>
        </w:rPr>
        <w:t>example</w:t>
      </w:r>
      <w:r>
        <w:rPr>
          <w:color w:val="231F20"/>
          <w:spacing w:val="29"/>
        </w:rPr>
        <w:t> </w:t>
      </w:r>
      <w:r>
        <w:rPr>
          <w:color w:val="231F20"/>
        </w:rPr>
        <w:t>the</w:t>
      </w:r>
      <w:r>
        <w:rPr>
          <w:color w:val="231F20"/>
          <w:spacing w:val="29"/>
        </w:rPr>
        <w:t> </w:t>
      </w:r>
      <w:r>
        <w:rPr>
          <w:color w:val="231F20"/>
        </w:rPr>
        <w:t>user</w:t>
      </w:r>
      <w:r>
        <w:rPr>
          <w:color w:val="231F20"/>
          <w:spacing w:val="29"/>
        </w:rPr>
        <w:t> </w:t>
      </w:r>
      <w:r>
        <w:rPr>
          <w:color w:val="231F20"/>
        </w:rPr>
        <w:t>typed</w:t>
      </w:r>
      <w:r>
        <w:rPr>
          <w:color w:val="231F20"/>
          <w:spacing w:val="29"/>
        </w:rPr>
        <w:t> </w:t>
      </w:r>
      <w:r>
        <w:rPr>
          <w:color w:val="231F20"/>
        </w:rPr>
        <w:t>everything</w:t>
      </w:r>
      <w:r>
        <w:rPr>
          <w:color w:val="231F20"/>
          <w:spacing w:val="29"/>
        </w:rPr>
        <w:t> </w:t>
      </w:r>
      <w:r>
        <w:rPr>
          <w:color w:val="231F20"/>
        </w:rPr>
        <w:t>in</w:t>
      </w:r>
      <w:r>
        <w:rPr>
          <w:color w:val="231F20"/>
          <w:spacing w:val="29"/>
        </w:rPr>
        <w:t> </w:t>
      </w:r>
      <w:r>
        <w:rPr>
          <w:color w:val="231F20"/>
        </w:rPr>
        <w:t>the</w:t>
      </w:r>
      <w:r>
        <w:rPr>
          <w:color w:val="231F20"/>
          <w:spacing w:val="29"/>
        </w:rPr>
        <w:t> </w:t>
      </w:r>
      <w:r>
        <w:rPr>
          <w:rFonts w:ascii="Book Antiqua"/>
          <w:b/>
          <w:color w:val="231F20"/>
        </w:rPr>
        <w:t>Arguments</w:t>
      </w:r>
      <w:r>
        <w:rPr>
          <w:rFonts w:ascii="Book Antiqua"/>
          <w:b/>
          <w:color w:val="231F20"/>
          <w:spacing w:val="29"/>
        </w:rPr>
        <w:t> </w:t>
      </w:r>
      <w:r>
        <w:rPr>
          <w:color w:val="231F20"/>
        </w:rPr>
        <w:t>text</w:t>
      </w:r>
      <w:r>
        <w:rPr>
          <w:color w:val="231F20"/>
          <w:spacing w:val="29"/>
        </w:rPr>
        <w:t> </w:t>
      </w:r>
      <w:r>
        <w:rPr>
          <w:color w:val="231F20"/>
        </w:rPr>
        <w:t>box except for &amp;NT_Logical_Disk;:Disk_Name, which was added when DiskName was selected from the list of Substitutable items. The attribute </w:t>
      </w:r>
      <w:r>
        <w:rPr>
          <w:color w:val="231F20"/>
        </w:rPr>
        <w:t>is replaced by the current value when the application is launched.</w:t>
      </w:r>
    </w:p>
    <w:p>
      <w:pPr>
        <w:pStyle w:val="BodyText"/>
        <w:spacing w:line="223" w:lineRule="auto"/>
        <w:ind w:left="3490" w:right="1104"/>
        <w:rPr>
          <w:rFonts w:ascii="Arial"/>
        </w:rPr>
      </w:pPr>
      <w:r>
        <w:rPr>
          <w:color w:val="231F20"/>
          <w:w w:val="105"/>
        </w:rPr>
        <w:t>Target:</w:t>
      </w:r>
      <w:r>
        <w:rPr>
          <w:color w:val="231F20"/>
          <w:spacing w:val="40"/>
          <w:w w:val="105"/>
        </w:rPr>
        <w:t> </w:t>
      </w:r>
      <w:r>
        <w:rPr>
          <w:rFonts w:ascii="Arial"/>
          <w:color w:val="231F20"/>
          <w:w w:val="105"/>
        </w:rPr>
        <w:t>C:\Program</w:t>
      </w:r>
      <w:r>
        <w:rPr>
          <w:rFonts w:ascii="Arial"/>
          <w:color w:val="231F20"/>
          <w:spacing w:val="40"/>
          <w:w w:val="105"/>
        </w:rPr>
        <w:t> </w:t>
      </w:r>
      <w:r>
        <w:rPr>
          <w:rFonts w:ascii="Arial"/>
          <w:color w:val="231F20"/>
          <w:w w:val="105"/>
        </w:rPr>
        <w:t>Files\Mozilla</w:t>
      </w:r>
      <w:r>
        <w:rPr>
          <w:rFonts w:ascii="Arial"/>
          <w:color w:val="231F20"/>
          <w:spacing w:val="40"/>
          <w:w w:val="105"/>
        </w:rPr>
        <w:t> </w:t>
      </w:r>
      <w:r>
        <w:rPr>
          <w:rFonts w:ascii="Arial"/>
          <w:color w:val="231F20"/>
          <w:w w:val="105"/>
        </w:rPr>
        <w:t>Firefox\firefox.exe </w:t>
      </w:r>
      <w:r>
        <w:rPr>
          <w:color w:val="231F20"/>
          <w:w w:val="105"/>
        </w:rPr>
        <w:t>Arguments: </w:t>
      </w:r>
      <w:hyperlink r:id="rId449">
        <w:r>
          <w:rPr>
            <w:rFonts w:ascii="Arial"/>
            <w:color w:val="231F20"/>
            <w:w w:val="105"/>
          </w:rPr>
          <w:t>http://www.ibm.com/search?q=+</w:t>
        </w:r>
      </w:hyperlink>
      <w:r>
        <w:rPr>
          <w:rFonts w:ascii="Arial"/>
          <w:color w:val="231F20"/>
          <w:w w:val="105"/>
        </w:rPr>
        <w:t> </w:t>
      </w:r>
      <w:r>
        <w:rPr>
          <w:rFonts w:ascii="Arial"/>
          <w:color w:val="231F20"/>
          <w:spacing w:val="-2"/>
        </w:rPr>
        <w:t>&amp;NT_Logical_Disk.Disk_Name</w:t>
      </w:r>
    </w:p>
    <w:p>
      <w:pPr>
        <w:pStyle w:val="Heading6"/>
        <w:spacing w:before="119"/>
      </w:pPr>
      <w:r>
        <w:rPr>
          <w:color w:val="231F20"/>
        </w:rPr>
        <w:t>Launching</w:t>
      </w:r>
      <w:r>
        <w:rPr>
          <w:color w:val="231F20"/>
          <w:spacing w:val="10"/>
        </w:rPr>
        <w:t> </w:t>
      </w:r>
      <w:r>
        <w:rPr>
          <w:color w:val="231F20"/>
        </w:rPr>
        <w:t>a</w:t>
      </w:r>
      <w:r>
        <w:rPr>
          <w:color w:val="231F20"/>
          <w:spacing w:val="11"/>
        </w:rPr>
        <w:t> </w:t>
      </w:r>
      <w:r>
        <w:rPr>
          <w:color w:val="231F20"/>
        </w:rPr>
        <w:t>website</w:t>
      </w:r>
      <w:r>
        <w:rPr>
          <w:color w:val="231F20"/>
          <w:spacing w:val="11"/>
        </w:rPr>
        <w:t> </w:t>
      </w:r>
      <w:r>
        <w:rPr>
          <w:color w:val="231F20"/>
        </w:rPr>
        <w:t>with</w:t>
      </w:r>
      <w:r>
        <w:rPr>
          <w:color w:val="231F20"/>
          <w:spacing w:val="10"/>
        </w:rPr>
        <w:t> </w:t>
      </w:r>
      <w:r>
        <w:rPr>
          <w:color w:val="231F20"/>
        </w:rPr>
        <w:t>no</w:t>
      </w:r>
      <w:r>
        <w:rPr>
          <w:color w:val="231F20"/>
          <w:spacing w:val="11"/>
        </w:rPr>
        <w:t> </w:t>
      </w:r>
      <w:r>
        <w:rPr>
          <w:color w:val="231F20"/>
        </w:rPr>
        <w:t>target</w:t>
      </w:r>
      <w:r>
        <w:rPr>
          <w:color w:val="231F20"/>
          <w:spacing w:val="11"/>
        </w:rPr>
        <w:t> </w:t>
      </w:r>
      <w:r>
        <w:rPr>
          <w:color w:val="231F20"/>
        </w:rPr>
        <w:t>browser</w:t>
      </w:r>
      <w:r>
        <w:rPr>
          <w:color w:val="231F20"/>
          <w:spacing w:val="10"/>
        </w:rPr>
        <w:t> </w:t>
      </w:r>
      <w:r>
        <w:rPr>
          <w:color w:val="231F20"/>
          <w:spacing w:val="-2"/>
        </w:rPr>
        <w:t>specified</w:t>
      </w:r>
    </w:p>
    <w:p>
      <w:pPr>
        <w:pStyle w:val="BodyText"/>
        <w:spacing w:line="213" w:lineRule="auto" w:before="11"/>
        <w:ind w:left="3190" w:right="258"/>
      </w:pPr>
      <w:r>
        <w:rPr>
          <w:color w:val="231F20"/>
        </w:rPr>
        <w:t>This example specifies a URL for the argument, much like the previous example.</w:t>
      </w:r>
      <w:r>
        <w:rPr>
          <w:color w:val="231F20"/>
          <w:spacing w:val="28"/>
        </w:rPr>
        <w:t> </w:t>
      </w:r>
      <w:r>
        <w:rPr>
          <w:color w:val="231F20"/>
        </w:rPr>
        <w:t>Notice,</w:t>
      </w:r>
      <w:r>
        <w:rPr>
          <w:color w:val="231F20"/>
          <w:spacing w:val="28"/>
        </w:rPr>
        <w:t> </w:t>
      </w:r>
      <w:r>
        <w:rPr>
          <w:color w:val="231F20"/>
        </w:rPr>
        <w:t>however,</w:t>
      </w:r>
      <w:r>
        <w:rPr>
          <w:color w:val="231F20"/>
          <w:spacing w:val="28"/>
        </w:rPr>
        <w:t> </w:t>
      </w:r>
      <w:r>
        <w:rPr>
          <w:color w:val="231F20"/>
        </w:rPr>
        <w:t>that</w:t>
      </w:r>
      <w:r>
        <w:rPr>
          <w:color w:val="231F20"/>
          <w:spacing w:val="28"/>
        </w:rPr>
        <w:t> </w:t>
      </w:r>
      <w:r>
        <w:rPr>
          <w:color w:val="231F20"/>
        </w:rPr>
        <w:t>there</w:t>
      </w:r>
      <w:r>
        <w:rPr>
          <w:color w:val="231F20"/>
          <w:spacing w:val="28"/>
        </w:rPr>
        <w:t> </w:t>
      </w:r>
      <w:r>
        <w:rPr>
          <w:color w:val="231F20"/>
        </w:rPr>
        <w:t>is</w:t>
      </w:r>
      <w:r>
        <w:rPr>
          <w:color w:val="231F20"/>
          <w:spacing w:val="28"/>
        </w:rPr>
        <w:t> </w:t>
      </w:r>
      <w:r>
        <w:rPr>
          <w:color w:val="231F20"/>
        </w:rPr>
        <w:t>no</w:t>
      </w:r>
      <w:r>
        <w:rPr>
          <w:color w:val="231F20"/>
          <w:spacing w:val="28"/>
        </w:rPr>
        <w:t> </w:t>
      </w:r>
      <w:r>
        <w:rPr>
          <w:color w:val="231F20"/>
        </w:rPr>
        <w:t>specified</w:t>
      </w:r>
      <w:r>
        <w:rPr>
          <w:color w:val="231F20"/>
          <w:spacing w:val="28"/>
        </w:rPr>
        <w:t> </w:t>
      </w:r>
      <w:r>
        <w:rPr>
          <w:color w:val="231F20"/>
        </w:rPr>
        <w:t>target.</w:t>
      </w:r>
      <w:r>
        <w:rPr>
          <w:color w:val="231F20"/>
          <w:spacing w:val="28"/>
        </w:rPr>
        <w:t> </w:t>
      </w:r>
      <w:r>
        <w:rPr>
          <w:color w:val="231F20"/>
        </w:rPr>
        <w:t>When</w:t>
      </w:r>
      <w:r>
        <w:rPr>
          <w:color w:val="231F20"/>
          <w:spacing w:val="28"/>
        </w:rPr>
        <w:t> </w:t>
      </w:r>
      <w:r>
        <w:rPr>
          <w:color w:val="231F20"/>
        </w:rPr>
        <w:t>the Target field is left blank, the Microsoft Internet Explorer is assumed </w:t>
      </w:r>
      <w:r>
        <w:rPr>
          <w:color w:val="231F20"/>
        </w:rPr>
        <w:t>(unless another browser was specified with the kjr.browser.default client</w:t>
      </w:r>
      <w:r>
        <w:rPr>
          <w:color w:val="231F20"/>
          <w:spacing w:val="40"/>
        </w:rPr>
        <w:t> </w:t>
      </w:r>
      <w:r>
        <w:rPr>
          <w:color w:val="231F20"/>
          <w:spacing w:val="-2"/>
        </w:rPr>
        <w:t>parameter).</w:t>
      </w:r>
    </w:p>
    <w:p>
      <w:pPr>
        <w:pStyle w:val="BodyText"/>
        <w:spacing w:line="243" w:lineRule="exact"/>
        <w:ind w:left="3490"/>
        <w:rPr>
          <w:rFonts w:ascii="Arial"/>
        </w:rPr>
      </w:pPr>
      <w:r>
        <w:rPr>
          <w:color w:val="231F20"/>
        </w:rPr>
        <w:t>Arguments:</w:t>
      </w:r>
      <w:r>
        <w:rPr>
          <w:color w:val="231F20"/>
          <w:spacing w:val="1"/>
        </w:rPr>
        <w:t> </w:t>
      </w:r>
      <w:hyperlink r:id="rId172">
        <w:r>
          <w:rPr>
            <w:rFonts w:ascii="Arial"/>
            <w:color w:val="231F20"/>
            <w:spacing w:val="-2"/>
          </w:rPr>
          <w:t>http://www.ibm.com</w:t>
        </w:r>
      </w:hyperlink>
    </w:p>
    <w:p>
      <w:pPr>
        <w:spacing w:line="218" w:lineRule="auto" w:before="128"/>
        <w:ind w:left="2472" w:right="274" w:firstLine="0"/>
        <w:jc w:val="left"/>
        <w:rPr>
          <w:sz w:val="20"/>
        </w:rPr>
      </w:pPr>
      <w:r>
        <w:rPr>
          <w:rFonts w:ascii="Book Antiqua"/>
          <w:b/>
          <w:color w:val="231F20"/>
          <w:sz w:val="20"/>
        </w:rPr>
        <w:t>Launching another Tivoli Enterprise Portal browser client on a different </w:t>
      </w:r>
      <w:r>
        <w:rPr>
          <w:rFonts w:ascii="Book Antiqua"/>
          <w:b/>
          <w:color w:val="231F20"/>
          <w:sz w:val="20"/>
        </w:rPr>
        <w:t>portal server</w:t>
      </w:r>
      <w:r>
        <w:rPr>
          <w:rFonts w:ascii="Book Antiqua"/>
          <w:b/>
          <w:color w:val="231F20"/>
          <w:spacing w:val="76"/>
          <w:w w:val="150"/>
          <w:sz w:val="20"/>
        </w:rPr>
        <w:t> </w:t>
      </w:r>
      <w:r>
        <w:rPr>
          <w:color w:val="231F20"/>
          <w:sz w:val="20"/>
        </w:rPr>
        <w:t>This</w:t>
      </w:r>
      <w:r>
        <w:rPr>
          <w:color w:val="231F20"/>
          <w:spacing w:val="11"/>
          <w:sz w:val="20"/>
        </w:rPr>
        <w:t> </w:t>
      </w:r>
      <w:r>
        <w:rPr>
          <w:color w:val="231F20"/>
          <w:sz w:val="20"/>
        </w:rPr>
        <w:t>example</w:t>
      </w:r>
      <w:r>
        <w:rPr>
          <w:color w:val="231F20"/>
          <w:spacing w:val="11"/>
          <w:sz w:val="20"/>
        </w:rPr>
        <w:t> </w:t>
      </w:r>
      <w:r>
        <w:rPr>
          <w:color w:val="231F20"/>
          <w:sz w:val="20"/>
        </w:rPr>
        <w:t>is</w:t>
      </w:r>
      <w:r>
        <w:rPr>
          <w:color w:val="231F20"/>
          <w:spacing w:val="10"/>
          <w:sz w:val="20"/>
        </w:rPr>
        <w:t> </w:t>
      </w:r>
      <w:r>
        <w:rPr>
          <w:color w:val="231F20"/>
          <w:sz w:val="20"/>
        </w:rPr>
        <w:t>similar</w:t>
      </w:r>
      <w:r>
        <w:rPr>
          <w:color w:val="231F20"/>
          <w:spacing w:val="11"/>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previous</w:t>
      </w:r>
      <w:r>
        <w:rPr>
          <w:color w:val="231F20"/>
          <w:spacing w:val="11"/>
          <w:sz w:val="20"/>
        </w:rPr>
        <w:t> </w:t>
      </w:r>
      <w:r>
        <w:rPr>
          <w:color w:val="231F20"/>
          <w:sz w:val="20"/>
        </w:rPr>
        <w:t>one.</w:t>
      </w:r>
      <w:r>
        <w:rPr>
          <w:color w:val="231F20"/>
          <w:spacing w:val="7"/>
          <w:sz w:val="20"/>
        </w:rPr>
        <w:t> </w:t>
      </w:r>
      <w:r>
        <w:rPr>
          <w:color w:val="231F20"/>
          <w:sz w:val="20"/>
        </w:rPr>
        <w:t>You</w:t>
      </w:r>
      <w:r>
        <w:rPr>
          <w:color w:val="231F20"/>
          <w:spacing w:val="11"/>
          <w:sz w:val="20"/>
        </w:rPr>
        <w:t> </w:t>
      </w:r>
      <w:r>
        <w:rPr>
          <w:color w:val="231F20"/>
          <w:sz w:val="20"/>
        </w:rPr>
        <w:t>can</w:t>
      </w:r>
      <w:r>
        <w:rPr>
          <w:color w:val="231F20"/>
          <w:spacing w:val="11"/>
          <w:sz w:val="20"/>
        </w:rPr>
        <w:t> </w:t>
      </w:r>
      <w:r>
        <w:rPr>
          <w:color w:val="231F20"/>
          <w:sz w:val="20"/>
        </w:rPr>
        <w:t>start</w:t>
      </w:r>
      <w:r>
        <w:rPr>
          <w:color w:val="231F20"/>
          <w:spacing w:val="11"/>
          <w:sz w:val="20"/>
        </w:rPr>
        <w:t> </w:t>
      </w:r>
      <w:r>
        <w:rPr>
          <w:color w:val="231F20"/>
          <w:sz w:val="20"/>
        </w:rPr>
        <w:t>a</w:t>
      </w:r>
      <w:r>
        <w:rPr>
          <w:color w:val="231F20"/>
          <w:spacing w:val="11"/>
          <w:sz w:val="20"/>
        </w:rPr>
        <w:t> </w:t>
      </w:r>
      <w:r>
        <w:rPr>
          <w:color w:val="231F20"/>
          <w:sz w:val="20"/>
        </w:rPr>
        <w:t>new</w:t>
      </w:r>
      <w:r>
        <w:rPr>
          <w:color w:val="231F20"/>
          <w:spacing w:val="11"/>
          <w:sz w:val="20"/>
        </w:rPr>
        <w:t> </w:t>
      </w:r>
      <w:r>
        <w:rPr>
          <w:color w:val="231F20"/>
          <w:spacing w:val="-2"/>
          <w:sz w:val="20"/>
        </w:rPr>
        <w:t>browser</w:t>
      </w:r>
    </w:p>
    <w:p>
      <w:pPr>
        <w:pStyle w:val="BodyText"/>
        <w:spacing w:line="213" w:lineRule="auto"/>
        <w:ind w:left="3190"/>
      </w:pPr>
      <w:r>
        <w:rPr>
          <w:color w:val="231F20"/>
        </w:rPr>
        <w:t>client in another Tivoli managed network. If the browser supports </w:t>
      </w:r>
      <w:r>
        <w:rPr>
          <w:color w:val="231F20"/>
        </w:rPr>
        <w:t>multiple tabbed windows, a new tab is started for the launched portal workspace.</w:t>
      </w:r>
    </w:p>
    <w:p>
      <w:pPr>
        <w:pStyle w:val="BodyText"/>
        <w:spacing w:line="249" w:lineRule="auto" w:before="34"/>
        <w:ind w:left="3490" w:right="1104"/>
        <w:rPr>
          <w:rFonts w:ascii="Arial"/>
        </w:rPr>
      </w:pPr>
      <w:r>
        <w:rPr>
          <w:color w:val="231F20"/>
          <w:w w:val="105"/>
        </w:rPr>
        <w:t>Target:</w:t>
      </w:r>
      <w:r>
        <w:rPr>
          <w:color w:val="231F20"/>
          <w:spacing w:val="40"/>
          <w:w w:val="105"/>
        </w:rPr>
        <w:t> </w:t>
      </w:r>
      <w:r>
        <w:rPr>
          <w:rFonts w:ascii="Arial"/>
          <w:color w:val="231F20"/>
          <w:w w:val="105"/>
        </w:rPr>
        <w:t>C:\Program</w:t>
      </w:r>
      <w:r>
        <w:rPr>
          <w:rFonts w:ascii="Arial"/>
          <w:color w:val="231F20"/>
          <w:spacing w:val="40"/>
          <w:w w:val="105"/>
        </w:rPr>
        <w:t> </w:t>
      </w:r>
      <w:r>
        <w:rPr>
          <w:rFonts w:ascii="Arial"/>
          <w:color w:val="231F20"/>
          <w:w w:val="105"/>
        </w:rPr>
        <w:t>Files\Mozilla</w:t>
      </w:r>
      <w:r>
        <w:rPr>
          <w:rFonts w:ascii="Arial"/>
          <w:color w:val="231F20"/>
          <w:spacing w:val="40"/>
          <w:w w:val="105"/>
        </w:rPr>
        <w:t> </w:t>
      </w:r>
      <w:r>
        <w:rPr>
          <w:rFonts w:ascii="Arial"/>
          <w:color w:val="231F20"/>
          <w:w w:val="105"/>
        </w:rPr>
        <w:t>Firefox\firefox.exe </w:t>
      </w:r>
      <w:r>
        <w:rPr>
          <w:color w:val="231F20"/>
          <w:w w:val="105"/>
        </w:rPr>
        <w:t>Arguments: </w:t>
      </w:r>
      <w:r>
        <w:rPr>
          <w:rFonts w:ascii="Arial"/>
          <w:color w:val="231F20"/>
          <w:w w:val="105"/>
        </w:rPr>
        <w:t>http://floor3west.usca.ibm.com:15200/ </w:t>
      </w:r>
      <w:r>
        <w:rPr>
          <w:rFonts w:ascii="Arial"/>
          <w:color w:val="231F20"/>
          <w:spacing w:val="-2"/>
          <w:w w:val="105"/>
        </w:rPr>
        <w:t>cnp.html?hostname=floor3west*</w:t>
      </w:r>
    </w:p>
    <w:p>
      <w:pPr>
        <w:pStyle w:val="Heading6"/>
        <w:spacing w:before="119"/>
      </w:pPr>
      <w:r>
        <w:rPr>
          <w:color w:val="231F20"/>
        </w:rPr>
        <w:t>Launching</w:t>
      </w:r>
      <w:r>
        <w:rPr>
          <w:color w:val="231F20"/>
          <w:spacing w:val="2"/>
        </w:rPr>
        <w:t> </w:t>
      </w:r>
      <w:r>
        <w:rPr>
          <w:color w:val="231F20"/>
        </w:rPr>
        <w:t>a</w:t>
      </w:r>
      <w:r>
        <w:rPr>
          <w:color w:val="231F20"/>
          <w:spacing w:val="3"/>
        </w:rPr>
        <w:t> </w:t>
      </w:r>
      <w:r>
        <w:rPr>
          <w:color w:val="231F20"/>
        </w:rPr>
        <w:t>Telnet</w:t>
      </w:r>
      <w:r>
        <w:rPr>
          <w:color w:val="231F20"/>
          <w:spacing w:val="3"/>
        </w:rPr>
        <w:t> </w:t>
      </w:r>
      <w:r>
        <w:rPr>
          <w:color w:val="231F20"/>
          <w:spacing w:val="-2"/>
        </w:rPr>
        <w:t>session</w:t>
      </w:r>
    </w:p>
    <w:p>
      <w:pPr>
        <w:pStyle w:val="BodyText"/>
        <w:spacing w:line="213" w:lineRule="auto" w:before="12"/>
        <w:ind w:left="3190" w:right="274"/>
      </w:pPr>
      <w:r>
        <w:rPr>
          <w:color w:val="231F20"/>
        </w:rPr>
        <w:t>To launch a Telnet session, you must specify the command prompt as the target and the Telnet session as the argument.</w:t>
      </w:r>
    </w:p>
    <w:p>
      <w:pPr>
        <w:pStyle w:val="BodyText"/>
        <w:spacing w:line="230" w:lineRule="exact"/>
        <w:ind w:left="3490"/>
        <w:rPr>
          <w:rFonts w:ascii="Arial"/>
        </w:rPr>
      </w:pPr>
      <w:r>
        <w:rPr>
          <w:color w:val="231F20"/>
          <w:spacing w:val="-2"/>
        </w:rPr>
        <w:t>Target:</w:t>
      </w:r>
      <w:r>
        <w:rPr>
          <w:color w:val="231F20"/>
        </w:rPr>
        <w:t> </w:t>
      </w:r>
      <w:r>
        <w:rPr>
          <w:rFonts w:ascii="Arial"/>
          <w:color w:val="231F20"/>
          <w:spacing w:val="-2"/>
        </w:rPr>
        <w:t>c:\windows\system32\cmd.exe</w:t>
      </w:r>
    </w:p>
    <w:p>
      <w:pPr>
        <w:pStyle w:val="BodyText"/>
        <w:spacing w:line="213" w:lineRule="auto" w:before="8"/>
        <w:ind w:left="3490" w:right="493"/>
      </w:pPr>
      <w:r>
        <w:rPr>
          <w:color w:val="231F20"/>
          <w:w w:val="105"/>
        </w:rPr>
        <w:t>Arguments:</w:t>
      </w:r>
      <w:r>
        <w:rPr>
          <w:color w:val="231F20"/>
          <w:w w:val="105"/>
        </w:rPr>
        <w:t> </w:t>
      </w:r>
      <w:r>
        <w:rPr>
          <w:rFonts w:ascii="Arial"/>
          <w:color w:val="231F20"/>
          <w:w w:val="105"/>
        </w:rPr>
        <w:t>/c start telnet.exe computer</w:t>
      </w:r>
      <w:r>
        <w:rPr>
          <w:color w:val="231F20"/>
          <w:w w:val="105"/>
        </w:rPr>
        <w:t>,</w:t>
      </w:r>
      <w:r>
        <w:rPr>
          <w:color w:val="231F20"/>
          <w:w w:val="105"/>
        </w:rPr>
        <w:t> ,</w:t>
      </w:r>
      <w:r>
        <w:rPr>
          <w:color w:val="231F20"/>
          <w:w w:val="105"/>
        </w:rPr>
        <w:t> where</w:t>
      </w:r>
      <w:r>
        <w:rPr>
          <w:color w:val="231F20"/>
          <w:w w:val="105"/>
        </w:rPr>
        <w:t> computer</w:t>
      </w:r>
      <w:r>
        <w:rPr>
          <w:color w:val="231F20"/>
          <w:w w:val="105"/>
        </w:rPr>
        <w:t> is</w:t>
      </w:r>
      <w:r>
        <w:rPr>
          <w:color w:val="231F20"/>
          <w:w w:val="105"/>
        </w:rPr>
        <w:t> </w:t>
      </w:r>
      <w:r>
        <w:rPr>
          <w:color w:val="231F20"/>
          <w:w w:val="105"/>
        </w:rPr>
        <w:t>the location where the Telnet executable is found.</w:t>
      </w:r>
    </w:p>
    <w:p>
      <w:pPr>
        <w:pStyle w:val="BodyText"/>
        <w:spacing w:line="245" w:lineRule="exact"/>
        <w:ind w:left="3490"/>
        <w:rPr>
          <w:rFonts w:ascii="Arial"/>
        </w:rPr>
      </w:pPr>
      <w:r>
        <w:rPr>
          <w:color w:val="231F20"/>
        </w:rPr>
        <w:t>Start</w:t>
      </w:r>
      <w:r>
        <w:rPr>
          <w:color w:val="231F20"/>
          <w:spacing w:val="12"/>
        </w:rPr>
        <w:t> </w:t>
      </w:r>
      <w:r>
        <w:rPr>
          <w:color w:val="231F20"/>
        </w:rPr>
        <w:t>in:</w:t>
      </w:r>
      <w:r>
        <w:rPr>
          <w:color w:val="231F20"/>
          <w:spacing w:val="13"/>
        </w:rPr>
        <w:t> </w:t>
      </w:r>
      <w:r>
        <w:rPr>
          <w:rFonts w:ascii="Arial"/>
          <w:color w:val="231F20"/>
          <w:spacing w:val="-2"/>
        </w:rPr>
        <w:t>c:\windows\system32</w:t>
      </w:r>
    </w:p>
    <w:p>
      <w:pPr>
        <w:spacing w:after="0" w:line="245" w:lineRule="exact"/>
        <w:rPr>
          <w:rFonts w:ascii="Arial"/>
        </w:rPr>
        <w:sectPr>
          <w:pgSz w:w="12240" w:h="15840"/>
          <w:pgMar w:header="0" w:footer="736" w:top="1180" w:bottom="920" w:left="1000" w:right="1060"/>
        </w:sectPr>
      </w:pPr>
    </w:p>
    <w:p>
      <w:pPr>
        <w:pStyle w:val="BodyText"/>
        <w:spacing w:before="4"/>
        <w:rPr>
          <w:rFonts w:ascii="Arial"/>
          <w:sz w:val="17"/>
        </w:rPr>
      </w:pPr>
    </w:p>
    <w:p>
      <w:pPr>
        <w:spacing w:after="0"/>
        <w:rPr>
          <w:rFonts w:ascii="Arial"/>
          <w:sz w:val="17"/>
        </w:rPr>
        <w:sectPr>
          <w:pgSz w:w="12240" w:h="15840"/>
          <w:pgMar w:header="0" w:footer="736" w:top="1820" w:bottom="920" w:left="1000" w:right="1060"/>
        </w:sectPr>
      </w:pPr>
    </w:p>
    <w:p>
      <w:pPr>
        <w:pStyle w:val="BodyText"/>
        <w:spacing w:line="20" w:lineRule="exact"/>
        <w:ind w:left="436"/>
        <w:rPr>
          <w:rFonts w:ascii="Arial"/>
          <w:sz w:val="2"/>
        </w:rPr>
      </w:pPr>
      <w:bookmarkStart w:name="_bookmark272" w:id="557"/>
      <w:bookmarkEnd w:id="557"/>
      <w:r>
        <w:rPr/>
      </w:r>
      <w:r>
        <w:rPr>
          <w:rFonts w:ascii="Arial"/>
          <w:sz w:val="2"/>
        </w:rPr>
        <mc:AlternateContent>
          <mc:Choice Requires="wps">
            <w:drawing>
              <wp:inline distT="0" distB="0" distL="0" distR="0">
                <wp:extent cx="6082665" cy="25400"/>
                <wp:effectExtent l="19050" t="0" r="3810" b="3175"/>
                <wp:docPr id="2856" name="Group 2856"/>
                <wp:cNvGraphicFramePr>
                  <a:graphicFrameLocks/>
                </wp:cNvGraphicFramePr>
                <a:graphic>
                  <a:graphicData uri="http://schemas.microsoft.com/office/word/2010/wordprocessingGroup">
                    <wpg:wgp>
                      <wpg:cNvPr id="2856" name="Group 2856"/>
                      <wpg:cNvGrpSpPr/>
                      <wpg:grpSpPr>
                        <a:xfrm>
                          <a:off x="0" y="0"/>
                          <a:ext cx="6082665" cy="25400"/>
                          <a:chExt cx="6082665" cy="25400"/>
                        </a:xfrm>
                      </wpg:grpSpPr>
                      <wps:wsp>
                        <wps:cNvPr id="2857" name="Graphic 2857"/>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35" coordorigin="0,0" coordsize="9579,40">
                <v:line style="position:absolute" from="0,20" to="9579,20" stroked="true" strokeweight="1.996pt" strokecolor="#231f20">
                  <v:stroke dashstyle="solid"/>
                </v:line>
              </v:group>
            </w:pict>
          </mc:Fallback>
        </mc:AlternateContent>
      </w:r>
      <w:r>
        <w:rPr>
          <w:rFonts w:ascii="Arial"/>
          <w:sz w:val="2"/>
        </w:rPr>
      </w:r>
    </w:p>
    <w:p>
      <w:pPr>
        <w:pStyle w:val="BodyText"/>
        <w:spacing w:before="142"/>
        <w:rPr>
          <w:rFonts w:ascii="Arial"/>
          <w:sz w:val="32"/>
        </w:rPr>
      </w:pPr>
    </w:p>
    <w:p>
      <w:pPr>
        <w:pStyle w:val="Heading2"/>
      </w:pPr>
      <w:bookmarkStart w:name="Chapter 12. Using Tivoli Enterprise Port" w:id="558"/>
      <w:bookmarkEnd w:id="558"/>
      <w:r>
        <w:rPr>
          <w:b w:val="0"/>
        </w:rPr>
      </w:r>
      <w:r>
        <w:rPr>
          <w:color w:val="231F20"/>
        </w:rPr>
        <w:t>Chapter</w:t>
      </w:r>
      <w:r>
        <w:rPr>
          <w:color w:val="231F20"/>
          <w:spacing w:val="-10"/>
        </w:rPr>
        <w:t> </w:t>
      </w:r>
      <w:r>
        <w:rPr>
          <w:color w:val="231F20"/>
        </w:rPr>
        <w:t>12.</w:t>
      </w:r>
      <w:r>
        <w:rPr>
          <w:color w:val="231F20"/>
          <w:spacing w:val="6"/>
        </w:rPr>
        <w:t> </w:t>
      </w:r>
      <w:r>
        <w:rPr>
          <w:color w:val="231F20"/>
        </w:rPr>
        <w:t>Using</w:t>
      </w:r>
      <w:r>
        <w:rPr>
          <w:color w:val="231F20"/>
          <w:spacing w:val="7"/>
        </w:rPr>
        <w:t> </w:t>
      </w:r>
      <w:r>
        <w:rPr>
          <w:color w:val="231F20"/>
        </w:rPr>
        <w:t>Tivoli</w:t>
      </w:r>
      <w:r>
        <w:rPr>
          <w:color w:val="231F20"/>
          <w:spacing w:val="6"/>
        </w:rPr>
        <w:t> </w:t>
      </w:r>
      <w:r>
        <w:rPr>
          <w:color w:val="231F20"/>
        </w:rPr>
        <w:t>Enterprise</w:t>
      </w:r>
      <w:r>
        <w:rPr>
          <w:color w:val="231F20"/>
          <w:spacing w:val="7"/>
        </w:rPr>
        <w:t> </w:t>
      </w:r>
      <w:r>
        <w:rPr>
          <w:color w:val="231F20"/>
        </w:rPr>
        <w:t>Portal</w:t>
      </w:r>
      <w:r>
        <w:rPr>
          <w:color w:val="231F20"/>
          <w:spacing w:val="7"/>
        </w:rPr>
        <w:t> </w:t>
      </w:r>
      <w:r>
        <w:rPr>
          <w:color w:val="231F20"/>
        </w:rPr>
        <w:t>user</w:t>
      </w:r>
      <w:r>
        <w:rPr>
          <w:color w:val="231F20"/>
          <w:spacing w:val="6"/>
        </w:rPr>
        <w:t> </w:t>
      </w:r>
      <w:r>
        <w:rPr>
          <w:color w:val="231F20"/>
          <w:spacing w:val="-2"/>
        </w:rPr>
        <w:t>authorization</w:t>
      </w:r>
    </w:p>
    <w:p>
      <w:pPr>
        <w:pStyle w:val="BodyText"/>
        <w:spacing w:line="213" w:lineRule="auto" w:before="304"/>
        <w:ind w:left="2472" w:right="545"/>
      </w:pPr>
      <w:r>
        <w:rPr>
          <w:color w:val="231F20"/>
        </w:rPr>
        <w:t>Every portal work session begins with a successful logon and connection to </w:t>
      </w:r>
      <w:r>
        <w:rPr>
          <w:color w:val="231F20"/>
        </w:rPr>
        <w:t>the Tivoli Enterprise Portal. The logon user IDs and user groups are created and profiled through the Administer Users window.</w:t>
      </w:r>
    </w:p>
    <w:p>
      <w:pPr>
        <w:pStyle w:val="BodyText"/>
        <w:spacing w:line="213" w:lineRule="auto" w:before="237"/>
        <w:ind w:left="2472" w:right="290"/>
      </w:pPr>
      <w:r>
        <w:rPr>
          <w:color w:val="231F20"/>
        </w:rPr>
        <w:t>Administer Users is a multi-tabbed two-paned window. The top frame has two</w:t>
      </w:r>
      <w:r>
        <w:rPr>
          <w:color w:val="231F20"/>
          <w:spacing w:val="80"/>
        </w:rPr>
        <w:t> </w:t>
      </w:r>
      <w:r>
        <w:rPr>
          <w:color w:val="231F20"/>
        </w:rPr>
        <w:t>tabs:</w:t>
      </w:r>
      <w:r>
        <w:rPr>
          <w:color w:val="231F20"/>
          <w:spacing w:val="40"/>
        </w:rPr>
        <w:t> </w:t>
      </w:r>
      <w:r>
        <w:rPr>
          <w:color w:val="231F20"/>
          <w:spacing w:val="-14"/>
          <w:position w:val="-1"/>
        </w:rPr>
        <w:drawing>
          <wp:inline distT="0" distB="0" distL="0" distR="0">
            <wp:extent cx="82550" cy="101600"/>
            <wp:effectExtent l="0" t="0" r="0" b="0"/>
            <wp:docPr id="2858" name="Image 2858"/>
            <wp:cNvGraphicFramePr>
              <a:graphicFrameLocks/>
            </wp:cNvGraphicFramePr>
            <a:graphic>
              <a:graphicData uri="http://schemas.openxmlformats.org/drawingml/2006/picture">
                <pic:pic>
                  <pic:nvPicPr>
                    <pic:cNvPr id="2858" name="Image 2858"/>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rPr>
      </w:r>
      <w:r>
        <w:rPr>
          <w:rFonts w:ascii="Times New Roman"/>
          <w:color w:val="231F20"/>
          <w:spacing w:val="80"/>
        </w:rPr>
        <w:t> </w:t>
      </w:r>
      <w:r>
        <w:rPr>
          <w:rFonts w:ascii="Book Antiqua"/>
          <w:b/>
          <w:color w:val="231F20"/>
        </w:rPr>
        <w:t>Users</w:t>
      </w:r>
      <w:r>
        <w:rPr>
          <w:rFonts w:ascii="Book Antiqua"/>
          <w:b/>
          <w:color w:val="231F20"/>
          <w:spacing w:val="25"/>
        </w:rPr>
        <w:t> </w:t>
      </w:r>
      <w:r>
        <w:rPr>
          <w:color w:val="231F20"/>
        </w:rPr>
        <w:t>and</w:t>
      </w:r>
      <w:r>
        <w:rPr>
          <w:color w:val="231F20"/>
          <w:spacing w:val="16"/>
        </w:rPr>
        <w:t> </w:t>
      </w:r>
      <w:r>
        <w:rPr>
          <w:color w:val="231F20"/>
          <w:spacing w:val="16"/>
          <w:position w:val="-1"/>
        </w:rPr>
        <w:drawing>
          <wp:inline distT="0" distB="0" distL="0" distR="0">
            <wp:extent cx="101600" cy="101600"/>
            <wp:effectExtent l="0" t="0" r="0" b="0"/>
            <wp:docPr id="2859" name="Image 2859"/>
            <wp:cNvGraphicFramePr>
              <a:graphicFrameLocks/>
            </wp:cNvGraphicFramePr>
            <a:graphic>
              <a:graphicData uri="http://schemas.openxmlformats.org/drawingml/2006/picture">
                <pic:pic>
                  <pic:nvPicPr>
                    <pic:cNvPr id="2859" name="Image 2859"/>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User</w:t>
      </w:r>
      <w:r>
        <w:rPr>
          <w:rFonts w:ascii="Book Antiqua"/>
          <w:b/>
          <w:color w:val="231F20"/>
          <w:spacing w:val="25"/>
        </w:rPr>
        <w:t> </w:t>
      </w:r>
      <w:r>
        <w:rPr>
          <w:rFonts w:ascii="Book Antiqua"/>
          <w:b/>
          <w:color w:val="231F20"/>
        </w:rPr>
        <w:t>Groups</w:t>
      </w:r>
      <w:r>
        <w:rPr>
          <w:color w:val="231F20"/>
        </w:rPr>
        <w:t>,</w:t>
      </w:r>
      <w:r>
        <w:rPr>
          <w:color w:val="231F20"/>
          <w:spacing w:val="25"/>
        </w:rPr>
        <w:t> </w:t>
      </w:r>
      <w:r>
        <w:rPr>
          <w:color w:val="231F20"/>
        </w:rPr>
        <w:t>that</w:t>
      </w:r>
      <w:r>
        <w:rPr>
          <w:color w:val="231F20"/>
          <w:spacing w:val="25"/>
        </w:rPr>
        <w:t> </w:t>
      </w:r>
      <w:r>
        <w:rPr>
          <w:color w:val="231F20"/>
        </w:rPr>
        <w:t>list</w:t>
      </w:r>
      <w:r>
        <w:rPr>
          <w:color w:val="231F20"/>
          <w:spacing w:val="25"/>
        </w:rPr>
        <w:t> </w:t>
      </w:r>
      <w:r>
        <w:rPr>
          <w:color w:val="231F20"/>
        </w:rPr>
        <w:t>the</w:t>
      </w:r>
      <w:r>
        <w:rPr>
          <w:color w:val="231F20"/>
          <w:spacing w:val="25"/>
        </w:rPr>
        <w:t> </w:t>
      </w:r>
      <w:r>
        <w:rPr>
          <w:color w:val="231F20"/>
        </w:rPr>
        <w:t>user</w:t>
      </w:r>
      <w:r>
        <w:rPr>
          <w:color w:val="231F20"/>
          <w:spacing w:val="25"/>
        </w:rPr>
        <w:t> </w:t>
      </w:r>
      <w:r>
        <w:rPr>
          <w:color w:val="231F20"/>
        </w:rPr>
        <w:t>IDs,</w:t>
      </w:r>
      <w:r>
        <w:rPr>
          <w:color w:val="231F20"/>
          <w:spacing w:val="25"/>
        </w:rPr>
        <w:t> </w:t>
      </w:r>
      <w:r>
        <w:rPr>
          <w:color w:val="231F20"/>
        </w:rPr>
        <w:t>distinguished</w:t>
      </w:r>
      <w:r>
        <w:rPr>
          <w:color w:val="231F20"/>
          <w:spacing w:val="25"/>
        </w:rPr>
        <w:t> </w:t>
      </w:r>
      <w:r>
        <w:rPr>
          <w:color w:val="231F20"/>
        </w:rPr>
        <w:t>names</w:t>
      </w:r>
      <w:r>
        <w:rPr>
          <w:color w:val="231F20"/>
          <w:spacing w:val="25"/>
        </w:rPr>
        <w:t> </w:t>
      </w:r>
      <w:r>
        <w:rPr>
          <w:color w:val="231F20"/>
        </w:rPr>
        <w:t>if the portal server is configured for authentication to an LDAP user registry, and the user groups that are stored on the portal server. The profile of the selected user or user group is reflected in the bottom frame:</w:t>
      </w:r>
    </w:p>
    <w:p>
      <w:pPr>
        <w:pStyle w:val="BodyText"/>
        <w:spacing w:line="213" w:lineRule="auto" w:before="57"/>
        <w:ind w:left="2771" w:right="258" w:firstLine="10"/>
      </w:pPr>
      <w:r>
        <w:rPr>
          <w:position w:val="-1"/>
        </w:rPr>
        <w:drawing>
          <wp:inline distT="0" distB="0" distL="0" distR="0">
            <wp:extent cx="95250" cy="101600"/>
            <wp:effectExtent l="0" t="0" r="0" b="0"/>
            <wp:docPr id="2860" name="Image 2860"/>
            <wp:cNvGraphicFramePr>
              <a:graphicFrameLocks/>
            </wp:cNvGraphicFramePr>
            <a:graphic>
              <a:graphicData uri="http://schemas.openxmlformats.org/drawingml/2006/picture">
                <pic:pic>
                  <pic:nvPicPr>
                    <pic:cNvPr id="2860" name="Image 2860"/>
                    <pic:cNvPicPr/>
                  </pic:nvPicPr>
                  <pic:blipFill>
                    <a:blip r:embed="rId181"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rFonts w:ascii="Book Antiqua"/>
          <w:b/>
          <w:color w:val="231F20"/>
        </w:rPr>
        <w:t>Permissions </w:t>
      </w:r>
      <w:r>
        <w:rPr>
          <w:color w:val="231F20"/>
        </w:rPr>
        <w:t>has a list of the portal features in the Authorities box. On the</w:t>
      </w:r>
      <w:r>
        <w:rPr>
          <w:color w:val="231F20"/>
          <w:spacing w:val="40"/>
        </w:rPr>
        <w:t> </w:t>
      </w:r>
      <w:r>
        <w:rPr>
          <w:color w:val="231F20"/>
        </w:rPr>
        <w:t>right are the possible operations for the selected feature. A selected check box means</w:t>
      </w:r>
      <w:r>
        <w:rPr>
          <w:color w:val="231F20"/>
          <w:spacing w:val="29"/>
        </w:rPr>
        <w:t> </w:t>
      </w:r>
      <w:r>
        <w:rPr>
          <w:color w:val="231F20"/>
        </w:rPr>
        <w:t>the</w:t>
      </w:r>
      <w:r>
        <w:rPr>
          <w:color w:val="231F20"/>
          <w:spacing w:val="29"/>
        </w:rPr>
        <w:t> </w:t>
      </w:r>
      <w:r>
        <w:rPr>
          <w:color w:val="231F20"/>
        </w:rPr>
        <w:t>selected</w:t>
      </w:r>
      <w:r>
        <w:rPr>
          <w:color w:val="231F20"/>
          <w:spacing w:val="29"/>
        </w:rPr>
        <w:t> </w:t>
      </w:r>
      <w:r>
        <w:rPr>
          <w:color w:val="231F20"/>
        </w:rPr>
        <w:t>user</w:t>
      </w:r>
      <w:r>
        <w:rPr>
          <w:color w:val="231F20"/>
          <w:spacing w:val="29"/>
        </w:rPr>
        <w:t> </w:t>
      </w:r>
      <w:r>
        <w:rPr>
          <w:color w:val="231F20"/>
        </w:rPr>
        <w:t>or</w:t>
      </w:r>
      <w:r>
        <w:rPr>
          <w:color w:val="231F20"/>
          <w:spacing w:val="29"/>
        </w:rPr>
        <w:t> </w:t>
      </w:r>
      <w:r>
        <w:rPr>
          <w:color w:val="231F20"/>
        </w:rPr>
        <w:t>user</w:t>
      </w:r>
      <w:r>
        <w:rPr>
          <w:color w:val="231F20"/>
          <w:spacing w:val="29"/>
        </w:rPr>
        <w:t> </w:t>
      </w:r>
      <w:r>
        <w:rPr>
          <w:color w:val="231F20"/>
        </w:rPr>
        <w:t>group</w:t>
      </w:r>
      <w:r>
        <w:rPr>
          <w:color w:val="231F20"/>
          <w:spacing w:val="29"/>
        </w:rPr>
        <w:t> </w:t>
      </w:r>
      <w:r>
        <w:rPr>
          <w:color w:val="231F20"/>
        </w:rPr>
        <w:t>has</w:t>
      </w:r>
      <w:r>
        <w:rPr>
          <w:color w:val="231F20"/>
          <w:spacing w:val="29"/>
        </w:rPr>
        <w:t> </w:t>
      </w:r>
      <w:r>
        <w:rPr>
          <w:color w:val="231F20"/>
        </w:rPr>
        <w:t>permission</w:t>
      </w:r>
      <w:r>
        <w:rPr>
          <w:color w:val="231F20"/>
          <w:spacing w:val="29"/>
        </w:rPr>
        <w:t> </w:t>
      </w:r>
      <w:r>
        <w:rPr>
          <w:color w:val="231F20"/>
        </w:rPr>
        <w:t>to</w:t>
      </w:r>
      <w:r>
        <w:rPr>
          <w:color w:val="231F20"/>
          <w:spacing w:val="29"/>
        </w:rPr>
        <w:t> </w:t>
      </w:r>
      <w:r>
        <w:rPr>
          <w:color w:val="231F20"/>
        </w:rPr>
        <w:t>perform</w:t>
      </w:r>
      <w:r>
        <w:rPr>
          <w:color w:val="231F20"/>
          <w:spacing w:val="29"/>
        </w:rPr>
        <w:t> </w:t>
      </w:r>
      <w:r>
        <w:rPr>
          <w:color w:val="231F20"/>
        </w:rPr>
        <w:t>that operation; a</w:t>
      </w:r>
      <w:r>
        <w:rPr>
          <w:color w:val="231F20"/>
          <w:spacing w:val="30"/>
        </w:rPr>
        <w:t> </w:t>
      </w:r>
      <w:r>
        <w:rPr>
          <w:color w:val="231F20"/>
          <w:spacing w:val="-14"/>
          <w:position w:val="2"/>
        </w:rPr>
        <w:drawing>
          <wp:inline distT="0" distB="0" distL="0" distR="0">
            <wp:extent cx="38100" cy="38100"/>
            <wp:effectExtent l="0" t="0" r="0" b="0"/>
            <wp:docPr id="2861" name="Image 2861"/>
            <wp:cNvGraphicFramePr>
              <a:graphicFrameLocks/>
            </wp:cNvGraphicFramePr>
            <a:graphic>
              <a:graphicData uri="http://schemas.openxmlformats.org/drawingml/2006/picture">
                <pic:pic>
                  <pic:nvPicPr>
                    <pic:cNvPr id="2861" name="Image 2861"/>
                    <pic:cNvPicPr/>
                  </pic:nvPicPr>
                  <pic:blipFill>
                    <a:blip r:embed="rId453" cstate="print"/>
                    <a:stretch>
                      <a:fillRect/>
                    </a:stretch>
                  </pic:blipFill>
                  <pic:spPr>
                    <a:xfrm>
                      <a:off x="0" y="0"/>
                      <a:ext cx="38100" cy="38100"/>
                    </a:xfrm>
                    <a:prstGeom prst="rect">
                      <a:avLst/>
                    </a:prstGeom>
                  </pic:spPr>
                </pic:pic>
              </a:graphicData>
            </a:graphic>
          </wp:inline>
        </w:drawing>
      </w:r>
      <w:r>
        <w:rPr>
          <w:color w:val="231F20"/>
          <w:spacing w:val="-14"/>
          <w:position w:val="2"/>
        </w:rPr>
      </w:r>
      <w:r>
        <w:rPr>
          <w:rFonts w:ascii="Times New Roman"/>
          <w:color w:val="231F20"/>
          <w:spacing w:val="80"/>
        </w:rPr>
        <w:t> </w:t>
      </w:r>
      <w:r>
        <w:rPr>
          <w:color w:val="231F20"/>
        </w:rPr>
        <w:t>indicator next to the check box means the permission was </w:t>
      </w:r>
      <w:r>
        <w:rPr>
          <w:color w:val="231F20"/>
        </w:rPr>
        <w:t>added to a user group the user belongs to.</w:t>
      </w:r>
    </w:p>
    <w:p>
      <w:pPr>
        <w:pStyle w:val="BodyText"/>
        <w:spacing w:line="213" w:lineRule="auto" w:before="56"/>
        <w:ind w:left="2771" w:right="258" w:firstLine="10"/>
      </w:pPr>
      <w:r>
        <w:rPr>
          <w:position w:val="-1"/>
        </w:rPr>
        <w:drawing>
          <wp:inline distT="0" distB="0" distL="0" distR="0">
            <wp:extent cx="95250" cy="95250"/>
            <wp:effectExtent l="0" t="0" r="0" b="0"/>
            <wp:docPr id="2862" name="Image 2862"/>
            <wp:cNvGraphicFramePr>
              <a:graphicFrameLocks/>
            </wp:cNvGraphicFramePr>
            <a:graphic>
              <a:graphicData uri="http://schemas.openxmlformats.org/drawingml/2006/picture">
                <pic:pic>
                  <pic:nvPicPr>
                    <pic:cNvPr id="2862" name="Image 2862"/>
                    <pic:cNvPicPr/>
                  </pic:nvPicPr>
                  <pic:blipFill>
                    <a:blip r:embed="rId454" cstate="print"/>
                    <a:stretch>
                      <a:fillRect/>
                    </a:stretch>
                  </pic:blipFill>
                  <pic:spPr>
                    <a:xfrm>
                      <a:off x="0" y="0"/>
                      <a:ext cx="95250" cy="95250"/>
                    </a:xfrm>
                    <a:prstGeom prst="rect">
                      <a:avLst/>
                    </a:prstGeom>
                  </pic:spPr>
                </pic:pic>
              </a:graphicData>
            </a:graphic>
          </wp:inline>
        </w:drawing>
      </w:r>
      <w:r>
        <w:rPr>
          <w:position w:val="-1"/>
        </w:rPr>
      </w:r>
      <w:r>
        <w:rPr>
          <w:rFonts w:ascii="Times New Roman" w:hAnsi="Times New Roman"/>
          <w:spacing w:val="40"/>
        </w:rPr>
        <w:t> </w:t>
      </w:r>
      <w:r>
        <w:rPr>
          <w:rFonts w:ascii="Book Antiqua" w:hAnsi="Book Antiqua"/>
          <w:b/>
          <w:color w:val="231F20"/>
        </w:rPr>
        <w:t>Applications </w:t>
      </w:r>
      <w:r>
        <w:rPr>
          <w:color w:val="231F20"/>
        </w:rPr>
        <w:t>shows all the applications being monitored and that are</w:t>
      </w:r>
      <w:r>
        <w:rPr>
          <w:color w:val="231F20"/>
          <w:spacing w:val="40"/>
        </w:rPr>
        <w:t> </w:t>
      </w:r>
      <w:r>
        <w:rPr>
          <w:color w:val="231F20"/>
        </w:rPr>
        <w:t>available for assigning to the user or user group. One user or user group, for example, can be profiled to see only the OMEGAMON</w:t>
      </w:r>
      <w:r>
        <w:rPr>
          <w:color w:val="231F20"/>
          <w:vertAlign w:val="superscript"/>
        </w:rPr>
        <w:t>®</w:t>
      </w:r>
      <w:r>
        <w:rPr>
          <w:color w:val="231F20"/>
          <w:vertAlign w:val="baseline"/>
        </w:rPr>
        <w:t> applications, another </w:t>
      </w:r>
      <w:r>
        <w:rPr>
          <w:color w:val="231F20"/>
          <w:vertAlign w:val="baseline"/>
        </w:rPr>
        <w:t>to see only Linux and Oracle, middleware, and another to see all applications.</w:t>
      </w:r>
    </w:p>
    <w:p>
      <w:pPr>
        <w:pStyle w:val="BodyText"/>
        <w:spacing w:line="213" w:lineRule="auto" w:before="58"/>
        <w:ind w:left="2771" w:right="292" w:hanging="1"/>
      </w:pPr>
      <w:r>
        <w:rPr>
          <w:position w:val="-1"/>
        </w:rPr>
        <w:drawing>
          <wp:inline distT="0" distB="0" distL="0" distR="0">
            <wp:extent cx="101600" cy="88900"/>
            <wp:effectExtent l="0" t="0" r="0" b="0"/>
            <wp:docPr id="2863" name="Image 2863"/>
            <wp:cNvGraphicFramePr>
              <a:graphicFrameLocks/>
            </wp:cNvGraphicFramePr>
            <a:graphic>
              <a:graphicData uri="http://schemas.openxmlformats.org/drawingml/2006/picture">
                <pic:pic>
                  <pic:nvPicPr>
                    <pic:cNvPr id="2863" name="Image 2863"/>
                    <pic:cNvPicPr/>
                  </pic:nvPicPr>
                  <pic:blipFill>
                    <a:blip r:embed="rId78" cstate="print"/>
                    <a:stretch>
                      <a:fillRect/>
                    </a:stretch>
                  </pic:blipFill>
                  <pic:spPr>
                    <a:xfrm>
                      <a:off x="0" y="0"/>
                      <a:ext cx="101600" cy="88900"/>
                    </a:xfrm>
                    <a:prstGeom prst="rect">
                      <a:avLst/>
                    </a:prstGeom>
                  </pic:spPr>
                </pic:pic>
              </a:graphicData>
            </a:graphic>
          </wp:inline>
        </w:drawing>
      </w:r>
      <w:r>
        <w:rPr>
          <w:position w:val="-1"/>
        </w:rPr>
      </w:r>
      <w:r>
        <w:rPr>
          <w:rFonts w:ascii="Times New Roman"/>
          <w:spacing w:val="40"/>
        </w:rPr>
        <w:t> </w:t>
      </w:r>
      <w:r>
        <w:rPr>
          <w:rFonts w:ascii="Book Antiqua"/>
          <w:b/>
          <w:color w:val="231F20"/>
        </w:rPr>
        <w:t>Navigator Views </w:t>
      </w:r>
      <w:r>
        <w:rPr>
          <w:color w:val="231F20"/>
        </w:rPr>
        <w:t>shows all the Navigator views that are on the portal server and that are available for assigning to the user or user group. The user or user</w:t>
      </w:r>
      <w:r>
        <w:rPr>
          <w:color w:val="231F20"/>
          <w:spacing w:val="40"/>
        </w:rPr>
        <w:t> </w:t>
      </w:r>
      <w:r>
        <w:rPr>
          <w:color w:val="231F20"/>
        </w:rPr>
        <w:t>group can be restricted to seeing only a certain branch of a Navigator view</w:t>
      </w:r>
      <w:r>
        <w:rPr>
          <w:color w:val="231F20"/>
          <w:spacing w:val="80"/>
        </w:rPr>
        <w:t> </w:t>
      </w:r>
      <w:r>
        <w:rPr>
          <w:color w:val="231F20"/>
        </w:rPr>
        <w:t>rather than the entire hierarchy.</w:t>
      </w:r>
    </w:p>
    <w:p>
      <w:pPr>
        <w:pStyle w:val="BodyText"/>
        <w:spacing w:line="213" w:lineRule="auto" w:before="57"/>
        <w:ind w:left="2771" w:right="385"/>
      </w:pPr>
      <w:r>
        <w:rPr>
          <w:position w:val="-1"/>
        </w:rPr>
        <w:drawing>
          <wp:inline distT="0" distB="0" distL="0" distR="0">
            <wp:extent cx="101600" cy="101600"/>
            <wp:effectExtent l="0" t="0" r="0" b="0"/>
            <wp:docPr id="2864" name="Image 2864"/>
            <wp:cNvGraphicFramePr>
              <a:graphicFrameLocks/>
            </wp:cNvGraphicFramePr>
            <a:graphic>
              <a:graphicData uri="http://schemas.openxmlformats.org/drawingml/2006/picture">
                <pic:pic>
                  <pic:nvPicPr>
                    <pic:cNvPr id="2864" name="Image 2864"/>
                    <pic:cNvPicPr/>
                  </pic:nvPicPr>
                  <pic:blipFill>
                    <a:blip r:embed="rId452"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rFonts w:ascii="Book Antiqua"/>
          <w:b/>
          <w:color w:val="231F20"/>
        </w:rPr>
        <w:t>Member of</w:t>
      </w:r>
      <w:r>
        <w:rPr>
          <w:color w:val="231F20"/>
        </w:rPr>
        <w:t>, when the Users tab is selected, or</w:t>
      </w:r>
      <w:r>
        <w:rPr>
          <w:color w:val="231F20"/>
          <w:spacing w:val="30"/>
        </w:rPr>
        <w:t> </w:t>
      </w:r>
      <w:r>
        <w:rPr>
          <w:color w:val="231F20"/>
          <w:spacing w:val="-15"/>
          <w:position w:val="-1"/>
        </w:rPr>
        <w:drawing>
          <wp:inline distT="0" distB="0" distL="0" distR="0">
            <wp:extent cx="82550" cy="101600"/>
            <wp:effectExtent l="0" t="0" r="0" b="0"/>
            <wp:docPr id="2865" name="Image 2865"/>
            <wp:cNvGraphicFramePr>
              <a:graphicFrameLocks/>
            </wp:cNvGraphicFramePr>
            <a:graphic>
              <a:graphicData uri="http://schemas.openxmlformats.org/drawingml/2006/picture">
                <pic:pic>
                  <pic:nvPicPr>
                    <pic:cNvPr id="2865" name="Image 2865"/>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Members</w:t>
      </w:r>
      <w:r>
        <w:rPr>
          <w:color w:val="231F20"/>
        </w:rPr>
        <w:t>, when the </w:t>
      </w:r>
      <w:r>
        <w:rPr>
          <w:color w:val="231F20"/>
        </w:rPr>
        <w:t>User Groups tab is selected, is a list of the groups the user belongs to or the user</w:t>
      </w:r>
      <w:r>
        <w:rPr>
          <w:color w:val="231F20"/>
          <w:spacing w:val="40"/>
        </w:rPr>
        <w:t> </w:t>
      </w:r>
      <w:r>
        <w:rPr>
          <w:color w:val="231F20"/>
        </w:rPr>
        <w:t>names in the group.</w:t>
      </w:r>
    </w:p>
    <w:p>
      <w:pPr>
        <w:pStyle w:val="BodyText"/>
        <w:spacing w:line="213" w:lineRule="auto" w:before="237"/>
        <w:ind w:left="2472" w:right="280"/>
      </w:pPr>
      <w:r>
        <w:rPr>
          <w:color w:val="231F20"/>
        </w:rPr>
        <w:t>The</w:t>
      </w:r>
      <w:r>
        <w:rPr>
          <w:color w:val="231F20"/>
          <w:spacing w:val="29"/>
        </w:rPr>
        <w:t> </w:t>
      </w:r>
      <w:r>
        <w:rPr>
          <w:color w:val="231F20"/>
        </w:rPr>
        <w:t>User Administration</w:t>
      </w:r>
      <w:r>
        <w:rPr>
          <w:color w:val="231F20"/>
          <w:spacing w:val="29"/>
        </w:rPr>
        <w:t> </w:t>
      </w:r>
      <w:r>
        <w:rPr>
          <w:color w:val="231F20"/>
        </w:rPr>
        <w:t>function</w:t>
      </w:r>
      <w:r>
        <w:rPr>
          <w:color w:val="231F20"/>
          <w:spacing w:val="29"/>
        </w:rPr>
        <w:t> </w:t>
      </w:r>
      <w:r>
        <w:rPr>
          <w:color w:val="231F20"/>
        </w:rPr>
        <w:t>enables</w:t>
      </w:r>
      <w:r>
        <w:rPr>
          <w:color w:val="231F20"/>
          <w:spacing w:val="29"/>
        </w:rPr>
        <w:t> </w:t>
      </w:r>
      <w:r>
        <w:rPr>
          <w:color w:val="231F20"/>
        </w:rPr>
        <w:t>you</w:t>
      </w:r>
      <w:r>
        <w:rPr>
          <w:color w:val="231F20"/>
          <w:spacing w:val="29"/>
        </w:rPr>
        <w:t> </w:t>
      </w:r>
      <w:r>
        <w:rPr>
          <w:color w:val="231F20"/>
        </w:rPr>
        <w:t>to</w:t>
      </w:r>
      <w:r>
        <w:rPr>
          <w:color w:val="231F20"/>
          <w:spacing w:val="29"/>
        </w:rPr>
        <w:t> </w:t>
      </w:r>
      <w:r>
        <w:rPr>
          <w:color w:val="231F20"/>
        </w:rPr>
        <w:t>maintain</w:t>
      </w:r>
      <w:r>
        <w:rPr>
          <w:color w:val="231F20"/>
          <w:spacing w:val="29"/>
        </w:rPr>
        <w:t> </w:t>
      </w:r>
      <w:r>
        <w:rPr>
          <w:color w:val="231F20"/>
        </w:rPr>
        <w:t>user</w:t>
      </w:r>
      <w:r>
        <w:rPr>
          <w:color w:val="231F20"/>
          <w:spacing w:val="29"/>
        </w:rPr>
        <w:t> </w:t>
      </w:r>
      <w:r>
        <w:rPr>
          <w:color w:val="231F20"/>
        </w:rPr>
        <w:t>IDs</w:t>
      </w:r>
      <w:r>
        <w:rPr>
          <w:color w:val="231F20"/>
          <w:spacing w:val="29"/>
        </w:rPr>
        <w:t> </w:t>
      </w:r>
      <w:r>
        <w:rPr>
          <w:color w:val="231F20"/>
        </w:rPr>
        <w:t>and</w:t>
      </w:r>
      <w:r>
        <w:rPr>
          <w:color w:val="231F20"/>
          <w:spacing w:val="29"/>
        </w:rPr>
        <w:t> </w:t>
      </w:r>
      <w:r>
        <w:rPr>
          <w:color w:val="231F20"/>
        </w:rPr>
        <w:t>user groups on the portal server, and provides varying degrees of access to the features and views of your monitored environment to accommodate any combination of </w:t>
      </w:r>
      <w:r>
        <w:rPr>
          <w:color w:val="231F20"/>
        </w:rPr>
        <w:t>job roles, such as </w:t>
      </w:r>
      <w:r>
        <w:rPr>
          <w:rFonts w:ascii="Book Antiqua"/>
          <w:i/>
          <w:color w:val="231F20"/>
        </w:rPr>
        <w:t>operators </w:t>
      </w:r>
      <w:r>
        <w:rPr>
          <w:color w:val="231F20"/>
        </w:rPr>
        <w:t>who respond to alerts and direct them to the appropriate person for handling and </w:t>
      </w:r>
      <w:r>
        <w:rPr>
          <w:rFonts w:ascii="Book Antiqua"/>
          <w:i/>
          <w:color w:val="231F20"/>
        </w:rPr>
        <w:t>administrators </w:t>
      </w:r>
      <w:r>
        <w:rPr>
          <w:color w:val="231F20"/>
        </w:rPr>
        <w:t>who plan, design, customize, and manage</w:t>
      </w:r>
      <w:r>
        <w:rPr>
          <w:color w:val="231F20"/>
          <w:spacing w:val="80"/>
          <w:w w:val="150"/>
        </w:rPr>
        <w:t> </w:t>
      </w:r>
      <w:r>
        <w:rPr>
          <w:color w:val="231F20"/>
        </w:rPr>
        <w:t>the monitoring environment.</w:t>
      </w:r>
    </w:p>
    <w:p>
      <w:pPr>
        <w:pStyle w:val="BodyText"/>
        <w:spacing w:line="213" w:lineRule="auto" w:before="236"/>
        <w:ind w:left="2472" w:right="379"/>
      </w:pPr>
      <w:r>
        <w:rPr>
          <w:color w:val="231F20"/>
        </w:rPr>
        <w:t>In some managed enterprises one person might assume all of these roles. In </w:t>
      </w:r>
      <w:r>
        <w:rPr>
          <w:color w:val="231F20"/>
        </w:rPr>
        <w:t>larger enterprises, the roles are often divided. You can choose to assign roles by</w:t>
      </w:r>
      <w:r>
        <w:rPr>
          <w:color w:val="231F20"/>
          <w:spacing w:val="80"/>
        </w:rPr>
        <w:t> </w:t>
      </w:r>
      <w:r>
        <w:rPr>
          <w:color w:val="231F20"/>
        </w:rPr>
        <w:t>individual user or by user type or both.</w:t>
      </w:r>
    </w:p>
    <w:p>
      <w:pPr>
        <w:pStyle w:val="BodyText"/>
        <w:spacing w:line="213" w:lineRule="auto" w:before="237"/>
        <w:ind w:left="2472" w:right="274"/>
      </w:pPr>
      <w:r>
        <w:rPr>
          <w:color w:val="231F20"/>
        </w:rPr>
        <w:t>Tivoli Enterprise Portal user IDs are also required for users who access </w:t>
      </w:r>
      <w:r>
        <w:rPr>
          <w:color w:val="231F20"/>
        </w:rPr>
        <w:t>monitoring dashboards in IBM Dashboard Application Services Hub. How you manage dashboard users depends on the type of authorization configured in the portal server and whether the dashboard users will also use the Tivoli Enterprise Portal client. There are two types of authorization that can be configured for controlling access to monitored resources in IBM Dashboard Application Services Hub:</w:t>
      </w:r>
    </w:p>
    <w:p>
      <w:pPr>
        <w:pStyle w:val="Heading6"/>
        <w:spacing w:before="115"/>
      </w:pPr>
      <w:r>
        <w:rPr>
          <w:color w:val="231F20"/>
        </w:rPr>
        <w:t>Role-based</w:t>
      </w:r>
      <w:r>
        <w:rPr>
          <w:color w:val="231F20"/>
          <w:spacing w:val="4"/>
        </w:rPr>
        <w:t> </w:t>
      </w:r>
      <w:r>
        <w:rPr>
          <w:color w:val="231F20"/>
        </w:rPr>
        <w:t>authorization</w:t>
      </w:r>
      <w:r>
        <w:rPr>
          <w:color w:val="231F20"/>
          <w:spacing w:val="5"/>
        </w:rPr>
        <w:t> </w:t>
      </w:r>
      <w:r>
        <w:rPr>
          <w:color w:val="231F20"/>
          <w:spacing w:val="-2"/>
        </w:rPr>
        <w:t>policies</w:t>
      </w:r>
    </w:p>
    <w:p>
      <w:pPr>
        <w:pStyle w:val="BodyText"/>
        <w:spacing w:line="213" w:lineRule="auto" w:before="11"/>
        <w:ind w:left="3190"/>
      </w:pPr>
      <w:r>
        <w:rPr>
          <w:color w:val="231F20"/>
        </w:rPr>
        <w:t>These policies are created using the tivcmd Command-Line Interface for Authorization Policy. They provide more granular authorization than </w:t>
      </w:r>
      <w:r>
        <w:rPr>
          <w:color w:val="231F20"/>
        </w:rPr>
        <w:t>Tivoli Enterprise Portal monitoring application assignments. Using role-based authorization policies, you can assign a user permission to view specific managed system groups or managed systems. When role-based</w:t>
      </w:r>
    </w:p>
    <w:p>
      <w:pPr>
        <w:spacing w:after="0" w:line="213" w:lineRule="auto"/>
        <w:sectPr>
          <w:footerReference w:type="default" r:id="rId450"/>
          <w:footerReference w:type="even" r:id="rId451"/>
          <w:pgSz w:w="12240" w:h="15840"/>
          <w:pgMar w:header="0" w:footer="736" w:top="1300" w:bottom="920" w:left="1000" w:right="1060"/>
          <w:pgNumType w:start="363"/>
        </w:sectPr>
      </w:pPr>
    </w:p>
    <w:p>
      <w:pPr>
        <w:pStyle w:val="BodyText"/>
        <w:spacing w:line="213" w:lineRule="auto" w:before="85"/>
        <w:ind w:left="2951" w:right="493"/>
      </w:pPr>
      <w:bookmarkStart w:name="_bookmark273" w:id="559"/>
      <w:bookmarkEnd w:id="559"/>
      <w:r>
        <w:rPr/>
      </w:r>
      <w:r>
        <w:rPr>
          <w:color w:val="231F20"/>
        </w:rPr>
        <w:t>authorization policies are enabled in the portal server, dashboard users</w:t>
      </w:r>
      <w:r>
        <w:rPr>
          <w:color w:val="231F20"/>
          <w:spacing w:val="80"/>
          <w:w w:val="150"/>
        </w:rPr>
        <w:t> </w:t>
      </w:r>
      <w:r>
        <w:rPr>
          <w:color w:val="231F20"/>
        </w:rPr>
        <w:t>need a Tivoli Enterprise Portal user ID but do not require any Tivoli Enterprise Portal permissions or monitoring application assignments </w:t>
      </w:r>
      <w:r>
        <w:rPr>
          <w:color w:val="231F20"/>
        </w:rPr>
        <w:t>unless they are also Tivoli Enterprise Portal client users. In this case, role-based authorization policies control what resources they can access in the monitoring dashboards, and Tivoli Enterprise Portal permissions and monitoring application assignments control what they can access in the Tivoli Enterprise Portal client.</w:t>
      </w:r>
    </w:p>
    <w:p>
      <w:pPr>
        <w:pStyle w:val="Heading6"/>
        <w:spacing w:before="113"/>
        <w:ind w:left="2232"/>
      </w:pPr>
      <w:r>
        <w:rPr>
          <w:color w:val="231F20"/>
        </w:rPr>
        <w:t>Tivoli</w:t>
      </w:r>
      <w:r>
        <w:rPr>
          <w:color w:val="231F20"/>
          <w:spacing w:val="5"/>
        </w:rPr>
        <w:t> </w:t>
      </w:r>
      <w:r>
        <w:rPr>
          <w:color w:val="231F20"/>
        </w:rPr>
        <w:t>Enterprise</w:t>
      </w:r>
      <w:r>
        <w:rPr>
          <w:color w:val="231F20"/>
          <w:spacing w:val="6"/>
        </w:rPr>
        <w:t> </w:t>
      </w:r>
      <w:r>
        <w:rPr>
          <w:color w:val="231F20"/>
        </w:rPr>
        <w:t>Portal</w:t>
      </w:r>
      <w:r>
        <w:rPr>
          <w:color w:val="231F20"/>
          <w:spacing w:val="5"/>
        </w:rPr>
        <w:t> </w:t>
      </w:r>
      <w:r>
        <w:rPr>
          <w:color w:val="231F20"/>
          <w:spacing w:val="-2"/>
        </w:rPr>
        <w:t>authorization</w:t>
      </w:r>
    </w:p>
    <w:p>
      <w:pPr>
        <w:pStyle w:val="BodyText"/>
        <w:spacing w:line="213" w:lineRule="auto" w:before="11"/>
        <w:ind w:left="2951" w:right="603"/>
      </w:pPr>
      <w:r>
        <w:rPr>
          <w:color w:val="231F20"/>
        </w:rPr>
        <w:t>This is the default authorization mechanism for dashboard users. A dashboard user must have a Tivoli Enterprise Portal user ID and be assigned the permissions and monitoring applications to control their</w:t>
      </w:r>
      <w:r>
        <w:rPr>
          <w:color w:val="231F20"/>
          <w:spacing w:val="40"/>
        </w:rPr>
        <w:t> </w:t>
      </w:r>
      <w:r>
        <w:rPr>
          <w:color w:val="231F20"/>
        </w:rPr>
        <w:t>access to resources in monitoring dashboards. If a dashboard user is also </w:t>
      </w:r>
      <w:r>
        <w:rPr>
          <w:color w:val="231F20"/>
        </w:rPr>
        <w:t>a Tivoli Enterprise Portal client user then they are assigned a single set of permissions that control what monitored resources they can access in both </w:t>
      </w:r>
      <w:r>
        <w:rPr>
          <w:color w:val="231F20"/>
          <w:spacing w:val="-2"/>
        </w:rPr>
        <w:t>applications.</w:t>
      </w:r>
    </w:p>
    <w:p>
      <w:pPr>
        <w:pStyle w:val="BodyText"/>
        <w:spacing w:line="213" w:lineRule="auto" w:before="235"/>
        <w:ind w:left="2232" w:right="545"/>
      </w:pPr>
      <w:r>
        <w:rPr>
          <w:color w:val="231F20"/>
        </w:rPr>
        <w:t>Configuring the portal server and Dashboard Application Services Hub to share </w:t>
      </w:r>
      <w:r>
        <w:rPr>
          <w:color w:val="231F20"/>
        </w:rPr>
        <w:t>an LDAP user registry is the best practice approach for having a federated set of dashboard users and Tivoli Enterprise Portal client users. In this scenario, the dashboard users login to the dashboard hub with their LDAP username and you must</w:t>
      </w:r>
      <w:r>
        <w:rPr>
          <w:color w:val="231F20"/>
          <w:spacing w:val="27"/>
        </w:rPr>
        <w:t> </w:t>
      </w:r>
      <w:r>
        <w:rPr>
          <w:color w:val="231F20"/>
        </w:rPr>
        <w:t>map</w:t>
      </w:r>
      <w:r>
        <w:rPr>
          <w:color w:val="231F20"/>
          <w:spacing w:val="27"/>
        </w:rPr>
        <w:t> </w:t>
      </w:r>
      <w:r>
        <w:rPr>
          <w:color w:val="231F20"/>
        </w:rPr>
        <w:t>their</w:t>
      </w:r>
      <w:r>
        <w:rPr>
          <w:color w:val="231F20"/>
          <w:spacing w:val="27"/>
        </w:rPr>
        <w:t> </w:t>
      </w:r>
      <w:r>
        <w:rPr>
          <w:color w:val="231F20"/>
        </w:rPr>
        <w:t>LDAP distinguished</w:t>
      </w:r>
      <w:r>
        <w:rPr>
          <w:color w:val="231F20"/>
          <w:spacing w:val="27"/>
        </w:rPr>
        <w:t> </w:t>
      </w:r>
      <w:r>
        <w:rPr>
          <w:color w:val="231F20"/>
        </w:rPr>
        <w:t>name</w:t>
      </w:r>
      <w:r>
        <w:rPr>
          <w:color w:val="231F20"/>
          <w:spacing w:val="27"/>
        </w:rPr>
        <w:t> </w:t>
      </w:r>
      <w:r>
        <w:rPr>
          <w:color w:val="231F20"/>
        </w:rPr>
        <w:t>to</w:t>
      </w:r>
      <w:r>
        <w:rPr>
          <w:color w:val="231F20"/>
          <w:spacing w:val="27"/>
        </w:rPr>
        <w:t> </w:t>
      </w:r>
      <w:r>
        <w:rPr>
          <w:color w:val="231F20"/>
        </w:rPr>
        <w:t>a</w:t>
      </w:r>
      <w:r>
        <w:rPr>
          <w:color w:val="231F20"/>
          <w:spacing w:val="27"/>
        </w:rPr>
        <w:t> </w:t>
      </w:r>
      <w:r>
        <w:rPr>
          <w:color w:val="231F20"/>
        </w:rPr>
        <w:t>Tivoli</w:t>
      </w:r>
      <w:r>
        <w:rPr>
          <w:color w:val="231F20"/>
          <w:spacing w:val="27"/>
        </w:rPr>
        <w:t> </w:t>
      </w:r>
      <w:r>
        <w:rPr>
          <w:color w:val="231F20"/>
        </w:rPr>
        <w:t>Enterprise</w:t>
      </w:r>
      <w:r>
        <w:rPr>
          <w:color w:val="231F20"/>
          <w:spacing w:val="27"/>
        </w:rPr>
        <w:t> </w:t>
      </w:r>
      <w:r>
        <w:rPr>
          <w:color w:val="231F20"/>
        </w:rPr>
        <w:t>Portal</w:t>
      </w:r>
      <w:r>
        <w:rPr>
          <w:color w:val="231F20"/>
          <w:spacing w:val="27"/>
        </w:rPr>
        <w:t> </w:t>
      </w:r>
      <w:r>
        <w:rPr>
          <w:color w:val="231F20"/>
        </w:rPr>
        <w:t>user</w:t>
      </w:r>
      <w:r>
        <w:rPr>
          <w:color w:val="231F20"/>
          <w:spacing w:val="27"/>
        </w:rPr>
        <w:t> </w:t>
      </w:r>
      <w:r>
        <w:rPr>
          <w:color w:val="231F20"/>
        </w:rPr>
        <w:t>ID with the required permissions.</w:t>
      </w:r>
    </w:p>
    <w:p>
      <w:pPr>
        <w:pStyle w:val="BodyText"/>
        <w:spacing w:line="213" w:lineRule="auto" w:before="235"/>
        <w:ind w:left="2232" w:right="545"/>
      </w:pPr>
      <w:r>
        <w:rPr>
          <w:color w:val="231F20"/>
        </w:rPr>
        <w:t>Tivoli Enterprise Portal user IDs are automatically created with no permissions if a dashboard user requests monitoring data and does not have a user ID mapped to their</w:t>
      </w:r>
      <w:r>
        <w:rPr>
          <w:color w:val="231F20"/>
          <w:spacing w:val="29"/>
        </w:rPr>
        <w:t> </w:t>
      </w:r>
      <w:r>
        <w:rPr>
          <w:color w:val="231F20"/>
        </w:rPr>
        <w:t>distinguished</w:t>
      </w:r>
      <w:r>
        <w:rPr>
          <w:color w:val="231F20"/>
          <w:spacing w:val="29"/>
        </w:rPr>
        <w:t> </w:t>
      </w:r>
      <w:r>
        <w:rPr>
          <w:color w:val="231F20"/>
        </w:rPr>
        <w:t>name.</w:t>
      </w:r>
      <w:r>
        <w:rPr>
          <w:color w:val="231F20"/>
          <w:spacing w:val="29"/>
        </w:rPr>
        <w:t> </w:t>
      </w:r>
      <w:r>
        <w:rPr>
          <w:color w:val="231F20"/>
        </w:rPr>
        <w:t>See</w:t>
      </w:r>
      <w:r>
        <w:rPr>
          <w:color w:val="231F20"/>
          <w:spacing w:val="29"/>
        </w:rPr>
        <w:t> </w:t>
      </w:r>
      <w:hyperlink w:history="true" w:anchor="_bookmark282">
        <w:r>
          <w:rPr>
            <w:color w:val="231F20"/>
          </w:rPr>
          <w:t>“Notes</w:t>
        </w:r>
        <w:r>
          <w:rPr>
            <w:color w:val="231F20"/>
            <w:spacing w:val="29"/>
          </w:rPr>
          <w:t> </w:t>
        </w:r>
        <w:r>
          <w:rPr>
            <w:color w:val="231F20"/>
          </w:rPr>
          <w:t>on</w:t>
        </w:r>
        <w:r>
          <w:rPr>
            <w:color w:val="231F20"/>
            <w:spacing w:val="29"/>
          </w:rPr>
          <w:t> </w:t>
        </w:r>
        <w:r>
          <w:rPr>
            <w:color w:val="231F20"/>
          </w:rPr>
          <w:t>user</w:t>
        </w:r>
        <w:r>
          <w:rPr>
            <w:color w:val="231F20"/>
            <w:spacing w:val="29"/>
          </w:rPr>
          <w:t> </w:t>
        </w:r>
        <w:r>
          <w:rPr>
            <w:color w:val="231F20"/>
          </w:rPr>
          <w:t>administration”</w:t>
        </w:r>
        <w:r>
          <w:rPr>
            <w:color w:val="231F20"/>
            <w:spacing w:val="29"/>
          </w:rPr>
          <w:t> </w:t>
        </w:r>
        <w:r>
          <w:rPr>
            <w:color w:val="231F20"/>
          </w:rPr>
          <w:t>on</w:t>
        </w:r>
        <w:r>
          <w:rPr>
            <w:color w:val="231F20"/>
            <w:spacing w:val="29"/>
          </w:rPr>
          <w:t> </w:t>
        </w:r>
        <w:r>
          <w:rPr>
            <w:color w:val="231F20"/>
          </w:rPr>
          <w:t>page</w:t>
        </w:r>
        <w:r>
          <w:rPr>
            <w:color w:val="231F20"/>
            <w:spacing w:val="29"/>
          </w:rPr>
          <w:t> </w:t>
        </w:r>
        <w:r>
          <w:rPr>
            <w:color w:val="231F20"/>
          </w:rPr>
          <w:t>375</w:t>
        </w:r>
      </w:hyperlink>
      <w:r>
        <w:rPr>
          <w:color w:val="231F20"/>
          <w:spacing w:val="29"/>
        </w:rPr>
        <w:t> </w:t>
      </w:r>
      <w:r>
        <w:rPr>
          <w:color w:val="231F20"/>
        </w:rPr>
        <w:t>for more details.</w:t>
      </w:r>
    </w:p>
    <w:p>
      <w:pPr>
        <w:pStyle w:val="BodyText"/>
        <w:spacing w:before="4"/>
        <w:rPr>
          <w:sz w:val="16"/>
        </w:rPr>
      </w:pPr>
      <w:r>
        <w:rPr/>
        <mc:AlternateContent>
          <mc:Choice Requires="wps">
            <w:drawing>
              <wp:anchor distT="0" distB="0" distL="0" distR="0" allowOverlap="1" layoutInCell="1" locked="0" behindDoc="1" simplePos="0" relativeHeight="487737856">
                <wp:simplePos x="0" y="0"/>
                <wp:positionH relativeFrom="page">
                  <wp:posOffset>760323</wp:posOffset>
                </wp:positionH>
                <wp:positionV relativeFrom="paragraph">
                  <wp:posOffset>155343</wp:posOffset>
                </wp:positionV>
                <wp:extent cx="6082665" cy="1270"/>
                <wp:effectExtent l="0" t="0" r="0" b="0"/>
                <wp:wrapTopAndBottom/>
                <wp:docPr id="2866" name="Graphic 2866"/>
                <wp:cNvGraphicFramePr>
                  <a:graphicFrameLocks/>
                </wp:cNvGraphicFramePr>
                <a:graphic>
                  <a:graphicData uri="http://schemas.microsoft.com/office/word/2010/wordprocessingShape">
                    <wps:wsp>
                      <wps:cNvPr id="2866" name="Graphic 286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31783pt;width:478.95pt;height:.1pt;mso-position-horizontal-relative:page;mso-position-vertical-relative:paragraph;z-index:-15578624;mso-wrap-distance-left:0;mso-wrap-distance-right:0" id="docshape236"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Managing user IDs" w:id="560"/>
      <w:bookmarkEnd w:id="560"/>
      <w:r>
        <w:rPr>
          <w:b w:val="0"/>
        </w:rPr>
      </w:r>
      <w:r>
        <w:rPr>
          <w:color w:val="231F20"/>
        </w:rPr>
        <w:t>Managing</w:t>
      </w:r>
      <w:r>
        <w:rPr>
          <w:color w:val="231F20"/>
          <w:spacing w:val="5"/>
        </w:rPr>
        <w:t> </w:t>
      </w:r>
      <w:r>
        <w:rPr>
          <w:color w:val="231F20"/>
        </w:rPr>
        <w:t>user</w:t>
      </w:r>
      <w:r>
        <w:rPr>
          <w:color w:val="231F20"/>
          <w:spacing w:val="6"/>
        </w:rPr>
        <w:t> </w:t>
      </w:r>
      <w:r>
        <w:rPr>
          <w:color w:val="231F20"/>
          <w:spacing w:val="-5"/>
        </w:rPr>
        <w:t>IDs</w:t>
      </w:r>
    </w:p>
    <w:p>
      <w:pPr>
        <w:pStyle w:val="BodyText"/>
        <w:spacing w:line="213" w:lineRule="auto" w:before="138"/>
        <w:ind w:left="2232" w:right="545"/>
      </w:pPr>
      <w:r>
        <w:rPr>
          <w:color w:val="231F20"/>
        </w:rPr>
        <w:t>Managing user IDs begins with planning the authorities to grant to users </w:t>
      </w:r>
      <w:r>
        <w:rPr>
          <w:color w:val="231F20"/>
        </w:rPr>
        <w:t>and whether they will belong to user groups.</w:t>
      </w:r>
    </w:p>
    <w:p>
      <w:pPr>
        <w:pStyle w:val="BodyText"/>
        <w:spacing w:line="213" w:lineRule="auto" w:before="239"/>
        <w:ind w:left="2232" w:right="385"/>
      </w:pPr>
      <w:r>
        <w:rPr>
          <w:color w:val="231F20"/>
        </w:rPr>
        <w:t>The Administer Users window provides the tools for creating and maintaining </w:t>
      </w:r>
      <w:r>
        <w:rPr>
          <w:color w:val="231F20"/>
        </w:rPr>
        <w:t>user IDs, and adjusting permissions. This is also where user IDs are mapped to their unique</w:t>
      </w:r>
      <w:r>
        <w:rPr>
          <w:color w:val="231F20"/>
          <w:spacing w:val="28"/>
        </w:rPr>
        <w:t> </w:t>
      </w:r>
      <w:r>
        <w:rPr>
          <w:color w:val="231F20"/>
        </w:rPr>
        <w:t>identifier</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LDAP</w:t>
      </w:r>
      <w:r>
        <w:rPr>
          <w:color w:val="231F20"/>
          <w:spacing w:val="23"/>
        </w:rPr>
        <w:t> </w:t>
      </w:r>
      <w:r>
        <w:rPr>
          <w:color w:val="231F20"/>
        </w:rPr>
        <w:t>user</w:t>
      </w:r>
      <w:r>
        <w:rPr>
          <w:color w:val="231F20"/>
          <w:spacing w:val="28"/>
        </w:rPr>
        <w:t> </w:t>
      </w:r>
      <w:r>
        <w:rPr>
          <w:color w:val="231F20"/>
        </w:rPr>
        <w:t>registry</w:t>
      </w:r>
      <w:r>
        <w:rPr>
          <w:color w:val="231F20"/>
          <w:spacing w:val="28"/>
        </w:rPr>
        <w:t> </w:t>
      </w:r>
      <w:r>
        <w:rPr>
          <w:color w:val="231F20"/>
        </w:rPr>
        <w:t>if</w:t>
      </w:r>
      <w:r>
        <w:rPr>
          <w:color w:val="231F20"/>
          <w:spacing w:val="28"/>
        </w:rPr>
        <w:t> </w:t>
      </w:r>
      <w:r>
        <w:rPr>
          <w:color w:val="231F20"/>
        </w:rPr>
        <w:t>user</w:t>
      </w:r>
      <w:r>
        <w:rPr>
          <w:color w:val="231F20"/>
          <w:spacing w:val="28"/>
        </w:rPr>
        <w:t> </w:t>
      </w:r>
      <w:r>
        <w:rPr>
          <w:color w:val="231F20"/>
        </w:rPr>
        <w:t>authentication</w:t>
      </w:r>
      <w:r>
        <w:rPr>
          <w:color w:val="231F20"/>
          <w:spacing w:val="28"/>
        </w:rPr>
        <w:t> </w:t>
      </w:r>
      <w:r>
        <w:rPr>
          <w:color w:val="231F20"/>
        </w:rPr>
        <w:t>through</w:t>
      </w:r>
      <w:r>
        <w:rPr>
          <w:color w:val="231F20"/>
          <w:spacing w:val="28"/>
        </w:rPr>
        <w:t> </w:t>
      </w:r>
      <w:r>
        <w:rPr>
          <w:color w:val="231F20"/>
        </w:rPr>
        <w:t>the </w:t>
      </w:r>
      <w:bookmarkStart w:name="Viewing and editing a user ID" w:id="561"/>
      <w:bookmarkEnd w:id="561"/>
      <w:r>
        <w:rPr>
          <w:color w:val="231F20"/>
        </w:rPr>
        <w:t>portal</w:t>
      </w:r>
      <w:r>
        <w:rPr>
          <w:color w:val="231F20"/>
        </w:rPr>
        <w:t> server has been configured.</w:t>
      </w:r>
    </w:p>
    <w:p>
      <w:pPr>
        <w:pStyle w:val="Heading3"/>
        <w:spacing w:before="215"/>
        <w:ind w:left="1334"/>
      </w:pPr>
      <w:r>
        <w:rPr>
          <w:color w:val="231F20"/>
        </w:rPr>
        <w:t>Viewing</w:t>
      </w:r>
      <w:r>
        <w:rPr>
          <w:color w:val="231F20"/>
          <w:spacing w:val="7"/>
        </w:rPr>
        <w:t> </w:t>
      </w:r>
      <w:r>
        <w:rPr>
          <w:color w:val="231F20"/>
        </w:rPr>
        <w:t>and</w:t>
      </w:r>
      <w:r>
        <w:rPr>
          <w:color w:val="231F20"/>
          <w:spacing w:val="8"/>
        </w:rPr>
        <w:t> </w:t>
      </w:r>
      <w:r>
        <w:rPr>
          <w:color w:val="231F20"/>
        </w:rPr>
        <w:t>editing</w:t>
      </w:r>
      <w:r>
        <w:rPr>
          <w:color w:val="231F20"/>
          <w:spacing w:val="7"/>
        </w:rPr>
        <w:t> </w:t>
      </w:r>
      <w:r>
        <w:rPr>
          <w:color w:val="231F20"/>
        </w:rPr>
        <w:t>a</w:t>
      </w:r>
      <w:r>
        <w:rPr>
          <w:color w:val="231F20"/>
          <w:spacing w:val="8"/>
        </w:rPr>
        <w:t> </w:t>
      </w:r>
      <w:r>
        <w:rPr>
          <w:color w:val="231F20"/>
        </w:rPr>
        <w:t>user</w:t>
      </w:r>
      <w:r>
        <w:rPr>
          <w:color w:val="231F20"/>
          <w:spacing w:val="7"/>
        </w:rPr>
        <w:t> </w:t>
      </w:r>
      <w:r>
        <w:rPr>
          <w:color w:val="231F20"/>
          <w:spacing w:val="-5"/>
        </w:rPr>
        <w:t>ID</w:t>
      </w:r>
    </w:p>
    <w:p>
      <w:pPr>
        <w:pStyle w:val="BodyText"/>
        <w:spacing w:line="213" w:lineRule="auto" w:before="59"/>
        <w:ind w:left="2232" w:right="493" w:hanging="1"/>
      </w:pPr>
      <w:r>
        <w:rPr>
          <w:color w:val="231F20"/>
        </w:rPr>
        <w:t>After a user has been added to the </w:t>
      </w:r>
      <w:r>
        <w:rPr>
          <w:rFonts w:ascii="Book Antiqua"/>
          <w:b/>
          <w:color w:val="231F20"/>
        </w:rPr>
        <w:t>Users </w:t>
      </w:r>
      <w:r>
        <w:rPr>
          <w:color w:val="231F20"/>
        </w:rPr>
        <w:t>list in the Administer Users window, you can check and edit the profile settings at any time.</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To use this function, your user ID must have Modify permission for </w:t>
      </w:r>
      <w:r>
        <w:rPr>
          <w:color w:val="231F20"/>
        </w:rPr>
        <w:t>User </w:t>
      </w:r>
      <w:r>
        <w:rPr>
          <w:color w:val="231F20"/>
          <w:spacing w:val="-2"/>
        </w:rPr>
        <w:t>Administration.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232"/>
      </w:pPr>
      <w:r>
        <w:rPr>
          <w:color w:val="231F20"/>
        </w:rPr>
        <w:t>Use</w:t>
      </w:r>
      <w:r>
        <w:rPr>
          <w:color w:val="231F20"/>
          <w:spacing w:val="12"/>
        </w:rPr>
        <w:t> </w:t>
      </w:r>
      <w:r>
        <w:rPr>
          <w:color w:val="231F20"/>
        </w:rPr>
        <w:t>the</w:t>
      </w:r>
      <w:r>
        <w:rPr>
          <w:color w:val="231F20"/>
          <w:spacing w:val="12"/>
        </w:rPr>
        <w:t> </w:t>
      </w:r>
      <w:r>
        <w:rPr>
          <w:color w:val="231F20"/>
        </w:rPr>
        <w:t>following</w:t>
      </w:r>
      <w:r>
        <w:rPr>
          <w:color w:val="231F20"/>
          <w:spacing w:val="13"/>
        </w:rPr>
        <w:t> </w:t>
      </w:r>
      <w:r>
        <w:rPr>
          <w:color w:val="231F20"/>
        </w:rPr>
        <w:t>steps</w:t>
      </w:r>
      <w:r>
        <w:rPr>
          <w:color w:val="231F20"/>
          <w:spacing w:val="12"/>
        </w:rPr>
        <w:t> </w:t>
      </w:r>
      <w:r>
        <w:rPr>
          <w:color w:val="231F20"/>
        </w:rPr>
        <w:t>to</w:t>
      </w:r>
      <w:r>
        <w:rPr>
          <w:color w:val="231F20"/>
          <w:spacing w:val="12"/>
        </w:rPr>
        <w:t> </w:t>
      </w:r>
      <w:r>
        <w:rPr>
          <w:color w:val="231F20"/>
        </w:rPr>
        <w:t>edit</w:t>
      </w:r>
      <w:r>
        <w:rPr>
          <w:color w:val="231F20"/>
          <w:spacing w:val="13"/>
        </w:rPr>
        <w:t> </w:t>
      </w:r>
      <w:r>
        <w:rPr>
          <w:color w:val="231F20"/>
        </w:rPr>
        <w:t>a</w:t>
      </w:r>
      <w:r>
        <w:rPr>
          <w:color w:val="231F20"/>
          <w:spacing w:val="12"/>
        </w:rPr>
        <w:t> </w:t>
      </w:r>
      <w:r>
        <w:rPr>
          <w:color w:val="231F20"/>
        </w:rPr>
        <w:t>user</w:t>
      </w:r>
      <w:r>
        <w:rPr>
          <w:color w:val="231F20"/>
          <w:spacing w:val="12"/>
        </w:rPr>
        <w:t> </w:t>
      </w:r>
      <w:r>
        <w:rPr>
          <w:color w:val="231F20"/>
          <w:spacing w:val="-5"/>
        </w:rPr>
        <w:t>ID:</w:t>
      </w:r>
    </w:p>
    <w:p>
      <w:pPr>
        <w:spacing w:after="0"/>
        <w:sectPr>
          <w:pgSz w:w="12240" w:h="15840"/>
          <w:pgMar w:header="0" w:footer="736" w:top="1180" w:bottom="920" w:left="1000" w:right="1060"/>
        </w:sectPr>
      </w:pPr>
    </w:p>
    <w:p>
      <w:pPr>
        <w:pStyle w:val="Heading4"/>
        <w:spacing w:before="86"/>
        <w:ind w:left="2472"/>
      </w:pPr>
      <w:bookmarkStart w:name="_bookmark274" w:id="562"/>
      <w:bookmarkEnd w:id="562"/>
      <w:r>
        <w:rPr>
          <w:b w:val="0"/>
        </w:rPr>
      </w:r>
      <w:r>
        <w:rPr>
          <w:color w:val="231F20"/>
          <w:spacing w:val="-2"/>
        </w:rPr>
        <w:t>Procedure</w:t>
      </w:r>
    </w:p>
    <w:p>
      <w:pPr>
        <w:pStyle w:val="ListParagraph"/>
        <w:numPr>
          <w:ilvl w:val="0"/>
          <w:numId w:val="156"/>
        </w:numPr>
        <w:tabs>
          <w:tab w:pos="2787" w:val="left" w:leader="none"/>
        </w:tabs>
        <w:spacing w:line="240" w:lineRule="auto" w:before="39" w:after="0"/>
        <w:ind w:left="2787" w:right="0" w:hanging="315"/>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101600"/>
            <wp:effectExtent l="0" t="0" r="0" b="0"/>
            <wp:docPr id="2869" name="Image 2869"/>
            <wp:cNvGraphicFramePr>
              <a:graphicFrameLocks/>
            </wp:cNvGraphicFramePr>
            <a:graphic>
              <a:graphicData uri="http://schemas.openxmlformats.org/drawingml/2006/picture">
                <pic:pic>
                  <pic:nvPicPr>
                    <pic:cNvPr id="2869" name="Image 2869"/>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pacing w:val="-2"/>
          <w:sz w:val="20"/>
        </w:rPr>
        <w:t>Users</w:t>
      </w:r>
      <w:r>
        <w:rPr>
          <w:color w:val="231F20"/>
          <w:spacing w:val="-2"/>
          <w:sz w:val="20"/>
        </w:rPr>
        <w:t>.</w:t>
      </w:r>
    </w:p>
    <w:p>
      <w:pPr>
        <w:pStyle w:val="ListParagraph"/>
        <w:numPr>
          <w:ilvl w:val="0"/>
          <w:numId w:val="156"/>
        </w:numPr>
        <w:tabs>
          <w:tab w:pos="2787" w:val="left" w:leader="none"/>
        </w:tabs>
        <w:spacing w:line="240" w:lineRule="auto" w:before="29" w:after="0"/>
        <w:ind w:left="2787" w:right="0" w:hanging="315"/>
        <w:jc w:val="left"/>
        <w:rPr>
          <w:sz w:val="20"/>
        </w:rPr>
      </w:pPr>
      <w:r>
        <w:rPr>
          <w:color w:val="231F20"/>
          <w:sz w:val="20"/>
        </w:rPr>
        <w:t>Do</w:t>
      </w:r>
      <w:r>
        <w:rPr>
          <w:color w:val="231F20"/>
          <w:spacing w:val="12"/>
          <w:sz w:val="20"/>
        </w:rPr>
        <w:t> </w:t>
      </w:r>
      <w:r>
        <w:rPr>
          <w:color w:val="231F20"/>
          <w:sz w:val="20"/>
        </w:rPr>
        <w:t>one</w:t>
      </w:r>
      <w:r>
        <w:rPr>
          <w:color w:val="231F20"/>
          <w:spacing w:val="12"/>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following</w:t>
      </w:r>
      <w:r>
        <w:rPr>
          <w:color w:val="231F20"/>
          <w:spacing w:val="13"/>
          <w:sz w:val="20"/>
        </w:rPr>
        <w:t> </w:t>
      </w:r>
      <w:r>
        <w:rPr>
          <w:color w:val="231F20"/>
          <w:sz w:val="20"/>
        </w:rPr>
        <w:t>in</w:t>
      </w:r>
      <w:r>
        <w:rPr>
          <w:color w:val="231F20"/>
          <w:spacing w:val="12"/>
          <w:sz w:val="20"/>
        </w:rPr>
        <w:t> </w:t>
      </w:r>
      <w:r>
        <w:rPr>
          <w:color w:val="231F20"/>
          <w:sz w:val="20"/>
        </w:rPr>
        <w:t>the</w:t>
      </w:r>
      <w:r>
        <w:rPr>
          <w:color w:val="231F20"/>
          <w:spacing w:val="13"/>
          <w:sz w:val="20"/>
        </w:rPr>
        <w:t> </w:t>
      </w:r>
      <w:r>
        <w:rPr>
          <w:rFonts w:ascii="Book Antiqua"/>
          <w:b/>
          <w:color w:val="231F20"/>
          <w:sz w:val="20"/>
        </w:rPr>
        <w:t>Users</w:t>
      </w:r>
      <w:r>
        <w:rPr>
          <w:rFonts w:ascii="Book Antiqua"/>
          <w:b/>
          <w:color w:val="231F20"/>
          <w:spacing w:val="12"/>
          <w:sz w:val="20"/>
        </w:rPr>
        <w:t> </w:t>
      </w:r>
      <w:r>
        <w:rPr>
          <w:color w:val="231F20"/>
          <w:spacing w:val="-2"/>
          <w:sz w:val="20"/>
        </w:rPr>
        <w:t>list:</w:t>
      </w:r>
    </w:p>
    <w:p>
      <w:pPr>
        <w:spacing w:before="30"/>
        <w:ind w:left="2788" w:right="0" w:firstLine="0"/>
        <w:jc w:val="left"/>
        <w:rPr>
          <w:sz w:val="20"/>
        </w:rPr>
      </w:pPr>
      <w:r>
        <w:rPr>
          <w:rFonts w:ascii="Futura MdCn BT"/>
          <w:color w:val="231F20"/>
          <w:sz w:val="20"/>
        </w:rPr>
        <w:t>v</w:t>
      </w:r>
      <w:r>
        <w:rPr>
          <w:rFonts w:ascii="Futura MdCn BT"/>
          <w:color w:val="231F20"/>
          <w:spacing w:val="31"/>
          <w:sz w:val="20"/>
        </w:rPr>
        <w:t>  </w:t>
      </w:r>
      <w:r>
        <w:rPr>
          <w:color w:val="231F20"/>
          <w:sz w:val="20"/>
        </w:rPr>
        <w:t>Click</w:t>
      </w:r>
      <w:r>
        <w:rPr>
          <w:color w:val="231F20"/>
          <w:spacing w:val="13"/>
          <w:sz w:val="20"/>
        </w:rPr>
        <w:t> </w:t>
      </w:r>
      <w:r>
        <w:rPr>
          <w:color w:val="231F20"/>
          <w:sz w:val="20"/>
        </w:rPr>
        <w:t>inside</w:t>
      </w:r>
      <w:r>
        <w:rPr>
          <w:color w:val="231F20"/>
          <w:spacing w:val="13"/>
          <w:sz w:val="20"/>
        </w:rPr>
        <w:t> </w:t>
      </w:r>
      <w:r>
        <w:rPr>
          <w:color w:val="231F20"/>
          <w:sz w:val="20"/>
        </w:rPr>
        <w:t>the</w:t>
      </w:r>
      <w:r>
        <w:rPr>
          <w:color w:val="231F20"/>
          <w:spacing w:val="12"/>
          <w:sz w:val="20"/>
        </w:rPr>
        <w:t> </w:t>
      </w:r>
      <w:r>
        <w:rPr>
          <w:rFonts w:ascii="Book Antiqua"/>
          <w:b/>
          <w:color w:val="231F20"/>
          <w:sz w:val="20"/>
        </w:rPr>
        <w:t>Name</w:t>
      </w:r>
      <w:r>
        <w:rPr>
          <w:rFonts w:ascii="Book Antiqua"/>
          <w:b/>
          <w:color w:val="231F20"/>
          <w:spacing w:val="13"/>
          <w:sz w:val="20"/>
        </w:rPr>
        <w:t> </w:t>
      </w:r>
      <w:r>
        <w:rPr>
          <w:color w:val="231F20"/>
          <w:sz w:val="20"/>
        </w:rPr>
        <w:t>or</w:t>
      </w:r>
      <w:r>
        <w:rPr>
          <w:color w:val="231F20"/>
          <w:spacing w:val="12"/>
          <w:sz w:val="20"/>
        </w:rPr>
        <w:t> </w:t>
      </w:r>
      <w:r>
        <w:rPr>
          <w:rFonts w:ascii="Book Antiqua"/>
          <w:b/>
          <w:color w:val="231F20"/>
          <w:sz w:val="20"/>
        </w:rPr>
        <w:t>Description</w:t>
      </w:r>
      <w:r>
        <w:rPr>
          <w:rFonts w:ascii="Book Antiqua"/>
          <w:b/>
          <w:color w:val="231F20"/>
          <w:spacing w:val="13"/>
          <w:sz w:val="20"/>
        </w:rPr>
        <w:t> </w:t>
      </w:r>
      <w:r>
        <w:rPr>
          <w:color w:val="231F20"/>
          <w:sz w:val="20"/>
        </w:rPr>
        <w:t>field</w:t>
      </w:r>
      <w:r>
        <w:rPr>
          <w:color w:val="231F20"/>
          <w:spacing w:val="12"/>
          <w:sz w:val="20"/>
        </w:rPr>
        <w:t> </w:t>
      </w:r>
      <w:r>
        <w:rPr>
          <w:color w:val="231F20"/>
          <w:sz w:val="20"/>
        </w:rPr>
        <w:t>to</w:t>
      </w:r>
      <w:r>
        <w:rPr>
          <w:color w:val="231F20"/>
          <w:spacing w:val="13"/>
          <w:sz w:val="20"/>
        </w:rPr>
        <w:t> </w:t>
      </w:r>
      <w:r>
        <w:rPr>
          <w:color w:val="231F20"/>
          <w:sz w:val="20"/>
        </w:rPr>
        <w:t>edit</w:t>
      </w:r>
      <w:r>
        <w:rPr>
          <w:color w:val="231F20"/>
          <w:spacing w:val="12"/>
          <w:sz w:val="20"/>
        </w:rPr>
        <w:t> </w:t>
      </w:r>
      <w:r>
        <w:rPr>
          <w:color w:val="231F20"/>
          <w:sz w:val="20"/>
        </w:rPr>
        <w:t>either</w:t>
      </w:r>
      <w:r>
        <w:rPr>
          <w:color w:val="231F20"/>
          <w:spacing w:val="13"/>
          <w:sz w:val="20"/>
        </w:rPr>
        <w:t> </w:t>
      </w:r>
      <w:r>
        <w:rPr>
          <w:color w:val="231F20"/>
          <w:sz w:val="20"/>
        </w:rPr>
        <w:t>of</w:t>
      </w:r>
      <w:r>
        <w:rPr>
          <w:color w:val="231F20"/>
          <w:spacing w:val="12"/>
          <w:sz w:val="20"/>
        </w:rPr>
        <w:t> </w:t>
      </w:r>
      <w:r>
        <w:rPr>
          <w:color w:val="231F20"/>
          <w:spacing w:val="-2"/>
          <w:sz w:val="20"/>
        </w:rPr>
        <w:t>them.</w:t>
      </w:r>
    </w:p>
    <w:p>
      <w:pPr>
        <w:pStyle w:val="BodyText"/>
        <w:spacing w:line="213" w:lineRule="auto" w:before="53"/>
        <w:ind w:left="3004" w:right="258" w:hanging="216"/>
      </w:pPr>
      <w:r>
        <w:rPr>
          <w:rFonts w:ascii="Futura MdCn BT"/>
          <w:color w:val="231F20"/>
        </w:rPr>
        <w:t>v</w:t>
      </w:r>
      <w:r>
        <w:rPr>
          <w:rFonts w:ascii="Futura MdCn BT"/>
          <w:color w:val="231F20"/>
          <w:spacing w:val="80"/>
        </w:rPr>
        <w:t> </w:t>
      </w:r>
      <w:r>
        <w:rPr>
          <w:color w:val="231F20"/>
        </w:rPr>
        <w:t>Double-click anywhere in a row to open the Modify User window for </w:t>
      </w:r>
      <w:r>
        <w:rPr>
          <w:color w:val="231F20"/>
        </w:rPr>
        <w:t>editing</w:t>
      </w:r>
      <w:r>
        <w:rPr>
          <w:color w:val="231F20"/>
        </w:rPr>
        <w:t> any of the fields.</w:t>
      </w:r>
    </w:p>
    <w:p>
      <w:pPr>
        <w:pStyle w:val="BodyText"/>
        <w:spacing w:before="35"/>
        <w:ind w:left="2788"/>
      </w:pPr>
      <w:r>
        <w:rPr>
          <w:rFonts w:ascii="Futura MdCn BT"/>
          <w:color w:val="231F20"/>
        </w:rPr>
        <w:t>v</w:t>
      </w:r>
      <w:r>
        <w:rPr>
          <w:rFonts w:ascii="Futura MdCn BT"/>
          <w:color w:val="231F20"/>
          <w:spacing w:val="31"/>
        </w:rPr>
        <w:t>  </w:t>
      </w:r>
      <w:r>
        <w:rPr>
          <w:color w:val="231F20"/>
        </w:rPr>
        <w:t>Right-click</w:t>
      </w:r>
      <w:r>
        <w:rPr>
          <w:color w:val="231F20"/>
          <w:spacing w:val="13"/>
        </w:rPr>
        <w:t> </w:t>
      </w:r>
      <w:r>
        <w:rPr>
          <w:color w:val="231F20"/>
        </w:rPr>
        <w:t>the</w:t>
      </w:r>
      <w:r>
        <w:rPr>
          <w:color w:val="231F20"/>
          <w:spacing w:val="12"/>
        </w:rPr>
        <w:t> </w:t>
      </w:r>
      <w:r>
        <w:rPr>
          <w:color w:val="231F20"/>
        </w:rPr>
        <w:t>user</w:t>
      </w:r>
      <w:r>
        <w:rPr>
          <w:color w:val="231F20"/>
          <w:spacing w:val="13"/>
        </w:rPr>
        <w:t> </w:t>
      </w:r>
      <w:r>
        <w:rPr>
          <w:color w:val="231F20"/>
        </w:rPr>
        <w:t>profile</w:t>
      </w:r>
      <w:r>
        <w:rPr>
          <w:color w:val="231F20"/>
          <w:spacing w:val="12"/>
        </w:rPr>
        <w:t> </w:t>
      </w:r>
      <w:r>
        <w:rPr>
          <w:color w:val="231F20"/>
        </w:rPr>
        <w:t>you</w:t>
      </w:r>
      <w:r>
        <w:rPr>
          <w:color w:val="231F20"/>
          <w:spacing w:val="13"/>
        </w:rPr>
        <w:t> </w:t>
      </w:r>
      <w:r>
        <w:rPr>
          <w:color w:val="231F20"/>
        </w:rPr>
        <w:t>want</w:t>
      </w:r>
      <w:r>
        <w:rPr>
          <w:color w:val="231F20"/>
          <w:spacing w:val="12"/>
        </w:rPr>
        <w:t> </w:t>
      </w:r>
      <w:r>
        <w:rPr>
          <w:color w:val="231F20"/>
        </w:rPr>
        <w:t>to</w:t>
      </w:r>
      <w:r>
        <w:rPr>
          <w:color w:val="231F20"/>
          <w:spacing w:val="12"/>
        </w:rPr>
        <w:t> </w:t>
      </w:r>
      <w:r>
        <w:rPr>
          <w:color w:val="231F20"/>
        </w:rPr>
        <w:t>edit</w:t>
      </w:r>
      <w:r>
        <w:rPr>
          <w:color w:val="231F20"/>
          <w:spacing w:val="13"/>
        </w:rPr>
        <w:t> </w:t>
      </w:r>
      <w:r>
        <w:rPr>
          <w:color w:val="231F20"/>
        </w:rPr>
        <w:t>and</w:t>
      </w:r>
      <w:r>
        <w:rPr>
          <w:color w:val="231F20"/>
          <w:spacing w:val="12"/>
        </w:rPr>
        <w:t> </w:t>
      </w:r>
      <w:r>
        <w:rPr>
          <w:color w:val="231F20"/>
        </w:rPr>
        <w:t>click</w:t>
      </w:r>
      <w:r>
        <w:rPr>
          <w:color w:val="231F20"/>
          <w:spacing w:val="30"/>
        </w:rPr>
        <w:t> </w:t>
      </w:r>
      <w:r>
        <w:rPr>
          <w:color w:val="231F20"/>
          <w:spacing w:val="-15"/>
          <w:position w:val="-1"/>
        </w:rPr>
        <w:drawing>
          <wp:inline distT="0" distB="0" distL="0" distR="0">
            <wp:extent cx="82550" cy="101600"/>
            <wp:effectExtent l="0" t="0" r="0" b="0"/>
            <wp:docPr id="2870" name="Image 2870"/>
            <wp:cNvGraphicFramePr>
              <a:graphicFrameLocks/>
            </wp:cNvGraphicFramePr>
            <a:graphic>
              <a:graphicData uri="http://schemas.openxmlformats.org/drawingml/2006/picture">
                <pic:pic>
                  <pic:nvPicPr>
                    <pic:cNvPr id="2870" name="Image 2870"/>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20"/>
        </w:rPr>
        <w:t> </w:t>
      </w:r>
      <w:r>
        <w:rPr>
          <w:rFonts w:ascii="Book Antiqua"/>
          <w:b/>
          <w:color w:val="231F20"/>
        </w:rPr>
        <w:t>Modify</w:t>
      </w:r>
      <w:r>
        <w:rPr>
          <w:rFonts w:ascii="Book Antiqua"/>
          <w:b/>
          <w:color w:val="231F20"/>
          <w:spacing w:val="13"/>
        </w:rPr>
        <w:t> </w:t>
      </w:r>
      <w:r>
        <w:rPr>
          <w:rFonts w:ascii="Book Antiqua"/>
          <w:b/>
          <w:color w:val="231F20"/>
          <w:spacing w:val="-2"/>
        </w:rPr>
        <w:t>User</w:t>
      </w:r>
      <w:r>
        <w:rPr>
          <w:color w:val="231F20"/>
          <w:spacing w:val="-2"/>
        </w:rPr>
        <w:t>.</w:t>
      </w:r>
    </w:p>
    <w:p>
      <w:pPr>
        <w:pStyle w:val="ListParagraph"/>
        <w:numPr>
          <w:ilvl w:val="0"/>
          <w:numId w:val="156"/>
        </w:numPr>
        <w:tabs>
          <w:tab w:pos="2788" w:val="left" w:leader="none"/>
        </w:tabs>
        <w:spacing w:line="213" w:lineRule="auto" w:before="53" w:after="0"/>
        <w:ind w:left="2788" w:right="246" w:hanging="316"/>
        <w:jc w:val="left"/>
        <w:rPr>
          <w:sz w:val="20"/>
        </w:rPr>
      </w:pPr>
      <w:r>
        <w:rPr>
          <w:color w:val="231F20"/>
          <w:sz w:val="20"/>
        </w:rPr>
        <w:t>Edit the </w:t>
      </w:r>
      <w:r>
        <w:rPr>
          <w:rFonts w:ascii="Book Antiqua"/>
          <w:b/>
          <w:color w:val="231F20"/>
          <w:sz w:val="20"/>
        </w:rPr>
        <w:t>User Name</w:t>
      </w:r>
      <w:r>
        <w:rPr>
          <w:color w:val="231F20"/>
          <w:sz w:val="20"/>
        </w:rPr>
        <w:t>, </w:t>
      </w:r>
      <w:r>
        <w:rPr>
          <w:rFonts w:ascii="Book Antiqua"/>
          <w:b/>
          <w:color w:val="231F20"/>
          <w:sz w:val="20"/>
        </w:rPr>
        <w:t>Distinguished Name </w:t>
      </w:r>
      <w:r>
        <w:rPr>
          <w:color w:val="231F20"/>
          <w:sz w:val="20"/>
        </w:rPr>
        <w:t>or </w:t>
      </w:r>
      <w:r>
        <w:rPr>
          <w:rFonts w:ascii="Book Antiqua"/>
          <w:b/>
          <w:color w:val="231F20"/>
          <w:sz w:val="20"/>
        </w:rPr>
        <w:t>User Description</w:t>
      </w:r>
      <w:r>
        <w:rPr>
          <w:color w:val="231F20"/>
          <w:sz w:val="20"/>
        </w:rPr>
        <w:t>, then click </w:t>
      </w:r>
      <w:r>
        <w:rPr>
          <w:rFonts w:ascii="Book Antiqua"/>
          <w:b/>
          <w:color w:val="231F20"/>
          <w:sz w:val="20"/>
        </w:rPr>
        <w:t>OK</w:t>
      </w:r>
      <w:r>
        <w:rPr>
          <w:color w:val="231F20"/>
          <w:sz w:val="20"/>
        </w:rPr>
        <w:t>. Distinguished Name is required if user authentication is through the portal server</w:t>
      </w:r>
      <w:r>
        <w:rPr>
          <w:color w:val="231F20"/>
          <w:spacing w:val="24"/>
          <w:sz w:val="20"/>
        </w:rPr>
        <w:t> </w:t>
      </w:r>
      <w:r>
        <w:rPr>
          <w:color w:val="231F20"/>
          <w:sz w:val="20"/>
        </w:rPr>
        <w:t>to</w:t>
      </w:r>
      <w:r>
        <w:rPr>
          <w:color w:val="231F20"/>
          <w:spacing w:val="24"/>
          <w:sz w:val="20"/>
        </w:rPr>
        <w:t> </w:t>
      </w:r>
      <w:r>
        <w:rPr>
          <w:color w:val="231F20"/>
          <w:sz w:val="20"/>
        </w:rPr>
        <w:t>an</w:t>
      </w:r>
      <w:r>
        <w:rPr>
          <w:color w:val="231F20"/>
          <w:spacing w:val="24"/>
          <w:sz w:val="20"/>
        </w:rPr>
        <w:t> </w:t>
      </w:r>
      <w:r>
        <w:rPr>
          <w:color w:val="231F20"/>
          <w:sz w:val="20"/>
        </w:rPr>
        <w:t>LDAP user</w:t>
      </w:r>
      <w:r>
        <w:rPr>
          <w:color w:val="231F20"/>
          <w:spacing w:val="24"/>
          <w:sz w:val="20"/>
        </w:rPr>
        <w:t> </w:t>
      </w:r>
      <w:r>
        <w:rPr>
          <w:color w:val="231F20"/>
          <w:sz w:val="20"/>
        </w:rPr>
        <w:t>registry. You</w:t>
      </w:r>
      <w:r>
        <w:rPr>
          <w:color w:val="231F20"/>
          <w:spacing w:val="24"/>
          <w:sz w:val="20"/>
        </w:rPr>
        <w:t> </w:t>
      </w:r>
      <w:r>
        <w:rPr>
          <w:color w:val="231F20"/>
          <w:sz w:val="20"/>
        </w:rPr>
        <w:t>cannot</w:t>
      </w:r>
      <w:r>
        <w:rPr>
          <w:color w:val="231F20"/>
          <w:spacing w:val="24"/>
          <w:sz w:val="20"/>
        </w:rPr>
        <w:t> </w:t>
      </w:r>
      <w:r>
        <w:rPr>
          <w:color w:val="231F20"/>
          <w:sz w:val="20"/>
        </w:rPr>
        <w:t>change</w:t>
      </w:r>
      <w:r>
        <w:rPr>
          <w:color w:val="231F20"/>
          <w:spacing w:val="24"/>
          <w:sz w:val="20"/>
        </w:rPr>
        <w:t> </w:t>
      </w:r>
      <w:r>
        <w:rPr>
          <w:color w:val="231F20"/>
          <w:sz w:val="20"/>
        </w:rPr>
        <w:t>the</w:t>
      </w:r>
      <w:r>
        <w:rPr>
          <w:color w:val="231F20"/>
          <w:spacing w:val="24"/>
          <w:sz w:val="20"/>
        </w:rPr>
        <w:t> </w:t>
      </w:r>
      <w:r>
        <w:rPr>
          <w:color w:val="231F20"/>
          <w:sz w:val="20"/>
        </w:rPr>
        <w:t>one-word</w:t>
      </w:r>
      <w:r>
        <w:rPr>
          <w:color w:val="231F20"/>
          <w:spacing w:val="24"/>
          <w:sz w:val="20"/>
        </w:rPr>
        <w:t> </w:t>
      </w:r>
      <w:r>
        <w:rPr>
          <w:color w:val="231F20"/>
          <w:sz w:val="20"/>
        </w:rPr>
        <w:t>User</w:t>
      </w:r>
      <w:r>
        <w:rPr>
          <w:color w:val="231F20"/>
          <w:spacing w:val="24"/>
          <w:sz w:val="20"/>
        </w:rPr>
        <w:t> </w:t>
      </w:r>
      <w:r>
        <w:rPr>
          <w:color w:val="231F20"/>
          <w:sz w:val="20"/>
        </w:rPr>
        <w:t>ID other than to change the letter casing. To edit the one-word User ID, delete the user profile and create a new one.</w:t>
      </w:r>
    </w:p>
    <w:p>
      <w:pPr>
        <w:pStyle w:val="BodyText"/>
        <w:spacing w:line="213" w:lineRule="auto" w:before="56"/>
        <w:ind w:left="3004" w:right="545" w:hanging="216"/>
      </w:pPr>
      <w:r>
        <w:rPr>
          <w:rFonts w:ascii="Futura MdCn BT"/>
          <w:color w:val="231F20"/>
        </w:rPr>
        <w:t>v</w:t>
      </w:r>
      <w:r>
        <w:rPr>
          <w:rFonts w:ascii="Futura MdCn BT"/>
          <w:color w:val="231F20"/>
          <w:spacing w:val="80"/>
        </w:rPr>
        <w:t> </w:t>
      </w:r>
      <w:r>
        <w:rPr>
          <w:color w:val="231F20"/>
        </w:rPr>
        <w:t>If you have not yet added the DN, click </w:t>
      </w:r>
      <w:r>
        <w:rPr>
          <w:rFonts w:ascii="Book Antiqua"/>
          <w:b/>
          <w:color w:val="231F20"/>
        </w:rPr>
        <w:t>Find </w:t>
      </w:r>
      <w:r>
        <w:rPr>
          <w:color w:val="231F20"/>
        </w:rPr>
        <w:t>to locate the name </w:t>
      </w:r>
      <w:r>
        <w:rPr>
          <w:color w:val="231F20"/>
        </w:rPr>
        <w:t>that</w:t>
      </w:r>
      <w:r>
        <w:rPr>
          <w:color w:val="231F20"/>
          <w:spacing w:val="40"/>
        </w:rPr>
        <w:t> </w:t>
      </w:r>
      <w:r>
        <w:rPr>
          <w:color w:val="231F20"/>
        </w:rPr>
        <w:t>matches the user ID.</w:t>
      </w:r>
    </w:p>
    <w:p>
      <w:pPr>
        <w:pStyle w:val="BodyText"/>
        <w:spacing w:line="213" w:lineRule="auto"/>
        <w:ind w:left="3004" w:right="258"/>
      </w:pPr>
      <w:r>
        <w:rPr>
          <w:color w:val="231F20"/>
        </w:rPr>
        <w:t>If your monitored environment was previously configured for authentication through the Tivoli Enterprise Monitoring Server and then reconfigured to authenticate through the Tivoli Enterprise Portal Server, you might see two entries for the name. Select the one where o=defaultWIMFileBasedRealm </w:t>
      </w:r>
      <w:r>
        <w:rPr>
          <w:color w:val="231F20"/>
        </w:rPr>
        <w:t>and not O=DEFAULTWIMITMBASEDREALM.</w:t>
      </w:r>
    </w:p>
    <w:p>
      <w:pPr>
        <w:pStyle w:val="ListParagraph"/>
        <w:numPr>
          <w:ilvl w:val="0"/>
          <w:numId w:val="156"/>
        </w:numPr>
        <w:tabs>
          <w:tab w:pos="2786" w:val="left" w:leader="none"/>
          <w:tab w:pos="2788" w:val="left" w:leader="none"/>
        </w:tabs>
        <w:spacing w:line="213" w:lineRule="auto" w:before="55" w:after="0"/>
        <w:ind w:left="2788" w:right="181" w:hanging="317"/>
        <w:jc w:val="left"/>
        <w:rPr>
          <w:sz w:val="20"/>
        </w:rPr>
      </w:pPr>
      <w:r>
        <w:rPr>
          <w:color w:val="231F20"/>
          <w:sz w:val="20"/>
        </w:rPr>
        <w:t>To change the </w:t>
      </w:r>
      <w:r>
        <w:rPr>
          <w:color w:val="231F20"/>
          <w:spacing w:val="-24"/>
          <w:position w:val="-1"/>
          <w:sz w:val="20"/>
        </w:rPr>
        <w:drawing>
          <wp:inline distT="0" distB="0" distL="0" distR="0">
            <wp:extent cx="95250" cy="101600"/>
            <wp:effectExtent l="0" t="0" r="0" b="0"/>
            <wp:docPr id="2871" name="Image 2871"/>
            <wp:cNvGraphicFramePr>
              <a:graphicFrameLocks/>
            </wp:cNvGraphicFramePr>
            <a:graphic>
              <a:graphicData uri="http://schemas.openxmlformats.org/drawingml/2006/picture">
                <pic:pic>
                  <pic:nvPicPr>
                    <pic:cNvPr id="2871" name="Image 2871"/>
                    <pic:cNvPicPr/>
                  </pic:nvPicPr>
                  <pic:blipFill>
                    <a:blip r:embed="rId181"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color w:val="231F20"/>
          <w:sz w:val="20"/>
        </w:rPr>
        <w:t>Permissions, select a function from the </w:t>
      </w:r>
      <w:r>
        <w:rPr>
          <w:rFonts w:ascii="Book Antiqua"/>
          <w:b/>
          <w:color w:val="231F20"/>
          <w:sz w:val="20"/>
        </w:rPr>
        <w:t>Authorities </w:t>
      </w:r>
      <w:r>
        <w:rPr>
          <w:color w:val="231F20"/>
          <w:sz w:val="20"/>
        </w:rPr>
        <w:t>tree and select or clear each option as appropriate for all functions with permissions </w:t>
      </w:r>
      <w:r>
        <w:rPr>
          <w:color w:val="231F20"/>
          <w:sz w:val="20"/>
        </w:rPr>
        <w:t>that you want to change. You can change your own user permissions except Create and Modify for User Administration</w:t>
      </w:r>
    </w:p>
    <w:p>
      <w:pPr>
        <w:pStyle w:val="ListParagraph"/>
        <w:numPr>
          <w:ilvl w:val="0"/>
          <w:numId w:val="156"/>
        </w:numPr>
        <w:tabs>
          <w:tab w:pos="2788" w:val="left" w:leader="none"/>
        </w:tabs>
        <w:spacing w:line="213" w:lineRule="auto" w:before="57" w:after="0"/>
        <w:ind w:left="2788" w:right="174" w:hanging="316"/>
        <w:jc w:val="left"/>
        <w:rPr>
          <w:sz w:val="20"/>
        </w:rPr>
      </w:pPr>
      <w:r>
        <w:rPr>
          <w:color w:val="231F20"/>
          <w:sz w:val="20"/>
        </w:rPr>
        <w:t>To assign access privileges to applications (managed system types), click the </w:t>
      </w:r>
      <w:r>
        <w:rPr>
          <w:color w:val="231F20"/>
          <w:spacing w:val="24"/>
          <w:position w:val="-1"/>
          <w:sz w:val="20"/>
        </w:rPr>
        <w:drawing>
          <wp:inline distT="0" distB="0" distL="0" distR="0">
            <wp:extent cx="95250" cy="95250"/>
            <wp:effectExtent l="0" t="0" r="0" b="0"/>
            <wp:docPr id="2872" name="Image 2872"/>
            <wp:cNvGraphicFramePr>
              <a:graphicFrameLocks/>
            </wp:cNvGraphicFramePr>
            <a:graphic>
              <a:graphicData uri="http://schemas.openxmlformats.org/drawingml/2006/picture">
                <pic:pic>
                  <pic:nvPicPr>
                    <pic:cNvPr id="2872" name="Image 2872"/>
                    <pic:cNvPicPr/>
                  </pic:nvPicPr>
                  <pic:blipFill>
                    <a:blip r:embed="rId45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4"/>
          <w:position w:val="-1"/>
          <w:sz w:val="20"/>
        </w:rPr>
        <w:t> </w:t>
      </w:r>
      <w:r>
        <w:rPr>
          <w:color w:val="231F20"/>
          <w:sz w:val="20"/>
        </w:rPr>
        <w:t>Applications tab, select any applications you want to remove from the </w:t>
      </w:r>
      <w:r>
        <w:rPr>
          <w:rFonts w:ascii="Book Antiqua"/>
          <w:b/>
          <w:color w:val="231F20"/>
          <w:sz w:val="20"/>
        </w:rPr>
        <w:t>Allowed Applications</w:t>
      </w:r>
      <w:r>
        <w:rPr>
          <w:rFonts w:ascii="Book Antiqua"/>
          <w:b/>
          <w:color w:val="231F20"/>
          <w:spacing w:val="25"/>
          <w:sz w:val="20"/>
        </w:rPr>
        <w:t> </w:t>
      </w:r>
      <w:r>
        <w:rPr>
          <w:color w:val="231F20"/>
          <w:sz w:val="20"/>
        </w:rPr>
        <w:t>list</w:t>
      </w:r>
      <w:r>
        <w:rPr>
          <w:color w:val="231F20"/>
          <w:spacing w:val="25"/>
          <w:sz w:val="20"/>
        </w:rPr>
        <w:t> </w:t>
      </w:r>
      <w:r>
        <w:rPr>
          <w:color w:val="231F20"/>
          <w:sz w:val="20"/>
        </w:rPr>
        <w:t>and</w:t>
      </w:r>
      <w:r>
        <w:rPr>
          <w:color w:val="231F20"/>
          <w:spacing w:val="80"/>
          <w:sz w:val="20"/>
        </w:rPr>
        <w:t> </w:t>
      </w:r>
      <w:r>
        <w:rPr>
          <w:color w:val="231F20"/>
          <w:spacing w:val="-14"/>
          <w:position w:val="1"/>
          <w:sz w:val="20"/>
        </w:rPr>
        <w:drawing>
          <wp:inline distT="0" distB="0" distL="0" distR="0">
            <wp:extent cx="44450" cy="76200"/>
            <wp:effectExtent l="0" t="0" r="0" b="0"/>
            <wp:docPr id="2873" name="Image 2873"/>
            <wp:cNvGraphicFramePr>
              <a:graphicFrameLocks/>
            </wp:cNvGraphicFramePr>
            <a:graphic>
              <a:graphicData uri="http://schemas.openxmlformats.org/drawingml/2006/picture">
                <pic:pic>
                  <pic:nvPicPr>
                    <pic:cNvPr id="2873" name="Image 2873"/>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4"/>
          <w:position w:val="1"/>
          <w:sz w:val="20"/>
        </w:rPr>
      </w:r>
      <w:r>
        <w:rPr>
          <w:rFonts w:ascii="Times New Roman"/>
          <w:color w:val="231F20"/>
          <w:spacing w:val="80"/>
          <w:w w:val="150"/>
          <w:sz w:val="20"/>
        </w:rPr>
        <w:t> </w:t>
      </w:r>
      <w:r>
        <w:rPr>
          <w:color w:val="231F20"/>
          <w:sz w:val="20"/>
        </w:rPr>
        <w:t>move</w:t>
      </w:r>
      <w:r>
        <w:rPr>
          <w:color w:val="231F20"/>
          <w:spacing w:val="25"/>
          <w:sz w:val="20"/>
        </w:rPr>
        <w:t> </w:t>
      </w:r>
      <w:r>
        <w:rPr>
          <w:color w:val="231F20"/>
          <w:sz w:val="20"/>
        </w:rPr>
        <w:t>them</w:t>
      </w:r>
      <w:r>
        <w:rPr>
          <w:color w:val="231F20"/>
          <w:spacing w:val="25"/>
          <w:sz w:val="20"/>
        </w:rPr>
        <w:t> </w:t>
      </w:r>
      <w:r>
        <w:rPr>
          <w:color w:val="231F20"/>
          <w:sz w:val="20"/>
        </w:rPr>
        <w:t>to</w:t>
      </w:r>
      <w:r>
        <w:rPr>
          <w:color w:val="231F20"/>
          <w:spacing w:val="25"/>
          <w:sz w:val="20"/>
        </w:rPr>
        <w:t> </w:t>
      </w:r>
      <w:r>
        <w:rPr>
          <w:color w:val="231F20"/>
          <w:sz w:val="20"/>
        </w:rPr>
        <w:t>the</w:t>
      </w:r>
      <w:r>
        <w:rPr>
          <w:color w:val="231F20"/>
          <w:spacing w:val="25"/>
          <w:sz w:val="20"/>
        </w:rPr>
        <w:t> </w:t>
      </w:r>
      <w:r>
        <w:rPr>
          <w:rFonts w:ascii="Book Antiqua"/>
          <w:b/>
          <w:color w:val="231F20"/>
          <w:sz w:val="20"/>
        </w:rPr>
        <w:t>Available</w:t>
      </w:r>
      <w:r>
        <w:rPr>
          <w:rFonts w:ascii="Book Antiqua"/>
          <w:b/>
          <w:color w:val="231F20"/>
          <w:spacing w:val="25"/>
          <w:sz w:val="20"/>
        </w:rPr>
        <w:t> </w:t>
      </w:r>
      <w:r>
        <w:rPr>
          <w:rFonts w:ascii="Book Antiqua"/>
          <w:b/>
          <w:color w:val="231F20"/>
          <w:sz w:val="20"/>
        </w:rPr>
        <w:t>Applications</w:t>
      </w:r>
      <w:r>
        <w:rPr>
          <w:rFonts w:ascii="Book Antiqua"/>
          <w:b/>
          <w:color w:val="231F20"/>
          <w:spacing w:val="25"/>
          <w:sz w:val="20"/>
        </w:rPr>
        <w:t> </w:t>
      </w:r>
      <w:r>
        <w:rPr>
          <w:color w:val="231F20"/>
          <w:sz w:val="20"/>
        </w:rPr>
        <w:t>list;</w:t>
      </w:r>
      <w:r>
        <w:rPr>
          <w:color w:val="231F20"/>
          <w:spacing w:val="25"/>
          <w:sz w:val="20"/>
        </w:rPr>
        <w:t> </w:t>
      </w:r>
      <w:r>
        <w:rPr>
          <w:color w:val="231F20"/>
          <w:sz w:val="20"/>
        </w:rPr>
        <w:t>select the applications you want to add from the </w:t>
      </w:r>
      <w:r>
        <w:rPr>
          <w:rFonts w:ascii="Book Antiqua"/>
          <w:b/>
          <w:color w:val="231F20"/>
          <w:sz w:val="20"/>
        </w:rPr>
        <w:t>Available Applications </w:t>
      </w:r>
      <w:r>
        <w:rPr>
          <w:color w:val="231F20"/>
          <w:sz w:val="20"/>
        </w:rPr>
        <w:t>list (or </w:t>
      </w:r>
      <w:r>
        <w:rPr>
          <w:color w:val="231F20"/>
          <w:sz w:val="20"/>
        </w:rPr>
        <w:t>select</w:t>
      </w:r>
    </w:p>
    <w:p>
      <w:pPr>
        <w:spacing w:line="244" w:lineRule="exact" w:before="0"/>
        <w:ind w:left="2788" w:right="0" w:firstLine="0"/>
        <w:jc w:val="left"/>
        <w:rPr>
          <w:sz w:val="20"/>
        </w:rPr>
      </w:pPr>
      <w:r>
        <w:rPr>
          <w:rFonts w:ascii="Book Antiqua"/>
          <w:b/>
          <w:color w:val="231F20"/>
          <w:sz w:val="20"/>
        </w:rPr>
        <w:t>&lt;All</w:t>
      </w:r>
      <w:r>
        <w:rPr>
          <w:rFonts w:ascii="Book Antiqua"/>
          <w:b/>
          <w:color w:val="231F20"/>
          <w:spacing w:val="11"/>
          <w:sz w:val="20"/>
        </w:rPr>
        <w:t> </w:t>
      </w:r>
      <w:r>
        <w:rPr>
          <w:rFonts w:ascii="Book Antiqua"/>
          <w:b/>
          <w:color w:val="231F20"/>
          <w:sz w:val="20"/>
        </w:rPr>
        <w:t>Applications&gt;</w:t>
      </w:r>
      <w:r>
        <w:rPr>
          <w:color w:val="231F20"/>
          <w:sz w:val="20"/>
        </w:rPr>
        <w:t>),</w:t>
      </w:r>
      <w:r>
        <w:rPr>
          <w:color w:val="231F20"/>
          <w:spacing w:val="12"/>
          <w:sz w:val="20"/>
        </w:rPr>
        <w:t> </w:t>
      </w:r>
      <w:r>
        <w:rPr>
          <w:color w:val="231F20"/>
          <w:sz w:val="20"/>
        </w:rPr>
        <w:t>and</w:t>
      </w:r>
      <w:r>
        <w:rPr>
          <w:color w:val="231F20"/>
          <w:spacing w:val="58"/>
          <w:sz w:val="20"/>
        </w:rPr>
        <w:t> </w:t>
      </w:r>
      <w:r>
        <w:rPr>
          <w:color w:val="231F20"/>
          <w:spacing w:val="16"/>
          <w:position w:val="1"/>
          <w:sz w:val="20"/>
        </w:rPr>
        <w:drawing>
          <wp:inline distT="0" distB="0" distL="0" distR="0">
            <wp:extent cx="44450" cy="76200"/>
            <wp:effectExtent l="0" t="0" r="0" b="0"/>
            <wp:docPr id="2874" name="Image 2874"/>
            <wp:cNvGraphicFramePr>
              <a:graphicFrameLocks/>
            </wp:cNvGraphicFramePr>
            <a:graphic>
              <a:graphicData uri="http://schemas.openxmlformats.org/drawingml/2006/picture">
                <pic:pic>
                  <pic:nvPicPr>
                    <pic:cNvPr id="2874" name="Image 287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33"/>
          <w:sz w:val="20"/>
        </w:rPr>
        <w:t>  </w:t>
      </w:r>
      <w:r>
        <w:rPr>
          <w:color w:val="231F20"/>
          <w:sz w:val="20"/>
        </w:rPr>
        <w:t>move</w:t>
      </w:r>
      <w:r>
        <w:rPr>
          <w:color w:val="231F20"/>
          <w:spacing w:val="12"/>
          <w:sz w:val="20"/>
        </w:rPr>
        <w:t> </w:t>
      </w:r>
      <w:r>
        <w:rPr>
          <w:color w:val="231F20"/>
          <w:sz w:val="20"/>
        </w:rPr>
        <w:t>them</w:t>
      </w:r>
      <w:r>
        <w:rPr>
          <w:color w:val="231F20"/>
          <w:spacing w:val="12"/>
          <w:sz w:val="20"/>
        </w:rPr>
        <w:t> </w:t>
      </w:r>
      <w:r>
        <w:rPr>
          <w:color w:val="231F20"/>
          <w:sz w:val="20"/>
        </w:rPr>
        <w:t>to</w:t>
      </w:r>
      <w:r>
        <w:rPr>
          <w:color w:val="231F20"/>
          <w:spacing w:val="12"/>
          <w:sz w:val="20"/>
        </w:rPr>
        <w:t> </w:t>
      </w:r>
      <w:r>
        <w:rPr>
          <w:color w:val="231F20"/>
          <w:sz w:val="20"/>
        </w:rPr>
        <w:t>the</w:t>
      </w:r>
      <w:r>
        <w:rPr>
          <w:color w:val="231F20"/>
          <w:spacing w:val="11"/>
          <w:sz w:val="20"/>
        </w:rPr>
        <w:t> </w:t>
      </w:r>
      <w:r>
        <w:rPr>
          <w:rFonts w:ascii="Book Antiqua"/>
          <w:b/>
          <w:color w:val="231F20"/>
          <w:sz w:val="20"/>
        </w:rPr>
        <w:t>Allowed</w:t>
      </w:r>
      <w:r>
        <w:rPr>
          <w:rFonts w:ascii="Book Antiqua"/>
          <w:b/>
          <w:color w:val="231F20"/>
          <w:spacing w:val="12"/>
          <w:sz w:val="20"/>
        </w:rPr>
        <w:t> </w:t>
      </w:r>
      <w:r>
        <w:rPr>
          <w:rFonts w:ascii="Book Antiqua"/>
          <w:b/>
          <w:color w:val="231F20"/>
          <w:sz w:val="20"/>
        </w:rPr>
        <w:t>Applications</w:t>
      </w:r>
      <w:r>
        <w:rPr>
          <w:rFonts w:ascii="Book Antiqua"/>
          <w:b/>
          <w:color w:val="231F20"/>
          <w:spacing w:val="11"/>
          <w:sz w:val="20"/>
        </w:rPr>
        <w:t> </w:t>
      </w:r>
      <w:r>
        <w:rPr>
          <w:color w:val="231F20"/>
          <w:spacing w:val="-2"/>
          <w:sz w:val="20"/>
        </w:rPr>
        <w:t>list.</w:t>
      </w:r>
    </w:p>
    <w:p>
      <w:pPr>
        <w:pStyle w:val="BodyText"/>
        <w:spacing w:line="213" w:lineRule="auto" w:before="53"/>
        <w:ind w:left="2788" w:right="493"/>
      </w:pPr>
      <w:r>
        <w:rPr>
          <w:color w:val="231F20"/>
        </w:rPr>
        <w:t>After selecting the first application, you can use Ctrl+click to select other applications or Shift+click to select all applications between the first </w:t>
      </w:r>
      <w:r>
        <w:rPr>
          <w:color w:val="231F20"/>
        </w:rPr>
        <w:t>selection and this one.</w:t>
      </w:r>
    </w:p>
    <w:p>
      <w:pPr>
        <w:pStyle w:val="ListParagraph"/>
        <w:numPr>
          <w:ilvl w:val="0"/>
          <w:numId w:val="156"/>
        </w:numPr>
        <w:tabs>
          <w:tab w:pos="2788" w:val="left" w:leader="none"/>
        </w:tabs>
        <w:spacing w:line="213" w:lineRule="auto" w:before="58" w:after="0"/>
        <w:ind w:left="2788" w:right="186" w:hanging="316"/>
        <w:jc w:val="left"/>
        <w:rPr>
          <w:sz w:val="20"/>
        </w:rPr>
      </w:pPr>
      <w:r>
        <w:rPr>
          <w:color w:val="231F20"/>
          <w:sz w:val="20"/>
        </w:rPr>
        <w:t>To change any Navigator view assignments, click the </w:t>
      </w:r>
      <w:r>
        <w:rPr>
          <w:color w:val="231F20"/>
          <w:spacing w:val="15"/>
          <w:position w:val="-1"/>
          <w:sz w:val="20"/>
        </w:rPr>
        <w:drawing>
          <wp:inline distT="0" distB="0" distL="0" distR="0">
            <wp:extent cx="101600" cy="88900"/>
            <wp:effectExtent l="0" t="0" r="0" b="0"/>
            <wp:docPr id="2875" name="Image 2875"/>
            <wp:cNvGraphicFramePr>
              <a:graphicFrameLocks/>
            </wp:cNvGraphicFramePr>
            <a:graphic>
              <a:graphicData uri="http://schemas.openxmlformats.org/drawingml/2006/picture">
                <pic:pic>
                  <pic:nvPicPr>
                    <pic:cNvPr id="2875" name="Image 2875"/>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sz w:val="20"/>
        </w:rPr>
      </w:r>
      <w:r>
        <w:rPr>
          <w:rFonts w:ascii="Times New Roman"/>
          <w:color w:val="231F20"/>
          <w:spacing w:val="-11"/>
          <w:sz w:val="20"/>
        </w:rPr>
        <w:t> </w:t>
      </w:r>
      <w:r>
        <w:rPr>
          <w:color w:val="231F20"/>
          <w:sz w:val="20"/>
        </w:rPr>
        <w:t>Navigator Views tab, then add or remove Navigator views from the </w:t>
      </w:r>
      <w:r>
        <w:rPr>
          <w:rFonts w:ascii="Book Antiqua"/>
          <w:b/>
          <w:color w:val="231F20"/>
          <w:sz w:val="20"/>
        </w:rPr>
        <w:t>Assigned Views </w:t>
      </w:r>
      <w:r>
        <w:rPr>
          <w:color w:val="231F20"/>
          <w:sz w:val="20"/>
        </w:rPr>
        <w:t>list, and select and</w:t>
      </w:r>
      <w:r>
        <w:rPr>
          <w:color w:val="231F20"/>
          <w:spacing w:val="40"/>
          <w:sz w:val="20"/>
        </w:rPr>
        <w:t> </w:t>
      </w:r>
      <w:r>
        <w:rPr>
          <w:color w:val="231F20"/>
          <w:spacing w:val="6"/>
          <w:position w:val="3"/>
          <w:sz w:val="20"/>
        </w:rPr>
        <w:drawing>
          <wp:inline distT="0" distB="0" distL="0" distR="0">
            <wp:extent cx="76200" cy="44450"/>
            <wp:effectExtent l="0" t="0" r="0" b="0"/>
            <wp:docPr id="2876" name="Image 2876"/>
            <wp:cNvGraphicFramePr>
              <a:graphicFrameLocks/>
            </wp:cNvGraphicFramePr>
            <a:graphic>
              <a:graphicData uri="http://schemas.openxmlformats.org/drawingml/2006/picture">
                <pic:pic>
                  <pic:nvPicPr>
                    <pic:cNvPr id="2876" name="Image 2876"/>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spacing w:val="6"/>
          <w:position w:val="3"/>
          <w:sz w:val="20"/>
        </w:rPr>
      </w:r>
      <w:r>
        <w:rPr>
          <w:rFonts w:ascii="Times New Roman"/>
          <w:color w:val="231F20"/>
          <w:spacing w:val="80"/>
          <w:sz w:val="20"/>
        </w:rPr>
        <w:t> </w:t>
      </w:r>
      <w:r>
        <w:rPr>
          <w:color w:val="231F20"/>
          <w:sz w:val="20"/>
        </w:rPr>
        <w:t>move the one to be the default to the top of the list. For each Navigator</w:t>
      </w:r>
      <w:r>
        <w:rPr>
          <w:color w:val="231F20"/>
          <w:spacing w:val="80"/>
          <w:sz w:val="20"/>
        </w:rPr>
        <w:t> </w:t>
      </w:r>
      <w:r>
        <w:rPr>
          <w:color w:val="231F20"/>
          <w:sz w:val="20"/>
        </w:rPr>
        <w:t>view, change the </w:t>
      </w:r>
      <w:r>
        <w:rPr>
          <w:rFonts w:ascii="Book Antiqua"/>
          <w:b/>
          <w:color w:val="231F20"/>
          <w:sz w:val="20"/>
        </w:rPr>
        <w:t>Assigned Root </w:t>
      </w:r>
      <w:r>
        <w:rPr>
          <w:color w:val="231F20"/>
          <w:sz w:val="20"/>
        </w:rPr>
        <w:t>as needed.</w:t>
      </w:r>
    </w:p>
    <w:p>
      <w:pPr>
        <w:pStyle w:val="ListParagraph"/>
        <w:numPr>
          <w:ilvl w:val="0"/>
          <w:numId w:val="156"/>
        </w:numPr>
        <w:tabs>
          <w:tab w:pos="2788" w:val="left" w:leader="none"/>
        </w:tabs>
        <w:spacing w:line="213" w:lineRule="auto" w:before="57" w:after="0"/>
        <w:ind w:left="2788" w:right="282" w:hanging="316"/>
        <w:jc w:val="both"/>
        <w:rPr>
          <w:sz w:val="20"/>
        </w:rPr>
      </w:pPr>
      <w:r>
        <w:rPr>
          <w:color w:val="231F20"/>
          <w:sz w:val="20"/>
        </w:rPr>
        <w:t>When you are finished editing the user profile, save your changes with </w:t>
      </w:r>
      <w:r>
        <w:rPr>
          <w:rFonts w:ascii="Book Antiqua"/>
          <w:b/>
          <w:color w:val="231F20"/>
          <w:sz w:val="20"/>
        </w:rPr>
        <w:t>Apply</w:t>
      </w:r>
      <w:r>
        <w:rPr>
          <w:rFonts w:ascii="Book Antiqua"/>
          <w:b/>
          <w:color w:val="231F20"/>
          <w:spacing w:val="80"/>
          <w:sz w:val="20"/>
        </w:rPr>
        <w:t> </w:t>
      </w:r>
      <w:r>
        <w:rPr>
          <w:color w:val="231F20"/>
          <w:sz w:val="20"/>
        </w:rPr>
        <w:t>if you want to keep the Administer Users window open, or </w:t>
      </w:r>
      <w:r>
        <w:rPr>
          <w:rFonts w:ascii="Book Antiqua"/>
          <w:b/>
          <w:color w:val="231F20"/>
          <w:sz w:val="20"/>
        </w:rPr>
        <w:t>OK </w:t>
      </w:r>
      <w:r>
        <w:rPr>
          <w:color w:val="231F20"/>
          <w:sz w:val="20"/>
        </w:rPr>
        <w:t>if you want </w:t>
      </w:r>
      <w:r>
        <w:rPr>
          <w:color w:val="231F20"/>
          <w:sz w:val="20"/>
        </w:rPr>
        <w:t>to close it.</w:t>
      </w:r>
    </w:p>
    <w:p>
      <w:pPr>
        <w:pStyle w:val="Heading4"/>
        <w:spacing w:before="199"/>
        <w:ind w:left="2472"/>
      </w:pPr>
      <w:r>
        <w:rPr>
          <w:color w:val="231F20"/>
          <w:spacing w:val="-2"/>
        </w:rPr>
        <w:t>Results</w:t>
      </w:r>
    </w:p>
    <w:p>
      <w:pPr>
        <w:pStyle w:val="BodyText"/>
        <w:spacing w:before="218"/>
        <w:ind w:left="2472"/>
      </w:pPr>
      <w:bookmarkStart w:name="Adding a user ID" w:id="563"/>
      <w:bookmarkEnd w:id="563"/>
      <w:r>
        <w:rPr/>
      </w:r>
      <w:r>
        <w:rPr>
          <w:color w:val="231F20"/>
        </w:rPr>
        <w:t>The</w:t>
      </w:r>
      <w:r>
        <w:rPr>
          <w:color w:val="231F20"/>
          <w:spacing w:val="12"/>
        </w:rPr>
        <w:t> </w:t>
      </w:r>
      <w:r>
        <w:rPr>
          <w:color w:val="231F20"/>
        </w:rPr>
        <w:t>next</w:t>
      </w:r>
      <w:r>
        <w:rPr>
          <w:color w:val="231F20"/>
          <w:spacing w:val="12"/>
        </w:rPr>
        <w:t> </w:t>
      </w:r>
      <w:r>
        <w:rPr>
          <w:color w:val="231F20"/>
        </w:rPr>
        <w:t>time</w:t>
      </w:r>
      <w:r>
        <w:rPr>
          <w:color w:val="231F20"/>
          <w:spacing w:val="12"/>
        </w:rPr>
        <w:t> </w:t>
      </w:r>
      <w:r>
        <w:rPr>
          <w:color w:val="231F20"/>
        </w:rPr>
        <w:t>the</w:t>
      </w:r>
      <w:r>
        <w:rPr>
          <w:color w:val="231F20"/>
          <w:spacing w:val="12"/>
        </w:rPr>
        <w:t> </w:t>
      </w:r>
      <w:r>
        <w:rPr>
          <w:color w:val="231F20"/>
        </w:rPr>
        <w:t>user</w:t>
      </w:r>
      <w:r>
        <w:rPr>
          <w:color w:val="231F20"/>
          <w:spacing w:val="12"/>
        </w:rPr>
        <w:t> </w:t>
      </w:r>
      <w:r>
        <w:rPr>
          <w:color w:val="231F20"/>
        </w:rPr>
        <w:t>logs</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permission</w:t>
      </w:r>
      <w:r>
        <w:rPr>
          <w:color w:val="231F20"/>
          <w:spacing w:val="12"/>
        </w:rPr>
        <w:t> </w:t>
      </w:r>
      <w:r>
        <w:rPr>
          <w:color w:val="231F20"/>
        </w:rPr>
        <w:t>changes</w:t>
      </w:r>
      <w:r>
        <w:rPr>
          <w:color w:val="231F20"/>
          <w:spacing w:val="12"/>
        </w:rPr>
        <w:t> </w:t>
      </w:r>
      <w:r>
        <w:rPr>
          <w:color w:val="231F20"/>
        </w:rPr>
        <w:t>will</w:t>
      </w:r>
      <w:r>
        <w:rPr>
          <w:color w:val="231F20"/>
          <w:spacing w:val="12"/>
        </w:rPr>
        <w:t> </w:t>
      </w:r>
      <w:r>
        <w:rPr>
          <w:color w:val="231F20"/>
        </w:rPr>
        <w:t>be</w:t>
      </w:r>
      <w:r>
        <w:rPr>
          <w:color w:val="231F20"/>
          <w:spacing w:val="12"/>
        </w:rPr>
        <w:t> </w:t>
      </w:r>
      <w:r>
        <w:rPr>
          <w:color w:val="231F20"/>
        </w:rPr>
        <w:t>in</w:t>
      </w:r>
      <w:r>
        <w:rPr>
          <w:color w:val="231F20"/>
          <w:spacing w:val="12"/>
        </w:rPr>
        <w:t> </w:t>
      </w:r>
      <w:r>
        <w:rPr>
          <w:color w:val="231F20"/>
          <w:spacing w:val="-2"/>
        </w:rPr>
        <w:t>effect.</w:t>
      </w:r>
    </w:p>
    <w:p>
      <w:pPr>
        <w:pStyle w:val="Heading3"/>
        <w:spacing w:before="212"/>
        <w:ind w:left="1574"/>
      </w:pPr>
      <w:r>
        <w:rPr>
          <w:color w:val="231F20"/>
        </w:rPr>
        <w:t>Adding</w:t>
      </w:r>
      <w:r>
        <w:rPr>
          <w:color w:val="231F20"/>
          <w:spacing w:val="9"/>
        </w:rPr>
        <w:t> </w:t>
      </w:r>
      <w:r>
        <w:rPr>
          <w:color w:val="231F20"/>
        </w:rPr>
        <w:t>a</w:t>
      </w:r>
      <w:r>
        <w:rPr>
          <w:color w:val="231F20"/>
          <w:spacing w:val="9"/>
        </w:rPr>
        <w:t> </w:t>
      </w:r>
      <w:r>
        <w:rPr>
          <w:color w:val="231F20"/>
        </w:rPr>
        <w:t>user</w:t>
      </w:r>
      <w:r>
        <w:rPr>
          <w:color w:val="231F20"/>
          <w:spacing w:val="9"/>
        </w:rPr>
        <w:t> </w:t>
      </w:r>
      <w:r>
        <w:rPr>
          <w:color w:val="231F20"/>
          <w:spacing w:val="-5"/>
        </w:rPr>
        <w:t>ID</w:t>
      </w:r>
    </w:p>
    <w:p>
      <w:pPr>
        <w:pStyle w:val="BodyText"/>
        <w:spacing w:line="213" w:lineRule="auto" w:before="58"/>
        <w:ind w:left="2472" w:right="274"/>
      </w:pPr>
      <w:r>
        <w:rPr>
          <w:color w:val="231F20"/>
        </w:rPr>
        <w:t>Create a user ID for all users that should be able to log onto the Tivoli Enterprise</w:t>
      </w:r>
      <w:r>
        <w:rPr>
          <w:color w:val="231F20"/>
          <w:spacing w:val="40"/>
        </w:rPr>
        <w:t> </w:t>
      </w:r>
      <w:r>
        <w:rPr>
          <w:color w:val="231F20"/>
        </w:rPr>
        <w:t>Portal Server using a portal client or the </w:t>
      </w:r>
      <w:r>
        <w:rPr>
          <w:rFonts w:ascii="Arial"/>
          <w:b/>
          <w:color w:val="231F20"/>
        </w:rPr>
        <w:t>tacmd</w:t>
      </w:r>
      <w:r>
        <w:rPr>
          <w:rFonts w:ascii="Arial"/>
          <w:b/>
          <w:color w:val="231F20"/>
          <w:spacing w:val="-1"/>
        </w:rPr>
        <w:t> </w:t>
      </w:r>
      <w:r>
        <w:rPr>
          <w:rFonts w:ascii="Arial"/>
          <w:b/>
          <w:color w:val="231F20"/>
        </w:rPr>
        <w:t>tepsLogin</w:t>
      </w:r>
      <w:r>
        <w:rPr>
          <w:rFonts w:ascii="Arial"/>
          <w:b/>
          <w:color w:val="231F20"/>
          <w:spacing w:val="-1"/>
        </w:rPr>
        <w:t> </w:t>
      </w:r>
      <w:r>
        <w:rPr>
          <w:color w:val="231F20"/>
        </w:rPr>
        <w:t>command.</w:t>
      </w:r>
      <w:r>
        <w:rPr>
          <w:color w:val="231F20"/>
          <w:spacing w:val="-1"/>
        </w:rPr>
        <w:t> </w:t>
      </w:r>
      <w:r>
        <w:rPr>
          <w:color w:val="231F20"/>
        </w:rPr>
        <w:t>A</w:t>
      </w:r>
      <w:r>
        <w:rPr>
          <w:color w:val="231F20"/>
          <w:spacing w:val="-5"/>
        </w:rPr>
        <w:t> </w:t>
      </w:r>
      <w:r>
        <w:rPr>
          <w:color w:val="231F20"/>
        </w:rPr>
        <w:t>user ID is also required for IBM Dashboard Application Services Hub users who request monitoring data. You can use the default user profile or copy the profile of an existing user.</w:t>
      </w:r>
    </w:p>
    <w:p>
      <w:pPr>
        <w:spacing w:after="0" w:line="213" w:lineRule="auto"/>
        <w:sectPr>
          <w:footerReference w:type="default" r:id="rId455"/>
          <w:footerReference w:type="even" r:id="rId456"/>
          <w:pgSz w:w="12240" w:h="15840"/>
          <w:pgMar w:header="0" w:footer="736" w:top="1140" w:bottom="920" w:left="1000" w:right="1060"/>
          <w:pgNumType w:start="365"/>
        </w:sectPr>
      </w:pPr>
    </w:p>
    <w:p>
      <w:pPr>
        <w:pStyle w:val="Heading4"/>
        <w:spacing w:before="86"/>
      </w:pPr>
      <w:bookmarkStart w:name="_bookmark275" w:id="564"/>
      <w:bookmarkEnd w:id="564"/>
      <w:r>
        <w:rPr>
          <w:b w:val="0"/>
        </w:rPr>
      </w: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To use this function, your user ID must have Modify permission for </w:t>
      </w:r>
      <w:r>
        <w:rPr>
          <w:color w:val="231F20"/>
        </w:rPr>
        <w:t>User </w:t>
      </w:r>
      <w:r>
        <w:rPr>
          <w:color w:val="231F20"/>
          <w:spacing w:val="-2"/>
        </w:rPr>
        <w:t>Administration.</w:t>
      </w:r>
    </w:p>
    <w:p>
      <w:pPr>
        <w:pStyle w:val="Heading4"/>
        <w:spacing w:before="199"/>
      </w:pPr>
      <w:r>
        <w:rPr>
          <w:color w:val="231F20"/>
          <w:spacing w:val="-2"/>
        </w:rPr>
        <w:t>Procedure</w:t>
      </w:r>
    </w:p>
    <w:p>
      <w:pPr>
        <w:pStyle w:val="ListParagraph"/>
        <w:numPr>
          <w:ilvl w:val="0"/>
          <w:numId w:val="157"/>
        </w:numPr>
        <w:tabs>
          <w:tab w:pos="2547" w:val="left" w:leader="none"/>
        </w:tabs>
        <w:spacing w:line="240" w:lineRule="auto" w:before="39" w:after="0"/>
        <w:ind w:left="2547" w:right="0" w:hanging="315"/>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101600"/>
            <wp:effectExtent l="0" t="0" r="0" b="0"/>
            <wp:docPr id="2877" name="Image 2877"/>
            <wp:cNvGraphicFramePr>
              <a:graphicFrameLocks/>
            </wp:cNvGraphicFramePr>
            <a:graphic>
              <a:graphicData uri="http://schemas.openxmlformats.org/drawingml/2006/picture">
                <pic:pic>
                  <pic:nvPicPr>
                    <pic:cNvPr id="2877" name="Image 2877"/>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pacing w:val="-2"/>
          <w:sz w:val="20"/>
        </w:rPr>
        <w:t>Users</w:t>
      </w:r>
      <w:r>
        <w:rPr>
          <w:color w:val="231F20"/>
          <w:spacing w:val="-2"/>
          <w:sz w:val="20"/>
        </w:rPr>
        <w:t>.</w:t>
      </w:r>
    </w:p>
    <w:p>
      <w:pPr>
        <w:pStyle w:val="ListParagraph"/>
        <w:numPr>
          <w:ilvl w:val="0"/>
          <w:numId w:val="157"/>
        </w:numPr>
        <w:tabs>
          <w:tab w:pos="2547" w:val="left" w:leader="none"/>
        </w:tabs>
        <w:spacing w:line="240" w:lineRule="auto" w:before="30" w:after="0"/>
        <w:ind w:left="2547" w:right="0" w:hanging="315"/>
        <w:jc w:val="left"/>
        <w:rPr>
          <w:sz w:val="20"/>
        </w:rPr>
      </w:pPr>
      <w:r>
        <w:rPr>
          <w:color w:val="231F20"/>
          <w:sz w:val="20"/>
        </w:rPr>
        <w:t>Create</w:t>
      </w:r>
      <w:r>
        <w:rPr>
          <w:color w:val="231F20"/>
          <w:spacing w:val="11"/>
          <w:sz w:val="20"/>
        </w:rPr>
        <w:t> </w:t>
      </w:r>
      <w:r>
        <w:rPr>
          <w:color w:val="231F20"/>
          <w:sz w:val="20"/>
        </w:rPr>
        <w:t>a</w:t>
      </w:r>
      <w:r>
        <w:rPr>
          <w:color w:val="231F20"/>
          <w:spacing w:val="11"/>
          <w:sz w:val="20"/>
        </w:rPr>
        <w:t> </w:t>
      </w:r>
      <w:r>
        <w:rPr>
          <w:color w:val="231F20"/>
          <w:sz w:val="20"/>
        </w:rPr>
        <w:t>new</w:t>
      </w:r>
      <w:r>
        <w:rPr>
          <w:color w:val="231F20"/>
          <w:spacing w:val="11"/>
          <w:sz w:val="20"/>
        </w:rPr>
        <w:t> </w:t>
      </w:r>
      <w:r>
        <w:rPr>
          <w:color w:val="231F20"/>
          <w:sz w:val="20"/>
        </w:rPr>
        <w:t>user</w:t>
      </w:r>
      <w:r>
        <w:rPr>
          <w:color w:val="231F20"/>
          <w:spacing w:val="11"/>
          <w:sz w:val="20"/>
        </w:rPr>
        <w:t> </w:t>
      </w:r>
      <w:r>
        <w:rPr>
          <w:color w:val="231F20"/>
          <w:sz w:val="20"/>
        </w:rPr>
        <w:t>ID</w:t>
      </w:r>
      <w:r>
        <w:rPr>
          <w:color w:val="231F20"/>
          <w:spacing w:val="11"/>
          <w:sz w:val="20"/>
        </w:rPr>
        <w:t> </w:t>
      </w:r>
      <w:r>
        <w:rPr>
          <w:color w:val="231F20"/>
          <w:sz w:val="20"/>
        </w:rPr>
        <w:t>or</w:t>
      </w:r>
      <w:r>
        <w:rPr>
          <w:color w:val="231F20"/>
          <w:spacing w:val="12"/>
          <w:sz w:val="20"/>
        </w:rPr>
        <w:t> </w:t>
      </w:r>
      <w:r>
        <w:rPr>
          <w:color w:val="231F20"/>
          <w:sz w:val="20"/>
        </w:rPr>
        <w:t>create</w:t>
      </w:r>
      <w:r>
        <w:rPr>
          <w:color w:val="231F20"/>
          <w:spacing w:val="11"/>
          <w:sz w:val="20"/>
        </w:rPr>
        <w:t> </w:t>
      </w:r>
      <w:r>
        <w:rPr>
          <w:color w:val="231F20"/>
          <w:sz w:val="20"/>
        </w:rPr>
        <w:t>one</w:t>
      </w:r>
      <w:r>
        <w:rPr>
          <w:color w:val="231F20"/>
          <w:spacing w:val="11"/>
          <w:sz w:val="20"/>
        </w:rPr>
        <w:t> </w:t>
      </w:r>
      <w:r>
        <w:rPr>
          <w:color w:val="231F20"/>
          <w:sz w:val="20"/>
        </w:rPr>
        <w:t>from</w:t>
      </w:r>
      <w:r>
        <w:rPr>
          <w:color w:val="231F20"/>
          <w:spacing w:val="11"/>
          <w:sz w:val="20"/>
        </w:rPr>
        <w:t> </w:t>
      </w:r>
      <w:r>
        <w:rPr>
          <w:color w:val="231F20"/>
          <w:spacing w:val="-2"/>
          <w:sz w:val="20"/>
        </w:rPr>
        <w:t>another:</w:t>
      </w:r>
    </w:p>
    <w:p>
      <w:pPr>
        <w:pStyle w:val="BodyText"/>
        <w:spacing w:line="213" w:lineRule="auto" w:before="52"/>
        <w:ind w:left="2764" w:right="636" w:hanging="216"/>
      </w:pPr>
      <w:r>
        <w:rPr>
          <w:rFonts w:ascii="Futura MdCn BT"/>
          <w:color w:val="231F20"/>
        </w:rPr>
        <w:t>v</w:t>
      </w:r>
      <w:r>
        <w:rPr>
          <w:rFonts w:ascii="Futura MdCn BT"/>
          <w:color w:val="231F20"/>
          <w:spacing w:val="80"/>
        </w:rPr>
        <w:t> </w:t>
      </w:r>
      <w:r>
        <w:rPr>
          <w:color w:val="231F20"/>
        </w:rPr>
        <w:t>To create a new user ID with the default user profile, click </w:t>
      </w:r>
      <w:r>
        <w:rPr>
          <w:color w:val="231F20"/>
          <w:spacing w:val="-25"/>
          <w:position w:val="-1"/>
        </w:rPr>
        <w:drawing>
          <wp:inline distT="0" distB="0" distL="0" distR="0">
            <wp:extent cx="95250" cy="101600"/>
            <wp:effectExtent l="0" t="0" r="0" b="0"/>
            <wp:docPr id="2878" name="Image 2878"/>
            <wp:cNvGraphicFramePr>
              <a:graphicFrameLocks/>
            </wp:cNvGraphicFramePr>
            <a:graphic>
              <a:graphicData uri="http://schemas.openxmlformats.org/drawingml/2006/picture">
                <pic:pic>
                  <pic:nvPicPr>
                    <pic:cNvPr id="2878" name="Image 287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17"/>
        </w:rPr>
        <w:t> </w:t>
      </w:r>
      <w:r>
        <w:rPr>
          <w:rFonts w:ascii="Book Antiqua"/>
          <w:b/>
          <w:color w:val="231F20"/>
        </w:rPr>
        <w:t>Create </w:t>
      </w:r>
      <w:r>
        <w:rPr>
          <w:rFonts w:ascii="Book Antiqua"/>
          <w:b/>
          <w:color w:val="231F20"/>
        </w:rPr>
        <w:t>New</w:t>
      </w:r>
      <w:r>
        <w:rPr>
          <w:rFonts w:ascii="Book Antiqua"/>
          <w:b/>
          <w:color w:val="231F20"/>
        </w:rPr>
        <w:t> </w:t>
      </w:r>
      <w:r>
        <w:rPr>
          <w:rFonts w:ascii="Book Antiqua"/>
          <w:b/>
          <w:color w:val="231F20"/>
          <w:spacing w:val="-4"/>
        </w:rPr>
        <w:t>User</w:t>
      </w:r>
      <w:r>
        <w:rPr>
          <w:color w:val="231F20"/>
          <w:spacing w:val="-4"/>
        </w:rPr>
        <w:t>.</w:t>
      </w:r>
    </w:p>
    <w:p>
      <w:pPr>
        <w:pStyle w:val="BodyText"/>
        <w:spacing w:line="213" w:lineRule="auto" w:before="59"/>
        <w:ind w:left="2764" w:right="493" w:hanging="216"/>
      </w:pPr>
      <w:r>
        <w:rPr>
          <w:rFonts w:ascii="Futura MdCn BT"/>
          <w:color w:val="231F20"/>
        </w:rPr>
        <w:t>v</w:t>
      </w:r>
      <w:r>
        <w:rPr>
          <w:rFonts w:ascii="Futura MdCn BT"/>
          <w:color w:val="231F20"/>
          <w:spacing w:val="80"/>
        </w:rPr>
        <w:t> </w:t>
      </w:r>
      <w:r>
        <w:rPr>
          <w:color w:val="231F20"/>
        </w:rPr>
        <w:t>To create a new user ID from an existing one, select the profile that you want</w:t>
      </w:r>
      <w:r>
        <w:rPr>
          <w:color w:val="231F20"/>
          <w:spacing w:val="80"/>
        </w:rPr>
        <w:t> </w:t>
      </w:r>
      <w:r>
        <w:rPr>
          <w:color w:val="231F20"/>
        </w:rPr>
        <w:t>to use from the </w:t>
      </w:r>
      <w:r>
        <w:rPr>
          <w:rFonts w:ascii="Book Antiqua"/>
          <w:b/>
          <w:color w:val="231F20"/>
        </w:rPr>
        <w:t>Users </w:t>
      </w:r>
      <w:r>
        <w:rPr>
          <w:color w:val="231F20"/>
        </w:rPr>
        <w:t>list and click</w:t>
      </w:r>
      <w:r>
        <w:rPr>
          <w:color w:val="231F20"/>
          <w:spacing w:val="40"/>
        </w:rPr>
        <w:t> </w:t>
      </w:r>
      <w:r>
        <w:rPr>
          <w:color w:val="231F20"/>
          <w:spacing w:val="-15"/>
          <w:position w:val="-1"/>
        </w:rPr>
        <w:drawing>
          <wp:inline distT="0" distB="0" distL="0" distR="0">
            <wp:extent cx="82550" cy="95250"/>
            <wp:effectExtent l="0" t="0" r="0" b="0"/>
            <wp:docPr id="2879" name="Image 2879"/>
            <wp:cNvGraphicFramePr>
              <a:graphicFrameLocks/>
            </wp:cNvGraphicFramePr>
            <a:graphic>
              <a:graphicData uri="http://schemas.openxmlformats.org/drawingml/2006/picture">
                <pic:pic>
                  <pic:nvPicPr>
                    <pic:cNvPr id="2879" name="Image 2879"/>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5"/>
          <w:position w:val="-1"/>
        </w:rPr>
      </w:r>
      <w:r>
        <w:rPr>
          <w:rFonts w:ascii="Times New Roman"/>
          <w:color w:val="231F20"/>
          <w:spacing w:val="38"/>
        </w:rPr>
        <w:t> </w:t>
      </w:r>
      <w:r>
        <w:rPr>
          <w:rFonts w:ascii="Book Antiqua"/>
          <w:b/>
          <w:color w:val="231F20"/>
        </w:rPr>
        <w:t>Create Another User</w:t>
      </w:r>
      <w:r>
        <w:rPr>
          <w:color w:val="231F20"/>
        </w:rPr>
        <w:t>.</w:t>
      </w:r>
    </w:p>
    <w:p>
      <w:pPr>
        <w:pStyle w:val="ListParagraph"/>
        <w:numPr>
          <w:ilvl w:val="0"/>
          <w:numId w:val="157"/>
        </w:numPr>
        <w:tabs>
          <w:tab w:pos="2547" w:val="left" w:leader="none"/>
        </w:tabs>
        <w:spacing w:line="240" w:lineRule="auto" w:before="35"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9"/>
          <w:sz w:val="20"/>
        </w:rPr>
        <w:t> </w:t>
      </w:r>
      <w:r>
        <w:rPr>
          <w:color w:val="231F20"/>
          <w:sz w:val="20"/>
        </w:rPr>
        <w:t>Create</w:t>
      </w:r>
      <w:r>
        <w:rPr>
          <w:color w:val="231F20"/>
          <w:spacing w:val="9"/>
          <w:sz w:val="20"/>
        </w:rPr>
        <w:t> </w:t>
      </w:r>
      <w:r>
        <w:rPr>
          <w:color w:val="231F20"/>
          <w:sz w:val="20"/>
        </w:rPr>
        <w:t>New</w:t>
      </w:r>
      <w:r>
        <w:rPr>
          <w:color w:val="231F20"/>
          <w:spacing w:val="9"/>
          <w:sz w:val="20"/>
        </w:rPr>
        <w:t> </w:t>
      </w:r>
      <w:r>
        <w:rPr>
          <w:color w:val="231F20"/>
          <w:sz w:val="20"/>
        </w:rPr>
        <w:t>User</w:t>
      </w:r>
      <w:r>
        <w:rPr>
          <w:color w:val="231F20"/>
          <w:spacing w:val="10"/>
          <w:sz w:val="20"/>
        </w:rPr>
        <w:t> </w:t>
      </w:r>
      <w:r>
        <w:rPr>
          <w:color w:val="231F20"/>
          <w:sz w:val="20"/>
        </w:rPr>
        <w:t>window,</w:t>
      </w:r>
      <w:r>
        <w:rPr>
          <w:color w:val="231F20"/>
          <w:spacing w:val="9"/>
          <w:sz w:val="20"/>
        </w:rPr>
        <w:t> </w:t>
      </w:r>
      <w:r>
        <w:rPr>
          <w:color w:val="231F20"/>
          <w:sz w:val="20"/>
        </w:rPr>
        <w:t>enter</w:t>
      </w:r>
      <w:r>
        <w:rPr>
          <w:color w:val="231F20"/>
          <w:spacing w:val="9"/>
          <w:sz w:val="20"/>
        </w:rPr>
        <w:t> </w:t>
      </w:r>
      <w:r>
        <w:rPr>
          <w:color w:val="231F20"/>
          <w:sz w:val="20"/>
        </w:rPr>
        <w:t>the</w:t>
      </w:r>
      <w:r>
        <w:rPr>
          <w:color w:val="231F20"/>
          <w:spacing w:val="9"/>
          <w:sz w:val="20"/>
        </w:rPr>
        <w:t> </w:t>
      </w:r>
      <w:r>
        <w:rPr>
          <w:color w:val="231F20"/>
          <w:sz w:val="20"/>
        </w:rPr>
        <w:t>user</w:t>
      </w:r>
      <w:r>
        <w:rPr>
          <w:color w:val="231F20"/>
          <w:spacing w:val="10"/>
          <w:sz w:val="20"/>
        </w:rPr>
        <w:t> </w:t>
      </w:r>
      <w:r>
        <w:rPr>
          <w:color w:val="231F20"/>
          <w:spacing w:val="-2"/>
          <w:sz w:val="20"/>
        </w:rPr>
        <w:t>information:</w:t>
      </w:r>
    </w:p>
    <w:p>
      <w:pPr>
        <w:pStyle w:val="BodyText"/>
        <w:spacing w:line="213" w:lineRule="auto" w:before="53"/>
        <w:ind w:left="2764" w:right="493" w:hanging="216"/>
      </w:pPr>
      <w:r>
        <w:rPr>
          <w:rFonts w:ascii="Futura MdCn BT" w:hAnsi="Futura MdCn BT"/>
          <w:color w:val="231F20"/>
        </w:rPr>
        <w:t>v</w:t>
      </w:r>
      <w:r>
        <w:rPr>
          <w:rFonts w:ascii="Futura MdCn BT" w:hAnsi="Futura MdCn BT"/>
          <w:color w:val="231F20"/>
          <w:spacing w:val="80"/>
        </w:rPr>
        <w:t> </w:t>
      </w:r>
      <w:r>
        <w:rPr>
          <w:rFonts w:ascii="Book Antiqua" w:hAnsi="Book Antiqua"/>
          <w:b/>
          <w:color w:val="231F20"/>
        </w:rPr>
        <w:t>User ID</w:t>
      </w:r>
      <w:r>
        <w:rPr>
          <w:color w:val="231F20"/>
        </w:rPr>
        <w:t>: The logon name. The name must use ASCII characters, can be up </w:t>
      </w:r>
      <w:r>
        <w:rPr>
          <w:color w:val="231F20"/>
        </w:rPr>
        <w:t>to</w:t>
      </w:r>
      <w:r>
        <w:rPr>
          <w:color w:val="231F20"/>
          <w:spacing w:val="40"/>
        </w:rPr>
        <w:t> </w:t>
      </w:r>
      <w:r>
        <w:rPr>
          <w:color w:val="231F20"/>
        </w:rPr>
        <w:t>10 characters, and can contain no spaces. The name is limited to eight characters if user authentication is at the hub monitoring server and uses RACF</w:t>
      </w:r>
      <w:r>
        <w:rPr>
          <w:color w:val="231F20"/>
          <w:vertAlign w:val="superscript"/>
        </w:rPr>
        <w:t>®</w:t>
      </w:r>
      <w:r>
        <w:rPr>
          <w:color w:val="231F20"/>
          <w:vertAlign w:val="baseline"/>
        </w:rPr>
        <w:t> (resource access control facility) security for z/OS.</w:t>
      </w:r>
    </w:p>
    <w:p>
      <w:pPr>
        <w:pStyle w:val="BodyText"/>
        <w:spacing w:line="213" w:lineRule="auto" w:before="57"/>
        <w:ind w:left="2764" w:right="493" w:hanging="216"/>
      </w:pPr>
      <w:r>
        <w:rPr>
          <w:rFonts w:ascii="Futura MdCn BT"/>
          <w:color w:val="231F20"/>
        </w:rPr>
        <w:t>v</w:t>
      </w:r>
      <w:r>
        <w:rPr>
          <w:rFonts w:ascii="Futura MdCn BT"/>
          <w:color w:val="231F20"/>
          <w:spacing w:val="80"/>
        </w:rPr>
        <w:t> </w:t>
      </w:r>
      <w:r>
        <w:rPr>
          <w:rFonts w:ascii="Book Antiqua"/>
          <w:b/>
          <w:color w:val="231F20"/>
        </w:rPr>
        <w:t>User Name</w:t>
      </w:r>
      <w:r>
        <w:rPr>
          <w:color w:val="231F20"/>
        </w:rPr>
        <w:t>: The name of the user or job classification or both. This name can</w:t>
      </w:r>
      <w:r>
        <w:rPr>
          <w:color w:val="231F20"/>
          <w:spacing w:val="40"/>
        </w:rPr>
        <w:t> </w:t>
      </w:r>
      <w:r>
        <w:rPr>
          <w:color w:val="231F20"/>
        </w:rPr>
        <w:t>include</w:t>
      </w:r>
      <w:r>
        <w:rPr>
          <w:color w:val="231F20"/>
          <w:spacing w:val="27"/>
        </w:rPr>
        <w:t> </w:t>
      </w:r>
      <w:r>
        <w:rPr>
          <w:color w:val="231F20"/>
        </w:rPr>
        <w:t>spaces</w:t>
      </w:r>
      <w:r>
        <w:rPr>
          <w:color w:val="231F20"/>
          <w:spacing w:val="27"/>
        </w:rPr>
        <w:t> </w:t>
      </w:r>
      <w:r>
        <w:rPr>
          <w:color w:val="231F20"/>
        </w:rPr>
        <w:t>and</w:t>
      </w:r>
      <w:r>
        <w:rPr>
          <w:color w:val="231F20"/>
          <w:spacing w:val="27"/>
        </w:rPr>
        <w:t> </w:t>
      </w:r>
      <w:r>
        <w:rPr>
          <w:color w:val="231F20"/>
        </w:rPr>
        <w:t>be</w:t>
      </w:r>
      <w:r>
        <w:rPr>
          <w:color w:val="231F20"/>
          <w:spacing w:val="27"/>
        </w:rPr>
        <w:t> </w:t>
      </w:r>
      <w:r>
        <w:rPr>
          <w:color w:val="231F20"/>
        </w:rPr>
        <w:t>up</w:t>
      </w:r>
      <w:r>
        <w:rPr>
          <w:color w:val="231F20"/>
          <w:spacing w:val="27"/>
        </w:rPr>
        <w:t> </w:t>
      </w:r>
      <w:r>
        <w:rPr>
          <w:color w:val="231F20"/>
        </w:rPr>
        <w:t>to</w:t>
      </w:r>
      <w:r>
        <w:rPr>
          <w:color w:val="231F20"/>
          <w:spacing w:val="27"/>
        </w:rPr>
        <w:t> </w:t>
      </w:r>
      <w:r>
        <w:rPr>
          <w:color w:val="231F20"/>
        </w:rPr>
        <w:t>32</w:t>
      </w:r>
      <w:r>
        <w:rPr>
          <w:color w:val="231F20"/>
          <w:spacing w:val="27"/>
        </w:rPr>
        <w:t> </w:t>
      </w:r>
      <w:r>
        <w:rPr>
          <w:color w:val="231F20"/>
        </w:rPr>
        <w:t>characters.</w:t>
      </w:r>
      <w:r>
        <w:rPr>
          <w:color w:val="231F20"/>
          <w:spacing w:val="27"/>
        </w:rPr>
        <w:t> </w:t>
      </w:r>
      <w:r>
        <w:rPr>
          <w:color w:val="231F20"/>
        </w:rPr>
        <w:t>The</w:t>
      </w:r>
      <w:r>
        <w:rPr>
          <w:color w:val="231F20"/>
          <w:spacing w:val="27"/>
        </w:rPr>
        <w:t> </w:t>
      </w:r>
      <w:r>
        <w:rPr>
          <w:color w:val="231F20"/>
        </w:rPr>
        <w:t>user</w:t>
      </w:r>
      <w:r>
        <w:rPr>
          <w:color w:val="231F20"/>
          <w:spacing w:val="27"/>
        </w:rPr>
        <w:t> </w:t>
      </w:r>
      <w:r>
        <w:rPr>
          <w:color w:val="231F20"/>
        </w:rPr>
        <w:t>name</w:t>
      </w:r>
      <w:r>
        <w:rPr>
          <w:color w:val="231F20"/>
          <w:spacing w:val="27"/>
        </w:rPr>
        <w:t> </w:t>
      </w:r>
      <w:r>
        <w:rPr>
          <w:color w:val="231F20"/>
        </w:rPr>
        <w:t>is</w:t>
      </w:r>
      <w:r>
        <w:rPr>
          <w:color w:val="231F20"/>
          <w:spacing w:val="27"/>
        </w:rPr>
        <w:t> </w:t>
      </w:r>
      <w:r>
        <w:rPr>
          <w:color w:val="231F20"/>
        </w:rPr>
        <w:t>displayed</w:t>
      </w:r>
      <w:r>
        <w:rPr>
          <w:color w:val="231F20"/>
          <w:spacing w:val="27"/>
        </w:rPr>
        <w:t> </w:t>
      </w:r>
      <w:r>
        <w:rPr>
          <w:color w:val="231F20"/>
        </w:rPr>
        <w:t>in </w:t>
      </w:r>
      <w:r>
        <w:rPr>
          <w:rFonts w:ascii="Book Antiqua"/>
          <w:b/>
          <w:color w:val="231F20"/>
        </w:rPr>
        <w:t>Users </w:t>
      </w:r>
      <w:r>
        <w:rPr>
          <w:color w:val="231F20"/>
        </w:rPr>
        <w:t>list.</w:t>
      </w:r>
    </w:p>
    <w:p>
      <w:pPr>
        <w:pStyle w:val="BodyText"/>
        <w:spacing w:line="213" w:lineRule="auto" w:before="58"/>
        <w:ind w:left="2764" w:right="700" w:hanging="216"/>
      </w:pPr>
      <w:r>
        <w:rPr>
          <w:rFonts w:ascii="Futura MdCn BT"/>
          <w:color w:val="231F20"/>
        </w:rPr>
        <w:t>v</w:t>
      </w:r>
      <w:r>
        <w:rPr>
          <w:rFonts w:ascii="Futura MdCn BT"/>
          <w:color w:val="231F20"/>
          <w:spacing w:val="80"/>
        </w:rPr>
        <w:t> </w:t>
      </w:r>
      <w:r>
        <w:rPr>
          <w:rFonts w:ascii="Book Antiqua"/>
          <w:b/>
          <w:color w:val="231F20"/>
        </w:rPr>
        <w:t>Distinguished Name: </w:t>
      </w:r>
      <w:r>
        <w:rPr>
          <w:color w:val="231F20"/>
        </w:rPr>
        <w:t>The unique identifier in the Lightweight </w:t>
      </w:r>
      <w:r>
        <w:rPr>
          <w:color w:val="231F20"/>
        </w:rPr>
        <w:t>Directory</w:t>
      </w:r>
      <w:r>
        <w:rPr>
          <w:color w:val="231F20"/>
        </w:rPr>
        <w:t> Access Protocol (LDAP) user registry for the name given in the </w:t>
      </w:r>
      <w:r>
        <w:rPr>
          <w:rFonts w:ascii="Book Antiqua"/>
          <w:b/>
          <w:color w:val="231F20"/>
        </w:rPr>
        <w:t>User ID </w:t>
      </w:r>
      <w:r>
        <w:rPr>
          <w:color w:val="231F20"/>
        </w:rPr>
        <w:t>field. Click </w:t>
      </w:r>
      <w:r>
        <w:rPr>
          <w:rFonts w:ascii="Book Antiqua"/>
          <w:b/>
          <w:color w:val="231F20"/>
        </w:rPr>
        <w:t>Find </w:t>
      </w:r>
      <w:r>
        <w:rPr>
          <w:color w:val="231F20"/>
        </w:rPr>
        <w:t>to locate and insert the distinguished name, such as </w:t>
      </w:r>
      <w:r>
        <w:rPr>
          <w:color w:val="231F20"/>
          <w:spacing w:val="-2"/>
        </w:rPr>
        <w:t>UID=FRIDA,O=DEFAULTWIMITMBASEDREALM</w:t>
      </w:r>
    </w:p>
    <w:p>
      <w:pPr>
        <w:pStyle w:val="BodyText"/>
        <w:spacing w:line="213" w:lineRule="auto" w:before="57"/>
        <w:ind w:left="2764" w:right="493" w:hanging="216"/>
      </w:pPr>
      <w:r>
        <w:rPr>
          <w:rFonts w:ascii="Futura MdCn BT"/>
          <w:color w:val="231F20"/>
        </w:rPr>
        <w:t>v</w:t>
      </w:r>
      <w:r>
        <w:rPr>
          <w:rFonts w:ascii="Futura MdCn BT"/>
          <w:color w:val="231F20"/>
          <w:spacing w:val="80"/>
        </w:rPr>
        <w:t> </w:t>
      </w:r>
      <w:r>
        <w:rPr>
          <w:rFonts w:ascii="Book Antiqua"/>
          <w:b/>
          <w:color w:val="231F20"/>
        </w:rPr>
        <w:t>User Description: </w:t>
      </w:r>
      <w:r>
        <w:rPr>
          <w:color w:val="231F20"/>
        </w:rPr>
        <w:t>Optional description for the user. The text can </w:t>
      </w:r>
      <w:r>
        <w:rPr>
          <w:color w:val="231F20"/>
        </w:rPr>
        <w:t>include</w:t>
      </w:r>
      <w:r>
        <w:rPr>
          <w:color w:val="231F20"/>
        </w:rPr>
        <w:t> spaces and punctuation.</w:t>
      </w:r>
    </w:p>
    <w:p>
      <w:pPr>
        <w:pStyle w:val="ListParagraph"/>
        <w:numPr>
          <w:ilvl w:val="0"/>
          <w:numId w:val="157"/>
        </w:numPr>
        <w:tabs>
          <w:tab w:pos="2548" w:val="left" w:leader="none"/>
        </w:tabs>
        <w:spacing w:line="213" w:lineRule="auto" w:before="58" w:after="0"/>
        <w:ind w:left="2548" w:right="452" w:hanging="316"/>
        <w:jc w:val="left"/>
        <w:rPr>
          <w:sz w:val="20"/>
        </w:rPr>
      </w:pPr>
      <w:r>
        <w:rPr>
          <w:color w:val="231F20"/>
          <w:sz w:val="20"/>
        </w:rPr>
        <w:t>Click </w:t>
      </w:r>
      <w:r>
        <w:rPr>
          <w:rFonts w:ascii="Book Antiqua"/>
          <w:b/>
          <w:color w:val="231F20"/>
          <w:sz w:val="20"/>
        </w:rPr>
        <w:t>OK </w:t>
      </w:r>
      <w:r>
        <w:rPr>
          <w:color w:val="231F20"/>
          <w:sz w:val="20"/>
        </w:rPr>
        <w:t>to close the window and see the new user ID arranged </w:t>
      </w:r>
      <w:r>
        <w:rPr>
          <w:color w:val="231F20"/>
          <w:sz w:val="20"/>
        </w:rPr>
        <w:t>alphabetically</w:t>
      </w:r>
      <w:r>
        <w:rPr>
          <w:color w:val="231F20"/>
          <w:spacing w:val="40"/>
          <w:sz w:val="20"/>
        </w:rPr>
        <w:t> </w:t>
      </w:r>
      <w:r>
        <w:rPr>
          <w:color w:val="231F20"/>
          <w:sz w:val="20"/>
        </w:rPr>
        <w:t>in the </w:t>
      </w:r>
      <w:r>
        <w:rPr>
          <w:rFonts w:ascii="Book Antiqua"/>
          <w:b/>
          <w:color w:val="231F20"/>
          <w:sz w:val="20"/>
        </w:rPr>
        <w:t>Users </w:t>
      </w:r>
      <w:r>
        <w:rPr>
          <w:color w:val="231F20"/>
          <w:sz w:val="20"/>
        </w:rPr>
        <w:t>list.</w:t>
      </w:r>
    </w:p>
    <w:p>
      <w:pPr>
        <w:pStyle w:val="ListParagraph"/>
        <w:numPr>
          <w:ilvl w:val="0"/>
          <w:numId w:val="157"/>
        </w:numPr>
        <w:tabs>
          <w:tab w:pos="2548" w:val="left" w:leader="none"/>
        </w:tabs>
        <w:spacing w:line="213" w:lineRule="auto" w:before="59" w:after="0"/>
        <w:ind w:left="2548" w:right="420" w:hanging="316"/>
        <w:jc w:val="left"/>
        <w:rPr>
          <w:sz w:val="20"/>
        </w:rPr>
      </w:pPr>
      <w:r>
        <w:rPr>
          <w:color w:val="231F20"/>
          <w:sz w:val="20"/>
        </w:rPr>
        <w:t>To change the </w:t>
      </w:r>
      <w:r>
        <w:rPr>
          <w:color w:val="231F20"/>
          <w:spacing w:val="-24"/>
          <w:position w:val="-1"/>
          <w:sz w:val="20"/>
        </w:rPr>
        <w:drawing>
          <wp:inline distT="0" distB="0" distL="0" distR="0">
            <wp:extent cx="95250" cy="101600"/>
            <wp:effectExtent l="0" t="0" r="0" b="0"/>
            <wp:docPr id="2880" name="Image 2880"/>
            <wp:cNvGraphicFramePr>
              <a:graphicFrameLocks/>
            </wp:cNvGraphicFramePr>
            <a:graphic>
              <a:graphicData uri="http://schemas.openxmlformats.org/drawingml/2006/picture">
                <pic:pic>
                  <pic:nvPicPr>
                    <pic:cNvPr id="2880" name="Image 2880"/>
                    <pic:cNvPicPr/>
                  </pic:nvPicPr>
                  <pic:blipFill>
                    <a:blip r:embed="rId181"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rFonts w:ascii="Book Antiqua"/>
          <w:b/>
          <w:color w:val="231F20"/>
          <w:sz w:val="20"/>
        </w:rPr>
        <w:t>Permissions</w:t>
      </w:r>
      <w:r>
        <w:rPr>
          <w:color w:val="231F20"/>
          <w:sz w:val="20"/>
        </w:rPr>
        <w:t>, select a function from the </w:t>
      </w:r>
      <w:r>
        <w:rPr>
          <w:rFonts w:ascii="Book Antiqua"/>
          <w:b/>
          <w:color w:val="231F20"/>
          <w:sz w:val="20"/>
        </w:rPr>
        <w:t>Authorities </w:t>
      </w:r>
      <w:r>
        <w:rPr>
          <w:color w:val="231F20"/>
          <w:sz w:val="20"/>
        </w:rPr>
        <w:t>tree and select or clear each option as appropriate for all functions with permissions </w:t>
      </w:r>
      <w:r>
        <w:rPr>
          <w:color w:val="231F20"/>
          <w:sz w:val="20"/>
        </w:rPr>
        <w:t>that you want to change.</w:t>
      </w:r>
    </w:p>
    <w:p>
      <w:pPr>
        <w:pStyle w:val="ListParagraph"/>
        <w:numPr>
          <w:ilvl w:val="0"/>
          <w:numId w:val="157"/>
        </w:numPr>
        <w:tabs>
          <w:tab w:pos="2546" w:val="left" w:leader="none"/>
          <w:tab w:pos="2548" w:val="left" w:leader="none"/>
        </w:tabs>
        <w:spacing w:line="213" w:lineRule="auto" w:before="58" w:after="0"/>
        <w:ind w:left="2548" w:right="479" w:hanging="317"/>
        <w:jc w:val="left"/>
        <w:rPr>
          <w:sz w:val="20"/>
        </w:rPr>
      </w:pPr>
      <w:r>
        <w:rPr>
          <w:color w:val="231F20"/>
          <w:sz w:val="20"/>
        </w:rPr>
        <w:t>To assign access privileges to applications (managed system types), click the </w:t>
      </w:r>
      <w:r>
        <w:rPr>
          <w:color w:val="231F20"/>
          <w:spacing w:val="24"/>
          <w:position w:val="-1"/>
          <w:sz w:val="20"/>
        </w:rPr>
        <w:drawing>
          <wp:inline distT="0" distB="0" distL="0" distR="0">
            <wp:extent cx="95250" cy="95250"/>
            <wp:effectExtent l="0" t="0" r="0" b="0"/>
            <wp:docPr id="2881" name="Image 2881"/>
            <wp:cNvGraphicFramePr>
              <a:graphicFrameLocks/>
            </wp:cNvGraphicFramePr>
            <a:graphic>
              <a:graphicData uri="http://schemas.openxmlformats.org/drawingml/2006/picture">
                <pic:pic>
                  <pic:nvPicPr>
                    <pic:cNvPr id="2881" name="Image 2881"/>
                    <pic:cNvPicPr/>
                  </pic:nvPicPr>
                  <pic:blipFill>
                    <a:blip r:embed="rId45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4"/>
          <w:position w:val="-1"/>
          <w:sz w:val="20"/>
        </w:rPr>
        <w:t> </w:t>
      </w:r>
      <w:r>
        <w:rPr>
          <w:rFonts w:ascii="Book Antiqua"/>
          <w:b/>
          <w:color w:val="231F20"/>
          <w:sz w:val="20"/>
        </w:rPr>
        <w:t>Applications </w:t>
      </w:r>
      <w:r>
        <w:rPr>
          <w:color w:val="231F20"/>
          <w:sz w:val="20"/>
        </w:rPr>
        <w:t>tab, then select </w:t>
      </w:r>
      <w:r>
        <w:rPr>
          <w:rFonts w:ascii="Book Antiqua"/>
          <w:b/>
          <w:color w:val="231F20"/>
          <w:sz w:val="20"/>
        </w:rPr>
        <w:t>&lt;All Applications&gt; </w:t>
      </w:r>
      <w:r>
        <w:rPr>
          <w:color w:val="231F20"/>
          <w:sz w:val="20"/>
        </w:rPr>
        <w:t>or the individual </w:t>
      </w:r>
      <w:r>
        <w:rPr>
          <w:color w:val="231F20"/>
          <w:sz w:val="20"/>
        </w:rPr>
        <w:t>applications the</w:t>
      </w:r>
      <w:r>
        <w:rPr>
          <w:color w:val="231F20"/>
          <w:spacing w:val="25"/>
          <w:sz w:val="20"/>
        </w:rPr>
        <w:t> </w:t>
      </w:r>
      <w:r>
        <w:rPr>
          <w:color w:val="231F20"/>
          <w:sz w:val="20"/>
        </w:rPr>
        <w:t>user</w:t>
      </w:r>
      <w:r>
        <w:rPr>
          <w:color w:val="231F20"/>
          <w:spacing w:val="25"/>
          <w:sz w:val="20"/>
        </w:rPr>
        <w:t> </w:t>
      </w:r>
      <w:r>
        <w:rPr>
          <w:color w:val="231F20"/>
          <w:sz w:val="20"/>
        </w:rPr>
        <w:t>should</w:t>
      </w:r>
      <w:r>
        <w:rPr>
          <w:color w:val="231F20"/>
          <w:spacing w:val="25"/>
          <w:sz w:val="20"/>
        </w:rPr>
        <w:t> </w:t>
      </w:r>
      <w:r>
        <w:rPr>
          <w:color w:val="231F20"/>
          <w:sz w:val="20"/>
        </w:rPr>
        <w:t>see,</w:t>
      </w:r>
      <w:r>
        <w:rPr>
          <w:color w:val="231F20"/>
          <w:spacing w:val="25"/>
          <w:sz w:val="20"/>
        </w:rPr>
        <w:t> </w:t>
      </w:r>
      <w:r>
        <w:rPr>
          <w:color w:val="231F20"/>
          <w:sz w:val="20"/>
        </w:rPr>
        <w:t>and</w:t>
      </w:r>
      <w:r>
        <w:rPr>
          <w:color w:val="231F20"/>
          <w:spacing w:val="25"/>
          <w:sz w:val="20"/>
        </w:rPr>
        <w:t> </w:t>
      </w:r>
      <w:r>
        <w:rPr>
          <w:color w:val="231F20"/>
          <w:sz w:val="20"/>
        </w:rPr>
        <w:t>click</w:t>
      </w:r>
      <w:r>
        <w:rPr>
          <w:color w:val="231F20"/>
          <w:spacing w:val="40"/>
          <w:sz w:val="20"/>
        </w:rPr>
        <w:t> </w:t>
      </w:r>
      <w:r>
        <w:rPr>
          <w:color w:val="231F20"/>
          <w:spacing w:val="15"/>
          <w:position w:val="1"/>
          <w:sz w:val="20"/>
        </w:rPr>
        <w:drawing>
          <wp:inline distT="0" distB="0" distL="0" distR="0">
            <wp:extent cx="44450" cy="76200"/>
            <wp:effectExtent l="0" t="0" r="0" b="0"/>
            <wp:docPr id="2882" name="Image 2882"/>
            <wp:cNvGraphicFramePr>
              <a:graphicFrameLocks/>
            </wp:cNvGraphicFramePr>
            <a:graphic>
              <a:graphicData uri="http://schemas.openxmlformats.org/drawingml/2006/picture">
                <pic:pic>
                  <pic:nvPicPr>
                    <pic:cNvPr id="2882" name="Image 2882"/>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80"/>
          <w:w w:val="150"/>
          <w:sz w:val="20"/>
        </w:rPr>
        <w:t> </w:t>
      </w:r>
      <w:r>
        <w:rPr>
          <w:color w:val="231F20"/>
          <w:sz w:val="20"/>
        </w:rPr>
        <w:t>to</w:t>
      </w:r>
      <w:r>
        <w:rPr>
          <w:color w:val="231F20"/>
          <w:spacing w:val="25"/>
          <w:sz w:val="20"/>
        </w:rPr>
        <w:t> </w:t>
      </w:r>
      <w:r>
        <w:rPr>
          <w:color w:val="231F20"/>
          <w:sz w:val="20"/>
        </w:rPr>
        <w:t>move</w:t>
      </w:r>
      <w:r>
        <w:rPr>
          <w:color w:val="231F20"/>
          <w:spacing w:val="25"/>
          <w:sz w:val="20"/>
        </w:rPr>
        <w:t> </w:t>
      </w:r>
      <w:r>
        <w:rPr>
          <w:color w:val="231F20"/>
          <w:sz w:val="20"/>
        </w:rPr>
        <w:t>them</w:t>
      </w:r>
      <w:r>
        <w:rPr>
          <w:color w:val="231F20"/>
          <w:spacing w:val="25"/>
          <w:sz w:val="20"/>
        </w:rPr>
        <w:t> </w:t>
      </w:r>
      <w:r>
        <w:rPr>
          <w:color w:val="231F20"/>
          <w:sz w:val="20"/>
        </w:rPr>
        <w:t>to</w:t>
      </w:r>
      <w:r>
        <w:rPr>
          <w:color w:val="231F20"/>
          <w:spacing w:val="25"/>
          <w:sz w:val="20"/>
        </w:rPr>
        <w:t> </w:t>
      </w:r>
      <w:r>
        <w:rPr>
          <w:color w:val="231F20"/>
          <w:sz w:val="20"/>
        </w:rPr>
        <w:t>the</w:t>
      </w:r>
      <w:r>
        <w:rPr>
          <w:color w:val="231F20"/>
          <w:spacing w:val="25"/>
          <w:sz w:val="20"/>
        </w:rPr>
        <w:t> </w:t>
      </w:r>
      <w:r>
        <w:rPr>
          <w:rFonts w:ascii="Book Antiqua"/>
          <w:b/>
          <w:color w:val="231F20"/>
          <w:sz w:val="20"/>
        </w:rPr>
        <w:t>Allowed</w:t>
      </w:r>
      <w:r>
        <w:rPr>
          <w:rFonts w:ascii="Book Antiqua"/>
          <w:b/>
          <w:color w:val="231F20"/>
          <w:spacing w:val="25"/>
          <w:sz w:val="20"/>
        </w:rPr>
        <w:t> </w:t>
      </w:r>
      <w:r>
        <w:rPr>
          <w:rFonts w:ascii="Book Antiqua"/>
          <w:b/>
          <w:color w:val="231F20"/>
          <w:sz w:val="20"/>
        </w:rPr>
        <w:t>Applications </w:t>
      </w:r>
      <w:r>
        <w:rPr>
          <w:color w:val="231F20"/>
          <w:sz w:val="20"/>
        </w:rPr>
        <w:t>list. After selecting the first application, you can use Ctrl+click to select other applications or Shift+click to select all applications between the first selection</w:t>
      </w:r>
      <w:r>
        <w:rPr>
          <w:color w:val="231F20"/>
          <w:spacing w:val="40"/>
          <w:sz w:val="20"/>
        </w:rPr>
        <w:t> </w:t>
      </w:r>
      <w:r>
        <w:rPr>
          <w:color w:val="231F20"/>
          <w:sz w:val="20"/>
        </w:rPr>
        <w:t>and this one.</w:t>
      </w:r>
    </w:p>
    <w:p>
      <w:pPr>
        <w:pStyle w:val="ListParagraph"/>
        <w:numPr>
          <w:ilvl w:val="0"/>
          <w:numId w:val="157"/>
        </w:numPr>
        <w:tabs>
          <w:tab w:pos="2547" w:val="left" w:leader="none"/>
        </w:tabs>
        <w:spacing w:line="240" w:lineRule="auto" w:before="33" w:after="0"/>
        <w:ind w:left="2547" w:right="0" w:hanging="315"/>
        <w:jc w:val="left"/>
        <w:rPr>
          <w:sz w:val="20"/>
        </w:rPr>
      </w:pPr>
      <w:r>
        <w:rPr>
          <w:color w:val="231F20"/>
          <w:sz w:val="20"/>
        </w:rPr>
        <w:t>To</w:t>
      </w:r>
      <w:r>
        <w:rPr>
          <w:color w:val="231F20"/>
          <w:spacing w:val="8"/>
          <w:sz w:val="20"/>
        </w:rPr>
        <w:t> </w:t>
      </w:r>
      <w:r>
        <w:rPr>
          <w:color w:val="231F20"/>
          <w:sz w:val="20"/>
        </w:rPr>
        <w:t>assign</w:t>
      </w:r>
      <w:r>
        <w:rPr>
          <w:color w:val="231F20"/>
          <w:spacing w:val="8"/>
          <w:sz w:val="20"/>
        </w:rPr>
        <w:t> </w:t>
      </w:r>
      <w:r>
        <w:rPr>
          <w:color w:val="231F20"/>
          <w:sz w:val="20"/>
        </w:rPr>
        <w:t>Navigator</w:t>
      </w:r>
      <w:r>
        <w:rPr>
          <w:color w:val="231F20"/>
          <w:spacing w:val="8"/>
          <w:sz w:val="20"/>
        </w:rPr>
        <w:t> </w:t>
      </w:r>
      <w:r>
        <w:rPr>
          <w:color w:val="231F20"/>
          <w:sz w:val="20"/>
        </w:rPr>
        <w:t>views,</w:t>
      </w:r>
      <w:r>
        <w:rPr>
          <w:color w:val="231F20"/>
          <w:spacing w:val="8"/>
          <w:sz w:val="20"/>
        </w:rPr>
        <w:t> </w:t>
      </w:r>
      <w:r>
        <w:rPr>
          <w:color w:val="231F20"/>
          <w:sz w:val="20"/>
        </w:rPr>
        <w:t>click</w:t>
      </w:r>
      <w:r>
        <w:rPr>
          <w:color w:val="231F20"/>
          <w:spacing w:val="8"/>
          <w:sz w:val="20"/>
        </w:rPr>
        <w:t> </w:t>
      </w:r>
      <w:r>
        <w:rPr>
          <w:color w:val="231F20"/>
          <w:sz w:val="20"/>
        </w:rPr>
        <w:t>the</w:t>
      </w:r>
      <w:r>
        <w:rPr>
          <w:color w:val="231F20"/>
          <w:spacing w:val="8"/>
          <w:sz w:val="20"/>
        </w:rPr>
        <w:t> </w:t>
      </w:r>
      <w:r>
        <w:rPr>
          <w:color w:val="231F20"/>
          <w:spacing w:val="15"/>
          <w:position w:val="-1"/>
          <w:sz w:val="20"/>
        </w:rPr>
        <w:drawing>
          <wp:inline distT="0" distB="0" distL="0" distR="0">
            <wp:extent cx="101600" cy="88900"/>
            <wp:effectExtent l="0" t="0" r="0" b="0"/>
            <wp:docPr id="2883" name="Image 2883"/>
            <wp:cNvGraphicFramePr>
              <a:graphicFrameLocks/>
            </wp:cNvGraphicFramePr>
            <a:graphic>
              <a:graphicData uri="http://schemas.openxmlformats.org/drawingml/2006/picture">
                <pic:pic>
                  <pic:nvPicPr>
                    <pic:cNvPr id="2883" name="Image 2883"/>
                    <pic:cNvPicPr/>
                  </pic:nvPicPr>
                  <pic:blipFill>
                    <a:blip r:embed="rId78" cstate="print"/>
                    <a:stretch>
                      <a:fillRect/>
                    </a:stretch>
                  </pic:blipFill>
                  <pic:spPr>
                    <a:xfrm>
                      <a:off x="0" y="0"/>
                      <a:ext cx="101600" cy="88900"/>
                    </a:xfrm>
                    <a:prstGeom prst="rect">
                      <a:avLst/>
                    </a:prstGeom>
                  </pic:spPr>
                </pic:pic>
              </a:graphicData>
            </a:graphic>
          </wp:inline>
        </w:drawing>
      </w:r>
      <w:r>
        <w:rPr>
          <w:color w:val="231F20"/>
          <w:spacing w:val="15"/>
          <w:position w:val="-1"/>
          <w:sz w:val="20"/>
        </w:rPr>
      </w:r>
      <w:r>
        <w:rPr>
          <w:rFonts w:ascii="Times New Roman"/>
          <w:color w:val="231F20"/>
          <w:spacing w:val="38"/>
          <w:sz w:val="20"/>
        </w:rPr>
        <w:t> </w:t>
      </w:r>
      <w:r>
        <w:rPr>
          <w:rFonts w:ascii="Book Antiqua"/>
          <w:b/>
          <w:color w:val="231F20"/>
          <w:sz w:val="20"/>
        </w:rPr>
        <w:t>Navigator</w:t>
      </w:r>
      <w:r>
        <w:rPr>
          <w:rFonts w:ascii="Book Antiqua"/>
          <w:b/>
          <w:color w:val="231F20"/>
          <w:spacing w:val="8"/>
          <w:sz w:val="20"/>
        </w:rPr>
        <w:t> </w:t>
      </w:r>
      <w:r>
        <w:rPr>
          <w:rFonts w:ascii="Book Antiqua"/>
          <w:b/>
          <w:color w:val="231F20"/>
          <w:sz w:val="20"/>
        </w:rPr>
        <w:t>Views</w:t>
      </w:r>
      <w:r>
        <w:rPr>
          <w:rFonts w:ascii="Book Antiqua"/>
          <w:b/>
          <w:color w:val="231F20"/>
          <w:spacing w:val="8"/>
          <w:sz w:val="20"/>
        </w:rPr>
        <w:t> </w:t>
      </w:r>
      <w:r>
        <w:rPr>
          <w:color w:val="231F20"/>
          <w:spacing w:val="-4"/>
          <w:sz w:val="20"/>
        </w:rPr>
        <w:t>tab:</w:t>
      </w:r>
    </w:p>
    <w:p>
      <w:pPr>
        <w:pStyle w:val="ListParagraph"/>
        <w:numPr>
          <w:ilvl w:val="1"/>
          <w:numId w:val="157"/>
        </w:numPr>
        <w:tabs>
          <w:tab w:pos="2864" w:val="left" w:leader="none"/>
        </w:tabs>
        <w:spacing w:line="213" w:lineRule="auto" w:before="52" w:after="0"/>
        <w:ind w:left="2864" w:right="690" w:hanging="316"/>
        <w:jc w:val="both"/>
        <w:rPr>
          <w:sz w:val="20"/>
        </w:rPr>
      </w:pPr>
      <w:r>
        <w:rPr>
          <w:color w:val="231F20"/>
          <w:sz w:val="20"/>
        </w:rPr>
        <w:t>Select a Navigator view (or more with Ctrl + click and Shift + click) from the </w:t>
      </w:r>
      <w:r>
        <w:rPr>
          <w:rFonts w:ascii="Book Antiqua"/>
          <w:b/>
          <w:color w:val="231F20"/>
          <w:sz w:val="20"/>
        </w:rPr>
        <w:t>Available Views </w:t>
      </w:r>
      <w:r>
        <w:rPr>
          <w:color w:val="231F20"/>
          <w:sz w:val="20"/>
        </w:rPr>
        <w:t>and click</w:t>
      </w:r>
      <w:r>
        <w:rPr>
          <w:color w:val="231F20"/>
          <w:spacing w:val="40"/>
          <w:sz w:val="20"/>
        </w:rPr>
        <w:t> </w:t>
      </w:r>
      <w:r>
        <w:rPr>
          <w:color w:val="231F20"/>
          <w:spacing w:val="16"/>
          <w:position w:val="1"/>
          <w:sz w:val="20"/>
        </w:rPr>
        <w:drawing>
          <wp:inline distT="0" distB="0" distL="0" distR="0">
            <wp:extent cx="44450" cy="76200"/>
            <wp:effectExtent l="0" t="0" r="0" b="0"/>
            <wp:docPr id="2884" name="Image 2884"/>
            <wp:cNvGraphicFramePr>
              <a:graphicFrameLocks/>
            </wp:cNvGraphicFramePr>
            <a:graphic>
              <a:graphicData uri="http://schemas.openxmlformats.org/drawingml/2006/picture">
                <pic:pic>
                  <pic:nvPicPr>
                    <pic:cNvPr id="2884" name="Image 288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80"/>
          <w:w w:val="150"/>
          <w:sz w:val="20"/>
        </w:rPr>
        <w:t> </w:t>
      </w:r>
      <w:r>
        <w:rPr>
          <w:color w:val="231F20"/>
          <w:sz w:val="20"/>
        </w:rPr>
        <w:t>to move it to the </w:t>
      </w:r>
      <w:r>
        <w:rPr>
          <w:rFonts w:ascii="Book Antiqua"/>
          <w:b/>
          <w:color w:val="231F20"/>
          <w:sz w:val="20"/>
        </w:rPr>
        <w:t>Assigned Views</w:t>
      </w:r>
      <w:r>
        <w:rPr>
          <w:color w:val="231F20"/>
          <w:sz w:val="20"/>
        </w:rPr>
        <w:t>.</w:t>
      </w:r>
    </w:p>
    <w:p>
      <w:pPr>
        <w:pStyle w:val="ListParagraph"/>
        <w:numPr>
          <w:ilvl w:val="1"/>
          <w:numId w:val="157"/>
        </w:numPr>
        <w:tabs>
          <w:tab w:pos="2862" w:val="left" w:leader="none"/>
          <w:tab w:pos="2864" w:val="left" w:leader="none"/>
        </w:tabs>
        <w:spacing w:line="213" w:lineRule="auto" w:before="59" w:after="0"/>
        <w:ind w:left="2864" w:right="639" w:hanging="317"/>
        <w:jc w:val="both"/>
        <w:rPr>
          <w:sz w:val="20"/>
        </w:rPr>
      </w:pPr>
      <w:r>
        <w:rPr>
          <w:color w:val="231F20"/>
          <w:sz w:val="20"/>
        </w:rPr>
        <w:t>Use</w:t>
      </w:r>
      <w:r>
        <w:rPr>
          <w:color w:val="231F20"/>
          <w:spacing w:val="40"/>
          <w:sz w:val="20"/>
        </w:rPr>
        <w:t> </w:t>
      </w:r>
      <w:r>
        <w:rPr>
          <w:color w:val="231F20"/>
          <w:spacing w:val="6"/>
          <w:position w:val="3"/>
          <w:sz w:val="20"/>
        </w:rPr>
        <w:drawing>
          <wp:inline distT="0" distB="0" distL="0" distR="0">
            <wp:extent cx="76200" cy="44450"/>
            <wp:effectExtent l="0" t="0" r="0" b="0"/>
            <wp:docPr id="2885" name="Image 2885"/>
            <wp:cNvGraphicFramePr>
              <a:graphicFrameLocks/>
            </wp:cNvGraphicFramePr>
            <a:graphic>
              <a:graphicData uri="http://schemas.openxmlformats.org/drawingml/2006/picture">
                <pic:pic>
                  <pic:nvPicPr>
                    <pic:cNvPr id="2885" name="Image 2885"/>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spacing w:val="6"/>
          <w:position w:val="3"/>
          <w:sz w:val="20"/>
        </w:rPr>
      </w:r>
      <w:r>
        <w:rPr>
          <w:rFonts w:ascii="Times New Roman"/>
          <w:color w:val="231F20"/>
          <w:spacing w:val="80"/>
          <w:sz w:val="20"/>
        </w:rPr>
        <w:t> </w:t>
      </w:r>
      <w:r>
        <w:rPr>
          <w:color w:val="231F20"/>
          <w:sz w:val="20"/>
        </w:rPr>
        <w:t>to place the view that you want to be the default at the top of the list; use</w:t>
      </w:r>
      <w:r>
        <w:rPr>
          <w:color w:val="231F20"/>
          <w:spacing w:val="40"/>
          <w:sz w:val="20"/>
        </w:rPr>
        <w:t> </w:t>
      </w:r>
      <w:r>
        <w:rPr>
          <w:color w:val="231F20"/>
          <w:spacing w:val="6"/>
          <w:position w:val="3"/>
          <w:sz w:val="20"/>
        </w:rPr>
        <w:drawing>
          <wp:inline distT="0" distB="0" distL="0" distR="0">
            <wp:extent cx="76200" cy="44450"/>
            <wp:effectExtent l="0" t="0" r="0" b="0"/>
            <wp:docPr id="2886" name="Image 2886"/>
            <wp:cNvGraphicFramePr>
              <a:graphicFrameLocks/>
            </wp:cNvGraphicFramePr>
            <a:graphic>
              <a:graphicData uri="http://schemas.openxmlformats.org/drawingml/2006/picture">
                <pic:pic>
                  <pic:nvPicPr>
                    <pic:cNvPr id="2886" name="Image 2886"/>
                    <pic:cNvPicPr/>
                  </pic:nvPicPr>
                  <pic:blipFill>
                    <a:blip r:embed="rId155" cstate="print"/>
                    <a:stretch>
                      <a:fillRect/>
                    </a:stretch>
                  </pic:blipFill>
                  <pic:spPr>
                    <a:xfrm>
                      <a:off x="0" y="0"/>
                      <a:ext cx="76200" cy="44450"/>
                    </a:xfrm>
                    <a:prstGeom prst="rect">
                      <a:avLst/>
                    </a:prstGeom>
                  </pic:spPr>
                </pic:pic>
              </a:graphicData>
            </a:graphic>
          </wp:inline>
        </w:drawing>
      </w:r>
      <w:r>
        <w:rPr>
          <w:color w:val="231F20"/>
          <w:spacing w:val="6"/>
          <w:position w:val="3"/>
          <w:sz w:val="20"/>
        </w:rPr>
      </w:r>
      <w:r>
        <w:rPr>
          <w:rFonts w:ascii="Times New Roman"/>
          <w:color w:val="231F20"/>
          <w:spacing w:val="40"/>
          <w:sz w:val="20"/>
        </w:rPr>
        <w:t> </w:t>
      </w:r>
      <w:r>
        <w:rPr>
          <w:color w:val="231F20"/>
          <w:sz w:val="20"/>
        </w:rPr>
        <w:t>and</w:t>
      </w:r>
      <w:r>
        <w:rPr>
          <w:color w:val="231F20"/>
          <w:spacing w:val="40"/>
          <w:sz w:val="20"/>
        </w:rPr>
        <w:t> </w:t>
      </w:r>
      <w:r>
        <w:rPr>
          <w:color w:val="231F20"/>
          <w:spacing w:val="6"/>
          <w:position w:val="3"/>
          <w:sz w:val="20"/>
        </w:rPr>
        <w:drawing>
          <wp:inline distT="0" distB="0" distL="0" distR="0">
            <wp:extent cx="76200" cy="44450"/>
            <wp:effectExtent l="0" t="0" r="0" b="0"/>
            <wp:docPr id="2887" name="Image 2887"/>
            <wp:cNvGraphicFramePr>
              <a:graphicFrameLocks/>
            </wp:cNvGraphicFramePr>
            <a:graphic>
              <a:graphicData uri="http://schemas.openxmlformats.org/drawingml/2006/picture">
                <pic:pic>
                  <pic:nvPicPr>
                    <pic:cNvPr id="2887" name="Image 2887"/>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spacing w:val="6"/>
          <w:position w:val="3"/>
          <w:sz w:val="20"/>
        </w:rPr>
      </w:r>
      <w:r>
        <w:rPr>
          <w:rFonts w:ascii="Times New Roman"/>
          <w:color w:val="231F20"/>
          <w:spacing w:val="40"/>
          <w:sz w:val="20"/>
        </w:rPr>
        <w:t> </w:t>
      </w:r>
      <w:r>
        <w:rPr>
          <w:color w:val="231F20"/>
          <w:sz w:val="20"/>
        </w:rPr>
        <w:t>to arrange the other Navigator views in the order that they should appear in the Navigator toolbar View </w:t>
      </w:r>
      <w:r>
        <w:rPr>
          <w:color w:val="231F20"/>
          <w:spacing w:val="15"/>
          <w:position w:val="-1"/>
          <w:sz w:val="20"/>
        </w:rPr>
        <w:drawing>
          <wp:inline distT="0" distB="0" distL="0" distR="0">
            <wp:extent cx="101600" cy="101600"/>
            <wp:effectExtent l="0" t="0" r="0" b="0"/>
            <wp:docPr id="2888" name="Image 2888"/>
            <wp:cNvGraphicFramePr>
              <a:graphicFrameLocks/>
            </wp:cNvGraphicFramePr>
            <a:graphic>
              <a:graphicData uri="http://schemas.openxmlformats.org/drawingml/2006/picture">
                <pic:pic>
                  <pic:nvPicPr>
                    <pic:cNvPr id="2888" name="Image 2888"/>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8"/>
          <w:sz w:val="20"/>
        </w:rPr>
        <w:t> </w:t>
      </w:r>
      <w:r>
        <w:rPr>
          <w:color w:val="231F20"/>
          <w:sz w:val="20"/>
        </w:rPr>
        <w:t>list.</w:t>
      </w:r>
    </w:p>
    <w:p>
      <w:pPr>
        <w:pStyle w:val="ListParagraph"/>
        <w:numPr>
          <w:ilvl w:val="1"/>
          <w:numId w:val="157"/>
        </w:numPr>
        <w:tabs>
          <w:tab w:pos="2851" w:val="left" w:leader="none"/>
        </w:tabs>
        <w:spacing w:line="240" w:lineRule="auto" w:before="34" w:after="0"/>
        <w:ind w:left="2851" w:right="0" w:hanging="303"/>
        <w:jc w:val="both"/>
        <w:rPr>
          <w:sz w:val="20"/>
        </w:rPr>
      </w:pPr>
      <w:r>
        <w:rPr>
          <w:color w:val="231F20"/>
          <w:sz w:val="20"/>
        </w:rPr>
        <w:t>For</w:t>
      </w:r>
      <w:r>
        <w:rPr>
          <w:color w:val="231F20"/>
          <w:spacing w:val="9"/>
          <w:sz w:val="20"/>
        </w:rPr>
        <w:t> </w:t>
      </w:r>
      <w:r>
        <w:rPr>
          <w:color w:val="231F20"/>
          <w:sz w:val="20"/>
        </w:rPr>
        <w:t>the</w:t>
      </w:r>
      <w:r>
        <w:rPr>
          <w:color w:val="231F20"/>
          <w:spacing w:val="9"/>
          <w:sz w:val="20"/>
        </w:rPr>
        <w:t> </w:t>
      </w:r>
      <w:r>
        <w:rPr>
          <w:color w:val="231F20"/>
          <w:sz w:val="20"/>
        </w:rPr>
        <w:t>selected</w:t>
      </w:r>
      <w:r>
        <w:rPr>
          <w:color w:val="231F20"/>
          <w:spacing w:val="9"/>
          <w:sz w:val="20"/>
        </w:rPr>
        <w:t> </w:t>
      </w:r>
      <w:r>
        <w:rPr>
          <w:color w:val="231F20"/>
          <w:sz w:val="20"/>
        </w:rPr>
        <w:t>Navigator</w:t>
      </w:r>
      <w:r>
        <w:rPr>
          <w:color w:val="231F20"/>
          <w:spacing w:val="9"/>
          <w:sz w:val="20"/>
        </w:rPr>
        <w:t> </w:t>
      </w:r>
      <w:r>
        <w:rPr>
          <w:color w:val="231F20"/>
          <w:sz w:val="20"/>
        </w:rPr>
        <w:t>view,</w:t>
      </w:r>
      <w:r>
        <w:rPr>
          <w:color w:val="231F20"/>
          <w:spacing w:val="9"/>
          <w:sz w:val="20"/>
        </w:rPr>
        <w:t> </w:t>
      </w:r>
      <w:r>
        <w:rPr>
          <w:color w:val="231F20"/>
          <w:sz w:val="20"/>
        </w:rPr>
        <w:t>change</w:t>
      </w:r>
      <w:r>
        <w:rPr>
          <w:color w:val="231F20"/>
          <w:spacing w:val="9"/>
          <w:sz w:val="20"/>
        </w:rPr>
        <w:t> </w:t>
      </w:r>
      <w:r>
        <w:rPr>
          <w:color w:val="231F20"/>
          <w:sz w:val="20"/>
        </w:rPr>
        <w:t>the</w:t>
      </w:r>
      <w:r>
        <w:rPr>
          <w:color w:val="231F20"/>
          <w:spacing w:val="9"/>
          <w:sz w:val="20"/>
        </w:rPr>
        <w:t> </w:t>
      </w:r>
      <w:r>
        <w:rPr>
          <w:rFonts w:ascii="Book Antiqua"/>
          <w:b/>
          <w:color w:val="231F20"/>
          <w:sz w:val="20"/>
        </w:rPr>
        <w:t>Assigned</w:t>
      </w:r>
      <w:r>
        <w:rPr>
          <w:rFonts w:ascii="Book Antiqua"/>
          <w:b/>
          <w:color w:val="231F20"/>
          <w:spacing w:val="9"/>
          <w:sz w:val="20"/>
        </w:rPr>
        <w:t> </w:t>
      </w:r>
      <w:r>
        <w:rPr>
          <w:rFonts w:ascii="Book Antiqua"/>
          <w:b/>
          <w:color w:val="231F20"/>
          <w:sz w:val="20"/>
        </w:rPr>
        <w:t>Root</w:t>
      </w:r>
      <w:r>
        <w:rPr>
          <w:rFonts w:ascii="Book Antiqua"/>
          <w:b/>
          <w:color w:val="231F20"/>
          <w:spacing w:val="9"/>
          <w:sz w:val="20"/>
        </w:rPr>
        <w:t> </w:t>
      </w:r>
      <w:r>
        <w:rPr>
          <w:color w:val="231F20"/>
          <w:sz w:val="20"/>
        </w:rPr>
        <w:t>as</w:t>
      </w:r>
      <w:r>
        <w:rPr>
          <w:color w:val="231F20"/>
          <w:spacing w:val="9"/>
          <w:sz w:val="20"/>
        </w:rPr>
        <w:t> </w:t>
      </w:r>
      <w:r>
        <w:rPr>
          <w:color w:val="231F20"/>
          <w:spacing w:val="-2"/>
          <w:sz w:val="20"/>
        </w:rPr>
        <w:t>needed.</w:t>
      </w:r>
    </w:p>
    <w:p>
      <w:pPr>
        <w:pStyle w:val="ListParagraph"/>
        <w:numPr>
          <w:ilvl w:val="0"/>
          <w:numId w:val="157"/>
        </w:numPr>
        <w:tabs>
          <w:tab w:pos="2548" w:val="left" w:leader="none"/>
        </w:tabs>
        <w:spacing w:line="213" w:lineRule="auto" w:before="53" w:after="0"/>
        <w:ind w:left="2548" w:right="472" w:hanging="316"/>
        <w:jc w:val="both"/>
        <w:rPr>
          <w:sz w:val="20"/>
        </w:rPr>
      </w:pPr>
      <w:r>
        <w:rPr>
          <w:color w:val="231F20"/>
          <w:sz w:val="20"/>
        </w:rPr>
        <w:t>When you are finished creating the user profile, save your changes with </w:t>
      </w:r>
      <w:r>
        <w:rPr>
          <w:rFonts w:ascii="Book Antiqua"/>
          <w:b/>
          <w:color w:val="231F20"/>
          <w:sz w:val="20"/>
        </w:rPr>
        <w:t>Apply</w:t>
      </w:r>
      <w:r>
        <w:rPr>
          <w:rFonts w:ascii="Book Antiqua"/>
          <w:b/>
          <w:color w:val="231F20"/>
          <w:spacing w:val="80"/>
          <w:sz w:val="20"/>
        </w:rPr>
        <w:t> </w:t>
      </w:r>
      <w:r>
        <w:rPr>
          <w:color w:val="231F20"/>
          <w:sz w:val="20"/>
        </w:rPr>
        <w:t>if you want to keep the Administer Users window open, or </w:t>
      </w:r>
      <w:r>
        <w:rPr>
          <w:rFonts w:ascii="Book Antiqua"/>
          <w:b/>
          <w:color w:val="231F20"/>
          <w:sz w:val="20"/>
        </w:rPr>
        <w:t>OK </w:t>
      </w:r>
      <w:r>
        <w:rPr>
          <w:color w:val="231F20"/>
          <w:sz w:val="20"/>
        </w:rPr>
        <w:t>if you want to close it.</w:t>
      </w:r>
    </w:p>
    <w:p>
      <w:pPr>
        <w:pStyle w:val="Heading4"/>
        <w:spacing w:before="199"/>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The Tivoli Enterprise Portal client logon window has a field for entering a user </w:t>
      </w:r>
      <w:r>
        <w:rPr>
          <w:color w:val="231F20"/>
        </w:rPr>
        <w:t>ID and password. If you want the user ID and password to be authenticated,</w:t>
      </w:r>
    </w:p>
    <w:p>
      <w:pPr>
        <w:spacing w:after="0" w:line="213" w:lineRule="auto"/>
        <w:sectPr>
          <w:pgSz w:w="12240" w:h="15840"/>
          <w:pgMar w:header="0" w:footer="736" w:top="1140" w:bottom="920" w:left="1000" w:right="1060"/>
        </w:sectPr>
      </w:pPr>
    </w:p>
    <w:p>
      <w:pPr>
        <w:pStyle w:val="BodyText"/>
        <w:spacing w:line="213" w:lineRule="auto" w:before="85"/>
        <w:ind w:left="2472"/>
      </w:pPr>
      <w:bookmarkStart w:name="_bookmark276" w:id="565"/>
      <w:bookmarkEnd w:id="565"/>
      <w:r>
        <w:rPr/>
      </w:r>
      <w:r>
        <w:rPr>
          <w:color w:val="231F20"/>
        </w:rPr>
        <w:t>configure the monitoring server or portal server to authenticate users. See </w:t>
      </w:r>
      <w:hyperlink r:id="rId457">
        <w:r>
          <w:rPr>
            <w:color w:val="231F20"/>
          </w:rPr>
          <w:t>Enabling</w:t>
        </w:r>
      </w:hyperlink>
      <w:r>
        <w:rPr>
          <w:color w:val="231F20"/>
        </w:rPr>
        <w:t> </w:t>
      </w:r>
      <w:hyperlink r:id="rId457">
        <w:r>
          <w:rPr>
            <w:color w:val="231F20"/>
          </w:rPr>
          <w:t>user authentication</w:t>
        </w:r>
      </w:hyperlink>
      <w:r>
        <w:rPr>
          <w:color w:val="231F20"/>
        </w:rPr>
        <w:t> for details.</w:t>
      </w:r>
    </w:p>
    <w:p>
      <w:pPr>
        <w:pStyle w:val="Heading3"/>
        <w:spacing w:before="217"/>
        <w:ind w:left="0" w:right="5949"/>
        <w:jc w:val="right"/>
      </w:pPr>
      <w:bookmarkStart w:name="Removing a user ID" w:id="566"/>
      <w:bookmarkEnd w:id="566"/>
      <w:r>
        <w:rPr>
          <w:b w:val="0"/>
        </w:rPr>
      </w:r>
      <w:r>
        <w:rPr>
          <w:color w:val="231F20"/>
        </w:rPr>
        <w:t>Removing</w:t>
      </w:r>
      <w:r>
        <w:rPr>
          <w:color w:val="231F20"/>
          <w:spacing w:val="6"/>
        </w:rPr>
        <w:t> </w:t>
      </w:r>
      <w:r>
        <w:rPr>
          <w:color w:val="231F20"/>
        </w:rPr>
        <w:t>a</w:t>
      </w:r>
      <w:r>
        <w:rPr>
          <w:color w:val="231F20"/>
          <w:spacing w:val="8"/>
        </w:rPr>
        <w:t> </w:t>
      </w:r>
      <w:r>
        <w:rPr>
          <w:color w:val="231F20"/>
        </w:rPr>
        <w:t>user</w:t>
      </w:r>
      <w:r>
        <w:rPr>
          <w:color w:val="231F20"/>
          <w:spacing w:val="8"/>
        </w:rPr>
        <w:t> </w:t>
      </w:r>
      <w:r>
        <w:rPr>
          <w:color w:val="231F20"/>
          <w:spacing w:val="-5"/>
        </w:rPr>
        <w:t>ID</w:t>
      </w:r>
    </w:p>
    <w:p>
      <w:pPr>
        <w:pStyle w:val="BodyText"/>
        <w:spacing w:before="35"/>
        <w:ind w:left="2472"/>
      </w:pPr>
      <w:r>
        <w:rPr>
          <w:color w:val="231F20"/>
        </w:rPr>
        <w:t>You</w:t>
      </w:r>
      <w:r>
        <w:rPr>
          <w:color w:val="231F20"/>
          <w:spacing w:val="9"/>
        </w:rPr>
        <w:t> </w:t>
      </w:r>
      <w:r>
        <w:rPr>
          <w:color w:val="231F20"/>
        </w:rPr>
        <w:t>can</w:t>
      </w:r>
      <w:r>
        <w:rPr>
          <w:color w:val="231F20"/>
          <w:spacing w:val="10"/>
        </w:rPr>
        <w:t> </w:t>
      </w:r>
      <w:r>
        <w:rPr>
          <w:color w:val="231F20"/>
        </w:rPr>
        <w:t>remove</w:t>
      </w:r>
      <w:r>
        <w:rPr>
          <w:color w:val="231F20"/>
          <w:spacing w:val="9"/>
        </w:rPr>
        <w:t> </w:t>
      </w:r>
      <w:r>
        <w:rPr>
          <w:color w:val="231F20"/>
        </w:rPr>
        <w:t>a</w:t>
      </w:r>
      <w:r>
        <w:rPr>
          <w:color w:val="231F20"/>
          <w:spacing w:val="10"/>
        </w:rPr>
        <w:t> </w:t>
      </w:r>
      <w:r>
        <w:rPr>
          <w:color w:val="231F20"/>
        </w:rPr>
        <w:t>user</w:t>
      </w:r>
      <w:r>
        <w:rPr>
          <w:color w:val="231F20"/>
          <w:spacing w:val="9"/>
        </w:rPr>
        <w:t> </w:t>
      </w:r>
      <w:r>
        <w:rPr>
          <w:color w:val="231F20"/>
        </w:rPr>
        <w:t>ID</w:t>
      </w:r>
      <w:r>
        <w:rPr>
          <w:color w:val="231F20"/>
          <w:spacing w:val="10"/>
        </w:rPr>
        <w:t> </w:t>
      </w:r>
      <w:r>
        <w:rPr>
          <w:color w:val="231F20"/>
        </w:rPr>
        <w:t>as</w:t>
      </w:r>
      <w:r>
        <w:rPr>
          <w:color w:val="231F20"/>
          <w:spacing w:val="9"/>
        </w:rPr>
        <w:t> </w:t>
      </w:r>
      <w:r>
        <w:rPr>
          <w:color w:val="231F20"/>
          <w:spacing w:val="-2"/>
        </w:rPr>
        <w:t>needed.</w:t>
      </w:r>
    </w:p>
    <w:p>
      <w:pPr>
        <w:pStyle w:val="Heading4"/>
        <w:spacing w:before="194"/>
        <w:ind w:left="0" w:right="5949"/>
        <w:jc w:val="right"/>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493" w:firstLine="20"/>
      </w:pPr>
      <w:r>
        <w:rPr>
          <w:position w:val="-1"/>
        </w:rPr>
        <w:drawing>
          <wp:inline distT="0" distB="0" distL="0" distR="0">
            <wp:extent cx="82550" cy="101600"/>
            <wp:effectExtent l="0" t="0" r="0" b="0"/>
            <wp:docPr id="2889" name="Image 2889"/>
            <wp:cNvGraphicFramePr>
              <a:graphicFrameLocks/>
            </wp:cNvGraphicFramePr>
            <a:graphic>
              <a:graphicData uri="http://schemas.openxmlformats.org/drawingml/2006/picture">
                <pic:pic>
                  <pic:nvPicPr>
                    <pic:cNvPr id="2889" name="Image 2889"/>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function, your user ID must have Modify permission for User </w:t>
      </w:r>
      <w:r>
        <w:rPr>
          <w:color w:val="231F20"/>
          <w:spacing w:val="-2"/>
        </w:rPr>
        <w:t>Administration.</w:t>
      </w:r>
    </w:p>
    <w:p>
      <w:pPr>
        <w:pStyle w:val="BodyText"/>
        <w:spacing w:before="215"/>
        <w:ind w:left="2472"/>
      </w:pPr>
      <w:r>
        <w:rPr>
          <w:color w:val="231F20"/>
        </w:rPr>
        <w:t>Use</w:t>
      </w:r>
      <w:r>
        <w:rPr>
          <w:color w:val="231F20"/>
          <w:spacing w:val="11"/>
        </w:rPr>
        <w:t> </w:t>
      </w:r>
      <w:r>
        <w:rPr>
          <w:color w:val="231F20"/>
        </w:rPr>
        <w:t>the</w:t>
      </w:r>
      <w:r>
        <w:rPr>
          <w:color w:val="231F20"/>
          <w:spacing w:val="11"/>
        </w:rPr>
        <w:t> </w:t>
      </w:r>
      <w:r>
        <w:rPr>
          <w:color w:val="231F20"/>
        </w:rPr>
        <w:t>following</w:t>
      </w:r>
      <w:r>
        <w:rPr>
          <w:color w:val="231F20"/>
          <w:spacing w:val="12"/>
        </w:rPr>
        <w:t> </w:t>
      </w:r>
      <w:r>
        <w:rPr>
          <w:color w:val="231F20"/>
        </w:rPr>
        <w:t>steps</w:t>
      </w:r>
      <w:r>
        <w:rPr>
          <w:color w:val="231F20"/>
          <w:spacing w:val="11"/>
        </w:rPr>
        <w:t> </w:t>
      </w:r>
      <w:r>
        <w:rPr>
          <w:color w:val="231F20"/>
        </w:rPr>
        <w:t>to</w:t>
      </w:r>
      <w:r>
        <w:rPr>
          <w:color w:val="231F20"/>
          <w:spacing w:val="12"/>
        </w:rPr>
        <w:t> </w:t>
      </w:r>
      <w:r>
        <w:rPr>
          <w:color w:val="231F20"/>
        </w:rPr>
        <w:t>remove</w:t>
      </w:r>
      <w:r>
        <w:rPr>
          <w:color w:val="231F20"/>
          <w:spacing w:val="11"/>
        </w:rPr>
        <w:t> </w:t>
      </w:r>
      <w:r>
        <w:rPr>
          <w:color w:val="231F20"/>
        </w:rPr>
        <w:t>a</w:t>
      </w:r>
      <w:r>
        <w:rPr>
          <w:color w:val="231F20"/>
          <w:spacing w:val="12"/>
        </w:rPr>
        <w:t> </w:t>
      </w:r>
      <w:r>
        <w:rPr>
          <w:color w:val="231F20"/>
        </w:rPr>
        <w:t>user</w:t>
      </w:r>
      <w:r>
        <w:rPr>
          <w:color w:val="231F20"/>
          <w:spacing w:val="11"/>
        </w:rPr>
        <w:t> </w:t>
      </w:r>
      <w:r>
        <w:rPr>
          <w:color w:val="231F20"/>
          <w:spacing w:val="-5"/>
        </w:rPr>
        <w:t>ID:</w:t>
      </w:r>
    </w:p>
    <w:p>
      <w:pPr>
        <w:pStyle w:val="Heading4"/>
        <w:spacing w:before="194"/>
        <w:ind w:left="2472"/>
      </w:pPr>
      <w:r>
        <w:rPr>
          <w:color w:val="231F20"/>
          <w:spacing w:val="-2"/>
        </w:rPr>
        <w:t>Procedure</w:t>
      </w:r>
    </w:p>
    <w:p>
      <w:pPr>
        <w:pStyle w:val="ListParagraph"/>
        <w:numPr>
          <w:ilvl w:val="0"/>
          <w:numId w:val="158"/>
        </w:numPr>
        <w:tabs>
          <w:tab w:pos="2787" w:val="left" w:leader="none"/>
        </w:tabs>
        <w:spacing w:line="240" w:lineRule="auto" w:before="39" w:after="0"/>
        <w:ind w:left="2787" w:right="0" w:hanging="315"/>
        <w:jc w:val="left"/>
        <w:rPr>
          <w:sz w:val="20"/>
        </w:rPr>
      </w:pPr>
      <w:r>
        <w:rPr>
          <w:color w:val="231F20"/>
          <w:sz w:val="20"/>
        </w:rPr>
        <w:t>Click</w:t>
      </w:r>
      <w:r>
        <w:rPr>
          <w:color w:val="231F20"/>
          <w:spacing w:val="30"/>
          <w:sz w:val="20"/>
        </w:rPr>
        <w:t> </w:t>
      </w:r>
      <w:r>
        <w:rPr>
          <w:color w:val="231F20"/>
          <w:spacing w:val="-14"/>
          <w:position w:val="-1"/>
          <w:sz w:val="20"/>
        </w:rPr>
        <w:drawing>
          <wp:inline distT="0" distB="0" distL="0" distR="0">
            <wp:extent cx="82550" cy="101600"/>
            <wp:effectExtent l="0" t="0" r="0" b="0"/>
            <wp:docPr id="2890" name="Image 2890"/>
            <wp:cNvGraphicFramePr>
              <a:graphicFrameLocks/>
            </wp:cNvGraphicFramePr>
            <a:graphic>
              <a:graphicData uri="http://schemas.openxmlformats.org/drawingml/2006/picture">
                <pic:pic>
                  <pic:nvPicPr>
                    <pic:cNvPr id="2890" name="Image 2890"/>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pacing w:val="-2"/>
          <w:sz w:val="20"/>
        </w:rPr>
        <w:t>Users</w:t>
      </w:r>
      <w:r>
        <w:rPr>
          <w:color w:val="231F20"/>
          <w:spacing w:val="-2"/>
          <w:sz w:val="20"/>
        </w:rPr>
        <w:t>.</w:t>
      </w:r>
    </w:p>
    <w:p>
      <w:pPr>
        <w:pStyle w:val="ListParagraph"/>
        <w:numPr>
          <w:ilvl w:val="0"/>
          <w:numId w:val="158"/>
        </w:numPr>
        <w:tabs>
          <w:tab w:pos="2788" w:val="left" w:leader="none"/>
        </w:tabs>
        <w:spacing w:line="213" w:lineRule="auto" w:before="52" w:after="0"/>
        <w:ind w:left="2788" w:right="458" w:hanging="316"/>
        <w:jc w:val="left"/>
        <w:rPr>
          <w:sz w:val="20"/>
        </w:rPr>
      </w:pPr>
      <w:r>
        <w:rPr>
          <w:color w:val="231F20"/>
          <w:sz w:val="20"/>
        </w:rPr>
        <w:t>Select the user ID that you want to delete. You can select additional user IDs with Ctrl+click, or with Shift+click to select all user IDs between the first</w:t>
      </w:r>
      <w:r>
        <w:rPr>
          <w:color w:val="231F20"/>
          <w:spacing w:val="40"/>
          <w:sz w:val="20"/>
        </w:rPr>
        <w:t> </w:t>
      </w:r>
      <w:r>
        <w:rPr>
          <w:color w:val="231F20"/>
          <w:sz w:val="20"/>
        </w:rPr>
        <w:t>selection and this one.</w:t>
      </w:r>
    </w:p>
    <w:p>
      <w:pPr>
        <w:pStyle w:val="ListParagraph"/>
        <w:numPr>
          <w:ilvl w:val="0"/>
          <w:numId w:val="158"/>
        </w:numPr>
        <w:tabs>
          <w:tab w:pos="2787" w:val="left" w:leader="none"/>
        </w:tabs>
        <w:spacing w:line="240" w:lineRule="auto" w:before="35" w:after="0"/>
        <w:ind w:left="2787" w:right="0" w:hanging="315"/>
        <w:jc w:val="left"/>
        <w:rPr>
          <w:sz w:val="20"/>
        </w:rPr>
      </w:pPr>
      <w:r>
        <w:rPr>
          <w:color w:val="231F20"/>
          <w:sz w:val="20"/>
        </w:rPr>
        <w:t>Click</w:t>
      </w:r>
      <w:r>
        <w:rPr>
          <w:color w:val="231F20"/>
          <w:spacing w:val="20"/>
          <w:sz w:val="20"/>
        </w:rPr>
        <w:t> </w:t>
      </w:r>
      <w:r>
        <w:rPr>
          <w:color w:val="231F20"/>
          <w:spacing w:val="-24"/>
          <w:position w:val="-1"/>
          <w:sz w:val="20"/>
        </w:rPr>
        <w:drawing>
          <wp:inline distT="0" distB="0" distL="0" distR="0">
            <wp:extent cx="95250" cy="101600"/>
            <wp:effectExtent l="0" t="0" r="0" b="0"/>
            <wp:docPr id="2891" name="Image 2891"/>
            <wp:cNvGraphicFramePr>
              <a:graphicFrameLocks/>
            </wp:cNvGraphicFramePr>
            <a:graphic>
              <a:graphicData uri="http://schemas.openxmlformats.org/drawingml/2006/picture">
                <pic:pic>
                  <pic:nvPicPr>
                    <pic:cNvPr id="2891" name="Image 2891"/>
                    <pic:cNvPicPr/>
                  </pic:nvPicPr>
                  <pic:blipFill>
                    <a:blip r:embed="rId26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rFonts w:ascii="Book Antiqua"/>
          <w:b/>
          <w:color w:val="231F20"/>
          <w:sz w:val="20"/>
        </w:rPr>
        <w:t>Remove</w:t>
      </w:r>
      <w:r>
        <w:rPr>
          <w:rFonts w:ascii="Book Antiqua"/>
          <w:b/>
          <w:color w:val="231F20"/>
          <w:spacing w:val="12"/>
          <w:sz w:val="20"/>
        </w:rPr>
        <w:t> </w:t>
      </w:r>
      <w:r>
        <w:rPr>
          <w:rFonts w:ascii="Book Antiqua"/>
          <w:b/>
          <w:color w:val="231F20"/>
          <w:sz w:val="20"/>
        </w:rPr>
        <w:t>Users</w:t>
      </w:r>
      <w:r>
        <w:rPr>
          <w:rFonts w:ascii="Book Antiqua"/>
          <w:b/>
          <w:color w:val="231F20"/>
          <w:spacing w:val="11"/>
          <w:sz w:val="20"/>
        </w:rPr>
        <w:t> </w:t>
      </w:r>
      <w:r>
        <w:rPr>
          <w:color w:val="231F20"/>
          <w:sz w:val="20"/>
        </w:rPr>
        <w:t>to</w:t>
      </w:r>
      <w:r>
        <w:rPr>
          <w:color w:val="231F20"/>
          <w:spacing w:val="12"/>
          <w:sz w:val="20"/>
        </w:rPr>
        <w:t> </w:t>
      </w:r>
      <w:r>
        <w:rPr>
          <w:color w:val="231F20"/>
          <w:sz w:val="20"/>
        </w:rPr>
        <w:t>delete</w:t>
      </w:r>
      <w:r>
        <w:rPr>
          <w:color w:val="231F20"/>
          <w:spacing w:val="11"/>
          <w:sz w:val="20"/>
        </w:rPr>
        <w:t> </w:t>
      </w:r>
      <w:r>
        <w:rPr>
          <w:color w:val="231F20"/>
          <w:sz w:val="20"/>
        </w:rPr>
        <w:t>the</w:t>
      </w:r>
      <w:r>
        <w:rPr>
          <w:color w:val="231F20"/>
          <w:spacing w:val="12"/>
          <w:sz w:val="20"/>
        </w:rPr>
        <w:t> </w:t>
      </w:r>
      <w:r>
        <w:rPr>
          <w:color w:val="231F20"/>
          <w:sz w:val="20"/>
        </w:rPr>
        <w:t>selected</w:t>
      </w:r>
      <w:r>
        <w:rPr>
          <w:color w:val="231F20"/>
          <w:spacing w:val="11"/>
          <w:sz w:val="20"/>
        </w:rPr>
        <w:t> </w:t>
      </w:r>
      <w:r>
        <w:rPr>
          <w:color w:val="231F20"/>
          <w:sz w:val="20"/>
        </w:rPr>
        <w:t>user</w:t>
      </w:r>
      <w:r>
        <w:rPr>
          <w:color w:val="231F20"/>
          <w:spacing w:val="12"/>
          <w:sz w:val="20"/>
        </w:rPr>
        <w:t> </w:t>
      </w:r>
      <w:r>
        <w:rPr>
          <w:color w:val="231F20"/>
          <w:sz w:val="20"/>
        </w:rPr>
        <w:t>ID</w:t>
      </w:r>
      <w:r>
        <w:rPr>
          <w:color w:val="231F20"/>
          <w:spacing w:val="11"/>
          <w:sz w:val="20"/>
        </w:rPr>
        <w:t> </w:t>
      </w:r>
      <w:r>
        <w:rPr>
          <w:color w:val="231F20"/>
          <w:sz w:val="20"/>
        </w:rPr>
        <w:t>and</w:t>
      </w:r>
      <w:r>
        <w:rPr>
          <w:color w:val="231F20"/>
          <w:spacing w:val="12"/>
          <w:sz w:val="20"/>
        </w:rPr>
        <w:t> </w:t>
      </w:r>
      <w:r>
        <w:rPr>
          <w:color w:val="231F20"/>
          <w:sz w:val="20"/>
        </w:rPr>
        <w:t>profile</w:t>
      </w:r>
      <w:r>
        <w:rPr>
          <w:color w:val="231F20"/>
          <w:spacing w:val="11"/>
          <w:sz w:val="20"/>
        </w:rPr>
        <w:t> </w:t>
      </w:r>
      <w:r>
        <w:rPr>
          <w:color w:val="231F20"/>
          <w:sz w:val="20"/>
        </w:rPr>
        <w:t>from</w:t>
      </w:r>
      <w:r>
        <w:rPr>
          <w:color w:val="231F20"/>
          <w:spacing w:val="12"/>
          <w:sz w:val="20"/>
        </w:rPr>
        <w:t> </w:t>
      </w:r>
      <w:r>
        <w:rPr>
          <w:color w:val="231F20"/>
          <w:sz w:val="20"/>
        </w:rPr>
        <w:t>the</w:t>
      </w:r>
      <w:r>
        <w:rPr>
          <w:color w:val="231F20"/>
          <w:spacing w:val="11"/>
          <w:sz w:val="20"/>
        </w:rPr>
        <w:t> </w:t>
      </w:r>
      <w:r>
        <w:rPr>
          <w:color w:val="231F20"/>
          <w:spacing w:val="-2"/>
          <w:sz w:val="20"/>
        </w:rPr>
        <w:t>list.</w:t>
      </w:r>
    </w:p>
    <w:p>
      <w:pPr>
        <w:pStyle w:val="ListParagraph"/>
        <w:numPr>
          <w:ilvl w:val="0"/>
          <w:numId w:val="158"/>
        </w:numPr>
        <w:tabs>
          <w:tab w:pos="2787" w:val="left" w:leader="none"/>
        </w:tabs>
        <w:spacing w:line="255" w:lineRule="exact" w:before="29" w:after="0"/>
        <w:ind w:left="2787" w:right="0" w:hanging="315"/>
        <w:jc w:val="left"/>
        <w:rPr>
          <w:sz w:val="20"/>
        </w:rPr>
      </w:pPr>
      <w:r>
        <w:rPr>
          <w:color w:val="231F20"/>
          <w:sz w:val="20"/>
        </w:rPr>
        <w:t>When</w:t>
      </w:r>
      <w:r>
        <w:rPr>
          <w:color w:val="231F20"/>
          <w:spacing w:val="10"/>
          <w:sz w:val="20"/>
        </w:rPr>
        <w:t> </w:t>
      </w:r>
      <w:r>
        <w:rPr>
          <w:color w:val="231F20"/>
          <w:sz w:val="20"/>
        </w:rPr>
        <w:t>a</w:t>
      </w:r>
      <w:r>
        <w:rPr>
          <w:color w:val="231F20"/>
          <w:spacing w:val="11"/>
          <w:sz w:val="20"/>
        </w:rPr>
        <w:t> </w:t>
      </w:r>
      <w:r>
        <w:rPr>
          <w:color w:val="231F20"/>
          <w:sz w:val="20"/>
        </w:rPr>
        <w:t>message</w:t>
      </w:r>
      <w:r>
        <w:rPr>
          <w:color w:val="231F20"/>
          <w:spacing w:val="10"/>
          <w:sz w:val="20"/>
        </w:rPr>
        <w:t> </w:t>
      </w:r>
      <w:r>
        <w:rPr>
          <w:color w:val="231F20"/>
          <w:sz w:val="20"/>
        </w:rPr>
        <w:t>asks</w:t>
      </w:r>
      <w:r>
        <w:rPr>
          <w:color w:val="231F20"/>
          <w:spacing w:val="11"/>
          <w:sz w:val="20"/>
        </w:rPr>
        <w:t> </w:t>
      </w:r>
      <w:r>
        <w:rPr>
          <w:color w:val="231F20"/>
          <w:sz w:val="20"/>
        </w:rPr>
        <w:t>you</w:t>
      </w:r>
      <w:r>
        <w:rPr>
          <w:color w:val="231F20"/>
          <w:spacing w:val="10"/>
          <w:sz w:val="20"/>
        </w:rPr>
        <w:t> </w:t>
      </w:r>
      <w:r>
        <w:rPr>
          <w:color w:val="231F20"/>
          <w:sz w:val="20"/>
        </w:rPr>
        <w:t>to</w:t>
      </w:r>
      <w:r>
        <w:rPr>
          <w:color w:val="231F20"/>
          <w:spacing w:val="11"/>
          <w:sz w:val="20"/>
        </w:rPr>
        <w:t> </w:t>
      </w:r>
      <w:r>
        <w:rPr>
          <w:color w:val="231F20"/>
          <w:sz w:val="20"/>
        </w:rPr>
        <w:t>confirm</w:t>
      </w:r>
      <w:r>
        <w:rPr>
          <w:color w:val="231F20"/>
          <w:spacing w:val="10"/>
          <w:sz w:val="20"/>
        </w:rPr>
        <w:t> </w:t>
      </w:r>
      <w:r>
        <w:rPr>
          <w:color w:val="231F20"/>
          <w:sz w:val="20"/>
        </w:rPr>
        <w:t>the</w:t>
      </w:r>
      <w:r>
        <w:rPr>
          <w:color w:val="231F20"/>
          <w:spacing w:val="11"/>
          <w:sz w:val="20"/>
        </w:rPr>
        <w:t> </w:t>
      </w:r>
      <w:r>
        <w:rPr>
          <w:color w:val="231F20"/>
          <w:sz w:val="20"/>
        </w:rPr>
        <w:t>user</w:t>
      </w:r>
      <w:r>
        <w:rPr>
          <w:color w:val="231F20"/>
          <w:spacing w:val="10"/>
          <w:sz w:val="20"/>
        </w:rPr>
        <w:t> </w:t>
      </w:r>
      <w:r>
        <w:rPr>
          <w:color w:val="231F20"/>
          <w:sz w:val="20"/>
        </w:rPr>
        <w:t>ID</w:t>
      </w:r>
      <w:r>
        <w:rPr>
          <w:color w:val="231F20"/>
          <w:spacing w:val="11"/>
          <w:sz w:val="20"/>
        </w:rPr>
        <w:t> </w:t>
      </w:r>
      <w:r>
        <w:rPr>
          <w:color w:val="231F20"/>
          <w:sz w:val="20"/>
        </w:rPr>
        <w:t>removal,</w:t>
      </w:r>
      <w:r>
        <w:rPr>
          <w:color w:val="231F20"/>
          <w:spacing w:val="10"/>
          <w:sz w:val="20"/>
        </w:rPr>
        <w:t> </w:t>
      </w:r>
      <w:r>
        <w:rPr>
          <w:color w:val="231F20"/>
          <w:sz w:val="20"/>
        </w:rPr>
        <w:t>click</w:t>
      </w:r>
      <w:r>
        <w:rPr>
          <w:color w:val="231F20"/>
          <w:spacing w:val="11"/>
          <w:sz w:val="20"/>
        </w:rPr>
        <w:t> </w:t>
      </w:r>
      <w:r>
        <w:rPr>
          <w:rFonts w:ascii="Book Antiqua"/>
          <w:b/>
          <w:color w:val="231F20"/>
          <w:sz w:val="20"/>
        </w:rPr>
        <w:t>Yes</w:t>
      </w:r>
      <w:r>
        <w:rPr>
          <w:color w:val="231F20"/>
          <w:sz w:val="20"/>
        </w:rPr>
        <w:t>.</w:t>
      </w:r>
      <w:r>
        <w:rPr>
          <w:color w:val="231F20"/>
          <w:spacing w:val="11"/>
          <w:sz w:val="20"/>
        </w:rPr>
        <w:t> </w:t>
      </w:r>
      <w:r>
        <w:rPr>
          <w:color w:val="231F20"/>
          <w:sz w:val="20"/>
        </w:rPr>
        <w:t>The</w:t>
      </w:r>
      <w:r>
        <w:rPr>
          <w:color w:val="231F20"/>
          <w:spacing w:val="10"/>
          <w:sz w:val="20"/>
        </w:rPr>
        <w:t> </w:t>
      </w:r>
      <w:r>
        <w:rPr>
          <w:color w:val="231F20"/>
          <w:spacing w:val="-4"/>
          <w:sz w:val="20"/>
        </w:rPr>
        <w:t>user</w:t>
      </w:r>
    </w:p>
    <w:p>
      <w:pPr>
        <w:pStyle w:val="BodyText"/>
        <w:spacing w:line="213" w:lineRule="auto" w:before="8"/>
        <w:ind w:left="2788" w:right="185"/>
      </w:pPr>
      <w:r>
        <w:rPr>
          <w:color w:val="231F20"/>
        </w:rPr>
        <w:t>is permanently removed from the user ID list. If the user is currently signed on, this</w:t>
      </w:r>
      <w:r>
        <w:rPr>
          <w:color w:val="231F20"/>
          <w:spacing w:val="12"/>
        </w:rPr>
        <w:t> </w:t>
      </w:r>
      <w:r>
        <w:rPr>
          <w:color w:val="231F20"/>
        </w:rPr>
        <w:t>does</w:t>
      </w:r>
      <w:r>
        <w:rPr>
          <w:color w:val="231F20"/>
          <w:spacing w:val="12"/>
        </w:rPr>
        <w:t> </w:t>
      </w:r>
      <w:r>
        <w:rPr>
          <w:color w:val="231F20"/>
        </w:rPr>
        <w:t>not</w:t>
      </w:r>
      <w:r>
        <w:rPr>
          <w:color w:val="231F20"/>
          <w:spacing w:val="12"/>
        </w:rPr>
        <w:t> </w:t>
      </w:r>
      <w:r>
        <w:rPr>
          <w:color w:val="231F20"/>
        </w:rPr>
        <w:t>affect</w:t>
      </w:r>
      <w:r>
        <w:rPr>
          <w:color w:val="231F20"/>
          <w:spacing w:val="12"/>
        </w:rPr>
        <w:t> </w:t>
      </w:r>
      <w:r>
        <w:rPr>
          <w:color w:val="231F20"/>
        </w:rPr>
        <w:t>their</w:t>
      </w:r>
      <w:r>
        <w:rPr>
          <w:color w:val="231F20"/>
          <w:spacing w:val="13"/>
        </w:rPr>
        <w:t> </w:t>
      </w:r>
      <w:r>
        <w:rPr>
          <w:color w:val="231F20"/>
        </w:rPr>
        <w:t>work</w:t>
      </w:r>
      <w:r>
        <w:rPr>
          <w:color w:val="231F20"/>
          <w:spacing w:val="12"/>
        </w:rPr>
        <w:t> </w:t>
      </w:r>
      <w:r>
        <w:rPr>
          <w:color w:val="231F20"/>
        </w:rPr>
        <w:t>session,</w:t>
      </w:r>
      <w:r>
        <w:rPr>
          <w:color w:val="231F20"/>
          <w:spacing w:val="12"/>
        </w:rPr>
        <w:t> </w:t>
      </w:r>
      <w:r>
        <w:rPr>
          <w:color w:val="231F20"/>
        </w:rPr>
        <w:t>but</w:t>
      </w:r>
      <w:r>
        <w:rPr>
          <w:color w:val="231F20"/>
          <w:spacing w:val="12"/>
        </w:rPr>
        <w:t> </w:t>
      </w:r>
      <w:r>
        <w:rPr>
          <w:color w:val="231F20"/>
        </w:rPr>
        <w:t>they</w:t>
      </w:r>
      <w:r>
        <w:rPr>
          <w:color w:val="231F20"/>
          <w:spacing w:val="13"/>
        </w:rPr>
        <w:t> </w:t>
      </w:r>
      <w:r>
        <w:rPr>
          <w:color w:val="231F20"/>
        </w:rPr>
        <w:t>will</w:t>
      </w:r>
      <w:r>
        <w:rPr>
          <w:color w:val="231F20"/>
          <w:spacing w:val="12"/>
        </w:rPr>
        <w:t> </w:t>
      </w:r>
      <w:r>
        <w:rPr>
          <w:color w:val="231F20"/>
        </w:rPr>
        <w:t>not</w:t>
      </w:r>
      <w:r>
        <w:rPr>
          <w:color w:val="231F20"/>
          <w:spacing w:val="12"/>
        </w:rPr>
        <w:t> </w:t>
      </w:r>
      <w:r>
        <w:rPr>
          <w:color w:val="231F20"/>
        </w:rPr>
        <w:t>be</w:t>
      </w:r>
      <w:r>
        <w:rPr>
          <w:color w:val="231F20"/>
          <w:spacing w:val="12"/>
        </w:rPr>
        <w:t> </w:t>
      </w:r>
      <w:r>
        <w:rPr>
          <w:color w:val="231F20"/>
        </w:rPr>
        <w:t>able</w:t>
      </w:r>
      <w:r>
        <w:rPr>
          <w:color w:val="231F20"/>
          <w:spacing w:val="12"/>
        </w:rPr>
        <w:t> </w:t>
      </w:r>
      <w:r>
        <w:rPr>
          <w:color w:val="231F20"/>
        </w:rPr>
        <w:t>to</w:t>
      </w:r>
      <w:r>
        <w:rPr>
          <w:color w:val="231F20"/>
          <w:spacing w:val="13"/>
        </w:rPr>
        <w:t> </w:t>
      </w:r>
      <w:r>
        <w:rPr>
          <w:color w:val="231F20"/>
        </w:rPr>
        <w:t>log</w:t>
      </w:r>
      <w:r>
        <w:rPr>
          <w:color w:val="231F20"/>
          <w:spacing w:val="12"/>
        </w:rPr>
        <w:t> </w:t>
      </w:r>
      <w:r>
        <w:rPr>
          <w:color w:val="231F20"/>
        </w:rPr>
        <w:t>on</w:t>
      </w:r>
      <w:r>
        <w:rPr>
          <w:color w:val="231F20"/>
          <w:spacing w:val="12"/>
        </w:rPr>
        <w:t> </w:t>
      </w:r>
      <w:r>
        <w:rPr>
          <w:color w:val="231F20"/>
          <w:spacing w:val="-2"/>
        </w:rPr>
        <w:t>again.</w:t>
      </w:r>
    </w:p>
    <w:p>
      <w:pPr>
        <w:pStyle w:val="BodyText"/>
        <w:spacing w:line="255" w:lineRule="exact" w:before="215"/>
        <w:ind w:left="2788"/>
      </w:pPr>
      <w:r>
        <w:rPr>
          <w:rFonts w:ascii="Book Antiqua"/>
          <w:b/>
          <w:color w:val="231F20"/>
        </w:rPr>
        <w:t>Note:</w:t>
      </w:r>
      <w:r>
        <w:rPr>
          <w:rFonts w:ascii="Book Antiqua"/>
          <w:b/>
          <w:color w:val="231F20"/>
          <w:spacing w:val="40"/>
        </w:rPr>
        <w:t> </w:t>
      </w:r>
      <w:r>
        <w:rPr>
          <w:color w:val="231F20"/>
        </w:rPr>
        <w:t>You</w:t>
      </w:r>
      <w:r>
        <w:rPr>
          <w:color w:val="231F20"/>
          <w:spacing w:val="11"/>
        </w:rPr>
        <w:t> </w:t>
      </w:r>
      <w:r>
        <w:rPr>
          <w:color w:val="231F20"/>
        </w:rPr>
        <w:t>cannot</w:t>
      </w:r>
      <w:r>
        <w:rPr>
          <w:color w:val="231F20"/>
          <w:spacing w:val="10"/>
        </w:rPr>
        <w:t> </w:t>
      </w:r>
      <w:r>
        <w:rPr>
          <w:color w:val="231F20"/>
        </w:rPr>
        <w:t>remove</w:t>
      </w:r>
      <w:r>
        <w:rPr>
          <w:color w:val="231F20"/>
          <w:spacing w:val="11"/>
        </w:rPr>
        <w:t> </w:t>
      </w:r>
      <w:r>
        <w:rPr>
          <w:color w:val="231F20"/>
        </w:rPr>
        <w:t>your</w:t>
      </w:r>
      <w:r>
        <w:rPr>
          <w:color w:val="231F20"/>
          <w:spacing w:val="10"/>
        </w:rPr>
        <w:t> </w:t>
      </w:r>
      <w:r>
        <w:rPr>
          <w:color w:val="231F20"/>
        </w:rPr>
        <w:t>user</w:t>
      </w:r>
      <w:r>
        <w:rPr>
          <w:color w:val="231F20"/>
          <w:spacing w:val="11"/>
        </w:rPr>
        <w:t> </w:t>
      </w:r>
      <w:r>
        <w:rPr>
          <w:color w:val="231F20"/>
        </w:rPr>
        <w:t>ID</w:t>
      </w:r>
      <w:r>
        <w:rPr>
          <w:color w:val="231F20"/>
          <w:spacing w:val="10"/>
        </w:rPr>
        <w:t> </w:t>
      </w:r>
      <w:r>
        <w:rPr>
          <w:color w:val="231F20"/>
        </w:rPr>
        <w:t>(the</w:t>
      </w:r>
      <w:r>
        <w:rPr>
          <w:color w:val="231F20"/>
          <w:spacing w:val="11"/>
        </w:rPr>
        <w:t> </w:t>
      </w:r>
      <w:r>
        <w:rPr>
          <w:color w:val="231F20"/>
        </w:rPr>
        <w:t>one</w:t>
      </w:r>
      <w:r>
        <w:rPr>
          <w:color w:val="231F20"/>
          <w:spacing w:val="10"/>
        </w:rPr>
        <w:t> </w:t>
      </w:r>
      <w:r>
        <w:rPr>
          <w:color w:val="231F20"/>
        </w:rPr>
        <w:t>you</w:t>
      </w:r>
      <w:r>
        <w:rPr>
          <w:color w:val="231F20"/>
          <w:spacing w:val="11"/>
        </w:rPr>
        <w:t> </w:t>
      </w:r>
      <w:r>
        <w:rPr>
          <w:color w:val="231F20"/>
        </w:rPr>
        <w:t>logged</w:t>
      </w:r>
      <w:r>
        <w:rPr>
          <w:color w:val="231F20"/>
          <w:spacing w:val="10"/>
        </w:rPr>
        <w:t> </w:t>
      </w:r>
      <w:r>
        <w:rPr>
          <w:color w:val="231F20"/>
        </w:rPr>
        <w:t>on</w:t>
      </w:r>
      <w:r>
        <w:rPr>
          <w:color w:val="231F20"/>
          <w:spacing w:val="11"/>
        </w:rPr>
        <w:t> </w:t>
      </w:r>
      <w:r>
        <w:rPr>
          <w:color w:val="231F20"/>
        </w:rPr>
        <w:t>with)</w:t>
      </w:r>
      <w:r>
        <w:rPr>
          <w:color w:val="231F20"/>
          <w:spacing w:val="11"/>
        </w:rPr>
        <w:t> </w:t>
      </w:r>
      <w:r>
        <w:rPr>
          <w:color w:val="231F20"/>
        </w:rPr>
        <w:t>or</w:t>
      </w:r>
      <w:r>
        <w:rPr>
          <w:color w:val="231F20"/>
          <w:spacing w:val="10"/>
        </w:rPr>
        <w:t> </w:t>
      </w:r>
      <w:r>
        <w:rPr>
          <w:color w:val="231F20"/>
          <w:spacing w:val="-5"/>
        </w:rPr>
        <w:t>the</w:t>
      </w:r>
    </w:p>
    <w:p>
      <w:pPr>
        <w:pStyle w:val="BodyText"/>
        <w:spacing w:line="255" w:lineRule="exact"/>
        <w:ind w:left="2788"/>
      </w:pPr>
      <w:r>
        <w:rPr>
          <w:color w:val="231F20"/>
        </w:rPr>
        <w:t>&lt;Default</w:t>
      </w:r>
      <w:r>
        <w:rPr>
          <w:color w:val="231F20"/>
          <w:spacing w:val="31"/>
        </w:rPr>
        <w:t> </w:t>
      </w:r>
      <w:r>
        <w:rPr>
          <w:color w:val="231F20"/>
        </w:rPr>
        <w:t>User&gt;</w:t>
      </w:r>
      <w:r>
        <w:rPr>
          <w:color w:val="231F20"/>
          <w:spacing w:val="31"/>
        </w:rPr>
        <w:t> </w:t>
      </w:r>
      <w:r>
        <w:rPr>
          <w:color w:val="231F20"/>
          <w:spacing w:val="-5"/>
        </w:rPr>
        <w:t>ID.</w:t>
      </w:r>
    </w:p>
    <w:p>
      <w:pPr>
        <w:pStyle w:val="Heading3"/>
        <w:spacing w:before="212"/>
        <w:ind w:left="1574"/>
      </w:pPr>
      <w:bookmarkStart w:name="Default user" w:id="567"/>
      <w:bookmarkEnd w:id="567"/>
      <w:r>
        <w:rPr>
          <w:b w:val="0"/>
        </w:rPr>
      </w:r>
      <w:r>
        <w:rPr>
          <w:color w:val="231F20"/>
        </w:rPr>
        <w:t>Default</w:t>
      </w:r>
      <w:r>
        <w:rPr>
          <w:color w:val="231F20"/>
          <w:spacing w:val="5"/>
        </w:rPr>
        <w:t> </w:t>
      </w:r>
      <w:r>
        <w:rPr>
          <w:color w:val="231F20"/>
          <w:spacing w:val="-4"/>
        </w:rPr>
        <w:t>user</w:t>
      </w:r>
    </w:p>
    <w:p>
      <w:pPr>
        <w:pStyle w:val="BodyText"/>
        <w:spacing w:before="35"/>
        <w:ind w:left="2472"/>
      </w:pPr>
      <w:r>
        <w:rPr>
          <w:color w:val="231F20"/>
        </w:rPr>
        <w:t>The</w:t>
      </w:r>
      <w:r>
        <w:rPr>
          <w:color w:val="231F20"/>
          <w:spacing w:val="14"/>
        </w:rPr>
        <w:t> </w:t>
      </w:r>
      <w:r>
        <w:rPr>
          <w:color w:val="231F20"/>
        </w:rPr>
        <w:t>first</w:t>
      </w:r>
      <w:r>
        <w:rPr>
          <w:color w:val="231F20"/>
          <w:spacing w:val="15"/>
        </w:rPr>
        <w:t> </w:t>
      </w:r>
      <w:r>
        <w:rPr>
          <w:color w:val="231F20"/>
        </w:rPr>
        <w:t>user</w:t>
      </w:r>
      <w:r>
        <w:rPr>
          <w:color w:val="231F20"/>
          <w:spacing w:val="15"/>
        </w:rPr>
        <w:t> </w:t>
      </w:r>
      <w:r>
        <w:rPr>
          <w:color w:val="231F20"/>
        </w:rPr>
        <w:t>ID</w:t>
      </w:r>
      <w:r>
        <w:rPr>
          <w:color w:val="231F20"/>
          <w:spacing w:val="15"/>
        </w:rPr>
        <w:t> </w:t>
      </w:r>
      <w:r>
        <w:rPr>
          <w:color w:val="231F20"/>
        </w:rPr>
        <w:t>in</w:t>
      </w:r>
      <w:r>
        <w:rPr>
          <w:color w:val="231F20"/>
          <w:spacing w:val="15"/>
        </w:rPr>
        <w:t> </w:t>
      </w:r>
      <w:r>
        <w:rPr>
          <w:color w:val="231F20"/>
        </w:rPr>
        <w:t>the</w:t>
      </w:r>
      <w:r>
        <w:rPr>
          <w:color w:val="231F20"/>
          <w:spacing w:val="15"/>
        </w:rPr>
        <w:t> </w:t>
      </w:r>
      <w:r>
        <w:rPr>
          <w:rFonts w:ascii="Book Antiqua"/>
          <w:b/>
          <w:color w:val="231F20"/>
        </w:rPr>
        <w:t>Users</w:t>
      </w:r>
      <w:r>
        <w:rPr>
          <w:rFonts w:ascii="Book Antiqua"/>
          <w:b/>
          <w:color w:val="231F20"/>
          <w:spacing w:val="15"/>
        </w:rPr>
        <w:t> </w:t>
      </w:r>
      <w:r>
        <w:rPr>
          <w:color w:val="231F20"/>
        </w:rPr>
        <w:t>list</w:t>
      </w:r>
      <w:r>
        <w:rPr>
          <w:color w:val="231F20"/>
          <w:spacing w:val="14"/>
        </w:rPr>
        <w:t> </w:t>
      </w:r>
      <w:r>
        <w:rPr>
          <w:color w:val="231F20"/>
        </w:rPr>
        <w:t>is</w:t>
      </w:r>
      <w:r>
        <w:rPr>
          <w:color w:val="231F20"/>
          <w:spacing w:val="15"/>
        </w:rPr>
        <w:t> </w:t>
      </w:r>
      <w:r>
        <w:rPr>
          <w:color w:val="231F20"/>
        </w:rPr>
        <w:t>&lt;Default</w:t>
      </w:r>
      <w:r>
        <w:rPr>
          <w:color w:val="231F20"/>
          <w:spacing w:val="15"/>
        </w:rPr>
        <w:t> </w:t>
      </w:r>
      <w:r>
        <w:rPr>
          <w:color w:val="231F20"/>
          <w:spacing w:val="-2"/>
        </w:rPr>
        <w:t>User&gt;.</w:t>
      </w:r>
    </w:p>
    <w:p>
      <w:pPr>
        <w:pStyle w:val="BodyText"/>
        <w:spacing w:line="213" w:lineRule="auto" w:before="232"/>
        <w:ind w:left="2472" w:right="493" w:firstLine="20"/>
      </w:pPr>
      <w:r>
        <w:rPr>
          <w:position w:val="-1"/>
        </w:rPr>
        <w:drawing>
          <wp:inline distT="0" distB="0" distL="0" distR="0">
            <wp:extent cx="82550" cy="101600"/>
            <wp:effectExtent l="0" t="0" r="0" b="0"/>
            <wp:docPr id="2892" name="Image 2892"/>
            <wp:cNvGraphicFramePr>
              <a:graphicFrameLocks/>
            </wp:cNvGraphicFramePr>
            <a:graphic>
              <a:graphicData uri="http://schemas.openxmlformats.org/drawingml/2006/picture">
                <pic:pic>
                  <pic:nvPicPr>
                    <pic:cNvPr id="2892" name="Image 2892"/>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function, your user ID must have Modify permission for User </w:t>
      </w:r>
      <w:r>
        <w:rPr>
          <w:color w:val="231F20"/>
          <w:spacing w:val="-2"/>
        </w:rPr>
        <w:t>Administration.</w:t>
      </w:r>
    </w:p>
    <w:p>
      <w:pPr>
        <w:pStyle w:val="BodyText"/>
        <w:spacing w:line="213" w:lineRule="auto" w:before="238"/>
        <w:ind w:left="2472" w:right="258"/>
      </w:pPr>
      <w:r>
        <w:rPr>
          <w:color w:val="231F20"/>
        </w:rPr>
        <w:t>The Default User ID is used as the template ID for users created with</w:t>
      </w:r>
      <w:r>
        <w:rPr>
          <w:color w:val="231F20"/>
          <w:spacing w:val="34"/>
        </w:rPr>
        <w:t> </w:t>
      </w:r>
      <w:r>
        <w:rPr>
          <w:color w:val="231F20"/>
          <w:spacing w:val="-25"/>
          <w:position w:val="-1"/>
        </w:rPr>
        <w:drawing>
          <wp:inline distT="0" distB="0" distL="0" distR="0">
            <wp:extent cx="95250" cy="101600"/>
            <wp:effectExtent l="0" t="0" r="0" b="0"/>
            <wp:docPr id="2893" name="Image 2893"/>
            <wp:cNvGraphicFramePr>
              <a:graphicFrameLocks/>
            </wp:cNvGraphicFramePr>
            <a:graphic>
              <a:graphicData uri="http://schemas.openxmlformats.org/drawingml/2006/picture">
                <pic:pic>
                  <pic:nvPicPr>
                    <pic:cNvPr id="2893" name="Image 2893"/>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Create</w:t>
      </w:r>
      <w:r>
        <w:rPr>
          <w:rFonts w:ascii="Book Antiqua"/>
          <w:b/>
          <w:color w:val="231F20"/>
          <w:spacing w:val="40"/>
        </w:rPr>
        <w:t> </w:t>
      </w:r>
      <w:r>
        <w:rPr>
          <w:rFonts w:ascii="Book Antiqua"/>
          <w:b/>
          <w:color w:val="231F20"/>
        </w:rPr>
        <w:t>New User</w:t>
      </w:r>
      <w:r>
        <w:rPr>
          <w:color w:val="231F20"/>
        </w:rPr>
        <w:t>. Edit this user ID if you want to change any of the default settings. The</w:t>
      </w:r>
      <w:r>
        <w:rPr>
          <w:color w:val="231F20"/>
          <w:spacing w:val="40"/>
        </w:rPr>
        <w:t> </w:t>
      </w:r>
      <w:r>
        <w:rPr>
          <w:color w:val="231F20"/>
        </w:rPr>
        <w:t>initial defaults enable all the functions listed under Tivoli Enterprise Portal Authorities except User Administration Create and Modify. Any changes you </w:t>
      </w:r>
      <w:r>
        <w:rPr>
          <w:color w:val="231F20"/>
        </w:rPr>
        <w:t>make to</w:t>
      </w:r>
      <w:r>
        <w:rPr>
          <w:color w:val="231F20"/>
          <w:spacing w:val="28"/>
        </w:rPr>
        <w:t> </w:t>
      </w:r>
      <w:r>
        <w:rPr>
          <w:color w:val="231F20"/>
        </w:rPr>
        <w:t>the</w:t>
      </w:r>
      <w:r>
        <w:rPr>
          <w:color w:val="231F20"/>
          <w:spacing w:val="28"/>
        </w:rPr>
        <w:t> </w:t>
      </w:r>
      <w:r>
        <w:rPr>
          <w:color w:val="231F20"/>
        </w:rPr>
        <w:t>&lt;Default</w:t>
      </w:r>
      <w:r>
        <w:rPr>
          <w:color w:val="231F20"/>
          <w:spacing w:val="28"/>
        </w:rPr>
        <w:t> </w:t>
      </w:r>
      <w:r>
        <w:rPr>
          <w:color w:val="231F20"/>
        </w:rPr>
        <w:t>User&gt;</w:t>
      </w:r>
      <w:r>
        <w:rPr>
          <w:color w:val="231F20"/>
          <w:spacing w:val="28"/>
        </w:rPr>
        <w:t> </w:t>
      </w:r>
      <w:r>
        <w:rPr>
          <w:color w:val="231F20"/>
        </w:rPr>
        <w:t>ID</w:t>
      </w:r>
      <w:r>
        <w:rPr>
          <w:color w:val="231F20"/>
          <w:spacing w:val="28"/>
        </w:rPr>
        <w:t> </w:t>
      </w:r>
      <w:r>
        <w:rPr>
          <w:color w:val="231F20"/>
        </w:rPr>
        <w:t>apply</w:t>
      </w:r>
      <w:r>
        <w:rPr>
          <w:color w:val="231F20"/>
          <w:spacing w:val="28"/>
        </w:rPr>
        <w:t> </w:t>
      </w:r>
      <w:r>
        <w:rPr>
          <w:color w:val="231F20"/>
        </w:rPr>
        <w:t>to</w:t>
      </w:r>
      <w:r>
        <w:rPr>
          <w:color w:val="231F20"/>
          <w:spacing w:val="28"/>
        </w:rPr>
        <w:t> </w:t>
      </w:r>
      <w:r>
        <w:rPr>
          <w:color w:val="231F20"/>
        </w:rPr>
        <w:t>users</w:t>
      </w:r>
      <w:r>
        <w:rPr>
          <w:color w:val="231F20"/>
          <w:spacing w:val="28"/>
        </w:rPr>
        <w:t> </w:t>
      </w:r>
      <w:r>
        <w:rPr>
          <w:color w:val="231F20"/>
        </w:rPr>
        <w:t>created</w:t>
      </w:r>
      <w:r>
        <w:rPr>
          <w:color w:val="231F20"/>
          <w:spacing w:val="28"/>
        </w:rPr>
        <w:t> </w:t>
      </w:r>
      <w:r>
        <w:rPr>
          <w:color w:val="231F20"/>
        </w:rPr>
        <w:t>from</w:t>
      </w:r>
      <w:r>
        <w:rPr>
          <w:color w:val="231F20"/>
          <w:spacing w:val="28"/>
        </w:rPr>
        <w:t> </w:t>
      </w:r>
      <w:r>
        <w:rPr>
          <w:color w:val="231F20"/>
        </w:rPr>
        <w:t>this</w:t>
      </w:r>
      <w:r>
        <w:rPr>
          <w:color w:val="231F20"/>
          <w:spacing w:val="28"/>
        </w:rPr>
        <w:t> </w:t>
      </w:r>
      <w:r>
        <w:rPr>
          <w:color w:val="231F20"/>
        </w:rPr>
        <w:t>point</w:t>
      </w:r>
      <w:r>
        <w:rPr>
          <w:color w:val="231F20"/>
          <w:spacing w:val="28"/>
        </w:rPr>
        <w:t> </w:t>
      </w:r>
      <w:r>
        <w:rPr>
          <w:color w:val="231F20"/>
        </w:rPr>
        <w:t>on;</w:t>
      </w:r>
      <w:r>
        <w:rPr>
          <w:color w:val="231F20"/>
          <w:spacing w:val="28"/>
        </w:rPr>
        <w:t> </w:t>
      </w:r>
      <w:r>
        <w:rPr>
          <w:color w:val="231F20"/>
        </w:rPr>
        <w:t>they</w:t>
      </w:r>
      <w:r>
        <w:rPr>
          <w:color w:val="231F20"/>
          <w:spacing w:val="28"/>
        </w:rPr>
        <w:t> </w:t>
      </w:r>
      <w:r>
        <w:rPr>
          <w:color w:val="231F20"/>
        </w:rPr>
        <w:t>do</w:t>
      </w:r>
      <w:r>
        <w:rPr>
          <w:color w:val="231F20"/>
          <w:spacing w:val="28"/>
        </w:rPr>
        <w:t> </w:t>
      </w:r>
      <w:r>
        <w:rPr>
          <w:color w:val="231F20"/>
        </w:rPr>
        <w:t>not affect any existing user ID settings.</w:t>
      </w:r>
    </w:p>
    <w:p>
      <w:pPr>
        <w:pStyle w:val="BodyText"/>
        <w:spacing w:before="3"/>
        <w:rPr>
          <w:sz w:val="16"/>
        </w:rPr>
      </w:pPr>
      <w:r>
        <w:rPr/>
        <mc:AlternateContent>
          <mc:Choice Requires="wps">
            <w:drawing>
              <wp:anchor distT="0" distB="0" distL="0" distR="0" allowOverlap="1" layoutInCell="1" locked="0" behindDoc="1" simplePos="0" relativeHeight="487738368">
                <wp:simplePos x="0" y="0"/>
                <wp:positionH relativeFrom="page">
                  <wp:posOffset>912380</wp:posOffset>
                </wp:positionH>
                <wp:positionV relativeFrom="paragraph">
                  <wp:posOffset>154365</wp:posOffset>
                </wp:positionV>
                <wp:extent cx="6082665" cy="1270"/>
                <wp:effectExtent l="0" t="0" r="0" b="0"/>
                <wp:wrapTopAndBottom/>
                <wp:docPr id="2894" name="Graphic 2894"/>
                <wp:cNvGraphicFramePr>
                  <a:graphicFrameLocks/>
                </wp:cNvGraphicFramePr>
                <a:graphic>
                  <a:graphicData uri="http://schemas.microsoft.com/office/word/2010/wordprocessingShape">
                    <wps:wsp>
                      <wps:cNvPr id="2894" name="Graphic 289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54782pt;width:478.95pt;height:.1pt;mso-position-horizontal-relative:page;mso-position-vertical-relative:paragraph;z-index:-15578112;mso-wrap-distance-left:0;mso-wrap-distance-right:0" id="docshape239" coordorigin="1437,243" coordsize="9579,0" path="m1437,243l11016,243e" filled="false" stroked="true" strokeweight=".499pt" strokecolor="#231f20">
                <v:path arrowok="t"/>
                <v:stroke dashstyle="solid"/>
                <w10:wrap type="topAndBottom"/>
              </v:shape>
            </w:pict>
          </mc:Fallback>
        </mc:AlternateContent>
      </w:r>
    </w:p>
    <w:p>
      <w:pPr>
        <w:pStyle w:val="Heading3"/>
      </w:pPr>
      <w:bookmarkStart w:name="Managing user groups" w:id="568"/>
      <w:bookmarkEnd w:id="568"/>
      <w:r>
        <w:rPr>
          <w:b w:val="0"/>
        </w:rPr>
      </w:r>
      <w:r>
        <w:rPr>
          <w:color w:val="231F20"/>
        </w:rPr>
        <w:t>Managing</w:t>
      </w:r>
      <w:r>
        <w:rPr>
          <w:color w:val="231F20"/>
          <w:spacing w:val="5"/>
        </w:rPr>
        <w:t> </w:t>
      </w:r>
      <w:r>
        <w:rPr>
          <w:color w:val="231F20"/>
        </w:rPr>
        <w:t>user</w:t>
      </w:r>
      <w:r>
        <w:rPr>
          <w:color w:val="231F20"/>
          <w:spacing w:val="6"/>
        </w:rPr>
        <w:t> </w:t>
      </w:r>
      <w:r>
        <w:rPr>
          <w:color w:val="231F20"/>
          <w:spacing w:val="-2"/>
        </w:rPr>
        <w:t>groups</w:t>
      </w:r>
    </w:p>
    <w:p>
      <w:pPr>
        <w:pStyle w:val="BodyText"/>
        <w:spacing w:line="213" w:lineRule="auto" w:before="138"/>
        <w:ind w:left="2472"/>
      </w:pPr>
      <w:r>
        <w:rPr>
          <w:color w:val="231F20"/>
        </w:rPr>
        <w:t>User groups enable the administrator to authorize the same set of functional permissions, applications, and Navigator views to multiple users at one time. Management</w:t>
      </w:r>
      <w:r>
        <w:rPr>
          <w:color w:val="231F20"/>
          <w:spacing w:val="11"/>
        </w:rPr>
        <w:t> </w:t>
      </w:r>
      <w:r>
        <w:rPr>
          <w:color w:val="231F20"/>
        </w:rPr>
        <w:t>of</w:t>
      </w:r>
      <w:r>
        <w:rPr>
          <w:color w:val="231F20"/>
          <w:spacing w:val="11"/>
        </w:rPr>
        <w:t> </w:t>
      </w:r>
      <w:r>
        <w:rPr>
          <w:color w:val="231F20"/>
        </w:rPr>
        <w:t>user</w:t>
      </w:r>
      <w:r>
        <w:rPr>
          <w:color w:val="231F20"/>
          <w:spacing w:val="11"/>
        </w:rPr>
        <w:t> </w:t>
      </w:r>
      <w:r>
        <w:rPr>
          <w:color w:val="231F20"/>
        </w:rPr>
        <w:t>authorization</w:t>
      </w:r>
      <w:r>
        <w:rPr>
          <w:color w:val="231F20"/>
          <w:spacing w:val="11"/>
        </w:rPr>
        <w:t> </w:t>
      </w:r>
      <w:r>
        <w:rPr>
          <w:color w:val="231F20"/>
        </w:rPr>
        <w:t>can</w:t>
      </w:r>
      <w:r>
        <w:rPr>
          <w:color w:val="231F20"/>
          <w:spacing w:val="11"/>
        </w:rPr>
        <w:t> </w:t>
      </w:r>
      <w:r>
        <w:rPr>
          <w:color w:val="231F20"/>
        </w:rPr>
        <w:t>be</w:t>
      </w:r>
      <w:r>
        <w:rPr>
          <w:color w:val="231F20"/>
          <w:spacing w:val="11"/>
        </w:rPr>
        <w:t> </w:t>
      </w:r>
      <w:r>
        <w:rPr>
          <w:color w:val="231F20"/>
        </w:rPr>
        <w:t>done</w:t>
      </w:r>
      <w:r>
        <w:rPr>
          <w:color w:val="231F20"/>
          <w:spacing w:val="11"/>
        </w:rPr>
        <w:t> </w:t>
      </w:r>
      <w:r>
        <w:rPr>
          <w:color w:val="231F20"/>
        </w:rPr>
        <w:t>by</w:t>
      </w:r>
      <w:r>
        <w:rPr>
          <w:color w:val="231F20"/>
          <w:spacing w:val="11"/>
        </w:rPr>
        <w:t> </w:t>
      </w:r>
      <w:r>
        <w:rPr>
          <w:color w:val="231F20"/>
        </w:rPr>
        <w:t>groups</w:t>
      </w:r>
      <w:r>
        <w:rPr>
          <w:color w:val="231F20"/>
          <w:spacing w:val="11"/>
        </w:rPr>
        <w:t> </w:t>
      </w:r>
      <w:r>
        <w:rPr>
          <w:color w:val="231F20"/>
        </w:rPr>
        <w:t>as</w:t>
      </w:r>
      <w:r>
        <w:rPr>
          <w:color w:val="231F20"/>
          <w:spacing w:val="12"/>
        </w:rPr>
        <w:t> </w:t>
      </w:r>
      <w:r>
        <w:rPr>
          <w:color w:val="231F20"/>
        </w:rPr>
        <w:t>well</w:t>
      </w:r>
      <w:r>
        <w:rPr>
          <w:color w:val="231F20"/>
          <w:spacing w:val="11"/>
        </w:rPr>
        <w:t> </w:t>
      </w:r>
      <w:r>
        <w:rPr>
          <w:color w:val="231F20"/>
        </w:rPr>
        <w:t>as</w:t>
      </w:r>
      <w:r>
        <w:rPr>
          <w:color w:val="231F20"/>
          <w:spacing w:val="11"/>
        </w:rPr>
        <w:t> </w:t>
      </w:r>
      <w:r>
        <w:rPr>
          <w:color w:val="231F20"/>
          <w:spacing w:val="-2"/>
        </w:rPr>
        <w:t>individually.</w:t>
      </w:r>
    </w:p>
    <w:p>
      <w:pPr>
        <w:pStyle w:val="BodyText"/>
        <w:spacing w:line="213" w:lineRule="auto" w:before="238"/>
        <w:ind w:left="2472" w:right="198"/>
      </w:pPr>
      <w:r>
        <w:rPr>
          <w:color w:val="231F20"/>
        </w:rPr>
        <w:t>A user</w:t>
      </w:r>
      <w:r>
        <w:rPr>
          <w:color w:val="231F20"/>
          <w:spacing w:val="21"/>
        </w:rPr>
        <w:t> </w:t>
      </w:r>
      <w:r>
        <w:rPr>
          <w:color w:val="231F20"/>
        </w:rPr>
        <w:t>can</w:t>
      </w:r>
      <w:r>
        <w:rPr>
          <w:color w:val="231F20"/>
          <w:spacing w:val="21"/>
        </w:rPr>
        <w:t> </w:t>
      </w:r>
      <w:r>
        <w:rPr>
          <w:color w:val="231F20"/>
        </w:rPr>
        <w:t>be</w:t>
      </w:r>
      <w:r>
        <w:rPr>
          <w:color w:val="231F20"/>
          <w:spacing w:val="21"/>
        </w:rPr>
        <w:t> </w:t>
      </w:r>
      <w:r>
        <w:rPr>
          <w:color w:val="231F20"/>
        </w:rPr>
        <w:t>associated</w:t>
      </w:r>
      <w:r>
        <w:rPr>
          <w:color w:val="231F20"/>
          <w:spacing w:val="21"/>
        </w:rPr>
        <w:t> </w:t>
      </w:r>
      <w:r>
        <w:rPr>
          <w:color w:val="231F20"/>
        </w:rPr>
        <w:t>with</w:t>
      </w:r>
      <w:r>
        <w:rPr>
          <w:color w:val="231F20"/>
          <w:spacing w:val="21"/>
        </w:rPr>
        <w:t> </w:t>
      </w:r>
      <w:r>
        <w:rPr>
          <w:color w:val="231F20"/>
        </w:rPr>
        <w:t>one</w:t>
      </w:r>
      <w:r>
        <w:rPr>
          <w:color w:val="231F20"/>
          <w:spacing w:val="21"/>
        </w:rPr>
        <w:t> </w:t>
      </w:r>
      <w:r>
        <w:rPr>
          <w:color w:val="231F20"/>
        </w:rPr>
        <w:t>or</w:t>
      </w:r>
      <w:r>
        <w:rPr>
          <w:color w:val="231F20"/>
          <w:spacing w:val="21"/>
        </w:rPr>
        <w:t> </w:t>
      </w:r>
      <w:r>
        <w:rPr>
          <w:color w:val="231F20"/>
        </w:rPr>
        <w:t>more</w:t>
      </w:r>
      <w:r>
        <w:rPr>
          <w:color w:val="231F20"/>
          <w:spacing w:val="21"/>
        </w:rPr>
        <w:t> </w:t>
      </w:r>
      <w:r>
        <w:rPr>
          <w:color w:val="231F20"/>
        </w:rPr>
        <w:t>user</w:t>
      </w:r>
      <w:r>
        <w:rPr>
          <w:color w:val="231F20"/>
          <w:spacing w:val="21"/>
        </w:rPr>
        <w:t> </w:t>
      </w:r>
      <w:r>
        <w:rPr>
          <w:color w:val="231F20"/>
        </w:rPr>
        <w:t>groups.</w:t>
      </w:r>
      <w:r>
        <w:rPr>
          <w:color w:val="231F20"/>
          <w:spacing w:val="21"/>
        </w:rPr>
        <w:t> </w:t>
      </w:r>
      <w:r>
        <w:rPr>
          <w:color w:val="231F20"/>
        </w:rPr>
        <w:t>If</w:t>
      </w:r>
      <w:r>
        <w:rPr>
          <w:color w:val="231F20"/>
          <w:spacing w:val="21"/>
        </w:rPr>
        <w:t> </w:t>
      </w:r>
      <w:r>
        <w:rPr>
          <w:color w:val="231F20"/>
        </w:rPr>
        <w:t>a</w:t>
      </w:r>
      <w:r>
        <w:rPr>
          <w:color w:val="231F20"/>
          <w:spacing w:val="21"/>
        </w:rPr>
        <w:t> </w:t>
      </w:r>
      <w:r>
        <w:rPr>
          <w:color w:val="231F20"/>
        </w:rPr>
        <w:t>permission</w:t>
      </w:r>
      <w:r>
        <w:rPr>
          <w:color w:val="231F20"/>
          <w:spacing w:val="21"/>
        </w:rPr>
        <w:t> </w:t>
      </w:r>
      <w:r>
        <w:rPr>
          <w:color w:val="231F20"/>
        </w:rPr>
        <w:t>is</w:t>
      </w:r>
      <w:r>
        <w:rPr>
          <w:color w:val="231F20"/>
          <w:spacing w:val="21"/>
        </w:rPr>
        <w:t> </w:t>
      </w:r>
      <w:r>
        <w:rPr>
          <w:color w:val="231F20"/>
        </w:rPr>
        <w:t>granted to</w:t>
      </w:r>
      <w:r>
        <w:rPr>
          <w:color w:val="231F20"/>
          <w:spacing w:val="25"/>
        </w:rPr>
        <w:t> </w:t>
      </w:r>
      <w:r>
        <w:rPr>
          <w:color w:val="231F20"/>
        </w:rPr>
        <w:t>a</w:t>
      </w:r>
      <w:r>
        <w:rPr>
          <w:color w:val="231F20"/>
          <w:spacing w:val="25"/>
        </w:rPr>
        <w:t> </w:t>
      </w:r>
      <w:r>
        <w:rPr>
          <w:color w:val="231F20"/>
        </w:rPr>
        <w:t>user</w:t>
      </w:r>
      <w:r>
        <w:rPr>
          <w:color w:val="231F20"/>
          <w:spacing w:val="25"/>
        </w:rPr>
        <w:t> </w:t>
      </w:r>
      <w:r>
        <w:rPr>
          <w:color w:val="231F20"/>
        </w:rPr>
        <w:t>directly</w:t>
      </w:r>
      <w:r>
        <w:rPr>
          <w:color w:val="231F20"/>
          <w:spacing w:val="25"/>
        </w:rPr>
        <w:t> </w:t>
      </w:r>
      <w:r>
        <w:rPr>
          <w:color w:val="231F20"/>
        </w:rPr>
        <w:t>through</w:t>
      </w:r>
      <w:r>
        <w:rPr>
          <w:color w:val="231F20"/>
          <w:spacing w:val="25"/>
        </w:rPr>
        <w:t> </w:t>
      </w:r>
      <w:r>
        <w:rPr>
          <w:color w:val="231F20"/>
        </w:rPr>
        <w:t>their</w:t>
      </w:r>
      <w:r>
        <w:rPr>
          <w:color w:val="231F20"/>
          <w:spacing w:val="25"/>
        </w:rPr>
        <w:t> </w:t>
      </w:r>
      <w:r>
        <w:rPr>
          <w:color w:val="231F20"/>
        </w:rPr>
        <w:t>user</w:t>
      </w:r>
      <w:r>
        <w:rPr>
          <w:color w:val="231F20"/>
          <w:spacing w:val="25"/>
        </w:rPr>
        <w:t> </w:t>
      </w:r>
      <w:r>
        <w:rPr>
          <w:color w:val="231F20"/>
        </w:rPr>
        <w:t>ID,</w:t>
      </w:r>
      <w:r>
        <w:rPr>
          <w:color w:val="231F20"/>
          <w:spacing w:val="25"/>
        </w:rPr>
        <w:t> </w:t>
      </w:r>
      <w:r>
        <w:rPr>
          <w:color w:val="231F20"/>
        </w:rPr>
        <w:t>they</w:t>
      </w:r>
      <w:r>
        <w:rPr>
          <w:color w:val="231F20"/>
          <w:spacing w:val="25"/>
        </w:rPr>
        <w:t> </w:t>
      </w:r>
      <w:r>
        <w:rPr>
          <w:color w:val="231F20"/>
        </w:rPr>
        <w:t>maintain</w:t>
      </w:r>
      <w:r>
        <w:rPr>
          <w:color w:val="231F20"/>
          <w:spacing w:val="25"/>
        </w:rPr>
        <w:t> </w:t>
      </w:r>
      <w:r>
        <w:rPr>
          <w:color w:val="231F20"/>
        </w:rPr>
        <w:t>that</w:t>
      </w:r>
      <w:r>
        <w:rPr>
          <w:color w:val="231F20"/>
          <w:spacing w:val="25"/>
        </w:rPr>
        <w:t> </w:t>
      </w:r>
      <w:r>
        <w:rPr>
          <w:color w:val="231F20"/>
        </w:rPr>
        <w:t>permission</w:t>
      </w:r>
      <w:r>
        <w:rPr>
          <w:color w:val="231F20"/>
          <w:spacing w:val="25"/>
        </w:rPr>
        <w:t> </w:t>
      </w:r>
      <w:r>
        <w:rPr>
          <w:color w:val="231F20"/>
        </w:rPr>
        <w:t>even</w:t>
      </w:r>
      <w:r>
        <w:rPr>
          <w:color w:val="231F20"/>
          <w:spacing w:val="25"/>
        </w:rPr>
        <w:t> </w:t>
      </w:r>
      <w:r>
        <w:rPr>
          <w:color w:val="231F20"/>
        </w:rPr>
        <w:t>if</w:t>
      </w:r>
      <w:r>
        <w:rPr>
          <w:color w:val="231F20"/>
          <w:spacing w:val="25"/>
        </w:rPr>
        <w:t> </w:t>
      </w:r>
      <w:r>
        <w:rPr>
          <w:color w:val="231F20"/>
        </w:rPr>
        <w:t>a user</w:t>
      </w:r>
      <w:r>
        <w:rPr>
          <w:color w:val="231F20"/>
          <w:spacing w:val="19"/>
        </w:rPr>
        <w:t> </w:t>
      </w:r>
      <w:r>
        <w:rPr>
          <w:color w:val="231F20"/>
        </w:rPr>
        <w:t>group</w:t>
      </w:r>
      <w:r>
        <w:rPr>
          <w:color w:val="231F20"/>
          <w:spacing w:val="19"/>
        </w:rPr>
        <w:t> </w:t>
      </w:r>
      <w:r>
        <w:rPr>
          <w:color w:val="231F20"/>
        </w:rPr>
        <w:t>they</w:t>
      </w:r>
      <w:r>
        <w:rPr>
          <w:color w:val="231F20"/>
          <w:spacing w:val="19"/>
        </w:rPr>
        <w:t> </w:t>
      </w:r>
      <w:r>
        <w:rPr>
          <w:color w:val="231F20"/>
        </w:rPr>
        <w:t>belong</w:t>
      </w:r>
      <w:r>
        <w:rPr>
          <w:color w:val="231F20"/>
          <w:spacing w:val="19"/>
        </w:rPr>
        <w:t> </w:t>
      </w:r>
      <w:r>
        <w:rPr>
          <w:color w:val="231F20"/>
        </w:rPr>
        <w:t>to</w:t>
      </w:r>
      <w:r>
        <w:rPr>
          <w:color w:val="231F20"/>
          <w:spacing w:val="19"/>
        </w:rPr>
        <w:t> </w:t>
      </w:r>
      <w:r>
        <w:rPr>
          <w:color w:val="231F20"/>
        </w:rPr>
        <w:t>does</w:t>
      </w:r>
      <w:r>
        <w:rPr>
          <w:color w:val="231F20"/>
          <w:spacing w:val="19"/>
        </w:rPr>
        <w:t> </w:t>
      </w:r>
      <w:r>
        <w:rPr>
          <w:color w:val="231F20"/>
        </w:rPr>
        <w:t>not</w:t>
      </w:r>
      <w:r>
        <w:rPr>
          <w:color w:val="231F20"/>
          <w:spacing w:val="19"/>
        </w:rPr>
        <w:t> </w:t>
      </w:r>
      <w:r>
        <w:rPr>
          <w:color w:val="231F20"/>
        </w:rPr>
        <w:t>grant</w:t>
      </w:r>
      <w:r>
        <w:rPr>
          <w:color w:val="231F20"/>
          <w:spacing w:val="19"/>
        </w:rPr>
        <w:t> </w:t>
      </w:r>
      <w:r>
        <w:rPr>
          <w:color w:val="231F20"/>
        </w:rPr>
        <w:t>that</w:t>
      </w:r>
      <w:r>
        <w:rPr>
          <w:color w:val="231F20"/>
          <w:spacing w:val="19"/>
        </w:rPr>
        <w:t> </w:t>
      </w:r>
      <w:r>
        <w:rPr>
          <w:color w:val="231F20"/>
        </w:rPr>
        <w:t>permission.</w:t>
      </w:r>
      <w:r>
        <w:rPr>
          <w:color w:val="231F20"/>
          <w:spacing w:val="19"/>
        </w:rPr>
        <w:t> </w:t>
      </w:r>
      <w:r>
        <w:rPr>
          <w:color w:val="231F20"/>
        </w:rPr>
        <w:t>The</w:t>
      </w:r>
      <w:r>
        <w:rPr>
          <w:color w:val="231F20"/>
          <w:spacing w:val="19"/>
        </w:rPr>
        <w:t> </w:t>
      </w:r>
      <w:r>
        <w:rPr>
          <w:color w:val="231F20"/>
        </w:rPr>
        <w:t>reverse</w:t>
      </w:r>
      <w:r>
        <w:rPr>
          <w:color w:val="231F20"/>
          <w:spacing w:val="19"/>
        </w:rPr>
        <w:t> </w:t>
      </w:r>
      <w:r>
        <w:rPr>
          <w:color w:val="231F20"/>
        </w:rPr>
        <w:t>is</w:t>
      </w:r>
      <w:r>
        <w:rPr>
          <w:color w:val="231F20"/>
          <w:spacing w:val="19"/>
        </w:rPr>
        <w:t> </w:t>
      </w:r>
      <w:r>
        <w:rPr>
          <w:color w:val="231F20"/>
        </w:rPr>
        <w:t>also</w:t>
      </w:r>
      <w:r>
        <w:rPr>
          <w:color w:val="231F20"/>
          <w:spacing w:val="19"/>
        </w:rPr>
        <w:t> </w:t>
      </w:r>
      <w:r>
        <w:rPr>
          <w:color w:val="231F20"/>
        </w:rPr>
        <w:t>true, so that if an individual user ID is not granted a permission but the group ID is, the</w:t>
      </w:r>
      <w:r>
        <w:rPr>
          <w:color w:val="231F20"/>
          <w:spacing w:val="80"/>
        </w:rPr>
        <w:t> </w:t>
      </w:r>
      <w:r>
        <w:rPr>
          <w:color w:val="231F20"/>
        </w:rPr>
        <w:t>user will have the permission through their membership in the user group. Thus,</w:t>
      </w:r>
      <w:r>
        <w:rPr>
          <w:color w:val="231F20"/>
          <w:spacing w:val="80"/>
          <w:w w:val="150"/>
        </w:rPr>
        <w:t> </w:t>
      </w:r>
      <w:r>
        <w:rPr>
          <w:color w:val="231F20"/>
        </w:rPr>
        <w:t>the user's permission set is collected from what is given to the individual user ID</w:t>
      </w:r>
      <w:r>
        <w:rPr>
          <w:color w:val="231F20"/>
          <w:spacing w:val="80"/>
        </w:rPr>
        <w:t> </w:t>
      </w:r>
      <w:r>
        <w:rPr>
          <w:color w:val="231F20"/>
        </w:rPr>
        <w:t>and to any and all user groups that they belong to.</w:t>
      </w:r>
    </w:p>
    <w:p>
      <w:pPr>
        <w:spacing w:after="0" w:line="213" w:lineRule="auto"/>
        <w:sectPr>
          <w:pgSz w:w="12240" w:h="15840"/>
          <w:pgMar w:header="0" w:footer="736" w:top="1180" w:bottom="920" w:left="1000" w:right="1060"/>
        </w:sectPr>
      </w:pPr>
    </w:p>
    <w:p>
      <w:pPr>
        <w:pStyle w:val="BodyText"/>
        <w:spacing w:line="213" w:lineRule="auto" w:before="85"/>
        <w:ind w:left="2232" w:right="717"/>
        <w:jc w:val="both"/>
      </w:pPr>
      <w:bookmarkStart w:name="_bookmark277" w:id="569"/>
      <w:bookmarkEnd w:id="569"/>
      <w:r>
        <w:rPr/>
      </w:r>
      <w:r>
        <w:rPr>
          <w:color w:val="231F20"/>
        </w:rPr>
        <w:t>Authorization will also be by global authority and by association with </w:t>
      </w:r>
      <w:r>
        <w:rPr>
          <w:color w:val="231F20"/>
        </w:rPr>
        <w:t>managed system and managed system groups. This security is not dependent on external </w:t>
      </w:r>
      <w:r>
        <w:rPr>
          <w:color w:val="231F20"/>
          <w:spacing w:val="-2"/>
        </w:rPr>
        <w:t>authorization.</w:t>
      </w:r>
    </w:p>
    <w:p>
      <w:pPr>
        <w:pStyle w:val="BodyText"/>
        <w:spacing w:line="213" w:lineRule="auto" w:before="237"/>
        <w:ind w:left="2232" w:right="493"/>
      </w:pPr>
      <w:r>
        <w:rPr/>
        <w:drawing>
          <wp:anchor distT="0" distB="0" distL="0" distR="0" allowOverlap="1" layoutInCell="1" locked="0" behindDoc="0" simplePos="0" relativeHeight="15879680">
            <wp:simplePos x="0" y="0"/>
            <wp:positionH relativeFrom="page">
              <wp:posOffset>6616620</wp:posOffset>
            </wp:positionH>
            <wp:positionV relativeFrom="paragraph">
              <wp:posOffset>183636</wp:posOffset>
            </wp:positionV>
            <wp:extent cx="101600" cy="101600"/>
            <wp:effectExtent l="0" t="0" r="0" b="0"/>
            <wp:wrapNone/>
            <wp:docPr id="2895" name="Image 2895"/>
            <wp:cNvGraphicFramePr>
              <a:graphicFrameLocks/>
            </wp:cNvGraphicFramePr>
            <a:graphic>
              <a:graphicData uri="http://schemas.openxmlformats.org/drawingml/2006/picture">
                <pic:pic>
                  <pic:nvPicPr>
                    <pic:cNvPr id="2895" name="Image 2895"/>
                    <pic:cNvPicPr/>
                  </pic:nvPicPr>
                  <pic:blipFill>
                    <a:blip r:embed="rId452" cstate="print"/>
                    <a:stretch>
                      <a:fillRect/>
                    </a:stretch>
                  </pic:blipFill>
                  <pic:spPr>
                    <a:xfrm>
                      <a:off x="0" y="0"/>
                      <a:ext cx="101600" cy="101600"/>
                    </a:xfrm>
                    <a:prstGeom prst="rect">
                      <a:avLst/>
                    </a:prstGeom>
                  </pic:spPr>
                </pic:pic>
              </a:graphicData>
            </a:graphic>
          </wp:anchor>
        </w:drawing>
      </w:r>
      <w:r>
        <w:rPr>
          <w:color w:val="231F20"/>
        </w:rPr>
        <w:t>When the active top tab is</w:t>
      </w:r>
      <w:r>
        <w:rPr>
          <w:color w:val="231F20"/>
          <w:spacing w:val="40"/>
        </w:rPr>
        <w:t> </w:t>
      </w:r>
      <w:r>
        <w:rPr>
          <w:color w:val="231F20"/>
          <w:spacing w:val="-15"/>
          <w:position w:val="-1"/>
        </w:rPr>
        <w:drawing>
          <wp:inline distT="0" distB="0" distL="0" distR="0">
            <wp:extent cx="82550" cy="101600"/>
            <wp:effectExtent l="0" t="0" r="0" b="0"/>
            <wp:docPr id="2896" name="Image 2896"/>
            <wp:cNvGraphicFramePr>
              <a:graphicFrameLocks/>
            </wp:cNvGraphicFramePr>
            <a:graphic>
              <a:graphicData uri="http://schemas.openxmlformats.org/drawingml/2006/picture">
                <pic:pic>
                  <pic:nvPicPr>
                    <pic:cNvPr id="2896" name="Image 2896"/>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Users</w:t>
      </w:r>
      <w:r>
        <w:rPr>
          <w:color w:val="231F20"/>
        </w:rPr>
        <w:t>, the last tab on the bottom set of tabs reads</w:t>
      </w:r>
      <w:r>
        <w:rPr>
          <w:color w:val="231F20"/>
          <w:spacing w:val="40"/>
        </w:rPr>
        <w:t> </w:t>
      </w:r>
      <w:r>
        <w:rPr>
          <w:rFonts w:ascii="Book Antiqua"/>
          <w:b/>
          <w:color w:val="231F20"/>
        </w:rPr>
        <w:t>Member Of</w:t>
      </w:r>
      <w:r>
        <w:rPr>
          <w:color w:val="231F20"/>
        </w:rPr>
        <w:t>. When the active top tab is </w:t>
      </w:r>
      <w:r>
        <w:rPr>
          <w:color w:val="231F20"/>
          <w:spacing w:val="15"/>
          <w:position w:val="-1"/>
        </w:rPr>
        <w:drawing>
          <wp:inline distT="0" distB="0" distL="0" distR="0">
            <wp:extent cx="101600" cy="101600"/>
            <wp:effectExtent l="0" t="0" r="0" b="0"/>
            <wp:docPr id="2897" name="Image 2897"/>
            <wp:cNvGraphicFramePr>
              <a:graphicFrameLocks/>
            </wp:cNvGraphicFramePr>
            <a:graphic>
              <a:graphicData uri="http://schemas.openxmlformats.org/drawingml/2006/picture">
                <pic:pic>
                  <pic:nvPicPr>
                    <pic:cNvPr id="2897" name="Image 2897"/>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rFonts w:ascii="Book Antiqua"/>
          <w:b/>
          <w:color w:val="231F20"/>
        </w:rPr>
        <w:t>User Groups</w:t>
      </w:r>
      <w:r>
        <w:rPr>
          <w:color w:val="231F20"/>
        </w:rPr>
        <w:t>, you will also have a</w:t>
      </w:r>
      <w:r>
        <w:rPr>
          <w:color w:val="231F20"/>
          <w:spacing w:val="40"/>
        </w:rPr>
        <w:t> </w:t>
      </w:r>
      <w:r>
        <w:rPr>
          <w:color w:val="231F20"/>
          <w:spacing w:val="-15"/>
          <w:position w:val="-1"/>
        </w:rPr>
        <w:drawing>
          <wp:inline distT="0" distB="0" distL="0" distR="0">
            <wp:extent cx="82550" cy="101600"/>
            <wp:effectExtent l="0" t="0" r="0" b="0"/>
            <wp:docPr id="2898" name="Image 2898"/>
            <wp:cNvGraphicFramePr>
              <a:graphicFrameLocks/>
            </wp:cNvGraphicFramePr>
            <a:graphic>
              <a:graphicData uri="http://schemas.openxmlformats.org/drawingml/2006/picture">
                <pic:pic>
                  <pic:nvPicPr>
                    <pic:cNvPr id="2898" name="Image 2898"/>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40"/>
          <w:position w:val="-1"/>
        </w:rPr>
        <w:t> </w:t>
      </w:r>
      <w:r>
        <w:rPr>
          <w:rFonts w:ascii="Book Antiqua"/>
          <w:b/>
          <w:color w:val="231F20"/>
        </w:rPr>
        <w:t>Members </w:t>
      </w:r>
      <w:r>
        <w:rPr>
          <w:color w:val="231F20"/>
        </w:rPr>
        <w:t>tab. Assignment of users to groups can be done in either of these </w:t>
      </w:r>
      <w:r>
        <w:rPr>
          <w:color w:val="231F20"/>
        </w:rPr>
        <w:t>lower </w:t>
      </w:r>
      <w:r>
        <w:rPr>
          <w:color w:val="231F20"/>
          <w:spacing w:val="-2"/>
        </w:rPr>
        <w:t>tabs.</w:t>
      </w:r>
    </w:p>
    <w:p>
      <w:pPr>
        <w:pStyle w:val="BodyText"/>
        <w:spacing w:line="213" w:lineRule="auto" w:before="237"/>
        <w:ind w:left="2232" w:right="763"/>
      </w:pPr>
      <w:r>
        <w:rPr>
          <w:color w:val="231F20"/>
        </w:rPr>
        <w:t>Click the group in the details view at the top, then go to the</w:t>
      </w:r>
      <w:r>
        <w:rPr>
          <w:color w:val="231F20"/>
          <w:spacing w:val="30"/>
        </w:rPr>
        <w:t> </w:t>
      </w:r>
      <w:r>
        <w:rPr>
          <w:color w:val="231F20"/>
          <w:spacing w:val="-15"/>
          <w:position w:val="-1"/>
        </w:rPr>
        <w:drawing>
          <wp:inline distT="0" distB="0" distL="0" distR="0">
            <wp:extent cx="82550" cy="101600"/>
            <wp:effectExtent l="0" t="0" r="0" b="0"/>
            <wp:docPr id="2899" name="Image 2899"/>
            <wp:cNvGraphicFramePr>
              <a:graphicFrameLocks/>
            </wp:cNvGraphicFramePr>
            <a:graphic>
              <a:graphicData uri="http://schemas.openxmlformats.org/drawingml/2006/picture">
                <pic:pic>
                  <pic:nvPicPr>
                    <pic:cNvPr id="2899" name="Image 2899"/>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rPr>
      </w:r>
      <w:r>
        <w:rPr>
          <w:rFonts w:ascii="Times New Roman"/>
          <w:color w:val="231F20"/>
          <w:spacing w:val="80"/>
        </w:rPr>
        <w:t> </w:t>
      </w:r>
      <w:r>
        <w:rPr>
          <w:rFonts w:ascii="Book Antiqua"/>
          <w:b/>
          <w:color w:val="231F20"/>
        </w:rPr>
        <w:t>Members </w:t>
      </w:r>
      <w:r>
        <w:rPr>
          <w:color w:val="231F20"/>
        </w:rPr>
        <w:t>tab </w:t>
      </w:r>
      <w:r>
        <w:rPr>
          <w:color w:val="231F20"/>
        </w:rPr>
        <w:t>to</w:t>
      </w:r>
      <w:r>
        <w:rPr>
          <w:color w:val="231F20"/>
          <w:spacing w:val="40"/>
        </w:rPr>
        <w:t> </w:t>
      </w:r>
      <w:r>
        <w:rPr>
          <w:color w:val="231F20"/>
        </w:rPr>
        <w:t>see the list of users that belong to this group. likewise, to see the groups a user</w:t>
      </w:r>
      <w:r>
        <w:rPr>
          <w:color w:val="231F20"/>
          <w:spacing w:val="40"/>
        </w:rPr>
        <w:t> </w:t>
      </w:r>
      <w:r>
        <w:rPr>
          <w:color w:val="231F20"/>
        </w:rPr>
        <w:t>belongs to.</w:t>
      </w:r>
    </w:p>
    <w:p>
      <w:pPr>
        <w:pStyle w:val="Heading3"/>
        <w:spacing w:before="216"/>
        <w:ind w:left="1334"/>
      </w:pPr>
      <w:bookmarkStart w:name="Viewing user group memberships" w:id="570"/>
      <w:bookmarkEnd w:id="570"/>
      <w:r>
        <w:rPr>
          <w:b w:val="0"/>
        </w:rPr>
      </w:r>
      <w:r>
        <w:rPr>
          <w:color w:val="231F20"/>
        </w:rPr>
        <w:t>Viewing</w:t>
      </w:r>
      <w:r>
        <w:rPr>
          <w:color w:val="231F20"/>
          <w:spacing w:val="5"/>
        </w:rPr>
        <w:t> </w:t>
      </w:r>
      <w:r>
        <w:rPr>
          <w:color w:val="231F20"/>
        </w:rPr>
        <w:t>user</w:t>
      </w:r>
      <w:r>
        <w:rPr>
          <w:color w:val="231F20"/>
          <w:spacing w:val="5"/>
        </w:rPr>
        <w:t> </w:t>
      </w:r>
      <w:r>
        <w:rPr>
          <w:color w:val="231F20"/>
        </w:rPr>
        <w:t>group</w:t>
      </w:r>
      <w:r>
        <w:rPr>
          <w:color w:val="231F20"/>
          <w:spacing w:val="5"/>
        </w:rPr>
        <w:t> </w:t>
      </w:r>
      <w:r>
        <w:rPr>
          <w:color w:val="231F20"/>
          <w:spacing w:val="-2"/>
        </w:rPr>
        <w:t>memberships</w:t>
      </w:r>
    </w:p>
    <w:p>
      <w:pPr>
        <w:pStyle w:val="BodyText"/>
        <w:spacing w:line="213" w:lineRule="auto" w:before="59"/>
        <w:ind w:left="2232" w:right="545"/>
      </w:pPr>
      <w:r>
        <w:rPr>
          <w:color w:val="231F20"/>
        </w:rPr>
        <w:t>You can view both the groups a user ID belongs to, and the list of user IDs</w:t>
      </w:r>
      <w:r>
        <w:rPr>
          <w:color w:val="231F20"/>
          <w:spacing w:val="40"/>
        </w:rPr>
        <w:t> </w:t>
      </w:r>
      <w:r>
        <w:rPr>
          <w:color w:val="231F20"/>
        </w:rPr>
        <w:t>belonging to a user group.</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232" w:firstLine="20"/>
      </w:pPr>
      <w:r>
        <w:rPr>
          <w:position w:val="-1"/>
        </w:rPr>
        <w:drawing>
          <wp:inline distT="0" distB="0" distL="0" distR="0">
            <wp:extent cx="82550" cy="101600"/>
            <wp:effectExtent l="0" t="0" r="0" b="0"/>
            <wp:docPr id="2900" name="Image 2900"/>
            <wp:cNvGraphicFramePr>
              <a:graphicFrameLocks/>
            </wp:cNvGraphicFramePr>
            <a:graphic>
              <a:graphicData uri="http://schemas.openxmlformats.org/drawingml/2006/picture">
                <pic:pic>
                  <pic:nvPicPr>
                    <pic:cNvPr id="2900" name="Image 2900"/>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function, your user ID must have Modify permission for User </w:t>
      </w:r>
      <w:r>
        <w:rPr>
          <w:color w:val="231F20"/>
          <w:spacing w:val="-2"/>
        </w:rPr>
        <w:t>Administration.</w:t>
      </w:r>
    </w:p>
    <w:p>
      <w:pPr>
        <w:pStyle w:val="Heading4"/>
      </w:pPr>
      <w:r>
        <w:rPr>
          <w:color w:val="231F20"/>
          <w:spacing w:val="-2"/>
        </w:rPr>
        <w:t>Procedure</w:t>
      </w:r>
    </w:p>
    <w:p>
      <w:pPr>
        <w:pStyle w:val="ListParagraph"/>
        <w:numPr>
          <w:ilvl w:val="0"/>
          <w:numId w:val="159"/>
        </w:numPr>
        <w:tabs>
          <w:tab w:pos="2546" w:val="left" w:leader="none"/>
          <w:tab w:pos="2548" w:val="left" w:leader="none"/>
        </w:tabs>
        <w:spacing w:line="213" w:lineRule="auto" w:before="61" w:after="0"/>
        <w:ind w:left="2548" w:right="551" w:hanging="317"/>
        <w:jc w:val="left"/>
        <w:rPr>
          <w:sz w:val="20"/>
        </w:rPr>
      </w:pPr>
      <w:r>
        <w:rPr>
          <w:color w:val="231F20"/>
          <w:sz w:val="20"/>
        </w:rPr>
        <w:t>Click</w:t>
      </w:r>
      <w:r>
        <w:rPr>
          <w:color w:val="231F20"/>
          <w:spacing w:val="29"/>
          <w:sz w:val="20"/>
        </w:rPr>
        <w:t> </w:t>
      </w:r>
      <w:r>
        <w:rPr>
          <w:color w:val="231F20"/>
          <w:spacing w:val="-14"/>
          <w:position w:val="-1"/>
          <w:sz w:val="20"/>
        </w:rPr>
        <w:drawing>
          <wp:inline distT="0" distB="0" distL="0" distR="0">
            <wp:extent cx="82550" cy="101600"/>
            <wp:effectExtent l="0" t="0" r="0" b="0"/>
            <wp:docPr id="2901" name="Image 2901"/>
            <wp:cNvGraphicFramePr>
              <a:graphicFrameLocks/>
            </wp:cNvGraphicFramePr>
            <a:graphic>
              <a:graphicData uri="http://schemas.openxmlformats.org/drawingml/2006/picture">
                <pic:pic>
                  <pic:nvPicPr>
                    <pic:cNvPr id="2901" name="Image 2901"/>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7"/>
          <w:sz w:val="20"/>
        </w:rPr>
        <w:t> </w:t>
      </w:r>
      <w:r>
        <w:rPr>
          <w:rFonts w:ascii="Book Antiqua"/>
          <w:b/>
          <w:color w:val="231F20"/>
          <w:sz w:val="20"/>
        </w:rPr>
        <w:t>Administer Users</w:t>
      </w:r>
      <w:r>
        <w:rPr>
          <w:color w:val="231F20"/>
          <w:sz w:val="20"/>
        </w:rPr>
        <w:t>. The Administer Users window is divided into </w:t>
      </w:r>
      <w:r>
        <w:rPr>
          <w:color w:val="231F20"/>
          <w:sz w:val="20"/>
        </w:rPr>
        <w:t>two, with </w:t>
      </w:r>
      <w:r>
        <w:rPr>
          <w:rFonts w:ascii="Book Antiqua"/>
          <w:b/>
          <w:color w:val="231F20"/>
          <w:sz w:val="20"/>
        </w:rPr>
        <w:t>Users </w:t>
      </w:r>
      <w:r>
        <w:rPr>
          <w:color w:val="231F20"/>
          <w:sz w:val="20"/>
        </w:rPr>
        <w:t>and </w:t>
      </w:r>
      <w:r>
        <w:rPr>
          <w:rFonts w:ascii="Book Antiqua"/>
          <w:b/>
          <w:color w:val="231F20"/>
          <w:sz w:val="20"/>
        </w:rPr>
        <w:t>User Groups </w:t>
      </w:r>
      <w:r>
        <w:rPr>
          <w:color w:val="231F20"/>
          <w:sz w:val="20"/>
        </w:rPr>
        <w:t>tabs at the top, and </w:t>
      </w:r>
      <w:r>
        <w:rPr>
          <w:rFonts w:ascii="Book Antiqua"/>
          <w:b/>
          <w:color w:val="231F20"/>
          <w:sz w:val="20"/>
        </w:rPr>
        <w:t>Permissions</w:t>
      </w:r>
      <w:r>
        <w:rPr>
          <w:color w:val="231F20"/>
          <w:sz w:val="20"/>
        </w:rPr>
        <w:t>, </w:t>
      </w:r>
      <w:r>
        <w:rPr>
          <w:rFonts w:ascii="Book Antiqua"/>
          <w:b/>
          <w:color w:val="231F20"/>
          <w:sz w:val="20"/>
        </w:rPr>
        <w:t>Applications</w:t>
      </w:r>
      <w:r>
        <w:rPr>
          <w:color w:val="231F20"/>
          <w:sz w:val="20"/>
        </w:rPr>
        <w:t>, </w:t>
      </w:r>
      <w:r>
        <w:rPr>
          <w:rFonts w:ascii="Book Antiqua"/>
          <w:b/>
          <w:color w:val="231F20"/>
          <w:sz w:val="20"/>
        </w:rPr>
        <w:t>Navigator Views</w:t>
      </w:r>
      <w:r>
        <w:rPr>
          <w:color w:val="231F20"/>
          <w:sz w:val="20"/>
        </w:rPr>
        <w:t>, and </w:t>
      </w:r>
      <w:r>
        <w:rPr>
          <w:rFonts w:ascii="Book Antiqua"/>
          <w:b/>
          <w:color w:val="231F20"/>
          <w:sz w:val="20"/>
        </w:rPr>
        <w:t>Member Of </w:t>
      </w:r>
      <w:r>
        <w:rPr>
          <w:color w:val="231F20"/>
          <w:sz w:val="20"/>
        </w:rPr>
        <w:t>below.</w:t>
      </w:r>
    </w:p>
    <w:p>
      <w:pPr>
        <w:pStyle w:val="ListParagraph"/>
        <w:numPr>
          <w:ilvl w:val="0"/>
          <w:numId w:val="159"/>
        </w:numPr>
        <w:tabs>
          <w:tab w:pos="2548" w:val="left" w:leader="none"/>
        </w:tabs>
        <w:spacing w:line="213" w:lineRule="auto" w:before="58" w:after="0"/>
        <w:ind w:left="2548" w:right="653" w:hanging="316"/>
        <w:jc w:val="left"/>
        <w:rPr>
          <w:sz w:val="20"/>
        </w:rPr>
      </w:pPr>
      <w:r>
        <w:rPr>
          <w:color w:val="231F20"/>
          <w:sz w:val="20"/>
        </w:rPr>
        <w:t>To see the groups a user belongs to, select a name from the</w:t>
      </w:r>
      <w:r>
        <w:rPr>
          <w:color w:val="231F20"/>
          <w:spacing w:val="28"/>
          <w:sz w:val="20"/>
        </w:rPr>
        <w:t> </w:t>
      </w:r>
      <w:r>
        <w:rPr>
          <w:color w:val="231F20"/>
          <w:spacing w:val="-15"/>
          <w:position w:val="-1"/>
          <w:sz w:val="20"/>
        </w:rPr>
        <w:drawing>
          <wp:inline distT="0" distB="0" distL="0" distR="0">
            <wp:extent cx="82550" cy="101600"/>
            <wp:effectExtent l="0" t="0" r="0" b="0"/>
            <wp:docPr id="2902" name="Image 2902"/>
            <wp:cNvGraphicFramePr>
              <a:graphicFrameLocks/>
            </wp:cNvGraphicFramePr>
            <a:graphic>
              <a:graphicData uri="http://schemas.openxmlformats.org/drawingml/2006/picture">
                <pic:pic>
                  <pic:nvPicPr>
                    <pic:cNvPr id="2902" name="Image 2902"/>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sz w:val="20"/>
        </w:rPr>
      </w:r>
      <w:r>
        <w:rPr>
          <w:rFonts w:ascii="Times New Roman"/>
          <w:color w:val="231F20"/>
          <w:spacing w:val="18"/>
          <w:sz w:val="20"/>
        </w:rPr>
        <w:t> </w:t>
      </w:r>
      <w:r>
        <w:rPr>
          <w:rFonts w:ascii="Book Antiqua"/>
          <w:b/>
          <w:color w:val="231F20"/>
          <w:sz w:val="20"/>
        </w:rPr>
        <w:t>Users </w:t>
      </w:r>
      <w:r>
        <w:rPr>
          <w:color w:val="231F20"/>
          <w:sz w:val="20"/>
        </w:rPr>
        <w:t>list, </w:t>
      </w:r>
      <w:r>
        <w:rPr>
          <w:color w:val="231F20"/>
          <w:sz w:val="20"/>
        </w:rPr>
        <w:t>then click the </w:t>
      </w:r>
      <w:r>
        <w:rPr>
          <w:color w:val="231F20"/>
          <w:spacing w:val="16"/>
          <w:position w:val="-1"/>
          <w:sz w:val="20"/>
        </w:rPr>
        <w:drawing>
          <wp:inline distT="0" distB="0" distL="0" distR="0">
            <wp:extent cx="101600" cy="101600"/>
            <wp:effectExtent l="0" t="0" r="0" b="0"/>
            <wp:docPr id="2903" name="Image 2903"/>
            <wp:cNvGraphicFramePr>
              <a:graphicFrameLocks/>
            </wp:cNvGraphicFramePr>
            <a:graphic>
              <a:graphicData uri="http://schemas.openxmlformats.org/drawingml/2006/picture">
                <pic:pic>
                  <pic:nvPicPr>
                    <pic:cNvPr id="2903" name="Image 2903"/>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4"/>
          <w:sz w:val="20"/>
        </w:rPr>
        <w:t> </w:t>
      </w:r>
      <w:r>
        <w:rPr>
          <w:rFonts w:ascii="Book Antiqua"/>
          <w:b/>
          <w:color w:val="231F20"/>
          <w:sz w:val="20"/>
        </w:rPr>
        <w:t>Member Of </w:t>
      </w:r>
      <w:r>
        <w:rPr>
          <w:color w:val="231F20"/>
          <w:sz w:val="20"/>
        </w:rPr>
        <w:t>tab. The groups the user belongs to are listed in the </w:t>
      </w:r>
      <w:r>
        <w:rPr>
          <w:rFonts w:ascii="Book Antiqua"/>
          <w:b/>
          <w:color w:val="231F20"/>
          <w:sz w:val="20"/>
        </w:rPr>
        <w:t>Assigned Members Of </w:t>
      </w:r>
      <w:r>
        <w:rPr>
          <w:color w:val="231F20"/>
          <w:sz w:val="20"/>
        </w:rPr>
        <w:t>list.</w:t>
      </w:r>
    </w:p>
    <w:p>
      <w:pPr>
        <w:pStyle w:val="ListParagraph"/>
        <w:numPr>
          <w:ilvl w:val="0"/>
          <w:numId w:val="159"/>
        </w:numPr>
        <w:tabs>
          <w:tab w:pos="2548" w:val="left" w:leader="none"/>
        </w:tabs>
        <w:spacing w:line="213" w:lineRule="auto" w:before="58" w:after="0"/>
        <w:ind w:left="2548" w:right="686" w:hanging="316"/>
        <w:jc w:val="left"/>
        <w:rPr>
          <w:sz w:val="20"/>
        </w:rPr>
      </w:pPr>
      <w:r>
        <w:rPr>
          <w:color w:val="231F20"/>
          <w:sz w:val="20"/>
        </w:rPr>
        <w:t>To see the user IDs assigned to a group, select a name from the </w:t>
      </w:r>
      <w:r>
        <w:rPr>
          <w:color w:val="231F20"/>
          <w:spacing w:val="15"/>
          <w:position w:val="-1"/>
          <w:sz w:val="20"/>
        </w:rPr>
        <w:drawing>
          <wp:inline distT="0" distB="0" distL="0" distR="0">
            <wp:extent cx="101600" cy="101600"/>
            <wp:effectExtent l="0" t="0" r="0" b="0"/>
            <wp:docPr id="2904" name="Image 2904"/>
            <wp:cNvGraphicFramePr>
              <a:graphicFrameLocks/>
            </wp:cNvGraphicFramePr>
            <a:graphic>
              <a:graphicData uri="http://schemas.openxmlformats.org/drawingml/2006/picture">
                <pic:pic>
                  <pic:nvPicPr>
                    <pic:cNvPr id="2904" name="Image 2904"/>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User Groups </w:t>
      </w:r>
      <w:r>
        <w:rPr>
          <w:color w:val="231F20"/>
          <w:sz w:val="20"/>
        </w:rPr>
        <w:t>list, then click the</w:t>
      </w:r>
      <w:r>
        <w:rPr>
          <w:color w:val="231F20"/>
          <w:spacing w:val="29"/>
          <w:sz w:val="20"/>
        </w:rPr>
        <w:t> </w:t>
      </w:r>
      <w:r>
        <w:rPr>
          <w:color w:val="231F20"/>
          <w:spacing w:val="-15"/>
          <w:position w:val="-1"/>
          <w:sz w:val="20"/>
        </w:rPr>
        <w:drawing>
          <wp:inline distT="0" distB="0" distL="0" distR="0">
            <wp:extent cx="82550" cy="101600"/>
            <wp:effectExtent l="0" t="0" r="0" b="0"/>
            <wp:docPr id="2905" name="Image 2905"/>
            <wp:cNvGraphicFramePr>
              <a:graphicFrameLocks/>
            </wp:cNvGraphicFramePr>
            <a:graphic>
              <a:graphicData uri="http://schemas.openxmlformats.org/drawingml/2006/picture">
                <pic:pic>
                  <pic:nvPicPr>
                    <pic:cNvPr id="2905" name="Image 2905"/>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sz w:val="20"/>
        </w:rPr>
      </w:r>
      <w:r>
        <w:rPr>
          <w:rFonts w:ascii="Times New Roman"/>
          <w:color w:val="231F20"/>
          <w:spacing w:val="18"/>
          <w:sz w:val="20"/>
        </w:rPr>
        <w:t> </w:t>
      </w:r>
      <w:r>
        <w:rPr>
          <w:rFonts w:ascii="Book Antiqua"/>
          <w:b/>
          <w:color w:val="231F20"/>
          <w:sz w:val="20"/>
        </w:rPr>
        <w:t>Members </w:t>
      </w:r>
      <w:r>
        <w:rPr>
          <w:color w:val="231F20"/>
          <w:sz w:val="20"/>
        </w:rPr>
        <w:t>tab. The users belonging to the </w:t>
      </w:r>
      <w:r>
        <w:rPr>
          <w:color w:val="231F20"/>
          <w:sz w:val="20"/>
        </w:rPr>
        <w:t>group </w:t>
      </w:r>
      <w:bookmarkStart w:name="Adding a user group" w:id="571"/>
      <w:bookmarkEnd w:id="571"/>
      <w:r>
        <w:rPr>
          <w:color w:val="231F20"/>
          <w:sz w:val="20"/>
        </w:rPr>
        <w:t>a</w:t>
      </w:r>
      <w:r>
        <w:rPr>
          <w:color w:val="231F20"/>
          <w:sz w:val="20"/>
        </w:rPr>
        <w:t>re in the </w:t>
      </w:r>
      <w:r>
        <w:rPr>
          <w:rFonts w:ascii="Book Antiqua"/>
          <w:b/>
          <w:color w:val="231F20"/>
          <w:sz w:val="20"/>
        </w:rPr>
        <w:t>Assigned Members </w:t>
      </w:r>
      <w:r>
        <w:rPr>
          <w:color w:val="231F20"/>
          <w:sz w:val="20"/>
        </w:rPr>
        <w:t>list.</w:t>
      </w:r>
    </w:p>
    <w:p>
      <w:pPr>
        <w:pStyle w:val="Heading3"/>
        <w:spacing w:before="216"/>
        <w:ind w:left="1334"/>
      </w:pPr>
      <w:r>
        <w:rPr>
          <w:color w:val="231F20"/>
        </w:rPr>
        <w:t>Adding</w:t>
      </w:r>
      <w:r>
        <w:rPr>
          <w:color w:val="231F20"/>
          <w:spacing w:val="9"/>
        </w:rPr>
        <w:t> </w:t>
      </w:r>
      <w:r>
        <w:rPr>
          <w:color w:val="231F20"/>
        </w:rPr>
        <w:t>a</w:t>
      </w:r>
      <w:r>
        <w:rPr>
          <w:color w:val="231F20"/>
          <w:spacing w:val="9"/>
        </w:rPr>
        <w:t> </w:t>
      </w:r>
      <w:r>
        <w:rPr>
          <w:color w:val="231F20"/>
        </w:rPr>
        <w:t>user</w:t>
      </w:r>
      <w:r>
        <w:rPr>
          <w:color w:val="231F20"/>
          <w:spacing w:val="9"/>
        </w:rPr>
        <w:t> </w:t>
      </w:r>
      <w:r>
        <w:rPr>
          <w:color w:val="231F20"/>
          <w:spacing w:val="-2"/>
        </w:rPr>
        <w:t>group</w:t>
      </w:r>
    </w:p>
    <w:p>
      <w:pPr>
        <w:pStyle w:val="BodyText"/>
        <w:spacing w:line="213" w:lineRule="auto" w:before="59"/>
        <w:ind w:left="2232" w:right="385"/>
      </w:pPr>
      <w:r>
        <w:rPr>
          <w:color w:val="231F20"/>
        </w:rPr>
        <w:t>You can create a new user group from the beginning or you can copy a group with similar</w:t>
      </w:r>
      <w:r>
        <w:rPr>
          <w:color w:val="231F20"/>
          <w:spacing w:val="10"/>
        </w:rPr>
        <w:t> </w:t>
      </w:r>
      <w:r>
        <w:rPr>
          <w:color w:val="231F20"/>
        </w:rPr>
        <w:t>permissions</w:t>
      </w:r>
      <w:r>
        <w:rPr>
          <w:color w:val="231F20"/>
          <w:spacing w:val="11"/>
        </w:rPr>
        <w:t> </w:t>
      </w:r>
      <w:r>
        <w:rPr>
          <w:color w:val="231F20"/>
        </w:rPr>
        <w:t>and</w:t>
      </w:r>
      <w:r>
        <w:rPr>
          <w:color w:val="231F20"/>
          <w:spacing w:val="11"/>
        </w:rPr>
        <w:t> </w:t>
      </w:r>
      <w:r>
        <w:rPr>
          <w:color w:val="231F20"/>
        </w:rPr>
        <w:t>user</w:t>
      </w:r>
      <w:r>
        <w:rPr>
          <w:color w:val="231F20"/>
          <w:spacing w:val="11"/>
        </w:rPr>
        <w:t> </w:t>
      </w:r>
      <w:r>
        <w:rPr>
          <w:color w:val="231F20"/>
        </w:rPr>
        <w:t>assignments</w:t>
      </w:r>
      <w:r>
        <w:rPr>
          <w:color w:val="231F20"/>
          <w:spacing w:val="10"/>
        </w:rPr>
        <w:t> </w:t>
      </w:r>
      <w:r>
        <w:rPr>
          <w:color w:val="231F20"/>
        </w:rPr>
        <w:t>to</w:t>
      </w:r>
      <w:r>
        <w:rPr>
          <w:color w:val="231F20"/>
          <w:spacing w:val="11"/>
        </w:rPr>
        <w:t> </w:t>
      </w:r>
      <w:r>
        <w:rPr>
          <w:color w:val="231F20"/>
        </w:rPr>
        <w:t>what</w:t>
      </w:r>
      <w:r>
        <w:rPr>
          <w:color w:val="231F20"/>
          <w:spacing w:val="11"/>
        </w:rPr>
        <w:t> </w:t>
      </w:r>
      <w:r>
        <w:rPr>
          <w:color w:val="231F20"/>
        </w:rPr>
        <w:t>you</w:t>
      </w:r>
      <w:r>
        <w:rPr>
          <w:color w:val="231F20"/>
          <w:spacing w:val="11"/>
        </w:rPr>
        <w:t> </w:t>
      </w:r>
      <w:r>
        <w:rPr>
          <w:color w:val="231F20"/>
        </w:rPr>
        <w:t>want,</w:t>
      </w:r>
      <w:r>
        <w:rPr>
          <w:color w:val="231F20"/>
          <w:spacing w:val="10"/>
        </w:rPr>
        <w:t> </w:t>
      </w:r>
      <w:r>
        <w:rPr>
          <w:color w:val="231F20"/>
        </w:rPr>
        <w:t>then</w:t>
      </w:r>
      <w:r>
        <w:rPr>
          <w:color w:val="231F20"/>
          <w:spacing w:val="11"/>
        </w:rPr>
        <w:t> </w:t>
      </w:r>
      <w:r>
        <w:rPr>
          <w:color w:val="231F20"/>
        </w:rPr>
        <w:t>modify</w:t>
      </w:r>
      <w:r>
        <w:rPr>
          <w:color w:val="231F20"/>
          <w:spacing w:val="11"/>
        </w:rPr>
        <w:t> </w:t>
      </w:r>
      <w:r>
        <w:rPr>
          <w:color w:val="231F20"/>
        </w:rPr>
        <w:t>the</w:t>
      </w:r>
      <w:r>
        <w:rPr>
          <w:color w:val="231F20"/>
          <w:spacing w:val="11"/>
        </w:rPr>
        <w:t> </w:t>
      </w:r>
      <w:r>
        <w:rPr>
          <w:color w:val="231F20"/>
          <w:spacing w:val="-2"/>
        </w:rPr>
        <w:t>copy.</w:t>
      </w:r>
    </w:p>
    <w:p>
      <w:pPr>
        <w:pStyle w:val="Heading4"/>
        <w:spacing w:before="199"/>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To use this function, your user ID must have Modify permission for </w:t>
      </w:r>
      <w:r>
        <w:rPr>
          <w:color w:val="231F20"/>
        </w:rPr>
        <w:t>User </w:t>
      </w:r>
      <w:r>
        <w:rPr>
          <w:color w:val="231F20"/>
          <w:spacing w:val="-2"/>
        </w:rPr>
        <w:t>Administration.</w:t>
      </w:r>
    </w:p>
    <w:p>
      <w:pPr>
        <w:pStyle w:val="Heading4"/>
        <w:spacing w:before="199"/>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232"/>
      </w:pPr>
      <w:r>
        <w:rPr>
          <w:color w:val="231F20"/>
        </w:rPr>
        <w:t>Complete</w:t>
      </w:r>
      <w:r>
        <w:rPr>
          <w:color w:val="231F20"/>
          <w:spacing w:val="12"/>
        </w:rPr>
        <w:t> </w:t>
      </w:r>
      <w:r>
        <w:rPr>
          <w:color w:val="231F20"/>
        </w:rPr>
        <w:t>these</w:t>
      </w:r>
      <w:r>
        <w:rPr>
          <w:color w:val="231F20"/>
          <w:spacing w:val="12"/>
        </w:rPr>
        <w:t> </w:t>
      </w:r>
      <w:r>
        <w:rPr>
          <w:color w:val="231F20"/>
        </w:rPr>
        <w:t>steps</w:t>
      </w:r>
      <w:r>
        <w:rPr>
          <w:color w:val="231F20"/>
          <w:spacing w:val="12"/>
        </w:rPr>
        <w:t> </w:t>
      </w:r>
      <w:r>
        <w:rPr>
          <w:color w:val="231F20"/>
        </w:rPr>
        <w:t>to</w:t>
      </w:r>
      <w:r>
        <w:rPr>
          <w:color w:val="231F20"/>
          <w:spacing w:val="12"/>
        </w:rPr>
        <w:t> </w:t>
      </w:r>
      <w:r>
        <w:rPr>
          <w:color w:val="231F20"/>
        </w:rPr>
        <w:t>add</w:t>
      </w:r>
      <w:r>
        <w:rPr>
          <w:color w:val="231F20"/>
          <w:spacing w:val="12"/>
        </w:rPr>
        <w:t> </w:t>
      </w:r>
      <w:r>
        <w:rPr>
          <w:color w:val="231F20"/>
        </w:rPr>
        <w:t>a</w:t>
      </w:r>
      <w:r>
        <w:rPr>
          <w:color w:val="231F20"/>
          <w:spacing w:val="12"/>
        </w:rPr>
        <w:t> </w:t>
      </w:r>
      <w:r>
        <w:rPr>
          <w:color w:val="231F20"/>
        </w:rPr>
        <w:t>user</w:t>
      </w:r>
      <w:r>
        <w:rPr>
          <w:color w:val="231F20"/>
          <w:spacing w:val="12"/>
        </w:rPr>
        <w:t> </w:t>
      </w:r>
      <w:r>
        <w:rPr>
          <w:color w:val="231F20"/>
          <w:spacing w:val="-2"/>
        </w:rPr>
        <w:t>group:</w:t>
      </w:r>
    </w:p>
    <w:p>
      <w:pPr>
        <w:pStyle w:val="Heading4"/>
        <w:spacing w:before="194"/>
      </w:pPr>
      <w:r>
        <w:rPr>
          <w:color w:val="231F20"/>
          <w:spacing w:val="-2"/>
        </w:rPr>
        <w:t>Procedure</w:t>
      </w:r>
    </w:p>
    <w:p>
      <w:pPr>
        <w:pStyle w:val="ListParagraph"/>
        <w:numPr>
          <w:ilvl w:val="1"/>
          <w:numId w:val="159"/>
        </w:numPr>
        <w:tabs>
          <w:tab w:pos="2658" w:val="left" w:leader="none"/>
        </w:tabs>
        <w:spacing w:line="240" w:lineRule="auto" w:before="38" w:after="0"/>
        <w:ind w:left="2658" w:right="0" w:hanging="315"/>
        <w:jc w:val="left"/>
        <w:rPr>
          <w:sz w:val="20"/>
        </w:rPr>
      </w:pPr>
      <w:r>
        <w:rPr>
          <w:color w:val="231F20"/>
          <w:sz w:val="20"/>
        </w:rPr>
        <w:t>Click</w:t>
      </w:r>
      <w:r>
        <w:rPr>
          <w:color w:val="231F20"/>
          <w:spacing w:val="29"/>
          <w:sz w:val="20"/>
        </w:rPr>
        <w:t> </w:t>
      </w:r>
      <w:r>
        <w:rPr>
          <w:color w:val="231F20"/>
          <w:spacing w:val="-14"/>
          <w:position w:val="-1"/>
          <w:sz w:val="20"/>
        </w:rPr>
        <w:drawing>
          <wp:inline distT="0" distB="0" distL="0" distR="0">
            <wp:extent cx="82550" cy="101600"/>
            <wp:effectExtent l="0" t="0" r="0" b="0"/>
            <wp:docPr id="2906" name="Image 2906"/>
            <wp:cNvGraphicFramePr>
              <a:graphicFrameLocks/>
            </wp:cNvGraphicFramePr>
            <a:graphic>
              <a:graphicData uri="http://schemas.openxmlformats.org/drawingml/2006/picture">
                <pic:pic>
                  <pic:nvPicPr>
                    <pic:cNvPr id="2906" name="Image 2906"/>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z w:val="20"/>
        </w:rPr>
        <w:t>Users</w:t>
      </w:r>
      <w:r>
        <w:rPr>
          <w:rFonts w:ascii="Book Antiqua"/>
          <w:b/>
          <w:color w:val="231F20"/>
          <w:spacing w:val="12"/>
          <w:sz w:val="20"/>
        </w:rPr>
        <w:t> </w:t>
      </w:r>
      <w:r>
        <w:rPr>
          <w:color w:val="231F20"/>
          <w:sz w:val="20"/>
        </w:rPr>
        <w:t>to</w:t>
      </w:r>
      <w:r>
        <w:rPr>
          <w:color w:val="231F20"/>
          <w:spacing w:val="11"/>
          <w:sz w:val="20"/>
        </w:rPr>
        <w:t> </w:t>
      </w:r>
      <w:r>
        <w:rPr>
          <w:color w:val="231F20"/>
          <w:sz w:val="20"/>
        </w:rPr>
        <w:t>open</w:t>
      </w:r>
      <w:r>
        <w:rPr>
          <w:color w:val="231F20"/>
          <w:spacing w:val="11"/>
          <w:sz w:val="20"/>
        </w:rPr>
        <w:t> </w:t>
      </w:r>
      <w:r>
        <w:rPr>
          <w:color w:val="231F20"/>
          <w:sz w:val="20"/>
        </w:rPr>
        <w:t>the</w:t>
      </w:r>
      <w:r>
        <w:rPr>
          <w:color w:val="231F20"/>
          <w:spacing w:val="5"/>
          <w:sz w:val="20"/>
        </w:rPr>
        <w:t> </w:t>
      </w:r>
      <w:r>
        <w:rPr>
          <w:color w:val="231F20"/>
          <w:sz w:val="20"/>
        </w:rPr>
        <w:t>Administer</w:t>
      </w:r>
      <w:r>
        <w:rPr>
          <w:color w:val="231F20"/>
          <w:spacing w:val="11"/>
          <w:sz w:val="20"/>
        </w:rPr>
        <w:t> </w:t>
      </w:r>
      <w:r>
        <w:rPr>
          <w:color w:val="231F20"/>
          <w:sz w:val="20"/>
        </w:rPr>
        <w:t>Users</w:t>
      </w:r>
      <w:r>
        <w:rPr>
          <w:color w:val="231F20"/>
          <w:spacing w:val="11"/>
          <w:sz w:val="20"/>
        </w:rPr>
        <w:t> </w:t>
      </w:r>
      <w:r>
        <w:rPr>
          <w:color w:val="231F20"/>
          <w:spacing w:val="-2"/>
          <w:sz w:val="20"/>
        </w:rPr>
        <w:t>window.</w:t>
      </w:r>
    </w:p>
    <w:p>
      <w:pPr>
        <w:pStyle w:val="ListParagraph"/>
        <w:numPr>
          <w:ilvl w:val="1"/>
          <w:numId w:val="159"/>
        </w:numPr>
        <w:tabs>
          <w:tab w:pos="2658" w:val="left" w:leader="none"/>
        </w:tabs>
        <w:spacing w:line="240" w:lineRule="auto" w:before="30" w:after="0"/>
        <w:ind w:left="2658" w:right="0" w:hanging="315"/>
        <w:jc w:val="left"/>
        <w:rPr>
          <w:sz w:val="20"/>
        </w:rPr>
      </w:pPr>
      <w:r>
        <w:rPr>
          <w:color w:val="231F20"/>
          <w:sz w:val="20"/>
        </w:rPr>
        <w:t>Click</w:t>
      </w:r>
      <w:r>
        <w:rPr>
          <w:color w:val="231F20"/>
          <w:spacing w:val="12"/>
          <w:sz w:val="20"/>
        </w:rPr>
        <w:t> </w:t>
      </w:r>
      <w:r>
        <w:rPr>
          <w:color w:val="231F20"/>
          <w:sz w:val="20"/>
        </w:rPr>
        <w:t>the</w:t>
      </w:r>
      <w:r>
        <w:rPr>
          <w:color w:val="231F20"/>
          <w:spacing w:val="13"/>
          <w:sz w:val="20"/>
        </w:rPr>
        <w:t> </w:t>
      </w:r>
      <w:r>
        <w:rPr>
          <w:color w:val="231F20"/>
          <w:spacing w:val="16"/>
          <w:position w:val="-1"/>
          <w:sz w:val="20"/>
        </w:rPr>
        <w:drawing>
          <wp:inline distT="0" distB="0" distL="0" distR="0">
            <wp:extent cx="101600" cy="101600"/>
            <wp:effectExtent l="0" t="0" r="0" b="0"/>
            <wp:docPr id="2907" name="Image 2907"/>
            <wp:cNvGraphicFramePr>
              <a:graphicFrameLocks/>
            </wp:cNvGraphicFramePr>
            <a:graphic>
              <a:graphicData uri="http://schemas.openxmlformats.org/drawingml/2006/picture">
                <pic:pic>
                  <pic:nvPicPr>
                    <pic:cNvPr id="2907" name="Image 2907"/>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4"/>
          <w:sz w:val="20"/>
        </w:rPr>
        <w:t> </w:t>
      </w:r>
      <w:r>
        <w:rPr>
          <w:rFonts w:ascii="Book Antiqua"/>
          <w:b/>
          <w:color w:val="231F20"/>
          <w:sz w:val="20"/>
        </w:rPr>
        <w:t>User</w:t>
      </w:r>
      <w:r>
        <w:rPr>
          <w:rFonts w:ascii="Book Antiqua"/>
          <w:b/>
          <w:color w:val="231F20"/>
          <w:spacing w:val="12"/>
          <w:sz w:val="20"/>
        </w:rPr>
        <w:t> </w:t>
      </w:r>
      <w:r>
        <w:rPr>
          <w:rFonts w:ascii="Book Antiqua"/>
          <w:b/>
          <w:color w:val="231F20"/>
          <w:sz w:val="20"/>
        </w:rPr>
        <w:t>Groups</w:t>
      </w:r>
      <w:r>
        <w:rPr>
          <w:rFonts w:ascii="Book Antiqua"/>
          <w:b/>
          <w:color w:val="231F20"/>
          <w:spacing w:val="13"/>
          <w:sz w:val="20"/>
        </w:rPr>
        <w:t> </w:t>
      </w:r>
      <w:r>
        <w:rPr>
          <w:color w:val="231F20"/>
          <w:spacing w:val="-4"/>
          <w:sz w:val="20"/>
        </w:rPr>
        <w:t>tab.</w:t>
      </w:r>
    </w:p>
    <w:p>
      <w:pPr>
        <w:pStyle w:val="ListParagraph"/>
        <w:numPr>
          <w:ilvl w:val="1"/>
          <w:numId w:val="159"/>
        </w:numPr>
        <w:tabs>
          <w:tab w:pos="2658" w:val="left" w:leader="none"/>
        </w:tabs>
        <w:spacing w:line="240" w:lineRule="auto" w:before="29" w:after="0"/>
        <w:ind w:left="2658" w:right="0" w:hanging="315"/>
        <w:jc w:val="left"/>
        <w:rPr>
          <w:sz w:val="20"/>
        </w:rPr>
      </w:pPr>
      <w:r>
        <w:rPr>
          <w:color w:val="231F20"/>
          <w:sz w:val="20"/>
        </w:rPr>
        <w:t>Do</w:t>
      </w:r>
      <w:r>
        <w:rPr>
          <w:color w:val="231F20"/>
          <w:spacing w:val="13"/>
          <w:sz w:val="20"/>
        </w:rPr>
        <w:t> </w:t>
      </w:r>
      <w:r>
        <w:rPr>
          <w:color w:val="231F20"/>
          <w:sz w:val="20"/>
        </w:rPr>
        <w:t>one</w:t>
      </w:r>
      <w:r>
        <w:rPr>
          <w:color w:val="231F20"/>
          <w:spacing w:val="13"/>
          <w:sz w:val="20"/>
        </w:rPr>
        <w:t> </w:t>
      </w:r>
      <w:r>
        <w:rPr>
          <w:color w:val="231F20"/>
          <w:sz w:val="20"/>
        </w:rPr>
        <w:t>of</w:t>
      </w:r>
      <w:r>
        <w:rPr>
          <w:color w:val="231F20"/>
          <w:spacing w:val="14"/>
          <w:sz w:val="20"/>
        </w:rPr>
        <w:t> </w:t>
      </w:r>
      <w:r>
        <w:rPr>
          <w:color w:val="231F20"/>
          <w:sz w:val="20"/>
        </w:rPr>
        <w:t>the</w:t>
      </w:r>
      <w:r>
        <w:rPr>
          <w:color w:val="231F20"/>
          <w:spacing w:val="13"/>
          <w:sz w:val="20"/>
        </w:rPr>
        <w:t> </w:t>
      </w:r>
      <w:r>
        <w:rPr>
          <w:color w:val="231F20"/>
          <w:spacing w:val="-2"/>
          <w:sz w:val="20"/>
        </w:rPr>
        <w:t>following:</w:t>
      </w:r>
    </w:p>
    <w:p>
      <w:pPr>
        <w:spacing w:before="30"/>
        <w:ind w:left="2659" w:right="0" w:firstLine="0"/>
        <w:jc w:val="left"/>
        <w:rPr>
          <w:sz w:val="20"/>
        </w:rPr>
      </w:pPr>
      <w:r>
        <w:rPr>
          <w:rFonts w:ascii="Futura MdCn BT"/>
          <w:color w:val="231F20"/>
          <w:sz w:val="20"/>
        </w:rPr>
        <w:t>v</w:t>
      </w:r>
      <w:r>
        <w:rPr>
          <w:rFonts w:ascii="Futura MdCn BT"/>
          <w:color w:val="231F20"/>
          <w:spacing w:val="79"/>
          <w:w w:val="150"/>
          <w:sz w:val="20"/>
        </w:rPr>
        <w:t> </w:t>
      </w:r>
      <w:r>
        <w:rPr>
          <w:color w:val="231F20"/>
          <w:sz w:val="20"/>
        </w:rPr>
        <w:t>To</w:t>
      </w:r>
      <w:r>
        <w:rPr>
          <w:color w:val="231F20"/>
          <w:spacing w:val="11"/>
          <w:sz w:val="20"/>
        </w:rPr>
        <w:t> </w:t>
      </w:r>
      <w:r>
        <w:rPr>
          <w:color w:val="231F20"/>
          <w:sz w:val="20"/>
        </w:rPr>
        <w:t>create</w:t>
      </w:r>
      <w:r>
        <w:rPr>
          <w:color w:val="231F20"/>
          <w:spacing w:val="11"/>
          <w:sz w:val="20"/>
        </w:rPr>
        <w:t> </w:t>
      </w:r>
      <w:r>
        <w:rPr>
          <w:color w:val="231F20"/>
          <w:sz w:val="20"/>
        </w:rPr>
        <w:t>a</w:t>
      </w:r>
      <w:r>
        <w:rPr>
          <w:color w:val="231F20"/>
          <w:spacing w:val="11"/>
          <w:sz w:val="20"/>
        </w:rPr>
        <w:t> </w:t>
      </w:r>
      <w:r>
        <w:rPr>
          <w:color w:val="231F20"/>
          <w:sz w:val="20"/>
        </w:rPr>
        <w:t>new</w:t>
      </w:r>
      <w:r>
        <w:rPr>
          <w:color w:val="231F20"/>
          <w:spacing w:val="11"/>
          <w:sz w:val="20"/>
        </w:rPr>
        <w:t> </w:t>
      </w:r>
      <w:r>
        <w:rPr>
          <w:color w:val="231F20"/>
          <w:sz w:val="20"/>
        </w:rPr>
        <w:t>user</w:t>
      </w:r>
      <w:r>
        <w:rPr>
          <w:color w:val="231F20"/>
          <w:spacing w:val="11"/>
          <w:sz w:val="20"/>
        </w:rPr>
        <w:t> </w:t>
      </w:r>
      <w:r>
        <w:rPr>
          <w:color w:val="231F20"/>
          <w:sz w:val="20"/>
        </w:rPr>
        <w:t>group,</w:t>
      </w:r>
      <w:r>
        <w:rPr>
          <w:color w:val="231F20"/>
          <w:spacing w:val="10"/>
          <w:sz w:val="20"/>
        </w:rPr>
        <w:t> </w:t>
      </w:r>
      <w:r>
        <w:rPr>
          <w:color w:val="231F20"/>
          <w:sz w:val="20"/>
        </w:rPr>
        <w:t>click</w:t>
      </w:r>
      <w:r>
        <w:rPr>
          <w:color w:val="231F20"/>
          <w:spacing w:val="20"/>
          <w:sz w:val="20"/>
        </w:rPr>
        <w:t> </w:t>
      </w:r>
      <w:r>
        <w:rPr>
          <w:color w:val="231F20"/>
          <w:spacing w:val="-25"/>
          <w:position w:val="-1"/>
          <w:sz w:val="20"/>
        </w:rPr>
        <w:drawing>
          <wp:inline distT="0" distB="0" distL="0" distR="0">
            <wp:extent cx="95250" cy="101600"/>
            <wp:effectExtent l="0" t="0" r="0" b="0"/>
            <wp:docPr id="2908" name="Image 2908"/>
            <wp:cNvGraphicFramePr>
              <a:graphicFrameLocks/>
            </wp:cNvGraphicFramePr>
            <a:graphic>
              <a:graphicData uri="http://schemas.openxmlformats.org/drawingml/2006/picture">
                <pic:pic>
                  <pic:nvPicPr>
                    <pic:cNvPr id="2908" name="Image 290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8"/>
          <w:sz w:val="20"/>
        </w:rPr>
        <w:t> </w:t>
      </w:r>
      <w:r>
        <w:rPr>
          <w:rFonts w:ascii="Book Antiqua"/>
          <w:b/>
          <w:color w:val="231F20"/>
          <w:sz w:val="20"/>
        </w:rPr>
        <w:t>Create</w:t>
      </w:r>
      <w:r>
        <w:rPr>
          <w:rFonts w:ascii="Book Antiqua"/>
          <w:b/>
          <w:color w:val="231F20"/>
          <w:spacing w:val="11"/>
          <w:sz w:val="20"/>
        </w:rPr>
        <w:t> </w:t>
      </w:r>
      <w:r>
        <w:rPr>
          <w:rFonts w:ascii="Book Antiqua"/>
          <w:b/>
          <w:color w:val="231F20"/>
          <w:sz w:val="20"/>
        </w:rPr>
        <w:t>New</w:t>
      </w:r>
      <w:r>
        <w:rPr>
          <w:rFonts w:ascii="Book Antiqua"/>
          <w:b/>
          <w:color w:val="231F20"/>
          <w:spacing w:val="11"/>
          <w:sz w:val="20"/>
        </w:rPr>
        <w:t> </w:t>
      </w:r>
      <w:r>
        <w:rPr>
          <w:rFonts w:ascii="Book Antiqua"/>
          <w:b/>
          <w:color w:val="231F20"/>
          <w:spacing w:val="-2"/>
          <w:sz w:val="20"/>
        </w:rPr>
        <w:t>Group</w:t>
      </w:r>
      <w:r>
        <w:rPr>
          <w:color w:val="231F20"/>
          <w:spacing w:val="-2"/>
          <w:sz w:val="20"/>
        </w:rPr>
        <w:t>.</w:t>
      </w:r>
    </w:p>
    <w:p>
      <w:pPr>
        <w:pStyle w:val="BodyText"/>
        <w:spacing w:line="213" w:lineRule="auto" w:before="52"/>
        <w:ind w:left="2875" w:right="700" w:hanging="216"/>
      </w:pPr>
      <w:r>
        <w:rPr>
          <w:rFonts w:ascii="Futura MdCn BT"/>
          <w:color w:val="231F20"/>
        </w:rPr>
        <w:t>v</w:t>
      </w:r>
      <w:r>
        <w:rPr>
          <w:rFonts w:ascii="Futura MdCn BT"/>
          <w:color w:val="231F20"/>
          <w:spacing w:val="80"/>
        </w:rPr>
        <w:t> </w:t>
      </w:r>
      <w:r>
        <w:rPr>
          <w:color w:val="231F20"/>
        </w:rPr>
        <w:t>To copy an existing user group, select the group name from the list and click</w:t>
      </w:r>
      <w:r>
        <w:rPr>
          <w:color w:val="231F20"/>
          <w:spacing w:val="40"/>
        </w:rPr>
        <w:t> </w:t>
      </w:r>
      <w:r>
        <w:rPr>
          <w:color w:val="231F20"/>
          <w:spacing w:val="-14"/>
          <w:position w:val="-1"/>
        </w:rPr>
        <w:drawing>
          <wp:inline distT="0" distB="0" distL="0" distR="0">
            <wp:extent cx="82550" cy="95250"/>
            <wp:effectExtent l="0" t="0" r="0" b="0"/>
            <wp:docPr id="2909" name="Image 2909"/>
            <wp:cNvGraphicFramePr>
              <a:graphicFrameLocks/>
            </wp:cNvGraphicFramePr>
            <a:graphic>
              <a:graphicData uri="http://schemas.openxmlformats.org/drawingml/2006/picture">
                <pic:pic>
                  <pic:nvPicPr>
                    <pic:cNvPr id="2909" name="Image 2909"/>
                    <pic:cNvPicPr/>
                  </pic:nvPicPr>
                  <pic:blipFill>
                    <a:blip r:embed="rId332" cstate="print"/>
                    <a:stretch>
                      <a:fillRect/>
                    </a:stretch>
                  </pic:blipFill>
                  <pic:spPr>
                    <a:xfrm>
                      <a:off x="0" y="0"/>
                      <a:ext cx="82550" cy="95250"/>
                    </a:xfrm>
                    <a:prstGeom prst="rect">
                      <a:avLst/>
                    </a:prstGeom>
                  </pic:spPr>
                </pic:pic>
              </a:graphicData>
            </a:graphic>
          </wp:inline>
        </w:drawing>
      </w:r>
      <w:r>
        <w:rPr>
          <w:color w:val="231F20"/>
          <w:spacing w:val="-14"/>
          <w:position w:val="-1"/>
        </w:rPr>
      </w:r>
      <w:r>
        <w:rPr>
          <w:rFonts w:ascii="Times New Roman"/>
          <w:color w:val="231F20"/>
          <w:spacing w:val="80"/>
        </w:rPr>
        <w:t> </w:t>
      </w:r>
      <w:r>
        <w:rPr>
          <w:rFonts w:ascii="Book Antiqua"/>
          <w:b/>
          <w:color w:val="231F20"/>
        </w:rPr>
        <w:t>Create Another Group</w:t>
      </w:r>
      <w:r>
        <w:rPr>
          <w:color w:val="231F20"/>
        </w:rPr>
        <w:t>.</w:t>
      </w:r>
    </w:p>
    <w:p>
      <w:pPr>
        <w:spacing w:after="0" w:line="213" w:lineRule="auto"/>
        <w:sectPr>
          <w:pgSz w:w="12240" w:h="15840"/>
          <w:pgMar w:header="0" w:footer="736" w:top="1180" w:bottom="920" w:left="1000" w:right="1060"/>
        </w:sectPr>
      </w:pPr>
    </w:p>
    <w:p>
      <w:pPr>
        <w:pStyle w:val="ListParagraph"/>
        <w:numPr>
          <w:ilvl w:val="1"/>
          <w:numId w:val="159"/>
        </w:numPr>
        <w:tabs>
          <w:tab w:pos="2899" w:val="left" w:leader="none"/>
        </w:tabs>
        <w:spacing w:line="213" w:lineRule="auto" w:before="85" w:after="0"/>
        <w:ind w:left="2899" w:right="946" w:hanging="316"/>
        <w:jc w:val="left"/>
        <w:rPr>
          <w:sz w:val="20"/>
        </w:rPr>
      </w:pPr>
      <w:bookmarkStart w:name="_bookmark278" w:id="572"/>
      <w:bookmarkEnd w:id="572"/>
      <w:r>
        <w:rPr/>
      </w:r>
      <w:r>
        <w:rPr>
          <w:color w:val="231F20"/>
          <w:sz w:val="20"/>
        </w:rPr>
        <w:t>In the Create New Group or Create Another Group window, enter the following user information:</w:t>
      </w:r>
    </w:p>
    <w:p>
      <w:pPr>
        <w:pStyle w:val="ListParagraph"/>
        <w:numPr>
          <w:ilvl w:val="2"/>
          <w:numId w:val="159"/>
        </w:numPr>
        <w:tabs>
          <w:tab w:pos="3215" w:val="left" w:leader="none"/>
        </w:tabs>
        <w:spacing w:line="213" w:lineRule="auto" w:before="58" w:after="0"/>
        <w:ind w:left="3215" w:right="260" w:hanging="316"/>
        <w:jc w:val="left"/>
        <w:rPr>
          <w:sz w:val="20"/>
        </w:rPr>
      </w:pPr>
      <w:r>
        <w:rPr>
          <w:rFonts w:ascii="Book Antiqua"/>
          <w:b/>
          <w:color w:val="231F20"/>
          <w:sz w:val="20"/>
        </w:rPr>
        <w:t>Group ID: </w:t>
      </w:r>
      <w:r>
        <w:rPr>
          <w:color w:val="231F20"/>
          <w:sz w:val="20"/>
        </w:rPr>
        <w:t>The group identifier. This name can be up to 10 characters and can contain no spaces. The name is limited to eight characters if the hub monitoring server uses RACF (resource access control facility) security for </w:t>
      </w:r>
      <w:r>
        <w:rPr>
          <w:color w:val="231F20"/>
          <w:spacing w:val="-2"/>
          <w:sz w:val="20"/>
        </w:rPr>
        <w:t>z/OS.</w:t>
      </w:r>
    </w:p>
    <w:p>
      <w:pPr>
        <w:pStyle w:val="ListParagraph"/>
        <w:numPr>
          <w:ilvl w:val="2"/>
          <w:numId w:val="159"/>
        </w:numPr>
        <w:tabs>
          <w:tab w:pos="3215" w:val="left" w:leader="none"/>
        </w:tabs>
        <w:spacing w:line="213" w:lineRule="auto" w:before="57" w:after="0"/>
        <w:ind w:left="3215" w:right="198" w:hanging="316"/>
        <w:jc w:val="left"/>
        <w:rPr>
          <w:sz w:val="20"/>
        </w:rPr>
      </w:pPr>
      <w:r>
        <w:rPr>
          <w:rFonts w:ascii="Book Antiqua"/>
          <w:b/>
          <w:color w:val="231F20"/>
          <w:sz w:val="20"/>
        </w:rPr>
        <w:t>Group Name: </w:t>
      </w:r>
      <w:r>
        <w:rPr>
          <w:color w:val="231F20"/>
          <w:sz w:val="20"/>
        </w:rPr>
        <w:t>The name or job classification for the user group. This </w:t>
      </w:r>
      <w:r>
        <w:rPr>
          <w:color w:val="231F20"/>
          <w:sz w:val="20"/>
        </w:rPr>
        <w:t>name can include spaces..</w:t>
      </w:r>
    </w:p>
    <w:p>
      <w:pPr>
        <w:pStyle w:val="ListParagraph"/>
        <w:numPr>
          <w:ilvl w:val="2"/>
          <w:numId w:val="159"/>
        </w:numPr>
        <w:tabs>
          <w:tab w:pos="3202" w:val="left" w:leader="none"/>
          <w:tab w:pos="3204" w:val="left" w:leader="none"/>
        </w:tabs>
        <w:spacing w:line="213" w:lineRule="auto" w:before="59" w:after="0"/>
        <w:ind w:left="3204" w:right="699" w:hanging="305"/>
        <w:jc w:val="left"/>
        <w:rPr>
          <w:sz w:val="20"/>
        </w:rPr>
      </w:pPr>
      <w:r>
        <w:rPr>
          <w:rFonts w:ascii="Book Antiqua"/>
          <w:b/>
          <w:color w:val="231F20"/>
          <w:sz w:val="20"/>
        </w:rPr>
        <w:t>Group Description: </w:t>
      </w:r>
      <w:r>
        <w:rPr>
          <w:color w:val="231F20"/>
          <w:sz w:val="20"/>
        </w:rPr>
        <w:t>The text to describe the user group, such as </w:t>
      </w:r>
      <w:r>
        <w:rPr>
          <w:color w:val="231F20"/>
          <w:sz w:val="20"/>
        </w:rPr>
        <w:t>their responsibilities. The description can include spaces and punctuation.</w:t>
      </w:r>
    </w:p>
    <w:p>
      <w:pPr>
        <w:pStyle w:val="ListParagraph"/>
        <w:numPr>
          <w:ilvl w:val="1"/>
          <w:numId w:val="159"/>
        </w:numPr>
        <w:tabs>
          <w:tab w:pos="2899" w:val="left" w:leader="none"/>
        </w:tabs>
        <w:spacing w:line="213" w:lineRule="auto" w:before="58" w:after="0"/>
        <w:ind w:left="2899" w:right="1092" w:hanging="316"/>
        <w:jc w:val="left"/>
        <w:rPr>
          <w:sz w:val="20"/>
        </w:rPr>
      </w:pPr>
      <w:r>
        <w:rPr>
          <w:color w:val="231F20"/>
          <w:sz w:val="20"/>
        </w:rPr>
        <w:t>Click </w:t>
      </w:r>
      <w:r>
        <w:rPr>
          <w:rFonts w:ascii="Book Antiqua"/>
          <w:b/>
          <w:color w:val="231F20"/>
          <w:sz w:val="20"/>
        </w:rPr>
        <w:t>OK </w:t>
      </w:r>
      <w:r>
        <w:rPr>
          <w:color w:val="231F20"/>
          <w:sz w:val="20"/>
        </w:rPr>
        <w:t>to close the window and see the new user group </w:t>
      </w:r>
      <w:r>
        <w:rPr>
          <w:color w:val="231F20"/>
          <w:sz w:val="20"/>
        </w:rPr>
        <w:t>arranged alphabetically in the User Group list.</w:t>
      </w:r>
    </w:p>
    <w:p>
      <w:pPr>
        <w:pStyle w:val="ListParagraph"/>
        <w:numPr>
          <w:ilvl w:val="1"/>
          <w:numId w:val="159"/>
        </w:numPr>
        <w:tabs>
          <w:tab w:pos="2897" w:val="left" w:leader="none"/>
          <w:tab w:pos="2899" w:val="left" w:leader="none"/>
        </w:tabs>
        <w:spacing w:line="213" w:lineRule="auto" w:before="59" w:after="0"/>
        <w:ind w:left="2899" w:right="453" w:hanging="317"/>
        <w:jc w:val="left"/>
        <w:rPr>
          <w:sz w:val="20"/>
        </w:rPr>
      </w:pPr>
      <w:r>
        <w:rPr>
          <w:color w:val="231F20"/>
          <w:sz w:val="20"/>
        </w:rPr>
        <w:t>Add members to the group in the</w:t>
      </w:r>
      <w:r>
        <w:rPr>
          <w:color w:val="231F20"/>
          <w:spacing w:val="29"/>
          <w:sz w:val="20"/>
        </w:rPr>
        <w:t> </w:t>
      </w:r>
      <w:r>
        <w:rPr>
          <w:color w:val="231F20"/>
          <w:spacing w:val="-15"/>
          <w:position w:val="-1"/>
          <w:sz w:val="20"/>
        </w:rPr>
        <w:drawing>
          <wp:inline distT="0" distB="0" distL="0" distR="0">
            <wp:extent cx="82550" cy="101600"/>
            <wp:effectExtent l="0" t="0" r="0" b="0"/>
            <wp:docPr id="2910" name="Image 2910"/>
            <wp:cNvGraphicFramePr>
              <a:graphicFrameLocks/>
            </wp:cNvGraphicFramePr>
            <a:graphic>
              <a:graphicData uri="http://schemas.openxmlformats.org/drawingml/2006/picture">
                <pic:pic>
                  <pic:nvPicPr>
                    <pic:cNvPr id="2910" name="Image 2910"/>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sz w:val="20"/>
        </w:rPr>
      </w:r>
      <w:r>
        <w:rPr>
          <w:rFonts w:ascii="Times New Roman"/>
          <w:color w:val="231F20"/>
          <w:spacing w:val="19"/>
          <w:sz w:val="20"/>
        </w:rPr>
        <w:t> </w:t>
      </w:r>
      <w:r>
        <w:rPr>
          <w:rFonts w:ascii="Book Antiqua"/>
          <w:b/>
          <w:color w:val="231F20"/>
          <w:sz w:val="20"/>
        </w:rPr>
        <w:t>Members </w:t>
      </w:r>
      <w:r>
        <w:rPr>
          <w:color w:val="231F20"/>
          <w:sz w:val="20"/>
        </w:rPr>
        <w:t>tab by selecting one or </w:t>
      </w:r>
      <w:r>
        <w:rPr>
          <w:color w:val="231F20"/>
          <w:sz w:val="20"/>
        </w:rPr>
        <w:t>more user IDs in the </w:t>
      </w:r>
      <w:r>
        <w:rPr>
          <w:rFonts w:ascii="Book Antiqua"/>
          <w:b/>
          <w:color w:val="231F20"/>
          <w:sz w:val="20"/>
        </w:rPr>
        <w:t>Available Members </w:t>
      </w:r>
      <w:r>
        <w:rPr>
          <w:color w:val="231F20"/>
          <w:sz w:val="20"/>
        </w:rPr>
        <w:t>list and clicking</w:t>
      </w:r>
      <w:r>
        <w:rPr>
          <w:color w:val="231F20"/>
          <w:spacing w:val="40"/>
          <w:sz w:val="20"/>
        </w:rPr>
        <w:t> </w:t>
      </w:r>
      <w:r>
        <w:rPr>
          <w:color w:val="231F20"/>
          <w:spacing w:val="15"/>
          <w:position w:val="1"/>
          <w:sz w:val="20"/>
        </w:rPr>
        <w:drawing>
          <wp:inline distT="0" distB="0" distL="0" distR="0">
            <wp:extent cx="44450" cy="76200"/>
            <wp:effectExtent l="0" t="0" r="0" b="0"/>
            <wp:docPr id="2911" name="Image 2911"/>
            <wp:cNvGraphicFramePr>
              <a:graphicFrameLocks/>
            </wp:cNvGraphicFramePr>
            <a:graphic>
              <a:graphicData uri="http://schemas.openxmlformats.org/drawingml/2006/picture">
                <pic:pic>
                  <pic:nvPicPr>
                    <pic:cNvPr id="2911" name="Image 2911"/>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to move to the</w:t>
      </w:r>
      <w:r>
        <w:rPr>
          <w:color w:val="231F20"/>
          <w:spacing w:val="40"/>
          <w:sz w:val="20"/>
        </w:rPr>
        <w:t> </w:t>
      </w:r>
      <w:r>
        <w:rPr>
          <w:rFonts w:ascii="Book Antiqua"/>
          <w:b/>
          <w:color w:val="231F20"/>
          <w:sz w:val="20"/>
        </w:rPr>
        <w:t>Assigned Members </w:t>
      </w:r>
      <w:r>
        <w:rPr>
          <w:color w:val="231F20"/>
          <w:sz w:val="20"/>
        </w:rPr>
        <w:t>list.</w:t>
      </w:r>
    </w:p>
    <w:p>
      <w:pPr>
        <w:pStyle w:val="ListParagraph"/>
        <w:numPr>
          <w:ilvl w:val="1"/>
          <w:numId w:val="159"/>
        </w:numPr>
        <w:tabs>
          <w:tab w:pos="2898" w:val="left" w:leader="none"/>
        </w:tabs>
        <w:spacing w:line="255" w:lineRule="exact" w:before="35" w:after="0"/>
        <w:ind w:left="2898" w:right="0" w:hanging="315"/>
        <w:jc w:val="left"/>
        <w:rPr>
          <w:sz w:val="20"/>
        </w:rPr>
      </w:pPr>
      <w:r>
        <w:rPr>
          <w:color w:val="231F20"/>
          <w:sz w:val="20"/>
        </w:rPr>
        <w:t>To</w:t>
      </w:r>
      <w:r>
        <w:rPr>
          <w:color w:val="231F20"/>
          <w:spacing w:val="10"/>
          <w:sz w:val="20"/>
        </w:rPr>
        <w:t> </w:t>
      </w:r>
      <w:r>
        <w:rPr>
          <w:color w:val="231F20"/>
          <w:sz w:val="20"/>
        </w:rPr>
        <w:t>change</w:t>
      </w:r>
      <w:r>
        <w:rPr>
          <w:color w:val="231F20"/>
          <w:spacing w:val="10"/>
          <w:sz w:val="20"/>
        </w:rPr>
        <w:t> </w:t>
      </w:r>
      <w:r>
        <w:rPr>
          <w:color w:val="231F20"/>
          <w:sz w:val="20"/>
        </w:rPr>
        <w:t>the</w:t>
      </w:r>
      <w:r>
        <w:rPr>
          <w:color w:val="231F20"/>
          <w:spacing w:val="19"/>
          <w:sz w:val="20"/>
        </w:rPr>
        <w:t> </w:t>
      </w:r>
      <w:r>
        <w:rPr>
          <w:color w:val="231F20"/>
          <w:spacing w:val="-24"/>
          <w:position w:val="-1"/>
          <w:sz w:val="20"/>
        </w:rPr>
        <w:drawing>
          <wp:inline distT="0" distB="0" distL="0" distR="0">
            <wp:extent cx="95250" cy="101600"/>
            <wp:effectExtent l="0" t="0" r="0" b="0"/>
            <wp:docPr id="2912" name="Image 2912"/>
            <wp:cNvGraphicFramePr>
              <a:graphicFrameLocks/>
            </wp:cNvGraphicFramePr>
            <a:graphic>
              <a:graphicData uri="http://schemas.openxmlformats.org/drawingml/2006/picture">
                <pic:pic>
                  <pic:nvPicPr>
                    <pic:cNvPr id="2912" name="Image 2912"/>
                    <pic:cNvPicPr/>
                  </pic:nvPicPr>
                  <pic:blipFill>
                    <a:blip r:embed="rId181"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color w:val="231F20"/>
          <w:sz w:val="20"/>
        </w:rPr>
        <w:t>Permissions</w:t>
      </w:r>
      <w:r>
        <w:rPr>
          <w:color w:val="231F20"/>
          <w:spacing w:val="10"/>
          <w:sz w:val="20"/>
        </w:rPr>
        <w:t> </w:t>
      </w:r>
      <w:r>
        <w:rPr>
          <w:color w:val="231F20"/>
          <w:sz w:val="20"/>
        </w:rPr>
        <w:t>for</w:t>
      </w:r>
      <w:r>
        <w:rPr>
          <w:color w:val="231F20"/>
          <w:spacing w:val="10"/>
          <w:sz w:val="20"/>
        </w:rPr>
        <w:t> </w:t>
      </w:r>
      <w:r>
        <w:rPr>
          <w:color w:val="231F20"/>
          <w:sz w:val="20"/>
        </w:rPr>
        <w:t>the</w:t>
      </w:r>
      <w:r>
        <w:rPr>
          <w:color w:val="231F20"/>
          <w:spacing w:val="10"/>
          <w:sz w:val="20"/>
        </w:rPr>
        <w:t> </w:t>
      </w:r>
      <w:r>
        <w:rPr>
          <w:color w:val="231F20"/>
          <w:sz w:val="20"/>
        </w:rPr>
        <w:t>group,</w:t>
      </w:r>
      <w:r>
        <w:rPr>
          <w:color w:val="231F20"/>
          <w:spacing w:val="10"/>
          <w:sz w:val="20"/>
        </w:rPr>
        <w:t> </w:t>
      </w:r>
      <w:r>
        <w:rPr>
          <w:color w:val="231F20"/>
          <w:sz w:val="20"/>
        </w:rPr>
        <w:t>select</w:t>
      </w:r>
      <w:r>
        <w:rPr>
          <w:color w:val="231F20"/>
          <w:spacing w:val="10"/>
          <w:sz w:val="20"/>
        </w:rPr>
        <w:t> </w:t>
      </w:r>
      <w:r>
        <w:rPr>
          <w:color w:val="231F20"/>
          <w:sz w:val="20"/>
        </w:rPr>
        <w:t>a</w:t>
      </w:r>
      <w:r>
        <w:rPr>
          <w:color w:val="231F20"/>
          <w:spacing w:val="10"/>
          <w:sz w:val="20"/>
        </w:rPr>
        <w:t> </w:t>
      </w:r>
      <w:r>
        <w:rPr>
          <w:color w:val="231F20"/>
          <w:sz w:val="20"/>
        </w:rPr>
        <w:t>function</w:t>
      </w:r>
      <w:r>
        <w:rPr>
          <w:color w:val="231F20"/>
          <w:spacing w:val="10"/>
          <w:sz w:val="20"/>
        </w:rPr>
        <w:t> </w:t>
      </w:r>
      <w:r>
        <w:rPr>
          <w:color w:val="231F20"/>
          <w:sz w:val="20"/>
        </w:rPr>
        <w:t>from</w:t>
      </w:r>
      <w:r>
        <w:rPr>
          <w:color w:val="231F20"/>
          <w:spacing w:val="11"/>
          <w:sz w:val="20"/>
        </w:rPr>
        <w:t> </w:t>
      </w:r>
      <w:r>
        <w:rPr>
          <w:color w:val="231F20"/>
          <w:spacing w:val="-5"/>
          <w:sz w:val="20"/>
        </w:rPr>
        <w:t>the</w:t>
      </w:r>
    </w:p>
    <w:p>
      <w:pPr>
        <w:pStyle w:val="BodyText"/>
        <w:spacing w:line="255" w:lineRule="exact"/>
        <w:ind w:left="2899"/>
      </w:pPr>
      <w:r>
        <w:rPr>
          <w:rFonts w:ascii="Book Antiqua"/>
          <w:b/>
          <w:color w:val="231F20"/>
        </w:rPr>
        <w:t>Authorities</w:t>
      </w:r>
      <w:r>
        <w:rPr>
          <w:rFonts w:ascii="Book Antiqua"/>
          <w:b/>
          <w:color w:val="231F20"/>
          <w:spacing w:val="11"/>
        </w:rPr>
        <w:t> </w:t>
      </w:r>
      <w:r>
        <w:rPr>
          <w:color w:val="231F20"/>
        </w:rPr>
        <w:t>tree</w:t>
      </w:r>
      <w:r>
        <w:rPr>
          <w:color w:val="231F20"/>
          <w:spacing w:val="11"/>
        </w:rPr>
        <w:t> </w:t>
      </w:r>
      <w:r>
        <w:rPr>
          <w:color w:val="231F20"/>
        </w:rPr>
        <w:t>and</w:t>
      </w:r>
      <w:r>
        <w:rPr>
          <w:color w:val="231F20"/>
          <w:spacing w:val="12"/>
        </w:rPr>
        <w:t> </w:t>
      </w:r>
      <w:r>
        <w:rPr>
          <w:color w:val="231F20"/>
        </w:rPr>
        <w:t>select</w:t>
      </w:r>
      <w:r>
        <w:rPr>
          <w:color w:val="231F20"/>
          <w:spacing w:val="11"/>
        </w:rPr>
        <w:t> </w:t>
      </w:r>
      <w:r>
        <w:rPr>
          <w:color w:val="231F20"/>
        </w:rPr>
        <w:t>or</w:t>
      </w:r>
      <w:r>
        <w:rPr>
          <w:color w:val="231F20"/>
          <w:spacing w:val="12"/>
        </w:rPr>
        <w:t> </w:t>
      </w:r>
      <w:r>
        <w:rPr>
          <w:color w:val="231F20"/>
        </w:rPr>
        <w:t>clear</w:t>
      </w:r>
      <w:r>
        <w:rPr>
          <w:color w:val="231F20"/>
          <w:spacing w:val="11"/>
        </w:rPr>
        <w:t> </w:t>
      </w:r>
      <w:r>
        <w:rPr>
          <w:color w:val="231F20"/>
        </w:rPr>
        <w:t>each</w:t>
      </w:r>
      <w:r>
        <w:rPr>
          <w:color w:val="231F20"/>
          <w:spacing w:val="11"/>
        </w:rPr>
        <w:t> </w:t>
      </w:r>
      <w:r>
        <w:rPr>
          <w:color w:val="231F20"/>
        </w:rPr>
        <w:t>option</w:t>
      </w:r>
      <w:r>
        <w:rPr>
          <w:color w:val="231F20"/>
          <w:spacing w:val="12"/>
        </w:rPr>
        <w:t> </w:t>
      </w:r>
      <w:r>
        <w:rPr>
          <w:color w:val="231F20"/>
        </w:rPr>
        <w:t>check</w:t>
      </w:r>
      <w:r>
        <w:rPr>
          <w:color w:val="231F20"/>
          <w:spacing w:val="11"/>
        </w:rPr>
        <w:t> </w:t>
      </w:r>
      <w:r>
        <w:rPr>
          <w:color w:val="231F20"/>
        </w:rPr>
        <w:t>box</w:t>
      </w:r>
      <w:r>
        <w:rPr>
          <w:color w:val="231F20"/>
          <w:spacing w:val="12"/>
        </w:rPr>
        <w:t> </w:t>
      </w:r>
      <w:r>
        <w:rPr>
          <w:color w:val="231F20"/>
        </w:rPr>
        <w:t>for</w:t>
      </w:r>
      <w:r>
        <w:rPr>
          <w:color w:val="231F20"/>
          <w:spacing w:val="11"/>
        </w:rPr>
        <w:t> </w:t>
      </w:r>
      <w:r>
        <w:rPr>
          <w:color w:val="231F20"/>
        </w:rPr>
        <w:t>all</w:t>
      </w:r>
      <w:r>
        <w:rPr>
          <w:color w:val="231F20"/>
          <w:spacing w:val="12"/>
        </w:rPr>
        <w:t> </w:t>
      </w:r>
      <w:r>
        <w:rPr>
          <w:color w:val="231F20"/>
          <w:spacing w:val="-2"/>
        </w:rPr>
        <w:t>functions.</w:t>
      </w:r>
    </w:p>
    <w:p>
      <w:pPr>
        <w:pStyle w:val="ListParagraph"/>
        <w:numPr>
          <w:ilvl w:val="1"/>
          <w:numId w:val="159"/>
        </w:numPr>
        <w:tabs>
          <w:tab w:pos="2899" w:val="left" w:leader="none"/>
        </w:tabs>
        <w:spacing w:line="213" w:lineRule="auto" w:before="52" w:after="0"/>
        <w:ind w:left="2899" w:right="258" w:hanging="316"/>
        <w:jc w:val="left"/>
        <w:rPr>
          <w:sz w:val="20"/>
        </w:rPr>
      </w:pPr>
      <w:r>
        <w:rPr>
          <w:color w:val="231F20"/>
          <w:sz w:val="20"/>
        </w:rPr>
        <w:t>To assign access privileges to applications (managed system types) for the group, click the </w:t>
      </w:r>
      <w:r>
        <w:rPr>
          <w:color w:val="231F20"/>
          <w:spacing w:val="-24"/>
          <w:position w:val="-1"/>
          <w:sz w:val="20"/>
        </w:rPr>
        <w:drawing>
          <wp:inline distT="0" distB="0" distL="0" distR="0">
            <wp:extent cx="95250" cy="95250"/>
            <wp:effectExtent l="0" t="0" r="0" b="0"/>
            <wp:docPr id="2913" name="Image 2913"/>
            <wp:cNvGraphicFramePr>
              <a:graphicFrameLocks/>
            </wp:cNvGraphicFramePr>
            <a:graphic>
              <a:graphicData uri="http://schemas.openxmlformats.org/drawingml/2006/picture">
                <pic:pic>
                  <pic:nvPicPr>
                    <pic:cNvPr id="2913" name="Image 2913"/>
                    <pic:cNvPicPr/>
                  </pic:nvPicPr>
                  <pic:blipFill>
                    <a:blip r:embed="rId45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40"/>
          <w:sz w:val="20"/>
        </w:rPr>
        <w:t> </w:t>
      </w:r>
      <w:r>
        <w:rPr>
          <w:color w:val="231F20"/>
          <w:sz w:val="20"/>
        </w:rPr>
        <w:t>Applications tab, then select </w:t>
      </w:r>
      <w:r>
        <w:rPr>
          <w:rFonts w:ascii="Book Antiqua"/>
          <w:b/>
          <w:color w:val="231F20"/>
          <w:sz w:val="20"/>
        </w:rPr>
        <w:t>&lt;All Applications&gt; </w:t>
      </w:r>
      <w:r>
        <w:rPr>
          <w:color w:val="231F20"/>
          <w:sz w:val="20"/>
        </w:rPr>
        <w:t>or the individual applications the user should see, and click</w:t>
      </w:r>
      <w:r>
        <w:rPr>
          <w:color w:val="231F20"/>
          <w:spacing w:val="40"/>
          <w:sz w:val="20"/>
        </w:rPr>
        <w:t> </w:t>
      </w:r>
      <w:r>
        <w:rPr>
          <w:color w:val="231F20"/>
          <w:spacing w:val="15"/>
          <w:position w:val="1"/>
          <w:sz w:val="20"/>
        </w:rPr>
        <w:drawing>
          <wp:inline distT="0" distB="0" distL="0" distR="0">
            <wp:extent cx="44450" cy="76200"/>
            <wp:effectExtent l="0" t="0" r="0" b="0"/>
            <wp:docPr id="2914" name="Image 2914"/>
            <wp:cNvGraphicFramePr>
              <a:graphicFrameLocks/>
            </wp:cNvGraphicFramePr>
            <a:graphic>
              <a:graphicData uri="http://schemas.openxmlformats.org/drawingml/2006/picture">
                <pic:pic>
                  <pic:nvPicPr>
                    <pic:cNvPr id="2914" name="Image 291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80"/>
          <w:sz w:val="20"/>
        </w:rPr>
        <w:t> </w:t>
      </w:r>
      <w:r>
        <w:rPr>
          <w:color w:val="231F20"/>
          <w:sz w:val="20"/>
        </w:rPr>
        <w:t>to move them to the</w:t>
      </w:r>
      <w:r>
        <w:rPr>
          <w:color w:val="231F20"/>
          <w:spacing w:val="40"/>
          <w:sz w:val="20"/>
        </w:rPr>
        <w:t> </w:t>
      </w:r>
      <w:r>
        <w:rPr>
          <w:rFonts w:ascii="Book Antiqua"/>
          <w:b/>
          <w:color w:val="231F20"/>
          <w:sz w:val="20"/>
        </w:rPr>
        <w:t>Allowed Applications </w:t>
      </w:r>
      <w:r>
        <w:rPr>
          <w:color w:val="231F20"/>
          <w:sz w:val="20"/>
        </w:rPr>
        <w:t>list. After selecting the first application, you can use Ctrl+click to select other applications or Shift+click to select all applications between the first selection and this one.</w:t>
      </w:r>
    </w:p>
    <w:p>
      <w:pPr>
        <w:pStyle w:val="ListParagraph"/>
        <w:numPr>
          <w:ilvl w:val="1"/>
          <w:numId w:val="159"/>
        </w:numPr>
        <w:tabs>
          <w:tab w:pos="2897" w:val="left" w:leader="none"/>
          <w:tab w:pos="2899" w:val="left" w:leader="none"/>
        </w:tabs>
        <w:spacing w:line="213" w:lineRule="auto" w:before="56" w:after="0"/>
        <w:ind w:left="2899" w:right="398" w:hanging="317"/>
        <w:jc w:val="left"/>
        <w:rPr>
          <w:sz w:val="20"/>
        </w:rPr>
      </w:pPr>
      <w:r>
        <w:rPr>
          <w:color w:val="231F20"/>
          <w:sz w:val="20"/>
        </w:rPr>
        <w:t>To assign Navigator views to the group, click the </w:t>
      </w:r>
      <w:r>
        <w:rPr>
          <w:color w:val="231F20"/>
          <w:spacing w:val="-25"/>
          <w:position w:val="-1"/>
          <w:sz w:val="20"/>
        </w:rPr>
        <w:drawing>
          <wp:inline distT="0" distB="0" distL="0" distR="0">
            <wp:extent cx="95250" cy="101600"/>
            <wp:effectExtent l="0" t="0" r="0" b="0"/>
            <wp:docPr id="2915" name="Image 2915"/>
            <wp:cNvGraphicFramePr>
              <a:graphicFrameLocks/>
            </wp:cNvGraphicFramePr>
            <a:graphic>
              <a:graphicData uri="http://schemas.openxmlformats.org/drawingml/2006/picture">
                <pic:pic>
                  <pic:nvPicPr>
                    <pic:cNvPr id="2915" name="Image 2915"/>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color w:val="231F20"/>
          <w:sz w:val="20"/>
        </w:rPr>
        <w:t>Navigator Views tab, then add or remove Navigator views from the </w:t>
      </w:r>
      <w:r>
        <w:rPr>
          <w:rFonts w:ascii="Book Antiqua"/>
          <w:b/>
          <w:color w:val="231F20"/>
          <w:sz w:val="20"/>
        </w:rPr>
        <w:t>Assigned Views </w:t>
      </w:r>
      <w:r>
        <w:rPr>
          <w:color w:val="231F20"/>
          <w:sz w:val="20"/>
        </w:rPr>
        <w:t>list, and </w:t>
      </w:r>
      <w:r>
        <w:rPr>
          <w:color w:val="231F20"/>
          <w:sz w:val="20"/>
        </w:rPr>
        <w:t>use</w:t>
      </w:r>
      <w:r>
        <w:rPr>
          <w:color w:val="231F20"/>
          <w:spacing w:val="40"/>
          <w:sz w:val="20"/>
        </w:rPr>
        <w:t> </w:t>
      </w:r>
      <w:r>
        <w:rPr>
          <w:color w:val="231F20"/>
          <w:position w:val="3"/>
          <w:sz w:val="20"/>
        </w:rPr>
        <w:drawing>
          <wp:inline distT="0" distB="0" distL="0" distR="0">
            <wp:extent cx="76200" cy="44450"/>
            <wp:effectExtent l="0" t="0" r="0" b="0"/>
            <wp:docPr id="2916" name="Image 2916"/>
            <wp:cNvGraphicFramePr>
              <a:graphicFrameLocks/>
            </wp:cNvGraphicFramePr>
            <a:graphic>
              <a:graphicData uri="http://schemas.openxmlformats.org/drawingml/2006/picture">
                <pic:pic>
                  <pic:nvPicPr>
                    <pic:cNvPr id="2916" name="Image 2916"/>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position w:val="3"/>
          <w:sz w:val="20"/>
        </w:rPr>
      </w:r>
      <w:r>
        <w:rPr>
          <w:rFonts w:ascii="Times New Roman"/>
          <w:color w:val="231F20"/>
          <w:spacing w:val="80"/>
          <w:sz w:val="20"/>
        </w:rPr>
        <w:t> </w:t>
      </w:r>
      <w:r>
        <w:rPr>
          <w:color w:val="231F20"/>
          <w:sz w:val="20"/>
        </w:rPr>
        <w:t>to place the default view at the top of the list. For each Navigator view,</w:t>
      </w:r>
      <w:r>
        <w:rPr>
          <w:color w:val="231F20"/>
          <w:spacing w:val="40"/>
          <w:sz w:val="20"/>
        </w:rPr>
        <w:t> </w:t>
      </w:r>
      <w:r>
        <w:rPr>
          <w:color w:val="231F20"/>
          <w:sz w:val="20"/>
        </w:rPr>
        <w:t>change the </w:t>
      </w:r>
      <w:r>
        <w:rPr>
          <w:rFonts w:ascii="Book Antiqua"/>
          <w:b/>
          <w:color w:val="231F20"/>
          <w:sz w:val="20"/>
        </w:rPr>
        <w:t>Assigned Root </w:t>
      </w:r>
      <w:r>
        <w:rPr>
          <w:color w:val="231F20"/>
          <w:sz w:val="20"/>
        </w:rPr>
        <w:t>as needed.</w:t>
      </w:r>
    </w:p>
    <w:p>
      <w:pPr>
        <w:pStyle w:val="ListParagraph"/>
        <w:numPr>
          <w:ilvl w:val="1"/>
          <w:numId w:val="159"/>
        </w:numPr>
        <w:tabs>
          <w:tab w:pos="2899" w:val="left" w:leader="none"/>
        </w:tabs>
        <w:spacing w:line="255" w:lineRule="exact" w:before="34" w:after="0"/>
        <w:ind w:left="2899" w:right="0" w:hanging="427"/>
        <w:jc w:val="left"/>
        <w:rPr>
          <w:rFonts w:ascii="Book Antiqua"/>
          <w:b/>
          <w:sz w:val="20"/>
        </w:rPr>
      </w:pPr>
      <w:r>
        <w:rPr>
          <w:color w:val="231F20"/>
          <w:sz w:val="20"/>
        </w:rPr>
        <w:t>When</w:t>
      </w:r>
      <w:r>
        <w:rPr>
          <w:color w:val="231F20"/>
          <w:spacing w:val="10"/>
          <w:sz w:val="20"/>
        </w:rPr>
        <w:t> </w:t>
      </w:r>
      <w:r>
        <w:rPr>
          <w:color w:val="231F20"/>
          <w:sz w:val="20"/>
        </w:rPr>
        <w:t>you</w:t>
      </w:r>
      <w:r>
        <w:rPr>
          <w:color w:val="231F20"/>
          <w:spacing w:val="10"/>
          <w:sz w:val="20"/>
        </w:rPr>
        <w:t> </w:t>
      </w:r>
      <w:r>
        <w:rPr>
          <w:color w:val="231F20"/>
          <w:sz w:val="20"/>
        </w:rPr>
        <w:t>are</w:t>
      </w:r>
      <w:r>
        <w:rPr>
          <w:color w:val="231F20"/>
          <w:spacing w:val="10"/>
          <w:sz w:val="20"/>
        </w:rPr>
        <w:t> </w:t>
      </w:r>
      <w:r>
        <w:rPr>
          <w:color w:val="231F20"/>
          <w:sz w:val="20"/>
        </w:rPr>
        <w:t>finished</w:t>
      </w:r>
      <w:r>
        <w:rPr>
          <w:color w:val="231F20"/>
          <w:spacing w:val="10"/>
          <w:sz w:val="20"/>
        </w:rPr>
        <w:t> </w:t>
      </w:r>
      <w:r>
        <w:rPr>
          <w:color w:val="231F20"/>
          <w:sz w:val="20"/>
        </w:rPr>
        <w:t>creating</w:t>
      </w:r>
      <w:r>
        <w:rPr>
          <w:color w:val="231F20"/>
          <w:spacing w:val="11"/>
          <w:sz w:val="20"/>
        </w:rPr>
        <w:t> </w:t>
      </w:r>
      <w:r>
        <w:rPr>
          <w:color w:val="231F20"/>
          <w:sz w:val="20"/>
        </w:rPr>
        <w:t>the</w:t>
      </w:r>
      <w:r>
        <w:rPr>
          <w:color w:val="231F20"/>
          <w:spacing w:val="10"/>
          <w:sz w:val="20"/>
        </w:rPr>
        <w:t> </w:t>
      </w:r>
      <w:r>
        <w:rPr>
          <w:color w:val="231F20"/>
          <w:sz w:val="20"/>
        </w:rPr>
        <w:t>user</w:t>
      </w:r>
      <w:r>
        <w:rPr>
          <w:color w:val="231F20"/>
          <w:spacing w:val="10"/>
          <w:sz w:val="20"/>
        </w:rPr>
        <w:t> </w:t>
      </w:r>
      <w:r>
        <w:rPr>
          <w:color w:val="231F20"/>
          <w:sz w:val="20"/>
        </w:rPr>
        <w:t>group,</w:t>
      </w:r>
      <w:r>
        <w:rPr>
          <w:color w:val="231F20"/>
          <w:spacing w:val="10"/>
          <w:sz w:val="20"/>
        </w:rPr>
        <w:t> </w:t>
      </w:r>
      <w:r>
        <w:rPr>
          <w:color w:val="231F20"/>
          <w:sz w:val="20"/>
        </w:rPr>
        <w:t>save</w:t>
      </w:r>
      <w:r>
        <w:rPr>
          <w:color w:val="231F20"/>
          <w:spacing w:val="10"/>
          <w:sz w:val="20"/>
        </w:rPr>
        <w:t> </w:t>
      </w:r>
      <w:r>
        <w:rPr>
          <w:color w:val="231F20"/>
          <w:sz w:val="20"/>
        </w:rPr>
        <w:t>your</w:t>
      </w:r>
      <w:r>
        <w:rPr>
          <w:color w:val="231F20"/>
          <w:spacing w:val="11"/>
          <w:sz w:val="20"/>
        </w:rPr>
        <w:t> </w:t>
      </w:r>
      <w:r>
        <w:rPr>
          <w:color w:val="231F20"/>
          <w:sz w:val="20"/>
        </w:rPr>
        <w:t>changes</w:t>
      </w:r>
      <w:r>
        <w:rPr>
          <w:color w:val="231F20"/>
          <w:spacing w:val="10"/>
          <w:sz w:val="20"/>
        </w:rPr>
        <w:t> </w:t>
      </w:r>
      <w:r>
        <w:rPr>
          <w:color w:val="231F20"/>
          <w:sz w:val="20"/>
        </w:rPr>
        <w:t>with</w:t>
      </w:r>
      <w:r>
        <w:rPr>
          <w:color w:val="231F20"/>
          <w:spacing w:val="10"/>
          <w:sz w:val="20"/>
        </w:rPr>
        <w:t> </w:t>
      </w:r>
      <w:r>
        <w:rPr>
          <w:rFonts w:ascii="Book Antiqua"/>
          <w:b/>
          <w:color w:val="231F20"/>
          <w:spacing w:val="-2"/>
          <w:sz w:val="20"/>
        </w:rPr>
        <w:t>Apply</w:t>
      </w:r>
    </w:p>
    <w:p>
      <w:pPr>
        <w:pStyle w:val="BodyText"/>
        <w:spacing w:line="255" w:lineRule="exact"/>
        <w:ind w:left="2899"/>
      </w:pPr>
      <w:r>
        <w:rPr>
          <w:color w:val="231F20"/>
        </w:rPr>
        <w:t>to</w:t>
      </w:r>
      <w:r>
        <w:rPr>
          <w:color w:val="231F20"/>
          <w:spacing w:val="11"/>
        </w:rPr>
        <w:t> </w:t>
      </w:r>
      <w:r>
        <w:rPr>
          <w:color w:val="231F20"/>
        </w:rPr>
        <w:t>keep</w:t>
      </w:r>
      <w:r>
        <w:rPr>
          <w:color w:val="231F20"/>
          <w:spacing w:val="12"/>
        </w:rPr>
        <w:t> </w:t>
      </w:r>
      <w:r>
        <w:rPr>
          <w:color w:val="231F20"/>
        </w:rPr>
        <w:t>the</w:t>
      </w:r>
      <w:r>
        <w:rPr>
          <w:color w:val="231F20"/>
          <w:spacing w:val="5"/>
        </w:rPr>
        <w:t> </w:t>
      </w:r>
      <w:r>
        <w:rPr>
          <w:color w:val="231F20"/>
        </w:rPr>
        <w:t>Administer</w:t>
      </w:r>
      <w:r>
        <w:rPr>
          <w:color w:val="231F20"/>
          <w:spacing w:val="12"/>
        </w:rPr>
        <w:t> </w:t>
      </w:r>
      <w:r>
        <w:rPr>
          <w:color w:val="231F20"/>
        </w:rPr>
        <w:t>Users</w:t>
      </w:r>
      <w:r>
        <w:rPr>
          <w:color w:val="231F20"/>
          <w:spacing w:val="11"/>
        </w:rPr>
        <w:t> </w:t>
      </w:r>
      <w:r>
        <w:rPr>
          <w:color w:val="231F20"/>
        </w:rPr>
        <w:t>window</w:t>
      </w:r>
      <w:r>
        <w:rPr>
          <w:color w:val="231F20"/>
          <w:spacing w:val="12"/>
        </w:rPr>
        <w:t> </w:t>
      </w:r>
      <w:r>
        <w:rPr>
          <w:color w:val="231F20"/>
        </w:rPr>
        <w:t>open,</w:t>
      </w:r>
      <w:r>
        <w:rPr>
          <w:color w:val="231F20"/>
          <w:spacing w:val="12"/>
        </w:rPr>
        <w:t> </w:t>
      </w:r>
      <w:r>
        <w:rPr>
          <w:color w:val="231F20"/>
        </w:rPr>
        <w:t>or</w:t>
      </w:r>
      <w:r>
        <w:rPr>
          <w:color w:val="231F20"/>
          <w:spacing w:val="11"/>
        </w:rPr>
        <w:t> </w:t>
      </w:r>
      <w:r>
        <w:rPr>
          <w:rFonts w:ascii="Book Antiqua"/>
          <w:b/>
          <w:color w:val="231F20"/>
        </w:rPr>
        <w:t>OK</w:t>
      </w:r>
      <w:r>
        <w:rPr>
          <w:rFonts w:ascii="Book Antiqua"/>
          <w:b/>
          <w:color w:val="231F20"/>
          <w:spacing w:val="12"/>
        </w:rPr>
        <w:t> </w:t>
      </w:r>
      <w:r>
        <w:rPr>
          <w:color w:val="231F20"/>
        </w:rPr>
        <w:t>to</w:t>
      </w:r>
      <w:r>
        <w:rPr>
          <w:color w:val="231F20"/>
          <w:spacing w:val="11"/>
        </w:rPr>
        <w:t> </w:t>
      </w:r>
      <w:r>
        <w:rPr>
          <w:color w:val="231F20"/>
        </w:rPr>
        <w:t>close</w:t>
      </w:r>
      <w:r>
        <w:rPr>
          <w:color w:val="231F20"/>
          <w:spacing w:val="12"/>
        </w:rPr>
        <w:t> </w:t>
      </w:r>
      <w:r>
        <w:rPr>
          <w:color w:val="231F20"/>
          <w:spacing w:val="-5"/>
        </w:rPr>
        <w:t>it.</w:t>
      </w:r>
    </w:p>
    <w:p>
      <w:pPr>
        <w:pStyle w:val="Heading3"/>
        <w:spacing w:before="211"/>
        <w:ind w:left="1574"/>
      </w:pPr>
      <w:bookmarkStart w:name="Reviewing and editing a user group" w:id="573"/>
      <w:bookmarkEnd w:id="573"/>
      <w:r>
        <w:rPr>
          <w:b w:val="0"/>
        </w:rPr>
      </w:r>
      <w:r>
        <w:rPr>
          <w:color w:val="231F20"/>
        </w:rPr>
        <w:t>Reviewing</w:t>
      </w:r>
      <w:r>
        <w:rPr>
          <w:color w:val="231F20"/>
          <w:spacing w:val="7"/>
        </w:rPr>
        <w:t> </w:t>
      </w:r>
      <w:r>
        <w:rPr>
          <w:color w:val="231F20"/>
        </w:rPr>
        <w:t>and</w:t>
      </w:r>
      <w:r>
        <w:rPr>
          <w:color w:val="231F20"/>
          <w:spacing w:val="8"/>
        </w:rPr>
        <w:t> </w:t>
      </w:r>
      <w:r>
        <w:rPr>
          <w:color w:val="231F20"/>
        </w:rPr>
        <w:t>editing</w:t>
      </w:r>
      <w:r>
        <w:rPr>
          <w:color w:val="231F20"/>
          <w:spacing w:val="8"/>
        </w:rPr>
        <w:t> </w:t>
      </w:r>
      <w:r>
        <w:rPr>
          <w:color w:val="231F20"/>
        </w:rPr>
        <w:t>a</w:t>
      </w:r>
      <w:r>
        <w:rPr>
          <w:color w:val="231F20"/>
          <w:spacing w:val="8"/>
        </w:rPr>
        <w:t> </w:t>
      </w:r>
      <w:r>
        <w:rPr>
          <w:color w:val="231F20"/>
        </w:rPr>
        <w:t>user</w:t>
      </w:r>
      <w:r>
        <w:rPr>
          <w:color w:val="231F20"/>
          <w:spacing w:val="8"/>
        </w:rPr>
        <w:t> </w:t>
      </w:r>
      <w:r>
        <w:rPr>
          <w:color w:val="231F20"/>
          <w:spacing w:val="-2"/>
        </w:rPr>
        <w:t>group</w:t>
      </w:r>
    </w:p>
    <w:p>
      <w:pPr>
        <w:pStyle w:val="BodyText"/>
        <w:spacing w:line="213" w:lineRule="auto" w:before="59"/>
        <w:ind w:left="2472"/>
      </w:pPr>
      <w:r>
        <w:rPr>
          <w:color w:val="231F20"/>
        </w:rPr>
        <w:t>After a user group has been added to the </w:t>
      </w:r>
      <w:r>
        <w:rPr>
          <w:rFonts w:ascii="Book Antiqua"/>
          <w:b/>
          <w:color w:val="231F20"/>
        </w:rPr>
        <w:t>User Groups </w:t>
      </w:r>
      <w:r>
        <w:rPr>
          <w:color w:val="231F20"/>
        </w:rPr>
        <w:t>list in the Administer </w:t>
      </w:r>
      <w:r>
        <w:rPr>
          <w:color w:val="231F20"/>
        </w:rPr>
        <w:t>Users window, you can check and edit the profile settings at any time.</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2"/>
        <w:ind w:left="2472" w:right="493" w:firstLine="20"/>
      </w:pPr>
      <w:r>
        <w:rPr>
          <w:position w:val="-1"/>
        </w:rPr>
        <w:drawing>
          <wp:inline distT="0" distB="0" distL="0" distR="0">
            <wp:extent cx="82550" cy="101600"/>
            <wp:effectExtent l="0" t="0" r="0" b="0"/>
            <wp:docPr id="2917" name="Image 2917"/>
            <wp:cNvGraphicFramePr>
              <a:graphicFrameLocks/>
            </wp:cNvGraphicFramePr>
            <a:graphic>
              <a:graphicData uri="http://schemas.openxmlformats.org/drawingml/2006/picture">
                <pic:pic>
                  <pic:nvPicPr>
                    <pic:cNvPr id="2917" name="Image 2917"/>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function, your user ID must have Modify permission for User </w:t>
      </w:r>
      <w:r>
        <w:rPr>
          <w:color w:val="231F20"/>
          <w:spacing w:val="-2"/>
        </w:rPr>
        <w:t>Administration.</w:t>
      </w:r>
    </w:p>
    <w:p>
      <w:pPr>
        <w:pStyle w:val="BodyText"/>
        <w:spacing w:before="215"/>
        <w:ind w:left="2472"/>
      </w:pPr>
      <w:r>
        <w:rPr>
          <w:color w:val="231F20"/>
        </w:rPr>
        <w:t>Use</w:t>
      </w:r>
      <w:r>
        <w:rPr>
          <w:color w:val="231F20"/>
          <w:spacing w:val="12"/>
        </w:rPr>
        <w:t> </w:t>
      </w:r>
      <w:r>
        <w:rPr>
          <w:color w:val="231F20"/>
        </w:rPr>
        <w:t>the</w:t>
      </w:r>
      <w:r>
        <w:rPr>
          <w:color w:val="231F20"/>
          <w:spacing w:val="12"/>
        </w:rPr>
        <w:t> </w:t>
      </w:r>
      <w:r>
        <w:rPr>
          <w:color w:val="231F20"/>
        </w:rPr>
        <w:t>following</w:t>
      </w:r>
      <w:r>
        <w:rPr>
          <w:color w:val="231F20"/>
          <w:spacing w:val="13"/>
        </w:rPr>
        <w:t> </w:t>
      </w:r>
      <w:r>
        <w:rPr>
          <w:color w:val="231F20"/>
        </w:rPr>
        <w:t>steps</w:t>
      </w:r>
      <w:r>
        <w:rPr>
          <w:color w:val="231F20"/>
          <w:spacing w:val="12"/>
        </w:rPr>
        <w:t> </w:t>
      </w:r>
      <w:r>
        <w:rPr>
          <w:color w:val="231F20"/>
        </w:rPr>
        <w:t>to</w:t>
      </w:r>
      <w:r>
        <w:rPr>
          <w:color w:val="231F20"/>
          <w:spacing w:val="12"/>
        </w:rPr>
        <w:t> </w:t>
      </w:r>
      <w:r>
        <w:rPr>
          <w:color w:val="231F20"/>
        </w:rPr>
        <w:t>edit</w:t>
      </w:r>
      <w:r>
        <w:rPr>
          <w:color w:val="231F20"/>
          <w:spacing w:val="13"/>
        </w:rPr>
        <w:t> </w:t>
      </w:r>
      <w:r>
        <w:rPr>
          <w:color w:val="231F20"/>
        </w:rPr>
        <w:t>a</w:t>
      </w:r>
      <w:r>
        <w:rPr>
          <w:color w:val="231F20"/>
          <w:spacing w:val="12"/>
        </w:rPr>
        <w:t> </w:t>
      </w:r>
      <w:r>
        <w:rPr>
          <w:color w:val="231F20"/>
        </w:rPr>
        <w:t>user</w:t>
      </w:r>
      <w:r>
        <w:rPr>
          <w:color w:val="231F20"/>
          <w:spacing w:val="12"/>
        </w:rPr>
        <w:t> </w:t>
      </w:r>
      <w:r>
        <w:rPr>
          <w:color w:val="231F20"/>
          <w:spacing w:val="-5"/>
        </w:rPr>
        <w:t>ID:</w:t>
      </w:r>
    </w:p>
    <w:p>
      <w:pPr>
        <w:pStyle w:val="Heading4"/>
        <w:spacing w:before="194"/>
        <w:ind w:left="2472"/>
      </w:pPr>
      <w:r>
        <w:rPr>
          <w:color w:val="231F20"/>
          <w:spacing w:val="-2"/>
        </w:rPr>
        <w:t>Procedure</w:t>
      </w:r>
    </w:p>
    <w:p>
      <w:pPr>
        <w:pStyle w:val="ListParagraph"/>
        <w:numPr>
          <w:ilvl w:val="0"/>
          <w:numId w:val="160"/>
        </w:numPr>
        <w:tabs>
          <w:tab w:pos="2787" w:val="left" w:leader="none"/>
        </w:tabs>
        <w:spacing w:line="240" w:lineRule="auto" w:before="38" w:after="0"/>
        <w:ind w:left="2787" w:right="0" w:hanging="315"/>
        <w:jc w:val="left"/>
        <w:rPr>
          <w:sz w:val="20"/>
        </w:rPr>
      </w:pPr>
      <w:r>
        <w:rPr>
          <w:color w:val="231F20"/>
          <w:sz w:val="20"/>
        </w:rPr>
        <w:t>Click</w:t>
      </w:r>
      <w:r>
        <w:rPr>
          <w:color w:val="231F20"/>
          <w:spacing w:val="29"/>
          <w:sz w:val="20"/>
        </w:rPr>
        <w:t> </w:t>
      </w:r>
      <w:r>
        <w:rPr>
          <w:color w:val="231F20"/>
          <w:spacing w:val="-14"/>
          <w:position w:val="-1"/>
          <w:sz w:val="20"/>
        </w:rPr>
        <w:drawing>
          <wp:inline distT="0" distB="0" distL="0" distR="0">
            <wp:extent cx="82550" cy="101600"/>
            <wp:effectExtent l="0" t="0" r="0" b="0"/>
            <wp:docPr id="2918" name="Image 2918"/>
            <wp:cNvGraphicFramePr>
              <a:graphicFrameLocks/>
            </wp:cNvGraphicFramePr>
            <a:graphic>
              <a:graphicData uri="http://schemas.openxmlformats.org/drawingml/2006/picture">
                <pic:pic>
                  <pic:nvPicPr>
                    <pic:cNvPr id="2918" name="Image 2918"/>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z w:val="20"/>
        </w:rPr>
        <w:t>Users</w:t>
      </w:r>
      <w:r>
        <w:rPr>
          <w:rFonts w:ascii="Book Antiqua"/>
          <w:b/>
          <w:color w:val="231F20"/>
          <w:spacing w:val="12"/>
          <w:sz w:val="20"/>
        </w:rPr>
        <w:t> </w:t>
      </w:r>
      <w:r>
        <w:rPr>
          <w:color w:val="231F20"/>
          <w:sz w:val="20"/>
        </w:rPr>
        <w:t>to</w:t>
      </w:r>
      <w:r>
        <w:rPr>
          <w:color w:val="231F20"/>
          <w:spacing w:val="11"/>
          <w:sz w:val="20"/>
        </w:rPr>
        <w:t> </w:t>
      </w:r>
      <w:r>
        <w:rPr>
          <w:color w:val="231F20"/>
          <w:sz w:val="20"/>
        </w:rPr>
        <w:t>open</w:t>
      </w:r>
      <w:r>
        <w:rPr>
          <w:color w:val="231F20"/>
          <w:spacing w:val="11"/>
          <w:sz w:val="20"/>
        </w:rPr>
        <w:t> </w:t>
      </w:r>
      <w:r>
        <w:rPr>
          <w:color w:val="231F20"/>
          <w:sz w:val="20"/>
        </w:rPr>
        <w:t>the</w:t>
      </w:r>
      <w:r>
        <w:rPr>
          <w:color w:val="231F20"/>
          <w:spacing w:val="5"/>
          <w:sz w:val="20"/>
        </w:rPr>
        <w:t> </w:t>
      </w:r>
      <w:r>
        <w:rPr>
          <w:color w:val="231F20"/>
          <w:sz w:val="20"/>
        </w:rPr>
        <w:t>Administer</w:t>
      </w:r>
      <w:r>
        <w:rPr>
          <w:color w:val="231F20"/>
          <w:spacing w:val="11"/>
          <w:sz w:val="20"/>
        </w:rPr>
        <w:t> </w:t>
      </w:r>
      <w:r>
        <w:rPr>
          <w:color w:val="231F20"/>
          <w:sz w:val="20"/>
        </w:rPr>
        <w:t>Users</w:t>
      </w:r>
      <w:r>
        <w:rPr>
          <w:color w:val="231F20"/>
          <w:spacing w:val="11"/>
          <w:sz w:val="20"/>
        </w:rPr>
        <w:t> </w:t>
      </w:r>
      <w:r>
        <w:rPr>
          <w:color w:val="231F20"/>
          <w:spacing w:val="-2"/>
          <w:sz w:val="20"/>
        </w:rPr>
        <w:t>window.</w:t>
      </w:r>
    </w:p>
    <w:p>
      <w:pPr>
        <w:pStyle w:val="ListParagraph"/>
        <w:numPr>
          <w:ilvl w:val="0"/>
          <w:numId w:val="160"/>
        </w:numPr>
        <w:tabs>
          <w:tab w:pos="2787" w:val="left" w:leader="none"/>
        </w:tabs>
        <w:spacing w:line="240" w:lineRule="auto" w:before="30" w:after="0"/>
        <w:ind w:left="2787" w:right="0" w:hanging="315"/>
        <w:jc w:val="left"/>
        <w:rPr>
          <w:sz w:val="20"/>
        </w:rPr>
      </w:pPr>
      <w:r>
        <w:rPr>
          <w:color w:val="231F20"/>
          <w:sz w:val="20"/>
        </w:rPr>
        <w:t>Click</w:t>
      </w:r>
      <w:r>
        <w:rPr>
          <w:color w:val="231F20"/>
          <w:spacing w:val="12"/>
          <w:sz w:val="20"/>
        </w:rPr>
        <w:t> </w:t>
      </w:r>
      <w:r>
        <w:rPr>
          <w:color w:val="231F20"/>
          <w:sz w:val="20"/>
        </w:rPr>
        <w:t>the</w:t>
      </w:r>
      <w:r>
        <w:rPr>
          <w:color w:val="231F20"/>
          <w:spacing w:val="13"/>
          <w:sz w:val="20"/>
        </w:rPr>
        <w:t> </w:t>
      </w:r>
      <w:r>
        <w:rPr>
          <w:color w:val="231F20"/>
          <w:spacing w:val="16"/>
          <w:position w:val="-1"/>
          <w:sz w:val="20"/>
        </w:rPr>
        <w:drawing>
          <wp:inline distT="0" distB="0" distL="0" distR="0">
            <wp:extent cx="101600" cy="101600"/>
            <wp:effectExtent l="0" t="0" r="0" b="0"/>
            <wp:docPr id="2919" name="Image 2919"/>
            <wp:cNvGraphicFramePr>
              <a:graphicFrameLocks/>
            </wp:cNvGraphicFramePr>
            <a:graphic>
              <a:graphicData uri="http://schemas.openxmlformats.org/drawingml/2006/picture">
                <pic:pic>
                  <pic:nvPicPr>
                    <pic:cNvPr id="2919" name="Image 2919"/>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4"/>
          <w:sz w:val="20"/>
        </w:rPr>
        <w:t> </w:t>
      </w:r>
      <w:r>
        <w:rPr>
          <w:rFonts w:ascii="Book Antiqua"/>
          <w:b/>
          <w:color w:val="231F20"/>
          <w:sz w:val="20"/>
        </w:rPr>
        <w:t>User</w:t>
      </w:r>
      <w:r>
        <w:rPr>
          <w:rFonts w:ascii="Book Antiqua"/>
          <w:b/>
          <w:color w:val="231F20"/>
          <w:spacing w:val="12"/>
          <w:sz w:val="20"/>
        </w:rPr>
        <w:t> </w:t>
      </w:r>
      <w:r>
        <w:rPr>
          <w:rFonts w:ascii="Book Antiqua"/>
          <w:b/>
          <w:color w:val="231F20"/>
          <w:sz w:val="20"/>
        </w:rPr>
        <w:t>Groups</w:t>
      </w:r>
      <w:r>
        <w:rPr>
          <w:rFonts w:ascii="Book Antiqua"/>
          <w:b/>
          <w:color w:val="231F20"/>
          <w:spacing w:val="13"/>
          <w:sz w:val="20"/>
        </w:rPr>
        <w:t> </w:t>
      </w:r>
      <w:r>
        <w:rPr>
          <w:color w:val="231F20"/>
          <w:spacing w:val="-4"/>
          <w:sz w:val="20"/>
        </w:rPr>
        <w:t>tab.</w:t>
      </w:r>
    </w:p>
    <w:p>
      <w:pPr>
        <w:pStyle w:val="ListParagraph"/>
        <w:numPr>
          <w:ilvl w:val="0"/>
          <w:numId w:val="160"/>
        </w:numPr>
        <w:tabs>
          <w:tab w:pos="2787" w:val="left" w:leader="none"/>
        </w:tabs>
        <w:spacing w:line="240" w:lineRule="auto" w:before="29" w:after="0"/>
        <w:ind w:left="2787" w:right="0" w:hanging="315"/>
        <w:jc w:val="left"/>
        <w:rPr>
          <w:sz w:val="20"/>
        </w:rPr>
      </w:pPr>
      <w:r>
        <w:rPr>
          <w:color w:val="231F20"/>
          <w:sz w:val="20"/>
        </w:rPr>
        <w:t>Right-click</w:t>
      </w:r>
      <w:r>
        <w:rPr>
          <w:color w:val="231F20"/>
          <w:spacing w:val="9"/>
          <w:sz w:val="20"/>
        </w:rPr>
        <w:t> </w:t>
      </w:r>
      <w:r>
        <w:rPr>
          <w:color w:val="231F20"/>
          <w:sz w:val="20"/>
        </w:rPr>
        <w:t>the</w:t>
      </w:r>
      <w:r>
        <w:rPr>
          <w:color w:val="231F20"/>
          <w:spacing w:val="11"/>
          <w:sz w:val="20"/>
        </w:rPr>
        <w:t> </w:t>
      </w:r>
      <w:r>
        <w:rPr>
          <w:color w:val="231F20"/>
          <w:sz w:val="20"/>
        </w:rPr>
        <w:t>user</w:t>
      </w:r>
      <w:r>
        <w:rPr>
          <w:color w:val="231F20"/>
          <w:spacing w:val="12"/>
          <w:sz w:val="20"/>
        </w:rPr>
        <w:t> </w:t>
      </w:r>
      <w:r>
        <w:rPr>
          <w:color w:val="231F20"/>
          <w:sz w:val="20"/>
        </w:rPr>
        <w:t>group</w:t>
      </w:r>
      <w:r>
        <w:rPr>
          <w:color w:val="231F20"/>
          <w:spacing w:val="11"/>
          <w:sz w:val="20"/>
        </w:rPr>
        <w:t> </w:t>
      </w:r>
      <w:r>
        <w:rPr>
          <w:color w:val="231F20"/>
          <w:sz w:val="20"/>
        </w:rPr>
        <w:t>to</w:t>
      </w:r>
      <w:r>
        <w:rPr>
          <w:color w:val="231F20"/>
          <w:spacing w:val="12"/>
          <w:sz w:val="20"/>
        </w:rPr>
        <w:t> </w:t>
      </w:r>
      <w:r>
        <w:rPr>
          <w:color w:val="231F20"/>
          <w:sz w:val="20"/>
        </w:rPr>
        <w:t>edit</w:t>
      </w:r>
      <w:r>
        <w:rPr>
          <w:color w:val="231F20"/>
          <w:spacing w:val="11"/>
          <w:sz w:val="20"/>
        </w:rPr>
        <w:t> </w:t>
      </w:r>
      <w:r>
        <w:rPr>
          <w:color w:val="231F20"/>
          <w:sz w:val="20"/>
        </w:rPr>
        <w:t>and</w:t>
      </w:r>
      <w:r>
        <w:rPr>
          <w:color w:val="231F20"/>
          <w:spacing w:val="12"/>
          <w:sz w:val="20"/>
        </w:rPr>
        <w:t> </w:t>
      </w:r>
      <w:r>
        <w:rPr>
          <w:color w:val="231F20"/>
          <w:sz w:val="20"/>
        </w:rPr>
        <w:t>click</w:t>
      </w:r>
      <w:r>
        <w:rPr>
          <w:color w:val="231F20"/>
          <w:spacing w:val="10"/>
          <w:sz w:val="20"/>
        </w:rPr>
        <w:t> </w:t>
      </w:r>
      <w:r>
        <w:rPr>
          <w:color w:val="231F20"/>
          <w:spacing w:val="15"/>
          <w:position w:val="-1"/>
          <w:sz w:val="20"/>
        </w:rPr>
        <w:drawing>
          <wp:inline distT="0" distB="0" distL="0" distR="0">
            <wp:extent cx="101600" cy="101600"/>
            <wp:effectExtent l="0" t="0" r="0" b="0"/>
            <wp:docPr id="2920" name="Image 2920"/>
            <wp:cNvGraphicFramePr>
              <a:graphicFrameLocks/>
            </wp:cNvGraphicFramePr>
            <a:graphic>
              <a:graphicData uri="http://schemas.openxmlformats.org/drawingml/2006/picture">
                <pic:pic>
                  <pic:nvPicPr>
                    <pic:cNvPr id="2920" name="Image 2920"/>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color w:val="231F20"/>
          <w:spacing w:val="-10"/>
          <w:sz w:val="20"/>
        </w:rPr>
        <w:t>.</w:t>
      </w:r>
    </w:p>
    <w:p>
      <w:pPr>
        <w:pStyle w:val="ListParagraph"/>
        <w:numPr>
          <w:ilvl w:val="0"/>
          <w:numId w:val="160"/>
        </w:numPr>
        <w:tabs>
          <w:tab w:pos="2788" w:val="left" w:leader="none"/>
        </w:tabs>
        <w:spacing w:line="213" w:lineRule="auto" w:before="53" w:after="0"/>
        <w:ind w:left="2788" w:right="445" w:hanging="316"/>
        <w:jc w:val="left"/>
        <w:rPr>
          <w:sz w:val="20"/>
        </w:rPr>
      </w:pPr>
      <w:r>
        <w:rPr>
          <w:color w:val="231F20"/>
          <w:sz w:val="20"/>
        </w:rPr>
        <w:t>Edit the </w:t>
      </w:r>
      <w:r>
        <w:rPr>
          <w:rFonts w:ascii="Book Antiqua"/>
          <w:b/>
          <w:color w:val="231F20"/>
          <w:sz w:val="20"/>
        </w:rPr>
        <w:t>Group Name </w:t>
      </w:r>
      <w:r>
        <w:rPr>
          <w:color w:val="231F20"/>
          <w:sz w:val="20"/>
        </w:rPr>
        <w:t>and </w:t>
      </w:r>
      <w:r>
        <w:rPr>
          <w:rFonts w:ascii="Book Antiqua"/>
          <w:b/>
          <w:color w:val="231F20"/>
          <w:sz w:val="20"/>
        </w:rPr>
        <w:t>Group Description</w:t>
      </w:r>
      <w:r>
        <w:rPr>
          <w:color w:val="231F20"/>
          <w:sz w:val="20"/>
        </w:rPr>
        <w:t>, then click </w:t>
      </w:r>
      <w:r>
        <w:rPr>
          <w:rFonts w:ascii="Book Antiqua"/>
          <w:b/>
          <w:color w:val="231F20"/>
          <w:sz w:val="20"/>
        </w:rPr>
        <w:t>OK</w:t>
      </w:r>
      <w:r>
        <w:rPr>
          <w:color w:val="231F20"/>
          <w:sz w:val="20"/>
        </w:rPr>
        <w:t>. You cannot change the one-word group ID. You must, instead, create another user group from this one and give it a new name, then delete this one.</w:t>
      </w:r>
    </w:p>
    <w:p>
      <w:pPr>
        <w:pStyle w:val="ListParagraph"/>
        <w:numPr>
          <w:ilvl w:val="0"/>
          <w:numId w:val="160"/>
        </w:numPr>
        <w:tabs>
          <w:tab w:pos="2786" w:val="left" w:leader="none"/>
          <w:tab w:pos="2788" w:val="left" w:leader="none"/>
        </w:tabs>
        <w:spacing w:line="213" w:lineRule="auto" w:before="58" w:after="0"/>
        <w:ind w:left="2788" w:right="181" w:hanging="317"/>
        <w:jc w:val="left"/>
        <w:rPr>
          <w:sz w:val="20"/>
        </w:rPr>
      </w:pPr>
      <w:r>
        <w:rPr>
          <w:color w:val="231F20"/>
          <w:sz w:val="20"/>
        </w:rPr>
        <w:t>To change the </w:t>
      </w:r>
      <w:r>
        <w:rPr>
          <w:color w:val="231F20"/>
          <w:spacing w:val="-24"/>
          <w:position w:val="-1"/>
          <w:sz w:val="20"/>
        </w:rPr>
        <w:drawing>
          <wp:inline distT="0" distB="0" distL="0" distR="0">
            <wp:extent cx="95250" cy="101600"/>
            <wp:effectExtent l="0" t="0" r="0" b="0"/>
            <wp:docPr id="2921" name="Image 2921"/>
            <wp:cNvGraphicFramePr>
              <a:graphicFrameLocks/>
            </wp:cNvGraphicFramePr>
            <a:graphic>
              <a:graphicData uri="http://schemas.openxmlformats.org/drawingml/2006/picture">
                <pic:pic>
                  <pic:nvPicPr>
                    <pic:cNvPr id="2921" name="Image 2921"/>
                    <pic:cNvPicPr/>
                  </pic:nvPicPr>
                  <pic:blipFill>
                    <a:blip r:embed="rId181"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80"/>
          <w:sz w:val="20"/>
        </w:rPr>
        <w:t> </w:t>
      </w:r>
      <w:r>
        <w:rPr>
          <w:color w:val="231F20"/>
          <w:sz w:val="20"/>
        </w:rPr>
        <w:t>Permissions, select a function from the </w:t>
      </w:r>
      <w:r>
        <w:rPr>
          <w:rFonts w:ascii="Book Antiqua"/>
          <w:b/>
          <w:color w:val="231F20"/>
          <w:sz w:val="20"/>
        </w:rPr>
        <w:t>Authorities </w:t>
      </w:r>
      <w:r>
        <w:rPr>
          <w:color w:val="231F20"/>
          <w:sz w:val="20"/>
        </w:rPr>
        <w:t>tree and select or clear each option as appropriate for all functions with permissions </w:t>
      </w:r>
      <w:r>
        <w:rPr>
          <w:color w:val="231F20"/>
          <w:sz w:val="20"/>
        </w:rPr>
        <w:t>that should change.</w:t>
      </w:r>
    </w:p>
    <w:p>
      <w:pPr>
        <w:spacing w:after="0" w:line="213" w:lineRule="auto"/>
        <w:jc w:val="left"/>
        <w:rPr>
          <w:sz w:val="20"/>
        </w:rPr>
        <w:sectPr>
          <w:pgSz w:w="12240" w:h="15840"/>
          <w:pgMar w:header="0" w:footer="736" w:top="1180" w:bottom="920" w:left="1000" w:right="1060"/>
        </w:sectPr>
      </w:pPr>
    </w:p>
    <w:p>
      <w:pPr>
        <w:pStyle w:val="ListParagraph"/>
        <w:numPr>
          <w:ilvl w:val="0"/>
          <w:numId w:val="160"/>
        </w:numPr>
        <w:tabs>
          <w:tab w:pos="2548" w:val="left" w:leader="none"/>
        </w:tabs>
        <w:spacing w:line="213" w:lineRule="auto" w:before="85" w:after="0"/>
        <w:ind w:left="2548" w:right="523" w:hanging="316"/>
        <w:jc w:val="left"/>
        <w:rPr>
          <w:sz w:val="20"/>
        </w:rPr>
      </w:pPr>
      <w:bookmarkStart w:name="_bookmark279" w:id="574"/>
      <w:bookmarkEnd w:id="574"/>
      <w:r>
        <w:rPr/>
      </w:r>
      <w:r>
        <w:rPr>
          <w:color w:val="231F20"/>
          <w:sz w:val="20"/>
        </w:rPr>
        <w:t>To change the group access privileges to applications (managed system types), click the </w:t>
      </w:r>
      <w:r>
        <w:rPr>
          <w:color w:val="231F20"/>
          <w:spacing w:val="-24"/>
          <w:position w:val="-1"/>
          <w:sz w:val="20"/>
        </w:rPr>
        <w:drawing>
          <wp:inline distT="0" distB="0" distL="0" distR="0">
            <wp:extent cx="95250" cy="95250"/>
            <wp:effectExtent l="0" t="0" r="0" b="0"/>
            <wp:docPr id="2922" name="Image 2922"/>
            <wp:cNvGraphicFramePr>
              <a:graphicFrameLocks/>
            </wp:cNvGraphicFramePr>
            <a:graphic>
              <a:graphicData uri="http://schemas.openxmlformats.org/drawingml/2006/picture">
                <pic:pic>
                  <pic:nvPicPr>
                    <pic:cNvPr id="2922" name="Image 2922"/>
                    <pic:cNvPicPr/>
                  </pic:nvPicPr>
                  <pic:blipFill>
                    <a:blip r:embed="rId45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40"/>
          <w:sz w:val="20"/>
        </w:rPr>
        <w:t> </w:t>
      </w:r>
      <w:r>
        <w:rPr>
          <w:color w:val="231F20"/>
          <w:sz w:val="20"/>
        </w:rPr>
        <w:t>Applications tab, select any applications you want to remove </w:t>
      </w:r>
      <w:r>
        <w:rPr>
          <w:color w:val="231F20"/>
          <w:sz w:val="20"/>
        </w:rPr>
        <w:t>from the </w:t>
      </w:r>
      <w:r>
        <w:rPr>
          <w:rFonts w:ascii="Book Antiqua"/>
          <w:b/>
          <w:color w:val="231F20"/>
          <w:sz w:val="20"/>
        </w:rPr>
        <w:t>Allowed Applications </w:t>
      </w:r>
      <w:r>
        <w:rPr>
          <w:color w:val="231F20"/>
          <w:sz w:val="20"/>
        </w:rPr>
        <w:t>list and click </w:t>
      </w:r>
      <w:r>
        <w:rPr>
          <w:color w:val="231F20"/>
          <w:spacing w:val="-25"/>
          <w:position w:val="-1"/>
          <w:sz w:val="20"/>
        </w:rPr>
        <w:drawing>
          <wp:inline distT="0" distB="0" distL="0" distR="0">
            <wp:extent cx="95250" cy="95250"/>
            <wp:effectExtent l="0" t="0" r="0" b="0"/>
            <wp:docPr id="2923" name="Image 2923"/>
            <wp:cNvGraphicFramePr>
              <a:graphicFrameLocks/>
            </wp:cNvGraphicFramePr>
            <a:graphic>
              <a:graphicData uri="http://schemas.openxmlformats.org/drawingml/2006/picture">
                <pic:pic>
                  <pic:nvPicPr>
                    <pic:cNvPr id="2923" name="Image 2923"/>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8"/>
          <w:sz w:val="20"/>
        </w:rPr>
        <w:t> </w:t>
      </w:r>
      <w:r>
        <w:rPr>
          <w:color w:val="231F20"/>
          <w:sz w:val="20"/>
        </w:rPr>
        <w:t>; select the applications you want to add from the </w:t>
      </w:r>
      <w:r>
        <w:rPr>
          <w:rFonts w:ascii="Book Antiqua"/>
          <w:b/>
          <w:color w:val="231F20"/>
          <w:sz w:val="20"/>
        </w:rPr>
        <w:t>Available Applications </w:t>
      </w:r>
      <w:r>
        <w:rPr>
          <w:color w:val="231F20"/>
          <w:sz w:val="20"/>
        </w:rPr>
        <w:t>list (or select </w:t>
      </w:r>
      <w:r>
        <w:rPr>
          <w:rFonts w:ascii="Book Antiqua"/>
          <w:b/>
          <w:color w:val="231F20"/>
          <w:sz w:val="20"/>
        </w:rPr>
        <w:t>&lt;All Applications&gt;</w:t>
      </w:r>
      <w:r>
        <w:rPr>
          <w:color w:val="231F20"/>
          <w:sz w:val="20"/>
        </w:rPr>
        <w:t>), and click</w:t>
      </w:r>
      <w:r>
        <w:rPr>
          <w:color w:val="231F20"/>
          <w:spacing w:val="40"/>
          <w:sz w:val="20"/>
        </w:rPr>
        <w:t> </w:t>
      </w:r>
      <w:r>
        <w:rPr>
          <w:color w:val="231F20"/>
          <w:spacing w:val="16"/>
          <w:position w:val="1"/>
          <w:sz w:val="20"/>
        </w:rPr>
        <w:drawing>
          <wp:inline distT="0" distB="0" distL="0" distR="0">
            <wp:extent cx="44450" cy="76200"/>
            <wp:effectExtent l="0" t="0" r="0" b="0"/>
            <wp:docPr id="2924" name="Image 2924"/>
            <wp:cNvGraphicFramePr>
              <a:graphicFrameLocks/>
            </wp:cNvGraphicFramePr>
            <a:graphic>
              <a:graphicData uri="http://schemas.openxmlformats.org/drawingml/2006/picture">
                <pic:pic>
                  <pic:nvPicPr>
                    <pic:cNvPr id="2924" name="Image 292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 After selecting the first application, you can use Ctrl+click to select</w:t>
      </w:r>
      <w:r>
        <w:rPr>
          <w:color w:val="231F20"/>
          <w:spacing w:val="40"/>
          <w:sz w:val="20"/>
        </w:rPr>
        <w:t> </w:t>
      </w:r>
      <w:r>
        <w:rPr>
          <w:color w:val="231F20"/>
          <w:sz w:val="20"/>
        </w:rPr>
        <w:t>other applications or Shift+click to select all applications between the first selection and this one.</w:t>
      </w:r>
    </w:p>
    <w:p>
      <w:pPr>
        <w:pStyle w:val="ListParagraph"/>
        <w:numPr>
          <w:ilvl w:val="0"/>
          <w:numId w:val="160"/>
        </w:numPr>
        <w:tabs>
          <w:tab w:pos="2548" w:val="left" w:leader="none"/>
        </w:tabs>
        <w:spacing w:line="213" w:lineRule="auto" w:before="55" w:after="0"/>
        <w:ind w:left="2548" w:right="448" w:hanging="316"/>
        <w:jc w:val="left"/>
        <w:rPr>
          <w:sz w:val="20"/>
        </w:rPr>
      </w:pPr>
      <w:r>
        <w:rPr>
          <w:color w:val="231F20"/>
          <w:sz w:val="20"/>
        </w:rPr>
        <w:t>To</w:t>
      </w:r>
      <w:r>
        <w:rPr>
          <w:color w:val="231F20"/>
          <w:spacing w:val="27"/>
          <w:sz w:val="20"/>
        </w:rPr>
        <w:t> </w:t>
      </w:r>
      <w:r>
        <w:rPr>
          <w:color w:val="231F20"/>
          <w:sz w:val="20"/>
        </w:rPr>
        <w:t>change</w:t>
      </w:r>
      <w:r>
        <w:rPr>
          <w:color w:val="231F20"/>
          <w:spacing w:val="27"/>
          <w:sz w:val="20"/>
        </w:rPr>
        <w:t> </w:t>
      </w:r>
      <w:r>
        <w:rPr>
          <w:color w:val="231F20"/>
          <w:sz w:val="20"/>
        </w:rPr>
        <w:t>any</w:t>
      </w:r>
      <w:r>
        <w:rPr>
          <w:color w:val="231F20"/>
          <w:spacing w:val="27"/>
          <w:sz w:val="20"/>
        </w:rPr>
        <w:t> </w:t>
      </w:r>
      <w:r>
        <w:rPr>
          <w:color w:val="231F20"/>
          <w:sz w:val="20"/>
        </w:rPr>
        <w:t>Navigator</w:t>
      </w:r>
      <w:r>
        <w:rPr>
          <w:color w:val="231F20"/>
          <w:spacing w:val="27"/>
          <w:sz w:val="20"/>
        </w:rPr>
        <w:t> </w:t>
      </w:r>
      <w:r>
        <w:rPr>
          <w:color w:val="231F20"/>
          <w:sz w:val="20"/>
        </w:rPr>
        <w:t>view</w:t>
      </w:r>
      <w:r>
        <w:rPr>
          <w:color w:val="231F20"/>
          <w:spacing w:val="27"/>
          <w:sz w:val="20"/>
        </w:rPr>
        <w:t> </w:t>
      </w:r>
      <w:r>
        <w:rPr>
          <w:color w:val="231F20"/>
          <w:sz w:val="20"/>
        </w:rPr>
        <w:t>assignments</w:t>
      </w:r>
      <w:r>
        <w:rPr>
          <w:color w:val="231F20"/>
          <w:spacing w:val="27"/>
          <w:sz w:val="20"/>
        </w:rPr>
        <w:t> </w:t>
      </w:r>
      <w:r>
        <w:rPr>
          <w:color w:val="231F20"/>
          <w:sz w:val="20"/>
        </w:rPr>
        <w:t>for</w:t>
      </w:r>
      <w:r>
        <w:rPr>
          <w:color w:val="231F20"/>
          <w:spacing w:val="27"/>
          <w:sz w:val="20"/>
        </w:rPr>
        <w:t> </w:t>
      </w:r>
      <w:r>
        <w:rPr>
          <w:color w:val="231F20"/>
          <w:sz w:val="20"/>
        </w:rPr>
        <w:t>the</w:t>
      </w:r>
      <w:r>
        <w:rPr>
          <w:color w:val="231F20"/>
          <w:spacing w:val="27"/>
          <w:sz w:val="20"/>
        </w:rPr>
        <w:t> </w:t>
      </w:r>
      <w:r>
        <w:rPr>
          <w:color w:val="231F20"/>
          <w:sz w:val="20"/>
        </w:rPr>
        <w:t>group,</w:t>
      </w:r>
      <w:r>
        <w:rPr>
          <w:color w:val="231F20"/>
          <w:spacing w:val="27"/>
          <w:sz w:val="20"/>
        </w:rPr>
        <w:t> </w:t>
      </w:r>
      <w:r>
        <w:rPr>
          <w:color w:val="231F20"/>
          <w:sz w:val="20"/>
        </w:rPr>
        <w:t>click</w:t>
      </w:r>
      <w:r>
        <w:rPr>
          <w:color w:val="231F20"/>
          <w:spacing w:val="27"/>
          <w:sz w:val="20"/>
        </w:rPr>
        <w:t> </w:t>
      </w:r>
      <w:r>
        <w:rPr>
          <w:color w:val="231F20"/>
          <w:sz w:val="20"/>
        </w:rPr>
        <w:t>the</w:t>
      </w:r>
      <w:r>
        <w:rPr>
          <w:color w:val="231F20"/>
          <w:spacing w:val="24"/>
          <w:sz w:val="20"/>
        </w:rPr>
        <w:t> </w:t>
      </w:r>
      <w:r>
        <w:rPr>
          <w:color w:val="231F20"/>
          <w:spacing w:val="24"/>
          <w:position w:val="-1"/>
          <w:sz w:val="20"/>
        </w:rPr>
        <w:drawing>
          <wp:inline distT="0" distB="0" distL="0" distR="0">
            <wp:extent cx="95250" cy="101600"/>
            <wp:effectExtent l="0" t="0" r="0" b="0"/>
            <wp:docPr id="2925" name="Image 2925"/>
            <wp:cNvGraphicFramePr>
              <a:graphicFrameLocks/>
            </wp:cNvGraphicFramePr>
            <a:graphic>
              <a:graphicData uri="http://schemas.openxmlformats.org/drawingml/2006/picture">
                <pic:pic>
                  <pic:nvPicPr>
                    <pic:cNvPr id="2925" name="Image 2925"/>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24"/>
          <w:position w:val="-1"/>
          <w:sz w:val="20"/>
        </w:rPr>
        <w:t> </w:t>
      </w:r>
      <w:r>
        <w:rPr>
          <w:color w:val="231F20"/>
          <w:sz w:val="20"/>
        </w:rPr>
        <w:t>Navigator Views tab, then add or remove Navigator views from the </w:t>
      </w:r>
      <w:r>
        <w:rPr>
          <w:rFonts w:ascii="Book Antiqua"/>
          <w:b/>
          <w:color w:val="231F20"/>
          <w:sz w:val="20"/>
        </w:rPr>
        <w:t>Assigned Views </w:t>
      </w:r>
      <w:r>
        <w:rPr>
          <w:color w:val="231F20"/>
          <w:sz w:val="20"/>
        </w:rPr>
        <w:t>list, and use</w:t>
      </w:r>
      <w:r>
        <w:rPr>
          <w:color w:val="231F20"/>
          <w:spacing w:val="40"/>
          <w:sz w:val="20"/>
        </w:rPr>
        <w:t> </w:t>
      </w:r>
      <w:r>
        <w:rPr>
          <w:color w:val="231F20"/>
          <w:spacing w:val="6"/>
          <w:position w:val="3"/>
          <w:sz w:val="20"/>
        </w:rPr>
        <w:drawing>
          <wp:inline distT="0" distB="0" distL="0" distR="0">
            <wp:extent cx="76200" cy="44450"/>
            <wp:effectExtent l="0" t="0" r="0" b="0"/>
            <wp:docPr id="2926" name="Image 2926"/>
            <wp:cNvGraphicFramePr>
              <a:graphicFrameLocks/>
            </wp:cNvGraphicFramePr>
            <a:graphic>
              <a:graphicData uri="http://schemas.openxmlformats.org/drawingml/2006/picture">
                <pic:pic>
                  <pic:nvPicPr>
                    <pic:cNvPr id="2926" name="Image 2926"/>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spacing w:val="6"/>
          <w:position w:val="3"/>
          <w:sz w:val="20"/>
        </w:rPr>
      </w:r>
      <w:r>
        <w:rPr>
          <w:rFonts w:ascii="Times New Roman"/>
          <w:color w:val="231F20"/>
          <w:spacing w:val="80"/>
          <w:sz w:val="20"/>
        </w:rPr>
        <w:t> </w:t>
      </w:r>
      <w:r>
        <w:rPr>
          <w:color w:val="231F20"/>
          <w:sz w:val="20"/>
        </w:rPr>
        <w:t>to place the one you want to be the default at the top of</w:t>
      </w:r>
      <w:r>
        <w:rPr>
          <w:color w:val="231F20"/>
          <w:spacing w:val="80"/>
          <w:sz w:val="20"/>
        </w:rPr>
        <w:t> </w:t>
      </w:r>
      <w:r>
        <w:rPr>
          <w:color w:val="231F20"/>
          <w:sz w:val="20"/>
        </w:rPr>
        <w:t>the list. For each Navigator view, change the </w:t>
      </w:r>
      <w:r>
        <w:rPr>
          <w:rFonts w:ascii="Book Antiqua"/>
          <w:b/>
          <w:color w:val="231F20"/>
          <w:sz w:val="20"/>
        </w:rPr>
        <w:t>Assigned Root </w:t>
      </w:r>
      <w:r>
        <w:rPr>
          <w:color w:val="231F20"/>
          <w:sz w:val="20"/>
        </w:rPr>
        <w:t>as needed.</w:t>
      </w:r>
    </w:p>
    <w:p>
      <w:pPr>
        <w:pStyle w:val="ListParagraph"/>
        <w:numPr>
          <w:ilvl w:val="0"/>
          <w:numId w:val="160"/>
        </w:numPr>
        <w:tabs>
          <w:tab w:pos="2548" w:val="left" w:leader="none"/>
        </w:tabs>
        <w:spacing w:line="213" w:lineRule="auto" w:before="57" w:after="0"/>
        <w:ind w:left="2548" w:right="555" w:hanging="316"/>
        <w:jc w:val="both"/>
        <w:rPr>
          <w:sz w:val="20"/>
        </w:rPr>
      </w:pPr>
      <w:r>
        <w:rPr>
          <w:color w:val="231F20"/>
          <w:sz w:val="20"/>
        </w:rPr>
        <w:t>When you are finished editing the user group, save your changes with </w:t>
      </w:r>
      <w:r>
        <w:rPr>
          <w:rFonts w:ascii="Book Antiqua"/>
          <w:b/>
          <w:color w:val="231F20"/>
          <w:sz w:val="20"/>
        </w:rPr>
        <w:t>Apply</w:t>
      </w:r>
      <w:r>
        <w:rPr>
          <w:rFonts w:ascii="Book Antiqua"/>
          <w:b/>
          <w:color w:val="231F20"/>
          <w:spacing w:val="80"/>
          <w:sz w:val="20"/>
        </w:rPr>
        <w:t> </w:t>
      </w:r>
      <w:r>
        <w:rPr>
          <w:color w:val="231F20"/>
          <w:sz w:val="20"/>
        </w:rPr>
        <w:t>to keep the Administer Users window open, or </w:t>
      </w:r>
      <w:r>
        <w:rPr>
          <w:rFonts w:ascii="Book Antiqua"/>
          <w:b/>
          <w:color w:val="231F20"/>
          <w:sz w:val="20"/>
        </w:rPr>
        <w:t>OK </w:t>
      </w:r>
      <w:r>
        <w:rPr>
          <w:color w:val="231F20"/>
          <w:sz w:val="20"/>
        </w:rPr>
        <w:t>to close it. The user </w:t>
      </w:r>
      <w:r>
        <w:rPr>
          <w:color w:val="231F20"/>
          <w:sz w:val="20"/>
        </w:rPr>
        <w:t>group changes are effective the next time each group member logs on.</w:t>
      </w:r>
    </w:p>
    <w:p>
      <w:pPr>
        <w:pStyle w:val="BodyText"/>
        <w:spacing w:line="213" w:lineRule="auto" w:before="237"/>
        <w:ind w:left="2548"/>
      </w:pPr>
      <w:r>
        <w:rPr>
          <w:rFonts w:ascii="Book Antiqua"/>
          <w:b/>
          <w:color w:val="231F20"/>
        </w:rPr>
        <w:t>Note:</w:t>
      </w:r>
      <w:r>
        <w:rPr>
          <w:rFonts w:ascii="Book Antiqua"/>
          <w:b/>
          <w:color w:val="231F20"/>
          <w:spacing w:val="40"/>
        </w:rPr>
        <w:t> </w:t>
      </w:r>
      <w:r>
        <w:rPr>
          <w:color w:val="231F20"/>
        </w:rPr>
        <w:t>You can change the permissions, except Create and Modify for </w:t>
      </w:r>
      <w:r>
        <w:rPr>
          <w:color w:val="231F20"/>
        </w:rPr>
        <w:t>User Administration, of any groups you are a member of.</w:t>
      </w:r>
    </w:p>
    <w:p>
      <w:pPr>
        <w:pStyle w:val="Heading3"/>
        <w:spacing w:before="218"/>
        <w:ind w:left="1334"/>
      </w:pPr>
      <w:bookmarkStart w:name="Removing a user group" w:id="575"/>
      <w:bookmarkEnd w:id="575"/>
      <w:r>
        <w:rPr>
          <w:b w:val="0"/>
        </w:rPr>
      </w:r>
      <w:r>
        <w:rPr>
          <w:color w:val="231F20"/>
        </w:rPr>
        <w:t>Removing</w:t>
      </w:r>
      <w:r>
        <w:rPr>
          <w:color w:val="231F20"/>
          <w:spacing w:val="6"/>
        </w:rPr>
        <w:t> </w:t>
      </w:r>
      <w:r>
        <w:rPr>
          <w:color w:val="231F20"/>
        </w:rPr>
        <w:t>a</w:t>
      </w:r>
      <w:r>
        <w:rPr>
          <w:color w:val="231F20"/>
          <w:spacing w:val="8"/>
        </w:rPr>
        <w:t> </w:t>
      </w:r>
      <w:r>
        <w:rPr>
          <w:color w:val="231F20"/>
        </w:rPr>
        <w:t>user</w:t>
      </w:r>
      <w:r>
        <w:rPr>
          <w:color w:val="231F20"/>
          <w:spacing w:val="8"/>
        </w:rPr>
        <w:t> </w:t>
      </w:r>
      <w:r>
        <w:rPr>
          <w:color w:val="231F20"/>
          <w:spacing w:val="-2"/>
        </w:rPr>
        <w:t>group</w:t>
      </w:r>
    </w:p>
    <w:p>
      <w:pPr>
        <w:pStyle w:val="BodyText"/>
        <w:spacing w:before="35"/>
        <w:ind w:left="2232"/>
      </w:pPr>
      <w:r>
        <w:rPr>
          <w:color w:val="231F20"/>
        </w:rPr>
        <w:t>You</w:t>
      </w:r>
      <w:r>
        <w:rPr>
          <w:color w:val="231F20"/>
          <w:spacing w:val="7"/>
        </w:rPr>
        <w:t> </w:t>
      </w:r>
      <w:r>
        <w:rPr>
          <w:color w:val="231F20"/>
        </w:rPr>
        <w:t>can</w:t>
      </w:r>
      <w:r>
        <w:rPr>
          <w:color w:val="231F20"/>
          <w:spacing w:val="8"/>
        </w:rPr>
        <w:t> </w:t>
      </w:r>
      <w:r>
        <w:rPr>
          <w:color w:val="231F20"/>
        </w:rPr>
        <w:t>remove</w:t>
      </w:r>
      <w:r>
        <w:rPr>
          <w:color w:val="231F20"/>
          <w:spacing w:val="8"/>
        </w:rPr>
        <w:t> </w:t>
      </w:r>
      <w:r>
        <w:rPr>
          <w:color w:val="231F20"/>
        </w:rPr>
        <w:t>a</w:t>
      </w:r>
      <w:r>
        <w:rPr>
          <w:color w:val="231F20"/>
          <w:spacing w:val="8"/>
        </w:rPr>
        <w:t> </w:t>
      </w:r>
      <w:r>
        <w:rPr>
          <w:color w:val="231F20"/>
        </w:rPr>
        <w:t>user</w:t>
      </w:r>
      <w:r>
        <w:rPr>
          <w:color w:val="231F20"/>
          <w:spacing w:val="7"/>
        </w:rPr>
        <w:t> </w:t>
      </w:r>
      <w:r>
        <w:rPr>
          <w:color w:val="231F20"/>
          <w:spacing w:val="-2"/>
        </w:rPr>
        <w:t>group.</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232" w:firstLine="20"/>
      </w:pPr>
      <w:r>
        <w:rPr>
          <w:position w:val="-1"/>
        </w:rPr>
        <w:drawing>
          <wp:inline distT="0" distB="0" distL="0" distR="0">
            <wp:extent cx="82550" cy="101600"/>
            <wp:effectExtent l="0" t="0" r="0" b="0"/>
            <wp:docPr id="2927" name="Image 2927"/>
            <wp:cNvGraphicFramePr>
              <a:graphicFrameLocks/>
            </wp:cNvGraphicFramePr>
            <a:graphic>
              <a:graphicData uri="http://schemas.openxmlformats.org/drawingml/2006/picture">
                <pic:pic>
                  <pic:nvPicPr>
                    <pic:cNvPr id="2927" name="Image 2927"/>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To use this function, your user ID must have Modify permission for User </w:t>
      </w:r>
      <w:r>
        <w:rPr>
          <w:color w:val="231F20"/>
          <w:spacing w:val="-2"/>
        </w:rPr>
        <w:t>Administration.</w:t>
      </w:r>
    </w:p>
    <w:p>
      <w:pPr>
        <w:pStyle w:val="BodyText"/>
        <w:spacing w:before="215"/>
        <w:ind w:left="2232"/>
      </w:pPr>
      <w:r>
        <w:rPr>
          <w:color w:val="231F20"/>
        </w:rPr>
        <w:t>Use</w:t>
      </w:r>
      <w:r>
        <w:rPr>
          <w:color w:val="231F20"/>
          <w:spacing w:val="11"/>
        </w:rPr>
        <w:t> </w:t>
      </w:r>
      <w:r>
        <w:rPr>
          <w:color w:val="231F20"/>
        </w:rPr>
        <w:t>the</w:t>
      </w:r>
      <w:r>
        <w:rPr>
          <w:color w:val="231F20"/>
          <w:spacing w:val="11"/>
        </w:rPr>
        <w:t> </w:t>
      </w:r>
      <w:r>
        <w:rPr>
          <w:color w:val="231F20"/>
        </w:rPr>
        <w:t>following</w:t>
      </w:r>
      <w:r>
        <w:rPr>
          <w:color w:val="231F20"/>
          <w:spacing w:val="12"/>
        </w:rPr>
        <w:t> </w:t>
      </w:r>
      <w:r>
        <w:rPr>
          <w:color w:val="231F20"/>
        </w:rPr>
        <w:t>steps</w:t>
      </w:r>
      <w:r>
        <w:rPr>
          <w:color w:val="231F20"/>
          <w:spacing w:val="11"/>
        </w:rPr>
        <w:t> </w:t>
      </w:r>
      <w:r>
        <w:rPr>
          <w:color w:val="231F20"/>
        </w:rPr>
        <w:t>to</w:t>
      </w:r>
      <w:r>
        <w:rPr>
          <w:color w:val="231F20"/>
          <w:spacing w:val="12"/>
        </w:rPr>
        <w:t> </w:t>
      </w:r>
      <w:r>
        <w:rPr>
          <w:color w:val="231F20"/>
        </w:rPr>
        <w:t>remove</w:t>
      </w:r>
      <w:r>
        <w:rPr>
          <w:color w:val="231F20"/>
          <w:spacing w:val="11"/>
        </w:rPr>
        <w:t> </w:t>
      </w:r>
      <w:r>
        <w:rPr>
          <w:color w:val="231F20"/>
        </w:rPr>
        <w:t>a</w:t>
      </w:r>
      <w:r>
        <w:rPr>
          <w:color w:val="231F20"/>
          <w:spacing w:val="12"/>
        </w:rPr>
        <w:t> </w:t>
      </w:r>
      <w:r>
        <w:rPr>
          <w:color w:val="231F20"/>
        </w:rPr>
        <w:t>user</w:t>
      </w:r>
      <w:r>
        <w:rPr>
          <w:color w:val="231F20"/>
          <w:spacing w:val="11"/>
        </w:rPr>
        <w:t> </w:t>
      </w:r>
      <w:r>
        <w:rPr>
          <w:color w:val="231F20"/>
          <w:spacing w:val="-5"/>
        </w:rPr>
        <w:t>ID:</w:t>
      </w:r>
    </w:p>
    <w:p>
      <w:pPr>
        <w:pStyle w:val="Heading4"/>
        <w:spacing w:before="194"/>
      </w:pPr>
      <w:r>
        <w:rPr>
          <w:color w:val="231F20"/>
          <w:spacing w:val="-2"/>
        </w:rPr>
        <w:t>Procedure</w:t>
      </w:r>
    </w:p>
    <w:p>
      <w:pPr>
        <w:pStyle w:val="ListParagraph"/>
        <w:numPr>
          <w:ilvl w:val="0"/>
          <w:numId w:val="161"/>
        </w:numPr>
        <w:tabs>
          <w:tab w:pos="2547" w:val="left" w:leader="none"/>
        </w:tabs>
        <w:spacing w:line="240" w:lineRule="auto" w:before="38" w:after="0"/>
        <w:ind w:left="2547" w:right="0" w:hanging="315"/>
        <w:jc w:val="left"/>
        <w:rPr>
          <w:sz w:val="20"/>
        </w:rPr>
      </w:pPr>
      <w:r>
        <w:rPr>
          <w:color w:val="231F20"/>
          <w:sz w:val="20"/>
        </w:rPr>
        <w:t>Click</w:t>
      </w:r>
      <w:r>
        <w:rPr>
          <w:color w:val="231F20"/>
          <w:spacing w:val="29"/>
          <w:sz w:val="20"/>
        </w:rPr>
        <w:t> </w:t>
      </w:r>
      <w:r>
        <w:rPr>
          <w:color w:val="231F20"/>
          <w:spacing w:val="-14"/>
          <w:position w:val="-1"/>
          <w:sz w:val="20"/>
        </w:rPr>
        <w:drawing>
          <wp:inline distT="0" distB="0" distL="0" distR="0">
            <wp:extent cx="82550" cy="101600"/>
            <wp:effectExtent l="0" t="0" r="0" b="0"/>
            <wp:docPr id="2928" name="Image 2928"/>
            <wp:cNvGraphicFramePr>
              <a:graphicFrameLocks/>
            </wp:cNvGraphicFramePr>
            <a:graphic>
              <a:graphicData uri="http://schemas.openxmlformats.org/drawingml/2006/picture">
                <pic:pic>
                  <pic:nvPicPr>
                    <pic:cNvPr id="2928" name="Image 2928"/>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8"/>
          <w:sz w:val="20"/>
        </w:rPr>
        <w:t> </w:t>
      </w:r>
      <w:r>
        <w:rPr>
          <w:rFonts w:ascii="Book Antiqua"/>
          <w:b/>
          <w:color w:val="231F20"/>
          <w:sz w:val="20"/>
        </w:rPr>
        <w:t>Administer</w:t>
      </w:r>
      <w:r>
        <w:rPr>
          <w:rFonts w:ascii="Book Antiqua"/>
          <w:b/>
          <w:color w:val="231F20"/>
          <w:spacing w:val="11"/>
          <w:sz w:val="20"/>
        </w:rPr>
        <w:t> </w:t>
      </w:r>
      <w:r>
        <w:rPr>
          <w:rFonts w:ascii="Book Antiqua"/>
          <w:b/>
          <w:color w:val="231F20"/>
          <w:sz w:val="20"/>
        </w:rPr>
        <w:t>Users</w:t>
      </w:r>
      <w:r>
        <w:rPr>
          <w:rFonts w:ascii="Book Antiqua"/>
          <w:b/>
          <w:color w:val="231F20"/>
          <w:spacing w:val="12"/>
          <w:sz w:val="20"/>
        </w:rPr>
        <w:t> </w:t>
      </w:r>
      <w:r>
        <w:rPr>
          <w:color w:val="231F20"/>
          <w:sz w:val="20"/>
        </w:rPr>
        <w:t>to</w:t>
      </w:r>
      <w:r>
        <w:rPr>
          <w:color w:val="231F20"/>
          <w:spacing w:val="11"/>
          <w:sz w:val="20"/>
        </w:rPr>
        <w:t> </w:t>
      </w:r>
      <w:r>
        <w:rPr>
          <w:color w:val="231F20"/>
          <w:sz w:val="20"/>
        </w:rPr>
        <w:t>open</w:t>
      </w:r>
      <w:r>
        <w:rPr>
          <w:color w:val="231F20"/>
          <w:spacing w:val="11"/>
          <w:sz w:val="20"/>
        </w:rPr>
        <w:t> </w:t>
      </w:r>
      <w:r>
        <w:rPr>
          <w:color w:val="231F20"/>
          <w:sz w:val="20"/>
        </w:rPr>
        <w:t>the</w:t>
      </w:r>
      <w:r>
        <w:rPr>
          <w:color w:val="231F20"/>
          <w:spacing w:val="5"/>
          <w:sz w:val="20"/>
        </w:rPr>
        <w:t> </w:t>
      </w:r>
      <w:r>
        <w:rPr>
          <w:color w:val="231F20"/>
          <w:sz w:val="20"/>
        </w:rPr>
        <w:t>Administer</w:t>
      </w:r>
      <w:r>
        <w:rPr>
          <w:color w:val="231F20"/>
          <w:spacing w:val="11"/>
          <w:sz w:val="20"/>
        </w:rPr>
        <w:t> </w:t>
      </w:r>
      <w:r>
        <w:rPr>
          <w:color w:val="231F20"/>
          <w:sz w:val="20"/>
        </w:rPr>
        <w:t>Users</w:t>
      </w:r>
      <w:r>
        <w:rPr>
          <w:color w:val="231F20"/>
          <w:spacing w:val="11"/>
          <w:sz w:val="20"/>
        </w:rPr>
        <w:t> </w:t>
      </w:r>
      <w:r>
        <w:rPr>
          <w:color w:val="231F20"/>
          <w:spacing w:val="-2"/>
          <w:sz w:val="20"/>
        </w:rPr>
        <w:t>window.</w:t>
      </w:r>
    </w:p>
    <w:p>
      <w:pPr>
        <w:pStyle w:val="ListParagraph"/>
        <w:numPr>
          <w:ilvl w:val="0"/>
          <w:numId w:val="161"/>
        </w:numPr>
        <w:tabs>
          <w:tab w:pos="2547" w:val="left" w:leader="none"/>
        </w:tabs>
        <w:spacing w:line="240" w:lineRule="auto" w:before="30" w:after="0"/>
        <w:ind w:left="2547" w:right="0" w:hanging="315"/>
        <w:jc w:val="left"/>
        <w:rPr>
          <w:sz w:val="20"/>
        </w:rPr>
      </w:pPr>
      <w:r>
        <w:rPr>
          <w:color w:val="231F20"/>
          <w:sz w:val="20"/>
        </w:rPr>
        <w:t>Click</w:t>
      </w:r>
      <w:r>
        <w:rPr>
          <w:color w:val="231F20"/>
          <w:spacing w:val="12"/>
          <w:sz w:val="20"/>
        </w:rPr>
        <w:t> </w:t>
      </w:r>
      <w:r>
        <w:rPr>
          <w:color w:val="231F20"/>
          <w:sz w:val="20"/>
        </w:rPr>
        <w:t>the</w:t>
      </w:r>
      <w:r>
        <w:rPr>
          <w:color w:val="231F20"/>
          <w:spacing w:val="13"/>
          <w:sz w:val="20"/>
        </w:rPr>
        <w:t> </w:t>
      </w:r>
      <w:r>
        <w:rPr>
          <w:color w:val="231F20"/>
          <w:spacing w:val="16"/>
          <w:position w:val="-1"/>
          <w:sz w:val="20"/>
        </w:rPr>
        <w:drawing>
          <wp:inline distT="0" distB="0" distL="0" distR="0">
            <wp:extent cx="101600" cy="101600"/>
            <wp:effectExtent l="0" t="0" r="0" b="0"/>
            <wp:docPr id="2929" name="Image 2929"/>
            <wp:cNvGraphicFramePr>
              <a:graphicFrameLocks/>
            </wp:cNvGraphicFramePr>
            <a:graphic>
              <a:graphicData uri="http://schemas.openxmlformats.org/drawingml/2006/picture">
                <pic:pic>
                  <pic:nvPicPr>
                    <pic:cNvPr id="2929" name="Image 2929"/>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4"/>
          <w:sz w:val="20"/>
        </w:rPr>
        <w:t> </w:t>
      </w:r>
      <w:r>
        <w:rPr>
          <w:rFonts w:ascii="Book Antiqua"/>
          <w:b/>
          <w:color w:val="231F20"/>
          <w:sz w:val="20"/>
        </w:rPr>
        <w:t>User</w:t>
      </w:r>
      <w:r>
        <w:rPr>
          <w:rFonts w:ascii="Book Antiqua"/>
          <w:b/>
          <w:color w:val="231F20"/>
          <w:spacing w:val="12"/>
          <w:sz w:val="20"/>
        </w:rPr>
        <w:t> </w:t>
      </w:r>
      <w:r>
        <w:rPr>
          <w:rFonts w:ascii="Book Antiqua"/>
          <w:b/>
          <w:color w:val="231F20"/>
          <w:sz w:val="20"/>
        </w:rPr>
        <w:t>Groups</w:t>
      </w:r>
      <w:r>
        <w:rPr>
          <w:rFonts w:ascii="Book Antiqua"/>
          <w:b/>
          <w:color w:val="231F20"/>
          <w:spacing w:val="13"/>
          <w:sz w:val="20"/>
        </w:rPr>
        <w:t> </w:t>
      </w:r>
      <w:r>
        <w:rPr>
          <w:color w:val="231F20"/>
          <w:spacing w:val="-4"/>
          <w:sz w:val="20"/>
        </w:rPr>
        <w:t>tab.</w:t>
      </w:r>
    </w:p>
    <w:p>
      <w:pPr>
        <w:pStyle w:val="ListParagraph"/>
        <w:numPr>
          <w:ilvl w:val="0"/>
          <w:numId w:val="161"/>
        </w:numPr>
        <w:tabs>
          <w:tab w:pos="2548" w:val="left" w:leader="none"/>
        </w:tabs>
        <w:spacing w:line="213" w:lineRule="auto" w:before="52" w:after="0"/>
        <w:ind w:left="2548" w:right="429" w:hanging="316"/>
        <w:jc w:val="left"/>
        <w:rPr>
          <w:sz w:val="20"/>
        </w:rPr>
      </w:pPr>
      <w:r>
        <w:rPr>
          <w:color w:val="231F20"/>
          <w:sz w:val="20"/>
        </w:rPr>
        <w:t>Select the user group to delete from the list and click</w:t>
      </w:r>
      <w:r>
        <w:rPr>
          <w:color w:val="231F20"/>
          <w:spacing w:val="40"/>
          <w:sz w:val="20"/>
        </w:rPr>
        <w:t> </w:t>
      </w:r>
      <w:r>
        <w:rPr>
          <w:color w:val="231F20"/>
          <w:spacing w:val="15"/>
          <w:position w:val="-1"/>
          <w:sz w:val="20"/>
        </w:rPr>
        <w:drawing>
          <wp:inline distT="0" distB="0" distL="0" distR="0">
            <wp:extent cx="95250" cy="101600"/>
            <wp:effectExtent l="0" t="0" r="0" b="0"/>
            <wp:docPr id="2930" name="Image 2930"/>
            <wp:cNvGraphicFramePr>
              <a:graphicFrameLocks/>
            </wp:cNvGraphicFramePr>
            <a:graphic>
              <a:graphicData uri="http://schemas.openxmlformats.org/drawingml/2006/picture">
                <pic:pic>
                  <pic:nvPicPr>
                    <pic:cNvPr id="2930" name="Image 2930"/>
                    <pic:cNvPicPr/>
                  </pic:nvPicPr>
                  <pic:blipFill>
                    <a:blip r:embed="rId458" cstate="print"/>
                    <a:stretch>
                      <a:fillRect/>
                    </a:stretch>
                  </pic:blipFill>
                  <pic:spPr>
                    <a:xfrm>
                      <a:off x="0" y="0"/>
                      <a:ext cx="9525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Remove Selected</w:t>
      </w:r>
      <w:r>
        <w:rPr>
          <w:rFonts w:ascii="Book Antiqua"/>
          <w:b/>
          <w:color w:val="231F20"/>
          <w:spacing w:val="40"/>
          <w:sz w:val="20"/>
        </w:rPr>
        <w:t> </w:t>
      </w:r>
      <w:r>
        <w:rPr>
          <w:rFonts w:ascii="Book Antiqua"/>
          <w:b/>
          <w:color w:val="231F20"/>
          <w:sz w:val="20"/>
        </w:rPr>
        <w:t>Group</w:t>
      </w:r>
      <w:r>
        <w:rPr>
          <w:color w:val="231F20"/>
          <w:sz w:val="20"/>
        </w:rPr>
        <w:t>. You can select additional user IDs with Ctrl+click, or with Shift+click </w:t>
      </w:r>
      <w:r>
        <w:rPr>
          <w:color w:val="231F20"/>
          <w:sz w:val="20"/>
        </w:rPr>
        <w:t>to select all user groups between the first selection and this one.</w:t>
      </w:r>
    </w:p>
    <w:p>
      <w:pPr>
        <w:pStyle w:val="ListParagraph"/>
        <w:numPr>
          <w:ilvl w:val="0"/>
          <w:numId w:val="161"/>
        </w:numPr>
        <w:tabs>
          <w:tab w:pos="2548" w:val="left" w:leader="none"/>
        </w:tabs>
        <w:spacing w:line="213" w:lineRule="auto" w:before="58" w:after="0"/>
        <w:ind w:left="2548" w:right="609" w:hanging="316"/>
        <w:jc w:val="left"/>
        <w:rPr>
          <w:sz w:val="20"/>
        </w:rPr>
      </w:pPr>
      <w:r>
        <w:rPr>
          <w:color w:val="231F20"/>
          <w:sz w:val="20"/>
        </w:rPr>
        <w:t>When a message asks you to confirm the user group removal, click </w:t>
      </w:r>
      <w:r>
        <w:rPr>
          <w:rFonts w:ascii="Book Antiqua"/>
          <w:b/>
          <w:color w:val="231F20"/>
          <w:sz w:val="20"/>
        </w:rPr>
        <w:t>Yes</w:t>
      </w:r>
      <w:r>
        <w:rPr>
          <w:color w:val="231F20"/>
          <w:sz w:val="20"/>
        </w:rPr>
        <w:t>. The group is permanently removed from the user group list. Any members of </w:t>
      </w:r>
      <w:r>
        <w:rPr>
          <w:color w:val="231F20"/>
          <w:sz w:val="20"/>
        </w:rPr>
        <w:t>this user group who receive permissions from the group will not be affected until they next log on to the portal server.</w:t>
      </w:r>
    </w:p>
    <w:p>
      <w:pPr>
        <w:pStyle w:val="BodyText"/>
        <w:spacing w:before="4"/>
        <w:rPr>
          <w:sz w:val="16"/>
        </w:rPr>
      </w:pPr>
      <w:r>
        <w:rPr/>
        <mc:AlternateContent>
          <mc:Choice Requires="wps">
            <w:drawing>
              <wp:anchor distT="0" distB="0" distL="0" distR="0" allowOverlap="1" layoutInCell="1" locked="0" behindDoc="1" simplePos="0" relativeHeight="487739392">
                <wp:simplePos x="0" y="0"/>
                <wp:positionH relativeFrom="page">
                  <wp:posOffset>760323</wp:posOffset>
                </wp:positionH>
                <wp:positionV relativeFrom="paragraph">
                  <wp:posOffset>155377</wp:posOffset>
                </wp:positionV>
                <wp:extent cx="6082665" cy="1270"/>
                <wp:effectExtent l="0" t="0" r="0" b="0"/>
                <wp:wrapTopAndBottom/>
                <wp:docPr id="2931" name="Graphic 2931"/>
                <wp:cNvGraphicFramePr>
                  <a:graphicFrameLocks/>
                </wp:cNvGraphicFramePr>
                <a:graphic>
                  <a:graphicData uri="http://schemas.microsoft.com/office/word/2010/wordprocessingShape">
                    <wps:wsp>
                      <wps:cNvPr id="2931" name="Graphic 293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34424pt;width:478.95pt;height:.1pt;mso-position-horizontal-relative:page;mso-position-vertical-relative:paragraph;z-index:-15577088;mso-wrap-distance-left:0;mso-wrap-distance-right:0" id="docshape240"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Administer Users" w:id="576"/>
      <w:bookmarkEnd w:id="576"/>
      <w:r>
        <w:rPr>
          <w:b w:val="0"/>
        </w:rPr>
      </w:r>
      <w:r>
        <w:rPr>
          <w:color w:val="231F20"/>
        </w:rPr>
        <w:t>Administer </w:t>
      </w:r>
      <w:r>
        <w:rPr>
          <w:color w:val="231F20"/>
          <w:spacing w:val="-2"/>
        </w:rPr>
        <w:t>Users</w:t>
      </w:r>
    </w:p>
    <w:p>
      <w:pPr>
        <w:pStyle w:val="BodyText"/>
        <w:spacing w:line="213" w:lineRule="auto" w:before="138"/>
        <w:ind w:left="2232" w:right="636"/>
      </w:pPr>
      <w:r>
        <w:rPr>
          <w:color w:val="231F20"/>
        </w:rPr>
        <w:t>Your user ID and the user groups you are a member of are profiled with a set of</w:t>
      </w:r>
      <w:r>
        <w:rPr>
          <w:color w:val="231F20"/>
          <w:spacing w:val="40"/>
        </w:rPr>
        <w:t> </w:t>
      </w:r>
      <w:r>
        <w:rPr>
          <w:color w:val="231F20"/>
        </w:rPr>
        <w:t>permissions that determines which Tivoli Enterprise Portal features you are authorized to see and use, a list of monitored applications you are authorized to see, and a list of Navigator views (and the highest level within a view) you can</w:t>
      </w:r>
      <w:r>
        <w:rPr>
          <w:color w:val="231F20"/>
          <w:spacing w:val="40"/>
        </w:rPr>
        <w:t> </w:t>
      </w:r>
      <w:r>
        <w:rPr>
          <w:color w:val="231F20"/>
          <w:spacing w:val="-2"/>
        </w:rPr>
        <w:t>access.</w:t>
      </w:r>
    </w:p>
    <w:p>
      <w:pPr>
        <w:spacing w:line="255" w:lineRule="exact" w:before="213"/>
        <w:ind w:left="2232" w:right="0" w:firstLine="0"/>
        <w:jc w:val="left"/>
        <w:rPr>
          <w:sz w:val="20"/>
        </w:rPr>
      </w:pPr>
      <w:r>
        <w:rPr>
          <w:color w:val="231F20"/>
          <w:sz w:val="20"/>
        </w:rPr>
        <w:t>Clicking</w:t>
      </w:r>
      <w:r>
        <w:rPr>
          <w:color w:val="231F20"/>
          <w:spacing w:val="26"/>
          <w:sz w:val="20"/>
        </w:rPr>
        <w:t> </w:t>
      </w:r>
      <w:r>
        <w:rPr>
          <w:color w:val="231F20"/>
          <w:spacing w:val="-14"/>
          <w:position w:val="-1"/>
          <w:sz w:val="20"/>
        </w:rPr>
        <w:drawing>
          <wp:inline distT="0" distB="0" distL="0" distR="0">
            <wp:extent cx="82550" cy="101600"/>
            <wp:effectExtent l="0" t="0" r="0" b="0"/>
            <wp:docPr id="2932" name="Image 2932"/>
            <wp:cNvGraphicFramePr>
              <a:graphicFrameLocks/>
            </wp:cNvGraphicFramePr>
            <a:graphic>
              <a:graphicData uri="http://schemas.openxmlformats.org/drawingml/2006/picture">
                <pic:pic>
                  <pic:nvPicPr>
                    <pic:cNvPr id="2932" name="Image 2932"/>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sz w:val="20"/>
        </w:rPr>
      </w:r>
      <w:r>
        <w:rPr>
          <w:rFonts w:ascii="Times New Roman"/>
          <w:color w:val="231F20"/>
          <w:spacing w:val="16"/>
          <w:sz w:val="20"/>
        </w:rPr>
        <w:t> </w:t>
      </w:r>
      <w:r>
        <w:rPr>
          <w:rFonts w:ascii="Book Antiqua"/>
          <w:b/>
          <w:color w:val="231F20"/>
          <w:sz w:val="20"/>
        </w:rPr>
        <w:t>Administer</w:t>
      </w:r>
      <w:r>
        <w:rPr>
          <w:rFonts w:ascii="Book Antiqua"/>
          <w:b/>
          <w:color w:val="231F20"/>
          <w:spacing w:val="9"/>
          <w:sz w:val="20"/>
        </w:rPr>
        <w:t> </w:t>
      </w:r>
      <w:r>
        <w:rPr>
          <w:rFonts w:ascii="Book Antiqua"/>
          <w:b/>
          <w:color w:val="231F20"/>
          <w:sz w:val="20"/>
        </w:rPr>
        <w:t>Users</w:t>
      </w:r>
      <w:r>
        <w:rPr>
          <w:rFonts w:ascii="Book Antiqua"/>
          <w:b/>
          <w:color w:val="231F20"/>
          <w:spacing w:val="9"/>
          <w:sz w:val="20"/>
        </w:rPr>
        <w:t> </w:t>
      </w:r>
      <w:r>
        <w:rPr>
          <w:color w:val="231F20"/>
          <w:sz w:val="20"/>
        </w:rPr>
        <w:t>opens</w:t>
      </w:r>
      <w:r>
        <w:rPr>
          <w:color w:val="231F20"/>
          <w:spacing w:val="9"/>
          <w:sz w:val="20"/>
        </w:rPr>
        <w:t> </w:t>
      </w:r>
      <w:r>
        <w:rPr>
          <w:color w:val="231F20"/>
          <w:sz w:val="20"/>
        </w:rPr>
        <w:t>the</w:t>
      </w:r>
      <w:r>
        <w:rPr>
          <w:color w:val="231F20"/>
          <w:spacing w:val="3"/>
          <w:sz w:val="20"/>
        </w:rPr>
        <w:t> </w:t>
      </w:r>
      <w:r>
        <w:rPr>
          <w:color w:val="231F20"/>
          <w:sz w:val="20"/>
        </w:rPr>
        <w:t>Administer</w:t>
      </w:r>
      <w:r>
        <w:rPr>
          <w:color w:val="231F20"/>
          <w:spacing w:val="9"/>
          <w:sz w:val="20"/>
        </w:rPr>
        <w:t> </w:t>
      </w:r>
      <w:r>
        <w:rPr>
          <w:color w:val="231F20"/>
          <w:sz w:val="20"/>
        </w:rPr>
        <w:t>Users</w:t>
      </w:r>
      <w:r>
        <w:rPr>
          <w:color w:val="231F20"/>
          <w:spacing w:val="9"/>
          <w:sz w:val="20"/>
        </w:rPr>
        <w:t> </w:t>
      </w:r>
      <w:r>
        <w:rPr>
          <w:color w:val="231F20"/>
          <w:sz w:val="20"/>
        </w:rPr>
        <w:t>window.</w:t>
      </w:r>
      <w:r>
        <w:rPr>
          <w:color w:val="231F20"/>
          <w:spacing w:val="9"/>
          <w:sz w:val="20"/>
        </w:rPr>
        <w:t> </w:t>
      </w:r>
      <w:r>
        <w:rPr>
          <w:color w:val="231F20"/>
          <w:sz w:val="20"/>
        </w:rPr>
        <w:t>This</w:t>
      </w:r>
      <w:r>
        <w:rPr>
          <w:color w:val="231F20"/>
          <w:spacing w:val="9"/>
          <w:sz w:val="20"/>
        </w:rPr>
        <w:t> </w:t>
      </w:r>
      <w:r>
        <w:rPr>
          <w:color w:val="231F20"/>
          <w:sz w:val="20"/>
        </w:rPr>
        <w:t>is</w:t>
      </w:r>
      <w:r>
        <w:rPr>
          <w:color w:val="231F20"/>
          <w:spacing w:val="9"/>
          <w:sz w:val="20"/>
        </w:rPr>
        <w:t> </w:t>
      </w:r>
      <w:r>
        <w:rPr>
          <w:color w:val="231F20"/>
          <w:spacing w:val="-10"/>
          <w:sz w:val="20"/>
        </w:rPr>
        <w:t>a</w:t>
      </w:r>
    </w:p>
    <w:p>
      <w:pPr>
        <w:pStyle w:val="BodyText"/>
        <w:spacing w:line="213" w:lineRule="auto" w:before="8"/>
        <w:ind w:left="2232" w:right="545"/>
      </w:pPr>
      <w:r>
        <w:rPr>
          <w:color w:val="231F20"/>
        </w:rPr>
        <w:t>two-paned window with Users and User Groups tabs in the top frame, and </w:t>
      </w:r>
      <w:r>
        <w:rPr>
          <w:color w:val="231F20"/>
        </w:rPr>
        <w:t>several tabs in the bottom frame. This arrangement enables the administrator to manage</w:t>
      </w:r>
      <w:r>
        <w:rPr>
          <w:color w:val="231F20"/>
          <w:spacing w:val="40"/>
        </w:rPr>
        <w:t> </w:t>
      </w:r>
      <w:r>
        <w:rPr>
          <w:color w:val="231F20"/>
        </w:rPr>
        <w:t>user profiles by individual user, by user groups, or a combination of the two. You might create a user profile, then copy the profile for each additional user and</w:t>
      </w:r>
      <w:r>
        <w:rPr>
          <w:color w:val="231F20"/>
          <w:spacing w:val="80"/>
          <w:w w:val="150"/>
        </w:rPr>
        <w:t> </w:t>
      </w:r>
      <w:r>
        <w:rPr>
          <w:color w:val="231F20"/>
        </w:rPr>
        <w:t>change</w:t>
      </w:r>
      <w:r>
        <w:rPr>
          <w:color w:val="231F20"/>
          <w:spacing w:val="28"/>
        </w:rPr>
        <w:t> </w:t>
      </w:r>
      <w:r>
        <w:rPr>
          <w:color w:val="231F20"/>
        </w:rPr>
        <w:t>settings</w:t>
      </w:r>
      <w:r>
        <w:rPr>
          <w:color w:val="231F20"/>
          <w:spacing w:val="28"/>
        </w:rPr>
        <w:t> </w:t>
      </w:r>
      <w:r>
        <w:rPr>
          <w:color w:val="231F20"/>
        </w:rPr>
        <w:t>as</w:t>
      </w:r>
      <w:r>
        <w:rPr>
          <w:color w:val="231F20"/>
          <w:spacing w:val="28"/>
        </w:rPr>
        <w:t> </w:t>
      </w:r>
      <w:r>
        <w:rPr>
          <w:color w:val="231F20"/>
        </w:rPr>
        <w:t>needed</w:t>
      </w:r>
      <w:r>
        <w:rPr>
          <w:color w:val="231F20"/>
          <w:spacing w:val="28"/>
        </w:rPr>
        <w:t> </w:t>
      </w:r>
      <w:r>
        <w:rPr>
          <w:color w:val="231F20"/>
        </w:rPr>
        <w:t>(such</w:t>
      </w:r>
      <w:r>
        <w:rPr>
          <w:color w:val="231F20"/>
          <w:spacing w:val="28"/>
        </w:rPr>
        <w:t> </w:t>
      </w:r>
      <w:r>
        <w:rPr>
          <w:color w:val="231F20"/>
        </w:rPr>
        <w:t>as,</w:t>
      </w:r>
      <w:r>
        <w:rPr>
          <w:color w:val="231F20"/>
          <w:spacing w:val="28"/>
        </w:rPr>
        <w:t> </w:t>
      </w:r>
      <w:r>
        <w:rPr>
          <w:color w:val="231F20"/>
        </w:rPr>
        <w:t>for</w:t>
      </w:r>
      <w:r>
        <w:rPr>
          <w:color w:val="231F20"/>
          <w:spacing w:val="28"/>
        </w:rPr>
        <w:t> </w:t>
      </w:r>
      <w:r>
        <w:rPr>
          <w:color w:val="231F20"/>
        </w:rPr>
        <w:t>the Action</w:t>
      </w:r>
      <w:r>
        <w:rPr>
          <w:color w:val="231F20"/>
          <w:spacing w:val="28"/>
        </w:rPr>
        <w:t> </w:t>
      </w:r>
      <w:r>
        <w:rPr>
          <w:color w:val="231F20"/>
        </w:rPr>
        <w:t>feature,</w:t>
      </w:r>
      <w:r>
        <w:rPr>
          <w:color w:val="231F20"/>
          <w:spacing w:val="28"/>
        </w:rPr>
        <w:t> </w:t>
      </w:r>
      <w:r>
        <w:rPr>
          <w:color w:val="231F20"/>
        </w:rPr>
        <w:t>granting</w:t>
      </w:r>
      <w:r>
        <w:rPr>
          <w:color w:val="231F20"/>
          <w:spacing w:val="28"/>
        </w:rPr>
        <w:t> </w:t>
      </w:r>
      <w:r>
        <w:rPr>
          <w:color w:val="231F20"/>
        </w:rPr>
        <w:t>View permission to one user and granting Modify permission to a different user). Or</w:t>
      </w:r>
    </w:p>
    <w:p>
      <w:pPr>
        <w:spacing w:after="0" w:line="213" w:lineRule="auto"/>
        <w:sectPr>
          <w:pgSz w:w="12240" w:h="15840"/>
          <w:pgMar w:header="0" w:footer="736" w:top="1180" w:bottom="920" w:left="1000" w:right="1060"/>
        </w:sectPr>
      </w:pPr>
    </w:p>
    <w:p>
      <w:pPr>
        <w:pStyle w:val="BodyText"/>
        <w:spacing w:line="213" w:lineRule="auto" w:before="85"/>
        <w:ind w:left="2472"/>
      </w:pPr>
      <w:bookmarkStart w:name="_bookmark280" w:id="577"/>
      <w:bookmarkEnd w:id="577"/>
      <w:r>
        <w:rPr/>
      </w:r>
      <w:r>
        <w:rPr>
          <w:color w:val="231F20"/>
        </w:rPr>
        <w:t>you might create a user group with a particular profile and add users to the group. Then you can modify the permissions once for a group and apply to all members </w:t>
      </w:r>
      <w:r>
        <w:rPr>
          <w:color w:val="231F20"/>
          <w:spacing w:val="-2"/>
        </w:rPr>
        <w:t>automatically.</w:t>
      </w:r>
    </w:p>
    <w:p>
      <w:pPr>
        <w:pStyle w:val="BodyText"/>
        <w:spacing w:line="213" w:lineRule="auto" w:before="237"/>
        <w:ind w:left="2472" w:right="258"/>
      </w:pPr>
      <w:r>
        <w:rPr>
          <w:color w:val="231F20"/>
        </w:rPr>
        <w:t>When you modify the permissions or the list of monitored applications for a Tivoli Enterprise Portal user or user group, the authorization change does not take effect until the user logs out of the Tivoli Enterprise Portal client and then logs back in. If</w:t>
      </w:r>
      <w:r>
        <w:rPr>
          <w:color w:val="231F20"/>
          <w:spacing w:val="40"/>
        </w:rPr>
        <w:t> </w:t>
      </w:r>
      <w:r>
        <w:rPr>
          <w:color w:val="231F20"/>
        </w:rPr>
        <w:t>Tivoli Enterprise Portal permissions are being used to authorize monitored</w:t>
      </w:r>
      <w:r>
        <w:rPr>
          <w:color w:val="231F20"/>
          <w:spacing w:val="80"/>
        </w:rPr>
        <w:t> </w:t>
      </w:r>
      <w:r>
        <w:rPr>
          <w:color w:val="231F20"/>
        </w:rPr>
        <w:t>resources</w:t>
      </w:r>
      <w:r>
        <w:rPr>
          <w:color w:val="231F20"/>
          <w:spacing w:val="27"/>
        </w:rPr>
        <w:t> </w:t>
      </w:r>
      <w:r>
        <w:rPr>
          <w:color w:val="231F20"/>
        </w:rPr>
        <w:t>for</w:t>
      </w:r>
      <w:r>
        <w:rPr>
          <w:color w:val="231F20"/>
          <w:spacing w:val="27"/>
        </w:rPr>
        <w:t> </w:t>
      </w:r>
      <w:r>
        <w:rPr>
          <w:color w:val="231F20"/>
        </w:rPr>
        <w:t>dashboard</w:t>
      </w:r>
      <w:r>
        <w:rPr>
          <w:color w:val="231F20"/>
          <w:spacing w:val="27"/>
        </w:rPr>
        <w:t> </w:t>
      </w:r>
      <w:r>
        <w:rPr>
          <w:color w:val="231F20"/>
        </w:rPr>
        <w:t>users,</w:t>
      </w:r>
      <w:r>
        <w:rPr>
          <w:color w:val="231F20"/>
          <w:spacing w:val="27"/>
        </w:rPr>
        <w:t> </w:t>
      </w:r>
      <w:r>
        <w:rPr>
          <w:color w:val="231F20"/>
        </w:rPr>
        <w:t>the</w:t>
      </w:r>
      <w:r>
        <w:rPr>
          <w:color w:val="231F20"/>
          <w:spacing w:val="27"/>
        </w:rPr>
        <w:t> </w:t>
      </w:r>
      <w:r>
        <w:rPr>
          <w:color w:val="231F20"/>
        </w:rPr>
        <w:t>authorization</w:t>
      </w:r>
      <w:r>
        <w:rPr>
          <w:color w:val="231F20"/>
          <w:spacing w:val="27"/>
        </w:rPr>
        <w:t> </w:t>
      </w:r>
      <w:r>
        <w:rPr>
          <w:color w:val="231F20"/>
        </w:rPr>
        <w:t>changes</w:t>
      </w:r>
      <w:r>
        <w:rPr>
          <w:color w:val="231F20"/>
          <w:spacing w:val="27"/>
        </w:rPr>
        <w:t> </w:t>
      </w:r>
      <w:r>
        <w:rPr>
          <w:color w:val="231F20"/>
        </w:rPr>
        <w:t>also</w:t>
      </w:r>
      <w:r>
        <w:rPr>
          <w:color w:val="231F20"/>
          <w:spacing w:val="27"/>
        </w:rPr>
        <w:t> </w:t>
      </w:r>
      <w:r>
        <w:rPr>
          <w:color w:val="231F20"/>
        </w:rPr>
        <w:t>do</w:t>
      </w:r>
      <w:r>
        <w:rPr>
          <w:color w:val="231F20"/>
          <w:spacing w:val="27"/>
        </w:rPr>
        <w:t> </w:t>
      </w:r>
      <w:r>
        <w:rPr>
          <w:color w:val="231F20"/>
        </w:rPr>
        <w:t>not</w:t>
      </w:r>
      <w:r>
        <w:rPr>
          <w:color w:val="231F20"/>
          <w:spacing w:val="27"/>
        </w:rPr>
        <w:t> </w:t>
      </w:r>
      <w:r>
        <w:rPr>
          <w:color w:val="231F20"/>
        </w:rPr>
        <w:t>take</w:t>
      </w:r>
      <w:r>
        <w:rPr>
          <w:color w:val="231F20"/>
          <w:spacing w:val="27"/>
        </w:rPr>
        <w:t> </w:t>
      </w:r>
      <w:r>
        <w:rPr>
          <w:color w:val="231F20"/>
        </w:rPr>
        <w:t>effect until the user logs out of Dashboard Application Services Hub and logs back in.</w:t>
      </w:r>
    </w:p>
    <w:p>
      <w:pPr>
        <w:pStyle w:val="Heading3"/>
        <w:spacing w:before="215"/>
        <w:ind w:left="1574"/>
      </w:pPr>
      <w:bookmarkStart w:name="Users and User Groups" w:id="578"/>
      <w:bookmarkEnd w:id="578"/>
      <w:r>
        <w:rPr>
          <w:b w:val="0"/>
        </w:rPr>
      </w:r>
      <w:r>
        <w:rPr>
          <w:color w:val="231F20"/>
        </w:rPr>
        <w:t>Users</w:t>
      </w:r>
      <w:r>
        <w:rPr>
          <w:color w:val="231F20"/>
          <w:spacing w:val="8"/>
        </w:rPr>
        <w:t> </w:t>
      </w:r>
      <w:r>
        <w:rPr>
          <w:color w:val="231F20"/>
        </w:rPr>
        <w:t>and</w:t>
      </w:r>
      <w:r>
        <w:rPr>
          <w:color w:val="231F20"/>
          <w:spacing w:val="9"/>
        </w:rPr>
        <w:t> </w:t>
      </w:r>
      <w:r>
        <w:rPr>
          <w:color w:val="231F20"/>
        </w:rPr>
        <w:t>User</w:t>
      </w:r>
      <w:r>
        <w:rPr>
          <w:color w:val="231F20"/>
          <w:spacing w:val="9"/>
        </w:rPr>
        <w:t> </w:t>
      </w:r>
      <w:r>
        <w:rPr>
          <w:color w:val="231F20"/>
          <w:spacing w:val="-2"/>
        </w:rPr>
        <w:t>Groups</w:t>
      </w:r>
    </w:p>
    <w:p>
      <w:pPr>
        <w:pStyle w:val="BodyText"/>
        <w:spacing w:line="213" w:lineRule="auto" w:before="58"/>
        <w:ind w:left="2472" w:right="545"/>
      </w:pPr>
      <w:r>
        <w:rPr>
          <w:color w:val="231F20"/>
        </w:rPr>
        <w:t>The</w:t>
      </w:r>
      <w:r>
        <w:rPr>
          <w:color w:val="231F20"/>
          <w:spacing w:val="32"/>
        </w:rPr>
        <w:t> </w:t>
      </w:r>
      <w:r>
        <w:rPr>
          <w:color w:val="231F20"/>
          <w:spacing w:val="-14"/>
          <w:position w:val="-1"/>
        </w:rPr>
        <w:drawing>
          <wp:inline distT="0" distB="0" distL="0" distR="0">
            <wp:extent cx="82550" cy="101600"/>
            <wp:effectExtent l="0" t="0" r="0" b="0"/>
            <wp:docPr id="2933" name="Image 2933"/>
            <wp:cNvGraphicFramePr>
              <a:graphicFrameLocks/>
            </wp:cNvGraphicFramePr>
            <a:graphic>
              <a:graphicData uri="http://schemas.openxmlformats.org/drawingml/2006/picture">
                <pic:pic>
                  <pic:nvPicPr>
                    <pic:cNvPr id="2933" name="Image 2933"/>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4"/>
          <w:position w:val="-1"/>
        </w:rPr>
      </w:r>
      <w:r>
        <w:rPr>
          <w:rFonts w:ascii="Times New Roman"/>
          <w:color w:val="231F20"/>
          <w:spacing w:val="80"/>
        </w:rPr>
        <w:t> </w:t>
      </w:r>
      <w:r>
        <w:rPr>
          <w:rFonts w:ascii="Book Antiqua"/>
          <w:b/>
          <w:color w:val="231F20"/>
        </w:rPr>
        <w:t>Users </w:t>
      </w:r>
      <w:r>
        <w:rPr>
          <w:color w:val="231F20"/>
        </w:rPr>
        <w:t>and </w:t>
      </w:r>
      <w:r>
        <w:rPr>
          <w:color w:val="231F20"/>
          <w:spacing w:val="16"/>
          <w:position w:val="-1"/>
        </w:rPr>
        <w:drawing>
          <wp:inline distT="0" distB="0" distL="0" distR="0">
            <wp:extent cx="101600" cy="101600"/>
            <wp:effectExtent l="0" t="0" r="0" b="0"/>
            <wp:docPr id="2934" name="Image 2934"/>
            <wp:cNvGraphicFramePr>
              <a:graphicFrameLocks/>
            </wp:cNvGraphicFramePr>
            <a:graphic>
              <a:graphicData uri="http://schemas.openxmlformats.org/drawingml/2006/picture">
                <pic:pic>
                  <pic:nvPicPr>
                    <pic:cNvPr id="2934" name="Image 2934"/>
                    <pic:cNvPicPr/>
                  </pic:nvPicPr>
                  <pic:blipFill>
                    <a:blip r:embed="rId452"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rFonts w:ascii="Book Antiqua"/>
          <w:b/>
          <w:color w:val="231F20"/>
        </w:rPr>
        <w:t>User Groups </w:t>
      </w:r>
      <w:r>
        <w:rPr>
          <w:color w:val="231F20"/>
        </w:rPr>
        <w:t>tabs list the user IDs and the user groups that</w:t>
      </w:r>
      <w:r>
        <w:rPr>
          <w:color w:val="231F20"/>
          <w:spacing w:val="40"/>
        </w:rPr>
        <w:t> </w:t>
      </w:r>
      <w:r>
        <w:rPr>
          <w:color w:val="231F20"/>
        </w:rPr>
        <w:t>are stored on the portal server.</w:t>
      </w:r>
    </w:p>
    <w:p>
      <w:pPr>
        <w:pStyle w:val="BodyText"/>
        <w:spacing w:line="213" w:lineRule="auto" w:before="238"/>
        <w:ind w:left="2472" w:right="258"/>
      </w:pPr>
      <w:r>
        <w:rPr>
          <w:color w:val="231F20"/>
        </w:rPr>
        <w:t>After you select a user or user group from one of the lists, you can click any of the</w:t>
      </w:r>
      <w:r>
        <w:rPr>
          <w:color w:val="231F20"/>
          <w:spacing w:val="80"/>
        </w:rPr>
        <w:t> </w:t>
      </w:r>
      <w:r>
        <w:rPr>
          <w:color w:val="231F20"/>
        </w:rPr>
        <w:t>tabs</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lower</w:t>
      </w:r>
      <w:r>
        <w:rPr>
          <w:color w:val="231F20"/>
          <w:spacing w:val="26"/>
        </w:rPr>
        <w:t> </w:t>
      </w:r>
      <w:r>
        <w:rPr>
          <w:color w:val="231F20"/>
        </w:rPr>
        <w:t>half</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window</w:t>
      </w:r>
      <w:r>
        <w:rPr>
          <w:color w:val="231F20"/>
          <w:spacing w:val="26"/>
        </w:rPr>
        <w:t> </w:t>
      </w:r>
      <w:r>
        <w:rPr>
          <w:color w:val="231F20"/>
        </w:rPr>
        <w:t>to</w:t>
      </w:r>
      <w:r>
        <w:rPr>
          <w:color w:val="231F20"/>
          <w:spacing w:val="26"/>
        </w:rPr>
        <w:t> </w:t>
      </w:r>
      <w:r>
        <w:rPr>
          <w:color w:val="231F20"/>
        </w:rPr>
        <w:t>see</w:t>
      </w:r>
      <w:r>
        <w:rPr>
          <w:color w:val="231F20"/>
          <w:spacing w:val="26"/>
        </w:rPr>
        <w:t> </w:t>
      </w:r>
      <w:r>
        <w:rPr>
          <w:color w:val="231F20"/>
        </w:rPr>
        <w:t>the</w:t>
      </w:r>
      <w:r>
        <w:rPr>
          <w:color w:val="231F20"/>
          <w:spacing w:val="26"/>
        </w:rPr>
        <w:t> </w:t>
      </w:r>
      <w:r>
        <w:rPr>
          <w:color w:val="231F20"/>
        </w:rPr>
        <w:t>what</w:t>
      </w:r>
      <w:r>
        <w:rPr>
          <w:color w:val="231F20"/>
          <w:spacing w:val="26"/>
        </w:rPr>
        <w:t> </w:t>
      </w:r>
      <w:r>
        <w:rPr>
          <w:color w:val="231F20"/>
        </w:rPr>
        <w:t>permissions</w:t>
      </w:r>
      <w:r>
        <w:rPr>
          <w:color w:val="231F20"/>
          <w:spacing w:val="26"/>
        </w:rPr>
        <w:t> </w:t>
      </w:r>
      <w:r>
        <w:rPr>
          <w:color w:val="231F20"/>
        </w:rPr>
        <w:t>have</w:t>
      </w:r>
      <w:r>
        <w:rPr>
          <w:color w:val="231F20"/>
          <w:spacing w:val="26"/>
        </w:rPr>
        <w:t> </w:t>
      </w:r>
      <w:r>
        <w:rPr>
          <w:color w:val="231F20"/>
        </w:rPr>
        <w:t>been granted and what has been assigned. User groups enable the administrator to authorize</w:t>
      </w:r>
      <w:r>
        <w:rPr>
          <w:color w:val="231F20"/>
          <w:spacing w:val="32"/>
        </w:rPr>
        <w:t> </w:t>
      </w:r>
      <w:r>
        <w:rPr>
          <w:color w:val="231F20"/>
        </w:rPr>
        <w:t>the</w:t>
      </w:r>
      <w:r>
        <w:rPr>
          <w:color w:val="231F20"/>
          <w:spacing w:val="32"/>
        </w:rPr>
        <w:t> </w:t>
      </w:r>
      <w:r>
        <w:rPr>
          <w:color w:val="231F20"/>
        </w:rPr>
        <w:t>same</w:t>
      </w:r>
      <w:r>
        <w:rPr>
          <w:color w:val="231F20"/>
          <w:spacing w:val="32"/>
        </w:rPr>
        <w:t> </w:t>
      </w:r>
      <w:r>
        <w:rPr>
          <w:color w:val="231F20"/>
        </w:rPr>
        <w:t>set</w:t>
      </w:r>
      <w:r>
        <w:rPr>
          <w:color w:val="231F20"/>
          <w:spacing w:val="32"/>
        </w:rPr>
        <w:t> </w:t>
      </w:r>
      <w:r>
        <w:rPr>
          <w:color w:val="231F20"/>
        </w:rPr>
        <w:t>of</w:t>
      </w:r>
      <w:r>
        <w:rPr>
          <w:color w:val="231F20"/>
          <w:spacing w:val="32"/>
        </w:rPr>
        <w:t> </w:t>
      </w:r>
      <w:r>
        <w:rPr>
          <w:color w:val="231F20"/>
        </w:rPr>
        <w:t>functional</w:t>
      </w:r>
      <w:r>
        <w:rPr>
          <w:color w:val="231F20"/>
          <w:spacing w:val="32"/>
        </w:rPr>
        <w:t> </w:t>
      </w:r>
      <w:r>
        <w:rPr>
          <w:color w:val="231F20"/>
        </w:rPr>
        <w:t>permissions,</w:t>
      </w:r>
      <w:r>
        <w:rPr>
          <w:color w:val="231F20"/>
          <w:spacing w:val="32"/>
        </w:rPr>
        <w:t> </w:t>
      </w:r>
      <w:r>
        <w:rPr>
          <w:color w:val="231F20"/>
        </w:rPr>
        <w:t>applications,</w:t>
      </w:r>
      <w:r>
        <w:rPr>
          <w:color w:val="231F20"/>
          <w:spacing w:val="32"/>
        </w:rPr>
        <w:t> </w:t>
      </w:r>
      <w:r>
        <w:rPr>
          <w:color w:val="231F20"/>
        </w:rPr>
        <w:t>and</w:t>
      </w:r>
      <w:r>
        <w:rPr>
          <w:color w:val="231F20"/>
          <w:spacing w:val="32"/>
        </w:rPr>
        <w:t> </w:t>
      </w:r>
      <w:r>
        <w:rPr>
          <w:color w:val="231F20"/>
        </w:rPr>
        <w:t>Navigator views</w:t>
      </w:r>
      <w:r>
        <w:rPr>
          <w:color w:val="231F20"/>
          <w:spacing w:val="28"/>
        </w:rPr>
        <w:t> </w:t>
      </w:r>
      <w:r>
        <w:rPr>
          <w:color w:val="231F20"/>
        </w:rPr>
        <w:t>to</w:t>
      </w:r>
      <w:r>
        <w:rPr>
          <w:color w:val="231F20"/>
          <w:spacing w:val="28"/>
        </w:rPr>
        <w:t> </w:t>
      </w:r>
      <w:r>
        <w:rPr>
          <w:color w:val="231F20"/>
        </w:rPr>
        <w:t>multiple</w:t>
      </w:r>
      <w:r>
        <w:rPr>
          <w:color w:val="231F20"/>
          <w:spacing w:val="28"/>
        </w:rPr>
        <w:t> </w:t>
      </w:r>
      <w:r>
        <w:rPr>
          <w:color w:val="231F20"/>
        </w:rPr>
        <w:t>users</w:t>
      </w:r>
      <w:r>
        <w:rPr>
          <w:color w:val="231F20"/>
          <w:spacing w:val="28"/>
        </w:rPr>
        <w:t> </w:t>
      </w:r>
      <w:r>
        <w:rPr>
          <w:color w:val="231F20"/>
        </w:rPr>
        <w:t>at</w:t>
      </w:r>
      <w:r>
        <w:rPr>
          <w:color w:val="231F20"/>
          <w:spacing w:val="28"/>
        </w:rPr>
        <w:t> </w:t>
      </w:r>
      <w:r>
        <w:rPr>
          <w:color w:val="231F20"/>
        </w:rPr>
        <w:t>one</w:t>
      </w:r>
      <w:r>
        <w:rPr>
          <w:color w:val="231F20"/>
          <w:spacing w:val="28"/>
        </w:rPr>
        <w:t> </w:t>
      </w:r>
      <w:r>
        <w:rPr>
          <w:color w:val="231F20"/>
        </w:rPr>
        <w:t>time.</w:t>
      </w:r>
      <w:r>
        <w:rPr>
          <w:color w:val="231F20"/>
          <w:spacing w:val="28"/>
        </w:rPr>
        <w:t> </w:t>
      </w:r>
      <w:r>
        <w:rPr>
          <w:color w:val="231F20"/>
        </w:rPr>
        <w:t>Management</w:t>
      </w:r>
      <w:r>
        <w:rPr>
          <w:color w:val="231F20"/>
          <w:spacing w:val="28"/>
        </w:rPr>
        <w:t> </w:t>
      </w:r>
      <w:r>
        <w:rPr>
          <w:color w:val="231F20"/>
        </w:rPr>
        <w:t>of</w:t>
      </w:r>
      <w:r>
        <w:rPr>
          <w:color w:val="231F20"/>
          <w:spacing w:val="28"/>
        </w:rPr>
        <w:t> </w:t>
      </w:r>
      <w:r>
        <w:rPr>
          <w:color w:val="231F20"/>
        </w:rPr>
        <w:t>user</w:t>
      </w:r>
      <w:r>
        <w:rPr>
          <w:color w:val="231F20"/>
          <w:spacing w:val="28"/>
        </w:rPr>
        <w:t> </w:t>
      </w:r>
      <w:r>
        <w:rPr>
          <w:color w:val="231F20"/>
        </w:rPr>
        <w:t>authorization</w:t>
      </w:r>
      <w:r>
        <w:rPr>
          <w:color w:val="231F20"/>
          <w:spacing w:val="28"/>
        </w:rPr>
        <w:t> </w:t>
      </w:r>
      <w:r>
        <w:rPr>
          <w:color w:val="231F20"/>
        </w:rPr>
        <w:t>can</w:t>
      </w:r>
      <w:r>
        <w:rPr>
          <w:color w:val="231F20"/>
          <w:spacing w:val="28"/>
        </w:rPr>
        <w:t> </w:t>
      </w:r>
      <w:r>
        <w:rPr>
          <w:color w:val="231F20"/>
        </w:rPr>
        <w:t>be done by groups as well as individually. A user can be associated with one or more user groups; authorization by group will be by inclusion and not exclusion (nested groups are supported). Authorization will also be by global authority and by association with managed system and managed system groups. This security is </w:t>
      </w:r>
      <w:r>
        <w:rPr>
          <w:color w:val="231F20"/>
        </w:rPr>
        <w:t>not dependent on external authorization.</w:t>
      </w:r>
    </w:p>
    <w:p>
      <w:pPr>
        <w:pStyle w:val="Heading3"/>
        <w:spacing w:before="212"/>
        <w:ind w:left="1574"/>
      </w:pPr>
      <w:bookmarkStart w:name="Permissions" w:id="579"/>
      <w:bookmarkEnd w:id="579"/>
      <w:r>
        <w:rPr>
          <w:b w:val="0"/>
        </w:rPr>
      </w:r>
      <w:r>
        <w:rPr>
          <w:color w:val="231F20"/>
          <w:spacing w:val="-2"/>
        </w:rPr>
        <w:t>Permissions</w:t>
      </w:r>
    </w:p>
    <w:p>
      <w:pPr>
        <w:pStyle w:val="BodyText"/>
        <w:spacing w:line="213" w:lineRule="auto" w:before="58"/>
        <w:ind w:left="2472" w:right="545"/>
      </w:pPr>
      <w:r>
        <w:rPr>
          <w:color w:val="231F20"/>
        </w:rPr>
        <w:t>You can authorize the same set of functional permissions multiple users, </w:t>
      </w:r>
      <w:r>
        <w:rPr>
          <w:color w:val="231F20"/>
        </w:rPr>
        <w:t>user group or each user ID at one time.</w:t>
      </w:r>
    </w:p>
    <w:p>
      <w:pPr>
        <w:pStyle w:val="BodyText"/>
        <w:spacing w:line="213" w:lineRule="auto" w:before="238"/>
        <w:ind w:left="2472" w:right="545"/>
      </w:pPr>
      <w:r>
        <w:rPr>
          <w:color w:val="231F20"/>
        </w:rPr>
        <w:t>The following features are enabled or disabled individually for each user ID </w:t>
      </w:r>
      <w:r>
        <w:rPr>
          <w:color w:val="231F20"/>
        </w:rPr>
        <w:t>or user group.</w:t>
      </w:r>
    </w:p>
    <w:p>
      <w:pPr>
        <w:pStyle w:val="Heading6"/>
        <w:spacing w:line="240" w:lineRule="auto"/>
      </w:pPr>
      <w:r>
        <w:rPr>
          <w:color w:val="231F20"/>
          <w:spacing w:val="-2"/>
        </w:rPr>
        <w:t>Action</w:t>
      </w:r>
    </w:p>
    <w:p>
      <w:pPr>
        <w:pStyle w:val="BodyText"/>
        <w:spacing w:line="213" w:lineRule="auto"/>
        <w:ind w:left="3190" w:right="545"/>
      </w:pPr>
      <w:r>
        <w:rPr>
          <w:position w:val="-3"/>
        </w:rPr>
        <w:drawing>
          <wp:inline distT="0" distB="0" distL="0" distR="0">
            <wp:extent cx="106135" cy="106135"/>
            <wp:effectExtent l="0" t="0" r="0" b="0"/>
            <wp:docPr id="2935" name="Image 2935"/>
            <wp:cNvGraphicFramePr>
              <a:graphicFrameLocks/>
            </wp:cNvGraphicFramePr>
            <a:graphic>
              <a:graphicData uri="http://schemas.openxmlformats.org/drawingml/2006/picture">
                <pic:pic>
                  <pic:nvPicPr>
                    <pic:cNvPr id="2935" name="Image 2935"/>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see and run a take action command from the</w:t>
      </w:r>
      <w:r>
        <w:rPr>
          <w:color w:val="231F20"/>
          <w:spacing w:val="40"/>
        </w:rPr>
        <w:t> </w:t>
      </w:r>
      <w:r>
        <w:rPr>
          <w:color w:val="231F20"/>
        </w:rPr>
        <w:t>available list of commands in the Take Action view and in the pop-up menu for the Navigator item.</w:t>
      </w:r>
    </w:p>
    <w:p>
      <w:pPr>
        <w:pStyle w:val="BodyText"/>
        <w:spacing w:line="218" w:lineRule="auto" w:before="113"/>
        <w:ind w:left="3190" w:right="545"/>
      </w:pPr>
      <w:r>
        <w:rPr>
          <w:position w:val="-3"/>
        </w:rPr>
        <w:drawing>
          <wp:inline distT="0" distB="0" distL="0" distR="0">
            <wp:extent cx="106135" cy="106135"/>
            <wp:effectExtent l="0" t="0" r="0" b="0"/>
            <wp:docPr id="2936" name="Image 2936"/>
            <wp:cNvGraphicFramePr>
              <a:graphicFrameLocks/>
            </wp:cNvGraphicFramePr>
            <a:graphic>
              <a:graphicData uri="http://schemas.openxmlformats.org/drawingml/2006/picture">
                <pic:pic>
                  <pic:nvPicPr>
                    <pic:cNvPr id="2936" name="Image 2936"/>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create and save Take Action commands. </w:t>
      </w:r>
      <w:r>
        <w:rPr>
          <w:color w:val="231F20"/>
          <w:position w:val="1"/>
        </w:rPr>
        <w:t>When</w:t>
      </w:r>
      <w:r>
        <w:rPr>
          <w:color w:val="231F20"/>
          <w:spacing w:val="11"/>
          <w:position w:val="1"/>
        </w:rPr>
        <w:t> </w:t>
      </w:r>
      <w:r>
        <w:rPr>
          <w:color w:val="231F20"/>
          <w:position w:val="1"/>
        </w:rPr>
        <w:t>enabled,</w:t>
      </w:r>
      <w:r>
        <w:rPr>
          <w:color w:val="231F20"/>
          <w:spacing w:val="30"/>
          <w:position w:val="1"/>
        </w:rPr>
        <w:t> </w:t>
      </w:r>
      <w:r>
        <w:rPr>
          <w:color w:val="231F20"/>
          <w:spacing w:val="-14"/>
        </w:rPr>
        <w:drawing>
          <wp:inline distT="0" distB="0" distL="0" distR="0">
            <wp:extent cx="76200" cy="95250"/>
            <wp:effectExtent l="0" t="0" r="0" b="0"/>
            <wp:docPr id="2937" name="Image 2937"/>
            <wp:cNvGraphicFramePr>
              <a:graphicFrameLocks/>
            </wp:cNvGraphicFramePr>
            <a:graphic>
              <a:graphicData uri="http://schemas.openxmlformats.org/drawingml/2006/picture">
                <pic:pic>
                  <pic:nvPicPr>
                    <pic:cNvPr id="2937" name="Image 2937"/>
                    <pic:cNvPicPr/>
                  </pic:nvPicPr>
                  <pic:blipFill>
                    <a:blip r:embed="rId54" cstate="print"/>
                    <a:stretch>
                      <a:fillRect/>
                    </a:stretch>
                  </pic:blipFill>
                  <pic:spPr>
                    <a:xfrm>
                      <a:off x="0" y="0"/>
                      <a:ext cx="76200" cy="95250"/>
                    </a:xfrm>
                    <a:prstGeom prst="rect">
                      <a:avLst/>
                    </a:prstGeom>
                  </pic:spPr>
                </pic:pic>
              </a:graphicData>
            </a:graphic>
          </wp:inline>
        </w:drawing>
      </w:r>
      <w:r>
        <w:rPr>
          <w:color w:val="231F20"/>
          <w:spacing w:val="-14"/>
        </w:rPr>
      </w:r>
      <w:r>
        <w:rPr>
          <w:rFonts w:ascii="Times New Roman"/>
          <w:color w:val="231F20"/>
          <w:spacing w:val="27"/>
          <w:position w:val="1"/>
        </w:rPr>
        <w:t> </w:t>
      </w:r>
      <w:r>
        <w:rPr>
          <w:rFonts w:ascii="Book Antiqua"/>
          <w:b/>
          <w:color w:val="231F20"/>
          <w:position w:val="1"/>
        </w:rPr>
        <w:t>Edit</w:t>
      </w:r>
      <w:r>
        <w:rPr>
          <w:rFonts w:ascii="Book Antiqua"/>
          <w:b/>
          <w:color w:val="231F20"/>
          <w:spacing w:val="11"/>
          <w:position w:val="1"/>
        </w:rPr>
        <w:t> </w:t>
      </w:r>
      <w:r>
        <w:rPr>
          <w:rFonts w:ascii="Book Antiqua"/>
          <w:b/>
          <w:color w:val="231F20"/>
          <w:position w:val="1"/>
        </w:rPr>
        <w:t>Action</w:t>
      </w:r>
      <w:r>
        <w:rPr>
          <w:rFonts w:ascii="Book Antiqua"/>
          <w:b/>
          <w:color w:val="231F20"/>
          <w:spacing w:val="11"/>
          <w:position w:val="1"/>
        </w:rPr>
        <w:t> </w:t>
      </w:r>
      <w:r>
        <w:rPr>
          <w:color w:val="231F20"/>
          <w:position w:val="1"/>
        </w:rPr>
        <w:t>appears</w:t>
      </w:r>
      <w:r>
        <w:rPr>
          <w:color w:val="231F20"/>
          <w:spacing w:val="12"/>
          <w:position w:val="1"/>
        </w:rPr>
        <w:t> </w:t>
      </w:r>
      <w:r>
        <w:rPr>
          <w:color w:val="231F20"/>
          <w:position w:val="1"/>
        </w:rPr>
        <w:t>in</w:t>
      </w:r>
      <w:r>
        <w:rPr>
          <w:color w:val="231F20"/>
          <w:spacing w:val="11"/>
          <w:position w:val="1"/>
        </w:rPr>
        <w:t> </w:t>
      </w:r>
      <w:r>
        <w:rPr>
          <w:color w:val="231F20"/>
          <w:position w:val="1"/>
        </w:rPr>
        <w:t>the</w:t>
      </w:r>
      <w:r>
        <w:rPr>
          <w:color w:val="231F20"/>
          <w:spacing w:val="11"/>
          <w:position w:val="1"/>
        </w:rPr>
        <w:t> </w:t>
      </w:r>
      <w:r>
        <w:rPr>
          <w:color w:val="231F20"/>
          <w:position w:val="1"/>
        </w:rPr>
        <w:t>Navigator</w:t>
      </w:r>
      <w:r>
        <w:rPr>
          <w:color w:val="231F20"/>
          <w:spacing w:val="11"/>
          <w:position w:val="1"/>
        </w:rPr>
        <w:t> </w:t>
      </w:r>
      <w:r>
        <w:rPr>
          <w:color w:val="231F20"/>
          <w:position w:val="1"/>
        </w:rPr>
        <w:t>pop-up</w:t>
      </w:r>
      <w:r>
        <w:rPr>
          <w:color w:val="231F20"/>
          <w:spacing w:val="12"/>
          <w:position w:val="1"/>
        </w:rPr>
        <w:t> </w:t>
      </w:r>
      <w:r>
        <w:rPr>
          <w:color w:val="231F20"/>
          <w:spacing w:val="-2"/>
          <w:position w:val="1"/>
        </w:rPr>
        <w:t>menu.</w:t>
      </w:r>
    </w:p>
    <w:p>
      <w:pPr>
        <w:pStyle w:val="BodyText"/>
        <w:spacing w:line="213" w:lineRule="auto" w:before="112"/>
        <w:ind w:left="3190" w:right="185"/>
      </w:pPr>
      <w:r>
        <w:rPr>
          <w:color w:val="231F20"/>
        </w:rPr>
        <w:t>When issuing a take action command, you must be authorized on the relevant system for the requested command. For example, to issue a TSO command,</w:t>
      </w:r>
      <w:r>
        <w:rPr>
          <w:color w:val="231F20"/>
          <w:spacing w:val="22"/>
        </w:rPr>
        <w:t> </w:t>
      </w:r>
      <w:r>
        <w:rPr>
          <w:color w:val="231F20"/>
        </w:rPr>
        <w:t>your</w:t>
      </w:r>
      <w:r>
        <w:rPr>
          <w:color w:val="231F20"/>
          <w:spacing w:val="22"/>
        </w:rPr>
        <w:t> </w:t>
      </w:r>
      <w:r>
        <w:rPr>
          <w:color w:val="231F20"/>
        </w:rPr>
        <w:t>user</w:t>
      </w:r>
      <w:r>
        <w:rPr>
          <w:color w:val="231F20"/>
          <w:spacing w:val="22"/>
        </w:rPr>
        <w:t> </w:t>
      </w:r>
      <w:r>
        <w:rPr>
          <w:color w:val="231F20"/>
        </w:rPr>
        <w:t>ID</w:t>
      </w:r>
      <w:r>
        <w:rPr>
          <w:color w:val="231F20"/>
          <w:spacing w:val="22"/>
        </w:rPr>
        <w:t> </w:t>
      </w:r>
      <w:r>
        <w:rPr>
          <w:color w:val="231F20"/>
        </w:rPr>
        <w:t>must</w:t>
      </w:r>
      <w:r>
        <w:rPr>
          <w:color w:val="231F20"/>
          <w:spacing w:val="22"/>
        </w:rPr>
        <w:t> </w:t>
      </w:r>
      <w:r>
        <w:rPr>
          <w:color w:val="231F20"/>
        </w:rPr>
        <w:t>be</w:t>
      </w:r>
      <w:r>
        <w:rPr>
          <w:color w:val="231F20"/>
          <w:spacing w:val="22"/>
        </w:rPr>
        <w:t> </w:t>
      </w:r>
      <w:r>
        <w:rPr>
          <w:color w:val="231F20"/>
        </w:rPr>
        <w:t>both</w:t>
      </w:r>
      <w:r>
        <w:rPr>
          <w:color w:val="231F20"/>
          <w:spacing w:val="22"/>
        </w:rPr>
        <w:t> </w:t>
      </w:r>
      <w:r>
        <w:rPr>
          <w:color w:val="231F20"/>
        </w:rPr>
        <w:t>a</w:t>
      </w:r>
      <w:r>
        <w:rPr>
          <w:color w:val="231F20"/>
          <w:spacing w:val="22"/>
        </w:rPr>
        <w:t> </w:t>
      </w:r>
      <w:r>
        <w:rPr>
          <w:color w:val="231F20"/>
        </w:rPr>
        <w:t>valid</w:t>
      </w:r>
      <w:r>
        <w:rPr>
          <w:color w:val="231F20"/>
          <w:spacing w:val="22"/>
        </w:rPr>
        <w:t> </w:t>
      </w:r>
      <w:r>
        <w:rPr>
          <w:color w:val="231F20"/>
        </w:rPr>
        <w:t>TSO</w:t>
      </w:r>
      <w:r>
        <w:rPr>
          <w:color w:val="231F20"/>
          <w:spacing w:val="22"/>
        </w:rPr>
        <w:t> </w:t>
      </w:r>
      <w:r>
        <w:rPr>
          <w:color w:val="231F20"/>
        </w:rPr>
        <w:t>ID</w:t>
      </w:r>
      <w:r>
        <w:rPr>
          <w:color w:val="231F20"/>
          <w:spacing w:val="22"/>
        </w:rPr>
        <w:t> </w:t>
      </w:r>
      <w:r>
        <w:rPr>
          <w:color w:val="231F20"/>
        </w:rPr>
        <w:t>and</w:t>
      </w:r>
      <w:r>
        <w:rPr>
          <w:color w:val="231F20"/>
          <w:spacing w:val="22"/>
        </w:rPr>
        <w:t> </w:t>
      </w:r>
      <w:r>
        <w:rPr>
          <w:color w:val="231F20"/>
        </w:rPr>
        <w:t>a</w:t>
      </w:r>
      <w:r>
        <w:rPr>
          <w:color w:val="231F20"/>
          <w:spacing w:val="22"/>
        </w:rPr>
        <w:t> </w:t>
      </w:r>
      <w:r>
        <w:rPr>
          <w:color w:val="231F20"/>
        </w:rPr>
        <w:t>valid</w:t>
      </w:r>
      <w:r>
        <w:rPr>
          <w:color w:val="231F20"/>
          <w:spacing w:val="22"/>
        </w:rPr>
        <w:t> </w:t>
      </w:r>
      <w:r>
        <w:rPr>
          <w:color w:val="231F20"/>
        </w:rPr>
        <w:t>user</w:t>
      </w:r>
      <w:r>
        <w:rPr>
          <w:color w:val="231F20"/>
          <w:spacing w:val="22"/>
        </w:rPr>
        <w:t> </w:t>
      </w:r>
      <w:r>
        <w:rPr>
          <w:color w:val="231F20"/>
        </w:rPr>
        <w:t>ID on the portal server. The user ID must be typed with the same letter </w:t>
      </w:r>
      <w:r>
        <w:rPr>
          <w:color w:val="231F20"/>
        </w:rPr>
        <w:t>casing exactly as typed when logging on to the portal server (with the same letter </w:t>
      </w:r>
      <w:r>
        <w:rPr>
          <w:color w:val="231F20"/>
          <w:spacing w:val="-2"/>
        </w:rPr>
        <w:t>casing).</w:t>
      </w:r>
    </w:p>
    <w:p>
      <w:pPr>
        <w:pStyle w:val="Heading6"/>
        <w:spacing w:before="115"/>
      </w:pPr>
      <w:r>
        <w:rPr>
          <w:color w:val="231F20"/>
        </w:rPr>
        <w:t>Agent</w:t>
      </w:r>
      <w:r>
        <w:rPr>
          <w:color w:val="231F20"/>
          <w:spacing w:val="10"/>
        </w:rPr>
        <w:t> </w:t>
      </w:r>
      <w:r>
        <w:rPr>
          <w:color w:val="231F20"/>
          <w:spacing w:val="-2"/>
        </w:rPr>
        <w:t>Management</w:t>
      </w:r>
    </w:p>
    <w:p>
      <w:pPr>
        <w:pStyle w:val="BodyText"/>
        <w:spacing w:line="213" w:lineRule="auto" w:before="11"/>
        <w:ind w:left="3190" w:right="385"/>
      </w:pPr>
      <w:r>
        <w:rPr>
          <w:position w:val="-3"/>
        </w:rPr>
        <w:drawing>
          <wp:inline distT="0" distB="0" distL="0" distR="0">
            <wp:extent cx="106135" cy="106135"/>
            <wp:effectExtent l="0" t="0" r="0" b="0"/>
            <wp:docPr id="2938" name="Image 2938"/>
            <wp:cNvGraphicFramePr>
              <a:graphicFrameLocks/>
            </wp:cNvGraphicFramePr>
            <a:graphic>
              <a:graphicData uri="http://schemas.openxmlformats.org/drawingml/2006/picture">
                <pic:pic>
                  <pic:nvPicPr>
                    <pic:cNvPr id="2938" name="Image 2938"/>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Manage </w:t>
      </w:r>
      <w:r>
        <w:rPr>
          <w:color w:val="231F20"/>
        </w:rPr>
        <w:t>allows the user to perform agent deployment throughout </w:t>
      </w:r>
      <w:r>
        <w:rPr>
          <w:color w:val="231F20"/>
        </w:rPr>
        <w:t>the managed network. This includes installing a monitored product, keeping the software revisions up-to-date, and removing an agent from the managed network. This permission also requires Action - Modify to be </w:t>
      </w:r>
      <w:r>
        <w:rPr>
          <w:color w:val="231F20"/>
          <w:spacing w:val="-2"/>
        </w:rPr>
        <w:t>enabled.</w:t>
      </w:r>
    </w:p>
    <w:p>
      <w:pPr>
        <w:pStyle w:val="BodyText"/>
        <w:spacing w:line="213" w:lineRule="auto" w:before="116"/>
        <w:ind w:left="3190" w:right="545"/>
      </w:pPr>
      <w:r>
        <w:rPr>
          <w:position w:val="-3"/>
        </w:rPr>
        <w:drawing>
          <wp:inline distT="0" distB="0" distL="0" distR="0">
            <wp:extent cx="106135" cy="106135"/>
            <wp:effectExtent l="0" t="0" r="0" b="0"/>
            <wp:docPr id="2939" name="Image 2939"/>
            <wp:cNvGraphicFramePr>
              <a:graphicFrameLocks/>
            </wp:cNvGraphicFramePr>
            <a:graphic>
              <a:graphicData uri="http://schemas.openxmlformats.org/drawingml/2006/picture">
                <pic:pic>
                  <pic:nvPicPr>
                    <pic:cNvPr id="2939" name="Image 2939"/>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Start/Stop </w:t>
      </w:r>
      <w:r>
        <w:rPr>
          <w:color w:val="231F20"/>
        </w:rPr>
        <w:t>allows the user to start a monitoring agent or to stop </w:t>
      </w:r>
      <w:r>
        <w:rPr>
          <w:color w:val="231F20"/>
        </w:rPr>
        <w:t>it </w:t>
      </w:r>
      <w:r>
        <w:rPr>
          <w:color w:val="231F20"/>
          <w:spacing w:val="-2"/>
        </w:rPr>
        <w:t>running.</w:t>
      </w:r>
    </w:p>
    <w:p>
      <w:pPr>
        <w:spacing w:after="0" w:line="213" w:lineRule="auto"/>
        <w:sectPr>
          <w:pgSz w:w="12240" w:h="15840"/>
          <w:pgMar w:header="0" w:footer="736" w:top="1180" w:bottom="920" w:left="1000" w:right="1060"/>
        </w:sectPr>
      </w:pPr>
    </w:p>
    <w:p>
      <w:pPr>
        <w:pStyle w:val="Heading6"/>
        <w:spacing w:before="83"/>
        <w:ind w:left="2232"/>
      </w:pPr>
      <w:r>
        <w:rPr>
          <w:color w:val="231F20"/>
        </w:rPr>
        <w:t>Custom</w:t>
      </w:r>
      <w:r>
        <w:rPr>
          <w:color w:val="231F20"/>
          <w:spacing w:val="7"/>
        </w:rPr>
        <w:t> </w:t>
      </w:r>
      <w:r>
        <w:rPr>
          <w:color w:val="231F20"/>
        </w:rPr>
        <w:t>Navigator</w:t>
      </w:r>
      <w:r>
        <w:rPr>
          <w:color w:val="231F20"/>
          <w:spacing w:val="8"/>
        </w:rPr>
        <w:t> </w:t>
      </w:r>
      <w:r>
        <w:rPr>
          <w:color w:val="231F20"/>
          <w:spacing w:val="-4"/>
        </w:rPr>
        <w:t>Views</w:t>
      </w:r>
    </w:p>
    <w:p>
      <w:pPr>
        <w:pStyle w:val="BodyText"/>
        <w:spacing w:line="213" w:lineRule="auto" w:before="12"/>
        <w:ind w:left="2951" w:right="636"/>
      </w:pPr>
      <w:r>
        <w:rPr>
          <w:position w:val="-3"/>
        </w:rPr>
        <w:drawing>
          <wp:inline distT="0" distB="0" distL="0" distR="0">
            <wp:extent cx="106135" cy="106135"/>
            <wp:effectExtent l="0" t="0" r="0" b="0"/>
            <wp:docPr id="2940" name="Image 2940"/>
            <wp:cNvGraphicFramePr>
              <a:graphicFrameLocks/>
            </wp:cNvGraphicFramePr>
            <a:graphic>
              <a:graphicData uri="http://schemas.openxmlformats.org/drawingml/2006/picture">
                <pic:pic>
                  <pic:nvPicPr>
                    <pic:cNvPr id="2940" name="Image 2940"/>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create new Navigator views, edit and </w:t>
      </w:r>
      <w:r>
        <w:rPr>
          <w:color w:val="231F20"/>
        </w:rPr>
        <w:t>delete them. With Modify cleared, the user will not see</w:t>
      </w:r>
      <w:r>
        <w:rPr>
          <w:color w:val="231F20"/>
          <w:spacing w:val="24"/>
        </w:rPr>
        <w:t> </w:t>
      </w:r>
      <w:r>
        <w:rPr>
          <w:color w:val="231F20"/>
          <w:spacing w:val="-25"/>
          <w:position w:val="-1"/>
        </w:rPr>
        <w:drawing>
          <wp:inline distT="0" distB="0" distL="0" distR="0">
            <wp:extent cx="95250" cy="101600"/>
            <wp:effectExtent l="0" t="0" r="0" b="0"/>
            <wp:docPr id="2941" name="Image 2941"/>
            <wp:cNvGraphicFramePr>
              <a:graphicFrameLocks/>
            </wp:cNvGraphicFramePr>
            <a:graphic>
              <a:graphicData uri="http://schemas.openxmlformats.org/drawingml/2006/picture">
                <pic:pic>
                  <pic:nvPicPr>
                    <pic:cNvPr id="2941" name="Image 2941"/>
                    <pic:cNvPicPr/>
                  </pic:nvPicPr>
                  <pic:blipFill>
                    <a:blip r:embed="rId74"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Edit Navigator View</w:t>
      </w:r>
      <w:r>
        <w:rPr>
          <w:rFonts w:ascii="Book Antiqua"/>
          <w:b/>
          <w:color w:val="231F20"/>
          <w:spacing w:val="40"/>
        </w:rPr>
        <w:t> </w:t>
      </w:r>
      <w:r>
        <w:rPr>
          <w:color w:val="231F20"/>
        </w:rPr>
        <w:t>in the Navigator toolbar.</w:t>
      </w:r>
    </w:p>
    <w:p>
      <w:pPr>
        <w:pStyle w:val="BodyText"/>
        <w:spacing w:line="213" w:lineRule="auto" w:before="117"/>
        <w:ind w:left="2951" w:right="545" w:hanging="719"/>
      </w:pPr>
      <w:r>
        <w:rPr>
          <w:rFonts w:ascii="Book Antiqua"/>
          <w:b/>
          <w:color w:val="231F20"/>
        </w:rPr>
        <w:t>Event</w:t>
      </w:r>
      <w:r>
        <w:rPr>
          <w:rFonts w:ascii="Book Antiqua"/>
          <w:b/>
          <w:color w:val="231F20"/>
          <w:spacing w:val="80"/>
          <w:w w:val="150"/>
        </w:rPr>
        <w:t> </w:t>
      </w:r>
      <w:r>
        <w:rPr>
          <w:rFonts w:ascii="Book Antiqua"/>
          <w:b/>
          <w:color w:val="231F20"/>
          <w:spacing w:val="-3"/>
          <w:position w:val="-3"/>
        </w:rPr>
        <w:drawing>
          <wp:inline distT="0" distB="0" distL="0" distR="0">
            <wp:extent cx="106135" cy="106135"/>
            <wp:effectExtent l="0" t="0" r="0" b="0"/>
            <wp:docPr id="2942" name="Image 2942"/>
            <wp:cNvGraphicFramePr>
              <a:graphicFrameLocks/>
            </wp:cNvGraphicFramePr>
            <a:graphic>
              <a:graphicData uri="http://schemas.openxmlformats.org/drawingml/2006/picture">
                <pic:pic>
                  <pic:nvPicPr>
                    <pic:cNvPr id="2942" name="Image 2942"/>
                    <pic:cNvPicPr/>
                  </pic:nvPicPr>
                  <pic:blipFill>
                    <a:blip r:embed="rId87" cstate="print"/>
                    <a:stretch>
                      <a:fillRect/>
                    </a:stretch>
                  </pic:blipFill>
                  <pic:spPr>
                    <a:xfrm>
                      <a:off x="0" y="0"/>
                      <a:ext cx="106135" cy="106135"/>
                    </a:xfrm>
                    <a:prstGeom prst="rect">
                      <a:avLst/>
                    </a:prstGeom>
                  </pic:spPr>
                </pic:pic>
              </a:graphicData>
            </a:graphic>
          </wp:inline>
        </w:drawing>
      </w:r>
      <w:r>
        <w:rPr>
          <w:rFonts w:ascii="Book Antiqua"/>
          <w:b/>
          <w:color w:val="231F20"/>
          <w:spacing w:val="-3"/>
          <w:position w:val="-3"/>
        </w:rPr>
      </w:r>
      <w:r>
        <w:rPr>
          <w:rFonts w:ascii="Times New Roman"/>
          <w:color w:val="231F20"/>
          <w:spacing w:val="76"/>
        </w:rPr>
        <w:t> </w:t>
      </w:r>
      <w:r>
        <w:rPr>
          <w:rFonts w:ascii="Book Antiqua"/>
          <w:b/>
          <w:color w:val="231F20"/>
        </w:rPr>
        <w:t>Attach </w:t>
      </w:r>
      <w:r>
        <w:rPr>
          <w:color w:val="231F20"/>
        </w:rPr>
        <w:t>allows the user to attach a file (such as detailed notes) to </w:t>
      </w:r>
      <w:r>
        <w:rPr>
          <w:color w:val="231F20"/>
        </w:rPr>
        <w:t>the</w:t>
      </w:r>
      <w:r>
        <w:rPr>
          <w:color w:val="231F20"/>
          <w:spacing w:val="40"/>
        </w:rPr>
        <w:t> </w:t>
      </w:r>
      <w:r>
        <w:rPr>
          <w:color w:val="231F20"/>
        </w:rPr>
        <w:t>situation event. This permission requires that the user also have the Acknowledge and View permissions.</w:t>
      </w:r>
    </w:p>
    <w:p>
      <w:pPr>
        <w:pStyle w:val="BodyText"/>
        <w:spacing w:line="213" w:lineRule="auto" w:before="118"/>
        <w:ind w:left="2951" w:right="379"/>
      </w:pPr>
      <w:r>
        <w:rPr>
          <w:position w:val="-3"/>
        </w:rPr>
        <w:drawing>
          <wp:inline distT="0" distB="0" distL="0" distR="0">
            <wp:extent cx="106135" cy="106135"/>
            <wp:effectExtent l="0" t="0" r="0" b="0"/>
            <wp:docPr id="2943" name="Image 2943"/>
            <wp:cNvGraphicFramePr>
              <a:graphicFrameLocks/>
            </wp:cNvGraphicFramePr>
            <a:graphic>
              <a:graphicData uri="http://schemas.openxmlformats.org/drawingml/2006/picture">
                <pic:pic>
                  <pic:nvPicPr>
                    <pic:cNvPr id="2943" name="Image 2943"/>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Close </w:t>
      </w:r>
      <w:r>
        <w:rPr>
          <w:color w:val="231F20"/>
        </w:rPr>
        <w:t>lets you close a pure event or an event that was open before a</w:t>
      </w:r>
      <w:r>
        <w:rPr>
          <w:color w:val="231F20"/>
          <w:spacing w:val="40"/>
        </w:rPr>
        <w:t> </w:t>
      </w:r>
      <w:r>
        <w:rPr>
          <w:color w:val="231F20"/>
        </w:rPr>
        <w:t>situation was stopped manually. When it is enabled, </w:t>
      </w:r>
      <w:r>
        <w:rPr>
          <w:color w:val="231F20"/>
          <w:spacing w:val="-25"/>
          <w:position w:val="-1"/>
        </w:rPr>
        <w:drawing>
          <wp:inline distT="0" distB="0" distL="0" distR="0">
            <wp:extent cx="95250" cy="95250"/>
            <wp:effectExtent l="0" t="0" r="0" b="0"/>
            <wp:docPr id="2944" name="Image 2944"/>
            <wp:cNvGraphicFramePr>
              <a:graphicFrameLocks/>
            </wp:cNvGraphicFramePr>
            <a:graphic>
              <a:graphicData uri="http://schemas.openxmlformats.org/drawingml/2006/picture">
                <pic:pic>
                  <pic:nvPicPr>
                    <pic:cNvPr id="2944" name="Image 2944"/>
                    <pic:cNvPicPr/>
                  </pic:nvPicPr>
                  <pic:blipFill>
                    <a:blip r:embed="rId168"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Close Situation Event </w:t>
      </w:r>
      <w:r>
        <w:rPr>
          <w:color w:val="231F20"/>
        </w:rPr>
        <w:t>appears in the pop-up menu of the situation event flyover list, </w:t>
      </w:r>
      <w:r>
        <w:rPr>
          <w:color w:val="231F20"/>
        </w:rPr>
        <w:t>event Navigator</w:t>
      </w:r>
      <w:r>
        <w:rPr>
          <w:color w:val="231F20"/>
          <w:spacing w:val="22"/>
        </w:rPr>
        <w:t> </w:t>
      </w:r>
      <w:r>
        <w:rPr>
          <w:color w:val="231F20"/>
        </w:rPr>
        <w:t>item,</w:t>
      </w:r>
      <w:r>
        <w:rPr>
          <w:color w:val="231F20"/>
          <w:spacing w:val="22"/>
        </w:rPr>
        <w:t> </w:t>
      </w:r>
      <w:r>
        <w:rPr>
          <w:color w:val="231F20"/>
        </w:rPr>
        <w:t>and</w:t>
      </w:r>
      <w:r>
        <w:rPr>
          <w:color w:val="231F20"/>
          <w:spacing w:val="22"/>
        </w:rPr>
        <w:t> </w:t>
      </w:r>
      <w:r>
        <w:rPr>
          <w:color w:val="231F20"/>
        </w:rPr>
        <w:t>situation</w:t>
      </w:r>
      <w:r>
        <w:rPr>
          <w:color w:val="231F20"/>
          <w:spacing w:val="22"/>
        </w:rPr>
        <w:t> </w:t>
      </w:r>
      <w:r>
        <w:rPr>
          <w:color w:val="231F20"/>
        </w:rPr>
        <w:t>event</w:t>
      </w:r>
      <w:r>
        <w:rPr>
          <w:color w:val="231F20"/>
          <w:spacing w:val="22"/>
        </w:rPr>
        <w:t> </w:t>
      </w:r>
      <w:r>
        <w:rPr>
          <w:color w:val="231F20"/>
        </w:rPr>
        <w:t>console</w:t>
      </w:r>
      <w:r>
        <w:rPr>
          <w:color w:val="231F20"/>
          <w:spacing w:val="22"/>
        </w:rPr>
        <w:t> </w:t>
      </w:r>
      <w:r>
        <w:rPr>
          <w:color w:val="231F20"/>
        </w:rPr>
        <w:t>view</w:t>
      </w:r>
      <w:r>
        <w:rPr>
          <w:color w:val="231F20"/>
          <w:spacing w:val="22"/>
        </w:rPr>
        <w:t> </w:t>
      </w:r>
      <w:r>
        <w:rPr>
          <w:color w:val="231F20"/>
        </w:rPr>
        <w:t>when</w:t>
      </w:r>
      <w:r>
        <w:rPr>
          <w:color w:val="231F20"/>
          <w:spacing w:val="22"/>
        </w:rPr>
        <w:t> </w:t>
      </w:r>
      <w:r>
        <w:rPr>
          <w:color w:val="231F20"/>
        </w:rPr>
        <w:t>the</w:t>
      </w:r>
      <w:r>
        <w:rPr>
          <w:color w:val="231F20"/>
          <w:spacing w:val="22"/>
        </w:rPr>
        <w:t> </w:t>
      </w:r>
      <w:r>
        <w:rPr>
          <w:color w:val="231F20"/>
        </w:rPr>
        <w:t>selected</w:t>
      </w:r>
      <w:r>
        <w:rPr>
          <w:color w:val="231F20"/>
          <w:spacing w:val="22"/>
        </w:rPr>
        <w:t> </w:t>
      </w:r>
      <w:r>
        <w:rPr>
          <w:color w:val="231F20"/>
        </w:rPr>
        <w:t>event is a pure event or the situation has been stopped.</w:t>
      </w:r>
    </w:p>
    <w:p>
      <w:pPr>
        <w:pStyle w:val="BodyText"/>
        <w:spacing w:line="213" w:lineRule="auto" w:before="117"/>
        <w:ind w:left="2951" w:right="636"/>
      </w:pPr>
      <w:r>
        <w:rPr>
          <w:position w:val="-3"/>
        </w:rPr>
        <w:drawing>
          <wp:inline distT="0" distB="0" distL="0" distR="0">
            <wp:extent cx="106135" cy="106135"/>
            <wp:effectExtent l="0" t="0" r="0" b="0"/>
            <wp:docPr id="2945" name="Image 2945"/>
            <wp:cNvGraphicFramePr>
              <a:graphicFrameLocks/>
            </wp:cNvGraphicFramePr>
            <a:graphic>
              <a:graphicData uri="http://schemas.openxmlformats.org/drawingml/2006/picture">
                <pic:pic>
                  <pic:nvPicPr>
                    <pic:cNvPr id="2945" name="Image 2945"/>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enables you to see situation event indicators in the </w:t>
      </w:r>
      <w:r>
        <w:rPr>
          <w:color w:val="231F20"/>
        </w:rPr>
        <w:t>Navigator when situations become true.</w:t>
      </w:r>
    </w:p>
    <w:p>
      <w:pPr>
        <w:pStyle w:val="BodyText"/>
        <w:spacing w:line="213" w:lineRule="auto" w:before="118"/>
        <w:ind w:left="2951" w:right="385"/>
      </w:pPr>
      <w:r>
        <w:rPr>
          <w:position w:val="-3"/>
        </w:rPr>
        <w:drawing>
          <wp:inline distT="0" distB="0" distL="0" distR="0">
            <wp:extent cx="106135" cy="106135"/>
            <wp:effectExtent l="0" t="0" r="0" b="0"/>
            <wp:docPr id="2946" name="Image 2946"/>
            <wp:cNvGraphicFramePr>
              <a:graphicFrameLocks/>
            </wp:cNvGraphicFramePr>
            <a:graphic>
              <a:graphicData uri="http://schemas.openxmlformats.org/drawingml/2006/picture">
                <pic:pic>
                  <pic:nvPicPr>
                    <pic:cNvPr id="2946" name="Image 2946"/>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Acknowledge </w:t>
      </w:r>
      <w:r>
        <w:rPr>
          <w:color w:val="231F20"/>
        </w:rPr>
        <w:t>allows you to acknowledge a situation event. When this permission is enabled, </w:t>
      </w:r>
      <w:r>
        <w:rPr>
          <w:rFonts w:ascii="Book Antiqua"/>
          <w:b/>
          <w:color w:val="231F20"/>
        </w:rPr>
        <w:t>Acknowledge Event </w:t>
      </w:r>
      <w:r>
        <w:rPr>
          <w:color w:val="231F20"/>
        </w:rPr>
        <w:t>appears in the pop-up menu </w:t>
      </w:r>
      <w:r>
        <w:rPr>
          <w:color w:val="231F20"/>
        </w:rPr>
        <w:t>of the situation event flyover list, event Navigator item, and situation event console view.</w:t>
      </w:r>
    </w:p>
    <w:p>
      <w:pPr>
        <w:spacing w:after="0" w:line="213" w:lineRule="auto"/>
        <w:sectPr>
          <w:pgSz w:w="12240" w:h="15840"/>
          <w:pgMar w:header="0" w:footer="736" w:top="1180" w:bottom="920" w:left="1000" w:right="1060"/>
        </w:sectPr>
      </w:pPr>
    </w:p>
    <w:p>
      <w:pPr>
        <w:pStyle w:val="Heading6"/>
        <w:spacing w:line="240" w:lineRule="auto" w:before="116"/>
        <w:ind w:left="0" w:right="10"/>
        <w:jc w:val="right"/>
      </w:pPr>
      <w:r>
        <w:rPr>
          <w:color w:val="231F20"/>
          <w:spacing w:val="-2"/>
        </w:rPr>
        <w:t>Feature</w:t>
      </w:r>
    </w:p>
    <w:p>
      <w:pPr>
        <w:pStyle w:val="BodyText"/>
        <w:rPr>
          <w:rFonts w:ascii="Book Antiqua"/>
          <w:b/>
        </w:rPr>
      </w:pPr>
    </w:p>
    <w:p>
      <w:pPr>
        <w:pStyle w:val="BodyText"/>
        <w:spacing w:before="114"/>
        <w:rPr>
          <w:rFonts w:ascii="Book Antiqua"/>
          <w:b/>
        </w:rPr>
      </w:pPr>
    </w:p>
    <w:p>
      <w:pPr>
        <w:spacing w:before="1"/>
        <w:ind w:left="0" w:right="0" w:firstLine="0"/>
        <w:jc w:val="right"/>
        <w:rPr>
          <w:rFonts w:ascii="Book Antiqua"/>
          <w:b/>
          <w:sz w:val="20"/>
        </w:rPr>
      </w:pPr>
      <w:r>
        <w:rPr>
          <w:rFonts w:ascii="Book Antiqua"/>
          <w:b/>
          <w:color w:val="231F20"/>
          <w:spacing w:val="-2"/>
          <w:sz w:val="20"/>
        </w:rPr>
        <w:t>History</w:t>
      </w:r>
    </w:p>
    <w:p>
      <w:pPr>
        <w:spacing w:line="240" w:lineRule="auto" w:before="115"/>
        <w:rPr>
          <w:rFonts w:ascii="Book Antiqua"/>
          <w:b/>
          <w:sz w:val="20"/>
        </w:rPr>
      </w:pPr>
      <w:r>
        <w:rPr/>
        <w:br w:type="column"/>
      </w:r>
      <w:r>
        <w:rPr>
          <w:rFonts w:ascii="Book Antiqua"/>
          <w:b/>
          <w:sz w:val="20"/>
        </w:rPr>
      </w:r>
    </w:p>
    <w:p>
      <w:pPr>
        <w:pStyle w:val="BodyText"/>
        <w:spacing w:line="213" w:lineRule="auto"/>
        <w:ind w:right="446" w:firstLine="9"/>
      </w:pPr>
      <w:r>
        <w:rPr>
          <w:position w:val="-1"/>
        </w:rPr>
        <w:drawing>
          <wp:inline distT="0" distB="0" distL="0" distR="0">
            <wp:extent cx="95250" cy="95250"/>
            <wp:effectExtent l="0" t="0" r="0" b="0"/>
            <wp:docPr id="2947" name="Image 2947"/>
            <wp:cNvGraphicFramePr>
              <a:graphicFrameLocks/>
            </wp:cNvGraphicFramePr>
            <a:graphic>
              <a:graphicData uri="http://schemas.openxmlformats.org/drawingml/2006/picture">
                <pic:pic>
                  <pic:nvPicPr>
                    <pic:cNvPr id="2947" name="Image 2947"/>
                    <pic:cNvPicPr/>
                  </pic:nvPicPr>
                  <pic:blipFill>
                    <a:blip r:embed="rId168"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40"/>
        </w:rPr>
        <w:t> </w:t>
      </w:r>
      <w:r>
        <w:rPr>
          <w:rFonts w:ascii="Book Antiqua"/>
          <w:b/>
          <w:color w:val="231F20"/>
        </w:rPr>
        <w:t>Enable </w:t>
      </w:r>
      <w:r>
        <w:rPr>
          <w:color w:val="231F20"/>
        </w:rPr>
        <w:t>is dimmed because you cannot change it. The access to this</w:t>
      </w:r>
      <w:r>
        <w:rPr>
          <w:color w:val="231F20"/>
          <w:spacing w:val="40"/>
        </w:rPr>
        <w:t> </w:t>
      </w:r>
      <w:r>
        <w:rPr>
          <w:color w:val="231F20"/>
        </w:rPr>
        <w:t>feature</w:t>
      </w:r>
      <w:r>
        <w:rPr>
          <w:color w:val="231F20"/>
          <w:spacing w:val="7"/>
        </w:rPr>
        <w:t> </w:t>
      </w:r>
      <w:r>
        <w:rPr>
          <w:color w:val="231F20"/>
        </w:rPr>
        <w:t>is</w:t>
      </w:r>
      <w:r>
        <w:rPr>
          <w:color w:val="231F20"/>
          <w:spacing w:val="8"/>
        </w:rPr>
        <w:t> </w:t>
      </w:r>
      <w:r>
        <w:rPr>
          <w:color w:val="231F20"/>
        </w:rPr>
        <w:t>determined</w:t>
      </w:r>
      <w:r>
        <w:rPr>
          <w:color w:val="231F20"/>
          <w:spacing w:val="8"/>
        </w:rPr>
        <w:t> </w:t>
      </w:r>
      <w:r>
        <w:rPr>
          <w:color w:val="231F20"/>
        </w:rPr>
        <w:t>by</w:t>
      </w:r>
      <w:r>
        <w:rPr>
          <w:color w:val="231F20"/>
          <w:spacing w:val="7"/>
        </w:rPr>
        <w:t> </w:t>
      </w:r>
      <w:r>
        <w:rPr>
          <w:color w:val="231F20"/>
        </w:rPr>
        <w:t>your</w:t>
      </w:r>
      <w:r>
        <w:rPr>
          <w:color w:val="231F20"/>
          <w:spacing w:val="8"/>
        </w:rPr>
        <w:t> </w:t>
      </w:r>
      <w:r>
        <w:rPr>
          <w:color w:val="231F20"/>
        </w:rPr>
        <w:t>organization's</w:t>
      </w:r>
      <w:r>
        <w:rPr>
          <w:color w:val="231F20"/>
          <w:spacing w:val="8"/>
        </w:rPr>
        <w:t> </w:t>
      </w:r>
      <w:r>
        <w:rPr>
          <w:color w:val="231F20"/>
        </w:rPr>
        <w:t>IBM</w:t>
      </w:r>
      <w:r>
        <w:rPr>
          <w:color w:val="231F20"/>
          <w:spacing w:val="7"/>
        </w:rPr>
        <w:t> </w:t>
      </w:r>
      <w:r>
        <w:rPr>
          <w:color w:val="231F20"/>
        </w:rPr>
        <w:t>Tivoli</w:t>
      </w:r>
      <w:r>
        <w:rPr>
          <w:color w:val="231F20"/>
          <w:spacing w:val="8"/>
        </w:rPr>
        <w:t> </w:t>
      </w:r>
      <w:r>
        <w:rPr>
          <w:color w:val="231F20"/>
        </w:rPr>
        <w:t>Monitoring</w:t>
      </w:r>
      <w:r>
        <w:rPr>
          <w:color w:val="231F20"/>
          <w:spacing w:val="8"/>
        </w:rPr>
        <w:t> </w:t>
      </w:r>
      <w:r>
        <w:rPr>
          <w:color w:val="231F20"/>
          <w:spacing w:val="-2"/>
        </w:rPr>
        <w:t>license.</w:t>
      </w:r>
    </w:p>
    <w:p>
      <w:pPr>
        <w:pStyle w:val="BodyText"/>
        <w:spacing w:before="88"/>
      </w:pPr>
    </w:p>
    <w:p>
      <w:pPr>
        <w:pStyle w:val="BodyText"/>
        <w:spacing w:line="213" w:lineRule="auto"/>
        <w:ind w:right="576"/>
      </w:pPr>
      <w:r>
        <w:rPr>
          <w:position w:val="-3"/>
        </w:rPr>
        <w:drawing>
          <wp:inline distT="0" distB="0" distL="0" distR="0">
            <wp:extent cx="106135" cy="106135"/>
            <wp:effectExtent l="0" t="0" r="0" b="0"/>
            <wp:docPr id="2948" name="Image 2948"/>
            <wp:cNvGraphicFramePr>
              <a:graphicFrameLocks/>
            </wp:cNvGraphicFramePr>
            <a:graphic>
              <a:graphicData uri="http://schemas.openxmlformats.org/drawingml/2006/picture">
                <pic:pic>
                  <pic:nvPicPr>
                    <pic:cNvPr id="2948" name="Image 2948"/>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Configure </w:t>
      </w:r>
      <w:r>
        <w:rPr>
          <w:color w:val="231F20"/>
        </w:rPr>
        <w:t>allows the user to open the History Collection </w:t>
      </w:r>
      <w:r>
        <w:rPr>
          <w:color w:val="231F20"/>
        </w:rPr>
        <w:t>Configuration window, configure history files and data rolloff, and start and stop data collection for the different attribute groups. When this permission is</w:t>
      </w:r>
      <w:r>
        <w:rPr>
          <w:color w:val="231F20"/>
          <w:spacing w:val="40"/>
        </w:rPr>
        <w:t> </w:t>
      </w:r>
      <w:r>
        <w:rPr>
          <w:color w:val="231F20"/>
        </w:rPr>
        <w:t>enabled, </w:t>
      </w:r>
      <w:r>
        <w:rPr>
          <w:color w:val="231F20"/>
          <w:spacing w:val="16"/>
          <w:position w:val="-1"/>
        </w:rPr>
        <w:drawing>
          <wp:inline distT="0" distB="0" distL="0" distR="0">
            <wp:extent cx="101600" cy="95250"/>
            <wp:effectExtent l="0" t="0" r="0" b="0"/>
            <wp:docPr id="2949" name="Image 2949"/>
            <wp:cNvGraphicFramePr>
              <a:graphicFrameLocks/>
            </wp:cNvGraphicFramePr>
            <a:graphic>
              <a:graphicData uri="http://schemas.openxmlformats.org/drawingml/2006/picture">
                <pic:pic>
                  <pic:nvPicPr>
                    <pic:cNvPr id="2949" name="Image 2949"/>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rPr>
      </w:r>
      <w:r>
        <w:rPr>
          <w:rFonts w:ascii="Times New Roman"/>
          <w:color w:val="231F20"/>
          <w:spacing w:val="16"/>
        </w:rPr>
        <w:t> </w:t>
      </w:r>
      <w:r>
        <w:rPr>
          <w:rFonts w:ascii="Book Antiqua"/>
          <w:b/>
          <w:color w:val="231F20"/>
        </w:rPr>
        <w:t>History Configuration </w:t>
      </w:r>
      <w:r>
        <w:rPr>
          <w:color w:val="231F20"/>
        </w:rPr>
        <w:t>appears in the main toolbar.</w:t>
      </w:r>
    </w:p>
    <w:p>
      <w:pPr>
        <w:spacing w:after="0" w:line="213" w:lineRule="auto"/>
        <w:sectPr>
          <w:type w:val="continuous"/>
          <w:pgSz w:w="12240" w:h="15840"/>
          <w:pgMar w:header="0" w:footer="736" w:top="0" w:bottom="4660" w:left="1000" w:right="1060"/>
          <w:cols w:num="2" w:equalWidth="0">
            <w:col w:w="2921" w:space="31"/>
            <w:col w:w="7228"/>
          </w:cols>
        </w:sectPr>
      </w:pPr>
    </w:p>
    <w:p>
      <w:pPr>
        <w:pStyle w:val="Heading6"/>
        <w:spacing w:before="116"/>
        <w:ind w:left="2232"/>
      </w:pPr>
      <w:r>
        <w:rPr>
          <w:color w:val="231F20"/>
        </w:rPr>
        <w:t>Launch</w:t>
      </w:r>
      <w:r>
        <w:rPr>
          <w:color w:val="231F20"/>
          <w:spacing w:val="9"/>
        </w:rPr>
        <w:t> </w:t>
      </w:r>
      <w:r>
        <w:rPr>
          <w:color w:val="231F20"/>
          <w:spacing w:val="-2"/>
        </w:rPr>
        <w:t>Application</w:t>
      </w:r>
    </w:p>
    <w:p>
      <w:pPr>
        <w:pStyle w:val="BodyText"/>
        <w:spacing w:line="213" w:lineRule="auto" w:before="12"/>
        <w:ind w:left="2951" w:right="636"/>
      </w:pPr>
      <w:r>
        <w:rPr>
          <w:position w:val="-3"/>
        </w:rPr>
        <w:drawing>
          <wp:inline distT="0" distB="0" distL="0" distR="0">
            <wp:extent cx="106135" cy="106135"/>
            <wp:effectExtent l="0" t="0" r="0" b="0"/>
            <wp:docPr id="2950" name="Image 2950"/>
            <wp:cNvGraphicFramePr>
              <a:graphicFrameLocks/>
            </wp:cNvGraphicFramePr>
            <a:graphic>
              <a:graphicData uri="http://schemas.openxmlformats.org/drawingml/2006/picture">
                <pic:pic>
                  <pic:nvPicPr>
                    <pic:cNvPr id="2950" name="Image 2950"/>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80"/>
        </w:rPr>
        <w:t> </w:t>
      </w:r>
      <w:r>
        <w:rPr>
          <w:rFonts w:ascii="Book Antiqua"/>
          <w:b/>
          <w:color w:val="231F20"/>
        </w:rPr>
        <w:t>Launch </w:t>
      </w:r>
      <w:r>
        <w:rPr>
          <w:color w:val="231F20"/>
        </w:rPr>
        <w:t>allows the user to invoke any of the launch definitions</w:t>
      </w:r>
      <w:r>
        <w:rPr>
          <w:color w:val="231F20"/>
          <w:spacing w:val="40"/>
        </w:rPr>
        <w:t> </w:t>
      </w:r>
      <w:r>
        <w:rPr>
          <w:color w:val="231F20"/>
        </w:rPr>
        <w:t>available for the Navigator item, table view, chart view, or situation </w:t>
      </w:r>
      <w:r>
        <w:rPr>
          <w:color w:val="231F20"/>
        </w:rPr>
        <w:t>event console view. When this permission is enabled, </w:t>
      </w:r>
      <w:r>
        <w:rPr>
          <w:color w:val="231F20"/>
          <w:spacing w:val="-25"/>
          <w:position w:val="-1"/>
        </w:rPr>
        <w:drawing>
          <wp:inline distT="0" distB="0" distL="0" distR="0">
            <wp:extent cx="95250" cy="95250"/>
            <wp:effectExtent l="0" t="0" r="0" b="0"/>
            <wp:docPr id="2951" name="Image 2951"/>
            <wp:cNvGraphicFramePr>
              <a:graphicFrameLocks/>
            </wp:cNvGraphicFramePr>
            <a:graphic>
              <a:graphicData uri="http://schemas.openxmlformats.org/drawingml/2006/picture">
                <pic:pic>
                  <pic:nvPicPr>
                    <pic:cNvPr id="2951" name="Image 2951"/>
                    <pic:cNvPicPr/>
                  </pic:nvPicPr>
                  <pic:blipFill>
                    <a:blip r:embed="rId447"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74"/>
        </w:rPr>
        <w:t> </w:t>
      </w:r>
      <w:r>
        <w:rPr>
          <w:rFonts w:ascii="Book Antiqua"/>
          <w:b/>
          <w:color w:val="231F20"/>
        </w:rPr>
        <w:t>History Configuration </w:t>
      </w:r>
      <w:r>
        <w:rPr>
          <w:color w:val="231F20"/>
        </w:rPr>
        <w:t>appears in the main toolbar.</w:t>
      </w:r>
    </w:p>
    <w:p>
      <w:pPr>
        <w:pStyle w:val="BodyText"/>
        <w:spacing w:line="213" w:lineRule="auto" w:before="117"/>
        <w:ind w:left="2951" w:right="493"/>
      </w:pPr>
      <w:r>
        <w:rPr>
          <w:position w:val="-3"/>
        </w:rPr>
        <w:drawing>
          <wp:inline distT="0" distB="0" distL="0" distR="0">
            <wp:extent cx="106135" cy="106135"/>
            <wp:effectExtent l="0" t="0" r="0" b="0"/>
            <wp:docPr id="2952" name="Image 2952"/>
            <wp:cNvGraphicFramePr>
              <a:graphicFrameLocks/>
            </wp:cNvGraphicFramePr>
            <a:graphic>
              <a:graphicData uri="http://schemas.openxmlformats.org/drawingml/2006/picture">
                <pic:pic>
                  <pic:nvPicPr>
                    <pic:cNvPr id="2952" name="Image 2952"/>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see the composition of the selected </w:t>
      </w:r>
      <w:r>
        <w:rPr>
          <w:color w:val="231F20"/>
        </w:rPr>
        <w:t>launch </w:t>
      </w:r>
      <w:r>
        <w:rPr>
          <w:color w:val="231F20"/>
          <w:spacing w:val="-2"/>
        </w:rPr>
        <w:t>definition.</w:t>
      </w:r>
    </w:p>
    <w:p>
      <w:pPr>
        <w:pStyle w:val="BodyText"/>
        <w:spacing w:before="95"/>
        <w:ind w:left="2951"/>
      </w:pPr>
      <w:r>
        <w:rPr>
          <w:position w:val="-3"/>
        </w:rPr>
        <w:drawing>
          <wp:inline distT="0" distB="0" distL="0" distR="0">
            <wp:extent cx="106135" cy="106135"/>
            <wp:effectExtent l="0" t="0" r="0" b="0"/>
            <wp:docPr id="2953" name="Image 2953"/>
            <wp:cNvGraphicFramePr>
              <a:graphicFrameLocks/>
            </wp:cNvGraphicFramePr>
            <a:graphic>
              <a:graphicData uri="http://schemas.openxmlformats.org/drawingml/2006/picture">
                <pic:pic>
                  <pic:nvPicPr>
                    <pic:cNvPr id="2953" name="Image 2953"/>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80"/>
        </w:rPr>
        <w:t> </w:t>
      </w:r>
      <w:r>
        <w:rPr>
          <w:rFonts w:ascii="Book Antiqua"/>
          <w:b/>
          <w:color w:val="231F20"/>
        </w:rPr>
        <w:t>Modify</w:t>
      </w:r>
      <w:r>
        <w:rPr>
          <w:rFonts w:ascii="Book Antiqua"/>
          <w:b/>
          <w:color w:val="231F20"/>
          <w:spacing w:val="19"/>
        </w:rPr>
        <w:t> </w:t>
      </w:r>
      <w:r>
        <w:rPr>
          <w:color w:val="231F20"/>
        </w:rPr>
        <w:t>allows</w:t>
      </w:r>
      <w:r>
        <w:rPr>
          <w:color w:val="231F20"/>
          <w:spacing w:val="19"/>
        </w:rPr>
        <w:t> </w:t>
      </w:r>
      <w:r>
        <w:rPr>
          <w:color w:val="231F20"/>
        </w:rPr>
        <w:t>the</w:t>
      </w:r>
      <w:r>
        <w:rPr>
          <w:color w:val="231F20"/>
          <w:spacing w:val="19"/>
        </w:rPr>
        <w:t> </w:t>
      </w:r>
      <w:r>
        <w:rPr>
          <w:color w:val="231F20"/>
        </w:rPr>
        <w:t>user</w:t>
      </w:r>
      <w:r>
        <w:rPr>
          <w:color w:val="231F20"/>
          <w:spacing w:val="19"/>
        </w:rPr>
        <w:t> </w:t>
      </w:r>
      <w:r>
        <w:rPr>
          <w:color w:val="231F20"/>
        </w:rPr>
        <w:t>to</w:t>
      </w:r>
      <w:r>
        <w:rPr>
          <w:color w:val="231F20"/>
          <w:spacing w:val="19"/>
        </w:rPr>
        <w:t> </w:t>
      </w:r>
      <w:r>
        <w:rPr>
          <w:color w:val="231F20"/>
        </w:rPr>
        <w:t>create,</w:t>
      </w:r>
      <w:r>
        <w:rPr>
          <w:color w:val="231F20"/>
          <w:spacing w:val="19"/>
        </w:rPr>
        <w:t> </w:t>
      </w:r>
      <w:r>
        <w:rPr>
          <w:color w:val="231F20"/>
        </w:rPr>
        <w:t>edit</w:t>
      </w:r>
      <w:r>
        <w:rPr>
          <w:color w:val="231F20"/>
          <w:spacing w:val="19"/>
        </w:rPr>
        <w:t> </w:t>
      </w:r>
      <w:r>
        <w:rPr>
          <w:color w:val="231F20"/>
        </w:rPr>
        <w:t>and</w:t>
      </w:r>
      <w:r>
        <w:rPr>
          <w:color w:val="231F20"/>
          <w:spacing w:val="19"/>
        </w:rPr>
        <w:t> </w:t>
      </w:r>
      <w:r>
        <w:rPr>
          <w:color w:val="231F20"/>
        </w:rPr>
        <w:t>delete</w:t>
      </w:r>
      <w:r>
        <w:rPr>
          <w:color w:val="231F20"/>
          <w:spacing w:val="19"/>
        </w:rPr>
        <w:t> </w:t>
      </w:r>
      <w:r>
        <w:rPr>
          <w:color w:val="231F20"/>
        </w:rPr>
        <w:t>launch</w:t>
      </w:r>
      <w:r>
        <w:rPr>
          <w:color w:val="231F20"/>
          <w:spacing w:val="19"/>
        </w:rPr>
        <w:t> </w:t>
      </w:r>
      <w:r>
        <w:rPr>
          <w:color w:val="231F20"/>
        </w:rPr>
        <w:t>definitions.</w:t>
      </w:r>
    </w:p>
    <w:p>
      <w:pPr>
        <w:pStyle w:val="Heading6"/>
        <w:spacing w:before="111"/>
        <w:ind w:left="2232"/>
      </w:pPr>
      <w:r>
        <w:rPr>
          <w:color w:val="231F20"/>
        </w:rPr>
        <w:t>Managed</w:t>
      </w:r>
      <w:r>
        <w:rPr>
          <w:color w:val="231F20"/>
          <w:spacing w:val="8"/>
        </w:rPr>
        <w:t> </w:t>
      </w:r>
      <w:r>
        <w:rPr>
          <w:color w:val="231F20"/>
        </w:rPr>
        <w:t>System</w:t>
      </w:r>
      <w:r>
        <w:rPr>
          <w:color w:val="231F20"/>
          <w:spacing w:val="8"/>
        </w:rPr>
        <w:t> </w:t>
      </w:r>
      <w:r>
        <w:rPr>
          <w:color w:val="231F20"/>
          <w:spacing w:val="-2"/>
        </w:rPr>
        <w:t>Group</w:t>
      </w:r>
    </w:p>
    <w:p>
      <w:pPr>
        <w:pStyle w:val="BodyText"/>
        <w:spacing w:line="213" w:lineRule="auto" w:before="11"/>
        <w:ind w:left="2951" w:right="545"/>
      </w:pPr>
      <w:r>
        <w:rPr>
          <w:position w:val="-3"/>
        </w:rPr>
        <w:drawing>
          <wp:inline distT="0" distB="0" distL="0" distR="0">
            <wp:extent cx="106135" cy="106135"/>
            <wp:effectExtent l="0" t="0" r="0" b="0"/>
            <wp:docPr id="2954" name="Image 2954"/>
            <wp:cNvGraphicFramePr>
              <a:graphicFrameLocks/>
            </wp:cNvGraphicFramePr>
            <a:graphic>
              <a:graphicData uri="http://schemas.openxmlformats.org/drawingml/2006/picture">
                <pic:pic>
                  <pic:nvPicPr>
                    <pic:cNvPr id="2954" name="Image 2954"/>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access the Object group editor for viewing managed system groups. The user also needs Modify permission for </w:t>
      </w:r>
      <w:r>
        <w:rPr>
          <w:color w:val="231F20"/>
        </w:rPr>
        <w:t>the Object group editor tools to be available.</w:t>
      </w:r>
    </w:p>
    <w:p>
      <w:pPr>
        <w:pStyle w:val="BodyText"/>
        <w:spacing w:line="213" w:lineRule="auto" w:before="118"/>
        <w:ind w:left="2951" w:right="545"/>
      </w:pPr>
      <w:r>
        <w:rPr>
          <w:position w:val="-3"/>
        </w:rPr>
        <w:drawing>
          <wp:inline distT="0" distB="0" distL="0" distR="0">
            <wp:extent cx="106135" cy="106135"/>
            <wp:effectExtent l="0" t="0" r="0" b="0"/>
            <wp:docPr id="2955" name="Image 2955"/>
            <wp:cNvGraphicFramePr>
              <a:graphicFrameLocks/>
            </wp:cNvGraphicFramePr>
            <a:graphic>
              <a:graphicData uri="http://schemas.openxmlformats.org/drawingml/2006/picture">
                <pic:pic>
                  <pic:nvPicPr>
                    <pic:cNvPr id="2955" name="Image 2955"/>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open the Object group editor to create, </w:t>
      </w:r>
      <w:r>
        <w:rPr>
          <w:color w:val="231F20"/>
        </w:rPr>
        <w:t>edit, and delete managed system groups.</w:t>
      </w:r>
    </w:p>
    <w:p>
      <w:pPr>
        <w:pStyle w:val="BodyText"/>
        <w:spacing w:line="278" w:lineRule="auto" w:before="95"/>
        <w:ind w:left="2951" w:right="493" w:hanging="719"/>
      </w:pPr>
      <w:r>
        <w:rPr>
          <w:rFonts w:ascii="Book Antiqua"/>
          <w:b/>
          <w:color w:val="231F20"/>
        </w:rPr>
        <w:t>Policy</w:t>
      </w:r>
      <w:r>
        <w:rPr>
          <w:rFonts w:ascii="Book Antiqua"/>
          <w:b/>
          <w:color w:val="231F20"/>
          <w:spacing w:val="80"/>
        </w:rPr>
        <w:t> </w:t>
      </w:r>
      <w:r>
        <w:rPr>
          <w:rFonts w:ascii="Book Antiqua"/>
          <w:b/>
          <w:color w:val="231F20"/>
          <w:spacing w:val="3"/>
          <w:position w:val="-3"/>
        </w:rPr>
        <w:drawing>
          <wp:inline distT="0" distB="0" distL="0" distR="0">
            <wp:extent cx="106135" cy="106135"/>
            <wp:effectExtent l="0" t="0" r="0" b="0"/>
            <wp:docPr id="2956" name="Image 2956"/>
            <wp:cNvGraphicFramePr>
              <a:graphicFrameLocks/>
            </wp:cNvGraphicFramePr>
            <a:graphic>
              <a:graphicData uri="http://schemas.openxmlformats.org/drawingml/2006/picture">
                <pic:pic>
                  <pic:nvPicPr>
                    <pic:cNvPr id="2956" name="Image 2956"/>
                    <pic:cNvPicPr/>
                  </pic:nvPicPr>
                  <pic:blipFill>
                    <a:blip r:embed="rId87" cstate="print"/>
                    <a:stretch>
                      <a:fillRect/>
                    </a:stretch>
                  </pic:blipFill>
                  <pic:spPr>
                    <a:xfrm>
                      <a:off x="0" y="0"/>
                      <a:ext cx="106135" cy="106135"/>
                    </a:xfrm>
                    <a:prstGeom prst="rect">
                      <a:avLst/>
                    </a:prstGeom>
                  </pic:spPr>
                </pic:pic>
              </a:graphicData>
            </a:graphic>
          </wp:inline>
        </w:drawing>
      </w:r>
      <w:r>
        <w:rPr>
          <w:rFonts w:ascii="Book Antiqua"/>
          <w:b/>
          <w:color w:val="231F20"/>
          <w:spacing w:val="3"/>
          <w:position w:val="-3"/>
        </w:rPr>
      </w:r>
      <w:r>
        <w:rPr>
          <w:rFonts w:ascii="Times New Roman"/>
          <w:color w:val="231F20"/>
          <w:spacing w:val="40"/>
        </w:rPr>
        <w:t> </w:t>
      </w:r>
      <w:r>
        <w:rPr>
          <w:rFonts w:ascii="Book Antiqua"/>
          <w:b/>
          <w:color w:val="231F20"/>
        </w:rPr>
        <w:t>View </w:t>
      </w:r>
      <w:r>
        <w:rPr>
          <w:color w:val="231F20"/>
        </w:rPr>
        <w:t>allows the user to open the Workflows window to see the policies and their definitions. With View permission, the </w:t>
      </w:r>
      <w:r>
        <w:rPr>
          <w:color w:val="231F20"/>
          <w:spacing w:val="15"/>
          <w:position w:val="-1"/>
        </w:rPr>
        <w:drawing>
          <wp:inline distT="0" distB="0" distL="0" distR="0">
            <wp:extent cx="152400" cy="152400"/>
            <wp:effectExtent l="0" t="0" r="0" b="0"/>
            <wp:docPr id="2957" name="Image 2957"/>
            <wp:cNvGraphicFramePr>
              <a:graphicFrameLocks/>
            </wp:cNvGraphicFramePr>
            <a:graphic>
              <a:graphicData uri="http://schemas.openxmlformats.org/drawingml/2006/picture">
                <pic:pic>
                  <pic:nvPicPr>
                    <pic:cNvPr id="2957" name="Image 2957"/>
                    <pic:cNvPicPr/>
                  </pic:nvPicPr>
                  <pic:blipFill>
                    <a:blip r:embed="rId30" cstate="print"/>
                    <a:stretch>
                      <a:fillRect/>
                    </a:stretch>
                  </pic:blipFill>
                  <pic:spPr>
                    <a:xfrm>
                      <a:off x="0" y="0"/>
                      <a:ext cx="152400" cy="152400"/>
                    </a:xfrm>
                    <a:prstGeom prst="rect">
                      <a:avLst/>
                    </a:prstGeom>
                  </pic:spPr>
                </pic:pic>
              </a:graphicData>
            </a:graphic>
          </wp:inline>
        </w:drawing>
      </w:r>
      <w:r>
        <w:rPr>
          <w:color w:val="231F20"/>
          <w:spacing w:val="15"/>
          <w:position w:val="-1"/>
        </w:rPr>
      </w:r>
      <w:r>
        <w:rPr>
          <w:rFonts w:ascii="Times New Roman"/>
          <w:color w:val="231F20"/>
          <w:spacing w:val="-11"/>
        </w:rPr>
        <w:t> </w:t>
      </w:r>
      <w:r>
        <w:rPr>
          <w:rFonts w:ascii="Book Antiqua"/>
          <w:b/>
          <w:color w:val="231F20"/>
        </w:rPr>
        <w:t>Workflow Editor </w:t>
      </w:r>
      <w:r>
        <w:rPr>
          <w:color w:val="231F20"/>
        </w:rPr>
        <w:t>is</w:t>
      </w:r>
    </w:p>
    <w:p>
      <w:pPr>
        <w:pStyle w:val="BodyText"/>
        <w:spacing w:line="213" w:lineRule="auto" w:before="31"/>
        <w:ind w:left="2951" w:hanging="1"/>
      </w:pPr>
      <w:r>
        <w:rPr>
          <w:color w:val="231F20"/>
        </w:rPr>
        <w:t>available in the main toolbar and</w:t>
      </w:r>
      <w:r>
        <w:rPr>
          <w:color w:val="231F20"/>
          <w:spacing w:val="23"/>
        </w:rPr>
        <w:t> </w:t>
      </w:r>
      <w:r>
        <w:rPr>
          <w:color w:val="231F20"/>
          <w:spacing w:val="-20"/>
          <w:position w:val="-1"/>
        </w:rPr>
        <w:drawing>
          <wp:inline distT="0" distB="0" distL="0" distR="0">
            <wp:extent cx="142875" cy="142875"/>
            <wp:effectExtent l="0" t="0" r="0" b="0"/>
            <wp:docPr id="2958" name="Image 2958"/>
            <wp:cNvGraphicFramePr>
              <a:graphicFrameLocks/>
            </wp:cNvGraphicFramePr>
            <a:graphic>
              <a:graphicData uri="http://schemas.openxmlformats.org/drawingml/2006/picture">
                <pic:pic>
                  <pic:nvPicPr>
                    <pic:cNvPr id="2958" name="Image 2958"/>
                    <pic:cNvPicPr/>
                  </pic:nvPicPr>
                  <pic:blipFill>
                    <a:blip r:embed="rId419" cstate="print"/>
                    <a:stretch>
                      <a:fillRect/>
                    </a:stretch>
                  </pic:blipFill>
                  <pic:spPr>
                    <a:xfrm>
                      <a:off x="0" y="0"/>
                      <a:ext cx="142875" cy="142875"/>
                    </a:xfrm>
                    <a:prstGeom prst="rect">
                      <a:avLst/>
                    </a:prstGeom>
                  </pic:spPr>
                </pic:pic>
              </a:graphicData>
            </a:graphic>
          </wp:inline>
        </w:drawing>
      </w:r>
      <w:r>
        <w:rPr>
          <w:color w:val="231F20"/>
          <w:spacing w:val="-20"/>
          <w:position w:val="-1"/>
        </w:rPr>
      </w:r>
      <w:r>
        <w:rPr>
          <w:rFonts w:ascii="Times New Roman"/>
          <w:color w:val="231F20"/>
          <w:spacing w:val="13"/>
        </w:rPr>
        <w:t> </w:t>
      </w:r>
      <w:r>
        <w:rPr>
          <w:rFonts w:ascii="Book Antiqua"/>
          <w:b/>
          <w:color w:val="231F20"/>
        </w:rPr>
        <w:t>Manage Policies </w:t>
      </w:r>
      <w:r>
        <w:rPr>
          <w:color w:val="231F20"/>
        </w:rPr>
        <w:t>is available in </w:t>
      </w:r>
      <w:r>
        <w:rPr>
          <w:color w:val="231F20"/>
        </w:rPr>
        <w:t>the Navigator pop-up menu at the </w:t>
      </w:r>
      <w:r>
        <w:rPr>
          <w:color w:val="231F20"/>
          <w:spacing w:val="-25"/>
          <w:position w:val="-1"/>
        </w:rPr>
        <w:drawing>
          <wp:inline distT="0" distB="0" distL="0" distR="0">
            <wp:extent cx="95250" cy="95249"/>
            <wp:effectExtent l="0" t="0" r="0" b="0"/>
            <wp:docPr id="2959" name="Image 2959"/>
            <wp:cNvGraphicFramePr>
              <a:graphicFrameLocks/>
            </wp:cNvGraphicFramePr>
            <a:graphic>
              <a:graphicData uri="http://schemas.openxmlformats.org/drawingml/2006/picture">
                <pic:pic>
                  <pic:nvPicPr>
                    <pic:cNvPr id="2959" name="Image 2959"/>
                    <pic:cNvPicPr/>
                  </pic:nvPicPr>
                  <pic:blipFill>
                    <a:blip r:embed="rId84" cstate="print"/>
                    <a:stretch>
                      <a:fillRect/>
                    </a:stretch>
                  </pic:blipFill>
                  <pic:spPr>
                    <a:xfrm>
                      <a:off x="0" y="0"/>
                      <a:ext cx="95250" cy="95249"/>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agent level.</w:t>
      </w:r>
    </w:p>
    <w:p>
      <w:pPr>
        <w:pStyle w:val="BodyText"/>
        <w:spacing w:before="95"/>
        <w:ind w:left="2951"/>
      </w:pPr>
      <w:r>
        <w:rPr>
          <w:position w:val="-3"/>
        </w:rPr>
        <w:drawing>
          <wp:inline distT="0" distB="0" distL="0" distR="0">
            <wp:extent cx="106135" cy="106135"/>
            <wp:effectExtent l="0" t="0" r="0" b="0"/>
            <wp:docPr id="2960" name="Image 2960"/>
            <wp:cNvGraphicFramePr>
              <a:graphicFrameLocks/>
            </wp:cNvGraphicFramePr>
            <a:graphic>
              <a:graphicData uri="http://schemas.openxmlformats.org/drawingml/2006/picture">
                <pic:pic>
                  <pic:nvPicPr>
                    <pic:cNvPr id="2960" name="Image 2960"/>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80"/>
        </w:rPr>
        <w:t> </w:t>
      </w:r>
      <w:r>
        <w:rPr>
          <w:rFonts w:ascii="Book Antiqua"/>
          <w:b/>
          <w:color w:val="231F20"/>
        </w:rPr>
        <w:t>Start/Stop</w:t>
      </w:r>
      <w:r>
        <w:rPr>
          <w:rFonts w:ascii="Book Antiqua"/>
          <w:b/>
          <w:color w:val="231F20"/>
          <w:spacing w:val="19"/>
        </w:rPr>
        <w:t> </w:t>
      </w:r>
      <w:r>
        <w:rPr>
          <w:color w:val="231F20"/>
        </w:rPr>
        <w:t>lets</w:t>
      </w:r>
      <w:r>
        <w:rPr>
          <w:color w:val="231F20"/>
          <w:spacing w:val="19"/>
        </w:rPr>
        <w:t> </w:t>
      </w:r>
      <w:r>
        <w:rPr>
          <w:color w:val="231F20"/>
        </w:rPr>
        <w:t>you</w:t>
      </w:r>
      <w:r>
        <w:rPr>
          <w:color w:val="231F20"/>
          <w:spacing w:val="19"/>
        </w:rPr>
        <w:t> </w:t>
      </w:r>
      <w:r>
        <w:rPr>
          <w:color w:val="231F20"/>
        </w:rPr>
        <w:t>start</w:t>
      </w:r>
      <w:r>
        <w:rPr>
          <w:color w:val="231F20"/>
          <w:spacing w:val="19"/>
        </w:rPr>
        <w:t> </w:t>
      </w:r>
      <w:r>
        <w:rPr>
          <w:color w:val="231F20"/>
        </w:rPr>
        <w:t>and</w:t>
      </w:r>
      <w:r>
        <w:rPr>
          <w:color w:val="231F20"/>
          <w:spacing w:val="19"/>
        </w:rPr>
        <w:t> </w:t>
      </w:r>
      <w:r>
        <w:rPr>
          <w:color w:val="231F20"/>
        </w:rPr>
        <w:t>stop</w:t>
      </w:r>
      <w:r>
        <w:rPr>
          <w:color w:val="231F20"/>
          <w:spacing w:val="19"/>
        </w:rPr>
        <w:t> </w:t>
      </w:r>
      <w:r>
        <w:rPr>
          <w:color w:val="231F20"/>
        </w:rPr>
        <w:t>policies.</w:t>
      </w:r>
      <w:r>
        <w:rPr>
          <w:color w:val="231F20"/>
          <w:spacing w:val="19"/>
        </w:rPr>
        <w:t> </w:t>
      </w:r>
      <w:r>
        <w:rPr>
          <w:color w:val="231F20"/>
        </w:rPr>
        <w:t>With</w:t>
      </w:r>
      <w:r>
        <w:rPr>
          <w:color w:val="231F20"/>
          <w:spacing w:val="19"/>
        </w:rPr>
        <w:t> </w:t>
      </w:r>
      <w:r>
        <w:rPr>
          <w:color w:val="231F20"/>
        </w:rPr>
        <w:t>this</w:t>
      </w:r>
      <w:r>
        <w:rPr>
          <w:color w:val="231F20"/>
          <w:spacing w:val="19"/>
        </w:rPr>
        <w:t> </w:t>
      </w:r>
      <w:r>
        <w:rPr>
          <w:color w:val="231F20"/>
        </w:rPr>
        <w:t>permission</w:t>
      </w:r>
    </w:p>
    <w:p>
      <w:pPr>
        <w:spacing w:line="213" w:lineRule="auto" w:before="73"/>
        <w:ind w:left="2951" w:right="603" w:firstLine="0"/>
        <w:jc w:val="left"/>
        <w:rPr>
          <w:sz w:val="20"/>
        </w:rPr>
      </w:pPr>
      <w:r>
        <w:rPr>
          <w:color w:val="231F20"/>
          <w:sz w:val="20"/>
        </w:rPr>
        <w:t>enabled,</w:t>
      </w:r>
      <w:r>
        <w:rPr>
          <w:color w:val="231F20"/>
          <w:spacing w:val="80"/>
          <w:sz w:val="20"/>
        </w:rPr>
        <w:t> </w:t>
      </w:r>
      <w:r>
        <w:rPr>
          <w:color w:val="231F20"/>
          <w:spacing w:val="-8"/>
          <w:position w:val="-1"/>
          <w:sz w:val="20"/>
        </w:rPr>
        <w:drawing>
          <wp:inline distT="0" distB="0" distL="0" distR="0">
            <wp:extent cx="90054" cy="145472"/>
            <wp:effectExtent l="0" t="0" r="0" b="0"/>
            <wp:docPr id="2961" name="Image 2961"/>
            <wp:cNvGraphicFramePr>
              <a:graphicFrameLocks/>
            </wp:cNvGraphicFramePr>
            <a:graphic>
              <a:graphicData uri="http://schemas.openxmlformats.org/drawingml/2006/picture">
                <pic:pic>
                  <pic:nvPicPr>
                    <pic:cNvPr id="2961" name="Image 2961"/>
                    <pic:cNvPicPr/>
                  </pic:nvPicPr>
                  <pic:blipFill>
                    <a:blip r:embed="rId166" cstate="print"/>
                    <a:stretch>
                      <a:fillRect/>
                    </a:stretch>
                  </pic:blipFill>
                  <pic:spPr>
                    <a:xfrm>
                      <a:off x="0" y="0"/>
                      <a:ext cx="90054" cy="145472"/>
                    </a:xfrm>
                    <a:prstGeom prst="rect">
                      <a:avLst/>
                    </a:prstGeom>
                  </pic:spPr>
                </pic:pic>
              </a:graphicData>
            </a:graphic>
          </wp:inline>
        </w:drawing>
      </w:r>
      <w:r>
        <w:rPr>
          <w:color w:val="231F20"/>
          <w:spacing w:val="-8"/>
          <w:position w:val="-1"/>
          <w:sz w:val="20"/>
        </w:rPr>
      </w:r>
      <w:r>
        <w:rPr>
          <w:rFonts w:ascii="Times New Roman"/>
          <w:color w:val="231F20"/>
          <w:spacing w:val="22"/>
          <w:sz w:val="20"/>
        </w:rPr>
        <w:t> </w:t>
      </w:r>
      <w:r>
        <w:rPr>
          <w:rFonts w:ascii="Book Antiqua"/>
          <w:b/>
          <w:color w:val="231F20"/>
          <w:sz w:val="20"/>
        </w:rPr>
        <w:t>Start Policy </w:t>
      </w:r>
      <w:r>
        <w:rPr>
          <w:color w:val="231F20"/>
          <w:sz w:val="20"/>
        </w:rPr>
        <w:t>and</w:t>
      </w:r>
      <w:r>
        <w:rPr>
          <w:color w:val="231F20"/>
          <w:spacing w:val="24"/>
          <w:sz w:val="20"/>
        </w:rPr>
        <w:t> </w:t>
      </w:r>
      <w:r>
        <w:rPr>
          <w:color w:val="231F20"/>
          <w:spacing w:val="-19"/>
          <w:position w:val="-1"/>
          <w:sz w:val="20"/>
        </w:rPr>
        <w:drawing>
          <wp:inline distT="0" distB="0" distL="0" distR="0">
            <wp:extent cx="142875" cy="142875"/>
            <wp:effectExtent l="0" t="0" r="0" b="0"/>
            <wp:docPr id="2962" name="Image 2962"/>
            <wp:cNvGraphicFramePr>
              <a:graphicFrameLocks/>
            </wp:cNvGraphicFramePr>
            <a:graphic>
              <a:graphicData uri="http://schemas.openxmlformats.org/drawingml/2006/picture">
                <pic:pic>
                  <pic:nvPicPr>
                    <pic:cNvPr id="2962" name="Image 2962"/>
                    <pic:cNvPicPr/>
                  </pic:nvPicPr>
                  <pic:blipFill>
                    <a:blip r:embed="rId38" cstate="print"/>
                    <a:stretch>
                      <a:fillRect/>
                    </a:stretch>
                  </pic:blipFill>
                  <pic:spPr>
                    <a:xfrm>
                      <a:off x="0" y="0"/>
                      <a:ext cx="142875" cy="142875"/>
                    </a:xfrm>
                    <a:prstGeom prst="rect">
                      <a:avLst/>
                    </a:prstGeom>
                  </pic:spPr>
                </pic:pic>
              </a:graphicData>
            </a:graphic>
          </wp:inline>
        </w:drawing>
      </w:r>
      <w:r>
        <w:rPr>
          <w:color w:val="231F20"/>
          <w:spacing w:val="-19"/>
          <w:position w:val="-1"/>
          <w:sz w:val="20"/>
        </w:rPr>
      </w:r>
      <w:r>
        <w:rPr>
          <w:rFonts w:ascii="Times New Roman"/>
          <w:color w:val="231F20"/>
          <w:spacing w:val="12"/>
          <w:sz w:val="20"/>
        </w:rPr>
        <w:t> </w:t>
      </w:r>
      <w:r>
        <w:rPr>
          <w:rFonts w:ascii="Book Antiqua"/>
          <w:b/>
          <w:color w:val="231F20"/>
          <w:sz w:val="20"/>
        </w:rPr>
        <w:t>Stop Policy </w:t>
      </w:r>
      <w:r>
        <w:rPr>
          <w:color w:val="231F20"/>
          <w:sz w:val="20"/>
        </w:rPr>
        <w:t>are available when you </w:t>
      </w:r>
      <w:r>
        <w:rPr>
          <w:color w:val="231F20"/>
          <w:sz w:val="20"/>
        </w:rPr>
        <w:t>select</w:t>
      </w:r>
      <w:r>
        <w:rPr>
          <w:color w:val="231F20"/>
          <w:spacing w:val="40"/>
          <w:sz w:val="20"/>
        </w:rPr>
        <w:t> </w:t>
      </w:r>
      <w:r>
        <w:rPr>
          <w:color w:val="231F20"/>
          <w:sz w:val="20"/>
        </w:rPr>
        <w:t>a policy.</w:t>
      </w:r>
    </w:p>
    <w:p>
      <w:pPr>
        <w:spacing w:after="0" w:line="213" w:lineRule="auto"/>
        <w:jc w:val="left"/>
        <w:rPr>
          <w:sz w:val="20"/>
        </w:rPr>
        <w:sectPr>
          <w:type w:val="continuous"/>
          <w:pgSz w:w="12240" w:h="15840"/>
          <w:pgMar w:header="0" w:footer="736" w:top="0" w:bottom="4660" w:left="1000" w:right="1060"/>
        </w:sectPr>
      </w:pPr>
    </w:p>
    <w:p>
      <w:pPr>
        <w:pStyle w:val="BodyText"/>
        <w:spacing w:line="213" w:lineRule="auto" w:before="85"/>
        <w:ind w:left="3190"/>
      </w:pPr>
      <w:r>
        <w:rPr>
          <w:position w:val="-3"/>
        </w:rPr>
        <w:drawing>
          <wp:inline distT="0" distB="0" distL="0" distR="0">
            <wp:extent cx="106135" cy="106135"/>
            <wp:effectExtent l="0" t="0" r="0" b="0"/>
            <wp:docPr id="2963" name="Image 2963"/>
            <wp:cNvGraphicFramePr>
              <a:graphicFrameLocks/>
            </wp:cNvGraphicFramePr>
            <a:graphic>
              <a:graphicData uri="http://schemas.openxmlformats.org/drawingml/2006/picture">
                <pic:pic>
                  <pic:nvPicPr>
                    <pic:cNvPr id="2963" name="Image 2963"/>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open the Workflow editor to create and edit policies. With the Modify permission enabled,</w:t>
      </w:r>
      <w:r>
        <w:rPr>
          <w:color w:val="231F20"/>
          <w:spacing w:val="29"/>
        </w:rPr>
        <w:t> </w:t>
      </w:r>
      <w:r>
        <w:rPr>
          <w:color w:val="231F20"/>
          <w:spacing w:val="-22"/>
          <w:position w:val="-5"/>
        </w:rPr>
        <w:drawing>
          <wp:inline distT="0" distB="0" distL="0" distR="0">
            <wp:extent cx="119062" cy="127000"/>
            <wp:effectExtent l="0" t="0" r="0" b="0"/>
            <wp:docPr id="2964" name="Image 2964"/>
            <wp:cNvGraphicFramePr>
              <a:graphicFrameLocks/>
            </wp:cNvGraphicFramePr>
            <a:graphic>
              <a:graphicData uri="http://schemas.openxmlformats.org/drawingml/2006/picture">
                <pic:pic>
                  <pic:nvPicPr>
                    <pic:cNvPr id="2964" name="Image 2964"/>
                    <pic:cNvPicPr/>
                  </pic:nvPicPr>
                  <pic:blipFill>
                    <a:blip r:embed="rId26" cstate="print"/>
                    <a:stretch>
                      <a:fillRect/>
                    </a:stretch>
                  </pic:blipFill>
                  <pic:spPr>
                    <a:xfrm>
                      <a:off x="0" y="0"/>
                      <a:ext cx="119062" cy="127000"/>
                    </a:xfrm>
                    <a:prstGeom prst="rect">
                      <a:avLst/>
                    </a:prstGeom>
                  </pic:spPr>
                </pic:pic>
              </a:graphicData>
            </a:graphic>
          </wp:inline>
        </w:drawing>
      </w:r>
      <w:r>
        <w:rPr>
          <w:color w:val="231F20"/>
          <w:spacing w:val="-22"/>
          <w:position w:val="-5"/>
        </w:rPr>
      </w:r>
      <w:r>
        <w:rPr>
          <w:rFonts w:ascii="Times New Roman"/>
          <w:color w:val="231F20"/>
          <w:spacing w:val="22"/>
        </w:rPr>
        <w:t> </w:t>
      </w:r>
      <w:r>
        <w:rPr>
          <w:rFonts w:ascii="Book Antiqua"/>
          <w:b/>
          <w:color w:val="231F20"/>
        </w:rPr>
        <w:t>New Policy </w:t>
      </w:r>
      <w:r>
        <w:rPr>
          <w:color w:val="231F20"/>
        </w:rPr>
        <w:t>is available</w:t>
      </w:r>
    </w:p>
    <w:p>
      <w:pPr>
        <w:spacing w:line="283" w:lineRule="auto" w:before="45"/>
        <w:ind w:left="3190" w:right="545" w:firstLine="0"/>
        <w:jc w:val="left"/>
        <w:rPr>
          <w:sz w:val="20"/>
        </w:rPr>
      </w:pPr>
      <w:r>
        <w:rPr>
          <w:color w:val="231F20"/>
          <w:sz w:val="20"/>
        </w:rPr>
        <w:t>after the user selects a policy, as are the other editing tools:</w:t>
      </w:r>
      <w:r>
        <w:rPr>
          <w:color w:val="231F20"/>
          <w:spacing w:val="21"/>
          <w:sz w:val="20"/>
        </w:rPr>
        <w:t> </w:t>
      </w:r>
      <w:r>
        <w:rPr>
          <w:color w:val="231F20"/>
          <w:spacing w:val="-20"/>
          <w:position w:val="-1"/>
          <w:sz w:val="20"/>
        </w:rPr>
        <w:drawing>
          <wp:inline distT="0" distB="0" distL="0" distR="0">
            <wp:extent cx="142875" cy="152400"/>
            <wp:effectExtent l="0" t="0" r="0" b="0"/>
            <wp:docPr id="2965" name="Image 2965"/>
            <wp:cNvGraphicFramePr>
              <a:graphicFrameLocks/>
            </wp:cNvGraphicFramePr>
            <a:graphic>
              <a:graphicData uri="http://schemas.openxmlformats.org/drawingml/2006/picture">
                <pic:pic>
                  <pic:nvPicPr>
                    <pic:cNvPr id="2965" name="Image 2965"/>
                    <pic:cNvPicPr/>
                  </pic:nvPicPr>
                  <pic:blipFill>
                    <a:blip r:embed="rId74" cstate="print"/>
                    <a:stretch>
                      <a:fillRect/>
                    </a:stretch>
                  </pic:blipFill>
                  <pic:spPr>
                    <a:xfrm>
                      <a:off x="0" y="0"/>
                      <a:ext cx="142875" cy="152400"/>
                    </a:xfrm>
                    <a:prstGeom prst="rect">
                      <a:avLst/>
                    </a:prstGeom>
                  </pic:spPr>
                </pic:pic>
              </a:graphicData>
            </a:graphic>
          </wp:inline>
        </w:drawing>
      </w:r>
      <w:r>
        <w:rPr>
          <w:color w:val="231F20"/>
          <w:spacing w:val="-20"/>
          <w:position w:val="-1"/>
          <w:sz w:val="20"/>
        </w:rPr>
      </w:r>
      <w:r>
        <w:rPr>
          <w:rFonts w:ascii="Times New Roman"/>
          <w:color w:val="231F20"/>
          <w:spacing w:val="12"/>
          <w:sz w:val="20"/>
        </w:rPr>
        <w:t> </w:t>
      </w:r>
      <w:r>
        <w:rPr>
          <w:rFonts w:ascii="Book Antiqua"/>
          <w:b/>
          <w:color w:val="231F20"/>
          <w:sz w:val="20"/>
        </w:rPr>
        <w:t>Edit Workflow</w:t>
      </w:r>
      <w:r>
        <w:rPr>
          <w:color w:val="231F20"/>
          <w:sz w:val="20"/>
        </w:rPr>
        <w:t>,</w:t>
      </w:r>
      <w:r>
        <w:rPr>
          <w:color w:val="231F20"/>
          <w:spacing w:val="40"/>
          <w:sz w:val="20"/>
        </w:rPr>
        <w:t> </w:t>
      </w:r>
      <w:r>
        <w:rPr>
          <w:color w:val="231F20"/>
          <w:spacing w:val="-4"/>
          <w:position w:val="-1"/>
          <w:sz w:val="20"/>
        </w:rPr>
        <w:drawing>
          <wp:inline distT="0" distB="0" distL="0" distR="0">
            <wp:extent cx="123825" cy="142875"/>
            <wp:effectExtent l="0" t="0" r="0" b="0"/>
            <wp:docPr id="2966" name="Image 2966"/>
            <wp:cNvGraphicFramePr>
              <a:graphicFrameLocks/>
            </wp:cNvGraphicFramePr>
            <a:graphic>
              <a:graphicData uri="http://schemas.openxmlformats.org/drawingml/2006/picture">
                <pic:pic>
                  <pic:nvPicPr>
                    <pic:cNvPr id="2966" name="Image 2966"/>
                    <pic:cNvPicPr/>
                  </pic:nvPicPr>
                  <pic:blipFill>
                    <a:blip r:embed="rId332" cstate="print"/>
                    <a:stretch>
                      <a:fillRect/>
                    </a:stretch>
                  </pic:blipFill>
                  <pic:spPr>
                    <a:xfrm>
                      <a:off x="0" y="0"/>
                      <a:ext cx="123825" cy="142875"/>
                    </a:xfrm>
                    <a:prstGeom prst="rect">
                      <a:avLst/>
                    </a:prstGeom>
                  </pic:spPr>
                </pic:pic>
              </a:graphicData>
            </a:graphic>
          </wp:inline>
        </w:drawing>
      </w:r>
      <w:r>
        <w:rPr>
          <w:color w:val="231F20"/>
          <w:spacing w:val="-4"/>
          <w:position w:val="-1"/>
          <w:sz w:val="20"/>
        </w:rPr>
      </w:r>
      <w:r>
        <w:rPr>
          <w:rFonts w:ascii="Times New Roman"/>
          <w:color w:val="231F20"/>
          <w:spacing w:val="-4"/>
          <w:sz w:val="20"/>
        </w:rPr>
        <w:t> </w:t>
      </w:r>
      <w:r>
        <w:rPr>
          <w:rFonts w:ascii="Book Antiqua"/>
          <w:b/>
          <w:color w:val="231F20"/>
          <w:sz w:val="20"/>
        </w:rPr>
        <w:t>Copy Policy</w:t>
      </w:r>
      <w:r>
        <w:rPr>
          <w:color w:val="231F20"/>
          <w:sz w:val="20"/>
        </w:rPr>
        <w:t>, and</w:t>
      </w:r>
      <w:r>
        <w:rPr>
          <w:color w:val="231F20"/>
          <w:spacing w:val="40"/>
          <w:sz w:val="20"/>
        </w:rPr>
        <w:t> </w:t>
      </w:r>
      <w:r>
        <w:rPr>
          <w:color w:val="231F20"/>
          <w:spacing w:val="-22"/>
          <w:position w:val="-5"/>
          <w:sz w:val="20"/>
        </w:rPr>
        <w:drawing>
          <wp:inline distT="0" distB="0" distL="0" distR="0">
            <wp:extent cx="119062" cy="127000"/>
            <wp:effectExtent l="0" t="0" r="0" b="0"/>
            <wp:docPr id="2967" name="Image 2967"/>
            <wp:cNvGraphicFramePr>
              <a:graphicFrameLocks/>
            </wp:cNvGraphicFramePr>
            <a:graphic>
              <a:graphicData uri="http://schemas.openxmlformats.org/drawingml/2006/picture">
                <pic:pic>
                  <pic:nvPicPr>
                    <pic:cNvPr id="2967" name="Image 2967"/>
                    <pic:cNvPicPr/>
                  </pic:nvPicPr>
                  <pic:blipFill>
                    <a:blip r:embed="rId269" cstate="print"/>
                    <a:stretch>
                      <a:fillRect/>
                    </a:stretch>
                  </pic:blipFill>
                  <pic:spPr>
                    <a:xfrm>
                      <a:off x="0" y="0"/>
                      <a:ext cx="119062" cy="127000"/>
                    </a:xfrm>
                    <a:prstGeom prst="rect">
                      <a:avLst/>
                    </a:prstGeom>
                  </pic:spPr>
                </pic:pic>
              </a:graphicData>
            </a:graphic>
          </wp:inline>
        </w:drawing>
      </w:r>
      <w:r>
        <w:rPr>
          <w:color w:val="231F20"/>
          <w:spacing w:val="-22"/>
          <w:position w:val="-5"/>
          <w:sz w:val="20"/>
        </w:rPr>
      </w:r>
      <w:r>
        <w:rPr>
          <w:rFonts w:ascii="Times New Roman"/>
          <w:color w:val="231F20"/>
          <w:spacing w:val="39"/>
          <w:sz w:val="20"/>
        </w:rPr>
        <w:t> </w:t>
      </w:r>
      <w:r>
        <w:rPr>
          <w:rFonts w:ascii="Book Antiqua"/>
          <w:b/>
          <w:color w:val="231F20"/>
          <w:sz w:val="20"/>
        </w:rPr>
        <w:t>Delete Policy</w:t>
      </w:r>
      <w:r>
        <w:rPr>
          <w:color w:val="231F20"/>
          <w:sz w:val="20"/>
        </w:rPr>
        <w:t>.</w:t>
      </w:r>
    </w:p>
    <w:p>
      <w:pPr>
        <w:pStyle w:val="BodyText"/>
        <w:spacing w:line="213" w:lineRule="auto" w:before="60"/>
        <w:ind w:left="3190" w:right="385" w:hanging="719"/>
      </w:pPr>
      <w:r>
        <w:rPr>
          <w:rFonts w:ascii="Book Antiqua"/>
          <w:b/>
          <w:color w:val="231F20"/>
        </w:rPr>
        <w:t>Query</w:t>
      </w:r>
      <w:r>
        <w:rPr>
          <w:rFonts w:ascii="Book Antiqua"/>
          <w:b/>
          <w:color w:val="231F20"/>
          <w:spacing w:val="80"/>
        </w:rPr>
        <w:t> </w:t>
      </w:r>
      <w:r>
        <w:rPr>
          <w:rFonts w:ascii="Book Antiqua"/>
          <w:b/>
          <w:color w:val="231F20"/>
          <w:spacing w:val="-9"/>
          <w:position w:val="-3"/>
        </w:rPr>
        <w:drawing>
          <wp:inline distT="0" distB="0" distL="0" distR="0">
            <wp:extent cx="106135" cy="106135"/>
            <wp:effectExtent l="0" t="0" r="0" b="0"/>
            <wp:docPr id="2968" name="Image 2968"/>
            <wp:cNvGraphicFramePr>
              <a:graphicFrameLocks/>
            </wp:cNvGraphicFramePr>
            <a:graphic>
              <a:graphicData uri="http://schemas.openxmlformats.org/drawingml/2006/picture">
                <pic:pic>
                  <pic:nvPicPr>
                    <pic:cNvPr id="2968" name="Image 2968"/>
                    <pic:cNvPicPr/>
                  </pic:nvPicPr>
                  <pic:blipFill>
                    <a:blip r:embed="rId87" cstate="print"/>
                    <a:stretch>
                      <a:fillRect/>
                    </a:stretch>
                  </pic:blipFill>
                  <pic:spPr>
                    <a:xfrm>
                      <a:off x="0" y="0"/>
                      <a:ext cx="106135" cy="106135"/>
                    </a:xfrm>
                    <a:prstGeom prst="rect">
                      <a:avLst/>
                    </a:prstGeom>
                  </pic:spPr>
                </pic:pic>
              </a:graphicData>
            </a:graphic>
          </wp:inline>
        </w:drawing>
      </w:r>
      <w:r>
        <w:rPr>
          <w:rFonts w:ascii="Book Antiqua"/>
          <w:b/>
          <w:color w:val="231F20"/>
          <w:spacing w:val="-9"/>
          <w:position w:val="-3"/>
        </w:rPr>
      </w:r>
      <w:r>
        <w:rPr>
          <w:rFonts w:ascii="Times New Roman"/>
          <w:color w:val="231F20"/>
          <w:spacing w:val="40"/>
        </w:rPr>
        <w:t> </w:t>
      </w:r>
      <w:r>
        <w:rPr>
          <w:rFonts w:ascii="Book Antiqua"/>
          <w:b/>
          <w:color w:val="231F20"/>
        </w:rPr>
        <w:t>View </w:t>
      </w:r>
      <w:r>
        <w:rPr>
          <w:color w:val="231F20"/>
        </w:rPr>
        <w:t>allows the user to access the Query editor through the </w:t>
      </w:r>
      <w:r>
        <w:rPr>
          <w:color w:val="231F20"/>
        </w:rPr>
        <w:t>Properties editor and select a query for the selected table or chart. With the View permission enabled, the user can assign a query through the Query tab of the Properties editor.</w:t>
      </w:r>
    </w:p>
    <w:p>
      <w:pPr>
        <w:pStyle w:val="BodyText"/>
        <w:spacing w:line="213" w:lineRule="auto" w:before="117"/>
        <w:ind w:left="3190" w:right="385"/>
      </w:pPr>
      <w:r>
        <w:rPr>
          <w:position w:val="-3"/>
        </w:rPr>
        <w:drawing>
          <wp:inline distT="0" distB="0" distL="0" distR="0">
            <wp:extent cx="106135" cy="106135"/>
            <wp:effectExtent l="0" t="0" r="0" b="0"/>
            <wp:docPr id="2969" name="Image 2969"/>
            <wp:cNvGraphicFramePr>
              <a:graphicFrameLocks/>
            </wp:cNvGraphicFramePr>
            <a:graphic>
              <a:graphicData uri="http://schemas.openxmlformats.org/drawingml/2006/picture">
                <pic:pic>
                  <pic:nvPicPr>
                    <pic:cNvPr id="2969" name="Image 2969"/>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create, edit and delete queries in the Query</w:t>
      </w:r>
      <w:r>
        <w:rPr>
          <w:color w:val="231F20"/>
          <w:spacing w:val="40"/>
        </w:rPr>
        <w:t> </w:t>
      </w:r>
      <w:r>
        <w:rPr>
          <w:color w:val="231F20"/>
        </w:rPr>
        <w:t>editor. With the Modify permission enabled,</w:t>
      </w:r>
      <w:r>
        <w:rPr>
          <w:color w:val="231F20"/>
          <w:spacing w:val="24"/>
        </w:rPr>
        <w:t> </w:t>
      </w:r>
      <w:r>
        <w:rPr>
          <w:color w:val="231F20"/>
          <w:spacing w:val="-25"/>
          <w:position w:val="-1"/>
        </w:rPr>
        <w:drawing>
          <wp:inline distT="0" distB="0" distL="0" distR="0">
            <wp:extent cx="95250" cy="101600"/>
            <wp:effectExtent l="0" t="0" r="0" b="0"/>
            <wp:docPr id="2970" name="Image 2970"/>
            <wp:cNvGraphicFramePr>
              <a:graphicFrameLocks/>
            </wp:cNvGraphicFramePr>
            <a:graphic>
              <a:graphicData uri="http://schemas.openxmlformats.org/drawingml/2006/picture">
                <pic:pic>
                  <pic:nvPicPr>
                    <pic:cNvPr id="2970" name="Image 2970"/>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23"/>
        </w:rPr>
        <w:t> </w:t>
      </w:r>
      <w:r>
        <w:rPr>
          <w:rFonts w:ascii="Book Antiqua"/>
          <w:b/>
          <w:color w:val="231F20"/>
        </w:rPr>
        <w:t>Query Editor </w:t>
      </w:r>
      <w:r>
        <w:rPr>
          <w:color w:val="231F20"/>
        </w:rPr>
        <w:t>is available from the main toolbar, as are the query editing tools.</w:t>
      </w:r>
    </w:p>
    <w:p>
      <w:pPr>
        <w:pStyle w:val="Heading6"/>
        <w:spacing w:line="240" w:lineRule="auto" w:before="116"/>
      </w:pPr>
      <w:r>
        <w:rPr>
          <w:color w:val="231F20"/>
          <w:spacing w:val="-2"/>
        </w:rPr>
        <w:t>Situation</w:t>
      </w:r>
    </w:p>
    <w:p>
      <w:pPr>
        <w:pStyle w:val="BodyText"/>
        <w:spacing w:line="211" w:lineRule="auto" w:before="7"/>
        <w:ind w:left="3190" w:right="353"/>
      </w:pPr>
      <w:r>
        <w:rPr/>
        <w:drawing>
          <wp:inline distT="0" distB="0" distL="0" distR="0">
            <wp:extent cx="82550" cy="82550"/>
            <wp:effectExtent l="0" t="0" r="0" b="0"/>
            <wp:docPr id="2971" name="Image 2971"/>
            <wp:cNvGraphicFramePr>
              <a:graphicFrameLocks/>
            </wp:cNvGraphicFramePr>
            <a:graphic>
              <a:graphicData uri="http://schemas.openxmlformats.org/drawingml/2006/picture">
                <pic:pic>
                  <pic:nvPicPr>
                    <pic:cNvPr id="2971" name="Image 2971"/>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View </w:t>
      </w:r>
      <w:r>
        <w:rPr>
          <w:color w:val="231F20"/>
        </w:rPr>
        <w:t>allows the user to see situations in the Situation editor, including any expression overrides, and in the Manage Situations at Managed</w:t>
      </w:r>
      <w:r>
        <w:rPr>
          <w:color w:val="231F20"/>
          <w:spacing w:val="80"/>
        </w:rPr>
        <w:t> </w:t>
      </w:r>
      <w:r>
        <w:rPr>
          <w:color w:val="231F20"/>
        </w:rPr>
        <w:t>System window. With the View permission enabled, </w:t>
      </w:r>
      <w:r>
        <w:rPr>
          <w:color w:val="231F20"/>
          <w:spacing w:val="15"/>
          <w:position w:val="-1"/>
        </w:rPr>
        <w:drawing>
          <wp:inline distT="0" distB="0" distL="0" distR="0">
            <wp:extent cx="101600" cy="95250"/>
            <wp:effectExtent l="0" t="0" r="0" b="0"/>
            <wp:docPr id="2972" name="Image 2972"/>
            <wp:cNvGraphicFramePr>
              <a:graphicFrameLocks/>
            </wp:cNvGraphicFramePr>
            <a:graphic>
              <a:graphicData uri="http://schemas.openxmlformats.org/drawingml/2006/picture">
                <pic:pic>
                  <pic:nvPicPr>
                    <pic:cNvPr id="2972" name="Image 2972"/>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39"/>
        </w:rPr>
        <w:t> </w:t>
      </w:r>
      <w:r>
        <w:rPr>
          <w:rFonts w:ascii="Book Antiqua"/>
          <w:b/>
          <w:color w:val="231F20"/>
        </w:rPr>
        <w:t>Situation Editor </w:t>
      </w:r>
      <w:r>
        <w:rPr>
          <w:color w:val="231F20"/>
        </w:rPr>
        <w:t>is available in the main toolbar and in the Navigator item (except at the platform level) pop-up menu.</w:t>
      </w:r>
    </w:p>
    <w:p>
      <w:pPr>
        <w:pStyle w:val="BodyText"/>
        <w:spacing w:line="211" w:lineRule="auto" w:before="130"/>
        <w:ind w:left="3190" w:right="466" w:hanging="1"/>
      </w:pPr>
      <w:r>
        <w:rPr/>
        <w:drawing>
          <wp:inline distT="0" distB="0" distL="0" distR="0">
            <wp:extent cx="82550" cy="82550"/>
            <wp:effectExtent l="0" t="0" r="0" b="0"/>
            <wp:docPr id="2973" name="Image 2973"/>
            <wp:cNvGraphicFramePr>
              <a:graphicFrameLocks/>
            </wp:cNvGraphicFramePr>
            <a:graphic>
              <a:graphicData uri="http://schemas.openxmlformats.org/drawingml/2006/picture">
                <pic:pic>
                  <pic:nvPicPr>
                    <pic:cNvPr id="2973" name="Image 2973"/>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Modify </w:t>
      </w:r>
      <w:r>
        <w:rPr>
          <w:color w:val="231F20"/>
        </w:rPr>
        <w:t>lets you create new situations and manage them. When the Modify</w:t>
      </w:r>
      <w:r>
        <w:rPr>
          <w:color w:val="231F20"/>
          <w:spacing w:val="32"/>
        </w:rPr>
        <w:t> </w:t>
      </w:r>
      <w:r>
        <w:rPr>
          <w:color w:val="231F20"/>
        </w:rPr>
        <w:t>permission</w:t>
      </w:r>
      <w:r>
        <w:rPr>
          <w:color w:val="231F20"/>
          <w:spacing w:val="32"/>
        </w:rPr>
        <w:t> </w:t>
      </w:r>
      <w:r>
        <w:rPr>
          <w:color w:val="231F20"/>
        </w:rPr>
        <w:t>has</w:t>
      </w:r>
      <w:r>
        <w:rPr>
          <w:color w:val="231F20"/>
          <w:spacing w:val="32"/>
        </w:rPr>
        <w:t> </w:t>
      </w:r>
      <w:r>
        <w:rPr>
          <w:color w:val="231F20"/>
        </w:rPr>
        <w:t>been</w:t>
      </w:r>
      <w:r>
        <w:rPr>
          <w:color w:val="231F20"/>
          <w:spacing w:val="32"/>
        </w:rPr>
        <w:t> </w:t>
      </w:r>
      <w:r>
        <w:rPr>
          <w:color w:val="231F20"/>
        </w:rPr>
        <w:t>granted,</w:t>
      </w:r>
      <w:r>
        <w:rPr>
          <w:color w:val="231F20"/>
          <w:spacing w:val="32"/>
        </w:rPr>
        <w:t> </w:t>
      </w:r>
      <w:r>
        <w:rPr>
          <w:color w:val="231F20"/>
        </w:rPr>
        <w:t>the</w:t>
      </w:r>
      <w:r>
        <w:rPr>
          <w:color w:val="231F20"/>
          <w:spacing w:val="32"/>
        </w:rPr>
        <w:t> </w:t>
      </w:r>
      <w:r>
        <w:rPr>
          <w:color w:val="231F20"/>
        </w:rPr>
        <w:t>situation</w:t>
      </w:r>
      <w:r>
        <w:rPr>
          <w:color w:val="231F20"/>
          <w:spacing w:val="32"/>
        </w:rPr>
        <w:t> </w:t>
      </w:r>
      <w:r>
        <w:rPr>
          <w:color w:val="231F20"/>
        </w:rPr>
        <w:t>editing</w:t>
      </w:r>
      <w:r>
        <w:rPr>
          <w:color w:val="231F20"/>
          <w:spacing w:val="32"/>
        </w:rPr>
        <w:t> </w:t>
      </w:r>
      <w:r>
        <w:rPr>
          <w:color w:val="231F20"/>
        </w:rPr>
        <w:t>tools</w:t>
      </w:r>
      <w:r>
        <w:rPr>
          <w:color w:val="231F20"/>
          <w:spacing w:val="32"/>
        </w:rPr>
        <w:t> </w:t>
      </w:r>
      <w:r>
        <w:rPr>
          <w:color w:val="231F20"/>
        </w:rPr>
        <w:t>and pop-up menu options are available in the Situation editor, as well as </w:t>
      </w:r>
      <w:r>
        <w:rPr>
          <w:color w:val="231F20"/>
        </w:rPr>
        <w:t>the</w:t>
      </w:r>
    </w:p>
    <w:p>
      <w:pPr>
        <w:spacing w:line="246" w:lineRule="exact" w:before="0"/>
        <w:ind w:left="3190" w:right="0" w:firstLine="0"/>
        <w:jc w:val="left"/>
        <w:rPr>
          <w:sz w:val="20"/>
        </w:rPr>
      </w:pPr>
      <w:r>
        <w:rPr>
          <w:rFonts w:ascii="Book Antiqua"/>
          <w:b/>
          <w:color w:val="231F20"/>
          <w:sz w:val="20"/>
        </w:rPr>
        <w:t>Override</w:t>
      </w:r>
      <w:r>
        <w:rPr>
          <w:rFonts w:ascii="Book Antiqua"/>
          <w:b/>
          <w:color w:val="231F20"/>
          <w:spacing w:val="10"/>
          <w:sz w:val="20"/>
        </w:rPr>
        <w:t> </w:t>
      </w:r>
      <w:r>
        <w:rPr>
          <w:rFonts w:ascii="Book Antiqua"/>
          <w:b/>
          <w:color w:val="231F20"/>
          <w:sz w:val="20"/>
        </w:rPr>
        <w:t>Formula</w:t>
      </w:r>
      <w:r>
        <w:rPr>
          <w:rFonts w:ascii="Book Antiqua"/>
          <w:b/>
          <w:color w:val="231F20"/>
          <w:spacing w:val="10"/>
          <w:sz w:val="20"/>
        </w:rPr>
        <w:t> </w:t>
      </w:r>
      <w:r>
        <w:rPr>
          <w:color w:val="231F20"/>
          <w:sz w:val="20"/>
        </w:rPr>
        <w:t>button</w:t>
      </w:r>
      <w:r>
        <w:rPr>
          <w:color w:val="231F20"/>
          <w:spacing w:val="10"/>
          <w:sz w:val="20"/>
        </w:rPr>
        <w:t> </w:t>
      </w:r>
      <w:r>
        <w:rPr>
          <w:color w:val="231F20"/>
          <w:sz w:val="20"/>
        </w:rPr>
        <w:t>in</w:t>
      </w:r>
      <w:r>
        <w:rPr>
          <w:color w:val="231F20"/>
          <w:spacing w:val="11"/>
          <w:sz w:val="20"/>
        </w:rPr>
        <w:t> </w:t>
      </w:r>
      <w:r>
        <w:rPr>
          <w:color w:val="231F20"/>
          <w:sz w:val="20"/>
        </w:rPr>
        <w:t>the</w:t>
      </w:r>
      <w:r>
        <w:rPr>
          <w:color w:val="231F20"/>
          <w:spacing w:val="10"/>
          <w:sz w:val="20"/>
        </w:rPr>
        <w:t> </w:t>
      </w:r>
      <w:r>
        <w:rPr>
          <w:color w:val="231F20"/>
          <w:sz w:val="20"/>
        </w:rPr>
        <w:t>Distribution</w:t>
      </w:r>
      <w:r>
        <w:rPr>
          <w:color w:val="231F20"/>
          <w:spacing w:val="10"/>
          <w:sz w:val="20"/>
        </w:rPr>
        <w:t> </w:t>
      </w:r>
      <w:r>
        <w:rPr>
          <w:color w:val="231F20"/>
          <w:sz w:val="20"/>
        </w:rPr>
        <w:t>tab</w:t>
      </w:r>
      <w:r>
        <w:rPr>
          <w:color w:val="231F20"/>
          <w:spacing w:val="10"/>
          <w:sz w:val="20"/>
        </w:rPr>
        <w:t> </w:t>
      </w:r>
      <w:r>
        <w:rPr>
          <w:color w:val="231F20"/>
          <w:sz w:val="20"/>
        </w:rPr>
        <w:t>for</w:t>
      </w:r>
      <w:r>
        <w:rPr>
          <w:color w:val="231F20"/>
          <w:spacing w:val="11"/>
          <w:sz w:val="20"/>
        </w:rPr>
        <w:t> </w:t>
      </w:r>
      <w:r>
        <w:rPr>
          <w:color w:val="231F20"/>
          <w:sz w:val="20"/>
        </w:rPr>
        <w:t>qualifying</w:t>
      </w:r>
      <w:r>
        <w:rPr>
          <w:color w:val="231F20"/>
          <w:spacing w:val="10"/>
          <w:sz w:val="20"/>
        </w:rPr>
        <w:t> </w:t>
      </w:r>
      <w:r>
        <w:rPr>
          <w:color w:val="231F20"/>
          <w:spacing w:val="-2"/>
          <w:sz w:val="20"/>
        </w:rPr>
        <w:t>situations.</w:t>
      </w:r>
    </w:p>
    <w:p>
      <w:pPr>
        <w:pStyle w:val="BodyText"/>
        <w:spacing w:line="283" w:lineRule="auto" w:before="89"/>
        <w:ind w:left="3190" w:right="188"/>
      </w:pPr>
      <w:r>
        <w:rPr>
          <w:position w:val="-3"/>
        </w:rPr>
        <w:drawing>
          <wp:inline distT="0" distB="0" distL="0" distR="0">
            <wp:extent cx="106135" cy="106135"/>
            <wp:effectExtent l="0" t="0" r="0" b="0"/>
            <wp:docPr id="2974" name="Image 2974"/>
            <wp:cNvGraphicFramePr>
              <a:graphicFrameLocks/>
            </wp:cNvGraphicFramePr>
            <a:graphic>
              <a:graphicData uri="http://schemas.openxmlformats.org/drawingml/2006/picture">
                <pic:pic>
                  <pic:nvPicPr>
                    <pic:cNvPr id="2974" name="Image 2974"/>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Start/Stop </w:t>
      </w:r>
      <w:r>
        <w:rPr>
          <w:color w:val="231F20"/>
        </w:rPr>
        <w:t>lets you start or stop a situation and enable or disable a</w:t>
      </w:r>
      <w:r>
        <w:rPr>
          <w:color w:val="231F20"/>
          <w:spacing w:val="40"/>
        </w:rPr>
        <w:t> </w:t>
      </w:r>
      <w:r>
        <w:rPr>
          <w:color w:val="231F20"/>
        </w:rPr>
        <w:t>situation</w:t>
      </w:r>
      <w:r>
        <w:rPr>
          <w:color w:val="231F20"/>
          <w:spacing w:val="11"/>
        </w:rPr>
        <w:t> </w:t>
      </w:r>
      <w:r>
        <w:rPr>
          <w:color w:val="231F20"/>
        </w:rPr>
        <w:t>override.</w:t>
      </w:r>
      <w:r>
        <w:rPr>
          <w:color w:val="231F20"/>
          <w:spacing w:val="11"/>
        </w:rPr>
        <w:t> </w:t>
      </w:r>
      <w:r>
        <w:rPr>
          <w:color w:val="231F20"/>
        </w:rPr>
        <w:t>When</w:t>
      </w:r>
      <w:r>
        <w:rPr>
          <w:color w:val="231F20"/>
          <w:spacing w:val="11"/>
        </w:rPr>
        <w:t> </w:t>
      </w:r>
      <w:r>
        <w:rPr>
          <w:color w:val="231F20"/>
        </w:rPr>
        <w:t>this</w:t>
      </w:r>
      <w:r>
        <w:rPr>
          <w:color w:val="231F20"/>
          <w:spacing w:val="11"/>
        </w:rPr>
        <w:t> </w:t>
      </w:r>
      <w:r>
        <w:rPr>
          <w:color w:val="231F20"/>
        </w:rPr>
        <w:t>permission</w:t>
      </w:r>
      <w:r>
        <w:rPr>
          <w:color w:val="231F20"/>
          <w:spacing w:val="11"/>
        </w:rPr>
        <w:t> </w:t>
      </w:r>
      <w:r>
        <w:rPr>
          <w:color w:val="231F20"/>
        </w:rPr>
        <w:t>is</w:t>
      </w:r>
      <w:r>
        <w:rPr>
          <w:color w:val="231F20"/>
          <w:spacing w:val="11"/>
        </w:rPr>
        <w:t> </w:t>
      </w:r>
      <w:r>
        <w:rPr>
          <w:color w:val="231F20"/>
        </w:rPr>
        <w:t>enabled,</w:t>
      </w:r>
      <w:r>
        <w:rPr>
          <w:color w:val="231F20"/>
          <w:spacing w:val="55"/>
          <w:w w:val="150"/>
        </w:rPr>
        <w:t> </w:t>
      </w:r>
      <w:r>
        <w:rPr>
          <w:color w:val="231F20"/>
          <w:spacing w:val="-9"/>
          <w:position w:val="-1"/>
        </w:rPr>
        <w:drawing>
          <wp:inline distT="0" distB="0" distL="0" distR="0">
            <wp:extent cx="90054" cy="145472"/>
            <wp:effectExtent l="0" t="0" r="0" b="0"/>
            <wp:docPr id="2975" name="Image 2975"/>
            <wp:cNvGraphicFramePr>
              <a:graphicFrameLocks/>
            </wp:cNvGraphicFramePr>
            <a:graphic>
              <a:graphicData uri="http://schemas.openxmlformats.org/drawingml/2006/picture">
                <pic:pic>
                  <pic:nvPicPr>
                    <pic:cNvPr id="2975" name="Image 2975"/>
                    <pic:cNvPicPr/>
                  </pic:nvPicPr>
                  <pic:blipFill>
                    <a:blip r:embed="rId166" cstate="print"/>
                    <a:stretch>
                      <a:fillRect/>
                    </a:stretch>
                  </pic:blipFill>
                  <pic:spPr>
                    <a:xfrm>
                      <a:off x="0" y="0"/>
                      <a:ext cx="90054" cy="145472"/>
                    </a:xfrm>
                    <a:prstGeom prst="rect">
                      <a:avLst/>
                    </a:prstGeom>
                  </pic:spPr>
                </pic:pic>
              </a:graphicData>
            </a:graphic>
          </wp:inline>
        </w:drawing>
      </w:r>
      <w:r>
        <w:rPr>
          <w:color w:val="231F20"/>
          <w:spacing w:val="-9"/>
          <w:position w:val="-1"/>
        </w:rPr>
      </w:r>
      <w:r>
        <w:rPr>
          <w:rFonts w:ascii="Times New Roman"/>
          <w:color w:val="231F20"/>
          <w:spacing w:val="24"/>
        </w:rPr>
        <w:t> </w:t>
      </w:r>
      <w:r>
        <w:rPr>
          <w:rFonts w:ascii="Book Antiqua"/>
          <w:b/>
          <w:color w:val="231F20"/>
        </w:rPr>
        <w:t>Start</w:t>
      </w:r>
      <w:r>
        <w:rPr>
          <w:rFonts w:ascii="Book Antiqua"/>
          <w:b/>
          <w:color w:val="231F20"/>
          <w:spacing w:val="12"/>
        </w:rPr>
        <w:t> </w:t>
      </w:r>
      <w:r>
        <w:rPr>
          <w:rFonts w:ascii="Book Antiqua"/>
          <w:b/>
          <w:color w:val="231F20"/>
        </w:rPr>
        <w:t>Situation</w:t>
      </w:r>
      <w:r>
        <w:rPr>
          <w:rFonts w:ascii="Book Antiqua"/>
          <w:b/>
          <w:color w:val="231F20"/>
          <w:spacing w:val="11"/>
        </w:rPr>
        <w:t> </w:t>
      </w:r>
      <w:r>
        <w:rPr>
          <w:color w:val="231F20"/>
          <w:spacing w:val="-5"/>
        </w:rPr>
        <w:t>and</w:t>
      </w:r>
    </w:p>
    <w:p>
      <w:pPr>
        <w:spacing w:line="213" w:lineRule="auto" w:before="25"/>
        <w:ind w:left="3190" w:right="222" w:firstLine="15"/>
        <w:jc w:val="left"/>
        <w:rPr>
          <w:sz w:val="20"/>
        </w:rPr>
      </w:pPr>
      <w:r>
        <w:rPr>
          <w:position w:val="-1"/>
        </w:rPr>
        <w:drawing>
          <wp:inline distT="0" distB="0" distL="0" distR="0">
            <wp:extent cx="142875" cy="142875"/>
            <wp:effectExtent l="0" t="0" r="0" b="0"/>
            <wp:docPr id="2976" name="Image 2976"/>
            <wp:cNvGraphicFramePr>
              <a:graphicFrameLocks/>
            </wp:cNvGraphicFramePr>
            <a:graphic>
              <a:graphicData uri="http://schemas.openxmlformats.org/drawingml/2006/picture">
                <pic:pic>
                  <pic:nvPicPr>
                    <pic:cNvPr id="2976" name="Image 2976"/>
                    <pic:cNvPicPr/>
                  </pic:nvPicPr>
                  <pic:blipFill>
                    <a:blip r:embed="rId38" cstate="print"/>
                    <a:stretch>
                      <a:fillRect/>
                    </a:stretch>
                  </pic:blipFill>
                  <pic:spPr>
                    <a:xfrm>
                      <a:off x="0" y="0"/>
                      <a:ext cx="142875" cy="142875"/>
                    </a:xfrm>
                    <a:prstGeom prst="rect">
                      <a:avLst/>
                    </a:prstGeom>
                  </pic:spPr>
                </pic:pic>
              </a:graphicData>
            </a:graphic>
          </wp:inline>
        </w:drawing>
      </w:r>
      <w:r>
        <w:rPr>
          <w:position w:val="-1"/>
        </w:rPr>
      </w:r>
      <w:r>
        <w:rPr>
          <w:rFonts w:ascii="Times New Roman"/>
          <w:spacing w:val="-1"/>
          <w:sz w:val="20"/>
        </w:rPr>
        <w:t> </w:t>
      </w:r>
      <w:r>
        <w:rPr>
          <w:rFonts w:ascii="Book Antiqua"/>
          <w:b/>
          <w:color w:val="231F20"/>
          <w:sz w:val="20"/>
        </w:rPr>
        <w:t>Stop Situation </w:t>
      </w:r>
      <w:r>
        <w:rPr>
          <w:color w:val="231F20"/>
          <w:sz w:val="20"/>
        </w:rPr>
        <w:t>are available in the situation event flyover list, situation event console view, Situation editor pop-up menu, and the Manage Situations at Managed System window; and</w:t>
      </w:r>
      <w:r>
        <w:rPr>
          <w:color w:val="231F20"/>
          <w:spacing w:val="16"/>
          <w:sz w:val="20"/>
        </w:rPr>
        <w:t> </w:t>
      </w:r>
      <w:r>
        <w:rPr>
          <w:color w:val="231F20"/>
          <w:spacing w:val="-25"/>
          <w:position w:val="-1"/>
          <w:sz w:val="20"/>
        </w:rPr>
        <w:drawing>
          <wp:inline distT="0" distB="0" distL="0" distR="0">
            <wp:extent cx="95250" cy="95250"/>
            <wp:effectExtent l="0" t="0" r="0" b="0"/>
            <wp:docPr id="2977" name="Image 2977"/>
            <wp:cNvGraphicFramePr>
              <a:graphicFrameLocks/>
            </wp:cNvGraphicFramePr>
            <a:graphic>
              <a:graphicData uri="http://schemas.openxmlformats.org/drawingml/2006/picture">
                <pic:pic>
                  <pic:nvPicPr>
                    <pic:cNvPr id="2977" name="Image 2977"/>
                    <pic:cNvPicPr/>
                  </pic:nvPicPr>
                  <pic:blipFill>
                    <a:blip r:embed="rId379"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5"/>
          <w:sz w:val="20"/>
        </w:rPr>
        <w:t> </w:t>
      </w:r>
      <w:r>
        <w:rPr>
          <w:rFonts w:ascii="Book Antiqua"/>
          <w:b/>
          <w:color w:val="231F20"/>
          <w:sz w:val="20"/>
        </w:rPr>
        <w:t>Enable Situation </w:t>
      </w:r>
      <w:r>
        <w:rPr>
          <w:rFonts w:ascii="Book Antiqua"/>
          <w:b/>
          <w:color w:val="231F20"/>
          <w:sz w:val="20"/>
        </w:rPr>
        <w:t>Overrides </w:t>
      </w:r>
      <w:r>
        <w:rPr>
          <w:color w:val="231F20"/>
          <w:sz w:val="20"/>
        </w:rPr>
        <w:t>and</w:t>
      </w:r>
      <w:r>
        <w:rPr>
          <w:color w:val="231F20"/>
          <w:spacing w:val="40"/>
          <w:sz w:val="20"/>
        </w:rPr>
        <w:t> </w:t>
      </w:r>
      <w:r>
        <w:rPr>
          <w:color w:val="231F20"/>
          <w:spacing w:val="-24"/>
          <w:position w:val="-1"/>
          <w:sz w:val="20"/>
        </w:rPr>
        <w:drawing>
          <wp:inline distT="0" distB="0" distL="0" distR="0">
            <wp:extent cx="95250" cy="95250"/>
            <wp:effectExtent l="0" t="0" r="0" b="0"/>
            <wp:docPr id="2978" name="Image 2978"/>
            <wp:cNvGraphicFramePr>
              <a:graphicFrameLocks/>
            </wp:cNvGraphicFramePr>
            <a:graphic>
              <a:graphicData uri="http://schemas.openxmlformats.org/drawingml/2006/picture">
                <pic:pic>
                  <pic:nvPicPr>
                    <pic:cNvPr id="2978" name="Image 2978"/>
                    <pic:cNvPicPr/>
                  </pic:nvPicPr>
                  <pic:blipFill>
                    <a:blip r:embed="rId38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38"/>
          <w:sz w:val="20"/>
        </w:rPr>
        <w:t> </w:t>
      </w:r>
      <w:r>
        <w:rPr>
          <w:rFonts w:ascii="Book Antiqua"/>
          <w:b/>
          <w:color w:val="231F20"/>
          <w:sz w:val="20"/>
        </w:rPr>
        <w:t>Disable Situation Overrides </w:t>
      </w:r>
      <w:r>
        <w:rPr>
          <w:color w:val="231F20"/>
          <w:sz w:val="20"/>
        </w:rPr>
        <w:t>are available in the Situation editor pop-up menu.</w:t>
      </w:r>
    </w:p>
    <w:p>
      <w:pPr>
        <w:pStyle w:val="Heading6"/>
        <w:spacing w:before="115"/>
      </w:pPr>
      <w:r>
        <w:rPr>
          <w:color w:val="231F20"/>
          <w:spacing w:val="-2"/>
        </w:rPr>
        <w:t>Terminal</w:t>
      </w:r>
      <w:r>
        <w:rPr>
          <w:color w:val="231F20"/>
        </w:rPr>
        <w:t> </w:t>
      </w:r>
      <w:r>
        <w:rPr>
          <w:color w:val="231F20"/>
          <w:spacing w:val="-2"/>
        </w:rPr>
        <w:t>Script</w:t>
      </w:r>
    </w:p>
    <w:p>
      <w:pPr>
        <w:pStyle w:val="BodyText"/>
        <w:spacing w:line="213" w:lineRule="auto" w:before="12"/>
        <w:ind w:left="3190" w:right="220"/>
        <w:jc w:val="both"/>
      </w:pPr>
      <w:r>
        <w:rPr>
          <w:position w:val="-3"/>
        </w:rPr>
        <w:drawing>
          <wp:inline distT="0" distB="0" distL="0" distR="0">
            <wp:extent cx="106135" cy="106135"/>
            <wp:effectExtent l="0" t="0" r="0" b="0"/>
            <wp:docPr id="2979" name="Image 2979"/>
            <wp:cNvGraphicFramePr>
              <a:graphicFrameLocks/>
            </wp:cNvGraphicFramePr>
            <a:graphic>
              <a:graphicData uri="http://schemas.openxmlformats.org/drawingml/2006/picture">
                <pic:pic>
                  <pic:nvPicPr>
                    <pic:cNvPr id="2979" name="Image 2979"/>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run or stop running a terminal emulator script and to see scripts, but not to edit them. If View is disabled the user will be able only to run or stop a script.</w:t>
      </w:r>
    </w:p>
    <w:p>
      <w:pPr>
        <w:pStyle w:val="BodyText"/>
        <w:spacing w:line="213" w:lineRule="auto" w:before="117"/>
        <w:ind w:left="3190" w:right="731"/>
        <w:jc w:val="both"/>
      </w:pPr>
      <w:r>
        <w:rPr>
          <w:position w:val="-3"/>
        </w:rPr>
        <w:drawing>
          <wp:inline distT="0" distB="0" distL="0" distR="0">
            <wp:extent cx="106135" cy="106135"/>
            <wp:effectExtent l="0" t="0" r="0" b="0"/>
            <wp:docPr id="2980" name="Image 2980"/>
            <wp:cNvGraphicFramePr>
              <a:graphicFrameLocks/>
            </wp:cNvGraphicFramePr>
            <a:graphic>
              <a:graphicData uri="http://schemas.openxmlformats.org/drawingml/2006/picture">
                <pic:pic>
                  <pic:nvPicPr>
                    <pic:cNvPr id="2980" name="Image 2980"/>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create or record new terminal </w:t>
      </w:r>
      <w:r>
        <w:rPr>
          <w:color w:val="231F20"/>
        </w:rPr>
        <w:t>emulator scripts, edit, and delete them.</w:t>
      </w:r>
    </w:p>
    <w:p>
      <w:pPr>
        <w:pStyle w:val="Heading6"/>
      </w:pPr>
      <w:r>
        <w:rPr>
          <w:color w:val="231F20"/>
        </w:rPr>
        <w:t>User</w:t>
      </w:r>
      <w:r>
        <w:rPr>
          <w:color w:val="231F20"/>
          <w:spacing w:val="11"/>
        </w:rPr>
        <w:t> </w:t>
      </w:r>
      <w:r>
        <w:rPr>
          <w:color w:val="231F20"/>
          <w:spacing w:val="-2"/>
        </w:rPr>
        <w:t>Administration</w:t>
      </w:r>
    </w:p>
    <w:p>
      <w:pPr>
        <w:pStyle w:val="BodyText"/>
        <w:spacing w:line="213" w:lineRule="auto" w:before="12"/>
        <w:ind w:left="3190" w:right="545"/>
      </w:pPr>
      <w:r>
        <w:rPr>
          <w:color w:val="231F20"/>
        </w:rPr>
        <w:t>If you are viewing your own user ID, you will see that View and Modify are disabled; you cannot change your User Administration permissions.</w:t>
      </w:r>
    </w:p>
    <w:p>
      <w:pPr>
        <w:pStyle w:val="BodyText"/>
        <w:spacing w:line="213" w:lineRule="auto" w:before="118"/>
        <w:ind w:left="3190" w:right="258"/>
      </w:pPr>
      <w:r>
        <w:rPr>
          <w:position w:val="-3"/>
        </w:rPr>
        <w:drawing>
          <wp:inline distT="0" distB="0" distL="0" distR="0">
            <wp:extent cx="106135" cy="106135"/>
            <wp:effectExtent l="0" t="0" r="0" b="0"/>
            <wp:docPr id="2981" name="Image 2981"/>
            <wp:cNvGraphicFramePr>
              <a:graphicFrameLocks/>
            </wp:cNvGraphicFramePr>
            <a:graphic>
              <a:graphicData uri="http://schemas.openxmlformats.org/drawingml/2006/picture">
                <pic:pic>
                  <pic:nvPicPr>
                    <pic:cNvPr id="2981" name="Image 2981"/>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80"/>
        </w:rPr>
        <w:t> </w:t>
      </w:r>
      <w:r>
        <w:rPr>
          <w:rFonts w:ascii="Book Antiqua"/>
          <w:b/>
          <w:color w:val="231F20"/>
        </w:rPr>
        <w:t>Logon Permitted </w:t>
      </w:r>
      <w:r>
        <w:rPr>
          <w:color w:val="231F20"/>
        </w:rPr>
        <w:t>enables log on to the portal server with this user ID.</w:t>
      </w:r>
      <w:r>
        <w:rPr>
          <w:color w:val="231F20"/>
          <w:spacing w:val="40"/>
        </w:rPr>
        <w:t> </w:t>
      </w:r>
      <w:r>
        <w:rPr>
          <w:color w:val="231F20"/>
        </w:rPr>
        <w:t>The</w:t>
      </w:r>
      <w:r>
        <w:rPr>
          <w:color w:val="231F20"/>
          <w:spacing w:val="27"/>
        </w:rPr>
        <w:t> </w:t>
      </w:r>
      <w:r>
        <w:rPr>
          <w:color w:val="231F20"/>
        </w:rPr>
        <w:t>administrator</w:t>
      </w:r>
      <w:r>
        <w:rPr>
          <w:color w:val="231F20"/>
          <w:spacing w:val="27"/>
        </w:rPr>
        <w:t> </w:t>
      </w:r>
      <w:r>
        <w:rPr>
          <w:color w:val="231F20"/>
        </w:rPr>
        <w:t>can</w:t>
      </w:r>
      <w:r>
        <w:rPr>
          <w:color w:val="231F20"/>
          <w:spacing w:val="27"/>
        </w:rPr>
        <w:t> </w:t>
      </w:r>
      <w:r>
        <w:rPr>
          <w:color w:val="231F20"/>
        </w:rPr>
        <w:t>clear</w:t>
      </w:r>
      <w:r>
        <w:rPr>
          <w:color w:val="231F20"/>
          <w:spacing w:val="27"/>
        </w:rPr>
        <w:t> </w:t>
      </w:r>
      <w:r>
        <w:rPr>
          <w:color w:val="231F20"/>
        </w:rPr>
        <w:t>the</w:t>
      </w:r>
      <w:r>
        <w:rPr>
          <w:color w:val="231F20"/>
          <w:spacing w:val="27"/>
        </w:rPr>
        <w:t> </w:t>
      </w:r>
      <w:r>
        <w:rPr>
          <w:color w:val="231F20"/>
        </w:rPr>
        <w:t>check</w:t>
      </w:r>
      <w:r>
        <w:rPr>
          <w:color w:val="231F20"/>
          <w:spacing w:val="27"/>
        </w:rPr>
        <w:t> </w:t>
      </w:r>
      <w:r>
        <w:rPr>
          <w:color w:val="231F20"/>
        </w:rPr>
        <w:t>box</w:t>
      </w:r>
      <w:r>
        <w:rPr>
          <w:color w:val="231F20"/>
          <w:spacing w:val="27"/>
        </w:rPr>
        <w:t> </w:t>
      </w:r>
      <w:r>
        <w:rPr>
          <w:color w:val="231F20"/>
        </w:rPr>
        <w:t>to</w:t>
      </w:r>
      <w:r>
        <w:rPr>
          <w:color w:val="231F20"/>
          <w:spacing w:val="27"/>
        </w:rPr>
        <w:t> </w:t>
      </w:r>
      <w:r>
        <w:rPr>
          <w:color w:val="231F20"/>
        </w:rPr>
        <w:t>deny</w:t>
      </w:r>
      <w:r>
        <w:rPr>
          <w:color w:val="231F20"/>
          <w:spacing w:val="27"/>
        </w:rPr>
        <w:t> </w:t>
      </w:r>
      <w:r>
        <w:rPr>
          <w:color w:val="231F20"/>
        </w:rPr>
        <w:t>a</w:t>
      </w:r>
      <w:r>
        <w:rPr>
          <w:color w:val="231F20"/>
          <w:spacing w:val="27"/>
        </w:rPr>
        <w:t> </w:t>
      </w:r>
      <w:r>
        <w:rPr>
          <w:color w:val="231F20"/>
        </w:rPr>
        <w:t>user</w:t>
      </w:r>
      <w:r>
        <w:rPr>
          <w:color w:val="231F20"/>
          <w:spacing w:val="27"/>
        </w:rPr>
        <w:t> </w:t>
      </w:r>
      <w:r>
        <w:rPr>
          <w:color w:val="231F20"/>
        </w:rPr>
        <w:t>access</w:t>
      </w:r>
      <w:r>
        <w:rPr>
          <w:color w:val="231F20"/>
          <w:spacing w:val="27"/>
        </w:rPr>
        <w:t> </w:t>
      </w:r>
      <w:r>
        <w:rPr>
          <w:color w:val="231F20"/>
        </w:rPr>
        <w:t>to</w:t>
      </w:r>
      <w:r>
        <w:rPr>
          <w:color w:val="231F20"/>
          <w:spacing w:val="27"/>
        </w:rPr>
        <w:t> </w:t>
      </w:r>
      <w:r>
        <w:rPr>
          <w:color w:val="231F20"/>
        </w:rPr>
        <w:t>the portal. This option works in conjunction with the KFW_AUTHORIZATION_MAX_INVALID_LOGIN (the default is 0, unlimited attempts are allowed) parameter in the Tivoli Enterprise Portal Server</w:t>
      </w:r>
      <w:r>
        <w:rPr>
          <w:color w:val="231F20"/>
          <w:spacing w:val="31"/>
        </w:rPr>
        <w:t> </w:t>
      </w:r>
      <w:r>
        <w:rPr>
          <w:color w:val="231F20"/>
        </w:rPr>
        <w:t>Environment</w:t>
      </w:r>
      <w:r>
        <w:rPr>
          <w:color w:val="231F20"/>
          <w:spacing w:val="31"/>
        </w:rPr>
        <w:t> </w:t>
      </w:r>
      <w:r>
        <w:rPr>
          <w:color w:val="231F20"/>
        </w:rPr>
        <w:t>Configuration</w:t>
      </w:r>
      <w:r>
        <w:rPr>
          <w:color w:val="231F20"/>
          <w:spacing w:val="31"/>
        </w:rPr>
        <w:t> </w:t>
      </w:r>
      <w:r>
        <w:rPr>
          <w:color w:val="231F20"/>
        </w:rPr>
        <w:t>file,</w:t>
      </w:r>
      <w:r>
        <w:rPr>
          <w:color w:val="231F20"/>
          <w:spacing w:val="31"/>
        </w:rPr>
        <w:t> </w:t>
      </w:r>
      <w:r>
        <w:rPr>
          <w:rFonts w:ascii="Book Antiqua"/>
          <w:i/>
          <w:color w:val="231F20"/>
        </w:rPr>
        <w:t>kfwenv</w:t>
      </w:r>
      <w:r>
        <w:rPr>
          <w:color w:val="231F20"/>
        </w:rPr>
        <w:t>.</w:t>
      </w:r>
      <w:r>
        <w:rPr>
          <w:color w:val="231F20"/>
          <w:spacing w:val="31"/>
        </w:rPr>
        <w:t> </w:t>
      </w:r>
      <w:r>
        <w:rPr>
          <w:color w:val="231F20"/>
        </w:rPr>
        <w:t>When</w:t>
      </w:r>
      <w:r>
        <w:rPr>
          <w:color w:val="231F20"/>
          <w:spacing w:val="31"/>
        </w:rPr>
        <w:t> </w:t>
      </w:r>
      <w:r>
        <w:rPr>
          <w:color w:val="231F20"/>
        </w:rPr>
        <w:t>the</w:t>
      </w:r>
      <w:r>
        <w:rPr>
          <w:color w:val="231F20"/>
          <w:spacing w:val="31"/>
        </w:rPr>
        <w:t> </w:t>
      </w:r>
      <w:r>
        <w:rPr>
          <w:color w:val="231F20"/>
        </w:rPr>
        <w:t>value</w:t>
      </w:r>
      <w:r>
        <w:rPr>
          <w:color w:val="231F20"/>
          <w:spacing w:val="31"/>
        </w:rPr>
        <w:t> </w:t>
      </w:r>
      <w:r>
        <w:rPr>
          <w:color w:val="231F20"/>
        </w:rPr>
        <w:t>has</w:t>
      </w:r>
      <w:r>
        <w:rPr>
          <w:color w:val="231F20"/>
          <w:spacing w:val="31"/>
        </w:rPr>
        <w:t> </w:t>
      </w:r>
      <w:r>
        <w:rPr>
          <w:color w:val="231F20"/>
        </w:rPr>
        <w:t>been set and the invalid attempts have been exceeded, the check box is cleared automatically and the administrator must select the check box to reset the logon attempt count. See the </w:t>
      </w:r>
      <w:r>
        <w:rPr>
          <w:rFonts w:ascii="Book Antiqua"/>
          <w:i/>
          <w:color w:val="231F20"/>
        </w:rPr>
        <w:t>IBM Tivoli Monitoring Administrator's Guide </w:t>
      </w:r>
      <w:r>
        <w:rPr>
          <w:color w:val="231F20"/>
        </w:rPr>
        <w:t>for details.</w:t>
      </w:r>
      <w:r>
        <w:rPr>
          <w:color w:val="231F20"/>
          <w:spacing w:val="-1"/>
          <w:position w:val="-3"/>
        </w:rPr>
        <w:drawing>
          <wp:inline distT="0" distB="0" distL="0" distR="0">
            <wp:extent cx="106135" cy="106135"/>
            <wp:effectExtent l="0" t="0" r="0" b="0"/>
            <wp:docPr id="2982" name="Image 2982"/>
            <wp:cNvGraphicFramePr>
              <a:graphicFrameLocks/>
            </wp:cNvGraphicFramePr>
            <a:graphic>
              <a:graphicData uri="http://schemas.openxmlformats.org/drawingml/2006/picture">
                <pic:pic>
                  <pic:nvPicPr>
                    <pic:cNvPr id="2982" name="Image 2982"/>
                    <pic:cNvPicPr/>
                  </pic:nvPicPr>
                  <pic:blipFill>
                    <a:blip r:embed="rId120" cstate="print"/>
                    <a:stretch>
                      <a:fillRect/>
                    </a:stretch>
                  </pic:blipFill>
                  <pic:spPr>
                    <a:xfrm>
                      <a:off x="0" y="0"/>
                      <a:ext cx="106135" cy="106135"/>
                    </a:xfrm>
                    <a:prstGeom prst="rect">
                      <a:avLst/>
                    </a:prstGeom>
                  </pic:spPr>
                </pic:pic>
              </a:graphicData>
            </a:graphic>
          </wp:inline>
        </w:drawing>
      </w:r>
      <w:r>
        <w:rPr>
          <w:color w:val="231F20"/>
          <w:spacing w:val="-1"/>
          <w:position w:val="-3"/>
        </w:rPr>
      </w:r>
      <w:r>
        <w:rPr>
          <w:rFonts w:ascii="Times New Roman"/>
          <w:color w:val="231F20"/>
          <w:spacing w:val="80"/>
        </w:rPr>
        <w:t> </w:t>
      </w:r>
      <w:r>
        <w:rPr>
          <w:rFonts w:ascii="Book Antiqua"/>
          <w:b/>
          <w:color w:val="231F20"/>
        </w:rPr>
        <w:t>Modify </w:t>
      </w:r>
      <w:r>
        <w:rPr>
          <w:color w:val="231F20"/>
        </w:rPr>
        <w:t>allows the editing of user IDs and removing them.</w:t>
      </w:r>
    </w:p>
    <w:p>
      <w:pPr>
        <w:pStyle w:val="BodyText"/>
        <w:spacing w:line="213" w:lineRule="auto" w:before="68"/>
        <w:ind w:left="3190" w:right="258"/>
      </w:pPr>
      <w:r>
        <w:rPr>
          <w:color w:val="231F20"/>
        </w:rPr>
        <w:t>When this permission is enabled,</w:t>
      </w:r>
      <w:r>
        <w:rPr>
          <w:color w:val="231F20"/>
          <w:spacing w:val="40"/>
        </w:rPr>
        <w:t> </w:t>
      </w:r>
      <w:r>
        <w:rPr>
          <w:color w:val="231F20"/>
          <w:spacing w:val="-5"/>
          <w:position w:val="-1"/>
        </w:rPr>
        <w:drawing>
          <wp:inline distT="0" distB="0" distL="0" distR="0">
            <wp:extent cx="123825" cy="152400"/>
            <wp:effectExtent l="0" t="0" r="0" b="0"/>
            <wp:docPr id="2983" name="Image 2983"/>
            <wp:cNvGraphicFramePr>
              <a:graphicFrameLocks/>
            </wp:cNvGraphicFramePr>
            <a:graphic>
              <a:graphicData uri="http://schemas.openxmlformats.org/drawingml/2006/picture">
                <pic:pic>
                  <pic:nvPicPr>
                    <pic:cNvPr id="2983" name="Image 2983"/>
                    <pic:cNvPicPr/>
                  </pic:nvPicPr>
                  <pic:blipFill>
                    <a:blip r:embed="rId32" cstate="print"/>
                    <a:stretch>
                      <a:fillRect/>
                    </a:stretch>
                  </pic:blipFill>
                  <pic:spPr>
                    <a:xfrm>
                      <a:off x="0" y="0"/>
                      <a:ext cx="123825" cy="152400"/>
                    </a:xfrm>
                    <a:prstGeom prst="rect">
                      <a:avLst/>
                    </a:prstGeom>
                  </pic:spPr>
                </pic:pic>
              </a:graphicData>
            </a:graphic>
          </wp:inline>
        </w:drawing>
      </w:r>
      <w:r>
        <w:rPr>
          <w:color w:val="231F20"/>
          <w:spacing w:val="-5"/>
          <w:position w:val="-1"/>
        </w:rPr>
      </w:r>
      <w:r>
        <w:rPr>
          <w:rFonts w:ascii="Times New Roman"/>
          <w:color w:val="231F20"/>
          <w:spacing w:val="-5"/>
        </w:rPr>
        <w:t> </w:t>
      </w:r>
      <w:r>
        <w:rPr>
          <w:rFonts w:ascii="Book Antiqua"/>
          <w:b/>
          <w:color w:val="231F20"/>
        </w:rPr>
        <w:t>Administer Users </w:t>
      </w:r>
      <w:r>
        <w:rPr>
          <w:color w:val="231F20"/>
        </w:rPr>
        <w:t>is available in the main</w:t>
      </w:r>
      <w:r>
        <w:rPr>
          <w:color w:val="231F20"/>
          <w:spacing w:val="10"/>
        </w:rPr>
        <w:t> </w:t>
      </w:r>
      <w:r>
        <w:rPr>
          <w:color w:val="231F20"/>
        </w:rPr>
        <w:t>toolbar</w:t>
      </w:r>
      <w:r>
        <w:rPr>
          <w:color w:val="231F20"/>
          <w:spacing w:val="11"/>
        </w:rPr>
        <w:t> </w:t>
      </w:r>
      <w:r>
        <w:rPr>
          <w:color w:val="231F20"/>
        </w:rPr>
        <w:t>and</w:t>
      </w:r>
      <w:r>
        <w:rPr>
          <w:color w:val="231F20"/>
          <w:spacing w:val="11"/>
        </w:rPr>
        <w:t> </w:t>
      </w:r>
      <w:r>
        <w:rPr>
          <w:color w:val="231F20"/>
        </w:rPr>
        <w:t>the</w:t>
      </w:r>
      <w:r>
        <w:rPr>
          <w:color w:val="231F20"/>
          <w:spacing w:val="11"/>
        </w:rPr>
        <w:t> </w:t>
      </w:r>
      <w:r>
        <w:rPr>
          <w:color w:val="231F20"/>
        </w:rPr>
        <w:t>tools</w:t>
      </w:r>
      <w:r>
        <w:rPr>
          <w:color w:val="231F20"/>
          <w:spacing w:val="11"/>
        </w:rPr>
        <w:t> </w:t>
      </w:r>
      <w:r>
        <w:rPr>
          <w:color w:val="231F20"/>
        </w:rPr>
        <w:t>are</w:t>
      </w:r>
      <w:r>
        <w:rPr>
          <w:color w:val="231F20"/>
          <w:spacing w:val="11"/>
        </w:rPr>
        <w:t> </w:t>
      </w:r>
      <w:r>
        <w:rPr>
          <w:color w:val="231F20"/>
        </w:rPr>
        <w:t>available</w:t>
      </w:r>
      <w:r>
        <w:rPr>
          <w:color w:val="231F20"/>
          <w:spacing w:val="11"/>
        </w:rPr>
        <w:t> </w:t>
      </w:r>
      <w:r>
        <w:rPr>
          <w:color w:val="231F20"/>
        </w:rPr>
        <w:t>in</w:t>
      </w:r>
      <w:r>
        <w:rPr>
          <w:color w:val="231F20"/>
          <w:spacing w:val="11"/>
        </w:rPr>
        <w:t> </w:t>
      </w:r>
      <w:r>
        <w:rPr>
          <w:color w:val="231F20"/>
        </w:rPr>
        <w:t>the</w:t>
      </w:r>
      <w:r>
        <w:rPr>
          <w:color w:val="231F20"/>
          <w:spacing w:val="4"/>
        </w:rPr>
        <w:t> </w:t>
      </w:r>
      <w:r>
        <w:rPr>
          <w:color w:val="231F20"/>
        </w:rPr>
        <w:t>Administer</w:t>
      </w:r>
      <w:r>
        <w:rPr>
          <w:color w:val="231F20"/>
          <w:spacing w:val="11"/>
        </w:rPr>
        <w:t> </w:t>
      </w:r>
      <w:r>
        <w:rPr>
          <w:color w:val="231F20"/>
        </w:rPr>
        <w:t>Users</w:t>
      </w:r>
      <w:r>
        <w:rPr>
          <w:color w:val="231F20"/>
          <w:spacing w:val="11"/>
        </w:rPr>
        <w:t> </w:t>
      </w:r>
      <w:r>
        <w:rPr>
          <w:color w:val="231F20"/>
          <w:spacing w:val="-2"/>
        </w:rPr>
        <w:t>window.</w:t>
      </w:r>
    </w:p>
    <w:p>
      <w:pPr>
        <w:spacing w:after="0" w:line="213" w:lineRule="auto"/>
        <w:sectPr>
          <w:pgSz w:w="12240" w:h="15840"/>
          <w:pgMar w:header="0" w:footer="736" w:top="1180" w:bottom="920" w:left="1000" w:right="1060"/>
        </w:sectPr>
      </w:pPr>
    </w:p>
    <w:p>
      <w:pPr>
        <w:spacing w:line="213" w:lineRule="auto" w:before="85"/>
        <w:ind w:left="2951" w:right="493" w:firstLine="0"/>
        <w:jc w:val="left"/>
        <w:rPr>
          <w:sz w:val="20"/>
        </w:rPr>
      </w:pPr>
      <w:bookmarkStart w:name="_bookmark281" w:id="580"/>
      <w:bookmarkEnd w:id="580"/>
      <w:r>
        <w:rPr/>
      </w:r>
      <w:r>
        <w:rPr>
          <w:position w:val="-3"/>
        </w:rPr>
        <w:drawing>
          <wp:inline distT="0" distB="0" distL="0" distR="0">
            <wp:extent cx="106135" cy="106135"/>
            <wp:effectExtent l="0" t="0" r="0" b="0"/>
            <wp:docPr id="2984" name="Image 2984"/>
            <wp:cNvGraphicFramePr>
              <a:graphicFrameLocks/>
            </wp:cNvGraphicFramePr>
            <a:graphic>
              <a:graphicData uri="http://schemas.openxmlformats.org/drawingml/2006/picture">
                <pic:pic>
                  <pic:nvPicPr>
                    <pic:cNvPr id="2984" name="Image 2984"/>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sz w:val="20"/>
        </w:rPr>
        <w:t> </w:t>
      </w:r>
      <w:r>
        <w:rPr>
          <w:rFonts w:ascii="Book Antiqua"/>
          <w:b/>
          <w:color w:val="231F20"/>
          <w:sz w:val="20"/>
        </w:rPr>
        <w:t>Author Mode Eligible </w:t>
      </w:r>
      <w:r>
        <w:rPr>
          <w:color w:val="231F20"/>
          <w:sz w:val="20"/>
        </w:rPr>
        <w:t>allows the user to enable or disable their </w:t>
      </w:r>
      <w:r>
        <w:rPr>
          <w:color w:val="231F20"/>
          <w:sz w:val="20"/>
        </w:rPr>
        <w:t>Author Mode permission under </w:t>
      </w:r>
      <w:r>
        <w:rPr>
          <w:rFonts w:ascii="Book Antiqua"/>
          <w:b/>
          <w:color w:val="231F20"/>
          <w:sz w:val="20"/>
        </w:rPr>
        <w:t>Workspace Administration </w:t>
      </w:r>
      <w:r>
        <w:rPr>
          <w:color w:val="231F20"/>
          <w:sz w:val="20"/>
        </w:rPr>
        <w:t>(see next authority),</w:t>
      </w:r>
      <w:r>
        <w:rPr>
          <w:color w:val="231F20"/>
          <w:spacing w:val="40"/>
          <w:sz w:val="20"/>
        </w:rPr>
        <w:t> </w:t>
      </w:r>
      <w:r>
        <w:rPr>
          <w:color w:val="231F20"/>
          <w:sz w:val="20"/>
        </w:rPr>
        <w:t>but not for any other user IDs.</w:t>
      </w:r>
    </w:p>
    <w:p>
      <w:pPr>
        <w:pStyle w:val="BodyText"/>
        <w:spacing w:line="213" w:lineRule="auto" w:before="117"/>
        <w:ind w:left="2951" w:right="545"/>
      </w:pPr>
      <w:r>
        <w:rPr>
          <w:position w:val="-3"/>
        </w:rPr>
        <w:drawing>
          <wp:inline distT="0" distB="0" distL="0" distR="0">
            <wp:extent cx="106135" cy="106135"/>
            <wp:effectExtent l="0" t="0" r="0" b="0"/>
            <wp:docPr id="2985" name="Image 2985"/>
            <wp:cNvGraphicFramePr>
              <a:graphicFrameLocks/>
            </wp:cNvGraphicFramePr>
            <a:graphic>
              <a:graphicData uri="http://schemas.openxmlformats.org/drawingml/2006/picture">
                <pic:pic>
                  <pic:nvPicPr>
                    <pic:cNvPr id="2985" name="Image 2985"/>
                    <pic:cNvPicPr/>
                  </pic:nvPicPr>
                  <pic:blipFill>
                    <a:blip r:embed="rId120"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open the Administer Users window and </w:t>
      </w:r>
      <w:r>
        <w:rPr>
          <w:color w:val="231F20"/>
        </w:rPr>
        <w:t>see their user profile.</w:t>
      </w:r>
    </w:p>
    <w:p>
      <w:pPr>
        <w:spacing w:line="213" w:lineRule="auto" w:before="119"/>
        <w:ind w:left="2951" w:right="643" w:hanging="1"/>
        <w:jc w:val="left"/>
        <w:rPr>
          <w:sz w:val="20"/>
        </w:rPr>
      </w:pPr>
      <w:r>
        <w:rPr>
          <w:position w:val="-3"/>
        </w:rPr>
        <w:drawing>
          <wp:inline distT="0" distB="0" distL="0" distR="0">
            <wp:extent cx="106135" cy="106135"/>
            <wp:effectExtent l="0" t="0" r="0" b="0"/>
            <wp:docPr id="2986" name="Image 2986"/>
            <wp:cNvGraphicFramePr>
              <a:graphicFrameLocks/>
            </wp:cNvGraphicFramePr>
            <a:graphic>
              <a:graphicData uri="http://schemas.openxmlformats.org/drawingml/2006/picture">
                <pic:pic>
                  <pic:nvPicPr>
                    <pic:cNvPr id="2986" name="Image 2986"/>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sz w:val="20"/>
        </w:rPr>
        <w:t> </w:t>
      </w:r>
      <w:r>
        <w:rPr>
          <w:rFonts w:ascii="Book Antiqua"/>
          <w:b/>
          <w:color w:val="231F20"/>
          <w:sz w:val="20"/>
        </w:rPr>
        <w:t>Administration Mode Eligible </w:t>
      </w:r>
      <w:r>
        <w:rPr>
          <w:color w:val="231F20"/>
          <w:sz w:val="20"/>
        </w:rPr>
        <w:t>allows the user to enable or disable</w:t>
      </w:r>
      <w:r>
        <w:rPr>
          <w:color w:val="231F20"/>
          <w:spacing w:val="40"/>
          <w:sz w:val="20"/>
        </w:rPr>
        <w:t> </w:t>
      </w:r>
      <w:r>
        <w:rPr>
          <w:color w:val="231F20"/>
          <w:sz w:val="20"/>
        </w:rPr>
        <w:t>their</w:t>
      </w:r>
      <w:r>
        <w:rPr>
          <w:color w:val="231F20"/>
          <w:spacing w:val="-1"/>
          <w:sz w:val="20"/>
        </w:rPr>
        <w:t> </w:t>
      </w:r>
      <w:r>
        <w:rPr>
          <w:color w:val="231F20"/>
          <w:sz w:val="20"/>
        </w:rPr>
        <w:t>Administration Mode permission under </w:t>
      </w:r>
      <w:r>
        <w:rPr>
          <w:rFonts w:ascii="Book Antiqua"/>
          <w:b/>
          <w:color w:val="231F20"/>
          <w:sz w:val="20"/>
        </w:rPr>
        <w:t>Workspace </w:t>
      </w:r>
      <w:r>
        <w:rPr>
          <w:rFonts w:ascii="Book Antiqua"/>
          <w:b/>
          <w:color w:val="231F20"/>
          <w:sz w:val="20"/>
        </w:rPr>
        <w:t>Administration </w:t>
      </w:r>
      <w:r>
        <w:rPr>
          <w:color w:val="231F20"/>
          <w:sz w:val="20"/>
        </w:rPr>
        <w:t>(see next authority), but not for any other user IDs.</w:t>
      </w:r>
    </w:p>
    <w:p>
      <w:pPr>
        <w:pStyle w:val="Heading6"/>
        <w:spacing w:before="116"/>
        <w:ind w:left="2232"/>
      </w:pPr>
      <w:r>
        <w:rPr>
          <w:color w:val="231F20"/>
          <w:spacing w:val="-2"/>
        </w:rPr>
        <w:t>Workspace</w:t>
      </w:r>
      <w:r>
        <w:rPr>
          <w:color w:val="231F20"/>
          <w:spacing w:val="8"/>
        </w:rPr>
        <w:t> </w:t>
      </w:r>
      <w:r>
        <w:rPr>
          <w:color w:val="231F20"/>
          <w:spacing w:val="-2"/>
        </w:rPr>
        <w:t>Administration</w:t>
      </w:r>
    </w:p>
    <w:p>
      <w:pPr>
        <w:pStyle w:val="BodyText"/>
        <w:spacing w:line="213" w:lineRule="auto" w:before="12"/>
        <w:ind w:left="2951" w:right="700"/>
      </w:pPr>
      <w:r>
        <w:rPr>
          <w:position w:val="-3"/>
        </w:rPr>
        <w:drawing>
          <wp:inline distT="0" distB="0" distL="0" distR="0">
            <wp:extent cx="106135" cy="106135"/>
            <wp:effectExtent l="0" t="0" r="0" b="0"/>
            <wp:docPr id="2987" name="Image 2987"/>
            <wp:cNvGraphicFramePr>
              <a:graphicFrameLocks/>
            </wp:cNvGraphicFramePr>
            <a:graphic>
              <a:graphicData uri="http://schemas.openxmlformats.org/drawingml/2006/picture">
                <pic:pic>
                  <pic:nvPicPr>
                    <pic:cNvPr id="2987" name="Image 2987"/>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Workspace Author Mode </w:t>
      </w:r>
      <w:r>
        <w:rPr>
          <w:color w:val="231F20"/>
        </w:rPr>
        <w:t>allows the user to create and edit workspaces, links, and terminal emulator scripts. If Workspace Author Mode is disabled, the user cannot make any of these changes but can continue monitoring and responding to alerts; the tools can still be </w:t>
      </w:r>
      <w:r>
        <w:rPr>
          <w:color w:val="231F20"/>
        </w:rPr>
        <w:t>seen, but they are disabled.</w:t>
      </w:r>
    </w:p>
    <w:p>
      <w:pPr>
        <w:spacing w:line="213" w:lineRule="auto" w:before="116"/>
        <w:ind w:left="2951" w:right="545" w:hanging="1"/>
        <w:jc w:val="left"/>
        <w:rPr>
          <w:sz w:val="20"/>
        </w:rPr>
      </w:pPr>
      <w:r>
        <w:rPr>
          <w:position w:val="-3"/>
        </w:rPr>
        <w:drawing>
          <wp:inline distT="0" distB="0" distL="0" distR="0">
            <wp:extent cx="106135" cy="106135"/>
            <wp:effectExtent l="0" t="0" r="0" b="0"/>
            <wp:docPr id="2988" name="Image 2988"/>
            <wp:cNvGraphicFramePr>
              <a:graphicFrameLocks/>
            </wp:cNvGraphicFramePr>
            <a:graphic>
              <a:graphicData uri="http://schemas.openxmlformats.org/drawingml/2006/picture">
                <pic:pic>
                  <pic:nvPicPr>
                    <pic:cNvPr id="2988" name="Image 2988"/>
                    <pic:cNvPicPr/>
                  </pic:nvPicPr>
                  <pic:blipFill>
                    <a:blip r:embed="rId120"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sz w:val="20"/>
        </w:rPr>
        <w:t> </w:t>
      </w:r>
      <w:r>
        <w:rPr>
          <w:rFonts w:ascii="Book Antiqua"/>
          <w:b/>
          <w:color w:val="231F20"/>
          <w:sz w:val="20"/>
        </w:rPr>
        <w:t>Workspace Administration Mode </w:t>
      </w:r>
      <w:r>
        <w:rPr>
          <w:color w:val="231F20"/>
          <w:sz w:val="20"/>
        </w:rPr>
        <w:t>is available only for the </w:t>
      </w:r>
      <w:r>
        <w:rPr>
          <w:color w:val="231F20"/>
          <w:sz w:val="20"/>
        </w:rPr>
        <w:t>SYSADMIN user ID and new IDs made from it in the Create Another User window.</w:t>
      </w:r>
    </w:p>
    <w:p>
      <w:pPr>
        <w:pStyle w:val="BodyText"/>
        <w:spacing w:line="213" w:lineRule="auto"/>
        <w:ind w:left="2951" w:right="545"/>
      </w:pPr>
      <w:r>
        <w:rPr>
          <w:color w:val="231F20"/>
        </w:rPr>
        <w:t>When administration mode is enabled, changes you make to workspaces affect all users who log on to the same portal server. When it is </w:t>
      </w:r>
      <w:r>
        <w:rPr>
          <w:color w:val="231F20"/>
        </w:rPr>
        <w:t>disabled, workspace changes you make are not shared with other users. Be sure to select </w:t>
      </w:r>
      <w:r>
        <w:rPr>
          <w:color w:val="231F20"/>
          <w:spacing w:val="16"/>
          <w:position w:val="-3"/>
        </w:rPr>
        <w:drawing>
          <wp:inline distT="0" distB="0" distL="0" distR="0">
            <wp:extent cx="106135" cy="106135"/>
            <wp:effectExtent l="0" t="0" r="0" b="0"/>
            <wp:docPr id="2989" name="Image 2989"/>
            <wp:cNvGraphicFramePr>
              <a:graphicFrameLocks/>
            </wp:cNvGraphicFramePr>
            <a:graphic>
              <a:graphicData uri="http://schemas.openxmlformats.org/drawingml/2006/picture">
                <pic:pic>
                  <pic:nvPicPr>
                    <pic:cNvPr id="2989" name="Image 2989"/>
                    <pic:cNvPicPr/>
                  </pic:nvPicPr>
                  <pic:blipFill>
                    <a:blip r:embed="rId87" cstate="print"/>
                    <a:stretch>
                      <a:fillRect/>
                    </a:stretch>
                  </pic:blipFill>
                  <pic:spPr>
                    <a:xfrm>
                      <a:off x="0" y="0"/>
                      <a:ext cx="106135" cy="106135"/>
                    </a:xfrm>
                    <a:prstGeom prst="rect">
                      <a:avLst/>
                    </a:prstGeom>
                  </pic:spPr>
                </pic:pic>
              </a:graphicData>
            </a:graphic>
          </wp:inline>
        </w:drawing>
      </w:r>
      <w:r>
        <w:rPr>
          <w:color w:val="231F20"/>
          <w:spacing w:val="16"/>
          <w:position w:val="-3"/>
        </w:rPr>
      </w:r>
      <w:r>
        <w:rPr>
          <w:rFonts w:ascii="Times New Roman"/>
          <w:color w:val="231F20"/>
          <w:spacing w:val="40"/>
        </w:rPr>
        <w:t> </w:t>
      </w:r>
      <w:r>
        <w:rPr>
          <w:rFonts w:ascii="Book Antiqua"/>
          <w:b/>
          <w:color w:val="231F20"/>
        </w:rPr>
        <w:t>Do not allow modifications </w:t>
      </w:r>
      <w:r>
        <w:rPr>
          <w:color w:val="231F20"/>
        </w:rPr>
        <w:t>in the Workspace Properties whenever you create or edit a workspace in administration mode.</w:t>
      </w:r>
    </w:p>
    <w:p>
      <w:pPr>
        <w:pStyle w:val="BodyText"/>
        <w:spacing w:line="213" w:lineRule="auto"/>
        <w:ind w:left="2951" w:right="636"/>
      </w:pPr>
      <w:r>
        <w:rPr>
          <w:color w:val="231F20"/>
        </w:rPr>
        <w:t>Otherwise, if a user edits that workspace, you no longer own </w:t>
      </w:r>
      <w:r>
        <w:rPr>
          <w:color w:val="231F20"/>
        </w:rPr>
        <w:t>the workspace and cannot override their changes.</w:t>
      </w:r>
    </w:p>
    <w:p>
      <w:pPr>
        <w:pStyle w:val="Heading6"/>
        <w:spacing w:before="112"/>
        <w:ind w:left="2232"/>
      </w:pPr>
      <w:r>
        <w:rPr>
          <w:color w:val="231F20"/>
        </w:rPr>
        <w:t>WebSphere</w:t>
      </w:r>
      <w:r>
        <w:rPr>
          <w:color w:val="231F20"/>
          <w:spacing w:val="1"/>
        </w:rPr>
        <w:t> </w:t>
      </w:r>
      <w:r>
        <w:rPr>
          <w:color w:val="231F20"/>
        </w:rPr>
        <w:t>MQ</w:t>
      </w:r>
      <w:r>
        <w:rPr>
          <w:color w:val="231F20"/>
          <w:spacing w:val="2"/>
        </w:rPr>
        <w:t> </w:t>
      </w:r>
      <w:r>
        <w:rPr>
          <w:color w:val="231F20"/>
        </w:rPr>
        <w:t>Configuration</w:t>
      </w:r>
      <w:r>
        <w:rPr>
          <w:color w:val="231F20"/>
          <w:spacing w:val="2"/>
        </w:rPr>
        <w:t> </w:t>
      </w:r>
      <w:r>
        <w:rPr>
          <w:color w:val="231F20"/>
          <w:spacing w:val="-2"/>
        </w:rPr>
        <w:t>Authorities</w:t>
      </w:r>
    </w:p>
    <w:p>
      <w:pPr>
        <w:pStyle w:val="BodyText"/>
        <w:spacing w:line="213" w:lineRule="auto" w:before="12"/>
        <w:ind w:left="2951"/>
      </w:pPr>
      <w:r>
        <w:rPr>
          <w:color w:val="231F20"/>
        </w:rPr>
        <w:t>IBM Tivoli OMEGAMON XE for Messaging: WebSphere MQ </w:t>
      </w:r>
      <w:r>
        <w:rPr>
          <w:color w:val="231F20"/>
        </w:rPr>
        <w:t>Configuration installations will see this folder.</w:t>
      </w:r>
    </w:p>
    <w:p>
      <w:pPr>
        <w:pStyle w:val="BodyText"/>
        <w:spacing w:line="213" w:lineRule="auto" w:before="118"/>
        <w:ind w:left="2951" w:right="545"/>
      </w:pPr>
      <w:r>
        <w:rPr>
          <w:position w:val="-3"/>
        </w:rPr>
        <w:drawing>
          <wp:inline distT="0" distB="0" distL="0" distR="0">
            <wp:extent cx="106135" cy="106135"/>
            <wp:effectExtent l="0" t="0" r="0" b="0"/>
            <wp:docPr id="2990" name="Image 2990"/>
            <wp:cNvGraphicFramePr>
              <a:graphicFrameLocks/>
            </wp:cNvGraphicFramePr>
            <a:graphic>
              <a:graphicData uri="http://schemas.openxmlformats.org/drawingml/2006/picture">
                <pic:pic>
                  <pic:nvPicPr>
                    <pic:cNvPr id="2990" name="Image 2990"/>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View </w:t>
      </w:r>
      <w:r>
        <w:rPr>
          <w:color w:val="231F20"/>
        </w:rPr>
        <w:t>allows the user to see, but not change, your </w:t>
      </w:r>
      <w:r>
        <w:rPr>
          <w:color w:val="231F20"/>
        </w:rPr>
        <w:t>organization's WebSphere</w:t>
      </w:r>
      <w:r>
        <w:rPr>
          <w:color w:val="231F20"/>
          <w:spacing w:val="5"/>
        </w:rPr>
        <w:t> </w:t>
      </w:r>
      <w:r>
        <w:rPr>
          <w:color w:val="231F20"/>
        </w:rPr>
        <w:t>MQ</w:t>
      </w:r>
      <w:r>
        <w:rPr>
          <w:color w:val="231F20"/>
          <w:spacing w:val="5"/>
        </w:rPr>
        <w:t> </w:t>
      </w:r>
      <w:r>
        <w:rPr>
          <w:color w:val="231F20"/>
        </w:rPr>
        <w:t>configuration</w:t>
      </w:r>
      <w:r>
        <w:rPr>
          <w:color w:val="231F20"/>
          <w:spacing w:val="5"/>
        </w:rPr>
        <w:t> </w:t>
      </w:r>
      <w:r>
        <w:rPr>
          <w:color w:val="231F20"/>
        </w:rPr>
        <w:t>in</w:t>
      </w:r>
      <w:r>
        <w:rPr>
          <w:color w:val="231F20"/>
          <w:spacing w:val="6"/>
        </w:rPr>
        <w:t> </w:t>
      </w:r>
      <w:r>
        <w:rPr>
          <w:color w:val="231F20"/>
        </w:rPr>
        <w:t>the</w:t>
      </w:r>
      <w:r>
        <w:rPr>
          <w:color w:val="231F20"/>
          <w:spacing w:val="5"/>
        </w:rPr>
        <w:t> </w:t>
      </w:r>
      <w:r>
        <w:rPr>
          <w:color w:val="231F20"/>
        </w:rPr>
        <w:t>Navigator</w:t>
      </w:r>
      <w:r>
        <w:rPr>
          <w:color w:val="231F20"/>
          <w:spacing w:val="5"/>
        </w:rPr>
        <w:t> </w:t>
      </w:r>
      <w:r>
        <w:rPr>
          <w:color w:val="231F20"/>
        </w:rPr>
        <w:t>Configuration</w:t>
      </w:r>
      <w:r>
        <w:rPr>
          <w:color w:val="231F20"/>
          <w:spacing w:val="6"/>
        </w:rPr>
        <w:t> </w:t>
      </w:r>
      <w:r>
        <w:rPr>
          <w:color w:val="231F20"/>
          <w:spacing w:val="-2"/>
        </w:rPr>
        <w:t>view.</w:t>
      </w:r>
    </w:p>
    <w:p>
      <w:pPr>
        <w:pStyle w:val="BodyText"/>
        <w:spacing w:line="213" w:lineRule="auto" w:before="119"/>
        <w:ind w:left="2951" w:right="493"/>
      </w:pPr>
      <w:r>
        <w:rPr>
          <w:position w:val="-3"/>
        </w:rPr>
        <w:drawing>
          <wp:inline distT="0" distB="0" distL="0" distR="0">
            <wp:extent cx="106135" cy="106135"/>
            <wp:effectExtent l="0" t="0" r="0" b="0"/>
            <wp:docPr id="2991" name="Image 2991"/>
            <wp:cNvGraphicFramePr>
              <a:graphicFrameLocks/>
            </wp:cNvGraphicFramePr>
            <a:graphic>
              <a:graphicData uri="http://schemas.openxmlformats.org/drawingml/2006/picture">
                <pic:pic>
                  <pic:nvPicPr>
                    <pic:cNvPr id="2991" name="Image 2991"/>
                    <pic:cNvPicPr/>
                  </pic:nvPicPr>
                  <pic:blipFill>
                    <a:blip r:embed="rId87"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40"/>
        </w:rPr>
        <w:t> </w:t>
      </w:r>
      <w:r>
        <w:rPr>
          <w:rFonts w:ascii="Book Antiqua"/>
          <w:b/>
          <w:color w:val="231F20"/>
        </w:rPr>
        <w:t>Modify </w:t>
      </w:r>
      <w:r>
        <w:rPr>
          <w:color w:val="231F20"/>
        </w:rPr>
        <w:t>allows the user to change your organization's WebSphere </w:t>
      </w:r>
      <w:r>
        <w:rPr>
          <w:color w:val="231F20"/>
        </w:rPr>
        <w:t>MQ configuration or to schedule updates in the Configuration view.</w:t>
      </w:r>
    </w:p>
    <w:p>
      <w:pPr>
        <w:pStyle w:val="Heading6"/>
        <w:ind w:left="2232"/>
      </w:pPr>
      <w:r>
        <w:rPr>
          <w:color w:val="231F20"/>
        </w:rPr>
        <w:t>Storage</w:t>
      </w:r>
      <w:r>
        <w:rPr>
          <w:color w:val="231F20"/>
          <w:spacing w:val="7"/>
        </w:rPr>
        <w:t> </w:t>
      </w:r>
      <w:r>
        <w:rPr>
          <w:color w:val="231F20"/>
        </w:rPr>
        <w:t>Subsystem</w:t>
      </w:r>
      <w:r>
        <w:rPr>
          <w:color w:val="231F20"/>
          <w:spacing w:val="8"/>
        </w:rPr>
        <w:t> </w:t>
      </w:r>
      <w:r>
        <w:rPr>
          <w:color w:val="231F20"/>
          <w:spacing w:val="-2"/>
        </w:rPr>
        <w:t>Authorities</w:t>
      </w:r>
    </w:p>
    <w:p>
      <w:pPr>
        <w:pStyle w:val="BodyText"/>
        <w:spacing w:line="213" w:lineRule="auto" w:before="11"/>
        <w:ind w:left="2951" w:right="603"/>
      </w:pPr>
      <w:r>
        <w:rPr>
          <w:color w:val="231F20"/>
        </w:rPr>
        <w:t>IBM Tivoli OMEGAMON XE for Storage installations will see this </w:t>
      </w:r>
      <w:r>
        <w:rPr>
          <w:color w:val="231F20"/>
        </w:rPr>
        <w:t>folder. Select </w:t>
      </w:r>
      <w:r>
        <w:rPr>
          <w:color w:val="231F20"/>
          <w:spacing w:val="16"/>
          <w:position w:val="-3"/>
        </w:rPr>
        <w:drawing>
          <wp:inline distT="0" distB="0" distL="0" distR="0">
            <wp:extent cx="106135" cy="106135"/>
            <wp:effectExtent l="0" t="0" r="0" b="0"/>
            <wp:docPr id="2992" name="Image 2992"/>
            <wp:cNvGraphicFramePr>
              <a:graphicFrameLocks/>
            </wp:cNvGraphicFramePr>
            <a:graphic>
              <a:graphicData uri="http://schemas.openxmlformats.org/drawingml/2006/picture">
                <pic:pic>
                  <pic:nvPicPr>
                    <pic:cNvPr id="2992" name="Image 2992"/>
                    <pic:cNvPicPr/>
                  </pic:nvPicPr>
                  <pic:blipFill>
                    <a:blip r:embed="rId87" cstate="print"/>
                    <a:stretch>
                      <a:fillRect/>
                    </a:stretch>
                  </pic:blipFill>
                  <pic:spPr>
                    <a:xfrm>
                      <a:off x="0" y="0"/>
                      <a:ext cx="106135" cy="106135"/>
                    </a:xfrm>
                    <a:prstGeom prst="rect">
                      <a:avLst/>
                    </a:prstGeom>
                  </pic:spPr>
                </pic:pic>
              </a:graphicData>
            </a:graphic>
          </wp:inline>
        </w:drawing>
      </w:r>
      <w:r>
        <w:rPr>
          <w:color w:val="231F20"/>
          <w:spacing w:val="16"/>
          <w:position w:val="-3"/>
        </w:rPr>
      </w:r>
      <w:r>
        <w:rPr>
          <w:rFonts w:ascii="Times New Roman"/>
          <w:color w:val="231F20"/>
          <w:spacing w:val="40"/>
        </w:rPr>
        <w:t> </w:t>
      </w:r>
      <w:r>
        <w:rPr>
          <w:rFonts w:ascii="Book Antiqua"/>
          <w:b/>
          <w:color w:val="231F20"/>
        </w:rPr>
        <w:t>View </w:t>
      </w:r>
      <w:r>
        <w:rPr>
          <w:color w:val="231F20"/>
        </w:rPr>
        <w:t>to allow the user to see, but not change data. Select </w:t>
      </w:r>
      <w:r>
        <w:rPr>
          <w:color w:val="231F20"/>
          <w:spacing w:val="15"/>
          <w:position w:val="-3"/>
        </w:rPr>
        <w:drawing>
          <wp:inline distT="0" distB="0" distL="0" distR="0">
            <wp:extent cx="106135" cy="106135"/>
            <wp:effectExtent l="0" t="0" r="0" b="0"/>
            <wp:docPr id="2993" name="Image 2993"/>
            <wp:cNvGraphicFramePr>
              <a:graphicFrameLocks/>
            </wp:cNvGraphicFramePr>
            <a:graphic>
              <a:graphicData uri="http://schemas.openxmlformats.org/drawingml/2006/picture">
                <pic:pic>
                  <pic:nvPicPr>
                    <pic:cNvPr id="2993" name="Image 2993"/>
                    <pic:cNvPicPr/>
                  </pic:nvPicPr>
                  <pic:blipFill>
                    <a:blip r:embed="rId87" cstate="print"/>
                    <a:stretch>
                      <a:fillRect/>
                    </a:stretch>
                  </pic:blipFill>
                  <pic:spPr>
                    <a:xfrm>
                      <a:off x="0" y="0"/>
                      <a:ext cx="106135" cy="106135"/>
                    </a:xfrm>
                    <a:prstGeom prst="rect">
                      <a:avLst/>
                    </a:prstGeom>
                  </pic:spPr>
                </pic:pic>
              </a:graphicData>
            </a:graphic>
          </wp:inline>
        </w:drawing>
      </w:r>
      <w:r>
        <w:rPr>
          <w:color w:val="231F20"/>
          <w:spacing w:val="15"/>
          <w:position w:val="-3"/>
        </w:rPr>
      </w:r>
      <w:r>
        <w:rPr>
          <w:rFonts w:ascii="Times New Roman"/>
          <w:color w:val="231F20"/>
          <w:spacing w:val="15"/>
          <w:position w:val="-3"/>
        </w:rPr>
        <w:t> </w:t>
      </w:r>
      <w:r>
        <w:rPr>
          <w:rFonts w:ascii="Book Antiqua"/>
          <w:b/>
          <w:color w:val="231F20"/>
        </w:rPr>
        <w:t>Modify </w:t>
      </w:r>
      <w:r>
        <w:rPr>
          <w:color w:val="231F20"/>
        </w:rPr>
        <w:t>to allow the user to change data.</w:t>
      </w:r>
    </w:p>
    <w:p>
      <w:pPr>
        <w:pStyle w:val="BodyText"/>
        <w:spacing w:line="213" w:lineRule="auto" w:before="118"/>
        <w:ind w:left="2951" w:right="636"/>
      </w:pPr>
      <w:r>
        <w:rPr>
          <w:rFonts w:ascii="Book Antiqua"/>
          <w:b/>
          <w:color w:val="231F20"/>
        </w:rPr>
        <w:t>Data Collection Configuration </w:t>
      </w:r>
      <w:r>
        <w:rPr>
          <w:color w:val="231F20"/>
        </w:rPr>
        <w:t>allows the user to view or modify </w:t>
      </w:r>
      <w:r>
        <w:rPr>
          <w:color w:val="231F20"/>
        </w:rPr>
        <w:t>the collection control interval for the DFSMSrmm Status workspace and Dataset Attributes System Summary workspace.</w:t>
      </w:r>
    </w:p>
    <w:p>
      <w:pPr>
        <w:spacing w:line="213" w:lineRule="auto" w:before="117"/>
        <w:ind w:left="2951" w:right="545" w:firstLine="0"/>
        <w:jc w:val="left"/>
        <w:rPr>
          <w:sz w:val="20"/>
        </w:rPr>
      </w:pPr>
      <w:r>
        <w:rPr>
          <w:rFonts w:ascii="Book Antiqua"/>
          <w:b/>
          <w:color w:val="231F20"/>
          <w:sz w:val="20"/>
        </w:rPr>
        <w:t>Dataset Groups Collection Interval </w:t>
      </w:r>
      <w:r>
        <w:rPr>
          <w:color w:val="231F20"/>
          <w:sz w:val="20"/>
        </w:rPr>
        <w:t>allows the user to view or modify </w:t>
      </w:r>
      <w:r>
        <w:rPr>
          <w:color w:val="231F20"/>
          <w:sz w:val="20"/>
        </w:rPr>
        <w:t>the control interval for the Dataset Group Summary workspace.</w:t>
      </w:r>
    </w:p>
    <w:p>
      <w:pPr>
        <w:spacing w:line="213" w:lineRule="auto" w:before="119"/>
        <w:ind w:left="2951" w:right="545" w:firstLine="0"/>
        <w:jc w:val="left"/>
        <w:rPr>
          <w:sz w:val="20"/>
        </w:rPr>
      </w:pPr>
      <w:r>
        <w:rPr>
          <w:rFonts w:ascii="Book Antiqua"/>
          <w:b/>
          <w:color w:val="231F20"/>
          <w:sz w:val="20"/>
        </w:rPr>
        <w:t>Define/Update Dataset Groups </w:t>
      </w:r>
      <w:r>
        <w:rPr>
          <w:color w:val="231F20"/>
          <w:sz w:val="20"/>
        </w:rPr>
        <w:t>allows the user to view or modify </w:t>
      </w:r>
      <w:r>
        <w:rPr>
          <w:color w:val="231F20"/>
          <w:sz w:val="20"/>
        </w:rPr>
        <w:t>the </w:t>
      </w:r>
      <w:bookmarkStart w:name="Applications" w:id="581"/>
      <w:bookmarkEnd w:id="581"/>
      <w:r>
        <w:rPr>
          <w:color w:val="231F20"/>
          <w:sz w:val="20"/>
        </w:rPr>
        <w:t>g</w:t>
      </w:r>
      <w:r>
        <w:rPr>
          <w:color w:val="231F20"/>
          <w:sz w:val="20"/>
        </w:rPr>
        <w:t>roup definitions for the Dataset Group Summary workspace.</w:t>
      </w:r>
    </w:p>
    <w:p>
      <w:pPr>
        <w:pStyle w:val="Heading3"/>
        <w:spacing w:before="217"/>
        <w:ind w:left="1334"/>
      </w:pPr>
      <w:r>
        <w:rPr>
          <w:color w:val="231F20"/>
          <w:spacing w:val="-2"/>
        </w:rPr>
        <w:t>Applications</w:t>
      </w:r>
    </w:p>
    <w:p>
      <w:pPr>
        <w:pStyle w:val="BodyText"/>
        <w:spacing w:line="213" w:lineRule="auto" w:before="58"/>
        <w:ind w:left="2232" w:right="636"/>
      </w:pPr>
      <w:r>
        <w:rPr>
          <w:color w:val="231F20"/>
        </w:rPr>
        <w:t>Your user ID is set so you can see some or all the application types being monitored. For example, one user might be able to see only mainframe applications, while another can see only middleware, and another sees </w:t>
      </w:r>
      <w:r>
        <w:rPr>
          <w:color w:val="231F20"/>
        </w:rPr>
        <w:t>all </w:t>
      </w:r>
      <w:r>
        <w:rPr>
          <w:color w:val="231F20"/>
          <w:spacing w:val="-2"/>
        </w:rPr>
        <w:t>applications.</w:t>
      </w:r>
    </w:p>
    <w:p>
      <w:pPr>
        <w:pStyle w:val="Heading6"/>
        <w:spacing w:before="116"/>
        <w:ind w:left="2232"/>
      </w:pPr>
      <w:r>
        <w:rPr>
          <w:color w:val="231F20"/>
        </w:rPr>
        <w:t>Allowed</w:t>
      </w:r>
      <w:r>
        <w:rPr>
          <w:color w:val="231F20"/>
          <w:spacing w:val="8"/>
        </w:rPr>
        <w:t> </w:t>
      </w:r>
      <w:r>
        <w:rPr>
          <w:color w:val="231F20"/>
          <w:spacing w:val="-2"/>
        </w:rPr>
        <w:t>Applications</w:t>
      </w:r>
    </w:p>
    <w:p>
      <w:pPr>
        <w:pStyle w:val="BodyText"/>
        <w:spacing w:line="258" w:lineRule="exact"/>
        <w:ind w:left="2951"/>
      </w:pPr>
      <w:r>
        <w:rPr>
          <w:color w:val="231F20"/>
        </w:rPr>
        <w:t>Shows</w:t>
      </w:r>
      <w:r>
        <w:rPr>
          <w:color w:val="231F20"/>
          <w:spacing w:val="9"/>
        </w:rPr>
        <w:t> </w:t>
      </w:r>
      <w:r>
        <w:rPr>
          <w:color w:val="231F20"/>
        </w:rPr>
        <w:t>the</w:t>
      </w:r>
      <w:r>
        <w:rPr>
          <w:color w:val="231F20"/>
          <w:spacing w:val="9"/>
        </w:rPr>
        <w:t> </w:t>
      </w:r>
      <w:r>
        <w:rPr>
          <w:color w:val="231F20"/>
        </w:rPr>
        <w:t>applications</w:t>
      </w:r>
      <w:r>
        <w:rPr>
          <w:color w:val="231F20"/>
          <w:spacing w:val="9"/>
        </w:rPr>
        <w:t> </w:t>
      </w:r>
      <w:r>
        <w:rPr>
          <w:color w:val="231F20"/>
        </w:rPr>
        <w:t>that</w:t>
      </w:r>
      <w:r>
        <w:rPr>
          <w:color w:val="231F20"/>
          <w:spacing w:val="9"/>
        </w:rPr>
        <w:t> </w:t>
      </w:r>
      <w:r>
        <w:rPr>
          <w:color w:val="231F20"/>
        </w:rPr>
        <w:t>you</w:t>
      </w:r>
      <w:r>
        <w:rPr>
          <w:color w:val="231F20"/>
          <w:spacing w:val="9"/>
        </w:rPr>
        <w:t> </w:t>
      </w:r>
      <w:r>
        <w:rPr>
          <w:color w:val="231F20"/>
        </w:rPr>
        <w:t>can</w:t>
      </w:r>
      <w:r>
        <w:rPr>
          <w:color w:val="231F20"/>
          <w:spacing w:val="9"/>
        </w:rPr>
        <w:t> </w:t>
      </w:r>
      <w:r>
        <w:rPr>
          <w:color w:val="231F20"/>
        </w:rPr>
        <w:t>access</w:t>
      </w:r>
      <w:r>
        <w:rPr>
          <w:color w:val="231F20"/>
          <w:spacing w:val="10"/>
        </w:rPr>
        <w:t> </w:t>
      </w:r>
      <w:r>
        <w:rPr>
          <w:color w:val="231F20"/>
        </w:rPr>
        <w:t>from</w:t>
      </w:r>
      <w:r>
        <w:rPr>
          <w:color w:val="231F20"/>
          <w:spacing w:val="9"/>
        </w:rPr>
        <w:t> </w:t>
      </w:r>
      <w:r>
        <w:rPr>
          <w:color w:val="231F20"/>
        </w:rPr>
        <w:t>Tivoli</w:t>
      </w:r>
      <w:r>
        <w:rPr>
          <w:color w:val="231F20"/>
          <w:spacing w:val="9"/>
        </w:rPr>
        <w:t> </w:t>
      </w:r>
      <w:r>
        <w:rPr>
          <w:color w:val="231F20"/>
        </w:rPr>
        <w:t>Enterprise</w:t>
      </w:r>
      <w:r>
        <w:rPr>
          <w:color w:val="231F20"/>
          <w:spacing w:val="9"/>
        </w:rPr>
        <w:t> </w:t>
      </w:r>
      <w:r>
        <w:rPr>
          <w:color w:val="231F20"/>
          <w:spacing w:val="-2"/>
        </w:rPr>
        <w:t>Portal.</w:t>
      </w:r>
    </w:p>
    <w:p>
      <w:pPr>
        <w:spacing w:after="0" w:line="258" w:lineRule="exact"/>
        <w:sectPr>
          <w:pgSz w:w="12240" w:h="15840"/>
          <w:pgMar w:header="0" w:footer="736" w:top="1180" w:bottom="920" w:left="1000" w:right="1060"/>
        </w:sectPr>
      </w:pPr>
    </w:p>
    <w:p>
      <w:pPr>
        <w:pStyle w:val="Heading6"/>
        <w:spacing w:before="83"/>
      </w:pPr>
      <w:bookmarkStart w:name="_bookmark282" w:id="582"/>
      <w:bookmarkEnd w:id="582"/>
      <w:r>
        <w:rPr>
          <w:b w:val="0"/>
        </w:rPr>
      </w:r>
      <w:r>
        <w:rPr>
          <w:color w:val="231F20"/>
        </w:rPr>
        <w:t>Available</w:t>
      </w:r>
      <w:r>
        <w:rPr>
          <w:color w:val="231F20"/>
          <w:spacing w:val="-7"/>
        </w:rPr>
        <w:t> </w:t>
      </w:r>
      <w:r>
        <w:rPr>
          <w:color w:val="231F20"/>
          <w:spacing w:val="-2"/>
        </w:rPr>
        <w:t>Applications</w:t>
      </w:r>
    </w:p>
    <w:p>
      <w:pPr>
        <w:pStyle w:val="BodyText"/>
        <w:spacing w:line="243" w:lineRule="exact"/>
        <w:ind w:left="3190"/>
      </w:pPr>
      <w:r>
        <w:rPr>
          <w:color w:val="231F20"/>
        </w:rPr>
        <w:t>Shows</w:t>
      </w:r>
      <w:r>
        <w:rPr>
          <w:color w:val="231F20"/>
          <w:spacing w:val="8"/>
        </w:rPr>
        <w:t> </w:t>
      </w:r>
      <w:r>
        <w:rPr>
          <w:color w:val="231F20"/>
        </w:rPr>
        <w:t>the</w:t>
      </w:r>
      <w:r>
        <w:rPr>
          <w:color w:val="231F20"/>
          <w:spacing w:val="9"/>
        </w:rPr>
        <w:t> </w:t>
      </w:r>
      <w:r>
        <w:rPr>
          <w:color w:val="231F20"/>
        </w:rPr>
        <w:t>applications</w:t>
      </w:r>
      <w:r>
        <w:rPr>
          <w:color w:val="231F20"/>
          <w:spacing w:val="9"/>
        </w:rPr>
        <w:t> </w:t>
      </w:r>
      <w:r>
        <w:rPr>
          <w:color w:val="231F20"/>
        </w:rPr>
        <w:t>available</w:t>
      </w:r>
      <w:r>
        <w:rPr>
          <w:color w:val="231F20"/>
          <w:spacing w:val="9"/>
        </w:rPr>
        <w:t> </w:t>
      </w:r>
      <w:r>
        <w:rPr>
          <w:color w:val="231F20"/>
        </w:rPr>
        <w:t>for</w:t>
      </w:r>
      <w:r>
        <w:rPr>
          <w:color w:val="231F20"/>
          <w:spacing w:val="9"/>
        </w:rPr>
        <w:t> </w:t>
      </w:r>
      <w:r>
        <w:rPr>
          <w:color w:val="231F20"/>
        </w:rPr>
        <w:t>assignment</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selected</w:t>
      </w:r>
      <w:r>
        <w:rPr>
          <w:color w:val="231F20"/>
          <w:spacing w:val="9"/>
        </w:rPr>
        <w:t> </w:t>
      </w:r>
      <w:r>
        <w:rPr>
          <w:color w:val="231F20"/>
        </w:rPr>
        <w:t>user.</w:t>
      </w:r>
      <w:r>
        <w:rPr>
          <w:color w:val="231F20"/>
          <w:spacing w:val="9"/>
        </w:rPr>
        <w:t> </w:t>
      </w:r>
      <w:r>
        <w:rPr>
          <w:color w:val="231F20"/>
          <w:spacing w:val="-5"/>
        </w:rPr>
        <w:t>If</w:t>
      </w:r>
    </w:p>
    <w:p>
      <w:pPr>
        <w:spacing w:line="213" w:lineRule="auto" w:before="8"/>
        <w:ind w:left="3190" w:right="545" w:firstLine="0"/>
        <w:jc w:val="left"/>
        <w:rPr>
          <w:sz w:val="20"/>
        </w:rPr>
      </w:pPr>
      <w:r>
        <w:rPr>
          <w:rFonts w:ascii="Book Antiqua"/>
          <w:b/>
          <w:color w:val="231F20"/>
          <w:sz w:val="20"/>
        </w:rPr>
        <w:t>&lt;All Applications&gt; </w:t>
      </w:r>
      <w:r>
        <w:rPr>
          <w:color w:val="231F20"/>
          <w:sz w:val="20"/>
        </w:rPr>
        <w:t>is on the </w:t>
      </w:r>
      <w:r>
        <w:rPr>
          <w:rFonts w:ascii="Book Antiqua"/>
          <w:b/>
          <w:color w:val="231F20"/>
          <w:sz w:val="20"/>
        </w:rPr>
        <w:t>Allowed Applications </w:t>
      </w:r>
      <w:r>
        <w:rPr>
          <w:color w:val="231F20"/>
          <w:sz w:val="20"/>
        </w:rPr>
        <w:t>list, then no other entries can be added. You must move it back to </w:t>
      </w:r>
      <w:r>
        <w:rPr>
          <w:rFonts w:ascii="Book Antiqua"/>
          <w:b/>
          <w:color w:val="231F20"/>
          <w:sz w:val="20"/>
        </w:rPr>
        <w:t>Available </w:t>
      </w:r>
      <w:r>
        <w:rPr>
          <w:rFonts w:ascii="Book Antiqua"/>
          <w:b/>
          <w:color w:val="231F20"/>
          <w:sz w:val="20"/>
        </w:rPr>
        <w:t>Applications </w:t>
      </w:r>
      <w:r>
        <w:rPr>
          <w:color w:val="231F20"/>
          <w:sz w:val="20"/>
        </w:rPr>
        <w:t>before you can select a subset of applications to assign.</w:t>
      </w:r>
    </w:p>
    <w:p>
      <w:pPr>
        <w:pStyle w:val="BodyText"/>
        <w:spacing w:line="213" w:lineRule="auto" w:before="118"/>
        <w:ind w:left="3190" w:right="185"/>
      </w:pPr>
      <w:r>
        <w:rPr>
          <w:color w:val="231F20"/>
        </w:rPr>
        <w:t>Select</w:t>
      </w:r>
      <w:r>
        <w:rPr>
          <w:color w:val="231F20"/>
          <w:spacing w:val="19"/>
        </w:rPr>
        <w:t> </w:t>
      </w:r>
      <w:r>
        <w:rPr>
          <w:color w:val="231F20"/>
        </w:rPr>
        <w:t>the</w:t>
      </w:r>
      <w:r>
        <w:rPr>
          <w:color w:val="231F20"/>
          <w:spacing w:val="19"/>
        </w:rPr>
        <w:t> </w:t>
      </w:r>
      <w:r>
        <w:rPr>
          <w:color w:val="231F20"/>
        </w:rPr>
        <w:t>applications</w:t>
      </w:r>
      <w:r>
        <w:rPr>
          <w:color w:val="231F20"/>
          <w:spacing w:val="19"/>
        </w:rPr>
        <w:t> </w:t>
      </w:r>
      <w:r>
        <w:rPr>
          <w:color w:val="231F20"/>
        </w:rPr>
        <w:t>you</w:t>
      </w:r>
      <w:r>
        <w:rPr>
          <w:color w:val="231F20"/>
          <w:spacing w:val="19"/>
        </w:rPr>
        <w:t> </w:t>
      </w:r>
      <w:r>
        <w:rPr>
          <w:color w:val="231F20"/>
        </w:rPr>
        <w:t>want</w:t>
      </w:r>
      <w:r>
        <w:rPr>
          <w:color w:val="231F20"/>
          <w:spacing w:val="19"/>
        </w:rPr>
        <w:t> </w:t>
      </w:r>
      <w:r>
        <w:rPr>
          <w:color w:val="231F20"/>
        </w:rPr>
        <w:t>to</w:t>
      </w:r>
      <w:r>
        <w:rPr>
          <w:color w:val="231F20"/>
          <w:spacing w:val="19"/>
        </w:rPr>
        <w:t> </w:t>
      </w:r>
      <w:r>
        <w:rPr>
          <w:color w:val="231F20"/>
        </w:rPr>
        <w:t>add,</w:t>
      </w:r>
      <w:r>
        <w:rPr>
          <w:color w:val="231F20"/>
          <w:spacing w:val="19"/>
        </w:rPr>
        <w:t> </w:t>
      </w:r>
      <w:r>
        <w:rPr>
          <w:color w:val="231F20"/>
        </w:rPr>
        <w:t>or</w:t>
      </w:r>
      <w:r>
        <w:rPr>
          <w:color w:val="231F20"/>
          <w:spacing w:val="19"/>
        </w:rPr>
        <w:t> </w:t>
      </w:r>
      <w:r>
        <w:rPr>
          <w:color w:val="231F20"/>
        </w:rPr>
        <w:t>select</w:t>
      </w:r>
      <w:r>
        <w:rPr>
          <w:color w:val="231F20"/>
          <w:spacing w:val="19"/>
        </w:rPr>
        <w:t> </w:t>
      </w:r>
      <w:r>
        <w:rPr>
          <w:rFonts w:ascii="Book Antiqua"/>
          <w:b/>
          <w:color w:val="231F20"/>
        </w:rPr>
        <w:t>&lt;All</w:t>
      </w:r>
      <w:r>
        <w:rPr>
          <w:rFonts w:ascii="Book Antiqua"/>
          <w:b/>
          <w:color w:val="231F20"/>
          <w:spacing w:val="19"/>
        </w:rPr>
        <w:t> </w:t>
      </w:r>
      <w:r>
        <w:rPr>
          <w:rFonts w:ascii="Book Antiqua"/>
          <w:b/>
          <w:color w:val="231F20"/>
        </w:rPr>
        <w:t>Applications&gt;</w:t>
      </w:r>
      <w:r>
        <w:rPr>
          <w:color w:val="231F20"/>
        </w:rPr>
        <w:t>,</w:t>
      </w:r>
      <w:r>
        <w:rPr>
          <w:color w:val="231F20"/>
          <w:spacing w:val="19"/>
        </w:rPr>
        <w:t> </w:t>
      </w:r>
      <w:r>
        <w:rPr>
          <w:color w:val="231F20"/>
        </w:rPr>
        <w:t>and </w:t>
      </w:r>
      <w:r>
        <w:rPr>
          <w:color w:val="231F20"/>
          <w:position w:val="1"/>
        </w:rPr>
        <w:drawing>
          <wp:inline distT="0" distB="0" distL="0" distR="0">
            <wp:extent cx="44450" cy="76200"/>
            <wp:effectExtent l="0" t="0" r="0" b="0"/>
            <wp:docPr id="2994" name="Image 2994"/>
            <wp:cNvGraphicFramePr>
              <a:graphicFrameLocks/>
            </wp:cNvGraphicFramePr>
            <a:graphic>
              <a:graphicData uri="http://schemas.openxmlformats.org/drawingml/2006/picture">
                <pic:pic>
                  <pic:nvPicPr>
                    <pic:cNvPr id="2994" name="Image 2994"/>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position w:val="1"/>
        </w:rPr>
      </w:r>
      <w:r>
        <w:rPr>
          <w:rFonts w:ascii="Times New Roman"/>
          <w:color w:val="231F20"/>
          <w:spacing w:val="40"/>
        </w:rPr>
        <w:t> </w:t>
      </w:r>
      <w:r>
        <w:rPr>
          <w:color w:val="231F20"/>
        </w:rPr>
        <w:t>move them to the </w:t>
      </w:r>
      <w:r>
        <w:rPr>
          <w:rFonts w:ascii="Book Antiqua"/>
          <w:b/>
          <w:color w:val="231F20"/>
        </w:rPr>
        <w:t>Allowed Applications </w:t>
      </w:r>
      <w:r>
        <w:rPr>
          <w:color w:val="231F20"/>
        </w:rPr>
        <w:t>list. After selecting the first application,</w:t>
      </w:r>
      <w:r>
        <w:rPr>
          <w:color w:val="231F20"/>
          <w:spacing w:val="34"/>
        </w:rPr>
        <w:t> </w:t>
      </w:r>
      <w:r>
        <w:rPr>
          <w:color w:val="231F20"/>
        </w:rPr>
        <w:t>you</w:t>
      </w:r>
      <w:r>
        <w:rPr>
          <w:color w:val="231F20"/>
          <w:spacing w:val="34"/>
        </w:rPr>
        <w:t> </w:t>
      </w:r>
      <w:r>
        <w:rPr>
          <w:color w:val="231F20"/>
        </w:rPr>
        <w:t>can</w:t>
      </w:r>
      <w:r>
        <w:rPr>
          <w:color w:val="231F20"/>
          <w:spacing w:val="34"/>
        </w:rPr>
        <w:t> </w:t>
      </w:r>
      <w:r>
        <w:rPr>
          <w:color w:val="231F20"/>
        </w:rPr>
        <w:t>use</w:t>
      </w:r>
      <w:r>
        <w:rPr>
          <w:color w:val="231F20"/>
          <w:spacing w:val="34"/>
        </w:rPr>
        <w:t> </w:t>
      </w:r>
      <w:r>
        <w:rPr>
          <w:color w:val="231F20"/>
        </w:rPr>
        <w:t>Ctrl+click</w:t>
      </w:r>
      <w:r>
        <w:rPr>
          <w:color w:val="231F20"/>
          <w:spacing w:val="34"/>
        </w:rPr>
        <w:t> </w:t>
      </w:r>
      <w:r>
        <w:rPr>
          <w:color w:val="231F20"/>
        </w:rPr>
        <w:t>to</w:t>
      </w:r>
      <w:r>
        <w:rPr>
          <w:color w:val="231F20"/>
          <w:spacing w:val="34"/>
        </w:rPr>
        <w:t> </w:t>
      </w:r>
      <w:r>
        <w:rPr>
          <w:color w:val="231F20"/>
        </w:rPr>
        <w:t>select</w:t>
      </w:r>
      <w:r>
        <w:rPr>
          <w:color w:val="231F20"/>
          <w:spacing w:val="34"/>
        </w:rPr>
        <w:t> </w:t>
      </w:r>
      <w:r>
        <w:rPr>
          <w:color w:val="231F20"/>
        </w:rPr>
        <w:t>other</w:t>
      </w:r>
      <w:r>
        <w:rPr>
          <w:color w:val="231F20"/>
          <w:spacing w:val="34"/>
        </w:rPr>
        <w:t> </w:t>
      </w:r>
      <w:r>
        <w:rPr>
          <w:color w:val="231F20"/>
        </w:rPr>
        <w:t>applications</w:t>
      </w:r>
      <w:r>
        <w:rPr>
          <w:color w:val="231F20"/>
          <w:spacing w:val="34"/>
        </w:rPr>
        <w:t> </w:t>
      </w:r>
      <w:r>
        <w:rPr>
          <w:color w:val="231F20"/>
        </w:rPr>
        <w:t>or Shift+click to select all applications between the first selection and this </w:t>
      </w:r>
      <w:r>
        <w:rPr>
          <w:color w:val="231F20"/>
        </w:rPr>
        <w:t>one.</w:t>
      </w:r>
    </w:p>
    <w:p>
      <w:pPr>
        <w:pStyle w:val="Heading3"/>
        <w:spacing w:before="216"/>
        <w:ind w:left="1574"/>
      </w:pPr>
      <w:bookmarkStart w:name="Navigator views" w:id="583"/>
      <w:bookmarkEnd w:id="583"/>
      <w:r>
        <w:rPr>
          <w:b w:val="0"/>
        </w:rPr>
      </w:r>
      <w:r>
        <w:rPr>
          <w:color w:val="231F20"/>
        </w:rPr>
        <w:t>Navigator</w:t>
      </w:r>
      <w:r>
        <w:rPr>
          <w:color w:val="231F20"/>
          <w:spacing w:val="2"/>
        </w:rPr>
        <w:t> </w:t>
      </w:r>
      <w:r>
        <w:rPr>
          <w:color w:val="231F20"/>
          <w:spacing w:val="-2"/>
        </w:rPr>
        <w:t>views</w:t>
      </w:r>
    </w:p>
    <w:p>
      <w:pPr>
        <w:pStyle w:val="BodyText"/>
        <w:spacing w:line="213" w:lineRule="auto" w:before="58"/>
        <w:ind w:left="2472" w:right="263"/>
      </w:pPr>
      <w:r>
        <w:rPr>
          <w:color w:val="231F20"/>
        </w:rPr>
        <w:t>When a Navigator view is created, only the author is able to see the view, but it is</w:t>
      </w:r>
      <w:r>
        <w:rPr>
          <w:color w:val="231F20"/>
          <w:spacing w:val="40"/>
        </w:rPr>
        <w:t> </w:t>
      </w:r>
      <w:r>
        <w:rPr>
          <w:color w:val="231F20"/>
        </w:rPr>
        <w:t>available for the administrator to assign to users. An assigned Navigator view means</w:t>
      </w:r>
      <w:r>
        <w:rPr>
          <w:color w:val="231F20"/>
          <w:spacing w:val="24"/>
        </w:rPr>
        <w:t> </w:t>
      </w:r>
      <w:r>
        <w:rPr>
          <w:color w:val="231F20"/>
        </w:rPr>
        <w:t>the</w:t>
      </w:r>
      <w:r>
        <w:rPr>
          <w:color w:val="231F20"/>
          <w:spacing w:val="24"/>
        </w:rPr>
        <w:t> </w:t>
      </w:r>
      <w:r>
        <w:rPr>
          <w:color w:val="231F20"/>
        </w:rPr>
        <w:t>user</w:t>
      </w:r>
      <w:r>
        <w:rPr>
          <w:color w:val="231F20"/>
          <w:spacing w:val="24"/>
        </w:rPr>
        <w:t> </w:t>
      </w:r>
      <w:r>
        <w:rPr>
          <w:color w:val="231F20"/>
        </w:rPr>
        <w:t>can</w:t>
      </w:r>
      <w:r>
        <w:rPr>
          <w:color w:val="231F20"/>
          <w:spacing w:val="24"/>
        </w:rPr>
        <w:t> </w:t>
      </w:r>
      <w:r>
        <w:rPr>
          <w:color w:val="231F20"/>
        </w:rPr>
        <w:t>open</w:t>
      </w:r>
      <w:r>
        <w:rPr>
          <w:color w:val="231F20"/>
          <w:spacing w:val="24"/>
        </w:rPr>
        <w:t> </w:t>
      </w:r>
      <w:r>
        <w:rPr>
          <w:color w:val="231F20"/>
        </w:rPr>
        <w:t>it.</w:t>
      </w:r>
      <w:r>
        <w:rPr>
          <w:color w:val="231F20"/>
          <w:spacing w:val="24"/>
        </w:rPr>
        <w:t> </w:t>
      </w:r>
      <w:r>
        <w:rPr>
          <w:color w:val="231F20"/>
        </w:rPr>
        <w:t>For</w:t>
      </w:r>
      <w:r>
        <w:rPr>
          <w:color w:val="231F20"/>
          <w:spacing w:val="24"/>
        </w:rPr>
        <w:t> </w:t>
      </w:r>
      <w:r>
        <w:rPr>
          <w:color w:val="231F20"/>
        </w:rPr>
        <w:t>each</w:t>
      </w:r>
      <w:r>
        <w:rPr>
          <w:color w:val="231F20"/>
          <w:spacing w:val="24"/>
        </w:rPr>
        <w:t> </w:t>
      </w:r>
      <w:r>
        <w:rPr>
          <w:color w:val="231F20"/>
        </w:rPr>
        <w:t>assigned</w:t>
      </w:r>
      <w:r>
        <w:rPr>
          <w:color w:val="231F20"/>
          <w:spacing w:val="24"/>
        </w:rPr>
        <w:t> </w:t>
      </w:r>
      <w:r>
        <w:rPr>
          <w:color w:val="231F20"/>
        </w:rPr>
        <w:t>view,</w:t>
      </w:r>
      <w:r>
        <w:rPr>
          <w:color w:val="231F20"/>
          <w:spacing w:val="24"/>
        </w:rPr>
        <w:t> </w:t>
      </w:r>
      <w:r>
        <w:rPr>
          <w:color w:val="231F20"/>
        </w:rPr>
        <w:t>the</w:t>
      </w:r>
      <w:r>
        <w:rPr>
          <w:color w:val="231F20"/>
          <w:spacing w:val="24"/>
        </w:rPr>
        <w:t> </w:t>
      </w:r>
      <w:r>
        <w:rPr>
          <w:color w:val="231F20"/>
        </w:rPr>
        <w:t>user</w:t>
      </w:r>
      <w:r>
        <w:rPr>
          <w:color w:val="231F20"/>
          <w:spacing w:val="24"/>
        </w:rPr>
        <w:t> </w:t>
      </w:r>
      <w:r>
        <w:rPr>
          <w:color w:val="231F20"/>
        </w:rPr>
        <w:t>can</w:t>
      </w:r>
      <w:r>
        <w:rPr>
          <w:color w:val="231F20"/>
          <w:spacing w:val="24"/>
        </w:rPr>
        <w:t> </w:t>
      </w:r>
      <w:r>
        <w:rPr>
          <w:color w:val="231F20"/>
        </w:rPr>
        <w:t>be</w:t>
      </w:r>
      <w:r>
        <w:rPr>
          <w:color w:val="231F20"/>
          <w:spacing w:val="24"/>
        </w:rPr>
        <w:t> </w:t>
      </w:r>
      <w:r>
        <w:rPr>
          <w:color w:val="231F20"/>
        </w:rPr>
        <w:t>restricted</w:t>
      </w:r>
      <w:r>
        <w:rPr>
          <w:color w:val="231F20"/>
          <w:spacing w:val="24"/>
        </w:rPr>
        <w:t> </w:t>
      </w:r>
      <w:r>
        <w:rPr>
          <w:color w:val="231F20"/>
        </w:rPr>
        <w:t>to see only a certain branch rather than the entire hierarchy.</w:t>
      </w:r>
    </w:p>
    <w:p>
      <w:pPr>
        <w:pStyle w:val="Heading6"/>
        <w:spacing w:before="116"/>
      </w:pPr>
      <w:r>
        <w:rPr>
          <w:color w:val="231F20"/>
        </w:rPr>
        <w:t>Assigned</w:t>
      </w:r>
      <w:r>
        <w:rPr>
          <w:color w:val="231F20"/>
          <w:spacing w:val="7"/>
        </w:rPr>
        <w:t> </w:t>
      </w:r>
      <w:r>
        <w:rPr>
          <w:color w:val="231F20"/>
          <w:spacing w:val="-4"/>
        </w:rPr>
        <w:t>Views</w:t>
      </w:r>
    </w:p>
    <w:p>
      <w:pPr>
        <w:pStyle w:val="BodyText"/>
        <w:spacing w:line="213" w:lineRule="auto" w:before="11"/>
        <w:ind w:left="3190" w:right="207"/>
      </w:pPr>
      <w:r>
        <w:rPr>
          <w:color w:val="231F20"/>
        </w:rPr>
        <w:t>Shows the Navigator views the user is able to see and access. The first Navigator view in this list is the default for the user; it displays automatically</w:t>
      </w:r>
      <w:r>
        <w:rPr>
          <w:color w:val="231F20"/>
          <w:spacing w:val="27"/>
        </w:rPr>
        <w:t> </w:t>
      </w:r>
      <w:r>
        <w:rPr>
          <w:color w:val="231F20"/>
        </w:rPr>
        <w:t>whenever</w:t>
      </w:r>
      <w:r>
        <w:rPr>
          <w:color w:val="231F20"/>
          <w:spacing w:val="27"/>
        </w:rPr>
        <w:t> </w:t>
      </w:r>
      <w:r>
        <w:rPr>
          <w:color w:val="231F20"/>
        </w:rPr>
        <w:t>the</w:t>
      </w:r>
      <w:r>
        <w:rPr>
          <w:color w:val="231F20"/>
          <w:spacing w:val="27"/>
        </w:rPr>
        <w:t> </w:t>
      </w:r>
      <w:r>
        <w:rPr>
          <w:color w:val="231F20"/>
        </w:rPr>
        <w:t>user</w:t>
      </w:r>
      <w:r>
        <w:rPr>
          <w:color w:val="231F20"/>
          <w:spacing w:val="27"/>
        </w:rPr>
        <w:t> </w:t>
      </w:r>
      <w:r>
        <w:rPr>
          <w:color w:val="231F20"/>
        </w:rPr>
        <w:t>logs</w:t>
      </w:r>
      <w:r>
        <w:rPr>
          <w:color w:val="231F20"/>
          <w:spacing w:val="27"/>
        </w:rPr>
        <w:t> </w:t>
      </w:r>
      <w:r>
        <w:rPr>
          <w:color w:val="231F20"/>
        </w:rPr>
        <w:t>on. You</w:t>
      </w:r>
      <w:r>
        <w:rPr>
          <w:color w:val="231F20"/>
          <w:spacing w:val="27"/>
        </w:rPr>
        <w:t> </w:t>
      </w:r>
      <w:r>
        <w:rPr>
          <w:color w:val="231F20"/>
        </w:rPr>
        <w:t>can</w:t>
      </w:r>
      <w:r>
        <w:rPr>
          <w:color w:val="231F20"/>
          <w:spacing w:val="27"/>
        </w:rPr>
        <w:t> </w:t>
      </w:r>
      <w:r>
        <w:rPr>
          <w:color w:val="231F20"/>
        </w:rPr>
        <w:t>select</w:t>
      </w:r>
      <w:r>
        <w:rPr>
          <w:color w:val="231F20"/>
          <w:spacing w:val="27"/>
        </w:rPr>
        <w:t> </w:t>
      </w:r>
      <w:r>
        <w:rPr>
          <w:color w:val="231F20"/>
        </w:rPr>
        <w:t>any</w:t>
      </w:r>
      <w:r>
        <w:rPr>
          <w:color w:val="231F20"/>
          <w:spacing w:val="27"/>
        </w:rPr>
        <w:t> </w:t>
      </w:r>
      <w:r>
        <w:rPr>
          <w:color w:val="231F20"/>
        </w:rPr>
        <w:t>views</w:t>
      </w:r>
      <w:r>
        <w:rPr>
          <w:color w:val="231F20"/>
          <w:spacing w:val="27"/>
        </w:rPr>
        <w:t> </w:t>
      </w:r>
      <w:r>
        <w:rPr>
          <w:color w:val="231F20"/>
        </w:rPr>
        <w:t>to which you do not want the user to have access, and click</w:t>
      </w:r>
      <w:r>
        <w:rPr>
          <w:color w:val="231F20"/>
          <w:spacing w:val="20"/>
        </w:rPr>
        <w:t> </w:t>
      </w:r>
      <w:r>
        <w:rPr>
          <w:color w:val="231F20"/>
          <w:spacing w:val="-25"/>
          <w:position w:val="-1"/>
        </w:rPr>
        <w:drawing>
          <wp:inline distT="0" distB="0" distL="0" distR="0">
            <wp:extent cx="95250" cy="95250"/>
            <wp:effectExtent l="0" t="0" r="0" b="0"/>
            <wp:docPr id="2995" name="Image 2995"/>
            <wp:cNvGraphicFramePr>
              <a:graphicFrameLocks/>
            </wp:cNvGraphicFramePr>
            <a:graphic>
              <a:graphicData uri="http://schemas.openxmlformats.org/drawingml/2006/picture">
                <pic:pic>
                  <pic:nvPicPr>
                    <pic:cNvPr id="2995" name="Image 2995"/>
                    <pic:cNvPicPr/>
                  </pic:nvPicPr>
                  <pic:blipFill>
                    <a:blip r:embed="rId25"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80"/>
        </w:rPr>
        <w:t> </w:t>
      </w:r>
      <w:r>
        <w:rPr>
          <w:color w:val="231F20"/>
        </w:rPr>
        <w:t>right arrow </w:t>
      </w:r>
      <w:r>
        <w:rPr>
          <w:color w:val="231F20"/>
        </w:rPr>
        <w:t>to move them to the </w:t>
      </w:r>
      <w:r>
        <w:rPr>
          <w:rFonts w:ascii="Book Antiqua"/>
          <w:b/>
          <w:color w:val="231F20"/>
        </w:rPr>
        <w:t>Available Views </w:t>
      </w:r>
      <w:r>
        <w:rPr>
          <w:color w:val="231F20"/>
        </w:rPr>
        <w:t>list. Select the appropriate entries and click</w:t>
      </w:r>
      <w:r>
        <w:rPr>
          <w:color w:val="231F20"/>
          <w:spacing w:val="40"/>
        </w:rPr>
        <w:t> </w:t>
      </w:r>
      <w:r>
        <w:rPr>
          <w:color w:val="231F20"/>
          <w:spacing w:val="16"/>
          <w:position w:val="1"/>
        </w:rPr>
        <w:drawing>
          <wp:inline distT="0" distB="0" distL="0" distR="0">
            <wp:extent cx="44450" cy="76200"/>
            <wp:effectExtent l="0" t="0" r="0" b="0"/>
            <wp:docPr id="2996" name="Image 2996"/>
            <wp:cNvGraphicFramePr>
              <a:graphicFrameLocks/>
            </wp:cNvGraphicFramePr>
            <a:graphic>
              <a:graphicData uri="http://schemas.openxmlformats.org/drawingml/2006/picture">
                <pic:pic>
                  <pic:nvPicPr>
                    <pic:cNvPr id="2996" name="Image 2996"/>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rPr>
      </w:r>
      <w:r>
        <w:rPr>
          <w:rFonts w:ascii="Times New Roman"/>
          <w:color w:val="231F20"/>
          <w:spacing w:val="80"/>
        </w:rPr>
        <w:t> </w:t>
      </w:r>
      <w:r>
        <w:rPr>
          <w:color w:val="231F20"/>
        </w:rPr>
        <w:t>left arrow to move them to the </w:t>
      </w:r>
      <w:r>
        <w:rPr>
          <w:rFonts w:ascii="Book Antiqua"/>
          <w:b/>
          <w:color w:val="231F20"/>
        </w:rPr>
        <w:t>Assigned Views. </w:t>
      </w:r>
      <w:r>
        <w:rPr>
          <w:color w:val="231F20"/>
        </w:rPr>
        <w:t>You can move a</w:t>
      </w:r>
      <w:r>
        <w:rPr>
          <w:color w:val="231F20"/>
          <w:spacing w:val="40"/>
        </w:rPr>
        <w:t> </w:t>
      </w:r>
      <w:r>
        <w:rPr>
          <w:color w:val="231F20"/>
        </w:rPr>
        <w:t>Navigator</w:t>
      </w:r>
      <w:r>
        <w:rPr>
          <w:color w:val="231F20"/>
          <w:spacing w:val="20"/>
        </w:rPr>
        <w:t> </w:t>
      </w:r>
      <w:r>
        <w:rPr>
          <w:color w:val="231F20"/>
        </w:rPr>
        <w:t>view</w:t>
      </w:r>
      <w:r>
        <w:rPr>
          <w:color w:val="231F20"/>
          <w:spacing w:val="20"/>
        </w:rPr>
        <w:t> </w:t>
      </w:r>
      <w:r>
        <w:rPr>
          <w:color w:val="231F20"/>
        </w:rPr>
        <w:t>to</w:t>
      </w:r>
      <w:r>
        <w:rPr>
          <w:color w:val="231F20"/>
          <w:spacing w:val="20"/>
        </w:rPr>
        <w:t> </w:t>
      </w:r>
      <w:r>
        <w:rPr>
          <w:color w:val="231F20"/>
        </w:rPr>
        <w:t>the</w:t>
      </w:r>
      <w:r>
        <w:rPr>
          <w:color w:val="231F20"/>
          <w:spacing w:val="20"/>
        </w:rPr>
        <w:t> </w:t>
      </w:r>
      <w:r>
        <w:rPr>
          <w:color w:val="231F20"/>
        </w:rPr>
        <w:t>top</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list</w:t>
      </w:r>
      <w:r>
        <w:rPr>
          <w:color w:val="231F20"/>
          <w:spacing w:val="20"/>
        </w:rPr>
        <w:t> </w:t>
      </w:r>
      <w:r>
        <w:rPr>
          <w:color w:val="231F20"/>
        </w:rPr>
        <w:t>to</w:t>
      </w:r>
      <w:r>
        <w:rPr>
          <w:color w:val="231F20"/>
          <w:spacing w:val="20"/>
        </w:rPr>
        <w:t> </w:t>
      </w:r>
      <w:r>
        <w:rPr>
          <w:color w:val="231F20"/>
        </w:rPr>
        <w:t>make</w:t>
      </w:r>
      <w:r>
        <w:rPr>
          <w:color w:val="231F20"/>
          <w:spacing w:val="20"/>
        </w:rPr>
        <w:t> </w:t>
      </w:r>
      <w:r>
        <w:rPr>
          <w:color w:val="231F20"/>
        </w:rPr>
        <w:t>it</w:t>
      </w:r>
      <w:r>
        <w:rPr>
          <w:color w:val="231F20"/>
          <w:spacing w:val="20"/>
        </w:rPr>
        <w:t> </w:t>
      </w:r>
      <w:r>
        <w:rPr>
          <w:color w:val="231F20"/>
        </w:rPr>
        <w:t>the</w:t>
      </w:r>
      <w:r>
        <w:rPr>
          <w:color w:val="231F20"/>
          <w:spacing w:val="20"/>
        </w:rPr>
        <w:t> </w:t>
      </w:r>
      <w:r>
        <w:rPr>
          <w:color w:val="231F20"/>
        </w:rPr>
        <w:t>default</w:t>
      </w:r>
      <w:r>
        <w:rPr>
          <w:color w:val="231F20"/>
          <w:spacing w:val="20"/>
        </w:rPr>
        <w:t> </w:t>
      </w:r>
      <w:r>
        <w:rPr>
          <w:color w:val="231F20"/>
        </w:rPr>
        <w:t>by</w:t>
      </w:r>
      <w:r>
        <w:rPr>
          <w:color w:val="231F20"/>
          <w:spacing w:val="20"/>
        </w:rPr>
        <w:t> </w:t>
      </w:r>
      <w:r>
        <w:rPr>
          <w:color w:val="231F20"/>
        </w:rPr>
        <w:t>clicking</w:t>
      </w:r>
      <w:r>
        <w:rPr>
          <w:color w:val="231F20"/>
          <w:spacing w:val="20"/>
        </w:rPr>
        <w:t> </w:t>
      </w:r>
      <w:r>
        <w:rPr>
          <w:color w:val="231F20"/>
        </w:rPr>
        <w:t>the </w:t>
      </w:r>
      <w:r>
        <w:rPr>
          <w:color w:val="231F20"/>
          <w:position w:val="3"/>
        </w:rPr>
        <w:drawing>
          <wp:inline distT="0" distB="0" distL="0" distR="0">
            <wp:extent cx="76200" cy="44450"/>
            <wp:effectExtent l="0" t="0" r="0" b="0"/>
            <wp:docPr id="2997" name="Image 2997"/>
            <wp:cNvGraphicFramePr>
              <a:graphicFrameLocks/>
            </wp:cNvGraphicFramePr>
            <a:graphic>
              <a:graphicData uri="http://schemas.openxmlformats.org/drawingml/2006/picture">
                <pic:pic>
                  <pic:nvPicPr>
                    <pic:cNvPr id="2997" name="Image 2997"/>
                    <pic:cNvPicPr/>
                  </pic:nvPicPr>
                  <pic:blipFill>
                    <a:blip r:embed="rId154" cstate="print"/>
                    <a:stretch>
                      <a:fillRect/>
                    </a:stretch>
                  </pic:blipFill>
                  <pic:spPr>
                    <a:xfrm>
                      <a:off x="0" y="0"/>
                      <a:ext cx="76200" cy="44450"/>
                    </a:xfrm>
                    <a:prstGeom prst="rect">
                      <a:avLst/>
                    </a:prstGeom>
                  </pic:spPr>
                </pic:pic>
              </a:graphicData>
            </a:graphic>
          </wp:inline>
        </w:drawing>
      </w:r>
      <w:r>
        <w:rPr>
          <w:color w:val="231F20"/>
          <w:position w:val="3"/>
        </w:rPr>
      </w:r>
      <w:r>
        <w:rPr>
          <w:rFonts w:ascii="Times New Roman"/>
          <w:color w:val="231F20"/>
          <w:spacing w:val="80"/>
        </w:rPr>
        <w:t> </w:t>
      </w:r>
      <w:r>
        <w:rPr>
          <w:color w:val="231F20"/>
        </w:rPr>
        <w:t>up arrow.</w:t>
      </w:r>
    </w:p>
    <w:p>
      <w:pPr>
        <w:pStyle w:val="Heading6"/>
        <w:spacing w:before="113"/>
      </w:pPr>
      <w:r>
        <w:rPr>
          <w:color w:val="231F20"/>
        </w:rPr>
        <w:t>Available</w:t>
      </w:r>
      <w:r>
        <w:rPr>
          <w:color w:val="231F20"/>
          <w:spacing w:val="-7"/>
        </w:rPr>
        <w:t> </w:t>
      </w:r>
      <w:r>
        <w:rPr>
          <w:color w:val="231F20"/>
          <w:spacing w:val="-2"/>
        </w:rPr>
        <w:t>Views</w:t>
      </w:r>
    </w:p>
    <w:p>
      <w:pPr>
        <w:pStyle w:val="BodyText"/>
        <w:spacing w:line="213" w:lineRule="auto" w:before="12"/>
        <w:ind w:left="3190" w:right="258"/>
      </w:pPr>
      <w:r>
        <w:rPr>
          <w:color w:val="231F20"/>
        </w:rPr>
        <w:t>Shows the Navigator views not assigned to the user and available for assignment. Select the Navigator views you want to add and move them </w:t>
      </w:r>
      <w:r>
        <w:rPr>
          <w:color w:val="231F20"/>
        </w:rPr>
        <w:t>to the </w:t>
      </w:r>
      <w:r>
        <w:rPr>
          <w:rFonts w:ascii="Book Antiqua"/>
          <w:b/>
          <w:color w:val="231F20"/>
        </w:rPr>
        <w:t>Assigned Views </w:t>
      </w:r>
      <w:r>
        <w:rPr>
          <w:color w:val="231F20"/>
        </w:rPr>
        <w:t>list by using the</w:t>
      </w:r>
      <w:r>
        <w:rPr>
          <w:color w:val="231F20"/>
          <w:spacing w:val="40"/>
        </w:rPr>
        <w:t> </w:t>
      </w:r>
      <w:r>
        <w:rPr>
          <w:color w:val="231F20"/>
          <w:spacing w:val="15"/>
          <w:position w:val="1"/>
        </w:rPr>
        <w:drawing>
          <wp:inline distT="0" distB="0" distL="0" distR="0">
            <wp:extent cx="44450" cy="76200"/>
            <wp:effectExtent l="0" t="0" r="0" b="0"/>
            <wp:docPr id="2998" name="Image 2998"/>
            <wp:cNvGraphicFramePr>
              <a:graphicFrameLocks/>
            </wp:cNvGraphicFramePr>
            <a:graphic>
              <a:graphicData uri="http://schemas.openxmlformats.org/drawingml/2006/picture">
                <pic:pic>
                  <pic:nvPicPr>
                    <pic:cNvPr id="2998" name="Image 299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rPr>
      </w:r>
      <w:r>
        <w:rPr>
          <w:rFonts w:ascii="Times New Roman"/>
          <w:color w:val="231F20"/>
          <w:spacing w:val="80"/>
        </w:rPr>
        <w:t> </w:t>
      </w:r>
      <w:r>
        <w:rPr>
          <w:color w:val="231F20"/>
        </w:rPr>
        <w:t>left arrow. After selecting the first view, you can use Ctrl+click to select other views or Shift+click to select all</w:t>
      </w:r>
      <w:r>
        <w:rPr>
          <w:color w:val="231F20"/>
          <w:spacing w:val="40"/>
        </w:rPr>
        <w:t> </w:t>
      </w:r>
      <w:r>
        <w:rPr>
          <w:color w:val="231F20"/>
        </w:rPr>
        <w:t>views between the first selection and this one.</w:t>
      </w:r>
    </w:p>
    <w:p>
      <w:pPr>
        <w:pStyle w:val="Heading6"/>
        <w:spacing w:before="115"/>
      </w:pPr>
      <w:r>
        <w:rPr>
          <w:color w:val="231F20"/>
        </w:rPr>
        <w:t>Assigned</w:t>
      </w:r>
      <w:r>
        <w:rPr>
          <w:color w:val="231F20"/>
          <w:spacing w:val="7"/>
        </w:rPr>
        <w:t> </w:t>
      </w:r>
      <w:r>
        <w:rPr>
          <w:color w:val="231F20"/>
          <w:spacing w:val="-4"/>
        </w:rPr>
        <w:t>Root</w:t>
      </w:r>
    </w:p>
    <w:p>
      <w:pPr>
        <w:pStyle w:val="BodyText"/>
        <w:spacing w:line="213" w:lineRule="auto" w:before="11"/>
        <w:ind w:left="3190" w:right="385"/>
      </w:pPr>
      <w:r>
        <w:rPr>
          <w:color w:val="231F20"/>
        </w:rPr>
        <w:t>Shows the Navigator view chosen in Assigned Views, with the user's assigned Navigator root highlighted. The root is the top-most level of this Navigator view that the user can access. The user can access this item </w:t>
      </w:r>
      <w:r>
        <w:rPr>
          <w:color w:val="231F20"/>
        </w:rPr>
        <w:t>and all items below it, but no items parallel to or above it in the Navigator.</w:t>
      </w:r>
    </w:p>
    <w:p>
      <w:pPr>
        <w:pStyle w:val="BodyText"/>
        <w:spacing w:line="213" w:lineRule="auto" w:before="117"/>
        <w:ind w:left="3190" w:right="283"/>
        <w:jc w:val="both"/>
      </w:pPr>
      <w:r>
        <w:rPr>
          <w:color w:val="231F20"/>
        </w:rPr>
        <w:t>For example, you can assign UNIX Systems as the assigned root. The user sees the UNIX Systems workspaces and those below, but is not able to </w:t>
      </w:r>
      <w:r>
        <w:rPr>
          <w:color w:val="231F20"/>
        </w:rPr>
        <w:t>see </w:t>
      </w:r>
      <w:bookmarkStart w:name="Member Of and Members" w:id="584"/>
      <w:bookmarkEnd w:id="584"/>
      <w:r>
        <w:rPr>
          <w:color w:val="231F20"/>
        </w:rPr>
        <w:t>the</w:t>
      </w:r>
      <w:r>
        <w:rPr>
          <w:color w:val="231F20"/>
        </w:rPr>
        <w:t> Enterprise workspaces or anything under Windows Systems.</w:t>
      </w:r>
    </w:p>
    <w:p>
      <w:pPr>
        <w:pStyle w:val="Heading3"/>
        <w:spacing w:before="217"/>
        <w:ind w:left="1574"/>
      </w:pPr>
      <w:r>
        <w:rPr>
          <w:color w:val="231F20"/>
        </w:rPr>
        <w:t>Member</w:t>
      </w:r>
      <w:r>
        <w:rPr>
          <w:color w:val="231F20"/>
          <w:spacing w:val="8"/>
        </w:rPr>
        <w:t> </w:t>
      </w:r>
      <w:r>
        <w:rPr>
          <w:color w:val="231F20"/>
        </w:rPr>
        <w:t>Of</w:t>
      </w:r>
      <w:r>
        <w:rPr>
          <w:color w:val="231F20"/>
          <w:spacing w:val="9"/>
        </w:rPr>
        <w:t> </w:t>
      </w:r>
      <w:r>
        <w:rPr>
          <w:color w:val="231F20"/>
        </w:rPr>
        <w:t>and</w:t>
      </w:r>
      <w:r>
        <w:rPr>
          <w:color w:val="231F20"/>
          <w:spacing w:val="9"/>
        </w:rPr>
        <w:t> </w:t>
      </w:r>
      <w:r>
        <w:rPr>
          <w:color w:val="231F20"/>
          <w:spacing w:val="-2"/>
        </w:rPr>
        <w:t>Members</w:t>
      </w:r>
    </w:p>
    <w:p>
      <w:pPr>
        <w:pStyle w:val="BodyText"/>
        <w:spacing w:line="213" w:lineRule="auto" w:before="58"/>
        <w:ind w:left="2472" w:right="360"/>
        <w:jc w:val="both"/>
      </w:pPr>
      <w:r>
        <w:rPr>
          <w:color w:val="231F20"/>
        </w:rPr>
        <w:t>When</w:t>
      </w:r>
      <w:r>
        <w:rPr>
          <w:color w:val="231F20"/>
          <w:spacing w:val="14"/>
        </w:rPr>
        <w:t> </w:t>
      </w:r>
      <w:r>
        <w:rPr>
          <w:color w:val="231F20"/>
        </w:rPr>
        <w:t>you</w:t>
      </w:r>
      <w:r>
        <w:rPr>
          <w:color w:val="231F20"/>
          <w:spacing w:val="14"/>
        </w:rPr>
        <w:t> </w:t>
      </w:r>
      <w:r>
        <w:rPr>
          <w:color w:val="231F20"/>
        </w:rPr>
        <w:t>select</w:t>
      </w:r>
      <w:r>
        <w:rPr>
          <w:color w:val="231F20"/>
          <w:spacing w:val="14"/>
        </w:rPr>
        <w:t> </w:t>
      </w:r>
      <w:r>
        <w:rPr>
          <w:color w:val="231F20"/>
        </w:rPr>
        <w:t>a</w:t>
      </w:r>
      <w:r>
        <w:rPr>
          <w:color w:val="231F20"/>
          <w:spacing w:val="14"/>
        </w:rPr>
        <w:t> </w:t>
      </w:r>
      <w:r>
        <w:rPr>
          <w:color w:val="231F20"/>
        </w:rPr>
        <w:t>user</w:t>
      </w:r>
      <w:r>
        <w:rPr>
          <w:color w:val="231F20"/>
          <w:spacing w:val="14"/>
        </w:rPr>
        <w:t> </w:t>
      </w:r>
      <w:r>
        <w:rPr>
          <w:color w:val="231F20"/>
        </w:rPr>
        <w:t>or</w:t>
      </w:r>
      <w:r>
        <w:rPr>
          <w:color w:val="231F20"/>
          <w:spacing w:val="14"/>
        </w:rPr>
        <w:t> </w:t>
      </w:r>
      <w:r>
        <w:rPr>
          <w:color w:val="231F20"/>
        </w:rPr>
        <w:t>user</w:t>
      </w:r>
      <w:r>
        <w:rPr>
          <w:color w:val="231F20"/>
          <w:spacing w:val="14"/>
        </w:rPr>
        <w:t> </w:t>
      </w:r>
      <w:r>
        <w:rPr>
          <w:color w:val="231F20"/>
        </w:rPr>
        <w:t>group</w:t>
      </w:r>
      <w:r>
        <w:rPr>
          <w:color w:val="231F20"/>
          <w:spacing w:val="14"/>
        </w:rPr>
        <w:t> </w:t>
      </w:r>
      <w:r>
        <w:rPr>
          <w:color w:val="231F20"/>
        </w:rPr>
        <w:t>from</w:t>
      </w:r>
      <w:r>
        <w:rPr>
          <w:color w:val="231F20"/>
          <w:spacing w:val="14"/>
        </w:rPr>
        <w:t> </w:t>
      </w:r>
      <w:r>
        <w:rPr>
          <w:color w:val="231F20"/>
        </w:rPr>
        <w:t>the</w:t>
      </w:r>
      <w:r>
        <w:rPr>
          <w:color w:val="231F20"/>
          <w:spacing w:val="14"/>
        </w:rPr>
        <w:t> </w:t>
      </w:r>
      <w:r>
        <w:rPr>
          <w:color w:val="231F20"/>
        </w:rPr>
        <w:t>list,</w:t>
      </w:r>
      <w:r>
        <w:rPr>
          <w:color w:val="231F20"/>
          <w:spacing w:val="14"/>
        </w:rPr>
        <w:t> </w:t>
      </w:r>
      <w:r>
        <w:rPr>
          <w:color w:val="231F20"/>
        </w:rPr>
        <w:t>the</w:t>
      </w:r>
      <w:r>
        <w:rPr>
          <w:color w:val="231F20"/>
          <w:spacing w:val="14"/>
        </w:rPr>
        <w:t> </w:t>
      </w:r>
      <w:r>
        <w:rPr>
          <w:color w:val="231F20"/>
        </w:rPr>
        <w:t>last</w:t>
      </w:r>
      <w:r>
        <w:rPr>
          <w:color w:val="231F20"/>
          <w:spacing w:val="14"/>
        </w:rPr>
        <w:t> </w:t>
      </w:r>
      <w:r>
        <w:rPr>
          <w:color w:val="231F20"/>
        </w:rPr>
        <w:t>tab</w:t>
      </w:r>
      <w:r>
        <w:rPr>
          <w:color w:val="231F20"/>
          <w:spacing w:val="14"/>
        </w:rPr>
        <w:t> </w:t>
      </w:r>
      <w:r>
        <w:rPr>
          <w:color w:val="231F20"/>
        </w:rPr>
        <w:t>on</w:t>
      </w:r>
      <w:r>
        <w:rPr>
          <w:color w:val="231F20"/>
          <w:spacing w:val="14"/>
        </w:rPr>
        <w:t> </w:t>
      </w:r>
      <w:r>
        <w:rPr>
          <w:color w:val="231F20"/>
        </w:rPr>
        <w:t>the</w:t>
      </w:r>
      <w:r>
        <w:rPr>
          <w:color w:val="231F20"/>
          <w:spacing w:val="14"/>
        </w:rPr>
        <w:t> </w:t>
      </w:r>
      <w:r>
        <w:rPr>
          <w:color w:val="231F20"/>
        </w:rPr>
        <w:t>bottom</w:t>
      </w:r>
      <w:r>
        <w:rPr>
          <w:color w:val="231F20"/>
          <w:spacing w:val="14"/>
        </w:rPr>
        <w:t> </w:t>
      </w:r>
      <w:r>
        <w:rPr>
          <w:color w:val="231F20"/>
        </w:rPr>
        <w:t>set of tabs reads either </w:t>
      </w:r>
      <w:r>
        <w:rPr>
          <w:rFonts w:ascii="Book Antiqua"/>
          <w:b/>
          <w:color w:val="231F20"/>
        </w:rPr>
        <w:t>Member Of </w:t>
      </w:r>
      <w:r>
        <w:rPr>
          <w:color w:val="231F20"/>
        </w:rPr>
        <w:t>or </w:t>
      </w:r>
      <w:r>
        <w:rPr>
          <w:rFonts w:ascii="Book Antiqua"/>
          <w:b/>
          <w:color w:val="231F20"/>
        </w:rPr>
        <w:t>Members </w:t>
      </w:r>
      <w:r>
        <w:rPr>
          <w:color w:val="231F20"/>
        </w:rPr>
        <w:t>(reflecting the selection of a User </w:t>
      </w:r>
      <w:r>
        <w:rPr>
          <w:color w:val="231F20"/>
        </w:rPr>
        <w:t>or User Group). Assignment of users to groups can be done in either tab.</w:t>
      </w:r>
    </w:p>
    <w:p>
      <w:pPr>
        <w:pStyle w:val="BodyText"/>
        <w:spacing w:before="5"/>
        <w:rPr>
          <w:sz w:val="16"/>
        </w:rPr>
      </w:pPr>
      <w:r>
        <w:rPr/>
        <mc:AlternateContent>
          <mc:Choice Requires="wps">
            <w:drawing>
              <wp:anchor distT="0" distB="0" distL="0" distR="0" allowOverlap="1" layoutInCell="1" locked="0" behindDoc="1" simplePos="0" relativeHeight="487739904">
                <wp:simplePos x="0" y="0"/>
                <wp:positionH relativeFrom="page">
                  <wp:posOffset>912380</wp:posOffset>
                </wp:positionH>
                <wp:positionV relativeFrom="paragraph">
                  <wp:posOffset>155526</wp:posOffset>
                </wp:positionV>
                <wp:extent cx="6082665" cy="1270"/>
                <wp:effectExtent l="0" t="0" r="0" b="0"/>
                <wp:wrapTopAndBottom/>
                <wp:docPr id="2999" name="Graphic 2999"/>
                <wp:cNvGraphicFramePr>
                  <a:graphicFrameLocks/>
                </wp:cNvGraphicFramePr>
                <a:graphic>
                  <a:graphicData uri="http://schemas.microsoft.com/office/word/2010/wordprocessingShape">
                    <wps:wsp>
                      <wps:cNvPr id="2999" name="Graphic 299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46158pt;width:478.95pt;height:.1pt;mso-position-horizontal-relative:page;mso-position-vertical-relative:paragraph;z-index:-15576576;mso-wrap-distance-left:0;mso-wrap-distance-right:0" id="docshape241"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Notes on user administration" w:id="585"/>
      <w:bookmarkEnd w:id="585"/>
      <w:r>
        <w:rPr>
          <w:b w:val="0"/>
        </w:rPr>
      </w:r>
      <w:r>
        <w:rPr>
          <w:color w:val="231F20"/>
        </w:rPr>
        <w:t>Notes</w:t>
      </w:r>
      <w:r>
        <w:rPr>
          <w:color w:val="231F20"/>
          <w:spacing w:val="9"/>
        </w:rPr>
        <w:t> </w:t>
      </w:r>
      <w:r>
        <w:rPr>
          <w:color w:val="231F20"/>
        </w:rPr>
        <w:t>on</w:t>
      </w:r>
      <w:r>
        <w:rPr>
          <w:color w:val="231F20"/>
          <w:spacing w:val="9"/>
        </w:rPr>
        <w:t> </w:t>
      </w:r>
      <w:r>
        <w:rPr>
          <w:color w:val="231F20"/>
        </w:rPr>
        <w:t>user</w:t>
      </w:r>
      <w:r>
        <w:rPr>
          <w:color w:val="231F20"/>
          <w:spacing w:val="9"/>
        </w:rPr>
        <w:t> </w:t>
      </w:r>
      <w:r>
        <w:rPr>
          <w:color w:val="231F20"/>
          <w:spacing w:val="-2"/>
        </w:rPr>
        <w:t>administration</w:t>
      </w:r>
    </w:p>
    <w:p>
      <w:pPr>
        <w:pStyle w:val="BodyText"/>
        <w:spacing w:line="213" w:lineRule="auto" w:before="138"/>
        <w:ind w:left="2472"/>
      </w:pPr>
      <w:r>
        <w:rPr>
          <w:color w:val="231F20"/>
        </w:rPr>
        <w:t>Read these notes to understand the user ID contribution to Tivoli Enterprise </w:t>
      </w:r>
      <w:r>
        <w:rPr>
          <w:color w:val="231F20"/>
        </w:rPr>
        <w:t>Portal functions and modes.</w:t>
      </w:r>
    </w:p>
    <w:p>
      <w:pPr>
        <w:spacing w:after="0" w:line="213" w:lineRule="auto"/>
        <w:sectPr>
          <w:pgSz w:w="12240" w:h="15840"/>
          <w:pgMar w:header="0" w:footer="736" w:top="1180" w:bottom="920" w:left="1000" w:right="1060"/>
        </w:sectPr>
      </w:pPr>
    </w:p>
    <w:p>
      <w:pPr>
        <w:pStyle w:val="Heading4"/>
        <w:spacing w:before="86"/>
      </w:pPr>
      <w:bookmarkStart w:name="_bookmark283" w:id="586"/>
      <w:bookmarkEnd w:id="586"/>
      <w:r>
        <w:rPr>
          <w:b w:val="0"/>
        </w:rPr>
      </w:r>
      <w:r>
        <w:rPr>
          <w:color w:val="231F20"/>
        </w:rPr>
        <w:t>Workspace</w:t>
      </w:r>
      <w:r>
        <w:rPr>
          <w:color w:val="231F20"/>
          <w:spacing w:val="-5"/>
        </w:rPr>
        <w:t> </w:t>
      </w:r>
      <w:r>
        <w:rPr>
          <w:color w:val="231F20"/>
        </w:rPr>
        <w:t>administration</w:t>
      </w:r>
      <w:r>
        <w:rPr>
          <w:color w:val="231F20"/>
          <w:spacing w:val="-4"/>
        </w:rPr>
        <w:t> mode</w:t>
      </w:r>
    </w:p>
    <w:p>
      <w:pPr>
        <w:pStyle w:val="BodyText"/>
        <w:spacing w:line="213" w:lineRule="auto" w:before="242"/>
        <w:ind w:left="2232" w:right="636"/>
      </w:pPr>
      <w:r>
        <w:rPr>
          <w:color w:val="231F20"/>
        </w:rPr>
        <w:t>Any changes you make to workspaces, links, and terminal host session scripts </w:t>
      </w:r>
      <w:r>
        <w:rPr>
          <w:color w:val="231F20"/>
        </w:rPr>
        <w:t>in the Tivoli Enterprise Portal are available only to your user ID. The exception is while Workspace Administration Mode is enabled.</w:t>
      </w:r>
    </w:p>
    <w:p>
      <w:pPr>
        <w:pStyle w:val="BodyText"/>
        <w:spacing w:line="213" w:lineRule="auto" w:before="237"/>
        <w:ind w:left="2232" w:right="545"/>
      </w:pPr>
      <w:r>
        <w:rPr>
          <w:color w:val="231F20"/>
        </w:rPr>
        <w:t>Workspace administration mode enables you to customize and add workspaces, links, and terminal emulator scripts that are shared with all users connected to </w:t>
      </w:r>
      <w:r>
        <w:rPr>
          <w:color w:val="231F20"/>
        </w:rPr>
        <w:t>the same Tivoli Enterprise Portal. See </w:t>
      </w:r>
      <w:hyperlink w:history="true" w:anchor="_bookmark53">
        <w:r>
          <w:rPr>
            <w:color w:val="231F20"/>
          </w:rPr>
          <w:t>“Starting workspace administration mode” on</w:t>
        </w:r>
      </w:hyperlink>
      <w:r>
        <w:rPr>
          <w:color w:val="231F20"/>
        </w:rPr>
        <w:t> </w:t>
      </w:r>
      <w:hyperlink w:history="true" w:anchor="_bookmark53">
        <w:r>
          <w:rPr>
            <w:color w:val="231F20"/>
          </w:rPr>
          <w:t>page 67.</w:t>
        </w:r>
      </w:hyperlink>
    </w:p>
    <w:p>
      <w:pPr>
        <w:pStyle w:val="Heading4"/>
        <w:spacing w:before="199"/>
      </w:pPr>
      <w:r>
        <w:rPr>
          <w:color w:val="231F20"/>
        </w:rPr>
        <w:t>SYSADMIN</w:t>
      </w:r>
      <w:r>
        <w:rPr>
          <w:color w:val="231F20"/>
          <w:spacing w:val="3"/>
        </w:rPr>
        <w:t> </w:t>
      </w:r>
      <w:r>
        <w:rPr>
          <w:color w:val="231F20"/>
        </w:rPr>
        <w:t>logon</w:t>
      </w:r>
      <w:r>
        <w:rPr>
          <w:color w:val="231F20"/>
          <w:spacing w:val="3"/>
        </w:rPr>
        <w:t> </w:t>
      </w:r>
      <w:r>
        <w:rPr>
          <w:color w:val="231F20"/>
          <w:spacing w:val="-5"/>
        </w:rPr>
        <w:t>ID</w:t>
      </w:r>
    </w:p>
    <w:p>
      <w:pPr>
        <w:pStyle w:val="BodyText"/>
        <w:spacing w:line="213" w:lineRule="auto" w:before="241"/>
        <w:ind w:left="2232" w:right="493"/>
      </w:pPr>
      <w:r>
        <w:rPr>
          <w:color w:val="231F20"/>
        </w:rPr>
        <w:t>The Tivoli Enterprise Portal requires your logon ID whenever you start a work session. Every ID must first have been registered on the portal server. You can log onto the portal server with </w:t>
      </w:r>
      <w:r>
        <w:rPr>
          <w:rFonts w:ascii="Book Antiqua"/>
          <w:b/>
          <w:color w:val="231F20"/>
        </w:rPr>
        <w:t>SYSADMIN </w:t>
      </w:r>
      <w:r>
        <w:rPr>
          <w:color w:val="231F20"/>
        </w:rPr>
        <w:t>and register other user IDs through the Administer Users window. The initial user ID, </w:t>
      </w:r>
      <w:r>
        <w:rPr>
          <w:rFonts w:ascii="Book Antiqua"/>
          <w:b/>
          <w:color w:val="231F20"/>
        </w:rPr>
        <w:t>SYSADMIN</w:t>
      </w:r>
      <w:r>
        <w:rPr>
          <w:color w:val="231F20"/>
        </w:rPr>
        <w:t>, has full access and complete administrator authority. The system administrator registers additional users and sets their access privileges and authority.</w:t>
      </w:r>
    </w:p>
    <w:p>
      <w:pPr>
        <w:pStyle w:val="Heading4"/>
        <w:spacing w:before="197"/>
      </w:pPr>
      <w:r>
        <w:rPr>
          <w:color w:val="231F20"/>
        </w:rPr>
        <w:t>User</w:t>
      </w:r>
      <w:r>
        <w:rPr>
          <w:color w:val="231F20"/>
          <w:spacing w:val="7"/>
        </w:rPr>
        <w:t> </w:t>
      </w:r>
      <w:r>
        <w:rPr>
          <w:color w:val="231F20"/>
        </w:rPr>
        <w:t>ID</w:t>
      </w:r>
      <w:r>
        <w:rPr>
          <w:color w:val="231F20"/>
          <w:spacing w:val="9"/>
        </w:rPr>
        <w:t> </w:t>
      </w:r>
      <w:r>
        <w:rPr>
          <w:color w:val="231F20"/>
        </w:rPr>
        <w:t>and</w:t>
      </w:r>
      <w:r>
        <w:rPr>
          <w:color w:val="231F20"/>
          <w:spacing w:val="9"/>
        </w:rPr>
        <w:t> </w:t>
      </w:r>
      <w:r>
        <w:rPr>
          <w:color w:val="231F20"/>
          <w:spacing w:val="-2"/>
        </w:rPr>
        <w:t>groups</w:t>
      </w:r>
    </w:p>
    <w:p>
      <w:pPr>
        <w:pStyle w:val="BodyText"/>
        <w:spacing w:before="218"/>
        <w:ind w:left="2232"/>
      </w:pPr>
      <w:r>
        <w:rPr>
          <w:color w:val="231F20"/>
        </w:rPr>
        <w:t>Each</w:t>
      </w:r>
      <w:r>
        <w:rPr>
          <w:color w:val="231F20"/>
          <w:spacing w:val="10"/>
        </w:rPr>
        <w:t> </w:t>
      </w:r>
      <w:r>
        <w:rPr>
          <w:color w:val="231F20"/>
        </w:rPr>
        <w:t>user</w:t>
      </w:r>
      <w:r>
        <w:rPr>
          <w:color w:val="231F20"/>
          <w:spacing w:val="11"/>
        </w:rPr>
        <w:t> </w:t>
      </w:r>
      <w:r>
        <w:rPr>
          <w:color w:val="231F20"/>
        </w:rPr>
        <w:t>ID</w:t>
      </w:r>
      <w:r>
        <w:rPr>
          <w:color w:val="231F20"/>
          <w:spacing w:val="10"/>
        </w:rPr>
        <w:t> </w:t>
      </w:r>
      <w:r>
        <w:rPr>
          <w:color w:val="231F20"/>
        </w:rPr>
        <w:t>is</w:t>
      </w:r>
      <w:r>
        <w:rPr>
          <w:color w:val="231F20"/>
          <w:spacing w:val="11"/>
        </w:rPr>
        <w:t> </w:t>
      </w:r>
      <w:r>
        <w:rPr>
          <w:color w:val="231F20"/>
        </w:rPr>
        <w:t>stored</w:t>
      </w:r>
      <w:r>
        <w:rPr>
          <w:color w:val="231F20"/>
          <w:spacing w:val="10"/>
        </w:rPr>
        <w:t> </w:t>
      </w:r>
      <w:r>
        <w:rPr>
          <w:color w:val="231F20"/>
        </w:rPr>
        <w:t>at</w:t>
      </w:r>
      <w:r>
        <w:rPr>
          <w:color w:val="231F20"/>
          <w:spacing w:val="11"/>
        </w:rPr>
        <w:t> </w:t>
      </w:r>
      <w:r>
        <w:rPr>
          <w:color w:val="231F20"/>
        </w:rPr>
        <w:t>the</w:t>
      </w:r>
      <w:r>
        <w:rPr>
          <w:color w:val="231F20"/>
          <w:spacing w:val="10"/>
        </w:rPr>
        <w:t> </w:t>
      </w:r>
      <w:r>
        <w:rPr>
          <w:color w:val="231F20"/>
        </w:rPr>
        <w:t>Tivoli</w:t>
      </w:r>
      <w:r>
        <w:rPr>
          <w:color w:val="231F20"/>
          <w:spacing w:val="11"/>
        </w:rPr>
        <w:t> </w:t>
      </w:r>
      <w:r>
        <w:rPr>
          <w:color w:val="231F20"/>
        </w:rPr>
        <w:t>Enterprise</w:t>
      </w:r>
      <w:r>
        <w:rPr>
          <w:color w:val="231F20"/>
          <w:spacing w:val="10"/>
        </w:rPr>
        <w:t> </w:t>
      </w:r>
      <w:r>
        <w:rPr>
          <w:color w:val="231F20"/>
        </w:rPr>
        <w:t>Portal</w:t>
      </w:r>
      <w:r>
        <w:rPr>
          <w:color w:val="231F20"/>
          <w:spacing w:val="11"/>
        </w:rPr>
        <w:t> </w:t>
      </w:r>
      <w:r>
        <w:rPr>
          <w:color w:val="231F20"/>
        </w:rPr>
        <w:t>Server</w:t>
      </w:r>
      <w:r>
        <w:rPr>
          <w:color w:val="231F20"/>
          <w:spacing w:val="11"/>
        </w:rPr>
        <w:t> </w:t>
      </w:r>
      <w:r>
        <w:rPr>
          <w:color w:val="231F20"/>
        </w:rPr>
        <w:t>and</w:t>
      </w:r>
      <w:r>
        <w:rPr>
          <w:color w:val="231F20"/>
          <w:spacing w:val="10"/>
        </w:rPr>
        <w:t> </w:t>
      </w:r>
      <w:r>
        <w:rPr>
          <w:color w:val="231F20"/>
          <w:spacing w:val="-2"/>
        </w:rPr>
        <w:t>contains:</w:t>
      </w:r>
    </w:p>
    <w:p>
      <w:pPr>
        <w:pStyle w:val="BodyText"/>
        <w:spacing w:before="30"/>
        <w:ind w:left="2232"/>
      </w:pPr>
      <w:r>
        <w:rPr>
          <w:rFonts w:ascii="Futura MdCn BT"/>
          <w:color w:val="231F20"/>
        </w:rPr>
        <w:t>v</w:t>
      </w:r>
      <w:r>
        <w:rPr>
          <w:rFonts w:ascii="Futura MdCn BT"/>
          <w:color w:val="231F20"/>
          <w:spacing w:val="33"/>
        </w:rPr>
        <w:t>  </w:t>
      </w:r>
      <w:r>
        <w:rPr>
          <w:color w:val="231F20"/>
        </w:rPr>
        <w:t>The</w:t>
      </w:r>
      <w:r>
        <w:rPr>
          <w:color w:val="231F20"/>
          <w:spacing w:val="15"/>
        </w:rPr>
        <w:t> </w:t>
      </w:r>
      <w:r>
        <w:rPr>
          <w:color w:val="231F20"/>
        </w:rPr>
        <w:t>user</w:t>
      </w:r>
      <w:r>
        <w:rPr>
          <w:color w:val="231F20"/>
          <w:spacing w:val="15"/>
        </w:rPr>
        <w:t> </w:t>
      </w:r>
      <w:r>
        <w:rPr>
          <w:color w:val="231F20"/>
          <w:spacing w:val="-4"/>
        </w:rPr>
        <w:t>name</w:t>
      </w:r>
    </w:p>
    <w:p>
      <w:pPr>
        <w:pStyle w:val="BodyText"/>
        <w:spacing w:before="29"/>
        <w:ind w:left="2232"/>
      </w:pPr>
      <w:r>
        <w:rPr>
          <w:rFonts w:ascii="Futura MdCn BT"/>
          <w:color w:val="231F20"/>
        </w:rPr>
        <w:t>v</w:t>
      </w:r>
      <w:r>
        <w:rPr>
          <w:rFonts w:ascii="Futura MdCn BT"/>
          <w:color w:val="231F20"/>
          <w:spacing w:val="34"/>
        </w:rPr>
        <w:t>  </w:t>
      </w:r>
      <w:r>
        <w:rPr>
          <w:color w:val="231F20"/>
        </w:rPr>
        <w:t>Job</w:t>
      </w:r>
      <w:r>
        <w:rPr>
          <w:color w:val="231F20"/>
          <w:spacing w:val="16"/>
        </w:rPr>
        <w:t> </w:t>
      </w:r>
      <w:r>
        <w:rPr>
          <w:color w:val="231F20"/>
          <w:spacing w:val="-2"/>
        </w:rPr>
        <w:t>description</w:t>
      </w:r>
    </w:p>
    <w:p>
      <w:pPr>
        <w:pStyle w:val="BodyText"/>
        <w:spacing w:before="30"/>
        <w:ind w:left="2232"/>
      </w:pPr>
      <w:r>
        <w:rPr>
          <w:rFonts w:ascii="Futura MdCn BT"/>
          <w:color w:val="231F20"/>
        </w:rPr>
        <w:t>v</w:t>
      </w:r>
      <w:r>
        <w:rPr>
          <w:rFonts w:ascii="Futura MdCn BT"/>
          <w:color w:val="231F20"/>
          <w:spacing w:val="77"/>
          <w:w w:val="150"/>
        </w:rPr>
        <w:t> </w:t>
      </w:r>
      <w:r>
        <w:rPr>
          <w:color w:val="231F20"/>
        </w:rPr>
        <w:t>Permissions</w:t>
      </w:r>
      <w:r>
        <w:rPr>
          <w:color w:val="231F20"/>
          <w:spacing w:val="9"/>
        </w:rPr>
        <w:t> </w:t>
      </w:r>
      <w:r>
        <w:rPr>
          <w:color w:val="231F20"/>
        </w:rPr>
        <w:t>for</w:t>
      </w:r>
      <w:r>
        <w:rPr>
          <w:color w:val="231F20"/>
          <w:spacing w:val="10"/>
        </w:rPr>
        <w:t> </w:t>
      </w:r>
      <w:r>
        <w:rPr>
          <w:color w:val="231F20"/>
        </w:rPr>
        <w:t>viewing</w:t>
      </w:r>
      <w:r>
        <w:rPr>
          <w:color w:val="231F20"/>
          <w:spacing w:val="10"/>
        </w:rPr>
        <w:t> </w:t>
      </w:r>
      <w:r>
        <w:rPr>
          <w:color w:val="231F20"/>
        </w:rPr>
        <w:t>or</w:t>
      </w:r>
      <w:r>
        <w:rPr>
          <w:color w:val="231F20"/>
          <w:spacing w:val="10"/>
        </w:rPr>
        <w:t> </w:t>
      </w:r>
      <w:r>
        <w:rPr>
          <w:color w:val="231F20"/>
        </w:rPr>
        <w:t>modifying</w:t>
      </w:r>
      <w:r>
        <w:rPr>
          <w:color w:val="231F20"/>
          <w:spacing w:val="10"/>
        </w:rPr>
        <w:t> </w:t>
      </w:r>
      <w:r>
        <w:rPr>
          <w:color w:val="231F20"/>
        </w:rPr>
        <w:t>Tivoli</w:t>
      </w:r>
      <w:r>
        <w:rPr>
          <w:color w:val="231F20"/>
          <w:spacing w:val="10"/>
        </w:rPr>
        <w:t> </w:t>
      </w:r>
      <w:r>
        <w:rPr>
          <w:color w:val="231F20"/>
        </w:rPr>
        <w:t>Enterprise</w:t>
      </w:r>
      <w:r>
        <w:rPr>
          <w:color w:val="231F20"/>
          <w:spacing w:val="10"/>
        </w:rPr>
        <w:t> </w:t>
      </w:r>
      <w:r>
        <w:rPr>
          <w:color w:val="231F20"/>
        </w:rPr>
        <w:t>Portal</w:t>
      </w:r>
      <w:r>
        <w:rPr>
          <w:color w:val="231F20"/>
          <w:spacing w:val="10"/>
        </w:rPr>
        <w:t> </w:t>
      </w:r>
      <w:r>
        <w:rPr>
          <w:color w:val="231F20"/>
          <w:spacing w:val="-2"/>
        </w:rPr>
        <w:t>functions</w:t>
      </w:r>
    </w:p>
    <w:p>
      <w:pPr>
        <w:pStyle w:val="BodyText"/>
        <w:spacing w:line="213" w:lineRule="auto" w:before="52"/>
        <w:ind w:left="2448" w:right="700" w:hanging="216"/>
      </w:pPr>
      <w:r>
        <w:rPr>
          <w:rFonts w:ascii="Futura MdCn BT"/>
          <w:color w:val="231F20"/>
        </w:rPr>
        <w:t>v</w:t>
      </w:r>
      <w:r>
        <w:rPr>
          <w:rFonts w:ascii="Futura MdCn BT"/>
          <w:color w:val="231F20"/>
          <w:spacing w:val="80"/>
        </w:rPr>
        <w:t> </w:t>
      </w:r>
      <w:r>
        <w:rPr>
          <w:color w:val="231F20"/>
        </w:rPr>
        <w:t>Assigned Navigator views and which Navigator item in each view appears </w:t>
      </w:r>
      <w:r>
        <w:rPr>
          <w:color w:val="231F20"/>
        </w:rPr>
        <w:t>as</w:t>
      </w:r>
      <w:r>
        <w:rPr>
          <w:color w:val="231F20"/>
        </w:rPr>
        <w:t> the root (default is the first item)</w:t>
      </w:r>
    </w:p>
    <w:p>
      <w:pPr>
        <w:pStyle w:val="BodyText"/>
        <w:spacing w:before="36"/>
        <w:ind w:left="2232"/>
      </w:pPr>
      <w:r>
        <w:rPr>
          <w:rFonts w:ascii="Futura MdCn BT"/>
          <w:color w:val="231F20"/>
        </w:rPr>
        <w:t>v</w:t>
      </w:r>
      <w:r>
        <w:rPr>
          <w:rFonts w:ascii="Futura MdCn BT"/>
          <w:color w:val="231F20"/>
          <w:spacing w:val="31"/>
        </w:rPr>
        <w:t>  </w:t>
      </w:r>
      <w:r>
        <w:rPr>
          <w:color w:val="231F20"/>
        </w:rPr>
        <w:t>Access</w:t>
      </w:r>
      <w:r>
        <w:rPr>
          <w:color w:val="231F20"/>
          <w:spacing w:val="12"/>
        </w:rPr>
        <w:t> </w:t>
      </w:r>
      <w:r>
        <w:rPr>
          <w:color w:val="231F20"/>
        </w:rPr>
        <w:t>to</w:t>
      </w:r>
      <w:r>
        <w:rPr>
          <w:color w:val="231F20"/>
          <w:spacing w:val="12"/>
        </w:rPr>
        <w:t> </w:t>
      </w:r>
      <w:r>
        <w:rPr>
          <w:color w:val="231F20"/>
        </w:rPr>
        <w:t>specific</w:t>
      </w:r>
      <w:r>
        <w:rPr>
          <w:color w:val="231F20"/>
          <w:spacing w:val="12"/>
        </w:rPr>
        <w:t> </w:t>
      </w:r>
      <w:r>
        <w:rPr>
          <w:color w:val="231F20"/>
        </w:rPr>
        <w:t>monitoring</w:t>
      </w:r>
      <w:r>
        <w:rPr>
          <w:color w:val="231F20"/>
          <w:spacing w:val="13"/>
        </w:rPr>
        <w:t> </w:t>
      </w:r>
      <w:r>
        <w:rPr>
          <w:color w:val="231F20"/>
          <w:spacing w:val="-2"/>
        </w:rPr>
        <w:t>applications</w:t>
      </w:r>
    </w:p>
    <w:p>
      <w:pPr>
        <w:pStyle w:val="BodyText"/>
        <w:spacing w:line="213" w:lineRule="auto" w:before="52"/>
        <w:ind w:left="2448" w:right="493" w:hanging="216"/>
      </w:pPr>
      <w:r>
        <w:rPr>
          <w:rFonts w:ascii="Futura MdCn BT"/>
          <w:color w:val="231F20"/>
        </w:rPr>
        <w:t>v</w:t>
      </w:r>
      <w:r>
        <w:rPr>
          <w:rFonts w:ascii="Futura MdCn BT"/>
          <w:color w:val="231F20"/>
          <w:spacing w:val="80"/>
        </w:rPr>
        <w:t> </w:t>
      </w:r>
      <w:r>
        <w:rPr>
          <w:color w:val="231F20"/>
        </w:rPr>
        <w:t>The user groups the user belongs to and indicators to signify when a permission</w:t>
      </w:r>
      <w:r>
        <w:rPr>
          <w:color w:val="231F20"/>
          <w:spacing w:val="40"/>
        </w:rPr>
        <w:t> </w:t>
      </w:r>
      <w:r>
        <w:rPr>
          <w:color w:val="231F20"/>
        </w:rPr>
        <w:t>has been granted to the user by a user group</w:t>
      </w:r>
    </w:p>
    <w:p>
      <w:pPr>
        <w:pStyle w:val="BodyText"/>
        <w:spacing w:line="213" w:lineRule="auto" w:before="119"/>
        <w:ind w:left="2232" w:right="545"/>
      </w:pPr>
      <w:r>
        <w:rPr>
          <w:color w:val="231F20"/>
        </w:rPr>
        <w:t>Each user group is also stored at the portal server and has the same contents as for</w:t>
      </w:r>
      <w:r>
        <w:rPr>
          <w:color w:val="231F20"/>
          <w:spacing w:val="40"/>
        </w:rPr>
        <w:t> </w:t>
      </w:r>
      <w:r>
        <w:rPr>
          <w:color w:val="231F20"/>
        </w:rPr>
        <w:t>individual</w:t>
      </w:r>
      <w:r>
        <w:rPr>
          <w:color w:val="231F20"/>
          <w:spacing w:val="24"/>
        </w:rPr>
        <w:t> </w:t>
      </w:r>
      <w:r>
        <w:rPr>
          <w:color w:val="231F20"/>
        </w:rPr>
        <w:t>user</w:t>
      </w:r>
      <w:r>
        <w:rPr>
          <w:color w:val="231F20"/>
          <w:spacing w:val="24"/>
        </w:rPr>
        <w:t> </w:t>
      </w:r>
      <w:r>
        <w:rPr>
          <w:color w:val="231F20"/>
        </w:rPr>
        <w:t>IDs.</w:t>
      </w:r>
      <w:r>
        <w:rPr>
          <w:color w:val="231F20"/>
          <w:spacing w:val="24"/>
        </w:rPr>
        <w:t> </w:t>
      </w:r>
      <w:r>
        <w:rPr>
          <w:color w:val="231F20"/>
        </w:rPr>
        <w:t>But,</w:t>
      </w:r>
      <w:r>
        <w:rPr>
          <w:color w:val="231F20"/>
          <w:spacing w:val="24"/>
        </w:rPr>
        <w:t> </w:t>
      </w:r>
      <w:r>
        <w:rPr>
          <w:color w:val="231F20"/>
        </w:rPr>
        <w:t>instead</w:t>
      </w:r>
      <w:r>
        <w:rPr>
          <w:color w:val="231F20"/>
          <w:spacing w:val="24"/>
        </w:rPr>
        <w:t> </w:t>
      </w:r>
      <w:r>
        <w:rPr>
          <w:color w:val="231F20"/>
        </w:rPr>
        <w:t>of</w:t>
      </w:r>
      <w:r>
        <w:rPr>
          <w:color w:val="231F20"/>
          <w:spacing w:val="24"/>
        </w:rPr>
        <w:t> </w:t>
      </w:r>
      <w:r>
        <w:rPr>
          <w:color w:val="231F20"/>
        </w:rPr>
        <w:t>a</w:t>
      </w:r>
      <w:r>
        <w:rPr>
          <w:color w:val="231F20"/>
          <w:spacing w:val="24"/>
        </w:rPr>
        <w:t> </w:t>
      </w:r>
      <w:r>
        <w:rPr>
          <w:color w:val="231F20"/>
        </w:rPr>
        <w:t>list</w:t>
      </w:r>
      <w:r>
        <w:rPr>
          <w:color w:val="231F20"/>
          <w:spacing w:val="24"/>
        </w:rPr>
        <w:t> </w:t>
      </w:r>
      <w:r>
        <w:rPr>
          <w:color w:val="231F20"/>
        </w:rPr>
        <w:t>of</w:t>
      </w:r>
      <w:r>
        <w:rPr>
          <w:color w:val="231F20"/>
          <w:spacing w:val="24"/>
        </w:rPr>
        <w:t> </w:t>
      </w:r>
      <w:r>
        <w:rPr>
          <w:color w:val="231F20"/>
        </w:rPr>
        <w:t>user</w:t>
      </w:r>
      <w:r>
        <w:rPr>
          <w:color w:val="231F20"/>
          <w:spacing w:val="24"/>
        </w:rPr>
        <w:t> </w:t>
      </w:r>
      <w:r>
        <w:rPr>
          <w:color w:val="231F20"/>
        </w:rPr>
        <w:t>groups,</w:t>
      </w:r>
      <w:r>
        <w:rPr>
          <w:color w:val="231F20"/>
          <w:spacing w:val="24"/>
        </w:rPr>
        <w:t> </w:t>
      </w:r>
      <w:r>
        <w:rPr>
          <w:color w:val="231F20"/>
        </w:rPr>
        <w:t>it</w:t>
      </w:r>
      <w:r>
        <w:rPr>
          <w:color w:val="231F20"/>
          <w:spacing w:val="24"/>
        </w:rPr>
        <w:t> </w:t>
      </w:r>
      <w:r>
        <w:rPr>
          <w:color w:val="231F20"/>
        </w:rPr>
        <w:t>has</w:t>
      </w:r>
      <w:r>
        <w:rPr>
          <w:color w:val="231F20"/>
          <w:spacing w:val="24"/>
        </w:rPr>
        <w:t> </w:t>
      </w:r>
      <w:r>
        <w:rPr>
          <w:color w:val="231F20"/>
        </w:rPr>
        <w:t>a</w:t>
      </w:r>
      <w:r>
        <w:rPr>
          <w:color w:val="231F20"/>
          <w:spacing w:val="24"/>
        </w:rPr>
        <w:t> </w:t>
      </w:r>
      <w:r>
        <w:rPr>
          <w:color w:val="231F20"/>
        </w:rPr>
        <w:t>list</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user</w:t>
      </w:r>
      <w:r>
        <w:rPr>
          <w:color w:val="231F20"/>
        </w:rPr>
        <w:t> IDs assigned to the group.</w:t>
      </w:r>
    </w:p>
    <w:p>
      <w:pPr>
        <w:pStyle w:val="Heading4"/>
        <w:spacing w:before="199"/>
      </w:pPr>
      <w:r>
        <w:rPr>
          <w:color w:val="231F20"/>
        </w:rPr>
        <w:t>Default</w:t>
      </w:r>
      <w:r>
        <w:rPr>
          <w:color w:val="231F20"/>
          <w:spacing w:val="4"/>
        </w:rPr>
        <w:t> </w:t>
      </w:r>
      <w:r>
        <w:rPr>
          <w:color w:val="231F20"/>
          <w:spacing w:val="-4"/>
        </w:rPr>
        <w:t>user</w:t>
      </w:r>
    </w:p>
    <w:p>
      <w:pPr>
        <w:pStyle w:val="BodyText"/>
        <w:spacing w:line="213" w:lineRule="auto" w:before="241"/>
        <w:ind w:left="2232" w:right="544" w:hanging="1"/>
      </w:pPr>
      <w:r>
        <w:rPr>
          <w:color w:val="231F20"/>
        </w:rPr>
        <w:t>The first user ID in the list is </w:t>
      </w:r>
      <w:r>
        <w:rPr>
          <w:rFonts w:ascii="Book Antiqua"/>
          <w:b/>
          <w:color w:val="231F20"/>
        </w:rPr>
        <w:t>&lt;Default User&gt; </w:t>
      </w:r>
      <w:r>
        <w:rPr>
          <w:color w:val="231F20"/>
        </w:rPr>
        <w:t>and is used as the template ID for</w:t>
      </w:r>
      <w:r>
        <w:rPr>
          <w:color w:val="231F20"/>
          <w:spacing w:val="80"/>
        </w:rPr>
        <w:t> </w:t>
      </w:r>
      <w:r>
        <w:rPr>
          <w:color w:val="231F20"/>
        </w:rPr>
        <w:t>users created with Create New User. Edit this user ID if you want to change any of</w:t>
      </w:r>
      <w:r>
        <w:rPr>
          <w:color w:val="231F20"/>
          <w:spacing w:val="40"/>
        </w:rPr>
        <w:t> </w:t>
      </w:r>
      <w:r>
        <w:rPr>
          <w:color w:val="231F20"/>
        </w:rPr>
        <w:t>the default settings. The initial defaults enable all the functions listed under Tivoli Enterprise Portal Authorities, except the Modify permission for </w:t>
      </w:r>
      <w:r>
        <w:rPr>
          <w:rFonts w:ascii="Book Antiqua"/>
          <w:b/>
          <w:color w:val="231F20"/>
        </w:rPr>
        <w:t>User Administration</w:t>
      </w:r>
      <w:r>
        <w:rPr>
          <w:color w:val="231F20"/>
        </w:rPr>
        <w:t>. Any</w:t>
      </w:r>
      <w:r>
        <w:rPr>
          <w:color w:val="231F20"/>
          <w:spacing w:val="33"/>
        </w:rPr>
        <w:t> </w:t>
      </w:r>
      <w:r>
        <w:rPr>
          <w:color w:val="231F20"/>
        </w:rPr>
        <w:t>changes</w:t>
      </w:r>
      <w:r>
        <w:rPr>
          <w:color w:val="231F20"/>
          <w:spacing w:val="33"/>
        </w:rPr>
        <w:t> </w:t>
      </w:r>
      <w:r>
        <w:rPr>
          <w:color w:val="231F20"/>
        </w:rPr>
        <w:t>you</w:t>
      </w:r>
      <w:r>
        <w:rPr>
          <w:color w:val="231F20"/>
          <w:spacing w:val="33"/>
        </w:rPr>
        <w:t> </w:t>
      </w:r>
      <w:r>
        <w:rPr>
          <w:color w:val="231F20"/>
        </w:rPr>
        <w:t>make</w:t>
      </w:r>
      <w:r>
        <w:rPr>
          <w:color w:val="231F20"/>
          <w:spacing w:val="33"/>
        </w:rPr>
        <w:t> </w:t>
      </w:r>
      <w:r>
        <w:rPr>
          <w:color w:val="231F20"/>
        </w:rPr>
        <w:t>to</w:t>
      </w:r>
      <w:r>
        <w:rPr>
          <w:color w:val="231F20"/>
          <w:spacing w:val="33"/>
        </w:rPr>
        <w:t> </w:t>
      </w:r>
      <w:r>
        <w:rPr>
          <w:color w:val="231F20"/>
        </w:rPr>
        <w:t>&lt;Default</w:t>
      </w:r>
      <w:r>
        <w:rPr>
          <w:color w:val="231F20"/>
          <w:spacing w:val="33"/>
        </w:rPr>
        <w:t> </w:t>
      </w:r>
      <w:r>
        <w:rPr>
          <w:color w:val="231F20"/>
        </w:rPr>
        <w:t>User&gt;</w:t>
      </w:r>
      <w:r>
        <w:rPr>
          <w:color w:val="231F20"/>
          <w:spacing w:val="33"/>
        </w:rPr>
        <w:t> </w:t>
      </w:r>
      <w:r>
        <w:rPr>
          <w:color w:val="231F20"/>
        </w:rPr>
        <w:t>ID</w:t>
      </w:r>
      <w:r>
        <w:rPr>
          <w:color w:val="231F20"/>
          <w:spacing w:val="33"/>
        </w:rPr>
        <w:t> </w:t>
      </w:r>
      <w:r>
        <w:rPr>
          <w:color w:val="231F20"/>
        </w:rPr>
        <w:t>apply</w:t>
      </w:r>
      <w:r>
        <w:rPr>
          <w:color w:val="231F20"/>
          <w:spacing w:val="33"/>
        </w:rPr>
        <w:t> </w:t>
      </w:r>
      <w:r>
        <w:rPr>
          <w:color w:val="231F20"/>
        </w:rPr>
        <w:t>to</w:t>
      </w:r>
      <w:r>
        <w:rPr>
          <w:color w:val="231F20"/>
          <w:spacing w:val="33"/>
        </w:rPr>
        <w:t> </w:t>
      </w:r>
      <w:r>
        <w:rPr>
          <w:color w:val="231F20"/>
        </w:rPr>
        <w:t>users created from this point on; they will not affect any existing user ID settings.</w:t>
      </w:r>
    </w:p>
    <w:p>
      <w:pPr>
        <w:pStyle w:val="Heading4"/>
        <w:spacing w:before="197"/>
      </w:pPr>
      <w:r>
        <w:rPr>
          <w:color w:val="231F20"/>
        </w:rPr>
        <w:t>Granting</w:t>
      </w:r>
      <w:r>
        <w:rPr>
          <w:color w:val="231F20"/>
          <w:spacing w:val="7"/>
        </w:rPr>
        <w:t> </w:t>
      </w:r>
      <w:r>
        <w:rPr>
          <w:color w:val="231F20"/>
        </w:rPr>
        <w:t>access</w:t>
      </w:r>
      <w:r>
        <w:rPr>
          <w:color w:val="231F20"/>
          <w:spacing w:val="8"/>
        </w:rPr>
        <w:t> </w:t>
      </w:r>
      <w:r>
        <w:rPr>
          <w:color w:val="231F20"/>
        </w:rPr>
        <w:t>to</w:t>
      </w:r>
      <w:r>
        <w:rPr>
          <w:color w:val="231F20"/>
          <w:spacing w:val="7"/>
        </w:rPr>
        <w:t> </w:t>
      </w:r>
      <w:r>
        <w:rPr>
          <w:color w:val="231F20"/>
        </w:rPr>
        <w:t>a</w:t>
      </w:r>
      <w:r>
        <w:rPr>
          <w:color w:val="231F20"/>
          <w:spacing w:val="8"/>
        </w:rPr>
        <w:t> </w:t>
      </w:r>
      <w:r>
        <w:rPr>
          <w:color w:val="231F20"/>
          <w:spacing w:val="-4"/>
        </w:rPr>
        <w:t>user</w:t>
      </w:r>
    </w:p>
    <w:p>
      <w:pPr>
        <w:pStyle w:val="BodyText"/>
        <w:spacing w:line="213" w:lineRule="auto" w:before="241"/>
        <w:ind w:left="2232" w:right="567"/>
      </w:pPr>
      <w:r>
        <w:rPr>
          <w:color w:val="231F20"/>
        </w:rPr>
        <w:t>You set the authority privileges for each user when you create their user IDs.</w:t>
      </w:r>
      <w:r>
        <w:rPr>
          <w:color w:val="231F20"/>
          <w:spacing w:val="80"/>
        </w:rPr>
        <w:t> </w:t>
      </w:r>
      <w:r>
        <w:rPr>
          <w:color w:val="231F20"/>
        </w:rPr>
        <w:t>Giving users access to operational areas and customization options takes </w:t>
      </w:r>
      <w:r>
        <w:rPr>
          <w:color w:val="231F20"/>
        </w:rPr>
        <w:t>planning. Consider the job responsibilities of each user and the company security requirements when specifying authority privileges.</w:t>
      </w:r>
    </w:p>
    <w:p>
      <w:pPr>
        <w:pStyle w:val="BodyText"/>
        <w:spacing w:line="213" w:lineRule="auto" w:before="237"/>
        <w:ind w:left="2232" w:right="636"/>
      </w:pPr>
      <w:r>
        <w:rPr>
          <w:rFonts w:ascii="Book Antiqua"/>
          <w:b/>
          <w:color w:val="231F20"/>
        </w:rPr>
        <w:t>Important: </w:t>
      </w:r>
      <w:r>
        <w:rPr>
          <w:color w:val="231F20"/>
        </w:rPr>
        <w:t>Anyone with permission to create custom queries obtains access to </w:t>
      </w:r>
      <w:r>
        <w:rPr>
          <w:color w:val="231F20"/>
        </w:rPr>
        <w:t>all of the ODBC data source names (DSNs) created at the Tivoli Enterprise Portal Server. Add database user IDs, to be used in the DSN, to your database software,</w:t>
      </w:r>
    </w:p>
    <w:p>
      <w:pPr>
        <w:spacing w:after="0" w:line="213" w:lineRule="auto"/>
        <w:sectPr>
          <w:pgSz w:w="12240" w:h="15840"/>
          <w:pgMar w:header="0" w:footer="736" w:top="1140" w:bottom="920" w:left="1000" w:right="1060"/>
        </w:sectPr>
      </w:pPr>
    </w:p>
    <w:p>
      <w:pPr>
        <w:pStyle w:val="BodyText"/>
        <w:spacing w:line="213" w:lineRule="auto" w:before="85"/>
        <w:ind w:left="2472" w:right="545"/>
      </w:pPr>
      <w:bookmarkStart w:name="_bookmark284" w:id="587"/>
      <w:bookmarkEnd w:id="587"/>
      <w:r>
        <w:rPr/>
      </w:r>
      <w:r>
        <w:rPr>
          <w:color w:val="231F20"/>
        </w:rPr>
        <w:t>making sure to restrict user access to only those tables, columns, and so </w:t>
      </w:r>
      <w:r>
        <w:rPr>
          <w:color w:val="231F20"/>
        </w:rPr>
        <w:t>on, allowed by your organization's security policies.</w:t>
      </w:r>
    </w:p>
    <w:p>
      <w:pPr>
        <w:pStyle w:val="Heading4"/>
        <w:ind w:left="2472"/>
      </w:pPr>
      <w:r>
        <w:rPr>
          <w:color w:val="231F20"/>
        </w:rPr>
        <w:t>Automatic</w:t>
      </w:r>
      <w:r>
        <w:rPr>
          <w:color w:val="231F20"/>
          <w:spacing w:val="4"/>
        </w:rPr>
        <w:t> </w:t>
      </w:r>
      <w:r>
        <w:rPr>
          <w:color w:val="231F20"/>
        </w:rPr>
        <w:t>Tivoli</w:t>
      </w:r>
      <w:r>
        <w:rPr>
          <w:color w:val="231F20"/>
          <w:spacing w:val="5"/>
        </w:rPr>
        <w:t> </w:t>
      </w:r>
      <w:r>
        <w:rPr>
          <w:color w:val="231F20"/>
        </w:rPr>
        <w:t>Enterprise</w:t>
      </w:r>
      <w:r>
        <w:rPr>
          <w:color w:val="231F20"/>
          <w:spacing w:val="5"/>
        </w:rPr>
        <w:t> </w:t>
      </w:r>
      <w:r>
        <w:rPr>
          <w:color w:val="231F20"/>
        </w:rPr>
        <w:t>Portal</w:t>
      </w:r>
      <w:r>
        <w:rPr>
          <w:color w:val="231F20"/>
          <w:spacing w:val="5"/>
        </w:rPr>
        <w:t> </w:t>
      </w:r>
      <w:r>
        <w:rPr>
          <w:color w:val="231F20"/>
        </w:rPr>
        <w:t>user</w:t>
      </w:r>
      <w:r>
        <w:rPr>
          <w:color w:val="231F20"/>
          <w:spacing w:val="5"/>
        </w:rPr>
        <w:t> </w:t>
      </w:r>
      <w:r>
        <w:rPr>
          <w:color w:val="231F20"/>
        </w:rPr>
        <w:t>ID</w:t>
      </w:r>
      <w:r>
        <w:rPr>
          <w:color w:val="231F20"/>
          <w:spacing w:val="4"/>
        </w:rPr>
        <w:t> </w:t>
      </w:r>
      <w:r>
        <w:rPr>
          <w:color w:val="231F20"/>
          <w:spacing w:val="-2"/>
        </w:rPr>
        <w:t>creation</w:t>
      </w:r>
    </w:p>
    <w:p>
      <w:pPr>
        <w:pStyle w:val="BodyText"/>
        <w:spacing w:line="213" w:lineRule="auto" w:before="241"/>
        <w:ind w:left="2472" w:right="385"/>
      </w:pPr>
      <w:r>
        <w:rPr>
          <w:color w:val="231F20"/>
        </w:rPr>
        <w:t>The first time a new user accesses a monitoring dashboard in IBM Dashboard Application Services Hub, a Tivoli Enterprise Portal user ID is automatically</w:t>
      </w:r>
      <w:r>
        <w:rPr>
          <w:color w:val="231F20"/>
          <w:spacing w:val="80"/>
        </w:rPr>
        <w:t> </w:t>
      </w:r>
      <w:r>
        <w:rPr>
          <w:color w:val="231F20"/>
        </w:rPr>
        <w:t>created and mapped to the user's LDAP distinguished name if a Tivoli Enterprise Portal user ID does not already exist for the user. The Tivoli Enterprise Portal user ID is a randomly generated string. If you need to assign Tivoli Enterprise Portal permissions and monitoring applications to a dashboard user and their Tivoli Enterprise Portal user ID was automatically created, you can either assign the permissions to the randomly generated user ID or perform these steps:</w:t>
      </w:r>
    </w:p>
    <w:p>
      <w:pPr>
        <w:pStyle w:val="ListParagraph"/>
        <w:numPr>
          <w:ilvl w:val="0"/>
          <w:numId w:val="162"/>
        </w:numPr>
        <w:tabs>
          <w:tab w:pos="2787" w:val="left" w:leader="none"/>
        </w:tabs>
        <w:spacing w:line="240" w:lineRule="auto" w:before="31" w:after="0"/>
        <w:ind w:left="2787" w:right="0" w:hanging="315"/>
        <w:jc w:val="left"/>
        <w:rPr>
          <w:sz w:val="20"/>
        </w:rPr>
      </w:pPr>
      <w:r>
        <w:rPr>
          <w:color w:val="231F20"/>
          <w:sz w:val="20"/>
        </w:rPr>
        <w:t>Delete</w:t>
      </w:r>
      <w:r>
        <w:rPr>
          <w:color w:val="231F20"/>
          <w:spacing w:val="9"/>
          <w:sz w:val="20"/>
        </w:rPr>
        <w:t> </w:t>
      </w:r>
      <w:r>
        <w:rPr>
          <w:color w:val="231F20"/>
          <w:sz w:val="20"/>
        </w:rPr>
        <w:t>the</w:t>
      </w:r>
      <w:r>
        <w:rPr>
          <w:color w:val="231F20"/>
          <w:spacing w:val="10"/>
          <w:sz w:val="20"/>
        </w:rPr>
        <w:t> </w:t>
      </w:r>
      <w:r>
        <w:rPr>
          <w:color w:val="231F20"/>
          <w:sz w:val="20"/>
        </w:rPr>
        <w:t>Tivoli</w:t>
      </w:r>
      <w:r>
        <w:rPr>
          <w:color w:val="231F20"/>
          <w:spacing w:val="9"/>
          <w:sz w:val="20"/>
        </w:rPr>
        <w:t> </w:t>
      </w:r>
      <w:r>
        <w:rPr>
          <w:color w:val="231F20"/>
          <w:sz w:val="20"/>
        </w:rPr>
        <w:t>Enterprise</w:t>
      </w:r>
      <w:r>
        <w:rPr>
          <w:color w:val="231F20"/>
          <w:spacing w:val="10"/>
          <w:sz w:val="20"/>
        </w:rPr>
        <w:t> </w:t>
      </w:r>
      <w:r>
        <w:rPr>
          <w:color w:val="231F20"/>
          <w:sz w:val="20"/>
        </w:rPr>
        <w:t>Portal</w:t>
      </w:r>
      <w:r>
        <w:rPr>
          <w:color w:val="231F20"/>
          <w:spacing w:val="9"/>
          <w:sz w:val="20"/>
        </w:rPr>
        <w:t> </w:t>
      </w:r>
      <w:r>
        <w:rPr>
          <w:color w:val="231F20"/>
          <w:sz w:val="20"/>
        </w:rPr>
        <w:t>user</w:t>
      </w:r>
      <w:r>
        <w:rPr>
          <w:color w:val="231F20"/>
          <w:spacing w:val="10"/>
          <w:sz w:val="20"/>
        </w:rPr>
        <w:t> </w:t>
      </w:r>
      <w:r>
        <w:rPr>
          <w:color w:val="231F20"/>
          <w:sz w:val="20"/>
        </w:rPr>
        <w:t>ID</w:t>
      </w:r>
      <w:r>
        <w:rPr>
          <w:color w:val="231F20"/>
          <w:spacing w:val="10"/>
          <w:sz w:val="20"/>
        </w:rPr>
        <w:t> </w:t>
      </w:r>
      <w:r>
        <w:rPr>
          <w:color w:val="231F20"/>
          <w:sz w:val="20"/>
        </w:rPr>
        <w:t>that</w:t>
      </w:r>
      <w:r>
        <w:rPr>
          <w:color w:val="231F20"/>
          <w:spacing w:val="9"/>
          <w:sz w:val="20"/>
        </w:rPr>
        <w:t> </w:t>
      </w:r>
      <w:r>
        <w:rPr>
          <w:color w:val="231F20"/>
          <w:sz w:val="20"/>
        </w:rPr>
        <w:t>was</w:t>
      </w:r>
      <w:r>
        <w:rPr>
          <w:color w:val="231F20"/>
          <w:spacing w:val="10"/>
          <w:sz w:val="20"/>
        </w:rPr>
        <w:t> </w:t>
      </w:r>
      <w:r>
        <w:rPr>
          <w:color w:val="231F20"/>
          <w:sz w:val="20"/>
        </w:rPr>
        <w:t>automatically</w:t>
      </w:r>
      <w:r>
        <w:rPr>
          <w:color w:val="231F20"/>
          <w:spacing w:val="9"/>
          <w:sz w:val="20"/>
        </w:rPr>
        <w:t> </w:t>
      </w:r>
      <w:r>
        <w:rPr>
          <w:color w:val="231F20"/>
          <w:spacing w:val="-2"/>
          <w:sz w:val="20"/>
        </w:rPr>
        <w:t>created.</w:t>
      </w:r>
    </w:p>
    <w:p>
      <w:pPr>
        <w:pStyle w:val="ListParagraph"/>
        <w:numPr>
          <w:ilvl w:val="0"/>
          <w:numId w:val="162"/>
        </w:numPr>
        <w:tabs>
          <w:tab w:pos="2788" w:val="left" w:leader="none"/>
        </w:tabs>
        <w:spacing w:line="213" w:lineRule="auto" w:before="53" w:after="0"/>
        <w:ind w:left="2788" w:right="204" w:hanging="316"/>
        <w:jc w:val="left"/>
        <w:rPr>
          <w:sz w:val="20"/>
        </w:rPr>
      </w:pPr>
      <w:r>
        <w:rPr>
          <w:color w:val="231F20"/>
          <w:sz w:val="20"/>
        </w:rPr>
        <w:t>Create a new user Tivoli Enterprise Portal user ID, map it to the LDAP distinguished name for the user, and then assign it permissions and </w:t>
      </w:r>
      <w:r>
        <w:rPr>
          <w:color w:val="231F20"/>
          <w:sz w:val="20"/>
        </w:rPr>
        <w:t>monitoring </w:t>
      </w:r>
      <w:r>
        <w:rPr>
          <w:color w:val="231F20"/>
          <w:spacing w:val="-2"/>
          <w:sz w:val="20"/>
        </w:rPr>
        <w:t>applications.</w:t>
      </w:r>
    </w:p>
    <w:p>
      <w:pPr>
        <w:pStyle w:val="Heading4"/>
        <w:spacing w:before="199"/>
        <w:ind w:left="2472"/>
      </w:pPr>
      <w:r>
        <w:rPr>
          <w:color w:val="231F20"/>
        </w:rPr>
        <w:t>Validating</w:t>
      </w:r>
      <w:r>
        <w:rPr>
          <w:color w:val="231F20"/>
          <w:spacing w:val="-3"/>
        </w:rPr>
        <w:t> </w:t>
      </w:r>
      <w:r>
        <w:rPr>
          <w:color w:val="231F20"/>
        </w:rPr>
        <w:t>user</w:t>
      </w:r>
      <w:r>
        <w:rPr>
          <w:color w:val="231F20"/>
          <w:spacing w:val="-2"/>
        </w:rPr>
        <w:t> access</w:t>
      </w:r>
    </w:p>
    <w:p>
      <w:pPr>
        <w:pStyle w:val="BodyText"/>
        <w:spacing w:line="213" w:lineRule="auto" w:before="241"/>
        <w:ind w:left="2472" w:right="258"/>
      </w:pPr>
      <w:r>
        <w:rPr>
          <w:color w:val="231F20"/>
        </w:rPr>
        <w:t>The Tivoli Enterprise Portal Server verifies user IDs whenever users log on. If a </w:t>
      </w:r>
      <w:r>
        <w:rPr>
          <w:color w:val="231F20"/>
        </w:rPr>
        <w:t>job description changes and the user requires different access to the portal server, you must review and perhaps change the user's permissions.</w:t>
      </w:r>
    </w:p>
    <w:p>
      <w:pPr>
        <w:pStyle w:val="BodyText"/>
        <w:spacing w:line="213" w:lineRule="auto" w:before="238"/>
        <w:ind w:left="2472" w:right="274"/>
      </w:pPr>
      <w:r>
        <w:rPr>
          <w:color w:val="231F20"/>
        </w:rPr>
        <w:t>The user ID for logging on to the portal server might include a password. You do</w:t>
      </w:r>
      <w:r>
        <w:rPr>
          <w:color w:val="231F20"/>
          <w:spacing w:val="40"/>
        </w:rPr>
        <w:t> </w:t>
      </w:r>
      <w:r>
        <w:rPr>
          <w:color w:val="231F20"/>
        </w:rPr>
        <w:t>not establish passwords in the portal. Instead, you must define a matching user </w:t>
      </w:r>
      <w:r>
        <w:rPr>
          <w:color w:val="231F20"/>
        </w:rPr>
        <w:t>ID with password to the network domain user accounts or to the operating system where the Tivoli Enterprise Monitoring Server resides:</w:t>
      </w:r>
    </w:p>
    <w:p>
      <w:pPr>
        <w:pStyle w:val="BodyText"/>
        <w:spacing w:before="34"/>
        <w:ind w:left="2472"/>
      </w:pPr>
      <w:r>
        <w:rPr>
          <w:rFonts w:ascii="Futura MdCn BT"/>
          <w:color w:val="231F20"/>
        </w:rPr>
        <w:t>v</w:t>
      </w:r>
      <w:r>
        <w:rPr>
          <w:rFonts w:ascii="Futura MdCn BT"/>
          <w:color w:val="231F20"/>
          <w:spacing w:val="79"/>
          <w:w w:val="150"/>
        </w:rPr>
        <w:t> </w:t>
      </w:r>
      <w:r>
        <w:rPr>
          <w:color w:val="231F20"/>
        </w:rPr>
        <w:t>User</w:t>
      </w:r>
      <w:r>
        <w:rPr>
          <w:color w:val="231F20"/>
          <w:spacing w:val="4"/>
        </w:rPr>
        <w:t> </w:t>
      </w:r>
      <w:r>
        <w:rPr>
          <w:color w:val="231F20"/>
        </w:rPr>
        <w:t>Accounts</w:t>
      </w:r>
      <w:r>
        <w:rPr>
          <w:color w:val="231F20"/>
          <w:spacing w:val="11"/>
        </w:rPr>
        <w:t> </w:t>
      </w:r>
      <w:r>
        <w:rPr>
          <w:color w:val="231F20"/>
        </w:rPr>
        <w:t>on</w:t>
      </w:r>
      <w:r>
        <w:rPr>
          <w:color w:val="231F20"/>
          <w:spacing w:val="11"/>
        </w:rPr>
        <w:t> </w:t>
      </w:r>
      <w:r>
        <w:rPr>
          <w:color w:val="231F20"/>
        </w:rPr>
        <w:t>the</w:t>
      </w:r>
      <w:r>
        <w:rPr>
          <w:color w:val="231F20"/>
          <w:spacing w:val="10"/>
        </w:rPr>
        <w:t> </w:t>
      </w:r>
      <w:r>
        <w:rPr>
          <w:color w:val="231F20"/>
        </w:rPr>
        <w:t>Windows</w:t>
      </w:r>
      <w:r>
        <w:rPr>
          <w:color w:val="231F20"/>
          <w:spacing w:val="11"/>
        </w:rPr>
        <w:t> </w:t>
      </w:r>
      <w:r>
        <w:rPr>
          <w:color w:val="231F20"/>
          <w:spacing w:val="-2"/>
        </w:rPr>
        <w:t>system</w:t>
      </w:r>
    </w:p>
    <w:p>
      <w:pPr>
        <w:pStyle w:val="BodyText"/>
        <w:spacing w:before="29"/>
        <w:ind w:left="2472"/>
      </w:pPr>
      <w:r>
        <w:rPr>
          <w:rFonts w:ascii="Futura MdCn BT"/>
          <w:color w:val="231F20"/>
        </w:rPr>
        <w:t>v</w:t>
      </w:r>
      <w:r>
        <w:rPr>
          <w:rFonts w:ascii="Futura MdCn BT"/>
          <w:color w:val="231F20"/>
          <w:spacing w:val="31"/>
        </w:rPr>
        <w:t>  </w:t>
      </w:r>
      <w:r>
        <w:rPr>
          <w:color w:val="231F20"/>
        </w:rPr>
        <w:t>Password</w:t>
      </w:r>
      <w:r>
        <w:rPr>
          <w:color w:val="231F20"/>
          <w:spacing w:val="13"/>
        </w:rPr>
        <w:t> </w:t>
      </w:r>
      <w:r>
        <w:rPr>
          <w:color w:val="231F20"/>
        </w:rPr>
        <w:t>file</w:t>
      </w:r>
      <w:r>
        <w:rPr>
          <w:color w:val="231F20"/>
          <w:spacing w:val="13"/>
        </w:rPr>
        <w:t> </w:t>
      </w:r>
      <w:r>
        <w:rPr>
          <w:color w:val="231F20"/>
        </w:rPr>
        <w:t>on</w:t>
      </w:r>
      <w:r>
        <w:rPr>
          <w:color w:val="231F20"/>
          <w:spacing w:val="12"/>
        </w:rPr>
        <w:t> </w:t>
      </w:r>
      <w:r>
        <w:rPr>
          <w:color w:val="231F20"/>
        </w:rPr>
        <w:t>the</w:t>
      </w:r>
      <w:r>
        <w:rPr>
          <w:color w:val="231F20"/>
          <w:spacing w:val="13"/>
        </w:rPr>
        <w:t> </w:t>
      </w:r>
      <w:r>
        <w:rPr>
          <w:color w:val="231F20"/>
        </w:rPr>
        <w:t>UNIX</w:t>
      </w:r>
      <w:r>
        <w:rPr>
          <w:color w:val="231F20"/>
          <w:spacing w:val="12"/>
        </w:rPr>
        <w:t> </w:t>
      </w:r>
      <w:r>
        <w:rPr>
          <w:color w:val="231F20"/>
          <w:spacing w:val="-2"/>
        </w:rPr>
        <w:t>system</w:t>
      </w:r>
    </w:p>
    <w:p>
      <w:pPr>
        <w:pStyle w:val="BodyText"/>
        <w:spacing w:before="30"/>
        <w:ind w:left="2472"/>
      </w:pPr>
      <w:r>
        <w:rPr>
          <w:rFonts w:ascii="Futura MdCn BT"/>
          <w:color w:val="231F20"/>
        </w:rPr>
        <w:t>v</w:t>
      </w:r>
      <w:r>
        <w:rPr>
          <w:rFonts w:ascii="Futura MdCn BT"/>
          <w:color w:val="231F20"/>
          <w:spacing w:val="43"/>
        </w:rPr>
        <w:t>  </w:t>
      </w:r>
      <w:r>
        <w:rPr>
          <w:color w:val="231F20"/>
        </w:rPr>
        <w:t>RACF</w:t>
      </w:r>
      <w:r>
        <w:rPr>
          <w:color w:val="231F20"/>
          <w:spacing w:val="24"/>
        </w:rPr>
        <w:t> </w:t>
      </w:r>
      <w:r>
        <w:rPr>
          <w:color w:val="231F20"/>
        </w:rPr>
        <w:t>or</w:t>
      </w:r>
      <w:r>
        <w:rPr>
          <w:color w:val="231F20"/>
          <w:spacing w:val="15"/>
        </w:rPr>
        <w:t> </w:t>
      </w:r>
      <w:r>
        <w:rPr>
          <w:color w:val="231F20"/>
        </w:rPr>
        <w:t>ACF/2</w:t>
      </w:r>
      <w:r>
        <w:rPr>
          <w:color w:val="231F20"/>
          <w:spacing w:val="23"/>
        </w:rPr>
        <w:t> </w:t>
      </w:r>
      <w:r>
        <w:rPr>
          <w:color w:val="231F20"/>
        </w:rPr>
        <w:t>host</w:t>
      </w:r>
      <w:r>
        <w:rPr>
          <w:color w:val="231F20"/>
          <w:spacing w:val="23"/>
        </w:rPr>
        <w:t> </w:t>
      </w:r>
      <w:r>
        <w:rPr>
          <w:color w:val="231F20"/>
        </w:rPr>
        <w:t>security</w:t>
      </w:r>
      <w:r>
        <w:rPr>
          <w:color w:val="231F20"/>
          <w:spacing w:val="23"/>
        </w:rPr>
        <w:t> </w:t>
      </w:r>
      <w:r>
        <w:rPr>
          <w:color w:val="231F20"/>
        </w:rPr>
        <w:t>system</w:t>
      </w:r>
      <w:r>
        <w:rPr>
          <w:color w:val="231F20"/>
          <w:spacing w:val="23"/>
        </w:rPr>
        <w:t> </w:t>
      </w:r>
      <w:r>
        <w:rPr>
          <w:color w:val="231F20"/>
        </w:rPr>
        <w:t>on</w:t>
      </w:r>
      <w:r>
        <w:rPr>
          <w:color w:val="231F20"/>
          <w:spacing w:val="23"/>
        </w:rPr>
        <w:t> </w:t>
      </w:r>
      <w:r>
        <w:rPr>
          <w:color w:val="231F20"/>
        </w:rPr>
        <w:t>the</w:t>
      </w:r>
      <w:r>
        <w:rPr>
          <w:color w:val="231F20"/>
          <w:spacing w:val="23"/>
        </w:rPr>
        <w:t> </w:t>
      </w:r>
      <w:r>
        <w:rPr>
          <w:color w:val="231F20"/>
        </w:rPr>
        <w:t>z/OS</w:t>
      </w:r>
      <w:r>
        <w:rPr>
          <w:color w:val="231F20"/>
          <w:spacing w:val="23"/>
        </w:rPr>
        <w:t> </w:t>
      </w:r>
      <w:r>
        <w:rPr>
          <w:color w:val="231F20"/>
          <w:spacing w:val="-2"/>
        </w:rPr>
        <w:t>system</w:t>
      </w:r>
    </w:p>
    <w:p>
      <w:pPr>
        <w:pStyle w:val="BodyText"/>
        <w:spacing w:line="213" w:lineRule="auto" w:before="232"/>
        <w:ind w:left="2472" w:right="545"/>
      </w:pPr>
      <w:r>
        <w:rPr>
          <w:color w:val="231F20"/>
        </w:rPr>
        <w:t>As well, the monitoring server must be configured to Validate User. When </w:t>
      </w:r>
      <w:r>
        <w:rPr>
          <w:color w:val="231F20"/>
        </w:rPr>
        <w:t>users log on to the portal server, the hub monitoring server makes a request to the domain or the operating system to validate the user ID and password.</w:t>
      </w:r>
    </w:p>
    <w:p>
      <w:pPr>
        <w:pStyle w:val="BodyText"/>
        <w:spacing w:line="213" w:lineRule="auto" w:before="237"/>
        <w:ind w:left="2472" w:right="385"/>
      </w:pPr>
      <w:r>
        <w:rPr>
          <w:color w:val="231F20"/>
        </w:rPr>
        <w:t>If the monitoring server has been installed on a distributed system, you can </w:t>
      </w:r>
      <w:r>
        <w:rPr>
          <w:color w:val="231F20"/>
        </w:rPr>
        <w:t>check</w:t>
      </w:r>
      <w:r>
        <w:rPr>
          <w:color w:val="231F20"/>
          <w:spacing w:val="80"/>
        </w:rPr>
        <w:t> </w:t>
      </w:r>
      <w:r>
        <w:rPr>
          <w:color w:val="231F20"/>
        </w:rPr>
        <w:t>if it has been configured to Validate User:</w:t>
      </w:r>
    </w:p>
    <w:p>
      <w:pPr>
        <w:pStyle w:val="ListParagraph"/>
        <w:numPr>
          <w:ilvl w:val="0"/>
          <w:numId w:val="163"/>
        </w:numPr>
        <w:tabs>
          <w:tab w:pos="2787" w:val="left" w:leader="none"/>
        </w:tabs>
        <w:spacing w:line="240" w:lineRule="auto" w:before="36" w:after="0"/>
        <w:ind w:left="2787" w:right="0" w:hanging="315"/>
        <w:jc w:val="left"/>
        <w:rPr>
          <w:sz w:val="20"/>
        </w:rPr>
      </w:pPr>
      <w:r>
        <w:rPr>
          <w:color w:val="231F20"/>
          <w:sz w:val="20"/>
        </w:rPr>
        <w:t>Start</w:t>
      </w:r>
      <w:r>
        <w:rPr>
          <w:color w:val="231F20"/>
          <w:spacing w:val="7"/>
          <w:sz w:val="20"/>
        </w:rPr>
        <w:t> </w:t>
      </w:r>
      <w:r>
        <w:rPr>
          <w:color w:val="231F20"/>
          <w:sz w:val="20"/>
        </w:rPr>
        <w:t>the</w:t>
      </w:r>
      <w:r>
        <w:rPr>
          <w:color w:val="231F20"/>
          <w:spacing w:val="8"/>
          <w:sz w:val="20"/>
        </w:rPr>
        <w:t> </w:t>
      </w:r>
      <w:r>
        <w:rPr>
          <w:color w:val="231F20"/>
          <w:sz w:val="20"/>
        </w:rPr>
        <w:t>Manage</w:t>
      </w:r>
      <w:r>
        <w:rPr>
          <w:color w:val="231F20"/>
          <w:spacing w:val="8"/>
          <w:sz w:val="20"/>
        </w:rPr>
        <w:t> </w:t>
      </w:r>
      <w:r>
        <w:rPr>
          <w:color w:val="231F20"/>
          <w:sz w:val="20"/>
        </w:rPr>
        <w:t>Tivoli</w:t>
      </w:r>
      <w:r>
        <w:rPr>
          <w:color w:val="231F20"/>
          <w:spacing w:val="8"/>
          <w:sz w:val="20"/>
        </w:rPr>
        <w:t> </w:t>
      </w:r>
      <w:r>
        <w:rPr>
          <w:color w:val="231F20"/>
          <w:sz w:val="20"/>
        </w:rPr>
        <w:t>Enterprise</w:t>
      </w:r>
      <w:r>
        <w:rPr>
          <w:color w:val="231F20"/>
          <w:spacing w:val="8"/>
          <w:sz w:val="20"/>
        </w:rPr>
        <w:t> </w:t>
      </w:r>
      <w:r>
        <w:rPr>
          <w:color w:val="231F20"/>
          <w:sz w:val="20"/>
        </w:rPr>
        <w:t>Monitoring</w:t>
      </w:r>
      <w:r>
        <w:rPr>
          <w:color w:val="231F20"/>
          <w:spacing w:val="8"/>
          <w:sz w:val="20"/>
        </w:rPr>
        <w:t> </w:t>
      </w:r>
      <w:r>
        <w:rPr>
          <w:color w:val="231F20"/>
          <w:sz w:val="20"/>
        </w:rPr>
        <w:t>Services</w:t>
      </w:r>
      <w:r>
        <w:rPr>
          <w:color w:val="231F20"/>
          <w:spacing w:val="8"/>
          <w:sz w:val="20"/>
        </w:rPr>
        <w:t> </w:t>
      </w:r>
      <w:r>
        <w:rPr>
          <w:color w:val="231F20"/>
          <w:spacing w:val="-2"/>
          <w:sz w:val="20"/>
        </w:rPr>
        <w:t>program:</w:t>
      </w:r>
    </w:p>
    <w:p>
      <w:pPr>
        <w:pStyle w:val="BodyText"/>
        <w:spacing w:line="213" w:lineRule="auto" w:before="52"/>
        <w:ind w:left="3087"/>
      </w:pPr>
      <w:r>
        <w:rPr>
          <w:position w:val="-5"/>
        </w:rPr>
        <w:drawing>
          <wp:inline distT="0" distB="0" distL="0" distR="0">
            <wp:extent cx="581025" cy="123825"/>
            <wp:effectExtent l="0" t="0" r="0" b="0"/>
            <wp:docPr id="3000" name="Image 3000"/>
            <wp:cNvGraphicFramePr>
              <a:graphicFrameLocks/>
            </wp:cNvGraphicFramePr>
            <a:graphic>
              <a:graphicData uri="http://schemas.openxmlformats.org/drawingml/2006/picture">
                <pic:pic>
                  <pic:nvPicPr>
                    <pic:cNvPr id="3000" name="Image 3000"/>
                    <pic:cNvPicPr/>
                  </pic:nvPicPr>
                  <pic:blipFill>
                    <a:blip r:embed="rId206" cstate="print"/>
                    <a:stretch>
                      <a:fillRect/>
                    </a:stretch>
                  </pic:blipFill>
                  <pic:spPr>
                    <a:xfrm>
                      <a:off x="0" y="0"/>
                      <a:ext cx="581025" cy="123825"/>
                    </a:xfrm>
                    <a:prstGeom prst="rect">
                      <a:avLst/>
                    </a:prstGeom>
                  </pic:spPr>
                </pic:pic>
              </a:graphicData>
            </a:graphic>
          </wp:inline>
        </w:drawing>
      </w:r>
      <w:r>
        <w:rPr>
          <w:position w:val="-5"/>
        </w:rPr>
      </w:r>
      <w:r>
        <w:rPr>
          <w:rFonts w:ascii="Times New Roman" w:hAnsi="Times New Roman"/>
          <w:spacing w:val="29"/>
        </w:rPr>
        <w:t> </w:t>
      </w:r>
      <w:r>
        <w:rPr>
          <w:color w:val="231F20"/>
          <w:spacing w:val="-2"/>
        </w:rPr>
        <w:t>Start</w:t>
      </w:r>
      <w:r>
        <w:rPr>
          <w:color w:val="231F20"/>
          <w:spacing w:val="-4"/>
        </w:rPr>
        <w:t> </w:t>
      </w:r>
      <w:r>
        <w:rPr>
          <w:rFonts w:ascii="Arial" w:hAnsi="Arial"/>
          <w:color w:val="231F20"/>
          <w:spacing w:val="-2"/>
          <w:w w:val="90"/>
        </w:rPr>
        <w:t>→</w:t>
      </w:r>
      <w:r>
        <w:rPr>
          <w:rFonts w:ascii="Arial" w:hAnsi="Arial"/>
          <w:color w:val="231F20"/>
          <w:spacing w:val="-5"/>
          <w:w w:val="90"/>
        </w:rPr>
        <w:t> </w:t>
      </w:r>
      <w:r>
        <w:rPr>
          <w:color w:val="231F20"/>
          <w:spacing w:val="-2"/>
        </w:rPr>
        <w:t>Programs</w:t>
      </w:r>
      <w:r>
        <w:rPr>
          <w:color w:val="231F20"/>
          <w:spacing w:val="-4"/>
        </w:rPr>
        <w:t> </w:t>
      </w:r>
      <w:r>
        <w:rPr>
          <w:rFonts w:ascii="Arial" w:hAnsi="Arial"/>
          <w:color w:val="231F20"/>
          <w:spacing w:val="-2"/>
          <w:w w:val="90"/>
        </w:rPr>
        <w:t>→</w:t>
      </w:r>
      <w:r>
        <w:rPr>
          <w:rFonts w:ascii="Arial" w:hAnsi="Arial"/>
          <w:color w:val="231F20"/>
          <w:spacing w:val="-5"/>
          <w:w w:val="90"/>
        </w:rPr>
        <w:t> </w:t>
      </w:r>
      <w:r>
        <w:rPr>
          <w:color w:val="231F20"/>
          <w:spacing w:val="-2"/>
        </w:rPr>
        <w:t>IBM</w:t>
      </w:r>
      <w:r>
        <w:rPr>
          <w:color w:val="231F20"/>
          <w:spacing w:val="-4"/>
        </w:rPr>
        <w:t> </w:t>
      </w:r>
      <w:r>
        <w:rPr>
          <w:color w:val="231F20"/>
          <w:spacing w:val="-2"/>
        </w:rPr>
        <w:t>Tivoli</w:t>
      </w:r>
      <w:r>
        <w:rPr>
          <w:color w:val="231F20"/>
          <w:spacing w:val="-4"/>
        </w:rPr>
        <w:t> </w:t>
      </w:r>
      <w:r>
        <w:rPr>
          <w:color w:val="231F20"/>
          <w:spacing w:val="-2"/>
        </w:rPr>
        <w:t>Monitoring</w:t>
      </w:r>
      <w:r>
        <w:rPr>
          <w:color w:val="231F20"/>
          <w:spacing w:val="-4"/>
        </w:rPr>
        <w:t> </w:t>
      </w:r>
      <w:r>
        <w:rPr>
          <w:rFonts w:ascii="Arial" w:hAnsi="Arial"/>
          <w:color w:val="231F20"/>
          <w:spacing w:val="-2"/>
          <w:w w:val="90"/>
        </w:rPr>
        <w:t>→</w:t>
      </w:r>
      <w:r>
        <w:rPr>
          <w:rFonts w:ascii="Arial" w:hAnsi="Arial"/>
          <w:color w:val="231F20"/>
          <w:spacing w:val="-5"/>
          <w:w w:val="90"/>
        </w:rPr>
        <w:t> </w:t>
      </w:r>
      <w:r>
        <w:rPr>
          <w:color w:val="231F20"/>
          <w:spacing w:val="-2"/>
        </w:rPr>
        <w:t>Manage</w:t>
      </w:r>
      <w:r>
        <w:rPr>
          <w:color w:val="231F20"/>
          <w:spacing w:val="-4"/>
        </w:rPr>
        <w:t> </w:t>
      </w:r>
      <w:r>
        <w:rPr>
          <w:color w:val="231F20"/>
          <w:spacing w:val="-2"/>
        </w:rPr>
        <w:t>Tivoli </w:t>
      </w:r>
      <w:r>
        <w:rPr>
          <w:color w:val="231F20"/>
        </w:rPr>
        <w:t>Enterprise Monitoring Services.</w:t>
      </w:r>
    </w:p>
    <w:p>
      <w:pPr>
        <w:pStyle w:val="BodyText"/>
        <w:spacing w:line="213" w:lineRule="auto" w:before="59"/>
        <w:ind w:left="3087"/>
      </w:pPr>
      <w:r>
        <w:rPr>
          <w:position w:val="-5"/>
        </w:rPr>
        <w:drawing>
          <wp:inline distT="0" distB="0" distL="0" distR="0">
            <wp:extent cx="581025" cy="123825"/>
            <wp:effectExtent l="0" t="0" r="0" b="0"/>
            <wp:docPr id="3001" name="Image 3001"/>
            <wp:cNvGraphicFramePr>
              <a:graphicFrameLocks/>
            </wp:cNvGraphicFramePr>
            <a:graphic>
              <a:graphicData uri="http://schemas.openxmlformats.org/drawingml/2006/picture">
                <pic:pic>
                  <pic:nvPicPr>
                    <pic:cNvPr id="3001" name="Image 3001"/>
                    <pic:cNvPicPr/>
                  </pic:nvPicPr>
                  <pic:blipFill>
                    <a:blip r:embed="rId205" cstate="print"/>
                    <a:stretch>
                      <a:fillRect/>
                    </a:stretch>
                  </pic:blipFill>
                  <pic:spPr>
                    <a:xfrm>
                      <a:off x="0" y="0"/>
                      <a:ext cx="581025" cy="123825"/>
                    </a:xfrm>
                    <a:prstGeom prst="rect">
                      <a:avLst/>
                    </a:prstGeom>
                  </pic:spPr>
                </pic:pic>
              </a:graphicData>
            </a:graphic>
          </wp:inline>
        </w:drawing>
      </w:r>
      <w:r>
        <w:rPr>
          <w:position w:val="-5"/>
        </w:rPr>
      </w:r>
      <w:r>
        <w:rPr>
          <w:rFonts w:ascii="Times New Roman"/>
          <w:spacing w:val="40"/>
          <w:w w:val="105"/>
        </w:rPr>
        <w:t> </w:t>
      </w:r>
      <w:r>
        <w:rPr>
          <w:color w:val="231F20"/>
          <w:w w:val="105"/>
        </w:rPr>
        <w:t>Change to the </w:t>
      </w:r>
      <w:r>
        <w:rPr>
          <w:rFonts w:ascii="Lucida Sans"/>
          <w:i/>
          <w:color w:val="231F20"/>
          <w:w w:val="105"/>
        </w:rPr>
        <w:t>install_dir</w:t>
      </w:r>
      <w:r>
        <w:rPr>
          <w:rFonts w:ascii="Arial"/>
          <w:color w:val="231F20"/>
          <w:w w:val="105"/>
        </w:rPr>
        <w:t>/bin</w:t>
      </w:r>
      <w:r>
        <w:rPr>
          <w:rFonts w:ascii="Arial"/>
          <w:color w:val="231F20"/>
          <w:spacing w:val="-3"/>
          <w:w w:val="105"/>
        </w:rPr>
        <w:t> </w:t>
      </w:r>
      <w:r>
        <w:rPr>
          <w:color w:val="231F20"/>
          <w:w w:val="105"/>
        </w:rPr>
        <w:t>directory and run the </w:t>
      </w:r>
      <w:r>
        <w:rPr>
          <w:color w:val="231F20"/>
          <w:w w:val="105"/>
        </w:rPr>
        <w:t>following command:</w:t>
      </w:r>
      <w:r>
        <w:rPr>
          <w:color w:val="231F20"/>
          <w:w w:val="105"/>
        </w:rPr>
        <w:t> </w:t>
      </w:r>
      <w:r>
        <w:rPr>
          <w:rFonts w:ascii="Arial"/>
          <w:color w:val="231F20"/>
          <w:w w:val="105"/>
        </w:rPr>
        <w:t>./itmcmd manage [-h </w:t>
      </w:r>
      <w:r>
        <w:rPr>
          <w:rFonts w:ascii="Lucida Sans"/>
          <w:i/>
          <w:color w:val="231F20"/>
          <w:w w:val="105"/>
        </w:rPr>
        <w:t>install_dir</w:t>
      </w:r>
      <w:r>
        <w:rPr>
          <w:rFonts w:ascii="Arial"/>
          <w:color w:val="231F20"/>
          <w:w w:val="105"/>
        </w:rPr>
        <w:t>] </w:t>
      </w:r>
      <w:r>
        <w:rPr>
          <w:color w:val="231F20"/>
          <w:w w:val="105"/>
        </w:rPr>
        <w:t>where</w:t>
      </w:r>
      <w:r>
        <w:rPr>
          <w:color w:val="231F20"/>
          <w:w w:val="105"/>
        </w:rPr>
        <w:t> </w:t>
      </w:r>
      <w:r>
        <w:rPr>
          <w:rFonts w:ascii="Book Antiqua"/>
          <w:i/>
          <w:color w:val="231F20"/>
          <w:w w:val="105"/>
        </w:rPr>
        <w:t>install_dir</w:t>
      </w:r>
      <w:r>
        <w:rPr>
          <w:rFonts w:ascii="Book Antiqua"/>
          <w:i/>
          <w:color w:val="231F20"/>
          <w:w w:val="105"/>
        </w:rPr>
        <w:t> </w:t>
      </w:r>
      <w:r>
        <w:rPr>
          <w:color w:val="231F20"/>
          <w:w w:val="105"/>
        </w:rPr>
        <w:t>is</w:t>
      </w:r>
      <w:r>
        <w:rPr>
          <w:color w:val="231F20"/>
          <w:w w:val="105"/>
        </w:rPr>
        <w:t> the installation directory (default is opt/IBM/ITM).</w:t>
      </w:r>
    </w:p>
    <w:p>
      <w:pPr>
        <w:pStyle w:val="ListParagraph"/>
        <w:numPr>
          <w:ilvl w:val="0"/>
          <w:numId w:val="163"/>
        </w:numPr>
        <w:tabs>
          <w:tab w:pos="2788" w:val="left" w:leader="none"/>
        </w:tabs>
        <w:spacing w:line="213" w:lineRule="auto" w:before="58" w:after="0"/>
        <w:ind w:left="2788" w:right="435" w:hanging="316"/>
        <w:jc w:val="left"/>
        <w:rPr>
          <w:sz w:val="20"/>
        </w:rPr>
      </w:pPr>
      <w:r>
        <w:rPr>
          <w:color w:val="231F20"/>
          <w:sz w:val="20"/>
        </w:rPr>
        <w:t>Right-click the Tivoli Enterprise Monitoring Server row for TEMS1 (hub) </w:t>
      </w:r>
      <w:r>
        <w:rPr>
          <w:color w:val="231F20"/>
          <w:sz w:val="20"/>
        </w:rPr>
        <w:t>and select </w:t>
      </w:r>
      <w:r>
        <w:rPr>
          <w:rFonts w:ascii="Book Antiqua"/>
          <w:b/>
          <w:color w:val="231F20"/>
          <w:sz w:val="20"/>
        </w:rPr>
        <w:t>Reconfigure</w:t>
      </w:r>
      <w:r>
        <w:rPr>
          <w:color w:val="231F20"/>
          <w:sz w:val="20"/>
        </w:rPr>
        <w:t>.</w:t>
      </w:r>
    </w:p>
    <w:p>
      <w:pPr>
        <w:pStyle w:val="ListParagraph"/>
        <w:numPr>
          <w:ilvl w:val="0"/>
          <w:numId w:val="163"/>
        </w:numPr>
        <w:tabs>
          <w:tab w:pos="2788" w:val="left" w:leader="none"/>
        </w:tabs>
        <w:spacing w:line="218" w:lineRule="auto" w:before="54" w:after="0"/>
        <w:ind w:left="2788" w:right="350" w:hanging="316"/>
        <w:jc w:val="left"/>
        <w:rPr>
          <w:sz w:val="20"/>
        </w:rPr>
      </w:pPr>
      <w:r>
        <w:rPr>
          <w:color w:val="231F20"/>
          <w:sz w:val="20"/>
        </w:rPr>
        <w:t>In the Tivoli Enterprise Monitoring Server Configuration window, observe </w:t>
      </w:r>
      <w:r>
        <w:rPr>
          <w:color w:val="231F20"/>
          <w:sz w:val="20"/>
        </w:rPr>
        <w:t>the setting of the </w:t>
      </w:r>
      <w:r>
        <w:rPr>
          <w:color w:val="231F20"/>
          <w:spacing w:val="16"/>
          <w:sz w:val="20"/>
        </w:rPr>
        <w:drawing>
          <wp:inline distT="0" distB="0" distL="0" distR="0">
            <wp:extent cx="82549" cy="82550"/>
            <wp:effectExtent l="0" t="0" r="0" b="0"/>
            <wp:docPr id="3002" name="Image 3002"/>
            <wp:cNvGraphicFramePr>
              <a:graphicFrameLocks/>
            </wp:cNvGraphicFramePr>
            <a:graphic>
              <a:graphicData uri="http://schemas.openxmlformats.org/drawingml/2006/picture">
                <pic:pic>
                  <pic:nvPicPr>
                    <pic:cNvPr id="3002" name="Image 3002"/>
                    <pic:cNvPicPr/>
                  </pic:nvPicPr>
                  <pic:blipFill>
                    <a:blip r:embed="rId87" cstate="print"/>
                    <a:stretch>
                      <a:fillRect/>
                    </a:stretch>
                  </pic:blipFill>
                  <pic:spPr>
                    <a:xfrm>
                      <a:off x="0" y="0"/>
                      <a:ext cx="82549" cy="82550"/>
                    </a:xfrm>
                    <a:prstGeom prst="rect">
                      <a:avLst/>
                    </a:prstGeom>
                  </pic:spPr>
                </pic:pic>
              </a:graphicData>
            </a:graphic>
          </wp:inline>
        </w:drawing>
      </w:r>
      <w:r>
        <w:rPr>
          <w:color w:val="231F20"/>
          <w:spacing w:val="16"/>
          <w:sz w:val="20"/>
        </w:rPr>
      </w:r>
      <w:r>
        <w:rPr>
          <w:rFonts w:ascii="Times New Roman"/>
          <w:color w:val="231F20"/>
          <w:spacing w:val="40"/>
          <w:sz w:val="20"/>
        </w:rPr>
        <w:t> </w:t>
      </w:r>
      <w:r>
        <w:rPr>
          <w:rFonts w:ascii="Book Antiqua"/>
          <w:b/>
          <w:color w:val="231F20"/>
          <w:sz w:val="20"/>
        </w:rPr>
        <w:t>Security: Validate User </w:t>
      </w:r>
      <w:r>
        <w:rPr>
          <w:color w:val="231F20"/>
          <w:sz w:val="20"/>
        </w:rPr>
        <w:t>check box.</w:t>
      </w:r>
    </w:p>
    <w:p>
      <w:pPr>
        <w:pStyle w:val="BodyText"/>
        <w:spacing w:line="213" w:lineRule="auto" w:before="52"/>
        <w:ind w:left="2788" w:right="313"/>
      </w:pPr>
      <w:r>
        <w:rPr>
          <w:color w:val="231F20"/>
        </w:rPr>
        <w:t>When this option is selected, the password is required whenever a user logs </w:t>
      </w:r>
      <w:r>
        <w:rPr>
          <w:color w:val="231F20"/>
        </w:rPr>
        <w:t>on</w:t>
      </w:r>
      <w:r>
        <w:rPr>
          <w:color w:val="231F20"/>
          <w:spacing w:val="40"/>
        </w:rPr>
        <w:t> </w:t>
      </w:r>
      <w:r>
        <w:rPr>
          <w:color w:val="231F20"/>
        </w:rPr>
        <w:t>to the portal server; when it is cleared, the user name is required to log on but</w:t>
      </w:r>
      <w:r>
        <w:rPr>
          <w:color w:val="231F20"/>
          <w:spacing w:val="80"/>
        </w:rPr>
        <w:t> </w:t>
      </w:r>
      <w:r>
        <w:rPr>
          <w:color w:val="231F20"/>
        </w:rPr>
        <w:t>no password is required.</w:t>
      </w:r>
    </w:p>
    <w:p>
      <w:pPr>
        <w:spacing w:after="0" w:line="213" w:lineRule="auto"/>
        <w:sectPr>
          <w:pgSz w:w="12240" w:h="15840"/>
          <w:pgMar w:header="0" w:footer="736" w:top="1180" w:bottom="920" w:left="1000" w:right="1060"/>
        </w:sectPr>
      </w:pPr>
    </w:p>
    <w:p>
      <w:pPr>
        <w:pStyle w:val="BodyText"/>
        <w:spacing w:line="213" w:lineRule="auto" w:before="85"/>
        <w:ind w:left="2232" w:right="636"/>
      </w:pPr>
      <w:bookmarkStart w:name="_bookmark285" w:id="588"/>
      <w:bookmarkEnd w:id="588"/>
      <w:r>
        <w:rPr/>
      </w:r>
      <w:r>
        <w:rPr>
          <w:rFonts w:ascii="Book Antiqua"/>
          <w:b/>
          <w:color w:val="231F20"/>
        </w:rPr>
        <w:t>Note:</w:t>
      </w:r>
      <w:r>
        <w:rPr>
          <w:rFonts w:ascii="Book Antiqua"/>
          <w:b/>
          <w:color w:val="231F20"/>
          <w:spacing w:val="40"/>
        </w:rPr>
        <w:t> </w:t>
      </w:r>
      <w:r>
        <w:rPr>
          <w:color w:val="231F20"/>
        </w:rPr>
        <w:t>Be aware that passwords must follow the security requirements for your organization. If this includes periodic password changes, you might get a </w:t>
      </w:r>
      <w:r>
        <w:rPr>
          <w:rFonts w:ascii="Book Antiqua"/>
          <w:b/>
          <w:color w:val="231F20"/>
        </w:rPr>
        <w:t>Logon password has expired </w:t>
      </w:r>
      <w:r>
        <w:rPr>
          <w:color w:val="231F20"/>
        </w:rPr>
        <w:t>message while attempting to log on to the portal server. Should this happen, you must change your system password before you can log on. For example, on Windows this means changing the password through the Administrative Tools User Accounts.</w:t>
      </w:r>
    </w:p>
    <w:p>
      <w:pPr>
        <w:pStyle w:val="Heading4"/>
        <w:spacing w:before="197"/>
      </w:pPr>
      <w:r>
        <w:rPr>
          <w:color w:val="231F20"/>
        </w:rPr>
        <w:t>Launching</w:t>
      </w:r>
      <w:r>
        <w:rPr>
          <w:color w:val="231F20"/>
          <w:spacing w:val="6"/>
        </w:rPr>
        <w:t> </w:t>
      </w:r>
      <w:r>
        <w:rPr>
          <w:color w:val="231F20"/>
        </w:rPr>
        <w:t>into</w:t>
      </w:r>
      <w:r>
        <w:rPr>
          <w:color w:val="231F20"/>
          <w:spacing w:val="7"/>
        </w:rPr>
        <w:t> </w:t>
      </w:r>
      <w:r>
        <w:rPr>
          <w:color w:val="231F20"/>
        </w:rPr>
        <w:t>the</w:t>
      </w:r>
      <w:r>
        <w:rPr>
          <w:color w:val="231F20"/>
          <w:spacing w:val="6"/>
        </w:rPr>
        <w:t> </w:t>
      </w:r>
      <w:r>
        <w:rPr>
          <w:color w:val="231F20"/>
        </w:rPr>
        <w:t>portal</w:t>
      </w:r>
      <w:r>
        <w:rPr>
          <w:color w:val="231F20"/>
          <w:spacing w:val="7"/>
        </w:rPr>
        <w:t> </w:t>
      </w:r>
      <w:r>
        <w:rPr>
          <w:color w:val="231F20"/>
        </w:rPr>
        <w:t>from</w:t>
      </w:r>
      <w:r>
        <w:rPr>
          <w:color w:val="231F20"/>
          <w:spacing w:val="7"/>
        </w:rPr>
        <w:t> </w:t>
      </w:r>
      <w:r>
        <w:rPr>
          <w:color w:val="231F20"/>
        </w:rPr>
        <w:t>other</w:t>
      </w:r>
      <w:r>
        <w:rPr>
          <w:color w:val="231F20"/>
          <w:spacing w:val="6"/>
        </w:rPr>
        <w:t> </w:t>
      </w:r>
      <w:r>
        <w:rPr>
          <w:color w:val="231F20"/>
          <w:spacing w:val="-2"/>
        </w:rPr>
        <w:t>applications</w:t>
      </w:r>
    </w:p>
    <w:p>
      <w:pPr>
        <w:pStyle w:val="BodyText"/>
        <w:spacing w:line="213" w:lineRule="auto" w:before="241"/>
        <w:ind w:left="2232" w:right="720"/>
        <w:jc w:val="both"/>
      </w:pPr>
      <w:r>
        <w:rPr>
          <w:color w:val="231F20"/>
        </w:rPr>
        <w:t>In addition to any security requirements for launching into the Tivoli Enterprise Portal (such as single sign-on requirements), the Tivoli Enterprise Portal user </w:t>
      </w:r>
      <w:r>
        <w:rPr>
          <w:color w:val="231F20"/>
        </w:rPr>
        <w:t>ID that receives control after a launch from an external application must be</w:t>
      </w:r>
    </w:p>
    <w:p>
      <w:pPr>
        <w:pStyle w:val="BodyText"/>
        <w:spacing w:line="213" w:lineRule="auto"/>
        <w:ind w:left="2232" w:right="589"/>
        <w:jc w:val="both"/>
      </w:pPr>
      <w:r>
        <w:rPr>
          <w:color w:val="231F20"/>
        </w:rPr>
        <w:t>pre-authorized to access the target managed system and workspaces. The user </w:t>
      </w:r>
      <w:r>
        <w:rPr>
          <w:color w:val="231F20"/>
        </w:rPr>
        <w:t>ID also must be authorized to issue any required take action commands.</w:t>
      </w:r>
    </w:p>
    <w:p>
      <w:pPr>
        <w:pStyle w:val="Heading4"/>
        <w:spacing w:before="198"/>
        <w:jc w:val="both"/>
      </w:pPr>
      <w:r>
        <w:rPr>
          <w:color w:val="231F20"/>
        </w:rPr>
        <w:t>User</w:t>
      </w:r>
      <w:r>
        <w:rPr>
          <w:color w:val="231F20"/>
          <w:spacing w:val="4"/>
        </w:rPr>
        <w:t> </w:t>
      </w:r>
      <w:r>
        <w:rPr>
          <w:color w:val="231F20"/>
        </w:rPr>
        <w:t>ID</w:t>
      </w:r>
      <w:r>
        <w:rPr>
          <w:color w:val="231F20"/>
          <w:spacing w:val="4"/>
        </w:rPr>
        <w:t> </w:t>
      </w:r>
      <w:r>
        <w:rPr>
          <w:color w:val="231F20"/>
        </w:rPr>
        <w:t>for</w:t>
      </w:r>
      <w:r>
        <w:rPr>
          <w:color w:val="231F20"/>
          <w:spacing w:val="5"/>
        </w:rPr>
        <w:t> </w:t>
      </w:r>
      <w:r>
        <w:rPr>
          <w:color w:val="231F20"/>
        </w:rPr>
        <w:t>Take</w:t>
      </w:r>
      <w:r>
        <w:rPr>
          <w:color w:val="231F20"/>
          <w:spacing w:val="-4"/>
        </w:rPr>
        <w:t> </w:t>
      </w:r>
      <w:r>
        <w:rPr>
          <w:color w:val="231F20"/>
        </w:rPr>
        <w:t>Action</w:t>
      </w:r>
      <w:r>
        <w:rPr>
          <w:color w:val="231F20"/>
          <w:spacing w:val="5"/>
        </w:rPr>
        <w:t> </w:t>
      </w:r>
      <w:r>
        <w:rPr>
          <w:color w:val="231F20"/>
          <w:spacing w:val="-2"/>
        </w:rPr>
        <w:t>commands</w:t>
      </w:r>
    </w:p>
    <w:p>
      <w:pPr>
        <w:pStyle w:val="BodyText"/>
        <w:spacing w:line="213" w:lineRule="auto" w:before="241"/>
        <w:ind w:left="2232" w:right="545"/>
      </w:pPr>
      <w:r>
        <w:rPr>
          <w:color w:val="231F20"/>
        </w:rPr>
        <w:t>When the Tivoli Enterprise Portal sends a Take Action command to a managed system, the user ID might or might not be checked for authority to perform the</w:t>
      </w:r>
      <w:r>
        <w:rPr>
          <w:color w:val="231F20"/>
          <w:spacing w:val="40"/>
        </w:rPr>
        <w:t> </w:t>
      </w:r>
      <w:r>
        <w:rPr>
          <w:color w:val="231F20"/>
        </w:rPr>
        <w:t>action. In the simplest case, the command is sent to the managed system and executed using the user ID under which the agent is running. TheTivoli </w:t>
      </w:r>
      <w:r>
        <w:rPr>
          <w:color w:val="231F20"/>
        </w:rPr>
        <w:t>Enterprise Portal user ID is sent along with the action command in these contexts:</w:t>
      </w:r>
    </w:p>
    <w:p>
      <w:pPr>
        <w:pStyle w:val="BodyText"/>
        <w:spacing w:before="34"/>
        <w:ind w:left="2232"/>
      </w:pPr>
      <w:r>
        <w:rPr>
          <w:rFonts w:ascii="Futura MdCn BT"/>
          <w:color w:val="231F20"/>
        </w:rPr>
        <w:t>v</w:t>
      </w:r>
      <w:r>
        <w:rPr>
          <w:rFonts w:ascii="Futura MdCn BT"/>
          <w:color w:val="231F20"/>
          <w:spacing w:val="79"/>
          <w:w w:val="150"/>
        </w:rPr>
        <w:t> </w:t>
      </w:r>
      <w:r>
        <w:rPr>
          <w:color w:val="231F20"/>
        </w:rPr>
        <w:t>On-demand:</w:t>
      </w:r>
      <w:r>
        <w:rPr>
          <w:color w:val="231F20"/>
          <w:spacing w:val="11"/>
        </w:rPr>
        <w:t> </w:t>
      </w:r>
      <w:r>
        <w:rPr>
          <w:color w:val="231F20"/>
        </w:rPr>
        <w:t>user</w:t>
      </w:r>
      <w:r>
        <w:rPr>
          <w:color w:val="231F20"/>
          <w:spacing w:val="11"/>
        </w:rPr>
        <w:t> </w:t>
      </w:r>
      <w:r>
        <w:rPr>
          <w:color w:val="231F20"/>
        </w:rPr>
        <w:t>ID</w:t>
      </w:r>
      <w:r>
        <w:rPr>
          <w:color w:val="231F20"/>
          <w:spacing w:val="12"/>
        </w:rPr>
        <w:t> </w:t>
      </w:r>
      <w:r>
        <w:rPr>
          <w:color w:val="231F20"/>
        </w:rPr>
        <w:t>currently</w:t>
      </w:r>
      <w:r>
        <w:rPr>
          <w:color w:val="231F20"/>
          <w:spacing w:val="11"/>
        </w:rPr>
        <w:t> </w:t>
      </w:r>
      <w:r>
        <w:rPr>
          <w:color w:val="231F20"/>
        </w:rPr>
        <w:t>logged</w:t>
      </w:r>
      <w:r>
        <w:rPr>
          <w:color w:val="231F20"/>
          <w:spacing w:val="11"/>
        </w:rPr>
        <w:t> </w:t>
      </w:r>
      <w:r>
        <w:rPr>
          <w:color w:val="231F20"/>
          <w:spacing w:val="-5"/>
        </w:rPr>
        <w:t>on</w:t>
      </w:r>
    </w:p>
    <w:p>
      <w:pPr>
        <w:pStyle w:val="BodyText"/>
        <w:spacing w:before="29"/>
        <w:ind w:left="2232"/>
      </w:pPr>
      <w:r>
        <w:rPr>
          <w:rFonts w:ascii="Futura MdCn BT"/>
          <w:color w:val="231F20"/>
        </w:rPr>
        <w:t>v</w:t>
      </w:r>
      <w:r>
        <w:rPr>
          <w:rFonts w:ascii="Futura MdCn BT"/>
          <w:color w:val="231F20"/>
          <w:spacing w:val="31"/>
        </w:rPr>
        <w:t>  </w:t>
      </w:r>
      <w:r>
        <w:rPr>
          <w:color w:val="231F20"/>
        </w:rPr>
        <w:t>Situation</w:t>
      </w:r>
      <w:r>
        <w:rPr>
          <w:color w:val="231F20"/>
          <w:spacing w:val="14"/>
        </w:rPr>
        <w:t> </w:t>
      </w:r>
      <w:r>
        <w:rPr>
          <w:color w:val="231F20"/>
        </w:rPr>
        <w:t>action:</w:t>
      </w:r>
      <w:r>
        <w:rPr>
          <w:color w:val="231F20"/>
          <w:spacing w:val="13"/>
        </w:rPr>
        <w:t> </w:t>
      </w:r>
      <w:r>
        <w:rPr>
          <w:color w:val="231F20"/>
        </w:rPr>
        <w:t>user</w:t>
      </w:r>
      <w:r>
        <w:rPr>
          <w:color w:val="231F20"/>
          <w:spacing w:val="12"/>
        </w:rPr>
        <w:t> </w:t>
      </w:r>
      <w:r>
        <w:rPr>
          <w:color w:val="231F20"/>
        </w:rPr>
        <w:t>ID</w:t>
      </w:r>
      <w:r>
        <w:rPr>
          <w:color w:val="231F20"/>
          <w:spacing w:val="13"/>
        </w:rPr>
        <w:t> </w:t>
      </w:r>
      <w:r>
        <w:rPr>
          <w:color w:val="231F20"/>
        </w:rPr>
        <w:t>of</w:t>
      </w:r>
      <w:r>
        <w:rPr>
          <w:color w:val="231F20"/>
          <w:spacing w:val="13"/>
        </w:rPr>
        <w:t> </w:t>
      </w:r>
      <w:r>
        <w:rPr>
          <w:color w:val="231F20"/>
        </w:rPr>
        <w:t>the</w:t>
      </w:r>
      <w:r>
        <w:rPr>
          <w:color w:val="231F20"/>
          <w:spacing w:val="12"/>
        </w:rPr>
        <w:t> </w:t>
      </w:r>
      <w:r>
        <w:rPr>
          <w:color w:val="231F20"/>
        </w:rPr>
        <w:t>last</w:t>
      </w:r>
      <w:r>
        <w:rPr>
          <w:color w:val="231F20"/>
          <w:spacing w:val="13"/>
        </w:rPr>
        <w:t> </w:t>
      </w:r>
      <w:r>
        <w:rPr>
          <w:color w:val="231F20"/>
        </w:rPr>
        <w:t>person</w:t>
      </w:r>
      <w:r>
        <w:rPr>
          <w:color w:val="231F20"/>
          <w:spacing w:val="13"/>
        </w:rPr>
        <w:t> </w:t>
      </w:r>
      <w:r>
        <w:rPr>
          <w:color w:val="231F20"/>
        </w:rPr>
        <w:t>to</w:t>
      </w:r>
      <w:r>
        <w:rPr>
          <w:color w:val="231F20"/>
          <w:spacing w:val="12"/>
        </w:rPr>
        <w:t> </w:t>
      </w:r>
      <w:r>
        <w:rPr>
          <w:color w:val="231F20"/>
        </w:rPr>
        <w:t>update</w:t>
      </w:r>
      <w:r>
        <w:rPr>
          <w:color w:val="231F20"/>
          <w:spacing w:val="13"/>
        </w:rPr>
        <w:t> </w:t>
      </w:r>
      <w:r>
        <w:rPr>
          <w:color w:val="231F20"/>
        </w:rPr>
        <w:t>the</w:t>
      </w:r>
      <w:r>
        <w:rPr>
          <w:color w:val="231F20"/>
          <w:spacing w:val="13"/>
        </w:rPr>
        <w:t> </w:t>
      </w:r>
      <w:r>
        <w:rPr>
          <w:color w:val="231F20"/>
          <w:spacing w:val="-2"/>
        </w:rPr>
        <w:t>situation</w:t>
      </w:r>
    </w:p>
    <w:p>
      <w:pPr>
        <w:pStyle w:val="BodyText"/>
        <w:spacing w:before="30"/>
        <w:ind w:left="2232"/>
      </w:pPr>
      <w:r>
        <w:rPr>
          <w:rFonts w:ascii="Futura MdCn BT"/>
          <w:color w:val="231F20"/>
        </w:rPr>
        <w:t>v</w:t>
      </w:r>
      <w:r>
        <w:rPr>
          <w:rFonts w:ascii="Futura MdCn BT"/>
          <w:color w:val="231F20"/>
          <w:spacing w:val="79"/>
          <w:w w:val="150"/>
        </w:rPr>
        <w:t> </w:t>
      </w:r>
      <w:r>
        <w:rPr>
          <w:color w:val="231F20"/>
        </w:rPr>
        <w:t>Workflow</w:t>
      </w:r>
      <w:r>
        <w:rPr>
          <w:color w:val="231F20"/>
          <w:spacing w:val="11"/>
        </w:rPr>
        <w:t> </w:t>
      </w:r>
      <w:r>
        <w:rPr>
          <w:color w:val="231F20"/>
        </w:rPr>
        <w:t>action:</w:t>
      </w:r>
      <w:r>
        <w:rPr>
          <w:color w:val="231F20"/>
          <w:spacing w:val="12"/>
        </w:rPr>
        <w:t> </w:t>
      </w:r>
      <w:r>
        <w:rPr>
          <w:color w:val="231F20"/>
        </w:rPr>
        <w:t>user</w:t>
      </w:r>
      <w:r>
        <w:rPr>
          <w:color w:val="231F20"/>
          <w:spacing w:val="11"/>
        </w:rPr>
        <w:t> </w:t>
      </w:r>
      <w:r>
        <w:rPr>
          <w:color w:val="231F20"/>
        </w:rPr>
        <w:t>ID</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last</w:t>
      </w:r>
      <w:r>
        <w:rPr>
          <w:color w:val="231F20"/>
          <w:spacing w:val="11"/>
        </w:rPr>
        <w:t> </w:t>
      </w:r>
      <w:r>
        <w:rPr>
          <w:color w:val="231F20"/>
        </w:rPr>
        <w:t>person</w:t>
      </w:r>
      <w:r>
        <w:rPr>
          <w:color w:val="231F20"/>
          <w:spacing w:val="11"/>
        </w:rPr>
        <w:t> </w:t>
      </w:r>
      <w:r>
        <w:rPr>
          <w:color w:val="231F20"/>
        </w:rPr>
        <w:t>to</w:t>
      </w:r>
      <w:r>
        <w:rPr>
          <w:color w:val="231F20"/>
          <w:spacing w:val="12"/>
        </w:rPr>
        <w:t> </w:t>
      </w:r>
      <w:r>
        <w:rPr>
          <w:color w:val="231F20"/>
        </w:rPr>
        <w:t>update</w:t>
      </w:r>
      <w:r>
        <w:rPr>
          <w:color w:val="231F20"/>
          <w:spacing w:val="11"/>
        </w:rPr>
        <w:t> </w:t>
      </w:r>
      <w:r>
        <w:rPr>
          <w:color w:val="231F20"/>
        </w:rPr>
        <w:t>the</w:t>
      </w:r>
      <w:r>
        <w:rPr>
          <w:color w:val="231F20"/>
          <w:spacing w:val="11"/>
        </w:rPr>
        <w:t> </w:t>
      </w:r>
      <w:r>
        <w:rPr>
          <w:color w:val="231F20"/>
          <w:spacing w:val="-2"/>
        </w:rPr>
        <w:t>policy</w:t>
      </w:r>
    </w:p>
    <w:p>
      <w:pPr>
        <w:pStyle w:val="BodyText"/>
        <w:spacing w:line="213" w:lineRule="auto" w:before="112"/>
        <w:ind w:left="2232" w:right="493"/>
      </w:pPr>
      <w:r>
        <w:rPr>
          <w:color w:val="231F20"/>
        </w:rPr>
        <w:t>However, the ID is ignored by the managed system unless told otherwise by a command prefix. These are command handlers implemented in the IBM Tivoli Monitoring products to control whether the Tivoli Enterprise Portal user ID </w:t>
      </w:r>
      <w:r>
        <w:rPr>
          <w:color w:val="231F20"/>
        </w:rPr>
        <w:t>should be validated before passing the command to the agent for execution.</w:t>
      </w:r>
    </w:p>
    <w:p>
      <w:pPr>
        <w:pStyle w:val="Heading6"/>
        <w:spacing w:before="116"/>
        <w:ind w:left="2232"/>
        <w:jc w:val="both"/>
      </w:pPr>
      <w:r>
        <w:rPr>
          <w:color w:val="231F20"/>
        </w:rPr>
        <w:t>Command</w:t>
      </w:r>
      <w:r>
        <w:rPr>
          <w:color w:val="231F20"/>
          <w:spacing w:val="6"/>
        </w:rPr>
        <w:t> </w:t>
      </w:r>
      <w:r>
        <w:rPr>
          <w:color w:val="231F20"/>
          <w:spacing w:val="-2"/>
        </w:rPr>
        <w:t>prefix</w:t>
      </w:r>
    </w:p>
    <w:p>
      <w:pPr>
        <w:pStyle w:val="BodyText"/>
        <w:spacing w:line="213" w:lineRule="auto" w:before="11"/>
        <w:ind w:left="2951" w:right="545"/>
      </w:pPr>
      <w:r>
        <w:rPr>
          <w:color w:val="231F20"/>
        </w:rPr>
        <w:t>When a command prefix is present in the Take Action, the agent passes </w:t>
      </w:r>
      <w:r>
        <w:rPr>
          <w:color w:val="231F20"/>
        </w:rPr>
        <w:t>the command to the application handler rather than executing the command. The syntax of the prefix and take action command is </w:t>
      </w:r>
      <w:r>
        <w:rPr>
          <w:rFonts w:ascii="Book Antiqua"/>
          <w:b/>
          <w:color w:val="231F20"/>
        </w:rPr>
        <w:t>productcode:CNPuserID:command </w:t>
      </w:r>
      <w:r>
        <w:rPr>
          <w:color w:val="231F20"/>
        </w:rPr>
        <w:t>and the agent routes it to the</w:t>
      </w:r>
      <w:r>
        <w:rPr>
          <w:color w:val="231F20"/>
          <w:spacing w:val="40"/>
        </w:rPr>
        <w:t> </w:t>
      </w:r>
      <w:r>
        <w:rPr>
          <w:color w:val="231F20"/>
        </w:rPr>
        <w:t>application for execution. The application is free to execute the command with whatever user ID is appropriate. In the case of OMEGAMON XE for WebSphere MQ on z/OS, the Tivoli Enterprise Portal user ID is used.</w:t>
      </w:r>
    </w:p>
    <w:p>
      <w:pPr>
        <w:pStyle w:val="BodyText"/>
        <w:spacing w:line="213" w:lineRule="auto" w:before="115"/>
        <w:ind w:left="2951" w:right="493"/>
      </w:pPr>
      <w:r>
        <w:rPr>
          <w:color w:val="231F20"/>
        </w:rPr>
        <w:t>If the special prefix is missing, the agent executes the command with </w:t>
      </w:r>
      <w:r>
        <w:rPr>
          <w:color w:val="231F20"/>
        </w:rPr>
        <w:t>the user ID under which the agent is running.</w:t>
      </w:r>
    </w:p>
    <w:p>
      <w:pPr>
        <w:pStyle w:val="BodyText"/>
        <w:spacing w:line="213" w:lineRule="auto" w:before="119"/>
        <w:ind w:left="2951" w:right="488"/>
      </w:pPr>
      <w:r>
        <w:rPr>
          <w:color w:val="231F20"/>
        </w:rPr>
        <w:t>Most monitoring products do not employ a command prefix. IBM Tivoli Monitoring for WebSphere MQ does and, in fact, prepends any </w:t>
      </w:r>
      <w:r>
        <w:rPr>
          <w:color w:val="231F20"/>
        </w:rPr>
        <w:t>on-demand Take Action commands with a hidden </w:t>
      </w:r>
      <w:r>
        <w:rPr>
          <w:rFonts w:ascii="Book Antiqua"/>
          <w:b/>
          <w:color w:val="231F20"/>
        </w:rPr>
        <w:t>MQ:CNPuserID: </w:t>
      </w:r>
      <w:r>
        <w:rPr>
          <w:color w:val="231F20"/>
        </w:rPr>
        <w:t>prefix, although</w:t>
      </w:r>
      <w:r>
        <w:rPr>
          <w:color w:val="231F20"/>
          <w:spacing w:val="40"/>
        </w:rPr>
        <w:t> </w:t>
      </w:r>
      <w:r>
        <w:rPr>
          <w:color w:val="231F20"/>
        </w:rPr>
        <w:t>you cannot see it.</w:t>
      </w:r>
    </w:p>
    <w:p>
      <w:pPr>
        <w:pStyle w:val="Heading6"/>
        <w:spacing w:before="115"/>
        <w:ind w:left="2232"/>
        <w:jc w:val="both"/>
      </w:pPr>
      <w:r>
        <w:rPr>
          <w:color w:val="231F20"/>
        </w:rPr>
        <w:t>UNIX</w:t>
      </w:r>
      <w:r>
        <w:rPr>
          <w:color w:val="231F20"/>
          <w:spacing w:val="10"/>
        </w:rPr>
        <w:t> </w:t>
      </w:r>
      <w:r>
        <w:rPr>
          <w:color w:val="231F20"/>
        </w:rPr>
        <w:t>setuid</w:t>
      </w:r>
      <w:r>
        <w:rPr>
          <w:color w:val="231F20"/>
          <w:spacing w:val="11"/>
        </w:rPr>
        <w:t> </w:t>
      </w:r>
      <w:r>
        <w:rPr>
          <w:color w:val="231F20"/>
          <w:spacing w:val="-2"/>
        </w:rPr>
        <w:t>command</w:t>
      </w:r>
    </w:p>
    <w:p>
      <w:pPr>
        <w:pStyle w:val="BodyText"/>
        <w:spacing w:line="213" w:lineRule="auto" w:before="12"/>
        <w:ind w:left="2951" w:right="636"/>
      </w:pPr>
      <w:r>
        <w:rPr>
          <w:color w:val="231F20"/>
        </w:rPr>
        <w:t>In addition to the command prefix and security exit, UNIX offers another option: a setuid command, which causes the process to dynamically</w:t>
      </w:r>
      <w:r>
        <w:rPr>
          <w:color w:val="231F20"/>
          <w:spacing w:val="40"/>
        </w:rPr>
        <w:t> </w:t>
      </w:r>
      <w:r>
        <w:rPr>
          <w:color w:val="231F20"/>
        </w:rPr>
        <w:t>change its userid. Thus, the agent could be changed to set the ID to the</w:t>
      </w:r>
      <w:r>
        <w:rPr>
          <w:color w:val="231F20"/>
          <w:spacing w:val="40"/>
        </w:rPr>
        <w:t> </w:t>
      </w:r>
      <w:r>
        <w:rPr>
          <w:color w:val="231F20"/>
        </w:rPr>
        <w:t>value passed as a parameter, issue the command, then change the user </w:t>
      </w:r>
      <w:r>
        <w:rPr>
          <w:color w:val="231F20"/>
        </w:rPr>
        <w:t>ID back again after the command is issued.</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436"/>
        <w:rPr>
          <w:sz w:val="2"/>
        </w:rPr>
      </w:pPr>
      <w:bookmarkStart w:name="_bookmark286" w:id="589"/>
      <w:bookmarkEnd w:id="589"/>
      <w:r>
        <w:rPr/>
      </w:r>
      <w:r>
        <w:rPr>
          <w:sz w:val="2"/>
        </w:rPr>
        <mc:AlternateContent>
          <mc:Choice Requires="wps">
            <w:drawing>
              <wp:inline distT="0" distB="0" distL="0" distR="0">
                <wp:extent cx="6082665" cy="6350"/>
                <wp:effectExtent l="9525" t="0" r="0" b="3175"/>
                <wp:docPr id="3003" name="Group 3003"/>
                <wp:cNvGraphicFramePr>
                  <a:graphicFrameLocks/>
                </wp:cNvGraphicFramePr>
                <a:graphic>
                  <a:graphicData uri="http://schemas.microsoft.com/office/word/2010/wordprocessingGroup">
                    <wpg:wgp>
                      <wpg:cNvPr id="3003" name="Group 3003"/>
                      <wpg:cNvGrpSpPr/>
                      <wpg:grpSpPr>
                        <a:xfrm>
                          <a:off x="0" y="0"/>
                          <a:ext cx="6082665" cy="6350"/>
                          <a:chExt cx="6082665" cy="6350"/>
                        </a:xfrm>
                      </wpg:grpSpPr>
                      <wps:wsp>
                        <wps:cNvPr id="3004" name="Graphic 3004"/>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42" coordorigin="0,0" coordsize="9579,10">
                <v:line style="position:absolute" from="0,5" to="9579,5" stroked="true" strokeweight=".499pt" strokecolor="#231f20">
                  <v:stroke dashstyle="solid"/>
                </v:line>
              </v:group>
            </w:pict>
          </mc:Fallback>
        </mc:AlternateContent>
      </w:r>
      <w:r>
        <w:rPr>
          <w:sz w:val="2"/>
        </w:rPr>
      </w:r>
    </w:p>
    <w:p>
      <w:pPr>
        <w:pStyle w:val="Heading3"/>
        <w:spacing w:before="12"/>
      </w:pPr>
      <w:bookmarkStart w:name="Troubleshooting logon error messages" w:id="590"/>
      <w:bookmarkEnd w:id="590"/>
      <w:r>
        <w:rPr>
          <w:b w:val="0"/>
        </w:rPr>
      </w:r>
      <w:r>
        <w:rPr>
          <w:color w:val="231F20"/>
        </w:rPr>
        <w:t>Troubleshooting</w:t>
      </w:r>
      <w:r>
        <w:rPr>
          <w:color w:val="231F20"/>
          <w:spacing w:val="-3"/>
        </w:rPr>
        <w:t> </w:t>
      </w:r>
      <w:r>
        <w:rPr>
          <w:color w:val="231F20"/>
        </w:rPr>
        <w:t>logon</w:t>
      </w:r>
      <w:r>
        <w:rPr>
          <w:color w:val="231F20"/>
          <w:spacing w:val="-2"/>
        </w:rPr>
        <w:t> </w:t>
      </w:r>
      <w:r>
        <w:rPr>
          <w:color w:val="231F20"/>
        </w:rPr>
        <w:t>error</w:t>
      </w:r>
      <w:r>
        <w:rPr>
          <w:color w:val="231F20"/>
          <w:spacing w:val="-3"/>
        </w:rPr>
        <w:t> </w:t>
      </w:r>
      <w:r>
        <w:rPr>
          <w:color w:val="231F20"/>
          <w:spacing w:val="-2"/>
        </w:rPr>
        <w:t>messages</w:t>
      </w:r>
    </w:p>
    <w:p>
      <w:pPr>
        <w:pStyle w:val="BodyText"/>
        <w:spacing w:line="213" w:lineRule="auto" w:before="138"/>
        <w:ind w:left="2472" w:right="385"/>
      </w:pPr>
      <w:r>
        <w:rPr>
          <w:color w:val="231F20"/>
        </w:rPr>
        <w:t>Logon prompts and progress messages are displayed in the Logon window </w:t>
      </w:r>
      <w:r>
        <w:rPr>
          <w:color w:val="231F20"/>
        </w:rPr>
        <w:t>status bar. If a user cannot log on, a message is displayed.</w:t>
      </w:r>
    </w:p>
    <w:p>
      <w:pPr>
        <w:pStyle w:val="BodyText"/>
        <w:spacing w:before="215"/>
        <w:ind w:left="2472"/>
      </w:pPr>
      <w:r>
        <w:rPr>
          <w:color w:val="231F20"/>
        </w:rPr>
        <w:t>If</w:t>
      </w:r>
      <w:r>
        <w:rPr>
          <w:color w:val="231F20"/>
          <w:spacing w:val="12"/>
        </w:rPr>
        <w:t> </w:t>
      </w:r>
      <w:r>
        <w:rPr>
          <w:color w:val="231F20"/>
        </w:rPr>
        <w:t>a</w:t>
      </w:r>
      <w:r>
        <w:rPr>
          <w:color w:val="231F20"/>
          <w:spacing w:val="12"/>
        </w:rPr>
        <w:t> </w:t>
      </w:r>
      <w:r>
        <w:rPr>
          <w:color w:val="231F20"/>
        </w:rPr>
        <w:t>user</w:t>
      </w:r>
      <w:r>
        <w:rPr>
          <w:color w:val="231F20"/>
          <w:spacing w:val="13"/>
        </w:rPr>
        <w:t> </w:t>
      </w:r>
      <w:r>
        <w:rPr>
          <w:color w:val="231F20"/>
        </w:rPr>
        <w:t>cannot</w:t>
      </w:r>
      <w:r>
        <w:rPr>
          <w:color w:val="231F20"/>
          <w:spacing w:val="12"/>
        </w:rPr>
        <w:t> </w:t>
      </w:r>
      <w:r>
        <w:rPr>
          <w:color w:val="231F20"/>
        </w:rPr>
        <w:t>log</w:t>
      </w:r>
      <w:r>
        <w:rPr>
          <w:color w:val="231F20"/>
          <w:spacing w:val="12"/>
        </w:rPr>
        <w:t> </w:t>
      </w:r>
      <w:r>
        <w:rPr>
          <w:color w:val="231F20"/>
        </w:rPr>
        <w:t>on,</w:t>
      </w:r>
      <w:r>
        <w:rPr>
          <w:color w:val="231F20"/>
          <w:spacing w:val="13"/>
        </w:rPr>
        <w:t> </w:t>
      </w:r>
      <w:r>
        <w:rPr>
          <w:color w:val="231F20"/>
        </w:rPr>
        <w:t>one</w:t>
      </w:r>
      <w:r>
        <w:rPr>
          <w:color w:val="231F20"/>
          <w:spacing w:val="12"/>
        </w:rPr>
        <w:t> </w:t>
      </w:r>
      <w:r>
        <w:rPr>
          <w:color w:val="231F20"/>
        </w:rPr>
        <w:t>of</w:t>
      </w:r>
      <w:r>
        <w:rPr>
          <w:color w:val="231F20"/>
          <w:spacing w:val="12"/>
        </w:rPr>
        <w:t> </w:t>
      </w:r>
      <w:r>
        <w:rPr>
          <w:color w:val="231F20"/>
        </w:rPr>
        <w:t>the</w:t>
      </w:r>
      <w:r>
        <w:rPr>
          <w:color w:val="231F20"/>
          <w:spacing w:val="13"/>
        </w:rPr>
        <w:t> </w:t>
      </w:r>
      <w:r>
        <w:rPr>
          <w:color w:val="231F20"/>
        </w:rPr>
        <w:t>following</w:t>
      </w:r>
      <w:r>
        <w:rPr>
          <w:color w:val="231F20"/>
          <w:spacing w:val="12"/>
        </w:rPr>
        <w:t> </w:t>
      </w:r>
      <w:r>
        <w:rPr>
          <w:color w:val="231F20"/>
        </w:rPr>
        <w:t>messages</w:t>
      </w:r>
      <w:r>
        <w:rPr>
          <w:color w:val="231F20"/>
          <w:spacing w:val="12"/>
        </w:rPr>
        <w:t> </w:t>
      </w:r>
      <w:r>
        <w:rPr>
          <w:color w:val="231F20"/>
        </w:rPr>
        <w:t>is</w:t>
      </w:r>
      <w:r>
        <w:rPr>
          <w:color w:val="231F20"/>
          <w:spacing w:val="13"/>
        </w:rPr>
        <w:t> </w:t>
      </w:r>
      <w:r>
        <w:rPr>
          <w:color w:val="231F20"/>
          <w:spacing w:val="-2"/>
        </w:rPr>
        <w:t>displayed:</w:t>
      </w:r>
    </w:p>
    <w:p>
      <w:pPr>
        <w:pStyle w:val="Heading6"/>
        <w:spacing w:line="240" w:lineRule="auto" w:before="111"/>
      </w:pPr>
      <w:r>
        <w:rPr>
          <w:color w:val="231F20"/>
        </w:rPr>
        <w:t>Failed</w:t>
      </w:r>
      <w:r>
        <w:rPr>
          <w:color w:val="231F20"/>
          <w:spacing w:val="7"/>
        </w:rPr>
        <w:t> </w:t>
      </w:r>
      <w:r>
        <w:rPr>
          <w:color w:val="231F20"/>
        </w:rPr>
        <w:t>connection</w:t>
      </w:r>
      <w:r>
        <w:rPr>
          <w:color w:val="231F20"/>
          <w:spacing w:val="8"/>
        </w:rPr>
        <w:t> </w:t>
      </w:r>
      <w:r>
        <w:rPr>
          <w:color w:val="231F20"/>
        </w:rPr>
        <w:t>to</w:t>
      </w:r>
      <w:r>
        <w:rPr>
          <w:color w:val="231F20"/>
          <w:spacing w:val="8"/>
        </w:rPr>
        <w:t> </w:t>
      </w:r>
      <w:r>
        <w:rPr>
          <w:color w:val="231F20"/>
        </w:rPr>
        <w:t>Tivoli</w:t>
      </w:r>
      <w:r>
        <w:rPr>
          <w:color w:val="231F20"/>
          <w:spacing w:val="8"/>
        </w:rPr>
        <w:t> </w:t>
      </w:r>
      <w:r>
        <w:rPr>
          <w:color w:val="231F20"/>
        </w:rPr>
        <w:t>Enterprise</w:t>
      </w:r>
      <w:r>
        <w:rPr>
          <w:color w:val="231F20"/>
          <w:spacing w:val="8"/>
        </w:rPr>
        <w:t> </w:t>
      </w:r>
      <w:r>
        <w:rPr>
          <w:color w:val="231F20"/>
        </w:rPr>
        <w:t>Portal</w:t>
      </w:r>
      <w:r>
        <w:rPr>
          <w:color w:val="231F20"/>
          <w:spacing w:val="8"/>
        </w:rPr>
        <w:t> </w:t>
      </w:r>
      <w:r>
        <w:rPr>
          <w:color w:val="231F20"/>
          <w:spacing w:val="-2"/>
        </w:rPr>
        <w:t>Server</w:t>
      </w:r>
    </w:p>
    <w:p>
      <w:pPr>
        <w:pStyle w:val="ListParagraph"/>
        <w:numPr>
          <w:ilvl w:val="0"/>
          <w:numId w:val="164"/>
        </w:numPr>
        <w:tabs>
          <w:tab w:pos="3506" w:val="left" w:leader="none"/>
        </w:tabs>
        <w:spacing w:line="213" w:lineRule="auto" w:before="60" w:after="0"/>
        <w:ind w:left="3506" w:right="226" w:hanging="316"/>
        <w:jc w:val="left"/>
        <w:rPr>
          <w:sz w:val="20"/>
        </w:rPr>
      </w:pPr>
      <w:r>
        <w:rPr>
          <w:color w:val="231F20"/>
          <w:sz w:val="20"/>
        </w:rPr>
        <w:t>On the system where the Tivoli Enterprise Portal Server is installed,</w:t>
      </w:r>
      <w:r>
        <w:rPr>
          <w:color w:val="231F20"/>
          <w:spacing w:val="80"/>
          <w:sz w:val="20"/>
        </w:rPr>
        <w:t> </w:t>
      </w:r>
      <w:r>
        <w:rPr>
          <w:color w:val="231F20"/>
          <w:sz w:val="20"/>
        </w:rPr>
        <w:t>click </w:t>
      </w:r>
      <w:r>
        <w:rPr>
          <w:rFonts w:ascii="Book Antiqua"/>
          <w:b/>
          <w:color w:val="231F20"/>
          <w:sz w:val="20"/>
        </w:rPr>
        <w:t>Start </w:t>
      </w:r>
      <w:r>
        <w:rPr>
          <w:color w:val="231F20"/>
          <w:sz w:val="20"/>
        </w:rPr>
        <w:t>-&gt; </w:t>
      </w:r>
      <w:r>
        <w:rPr>
          <w:rFonts w:ascii="Book Antiqua"/>
          <w:b/>
          <w:color w:val="231F20"/>
          <w:sz w:val="20"/>
        </w:rPr>
        <w:t>Programs </w:t>
      </w:r>
      <w:r>
        <w:rPr>
          <w:color w:val="231F20"/>
          <w:sz w:val="20"/>
        </w:rPr>
        <w:t>-&gt; </w:t>
      </w:r>
      <w:r>
        <w:rPr>
          <w:rFonts w:ascii="Book Antiqua"/>
          <w:b/>
          <w:color w:val="231F20"/>
          <w:sz w:val="20"/>
        </w:rPr>
        <w:t>IBM Tivoli Monitoring </w:t>
      </w:r>
      <w:r>
        <w:rPr>
          <w:color w:val="231F20"/>
          <w:sz w:val="20"/>
        </w:rPr>
        <w:t>-&gt; </w:t>
      </w:r>
      <w:r>
        <w:rPr>
          <w:color w:val="231F20"/>
          <w:spacing w:val="15"/>
          <w:position w:val="-1"/>
          <w:sz w:val="20"/>
        </w:rPr>
        <w:drawing>
          <wp:inline distT="0" distB="0" distL="0" distR="0">
            <wp:extent cx="76200" cy="101600"/>
            <wp:effectExtent l="0" t="0" r="0" b="0"/>
            <wp:docPr id="3005" name="Image 3005"/>
            <wp:cNvGraphicFramePr>
              <a:graphicFrameLocks/>
            </wp:cNvGraphicFramePr>
            <a:graphic>
              <a:graphicData uri="http://schemas.openxmlformats.org/drawingml/2006/picture">
                <pic:pic>
                  <pic:nvPicPr>
                    <pic:cNvPr id="3005" name="Image 3005"/>
                    <pic:cNvPicPr/>
                  </pic:nvPicPr>
                  <pic:blipFill>
                    <a:blip r:embed="rId338" cstate="print"/>
                    <a:stretch>
                      <a:fillRect/>
                    </a:stretch>
                  </pic:blipFill>
                  <pic:spPr>
                    <a:xfrm>
                      <a:off x="0" y="0"/>
                      <a:ext cx="762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Manage Tivoli Monitoring Services</w:t>
      </w:r>
      <w:r>
        <w:rPr>
          <w:color w:val="231F20"/>
          <w:sz w:val="20"/>
        </w:rPr>
        <w:t>.</w:t>
      </w:r>
    </w:p>
    <w:p>
      <w:pPr>
        <w:pStyle w:val="ListParagraph"/>
        <w:numPr>
          <w:ilvl w:val="0"/>
          <w:numId w:val="164"/>
        </w:numPr>
        <w:tabs>
          <w:tab w:pos="3506" w:val="left" w:leader="none"/>
        </w:tabs>
        <w:spacing w:line="216" w:lineRule="auto" w:before="56" w:after="0"/>
        <w:ind w:left="3506" w:right="281" w:hanging="316"/>
        <w:jc w:val="left"/>
        <w:rPr>
          <w:sz w:val="20"/>
        </w:rPr>
      </w:pPr>
      <w:r>
        <w:rPr>
          <w:color w:val="231F20"/>
          <w:sz w:val="20"/>
        </w:rPr>
        <w:t>Optional: Right-click the Tivoli Enterprise Portal Server entry and </w:t>
      </w:r>
      <w:r>
        <w:rPr>
          <w:color w:val="231F20"/>
          <w:sz w:val="20"/>
        </w:rPr>
        <w:t>click </w:t>
      </w:r>
      <w:r>
        <w:rPr>
          <w:rFonts w:ascii="Book Antiqua"/>
          <w:b/>
          <w:color w:val="231F20"/>
          <w:sz w:val="20"/>
        </w:rPr>
        <w:t>Change Startup</w:t>
      </w:r>
      <w:r>
        <w:rPr>
          <w:color w:val="231F20"/>
          <w:sz w:val="20"/>
        </w:rPr>
        <w:t>. In the window that opens, select </w:t>
      </w:r>
      <w:r>
        <w:rPr>
          <w:color w:val="231F20"/>
          <w:spacing w:val="15"/>
          <w:sz w:val="20"/>
        </w:rPr>
        <w:drawing>
          <wp:inline distT="0" distB="0" distL="0" distR="0">
            <wp:extent cx="88900" cy="82550"/>
            <wp:effectExtent l="0" t="0" r="0" b="0"/>
            <wp:docPr id="3006" name="Image 3006"/>
            <wp:cNvGraphicFramePr>
              <a:graphicFrameLocks/>
            </wp:cNvGraphicFramePr>
            <a:graphic>
              <a:graphicData uri="http://schemas.openxmlformats.org/drawingml/2006/picture">
                <pic:pic>
                  <pic:nvPicPr>
                    <pic:cNvPr id="3006" name="Image 3006"/>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0"/>
          <w:sz w:val="20"/>
        </w:rPr>
        <w:t> </w:t>
      </w:r>
      <w:r>
        <w:rPr>
          <w:rFonts w:ascii="Book Antiqua"/>
          <w:b/>
          <w:color w:val="231F20"/>
          <w:sz w:val="20"/>
        </w:rPr>
        <w:t>System Account </w:t>
      </w:r>
      <w:r>
        <w:rPr>
          <w:color w:val="231F20"/>
          <w:sz w:val="20"/>
        </w:rPr>
        <w:t>and </w:t>
      </w:r>
      <w:r>
        <w:rPr>
          <w:color w:val="231F20"/>
          <w:spacing w:val="16"/>
          <w:sz w:val="20"/>
        </w:rPr>
        <w:drawing>
          <wp:inline distT="0" distB="0" distL="0" distR="0">
            <wp:extent cx="82550" cy="82550"/>
            <wp:effectExtent l="0" t="0" r="0" b="0"/>
            <wp:docPr id="3007" name="Image 3007"/>
            <wp:cNvGraphicFramePr>
              <a:graphicFrameLocks/>
            </wp:cNvGraphicFramePr>
            <a:graphic>
              <a:graphicData uri="http://schemas.openxmlformats.org/drawingml/2006/picture">
                <pic:pic>
                  <pic:nvPicPr>
                    <pic:cNvPr id="3007" name="Image 3007"/>
                    <pic:cNvPicPr/>
                  </pic:nvPicPr>
                  <pic:blipFill>
                    <a:blip r:embed="rId87" cstate="print"/>
                    <a:stretch>
                      <a:fillRect/>
                    </a:stretch>
                  </pic:blipFill>
                  <pic:spPr>
                    <a:xfrm>
                      <a:off x="0" y="0"/>
                      <a:ext cx="82550" cy="82550"/>
                    </a:xfrm>
                    <a:prstGeom prst="rect">
                      <a:avLst/>
                    </a:prstGeom>
                  </pic:spPr>
                </pic:pic>
              </a:graphicData>
            </a:graphic>
          </wp:inline>
        </w:drawing>
      </w:r>
      <w:r>
        <w:rPr>
          <w:color w:val="231F20"/>
          <w:spacing w:val="16"/>
          <w:sz w:val="20"/>
        </w:rPr>
      </w:r>
      <w:r>
        <w:rPr>
          <w:rFonts w:ascii="Times New Roman"/>
          <w:color w:val="231F20"/>
          <w:spacing w:val="3"/>
          <w:sz w:val="20"/>
        </w:rPr>
        <w:t> </w:t>
      </w:r>
      <w:r>
        <w:rPr>
          <w:rFonts w:ascii="Book Antiqua"/>
          <w:b/>
          <w:color w:val="231F20"/>
          <w:sz w:val="20"/>
        </w:rPr>
        <w:t>Allow Service to Interact with Desktop </w:t>
      </w:r>
      <w:r>
        <w:rPr>
          <w:color w:val="231F20"/>
          <w:sz w:val="20"/>
        </w:rPr>
        <w:t>and click </w:t>
      </w:r>
      <w:r>
        <w:rPr>
          <w:rFonts w:ascii="Book Antiqua"/>
          <w:b/>
          <w:color w:val="231F20"/>
          <w:sz w:val="20"/>
        </w:rPr>
        <w:t>OK</w:t>
      </w:r>
      <w:r>
        <w:rPr>
          <w:color w:val="231F20"/>
          <w:sz w:val="20"/>
        </w:rPr>
        <w:t>.</w:t>
      </w:r>
    </w:p>
    <w:p>
      <w:pPr>
        <w:pStyle w:val="BodyText"/>
        <w:spacing w:line="213" w:lineRule="auto" w:before="51"/>
        <w:ind w:left="3506"/>
      </w:pPr>
      <w:r>
        <w:rPr>
          <w:color w:val="231F20"/>
        </w:rPr>
        <w:t>This opens a command line window when the Tivoli Enterprise </w:t>
      </w:r>
      <w:r>
        <w:rPr>
          <w:color w:val="231F20"/>
        </w:rPr>
        <w:t>Portal Server is started and displays the internal commands.</w:t>
      </w:r>
    </w:p>
    <w:p>
      <w:pPr>
        <w:pStyle w:val="ListParagraph"/>
        <w:numPr>
          <w:ilvl w:val="0"/>
          <w:numId w:val="164"/>
        </w:numPr>
        <w:tabs>
          <w:tab w:pos="3505" w:val="left" w:leader="none"/>
          <w:tab w:pos="3806" w:val="left" w:leader="none"/>
        </w:tabs>
        <w:spacing w:line="266" w:lineRule="auto" w:before="36" w:after="0"/>
        <w:ind w:left="3806" w:right="1579" w:hanging="616"/>
        <w:jc w:val="left"/>
        <w:rPr>
          <w:sz w:val="20"/>
        </w:rPr>
      </w:pPr>
      <w:r>
        <w:rPr>
          <w:color w:val="231F20"/>
          <w:sz w:val="20"/>
        </w:rPr>
        <w:t>Ensure that the Tivoli Enterprise Portal Server is </w:t>
      </w:r>
      <w:r>
        <w:rPr>
          <w:color w:val="231F20"/>
          <w:sz w:val="20"/>
        </w:rPr>
        <w:t>started: If it is started, recycle it.</w:t>
      </w:r>
    </w:p>
    <w:p>
      <w:pPr>
        <w:pStyle w:val="BodyText"/>
        <w:spacing w:line="269" w:lineRule="exact"/>
        <w:ind w:left="3806"/>
      </w:pPr>
      <w:r>
        <w:rPr>
          <w:color w:val="231F20"/>
        </w:rPr>
        <w:t>If</w:t>
      </w:r>
      <w:r>
        <w:rPr>
          <w:color w:val="231F20"/>
          <w:spacing w:val="12"/>
        </w:rPr>
        <w:t> </w:t>
      </w:r>
      <w:r>
        <w:rPr>
          <w:color w:val="231F20"/>
        </w:rPr>
        <w:t>it</w:t>
      </w:r>
      <w:r>
        <w:rPr>
          <w:color w:val="231F20"/>
          <w:spacing w:val="13"/>
        </w:rPr>
        <w:t> </w:t>
      </w:r>
      <w:r>
        <w:rPr>
          <w:color w:val="231F20"/>
        </w:rPr>
        <w:t>is</w:t>
      </w:r>
      <w:r>
        <w:rPr>
          <w:color w:val="231F20"/>
          <w:spacing w:val="13"/>
        </w:rPr>
        <w:t> </w:t>
      </w:r>
      <w:r>
        <w:rPr>
          <w:color w:val="231F20"/>
        </w:rPr>
        <w:t>stopped,</w:t>
      </w:r>
      <w:r>
        <w:rPr>
          <w:color w:val="231F20"/>
          <w:spacing w:val="13"/>
        </w:rPr>
        <w:t> </w:t>
      </w:r>
      <w:r>
        <w:rPr>
          <w:color w:val="231F20"/>
        </w:rPr>
        <w:t>start</w:t>
      </w:r>
      <w:r>
        <w:rPr>
          <w:color w:val="231F20"/>
          <w:spacing w:val="13"/>
        </w:rPr>
        <w:t> </w:t>
      </w:r>
      <w:r>
        <w:rPr>
          <w:color w:val="231F20"/>
          <w:spacing w:val="-5"/>
        </w:rPr>
        <w:t>it.</w:t>
      </w:r>
    </w:p>
    <w:p>
      <w:pPr>
        <w:pStyle w:val="ListParagraph"/>
        <w:numPr>
          <w:ilvl w:val="0"/>
          <w:numId w:val="164"/>
        </w:numPr>
        <w:tabs>
          <w:tab w:pos="3506" w:val="left" w:leader="none"/>
        </w:tabs>
        <w:spacing w:line="213" w:lineRule="auto" w:before="52" w:after="0"/>
        <w:ind w:left="3506" w:right="209" w:hanging="316"/>
        <w:jc w:val="left"/>
        <w:rPr>
          <w:sz w:val="20"/>
        </w:rPr>
      </w:pPr>
      <w:r>
        <w:rPr>
          <w:color w:val="231F20"/>
          <w:sz w:val="20"/>
        </w:rPr>
        <w:t>If you are still unable to connect, review the following information. If it does not apply to your situation, contact IBM Software Support.</w:t>
      </w:r>
    </w:p>
    <w:p>
      <w:pPr>
        <w:pStyle w:val="BodyText"/>
        <w:spacing w:line="213" w:lineRule="auto" w:before="119"/>
        <w:ind w:left="3190" w:right="545"/>
      </w:pPr>
      <w:r>
        <w:rPr>
          <w:color w:val="231F20"/>
        </w:rPr>
        <w:t>If you are running in browser mode and going across networks to reach the Tivoli Enterprise Portal Server, it is possible the host name cannot </w:t>
      </w:r>
      <w:r>
        <w:rPr>
          <w:color w:val="231F20"/>
        </w:rPr>
        <w:t>be resolved by the network system. If this is the case, doing the following should resolve the problem:</w:t>
      </w:r>
    </w:p>
    <w:p>
      <w:pPr>
        <w:pStyle w:val="ListParagraph"/>
        <w:numPr>
          <w:ilvl w:val="0"/>
          <w:numId w:val="165"/>
        </w:numPr>
        <w:tabs>
          <w:tab w:pos="3506" w:val="left" w:leader="none"/>
        </w:tabs>
        <w:spacing w:line="213" w:lineRule="auto" w:before="57" w:after="0"/>
        <w:ind w:left="3506" w:right="226" w:hanging="316"/>
        <w:jc w:val="left"/>
        <w:rPr>
          <w:sz w:val="20"/>
        </w:rPr>
      </w:pPr>
      <w:r>
        <w:rPr>
          <w:color w:val="231F20"/>
          <w:sz w:val="20"/>
        </w:rPr>
        <w:t>On the system where the Tivoli Enterprise Portal Server is installed,</w:t>
      </w:r>
      <w:r>
        <w:rPr>
          <w:color w:val="231F20"/>
          <w:spacing w:val="80"/>
          <w:sz w:val="20"/>
        </w:rPr>
        <w:t> </w:t>
      </w:r>
      <w:r>
        <w:rPr>
          <w:color w:val="231F20"/>
          <w:sz w:val="20"/>
        </w:rPr>
        <w:t>click </w:t>
      </w:r>
      <w:r>
        <w:rPr>
          <w:rFonts w:ascii="Book Antiqua"/>
          <w:b/>
          <w:color w:val="231F20"/>
          <w:sz w:val="20"/>
        </w:rPr>
        <w:t>Start </w:t>
      </w:r>
      <w:r>
        <w:rPr>
          <w:color w:val="231F20"/>
          <w:sz w:val="20"/>
        </w:rPr>
        <w:t>-&gt; </w:t>
      </w:r>
      <w:r>
        <w:rPr>
          <w:rFonts w:ascii="Book Antiqua"/>
          <w:b/>
          <w:color w:val="231F20"/>
          <w:sz w:val="20"/>
        </w:rPr>
        <w:t>Programs </w:t>
      </w:r>
      <w:r>
        <w:rPr>
          <w:color w:val="231F20"/>
          <w:sz w:val="20"/>
        </w:rPr>
        <w:t>-&gt; </w:t>
      </w:r>
      <w:r>
        <w:rPr>
          <w:rFonts w:ascii="Book Antiqua"/>
          <w:b/>
          <w:color w:val="231F20"/>
          <w:sz w:val="20"/>
        </w:rPr>
        <w:t>IBM Tivoli Monitoring </w:t>
      </w:r>
      <w:r>
        <w:rPr>
          <w:color w:val="231F20"/>
          <w:sz w:val="20"/>
        </w:rPr>
        <w:t>-&gt; </w:t>
      </w:r>
      <w:r>
        <w:rPr>
          <w:color w:val="231F20"/>
          <w:spacing w:val="14"/>
          <w:position w:val="-1"/>
          <w:sz w:val="20"/>
        </w:rPr>
        <w:drawing>
          <wp:inline distT="0" distB="0" distL="0" distR="0">
            <wp:extent cx="76200" cy="101600"/>
            <wp:effectExtent l="0" t="0" r="0" b="0"/>
            <wp:docPr id="3008" name="Image 3008"/>
            <wp:cNvGraphicFramePr>
              <a:graphicFrameLocks/>
            </wp:cNvGraphicFramePr>
            <a:graphic>
              <a:graphicData uri="http://schemas.openxmlformats.org/drawingml/2006/picture">
                <pic:pic>
                  <pic:nvPicPr>
                    <pic:cNvPr id="3008" name="Image 3008"/>
                    <pic:cNvPicPr/>
                  </pic:nvPicPr>
                  <pic:blipFill>
                    <a:blip r:embed="rId338" cstate="print"/>
                    <a:stretch>
                      <a:fillRect/>
                    </a:stretch>
                  </pic:blipFill>
                  <pic:spPr>
                    <a:xfrm>
                      <a:off x="0" y="0"/>
                      <a:ext cx="76200" cy="101600"/>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rFonts w:ascii="Book Antiqua"/>
          <w:b/>
          <w:color w:val="231F20"/>
          <w:sz w:val="20"/>
        </w:rPr>
        <w:t>Manage Tivoli Monitoring Services</w:t>
      </w:r>
      <w:r>
        <w:rPr>
          <w:color w:val="231F20"/>
          <w:sz w:val="20"/>
        </w:rPr>
        <w:t>.</w:t>
      </w:r>
    </w:p>
    <w:p>
      <w:pPr>
        <w:pStyle w:val="ListParagraph"/>
        <w:numPr>
          <w:ilvl w:val="0"/>
          <w:numId w:val="165"/>
        </w:numPr>
        <w:tabs>
          <w:tab w:pos="3505" w:val="left" w:leader="none"/>
        </w:tabs>
        <w:spacing w:line="266" w:lineRule="exact" w:before="35" w:after="0"/>
        <w:ind w:left="3505" w:right="0" w:hanging="315"/>
        <w:jc w:val="left"/>
        <w:rPr>
          <w:sz w:val="20"/>
        </w:rPr>
      </w:pPr>
      <w:r>
        <w:rPr>
          <w:color w:val="231F20"/>
          <w:sz w:val="20"/>
        </w:rPr>
        <w:t>Right-click</w:t>
      </w:r>
      <w:r>
        <w:rPr>
          <w:color w:val="231F20"/>
          <w:spacing w:val="8"/>
          <w:sz w:val="20"/>
        </w:rPr>
        <w:t> </w:t>
      </w:r>
      <w:r>
        <w:rPr>
          <w:color w:val="231F20"/>
          <w:sz w:val="20"/>
        </w:rPr>
        <w:t>the</w:t>
      </w:r>
      <w:r>
        <w:rPr>
          <w:color w:val="231F20"/>
          <w:spacing w:val="8"/>
          <w:sz w:val="20"/>
        </w:rPr>
        <w:t> </w:t>
      </w:r>
      <w:r>
        <w:rPr>
          <w:color w:val="231F20"/>
          <w:sz w:val="20"/>
        </w:rPr>
        <w:t>Tivoli</w:t>
      </w:r>
      <w:r>
        <w:rPr>
          <w:color w:val="231F20"/>
          <w:spacing w:val="8"/>
          <w:sz w:val="20"/>
        </w:rPr>
        <w:t> </w:t>
      </w:r>
      <w:r>
        <w:rPr>
          <w:color w:val="231F20"/>
          <w:sz w:val="20"/>
        </w:rPr>
        <w:t>Enterprise</w:t>
      </w:r>
      <w:r>
        <w:rPr>
          <w:color w:val="231F20"/>
          <w:spacing w:val="8"/>
          <w:sz w:val="20"/>
        </w:rPr>
        <w:t> </w:t>
      </w:r>
      <w:r>
        <w:rPr>
          <w:color w:val="231F20"/>
          <w:sz w:val="20"/>
        </w:rPr>
        <w:t>Portal</w:t>
      </w:r>
      <w:r>
        <w:rPr>
          <w:color w:val="231F20"/>
          <w:spacing w:val="8"/>
          <w:sz w:val="20"/>
        </w:rPr>
        <w:t> </w:t>
      </w:r>
      <w:r>
        <w:rPr>
          <w:color w:val="231F20"/>
          <w:sz w:val="20"/>
        </w:rPr>
        <w:t>Browser</w:t>
      </w:r>
      <w:r>
        <w:rPr>
          <w:color w:val="231F20"/>
          <w:spacing w:val="8"/>
          <w:sz w:val="20"/>
        </w:rPr>
        <w:t> </w:t>
      </w:r>
      <w:r>
        <w:rPr>
          <w:color w:val="231F20"/>
          <w:sz w:val="20"/>
        </w:rPr>
        <w:t>service</w:t>
      </w:r>
      <w:r>
        <w:rPr>
          <w:color w:val="231F20"/>
          <w:spacing w:val="8"/>
          <w:sz w:val="20"/>
        </w:rPr>
        <w:t> </w:t>
      </w:r>
      <w:r>
        <w:rPr>
          <w:color w:val="231F20"/>
          <w:sz w:val="20"/>
        </w:rPr>
        <w:t>and</w:t>
      </w:r>
      <w:r>
        <w:rPr>
          <w:color w:val="231F20"/>
          <w:spacing w:val="8"/>
          <w:sz w:val="20"/>
        </w:rPr>
        <w:t> </w:t>
      </w:r>
      <w:r>
        <w:rPr>
          <w:color w:val="231F20"/>
          <w:spacing w:val="-2"/>
          <w:sz w:val="20"/>
        </w:rPr>
        <w:t>click</w:t>
      </w:r>
    </w:p>
    <w:p>
      <w:pPr>
        <w:pStyle w:val="Heading6"/>
        <w:spacing w:line="237" w:lineRule="exact" w:before="0"/>
        <w:ind w:left="3506"/>
      </w:pPr>
      <w:r>
        <w:rPr>
          <w:color w:val="231F20"/>
          <w:spacing w:val="-2"/>
        </w:rPr>
        <w:t>Reconfigure.</w:t>
      </w:r>
    </w:p>
    <w:p>
      <w:pPr>
        <w:pStyle w:val="ListParagraph"/>
        <w:numPr>
          <w:ilvl w:val="0"/>
          <w:numId w:val="165"/>
        </w:numPr>
        <w:tabs>
          <w:tab w:pos="3505" w:val="left" w:leader="none"/>
        </w:tabs>
        <w:spacing w:line="240" w:lineRule="auto" w:before="36" w:after="0"/>
        <w:ind w:left="3505" w:right="0" w:hanging="315"/>
        <w:jc w:val="left"/>
        <w:rPr>
          <w:sz w:val="20"/>
        </w:rPr>
      </w:pPr>
      <w:r>
        <w:rPr>
          <w:color w:val="231F20"/>
          <w:sz w:val="20"/>
        </w:rPr>
        <w:t>Change</w:t>
      </w:r>
      <w:r>
        <w:rPr>
          <w:color w:val="231F20"/>
          <w:spacing w:val="11"/>
          <w:sz w:val="20"/>
        </w:rPr>
        <w:t> </w:t>
      </w:r>
      <w:r>
        <w:rPr>
          <w:color w:val="231F20"/>
          <w:sz w:val="20"/>
        </w:rPr>
        <w:t>the</w:t>
      </w:r>
      <w:r>
        <w:rPr>
          <w:color w:val="231F20"/>
          <w:spacing w:val="12"/>
          <w:sz w:val="20"/>
        </w:rPr>
        <w:t> </w:t>
      </w:r>
      <w:r>
        <w:rPr>
          <w:color w:val="231F20"/>
          <w:sz w:val="20"/>
        </w:rPr>
        <w:t>host</w:t>
      </w:r>
      <w:r>
        <w:rPr>
          <w:color w:val="231F20"/>
          <w:spacing w:val="12"/>
          <w:sz w:val="20"/>
        </w:rPr>
        <w:t> </w:t>
      </w:r>
      <w:r>
        <w:rPr>
          <w:color w:val="231F20"/>
          <w:sz w:val="20"/>
        </w:rPr>
        <w:t>name</w:t>
      </w:r>
      <w:r>
        <w:rPr>
          <w:color w:val="231F20"/>
          <w:spacing w:val="12"/>
          <w:sz w:val="20"/>
        </w:rPr>
        <w:t> </w:t>
      </w:r>
      <w:r>
        <w:rPr>
          <w:color w:val="231F20"/>
          <w:sz w:val="20"/>
        </w:rPr>
        <w:t>to</w:t>
      </w:r>
      <w:r>
        <w:rPr>
          <w:color w:val="231F20"/>
          <w:spacing w:val="12"/>
          <w:sz w:val="20"/>
        </w:rPr>
        <w:t> </w:t>
      </w:r>
      <w:r>
        <w:rPr>
          <w:color w:val="231F20"/>
          <w:sz w:val="20"/>
        </w:rPr>
        <w:t>the</w:t>
      </w:r>
      <w:r>
        <w:rPr>
          <w:color w:val="231F20"/>
          <w:spacing w:val="12"/>
          <w:sz w:val="20"/>
        </w:rPr>
        <w:t> </w:t>
      </w:r>
      <w:r>
        <w:rPr>
          <w:color w:val="231F20"/>
          <w:sz w:val="20"/>
        </w:rPr>
        <w:t>IP</w:t>
      </w:r>
      <w:r>
        <w:rPr>
          <w:color w:val="231F20"/>
          <w:spacing w:val="8"/>
          <w:sz w:val="20"/>
        </w:rPr>
        <w:t> </w:t>
      </w:r>
      <w:r>
        <w:rPr>
          <w:color w:val="231F20"/>
          <w:sz w:val="20"/>
        </w:rPr>
        <w:t>address</w:t>
      </w:r>
      <w:r>
        <w:rPr>
          <w:color w:val="231F20"/>
          <w:spacing w:val="12"/>
          <w:sz w:val="20"/>
        </w:rPr>
        <w:t> </w:t>
      </w:r>
      <w:r>
        <w:rPr>
          <w:color w:val="231F20"/>
          <w:sz w:val="20"/>
        </w:rPr>
        <w:t>in</w:t>
      </w:r>
      <w:r>
        <w:rPr>
          <w:color w:val="231F20"/>
          <w:spacing w:val="12"/>
          <w:sz w:val="20"/>
        </w:rPr>
        <w:t> </w:t>
      </w:r>
      <w:r>
        <w:rPr>
          <w:color w:val="231F20"/>
          <w:sz w:val="20"/>
        </w:rPr>
        <w:t>two</w:t>
      </w:r>
      <w:r>
        <w:rPr>
          <w:color w:val="231F20"/>
          <w:spacing w:val="12"/>
          <w:sz w:val="20"/>
        </w:rPr>
        <w:t> </w:t>
      </w:r>
      <w:r>
        <w:rPr>
          <w:color w:val="231F20"/>
          <w:spacing w:val="-2"/>
          <w:sz w:val="20"/>
        </w:rPr>
        <w:t>places:</w:t>
      </w:r>
    </w:p>
    <w:p>
      <w:pPr>
        <w:pStyle w:val="BodyText"/>
        <w:spacing w:line="213" w:lineRule="auto" w:before="53"/>
        <w:ind w:left="3806" w:right="202"/>
      </w:pPr>
      <w:r>
        <w:rPr>
          <w:color w:val="231F20"/>
        </w:rPr>
        <w:t>In</w:t>
      </w:r>
      <w:r>
        <w:rPr>
          <w:color w:val="231F20"/>
          <w:spacing w:val="34"/>
        </w:rPr>
        <w:t> </w:t>
      </w:r>
      <w:r>
        <w:rPr>
          <w:color w:val="231F20"/>
        </w:rPr>
        <w:t>the</w:t>
      </w:r>
      <w:r>
        <w:rPr>
          <w:color w:val="231F20"/>
          <w:spacing w:val="34"/>
        </w:rPr>
        <w:t> </w:t>
      </w:r>
      <w:r>
        <w:rPr>
          <w:rFonts w:ascii="Book Antiqua"/>
          <w:b/>
          <w:color w:val="231F20"/>
        </w:rPr>
        <w:t>Launch</w:t>
      </w:r>
      <w:r>
        <w:rPr>
          <w:rFonts w:ascii="Book Antiqua"/>
          <w:b/>
          <w:color w:val="231F20"/>
          <w:spacing w:val="34"/>
        </w:rPr>
        <w:t> </w:t>
      </w:r>
      <w:r>
        <w:rPr>
          <w:rFonts w:ascii="Book Antiqua"/>
          <w:b/>
          <w:color w:val="231F20"/>
        </w:rPr>
        <w:t>URL</w:t>
      </w:r>
      <w:r>
        <w:rPr>
          <w:rFonts w:ascii="Book Antiqua"/>
          <w:b/>
          <w:color w:val="231F20"/>
          <w:spacing w:val="34"/>
        </w:rPr>
        <w:t> </w:t>
      </w:r>
      <w:r>
        <w:rPr>
          <w:color w:val="231F20"/>
        </w:rPr>
        <w:t>field,</w:t>
      </w:r>
      <w:r>
        <w:rPr>
          <w:color w:val="231F20"/>
          <w:spacing w:val="34"/>
        </w:rPr>
        <w:t> </w:t>
      </w:r>
      <w:r>
        <w:rPr>
          <w:color w:val="231F20"/>
        </w:rPr>
        <w:t>change</w:t>
      </w:r>
      <w:r>
        <w:rPr>
          <w:color w:val="231F20"/>
          <w:spacing w:val="34"/>
        </w:rPr>
        <w:t> </w:t>
      </w:r>
      <w:r>
        <w:rPr>
          <w:rFonts w:ascii="Book Antiqua"/>
          <w:i/>
          <w:color w:val="231F20"/>
        </w:rPr>
        <w:t>hostname</w:t>
      </w:r>
      <w:r>
        <w:rPr>
          <w:rFonts w:ascii="Book Antiqua"/>
          <w:i/>
          <w:color w:val="231F20"/>
          <w:spacing w:val="34"/>
        </w:rPr>
        <w:t> </w:t>
      </w:r>
      <w:r>
        <w:rPr>
          <w:color w:val="231F20"/>
        </w:rPr>
        <w:t>in</w:t>
      </w:r>
      <w:r>
        <w:rPr>
          <w:color w:val="231F20"/>
          <w:spacing w:val="34"/>
        </w:rPr>
        <w:t> </w:t>
      </w:r>
      <w:r>
        <w:rPr>
          <w:color w:val="231F20"/>
        </w:rPr>
        <w:t>http://</w:t>
      </w:r>
      <w:r>
        <w:rPr>
          <w:rFonts w:ascii="Book Antiqua"/>
          <w:i/>
          <w:color w:val="231F20"/>
        </w:rPr>
        <w:t>hostname</w:t>
      </w:r>
      <w:r>
        <w:rPr>
          <w:color w:val="231F20"/>
        </w:rPr>
        <w:t>:15200 to the IP address of the Tivoli Enterprise Portal Server. For </w:t>
      </w:r>
      <w:r>
        <w:rPr>
          <w:color w:val="231F20"/>
        </w:rPr>
        <w:t>example, </w:t>
      </w:r>
      <w:r>
        <w:rPr>
          <w:rFonts w:ascii="Arial"/>
          <w:color w:val="231F20"/>
          <w:spacing w:val="-2"/>
        </w:rPr>
        <w:t>http://10.21.2.166:15200</w:t>
      </w:r>
      <w:r>
        <w:rPr>
          <w:color w:val="231F20"/>
          <w:spacing w:val="-2"/>
        </w:rPr>
        <w:t>.</w:t>
      </w:r>
    </w:p>
    <w:p>
      <w:pPr>
        <w:pStyle w:val="BodyText"/>
        <w:spacing w:line="213" w:lineRule="auto" w:before="58"/>
        <w:ind w:left="3806" w:right="545"/>
      </w:pPr>
      <w:r>
        <w:rPr>
          <w:color w:val="231F20"/>
        </w:rPr>
        <w:t>In the </w:t>
      </w:r>
      <w:r>
        <w:rPr>
          <w:rFonts w:ascii="Book Antiqua"/>
          <w:b/>
          <w:color w:val="231F20"/>
        </w:rPr>
        <w:t>Host </w:t>
      </w:r>
      <w:r>
        <w:rPr>
          <w:color w:val="231F20"/>
        </w:rPr>
        <w:t>field, change the host name to the IP address of </w:t>
      </w:r>
      <w:r>
        <w:rPr>
          <w:color w:val="231F20"/>
        </w:rPr>
        <w:t>the Tivoli Enterprise Portal Server.</w:t>
      </w:r>
    </w:p>
    <w:p>
      <w:pPr>
        <w:pStyle w:val="ListParagraph"/>
        <w:numPr>
          <w:ilvl w:val="0"/>
          <w:numId w:val="165"/>
        </w:numPr>
        <w:tabs>
          <w:tab w:pos="3505" w:val="left" w:leader="none"/>
        </w:tabs>
        <w:spacing w:line="240" w:lineRule="auto" w:before="35" w:after="0"/>
        <w:ind w:left="3505" w:right="0" w:hanging="315"/>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ListParagraph"/>
        <w:numPr>
          <w:ilvl w:val="0"/>
          <w:numId w:val="165"/>
        </w:numPr>
        <w:tabs>
          <w:tab w:pos="3506" w:val="left" w:leader="none"/>
        </w:tabs>
        <w:spacing w:line="213" w:lineRule="auto" w:before="53" w:after="0"/>
        <w:ind w:left="3506" w:right="848" w:hanging="316"/>
        <w:jc w:val="left"/>
        <w:rPr>
          <w:sz w:val="20"/>
        </w:rPr>
      </w:pPr>
      <w:r>
        <w:rPr>
          <w:color w:val="231F20"/>
          <w:sz w:val="20"/>
        </w:rPr>
        <w:t>Start Tivoli Enterprise Portal browser mode using the IP address instead of the host name.</w:t>
      </w:r>
    </w:p>
    <w:p>
      <w:pPr>
        <w:pStyle w:val="ListParagraph"/>
        <w:numPr>
          <w:ilvl w:val="0"/>
          <w:numId w:val="165"/>
        </w:numPr>
        <w:tabs>
          <w:tab w:pos="3505" w:val="left" w:leader="none"/>
        </w:tabs>
        <w:spacing w:line="240" w:lineRule="auto" w:before="35" w:after="0"/>
        <w:ind w:left="3505" w:right="0" w:hanging="315"/>
        <w:jc w:val="left"/>
        <w:rPr>
          <w:sz w:val="20"/>
        </w:rPr>
      </w:pPr>
      <w:r>
        <w:rPr>
          <w:color w:val="231F20"/>
          <w:sz w:val="20"/>
        </w:rPr>
        <w:t>If</w:t>
      </w:r>
      <w:r>
        <w:rPr>
          <w:color w:val="231F20"/>
          <w:spacing w:val="10"/>
          <w:sz w:val="20"/>
        </w:rPr>
        <w:t> </w:t>
      </w:r>
      <w:r>
        <w:rPr>
          <w:color w:val="231F20"/>
          <w:sz w:val="20"/>
        </w:rPr>
        <w:t>you</w:t>
      </w:r>
      <w:r>
        <w:rPr>
          <w:color w:val="231F20"/>
          <w:spacing w:val="11"/>
          <w:sz w:val="20"/>
        </w:rPr>
        <w:t> </w:t>
      </w:r>
      <w:r>
        <w:rPr>
          <w:color w:val="231F20"/>
          <w:sz w:val="20"/>
        </w:rPr>
        <w:t>are</w:t>
      </w:r>
      <w:r>
        <w:rPr>
          <w:color w:val="231F20"/>
          <w:spacing w:val="11"/>
          <w:sz w:val="20"/>
        </w:rPr>
        <w:t> </w:t>
      </w:r>
      <w:r>
        <w:rPr>
          <w:color w:val="231F20"/>
          <w:sz w:val="20"/>
        </w:rPr>
        <w:t>still</w:t>
      </w:r>
      <w:r>
        <w:rPr>
          <w:color w:val="231F20"/>
          <w:spacing w:val="11"/>
          <w:sz w:val="20"/>
        </w:rPr>
        <w:t> </w:t>
      </w:r>
      <w:r>
        <w:rPr>
          <w:color w:val="231F20"/>
          <w:sz w:val="20"/>
        </w:rPr>
        <w:t>unable</w:t>
      </w:r>
      <w:r>
        <w:rPr>
          <w:color w:val="231F20"/>
          <w:spacing w:val="11"/>
          <w:sz w:val="20"/>
        </w:rPr>
        <w:t> </w:t>
      </w:r>
      <w:r>
        <w:rPr>
          <w:color w:val="231F20"/>
          <w:sz w:val="20"/>
        </w:rPr>
        <w:t>to</w:t>
      </w:r>
      <w:r>
        <w:rPr>
          <w:color w:val="231F20"/>
          <w:spacing w:val="10"/>
          <w:sz w:val="20"/>
        </w:rPr>
        <w:t> </w:t>
      </w:r>
      <w:r>
        <w:rPr>
          <w:color w:val="231F20"/>
          <w:sz w:val="20"/>
        </w:rPr>
        <w:t>connect,</w:t>
      </w:r>
      <w:r>
        <w:rPr>
          <w:color w:val="231F20"/>
          <w:spacing w:val="11"/>
          <w:sz w:val="20"/>
        </w:rPr>
        <w:t> </w:t>
      </w:r>
      <w:r>
        <w:rPr>
          <w:color w:val="231F20"/>
          <w:sz w:val="20"/>
        </w:rPr>
        <w:t>contact</w:t>
      </w:r>
      <w:r>
        <w:rPr>
          <w:color w:val="231F20"/>
          <w:spacing w:val="11"/>
          <w:sz w:val="20"/>
        </w:rPr>
        <w:t> </w:t>
      </w:r>
      <w:r>
        <w:rPr>
          <w:color w:val="231F20"/>
          <w:sz w:val="20"/>
        </w:rPr>
        <w:t>IBM</w:t>
      </w:r>
      <w:r>
        <w:rPr>
          <w:color w:val="231F20"/>
          <w:spacing w:val="11"/>
          <w:sz w:val="20"/>
        </w:rPr>
        <w:t> </w:t>
      </w:r>
      <w:r>
        <w:rPr>
          <w:color w:val="231F20"/>
          <w:sz w:val="20"/>
        </w:rPr>
        <w:t>Software</w:t>
      </w:r>
      <w:r>
        <w:rPr>
          <w:color w:val="231F20"/>
          <w:spacing w:val="11"/>
          <w:sz w:val="20"/>
        </w:rPr>
        <w:t> </w:t>
      </w:r>
      <w:r>
        <w:rPr>
          <w:color w:val="231F20"/>
          <w:spacing w:val="-2"/>
          <w:sz w:val="20"/>
        </w:rPr>
        <w:t>Support.</w:t>
      </w:r>
    </w:p>
    <w:p>
      <w:pPr>
        <w:pStyle w:val="Heading6"/>
        <w:spacing w:before="111"/>
      </w:pPr>
      <w:r>
        <w:rPr>
          <w:color w:val="231F20"/>
        </w:rPr>
        <w:t>Logon</w:t>
      </w:r>
      <w:r>
        <w:rPr>
          <w:color w:val="231F20"/>
          <w:spacing w:val="10"/>
        </w:rPr>
        <w:t> </w:t>
      </w:r>
      <w:r>
        <w:rPr>
          <w:color w:val="231F20"/>
        </w:rPr>
        <w:t>password</w:t>
      </w:r>
      <w:r>
        <w:rPr>
          <w:color w:val="231F20"/>
          <w:spacing w:val="10"/>
        </w:rPr>
        <w:t> </w:t>
      </w:r>
      <w:r>
        <w:rPr>
          <w:color w:val="231F20"/>
        </w:rPr>
        <w:t>has</w:t>
      </w:r>
      <w:r>
        <w:rPr>
          <w:color w:val="231F20"/>
          <w:spacing w:val="10"/>
        </w:rPr>
        <w:t> </w:t>
      </w:r>
      <w:r>
        <w:rPr>
          <w:color w:val="231F20"/>
          <w:spacing w:val="-2"/>
        </w:rPr>
        <w:t>expired</w:t>
      </w:r>
    </w:p>
    <w:p>
      <w:pPr>
        <w:pStyle w:val="BodyText"/>
        <w:spacing w:line="213" w:lineRule="auto" w:before="12"/>
        <w:ind w:left="3190" w:right="258"/>
      </w:pPr>
      <w:r>
        <w:rPr>
          <w:color w:val="231F20"/>
        </w:rPr>
        <w:t>If the hub Tivoli Enterprise Monitoring Server is set to Validate Users, </w:t>
      </w:r>
      <w:r>
        <w:rPr>
          <w:color w:val="231F20"/>
        </w:rPr>
        <w:t>then passwords are required. Passwords must follow the security requirements</w:t>
      </w:r>
      <w:r>
        <w:rPr>
          <w:color w:val="231F20"/>
          <w:spacing w:val="40"/>
        </w:rPr>
        <w:t> </w:t>
      </w:r>
      <w:r>
        <w:rPr>
          <w:color w:val="231F20"/>
        </w:rPr>
        <w:t>of</w:t>
      </w:r>
      <w:r>
        <w:rPr>
          <w:color w:val="231F20"/>
          <w:spacing w:val="31"/>
        </w:rPr>
        <w:t> </w:t>
      </w:r>
      <w:r>
        <w:rPr>
          <w:color w:val="231F20"/>
        </w:rPr>
        <w:t>your</w:t>
      </w:r>
      <w:r>
        <w:rPr>
          <w:color w:val="231F20"/>
          <w:spacing w:val="31"/>
        </w:rPr>
        <w:t> </w:t>
      </w:r>
      <w:r>
        <w:rPr>
          <w:color w:val="231F20"/>
        </w:rPr>
        <w:t>organization.</w:t>
      </w:r>
      <w:r>
        <w:rPr>
          <w:color w:val="231F20"/>
          <w:spacing w:val="31"/>
        </w:rPr>
        <w:t> </w:t>
      </w:r>
      <w:r>
        <w:rPr>
          <w:color w:val="231F20"/>
        </w:rPr>
        <w:t>If</w:t>
      </w:r>
      <w:r>
        <w:rPr>
          <w:color w:val="231F20"/>
          <w:spacing w:val="31"/>
        </w:rPr>
        <w:t> </w:t>
      </w:r>
      <w:r>
        <w:rPr>
          <w:color w:val="231F20"/>
        </w:rPr>
        <w:t>this</w:t>
      </w:r>
      <w:r>
        <w:rPr>
          <w:color w:val="231F20"/>
          <w:spacing w:val="31"/>
        </w:rPr>
        <w:t> </w:t>
      </w:r>
      <w:r>
        <w:rPr>
          <w:color w:val="231F20"/>
        </w:rPr>
        <w:t>includes</w:t>
      </w:r>
      <w:r>
        <w:rPr>
          <w:color w:val="231F20"/>
          <w:spacing w:val="31"/>
        </w:rPr>
        <w:t> </w:t>
      </w:r>
      <w:r>
        <w:rPr>
          <w:color w:val="231F20"/>
        </w:rPr>
        <w:t>periodic</w:t>
      </w:r>
      <w:r>
        <w:rPr>
          <w:color w:val="231F20"/>
          <w:spacing w:val="31"/>
        </w:rPr>
        <w:t> </w:t>
      </w:r>
      <w:r>
        <w:rPr>
          <w:color w:val="231F20"/>
        </w:rPr>
        <w:t>password</w:t>
      </w:r>
      <w:r>
        <w:rPr>
          <w:color w:val="231F20"/>
          <w:spacing w:val="31"/>
        </w:rPr>
        <w:t> </w:t>
      </w:r>
      <w:r>
        <w:rPr>
          <w:color w:val="231F20"/>
        </w:rPr>
        <w:t>changes,</w:t>
      </w:r>
      <w:r>
        <w:rPr>
          <w:color w:val="231F20"/>
          <w:spacing w:val="31"/>
        </w:rPr>
        <w:t> </w:t>
      </w:r>
      <w:r>
        <w:rPr>
          <w:color w:val="231F20"/>
        </w:rPr>
        <w:t>you might get this message while attempting to log on to the portal server.</w:t>
      </w:r>
    </w:p>
    <w:p>
      <w:pPr>
        <w:pStyle w:val="BodyText"/>
        <w:spacing w:line="213" w:lineRule="auto"/>
        <w:ind w:left="3190" w:right="380"/>
        <w:jc w:val="both"/>
      </w:pPr>
      <w:r>
        <w:rPr>
          <w:color w:val="231F20"/>
        </w:rPr>
        <w:t>Should this happen, you must change your system password before you can log on. For example, on Windows this means changing the </w:t>
      </w:r>
      <w:r>
        <w:rPr>
          <w:color w:val="231F20"/>
        </w:rPr>
        <w:t>password through the Administrative Tools User Accounts.</w:t>
      </w:r>
    </w:p>
    <w:p>
      <w:pPr>
        <w:pStyle w:val="Heading6"/>
        <w:spacing w:before="113"/>
      </w:pPr>
      <w:r>
        <w:rPr>
          <w:color w:val="231F20"/>
        </w:rPr>
        <w:t>User</w:t>
      </w:r>
      <w:r>
        <w:rPr>
          <w:color w:val="231F20"/>
          <w:spacing w:val="10"/>
        </w:rPr>
        <w:t> </w:t>
      </w:r>
      <w:r>
        <w:rPr>
          <w:color w:val="231F20"/>
        </w:rPr>
        <w:t>authorization</w:t>
      </w:r>
      <w:r>
        <w:rPr>
          <w:color w:val="231F20"/>
          <w:spacing w:val="10"/>
        </w:rPr>
        <w:t> </w:t>
      </w:r>
      <w:r>
        <w:rPr>
          <w:color w:val="231F20"/>
        </w:rPr>
        <w:t>has</w:t>
      </w:r>
      <w:r>
        <w:rPr>
          <w:color w:val="231F20"/>
          <w:spacing w:val="11"/>
        </w:rPr>
        <w:t> </w:t>
      </w:r>
      <w:r>
        <w:rPr>
          <w:color w:val="231F20"/>
        </w:rPr>
        <w:t>failed</w:t>
      </w:r>
      <w:r>
        <w:rPr>
          <w:color w:val="231F20"/>
          <w:spacing w:val="10"/>
        </w:rPr>
        <w:t> </w:t>
      </w:r>
      <w:r>
        <w:rPr>
          <w:color w:val="231F20"/>
        </w:rPr>
        <w:t>-OR-</w:t>
      </w:r>
      <w:r>
        <w:rPr>
          <w:color w:val="231F20"/>
          <w:spacing w:val="11"/>
        </w:rPr>
        <w:t> </w:t>
      </w:r>
      <w:r>
        <w:rPr>
          <w:color w:val="231F20"/>
        </w:rPr>
        <w:t>Unable</w:t>
      </w:r>
      <w:r>
        <w:rPr>
          <w:color w:val="231F20"/>
          <w:spacing w:val="10"/>
        </w:rPr>
        <w:t> </w:t>
      </w:r>
      <w:r>
        <w:rPr>
          <w:color w:val="231F20"/>
        </w:rPr>
        <w:t>to</w:t>
      </w:r>
      <w:r>
        <w:rPr>
          <w:color w:val="231F20"/>
          <w:spacing w:val="11"/>
        </w:rPr>
        <w:t> </w:t>
      </w:r>
      <w:r>
        <w:rPr>
          <w:color w:val="231F20"/>
        </w:rPr>
        <w:t>process</w:t>
      </w:r>
      <w:r>
        <w:rPr>
          <w:color w:val="231F20"/>
          <w:spacing w:val="10"/>
        </w:rPr>
        <w:t> </w:t>
      </w:r>
      <w:r>
        <w:rPr>
          <w:color w:val="231F20"/>
        </w:rPr>
        <w:t>logon</w:t>
      </w:r>
      <w:r>
        <w:rPr>
          <w:color w:val="231F20"/>
          <w:spacing w:val="11"/>
        </w:rPr>
        <w:t> </w:t>
      </w:r>
      <w:r>
        <w:rPr>
          <w:color w:val="231F20"/>
          <w:spacing w:val="-2"/>
        </w:rPr>
        <w:t>request</w:t>
      </w:r>
    </w:p>
    <w:p>
      <w:pPr>
        <w:pStyle w:val="BodyText"/>
        <w:spacing w:line="258" w:lineRule="exact"/>
        <w:ind w:left="3190"/>
        <w:jc w:val="both"/>
      </w:pPr>
      <w:r>
        <w:rPr>
          <w:color w:val="231F20"/>
        </w:rPr>
        <w:t>Tivoli</w:t>
      </w:r>
      <w:r>
        <w:rPr>
          <w:color w:val="231F20"/>
          <w:spacing w:val="9"/>
        </w:rPr>
        <w:t> </w:t>
      </w:r>
      <w:r>
        <w:rPr>
          <w:color w:val="231F20"/>
        </w:rPr>
        <w:t>Enterprise</w:t>
      </w:r>
      <w:r>
        <w:rPr>
          <w:color w:val="231F20"/>
          <w:spacing w:val="10"/>
        </w:rPr>
        <w:t> </w:t>
      </w:r>
      <w:r>
        <w:rPr>
          <w:color w:val="231F20"/>
        </w:rPr>
        <w:t>Portal</w:t>
      </w:r>
      <w:r>
        <w:rPr>
          <w:color w:val="231F20"/>
          <w:spacing w:val="10"/>
        </w:rPr>
        <w:t> </w:t>
      </w:r>
      <w:r>
        <w:rPr>
          <w:color w:val="231F20"/>
        </w:rPr>
        <w:t>uses</w:t>
      </w:r>
      <w:r>
        <w:rPr>
          <w:color w:val="231F20"/>
          <w:spacing w:val="9"/>
        </w:rPr>
        <w:t> </w:t>
      </w:r>
      <w:r>
        <w:rPr>
          <w:color w:val="231F20"/>
        </w:rPr>
        <w:t>the</w:t>
      </w:r>
      <w:r>
        <w:rPr>
          <w:color w:val="231F20"/>
          <w:spacing w:val="10"/>
        </w:rPr>
        <w:t> </w:t>
      </w:r>
      <w:r>
        <w:rPr>
          <w:color w:val="231F20"/>
        </w:rPr>
        <w:t>TEPS</w:t>
      </w:r>
      <w:r>
        <w:rPr>
          <w:color w:val="231F20"/>
          <w:spacing w:val="10"/>
        </w:rPr>
        <w:t> </w:t>
      </w:r>
      <w:r>
        <w:rPr>
          <w:color w:val="231F20"/>
        </w:rPr>
        <w:t>database</w:t>
      </w:r>
      <w:r>
        <w:rPr>
          <w:color w:val="231F20"/>
          <w:spacing w:val="9"/>
        </w:rPr>
        <w:t> </w:t>
      </w:r>
      <w:r>
        <w:rPr>
          <w:color w:val="231F20"/>
        </w:rPr>
        <w:t>to</w:t>
      </w:r>
      <w:r>
        <w:rPr>
          <w:color w:val="231F20"/>
          <w:spacing w:val="10"/>
        </w:rPr>
        <w:t> </w:t>
      </w:r>
      <w:r>
        <w:rPr>
          <w:color w:val="231F20"/>
        </w:rPr>
        <w:t>locally</w:t>
      </w:r>
      <w:r>
        <w:rPr>
          <w:color w:val="231F20"/>
          <w:spacing w:val="10"/>
        </w:rPr>
        <w:t> </w:t>
      </w:r>
      <w:r>
        <w:rPr>
          <w:color w:val="231F20"/>
        </w:rPr>
        <w:t>validate</w:t>
      </w:r>
      <w:r>
        <w:rPr>
          <w:color w:val="231F20"/>
          <w:spacing w:val="9"/>
        </w:rPr>
        <w:t> </w:t>
      </w:r>
      <w:r>
        <w:rPr>
          <w:color w:val="231F20"/>
        </w:rPr>
        <w:t>users.</w:t>
      </w:r>
      <w:r>
        <w:rPr>
          <w:color w:val="231F20"/>
          <w:spacing w:val="10"/>
        </w:rPr>
        <w:t> </w:t>
      </w:r>
      <w:r>
        <w:rPr>
          <w:color w:val="231F20"/>
          <w:spacing w:val="-5"/>
        </w:rPr>
        <w:t>If</w:t>
      </w:r>
    </w:p>
    <w:p>
      <w:pPr>
        <w:spacing w:after="0" w:line="258" w:lineRule="exact"/>
        <w:jc w:val="both"/>
        <w:sectPr>
          <w:pgSz w:w="12240" w:h="15840"/>
          <w:pgMar w:header="0" w:footer="736" w:top="1220" w:bottom="920" w:left="1000" w:right="1060"/>
        </w:sectPr>
      </w:pPr>
    </w:p>
    <w:p>
      <w:pPr>
        <w:pStyle w:val="BodyText"/>
        <w:spacing w:line="213" w:lineRule="auto" w:before="85"/>
        <w:ind w:left="2951" w:right="636"/>
      </w:pPr>
      <w:r>
        <w:rPr>
          <w:color w:val="231F20"/>
        </w:rPr>
        <w:t>your hub monitoring server is set for user validation (Windows </w:t>
      </w:r>
      <w:r>
        <w:rPr>
          <w:color w:val="231F20"/>
        </w:rPr>
        <w:t>default), the user ID is also validated at the monitoring server to verify the </w:t>
      </w:r>
      <w:r>
        <w:rPr>
          <w:color w:val="231F20"/>
          <w:spacing w:val="-2"/>
        </w:rPr>
        <w:t>password.</w:t>
      </w:r>
    </w:p>
    <w:p>
      <w:pPr>
        <w:pStyle w:val="BodyText"/>
        <w:spacing w:line="213" w:lineRule="auto" w:before="117"/>
        <w:ind w:left="2951" w:right="493"/>
      </w:pPr>
      <w:r>
        <w:rPr>
          <w:color w:val="231F20"/>
        </w:rPr>
        <w:t>The portal server did not validate the user credentials as entered. For the “Unable to process logon request” message, the portal server was able to validate the user credentials but did not complete the logon request. In either case, have the user try logging on again. If the message is </w:t>
      </w:r>
      <w:r>
        <w:rPr>
          <w:color w:val="231F20"/>
        </w:rPr>
        <w:t>displayed again, do the following:</w:t>
      </w:r>
    </w:p>
    <w:p>
      <w:pPr>
        <w:pStyle w:val="ListParagraph"/>
        <w:numPr>
          <w:ilvl w:val="0"/>
          <w:numId w:val="166"/>
        </w:numPr>
        <w:tabs>
          <w:tab w:pos="3267" w:val="left" w:leader="none"/>
        </w:tabs>
        <w:spacing w:line="213" w:lineRule="auto" w:before="57" w:after="0"/>
        <w:ind w:left="3267" w:right="483" w:hanging="316"/>
        <w:jc w:val="left"/>
        <w:rPr>
          <w:sz w:val="20"/>
        </w:rPr>
      </w:pPr>
      <w:r>
        <w:rPr>
          <w:color w:val="231F20"/>
          <w:sz w:val="20"/>
        </w:rPr>
        <w:t>On the system where the monitoring server is installed, ensure that </w:t>
      </w:r>
      <w:r>
        <w:rPr>
          <w:color w:val="231F20"/>
          <w:sz w:val="20"/>
        </w:rPr>
        <w:t>the server is running in </w:t>
      </w:r>
      <w:r>
        <w:rPr>
          <w:color w:val="231F20"/>
          <w:spacing w:val="15"/>
          <w:position w:val="-1"/>
          <w:sz w:val="20"/>
        </w:rPr>
        <w:drawing>
          <wp:inline distT="0" distB="0" distL="0" distR="0">
            <wp:extent cx="76200" cy="101600"/>
            <wp:effectExtent l="0" t="0" r="0" b="0"/>
            <wp:docPr id="3009" name="Image 3009"/>
            <wp:cNvGraphicFramePr>
              <a:graphicFrameLocks/>
            </wp:cNvGraphicFramePr>
            <a:graphic>
              <a:graphicData uri="http://schemas.openxmlformats.org/drawingml/2006/picture">
                <pic:pic>
                  <pic:nvPicPr>
                    <pic:cNvPr id="3009" name="Image 3009"/>
                    <pic:cNvPicPr/>
                  </pic:nvPicPr>
                  <pic:blipFill>
                    <a:blip r:embed="rId338" cstate="print"/>
                    <a:stretch>
                      <a:fillRect/>
                    </a:stretch>
                  </pic:blipFill>
                  <pic:spPr>
                    <a:xfrm>
                      <a:off x="0" y="0"/>
                      <a:ext cx="762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Manage Tivoli Monitoring Services.</w:t>
      </w:r>
    </w:p>
    <w:p>
      <w:pPr>
        <w:pStyle w:val="ListParagraph"/>
        <w:numPr>
          <w:ilvl w:val="0"/>
          <w:numId w:val="166"/>
        </w:numPr>
        <w:tabs>
          <w:tab w:pos="3267" w:val="left" w:leader="none"/>
        </w:tabs>
        <w:spacing w:line="213" w:lineRule="auto" w:before="58" w:after="0"/>
        <w:ind w:left="3267" w:right="436" w:hanging="316"/>
        <w:jc w:val="left"/>
        <w:rPr>
          <w:sz w:val="20"/>
        </w:rPr>
      </w:pPr>
      <w:r>
        <w:rPr>
          <w:color w:val="231F20"/>
          <w:sz w:val="20"/>
        </w:rPr>
        <w:t>If the monitoring server is running, ensure that the user ID has been defined in Tivoli Enterprise Portal: Click</w:t>
      </w:r>
      <w:r>
        <w:rPr>
          <w:color w:val="231F20"/>
          <w:spacing w:val="26"/>
          <w:sz w:val="20"/>
        </w:rPr>
        <w:t> </w:t>
      </w:r>
      <w:r>
        <w:rPr>
          <w:color w:val="231F20"/>
          <w:spacing w:val="-15"/>
          <w:position w:val="-1"/>
          <w:sz w:val="20"/>
        </w:rPr>
        <w:drawing>
          <wp:inline distT="0" distB="0" distL="0" distR="0">
            <wp:extent cx="82550" cy="101600"/>
            <wp:effectExtent l="0" t="0" r="0" b="0"/>
            <wp:docPr id="3010" name="Image 3010"/>
            <wp:cNvGraphicFramePr>
              <a:graphicFrameLocks/>
            </wp:cNvGraphicFramePr>
            <a:graphic>
              <a:graphicData uri="http://schemas.openxmlformats.org/drawingml/2006/picture">
                <pic:pic>
                  <pic:nvPicPr>
                    <pic:cNvPr id="3010" name="Image 3010"/>
                    <pic:cNvPicPr/>
                  </pic:nvPicPr>
                  <pic:blipFill>
                    <a:blip r:embed="rId32" cstate="print"/>
                    <a:stretch>
                      <a:fillRect/>
                    </a:stretch>
                  </pic:blipFill>
                  <pic:spPr>
                    <a:xfrm>
                      <a:off x="0" y="0"/>
                      <a:ext cx="8255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Administer Users</w:t>
      </w:r>
      <w:r>
        <w:rPr>
          <w:color w:val="231F20"/>
          <w:sz w:val="20"/>
        </w:rPr>
        <w:t>, then </w:t>
      </w:r>
      <w:r>
        <w:rPr>
          <w:color w:val="231F20"/>
          <w:sz w:val="20"/>
        </w:rPr>
        <w:t>find the ID in the </w:t>
      </w:r>
      <w:r>
        <w:rPr>
          <w:rFonts w:ascii="Book Antiqua"/>
          <w:b/>
          <w:color w:val="231F20"/>
          <w:sz w:val="20"/>
        </w:rPr>
        <w:t>Users </w:t>
      </w:r>
      <w:r>
        <w:rPr>
          <w:color w:val="231F20"/>
          <w:sz w:val="20"/>
        </w:rPr>
        <w:t>list.</w:t>
      </w:r>
    </w:p>
    <w:p>
      <w:pPr>
        <w:pStyle w:val="ListParagraph"/>
        <w:numPr>
          <w:ilvl w:val="0"/>
          <w:numId w:val="166"/>
        </w:numPr>
        <w:tabs>
          <w:tab w:pos="3267" w:val="left" w:leader="none"/>
        </w:tabs>
        <w:spacing w:line="213" w:lineRule="auto" w:before="58" w:after="0"/>
        <w:ind w:left="3267" w:right="447" w:hanging="316"/>
        <w:jc w:val="left"/>
        <w:rPr>
          <w:sz w:val="20"/>
        </w:rPr>
      </w:pPr>
      <w:r>
        <w:rPr>
          <w:color w:val="231F20"/>
          <w:sz w:val="20"/>
        </w:rPr>
        <w:t>If the user has been defined, check if host level security was turned on</w:t>
      </w:r>
      <w:r>
        <w:rPr>
          <w:color w:val="231F20"/>
          <w:spacing w:val="40"/>
          <w:sz w:val="20"/>
        </w:rPr>
        <w:t> </w:t>
      </w:r>
      <w:r>
        <w:rPr>
          <w:color w:val="231F20"/>
          <w:sz w:val="20"/>
        </w:rPr>
        <w:t>for the hub monitoring server and that the user ID has been </w:t>
      </w:r>
      <w:r>
        <w:rPr>
          <w:color w:val="231F20"/>
          <w:sz w:val="20"/>
        </w:rPr>
        <w:t>authorized</w:t>
      </w:r>
      <w:r>
        <w:rPr>
          <w:color w:val="231F20"/>
          <w:spacing w:val="40"/>
          <w:sz w:val="20"/>
        </w:rPr>
        <w:t> </w:t>
      </w:r>
      <w:r>
        <w:rPr>
          <w:color w:val="231F20"/>
          <w:sz w:val="20"/>
        </w:rPr>
        <w:t>to the host environment:</w:t>
      </w:r>
    </w:p>
    <w:p>
      <w:pPr>
        <w:spacing w:line="213" w:lineRule="auto" w:before="58"/>
        <w:ind w:left="3267" w:right="545" w:firstLine="0"/>
        <w:jc w:val="left"/>
        <w:rPr>
          <w:sz w:val="20"/>
        </w:rPr>
      </w:pPr>
      <w:r>
        <w:rPr>
          <w:color w:val="231F20"/>
          <w:sz w:val="20"/>
        </w:rPr>
        <w:t>In </w:t>
      </w:r>
      <w:r>
        <w:rPr>
          <w:color w:val="231F20"/>
          <w:spacing w:val="16"/>
          <w:position w:val="-1"/>
          <w:sz w:val="20"/>
        </w:rPr>
        <w:drawing>
          <wp:inline distT="0" distB="0" distL="0" distR="0">
            <wp:extent cx="76200" cy="101599"/>
            <wp:effectExtent l="0" t="0" r="0" b="0"/>
            <wp:docPr id="3011" name="Image 3011"/>
            <wp:cNvGraphicFramePr>
              <a:graphicFrameLocks/>
            </wp:cNvGraphicFramePr>
            <a:graphic>
              <a:graphicData uri="http://schemas.openxmlformats.org/drawingml/2006/picture">
                <pic:pic>
                  <pic:nvPicPr>
                    <pic:cNvPr id="3011" name="Image 3011"/>
                    <pic:cNvPicPr/>
                  </pic:nvPicPr>
                  <pic:blipFill>
                    <a:blip r:embed="rId338" cstate="print"/>
                    <a:stretch>
                      <a:fillRect/>
                    </a:stretch>
                  </pic:blipFill>
                  <pic:spPr>
                    <a:xfrm>
                      <a:off x="0" y="0"/>
                      <a:ext cx="76200" cy="101599"/>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Manage Tivoli Monitoring Services, right-click </w:t>
      </w:r>
      <w:r>
        <w:rPr>
          <w:rFonts w:ascii="Book Antiqua"/>
          <w:b/>
          <w:color w:val="231F20"/>
          <w:sz w:val="20"/>
        </w:rPr>
        <w:t>Tivoli Enterprise Monitoring Server</w:t>
      </w:r>
      <w:r>
        <w:rPr>
          <w:color w:val="231F20"/>
          <w:sz w:val="20"/>
        </w:rPr>
        <w:t>, and click </w:t>
      </w:r>
      <w:r>
        <w:rPr>
          <w:rFonts w:ascii="Book Antiqua"/>
          <w:b/>
          <w:color w:val="231F20"/>
          <w:sz w:val="20"/>
        </w:rPr>
        <w:t>Reconfigure. </w:t>
      </w:r>
      <w:r>
        <w:rPr>
          <w:color w:val="231F20"/>
          <w:sz w:val="20"/>
        </w:rPr>
        <w:t>If host level security has been configured, the </w:t>
      </w:r>
      <w:r>
        <w:rPr>
          <w:rFonts w:ascii="Book Antiqua"/>
          <w:b/>
          <w:color w:val="231F20"/>
          <w:sz w:val="20"/>
        </w:rPr>
        <w:t>Security: Validate User </w:t>
      </w:r>
      <w:r>
        <w:rPr>
          <w:color w:val="231F20"/>
          <w:sz w:val="20"/>
        </w:rPr>
        <w:t>box is selected.</w:t>
      </w:r>
    </w:p>
    <w:p>
      <w:pPr>
        <w:pStyle w:val="BodyText"/>
        <w:spacing w:line="213" w:lineRule="auto" w:before="58"/>
        <w:ind w:left="3267" w:right="545"/>
      </w:pPr>
      <w:r>
        <w:rPr>
          <w:color w:val="231F20"/>
        </w:rPr>
        <w:t>If the monitoring server has been configured to Validate User, the user ID for Tivoli Enterprise Portal must also be added to the network domain user accounts or to the operating system where the </w:t>
      </w:r>
      <w:r>
        <w:rPr>
          <w:color w:val="231F20"/>
        </w:rPr>
        <w:t>monitoring server is installed, including a password.</w:t>
      </w:r>
    </w:p>
    <w:p>
      <w:pPr>
        <w:pStyle w:val="BodyText"/>
        <w:spacing w:line="213" w:lineRule="auto" w:before="57"/>
        <w:ind w:left="3267" w:right="636"/>
      </w:pPr>
      <w:r>
        <w:rPr>
          <w:color w:val="231F20"/>
        </w:rPr>
        <w:t>If non-ASCII characters were included in the user ID, they are </w:t>
      </w:r>
      <w:r>
        <w:rPr>
          <w:color w:val="231F20"/>
        </w:rPr>
        <w:t>not saved with the user ID.</w:t>
      </w:r>
    </w:p>
    <w:p>
      <w:pPr>
        <w:pStyle w:val="ListParagraph"/>
        <w:numPr>
          <w:ilvl w:val="0"/>
          <w:numId w:val="166"/>
        </w:numPr>
        <w:tabs>
          <w:tab w:pos="3266" w:val="left" w:leader="none"/>
        </w:tabs>
        <w:spacing w:line="240" w:lineRule="auto" w:before="36" w:after="0"/>
        <w:ind w:left="3266" w:right="0" w:hanging="315"/>
        <w:jc w:val="left"/>
        <w:rPr>
          <w:sz w:val="20"/>
        </w:rPr>
      </w:pPr>
      <w:r>
        <w:rPr>
          <w:color w:val="231F20"/>
          <w:sz w:val="20"/>
        </w:rPr>
        <w:t>Try</w:t>
      </w:r>
      <w:r>
        <w:rPr>
          <w:color w:val="231F20"/>
          <w:spacing w:val="9"/>
          <w:sz w:val="20"/>
        </w:rPr>
        <w:t> </w:t>
      </w:r>
      <w:r>
        <w:rPr>
          <w:color w:val="231F20"/>
          <w:sz w:val="20"/>
        </w:rPr>
        <w:t>logging</w:t>
      </w:r>
      <w:r>
        <w:rPr>
          <w:color w:val="231F20"/>
          <w:spacing w:val="10"/>
          <w:sz w:val="20"/>
        </w:rPr>
        <w:t> </w:t>
      </w:r>
      <w:r>
        <w:rPr>
          <w:color w:val="231F20"/>
          <w:sz w:val="20"/>
        </w:rPr>
        <w:t>on</w:t>
      </w:r>
      <w:r>
        <w:rPr>
          <w:color w:val="231F20"/>
          <w:spacing w:val="9"/>
          <w:sz w:val="20"/>
        </w:rPr>
        <w:t> </w:t>
      </w:r>
      <w:r>
        <w:rPr>
          <w:color w:val="231F20"/>
          <w:sz w:val="20"/>
        </w:rPr>
        <w:t>to</w:t>
      </w:r>
      <w:r>
        <w:rPr>
          <w:color w:val="231F20"/>
          <w:spacing w:val="10"/>
          <w:sz w:val="20"/>
        </w:rPr>
        <w:t> </w:t>
      </w:r>
      <w:r>
        <w:rPr>
          <w:color w:val="231F20"/>
          <w:sz w:val="20"/>
        </w:rPr>
        <w:t>Tivoli</w:t>
      </w:r>
      <w:r>
        <w:rPr>
          <w:color w:val="231F20"/>
          <w:spacing w:val="9"/>
          <w:sz w:val="20"/>
        </w:rPr>
        <w:t> </w:t>
      </w:r>
      <w:r>
        <w:rPr>
          <w:color w:val="231F20"/>
          <w:sz w:val="20"/>
        </w:rPr>
        <w:t>Enterprise</w:t>
      </w:r>
      <w:r>
        <w:rPr>
          <w:color w:val="231F20"/>
          <w:spacing w:val="10"/>
          <w:sz w:val="20"/>
        </w:rPr>
        <w:t> </w:t>
      </w:r>
      <w:r>
        <w:rPr>
          <w:color w:val="231F20"/>
          <w:sz w:val="20"/>
        </w:rPr>
        <w:t>Portal</w:t>
      </w:r>
      <w:r>
        <w:rPr>
          <w:color w:val="231F20"/>
          <w:spacing w:val="9"/>
          <w:sz w:val="20"/>
        </w:rPr>
        <w:t> </w:t>
      </w:r>
      <w:r>
        <w:rPr>
          <w:color w:val="231F20"/>
          <w:sz w:val="20"/>
        </w:rPr>
        <w:t>with</w:t>
      </w:r>
      <w:r>
        <w:rPr>
          <w:color w:val="231F20"/>
          <w:spacing w:val="10"/>
          <w:sz w:val="20"/>
        </w:rPr>
        <w:t> </w:t>
      </w:r>
      <w:r>
        <w:rPr>
          <w:color w:val="231F20"/>
          <w:sz w:val="20"/>
        </w:rPr>
        <w:t>the</w:t>
      </w:r>
      <w:r>
        <w:rPr>
          <w:color w:val="231F20"/>
          <w:spacing w:val="10"/>
          <w:sz w:val="20"/>
        </w:rPr>
        <w:t> </w:t>
      </w:r>
      <w:r>
        <w:rPr>
          <w:color w:val="231F20"/>
          <w:sz w:val="20"/>
        </w:rPr>
        <w:t>user</w:t>
      </w:r>
      <w:r>
        <w:rPr>
          <w:color w:val="231F20"/>
          <w:spacing w:val="9"/>
          <w:sz w:val="20"/>
        </w:rPr>
        <w:t> </w:t>
      </w:r>
      <w:r>
        <w:rPr>
          <w:color w:val="231F20"/>
          <w:sz w:val="20"/>
        </w:rPr>
        <w:t>ID</w:t>
      </w:r>
      <w:r>
        <w:rPr>
          <w:color w:val="231F20"/>
          <w:spacing w:val="10"/>
          <w:sz w:val="20"/>
        </w:rPr>
        <w:t> </w:t>
      </w:r>
      <w:r>
        <w:rPr>
          <w:color w:val="231F20"/>
          <w:sz w:val="20"/>
        </w:rPr>
        <w:t>in</w:t>
      </w:r>
      <w:r>
        <w:rPr>
          <w:color w:val="231F20"/>
          <w:spacing w:val="9"/>
          <w:sz w:val="20"/>
        </w:rPr>
        <w:t> </w:t>
      </w:r>
      <w:r>
        <w:rPr>
          <w:color w:val="231F20"/>
          <w:spacing w:val="-2"/>
          <w:sz w:val="20"/>
        </w:rPr>
        <w:t>question.</w:t>
      </w:r>
    </w:p>
    <w:p>
      <w:pPr>
        <w:pStyle w:val="ListParagraph"/>
        <w:numPr>
          <w:ilvl w:val="0"/>
          <w:numId w:val="166"/>
        </w:numPr>
        <w:tabs>
          <w:tab w:pos="3267" w:val="left" w:leader="none"/>
        </w:tabs>
        <w:spacing w:line="213" w:lineRule="auto" w:before="52" w:after="0"/>
        <w:ind w:left="3267" w:right="714" w:hanging="316"/>
        <w:jc w:val="left"/>
        <w:rPr>
          <w:sz w:val="20"/>
        </w:rPr>
      </w:pPr>
      <w:r>
        <w:rPr>
          <w:color w:val="231F20"/>
          <w:sz w:val="20"/>
        </w:rPr>
        <w:t>If you cannot log on to Tivoli Enterprise Portal and the monitoring server is running properly, the problem might be with the Tivoli Enterprise Portal Server. Try recycling the portal server. If the user </w:t>
      </w:r>
      <w:r>
        <w:rPr>
          <w:color w:val="231F20"/>
          <w:sz w:val="20"/>
        </w:rPr>
        <w:t>is still unable to log on, contact IBM Software Support.</w:t>
      </w:r>
    </w:p>
    <w:p>
      <w:pPr>
        <w:pStyle w:val="BodyText"/>
        <w:spacing w:line="213" w:lineRule="auto" w:before="117"/>
        <w:ind w:left="2951" w:right="636"/>
      </w:pPr>
      <w:r>
        <w:rPr>
          <w:color w:val="231F20"/>
        </w:rPr>
        <w:t>This message is also displayed after a retry period of several minutes </w:t>
      </w:r>
      <w:r>
        <w:rPr>
          <w:color w:val="231F20"/>
        </w:rPr>
        <w:t>(the default is 10 minutes and can be changed through </w:t>
      </w:r>
      <w:r>
        <w:rPr>
          <w:color w:val="231F20"/>
          <w:spacing w:val="15"/>
          <w:position w:val="-1"/>
        </w:rPr>
        <w:drawing>
          <wp:inline distT="0" distB="0" distL="0" distR="0">
            <wp:extent cx="76200" cy="101600"/>
            <wp:effectExtent l="0" t="0" r="0" b="0"/>
            <wp:docPr id="3012" name="Image 3012"/>
            <wp:cNvGraphicFramePr>
              <a:graphicFrameLocks/>
            </wp:cNvGraphicFramePr>
            <a:graphic>
              <a:graphicData uri="http://schemas.openxmlformats.org/drawingml/2006/picture">
                <pic:pic>
                  <pic:nvPicPr>
                    <pic:cNvPr id="3012" name="Image 3012"/>
                    <pic:cNvPicPr/>
                  </pic:nvPicPr>
                  <pic:blipFill>
                    <a:blip r:embed="rId338" cstate="print"/>
                    <a:stretch>
                      <a:fillRect/>
                    </a:stretch>
                  </pic:blipFill>
                  <pic:spPr>
                    <a:xfrm>
                      <a:off x="0" y="0"/>
                      <a:ext cx="762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Manage Tivoli Monitoring Services) where the status bar shows </w:t>
      </w:r>
      <w:r>
        <w:rPr>
          <w:rFonts w:ascii="Book Antiqua"/>
          <w:b/>
          <w:color w:val="231F20"/>
        </w:rPr>
        <w:t>Validating user credentials </w:t>
      </w:r>
      <w:r>
        <w:rPr>
          <w:color w:val="231F20"/>
        </w:rPr>
        <w:t>continuously. This can be a symptom that the monitoring server is stopped.</w:t>
      </w:r>
    </w:p>
    <w:p>
      <w:pPr>
        <w:spacing w:after="0" w:line="213" w:lineRule="auto"/>
        <w:sectPr>
          <w:pgSz w:w="12240" w:h="15840"/>
          <w:pgMar w:header="0" w:footer="736" w:top="1180" w:bottom="920" w:left="1000" w:right="1060"/>
        </w:sectPr>
      </w:pPr>
    </w:p>
    <w:p>
      <w:pPr>
        <w:pStyle w:val="BodyText"/>
        <w:spacing w:line="20" w:lineRule="exact"/>
        <w:ind w:left="436"/>
        <w:rPr>
          <w:sz w:val="2"/>
        </w:rPr>
      </w:pPr>
      <w:bookmarkStart w:name="_bookmark288" w:id="591"/>
      <w:bookmarkEnd w:id="591"/>
      <w:r>
        <w:rPr/>
      </w:r>
      <w:r>
        <w:rPr>
          <w:sz w:val="2"/>
        </w:rPr>
        <mc:AlternateContent>
          <mc:Choice Requires="wps">
            <w:drawing>
              <wp:inline distT="0" distB="0" distL="0" distR="0">
                <wp:extent cx="6082665" cy="25400"/>
                <wp:effectExtent l="19050" t="0" r="3810" b="3175"/>
                <wp:docPr id="3016" name="Group 3016"/>
                <wp:cNvGraphicFramePr>
                  <a:graphicFrameLocks/>
                </wp:cNvGraphicFramePr>
                <a:graphic>
                  <a:graphicData uri="http://schemas.microsoft.com/office/word/2010/wordprocessingGroup">
                    <wpg:wgp>
                      <wpg:cNvPr id="3016" name="Group 3016"/>
                      <wpg:cNvGrpSpPr/>
                      <wpg:grpSpPr>
                        <a:xfrm>
                          <a:off x="0" y="0"/>
                          <a:ext cx="6082665" cy="25400"/>
                          <a:chExt cx="6082665" cy="25400"/>
                        </a:xfrm>
                      </wpg:grpSpPr>
                      <wps:wsp>
                        <wps:cNvPr id="3017" name="Graphic 3017"/>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46"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Chapter 13. Managing the environment" w:id="592"/>
      <w:bookmarkEnd w:id="592"/>
      <w:r>
        <w:rPr>
          <w:b w:val="0"/>
        </w:rPr>
      </w:r>
      <w:r>
        <w:rPr>
          <w:color w:val="231F20"/>
        </w:rPr>
        <w:t>Chapter</w:t>
      </w:r>
      <w:r>
        <w:rPr>
          <w:color w:val="231F20"/>
          <w:spacing w:val="-9"/>
        </w:rPr>
        <w:t> </w:t>
      </w:r>
      <w:r>
        <w:rPr>
          <w:color w:val="231F20"/>
        </w:rPr>
        <w:t>13.</w:t>
      </w:r>
      <w:r>
        <w:rPr>
          <w:color w:val="231F20"/>
          <w:spacing w:val="7"/>
        </w:rPr>
        <w:t> </w:t>
      </w:r>
      <w:r>
        <w:rPr>
          <w:color w:val="231F20"/>
        </w:rPr>
        <w:t>Managing</w:t>
      </w:r>
      <w:r>
        <w:rPr>
          <w:color w:val="231F20"/>
          <w:spacing w:val="8"/>
        </w:rPr>
        <w:t> </w:t>
      </w:r>
      <w:r>
        <w:rPr>
          <w:color w:val="231F20"/>
        </w:rPr>
        <w:t>the</w:t>
      </w:r>
      <w:r>
        <w:rPr>
          <w:color w:val="231F20"/>
          <w:spacing w:val="7"/>
        </w:rPr>
        <w:t> </w:t>
      </w:r>
      <w:r>
        <w:rPr>
          <w:color w:val="231F20"/>
          <w:spacing w:val="-2"/>
        </w:rPr>
        <w:t>environment</w:t>
      </w:r>
    </w:p>
    <w:p>
      <w:pPr>
        <w:pStyle w:val="BodyText"/>
        <w:spacing w:line="213" w:lineRule="auto" w:before="304"/>
        <w:ind w:left="2472" w:right="274"/>
      </w:pPr>
      <w:r>
        <w:rPr>
          <w:color w:val="231F20"/>
        </w:rPr>
        <w:t>Managing your Tivoli monitored environment involves monitoring and managing the availability of the components of the Tivoli Management Services </w:t>
      </w:r>
      <w:r>
        <w:rPr>
          <w:color w:val="231F20"/>
        </w:rPr>
        <w:t>infrastructure and the agents that use its services. It also involves organizing managed systems</w:t>
      </w:r>
      <w:r>
        <w:rPr>
          <w:color w:val="231F20"/>
          <w:spacing w:val="80"/>
        </w:rPr>
        <w:t> </w:t>
      </w:r>
      <w:r>
        <w:rPr>
          <w:color w:val="231F20"/>
        </w:rPr>
        <w:t>and situations into logical groupings that can be applied to situations and policy distributions with a single action.</w:t>
      </w:r>
    </w:p>
    <w:p>
      <w:pPr>
        <w:pStyle w:val="BodyText"/>
        <w:spacing w:line="213" w:lineRule="auto" w:before="236"/>
        <w:ind w:left="2472"/>
      </w:pPr>
      <w:r>
        <w:rPr>
          <w:color w:val="231F20"/>
        </w:rPr>
        <w:t>These topics describe the tools and functions you can use to monitor the status of</w:t>
      </w:r>
      <w:r>
        <w:rPr>
          <w:color w:val="231F20"/>
          <w:spacing w:val="40"/>
        </w:rPr>
        <w:t> </w:t>
      </w:r>
      <w:r>
        <w:rPr>
          <w:color w:val="231F20"/>
        </w:rPr>
        <w:t>managed systems and manage components and agents on distributed systems. See </w:t>
      </w:r>
      <w:r>
        <w:rPr>
          <w:rFonts w:ascii="Book Antiqua"/>
          <w:i/>
          <w:color w:val="231F20"/>
        </w:rPr>
        <w:t>Administering IBM Tivoli Monitoring Products </w:t>
      </w:r>
      <w:r>
        <w:rPr>
          <w:color w:val="231F20"/>
        </w:rPr>
        <w:t>for detailed information on </w:t>
      </w:r>
      <w:r>
        <w:rPr>
          <w:color w:val="231F20"/>
        </w:rPr>
        <w:t>day-to-day administrative tasks.</w:t>
      </w:r>
    </w:p>
    <w:p>
      <w:pPr>
        <w:pStyle w:val="BodyText"/>
        <w:spacing w:before="4"/>
        <w:rPr>
          <w:sz w:val="16"/>
        </w:rPr>
      </w:pPr>
      <w:r>
        <w:rPr/>
        <mc:AlternateContent>
          <mc:Choice Requires="wps">
            <w:drawing>
              <wp:anchor distT="0" distB="0" distL="0" distR="0" allowOverlap="1" layoutInCell="1" locked="0" behindDoc="1" simplePos="0" relativeHeight="487741440">
                <wp:simplePos x="0" y="0"/>
                <wp:positionH relativeFrom="page">
                  <wp:posOffset>912380</wp:posOffset>
                </wp:positionH>
                <wp:positionV relativeFrom="paragraph">
                  <wp:posOffset>155359</wp:posOffset>
                </wp:positionV>
                <wp:extent cx="6082665" cy="1270"/>
                <wp:effectExtent l="0" t="0" r="0" b="0"/>
                <wp:wrapTopAndBottom/>
                <wp:docPr id="3018" name="Graphic 3018"/>
                <wp:cNvGraphicFramePr>
                  <a:graphicFrameLocks/>
                </wp:cNvGraphicFramePr>
                <a:graphic>
                  <a:graphicData uri="http://schemas.microsoft.com/office/word/2010/wordprocessingShape">
                    <wps:wsp>
                      <wps:cNvPr id="3018" name="Graphic 301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3026pt;width:478.95pt;height:.1pt;mso-position-horizontal-relative:page;mso-position-vertical-relative:paragraph;z-index:-15575040;mso-wrap-distance-left:0;mso-wrap-distance-right:0" id="docshape247"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Grouping objects" w:id="593"/>
      <w:bookmarkEnd w:id="593"/>
      <w:r>
        <w:rPr>
          <w:b w:val="0"/>
        </w:rPr>
      </w:r>
      <w:r>
        <w:rPr>
          <w:color w:val="231F20"/>
        </w:rPr>
        <w:t>Grouping</w:t>
      </w:r>
      <w:r>
        <w:rPr>
          <w:color w:val="231F20"/>
          <w:spacing w:val="2"/>
        </w:rPr>
        <w:t> </w:t>
      </w:r>
      <w:bookmarkStart w:name="_bookmark287" w:id="594"/>
      <w:bookmarkEnd w:id="594"/>
      <w:r>
        <w:rPr>
          <w:color w:val="231F20"/>
          <w:spacing w:val="-2"/>
        </w:rPr>
        <w:t>objects</w:t>
      </w:r>
    </w:p>
    <w:p>
      <w:pPr>
        <w:pStyle w:val="BodyText"/>
        <w:spacing w:line="213" w:lineRule="auto" w:before="138"/>
        <w:ind w:left="2472" w:right="545"/>
      </w:pPr>
      <w:r>
        <w:rPr>
          <w:color w:val="231F20"/>
        </w:rPr>
        <w:t>Use the Object group editor to organize situations, managed systems, and historical configurations into named collections that can be applied with a </w:t>
      </w:r>
      <w:r>
        <w:rPr>
          <w:color w:val="231F20"/>
        </w:rPr>
        <w:t>single </w:t>
      </w:r>
      <w:r>
        <w:rPr>
          <w:color w:val="231F20"/>
          <w:spacing w:val="-2"/>
        </w:rPr>
        <w:t>action.</w:t>
      </w:r>
    </w:p>
    <w:p>
      <w:pPr>
        <w:pStyle w:val="BodyText"/>
        <w:spacing w:line="213" w:lineRule="auto" w:before="238"/>
        <w:ind w:left="2472" w:right="274"/>
      </w:pPr>
      <w:r>
        <w:rPr>
          <w:color w:val="231F20"/>
        </w:rPr>
        <w:t>Situations in groups can be started or stopped, and they can be distributed to managed systems. Managed systems can be assigned as a group to custom Navigator view items, to situation distribution lists, to policy distribution lists, </w:t>
      </w:r>
      <w:r>
        <w:rPr>
          <w:color w:val="231F20"/>
        </w:rPr>
        <w:t>and to historical collection configurations. Similarly, historical collections in groups can be distributed to managed systems as if they were a single collection.</w:t>
      </w:r>
    </w:p>
    <w:p>
      <w:pPr>
        <w:pStyle w:val="Heading3"/>
        <w:spacing w:before="215"/>
        <w:ind w:left="1574"/>
      </w:pPr>
      <w:bookmarkStart w:name="Object group editor" w:id="595"/>
      <w:bookmarkEnd w:id="595"/>
      <w:r>
        <w:rPr>
          <w:b w:val="0"/>
        </w:rPr>
      </w:r>
      <w:r>
        <w:rPr>
          <w:color w:val="231F20"/>
        </w:rPr>
        <w:t>Object</w:t>
      </w:r>
      <w:r>
        <w:rPr>
          <w:color w:val="231F20"/>
          <w:spacing w:val="6"/>
        </w:rPr>
        <w:t> </w:t>
      </w:r>
      <w:r>
        <w:rPr>
          <w:color w:val="231F20"/>
        </w:rPr>
        <w:t>group</w:t>
      </w:r>
      <w:r>
        <w:rPr>
          <w:color w:val="231F20"/>
          <w:spacing w:val="7"/>
        </w:rPr>
        <w:t> </w:t>
      </w:r>
      <w:r>
        <w:rPr>
          <w:color w:val="231F20"/>
          <w:spacing w:val="-2"/>
        </w:rPr>
        <w:t>editor</w:t>
      </w:r>
    </w:p>
    <w:p>
      <w:pPr>
        <w:pStyle w:val="BodyText"/>
        <w:spacing w:line="213" w:lineRule="auto" w:before="58"/>
        <w:ind w:left="2472" w:right="274"/>
      </w:pPr>
      <w:r>
        <w:rPr>
          <w:color w:val="231F20"/>
        </w:rPr>
        <w:t>Use the Object group editor to organize Tivoli Monitoring objects (historical configurations, managed systems, and situations) into named groups that you </w:t>
      </w:r>
      <w:r>
        <w:rPr>
          <w:color w:val="231F20"/>
        </w:rPr>
        <w:t>can reference in distribution lists.</w:t>
      </w:r>
    </w:p>
    <w:p>
      <w:pPr>
        <w:pStyle w:val="BodyText"/>
        <w:spacing w:line="213" w:lineRule="auto" w:before="238"/>
        <w:ind w:left="2472" w:right="385"/>
      </w:pPr>
      <w:r>
        <w:rPr>
          <w:color w:val="231F20"/>
        </w:rPr>
        <w:t>The navigation tree shows the types of object groups that are available and any groups that have been created. Click</w:t>
      </w:r>
      <w:r>
        <w:rPr>
          <w:color w:val="231F20"/>
          <w:spacing w:val="40"/>
        </w:rPr>
        <w:t> </w:t>
      </w:r>
      <w:r>
        <w:rPr>
          <w:color w:val="231F20"/>
          <w:spacing w:val="5"/>
        </w:rPr>
        <w:drawing>
          <wp:inline distT="0" distB="0" distL="0" distR="0">
            <wp:extent cx="69850" cy="69850"/>
            <wp:effectExtent l="0" t="0" r="0" b="0"/>
            <wp:docPr id="3019" name="Image 3019"/>
            <wp:cNvGraphicFramePr>
              <a:graphicFrameLocks/>
            </wp:cNvGraphicFramePr>
            <a:graphic>
              <a:graphicData uri="http://schemas.openxmlformats.org/drawingml/2006/picture">
                <pic:pic>
                  <pic:nvPicPr>
                    <pic:cNvPr id="3019" name="Image 3019"/>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rPr>
      </w:r>
      <w:r>
        <w:rPr>
          <w:rFonts w:ascii="Times New Roman"/>
          <w:color w:val="231F20"/>
          <w:spacing w:val="80"/>
        </w:rPr>
        <w:t> </w:t>
      </w:r>
      <w:r>
        <w:rPr>
          <w:color w:val="231F20"/>
        </w:rPr>
        <w:t>to expand the list of groups for the object</w:t>
      </w:r>
      <w:r>
        <w:rPr>
          <w:color w:val="231F20"/>
          <w:spacing w:val="40"/>
        </w:rPr>
        <w:t> </w:t>
      </w:r>
      <w:r>
        <w:rPr>
          <w:color w:val="231F20"/>
        </w:rPr>
        <w:t>type. Some object types have categories that expand to show their groups. To replace this user assistance with an object group definition, do either of the </w:t>
      </w:r>
      <w:r>
        <w:rPr>
          <w:color w:val="231F20"/>
          <w:spacing w:val="-2"/>
        </w:rPr>
        <w:t>following:</w:t>
      </w:r>
    </w:p>
    <w:p>
      <w:pPr>
        <w:pStyle w:val="BodyText"/>
        <w:spacing w:before="33"/>
        <w:ind w:left="2472"/>
      </w:pPr>
      <w:r>
        <w:rPr>
          <w:rFonts w:ascii="Futura MdCn BT"/>
          <w:color w:val="231F20"/>
        </w:rPr>
        <w:t>v</w:t>
      </w:r>
      <w:r>
        <w:rPr>
          <w:rFonts w:ascii="Futura MdCn BT"/>
          <w:color w:val="231F20"/>
          <w:spacing w:val="33"/>
        </w:rPr>
        <w:t>  </w:t>
      </w:r>
      <w:r>
        <w:rPr>
          <w:color w:val="231F20"/>
        </w:rPr>
        <w:t>Click</w:t>
      </w:r>
      <w:r>
        <w:rPr>
          <w:color w:val="231F20"/>
          <w:spacing w:val="15"/>
        </w:rPr>
        <w:t> </w:t>
      </w:r>
      <w:r>
        <w:rPr>
          <w:color w:val="231F20"/>
        </w:rPr>
        <w:t>a</w:t>
      </w:r>
      <w:r>
        <w:rPr>
          <w:color w:val="231F20"/>
          <w:spacing w:val="23"/>
        </w:rPr>
        <w:t> </w:t>
      </w:r>
      <w:r>
        <w:rPr>
          <w:color w:val="231F20"/>
          <w:spacing w:val="-24"/>
          <w:position w:val="-1"/>
        </w:rPr>
        <w:drawing>
          <wp:inline distT="0" distB="0" distL="0" distR="0">
            <wp:extent cx="88900" cy="88900"/>
            <wp:effectExtent l="0" t="0" r="0" b="0"/>
            <wp:docPr id="3020" name="Image 3020"/>
            <wp:cNvGraphicFramePr>
              <a:graphicFrameLocks/>
            </wp:cNvGraphicFramePr>
            <a:graphic>
              <a:graphicData uri="http://schemas.openxmlformats.org/drawingml/2006/picture">
                <pic:pic>
                  <pic:nvPicPr>
                    <pic:cNvPr id="3020" name="Image 3020"/>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4"/>
          <w:position w:val="-1"/>
        </w:rPr>
      </w:r>
      <w:r>
        <w:rPr>
          <w:rFonts w:ascii="Times New Roman"/>
          <w:color w:val="231F20"/>
          <w:spacing w:val="70"/>
          <w:w w:val="150"/>
        </w:rPr>
        <w:t> </w:t>
      </w:r>
      <w:r>
        <w:rPr>
          <w:color w:val="231F20"/>
        </w:rPr>
        <w:t>group</w:t>
      </w:r>
      <w:r>
        <w:rPr>
          <w:color w:val="231F20"/>
          <w:spacing w:val="14"/>
        </w:rPr>
        <w:t> </w:t>
      </w:r>
      <w:r>
        <w:rPr>
          <w:color w:val="231F20"/>
          <w:spacing w:val="-4"/>
        </w:rPr>
        <w:t>name.</w:t>
      </w:r>
    </w:p>
    <w:p>
      <w:pPr>
        <w:pStyle w:val="BodyText"/>
        <w:spacing w:line="213" w:lineRule="auto" w:before="53"/>
        <w:ind w:left="2688" w:right="493" w:hanging="216"/>
      </w:pPr>
      <w:r>
        <w:rPr>
          <w:rFonts w:ascii="Futura MdCn BT"/>
          <w:color w:val="231F20"/>
        </w:rPr>
        <w:t>v</w:t>
      </w:r>
      <w:r>
        <w:rPr>
          <w:rFonts w:ascii="Futura MdCn BT"/>
          <w:color w:val="231F20"/>
          <w:spacing w:val="80"/>
        </w:rPr>
        <w:t> </w:t>
      </w:r>
      <w:r>
        <w:rPr>
          <w:color w:val="231F20"/>
        </w:rPr>
        <w:t>Click a group type, click</w:t>
      </w:r>
      <w:r>
        <w:rPr>
          <w:color w:val="231F20"/>
          <w:spacing w:val="20"/>
        </w:rPr>
        <w:t> </w:t>
      </w:r>
      <w:r>
        <w:rPr>
          <w:color w:val="231F20"/>
          <w:spacing w:val="-25"/>
          <w:position w:val="-1"/>
        </w:rPr>
        <w:drawing>
          <wp:inline distT="0" distB="0" distL="0" distR="0">
            <wp:extent cx="95250" cy="101600"/>
            <wp:effectExtent l="0" t="0" r="0" b="0"/>
            <wp:docPr id="3021" name="Image 3021"/>
            <wp:cNvGraphicFramePr>
              <a:graphicFrameLocks/>
            </wp:cNvGraphicFramePr>
            <a:graphic>
              <a:graphicData uri="http://schemas.openxmlformats.org/drawingml/2006/picture">
                <pic:pic>
                  <pic:nvPicPr>
                    <pic:cNvPr id="3021" name="Image 3021"/>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rPr>
      </w:r>
      <w:r>
        <w:rPr>
          <w:rFonts w:ascii="Times New Roman"/>
          <w:color w:val="231F20"/>
          <w:spacing w:val="80"/>
        </w:rPr>
        <w:t> </w:t>
      </w:r>
      <w:r>
        <w:rPr>
          <w:rFonts w:ascii="Book Antiqua"/>
          <w:b/>
          <w:color w:val="231F20"/>
        </w:rPr>
        <w:t>Create new group</w:t>
      </w:r>
      <w:r>
        <w:rPr>
          <w:color w:val="231F20"/>
        </w:rPr>
        <w:t>, and enter a name </w:t>
      </w:r>
      <w:r>
        <w:rPr>
          <w:color w:val="231F20"/>
        </w:rPr>
        <w:t>and</w:t>
      </w:r>
      <w:r>
        <w:rPr>
          <w:color w:val="231F20"/>
        </w:rPr>
        <w:t> </w:t>
      </w:r>
      <w:r>
        <w:rPr>
          <w:color w:val="231F20"/>
          <w:spacing w:val="-2"/>
        </w:rPr>
        <w:t>description.</w:t>
      </w:r>
    </w:p>
    <w:p>
      <w:pPr>
        <w:pStyle w:val="BodyText"/>
        <w:spacing w:line="213" w:lineRule="auto" w:before="238"/>
        <w:ind w:left="2472" w:right="488"/>
      </w:pPr>
      <w:r>
        <w:rPr>
          <w:color w:val="231F20"/>
        </w:rPr>
        <w:t>The object definition has tabs that show the objects that are assigned to the group and those that are available. When a member of a group is an object group itself,</w:t>
      </w:r>
      <w:r>
        <w:rPr>
          <w:color w:val="231F20"/>
          <w:spacing w:val="40"/>
        </w:rPr>
        <w:t> </w:t>
      </w:r>
      <w:r>
        <w:rPr>
          <w:color w:val="231F20"/>
        </w:rPr>
        <w:t>you can select it to see its constituents. You can assign individual objects to a</w:t>
      </w:r>
      <w:r>
        <w:rPr>
          <w:color w:val="231F20"/>
          <w:spacing w:val="80"/>
        </w:rPr>
        <w:t> </w:t>
      </w:r>
      <w:r>
        <w:rPr>
          <w:color w:val="231F20"/>
        </w:rPr>
        <w:t>group and you can assign a group to another group, thus creating nested groups.</w:t>
      </w:r>
    </w:p>
    <w:p>
      <w:pPr>
        <w:pStyle w:val="Heading6"/>
        <w:spacing w:before="116"/>
      </w:pPr>
      <w:r>
        <w:rPr>
          <w:color w:val="231F20"/>
        </w:rPr>
        <w:t>Historical</w:t>
      </w:r>
      <w:r>
        <w:rPr>
          <w:color w:val="231F20"/>
          <w:spacing w:val="7"/>
        </w:rPr>
        <w:t> </w:t>
      </w:r>
      <w:r>
        <w:rPr>
          <w:color w:val="231F20"/>
          <w:spacing w:val="-2"/>
        </w:rPr>
        <w:t>configurations</w:t>
      </w:r>
    </w:p>
    <w:p>
      <w:pPr>
        <w:pStyle w:val="BodyText"/>
        <w:spacing w:line="213" w:lineRule="auto" w:before="11"/>
        <w:ind w:left="3190" w:right="258"/>
      </w:pPr>
      <w:r>
        <w:rPr>
          <w:color w:val="231F20"/>
        </w:rPr>
        <w:t>Use historical configuration groups to combine related historical </w:t>
      </w:r>
      <w:r>
        <w:rPr>
          <w:color w:val="231F20"/>
        </w:rPr>
        <w:t>collections into groups. You can then control collection for the group rather than</w:t>
      </w:r>
      <w:r>
        <w:rPr>
          <w:color w:val="231F20"/>
          <w:spacing w:val="80"/>
        </w:rPr>
        <w:t> </w:t>
      </w:r>
      <w:r>
        <w:rPr>
          <w:color w:val="231F20"/>
        </w:rPr>
        <w:t>having to select collection definitions individually.</w:t>
      </w:r>
    </w:p>
    <w:p>
      <w:pPr>
        <w:pStyle w:val="Heading6"/>
        <w:spacing w:before="116"/>
        <w:ind w:left="3190"/>
      </w:pPr>
      <w:r>
        <w:rPr>
          <w:b w:val="0"/>
          <w:position w:val="-1"/>
        </w:rPr>
        <w:drawing>
          <wp:inline distT="0" distB="0" distL="0" distR="0">
            <wp:extent cx="101600" cy="95250"/>
            <wp:effectExtent l="0" t="0" r="0" b="0"/>
            <wp:docPr id="3022" name="Image 3022"/>
            <wp:cNvGraphicFramePr>
              <a:graphicFrameLocks/>
            </wp:cNvGraphicFramePr>
            <a:graphic>
              <a:graphicData uri="http://schemas.openxmlformats.org/drawingml/2006/picture">
                <pic:pic>
                  <pic:nvPicPr>
                    <pic:cNvPr id="3022" name="Image 3022"/>
                    <pic:cNvPicPr/>
                  </pic:nvPicPr>
                  <pic:blipFill>
                    <a:blip r:embed="rId29" cstate="print"/>
                    <a:stretch>
                      <a:fillRect/>
                    </a:stretch>
                  </pic:blipFill>
                  <pic:spPr>
                    <a:xfrm>
                      <a:off x="0" y="0"/>
                      <a:ext cx="101600" cy="95250"/>
                    </a:xfrm>
                    <a:prstGeom prst="rect">
                      <a:avLst/>
                    </a:prstGeom>
                  </pic:spPr>
                </pic:pic>
              </a:graphicData>
            </a:graphic>
          </wp:inline>
        </w:drawing>
      </w:r>
      <w:r>
        <w:rPr>
          <w:b w:val="0"/>
          <w:position w:val="-1"/>
        </w:rPr>
      </w:r>
      <w:r>
        <w:rPr>
          <w:rFonts w:ascii="Times New Roman"/>
          <w:b w:val="0"/>
          <w:spacing w:val="40"/>
        </w:rPr>
        <w:t> </w:t>
      </w:r>
      <w:r>
        <w:rPr>
          <w:color w:val="231F20"/>
        </w:rPr>
        <w:t>Members</w:t>
      </w:r>
    </w:p>
    <w:p>
      <w:pPr>
        <w:pStyle w:val="BodyText"/>
        <w:spacing w:line="213" w:lineRule="auto" w:before="12"/>
        <w:ind w:left="3909" w:right="545"/>
      </w:pPr>
      <w:r>
        <w:rPr>
          <w:color w:val="231F20"/>
        </w:rPr>
        <w:t>The text boxes show the historical configuration members of a group, as well as any groups that are contained in (members </w:t>
      </w:r>
      <w:r>
        <w:rPr>
          <w:color w:val="231F20"/>
        </w:rPr>
        <w:t>of)</w:t>
      </w:r>
    </w:p>
    <w:p>
      <w:pPr>
        <w:spacing w:after="0" w:line="213" w:lineRule="auto"/>
        <w:sectPr>
          <w:footerReference w:type="default" r:id="rId459"/>
          <w:footerReference w:type="even" r:id="rId460"/>
          <w:pgSz w:w="12240" w:h="15840"/>
          <w:pgMar w:header="0" w:footer="736" w:top="1300" w:bottom="920" w:left="1000" w:right="1060"/>
          <w:pgNumType w:start="381"/>
        </w:sectPr>
      </w:pPr>
    </w:p>
    <w:p>
      <w:pPr>
        <w:pStyle w:val="BodyText"/>
        <w:spacing w:line="213" w:lineRule="auto" w:before="85"/>
        <w:ind w:left="3669" w:right="545"/>
      </w:pPr>
      <w:r>
        <w:rPr>
          <w:color w:val="231F20"/>
        </w:rPr>
        <w:t>other object groups, and any that are available for inclusion in </w:t>
      </w:r>
      <w:r>
        <w:rPr>
          <w:color w:val="231F20"/>
        </w:rPr>
        <w:t>a group. Individual members represent historical collection definitions for an attribute group.</w:t>
      </w:r>
    </w:p>
    <w:p>
      <w:pPr>
        <w:pStyle w:val="Heading6"/>
        <w:spacing w:before="116"/>
        <w:ind w:left="2961"/>
      </w:pPr>
      <w:r>
        <w:rPr>
          <w:b w:val="0"/>
          <w:position w:val="-1"/>
        </w:rPr>
        <w:drawing>
          <wp:inline distT="0" distB="0" distL="0" distR="0">
            <wp:extent cx="88900" cy="88900"/>
            <wp:effectExtent l="0" t="0" r="0" b="0"/>
            <wp:docPr id="3023" name="Image 3023"/>
            <wp:cNvGraphicFramePr>
              <a:graphicFrameLocks/>
            </wp:cNvGraphicFramePr>
            <a:graphic>
              <a:graphicData uri="http://schemas.openxmlformats.org/drawingml/2006/picture">
                <pic:pic>
                  <pic:nvPicPr>
                    <pic:cNvPr id="3023" name="Image 3023"/>
                    <pic:cNvPicPr/>
                  </pic:nvPicPr>
                  <pic:blipFill>
                    <a:blip r:embed="rId35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80"/>
        </w:rPr>
        <w:t> </w:t>
      </w:r>
      <w:r>
        <w:rPr>
          <w:color w:val="231F20"/>
        </w:rPr>
        <w:t>Member of</w:t>
      </w:r>
    </w:p>
    <w:p>
      <w:pPr>
        <w:pStyle w:val="BodyText"/>
        <w:spacing w:line="213" w:lineRule="auto" w:before="11"/>
        <w:ind w:left="3669" w:right="385"/>
      </w:pPr>
      <w:r>
        <w:rPr>
          <w:color w:val="231F20"/>
        </w:rPr>
        <w:t>This tab shows any groups that the selected historical </w:t>
      </w:r>
      <w:r>
        <w:rPr>
          <w:color w:val="231F20"/>
        </w:rPr>
        <w:t>configuration group belongs to and any that are available.</w:t>
      </w:r>
    </w:p>
    <w:p>
      <w:pPr>
        <w:pStyle w:val="Heading6"/>
        <w:spacing w:before="118"/>
        <w:ind w:left="2961"/>
      </w:pPr>
      <w:r>
        <w:rPr>
          <w:b w:val="0"/>
          <w:position w:val="-1"/>
        </w:rPr>
        <w:drawing>
          <wp:inline distT="0" distB="0" distL="0" distR="0">
            <wp:extent cx="95250" cy="95250"/>
            <wp:effectExtent l="0" t="0" r="0" b="0"/>
            <wp:docPr id="3024" name="Image 3024"/>
            <wp:cNvGraphicFramePr>
              <a:graphicFrameLocks/>
            </wp:cNvGraphicFramePr>
            <a:graphic>
              <a:graphicData uri="http://schemas.openxmlformats.org/drawingml/2006/picture">
                <pic:pic>
                  <pic:nvPicPr>
                    <pic:cNvPr id="3024" name="Image 3024"/>
                    <pic:cNvPicPr/>
                  </pic:nvPicPr>
                  <pic:blipFill>
                    <a:blip r:embed="rId84"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Distributions</w:t>
      </w:r>
    </w:p>
    <w:p>
      <w:pPr>
        <w:pStyle w:val="BodyText"/>
        <w:spacing w:line="213" w:lineRule="auto" w:before="11"/>
        <w:ind w:left="3669" w:right="545"/>
      </w:pPr>
      <w:r>
        <w:rPr>
          <w:color w:val="231F20"/>
        </w:rPr>
        <w:t>The distributions are the managed systems and managed system groups that the historical configuration group is distributed to, as well as any available managed systems and groups. Select a managed system group to see its constituent objects in the </w:t>
      </w:r>
      <w:r>
        <w:rPr>
          <w:color w:val="231F20"/>
        </w:rPr>
        <w:t>Selected Assigned Object Members or Selected Available Object Members</w:t>
      </w:r>
      <w:r>
        <w:rPr>
          <w:color w:val="231F20"/>
          <w:spacing w:val="40"/>
        </w:rPr>
        <w:t> </w:t>
      </w:r>
      <w:r>
        <w:rPr>
          <w:color w:val="231F20"/>
          <w:spacing w:val="-2"/>
        </w:rPr>
        <w:t>list.</w:t>
      </w:r>
    </w:p>
    <w:p>
      <w:pPr>
        <w:pStyle w:val="Heading6"/>
        <w:spacing w:before="114"/>
        <w:ind w:left="2232"/>
      </w:pPr>
      <w:r>
        <w:rPr>
          <w:color w:val="231F20"/>
        </w:rPr>
        <w:t>Managed</w:t>
      </w:r>
      <w:r>
        <w:rPr>
          <w:color w:val="231F20"/>
          <w:spacing w:val="7"/>
        </w:rPr>
        <w:t> </w:t>
      </w:r>
      <w:r>
        <w:rPr>
          <w:color w:val="231F20"/>
          <w:spacing w:val="-2"/>
        </w:rPr>
        <w:t>system</w:t>
      </w:r>
    </w:p>
    <w:p>
      <w:pPr>
        <w:pStyle w:val="BodyText"/>
        <w:spacing w:line="213" w:lineRule="auto" w:before="12"/>
        <w:ind w:left="2951" w:right="385"/>
      </w:pPr>
      <w:r>
        <w:rPr>
          <w:color w:val="231F20"/>
        </w:rPr>
        <w:t>Any</w:t>
      </w:r>
      <w:r>
        <w:rPr>
          <w:color w:val="231F20"/>
          <w:spacing w:val="29"/>
        </w:rPr>
        <w:t> </w:t>
      </w:r>
      <w:r>
        <w:rPr>
          <w:color w:val="231F20"/>
        </w:rPr>
        <w:t>set</w:t>
      </w:r>
      <w:r>
        <w:rPr>
          <w:color w:val="231F20"/>
          <w:spacing w:val="29"/>
        </w:rPr>
        <w:t> </w:t>
      </w:r>
      <w:r>
        <w:rPr>
          <w:color w:val="231F20"/>
        </w:rPr>
        <w:t>of</w:t>
      </w:r>
      <w:r>
        <w:rPr>
          <w:color w:val="231F20"/>
          <w:spacing w:val="29"/>
        </w:rPr>
        <w:t> </w:t>
      </w:r>
      <w:r>
        <w:rPr>
          <w:color w:val="231F20"/>
        </w:rPr>
        <w:t>managed</w:t>
      </w:r>
      <w:r>
        <w:rPr>
          <w:color w:val="231F20"/>
          <w:spacing w:val="29"/>
        </w:rPr>
        <w:t> </w:t>
      </w:r>
      <w:r>
        <w:rPr>
          <w:color w:val="231F20"/>
        </w:rPr>
        <w:t>systems</w:t>
      </w:r>
      <w:r>
        <w:rPr>
          <w:color w:val="231F20"/>
          <w:spacing w:val="29"/>
        </w:rPr>
        <w:t> </w:t>
      </w:r>
      <w:r>
        <w:rPr>
          <w:color w:val="231F20"/>
        </w:rPr>
        <w:t>that</w:t>
      </w:r>
      <w:r>
        <w:rPr>
          <w:color w:val="231F20"/>
          <w:spacing w:val="29"/>
        </w:rPr>
        <w:t> </w:t>
      </w:r>
      <w:r>
        <w:rPr>
          <w:color w:val="231F20"/>
        </w:rPr>
        <w:t>have</w:t>
      </w:r>
      <w:r>
        <w:rPr>
          <w:color w:val="231F20"/>
          <w:spacing w:val="29"/>
        </w:rPr>
        <w:t> </w:t>
      </w:r>
      <w:r>
        <w:rPr>
          <w:color w:val="231F20"/>
        </w:rPr>
        <w:t>a</w:t>
      </w:r>
      <w:r>
        <w:rPr>
          <w:color w:val="231F20"/>
          <w:spacing w:val="29"/>
        </w:rPr>
        <w:t> </w:t>
      </w:r>
      <w:r>
        <w:rPr>
          <w:color w:val="231F20"/>
        </w:rPr>
        <w:t>relationship,</w:t>
      </w:r>
      <w:r>
        <w:rPr>
          <w:color w:val="231F20"/>
          <w:spacing w:val="29"/>
        </w:rPr>
        <w:t> </w:t>
      </w:r>
      <w:r>
        <w:rPr>
          <w:color w:val="231F20"/>
        </w:rPr>
        <w:t>such</w:t>
      </w:r>
      <w:r>
        <w:rPr>
          <w:color w:val="231F20"/>
          <w:spacing w:val="29"/>
        </w:rPr>
        <w:t> </w:t>
      </w:r>
      <w:r>
        <w:rPr>
          <w:color w:val="231F20"/>
        </w:rPr>
        <w:t>as</w:t>
      </w:r>
      <w:r>
        <w:rPr>
          <w:color w:val="231F20"/>
          <w:spacing w:val="29"/>
        </w:rPr>
        <w:t> </w:t>
      </w:r>
      <w:r>
        <w:rPr>
          <w:color w:val="231F20"/>
        </w:rPr>
        <w:t>by geography or business function, can be organized into a managed system group for assigning to custom Navigator views, historical collection distributions, situation distributions, or policy distributions. The </w:t>
      </w:r>
      <w:r>
        <w:rPr>
          <w:color w:val="231F20"/>
        </w:rPr>
        <w:t>navigation tree lists all the managed system types that are available, including</w:t>
      </w:r>
      <w:r>
        <w:rPr>
          <w:color w:val="231F20"/>
          <w:spacing w:val="33"/>
        </w:rPr>
        <w:t> </w:t>
      </w:r>
      <w:r>
        <w:rPr>
          <w:color w:val="231F20"/>
          <w:spacing w:val="-25"/>
          <w:position w:val="-1"/>
        </w:rPr>
        <w:drawing>
          <wp:inline distT="0" distB="0" distL="0" distR="0">
            <wp:extent cx="95250" cy="95250"/>
            <wp:effectExtent l="0" t="0" r="0" b="0"/>
            <wp:docPr id="3025" name="Image 3025"/>
            <wp:cNvGraphicFramePr>
              <a:graphicFrameLocks/>
            </wp:cNvGraphicFramePr>
            <a:graphic>
              <a:graphicData uri="http://schemas.openxmlformats.org/drawingml/2006/picture">
                <pic:pic>
                  <pic:nvPicPr>
                    <pic:cNvPr id="3025" name="Image 302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32"/>
        </w:rPr>
        <w:t> </w:t>
      </w:r>
      <w:r>
        <w:rPr>
          <w:rFonts w:ascii="Book Antiqua"/>
          <w:b/>
          <w:color w:val="231F20"/>
        </w:rPr>
        <w:t>All Managed Systems </w:t>
      </w:r>
      <w:r>
        <w:rPr>
          <w:color w:val="231F20"/>
        </w:rPr>
        <w:t>for creating managed system groups that combine multiple managed system types.</w:t>
      </w:r>
    </w:p>
    <w:p>
      <w:pPr>
        <w:pStyle w:val="Heading6"/>
        <w:spacing w:before="114"/>
        <w:ind w:left="2961"/>
      </w:pPr>
      <w:r>
        <w:rPr>
          <w:b w:val="0"/>
          <w:position w:val="-1"/>
        </w:rPr>
        <w:drawing>
          <wp:inline distT="0" distB="0" distL="0" distR="0">
            <wp:extent cx="95250" cy="95250"/>
            <wp:effectExtent l="0" t="0" r="0" b="0"/>
            <wp:docPr id="3026" name="Image 3026"/>
            <wp:cNvGraphicFramePr>
              <a:graphicFrameLocks/>
            </wp:cNvGraphicFramePr>
            <a:graphic>
              <a:graphicData uri="http://schemas.openxmlformats.org/drawingml/2006/picture">
                <pic:pic>
                  <pic:nvPicPr>
                    <pic:cNvPr id="3026" name="Image 3026"/>
                    <pic:cNvPicPr/>
                  </pic:nvPicPr>
                  <pic:blipFill>
                    <a:blip r:embed="rId84"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Members</w:t>
      </w:r>
    </w:p>
    <w:p>
      <w:pPr>
        <w:pStyle w:val="BodyText"/>
        <w:spacing w:line="213" w:lineRule="auto" w:before="11"/>
        <w:ind w:left="3669" w:right="636"/>
      </w:pPr>
      <w:r>
        <w:rPr>
          <w:color w:val="231F20"/>
        </w:rPr>
        <w:t>The text boxes show the managed system members and groups that have been assigned to the group and any members that </w:t>
      </w:r>
      <w:r>
        <w:rPr>
          <w:color w:val="231F20"/>
        </w:rPr>
        <w:t>are available for assignment. Any members that are object groups themselves can be selected from the </w:t>
      </w:r>
      <w:r>
        <w:rPr>
          <w:rFonts w:ascii="Book Antiqua"/>
          <w:i/>
          <w:color w:val="231F20"/>
        </w:rPr>
        <w:t>Members... </w:t>
      </w:r>
      <w:r>
        <w:rPr>
          <w:color w:val="231F20"/>
        </w:rPr>
        <w:t>list to see the objects that belong to it in the </w:t>
      </w:r>
      <w:r>
        <w:rPr>
          <w:rFonts w:ascii="Book Antiqua"/>
          <w:i/>
          <w:color w:val="231F20"/>
        </w:rPr>
        <w:t>Selected... </w:t>
      </w:r>
      <w:r>
        <w:rPr>
          <w:color w:val="231F20"/>
        </w:rPr>
        <w:t>list below.</w:t>
      </w:r>
    </w:p>
    <w:p>
      <w:pPr>
        <w:pStyle w:val="Heading6"/>
        <w:spacing w:before="115"/>
        <w:ind w:left="2961"/>
      </w:pPr>
      <w:r>
        <w:rPr>
          <w:b w:val="0"/>
          <w:position w:val="-1"/>
        </w:rPr>
        <w:drawing>
          <wp:inline distT="0" distB="0" distL="0" distR="0">
            <wp:extent cx="88900" cy="88900"/>
            <wp:effectExtent l="0" t="0" r="0" b="0"/>
            <wp:docPr id="3027" name="Image 3027"/>
            <wp:cNvGraphicFramePr>
              <a:graphicFrameLocks/>
            </wp:cNvGraphicFramePr>
            <a:graphic>
              <a:graphicData uri="http://schemas.openxmlformats.org/drawingml/2006/picture">
                <pic:pic>
                  <pic:nvPicPr>
                    <pic:cNvPr id="3027" name="Image 3027"/>
                    <pic:cNvPicPr/>
                  </pic:nvPicPr>
                  <pic:blipFill>
                    <a:blip r:embed="rId35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80"/>
        </w:rPr>
        <w:t> </w:t>
      </w:r>
      <w:r>
        <w:rPr>
          <w:color w:val="231F20"/>
        </w:rPr>
        <w:t>Assigned to</w:t>
      </w:r>
    </w:p>
    <w:p>
      <w:pPr>
        <w:pStyle w:val="BodyText"/>
        <w:spacing w:line="213" w:lineRule="auto" w:before="11"/>
        <w:ind w:left="3669" w:right="545"/>
      </w:pPr>
      <w:r>
        <w:rPr>
          <w:color w:val="231F20"/>
        </w:rPr>
        <w:t>Any groups that the managed system group is assigned to are</w:t>
      </w:r>
      <w:r>
        <w:rPr>
          <w:color w:val="231F20"/>
          <w:spacing w:val="40"/>
        </w:rPr>
        <w:t> </w:t>
      </w:r>
      <w:r>
        <w:rPr>
          <w:color w:val="231F20"/>
        </w:rPr>
        <w:t>shown here. If, for example, a situation or situation group has </w:t>
      </w:r>
      <w:r>
        <w:rPr>
          <w:color w:val="231F20"/>
        </w:rPr>
        <w:t>been distributed to this managed system group, that distribution will be listed here.</w:t>
      </w:r>
    </w:p>
    <w:p>
      <w:pPr>
        <w:pStyle w:val="Heading6"/>
        <w:spacing w:before="116"/>
        <w:ind w:left="2232"/>
      </w:pPr>
      <w:r>
        <w:rPr>
          <w:color w:val="231F20"/>
          <w:spacing w:val="-2"/>
        </w:rPr>
        <w:t>Situation</w:t>
      </w:r>
    </w:p>
    <w:p>
      <w:pPr>
        <w:pStyle w:val="BodyText"/>
        <w:spacing w:line="213" w:lineRule="auto" w:before="12"/>
        <w:ind w:left="2951" w:right="603"/>
      </w:pPr>
      <w:r>
        <w:rPr>
          <w:color w:val="231F20"/>
        </w:rPr>
        <w:t>If you frequently distribute a particular set of situations, create a </w:t>
      </w:r>
      <w:r>
        <w:rPr>
          <w:color w:val="231F20"/>
        </w:rPr>
        <w:t>situation object group for them. You can then distribute the group in the same way as for a single situation, thus saving time and ensuring consistency in applying your best practices.</w:t>
      </w:r>
    </w:p>
    <w:p>
      <w:pPr>
        <w:pStyle w:val="Heading6"/>
        <w:spacing w:before="115"/>
        <w:ind w:left="2951"/>
      </w:pPr>
      <w:r>
        <w:rPr>
          <w:b w:val="0"/>
          <w:position w:val="-1"/>
        </w:rPr>
        <w:drawing>
          <wp:inline distT="0" distB="0" distL="0" distR="0">
            <wp:extent cx="101600" cy="95250"/>
            <wp:effectExtent l="0" t="0" r="0" b="0"/>
            <wp:docPr id="3028" name="Image 3028"/>
            <wp:cNvGraphicFramePr>
              <a:graphicFrameLocks/>
            </wp:cNvGraphicFramePr>
            <a:graphic>
              <a:graphicData uri="http://schemas.openxmlformats.org/drawingml/2006/picture">
                <pic:pic>
                  <pic:nvPicPr>
                    <pic:cNvPr id="3028" name="Image 3028"/>
                    <pic:cNvPicPr/>
                  </pic:nvPicPr>
                  <pic:blipFill>
                    <a:blip r:embed="rId31" cstate="print"/>
                    <a:stretch>
                      <a:fillRect/>
                    </a:stretch>
                  </pic:blipFill>
                  <pic:spPr>
                    <a:xfrm>
                      <a:off x="0" y="0"/>
                      <a:ext cx="101600" cy="95250"/>
                    </a:xfrm>
                    <a:prstGeom prst="rect">
                      <a:avLst/>
                    </a:prstGeom>
                  </pic:spPr>
                </pic:pic>
              </a:graphicData>
            </a:graphic>
          </wp:inline>
        </w:drawing>
      </w:r>
      <w:r>
        <w:rPr>
          <w:b w:val="0"/>
          <w:position w:val="-1"/>
        </w:rPr>
      </w:r>
      <w:r>
        <w:rPr>
          <w:rFonts w:ascii="Times New Roman"/>
          <w:b w:val="0"/>
          <w:spacing w:val="40"/>
        </w:rPr>
        <w:t> </w:t>
      </w:r>
      <w:r>
        <w:rPr>
          <w:color w:val="231F20"/>
        </w:rPr>
        <w:t>Members</w:t>
      </w:r>
    </w:p>
    <w:p>
      <w:pPr>
        <w:pStyle w:val="BodyText"/>
        <w:spacing w:line="213" w:lineRule="auto" w:before="12"/>
        <w:ind w:left="3669" w:right="545"/>
      </w:pPr>
      <w:r>
        <w:rPr>
          <w:color w:val="231F20"/>
        </w:rPr>
        <w:t>The text boxes show the situation members and groups that have been assigned to the group and any that are available for assignment. If a member is an object group, you can select it from the Members list. The objects that belong to it are displayed in </w:t>
      </w:r>
      <w:r>
        <w:rPr>
          <w:color w:val="231F20"/>
        </w:rPr>
        <w:t>the corresponding Selected list below.</w:t>
      </w:r>
    </w:p>
    <w:p>
      <w:pPr>
        <w:pStyle w:val="Heading6"/>
        <w:spacing w:before="115"/>
        <w:ind w:left="2961"/>
      </w:pPr>
      <w:r>
        <w:rPr>
          <w:b w:val="0"/>
          <w:position w:val="-1"/>
        </w:rPr>
        <w:drawing>
          <wp:inline distT="0" distB="0" distL="0" distR="0">
            <wp:extent cx="88900" cy="88900"/>
            <wp:effectExtent l="0" t="0" r="0" b="0"/>
            <wp:docPr id="3029" name="Image 3029"/>
            <wp:cNvGraphicFramePr>
              <a:graphicFrameLocks/>
            </wp:cNvGraphicFramePr>
            <a:graphic>
              <a:graphicData uri="http://schemas.openxmlformats.org/drawingml/2006/picture">
                <pic:pic>
                  <pic:nvPicPr>
                    <pic:cNvPr id="3029" name="Image 3029"/>
                    <pic:cNvPicPr/>
                  </pic:nvPicPr>
                  <pic:blipFill>
                    <a:blip r:embed="rId355" cstate="print"/>
                    <a:stretch>
                      <a:fillRect/>
                    </a:stretch>
                  </pic:blipFill>
                  <pic:spPr>
                    <a:xfrm>
                      <a:off x="0" y="0"/>
                      <a:ext cx="88900" cy="88900"/>
                    </a:xfrm>
                    <a:prstGeom prst="rect">
                      <a:avLst/>
                    </a:prstGeom>
                  </pic:spPr>
                </pic:pic>
              </a:graphicData>
            </a:graphic>
          </wp:inline>
        </w:drawing>
      </w:r>
      <w:r>
        <w:rPr>
          <w:b w:val="0"/>
          <w:position w:val="-1"/>
        </w:rPr>
      </w:r>
      <w:r>
        <w:rPr>
          <w:rFonts w:ascii="Times New Roman"/>
          <w:b w:val="0"/>
          <w:spacing w:val="80"/>
        </w:rPr>
        <w:t> </w:t>
      </w:r>
      <w:r>
        <w:rPr>
          <w:color w:val="231F20"/>
        </w:rPr>
        <w:t>Member of</w:t>
      </w:r>
    </w:p>
    <w:p>
      <w:pPr>
        <w:pStyle w:val="BodyText"/>
        <w:spacing w:line="213" w:lineRule="auto" w:before="11"/>
        <w:ind w:left="3669" w:right="493"/>
      </w:pPr>
      <w:r>
        <w:rPr>
          <w:color w:val="231F20"/>
        </w:rPr>
        <w:t>Shown here are any groups the situation group belongs to and </w:t>
      </w:r>
      <w:r>
        <w:rPr>
          <w:color w:val="231F20"/>
        </w:rPr>
        <w:t>any that are available.</w:t>
      </w:r>
    </w:p>
    <w:p>
      <w:pPr>
        <w:pStyle w:val="Heading6"/>
        <w:ind w:left="2961"/>
      </w:pPr>
      <w:r>
        <w:rPr>
          <w:b w:val="0"/>
          <w:position w:val="-1"/>
        </w:rPr>
        <w:drawing>
          <wp:inline distT="0" distB="0" distL="0" distR="0">
            <wp:extent cx="95250" cy="95250"/>
            <wp:effectExtent l="0" t="0" r="0" b="0"/>
            <wp:docPr id="3030" name="Image 3030"/>
            <wp:cNvGraphicFramePr>
              <a:graphicFrameLocks/>
            </wp:cNvGraphicFramePr>
            <a:graphic>
              <a:graphicData uri="http://schemas.openxmlformats.org/drawingml/2006/picture">
                <pic:pic>
                  <pic:nvPicPr>
                    <pic:cNvPr id="3030" name="Image 3030"/>
                    <pic:cNvPicPr/>
                  </pic:nvPicPr>
                  <pic:blipFill>
                    <a:blip r:embed="rId84" cstate="print"/>
                    <a:stretch>
                      <a:fillRect/>
                    </a:stretch>
                  </pic:blipFill>
                  <pic:spPr>
                    <a:xfrm>
                      <a:off x="0" y="0"/>
                      <a:ext cx="95250" cy="95250"/>
                    </a:xfrm>
                    <a:prstGeom prst="rect">
                      <a:avLst/>
                    </a:prstGeom>
                  </pic:spPr>
                </pic:pic>
              </a:graphicData>
            </a:graphic>
          </wp:inline>
        </w:drawing>
      </w:r>
      <w:r>
        <w:rPr>
          <w:b w:val="0"/>
          <w:position w:val="-1"/>
        </w:rPr>
      </w:r>
      <w:r>
        <w:rPr>
          <w:rFonts w:ascii="Times New Roman"/>
          <w:b w:val="0"/>
          <w:spacing w:val="40"/>
        </w:rPr>
        <w:t> </w:t>
      </w:r>
      <w:r>
        <w:rPr>
          <w:color w:val="231F20"/>
        </w:rPr>
        <w:t>Distributions</w:t>
      </w:r>
    </w:p>
    <w:p>
      <w:pPr>
        <w:pStyle w:val="BodyText"/>
        <w:spacing w:line="213" w:lineRule="auto" w:before="12"/>
        <w:ind w:left="3669" w:right="545"/>
      </w:pPr>
      <w:r>
        <w:rPr>
          <w:color w:val="231F20"/>
        </w:rPr>
        <w:t>The distributions are the managed systems and managed system groups that the situation group is distributed to, as well as the available managed systems and groups. You can select a </w:t>
      </w:r>
      <w:r>
        <w:rPr>
          <w:color w:val="231F20"/>
        </w:rPr>
        <w:t>managed</w:t>
      </w:r>
    </w:p>
    <w:p>
      <w:pPr>
        <w:spacing w:after="0" w:line="213" w:lineRule="auto"/>
        <w:sectPr>
          <w:pgSz w:w="12240" w:h="15840"/>
          <w:pgMar w:header="0" w:footer="736" w:top="1180" w:bottom="920" w:left="1000" w:right="1060"/>
        </w:sectPr>
      </w:pPr>
    </w:p>
    <w:p>
      <w:pPr>
        <w:pStyle w:val="BodyText"/>
        <w:spacing w:line="213" w:lineRule="auto" w:before="85"/>
        <w:ind w:left="3909" w:right="274"/>
      </w:pPr>
      <w:bookmarkStart w:name="_bookmark291" w:id="596"/>
      <w:bookmarkEnd w:id="596"/>
      <w:r>
        <w:rPr/>
      </w:r>
      <w:r>
        <w:rPr>
          <w:color w:val="231F20"/>
        </w:rPr>
        <w:t>system group to see its constituent objects in the Selected </w:t>
      </w:r>
      <w:r>
        <w:rPr>
          <w:color w:val="231F20"/>
        </w:rPr>
        <w:t>Assigned Object Members or Selected Available Object Members list.</w:t>
      </w:r>
    </w:p>
    <w:p>
      <w:pPr>
        <w:pStyle w:val="Heading3"/>
        <w:spacing w:before="217"/>
        <w:ind w:left="1574"/>
      </w:pPr>
      <w:bookmarkStart w:name="Managed system groups" w:id="597"/>
      <w:bookmarkEnd w:id="597"/>
      <w:r>
        <w:rPr>
          <w:b w:val="0"/>
        </w:rPr>
      </w:r>
      <w:r>
        <w:rPr>
          <w:color w:val="231F20"/>
        </w:rPr>
        <w:t>Managed</w:t>
      </w:r>
      <w:r>
        <w:rPr>
          <w:color w:val="231F20"/>
          <w:spacing w:val="4"/>
        </w:rPr>
        <w:t> </w:t>
      </w:r>
      <w:r>
        <w:rPr>
          <w:color w:val="231F20"/>
        </w:rPr>
        <w:t>system</w:t>
      </w:r>
      <w:r>
        <w:rPr>
          <w:color w:val="231F20"/>
          <w:spacing w:val="4"/>
        </w:rPr>
        <w:t> </w:t>
      </w:r>
      <w:bookmarkStart w:name="_bookmark289" w:id="598"/>
      <w:bookmarkEnd w:id="598"/>
      <w:r>
        <w:rPr>
          <w:color w:val="231F20"/>
          <w:spacing w:val="-2"/>
        </w:rPr>
        <w:t>groups</w:t>
      </w:r>
    </w:p>
    <w:p>
      <w:pPr>
        <w:pStyle w:val="BodyText"/>
        <w:spacing w:line="213" w:lineRule="auto" w:before="58"/>
        <w:ind w:left="2472" w:right="258"/>
      </w:pPr>
      <w:r>
        <w:rPr>
          <w:color w:val="231F20"/>
        </w:rPr>
        <w:t>A managed system group is a named collection of managed systems. When distributing a situation, policy, or historical collection configuration to managed systems, or when assigning managed systems to a custom Navigator view, you </w:t>
      </w:r>
      <w:r>
        <w:rPr>
          <w:color w:val="231F20"/>
        </w:rPr>
        <w:t>can specify a managed system group (or groups).</w:t>
      </w:r>
    </w:p>
    <w:p>
      <w:pPr>
        <w:pStyle w:val="BodyText"/>
        <w:spacing w:line="213" w:lineRule="auto" w:before="237"/>
        <w:ind w:left="2472" w:right="385"/>
      </w:pPr>
      <w:r>
        <w:rPr>
          <w:color w:val="231F20"/>
        </w:rPr>
        <w:t>If</w:t>
      </w:r>
      <w:r>
        <w:rPr>
          <w:color w:val="231F20"/>
          <w:spacing w:val="26"/>
        </w:rPr>
        <w:t> </w:t>
      </w:r>
      <w:r>
        <w:rPr>
          <w:color w:val="231F20"/>
        </w:rPr>
        <w:t>the</w:t>
      </w:r>
      <w:r>
        <w:rPr>
          <w:color w:val="231F20"/>
          <w:spacing w:val="26"/>
        </w:rPr>
        <w:t> </w:t>
      </w:r>
      <w:r>
        <w:rPr>
          <w:color w:val="231F20"/>
        </w:rPr>
        <w:t>main</w:t>
      </w:r>
      <w:r>
        <w:rPr>
          <w:color w:val="231F20"/>
          <w:spacing w:val="26"/>
        </w:rPr>
        <w:t> </w:t>
      </w:r>
      <w:r>
        <w:rPr>
          <w:color w:val="231F20"/>
        </w:rPr>
        <w:t>toolbar</w:t>
      </w:r>
      <w:r>
        <w:rPr>
          <w:color w:val="231F20"/>
          <w:spacing w:val="26"/>
        </w:rPr>
        <w:t> </w:t>
      </w:r>
      <w:r>
        <w:rPr>
          <w:color w:val="231F20"/>
        </w:rPr>
        <w:t>has</w:t>
      </w:r>
      <w:r>
        <w:rPr>
          <w:color w:val="231F20"/>
          <w:spacing w:val="26"/>
        </w:rPr>
        <w:t> </w:t>
      </w:r>
      <w:r>
        <w:rPr>
          <w:color w:val="231F20"/>
        </w:rPr>
        <w:t>no</w:t>
      </w:r>
      <w:r>
        <w:rPr>
          <w:color w:val="231F20"/>
          <w:spacing w:val="15"/>
        </w:rPr>
        <w:t> </w:t>
      </w:r>
      <w:r>
        <w:rPr>
          <w:color w:val="231F20"/>
          <w:spacing w:val="15"/>
          <w:position w:val="-1"/>
        </w:rPr>
        <w:drawing>
          <wp:inline distT="0" distB="0" distL="0" distR="0">
            <wp:extent cx="95250" cy="95250"/>
            <wp:effectExtent l="0" t="0" r="0" b="0"/>
            <wp:docPr id="3033" name="Image 3033"/>
            <wp:cNvGraphicFramePr>
              <a:graphicFrameLocks/>
            </wp:cNvGraphicFramePr>
            <a:graphic>
              <a:graphicData uri="http://schemas.openxmlformats.org/drawingml/2006/picture">
                <pic:pic>
                  <pic:nvPicPr>
                    <pic:cNvPr id="3033" name="Image 3033"/>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rPr>
        <w:t> </w:t>
      </w:r>
      <w:r>
        <w:rPr>
          <w:rFonts w:ascii="Book Antiqua"/>
          <w:b/>
          <w:color w:val="231F20"/>
        </w:rPr>
        <w:t>Object</w:t>
      </w:r>
      <w:r>
        <w:rPr>
          <w:rFonts w:ascii="Book Antiqua"/>
          <w:b/>
          <w:color w:val="231F20"/>
          <w:spacing w:val="26"/>
        </w:rPr>
        <w:t> </w:t>
      </w:r>
      <w:r>
        <w:rPr>
          <w:rFonts w:ascii="Book Antiqua"/>
          <w:b/>
          <w:color w:val="231F20"/>
        </w:rPr>
        <w:t>group</w:t>
      </w:r>
      <w:r>
        <w:rPr>
          <w:rFonts w:ascii="Book Antiqua"/>
          <w:b/>
          <w:color w:val="231F20"/>
          <w:spacing w:val="26"/>
        </w:rPr>
        <w:t> </w:t>
      </w:r>
      <w:r>
        <w:rPr>
          <w:rFonts w:ascii="Book Antiqua"/>
          <w:b/>
          <w:color w:val="231F20"/>
        </w:rPr>
        <w:t>editor</w:t>
      </w:r>
      <w:r>
        <w:rPr>
          <w:color w:val="231F20"/>
        </w:rPr>
        <w:t>,</w:t>
      </w:r>
      <w:r>
        <w:rPr>
          <w:color w:val="231F20"/>
          <w:spacing w:val="26"/>
        </w:rPr>
        <w:t> </w:t>
      </w:r>
      <w:r>
        <w:rPr>
          <w:color w:val="231F20"/>
        </w:rPr>
        <w:t>your</w:t>
      </w:r>
      <w:r>
        <w:rPr>
          <w:color w:val="231F20"/>
          <w:spacing w:val="26"/>
        </w:rPr>
        <w:t> </w:t>
      </w:r>
      <w:r>
        <w:rPr>
          <w:color w:val="231F20"/>
        </w:rPr>
        <w:t>user</w:t>
      </w:r>
      <w:r>
        <w:rPr>
          <w:color w:val="231F20"/>
          <w:spacing w:val="26"/>
        </w:rPr>
        <w:t> </w:t>
      </w:r>
      <w:r>
        <w:rPr>
          <w:color w:val="231F20"/>
        </w:rPr>
        <w:t>ID</w:t>
      </w:r>
      <w:r>
        <w:rPr>
          <w:color w:val="231F20"/>
          <w:spacing w:val="26"/>
        </w:rPr>
        <w:t> </w:t>
      </w:r>
      <w:r>
        <w:rPr>
          <w:color w:val="231F20"/>
        </w:rPr>
        <w:t>does</w:t>
      </w:r>
      <w:r>
        <w:rPr>
          <w:color w:val="231F20"/>
          <w:spacing w:val="26"/>
        </w:rPr>
        <w:t> </w:t>
      </w:r>
      <w:r>
        <w:rPr>
          <w:color w:val="231F20"/>
        </w:rPr>
        <w:t>not</w:t>
      </w:r>
      <w:r>
        <w:rPr>
          <w:color w:val="231F20"/>
          <w:spacing w:val="26"/>
        </w:rPr>
        <w:t> </w:t>
      </w:r>
      <w:r>
        <w:rPr>
          <w:color w:val="231F20"/>
        </w:rPr>
        <w:t>have View permission for managed system groups. If you can open the editor, but the tools not enabled after you select one of the managed system groups, your user </w:t>
      </w:r>
      <w:r>
        <w:rPr>
          <w:color w:val="231F20"/>
        </w:rPr>
        <w:t>ID </w:t>
      </w:r>
      <w:bookmarkStart w:name="Predefined managed system groups" w:id="599"/>
      <w:bookmarkEnd w:id="599"/>
      <w:r>
        <w:rPr>
          <w:color w:val="231F20"/>
        </w:rPr>
        <w:t>does</w:t>
      </w:r>
      <w:r>
        <w:rPr>
          <w:color w:val="231F20"/>
        </w:rPr>
        <w:t> not have Modify permission for managed system groups.</w:t>
      </w:r>
    </w:p>
    <w:p>
      <w:pPr>
        <w:pStyle w:val="Heading4"/>
        <w:spacing w:line="273" w:lineRule="exact" w:before="163"/>
        <w:ind w:left="2472"/>
      </w:pPr>
      <w:r>
        <w:rPr>
          <w:color w:val="231F20"/>
        </w:rPr>
        <w:t>Predefined</w:t>
      </w:r>
      <w:r>
        <w:rPr>
          <w:color w:val="231F20"/>
          <w:spacing w:val="2"/>
        </w:rPr>
        <w:t> </w:t>
      </w:r>
      <w:r>
        <w:rPr>
          <w:color w:val="231F20"/>
        </w:rPr>
        <w:t>managed</w:t>
      </w:r>
      <w:r>
        <w:rPr>
          <w:color w:val="231F20"/>
          <w:spacing w:val="3"/>
        </w:rPr>
        <w:t> </w:t>
      </w:r>
      <w:r>
        <w:rPr>
          <w:color w:val="231F20"/>
        </w:rPr>
        <w:t>system</w:t>
      </w:r>
      <w:r>
        <w:rPr>
          <w:color w:val="231F20"/>
          <w:spacing w:val="2"/>
        </w:rPr>
        <w:t> </w:t>
      </w:r>
      <w:r>
        <w:rPr>
          <w:color w:val="231F20"/>
          <w:spacing w:val="-2"/>
        </w:rPr>
        <w:t>groups</w:t>
      </w:r>
    </w:p>
    <w:p>
      <w:pPr>
        <w:pStyle w:val="BodyText"/>
        <w:spacing w:line="213" w:lineRule="auto" w:before="20"/>
        <w:ind w:left="2472" w:right="258"/>
      </w:pPr>
      <w:r>
        <w:rPr>
          <w:color w:val="231F20"/>
        </w:rPr>
        <w:t>The Tivoli Enterprise Monitoring Server and every IBM Tivoli Monitoring </w:t>
      </w:r>
      <w:r>
        <w:rPr>
          <w:color w:val="231F20"/>
        </w:rPr>
        <w:t>product has at least one predefined managed system group, indicated by an asterisk at the beginning of the list name, such as *NT_SYSTEM for IBM Tivoli Monitoring for </w:t>
      </w:r>
      <w:r>
        <w:rPr>
          <w:color w:val="231F20"/>
          <w:spacing w:val="-2"/>
        </w:rPr>
        <w:t>Windows.</w:t>
      </w:r>
    </w:p>
    <w:p>
      <w:pPr>
        <w:pStyle w:val="BodyText"/>
        <w:spacing w:line="213" w:lineRule="auto" w:before="237"/>
        <w:ind w:left="2472" w:right="258"/>
      </w:pPr>
      <w:r>
        <w:rPr>
          <w:color w:val="231F20"/>
        </w:rPr>
        <w:t>You can also create new managed system groups for different purposes. For example, you can create a group of Linux managed systems for a particular geographic region named LINUX_LONDON, so that you can distribute situations that are specific to that location. Managed system groups are stored at the Hub</w:t>
      </w:r>
      <w:r>
        <w:rPr>
          <w:color w:val="231F20"/>
          <w:spacing w:val="40"/>
        </w:rPr>
        <w:t> </w:t>
      </w:r>
      <w:r>
        <w:rPr>
          <w:color w:val="231F20"/>
        </w:rPr>
        <w:t>Tivoli Enterprise Monitoring Server, thus any lists you create are available to all users who are logged on to the Tivoli Enterprise Portal Server that connects to </w:t>
      </w:r>
      <w:r>
        <w:rPr>
          <w:color w:val="231F20"/>
        </w:rPr>
        <w:t>that hub monitoring server.</w:t>
      </w:r>
    </w:p>
    <w:p>
      <w:pPr>
        <w:pStyle w:val="BodyText"/>
        <w:spacing w:line="213" w:lineRule="auto" w:before="235"/>
        <w:ind w:left="2472" w:right="274"/>
      </w:pPr>
      <w:r>
        <w:rPr>
          <w:color w:val="231F20"/>
        </w:rPr>
        <w:t>When you assign a predefined managed system group to a situation, policy, query, custom Navigator, historical collection, historical configuration object group, or a situation object group, all managed systems of that type are selected. And as new managed systems are added to the monitored network, they automatically become members of the predefined managed system group of their agent type.</w:t>
      </w:r>
    </w:p>
    <w:p>
      <w:pPr>
        <w:pStyle w:val="BodyText"/>
        <w:spacing w:before="213"/>
        <w:ind w:left="2472"/>
      </w:pPr>
      <w:r>
        <w:rPr>
          <w:color w:val="231F20"/>
        </w:rPr>
        <w:t>You</w:t>
      </w:r>
      <w:r>
        <w:rPr>
          <w:color w:val="231F20"/>
          <w:spacing w:val="8"/>
        </w:rPr>
        <w:t> </w:t>
      </w:r>
      <w:r>
        <w:rPr>
          <w:color w:val="231F20"/>
        </w:rPr>
        <w:t>cannot</w:t>
      </w:r>
      <w:r>
        <w:rPr>
          <w:color w:val="231F20"/>
          <w:spacing w:val="8"/>
        </w:rPr>
        <w:t> </w:t>
      </w:r>
      <w:r>
        <w:rPr>
          <w:color w:val="231F20"/>
        </w:rPr>
        <w:t>edit</w:t>
      </w:r>
      <w:r>
        <w:rPr>
          <w:color w:val="231F20"/>
          <w:spacing w:val="9"/>
        </w:rPr>
        <w:t> </w:t>
      </w:r>
      <w:r>
        <w:rPr>
          <w:color w:val="231F20"/>
        </w:rPr>
        <w:t>or</w:t>
      </w:r>
      <w:r>
        <w:rPr>
          <w:color w:val="231F20"/>
          <w:spacing w:val="8"/>
        </w:rPr>
        <w:t> </w:t>
      </w:r>
      <w:r>
        <w:rPr>
          <w:color w:val="231F20"/>
        </w:rPr>
        <w:t>delete</w:t>
      </w:r>
      <w:r>
        <w:rPr>
          <w:color w:val="231F20"/>
          <w:spacing w:val="9"/>
        </w:rPr>
        <w:t> </w:t>
      </w:r>
      <w:r>
        <w:rPr>
          <w:color w:val="231F20"/>
        </w:rPr>
        <w:t>a</w:t>
      </w:r>
      <w:r>
        <w:rPr>
          <w:color w:val="231F20"/>
          <w:spacing w:val="8"/>
        </w:rPr>
        <w:t> </w:t>
      </w:r>
      <w:r>
        <w:rPr>
          <w:color w:val="231F20"/>
        </w:rPr>
        <w:t>predefined</w:t>
      </w:r>
      <w:r>
        <w:rPr>
          <w:color w:val="231F20"/>
          <w:spacing w:val="8"/>
        </w:rPr>
        <w:t> </w:t>
      </w:r>
      <w:r>
        <w:rPr>
          <w:color w:val="231F20"/>
        </w:rPr>
        <w:t>managed</w:t>
      </w:r>
      <w:r>
        <w:rPr>
          <w:color w:val="231F20"/>
          <w:spacing w:val="9"/>
        </w:rPr>
        <w:t> </w:t>
      </w:r>
      <w:r>
        <w:rPr>
          <w:color w:val="231F20"/>
        </w:rPr>
        <w:t>system</w:t>
      </w:r>
      <w:r>
        <w:rPr>
          <w:color w:val="231F20"/>
          <w:spacing w:val="8"/>
        </w:rPr>
        <w:t> </w:t>
      </w:r>
      <w:r>
        <w:rPr>
          <w:color w:val="231F20"/>
          <w:spacing w:val="-2"/>
        </w:rPr>
        <w:t>group.</w:t>
      </w:r>
    </w:p>
    <w:p>
      <w:pPr>
        <w:pStyle w:val="BodyText"/>
        <w:spacing w:line="213" w:lineRule="auto" w:before="232"/>
        <w:ind w:left="2472" w:right="382"/>
        <w:jc w:val="both"/>
      </w:pPr>
      <w:r>
        <w:rPr>
          <w:color w:val="231F20"/>
        </w:rPr>
        <w:t>The monitoring server provides three managed system groups. These lists can be applied at the Enterprise level of the Navigator Physical view and anywhere in </w:t>
      </w:r>
      <w:r>
        <w:rPr>
          <w:color w:val="231F20"/>
        </w:rPr>
        <w:t>a custom Navigator view:</w:t>
      </w:r>
    </w:p>
    <w:p>
      <w:pPr>
        <w:pStyle w:val="BodyText"/>
        <w:spacing w:line="213" w:lineRule="auto" w:before="58"/>
        <w:ind w:left="2771"/>
      </w:pPr>
      <w:r>
        <w:rPr>
          <w:rFonts w:ascii="Book Antiqua"/>
          <w:b/>
          <w:color w:val="231F20"/>
        </w:rPr>
        <w:t>*ALL_CMS </w:t>
      </w:r>
      <w:r>
        <w:rPr>
          <w:color w:val="231F20"/>
        </w:rPr>
        <w:t>applies to the hub monitoring server and any remote </w:t>
      </w:r>
      <w:r>
        <w:rPr>
          <w:color w:val="231F20"/>
        </w:rPr>
        <w:t>monitoring </w:t>
      </w:r>
      <w:r>
        <w:rPr>
          <w:color w:val="231F20"/>
          <w:spacing w:val="-2"/>
        </w:rPr>
        <w:t>servers.</w:t>
      </w:r>
    </w:p>
    <w:p>
      <w:pPr>
        <w:pStyle w:val="BodyText"/>
        <w:spacing w:before="35"/>
        <w:ind w:left="2771"/>
      </w:pPr>
      <w:r>
        <w:rPr>
          <w:rFonts w:ascii="Book Antiqua"/>
          <w:b/>
          <w:color w:val="231F20"/>
        </w:rPr>
        <w:t>*EIB</w:t>
      </w:r>
      <w:r>
        <w:rPr>
          <w:rFonts w:ascii="Book Antiqua"/>
          <w:b/>
          <w:color w:val="231F20"/>
          <w:spacing w:val="11"/>
        </w:rPr>
        <w:t> </w:t>
      </w:r>
      <w:r>
        <w:rPr>
          <w:color w:val="231F20"/>
        </w:rPr>
        <w:t>applies</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hub</w:t>
      </w:r>
      <w:r>
        <w:rPr>
          <w:color w:val="231F20"/>
          <w:spacing w:val="12"/>
        </w:rPr>
        <w:t> </w:t>
      </w:r>
      <w:r>
        <w:rPr>
          <w:color w:val="231F20"/>
        </w:rPr>
        <w:t>monitoring</w:t>
      </w:r>
      <w:r>
        <w:rPr>
          <w:color w:val="231F20"/>
          <w:spacing w:val="11"/>
        </w:rPr>
        <w:t> </w:t>
      </w:r>
      <w:r>
        <w:rPr>
          <w:color w:val="231F20"/>
          <w:spacing w:val="-2"/>
        </w:rPr>
        <w:t>server.</w:t>
      </w:r>
    </w:p>
    <w:p>
      <w:pPr>
        <w:pStyle w:val="BodyText"/>
        <w:spacing w:before="30"/>
        <w:ind w:left="2771"/>
      </w:pPr>
      <w:bookmarkStart w:name="Creating a managed system group" w:id="600"/>
      <w:bookmarkEnd w:id="600"/>
      <w:r>
        <w:rPr/>
      </w:r>
      <w:r>
        <w:rPr>
          <w:rFonts w:ascii="Book Antiqua"/>
          <w:b/>
          <w:color w:val="231F20"/>
        </w:rPr>
        <w:t>*HUB</w:t>
      </w:r>
      <w:r>
        <w:rPr>
          <w:rFonts w:ascii="Book Antiqua"/>
          <w:b/>
          <w:color w:val="231F20"/>
          <w:spacing w:val="11"/>
        </w:rPr>
        <w:t> </w:t>
      </w:r>
      <w:r>
        <w:rPr>
          <w:color w:val="231F20"/>
        </w:rPr>
        <w:t>applies</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hub</w:t>
      </w:r>
      <w:r>
        <w:rPr>
          <w:color w:val="231F20"/>
          <w:spacing w:val="11"/>
        </w:rPr>
        <w:t> </w:t>
      </w:r>
      <w:r>
        <w:rPr>
          <w:color w:val="231F20"/>
        </w:rPr>
        <w:t>monitoring</w:t>
      </w:r>
      <w:r>
        <w:rPr>
          <w:color w:val="231F20"/>
          <w:spacing w:val="11"/>
        </w:rPr>
        <w:t> </w:t>
      </w:r>
      <w:r>
        <w:rPr>
          <w:color w:val="231F20"/>
          <w:spacing w:val="-2"/>
        </w:rPr>
        <w:t>server.</w:t>
      </w:r>
    </w:p>
    <w:p>
      <w:pPr>
        <w:pStyle w:val="Heading4"/>
        <w:spacing w:line="273" w:lineRule="exact" w:before="159"/>
        <w:ind w:left="2472"/>
      </w:pPr>
      <w:r>
        <w:rPr>
          <w:color w:val="231F20"/>
        </w:rPr>
        <w:t>Creating</w:t>
      </w:r>
      <w:r>
        <w:rPr>
          <w:color w:val="231F20"/>
          <w:spacing w:val="5"/>
        </w:rPr>
        <w:t> </w:t>
      </w:r>
      <w:r>
        <w:rPr>
          <w:color w:val="231F20"/>
        </w:rPr>
        <w:t>a</w:t>
      </w:r>
      <w:r>
        <w:rPr>
          <w:color w:val="231F20"/>
          <w:spacing w:val="6"/>
        </w:rPr>
        <w:t> </w:t>
      </w:r>
      <w:r>
        <w:rPr>
          <w:color w:val="231F20"/>
        </w:rPr>
        <w:t>managed</w:t>
      </w:r>
      <w:r>
        <w:rPr>
          <w:color w:val="231F20"/>
          <w:spacing w:val="5"/>
        </w:rPr>
        <w:t> </w:t>
      </w:r>
      <w:r>
        <w:rPr>
          <w:color w:val="231F20"/>
        </w:rPr>
        <w:t>system</w:t>
      </w:r>
      <w:r>
        <w:rPr>
          <w:color w:val="231F20"/>
          <w:spacing w:val="6"/>
        </w:rPr>
        <w:t> </w:t>
      </w:r>
      <w:bookmarkStart w:name="_bookmark290" w:id="601"/>
      <w:bookmarkEnd w:id="601"/>
      <w:r>
        <w:rPr>
          <w:color w:val="231F20"/>
          <w:spacing w:val="-2"/>
        </w:rPr>
        <w:t>group</w:t>
      </w:r>
    </w:p>
    <w:p>
      <w:pPr>
        <w:pStyle w:val="BodyText"/>
        <w:spacing w:line="213" w:lineRule="auto" w:before="20"/>
        <w:ind w:left="2472" w:right="493"/>
      </w:pPr>
      <w:r>
        <w:rPr>
          <w:color w:val="231F20"/>
        </w:rPr>
        <w:t>Organize managed systems into named groups that can be assigned to the distribution of situations, policies, historical collections, queries, and </w:t>
      </w:r>
      <w:r>
        <w:rPr>
          <w:color w:val="231F20"/>
        </w:rPr>
        <w:t>dynamic Navigator items in custom Navigator views.</w:t>
      </w:r>
    </w:p>
    <w:p>
      <w:pPr>
        <w:pStyle w:val="Heading5"/>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472"/>
        <w:jc w:val="both"/>
      </w:pPr>
      <w:r>
        <w:rPr>
          <w:color w:val="231F20"/>
        </w:rPr>
        <w:t>Take</w:t>
      </w:r>
      <w:r>
        <w:rPr>
          <w:color w:val="231F20"/>
          <w:spacing w:val="8"/>
        </w:rPr>
        <w:t> </w:t>
      </w:r>
      <w:r>
        <w:rPr>
          <w:color w:val="231F20"/>
        </w:rPr>
        <w:t>these</w:t>
      </w:r>
      <w:r>
        <w:rPr>
          <w:color w:val="231F20"/>
          <w:spacing w:val="9"/>
        </w:rPr>
        <w:t> </w:t>
      </w:r>
      <w:r>
        <w:rPr>
          <w:color w:val="231F20"/>
        </w:rPr>
        <w:t>steps</w:t>
      </w:r>
      <w:r>
        <w:rPr>
          <w:color w:val="231F20"/>
          <w:spacing w:val="8"/>
        </w:rPr>
        <w:t> </w:t>
      </w:r>
      <w:r>
        <w:rPr>
          <w:color w:val="231F20"/>
        </w:rPr>
        <w:t>to</w:t>
      </w:r>
      <w:r>
        <w:rPr>
          <w:color w:val="231F20"/>
          <w:spacing w:val="9"/>
        </w:rPr>
        <w:t> </w:t>
      </w:r>
      <w:r>
        <w:rPr>
          <w:color w:val="231F20"/>
        </w:rPr>
        <w:t>create</w:t>
      </w:r>
      <w:r>
        <w:rPr>
          <w:color w:val="231F20"/>
          <w:spacing w:val="9"/>
        </w:rPr>
        <w:t> </w:t>
      </w:r>
      <w:r>
        <w:rPr>
          <w:color w:val="231F20"/>
        </w:rPr>
        <w:t>a</w:t>
      </w:r>
      <w:r>
        <w:rPr>
          <w:color w:val="231F20"/>
          <w:spacing w:val="8"/>
        </w:rPr>
        <w:t> </w:t>
      </w:r>
      <w:r>
        <w:rPr>
          <w:color w:val="231F20"/>
        </w:rPr>
        <w:t>managed</w:t>
      </w:r>
      <w:r>
        <w:rPr>
          <w:color w:val="231F20"/>
          <w:spacing w:val="9"/>
        </w:rPr>
        <w:t> </w:t>
      </w:r>
      <w:r>
        <w:rPr>
          <w:color w:val="231F20"/>
        </w:rPr>
        <w:t>system</w:t>
      </w:r>
      <w:r>
        <w:rPr>
          <w:color w:val="231F20"/>
          <w:spacing w:val="9"/>
        </w:rPr>
        <w:t> </w:t>
      </w:r>
      <w:r>
        <w:rPr>
          <w:color w:val="231F20"/>
          <w:spacing w:val="-2"/>
        </w:rPr>
        <w:t>group:</w:t>
      </w:r>
    </w:p>
    <w:p>
      <w:pPr>
        <w:spacing w:after="0"/>
        <w:jc w:val="both"/>
        <w:sectPr>
          <w:footerReference w:type="default" r:id="rId461"/>
          <w:footerReference w:type="even" r:id="rId462"/>
          <w:pgSz w:w="12240" w:h="15840"/>
          <w:pgMar w:header="0" w:footer="736" w:top="1180" w:bottom="920" w:left="1000" w:right="1060"/>
          <w:pgNumType w:start="383"/>
        </w:sectPr>
      </w:pPr>
    </w:p>
    <w:p>
      <w:pPr>
        <w:pStyle w:val="Heading5"/>
        <w:spacing w:before="85"/>
        <w:ind w:left="2232"/>
      </w:pPr>
      <w:bookmarkStart w:name="_bookmark292" w:id="602"/>
      <w:bookmarkEnd w:id="602"/>
      <w:r>
        <w:rPr>
          <w:b w:val="0"/>
        </w:rPr>
      </w:r>
      <w:r>
        <w:rPr>
          <w:color w:val="231F20"/>
          <w:spacing w:val="-2"/>
        </w:rPr>
        <w:t>Procedure</w:t>
      </w:r>
    </w:p>
    <w:p>
      <w:pPr>
        <w:pStyle w:val="ListParagraph"/>
        <w:numPr>
          <w:ilvl w:val="0"/>
          <w:numId w:val="167"/>
        </w:numPr>
        <w:tabs>
          <w:tab w:pos="2547" w:val="left" w:leader="none"/>
        </w:tabs>
        <w:spacing w:line="240" w:lineRule="auto" w:before="43" w:after="0"/>
        <w:ind w:left="254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95250" cy="95250"/>
            <wp:effectExtent l="0" t="0" r="0" b="0"/>
            <wp:docPr id="3034" name="Image 3034"/>
            <wp:cNvGraphicFramePr>
              <a:graphicFrameLocks/>
            </wp:cNvGraphicFramePr>
            <a:graphic>
              <a:graphicData uri="http://schemas.openxmlformats.org/drawingml/2006/picture">
                <pic:pic>
                  <pic:nvPicPr>
                    <pic:cNvPr id="3034" name="Image 3034"/>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53"/>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pacing w:val="-2"/>
          <w:sz w:val="20"/>
        </w:rPr>
        <w:t>editor</w:t>
      </w:r>
      <w:r>
        <w:rPr>
          <w:color w:val="231F20"/>
          <w:spacing w:val="-2"/>
          <w:sz w:val="20"/>
        </w:rPr>
        <w:t>.</w:t>
      </w:r>
    </w:p>
    <w:p>
      <w:pPr>
        <w:pStyle w:val="ListParagraph"/>
        <w:numPr>
          <w:ilvl w:val="0"/>
          <w:numId w:val="167"/>
        </w:numPr>
        <w:tabs>
          <w:tab w:pos="2547" w:val="left" w:leader="none"/>
        </w:tabs>
        <w:spacing w:line="240" w:lineRule="auto" w:before="29" w:after="0"/>
        <w:ind w:left="2547" w:right="0" w:hanging="315"/>
        <w:jc w:val="left"/>
        <w:rPr>
          <w:sz w:val="20"/>
        </w:rPr>
      </w:pPr>
      <w:r>
        <w:rPr>
          <w:color w:val="231F20"/>
          <w:sz w:val="20"/>
        </w:rPr>
        <w:t>If</w:t>
      </w:r>
      <w:r>
        <w:rPr>
          <w:color w:val="231F20"/>
          <w:spacing w:val="22"/>
          <w:sz w:val="20"/>
        </w:rPr>
        <w:t> </w:t>
      </w:r>
      <w:r>
        <w:rPr>
          <w:color w:val="231F20"/>
          <w:spacing w:val="-24"/>
          <w:position w:val="-1"/>
          <w:sz w:val="20"/>
        </w:rPr>
        <w:drawing>
          <wp:inline distT="0" distB="0" distL="0" distR="0">
            <wp:extent cx="95250" cy="95250"/>
            <wp:effectExtent l="0" t="0" r="0" b="0"/>
            <wp:docPr id="3035" name="Image 3035"/>
            <wp:cNvGraphicFramePr>
              <a:graphicFrameLocks/>
            </wp:cNvGraphicFramePr>
            <a:graphic>
              <a:graphicData uri="http://schemas.openxmlformats.org/drawingml/2006/picture">
                <pic:pic>
                  <pic:nvPicPr>
                    <pic:cNvPr id="3035" name="Image 303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8"/>
          <w:w w:val="150"/>
          <w:sz w:val="20"/>
        </w:rPr>
        <w:t> </w:t>
      </w:r>
      <w:r>
        <w:rPr>
          <w:color w:val="231F20"/>
          <w:sz w:val="20"/>
        </w:rPr>
        <w:t>Managed</w:t>
      </w:r>
      <w:r>
        <w:rPr>
          <w:color w:val="231F20"/>
          <w:spacing w:val="13"/>
          <w:sz w:val="20"/>
        </w:rPr>
        <w:t> </w:t>
      </w:r>
      <w:r>
        <w:rPr>
          <w:color w:val="231F20"/>
          <w:sz w:val="20"/>
        </w:rPr>
        <w:t>system</w:t>
      </w:r>
      <w:r>
        <w:rPr>
          <w:color w:val="231F20"/>
          <w:spacing w:val="13"/>
          <w:sz w:val="20"/>
        </w:rPr>
        <w:t> </w:t>
      </w:r>
      <w:r>
        <w:rPr>
          <w:color w:val="231F20"/>
          <w:sz w:val="20"/>
        </w:rPr>
        <w:t>is</w:t>
      </w:r>
      <w:r>
        <w:rPr>
          <w:color w:val="231F20"/>
          <w:spacing w:val="13"/>
          <w:sz w:val="20"/>
        </w:rPr>
        <w:t> </w:t>
      </w:r>
      <w:r>
        <w:rPr>
          <w:color w:val="231F20"/>
          <w:sz w:val="20"/>
        </w:rPr>
        <w:t>collapsed,</w:t>
      </w:r>
      <w:r>
        <w:rPr>
          <w:color w:val="231F20"/>
          <w:spacing w:val="51"/>
          <w:sz w:val="20"/>
        </w:rPr>
        <w:t> </w:t>
      </w:r>
      <w:r>
        <w:rPr>
          <w:color w:val="231F20"/>
          <w:spacing w:val="5"/>
          <w:sz w:val="20"/>
        </w:rPr>
        <w:drawing>
          <wp:inline distT="0" distB="0" distL="0" distR="0">
            <wp:extent cx="69850" cy="69850"/>
            <wp:effectExtent l="0" t="0" r="0" b="0"/>
            <wp:docPr id="3036" name="Image 3036"/>
            <wp:cNvGraphicFramePr>
              <a:graphicFrameLocks/>
            </wp:cNvGraphicFramePr>
            <a:graphic>
              <a:graphicData uri="http://schemas.openxmlformats.org/drawingml/2006/picture">
                <pic:pic>
                  <pic:nvPicPr>
                    <pic:cNvPr id="3036" name="Image 3036"/>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5"/>
          <w:sz w:val="20"/>
        </w:rPr>
      </w:r>
      <w:r>
        <w:rPr>
          <w:rFonts w:ascii="Times New Roman"/>
          <w:color w:val="231F20"/>
          <w:spacing w:val="78"/>
          <w:w w:val="150"/>
          <w:sz w:val="20"/>
        </w:rPr>
        <w:t> </w:t>
      </w:r>
      <w:r>
        <w:rPr>
          <w:color w:val="231F20"/>
          <w:sz w:val="20"/>
        </w:rPr>
        <w:t>expand</w:t>
      </w:r>
      <w:r>
        <w:rPr>
          <w:color w:val="231F20"/>
          <w:spacing w:val="13"/>
          <w:sz w:val="20"/>
        </w:rPr>
        <w:t> </w:t>
      </w:r>
      <w:r>
        <w:rPr>
          <w:color w:val="231F20"/>
          <w:spacing w:val="-5"/>
          <w:sz w:val="20"/>
        </w:rPr>
        <w:t>it.</w:t>
      </w:r>
    </w:p>
    <w:p>
      <w:pPr>
        <w:pStyle w:val="ListParagraph"/>
        <w:numPr>
          <w:ilvl w:val="0"/>
          <w:numId w:val="167"/>
        </w:numPr>
        <w:tabs>
          <w:tab w:pos="2548" w:val="left" w:leader="none"/>
        </w:tabs>
        <w:spacing w:line="213" w:lineRule="auto" w:before="53" w:after="0"/>
        <w:ind w:left="2548" w:right="461" w:hanging="316"/>
        <w:jc w:val="left"/>
        <w:rPr>
          <w:sz w:val="20"/>
        </w:rPr>
      </w:pPr>
      <w:r>
        <w:rPr>
          <w:color w:val="231F20"/>
          <w:sz w:val="20"/>
        </w:rPr>
        <w:t>Click one of the available managed system types, then click</w:t>
      </w:r>
      <w:r>
        <w:rPr>
          <w:color w:val="231F20"/>
          <w:spacing w:val="38"/>
          <w:sz w:val="20"/>
        </w:rPr>
        <w:t> </w:t>
      </w:r>
      <w:r>
        <w:rPr>
          <w:color w:val="231F20"/>
          <w:spacing w:val="-25"/>
          <w:position w:val="-1"/>
          <w:sz w:val="20"/>
        </w:rPr>
        <w:drawing>
          <wp:inline distT="0" distB="0" distL="0" distR="0">
            <wp:extent cx="95250" cy="101600"/>
            <wp:effectExtent l="0" t="0" r="0" b="0"/>
            <wp:docPr id="3037" name="Image 3037"/>
            <wp:cNvGraphicFramePr>
              <a:graphicFrameLocks/>
            </wp:cNvGraphicFramePr>
            <a:graphic>
              <a:graphicData uri="http://schemas.openxmlformats.org/drawingml/2006/picture">
                <pic:pic>
                  <pic:nvPicPr>
                    <pic:cNvPr id="3037" name="Image 3037"/>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37"/>
          <w:sz w:val="20"/>
        </w:rPr>
        <w:t> </w:t>
      </w:r>
      <w:r>
        <w:rPr>
          <w:rFonts w:ascii="Book Antiqua"/>
          <w:b/>
          <w:color w:val="231F20"/>
          <w:sz w:val="20"/>
        </w:rPr>
        <w:t>Create new group</w:t>
      </w:r>
      <w:r>
        <w:rPr>
          <w:color w:val="231F20"/>
          <w:sz w:val="20"/>
        </w:rPr>
        <w:t>.</w:t>
      </w:r>
      <w:r>
        <w:rPr>
          <w:color w:val="231F20"/>
          <w:spacing w:val="19"/>
          <w:sz w:val="20"/>
        </w:rPr>
        <w:t> </w:t>
      </w:r>
      <w:r>
        <w:rPr>
          <w:color w:val="231F20"/>
          <w:sz w:val="20"/>
        </w:rPr>
        <w:t>One</w:t>
      </w:r>
      <w:r>
        <w:rPr>
          <w:color w:val="231F20"/>
          <w:spacing w:val="19"/>
          <w:sz w:val="20"/>
        </w:rPr>
        <w:t> </w:t>
      </w:r>
      <w:r>
        <w:rPr>
          <w:color w:val="231F20"/>
          <w:sz w:val="20"/>
        </w:rPr>
        <w:t>of</w:t>
      </w:r>
      <w:r>
        <w:rPr>
          <w:color w:val="231F20"/>
          <w:spacing w:val="19"/>
          <w:sz w:val="20"/>
        </w:rPr>
        <w:t> </w:t>
      </w:r>
      <w:r>
        <w:rPr>
          <w:color w:val="231F20"/>
          <w:sz w:val="20"/>
        </w:rPr>
        <w:t>the</w:t>
      </w:r>
      <w:r>
        <w:rPr>
          <w:color w:val="231F20"/>
          <w:spacing w:val="19"/>
          <w:sz w:val="20"/>
        </w:rPr>
        <w:t> </w:t>
      </w:r>
      <w:r>
        <w:rPr>
          <w:color w:val="231F20"/>
          <w:sz w:val="20"/>
        </w:rPr>
        <w:t>managed</w:t>
      </w:r>
      <w:r>
        <w:rPr>
          <w:color w:val="231F20"/>
          <w:spacing w:val="19"/>
          <w:sz w:val="20"/>
        </w:rPr>
        <w:t> </w:t>
      </w:r>
      <w:r>
        <w:rPr>
          <w:color w:val="231F20"/>
          <w:sz w:val="20"/>
        </w:rPr>
        <w:t>system</w:t>
      </w:r>
      <w:r>
        <w:rPr>
          <w:color w:val="231F20"/>
          <w:spacing w:val="19"/>
          <w:sz w:val="20"/>
        </w:rPr>
        <w:t> </w:t>
      </w:r>
      <w:r>
        <w:rPr>
          <w:color w:val="231F20"/>
          <w:sz w:val="20"/>
        </w:rPr>
        <w:t>types</w:t>
      </w:r>
      <w:r>
        <w:rPr>
          <w:color w:val="231F20"/>
          <w:spacing w:val="19"/>
          <w:sz w:val="20"/>
        </w:rPr>
        <w:t> </w:t>
      </w:r>
      <w:r>
        <w:rPr>
          <w:color w:val="231F20"/>
          <w:sz w:val="20"/>
        </w:rPr>
        <w:t>is</w:t>
      </w:r>
      <w:r>
        <w:rPr>
          <w:color w:val="231F20"/>
          <w:spacing w:val="28"/>
          <w:sz w:val="20"/>
        </w:rPr>
        <w:t> </w:t>
      </w:r>
      <w:r>
        <w:rPr>
          <w:color w:val="231F20"/>
          <w:spacing w:val="-25"/>
          <w:position w:val="-1"/>
          <w:sz w:val="20"/>
        </w:rPr>
        <w:drawing>
          <wp:inline distT="0" distB="0" distL="0" distR="0">
            <wp:extent cx="95250" cy="95250"/>
            <wp:effectExtent l="0" t="0" r="0" b="0"/>
            <wp:docPr id="3038" name="Image 3038"/>
            <wp:cNvGraphicFramePr>
              <a:graphicFrameLocks/>
            </wp:cNvGraphicFramePr>
            <a:graphic>
              <a:graphicData uri="http://schemas.openxmlformats.org/drawingml/2006/picture">
                <pic:pic>
                  <pic:nvPicPr>
                    <pic:cNvPr id="3038" name="Image 3038"/>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27"/>
          <w:sz w:val="20"/>
        </w:rPr>
        <w:t> </w:t>
      </w:r>
      <w:r>
        <w:rPr>
          <w:rFonts w:ascii="Book Antiqua"/>
          <w:b/>
          <w:color w:val="231F20"/>
          <w:sz w:val="20"/>
        </w:rPr>
        <w:t>All</w:t>
      </w:r>
      <w:r>
        <w:rPr>
          <w:rFonts w:ascii="Book Antiqua"/>
          <w:b/>
          <w:color w:val="231F20"/>
          <w:spacing w:val="19"/>
          <w:sz w:val="20"/>
        </w:rPr>
        <w:t> </w:t>
      </w:r>
      <w:r>
        <w:rPr>
          <w:rFonts w:ascii="Book Antiqua"/>
          <w:b/>
          <w:color w:val="231F20"/>
          <w:sz w:val="20"/>
        </w:rPr>
        <w:t>Managed</w:t>
      </w:r>
      <w:r>
        <w:rPr>
          <w:rFonts w:ascii="Book Antiqua"/>
          <w:b/>
          <w:color w:val="231F20"/>
          <w:spacing w:val="19"/>
          <w:sz w:val="20"/>
        </w:rPr>
        <w:t> </w:t>
      </w:r>
      <w:r>
        <w:rPr>
          <w:rFonts w:ascii="Book Antiqua"/>
          <w:b/>
          <w:color w:val="231F20"/>
          <w:sz w:val="20"/>
        </w:rPr>
        <w:t>Systems</w:t>
      </w:r>
      <w:r>
        <w:rPr>
          <w:color w:val="231F20"/>
          <w:sz w:val="20"/>
        </w:rPr>
        <w:t>.</w:t>
      </w:r>
      <w:r>
        <w:rPr>
          <w:color w:val="231F20"/>
          <w:spacing w:val="19"/>
          <w:sz w:val="20"/>
        </w:rPr>
        <w:t> </w:t>
      </w:r>
      <w:r>
        <w:rPr>
          <w:color w:val="231F20"/>
          <w:sz w:val="20"/>
        </w:rPr>
        <w:t>Select</w:t>
      </w:r>
      <w:r>
        <w:rPr>
          <w:color w:val="231F20"/>
          <w:spacing w:val="19"/>
          <w:sz w:val="20"/>
        </w:rPr>
        <w:t> </w:t>
      </w:r>
      <w:r>
        <w:rPr>
          <w:color w:val="231F20"/>
          <w:sz w:val="20"/>
        </w:rPr>
        <w:t>it if you want to combine multiple agent types (such as Windows OS and </w:t>
      </w:r>
      <w:r>
        <w:rPr>
          <w:color w:val="231F20"/>
          <w:sz w:val="20"/>
        </w:rPr>
        <w:t>Oracle)</w:t>
      </w:r>
      <w:r>
        <w:rPr>
          <w:color w:val="231F20"/>
          <w:spacing w:val="40"/>
          <w:sz w:val="20"/>
        </w:rPr>
        <w:t> </w:t>
      </w:r>
      <w:r>
        <w:rPr>
          <w:color w:val="231F20"/>
          <w:sz w:val="20"/>
        </w:rPr>
        <w:t>in one managed system group.</w:t>
      </w:r>
    </w:p>
    <w:p>
      <w:pPr>
        <w:pStyle w:val="ListParagraph"/>
        <w:numPr>
          <w:ilvl w:val="0"/>
          <w:numId w:val="167"/>
        </w:numPr>
        <w:tabs>
          <w:tab w:pos="2548" w:val="left" w:leader="none"/>
        </w:tabs>
        <w:spacing w:line="213" w:lineRule="auto" w:before="57" w:after="0"/>
        <w:ind w:left="2548" w:right="437" w:hanging="316"/>
        <w:jc w:val="left"/>
        <w:rPr>
          <w:sz w:val="20"/>
        </w:rPr>
      </w:pPr>
      <w:r>
        <w:rPr>
          <w:color w:val="231F20"/>
          <w:sz w:val="20"/>
        </w:rPr>
        <w:t>Type a descriptive name for the managed system group and click </w:t>
      </w:r>
      <w:r>
        <w:rPr>
          <w:rFonts w:ascii="Book Antiqua"/>
          <w:b/>
          <w:color w:val="231F20"/>
          <w:sz w:val="20"/>
        </w:rPr>
        <w:t>OK</w:t>
      </w:r>
      <w:r>
        <w:rPr>
          <w:color w:val="231F20"/>
          <w:sz w:val="20"/>
        </w:rPr>
        <w:t>. The new managed system group is displayed in the managed system folder.</w:t>
      </w:r>
    </w:p>
    <w:p>
      <w:pPr>
        <w:pStyle w:val="ListParagraph"/>
        <w:numPr>
          <w:ilvl w:val="0"/>
          <w:numId w:val="167"/>
        </w:numPr>
        <w:tabs>
          <w:tab w:pos="2547" w:val="left" w:leader="none"/>
        </w:tabs>
        <w:spacing w:line="255" w:lineRule="exact" w:before="36" w:after="0"/>
        <w:ind w:left="2547" w:right="0" w:hanging="315"/>
        <w:jc w:val="left"/>
        <w:rPr>
          <w:sz w:val="20"/>
        </w:rPr>
      </w:pPr>
      <w:r>
        <w:rPr>
          <w:color w:val="231F20"/>
          <w:sz w:val="20"/>
        </w:rPr>
        <w:t>Select</w:t>
      </w:r>
      <w:r>
        <w:rPr>
          <w:color w:val="231F20"/>
          <w:spacing w:val="8"/>
          <w:sz w:val="20"/>
        </w:rPr>
        <w:t> </w:t>
      </w:r>
      <w:r>
        <w:rPr>
          <w:color w:val="231F20"/>
          <w:sz w:val="20"/>
        </w:rPr>
        <w:t>a</w:t>
      </w:r>
      <w:r>
        <w:rPr>
          <w:color w:val="231F20"/>
          <w:spacing w:val="9"/>
          <w:sz w:val="20"/>
        </w:rPr>
        <w:t> </w:t>
      </w:r>
      <w:r>
        <w:rPr>
          <w:color w:val="231F20"/>
          <w:sz w:val="20"/>
        </w:rPr>
        <w:t>managed</w:t>
      </w:r>
      <w:r>
        <w:rPr>
          <w:color w:val="231F20"/>
          <w:spacing w:val="9"/>
          <w:sz w:val="20"/>
        </w:rPr>
        <w:t> </w:t>
      </w:r>
      <w:r>
        <w:rPr>
          <w:color w:val="231F20"/>
          <w:sz w:val="20"/>
        </w:rPr>
        <w:t>system</w:t>
      </w:r>
      <w:r>
        <w:rPr>
          <w:color w:val="231F20"/>
          <w:spacing w:val="8"/>
          <w:sz w:val="20"/>
        </w:rPr>
        <w:t> </w:t>
      </w:r>
      <w:r>
        <w:rPr>
          <w:color w:val="231F20"/>
          <w:sz w:val="20"/>
        </w:rPr>
        <w:t>from</w:t>
      </w:r>
      <w:r>
        <w:rPr>
          <w:color w:val="231F20"/>
          <w:spacing w:val="9"/>
          <w:sz w:val="20"/>
        </w:rPr>
        <w:t> </w:t>
      </w:r>
      <w:r>
        <w:rPr>
          <w:color w:val="231F20"/>
          <w:sz w:val="20"/>
        </w:rPr>
        <w:t>the</w:t>
      </w:r>
      <w:r>
        <w:rPr>
          <w:color w:val="231F20"/>
          <w:spacing w:val="9"/>
          <w:sz w:val="20"/>
        </w:rPr>
        <w:t> </w:t>
      </w:r>
      <w:r>
        <w:rPr>
          <w:rFonts w:ascii="Book Antiqua"/>
          <w:b/>
          <w:color w:val="231F20"/>
          <w:sz w:val="20"/>
        </w:rPr>
        <w:t>Available</w:t>
      </w:r>
      <w:r>
        <w:rPr>
          <w:rFonts w:ascii="Book Antiqua"/>
          <w:b/>
          <w:color w:val="231F20"/>
          <w:spacing w:val="8"/>
          <w:sz w:val="20"/>
        </w:rPr>
        <w:t> </w:t>
      </w:r>
      <w:r>
        <w:rPr>
          <w:rFonts w:ascii="Book Antiqua"/>
          <w:b/>
          <w:color w:val="231F20"/>
          <w:sz w:val="20"/>
        </w:rPr>
        <w:t>Managed</w:t>
      </w:r>
      <w:r>
        <w:rPr>
          <w:rFonts w:ascii="Book Antiqua"/>
          <w:b/>
          <w:color w:val="231F20"/>
          <w:spacing w:val="9"/>
          <w:sz w:val="20"/>
        </w:rPr>
        <w:t> </w:t>
      </w:r>
      <w:r>
        <w:rPr>
          <w:rFonts w:ascii="Book Antiqua"/>
          <w:b/>
          <w:color w:val="231F20"/>
          <w:sz w:val="20"/>
        </w:rPr>
        <w:t>Systems</w:t>
      </w:r>
      <w:r>
        <w:rPr>
          <w:rFonts w:ascii="Book Antiqua"/>
          <w:b/>
          <w:color w:val="231F20"/>
          <w:spacing w:val="9"/>
          <w:sz w:val="20"/>
        </w:rPr>
        <w:t> </w:t>
      </w:r>
      <w:r>
        <w:rPr>
          <w:color w:val="231F20"/>
          <w:sz w:val="20"/>
        </w:rPr>
        <w:t>list</w:t>
      </w:r>
      <w:r>
        <w:rPr>
          <w:color w:val="231F20"/>
          <w:spacing w:val="8"/>
          <w:sz w:val="20"/>
        </w:rPr>
        <w:t> </w:t>
      </w:r>
      <w:r>
        <w:rPr>
          <w:color w:val="231F20"/>
          <w:spacing w:val="-5"/>
          <w:sz w:val="20"/>
        </w:rPr>
        <w:t>and</w:t>
      </w:r>
    </w:p>
    <w:p>
      <w:pPr>
        <w:pStyle w:val="BodyText"/>
        <w:spacing w:line="213" w:lineRule="auto" w:before="8"/>
        <w:ind w:left="2548" w:right="545" w:firstLine="50"/>
      </w:pPr>
      <w:r>
        <w:rPr>
          <w:position w:val="1"/>
        </w:rPr>
        <w:drawing>
          <wp:inline distT="0" distB="0" distL="0" distR="0">
            <wp:extent cx="44450" cy="76200"/>
            <wp:effectExtent l="0" t="0" r="0" b="0"/>
            <wp:docPr id="3039" name="Image 3039"/>
            <wp:cNvGraphicFramePr>
              <a:graphicFrameLocks/>
            </wp:cNvGraphicFramePr>
            <a:graphic>
              <a:graphicData uri="http://schemas.openxmlformats.org/drawingml/2006/picture">
                <pic:pic>
                  <pic:nvPicPr>
                    <pic:cNvPr id="3039" name="Image 3039"/>
                    <pic:cNvPicPr/>
                  </pic:nvPicPr>
                  <pic:blipFill>
                    <a:blip r:embed="rId153" cstate="print"/>
                    <a:stretch>
                      <a:fillRect/>
                    </a:stretch>
                  </pic:blipFill>
                  <pic:spPr>
                    <a:xfrm>
                      <a:off x="0" y="0"/>
                      <a:ext cx="44450" cy="76200"/>
                    </a:xfrm>
                    <a:prstGeom prst="rect">
                      <a:avLst/>
                    </a:prstGeom>
                  </pic:spPr>
                </pic:pic>
              </a:graphicData>
            </a:graphic>
          </wp:inline>
        </w:drawing>
      </w:r>
      <w:r>
        <w:rPr>
          <w:position w:val="1"/>
        </w:rPr>
      </w:r>
      <w:r>
        <w:rPr>
          <w:rFonts w:ascii="Times New Roman"/>
          <w:spacing w:val="40"/>
        </w:rPr>
        <w:t> </w:t>
      </w:r>
      <w:r>
        <w:rPr>
          <w:color w:val="231F20"/>
        </w:rPr>
        <w:t>move it to the </w:t>
      </w:r>
      <w:r>
        <w:rPr>
          <w:rFonts w:ascii="Book Antiqua"/>
          <w:b/>
          <w:color w:val="231F20"/>
        </w:rPr>
        <w:t>Assigned </w:t>
      </w:r>
      <w:r>
        <w:rPr>
          <w:color w:val="231F20"/>
        </w:rPr>
        <w:t>list. You can select multiple managed systems by holding down Ctrl while clicking each managed system. You can also, after selecting a managed system, use Shift+click to select all managed systems between this and the first selection.</w:t>
      </w:r>
    </w:p>
    <w:p>
      <w:pPr>
        <w:pStyle w:val="ListParagraph"/>
        <w:numPr>
          <w:ilvl w:val="0"/>
          <w:numId w:val="167"/>
        </w:numPr>
        <w:tabs>
          <w:tab w:pos="2548" w:val="left" w:leader="none"/>
        </w:tabs>
        <w:spacing w:line="213" w:lineRule="auto" w:before="57" w:after="0"/>
        <w:ind w:left="2548" w:right="657" w:hanging="316"/>
        <w:jc w:val="left"/>
        <w:rPr>
          <w:sz w:val="20"/>
        </w:rPr>
      </w:pPr>
      <w:r>
        <w:rPr>
          <w:color w:val="231F20"/>
          <w:sz w:val="20"/>
        </w:rPr>
        <w:t>Save your changes and either keep the editor open with </w:t>
      </w:r>
      <w:r>
        <w:rPr>
          <w:rFonts w:ascii="Book Antiqua"/>
          <w:b/>
          <w:color w:val="231F20"/>
          <w:sz w:val="20"/>
        </w:rPr>
        <w:t>Apply </w:t>
      </w:r>
      <w:r>
        <w:rPr>
          <w:color w:val="231F20"/>
          <w:sz w:val="20"/>
        </w:rPr>
        <w:t>or exit with </w:t>
      </w:r>
      <w:r>
        <w:rPr>
          <w:rFonts w:ascii="Book Antiqua"/>
          <w:b/>
          <w:color w:val="231F20"/>
          <w:sz w:val="20"/>
        </w:rPr>
        <w:t>OK</w:t>
      </w:r>
      <w:r>
        <w:rPr>
          <w:color w:val="231F20"/>
          <w:sz w:val="20"/>
        </w:rPr>
        <w:t>. The managed system group is now available to all users who are </w:t>
      </w:r>
      <w:r>
        <w:rPr>
          <w:color w:val="231F20"/>
          <w:sz w:val="20"/>
        </w:rPr>
        <w:t>signed on to the portal server that connects to this hub monitoring server.</w:t>
      </w:r>
    </w:p>
    <w:p>
      <w:pPr>
        <w:pStyle w:val="BodyText"/>
        <w:spacing w:line="213" w:lineRule="auto" w:before="237"/>
        <w:ind w:left="2548" w:right="636"/>
      </w:pPr>
      <w:r>
        <w:rPr>
          <w:rFonts w:ascii="Book Antiqua"/>
          <w:b/>
          <w:color w:val="231F20"/>
        </w:rPr>
        <w:t>Note:</w:t>
      </w:r>
      <w:r>
        <w:rPr>
          <w:rFonts w:ascii="Book Antiqua"/>
          <w:b/>
          <w:color w:val="231F20"/>
          <w:spacing w:val="40"/>
        </w:rPr>
        <w:t> </w:t>
      </w:r>
      <w:r>
        <w:rPr>
          <w:color w:val="231F20"/>
        </w:rPr>
        <w:t>Be sure that the managed systems added to the managed system </w:t>
      </w:r>
      <w:r>
        <w:rPr>
          <w:color w:val="231F20"/>
        </w:rPr>
        <w:t>group are at a supported version level. Otherwise, it is possible that after you distribute a situation to the managed system group and then attempt to start</w:t>
      </w:r>
    </w:p>
    <w:p>
      <w:pPr>
        <w:pStyle w:val="BodyText"/>
        <w:spacing w:line="213" w:lineRule="auto" w:before="78"/>
        <w:ind w:left="2548" w:right="545"/>
      </w:pPr>
      <w:r>
        <w:rPr>
          <w:color w:val="231F20"/>
        </w:rPr>
        <w:t>the situation, its status will show as</w:t>
      </w:r>
      <w:r>
        <w:rPr>
          <w:color w:val="231F20"/>
          <w:spacing w:val="24"/>
        </w:rPr>
        <w:t> </w:t>
      </w:r>
      <w:r>
        <w:rPr>
          <w:color w:val="231F20"/>
          <w:spacing w:val="-20"/>
          <w:position w:val="-1"/>
        </w:rPr>
        <w:drawing>
          <wp:inline distT="0" distB="0" distL="0" distR="0">
            <wp:extent cx="142875" cy="142875"/>
            <wp:effectExtent l="0" t="0" r="0" b="0"/>
            <wp:docPr id="3040" name="Image 3040"/>
            <wp:cNvGraphicFramePr>
              <a:graphicFrameLocks/>
            </wp:cNvGraphicFramePr>
            <a:graphic>
              <a:graphicData uri="http://schemas.openxmlformats.org/drawingml/2006/picture">
                <pic:pic>
                  <pic:nvPicPr>
                    <pic:cNvPr id="3040" name="Image 3040"/>
                    <pic:cNvPicPr/>
                  </pic:nvPicPr>
                  <pic:blipFill>
                    <a:blip r:embed="rId113" cstate="print"/>
                    <a:stretch>
                      <a:fillRect/>
                    </a:stretch>
                  </pic:blipFill>
                  <pic:spPr>
                    <a:xfrm>
                      <a:off x="0" y="0"/>
                      <a:ext cx="142875" cy="142875"/>
                    </a:xfrm>
                    <a:prstGeom prst="rect">
                      <a:avLst/>
                    </a:prstGeom>
                  </pic:spPr>
                </pic:pic>
              </a:graphicData>
            </a:graphic>
          </wp:inline>
        </w:drawing>
      </w:r>
      <w:r>
        <w:rPr>
          <w:color w:val="231F20"/>
          <w:spacing w:val="-20"/>
          <w:position w:val="-1"/>
        </w:rPr>
      </w:r>
      <w:r>
        <w:rPr>
          <w:rFonts w:ascii="Times New Roman"/>
          <w:color w:val="231F20"/>
          <w:spacing w:val="40"/>
        </w:rPr>
        <w:t> </w:t>
      </w:r>
      <w:r>
        <w:rPr>
          <w:color w:val="231F20"/>
        </w:rPr>
        <w:t>Problem in the situation event </w:t>
      </w:r>
      <w:r>
        <w:rPr>
          <w:color w:val="231F20"/>
        </w:rPr>
        <w:t>console and message log views.</w:t>
      </w:r>
    </w:p>
    <w:p>
      <w:pPr>
        <w:pStyle w:val="Heading5"/>
        <w:spacing w:before="219"/>
        <w:ind w:left="2232"/>
      </w:pPr>
      <w:r>
        <w:rPr>
          <w:color w:val="231F20"/>
        </w:rPr>
        <w:t>What</w:t>
      </w:r>
      <w:r>
        <w:rPr>
          <w:color w:val="231F20"/>
          <w:spacing w:val="7"/>
        </w:rPr>
        <w:t> </w:t>
      </w:r>
      <w:r>
        <w:rPr>
          <w:color w:val="231F20"/>
        </w:rPr>
        <w:t>to</w:t>
      </w:r>
      <w:r>
        <w:rPr>
          <w:color w:val="231F20"/>
          <w:spacing w:val="8"/>
        </w:rPr>
        <w:t> </w:t>
      </w:r>
      <w:r>
        <w:rPr>
          <w:color w:val="231F20"/>
        </w:rPr>
        <w:t>do</w:t>
      </w:r>
      <w:r>
        <w:rPr>
          <w:color w:val="231F20"/>
          <w:spacing w:val="7"/>
        </w:rPr>
        <w:t> </w:t>
      </w:r>
      <w:r>
        <w:rPr>
          <w:color w:val="231F20"/>
          <w:spacing w:val="-4"/>
        </w:rPr>
        <w:t>next</w:t>
      </w:r>
    </w:p>
    <w:p>
      <w:pPr>
        <w:pStyle w:val="BodyText"/>
        <w:spacing w:line="213" w:lineRule="auto" w:before="245"/>
        <w:ind w:left="2232" w:right="636"/>
      </w:pPr>
      <w:r>
        <w:rPr>
          <w:color w:val="231F20"/>
        </w:rPr>
        <w:t>You can now assign the managed system group to any object that has managed system assignments. Each of these locations has a </w:t>
      </w:r>
      <w:r>
        <w:rPr>
          <w:rFonts w:ascii="Book Antiqua"/>
          <w:b/>
          <w:color w:val="231F20"/>
        </w:rPr>
        <w:t>Edit Managed System </w:t>
      </w:r>
      <w:r>
        <w:rPr>
          <w:rFonts w:ascii="Book Antiqua"/>
          <w:b/>
          <w:color w:val="231F20"/>
        </w:rPr>
        <w:t>Groups </w:t>
      </w:r>
      <w:r>
        <w:rPr>
          <w:color w:val="231F20"/>
        </w:rPr>
        <w:t>button for convenient access to the Object group editor for managed system </w:t>
      </w:r>
      <w:r>
        <w:rPr>
          <w:color w:val="231F20"/>
          <w:spacing w:val="-2"/>
        </w:rPr>
        <w:t>groups:</w:t>
      </w:r>
    </w:p>
    <w:p>
      <w:pPr>
        <w:pStyle w:val="BodyText"/>
        <w:spacing w:before="34"/>
        <w:ind w:left="2232"/>
      </w:pPr>
      <w:r>
        <w:rPr>
          <w:rFonts w:ascii="Futura MdCn BT"/>
          <w:color w:val="231F20"/>
        </w:rPr>
        <w:t>v</w:t>
      </w:r>
      <w:r>
        <w:rPr>
          <w:rFonts w:ascii="Futura MdCn BT"/>
          <w:color w:val="231F20"/>
          <w:spacing w:val="79"/>
          <w:w w:val="150"/>
        </w:rPr>
        <w:t> </w:t>
      </w:r>
      <w:r>
        <w:rPr>
          <w:rFonts w:ascii="Book Antiqua"/>
          <w:b/>
          <w:color w:val="231F20"/>
        </w:rPr>
        <w:t>Distribution</w:t>
      </w:r>
      <w:r>
        <w:rPr>
          <w:rFonts w:ascii="Book Antiqua"/>
          <w:b/>
          <w:color w:val="231F20"/>
          <w:spacing w:val="11"/>
        </w:rPr>
        <w:t> </w:t>
      </w:r>
      <w:r>
        <w:rPr>
          <w:color w:val="231F20"/>
        </w:rPr>
        <w:t>tab</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History</w:t>
      </w:r>
      <w:r>
        <w:rPr>
          <w:color w:val="231F20"/>
          <w:spacing w:val="11"/>
        </w:rPr>
        <w:t> </w:t>
      </w:r>
      <w:r>
        <w:rPr>
          <w:color w:val="231F20"/>
        </w:rPr>
        <w:t>Collection</w:t>
      </w:r>
      <w:r>
        <w:rPr>
          <w:color w:val="231F20"/>
          <w:spacing w:val="11"/>
        </w:rPr>
        <w:t> </w:t>
      </w:r>
      <w:r>
        <w:rPr>
          <w:color w:val="231F20"/>
        </w:rPr>
        <w:t>Configuration</w:t>
      </w:r>
      <w:r>
        <w:rPr>
          <w:color w:val="231F20"/>
          <w:spacing w:val="11"/>
        </w:rPr>
        <w:t> </w:t>
      </w:r>
      <w:r>
        <w:rPr>
          <w:color w:val="231F20"/>
          <w:spacing w:val="-2"/>
        </w:rPr>
        <w:t>editor</w:t>
      </w:r>
    </w:p>
    <w:p>
      <w:pPr>
        <w:spacing w:before="30"/>
        <w:ind w:left="2232" w:right="0" w:firstLine="0"/>
        <w:jc w:val="left"/>
        <w:rPr>
          <w:sz w:val="20"/>
        </w:rPr>
      </w:pPr>
      <w:r>
        <w:rPr>
          <w:rFonts w:ascii="Futura MdCn BT"/>
          <w:color w:val="231F20"/>
          <w:sz w:val="20"/>
        </w:rPr>
        <w:t>v</w:t>
      </w:r>
      <w:r>
        <w:rPr>
          <w:rFonts w:ascii="Futura MdCn BT"/>
          <w:color w:val="231F20"/>
          <w:spacing w:val="31"/>
          <w:sz w:val="20"/>
        </w:rPr>
        <w:t>  </w:t>
      </w:r>
      <w:r>
        <w:rPr>
          <w:rFonts w:ascii="Book Antiqua"/>
          <w:b/>
          <w:color w:val="231F20"/>
          <w:sz w:val="20"/>
        </w:rPr>
        <w:t>Distribution</w:t>
      </w:r>
      <w:r>
        <w:rPr>
          <w:rFonts w:ascii="Book Antiqua"/>
          <w:b/>
          <w:color w:val="231F20"/>
          <w:spacing w:val="13"/>
          <w:sz w:val="20"/>
        </w:rPr>
        <w:t> </w:t>
      </w:r>
      <w:r>
        <w:rPr>
          <w:color w:val="231F20"/>
          <w:sz w:val="20"/>
        </w:rPr>
        <w:t>tab</w:t>
      </w:r>
      <w:r>
        <w:rPr>
          <w:color w:val="231F20"/>
          <w:spacing w:val="12"/>
          <w:sz w:val="20"/>
        </w:rPr>
        <w:t> </w:t>
      </w:r>
      <w:r>
        <w:rPr>
          <w:color w:val="231F20"/>
          <w:sz w:val="20"/>
        </w:rPr>
        <w:t>of</w:t>
      </w:r>
      <w:r>
        <w:rPr>
          <w:color w:val="231F20"/>
          <w:spacing w:val="13"/>
          <w:sz w:val="20"/>
        </w:rPr>
        <w:t> </w:t>
      </w:r>
      <w:r>
        <w:rPr>
          <w:color w:val="231F20"/>
          <w:sz w:val="20"/>
        </w:rPr>
        <w:t>the</w:t>
      </w:r>
      <w:r>
        <w:rPr>
          <w:color w:val="231F20"/>
          <w:spacing w:val="12"/>
          <w:sz w:val="20"/>
        </w:rPr>
        <w:t> </w:t>
      </w:r>
      <w:r>
        <w:rPr>
          <w:color w:val="231F20"/>
          <w:sz w:val="20"/>
        </w:rPr>
        <w:t>Situation</w:t>
      </w:r>
      <w:r>
        <w:rPr>
          <w:color w:val="231F20"/>
          <w:spacing w:val="12"/>
          <w:sz w:val="20"/>
        </w:rPr>
        <w:t> </w:t>
      </w:r>
      <w:r>
        <w:rPr>
          <w:color w:val="231F20"/>
          <w:spacing w:val="-2"/>
          <w:sz w:val="20"/>
        </w:rPr>
        <w:t>editor</w:t>
      </w:r>
    </w:p>
    <w:p>
      <w:pPr>
        <w:spacing w:before="29"/>
        <w:ind w:left="2232" w:right="0" w:firstLine="0"/>
        <w:jc w:val="left"/>
        <w:rPr>
          <w:sz w:val="20"/>
        </w:rPr>
      </w:pPr>
      <w:r>
        <w:rPr>
          <w:rFonts w:ascii="Futura MdCn BT"/>
          <w:color w:val="231F20"/>
          <w:sz w:val="20"/>
        </w:rPr>
        <w:t>v</w:t>
      </w:r>
      <w:r>
        <w:rPr>
          <w:rFonts w:ascii="Futura MdCn BT"/>
          <w:color w:val="231F20"/>
          <w:spacing w:val="31"/>
          <w:sz w:val="20"/>
        </w:rPr>
        <w:t>  </w:t>
      </w:r>
      <w:r>
        <w:rPr>
          <w:rFonts w:ascii="Book Antiqua"/>
          <w:b/>
          <w:color w:val="231F20"/>
          <w:sz w:val="20"/>
        </w:rPr>
        <w:t>Monitored</w:t>
      </w:r>
      <w:r>
        <w:rPr>
          <w:rFonts w:ascii="Book Antiqua"/>
          <w:b/>
          <w:color w:val="231F20"/>
          <w:spacing w:val="11"/>
          <w:sz w:val="20"/>
        </w:rPr>
        <w:t> </w:t>
      </w:r>
      <w:r>
        <w:rPr>
          <w:rFonts w:ascii="Book Antiqua"/>
          <w:b/>
          <w:color w:val="231F20"/>
          <w:sz w:val="20"/>
        </w:rPr>
        <w:t>resources</w:t>
      </w:r>
      <w:r>
        <w:rPr>
          <w:rFonts w:ascii="Book Antiqua"/>
          <w:b/>
          <w:color w:val="231F20"/>
          <w:spacing w:val="12"/>
          <w:sz w:val="20"/>
        </w:rPr>
        <w:t> </w:t>
      </w:r>
      <w:r>
        <w:rPr>
          <w:color w:val="231F20"/>
          <w:sz w:val="20"/>
        </w:rPr>
        <w:t>tab</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Navigator</w:t>
      </w:r>
      <w:r>
        <w:rPr>
          <w:color w:val="231F20"/>
          <w:spacing w:val="12"/>
          <w:sz w:val="20"/>
        </w:rPr>
        <w:t> </w:t>
      </w:r>
      <w:r>
        <w:rPr>
          <w:color w:val="231F20"/>
          <w:sz w:val="20"/>
        </w:rPr>
        <w:t>item</w:t>
      </w:r>
      <w:r>
        <w:rPr>
          <w:color w:val="231F20"/>
          <w:spacing w:val="11"/>
          <w:sz w:val="20"/>
        </w:rPr>
        <w:t> </w:t>
      </w:r>
      <w:r>
        <w:rPr>
          <w:color w:val="231F20"/>
          <w:spacing w:val="-2"/>
          <w:sz w:val="20"/>
        </w:rPr>
        <w:t>properties</w:t>
      </w:r>
    </w:p>
    <w:p>
      <w:pPr>
        <w:spacing w:line="257" w:lineRule="exact" w:before="30"/>
        <w:ind w:left="2232" w:right="0" w:firstLine="0"/>
        <w:jc w:val="left"/>
        <w:rPr>
          <w:sz w:val="20"/>
        </w:rPr>
      </w:pPr>
      <w:r>
        <w:rPr>
          <w:rFonts w:ascii="Futura MdCn BT"/>
          <w:color w:val="231F20"/>
          <w:sz w:val="20"/>
        </w:rPr>
        <w:t>v</w:t>
      </w:r>
      <w:r>
        <w:rPr>
          <w:rFonts w:ascii="Futura MdCn BT"/>
          <w:color w:val="231F20"/>
          <w:spacing w:val="30"/>
          <w:sz w:val="20"/>
        </w:rPr>
        <w:t>  </w:t>
      </w:r>
      <w:r>
        <w:rPr>
          <w:rFonts w:ascii="Book Antiqua"/>
          <w:b/>
          <w:color w:val="231F20"/>
          <w:sz w:val="20"/>
        </w:rPr>
        <w:t>Change</w:t>
      </w:r>
      <w:r>
        <w:rPr>
          <w:rFonts w:ascii="Book Antiqua"/>
          <w:b/>
          <w:color w:val="231F20"/>
          <w:spacing w:val="12"/>
          <w:sz w:val="20"/>
        </w:rPr>
        <w:t> </w:t>
      </w:r>
      <w:r>
        <w:rPr>
          <w:rFonts w:ascii="Book Antiqua"/>
          <w:b/>
          <w:color w:val="231F20"/>
          <w:sz w:val="20"/>
        </w:rPr>
        <w:t>Policy</w:t>
      </w:r>
      <w:r>
        <w:rPr>
          <w:rFonts w:ascii="Book Antiqua"/>
          <w:b/>
          <w:color w:val="231F20"/>
          <w:spacing w:val="11"/>
          <w:sz w:val="20"/>
        </w:rPr>
        <w:t> </w:t>
      </w:r>
      <w:r>
        <w:rPr>
          <w:rFonts w:ascii="Book Antiqua"/>
          <w:b/>
          <w:color w:val="231F20"/>
          <w:sz w:val="20"/>
        </w:rPr>
        <w:t>Distribution</w:t>
      </w:r>
      <w:r>
        <w:rPr>
          <w:rFonts w:ascii="Book Antiqua"/>
          <w:b/>
          <w:color w:val="231F20"/>
          <w:spacing w:val="12"/>
          <w:sz w:val="20"/>
        </w:rPr>
        <w:t> </w:t>
      </w:r>
      <w:r>
        <w:rPr>
          <w:color w:val="231F20"/>
          <w:sz w:val="20"/>
        </w:rPr>
        <w:t>dialog</w:t>
      </w:r>
      <w:r>
        <w:rPr>
          <w:color w:val="231F20"/>
          <w:spacing w:val="11"/>
          <w:sz w:val="20"/>
        </w:rPr>
        <w:t> </w:t>
      </w:r>
      <w:r>
        <w:rPr>
          <w:color w:val="231F20"/>
          <w:sz w:val="20"/>
        </w:rPr>
        <w:t>box,</w:t>
      </w:r>
      <w:r>
        <w:rPr>
          <w:color w:val="231F20"/>
          <w:spacing w:val="11"/>
          <w:sz w:val="20"/>
        </w:rPr>
        <w:t> </w:t>
      </w:r>
      <w:r>
        <w:rPr>
          <w:color w:val="231F20"/>
          <w:sz w:val="20"/>
        </w:rPr>
        <w:t>which</w:t>
      </w:r>
      <w:r>
        <w:rPr>
          <w:color w:val="231F20"/>
          <w:spacing w:val="12"/>
          <w:sz w:val="20"/>
        </w:rPr>
        <w:t> </w:t>
      </w:r>
      <w:r>
        <w:rPr>
          <w:color w:val="231F20"/>
          <w:sz w:val="20"/>
        </w:rPr>
        <w:t>opens</w:t>
      </w:r>
      <w:r>
        <w:rPr>
          <w:color w:val="231F20"/>
          <w:spacing w:val="11"/>
          <w:sz w:val="20"/>
        </w:rPr>
        <w:t> </w:t>
      </w:r>
      <w:r>
        <w:rPr>
          <w:color w:val="231F20"/>
          <w:sz w:val="20"/>
        </w:rPr>
        <w:t>after</w:t>
      </w:r>
      <w:r>
        <w:rPr>
          <w:color w:val="231F20"/>
          <w:spacing w:val="12"/>
          <w:sz w:val="20"/>
        </w:rPr>
        <w:t> </w:t>
      </w:r>
      <w:r>
        <w:rPr>
          <w:color w:val="231F20"/>
          <w:sz w:val="20"/>
        </w:rPr>
        <w:t>you</w:t>
      </w:r>
      <w:r>
        <w:rPr>
          <w:color w:val="231F20"/>
          <w:spacing w:val="11"/>
          <w:sz w:val="20"/>
        </w:rPr>
        <w:t> </w:t>
      </w:r>
      <w:r>
        <w:rPr>
          <w:color w:val="231F20"/>
          <w:sz w:val="20"/>
        </w:rPr>
        <w:t>select</w:t>
      </w:r>
      <w:r>
        <w:rPr>
          <w:color w:val="231F20"/>
          <w:spacing w:val="11"/>
          <w:sz w:val="20"/>
        </w:rPr>
        <w:t> </w:t>
      </w:r>
      <w:r>
        <w:rPr>
          <w:color w:val="231F20"/>
          <w:spacing w:val="-5"/>
          <w:sz w:val="20"/>
        </w:rPr>
        <w:t>the</w:t>
      </w:r>
    </w:p>
    <w:p>
      <w:pPr>
        <w:spacing w:line="257" w:lineRule="exact" w:before="0"/>
        <w:ind w:left="2448" w:right="0" w:firstLine="0"/>
        <w:jc w:val="left"/>
        <w:rPr>
          <w:sz w:val="20"/>
        </w:rPr>
      </w:pPr>
      <w:r>
        <w:rPr/>
        <w:drawing>
          <wp:inline distT="0" distB="0" distL="0" distR="0">
            <wp:extent cx="82550" cy="82550"/>
            <wp:effectExtent l="0" t="0" r="0" b="0"/>
            <wp:docPr id="3041" name="Image 3041"/>
            <wp:cNvGraphicFramePr>
              <a:graphicFrameLocks/>
            </wp:cNvGraphicFramePr>
            <a:graphic>
              <a:graphicData uri="http://schemas.openxmlformats.org/drawingml/2006/picture">
                <pic:pic>
                  <pic:nvPicPr>
                    <pic:cNvPr id="3041" name="Image 3041"/>
                    <pic:cNvPicPr/>
                  </pic:nvPicPr>
                  <pic:blipFill>
                    <a:blip r:embed="rId87" cstate="print"/>
                    <a:stretch>
                      <a:fillRect/>
                    </a:stretch>
                  </pic:blipFill>
                  <pic:spPr>
                    <a:xfrm>
                      <a:off x="0" y="0"/>
                      <a:ext cx="82550" cy="82550"/>
                    </a:xfrm>
                    <a:prstGeom prst="rect">
                      <a:avLst/>
                    </a:prstGeom>
                  </pic:spPr>
                </pic:pic>
              </a:graphicData>
            </a:graphic>
          </wp:inline>
        </w:drawing>
      </w:r>
      <w:r>
        <w:rPr/>
      </w:r>
      <w:r>
        <w:rPr>
          <w:rFonts w:ascii="Times New Roman"/>
          <w:spacing w:val="5"/>
          <w:sz w:val="20"/>
        </w:rPr>
        <w:t> </w:t>
      </w:r>
      <w:r>
        <w:rPr>
          <w:rFonts w:ascii="Book Antiqua"/>
          <w:b/>
          <w:color w:val="231F20"/>
          <w:sz w:val="20"/>
        </w:rPr>
        <w:t>Distributed</w:t>
      </w:r>
      <w:r>
        <w:rPr>
          <w:rFonts w:ascii="Book Antiqua"/>
          <w:b/>
          <w:color w:val="231F20"/>
          <w:spacing w:val="11"/>
          <w:sz w:val="20"/>
        </w:rPr>
        <w:t> </w:t>
      </w:r>
      <w:r>
        <w:rPr>
          <w:color w:val="231F20"/>
          <w:sz w:val="20"/>
        </w:rPr>
        <w:t>check</w:t>
      </w:r>
      <w:r>
        <w:rPr>
          <w:color w:val="231F20"/>
          <w:spacing w:val="11"/>
          <w:sz w:val="20"/>
        </w:rPr>
        <w:t> </w:t>
      </w:r>
      <w:r>
        <w:rPr>
          <w:color w:val="231F20"/>
          <w:sz w:val="20"/>
        </w:rPr>
        <w:t>box</w:t>
      </w:r>
      <w:r>
        <w:rPr>
          <w:color w:val="231F20"/>
          <w:spacing w:val="11"/>
          <w:sz w:val="20"/>
        </w:rPr>
        <w:t> </w:t>
      </w:r>
      <w:r>
        <w:rPr>
          <w:color w:val="231F20"/>
          <w:sz w:val="20"/>
        </w:rPr>
        <w:t>for</w:t>
      </w:r>
      <w:r>
        <w:rPr>
          <w:color w:val="231F20"/>
          <w:spacing w:val="11"/>
          <w:sz w:val="20"/>
        </w:rPr>
        <w:t> </w:t>
      </w:r>
      <w:r>
        <w:rPr>
          <w:color w:val="231F20"/>
          <w:sz w:val="20"/>
        </w:rPr>
        <w:t>a</w:t>
      </w:r>
      <w:r>
        <w:rPr>
          <w:color w:val="231F20"/>
          <w:spacing w:val="11"/>
          <w:sz w:val="20"/>
        </w:rPr>
        <w:t> </w:t>
      </w:r>
      <w:r>
        <w:rPr>
          <w:color w:val="231F20"/>
          <w:sz w:val="20"/>
        </w:rPr>
        <w:t>policy</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Workflows</w:t>
      </w:r>
      <w:r>
        <w:rPr>
          <w:color w:val="231F20"/>
          <w:spacing w:val="11"/>
          <w:sz w:val="20"/>
        </w:rPr>
        <w:t> </w:t>
      </w:r>
      <w:r>
        <w:rPr>
          <w:color w:val="231F20"/>
          <w:sz w:val="20"/>
        </w:rPr>
        <w:t>editor</w:t>
      </w:r>
    </w:p>
    <w:p>
      <w:pPr>
        <w:spacing w:before="24"/>
        <w:ind w:left="2232" w:right="0" w:firstLine="0"/>
        <w:jc w:val="left"/>
        <w:rPr>
          <w:sz w:val="20"/>
        </w:rPr>
      </w:pPr>
      <w:bookmarkStart w:name="Copying a managed system group" w:id="603"/>
      <w:bookmarkEnd w:id="603"/>
      <w:r>
        <w:rPr/>
      </w:r>
      <w:r>
        <w:rPr>
          <w:rFonts w:ascii="Futura MdCn BT"/>
          <w:color w:val="231F20"/>
          <w:sz w:val="20"/>
        </w:rPr>
        <w:t>v</w:t>
      </w:r>
      <w:r>
        <w:rPr>
          <w:rFonts w:ascii="Futura MdCn BT"/>
          <w:color w:val="231F20"/>
          <w:spacing w:val="31"/>
          <w:sz w:val="20"/>
        </w:rPr>
        <w:t>  </w:t>
      </w:r>
      <w:r>
        <w:rPr>
          <w:rFonts w:ascii="Book Antiqua"/>
          <w:b/>
          <w:color w:val="231F20"/>
          <w:sz w:val="20"/>
        </w:rPr>
        <w:t>Query</w:t>
      </w:r>
      <w:r>
        <w:rPr>
          <w:rFonts w:ascii="Book Antiqua"/>
          <w:b/>
          <w:color w:val="231F20"/>
          <w:spacing w:val="14"/>
          <w:sz w:val="20"/>
        </w:rPr>
        <w:t> </w:t>
      </w:r>
      <w:r>
        <w:rPr>
          <w:rFonts w:ascii="Book Antiqua"/>
          <w:b/>
          <w:color w:val="231F20"/>
          <w:sz w:val="20"/>
        </w:rPr>
        <w:t>Results</w:t>
      </w:r>
      <w:r>
        <w:rPr>
          <w:rFonts w:ascii="Book Antiqua"/>
          <w:b/>
          <w:color w:val="231F20"/>
          <w:spacing w:val="12"/>
          <w:sz w:val="20"/>
        </w:rPr>
        <w:t> </w:t>
      </w:r>
      <w:r>
        <w:rPr>
          <w:rFonts w:ascii="Book Antiqua"/>
          <w:b/>
          <w:color w:val="231F20"/>
          <w:sz w:val="20"/>
        </w:rPr>
        <w:t>Source</w:t>
      </w:r>
      <w:r>
        <w:rPr>
          <w:rFonts w:ascii="Book Antiqua"/>
          <w:b/>
          <w:color w:val="231F20"/>
          <w:spacing w:val="13"/>
          <w:sz w:val="20"/>
        </w:rPr>
        <w:t> </w:t>
      </w:r>
      <w:r>
        <w:rPr>
          <w:color w:val="231F20"/>
          <w:sz w:val="20"/>
        </w:rPr>
        <w:t>tab</w:t>
      </w:r>
      <w:r>
        <w:rPr>
          <w:color w:val="231F20"/>
          <w:spacing w:val="13"/>
          <w:sz w:val="20"/>
        </w:rPr>
        <w:t> </w:t>
      </w:r>
      <w:r>
        <w:rPr>
          <w:color w:val="231F20"/>
          <w:sz w:val="20"/>
        </w:rPr>
        <w:t>of</w:t>
      </w:r>
      <w:r>
        <w:rPr>
          <w:color w:val="231F20"/>
          <w:spacing w:val="12"/>
          <w:sz w:val="20"/>
        </w:rPr>
        <w:t> </w:t>
      </w:r>
      <w:r>
        <w:rPr>
          <w:color w:val="231F20"/>
          <w:sz w:val="20"/>
        </w:rPr>
        <w:t>the</w:t>
      </w:r>
      <w:r>
        <w:rPr>
          <w:color w:val="231F20"/>
          <w:spacing w:val="13"/>
          <w:sz w:val="20"/>
        </w:rPr>
        <w:t> </w:t>
      </w:r>
      <w:r>
        <w:rPr>
          <w:color w:val="231F20"/>
          <w:sz w:val="20"/>
        </w:rPr>
        <w:t>Query</w:t>
      </w:r>
      <w:r>
        <w:rPr>
          <w:color w:val="231F20"/>
          <w:spacing w:val="12"/>
          <w:sz w:val="20"/>
        </w:rPr>
        <w:t> </w:t>
      </w:r>
      <w:r>
        <w:rPr>
          <w:color w:val="231F20"/>
          <w:spacing w:val="-2"/>
          <w:sz w:val="20"/>
        </w:rPr>
        <w:t>Editor</w:t>
      </w:r>
    </w:p>
    <w:p>
      <w:pPr>
        <w:pStyle w:val="Heading4"/>
        <w:spacing w:line="273" w:lineRule="exact" w:before="159"/>
      </w:pPr>
      <w:r>
        <w:rPr>
          <w:color w:val="231F20"/>
        </w:rPr>
        <w:t>Copying</w:t>
      </w:r>
      <w:r>
        <w:rPr>
          <w:color w:val="231F20"/>
          <w:spacing w:val="5"/>
        </w:rPr>
        <w:t> </w:t>
      </w:r>
      <w:r>
        <w:rPr>
          <w:color w:val="231F20"/>
        </w:rPr>
        <w:t>a</w:t>
      </w:r>
      <w:r>
        <w:rPr>
          <w:color w:val="231F20"/>
          <w:spacing w:val="6"/>
        </w:rPr>
        <w:t> </w:t>
      </w:r>
      <w:r>
        <w:rPr>
          <w:color w:val="231F20"/>
        </w:rPr>
        <w:t>managed</w:t>
      </w:r>
      <w:r>
        <w:rPr>
          <w:color w:val="231F20"/>
          <w:spacing w:val="5"/>
        </w:rPr>
        <w:t> </w:t>
      </w:r>
      <w:r>
        <w:rPr>
          <w:color w:val="231F20"/>
        </w:rPr>
        <w:t>system</w:t>
      </w:r>
      <w:r>
        <w:rPr>
          <w:color w:val="231F20"/>
          <w:spacing w:val="6"/>
        </w:rPr>
        <w:t> </w:t>
      </w:r>
      <w:r>
        <w:rPr>
          <w:color w:val="231F20"/>
          <w:spacing w:val="-2"/>
        </w:rPr>
        <w:t>group</w:t>
      </w:r>
    </w:p>
    <w:p>
      <w:pPr>
        <w:pStyle w:val="BodyText"/>
        <w:spacing w:line="267" w:lineRule="exact"/>
        <w:ind w:left="2232"/>
      </w:pPr>
      <w:r>
        <w:rPr>
          <w:color w:val="231F20"/>
        </w:rPr>
        <w:t>You</w:t>
      </w:r>
      <w:r>
        <w:rPr>
          <w:color w:val="231F20"/>
          <w:spacing w:val="9"/>
        </w:rPr>
        <w:t> </w:t>
      </w:r>
      <w:r>
        <w:rPr>
          <w:color w:val="231F20"/>
        </w:rPr>
        <w:t>can</w:t>
      </w:r>
      <w:r>
        <w:rPr>
          <w:color w:val="231F20"/>
          <w:spacing w:val="10"/>
        </w:rPr>
        <w:t> </w:t>
      </w:r>
      <w:r>
        <w:rPr>
          <w:color w:val="231F20"/>
        </w:rPr>
        <w:t>create</w:t>
      </w:r>
      <w:r>
        <w:rPr>
          <w:color w:val="231F20"/>
          <w:spacing w:val="10"/>
        </w:rPr>
        <w:t> </w:t>
      </w:r>
      <w:r>
        <w:rPr>
          <w:color w:val="231F20"/>
        </w:rPr>
        <w:t>a</w:t>
      </w:r>
      <w:r>
        <w:rPr>
          <w:color w:val="231F20"/>
          <w:spacing w:val="10"/>
        </w:rPr>
        <w:t> </w:t>
      </w:r>
      <w:r>
        <w:rPr>
          <w:color w:val="231F20"/>
        </w:rPr>
        <w:t>copy</w:t>
      </w:r>
      <w:r>
        <w:rPr>
          <w:color w:val="231F20"/>
          <w:spacing w:val="9"/>
        </w:rPr>
        <w:t> </w:t>
      </w:r>
      <w:r>
        <w:rPr>
          <w:color w:val="231F20"/>
        </w:rPr>
        <w:t>of</w:t>
      </w:r>
      <w:r>
        <w:rPr>
          <w:color w:val="231F20"/>
          <w:spacing w:val="10"/>
        </w:rPr>
        <w:t> </w:t>
      </w:r>
      <w:r>
        <w:rPr>
          <w:color w:val="231F20"/>
        </w:rPr>
        <w:t>a</w:t>
      </w:r>
      <w:r>
        <w:rPr>
          <w:color w:val="231F20"/>
          <w:spacing w:val="10"/>
        </w:rPr>
        <w:t> </w:t>
      </w:r>
      <w:r>
        <w:rPr>
          <w:color w:val="231F20"/>
        </w:rPr>
        <w:t>managed</w:t>
      </w:r>
      <w:r>
        <w:rPr>
          <w:color w:val="231F20"/>
          <w:spacing w:val="10"/>
        </w:rPr>
        <w:t> </w:t>
      </w:r>
      <w:r>
        <w:rPr>
          <w:color w:val="231F20"/>
        </w:rPr>
        <w:t>system</w:t>
      </w:r>
      <w:r>
        <w:rPr>
          <w:color w:val="231F20"/>
          <w:spacing w:val="9"/>
        </w:rPr>
        <w:t> </w:t>
      </w:r>
      <w:r>
        <w:rPr>
          <w:color w:val="231F20"/>
        </w:rPr>
        <w:t>group</w:t>
      </w:r>
      <w:r>
        <w:rPr>
          <w:color w:val="231F20"/>
          <w:spacing w:val="10"/>
        </w:rPr>
        <w:t> </w:t>
      </w:r>
      <w:r>
        <w:rPr>
          <w:color w:val="231F20"/>
        </w:rPr>
        <w:t>as</w:t>
      </w:r>
      <w:r>
        <w:rPr>
          <w:color w:val="231F20"/>
          <w:spacing w:val="10"/>
        </w:rPr>
        <w:t> </w:t>
      </w:r>
      <w:r>
        <w:rPr>
          <w:color w:val="231F20"/>
          <w:spacing w:val="-2"/>
        </w:rPr>
        <w:t>needed.</w:t>
      </w:r>
    </w:p>
    <w:p>
      <w:pPr>
        <w:pStyle w:val="Heading5"/>
        <w:spacing w:before="213"/>
        <w:ind w:left="223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before="222"/>
        <w:ind w:left="2232"/>
      </w:pPr>
      <w:r>
        <w:rPr>
          <w:color w:val="231F20"/>
        </w:rPr>
        <w:t>Use</w:t>
      </w:r>
      <w:r>
        <w:rPr>
          <w:color w:val="231F20"/>
          <w:spacing w:val="11"/>
        </w:rPr>
        <w:t> </w:t>
      </w:r>
      <w:r>
        <w:rPr>
          <w:color w:val="231F20"/>
        </w:rPr>
        <w:t>the</w:t>
      </w:r>
      <w:r>
        <w:rPr>
          <w:color w:val="231F20"/>
          <w:spacing w:val="12"/>
        </w:rPr>
        <w:t> </w:t>
      </w:r>
      <w:r>
        <w:rPr>
          <w:color w:val="231F20"/>
        </w:rPr>
        <w:t>following</w:t>
      </w:r>
      <w:r>
        <w:rPr>
          <w:color w:val="231F20"/>
          <w:spacing w:val="11"/>
        </w:rPr>
        <w:t> </w:t>
      </w:r>
      <w:r>
        <w:rPr>
          <w:color w:val="231F20"/>
        </w:rPr>
        <w:t>steps</w:t>
      </w:r>
      <w:r>
        <w:rPr>
          <w:color w:val="231F20"/>
          <w:spacing w:val="12"/>
        </w:rPr>
        <w:t> </w:t>
      </w:r>
      <w:r>
        <w:rPr>
          <w:color w:val="231F20"/>
        </w:rPr>
        <w:t>to</w:t>
      </w:r>
      <w:r>
        <w:rPr>
          <w:color w:val="231F20"/>
          <w:spacing w:val="12"/>
        </w:rPr>
        <w:t> </w:t>
      </w:r>
      <w:r>
        <w:rPr>
          <w:color w:val="231F20"/>
        </w:rPr>
        <w:t>create</w:t>
      </w:r>
      <w:r>
        <w:rPr>
          <w:color w:val="231F20"/>
          <w:spacing w:val="11"/>
        </w:rPr>
        <w:t> </w:t>
      </w:r>
      <w:r>
        <w:rPr>
          <w:color w:val="231F20"/>
        </w:rPr>
        <w:t>a</w:t>
      </w:r>
      <w:r>
        <w:rPr>
          <w:color w:val="231F20"/>
          <w:spacing w:val="12"/>
        </w:rPr>
        <w:t> </w:t>
      </w:r>
      <w:r>
        <w:rPr>
          <w:color w:val="231F20"/>
        </w:rPr>
        <w:t>copy</w:t>
      </w:r>
      <w:r>
        <w:rPr>
          <w:color w:val="231F20"/>
          <w:spacing w:val="11"/>
        </w:rPr>
        <w:t> </w:t>
      </w:r>
      <w:r>
        <w:rPr>
          <w:color w:val="231F20"/>
        </w:rPr>
        <w:t>of</w:t>
      </w:r>
      <w:r>
        <w:rPr>
          <w:color w:val="231F20"/>
          <w:spacing w:val="12"/>
        </w:rPr>
        <w:t> </w:t>
      </w:r>
      <w:r>
        <w:rPr>
          <w:color w:val="231F20"/>
        </w:rPr>
        <w:t>a</w:t>
      </w:r>
      <w:r>
        <w:rPr>
          <w:color w:val="231F20"/>
          <w:spacing w:val="12"/>
        </w:rPr>
        <w:t> </w:t>
      </w:r>
      <w:r>
        <w:rPr>
          <w:color w:val="231F20"/>
        </w:rPr>
        <w:t>managed</w:t>
      </w:r>
      <w:r>
        <w:rPr>
          <w:color w:val="231F20"/>
          <w:spacing w:val="11"/>
        </w:rPr>
        <w:t> </w:t>
      </w:r>
      <w:r>
        <w:rPr>
          <w:color w:val="231F20"/>
        </w:rPr>
        <w:t>system</w:t>
      </w:r>
      <w:r>
        <w:rPr>
          <w:color w:val="231F20"/>
          <w:spacing w:val="12"/>
        </w:rPr>
        <w:t> </w:t>
      </w:r>
      <w:r>
        <w:rPr>
          <w:color w:val="231F20"/>
          <w:spacing w:val="-2"/>
        </w:rPr>
        <w:t>group:</w:t>
      </w:r>
    </w:p>
    <w:p>
      <w:pPr>
        <w:pStyle w:val="Heading5"/>
        <w:spacing w:before="213"/>
        <w:ind w:left="2232"/>
      </w:pPr>
      <w:r>
        <w:rPr>
          <w:color w:val="231F20"/>
          <w:spacing w:val="-2"/>
        </w:rPr>
        <w:t>Procedure</w:t>
      </w:r>
    </w:p>
    <w:p>
      <w:pPr>
        <w:pStyle w:val="ListParagraph"/>
        <w:numPr>
          <w:ilvl w:val="0"/>
          <w:numId w:val="168"/>
        </w:numPr>
        <w:tabs>
          <w:tab w:pos="2547" w:val="left" w:leader="none"/>
        </w:tabs>
        <w:spacing w:line="240" w:lineRule="auto" w:before="43" w:after="0"/>
        <w:ind w:left="254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95250" cy="95250"/>
            <wp:effectExtent l="0" t="0" r="0" b="0"/>
            <wp:docPr id="3042" name="Image 3042"/>
            <wp:cNvGraphicFramePr>
              <a:graphicFrameLocks/>
            </wp:cNvGraphicFramePr>
            <a:graphic>
              <a:graphicData uri="http://schemas.openxmlformats.org/drawingml/2006/picture">
                <pic:pic>
                  <pic:nvPicPr>
                    <pic:cNvPr id="3042" name="Image 3042"/>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53"/>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pacing w:val="-2"/>
          <w:sz w:val="20"/>
        </w:rPr>
        <w:t>editor</w:t>
      </w:r>
      <w:r>
        <w:rPr>
          <w:color w:val="231F20"/>
          <w:spacing w:val="-2"/>
          <w:sz w:val="20"/>
        </w:rPr>
        <w:t>.</w:t>
      </w:r>
    </w:p>
    <w:p>
      <w:pPr>
        <w:pStyle w:val="ListParagraph"/>
        <w:numPr>
          <w:ilvl w:val="0"/>
          <w:numId w:val="168"/>
        </w:numPr>
        <w:tabs>
          <w:tab w:pos="2547" w:val="left" w:leader="none"/>
        </w:tabs>
        <w:spacing w:line="240" w:lineRule="auto" w:before="29" w:after="0"/>
        <w:ind w:left="2547" w:right="0" w:hanging="315"/>
        <w:jc w:val="left"/>
        <w:rPr>
          <w:sz w:val="20"/>
        </w:rPr>
      </w:pPr>
      <w:r>
        <w:rPr>
          <w:color w:val="231F20"/>
          <w:sz w:val="20"/>
        </w:rPr>
        <w:t>Click</w:t>
      </w:r>
      <w:r>
        <w:rPr>
          <w:color w:val="231F20"/>
          <w:spacing w:val="50"/>
          <w:sz w:val="20"/>
        </w:rPr>
        <w:t> </w:t>
      </w:r>
      <w:r>
        <w:rPr>
          <w:color w:val="231F20"/>
          <w:spacing w:val="6"/>
          <w:sz w:val="20"/>
        </w:rPr>
        <w:drawing>
          <wp:inline distT="0" distB="0" distL="0" distR="0">
            <wp:extent cx="69850" cy="69850"/>
            <wp:effectExtent l="0" t="0" r="0" b="0"/>
            <wp:docPr id="3043" name="Image 3043"/>
            <wp:cNvGraphicFramePr>
              <a:graphicFrameLocks/>
            </wp:cNvGraphicFramePr>
            <a:graphic>
              <a:graphicData uri="http://schemas.openxmlformats.org/drawingml/2006/picture">
                <pic:pic>
                  <pic:nvPicPr>
                    <pic:cNvPr id="3043" name="Image 3043"/>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77"/>
          <w:w w:val="150"/>
          <w:sz w:val="20"/>
        </w:rPr>
        <w:t> </w:t>
      </w:r>
      <w:r>
        <w:rPr>
          <w:color w:val="231F20"/>
          <w:sz w:val="20"/>
        </w:rPr>
        <w:t>to</w:t>
      </w:r>
      <w:r>
        <w:rPr>
          <w:color w:val="231F20"/>
          <w:spacing w:val="13"/>
          <w:sz w:val="20"/>
        </w:rPr>
        <w:t> </w:t>
      </w:r>
      <w:r>
        <w:rPr>
          <w:color w:val="231F20"/>
          <w:sz w:val="20"/>
        </w:rPr>
        <w:t>expand</w:t>
      </w:r>
      <w:r>
        <w:rPr>
          <w:color w:val="231F20"/>
          <w:spacing w:val="13"/>
          <w:sz w:val="20"/>
        </w:rPr>
        <w:t> </w:t>
      </w:r>
      <w:r>
        <w:rPr>
          <w:color w:val="231F20"/>
          <w:sz w:val="20"/>
        </w:rPr>
        <w:t>a</w:t>
      </w:r>
      <w:r>
        <w:rPr>
          <w:color w:val="231F20"/>
          <w:spacing w:val="12"/>
          <w:sz w:val="20"/>
        </w:rPr>
        <w:t> </w:t>
      </w:r>
      <w:r>
        <w:rPr>
          <w:color w:val="231F20"/>
          <w:sz w:val="20"/>
        </w:rPr>
        <w:t>managed</w:t>
      </w:r>
      <w:r>
        <w:rPr>
          <w:color w:val="231F20"/>
          <w:spacing w:val="13"/>
          <w:sz w:val="20"/>
        </w:rPr>
        <w:t> </w:t>
      </w:r>
      <w:r>
        <w:rPr>
          <w:color w:val="231F20"/>
          <w:sz w:val="20"/>
        </w:rPr>
        <w:t>system</w:t>
      </w:r>
      <w:r>
        <w:rPr>
          <w:color w:val="231F20"/>
          <w:spacing w:val="13"/>
          <w:sz w:val="20"/>
        </w:rPr>
        <w:t> </w:t>
      </w:r>
      <w:r>
        <w:rPr>
          <w:color w:val="231F20"/>
          <w:spacing w:val="-2"/>
          <w:sz w:val="20"/>
        </w:rPr>
        <w:t>folder.</w:t>
      </w:r>
    </w:p>
    <w:p>
      <w:pPr>
        <w:pStyle w:val="ListParagraph"/>
        <w:numPr>
          <w:ilvl w:val="0"/>
          <w:numId w:val="168"/>
        </w:numPr>
        <w:tabs>
          <w:tab w:pos="2547" w:val="left" w:leader="none"/>
        </w:tabs>
        <w:spacing w:line="240" w:lineRule="auto" w:before="30" w:after="0"/>
        <w:ind w:left="2547" w:right="0" w:hanging="315"/>
        <w:jc w:val="left"/>
        <w:rPr>
          <w:sz w:val="20"/>
        </w:rPr>
      </w:pPr>
      <w:r>
        <w:rPr>
          <w:color w:val="231F20"/>
          <w:sz w:val="20"/>
        </w:rPr>
        <w:t>Select</w:t>
      </w:r>
      <w:r>
        <w:rPr>
          <w:color w:val="231F20"/>
          <w:spacing w:val="10"/>
          <w:sz w:val="20"/>
        </w:rPr>
        <w:t> </w:t>
      </w:r>
      <w:r>
        <w:rPr>
          <w:color w:val="231F20"/>
          <w:sz w:val="20"/>
        </w:rPr>
        <w:t>the</w:t>
      </w:r>
      <w:r>
        <w:rPr>
          <w:color w:val="231F20"/>
          <w:spacing w:val="11"/>
          <w:sz w:val="20"/>
        </w:rPr>
        <w:t> </w:t>
      </w:r>
      <w:r>
        <w:rPr>
          <w:color w:val="231F20"/>
          <w:sz w:val="20"/>
        </w:rPr>
        <w:t>managed</w:t>
      </w:r>
      <w:r>
        <w:rPr>
          <w:color w:val="231F20"/>
          <w:spacing w:val="11"/>
          <w:sz w:val="20"/>
        </w:rPr>
        <w:t> </w:t>
      </w:r>
      <w:r>
        <w:rPr>
          <w:color w:val="231F20"/>
          <w:sz w:val="20"/>
        </w:rPr>
        <w:t>system</w:t>
      </w:r>
      <w:r>
        <w:rPr>
          <w:color w:val="231F20"/>
          <w:spacing w:val="11"/>
          <w:sz w:val="20"/>
        </w:rPr>
        <w:t> </w:t>
      </w:r>
      <w:r>
        <w:rPr>
          <w:color w:val="231F20"/>
          <w:sz w:val="20"/>
        </w:rPr>
        <w:t>group</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to</w:t>
      </w:r>
      <w:r>
        <w:rPr>
          <w:color w:val="231F20"/>
          <w:spacing w:val="11"/>
          <w:sz w:val="20"/>
        </w:rPr>
        <w:t> </w:t>
      </w:r>
      <w:r>
        <w:rPr>
          <w:color w:val="231F20"/>
          <w:spacing w:val="-4"/>
          <w:sz w:val="20"/>
        </w:rPr>
        <w:t>copy.</w:t>
      </w:r>
    </w:p>
    <w:p>
      <w:pPr>
        <w:pStyle w:val="ListParagraph"/>
        <w:numPr>
          <w:ilvl w:val="0"/>
          <w:numId w:val="168"/>
        </w:numPr>
        <w:tabs>
          <w:tab w:pos="2547" w:val="left" w:leader="none"/>
        </w:tabs>
        <w:spacing w:line="240" w:lineRule="auto" w:before="29" w:after="0"/>
        <w:ind w:left="2547" w:right="0" w:hanging="315"/>
        <w:jc w:val="left"/>
        <w:rPr>
          <w:sz w:val="20"/>
        </w:rPr>
      </w:pPr>
      <w:r>
        <w:rPr>
          <w:color w:val="231F20"/>
          <w:sz w:val="20"/>
        </w:rPr>
        <w:t>Click</w:t>
      </w:r>
      <w:r>
        <w:rPr>
          <w:color w:val="231F20"/>
          <w:spacing w:val="10"/>
          <w:sz w:val="20"/>
        </w:rPr>
        <w:t> </w:t>
      </w:r>
      <w:r>
        <w:rPr>
          <w:rFonts w:ascii="Book Antiqua"/>
          <w:b/>
          <w:color w:val="231F20"/>
          <w:sz w:val="20"/>
        </w:rPr>
        <w:t>Create</w:t>
      </w:r>
      <w:r>
        <w:rPr>
          <w:rFonts w:ascii="Book Antiqua"/>
          <w:b/>
          <w:color w:val="231F20"/>
          <w:spacing w:val="10"/>
          <w:sz w:val="20"/>
        </w:rPr>
        <w:t> </w:t>
      </w:r>
      <w:r>
        <w:rPr>
          <w:rFonts w:ascii="Book Antiqua"/>
          <w:b/>
          <w:color w:val="231F20"/>
          <w:sz w:val="20"/>
        </w:rPr>
        <w:t>another</w:t>
      </w:r>
      <w:r>
        <w:rPr>
          <w:rFonts w:ascii="Book Antiqua"/>
          <w:b/>
          <w:color w:val="231F20"/>
          <w:spacing w:val="10"/>
          <w:sz w:val="20"/>
        </w:rPr>
        <w:t> </w:t>
      </w:r>
      <w:r>
        <w:rPr>
          <w:rFonts w:ascii="Book Antiqua"/>
          <w:b/>
          <w:color w:val="231F20"/>
          <w:spacing w:val="-2"/>
          <w:sz w:val="20"/>
        </w:rPr>
        <w:t>group</w:t>
      </w:r>
      <w:r>
        <w:rPr>
          <w:color w:val="231F20"/>
          <w:spacing w:val="-2"/>
          <w:sz w:val="20"/>
        </w:rPr>
        <w:t>.</w:t>
      </w:r>
    </w:p>
    <w:p>
      <w:pPr>
        <w:pStyle w:val="ListParagraph"/>
        <w:numPr>
          <w:ilvl w:val="0"/>
          <w:numId w:val="168"/>
        </w:numPr>
        <w:tabs>
          <w:tab w:pos="2548" w:val="left" w:leader="none"/>
        </w:tabs>
        <w:spacing w:line="213" w:lineRule="auto" w:before="53" w:after="0"/>
        <w:ind w:left="2548" w:right="437" w:hanging="316"/>
        <w:jc w:val="left"/>
        <w:rPr>
          <w:sz w:val="20"/>
        </w:rPr>
      </w:pPr>
      <w:r>
        <w:rPr>
          <w:color w:val="231F20"/>
          <w:sz w:val="20"/>
        </w:rPr>
        <w:t>Type a descriptive name for the managed system group and click </w:t>
      </w:r>
      <w:r>
        <w:rPr>
          <w:rFonts w:ascii="Book Antiqua"/>
          <w:b/>
          <w:color w:val="231F20"/>
          <w:sz w:val="20"/>
        </w:rPr>
        <w:t>OK</w:t>
      </w:r>
      <w:r>
        <w:rPr>
          <w:color w:val="231F20"/>
          <w:sz w:val="20"/>
        </w:rPr>
        <w:t>. The new managed system group is displayed in the managed system folder.</w:t>
      </w:r>
    </w:p>
    <w:p>
      <w:pPr>
        <w:spacing w:after="0" w:line="213" w:lineRule="auto"/>
        <w:jc w:val="left"/>
        <w:rPr>
          <w:sz w:val="20"/>
        </w:rPr>
        <w:sectPr>
          <w:pgSz w:w="12240" w:h="15840"/>
          <w:pgMar w:header="0" w:footer="736" w:top="1160" w:bottom="920" w:left="1000" w:right="1060"/>
        </w:sectPr>
      </w:pPr>
    </w:p>
    <w:p>
      <w:pPr>
        <w:pStyle w:val="ListParagraph"/>
        <w:numPr>
          <w:ilvl w:val="0"/>
          <w:numId w:val="168"/>
        </w:numPr>
        <w:tabs>
          <w:tab w:pos="2788" w:val="left" w:leader="none"/>
        </w:tabs>
        <w:spacing w:line="213" w:lineRule="auto" w:before="85" w:after="0"/>
        <w:ind w:left="2788" w:right="259" w:hanging="316"/>
        <w:jc w:val="left"/>
        <w:rPr>
          <w:sz w:val="20"/>
        </w:rPr>
      </w:pPr>
      <w:bookmarkStart w:name="_bookmark293" w:id="604"/>
      <w:bookmarkEnd w:id="604"/>
      <w:r>
        <w:rPr/>
      </w:r>
      <w:r>
        <w:rPr>
          <w:color w:val="231F20"/>
          <w:sz w:val="20"/>
        </w:rPr>
        <w:t>Remove</w:t>
      </w:r>
      <w:r>
        <w:rPr>
          <w:color w:val="231F20"/>
          <w:spacing w:val="20"/>
          <w:sz w:val="20"/>
        </w:rPr>
        <w:t> </w:t>
      </w:r>
      <w:r>
        <w:rPr>
          <w:color w:val="231F20"/>
          <w:sz w:val="20"/>
        </w:rPr>
        <w:t>a</w:t>
      </w:r>
      <w:r>
        <w:rPr>
          <w:color w:val="231F20"/>
          <w:spacing w:val="20"/>
          <w:sz w:val="20"/>
        </w:rPr>
        <w:t> </w:t>
      </w:r>
      <w:r>
        <w:rPr>
          <w:color w:val="231F20"/>
          <w:sz w:val="20"/>
        </w:rPr>
        <w:t>managed</w:t>
      </w:r>
      <w:r>
        <w:rPr>
          <w:color w:val="231F20"/>
          <w:spacing w:val="20"/>
          <w:sz w:val="20"/>
        </w:rPr>
        <w:t> </w:t>
      </w:r>
      <w:r>
        <w:rPr>
          <w:color w:val="231F20"/>
          <w:sz w:val="20"/>
        </w:rPr>
        <w:t>system</w:t>
      </w:r>
      <w:r>
        <w:rPr>
          <w:color w:val="231F20"/>
          <w:spacing w:val="20"/>
          <w:sz w:val="20"/>
        </w:rPr>
        <w:t> </w:t>
      </w:r>
      <w:r>
        <w:rPr>
          <w:color w:val="231F20"/>
          <w:sz w:val="20"/>
        </w:rPr>
        <w:t>from</w:t>
      </w:r>
      <w:r>
        <w:rPr>
          <w:color w:val="231F20"/>
          <w:spacing w:val="20"/>
          <w:sz w:val="20"/>
        </w:rPr>
        <w:t> </w:t>
      </w:r>
      <w:r>
        <w:rPr>
          <w:color w:val="231F20"/>
          <w:sz w:val="20"/>
        </w:rPr>
        <w:t>the</w:t>
      </w:r>
      <w:r>
        <w:rPr>
          <w:color w:val="231F20"/>
          <w:spacing w:val="20"/>
          <w:sz w:val="20"/>
        </w:rPr>
        <w:t> </w:t>
      </w:r>
      <w:r>
        <w:rPr>
          <w:rFonts w:ascii="Book Antiqua"/>
          <w:b/>
          <w:color w:val="231F20"/>
          <w:sz w:val="20"/>
        </w:rPr>
        <w:t>Assigned</w:t>
      </w:r>
      <w:r>
        <w:rPr>
          <w:rFonts w:ascii="Book Antiqua"/>
          <w:b/>
          <w:color w:val="231F20"/>
          <w:spacing w:val="20"/>
          <w:sz w:val="20"/>
        </w:rPr>
        <w:t> </w:t>
      </w:r>
      <w:r>
        <w:rPr>
          <w:color w:val="231F20"/>
          <w:sz w:val="20"/>
        </w:rPr>
        <w:t>list</w:t>
      </w:r>
      <w:r>
        <w:rPr>
          <w:color w:val="231F20"/>
          <w:spacing w:val="20"/>
          <w:sz w:val="20"/>
        </w:rPr>
        <w:t> </w:t>
      </w:r>
      <w:r>
        <w:rPr>
          <w:color w:val="231F20"/>
          <w:sz w:val="20"/>
        </w:rPr>
        <w:t>by</w:t>
      </w:r>
      <w:r>
        <w:rPr>
          <w:color w:val="231F20"/>
          <w:spacing w:val="20"/>
          <w:sz w:val="20"/>
        </w:rPr>
        <w:t> </w:t>
      </w:r>
      <w:r>
        <w:rPr>
          <w:color w:val="231F20"/>
          <w:sz w:val="20"/>
        </w:rPr>
        <w:t>selecting</w:t>
      </w:r>
      <w:r>
        <w:rPr>
          <w:color w:val="231F20"/>
          <w:spacing w:val="20"/>
          <w:sz w:val="20"/>
        </w:rPr>
        <w:t> </w:t>
      </w:r>
      <w:r>
        <w:rPr>
          <w:color w:val="231F20"/>
          <w:sz w:val="20"/>
        </w:rPr>
        <w:t>it</w:t>
      </w:r>
      <w:r>
        <w:rPr>
          <w:color w:val="231F20"/>
          <w:spacing w:val="20"/>
          <w:sz w:val="20"/>
        </w:rPr>
        <w:t> </w:t>
      </w:r>
      <w:r>
        <w:rPr>
          <w:color w:val="231F20"/>
          <w:sz w:val="20"/>
        </w:rPr>
        <w:t>and</w:t>
      </w:r>
      <w:r>
        <w:rPr>
          <w:color w:val="231F20"/>
          <w:spacing w:val="20"/>
          <w:sz w:val="20"/>
        </w:rPr>
        <w:t> </w:t>
      </w:r>
      <w:r>
        <w:rPr>
          <w:color w:val="231F20"/>
          <w:sz w:val="20"/>
        </w:rPr>
        <w:t>clicking </w:t>
      </w:r>
      <w:r>
        <w:rPr>
          <w:color w:val="231F20"/>
          <w:position w:val="-1"/>
          <w:sz w:val="20"/>
        </w:rPr>
        <w:drawing>
          <wp:inline distT="0" distB="0" distL="0" distR="0">
            <wp:extent cx="95250" cy="95250"/>
            <wp:effectExtent l="0" t="0" r="0" b="0"/>
            <wp:docPr id="3044" name="Image 3044"/>
            <wp:cNvGraphicFramePr>
              <a:graphicFrameLocks/>
            </wp:cNvGraphicFramePr>
            <a:graphic>
              <a:graphicData uri="http://schemas.openxmlformats.org/drawingml/2006/picture">
                <pic:pic>
                  <pic:nvPicPr>
                    <pic:cNvPr id="3044" name="Image 3044"/>
                    <pic:cNvPicPr/>
                  </pic:nvPicPr>
                  <pic:blipFill>
                    <a:blip r:embed="rId25" cstate="print"/>
                    <a:stretch>
                      <a:fillRect/>
                    </a:stretch>
                  </pic:blipFill>
                  <pic:spPr>
                    <a:xfrm>
                      <a:off x="0" y="0"/>
                      <a:ext cx="95250" cy="95250"/>
                    </a:xfrm>
                    <a:prstGeom prst="rect">
                      <a:avLst/>
                    </a:prstGeom>
                  </pic:spPr>
                </pic:pic>
              </a:graphicData>
            </a:graphic>
          </wp:inline>
        </w:drawing>
      </w:r>
      <w:r>
        <w:rPr>
          <w:color w:val="231F20"/>
          <w:position w:val="-1"/>
          <w:sz w:val="20"/>
        </w:rPr>
      </w:r>
      <w:r>
        <w:rPr>
          <w:rFonts w:ascii="Times New Roman"/>
          <w:color w:val="231F20"/>
          <w:spacing w:val="-4"/>
          <w:sz w:val="20"/>
        </w:rPr>
        <w:t> </w:t>
      </w:r>
      <w:r>
        <w:rPr>
          <w:color w:val="231F20"/>
          <w:sz w:val="20"/>
        </w:rPr>
        <w:t>. Add a managed system to the list by selecting it in the </w:t>
      </w:r>
      <w:r>
        <w:rPr>
          <w:rFonts w:ascii="Book Antiqua"/>
          <w:b/>
          <w:color w:val="231F20"/>
          <w:sz w:val="20"/>
        </w:rPr>
        <w:t>Available Managed Systems </w:t>
      </w:r>
      <w:r>
        <w:rPr>
          <w:color w:val="231F20"/>
          <w:sz w:val="20"/>
        </w:rPr>
        <w:t>list and clicking</w:t>
      </w:r>
      <w:r>
        <w:rPr>
          <w:color w:val="231F20"/>
          <w:spacing w:val="40"/>
          <w:sz w:val="20"/>
        </w:rPr>
        <w:t> </w:t>
      </w:r>
      <w:r>
        <w:rPr>
          <w:color w:val="231F20"/>
          <w:spacing w:val="15"/>
          <w:position w:val="1"/>
          <w:sz w:val="20"/>
        </w:rPr>
        <w:drawing>
          <wp:inline distT="0" distB="0" distL="0" distR="0">
            <wp:extent cx="44450" cy="76200"/>
            <wp:effectExtent l="0" t="0" r="0" b="0"/>
            <wp:docPr id="3045" name="Image 3045"/>
            <wp:cNvGraphicFramePr>
              <a:graphicFrameLocks/>
            </wp:cNvGraphicFramePr>
            <a:graphic>
              <a:graphicData uri="http://schemas.openxmlformats.org/drawingml/2006/picture">
                <pic:pic>
                  <pic:nvPicPr>
                    <pic:cNvPr id="3045" name="Image 3045"/>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 You can select multiple managed systems by holding down Ctrl while clicking each managed system. You can also, after selecting a managed system, use Shift+click to select all managed systems between this and the first selection.</w:t>
      </w:r>
    </w:p>
    <w:p>
      <w:pPr>
        <w:pStyle w:val="ListParagraph"/>
        <w:numPr>
          <w:ilvl w:val="0"/>
          <w:numId w:val="168"/>
        </w:numPr>
        <w:tabs>
          <w:tab w:pos="2788" w:val="left" w:leader="none"/>
        </w:tabs>
        <w:spacing w:line="213" w:lineRule="auto" w:before="55" w:after="0"/>
        <w:ind w:left="2788" w:right="569" w:hanging="316"/>
        <w:jc w:val="left"/>
        <w:rPr>
          <w:sz w:val="20"/>
        </w:rPr>
      </w:pPr>
      <w:r>
        <w:rPr>
          <w:color w:val="231F20"/>
          <w:sz w:val="20"/>
        </w:rPr>
        <w:t>Save your changes and either keep the editor open with </w:t>
      </w:r>
      <w:r>
        <w:rPr>
          <w:rFonts w:ascii="Book Antiqua"/>
          <w:b/>
          <w:color w:val="231F20"/>
          <w:sz w:val="20"/>
        </w:rPr>
        <w:t>Apply </w:t>
      </w:r>
      <w:r>
        <w:rPr>
          <w:color w:val="231F20"/>
          <w:sz w:val="20"/>
        </w:rPr>
        <w:t>or exit </w:t>
      </w:r>
      <w:r>
        <w:rPr>
          <w:color w:val="231F20"/>
          <w:sz w:val="20"/>
        </w:rPr>
        <w:t>with </w:t>
      </w:r>
      <w:r>
        <w:rPr>
          <w:rFonts w:ascii="Book Antiqua"/>
          <w:b/>
          <w:color w:val="231F20"/>
          <w:sz w:val="20"/>
        </w:rPr>
        <w:t>OK</w:t>
      </w:r>
      <w:r>
        <w:rPr>
          <w:color w:val="231F20"/>
          <w:sz w:val="20"/>
        </w:rPr>
        <w:t>. The managed system group is now available to users whose Tivoli </w:t>
      </w:r>
      <w:bookmarkStart w:name="Editing a managed system group" w:id="605"/>
      <w:bookmarkEnd w:id="605"/>
      <w:r>
        <w:rPr>
          <w:color w:val="231F20"/>
          <w:sz w:val="20"/>
        </w:rPr>
        <w:t>Enterprise</w:t>
      </w:r>
      <w:r>
        <w:rPr>
          <w:color w:val="231F20"/>
          <w:sz w:val="20"/>
        </w:rPr>
        <w:t> Portal Server connects to the same hub monitoring server.</w:t>
      </w:r>
    </w:p>
    <w:p>
      <w:pPr>
        <w:pStyle w:val="Heading4"/>
        <w:spacing w:line="273" w:lineRule="exact" w:before="165"/>
        <w:ind w:left="2472"/>
      </w:pPr>
      <w:r>
        <w:rPr>
          <w:color w:val="231F20"/>
        </w:rPr>
        <w:t>Editing</w:t>
      </w:r>
      <w:r>
        <w:rPr>
          <w:color w:val="231F20"/>
          <w:spacing w:val="5"/>
        </w:rPr>
        <w:t> </w:t>
      </w:r>
      <w:r>
        <w:rPr>
          <w:color w:val="231F20"/>
        </w:rPr>
        <w:t>a</w:t>
      </w:r>
      <w:r>
        <w:rPr>
          <w:color w:val="231F20"/>
          <w:spacing w:val="6"/>
        </w:rPr>
        <w:t> </w:t>
      </w:r>
      <w:r>
        <w:rPr>
          <w:color w:val="231F20"/>
        </w:rPr>
        <w:t>managed</w:t>
      </w:r>
      <w:r>
        <w:rPr>
          <w:color w:val="231F20"/>
          <w:spacing w:val="6"/>
        </w:rPr>
        <w:t> </w:t>
      </w:r>
      <w:r>
        <w:rPr>
          <w:color w:val="231F20"/>
        </w:rPr>
        <w:t>system</w:t>
      </w:r>
      <w:r>
        <w:rPr>
          <w:color w:val="231F20"/>
          <w:spacing w:val="6"/>
        </w:rPr>
        <w:t> </w:t>
      </w:r>
      <w:r>
        <w:rPr>
          <w:color w:val="231F20"/>
          <w:spacing w:val="-2"/>
        </w:rPr>
        <w:t>group</w:t>
      </w:r>
    </w:p>
    <w:p>
      <w:pPr>
        <w:pStyle w:val="BodyText"/>
        <w:spacing w:line="267" w:lineRule="exact"/>
        <w:ind w:left="2472"/>
      </w:pPr>
      <w:r>
        <w:rPr>
          <w:color w:val="231F20"/>
        </w:rPr>
        <w:t>You</w:t>
      </w:r>
      <w:r>
        <w:rPr>
          <w:color w:val="231F20"/>
          <w:spacing w:val="9"/>
        </w:rPr>
        <w:t> </w:t>
      </w:r>
      <w:r>
        <w:rPr>
          <w:color w:val="231F20"/>
        </w:rPr>
        <w:t>can</w:t>
      </w:r>
      <w:r>
        <w:rPr>
          <w:color w:val="231F20"/>
          <w:spacing w:val="10"/>
        </w:rPr>
        <w:t> </w:t>
      </w:r>
      <w:r>
        <w:rPr>
          <w:color w:val="231F20"/>
        </w:rPr>
        <w:t>edit</w:t>
      </w:r>
      <w:r>
        <w:rPr>
          <w:color w:val="231F20"/>
          <w:spacing w:val="10"/>
        </w:rPr>
        <w:t> </w:t>
      </w:r>
      <w:r>
        <w:rPr>
          <w:color w:val="231F20"/>
        </w:rPr>
        <w:t>a</w:t>
      </w:r>
      <w:r>
        <w:rPr>
          <w:color w:val="231F20"/>
          <w:spacing w:val="10"/>
        </w:rPr>
        <w:t> </w:t>
      </w:r>
      <w:r>
        <w:rPr>
          <w:color w:val="231F20"/>
        </w:rPr>
        <w:t>managed</w:t>
      </w:r>
      <w:r>
        <w:rPr>
          <w:color w:val="231F20"/>
          <w:spacing w:val="9"/>
        </w:rPr>
        <w:t> </w:t>
      </w:r>
      <w:r>
        <w:rPr>
          <w:color w:val="231F20"/>
        </w:rPr>
        <w:t>system</w:t>
      </w:r>
      <w:r>
        <w:rPr>
          <w:color w:val="231F20"/>
          <w:spacing w:val="10"/>
        </w:rPr>
        <w:t> </w:t>
      </w:r>
      <w:r>
        <w:rPr>
          <w:color w:val="231F20"/>
        </w:rPr>
        <w:t>group</w:t>
      </w:r>
      <w:r>
        <w:rPr>
          <w:color w:val="231F20"/>
          <w:spacing w:val="10"/>
        </w:rPr>
        <w:t> </w:t>
      </w:r>
      <w:r>
        <w:rPr>
          <w:color w:val="231F20"/>
        </w:rPr>
        <w:t>to</w:t>
      </w:r>
      <w:r>
        <w:rPr>
          <w:color w:val="231F20"/>
          <w:spacing w:val="10"/>
        </w:rPr>
        <w:t> </w:t>
      </w:r>
      <w:r>
        <w:rPr>
          <w:color w:val="231F20"/>
        </w:rPr>
        <w:t>better</w:t>
      </w:r>
      <w:r>
        <w:rPr>
          <w:color w:val="231F20"/>
          <w:spacing w:val="10"/>
        </w:rPr>
        <w:t> </w:t>
      </w:r>
      <w:r>
        <w:rPr>
          <w:color w:val="231F20"/>
        </w:rPr>
        <w:t>suit</w:t>
      </w:r>
      <w:r>
        <w:rPr>
          <w:color w:val="231F20"/>
          <w:spacing w:val="9"/>
        </w:rPr>
        <w:t> </w:t>
      </w:r>
      <w:r>
        <w:rPr>
          <w:color w:val="231F20"/>
        </w:rPr>
        <w:t>your</w:t>
      </w:r>
      <w:r>
        <w:rPr>
          <w:color w:val="231F20"/>
          <w:spacing w:val="10"/>
        </w:rPr>
        <w:t> </w:t>
      </w:r>
      <w:r>
        <w:rPr>
          <w:color w:val="231F20"/>
          <w:spacing w:val="-2"/>
        </w:rPr>
        <w:t>environment.</w:t>
      </w:r>
    </w:p>
    <w:p>
      <w:pPr>
        <w:pStyle w:val="Heading5"/>
        <w:spacing w:before="212"/>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6"/>
        <w:ind w:left="2472" w:right="258"/>
      </w:pPr>
      <w:r>
        <w:rPr>
          <w:color w:val="231F20"/>
        </w:rPr>
        <w:t>Use the following steps to edit a managed system group. Be aware that any situations, policies, queries, or custom Navigator views this managed system </w:t>
      </w:r>
      <w:r>
        <w:rPr>
          <w:color w:val="231F20"/>
        </w:rPr>
        <w:t>group is assigned to might be affected by changes you make to the list.</w:t>
      </w:r>
    </w:p>
    <w:p>
      <w:pPr>
        <w:pStyle w:val="Heading5"/>
      </w:pPr>
      <w:r>
        <w:rPr>
          <w:color w:val="231F20"/>
          <w:spacing w:val="-2"/>
        </w:rPr>
        <w:t>Procedure</w:t>
      </w:r>
    </w:p>
    <w:p>
      <w:pPr>
        <w:pStyle w:val="ListParagraph"/>
        <w:numPr>
          <w:ilvl w:val="0"/>
          <w:numId w:val="169"/>
        </w:numPr>
        <w:tabs>
          <w:tab w:pos="2787" w:val="left" w:leader="none"/>
        </w:tabs>
        <w:spacing w:line="240" w:lineRule="auto" w:before="43" w:after="0"/>
        <w:ind w:left="278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95250" cy="95250"/>
            <wp:effectExtent l="0" t="0" r="0" b="0"/>
            <wp:docPr id="3046" name="Image 3046"/>
            <wp:cNvGraphicFramePr>
              <a:graphicFrameLocks/>
            </wp:cNvGraphicFramePr>
            <a:graphic>
              <a:graphicData uri="http://schemas.openxmlformats.org/drawingml/2006/picture">
                <pic:pic>
                  <pic:nvPicPr>
                    <pic:cNvPr id="3046" name="Image 3046"/>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53"/>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pacing w:val="-2"/>
          <w:sz w:val="20"/>
        </w:rPr>
        <w:t>editor</w:t>
      </w:r>
      <w:r>
        <w:rPr>
          <w:color w:val="231F20"/>
          <w:spacing w:val="-2"/>
          <w:sz w:val="20"/>
        </w:rPr>
        <w:t>.</w:t>
      </w:r>
    </w:p>
    <w:p>
      <w:pPr>
        <w:pStyle w:val="ListParagraph"/>
        <w:numPr>
          <w:ilvl w:val="0"/>
          <w:numId w:val="169"/>
        </w:numPr>
        <w:tabs>
          <w:tab w:pos="2787" w:val="left" w:leader="none"/>
        </w:tabs>
        <w:spacing w:line="240" w:lineRule="auto" w:before="29" w:after="0"/>
        <w:ind w:left="2787" w:right="0" w:hanging="315"/>
        <w:jc w:val="left"/>
        <w:rPr>
          <w:sz w:val="20"/>
        </w:rPr>
      </w:pPr>
      <w:r>
        <w:rPr>
          <w:color w:val="231F20"/>
          <w:sz w:val="20"/>
        </w:rPr>
        <w:t>Click</w:t>
      </w:r>
      <w:r>
        <w:rPr>
          <w:color w:val="231F20"/>
          <w:spacing w:val="50"/>
          <w:sz w:val="20"/>
        </w:rPr>
        <w:t> </w:t>
      </w:r>
      <w:r>
        <w:rPr>
          <w:color w:val="231F20"/>
          <w:spacing w:val="6"/>
          <w:sz w:val="20"/>
        </w:rPr>
        <w:drawing>
          <wp:inline distT="0" distB="0" distL="0" distR="0">
            <wp:extent cx="69850" cy="69850"/>
            <wp:effectExtent l="0" t="0" r="0" b="0"/>
            <wp:docPr id="3047" name="Image 3047"/>
            <wp:cNvGraphicFramePr>
              <a:graphicFrameLocks/>
            </wp:cNvGraphicFramePr>
            <a:graphic>
              <a:graphicData uri="http://schemas.openxmlformats.org/drawingml/2006/picture">
                <pic:pic>
                  <pic:nvPicPr>
                    <pic:cNvPr id="3047" name="Image 3047"/>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77"/>
          <w:w w:val="150"/>
          <w:sz w:val="20"/>
        </w:rPr>
        <w:t> </w:t>
      </w:r>
      <w:r>
        <w:rPr>
          <w:color w:val="231F20"/>
          <w:sz w:val="20"/>
        </w:rPr>
        <w:t>to</w:t>
      </w:r>
      <w:r>
        <w:rPr>
          <w:color w:val="231F20"/>
          <w:spacing w:val="13"/>
          <w:sz w:val="20"/>
        </w:rPr>
        <w:t> </w:t>
      </w:r>
      <w:r>
        <w:rPr>
          <w:color w:val="231F20"/>
          <w:sz w:val="20"/>
        </w:rPr>
        <w:t>expand</w:t>
      </w:r>
      <w:r>
        <w:rPr>
          <w:color w:val="231F20"/>
          <w:spacing w:val="13"/>
          <w:sz w:val="20"/>
        </w:rPr>
        <w:t> </w:t>
      </w:r>
      <w:r>
        <w:rPr>
          <w:color w:val="231F20"/>
          <w:sz w:val="20"/>
        </w:rPr>
        <w:t>a</w:t>
      </w:r>
      <w:r>
        <w:rPr>
          <w:color w:val="231F20"/>
          <w:spacing w:val="12"/>
          <w:sz w:val="20"/>
        </w:rPr>
        <w:t> </w:t>
      </w:r>
      <w:r>
        <w:rPr>
          <w:color w:val="231F20"/>
          <w:sz w:val="20"/>
        </w:rPr>
        <w:t>managed</w:t>
      </w:r>
      <w:r>
        <w:rPr>
          <w:color w:val="231F20"/>
          <w:spacing w:val="13"/>
          <w:sz w:val="20"/>
        </w:rPr>
        <w:t> </w:t>
      </w:r>
      <w:r>
        <w:rPr>
          <w:color w:val="231F20"/>
          <w:sz w:val="20"/>
        </w:rPr>
        <w:t>system</w:t>
      </w:r>
      <w:r>
        <w:rPr>
          <w:color w:val="231F20"/>
          <w:spacing w:val="13"/>
          <w:sz w:val="20"/>
        </w:rPr>
        <w:t> </w:t>
      </w:r>
      <w:r>
        <w:rPr>
          <w:color w:val="231F20"/>
          <w:spacing w:val="-2"/>
          <w:sz w:val="20"/>
        </w:rPr>
        <w:t>folder.</w:t>
      </w:r>
    </w:p>
    <w:p>
      <w:pPr>
        <w:pStyle w:val="ListParagraph"/>
        <w:numPr>
          <w:ilvl w:val="0"/>
          <w:numId w:val="169"/>
        </w:numPr>
        <w:tabs>
          <w:tab w:pos="2787" w:val="left" w:leader="none"/>
        </w:tabs>
        <w:spacing w:line="240" w:lineRule="auto" w:before="30" w:after="0"/>
        <w:ind w:left="2787" w:right="0" w:hanging="315"/>
        <w:jc w:val="left"/>
        <w:rPr>
          <w:sz w:val="20"/>
        </w:rPr>
      </w:pPr>
      <w:r>
        <w:rPr>
          <w:color w:val="231F20"/>
          <w:sz w:val="20"/>
        </w:rPr>
        <w:t>Select</w:t>
      </w:r>
      <w:r>
        <w:rPr>
          <w:color w:val="231F20"/>
          <w:spacing w:val="11"/>
          <w:sz w:val="20"/>
        </w:rPr>
        <w:t> </w:t>
      </w:r>
      <w:r>
        <w:rPr>
          <w:color w:val="231F20"/>
          <w:sz w:val="20"/>
        </w:rPr>
        <w:t>the</w:t>
      </w:r>
      <w:r>
        <w:rPr>
          <w:color w:val="231F20"/>
          <w:spacing w:val="11"/>
          <w:sz w:val="20"/>
        </w:rPr>
        <w:t> </w:t>
      </w:r>
      <w:r>
        <w:rPr>
          <w:color w:val="231F20"/>
          <w:sz w:val="20"/>
        </w:rPr>
        <w:t>managed</w:t>
      </w:r>
      <w:r>
        <w:rPr>
          <w:color w:val="231F20"/>
          <w:spacing w:val="11"/>
          <w:sz w:val="20"/>
        </w:rPr>
        <w:t> </w:t>
      </w:r>
      <w:r>
        <w:rPr>
          <w:color w:val="231F20"/>
          <w:sz w:val="20"/>
        </w:rPr>
        <w:t>system</w:t>
      </w:r>
      <w:r>
        <w:rPr>
          <w:color w:val="231F20"/>
          <w:spacing w:val="11"/>
          <w:sz w:val="20"/>
        </w:rPr>
        <w:t> </w:t>
      </w:r>
      <w:r>
        <w:rPr>
          <w:color w:val="231F20"/>
          <w:sz w:val="20"/>
        </w:rPr>
        <w:t>group</w:t>
      </w:r>
      <w:r>
        <w:rPr>
          <w:color w:val="231F20"/>
          <w:spacing w:val="11"/>
          <w:sz w:val="20"/>
        </w:rPr>
        <w:t> </w:t>
      </w:r>
      <w:r>
        <w:rPr>
          <w:color w:val="231F20"/>
          <w:sz w:val="20"/>
        </w:rPr>
        <w:t>that</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1"/>
          <w:sz w:val="20"/>
        </w:rPr>
        <w:t> </w:t>
      </w:r>
      <w:r>
        <w:rPr>
          <w:color w:val="231F20"/>
          <w:sz w:val="20"/>
        </w:rPr>
        <w:t>to</w:t>
      </w:r>
      <w:r>
        <w:rPr>
          <w:color w:val="231F20"/>
          <w:spacing w:val="11"/>
          <w:sz w:val="20"/>
        </w:rPr>
        <w:t> </w:t>
      </w:r>
      <w:r>
        <w:rPr>
          <w:color w:val="231F20"/>
          <w:spacing w:val="-2"/>
          <w:sz w:val="20"/>
        </w:rPr>
        <w:t>edit.</w:t>
      </w:r>
    </w:p>
    <w:p>
      <w:pPr>
        <w:pStyle w:val="ListParagraph"/>
        <w:numPr>
          <w:ilvl w:val="0"/>
          <w:numId w:val="169"/>
        </w:numPr>
        <w:tabs>
          <w:tab w:pos="2788" w:val="left" w:leader="none"/>
        </w:tabs>
        <w:spacing w:line="213" w:lineRule="auto" w:before="52" w:after="0"/>
        <w:ind w:left="2788" w:right="172" w:hanging="316"/>
        <w:jc w:val="left"/>
        <w:rPr>
          <w:sz w:val="20"/>
        </w:rPr>
      </w:pPr>
      <w:r>
        <w:rPr>
          <w:color w:val="231F20"/>
          <w:sz w:val="20"/>
        </w:rPr>
        <w:t>To remove a managed system from the </w:t>
      </w:r>
      <w:r>
        <w:rPr>
          <w:rFonts w:ascii="Book Antiqua"/>
          <w:b/>
          <w:color w:val="231F20"/>
          <w:sz w:val="20"/>
        </w:rPr>
        <w:t>Assigned </w:t>
      </w:r>
      <w:r>
        <w:rPr>
          <w:color w:val="231F20"/>
          <w:sz w:val="20"/>
        </w:rPr>
        <w:t>list, select it and</w:t>
      </w:r>
      <w:r>
        <w:rPr>
          <w:color w:val="231F20"/>
          <w:spacing w:val="80"/>
          <w:sz w:val="20"/>
        </w:rPr>
        <w:t> </w:t>
      </w:r>
      <w:r>
        <w:rPr>
          <w:color w:val="231F20"/>
          <w:spacing w:val="-15"/>
          <w:position w:val="1"/>
          <w:sz w:val="20"/>
        </w:rPr>
        <w:drawing>
          <wp:inline distT="0" distB="0" distL="0" distR="0">
            <wp:extent cx="44450" cy="76200"/>
            <wp:effectExtent l="0" t="0" r="0" b="0"/>
            <wp:docPr id="3048" name="Image 3048"/>
            <wp:cNvGraphicFramePr>
              <a:graphicFrameLocks/>
            </wp:cNvGraphicFramePr>
            <a:graphic>
              <a:graphicData uri="http://schemas.openxmlformats.org/drawingml/2006/picture">
                <pic:pic>
                  <pic:nvPicPr>
                    <pic:cNvPr id="3048" name="Image 3048"/>
                    <pic:cNvPicPr/>
                  </pic:nvPicPr>
                  <pic:blipFill>
                    <a:blip r:embed="rId337"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80"/>
          <w:w w:val="150"/>
          <w:sz w:val="20"/>
        </w:rPr>
        <w:t> </w:t>
      </w:r>
      <w:r>
        <w:rPr>
          <w:color w:val="231F20"/>
          <w:sz w:val="20"/>
        </w:rPr>
        <w:t>move it back to the Available list. To assign a managed system, select it in the </w:t>
      </w:r>
      <w:r>
        <w:rPr>
          <w:rFonts w:ascii="Book Antiqua"/>
          <w:b/>
          <w:color w:val="231F20"/>
          <w:sz w:val="20"/>
        </w:rPr>
        <w:t>Available Managed Systems </w:t>
      </w:r>
      <w:r>
        <w:rPr>
          <w:color w:val="231F20"/>
          <w:sz w:val="20"/>
        </w:rPr>
        <w:t>list and</w:t>
      </w:r>
      <w:r>
        <w:rPr>
          <w:color w:val="231F20"/>
          <w:spacing w:val="40"/>
          <w:sz w:val="20"/>
        </w:rPr>
        <w:t> </w:t>
      </w:r>
      <w:r>
        <w:rPr>
          <w:color w:val="231F20"/>
          <w:spacing w:val="16"/>
          <w:position w:val="1"/>
          <w:sz w:val="20"/>
        </w:rPr>
        <w:drawing>
          <wp:inline distT="0" distB="0" distL="0" distR="0">
            <wp:extent cx="44450" cy="76200"/>
            <wp:effectExtent l="0" t="0" r="0" b="0"/>
            <wp:docPr id="3049" name="Image 3049"/>
            <wp:cNvGraphicFramePr>
              <a:graphicFrameLocks/>
            </wp:cNvGraphicFramePr>
            <a:graphic>
              <a:graphicData uri="http://schemas.openxmlformats.org/drawingml/2006/picture">
                <pic:pic>
                  <pic:nvPicPr>
                    <pic:cNvPr id="3049" name="Image 3049"/>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80"/>
          <w:sz w:val="20"/>
        </w:rPr>
        <w:t> </w:t>
      </w:r>
      <w:r>
        <w:rPr>
          <w:color w:val="231F20"/>
          <w:sz w:val="20"/>
        </w:rPr>
        <w:t>move it to the Assigned list. You can select</w:t>
      </w:r>
      <w:r>
        <w:rPr>
          <w:color w:val="231F20"/>
          <w:spacing w:val="40"/>
          <w:sz w:val="20"/>
        </w:rPr>
        <w:t> </w:t>
      </w:r>
      <w:r>
        <w:rPr>
          <w:color w:val="231F20"/>
          <w:sz w:val="20"/>
        </w:rPr>
        <w:t>multiple managed systems by holding down Ctrl while clicking each managed system. You can also, after selecting a managed system, use Shift+click to select</w:t>
      </w:r>
      <w:r>
        <w:rPr>
          <w:color w:val="231F20"/>
          <w:spacing w:val="40"/>
          <w:sz w:val="20"/>
        </w:rPr>
        <w:t> </w:t>
      </w:r>
      <w:r>
        <w:rPr>
          <w:color w:val="231F20"/>
          <w:sz w:val="20"/>
        </w:rPr>
        <w:t>all managed systems between this and the first selection.</w:t>
      </w:r>
    </w:p>
    <w:p>
      <w:pPr>
        <w:pStyle w:val="ListParagraph"/>
        <w:numPr>
          <w:ilvl w:val="0"/>
          <w:numId w:val="169"/>
        </w:numPr>
        <w:tabs>
          <w:tab w:pos="2787" w:val="left" w:leader="none"/>
        </w:tabs>
        <w:spacing w:line="255" w:lineRule="exact" w:before="33" w:after="0"/>
        <w:ind w:left="2787" w:right="0" w:hanging="315"/>
        <w:jc w:val="left"/>
        <w:rPr>
          <w:sz w:val="20"/>
        </w:rPr>
      </w:pPr>
      <w:r>
        <w:rPr>
          <w:color w:val="231F20"/>
          <w:sz w:val="20"/>
        </w:rPr>
        <w:t>Save</w:t>
      </w:r>
      <w:r>
        <w:rPr>
          <w:color w:val="231F20"/>
          <w:spacing w:val="11"/>
          <w:sz w:val="20"/>
        </w:rPr>
        <w:t> </w:t>
      </w:r>
      <w:r>
        <w:rPr>
          <w:color w:val="231F20"/>
          <w:sz w:val="20"/>
        </w:rPr>
        <w:t>your</w:t>
      </w:r>
      <w:r>
        <w:rPr>
          <w:color w:val="231F20"/>
          <w:spacing w:val="12"/>
          <w:sz w:val="20"/>
        </w:rPr>
        <w:t> </w:t>
      </w:r>
      <w:r>
        <w:rPr>
          <w:color w:val="231F20"/>
          <w:sz w:val="20"/>
        </w:rPr>
        <w:t>changes</w:t>
      </w:r>
      <w:r>
        <w:rPr>
          <w:color w:val="231F20"/>
          <w:spacing w:val="12"/>
          <w:sz w:val="20"/>
        </w:rPr>
        <w:t> </w:t>
      </w:r>
      <w:r>
        <w:rPr>
          <w:color w:val="231F20"/>
          <w:sz w:val="20"/>
        </w:rPr>
        <w:t>and</w:t>
      </w:r>
      <w:r>
        <w:rPr>
          <w:color w:val="231F20"/>
          <w:spacing w:val="11"/>
          <w:sz w:val="20"/>
        </w:rPr>
        <w:t> </w:t>
      </w:r>
      <w:r>
        <w:rPr>
          <w:color w:val="231F20"/>
          <w:sz w:val="20"/>
        </w:rPr>
        <w:t>either</w:t>
      </w:r>
      <w:r>
        <w:rPr>
          <w:color w:val="231F20"/>
          <w:spacing w:val="12"/>
          <w:sz w:val="20"/>
        </w:rPr>
        <w:t> </w:t>
      </w:r>
      <w:r>
        <w:rPr>
          <w:color w:val="231F20"/>
          <w:sz w:val="20"/>
        </w:rPr>
        <w:t>keep</w:t>
      </w:r>
      <w:r>
        <w:rPr>
          <w:color w:val="231F20"/>
          <w:spacing w:val="12"/>
          <w:sz w:val="20"/>
        </w:rPr>
        <w:t> </w:t>
      </w:r>
      <w:r>
        <w:rPr>
          <w:color w:val="231F20"/>
          <w:sz w:val="20"/>
        </w:rPr>
        <w:t>the</w:t>
      </w:r>
      <w:r>
        <w:rPr>
          <w:color w:val="231F20"/>
          <w:spacing w:val="12"/>
          <w:sz w:val="20"/>
        </w:rPr>
        <w:t> </w:t>
      </w:r>
      <w:r>
        <w:rPr>
          <w:color w:val="231F20"/>
          <w:sz w:val="20"/>
        </w:rPr>
        <w:t>editor</w:t>
      </w:r>
      <w:r>
        <w:rPr>
          <w:color w:val="231F20"/>
          <w:spacing w:val="11"/>
          <w:sz w:val="20"/>
        </w:rPr>
        <w:t> </w:t>
      </w:r>
      <w:r>
        <w:rPr>
          <w:color w:val="231F20"/>
          <w:sz w:val="20"/>
        </w:rPr>
        <w:t>open</w:t>
      </w:r>
      <w:r>
        <w:rPr>
          <w:color w:val="231F20"/>
          <w:spacing w:val="12"/>
          <w:sz w:val="20"/>
        </w:rPr>
        <w:t> </w:t>
      </w:r>
      <w:r>
        <w:rPr>
          <w:color w:val="231F20"/>
          <w:sz w:val="20"/>
        </w:rPr>
        <w:t>with</w:t>
      </w:r>
      <w:r>
        <w:rPr>
          <w:color w:val="231F20"/>
          <w:spacing w:val="12"/>
          <w:sz w:val="20"/>
        </w:rPr>
        <w:t> </w:t>
      </w:r>
      <w:r>
        <w:rPr>
          <w:rFonts w:ascii="Book Antiqua"/>
          <w:b/>
          <w:color w:val="231F20"/>
          <w:sz w:val="20"/>
        </w:rPr>
        <w:t>Apply</w:t>
      </w:r>
      <w:r>
        <w:rPr>
          <w:rFonts w:ascii="Book Antiqua"/>
          <w:b/>
          <w:color w:val="231F20"/>
          <w:spacing w:val="11"/>
          <w:sz w:val="20"/>
        </w:rPr>
        <w:t> </w:t>
      </w:r>
      <w:r>
        <w:rPr>
          <w:color w:val="231F20"/>
          <w:sz w:val="20"/>
        </w:rPr>
        <w:t>or</w:t>
      </w:r>
      <w:r>
        <w:rPr>
          <w:color w:val="231F20"/>
          <w:spacing w:val="12"/>
          <w:sz w:val="20"/>
        </w:rPr>
        <w:t> </w:t>
      </w:r>
      <w:r>
        <w:rPr>
          <w:color w:val="231F20"/>
          <w:sz w:val="20"/>
        </w:rPr>
        <w:t>exit</w:t>
      </w:r>
      <w:r>
        <w:rPr>
          <w:color w:val="231F20"/>
          <w:spacing w:val="12"/>
          <w:sz w:val="20"/>
        </w:rPr>
        <w:t> </w:t>
      </w:r>
      <w:r>
        <w:rPr>
          <w:color w:val="231F20"/>
          <w:spacing w:val="-4"/>
          <w:sz w:val="20"/>
        </w:rPr>
        <w:t>with</w:t>
      </w:r>
    </w:p>
    <w:p>
      <w:pPr>
        <w:spacing w:line="255" w:lineRule="exact" w:before="0"/>
        <w:ind w:left="2788" w:right="0" w:firstLine="0"/>
        <w:jc w:val="left"/>
        <w:rPr>
          <w:sz w:val="20"/>
        </w:rPr>
      </w:pPr>
      <w:bookmarkStart w:name="Deleting a managed system group" w:id="606"/>
      <w:bookmarkEnd w:id="606"/>
      <w:r>
        <w:rPr/>
      </w:r>
      <w:r>
        <w:rPr>
          <w:rFonts w:ascii="Book Antiqua"/>
          <w:b/>
          <w:color w:val="231F20"/>
          <w:spacing w:val="-5"/>
          <w:sz w:val="20"/>
        </w:rPr>
        <w:t>OK</w:t>
      </w:r>
      <w:r>
        <w:rPr>
          <w:color w:val="231F20"/>
          <w:spacing w:val="-5"/>
          <w:sz w:val="20"/>
        </w:rPr>
        <w:t>.</w:t>
      </w:r>
    </w:p>
    <w:p>
      <w:pPr>
        <w:pStyle w:val="Heading4"/>
        <w:spacing w:line="273" w:lineRule="exact" w:before="159"/>
        <w:ind w:left="2472"/>
      </w:pPr>
      <w:r>
        <w:rPr>
          <w:color w:val="231F20"/>
        </w:rPr>
        <w:t>Deleting</w:t>
      </w:r>
      <w:r>
        <w:rPr>
          <w:color w:val="231F20"/>
          <w:spacing w:val="5"/>
        </w:rPr>
        <w:t> </w:t>
      </w:r>
      <w:r>
        <w:rPr>
          <w:color w:val="231F20"/>
        </w:rPr>
        <w:t>a</w:t>
      </w:r>
      <w:r>
        <w:rPr>
          <w:color w:val="231F20"/>
          <w:spacing w:val="6"/>
        </w:rPr>
        <w:t> </w:t>
      </w:r>
      <w:r>
        <w:rPr>
          <w:color w:val="231F20"/>
        </w:rPr>
        <w:t>managed</w:t>
      </w:r>
      <w:r>
        <w:rPr>
          <w:color w:val="231F20"/>
          <w:spacing w:val="5"/>
        </w:rPr>
        <w:t> </w:t>
      </w:r>
      <w:r>
        <w:rPr>
          <w:color w:val="231F20"/>
        </w:rPr>
        <w:t>system</w:t>
      </w:r>
      <w:r>
        <w:rPr>
          <w:color w:val="231F20"/>
          <w:spacing w:val="6"/>
        </w:rPr>
        <w:t> </w:t>
      </w:r>
      <w:r>
        <w:rPr>
          <w:color w:val="231F20"/>
          <w:spacing w:val="-2"/>
        </w:rPr>
        <w:t>group</w:t>
      </w:r>
    </w:p>
    <w:p>
      <w:pPr>
        <w:pStyle w:val="BodyText"/>
        <w:spacing w:line="267" w:lineRule="exact"/>
        <w:ind w:left="2472"/>
      </w:pPr>
      <w:r>
        <w:rPr>
          <w:color w:val="231F20"/>
        </w:rPr>
        <w:t>You</w:t>
      </w:r>
      <w:r>
        <w:rPr>
          <w:color w:val="231F20"/>
          <w:spacing w:val="10"/>
        </w:rPr>
        <w:t> </w:t>
      </w:r>
      <w:r>
        <w:rPr>
          <w:color w:val="231F20"/>
        </w:rPr>
        <w:t>can</w:t>
      </w:r>
      <w:r>
        <w:rPr>
          <w:color w:val="231F20"/>
          <w:spacing w:val="10"/>
        </w:rPr>
        <w:t> </w:t>
      </w:r>
      <w:r>
        <w:rPr>
          <w:color w:val="231F20"/>
        </w:rPr>
        <w:t>delete</w:t>
      </w:r>
      <w:r>
        <w:rPr>
          <w:color w:val="231F20"/>
          <w:spacing w:val="11"/>
        </w:rPr>
        <w:t> </w:t>
      </w:r>
      <w:r>
        <w:rPr>
          <w:color w:val="231F20"/>
        </w:rPr>
        <w:t>a</w:t>
      </w:r>
      <w:r>
        <w:rPr>
          <w:color w:val="231F20"/>
          <w:spacing w:val="10"/>
        </w:rPr>
        <w:t> </w:t>
      </w:r>
      <w:r>
        <w:rPr>
          <w:color w:val="231F20"/>
        </w:rPr>
        <w:t>managed</w:t>
      </w:r>
      <w:r>
        <w:rPr>
          <w:color w:val="231F20"/>
          <w:spacing w:val="10"/>
        </w:rPr>
        <w:t> </w:t>
      </w:r>
      <w:r>
        <w:rPr>
          <w:color w:val="231F20"/>
        </w:rPr>
        <w:t>system</w:t>
      </w:r>
      <w:r>
        <w:rPr>
          <w:color w:val="231F20"/>
          <w:spacing w:val="11"/>
        </w:rPr>
        <w:t> </w:t>
      </w:r>
      <w:r>
        <w:rPr>
          <w:color w:val="231F20"/>
        </w:rPr>
        <w:t>group</w:t>
      </w:r>
      <w:r>
        <w:rPr>
          <w:color w:val="231F20"/>
          <w:spacing w:val="10"/>
        </w:rPr>
        <w:t> </w:t>
      </w:r>
      <w:r>
        <w:rPr>
          <w:color w:val="231F20"/>
        </w:rPr>
        <w:t>if</w:t>
      </w:r>
      <w:r>
        <w:rPr>
          <w:color w:val="231F20"/>
          <w:spacing w:val="10"/>
        </w:rPr>
        <w:t> </w:t>
      </w:r>
      <w:r>
        <w:rPr>
          <w:color w:val="231F20"/>
        </w:rPr>
        <w:t>it</w:t>
      </w:r>
      <w:r>
        <w:rPr>
          <w:color w:val="231F20"/>
          <w:spacing w:val="11"/>
        </w:rPr>
        <w:t> </w:t>
      </w:r>
      <w:r>
        <w:rPr>
          <w:color w:val="231F20"/>
        </w:rPr>
        <w:t>is</w:t>
      </w:r>
      <w:r>
        <w:rPr>
          <w:color w:val="231F20"/>
          <w:spacing w:val="10"/>
        </w:rPr>
        <w:t> </w:t>
      </w:r>
      <w:r>
        <w:rPr>
          <w:color w:val="231F20"/>
        </w:rPr>
        <w:t>no</w:t>
      </w:r>
      <w:r>
        <w:rPr>
          <w:color w:val="231F20"/>
          <w:spacing w:val="10"/>
        </w:rPr>
        <w:t> </w:t>
      </w:r>
      <w:r>
        <w:rPr>
          <w:color w:val="231F20"/>
        </w:rPr>
        <w:t>longer</w:t>
      </w:r>
      <w:r>
        <w:rPr>
          <w:color w:val="231F20"/>
          <w:spacing w:val="11"/>
        </w:rPr>
        <w:t> </w:t>
      </w:r>
      <w:r>
        <w:rPr>
          <w:color w:val="231F20"/>
          <w:spacing w:val="-2"/>
        </w:rPr>
        <w:t>needed.</w:t>
      </w:r>
    </w:p>
    <w:p>
      <w:pPr>
        <w:pStyle w:val="Heading5"/>
        <w:spacing w:before="213"/>
      </w:pPr>
      <w:r>
        <w:rPr>
          <w:color w:val="231F20"/>
        </w:rPr>
        <w:t>About</w:t>
      </w:r>
      <w:r>
        <w:rPr>
          <w:color w:val="231F20"/>
          <w:spacing w:val="5"/>
        </w:rPr>
        <w:t> </w:t>
      </w:r>
      <w:r>
        <w:rPr>
          <w:color w:val="231F20"/>
        </w:rPr>
        <w:t>this</w:t>
      </w:r>
      <w:r>
        <w:rPr>
          <w:color w:val="231F20"/>
          <w:spacing w:val="6"/>
        </w:rPr>
        <w:t> </w:t>
      </w:r>
      <w:r>
        <w:rPr>
          <w:color w:val="231F20"/>
          <w:spacing w:val="-4"/>
        </w:rPr>
        <w:t>task</w:t>
      </w:r>
    </w:p>
    <w:p>
      <w:pPr>
        <w:pStyle w:val="BodyText"/>
        <w:spacing w:line="213" w:lineRule="auto" w:before="245"/>
        <w:ind w:left="2472" w:right="274"/>
      </w:pPr>
      <w:r>
        <w:rPr>
          <w:color w:val="231F20"/>
        </w:rPr>
        <w:t>Be aware that if you delete a managed system group that is assigned to a situation,</w:t>
      </w:r>
      <w:r>
        <w:rPr>
          <w:color w:val="231F20"/>
          <w:spacing w:val="40"/>
        </w:rPr>
        <w:t> </w:t>
      </w:r>
      <w:r>
        <w:rPr>
          <w:color w:val="231F20"/>
        </w:rPr>
        <w:t>policy, query, or custom Navigator view, the assignment will no longer be valid.</w:t>
      </w:r>
    </w:p>
    <w:p>
      <w:pPr>
        <w:pStyle w:val="BodyText"/>
        <w:spacing w:before="215"/>
        <w:ind w:left="2472"/>
      </w:pPr>
      <w:r>
        <w:rPr>
          <w:color w:val="231F20"/>
        </w:rPr>
        <w:t>To</w:t>
      </w:r>
      <w:r>
        <w:rPr>
          <w:color w:val="231F20"/>
          <w:spacing w:val="7"/>
        </w:rPr>
        <w:t> </w:t>
      </w:r>
      <w:r>
        <w:rPr>
          <w:color w:val="231F20"/>
        </w:rPr>
        <w:t>delete</w:t>
      </w:r>
      <w:r>
        <w:rPr>
          <w:color w:val="231F20"/>
          <w:spacing w:val="8"/>
        </w:rPr>
        <w:t> </w:t>
      </w:r>
      <w:r>
        <w:rPr>
          <w:color w:val="231F20"/>
        </w:rPr>
        <w:t>a</w:t>
      </w:r>
      <w:r>
        <w:rPr>
          <w:color w:val="231F20"/>
          <w:spacing w:val="7"/>
        </w:rPr>
        <w:t> </w:t>
      </w:r>
      <w:r>
        <w:rPr>
          <w:color w:val="231F20"/>
        </w:rPr>
        <w:t>managed</w:t>
      </w:r>
      <w:r>
        <w:rPr>
          <w:color w:val="231F20"/>
          <w:spacing w:val="8"/>
        </w:rPr>
        <w:t> </w:t>
      </w:r>
      <w:r>
        <w:rPr>
          <w:color w:val="231F20"/>
        </w:rPr>
        <w:t>system</w:t>
      </w:r>
      <w:r>
        <w:rPr>
          <w:color w:val="231F20"/>
          <w:spacing w:val="7"/>
        </w:rPr>
        <w:t> </w:t>
      </w:r>
      <w:r>
        <w:rPr>
          <w:color w:val="231F20"/>
          <w:spacing w:val="-2"/>
        </w:rPr>
        <w:t>group:</w:t>
      </w:r>
    </w:p>
    <w:p>
      <w:pPr>
        <w:pStyle w:val="Heading5"/>
        <w:spacing w:before="213"/>
      </w:pPr>
      <w:r>
        <w:rPr>
          <w:color w:val="231F20"/>
          <w:spacing w:val="-2"/>
        </w:rPr>
        <w:t>Procedure</w:t>
      </w:r>
    </w:p>
    <w:p>
      <w:pPr>
        <w:pStyle w:val="ListParagraph"/>
        <w:numPr>
          <w:ilvl w:val="0"/>
          <w:numId w:val="170"/>
        </w:numPr>
        <w:tabs>
          <w:tab w:pos="2787" w:val="left" w:leader="none"/>
        </w:tabs>
        <w:spacing w:line="240" w:lineRule="auto" w:before="43" w:after="0"/>
        <w:ind w:left="2787"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95250" cy="95250"/>
            <wp:effectExtent l="0" t="0" r="0" b="0"/>
            <wp:docPr id="3050" name="Image 3050"/>
            <wp:cNvGraphicFramePr>
              <a:graphicFrameLocks/>
            </wp:cNvGraphicFramePr>
            <a:graphic>
              <a:graphicData uri="http://schemas.openxmlformats.org/drawingml/2006/picture">
                <pic:pic>
                  <pic:nvPicPr>
                    <pic:cNvPr id="3050" name="Image 3050"/>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53"/>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pacing w:val="-2"/>
          <w:sz w:val="20"/>
        </w:rPr>
        <w:t>editor</w:t>
      </w:r>
      <w:r>
        <w:rPr>
          <w:color w:val="231F20"/>
          <w:spacing w:val="-2"/>
          <w:sz w:val="20"/>
        </w:rPr>
        <w:t>.</w:t>
      </w:r>
    </w:p>
    <w:p>
      <w:pPr>
        <w:pStyle w:val="ListParagraph"/>
        <w:numPr>
          <w:ilvl w:val="0"/>
          <w:numId w:val="170"/>
        </w:numPr>
        <w:tabs>
          <w:tab w:pos="2787" w:val="left" w:leader="none"/>
        </w:tabs>
        <w:spacing w:line="240" w:lineRule="auto" w:before="29" w:after="0"/>
        <w:ind w:left="2787" w:right="0" w:hanging="315"/>
        <w:jc w:val="left"/>
        <w:rPr>
          <w:sz w:val="20"/>
        </w:rPr>
      </w:pPr>
      <w:r>
        <w:rPr>
          <w:color w:val="231F20"/>
          <w:sz w:val="20"/>
        </w:rPr>
        <w:t>Click</w:t>
      </w:r>
      <w:r>
        <w:rPr>
          <w:color w:val="231F20"/>
          <w:spacing w:val="50"/>
          <w:sz w:val="20"/>
        </w:rPr>
        <w:t> </w:t>
      </w:r>
      <w:r>
        <w:rPr>
          <w:color w:val="231F20"/>
          <w:spacing w:val="6"/>
          <w:sz w:val="20"/>
        </w:rPr>
        <w:drawing>
          <wp:inline distT="0" distB="0" distL="0" distR="0">
            <wp:extent cx="69850" cy="69850"/>
            <wp:effectExtent l="0" t="0" r="0" b="0"/>
            <wp:docPr id="3051" name="Image 3051"/>
            <wp:cNvGraphicFramePr>
              <a:graphicFrameLocks/>
            </wp:cNvGraphicFramePr>
            <a:graphic>
              <a:graphicData uri="http://schemas.openxmlformats.org/drawingml/2006/picture">
                <pic:pic>
                  <pic:nvPicPr>
                    <pic:cNvPr id="3051" name="Image 3051"/>
                    <pic:cNvPicPr/>
                  </pic:nvPicPr>
                  <pic:blipFill>
                    <a:blip r:embed="rId89" cstate="print"/>
                    <a:stretch>
                      <a:fillRect/>
                    </a:stretch>
                  </pic:blipFill>
                  <pic:spPr>
                    <a:xfrm>
                      <a:off x="0" y="0"/>
                      <a:ext cx="69850" cy="69850"/>
                    </a:xfrm>
                    <a:prstGeom prst="rect">
                      <a:avLst/>
                    </a:prstGeom>
                  </pic:spPr>
                </pic:pic>
              </a:graphicData>
            </a:graphic>
          </wp:inline>
        </w:drawing>
      </w:r>
      <w:r>
        <w:rPr>
          <w:color w:val="231F20"/>
          <w:spacing w:val="6"/>
          <w:sz w:val="20"/>
        </w:rPr>
      </w:r>
      <w:r>
        <w:rPr>
          <w:rFonts w:ascii="Times New Roman"/>
          <w:color w:val="231F20"/>
          <w:spacing w:val="38"/>
          <w:sz w:val="20"/>
        </w:rPr>
        <w:t> </w:t>
      </w:r>
      <w:r>
        <w:rPr>
          <w:color w:val="231F20"/>
          <w:sz w:val="20"/>
        </w:rPr>
        <w:t>to</w:t>
      </w:r>
      <w:r>
        <w:rPr>
          <w:color w:val="231F20"/>
          <w:spacing w:val="12"/>
          <w:sz w:val="20"/>
        </w:rPr>
        <w:t> </w:t>
      </w:r>
      <w:r>
        <w:rPr>
          <w:color w:val="231F20"/>
          <w:sz w:val="20"/>
        </w:rPr>
        <w:t>expand</w:t>
      </w:r>
      <w:r>
        <w:rPr>
          <w:color w:val="231F20"/>
          <w:spacing w:val="13"/>
          <w:sz w:val="20"/>
        </w:rPr>
        <w:t> </w:t>
      </w:r>
      <w:r>
        <w:rPr>
          <w:color w:val="231F20"/>
          <w:sz w:val="20"/>
        </w:rPr>
        <w:t>a</w:t>
      </w:r>
      <w:r>
        <w:rPr>
          <w:color w:val="231F20"/>
          <w:spacing w:val="12"/>
          <w:sz w:val="20"/>
        </w:rPr>
        <w:t> </w:t>
      </w:r>
      <w:r>
        <w:rPr>
          <w:color w:val="231F20"/>
          <w:sz w:val="20"/>
        </w:rPr>
        <w:t>managed</w:t>
      </w:r>
      <w:r>
        <w:rPr>
          <w:color w:val="231F20"/>
          <w:spacing w:val="13"/>
          <w:sz w:val="20"/>
        </w:rPr>
        <w:t> </w:t>
      </w:r>
      <w:r>
        <w:rPr>
          <w:color w:val="231F20"/>
          <w:sz w:val="20"/>
        </w:rPr>
        <w:t>system</w:t>
      </w:r>
      <w:r>
        <w:rPr>
          <w:color w:val="231F20"/>
          <w:spacing w:val="12"/>
          <w:sz w:val="20"/>
        </w:rPr>
        <w:t> </w:t>
      </w:r>
      <w:r>
        <w:rPr>
          <w:color w:val="231F20"/>
          <w:spacing w:val="-2"/>
          <w:sz w:val="20"/>
        </w:rPr>
        <w:t>folder.</w:t>
      </w:r>
    </w:p>
    <w:p>
      <w:pPr>
        <w:pStyle w:val="ListParagraph"/>
        <w:numPr>
          <w:ilvl w:val="0"/>
          <w:numId w:val="170"/>
        </w:numPr>
        <w:tabs>
          <w:tab w:pos="2788" w:val="left" w:leader="none"/>
        </w:tabs>
        <w:spacing w:line="213" w:lineRule="auto" w:before="53" w:after="0"/>
        <w:ind w:left="2788" w:right="445" w:hanging="316"/>
        <w:jc w:val="left"/>
        <w:rPr>
          <w:sz w:val="20"/>
        </w:rPr>
      </w:pPr>
      <w:r>
        <w:rPr>
          <w:color w:val="231F20"/>
          <w:sz w:val="20"/>
        </w:rPr>
        <w:t>Select the managed system group you want to delete and click </w:t>
      </w:r>
      <w:r>
        <w:rPr>
          <w:rFonts w:ascii="Book Antiqua"/>
          <w:b/>
          <w:color w:val="231F20"/>
          <w:sz w:val="20"/>
        </w:rPr>
        <w:t>Remove selected group</w:t>
      </w:r>
      <w:r>
        <w:rPr>
          <w:color w:val="231F20"/>
          <w:sz w:val="20"/>
        </w:rPr>
        <w:t>. You can also right-click the managed system group and </w:t>
      </w:r>
      <w:r>
        <w:rPr>
          <w:color w:val="231F20"/>
          <w:sz w:val="20"/>
        </w:rPr>
        <w:t>click </w:t>
      </w:r>
      <w:r>
        <w:rPr>
          <w:rFonts w:ascii="Book Antiqua"/>
          <w:b/>
          <w:color w:val="231F20"/>
          <w:sz w:val="20"/>
        </w:rPr>
        <w:t>Remove selected group</w:t>
      </w:r>
      <w:r>
        <w:rPr>
          <w:color w:val="231F20"/>
          <w:sz w:val="20"/>
        </w:rPr>
        <w:t>.</w:t>
      </w:r>
    </w:p>
    <w:p>
      <w:pPr>
        <w:pStyle w:val="ListParagraph"/>
        <w:numPr>
          <w:ilvl w:val="0"/>
          <w:numId w:val="170"/>
        </w:numPr>
        <w:tabs>
          <w:tab w:pos="2788" w:val="left" w:leader="none"/>
        </w:tabs>
        <w:spacing w:line="213" w:lineRule="auto" w:before="58" w:after="0"/>
        <w:ind w:left="2788" w:right="312" w:hanging="316"/>
        <w:jc w:val="left"/>
        <w:rPr>
          <w:sz w:val="20"/>
        </w:rPr>
      </w:pPr>
      <w:r>
        <w:rPr>
          <w:color w:val="231F20"/>
          <w:sz w:val="20"/>
        </w:rPr>
        <w:t>When a message asks if you are sure, click </w:t>
      </w:r>
      <w:r>
        <w:rPr>
          <w:rFonts w:ascii="Book Antiqua"/>
          <w:b/>
          <w:color w:val="231F20"/>
          <w:sz w:val="20"/>
        </w:rPr>
        <w:t>Yes</w:t>
      </w:r>
      <w:r>
        <w:rPr>
          <w:color w:val="231F20"/>
          <w:sz w:val="20"/>
        </w:rPr>
        <w:t>; or click </w:t>
      </w:r>
      <w:r>
        <w:rPr>
          <w:rFonts w:ascii="Book Antiqua"/>
          <w:b/>
          <w:color w:val="231F20"/>
          <w:sz w:val="20"/>
        </w:rPr>
        <w:t>No </w:t>
      </w:r>
      <w:r>
        <w:rPr>
          <w:color w:val="231F20"/>
          <w:sz w:val="20"/>
        </w:rPr>
        <w:t>if you are not sure</w:t>
      </w:r>
      <w:r>
        <w:rPr>
          <w:color w:val="231F20"/>
          <w:spacing w:val="80"/>
          <w:sz w:val="20"/>
        </w:rPr>
        <w:t> </w:t>
      </w:r>
      <w:r>
        <w:rPr>
          <w:color w:val="231F20"/>
          <w:sz w:val="20"/>
        </w:rPr>
        <w:t>of the effect this will have on your monitoring configuration.</w:t>
      </w:r>
    </w:p>
    <w:p>
      <w:pPr>
        <w:pStyle w:val="ListParagraph"/>
        <w:numPr>
          <w:ilvl w:val="0"/>
          <w:numId w:val="170"/>
        </w:numPr>
        <w:tabs>
          <w:tab w:pos="2788" w:val="left" w:leader="none"/>
        </w:tabs>
        <w:spacing w:line="213" w:lineRule="auto" w:before="58" w:after="0"/>
        <w:ind w:left="2788" w:right="623" w:hanging="316"/>
        <w:jc w:val="left"/>
        <w:rPr>
          <w:sz w:val="20"/>
        </w:rPr>
      </w:pPr>
      <w:r>
        <w:rPr>
          <w:color w:val="231F20"/>
          <w:sz w:val="20"/>
        </w:rPr>
        <w:t>Select another managed system type or list to work with or click </w:t>
      </w:r>
      <w:r>
        <w:rPr>
          <w:rFonts w:ascii="Book Antiqua"/>
          <w:b/>
          <w:color w:val="231F20"/>
          <w:sz w:val="20"/>
        </w:rPr>
        <w:t>Cancel </w:t>
      </w:r>
      <w:r>
        <w:rPr>
          <w:color w:val="231F20"/>
          <w:sz w:val="20"/>
        </w:rPr>
        <w:t>to close the editor.</w:t>
      </w:r>
    </w:p>
    <w:p>
      <w:pPr>
        <w:spacing w:after="0" w:line="213" w:lineRule="auto"/>
        <w:jc w:val="left"/>
        <w:rPr>
          <w:sz w:val="20"/>
        </w:rPr>
        <w:sectPr>
          <w:pgSz w:w="12240" w:h="15840"/>
          <w:pgMar w:header="0" w:footer="736" w:top="1180" w:bottom="920" w:left="1000" w:right="1060"/>
        </w:sectPr>
      </w:pPr>
    </w:p>
    <w:p>
      <w:pPr>
        <w:pStyle w:val="Heading3"/>
        <w:spacing w:before="84"/>
        <w:ind w:left="1334"/>
      </w:pPr>
      <w:bookmarkStart w:name="_bookmark294" w:id="607"/>
      <w:bookmarkEnd w:id="607"/>
      <w:r>
        <w:rPr>
          <w:b w:val="0"/>
        </w:rPr>
      </w:r>
      <w:bookmarkStart w:name="Creating a historical configuration grou" w:id="608"/>
      <w:bookmarkEnd w:id="608"/>
      <w:r>
        <w:rPr>
          <w:b w:val="0"/>
        </w:rPr>
      </w:r>
      <w:r>
        <w:rPr>
          <w:color w:val="231F20"/>
        </w:rPr>
        <w:t>Creating</w:t>
      </w:r>
      <w:r>
        <w:rPr>
          <w:color w:val="231F20"/>
          <w:spacing w:val="4"/>
        </w:rPr>
        <w:t> </w:t>
      </w:r>
      <w:r>
        <w:rPr>
          <w:color w:val="231F20"/>
        </w:rPr>
        <w:t>a</w:t>
      </w:r>
      <w:r>
        <w:rPr>
          <w:color w:val="231F20"/>
          <w:spacing w:val="4"/>
        </w:rPr>
        <w:t> </w:t>
      </w:r>
      <w:r>
        <w:rPr>
          <w:color w:val="231F20"/>
        </w:rPr>
        <w:t>historical</w:t>
      </w:r>
      <w:r>
        <w:rPr>
          <w:color w:val="231F20"/>
          <w:spacing w:val="4"/>
        </w:rPr>
        <w:t> </w:t>
      </w:r>
      <w:r>
        <w:rPr>
          <w:color w:val="231F20"/>
        </w:rPr>
        <w:t>configuration</w:t>
      </w:r>
      <w:r>
        <w:rPr>
          <w:color w:val="231F20"/>
          <w:spacing w:val="4"/>
        </w:rPr>
        <w:t> </w:t>
      </w:r>
      <w:r>
        <w:rPr>
          <w:color w:val="231F20"/>
          <w:spacing w:val="-2"/>
        </w:rPr>
        <w:t>group</w:t>
      </w:r>
    </w:p>
    <w:p>
      <w:pPr>
        <w:pStyle w:val="BodyText"/>
        <w:spacing w:line="213" w:lineRule="auto" w:before="58"/>
        <w:ind w:left="2232" w:right="545"/>
      </w:pPr>
      <w:r>
        <w:rPr>
          <w:color w:val="231F20"/>
        </w:rPr>
        <w:t>Organize the historical collections that you have defined into named groups </w:t>
      </w:r>
      <w:r>
        <w:rPr>
          <w:color w:val="231F20"/>
        </w:rPr>
        <w:t>that can be managed collectively.</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493"/>
      </w:pPr>
      <w:r>
        <w:rPr>
          <w:color w:val="231F20"/>
        </w:rPr>
        <w:t>Historical configuration groups are made up of historical data collections that </w:t>
      </w:r>
      <w:r>
        <w:rPr>
          <w:color w:val="231F20"/>
        </w:rPr>
        <w:t>were defined in the History Collection Configuration window. Create the historical collections that you intend to include in the historical group before opening the Object Group editor.</w:t>
      </w:r>
    </w:p>
    <w:p>
      <w:pPr>
        <w:pStyle w:val="BodyText"/>
        <w:spacing w:line="213" w:lineRule="auto" w:before="237"/>
        <w:ind w:left="2232" w:right="493"/>
      </w:pPr>
      <w:r>
        <w:rPr>
          <w:color w:val="231F20"/>
        </w:rPr>
        <w:t>This feature is available when the Tivoli Enterprise Portal Server and Tivoli Enterprise Monitoring Server are at Version 6.2.2 or later and the historical data collection that you want to add to the group is configured for </w:t>
      </w:r>
      <w:r>
        <w:rPr>
          <w:rFonts w:ascii="Book Antiqua"/>
          <w:b/>
          <w:color w:val="231F20"/>
        </w:rPr>
        <w:t>Managed System (Agent) </w:t>
      </w:r>
      <w:r>
        <w:rPr>
          <w:color w:val="231F20"/>
        </w:rPr>
        <w:t>as the distribution method.</w:t>
      </w:r>
    </w:p>
    <w:p>
      <w:pPr>
        <w:pStyle w:val="Heading4"/>
        <w:spacing w:before="198"/>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Take</w:t>
      </w:r>
      <w:r>
        <w:rPr>
          <w:color w:val="231F20"/>
          <w:spacing w:val="7"/>
        </w:rPr>
        <w:t> </w:t>
      </w:r>
      <w:r>
        <w:rPr>
          <w:color w:val="231F20"/>
        </w:rPr>
        <w:t>these</w:t>
      </w:r>
      <w:r>
        <w:rPr>
          <w:color w:val="231F20"/>
          <w:spacing w:val="8"/>
        </w:rPr>
        <w:t> </w:t>
      </w:r>
      <w:r>
        <w:rPr>
          <w:color w:val="231F20"/>
        </w:rPr>
        <w:t>steps</w:t>
      </w:r>
      <w:r>
        <w:rPr>
          <w:color w:val="231F20"/>
          <w:spacing w:val="8"/>
        </w:rPr>
        <w:t> </w:t>
      </w:r>
      <w:r>
        <w:rPr>
          <w:color w:val="231F20"/>
        </w:rPr>
        <w:t>to</w:t>
      </w:r>
      <w:r>
        <w:rPr>
          <w:color w:val="231F20"/>
          <w:spacing w:val="8"/>
        </w:rPr>
        <w:t> </w:t>
      </w:r>
      <w:r>
        <w:rPr>
          <w:color w:val="231F20"/>
        </w:rPr>
        <w:t>create</w:t>
      </w:r>
      <w:r>
        <w:rPr>
          <w:color w:val="231F20"/>
          <w:spacing w:val="8"/>
        </w:rPr>
        <w:t> </w:t>
      </w:r>
      <w:r>
        <w:rPr>
          <w:color w:val="231F20"/>
        </w:rPr>
        <w:t>a</w:t>
      </w:r>
      <w:r>
        <w:rPr>
          <w:color w:val="231F20"/>
          <w:spacing w:val="8"/>
        </w:rPr>
        <w:t> </w:t>
      </w:r>
      <w:r>
        <w:rPr>
          <w:color w:val="231F20"/>
        </w:rPr>
        <w:t>historical</w:t>
      </w:r>
      <w:r>
        <w:rPr>
          <w:color w:val="231F20"/>
          <w:spacing w:val="8"/>
        </w:rPr>
        <w:t> </w:t>
      </w:r>
      <w:r>
        <w:rPr>
          <w:color w:val="231F20"/>
        </w:rPr>
        <w:t>configuration</w:t>
      </w:r>
      <w:r>
        <w:rPr>
          <w:color w:val="231F20"/>
          <w:spacing w:val="8"/>
        </w:rPr>
        <w:t> </w:t>
      </w:r>
      <w:r>
        <w:rPr>
          <w:color w:val="231F20"/>
          <w:spacing w:val="-2"/>
        </w:rPr>
        <w:t>group:</w:t>
      </w:r>
    </w:p>
    <w:p>
      <w:pPr>
        <w:pStyle w:val="Heading4"/>
        <w:spacing w:before="194"/>
      </w:pPr>
      <w:r>
        <w:rPr>
          <w:color w:val="231F20"/>
          <w:spacing w:val="-2"/>
        </w:rPr>
        <w:t>Procedure</w:t>
      </w:r>
    </w:p>
    <w:p>
      <w:pPr>
        <w:pStyle w:val="ListParagraph"/>
        <w:numPr>
          <w:ilvl w:val="0"/>
          <w:numId w:val="171"/>
        </w:numPr>
        <w:tabs>
          <w:tab w:pos="2547" w:val="left" w:leader="none"/>
        </w:tabs>
        <w:spacing w:line="240" w:lineRule="auto" w:before="39" w:after="0"/>
        <w:ind w:left="2547"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Object</w:t>
      </w:r>
      <w:r>
        <w:rPr>
          <w:color w:val="231F20"/>
          <w:spacing w:val="11"/>
          <w:sz w:val="20"/>
        </w:rPr>
        <w:t> </w:t>
      </w:r>
      <w:r>
        <w:rPr>
          <w:color w:val="231F20"/>
          <w:sz w:val="20"/>
        </w:rPr>
        <w:t>group</w:t>
      </w:r>
      <w:r>
        <w:rPr>
          <w:color w:val="231F20"/>
          <w:spacing w:val="10"/>
          <w:sz w:val="20"/>
        </w:rPr>
        <w:t> </w:t>
      </w:r>
      <w:r>
        <w:rPr>
          <w:color w:val="231F20"/>
          <w:sz w:val="20"/>
        </w:rPr>
        <w:t>editor</w:t>
      </w:r>
      <w:r>
        <w:rPr>
          <w:color w:val="231F20"/>
          <w:spacing w:val="11"/>
          <w:sz w:val="20"/>
        </w:rPr>
        <w:t> </w:t>
      </w:r>
      <w:r>
        <w:rPr>
          <w:color w:val="231F20"/>
          <w:sz w:val="20"/>
        </w:rPr>
        <w:t>from</w:t>
      </w:r>
      <w:r>
        <w:rPr>
          <w:color w:val="231F20"/>
          <w:spacing w:val="11"/>
          <w:sz w:val="20"/>
        </w:rPr>
        <w:t> </w:t>
      </w:r>
      <w:r>
        <w:rPr>
          <w:color w:val="231F20"/>
          <w:sz w:val="20"/>
        </w:rPr>
        <w:t>either</w:t>
      </w:r>
      <w:r>
        <w:rPr>
          <w:color w:val="231F20"/>
          <w:spacing w:val="10"/>
          <w:sz w:val="20"/>
        </w:rPr>
        <w:t> </w:t>
      </w:r>
      <w:r>
        <w:rPr>
          <w:color w:val="231F20"/>
          <w:sz w:val="20"/>
        </w:rPr>
        <w:t>of</w:t>
      </w:r>
      <w:r>
        <w:rPr>
          <w:color w:val="231F20"/>
          <w:spacing w:val="11"/>
          <w:sz w:val="20"/>
        </w:rPr>
        <w:t> </w:t>
      </w:r>
      <w:r>
        <w:rPr>
          <w:color w:val="231F20"/>
          <w:sz w:val="20"/>
        </w:rPr>
        <w:t>these</w:t>
      </w:r>
      <w:r>
        <w:rPr>
          <w:color w:val="231F20"/>
          <w:spacing w:val="11"/>
          <w:sz w:val="20"/>
        </w:rPr>
        <w:t> </w:t>
      </w:r>
      <w:r>
        <w:rPr>
          <w:color w:val="231F20"/>
          <w:spacing w:val="-2"/>
          <w:sz w:val="20"/>
        </w:rPr>
        <w:t>locations:</w:t>
      </w:r>
    </w:p>
    <w:p>
      <w:pPr>
        <w:spacing w:before="29"/>
        <w:ind w:left="2548" w:right="0" w:firstLine="0"/>
        <w:jc w:val="left"/>
        <w:rPr>
          <w:sz w:val="20"/>
        </w:rPr>
      </w:pPr>
      <w:r>
        <w:rPr>
          <w:rFonts w:ascii="Futura MdCn BT"/>
          <w:color w:val="231F20"/>
          <w:sz w:val="20"/>
        </w:rPr>
        <w:t>v</w:t>
      </w:r>
      <w:r>
        <w:rPr>
          <w:rFonts w:ascii="Futura MdCn BT"/>
          <w:color w:val="231F20"/>
          <w:spacing w:val="30"/>
          <w:sz w:val="20"/>
        </w:rPr>
        <w:t>  </w:t>
      </w:r>
      <w:r>
        <w:rPr>
          <w:color w:val="231F20"/>
          <w:sz w:val="20"/>
        </w:rPr>
        <w:t>Click</w:t>
      </w:r>
      <w:r>
        <w:rPr>
          <w:color w:val="231F20"/>
          <w:spacing w:val="13"/>
          <w:sz w:val="20"/>
        </w:rPr>
        <w:t> </w:t>
      </w:r>
      <w:r>
        <w:rPr>
          <w:color w:val="231F20"/>
          <w:spacing w:val="16"/>
          <w:position w:val="-1"/>
          <w:sz w:val="20"/>
        </w:rPr>
        <w:drawing>
          <wp:inline distT="0" distB="0" distL="0" distR="0">
            <wp:extent cx="95250" cy="95250"/>
            <wp:effectExtent l="0" t="0" r="0" b="0"/>
            <wp:docPr id="3052" name="Image 3052"/>
            <wp:cNvGraphicFramePr>
              <a:graphicFrameLocks/>
            </wp:cNvGraphicFramePr>
            <a:graphic>
              <a:graphicData uri="http://schemas.openxmlformats.org/drawingml/2006/picture">
                <pic:pic>
                  <pic:nvPicPr>
                    <pic:cNvPr id="3052" name="Image 3052"/>
                    <pic:cNvPicPr/>
                  </pic:nvPicPr>
                  <pic:blipFill>
                    <a:blip r:embed="rId34" cstate="print"/>
                    <a:stretch>
                      <a:fillRect/>
                    </a:stretch>
                  </pic:blipFill>
                  <pic:spPr>
                    <a:xfrm>
                      <a:off x="0" y="0"/>
                      <a:ext cx="95250" cy="9525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z w:val="20"/>
        </w:rPr>
        <w:t>editor</w:t>
      </w:r>
      <w:r>
        <w:rPr>
          <w:color w:val="231F20"/>
          <w:sz w:val="20"/>
        </w:rPr>
        <w:t>,</w:t>
      </w:r>
      <w:r>
        <w:rPr>
          <w:color w:val="231F20"/>
          <w:spacing w:val="12"/>
          <w:sz w:val="20"/>
        </w:rPr>
        <w:t> </w:t>
      </w:r>
      <w:r>
        <w:rPr>
          <w:color w:val="231F20"/>
          <w:sz w:val="20"/>
        </w:rPr>
        <w:t>then</w:t>
      </w:r>
      <w:r>
        <w:rPr>
          <w:color w:val="231F20"/>
          <w:spacing w:val="12"/>
          <w:sz w:val="20"/>
        </w:rPr>
        <w:t> </w:t>
      </w:r>
      <w:r>
        <w:rPr>
          <w:color w:val="231F20"/>
          <w:sz w:val="20"/>
        </w:rPr>
        <w:t>click</w:t>
      </w:r>
      <w:r>
        <w:rPr>
          <w:color w:val="231F20"/>
          <w:spacing w:val="12"/>
          <w:sz w:val="20"/>
        </w:rPr>
        <w:t> </w:t>
      </w:r>
      <w:r>
        <w:rPr>
          <w:color w:val="231F20"/>
          <w:spacing w:val="15"/>
          <w:position w:val="-1"/>
          <w:sz w:val="20"/>
        </w:rPr>
        <w:drawing>
          <wp:inline distT="0" distB="0" distL="0" distR="0">
            <wp:extent cx="101600" cy="95250"/>
            <wp:effectExtent l="0" t="0" r="0" b="0"/>
            <wp:docPr id="3053" name="Image 3053"/>
            <wp:cNvGraphicFramePr>
              <a:graphicFrameLocks/>
            </wp:cNvGraphicFramePr>
            <a:graphic>
              <a:graphicData uri="http://schemas.openxmlformats.org/drawingml/2006/picture">
                <pic:pic>
                  <pic:nvPicPr>
                    <pic:cNvPr id="3053" name="Image 3053"/>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Historical</w:t>
      </w:r>
      <w:r>
        <w:rPr>
          <w:rFonts w:ascii="Book Antiqua"/>
          <w:b/>
          <w:color w:val="231F20"/>
          <w:spacing w:val="12"/>
          <w:sz w:val="20"/>
        </w:rPr>
        <w:t> </w:t>
      </w:r>
      <w:r>
        <w:rPr>
          <w:rFonts w:ascii="Book Antiqua"/>
          <w:b/>
          <w:color w:val="231F20"/>
          <w:spacing w:val="-2"/>
          <w:sz w:val="20"/>
        </w:rPr>
        <w:t>configurations</w:t>
      </w:r>
      <w:r>
        <w:rPr>
          <w:color w:val="231F20"/>
          <w:spacing w:val="-2"/>
          <w:sz w:val="20"/>
        </w:rPr>
        <w:t>.</w:t>
      </w:r>
    </w:p>
    <w:p>
      <w:pPr>
        <w:pStyle w:val="BodyText"/>
        <w:spacing w:line="213" w:lineRule="auto" w:before="53"/>
        <w:ind w:left="2764" w:right="525" w:hanging="216"/>
        <w:jc w:val="both"/>
      </w:pPr>
      <w:r>
        <w:rPr>
          <w:rFonts w:ascii="Futura MdCn BT"/>
          <w:color w:val="231F20"/>
        </w:rPr>
        <w:t>v</w:t>
      </w:r>
      <w:r>
        <w:rPr>
          <w:rFonts w:ascii="Futura MdCn BT"/>
          <w:color w:val="231F20"/>
          <w:spacing w:val="40"/>
        </w:rPr>
        <w:t> </w:t>
      </w:r>
      <w:r>
        <w:rPr>
          <w:color w:val="231F20"/>
        </w:rPr>
        <w:t>If the History Collection Configuration window, is not open, click </w:t>
      </w:r>
      <w:r>
        <w:rPr>
          <w:color w:val="231F20"/>
          <w:spacing w:val="14"/>
          <w:position w:val="-1"/>
        </w:rPr>
        <w:drawing>
          <wp:inline distT="0" distB="0" distL="0" distR="0">
            <wp:extent cx="101600" cy="95250"/>
            <wp:effectExtent l="0" t="0" r="0" b="0"/>
            <wp:docPr id="3054" name="Image 3054"/>
            <wp:cNvGraphicFramePr>
              <a:graphicFrameLocks/>
            </wp:cNvGraphicFramePr>
            <a:graphic>
              <a:graphicData uri="http://schemas.openxmlformats.org/drawingml/2006/picture">
                <pic:pic>
                  <pic:nvPicPr>
                    <pic:cNvPr id="3054" name="Image 3054"/>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4"/>
          <w:position w:val="-1"/>
        </w:rPr>
      </w:r>
      <w:r>
        <w:rPr>
          <w:rFonts w:ascii="Times New Roman"/>
          <w:color w:val="231F20"/>
          <w:spacing w:val="-13"/>
        </w:rPr>
        <w:t> </w:t>
      </w:r>
      <w:r>
        <w:rPr>
          <w:rFonts w:ascii="Book Antiqua"/>
          <w:b/>
          <w:color w:val="231F20"/>
        </w:rPr>
        <w:t>History Configuration</w:t>
      </w:r>
      <w:r>
        <w:rPr>
          <w:color w:val="231F20"/>
        </w:rPr>
        <w:t>. Click a </w:t>
      </w:r>
      <w:r>
        <w:rPr>
          <w:color w:val="231F20"/>
          <w:spacing w:val="-25"/>
          <w:position w:val="-1"/>
        </w:rPr>
        <w:drawing>
          <wp:inline distT="0" distB="0" distL="0" distR="0">
            <wp:extent cx="95250" cy="95250"/>
            <wp:effectExtent l="0" t="0" r="0" b="0"/>
            <wp:docPr id="3055" name="Image 3055"/>
            <wp:cNvGraphicFramePr>
              <a:graphicFrameLocks/>
            </wp:cNvGraphicFramePr>
            <a:graphic>
              <a:graphicData uri="http://schemas.openxmlformats.org/drawingml/2006/picture">
                <pic:pic>
                  <pic:nvPicPr>
                    <pic:cNvPr id="3055" name="Image 305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22"/>
        </w:rPr>
        <w:t> </w:t>
      </w:r>
      <w:r>
        <w:rPr>
          <w:color w:val="231F20"/>
        </w:rPr>
        <w:t>monitored application, click an </w:t>
      </w:r>
      <w:r>
        <w:rPr>
          <w:color w:val="231F20"/>
          <w:spacing w:val="15"/>
          <w:position w:val="-1"/>
        </w:rPr>
        <w:drawing>
          <wp:inline distT="0" distB="0" distL="0" distR="0">
            <wp:extent cx="101600" cy="101600"/>
            <wp:effectExtent l="0" t="0" r="0" b="0"/>
            <wp:docPr id="3056" name="Image 3056"/>
            <wp:cNvGraphicFramePr>
              <a:graphicFrameLocks/>
            </wp:cNvGraphicFramePr>
            <a:graphic>
              <a:graphicData uri="http://schemas.openxmlformats.org/drawingml/2006/picture">
                <pic:pic>
                  <pic:nvPicPr>
                    <pic:cNvPr id="3056" name="Image 3056"/>
                    <pic:cNvPicPr/>
                  </pic:nvPicPr>
                  <pic:blipFill>
                    <a:blip r:embed="rId351"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3"/>
        </w:rPr>
        <w:t> </w:t>
      </w:r>
      <w:r>
        <w:rPr>
          <w:color w:val="231F20"/>
        </w:rPr>
        <w:t>undistributed or </w:t>
      </w:r>
      <w:r>
        <w:rPr>
          <w:color w:val="231F20"/>
          <w:position w:val="-1"/>
        </w:rPr>
        <w:drawing>
          <wp:inline distT="0" distB="0" distL="0" distR="0">
            <wp:extent cx="95250" cy="95250"/>
            <wp:effectExtent l="0" t="0" r="0" b="0"/>
            <wp:docPr id="3057" name="Image 3057"/>
            <wp:cNvGraphicFramePr>
              <a:graphicFrameLocks/>
            </wp:cNvGraphicFramePr>
            <a:graphic>
              <a:graphicData uri="http://schemas.openxmlformats.org/drawingml/2006/picture">
                <pic:pic>
                  <pic:nvPicPr>
                    <pic:cNvPr id="3057" name="Image 3057"/>
                    <pic:cNvPicPr/>
                  </pic:nvPicPr>
                  <pic:blipFill>
                    <a:blip r:embed="rId353"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rPr>
        <w:t> </w:t>
      </w:r>
      <w:r>
        <w:rPr>
          <w:color w:val="231F20"/>
        </w:rPr>
        <w:t>distributed historical collection definition, then click </w:t>
      </w:r>
      <w:r>
        <w:rPr>
          <w:rFonts w:ascii="Book Antiqua"/>
          <w:b/>
          <w:color w:val="231F20"/>
        </w:rPr>
        <w:t>Group</w:t>
      </w:r>
      <w:r>
        <w:rPr>
          <w:color w:val="231F20"/>
        </w:rPr>
        <w:t>.</w:t>
      </w:r>
    </w:p>
    <w:p>
      <w:pPr>
        <w:pStyle w:val="ListParagraph"/>
        <w:numPr>
          <w:ilvl w:val="0"/>
          <w:numId w:val="171"/>
        </w:numPr>
        <w:tabs>
          <w:tab w:pos="2547" w:val="left" w:leader="none"/>
        </w:tabs>
        <w:spacing w:line="240" w:lineRule="auto" w:before="35" w:after="0"/>
        <w:ind w:left="2547" w:right="0" w:hanging="315"/>
        <w:jc w:val="left"/>
        <w:rPr>
          <w:sz w:val="20"/>
        </w:rPr>
      </w:pPr>
      <w:r>
        <w:rPr>
          <w:color w:val="231F20"/>
          <w:sz w:val="20"/>
        </w:rPr>
        <w:t>Click</w:t>
      </w:r>
      <w:r>
        <w:rPr>
          <w:color w:val="231F20"/>
          <w:spacing w:val="22"/>
          <w:sz w:val="20"/>
        </w:rPr>
        <w:t> </w:t>
      </w:r>
      <w:r>
        <w:rPr>
          <w:color w:val="231F20"/>
          <w:spacing w:val="-24"/>
          <w:position w:val="-1"/>
          <w:sz w:val="20"/>
        </w:rPr>
        <w:drawing>
          <wp:inline distT="0" distB="0" distL="0" distR="0">
            <wp:extent cx="95250" cy="101600"/>
            <wp:effectExtent l="0" t="0" r="0" b="0"/>
            <wp:docPr id="3058" name="Image 3058"/>
            <wp:cNvGraphicFramePr>
              <a:graphicFrameLocks/>
            </wp:cNvGraphicFramePr>
            <a:graphic>
              <a:graphicData uri="http://schemas.openxmlformats.org/drawingml/2006/picture">
                <pic:pic>
                  <pic:nvPicPr>
                    <pic:cNvPr id="3058" name="Image 3058"/>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Create</w:t>
      </w:r>
      <w:r>
        <w:rPr>
          <w:rFonts w:ascii="Book Antiqua"/>
          <w:b/>
          <w:color w:val="231F20"/>
          <w:spacing w:val="13"/>
          <w:sz w:val="20"/>
        </w:rPr>
        <w:t> </w:t>
      </w:r>
      <w:r>
        <w:rPr>
          <w:rFonts w:ascii="Book Antiqua"/>
          <w:b/>
          <w:color w:val="231F20"/>
          <w:sz w:val="20"/>
        </w:rPr>
        <w:t>a</w:t>
      </w:r>
      <w:r>
        <w:rPr>
          <w:rFonts w:ascii="Book Antiqua"/>
          <w:b/>
          <w:color w:val="231F20"/>
          <w:spacing w:val="12"/>
          <w:sz w:val="20"/>
        </w:rPr>
        <w:t> </w:t>
      </w:r>
      <w:r>
        <w:rPr>
          <w:rFonts w:ascii="Book Antiqua"/>
          <w:b/>
          <w:color w:val="231F20"/>
          <w:sz w:val="20"/>
        </w:rPr>
        <w:t>new</w:t>
      </w:r>
      <w:r>
        <w:rPr>
          <w:rFonts w:ascii="Book Antiqua"/>
          <w:b/>
          <w:color w:val="231F20"/>
          <w:spacing w:val="13"/>
          <w:sz w:val="20"/>
        </w:rPr>
        <w:t> </w:t>
      </w:r>
      <w:r>
        <w:rPr>
          <w:rFonts w:ascii="Book Antiqua"/>
          <w:b/>
          <w:color w:val="231F20"/>
          <w:sz w:val="20"/>
        </w:rPr>
        <w:t>object</w:t>
      </w:r>
      <w:r>
        <w:rPr>
          <w:rFonts w:ascii="Book Antiqua"/>
          <w:b/>
          <w:color w:val="231F20"/>
          <w:spacing w:val="13"/>
          <w:sz w:val="20"/>
        </w:rPr>
        <w:t> </w:t>
      </w:r>
      <w:r>
        <w:rPr>
          <w:rFonts w:ascii="Book Antiqua"/>
          <w:b/>
          <w:color w:val="231F20"/>
          <w:spacing w:val="-2"/>
          <w:sz w:val="20"/>
        </w:rPr>
        <w:t>group</w:t>
      </w:r>
      <w:r>
        <w:rPr>
          <w:color w:val="231F20"/>
          <w:spacing w:val="-2"/>
          <w:sz w:val="20"/>
        </w:rPr>
        <w:t>.</w:t>
      </w:r>
    </w:p>
    <w:p>
      <w:pPr>
        <w:pStyle w:val="ListParagraph"/>
        <w:numPr>
          <w:ilvl w:val="0"/>
          <w:numId w:val="171"/>
        </w:numPr>
        <w:tabs>
          <w:tab w:pos="2548" w:val="left" w:leader="none"/>
        </w:tabs>
        <w:spacing w:line="213" w:lineRule="auto" w:before="52" w:after="0"/>
        <w:ind w:left="2548" w:right="668" w:hanging="316"/>
        <w:jc w:val="left"/>
        <w:rPr>
          <w:sz w:val="20"/>
        </w:rPr>
      </w:pPr>
      <w:r>
        <w:rPr>
          <w:color w:val="231F20"/>
          <w:sz w:val="20"/>
        </w:rPr>
        <w:t>Type a name for the historical group and, optionally, a description, then click </w:t>
      </w:r>
      <w:r>
        <w:rPr>
          <w:rFonts w:ascii="Book Antiqua"/>
          <w:b/>
          <w:color w:val="231F20"/>
          <w:sz w:val="20"/>
        </w:rPr>
        <w:t>OK</w:t>
      </w:r>
      <w:r>
        <w:rPr>
          <w:color w:val="231F20"/>
          <w:sz w:val="20"/>
        </w:rPr>
        <w:t>. The new historical configuration group is displayed in the </w:t>
      </w:r>
      <w:r>
        <w:rPr>
          <w:color w:val="231F20"/>
          <w:spacing w:val="15"/>
          <w:position w:val="-1"/>
          <w:sz w:val="20"/>
        </w:rPr>
        <w:drawing>
          <wp:inline distT="0" distB="0" distL="0" distR="0">
            <wp:extent cx="101600" cy="95250"/>
            <wp:effectExtent l="0" t="0" r="0" b="0"/>
            <wp:docPr id="3059" name="Image 3059"/>
            <wp:cNvGraphicFramePr>
              <a:graphicFrameLocks/>
            </wp:cNvGraphicFramePr>
            <a:graphic>
              <a:graphicData uri="http://schemas.openxmlformats.org/drawingml/2006/picture">
                <pic:pic>
                  <pic:nvPicPr>
                    <pic:cNvPr id="3059" name="Image 3059"/>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4"/>
          <w:sz w:val="20"/>
        </w:rPr>
        <w:t> </w:t>
      </w:r>
      <w:r>
        <w:rPr>
          <w:rFonts w:ascii="Book Antiqua"/>
          <w:b/>
          <w:color w:val="231F20"/>
          <w:sz w:val="20"/>
        </w:rPr>
        <w:t>Historical configurations </w:t>
      </w:r>
      <w:r>
        <w:rPr>
          <w:color w:val="231F20"/>
          <w:sz w:val="20"/>
        </w:rPr>
        <w:t>branch.</w:t>
      </w:r>
    </w:p>
    <w:p>
      <w:pPr>
        <w:pStyle w:val="ListParagraph"/>
        <w:numPr>
          <w:ilvl w:val="0"/>
          <w:numId w:val="171"/>
        </w:numPr>
        <w:tabs>
          <w:tab w:pos="2548" w:val="left" w:leader="none"/>
        </w:tabs>
        <w:spacing w:line="213" w:lineRule="auto" w:before="58" w:after="0"/>
        <w:ind w:left="2548" w:right="599" w:hanging="316"/>
        <w:jc w:val="left"/>
        <w:rPr>
          <w:sz w:val="20"/>
        </w:rPr>
      </w:pPr>
      <w:r>
        <w:rPr>
          <w:color w:val="231F20"/>
          <w:sz w:val="20"/>
        </w:rPr>
        <w:t>In the </w:t>
      </w:r>
      <w:r>
        <w:rPr>
          <w:rFonts w:ascii="Book Antiqua" w:hAnsi="Book Antiqua"/>
          <w:b/>
          <w:color w:val="231F20"/>
          <w:sz w:val="20"/>
        </w:rPr>
        <w:t>Members </w:t>
      </w:r>
      <w:r>
        <w:rPr>
          <w:color w:val="231F20"/>
          <w:sz w:val="20"/>
        </w:rPr>
        <w:t>tab, select a historical collection from the list of </w:t>
      </w:r>
      <w:r>
        <w:rPr>
          <w:rFonts w:ascii="Book Antiqua" w:hAnsi="Book Antiqua"/>
          <w:b/>
          <w:color w:val="231F20"/>
          <w:sz w:val="20"/>
        </w:rPr>
        <w:t>Available Members </w:t>
      </w:r>
      <w:r>
        <w:rPr>
          <w:color w:val="231F20"/>
          <w:sz w:val="20"/>
        </w:rPr>
        <w:t>and</w:t>
      </w:r>
      <w:r>
        <w:rPr>
          <w:color w:val="231F20"/>
          <w:spacing w:val="40"/>
          <w:sz w:val="20"/>
        </w:rPr>
        <w:t> </w:t>
      </w:r>
      <w:r>
        <w:rPr>
          <w:color w:val="231F20"/>
          <w:spacing w:val="16"/>
          <w:position w:val="1"/>
          <w:sz w:val="20"/>
        </w:rPr>
        <w:drawing>
          <wp:inline distT="0" distB="0" distL="0" distR="0">
            <wp:extent cx="44450" cy="76200"/>
            <wp:effectExtent l="0" t="0" r="0" b="0"/>
            <wp:docPr id="3060" name="Image 3060"/>
            <wp:cNvGraphicFramePr>
              <a:graphicFrameLocks/>
            </wp:cNvGraphicFramePr>
            <a:graphic>
              <a:graphicData uri="http://schemas.openxmlformats.org/drawingml/2006/picture">
                <pic:pic>
                  <pic:nvPicPr>
                    <pic:cNvPr id="3060" name="Image 3060"/>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hAnsi="Times New Roman"/>
          <w:color w:val="231F20"/>
          <w:spacing w:val="40"/>
          <w:sz w:val="20"/>
        </w:rPr>
        <w:t> </w:t>
      </w:r>
      <w:r>
        <w:rPr>
          <w:color w:val="231F20"/>
          <w:sz w:val="20"/>
        </w:rPr>
        <w:t>move it to the </w:t>
      </w:r>
      <w:r>
        <w:rPr>
          <w:rFonts w:ascii="Book Antiqua" w:hAnsi="Book Antiqua"/>
          <w:b/>
          <w:color w:val="231F20"/>
          <w:sz w:val="20"/>
        </w:rPr>
        <w:t>Assigned Members </w:t>
      </w:r>
      <w:r>
        <w:rPr>
          <w:color w:val="231F20"/>
          <w:sz w:val="20"/>
        </w:rPr>
        <w:t>list. You can select</w:t>
      </w:r>
      <w:r>
        <w:rPr>
          <w:color w:val="231F20"/>
          <w:spacing w:val="80"/>
          <w:sz w:val="20"/>
        </w:rPr>
        <w:t> </w:t>
      </w:r>
      <w:r>
        <w:rPr>
          <w:color w:val="231F20"/>
          <w:sz w:val="20"/>
        </w:rPr>
        <w:t>multiple collection definitions for an attribute group by holding down Ctrl while clicking; or use Shift+click to select all entries between this and the </w:t>
      </w:r>
      <w:r>
        <w:rPr>
          <w:color w:val="231F20"/>
          <w:sz w:val="20"/>
        </w:rPr>
        <w:t>first selection. Historical collections that are configured for “Managing System (TEMS)” distribution are not displayed in the list.</w:t>
      </w:r>
    </w:p>
    <w:p>
      <w:pPr>
        <w:pStyle w:val="ListParagraph"/>
        <w:numPr>
          <w:ilvl w:val="0"/>
          <w:numId w:val="171"/>
        </w:numPr>
        <w:tabs>
          <w:tab w:pos="2548" w:val="left" w:leader="none"/>
        </w:tabs>
        <w:spacing w:line="213" w:lineRule="auto" w:before="56" w:after="0"/>
        <w:ind w:left="2548" w:right="539" w:hanging="316"/>
        <w:jc w:val="left"/>
        <w:rPr>
          <w:sz w:val="20"/>
        </w:rPr>
      </w:pPr>
      <w:r>
        <w:rPr>
          <w:color w:val="231F20"/>
          <w:sz w:val="20"/>
        </w:rPr>
        <w:t>If you have historical configuration groups available and want to assign a</w:t>
      </w:r>
      <w:r>
        <w:rPr>
          <w:color w:val="231F20"/>
          <w:spacing w:val="40"/>
          <w:sz w:val="20"/>
        </w:rPr>
        <w:t> </w:t>
      </w:r>
      <w:r>
        <w:rPr>
          <w:color w:val="231F20"/>
          <w:sz w:val="20"/>
        </w:rPr>
        <w:t>group</w:t>
      </w:r>
      <w:r>
        <w:rPr>
          <w:color w:val="231F20"/>
          <w:spacing w:val="13"/>
          <w:sz w:val="20"/>
        </w:rPr>
        <w:t> </w:t>
      </w:r>
      <w:r>
        <w:rPr>
          <w:color w:val="231F20"/>
          <w:sz w:val="20"/>
        </w:rPr>
        <w:t>to</w:t>
      </w:r>
      <w:r>
        <w:rPr>
          <w:color w:val="231F20"/>
          <w:spacing w:val="13"/>
          <w:sz w:val="20"/>
        </w:rPr>
        <w:t> </w:t>
      </w:r>
      <w:r>
        <w:rPr>
          <w:color w:val="231F20"/>
          <w:sz w:val="20"/>
        </w:rPr>
        <w:t>this</w:t>
      </w:r>
      <w:r>
        <w:rPr>
          <w:color w:val="231F20"/>
          <w:spacing w:val="13"/>
          <w:sz w:val="20"/>
        </w:rPr>
        <w:t> </w:t>
      </w:r>
      <w:r>
        <w:rPr>
          <w:color w:val="231F20"/>
          <w:sz w:val="20"/>
        </w:rPr>
        <w:t>one,</w:t>
      </w:r>
      <w:r>
        <w:rPr>
          <w:color w:val="231F20"/>
          <w:spacing w:val="13"/>
          <w:sz w:val="20"/>
        </w:rPr>
        <w:t> </w:t>
      </w:r>
      <w:r>
        <w:rPr>
          <w:color w:val="231F20"/>
          <w:sz w:val="20"/>
        </w:rPr>
        <w:t>click</w:t>
      </w:r>
      <w:r>
        <w:rPr>
          <w:color w:val="231F20"/>
          <w:spacing w:val="13"/>
          <w:sz w:val="20"/>
        </w:rPr>
        <w:t> </w:t>
      </w:r>
      <w:r>
        <w:rPr>
          <w:color w:val="231F20"/>
          <w:sz w:val="20"/>
        </w:rPr>
        <w:t>the</w:t>
      </w:r>
      <w:r>
        <w:rPr>
          <w:color w:val="231F20"/>
          <w:spacing w:val="13"/>
          <w:sz w:val="20"/>
        </w:rPr>
        <w:t> </w:t>
      </w:r>
      <w:r>
        <w:rPr>
          <w:rFonts w:ascii="Book Antiqua"/>
          <w:b/>
          <w:color w:val="231F20"/>
          <w:sz w:val="20"/>
        </w:rPr>
        <w:t>Member</w:t>
      </w:r>
      <w:r>
        <w:rPr>
          <w:rFonts w:ascii="Book Antiqua"/>
          <w:b/>
          <w:color w:val="231F20"/>
          <w:spacing w:val="13"/>
          <w:sz w:val="20"/>
        </w:rPr>
        <w:t> </w:t>
      </w:r>
      <w:r>
        <w:rPr>
          <w:rFonts w:ascii="Book Antiqua"/>
          <w:b/>
          <w:color w:val="231F20"/>
          <w:sz w:val="20"/>
        </w:rPr>
        <w:t>of</w:t>
      </w:r>
      <w:r>
        <w:rPr>
          <w:rFonts w:ascii="Book Antiqua"/>
          <w:b/>
          <w:color w:val="231F20"/>
          <w:spacing w:val="13"/>
          <w:sz w:val="20"/>
        </w:rPr>
        <w:t> </w:t>
      </w:r>
      <w:r>
        <w:rPr>
          <w:color w:val="231F20"/>
          <w:sz w:val="20"/>
        </w:rPr>
        <w:t>tab,</w:t>
      </w:r>
      <w:r>
        <w:rPr>
          <w:color w:val="231F20"/>
          <w:spacing w:val="13"/>
          <w:sz w:val="20"/>
        </w:rPr>
        <w:t> </w:t>
      </w:r>
      <w:r>
        <w:rPr>
          <w:color w:val="231F20"/>
          <w:sz w:val="20"/>
        </w:rPr>
        <w:t>then</w:t>
      </w:r>
      <w:r>
        <w:rPr>
          <w:color w:val="231F20"/>
          <w:spacing w:val="13"/>
          <w:sz w:val="20"/>
        </w:rPr>
        <w:t> </w:t>
      </w:r>
      <w:r>
        <w:rPr>
          <w:color w:val="231F20"/>
          <w:sz w:val="20"/>
        </w:rPr>
        <w:t>select</w:t>
      </w:r>
      <w:r>
        <w:rPr>
          <w:color w:val="231F20"/>
          <w:spacing w:val="13"/>
          <w:sz w:val="20"/>
        </w:rPr>
        <w:t> </w:t>
      </w:r>
      <w:r>
        <w:rPr>
          <w:color w:val="231F20"/>
          <w:sz w:val="20"/>
        </w:rPr>
        <w:t>a</w:t>
      </w:r>
      <w:r>
        <w:rPr>
          <w:color w:val="231F20"/>
          <w:spacing w:val="13"/>
          <w:sz w:val="20"/>
        </w:rPr>
        <w:t> </w:t>
      </w:r>
      <w:r>
        <w:rPr>
          <w:color w:val="231F20"/>
          <w:sz w:val="20"/>
        </w:rPr>
        <w:t>group</w:t>
      </w:r>
      <w:r>
        <w:rPr>
          <w:color w:val="231F20"/>
          <w:spacing w:val="13"/>
          <w:sz w:val="20"/>
        </w:rPr>
        <w:t> </w:t>
      </w:r>
      <w:r>
        <w:rPr>
          <w:color w:val="231F20"/>
          <w:sz w:val="20"/>
        </w:rPr>
        <w:t>and</w:t>
      </w:r>
      <w:r>
        <w:rPr>
          <w:color w:val="231F20"/>
          <w:spacing w:val="40"/>
          <w:sz w:val="20"/>
        </w:rPr>
        <w:t> </w:t>
      </w:r>
      <w:r>
        <w:rPr>
          <w:color w:val="231F20"/>
          <w:spacing w:val="14"/>
          <w:position w:val="1"/>
          <w:sz w:val="20"/>
        </w:rPr>
        <w:drawing>
          <wp:inline distT="0" distB="0" distL="0" distR="0">
            <wp:extent cx="44450" cy="76199"/>
            <wp:effectExtent l="0" t="0" r="0" b="0"/>
            <wp:docPr id="3061" name="Image 3061"/>
            <wp:cNvGraphicFramePr>
              <a:graphicFrameLocks/>
            </wp:cNvGraphicFramePr>
            <a:graphic>
              <a:graphicData uri="http://schemas.openxmlformats.org/drawingml/2006/picture">
                <pic:pic>
                  <pic:nvPicPr>
                    <pic:cNvPr id="3061" name="Image 3061"/>
                    <pic:cNvPicPr/>
                  </pic:nvPicPr>
                  <pic:blipFill>
                    <a:blip r:embed="rId153" cstate="print"/>
                    <a:stretch>
                      <a:fillRect/>
                    </a:stretch>
                  </pic:blipFill>
                  <pic:spPr>
                    <a:xfrm>
                      <a:off x="0" y="0"/>
                      <a:ext cx="44450" cy="76199"/>
                    </a:xfrm>
                    <a:prstGeom prst="rect">
                      <a:avLst/>
                    </a:prstGeom>
                  </pic:spPr>
                </pic:pic>
              </a:graphicData>
            </a:graphic>
          </wp:inline>
        </w:drawing>
      </w:r>
      <w:r>
        <w:rPr>
          <w:color w:val="231F20"/>
          <w:spacing w:val="14"/>
          <w:position w:val="1"/>
          <w:sz w:val="20"/>
        </w:rPr>
      </w:r>
      <w:r>
        <w:rPr>
          <w:rFonts w:ascii="Times New Roman"/>
          <w:color w:val="231F20"/>
          <w:spacing w:val="40"/>
          <w:sz w:val="20"/>
        </w:rPr>
        <w:t> </w:t>
      </w:r>
      <w:r>
        <w:rPr>
          <w:color w:val="231F20"/>
          <w:sz w:val="20"/>
        </w:rPr>
        <w:t>move</w:t>
      </w:r>
      <w:r>
        <w:rPr>
          <w:color w:val="231F20"/>
          <w:spacing w:val="13"/>
          <w:sz w:val="20"/>
        </w:rPr>
        <w:t> </w:t>
      </w:r>
      <w:r>
        <w:rPr>
          <w:color w:val="231F20"/>
          <w:sz w:val="20"/>
        </w:rPr>
        <w:t>it to the </w:t>
      </w:r>
      <w:r>
        <w:rPr>
          <w:rFonts w:ascii="Book Antiqua"/>
          <w:b/>
          <w:color w:val="231F20"/>
          <w:sz w:val="20"/>
        </w:rPr>
        <w:t>Assigned Members Of </w:t>
      </w:r>
      <w:r>
        <w:rPr>
          <w:color w:val="231F20"/>
          <w:sz w:val="20"/>
        </w:rPr>
        <w:t>list.</w:t>
      </w:r>
    </w:p>
    <w:p>
      <w:pPr>
        <w:pStyle w:val="ListParagraph"/>
        <w:numPr>
          <w:ilvl w:val="0"/>
          <w:numId w:val="171"/>
        </w:numPr>
        <w:tabs>
          <w:tab w:pos="2548" w:val="left" w:leader="none"/>
        </w:tabs>
        <w:spacing w:line="213" w:lineRule="auto" w:before="58" w:after="0"/>
        <w:ind w:left="2548" w:right="456" w:hanging="316"/>
        <w:jc w:val="left"/>
        <w:rPr>
          <w:sz w:val="20"/>
        </w:rPr>
      </w:pPr>
      <w:r>
        <w:rPr>
          <w:color w:val="231F20"/>
          <w:sz w:val="20"/>
        </w:rPr>
        <w:t>In the </w:t>
      </w:r>
      <w:r>
        <w:rPr>
          <w:rFonts w:ascii="Book Antiqua"/>
          <w:b/>
          <w:color w:val="231F20"/>
          <w:sz w:val="20"/>
        </w:rPr>
        <w:t>Distributions </w:t>
      </w:r>
      <w:r>
        <w:rPr>
          <w:color w:val="231F20"/>
          <w:sz w:val="20"/>
        </w:rPr>
        <w:t>tab, select the managed systems and managed system groups to assign to the historical configuration group. Select a managed </w:t>
      </w:r>
      <w:r>
        <w:rPr>
          <w:color w:val="231F20"/>
          <w:sz w:val="20"/>
        </w:rPr>
        <w:t>system group</w:t>
      </w:r>
      <w:r>
        <w:rPr>
          <w:color w:val="231F20"/>
          <w:spacing w:val="22"/>
          <w:sz w:val="20"/>
        </w:rPr>
        <w:t> </w:t>
      </w:r>
      <w:r>
        <w:rPr>
          <w:color w:val="231F20"/>
          <w:sz w:val="20"/>
        </w:rPr>
        <w:t>to</w:t>
      </w:r>
      <w:r>
        <w:rPr>
          <w:color w:val="231F20"/>
          <w:spacing w:val="22"/>
          <w:sz w:val="20"/>
        </w:rPr>
        <w:t> </w:t>
      </w:r>
      <w:r>
        <w:rPr>
          <w:color w:val="231F20"/>
          <w:sz w:val="20"/>
        </w:rPr>
        <w:t>see</w:t>
      </w:r>
      <w:r>
        <w:rPr>
          <w:color w:val="231F20"/>
          <w:spacing w:val="22"/>
          <w:sz w:val="20"/>
        </w:rPr>
        <w:t> </w:t>
      </w:r>
      <w:r>
        <w:rPr>
          <w:color w:val="231F20"/>
          <w:sz w:val="20"/>
        </w:rPr>
        <w:t>its</w:t>
      </w:r>
      <w:r>
        <w:rPr>
          <w:color w:val="231F20"/>
          <w:spacing w:val="22"/>
          <w:sz w:val="20"/>
        </w:rPr>
        <w:t> </w:t>
      </w:r>
      <w:r>
        <w:rPr>
          <w:color w:val="231F20"/>
          <w:sz w:val="20"/>
        </w:rPr>
        <w:t>constituent</w:t>
      </w:r>
      <w:r>
        <w:rPr>
          <w:color w:val="231F20"/>
          <w:spacing w:val="22"/>
          <w:sz w:val="20"/>
        </w:rPr>
        <w:t> </w:t>
      </w:r>
      <w:r>
        <w:rPr>
          <w:color w:val="231F20"/>
          <w:sz w:val="20"/>
        </w:rPr>
        <w:t>objects</w:t>
      </w:r>
      <w:r>
        <w:rPr>
          <w:color w:val="231F20"/>
          <w:spacing w:val="22"/>
          <w:sz w:val="20"/>
        </w:rPr>
        <w:t> </w:t>
      </w:r>
      <w:r>
        <w:rPr>
          <w:color w:val="231F20"/>
          <w:sz w:val="20"/>
        </w:rPr>
        <w:t>in</w:t>
      </w:r>
      <w:r>
        <w:rPr>
          <w:color w:val="231F20"/>
          <w:spacing w:val="22"/>
          <w:sz w:val="20"/>
        </w:rPr>
        <w:t> </w:t>
      </w:r>
      <w:r>
        <w:rPr>
          <w:color w:val="231F20"/>
          <w:sz w:val="20"/>
        </w:rPr>
        <w:t>the</w:t>
      </w:r>
      <w:r>
        <w:rPr>
          <w:color w:val="231F20"/>
          <w:spacing w:val="22"/>
          <w:sz w:val="20"/>
        </w:rPr>
        <w:t> </w:t>
      </w:r>
      <w:r>
        <w:rPr>
          <w:rFonts w:ascii="Book Antiqua"/>
          <w:b/>
          <w:color w:val="231F20"/>
          <w:sz w:val="20"/>
        </w:rPr>
        <w:t>Selected</w:t>
      </w:r>
      <w:r>
        <w:rPr>
          <w:rFonts w:ascii="Book Antiqua"/>
          <w:b/>
          <w:color w:val="231F20"/>
          <w:spacing w:val="22"/>
          <w:sz w:val="20"/>
        </w:rPr>
        <w:t> </w:t>
      </w:r>
      <w:r>
        <w:rPr>
          <w:rFonts w:ascii="Book Antiqua"/>
          <w:b/>
          <w:color w:val="231F20"/>
          <w:sz w:val="20"/>
        </w:rPr>
        <w:t>Assigned</w:t>
      </w:r>
      <w:r>
        <w:rPr>
          <w:rFonts w:ascii="Book Antiqua"/>
          <w:b/>
          <w:color w:val="231F20"/>
          <w:spacing w:val="22"/>
          <w:sz w:val="20"/>
        </w:rPr>
        <w:t> </w:t>
      </w:r>
      <w:r>
        <w:rPr>
          <w:rFonts w:ascii="Book Antiqua"/>
          <w:b/>
          <w:color w:val="231F20"/>
          <w:sz w:val="20"/>
        </w:rPr>
        <w:t>Object</w:t>
      </w:r>
      <w:r>
        <w:rPr>
          <w:rFonts w:ascii="Book Antiqua"/>
          <w:b/>
          <w:color w:val="231F20"/>
          <w:spacing w:val="22"/>
          <w:sz w:val="20"/>
        </w:rPr>
        <w:t> </w:t>
      </w:r>
      <w:r>
        <w:rPr>
          <w:rFonts w:ascii="Book Antiqua"/>
          <w:b/>
          <w:color w:val="231F20"/>
          <w:sz w:val="20"/>
        </w:rPr>
        <w:t>Members </w:t>
      </w:r>
      <w:r>
        <w:rPr>
          <w:color w:val="231F20"/>
          <w:sz w:val="20"/>
        </w:rPr>
        <w:t>or </w:t>
      </w:r>
      <w:r>
        <w:rPr>
          <w:rFonts w:ascii="Book Antiqua"/>
          <w:b/>
          <w:color w:val="231F20"/>
          <w:sz w:val="20"/>
        </w:rPr>
        <w:t>Selected Available Object Members </w:t>
      </w:r>
      <w:r>
        <w:rPr>
          <w:color w:val="231F20"/>
          <w:sz w:val="20"/>
        </w:rPr>
        <w:t>list.</w:t>
      </w:r>
    </w:p>
    <w:p>
      <w:pPr>
        <w:pStyle w:val="ListParagraph"/>
        <w:numPr>
          <w:ilvl w:val="0"/>
          <w:numId w:val="171"/>
        </w:numPr>
        <w:tabs>
          <w:tab w:pos="2547" w:val="left" w:leader="none"/>
        </w:tabs>
        <w:spacing w:line="255" w:lineRule="exact" w:before="34" w:after="0"/>
        <w:ind w:left="2547" w:right="0" w:hanging="315"/>
        <w:jc w:val="left"/>
        <w:rPr>
          <w:sz w:val="20"/>
        </w:rPr>
      </w:pPr>
      <w:r>
        <w:rPr>
          <w:color w:val="231F20"/>
          <w:sz w:val="20"/>
        </w:rPr>
        <w:t>Save</w:t>
      </w:r>
      <w:r>
        <w:rPr>
          <w:color w:val="231F20"/>
          <w:spacing w:val="11"/>
          <w:sz w:val="20"/>
        </w:rPr>
        <w:t> </w:t>
      </w:r>
      <w:r>
        <w:rPr>
          <w:color w:val="231F20"/>
          <w:sz w:val="20"/>
        </w:rPr>
        <w:t>your</w:t>
      </w:r>
      <w:r>
        <w:rPr>
          <w:color w:val="231F20"/>
          <w:spacing w:val="12"/>
          <w:sz w:val="20"/>
        </w:rPr>
        <w:t> </w:t>
      </w:r>
      <w:r>
        <w:rPr>
          <w:color w:val="231F20"/>
          <w:sz w:val="20"/>
        </w:rPr>
        <w:t>changes</w:t>
      </w:r>
      <w:r>
        <w:rPr>
          <w:color w:val="231F20"/>
          <w:spacing w:val="12"/>
          <w:sz w:val="20"/>
        </w:rPr>
        <w:t> </w:t>
      </w:r>
      <w:r>
        <w:rPr>
          <w:color w:val="231F20"/>
          <w:sz w:val="20"/>
        </w:rPr>
        <w:t>and</w:t>
      </w:r>
      <w:r>
        <w:rPr>
          <w:color w:val="231F20"/>
          <w:spacing w:val="11"/>
          <w:sz w:val="20"/>
        </w:rPr>
        <w:t> </w:t>
      </w:r>
      <w:r>
        <w:rPr>
          <w:color w:val="231F20"/>
          <w:sz w:val="20"/>
        </w:rPr>
        <w:t>either</w:t>
      </w:r>
      <w:r>
        <w:rPr>
          <w:color w:val="231F20"/>
          <w:spacing w:val="12"/>
          <w:sz w:val="20"/>
        </w:rPr>
        <w:t> </w:t>
      </w:r>
      <w:r>
        <w:rPr>
          <w:color w:val="231F20"/>
          <w:sz w:val="20"/>
        </w:rPr>
        <w:t>keep</w:t>
      </w:r>
      <w:r>
        <w:rPr>
          <w:color w:val="231F20"/>
          <w:spacing w:val="12"/>
          <w:sz w:val="20"/>
        </w:rPr>
        <w:t> </w:t>
      </w:r>
      <w:r>
        <w:rPr>
          <w:color w:val="231F20"/>
          <w:sz w:val="20"/>
        </w:rPr>
        <w:t>the</w:t>
      </w:r>
      <w:r>
        <w:rPr>
          <w:color w:val="231F20"/>
          <w:spacing w:val="12"/>
          <w:sz w:val="20"/>
        </w:rPr>
        <w:t> </w:t>
      </w:r>
      <w:r>
        <w:rPr>
          <w:color w:val="231F20"/>
          <w:sz w:val="20"/>
        </w:rPr>
        <w:t>editor</w:t>
      </w:r>
      <w:r>
        <w:rPr>
          <w:color w:val="231F20"/>
          <w:spacing w:val="11"/>
          <w:sz w:val="20"/>
        </w:rPr>
        <w:t> </w:t>
      </w:r>
      <w:r>
        <w:rPr>
          <w:color w:val="231F20"/>
          <w:sz w:val="20"/>
        </w:rPr>
        <w:t>open</w:t>
      </w:r>
      <w:r>
        <w:rPr>
          <w:color w:val="231F20"/>
          <w:spacing w:val="12"/>
          <w:sz w:val="20"/>
        </w:rPr>
        <w:t> </w:t>
      </w:r>
      <w:r>
        <w:rPr>
          <w:color w:val="231F20"/>
          <w:sz w:val="20"/>
        </w:rPr>
        <w:t>with</w:t>
      </w:r>
      <w:r>
        <w:rPr>
          <w:color w:val="231F20"/>
          <w:spacing w:val="12"/>
          <w:sz w:val="20"/>
        </w:rPr>
        <w:t> </w:t>
      </w:r>
      <w:r>
        <w:rPr>
          <w:rFonts w:ascii="Book Antiqua"/>
          <w:b/>
          <w:color w:val="231F20"/>
          <w:sz w:val="20"/>
        </w:rPr>
        <w:t>Apply</w:t>
      </w:r>
      <w:r>
        <w:rPr>
          <w:rFonts w:ascii="Book Antiqua"/>
          <w:b/>
          <w:color w:val="231F20"/>
          <w:spacing w:val="11"/>
          <w:sz w:val="20"/>
        </w:rPr>
        <w:t> </w:t>
      </w:r>
      <w:r>
        <w:rPr>
          <w:color w:val="231F20"/>
          <w:sz w:val="20"/>
        </w:rPr>
        <w:t>or</w:t>
      </w:r>
      <w:r>
        <w:rPr>
          <w:color w:val="231F20"/>
          <w:spacing w:val="12"/>
          <w:sz w:val="20"/>
        </w:rPr>
        <w:t> </w:t>
      </w:r>
      <w:r>
        <w:rPr>
          <w:color w:val="231F20"/>
          <w:sz w:val="20"/>
        </w:rPr>
        <w:t>exit</w:t>
      </w:r>
      <w:r>
        <w:rPr>
          <w:color w:val="231F20"/>
          <w:spacing w:val="12"/>
          <w:sz w:val="20"/>
        </w:rPr>
        <w:t> </w:t>
      </w:r>
      <w:r>
        <w:rPr>
          <w:color w:val="231F20"/>
          <w:spacing w:val="-4"/>
          <w:sz w:val="20"/>
        </w:rPr>
        <w:t>with</w:t>
      </w:r>
    </w:p>
    <w:p>
      <w:pPr>
        <w:spacing w:line="255" w:lineRule="exact" w:before="0"/>
        <w:ind w:left="2548" w:right="0" w:firstLine="0"/>
        <w:jc w:val="left"/>
        <w:rPr>
          <w:sz w:val="20"/>
        </w:rPr>
      </w:pPr>
      <w:r>
        <w:rPr>
          <w:rFonts w:ascii="Book Antiqua"/>
          <w:b/>
          <w:color w:val="231F20"/>
          <w:spacing w:val="-5"/>
          <w:sz w:val="20"/>
        </w:rPr>
        <w:t>OK</w:t>
      </w:r>
      <w:r>
        <w:rPr>
          <w:color w:val="231F20"/>
          <w:spacing w:val="-5"/>
          <w:sz w:val="20"/>
        </w:rPr>
        <w:t>.</w:t>
      </w:r>
    </w:p>
    <w:p>
      <w:pPr>
        <w:pStyle w:val="Heading4"/>
        <w:spacing w:before="194"/>
      </w:pPr>
      <w:r>
        <w:rPr>
          <w:color w:val="231F20"/>
          <w:spacing w:val="-2"/>
        </w:rPr>
        <w:t>Results</w:t>
      </w:r>
    </w:p>
    <w:p>
      <w:pPr>
        <w:pStyle w:val="BodyText"/>
        <w:spacing w:line="213" w:lineRule="auto" w:before="241"/>
        <w:ind w:left="2232" w:right="614"/>
        <w:jc w:val="both"/>
      </w:pPr>
      <w:r>
        <w:rPr>
          <w:color w:val="231F20"/>
        </w:rPr>
        <w:t>The historical configuration group is now available to all users who log onto the same portal server. Historical data samples are collected to the short-term </w:t>
      </w:r>
      <w:r>
        <w:rPr>
          <w:color w:val="231F20"/>
        </w:rPr>
        <w:t>history files for the managed systems in the distribution.</w:t>
      </w:r>
    </w:p>
    <w:p>
      <w:pPr>
        <w:spacing w:after="0" w:line="213" w:lineRule="auto"/>
        <w:jc w:val="both"/>
        <w:sectPr>
          <w:pgSz w:w="12240" w:h="15840"/>
          <w:pgMar w:header="0" w:footer="736" w:top="1160" w:bottom="920" w:left="1000" w:right="1060"/>
        </w:sectPr>
      </w:pPr>
    </w:p>
    <w:p>
      <w:pPr>
        <w:pStyle w:val="BodyText"/>
        <w:spacing w:line="213" w:lineRule="auto" w:before="85"/>
        <w:ind w:left="2472" w:right="385"/>
      </w:pPr>
      <w:bookmarkStart w:name="_bookmark295" w:id="609"/>
      <w:bookmarkEnd w:id="609"/>
      <w:r>
        <w:rPr/>
      </w:r>
      <w:r>
        <w:rPr>
          <w:color w:val="231F20"/>
        </w:rPr>
        <w:t>When you next view the historical data collection in the History Collection Configuration window, the Distribution tab shows the historical configuration group in the </w:t>
      </w:r>
      <w:r>
        <w:rPr>
          <w:rFonts w:ascii="Book Antiqua"/>
          <w:b/>
          <w:color w:val="231F20"/>
        </w:rPr>
        <w:t>Start collection on </w:t>
      </w:r>
      <w:r>
        <w:rPr>
          <w:color w:val="231F20"/>
        </w:rPr>
        <w:t>list. The group name is disabled (dimmed); you cannot remove it from the distribution. To do that, you would return to the Object group editor and remove the historical collection from the historical group.</w:t>
      </w:r>
    </w:p>
    <w:p>
      <w:pPr>
        <w:pStyle w:val="Heading6"/>
        <w:spacing w:line="240" w:lineRule="auto" w:before="33"/>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472"/>
      </w:pPr>
      <w:hyperlink w:history="true" w:anchor="_bookmark290">
        <w:r>
          <w:rPr>
            <w:color w:val="231F20"/>
          </w:rPr>
          <w:t>Creating</w:t>
        </w:r>
        <w:r>
          <w:rPr>
            <w:color w:val="231F20"/>
            <w:spacing w:val="9"/>
          </w:rPr>
          <w:t> </w:t>
        </w:r>
        <w:r>
          <w:rPr>
            <w:color w:val="231F20"/>
          </w:rPr>
          <w:t>a</w:t>
        </w:r>
        <w:r>
          <w:rPr>
            <w:color w:val="231F20"/>
            <w:spacing w:val="9"/>
          </w:rPr>
          <w:t> </w:t>
        </w:r>
        <w:r>
          <w:rPr>
            <w:color w:val="231F20"/>
          </w:rPr>
          <w:t>managed</w:t>
        </w:r>
        <w:r>
          <w:rPr>
            <w:color w:val="231F20"/>
            <w:spacing w:val="9"/>
          </w:rPr>
          <w:t> </w:t>
        </w:r>
        <w:r>
          <w:rPr>
            <w:color w:val="231F20"/>
          </w:rPr>
          <w:t>system</w:t>
        </w:r>
        <w:r>
          <w:rPr>
            <w:color w:val="231F20"/>
            <w:spacing w:val="9"/>
          </w:rPr>
          <w:t> </w:t>
        </w:r>
        <w:r>
          <w:rPr>
            <w:color w:val="231F20"/>
            <w:spacing w:val="-2"/>
          </w:rPr>
          <w:t>group</w:t>
        </w:r>
      </w:hyperlink>
    </w:p>
    <w:p>
      <w:pPr>
        <w:pStyle w:val="BodyText"/>
        <w:spacing w:line="213" w:lineRule="auto" w:before="7"/>
        <w:ind w:left="2472" w:right="493"/>
      </w:pPr>
      <w:r>
        <w:rPr>
          <w:color w:val="231F20"/>
        </w:rPr>
        <w:t>Organize managed systems into named groups that can be assigned to the distribution of situations, policies, historical collections, queries, and </w:t>
      </w:r>
      <w:r>
        <w:rPr>
          <w:color w:val="231F20"/>
        </w:rPr>
        <w:t>dynamic Navigator items in custom Navigator views.</w:t>
      </w:r>
    </w:p>
    <w:p>
      <w:pPr>
        <w:pStyle w:val="Heading3"/>
        <w:spacing w:before="217"/>
        <w:ind w:left="1574"/>
      </w:pPr>
      <w:bookmarkStart w:name="Creating a situation group" w:id="610"/>
      <w:bookmarkEnd w:id="610"/>
      <w:r>
        <w:rPr>
          <w:b w:val="0"/>
        </w:rPr>
      </w:r>
      <w:r>
        <w:rPr>
          <w:color w:val="231F20"/>
        </w:rPr>
        <w:t>Creating</w:t>
      </w:r>
      <w:r>
        <w:rPr>
          <w:color w:val="231F20"/>
          <w:spacing w:val="6"/>
        </w:rPr>
        <w:t> </w:t>
      </w:r>
      <w:r>
        <w:rPr>
          <w:color w:val="231F20"/>
        </w:rPr>
        <w:t>a</w:t>
      </w:r>
      <w:r>
        <w:rPr>
          <w:color w:val="231F20"/>
          <w:spacing w:val="7"/>
        </w:rPr>
        <w:t> </w:t>
      </w:r>
      <w:r>
        <w:rPr>
          <w:color w:val="231F20"/>
        </w:rPr>
        <w:t>situation</w:t>
      </w:r>
      <w:r>
        <w:rPr>
          <w:color w:val="231F20"/>
          <w:spacing w:val="7"/>
        </w:rPr>
        <w:t> </w:t>
      </w:r>
      <w:r>
        <w:rPr>
          <w:color w:val="231F20"/>
          <w:spacing w:val="-2"/>
        </w:rPr>
        <w:t>group</w:t>
      </w:r>
    </w:p>
    <w:p>
      <w:pPr>
        <w:pStyle w:val="BodyText"/>
        <w:spacing w:line="213" w:lineRule="auto" w:before="58"/>
        <w:ind w:left="2472"/>
      </w:pPr>
      <w:r>
        <w:rPr>
          <w:color w:val="231F20"/>
        </w:rPr>
        <w:t>Organize situations that you have defined into named groups that can be </w:t>
      </w:r>
      <w:r>
        <w:rPr>
          <w:color w:val="231F20"/>
        </w:rPr>
        <w:t>managed collectively. The situation group can include a distribution of managed systems.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before="218"/>
        <w:ind w:left="2472"/>
      </w:pPr>
      <w:r>
        <w:rPr>
          <w:color w:val="231F20"/>
        </w:rPr>
        <w:t>Your</w:t>
      </w:r>
      <w:r>
        <w:rPr>
          <w:color w:val="231F20"/>
          <w:spacing w:val="9"/>
        </w:rPr>
        <w:t> </w:t>
      </w:r>
      <w:r>
        <w:rPr>
          <w:color w:val="231F20"/>
        </w:rPr>
        <w:t>use</w:t>
      </w:r>
      <w:r>
        <w:rPr>
          <w:color w:val="231F20"/>
          <w:spacing w:val="10"/>
        </w:rPr>
        <w:t> </w:t>
      </w:r>
      <w:r>
        <w:rPr>
          <w:color w:val="231F20"/>
        </w:rPr>
        <w:t>ID</w:t>
      </w:r>
      <w:r>
        <w:rPr>
          <w:color w:val="231F20"/>
          <w:spacing w:val="10"/>
        </w:rPr>
        <w:t> </w:t>
      </w:r>
      <w:r>
        <w:rPr>
          <w:color w:val="231F20"/>
        </w:rPr>
        <w:t>must</w:t>
      </w:r>
      <w:r>
        <w:rPr>
          <w:color w:val="231F20"/>
          <w:spacing w:val="10"/>
        </w:rPr>
        <w:t> </w:t>
      </w:r>
      <w:r>
        <w:rPr>
          <w:color w:val="231F20"/>
        </w:rPr>
        <w:t>have</w:t>
      </w:r>
      <w:r>
        <w:rPr>
          <w:color w:val="231F20"/>
          <w:spacing w:val="10"/>
        </w:rPr>
        <w:t> </w:t>
      </w:r>
      <w:r>
        <w:rPr>
          <w:color w:val="231F20"/>
        </w:rPr>
        <w:t>Modify</w:t>
      </w:r>
      <w:r>
        <w:rPr>
          <w:color w:val="231F20"/>
          <w:spacing w:val="10"/>
        </w:rPr>
        <w:t> </w:t>
      </w:r>
      <w:r>
        <w:rPr>
          <w:color w:val="231F20"/>
        </w:rPr>
        <w:t>permission</w:t>
      </w:r>
      <w:r>
        <w:rPr>
          <w:color w:val="231F20"/>
          <w:spacing w:val="10"/>
        </w:rPr>
        <w:t> </w:t>
      </w:r>
      <w:r>
        <w:rPr>
          <w:color w:val="231F20"/>
        </w:rPr>
        <w:t>for</w:t>
      </w:r>
      <w:r>
        <w:rPr>
          <w:color w:val="231F20"/>
          <w:spacing w:val="10"/>
        </w:rPr>
        <w:t> </w:t>
      </w:r>
      <w:r>
        <w:rPr>
          <w:color w:val="231F20"/>
        </w:rPr>
        <w:t>Situations</w:t>
      </w:r>
      <w:r>
        <w:rPr>
          <w:color w:val="231F20"/>
          <w:spacing w:val="10"/>
        </w:rPr>
        <w:t> </w:t>
      </w:r>
      <w:r>
        <w:rPr>
          <w:color w:val="231F20"/>
        </w:rPr>
        <w:t>to</w:t>
      </w:r>
      <w:r>
        <w:rPr>
          <w:color w:val="231F20"/>
          <w:spacing w:val="10"/>
        </w:rPr>
        <w:t> </w:t>
      </w:r>
      <w:r>
        <w:rPr>
          <w:color w:val="231F20"/>
        </w:rPr>
        <w:t>use</w:t>
      </w:r>
      <w:r>
        <w:rPr>
          <w:color w:val="231F20"/>
          <w:spacing w:val="9"/>
        </w:rPr>
        <w:t> </w:t>
      </w:r>
      <w:r>
        <w:rPr>
          <w:color w:val="231F20"/>
        </w:rPr>
        <w:t>this</w:t>
      </w:r>
      <w:r>
        <w:rPr>
          <w:color w:val="231F20"/>
          <w:spacing w:val="10"/>
        </w:rPr>
        <w:t> </w:t>
      </w:r>
      <w:r>
        <w:rPr>
          <w:color w:val="231F20"/>
          <w:spacing w:val="-2"/>
        </w:rPr>
        <w:t>function.</w:t>
      </w:r>
    </w:p>
    <w:p>
      <w:pPr>
        <w:pStyle w:val="Heading4"/>
        <w:spacing w:before="19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274"/>
      </w:pPr>
      <w:r>
        <w:rPr>
          <w:color w:val="231F20"/>
        </w:rPr>
        <w:t>You can start from the Situation editor or from the Object group editor. Take these steps to create a situation group:</w:t>
      </w:r>
    </w:p>
    <w:p>
      <w:pPr>
        <w:pStyle w:val="Heading4"/>
        <w:ind w:left="2472"/>
      </w:pPr>
      <w:r>
        <w:rPr>
          <w:color w:val="231F20"/>
          <w:spacing w:val="-2"/>
        </w:rPr>
        <w:t>Procedure</w:t>
      </w:r>
    </w:p>
    <w:p>
      <w:pPr>
        <w:pStyle w:val="ListParagraph"/>
        <w:numPr>
          <w:ilvl w:val="1"/>
          <w:numId w:val="171"/>
        </w:numPr>
        <w:tabs>
          <w:tab w:pos="2787" w:val="left" w:leader="none"/>
        </w:tabs>
        <w:spacing w:line="240" w:lineRule="auto" w:before="39" w:after="0"/>
        <w:ind w:left="2787" w:right="0" w:hanging="315"/>
        <w:jc w:val="left"/>
        <w:rPr>
          <w:sz w:val="20"/>
        </w:rPr>
      </w:pPr>
      <w:r>
        <w:rPr>
          <w:color w:val="231F20"/>
          <w:sz w:val="20"/>
        </w:rPr>
        <w:t>Create</w:t>
      </w:r>
      <w:r>
        <w:rPr>
          <w:color w:val="231F20"/>
          <w:spacing w:val="9"/>
          <w:sz w:val="20"/>
        </w:rPr>
        <w:t> </w:t>
      </w:r>
      <w:r>
        <w:rPr>
          <w:color w:val="231F20"/>
          <w:sz w:val="20"/>
        </w:rPr>
        <w:t>a</w:t>
      </w:r>
      <w:r>
        <w:rPr>
          <w:color w:val="231F20"/>
          <w:spacing w:val="10"/>
          <w:sz w:val="20"/>
        </w:rPr>
        <w:t> </w:t>
      </w:r>
      <w:r>
        <w:rPr>
          <w:color w:val="231F20"/>
          <w:sz w:val="20"/>
        </w:rPr>
        <w:t>situation</w:t>
      </w:r>
      <w:r>
        <w:rPr>
          <w:color w:val="231F20"/>
          <w:spacing w:val="10"/>
          <w:sz w:val="20"/>
        </w:rPr>
        <w:t> </w:t>
      </w:r>
      <w:r>
        <w:rPr>
          <w:color w:val="231F20"/>
          <w:sz w:val="20"/>
        </w:rPr>
        <w:t>group</w:t>
      </w:r>
      <w:r>
        <w:rPr>
          <w:color w:val="231F20"/>
          <w:spacing w:val="10"/>
          <w:sz w:val="20"/>
        </w:rPr>
        <w:t> </w:t>
      </w:r>
      <w:r>
        <w:rPr>
          <w:color w:val="231F20"/>
          <w:sz w:val="20"/>
        </w:rPr>
        <w:t>from</w:t>
      </w:r>
      <w:r>
        <w:rPr>
          <w:color w:val="231F20"/>
          <w:spacing w:val="9"/>
          <w:sz w:val="20"/>
        </w:rPr>
        <w:t> </w:t>
      </w:r>
      <w:r>
        <w:rPr>
          <w:color w:val="231F20"/>
          <w:sz w:val="20"/>
        </w:rPr>
        <w:t>either</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editor</w:t>
      </w:r>
      <w:r>
        <w:rPr>
          <w:color w:val="231F20"/>
          <w:spacing w:val="9"/>
          <w:sz w:val="20"/>
        </w:rPr>
        <w:t> </w:t>
      </w:r>
      <w:r>
        <w:rPr>
          <w:color w:val="231F20"/>
          <w:sz w:val="20"/>
        </w:rPr>
        <w:t>or</w:t>
      </w:r>
      <w:r>
        <w:rPr>
          <w:color w:val="231F20"/>
          <w:spacing w:val="10"/>
          <w:sz w:val="20"/>
        </w:rPr>
        <w:t> </w:t>
      </w:r>
      <w:r>
        <w:rPr>
          <w:color w:val="231F20"/>
          <w:sz w:val="20"/>
        </w:rPr>
        <w:t>Object</w:t>
      </w:r>
      <w:r>
        <w:rPr>
          <w:color w:val="231F20"/>
          <w:spacing w:val="10"/>
          <w:sz w:val="20"/>
        </w:rPr>
        <w:t> </w:t>
      </w:r>
      <w:r>
        <w:rPr>
          <w:color w:val="231F20"/>
          <w:sz w:val="20"/>
        </w:rPr>
        <w:t>Group</w:t>
      </w:r>
      <w:r>
        <w:rPr>
          <w:color w:val="231F20"/>
          <w:spacing w:val="10"/>
          <w:sz w:val="20"/>
        </w:rPr>
        <w:t> </w:t>
      </w:r>
      <w:r>
        <w:rPr>
          <w:color w:val="231F20"/>
          <w:spacing w:val="-2"/>
          <w:sz w:val="20"/>
        </w:rPr>
        <w:t>editor:</w:t>
      </w:r>
    </w:p>
    <w:p>
      <w:pPr>
        <w:pStyle w:val="BodyText"/>
        <w:spacing w:before="29"/>
        <w:ind w:left="2788"/>
      </w:pPr>
      <w:r>
        <w:rPr>
          <w:rFonts w:ascii="Futura MdCn BT"/>
          <w:color w:val="231F20"/>
        </w:rPr>
        <w:t>v</w:t>
      </w:r>
      <w:r>
        <w:rPr>
          <w:rFonts w:ascii="Futura MdCn BT"/>
          <w:color w:val="231F20"/>
          <w:spacing w:val="31"/>
        </w:rPr>
        <w:t>  </w:t>
      </w:r>
      <w:r>
        <w:rPr>
          <w:color w:val="231F20"/>
        </w:rPr>
        <w:t>Start</w:t>
      </w:r>
      <w:r>
        <w:rPr>
          <w:color w:val="231F20"/>
          <w:spacing w:val="13"/>
        </w:rPr>
        <w:t> </w:t>
      </w:r>
      <w:r>
        <w:rPr>
          <w:color w:val="231F20"/>
        </w:rPr>
        <w:t>from</w:t>
      </w:r>
      <w:r>
        <w:rPr>
          <w:color w:val="231F20"/>
          <w:spacing w:val="12"/>
        </w:rPr>
        <w:t> </w:t>
      </w:r>
      <w:r>
        <w:rPr>
          <w:color w:val="231F20"/>
        </w:rPr>
        <w:t>the</w:t>
      </w:r>
      <w:r>
        <w:rPr>
          <w:color w:val="231F20"/>
          <w:spacing w:val="12"/>
        </w:rPr>
        <w:t> </w:t>
      </w:r>
      <w:r>
        <w:rPr>
          <w:color w:val="231F20"/>
        </w:rPr>
        <w:t>Situation</w:t>
      </w:r>
      <w:r>
        <w:rPr>
          <w:color w:val="231F20"/>
          <w:spacing w:val="13"/>
        </w:rPr>
        <w:t> </w:t>
      </w:r>
      <w:r>
        <w:rPr>
          <w:color w:val="231F20"/>
          <w:spacing w:val="-2"/>
        </w:rPr>
        <w:t>editor:</w:t>
      </w:r>
    </w:p>
    <w:p>
      <w:pPr>
        <w:pStyle w:val="ListParagraph"/>
        <w:numPr>
          <w:ilvl w:val="2"/>
          <w:numId w:val="171"/>
        </w:numPr>
        <w:tabs>
          <w:tab w:pos="3320" w:val="left" w:leader="none"/>
        </w:tabs>
        <w:spacing w:line="213" w:lineRule="auto" w:before="53" w:after="0"/>
        <w:ind w:left="3320" w:right="665" w:hanging="316"/>
        <w:jc w:val="left"/>
        <w:rPr>
          <w:sz w:val="20"/>
        </w:rPr>
      </w:pPr>
      <w:r>
        <w:rPr>
          <w:color w:val="231F20"/>
          <w:sz w:val="20"/>
        </w:rPr>
        <w:t>Open or create a situation that you want to add to the new </w:t>
      </w:r>
      <w:r>
        <w:rPr>
          <w:color w:val="231F20"/>
          <w:sz w:val="20"/>
        </w:rPr>
        <w:t>situation </w:t>
      </w:r>
      <w:r>
        <w:rPr>
          <w:color w:val="231F20"/>
          <w:spacing w:val="-2"/>
          <w:sz w:val="20"/>
        </w:rPr>
        <w:t>group.</w:t>
      </w:r>
    </w:p>
    <w:p>
      <w:pPr>
        <w:pStyle w:val="ListParagraph"/>
        <w:numPr>
          <w:ilvl w:val="2"/>
          <w:numId w:val="171"/>
        </w:numPr>
        <w:tabs>
          <w:tab w:pos="3319" w:val="left" w:leader="none"/>
        </w:tabs>
        <w:spacing w:line="257" w:lineRule="exact" w:before="35" w:after="0"/>
        <w:ind w:left="3319" w:right="0" w:hanging="315"/>
        <w:jc w:val="left"/>
        <w:rPr>
          <w:sz w:val="20"/>
        </w:rPr>
      </w:pPr>
      <w:r>
        <w:rPr>
          <w:color w:val="231F20"/>
          <w:sz w:val="20"/>
        </w:rPr>
        <w:t>While</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is</w:t>
      </w:r>
      <w:r>
        <w:rPr>
          <w:color w:val="231F20"/>
          <w:spacing w:val="10"/>
          <w:sz w:val="20"/>
        </w:rPr>
        <w:t> </w:t>
      </w:r>
      <w:r>
        <w:rPr>
          <w:color w:val="231F20"/>
          <w:sz w:val="20"/>
        </w:rPr>
        <w:t>open</w:t>
      </w:r>
      <w:r>
        <w:rPr>
          <w:color w:val="231F20"/>
          <w:spacing w:val="10"/>
          <w:sz w:val="20"/>
        </w:rPr>
        <w:t> </w:t>
      </w: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editor,</w:t>
      </w:r>
      <w:r>
        <w:rPr>
          <w:color w:val="231F20"/>
          <w:spacing w:val="10"/>
          <w:sz w:val="20"/>
        </w:rPr>
        <w:t> </w:t>
      </w:r>
      <w:r>
        <w:rPr>
          <w:color w:val="231F20"/>
          <w:sz w:val="20"/>
        </w:rPr>
        <w:t>click</w:t>
      </w:r>
      <w:r>
        <w:rPr>
          <w:color w:val="231F20"/>
          <w:spacing w:val="10"/>
          <w:sz w:val="20"/>
        </w:rPr>
        <w:t> </w:t>
      </w:r>
      <w:r>
        <w:rPr>
          <w:rFonts w:ascii="Book Antiqua"/>
          <w:b/>
          <w:color w:val="231F20"/>
          <w:sz w:val="20"/>
        </w:rPr>
        <w:t>Group</w:t>
      </w:r>
      <w:r>
        <w:rPr>
          <w:color w:val="231F20"/>
          <w:sz w:val="20"/>
        </w:rPr>
        <w:t>,</w:t>
      </w:r>
      <w:r>
        <w:rPr>
          <w:color w:val="231F20"/>
          <w:spacing w:val="10"/>
          <w:sz w:val="20"/>
        </w:rPr>
        <w:t> </w:t>
      </w:r>
      <w:r>
        <w:rPr>
          <w:color w:val="231F20"/>
          <w:spacing w:val="-4"/>
          <w:sz w:val="20"/>
        </w:rPr>
        <w:t>then</w:t>
      </w:r>
    </w:p>
    <w:p>
      <w:pPr>
        <w:pStyle w:val="Heading6"/>
        <w:spacing w:line="257" w:lineRule="exact" w:before="0"/>
        <w:ind w:left="3320"/>
        <w:rPr>
          <w:rFonts w:ascii="Palatino Linotype"/>
          <w:b w:val="0"/>
        </w:rPr>
      </w:pPr>
      <w:r>
        <w:rPr>
          <w:b w:val="0"/>
        </w:rPr>
        <w:drawing>
          <wp:inline distT="0" distB="0" distL="0" distR="0">
            <wp:extent cx="88900" cy="82550"/>
            <wp:effectExtent l="0" t="0" r="0" b="0"/>
            <wp:docPr id="3062" name="Image 3062"/>
            <wp:cNvGraphicFramePr>
              <a:graphicFrameLocks/>
            </wp:cNvGraphicFramePr>
            <a:graphic>
              <a:graphicData uri="http://schemas.openxmlformats.org/drawingml/2006/picture">
                <pic:pic>
                  <pic:nvPicPr>
                    <pic:cNvPr id="3062" name="Image 3062"/>
                    <pic:cNvPicPr/>
                  </pic:nvPicPr>
                  <pic:blipFill>
                    <a:blip r:embed="rId140" cstate="print"/>
                    <a:stretch>
                      <a:fillRect/>
                    </a:stretch>
                  </pic:blipFill>
                  <pic:spPr>
                    <a:xfrm>
                      <a:off x="0" y="0"/>
                      <a:ext cx="88900" cy="82550"/>
                    </a:xfrm>
                    <a:prstGeom prst="rect">
                      <a:avLst/>
                    </a:prstGeom>
                  </pic:spPr>
                </pic:pic>
              </a:graphicData>
            </a:graphic>
          </wp:inline>
        </w:drawing>
      </w:r>
      <w:r>
        <w:rPr>
          <w:b w:val="0"/>
        </w:rPr>
      </w:r>
      <w:r>
        <w:rPr>
          <w:rFonts w:ascii="Times New Roman"/>
          <w:b w:val="0"/>
          <w:spacing w:val="-3"/>
        </w:rPr>
        <w:t> </w:t>
      </w:r>
      <w:r>
        <w:rPr>
          <w:color w:val="231F20"/>
        </w:rPr>
        <w:t>Create</w:t>
      </w:r>
      <w:r>
        <w:rPr>
          <w:color w:val="231F20"/>
          <w:spacing w:val="14"/>
        </w:rPr>
        <w:t> </w:t>
      </w:r>
      <w:r>
        <w:rPr>
          <w:color w:val="231F20"/>
        </w:rPr>
        <w:t>a</w:t>
      </w:r>
      <w:r>
        <w:rPr>
          <w:color w:val="231F20"/>
          <w:spacing w:val="14"/>
        </w:rPr>
        <w:t> </w:t>
      </w:r>
      <w:r>
        <w:rPr>
          <w:color w:val="231F20"/>
        </w:rPr>
        <w:t>new</w:t>
      </w:r>
      <w:r>
        <w:rPr>
          <w:color w:val="231F20"/>
          <w:spacing w:val="14"/>
        </w:rPr>
        <w:t> </w:t>
      </w:r>
      <w:r>
        <w:rPr>
          <w:color w:val="231F20"/>
        </w:rPr>
        <w:t>object</w:t>
      </w:r>
      <w:r>
        <w:rPr>
          <w:color w:val="231F20"/>
          <w:spacing w:val="14"/>
        </w:rPr>
        <w:t> </w:t>
      </w:r>
      <w:r>
        <w:rPr>
          <w:color w:val="231F20"/>
        </w:rPr>
        <w:t>group</w:t>
      </w:r>
      <w:r>
        <w:rPr>
          <w:rFonts w:ascii="Palatino Linotype"/>
          <w:b w:val="0"/>
          <w:color w:val="231F20"/>
        </w:rPr>
        <w:t>.</w:t>
      </w:r>
    </w:p>
    <w:p>
      <w:pPr>
        <w:pStyle w:val="ListParagraph"/>
        <w:numPr>
          <w:ilvl w:val="2"/>
          <w:numId w:val="171"/>
        </w:numPr>
        <w:tabs>
          <w:tab w:pos="3307" w:val="left" w:leader="none"/>
          <w:tab w:pos="3309" w:val="left" w:leader="none"/>
        </w:tabs>
        <w:spacing w:line="213" w:lineRule="auto" w:before="48" w:after="0"/>
        <w:ind w:left="3309" w:right="387" w:hanging="305"/>
        <w:jc w:val="left"/>
        <w:rPr>
          <w:sz w:val="20"/>
        </w:rPr>
      </w:pPr>
      <w:r>
        <w:rPr>
          <w:color w:val="231F20"/>
          <w:sz w:val="20"/>
        </w:rPr>
        <w:t>Enter a name for the new situation group and, optionally, a </w:t>
      </w:r>
      <w:r>
        <w:rPr>
          <w:color w:val="231F20"/>
          <w:sz w:val="20"/>
        </w:rPr>
        <w:t>description. The name can be up to 128 characters.</w:t>
      </w:r>
    </w:p>
    <w:p>
      <w:pPr>
        <w:pStyle w:val="BodyText"/>
        <w:spacing w:line="213" w:lineRule="auto" w:before="118"/>
        <w:ind w:left="3004" w:right="385"/>
      </w:pPr>
      <w:r>
        <w:rPr>
          <w:color w:val="231F20"/>
        </w:rPr>
        <w:t>After you click </w:t>
      </w:r>
      <w:r>
        <w:rPr>
          <w:rFonts w:ascii="Book Antiqua"/>
          <w:b/>
          <w:color w:val="231F20"/>
        </w:rPr>
        <w:t>OK</w:t>
      </w:r>
      <w:r>
        <w:rPr>
          <w:color w:val="231F20"/>
        </w:rPr>
        <w:t>, the Object group editor opens the new situation </w:t>
      </w:r>
      <w:r>
        <w:rPr>
          <w:color w:val="231F20"/>
        </w:rPr>
        <w:t>group with the situation listed in </w:t>
      </w:r>
      <w:r>
        <w:rPr>
          <w:rFonts w:ascii="Book Antiqua"/>
          <w:b/>
          <w:color w:val="231F20"/>
        </w:rPr>
        <w:t>Assigned Members</w:t>
      </w:r>
      <w:r>
        <w:rPr>
          <w:color w:val="231F20"/>
        </w:rPr>
        <w:t>.</w:t>
      </w:r>
    </w:p>
    <w:p>
      <w:pPr>
        <w:pStyle w:val="BodyText"/>
        <w:spacing w:before="36"/>
        <w:ind w:left="2788"/>
      </w:pPr>
      <w:r>
        <w:rPr>
          <w:rFonts w:ascii="Futura MdCn BT"/>
          <w:color w:val="231F20"/>
        </w:rPr>
        <w:t>v</w:t>
      </w:r>
      <w:r>
        <w:rPr>
          <w:rFonts w:ascii="Futura MdCn BT"/>
          <w:color w:val="231F20"/>
          <w:spacing w:val="31"/>
        </w:rPr>
        <w:t>  </w:t>
      </w:r>
      <w:r>
        <w:rPr>
          <w:color w:val="231F20"/>
        </w:rPr>
        <w:t>Start</w:t>
      </w:r>
      <w:r>
        <w:rPr>
          <w:color w:val="231F20"/>
          <w:spacing w:val="11"/>
        </w:rPr>
        <w:t> </w:t>
      </w:r>
      <w:r>
        <w:rPr>
          <w:color w:val="231F20"/>
        </w:rPr>
        <w:t>from</w:t>
      </w:r>
      <w:r>
        <w:rPr>
          <w:color w:val="231F20"/>
          <w:spacing w:val="12"/>
        </w:rPr>
        <w:t> </w:t>
      </w:r>
      <w:r>
        <w:rPr>
          <w:color w:val="231F20"/>
        </w:rPr>
        <w:t>the</w:t>
      </w:r>
      <w:r>
        <w:rPr>
          <w:color w:val="231F20"/>
          <w:spacing w:val="12"/>
        </w:rPr>
        <w:t> </w:t>
      </w:r>
      <w:r>
        <w:rPr>
          <w:color w:val="231F20"/>
        </w:rPr>
        <w:t>Object</w:t>
      </w:r>
      <w:r>
        <w:rPr>
          <w:color w:val="231F20"/>
          <w:spacing w:val="12"/>
        </w:rPr>
        <w:t> </w:t>
      </w:r>
      <w:r>
        <w:rPr>
          <w:color w:val="231F20"/>
        </w:rPr>
        <w:t>group</w:t>
      </w:r>
      <w:r>
        <w:rPr>
          <w:color w:val="231F20"/>
          <w:spacing w:val="12"/>
        </w:rPr>
        <w:t> </w:t>
      </w:r>
      <w:r>
        <w:rPr>
          <w:color w:val="231F20"/>
          <w:spacing w:val="-2"/>
        </w:rPr>
        <w:t>editor:</w:t>
      </w:r>
    </w:p>
    <w:p>
      <w:pPr>
        <w:pStyle w:val="ListParagraph"/>
        <w:numPr>
          <w:ilvl w:val="0"/>
          <w:numId w:val="172"/>
        </w:numPr>
        <w:tabs>
          <w:tab w:pos="3319" w:val="left" w:leader="none"/>
        </w:tabs>
        <w:spacing w:line="240" w:lineRule="auto" w:before="29" w:after="0"/>
        <w:ind w:left="3319" w:right="0" w:hanging="315"/>
        <w:jc w:val="left"/>
        <w:rPr>
          <w:sz w:val="20"/>
        </w:rPr>
      </w:pPr>
      <w:r>
        <w:rPr>
          <w:color w:val="231F20"/>
          <w:sz w:val="20"/>
        </w:rPr>
        <w:t>Click</w:t>
      </w:r>
      <w:r>
        <w:rPr>
          <w:color w:val="231F20"/>
          <w:spacing w:val="12"/>
          <w:sz w:val="20"/>
        </w:rPr>
        <w:t> </w:t>
      </w:r>
      <w:r>
        <w:rPr>
          <w:color w:val="231F20"/>
          <w:spacing w:val="16"/>
          <w:position w:val="-1"/>
          <w:sz w:val="20"/>
        </w:rPr>
        <w:drawing>
          <wp:inline distT="0" distB="0" distL="0" distR="0">
            <wp:extent cx="95250" cy="95249"/>
            <wp:effectExtent l="0" t="0" r="0" b="0"/>
            <wp:docPr id="3063" name="Image 3063"/>
            <wp:cNvGraphicFramePr>
              <a:graphicFrameLocks/>
            </wp:cNvGraphicFramePr>
            <a:graphic>
              <a:graphicData uri="http://schemas.openxmlformats.org/drawingml/2006/picture">
                <pic:pic>
                  <pic:nvPicPr>
                    <pic:cNvPr id="3063" name="Image 3063"/>
                    <pic:cNvPicPr/>
                  </pic:nvPicPr>
                  <pic:blipFill>
                    <a:blip r:embed="rId34" cstate="print"/>
                    <a:stretch>
                      <a:fillRect/>
                    </a:stretch>
                  </pic:blipFill>
                  <pic:spPr>
                    <a:xfrm>
                      <a:off x="0" y="0"/>
                      <a:ext cx="95250" cy="95249"/>
                    </a:xfrm>
                    <a:prstGeom prst="rect">
                      <a:avLst/>
                    </a:prstGeom>
                  </pic:spPr>
                </pic:pic>
              </a:graphicData>
            </a:graphic>
          </wp:inline>
        </w:drawing>
      </w:r>
      <w:r>
        <w:rPr>
          <w:color w:val="231F20"/>
          <w:spacing w:val="16"/>
          <w:position w:val="-1"/>
          <w:sz w:val="20"/>
        </w:rPr>
      </w:r>
      <w:r>
        <w:rPr>
          <w:rFonts w:ascii="Times New Roman"/>
          <w:color w:val="231F20"/>
          <w:spacing w:val="53"/>
          <w:sz w:val="20"/>
        </w:rPr>
        <w:t> </w:t>
      </w:r>
      <w:r>
        <w:rPr>
          <w:rFonts w:ascii="Book Antiqua"/>
          <w:b/>
          <w:color w:val="231F20"/>
          <w:sz w:val="20"/>
        </w:rPr>
        <w:t>Object</w:t>
      </w:r>
      <w:r>
        <w:rPr>
          <w:rFonts w:ascii="Book Antiqua"/>
          <w:b/>
          <w:color w:val="231F20"/>
          <w:spacing w:val="13"/>
          <w:sz w:val="20"/>
        </w:rPr>
        <w:t> </w:t>
      </w:r>
      <w:r>
        <w:rPr>
          <w:rFonts w:ascii="Book Antiqua"/>
          <w:b/>
          <w:color w:val="231F20"/>
          <w:sz w:val="20"/>
        </w:rPr>
        <w:t>group</w:t>
      </w:r>
      <w:r>
        <w:rPr>
          <w:rFonts w:ascii="Book Antiqua"/>
          <w:b/>
          <w:color w:val="231F20"/>
          <w:spacing w:val="12"/>
          <w:sz w:val="20"/>
        </w:rPr>
        <w:t> </w:t>
      </w:r>
      <w:r>
        <w:rPr>
          <w:rFonts w:ascii="Book Antiqua"/>
          <w:b/>
          <w:color w:val="231F20"/>
          <w:spacing w:val="-2"/>
          <w:sz w:val="20"/>
        </w:rPr>
        <w:t>editor</w:t>
      </w:r>
      <w:r>
        <w:rPr>
          <w:color w:val="231F20"/>
          <w:spacing w:val="-2"/>
          <w:sz w:val="20"/>
        </w:rPr>
        <w:t>.</w:t>
      </w:r>
    </w:p>
    <w:p>
      <w:pPr>
        <w:pStyle w:val="ListParagraph"/>
        <w:numPr>
          <w:ilvl w:val="0"/>
          <w:numId w:val="172"/>
        </w:numPr>
        <w:tabs>
          <w:tab w:pos="3319" w:val="left" w:leader="none"/>
        </w:tabs>
        <w:spacing w:line="240" w:lineRule="auto" w:before="30" w:after="0"/>
        <w:ind w:left="3319" w:right="0" w:hanging="315"/>
        <w:jc w:val="left"/>
        <w:rPr>
          <w:sz w:val="20"/>
        </w:rPr>
      </w:pPr>
      <w:r>
        <w:rPr>
          <w:color w:val="231F20"/>
          <w:sz w:val="20"/>
        </w:rPr>
        <w:t>Click</w:t>
      </w:r>
      <w:r>
        <w:rPr>
          <w:color w:val="231F20"/>
          <w:spacing w:val="10"/>
          <w:sz w:val="20"/>
        </w:rPr>
        <w:t> </w:t>
      </w:r>
      <w:r>
        <w:rPr>
          <w:color w:val="231F20"/>
          <w:spacing w:val="16"/>
          <w:position w:val="-1"/>
          <w:sz w:val="20"/>
        </w:rPr>
        <w:drawing>
          <wp:inline distT="0" distB="0" distL="0" distR="0">
            <wp:extent cx="101600" cy="95250"/>
            <wp:effectExtent l="0" t="0" r="0" b="0"/>
            <wp:docPr id="3064" name="Image 3064"/>
            <wp:cNvGraphicFramePr>
              <a:graphicFrameLocks/>
            </wp:cNvGraphicFramePr>
            <a:graphic>
              <a:graphicData uri="http://schemas.openxmlformats.org/drawingml/2006/picture">
                <pic:pic>
                  <pic:nvPicPr>
                    <pic:cNvPr id="3064" name="Image 3064"/>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Situation</w:t>
      </w:r>
      <w:r>
        <w:rPr>
          <w:color w:val="231F20"/>
          <w:sz w:val="20"/>
        </w:rPr>
        <w:t>,</w:t>
      </w:r>
      <w:r>
        <w:rPr>
          <w:color w:val="231F20"/>
          <w:spacing w:val="12"/>
          <w:sz w:val="20"/>
        </w:rPr>
        <w:t> </w:t>
      </w:r>
      <w:r>
        <w:rPr>
          <w:color w:val="231F20"/>
          <w:sz w:val="20"/>
        </w:rPr>
        <w:t>then</w:t>
      </w:r>
      <w:r>
        <w:rPr>
          <w:color w:val="231F20"/>
          <w:spacing w:val="21"/>
          <w:sz w:val="20"/>
        </w:rPr>
        <w:t> </w:t>
      </w:r>
      <w:r>
        <w:rPr>
          <w:color w:val="231F20"/>
          <w:spacing w:val="-24"/>
          <w:position w:val="-1"/>
          <w:sz w:val="20"/>
        </w:rPr>
        <w:drawing>
          <wp:inline distT="0" distB="0" distL="0" distR="0">
            <wp:extent cx="95250" cy="101600"/>
            <wp:effectExtent l="0" t="0" r="0" b="0"/>
            <wp:docPr id="3065" name="Image 3065"/>
            <wp:cNvGraphicFramePr>
              <a:graphicFrameLocks/>
            </wp:cNvGraphicFramePr>
            <a:graphic>
              <a:graphicData uri="http://schemas.openxmlformats.org/drawingml/2006/picture">
                <pic:pic>
                  <pic:nvPicPr>
                    <pic:cNvPr id="3065" name="Image 3065"/>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19"/>
          <w:sz w:val="20"/>
        </w:rPr>
        <w:t> </w:t>
      </w:r>
      <w:r>
        <w:rPr>
          <w:rFonts w:ascii="Book Antiqua"/>
          <w:b/>
          <w:color w:val="231F20"/>
          <w:sz w:val="20"/>
        </w:rPr>
        <w:t>Create</w:t>
      </w:r>
      <w:r>
        <w:rPr>
          <w:rFonts w:ascii="Book Antiqua"/>
          <w:b/>
          <w:color w:val="231F20"/>
          <w:spacing w:val="12"/>
          <w:sz w:val="20"/>
        </w:rPr>
        <w:t> </w:t>
      </w:r>
      <w:r>
        <w:rPr>
          <w:rFonts w:ascii="Book Antiqua"/>
          <w:b/>
          <w:color w:val="231F20"/>
          <w:sz w:val="20"/>
        </w:rPr>
        <w:t>a</w:t>
      </w:r>
      <w:r>
        <w:rPr>
          <w:rFonts w:ascii="Book Antiqua"/>
          <w:b/>
          <w:color w:val="231F20"/>
          <w:spacing w:val="12"/>
          <w:sz w:val="20"/>
        </w:rPr>
        <w:t> </w:t>
      </w:r>
      <w:r>
        <w:rPr>
          <w:rFonts w:ascii="Book Antiqua"/>
          <w:b/>
          <w:color w:val="231F20"/>
          <w:sz w:val="20"/>
        </w:rPr>
        <w:t>new</w:t>
      </w:r>
      <w:r>
        <w:rPr>
          <w:rFonts w:ascii="Book Antiqua"/>
          <w:b/>
          <w:color w:val="231F20"/>
          <w:spacing w:val="13"/>
          <w:sz w:val="20"/>
        </w:rPr>
        <w:t> </w:t>
      </w:r>
      <w:r>
        <w:rPr>
          <w:rFonts w:ascii="Book Antiqua"/>
          <w:b/>
          <w:color w:val="231F20"/>
          <w:sz w:val="20"/>
        </w:rPr>
        <w:t>object</w:t>
      </w:r>
      <w:r>
        <w:rPr>
          <w:rFonts w:ascii="Book Antiqua"/>
          <w:b/>
          <w:color w:val="231F20"/>
          <w:spacing w:val="12"/>
          <w:sz w:val="20"/>
        </w:rPr>
        <w:t> </w:t>
      </w:r>
      <w:r>
        <w:rPr>
          <w:rFonts w:ascii="Book Antiqua"/>
          <w:b/>
          <w:color w:val="231F20"/>
          <w:spacing w:val="-2"/>
          <w:sz w:val="20"/>
        </w:rPr>
        <w:t>group</w:t>
      </w:r>
      <w:r>
        <w:rPr>
          <w:color w:val="231F20"/>
          <w:spacing w:val="-2"/>
          <w:sz w:val="20"/>
        </w:rPr>
        <w:t>.</w:t>
      </w:r>
    </w:p>
    <w:p>
      <w:pPr>
        <w:pStyle w:val="ListParagraph"/>
        <w:numPr>
          <w:ilvl w:val="0"/>
          <w:numId w:val="172"/>
        </w:numPr>
        <w:tabs>
          <w:tab w:pos="3307" w:val="left" w:leader="none"/>
          <w:tab w:pos="3309" w:val="left" w:leader="none"/>
        </w:tabs>
        <w:spacing w:line="213" w:lineRule="auto" w:before="52" w:after="0"/>
        <w:ind w:left="3309" w:right="387" w:hanging="305"/>
        <w:jc w:val="left"/>
        <w:rPr>
          <w:sz w:val="20"/>
        </w:rPr>
      </w:pPr>
      <w:r>
        <w:rPr>
          <w:color w:val="231F20"/>
          <w:sz w:val="20"/>
        </w:rPr>
        <w:t>Enter a name for the new situation group and, optionally, a </w:t>
      </w:r>
      <w:r>
        <w:rPr>
          <w:color w:val="231F20"/>
          <w:sz w:val="20"/>
        </w:rPr>
        <w:t>description. The name can be up to 128 characters.</w:t>
      </w:r>
    </w:p>
    <w:p>
      <w:pPr>
        <w:pStyle w:val="BodyText"/>
        <w:spacing w:before="96"/>
        <w:ind w:left="3004"/>
      </w:pPr>
      <w:r>
        <w:rPr>
          <w:color w:val="231F20"/>
        </w:rPr>
        <w:t>The</w:t>
      </w:r>
      <w:r>
        <w:rPr>
          <w:color w:val="231F20"/>
          <w:spacing w:val="8"/>
        </w:rPr>
        <w:t> </w:t>
      </w:r>
      <w:r>
        <w:rPr>
          <w:color w:val="231F20"/>
        </w:rPr>
        <w:t>new</w:t>
      </w:r>
      <w:r>
        <w:rPr>
          <w:color w:val="231F20"/>
          <w:spacing w:val="12"/>
        </w:rPr>
        <w:t> </w:t>
      </w:r>
      <w:r>
        <w:rPr>
          <w:color w:val="231F20"/>
        </w:rPr>
        <w:t>situation</w:t>
      </w:r>
      <w:r>
        <w:rPr>
          <w:color w:val="231F20"/>
          <w:spacing w:val="11"/>
        </w:rPr>
        <w:t> </w:t>
      </w:r>
      <w:r>
        <w:rPr>
          <w:color w:val="231F20"/>
        </w:rPr>
        <w:t>group</w:t>
      </w:r>
      <w:r>
        <w:rPr>
          <w:color w:val="231F20"/>
          <w:spacing w:val="12"/>
        </w:rPr>
        <w:t> </w:t>
      </w:r>
      <w:r>
        <w:rPr>
          <w:color w:val="231F20"/>
        </w:rPr>
        <w:t>is</w:t>
      </w:r>
      <w:r>
        <w:rPr>
          <w:color w:val="231F20"/>
          <w:spacing w:val="11"/>
        </w:rPr>
        <w:t> </w:t>
      </w:r>
      <w:r>
        <w:rPr>
          <w:color w:val="231F20"/>
        </w:rPr>
        <w:t>displayed</w:t>
      </w:r>
      <w:r>
        <w:rPr>
          <w:color w:val="231F20"/>
          <w:spacing w:val="11"/>
        </w:rPr>
        <w:t> </w:t>
      </w:r>
      <w:r>
        <w:rPr>
          <w:color w:val="231F20"/>
        </w:rPr>
        <w:t>in</w:t>
      </w:r>
      <w:r>
        <w:rPr>
          <w:color w:val="231F20"/>
          <w:spacing w:val="12"/>
        </w:rPr>
        <w:t> </w:t>
      </w:r>
      <w:r>
        <w:rPr>
          <w:color w:val="231F20"/>
        </w:rPr>
        <w:t>the</w:t>
      </w:r>
      <w:r>
        <w:rPr>
          <w:color w:val="231F20"/>
          <w:spacing w:val="10"/>
        </w:rPr>
        <w:t> </w:t>
      </w:r>
      <w:r>
        <w:rPr>
          <w:color w:val="231F20"/>
          <w:spacing w:val="15"/>
          <w:position w:val="-1"/>
        </w:rPr>
        <w:drawing>
          <wp:inline distT="0" distB="0" distL="0" distR="0">
            <wp:extent cx="101600" cy="95250"/>
            <wp:effectExtent l="0" t="0" r="0" b="0"/>
            <wp:docPr id="3066" name="Image 3066"/>
            <wp:cNvGraphicFramePr>
              <a:graphicFrameLocks/>
            </wp:cNvGraphicFramePr>
            <a:graphic>
              <a:graphicData uri="http://schemas.openxmlformats.org/drawingml/2006/picture">
                <pic:pic>
                  <pic:nvPicPr>
                    <pic:cNvPr id="3066" name="Image 3066"/>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rPr>
        <w:t>Situation</w:t>
      </w:r>
      <w:r>
        <w:rPr>
          <w:rFonts w:ascii="Book Antiqua"/>
          <w:b/>
          <w:color w:val="231F20"/>
          <w:spacing w:val="11"/>
        </w:rPr>
        <w:t> </w:t>
      </w:r>
      <w:r>
        <w:rPr>
          <w:color w:val="231F20"/>
        </w:rPr>
        <w:t>branch</w:t>
      </w:r>
      <w:r>
        <w:rPr>
          <w:color w:val="231F20"/>
          <w:spacing w:val="12"/>
        </w:rPr>
        <w:t> </w:t>
      </w:r>
      <w:r>
        <w:rPr>
          <w:color w:val="231F20"/>
        </w:rPr>
        <w:t>of</w:t>
      </w:r>
      <w:r>
        <w:rPr>
          <w:color w:val="231F20"/>
          <w:spacing w:val="11"/>
        </w:rPr>
        <w:t> </w:t>
      </w:r>
      <w:r>
        <w:rPr>
          <w:color w:val="231F20"/>
        </w:rPr>
        <w:t>the</w:t>
      </w:r>
      <w:r>
        <w:rPr>
          <w:color w:val="231F20"/>
          <w:spacing w:val="11"/>
        </w:rPr>
        <w:t> </w:t>
      </w:r>
      <w:r>
        <w:rPr>
          <w:color w:val="231F20"/>
          <w:spacing w:val="-2"/>
        </w:rPr>
        <w:t>tree.</w:t>
      </w:r>
    </w:p>
    <w:p>
      <w:pPr>
        <w:pStyle w:val="ListParagraph"/>
        <w:numPr>
          <w:ilvl w:val="1"/>
          <w:numId w:val="171"/>
        </w:numPr>
        <w:tabs>
          <w:tab w:pos="2788" w:val="left" w:leader="none"/>
        </w:tabs>
        <w:spacing w:line="213" w:lineRule="auto" w:before="52" w:after="0"/>
        <w:ind w:left="2788" w:right="191" w:hanging="316"/>
        <w:jc w:val="left"/>
        <w:rPr>
          <w:sz w:val="20"/>
        </w:rPr>
      </w:pPr>
      <w:r>
        <w:rPr>
          <w:color w:val="231F20"/>
          <w:sz w:val="20"/>
        </w:rPr>
        <w:t>In</w:t>
      </w:r>
      <w:r>
        <w:rPr>
          <w:color w:val="231F20"/>
          <w:spacing w:val="12"/>
          <w:sz w:val="20"/>
        </w:rPr>
        <w:t> </w:t>
      </w:r>
      <w:r>
        <w:rPr>
          <w:color w:val="231F20"/>
          <w:sz w:val="20"/>
        </w:rPr>
        <w:t>the</w:t>
      </w:r>
      <w:r>
        <w:rPr>
          <w:color w:val="231F20"/>
          <w:spacing w:val="13"/>
          <w:sz w:val="20"/>
        </w:rPr>
        <w:t> </w:t>
      </w:r>
      <w:r>
        <w:rPr>
          <w:color w:val="231F20"/>
          <w:spacing w:val="16"/>
          <w:position w:val="-1"/>
          <w:sz w:val="20"/>
        </w:rPr>
        <w:drawing>
          <wp:inline distT="0" distB="0" distL="0" distR="0">
            <wp:extent cx="101600" cy="95250"/>
            <wp:effectExtent l="0" t="0" r="0" b="0"/>
            <wp:docPr id="3067" name="Image 3067"/>
            <wp:cNvGraphicFramePr>
              <a:graphicFrameLocks/>
            </wp:cNvGraphicFramePr>
            <a:graphic>
              <a:graphicData uri="http://schemas.openxmlformats.org/drawingml/2006/picture">
                <pic:pic>
                  <pic:nvPicPr>
                    <pic:cNvPr id="3067" name="Image 3067"/>
                    <pic:cNvPicPr/>
                  </pic:nvPicPr>
                  <pic:blipFill>
                    <a:blip r:embed="rId31"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Members</w:t>
      </w:r>
      <w:r>
        <w:rPr>
          <w:rFonts w:ascii="Book Antiqua"/>
          <w:b/>
          <w:color w:val="231F20"/>
          <w:spacing w:val="13"/>
          <w:sz w:val="20"/>
        </w:rPr>
        <w:t> </w:t>
      </w:r>
      <w:r>
        <w:rPr>
          <w:color w:val="231F20"/>
          <w:sz w:val="20"/>
        </w:rPr>
        <w:t>tab,</w:t>
      </w:r>
      <w:r>
        <w:rPr>
          <w:color w:val="231F20"/>
          <w:spacing w:val="13"/>
          <w:sz w:val="20"/>
        </w:rPr>
        <w:t> </w:t>
      </w:r>
      <w:r>
        <w:rPr>
          <w:color w:val="231F20"/>
          <w:sz w:val="20"/>
        </w:rPr>
        <w:t>select</w:t>
      </w:r>
      <w:r>
        <w:rPr>
          <w:color w:val="231F20"/>
          <w:spacing w:val="13"/>
          <w:sz w:val="20"/>
        </w:rPr>
        <w:t> </w:t>
      </w:r>
      <w:r>
        <w:rPr>
          <w:color w:val="231F20"/>
          <w:sz w:val="20"/>
        </w:rPr>
        <w:t>a</w:t>
      </w:r>
      <w:r>
        <w:rPr>
          <w:color w:val="231F20"/>
          <w:spacing w:val="13"/>
          <w:sz w:val="20"/>
        </w:rPr>
        <w:t> </w:t>
      </w:r>
      <w:r>
        <w:rPr>
          <w:color w:val="231F20"/>
          <w:sz w:val="20"/>
        </w:rPr>
        <w:t>situation</w:t>
      </w:r>
      <w:r>
        <w:rPr>
          <w:color w:val="231F20"/>
          <w:spacing w:val="13"/>
          <w:sz w:val="20"/>
        </w:rPr>
        <w:t> </w:t>
      </w:r>
      <w:r>
        <w:rPr>
          <w:color w:val="231F20"/>
          <w:sz w:val="20"/>
        </w:rPr>
        <w:t>from</w:t>
      </w:r>
      <w:r>
        <w:rPr>
          <w:color w:val="231F20"/>
          <w:spacing w:val="13"/>
          <w:sz w:val="20"/>
        </w:rPr>
        <w:t> </w:t>
      </w:r>
      <w:r>
        <w:rPr>
          <w:rFonts w:ascii="Book Antiqua"/>
          <w:b/>
          <w:color w:val="231F20"/>
          <w:sz w:val="20"/>
        </w:rPr>
        <w:t>Available</w:t>
      </w:r>
      <w:r>
        <w:rPr>
          <w:rFonts w:ascii="Book Antiqua"/>
          <w:b/>
          <w:color w:val="231F20"/>
          <w:spacing w:val="13"/>
          <w:sz w:val="20"/>
        </w:rPr>
        <w:t> </w:t>
      </w:r>
      <w:r>
        <w:rPr>
          <w:rFonts w:ascii="Book Antiqua"/>
          <w:b/>
          <w:color w:val="231F20"/>
          <w:sz w:val="20"/>
        </w:rPr>
        <w:t>Members</w:t>
      </w:r>
      <w:r>
        <w:rPr>
          <w:rFonts w:ascii="Book Antiqua"/>
          <w:b/>
          <w:color w:val="231F20"/>
          <w:spacing w:val="13"/>
          <w:sz w:val="20"/>
        </w:rPr>
        <w:t> </w:t>
      </w:r>
      <w:r>
        <w:rPr>
          <w:color w:val="231F20"/>
          <w:sz w:val="20"/>
        </w:rPr>
        <w:t>and</w:t>
      </w:r>
      <w:r>
        <w:rPr>
          <w:color w:val="231F20"/>
          <w:spacing w:val="40"/>
          <w:sz w:val="20"/>
        </w:rPr>
        <w:t> </w:t>
      </w:r>
      <w:r>
        <w:rPr>
          <w:color w:val="231F20"/>
          <w:spacing w:val="15"/>
          <w:position w:val="1"/>
          <w:sz w:val="20"/>
        </w:rPr>
        <w:drawing>
          <wp:inline distT="0" distB="0" distL="0" distR="0">
            <wp:extent cx="44450" cy="76200"/>
            <wp:effectExtent l="0" t="0" r="0" b="0"/>
            <wp:docPr id="3068" name="Image 3068"/>
            <wp:cNvGraphicFramePr>
              <a:graphicFrameLocks/>
            </wp:cNvGraphicFramePr>
            <a:graphic>
              <a:graphicData uri="http://schemas.openxmlformats.org/drawingml/2006/picture">
                <pic:pic>
                  <pic:nvPicPr>
                    <pic:cNvPr id="3068" name="Image 3068"/>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move it to the </w:t>
      </w:r>
      <w:r>
        <w:rPr>
          <w:rFonts w:ascii="Book Antiqua"/>
          <w:b/>
          <w:color w:val="231F20"/>
          <w:sz w:val="20"/>
        </w:rPr>
        <w:t>Assigned Members </w:t>
      </w:r>
      <w:r>
        <w:rPr>
          <w:color w:val="231F20"/>
          <w:sz w:val="20"/>
        </w:rPr>
        <w:t>list. You can select multiple situations by holding down</w:t>
      </w:r>
      <w:r>
        <w:rPr>
          <w:color w:val="231F20"/>
          <w:spacing w:val="29"/>
          <w:sz w:val="20"/>
        </w:rPr>
        <w:t> </w:t>
      </w:r>
      <w:r>
        <w:rPr>
          <w:color w:val="231F20"/>
          <w:sz w:val="20"/>
        </w:rPr>
        <w:t>Ctrl</w:t>
      </w:r>
      <w:r>
        <w:rPr>
          <w:color w:val="231F20"/>
          <w:spacing w:val="29"/>
          <w:sz w:val="20"/>
        </w:rPr>
        <w:t> </w:t>
      </w:r>
      <w:r>
        <w:rPr>
          <w:color w:val="231F20"/>
          <w:sz w:val="20"/>
        </w:rPr>
        <w:t>while</w:t>
      </w:r>
      <w:r>
        <w:rPr>
          <w:color w:val="231F20"/>
          <w:spacing w:val="29"/>
          <w:sz w:val="20"/>
        </w:rPr>
        <w:t> </w:t>
      </w:r>
      <w:r>
        <w:rPr>
          <w:color w:val="231F20"/>
          <w:sz w:val="20"/>
        </w:rPr>
        <w:t>clicking;</w:t>
      </w:r>
      <w:r>
        <w:rPr>
          <w:color w:val="231F20"/>
          <w:spacing w:val="29"/>
          <w:sz w:val="20"/>
        </w:rPr>
        <w:t> </w:t>
      </w:r>
      <w:r>
        <w:rPr>
          <w:color w:val="231F20"/>
          <w:sz w:val="20"/>
        </w:rPr>
        <w:t>or</w:t>
      </w:r>
      <w:r>
        <w:rPr>
          <w:color w:val="231F20"/>
          <w:spacing w:val="29"/>
          <w:sz w:val="20"/>
        </w:rPr>
        <w:t> </w:t>
      </w:r>
      <w:r>
        <w:rPr>
          <w:color w:val="231F20"/>
          <w:sz w:val="20"/>
        </w:rPr>
        <w:t>use</w:t>
      </w:r>
      <w:r>
        <w:rPr>
          <w:color w:val="231F20"/>
          <w:spacing w:val="29"/>
          <w:sz w:val="20"/>
        </w:rPr>
        <w:t> </w:t>
      </w:r>
      <w:r>
        <w:rPr>
          <w:color w:val="231F20"/>
          <w:sz w:val="20"/>
        </w:rPr>
        <w:t>Shift+click</w:t>
      </w:r>
      <w:r>
        <w:rPr>
          <w:color w:val="231F20"/>
          <w:spacing w:val="29"/>
          <w:sz w:val="20"/>
        </w:rPr>
        <w:t> </w:t>
      </w:r>
      <w:r>
        <w:rPr>
          <w:color w:val="231F20"/>
          <w:sz w:val="20"/>
        </w:rPr>
        <w:t>to</w:t>
      </w:r>
      <w:r>
        <w:rPr>
          <w:color w:val="231F20"/>
          <w:spacing w:val="29"/>
          <w:sz w:val="20"/>
        </w:rPr>
        <w:t> </w:t>
      </w:r>
      <w:r>
        <w:rPr>
          <w:color w:val="231F20"/>
          <w:sz w:val="20"/>
        </w:rPr>
        <w:t>select</w:t>
      </w:r>
      <w:r>
        <w:rPr>
          <w:color w:val="231F20"/>
          <w:spacing w:val="29"/>
          <w:sz w:val="20"/>
        </w:rPr>
        <w:t> </w:t>
      </w:r>
      <w:r>
        <w:rPr>
          <w:color w:val="231F20"/>
          <w:sz w:val="20"/>
        </w:rPr>
        <w:t>all</w:t>
      </w:r>
      <w:r>
        <w:rPr>
          <w:color w:val="231F20"/>
          <w:spacing w:val="29"/>
          <w:sz w:val="20"/>
        </w:rPr>
        <w:t> </w:t>
      </w:r>
      <w:r>
        <w:rPr>
          <w:color w:val="231F20"/>
          <w:sz w:val="20"/>
        </w:rPr>
        <w:t>entries</w:t>
      </w:r>
      <w:r>
        <w:rPr>
          <w:color w:val="231F20"/>
          <w:spacing w:val="29"/>
          <w:sz w:val="20"/>
        </w:rPr>
        <w:t> </w:t>
      </w:r>
      <w:r>
        <w:rPr>
          <w:color w:val="231F20"/>
          <w:sz w:val="20"/>
        </w:rPr>
        <w:t>between</w:t>
      </w:r>
      <w:r>
        <w:rPr>
          <w:color w:val="231F20"/>
          <w:spacing w:val="29"/>
          <w:sz w:val="20"/>
        </w:rPr>
        <w:t> </w:t>
      </w:r>
      <w:r>
        <w:rPr>
          <w:color w:val="231F20"/>
          <w:sz w:val="20"/>
        </w:rPr>
        <w:t>this and the first selection.</w:t>
      </w:r>
    </w:p>
    <w:p>
      <w:pPr>
        <w:pStyle w:val="ListParagraph"/>
        <w:numPr>
          <w:ilvl w:val="1"/>
          <w:numId w:val="171"/>
        </w:numPr>
        <w:tabs>
          <w:tab w:pos="2788" w:val="left" w:leader="none"/>
        </w:tabs>
        <w:spacing w:line="213" w:lineRule="auto" w:before="57" w:after="0"/>
        <w:ind w:left="2788" w:right="355" w:hanging="316"/>
        <w:jc w:val="left"/>
        <w:rPr>
          <w:sz w:val="20"/>
        </w:rPr>
      </w:pPr>
      <w:r>
        <w:rPr>
          <w:color w:val="231F20"/>
          <w:sz w:val="20"/>
        </w:rPr>
        <w:t>If you have situation groups available and want to assign a group to this one, select a group and</w:t>
      </w:r>
      <w:r>
        <w:rPr>
          <w:color w:val="231F20"/>
          <w:spacing w:val="40"/>
          <w:sz w:val="20"/>
        </w:rPr>
        <w:t> </w:t>
      </w:r>
      <w:r>
        <w:rPr>
          <w:color w:val="231F20"/>
          <w:spacing w:val="16"/>
          <w:position w:val="1"/>
          <w:sz w:val="20"/>
        </w:rPr>
        <w:drawing>
          <wp:inline distT="0" distB="0" distL="0" distR="0">
            <wp:extent cx="44450" cy="76200"/>
            <wp:effectExtent l="0" t="0" r="0" b="0"/>
            <wp:docPr id="3069" name="Image 3069"/>
            <wp:cNvGraphicFramePr>
              <a:graphicFrameLocks/>
            </wp:cNvGraphicFramePr>
            <a:graphic>
              <a:graphicData uri="http://schemas.openxmlformats.org/drawingml/2006/picture">
                <pic:pic>
                  <pic:nvPicPr>
                    <pic:cNvPr id="3069" name="Image 3069"/>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color w:val="231F20"/>
          <w:sz w:val="20"/>
        </w:rPr>
        <w:t>move it to the </w:t>
      </w:r>
      <w:r>
        <w:rPr>
          <w:rFonts w:ascii="Book Antiqua"/>
          <w:b/>
          <w:color w:val="231F20"/>
          <w:sz w:val="20"/>
        </w:rPr>
        <w:t>Assigned Members </w:t>
      </w:r>
      <w:r>
        <w:rPr>
          <w:color w:val="231F20"/>
          <w:sz w:val="20"/>
        </w:rPr>
        <w:t>list. You can also</w:t>
      </w:r>
      <w:r>
        <w:rPr>
          <w:color w:val="231F20"/>
          <w:spacing w:val="40"/>
          <w:sz w:val="20"/>
        </w:rPr>
        <w:t> </w:t>
      </w:r>
      <w:r>
        <w:rPr>
          <w:color w:val="231F20"/>
          <w:sz w:val="20"/>
        </w:rPr>
        <w:t>assign situation groups from the </w:t>
      </w:r>
      <w:r>
        <w:rPr>
          <w:color w:val="231F20"/>
          <w:spacing w:val="-25"/>
          <w:position w:val="-1"/>
          <w:sz w:val="20"/>
        </w:rPr>
        <w:drawing>
          <wp:inline distT="0" distB="0" distL="0" distR="0">
            <wp:extent cx="88900" cy="88900"/>
            <wp:effectExtent l="0" t="0" r="0" b="0"/>
            <wp:docPr id="3070" name="Image 3070"/>
            <wp:cNvGraphicFramePr>
              <a:graphicFrameLocks/>
            </wp:cNvGraphicFramePr>
            <a:graphic>
              <a:graphicData uri="http://schemas.openxmlformats.org/drawingml/2006/picture">
                <pic:pic>
                  <pic:nvPicPr>
                    <pic:cNvPr id="3070" name="Image 3070"/>
                    <pic:cNvPicPr/>
                  </pic:nvPicPr>
                  <pic:blipFill>
                    <a:blip r:embed="rId355" cstate="print"/>
                    <a:stretch>
                      <a:fillRect/>
                    </a:stretch>
                  </pic:blipFill>
                  <pic:spPr>
                    <a:xfrm>
                      <a:off x="0" y="0"/>
                      <a:ext cx="88900" cy="88900"/>
                    </a:xfrm>
                    <a:prstGeom prst="rect">
                      <a:avLst/>
                    </a:prstGeom>
                  </pic:spPr>
                </pic:pic>
              </a:graphicData>
            </a:graphic>
          </wp:inline>
        </w:drawing>
      </w:r>
      <w:r>
        <w:rPr>
          <w:color w:val="231F20"/>
          <w:spacing w:val="-25"/>
          <w:position w:val="-1"/>
          <w:sz w:val="20"/>
        </w:rPr>
      </w:r>
      <w:r>
        <w:rPr>
          <w:rFonts w:ascii="Times New Roman"/>
          <w:color w:val="231F20"/>
          <w:spacing w:val="40"/>
          <w:sz w:val="20"/>
        </w:rPr>
        <w:t> </w:t>
      </w:r>
      <w:r>
        <w:rPr>
          <w:rFonts w:ascii="Book Antiqua"/>
          <w:b/>
          <w:color w:val="231F20"/>
          <w:sz w:val="20"/>
        </w:rPr>
        <w:t>Member of </w:t>
      </w:r>
      <w:r>
        <w:rPr>
          <w:color w:val="231F20"/>
          <w:sz w:val="20"/>
        </w:rPr>
        <w:t>tab.</w:t>
      </w:r>
    </w:p>
    <w:p>
      <w:pPr>
        <w:pStyle w:val="ListParagraph"/>
        <w:numPr>
          <w:ilvl w:val="1"/>
          <w:numId w:val="171"/>
        </w:numPr>
        <w:tabs>
          <w:tab w:pos="2788" w:val="left" w:leader="none"/>
        </w:tabs>
        <w:spacing w:line="213" w:lineRule="auto" w:before="58" w:after="0"/>
        <w:ind w:left="2788" w:right="502" w:hanging="316"/>
        <w:jc w:val="left"/>
        <w:rPr>
          <w:sz w:val="20"/>
        </w:rPr>
      </w:pPr>
      <w:r>
        <w:rPr>
          <w:color w:val="231F20"/>
          <w:sz w:val="20"/>
        </w:rPr>
        <w:t>In the </w:t>
      </w:r>
      <w:r>
        <w:rPr>
          <w:rFonts w:ascii="Book Antiqua"/>
          <w:b/>
          <w:color w:val="231F20"/>
          <w:sz w:val="20"/>
        </w:rPr>
        <w:t>Distributions </w:t>
      </w:r>
      <w:r>
        <w:rPr>
          <w:color w:val="231F20"/>
          <w:sz w:val="20"/>
        </w:rPr>
        <w:t>tab, select the managed systems and managed system groups to assign and</w:t>
      </w:r>
      <w:r>
        <w:rPr>
          <w:color w:val="231F20"/>
          <w:spacing w:val="40"/>
          <w:sz w:val="20"/>
        </w:rPr>
        <w:t> </w:t>
      </w:r>
      <w:r>
        <w:rPr>
          <w:color w:val="231F20"/>
          <w:spacing w:val="15"/>
          <w:position w:val="1"/>
          <w:sz w:val="20"/>
        </w:rPr>
        <w:drawing>
          <wp:inline distT="0" distB="0" distL="0" distR="0">
            <wp:extent cx="44450" cy="76200"/>
            <wp:effectExtent l="0" t="0" r="0" b="0"/>
            <wp:docPr id="3071" name="Image 3071"/>
            <wp:cNvGraphicFramePr>
              <a:graphicFrameLocks/>
            </wp:cNvGraphicFramePr>
            <a:graphic>
              <a:graphicData uri="http://schemas.openxmlformats.org/drawingml/2006/picture">
                <pic:pic>
                  <pic:nvPicPr>
                    <pic:cNvPr id="3071" name="Image 3071"/>
                    <pic:cNvPicPr/>
                  </pic:nvPicPr>
                  <pic:blipFill>
                    <a:blip r:embed="rId153" cstate="print"/>
                    <a:stretch>
                      <a:fillRect/>
                    </a:stretch>
                  </pic:blipFill>
                  <pic:spPr>
                    <a:xfrm>
                      <a:off x="0" y="0"/>
                      <a:ext cx="44450" cy="762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move them to </w:t>
      </w:r>
      <w:r>
        <w:rPr>
          <w:rFonts w:ascii="Book Antiqua"/>
          <w:b/>
          <w:color w:val="231F20"/>
          <w:sz w:val="20"/>
        </w:rPr>
        <w:t>Assigned managed systems</w:t>
      </w:r>
      <w:r>
        <w:rPr>
          <w:color w:val="231F20"/>
          <w:sz w:val="20"/>
        </w:rPr>
        <w:t>. You can</w:t>
      </w:r>
    </w:p>
    <w:p>
      <w:pPr>
        <w:spacing w:after="0" w:line="213" w:lineRule="auto"/>
        <w:jc w:val="left"/>
        <w:rPr>
          <w:sz w:val="20"/>
        </w:rPr>
        <w:sectPr>
          <w:pgSz w:w="12240" w:h="15840"/>
          <w:pgMar w:header="0" w:footer="736" w:top="1180" w:bottom="920" w:left="1000" w:right="1060"/>
        </w:sectPr>
      </w:pPr>
    </w:p>
    <w:p>
      <w:pPr>
        <w:spacing w:line="213" w:lineRule="auto" w:before="85"/>
        <w:ind w:left="2548" w:right="493" w:firstLine="0"/>
        <w:jc w:val="left"/>
        <w:rPr>
          <w:sz w:val="20"/>
        </w:rPr>
      </w:pPr>
      <w:bookmarkStart w:name="_bookmark296" w:id="611"/>
      <w:bookmarkEnd w:id="611"/>
      <w:r>
        <w:rPr/>
      </w:r>
      <w:r>
        <w:rPr>
          <w:color w:val="231F20"/>
          <w:sz w:val="20"/>
        </w:rPr>
        <w:t>select a managed system group to see its constituent objects in the </w:t>
      </w:r>
      <w:r>
        <w:rPr>
          <w:rFonts w:ascii="Book Antiqua"/>
          <w:b/>
          <w:color w:val="231F20"/>
          <w:sz w:val="20"/>
        </w:rPr>
        <w:t>Selected Assigned Object Members </w:t>
      </w:r>
      <w:r>
        <w:rPr>
          <w:color w:val="231F20"/>
          <w:sz w:val="20"/>
        </w:rPr>
        <w:t>or </w:t>
      </w:r>
      <w:r>
        <w:rPr>
          <w:rFonts w:ascii="Book Antiqua"/>
          <w:b/>
          <w:color w:val="231F20"/>
          <w:sz w:val="20"/>
        </w:rPr>
        <w:t>Selected Available Object Members </w:t>
      </w:r>
      <w:r>
        <w:rPr>
          <w:color w:val="231F20"/>
          <w:sz w:val="20"/>
        </w:rPr>
        <w:t>list.</w:t>
      </w:r>
    </w:p>
    <w:p>
      <w:pPr>
        <w:pStyle w:val="ListParagraph"/>
        <w:numPr>
          <w:ilvl w:val="1"/>
          <w:numId w:val="171"/>
        </w:numPr>
        <w:tabs>
          <w:tab w:pos="2547" w:val="left" w:leader="none"/>
        </w:tabs>
        <w:spacing w:line="255" w:lineRule="exact" w:before="35" w:after="0"/>
        <w:ind w:left="2547" w:right="0" w:hanging="315"/>
        <w:jc w:val="left"/>
        <w:rPr>
          <w:sz w:val="20"/>
        </w:rPr>
      </w:pPr>
      <w:r>
        <w:rPr>
          <w:color w:val="231F20"/>
          <w:sz w:val="20"/>
        </w:rPr>
        <w:t>Save</w:t>
      </w:r>
      <w:r>
        <w:rPr>
          <w:color w:val="231F20"/>
          <w:spacing w:val="11"/>
          <w:sz w:val="20"/>
        </w:rPr>
        <w:t> </w:t>
      </w:r>
      <w:r>
        <w:rPr>
          <w:color w:val="231F20"/>
          <w:sz w:val="20"/>
        </w:rPr>
        <w:t>your</w:t>
      </w:r>
      <w:r>
        <w:rPr>
          <w:color w:val="231F20"/>
          <w:spacing w:val="12"/>
          <w:sz w:val="20"/>
        </w:rPr>
        <w:t> </w:t>
      </w:r>
      <w:r>
        <w:rPr>
          <w:color w:val="231F20"/>
          <w:sz w:val="20"/>
        </w:rPr>
        <w:t>changes</w:t>
      </w:r>
      <w:r>
        <w:rPr>
          <w:color w:val="231F20"/>
          <w:spacing w:val="12"/>
          <w:sz w:val="20"/>
        </w:rPr>
        <w:t> </w:t>
      </w:r>
      <w:r>
        <w:rPr>
          <w:color w:val="231F20"/>
          <w:sz w:val="20"/>
        </w:rPr>
        <w:t>and</w:t>
      </w:r>
      <w:r>
        <w:rPr>
          <w:color w:val="231F20"/>
          <w:spacing w:val="11"/>
          <w:sz w:val="20"/>
        </w:rPr>
        <w:t> </w:t>
      </w:r>
      <w:r>
        <w:rPr>
          <w:color w:val="231F20"/>
          <w:sz w:val="20"/>
        </w:rPr>
        <w:t>either</w:t>
      </w:r>
      <w:r>
        <w:rPr>
          <w:color w:val="231F20"/>
          <w:spacing w:val="12"/>
          <w:sz w:val="20"/>
        </w:rPr>
        <w:t> </w:t>
      </w:r>
      <w:r>
        <w:rPr>
          <w:color w:val="231F20"/>
          <w:sz w:val="20"/>
        </w:rPr>
        <w:t>keep</w:t>
      </w:r>
      <w:r>
        <w:rPr>
          <w:color w:val="231F20"/>
          <w:spacing w:val="12"/>
          <w:sz w:val="20"/>
        </w:rPr>
        <w:t> </w:t>
      </w:r>
      <w:r>
        <w:rPr>
          <w:color w:val="231F20"/>
          <w:sz w:val="20"/>
        </w:rPr>
        <w:t>the</w:t>
      </w:r>
      <w:r>
        <w:rPr>
          <w:color w:val="231F20"/>
          <w:spacing w:val="12"/>
          <w:sz w:val="20"/>
        </w:rPr>
        <w:t> </w:t>
      </w:r>
      <w:r>
        <w:rPr>
          <w:color w:val="231F20"/>
          <w:sz w:val="20"/>
        </w:rPr>
        <w:t>editor</w:t>
      </w:r>
      <w:r>
        <w:rPr>
          <w:color w:val="231F20"/>
          <w:spacing w:val="11"/>
          <w:sz w:val="20"/>
        </w:rPr>
        <w:t> </w:t>
      </w:r>
      <w:r>
        <w:rPr>
          <w:color w:val="231F20"/>
          <w:sz w:val="20"/>
        </w:rPr>
        <w:t>open</w:t>
      </w:r>
      <w:r>
        <w:rPr>
          <w:color w:val="231F20"/>
          <w:spacing w:val="12"/>
          <w:sz w:val="20"/>
        </w:rPr>
        <w:t> </w:t>
      </w:r>
      <w:r>
        <w:rPr>
          <w:color w:val="231F20"/>
          <w:sz w:val="20"/>
        </w:rPr>
        <w:t>with</w:t>
      </w:r>
      <w:r>
        <w:rPr>
          <w:color w:val="231F20"/>
          <w:spacing w:val="12"/>
          <w:sz w:val="20"/>
        </w:rPr>
        <w:t> </w:t>
      </w:r>
      <w:r>
        <w:rPr>
          <w:rFonts w:ascii="Book Antiqua"/>
          <w:b/>
          <w:color w:val="231F20"/>
          <w:sz w:val="20"/>
        </w:rPr>
        <w:t>Apply</w:t>
      </w:r>
      <w:r>
        <w:rPr>
          <w:rFonts w:ascii="Book Antiqua"/>
          <w:b/>
          <w:color w:val="231F20"/>
          <w:spacing w:val="11"/>
          <w:sz w:val="20"/>
        </w:rPr>
        <w:t> </w:t>
      </w:r>
      <w:r>
        <w:rPr>
          <w:color w:val="231F20"/>
          <w:sz w:val="20"/>
        </w:rPr>
        <w:t>or</w:t>
      </w:r>
      <w:r>
        <w:rPr>
          <w:color w:val="231F20"/>
          <w:spacing w:val="12"/>
          <w:sz w:val="20"/>
        </w:rPr>
        <w:t> </w:t>
      </w:r>
      <w:r>
        <w:rPr>
          <w:color w:val="231F20"/>
          <w:sz w:val="20"/>
        </w:rPr>
        <w:t>exit</w:t>
      </w:r>
      <w:r>
        <w:rPr>
          <w:color w:val="231F20"/>
          <w:spacing w:val="12"/>
          <w:sz w:val="20"/>
        </w:rPr>
        <w:t> </w:t>
      </w:r>
      <w:r>
        <w:rPr>
          <w:color w:val="231F20"/>
          <w:spacing w:val="-4"/>
          <w:sz w:val="20"/>
        </w:rPr>
        <w:t>with</w:t>
      </w:r>
    </w:p>
    <w:p>
      <w:pPr>
        <w:spacing w:line="255" w:lineRule="exact" w:before="0"/>
        <w:ind w:left="2548" w:right="0" w:firstLine="0"/>
        <w:jc w:val="left"/>
        <w:rPr>
          <w:sz w:val="20"/>
        </w:rPr>
      </w:pPr>
      <w:r>
        <w:rPr>
          <w:rFonts w:ascii="Book Antiqua"/>
          <w:b/>
          <w:color w:val="231F20"/>
          <w:spacing w:val="-5"/>
          <w:sz w:val="20"/>
        </w:rPr>
        <w:t>OK</w:t>
      </w:r>
      <w:r>
        <w:rPr>
          <w:color w:val="231F20"/>
          <w:spacing w:val="-5"/>
          <w:sz w:val="20"/>
        </w:rPr>
        <w:t>.</w:t>
      </w:r>
    </w:p>
    <w:p>
      <w:pPr>
        <w:pStyle w:val="Heading4"/>
        <w:spacing w:before="194"/>
      </w:pPr>
      <w:r>
        <w:rPr>
          <w:color w:val="231F20"/>
          <w:spacing w:val="-2"/>
        </w:rPr>
        <w:t>Results</w:t>
      </w:r>
    </w:p>
    <w:p>
      <w:pPr>
        <w:pStyle w:val="BodyText"/>
        <w:spacing w:line="213" w:lineRule="auto" w:before="241"/>
        <w:ind w:left="2232" w:right="636"/>
      </w:pPr>
      <w:r>
        <w:rPr>
          <w:color w:val="231F20"/>
        </w:rPr>
        <w:t>The situations that belong to this group are distributed to the managed </w:t>
      </w:r>
      <w:r>
        <w:rPr>
          <w:color w:val="231F20"/>
        </w:rPr>
        <w:t>systems that were assigned.</w:t>
      </w:r>
    </w:p>
    <w:p>
      <w:pPr>
        <w:pStyle w:val="Heading4"/>
      </w:pPr>
      <w:r>
        <w:rPr>
          <w:color w:val="231F20"/>
        </w:rPr>
        <w:t>What</w:t>
      </w:r>
      <w:r>
        <w:rPr>
          <w:color w:val="231F20"/>
          <w:spacing w:val="9"/>
        </w:rPr>
        <w:t> </w:t>
      </w:r>
      <w:r>
        <w:rPr>
          <w:color w:val="231F20"/>
        </w:rPr>
        <w:t>to</w:t>
      </w:r>
      <w:r>
        <w:rPr>
          <w:color w:val="231F20"/>
          <w:spacing w:val="9"/>
        </w:rPr>
        <w:t> </w:t>
      </w:r>
      <w:r>
        <w:rPr>
          <w:color w:val="231F20"/>
        </w:rPr>
        <w:t>do</w:t>
      </w:r>
      <w:r>
        <w:rPr>
          <w:color w:val="231F20"/>
          <w:spacing w:val="9"/>
        </w:rPr>
        <w:t> </w:t>
      </w:r>
      <w:r>
        <w:rPr>
          <w:color w:val="231F20"/>
          <w:spacing w:val="-4"/>
        </w:rPr>
        <w:t>next</w:t>
      </w:r>
    </w:p>
    <w:p>
      <w:pPr>
        <w:pStyle w:val="BodyText"/>
        <w:spacing w:line="213" w:lineRule="auto" w:before="241"/>
        <w:ind w:left="2232" w:right="545"/>
      </w:pPr>
      <w:r>
        <w:rPr>
          <w:color w:val="231F20"/>
        </w:rPr>
        <w:t>When you view the distribution of a member situation in the Situation editor, </w:t>
      </w:r>
      <w:r>
        <w:rPr>
          <w:color w:val="231F20"/>
        </w:rPr>
        <w:t>any managed systems that were assigned to the group distribution will be disabled (dimmed). You can right-click a disabled item in the Assigned list and click Show Groups to see the situation groups that the managed system or managed system group is a member of.</w:t>
      </w:r>
    </w:p>
    <w:p>
      <w:pPr>
        <w:pStyle w:val="BodyText"/>
        <w:spacing w:line="257" w:lineRule="exact" w:before="213"/>
        <w:ind w:left="2232"/>
      </w:pPr>
      <w:r>
        <w:rPr>
          <w:color w:val="231F20"/>
        </w:rPr>
        <w:t>Whenever</w:t>
      </w:r>
      <w:r>
        <w:rPr>
          <w:color w:val="231F20"/>
          <w:spacing w:val="11"/>
        </w:rPr>
        <w:t> </w:t>
      </w:r>
      <w:r>
        <w:rPr>
          <w:color w:val="231F20"/>
        </w:rPr>
        <w:t>you</w:t>
      </w:r>
      <w:r>
        <w:rPr>
          <w:color w:val="231F20"/>
          <w:spacing w:val="11"/>
        </w:rPr>
        <w:t> </w:t>
      </w:r>
      <w:r>
        <w:rPr>
          <w:color w:val="231F20"/>
        </w:rPr>
        <w:t>create</w:t>
      </w:r>
      <w:r>
        <w:rPr>
          <w:color w:val="231F20"/>
          <w:spacing w:val="11"/>
        </w:rPr>
        <w:t> </w:t>
      </w:r>
      <w:r>
        <w:rPr>
          <w:color w:val="231F20"/>
        </w:rPr>
        <w:t>a</w:t>
      </w:r>
      <w:r>
        <w:rPr>
          <w:color w:val="231F20"/>
          <w:spacing w:val="11"/>
        </w:rPr>
        <w:t> </w:t>
      </w:r>
      <w:r>
        <w:rPr>
          <w:color w:val="231F20"/>
        </w:rPr>
        <w:t>situation</w:t>
      </w:r>
      <w:r>
        <w:rPr>
          <w:color w:val="231F20"/>
          <w:spacing w:val="11"/>
        </w:rPr>
        <w:t> </w:t>
      </w:r>
      <w:r>
        <w:rPr>
          <w:color w:val="231F20"/>
        </w:rPr>
        <w:t>that</w:t>
      </w:r>
      <w:r>
        <w:rPr>
          <w:color w:val="231F20"/>
          <w:spacing w:val="11"/>
        </w:rPr>
        <w:t> </w:t>
      </w:r>
      <w:r>
        <w:rPr>
          <w:color w:val="231F20"/>
        </w:rPr>
        <w:t>you</w:t>
      </w:r>
      <w:r>
        <w:rPr>
          <w:color w:val="231F20"/>
          <w:spacing w:val="11"/>
        </w:rPr>
        <w:t> </w:t>
      </w:r>
      <w:r>
        <w:rPr>
          <w:color w:val="231F20"/>
        </w:rPr>
        <w:t>want</w:t>
      </w:r>
      <w:r>
        <w:rPr>
          <w:color w:val="231F20"/>
          <w:spacing w:val="11"/>
        </w:rPr>
        <w:t> </w:t>
      </w:r>
      <w:r>
        <w:rPr>
          <w:color w:val="231F20"/>
        </w:rPr>
        <w:t>to</w:t>
      </w:r>
      <w:r>
        <w:rPr>
          <w:color w:val="231F20"/>
          <w:spacing w:val="11"/>
        </w:rPr>
        <w:t> </w:t>
      </w:r>
      <w:r>
        <w:rPr>
          <w:color w:val="231F20"/>
        </w:rPr>
        <w:t>add</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group,</w:t>
      </w:r>
      <w:r>
        <w:rPr>
          <w:color w:val="231F20"/>
          <w:spacing w:val="11"/>
        </w:rPr>
        <w:t> </w:t>
      </w:r>
      <w:r>
        <w:rPr>
          <w:color w:val="231F20"/>
          <w:spacing w:val="-2"/>
        </w:rPr>
        <w:t>click</w:t>
      </w:r>
    </w:p>
    <w:p>
      <w:pPr>
        <w:spacing w:line="257" w:lineRule="exact" w:before="0"/>
        <w:ind w:left="2232" w:right="0" w:firstLine="0"/>
        <w:jc w:val="left"/>
        <w:rPr>
          <w:sz w:val="20"/>
        </w:rPr>
      </w:pPr>
      <w:r>
        <w:rPr>
          <w:rFonts w:ascii="Book Antiqua"/>
          <w:b/>
          <w:color w:val="231F20"/>
          <w:sz w:val="20"/>
        </w:rPr>
        <w:t>Group</w:t>
      </w:r>
      <w:r>
        <w:rPr>
          <w:color w:val="231F20"/>
          <w:sz w:val="20"/>
        </w:rPr>
        <w:t>,</w:t>
      </w:r>
      <w:r>
        <w:rPr>
          <w:color w:val="231F20"/>
          <w:spacing w:val="9"/>
          <w:sz w:val="20"/>
        </w:rPr>
        <w:t> </w:t>
      </w:r>
      <w:r>
        <w:rPr>
          <w:color w:val="231F20"/>
          <w:sz w:val="20"/>
        </w:rPr>
        <w:t>then</w:t>
      </w:r>
      <w:r>
        <w:rPr>
          <w:color w:val="231F20"/>
          <w:spacing w:val="11"/>
          <w:sz w:val="20"/>
        </w:rPr>
        <w:t> </w:t>
      </w:r>
      <w:r>
        <w:rPr>
          <w:color w:val="231F20"/>
          <w:spacing w:val="16"/>
          <w:sz w:val="20"/>
        </w:rPr>
        <w:drawing>
          <wp:inline distT="0" distB="0" distL="0" distR="0">
            <wp:extent cx="88900" cy="82550"/>
            <wp:effectExtent l="0" t="0" r="0" b="0"/>
            <wp:docPr id="3072" name="Image 3072"/>
            <wp:cNvGraphicFramePr>
              <a:graphicFrameLocks/>
            </wp:cNvGraphicFramePr>
            <a:graphic>
              <a:graphicData uri="http://schemas.openxmlformats.org/drawingml/2006/picture">
                <pic:pic>
                  <pic:nvPicPr>
                    <pic:cNvPr id="3072" name="Image 3072"/>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7"/>
          <w:sz w:val="20"/>
        </w:rPr>
        <w:t> </w:t>
      </w:r>
      <w:r>
        <w:rPr>
          <w:rFonts w:ascii="Book Antiqua"/>
          <w:b/>
          <w:color w:val="231F20"/>
          <w:sz w:val="20"/>
        </w:rPr>
        <w:t>Update</w:t>
      </w:r>
      <w:r>
        <w:rPr>
          <w:rFonts w:ascii="Book Antiqua"/>
          <w:b/>
          <w:color w:val="231F20"/>
          <w:spacing w:val="12"/>
          <w:sz w:val="20"/>
        </w:rPr>
        <w:t> </w:t>
      </w:r>
      <w:r>
        <w:rPr>
          <w:rFonts w:ascii="Book Antiqua"/>
          <w:b/>
          <w:color w:val="231F20"/>
          <w:sz w:val="20"/>
        </w:rPr>
        <w:t>an</w:t>
      </w:r>
      <w:r>
        <w:rPr>
          <w:rFonts w:ascii="Book Antiqua"/>
          <w:b/>
          <w:color w:val="231F20"/>
          <w:spacing w:val="11"/>
          <w:sz w:val="20"/>
        </w:rPr>
        <w:t> </w:t>
      </w:r>
      <w:r>
        <w:rPr>
          <w:rFonts w:ascii="Book Antiqua"/>
          <w:b/>
          <w:color w:val="231F20"/>
          <w:sz w:val="20"/>
        </w:rPr>
        <w:t>existing</w:t>
      </w:r>
      <w:r>
        <w:rPr>
          <w:rFonts w:ascii="Book Antiqua"/>
          <w:b/>
          <w:color w:val="231F20"/>
          <w:spacing w:val="12"/>
          <w:sz w:val="20"/>
        </w:rPr>
        <w:t> </w:t>
      </w:r>
      <w:r>
        <w:rPr>
          <w:rFonts w:ascii="Book Antiqua"/>
          <w:b/>
          <w:color w:val="231F20"/>
          <w:sz w:val="20"/>
        </w:rPr>
        <w:t>object</w:t>
      </w:r>
      <w:r>
        <w:rPr>
          <w:rFonts w:ascii="Book Antiqua"/>
          <w:b/>
          <w:color w:val="231F20"/>
          <w:spacing w:val="11"/>
          <w:sz w:val="20"/>
        </w:rPr>
        <w:t> </w:t>
      </w:r>
      <w:r>
        <w:rPr>
          <w:rFonts w:ascii="Book Antiqua"/>
          <w:b/>
          <w:color w:val="231F20"/>
          <w:sz w:val="20"/>
        </w:rPr>
        <w:t>group</w:t>
      </w:r>
      <w:r>
        <w:rPr>
          <w:rFonts w:ascii="Book Antiqua"/>
          <w:b/>
          <w:color w:val="231F20"/>
          <w:spacing w:val="12"/>
          <w:sz w:val="20"/>
        </w:rPr>
        <w:t> </w:t>
      </w:r>
      <w:r>
        <w:rPr>
          <w:color w:val="231F20"/>
          <w:sz w:val="20"/>
        </w:rPr>
        <w:t>to</w:t>
      </w:r>
      <w:r>
        <w:rPr>
          <w:color w:val="231F20"/>
          <w:spacing w:val="11"/>
          <w:sz w:val="20"/>
        </w:rPr>
        <w:t> </w:t>
      </w:r>
      <w:r>
        <w:rPr>
          <w:color w:val="231F20"/>
          <w:sz w:val="20"/>
        </w:rPr>
        <w:t>add</w:t>
      </w:r>
      <w:r>
        <w:rPr>
          <w:color w:val="231F20"/>
          <w:spacing w:val="12"/>
          <w:sz w:val="20"/>
        </w:rPr>
        <w:t> </w:t>
      </w:r>
      <w:r>
        <w:rPr>
          <w:color w:val="231F20"/>
          <w:spacing w:val="-5"/>
          <w:sz w:val="20"/>
        </w:rPr>
        <w:t>it.</w:t>
      </w:r>
    </w:p>
    <w:p>
      <w:pPr>
        <w:pStyle w:val="BodyText"/>
        <w:spacing w:before="8"/>
        <w:rPr>
          <w:sz w:val="15"/>
        </w:rPr>
      </w:pPr>
      <w:r>
        <w:rPr/>
        <mc:AlternateContent>
          <mc:Choice Requires="wps">
            <w:drawing>
              <wp:anchor distT="0" distB="0" distL="0" distR="0" allowOverlap="1" layoutInCell="1" locked="0" behindDoc="1" simplePos="0" relativeHeight="487741952">
                <wp:simplePos x="0" y="0"/>
                <wp:positionH relativeFrom="page">
                  <wp:posOffset>760323</wp:posOffset>
                </wp:positionH>
                <wp:positionV relativeFrom="paragraph">
                  <wp:posOffset>149301</wp:posOffset>
                </wp:positionV>
                <wp:extent cx="6082665" cy="1270"/>
                <wp:effectExtent l="0" t="0" r="0" b="0"/>
                <wp:wrapTopAndBottom/>
                <wp:docPr id="3073" name="Graphic 3073"/>
                <wp:cNvGraphicFramePr>
                  <a:graphicFrameLocks/>
                </wp:cNvGraphicFramePr>
                <a:graphic>
                  <a:graphicData uri="http://schemas.microsoft.com/office/word/2010/wordprocessingShape">
                    <wps:wsp>
                      <wps:cNvPr id="3073" name="Graphic 3073"/>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756037pt;width:478.95pt;height:.1pt;mso-position-horizontal-relative:page;mso-position-vertical-relative:paragraph;z-index:-15574528;mso-wrap-distance-left:0;mso-wrap-distance-right:0" id="docshape250" coordorigin="1197,235" coordsize="9579,0" path="m1197,235l10776,235e" filled="false" stroked="true" strokeweight=".499pt" strokecolor="#231f20">
                <v:path arrowok="t"/>
                <v:stroke dashstyle="solid"/>
                <w10:wrap type="topAndBottom"/>
              </v:shape>
            </w:pict>
          </mc:Fallback>
        </mc:AlternateContent>
      </w:r>
    </w:p>
    <w:p>
      <w:pPr>
        <w:pStyle w:val="Heading3"/>
        <w:ind w:left="197"/>
      </w:pPr>
      <w:bookmarkStart w:name="Managed system status" w:id="612"/>
      <w:bookmarkEnd w:id="612"/>
      <w:r>
        <w:rPr>
          <w:b w:val="0"/>
        </w:rPr>
      </w:r>
      <w:r>
        <w:rPr>
          <w:color w:val="231F20"/>
        </w:rPr>
        <w:t>Managed</w:t>
      </w:r>
      <w:r>
        <w:rPr>
          <w:color w:val="231F20"/>
          <w:spacing w:val="4"/>
        </w:rPr>
        <w:t> </w:t>
      </w:r>
      <w:r>
        <w:rPr>
          <w:color w:val="231F20"/>
        </w:rPr>
        <w:t>system</w:t>
      </w:r>
      <w:r>
        <w:rPr>
          <w:color w:val="231F20"/>
          <w:spacing w:val="4"/>
        </w:rPr>
        <w:t> </w:t>
      </w:r>
      <w:r>
        <w:rPr>
          <w:color w:val="231F20"/>
          <w:spacing w:val="-2"/>
        </w:rPr>
        <w:t>status</w:t>
      </w:r>
    </w:p>
    <w:p>
      <w:pPr>
        <w:pStyle w:val="BodyText"/>
        <w:spacing w:line="213" w:lineRule="auto" w:before="138"/>
        <w:ind w:left="2232" w:right="544"/>
      </w:pPr>
      <w:r>
        <w:rPr>
          <w:color w:val="231F20"/>
        </w:rPr>
        <w:t>The Tivoli Enterprise Portal dynamically builds the Navigator Physical view to show all the managed systems connected to the hub monitoring server and any remote monitoring servers, and their availability. Workspaces and situations at </w:t>
      </w:r>
      <w:r>
        <w:rPr>
          <w:color w:val="231F20"/>
        </w:rPr>
        <w:t>the Enterprise level keep you apprised of managed system status.</w:t>
      </w:r>
    </w:p>
    <w:p>
      <w:pPr>
        <w:pStyle w:val="BodyText"/>
        <w:spacing w:line="213" w:lineRule="auto" w:before="237"/>
        <w:ind w:left="2232" w:right="636"/>
      </w:pPr>
      <w:r>
        <w:rPr>
          <w:color w:val="231F20"/>
        </w:rPr>
        <w:t>You can always see the availability of an agent in the Navigator. Offline monitoring agents are dimmed, such as the Universal Database shown </w:t>
      </w:r>
      <w:r>
        <w:rPr>
          <w:color w:val="231F20"/>
        </w:rPr>
        <w:t>here:</w:t>
      </w:r>
    </w:p>
    <w:p>
      <w:pPr>
        <w:pStyle w:val="BodyText"/>
        <w:spacing w:before="36"/>
        <w:ind w:left="2532"/>
      </w:pPr>
      <w:r>
        <w:rPr>
          <w:position w:val="-1"/>
        </w:rPr>
        <w:drawing>
          <wp:inline distT="0" distB="0" distL="0" distR="0">
            <wp:extent cx="95250" cy="101600"/>
            <wp:effectExtent l="0" t="0" r="0" b="0"/>
            <wp:docPr id="3074" name="Image 3074"/>
            <wp:cNvGraphicFramePr>
              <a:graphicFrameLocks/>
            </wp:cNvGraphicFramePr>
            <a:graphic>
              <a:graphicData uri="http://schemas.openxmlformats.org/drawingml/2006/picture">
                <pic:pic>
                  <pic:nvPicPr>
                    <pic:cNvPr id="3074" name="Image 3074"/>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66" w:lineRule="auto" w:before="29"/>
        <w:ind w:left="3130" w:right="5295" w:hanging="200"/>
      </w:pPr>
      <w:r>
        <w:rPr>
          <w:position w:val="-1"/>
        </w:rPr>
        <w:drawing>
          <wp:inline distT="0" distB="0" distL="0" distR="0">
            <wp:extent cx="101600" cy="95250"/>
            <wp:effectExtent l="0" t="0" r="0" b="0"/>
            <wp:docPr id="3075" name="Image 3075"/>
            <wp:cNvGraphicFramePr>
              <a:graphicFrameLocks/>
            </wp:cNvGraphicFramePr>
            <a:graphic>
              <a:graphicData uri="http://schemas.openxmlformats.org/drawingml/2006/picture">
                <pic:pic>
                  <pic:nvPicPr>
                    <pic:cNvPr id="3075" name="Image 3075"/>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Systems </w:t>
      </w:r>
      <w:r>
        <w:rPr>
          <w:color w:val="231F20"/>
          <w:position w:val="-1"/>
        </w:rPr>
        <w:drawing>
          <wp:inline distT="0" distB="0" distL="0" distR="0">
            <wp:extent cx="101600" cy="95250"/>
            <wp:effectExtent l="0" t="0" r="0" b="0"/>
            <wp:docPr id="3076" name="Image 3076"/>
            <wp:cNvGraphicFramePr>
              <a:graphicFrameLocks/>
            </wp:cNvGraphicFramePr>
            <a:graphic>
              <a:graphicData uri="http://schemas.openxmlformats.org/drawingml/2006/picture">
                <pic:pic>
                  <pic:nvPicPr>
                    <pic:cNvPr id="3076" name="Image 3076"/>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MyComputer</w:t>
      </w:r>
    </w:p>
    <w:p>
      <w:pPr>
        <w:pStyle w:val="BodyText"/>
        <w:spacing w:line="266" w:lineRule="auto"/>
        <w:ind w:left="3340" w:right="4803" w:hanging="10"/>
      </w:pPr>
      <w:r>
        <w:rPr>
          <w:position w:val="-1"/>
        </w:rPr>
        <w:drawing>
          <wp:inline distT="0" distB="0" distL="0" distR="0">
            <wp:extent cx="101600" cy="95250"/>
            <wp:effectExtent l="0" t="0" r="0" b="0"/>
            <wp:docPr id="3077" name="Image 3077"/>
            <wp:cNvGraphicFramePr>
              <a:graphicFrameLocks/>
            </wp:cNvGraphicFramePr>
            <a:graphic>
              <a:graphicData uri="http://schemas.openxmlformats.org/drawingml/2006/picture">
                <pic:pic>
                  <pic:nvPicPr>
                    <pic:cNvPr id="3077" name="Image 3077"/>
                    <pic:cNvPicPr/>
                  </pic:nvPicPr>
                  <pic:blipFill>
                    <a:blip r:embed="rId13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9"/>
        </w:rPr>
        <w:t> </w:t>
      </w:r>
      <w:r>
        <w:rPr>
          <w:color w:val="231F20"/>
        </w:rPr>
        <w:t>Universal </w:t>
      </w:r>
      <w:r>
        <w:rPr>
          <w:color w:val="231F20"/>
        </w:rPr>
        <w:t>Database </w:t>
      </w:r>
      <w:r>
        <w:rPr>
          <w:color w:val="231F20"/>
          <w:position w:val="-1"/>
        </w:rPr>
        <w:drawing>
          <wp:inline distT="0" distB="0" distL="0" distR="0">
            <wp:extent cx="95250" cy="95250"/>
            <wp:effectExtent l="0" t="0" r="0" b="0"/>
            <wp:docPr id="3078" name="Image 3078"/>
            <wp:cNvGraphicFramePr>
              <a:graphicFrameLocks/>
            </wp:cNvGraphicFramePr>
            <a:graphic>
              <a:graphicData uri="http://schemas.openxmlformats.org/drawingml/2006/picture">
                <pic:pic>
                  <pic:nvPicPr>
                    <pic:cNvPr id="3078" name="Image 3078"/>
                    <pic:cNvPicPr/>
                  </pic:nvPicPr>
                  <pic:blipFill>
                    <a:blip r:embed="rId84" cstate="print"/>
                    <a:stretch>
                      <a:fillRect/>
                    </a:stretch>
                  </pic:blipFill>
                  <pic:spPr>
                    <a:xfrm>
                      <a:off x="0" y="0"/>
                      <a:ext cx="95250" cy="95250"/>
                    </a:xfrm>
                    <a:prstGeom prst="rect">
                      <a:avLst/>
                    </a:prstGeom>
                  </pic:spPr>
                </pic:pic>
              </a:graphicData>
            </a:graphic>
          </wp:inline>
        </w:drawing>
      </w:r>
      <w:r>
        <w:rPr>
          <w:color w:val="231F20"/>
          <w:position w:val="-1"/>
        </w:rPr>
      </w:r>
      <w:r>
        <w:rPr>
          <w:rFonts w:ascii="Times New Roman"/>
          <w:color w:val="231F20"/>
        </w:rPr>
        <w:t> </w:t>
      </w:r>
      <w:r>
        <w:rPr>
          <w:color w:val="231F20"/>
        </w:rPr>
        <w:t>Windows</w:t>
      </w:r>
    </w:p>
    <w:p>
      <w:pPr>
        <w:pStyle w:val="BodyText"/>
        <w:spacing w:line="213" w:lineRule="auto" w:before="202"/>
        <w:ind w:left="2232" w:right="545"/>
      </w:pPr>
      <w:r>
        <w:rPr>
          <w:color w:val="231F20"/>
        </w:rPr>
        <w:t>You can also see the status of managed systems in the Managed System Status </w:t>
      </w:r>
      <w:bookmarkStart w:name="Managed System Status workspace" w:id="613"/>
      <w:bookmarkEnd w:id="613"/>
      <w:r>
        <w:rPr>
          <w:color w:val="231F20"/>
        </w:rPr>
        <w:t>workspace,</w:t>
      </w:r>
      <w:r>
        <w:rPr>
          <w:color w:val="231F20"/>
          <w:spacing w:val="11"/>
        </w:rPr>
        <w:t> </w:t>
      </w:r>
      <w:r>
        <w:rPr>
          <w:color w:val="231F20"/>
        </w:rPr>
        <w:t>or</w:t>
      </w:r>
      <w:r>
        <w:rPr>
          <w:color w:val="231F20"/>
          <w:spacing w:val="11"/>
        </w:rPr>
        <w:t> </w:t>
      </w:r>
      <w:r>
        <w:rPr>
          <w:color w:val="231F20"/>
        </w:rPr>
        <w:t>in</w:t>
      </w:r>
      <w:r>
        <w:rPr>
          <w:color w:val="231F20"/>
          <w:spacing w:val="12"/>
        </w:rPr>
        <w:t> </w:t>
      </w:r>
      <w:r>
        <w:rPr>
          <w:color w:val="231F20"/>
        </w:rPr>
        <w:t>a</w:t>
      </w:r>
      <w:r>
        <w:rPr>
          <w:color w:val="231F20"/>
          <w:spacing w:val="11"/>
        </w:rPr>
        <w:t> </w:t>
      </w:r>
      <w:r>
        <w:rPr>
          <w:color w:val="231F20"/>
        </w:rPr>
        <w:t>Managed</w:t>
      </w:r>
      <w:r>
        <w:rPr>
          <w:color w:val="231F20"/>
          <w:spacing w:val="12"/>
        </w:rPr>
        <w:t> </w:t>
      </w:r>
      <w:r>
        <w:rPr>
          <w:color w:val="231F20"/>
        </w:rPr>
        <w:t>System</w:t>
      </w:r>
      <w:r>
        <w:rPr>
          <w:color w:val="231F20"/>
          <w:spacing w:val="11"/>
        </w:rPr>
        <w:t> </w:t>
      </w:r>
      <w:r>
        <w:rPr>
          <w:color w:val="231F20"/>
        </w:rPr>
        <w:t>Status</w:t>
      </w:r>
      <w:r>
        <w:rPr>
          <w:color w:val="231F20"/>
          <w:spacing w:val="12"/>
        </w:rPr>
        <w:t> </w:t>
      </w:r>
      <w:r>
        <w:rPr>
          <w:color w:val="231F20"/>
        </w:rPr>
        <w:t>table</w:t>
      </w:r>
      <w:r>
        <w:rPr>
          <w:color w:val="231F20"/>
          <w:spacing w:val="11"/>
        </w:rPr>
        <w:t> </w:t>
      </w:r>
      <w:r>
        <w:rPr>
          <w:color w:val="231F20"/>
        </w:rPr>
        <w:t>view</w:t>
      </w:r>
      <w:r>
        <w:rPr>
          <w:color w:val="231F20"/>
          <w:spacing w:val="12"/>
        </w:rPr>
        <w:t> </w:t>
      </w:r>
      <w:r>
        <w:rPr>
          <w:color w:val="231F20"/>
        </w:rPr>
        <w:t>added</w:t>
      </w:r>
      <w:r>
        <w:rPr>
          <w:color w:val="231F20"/>
          <w:spacing w:val="11"/>
        </w:rPr>
        <w:t> </w:t>
      </w:r>
      <w:r>
        <w:rPr>
          <w:color w:val="231F20"/>
        </w:rPr>
        <w:t>to</w:t>
      </w:r>
      <w:r>
        <w:rPr>
          <w:color w:val="231F20"/>
          <w:spacing w:val="12"/>
        </w:rPr>
        <w:t> </w:t>
      </w:r>
      <w:r>
        <w:rPr>
          <w:color w:val="231F20"/>
        </w:rPr>
        <w:t>any</w:t>
      </w:r>
      <w:r>
        <w:rPr>
          <w:color w:val="231F20"/>
          <w:spacing w:val="11"/>
        </w:rPr>
        <w:t> </w:t>
      </w:r>
      <w:r>
        <w:rPr>
          <w:color w:val="231F20"/>
          <w:spacing w:val="-2"/>
        </w:rPr>
        <w:t>workspace.</w:t>
      </w:r>
    </w:p>
    <w:p>
      <w:pPr>
        <w:pStyle w:val="Heading3"/>
        <w:spacing w:before="217"/>
        <w:ind w:left="0" w:right="2726"/>
        <w:jc w:val="center"/>
      </w:pPr>
      <w:r>
        <w:rPr>
          <w:color w:val="231F20"/>
        </w:rPr>
        <w:t>Managed</w:t>
      </w:r>
      <w:r>
        <w:rPr>
          <w:color w:val="231F20"/>
          <w:spacing w:val="4"/>
        </w:rPr>
        <w:t> </w:t>
      </w:r>
      <w:r>
        <w:rPr>
          <w:color w:val="231F20"/>
        </w:rPr>
        <w:t>System</w:t>
      </w:r>
      <w:r>
        <w:rPr>
          <w:color w:val="231F20"/>
          <w:spacing w:val="5"/>
        </w:rPr>
        <w:t> </w:t>
      </w:r>
      <w:r>
        <w:rPr>
          <w:color w:val="231F20"/>
        </w:rPr>
        <w:t>Status</w:t>
      </w:r>
      <w:r>
        <w:rPr>
          <w:color w:val="231F20"/>
          <w:spacing w:val="5"/>
        </w:rPr>
        <w:t> </w:t>
      </w:r>
      <w:r>
        <w:rPr>
          <w:color w:val="231F20"/>
          <w:spacing w:val="-2"/>
        </w:rPr>
        <w:t>workspace</w:t>
      </w:r>
    </w:p>
    <w:p>
      <w:pPr>
        <w:pStyle w:val="BodyText"/>
        <w:spacing w:line="213" w:lineRule="auto" w:before="58"/>
        <w:ind w:left="2232" w:right="636"/>
      </w:pPr>
      <w:r>
        <w:rPr>
          <w:color w:val="231F20"/>
        </w:rPr>
        <w:t>The Managed System Status workspace is one of the predefined workspaces for</w:t>
      </w:r>
      <w:r>
        <w:rPr>
          <w:color w:val="231F20"/>
          <w:spacing w:val="40"/>
        </w:rPr>
        <w:t> </w:t>
      </w:r>
      <w:r>
        <w:rPr>
          <w:color w:val="231F20"/>
        </w:rPr>
        <w:t>the Enterprise Navigator item, and offers a high level overview of your </w:t>
      </w:r>
      <w:r>
        <w:rPr>
          <w:color w:val="231F20"/>
        </w:rPr>
        <w:t>managed network. The workspace has a single view: </w:t>
      </w:r>
      <w:r>
        <w:rPr>
          <w:rFonts w:ascii="Book Antiqua"/>
          <w:i/>
          <w:color w:val="231F20"/>
        </w:rPr>
        <w:t>Managed System Status table view</w:t>
      </w:r>
      <w:r>
        <w:rPr>
          <w:color w:val="231F20"/>
        </w:rPr>
        <w:t>.</w:t>
      </w:r>
    </w:p>
    <w:p>
      <w:pPr>
        <w:pStyle w:val="Heading4"/>
        <w:ind w:left="0" w:right="2758"/>
        <w:jc w:val="center"/>
      </w:pPr>
      <w:r>
        <w:rPr>
          <w:color w:val="231F20"/>
        </w:rPr>
        <w:t>Accessing</w:t>
      </w:r>
      <w:r>
        <w:rPr>
          <w:color w:val="231F20"/>
          <w:spacing w:val="5"/>
        </w:rPr>
        <w:t> </w:t>
      </w:r>
      <w:r>
        <w:rPr>
          <w:color w:val="231F20"/>
        </w:rPr>
        <w:t>the</w:t>
      </w:r>
      <w:r>
        <w:rPr>
          <w:color w:val="231F20"/>
          <w:spacing w:val="5"/>
        </w:rPr>
        <w:t> </w:t>
      </w:r>
      <w:r>
        <w:rPr>
          <w:color w:val="231F20"/>
          <w:spacing w:val="-2"/>
        </w:rPr>
        <w:t>workspace</w:t>
      </w:r>
    </w:p>
    <w:p>
      <w:pPr>
        <w:pStyle w:val="BodyText"/>
        <w:spacing w:before="218"/>
        <w:ind w:left="2232"/>
      </w:pPr>
      <w:r>
        <w:rPr>
          <w:color w:val="231F20"/>
        </w:rPr>
        <w:t>To</w:t>
      </w:r>
      <w:r>
        <w:rPr>
          <w:color w:val="231F20"/>
          <w:spacing w:val="8"/>
        </w:rPr>
        <w:t> </w:t>
      </w:r>
      <w:r>
        <w:rPr>
          <w:color w:val="231F20"/>
        </w:rPr>
        <w:t>open</w:t>
      </w:r>
      <w:r>
        <w:rPr>
          <w:color w:val="231F20"/>
          <w:spacing w:val="9"/>
        </w:rPr>
        <w:t> </w:t>
      </w:r>
      <w:r>
        <w:rPr>
          <w:color w:val="231F20"/>
        </w:rPr>
        <w:t>the</w:t>
      </w:r>
      <w:r>
        <w:rPr>
          <w:color w:val="231F20"/>
          <w:spacing w:val="8"/>
        </w:rPr>
        <w:t> </w:t>
      </w:r>
      <w:r>
        <w:rPr>
          <w:color w:val="231F20"/>
        </w:rPr>
        <w:t>Managed</w:t>
      </w:r>
      <w:r>
        <w:rPr>
          <w:color w:val="231F20"/>
          <w:spacing w:val="9"/>
        </w:rPr>
        <w:t> </w:t>
      </w:r>
      <w:r>
        <w:rPr>
          <w:color w:val="231F20"/>
        </w:rPr>
        <w:t>System</w:t>
      </w:r>
      <w:r>
        <w:rPr>
          <w:color w:val="231F20"/>
          <w:spacing w:val="9"/>
        </w:rPr>
        <w:t> </w:t>
      </w:r>
      <w:r>
        <w:rPr>
          <w:color w:val="231F20"/>
        </w:rPr>
        <w:t>Status</w:t>
      </w:r>
      <w:r>
        <w:rPr>
          <w:color w:val="231F20"/>
          <w:spacing w:val="8"/>
        </w:rPr>
        <w:t> </w:t>
      </w:r>
      <w:r>
        <w:rPr>
          <w:color w:val="231F20"/>
        </w:rPr>
        <w:t>workspace,</w:t>
      </w:r>
      <w:r>
        <w:rPr>
          <w:color w:val="231F20"/>
          <w:spacing w:val="9"/>
        </w:rPr>
        <w:t> </w:t>
      </w:r>
      <w:r>
        <w:rPr>
          <w:color w:val="231F20"/>
        </w:rPr>
        <w:t>take</w:t>
      </w:r>
      <w:r>
        <w:rPr>
          <w:color w:val="231F20"/>
          <w:spacing w:val="9"/>
        </w:rPr>
        <w:t> </w:t>
      </w:r>
      <w:r>
        <w:rPr>
          <w:color w:val="231F20"/>
        </w:rPr>
        <w:t>the</w:t>
      </w:r>
      <w:r>
        <w:rPr>
          <w:color w:val="231F20"/>
          <w:spacing w:val="8"/>
        </w:rPr>
        <w:t> </w:t>
      </w:r>
      <w:r>
        <w:rPr>
          <w:color w:val="231F20"/>
        </w:rPr>
        <w:t>following</w:t>
      </w:r>
      <w:r>
        <w:rPr>
          <w:color w:val="231F20"/>
          <w:spacing w:val="9"/>
        </w:rPr>
        <w:t> </w:t>
      </w:r>
      <w:r>
        <w:rPr>
          <w:color w:val="231F20"/>
          <w:spacing w:val="-2"/>
        </w:rPr>
        <w:t>steps:</w:t>
      </w:r>
    </w:p>
    <w:p>
      <w:pPr>
        <w:pStyle w:val="ListParagraph"/>
        <w:numPr>
          <w:ilvl w:val="0"/>
          <w:numId w:val="173"/>
        </w:numPr>
        <w:tabs>
          <w:tab w:pos="2547" w:val="left" w:leader="none"/>
        </w:tabs>
        <w:spacing w:line="240" w:lineRule="auto" w:before="29" w:after="0"/>
        <w:ind w:left="2547" w:right="0" w:hanging="315"/>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3079" name="Image 3079"/>
            <wp:cNvGraphicFramePr>
              <a:graphicFrameLocks/>
            </wp:cNvGraphicFramePr>
            <a:graphic>
              <a:graphicData uri="http://schemas.openxmlformats.org/drawingml/2006/picture">
                <pic:pic>
                  <pic:nvPicPr>
                    <pic:cNvPr id="3079" name="Image 307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color w:val="231F20"/>
          <w:sz w:val="20"/>
        </w:rPr>
        <w:t>Enterprise</w:t>
      </w:r>
      <w:r>
        <w:rPr>
          <w:color w:val="231F20"/>
          <w:spacing w:val="12"/>
          <w:sz w:val="20"/>
        </w:rPr>
        <w:t> </w:t>
      </w:r>
      <w:r>
        <w:rPr>
          <w:color w:val="231F20"/>
          <w:sz w:val="20"/>
        </w:rPr>
        <w:t>Navigator</w:t>
      </w:r>
      <w:r>
        <w:rPr>
          <w:color w:val="231F20"/>
          <w:spacing w:val="11"/>
          <w:sz w:val="20"/>
        </w:rPr>
        <w:t> </w:t>
      </w:r>
      <w:r>
        <w:rPr>
          <w:color w:val="231F20"/>
          <w:sz w:val="20"/>
        </w:rPr>
        <w:t>item</w:t>
      </w:r>
      <w:r>
        <w:rPr>
          <w:color w:val="231F20"/>
          <w:spacing w:val="12"/>
          <w:sz w:val="20"/>
        </w:rPr>
        <w:t> </w:t>
      </w:r>
      <w:r>
        <w:rPr>
          <w:color w:val="231F20"/>
          <w:sz w:val="20"/>
        </w:rPr>
        <w:t>to</w:t>
      </w:r>
      <w:r>
        <w:rPr>
          <w:color w:val="231F20"/>
          <w:spacing w:val="11"/>
          <w:sz w:val="20"/>
        </w:rPr>
        <w:t> </w:t>
      </w:r>
      <w:r>
        <w:rPr>
          <w:color w:val="231F20"/>
          <w:sz w:val="20"/>
        </w:rPr>
        <w:t>open</w:t>
      </w:r>
      <w:r>
        <w:rPr>
          <w:color w:val="231F20"/>
          <w:spacing w:val="12"/>
          <w:sz w:val="20"/>
        </w:rPr>
        <w:t> </w:t>
      </w:r>
      <w:r>
        <w:rPr>
          <w:color w:val="231F20"/>
          <w:sz w:val="20"/>
        </w:rPr>
        <w:t>its</w:t>
      </w:r>
      <w:r>
        <w:rPr>
          <w:color w:val="231F20"/>
          <w:spacing w:val="11"/>
          <w:sz w:val="20"/>
        </w:rPr>
        <w:t> </w:t>
      </w:r>
      <w:r>
        <w:rPr>
          <w:color w:val="231F20"/>
          <w:sz w:val="20"/>
        </w:rPr>
        <w:t>default</w:t>
      </w:r>
      <w:r>
        <w:rPr>
          <w:color w:val="231F20"/>
          <w:spacing w:val="11"/>
          <w:sz w:val="20"/>
        </w:rPr>
        <w:t> </w:t>
      </w:r>
      <w:r>
        <w:rPr>
          <w:color w:val="231F20"/>
          <w:spacing w:val="-2"/>
          <w:sz w:val="20"/>
        </w:rPr>
        <w:t>workspace.</w:t>
      </w:r>
    </w:p>
    <w:p>
      <w:pPr>
        <w:pStyle w:val="ListParagraph"/>
        <w:numPr>
          <w:ilvl w:val="0"/>
          <w:numId w:val="173"/>
        </w:numPr>
        <w:tabs>
          <w:tab w:pos="2546" w:val="left" w:leader="none"/>
          <w:tab w:pos="2548" w:val="left" w:leader="none"/>
        </w:tabs>
        <w:spacing w:line="213" w:lineRule="auto" w:before="53" w:after="0"/>
        <w:ind w:left="2548" w:right="847" w:hanging="317"/>
        <w:jc w:val="left"/>
        <w:rPr>
          <w:sz w:val="20"/>
        </w:rPr>
      </w:pPr>
      <w:r>
        <w:rPr>
          <w:color w:val="231F20"/>
          <w:sz w:val="20"/>
        </w:rPr>
        <w:t>Click </w:t>
      </w:r>
      <w:r>
        <w:rPr>
          <w:color w:val="231F20"/>
          <w:spacing w:val="16"/>
          <w:position w:val="-1"/>
          <w:sz w:val="20"/>
        </w:rPr>
        <w:drawing>
          <wp:inline distT="0" distB="0" distL="0" distR="0">
            <wp:extent cx="101600" cy="101600"/>
            <wp:effectExtent l="0" t="0" r="0" b="0"/>
            <wp:docPr id="3080" name="Image 3080"/>
            <wp:cNvGraphicFramePr>
              <a:graphicFrameLocks/>
            </wp:cNvGraphicFramePr>
            <a:graphic>
              <a:graphicData uri="http://schemas.openxmlformats.org/drawingml/2006/picture">
                <pic:pic>
                  <pic:nvPicPr>
                    <pic:cNvPr id="3080" name="Image 3080"/>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rFonts w:ascii="Book Antiqua"/>
          <w:b/>
          <w:color w:val="231F20"/>
          <w:sz w:val="20"/>
        </w:rPr>
        <w:t>Workspace gallery</w:t>
      </w:r>
      <w:r>
        <w:rPr>
          <w:color w:val="231F20"/>
          <w:sz w:val="20"/>
        </w:rPr>
        <w:t>, then click the thumbnail graphic for </w:t>
      </w:r>
      <w:r>
        <w:rPr>
          <w:rFonts w:ascii="Book Antiqua"/>
          <w:b/>
          <w:color w:val="231F20"/>
          <w:sz w:val="20"/>
        </w:rPr>
        <w:t>Managed System Status</w:t>
      </w:r>
      <w:r>
        <w:rPr>
          <w:color w:val="231F20"/>
          <w:sz w:val="20"/>
        </w:rPr>
        <w:t>.</w:t>
      </w:r>
    </w:p>
    <w:p>
      <w:pPr>
        <w:spacing w:after="0" w:line="213" w:lineRule="auto"/>
        <w:jc w:val="left"/>
        <w:rPr>
          <w:sz w:val="20"/>
        </w:rPr>
        <w:sectPr>
          <w:pgSz w:w="12240" w:h="15840"/>
          <w:pgMar w:header="0" w:footer="736" w:top="1180" w:bottom="920" w:left="1000" w:right="1060"/>
        </w:sectPr>
      </w:pPr>
    </w:p>
    <w:p>
      <w:pPr>
        <w:pStyle w:val="Heading4"/>
        <w:spacing w:before="86"/>
        <w:ind w:left="2472"/>
      </w:pPr>
      <w:bookmarkStart w:name="_bookmark297" w:id="614"/>
      <w:bookmarkEnd w:id="614"/>
      <w:r>
        <w:rPr>
          <w:b w:val="0"/>
        </w:rPr>
      </w:r>
      <w:r>
        <w:rPr>
          <w:color w:val="231F20"/>
        </w:rPr>
        <w:t>What</w:t>
      </w:r>
      <w:r>
        <w:rPr>
          <w:color w:val="231F20"/>
          <w:spacing w:val="5"/>
        </w:rPr>
        <w:t> </w:t>
      </w:r>
      <w:r>
        <w:rPr>
          <w:color w:val="231F20"/>
        </w:rPr>
        <w:t>the</w:t>
      </w:r>
      <w:r>
        <w:rPr>
          <w:color w:val="231F20"/>
          <w:spacing w:val="6"/>
        </w:rPr>
        <w:t> </w:t>
      </w:r>
      <w:r>
        <w:rPr>
          <w:color w:val="231F20"/>
        </w:rPr>
        <w:t>workspace</w:t>
      </w:r>
      <w:r>
        <w:rPr>
          <w:color w:val="231F20"/>
          <w:spacing w:val="6"/>
        </w:rPr>
        <w:t> </w:t>
      </w:r>
      <w:r>
        <w:rPr>
          <w:color w:val="231F20"/>
          <w:spacing w:val="-2"/>
        </w:rPr>
        <w:t>shows</w:t>
      </w:r>
    </w:p>
    <w:p>
      <w:pPr>
        <w:pStyle w:val="BodyText"/>
        <w:spacing w:line="213" w:lineRule="auto" w:before="242"/>
        <w:ind w:left="2472" w:right="385"/>
      </w:pPr>
      <w:r>
        <w:rPr>
          <w:color w:val="231F20"/>
        </w:rPr>
        <w:t>The Managed System Status table view is a list of monitoring agents in your managed network. The Status column reports the ONLINE or OFFLINE status </w:t>
      </w:r>
      <w:r>
        <w:rPr>
          <w:color w:val="231F20"/>
        </w:rPr>
        <w:t>of the agent, with offline agents shown first.</w:t>
      </w:r>
    </w:p>
    <w:p>
      <w:pPr>
        <w:pStyle w:val="BodyText"/>
        <w:spacing w:line="213" w:lineRule="auto" w:before="237"/>
        <w:ind w:left="2472" w:right="258"/>
      </w:pPr>
      <w:r>
        <w:rPr>
          <w:color w:val="231F20"/>
        </w:rPr>
        <w:t>An agent that has actually been removed from the monitored environment might appear to be offline. You can remove the display of the offline agent from the view </w:t>
      </w:r>
      <w:r>
        <w:rPr>
          <w:color w:val="231F20"/>
          <w:position w:val="1"/>
        </w:rPr>
        <w:t>and</w:t>
      </w:r>
      <w:r>
        <w:rPr>
          <w:color w:val="231F20"/>
          <w:spacing w:val="27"/>
          <w:position w:val="1"/>
        </w:rPr>
        <w:t> </w:t>
      </w:r>
      <w:r>
        <w:rPr>
          <w:color w:val="231F20"/>
          <w:position w:val="1"/>
        </w:rPr>
        <w:t>from</w:t>
      </w:r>
      <w:r>
        <w:rPr>
          <w:color w:val="231F20"/>
          <w:spacing w:val="27"/>
          <w:position w:val="1"/>
        </w:rPr>
        <w:t> </w:t>
      </w:r>
      <w:r>
        <w:rPr>
          <w:color w:val="231F20"/>
          <w:position w:val="1"/>
        </w:rPr>
        <w:t>the</w:t>
      </w:r>
      <w:r>
        <w:rPr>
          <w:color w:val="231F20"/>
          <w:spacing w:val="27"/>
          <w:position w:val="1"/>
        </w:rPr>
        <w:t> </w:t>
      </w:r>
      <w:r>
        <w:rPr>
          <w:color w:val="231F20"/>
          <w:position w:val="1"/>
        </w:rPr>
        <w:t>Navigator</w:t>
      </w:r>
      <w:r>
        <w:rPr>
          <w:color w:val="231F20"/>
          <w:spacing w:val="27"/>
          <w:position w:val="1"/>
        </w:rPr>
        <w:t> </w:t>
      </w:r>
      <w:r>
        <w:rPr>
          <w:color w:val="231F20"/>
          <w:position w:val="1"/>
        </w:rPr>
        <w:t>by</w:t>
      </w:r>
      <w:r>
        <w:rPr>
          <w:color w:val="231F20"/>
          <w:spacing w:val="27"/>
          <w:position w:val="1"/>
        </w:rPr>
        <w:t> </w:t>
      </w:r>
      <w:r>
        <w:rPr>
          <w:color w:val="231F20"/>
          <w:position w:val="1"/>
        </w:rPr>
        <w:t>right-clicking</w:t>
      </w:r>
      <w:r>
        <w:rPr>
          <w:color w:val="231F20"/>
          <w:spacing w:val="27"/>
          <w:position w:val="1"/>
        </w:rPr>
        <w:t> </w:t>
      </w:r>
      <w:r>
        <w:rPr>
          <w:color w:val="231F20"/>
          <w:position w:val="1"/>
        </w:rPr>
        <w:t>the</w:t>
      </w:r>
      <w:r>
        <w:rPr>
          <w:color w:val="231F20"/>
          <w:spacing w:val="27"/>
          <w:position w:val="1"/>
        </w:rPr>
        <w:t> </w:t>
      </w:r>
      <w:r>
        <w:rPr>
          <w:color w:val="231F20"/>
          <w:position w:val="1"/>
        </w:rPr>
        <w:t>table</w:t>
      </w:r>
      <w:r>
        <w:rPr>
          <w:color w:val="231F20"/>
          <w:spacing w:val="27"/>
          <w:position w:val="1"/>
        </w:rPr>
        <w:t> </w:t>
      </w:r>
      <w:r>
        <w:rPr>
          <w:color w:val="231F20"/>
          <w:position w:val="1"/>
        </w:rPr>
        <w:t>row</w:t>
      </w:r>
      <w:r>
        <w:rPr>
          <w:color w:val="231F20"/>
          <w:spacing w:val="27"/>
          <w:position w:val="1"/>
        </w:rPr>
        <w:t> </w:t>
      </w:r>
      <w:r>
        <w:rPr>
          <w:color w:val="231F20"/>
          <w:position w:val="1"/>
        </w:rPr>
        <w:t>and</w:t>
      </w:r>
      <w:r>
        <w:rPr>
          <w:color w:val="231F20"/>
          <w:spacing w:val="27"/>
          <w:position w:val="1"/>
        </w:rPr>
        <w:t> </w:t>
      </w:r>
      <w:r>
        <w:rPr>
          <w:color w:val="231F20"/>
          <w:position w:val="1"/>
        </w:rPr>
        <w:t>clicking</w:t>
      </w:r>
      <w:r>
        <w:rPr>
          <w:color w:val="231F20"/>
          <w:spacing w:val="14"/>
          <w:position w:val="1"/>
        </w:rPr>
        <w:t> </w:t>
      </w:r>
      <w:r>
        <w:rPr>
          <w:color w:val="231F20"/>
          <w:spacing w:val="14"/>
        </w:rPr>
        <w:drawing>
          <wp:inline distT="0" distB="0" distL="0" distR="0">
            <wp:extent cx="101600" cy="88900"/>
            <wp:effectExtent l="0" t="0" r="0" b="0"/>
            <wp:docPr id="3081" name="Image 3081"/>
            <wp:cNvGraphicFramePr>
              <a:graphicFrameLocks/>
            </wp:cNvGraphicFramePr>
            <a:graphic>
              <a:graphicData uri="http://schemas.openxmlformats.org/drawingml/2006/picture">
                <pic:pic>
                  <pic:nvPicPr>
                    <pic:cNvPr id="3081" name="Image 3081"/>
                    <pic:cNvPicPr/>
                  </pic:nvPicPr>
                  <pic:blipFill>
                    <a:blip r:embed="rId133" cstate="print"/>
                    <a:stretch>
                      <a:fillRect/>
                    </a:stretch>
                  </pic:blipFill>
                  <pic:spPr>
                    <a:xfrm>
                      <a:off x="0" y="0"/>
                      <a:ext cx="101600" cy="88900"/>
                    </a:xfrm>
                    <a:prstGeom prst="rect">
                      <a:avLst/>
                    </a:prstGeom>
                  </pic:spPr>
                </pic:pic>
              </a:graphicData>
            </a:graphic>
          </wp:inline>
        </w:drawing>
      </w:r>
      <w:r>
        <w:rPr>
          <w:color w:val="231F20"/>
          <w:spacing w:val="14"/>
        </w:rPr>
      </w:r>
      <w:r>
        <w:rPr>
          <w:rFonts w:ascii="Times New Roman"/>
          <w:color w:val="231F20"/>
          <w:spacing w:val="40"/>
          <w:position w:val="1"/>
        </w:rPr>
        <w:t> </w:t>
      </w:r>
      <w:r>
        <w:rPr>
          <w:rFonts w:ascii="Book Antiqua"/>
          <w:b/>
          <w:color w:val="231F20"/>
          <w:position w:val="1"/>
        </w:rPr>
        <w:t>Clear </w:t>
      </w:r>
      <w:r>
        <w:rPr>
          <w:rFonts w:ascii="Book Antiqua"/>
          <w:b/>
          <w:color w:val="231F20"/>
        </w:rPr>
        <w:t>offline entry</w:t>
      </w:r>
      <w:r>
        <w:rPr>
          <w:color w:val="231F20"/>
        </w:rPr>
        <w:t>.</w:t>
      </w:r>
    </w:p>
    <w:p>
      <w:pPr>
        <w:pStyle w:val="BodyText"/>
        <w:spacing w:line="213" w:lineRule="auto" w:before="237"/>
        <w:ind w:left="2472" w:right="545"/>
      </w:pPr>
      <w:r>
        <w:rPr>
          <w:color w:val="231F20"/>
        </w:rPr>
        <w:t>The CQ agent might be displayed in the table results. The CQ agent is a monitoring agent for the portal server and is not the actual portal server component. The status of this agent does not correlate to the status of the </w:t>
      </w:r>
      <w:r>
        <w:rPr>
          <w:color w:val="231F20"/>
        </w:rPr>
        <w:t>actual portal server. If this agent displays an offline status, there might have been a problem starting the agent or the monitoring server might not have completed </w:t>
      </w:r>
      <w:r>
        <w:rPr>
          <w:color w:val="231F20"/>
          <w:spacing w:val="-2"/>
        </w:rPr>
        <w:t>refreshing.</w:t>
      </w:r>
    </w:p>
    <w:p>
      <w:pPr>
        <w:pStyle w:val="Heading6"/>
        <w:spacing w:line="240" w:lineRule="auto" w:before="114"/>
        <w:ind w:right="545"/>
      </w:pPr>
      <w:r>
        <w:rPr>
          <w:color w:val="231F20"/>
        </w:rPr>
        <w:t>Links to the Audit Log workspace, Agent Operations Log workspace, </w:t>
      </w:r>
      <w:r>
        <w:rPr>
          <w:color w:val="231F20"/>
        </w:rPr>
        <w:t>and Historical Export Statistics workspace</w:t>
      </w:r>
    </w:p>
    <w:p>
      <w:pPr>
        <w:pStyle w:val="BodyText"/>
        <w:spacing w:line="213" w:lineRule="auto"/>
        <w:ind w:left="3190" w:right="545" w:hanging="1"/>
      </w:pPr>
      <w:r>
        <w:rPr>
          <w:color w:val="231F20"/>
        </w:rPr>
        <w:t>Right-click the </w:t>
      </w:r>
      <w:r>
        <w:rPr>
          <w:color w:val="231F20"/>
          <w:spacing w:val="16"/>
          <w:position w:val="-1"/>
        </w:rPr>
        <w:drawing>
          <wp:inline distT="0" distB="0" distL="0" distR="0">
            <wp:extent cx="101600" cy="101600"/>
            <wp:effectExtent l="0" t="0" r="0" b="0"/>
            <wp:docPr id="3082" name="Image 3082"/>
            <wp:cNvGraphicFramePr>
              <a:graphicFrameLocks/>
            </wp:cNvGraphicFramePr>
            <a:graphic>
              <a:graphicData uri="http://schemas.openxmlformats.org/drawingml/2006/picture">
                <pic:pic>
                  <pic:nvPicPr>
                    <pic:cNvPr id="3082" name="Image 3082"/>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link at the beginning of a row to select what log workspace you want to view. The log workspace is filtered to show </w:t>
      </w:r>
      <w:r>
        <w:rPr>
          <w:color w:val="231F20"/>
        </w:rPr>
        <w:t>only the messages that have been logged for the selected managed system.</w:t>
      </w:r>
    </w:p>
    <w:p>
      <w:pPr>
        <w:pStyle w:val="BodyText"/>
        <w:spacing w:line="213" w:lineRule="auto" w:before="236"/>
        <w:ind w:left="3190" w:right="352"/>
        <w:jc w:val="both"/>
      </w:pPr>
      <w:r>
        <w:rPr>
          <w:rFonts w:ascii="Book Antiqua"/>
          <w:b/>
          <w:color w:val="231F20"/>
        </w:rPr>
        <w:t>Tip:</w:t>
      </w:r>
      <w:r>
        <w:rPr>
          <w:rFonts w:ascii="Book Antiqua"/>
          <w:b/>
          <w:color w:val="231F20"/>
          <w:spacing w:val="40"/>
        </w:rPr>
        <w:t> </w:t>
      </w:r>
      <w:r>
        <w:rPr>
          <w:color w:val="231F20"/>
        </w:rPr>
        <w:t>If you </w:t>
      </w:r>
      <w:r>
        <w:rPr>
          <w:rFonts w:ascii="Book Antiqua"/>
          <w:i/>
          <w:color w:val="231F20"/>
        </w:rPr>
        <w:t>click </w:t>
      </w:r>
      <w:r>
        <w:rPr>
          <w:color w:val="231F20"/>
        </w:rPr>
        <w:t>the </w:t>
      </w:r>
      <w:r>
        <w:rPr>
          <w:color w:val="231F20"/>
          <w:spacing w:val="15"/>
          <w:position w:val="-1"/>
        </w:rPr>
        <w:drawing>
          <wp:inline distT="0" distB="0" distL="0" distR="0">
            <wp:extent cx="101600" cy="101600"/>
            <wp:effectExtent l="0" t="0" r="0" b="0"/>
            <wp:docPr id="3083" name="Image 3083"/>
            <wp:cNvGraphicFramePr>
              <a:graphicFrameLocks/>
            </wp:cNvGraphicFramePr>
            <a:graphic>
              <a:graphicData uri="http://schemas.openxmlformats.org/drawingml/2006/picture">
                <pic:pic>
                  <pic:nvPicPr>
                    <pic:cNvPr id="3083" name="Image 308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15"/>
        </w:rPr>
        <w:t> </w:t>
      </w:r>
      <w:r>
        <w:rPr>
          <w:color w:val="231F20"/>
        </w:rPr>
        <w:t>link (instead of a right-click), the agent operations log is displayed by default. You must right-click in order to see the </w:t>
      </w:r>
      <w:r>
        <w:rPr>
          <w:color w:val="231F20"/>
        </w:rPr>
        <w:t>Audit Log or History Exports options.</w:t>
      </w:r>
    </w:p>
    <w:p>
      <w:pPr>
        <w:pStyle w:val="BodyText"/>
        <w:spacing w:before="94"/>
        <w:ind w:left="3190"/>
        <w:jc w:val="both"/>
      </w:pPr>
      <w:r>
        <w:rPr>
          <w:color w:val="231F20"/>
        </w:rPr>
        <w:t>Here</w:t>
      </w:r>
      <w:r>
        <w:rPr>
          <w:color w:val="231F20"/>
          <w:spacing w:val="11"/>
        </w:rPr>
        <w:t> </w:t>
      </w:r>
      <w:r>
        <w:rPr>
          <w:color w:val="231F20"/>
        </w:rPr>
        <w:t>is</w:t>
      </w:r>
      <w:r>
        <w:rPr>
          <w:color w:val="231F20"/>
          <w:spacing w:val="11"/>
        </w:rPr>
        <w:t> </w:t>
      </w:r>
      <w:r>
        <w:rPr>
          <w:color w:val="231F20"/>
        </w:rPr>
        <w:t>an</w:t>
      </w:r>
      <w:r>
        <w:rPr>
          <w:color w:val="231F20"/>
          <w:spacing w:val="12"/>
        </w:rPr>
        <w:t> </w:t>
      </w:r>
      <w:r>
        <w:rPr>
          <w:color w:val="231F20"/>
        </w:rPr>
        <w:t>example</w:t>
      </w:r>
      <w:r>
        <w:rPr>
          <w:color w:val="231F20"/>
          <w:spacing w:val="11"/>
        </w:rPr>
        <w:t> </w:t>
      </w:r>
      <w:r>
        <w:rPr>
          <w:color w:val="231F20"/>
        </w:rPr>
        <w:t>of</w:t>
      </w:r>
      <w:r>
        <w:rPr>
          <w:color w:val="231F20"/>
          <w:spacing w:val="11"/>
        </w:rPr>
        <w:t> </w:t>
      </w:r>
      <w:r>
        <w:rPr>
          <w:color w:val="231F20"/>
        </w:rPr>
        <w:t>a</w:t>
      </w:r>
      <w:r>
        <w:rPr>
          <w:color w:val="231F20"/>
          <w:spacing w:val="12"/>
        </w:rPr>
        <w:t> </w:t>
      </w:r>
      <w:r>
        <w:rPr>
          <w:color w:val="231F20"/>
        </w:rPr>
        <w:t>link</w:t>
      </w:r>
      <w:r>
        <w:rPr>
          <w:color w:val="231F20"/>
          <w:spacing w:val="11"/>
        </w:rPr>
        <w:t> </w:t>
      </w:r>
      <w:r>
        <w:rPr>
          <w:color w:val="231F20"/>
        </w:rPr>
        <w:t>from</w:t>
      </w:r>
      <w:r>
        <w:rPr>
          <w:color w:val="231F20"/>
          <w:spacing w:val="11"/>
        </w:rPr>
        <w:t> </w:t>
      </w:r>
      <w:r>
        <w:rPr>
          <w:color w:val="231F20"/>
        </w:rPr>
        <w:t>the</w:t>
      </w:r>
      <w:r>
        <w:rPr>
          <w:color w:val="231F20"/>
          <w:spacing w:val="12"/>
        </w:rPr>
        <w:t> </w:t>
      </w:r>
      <w:r>
        <w:rPr>
          <w:color w:val="231F20"/>
        </w:rPr>
        <w:t>hub</w:t>
      </w:r>
      <w:r>
        <w:rPr>
          <w:color w:val="231F20"/>
          <w:spacing w:val="11"/>
        </w:rPr>
        <w:t> </w:t>
      </w:r>
      <w:r>
        <w:rPr>
          <w:color w:val="231F20"/>
        </w:rPr>
        <w:t>monitoring</w:t>
      </w:r>
      <w:r>
        <w:rPr>
          <w:color w:val="231F20"/>
          <w:spacing w:val="11"/>
        </w:rPr>
        <w:t> </w:t>
      </w:r>
      <w:r>
        <w:rPr>
          <w:color w:val="231F20"/>
        </w:rPr>
        <w:t>server</w:t>
      </w:r>
      <w:r>
        <w:rPr>
          <w:color w:val="231F20"/>
          <w:spacing w:val="12"/>
        </w:rPr>
        <w:t> </w:t>
      </w:r>
      <w:r>
        <w:rPr>
          <w:color w:val="231F20"/>
          <w:spacing w:val="-4"/>
        </w:rPr>
        <w:t>row:</w:t>
      </w:r>
    </w:p>
    <w:p>
      <w:pPr>
        <w:pStyle w:val="BodyText"/>
        <w:spacing w:before="3"/>
        <w:rPr>
          <w:sz w:val="12"/>
        </w:r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38"/>
        <w:gridCol w:w="1081"/>
        <w:gridCol w:w="1520"/>
        <w:gridCol w:w="971"/>
        <w:gridCol w:w="971"/>
        <w:gridCol w:w="2358"/>
        <w:gridCol w:w="2329"/>
      </w:tblGrid>
      <w:tr>
        <w:trPr>
          <w:trHeight w:val="249" w:hRule="atLeast"/>
        </w:trPr>
        <w:tc>
          <w:tcPr>
            <w:tcW w:w="9568" w:type="dxa"/>
            <w:gridSpan w:val="7"/>
          </w:tcPr>
          <w:p>
            <w:pPr>
              <w:pStyle w:val="TableParagraph"/>
              <w:spacing w:before="14"/>
              <w:ind w:left="54"/>
              <w:rPr>
                <w:rFonts w:ascii="Book Antiqua"/>
                <w:b/>
                <w:sz w:val="16"/>
              </w:rPr>
            </w:pPr>
            <w:r>
              <w:rPr>
                <w:position w:val="-4"/>
              </w:rPr>
              <w:drawing>
                <wp:inline distT="0" distB="0" distL="0" distR="0">
                  <wp:extent cx="95250" cy="95250"/>
                  <wp:effectExtent l="0" t="0" r="0" b="0"/>
                  <wp:docPr id="3084" name="Image 3084"/>
                  <wp:cNvGraphicFramePr>
                    <a:graphicFrameLocks/>
                  </wp:cNvGraphicFramePr>
                  <a:graphic>
                    <a:graphicData uri="http://schemas.openxmlformats.org/drawingml/2006/picture">
                      <pic:pic>
                        <pic:nvPicPr>
                          <pic:cNvPr id="3084" name="Image 3084"/>
                          <pic:cNvPicPr/>
                        </pic:nvPicPr>
                        <pic:blipFill>
                          <a:blip r:embed="rId50" cstate="print"/>
                          <a:stretch>
                            <a:fillRect/>
                          </a:stretch>
                        </pic:blipFill>
                        <pic:spPr>
                          <a:xfrm>
                            <a:off x="0" y="0"/>
                            <a:ext cx="95250" cy="95250"/>
                          </a:xfrm>
                          <a:prstGeom prst="rect">
                            <a:avLst/>
                          </a:prstGeom>
                        </pic:spPr>
                      </pic:pic>
                    </a:graphicData>
                  </a:graphic>
                </wp:inline>
              </w:drawing>
            </w:r>
            <w:r>
              <w:rPr>
                <w:position w:val="-4"/>
              </w:rPr>
            </w:r>
            <w:r>
              <w:rPr>
                <w:rFonts w:ascii="Times New Roman"/>
                <w:spacing w:val="40"/>
                <w:sz w:val="20"/>
              </w:rPr>
              <w:t> </w:t>
            </w:r>
            <w:r>
              <w:rPr>
                <w:rFonts w:ascii="Book Antiqua"/>
                <w:b/>
                <w:color w:val="231F20"/>
                <w:sz w:val="16"/>
              </w:rPr>
              <w:t>Managed</w:t>
            </w:r>
            <w:r>
              <w:rPr>
                <w:rFonts w:ascii="Book Antiqua"/>
                <w:b/>
                <w:color w:val="231F20"/>
                <w:spacing w:val="23"/>
                <w:sz w:val="16"/>
              </w:rPr>
              <w:t> </w:t>
            </w:r>
            <w:r>
              <w:rPr>
                <w:rFonts w:ascii="Book Antiqua"/>
                <w:b/>
                <w:color w:val="231F20"/>
                <w:sz w:val="16"/>
              </w:rPr>
              <w:t>System</w:t>
            </w:r>
            <w:r>
              <w:rPr>
                <w:rFonts w:ascii="Book Antiqua"/>
                <w:b/>
                <w:color w:val="231F20"/>
                <w:spacing w:val="23"/>
                <w:sz w:val="16"/>
              </w:rPr>
              <w:t> </w:t>
            </w:r>
            <w:r>
              <w:rPr>
                <w:rFonts w:ascii="Book Antiqua"/>
                <w:b/>
                <w:color w:val="231F20"/>
                <w:sz w:val="16"/>
              </w:rPr>
              <w:t>Status</w:t>
            </w:r>
          </w:p>
        </w:tc>
      </w:tr>
      <w:tr>
        <w:trPr>
          <w:trHeight w:val="274" w:hRule="atLeast"/>
        </w:trPr>
        <w:tc>
          <w:tcPr>
            <w:tcW w:w="338" w:type="dxa"/>
          </w:tcPr>
          <w:p>
            <w:pPr>
              <w:pStyle w:val="TableParagraph"/>
              <w:spacing w:before="0"/>
              <w:ind w:left="0"/>
              <w:rPr>
                <w:rFonts w:ascii="Times New Roman"/>
                <w:sz w:val="18"/>
              </w:rPr>
            </w:pPr>
          </w:p>
        </w:tc>
        <w:tc>
          <w:tcPr>
            <w:tcW w:w="1081" w:type="dxa"/>
          </w:tcPr>
          <w:p>
            <w:pPr>
              <w:pStyle w:val="TableParagraph"/>
              <w:spacing w:before="21"/>
              <w:ind w:left="60"/>
              <w:rPr>
                <w:sz w:val="16"/>
              </w:rPr>
            </w:pPr>
            <w:r>
              <w:rPr>
                <w:color w:val="231F20"/>
                <w:spacing w:val="-2"/>
                <w:sz w:val="16"/>
              </w:rPr>
              <w:t>Status</w:t>
            </w:r>
          </w:p>
        </w:tc>
        <w:tc>
          <w:tcPr>
            <w:tcW w:w="1520" w:type="dxa"/>
          </w:tcPr>
          <w:p>
            <w:pPr>
              <w:pStyle w:val="TableParagraph"/>
              <w:spacing w:before="21"/>
              <w:ind w:left="60"/>
              <w:rPr>
                <w:sz w:val="16"/>
              </w:rPr>
            </w:pPr>
            <w:r>
              <w:rPr>
                <w:color w:val="231F20"/>
                <w:spacing w:val="-4"/>
                <w:sz w:val="16"/>
              </w:rPr>
              <w:t>Name</w:t>
            </w:r>
          </w:p>
        </w:tc>
        <w:tc>
          <w:tcPr>
            <w:tcW w:w="971" w:type="dxa"/>
          </w:tcPr>
          <w:p>
            <w:pPr>
              <w:pStyle w:val="TableParagraph"/>
              <w:spacing w:before="21"/>
              <w:ind w:left="60"/>
              <w:rPr>
                <w:sz w:val="16"/>
              </w:rPr>
            </w:pPr>
            <w:r>
              <w:rPr>
                <w:color w:val="231F20"/>
                <w:spacing w:val="-2"/>
                <w:sz w:val="16"/>
              </w:rPr>
              <w:t>Product</w:t>
            </w:r>
          </w:p>
        </w:tc>
        <w:tc>
          <w:tcPr>
            <w:tcW w:w="971" w:type="dxa"/>
          </w:tcPr>
          <w:p>
            <w:pPr>
              <w:pStyle w:val="TableParagraph"/>
              <w:spacing w:before="21"/>
              <w:ind w:left="60"/>
              <w:rPr>
                <w:sz w:val="16"/>
              </w:rPr>
            </w:pPr>
            <w:r>
              <w:rPr>
                <w:color w:val="231F20"/>
                <w:spacing w:val="-2"/>
                <w:sz w:val="16"/>
              </w:rPr>
              <w:t>Version</w:t>
            </w:r>
          </w:p>
        </w:tc>
        <w:tc>
          <w:tcPr>
            <w:tcW w:w="2358" w:type="dxa"/>
          </w:tcPr>
          <w:p>
            <w:pPr>
              <w:pStyle w:val="TableParagraph"/>
              <w:spacing w:before="21"/>
              <w:ind w:left="60"/>
              <w:rPr>
                <w:sz w:val="16"/>
              </w:rPr>
            </w:pPr>
            <w:r>
              <w:rPr>
                <w:color w:val="231F20"/>
                <w:sz w:val="16"/>
              </w:rPr>
              <w:t>Managing</w:t>
            </w:r>
            <w:r>
              <w:rPr>
                <w:color w:val="231F20"/>
                <w:spacing w:val="5"/>
                <w:sz w:val="16"/>
              </w:rPr>
              <w:t> </w:t>
            </w:r>
            <w:r>
              <w:rPr>
                <w:color w:val="231F20"/>
                <w:spacing w:val="-2"/>
                <w:sz w:val="16"/>
              </w:rPr>
              <w:t>System</w:t>
            </w:r>
          </w:p>
        </w:tc>
        <w:tc>
          <w:tcPr>
            <w:tcW w:w="2329" w:type="dxa"/>
          </w:tcPr>
          <w:p>
            <w:pPr>
              <w:pStyle w:val="TableParagraph"/>
              <w:spacing w:before="21"/>
              <w:ind w:left="60"/>
              <w:rPr>
                <w:sz w:val="16"/>
              </w:rPr>
            </w:pPr>
            <w:r>
              <w:rPr>
                <w:color w:val="231F20"/>
                <w:spacing w:val="-2"/>
                <w:sz w:val="16"/>
              </w:rPr>
              <w:t>Timestamp</w:t>
            </w:r>
          </w:p>
        </w:tc>
      </w:tr>
      <w:tr>
        <w:trPr>
          <w:trHeight w:val="289" w:hRule="atLeast"/>
        </w:trPr>
        <w:tc>
          <w:tcPr>
            <w:tcW w:w="338" w:type="dxa"/>
          </w:tcPr>
          <w:p>
            <w:pPr>
              <w:pStyle w:val="TableParagraph"/>
              <w:spacing w:before="3"/>
              <w:ind w:left="0"/>
              <w:rPr>
                <w:sz w:val="6"/>
              </w:rPr>
            </w:pPr>
          </w:p>
          <w:p>
            <w:pPr>
              <w:pStyle w:val="TableParagraph"/>
              <w:spacing w:line="160" w:lineRule="exact" w:before="0"/>
              <w:ind w:left="44"/>
              <w:rPr>
                <w:sz w:val="16"/>
              </w:rPr>
            </w:pPr>
            <w:r>
              <w:rPr>
                <w:position w:val="-2"/>
                <w:sz w:val="16"/>
              </w:rPr>
              <w:drawing>
                <wp:inline distT="0" distB="0" distL="0" distR="0">
                  <wp:extent cx="102107" cy="102108"/>
                  <wp:effectExtent l="0" t="0" r="0" b="0"/>
                  <wp:docPr id="3085" name="Image 3085"/>
                  <wp:cNvGraphicFramePr>
                    <a:graphicFrameLocks/>
                  </wp:cNvGraphicFramePr>
                  <a:graphic>
                    <a:graphicData uri="http://schemas.openxmlformats.org/drawingml/2006/picture">
                      <pic:pic>
                        <pic:nvPicPr>
                          <pic:cNvPr id="3085" name="Image 3085"/>
                          <pic:cNvPicPr/>
                        </pic:nvPicPr>
                        <pic:blipFill>
                          <a:blip r:embed="rId79" cstate="print"/>
                          <a:stretch>
                            <a:fillRect/>
                          </a:stretch>
                        </pic:blipFill>
                        <pic:spPr>
                          <a:xfrm>
                            <a:off x="0" y="0"/>
                            <a:ext cx="102107" cy="102108"/>
                          </a:xfrm>
                          <a:prstGeom prst="rect">
                            <a:avLst/>
                          </a:prstGeom>
                        </pic:spPr>
                      </pic:pic>
                    </a:graphicData>
                  </a:graphic>
                </wp:inline>
              </w:drawing>
            </w:r>
            <w:r>
              <w:rPr>
                <w:position w:val="-2"/>
                <w:sz w:val="16"/>
              </w:rPr>
            </w:r>
          </w:p>
        </w:tc>
        <w:tc>
          <w:tcPr>
            <w:tcW w:w="1081" w:type="dxa"/>
          </w:tcPr>
          <w:p>
            <w:pPr>
              <w:pStyle w:val="TableParagraph"/>
              <w:spacing w:before="21"/>
              <w:ind w:left="60"/>
              <w:rPr>
                <w:sz w:val="16"/>
              </w:rPr>
            </w:pPr>
            <w:r>
              <w:rPr>
                <w:color w:val="231F20"/>
                <w:spacing w:val="-2"/>
                <w:sz w:val="16"/>
              </w:rPr>
              <w:t>*ONLINE</w:t>
            </w:r>
          </w:p>
        </w:tc>
        <w:tc>
          <w:tcPr>
            <w:tcW w:w="1520" w:type="dxa"/>
          </w:tcPr>
          <w:p>
            <w:pPr>
              <w:pStyle w:val="TableParagraph"/>
              <w:spacing w:before="21"/>
              <w:ind w:left="60"/>
              <w:rPr>
                <w:sz w:val="16"/>
              </w:rPr>
            </w:pPr>
            <w:r>
              <w:rPr>
                <w:color w:val="231F20"/>
                <w:spacing w:val="-2"/>
                <w:sz w:val="16"/>
              </w:rPr>
              <w:t>HUB_IBM-</w:t>
            </w:r>
            <w:r>
              <w:rPr>
                <w:color w:val="231F20"/>
                <w:spacing w:val="-4"/>
                <w:sz w:val="16"/>
              </w:rPr>
              <w:t>WIN1</w:t>
            </w:r>
          </w:p>
        </w:tc>
        <w:tc>
          <w:tcPr>
            <w:tcW w:w="971" w:type="dxa"/>
          </w:tcPr>
          <w:p>
            <w:pPr>
              <w:pStyle w:val="TableParagraph"/>
              <w:spacing w:before="21"/>
              <w:ind w:left="60"/>
              <w:rPr>
                <w:sz w:val="16"/>
              </w:rPr>
            </w:pPr>
            <w:r>
              <w:rPr>
                <w:color w:val="231F20"/>
                <w:spacing w:val="-5"/>
                <w:sz w:val="16"/>
              </w:rPr>
              <w:t>EM</w:t>
            </w:r>
          </w:p>
        </w:tc>
        <w:tc>
          <w:tcPr>
            <w:tcW w:w="971" w:type="dxa"/>
          </w:tcPr>
          <w:p>
            <w:pPr>
              <w:pStyle w:val="TableParagraph"/>
              <w:spacing w:before="21"/>
              <w:ind w:left="60"/>
              <w:rPr>
                <w:sz w:val="16"/>
              </w:rPr>
            </w:pPr>
            <w:r>
              <w:rPr>
                <w:color w:val="231F20"/>
                <w:spacing w:val="-2"/>
                <w:sz w:val="16"/>
              </w:rPr>
              <w:t>06.23.00</w:t>
            </w:r>
          </w:p>
        </w:tc>
        <w:tc>
          <w:tcPr>
            <w:tcW w:w="2358" w:type="dxa"/>
          </w:tcPr>
          <w:p>
            <w:pPr>
              <w:pStyle w:val="TableParagraph"/>
              <w:spacing w:before="21"/>
              <w:ind w:left="60"/>
              <w:rPr>
                <w:sz w:val="16"/>
              </w:rPr>
            </w:pPr>
            <w:r>
              <w:rPr>
                <w:color w:val="231F20"/>
                <w:spacing w:val="-2"/>
                <w:sz w:val="16"/>
              </w:rPr>
              <w:t>HUB_IBM-</w:t>
            </w:r>
            <w:r>
              <w:rPr>
                <w:color w:val="231F20"/>
                <w:spacing w:val="-4"/>
                <w:sz w:val="16"/>
              </w:rPr>
              <w:t>WIN1</w:t>
            </w:r>
          </w:p>
        </w:tc>
        <w:tc>
          <w:tcPr>
            <w:tcW w:w="2329" w:type="dxa"/>
          </w:tcPr>
          <w:p>
            <w:pPr>
              <w:pStyle w:val="TableParagraph"/>
              <w:spacing w:before="21"/>
              <w:ind w:left="60"/>
              <w:rPr>
                <w:sz w:val="16"/>
              </w:rPr>
            </w:pPr>
            <w:r>
              <w:rPr>
                <w:color w:val="231F20"/>
                <w:w w:val="110"/>
                <w:sz w:val="16"/>
              </w:rPr>
              <w:t>01/31/13</w:t>
            </w:r>
            <w:r>
              <w:rPr>
                <w:color w:val="231F20"/>
                <w:spacing w:val="38"/>
                <w:w w:val="110"/>
                <w:sz w:val="16"/>
              </w:rPr>
              <w:t> </w:t>
            </w:r>
            <w:r>
              <w:rPr>
                <w:color w:val="231F20"/>
                <w:spacing w:val="-2"/>
                <w:w w:val="110"/>
                <w:sz w:val="16"/>
              </w:rPr>
              <w:t>17:00:01</w:t>
            </w:r>
          </w:p>
        </w:tc>
      </w:tr>
    </w:tbl>
    <w:p>
      <w:pPr>
        <w:pStyle w:val="BodyText"/>
        <w:spacing w:line="177" w:lineRule="auto" w:before="145"/>
        <w:ind w:left="3190" w:right="545"/>
      </w:pPr>
      <w:r>
        <w:rPr>
          <w:color w:val="231F20"/>
        </w:rPr>
        <w:t>This example displays a subset of the targeted Agent Operations </w:t>
      </w:r>
      <w:r>
        <w:rPr>
          <w:color w:val="231F20"/>
        </w:rPr>
        <w:t>Log linked workspace:</w:t>
      </w:r>
    </w:p>
    <w:p>
      <w:pPr>
        <w:pStyle w:val="BodyText"/>
        <w:spacing w:before="8" w:after="1"/>
        <w:rPr>
          <w:sz w:val="12"/>
        </w:r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118"/>
        <w:gridCol w:w="1849"/>
        <w:gridCol w:w="5602"/>
      </w:tblGrid>
      <w:tr>
        <w:trPr>
          <w:trHeight w:val="249" w:hRule="atLeast"/>
        </w:trPr>
        <w:tc>
          <w:tcPr>
            <w:tcW w:w="9569" w:type="dxa"/>
            <w:gridSpan w:val="3"/>
          </w:tcPr>
          <w:p>
            <w:pPr>
              <w:pStyle w:val="TableParagraph"/>
              <w:spacing w:before="14"/>
              <w:ind w:left="54"/>
              <w:rPr>
                <w:rFonts w:ascii="Book Antiqua"/>
                <w:b/>
                <w:sz w:val="16"/>
              </w:rPr>
            </w:pPr>
            <w:r>
              <w:rPr>
                <w:position w:val="-4"/>
              </w:rPr>
              <w:drawing>
                <wp:inline distT="0" distB="0" distL="0" distR="0">
                  <wp:extent cx="95250" cy="95250"/>
                  <wp:effectExtent l="0" t="0" r="0" b="0"/>
                  <wp:docPr id="3086" name="Image 3086"/>
                  <wp:cNvGraphicFramePr>
                    <a:graphicFrameLocks/>
                  </wp:cNvGraphicFramePr>
                  <a:graphic>
                    <a:graphicData uri="http://schemas.openxmlformats.org/drawingml/2006/picture">
                      <pic:pic>
                        <pic:nvPicPr>
                          <pic:cNvPr id="3086" name="Image 3086"/>
                          <pic:cNvPicPr/>
                        </pic:nvPicPr>
                        <pic:blipFill>
                          <a:blip r:embed="rId50" cstate="print"/>
                          <a:stretch>
                            <a:fillRect/>
                          </a:stretch>
                        </pic:blipFill>
                        <pic:spPr>
                          <a:xfrm>
                            <a:off x="0" y="0"/>
                            <a:ext cx="95250" cy="95250"/>
                          </a:xfrm>
                          <a:prstGeom prst="rect">
                            <a:avLst/>
                          </a:prstGeom>
                        </pic:spPr>
                      </pic:pic>
                    </a:graphicData>
                  </a:graphic>
                </wp:inline>
              </w:drawing>
            </w:r>
            <w:r>
              <w:rPr>
                <w:position w:val="-4"/>
              </w:rPr>
            </w:r>
            <w:r>
              <w:rPr>
                <w:rFonts w:ascii="Times New Roman"/>
                <w:spacing w:val="40"/>
                <w:sz w:val="20"/>
              </w:rPr>
              <w:t> </w:t>
            </w:r>
            <w:r>
              <w:rPr>
                <w:rFonts w:ascii="Book Antiqua"/>
                <w:b/>
                <w:color w:val="231F20"/>
                <w:sz w:val="16"/>
              </w:rPr>
              <w:t>Agent</w:t>
            </w:r>
            <w:r>
              <w:rPr>
                <w:rFonts w:ascii="Book Antiqua"/>
                <w:b/>
                <w:color w:val="231F20"/>
                <w:spacing w:val="23"/>
                <w:sz w:val="16"/>
              </w:rPr>
              <w:t> </w:t>
            </w:r>
            <w:r>
              <w:rPr>
                <w:rFonts w:ascii="Book Antiqua"/>
                <w:b/>
                <w:color w:val="231F20"/>
                <w:sz w:val="16"/>
              </w:rPr>
              <w:t>Operations</w:t>
            </w:r>
            <w:r>
              <w:rPr>
                <w:rFonts w:ascii="Book Antiqua"/>
                <w:b/>
                <w:color w:val="231F20"/>
                <w:spacing w:val="23"/>
                <w:sz w:val="16"/>
              </w:rPr>
              <w:t> </w:t>
            </w:r>
            <w:r>
              <w:rPr>
                <w:rFonts w:ascii="Book Antiqua"/>
                <w:b/>
                <w:color w:val="231F20"/>
                <w:sz w:val="16"/>
              </w:rPr>
              <w:t>Log</w:t>
            </w:r>
          </w:p>
        </w:tc>
      </w:tr>
      <w:tr>
        <w:trPr>
          <w:trHeight w:val="274" w:hRule="atLeast"/>
        </w:trPr>
        <w:tc>
          <w:tcPr>
            <w:tcW w:w="2118" w:type="dxa"/>
          </w:tcPr>
          <w:p>
            <w:pPr>
              <w:pStyle w:val="TableParagraph"/>
              <w:spacing w:before="21"/>
              <w:ind w:left="44"/>
              <w:rPr>
                <w:sz w:val="16"/>
              </w:rPr>
            </w:pPr>
            <w:r>
              <w:rPr>
                <w:color w:val="231F20"/>
                <w:sz w:val="16"/>
              </w:rPr>
              <w:t>Global</w:t>
            </w:r>
            <w:r>
              <w:rPr>
                <w:color w:val="231F20"/>
                <w:spacing w:val="8"/>
                <w:sz w:val="16"/>
              </w:rPr>
              <w:t> </w:t>
            </w:r>
            <w:r>
              <w:rPr>
                <w:color w:val="231F20"/>
                <w:spacing w:val="-2"/>
                <w:sz w:val="16"/>
              </w:rPr>
              <w:t>Timestamp</w:t>
            </w:r>
          </w:p>
        </w:tc>
        <w:tc>
          <w:tcPr>
            <w:tcW w:w="1849" w:type="dxa"/>
          </w:tcPr>
          <w:p>
            <w:pPr>
              <w:pStyle w:val="TableParagraph"/>
              <w:spacing w:before="21"/>
              <w:rPr>
                <w:sz w:val="16"/>
              </w:rPr>
            </w:pPr>
            <w:r>
              <w:rPr>
                <w:color w:val="231F20"/>
                <w:sz w:val="16"/>
              </w:rPr>
              <w:t>Message</w:t>
            </w:r>
            <w:r>
              <w:rPr>
                <w:color w:val="231F20"/>
                <w:spacing w:val="6"/>
                <w:sz w:val="16"/>
              </w:rPr>
              <w:t> </w:t>
            </w:r>
            <w:r>
              <w:rPr>
                <w:color w:val="231F20"/>
                <w:spacing w:val="-2"/>
                <w:sz w:val="16"/>
              </w:rPr>
              <w:t>Number</w:t>
            </w:r>
          </w:p>
        </w:tc>
        <w:tc>
          <w:tcPr>
            <w:tcW w:w="5602" w:type="dxa"/>
          </w:tcPr>
          <w:p>
            <w:pPr>
              <w:pStyle w:val="TableParagraph"/>
              <w:spacing w:before="21"/>
              <w:rPr>
                <w:sz w:val="16"/>
              </w:rPr>
            </w:pPr>
            <w:r>
              <w:rPr>
                <w:color w:val="231F20"/>
                <w:sz w:val="16"/>
              </w:rPr>
              <w:t>Message</w:t>
            </w:r>
            <w:r>
              <w:rPr>
                <w:color w:val="231F20"/>
                <w:spacing w:val="6"/>
                <w:sz w:val="16"/>
              </w:rPr>
              <w:t> </w:t>
            </w:r>
            <w:r>
              <w:rPr>
                <w:color w:val="231F20"/>
                <w:spacing w:val="-4"/>
                <w:sz w:val="16"/>
              </w:rPr>
              <w:t>Text</w:t>
            </w:r>
          </w:p>
        </w:tc>
      </w:tr>
      <w:tr>
        <w:trPr>
          <w:trHeight w:val="289" w:hRule="atLeast"/>
        </w:trPr>
        <w:tc>
          <w:tcPr>
            <w:tcW w:w="2118" w:type="dxa"/>
          </w:tcPr>
          <w:p>
            <w:pPr>
              <w:pStyle w:val="TableParagraph"/>
              <w:spacing w:before="21"/>
              <w:ind w:left="44"/>
              <w:rPr>
                <w:sz w:val="16"/>
              </w:rPr>
            </w:pPr>
            <w:r>
              <w:rPr>
                <w:color w:val="231F20"/>
                <w:w w:val="110"/>
                <w:sz w:val="16"/>
              </w:rPr>
              <w:t>01/31/13</w:t>
            </w:r>
            <w:r>
              <w:rPr>
                <w:color w:val="231F20"/>
                <w:spacing w:val="38"/>
                <w:w w:val="110"/>
                <w:sz w:val="16"/>
              </w:rPr>
              <w:t> </w:t>
            </w:r>
            <w:r>
              <w:rPr>
                <w:color w:val="231F20"/>
                <w:spacing w:val="-2"/>
                <w:w w:val="110"/>
                <w:sz w:val="16"/>
              </w:rPr>
              <w:t>17:08:29</w:t>
            </w:r>
          </w:p>
        </w:tc>
        <w:tc>
          <w:tcPr>
            <w:tcW w:w="1849" w:type="dxa"/>
          </w:tcPr>
          <w:p>
            <w:pPr>
              <w:pStyle w:val="TableParagraph"/>
              <w:spacing w:before="21"/>
              <w:rPr>
                <w:sz w:val="16"/>
              </w:rPr>
            </w:pPr>
            <w:r>
              <w:rPr>
                <w:color w:val="231F20"/>
                <w:spacing w:val="-2"/>
                <w:sz w:val="16"/>
              </w:rPr>
              <w:t>KDSPA004</w:t>
            </w:r>
          </w:p>
        </w:tc>
        <w:tc>
          <w:tcPr>
            <w:tcW w:w="5602" w:type="dxa"/>
          </w:tcPr>
          <w:p>
            <w:pPr>
              <w:pStyle w:val="TableParagraph"/>
              <w:spacing w:before="21"/>
              <w:rPr>
                <w:sz w:val="16"/>
              </w:rPr>
            </w:pPr>
            <w:r>
              <w:rPr>
                <w:color w:val="231F20"/>
                <w:sz w:val="16"/>
              </w:rPr>
              <w:t>Logon</w:t>
            </w:r>
            <w:r>
              <w:rPr>
                <w:color w:val="231F20"/>
                <w:spacing w:val="7"/>
                <w:sz w:val="16"/>
              </w:rPr>
              <w:t> </w:t>
            </w:r>
            <w:r>
              <w:rPr>
                <w:color w:val="231F20"/>
                <w:sz w:val="16"/>
              </w:rPr>
              <w:t>validation</w:t>
            </w:r>
            <w:r>
              <w:rPr>
                <w:color w:val="231F20"/>
                <w:spacing w:val="7"/>
                <w:sz w:val="16"/>
              </w:rPr>
              <w:t> </w:t>
            </w:r>
            <w:r>
              <w:rPr>
                <w:color w:val="231F20"/>
                <w:sz w:val="16"/>
              </w:rPr>
              <w:t>failed.</w:t>
            </w:r>
            <w:r>
              <w:rPr>
                <w:color w:val="231F20"/>
                <w:spacing w:val="8"/>
                <w:sz w:val="16"/>
              </w:rPr>
              <w:t> </w:t>
            </w:r>
            <w:r>
              <w:rPr>
                <w:color w:val="231F20"/>
                <w:sz w:val="16"/>
              </w:rPr>
              <w:t>User</w:t>
            </w:r>
            <w:r>
              <w:rPr>
                <w:color w:val="231F20"/>
                <w:spacing w:val="7"/>
                <w:sz w:val="16"/>
              </w:rPr>
              <w:t> </w:t>
            </w:r>
            <w:r>
              <w:rPr>
                <w:color w:val="231F20"/>
                <w:sz w:val="16"/>
              </w:rPr>
              <w:t>SYSADMIN</w:t>
            </w:r>
            <w:r>
              <w:rPr>
                <w:color w:val="231F20"/>
                <w:spacing w:val="7"/>
                <w:sz w:val="16"/>
              </w:rPr>
              <w:t> </w:t>
            </w:r>
            <w:r>
              <w:rPr>
                <w:color w:val="231F20"/>
                <w:spacing w:val="-2"/>
                <w:sz w:val="16"/>
              </w:rPr>
              <w:t>ip.pipe:#9.99.9...</w:t>
            </w:r>
          </w:p>
        </w:tc>
      </w:tr>
    </w:tbl>
    <w:p>
      <w:pPr>
        <w:pStyle w:val="BodyText"/>
        <w:spacing w:line="177" w:lineRule="auto" w:before="145"/>
        <w:ind w:left="3190" w:right="545"/>
      </w:pPr>
      <w:r>
        <w:rPr>
          <w:color w:val="231F20"/>
        </w:rPr>
        <w:t>This example displays a subset of the targeted </w:t>
      </w:r>
      <w:hyperlink w:history="true" w:anchor="_bookmark298">
        <w:r>
          <w:rPr>
            <w:color w:val="231F20"/>
          </w:rPr>
          <w:t>Audit Log</w:t>
        </w:r>
      </w:hyperlink>
      <w:r>
        <w:rPr>
          <w:color w:val="231F20"/>
        </w:rPr>
        <w:t> </w:t>
      </w:r>
      <w:r>
        <w:rPr>
          <w:color w:val="231F20"/>
        </w:rPr>
        <w:t>linked </w:t>
      </w:r>
      <w:r>
        <w:rPr>
          <w:color w:val="231F20"/>
          <w:spacing w:val="-2"/>
        </w:rPr>
        <w:t>workspace:</w:t>
      </w:r>
    </w:p>
    <w:p>
      <w:pPr>
        <w:pStyle w:val="BodyText"/>
        <w:spacing w:before="8" w:after="1"/>
        <w:rPr>
          <w:sz w:val="12"/>
        </w:r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463"/>
        <w:gridCol w:w="1523"/>
        <w:gridCol w:w="3640"/>
        <w:gridCol w:w="835"/>
        <w:gridCol w:w="862"/>
        <w:gridCol w:w="1249"/>
      </w:tblGrid>
      <w:tr>
        <w:trPr>
          <w:trHeight w:val="249" w:hRule="atLeast"/>
        </w:trPr>
        <w:tc>
          <w:tcPr>
            <w:tcW w:w="9572" w:type="dxa"/>
            <w:gridSpan w:val="6"/>
          </w:tcPr>
          <w:p>
            <w:pPr>
              <w:pStyle w:val="TableParagraph"/>
              <w:spacing w:before="14"/>
              <w:ind w:left="54"/>
              <w:rPr>
                <w:rFonts w:ascii="Book Antiqua"/>
                <w:b/>
                <w:sz w:val="16"/>
              </w:rPr>
            </w:pPr>
            <w:r>
              <w:rPr>
                <w:position w:val="-4"/>
              </w:rPr>
              <w:drawing>
                <wp:inline distT="0" distB="0" distL="0" distR="0">
                  <wp:extent cx="95250" cy="95250"/>
                  <wp:effectExtent l="0" t="0" r="0" b="0"/>
                  <wp:docPr id="3087" name="Image 3087"/>
                  <wp:cNvGraphicFramePr>
                    <a:graphicFrameLocks/>
                  </wp:cNvGraphicFramePr>
                  <a:graphic>
                    <a:graphicData uri="http://schemas.openxmlformats.org/drawingml/2006/picture">
                      <pic:pic>
                        <pic:nvPicPr>
                          <pic:cNvPr id="3087" name="Image 3087"/>
                          <pic:cNvPicPr/>
                        </pic:nvPicPr>
                        <pic:blipFill>
                          <a:blip r:embed="rId50" cstate="print"/>
                          <a:stretch>
                            <a:fillRect/>
                          </a:stretch>
                        </pic:blipFill>
                        <pic:spPr>
                          <a:xfrm>
                            <a:off x="0" y="0"/>
                            <a:ext cx="95250" cy="95250"/>
                          </a:xfrm>
                          <a:prstGeom prst="rect">
                            <a:avLst/>
                          </a:prstGeom>
                        </pic:spPr>
                      </pic:pic>
                    </a:graphicData>
                  </a:graphic>
                </wp:inline>
              </w:drawing>
            </w:r>
            <w:r>
              <w:rPr>
                <w:position w:val="-4"/>
              </w:rPr>
            </w:r>
            <w:r>
              <w:rPr>
                <w:rFonts w:ascii="Times New Roman"/>
                <w:spacing w:val="40"/>
                <w:sz w:val="20"/>
              </w:rPr>
              <w:t> </w:t>
            </w:r>
            <w:r>
              <w:rPr>
                <w:rFonts w:ascii="Book Antiqua"/>
                <w:b/>
                <w:color w:val="231F20"/>
                <w:sz w:val="16"/>
              </w:rPr>
              <w:t>Audit Log</w:t>
            </w:r>
          </w:p>
        </w:tc>
      </w:tr>
      <w:tr>
        <w:trPr>
          <w:trHeight w:val="469" w:hRule="atLeast"/>
        </w:trPr>
        <w:tc>
          <w:tcPr>
            <w:tcW w:w="1463" w:type="dxa"/>
          </w:tcPr>
          <w:p>
            <w:pPr>
              <w:pStyle w:val="TableParagraph"/>
              <w:spacing w:before="21"/>
              <w:ind w:left="44"/>
              <w:rPr>
                <w:sz w:val="16"/>
              </w:rPr>
            </w:pPr>
            <w:r>
              <w:rPr>
                <w:color w:val="231F20"/>
                <w:spacing w:val="-2"/>
                <w:sz w:val="16"/>
              </w:rPr>
              <w:t>Timestamp</w:t>
            </w:r>
          </w:p>
        </w:tc>
        <w:tc>
          <w:tcPr>
            <w:tcW w:w="1523" w:type="dxa"/>
          </w:tcPr>
          <w:p>
            <w:pPr>
              <w:pStyle w:val="TableParagraph"/>
              <w:spacing w:before="21"/>
              <w:rPr>
                <w:sz w:val="16"/>
              </w:rPr>
            </w:pPr>
            <w:r>
              <w:rPr>
                <w:color w:val="231F20"/>
                <w:spacing w:val="-2"/>
                <w:sz w:val="16"/>
              </w:rPr>
              <w:t>Origin</w:t>
            </w:r>
          </w:p>
        </w:tc>
        <w:tc>
          <w:tcPr>
            <w:tcW w:w="3640" w:type="dxa"/>
          </w:tcPr>
          <w:p>
            <w:pPr>
              <w:pStyle w:val="TableParagraph"/>
              <w:spacing w:before="21"/>
              <w:ind w:left="58"/>
              <w:rPr>
                <w:sz w:val="16"/>
              </w:rPr>
            </w:pPr>
            <w:r>
              <w:rPr>
                <w:color w:val="231F20"/>
                <w:spacing w:val="-2"/>
                <w:sz w:val="16"/>
              </w:rPr>
              <w:t>Message</w:t>
            </w:r>
          </w:p>
        </w:tc>
        <w:tc>
          <w:tcPr>
            <w:tcW w:w="835" w:type="dxa"/>
          </w:tcPr>
          <w:p>
            <w:pPr>
              <w:pStyle w:val="TableParagraph"/>
              <w:spacing w:before="21"/>
              <w:ind w:left="58"/>
              <w:rPr>
                <w:sz w:val="16"/>
              </w:rPr>
            </w:pPr>
            <w:r>
              <w:rPr>
                <w:color w:val="231F20"/>
                <w:spacing w:val="-2"/>
                <w:sz w:val="16"/>
              </w:rPr>
              <w:t>Result</w:t>
            </w:r>
          </w:p>
        </w:tc>
        <w:tc>
          <w:tcPr>
            <w:tcW w:w="862" w:type="dxa"/>
          </w:tcPr>
          <w:p>
            <w:pPr>
              <w:pStyle w:val="TableParagraph"/>
              <w:spacing w:before="21"/>
              <w:ind w:left="58"/>
              <w:rPr>
                <w:sz w:val="16"/>
              </w:rPr>
            </w:pPr>
            <w:r>
              <w:rPr>
                <w:color w:val="231F20"/>
                <w:sz w:val="16"/>
              </w:rPr>
              <w:t>User</w:t>
            </w:r>
            <w:r>
              <w:rPr>
                <w:color w:val="231F20"/>
                <w:spacing w:val="9"/>
                <w:sz w:val="16"/>
              </w:rPr>
              <w:t> </w:t>
            </w:r>
            <w:r>
              <w:rPr>
                <w:color w:val="231F20"/>
                <w:spacing w:val="-5"/>
                <w:sz w:val="16"/>
              </w:rPr>
              <w:t>ID</w:t>
            </w:r>
          </w:p>
        </w:tc>
        <w:tc>
          <w:tcPr>
            <w:tcW w:w="1249" w:type="dxa"/>
          </w:tcPr>
          <w:p>
            <w:pPr>
              <w:pStyle w:val="TableParagraph"/>
              <w:spacing w:line="216" w:lineRule="auto" w:before="38"/>
              <w:ind w:left="57" w:right="60" w:hanging="1"/>
              <w:rPr>
                <w:sz w:val="16"/>
              </w:rPr>
            </w:pPr>
            <w:r>
              <w:rPr>
                <w:color w:val="231F20"/>
                <w:spacing w:val="-2"/>
                <w:sz w:val="16"/>
              </w:rPr>
              <w:t>Authorization</w:t>
            </w:r>
            <w:r>
              <w:rPr>
                <w:color w:val="231F20"/>
                <w:spacing w:val="40"/>
                <w:sz w:val="16"/>
              </w:rPr>
              <w:t> </w:t>
            </w:r>
            <w:r>
              <w:rPr>
                <w:color w:val="231F20"/>
                <w:spacing w:val="-6"/>
                <w:sz w:val="16"/>
              </w:rPr>
              <w:t>ID</w:t>
            </w:r>
          </w:p>
        </w:tc>
      </w:tr>
      <w:tr>
        <w:trPr>
          <w:trHeight w:val="274" w:hRule="atLeast"/>
        </w:trPr>
        <w:tc>
          <w:tcPr>
            <w:tcW w:w="1463" w:type="dxa"/>
          </w:tcPr>
          <w:p>
            <w:pPr>
              <w:pStyle w:val="TableParagraph"/>
              <w:spacing w:before="21"/>
              <w:ind w:left="44"/>
              <w:rPr>
                <w:sz w:val="16"/>
              </w:rPr>
            </w:pPr>
            <w:r>
              <w:rPr>
                <w:color w:val="231F20"/>
                <w:w w:val="110"/>
                <w:sz w:val="16"/>
              </w:rPr>
              <w:t>01/31/13</w:t>
            </w:r>
            <w:r>
              <w:rPr>
                <w:color w:val="231F20"/>
                <w:spacing w:val="38"/>
                <w:w w:val="110"/>
                <w:sz w:val="16"/>
              </w:rPr>
              <w:t> </w:t>
            </w:r>
            <w:r>
              <w:rPr>
                <w:color w:val="231F20"/>
                <w:spacing w:val="-2"/>
                <w:w w:val="110"/>
                <w:sz w:val="16"/>
              </w:rPr>
              <w:t>03:42:32</w:t>
            </w:r>
          </w:p>
        </w:tc>
        <w:tc>
          <w:tcPr>
            <w:tcW w:w="1523" w:type="dxa"/>
          </w:tcPr>
          <w:p>
            <w:pPr>
              <w:pStyle w:val="TableParagraph"/>
              <w:spacing w:before="21"/>
              <w:rPr>
                <w:sz w:val="16"/>
              </w:rPr>
            </w:pPr>
            <w:r>
              <w:rPr>
                <w:color w:val="231F20"/>
                <w:spacing w:val="-2"/>
                <w:sz w:val="16"/>
              </w:rPr>
              <w:t>HUB_IBM-</w:t>
            </w:r>
            <w:r>
              <w:rPr>
                <w:color w:val="231F20"/>
                <w:spacing w:val="-4"/>
                <w:sz w:val="16"/>
              </w:rPr>
              <w:t>WIN1</w:t>
            </w:r>
          </w:p>
        </w:tc>
        <w:tc>
          <w:tcPr>
            <w:tcW w:w="3640" w:type="dxa"/>
          </w:tcPr>
          <w:p>
            <w:pPr>
              <w:pStyle w:val="TableParagraph"/>
              <w:spacing w:before="21"/>
              <w:ind w:left="58"/>
              <w:rPr>
                <w:sz w:val="16"/>
              </w:rPr>
            </w:pPr>
            <w:r>
              <w:rPr>
                <w:color w:val="231F20"/>
                <w:sz w:val="16"/>
              </w:rPr>
              <w:t>ITM</w:t>
            </w:r>
            <w:r>
              <w:rPr>
                <w:color w:val="231F20"/>
                <w:spacing w:val="3"/>
                <w:sz w:val="16"/>
              </w:rPr>
              <w:t> </w:t>
            </w:r>
            <w:r>
              <w:rPr>
                <w:color w:val="231F20"/>
                <w:sz w:val="16"/>
              </w:rPr>
              <w:t>Audit</w:t>
            </w:r>
            <w:r>
              <w:rPr>
                <w:color w:val="231F20"/>
                <w:spacing w:val="8"/>
                <w:sz w:val="16"/>
              </w:rPr>
              <w:t> </w:t>
            </w:r>
            <w:r>
              <w:rPr>
                <w:color w:val="231F20"/>
                <w:sz w:val="16"/>
              </w:rPr>
              <w:t>services</w:t>
            </w:r>
            <w:r>
              <w:rPr>
                <w:color w:val="231F20"/>
                <w:spacing w:val="9"/>
                <w:sz w:val="16"/>
              </w:rPr>
              <w:t> </w:t>
            </w:r>
            <w:r>
              <w:rPr>
                <w:color w:val="231F20"/>
                <w:spacing w:val="-2"/>
                <w:sz w:val="16"/>
              </w:rPr>
              <w:t>started.</w:t>
            </w:r>
          </w:p>
        </w:tc>
        <w:tc>
          <w:tcPr>
            <w:tcW w:w="835" w:type="dxa"/>
          </w:tcPr>
          <w:p>
            <w:pPr>
              <w:pStyle w:val="TableParagraph"/>
              <w:spacing w:before="21"/>
              <w:ind w:left="58"/>
              <w:rPr>
                <w:sz w:val="16"/>
              </w:rPr>
            </w:pPr>
            <w:r>
              <w:rPr>
                <w:color w:val="231F20"/>
                <w:spacing w:val="-10"/>
                <w:sz w:val="16"/>
              </w:rPr>
              <w:t>0</w:t>
            </w:r>
          </w:p>
        </w:tc>
        <w:tc>
          <w:tcPr>
            <w:tcW w:w="862" w:type="dxa"/>
          </w:tcPr>
          <w:p>
            <w:pPr>
              <w:pStyle w:val="TableParagraph"/>
              <w:spacing w:before="21"/>
              <w:ind w:left="58"/>
              <w:rPr>
                <w:sz w:val="16"/>
              </w:rPr>
            </w:pPr>
            <w:r>
              <w:rPr>
                <w:color w:val="231F20"/>
                <w:spacing w:val="-2"/>
                <w:sz w:val="16"/>
              </w:rPr>
              <w:t>SYSTEM</w:t>
            </w:r>
          </w:p>
        </w:tc>
        <w:tc>
          <w:tcPr>
            <w:tcW w:w="1249" w:type="dxa"/>
          </w:tcPr>
          <w:p>
            <w:pPr>
              <w:pStyle w:val="TableParagraph"/>
              <w:spacing w:before="21"/>
              <w:ind w:left="57"/>
              <w:rPr>
                <w:sz w:val="16"/>
              </w:rPr>
            </w:pPr>
            <w:r>
              <w:rPr>
                <w:color w:val="231F20"/>
                <w:spacing w:val="-2"/>
                <w:sz w:val="16"/>
              </w:rPr>
              <w:t>SYSTEM</w:t>
            </w:r>
          </w:p>
        </w:tc>
      </w:tr>
      <w:tr>
        <w:trPr>
          <w:trHeight w:val="484" w:hRule="atLeast"/>
        </w:trPr>
        <w:tc>
          <w:tcPr>
            <w:tcW w:w="1463" w:type="dxa"/>
          </w:tcPr>
          <w:p>
            <w:pPr>
              <w:pStyle w:val="TableParagraph"/>
              <w:spacing w:before="21"/>
              <w:ind w:left="44"/>
              <w:rPr>
                <w:sz w:val="16"/>
              </w:rPr>
            </w:pPr>
            <w:r>
              <w:rPr>
                <w:color w:val="231F20"/>
                <w:w w:val="110"/>
                <w:sz w:val="16"/>
              </w:rPr>
              <w:t>01/31/13</w:t>
            </w:r>
            <w:r>
              <w:rPr>
                <w:color w:val="231F20"/>
                <w:spacing w:val="38"/>
                <w:w w:val="110"/>
                <w:sz w:val="16"/>
              </w:rPr>
              <w:t> </w:t>
            </w:r>
            <w:r>
              <w:rPr>
                <w:color w:val="231F20"/>
                <w:spacing w:val="-2"/>
                <w:w w:val="110"/>
                <w:sz w:val="16"/>
              </w:rPr>
              <w:t>19:46:46</w:t>
            </w:r>
          </w:p>
        </w:tc>
        <w:tc>
          <w:tcPr>
            <w:tcW w:w="1523" w:type="dxa"/>
          </w:tcPr>
          <w:p>
            <w:pPr>
              <w:pStyle w:val="TableParagraph"/>
              <w:spacing w:before="21"/>
              <w:rPr>
                <w:sz w:val="16"/>
              </w:rPr>
            </w:pPr>
            <w:r>
              <w:rPr>
                <w:color w:val="231F20"/>
                <w:spacing w:val="-2"/>
                <w:sz w:val="16"/>
              </w:rPr>
              <w:t>HUB_IBM-</w:t>
            </w:r>
            <w:r>
              <w:rPr>
                <w:color w:val="231F20"/>
                <w:spacing w:val="-4"/>
                <w:sz w:val="16"/>
              </w:rPr>
              <w:t>WIN1</w:t>
            </w:r>
          </w:p>
        </w:tc>
        <w:tc>
          <w:tcPr>
            <w:tcW w:w="3640" w:type="dxa"/>
          </w:tcPr>
          <w:p>
            <w:pPr>
              <w:pStyle w:val="TableParagraph"/>
              <w:spacing w:line="216" w:lineRule="auto" w:before="38"/>
              <w:ind w:left="58" w:right="126" w:hanging="1"/>
              <w:rPr>
                <w:sz w:val="16"/>
              </w:rPr>
            </w:pPr>
            <w:r>
              <w:rPr>
                <w:color w:val="231F20"/>
                <w:sz w:val="16"/>
              </w:rPr>
              <w:t>Self-describing</w:t>
            </w:r>
            <w:r>
              <w:rPr>
                <w:color w:val="231F20"/>
                <w:spacing w:val="-2"/>
                <w:sz w:val="16"/>
              </w:rPr>
              <w:t> </w:t>
            </w:r>
            <w:r>
              <w:rPr>
                <w:color w:val="231F20"/>
                <w:sz w:val="16"/>
              </w:rPr>
              <w:t>Agent Feature enabled at </w:t>
            </w:r>
            <w:r>
              <w:rPr>
                <w:color w:val="231F20"/>
                <w:sz w:val="16"/>
              </w:rPr>
              <w:t>the</w:t>
            </w:r>
            <w:r>
              <w:rPr>
                <w:color w:val="231F20"/>
                <w:spacing w:val="40"/>
                <w:sz w:val="16"/>
              </w:rPr>
              <w:t> </w:t>
            </w:r>
            <w:r>
              <w:rPr>
                <w:color w:val="231F20"/>
                <w:sz w:val="16"/>
              </w:rPr>
              <w:t>local TEMS.</w:t>
            </w:r>
          </w:p>
        </w:tc>
        <w:tc>
          <w:tcPr>
            <w:tcW w:w="835" w:type="dxa"/>
          </w:tcPr>
          <w:p>
            <w:pPr>
              <w:pStyle w:val="TableParagraph"/>
              <w:spacing w:before="21"/>
              <w:ind w:left="58"/>
              <w:rPr>
                <w:sz w:val="16"/>
              </w:rPr>
            </w:pPr>
            <w:r>
              <w:rPr>
                <w:color w:val="231F20"/>
                <w:spacing w:val="-10"/>
                <w:sz w:val="16"/>
              </w:rPr>
              <w:t>0</w:t>
            </w:r>
          </w:p>
        </w:tc>
        <w:tc>
          <w:tcPr>
            <w:tcW w:w="862" w:type="dxa"/>
          </w:tcPr>
          <w:p>
            <w:pPr>
              <w:pStyle w:val="TableParagraph"/>
              <w:spacing w:before="0"/>
              <w:ind w:left="0"/>
              <w:rPr>
                <w:rFonts w:ascii="Times New Roman"/>
                <w:sz w:val="18"/>
              </w:rPr>
            </w:pPr>
          </w:p>
        </w:tc>
        <w:tc>
          <w:tcPr>
            <w:tcW w:w="1249" w:type="dxa"/>
          </w:tcPr>
          <w:p>
            <w:pPr>
              <w:pStyle w:val="TableParagraph"/>
              <w:spacing w:before="21"/>
              <w:ind w:left="57"/>
              <w:rPr>
                <w:sz w:val="16"/>
              </w:rPr>
            </w:pPr>
            <w:r>
              <w:rPr>
                <w:color w:val="231F20"/>
                <w:spacing w:val="-2"/>
                <w:sz w:val="16"/>
              </w:rPr>
              <w:t>SYSTEM</w:t>
            </w:r>
          </w:p>
        </w:tc>
      </w:tr>
    </w:tbl>
    <w:p>
      <w:pPr>
        <w:pStyle w:val="BodyText"/>
        <w:spacing w:line="177" w:lineRule="auto" w:before="146"/>
        <w:ind w:left="3190"/>
      </w:pPr>
      <w:r>
        <w:rPr>
          <w:color w:val="231F20"/>
        </w:rPr>
        <w:t>This example displays a subset of the targeted </w:t>
      </w:r>
      <w:hyperlink w:history="true" w:anchor="_bookmark300">
        <w:r>
          <w:rPr>
            <w:color w:val="231F20"/>
          </w:rPr>
          <w:t>History Exports</w:t>
        </w:r>
      </w:hyperlink>
      <w:r>
        <w:rPr>
          <w:color w:val="231F20"/>
        </w:rPr>
        <w:t> </w:t>
      </w:r>
      <w:r>
        <w:rPr>
          <w:color w:val="231F20"/>
        </w:rPr>
        <w:t>linked </w:t>
      </w:r>
      <w:r>
        <w:rPr>
          <w:color w:val="231F20"/>
          <w:spacing w:val="-2"/>
        </w:rPr>
        <w:t>workspace:</w:t>
      </w:r>
    </w:p>
    <w:p>
      <w:pPr>
        <w:pStyle w:val="BodyText"/>
        <w:spacing w:before="8"/>
        <w:rPr>
          <w:sz w:val="12"/>
        </w:rPr>
      </w:pPr>
    </w:p>
    <w:tbl>
      <w:tblPr>
        <w:tblW w:w="0" w:type="auto"/>
        <w:jc w:val="left"/>
        <w:tblInd w:w="446"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868"/>
        <w:gridCol w:w="1403"/>
        <w:gridCol w:w="1304"/>
        <w:gridCol w:w="1304"/>
        <w:gridCol w:w="1403"/>
        <w:gridCol w:w="1289"/>
      </w:tblGrid>
      <w:tr>
        <w:trPr>
          <w:trHeight w:val="249" w:hRule="atLeast"/>
        </w:trPr>
        <w:tc>
          <w:tcPr>
            <w:tcW w:w="9571" w:type="dxa"/>
            <w:gridSpan w:val="6"/>
          </w:tcPr>
          <w:p>
            <w:pPr>
              <w:pStyle w:val="TableParagraph"/>
              <w:spacing w:before="14"/>
              <w:ind w:left="54"/>
              <w:rPr>
                <w:rFonts w:ascii="Book Antiqua"/>
                <w:b/>
                <w:sz w:val="16"/>
              </w:rPr>
            </w:pPr>
            <w:r>
              <w:rPr>
                <w:position w:val="-4"/>
              </w:rPr>
              <w:drawing>
                <wp:inline distT="0" distB="0" distL="0" distR="0">
                  <wp:extent cx="95250" cy="95250"/>
                  <wp:effectExtent l="0" t="0" r="0" b="0"/>
                  <wp:docPr id="3088" name="Image 3088"/>
                  <wp:cNvGraphicFramePr>
                    <a:graphicFrameLocks/>
                  </wp:cNvGraphicFramePr>
                  <a:graphic>
                    <a:graphicData uri="http://schemas.openxmlformats.org/drawingml/2006/picture">
                      <pic:pic>
                        <pic:nvPicPr>
                          <pic:cNvPr id="3088" name="Image 3088"/>
                          <pic:cNvPicPr/>
                        </pic:nvPicPr>
                        <pic:blipFill>
                          <a:blip r:embed="rId50" cstate="print"/>
                          <a:stretch>
                            <a:fillRect/>
                          </a:stretch>
                        </pic:blipFill>
                        <pic:spPr>
                          <a:xfrm>
                            <a:off x="0" y="0"/>
                            <a:ext cx="95250" cy="95250"/>
                          </a:xfrm>
                          <a:prstGeom prst="rect">
                            <a:avLst/>
                          </a:prstGeom>
                        </pic:spPr>
                      </pic:pic>
                    </a:graphicData>
                  </a:graphic>
                </wp:inline>
              </w:drawing>
            </w:r>
            <w:r>
              <w:rPr>
                <w:position w:val="-4"/>
              </w:rPr>
            </w:r>
            <w:r>
              <w:rPr>
                <w:rFonts w:ascii="Times New Roman"/>
                <w:spacing w:val="40"/>
                <w:sz w:val="20"/>
              </w:rPr>
              <w:t> </w:t>
            </w:r>
            <w:r>
              <w:rPr>
                <w:rFonts w:ascii="Book Antiqua"/>
                <w:b/>
                <w:color w:val="231F20"/>
                <w:sz w:val="16"/>
              </w:rPr>
              <w:t>Historical</w:t>
            </w:r>
            <w:r>
              <w:rPr>
                <w:rFonts w:ascii="Book Antiqua"/>
                <w:b/>
                <w:color w:val="231F20"/>
                <w:spacing w:val="23"/>
                <w:sz w:val="16"/>
              </w:rPr>
              <w:t> </w:t>
            </w:r>
            <w:r>
              <w:rPr>
                <w:rFonts w:ascii="Book Antiqua"/>
                <w:b/>
                <w:color w:val="231F20"/>
                <w:sz w:val="16"/>
              </w:rPr>
              <w:t>Export</w:t>
            </w:r>
            <w:r>
              <w:rPr>
                <w:rFonts w:ascii="Book Antiqua"/>
                <w:b/>
                <w:color w:val="231F20"/>
                <w:spacing w:val="23"/>
                <w:sz w:val="16"/>
              </w:rPr>
              <w:t> </w:t>
            </w:r>
            <w:r>
              <w:rPr>
                <w:rFonts w:ascii="Book Antiqua"/>
                <w:b/>
                <w:color w:val="231F20"/>
                <w:sz w:val="16"/>
              </w:rPr>
              <w:t>Statistics</w:t>
            </w:r>
          </w:p>
        </w:tc>
      </w:tr>
      <w:tr>
        <w:trPr>
          <w:trHeight w:val="469" w:hRule="atLeast"/>
        </w:trPr>
        <w:tc>
          <w:tcPr>
            <w:tcW w:w="2868" w:type="dxa"/>
          </w:tcPr>
          <w:p>
            <w:pPr>
              <w:pStyle w:val="TableParagraph"/>
              <w:spacing w:before="21"/>
              <w:ind w:left="44"/>
              <w:rPr>
                <w:sz w:val="16"/>
              </w:rPr>
            </w:pPr>
            <w:r>
              <w:rPr>
                <w:color w:val="231F20"/>
                <w:sz w:val="16"/>
              </w:rPr>
              <w:t>Collection</w:t>
            </w:r>
            <w:r>
              <w:rPr>
                <w:color w:val="231F20"/>
                <w:spacing w:val="5"/>
                <w:sz w:val="16"/>
              </w:rPr>
              <w:t> </w:t>
            </w:r>
            <w:r>
              <w:rPr>
                <w:color w:val="231F20"/>
                <w:spacing w:val="-2"/>
                <w:sz w:val="16"/>
              </w:rPr>
              <w:t>Identifer</w:t>
            </w:r>
          </w:p>
        </w:tc>
        <w:tc>
          <w:tcPr>
            <w:tcW w:w="1403" w:type="dxa"/>
          </w:tcPr>
          <w:p>
            <w:pPr>
              <w:pStyle w:val="TableParagraph"/>
              <w:spacing w:before="21"/>
              <w:rPr>
                <w:sz w:val="16"/>
              </w:rPr>
            </w:pPr>
            <w:r>
              <w:rPr>
                <w:color w:val="231F20"/>
                <w:sz w:val="16"/>
              </w:rPr>
              <w:t>Product</w:t>
            </w:r>
            <w:r>
              <w:rPr>
                <w:color w:val="231F20"/>
                <w:spacing w:val="4"/>
                <w:sz w:val="16"/>
              </w:rPr>
              <w:t> </w:t>
            </w:r>
            <w:r>
              <w:rPr>
                <w:color w:val="231F20"/>
                <w:spacing w:val="-4"/>
                <w:sz w:val="16"/>
              </w:rPr>
              <w:t>Code</w:t>
            </w:r>
          </w:p>
        </w:tc>
        <w:tc>
          <w:tcPr>
            <w:tcW w:w="1304" w:type="dxa"/>
          </w:tcPr>
          <w:p>
            <w:pPr>
              <w:pStyle w:val="TableParagraph"/>
              <w:spacing w:line="216" w:lineRule="auto" w:before="38"/>
              <w:ind w:left="58" w:right="285" w:hanging="1"/>
              <w:rPr>
                <w:sz w:val="16"/>
              </w:rPr>
            </w:pPr>
            <w:r>
              <w:rPr>
                <w:color w:val="231F20"/>
                <w:spacing w:val="-2"/>
                <w:sz w:val="16"/>
              </w:rPr>
              <w:t>Attribute</w:t>
            </w:r>
            <w:r>
              <w:rPr>
                <w:color w:val="231F20"/>
                <w:spacing w:val="40"/>
                <w:sz w:val="16"/>
              </w:rPr>
              <w:t> </w:t>
            </w:r>
            <w:r>
              <w:rPr>
                <w:color w:val="231F20"/>
                <w:sz w:val="16"/>
              </w:rPr>
              <w:t>Group</w:t>
            </w:r>
            <w:r>
              <w:rPr>
                <w:color w:val="231F20"/>
                <w:spacing w:val="-6"/>
                <w:sz w:val="16"/>
              </w:rPr>
              <w:t> </w:t>
            </w:r>
            <w:r>
              <w:rPr>
                <w:color w:val="231F20"/>
                <w:sz w:val="16"/>
              </w:rPr>
              <w:t>Name</w:t>
            </w:r>
          </w:p>
        </w:tc>
        <w:tc>
          <w:tcPr>
            <w:tcW w:w="1304" w:type="dxa"/>
          </w:tcPr>
          <w:p>
            <w:pPr>
              <w:pStyle w:val="TableParagraph"/>
              <w:spacing w:before="21"/>
              <w:ind w:left="58"/>
              <w:rPr>
                <w:sz w:val="16"/>
              </w:rPr>
            </w:pPr>
            <w:r>
              <w:rPr>
                <w:color w:val="231F20"/>
                <w:spacing w:val="-2"/>
                <w:sz w:val="16"/>
              </w:rPr>
              <w:t>Table</w:t>
            </w:r>
            <w:r>
              <w:rPr>
                <w:color w:val="231F20"/>
                <w:spacing w:val="4"/>
                <w:sz w:val="16"/>
              </w:rPr>
              <w:t> </w:t>
            </w:r>
            <w:r>
              <w:rPr>
                <w:color w:val="231F20"/>
                <w:spacing w:val="-4"/>
                <w:sz w:val="16"/>
              </w:rPr>
              <w:t>Name</w:t>
            </w:r>
          </w:p>
        </w:tc>
        <w:tc>
          <w:tcPr>
            <w:tcW w:w="1403" w:type="dxa"/>
          </w:tcPr>
          <w:p>
            <w:pPr>
              <w:pStyle w:val="TableParagraph"/>
              <w:spacing w:line="216" w:lineRule="auto" w:before="38"/>
              <w:ind w:left="58" w:right="311" w:hanging="1"/>
              <w:rPr>
                <w:sz w:val="16"/>
              </w:rPr>
            </w:pPr>
            <w:r>
              <w:rPr>
                <w:color w:val="231F20"/>
                <w:spacing w:val="-2"/>
                <w:sz w:val="16"/>
              </w:rPr>
              <w:t>Collection</w:t>
            </w:r>
            <w:r>
              <w:rPr>
                <w:color w:val="231F20"/>
                <w:spacing w:val="40"/>
                <w:sz w:val="16"/>
              </w:rPr>
              <w:t> </w:t>
            </w:r>
            <w:r>
              <w:rPr>
                <w:color w:val="231F20"/>
                <w:spacing w:val="-4"/>
                <w:sz w:val="16"/>
              </w:rPr>
              <w:t>Type</w:t>
            </w:r>
          </w:p>
        </w:tc>
        <w:tc>
          <w:tcPr>
            <w:tcW w:w="1289" w:type="dxa"/>
          </w:tcPr>
          <w:p>
            <w:pPr>
              <w:pStyle w:val="TableParagraph"/>
              <w:spacing w:line="216" w:lineRule="auto" w:before="38"/>
              <w:ind w:left="57" w:right="1"/>
              <w:rPr>
                <w:sz w:val="16"/>
              </w:rPr>
            </w:pPr>
            <w:r>
              <w:rPr>
                <w:color w:val="231F20"/>
                <w:spacing w:val="-2"/>
                <w:sz w:val="16"/>
              </w:rPr>
              <w:t>Collection</w:t>
            </w:r>
            <w:r>
              <w:rPr>
                <w:color w:val="231F20"/>
                <w:spacing w:val="40"/>
                <w:sz w:val="16"/>
              </w:rPr>
              <w:t> </w:t>
            </w:r>
            <w:r>
              <w:rPr>
                <w:color w:val="231F20"/>
                <w:spacing w:val="-2"/>
                <w:sz w:val="16"/>
              </w:rPr>
              <w:t>Interval</w:t>
            </w:r>
          </w:p>
        </w:tc>
      </w:tr>
      <w:tr>
        <w:trPr>
          <w:trHeight w:val="289" w:hRule="atLeast"/>
        </w:trPr>
        <w:tc>
          <w:tcPr>
            <w:tcW w:w="2868" w:type="dxa"/>
          </w:tcPr>
          <w:p>
            <w:pPr>
              <w:pStyle w:val="TableParagraph"/>
              <w:spacing w:before="21"/>
              <w:ind w:left="44"/>
              <w:rPr>
                <w:sz w:val="16"/>
              </w:rPr>
            </w:pPr>
            <w:r>
              <w:rPr>
                <w:color w:val="231F20"/>
                <w:spacing w:val="-2"/>
                <w:sz w:val="16"/>
              </w:rPr>
              <w:t>UADVISOR_KNT_NTMEMORY</w:t>
            </w:r>
          </w:p>
        </w:tc>
        <w:tc>
          <w:tcPr>
            <w:tcW w:w="1403" w:type="dxa"/>
          </w:tcPr>
          <w:p>
            <w:pPr>
              <w:pStyle w:val="TableParagraph"/>
              <w:spacing w:before="21"/>
              <w:rPr>
                <w:sz w:val="16"/>
              </w:rPr>
            </w:pPr>
            <w:r>
              <w:rPr>
                <w:color w:val="231F20"/>
                <w:spacing w:val="-5"/>
                <w:sz w:val="16"/>
              </w:rPr>
              <w:t>KNT</w:t>
            </w:r>
          </w:p>
        </w:tc>
        <w:tc>
          <w:tcPr>
            <w:tcW w:w="1304" w:type="dxa"/>
          </w:tcPr>
          <w:p>
            <w:pPr>
              <w:pStyle w:val="TableParagraph"/>
              <w:spacing w:before="21"/>
              <w:ind w:left="58"/>
              <w:rPr>
                <w:sz w:val="16"/>
              </w:rPr>
            </w:pPr>
            <w:r>
              <w:rPr>
                <w:color w:val="231F20"/>
                <w:spacing w:val="-2"/>
                <w:sz w:val="16"/>
              </w:rPr>
              <w:t>NT_Memory_64</w:t>
            </w:r>
          </w:p>
        </w:tc>
        <w:tc>
          <w:tcPr>
            <w:tcW w:w="1304" w:type="dxa"/>
          </w:tcPr>
          <w:p>
            <w:pPr>
              <w:pStyle w:val="TableParagraph"/>
              <w:spacing w:before="21"/>
              <w:ind w:left="58"/>
              <w:rPr>
                <w:sz w:val="16"/>
              </w:rPr>
            </w:pPr>
            <w:r>
              <w:rPr>
                <w:color w:val="231F20"/>
                <w:spacing w:val="-2"/>
                <w:sz w:val="16"/>
              </w:rPr>
              <w:t>NTMEMORY</w:t>
            </w:r>
          </w:p>
        </w:tc>
        <w:tc>
          <w:tcPr>
            <w:tcW w:w="1403" w:type="dxa"/>
          </w:tcPr>
          <w:p>
            <w:pPr>
              <w:pStyle w:val="TableParagraph"/>
              <w:spacing w:before="21"/>
              <w:ind w:left="58"/>
              <w:rPr>
                <w:sz w:val="16"/>
              </w:rPr>
            </w:pPr>
            <w:r>
              <w:rPr>
                <w:color w:val="231F20"/>
                <w:spacing w:val="-2"/>
                <w:sz w:val="16"/>
              </w:rPr>
              <w:t>Enterprise</w:t>
            </w:r>
          </w:p>
        </w:tc>
        <w:tc>
          <w:tcPr>
            <w:tcW w:w="1289" w:type="dxa"/>
          </w:tcPr>
          <w:p>
            <w:pPr>
              <w:pStyle w:val="TableParagraph"/>
              <w:spacing w:before="21"/>
              <w:ind w:left="57"/>
              <w:rPr>
                <w:sz w:val="16"/>
              </w:rPr>
            </w:pPr>
            <w:r>
              <w:rPr>
                <w:color w:val="231F20"/>
                <w:spacing w:val="-2"/>
                <w:sz w:val="16"/>
              </w:rPr>
              <w:t>00:01:00</w:t>
            </w:r>
          </w:p>
        </w:tc>
      </w:tr>
    </w:tbl>
    <w:p>
      <w:pPr>
        <w:spacing w:after="0"/>
        <w:rPr>
          <w:sz w:val="16"/>
        </w:rPr>
        <w:sectPr>
          <w:pgSz w:w="12240" w:h="15840"/>
          <w:pgMar w:header="0" w:footer="736" w:top="1140" w:bottom="920" w:left="1000" w:right="1060"/>
        </w:sectPr>
      </w:pPr>
    </w:p>
    <w:p>
      <w:pPr>
        <w:pStyle w:val="Heading4"/>
        <w:spacing w:before="86"/>
      </w:pPr>
      <w:bookmarkStart w:name="_bookmark299" w:id="615"/>
      <w:bookmarkEnd w:id="615"/>
      <w:r>
        <w:rPr>
          <w:b w:val="0"/>
        </w:rPr>
      </w:r>
      <w:bookmarkStart w:name="_bookmark298" w:id="616"/>
      <w:bookmarkEnd w:id="616"/>
      <w:r>
        <w:rPr>
          <w:b w:val="0"/>
        </w:rPr>
      </w:r>
      <w:r>
        <w:rPr>
          <w:color w:val="231F20"/>
        </w:rPr>
        <w:t>Audit</w:t>
      </w:r>
      <w:r>
        <w:rPr>
          <w:color w:val="231F20"/>
          <w:spacing w:val="7"/>
        </w:rPr>
        <w:t> </w:t>
      </w:r>
      <w:r>
        <w:rPr>
          <w:color w:val="231F20"/>
        </w:rPr>
        <w:t>Log</w:t>
      </w:r>
      <w:r>
        <w:rPr>
          <w:color w:val="231F20"/>
          <w:spacing w:val="8"/>
        </w:rPr>
        <w:t> </w:t>
      </w:r>
      <w:r>
        <w:rPr>
          <w:color w:val="231F20"/>
          <w:spacing w:val="-2"/>
        </w:rPr>
        <w:t>workspace</w:t>
      </w:r>
    </w:p>
    <w:p>
      <w:pPr>
        <w:pStyle w:val="BodyText"/>
        <w:spacing w:line="213" w:lineRule="auto" w:before="242"/>
        <w:ind w:left="2232" w:right="545"/>
      </w:pPr>
      <w:r>
        <w:rPr>
          <w:color w:val="231F20"/>
        </w:rPr>
        <w:t>The Audit Log workspace displays audit events for self-describing agent related events, Warehouse Proxy Agent events, Tivoli Application Dependency Discovery Manager integration events, stop events, and start events. Audit records are </w:t>
      </w:r>
      <w:r>
        <w:rPr>
          <w:color w:val="231F20"/>
        </w:rPr>
        <w:t>stored in two formats. Audit records are stored as pure events in the ITM Audit attribute group and also in an XML formatted audit.log, see the </w:t>
      </w:r>
      <w:r>
        <w:rPr>
          <w:rFonts w:ascii="Book Antiqua"/>
          <w:i/>
          <w:color w:val="231F20"/>
        </w:rPr>
        <w:t>IBM Tivoli Monitoring</w:t>
      </w:r>
      <w:r>
        <w:rPr>
          <w:rFonts w:ascii="Book Antiqua"/>
          <w:i/>
          <w:color w:val="231F20"/>
        </w:rPr>
        <w:t> Administrator's Guide </w:t>
      </w:r>
      <w:r>
        <w:rPr>
          <w:color w:val="231F20"/>
        </w:rPr>
        <w:t>for more information.</w:t>
      </w:r>
    </w:p>
    <w:p>
      <w:pPr>
        <w:pStyle w:val="BodyText"/>
        <w:spacing w:line="213" w:lineRule="auto" w:before="235"/>
        <w:ind w:left="2232" w:right="493"/>
      </w:pPr>
      <w:r>
        <w:rPr>
          <w:color w:val="231F20"/>
        </w:rPr>
        <w:t>The Audit Log workspace displays the audit records stored in the ITM Audit attribute table. You can collect data from this table historically in the IBM Tivoli Monitoring warehouse. You may also define situations to monitor the data in </w:t>
      </w:r>
      <w:r>
        <w:rPr>
          <w:color w:val="231F20"/>
        </w:rPr>
        <w:t>this </w:t>
      </w:r>
      <w:r>
        <w:rPr>
          <w:color w:val="231F20"/>
          <w:spacing w:val="-2"/>
        </w:rPr>
        <w:t>table.</w:t>
      </w:r>
    </w:p>
    <w:p>
      <w:pPr>
        <w:pStyle w:val="BodyText"/>
        <w:spacing w:line="213" w:lineRule="auto" w:before="237"/>
        <w:ind w:left="2232" w:right="492"/>
      </w:pPr>
      <w:r>
        <w:rPr>
          <w:rFonts w:ascii="Book Antiqua"/>
          <w:b/>
          <w:color w:val="231F20"/>
        </w:rPr>
        <w:t>Tip:</w:t>
      </w:r>
      <w:r>
        <w:rPr>
          <w:rFonts w:ascii="Book Antiqua"/>
          <w:b/>
          <w:color w:val="231F20"/>
          <w:spacing w:val="40"/>
        </w:rPr>
        <w:t> </w:t>
      </w:r>
      <w:r>
        <w:rPr>
          <w:color w:val="231F20"/>
        </w:rPr>
        <w:t>To quickly assess errors, look under the </w:t>
      </w:r>
      <w:r>
        <w:rPr>
          <w:rFonts w:ascii="Book Antiqua"/>
          <w:b/>
          <w:color w:val="231F20"/>
        </w:rPr>
        <w:t>Result </w:t>
      </w:r>
      <w:r>
        <w:rPr>
          <w:color w:val="231F20"/>
        </w:rPr>
        <w:t>column for row entries with non-zero values (</w:t>
      </w:r>
      <w:r>
        <w:rPr>
          <w:rFonts w:ascii="Arial"/>
          <w:color w:val="231F20"/>
        </w:rPr>
        <w:t>0 </w:t>
      </w:r>
      <w:r>
        <w:rPr>
          <w:color w:val="231F20"/>
        </w:rPr>
        <w:t>indicates a success, so any other value indicates an error). Then look at the information in the other columns to further research the error.</w:t>
      </w:r>
    </w:p>
    <w:p>
      <w:pPr>
        <w:pStyle w:val="BodyText"/>
        <w:spacing w:line="213" w:lineRule="auto" w:before="237"/>
        <w:ind w:left="2232" w:right="544"/>
      </w:pPr>
      <w:r>
        <w:rPr>
          <w:color w:val="231F20"/>
        </w:rPr>
        <w:t>The audit data is normalized and based on the IBM W7 language and collected </w:t>
      </w:r>
      <w:r>
        <w:rPr>
          <w:color w:val="231F20"/>
        </w:rPr>
        <w:t>in the Audit</w:t>
      </w:r>
      <w:r>
        <w:rPr>
          <w:color w:val="231F20"/>
          <w:spacing w:val="25"/>
        </w:rPr>
        <w:t> </w:t>
      </w:r>
      <w:r>
        <w:rPr>
          <w:color w:val="231F20"/>
        </w:rPr>
        <w:t>Log</w:t>
      </w:r>
      <w:r>
        <w:rPr>
          <w:color w:val="231F20"/>
          <w:spacing w:val="25"/>
        </w:rPr>
        <w:t> </w:t>
      </w:r>
      <w:r>
        <w:rPr>
          <w:color w:val="231F20"/>
        </w:rPr>
        <w:t>table</w:t>
      </w:r>
      <w:r>
        <w:rPr>
          <w:color w:val="231F20"/>
          <w:spacing w:val="25"/>
        </w:rPr>
        <w:t> </w:t>
      </w:r>
      <w:r>
        <w:rPr>
          <w:color w:val="231F20"/>
        </w:rPr>
        <w:t>and</w:t>
      </w:r>
      <w:r>
        <w:rPr>
          <w:color w:val="231F20"/>
          <w:spacing w:val="25"/>
        </w:rPr>
        <w:t> </w:t>
      </w:r>
      <w:r>
        <w:rPr>
          <w:color w:val="231F20"/>
        </w:rPr>
        <w:t>stored</w:t>
      </w:r>
      <w:r>
        <w:rPr>
          <w:color w:val="231F20"/>
          <w:spacing w:val="25"/>
        </w:rPr>
        <w:t> </w:t>
      </w:r>
      <w:r>
        <w:rPr>
          <w:color w:val="231F20"/>
        </w:rPr>
        <w:t>in</w:t>
      </w:r>
      <w:r>
        <w:rPr>
          <w:color w:val="231F20"/>
          <w:spacing w:val="25"/>
        </w:rPr>
        <w:t> </w:t>
      </w:r>
      <w:r>
        <w:rPr>
          <w:color w:val="231F20"/>
        </w:rPr>
        <w:t>an</w:t>
      </w:r>
      <w:r>
        <w:rPr>
          <w:color w:val="231F20"/>
          <w:spacing w:val="25"/>
        </w:rPr>
        <w:t> </w:t>
      </w:r>
      <w:r>
        <w:rPr>
          <w:color w:val="231F20"/>
        </w:rPr>
        <w:t>XML format</w:t>
      </w:r>
      <w:r>
        <w:rPr>
          <w:color w:val="231F20"/>
          <w:spacing w:val="25"/>
        </w:rPr>
        <w:t> </w:t>
      </w:r>
      <w:r>
        <w:rPr>
          <w:color w:val="231F20"/>
        </w:rPr>
        <w:t>on</w:t>
      </w:r>
      <w:r>
        <w:rPr>
          <w:color w:val="231F20"/>
          <w:spacing w:val="25"/>
        </w:rPr>
        <w:t> </w:t>
      </w:r>
      <w:r>
        <w:rPr>
          <w:color w:val="231F20"/>
        </w:rPr>
        <w:t>distributed</w:t>
      </w:r>
      <w:r>
        <w:rPr>
          <w:color w:val="231F20"/>
          <w:spacing w:val="25"/>
        </w:rPr>
        <w:t> </w:t>
      </w:r>
      <w:r>
        <w:rPr>
          <w:color w:val="231F20"/>
        </w:rPr>
        <w:t>systems</w:t>
      </w:r>
      <w:r>
        <w:rPr>
          <w:color w:val="231F20"/>
          <w:spacing w:val="25"/>
        </w:rPr>
        <w:t> </w:t>
      </w:r>
      <w:r>
        <w:rPr>
          <w:color w:val="231F20"/>
        </w:rPr>
        <w:t>and</w:t>
      </w:r>
      <w:r>
        <w:rPr>
          <w:color w:val="231F20"/>
          <w:spacing w:val="25"/>
        </w:rPr>
        <w:t> </w:t>
      </w:r>
      <w:r>
        <w:rPr>
          <w:color w:val="231F20"/>
        </w:rPr>
        <w:t>in the SMF facility on z/OS. Each audit data event record answers the following</w:t>
      </w:r>
      <w:r>
        <w:rPr>
          <w:color w:val="231F20"/>
          <w:spacing w:val="40"/>
        </w:rPr>
        <w:t> </w:t>
      </w:r>
      <w:r>
        <w:rPr>
          <w:color w:val="231F20"/>
          <w:spacing w:val="-2"/>
        </w:rPr>
        <w:t>questions:</w:t>
      </w:r>
    </w:p>
    <w:p>
      <w:pPr>
        <w:pStyle w:val="BodyText"/>
        <w:spacing w:before="7"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Questions</w:t>
            </w:r>
          </w:p>
        </w:tc>
        <w:tc>
          <w:tcPr>
            <w:tcW w:w="3767" w:type="dxa"/>
          </w:tcPr>
          <w:p>
            <w:pPr>
              <w:pStyle w:val="TableParagraph"/>
              <w:spacing w:before="10"/>
              <w:rPr>
                <w:rFonts w:ascii="Book Antiqua"/>
                <w:b/>
                <w:sz w:val="18"/>
              </w:rPr>
            </w:pPr>
            <w:r>
              <w:rPr>
                <w:rFonts w:ascii="Book Antiqua"/>
                <w:b/>
                <w:color w:val="231F20"/>
                <w:sz w:val="18"/>
              </w:rPr>
              <w:t>Key</w:t>
            </w:r>
            <w:r>
              <w:rPr>
                <w:rFonts w:ascii="Book Antiqua"/>
                <w:b/>
                <w:color w:val="231F20"/>
                <w:spacing w:val="10"/>
                <w:sz w:val="18"/>
              </w:rPr>
              <w:t> </w:t>
            </w:r>
            <w:r>
              <w:rPr>
                <w:rFonts w:ascii="Book Antiqua"/>
                <w:b/>
                <w:color w:val="231F20"/>
                <w:spacing w:val="-2"/>
                <w:sz w:val="18"/>
              </w:rPr>
              <w:t>attributes</w:t>
            </w:r>
          </w:p>
        </w:tc>
      </w:tr>
      <w:tr>
        <w:trPr>
          <w:trHeight w:val="528" w:hRule="atLeast"/>
        </w:trPr>
        <w:tc>
          <w:tcPr>
            <w:tcW w:w="3767" w:type="dxa"/>
          </w:tcPr>
          <w:p>
            <w:pPr>
              <w:pStyle w:val="TableParagraph"/>
              <w:spacing w:line="216" w:lineRule="auto" w:before="44"/>
              <w:ind w:left="44"/>
              <w:rPr>
                <w:sz w:val="18"/>
              </w:rPr>
            </w:pPr>
            <w:r>
              <w:rPr>
                <w:color w:val="231F20"/>
                <w:sz w:val="18"/>
              </w:rPr>
              <w:t>Who: The user, application, or process </w:t>
            </w:r>
            <w:r>
              <w:rPr>
                <w:color w:val="231F20"/>
                <w:sz w:val="18"/>
              </w:rPr>
              <w:t>that initiated the event</w:t>
            </w:r>
          </w:p>
        </w:tc>
        <w:tc>
          <w:tcPr>
            <w:tcW w:w="3767" w:type="dxa"/>
          </w:tcPr>
          <w:p>
            <w:pPr>
              <w:pStyle w:val="TableParagraph"/>
              <w:spacing w:line="216" w:lineRule="auto" w:before="44"/>
              <w:rPr>
                <w:rFonts w:ascii="Book Antiqua"/>
                <w:b/>
                <w:sz w:val="18"/>
              </w:rPr>
            </w:pPr>
            <w:r>
              <w:rPr>
                <w:rFonts w:ascii="Book Antiqua"/>
                <w:b/>
                <w:color w:val="231F20"/>
                <w:sz w:val="18"/>
              </w:rPr>
              <w:t>Authorization ID</w:t>
            </w:r>
            <w:r>
              <w:rPr>
                <w:color w:val="231F20"/>
                <w:sz w:val="18"/>
              </w:rPr>
              <w:t>, </w:t>
            </w:r>
            <w:r>
              <w:rPr>
                <w:rFonts w:ascii="Book Antiqua"/>
                <w:b/>
                <w:color w:val="231F20"/>
                <w:sz w:val="18"/>
              </w:rPr>
              <w:t>Entity</w:t>
            </w:r>
            <w:r>
              <w:rPr>
                <w:color w:val="231F20"/>
                <w:sz w:val="18"/>
              </w:rPr>
              <w:t>, </w:t>
            </w:r>
            <w:r>
              <w:rPr>
                <w:rFonts w:ascii="Book Antiqua"/>
                <w:b/>
                <w:color w:val="231F20"/>
                <w:sz w:val="18"/>
              </w:rPr>
              <w:t>RunAs</w:t>
            </w:r>
            <w:r>
              <w:rPr>
                <w:color w:val="231F20"/>
                <w:sz w:val="18"/>
              </w:rPr>
              <w:t>, </w:t>
            </w:r>
            <w:r>
              <w:rPr>
                <w:rFonts w:ascii="Book Antiqua"/>
                <w:b/>
                <w:color w:val="231F20"/>
                <w:sz w:val="18"/>
              </w:rPr>
              <w:t>System Name</w:t>
            </w:r>
            <w:r>
              <w:rPr>
                <w:color w:val="231F20"/>
                <w:sz w:val="18"/>
              </w:rPr>
              <w:t>, </w:t>
            </w:r>
            <w:r>
              <w:rPr>
                <w:rFonts w:ascii="Book Antiqua"/>
                <w:b/>
                <w:color w:val="231F20"/>
                <w:sz w:val="18"/>
              </w:rPr>
              <w:t>User ID</w:t>
            </w:r>
          </w:p>
        </w:tc>
      </w:tr>
      <w:tr>
        <w:trPr>
          <w:trHeight w:val="528" w:hRule="atLeast"/>
        </w:trPr>
        <w:tc>
          <w:tcPr>
            <w:tcW w:w="3767" w:type="dxa"/>
          </w:tcPr>
          <w:p>
            <w:pPr>
              <w:pStyle w:val="TableParagraph"/>
              <w:spacing w:line="216" w:lineRule="auto" w:before="44"/>
              <w:ind w:left="44" w:right="195"/>
              <w:rPr>
                <w:sz w:val="18"/>
              </w:rPr>
            </w:pPr>
            <w:r>
              <w:rPr>
                <w:color w:val="231F20"/>
                <w:sz w:val="18"/>
              </w:rPr>
              <w:t>What: The type of action the </w:t>
            </w:r>
            <w:r>
              <w:rPr>
                <w:color w:val="231F20"/>
                <w:sz w:val="18"/>
              </w:rPr>
              <w:t>event </w:t>
            </w:r>
            <w:r>
              <w:rPr>
                <w:color w:val="231F20"/>
                <w:spacing w:val="-2"/>
                <w:sz w:val="18"/>
              </w:rPr>
              <w:t>represents</w:t>
            </w:r>
          </w:p>
        </w:tc>
        <w:tc>
          <w:tcPr>
            <w:tcW w:w="3767" w:type="dxa"/>
          </w:tcPr>
          <w:p>
            <w:pPr>
              <w:pStyle w:val="TableParagraph"/>
              <w:rPr>
                <w:sz w:val="18"/>
              </w:rPr>
            </w:pPr>
            <w:r>
              <w:rPr>
                <w:color w:val="231F20"/>
                <w:sz w:val="18"/>
              </w:rPr>
              <w:t>See</w:t>
            </w:r>
            <w:r>
              <w:rPr>
                <w:color w:val="231F20"/>
                <w:spacing w:val="9"/>
                <w:sz w:val="18"/>
              </w:rPr>
              <w:t> </w:t>
            </w:r>
            <w:r>
              <w:rPr>
                <w:color w:val="231F20"/>
                <w:sz w:val="18"/>
              </w:rPr>
              <w:t>the</w:t>
            </w:r>
            <w:r>
              <w:rPr>
                <w:color w:val="231F20"/>
                <w:spacing w:val="9"/>
                <w:sz w:val="18"/>
              </w:rPr>
              <w:t> </w:t>
            </w:r>
            <w:r>
              <w:rPr>
                <w:rFonts w:ascii="Book Antiqua"/>
                <w:b/>
                <w:color w:val="231F20"/>
                <w:sz w:val="18"/>
              </w:rPr>
              <w:t>Operation</w:t>
            </w:r>
            <w:r>
              <w:rPr>
                <w:rFonts w:ascii="Book Antiqua"/>
                <w:b/>
                <w:color w:val="231F20"/>
                <w:spacing w:val="10"/>
                <w:sz w:val="18"/>
              </w:rPr>
              <w:t> </w:t>
            </w:r>
            <w:r>
              <w:rPr>
                <w:color w:val="231F20"/>
                <w:spacing w:val="-2"/>
                <w:sz w:val="18"/>
              </w:rPr>
              <w:t>attributes</w:t>
            </w:r>
          </w:p>
        </w:tc>
      </w:tr>
      <w:tr>
        <w:trPr>
          <w:trHeight w:val="309" w:hRule="atLeast"/>
        </w:trPr>
        <w:tc>
          <w:tcPr>
            <w:tcW w:w="3767" w:type="dxa"/>
          </w:tcPr>
          <w:p>
            <w:pPr>
              <w:pStyle w:val="TableParagraph"/>
              <w:ind w:left="44"/>
              <w:rPr>
                <w:sz w:val="18"/>
              </w:rPr>
            </w:pPr>
            <w:r>
              <w:rPr>
                <w:color w:val="231F20"/>
                <w:sz w:val="18"/>
              </w:rPr>
              <w:t>When:</w:t>
            </w:r>
            <w:r>
              <w:rPr>
                <w:color w:val="231F20"/>
                <w:spacing w:val="10"/>
                <w:sz w:val="18"/>
              </w:rPr>
              <w:t> </w:t>
            </w:r>
            <w:r>
              <w:rPr>
                <w:color w:val="231F20"/>
                <w:sz w:val="18"/>
              </w:rPr>
              <w:t>The</w:t>
            </w:r>
            <w:r>
              <w:rPr>
                <w:color w:val="231F20"/>
                <w:spacing w:val="10"/>
                <w:sz w:val="18"/>
              </w:rPr>
              <w:t> </w:t>
            </w:r>
            <w:r>
              <w:rPr>
                <w:color w:val="231F20"/>
                <w:sz w:val="18"/>
              </w:rPr>
              <w:t>time</w:t>
            </w:r>
            <w:r>
              <w:rPr>
                <w:color w:val="231F20"/>
                <w:spacing w:val="10"/>
                <w:sz w:val="18"/>
              </w:rPr>
              <w:t> </w:t>
            </w:r>
            <w:r>
              <w:rPr>
                <w:color w:val="231F20"/>
                <w:sz w:val="18"/>
              </w:rPr>
              <w:t>the</w:t>
            </w:r>
            <w:r>
              <w:rPr>
                <w:color w:val="231F20"/>
                <w:spacing w:val="11"/>
                <w:sz w:val="18"/>
              </w:rPr>
              <w:t> </w:t>
            </w:r>
            <w:r>
              <w:rPr>
                <w:color w:val="231F20"/>
                <w:sz w:val="18"/>
              </w:rPr>
              <w:t>event</w:t>
            </w:r>
            <w:r>
              <w:rPr>
                <w:color w:val="231F20"/>
                <w:spacing w:val="10"/>
                <w:sz w:val="18"/>
              </w:rPr>
              <w:t> </w:t>
            </w:r>
            <w:r>
              <w:rPr>
                <w:color w:val="231F20"/>
                <w:spacing w:val="-2"/>
                <w:sz w:val="18"/>
              </w:rPr>
              <w:t>occurred</w:t>
            </w:r>
          </w:p>
        </w:tc>
        <w:tc>
          <w:tcPr>
            <w:tcW w:w="3767" w:type="dxa"/>
          </w:tcPr>
          <w:p>
            <w:pPr>
              <w:pStyle w:val="TableParagraph"/>
              <w:spacing w:before="45"/>
              <w:rPr>
                <w:rFonts w:ascii="Book Antiqua"/>
                <w:b/>
                <w:sz w:val="18"/>
              </w:rPr>
            </w:pPr>
            <w:r>
              <w:rPr>
                <w:rFonts w:ascii="Book Antiqua"/>
                <w:b/>
                <w:color w:val="231F20"/>
                <w:spacing w:val="-2"/>
                <w:sz w:val="18"/>
              </w:rPr>
              <w:t>Timestamp</w:t>
            </w:r>
          </w:p>
        </w:tc>
      </w:tr>
      <w:tr>
        <w:trPr>
          <w:trHeight w:val="528" w:hRule="atLeast"/>
        </w:trPr>
        <w:tc>
          <w:tcPr>
            <w:tcW w:w="3767" w:type="dxa"/>
          </w:tcPr>
          <w:p>
            <w:pPr>
              <w:pStyle w:val="TableParagraph"/>
              <w:spacing w:line="216" w:lineRule="auto" w:before="44"/>
              <w:ind w:left="44"/>
              <w:rPr>
                <w:sz w:val="18"/>
              </w:rPr>
            </w:pPr>
            <w:r>
              <w:rPr>
                <w:color w:val="231F20"/>
                <w:sz w:val="18"/>
              </w:rPr>
              <w:t>On What: The database, application, file, </w:t>
            </w:r>
            <w:r>
              <w:rPr>
                <w:color w:val="231F20"/>
                <w:sz w:val="18"/>
              </w:rPr>
              <w:t>or permission that was manipulated</w:t>
            </w:r>
          </w:p>
        </w:tc>
        <w:tc>
          <w:tcPr>
            <w:tcW w:w="3767" w:type="dxa"/>
          </w:tcPr>
          <w:p>
            <w:pPr>
              <w:pStyle w:val="TableParagraph"/>
              <w:rPr>
                <w:sz w:val="18"/>
              </w:rPr>
            </w:pPr>
            <w:r>
              <w:rPr>
                <w:color w:val="231F20"/>
                <w:sz w:val="18"/>
              </w:rPr>
              <w:t>See</w:t>
            </w:r>
            <w:r>
              <w:rPr>
                <w:color w:val="231F20"/>
                <w:spacing w:val="10"/>
                <w:sz w:val="18"/>
              </w:rPr>
              <w:t> </w:t>
            </w:r>
            <w:r>
              <w:rPr>
                <w:color w:val="231F20"/>
                <w:sz w:val="18"/>
              </w:rPr>
              <w:t>the</w:t>
            </w:r>
            <w:r>
              <w:rPr>
                <w:color w:val="231F20"/>
                <w:spacing w:val="10"/>
                <w:sz w:val="18"/>
              </w:rPr>
              <w:t> </w:t>
            </w:r>
            <w:r>
              <w:rPr>
                <w:rFonts w:ascii="Book Antiqua"/>
                <w:b/>
                <w:color w:val="231F20"/>
                <w:sz w:val="18"/>
              </w:rPr>
              <w:t>Object</w:t>
            </w:r>
            <w:r>
              <w:rPr>
                <w:rFonts w:ascii="Book Antiqua"/>
                <w:b/>
                <w:color w:val="231F20"/>
                <w:spacing w:val="11"/>
                <w:sz w:val="18"/>
              </w:rPr>
              <w:t> </w:t>
            </w:r>
            <w:r>
              <w:rPr>
                <w:color w:val="231F20"/>
                <w:spacing w:val="-2"/>
                <w:sz w:val="18"/>
              </w:rPr>
              <w:t>attributes</w:t>
            </w:r>
          </w:p>
        </w:tc>
      </w:tr>
      <w:tr>
        <w:trPr>
          <w:trHeight w:val="309" w:hRule="atLeast"/>
        </w:trPr>
        <w:tc>
          <w:tcPr>
            <w:tcW w:w="3767" w:type="dxa"/>
          </w:tcPr>
          <w:p>
            <w:pPr>
              <w:pStyle w:val="TableParagraph"/>
              <w:ind w:left="44"/>
              <w:rPr>
                <w:sz w:val="18"/>
              </w:rPr>
            </w:pPr>
            <w:r>
              <w:rPr>
                <w:color w:val="231F20"/>
                <w:sz w:val="18"/>
              </w:rPr>
              <w:t>Where:</w:t>
            </w:r>
            <w:r>
              <w:rPr>
                <w:color w:val="231F20"/>
                <w:spacing w:val="9"/>
                <w:sz w:val="18"/>
              </w:rPr>
              <w:t> </w:t>
            </w:r>
            <w:r>
              <w:rPr>
                <w:color w:val="231F20"/>
                <w:sz w:val="18"/>
              </w:rPr>
              <w:t>The</w:t>
            </w:r>
            <w:r>
              <w:rPr>
                <w:color w:val="231F20"/>
                <w:spacing w:val="9"/>
                <w:sz w:val="18"/>
              </w:rPr>
              <w:t> </w:t>
            </w:r>
            <w:r>
              <w:rPr>
                <w:color w:val="231F20"/>
                <w:sz w:val="18"/>
              </w:rPr>
              <w:t>machine</w:t>
            </w:r>
            <w:r>
              <w:rPr>
                <w:color w:val="231F20"/>
                <w:spacing w:val="9"/>
                <w:sz w:val="18"/>
              </w:rPr>
              <w:t> </w:t>
            </w:r>
            <w:r>
              <w:rPr>
                <w:color w:val="231F20"/>
                <w:sz w:val="18"/>
              </w:rPr>
              <w:t>that</w:t>
            </w:r>
            <w:r>
              <w:rPr>
                <w:color w:val="231F20"/>
                <w:spacing w:val="9"/>
                <w:sz w:val="18"/>
              </w:rPr>
              <w:t> </w:t>
            </w:r>
            <w:r>
              <w:rPr>
                <w:color w:val="231F20"/>
                <w:sz w:val="18"/>
              </w:rPr>
              <w:t>the</w:t>
            </w:r>
            <w:r>
              <w:rPr>
                <w:color w:val="231F20"/>
                <w:spacing w:val="9"/>
                <w:sz w:val="18"/>
              </w:rPr>
              <w:t> </w:t>
            </w:r>
            <w:r>
              <w:rPr>
                <w:color w:val="231F20"/>
                <w:sz w:val="18"/>
              </w:rPr>
              <w:t>event</w:t>
            </w:r>
            <w:r>
              <w:rPr>
                <w:color w:val="231F20"/>
                <w:spacing w:val="9"/>
                <w:sz w:val="18"/>
              </w:rPr>
              <w:t> </w:t>
            </w:r>
            <w:r>
              <w:rPr>
                <w:color w:val="231F20"/>
                <w:spacing w:val="-2"/>
                <w:sz w:val="18"/>
              </w:rPr>
              <w:t>occurred</w:t>
            </w:r>
          </w:p>
        </w:tc>
        <w:tc>
          <w:tcPr>
            <w:tcW w:w="3767" w:type="dxa"/>
          </w:tcPr>
          <w:p>
            <w:pPr>
              <w:pStyle w:val="TableParagraph"/>
              <w:rPr>
                <w:sz w:val="18"/>
              </w:rPr>
            </w:pPr>
            <w:r>
              <w:rPr>
                <w:color w:val="231F20"/>
                <w:sz w:val="18"/>
              </w:rPr>
              <w:t>See</w:t>
            </w:r>
            <w:r>
              <w:rPr>
                <w:color w:val="231F20"/>
                <w:spacing w:val="10"/>
                <w:sz w:val="18"/>
              </w:rPr>
              <w:t> </w:t>
            </w:r>
            <w:r>
              <w:rPr>
                <w:color w:val="231F20"/>
                <w:sz w:val="18"/>
              </w:rPr>
              <w:t>the</w:t>
            </w:r>
            <w:r>
              <w:rPr>
                <w:color w:val="231F20"/>
                <w:spacing w:val="10"/>
                <w:sz w:val="18"/>
              </w:rPr>
              <w:t> </w:t>
            </w:r>
            <w:r>
              <w:rPr>
                <w:rFonts w:ascii="Book Antiqua"/>
                <w:b/>
                <w:color w:val="231F20"/>
                <w:sz w:val="18"/>
              </w:rPr>
              <w:t>Origin</w:t>
            </w:r>
            <w:r>
              <w:rPr>
                <w:rFonts w:ascii="Book Antiqua"/>
                <w:b/>
                <w:color w:val="231F20"/>
                <w:spacing w:val="11"/>
                <w:sz w:val="18"/>
              </w:rPr>
              <w:t> </w:t>
            </w:r>
            <w:r>
              <w:rPr>
                <w:color w:val="231F20"/>
                <w:spacing w:val="-2"/>
                <w:sz w:val="18"/>
              </w:rPr>
              <w:t>attributes</w:t>
            </w:r>
          </w:p>
        </w:tc>
      </w:tr>
      <w:tr>
        <w:trPr>
          <w:trHeight w:val="528" w:hRule="atLeast"/>
        </w:trPr>
        <w:tc>
          <w:tcPr>
            <w:tcW w:w="3767" w:type="dxa"/>
          </w:tcPr>
          <w:p>
            <w:pPr>
              <w:pStyle w:val="TableParagraph"/>
              <w:spacing w:line="216" w:lineRule="auto" w:before="44"/>
              <w:ind w:left="44"/>
              <w:rPr>
                <w:sz w:val="18"/>
              </w:rPr>
            </w:pPr>
            <w:r>
              <w:rPr>
                <w:color w:val="231F20"/>
                <w:sz w:val="18"/>
              </w:rPr>
              <w:t>Where from: The system that is the source of the event</w:t>
            </w:r>
          </w:p>
        </w:tc>
        <w:tc>
          <w:tcPr>
            <w:tcW w:w="3767" w:type="dxa"/>
          </w:tcPr>
          <w:p>
            <w:pPr>
              <w:pStyle w:val="TableParagraph"/>
              <w:rPr>
                <w:sz w:val="18"/>
              </w:rPr>
            </w:pPr>
            <w:r>
              <w:rPr>
                <w:color w:val="231F20"/>
                <w:sz w:val="18"/>
              </w:rPr>
              <w:t>See</w:t>
            </w:r>
            <w:r>
              <w:rPr>
                <w:color w:val="231F20"/>
                <w:spacing w:val="10"/>
                <w:sz w:val="18"/>
              </w:rPr>
              <w:t> </w:t>
            </w:r>
            <w:r>
              <w:rPr>
                <w:color w:val="231F20"/>
                <w:sz w:val="18"/>
              </w:rPr>
              <w:t>the</w:t>
            </w:r>
            <w:r>
              <w:rPr>
                <w:color w:val="231F20"/>
                <w:spacing w:val="10"/>
                <w:sz w:val="18"/>
              </w:rPr>
              <w:t> </w:t>
            </w:r>
            <w:r>
              <w:rPr>
                <w:rFonts w:ascii="Book Antiqua"/>
                <w:b/>
                <w:color w:val="231F20"/>
                <w:sz w:val="18"/>
              </w:rPr>
              <w:t>Source</w:t>
            </w:r>
            <w:r>
              <w:rPr>
                <w:rFonts w:ascii="Book Antiqua"/>
                <w:b/>
                <w:color w:val="231F20"/>
                <w:spacing w:val="11"/>
                <w:sz w:val="18"/>
              </w:rPr>
              <w:t> </w:t>
            </w:r>
            <w:r>
              <w:rPr>
                <w:color w:val="231F20"/>
                <w:spacing w:val="-2"/>
                <w:sz w:val="18"/>
              </w:rPr>
              <w:t>attributes</w:t>
            </w:r>
          </w:p>
        </w:tc>
      </w:tr>
      <w:tr>
        <w:trPr>
          <w:trHeight w:val="309" w:hRule="atLeast"/>
        </w:trPr>
        <w:tc>
          <w:tcPr>
            <w:tcW w:w="3767" w:type="dxa"/>
          </w:tcPr>
          <w:p>
            <w:pPr>
              <w:pStyle w:val="TableParagraph"/>
              <w:ind w:left="44"/>
              <w:rPr>
                <w:sz w:val="18"/>
              </w:rPr>
            </w:pPr>
            <w:r>
              <w:rPr>
                <w:color w:val="231F20"/>
                <w:sz w:val="18"/>
              </w:rPr>
              <w:t>Where</w:t>
            </w:r>
            <w:r>
              <w:rPr>
                <w:color w:val="231F20"/>
                <w:spacing w:val="9"/>
                <w:sz w:val="18"/>
              </w:rPr>
              <w:t> </w:t>
            </w:r>
            <w:r>
              <w:rPr>
                <w:color w:val="231F20"/>
                <w:sz w:val="18"/>
              </w:rPr>
              <w:t>to:</w:t>
            </w:r>
            <w:r>
              <w:rPr>
                <w:color w:val="231F20"/>
                <w:spacing w:val="9"/>
                <w:sz w:val="18"/>
              </w:rPr>
              <w:t> </w:t>
            </w:r>
            <w:r>
              <w:rPr>
                <w:color w:val="231F20"/>
                <w:sz w:val="18"/>
              </w:rPr>
              <w:t>The</w:t>
            </w:r>
            <w:r>
              <w:rPr>
                <w:color w:val="231F20"/>
                <w:spacing w:val="9"/>
                <w:sz w:val="18"/>
              </w:rPr>
              <w:t> </w:t>
            </w:r>
            <w:r>
              <w:rPr>
                <w:color w:val="231F20"/>
                <w:sz w:val="18"/>
              </w:rPr>
              <w:t>targeted</w:t>
            </w:r>
            <w:r>
              <w:rPr>
                <w:color w:val="231F20"/>
                <w:spacing w:val="9"/>
                <w:sz w:val="18"/>
              </w:rPr>
              <w:t> </w:t>
            </w:r>
            <w:r>
              <w:rPr>
                <w:color w:val="231F20"/>
                <w:sz w:val="18"/>
              </w:rPr>
              <w:t>system</w:t>
            </w:r>
            <w:r>
              <w:rPr>
                <w:color w:val="231F20"/>
                <w:spacing w:val="9"/>
                <w:sz w:val="18"/>
              </w:rPr>
              <w:t> </w:t>
            </w:r>
            <w:r>
              <w:rPr>
                <w:color w:val="231F20"/>
                <w:sz w:val="18"/>
              </w:rPr>
              <w:t>of</w:t>
            </w:r>
            <w:r>
              <w:rPr>
                <w:color w:val="231F20"/>
                <w:spacing w:val="9"/>
                <w:sz w:val="18"/>
              </w:rPr>
              <w:t> </w:t>
            </w:r>
            <w:r>
              <w:rPr>
                <w:color w:val="231F20"/>
                <w:sz w:val="18"/>
              </w:rPr>
              <w:t>the</w:t>
            </w:r>
            <w:r>
              <w:rPr>
                <w:color w:val="231F20"/>
                <w:spacing w:val="9"/>
                <w:sz w:val="18"/>
              </w:rPr>
              <w:t> </w:t>
            </w:r>
            <w:r>
              <w:rPr>
                <w:color w:val="231F20"/>
                <w:spacing w:val="-2"/>
                <w:sz w:val="18"/>
              </w:rPr>
              <w:t>event</w:t>
            </w:r>
          </w:p>
        </w:tc>
        <w:tc>
          <w:tcPr>
            <w:tcW w:w="3767" w:type="dxa"/>
          </w:tcPr>
          <w:p>
            <w:pPr>
              <w:pStyle w:val="TableParagraph"/>
              <w:rPr>
                <w:sz w:val="18"/>
              </w:rPr>
            </w:pPr>
            <w:r>
              <w:rPr>
                <w:color w:val="231F20"/>
                <w:sz w:val="18"/>
              </w:rPr>
              <w:t>See</w:t>
            </w:r>
            <w:r>
              <w:rPr>
                <w:color w:val="231F20"/>
                <w:spacing w:val="3"/>
                <w:sz w:val="18"/>
              </w:rPr>
              <w:t> </w:t>
            </w:r>
            <w:r>
              <w:rPr>
                <w:color w:val="231F20"/>
                <w:sz w:val="18"/>
              </w:rPr>
              <w:t>the</w:t>
            </w:r>
            <w:r>
              <w:rPr>
                <w:color w:val="231F20"/>
                <w:spacing w:val="4"/>
                <w:sz w:val="18"/>
              </w:rPr>
              <w:t> </w:t>
            </w:r>
            <w:r>
              <w:rPr>
                <w:rFonts w:ascii="Book Antiqua"/>
                <w:b/>
                <w:color w:val="231F20"/>
                <w:sz w:val="18"/>
              </w:rPr>
              <w:t>Target</w:t>
            </w:r>
            <w:r>
              <w:rPr>
                <w:rFonts w:ascii="Book Antiqua"/>
                <w:b/>
                <w:color w:val="231F20"/>
                <w:spacing w:val="4"/>
                <w:sz w:val="18"/>
              </w:rPr>
              <w:t> </w:t>
            </w:r>
            <w:r>
              <w:rPr>
                <w:color w:val="231F20"/>
                <w:spacing w:val="-2"/>
                <w:sz w:val="18"/>
              </w:rPr>
              <w:t>attributes</w:t>
            </w:r>
          </w:p>
        </w:tc>
      </w:tr>
      <w:tr>
        <w:trPr>
          <w:trHeight w:val="533" w:hRule="atLeast"/>
        </w:trPr>
        <w:tc>
          <w:tcPr>
            <w:tcW w:w="3767" w:type="dxa"/>
          </w:tcPr>
          <w:p>
            <w:pPr>
              <w:pStyle w:val="TableParagraph"/>
              <w:spacing w:line="216" w:lineRule="auto" w:before="44"/>
              <w:ind w:left="44"/>
              <w:rPr>
                <w:sz w:val="18"/>
              </w:rPr>
            </w:pPr>
            <w:r>
              <w:rPr>
                <w:color w:val="231F20"/>
                <w:sz w:val="18"/>
              </w:rPr>
              <w:t>Results: The event status and </w:t>
            </w:r>
            <w:r>
              <w:rPr>
                <w:color w:val="231F20"/>
                <w:sz w:val="18"/>
              </w:rPr>
              <w:t>associated </w:t>
            </w:r>
            <w:r>
              <w:rPr>
                <w:color w:val="231F20"/>
                <w:spacing w:val="-2"/>
                <w:sz w:val="18"/>
              </w:rPr>
              <w:t>message</w:t>
            </w:r>
          </w:p>
        </w:tc>
        <w:tc>
          <w:tcPr>
            <w:tcW w:w="3767" w:type="dxa"/>
          </w:tcPr>
          <w:p>
            <w:pPr>
              <w:pStyle w:val="TableParagraph"/>
              <w:rPr>
                <w:rFonts w:ascii="Book Antiqua"/>
                <w:b/>
                <w:sz w:val="18"/>
              </w:rPr>
            </w:pPr>
            <w:r>
              <w:rPr>
                <w:rFonts w:ascii="Book Antiqua"/>
                <w:b/>
                <w:color w:val="231F20"/>
                <w:sz w:val="18"/>
              </w:rPr>
              <w:t>Resource</w:t>
            </w:r>
            <w:r>
              <w:rPr>
                <w:rFonts w:ascii="Book Antiqua"/>
                <w:b/>
                <w:color w:val="231F20"/>
                <w:spacing w:val="8"/>
                <w:sz w:val="18"/>
              </w:rPr>
              <w:t> </w:t>
            </w:r>
            <w:r>
              <w:rPr>
                <w:rFonts w:ascii="Book Antiqua"/>
                <w:b/>
                <w:color w:val="231F20"/>
                <w:sz w:val="18"/>
              </w:rPr>
              <w:t>Bundle</w:t>
            </w:r>
            <w:r>
              <w:rPr>
                <w:rFonts w:ascii="Book Antiqua"/>
                <w:b/>
                <w:color w:val="231F20"/>
                <w:spacing w:val="8"/>
                <w:sz w:val="18"/>
              </w:rPr>
              <w:t> </w:t>
            </w:r>
            <w:r>
              <w:rPr>
                <w:rFonts w:ascii="Book Antiqua"/>
                <w:b/>
                <w:color w:val="231F20"/>
                <w:sz w:val="18"/>
              </w:rPr>
              <w:t>Key</w:t>
            </w:r>
            <w:r>
              <w:rPr>
                <w:color w:val="231F20"/>
                <w:sz w:val="18"/>
              </w:rPr>
              <w:t>,</w:t>
            </w:r>
            <w:r>
              <w:rPr>
                <w:color w:val="231F20"/>
                <w:spacing w:val="8"/>
                <w:sz w:val="18"/>
              </w:rPr>
              <w:t> </w:t>
            </w:r>
            <w:r>
              <w:rPr>
                <w:rFonts w:ascii="Book Antiqua"/>
                <w:b/>
                <w:color w:val="231F20"/>
                <w:sz w:val="18"/>
              </w:rPr>
              <w:t>Result</w:t>
            </w:r>
            <w:r>
              <w:rPr>
                <w:color w:val="231F20"/>
                <w:sz w:val="18"/>
              </w:rPr>
              <w:t>,</w:t>
            </w:r>
            <w:r>
              <w:rPr>
                <w:color w:val="231F20"/>
                <w:spacing w:val="9"/>
                <w:sz w:val="18"/>
              </w:rPr>
              <w:t> </w:t>
            </w:r>
            <w:r>
              <w:rPr>
                <w:rFonts w:ascii="Book Antiqua"/>
                <w:b/>
                <w:color w:val="231F20"/>
                <w:spacing w:val="-2"/>
                <w:sz w:val="18"/>
              </w:rPr>
              <w:t>Message</w:t>
            </w:r>
          </w:p>
        </w:tc>
      </w:tr>
    </w:tbl>
    <w:p>
      <w:pPr>
        <w:pStyle w:val="BodyText"/>
        <w:spacing w:before="141"/>
      </w:pPr>
    </w:p>
    <w:p>
      <w:pPr>
        <w:pStyle w:val="BodyText"/>
        <w:spacing w:line="213" w:lineRule="auto" w:before="1"/>
        <w:ind w:left="2232" w:right="488"/>
      </w:pPr>
      <w:r>
        <w:rPr>
          <w:color w:val="231F20"/>
        </w:rPr>
        <w:t>By default, the Audit log workspace shows audit records generated since the component was last started. In order to view audit events that occurred before the component</w:t>
      </w:r>
      <w:r>
        <w:rPr>
          <w:color w:val="231F20"/>
          <w:spacing w:val="22"/>
        </w:rPr>
        <w:t> </w:t>
      </w:r>
      <w:r>
        <w:rPr>
          <w:color w:val="231F20"/>
        </w:rPr>
        <w:t>was</w:t>
      </w:r>
      <w:r>
        <w:rPr>
          <w:color w:val="231F20"/>
          <w:spacing w:val="22"/>
        </w:rPr>
        <w:t> </w:t>
      </w:r>
      <w:r>
        <w:rPr>
          <w:color w:val="231F20"/>
        </w:rPr>
        <w:t>last</w:t>
      </w:r>
      <w:r>
        <w:rPr>
          <w:color w:val="231F20"/>
          <w:spacing w:val="22"/>
        </w:rPr>
        <w:t> </w:t>
      </w:r>
      <w:r>
        <w:rPr>
          <w:color w:val="231F20"/>
        </w:rPr>
        <w:t>restarted,</w:t>
      </w:r>
      <w:r>
        <w:rPr>
          <w:color w:val="231F20"/>
          <w:spacing w:val="22"/>
        </w:rPr>
        <w:t> </w:t>
      </w:r>
      <w:r>
        <w:rPr>
          <w:color w:val="231F20"/>
        </w:rPr>
        <w:t>you</w:t>
      </w:r>
      <w:r>
        <w:rPr>
          <w:color w:val="231F20"/>
          <w:spacing w:val="22"/>
        </w:rPr>
        <w:t> </w:t>
      </w:r>
      <w:r>
        <w:rPr>
          <w:color w:val="231F20"/>
        </w:rPr>
        <w:t>must</w:t>
      </w:r>
      <w:r>
        <w:rPr>
          <w:color w:val="231F20"/>
          <w:spacing w:val="22"/>
        </w:rPr>
        <w:t> </w:t>
      </w:r>
      <w:r>
        <w:rPr>
          <w:color w:val="231F20"/>
        </w:rPr>
        <w:t>configure</w:t>
      </w:r>
      <w:r>
        <w:rPr>
          <w:color w:val="231F20"/>
          <w:spacing w:val="22"/>
        </w:rPr>
        <w:t> </w:t>
      </w:r>
      <w:r>
        <w:rPr>
          <w:color w:val="231F20"/>
        </w:rPr>
        <w:t>the</w:t>
      </w:r>
      <w:r>
        <w:rPr>
          <w:color w:val="231F20"/>
          <w:spacing w:val="22"/>
        </w:rPr>
        <w:t> </w:t>
      </w:r>
      <w:r>
        <w:rPr>
          <w:color w:val="231F20"/>
        </w:rPr>
        <w:t>ITM Audit</w:t>
      </w:r>
      <w:r>
        <w:rPr>
          <w:color w:val="231F20"/>
          <w:spacing w:val="22"/>
        </w:rPr>
        <w:t> </w:t>
      </w:r>
      <w:r>
        <w:rPr>
          <w:color w:val="231F20"/>
        </w:rPr>
        <w:t>attribute</w:t>
      </w:r>
      <w:r>
        <w:rPr>
          <w:color w:val="231F20"/>
          <w:spacing w:val="22"/>
        </w:rPr>
        <w:t> </w:t>
      </w:r>
      <w:r>
        <w:rPr>
          <w:color w:val="231F20"/>
        </w:rPr>
        <w:t>group to collect historical data. To configure historical collection for the ITM Audit attribute complete the following steps:</w:t>
      </w:r>
    </w:p>
    <w:p>
      <w:pPr>
        <w:pStyle w:val="ListParagraph"/>
        <w:numPr>
          <w:ilvl w:val="0"/>
          <w:numId w:val="174"/>
        </w:numPr>
        <w:tabs>
          <w:tab w:pos="2546" w:val="left" w:leader="none"/>
          <w:tab w:pos="2548" w:val="left" w:leader="none"/>
        </w:tabs>
        <w:spacing w:line="213" w:lineRule="auto" w:before="56" w:after="0"/>
        <w:ind w:left="2548" w:right="1177" w:hanging="317"/>
        <w:jc w:val="left"/>
        <w:rPr>
          <w:sz w:val="20"/>
        </w:rPr>
      </w:pPr>
      <w:r>
        <w:rPr>
          <w:color w:val="231F20"/>
          <w:sz w:val="20"/>
        </w:rPr>
        <w:t>Click </w:t>
      </w:r>
      <w:r>
        <w:rPr>
          <w:color w:val="231F20"/>
          <w:spacing w:val="16"/>
          <w:position w:val="-1"/>
          <w:sz w:val="20"/>
        </w:rPr>
        <w:drawing>
          <wp:inline distT="0" distB="0" distL="0" distR="0">
            <wp:extent cx="101600" cy="95250"/>
            <wp:effectExtent l="0" t="0" r="0" b="0"/>
            <wp:docPr id="3089" name="Image 3089"/>
            <wp:cNvGraphicFramePr>
              <a:graphicFrameLocks/>
            </wp:cNvGraphicFramePr>
            <a:graphic>
              <a:graphicData uri="http://schemas.openxmlformats.org/drawingml/2006/picture">
                <pic:pic>
                  <pic:nvPicPr>
                    <pic:cNvPr id="3089" name="Image 3089"/>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6"/>
          <w:position w:val="-1"/>
          <w:sz w:val="20"/>
        </w:rPr>
      </w:r>
      <w:r>
        <w:rPr>
          <w:rFonts w:ascii="Times New Roman"/>
          <w:color w:val="231F20"/>
          <w:spacing w:val="16"/>
          <w:sz w:val="20"/>
        </w:rPr>
        <w:t> </w:t>
      </w:r>
      <w:r>
        <w:rPr>
          <w:color w:val="231F20"/>
          <w:sz w:val="20"/>
        </w:rPr>
        <w:t>History Configuration, then select </w:t>
      </w:r>
      <w:r>
        <w:rPr>
          <w:rFonts w:ascii="Book Antiqua"/>
          <w:b/>
          <w:color w:val="231F20"/>
          <w:sz w:val="20"/>
        </w:rPr>
        <w:t>CCC Logs </w:t>
      </w:r>
      <w:r>
        <w:rPr>
          <w:color w:val="231F20"/>
          <w:sz w:val="20"/>
        </w:rPr>
        <w:t>under Monitored </w:t>
      </w:r>
      <w:r>
        <w:rPr>
          <w:color w:val="231F20"/>
          <w:spacing w:val="-2"/>
          <w:sz w:val="20"/>
        </w:rPr>
        <w:t>Applications.</w:t>
      </w:r>
    </w:p>
    <w:p>
      <w:pPr>
        <w:pStyle w:val="ListParagraph"/>
        <w:numPr>
          <w:ilvl w:val="0"/>
          <w:numId w:val="174"/>
        </w:numPr>
        <w:tabs>
          <w:tab w:pos="2548" w:val="left" w:leader="none"/>
        </w:tabs>
        <w:spacing w:line="213" w:lineRule="auto" w:before="59" w:after="0"/>
        <w:ind w:left="2548" w:right="705" w:hanging="316"/>
        <w:jc w:val="left"/>
        <w:rPr>
          <w:sz w:val="20"/>
        </w:rPr>
      </w:pPr>
      <w:r>
        <w:rPr>
          <w:color w:val="231F20"/>
          <w:sz w:val="20"/>
        </w:rPr>
        <w:t>Configure how long to keep Detailed data for the ITM Audit attribute group available locally.</w:t>
      </w:r>
    </w:p>
    <w:p>
      <w:pPr>
        <w:pStyle w:val="ListParagraph"/>
        <w:numPr>
          <w:ilvl w:val="1"/>
          <w:numId w:val="174"/>
        </w:numPr>
        <w:tabs>
          <w:tab w:pos="2863" w:val="left" w:leader="none"/>
        </w:tabs>
        <w:spacing w:line="240" w:lineRule="auto" w:before="35" w:after="0"/>
        <w:ind w:left="2863" w:right="0" w:hanging="315"/>
        <w:jc w:val="left"/>
        <w:rPr>
          <w:sz w:val="20"/>
        </w:rPr>
      </w:pPr>
      <w:r>
        <w:rPr>
          <w:color w:val="231F20"/>
          <w:sz w:val="20"/>
        </w:rPr>
        <w:t>In</w:t>
      </w:r>
      <w:r>
        <w:rPr>
          <w:color w:val="231F20"/>
          <w:spacing w:val="10"/>
          <w:sz w:val="20"/>
        </w:rPr>
        <w:t> </w:t>
      </w:r>
      <w:r>
        <w:rPr>
          <w:color w:val="231F20"/>
          <w:sz w:val="20"/>
        </w:rPr>
        <w:t>the</w:t>
      </w:r>
      <w:r>
        <w:rPr>
          <w:color w:val="231F20"/>
          <w:spacing w:val="10"/>
          <w:sz w:val="20"/>
        </w:rPr>
        <w:t> </w:t>
      </w:r>
      <w:r>
        <w:rPr>
          <w:color w:val="231F20"/>
          <w:sz w:val="20"/>
        </w:rPr>
        <w:t>Select</w:t>
      </w:r>
      <w:r>
        <w:rPr>
          <w:color w:val="231F20"/>
          <w:spacing w:val="5"/>
          <w:sz w:val="20"/>
        </w:rPr>
        <w:t> </w:t>
      </w:r>
      <w:r>
        <w:rPr>
          <w:color w:val="231F20"/>
          <w:sz w:val="20"/>
        </w:rPr>
        <w:t>Attribute</w:t>
      </w:r>
      <w:r>
        <w:rPr>
          <w:color w:val="231F20"/>
          <w:spacing w:val="10"/>
          <w:sz w:val="20"/>
        </w:rPr>
        <w:t> </w:t>
      </w:r>
      <w:r>
        <w:rPr>
          <w:color w:val="231F20"/>
          <w:sz w:val="20"/>
        </w:rPr>
        <w:t>Group</w:t>
      </w:r>
      <w:r>
        <w:rPr>
          <w:color w:val="231F20"/>
          <w:spacing w:val="10"/>
          <w:sz w:val="20"/>
        </w:rPr>
        <w:t> </w:t>
      </w:r>
      <w:r>
        <w:rPr>
          <w:color w:val="231F20"/>
          <w:sz w:val="20"/>
        </w:rPr>
        <w:t>section,</w:t>
      </w:r>
      <w:r>
        <w:rPr>
          <w:color w:val="231F20"/>
          <w:spacing w:val="11"/>
          <w:sz w:val="20"/>
        </w:rPr>
        <w:t> </w:t>
      </w:r>
      <w:r>
        <w:rPr>
          <w:color w:val="231F20"/>
          <w:sz w:val="20"/>
        </w:rPr>
        <w:t>select</w:t>
      </w:r>
      <w:r>
        <w:rPr>
          <w:color w:val="231F20"/>
          <w:spacing w:val="10"/>
          <w:sz w:val="20"/>
        </w:rPr>
        <w:t> </w:t>
      </w:r>
      <w:r>
        <w:rPr>
          <w:color w:val="231F20"/>
          <w:sz w:val="20"/>
        </w:rPr>
        <w:t>ITM</w:t>
      </w:r>
      <w:r>
        <w:rPr>
          <w:color w:val="231F20"/>
          <w:spacing w:val="4"/>
          <w:sz w:val="20"/>
        </w:rPr>
        <w:t> </w:t>
      </w:r>
      <w:r>
        <w:rPr>
          <w:color w:val="231F20"/>
          <w:spacing w:val="-2"/>
          <w:sz w:val="20"/>
        </w:rPr>
        <w:t>Audit.</w:t>
      </w:r>
    </w:p>
    <w:p>
      <w:pPr>
        <w:pStyle w:val="ListParagraph"/>
        <w:numPr>
          <w:ilvl w:val="1"/>
          <w:numId w:val="174"/>
        </w:numPr>
        <w:tabs>
          <w:tab w:pos="2863" w:val="left" w:leader="none"/>
        </w:tabs>
        <w:spacing w:line="252" w:lineRule="exact" w:before="35" w:after="0"/>
        <w:ind w:left="2863" w:right="0" w:hanging="315"/>
        <w:jc w:val="left"/>
        <w:rPr>
          <w:rFonts w:ascii="Book Antiqua"/>
          <w:b/>
          <w:sz w:val="20"/>
        </w:rPr>
      </w:pPr>
      <w:r>
        <w:rPr>
          <w:color w:val="231F20"/>
          <w:sz w:val="20"/>
        </w:rPr>
        <w:t>In</w:t>
      </w:r>
      <w:r>
        <w:rPr>
          <w:color w:val="231F20"/>
          <w:spacing w:val="9"/>
          <w:sz w:val="20"/>
        </w:rPr>
        <w:t> </w:t>
      </w:r>
      <w:r>
        <w:rPr>
          <w:color w:val="231F20"/>
          <w:sz w:val="20"/>
        </w:rPr>
        <w:t>the</w:t>
      </w:r>
      <w:r>
        <w:rPr>
          <w:color w:val="231F20"/>
          <w:spacing w:val="10"/>
          <w:sz w:val="20"/>
        </w:rPr>
        <w:t> </w:t>
      </w:r>
      <w:r>
        <w:rPr>
          <w:color w:val="231F20"/>
          <w:sz w:val="20"/>
        </w:rPr>
        <w:t>Configuration</w:t>
      </w:r>
      <w:r>
        <w:rPr>
          <w:color w:val="231F20"/>
          <w:spacing w:val="9"/>
          <w:sz w:val="20"/>
        </w:rPr>
        <w:t> </w:t>
      </w:r>
      <w:r>
        <w:rPr>
          <w:color w:val="231F20"/>
          <w:sz w:val="20"/>
        </w:rPr>
        <w:t>Controls</w:t>
      </w:r>
      <w:r>
        <w:rPr>
          <w:color w:val="231F20"/>
          <w:spacing w:val="10"/>
          <w:sz w:val="20"/>
        </w:rPr>
        <w:t> </w:t>
      </w:r>
      <w:r>
        <w:rPr>
          <w:color w:val="231F20"/>
          <w:sz w:val="20"/>
        </w:rPr>
        <w:t>section</w:t>
      </w:r>
      <w:r>
        <w:rPr>
          <w:color w:val="231F20"/>
          <w:spacing w:val="10"/>
          <w:sz w:val="20"/>
        </w:rPr>
        <w:t> </w:t>
      </w:r>
      <w:r>
        <w:rPr>
          <w:color w:val="231F20"/>
          <w:sz w:val="20"/>
        </w:rPr>
        <w:t>under</w:t>
      </w:r>
      <w:r>
        <w:rPr>
          <w:color w:val="231F20"/>
          <w:spacing w:val="9"/>
          <w:sz w:val="20"/>
        </w:rPr>
        <w:t> </w:t>
      </w:r>
      <w:r>
        <w:rPr>
          <w:color w:val="231F20"/>
          <w:sz w:val="20"/>
        </w:rPr>
        <w:t>Pruning</w:t>
      </w:r>
      <w:r>
        <w:rPr>
          <w:color w:val="231F20"/>
          <w:spacing w:val="10"/>
          <w:sz w:val="20"/>
        </w:rPr>
        <w:t> </w:t>
      </w:r>
      <w:r>
        <w:rPr>
          <w:color w:val="231F20"/>
          <w:sz w:val="20"/>
        </w:rPr>
        <w:t>select</w:t>
      </w:r>
      <w:r>
        <w:rPr>
          <w:color w:val="231F20"/>
          <w:spacing w:val="8"/>
          <w:sz w:val="20"/>
        </w:rPr>
        <w:t> </w:t>
      </w:r>
      <w:r>
        <w:rPr>
          <w:color w:val="231F20"/>
          <w:spacing w:val="14"/>
          <w:sz w:val="20"/>
        </w:rPr>
        <w:drawing>
          <wp:inline distT="0" distB="0" distL="0" distR="0">
            <wp:extent cx="76200" cy="82550"/>
            <wp:effectExtent l="0" t="0" r="0" b="0"/>
            <wp:docPr id="3090" name="Image 3090"/>
            <wp:cNvGraphicFramePr>
              <a:graphicFrameLocks/>
            </wp:cNvGraphicFramePr>
            <a:graphic>
              <a:graphicData uri="http://schemas.openxmlformats.org/drawingml/2006/picture">
                <pic:pic>
                  <pic:nvPicPr>
                    <pic:cNvPr id="3090" name="Image 3090"/>
                    <pic:cNvPicPr/>
                  </pic:nvPicPr>
                  <pic:blipFill>
                    <a:blip r:embed="rId463" cstate="print"/>
                    <a:stretch>
                      <a:fillRect/>
                    </a:stretch>
                  </pic:blipFill>
                  <pic:spPr>
                    <a:xfrm>
                      <a:off x="0" y="0"/>
                      <a:ext cx="76200" cy="82550"/>
                    </a:xfrm>
                    <a:prstGeom prst="rect">
                      <a:avLst/>
                    </a:prstGeom>
                  </pic:spPr>
                </pic:pic>
              </a:graphicData>
            </a:graphic>
          </wp:inline>
        </w:drawing>
      </w:r>
      <w:r>
        <w:rPr>
          <w:color w:val="231F20"/>
          <w:spacing w:val="14"/>
          <w:sz w:val="20"/>
        </w:rPr>
      </w:r>
      <w:r>
        <w:rPr>
          <w:rFonts w:ascii="Times New Roman"/>
          <w:color w:val="231F20"/>
          <w:sz w:val="20"/>
        </w:rPr>
        <w:t> </w:t>
      </w:r>
      <w:r>
        <w:rPr>
          <w:rFonts w:ascii="Book Antiqua"/>
          <w:b/>
          <w:color w:val="231F20"/>
          <w:sz w:val="20"/>
        </w:rPr>
        <w:t>Detailed</w:t>
      </w:r>
      <w:r>
        <w:rPr>
          <w:rFonts w:ascii="Book Antiqua"/>
          <w:b/>
          <w:color w:val="231F20"/>
          <w:spacing w:val="9"/>
          <w:sz w:val="20"/>
        </w:rPr>
        <w:t> </w:t>
      </w:r>
      <w:r>
        <w:rPr>
          <w:rFonts w:ascii="Book Antiqua"/>
          <w:b/>
          <w:color w:val="231F20"/>
          <w:spacing w:val="-4"/>
          <w:sz w:val="20"/>
        </w:rPr>
        <w:t>data</w:t>
      </w:r>
    </w:p>
    <w:p>
      <w:pPr>
        <w:pStyle w:val="BodyText"/>
        <w:spacing w:line="252" w:lineRule="exact"/>
        <w:ind w:left="2864"/>
      </w:pPr>
      <w:r>
        <w:rPr>
          <w:color w:val="231F20"/>
        </w:rPr>
        <w:t>and</w:t>
      </w:r>
      <w:r>
        <w:rPr>
          <w:color w:val="231F20"/>
          <w:spacing w:val="12"/>
        </w:rPr>
        <w:t> </w:t>
      </w:r>
      <w:r>
        <w:rPr>
          <w:color w:val="231F20"/>
        </w:rPr>
        <w:t>specify</w:t>
      </w:r>
      <w:r>
        <w:rPr>
          <w:color w:val="231F20"/>
          <w:spacing w:val="12"/>
        </w:rPr>
        <w:t> </w:t>
      </w:r>
      <w:r>
        <w:rPr>
          <w:color w:val="231F20"/>
        </w:rPr>
        <w:t>how</w:t>
      </w:r>
      <w:r>
        <w:rPr>
          <w:color w:val="231F20"/>
          <w:spacing w:val="12"/>
        </w:rPr>
        <w:t> </w:t>
      </w:r>
      <w:r>
        <w:rPr>
          <w:color w:val="231F20"/>
        </w:rPr>
        <w:t>long</w:t>
      </w:r>
      <w:r>
        <w:rPr>
          <w:color w:val="231F20"/>
          <w:spacing w:val="13"/>
        </w:rPr>
        <w:t> </w:t>
      </w:r>
      <w:r>
        <w:rPr>
          <w:color w:val="231F20"/>
        </w:rPr>
        <w:t>to</w:t>
      </w:r>
      <w:r>
        <w:rPr>
          <w:color w:val="231F20"/>
          <w:spacing w:val="12"/>
        </w:rPr>
        <w:t> </w:t>
      </w:r>
      <w:r>
        <w:rPr>
          <w:color w:val="231F20"/>
        </w:rPr>
        <w:t>keep</w:t>
      </w:r>
      <w:r>
        <w:rPr>
          <w:color w:val="231F20"/>
          <w:spacing w:val="12"/>
        </w:rPr>
        <w:t> </w:t>
      </w:r>
      <w:r>
        <w:rPr>
          <w:color w:val="231F20"/>
        </w:rPr>
        <w:t>the</w:t>
      </w:r>
      <w:r>
        <w:rPr>
          <w:color w:val="231F20"/>
          <w:spacing w:val="12"/>
        </w:rPr>
        <w:t> </w:t>
      </w:r>
      <w:r>
        <w:rPr>
          <w:color w:val="231F20"/>
          <w:spacing w:val="-2"/>
        </w:rPr>
        <w:t>data.</w:t>
      </w:r>
    </w:p>
    <w:p>
      <w:pPr>
        <w:pStyle w:val="ListParagraph"/>
        <w:numPr>
          <w:ilvl w:val="1"/>
          <w:numId w:val="174"/>
        </w:numPr>
        <w:tabs>
          <w:tab w:pos="2851" w:val="left" w:leader="none"/>
        </w:tabs>
        <w:spacing w:line="240" w:lineRule="auto" w:before="29" w:after="0"/>
        <w:ind w:left="2851" w:right="0" w:hanging="303"/>
        <w:jc w:val="left"/>
        <w:rPr>
          <w:sz w:val="20"/>
        </w:rPr>
      </w:pPr>
      <w:r>
        <w:rPr>
          <w:color w:val="231F20"/>
          <w:sz w:val="20"/>
        </w:rPr>
        <w:t>Click</w:t>
      </w:r>
      <w:r>
        <w:rPr>
          <w:color w:val="231F20"/>
          <w:spacing w:val="11"/>
          <w:sz w:val="20"/>
        </w:rPr>
        <w:t> </w:t>
      </w:r>
      <w:r>
        <w:rPr>
          <w:rFonts w:ascii="Book Antiqua"/>
          <w:b/>
          <w:color w:val="231F20"/>
          <w:spacing w:val="-2"/>
          <w:sz w:val="20"/>
        </w:rPr>
        <w:t>Apply</w:t>
      </w:r>
      <w:r>
        <w:rPr>
          <w:color w:val="231F20"/>
          <w:spacing w:val="-2"/>
          <w:sz w:val="20"/>
        </w:rPr>
        <w:t>.</w:t>
      </w:r>
    </w:p>
    <w:p>
      <w:pPr>
        <w:pStyle w:val="ListParagraph"/>
        <w:numPr>
          <w:ilvl w:val="0"/>
          <w:numId w:val="174"/>
        </w:numPr>
        <w:tabs>
          <w:tab w:pos="2547" w:val="left" w:leader="none"/>
        </w:tabs>
        <w:spacing w:line="240" w:lineRule="auto" w:before="30" w:after="0"/>
        <w:ind w:left="2547" w:right="0" w:hanging="315"/>
        <w:jc w:val="left"/>
        <w:rPr>
          <w:sz w:val="20"/>
        </w:rPr>
      </w:pPr>
      <w:r>
        <w:rPr>
          <w:color w:val="231F20"/>
          <w:sz w:val="20"/>
        </w:rPr>
        <w:t>Create</w:t>
      </w:r>
      <w:r>
        <w:rPr>
          <w:color w:val="231F20"/>
          <w:spacing w:val="10"/>
          <w:sz w:val="20"/>
        </w:rPr>
        <w:t> </w:t>
      </w:r>
      <w:r>
        <w:rPr>
          <w:color w:val="231F20"/>
          <w:sz w:val="20"/>
        </w:rPr>
        <w:t>a</w:t>
      </w:r>
      <w:r>
        <w:rPr>
          <w:color w:val="231F20"/>
          <w:spacing w:val="11"/>
          <w:sz w:val="20"/>
        </w:rPr>
        <w:t> </w:t>
      </w:r>
      <w:r>
        <w:rPr>
          <w:color w:val="231F20"/>
          <w:sz w:val="20"/>
        </w:rPr>
        <w:t>History</w:t>
      </w:r>
      <w:r>
        <w:rPr>
          <w:color w:val="231F20"/>
          <w:spacing w:val="10"/>
          <w:sz w:val="20"/>
        </w:rPr>
        <w:t> </w:t>
      </w:r>
      <w:r>
        <w:rPr>
          <w:color w:val="231F20"/>
          <w:sz w:val="20"/>
        </w:rPr>
        <w:t>Collection</w:t>
      </w:r>
      <w:r>
        <w:rPr>
          <w:color w:val="231F20"/>
          <w:spacing w:val="11"/>
          <w:sz w:val="20"/>
        </w:rPr>
        <w:t> </w:t>
      </w:r>
      <w:r>
        <w:rPr>
          <w:color w:val="231F20"/>
          <w:sz w:val="20"/>
        </w:rPr>
        <w:t>setting</w:t>
      </w:r>
      <w:r>
        <w:rPr>
          <w:color w:val="231F20"/>
          <w:spacing w:val="10"/>
          <w:sz w:val="20"/>
        </w:rPr>
        <w:t> </w:t>
      </w:r>
      <w:r>
        <w:rPr>
          <w:color w:val="231F20"/>
          <w:sz w:val="20"/>
        </w:rPr>
        <w:t>for</w:t>
      </w:r>
      <w:r>
        <w:rPr>
          <w:color w:val="231F20"/>
          <w:spacing w:val="11"/>
          <w:sz w:val="20"/>
        </w:rPr>
        <w:t> </w:t>
      </w:r>
      <w:r>
        <w:rPr>
          <w:color w:val="231F20"/>
          <w:sz w:val="20"/>
        </w:rPr>
        <w:t>the</w:t>
      </w:r>
      <w:r>
        <w:rPr>
          <w:color w:val="231F20"/>
          <w:spacing w:val="10"/>
          <w:sz w:val="20"/>
        </w:rPr>
        <w:t> </w:t>
      </w:r>
      <w:r>
        <w:rPr>
          <w:color w:val="231F20"/>
          <w:sz w:val="20"/>
        </w:rPr>
        <w:t>ITM</w:t>
      </w:r>
      <w:r>
        <w:rPr>
          <w:color w:val="231F20"/>
          <w:spacing w:val="4"/>
          <w:sz w:val="20"/>
        </w:rPr>
        <w:t> </w:t>
      </w:r>
      <w:r>
        <w:rPr>
          <w:color w:val="231F20"/>
          <w:sz w:val="20"/>
        </w:rPr>
        <w:t>Audit</w:t>
      </w:r>
      <w:r>
        <w:rPr>
          <w:color w:val="231F20"/>
          <w:spacing w:val="11"/>
          <w:sz w:val="20"/>
        </w:rPr>
        <w:t> </w:t>
      </w:r>
      <w:r>
        <w:rPr>
          <w:color w:val="231F20"/>
          <w:sz w:val="20"/>
        </w:rPr>
        <w:t>attribute</w:t>
      </w:r>
      <w:r>
        <w:rPr>
          <w:color w:val="231F20"/>
          <w:spacing w:val="10"/>
          <w:sz w:val="20"/>
        </w:rPr>
        <w:t> </w:t>
      </w:r>
      <w:r>
        <w:rPr>
          <w:color w:val="231F20"/>
          <w:spacing w:val="-2"/>
          <w:sz w:val="20"/>
        </w:rPr>
        <w:t>group.</w:t>
      </w:r>
    </w:p>
    <w:p>
      <w:pPr>
        <w:spacing w:after="0" w:line="240" w:lineRule="auto"/>
        <w:jc w:val="left"/>
        <w:rPr>
          <w:sz w:val="20"/>
        </w:rPr>
        <w:sectPr>
          <w:pgSz w:w="12240" w:h="15840"/>
          <w:pgMar w:header="0" w:footer="736" w:top="1140" w:bottom="920" w:left="1000" w:right="1060"/>
        </w:sectPr>
      </w:pPr>
    </w:p>
    <w:p>
      <w:pPr>
        <w:pStyle w:val="ListParagraph"/>
        <w:numPr>
          <w:ilvl w:val="1"/>
          <w:numId w:val="174"/>
        </w:numPr>
        <w:tabs>
          <w:tab w:pos="3104" w:val="left" w:leader="none"/>
        </w:tabs>
        <w:spacing w:line="213" w:lineRule="auto" w:before="85" w:after="0"/>
        <w:ind w:left="3104" w:right="505" w:hanging="316"/>
        <w:jc w:val="left"/>
        <w:rPr>
          <w:sz w:val="20"/>
        </w:rPr>
      </w:pPr>
      <w:bookmarkStart w:name="_bookmark301" w:id="617"/>
      <w:bookmarkEnd w:id="617"/>
      <w:r>
        <w:rPr/>
      </w:r>
      <w:r>
        <w:rPr>
          <w:color w:val="231F20"/>
          <w:sz w:val="20"/>
        </w:rPr>
        <w:t>Right-click </w:t>
      </w:r>
      <w:r>
        <w:rPr>
          <w:rFonts w:ascii="Book Antiqua"/>
          <w:b/>
          <w:color w:val="231F20"/>
          <w:sz w:val="20"/>
        </w:rPr>
        <w:t>CCC Logs </w:t>
      </w:r>
      <w:r>
        <w:rPr>
          <w:color w:val="231F20"/>
          <w:sz w:val="20"/>
        </w:rPr>
        <w:t>under Monitored Applications and select</w:t>
      </w:r>
      <w:r>
        <w:rPr>
          <w:color w:val="231F20"/>
          <w:spacing w:val="15"/>
          <w:sz w:val="20"/>
        </w:rPr>
        <w:t> </w:t>
      </w:r>
      <w:r>
        <w:rPr>
          <w:color w:val="231F20"/>
          <w:spacing w:val="-25"/>
          <w:position w:val="-1"/>
          <w:sz w:val="20"/>
        </w:rPr>
        <w:drawing>
          <wp:inline distT="0" distB="0" distL="0" distR="0">
            <wp:extent cx="95250" cy="101600"/>
            <wp:effectExtent l="0" t="0" r="0" b="0"/>
            <wp:docPr id="3091" name="Image 3091"/>
            <wp:cNvGraphicFramePr>
              <a:graphicFrameLocks/>
            </wp:cNvGraphicFramePr>
            <a:graphic>
              <a:graphicData uri="http://schemas.openxmlformats.org/drawingml/2006/picture">
                <pic:pic>
                  <pic:nvPicPr>
                    <pic:cNvPr id="3091" name="Image 3091"/>
                    <pic:cNvPicPr/>
                  </pic:nvPicPr>
                  <pic:blipFill>
                    <a:blip r:embed="rId26"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14"/>
          <w:sz w:val="20"/>
        </w:rPr>
        <w:t> </w:t>
      </w:r>
      <w:r>
        <w:rPr>
          <w:rFonts w:ascii="Book Antiqua"/>
          <w:b/>
          <w:color w:val="231F20"/>
          <w:sz w:val="20"/>
        </w:rPr>
        <w:t>Create new collection settings</w:t>
      </w:r>
      <w:r>
        <w:rPr>
          <w:color w:val="231F20"/>
          <w:sz w:val="20"/>
        </w:rPr>
        <w:t>.</w:t>
      </w:r>
    </w:p>
    <w:p>
      <w:pPr>
        <w:pStyle w:val="ListParagraph"/>
        <w:numPr>
          <w:ilvl w:val="1"/>
          <w:numId w:val="174"/>
        </w:numPr>
        <w:tabs>
          <w:tab w:pos="3103" w:val="left" w:leader="none"/>
        </w:tabs>
        <w:spacing w:line="240" w:lineRule="auto" w:before="35" w:after="0"/>
        <w:ind w:left="3103" w:right="0" w:hanging="315"/>
        <w:jc w:val="left"/>
        <w:rPr>
          <w:sz w:val="20"/>
        </w:rPr>
      </w:pPr>
      <w:r>
        <w:rPr>
          <w:color w:val="231F20"/>
          <w:sz w:val="20"/>
        </w:rPr>
        <w:t>Supply</w:t>
      </w:r>
      <w:r>
        <w:rPr>
          <w:color w:val="231F20"/>
          <w:spacing w:val="10"/>
          <w:sz w:val="20"/>
        </w:rPr>
        <w:t> </w:t>
      </w:r>
      <w:r>
        <w:rPr>
          <w:color w:val="231F20"/>
          <w:sz w:val="20"/>
        </w:rPr>
        <w:t>a</w:t>
      </w:r>
      <w:r>
        <w:rPr>
          <w:color w:val="231F20"/>
          <w:spacing w:val="11"/>
          <w:sz w:val="20"/>
        </w:rPr>
        <w:t> </w:t>
      </w:r>
      <w:r>
        <w:rPr>
          <w:color w:val="231F20"/>
          <w:sz w:val="20"/>
        </w:rPr>
        <w:t>Name,</w:t>
      </w:r>
      <w:r>
        <w:rPr>
          <w:color w:val="231F20"/>
          <w:spacing w:val="11"/>
          <w:sz w:val="20"/>
        </w:rPr>
        <w:t> </w:t>
      </w:r>
      <w:r>
        <w:rPr>
          <w:color w:val="231F20"/>
          <w:sz w:val="20"/>
        </w:rPr>
        <w:t>Description</w:t>
      </w:r>
      <w:r>
        <w:rPr>
          <w:color w:val="231F20"/>
          <w:spacing w:val="10"/>
          <w:sz w:val="20"/>
        </w:rPr>
        <w:t> </w:t>
      </w:r>
      <w:r>
        <w:rPr>
          <w:color w:val="231F20"/>
          <w:sz w:val="20"/>
        </w:rPr>
        <w:t>and</w:t>
      </w:r>
      <w:r>
        <w:rPr>
          <w:color w:val="231F20"/>
          <w:spacing w:val="11"/>
          <w:sz w:val="20"/>
        </w:rPr>
        <w:t> </w:t>
      </w:r>
      <w:r>
        <w:rPr>
          <w:color w:val="231F20"/>
          <w:sz w:val="20"/>
        </w:rPr>
        <w:t>select</w:t>
      </w:r>
      <w:r>
        <w:rPr>
          <w:color w:val="231F20"/>
          <w:spacing w:val="11"/>
          <w:sz w:val="20"/>
        </w:rPr>
        <w:t> </w:t>
      </w:r>
      <w:r>
        <w:rPr>
          <w:color w:val="231F20"/>
          <w:sz w:val="20"/>
        </w:rPr>
        <w:t>the</w:t>
      </w:r>
      <w:r>
        <w:rPr>
          <w:color w:val="231F20"/>
          <w:spacing w:val="10"/>
          <w:sz w:val="20"/>
        </w:rPr>
        <w:t> </w:t>
      </w:r>
      <w:r>
        <w:rPr>
          <w:color w:val="231F20"/>
          <w:sz w:val="20"/>
        </w:rPr>
        <w:t>ITM</w:t>
      </w:r>
      <w:r>
        <w:rPr>
          <w:color w:val="231F20"/>
          <w:spacing w:val="5"/>
          <w:sz w:val="20"/>
        </w:rPr>
        <w:t> </w:t>
      </w:r>
      <w:r>
        <w:rPr>
          <w:color w:val="231F20"/>
          <w:sz w:val="20"/>
        </w:rPr>
        <w:t>Audit</w:t>
      </w:r>
      <w:r>
        <w:rPr>
          <w:color w:val="231F20"/>
          <w:spacing w:val="4"/>
          <w:sz w:val="20"/>
        </w:rPr>
        <w:t> </w:t>
      </w:r>
      <w:r>
        <w:rPr>
          <w:color w:val="231F20"/>
          <w:sz w:val="20"/>
        </w:rPr>
        <w:t>Attribute</w:t>
      </w:r>
      <w:r>
        <w:rPr>
          <w:color w:val="231F20"/>
          <w:spacing w:val="11"/>
          <w:sz w:val="20"/>
        </w:rPr>
        <w:t> </w:t>
      </w:r>
      <w:r>
        <w:rPr>
          <w:color w:val="231F20"/>
          <w:spacing w:val="-2"/>
          <w:sz w:val="20"/>
        </w:rPr>
        <w:t>group.</w:t>
      </w:r>
    </w:p>
    <w:p>
      <w:pPr>
        <w:pStyle w:val="ListParagraph"/>
        <w:numPr>
          <w:ilvl w:val="1"/>
          <w:numId w:val="174"/>
        </w:numPr>
        <w:tabs>
          <w:tab w:pos="3091" w:val="left" w:leader="none"/>
          <w:tab w:pos="3093" w:val="left" w:leader="none"/>
        </w:tabs>
        <w:spacing w:line="213" w:lineRule="auto" w:before="53" w:after="0"/>
        <w:ind w:left="3093" w:right="504" w:hanging="305"/>
        <w:jc w:val="left"/>
        <w:rPr>
          <w:sz w:val="20"/>
        </w:rPr>
      </w:pPr>
      <w:r>
        <w:rPr>
          <w:color w:val="231F20"/>
          <w:sz w:val="20"/>
        </w:rPr>
        <w:t>If you plan to historically collect monitoring server Audit records, on </w:t>
      </w:r>
      <w:r>
        <w:rPr>
          <w:color w:val="231F20"/>
          <w:sz w:val="20"/>
        </w:rPr>
        <w:t>the Basic tab you must specify Collection Location: TEMS.</w:t>
      </w:r>
    </w:p>
    <w:p>
      <w:pPr>
        <w:pStyle w:val="ListParagraph"/>
        <w:numPr>
          <w:ilvl w:val="1"/>
          <w:numId w:val="174"/>
        </w:numPr>
        <w:tabs>
          <w:tab w:pos="3102" w:val="left" w:leader="none"/>
          <w:tab w:pos="3104" w:val="left" w:leader="none"/>
        </w:tabs>
        <w:spacing w:line="208" w:lineRule="auto" w:before="67" w:after="0"/>
        <w:ind w:left="3104" w:right="266" w:hanging="317"/>
        <w:jc w:val="left"/>
        <w:rPr>
          <w:sz w:val="20"/>
        </w:rPr>
      </w:pPr>
      <w:r>
        <w:rPr>
          <w:color w:val="231F20"/>
          <w:sz w:val="20"/>
        </w:rPr>
        <w:t>On the Distribution tab, Distribute to </w:t>
      </w:r>
      <w:r>
        <w:rPr>
          <w:color w:val="231F20"/>
          <w:spacing w:val="15"/>
          <w:sz w:val="20"/>
        </w:rPr>
        <w:drawing>
          <wp:inline distT="0" distB="0" distL="0" distR="0">
            <wp:extent cx="88900" cy="82550"/>
            <wp:effectExtent l="0" t="0" r="0" b="0"/>
            <wp:docPr id="3092" name="Image 3092"/>
            <wp:cNvGraphicFramePr>
              <a:graphicFrameLocks/>
            </wp:cNvGraphicFramePr>
            <a:graphic>
              <a:graphicData uri="http://schemas.openxmlformats.org/drawingml/2006/picture">
                <pic:pic>
                  <pic:nvPicPr>
                    <pic:cNvPr id="3092" name="Image 3092"/>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16"/>
          <w:sz w:val="20"/>
        </w:rPr>
        <w:t> </w:t>
      </w:r>
      <w:r>
        <w:rPr>
          <w:rFonts w:ascii="Book Antiqua"/>
          <w:b/>
          <w:color w:val="231F20"/>
          <w:sz w:val="20"/>
        </w:rPr>
        <w:t>Managed System (Agent) </w:t>
      </w:r>
      <w:r>
        <w:rPr>
          <w:color w:val="231F20"/>
          <w:sz w:val="20"/>
        </w:rPr>
        <w:t>and then select the Managed System Group or systems to start collection on.</w:t>
      </w:r>
    </w:p>
    <w:p>
      <w:pPr>
        <w:pStyle w:val="ListParagraph"/>
        <w:numPr>
          <w:ilvl w:val="1"/>
          <w:numId w:val="174"/>
        </w:numPr>
        <w:tabs>
          <w:tab w:pos="3103" w:val="left" w:leader="none"/>
        </w:tabs>
        <w:spacing w:line="240" w:lineRule="auto" w:before="37" w:after="0"/>
        <w:ind w:left="3103" w:right="0" w:hanging="315"/>
        <w:jc w:val="left"/>
        <w:rPr>
          <w:sz w:val="20"/>
        </w:rPr>
      </w:pPr>
      <w:r>
        <w:rPr>
          <w:color w:val="231F20"/>
          <w:sz w:val="20"/>
        </w:rPr>
        <w:t>Click</w:t>
      </w:r>
      <w:r>
        <w:rPr>
          <w:color w:val="231F20"/>
          <w:spacing w:val="11"/>
          <w:sz w:val="20"/>
        </w:rPr>
        <w:t> </w:t>
      </w:r>
      <w:r>
        <w:rPr>
          <w:rFonts w:ascii="Book Antiqua"/>
          <w:b/>
          <w:color w:val="231F20"/>
          <w:spacing w:val="-5"/>
          <w:sz w:val="20"/>
        </w:rPr>
        <w:t>OK</w:t>
      </w:r>
      <w:r>
        <w:rPr>
          <w:color w:val="231F20"/>
          <w:spacing w:val="-5"/>
          <w:sz w:val="20"/>
        </w:rPr>
        <w:t>.</w:t>
      </w:r>
    </w:p>
    <w:p>
      <w:pPr>
        <w:pStyle w:val="Heading4"/>
        <w:spacing w:before="194"/>
        <w:ind w:left="2472"/>
      </w:pPr>
      <w:bookmarkStart w:name="_bookmark300" w:id="618"/>
      <w:bookmarkEnd w:id="618"/>
      <w:r>
        <w:rPr>
          <w:b w:val="0"/>
        </w:rPr>
      </w:r>
      <w:r>
        <w:rPr>
          <w:color w:val="231F20"/>
        </w:rPr>
        <w:t>Historical</w:t>
      </w:r>
      <w:r>
        <w:rPr>
          <w:color w:val="231F20"/>
          <w:spacing w:val="3"/>
        </w:rPr>
        <w:t> </w:t>
      </w:r>
      <w:r>
        <w:rPr>
          <w:color w:val="231F20"/>
        </w:rPr>
        <w:t>Export</w:t>
      </w:r>
      <w:r>
        <w:rPr>
          <w:color w:val="231F20"/>
          <w:spacing w:val="3"/>
        </w:rPr>
        <w:t> </w:t>
      </w:r>
      <w:r>
        <w:rPr>
          <w:color w:val="231F20"/>
        </w:rPr>
        <w:t>Statistics</w:t>
      </w:r>
      <w:r>
        <w:rPr>
          <w:color w:val="231F20"/>
          <w:spacing w:val="3"/>
        </w:rPr>
        <w:t> </w:t>
      </w:r>
      <w:r>
        <w:rPr>
          <w:color w:val="231F20"/>
          <w:spacing w:val="-2"/>
        </w:rPr>
        <w:t>workspace</w:t>
      </w:r>
    </w:p>
    <w:p>
      <w:pPr>
        <w:pStyle w:val="BodyText"/>
        <w:spacing w:line="213" w:lineRule="auto" w:before="242"/>
        <w:ind w:left="2472" w:right="545"/>
      </w:pPr>
      <w:r>
        <w:rPr>
          <w:color w:val="231F20"/>
        </w:rPr>
        <w:t>The Historical Export Statistics workspace displays the enterprise and private historical exports to a Warehouse Proxy agent instance performed by a </w:t>
      </w:r>
      <w:r>
        <w:rPr>
          <w:color w:val="231F20"/>
        </w:rPr>
        <w:t>selected managed system. This workspace is available for monitoring servers and monitoring agents.</w:t>
      </w:r>
    </w:p>
    <w:p>
      <w:pPr>
        <w:pStyle w:val="BodyText"/>
        <w:spacing w:line="213" w:lineRule="auto" w:before="236"/>
        <w:ind w:left="2472" w:right="250"/>
      </w:pPr>
      <w:r>
        <w:rPr>
          <w:color w:val="231F20"/>
        </w:rPr>
        <w:t>The statistics include the number of rows exported, the size of each row, the total amount of uncompressed data uploaded, and the timestamps for the start and </w:t>
      </w:r>
      <w:r>
        <w:rPr>
          <w:color w:val="231F20"/>
        </w:rPr>
        <w:t>end of</w:t>
      </w:r>
      <w:r>
        <w:rPr>
          <w:color w:val="231F20"/>
          <w:spacing w:val="27"/>
        </w:rPr>
        <w:t> </w:t>
      </w:r>
      <w:r>
        <w:rPr>
          <w:color w:val="231F20"/>
        </w:rPr>
        <w:t>key</w:t>
      </w:r>
      <w:r>
        <w:rPr>
          <w:color w:val="231F20"/>
          <w:spacing w:val="27"/>
        </w:rPr>
        <w:t> </w:t>
      </w:r>
      <w:r>
        <w:rPr>
          <w:color w:val="231F20"/>
        </w:rPr>
        <w:t>steps</w:t>
      </w:r>
      <w:r>
        <w:rPr>
          <w:color w:val="231F20"/>
          <w:spacing w:val="27"/>
        </w:rPr>
        <w:t> </w:t>
      </w:r>
      <w:r>
        <w:rPr>
          <w:color w:val="231F20"/>
        </w:rPr>
        <w:t>in</w:t>
      </w:r>
      <w:r>
        <w:rPr>
          <w:color w:val="231F20"/>
          <w:spacing w:val="27"/>
        </w:rPr>
        <w:t> </w:t>
      </w:r>
      <w:r>
        <w:rPr>
          <w:color w:val="231F20"/>
        </w:rPr>
        <w:t>the</w:t>
      </w:r>
      <w:r>
        <w:rPr>
          <w:color w:val="231F20"/>
          <w:spacing w:val="27"/>
        </w:rPr>
        <w:t> </w:t>
      </w:r>
      <w:r>
        <w:rPr>
          <w:color w:val="231F20"/>
        </w:rPr>
        <w:t>export</w:t>
      </w:r>
      <w:r>
        <w:rPr>
          <w:color w:val="231F20"/>
          <w:spacing w:val="27"/>
        </w:rPr>
        <w:t> </w:t>
      </w:r>
      <w:r>
        <w:rPr>
          <w:color w:val="231F20"/>
        </w:rPr>
        <w:t>process.</w:t>
      </w:r>
      <w:r>
        <w:rPr>
          <w:color w:val="231F20"/>
          <w:spacing w:val="27"/>
        </w:rPr>
        <w:t> </w:t>
      </w:r>
      <w:r>
        <w:rPr>
          <w:color w:val="231F20"/>
        </w:rPr>
        <w:t>This</w:t>
      </w:r>
      <w:r>
        <w:rPr>
          <w:color w:val="231F20"/>
          <w:spacing w:val="27"/>
        </w:rPr>
        <w:t> </w:t>
      </w:r>
      <w:r>
        <w:rPr>
          <w:color w:val="231F20"/>
        </w:rPr>
        <w:t>workspace</w:t>
      </w:r>
      <w:r>
        <w:rPr>
          <w:color w:val="231F20"/>
          <w:spacing w:val="27"/>
        </w:rPr>
        <w:t> </w:t>
      </w:r>
      <w:r>
        <w:rPr>
          <w:color w:val="231F20"/>
        </w:rPr>
        <w:t>allows</w:t>
      </w:r>
      <w:r>
        <w:rPr>
          <w:color w:val="231F20"/>
          <w:spacing w:val="27"/>
        </w:rPr>
        <w:t> </w:t>
      </w:r>
      <w:r>
        <w:rPr>
          <w:color w:val="231F20"/>
        </w:rPr>
        <w:t>you</w:t>
      </w:r>
      <w:r>
        <w:rPr>
          <w:color w:val="231F20"/>
          <w:spacing w:val="27"/>
        </w:rPr>
        <w:t> </w:t>
      </w:r>
      <w:r>
        <w:rPr>
          <w:color w:val="231F20"/>
        </w:rPr>
        <w:t>to</w:t>
      </w:r>
      <w:r>
        <w:rPr>
          <w:color w:val="231F20"/>
          <w:spacing w:val="27"/>
        </w:rPr>
        <w:t> </w:t>
      </w:r>
      <w:r>
        <w:rPr>
          <w:color w:val="231F20"/>
        </w:rPr>
        <w:t>see</w:t>
      </w:r>
      <w:r>
        <w:rPr>
          <w:color w:val="231F20"/>
          <w:spacing w:val="27"/>
        </w:rPr>
        <w:t> </w:t>
      </w:r>
      <w:r>
        <w:rPr>
          <w:color w:val="231F20"/>
        </w:rPr>
        <w:t>what historical collections are currently being exported by the managed system, determine whether or not the exports have been successful, determine the amount</w:t>
      </w:r>
      <w:r>
        <w:rPr>
          <w:color w:val="231F20"/>
          <w:spacing w:val="40"/>
        </w:rPr>
        <w:t> </w:t>
      </w:r>
      <w:r>
        <w:rPr>
          <w:color w:val="231F20"/>
        </w:rPr>
        <w:t>of</w:t>
      </w:r>
      <w:r>
        <w:rPr>
          <w:color w:val="231F20"/>
          <w:spacing w:val="21"/>
        </w:rPr>
        <w:t> </w:t>
      </w:r>
      <w:r>
        <w:rPr>
          <w:color w:val="231F20"/>
        </w:rPr>
        <w:t>time</w:t>
      </w:r>
      <w:r>
        <w:rPr>
          <w:color w:val="231F20"/>
          <w:spacing w:val="21"/>
        </w:rPr>
        <w:t> </w:t>
      </w:r>
      <w:r>
        <w:rPr>
          <w:color w:val="231F20"/>
        </w:rPr>
        <w:t>to</w:t>
      </w:r>
      <w:r>
        <w:rPr>
          <w:color w:val="231F20"/>
          <w:spacing w:val="21"/>
        </w:rPr>
        <w:t> </w:t>
      </w:r>
      <w:r>
        <w:rPr>
          <w:color w:val="231F20"/>
        </w:rPr>
        <w:t>complete</w:t>
      </w:r>
      <w:r>
        <w:rPr>
          <w:color w:val="231F20"/>
          <w:spacing w:val="21"/>
        </w:rPr>
        <w:t> </w:t>
      </w:r>
      <w:r>
        <w:rPr>
          <w:color w:val="231F20"/>
        </w:rPr>
        <w:t>an</w:t>
      </w:r>
      <w:r>
        <w:rPr>
          <w:color w:val="231F20"/>
          <w:spacing w:val="21"/>
        </w:rPr>
        <w:t> </w:t>
      </w:r>
      <w:r>
        <w:rPr>
          <w:color w:val="231F20"/>
        </w:rPr>
        <w:t>export,</w:t>
      </w:r>
      <w:r>
        <w:rPr>
          <w:color w:val="231F20"/>
          <w:spacing w:val="21"/>
        </w:rPr>
        <w:t> </w:t>
      </w:r>
      <w:r>
        <w:rPr>
          <w:color w:val="231F20"/>
        </w:rPr>
        <w:t>and</w:t>
      </w:r>
      <w:r>
        <w:rPr>
          <w:color w:val="231F20"/>
          <w:spacing w:val="21"/>
        </w:rPr>
        <w:t> </w:t>
      </w:r>
      <w:r>
        <w:rPr>
          <w:color w:val="231F20"/>
        </w:rPr>
        <w:t>determine</w:t>
      </w:r>
      <w:r>
        <w:rPr>
          <w:color w:val="231F20"/>
          <w:spacing w:val="21"/>
        </w:rPr>
        <w:t> </w:t>
      </w:r>
      <w:r>
        <w:rPr>
          <w:color w:val="231F20"/>
        </w:rPr>
        <w:t>the</w:t>
      </w:r>
      <w:r>
        <w:rPr>
          <w:color w:val="231F20"/>
          <w:spacing w:val="21"/>
        </w:rPr>
        <w:t> </w:t>
      </w:r>
      <w:r>
        <w:rPr>
          <w:color w:val="231F20"/>
        </w:rPr>
        <w:t>amount</w:t>
      </w:r>
      <w:r>
        <w:rPr>
          <w:color w:val="231F20"/>
          <w:spacing w:val="21"/>
        </w:rPr>
        <w:t> </w:t>
      </w:r>
      <w:r>
        <w:rPr>
          <w:color w:val="231F20"/>
        </w:rPr>
        <w:t>of</w:t>
      </w:r>
      <w:r>
        <w:rPr>
          <w:color w:val="231F20"/>
          <w:spacing w:val="21"/>
        </w:rPr>
        <w:t> </w:t>
      </w:r>
      <w:r>
        <w:rPr>
          <w:color w:val="231F20"/>
        </w:rPr>
        <w:t>data</w:t>
      </w:r>
      <w:r>
        <w:rPr>
          <w:color w:val="231F20"/>
          <w:spacing w:val="21"/>
        </w:rPr>
        <w:t> </w:t>
      </w:r>
      <w:r>
        <w:rPr>
          <w:color w:val="231F20"/>
        </w:rPr>
        <w:t>being</w:t>
      </w:r>
      <w:r>
        <w:rPr>
          <w:color w:val="231F20"/>
          <w:spacing w:val="21"/>
        </w:rPr>
        <w:t> </w:t>
      </w:r>
      <w:r>
        <w:rPr>
          <w:color w:val="231F20"/>
        </w:rPr>
        <w:t>exported. If</w:t>
      </w:r>
      <w:r>
        <w:rPr>
          <w:color w:val="231F20"/>
          <w:spacing w:val="27"/>
        </w:rPr>
        <w:t> </w:t>
      </w:r>
      <w:r>
        <w:rPr>
          <w:color w:val="231F20"/>
        </w:rPr>
        <w:t>the</w:t>
      </w:r>
      <w:r>
        <w:rPr>
          <w:color w:val="231F20"/>
          <w:spacing w:val="27"/>
        </w:rPr>
        <w:t> </w:t>
      </w:r>
      <w:r>
        <w:rPr>
          <w:color w:val="231F20"/>
        </w:rPr>
        <w:t>amount</w:t>
      </w:r>
      <w:r>
        <w:rPr>
          <w:color w:val="231F20"/>
          <w:spacing w:val="27"/>
        </w:rPr>
        <w:t> </w:t>
      </w:r>
      <w:r>
        <w:rPr>
          <w:color w:val="231F20"/>
        </w:rPr>
        <w:t>of</w:t>
      </w:r>
      <w:r>
        <w:rPr>
          <w:color w:val="231F20"/>
          <w:spacing w:val="26"/>
        </w:rPr>
        <w:t> </w:t>
      </w:r>
      <w:r>
        <w:rPr>
          <w:color w:val="231F20"/>
        </w:rPr>
        <w:t>exported</w:t>
      </w:r>
      <w:r>
        <w:rPr>
          <w:color w:val="231F20"/>
          <w:spacing w:val="27"/>
        </w:rPr>
        <w:t> </w:t>
      </w:r>
      <w:r>
        <w:rPr>
          <w:color w:val="231F20"/>
        </w:rPr>
        <w:t>data</w:t>
      </w:r>
      <w:r>
        <w:rPr>
          <w:color w:val="231F20"/>
          <w:spacing w:val="27"/>
        </w:rPr>
        <w:t> </w:t>
      </w:r>
      <w:r>
        <w:rPr>
          <w:color w:val="231F20"/>
        </w:rPr>
        <w:t>is</w:t>
      </w:r>
      <w:r>
        <w:rPr>
          <w:color w:val="231F20"/>
          <w:spacing w:val="27"/>
        </w:rPr>
        <w:t> </w:t>
      </w:r>
      <w:r>
        <w:rPr>
          <w:color w:val="231F20"/>
        </w:rPr>
        <w:t>excessive,</w:t>
      </w:r>
      <w:r>
        <w:rPr>
          <w:color w:val="231F20"/>
          <w:spacing w:val="26"/>
        </w:rPr>
        <w:t> </w:t>
      </w:r>
      <w:r>
        <w:rPr>
          <w:color w:val="231F20"/>
        </w:rPr>
        <w:t>you</w:t>
      </w:r>
      <w:r>
        <w:rPr>
          <w:color w:val="231F20"/>
          <w:spacing w:val="27"/>
        </w:rPr>
        <w:t> </w:t>
      </w:r>
      <w:r>
        <w:rPr>
          <w:color w:val="231F20"/>
        </w:rPr>
        <w:t>might</w:t>
      </w:r>
      <w:r>
        <w:rPr>
          <w:color w:val="231F20"/>
          <w:spacing w:val="27"/>
        </w:rPr>
        <w:t> </w:t>
      </w:r>
      <w:r>
        <w:rPr>
          <w:color w:val="231F20"/>
        </w:rPr>
        <w:t>want</w:t>
      </w:r>
      <w:r>
        <w:rPr>
          <w:color w:val="231F20"/>
          <w:spacing w:val="27"/>
        </w:rPr>
        <w:t> </w:t>
      </w:r>
      <w:r>
        <w:rPr>
          <w:color w:val="231F20"/>
        </w:rPr>
        <w:t>to</w:t>
      </w:r>
      <w:r>
        <w:rPr>
          <w:color w:val="231F20"/>
          <w:spacing w:val="26"/>
        </w:rPr>
        <w:t> </w:t>
      </w:r>
      <w:r>
        <w:rPr>
          <w:color w:val="231F20"/>
        </w:rPr>
        <w:t>reduce</w:t>
      </w:r>
      <w:r>
        <w:rPr>
          <w:color w:val="231F20"/>
          <w:spacing w:val="27"/>
        </w:rPr>
        <w:t> </w:t>
      </w:r>
      <w:r>
        <w:rPr>
          <w:color w:val="231F20"/>
        </w:rPr>
        <w:t>the collection interval for sampled attribute groups.</w:t>
      </w:r>
    </w:p>
    <w:p>
      <w:pPr>
        <w:pStyle w:val="BodyText"/>
        <w:spacing w:line="213" w:lineRule="auto" w:before="234"/>
        <w:ind w:left="2472" w:right="385"/>
      </w:pPr>
      <w:r>
        <w:rPr>
          <w:color w:val="231F20"/>
          <w:spacing w:val="-2"/>
        </w:rPr>
        <w:t>The</w:t>
      </w:r>
      <w:r>
        <w:rPr>
          <w:color w:val="231F20"/>
          <w:spacing w:val="-3"/>
        </w:rPr>
        <w:t> </w:t>
      </w:r>
      <w:r>
        <w:rPr>
          <w:color w:val="231F20"/>
          <w:spacing w:val="-2"/>
        </w:rPr>
        <w:t>historical</w:t>
      </w:r>
      <w:r>
        <w:rPr>
          <w:color w:val="231F20"/>
          <w:spacing w:val="-3"/>
        </w:rPr>
        <w:t> </w:t>
      </w:r>
      <w:r>
        <w:rPr>
          <w:color w:val="231F20"/>
          <w:spacing w:val="-2"/>
        </w:rPr>
        <w:t>collection</w:t>
      </w:r>
      <w:r>
        <w:rPr>
          <w:color w:val="231F20"/>
          <w:spacing w:val="-3"/>
        </w:rPr>
        <w:t> </w:t>
      </w:r>
      <w:r>
        <w:rPr>
          <w:color w:val="231F20"/>
          <w:spacing w:val="-2"/>
        </w:rPr>
        <w:t>statistics</w:t>
      </w:r>
      <w:r>
        <w:rPr>
          <w:color w:val="231F20"/>
          <w:spacing w:val="-3"/>
        </w:rPr>
        <w:t> </w:t>
      </w:r>
      <w:r>
        <w:rPr>
          <w:color w:val="231F20"/>
          <w:spacing w:val="-2"/>
        </w:rPr>
        <w:t>data</w:t>
      </w:r>
      <w:r>
        <w:rPr>
          <w:color w:val="231F20"/>
          <w:spacing w:val="-3"/>
        </w:rPr>
        <w:t> </w:t>
      </w:r>
      <w:r>
        <w:rPr>
          <w:color w:val="231F20"/>
          <w:spacing w:val="-2"/>
        </w:rPr>
        <w:t>is</w:t>
      </w:r>
      <w:r>
        <w:rPr>
          <w:color w:val="231F20"/>
          <w:spacing w:val="-3"/>
        </w:rPr>
        <w:t> </w:t>
      </w:r>
      <w:r>
        <w:rPr>
          <w:color w:val="231F20"/>
          <w:spacing w:val="-2"/>
        </w:rPr>
        <w:t>stored</w:t>
      </w:r>
      <w:r>
        <w:rPr>
          <w:color w:val="231F20"/>
          <w:spacing w:val="-3"/>
        </w:rPr>
        <w:t> </w:t>
      </w:r>
      <w:r>
        <w:rPr>
          <w:color w:val="231F20"/>
          <w:spacing w:val="-2"/>
        </w:rPr>
        <w:t>in</w:t>
      </w:r>
      <w:r>
        <w:rPr>
          <w:color w:val="231F20"/>
          <w:spacing w:val="-3"/>
        </w:rPr>
        <w:t> </w:t>
      </w:r>
      <w:r>
        <w:rPr>
          <w:color w:val="231F20"/>
          <w:spacing w:val="-2"/>
        </w:rPr>
        <w:t>the</w:t>
      </w:r>
      <w:r>
        <w:rPr>
          <w:color w:val="231F20"/>
          <w:spacing w:val="-3"/>
        </w:rPr>
        <w:t> </w:t>
      </w:r>
      <w:r>
        <w:rPr>
          <w:rFonts w:ascii="Arial"/>
          <w:color w:val="231F20"/>
          <w:spacing w:val="-2"/>
        </w:rPr>
        <w:t>O4SRV.KRAHIST</w:t>
      </w:r>
      <w:r>
        <w:rPr>
          <w:rFonts w:ascii="Arial"/>
          <w:color w:val="231F20"/>
          <w:spacing w:val="-9"/>
        </w:rPr>
        <w:t> </w:t>
      </w:r>
      <w:r>
        <w:rPr>
          <w:color w:val="231F20"/>
          <w:spacing w:val="-2"/>
        </w:rPr>
        <w:t>table.</w:t>
      </w:r>
      <w:r>
        <w:rPr>
          <w:color w:val="231F20"/>
          <w:spacing w:val="-3"/>
        </w:rPr>
        <w:t> </w:t>
      </w:r>
      <w:r>
        <w:rPr>
          <w:color w:val="231F20"/>
          <w:spacing w:val="-2"/>
        </w:rPr>
        <w:t>Using </w:t>
      </w:r>
      <w:r>
        <w:rPr>
          <w:color w:val="231F20"/>
        </w:rPr>
        <w:t>this table you can create custom queries and situations.</w:t>
      </w:r>
    </w:p>
    <w:p>
      <w:pPr>
        <w:pStyle w:val="BodyText"/>
        <w:spacing w:line="213" w:lineRule="auto" w:before="239"/>
        <w:ind w:left="2472" w:right="385"/>
      </w:pPr>
      <w:r>
        <w:rPr>
          <w:color w:val="231F20"/>
        </w:rPr>
        <w:t>The historical export data for a managed system can be viewed using the </w:t>
      </w:r>
      <w:r>
        <w:rPr>
          <w:color w:val="231F20"/>
        </w:rPr>
        <w:t>agent's service interface. For an autonomous agent, this is the only way to view the historical export statistics data. From the service interface, select service interface request and enter the following:</w:t>
      </w:r>
    </w:p>
    <w:p>
      <w:pPr>
        <w:spacing w:line="203" w:lineRule="exact" w:before="60"/>
        <w:ind w:left="2472" w:right="0" w:firstLine="0"/>
        <w:jc w:val="left"/>
        <w:rPr>
          <w:rFonts w:ascii="Arial"/>
          <w:sz w:val="18"/>
        </w:rPr>
      </w:pPr>
      <w:r>
        <w:rPr>
          <w:rFonts w:ascii="Arial"/>
          <w:color w:val="231F20"/>
          <w:spacing w:val="-2"/>
          <w:w w:val="85"/>
          <w:sz w:val="18"/>
        </w:rPr>
        <w:t>&lt;REPORT&gt;</w:t>
      </w:r>
    </w:p>
    <w:p>
      <w:pPr>
        <w:spacing w:line="200" w:lineRule="exact" w:before="0"/>
        <w:ind w:left="2472" w:right="0" w:firstLine="0"/>
        <w:jc w:val="left"/>
        <w:rPr>
          <w:rFonts w:ascii="Arial"/>
          <w:sz w:val="18"/>
        </w:rPr>
      </w:pPr>
      <w:r>
        <w:rPr>
          <w:rFonts w:ascii="Arial"/>
          <w:color w:val="231F20"/>
          <w:spacing w:val="-2"/>
          <w:w w:val="90"/>
          <w:sz w:val="18"/>
        </w:rPr>
        <w:t>&lt;SQLTABLE&gt;</w:t>
      </w:r>
    </w:p>
    <w:p>
      <w:pPr>
        <w:spacing w:line="200" w:lineRule="exact" w:before="0"/>
        <w:ind w:left="2472" w:right="0" w:firstLine="0"/>
        <w:jc w:val="left"/>
        <w:rPr>
          <w:rFonts w:ascii="Arial"/>
          <w:sz w:val="18"/>
        </w:rPr>
      </w:pPr>
      <w:r>
        <w:rPr>
          <w:rFonts w:ascii="Arial"/>
          <w:color w:val="231F20"/>
          <w:spacing w:val="-2"/>
          <w:w w:val="80"/>
          <w:sz w:val="18"/>
        </w:rPr>
        <w:t>&lt;TABLENAME&gt;KRAHIST&lt;/TABLENAME&gt;</w:t>
      </w:r>
    </w:p>
    <w:p>
      <w:pPr>
        <w:spacing w:line="200" w:lineRule="exact" w:before="0"/>
        <w:ind w:left="2472" w:right="0" w:firstLine="0"/>
        <w:jc w:val="left"/>
        <w:rPr>
          <w:rFonts w:ascii="Arial"/>
          <w:sz w:val="18"/>
        </w:rPr>
      </w:pPr>
      <w:r>
        <w:rPr>
          <w:rFonts w:ascii="Arial"/>
          <w:color w:val="231F20"/>
          <w:spacing w:val="-2"/>
          <w:w w:val="90"/>
          <w:sz w:val="18"/>
        </w:rPr>
        <w:t>&lt;/SQLTABLE&gt;</w:t>
      </w:r>
    </w:p>
    <w:p>
      <w:pPr>
        <w:spacing w:line="203" w:lineRule="exact" w:before="0"/>
        <w:ind w:left="2472" w:right="0" w:firstLine="0"/>
        <w:jc w:val="left"/>
        <w:rPr>
          <w:rFonts w:ascii="Arial"/>
          <w:sz w:val="18"/>
        </w:rPr>
      </w:pPr>
      <w:r>
        <w:rPr>
          <w:rFonts w:ascii="Arial"/>
          <w:color w:val="231F20"/>
          <w:spacing w:val="-2"/>
          <w:w w:val="90"/>
          <w:sz w:val="18"/>
        </w:rPr>
        <w:t>&lt;/REPORT&gt;</w:t>
      </w:r>
    </w:p>
    <w:p>
      <w:pPr>
        <w:pStyle w:val="BodyText"/>
        <w:spacing w:before="40"/>
        <w:rPr>
          <w:rFonts w:ascii="Arial"/>
          <w:sz w:val="18"/>
        </w:rPr>
      </w:pPr>
    </w:p>
    <w:p>
      <w:pPr>
        <w:pStyle w:val="Heading6"/>
        <w:spacing w:line="240" w:lineRule="auto" w:before="1"/>
      </w:pPr>
      <w:r>
        <w:rPr>
          <w:color w:val="231F20"/>
        </w:rPr>
        <w:t>Usage</w:t>
      </w:r>
      <w:r>
        <w:rPr>
          <w:color w:val="231F20"/>
          <w:spacing w:val="10"/>
        </w:rPr>
        <w:t> </w:t>
      </w:r>
      <w:r>
        <w:rPr>
          <w:color w:val="231F20"/>
          <w:spacing w:val="-2"/>
        </w:rPr>
        <w:t>notes:</w:t>
      </w:r>
    </w:p>
    <w:p>
      <w:pPr>
        <w:pStyle w:val="BodyText"/>
        <w:spacing w:line="213" w:lineRule="auto" w:before="59"/>
        <w:ind w:left="2688" w:right="274" w:hanging="216"/>
      </w:pPr>
      <w:r>
        <w:rPr>
          <w:rFonts w:ascii="Futura MdCn BT"/>
          <w:color w:val="231F20"/>
        </w:rPr>
        <w:t>v</w:t>
      </w:r>
      <w:r>
        <w:rPr>
          <w:rFonts w:ascii="Futura MdCn BT"/>
          <w:color w:val="231F20"/>
          <w:spacing w:val="80"/>
        </w:rPr>
        <w:t> </w:t>
      </w:r>
      <w:r>
        <w:rPr>
          <w:color w:val="231F20"/>
        </w:rPr>
        <w:t>In order to view the workspace data, the selected managed system must have </w:t>
      </w:r>
      <w:r>
        <w:rPr>
          <w:color w:val="231F20"/>
        </w:rPr>
        <w:t>at</w:t>
      </w:r>
      <w:r>
        <w:rPr>
          <w:color w:val="231F20"/>
          <w:spacing w:val="40"/>
        </w:rPr>
        <w:t> </w:t>
      </w:r>
      <w:r>
        <w:rPr>
          <w:color w:val="231F20"/>
        </w:rPr>
        <w:t>minimum an IBM Tivoli Monitoring V6.3 framework or the workspace data will be empty or you might receive a </w:t>
      </w:r>
      <w:r>
        <w:rPr>
          <w:rFonts w:ascii="Arial"/>
          <w:color w:val="231F20"/>
        </w:rPr>
        <w:t>KFWITM217E Request error: SQL1_CreateRequest failed </w:t>
      </w:r>
      <w:r>
        <w:rPr>
          <w:color w:val="231F20"/>
        </w:rPr>
        <w:t>message.</w:t>
      </w:r>
    </w:p>
    <w:p>
      <w:pPr>
        <w:pStyle w:val="BodyText"/>
        <w:spacing w:line="244" w:lineRule="exact"/>
        <w:ind w:left="2688"/>
      </w:pPr>
      <w:r>
        <w:rPr>
          <w:color w:val="231F20"/>
        </w:rPr>
        <w:t>For</w:t>
      </w:r>
      <w:r>
        <w:rPr>
          <w:color w:val="231F20"/>
          <w:spacing w:val="13"/>
        </w:rPr>
        <w:t> </w:t>
      </w:r>
      <w:r>
        <w:rPr>
          <w:color w:val="231F20"/>
          <w:spacing w:val="-2"/>
        </w:rPr>
        <w:t>example:</w:t>
      </w:r>
    </w:p>
    <w:p>
      <w:pPr>
        <w:pStyle w:val="ListParagraph"/>
        <w:numPr>
          <w:ilvl w:val="0"/>
          <w:numId w:val="175"/>
        </w:numPr>
        <w:tabs>
          <w:tab w:pos="2935" w:val="left" w:leader="none"/>
          <w:tab w:pos="2937" w:val="left" w:leader="none"/>
        </w:tabs>
        <w:spacing w:line="213" w:lineRule="auto" w:before="53" w:after="0"/>
        <w:ind w:left="2937" w:right="416" w:hanging="250"/>
        <w:jc w:val="left"/>
        <w:rPr>
          <w:sz w:val="20"/>
        </w:rPr>
      </w:pPr>
      <w:r>
        <w:rPr>
          <w:color w:val="231F20"/>
          <w:sz w:val="20"/>
        </w:rPr>
        <w:t>When viewing a monitoring server's workspace data, the monitoring </w:t>
      </w:r>
      <w:r>
        <w:rPr>
          <w:color w:val="231F20"/>
          <w:sz w:val="20"/>
        </w:rPr>
        <w:t>server must be an IBM Tivoli Monitoring V6.3 monitoring server.</w:t>
      </w:r>
    </w:p>
    <w:p>
      <w:pPr>
        <w:pStyle w:val="ListParagraph"/>
        <w:numPr>
          <w:ilvl w:val="0"/>
          <w:numId w:val="175"/>
        </w:numPr>
        <w:tabs>
          <w:tab w:pos="2935" w:val="left" w:leader="none"/>
          <w:tab w:pos="2937" w:val="left" w:leader="none"/>
        </w:tabs>
        <w:spacing w:line="213" w:lineRule="auto" w:before="58" w:after="0"/>
        <w:ind w:left="2937" w:right="231" w:hanging="250"/>
        <w:jc w:val="left"/>
        <w:rPr>
          <w:sz w:val="20"/>
        </w:rPr>
      </w:pPr>
      <w:r>
        <w:rPr>
          <w:color w:val="231F20"/>
          <w:sz w:val="20"/>
        </w:rPr>
        <w:t>When viewing an agent's workspace data, the agent framework used by the agent and the monitoring server it connects to and the hub monitoring </w:t>
      </w:r>
      <w:r>
        <w:rPr>
          <w:color w:val="231F20"/>
          <w:sz w:val="20"/>
        </w:rPr>
        <w:t>server must be IBM Tivoli Monitoring V6.3.</w:t>
      </w:r>
    </w:p>
    <w:p>
      <w:pPr>
        <w:pStyle w:val="BodyText"/>
        <w:spacing w:line="213" w:lineRule="auto" w:before="58"/>
        <w:ind w:left="2688" w:right="493" w:hanging="216"/>
      </w:pPr>
      <w:r>
        <w:rPr>
          <w:rFonts w:ascii="Futura MdCn BT"/>
          <w:color w:val="231F20"/>
        </w:rPr>
        <w:t>v</w:t>
      </w:r>
      <w:r>
        <w:rPr>
          <w:rFonts w:ascii="Futura MdCn BT"/>
          <w:color w:val="231F20"/>
          <w:spacing w:val="80"/>
        </w:rPr>
        <w:t> </w:t>
      </w:r>
      <w:r>
        <w:rPr>
          <w:color w:val="231F20"/>
        </w:rPr>
        <w:t>The workspace shows the historical collections distributed to the selected managed system, where the collection location in the historical collection is </w:t>
      </w:r>
      <w:r>
        <w:rPr>
          <w:color w:val="231F20"/>
        </w:rPr>
        <w:t>set</w:t>
      </w:r>
      <w:r>
        <w:rPr>
          <w:color w:val="231F20"/>
        </w:rPr>
        <w:t> to store at the agent. If the collection location is set to store at the managing</w:t>
      </w:r>
      <w:r>
        <w:rPr>
          <w:color w:val="231F20"/>
          <w:spacing w:val="40"/>
        </w:rPr>
        <w:t> </w:t>
      </w:r>
      <w:r>
        <w:rPr>
          <w:color w:val="231F20"/>
        </w:rPr>
        <w:t>server, the collection is displayed in the Historical Export Statistics workspace for the monitoring server the agent reports to.</w:t>
      </w:r>
    </w:p>
    <w:p>
      <w:pPr>
        <w:spacing w:after="0" w:line="213" w:lineRule="auto"/>
        <w:sectPr>
          <w:pgSz w:w="12240" w:h="15840"/>
          <w:pgMar w:header="0" w:footer="736" w:top="1180" w:bottom="920" w:left="1000" w:right="1060"/>
        </w:sectPr>
      </w:pPr>
    </w:p>
    <w:p>
      <w:pPr>
        <w:pStyle w:val="BodyText"/>
        <w:spacing w:line="213" w:lineRule="auto" w:before="85"/>
        <w:ind w:left="2448" w:right="700" w:hanging="216"/>
      </w:pPr>
      <w:bookmarkStart w:name="_bookmark302" w:id="619"/>
      <w:bookmarkEnd w:id="619"/>
      <w:r>
        <w:rPr/>
      </w:r>
      <w:r>
        <w:rPr>
          <w:rFonts w:ascii="Futura MdCn BT"/>
          <w:color w:val="231F20"/>
        </w:rPr>
        <w:t>v</w:t>
      </w:r>
      <w:r>
        <w:rPr>
          <w:rFonts w:ascii="Futura MdCn BT"/>
          <w:color w:val="231F20"/>
          <w:spacing w:val="80"/>
        </w:rPr>
        <w:t> </w:t>
      </w:r>
      <w:r>
        <w:rPr>
          <w:color w:val="231F20"/>
        </w:rPr>
        <w:t>This workspace is empty if a subnode is selected. The collections are </w:t>
      </w:r>
      <w:r>
        <w:rPr>
          <w:color w:val="231F20"/>
        </w:rPr>
        <w:t>displayed</w:t>
      </w:r>
      <w:r>
        <w:rPr>
          <w:color w:val="231F20"/>
          <w:spacing w:val="40"/>
        </w:rPr>
        <w:t> </w:t>
      </w:r>
      <w:r>
        <w:rPr>
          <w:color w:val="231F20"/>
        </w:rPr>
        <w:t>in the subnode's managing system.</w:t>
      </w:r>
    </w:p>
    <w:p>
      <w:pPr>
        <w:pStyle w:val="BodyText"/>
        <w:spacing w:line="213" w:lineRule="auto" w:before="58"/>
        <w:ind w:left="2448" w:right="493" w:hanging="216"/>
      </w:pPr>
      <w:r>
        <w:rPr>
          <w:rFonts w:ascii="Futura MdCn BT"/>
          <w:color w:val="231F20"/>
        </w:rPr>
        <w:t>v</w:t>
      </w:r>
      <w:r>
        <w:rPr>
          <w:rFonts w:ascii="Futura MdCn BT"/>
          <w:color w:val="231F20"/>
          <w:spacing w:val="80"/>
        </w:rPr>
        <w:t> </w:t>
      </w:r>
      <w:r>
        <w:rPr>
          <w:color w:val="231F20"/>
        </w:rPr>
        <w:t>The collection interval for an attribute group that contains event data is always 0</w:t>
      </w:r>
      <w:r>
        <w:rPr>
          <w:color w:val="231F20"/>
          <w:spacing w:val="40"/>
        </w:rPr>
        <w:t> </w:t>
      </w:r>
      <w:r>
        <w:rPr>
          <w:color w:val="231F20"/>
        </w:rPr>
        <w:t>regardless of what was specified in the historical collection.</w:t>
      </w:r>
    </w:p>
    <w:p>
      <w:pPr>
        <w:pStyle w:val="BodyText"/>
        <w:spacing w:line="213" w:lineRule="auto" w:before="59"/>
        <w:ind w:left="2448" w:right="493" w:hanging="216"/>
      </w:pPr>
      <w:r>
        <w:rPr>
          <w:rFonts w:ascii="Futura MdCn BT"/>
          <w:color w:val="231F20"/>
        </w:rPr>
        <w:t>v</w:t>
      </w:r>
      <w:r>
        <w:rPr>
          <w:rFonts w:ascii="Futura MdCn BT"/>
          <w:color w:val="231F20"/>
          <w:spacing w:val="80"/>
        </w:rPr>
        <w:t> </w:t>
      </w:r>
      <w:r>
        <w:rPr>
          <w:color w:val="231F20"/>
        </w:rPr>
        <w:t>The warehouse interval for an attribute group that contains event data is always</w:t>
      </w:r>
      <w:r>
        <w:rPr>
          <w:color w:val="231F20"/>
          <w:spacing w:val="40"/>
        </w:rPr>
        <w:t> </w:t>
      </w:r>
      <w:r>
        <w:rPr>
          <w:color w:val="231F20"/>
        </w:rPr>
        <w:t>30 minutes regardless of what was specified in the historical collection.</w:t>
      </w:r>
    </w:p>
    <w:p>
      <w:pPr>
        <w:pStyle w:val="Heading3"/>
        <w:spacing w:before="217"/>
        <w:ind w:left="1334"/>
      </w:pPr>
      <w:bookmarkStart w:name="Adding a Managed System Status view to a" w:id="620"/>
      <w:bookmarkEnd w:id="620"/>
      <w:r>
        <w:rPr>
          <w:b w:val="0"/>
        </w:rPr>
      </w:r>
      <w:r>
        <w:rPr>
          <w:color w:val="231F20"/>
        </w:rPr>
        <w:t>Adding</w:t>
      </w:r>
      <w:r>
        <w:rPr>
          <w:color w:val="231F20"/>
          <w:spacing w:val="8"/>
        </w:rPr>
        <w:t> </w:t>
      </w:r>
      <w:r>
        <w:rPr>
          <w:color w:val="231F20"/>
        </w:rPr>
        <w:t>a</w:t>
      </w:r>
      <w:r>
        <w:rPr>
          <w:color w:val="231F20"/>
          <w:spacing w:val="8"/>
        </w:rPr>
        <w:t> </w:t>
      </w:r>
      <w:r>
        <w:rPr>
          <w:color w:val="231F20"/>
        </w:rPr>
        <w:t>Managed</w:t>
      </w:r>
      <w:r>
        <w:rPr>
          <w:color w:val="231F20"/>
          <w:spacing w:val="9"/>
        </w:rPr>
        <w:t> </w:t>
      </w:r>
      <w:r>
        <w:rPr>
          <w:color w:val="231F20"/>
        </w:rPr>
        <w:t>System</w:t>
      </w:r>
      <w:r>
        <w:rPr>
          <w:color w:val="231F20"/>
          <w:spacing w:val="8"/>
        </w:rPr>
        <w:t> </w:t>
      </w:r>
      <w:r>
        <w:rPr>
          <w:color w:val="231F20"/>
        </w:rPr>
        <w:t>Status</w:t>
      </w:r>
      <w:r>
        <w:rPr>
          <w:color w:val="231F20"/>
          <w:spacing w:val="9"/>
        </w:rPr>
        <w:t> </w:t>
      </w:r>
      <w:r>
        <w:rPr>
          <w:color w:val="231F20"/>
        </w:rPr>
        <w:t>view</w:t>
      </w:r>
      <w:r>
        <w:rPr>
          <w:color w:val="231F20"/>
          <w:spacing w:val="8"/>
        </w:rPr>
        <w:t> </w:t>
      </w:r>
      <w:r>
        <w:rPr>
          <w:color w:val="231F20"/>
        </w:rPr>
        <w:t>to</w:t>
      </w:r>
      <w:r>
        <w:rPr>
          <w:color w:val="231F20"/>
          <w:spacing w:val="9"/>
        </w:rPr>
        <w:t> </w:t>
      </w:r>
      <w:r>
        <w:rPr>
          <w:color w:val="231F20"/>
        </w:rPr>
        <w:t>a</w:t>
      </w:r>
      <w:r>
        <w:rPr>
          <w:color w:val="231F20"/>
          <w:spacing w:val="8"/>
        </w:rPr>
        <w:t> </w:t>
      </w:r>
      <w:r>
        <w:rPr>
          <w:color w:val="231F20"/>
          <w:spacing w:val="-2"/>
        </w:rPr>
        <w:t>workspace</w:t>
      </w:r>
    </w:p>
    <w:p>
      <w:pPr>
        <w:pStyle w:val="BodyText"/>
        <w:spacing w:before="35"/>
        <w:ind w:left="2232"/>
      </w:pPr>
      <w:r>
        <w:rPr>
          <w:color w:val="231F20"/>
        </w:rPr>
        <w:t>You</w:t>
      </w:r>
      <w:r>
        <w:rPr>
          <w:color w:val="231F20"/>
          <w:spacing w:val="10"/>
        </w:rPr>
        <w:t> </w:t>
      </w:r>
      <w:r>
        <w:rPr>
          <w:color w:val="231F20"/>
        </w:rPr>
        <w:t>can</w:t>
      </w:r>
      <w:r>
        <w:rPr>
          <w:color w:val="231F20"/>
          <w:spacing w:val="10"/>
        </w:rPr>
        <w:t> </w:t>
      </w:r>
      <w:r>
        <w:rPr>
          <w:color w:val="231F20"/>
        </w:rPr>
        <w:t>add</w:t>
      </w:r>
      <w:r>
        <w:rPr>
          <w:color w:val="231F20"/>
          <w:spacing w:val="10"/>
        </w:rPr>
        <w:t> </w:t>
      </w:r>
      <w:r>
        <w:rPr>
          <w:color w:val="231F20"/>
        </w:rPr>
        <w:t>a</w:t>
      </w:r>
      <w:r>
        <w:rPr>
          <w:color w:val="231F20"/>
          <w:spacing w:val="11"/>
        </w:rPr>
        <w:t> </w:t>
      </w:r>
      <w:r>
        <w:rPr>
          <w:color w:val="231F20"/>
        </w:rPr>
        <w:t>Managed</w:t>
      </w:r>
      <w:r>
        <w:rPr>
          <w:color w:val="231F20"/>
          <w:spacing w:val="10"/>
        </w:rPr>
        <w:t> </w:t>
      </w:r>
      <w:r>
        <w:rPr>
          <w:color w:val="231F20"/>
        </w:rPr>
        <w:t>System</w:t>
      </w:r>
      <w:r>
        <w:rPr>
          <w:color w:val="231F20"/>
          <w:spacing w:val="10"/>
        </w:rPr>
        <w:t> </w:t>
      </w:r>
      <w:r>
        <w:rPr>
          <w:color w:val="231F20"/>
        </w:rPr>
        <w:t>Status</w:t>
      </w:r>
      <w:r>
        <w:rPr>
          <w:color w:val="231F20"/>
          <w:spacing w:val="10"/>
        </w:rPr>
        <w:t> </w:t>
      </w:r>
      <w:r>
        <w:rPr>
          <w:color w:val="231F20"/>
        </w:rPr>
        <w:t>view</w:t>
      </w:r>
      <w:r>
        <w:rPr>
          <w:color w:val="231F20"/>
          <w:spacing w:val="11"/>
        </w:rPr>
        <w:t> </w:t>
      </w:r>
      <w:r>
        <w:rPr>
          <w:color w:val="231F20"/>
        </w:rPr>
        <w:t>to</w:t>
      </w:r>
      <w:r>
        <w:rPr>
          <w:color w:val="231F20"/>
          <w:spacing w:val="10"/>
        </w:rPr>
        <w:t> </w:t>
      </w:r>
      <w:r>
        <w:rPr>
          <w:color w:val="231F20"/>
        </w:rPr>
        <w:t>a</w:t>
      </w:r>
      <w:r>
        <w:rPr>
          <w:color w:val="231F20"/>
          <w:spacing w:val="10"/>
        </w:rPr>
        <w:t> </w:t>
      </w:r>
      <w:r>
        <w:rPr>
          <w:color w:val="231F20"/>
          <w:spacing w:val="-2"/>
        </w:rPr>
        <w:t>workspace.</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Use</w:t>
      </w:r>
      <w:r>
        <w:rPr>
          <w:color w:val="231F20"/>
          <w:spacing w:val="11"/>
        </w:rPr>
        <w:t> </w:t>
      </w:r>
      <w:r>
        <w:rPr>
          <w:color w:val="231F20"/>
        </w:rPr>
        <w:t>the</w:t>
      </w:r>
      <w:r>
        <w:rPr>
          <w:color w:val="231F20"/>
          <w:spacing w:val="11"/>
        </w:rPr>
        <w:t> </w:t>
      </w:r>
      <w:r>
        <w:rPr>
          <w:color w:val="231F20"/>
        </w:rPr>
        <w:t>following</w:t>
      </w:r>
      <w:r>
        <w:rPr>
          <w:color w:val="231F20"/>
          <w:spacing w:val="11"/>
        </w:rPr>
        <w:t> </w:t>
      </w:r>
      <w:r>
        <w:rPr>
          <w:color w:val="231F20"/>
        </w:rPr>
        <w:t>steps</w:t>
      </w:r>
      <w:r>
        <w:rPr>
          <w:color w:val="231F20"/>
          <w:spacing w:val="11"/>
        </w:rPr>
        <w:t> </w:t>
      </w:r>
      <w:r>
        <w:rPr>
          <w:color w:val="231F20"/>
        </w:rPr>
        <w:t>to</w:t>
      </w:r>
      <w:r>
        <w:rPr>
          <w:color w:val="231F20"/>
          <w:spacing w:val="12"/>
        </w:rPr>
        <w:t> </w:t>
      </w:r>
      <w:r>
        <w:rPr>
          <w:color w:val="231F20"/>
        </w:rPr>
        <w:t>create</w:t>
      </w:r>
      <w:r>
        <w:rPr>
          <w:color w:val="231F20"/>
          <w:spacing w:val="11"/>
        </w:rPr>
        <w:t> </w:t>
      </w:r>
      <w:r>
        <w:rPr>
          <w:color w:val="231F20"/>
        </w:rPr>
        <w:t>this</w:t>
      </w:r>
      <w:r>
        <w:rPr>
          <w:color w:val="231F20"/>
          <w:spacing w:val="11"/>
        </w:rPr>
        <w:t> </w:t>
      </w:r>
      <w:r>
        <w:rPr>
          <w:color w:val="231F20"/>
          <w:spacing w:val="-2"/>
        </w:rPr>
        <w:t>table:</w:t>
      </w:r>
    </w:p>
    <w:p>
      <w:pPr>
        <w:pStyle w:val="Heading4"/>
        <w:spacing w:before="194"/>
      </w:pPr>
      <w:r>
        <w:rPr>
          <w:color w:val="231F20"/>
          <w:spacing w:val="-2"/>
        </w:rPr>
        <w:t>Procedure</w:t>
      </w:r>
    </w:p>
    <w:p>
      <w:pPr>
        <w:pStyle w:val="ListParagraph"/>
        <w:numPr>
          <w:ilvl w:val="0"/>
          <w:numId w:val="176"/>
        </w:numPr>
        <w:tabs>
          <w:tab w:pos="2658" w:val="left" w:leader="none"/>
        </w:tabs>
        <w:spacing w:line="240" w:lineRule="auto" w:before="38" w:after="0"/>
        <w:ind w:left="2658" w:right="0" w:hanging="315"/>
        <w:jc w:val="left"/>
        <w:rPr>
          <w:sz w:val="20"/>
        </w:rPr>
      </w:pPr>
      <w:r>
        <w:rPr>
          <w:color w:val="231F20"/>
          <w:sz w:val="20"/>
        </w:rPr>
        <w:t>Open</w:t>
      </w:r>
      <w:r>
        <w:rPr>
          <w:color w:val="231F20"/>
          <w:spacing w:val="10"/>
          <w:sz w:val="20"/>
        </w:rPr>
        <w:t> </w:t>
      </w:r>
      <w:r>
        <w:rPr>
          <w:color w:val="231F20"/>
          <w:sz w:val="20"/>
        </w:rPr>
        <w:t>the</w:t>
      </w:r>
      <w:r>
        <w:rPr>
          <w:color w:val="231F20"/>
          <w:spacing w:val="11"/>
          <w:sz w:val="20"/>
        </w:rPr>
        <w:t> </w:t>
      </w:r>
      <w:r>
        <w:rPr>
          <w:color w:val="231F20"/>
          <w:sz w:val="20"/>
        </w:rPr>
        <w:t>workspace</w:t>
      </w:r>
      <w:r>
        <w:rPr>
          <w:color w:val="231F20"/>
          <w:spacing w:val="10"/>
          <w:sz w:val="20"/>
        </w:rPr>
        <w:t> </w:t>
      </w:r>
      <w:r>
        <w:rPr>
          <w:color w:val="231F20"/>
          <w:sz w:val="20"/>
        </w:rPr>
        <w:t>where</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the</w:t>
      </w:r>
      <w:r>
        <w:rPr>
          <w:color w:val="231F20"/>
          <w:spacing w:val="11"/>
          <w:sz w:val="20"/>
        </w:rPr>
        <w:t> </w:t>
      </w:r>
      <w:r>
        <w:rPr>
          <w:color w:val="231F20"/>
          <w:spacing w:val="-2"/>
          <w:sz w:val="20"/>
        </w:rPr>
        <w:t>view.</w:t>
      </w:r>
    </w:p>
    <w:p>
      <w:pPr>
        <w:pStyle w:val="ListParagraph"/>
        <w:numPr>
          <w:ilvl w:val="0"/>
          <w:numId w:val="176"/>
        </w:numPr>
        <w:tabs>
          <w:tab w:pos="2658" w:val="left" w:leader="none"/>
        </w:tabs>
        <w:spacing w:line="255" w:lineRule="exact" w:before="30" w:after="0"/>
        <w:ind w:left="2658" w:right="0" w:hanging="315"/>
        <w:jc w:val="left"/>
        <w:rPr>
          <w:sz w:val="20"/>
        </w:rPr>
      </w:pPr>
      <w:r>
        <w:rPr>
          <w:color w:val="231F20"/>
          <w:sz w:val="20"/>
        </w:rPr>
        <w:t>If</w:t>
      </w:r>
      <w:r>
        <w:rPr>
          <w:color w:val="231F20"/>
          <w:spacing w:val="14"/>
          <w:sz w:val="20"/>
        </w:rPr>
        <w:t> </w:t>
      </w:r>
      <w:r>
        <w:rPr>
          <w:color w:val="231F20"/>
          <w:sz w:val="20"/>
        </w:rPr>
        <w:t>you</w:t>
      </w:r>
      <w:r>
        <w:rPr>
          <w:color w:val="231F20"/>
          <w:spacing w:val="14"/>
          <w:sz w:val="20"/>
        </w:rPr>
        <w:t> </w:t>
      </w:r>
      <w:r>
        <w:rPr>
          <w:color w:val="231F20"/>
          <w:sz w:val="20"/>
        </w:rPr>
        <w:t>want</w:t>
      </w:r>
      <w:r>
        <w:rPr>
          <w:color w:val="231F20"/>
          <w:spacing w:val="14"/>
          <w:sz w:val="20"/>
        </w:rPr>
        <w:t> </w:t>
      </w:r>
      <w:r>
        <w:rPr>
          <w:color w:val="231F20"/>
          <w:sz w:val="20"/>
        </w:rPr>
        <w:t>the</w:t>
      </w:r>
      <w:r>
        <w:rPr>
          <w:color w:val="231F20"/>
          <w:spacing w:val="14"/>
          <w:sz w:val="20"/>
        </w:rPr>
        <w:t> </w:t>
      </w:r>
      <w:r>
        <w:rPr>
          <w:color w:val="231F20"/>
          <w:sz w:val="20"/>
        </w:rPr>
        <w:t>view</w:t>
      </w:r>
      <w:r>
        <w:rPr>
          <w:color w:val="231F20"/>
          <w:spacing w:val="14"/>
          <w:sz w:val="20"/>
        </w:rPr>
        <w:t> </w:t>
      </w:r>
      <w:r>
        <w:rPr>
          <w:color w:val="231F20"/>
          <w:sz w:val="20"/>
        </w:rPr>
        <w:t>to</w:t>
      </w:r>
      <w:r>
        <w:rPr>
          <w:color w:val="231F20"/>
          <w:spacing w:val="14"/>
          <w:sz w:val="20"/>
        </w:rPr>
        <w:t> </w:t>
      </w:r>
      <w:r>
        <w:rPr>
          <w:color w:val="231F20"/>
          <w:sz w:val="20"/>
        </w:rPr>
        <w:t>occupy</w:t>
      </w:r>
      <w:r>
        <w:rPr>
          <w:color w:val="231F20"/>
          <w:spacing w:val="14"/>
          <w:sz w:val="20"/>
        </w:rPr>
        <w:t> </w:t>
      </w:r>
      <w:r>
        <w:rPr>
          <w:color w:val="231F20"/>
          <w:sz w:val="20"/>
        </w:rPr>
        <w:t>a</w:t>
      </w:r>
      <w:r>
        <w:rPr>
          <w:color w:val="231F20"/>
          <w:spacing w:val="14"/>
          <w:sz w:val="20"/>
        </w:rPr>
        <w:t> </w:t>
      </w:r>
      <w:r>
        <w:rPr>
          <w:color w:val="231F20"/>
          <w:sz w:val="20"/>
        </w:rPr>
        <w:t>new</w:t>
      </w:r>
      <w:r>
        <w:rPr>
          <w:color w:val="231F20"/>
          <w:spacing w:val="14"/>
          <w:sz w:val="20"/>
        </w:rPr>
        <w:t> </w:t>
      </w:r>
      <w:r>
        <w:rPr>
          <w:color w:val="231F20"/>
          <w:sz w:val="20"/>
        </w:rPr>
        <w:t>space,</w:t>
      </w:r>
      <w:r>
        <w:rPr>
          <w:color w:val="231F20"/>
          <w:spacing w:val="14"/>
          <w:sz w:val="20"/>
        </w:rPr>
        <w:t> </w:t>
      </w:r>
      <w:r>
        <w:rPr>
          <w:color w:val="231F20"/>
          <w:sz w:val="20"/>
        </w:rPr>
        <w:t>click</w:t>
      </w:r>
      <w:r>
        <w:rPr>
          <w:color w:val="231F20"/>
          <w:spacing w:val="32"/>
          <w:sz w:val="20"/>
        </w:rPr>
        <w:t> </w:t>
      </w:r>
      <w:r>
        <w:rPr>
          <w:color w:val="231F20"/>
          <w:spacing w:val="-15"/>
          <w:position w:val="-1"/>
          <w:sz w:val="20"/>
        </w:rPr>
        <w:drawing>
          <wp:inline distT="0" distB="0" distL="0" distR="0">
            <wp:extent cx="88900" cy="88899"/>
            <wp:effectExtent l="0" t="0" r="0" b="0"/>
            <wp:docPr id="3093" name="Image 3093"/>
            <wp:cNvGraphicFramePr>
              <a:graphicFrameLocks/>
            </wp:cNvGraphicFramePr>
            <a:graphic>
              <a:graphicData uri="http://schemas.openxmlformats.org/drawingml/2006/picture">
                <pic:pic>
                  <pic:nvPicPr>
                    <pic:cNvPr id="3093" name="Image 3093"/>
                    <pic:cNvPicPr/>
                  </pic:nvPicPr>
                  <pic:blipFill>
                    <a:blip r:embed="rId66" cstate="print"/>
                    <a:stretch>
                      <a:fillRect/>
                    </a:stretch>
                  </pic:blipFill>
                  <pic:spPr>
                    <a:xfrm>
                      <a:off x="0" y="0"/>
                      <a:ext cx="88900" cy="88899"/>
                    </a:xfrm>
                    <a:prstGeom prst="rect">
                      <a:avLst/>
                    </a:prstGeom>
                  </pic:spPr>
                </pic:pic>
              </a:graphicData>
            </a:graphic>
          </wp:inline>
        </w:drawing>
      </w:r>
      <w:r>
        <w:rPr>
          <w:color w:val="231F20"/>
          <w:spacing w:val="-15"/>
          <w:position w:val="-1"/>
          <w:sz w:val="20"/>
        </w:rPr>
      </w:r>
      <w:r>
        <w:rPr>
          <w:rFonts w:ascii="Times New Roman"/>
          <w:color w:val="231F20"/>
          <w:spacing w:val="76"/>
          <w:sz w:val="20"/>
        </w:rPr>
        <w:t> </w:t>
      </w:r>
      <w:r>
        <w:rPr>
          <w:rFonts w:ascii="Book Antiqua"/>
          <w:b/>
          <w:color w:val="231F20"/>
          <w:sz w:val="20"/>
        </w:rPr>
        <w:t>Split</w:t>
      </w:r>
      <w:r>
        <w:rPr>
          <w:rFonts w:ascii="Book Antiqua"/>
          <w:b/>
          <w:color w:val="231F20"/>
          <w:spacing w:val="14"/>
          <w:sz w:val="20"/>
        </w:rPr>
        <w:t> </w:t>
      </w:r>
      <w:r>
        <w:rPr>
          <w:rFonts w:ascii="Book Antiqua"/>
          <w:b/>
          <w:color w:val="231F20"/>
          <w:sz w:val="20"/>
        </w:rPr>
        <w:t>Vertically</w:t>
      </w:r>
      <w:r>
        <w:rPr>
          <w:rFonts w:ascii="Book Antiqua"/>
          <w:b/>
          <w:color w:val="231F20"/>
          <w:spacing w:val="14"/>
          <w:sz w:val="20"/>
        </w:rPr>
        <w:t> </w:t>
      </w:r>
      <w:r>
        <w:rPr>
          <w:color w:val="231F20"/>
          <w:sz w:val="20"/>
        </w:rPr>
        <w:t>or</w:t>
      </w:r>
      <w:r>
        <w:rPr>
          <w:color w:val="231F20"/>
          <w:spacing w:val="33"/>
          <w:sz w:val="20"/>
        </w:rPr>
        <w:t> </w:t>
      </w:r>
      <w:r>
        <w:rPr>
          <w:color w:val="231F20"/>
          <w:spacing w:val="-14"/>
          <w:position w:val="-1"/>
          <w:sz w:val="20"/>
        </w:rPr>
        <w:drawing>
          <wp:inline distT="0" distB="0" distL="0" distR="0">
            <wp:extent cx="88900" cy="88899"/>
            <wp:effectExtent l="0" t="0" r="0" b="0"/>
            <wp:docPr id="3094" name="Image 3094"/>
            <wp:cNvGraphicFramePr>
              <a:graphicFrameLocks/>
            </wp:cNvGraphicFramePr>
            <a:graphic>
              <a:graphicData uri="http://schemas.openxmlformats.org/drawingml/2006/picture">
                <pic:pic>
                  <pic:nvPicPr>
                    <pic:cNvPr id="3094" name="Image 3094"/>
                    <pic:cNvPicPr/>
                  </pic:nvPicPr>
                  <pic:blipFill>
                    <a:blip r:embed="rId65" cstate="print"/>
                    <a:stretch>
                      <a:fillRect/>
                    </a:stretch>
                  </pic:blipFill>
                  <pic:spPr>
                    <a:xfrm>
                      <a:off x="0" y="0"/>
                      <a:ext cx="88900" cy="88899"/>
                    </a:xfrm>
                    <a:prstGeom prst="rect">
                      <a:avLst/>
                    </a:prstGeom>
                  </pic:spPr>
                </pic:pic>
              </a:graphicData>
            </a:graphic>
          </wp:inline>
        </w:drawing>
      </w:r>
      <w:r>
        <w:rPr>
          <w:color w:val="231F20"/>
          <w:spacing w:val="-14"/>
          <w:position w:val="-1"/>
          <w:sz w:val="20"/>
        </w:rPr>
      </w:r>
    </w:p>
    <w:p>
      <w:pPr>
        <w:spacing w:line="255" w:lineRule="exact" w:before="0"/>
        <w:ind w:left="2659" w:right="0" w:firstLine="0"/>
        <w:jc w:val="left"/>
        <w:rPr>
          <w:sz w:val="20"/>
        </w:rPr>
      </w:pPr>
      <w:r>
        <w:rPr>
          <w:rFonts w:ascii="Book Antiqua"/>
          <w:b/>
          <w:color w:val="231F20"/>
          <w:sz w:val="20"/>
        </w:rPr>
        <w:t>Split</w:t>
      </w:r>
      <w:r>
        <w:rPr>
          <w:rFonts w:ascii="Book Antiqua"/>
          <w:b/>
          <w:color w:val="231F20"/>
          <w:spacing w:val="11"/>
          <w:sz w:val="20"/>
        </w:rPr>
        <w:t> </w:t>
      </w:r>
      <w:r>
        <w:rPr>
          <w:rFonts w:ascii="Book Antiqua"/>
          <w:b/>
          <w:color w:val="231F20"/>
          <w:sz w:val="20"/>
        </w:rPr>
        <w:t>Horizontally</w:t>
      </w:r>
      <w:r>
        <w:rPr>
          <w:rFonts w:ascii="Book Antiqua"/>
          <w:b/>
          <w:color w:val="231F20"/>
          <w:spacing w:val="12"/>
          <w:sz w:val="20"/>
        </w:rPr>
        <w:t> </w:t>
      </w:r>
      <w:r>
        <w:rPr>
          <w:color w:val="231F20"/>
          <w:sz w:val="20"/>
        </w:rPr>
        <w:t>in</w:t>
      </w:r>
      <w:r>
        <w:rPr>
          <w:color w:val="231F20"/>
          <w:spacing w:val="12"/>
          <w:sz w:val="20"/>
        </w:rPr>
        <w:t> </w:t>
      </w:r>
      <w:r>
        <w:rPr>
          <w:color w:val="231F20"/>
          <w:sz w:val="20"/>
        </w:rPr>
        <w:t>one</w:t>
      </w:r>
      <w:r>
        <w:rPr>
          <w:color w:val="231F20"/>
          <w:spacing w:val="11"/>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pacing w:val="-2"/>
          <w:sz w:val="20"/>
        </w:rPr>
        <w:t>views.</w:t>
      </w:r>
    </w:p>
    <w:p>
      <w:pPr>
        <w:pStyle w:val="ListParagraph"/>
        <w:numPr>
          <w:ilvl w:val="0"/>
          <w:numId w:val="176"/>
        </w:numPr>
        <w:tabs>
          <w:tab w:pos="2658" w:val="left" w:leader="none"/>
        </w:tabs>
        <w:spacing w:line="240" w:lineRule="auto" w:before="30" w:after="0"/>
        <w:ind w:left="2658" w:right="0" w:hanging="315"/>
        <w:jc w:val="left"/>
        <w:rPr>
          <w:sz w:val="20"/>
        </w:rPr>
      </w:pPr>
      <w:r>
        <w:rPr>
          <w:color w:val="231F20"/>
          <w:sz w:val="20"/>
        </w:rPr>
        <w:t>Click</w:t>
      </w:r>
      <w:r>
        <w:rPr>
          <w:color w:val="231F20"/>
          <w:spacing w:val="23"/>
          <w:sz w:val="20"/>
        </w:rPr>
        <w:t> </w:t>
      </w:r>
      <w:r>
        <w:rPr>
          <w:color w:val="231F20"/>
          <w:spacing w:val="-24"/>
          <w:position w:val="-1"/>
          <w:sz w:val="20"/>
        </w:rPr>
        <w:drawing>
          <wp:inline distT="0" distB="0" distL="0" distR="0">
            <wp:extent cx="95250" cy="95250"/>
            <wp:effectExtent l="0" t="0" r="0" b="0"/>
            <wp:docPr id="3095" name="Image 3095"/>
            <wp:cNvGraphicFramePr>
              <a:graphicFrameLocks/>
            </wp:cNvGraphicFramePr>
            <a:graphic>
              <a:graphicData uri="http://schemas.openxmlformats.org/drawingml/2006/picture">
                <pic:pic>
                  <pic:nvPicPr>
                    <pic:cNvPr id="3095" name="Image 3095"/>
                    <pic:cNvPicPr/>
                  </pic:nvPicPr>
                  <pic:blipFill>
                    <a:blip r:embed="rId50"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1"/>
          <w:sz w:val="20"/>
        </w:rPr>
        <w:t> </w:t>
      </w:r>
      <w:r>
        <w:rPr>
          <w:rFonts w:ascii="Book Antiqua"/>
          <w:b/>
          <w:color w:val="231F20"/>
          <w:spacing w:val="-2"/>
          <w:sz w:val="20"/>
        </w:rPr>
        <w:t>Table</w:t>
      </w:r>
      <w:r>
        <w:rPr>
          <w:color w:val="231F20"/>
          <w:spacing w:val="-2"/>
          <w:sz w:val="20"/>
        </w:rPr>
        <w:t>.</w:t>
      </w:r>
    </w:p>
    <w:p>
      <w:pPr>
        <w:pStyle w:val="ListParagraph"/>
        <w:numPr>
          <w:ilvl w:val="0"/>
          <w:numId w:val="176"/>
        </w:numPr>
        <w:tabs>
          <w:tab w:pos="2658" w:val="left" w:leader="none"/>
        </w:tabs>
        <w:spacing w:line="240" w:lineRule="auto" w:before="29" w:after="0"/>
        <w:ind w:left="2658" w:right="0" w:hanging="315"/>
        <w:jc w:val="left"/>
        <w:rPr>
          <w:sz w:val="20"/>
        </w:rPr>
      </w:pPr>
      <w:r>
        <w:rPr>
          <w:color w:val="231F20"/>
          <w:sz w:val="20"/>
        </w:rPr>
        <w:t>Click</w:t>
      </w:r>
      <w:r>
        <w:rPr>
          <w:color w:val="231F20"/>
          <w:spacing w:val="11"/>
          <w:sz w:val="20"/>
        </w:rPr>
        <w:t> </w:t>
      </w:r>
      <w:r>
        <w:rPr>
          <w:color w:val="231F20"/>
          <w:sz w:val="20"/>
        </w:rPr>
        <w:t>inside</w:t>
      </w:r>
      <w:r>
        <w:rPr>
          <w:color w:val="231F20"/>
          <w:spacing w:val="11"/>
          <w:sz w:val="20"/>
        </w:rPr>
        <w:t> </w:t>
      </w:r>
      <w:r>
        <w:rPr>
          <w:color w:val="231F20"/>
          <w:sz w:val="20"/>
        </w:rPr>
        <w:t>the</w:t>
      </w:r>
      <w:r>
        <w:rPr>
          <w:color w:val="231F20"/>
          <w:spacing w:val="12"/>
          <w:sz w:val="20"/>
        </w:rPr>
        <w:t> </w:t>
      </w:r>
      <w:r>
        <w:rPr>
          <w:color w:val="231F20"/>
          <w:sz w:val="20"/>
        </w:rPr>
        <w:t>view</w:t>
      </w:r>
      <w:r>
        <w:rPr>
          <w:color w:val="231F20"/>
          <w:spacing w:val="11"/>
          <w:sz w:val="20"/>
        </w:rPr>
        <w:t> </w:t>
      </w:r>
      <w:r>
        <w:rPr>
          <w:color w:val="231F20"/>
          <w:sz w:val="20"/>
        </w:rPr>
        <w:t>where</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1"/>
          <w:sz w:val="20"/>
        </w:rPr>
        <w:t> </w:t>
      </w:r>
      <w:r>
        <w:rPr>
          <w:color w:val="231F20"/>
          <w:sz w:val="20"/>
        </w:rPr>
        <w:t>the</w:t>
      </w:r>
      <w:r>
        <w:rPr>
          <w:color w:val="231F20"/>
          <w:spacing w:val="11"/>
          <w:sz w:val="20"/>
        </w:rPr>
        <w:t> </w:t>
      </w:r>
      <w:r>
        <w:rPr>
          <w:color w:val="231F20"/>
          <w:spacing w:val="-2"/>
          <w:sz w:val="20"/>
        </w:rPr>
        <w:t>table.</w:t>
      </w:r>
    </w:p>
    <w:p>
      <w:pPr>
        <w:pStyle w:val="ListParagraph"/>
        <w:numPr>
          <w:ilvl w:val="0"/>
          <w:numId w:val="176"/>
        </w:numPr>
        <w:tabs>
          <w:tab w:pos="2658" w:val="left" w:leader="none"/>
        </w:tabs>
        <w:spacing w:line="240" w:lineRule="auto" w:before="30" w:after="0"/>
        <w:ind w:left="2658" w:right="0" w:hanging="315"/>
        <w:jc w:val="left"/>
        <w:rPr>
          <w:sz w:val="20"/>
        </w:rPr>
      </w:pPr>
      <w:r>
        <w:rPr>
          <w:color w:val="231F20"/>
          <w:sz w:val="20"/>
        </w:rPr>
        <w:t>In</w:t>
      </w:r>
      <w:r>
        <w:rPr>
          <w:color w:val="231F20"/>
          <w:spacing w:val="13"/>
          <w:sz w:val="20"/>
        </w:rPr>
        <w:t> </w:t>
      </w:r>
      <w:r>
        <w:rPr>
          <w:color w:val="231F20"/>
          <w:sz w:val="20"/>
        </w:rPr>
        <w:t>the</w:t>
      </w:r>
      <w:r>
        <w:rPr>
          <w:color w:val="231F20"/>
          <w:spacing w:val="13"/>
          <w:sz w:val="20"/>
        </w:rPr>
        <w:t> </w:t>
      </w:r>
      <w:r>
        <w:rPr>
          <w:color w:val="231F20"/>
          <w:sz w:val="20"/>
        </w:rPr>
        <w:t>table</w:t>
      </w:r>
      <w:r>
        <w:rPr>
          <w:color w:val="231F20"/>
          <w:spacing w:val="13"/>
          <w:sz w:val="20"/>
        </w:rPr>
        <w:t> </w:t>
      </w:r>
      <w:r>
        <w:rPr>
          <w:color w:val="231F20"/>
          <w:sz w:val="20"/>
        </w:rPr>
        <w:t>view</w:t>
      </w:r>
      <w:r>
        <w:rPr>
          <w:color w:val="231F20"/>
          <w:spacing w:val="14"/>
          <w:sz w:val="20"/>
        </w:rPr>
        <w:t> </w:t>
      </w:r>
      <w:r>
        <w:rPr>
          <w:color w:val="231F20"/>
          <w:sz w:val="20"/>
        </w:rPr>
        <w:t>title</w:t>
      </w:r>
      <w:r>
        <w:rPr>
          <w:color w:val="231F20"/>
          <w:spacing w:val="13"/>
          <w:sz w:val="20"/>
        </w:rPr>
        <w:t> </w:t>
      </w:r>
      <w:r>
        <w:rPr>
          <w:color w:val="231F20"/>
          <w:sz w:val="20"/>
        </w:rPr>
        <w:t>bar</w:t>
      </w:r>
      <w:r>
        <w:rPr>
          <w:color w:val="231F20"/>
          <w:spacing w:val="13"/>
          <w:sz w:val="20"/>
        </w:rPr>
        <w:t> </w:t>
      </w:r>
      <w:r>
        <w:rPr>
          <w:color w:val="231F20"/>
          <w:sz w:val="20"/>
        </w:rPr>
        <w:t>click</w:t>
      </w:r>
      <w:r>
        <w:rPr>
          <w:color w:val="231F20"/>
          <w:spacing w:val="51"/>
          <w:sz w:val="20"/>
        </w:rPr>
        <w:t> </w:t>
      </w:r>
      <w:r>
        <w:rPr>
          <w:color w:val="231F20"/>
          <w:spacing w:val="5"/>
          <w:position w:val="1"/>
          <w:sz w:val="20"/>
        </w:rPr>
        <w:drawing>
          <wp:inline distT="0" distB="0" distL="0" distR="0">
            <wp:extent cx="57150" cy="57150"/>
            <wp:effectExtent l="0" t="0" r="0" b="0"/>
            <wp:docPr id="3096" name="Image 3096"/>
            <wp:cNvGraphicFramePr>
              <a:graphicFrameLocks/>
            </wp:cNvGraphicFramePr>
            <a:graphic>
              <a:graphicData uri="http://schemas.openxmlformats.org/drawingml/2006/picture">
                <pic:pic>
                  <pic:nvPicPr>
                    <pic:cNvPr id="3096" name="Image 3096"/>
                    <pic:cNvPicPr/>
                  </pic:nvPicPr>
                  <pic:blipFill>
                    <a:blip r:embed="rId62" cstate="print"/>
                    <a:stretch>
                      <a:fillRect/>
                    </a:stretch>
                  </pic:blipFill>
                  <pic:spPr>
                    <a:xfrm>
                      <a:off x="0" y="0"/>
                      <a:ext cx="57150" cy="57150"/>
                    </a:xfrm>
                    <a:prstGeom prst="rect">
                      <a:avLst/>
                    </a:prstGeom>
                  </pic:spPr>
                </pic:pic>
              </a:graphicData>
            </a:graphic>
          </wp:inline>
        </w:drawing>
      </w:r>
      <w:r>
        <w:rPr>
          <w:color w:val="231F20"/>
          <w:spacing w:val="5"/>
          <w:position w:val="1"/>
          <w:sz w:val="20"/>
        </w:rPr>
      </w:r>
      <w:r>
        <w:rPr>
          <w:rFonts w:ascii="Times New Roman"/>
          <w:color w:val="231F20"/>
          <w:spacing w:val="21"/>
          <w:sz w:val="20"/>
        </w:rPr>
        <w:t> </w:t>
      </w:r>
      <w:r>
        <w:rPr>
          <w:rFonts w:ascii="Book Antiqua"/>
          <w:b/>
          <w:color w:val="231F20"/>
          <w:spacing w:val="-2"/>
          <w:sz w:val="20"/>
        </w:rPr>
        <w:t>Properties</w:t>
      </w:r>
      <w:r>
        <w:rPr>
          <w:color w:val="231F20"/>
          <w:spacing w:val="-2"/>
          <w:sz w:val="20"/>
        </w:rPr>
        <w:t>.</w:t>
      </w:r>
    </w:p>
    <w:p>
      <w:pPr>
        <w:pStyle w:val="ListParagraph"/>
        <w:numPr>
          <w:ilvl w:val="0"/>
          <w:numId w:val="176"/>
        </w:numPr>
        <w:tabs>
          <w:tab w:pos="2659" w:val="left" w:leader="none"/>
        </w:tabs>
        <w:spacing w:line="213" w:lineRule="auto" w:before="52" w:after="0"/>
        <w:ind w:left="2659" w:right="865" w:hanging="316"/>
        <w:jc w:val="left"/>
        <w:rPr>
          <w:sz w:val="20"/>
        </w:rPr>
      </w:pPr>
      <w:r>
        <w:rPr>
          <w:color w:val="231F20"/>
          <w:sz w:val="20"/>
        </w:rPr>
        <w:t>In the </w:t>
      </w:r>
      <w:r>
        <w:rPr>
          <w:rFonts w:ascii="Book Antiqua"/>
          <w:b/>
          <w:color w:val="231F20"/>
          <w:sz w:val="20"/>
        </w:rPr>
        <w:t>Query </w:t>
      </w:r>
      <w:r>
        <w:rPr>
          <w:color w:val="231F20"/>
          <w:sz w:val="20"/>
        </w:rPr>
        <w:t>tab, click </w:t>
      </w:r>
      <w:r>
        <w:rPr>
          <w:color w:val="231F20"/>
          <w:spacing w:val="-25"/>
          <w:position w:val="-1"/>
          <w:sz w:val="20"/>
        </w:rPr>
        <w:drawing>
          <wp:inline distT="0" distB="0" distL="0" distR="0">
            <wp:extent cx="95250" cy="101600"/>
            <wp:effectExtent l="0" t="0" r="0" b="0"/>
            <wp:docPr id="3097" name="Image 3097"/>
            <wp:cNvGraphicFramePr>
              <a:graphicFrameLocks/>
            </wp:cNvGraphicFramePr>
            <a:graphic>
              <a:graphicData uri="http://schemas.openxmlformats.org/drawingml/2006/picture">
                <pic:pic>
                  <pic:nvPicPr>
                    <pic:cNvPr id="3097" name="Image 3097"/>
                    <pic:cNvPicPr/>
                  </pic:nvPicPr>
                  <pic:blipFill>
                    <a:blip r:embed="rId33"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Click here to assign a query</w:t>
      </w:r>
      <w:r>
        <w:rPr>
          <w:color w:val="231F20"/>
          <w:sz w:val="20"/>
        </w:rPr>
        <w:t>. The Query </w:t>
      </w:r>
      <w:r>
        <w:rPr>
          <w:color w:val="231F20"/>
          <w:sz w:val="20"/>
        </w:rPr>
        <w:t>editor shows a tree on the left with queries organized by product and then by attribute group:</w:t>
      </w:r>
    </w:p>
    <w:p>
      <w:pPr>
        <w:pStyle w:val="BodyText"/>
        <w:spacing w:before="35"/>
        <w:ind w:left="2959"/>
      </w:pPr>
      <w:r>
        <w:rPr>
          <w:position w:val="-1"/>
        </w:rPr>
        <w:drawing>
          <wp:inline distT="0" distB="0" distL="0" distR="0">
            <wp:extent cx="101600" cy="101600"/>
            <wp:effectExtent l="0" t="0" r="0" b="0"/>
            <wp:docPr id="3098" name="Image 3098"/>
            <wp:cNvGraphicFramePr>
              <a:graphicFrameLocks/>
            </wp:cNvGraphicFramePr>
            <a:graphic>
              <a:graphicData uri="http://schemas.openxmlformats.org/drawingml/2006/picture">
                <pic:pic>
                  <pic:nvPicPr>
                    <pic:cNvPr id="3098" name="Image 3098"/>
                    <pic:cNvPicPr/>
                  </pic:nvPicPr>
                  <pic:blipFill>
                    <a:blip r:embed="rId464"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Queries</w:t>
      </w:r>
    </w:p>
    <w:p>
      <w:pPr>
        <w:pStyle w:val="BodyText"/>
        <w:spacing w:line="266" w:lineRule="auto" w:before="29"/>
        <w:ind w:left="3634" w:right="3304" w:hanging="200"/>
      </w:pPr>
      <w:r>
        <w:rPr>
          <w:position w:val="-1"/>
        </w:rPr>
        <w:drawing>
          <wp:inline distT="0" distB="0" distL="0" distR="0">
            <wp:extent cx="95250" cy="95250"/>
            <wp:effectExtent l="0" t="0" r="0" b="0"/>
            <wp:docPr id="3099" name="Image 3099"/>
            <wp:cNvGraphicFramePr>
              <a:graphicFrameLocks/>
            </wp:cNvGraphicFramePr>
            <a:graphic>
              <a:graphicData uri="http://schemas.openxmlformats.org/drawingml/2006/picture">
                <pic:pic>
                  <pic:nvPicPr>
                    <pic:cNvPr id="3099" name="Image 3099"/>
                    <pic:cNvPicPr/>
                  </pic:nvPicPr>
                  <pic:blipFill>
                    <a:blip r:embed="rId84" cstate="print"/>
                    <a:stretch>
                      <a:fillRect/>
                    </a:stretch>
                  </pic:blipFill>
                  <pic:spPr>
                    <a:xfrm>
                      <a:off x="0" y="0"/>
                      <a:ext cx="95250" cy="95250"/>
                    </a:xfrm>
                    <a:prstGeom prst="rect">
                      <a:avLst/>
                    </a:prstGeom>
                  </pic:spPr>
                </pic:pic>
              </a:graphicData>
            </a:graphic>
          </wp:inline>
        </w:drawing>
      </w:r>
      <w:r>
        <w:rPr>
          <w:position w:val="-1"/>
        </w:rPr>
      </w:r>
      <w:r>
        <w:rPr>
          <w:rFonts w:ascii="Times New Roman"/>
          <w:spacing w:val="-12"/>
        </w:rPr>
        <w:t> </w:t>
      </w:r>
      <w:r>
        <w:rPr>
          <w:color w:val="231F20"/>
        </w:rPr>
        <w:t>Tivoli Enterprise Monitoring </w:t>
      </w:r>
      <w:r>
        <w:rPr>
          <w:color w:val="231F20"/>
        </w:rPr>
        <w:t>Server </w:t>
      </w:r>
      <w:r>
        <w:rPr>
          <w:color w:val="231F20"/>
          <w:position w:val="-1"/>
        </w:rPr>
        <w:drawing>
          <wp:inline distT="0" distB="0" distL="0" distR="0">
            <wp:extent cx="88900" cy="101600"/>
            <wp:effectExtent l="0" t="0" r="0" b="0"/>
            <wp:docPr id="3100" name="Image 3100"/>
            <wp:cNvGraphicFramePr>
              <a:graphicFrameLocks/>
            </wp:cNvGraphicFramePr>
            <a:graphic>
              <a:graphicData uri="http://schemas.openxmlformats.org/drawingml/2006/picture">
                <pic:pic>
                  <pic:nvPicPr>
                    <pic:cNvPr id="3100" name="Image 3100"/>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Managed System</w:t>
      </w:r>
    </w:p>
    <w:p>
      <w:pPr>
        <w:pStyle w:val="BodyText"/>
        <w:spacing w:line="269" w:lineRule="exact"/>
        <w:ind w:left="3833"/>
      </w:pPr>
      <w:r>
        <w:rPr>
          <w:position w:val="-1"/>
        </w:rPr>
        <w:drawing>
          <wp:inline distT="0" distB="0" distL="0" distR="0">
            <wp:extent cx="95250" cy="101600"/>
            <wp:effectExtent l="0" t="0" r="0" b="0"/>
            <wp:docPr id="3101" name="Image 3101"/>
            <wp:cNvGraphicFramePr>
              <a:graphicFrameLocks/>
            </wp:cNvGraphicFramePr>
            <a:graphic>
              <a:graphicData uri="http://schemas.openxmlformats.org/drawingml/2006/picture">
                <pic:pic>
                  <pic:nvPicPr>
                    <pic:cNvPr id="3101" name="Image 3101"/>
                    <pic:cNvPicPr/>
                  </pic:nvPicPr>
                  <pic:blipFill>
                    <a:blip r:embed="rId33"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5"/>
        </w:rPr>
        <w:t> </w:t>
      </w:r>
      <w:r>
        <w:rPr>
          <w:color w:val="231F20"/>
        </w:rPr>
        <w:t>Current</w:t>
      </w:r>
      <w:r>
        <w:rPr>
          <w:color w:val="231F20"/>
          <w:spacing w:val="11"/>
        </w:rPr>
        <w:t> </w:t>
      </w:r>
      <w:r>
        <w:rPr>
          <w:color w:val="231F20"/>
        </w:rPr>
        <w:t>Managed</w:t>
      </w:r>
      <w:r>
        <w:rPr>
          <w:color w:val="231F20"/>
          <w:spacing w:val="11"/>
        </w:rPr>
        <w:t> </w:t>
      </w:r>
      <w:r>
        <w:rPr>
          <w:color w:val="231F20"/>
        </w:rPr>
        <w:t>Systems</w:t>
      </w:r>
      <w:r>
        <w:rPr>
          <w:color w:val="231F20"/>
          <w:spacing w:val="11"/>
        </w:rPr>
        <w:t> </w:t>
      </w:r>
      <w:r>
        <w:rPr>
          <w:color w:val="231F20"/>
        </w:rPr>
        <w:t>Status</w:t>
      </w:r>
    </w:p>
    <w:p>
      <w:pPr>
        <w:pStyle w:val="ListParagraph"/>
        <w:numPr>
          <w:ilvl w:val="0"/>
          <w:numId w:val="176"/>
        </w:numPr>
        <w:tabs>
          <w:tab w:pos="2658" w:val="left" w:leader="none"/>
        </w:tabs>
        <w:spacing w:line="255" w:lineRule="exact" w:before="30" w:after="0"/>
        <w:ind w:left="2658" w:right="0" w:hanging="315"/>
        <w:jc w:val="left"/>
        <w:rPr>
          <w:rFonts w:ascii="Book Antiqua"/>
          <w:b/>
          <w:sz w:val="20"/>
        </w:rPr>
      </w:pPr>
      <w:r>
        <w:rPr>
          <w:color w:val="231F20"/>
          <w:sz w:val="20"/>
        </w:rPr>
        <w:t>Under</w:t>
      </w:r>
      <w:r>
        <w:rPr>
          <w:color w:val="231F20"/>
          <w:spacing w:val="9"/>
          <w:sz w:val="20"/>
        </w:rPr>
        <w:t> </w:t>
      </w:r>
      <w:r>
        <w:rPr>
          <w:color w:val="231F20"/>
          <w:sz w:val="20"/>
        </w:rPr>
        <w:t>the</w:t>
      </w:r>
      <w:r>
        <w:rPr>
          <w:color w:val="231F20"/>
          <w:spacing w:val="10"/>
          <w:sz w:val="20"/>
        </w:rPr>
        <w:t> </w:t>
      </w:r>
      <w:r>
        <w:rPr>
          <w:color w:val="231F20"/>
          <w:sz w:val="20"/>
        </w:rPr>
        <w:t>Managed</w:t>
      </w:r>
      <w:r>
        <w:rPr>
          <w:color w:val="231F20"/>
          <w:spacing w:val="10"/>
          <w:sz w:val="20"/>
        </w:rPr>
        <w:t> </w:t>
      </w:r>
      <w:r>
        <w:rPr>
          <w:color w:val="231F20"/>
          <w:sz w:val="20"/>
        </w:rPr>
        <w:t>System</w:t>
      </w:r>
      <w:r>
        <w:rPr>
          <w:color w:val="231F20"/>
          <w:spacing w:val="9"/>
          <w:sz w:val="20"/>
        </w:rPr>
        <w:t> </w:t>
      </w:r>
      <w:r>
        <w:rPr>
          <w:color w:val="231F20"/>
          <w:sz w:val="20"/>
        </w:rPr>
        <w:t>node,</w:t>
      </w:r>
      <w:r>
        <w:rPr>
          <w:color w:val="231F20"/>
          <w:spacing w:val="10"/>
          <w:sz w:val="20"/>
        </w:rPr>
        <w:t> </w:t>
      </w:r>
      <w:r>
        <w:rPr>
          <w:color w:val="231F20"/>
          <w:sz w:val="20"/>
        </w:rPr>
        <w:t>Select</w:t>
      </w:r>
      <w:r>
        <w:rPr>
          <w:color w:val="231F20"/>
          <w:spacing w:val="10"/>
          <w:sz w:val="20"/>
        </w:rPr>
        <w:t> </w:t>
      </w:r>
      <w:r>
        <w:rPr>
          <w:rFonts w:ascii="Book Antiqua"/>
          <w:b/>
          <w:color w:val="231F20"/>
          <w:sz w:val="20"/>
        </w:rPr>
        <w:t>Current</w:t>
      </w:r>
      <w:r>
        <w:rPr>
          <w:rFonts w:ascii="Book Antiqua"/>
          <w:b/>
          <w:color w:val="231F20"/>
          <w:spacing w:val="10"/>
          <w:sz w:val="20"/>
        </w:rPr>
        <w:t> </w:t>
      </w:r>
      <w:r>
        <w:rPr>
          <w:rFonts w:ascii="Book Antiqua"/>
          <w:b/>
          <w:color w:val="231F20"/>
          <w:sz w:val="20"/>
        </w:rPr>
        <w:t>Managed</w:t>
      </w:r>
      <w:r>
        <w:rPr>
          <w:rFonts w:ascii="Book Antiqua"/>
          <w:b/>
          <w:color w:val="231F20"/>
          <w:spacing w:val="9"/>
          <w:sz w:val="20"/>
        </w:rPr>
        <w:t> </w:t>
      </w:r>
      <w:r>
        <w:rPr>
          <w:rFonts w:ascii="Book Antiqua"/>
          <w:b/>
          <w:color w:val="231F20"/>
          <w:sz w:val="20"/>
        </w:rPr>
        <w:t>Systems</w:t>
      </w:r>
      <w:r>
        <w:rPr>
          <w:rFonts w:ascii="Book Antiqua"/>
          <w:b/>
          <w:color w:val="231F20"/>
          <w:spacing w:val="10"/>
          <w:sz w:val="20"/>
        </w:rPr>
        <w:t> </w:t>
      </w:r>
      <w:r>
        <w:rPr>
          <w:rFonts w:ascii="Book Antiqua"/>
          <w:b/>
          <w:color w:val="231F20"/>
          <w:spacing w:val="-2"/>
          <w:sz w:val="20"/>
        </w:rPr>
        <w:t>Status</w:t>
      </w:r>
    </w:p>
    <w:p>
      <w:pPr>
        <w:pStyle w:val="BodyText"/>
        <w:spacing w:line="255" w:lineRule="exact"/>
        <w:ind w:left="2659"/>
      </w:pPr>
      <w:r>
        <w:rPr>
          <w:color w:val="231F20"/>
        </w:rPr>
        <w:t>query</w:t>
      </w:r>
      <w:r>
        <w:rPr>
          <w:color w:val="231F20"/>
          <w:spacing w:val="11"/>
        </w:rPr>
        <w:t> </w:t>
      </w:r>
      <w:r>
        <w:rPr>
          <w:color w:val="231F20"/>
        </w:rPr>
        <w:t>and</w:t>
      </w:r>
      <w:r>
        <w:rPr>
          <w:color w:val="231F20"/>
          <w:spacing w:val="12"/>
        </w:rPr>
        <w:t> </w:t>
      </w:r>
      <w:r>
        <w:rPr>
          <w:color w:val="231F20"/>
        </w:rPr>
        <w:t>click</w:t>
      </w:r>
      <w:r>
        <w:rPr>
          <w:color w:val="231F20"/>
          <w:spacing w:val="12"/>
        </w:rPr>
        <w:t> </w:t>
      </w:r>
      <w:r>
        <w:rPr>
          <w:rFonts w:ascii="Book Antiqua"/>
          <w:b/>
          <w:color w:val="231F20"/>
          <w:spacing w:val="-5"/>
        </w:rPr>
        <w:t>OK</w:t>
      </w:r>
      <w:r>
        <w:rPr>
          <w:color w:val="231F20"/>
          <w:spacing w:val="-5"/>
        </w:rPr>
        <w:t>.</w:t>
      </w:r>
    </w:p>
    <w:p>
      <w:pPr>
        <w:pStyle w:val="ListParagraph"/>
        <w:numPr>
          <w:ilvl w:val="0"/>
          <w:numId w:val="176"/>
        </w:numPr>
        <w:tabs>
          <w:tab w:pos="2659" w:val="left" w:leader="none"/>
        </w:tabs>
        <w:spacing w:line="213" w:lineRule="auto" w:before="53" w:after="0"/>
        <w:ind w:left="2659" w:right="867" w:hanging="316"/>
        <w:jc w:val="left"/>
        <w:rPr>
          <w:sz w:val="20"/>
        </w:rPr>
      </w:pPr>
      <w:r>
        <w:rPr>
          <w:color w:val="231F20"/>
          <w:sz w:val="20"/>
        </w:rPr>
        <w:t>If you want *OFFLINE values to be highlighted, click the </w:t>
      </w:r>
      <w:r>
        <w:rPr>
          <w:rFonts w:ascii="Book Antiqua"/>
          <w:b/>
          <w:color w:val="231F20"/>
          <w:sz w:val="20"/>
        </w:rPr>
        <w:t>Thresholds </w:t>
      </w:r>
      <w:r>
        <w:rPr>
          <w:color w:val="231F20"/>
          <w:sz w:val="20"/>
        </w:rPr>
        <w:t>tab, click inside a </w:t>
      </w:r>
      <w:r>
        <w:rPr>
          <w:rFonts w:ascii="Book Antiqua"/>
          <w:b/>
          <w:color w:val="231F20"/>
          <w:sz w:val="20"/>
        </w:rPr>
        <w:t>Status </w:t>
      </w:r>
      <w:r>
        <w:rPr>
          <w:color w:val="231F20"/>
          <w:sz w:val="20"/>
        </w:rPr>
        <w:t>cell and select </w:t>
      </w:r>
      <w:r>
        <w:rPr>
          <w:rFonts w:ascii="Book Antiqua"/>
          <w:b/>
          <w:color w:val="231F20"/>
          <w:sz w:val="20"/>
        </w:rPr>
        <w:t>*OFFLINE </w:t>
      </w:r>
      <w:r>
        <w:rPr>
          <w:color w:val="231F20"/>
          <w:sz w:val="20"/>
        </w:rPr>
        <w:t>from the list. Change the threshold color if you like.</w:t>
      </w:r>
    </w:p>
    <w:p>
      <w:pPr>
        <w:pStyle w:val="ListParagraph"/>
        <w:numPr>
          <w:ilvl w:val="0"/>
          <w:numId w:val="176"/>
        </w:numPr>
        <w:tabs>
          <w:tab w:pos="2658" w:val="left" w:leader="none"/>
        </w:tabs>
        <w:spacing w:line="240" w:lineRule="auto" w:before="34" w:after="0"/>
        <w:ind w:left="2658" w:right="0" w:hanging="315"/>
        <w:jc w:val="left"/>
        <w:rPr>
          <w:sz w:val="20"/>
        </w:rPr>
      </w:pPr>
      <w:r>
        <w:rPr>
          <w:color w:val="231F20"/>
          <w:sz w:val="20"/>
        </w:rPr>
        <w:t>If</w:t>
      </w:r>
      <w:r>
        <w:rPr>
          <w:color w:val="231F20"/>
          <w:spacing w:val="12"/>
          <w:sz w:val="20"/>
        </w:rPr>
        <w:t> </w:t>
      </w:r>
      <w:r>
        <w:rPr>
          <w:color w:val="231F20"/>
          <w:sz w:val="20"/>
        </w:rPr>
        <w:t>you</w:t>
      </w:r>
      <w:r>
        <w:rPr>
          <w:color w:val="231F20"/>
          <w:spacing w:val="13"/>
          <w:sz w:val="20"/>
        </w:rPr>
        <w:t> </w:t>
      </w:r>
      <w:r>
        <w:rPr>
          <w:color w:val="231F20"/>
          <w:sz w:val="20"/>
        </w:rPr>
        <w:t>want</w:t>
      </w:r>
      <w:r>
        <w:rPr>
          <w:color w:val="231F20"/>
          <w:spacing w:val="13"/>
          <w:sz w:val="20"/>
        </w:rPr>
        <w:t> </w:t>
      </w:r>
      <w:r>
        <w:rPr>
          <w:color w:val="231F20"/>
          <w:sz w:val="20"/>
        </w:rPr>
        <w:t>to</w:t>
      </w:r>
      <w:r>
        <w:rPr>
          <w:color w:val="231F20"/>
          <w:spacing w:val="13"/>
          <w:sz w:val="20"/>
        </w:rPr>
        <w:t> </w:t>
      </w:r>
      <w:r>
        <w:rPr>
          <w:color w:val="231F20"/>
          <w:sz w:val="20"/>
        </w:rPr>
        <w:t>add</w:t>
      </w:r>
      <w:r>
        <w:rPr>
          <w:color w:val="231F20"/>
          <w:spacing w:val="12"/>
          <w:sz w:val="20"/>
        </w:rPr>
        <w:t> </w:t>
      </w:r>
      <w:r>
        <w:rPr>
          <w:color w:val="231F20"/>
          <w:sz w:val="20"/>
        </w:rPr>
        <w:t>a</w:t>
      </w:r>
      <w:r>
        <w:rPr>
          <w:color w:val="231F20"/>
          <w:spacing w:val="13"/>
          <w:sz w:val="20"/>
        </w:rPr>
        <w:t> </w:t>
      </w:r>
      <w:r>
        <w:rPr>
          <w:color w:val="231F20"/>
          <w:sz w:val="20"/>
        </w:rPr>
        <w:t>title,</w:t>
      </w:r>
      <w:r>
        <w:rPr>
          <w:color w:val="231F20"/>
          <w:spacing w:val="13"/>
          <w:sz w:val="20"/>
        </w:rPr>
        <w:t> </w:t>
      </w:r>
      <w:r>
        <w:rPr>
          <w:color w:val="231F20"/>
          <w:sz w:val="20"/>
        </w:rPr>
        <w:t>click</w:t>
      </w:r>
      <w:r>
        <w:rPr>
          <w:color w:val="231F20"/>
          <w:spacing w:val="13"/>
          <w:sz w:val="20"/>
        </w:rPr>
        <w:t> </w:t>
      </w:r>
      <w:r>
        <w:rPr>
          <w:color w:val="231F20"/>
          <w:sz w:val="20"/>
        </w:rPr>
        <w:t>the</w:t>
      </w:r>
      <w:r>
        <w:rPr>
          <w:color w:val="231F20"/>
          <w:spacing w:val="13"/>
          <w:sz w:val="20"/>
        </w:rPr>
        <w:t> </w:t>
      </w:r>
      <w:r>
        <w:rPr>
          <w:rFonts w:ascii="Book Antiqua"/>
          <w:b/>
          <w:color w:val="231F20"/>
          <w:sz w:val="20"/>
        </w:rPr>
        <w:t>Style</w:t>
      </w:r>
      <w:r>
        <w:rPr>
          <w:rFonts w:ascii="Book Antiqua"/>
          <w:b/>
          <w:color w:val="231F20"/>
          <w:spacing w:val="12"/>
          <w:sz w:val="20"/>
        </w:rPr>
        <w:t> </w:t>
      </w:r>
      <w:r>
        <w:rPr>
          <w:color w:val="231F20"/>
          <w:sz w:val="20"/>
        </w:rPr>
        <w:t>tab</w:t>
      </w:r>
      <w:r>
        <w:rPr>
          <w:color w:val="231F20"/>
          <w:spacing w:val="13"/>
          <w:sz w:val="20"/>
        </w:rPr>
        <w:t> </w:t>
      </w:r>
      <w:r>
        <w:rPr>
          <w:color w:val="231F20"/>
          <w:sz w:val="20"/>
        </w:rPr>
        <w:t>and</w:t>
      </w:r>
      <w:r>
        <w:rPr>
          <w:color w:val="231F20"/>
          <w:spacing w:val="13"/>
          <w:sz w:val="20"/>
        </w:rPr>
        <w:t> </w:t>
      </w:r>
      <w:r>
        <w:rPr>
          <w:color w:val="231F20"/>
          <w:sz w:val="20"/>
        </w:rPr>
        <w:t>type</w:t>
      </w:r>
      <w:r>
        <w:rPr>
          <w:color w:val="231F20"/>
          <w:spacing w:val="13"/>
          <w:sz w:val="20"/>
        </w:rPr>
        <w:t> </w:t>
      </w:r>
      <w:r>
        <w:rPr>
          <w:color w:val="231F20"/>
          <w:sz w:val="20"/>
        </w:rPr>
        <w:t>new</w:t>
      </w:r>
      <w:r>
        <w:rPr>
          <w:color w:val="231F20"/>
          <w:spacing w:val="13"/>
          <w:sz w:val="20"/>
        </w:rPr>
        <w:t> </w:t>
      </w:r>
      <w:r>
        <w:rPr>
          <w:color w:val="231F20"/>
          <w:sz w:val="20"/>
        </w:rPr>
        <w:t>title</w:t>
      </w:r>
      <w:r>
        <w:rPr>
          <w:color w:val="231F20"/>
          <w:spacing w:val="12"/>
          <w:sz w:val="20"/>
        </w:rPr>
        <w:t> </w:t>
      </w:r>
      <w:r>
        <w:rPr>
          <w:color w:val="231F20"/>
          <w:spacing w:val="-2"/>
          <w:sz w:val="20"/>
        </w:rPr>
        <w:t>text.</w:t>
      </w:r>
    </w:p>
    <w:p>
      <w:pPr>
        <w:pStyle w:val="ListParagraph"/>
        <w:numPr>
          <w:ilvl w:val="0"/>
          <w:numId w:val="176"/>
        </w:numPr>
        <w:tabs>
          <w:tab w:pos="2659" w:val="left" w:leader="none"/>
        </w:tabs>
        <w:spacing w:line="240" w:lineRule="auto" w:before="30" w:after="0"/>
        <w:ind w:left="2659" w:right="0" w:hanging="427"/>
        <w:jc w:val="left"/>
        <w:rPr>
          <w:sz w:val="20"/>
        </w:rPr>
      </w:pPr>
      <w:bookmarkStart w:name="EIB Change Log workspace" w:id="621"/>
      <w:bookmarkEnd w:id="621"/>
      <w:r>
        <w:rPr>
          <w:rFonts w:ascii="Arial"/>
          <w:color w:val="231F20"/>
          <w:spacing w:val="-17"/>
          <w:sz w:val="20"/>
        </w:rPr>
      </w:r>
      <w:r>
        <w:rPr>
          <w:color w:val="231F20"/>
          <w:sz w:val="20"/>
        </w:rPr>
        <w:t>Click</w:t>
      </w:r>
      <w:r>
        <w:rPr>
          <w:color w:val="231F20"/>
          <w:spacing w:val="11"/>
          <w:sz w:val="20"/>
        </w:rPr>
        <w:t> </w:t>
      </w:r>
      <w:r>
        <w:rPr>
          <w:rFonts w:ascii="Book Antiqua"/>
          <w:b/>
          <w:color w:val="231F20"/>
          <w:sz w:val="20"/>
        </w:rPr>
        <w:t>OK</w:t>
      </w:r>
      <w:r>
        <w:rPr>
          <w:rFonts w:ascii="Book Antiqua"/>
          <w:b/>
          <w:color w:val="231F20"/>
          <w:spacing w:val="12"/>
          <w:sz w:val="20"/>
        </w:rPr>
        <w:t> </w:t>
      </w:r>
      <w:r>
        <w:rPr>
          <w:color w:val="231F20"/>
          <w:sz w:val="20"/>
        </w:rPr>
        <w:t>to</w:t>
      </w:r>
      <w:r>
        <w:rPr>
          <w:color w:val="231F20"/>
          <w:spacing w:val="11"/>
          <w:sz w:val="20"/>
        </w:rPr>
        <w:t> </w:t>
      </w:r>
      <w:r>
        <w:rPr>
          <w:color w:val="231F20"/>
          <w:sz w:val="20"/>
        </w:rPr>
        <w:t>close</w:t>
      </w:r>
      <w:r>
        <w:rPr>
          <w:color w:val="231F20"/>
          <w:spacing w:val="12"/>
          <w:sz w:val="20"/>
        </w:rPr>
        <w:t> </w:t>
      </w:r>
      <w:r>
        <w:rPr>
          <w:color w:val="231F20"/>
          <w:sz w:val="20"/>
        </w:rPr>
        <w:t>the</w:t>
      </w:r>
      <w:r>
        <w:rPr>
          <w:color w:val="231F20"/>
          <w:spacing w:val="11"/>
          <w:sz w:val="20"/>
        </w:rPr>
        <w:t> </w:t>
      </w:r>
      <w:r>
        <w:rPr>
          <w:color w:val="231F20"/>
          <w:sz w:val="20"/>
        </w:rPr>
        <w:t>Properties</w:t>
      </w:r>
      <w:r>
        <w:rPr>
          <w:color w:val="231F20"/>
          <w:spacing w:val="12"/>
          <w:sz w:val="20"/>
        </w:rPr>
        <w:t> </w:t>
      </w:r>
      <w:r>
        <w:rPr>
          <w:color w:val="231F20"/>
          <w:sz w:val="20"/>
        </w:rPr>
        <w:t>editor</w:t>
      </w:r>
      <w:r>
        <w:rPr>
          <w:color w:val="231F20"/>
          <w:spacing w:val="11"/>
          <w:sz w:val="20"/>
        </w:rPr>
        <w:t> </w:t>
      </w:r>
      <w:r>
        <w:rPr>
          <w:color w:val="231F20"/>
          <w:sz w:val="20"/>
        </w:rPr>
        <w:t>and</w:t>
      </w:r>
      <w:r>
        <w:rPr>
          <w:color w:val="231F20"/>
          <w:spacing w:val="12"/>
          <w:sz w:val="20"/>
        </w:rPr>
        <w:t> </w:t>
      </w:r>
      <w:r>
        <w:rPr>
          <w:color w:val="231F20"/>
          <w:sz w:val="20"/>
        </w:rPr>
        <w:t>save</w:t>
      </w:r>
      <w:r>
        <w:rPr>
          <w:color w:val="231F20"/>
          <w:spacing w:val="11"/>
          <w:sz w:val="20"/>
        </w:rPr>
        <w:t> </w:t>
      </w:r>
      <w:r>
        <w:rPr>
          <w:color w:val="231F20"/>
          <w:sz w:val="20"/>
        </w:rPr>
        <w:t>the</w:t>
      </w:r>
      <w:r>
        <w:rPr>
          <w:color w:val="231F20"/>
          <w:spacing w:val="12"/>
          <w:sz w:val="20"/>
        </w:rPr>
        <w:t> </w:t>
      </w:r>
      <w:r>
        <w:rPr>
          <w:color w:val="231F20"/>
          <w:sz w:val="20"/>
        </w:rPr>
        <w:t>table</w:t>
      </w:r>
      <w:r>
        <w:rPr>
          <w:color w:val="231F20"/>
          <w:spacing w:val="11"/>
          <w:sz w:val="20"/>
        </w:rPr>
        <w:t> </w:t>
      </w:r>
      <w:r>
        <w:rPr>
          <w:color w:val="231F20"/>
          <w:spacing w:val="-2"/>
          <w:sz w:val="20"/>
        </w:rPr>
        <w:t>view.</w:t>
      </w:r>
    </w:p>
    <w:p>
      <w:pPr>
        <w:pStyle w:val="Heading3"/>
        <w:spacing w:before="211"/>
        <w:ind w:left="1334"/>
      </w:pPr>
      <w:r>
        <w:rPr>
          <w:color w:val="231F20"/>
        </w:rPr>
        <w:t>EIB</w:t>
      </w:r>
      <w:r>
        <w:rPr>
          <w:color w:val="231F20"/>
          <w:spacing w:val="8"/>
        </w:rPr>
        <w:t> </w:t>
      </w:r>
      <w:r>
        <w:rPr>
          <w:color w:val="231F20"/>
        </w:rPr>
        <w:t>Change</w:t>
      </w:r>
      <w:r>
        <w:rPr>
          <w:color w:val="231F20"/>
          <w:spacing w:val="8"/>
        </w:rPr>
        <w:t> </w:t>
      </w:r>
      <w:r>
        <w:rPr>
          <w:color w:val="231F20"/>
        </w:rPr>
        <w:t>Log</w:t>
      </w:r>
      <w:r>
        <w:rPr>
          <w:color w:val="231F20"/>
          <w:spacing w:val="8"/>
        </w:rPr>
        <w:t> </w:t>
      </w:r>
      <w:r>
        <w:rPr>
          <w:color w:val="231F20"/>
          <w:spacing w:val="-2"/>
        </w:rPr>
        <w:t>workspace</w:t>
      </w:r>
    </w:p>
    <w:p>
      <w:pPr>
        <w:pStyle w:val="BodyText"/>
        <w:spacing w:line="213" w:lineRule="auto" w:before="58"/>
        <w:ind w:left="2232" w:right="493"/>
      </w:pPr>
      <w:r>
        <w:rPr>
          <w:color w:val="231F20"/>
        </w:rPr>
        <w:t>The Enterprise Information Base (EIB) is a database used by the Tivoli </w:t>
      </w:r>
      <w:r>
        <w:rPr>
          <w:color w:val="231F20"/>
        </w:rPr>
        <w:t>Enterprise Monitoring Server to store situation, policy, user definitions and configuration information. The EIB Change Log view is a log with details of changes made to</w:t>
      </w:r>
      <w:r>
        <w:rPr>
          <w:color w:val="231F20"/>
          <w:spacing w:val="40"/>
        </w:rPr>
        <w:t> </w:t>
      </w:r>
      <w:r>
        <w:rPr>
          <w:color w:val="231F20"/>
        </w:rPr>
        <w:t>information in the database.</w:t>
      </w:r>
    </w:p>
    <w:p>
      <w:pPr>
        <w:pStyle w:val="Heading4"/>
        <w:spacing w:before="199"/>
      </w:pPr>
      <w:r>
        <w:rPr>
          <w:color w:val="231F20"/>
        </w:rPr>
        <w:t>Accessing</w:t>
      </w:r>
      <w:r>
        <w:rPr>
          <w:color w:val="231F20"/>
          <w:spacing w:val="5"/>
        </w:rPr>
        <w:t> </w:t>
      </w:r>
      <w:r>
        <w:rPr>
          <w:color w:val="231F20"/>
        </w:rPr>
        <w:t>the</w:t>
      </w:r>
      <w:r>
        <w:rPr>
          <w:color w:val="231F20"/>
          <w:spacing w:val="5"/>
        </w:rPr>
        <w:t> </w:t>
      </w:r>
      <w:r>
        <w:rPr>
          <w:color w:val="231F20"/>
          <w:spacing w:val="-2"/>
        </w:rPr>
        <w:t>workspace</w:t>
      </w:r>
    </w:p>
    <w:p>
      <w:pPr>
        <w:pStyle w:val="BodyText"/>
        <w:spacing w:line="213" w:lineRule="auto" w:before="241"/>
        <w:ind w:left="2232" w:right="545"/>
      </w:pPr>
      <w:r>
        <w:rPr>
          <w:color w:val="231F20"/>
        </w:rPr>
        <w:t>This workspace is a secondary workspace associated with the </w:t>
      </w:r>
      <w:r>
        <w:rPr>
          <w:color w:val="231F20"/>
          <w:spacing w:val="15"/>
          <w:position w:val="-1"/>
        </w:rPr>
        <w:drawing>
          <wp:inline distT="0" distB="0" distL="0" distR="0">
            <wp:extent cx="95250" cy="101600"/>
            <wp:effectExtent l="0" t="0" r="0" b="0"/>
            <wp:docPr id="3102" name="Image 3102"/>
            <wp:cNvGraphicFramePr>
              <a:graphicFrameLocks/>
            </wp:cNvGraphicFramePr>
            <a:graphic>
              <a:graphicData uri="http://schemas.openxmlformats.org/drawingml/2006/picture">
                <pic:pic>
                  <pic:nvPicPr>
                    <pic:cNvPr id="3102" name="Image 3102"/>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Enterprise Navigator item.</w:t>
      </w:r>
    </w:p>
    <w:p>
      <w:pPr>
        <w:pStyle w:val="BodyText"/>
        <w:spacing w:before="215"/>
        <w:ind w:left="2232"/>
      </w:pPr>
      <w:r>
        <w:rPr>
          <w:color w:val="231F20"/>
        </w:rPr>
        <w:t>Do</w:t>
      </w:r>
      <w:r>
        <w:rPr>
          <w:color w:val="231F20"/>
          <w:spacing w:val="11"/>
        </w:rPr>
        <w:t> </w:t>
      </w:r>
      <w:r>
        <w:rPr>
          <w:color w:val="231F20"/>
        </w:rPr>
        <w:t>the</w:t>
      </w:r>
      <w:r>
        <w:rPr>
          <w:color w:val="231F20"/>
          <w:spacing w:val="12"/>
        </w:rPr>
        <w:t> </w:t>
      </w:r>
      <w:r>
        <w:rPr>
          <w:color w:val="231F20"/>
        </w:rPr>
        <w:t>following</w:t>
      </w:r>
      <w:r>
        <w:rPr>
          <w:color w:val="231F20"/>
          <w:spacing w:val="12"/>
        </w:rPr>
        <w:t> </w:t>
      </w:r>
      <w:r>
        <w:rPr>
          <w:color w:val="231F20"/>
        </w:rPr>
        <w:t>to</w:t>
      </w:r>
      <w:r>
        <w:rPr>
          <w:color w:val="231F20"/>
          <w:spacing w:val="12"/>
        </w:rPr>
        <w:t> </w:t>
      </w:r>
      <w:r>
        <w:rPr>
          <w:color w:val="231F20"/>
        </w:rPr>
        <w:t>open</w:t>
      </w:r>
      <w:r>
        <w:rPr>
          <w:color w:val="231F20"/>
          <w:spacing w:val="12"/>
        </w:rPr>
        <w:t> </w:t>
      </w:r>
      <w:r>
        <w:rPr>
          <w:color w:val="231F20"/>
        </w:rPr>
        <w:t>the</w:t>
      </w:r>
      <w:r>
        <w:rPr>
          <w:color w:val="231F20"/>
          <w:spacing w:val="12"/>
        </w:rPr>
        <w:t> </w:t>
      </w:r>
      <w:r>
        <w:rPr>
          <w:color w:val="231F20"/>
        </w:rPr>
        <w:t>EIB</w:t>
      </w:r>
      <w:r>
        <w:rPr>
          <w:color w:val="231F20"/>
          <w:spacing w:val="12"/>
        </w:rPr>
        <w:t> </w:t>
      </w:r>
      <w:r>
        <w:rPr>
          <w:color w:val="231F20"/>
        </w:rPr>
        <w:t>Change</w:t>
      </w:r>
      <w:r>
        <w:rPr>
          <w:color w:val="231F20"/>
          <w:spacing w:val="12"/>
        </w:rPr>
        <w:t> </w:t>
      </w:r>
      <w:r>
        <w:rPr>
          <w:color w:val="231F20"/>
        </w:rPr>
        <w:t>Log</w:t>
      </w:r>
      <w:r>
        <w:rPr>
          <w:color w:val="231F20"/>
          <w:spacing w:val="12"/>
        </w:rPr>
        <w:t> </w:t>
      </w:r>
      <w:r>
        <w:rPr>
          <w:color w:val="231F20"/>
          <w:spacing w:val="-2"/>
        </w:rPr>
        <w:t>workspace.</w:t>
      </w:r>
    </w:p>
    <w:p>
      <w:pPr>
        <w:pStyle w:val="ListParagraph"/>
        <w:numPr>
          <w:ilvl w:val="0"/>
          <w:numId w:val="177"/>
        </w:numPr>
        <w:tabs>
          <w:tab w:pos="2547" w:val="left" w:leader="none"/>
        </w:tabs>
        <w:spacing w:line="240" w:lineRule="auto" w:before="30" w:after="0"/>
        <w:ind w:left="2547" w:right="0" w:hanging="315"/>
        <w:jc w:val="left"/>
        <w:rPr>
          <w:sz w:val="20"/>
        </w:rPr>
      </w:pPr>
      <w:r>
        <w:rPr>
          <w:color w:val="231F20"/>
          <w:sz w:val="20"/>
        </w:rPr>
        <w:t>Click</w:t>
      </w:r>
      <w:r>
        <w:rPr>
          <w:color w:val="231F20"/>
          <w:spacing w:val="11"/>
          <w:sz w:val="20"/>
        </w:rPr>
        <w:t> </w:t>
      </w:r>
      <w:r>
        <w:rPr>
          <w:color w:val="231F20"/>
          <w:sz w:val="20"/>
        </w:rPr>
        <w:t>the</w:t>
      </w:r>
      <w:r>
        <w:rPr>
          <w:color w:val="231F20"/>
          <w:spacing w:val="12"/>
          <w:sz w:val="20"/>
        </w:rPr>
        <w:t> </w:t>
      </w:r>
      <w:r>
        <w:rPr>
          <w:color w:val="231F20"/>
          <w:spacing w:val="16"/>
          <w:position w:val="-1"/>
          <w:sz w:val="20"/>
        </w:rPr>
        <w:drawing>
          <wp:inline distT="0" distB="0" distL="0" distR="0">
            <wp:extent cx="95250" cy="101600"/>
            <wp:effectExtent l="0" t="0" r="0" b="0"/>
            <wp:docPr id="3103" name="Image 3103"/>
            <wp:cNvGraphicFramePr>
              <a:graphicFrameLocks/>
            </wp:cNvGraphicFramePr>
            <a:graphic>
              <a:graphicData uri="http://schemas.openxmlformats.org/drawingml/2006/picture">
                <pic:pic>
                  <pic:nvPicPr>
                    <pic:cNvPr id="3103" name="Image 3103"/>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52"/>
          <w:sz w:val="20"/>
        </w:rPr>
        <w:t> </w:t>
      </w:r>
      <w:r>
        <w:rPr>
          <w:color w:val="231F20"/>
          <w:sz w:val="20"/>
        </w:rPr>
        <w:t>Enterprise</w:t>
      </w:r>
      <w:r>
        <w:rPr>
          <w:color w:val="231F20"/>
          <w:spacing w:val="12"/>
          <w:sz w:val="20"/>
        </w:rPr>
        <w:t> </w:t>
      </w:r>
      <w:r>
        <w:rPr>
          <w:color w:val="231F20"/>
          <w:sz w:val="20"/>
        </w:rPr>
        <w:t>Navigator</w:t>
      </w:r>
      <w:r>
        <w:rPr>
          <w:color w:val="231F20"/>
          <w:spacing w:val="12"/>
          <w:sz w:val="20"/>
        </w:rPr>
        <w:t> </w:t>
      </w:r>
      <w:r>
        <w:rPr>
          <w:color w:val="231F20"/>
          <w:sz w:val="20"/>
        </w:rPr>
        <w:t>item</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its</w:t>
      </w:r>
      <w:r>
        <w:rPr>
          <w:color w:val="231F20"/>
          <w:spacing w:val="12"/>
          <w:sz w:val="20"/>
        </w:rPr>
        <w:t> </w:t>
      </w:r>
      <w:r>
        <w:rPr>
          <w:color w:val="231F20"/>
          <w:sz w:val="20"/>
        </w:rPr>
        <w:t>default</w:t>
      </w:r>
      <w:r>
        <w:rPr>
          <w:color w:val="231F20"/>
          <w:spacing w:val="11"/>
          <w:sz w:val="20"/>
        </w:rPr>
        <w:t> </w:t>
      </w:r>
      <w:r>
        <w:rPr>
          <w:color w:val="231F20"/>
          <w:spacing w:val="-2"/>
          <w:sz w:val="20"/>
        </w:rPr>
        <w:t>workspace.</w:t>
      </w:r>
    </w:p>
    <w:p>
      <w:pPr>
        <w:spacing w:after="0" w:line="240" w:lineRule="auto"/>
        <w:jc w:val="left"/>
        <w:rPr>
          <w:sz w:val="20"/>
        </w:rPr>
        <w:sectPr>
          <w:pgSz w:w="12240" w:h="15840"/>
          <w:pgMar w:header="0" w:footer="736" w:top="1180" w:bottom="920" w:left="1000" w:right="1060"/>
        </w:sectPr>
      </w:pPr>
    </w:p>
    <w:p>
      <w:pPr>
        <w:pStyle w:val="ListParagraph"/>
        <w:numPr>
          <w:ilvl w:val="0"/>
          <w:numId w:val="177"/>
        </w:numPr>
        <w:tabs>
          <w:tab w:pos="2786" w:val="left" w:leader="none"/>
          <w:tab w:pos="2788" w:val="left" w:leader="none"/>
        </w:tabs>
        <w:spacing w:line="213" w:lineRule="auto" w:before="85" w:after="0"/>
        <w:ind w:left="2788" w:right="173" w:hanging="317"/>
        <w:jc w:val="left"/>
        <w:rPr>
          <w:sz w:val="20"/>
        </w:rPr>
      </w:pPr>
      <w:bookmarkStart w:name="_bookmark303" w:id="622"/>
      <w:bookmarkEnd w:id="622"/>
      <w:r>
        <w:rPr/>
      </w:r>
      <w:r>
        <w:rPr>
          <w:color w:val="231F20"/>
          <w:sz w:val="20"/>
        </w:rPr>
        <w:t>Click </w:t>
      </w:r>
      <w:r>
        <w:rPr>
          <w:color w:val="231F20"/>
          <w:spacing w:val="16"/>
          <w:position w:val="-1"/>
          <w:sz w:val="20"/>
        </w:rPr>
        <w:drawing>
          <wp:inline distT="0" distB="0" distL="0" distR="0">
            <wp:extent cx="101600" cy="101600"/>
            <wp:effectExtent l="0" t="0" r="0" b="0"/>
            <wp:docPr id="3104" name="Image 3104"/>
            <wp:cNvGraphicFramePr>
              <a:graphicFrameLocks/>
            </wp:cNvGraphicFramePr>
            <a:graphic>
              <a:graphicData uri="http://schemas.openxmlformats.org/drawingml/2006/picture">
                <pic:pic>
                  <pic:nvPicPr>
                    <pic:cNvPr id="3104" name="Image 3104"/>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40"/>
          <w:sz w:val="20"/>
        </w:rPr>
        <w:t> </w:t>
      </w:r>
      <w:r>
        <w:rPr>
          <w:rFonts w:ascii="Book Antiqua"/>
          <w:b/>
          <w:color w:val="231F20"/>
          <w:sz w:val="20"/>
        </w:rPr>
        <w:t>Workspace gallery</w:t>
      </w:r>
      <w:r>
        <w:rPr>
          <w:color w:val="231F20"/>
          <w:sz w:val="20"/>
        </w:rPr>
        <w:t>, then click the thumbnail graphic for the </w:t>
      </w:r>
      <w:r>
        <w:rPr>
          <w:rFonts w:ascii="Book Antiqua"/>
          <w:b/>
          <w:color w:val="231F20"/>
          <w:sz w:val="20"/>
        </w:rPr>
        <w:t>EIB</w:t>
      </w:r>
      <w:r>
        <w:rPr>
          <w:rFonts w:ascii="Book Antiqua"/>
          <w:b/>
          <w:color w:val="231F20"/>
          <w:spacing w:val="80"/>
          <w:sz w:val="20"/>
        </w:rPr>
        <w:t> </w:t>
      </w:r>
      <w:r>
        <w:rPr>
          <w:rFonts w:ascii="Book Antiqua"/>
          <w:b/>
          <w:color w:val="231F20"/>
          <w:sz w:val="20"/>
        </w:rPr>
        <w:t>Change Log </w:t>
      </w:r>
      <w:r>
        <w:rPr>
          <w:color w:val="231F20"/>
          <w:sz w:val="20"/>
        </w:rPr>
        <w:t>workspace. If the list is long, you might need to scroll to locate the</w:t>
      </w:r>
      <w:r>
        <w:rPr>
          <w:color w:val="231F20"/>
          <w:spacing w:val="40"/>
          <w:sz w:val="20"/>
        </w:rPr>
        <w:t> </w:t>
      </w:r>
      <w:r>
        <w:rPr>
          <w:color w:val="231F20"/>
          <w:spacing w:val="-2"/>
          <w:sz w:val="20"/>
        </w:rPr>
        <w:t>workspace.</w:t>
      </w:r>
    </w:p>
    <w:p>
      <w:pPr>
        <w:pStyle w:val="Heading4"/>
        <w:spacing w:before="199"/>
        <w:ind w:left="0" w:right="2066"/>
        <w:jc w:val="center"/>
      </w:pPr>
      <w:r>
        <w:rPr>
          <w:color w:val="231F20"/>
        </w:rPr>
        <w:t>What</w:t>
      </w:r>
      <w:r>
        <w:rPr>
          <w:color w:val="231F20"/>
          <w:spacing w:val="5"/>
        </w:rPr>
        <w:t> </w:t>
      </w:r>
      <w:r>
        <w:rPr>
          <w:color w:val="231F20"/>
        </w:rPr>
        <w:t>the</w:t>
      </w:r>
      <w:r>
        <w:rPr>
          <w:color w:val="231F20"/>
          <w:spacing w:val="6"/>
        </w:rPr>
        <w:t> </w:t>
      </w:r>
      <w:r>
        <w:rPr>
          <w:color w:val="231F20"/>
        </w:rPr>
        <w:t>workspace</w:t>
      </w:r>
      <w:r>
        <w:rPr>
          <w:color w:val="231F20"/>
          <w:spacing w:val="6"/>
        </w:rPr>
        <w:t> </w:t>
      </w:r>
      <w:r>
        <w:rPr>
          <w:color w:val="231F20"/>
          <w:spacing w:val="-2"/>
        </w:rPr>
        <w:t>shows</w:t>
      </w:r>
    </w:p>
    <w:p>
      <w:pPr>
        <w:pStyle w:val="BodyText"/>
        <w:spacing w:line="213" w:lineRule="auto" w:before="241"/>
        <w:ind w:left="2472" w:right="258"/>
      </w:pPr>
      <w:r>
        <w:rPr>
          <w:color w:val="231F20"/>
        </w:rPr>
        <w:t>The EIB Change Log workspace consists of one table view (in addition to the Navigator view): EIB Change Log. The values in the log are the results of a query</w:t>
      </w:r>
      <w:r>
        <w:rPr>
          <w:color w:val="231F20"/>
          <w:spacing w:val="40"/>
        </w:rPr>
        <w:t> </w:t>
      </w:r>
      <w:r>
        <w:rPr>
          <w:color w:val="231F20"/>
        </w:rPr>
        <w:t>designed using the EIB change log attributes. The log shows, for example, the </w:t>
      </w:r>
      <w:r>
        <w:rPr>
          <w:color w:val="231F20"/>
        </w:rPr>
        <w:t>data and</w:t>
      </w:r>
      <w:r>
        <w:rPr>
          <w:color w:val="231F20"/>
          <w:spacing w:val="25"/>
        </w:rPr>
        <w:t> </w:t>
      </w:r>
      <w:r>
        <w:rPr>
          <w:color w:val="231F20"/>
        </w:rPr>
        <w:t>time</w:t>
      </w:r>
      <w:r>
        <w:rPr>
          <w:color w:val="231F20"/>
          <w:spacing w:val="25"/>
        </w:rPr>
        <w:t> </w:t>
      </w:r>
      <w:r>
        <w:rPr>
          <w:color w:val="231F20"/>
        </w:rPr>
        <w:t>at</w:t>
      </w:r>
      <w:r>
        <w:rPr>
          <w:color w:val="231F20"/>
          <w:spacing w:val="25"/>
        </w:rPr>
        <w:t> </w:t>
      </w:r>
      <w:r>
        <w:rPr>
          <w:color w:val="231F20"/>
        </w:rPr>
        <w:t>which</w:t>
      </w:r>
      <w:r>
        <w:rPr>
          <w:color w:val="231F20"/>
          <w:spacing w:val="25"/>
        </w:rPr>
        <w:t> </w:t>
      </w:r>
      <w:r>
        <w:rPr>
          <w:color w:val="231F20"/>
        </w:rPr>
        <w:t>a</w:t>
      </w:r>
      <w:r>
        <w:rPr>
          <w:color w:val="231F20"/>
          <w:spacing w:val="25"/>
        </w:rPr>
        <w:t> </w:t>
      </w:r>
      <w:r>
        <w:rPr>
          <w:color w:val="231F20"/>
        </w:rPr>
        <w:t>change</w:t>
      </w:r>
      <w:r>
        <w:rPr>
          <w:color w:val="231F20"/>
          <w:spacing w:val="25"/>
        </w:rPr>
        <w:t> </w:t>
      </w:r>
      <w:r>
        <w:rPr>
          <w:color w:val="231F20"/>
        </w:rPr>
        <w:t>was</w:t>
      </w:r>
      <w:r>
        <w:rPr>
          <w:color w:val="231F20"/>
          <w:spacing w:val="25"/>
        </w:rPr>
        <w:t> </w:t>
      </w:r>
      <w:r>
        <w:rPr>
          <w:color w:val="231F20"/>
        </w:rPr>
        <w:t>made,</w:t>
      </w:r>
      <w:r>
        <w:rPr>
          <w:color w:val="231F20"/>
          <w:spacing w:val="25"/>
        </w:rPr>
        <w:t> </w:t>
      </w:r>
      <w:r>
        <w:rPr>
          <w:color w:val="231F20"/>
        </w:rPr>
        <w:t>the</w:t>
      </w:r>
      <w:r>
        <w:rPr>
          <w:color w:val="231F20"/>
          <w:spacing w:val="25"/>
        </w:rPr>
        <w:t> </w:t>
      </w:r>
      <w:r>
        <w:rPr>
          <w:color w:val="231F20"/>
        </w:rPr>
        <w:t>ID</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user</w:t>
      </w:r>
      <w:r>
        <w:rPr>
          <w:color w:val="231F20"/>
          <w:spacing w:val="25"/>
        </w:rPr>
        <w:t> </w:t>
      </w:r>
      <w:r>
        <w:rPr>
          <w:color w:val="231F20"/>
        </w:rPr>
        <w:t>who</w:t>
      </w:r>
      <w:r>
        <w:rPr>
          <w:color w:val="231F20"/>
          <w:spacing w:val="25"/>
        </w:rPr>
        <w:t> </w:t>
      </w:r>
      <w:r>
        <w:rPr>
          <w:color w:val="231F20"/>
        </w:rPr>
        <w:t>made</w:t>
      </w:r>
      <w:r>
        <w:rPr>
          <w:color w:val="231F20"/>
          <w:spacing w:val="25"/>
        </w:rPr>
        <w:t> </w:t>
      </w:r>
      <w:r>
        <w:rPr>
          <w:color w:val="231F20"/>
        </w:rPr>
        <w:t>the</w:t>
      </w:r>
      <w:r>
        <w:rPr>
          <w:color w:val="231F20"/>
          <w:spacing w:val="25"/>
        </w:rPr>
        <w:t> </w:t>
      </w:r>
      <w:r>
        <w:rPr>
          <w:color w:val="231F20"/>
        </w:rPr>
        <w:t>last change, the name of the object (situation, policy, or other entity) that was changed, and the type of operation that took place.</w:t>
      </w:r>
    </w:p>
    <w:p>
      <w:pPr>
        <w:pStyle w:val="Heading3"/>
        <w:spacing w:before="215"/>
        <w:ind w:left="0" w:right="2113"/>
        <w:jc w:val="center"/>
      </w:pPr>
      <w:bookmarkStart w:name="Self-Monitoring Topology workspace" w:id="623"/>
      <w:bookmarkEnd w:id="623"/>
      <w:r>
        <w:rPr>
          <w:b w:val="0"/>
        </w:rPr>
      </w:r>
      <w:r>
        <w:rPr>
          <w:color w:val="231F20"/>
        </w:rPr>
        <w:t>Self-Monitoring</w:t>
      </w:r>
      <w:r>
        <w:rPr>
          <w:color w:val="231F20"/>
          <w:spacing w:val="-13"/>
        </w:rPr>
        <w:t> </w:t>
      </w:r>
      <w:r>
        <w:rPr>
          <w:color w:val="231F20"/>
        </w:rPr>
        <w:t>Topology</w:t>
      </w:r>
      <w:r>
        <w:rPr>
          <w:color w:val="231F20"/>
          <w:spacing w:val="-12"/>
        </w:rPr>
        <w:t> </w:t>
      </w:r>
      <w:r>
        <w:rPr>
          <w:color w:val="231F20"/>
          <w:spacing w:val="-2"/>
        </w:rPr>
        <w:t>workspace</w:t>
      </w:r>
    </w:p>
    <w:p>
      <w:pPr>
        <w:pStyle w:val="BodyText"/>
        <w:spacing w:line="213" w:lineRule="auto" w:before="58"/>
        <w:ind w:left="2472" w:right="361"/>
        <w:jc w:val="both"/>
      </w:pPr>
      <w:r>
        <w:rPr>
          <w:color w:val="231F20"/>
        </w:rPr>
        <w:t>The Self-Monitoring Topology workspace provides a high level overview of your managed infrastructure and its health and introduces you to the Tivoli </w:t>
      </w:r>
      <w:r>
        <w:rPr>
          <w:color w:val="231F20"/>
        </w:rPr>
        <w:t>Enterprise Portal self-monitoring capabilities.</w:t>
      </w:r>
    </w:p>
    <w:p>
      <w:pPr>
        <w:pStyle w:val="Heading4"/>
        <w:spacing w:before="199"/>
        <w:ind w:left="2472"/>
        <w:jc w:val="both"/>
      </w:pPr>
      <w:r>
        <w:rPr>
          <w:color w:val="231F20"/>
        </w:rPr>
        <w:t>Accessing</w:t>
      </w:r>
      <w:r>
        <w:rPr>
          <w:color w:val="231F20"/>
          <w:spacing w:val="5"/>
        </w:rPr>
        <w:t> </w:t>
      </w:r>
      <w:r>
        <w:rPr>
          <w:color w:val="231F20"/>
        </w:rPr>
        <w:t>the</w:t>
      </w:r>
      <w:r>
        <w:rPr>
          <w:color w:val="231F20"/>
          <w:spacing w:val="5"/>
        </w:rPr>
        <w:t> </w:t>
      </w:r>
      <w:r>
        <w:rPr>
          <w:color w:val="231F20"/>
          <w:spacing w:val="-2"/>
        </w:rPr>
        <w:t>workspace</w:t>
      </w:r>
    </w:p>
    <w:p>
      <w:pPr>
        <w:pStyle w:val="BodyText"/>
        <w:spacing w:line="213" w:lineRule="auto" w:before="241"/>
        <w:ind w:left="2472" w:right="202"/>
      </w:pPr>
      <w:r>
        <w:rPr>
          <w:color w:val="231F20"/>
        </w:rPr>
        <w:t>The Self-Monitoring Topology workspace is a secondary workspace associated </w:t>
      </w:r>
      <w:r>
        <w:rPr>
          <w:color w:val="231F20"/>
        </w:rPr>
        <w:t>with the </w:t>
      </w:r>
      <w:r>
        <w:rPr>
          <w:color w:val="231F20"/>
          <w:spacing w:val="16"/>
          <w:position w:val="-1"/>
        </w:rPr>
        <w:drawing>
          <wp:inline distT="0" distB="0" distL="0" distR="0">
            <wp:extent cx="95250" cy="101600"/>
            <wp:effectExtent l="0" t="0" r="0" b="0"/>
            <wp:docPr id="3105" name="Image 3105"/>
            <wp:cNvGraphicFramePr>
              <a:graphicFrameLocks/>
            </wp:cNvGraphicFramePr>
            <a:graphic>
              <a:graphicData uri="http://schemas.openxmlformats.org/drawingml/2006/picture">
                <pic:pic>
                  <pic:nvPicPr>
                    <pic:cNvPr id="3105" name="Image 3105"/>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Enterprise Navigator item.</w:t>
      </w:r>
    </w:p>
    <w:p>
      <w:pPr>
        <w:pStyle w:val="BodyText"/>
        <w:spacing w:before="215"/>
        <w:ind w:left="2472"/>
      </w:pPr>
      <w:r>
        <w:rPr>
          <w:color w:val="231F20"/>
        </w:rPr>
        <w:t>Do</w:t>
      </w:r>
      <w:r>
        <w:rPr>
          <w:color w:val="231F20"/>
          <w:spacing w:val="12"/>
        </w:rPr>
        <w:t> </w:t>
      </w:r>
      <w:r>
        <w:rPr>
          <w:color w:val="231F20"/>
        </w:rPr>
        <w:t>the</w:t>
      </w:r>
      <w:r>
        <w:rPr>
          <w:color w:val="231F20"/>
          <w:spacing w:val="12"/>
        </w:rPr>
        <w:t> </w:t>
      </w:r>
      <w:r>
        <w:rPr>
          <w:color w:val="231F20"/>
        </w:rPr>
        <w:t>following</w:t>
      </w:r>
      <w:r>
        <w:rPr>
          <w:color w:val="231F20"/>
          <w:spacing w:val="12"/>
        </w:rPr>
        <w:t> </w:t>
      </w:r>
      <w:r>
        <w:rPr>
          <w:color w:val="231F20"/>
        </w:rPr>
        <w:t>to</w:t>
      </w:r>
      <w:r>
        <w:rPr>
          <w:color w:val="231F20"/>
          <w:spacing w:val="12"/>
        </w:rPr>
        <w:t> </w:t>
      </w:r>
      <w:r>
        <w:rPr>
          <w:color w:val="231F20"/>
        </w:rPr>
        <w:t>open</w:t>
      </w:r>
      <w:r>
        <w:rPr>
          <w:color w:val="231F20"/>
          <w:spacing w:val="12"/>
        </w:rPr>
        <w:t> </w:t>
      </w:r>
      <w:r>
        <w:rPr>
          <w:color w:val="231F20"/>
        </w:rPr>
        <w:t>this</w:t>
      </w:r>
      <w:r>
        <w:rPr>
          <w:color w:val="231F20"/>
          <w:spacing w:val="12"/>
        </w:rPr>
        <w:t> </w:t>
      </w:r>
      <w:r>
        <w:rPr>
          <w:color w:val="231F20"/>
          <w:spacing w:val="-2"/>
        </w:rPr>
        <w:t>workspace.</w:t>
      </w:r>
    </w:p>
    <w:p>
      <w:pPr>
        <w:pStyle w:val="ListParagraph"/>
        <w:numPr>
          <w:ilvl w:val="0"/>
          <w:numId w:val="178"/>
        </w:numPr>
        <w:tabs>
          <w:tab w:pos="2787" w:val="left" w:leader="none"/>
        </w:tabs>
        <w:spacing w:line="240" w:lineRule="auto" w:before="30"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12"/>
          <w:sz w:val="20"/>
        </w:rPr>
        <w:t> </w:t>
      </w:r>
      <w:r>
        <w:rPr>
          <w:color w:val="231F20"/>
          <w:spacing w:val="16"/>
          <w:position w:val="-1"/>
          <w:sz w:val="20"/>
        </w:rPr>
        <w:drawing>
          <wp:inline distT="0" distB="0" distL="0" distR="0">
            <wp:extent cx="95250" cy="101600"/>
            <wp:effectExtent l="0" t="0" r="0" b="0"/>
            <wp:docPr id="3106" name="Image 3106"/>
            <wp:cNvGraphicFramePr>
              <a:graphicFrameLocks/>
            </wp:cNvGraphicFramePr>
            <a:graphic>
              <a:graphicData uri="http://schemas.openxmlformats.org/drawingml/2006/picture">
                <pic:pic>
                  <pic:nvPicPr>
                    <pic:cNvPr id="3106" name="Image 3106"/>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52"/>
          <w:sz w:val="20"/>
        </w:rPr>
        <w:t> </w:t>
      </w:r>
      <w:r>
        <w:rPr>
          <w:color w:val="231F20"/>
          <w:sz w:val="20"/>
        </w:rPr>
        <w:t>Enterprise</w:t>
      </w:r>
      <w:r>
        <w:rPr>
          <w:color w:val="231F20"/>
          <w:spacing w:val="12"/>
          <w:sz w:val="20"/>
        </w:rPr>
        <w:t> </w:t>
      </w:r>
      <w:r>
        <w:rPr>
          <w:color w:val="231F20"/>
          <w:sz w:val="20"/>
        </w:rPr>
        <w:t>Navigator</w:t>
      </w:r>
      <w:r>
        <w:rPr>
          <w:color w:val="231F20"/>
          <w:spacing w:val="12"/>
          <w:sz w:val="20"/>
        </w:rPr>
        <w:t> </w:t>
      </w:r>
      <w:r>
        <w:rPr>
          <w:color w:val="231F20"/>
          <w:sz w:val="20"/>
        </w:rPr>
        <w:t>item</w:t>
      </w:r>
      <w:r>
        <w:rPr>
          <w:color w:val="231F20"/>
          <w:spacing w:val="12"/>
          <w:sz w:val="20"/>
        </w:rPr>
        <w:t> </w:t>
      </w:r>
      <w:r>
        <w:rPr>
          <w:color w:val="231F20"/>
          <w:sz w:val="20"/>
        </w:rPr>
        <w:t>to</w:t>
      </w:r>
      <w:r>
        <w:rPr>
          <w:color w:val="231F20"/>
          <w:spacing w:val="12"/>
          <w:sz w:val="20"/>
        </w:rPr>
        <w:t> </w:t>
      </w:r>
      <w:r>
        <w:rPr>
          <w:color w:val="231F20"/>
          <w:sz w:val="20"/>
        </w:rPr>
        <w:t>open</w:t>
      </w:r>
      <w:r>
        <w:rPr>
          <w:color w:val="231F20"/>
          <w:spacing w:val="12"/>
          <w:sz w:val="20"/>
        </w:rPr>
        <w:t> </w:t>
      </w:r>
      <w:r>
        <w:rPr>
          <w:color w:val="231F20"/>
          <w:sz w:val="20"/>
        </w:rPr>
        <w:t>its</w:t>
      </w:r>
      <w:r>
        <w:rPr>
          <w:color w:val="231F20"/>
          <w:spacing w:val="12"/>
          <w:sz w:val="20"/>
        </w:rPr>
        <w:t> </w:t>
      </w:r>
      <w:r>
        <w:rPr>
          <w:color w:val="231F20"/>
          <w:sz w:val="20"/>
        </w:rPr>
        <w:t>default</w:t>
      </w:r>
      <w:r>
        <w:rPr>
          <w:color w:val="231F20"/>
          <w:spacing w:val="11"/>
          <w:sz w:val="20"/>
        </w:rPr>
        <w:t> </w:t>
      </w:r>
      <w:r>
        <w:rPr>
          <w:color w:val="231F20"/>
          <w:spacing w:val="-2"/>
          <w:sz w:val="20"/>
        </w:rPr>
        <w:t>workspace.</w:t>
      </w:r>
    </w:p>
    <w:p>
      <w:pPr>
        <w:pStyle w:val="ListParagraph"/>
        <w:numPr>
          <w:ilvl w:val="0"/>
          <w:numId w:val="178"/>
        </w:numPr>
        <w:tabs>
          <w:tab w:pos="2787" w:val="left" w:leader="none"/>
        </w:tabs>
        <w:spacing w:line="255" w:lineRule="exact" w:before="29" w:after="0"/>
        <w:ind w:left="2787" w:right="0" w:hanging="315"/>
        <w:jc w:val="left"/>
        <w:rPr>
          <w:sz w:val="20"/>
        </w:rPr>
      </w:pPr>
      <w:r>
        <w:rPr>
          <w:color w:val="231F20"/>
          <w:sz w:val="20"/>
        </w:rPr>
        <w:t>Click</w:t>
      </w:r>
      <w:r>
        <w:rPr>
          <w:color w:val="231F20"/>
          <w:spacing w:val="9"/>
          <w:sz w:val="20"/>
        </w:rPr>
        <w:t> </w:t>
      </w:r>
      <w:r>
        <w:rPr>
          <w:color w:val="231F20"/>
          <w:spacing w:val="16"/>
          <w:position w:val="-1"/>
          <w:sz w:val="20"/>
        </w:rPr>
        <w:drawing>
          <wp:inline distT="0" distB="0" distL="0" distR="0">
            <wp:extent cx="101600" cy="101600"/>
            <wp:effectExtent l="0" t="0" r="0" b="0"/>
            <wp:docPr id="3107" name="Image 3107"/>
            <wp:cNvGraphicFramePr>
              <a:graphicFrameLocks/>
            </wp:cNvGraphicFramePr>
            <a:graphic>
              <a:graphicData uri="http://schemas.openxmlformats.org/drawingml/2006/picture">
                <pic:pic>
                  <pic:nvPicPr>
                    <pic:cNvPr id="3107" name="Image 3107"/>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39"/>
          <w:sz w:val="20"/>
        </w:rPr>
        <w:t> </w:t>
      </w:r>
      <w:r>
        <w:rPr>
          <w:rFonts w:ascii="Book Antiqua"/>
          <w:b/>
          <w:color w:val="231F20"/>
          <w:sz w:val="20"/>
        </w:rPr>
        <w:t>Workspace</w:t>
      </w:r>
      <w:r>
        <w:rPr>
          <w:rFonts w:ascii="Book Antiqua"/>
          <w:b/>
          <w:color w:val="231F20"/>
          <w:spacing w:val="9"/>
          <w:sz w:val="20"/>
        </w:rPr>
        <w:t> </w:t>
      </w:r>
      <w:r>
        <w:rPr>
          <w:rFonts w:ascii="Book Antiqua"/>
          <w:b/>
          <w:color w:val="231F20"/>
          <w:sz w:val="20"/>
        </w:rPr>
        <w:t>gallery</w:t>
      </w:r>
      <w:r>
        <w:rPr>
          <w:color w:val="231F20"/>
          <w:sz w:val="20"/>
        </w:rPr>
        <w:t>,</w:t>
      </w:r>
      <w:r>
        <w:rPr>
          <w:color w:val="231F20"/>
          <w:spacing w:val="10"/>
          <w:sz w:val="20"/>
        </w:rPr>
        <w:t> </w:t>
      </w:r>
      <w:r>
        <w:rPr>
          <w:color w:val="231F20"/>
          <w:sz w:val="20"/>
        </w:rPr>
        <w:t>then</w:t>
      </w:r>
      <w:r>
        <w:rPr>
          <w:color w:val="231F20"/>
          <w:spacing w:val="9"/>
          <w:sz w:val="20"/>
        </w:rPr>
        <w:t> </w:t>
      </w:r>
      <w:r>
        <w:rPr>
          <w:color w:val="231F20"/>
          <w:sz w:val="20"/>
        </w:rPr>
        <w:t>click</w:t>
      </w:r>
      <w:r>
        <w:rPr>
          <w:color w:val="231F20"/>
          <w:spacing w:val="9"/>
          <w:sz w:val="20"/>
        </w:rPr>
        <w:t> </w:t>
      </w:r>
      <w:r>
        <w:rPr>
          <w:color w:val="231F20"/>
          <w:sz w:val="20"/>
        </w:rPr>
        <w:t>the</w:t>
      </w:r>
      <w:r>
        <w:rPr>
          <w:color w:val="231F20"/>
          <w:spacing w:val="10"/>
          <w:sz w:val="20"/>
        </w:rPr>
        <w:t> </w:t>
      </w:r>
      <w:r>
        <w:rPr>
          <w:color w:val="231F20"/>
          <w:sz w:val="20"/>
        </w:rPr>
        <w:t>thumbnail</w:t>
      </w:r>
      <w:r>
        <w:rPr>
          <w:color w:val="231F20"/>
          <w:spacing w:val="9"/>
          <w:sz w:val="20"/>
        </w:rPr>
        <w:t> </w:t>
      </w:r>
      <w:r>
        <w:rPr>
          <w:color w:val="231F20"/>
          <w:sz w:val="20"/>
        </w:rPr>
        <w:t>graphic</w:t>
      </w:r>
      <w:r>
        <w:rPr>
          <w:color w:val="231F20"/>
          <w:spacing w:val="9"/>
          <w:sz w:val="20"/>
        </w:rPr>
        <w:t> </w:t>
      </w:r>
      <w:r>
        <w:rPr>
          <w:color w:val="231F20"/>
          <w:spacing w:val="-5"/>
          <w:sz w:val="20"/>
        </w:rPr>
        <w:t>for</w:t>
      </w:r>
    </w:p>
    <w:p>
      <w:pPr>
        <w:spacing w:line="213" w:lineRule="auto" w:before="8"/>
        <w:ind w:left="2788" w:right="274" w:firstLine="0"/>
        <w:jc w:val="left"/>
        <w:rPr>
          <w:sz w:val="20"/>
        </w:rPr>
      </w:pPr>
      <w:r>
        <w:rPr>
          <w:rFonts w:ascii="Book Antiqua"/>
          <w:b/>
          <w:color w:val="231F20"/>
          <w:sz w:val="20"/>
        </w:rPr>
        <w:t>Self-Monitoring Topology</w:t>
      </w:r>
      <w:r>
        <w:rPr>
          <w:color w:val="231F20"/>
          <w:sz w:val="20"/>
        </w:rPr>
        <w:t>. If the list is long, you might need to scroll to locate the workspace.</w:t>
      </w:r>
    </w:p>
    <w:p>
      <w:pPr>
        <w:pStyle w:val="Heading4"/>
        <w:ind w:left="2472"/>
        <w:jc w:val="both"/>
      </w:pPr>
      <w:r>
        <w:rPr>
          <w:color w:val="231F20"/>
        </w:rPr>
        <w:t>What</w:t>
      </w:r>
      <w:r>
        <w:rPr>
          <w:color w:val="231F20"/>
          <w:spacing w:val="5"/>
        </w:rPr>
        <w:t> </w:t>
      </w:r>
      <w:r>
        <w:rPr>
          <w:color w:val="231F20"/>
        </w:rPr>
        <w:t>the</w:t>
      </w:r>
      <w:r>
        <w:rPr>
          <w:color w:val="231F20"/>
          <w:spacing w:val="6"/>
        </w:rPr>
        <w:t> </w:t>
      </w:r>
      <w:r>
        <w:rPr>
          <w:color w:val="231F20"/>
        </w:rPr>
        <w:t>workspace</w:t>
      </w:r>
      <w:r>
        <w:rPr>
          <w:color w:val="231F20"/>
          <w:spacing w:val="6"/>
        </w:rPr>
        <w:t> </w:t>
      </w:r>
      <w:r>
        <w:rPr>
          <w:color w:val="231F20"/>
          <w:spacing w:val="-2"/>
        </w:rPr>
        <w:t>shows</w:t>
      </w:r>
    </w:p>
    <w:p>
      <w:pPr>
        <w:pStyle w:val="BodyText"/>
        <w:spacing w:before="218"/>
        <w:ind w:left="2472"/>
      </w:pPr>
      <w:r>
        <w:rPr>
          <w:color w:val="231F20"/>
        </w:rPr>
        <w:t>The</w:t>
      </w:r>
      <w:r>
        <w:rPr>
          <w:color w:val="231F20"/>
          <w:spacing w:val="8"/>
        </w:rPr>
        <w:t> </w:t>
      </w:r>
      <w:r>
        <w:rPr>
          <w:color w:val="231F20"/>
        </w:rPr>
        <w:t>workspace</w:t>
      </w:r>
      <w:r>
        <w:rPr>
          <w:color w:val="231F20"/>
          <w:spacing w:val="9"/>
        </w:rPr>
        <w:t> </w:t>
      </w:r>
      <w:r>
        <w:rPr>
          <w:color w:val="231F20"/>
        </w:rPr>
        <w:t>contains</w:t>
      </w:r>
      <w:r>
        <w:rPr>
          <w:color w:val="231F20"/>
          <w:spacing w:val="9"/>
        </w:rPr>
        <w:t> </w:t>
      </w:r>
      <w:r>
        <w:rPr>
          <w:color w:val="231F20"/>
        </w:rPr>
        <w:t>three</w:t>
      </w:r>
      <w:r>
        <w:rPr>
          <w:color w:val="231F20"/>
          <w:spacing w:val="9"/>
        </w:rPr>
        <w:t> </w:t>
      </w:r>
      <w:r>
        <w:rPr>
          <w:color w:val="231F20"/>
          <w:spacing w:val="-2"/>
        </w:rPr>
        <w:t>views:</w:t>
      </w:r>
    </w:p>
    <w:p>
      <w:pPr>
        <w:pStyle w:val="Heading6"/>
        <w:spacing w:line="240" w:lineRule="auto" w:before="111"/>
      </w:pPr>
      <w:r>
        <w:rPr>
          <w:color w:val="231F20"/>
        </w:rPr>
        <w:t>TMS</w:t>
      </w:r>
      <w:r>
        <w:rPr>
          <w:color w:val="231F20"/>
          <w:spacing w:val="10"/>
        </w:rPr>
        <w:t> </w:t>
      </w:r>
      <w:r>
        <w:rPr>
          <w:color w:val="231F20"/>
        </w:rPr>
        <w:t>Infrastructure</w:t>
      </w:r>
      <w:r>
        <w:rPr>
          <w:color w:val="231F20"/>
          <w:spacing w:val="10"/>
        </w:rPr>
        <w:t> </w:t>
      </w:r>
      <w:r>
        <w:rPr>
          <w:color w:val="231F20"/>
        </w:rPr>
        <w:t>-</w:t>
      </w:r>
      <w:r>
        <w:rPr>
          <w:color w:val="231F20"/>
          <w:spacing w:val="10"/>
        </w:rPr>
        <w:t> </w:t>
      </w:r>
      <w:r>
        <w:rPr>
          <w:color w:val="231F20"/>
          <w:spacing w:val="-4"/>
        </w:rPr>
        <w:t>Base</w:t>
      </w:r>
    </w:p>
    <w:p>
      <w:pPr>
        <w:pStyle w:val="BodyText"/>
        <w:spacing w:line="213" w:lineRule="auto" w:before="120"/>
        <w:ind w:left="3190" w:right="353"/>
      </w:pPr>
      <w:r>
        <w:rPr>
          <w:color w:val="231F20"/>
        </w:rPr>
        <w:t>TMS Infrastructure - Base is a topological display of the Tivoli</w:t>
      </w:r>
      <w:r>
        <w:rPr>
          <w:color w:val="231F20"/>
          <w:spacing w:val="80"/>
        </w:rPr>
        <w:t> </w:t>
      </w:r>
      <w:r>
        <w:rPr>
          <w:color w:val="231F20"/>
        </w:rPr>
        <w:t>Management Services (TMS) components and their availability status. </w:t>
      </w:r>
      <w:r>
        <w:rPr>
          <w:color w:val="231F20"/>
        </w:rPr>
        <w:t>The Tivoli Enterprise Portal Server connects to the hub Tivoli Enterprise Monitoring Server, as does the Tivoli Data Warehouse, the Summarization and Pruning agent, and any remote monitoring servers. See TMS Infrastructure view for a description of the view features and tools for manipulating the topology.</w:t>
      </w:r>
    </w:p>
    <w:p>
      <w:pPr>
        <w:pStyle w:val="Heading6"/>
        <w:spacing w:line="240" w:lineRule="auto" w:before="113"/>
      </w:pPr>
      <w:r>
        <w:rPr>
          <w:color w:val="231F20"/>
        </w:rPr>
        <w:t>Users</w:t>
      </w:r>
      <w:r>
        <w:rPr>
          <w:color w:val="231F20"/>
          <w:spacing w:val="10"/>
        </w:rPr>
        <w:t> </w:t>
      </w:r>
      <w:r>
        <w:rPr>
          <w:color w:val="231F20"/>
        </w:rPr>
        <w:t>Logged</w:t>
      </w:r>
      <w:r>
        <w:rPr>
          <w:color w:val="231F20"/>
          <w:spacing w:val="12"/>
        </w:rPr>
        <w:t> </w:t>
      </w:r>
      <w:r>
        <w:rPr>
          <w:color w:val="231F20"/>
        </w:rPr>
        <w:t>on</w:t>
      </w:r>
      <w:r>
        <w:rPr>
          <w:color w:val="231F20"/>
          <w:spacing w:val="12"/>
        </w:rPr>
        <w:t> </w:t>
      </w:r>
      <w:r>
        <w:rPr>
          <w:color w:val="231F20"/>
        </w:rPr>
        <w:t>to</w:t>
      </w:r>
      <w:r>
        <w:rPr>
          <w:color w:val="231F20"/>
          <w:spacing w:val="12"/>
        </w:rPr>
        <w:t> </w:t>
      </w:r>
      <w:r>
        <w:rPr>
          <w:color w:val="231F20"/>
          <w:spacing w:val="-4"/>
        </w:rPr>
        <w:t>TEPS</w:t>
      </w:r>
    </w:p>
    <w:p>
      <w:pPr>
        <w:pStyle w:val="BodyText"/>
        <w:spacing w:line="213" w:lineRule="auto" w:before="120"/>
        <w:ind w:left="3190" w:right="493"/>
      </w:pPr>
      <w:r>
        <w:rPr>
          <w:color w:val="231F20"/>
        </w:rPr>
        <w:t>Users Logged on to TEPS is a table view of the users logged on to the</w:t>
      </w:r>
      <w:r>
        <w:rPr>
          <w:color w:val="231F20"/>
          <w:spacing w:val="40"/>
        </w:rPr>
        <w:t> </w:t>
      </w:r>
      <w:r>
        <w:rPr>
          <w:color w:val="231F20"/>
        </w:rPr>
        <w:t>portal server, with the IP address of the client computer and logon </w:t>
      </w:r>
      <w:r>
        <w:rPr>
          <w:color w:val="231F20"/>
        </w:rPr>
        <w:t>time </w:t>
      </w:r>
      <w:r>
        <w:rPr>
          <w:color w:val="231F20"/>
          <w:spacing w:val="-2"/>
        </w:rPr>
        <w:t>stamp.</w:t>
      </w:r>
    </w:p>
    <w:p>
      <w:pPr>
        <w:pStyle w:val="Heading6"/>
        <w:spacing w:line="240" w:lineRule="auto" w:before="116"/>
      </w:pPr>
      <w:r>
        <w:rPr>
          <w:color w:val="231F20"/>
        </w:rPr>
        <w:t>Managed</w:t>
      </w:r>
      <w:r>
        <w:rPr>
          <w:color w:val="231F20"/>
          <w:spacing w:val="9"/>
        </w:rPr>
        <w:t> </w:t>
      </w:r>
      <w:r>
        <w:rPr>
          <w:color w:val="231F20"/>
        </w:rPr>
        <w:t>Systems</w:t>
      </w:r>
      <w:r>
        <w:rPr>
          <w:color w:val="231F20"/>
          <w:spacing w:val="9"/>
        </w:rPr>
        <w:t> </w:t>
      </w:r>
      <w:r>
        <w:rPr>
          <w:color w:val="231F20"/>
        </w:rPr>
        <w:t>count</w:t>
      </w:r>
      <w:r>
        <w:rPr>
          <w:color w:val="231F20"/>
          <w:spacing w:val="9"/>
        </w:rPr>
        <w:t> </w:t>
      </w:r>
      <w:r>
        <w:rPr>
          <w:color w:val="231F20"/>
        </w:rPr>
        <w:t>per</w:t>
      </w:r>
      <w:r>
        <w:rPr>
          <w:color w:val="231F20"/>
          <w:spacing w:val="10"/>
        </w:rPr>
        <w:t> </w:t>
      </w:r>
      <w:r>
        <w:rPr>
          <w:color w:val="231F20"/>
        </w:rPr>
        <w:t>Managing</w:t>
      </w:r>
      <w:r>
        <w:rPr>
          <w:color w:val="231F20"/>
          <w:spacing w:val="9"/>
        </w:rPr>
        <w:t> </w:t>
      </w:r>
      <w:r>
        <w:rPr>
          <w:color w:val="231F20"/>
          <w:spacing w:val="-2"/>
        </w:rPr>
        <w:t>System</w:t>
      </w:r>
    </w:p>
    <w:p>
      <w:pPr>
        <w:pStyle w:val="BodyText"/>
        <w:spacing w:line="213" w:lineRule="auto" w:before="120"/>
        <w:ind w:left="3190" w:right="385"/>
      </w:pPr>
      <w:r>
        <w:rPr>
          <w:color w:val="231F20"/>
        </w:rPr>
        <w:t>This view is a bar chart showing a count of managed systems grouped </w:t>
      </w:r>
      <w:r>
        <w:rPr>
          <w:color w:val="231F20"/>
        </w:rPr>
        <w:t>by </w:t>
      </w:r>
      <w:r>
        <w:rPr>
          <w:rFonts w:ascii="Book Antiqua"/>
          <w:i/>
          <w:color w:val="231F20"/>
        </w:rPr>
        <w:t>managing system</w:t>
      </w:r>
      <w:r>
        <w:rPr>
          <w:color w:val="231F20"/>
        </w:rPr>
        <w:t>. Also called </w:t>
      </w:r>
      <w:r>
        <w:rPr>
          <w:rFonts w:ascii="Book Antiqua"/>
          <w:i/>
          <w:color w:val="231F20"/>
        </w:rPr>
        <w:t>through node</w:t>
      </w:r>
      <w:r>
        <w:rPr>
          <w:color w:val="231F20"/>
        </w:rPr>
        <w:t>, this is the parent system that collects data from the agent or subagent. If the agent is directly connected</w:t>
      </w:r>
      <w:r>
        <w:rPr>
          <w:color w:val="231F20"/>
          <w:spacing w:val="40"/>
        </w:rPr>
        <w:t> </w:t>
      </w:r>
      <w:r>
        <w:rPr>
          <w:color w:val="231F20"/>
        </w:rPr>
        <w:t>to the hub Tivoli Enterprise Monitoring Server, the hub monitoring server</w:t>
      </w:r>
      <w:r>
        <w:rPr>
          <w:color w:val="231F20"/>
          <w:spacing w:val="40"/>
        </w:rPr>
        <w:t> </w:t>
      </w:r>
      <w:r>
        <w:rPr>
          <w:color w:val="231F20"/>
        </w:rPr>
        <w:t>is the managing system; if the agent is connected to a remote monitoring server, then that is the managing system. An agent with subagents is the managing system for each subagent.</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197"/>
        <w:rPr>
          <w:sz w:val="2"/>
        </w:rPr>
      </w:pPr>
      <w:bookmarkStart w:name="_bookmark304" w:id="624"/>
      <w:bookmarkEnd w:id="624"/>
      <w:r>
        <w:rPr/>
      </w:r>
      <w:r>
        <w:rPr>
          <w:sz w:val="2"/>
        </w:rPr>
        <mc:AlternateContent>
          <mc:Choice Requires="wps">
            <w:drawing>
              <wp:inline distT="0" distB="0" distL="0" distR="0">
                <wp:extent cx="6082665" cy="6350"/>
                <wp:effectExtent l="9525" t="0" r="0" b="3175"/>
                <wp:docPr id="3108" name="Group 3108"/>
                <wp:cNvGraphicFramePr>
                  <a:graphicFrameLocks/>
                </wp:cNvGraphicFramePr>
                <a:graphic>
                  <a:graphicData uri="http://schemas.microsoft.com/office/word/2010/wordprocessingGroup">
                    <wpg:wgp>
                      <wpg:cNvPr id="3108" name="Group 3108"/>
                      <wpg:cNvGrpSpPr/>
                      <wpg:grpSpPr>
                        <a:xfrm>
                          <a:off x="0" y="0"/>
                          <a:ext cx="6082665" cy="6350"/>
                          <a:chExt cx="6082665" cy="6350"/>
                        </a:xfrm>
                      </wpg:grpSpPr>
                      <wps:wsp>
                        <wps:cNvPr id="3109" name="Graphic 3109"/>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51"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Tivoli Enterprise Monitoring Server stat" w:id="625"/>
      <w:bookmarkEnd w:id="625"/>
      <w:r>
        <w:rPr>
          <w:b w:val="0"/>
        </w:rPr>
      </w:r>
      <w:r>
        <w:rPr>
          <w:color w:val="231F20"/>
        </w:rPr>
        <w:t>Tivoli</w:t>
      </w:r>
      <w:r>
        <w:rPr>
          <w:color w:val="231F20"/>
          <w:spacing w:val="2"/>
        </w:rPr>
        <w:t> </w:t>
      </w:r>
      <w:r>
        <w:rPr>
          <w:color w:val="231F20"/>
        </w:rPr>
        <w:t>Enterprise</w:t>
      </w:r>
      <w:r>
        <w:rPr>
          <w:color w:val="231F20"/>
          <w:spacing w:val="3"/>
        </w:rPr>
        <w:t> </w:t>
      </w:r>
      <w:r>
        <w:rPr>
          <w:color w:val="231F20"/>
        </w:rPr>
        <w:t>Monitoring</w:t>
      </w:r>
      <w:r>
        <w:rPr>
          <w:color w:val="231F20"/>
          <w:spacing w:val="3"/>
        </w:rPr>
        <w:t> </w:t>
      </w:r>
      <w:r>
        <w:rPr>
          <w:color w:val="231F20"/>
        </w:rPr>
        <w:t>Server</w:t>
      </w:r>
      <w:r>
        <w:rPr>
          <w:color w:val="231F20"/>
          <w:spacing w:val="2"/>
        </w:rPr>
        <w:t> </w:t>
      </w:r>
      <w:r>
        <w:rPr>
          <w:color w:val="231F20"/>
          <w:spacing w:val="-2"/>
        </w:rPr>
        <w:t>status</w:t>
      </w:r>
    </w:p>
    <w:p>
      <w:pPr>
        <w:pStyle w:val="BodyText"/>
        <w:spacing w:line="213" w:lineRule="auto" w:before="138"/>
        <w:ind w:left="2232" w:right="545"/>
      </w:pPr>
      <w:r>
        <w:rPr>
          <w:color w:val="231F20"/>
        </w:rPr>
        <w:t>For self-monitoring, the Tivoli Enterprise Monitoring Server has attributes that </w:t>
      </w:r>
      <w:r>
        <w:rPr>
          <w:color w:val="231F20"/>
        </w:rPr>
        <w:t>are on display in workspaces and used in situations that are available through the Enterprise Navigator item.</w:t>
      </w:r>
    </w:p>
    <w:p>
      <w:pPr>
        <w:pStyle w:val="Heading3"/>
        <w:spacing w:before="217"/>
        <w:ind w:left="707" w:right="538"/>
        <w:jc w:val="center"/>
      </w:pPr>
      <w:bookmarkStart w:name="Manage Tivoli Enterprise Monitoring Serv" w:id="626"/>
      <w:bookmarkEnd w:id="626"/>
      <w:r>
        <w:rPr>
          <w:b w:val="0"/>
        </w:rPr>
      </w:r>
      <w:r>
        <w:rPr>
          <w:color w:val="231F20"/>
        </w:rPr>
        <w:t>Manage</w:t>
      </w:r>
      <w:r>
        <w:rPr>
          <w:color w:val="231F20"/>
          <w:spacing w:val="2"/>
        </w:rPr>
        <w:t> </w:t>
      </w:r>
      <w:r>
        <w:rPr>
          <w:color w:val="231F20"/>
        </w:rPr>
        <w:t>Tivoli</w:t>
      </w:r>
      <w:r>
        <w:rPr>
          <w:color w:val="231F20"/>
          <w:spacing w:val="3"/>
        </w:rPr>
        <w:t> </w:t>
      </w:r>
      <w:r>
        <w:rPr>
          <w:color w:val="231F20"/>
        </w:rPr>
        <w:t>Enterprise</w:t>
      </w:r>
      <w:r>
        <w:rPr>
          <w:color w:val="231F20"/>
          <w:spacing w:val="3"/>
        </w:rPr>
        <w:t> </w:t>
      </w:r>
      <w:r>
        <w:rPr>
          <w:color w:val="231F20"/>
        </w:rPr>
        <w:t>Monitoring</w:t>
      </w:r>
      <w:r>
        <w:rPr>
          <w:color w:val="231F20"/>
          <w:spacing w:val="2"/>
        </w:rPr>
        <w:t> </w:t>
      </w:r>
      <w:r>
        <w:rPr>
          <w:color w:val="231F20"/>
        </w:rPr>
        <w:t>Servers</w:t>
      </w:r>
      <w:r>
        <w:rPr>
          <w:color w:val="231F20"/>
          <w:spacing w:val="3"/>
        </w:rPr>
        <w:t> </w:t>
      </w:r>
      <w:r>
        <w:rPr>
          <w:color w:val="231F20"/>
          <w:spacing w:val="-2"/>
        </w:rPr>
        <w:t>workspaces</w:t>
      </w:r>
    </w:p>
    <w:p>
      <w:pPr>
        <w:pStyle w:val="BodyText"/>
        <w:spacing w:line="213" w:lineRule="auto" w:before="58"/>
        <w:ind w:left="2232" w:right="545"/>
      </w:pPr>
      <w:r>
        <w:rPr>
          <w:color w:val="231F20"/>
        </w:rPr>
        <w:t>Use the Manage Tivoli Enterprise Monitoring Servers workspaces and situations </w:t>
      </w:r>
      <w:r>
        <w:rPr>
          <w:color w:val="231F20"/>
        </w:rPr>
        <w:t>to gather information for diagnosing and correcting typical monitoring server configuration issues.</w:t>
      </w:r>
    </w:p>
    <w:p>
      <w:pPr>
        <w:pStyle w:val="BodyText"/>
        <w:spacing w:line="213" w:lineRule="auto" w:before="237"/>
        <w:ind w:left="2232" w:right="545"/>
      </w:pPr>
      <w:r>
        <w:rPr>
          <w:color w:val="231F20"/>
        </w:rPr>
        <w:t>The Manage Tivoli Enterprise Monitoring Servers workspace is available with </w:t>
      </w:r>
      <w:r>
        <w:rPr>
          <w:color w:val="231F20"/>
        </w:rPr>
        <w:t>the other workspaces from the Enterprise Navigator item. Open the workspace as a quick health check whenever you have updated any components. While an</w:t>
      </w:r>
    </w:p>
    <w:p>
      <w:pPr>
        <w:spacing w:line="213" w:lineRule="auto" w:before="0"/>
        <w:ind w:left="2232" w:right="603" w:firstLine="0"/>
        <w:jc w:val="left"/>
        <w:rPr>
          <w:sz w:val="20"/>
        </w:rPr>
      </w:pPr>
      <w:r>
        <w:rPr>
          <w:position w:val="-1"/>
        </w:rPr>
        <w:drawing>
          <wp:inline distT="0" distB="0" distL="0" distR="0">
            <wp:extent cx="95250" cy="101600"/>
            <wp:effectExtent l="0" t="0" r="0" b="0"/>
            <wp:docPr id="3110" name="Image 3110"/>
            <wp:cNvGraphicFramePr>
              <a:graphicFrameLocks/>
            </wp:cNvGraphicFramePr>
            <a:graphic>
              <a:graphicData uri="http://schemas.openxmlformats.org/drawingml/2006/picture">
                <pic:pic>
                  <pic:nvPicPr>
                    <pic:cNvPr id="3110" name="Image 3110"/>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z w:val="20"/>
        </w:rPr>
        <w:t> </w:t>
      </w:r>
      <w:r>
        <w:rPr>
          <w:color w:val="231F20"/>
          <w:sz w:val="20"/>
        </w:rPr>
        <w:t>Enterprise-level workspace is open, click </w:t>
      </w:r>
      <w:r>
        <w:rPr>
          <w:color w:val="231F20"/>
          <w:spacing w:val="15"/>
          <w:position w:val="-1"/>
          <w:sz w:val="20"/>
        </w:rPr>
        <w:drawing>
          <wp:inline distT="0" distB="0" distL="0" distR="0">
            <wp:extent cx="101600" cy="101600"/>
            <wp:effectExtent l="0" t="0" r="0" b="0"/>
            <wp:docPr id="3111" name="Image 3111"/>
            <wp:cNvGraphicFramePr>
              <a:graphicFrameLocks/>
            </wp:cNvGraphicFramePr>
            <a:graphic>
              <a:graphicData uri="http://schemas.openxmlformats.org/drawingml/2006/picture">
                <pic:pic>
                  <pic:nvPicPr>
                    <pic:cNvPr id="3111" name="Image 3111"/>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rFonts w:ascii="Book Antiqua"/>
          <w:b/>
          <w:color w:val="231F20"/>
          <w:sz w:val="20"/>
        </w:rPr>
        <w:t>Workspace Gallery</w:t>
      </w:r>
      <w:r>
        <w:rPr>
          <w:color w:val="231F20"/>
          <w:sz w:val="20"/>
        </w:rPr>
        <w:t>, then scroll to and click the </w:t>
      </w:r>
      <w:r>
        <w:rPr>
          <w:rFonts w:ascii="Book Antiqua"/>
          <w:b/>
          <w:color w:val="231F20"/>
          <w:sz w:val="20"/>
        </w:rPr>
        <w:t>Manage Tivoli Enterprise Monitoring Servers </w:t>
      </w:r>
      <w:r>
        <w:rPr>
          <w:color w:val="231F20"/>
          <w:sz w:val="20"/>
        </w:rPr>
        <w:t>workspace.</w:t>
      </w:r>
    </w:p>
    <w:p>
      <w:pPr>
        <w:pStyle w:val="BodyText"/>
        <w:spacing w:line="213" w:lineRule="auto" w:before="236"/>
        <w:ind w:left="2232" w:right="545"/>
      </w:pPr>
      <w:r>
        <w:rPr>
          <w:color w:val="231F20"/>
        </w:rPr>
        <w:t>The</w:t>
      </w:r>
      <w:r>
        <w:rPr>
          <w:color w:val="231F20"/>
          <w:spacing w:val="28"/>
        </w:rPr>
        <w:t> </w:t>
      </w:r>
      <w:r>
        <w:rPr>
          <w:rFonts w:ascii="Book Antiqua"/>
          <w:b/>
          <w:color w:val="231F20"/>
        </w:rPr>
        <w:t>Tivoli</w:t>
      </w:r>
      <w:r>
        <w:rPr>
          <w:rFonts w:ascii="Book Antiqua"/>
          <w:b/>
          <w:color w:val="231F20"/>
          <w:spacing w:val="28"/>
        </w:rPr>
        <w:t> </w:t>
      </w:r>
      <w:r>
        <w:rPr>
          <w:rFonts w:ascii="Book Antiqua"/>
          <w:b/>
          <w:color w:val="231F20"/>
        </w:rPr>
        <w:t>Enterprise</w:t>
      </w:r>
      <w:r>
        <w:rPr>
          <w:rFonts w:ascii="Book Antiqua"/>
          <w:b/>
          <w:color w:val="231F20"/>
          <w:spacing w:val="28"/>
        </w:rPr>
        <w:t> </w:t>
      </w:r>
      <w:r>
        <w:rPr>
          <w:rFonts w:ascii="Book Antiqua"/>
          <w:b/>
          <w:color w:val="231F20"/>
        </w:rPr>
        <w:t>Monitoring</w:t>
      </w:r>
      <w:r>
        <w:rPr>
          <w:rFonts w:ascii="Book Antiqua"/>
          <w:b/>
          <w:color w:val="231F20"/>
          <w:spacing w:val="28"/>
        </w:rPr>
        <w:t> </w:t>
      </w:r>
      <w:r>
        <w:rPr>
          <w:rFonts w:ascii="Book Antiqua"/>
          <w:b/>
          <w:color w:val="231F20"/>
        </w:rPr>
        <w:t>Server</w:t>
      </w:r>
      <w:r>
        <w:rPr>
          <w:rFonts w:ascii="Book Antiqua"/>
          <w:b/>
          <w:color w:val="231F20"/>
          <w:spacing w:val="28"/>
        </w:rPr>
        <w:t> </w:t>
      </w:r>
      <w:r>
        <w:rPr>
          <w:rFonts w:ascii="Book Antiqua"/>
          <w:b/>
          <w:color w:val="231F20"/>
        </w:rPr>
        <w:t>Topology</w:t>
      </w:r>
      <w:r>
        <w:rPr>
          <w:rFonts w:ascii="Book Antiqua"/>
          <w:b/>
          <w:color w:val="231F20"/>
          <w:spacing w:val="28"/>
        </w:rPr>
        <w:t> </w:t>
      </w:r>
      <w:r>
        <w:rPr>
          <w:color w:val="231F20"/>
        </w:rPr>
        <w:t>view</w:t>
      </w:r>
      <w:r>
        <w:rPr>
          <w:color w:val="231F20"/>
          <w:spacing w:val="28"/>
        </w:rPr>
        <w:t> </w:t>
      </w:r>
      <w:r>
        <w:rPr>
          <w:color w:val="231F20"/>
        </w:rPr>
        <w:t>shows</w:t>
      </w:r>
      <w:r>
        <w:rPr>
          <w:color w:val="231F20"/>
          <w:spacing w:val="28"/>
        </w:rPr>
        <w:t> </w:t>
      </w:r>
      <w:r>
        <w:rPr>
          <w:color w:val="231F20"/>
        </w:rPr>
        <w:t>the</w:t>
      </w:r>
      <w:r>
        <w:rPr>
          <w:color w:val="231F20"/>
          <w:spacing w:val="28"/>
        </w:rPr>
        <w:t> </w:t>
      </w:r>
      <w:r>
        <w:rPr>
          <w:color w:val="231F20"/>
        </w:rPr>
        <w:t>hub monitoring server and all remote monitoring servers that connect to it in the enterprise, with a status indicator overlaying the </w:t>
      </w:r>
      <w:r>
        <w:rPr>
          <w:color w:val="231F20"/>
          <w:spacing w:val="15"/>
          <w:position w:val="-1"/>
        </w:rPr>
        <w:drawing>
          <wp:inline distT="0" distB="0" distL="0" distR="0">
            <wp:extent cx="101600" cy="95250"/>
            <wp:effectExtent l="0" t="0" r="0" b="0"/>
            <wp:docPr id="3112" name="Image 3112"/>
            <wp:cNvGraphicFramePr>
              <a:graphicFrameLocks/>
            </wp:cNvGraphicFramePr>
            <a:graphic>
              <a:graphicData uri="http://schemas.openxmlformats.org/drawingml/2006/picture">
                <pic:pic>
                  <pic:nvPicPr>
                    <pic:cNvPr id="3112" name="Image 3112"/>
                    <pic:cNvPicPr/>
                  </pic:nvPicPr>
                  <pic:blipFill>
                    <a:blip r:embed="rId82"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monitoring server icon. Move</w:t>
      </w:r>
      <w:r>
        <w:rPr>
          <w:color w:val="231F20"/>
          <w:spacing w:val="40"/>
        </w:rPr>
        <w:t> </w:t>
      </w:r>
      <w:r>
        <w:rPr>
          <w:color w:val="231F20"/>
        </w:rPr>
        <w:t>the mouse pointer over the icon to see an information box with identifying data </w:t>
      </w:r>
      <w:r>
        <w:rPr>
          <w:color w:val="231F20"/>
        </w:rPr>
        <w:t>for the monitoring server, such as the host address and the status. Right-click a monitoring</w:t>
      </w:r>
      <w:r>
        <w:rPr>
          <w:color w:val="231F20"/>
          <w:spacing w:val="27"/>
        </w:rPr>
        <w:t> </w:t>
      </w:r>
      <w:r>
        <w:rPr>
          <w:color w:val="231F20"/>
        </w:rPr>
        <w:t>server</w:t>
      </w:r>
      <w:r>
        <w:rPr>
          <w:color w:val="231F20"/>
          <w:spacing w:val="27"/>
        </w:rPr>
        <w:t> </w:t>
      </w:r>
      <w:r>
        <w:rPr>
          <w:color w:val="231F20"/>
        </w:rPr>
        <w:t>icon</w:t>
      </w:r>
      <w:r>
        <w:rPr>
          <w:color w:val="231F20"/>
          <w:spacing w:val="27"/>
        </w:rPr>
        <w:t> </w:t>
      </w:r>
      <w:r>
        <w:rPr>
          <w:color w:val="231F20"/>
        </w:rPr>
        <w:t>to</w:t>
      </w:r>
      <w:r>
        <w:rPr>
          <w:color w:val="231F20"/>
          <w:spacing w:val="27"/>
        </w:rPr>
        <w:t> </w:t>
      </w:r>
      <w:r>
        <w:rPr>
          <w:color w:val="231F20"/>
        </w:rPr>
        <w:t>see</w:t>
      </w:r>
      <w:r>
        <w:rPr>
          <w:color w:val="231F20"/>
          <w:spacing w:val="27"/>
        </w:rPr>
        <w:t> </w:t>
      </w:r>
      <w:r>
        <w:rPr>
          <w:color w:val="231F20"/>
        </w:rPr>
        <w:t>and</w:t>
      </w:r>
      <w:r>
        <w:rPr>
          <w:color w:val="231F20"/>
          <w:spacing w:val="27"/>
        </w:rPr>
        <w:t> </w:t>
      </w:r>
      <w:r>
        <w:rPr>
          <w:color w:val="231F20"/>
        </w:rPr>
        <w:t>select</w:t>
      </w:r>
      <w:r>
        <w:rPr>
          <w:color w:val="231F20"/>
          <w:spacing w:val="27"/>
        </w:rPr>
        <w:t> </w:t>
      </w:r>
      <w:r>
        <w:rPr>
          <w:color w:val="231F20"/>
        </w:rPr>
        <w:t>a</w:t>
      </w:r>
      <w:r>
        <w:rPr>
          <w:color w:val="231F20"/>
          <w:spacing w:val="27"/>
        </w:rPr>
        <w:t> </w:t>
      </w:r>
      <w:r>
        <w:rPr>
          <w:color w:val="231F20"/>
        </w:rPr>
        <w:t>workspace</w:t>
      </w:r>
      <w:r>
        <w:rPr>
          <w:color w:val="231F20"/>
          <w:spacing w:val="27"/>
        </w:rPr>
        <w:t> </w:t>
      </w:r>
      <w:r>
        <w:rPr>
          <w:color w:val="231F20"/>
        </w:rPr>
        <w:t>to</w:t>
      </w:r>
      <w:r>
        <w:rPr>
          <w:color w:val="231F20"/>
          <w:spacing w:val="27"/>
        </w:rPr>
        <w:t> </w:t>
      </w:r>
      <w:r>
        <w:rPr>
          <w:color w:val="231F20"/>
        </w:rPr>
        <w:t>open</w:t>
      </w:r>
      <w:r>
        <w:rPr>
          <w:color w:val="231F20"/>
          <w:spacing w:val="27"/>
        </w:rPr>
        <w:t> </w:t>
      </w:r>
      <w:r>
        <w:rPr>
          <w:color w:val="231F20"/>
        </w:rPr>
        <w:t>with</w:t>
      </w:r>
      <w:r>
        <w:rPr>
          <w:color w:val="231F20"/>
          <w:spacing w:val="27"/>
        </w:rPr>
        <w:t> </w:t>
      </w:r>
      <w:r>
        <w:rPr>
          <w:color w:val="231F20"/>
        </w:rPr>
        <w:t>more information about that monitoring server.</w:t>
      </w:r>
    </w:p>
    <w:p>
      <w:pPr>
        <w:pStyle w:val="BodyText"/>
        <w:spacing w:line="213" w:lineRule="auto" w:before="235"/>
        <w:ind w:left="2232" w:right="636"/>
      </w:pPr>
      <w:r>
        <w:rPr>
          <w:color w:val="231F20"/>
        </w:rPr>
        <w:t>The </w:t>
      </w:r>
      <w:r>
        <w:rPr>
          <w:rFonts w:ascii="Book Antiqua"/>
          <w:b/>
          <w:color w:val="231F20"/>
        </w:rPr>
        <w:t>Monitoring Servers </w:t>
      </w:r>
      <w:r>
        <w:rPr>
          <w:color w:val="231F20"/>
        </w:rPr>
        <w:t>view lists each Tivoli Enterprise Monitoring Server </w:t>
      </w:r>
      <w:r>
        <w:rPr>
          <w:color w:val="231F20"/>
        </w:rPr>
        <w:t>and whether it is online or offline. The hub is distinguished by an </w:t>
      </w:r>
      <w:r>
        <w:rPr>
          <w:color w:val="231F20"/>
          <w:spacing w:val="15"/>
          <w:position w:val="-1"/>
        </w:rPr>
        <w:drawing>
          <wp:inline distT="0" distB="0" distL="0" distR="0">
            <wp:extent cx="95250" cy="95250"/>
            <wp:effectExtent l="0" t="0" r="0" b="0"/>
            <wp:docPr id="3113" name="Image 3113"/>
            <wp:cNvGraphicFramePr>
              <a:graphicFrameLocks/>
            </wp:cNvGraphicFramePr>
            <a:graphic>
              <a:graphicData uri="http://schemas.openxmlformats.org/drawingml/2006/picture">
                <pic:pic>
                  <pic:nvPicPr>
                    <pic:cNvPr id="3113" name="Image 3113"/>
                    <pic:cNvPicPr/>
                  </pic:nvPicPr>
                  <pic:blipFill>
                    <a:blip r:embed="rId465" cstate="print"/>
                    <a:stretch>
                      <a:fillRect/>
                    </a:stretch>
                  </pic:blipFill>
                  <pic:spPr>
                    <a:xfrm>
                      <a:off x="0" y="0"/>
                      <a:ext cx="9525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icon after the</w:t>
      </w:r>
      <w:r>
        <w:rPr>
          <w:color w:val="231F20"/>
          <w:spacing w:val="40"/>
        </w:rPr>
        <w:t> </w:t>
      </w:r>
      <w:r>
        <w:rPr>
          <w:color w:val="231F20"/>
        </w:rPr>
        <w:t>name. This view persists in all the Manage Tivoli Enterprise Monitoring Servers workspaces and in the same position.</w:t>
      </w:r>
    </w:p>
    <w:p>
      <w:pPr>
        <w:pStyle w:val="BodyText"/>
        <w:spacing w:line="213" w:lineRule="auto" w:before="237"/>
        <w:ind w:left="2232" w:right="636"/>
      </w:pPr>
      <w:r>
        <w:rPr>
          <w:color w:val="231F20"/>
        </w:rPr>
        <w:t>Click a </w:t>
      </w:r>
      <w:r>
        <w:rPr>
          <w:color w:val="231F20"/>
          <w:spacing w:val="16"/>
          <w:position w:val="-1"/>
        </w:rPr>
        <w:drawing>
          <wp:inline distT="0" distB="0" distL="0" distR="0">
            <wp:extent cx="101600" cy="101600"/>
            <wp:effectExtent l="0" t="0" r="0" b="0"/>
            <wp:docPr id="3114" name="Image 3114"/>
            <wp:cNvGraphicFramePr>
              <a:graphicFrameLocks/>
            </wp:cNvGraphicFramePr>
            <a:graphic>
              <a:graphicData uri="http://schemas.openxmlformats.org/drawingml/2006/picture">
                <pic:pic>
                  <pic:nvPicPr>
                    <pic:cNvPr id="3114" name="Image 3114"/>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link to open one of the detailed workspaces with data from the monitoring server:</w:t>
      </w:r>
    </w:p>
    <w:p>
      <w:pPr>
        <w:pStyle w:val="Heading6"/>
        <w:ind w:left="2232"/>
      </w:pPr>
      <w:r>
        <w:rPr>
          <w:color w:val="231F20"/>
        </w:rPr>
        <w:t>Manage</w:t>
      </w:r>
      <w:r>
        <w:rPr>
          <w:color w:val="231F20"/>
          <w:spacing w:val="7"/>
        </w:rPr>
        <w:t> </w:t>
      </w:r>
      <w:r>
        <w:rPr>
          <w:color w:val="231F20"/>
        </w:rPr>
        <w:t>Tivoli</w:t>
      </w:r>
      <w:r>
        <w:rPr>
          <w:color w:val="231F20"/>
          <w:spacing w:val="7"/>
        </w:rPr>
        <w:t> </w:t>
      </w:r>
      <w:r>
        <w:rPr>
          <w:color w:val="231F20"/>
        </w:rPr>
        <w:t>Enterprise</w:t>
      </w:r>
      <w:r>
        <w:rPr>
          <w:color w:val="231F20"/>
          <w:spacing w:val="7"/>
        </w:rPr>
        <w:t> </w:t>
      </w:r>
      <w:r>
        <w:rPr>
          <w:color w:val="231F20"/>
        </w:rPr>
        <w:t>Monitoring</w:t>
      </w:r>
      <w:r>
        <w:rPr>
          <w:color w:val="231F20"/>
          <w:spacing w:val="8"/>
        </w:rPr>
        <w:t> </w:t>
      </w:r>
      <w:r>
        <w:rPr>
          <w:color w:val="231F20"/>
        </w:rPr>
        <w:t>Servers</w:t>
      </w:r>
      <w:r>
        <w:rPr>
          <w:color w:val="231F20"/>
          <w:spacing w:val="7"/>
        </w:rPr>
        <w:t> </w:t>
      </w:r>
      <w:r>
        <w:rPr>
          <w:color w:val="231F20"/>
        </w:rPr>
        <w:t>-</w:t>
      </w:r>
      <w:r>
        <w:rPr>
          <w:color w:val="231F20"/>
          <w:spacing w:val="7"/>
        </w:rPr>
        <w:t> </w:t>
      </w:r>
      <w:r>
        <w:rPr>
          <w:color w:val="231F20"/>
        </w:rPr>
        <w:t>Enterprise</w:t>
      </w:r>
      <w:r>
        <w:rPr>
          <w:color w:val="231F20"/>
          <w:spacing w:val="8"/>
        </w:rPr>
        <w:t> </w:t>
      </w:r>
      <w:r>
        <w:rPr>
          <w:color w:val="231F20"/>
          <w:spacing w:val="-2"/>
        </w:rPr>
        <w:t>Catalogs</w:t>
      </w:r>
    </w:p>
    <w:p>
      <w:pPr>
        <w:pStyle w:val="BodyText"/>
        <w:spacing w:line="213" w:lineRule="auto" w:before="11"/>
        <w:ind w:left="2951" w:right="493"/>
      </w:pPr>
      <w:r>
        <w:rPr>
          <w:color w:val="231F20"/>
        </w:rPr>
        <w:t>This workspace is displayed after you select the </w:t>
      </w:r>
      <w:r>
        <w:rPr>
          <w:rFonts w:ascii="Book Antiqua"/>
          <w:b/>
          <w:color w:val="231F20"/>
        </w:rPr>
        <w:t>Installed Catalogs - Enterprise View </w:t>
      </w:r>
      <w:r>
        <w:rPr>
          <w:color w:val="231F20"/>
        </w:rPr>
        <w:t>link from the hub monitoring server. The link to </w:t>
      </w:r>
      <w:r>
        <w:rPr>
          <w:color w:val="231F20"/>
        </w:rPr>
        <w:t>this workspace is available only for a hub monitoring server.</w:t>
      </w:r>
    </w:p>
    <w:p>
      <w:pPr>
        <w:pStyle w:val="BodyText"/>
        <w:spacing w:line="213" w:lineRule="auto" w:before="118"/>
        <w:ind w:left="2951" w:right="545"/>
      </w:pPr>
      <w:r>
        <w:rPr>
          <w:color w:val="231F20"/>
        </w:rPr>
        <w:t>The application catalogs that are installed on every remote monitoring server in the enterprise are compared with those on the hub </w:t>
      </w:r>
      <w:r>
        <w:rPr>
          <w:color w:val="231F20"/>
        </w:rPr>
        <w:t>monitoring server and any discrepancies are highlighted in the </w:t>
      </w:r>
      <w:r>
        <w:rPr>
          <w:rFonts w:ascii="Book Antiqua"/>
          <w:b/>
          <w:color w:val="231F20"/>
        </w:rPr>
        <w:t>Status </w:t>
      </w:r>
      <w:r>
        <w:rPr>
          <w:color w:val="231F20"/>
        </w:rPr>
        <w:t>column. The timestamp was taken when the configuration file was last edited.</w:t>
      </w:r>
    </w:p>
    <w:p>
      <w:pPr>
        <w:pStyle w:val="BodyText"/>
        <w:spacing w:line="208" w:lineRule="auto" w:before="66"/>
        <w:ind w:left="3250" w:right="545"/>
      </w:pPr>
      <w:r>
        <w:rPr/>
        <w:drawing>
          <wp:inline distT="0" distB="0" distL="0" distR="0">
            <wp:extent cx="82550" cy="82550"/>
            <wp:effectExtent l="0" t="0" r="0" b="0"/>
            <wp:docPr id="3115" name="Image 3115"/>
            <wp:cNvGraphicFramePr>
              <a:graphicFrameLocks/>
            </wp:cNvGraphicFramePr>
            <a:graphic>
              <a:graphicData uri="http://schemas.openxmlformats.org/drawingml/2006/picture">
                <pic:pic>
                  <pic:nvPicPr>
                    <pic:cNvPr id="3115" name="Image 3115"/>
                    <pic:cNvPicPr/>
                  </pic:nvPicPr>
                  <pic:blipFill>
                    <a:blip r:embed="rId466"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OK </w:t>
      </w:r>
      <w:r>
        <w:rPr>
          <w:color w:val="231F20"/>
        </w:rPr>
        <w:t>indicates that the timestamps and column counts of the hub </w:t>
      </w:r>
      <w:r>
        <w:rPr>
          <w:color w:val="231F20"/>
        </w:rPr>
        <w:t>and remote monitoring servers match.</w:t>
      </w:r>
    </w:p>
    <w:p>
      <w:pPr>
        <w:pStyle w:val="BodyText"/>
        <w:spacing w:line="211" w:lineRule="auto" w:before="68"/>
        <w:ind w:left="3250" w:right="493"/>
      </w:pPr>
      <w:r>
        <w:rPr/>
        <w:drawing>
          <wp:inline distT="0" distB="0" distL="0" distR="0">
            <wp:extent cx="82550" cy="82550"/>
            <wp:effectExtent l="0" t="0" r="0" b="0"/>
            <wp:docPr id="3116" name="Image 3116"/>
            <wp:cNvGraphicFramePr>
              <a:graphicFrameLocks/>
            </wp:cNvGraphicFramePr>
            <a:graphic>
              <a:graphicData uri="http://schemas.openxmlformats.org/drawingml/2006/picture">
                <pic:pic>
                  <pic:nvPicPr>
                    <pic:cNvPr id="3116" name="Image 3116"/>
                    <pic:cNvPicPr/>
                  </pic:nvPicPr>
                  <pic:blipFill>
                    <a:blip r:embed="rId404"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Timestamp Mismatch </w:t>
      </w:r>
      <w:r>
        <w:rPr>
          <w:color w:val="231F20"/>
        </w:rPr>
        <w:t>indicates that the time the remote </w:t>
      </w:r>
      <w:r>
        <w:rPr>
          <w:color w:val="231F20"/>
        </w:rPr>
        <w:t>monitoring server was last updated does not match the time the hub was last </w:t>
      </w:r>
      <w:r>
        <w:rPr>
          <w:color w:val="231F20"/>
          <w:spacing w:val="-2"/>
        </w:rPr>
        <w:t>updated.</w:t>
      </w:r>
    </w:p>
    <w:p>
      <w:pPr>
        <w:pStyle w:val="BodyText"/>
        <w:spacing w:line="208" w:lineRule="auto" w:before="68"/>
        <w:ind w:left="3250" w:right="545"/>
      </w:pPr>
      <w:r>
        <w:rPr/>
        <w:drawing>
          <wp:inline distT="0" distB="0" distL="0" distR="0">
            <wp:extent cx="82550" cy="82550"/>
            <wp:effectExtent l="0" t="0" r="0" b="0"/>
            <wp:docPr id="3117" name="Image 3117"/>
            <wp:cNvGraphicFramePr>
              <a:graphicFrameLocks/>
            </wp:cNvGraphicFramePr>
            <a:graphic>
              <a:graphicData uri="http://schemas.openxmlformats.org/drawingml/2006/picture">
                <pic:pic>
                  <pic:nvPicPr>
                    <pic:cNvPr id="3117" name="Image 3117"/>
                    <pic:cNvPicPr/>
                  </pic:nvPicPr>
                  <pic:blipFill>
                    <a:blip r:embed="rId405"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Hub Newer </w:t>
      </w:r>
      <w:r>
        <w:rPr>
          <w:color w:val="231F20"/>
        </w:rPr>
        <w:t>indicates that the hub monitoring server was </w:t>
      </w:r>
      <w:r>
        <w:rPr>
          <w:color w:val="231F20"/>
        </w:rPr>
        <w:t>updated more recently than a remote monitoring server.</w:t>
      </w:r>
    </w:p>
    <w:p>
      <w:pPr>
        <w:pStyle w:val="BodyText"/>
        <w:spacing w:line="208" w:lineRule="auto" w:before="69"/>
        <w:ind w:left="3250" w:right="636"/>
      </w:pPr>
      <w:r>
        <w:rPr/>
        <w:drawing>
          <wp:inline distT="0" distB="0" distL="0" distR="0">
            <wp:extent cx="82550" cy="82550"/>
            <wp:effectExtent l="0" t="0" r="0" b="0"/>
            <wp:docPr id="3118" name="Image 3118"/>
            <wp:cNvGraphicFramePr>
              <a:graphicFrameLocks/>
            </wp:cNvGraphicFramePr>
            <a:graphic>
              <a:graphicData uri="http://schemas.openxmlformats.org/drawingml/2006/picture">
                <pic:pic>
                  <pic:nvPicPr>
                    <pic:cNvPr id="3118" name="Image 3118"/>
                    <pic:cNvPicPr/>
                  </pic:nvPicPr>
                  <pic:blipFill>
                    <a:blip r:embed="rId467"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Missing At RTEMS </w:t>
      </w:r>
      <w:r>
        <w:rPr>
          <w:color w:val="231F20"/>
        </w:rPr>
        <w:t>indicates that the catalog ID that is present </w:t>
      </w:r>
      <w:r>
        <w:rPr>
          <w:color w:val="231F20"/>
        </w:rPr>
        <w:t>at the hub monitoring server is missing at a remote monitoring server.</w:t>
      </w:r>
    </w:p>
    <w:p>
      <w:pPr>
        <w:pStyle w:val="BodyText"/>
        <w:spacing w:line="211" w:lineRule="auto" w:before="67"/>
        <w:ind w:left="3250" w:right="545"/>
      </w:pPr>
      <w:r>
        <w:rPr/>
        <w:drawing>
          <wp:inline distT="0" distB="0" distL="0" distR="0">
            <wp:extent cx="82550" cy="82550"/>
            <wp:effectExtent l="0" t="0" r="0" b="0"/>
            <wp:docPr id="3119" name="Image 3119"/>
            <wp:cNvGraphicFramePr>
              <a:graphicFrameLocks/>
            </wp:cNvGraphicFramePr>
            <a:graphic>
              <a:graphicData uri="http://schemas.openxmlformats.org/drawingml/2006/picture">
                <pic:pic>
                  <pic:nvPicPr>
                    <pic:cNvPr id="3119" name="Image 3119"/>
                    <pic:cNvPicPr/>
                  </pic:nvPicPr>
                  <pic:blipFill>
                    <a:blip r:embed="rId468"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Count Mismatch </w:t>
      </w:r>
      <w:r>
        <w:rPr>
          <w:color w:val="231F20"/>
        </w:rPr>
        <w:t>indicates that the column count at the </w:t>
      </w:r>
      <w:r>
        <w:rPr>
          <w:color w:val="231F20"/>
        </w:rPr>
        <w:t>remote monitoring server does not match the column count at the hub monitoring server.</w:t>
      </w:r>
    </w:p>
    <w:p>
      <w:pPr>
        <w:spacing w:after="0" w:line="211" w:lineRule="auto"/>
        <w:sectPr>
          <w:pgSz w:w="12240" w:h="15840"/>
          <w:pgMar w:header="0" w:footer="736" w:top="1220" w:bottom="920" w:left="1000" w:right="1060"/>
        </w:sectPr>
      </w:pPr>
    </w:p>
    <w:p>
      <w:pPr>
        <w:pStyle w:val="BodyText"/>
        <w:spacing w:line="208" w:lineRule="auto" w:before="94"/>
        <w:ind w:left="3490" w:right="545"/>
      </w:pPr>
      <w:bookmarkStart w:name="_bookmark305" w:id="627"/>
      <w:bookmarkEnd w:id="627"/>
      <w:r>
        <w:rPr/>
      </w:r>
      <w:r>
        <w:rPr/>
        <w:drawing>
          <wp:inline distT="0" distB="0" distL="0" distR="0">
            <wp:extent cx="82550" cy="82550"/>
            <wp:effectExtent l="0" t="0" r="0" b="0"/>
            <wp:docPr id="3120" name="Image 3120"/>
            <wp:cNvGraphicFramePr>
              <a:graphicFrameLocks/>
            </wp:cNvGraphicFramePr>
            <a:graphic>
              <a:graphicData uri="http://schemas.openxmlformats.org/drawingml/2006/picture">
                <pic:pic>
                  <pic:nvPicPr>
                    <pic:cNvPr id="3120" name="Image 3120"/>
                    <pic:cNvPicPr/>
                  </pic:nvPicPr>
                  <pic:blipFill>
                    <a:blip r:embed="rId468"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RTEMS Newer </w:t>
      </w:r>
      <w:r>
        <w:rPr>
          <w:color w:val="231F20"/>
        </w:rPr>
        <w:t>indicates that a remote monitoring server </w:t>
      </w:r>
      <w:r>
        <w:rPr>
          <w:color w:val="231F20"/>
        </w:rPr>
        <w:t>was updated more recently than the hub monitoring server.</w:t>
      </w:r>
    </w:p>
    <w:p>
      <w:pPr>
        <w:pStyle w:val="BodyText"/>
        <w:spacing w:line="208" w:lineRule="auto" w:before="69"/>
        <w:ind w:left="3490" w:right="545"/>
      </w:pPr>
      <w:r>
        <w:rPr/>
        <w:drawing>
          <wp:inline distT="0" distB="0" distL="0" distR="0">
            <wp:extent cx="82550" cy="82550"/>
            <wp:effectExtent l="0" t="0" r="0" b="0"/>
            <wp:docPr id="3121" name="Image 3121"/>
            <wp:cNvGraphicFramePr>
              <a:graphicFrameLocks/>
            </wp:cNvGraphicFramePr>
            <a:graphic>
              <a:graphicData uri="http://schemas.openxmlformats.org/drawingml/2006/picture">
                <pic:pic>
                  <pic:nvPicPr>
                    <pic:cNvPr id="3121" name="Image 3121"/>
                    <pic:cNvPicPr/>
                  </pic:nvPicPr>
                  <pic:blipFill>
                    <a:blip r:embed="rId469" cstate="print"/>
                    <a:stretch>
                      <a:fillRect/>
                    </a:stretch>
                  </pic:blipFill>
                  <pic:spPr>
                    <a:xfrm>
                      <a:off x="0" y="0"/>
                      <a:ext cx="82550" cy="82550"/>
                    </a:xfrm>
                    <a:prstGeom prst="rect">
                      <a:avLst/>
                    </a:prstGeom>
                  </pic:spPr>
                </pic:pic>
              </a:graphicData>
            </a:graphic>
          </wp:inline>
        </w:drawing>
      </w:r>
      <w:r>
        <w:rPr/>
      </w:r>
      <w:r>
        <w:rPr>
          <w:rFonts w:ascii="Times New Roman"/>
          <w:spacing w:val="40"/>
        </w:rPr>
        <w:t> </w:t>
      </w:r>
      <w:r>
        <w:rPr>
          <w:rFonts w:ascii="Book Antiqua"/>
          <w:b/>
          <w:color w:val="231F20"/>
        </w:rPr>
        <w:t>Missing At Hub </w:t>
      </w:r>
      <w:r>
        <w:rPr>
          <w:color w:val="231F20"/>
        </w:rPr>
        <w:t>indicates that the catalog ID that is present on </w:t>
      </w:r>
      <w:r>
        <w:rPr>
          <w:color w:val="231F20"/>
        </w:rPr>
        <w:t>a remote monitoring server is missing at the hub monitoring server.</w:t>
      </w:r>
    </w:p>
    <w:p>
      <w:pPr>
        <w:pStyle w:val="BodyText"/>
        <w:spacing w:line="213" w:lineRule="auto" w:before="120"/>
        <w:ind w:left="3190" w:right="385"/>
      </w:pPr>
      <w:r>
        <w:rPr>
          <w:color w:val="231F20"/>
        </w:rPr>
        <w:t>Typically, the hub and remote monitoring servers have similar or an identical set of catalogs. If any of the following catalogs are missing at the hub, it is most likely not a problem (especially if this is a distributed hub): PDSSTATS, OMSMS, KSD, and MV.</w:t>
      </w:r>
    </w:p>
    <w:p>
      <w:pPr>
        <w:pStyle w:val="Heading6"/>
        <w:spacing w:before="116"/>
      </w:pPr>
      <w:r>
        <w:rPr>
          <w:color w:val="231F20"/>
        </w:rPr>
        <w:t>Manage</w:t>
      </w:r>
      <w:r>
        <w:rPr>
          <w:color w:val="231F20"/>
          <w:spacing w:val="7"/>
        </w:rPr>
        <w:t> </w:t>
      </w:r>
      <w:r>
        <w:rPr>
          <w:color w:val="231F20"/>
        </w:rPr>
        <w:t>Tivoli</w:t>
      </w:r>
      <w:r>
        <w:rPr>
          <w:color w:val="231F20"/>
          <w:spacing w:val="8"/>
        </w:rPr>
        <w:t> </w:t>
      </w:r>
      <w:r>
        <w:rPr>
          <w:color w:val="231F20"/>
        </w:rPr>
        <w:t>Enterprise</w:t>
      </w:r>
      <w:r>
        <w:rPr>
          <w:color w:val="231F20"/>
          <w:spacing w:val="7"/>
        </w:rPr>
        <w:t> </w:t>
      </w:r>
      <w:r>
        <w:rPr>
          <w:color w:val="231F20"/>
        </w:rPr>
        <w:t>Monitoring</w:t>
      </w:r>
      <w:r>
        <w:rPr>
          <w:color w:val="231F20"/>
          <w:spacing w:val="8"/>
        </w:rPr>
        <w:t> </w:t>
      </w:r>
      <w:r>
        <w:rPr>
          <w:color w:val="231F20"/>
        </w:rPr>
        <w:t>Servers</w:t>
      </w:r>
      <w:r>
        <w:rPr>
          <w:color w:val="231F20"/>
          <w:spacing w:val="7"/>
        </w:rPr>
        <w:t> </w:t>
      </w:r>
      <w:r>
        <w:rPr>
          <w:color w:val="231F20"/>
        </w:rPr>
        <w:t>-</w:t>
      </w:r>
      <w:r>
        <w:rPr>
          <w:color w:val="231F20"/>
          <w:spacing w:val="8"/>
        </w:rPr>
        <w:t> </w:t>
      </w:r>
      <w:r>
        <w:rPr>
          <w:color w:val="231F20"/>
        </w:rPr>
        <w:t>Installed</w:t>
      </w:r>
      <w:r>
        <w:rPr>
          <w:color w:val="231F20"/>
          <w:spacing w:val="7"/>
        </w:rPr>
        <w:t> </w:t>
      </w:r>
      <w:r>
        <w:rPr>
          <w:color w:val="231F20"/>
          <w:spacing w:val="-2"/>
        </w:rPr>
        <w:t>Catalogs</w:t>
      </w:r>
    </w:p>
    <w:p>
      <w:pPr>
        <w:pStyle w:val="BodyText"/>
        <w:spacing w:line="213" w:lineRule="auto" w:before="11"/>
        <w:ind w:left="3190" w:right="379"/>
      </w:pPr>
      <w:r>
        <w:rPr>
          <w:color w:val="231F20"/>
        </w:rPr>
        <w:t>This workspace is displayed after you select the </w:t>
      </w:r>
      <w:r>
        <w:rPr>
          <w:rFonts w:ascii="Book Antiqua"/>
          <w:b/>
          <w:color w:val="231F20"/>
        </w:rPr>
        <w:t>Installed Catalogs </w:t>
      </w:r>
      <w:r>
        <w:rPr>
          <w:color w:val="231F20"/>
        </w:rPr>
        <w:t>link from a remote monitoring server. The Remote Server shows a </w:t>
      </w:r>
      <w:r>
        <w:rPr>
          <w:color w:val="231F20"/>
        </w:rPr>
        <w:t>comparison of the application catalogs that are installed on the selected Remote Tivoli Enterprise Monitoring Server with those on the hub monitoring server.</w:t>
      </w:r>
    </w:p>
    <w:p>
      <w:pPr>
        <w:pStyle w:val="BodyText"/>
        <w:spacing w:line="213" w:lineRule="auto"/>
        <w:ind w:left="3190" w:right="493"/>
      </w:pPr>
      <w:r>
        <w:rPr>
          <w:color w:val="231F20"/>
        </w:rPr>
        <w:t>Here you can get a report of catalog out-of-sync conditions. The </w:t>
      </w:r>
      <w:r>
        <w:rPr>
          <w:color w:val="231F20"/>
        </w:rPr>
        <w:t>“Status” column has the same values as those shown in the Manage Tivoli Enterprise Monitoring Servers - Enterprise Catalogs workspace.</w:t>
      </w:r>
    </w:p>
    <w:p>
      <w:pPr>
        <w:pStyle w:val="BodyText"/>
        <w:spacing w:line="213" w:lineRule="auto" w:before="115"/>
        <w:ind w:left="3190" w:right="545"/>
      </w:pPr>
      <w:r>
        <w:rPr>
          <w:color w:val="231F20"/>
        </w:rPr>
        <w:t>The link to this workspace is available to all remote monitoring </w:t>
      </w:r>
      <w:r>
        <w:rPr>
          <w:color w:val="231F20"/>
        </w:rPr>
        <w:t>servers, but not the hub.</w:t>
      </w:r>
    </w:p>
    <w:p>
      <w:pPr>
        <w:pStyle w:val="Heading6"/>
        <w:spacing w:before="118"/>
      </w:pPr>
      <w:r>
        <w:rPr>
          <w:color w:val="231F20"/>
        </w:rPr>
        <w:t>Manage</w:t>
      </w:r>
      <w:r>
        <w:rPr>
          <w:color w:val="231F20"/>
          <w:spacing w:val="7"/>
        </w:rPr>
        <w:t> </w:t>
      </w:r>
      <w:r>
        <w:rPr>
          <w:color w:val="231F20"/>
        </w:rPr>
        <w:t>Tivoli</w:t>
      </w:r>
      <w:r>
        <w:rPr>
          <w:color w:val="231F20"/>
          <w:spacing w:val="7"/>
        </w:rPr>
        <w:t> </w:t>
      </w:r>
      <w:r>
        <w:rPr>
          <w:color w:val="231F20"/>
        </w:rPr>
        <w:t>Enterprise</w:t>
      </w:r>
      <w:r>
        <w:rPr>
          <w:color w:val="231F20"/>
          <w:spacing w:val="8"/>
        </w:rPr>
        <w:t> </w:t>
      </w:r>
      <w:r>
        <w:rPr>
          <w:color w:val="231F20"/>
        </w:rPr>
        <w:t>Monitoring</w:t>
      </w:r>
      <w:r>
        <w:rPr>
          <w:color w:val="231F20"/>
          <w:spacing w:val="7"/>
        </w:rPr>
        <w:t> </w:t>
      </w:r>
      <w:r>
        <w:rPr>
          <w:color w:val="231F20"/>
        </w:rPr>
        <w:t>Servers</w:t>
      </w:r>
      <w:r>
        <w:rPr>
          <w:color w:val="231F20"/>
          <w:spacing w:val="8"/>
        </w:rPr>
        <w:t> </w:t>
      </w:r>
      <w:r>
        <w:rPr>
          <w:color w:val="231F20"/>
        </w:rPr>
        <w:t>-</w:t>
      </w:r>
      <w:r>
        <w:rPr>
          <w:color w:val="231F20"/>
          <w:spacing w:val="7"/>
        </w:rPr>
        <w:t> </w:t>
      </w:r>
      <w:r>
        <w:rPr>
          <w:color w:val="231F20"/>
          <w:spacing w:val="-2"/>
        </w:rPr>
        <w:t>Protocols</w:t>
      </w:r>
    </w:p>
    <w:p>
      <w:pPr>
        <w:pStyle w:val="BodyText"/>
        <w:spacing w:line="213" w:lineRule="auto" w:before="11"/>
        <w:ind w:left="3190" w:right="313"/>
      </w:pPr>
      <w:r>
        <w:rPr>
          <w:color w:val="231F20"/>
        </w:rPr>
        <w:t>This workspace is displayed after you select the </w:t>
      </w:r>
      <w:r>
        <w:rPr>
          <w:rFonts w:ascii="Book Antiqua"/>
          <w:b/>
          <w:color w:val="231F20"/>
        </w:rPr>
        <w:t>Protocols </w:t>
      </w:r>
      <w:r>
        <w:rPr>
          <w:color w:val="231F20"/>
        </w:rPr>
        <w:t>link. The workspace shows the Local and Global Communications Protocol </w:t>
      </w:r>
      <w:r>
        <w:rPr>
          <w:color w:val="231F20"/>
        </w:rPr>
        <w:t>(location broker) entries for the monitoring server. These are the definitions that</w:t>
      </w:r>
      <w:r>
        <w:rPr>
          <w:color w:val="231F20"/>
          <w:spacing w:val="80"/>
        </w:rPr>
        <w:t> </w:t>
      </w:r>
      <w:r>
        <w:rPr>
          <w:color w:val="231F20"/>
        </w:rPr>
        <w:t>were created during installation for connection between components, such as the protocol, IP address, and port number. The global communications protocol entries are available only for the hub monitoring server. This workspace is available only for monitoring servers that are at Version 6.2.2 or later.</w:t>
      </w:r>
    </w:p>
    <w:p>
      <w:pPr>
        <w:pStyle w:val="Heading6"/>
        <w:spacing w:before="113"/>
      </w:pPr>
      <w:r>
        <w:rPr>
          <w:color w:val="231F20"/>
        </w:rPr>
        <w:t>Manage</w:t>
      </w:r>
      <w:r>
        <w:rPr>
          <w:color w:val="231F20"/>
          <w:spacing w:val="7"/>
        </w:rPr>
        <w:t> </w:t>
      </w:r>
      <w:r>
        <w:rPr>
          <w:color w:val="231F20"/>
        </w:rPr>
        <w:t>Tivoli</w:t>
      </w:r>
      <w:r>
        <w:rPr>
          <w:color w:val="231F20"/>
          <w:spacing w:val="7"/>
        </w:rPr>
        <w:t> </w:t>
      </w:r>
      <w:r>
        <w:rPr>
          <w:color w:val="231F20"/>
        </w:rPr>
        <w:t>Enterprise</w:t>
      </w:r>
      <w:r>
        <w:rPr>
          <w:color w:val="231F20"/>
          <w:spacing w:val="8"/>
        </w:rPr>
        <w:t> </w:t>
      </w:r>
      <w:r>
        <w:rPr>
          <w:color w:val="231F20"/>
        </w:rPr>
        <w:t>Monitoring</w:t>
      </w:r>
      <w:r>
        <w:rPr>
          <w:color w:val="231F20"/>
          <w:spacing w:val="7"/>
        </w:rPr>
        <w:t> </w:t>
      </w:r>
      <w:r>
        <w:rPr>
          <w:color w:val="231F20"/>
        </w:rPr>
        <w:t>Servers</w:t>
      </w:r>
      <w:r>
        <w:rPr>
          <w:color w:val="231F20"/>
          <w:spacing w:val="8"/>
        </w:rPr>
        <w:t> </w:t>
      </w:r>
      <w:r>
        <w:rPr>
          <w:color w:val="231F20"/>
        </w:rPr>
        <w:t>-</w:t>
      </w:r>
      <w:r>
        <w:rPr>
          <w:color w:val="231F20"/>
          <w:spacing w:val="7"/>
        </w:rPr>
        <w:t> </w:t>
      </w:r>
      <w:r>
        <w:rPr>
          <w:color w:val="231F20"/>
        </w:rPr>
        <w:t>Situation</w:t>
      </w:r>
      <w:r>
        <w:rPr>
          <w:color w:val="231F20"/>
          <w:spacing w:val="8"/>
        </w:rPr>
        <w:t> </w:t>
      </w:r>
      <w:r>
        <w:rPr>
          <w:color w:val="231F20"/>
          <w:spacing w:val="-2"/>
        </w:rPr>
        <w:t>Status</w:t>
      </w:r>
    </w:p>
    <w:p>
      <w:pPr>
        <w:pStyle w:val="BodyText"/>
        <w:spacing w:line="213" w:lineRule="auto" w:before="11"/>
        <w:ind w:left="3190" w:right="385"/>
      </w:pPr>
      <w:r>
        <w:rPr>
          <w:color w:val="231F20"/>
        </w:rPr>
        <w:t>This workspace is displayed after you select the </w:t>
      </w:r>
      <w:r>
        <w:rPr>
          <w:rFonts w:ascii="Book Antiqua"/>
          <w:b/>
          <w:color w:val="231F20"/>
        </w:rPr>
        <w:t>Situation Status </w:t>
      </w:r>
      <w:r>
        <w:rPr>
          <w:color w:val="231F20"/>
        </w:rPr>
        <w:t>link. </w:t>
      </w:r>
      <w:r>
        <w:rPr>
          <w:color w:val="231F20"/>
        </w:rPr>
        <w:t>The workspace reports the situations that are started on the monitoring server and has summarized and detailed views of the situations that count the number of times the status type has persisted on the monitoring server.</w:t>
      </w:r>
    </w:p>
    <w:p>
      <w:pPr>
        <w:pStyle w:val="Heading6"/>
        <w:spacing w:before="116"/>
      </w:pPr>
      <w:r>
        <w:rPr>
          <w:color w:val="231F20"/>
        </w:rPr>
        <w:t>Manage</w:t>
      </w:r>
      <w:r>
        <w:rPr>
          <w:color w:val="231F20"/>
          <w:spacing w:val="7"/>
        </w:rPr>
        <w:t> </w:t>
      </w:r>
      <w:r>
        <w:rPr>
          <w:color w:val="231F20"/>
        </w:rPr>
        <w:t>Tivoli</w:t>
      </w:r>
      <w:r>
        <w:rPr>
          <w:color w:val="231F20"/>
          <w:spacing w:val="8"/>
        </w:rPr>
        <w:t> </w:t>
      </w:r>
      <w:r>
        <w:rPr>
          <w:color w:val="231F20"/>
        </w:rPr>
        <w:t>Enterprise</w:t>
      </w:r>
      <w:r>
        <w:rPr>
          <w:color w:val="231F20"/>
          <w:spacing w:val="8"/>
        </w:rPr>
        <w:t> </w:t>
      </w:r>
      <w:r>
        <w:rPr>
          <w:color w:val="231F20"/>
        </w:rPr>
        <w:t>Monitoring</w:t>
      </w:r>
      <w:r>
        <w:rPr>
          <w:color w:val="231F20"/>
          <w:spacing w:val="7"/>
        </w:rPr>
        <w:t> </w:t>
      </w:r>
      <w:r>
        <w:rPr>
          <w:color w:val="231F20"/>
        </w:rPr>
        <w:t>Servers</w:t>
      </w:r>
      <w:r>
        <w:rPr>
          <w:color w:val="231F20"/>
          <w:spacing w:val="8"/>
        </w:rPr>
        <w:t> </w:t>
      </w:r>
      <w:r>
        <w:rPr>
          <w:color w:val="231F20"/>
        </w:rPr>
        <w:t>-</w:t>
      </w:r>
      <w:r>
        <w:rPr>
          <w:color w:val="231F20"/>
          <w:spacing w:val="8"/>
        </w:rPr>
        <w:t> </w:t>
      </w:r>
      <w:r>
        <w:rPr>
          <w:color w:val="231F20"/>
        </w:rPr>
        <w:t>System</w:t>
      </w:r>
      <w:r>
        <w:rPr>
          <w:color w:val="231F20"/>
          <w:spacing w:val="8"/>
        </w:rPr>
        <w:t> </w:t>
      </w:r>
      <w:r>
        <w:rPr>
          <w:color w:val="231F20"/>
          <w:spacing w:val="-2"/>
        </w:rPr>
        <w:t>Information</w:t>
      </w:r>
    </w:p>
    <w:p>
      <w:pPr>
        <w:pStyle w:val="BodyText"/>
        <w:spacing w:line="213" w:lineRule="auto" w:before="11"/>
        <w:ind w:left="3190" w:right="385" w:hanging="1"/>
      </w:pPr>
      <w:r>
        <w:rPr>
          <w:color w:val="231F20"/>
        </w:rPr>
        <w:t>This workspace is displayed after you select the </w:t>
      </w:r>
      <w:r>
        <w:rPr>
          <w:rFonts w:ascii="Book Antiqua"/>
          <w:b/>
          <w:color w:val="231F20"/>
        </w:rPr>
        <w:t>System Information </w:t>
      </w:r>
      <w:r>
        <w:rPr>
          <w:color w:val="231F20"/>
        </w:rPr>
        <w:t>link. The workspace supplies detailed information about the monitoring server process and system configuration. It is available for monitoring servers from Version 6.2.2 onward. The Server Configuration view shows the parameters that have been configured for the monitoring server.</w:t>
      </w:r>
    </w:p>
    <w:p>
      <w:pPr>
        <w:pStyle w:val="BodyText"/>
        <w:spacing w:line="213" w:lineRule="auto" w:before="237"/>
        <w:ind w:left="2472" w:right="274"/>
      </w:pPr>
      <w:r>
        <w:rPr>
          <w:color w:val="231F20"/>
        </w:rPr>
        <w:t>These subordinate workspaces are available only through their parent Manage</w:t>
      </w:r>
      <w:r>
        <w:rPr>
          <w:color w:val="231F20"/>
          <w:spacing w:val="40"/>
        </w:rPr>
        <w:t> </w:t>
      </w:r>
      <w:r>
        <w:rPr>
          <w:color w:val="231F20"/>
        </w:rPr>
        <w:t>Tivoli Enterprise Monitoring Servers workspace. (The exception is when you are </w:t>
      </w:r>
      <w:r>
        <w:rPr>
          <w:color w:val="231F20"/>
        </w:rPr>
        <w:t>in workspace administration mode, although no data is returned if you access the </w:t>
      </w:r>
      <w:bookmarkStart w:name="Manage Tivoli Enterprise Monitoring Serv" w:id="628"/>
      <w:bookmarkEnd w:id="628"/>
      <w:r>
        <w:rPr>
          <w:color w:val="231F20"/>
        </w:rPr>
        <w:t>workspaces</w:t>
      </w:r>
      <w:r>
        <w:rPr>
          <w:color w:val="231F20"/>
        </w:rPr>
        <w:t> directly.)</w:t>
      </w:r>
    </w:p>
    <w:p>
      <w:pPr>
        <w:pStyle w:val="Heading3"/>
        <w:spacing w:before="215"/>
        <w:ind w:left="751" w:right="538"/>
        <w:jc w:val="center"/>
      </w:pPr>
      <w:r>
        <w:rPr>
          <w:color w:val="231F20"/>
        </w:rPr>
        <w:t>Manage</w:t>
      </w:r>
      <w:r>
        <w:rPr>
          <w:color w:val="231F20"/>
          <w:spacing w:val="3"/>
        </w:rPr>
        <w:t> </w:t>
      </w:r>
      <w:r>
        <w:rPr>
          <w:color w:val="231F20"/>
        </w:rPr>
        <w:t>Tivoli</w:t>
      </w:r>
      <w:r>
        <w:rPr>
          <w:color w:val="231F20"/>
          <w:spacing w:val="3"/>
        </w:rPr>
        <w:t> </w:t>
      </w:r>
      <w:r>
        <w:rPr>
          <w:color w:val="231F20"/>
        </w:rPr>
        <w:t>Enterprise</w:t>
      </w:r>
      <w:r>
        <w:rPr>
          <w:color w:val="231F20"/>
          <w:spacing w:val="3"/>
        </w:rPr>
        <w:t> </w:t>
      </w:r>
      <w:r>
        <w:rPr>
          <w:color w:val="231F20"/>
        </w:rPr>
        <w:t>Monitoring</w:t>
      </w:r>
      <w:r>
        <w:rPr>
          <w:color w:val="231F20"/>
          <w:spacing w:val="3"/>
        </w:rPr>
        <w:t> </w:t>
      </w:r>
      <w:r>
        <w:rPr>
          <w:color w:val="231F20"/>
        </w:rPr>
        <w:t>Server</w:t>
      </w:r>
      <w:r>
        <w:rPr>
          <w:color w:val="231F20"/>
          <w:spacing w:val="3"/>
        </w:rPr>
        <w:t> </w:t>
      </w:r>
      <w:r>
        <w:rPr>
          <w:color w:val="231F20"/>
          <w:spacing w:val="-2"/>
        </w:rPr>
        <w:t>situations</w:t>
      </w:r>
    </w:p>
    <w:p>
      <w:pPr>
        <w:pStyle w:val="BodyText"/>
        <w:spacing w:line="213" w:lineRule="auto" w:before="59"/>
        <w:ind w:left="2472"/>
      </w:pPr>
      <w:r>
        <w:rPr>
          <w:color w:val="231F20"/>
        </w:rPr>
        <w:t>The Manage Tivoli Enterprise Monitoring Server predefined situations are used </w:t>
      </w:r>
      <w:r>
        <w:rPr>
          <w:color w:val="231F20"/>
        </w:rPr>
        <w:t>to monitor the status of the monitoring server catalogs.</w:t>
      </w:r>
    </w:p>
    <w:p>
      <w:pPr>
        <w:pStyle w:val="BodyText"/>
        <w:spacing w:line="213" w:lineRule="auto" w:before="238"/>
        <w:ind w:left="2472" w:right="545"/>
      </w:pPr>
      <w:r>
        <w:rPr>
          <w:color w:val="231F20"/>
        </w:rPr>
        <w:t>These situations monitor the status of the Tivoli Enterprise Monitoring </w:t>
      </w:r>
      <w:r>
        <w:rPr>
          <w:color w:val="231F20"/>
        </w:rPr>
        <w:t>Server </w:t>
      </w:r>
      <w:r>
        <w:rPr>
          <w:color w:val="231F20"/>
          <w:spacing w:val="-2"/>
        </w:rPr>
        <w:t>catalogs:</w:t>
      </w:r>
    </w:p>
    <w:p>
      <w:pPr>
        <w:pStyle w:val="Heading6"/>
      </w:pPr>
      <w:r>
        <w:rPr>
          <w:color w:val="231F20"/>
          <w:spacing w:val="-2"/>
        </w:rPr>
        <w:t>Hub_Catalog_Critical</w:t>
      </w:r>
    </w:p>
    <w:p>
      <w:pPr>
        <w:pStyle w:val="BodyText"/>
        <w:spacing w:line="258" w:lineRule="exact"/>
        <w:ind w:left="3190"/>
      </w:pPr>
      <w:r>
        <w:rPr>
          <w:color w:val="231F20"/>
        </w:rPr>
        <w:t>This</w:t>
      </w:r>
      <w:r>
        <w:rPr>
          <w:color w:val="231F20"/>
          <w:spacing w:val="11"/>
        </w:rPr>
        <w:t> </w:t>
      </w:r>
      <w:r>
        <w:rPr>
          <w:color w:val="231F20"/>
        </w:rPr>
        <w:t>situation</w:t>
      </w:r>
      <w:r>
        <w:rPr>
          <w:color w:val="231F20"/>
          <w:spacing w:val="11"/>
        </w:rPr>
        <w:t> </w:t>
      </w:r>
      <w:r>
        <w:rPr>
          <w:color w:val="231F20"/>
        </w:rPr>
        <w:t>becomes</w:t>
      </w:r>
      <w:r>
        <w:rPr>
          <w:color w:val="231F20"/>
          <w:spacing w:val="12"/>
        </w:rPr>
        <w:t> </w:t>
      </w:r>
      <w:r>
        <w:rPr>
          <w:color w:val="231F20"/>
        </w:rPr>
        <w:t>true</w:t>
      </w:r>
      <w:r>
        <w:rPr>
          <w:color w:val="231F20"/>
          <w:spacing w:val="11"/>
        </w:rPr>
        <w:t> </w:t>
      </w:r>
      <w:r>
        <w:rPr>
          <w:color w:val="231F20"/>
        </w:rPr>
        <w:t>and</w:t>
      </w:r>
      <w:r>
        <w:rPr>
          <w:color w:val="231F20"/>
          <w:spacing w:val="12"/>
        </w:rPr>
        <w:t> </w:t>
      </w:r>
      <w:r>
        <w:rPr>
          <w:color w:val="231F20"/>
        </w:rPr>
        <w:t>an</w:t>
      </w:r>
      <w:r>
        <w:rPr>
          <w:color w:val="231F20"/>
          <w:spacing w:val="11"/>
        </w:rPr>
        <w:t> </w:t>
      </w:r>
      <w:r>
        <w:rPr>
          <w:color w:val="231F20"/>
        </w:rPr>
        <w:t>event</w:t>
      </w:r>
      <w:r>
        <w:rPr>
          <w:color w:val="231F20"/>
          <w:spacing w:val="11"/>
        </w:rPr>
        <w:t> </w:t>
      </w:r>
      <w:r>
        <w:rPr>
          <w:color w:val="231F20"/>
        </w:rPr>
        <w:t>is</w:t>
      </w:r>
      <w:r>
        <w:rPr>
          <w:color w:val="231F20"/>
          <w:spacing w:val="12"/>
        </w:rPr>
        <w:t> </w:t>
      </w:r>
      <w:r>
        <w:rPr>
          <w:color w:val="231F20"/>
        </w:rPr>
        <w:t>opened</w:t>
      </w:r>
      <w:r>
        <w:rPr>
          <w:color w:val="231F20"/>
          <w:spacing w:val="11"/>
        </w:rPr>
        <w:t> </w:t>
      </w:r>
      <w:r>
        <w:rPr>
          <w:color w:val="231F20"/>
        </w:rPr>
        <w:t>when</w:t>
      </w:r>
      <w:r>
        <w:rPr>
          <w:color w:val="231F20"/>
          <w:spacing w:val="12"/>
        </w:rPr>
        <w:t> </w:t>
      </w:r>
      <w:r>
        <w:rPr>
          <w:color w:val="231F20"/>
        </w:rPr>
        <w:t>an</w:t>
      </w:r>
      <w:r>
        <w:rPr>
          <w:color w:val="231F20"/>
          <w:spacing w:val="11"/>
        </w:rPr>
        <w:t> </w:t>
      </w:r>
      <w:r>
        <w:rPr>
          <w:color w:val="231F20"/>
          <w:spacing w:val="-2"/>
        </w:rPr>
        <w:t>application</w:t>
      </w:r>
    </w:p>
    <w:p>
      <w:pPr>
        <w:spacing w:after="0" w:line="258" w:lineRule="exact"/>
        <w:sectPr>
          <w:pgSz w:w="12240" w:h="15840"/>
          <w:pgMar w:header="0" w:footer="736" w:top="1180" w:bottom="920" w:left="1000" w:right="1060"/>
        </w:sectPr>
      </w:pPr>
    </w:p>
    <w:p>
      <w:pPr>
        <w:pStyle w:val="BodyText"/>
        <w:spacing w:line="213" w:lineRule="auto" w:before="85"/>
        <w:ind w:left="2951" w:right="545"/>
      </w:pPr>
      <w:bookmarkStart w:name="_bookmark306" w:id="629"/>
      <w:bookmarkEnd w:id="629"/>
      <w:r>
        <w:rPr/>
      </w:r>
      <w:r>
        <w:rPr>
          <w:color w:val="231F20"/>
        </w:rPr>
        <w:t>catalog that is installed at a remote monitoring server is </w:t>
      </w:r>
      <w:r>
        <w:rPr>
          <w:rFonts w:ascii="Book Antiqua"/>
          <w:i/>
          <w:color w:val="231F20"/>
        </w:rPr>
        <w:t>not </w:t>
      </w:r>
      <w:r>
        <w:rPr>
          <w:color w:val="231F20"/>
        </w:rPr>
        <w:t>installed at </w:t>
      </w:r>
      <w:r>
        <w:rPr>
          <w:color w:val="231F20"/>
        </w:rPr>
        <w:t>the hub monitoring server. This can happen when application support has not been selected for the hub during installation. Default: Do not </w:t>
      </w:r>
      <w:r>
        <w:rPr>
          <w:color w:val="231F20"/>
          <w:spacing w:val="15"/>
        </w:rPr>
        <w:drawing>
          <wp:inline distT="0" distB="0" distL="0" distR="0">
            <wp:extent cx="82550" cy="82550"/>
            <wp:effectExtent l="0" t="0" r="0" b="0"/>
            <wp:docPr id="3122" name="Image 3122"/>
            <wp:cNvGraphicFramePr>
              <a:graphicFrameLocks/>
            </wp:cNvGraphicFramePr>
            <a:graphic>
              <a:graphicData uri="http://schemas.openxmlformats.org/drawingml/2006/picture">
                <pic:pic>
                  <pic:nvPicPr>
                    <pic:cNvPr id="3122" name="Image 3122"/>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23" name="Image 3123"/>
            <wp:cNvGraphicFramePr>
              <a:graphicFrameLocks/>
            </wp:cNvGraphicFramePr>
            <a:graphic>
              <a:graphicData uri="http://schemas.openxmlformats.org/drawingml/2006/picture">
                <pic:pic>
                  <pic:nvPicPr>
                    <pic:cNvPr id="3123" name="Image 3123"/>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0"/>
        <w:ind w:left="2951" w:right="0" w:firstLine="0"/>
        <w:jc w:val="left"/>
        <w:rPr>
          <w:rFonts w:ascii="Arial" w:hAnsi="Arial"/>
          <w:sz w:val="18"/>
        </w:rPr>
      </w:pPr>
      <w:r>
        <w:rPr>
          <w:rFonts w:ascii="Arial" w:hAnsi="Arial"/>
          <w:color w:val="231F20"/>
          <w:w w:val="120"/>
          <w:sz w:val="18"/>
        </w:rPr>
        <w:t>(</w:t>
      </w:r>
      <w:r>
        <w:rPr>
          <w:rFonts w:ascii="Arial" w:hAnsi="Arial"/>
          <w:color w:val="231F20"/>
          <w:spacing w:val="23"/>
          <w:w w:val="120"/>
          <w:sz w:val="18"/>
        </w:rPr>
        <w:t> </w:t>
      </w:r>
      <w:r>
        <w:rPr>
          <w:rFonts w:ascii="Arial" w:hAnsi="Arial"/>
          <w:color w:val="231F20"/>
          <w:sz w:val="18"/>
        </w:rPr>
        <w:t>Status</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z w:val="18"/>
        </w:rPr>
        <w:t>Missing</w:t>
      </w:r>
      <w:r>
        <w:rPr>
          <w:rFonts w:ascii="Arial" w:hAnsi="Arial"/>
          <w:color w:val="231F20"/>
          <w:spacing w:val="33"/>
          <w:sz w:val="18"/>
        </w:rPr>
        <w:t> </w:t>
      </w:r>
      <w:r>
        <w:rPr>
          <w:rFonts w:ascii="Arial" w:hAnsi="Arial"/>
          <w:color w:val="231F20"/>
          <w:sz w:val="18"/>
        </w:rPr>
        <w:t>At</w:t>
      </w:r>
      <w:r>
        <w:rPr>
          <w:rFonts w:ascii="Arial" w:hAnsi="Arial"/>
          <w:color w:val="231F20"/>
          <w:spacing w:val="34"/>
          <w:sz w:val="18"/>
        </w:rPr>
        <w:t> </w:t>
      </w:r>
      <w:r>
        <w:rPr>
          <w:rFonts w:ascii="Arial" w:hAnsi="Arial"/>
          <w:color w:val="231F20"/>
          <w:sz w:val="18"/>
        </w:rPr>
        <w:t>Hub)</w:t>
      </w:r>
      <w:r>
        <w:rPr>
          <w:rFonts w:ascii="Arial" w:hAnsi="Arial"/>
          <w:color w:val="231F20"/>
          <w:spacing w:val="33"/>
          <w:sz w:val="18"/>
        </w:rPr>
        <w:t> </w:t>
      </w:r>
      <w:r>
        <w:rPr>
          <w:rFonts w:ascii="Arial" w:hAnsi="Arial"/>
          <w:color w:val="231F20"/>
          <w:sz w:val="18"/>
        </w:rPr>
        <w:t>AND</w:t>
      </w:r>
      <w:r>
        <w:rPr>
          <w:rFonts w:ascii="Arial" w:hAnsi="Arial"/>
          <w:color w:val="231F20"/>
          <w:spacing w:val="34"/>
          <w:sz w:val="18"/>
        </w:rPr>
        <w:t> </w:t>
      </w:r>
      <w:r>
        <w:rPr>
          <w:rFonts w:ascii="Arial" w:hAnsi="Arial"/>
          <w:color w:val="231F20"/>
          <w:sz w:val="18"/>
        </w:rPr>
        <w:t>(Catalog</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pacing w:val="-2"/>
          <w:sz w:val="18"/>
        </w:rPr>
        <w:t>’PDSSTATS’)</w:t>
      </w:r>
    </w:p>
    <w:p>
      <w:pPr>
        <w:pStyle w:val="Heading6"/>
        <w:spacing w:before="128"/>
        <w:ind w:left="2232"/>
      </w:pPr>
      <w:r>
        <w:rPr>
          <w:color w:val="231F20"/>
          <w:spacing w:val="-2"/>
        </w:rPr>
        <w:t>Hub_Catalog_Warning</w:t>
      </w:r>
    </w:p>
    <w:p>
      <w:pPr>
        <w:pStyle w:val="BodyText"/>
        <w:spacing w:line="213" w:lineRule="auto" w:before="11"/>
        <w:ind w:left="2951" w:right="636"/>
      </w:pPr>
      <w:r>
        <w:rPr>
          <w:color w:val="231F20"/>
        </w:rPr>
        <w:t>This situation becomes true and an event is opened when an application catalog that is installed at a remote monitoring server is newer than </w:t>
      </w:r>
      <w:r>
        <w:rPr>
          <w:color w:val="231F20"/>
        </w:rPr>
        <w:t>what</w:t>
      </w:r>
      <w:r>
        <w:rPr>
          <w:color w:val="231F20"/>
          <w:spacing w:val="40"/>
        </w:rPr>
        <w:t> </w:t>
      </w:r>
      <w:r>
        <w:rPr>
          <w:color w:val="231F20"/>
        </w:rPr>
        <w:t>is installed at the hub monitoring server. This is a warning that the application support for the component is out of date. This might not be a problem if the hub has not been upgraded yet. Default: Do not </w:t>
      </w:r>
      <w:r>
        <w:rPr>
          <w:color w:val="231F20"/>
          <w:spacing w:val="15"/>
        </w:rPr>
        <w:drawing>
          <wp:inline distT="0" distB="0" distL="0" distR="0">
            <wp:extent cx="82550" cy="82550"/>
            <wp:effectExtent l="0" t="0" r="0" b="0"/>
            <wp:docPr id="3124" name="Image 3124"/>
            <wp:cNvGraphicFramePr>
              <a:graphicFrameLocks/>
            </wp:cNvGraphicFramePr>
            <a:graphic>
              <a:graphicData uri="http://schemas.openxmlformats.org/drawingml/2006/picture">
                <pic:pic>
                  <pic:nvPicPr>
                    <pic:cNvPr id="3124" name="Image 3124"/>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25" name="Image 3125"/>
            <wp:cNvGraphicFramePr>
              <a:graphicFrameLocks/>
            </wp:cNvGraphicFramePr>
            <a:graphic>
              <a:graphicData uri="http://schemas.openxmlformats.org/drawingml/2006/picture">
                <pic:pic>
                  <pic:nvPicPr>
                    <pic:cNvPr id="3125" name="Image 3125"/>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59"/>
        <w:ind w:left="2951" w:right="0" w:firstLine="0"/>
        <w:jc w:val="left"/>
        <w:rPr>
          <w:rFonts w:ascii="Arial"/>
          <w:sz w:val="18"/>
        </w:rPr>
      </w:pPr>
      <w:r>
        <w:rPr>
          <w:rFonts w:ascii="Arial"/>
          <w:color w:val="231F20"/>
          <w:spacing w:val="-4"/>
          <w:sz w:val="18"/>
        </w:rPr>
        <w:t>(</w:t>
      </w:r>
      <w:r>
        <w:rPr>
          <w:rFonts w:ascii="Arial"/>
          <w:color w:val="231F20"/>
          <w:spacing w:val="13"/>
          <w:sz w:val="18"/>
        </w:rPr>
        <w:t> </w:t>
      </w:r>
      <w:r>
        <w:rPr>
          <w:rFonts w:ascii="Arial"/>
          <w:color w:val="231F20"/>
          <w:spacing w:val="-4"/>
          <w:sz w:val="18"/>
        </w:rPr>
        <w:t>Status</w:t>
      </w:r>
      <w:r>
        <w:rPr>
          <w:rFonts w:ascii="Arial"/>
          <w:color w:val="231F20"/>
          <w:spacing w:val="13"/>
          <w:sz w:val="18"/>
        </w:rPr>
        <w:t> </w:t>
      </w:r>
      <w:r>
        <w:rPr>
          <w:rFonts w:ascii="Arial"/>
          <w:color w:val="231F20"/>
          <w:spacing w:val="-4"/>
          <w:sz w:val="18"/>
        </w:rPr>
        <w:t>==</w:t>
      </w:r>
      <w:r>
        <w:rPr>
          <w:rFonts w:ascii="Arial"/>
          <w:color w:val="231F20"/>
          <w:spacing w:val="13"/>
          <w:sz w:val="18"/>
        </w:rPr>
        <w:t> </w:t>
      </w:r>
      <w:r>
        <w:rPr>
          <w:rFonts w:ascii="Arial"/>
          <w:color w:val="231F20"/>
          <w:spacing w:val="-4"/>
          <w:sz w:val="18"/>
        </w:rPr>
        <w:t>RTEMS</w:t>
      </w:r>
      <w:r>
        <w:rPr>
          <w:rFonts w:ascii="Arial"/>
          <w:color w:val="231F20"/>
          <w:spacing w:val="13"/>
          <w:sz w:val="18"/>
        </w:rPr>
        <w:t> </w:t>
      </w:r>
      <w:r>
        <w:rPr>
          <w:rFonts w:ascii="Arial"/>
          <w:color w:val="231F20"/>
          <w:spacing w:val="-4"/>
          <w:sz w:val="18"/>
        </w:rPr>
        <w:t>Newer)</w:t>
      </w:r>
    </w:p>
    <w:p>
      <w:pPr>
        <w:pStyle w:val="Heading6"/>
        <w:spacing w:before="128"/>
        <w:ind w:left="2232"/>
      </w:pPr>
      <w:r>
        <w:rPr>
          <w:color w:val="231F20"/>
          <w:spacing w:val="-2"/>
        </w:rPr>
        <w:t>Remote_Catalog_Warning</w:t>
      </w:r>
    </w:p>
    <w:p>
      <w:pPr>
        <w:pStyle w:val="BodyText"/>
        <w:spacing w:line="213" w:lineRule="auto" w:before="11"/>
        <w:ind w:left="2951" w:right="379"/>
      </w:pPr>
      <w:r>
        <w:rPr>
          <w:color w:val="231F20"/>
        </w:rPr>
        <w:t>This situation becomes true and an event is opened when an application catalog</w:t>
      </w:r>
      <w:r>
        <w:rPr>
          <w:color w:val="231F20"/>
          <w:spacing w:val="15"/>
        </w:rPr>
        <w:t> </w:t>
      </w:r>
      <w:r>
        <w:rPr>
          <w:color w:val="231F20"/>
        </w:rPr>
        <w:t>that</w:t>
      </w:r>
      <w:r>
        <w:rPr>
          <w:color w:val="231F20"/>
          <w:spacing w:val="15"/>
        </w:rPr>
        <w:t> </w:t>
      </w:r>
      <w:r>
        <w:rPr>
          <w:color w:val="231F20"/>
        </w:rPr>
        <w:t>is</w:t>
      </w:r>
      <w:r>
        <w:rPr>
          <w:color w:val="231F20"/>
          <w:spacing w:val="15"/>
        </w:rPr>
        <w:t> </w:t>
      </w:r>
      <w:r>
        <w:rPr>
          <w:color w:val="231F20"/>
        </w:rPr>
        <w:t>installed</w:t>
      </w:r>
      <w:r>
        <w:rPr>
          <w:color w:val="231F20"/>
          <w:spacing w:val="15"/>
        </w:rPr>
        <w:t> </w:t>
      </w:r>
      <w:r>
        <w:rPr>
          <w:color w:val="231F20"/>
        </w:rPr>
        <w:t>at</w:t>
      </w:r>
      <w:r>
        <w:rPr>
          <w:color w:val="231F20"/>
          <w:spacing w:val="15"/>
        </w:rPr>
        <w:t> </w:t>
      </w:r>
      <w:r>
        <w:rPr>
          <w:color w:val="231F20"/>
        </w:rPr>
        <w:t>the</w:t>
      </w:r>
      <w:r>
        <w:rPr>
          <w:color w:val="231F20"/>
          <w:spacing w:val="15"/>
        </w:rPr>
        <w:t> </w:t>
      </w:r>
      <w:r>
        <w:rPr>
          <w:color w:val="231F20"/>
        </w:rPr>
        <w:t>hub</w:t>
      </w:r>
      <w:r>
        <w:rPr>
          <w:color w:val="231F20"/>
          <w:spacing w:val="15"/>
        </w:rPr>
        <w:t> </w:t>
      </w:r>
      <w:r>
        <w:rPr>
          <w:color w:val="231F20"/>
        </w:rPr>
        <w:t>monitoring</w:t>
      </w:r>
      <w:r>
        <w:rPr>
          <w:color w:val="231F20"/>
          <w:spacing w:val="15"/>
        </w:rPr>
        <w:t> </w:t>
      </w:r>
      <w:r>
        <w:rPr>
          <w:color w:val="231F20"/>
        </w:rPr>
        <w:t>server</w:t>
      </w:r>
      <w:r>
        <w:rPr>
          <w:color w:val="231F20"/>
          <w:spacing w:val="15"/>
        </w:rPr>
        <w:t> </w:t>
      </w:r>
      <w:r>
        <w:rPr>
          <w:color w:val="231F20"/>
        </w:rPr>
        <w:t>is</w:t>
      </w:r>
      <w:r>
        <w:rPr>
          <w:color w:val="231F20"/>
          <w:spacing w:val="15"/>
        </w:rPr>
        <w:t> </w:t>
      </w:r>
      <w:r>
        <w:rPr>
          <w:color w:val="231F20"/>
        </w:rPr>
        <w:t>not</w:t>
      </w:r>
      <w:r>
        <w:rPr>
          <w:color w:val="231F20"/>
          <w:spacing w:val="15"/>
        </w:rPr>
        <w:t> </w:t>
      </w:r>
      <w:r>
        <w:rPr>
          <w:color w:val="231F20"/>
        </w:rPr>
        <w:t>also</w:t>
      </w:r>
      <w:r>
        <w:rPr>
          <w:color w:val="231F20"/>
          <w:spacing w:val="15"/>
        </w:rPr>
        <w:t> </w:t>
      </w:r>
      <w:r>
        <w:rPr>
          <w:color w:val="231F20"/>
        </w:rPr>
        <w:t>installed</w:t>
      </w:r>
      <w:r>
        <w:rPr>
          <w:color w:val="231F20"/>
          <w:spacing w:val="15"/>
        </w:rPr>
        <w:t> </w:t>
      </w:r>
      <w:r>
        <w:rPr>
          <w:color w:val="231F20"/>
        </w:rPr>
        <w:t>at a remote monitoring server; or an application catalog that is installed at </w:t>
      </w:r>
      <w:r>
        <w:rPr>
          <w:color w:val="231F20"/>
        </w:rPr>
        <w:t>the hub is newer than what is installed at a remote monitoring server.</w:t>
      </w:r>
    </w:p>
    <w:p>
      <w:pPr>
        <w:pStyle w:val="BodyText"/>
        <w:spacing w:line="213" w:lineRule="auto" w:before="117"/>
        <w:ind w:left="2951" w:right="545"/>
      </w:pPr>
      <w:r>
        <w:rPr>
          <w:color w:val="231F20"/>
        </w:rPr>
        <w:t>This might not be a problem if the remote monitoring server has not </w:t>
      </w:r>
      <w:r>
        <w:rPr>
          <w:color w:val="231F20"/>
        </w:rPr>
        <w:t>been upgraded yet. Also, the remote system might be intentionally not supporting the subject application, or might only be supporting an older version of the application. Default: Do not </w:t>
      </w:r>
      <w:r>
        <w:rPr>
          <w:color w:val="231F20"/>
          <w:spacing w:val="15"/>
        </w:rPr>
        <w:drawing>
          <wp:inline distT="0" distB="0" distL="0" distR="0">
            <wp:extent cx="82550" cy="82550"/>
            <wp:effectExtent l="0" t="0" r="0" b="0"/>
            <wp:docPr id="3126" name="Image 3126"/>
            <wp:cNvGraphicFramePr>
              <a:graphicFrameLocks/>
            </wp:cNvGraphicFramePr>
            <a:graphic>
              <a:graphicData uri="http://schemas.openxmlformats.org/drawingml/2006/picture">
                <pic:pic>
                  <pic:nvPicPr>
                    <pic:cNvPr id="3126" name="Image 3126"/>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27" name="Image 3127"/>
            <wp:cNvGraphicFramePr>
              <a:graphicFrameLocks/>
            </wp:cNvGraphicFramePr>
            <a:graphic>
              <a:graphicData uri="http://schemas.openxmlformats.org/drawingml/2006/picture">
                <pic:pic>
                  <pic:nvPicPr>
                    <pic:cNvPr id="3127" name="Image 3127"/>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w:t>
      </w:r>
      <w:r>
        <w:rPr>
          <w:color w:val="231F20"/>
          <w:spacing w:val="-2"/>
        </w:rPr>
        <w:t>Formula:</w:t>
      </w:r>
    </w:p>
    <w:p>
      <w:pPr>
        <w:spacing w:line="230" w:lineRule="auto" w:before="67"/>
        <w:ind w:left="2951" w:right="1504" w:firstLine="0"/>
        <w:jc w:val="left"/>
        <w:rPr>
          <w:rFonts w:ascii="Arial" w:hAnsi="Arial"/>
          <w:sz w:val="18"/>
        </w:rPr>
      </w:pPr>
      <w:r>
        <w:rPr>
          <w:rFonts w:ascii="Arial" w:hAnsi="Arial"/>
          <w:color w:val="231F20"/>
          <w:sz w:val="18"/>
        </w:rPr>
        <w:t>((Status</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Missing</w:t>
      </w:r>
      <w:r>
        <w:rPr>
          <w:rFonts w:ascii="Arial" w:hAnsi="Arial"/>
          <w:color w:val="231F20"/>
          <w:spacing w:val="18"/>
          <w:sz w:val="18"/>
        </w:rPr>
        <w:t> </w:t>
      </w:r>
      <w:r>
        <w:rPr>
          <w:rFonts w:ascii="Arial" w:hAnsi="Arial"/>
          <w:color w:val="231F20"/>
          <w:sz w:val="18"/>
        </w:rPr>
        <w:t>At</w:t>
      </w:r>
      <w:r>
        <w:rPr>
          <w:rFonts w:ascii="Arial" w:hAnsi="Arial"/>
          <w:color w:val="231F20"/>
          <w:spacing w:val="18"/>
          <w:sz w:val="18"/>
        </w:rPr>
        <w:t> </w:t>
      </w:r>
      <w:r>
        <w:rPr>
          <w:rFonts w:ascii="Arial" w:hAnsi="Arial"/>
          <w:color w:val="231F20"/>
          <w:sz w:val="18"/>
        </w:rPr>
        <w:t>Hub)</w:t>
      </w:r>
      <w:r>
        <w:rPr>
          <w:rFonts w:ascii="Arial" w:hAnsi="Arial"/>
          <w:color w:val="231F20"/>
          <w:spacing w:val="18"/>
          <w:sz w:val="18"/>
        </w:rPr>
        <w:t> </w:t>
      </w:r>
      <w:r>
        <w:rPr>
          <w:rFonts w:ascii="Arial" w:hAnsi="Arial"/>
          <w:color w:val="231F20"/>
          <w:sz w:val="18"/>
        </w:rPr>
        <w:t>AND</w:t>
      </w:r>
      <w:r>
        <w:rPr>
          <w:rFonts w:ascii="Arial" w:hAnsi="Arial"/>
          <w:color w:val="231F20"/>
          <w:spacing w:val="18"/>
          <w:sz w:val="18"/>
        </w:rPr>
        <w:t> </w:t>
      </w:r>
      <w:r>
        <w:rPr>
          <w:rFonts w:ascii="Arial" w:hAnsi="Arial"/>
          <w:color w:val="231F20"/>
          <w:sz w:val="18"/>
        </w:rPr>
        <w:t>(Catalog</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’PDSSTATS’))</w:t>
      </w:r>
      <w:r>
        <w:rPr>
          <w:rFonts w:ascii="Arial" w:hAnsi="Arial"/>
          <w:color w:val="231F20"/>
          <w:spacing w:val="18"/>
          <w:sz w:val="18"/>
        </w:rPr>
        <w:t> </w:t>
      </w:r>
      <w:r>
        <w:rPr>
          <w:rFonts w:ascii="Arial" w:hAnsi="Arial"/>
          <w:color w:val="231F20"/>
          <w:sz w:val="18"/>
        </w:rPr>
        <w:t>OR (Status</w:t>
      </w:r>
      <w:r>
        <w:rPr>
          <w:rFonts w:ascii="Arial" w:hAnsi="Arial"/>
          <w:color w:val="231F20"/>
          <w:spacing w:val="40"/>
          <w:sz w:val="18"/>
        </w:rPr>
        <w:t> </w:t>
      </w:r>
      <w:r>
        <w:rPr>
          <w:rFonts w:ascii="Arial" w:hAnsi="Arial"/>
          <w:color w:val="231F20"/>
          <w:sz w:val="18"/>
        </w:rPr>
        <w:t>==</w:t>
      </w:r>
      <w:r>
        <w:rPr>
          <w:rFonts w:ascii="Arial" w:hAnsi="Arial"/>
          <w:color w:val="231F20"/>
          <w:spacing w:val="40"/>
          <w:sz w:val="18"/>
        </w:rPr>
        <w:t> </w:t>
      </w:r>
      <w:r>
        <w:rPr>
          <w:rFonts w:ascii="Arial" w:hAnsi="Arial"/>
          <w:color w:val="231F20"/>
          <w:sz w:val="18"/>
        </w:rPr>
        <w:t>Hub_Newer)</w:t>
      </w:r>
    </w:p>
    <w:p>
      <w:pPr>
        <w:pStyle w:val="BodyText"/>
        <w:spacing w:before="4"/>
        <w:rPr>
          <w:rFonts w:ascii="Arial"/>
        </w:rPr>
      </w:pPr>
      <w:r>
        <w:rPr/>
        <mc:AlternateContent>
          <mc:Choice Requires="wps">
            <w:drawing>
              <wp:anchor distT="0" distB="0" distL="0" distR="0" allowOverlap="1" layoutInCell="1" locked="0" behindDoc="1" simplePos="0" relativeHeight="487742976">
                <wp:simplePos x="0" y="0"/>
                <wp:positionH relativeFrom="page">
                  <wp:posOffset>760323</wp:posOffset>
                </wp:positionH>
                <wp:positionV relativeFrom="paragraph">
                  <wp:posOffset>164243</wp:posOffset>
                </wp:positionV>
                <wp:extent cx="6082665" cy="1270"/>
                <wp:effectExtent l="0" t="0" r="0" b="0"/>
                <wp:wrapTopAndBottom/>
                <wp:docPr id="3128" name="Graphic 3128"/>
                <wp:cNvGraphicFramePr>
                  <a:graphicFrameLocks/>
                </wp:cNvGraphicFramePr>
                <a:graphic>
                  <a:graphicData uri="http://schemas.microsoft.com/office/word/2010/wordprocessingShape">
                    <wps:wsp>
                      <wps:cNvPr id="3128" name="Graphic 312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932522pt;width:478.95pt;height:.1pt;mso-position-horizontal-relative:page;mso-position-vertical-relative:paragraph;z-index:-15573504;mso-wrap-distance-left:0;mso-wrap-distance-right:0" id="docshape252" coordorigin="1197,259" coordsize="9579,0" path="m1197,259l10776,259e" filled="false" stroked="true" strokeweight=".499pt" strokecolor="#231f20">
                <v:path arrowok="t"/>
                <v:stroke dashstyle="solid"/>
                <w10:wrap type="topAndBottom"/>
              </v:shape>
            </w:pict>
          </mc:Fallback>
        </mc:AlternateContent>
      </w:r>
    </w:p>
    <w:p>
      <w:pPr>
        <w:pStyle w:val="Heading3"/>
        <w:ind w:left="197"/>
      </w:pPr>
      <w:bookmarkStart w:name="Managing monitoring agents" w:id="630"/>
      <w:bookmarkEnd w:id="630"/>
      <w:r>
        <w:rPr>
          <w:b w:val="0"/>
        </w:rPr>
      </w:r>
      <w:r>
        <w:rPr>
          <w:color w:val="231F20"/>
        </w:rPr>
        <w:t>Managing</w:t>
      </w:r>
      <w:r>
        <w:rPr>
          <w:color w:val="231F20"/>
          <w:spacing w:val="1"/>
        </w:rPr>
        <w:t> </w:t>
      </w:r>
      <w:r>
        <w:rPr>
          <w:color w:val="231F20"/>
        </w:rPr>
        <w:t>monitoring</w:t>
      </w:r>
      <w:r>
        <w:rPr>
          <w:color w:val="231F20"/>
          <w:spacing w:val="1"/>
        </w:rPr>
        <w:t> </w:t>
      </w:r>
      <w:r>
        <w:rPr>
          <w:color w:val="231F20"/>
          <w:spacing w:val="-2"/>
        </w:rPr>
        <w:t>agents</w:t>
      </w:r>
    </w:p>
    <w:p>
      <w:pPr>
        <w:pStyle w:val="BodyText"/>
        <w:spacing w:line="213" w:lineRule="auto" w:before="138"/>
        <w:ind w:left="2232" w:right="545"/>
      </w:pPr>
      <w:r>
        <w:rPr>
          <w:color w:val="231F20"/>
        </w:rPr>
        <w:t>With the Tivoli Enterprise Portal you can deploy and maintain distributed </w:t>
      </w:r>
      <w:r>
        <w:rPr>
          <w:color w:val="231F20"/>
        </w:rPr>
        <w:t>Tivoli Enterprise Monitoring Agents, such as the Sybase Server monitoring agent, and connect to a distributed Hub Tivoli Enterprise Monitoring Server.</w:t>
      </w:r>
    </w:p>
    <w:p>
      <w:pPr>
        <w:pStyle w:val="BodyText"/>
        <w:spacing w:line="213" w:lineRule="auto" w:before="238"/>
        <w:ind w:left="2232" w:right="545"/>
      </w:pPr>
      <w:r>
        <w:rPr>
          <w:color w:val="231F20"/>
        </w:rPr>
        <w:t>Before you can remotely install and configure distributed monitoring agents on a computer, the computer must have an OS enterprise monitoring agent installed for the operating system the monitoring product will run under. When the OS agents have been installed, the Navigator Physical view adds an item for each online managed system. Monitoring agents that do not support the remote agent deployment feature will not display the </w:t>
      </w:r>
      <w:r>
        <w:rPr>
          <w:rFonts w:ascii="Book Antiqua"/>
          <w:b/>
          <w:color w:val="231F20"/>
        </w:rPr>
        <w:t>Add Managed System</w:t>
      </w:r>
      <w:r>
        <w:rPr>
          <w:color w:val="231F20"/>
        </w:rPr>
        <w:t>, </w:t>
      </w:r>
      <w:r>
        <w:rPr>
          <w:rFonts w:ascii="Book Antiqua"/>
          <w:b/>
          <w:color w:val="231F20"/>
        </w:rPr>
        <w:t>Configure</w:t>
      </w:r>
      <w:r>
        <w:rPr>
          <w:color w:val="231F20"/>
        </w:rPr>
        <w:t>, and </w:t>
      </w:r>
      <w:r>
        <w:rPr>
          <w:rFonts w:ascii="Book Antiqua"/>
          <w:b/>
          <w:color w:val="231F20"/>
        </w:rPr>
        <w:t>Remove</w:t>
      </w:r>
      <w:r>
        <w:rPr>
          <w:rFonts w:ascii="Book Antiqua"/>
          <w:b/>
          <w:color w:val="231F20"/>
          <w:spacing w:val="29"/>
        </w:rPr>
        <w:t> </w:t>
      </w:r>
      <w:r>
        <w:rPr>
          <w:color w:val="231F20"/>
        </w:rPr>
        <w:t>options</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Navigator</w:t>
      </w:r>
      <w:r>
        <w:rPr>
          <w:color w:val="231F20"/>
          <w:spacing w:val="29"/>
        </w:rPr>
        <w:t> </w:t>
      </w:r>
      <w:r>
        <w:rPr>
          <w:color w:val="231F20"/>
        </w:rPr>
        <w:t>pop-up</w:t>
      </w:r>
      <w:r>
        <w:rPr>
          <w:color w:val="231F20"/>
          <w:spacing w:val="29"/>
        </w:rPr>
        <w:t> </w:t>
      </w:r>
      <w:r>
        <w:rPr>
          <w:color w:val="231F20"/>
        </w:rPr>
        <w:t>menu.</w:t>
      </w:r>
      <w:r>
        <w:rPr>
          <w:color w:val="231F20"/>
          <w:spacing w:val="29"/>
        </w:rPr>
        <w:t> </w:t>
      </w:r>
      <w:r>
        <w:rPr>
          <w:color w:val="231F20"/>
        </w:rPr>
        <w:t>The</w:t>
      </w:r>
      <w:r>
        <w:rPr>
          <w:color w:val="231F20"/>
          <w:spacing w:val="29"/>
        </w:rPr>
        <w:t> </w:t>
      </w:r>
      <w:r>
        <w:rPr>
          <w:color w:val="231F20"/>
        </w:rPr>
        <w:t>types</w:t>
      </w:r>
      <w:r>
        <w:rPr>
          <w:color w:val="231F20"/>
          <w:spacing w:val="29"/>
        </w:rPr>
        <w:t> </w:t>
      </w:r>
      <w:r>
        <w:rPr>
          <w:color w:val="231F20"/>
        </w:rPr>
        <w:t>of</w:t>
      </w:r>
      <w:r>
        <w:rPr>
          <w:color w:val="231F20"/>
          <w:spacing w:val="29"/>
        </w:rPr>
        <w:t> </w:t>
      </w:r>
      <w:r>
        <w:rPr>
          <w:color w:val="231F20"/>
        </w:rPr>
        <w:t>managed</w:t>
      </w:r>
      <w:r>
        <w:rPr>
          <w:color w:val="231F20"/>
          <w:spacing w:val="29"/>
        </w:rPr>
        <w:t> </w:t>
      </w:r>
      <w:r>
        <w:rPr>
          <w:color w:val="231F20"/>
        </w:rPr>
        <w:t>systems that you can add to a computer depend on what agent bundles are in the depot on</w:t>
      </w:r>
      <w:r>
        <w:rPr>
          <w:color w:val="231F20"/>
          <w:spacing w:val="40"/>
        </w:rPr>
        <w:t> </w:t>
      </w:r>
      <w:r>
        <w:rPr>
          <w:color w:val="231F20"/>
        </w:rPr>
        <w:t>the monitoring server to which the OS agent is connected. See the </w:t>
      </w:r>
      <w:r>
        <w:rPr>
          <w:rFonts w:ascii="Book Antiqua"/>
          <w:i/>
          <w:color w:val="231F20"/>
        </w:rPr>
        <w:t>IBM Tivoli</w:t>
      </w:r>
      <w:r>
        <w:rPr>
          <w:rFonts w:ascii="Book Antiqua"/>
          <w:i/>
          <w:color w:val="231F20"/>
        </w:rPr>
        <w:t> </w:t>
      </w:r>
      <w:bookmarkStart w:name="Agent deployment workspaces" w:id="631"/>
      <w:bookmarkEnd w:id="631"/>
      <w:r>
        <w:rPr>
          <w:rFonts w:ascii="Book Antiqua"/>
          <w:i/>
          <w:color w:val="231F20"/>
        </w:rPr>
        <w:t>Monitoring</w:t>
      </w:r>
      <w:r>
        <w:rPr>
          <w:rFonts w:ascii="Book Antiqua"/>
          <w:i/>
          <w:color w:val="231F20"/>
        </w:rPr>
        <w:t> Installation and Setup Guide </w:t>
      </w:r>
      <w:r>
        <w:rPr>
          <w:color w:val="231F20"/>
        </w:rPr>
        <w:t>for more information.</w:t>
      </w:r>
    </w:p>
    <w:p>
      <w:pPr>
        <w:pStyle w:val="Heading3"/>
        <w:spacing w:before="212"/>
        <w:ind w:left="1334"/>
      </w:pPr>
      <w:r>
        <w:rPr>
          <w:color w:val="231F20"/>
        </w:rPr>
        <w:t>Agent</w:t>
      </w:r>
      <w:r>
        <w:rPr>
          <w:color w:val="231F20"/>
          <w:spacing w:val="3"/>
        </w:rPr>
        <w:t> </w:t>
      </w:r>
      <w:r>
        <w:rPr>
          <w:color w:val="231F20"/>
        </w:rPr>
        <w:t>deployment</w:t>
      </w:r>
      <w:r>
        <w:rPr>
          <w:color w:val="231F20"/>
          <w:spacing w:val="3"/>
        </w:rPr>
        <w:t> </w:t>
      </w:r>
      <w:r>
        <w:rPr>
          <w:color w:val="231F20"/>
          <w:spacing w:val="-2"/>
        </w:rPr>
        <w:t>workspaces</w:t>
      </w:r>
    </w:p>
    <w:p>
      <w:pPr>
        <w:pStyle w:val="BodyText"/>
        <w:spacing w:line="213" w:lineRule="auto" w:before="58"/>
        <w:ind w:left="2232"/>
      </w:pPr>
      <w:r>
        <w:rPr>
          <w:color w:val="231F20"/>
        </w:rPr>
        <w:t>Use the agent deployment workspaces to see your package list, the results of a </w:t>
      </w:r>
      <w:bookmarkStart w:name="Deploy Depot Package List workspace" w:id="632"/>
      <w:bookmarkEnd w:id="632"/>
      <w:r>
        <w:rPr>
          <w:color w:val="231F20"/>
        </w:rPr>
        <w:t>deployment</w:t>
      </w:r>
      <w:r>
        <w:rPr>
          <w:color w:val="231F20"/>
        </w:rPr>
        <w:t> prerequisite check, and the progress of the agent deployment process.</w:t>
      </w:r>
    </w:p>
    <w:p>
      <w:pPr>
        <w:pStyle w:val="Heading4"/>
        <w:spacing w:line="273" w:lineRule="exact" w:before="165"/>
      </w:pPr>
      <w:r>
        <w:rPr>
          <w:color w:val="231F20"/>
        </w:rPr>
        <w:t>Deploy</w:t>
      </w:r>
      <w:r>
        <w:rPr>
          <w:color w:val="231F20"/>
          <w:spacing w:val="5"/>
        </w:rPr>
        <w:t> </w:t>
      </w:r>
      <w:r>
        <w:rPr>
          <w:color w:val="231F20"/>
        </w:rPr>
        <w:t>Depot</w:t>
      </w:r>
      <w:r>
        <w:rPr>
          <w:color w:val="231F20"/>
          <w:spacing w:val="6"/>
        </w:rPr>
        <w:t> </w:t>
      </w:r>
      <w:r>
        <w:rPr>
          <w:color w:val="231F20"/>
        </w:rPr>
        <w:t>Package</w:t>
      </w:r>
      <w:r>
        <w:rPr>
          <w:color w:val="231F20"/>
          <w:spacing w:val="6"/>
        </w:rPr>
        <w:t> </w:t>
      </w:r>
      <w:r>
        <w:rPr>
          <w:color w:val="231F20"/>
        </w:rPr>
        <w:t>List</w:t>
      </w:r>
      <w:r>
        <w:rPr>
          <w:color w:val="231F20"/>
          <w:spacing w:val="6"/>
        </w:rPr>
        <w:t> </w:t>
      </w:r>
      <w:r>
        <w:rPr>
          <w:color w:val="231F20"/>
          <w:spacing w:val="-2"/>
        </w:rPr>
        <w:t>workspace</w:t>
      </w:r>
    </w:p>
    <w:p>
      <w:pPr>
        <w:pStyle w:val="BodyText"/>
        <w:spacing w:line="213" w:lineRule="auto" w:before="20"/>
        <w:ind w:left="2232" w:right="545"/>
      </w:pPr>
      <w:r>
        <w:rPr>
          <w:color w:val="231F20"/>
        </w:rPr>
        <w:t>Use the Deploy Depot Package List workspace to see the installation packages </w:t>
      </w:r>
      <w:r>
        <w:rPr>
          <w:color w:val="231F20"/>
        </w:rPr>
        <w:t>that are available in the agent depot at the Tivoli Enterprise Monitoring Server.</w:t>
      </w:r>
    </w:p>
    <w:p>
      <w:pPr>
        <w:pStyle w:val="BodyText"/>
        <w:spacing w:line="213" w:lineRule="auto" w:before="238"/>
        <w:ind w:left="2232" w:right="545"/>
      </w:pPr>
      <w:r>
        <w:rPr>
          <w:color w:val="231F20"/>
        </w:rPr>
        <w:t>This is one of the predefined workspaces available from the Enterprise </w:t>
      </w:r>
      <w:r>
        <w:rPr>
          <w:color w:val="231F20"/>
        </w:rPr>
        <w:t>Navigator </w:t>
      </w:r>
      <w:r>
        <w:rPr>
          <w:color w:val="231F20"/>
          <w:spacing w:val="-2"/>
        </w:rPr>
        <w:t>item.</w:t>
      </w:r>
    </w:p>
    <w:p>
      <w:pPr>
        <w:spacing w:after="0" w:line="213" w:lineRule="auto"/>
        <w:sectPr>
          <w:pgSz w:w="12240" w:h="15840"/>
          <w:pgMar w:header="0" w:footer="736" w:top="1180" w:bottom="920" w:left="1000" w:right="1060"/>
        </w:sectPr>
      </w:pPr>
    </w:p>
    <w:p>
      <w:pPr>
        <w:pStyle w:val="Heading5"/>
        <w:spacing w:before="85"/>
      </w:pPr>
      <w:bookmarkStart w:name="_bookmark307" w:id="633"/>
      <w:bookmarkEnd w:id="633"/>
      <w:r>
        <w:rPr>
          <w:b w:val="0"/>
        </w:rPr>
      </w:r>
      <w:r>
        <w:rPr>
          <w:color w:val="231F20"/>
        </w:rPr>
        <w:t>Accessing</w:t>
      </w:r>
      <w:r>
        <w:rPr>
          <w:color w:val="231F20"/>
          <w:spacing w:val="3"/>
        </w:rPr>
        <w:t> </w:t>
      </w:r>
      <w:r>
        <w:rPr>
          <w:color w:val="231F20"/>
        </w:rPr>
        <w:t>the</w:t>
      </w:r>
      <w:r>
        <w:rPr>
          <w:color w:val="231F20"/>
          <w:spacing w:val="4"/>
        </w:rPr>
        <w:t> </w:t>
      </w:r>
      <w:r>
        <w:rPr>
          <w:color w:val="231F20"/>
          <w:spacing w:val="-2"/>
        </w:rPr>
        <w:t>workspace</w:t>
      </w:r>
    </w:p>
    <w:p>
      <w:pPr>
        <w:pStyle w:val="ListParagraph"/>
        <w:numPr>
          <w:ilvl w:val="0"/>
          <w:numId w:val="179"/>
        </w:numPr>
        <w:tabs>
          <w:tab w:pos="2787" w:val="left" w:leader="none"/>
        </w:tabs>
        <w:spacing w:line="240" w:lineRule="auto" w:before="43"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3129" name="Image 3129"/>
            <wp:cNvGraphicFramePr>
              <a:graphicFrameLocks/>
            </wp:cNvGraphicFramePr>
            <a:graphic>
              <a:graphicData uri="http://schemas.openxmlformats.org/drawingml/2006/picture">
                <pic:pic>
                  <pic:nvPicPr>
                    <pic:cNvPr id="3129" name="Image 312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color w:val="231F20"/>
          <w:sz w:val="20"/>
        </w:rPr>
        <w:t>Enterprise</w:t>
      </w:r>
      <w:r>
        <w:rPr>
          <w:color w:val="231F20"/>
          <w:spacing w:val="11"/>
          <w:sz w:val="20"/>
        </w:rPr>
        <w:t> </w:t>
      </w:r>
      <w:r>
        <w:rPr>
          <w:color w:val="231F20"/>
          <w:sz w:val="20"/>
        </w:rPr>
        <w:t>item</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Navigator</w:t>
      </w:r>
      <w:r>
        <w:rPr>
          <w:color w:val="231F20"/>
          <w:spacing w:val="11"/>
          <w:sz w:val="20"/>
        </w:rPr>
        <w:t> </w:t>
      </w:r>
      <w:r>
        <w:rPr>
          <w:color w:val="231F20"/>
          <w:sz w:val="20"/>
        </w:rPr>
        <w:t>Physical</w:t>
      </w:r>
      <w:r>
        <w:rPr>
          <w:color w:val="231F20"/>
          <w:spacing w:val="11"/>
          <w:sz w:val="20"/>
        </w:rPr>
        <w:t> </w:t>
      </w:r>
      <w:r>
        <w:rPr>
          <w:color w:val="231F20"/>
          <w:spacing w:val="-2"/>
          <w:sz w:val="20"/>
        </w:rPr>
        <w:t>view.</w:t>
      </w:r>
    </w:p>
    <w:p>
      <w:pPr>
        <w:pStyle w:val="ListParagraph"/>
        <w:numPr>
          <w:ilvl w:val="0"/>
          <w:numId w:val="179"/>
        </w:numPr>
        <w:tabs>
          <w:tab w:pos="2787" w:val="left" w:leader="none"/>
        </w:tabs>
        <w:spacing w:line="240" w:lineRule="auto" w:before="29" w:after="0"/>
        <w:ind w:left="2787" w:right="0" w:hanging="315"/>
        <w:jc w:val="left"/>
        <w:rPr>
          <w:sz w:val="20"/>
        </w:rPr>
      </w:pPr>
      <w:r>
        <w:rPr>
          <w:color w:val="231F20"/>
          <w:sz w:val="20"/>
        </w:rPr>
        <w:t>Click</w:t>
      </w:r>
      <w:r>
        <w:rPr>
          <w:color w:val="231F20"/>
          <w:spacing w:val="-2"/>
          <w:sz w:val="20"/>
        </w:rPr>
        <w:t> </w:t>
      </w:r>
      <w:r>
        <w:rPr>
          <w:color w:val="231F20"/>
          <w:spacing w:val="16"/>
          <w:position w:val="-1"/>
          <w:sz w:val="20"/>
        </w:rPr>
        <w:drawing>
          <wp:inline distT="0" distB="0" distL="0" distR="0">
            <wp:extent cx="101600" cy="101600"/>
            <wp:effectExtent l="0" t="0" r="0" b="0"/>
            <wp:docPr id="3130" name="Image 3130"/>
            <wp:cNvGraphicFramePr>
              <a:graphicFrameLocks/>
            </wp:cNvGraphicFramePr>
            <a:graphic>
              <a:graphicData uri="http://schemas.openxmlformats.org/drawingml/2006/picture">
                <pic:pic>
                  <pic:nvPicPr>
                    <pic:cNvPr id="3130" name="Image 3130"/>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Workspace</w:t>
      </w:r>
      <w:r>
        <w:rPr>
          <w:rFonts w:ascii="Book Antiqua"/>
          <w:b/>
          <w:color w:val="231F20"/>
          <w:spacing w:val="4"/>
          <w:sz w:val="20"/>
        </w:rPr>
        <w:t> </w:t>
      </w:r>
      <w:r>
        <w:rPr>
          <w:rFonts w:ascii="Book Antiqua"/>
          <w:b/>
          <w:color w:val="231F20"/>
          <w:spacing w:val="-2"/>
          <w:sz w:val="20"/>
        </w:rPr>
        <w:t>gallery</w:t>
      </w:r>
      <w:r>
        <w:rPr>
          <w:color w:val="231F20"/>
          <w:spacing w:val="-2"/>
          <w:sz w:val="20"/>
        </w:rPr>
        <w:t>.</w:t>
      </w:r>
    </w:p>
    <w:p>
      <w:pPr>
        <w:pStyle w:val="ListParagraph"/>
        <w:numPr>
          <w:ilvl w:val="0"/>
          <w:numId w:val="179"/>
        </w:numPr>
        <w:tabs>
          <w:tab w:pos="2788" w:val="left" w:leader="none"/>
        </w:tabs>
        <w:spacing w:line="213" w:lineRule="auto" w:before="53" w:after="0"/>
        <w:ind w:left="2788" w:right="265" w:hanging="316"/>
        <w:jc w:val="left"/>
        <w:rPr>
          <w:sz w:val="20"/>
        </w:rPr>
      </w:pPr>
      <w:r>
        <w:rPr>
          <w:color w:val="231F20"/>
          <w:sz w:val="20"/>
        </w:rPr>
        <w:t>Scroll to </w:t>
      </w:r>
      <w:r>
        <w:rPr>
          <w:rFonts w:ascii="Book Antiqua"/>
          <w:b/>
          <w:color w:val="231F20"/>
          <w:sz w:val="20"/>
        </w:rPr>
        <w:t>Deploy Depot Package List</w:t>
      </w:r>
      <w:r>
        <w:rPr>
          <w:color w:val="231F20"/>
          <w:sz w:val="20"/>
        </w:rPr>
        <w:t>, then click the thumbnail graphic to </w:t>
      </w:r>
      <w:r>
        <w:rPr>
          <w:color w:val="231F20"/>
          <w:sz w:val="20"/>
        </w:rPr>
        <w:t>open the workspace.</w:t>
      </w:r>
    </w:p>
    <w:p>
      <w:pPr>
        <w:pStyle w:val="Heading5"/>
        <w:spacing w:before="219"/>
      </w:pPr>
      <w:r>
        <w:rPr>
          <w:color w:val="231F20"/>
        </w:rPr>
        <w:t>What</w:t>
      </w:r>
      <w:r>
        <w:rPr>
          <w:color w:val="231F20"/>
          <w:spacing w:val="4"/>
        </w:rPr>
        <w:t> </w:t>
      </w:r>
      <w:r>
        <w:rPr>
          <w:color w:val="231F20"/>
        </w:rPr>
        <w:t>the</w:t>
      </w:r>
      <w:r>
        <w:rPr>
          <w:color w:val="231F20"/>
          <w:spacing w:val="4"/>
        </w:rPr>
        <w:t> </w:t>
      </w:r>
      <w:r>
        <w:rPr>
          <w:color w:val="231F20"/>
        </w:rPr>
        <w:t>workspace</w:t>
      </w:r>
      <w:r>
        <w:rPr>
          <w:color w:val="231F20"/>
          <w:spacing w:val="4"/>
        </w:rPr>
        <w:t> </w:t>
      </w:r>
      <w:r>
        <w:rPr>
          <w:color w:val="231F20"/>
          <w:spacing w:val="-2"/>
        </w:rPr>
        <w:t>shows</w:t>
      </w:r>
    </w:p>
    <w:p>
      <w:pPr>
        <w:pStyle w:val="BodyText"/>
        <w:spacing w:line="213" w:lineRule="auto" w:before="245"/>
        <w:ind w:left="2472" w:right="258"/>
      </w:pPr>
      <w:r>
        <w:rPr>
          <w:color w:val="231F20"/>
        </w:rPr>
        <w:t>The Deploy Depot Package List workspace shows a table listing all of the agent installation packages available in the agent depot for remote deployment. For </w:t>
      </w:r>
      <w:r>
        <w:rPr>
          <w:color w:val="231F20"/>
        </w:rPr>
        <w:t>each package, the table includes the product ID, version, host type, and other details about the package.</w:t>
      </w:r>
    </w:p>
    <w:p>
      <w:pPr>
        <w:pStyle w:val="BodyText"/>
        <w:spacing w:line="213" w:lineRule="auto" w:before="237"/>
        <w:ind w:left="2472"/>
      </w:pPr>
      <w:r>
        <w:rPr>
          <w:color w:val="231F20"/>
          <w:w w:val="105"/>
        </w:rPr>
        <w:t>For</w:t>
      </w:r>
      <w:r>
        <w:rPr>
          <w:color w:val="231F20"/>
          <w:spacing w:val="-8"/>
          <w:w w:val="105"/>
        </w:rPr>
        <w:t> </w:t>
      </w:r>
      <w:r>
        <w:rPr>
          <w:color w:val="231F20"/>
          <w:w w:val="105"/>
        </w:rPr>
        <w:t>more</w:t>
      </w:r>
      <w:r>
        <w:rPr>
          <w:color w:val="231F20"/>
          <w:spacing w:val="-8"/>
          <w:w w:val="105"/>
        </w:rPr>
        <w:t> </w:t>
      </w:r>
      <w:r>
        <w:rPr>
          <w:color w:val="231F20"/>
          <w:w w:val="105"/>
        </w:rPr>
        <w:t>information</w:t>
      </w:r>
      <w:r>
        <w:rPr>
          <w:color w:val="231F20"/>
          <w:spacing w:val="-8"/>
          <w:w w:val="105"/>
        </w:rPr>
        <w:t> </w:t>
      </w:r>
      <w:r>
        <w:rPr>
          <w:color w:val="231F20"/>
          <w:w w:val="105"/>
        </w:rPr>
        <w:t>about</w:t>
      </w:r>
      <w:r>
        <w:rPr>
          <w:color w:val="231F20"/>
          <w:spacing w:val="-8"/>
          <w:w w:val="105"/>
        </w:rPr>
        <w:t> </w:t>
      </w:r>
      <w:r>
        <w:rPr>
          <w:color w:val="231F20"/>
          <w:w w:val="105"/>
        </w:rPr>
        <w:t>the</w:t>
      </w:r>
      <w:r>
        <w:rPr>
          <w:color w:val="231F20"/>
          <w:spacing w:val="-8"/>
          <w:w w:val="105"/>
        </w:rPr>
        <w:t> </w:t>
      </w:r>
      <w:r>
        <w:rPr>
          <w:color w:val="231F20"/>
          <w:w w:val="105"/>
        </w:rPr>
        <w:t>agent</w:t>
      </w:r>
      <w:r>
        <w:rPr>
          <w:color w:val="231F20"/>
          <w:spacing w:val="-8"/>
          <w:w w:val="105"/>
        </w:rPr>
        <w:t> </w:t>
      </w:r>
      <w:r>
        <w:rPr>
          <w:color w:val="231F20"/>
          <w:w w:val="105"/>
        </w:rPr>
        <w:t>depot,</w:t>
      </w:r>
      <w:r>
        <w:rPr>
          <w:color w:val="231F20"/>
          <w:spacing w:val="-8"/>
          <w:w w:val="105"/>
        </w:rPr>
        <w:t> </w:t>
      </w:r>
      <w:r>
        <w:rPr>
          <w:color w:val="231F20"/>
          <w:w w:val="105"/>
        </w:rPr>
        <w:t>see</w:t>
      </w:r>
      <w:r>
        <w:rPr>
          <w:color w:val="231F20"/>
          <w:spacing w:val="-8"/>
          <w:w w:val="105"/>
        </w:rPr>
        <w:t> </w:t>
      </w:r>
      <w:r>
        <w:rPr>
          <w:color w:val="231F20"/>
          <w:w w:val="105"/>
        </w:rPr>
        <w:t>“Deploying</w:t>
      </w:r>
      <w:r>
        <w:rPr>
          <w:color w:val="231F20"/>
          <w:spacing w:val="-8"/>
          <w:w w:val="105"/>
        </w:rPr>
        <w:t> </w:t>
      </w:r>
      <w:r>
        <w:rPr>
          <w:color w:val="231F20"/>
          <w:w w:val="105"/>
        </w:rPr>
        <w:t>monitoring</w:t>
      </w:r>
      <w:r>
        <w:rPr>
          <w:color w:val="231F20"/>
          <w:spacing w:val="-8"/>
          <w:w w:val="105"/>
        </w:rPr>
        <w:t> </w:t>
      </w:r>
      <w:r>
        <w:rPr>
          <w:color w:val="231F20"/>
          <w:w w:val="105"/>
        </w:rPr>
        <w:t>agents </w:t>
      </w:r>
      <w:r>
        <w:rPr>
          <w:color w:val="231F20"/>
        </w:rPr>
        <w:t>across your environment” in the </w:t>
      </w:r>
      <w:hyperlink r:id="rId369">
        <w:r>
          <w:rPr>
            <w:rFonts w:ascii="Book Antiqua" w:hAnsi="Book Antiqua"/>
            <w:i/>
            <w:color w:val="231F20"/>
          </w:rPr>
          <w:t>IBM Tivoli Monitoring Installation and Setup </w:t>
        </w:r>
        <w:r>
          <w:rPr>
            <w:rFonts w:ascii="Book Antiqua" w:hAnsi="Book Antiqua"/>
            <w:i/>
            <w:color w:val="231F20"/>
          </w:rPr>
          <w:t>Guide</w:t>
        </w:r>
      </w:hyperlink>
      <w:r>
        <w:rPr>
          <w:rFonts w:ascii="Book Antiqua" w:hAnsi="Book Antiqua"/>
          <w:i/>
          <w:color w:val="231F20"/>
        </w:rPr>
        <w:t> </w:t>
      </w:r>
      <w:hyperlink r:id="rId399">
        <w:r>
          <w:rPr>
            <w:color w:val="231F20"/>
            <w:spacing w:val="-2"/>
            <w:w w:val="105"/>
          </w:rPr>
          <w:t>(http://pic.dhe.ibm.com/infocenter/tivihelp/v61r1/topic/com.ibm.itm.doc_6.3/</w:t>
        </w:r>
      </w:hyperlink>
      <w:r>
        <w:rPr>
          <w:color w:val="231F20"/>
          <w:spacing w:val="80"/>
          <w:w w:val="105"/>
        </w:rPr>
        <w:t> </w:t>
      </w:r>
      <w:r>
        <w:rPr>
          <w:color w:val="231F20"/>
          <w:spacing w:val="-2"/>
          <w:w w:val="105"/>
        </w:rPr>
        <w:t>install/itm_install.htm).</w:t>
      </w:r>
    </w:p>
    <w:p>
      <w:pPr>
        <w:pStyle w:val="Heading6"/>
        <w:spacing w:line="240" w:lineRule="auto" w:before="34"/>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29"/>
        <w:ind w:left="2472"/>
        <w:jc w:val="both"/>
      </w:pPr>
      <w:hyperlink w:history="true" w:anchor="_bookmark308">
        <w:r>
          <w:rPr>
            <w:color w:val="231F20"/>
          </w:rPr>
          <w:t>“Deployment</w:t>
        </w:r>
        <w:r>
          <w:rPr>
            <w:color w:val="231F20"/>
            <w:spacing w:val="6"/>
          </w:rPr>
          <w:t> </w:t>
        </w:r>
        <w:r>
          <w:rPr>
            <w:color w:val="231F20"/>
          </w:rPr>
          <w:t>Status</w:t>
        </w:r>
        <w:r>
          <w:rPr>
            <w:color w:val="231F20"/>
            <w:spacing w:val="7"/>
          </w:rPr>
          <w:t> </w:t>
        </w:r>
        <w:r>
          <w:rPr>
            <w:color w:val="231F20"/>
          </w:rPr>
          <w:t>Summary</w:t>
        </w:r>
        <w:r>
          <w:rPr>
            <w:color w:val="231F20"/>
            <w:spacing w:val="7"/>
          </w:rPr>
          <w:t> </w:t>
        </w:r>
        <w:r>
          <w:rPr>
            <w:color w:val="231F20"/>
          </w:rPr>
          <w:t>by</w:t>
        </w:r>
        <w:r>
          <w:rPr>
            <w:color w:val="231F20"/>
            <w:spacing w:val="7"/>
          </w:rPr>
          <w:t> </w:t>
        </w:r>
        <w:r>
          <w:rPr>
            <w:color w:val="231F20"/>
          </w:rPr>
          <w:t>Transaction</w:t>
        </w:r>
        <w:r>
          <w:rPr>
            <w:color w:val="231F20"/>
            <w:spacing w:val="6"/>
          </w:rPr>
          <w:t> </w:t>
        </w:r>
        <w:r>
          <w:rPr>
            <w:color w:val="231F20"/>
          </w:rPr>
          <w:t>workspace”</w:t>
        </w:r>
        <w:r>
          <w:rPr>
            <w:color w:val="231F20"/>
            <w:spacing w:val="7"/>
          </w:rPr>
          <w:t> </w:t>
        </w:r>
        <w:r>
          <w:rPr>
            <w:color w:val="231F20"/>
          </w:rPr>
          <w:t>on</w:t>
        </w:r>
        <w:r>
          <w:rPr>
            <w:color w:val="231F20"/>
            <w:spacing w:val="7"/>
          </w:rPr>
          <w:t> </w:t>
        </w:r>
        <w:r>
          <w:rPr>
            <w:color w:val="231F20"/>
          </w:rPr>
          <w:t>page</w:t>
        </w:r>
        <w:r>
          <w:rPr>
            <w:color w:val="231F20"/>
            <w:spacing w:val="7"/>
          </w:rPr>
          <w:t> </w:t>
        </w:r>
        <w:r>
          <w:rPr>
            <w:color w:val="231F20"/>
            <w:spacing w:val="-5"/>
          </w:rPr>
          <w:t>398</w:t>
        </w:r>
      </w:hyperlink>
    </w:p>
    <w:p>
      <w:pPr>
        <w:pStyle w:val="BodyText"/>
        <w:spacing w:line="213" w:lineRule="auto" w:before="8"/>
        <w:ind w:left="2472" w:right="729"/>
        <w:jc w:val="both"/>
      </w:pPr>
      <w:r>
        <w:rPr>
          <w:color w:val="231F20"/>
        </w:rPr>
        <w:t>The Deployment Status Summary by Transaction workspace shows </w:t>
      </w:r>
      <w:r>
        <w:rPr>
          <w:color w:val="231F20"/>
        </w:rPr>
        <w:t>summary status information about pending and completed asynchronous remote agent deployments, sorted by transaction. This is one of the predefined workspaces </w:t>
      </w:r>
      <w:bookmarkStart w:name="Deployment Status Summary workspace" w:id="634"/>
      <w:bookmarkEnd w:id="634"/>
      <w:r>
        <w:rPr>
          <w:color w:val="231F20"/>
        </w:rPr>
        <w:t>available</w:t>
      </w:r>
      <w:r>
        <w:rPr>
          <w:color w:val="231F20"/>
        </w:rPr>
        <w:t> from the Enterprise Navigator item.</w:t>
      </w:r>
    </w:p>
    <w:p>
      <w:pPr>
        <w:pStyle w:val="Heading4"/>
        <w:spacing w:line="273" w:lineRule="exact" w:before="164"/>
        <w:ind w:left="2472"/>
      </w:pPr>
      <w:r>
        <w:rPr>
          <w:color w:val="231F20"/>
        </w:rPr>
        <w:t>Deployment Status</w:t>
      </w:r>
      <w:r>
        <w:rPr>
          <w:color w:val="231F20"/>
          <w:spacing w:val="2"/>
        </w:rPr>
        <w:t> </w:t>
      </w:r>
      <w:r>
        <w:rPr>
          <w:color w:val="231F20"/>
        </w:rPr>
        <w:t>Summary</w:t>
      </w:r>
      <w:r>
        <w:rPr>
          <w:color w:val="231F20"/>
          <w:spacing w:val="3"/>
        </w:rPr>
        <w:t> </w:t>
      </w:r>
      <w:r>
        <w:rPr>
          <w:color w:val="231F20"/>
          <w:spacing w:val="-2"/>
        </w:rPr>
        <w:t>workspace</w:t>
      </w:r>
    </w:p>
    <w:p>
      <w:pPr>
        <w:pStyle w:val="BodyText"/>
        <w:spacing w:line="213" w:lineRule="auto" w:before="20"/>
        <w:ind w:left="2472" w:right="258"/>
      </w:pPr>
      <w:r>
        <w:rPr>
          <w:color w:val="231F20"/>
        </w:rPr>
        <w:t>Use the Deployment Status Summary workspace to get ongoing status detail </w:t>
      </w:r>
      <w:r>
        <w:rPr>
          <w:color w:val="231F20"/>
        </w:rPr>
        <w:t>about pending and completed asynchronous remote agent deployments. The charts and tables have visual indicators for quick assessment of the success rate and any problems that arise.</w:t>
      </w:r>
    </w:p>
    <w:p>
      <w:pPr>
        <w:pStyle w:val="Heading5"/>
        <w:spacing w:before="217"/>
      </w:pPr>
      <w:r>
        <w:rPr>
          <w:color w:val="231F20"/>
        </w:rPr>
        <w:t>Accessing</w:t>
      </w:r>
      <w:r>
        <w:rPr>
          <w:color w:val="231F20"/>
          <w:spacing w:val="3"/>
        </w:rPr>
        <w:t> </w:t>
      </w:r>
      <w:r>
        <w:rPr>
          <w:color w:val="231F20"/>
        </w:rPr>
        <w:t>the</w:t>
      </w:r>
      <w:r>
        <w:rPr>
          <w:color w:val="231F20"/>
          <w:spacing w:val="4"/>
        </w:rPr>
        <w:t> </w:t>
      </w:r>
      <w:r>
        <w:rPr>
          <w:color w:val="231F20"/>
          <w:spacing w:val="-2"/>
        </w:rPr>
        <w:t>workspace</w:t>
      </w:r>
    </w:p>
    <w:p>
      <w:pPr>
        <w:pStyle w:val="ListParagraph"/>
        <w:numPr>
          <w:ilvl w:val="0"/>
          <w:numId w:val="180"/>
        </w:numPr>
        <w:tabs>
          <w:tab w:pos="2787" w:val="left" w:leader="none"/>
        </w:tabs>
        <w:spacing w:line="240" w:lineRule="auto" w:before="43"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3131" name="Image 3131"/>
            <wp:cNvGraphicFramePr>
              <a:graphicFrameLocks/>
            </wp:cNvGraphicFramePr>
            <a:graphic>
              <a:graphicData uri="http://schemas.openxmlformats.org/drawingml/2006/picture">
                <pic:pic>
                  <pic:nvPicPr>
                    <pic:cNvPr id="3131" name="Image 3131"/>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color w:val="231F20"/>
          <w:sz w:val="20"/>
        </w:rPr>
        <w:t>Enterprise</w:t>
      </w:r>
      <w:r>
        <w:rPr>
          <w:color w:val="231F20"/>
          <w:spacing w:val="11"/>
          <w:sz w:val="20"/>
        </w:rPr>
        <w:t> </w:t>
      </w:r>
      <w:r>
        <w:rPr>
          <w:color w:val="231F20"/>
          <w:sz w:val="20"/>
        </w:rPr>
        <w:t>item</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Navigator</w:t>
      </w:r>
      <w:r>
        <w:rPr>
          <w:color w:val="231F20"/>
          <w:spacing w:val="11"/>
          <w:sz w:val="20"/>
        </w:rPr>
        <w:t> </w:t>
      </w:r>
      <w:r>
        <w:rPr>
          <w:color w:val="231F20"/>
          <w:sz w:val="20"/>
        </w:rPr>
        <w:t>Physical</w:t>
      </w:r>
      <w:r>
        <w:rPr>
          <w:color w:val="231F20"/>
          <w:spacing w:val="11"/>
          <w:sz w:val="20"/>
        </w:rPr>
        <w:t> </w:t>
      </w:r>
      <w:r>
        <w:rPr>
          <w:color w:val="231F20"/>
          <w:spacing w:val="-2"/>
          <w:sz w:val="20"/>
        </w:rPr>
        <w:t>view.</w:t>
      </w:r>
    </w:p>
    <w:p>
      <w:pPr>
        <w:pStyle w:val="ListParagraph"/>
        <w:numPr>
          <w:ilvl w:val="0"/>
          <w:numId w:val="180"/>
        </w:numPr>
        <w:tabs>
          <w:tab w:pos="2787" w:val="left" w:leader="none"/>
        </w:tabs>
        <w:spacing w:line="240" w:lineRule="auto" w:before="29" w:after="0"/>
        <w:ind w:left="2787" w:right="0" w:hanging="315"/>
        <w:jc w:val="left"/>
        <w:rPr>
          <w:sz w:val="20"/>
        </w:rPr>
      </w:pPr>
      <w:r>
        <w:rPr>
          <w:color w:val="231F20"/>
          <w:sz w:val="20"/>
        </w:rPr>
        <w:t>Click</w:t>
      </w:r>
      <w:r>
        <w:rPr>
          <w:color w:val="231F20"/>
          <w:spacing w:val="-2"/>
          <w:sz w:val="20"/>
        </w:rPr>
        <w:t> </w:t>
      </w:r>
      <w:r>
        <w:rPr>
          <w:color w:val="231F20"/>
          <w:spacing w:val="16"/>
          <w:position w:val="-1"/>
          <w:sz w:val="20"/>
        </w:rPr>
        <w:drawing>
          <wp:inline distT="0" distB="0" distL="0" distR="0">
            <wp:extent cx="101600" cy="101600"/>
            <wp:effectExtent l="0" t="0" r="0" b="0"/>
            <wp:docPr id="3132" name="Image 3132"/>
            <wp:cNvGraphicFramePr>
              <a:graphicFrameLocks/>
            </wp:cNvGraphicFramePr>
            <a:graphic>
              <a:graphicData uri="http://schemas.openxmlformats.org/drawingml/2006/picture">
                <pic:pic>
                  <pic:nvPicPr>
                    <pic:cNvPr id="3132" name="Image 3132"/>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Workspace</w:t>
      </w:r>
      <w:r>
        <w:rPr>
          <w:rFonts w:ascii="Book Antiqua"/>
          <w:b/>
          <w:color w:val="231F20"/>
          <w:spacing w:val="4"/>
          <w:sz w:val="20"/>
        </w:rPr>
        <w:t> </w:t>
      </w:r>
      <w:r>
        <w:rPr>
          <w:rFonts w:ascii="Book Antiqua"/>
          <w:b/>
          <w:color w:val="231F20"/>
          <w:spacing w:val="-2"/>
          <w:sz w:val="20"/>
        </w:rPr>
        <w:t>gallery</w:t>
      </w:r>
      <w:r>
        <w:rPr>
          <w:color w:val="231F20"/>
          <w:spacing w:val="-2"/>
          <w:sz w:val="20"/>
        </w:rPr>
        <w:t>.</w:t>
      </w:r>
    </w:p>
    <w:p>
      <w:pPr>
        <w:pStyle w:val="ListParagraph"/>
        <w:numPr>
          <w:ilvl w:val="0"/>
          <w:numId w:val="180"/>
        </w:numPr>
        <w:tabs>
          <w:tab w:pos="2788" w:val="left" w:leader="none"/>
        </w:tabs>
        <w:spacing w:line="213" w:lineRule="auto" w:before="53" w:after="0"/>
        <w:ind w:left="2788" w:right="572" w:hanging="316"/>
        <w:jc w:val="left"/>
        <w:rPr>
          <w:sz w:val="20"/>
        </w:rPr>
      </w:pPr>
      <w:r>
        <w:rPr>
          <w:color w:val="231F20"/>
          <w:sz w:val="20"/>
        </w:rPr>
        <w:t>Scroll to </w:t>
      </w:r>
      <w:r>
        <w:rPr>
          <w:rFonts w:ascii="Book Antiqua"/>
          <w:b/>
          <w:color w:val="231F20"/>
          <w:sz w:val="20"/>
        </w:rPr>
        <w:t>Deployment Status Summary</w:t>
      </w:r>
      <w:r>
        <w:rPr>
          <w:color w:val="231F20"/>
          <w:sz w:val="20"/>
        </w:rPr>
        <w:t>, then click the thumbnail graphic </w:t>
      </w:r>
      <w:r>
        <w:rPr>
          <w:color w:val="231F20"/>
          <w:sz w:val="20"/>
        </w:rPr>
        <w:t>to open the workspace.</w:t>
      </w:r>
    </w:p>
    <w:p>
      <w:pPr>
        <w:pStyle w:val="Heading5"/>
        <w:spacing w:before="219"/>
      </w:pPr>
      <w:r>
        <w:rPr>
          <w:color w:val="231F20"/>
        </w:rPr>
        <w:t>What</w:t>
      </w:r>
      <w:r>
        <w:rPr>
          <w:color w:val="231F20"/>
          <w:spacing w:val="4"/>
        </w:rPr>
        <w:t> </w:t>
      </w:r>
      <w:r>
        <w:rPr>
          <w:color w:val="231F20"/>
        </w:rPr>
        <w:t>the</w:t>
      </w:r>
      <w:r>
        <w:rPr>
          <w:color w:val="231F20"/>
          <w:spacing w:val="4"/>
        </w:rPr>
        <w:t> </w:t>
      </w:r>
      <w:r>
        <w:rPr>
          <w:color w:val="231F20"/>
        </w:rPr>
        <w:t>workspace</w:t>
      </w:r>
      <w:r>
        <w:rPr>
          <w:color w:val="231F20"/>
          <w:spacing w:val="4"/>
        </w:rPr>
        <w:t> </w:t>
      </w:r>
      <w:r>
        <w:rPr>
          <w:color w:val="231F20"/>
          <w:spacing w:val="-2"/>
        </w:rPr>
        <w:t>shows</w:t>
      </w:r>
    </w:p>
    <w:p>
      <w:pPr>
        <w:pStyle w:val="Heading6"/>
        <w:spacing w:before="124"/>
      </w:pPr>
      <w:r>
        <w:rPr>
          <w:color w:val="231F20"/>
        </w:rPr>
        <w:t>Deployment</w:t>
      </w:r>
      <w:r>
        <w:rPr>
          <w:color w:val="231F20"/>
          <w:spacing w:val="7"/>
        </w:rPr>
        <w:t> </w:t>
      </w:r>
      <w:r>
        <w:rPr>
          <w:color w:val="231F20"/>
        </w:rPr>
        <w:t>Status</w:t>
      </w:r>
      <w:r>
        <w:rPr>
          <w:color w:val="231F20"/>
          <w:spacing w:val="7"/>
        </w:rPr>
        <w:t> </w:t>
      </w:r>
      <w:r>
        <w:rPr>
          <w:color w:val="231F20"/>
          <w:spacing w:val="-2"/>
        </w:rPr>
        <w:t>Summary</w:t>
      </w:r>
    </w:p>
    <w:p>
      <w:pPr>
        <w:pStyle w:val="BodyText"/>
        <w:spacing w:line="213" w:lineRule="auto" w:before="12"/>
        <w:ind w:left="3190" w:right="545"/>
      </w:pPr>
      <w:r>
        <w:rPr>
          <w:color w:val="231F20"/>
        </w:rPr>
        <w:t>Deployment Status Summary is a table view showing total counts of </w:t>
      </w:r>
      <w:r>
        <w:rPr>
          <w:color w:val="231F20"/>
        </w:rPr>
        <w:t>the pending asynchronous agent deployments. For each target managed system, the table shows the number of deployments in each status (succeeded, failed, retrying, queued, and in progress).</w:t>
      </w:r>
    </w:p>
    <w:p>
      <w:pPr>
        <w:pStyle w:val="Heading6"/>
        <w:spacing w:before="115"/>
      </w:pPr>
      <w:r>
        <w:rPr>
          <w:color w:val="231F20"/>
        </w:rPr>
        <w:t>Status</w:t>
      </w:r>
      <w:r>
        <w:rPr>
          <w:color w:val="231F20"/>
          <w:spacing w:val="9"/>
        </w:rPr>
        <w:t> </w:t>
      </w:r>
      <w:r>
        <w:rPr>
          <w:color w:val="231F20"/>
        </w:rPr>
        <w:t>Summary</w:t>
      </w:r>
      <w:r>
        <w:rPr>
          <w:color w:val="231F20"/>
          <w:spacing w:val="10"/>
        </w:rPr>
        <w:t> </w:t>
      </w:r>
      <w:r>
        <w:rPr>
          <w:color w:val="231F20"/>
        </w:rPr>
        <w:t>of</w:t>
      </w:r>
      <w:r>
        <w:rPr>
          <w:color w:val="231F20"/>
          <w:spacing w:val="10"/>
        </w:rPr>
        <w:t> </w:t>
      </w:r>
      <w:r>
        <w:rPr>
          <w:color w:val="231F20"/>
        </w:rPr>
        <w:t>Complete</w:t>
      </w:r>
      <w:r>
        <w:rPr>
          <w:color w:val="231F20"/>
          <w:spacing w:val="9"/>
        </w:rPr>
        <w:t> </w:t>
      </w:r>
      <w:r>
        <w:rPr>
          <w:color w:val="231F20"/>
          <w:spacing w:val="-2"/>
        </w:rPr>
        <w:t>Deployments</w:t>
      </w:r>
    </w:p>
    <w:p>
      <w:pPr>
        <w:pStyle w:val="BodyText"/>
        <w:spacing w:line="213" w:lineRule="auto" w:before="12"/>
        <w:ind w:left="3190" w:right="385"/>
      </w:pPr>
      <w:r>
        <w:rPr>
          <w:color w:val="231F20"/>
        </w:rPr>
        <w:t>Status Summary of Complete Deployments is a stacked bar chart </w:t>
      </w:r>
      <w:r>
        <w:rPr>
          <w:color w:val="231F20"/>
        </w:rPr>
        <w:t>showing the asynchronous agent deployments that have finished processing. For each target managed system, the chart shows how many deployments succeeded and how many failed.</w:t>
      </w:r>
    </w:p>
    <w:p>
      <w:pPr>
        <w:pStyle w:val="Heading6"/>
        <w:spacing w:before="116"/>
      </w:pPr>
      <w:r>
        <w:rPr>
          <w:color w:val="231F20"/>
        </w:rPr>
        <w:t>Status</w:t>
      </w:r>
      <w:r>
        <w:rPr>
          <w:color w:val="231F20"/>
          <w:spacing w:val="9"/>
        </w:rPr>
        <w:t> </w:t>
      </w:r>
      <w:r>
        <w:rPr>
          <w:color w:val="231F20"/>
        </w:rPr>
        <w:t>Summary</w:t>
      </w:r>
      <w:r>
        <w:rPr>
          <w:color w:val="231F20"/>
          <w:spacing w:val="9"/>
        </w:rPr>
        <w:t> </w:t>
      </w:r>
      <w:r>
        <w:rPr>
          <w:color w:val="231F20"/>
        </w:rPr>
        <w:t>of</w:t>
      </w:r>
      <w:r>
        <w:rPr>
          <w:color w:val="231F20"/>
          <w:spacing w:val="9"/>
        </w:rPr>
        <w:t> </w:t>
      </w:r>
      <w:r>
        <w:rPr>
          <w:color w:val="231F20"/>
        </w:rPr>
        <w:t>Incomplete</w:t>
      </w:r>
      <w:r>
        <w:rPr>
          <w:color w:val="231F20"/>
          <w:spacing w:val="10"/>
        </w:rPr>
        <w:t> </w:t>
      </w:r>
      <w:r>
        <w:rPr>
          <w:color w:val="231F20"/>
          <w:spacing w:val="-2"/>
        </w:rPr>
        <w:t>Deployments</w:t>
      </w:r>
    </w:p>
    <w:p>
      <w:pPr>
        <w:pStyle w:val="BodyText"/>
        <w:spacing w:line="213" w:lineRule="auto" w:before="11"/>
        <w:ind w:left="3190" w:right="385"/>
      </w:pPr>
      <w:r>
        <w:rPr>
          <w:color w:val="231F20"/>
        </w:rPr>
        <w:t>Status Summary of Incomplete Deployments is a stacked bar chart showing the asynchronous agent deployments that have not yet </w:t>
      </w:r>
      <w:r>
        <w:rPr>
          <w:color w:val="231F20"/>
        </w:rPr>
        <w:t>finished processing. For each target managed system, the chart shows the deployments that are queued, in progress, or retrying.</w:t>
      </w:r>
    </w:p>
    <w:p>
      <w:pPr>
        <w:spacing w:after="0" w:line="213" w:lineRule="auto"/>
        <w:sectPr>
          <w:pgSz w:w="12240" w:h="15840"/>
          <w:pgMar w:header="0" w:footer="736" w:top="1160" w:bottom="920" w:left="1000" w:right="1060"/>
        </w:sectPr>
      </w:pPr>
    </w:p>
    <w:p>
      <w:pPr>
        <w:pStyle w:val="Heading6"/>
        <w:spacing w:before="83"/>
        <w:ind w:left="2232"/>
      </w:pPr>
      <w:bookmarkStart w:name="_bookmark308" w:id="635"/>
      <w:bookmarkEnd w:id="635"/>
      <w:r>
        <w:rPr>
          <w:b w:val="0"/>
        </w:rPr>
      </w:r>
      <w:r>
        <w:rPr>
          <w:color w:val="231F20"/>
        </w:rPr>
        <w:t>Deployment</w:t>
      </w:r>
      <w:r>
        <w:rPr>
          <w:color w:val="231F20"/>
          <w:spacing w:val="7"/>
        </w:rPr>
        <w:t> </w:t>
      </w:r>
      <w:r>
        <w:rPr>
          <w:color w:val="231F20"/>
        </w:rPr>
        <w:t>Status</w:t>
      </w:r>
      <w:r>
        <w:rPr>
          <w:color w:val="231F20"/>
          <w:spacing w:val="7"/>
        </w:rPr>
        <w:t> </w:t>
      </w:r>
      <w:r>
        <w:rPr>
          <w:color w:val="231F20"/>
          <w:spacing w:val="-2"/>
        </w:rPr>
        <w:t>Detail</w:t>
      </w:r>
    </w:p>
    <w:p>
      <w:pPr>
        <w:pStyle w:val="BodyText"/>
        <w:spacing w:line="213" w:lineRule="auto" w:before="12"/>
        <w:ind w:left="2951" w:right="493"/>
      </w:pPr>
      <w:r>
        <w:rPr>
          <w:color w:val="231F20"/>
        </w:rPr>
        <w:t>Deployment Status Detail is a table view showing detailed information about all asynchronous agent deployments. The table shows the status, product ID, target managed system, and other details about each deployment</w:t>
      </w:r>
      <w:r>
        <w:rPr>
          <w:color w:val="231F20"/>
          <w:spacing w:val="26"/>
        </w:rPr>
        <w:t> </w:t>
      </w:r>
      <w:r>
        <w:rPr>
          <w:color w:val="231F20"/>
        </w:rPr>
        <w:t>request.</w:t>
      </w:r>
      <w:r>
        <w:rPr>
          <w:color w:val="231F20"/>
          <w:spacing w:val="26"/>
        </w:rPr>
        <w:t> </w:t>
      </w:r>
      <w:r>
        <w:rPr>
          <w:color w:val="231F20"/>
        </w:rPr>
        <w:t>Click</w:t>
      </w:r>
      <w:r>
        <w:rPr>
          <w:color w:val="231F20"/>
          <w:spacing w:val="15"/>
        </w:rPr>
        <w:t> </w:t>
      </w:r>
      <w:r>
        <w:rPr>
          <w:color w:val="231F20"/>
          <w:spacing w:val="15"/>
          <w:position w:val="-1"/>
        </w:rPr>
        <w:drawing>
          <wp:inline distT="0" distB="0" distL="0" distR="0">
            <wp:extent cx="101600" cy="101600"/>
            <wp:effectExtent l="0" t="0" r="0" b="0"/>
            <wp:docPr id="3133" name="Image 3133"/>
            <wp:cNvGraphicFramePr>
              <a:graphicFrameLocks/>
            </wp:cNvGraphicFramePr>
            <a:graphic>
              <a:graphicData uri="http://schemas.openxmlformats.org/drawingml/2006/picture">
                <pic:pic>
                  <pic:nvPicPr>
                    <pic:cNvPr id="3133" name="Image 3133"/>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hAnsi="Times New Roman"/>
          <w:color w:val="231F20"/>
          <w:spacing w:val="40"/>
        </w:rPr>
        <w:t> </w:t>
      </w:r>
      <w:r>
        <w:rPr>
          <w:color w:val="231F20"/>
        </w:rPr>
        <w:t>on</w:t>
      </w:r>
      <w:r>
        <w:rPr>
          <w:color w:val="231F20"/>
          <w:spacing w:val="26"/>
        </w:rPr>
        <w:t> </w:t>
      </w:r>
      <w:r>
        <w:rPr>
          <w:color w:val="231F20"/>
        </w:rPr>
        <w:t>a</w:t>
      </w:r>
      <w:r>
        <w:rPr>
          <w:color w:val="231F20"/>
          <w:spacing w:val="26"/>
        </w:rPr>
        <w:t> </w:t>
      </w:r>
      <w:r>
        <w:rPr>
          <w:color w:val="231F20"/>
        </w:rPr>
        <w:t>row</w:t>
      </w:r>
      <w:r>
        <w:rPr>
          <w:color w:val="231F20"/>
          <w:spacing w:val="26"/>
        </w:rPr>
        <w:t> </w:t>
      </w:r>
      <w:r>
        <w:rPr>
          <w:color w:val="231F20"/>
        </w:rPr>
        <w:t>to</w:t>
      </w:r>
      <w:r>
        <w:rPr>
          <w:color w:val="231F20"/>
          <w:spacing w:val="26"/>
        </w:rPr>
        <w:t> </w:t>
      </w:r>
      <w:r>
        <w:rPr>
          <w:color w:val="231F20"/>
        </w:rPr>
        <w:t>link</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more</w:t>
      </w:r>
      <w:r>
        <w:rPr>
          <w:color w:val="231F20"/>
          <w:spacing w:val="26"/>
        </w:rPr>
        <w:t> </w:t>
      </w:r>
      <w:r>
        <w:rPr>
          <w:color w:val="231F20"/>
        </w:rPr>
        <w:t>detailed workspace for the selected deploy group or product. See </w:t>
      </w:r>
      <w:hyperlink w:history="true" w:anchor="_bookmark309">
        <w:r>
          <w:rPr>
            <w:color w:val="231F20"/>
          </w:rPr>
          <w:t>“Deployment</w:t>
        </w:r>
      </w:hyperlink>
      <w:r>
        <w:rPr>
          <w:color w:val="231F20"/>
        </w:rPr>
        <w:t> </w:t>
      </w:r>
      <w:hyperlink w:history="true" w:anchor="_bookmark309">
        <w:r>
          <w:rPr>
            <w:color w:val="231F20"/>
          </w:rPr>
          <w:t>Status by Deploy Group workspace” on page 400</w:t>
        </w:r>
      </w:hyperlink>
      <w:r>
        <w:rPr>
          <w:color w:val="231F20"/>
        </w:rPr>
        <w:t> and </w:t>
      </w:r>
      <w:hyperlink w:history="true" w:anchor="_bookmark310">
        <w:r>
          <w:rPr>
            <w:color w:val="231F20"/>
          </w:rPr>
          <w:t>“Deployment </w:t>
        </w:r>
        <w:r>
          <w:rPr>
            <w:color w:val="231F20"/>
          </w:rPr>
          <w:t>Status</w:t>
        </w:r>
      </w:hyperlink>
      <w:r>
        <w:rPr>
          <w:color w:val="231F20"/>
        </w:rPr>
        <w:t> </w:t>
      </w:r>
      <w:hyperlink w:history="true" w:anchor="_bookmark310">
        <w:r>
          <w:rPr>
            <w:color w:val="231F20"/>
          </w:rPr>
          <w:t>by Product workspace” on page 401</w:t>
        </w:r>
      </w:hyperlink>
      <w:r>
        <w:rPr>
          <w:color w:val="231F20"/>
        </w:rPr>
        <w:t> for details.</w:t>
      </w:r>
    </w:p>
    <w:p>
      <w:pPr>
        <w:pStyle w:val="BodyText"/>
        <w:spacing w:line="213" w:lineRule="auto" w:before="235"/>
        <w:ind w:left="2951" w:right="603"/>
      </w:pPr>
      <w:r>
        <w:rPr>
          <w:rFonts w:ascii="Book Antiqua"/>
          <w:b/>
          <w:color w:val="231F20"/>
        </w:rPr>
        <w:t>Tip:</w:t>
      </w:r>
      <w:r>
        <w:rPr>
          <w:rFonts w:ascii="Book Antiqua"/>
          <w:b/>
          <w:color w:val="231F20"/>
          <w:spacing w:val="40"/>
        </w:rPr>
        <w:t> </w:t>
      </w:r>
      <w:r>
        <w:rPr>
          <w:color w:val="231F20"/>
        </w:rPr>
        <w:t>The timestamps for a transaction are generated by the monitoring server that is processing the deployment. The hub monitoring server</w:t>
      </w:r>
      <w:r>
        <w:rPr>
          <w:color w:val="231F20"/>
          <w:spacing w:val="80"/>
          <w:w w:val="150"/>
        </w:rPr>
        <w:t> </w:t>
      </w:r>
      <w:r>
        <w:rPr>
          <w:color w:val="231F20"/>
        </w:rPr>
        <w:t>inserts the transaction first. You might have a start time that is earlier </w:t>
      </w:r>
      <w:r>
        <w:rPr>
          <w:color w:val="231F20"/>
        </w:rPr>
        <w:t>than the latest timestamp because the remote monitoring server is behind the</w:t>
      </w:r>
      <w:r>
        <w:rPr>
          <w:color w:val="231F20"/>
          <w:spacing w:val="40"/>
        </w:rPr>
        <w:t> </w:t>
      </w:r>
      <w:r>
        <w:rPr>
          <w:color w:val="231F20"/>
        </w:rPr>
        <w:t>hub monitoring server. To avoid this confusion, you might want to sync</w:t>
      </w:r>
      <w:r>
        <w:rPr>
          <w:color w:val="231F20"/>
          <w:spacing w:val="80"/>
          <w:w w:val="150"/>
        </w:rPr>
        <w:t> </w:t>
      </w:r>
      <w:r>
        <w:rPr>
          <w:color w:val="231F20"/>
        </w:rPr>
        <w:t>the time on the hub monitoring server and remote monitoring server.</w:t>
      </w:r>
    </w:p>
    <w:p>
      <w:pPr>
        <w:pStyle w:val="Heading5"/>
        <w:spacing w:before="215"/>
        <w:ind w:left="2232"/>
      </w:pPr>
      <w:r>
        <w:rPr>
          <w:color w:val="231F20"/>
        </w:rPr>
        <w:t>Deployment</w:t>
      </w:r>
      <w:r>
        <w:rPr>
          <w:color w:val="231F20"/>
          <w:spacing w:val="-2"/>
        </w:rPr>
        <w:t> notes</w:t>
      </w:r>
    </w:p>
    <w:p>
      <w:pPr>
        <w:pStyle w:val="Heading6"/>
        <w:spacing w:before="125"/>
        <w:ind w:left="2232"/>
      </w:pPr>
      <w:r>
        <w:rPr>
          <w:color w:val="231F20"/>
        </w:rPr>
        <w:t>Asynchronous</w:t>
      </w:r>
      <w:r>
        <w:rPr>
          <w:color w:val="231F20"/>
          <w:spacing w:val="7"/>
        </w:rPr>
        <w:t> </w:t>
      </w:r>
      <w:r>
        <w:rPr>
          <w:color w:val="231F20"/>
        </w:rPr>
        <w:t>remote</w:t>
      </w:r>
      <w:r>
        <w:rPr>
          <w:color w:val="231F20"/>
          <w:spacing w:val="8"/>
        </w:rPr>
        <w:t> </w:t>
      </w:r>
      <w:r>
        <w:rPr>
          <w:color w:val="231F20"/>
        </w:rPr>
        <w:t>agent</w:t>
      </w:r>
      <w:r>
        <w:rPr>
          <w:color w:val="231F20"/>
          <w:spacing w:val="8"/>
        </w:rPr>
        <w:t> </w:t>
      </w:r>
      <w:r>
        <w:rPr>
          <w:color w:val="231F20"/>
          <w:spacing w:val="-2"/>
        </w:rPr>
        <w:t>deployment</w:t>
      </w:r>
    </w:p>
    <w:p>
      <w:pPr>
        <w:pStyle w:val="BodyText"/>
        <w:spacing w:line="213" w:lineRule="auto" w:before="11"/>
        <w:ind w:left="2951" w:right="636"/>
      </w:pPr>
      <w:r>
        <w:rPr>
          <w:color w:val="231F20"/>
        </w:rPr>
        <w:t>Agents can be remotely deployed asynchronously as well as synchronously. With asynchronous deployment, you can request that a second remote agent be deployed, even if the previously deployed </w:t>
      </w:r>
      <w:r>
        <w:rPr>
          <w:color w:val="231F20"/>
        </w:rPr>
        <w:t>agent has not initialized fully. You can also group agents for bulk remote </w:t>
      </w:r>
      <w:r>
        <w:rPr>
          <w:color w:val="231F20"/>
          <w:spacing w:val="-2"/>
        </w:rPr>
        <w:t>deployment.</w:t>
      </w:r>
    </w:p>
    <w:p>
      <w:pPr>
        <w:spacing w:line="213" w:lineRule="auto" w:before="117"/>
        <w:ind w:left="2951" w:right="545" w:firstLine="0"/>
        <w:jc w:val="left"/>
        <w:rPr>
          <w:sz w:val="20"/>
        </w:rPr>
      </w:pPr>
      <w:r>
        <w:rPr>
          <w:color w:val="231F20"/>
          <w:sz w:val="20"/>
        </w:rPr>
        <w:t>See “Deploying monitoring agents across your environment” in the </w:t>
      </w:r>
      <w:hyperlink r:id="rId369">
        <w:r>
          <w:rPr>
            <w:rFonts w:ascii="Book Antiqua" w:hAnsi="Book Antiqua"/>
            <w:i/>
            <w:color w:val="231F20"/>
            <w:sz w:val="20"/>
          </w:rPr>
          <w:t>IBM</w:t>
        </w:r>
      </w:hyperlink>
      <w:r>
        <w:rPr>
          <w:rFonts w:ascii="Book Antiqua" w:hAnsi="Book Antiqua"/>
          <w:i/>
          <w:color w:val="231F20"/>
          <w:sz w:val="20"/>
        </w:rPr>
        <w:t> </w:t>
      </w:r>
      <w:hyperlink r:id="rId369">
        <w:r>
          <w:rPr>
            <w:rFonts w:ascii="Book Antiqua" w:hAnsi="Book Antiqua"/>
            <w:i/>
            <w:color w:val="231F20"/>
            <w:w w:val="105"/>
            <w:sz w:val="20"/>
          </w:rPr>
          <w:t>Tivoli Monitoring Installation and Setup Guide</w:t>
        </w:r>
      </w:hyperlink>
      <w:r>
        <w:rPr>
          <w:rFonts w:ascii="Book Antiqua" w:hAnsi="Book Antiqua"/>
          <w:i/>
          <w:color w:val="231F20"/>
          <w:w w:val="105"/>
          <w:sz w:val="20"/>
        </w:rPr>
        <w:t> </w:t>
      </w:r>
      <w:hyperlink r:id="rId470">
        <w:r>
          <w:rPr>
            <w:color w:val="231F20"/>
            <w:w w:val="105"/>
            <w:sz w:val="20"/>
          </w:rPr>
          <w:t>(http://pic.dhe.ibm.com/</w:t>
        </w:r>
      </w:hyperlink>
      <w:r>
        <w:rPr>
          <w:color w:val="231F20"/>
          <w:w w:val="105"/>
          <w:sz w:val="20"/>
        </w:rPr>
        <w:t> </w:t>
      </w:r>
      <w:r>
        <w:rPr>
          <w:color w:val="231F20"/>
          <w:spacing w:val="-2"/>
          <w:w w:val="105"/>
          <w:sz w:val="20"/>
        </w:rPr>
        <w:t>infocenter/tivihelp/v61r1/topic/com.ibm.itm.doc_6.3/install/ </w:t>
      </w:r>
      <w:r>
        <w:rPr>
          <w:color w:val="231F20"/>
          <w:w w:val="105"/>
          <w:sz w:val="20"/>
        </w:rPr>
        <w:t>itm_install.htm) for details.</w:t>
      </w:r>
    </w:p>
    <w:p>
      <w:pPr>
        <w:pStyle w:val="Heading6"/>
        <w:spacing w:before="115"/>
        <w:ind w:left="2232"/>
      </w:pPr>
      <w:r>
        <w:rPr>
          <w:color w:val="231F20"/>
        </w:rPr>
        <w:t>CLI</w:t>
      </w:r>
      <w:r>
        <w:rPr>
          <w:color w:val="231F20"/>
          <w:spacing w:val="8"/>
        </w:rPr>
        <w:t> </w:t>
      </w:r>
      <w:r>
        <w:rPr>
          <w:color w:val="231F20"/>
        </w:rPr>
        <w:t>commands</w:t>
      </w:r>
      <w:r>
        <w:rPr>
          <w:color w:val="231F20"/>
          <w:spacing w:val="11"/>
        </w:rPr>
        <w:t> </w:t>
      </w:r>
      <w:r>
        <w:rPr>
          <w:color w:val="231F20"/>
        </w:rPr>
        <w:t>for</w:t>
      </w:r>
      <w:r>
        <w:rPr>
          <w:color w:val="231F20"/>
          <w:spacing w:val="11"/>
        </w:rPr>
        <w:t> </w:t>
      </w:r>
      <w:r>
        <w:rPr>
          <w:color w:val="231F20"/>
        </w:rPr>
        <w:t>agent</w:t>
      </w:r>
      <w:r>
        <w:rPr>
          <w:color w:val="231F20"/>
          <w:spacing w:val="11"/>
        </w:rPr>
        <w:t> </w:t>
      </w:r>
      <w:r>
        <w:rPr>
          <w:color w:val="231F20"/>
          <w:spacing w:val="-2"/>
        </w:rPr>
        <w:t>deployment</w:t>
      </w:r>
    </w:p>
    <w:p>
      <w:pPr>
        <w:spacing w:line="213" w:lineRule="auto" w:before="12"/>
        <w:ind w:left="2951" w:right="493" w:hanging="1"/>
        <w:jc w:val="left"/>
        <w:rPr>
          <w:sz w:val="20"/>
        </w:rPr>
      </w:pPr>
      <w:r>
        <w:rPr>
          <w:color w:val="231F20"/>
          <w:sz w:val="20"/>
        </w:rPr>
        <w:t>The</w:t>
      </w:r>
      <w:r>
        <w:rPr>
          <w:color w:val="231F20"/>
          <w:spacing w:val="-2"/>
          <w:sz w:val="20"/>
        </w:rPr>
        <w:t> </w:t>
      </w:r>
      <w:r>
        <w:rPr>
          <w:rFonts w:ascii="Arial"/>
          <w:b/>
          <w:color w:val="231F20"/>
          <w:sz w:val="20"/>
        </w:rPr>
        <w:t>tacmd</w:t>
      </w:r>
      <w:r>
        <w:rPr>
          <w:rFonts w:ascii="Arial"/>
          <w:b/>
          <w:color w:val="231F20"/>
          <w:spacing w:val="-8"/>
          <w:sz w:val="20"/>
        </w:rPr>
        <w:t> </w:t>
      </w:r>
      <w:r>
        <w:rPr>
          <w:rFonts w:ascii="Arial"/>
          <w:b/>
          <w:color w:val="231F20"/>
          <w:sz w:val="20"/>
        </w:rPr>
        <w:t>getdeploystatus</w:t>
      </w:r>
      <w:r>
        <w:rPr>
          <w:rFonts w:ascii="Arial"/>
          <w:b/>
          <w:color w:val="231F20"/>
          <w:spacing w:val="-8"/>
          <w:sz w:val="20"/>
        </w:rPr>
        <w:t> </w:t>
      </w:r>
      <w:r>
        <w:rPr>
          <w:color w:val="231F20"/>
          <w:sz w:val="20"/>
        </w:rPr>
        <w:t>command</w:t>
      </w:r>
      <w:r>
        <w:rPr>
          <w:color w:val="231F20"/>
          <w:spacing w:val="-2"/>
          <w:sz w:val="20"/>
        </w:rPr>
        <w:t> </w:t>
      </w:r>
      <w:r>
        <w:rPr>
          <w:color w:val="231F20"/>
          <w:sz w:val="20"/>
        </w:rPr>
        <w:t>reports</w:t>
      </w:r>
      <w:r>
        <w:rPr>
          <w:color w:val="231F20"/>
          <w:spacing w:val="-2"/>
          <w:sz w:val="20"/>
        </w:rPr>
        <w:t> </w:t>
      </w:r>
      <w:r>
        <w:rPr>
          <w:color w:val="231F20"/>
          <w:sz w:val="20"/>
        </w:rPr>
        <w:t>the</w:t>
      </w:r>
      <w:r>
        <w:rPr>
          <w:color w:val="231F20"/>
          <w:spacing w:val="-2"/>
          <w:sz w:val="20"/>
        </w:rPr>
        <w:t> </w:t>
      </w:r>
      <w:r>
        <w:rPr>
          <w:color w:val="231F20"/>
          <w:sz w:val="20"/>
        </w:rPr>
        <w:t>deployment</w:t>
      </w:r>
      <w:r>
        <w:rPr>
          <w:color w:val="231F20"/>
          <w:spacing w:val="-2"/>
          <w:sz w:val="20"/>
        </w:rPr>
        <w:t> </w:t>
      </w:r>
      <w:r>
        <w:rPr>
          <w:color w:val="231F20"/>
          <w:sz w:val="20"/>
        </w:rPr>
        <w:t>status</w:t>
      </w:r>
      <w:r>
        <w:rPr>
          <w:color w:val="231F20"/>
          <w:spacing w:val="-2"/>
          <w:sz w:val="20"/>
        </w:rPr>
        <w:t> </w:t>
      </w:r>
      <w:r>
        <w:rPr>
          <w:color w:val="231F20"/>
          <w:sz w:val="20"/>
        </w:rPr>
        <w:t>from the command line.</w:t>
      </w:r>
    </w:p>
    <w:p>
      <w:pPr>
        <w:spacing w:line="213" w:lineRule="auto" w:before="118"/>
        <w:ind w:left="2951" w:right="545" w:firstLine="0"/>
        <w:jc w:val="left"/>
        <w:rPr>
          <w:sz w:val="20"/>
        </w:rPr>
      </w:pPr>
      <w:r>
        <w:rPr>
          <w:color w:val="231F20"/>
          <w:sz w:val="20"/>
        </w:rPr>
        <w:t>The </w:t>
      </w:r>
      <w:r>
        <w:rPr>
          <w:rFonts w:ascii="Arial"/>
          <w:b/>
          <w:color w:val="231F20"/>
          <w:sz w:val="20"/>
        </w:rPr>
        <w:t>tacmd</w:t>
      </w:r>
      <w:r>
        <w:rPr>
          <w:rFonts w:ascii="Arial"/>
          <w:b/>
          <w:color w:val="231F20"/>
          <w:spacing w:val="-4"/>
          <w:sz w:val="20"/>
        </w:rPr>
        <w:t> </w:t>
      </w:r>
      <w:r>
        <w:rPr>
          <w:rFonts w:ascii="Arial"/>
          <w:b/>
          <w:color w:val="231F20"/>
          <w:sz w:val="20"/>
        </w:rPr>
        <w:t>clearDeployStatus</w:t>
      </w:r>
      <w:r>
        <w:rPr>
          <w:rFonts w:ascii="Arial"/>
          <w:b/>
          <w:color w:val="231F20"/>
          <w:spacing w:val="-4"/>
          <w:sz w:val="20"/>
        </w:rPr>
        <w:t> </w:t>
      </w:r>
      <w:r>
        <w:rPr>
          <w:color w:val="231F20"/>
          <w:sz w:val="20"/>
        </w:rPr>
        <w:t>command can be used to clear all or </w:t>
      </w:r>
      <w:r>
        <w:rPr>
          <w:color w:val="231F20"/>
          <w:sz w:val="20"/>
        </w:rPr>
        <w:t>a filtered list of entries in the status table.</w:t>
      </w:r>
    </w:p>
    <w:p>
      <w:pPr>
        <w:pStyle w:val="BodyText"/>
        <w:spacing w:line="213" w:lineRule="auto" w:before="119"/>
        <w:ind w:left="2951" w:right="545"/>
      </w:pPr>
      <w:r>
        <w:rPr>
          <w:color w:val="231F20"/>
        </w:rPr>
        <w:t>The </w:t>
      </w:r>
      <w:r>
        <w:rPr>
          <w:rFonts w:ascii="Arial"/>
          <w:b/>
          <w:color w:val="231F20"/>
        </w:rPr>
        <w:t>tacmd checkprereq </w:t>
      </w:r>
      <w:r>
        <w:rPr>
          <w:color w:val="231F20"/>
        </w:rPr>
        <w:t>command checks for prerequisites on the target system before you begin deploying a monitoring agent there. You can review the results in the Deployment Status Summary workspace or </w:t>
      </w:r>
      <w:r>
        <w:rPr>
          <w:color w:val="231F20"/>
        </w:rPr>
        <w:t>with the</w:t>
      </w:r>
      <w:r>
        <w:rPr>
          <w:color w:val="231F20"/>
          <w:spacing w:val="22"/>
        </w:rPr>
        <w:t> </w:t>
      </w:r>
      <w:r>
        <w:rPr>
          <w:rFonts w:ascii="Arial"/>
          <w:b/>
          <w:color w:val="231F20"/>
        </w:rPr>
        <w:t>tacmd getDeployStatus </w:t>
      </w:r>
      <w:r>
        <w:rPr>
          <w:color w:val="231F20"/>
        </w:rPr>
        <w:t>command.</w:t>
      </w:r>
    </w:p>
    <w:p>
      <w:pPr>
        <w:pStyle w:val="BodyText"/>
        <w:spacing w:line="213" w:lineRule="auto" w:before="117"/>
        <w:ind w:left="2951" w:right="274"/>
      </w:pPr>
      <w:r>
        <w:rPr>
          <w:color w:val="231F20"/>
        </w:rPr>
        <w:t>The </w:t>
      </w:r>
      <w:r>
        <w:rPr>
          <w:rFonts w:ascii="Arial"/>
          <w:b/>
          <w:color w:val="231F20"/>
        </w:rPr>
        <w:t>tacmd</w:t>
      </w:r>
      <w:r>
        <w:rPr>
          <w:rFonts w:ascii="Arial"/>
          <w:b/>
          <w:color w:val="231F20"/>
          <w:spacing w:val="-4"/>
        </w:rPr>
        <w:t> </w:t>
      </w:r>
      <w:r>
        <w:rPr>
          <w:rFonts w:ascii="Arial"/>
          <w:b/>
          <w:color w:val="231F20"/>
        </w:rPr>
        <w:t>restartFailedDeploy</w:t>
      </w:r>
      <w:r>
        <w:rPr>
          <w:rFonts w:ascii="Arial"/>
          <w:b/>
          <w:color w:val="231F20"/>
          <w:spacing w:val="-4"/>
        </w:rPr>
        <w:t> </w:t>
      </w:r>
      <w:r>
        <w:rPr>
          <w:color w:val="231F20"/>
        </w:rPr>
        <w:t>command restarts failed deployments.</w:t>
      </w:r>
      <w:r>
        <w:rPr>
          <w:color w:val="231F20"/>
          <w:spacing w:val="-1"/>
        </w:rPr>
        <w:t> </w:t>
      </w:r>
      <w:r>
        <w:rPr>
          <w:color w:val="231F20"/>
        </w:rPr>
        <w:t>You can</w:t>
      </w:r>
      <w:r>
        <w:rPr>
          <w:color w:val="231F20"/>
          <w:spacing w:val="20"/>
        </w:rPr>
        <w:t> </w:t>
      </w:r>
      <w:r>
        <w:rPr>
          <w:color w:val="231F20"/>
        </w:rPr>
        <w:t>restart</w:t>
      </w:r>
      <w:r>
        <w:rPr>
          <w:color w:val="231F20"/>
          <w:spacing w:val="20"/>
        </w:rPr>
        <w:t> </w:t>
      </w:r>
      <w:r>
        <w:rPr>
          <w:color w:val="231F20"/>
        </w:rPr>
        <w:t>all</w:t>
      </w:r>
      <w:r>
        <w:rPr>
          <w:color w:val="231F20"/>
          <w:spacing w:val="20"/>
        </w:rPr>
        <w:t> </w:t>
      </w:r>
      <w:r>
        <w:rPr>
          <w:color w:val="231F20"/>
        </w:rPr>
        <w:t>the</w:t>
      </w:r>
      <w:r>
        <w:rPr>
          <w:color w:val="231F20"/>
          <w:spacing w:val="20"/>
        </w:rPr>
        <w:t> </w:t>
      </w:r>
      <w:r>
        <w:rPr>
          <w:color w:val="231F20"/>
        </w:rPr>
        <w:t>failed</w:t>
      </w:r>
      <w:r>
        <w:rPr>
          <w:color w:val="231F20"/>
          <w:spacing w:val="20"/>
        </w:rPr>
        <w:t> </w:t>
      </w:r>
      <w:r>
        <w:rPr>
          <w:color w:val="231F20"/>
        </w:rPr>
        <w:t>entries</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status</w:t>
      </w:r>
      <w:r>
        <w:rPr>
          <w:color w:val="231F20"/>
          <w:spacing w:val="20"/>
        </w:rPr>
        <w:t> </w:t>
      </w:r>
      <w:r>
        <w:rPr>
          <w:color w:val="231F20"/>
        </w:rPr>
        <w:t>table</w:t>
      </w:r>
      <w:r>
        <w:rPr>
          <w:color w:val="231F20"/>
          <w:spacing w:val="20"/>
        </w:rPr>
        <w:t> </w:t>
      </w:r>
      <w:r>
        <w:rPr>
          <w:color w:val="231F20"/>
        </w:rPr>
        <w:t>or</w:t>
      </w:r>
      <w:r>
        <w:rPr>
          <w:color w:val="231F20"/>
          <w:spacing w:val="20"/>
        </w:rPr>
        <w:t> </w:t>
      </w:r>
      <w:r>
        <w:rPr>
          <w:color w:val="231F20"/>
        </w:rPr>
        <w:t>filter</w:t>
      </w:r>
      <w:r>
        <w:rPr>
          <w:color w:val="231F20"/>
          <w:spacing w:val="20"/>
        </w:rPr>
        <w:t> </w:t>
      </w:r>
      <w:r>
        <w:rPr>
          <w:color w:val="231F20"/>
        </w:rPr>
        <w:t>the</w:t>
      </w:r>
      <w:r>
        <w:rPr>
          <w:color w:val="231F20"/>
          <w:spacing w:val="20"/>
        </w:rPr>
        <w:t> </w:t>
      </w:r>
      <w:r>
        <w:rPr>
          <w:color w:val="231F20"/>
        </w:rPr>
        <w:t>table</w:t>
      </w:r>
      <w:r>
        <w:rPr>
          <w:color w:val="231F20"/>
          <w:spacing w:val="20"/>
        </w:rPr>
        <w:t> </w:t>
      </w:r>
      <w:r>
        <w:rPr>
          <w:color w:val="231F20"/>
        </w:rPr>
        <w:t>entries</w:t>
      </w:r>
    </w:p>
    <w:p>
      <w:pPr>
        <w:spacing w:line="213" w:lineRule="auto" w:before="118"/>
        <w:ind w:left="2951" w:right="545" w:firstLine="0"/>
        <w:jc w:val="left"/>
        <w:rPr>
          <w:sz w:val="20"/>
        </w:rPr>
      </w:pPr>
      <w:r>
        <w:rPr>
          <w:color w:val="231F20"/>
          <w:spacing w:val="-2"/>
          <w:w w:val="105"/>
          <w:sz w:val="20"/>
        </w:rPr>
        <w:t>The </w:t>
      </w:r>
      <w:hyperlink r:id="rId348">
        <w:r>
          <w:rPr>
            <w:rFonts w:ascii="Book Antiqua"/>
            <w:i/>
            <w:color w:val="231F20"/>
            <w:spacing w:val="-2"/>
            <w:w w:val="105"/>
            <w:sz w:val="20"/>
          </w:rPr>
          <w:t>IBM Tivoli Monitoring Command Reference</w:t>
        </w:r>
      </w:hyperlink>
      <w:r>
        <w:rPr>
          <w:rFonts w:ascii="Book Antiqua"/>
          <w:i/>
          <w:color w:val="231F20"/>
          <w:spacing w:val="-2"/>
          <w:w w:val="105"/>
          <w:sz w:val="20"/>
        </w:rPr>
        <w:t> </w:t>
      </w:r>
      <w:hyperlink r:id="rId470">
        <w:r>
          <w:rPr>
            <w:color w:val="231F20"/>
            <w:spacing w:val="-2"/>
            <w:w w:val="105"/>
            <w:sz w:val="20"/>
          </w:rPr>
          <w:t>(http://pic.dhe.ibm.com/</w:t>
        </w:r>
      </w:hyperlink>
      <w:r>
        <w:rPr>
          <w:color w:val="231F20"/>
          <w:spacing w:val="-2"/>
          <w:w w:val="105"/>
          <w:sz w:val="20"/>
        </w:rPr>
        <w:t> infocenter/tivihelp/v61r1/topic/com.ibm.itm.doc_6.3/cmdref/ </w:t>
      </w:r>
      <w:bookmarkStart w:name="Deployment Status Summary by Transaction" w:id="636"/>
      <w:bookmarkEnd w:id="636"/>
      <w:r>
        <w:rPr>
          <w:color w:val="231F20"/>
          <w:w w:val="105"/>
          <w:sz w:val="20"/>
        </w:rPr>
        <w:t>itm_cmd</w:t>
      </w:r>
      <w:r>
        <w:rPr>
          <w:color w:val="231F20"/>
          <w:w w:val="105"/>
          <w:sz w:val="20"/>
        </w:rPr>
        <w:t>ref.htm)</w:t>
      </w:r>
      <w:r>
        <w:rPr>
          <w:color w:val="231F20"/>
          <w:spacing w:val="-6"/>
          <w:w w:val="105"/>
          <w:sz w:val="20"/>
        </w:rPr>
        <w:t> </w:t>
      </w:r>
      <w:r>
        <w:rPr>
          <w:color w:val="231F20"/>
          <w:w w:val="105"/>
          <w:sz w:val="20"/>
        </w:rPr>
        <w:t>describes</w:t>
      </w:r>
      <w:r>
        <w:rPr>
          <w:color w:val="231F20"/>
          <w:spacing w:val="-6"/>
          <w:w w:val="105"/>
          <w:sz w:val="20"/>
        </w:rPr>
        <w:t> </w:t>
      </w:r>
      <w:r>
        <w:rPr>
          <w:color w:val="231F20"/>
          <w:w w:val="105"/>
          <w:sz w:val="20"/>
        </w:rPr>
        <w:t>these</w:t>
      </w:r>
      <w:r>
        <w:rPr>
          <w:color w:val="231F20"/>
          <w:spacing w:val="-6"/>
          <w:w w:val="105"/>
          <w:sz w:val="20"/>
        </w:rPr>
        <w:t> </w:t>
      </w:r>
      <w:r>
        <w:rPr>
          <w:color w:val="231F20"/>
          <w:w w:val="105"/>
          <w:sz w:val="20"/>
        </w:rPr>
        <w:t>commands</w:t>
      </w:r>
      <w:r>
        <w:rPr>
          <w:color w:val="231F20"/>
          <w:spacing w:val="-6"/>
          <w:w w:val="105"/>
          <w:sz w:val="20"/>
        </w:rPr>
        <w:t> </w:t>
      </w:r>
      <w:r>
        <w:rPr>
          <w:color w:val="231F20"/>
          <w:w w:val="105"/>
          <w:sz w:val="20"/>
        </w:rPr>
        <w:t>and</w:t>
      </w:r>
      <w:r>
        <w:rPr>
          <w:color w:val="231F20"/>
          <w:spacing w:val="-6"/>
          <w:w w:val="105"/>
          <w:sz w:val="20"/>
        </w:rPr>
        <w:t> </w:t>
      </w:r>
      <w:r>
        <w:rPr>
          <w:color w:val="231F20"/>
          <w:w w:val="105"/>
          <w:sz w:val="20"/>
        </w:rPr>
        <w:t>their</w:t>
      </w:r>
      <w:r>
        <w:rPr>
          <w:color w:val="231F20"/>
          <w:spacing w:val="-6"/>
          <w:w w:val="105"/>
          <w:sz w:val="20"/>
        </w:rPr>
        <w:t> </w:t>
      </w:r>
      <w:r>
        <w:rPr>
          <w:color w:val="231F20"/>
          <w:w w:val="105"/>
          <w:sz w:val="20"/>
        </w:rPr>
        <w:t>syntax.</w:t>
      </w:r>
    </w:p>
    <w:p>
      <w:pPr>
        <w:pStyle w:val="Heading4"/>
        <w:spacing w:line="273" w:lineRule="exact" w:before="164"/>
      </w:pPr>
      <w:r>
        <w:rPr>
          <w:color w:val="231F20"/>
        </w:rPr>
        <w:t>Deployment Status</w:t>
      </w:r>
      <w:r>
        <w:rPr>
          <w:color w:val="231F20"/>
          <w:spacing w:val="1"/>
        </w:rPr>
        <w:t> </w:t>
      </w:r>
      <w:r>
        <w:rPr>
          <w:color w:val="231F20"/>
        </w:rPr>
        <w:t>Summary by</w:t>
      </w:r>
      <w:r>
        <w:rPr>
          <w:color w:val="231F20"/>
          <w:spacing w:val="1"/>
        </w:rPr>
        <w:t> </w:t>
      </w:r>
      <w:r>
        <w:rPr>
          <w:color w:val="231F20"/>
        </w:rPr>
        <w:t>Transaction </w:t>
      </w:r>
      <w:r>
        <w:rPr>
          <w:color w:val="231F20"/>
          <w:spacing w:val="-2"/>
        </w:rPr>
        <w:t>workspace</w:t>
      </w:r>
    </w:p>
    <w:p>
      <w:pPr>
        <w:pStyle w:val="BodyText"/>
        <w:spacing w:line="213" w:lineRule="auto" w:before="20"/>
        <w:ind w:left="2232" w:right="968"/>
        <w:jc w:val="both"/>
      </w:pPr>
      <w:r>
        <w:rPr>
          <w:color w:val="231F20"/>
        </w:rPr>
        <w:t>The Deployment Status Summary by Transaction workspace shows </w:t>
      </w:r>
      <w:r>
        <w:rPr>
          <w:color w:val="231F20"/>
        </w:rPr>
        <w:t>summary status information about pending and completed asynchronous remote agent deployments, sorted by transaction. This is one of the predefined workspaces available from the Enterprise Navigator item.</w:t>
      </w:r>
    </w:p>
    <w:p>
      <w:pPr>
        <w:pStyle w:val="Heading5"/>
        <w:ind w:left="2232"/>
      </w:pPr>
      <w:r>
        <w:rPr>
          <w:color w:val="231F20"/>
        </w:rPr>
        <w:t>Accessing</w:t>
      </w:r>
      <w:r>
        <w:rPr>
          <w:color w:val="231F20"/>
          <w:spacing w:val="3"/>
        </w:rPr>
        <w:t> </w:t>
      </w:r>
      <w:r>
        <w:rPr>
          <w:color w:val="231F20"/>
        </w:rPr>
        <w:t>the</w:t>
      </w:r>
      <w:r>
        <w:rPr>
          <w:color w:val="231F20"/>
          <w:spacing w:val="4"/>
        </w:rPr>
        <w:t> </w:t>
      </w:r>
      <w:r>
        <w:rPr>
          <w:color w:val="231F20"/>
          <w:spacing w:val="-2"/>
        </w:rPr>
        <w:t>workspace</w:t>
      </w:r>
    </w:p>
    <w:p>
      <w:pPr>
        <w:pStyle w:val="ListParagraph"/>
        <w:numPr>
          <w:ilvl w:val="0"/>
          <w:numId w:val="181"/>
        </w:numPr>
        <w:tabs>
          <w:tab w:pos="2547" w:val="left" w:leader="none"/>
        </w:tabs>
        <w:spacing w:line="240" w:lineRule="auto" w:before="42" w:after="0"/>
        <w:ind w:left="2547" w:right="0" w:hanging="315"/>
        <w:jc w:val="left"/>
        <w:rPr>
          <w:sz w:val="20"/>
        </w:rPr>
      </w:pPr>
      <w:r>
        <w:rPr>
          <w:color w:val="231F20"/>
          <w:sz w:val="20"/>
        </w:rPr>
        <w:t>Click</w:t>
      </w:r>
      <w:r>
        <w:rPr>
          <w:color w:val="231F20"/>
          <w:spacing w:val="11"/>
          <w:sz w:val="20"/>
        </w:rPr>
        <w:t> </w:t>
      </w:r>
      <w:r>
        <w:rPr>
          <w:color w:val="231F20"/>
          <w:sz w:val="20"/>
        </w:rPr>
        <w:t>the</w:t>
      </w:r>
      <w:r>
        <w:rPr>
          <w:color w:val="231F20"/>
          <w:spacing w:val="11"/>
          <w:sz w:val="20"/>
        </w:rPr>
        <w:t> </w:t>
      </w:r>
      <w:r>
        <w:rPr>
          <w:color w:val="231F20"/>
          <w:spacing w:val="16"/>
          <w:position w:val="-1"/>
          <w:sz w:val="20"/>
        </w:rPr>
        <w:drawing>
          <wp:inline distT="0" distB="0" distL="0" distR="0">
            <wp:extent cx="95250" cy="101600"/>
            <wp:effectExtent l="0" t="0" r="0" b="0"/>
            <wp:docPr id="3134" name="Image 3134"/>
            <wp:cNvGraphicFramePr>
              <a:graphicFrameLocks/>
            </wp:cNvGraphicFramePr>
            <a:graphic>
              <a:graphicData uri="http://schemas.openxmlformats.org/drawingml/2006/picture">
                <pic:pic>
                  <pic:nvPicPr>
                    <pic:cNvPr id="3134" name="Image 3134"/>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6"/>
          <w:position w:val="-1"/>
          <w:sz w:val="20"/>
        </w:rPr>
      </w:r>
      <w:r>
        <w:rPr>
          <w:rFonts w:ascii="Times New Roman"/>
          <w:color w:val="231F20"/>
          <w:spacing w:val="-10"/>
          <w:sz w:val="20"/>
        </w:rPr>
        <w:t> </w:t>
      </w:r>
      <w:r>
        <w:rPr>
          <w:color w:val="231F20"/>
          <w:sz w:val="20"/>
        </w:rPr>
        <w:t>Enterprise</w:t>
      </w:r>
      <w:r>
        <w:rPr>
          <w:color w:val="231F20"/>
          <w:spacing w:val="11"/>
          <w:sz w:val="20"/>
        </w:rPr>
        <w:t> </w:t>
      </w:r>
      <w:r>
        <w:rPr>
          <w:color w:val="231F20"/>
          <w:sz w:val="20"/>
        </w:rPr>
        <w:t>item</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Navigator</w:t>
      </w:r>
      <w:r>
        <w:rPr>
          <w:color w:val="231F20"/>
          <w:spacing w:val="11"/>
          <w:sz w:val="20"/>
        </w:rPr>
        <w:t> </w:t>
      </w:r>
      <w:r>
        <w:rPr>
          <w:color w:val="231F20"/>
          <w:sz w:val="20"/>
        </w:rPr>
        <w:t>Physical</w:t>
      </w:r>
      <w:r>
        <w:rPr>
          <w:color w:val="231F20"/>
          <w:spacing w:val="11"/>
          <w:sz w:val="20"/>
        </w:rPr>
        <w:t> </w:t>
      </w:r>
      <w:r>
        <w:rPr>
          <w:color w:val="231F20"/>
          <w:spacing w:val="-2"/>
          <w:sz w:val="20"/>
        </w:rPr>
        <w:t>view.</w:t>
      </w:r>
    </w:p>
    <w:p>
      <w:pPr>
        <w:pStyle w:val="ListParagraph"/>
        <w:numPr>
          <w:ilvl w:val="0"/>
          <w:numId w:val="181"/>
        </w:numPr>
        <w:tabs>
          <w:tab w:pos="2547" w:val="left" w:leader="none"/>
        </w:tabs>
        <w:spacing w:line="240" w:lineRule="auto" w:before="30" w:after="0"/>
        <w:ind w:left="2547" w:right="0" w:hanging="315"/>
        <w:jc w:val="left"/>
        <w:rPr>
          <w:sz w:val="20"/>
        </w:rPr>
      </w:pPr>
      <w:r>
        <w:rPr>
          <w:color w:val="231F20"/>
          <w:sz w:val="20"/>
        </w:rPr>
        <w:t>Click</w:t>
      </w:r>
      <w:r>
        <w:rPr>
          <w:color w:val="231F20"/>
          <w:spacing w:val="-2"/>
          <w:sz w:val="20"/>
        </w:rPr>
        <w:t> </w:t>
      </w:r>
      <w:r>
        <w:rPr>
          <w:color w:val="231F20"/>
          <w:spacing w:val="16"/>
          <w:position w:val="-1"/>
          <w:sz w:val="20"/>
        </w:rPr>
        <w:drawing>
          <wp:inline distT="0" distB="0" distL="0" distR="0">
            <wp:extent cx="101600" cy="101600"/>
            <wp:effectExtent l="0" t="0" r="0" b="0"/>
            <wp:docPr id="3135" name="Image 3135"/>
            <wp:cNvGraphicFramePr>
              <a:graphicFrameLocks/>
            </wp:cNvGraphicFramePr>
            <a:graphic>
              <a:graphicData uri="http://schemas.openxmlformats.org/drawingml/2006/picture">
                <pic:pic>
                  <pic:nvPicPr>
                    <pic:cNvPr id="3135" name="Image 3135"/>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Workspace</w:t>
      </w:r>
      <w:r>
        <w:rPr>
          <w:rFonts w:ascii="Book Antiqua"/>
          <w:b/>
          <w:color w:val="231F20"/>
          <w:spacing w:val="4"/>
          <w:sz w:val="20"/>
        </w:rPr>
        <w:t> </w:t>
      </w:r>
      <w:r>
        <w:rPr>
          <w:rFonts w:ascii="Book Antiqua"/>
          <w:b/>
          <w:color w:val="231F20"/>
          <w:spacing w:val="-2"/>
          <w:sz w:val="20"/>
        </w:rPr>
        <w:t>gallery</w:t>
      </w:r>
      <w:r>
        <w:rPr>
          <w:color w:val="231F20"/>
          <w:spacing w:val="-2"/>
          <w:sz w:val="20"/>
        </w:rPr>
        <w:t>.</w:t>
      </w:r>
    </w:p>
    <w:p>
      <w:pPr>
        <w:spacing w:after="0" w:line="240" w:lineRule="auto"/>
        <w:jc w:val="left"/>
        <w:rPr>
          <w:sz w:val="20"/>
        </w:rPr>
        <w:sectPr>
          <w:pgSz w:w="12240" w:h="15840"/>
          <w:pgMar w:header="0" w:footer="736" w:top="1180" w:bottom="920" w:left="1000" w:right="1060"/>
        </w:sectPr>
      </w:pPr>
    </w:p>
    <w:p>
      <w:pPr>
        <w:pStyle w:val="ListParagraph"/>
        <w:numPr>
          <w:ilvl w:val="0"/>
          <w:numId w:val="181"/>
        </w:numPr>
        <w:tabs>
          <w:tab w:pos="2788" w:val="left" w:leader="none"/>
        </w:tabs>
        <w:spacing w:line="213" w:lineRule="auto" w:before="85" w:after="0"/>
        <w:ind w:left="2788" w:right="1119" w:hanging="316"/>
        <w:jc w:val="left"/>
        <w:rPr>
          <w:sz w:val="20"/>
        </w:rPr>
      </w:pPr>
      <w:r>
        <w:rPr>
          <w:color w:val="231F20"/>
          <w:sz w:val="20"/>
        </w:rPr>
        <w:t>Scroll to </w:t>
      </w:r>
      <w:r>
        <w:rPr>
          <w:rFonts w:ascii="Book Antiqua"/>
          <w:b/>
          <w:color w:val="231F20"/>
          <w:sz w:val="20"/>
        </w:rPr>
        <w:t>Deployment Status Summary by Transaction</w:t>
      </w:r>
      <w:r>
        <w:rPr>
          <w:color w:val="231F20"/>
          <w:sz w:val="20"/>
        </w:rPr>
        <w:t>, then click </w:t>
      </w:r>
      <w:r>
        <w:rPr>
          <w:color w:val="231F20"/>
          <w:sz w:val="20"/>
        </w:rPr>
        <w:t>the thumbnail graphic to open the workspace.</w:t>
      </w:r>
    </w:p>
    <w:p>
      <w:pPr>
        <w:pStyle w:val="Heading5"/>
      </w:pPr>
      <w:r>
        <w:rPr>
          <w:color w:val="231F20"/>
        </w:rPr>
        <w:t>What</w:t>
      </w:r>
      <w:r>
        <w:rPr>
          <w:color w:val="231F20"/>
          <w:spacing w:val="4"/>
        </w:rPr>
        <w:t> </w:t>
      </w:r>
      <w:r>
        <w:rPr>
          <w:color w:val="231F20"/>
        </w:rPr>
        <w:t>the</w:t>
      </w:r>
      <w:r>
        <w:rPr>
          <w:color w:val="231F20"/>
          <w:spacing w:val="4"/>
        </w:rPr>
        <w:t> </w:t>
      </w:r>
      <w:r>
        <w:rPr>
          <w:color w:val="231F20"/>
        </w:rPr>
        <w:t>workspace</w:t>
      </w:r>
      <w:r>
        <w:rPr>
          <w:color w:val="231F20"/>
          <w:spacing w:val="4"/>
        </w:rPr>
        <w:t> </w:t>
      </w:r>
      <w:r>
        <w:rPr>
          <w:color w:val="231F20"/>
          <w:spacing w:val="-2"/>
        </w:rPr>
        <w:t>shows</w:t>
      </w:r>
    </w:p>
    <w:p>
      <w:pPr>
        <w:pStyle w:val="BodyText"/>
        <w:spacing w:before="223"/>
        <w:ind w:left="2472"/>
      </w:pPr>
      <w:r>
        <w:rPr>
          <w:color w:val="231F20"/>
        </w:rPr>
        <w:t>The</w:t>
      </w:r>
      <w:r>
        <w:rPr>
          <w:color w:val="231F20"/>
          <w:spacing w:val="9"/>
        </w:rPr>
        <w:t> </w:t>
      </w:r>
      <w:r>
        <w:rPr>
          <w:color w:val="231F20"/>
        </w:rPr>
        <w:t>workspace</w:t>
      </w:r>
      <w:r>
        <w:rPr>
          <w:color w:val="231F20"/>
          <w:spacing w:val="10"/>
        </w:rPr>
        <w:t> </w:t>
      </w:r>
      <w:r>
        <w:rPr>
          <w:color w:val="231F20"/>
        </w:rPr>
        <w:t>contains</w:t>
      </w:r>
      <w:r>
        <w:rPr>
          <w:color w:val="231F20"/>
          <w:spacing w:val="10"/>
        </w:rPr>
        <w:t> </w:t>
      </w:r>
      <w:r>
        <w:rPr>
          <w:color w:val="231F20"/>
        </w:rPr>
        <w:t>four</w:t>
      </w:r>
      <w:r>
        <w:rPr>
          <w:color w:val="231F20"/>
          <w:spacing w:val="10"/>
        </w:rPr>
        <w:t> </w:t>
      </w:r>
      <w:r>
        <w:rPr>
          <w:color w:val="231F20"/>
          <w:spacing w:val="-2"/>
        </w:rPr>
        <w:t>views:</w:t>
      </w:r>
    </w:p>
    <w:p>
      <w:pPr>
        <w:pStyle w:val="Heading6"/>
        <w:spacing w:before="111"/>
      </w:pPr>
      <w:r>
        <w:rPr>
          <w:color w:val="231F20"/>
        </w:rPr>
        <w:t>Deployment</w:t>
      </w:r>
      <w:r>
        <w:rPr>
          <w:color w:val="231F20"/>
          <w:spacing w:val="8"/>
        </w:rPr>
        <w:t> </w:t>
      </w:r>
      <w:r>
        <w:rPr>
          <w:color w:val="231F20"/>
        </w:rPr>
        <w:t>Status</w:t>
      </w:r>
      <w:r>
        <w:rPr>
          <w:color w:val="231F20"/>
          <w:spacing w:val="9"/>
        </w:rPr>
        <w:t> </w:t>
      </w:r>
      <w:r>
        <w:rPr>
          <w:color w:val="231F20"/>
        </w:rPr>
        <w:t>Summary</w:t>
      </w:r>
      <w:r>
        <w:rPr>
          <w:color w:val="231F20"/>
          <w:spacing w:val="9"/>
        </w:rPr>
        <w:t> </w:t>
      </w:r>
      <w:r>
        <w:rPr>
          <w:color w:val="231F20"/>
        </w:rPr>
        <w:t>by</w:t>
      </w:r>
      <w:r>
        <w:rPr>
          <w:color w:val="231F20"/>
          <w:spacing w:val="9"/>
        </w:rPr>
        <w:t> </w:t>
      </w:r>
      <w:r>
        <w:rPr>
          <w:color w:val="231F20"/>
          <w:spacing w:val="-2"/>
        </w:rPr>
        <w:t>Transaction</w:t>
      </w:r>
    </w:p>
    <w:p>
      <w:pPr>
        <w:pStyle w:val="BodyText"/>
        <w:spacing w:line="213" w:lineRule="auto" w:before="11"/>
        <w:ind w:left="3190" w:right="385"/>
      </w:pPr>
      <w:r>
        <w:rPr>
          <w:color w:val="231F20"/>
        </w:rPr>
        <w:t>Deployment Status Summary by Transaction is a table view showing </w:t>
      </w:r>
      <w:r>
        <w:rPr>
          <w:color w:val="231F20"/>
        </w:rPr>
        <w:t>total counts of the pending asynchronous agent deployment transactions. For each target managed system, the table shows the number of deployment transactions in each status (succeeded, failed, retrying, queued, and in </w:t>
      </w:r>
      <w:r>
        <w:rPr>
          <w:color w:val="231F20"/>
          <w:spacing w:val="-2"/>
        </w:rPr>
        <w:t>progress).</w:t>
      </w:r>
    </w:p>
    <w:p>
      <w:pPr>
        <w:pStyle w:val="Heading6"/>
        <w:spacing w:before="115"/>
      </w:pPr>
      <w:r>
        <w:rPr>
          <w:color w:val="231F20"/>
        </w:rPr>
        <w:t>Status</w:t>
      </w:r>
      <w:r>
        <w:rPr>
          <w:color w:val="231F20"/>
          <w:spacing w:val="9"/>
        </w:rPr>
        <w:t> </w:t>
      </w:r>
      <w:r>
        <w:rPr>
          <w:color w:val="231F20"/>
        </w:rPr>
        <w:t>Summary</w:t>
      </w:r>
      <w:r>
        <w:rPr>
          <w:color w:val="231F20"/>
          <w:spacing w:val="9"/>
        </w:rPr>
        <w:t> </w:t>
      </w:r>
      <w:r>
        <w:rPr>
          <w:color w:val="231F20"/>
        </w:rPr>
        <w:t>of</w:t>
      </w:r>
      <w:r>
        <w:rPr>
          <w:color w:val="231F20"/>
          <w:spacing w:val="10"/>
        </w:rPr>
        <w:t> </w:t>
      </w:r>
      <w:r>
        <w:rPr>
          <w:color w:val="231F20"/>
        </w:rPr>
        <w:t>Complete</w:t>
      </w:r>
      <w:r>
        <w:rPr>
          <w:color w:val="231F20"/>
          <w:spacing w:val="9"/>
        </w:rPr>
        <w:t> </w:t>
      </w:r>
      <w:r>
        <w:rPr>
          <w:color w:val="231F20"/>
        </w:rPr>
        <w:t>Deployments</w:t>
      </w:r>
      <w:r>
        <w:rPr>
          <w:color w:val="231F20"/>
          <w:spacing w:val="9"/>
        </w:rPr>
        <w:t> </w:t>
      </w:r>
      <w:r>
        <w:rPr>
          <w:color w:val="231F20"/>
        </w:rPr>
        <w:t>by</w:t>
      </w:r>
      <w:r>
        <w:rPr>
          <w:color w:val="231F20"/>
          <w:spacing w:val="10"/>
        </w:rPr>
        <w:t> </w:t>
      </w:r>
      <w:r>
        <w:rPr>
          <w:color w:val="231F20"/>
          <w:spacing w:val="-2"/>
        </w:rPr>
        <w:t>Transaction</w:t>
      </w:r>
    </w:p>
    <w:p>
      <w:pPr>
        <w:pStyle w:val="BodyText"/>
        <w:spacing w:line="213" w:lineRule="auto" w:before="12"/>
        <w:ind w:left="3190"/>
      </w:pPr>
      <w:r>
        <w:rPr>
          <w:color w:val="231F20"/>
        </w:rPr>
        <w:t>Status Summary of Complete Deployments by Transaction is a stacked bar chart showing the asynchronous agent deployment transactions that have finished processing. For each target managed system, the chart shows </w:t>
      </w:r>
      <w:r>
        <w:rPr>
          <w:color w:val="231F20"/>
        </w:rPr>
        <w:t>how many succeeded and how many failed.</w:t>
      </w:r>
    </w:p>
    <w:p>
      <w:pPr>
        <w:pStyle w:val="Heading6"/>
        <w:spacing w:before="116"/>
      </w:pPr>
      <w:r>
        <w:rPr>
          <w:color w:val="231F20"/>
        </w:rPr>
        <w:t>Status</w:t>
      </w:r>
      <w:r>
        <w:rPr>
          <w:color w:val="231F20"/>
          <w:spacing w:val="9"/>
        </w:rPr>
        <w:t> </w:t>
      </w:r>
      <w:r>
        <w:rPr>
          <w:color w:val="231F20"/>
        </w:rPr>
        <w:t>Summary</w:t>
      </w:r>
      <w:r>
        <w:rPr>
          <w:color w:val="231F20"/>
          <w:spacing w:val="9"/>
        </w:rPr>
        <w:t> </w:t>
      </w:r>
      <w:r>
        <w:rPr>
          <w:color w:val="231F20"/>
        </w:rPr>
        <w:t>of</w:t>
      </w:r>
      <w:r>
        <w:rPr>
          <w:color w:val="231F20"/>
          <w:spacing w:val="9"/>
        </w:rPr>
        <w:t> </w:t>
      </w:r>
      <w:r>
        <w:rPr>
          <w:color w:val="231F20"/>
        </w:rPr>
        <w:t>Incomplete</w:t>
      </w:r>
      <w:r>
        <w:rPr>
          <w:color w:val="231F20"/>
          <w:spacing w:val="9"/>
        </w:rPr>
        <w:t> </w:t>
      </w:r>
      <w:r>
        <w:rPr>
          <w:color w:val="231F20"/>
        </w:rPr>
        <w:t>Deployments</w:t>
      </w:r>
      <w:r>
        <w:rPr>
          <w:color w:val="231F20"/>
          <w:spacing w:val="9"/>
        </w:rPr>
        <w:t> </w:t>
      </w:r>
      <w:r>
        <w:rPr>
          <w:color w:val="231F20"/>
        </w:rPr>
        <w:t>by</w:t>
      </w:r>
      <w:r>
        <w:rPr>
          <w:color w:val="231F20"/>
          <w:spacing w:val="9"/>
        </w:rPr>
        <w:t> </w:t>
      </w:r>
      <w:r>
        <w:rPr>
          <w:color w:val="231F20"/>
          <w:spacing w:val="-2"/>
        </w:rPr>
        <w:t>Transaction</w:t>
      </w:r>
    </w:p>
    <w:p>
      <w:pPr>
        <w:pStyle w:val="BodyText"/>
        <w:spacing w:line="213" w:lineRule="auto" w:before="11"/>
        <w:ind w:left="3190" w:right="493"/>
      </w:pPr>
      <w:r>
        <w:rPr>
          <w:color w:val="231F20"/>
        </w:rPr>
        <w:t>Status Summary of Incomplete Deployments by Transaction is a </w:t>
      </w:r>
      <w:r>
        <w:rPr>
          <w:color w:val="231F20"/>
        </w:rPr>
        <w:t>stacked bar chart showing the asynchronous agent deployment transactions that have not yet finished processing. For each target managed system, the chart shows the transactions that are queued, in progress, or retrying.</w:t>
      </w:r>
    </w:p>
    <w:p>
      <w:pPr>
        <w:pStyle w:val="Heading6"/>
        <w:spacing w:before="116"/>
      </w:pPr>
      <w:r>
        <w:rPr>
          <w:color w:val="231F20"/>
        </w:rPr>
        <w:t>Deployment</w:t>
      </w:r>
      <w:r>
        <w:rPr>
          <w:color w:val="231F20"/>
          <w:spacing w:val="7"/>
        </w:rPr>
        <w:t> </w:t>
      </w:r>
      <w:r>
        <w:rPr>
          <w:color w:val="231F20"/>
        </w:rPr>
        <w:t>Status</w:t>
      </w:r>
      <w:r>
        <w:rPr>
          <w:color w:val="231F20"/>
          <w:spacing w:val="7"/>
        </w:rPr>
        <w:t> </w:t>
      </w:r>
      <w:r>
        <w:rPr>
          <w:color w:val="231F20"/>
          <w:spacing w:val="-2"/>
        </w:rPr>
        <w:t>Detail</w:t>
      </w:r>
    </w:p>
    <w:p>
      <w:pPr>
        <w:pStyle w:val="BodyText"/>
        <w:spacing w:line="213" w:lineRule="auto" w:before="11"/>
        <w:ind w:left="3190" w:right="274"/>
      </w:pPr>
      <w:r>
        <w:rPr>
          <w:color w:val="231F20"/>
        </w:rPr>
        <w:t>Deployment Status Detail is a table view showing detailed information about all asynchronous agent deployments. The table shows the status, product ID, target managed system, and other details about each deployment</w:t>
      </w:r>
      <w:r>
        <w:rPr>
          <w:color w:val="231F20"/>
          <w:spacing w:val="26"/>
        </w:rPr>
        <w:t> </w:t>
      </w:r>
      <w:r>
        <w:rPr>
          <w:color w:val="231F20"/>
        </w:rPr>
        <w:t>request.</w:t>
      </w:r>
      <w:r>
        <w:rPr>
          <w:color w:val="231F20"/>
          <w:spacing w:val="26"/>
        </w:rPr>
        <w:t> </w:t>
      </w:r>
      <w:r>
        <w:rPr>
          <w:color w:val="231F20"/>
        </w:rPr>
        <w:t>Click</w:t>
      </w:r>
      <w:r>
        <w:rPr>
          <w:color w:val="231F20"/>
          <w:spacing w:val="15"/>
        </w:rPr>
        <w:t> </w:t>
      </w:r>
      <w:r>
        <w:rPr>
          <w:color w:val="231F20"/>
          <w:spacing w:val="15"/>
          <w:position w:val="-1"/>
        </w:rPr>
        <w:drawing>
          <wp:inline distT="0" distB="0" distL="0" distR="0">
            <wp:extent cx="101600" cy="101600"/>
            <wp:effectExtent l="0" t="0" r="0" b="0"/>
            <wp:docPr id="3136" name="Image 3136"/>
            <wp:cNvGraphicFramePr>
              <a:graphicFrameLocks/>
            </wp:cNvGraphicFramePr>
            <a:graphic>
              <a:graphicData uri="http://schemas.openxmlformats.org/drawingml/2006/picture">
                <pic:pic>
                  <pic:nvPicPr>
                    <pic:cNvPr id="3136" name="Image 3136"/>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hAnsi="Times New Roman"/>
          <w:color w:val="231F20"/>
          <w:spacing w:val="40"/>
        </w:rPr>
        <w:t> </w:t>
      </w:r>
      <w:r>
        <w:rPr>
          <w:color w:val="231F20"/>
        </w:rPr>
        <w:t>on</w:t>
      </w:r>
      <w:r>
        <w:rPr>
          <w:color w:val="231F20"/>
          <w:spacing w:val="26"/>
        </w:rPr>
        <w:t> </w:t>
      </w:r>
      <w:r>
        <w:rPr>
          <w:color w:val="231F20"/>
        </w:rPr>
        <w:t>a</w:t>
      </w:r>
      <w:r>
        <w:rPr>
          <w:color w:val="231F20"/>
          <w:spacing w:val="26"/>
        </w:rPr>
        <w:t> </w:t>
      </w:r>
      <w:r>
        <w:rPr>
          <w:color w:val="231F20"/>
        </w:rPr>
        <w:t>row</w:t>
      </w:r>
      <w:r>
        <w:rPr>
          <w:color w:val="231F20"/>
          <w:spacing w:val="26"/>
        </w:rPr>
        <w:t> </w:t>
      </w:r>
      <w:r>
        <w:rPr>
          <w:color w:val="231F20"/>
        </w:rPr>
        <w:t>to</w:t>
      </w:r>
      <w:r>
        <w:rPr>
          <w:color w:val="231F20"/>
          <w:spacing w:val="26"/>
        </w:rPr>
        <w:t> </w:t>
      </w:r>
      <w:r>
        <w:rPr>
          <w:color w:val="231F20"/>
        </w:rPr>
        <w:t>link</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more</w:t>
      </w:r>
      <w:r>
        <w:rPr>
          <w:color w:val="231F20"/>
          <w:spacing w:val="26"/>
        </w:rPr>
        <w:t> </w:t>
      </w:r>
      <w:r>
        <w:rPr>
          <w:color w:val="231F20"/>
        </w:rPr>
        <w:t>detailed workspace for the selected deploy group or product. See </w:t>
      </w:r>
      <w:hyperlink w:history="true" w:anchor="_bookmark309">
        <w:r>
          <w:rPr>
            <w:color w:val="231F20"/>
          </w:rPr>
          <w:t>“Deployment</w:t>
        </w:r>
      </w:hyperlink>
      <w:r>
        <w:rPr>
          <w:color w:val="231F20"/>
        </w:rPr>
        <w:t> </w:t>
      </w:r>
      <w:hyperlink w:history="true" w:anchor="_bookmark309">
        <w:r>
          <w:rPr>
            <w:color w:val="231F20"/>
          </w:rPr>
          <w:t>Status by Deploy Group workspace” on page 400</w:t>
        </w:r>
      </w:hyperlink>
      <w:r>
        <w:rPr>
          <w:color w:val="231F20"/>
        </w:rPr>
        <w:t> and </w:t>
      </w:r>
      <w:hyperlink w:history="true" w:anchor="_bookmark310">
        <w:r>
          <w:rPr>
            <w:color w:val="231F20"/>
          </w:rPr>
          <w:t>“Deployment </w:t>
        </w:r>
        <w:r>
          <w:rPr>
            <w:color w:val="231F20"/>
          </w:rPr>
          <w:t>Status</w:t>
        </w:r>
      </w:hyperlink>
      <w:r>
        <w:rPr>
          <w:color w:val="231F20"/>
        </w:rPr>
        <w:t> </w:t>
      </w:r>
      <w:hyperlink w:history="true" w:anchor="_bookmark310">
        <w:r>
          <w:rPr>
            <w:color w:val="231F20"/>
          </w:rPr>
          <w:t>by Product workspace” on page 401</w:t>
        </w:r>
      </w:hyperlink>
      <w:r>
        <w:rPr>
          <w:color w:val="231F20"/>
        </w:rPr>
        <w:t> for details.</w:t>
      </w:r>
    </w:p>
    <w:p>
      <w:pPr>
        <w:pStyle w:val="BodyText"/>
        <w:spacing w:line="213" w:lineRule="auto" w:before="235"/>
        <w:ind w:left="3190" w:right="379"/>
      </w:pPr>
      <w:r>
        <w:rPr>
          <w:rFonts w:ascii="Book Antiqua"/>
          <w:b/>
          <w:color w:val="231F20"/>
        </w:rPr>
        <w:t>Tip:</w:t>
      </w:r>
      <w:r>
        <w:rPr>
          <w:rFonts w:ascii="Book Antiqua"/>
          <w:b/>
          <w:color w:val="231F20"/>
          <w:spacing w:val="40"/>
        </w:rPr>
        <w:t> </w:t>
      </w:r>
      <w:r>
        <w:rPr>
          <w:color w:val="231F20"/>
        </w:rPr>
        <w:t>The timestamps for a transaction are generated by the monitoring server that is processing the deployment. The hub monitoring server</w:t>
      </w:r>
      <w:r>
        <w:rPr>
          <w:color w:val="231F20"/>
          <w:spacing w:val="80"/>
          <w:w w:val="150"/>
        </w:rPr>
        <w:t> </w:t>
      </w:r>
      <w:r>
        <w:rPr>
          <w:color w:val="231F20"/>
        </w:rPr>
        <w:t>inserts the transaction first. You might have a start time that is earlier than the latest timestamp because the remote monitoring server is behind the</w:t>
      </w:r>
      <w:r>
        <w:rPr>
          <w:color w:val="231F20"/>
          <w:spacing w:val="40"/>
        </w:rPr>
        <w:t> </w:t>
      </w:r>
      <w:r>
        <w:rPr>
          <w:color w:val="231F20"/>
        </w:rPr>
        <w:t>hub monitoring server. To avoid this confusion, you might want to sync</w:t>
      </w:r>
      <w:r>
        <w:rPr>
          <w:color w:val="231F20"/>
          <w:spacing w:val="80"/>
          <w:w w:val="150"/>
        </w:rPr>
        <w:t> </w:t>
      </w:r>
      <w:r>
        <w:rPr>
          <w:color w:val="231F20"/>
        </w:rPr>
        <w:t>the time on the hub monitoring server and remote monitoring server.</w:t>
      </w:r>
    </w:p>
    <w:p>
      <w:pPr>
        <w:pStyle w:val="Heading5"/>
        <w:spacing w:before="216"/>
      </w:pPr>
      <w:r>
        <w:rPr>
          <w:color w:val="231F20"/>
        </w:rPr>
        <w:t>Deployment</w:t>
      </w:r>
      <w:r>
        <w:rPr>
          <w:color w:val="231F20"/>
          <w:spacing w:val="-2"/>
        </w:rPr>
        <w:t> notes</w:t>
      </w:r>
    </w:p>
    <w:p>
      <w:pPr>
        <w:pStyle w:val="Heading6"/>
        <w:spacing w:before="124"/>
      </w:pPr>
      <w:r>
        <w:rPr>
          <w:color w:val="231F20"/>
        </w:rPr>
        <w:t>Asynchronous</w:t>
      </w:r>
      <w:r>
        <w:rPr>
          <w:color w:val="231F20"/>
          <w:spacing w:val="7"/>
        </w:rPr>
        <w:t> </w:t>
      </w:r>
      <w:r>
        <w:rPr>
          <w:color w:val="231F20"/>
        </w:rPr>
        <w:t>remote</w:t>
      </w:r>
      <w:r>
        <w:rPr>
          <w:color w:val="231F20"/>
          <w:spacing w:val="8"/>
        </w:rPr>
        <w:t> </w:t>
      </w:r>
      <w:r>
        <w:rPr>
          <w:color w:val="231F20"/>
        </w:rPr>
        <w:t>agent</w:t>
      </w:r>
      <w:r>
        <w:rPr>
          <w:color w:val="231F20"/>
          <w:spacing w:val="8"/>
        </w:rPr>
        <w:t> </w:t>
      </w:r>
      <w:r>
        <w:rPr>
          <w:color w:val="231F20"/>
          <w:spacing w:val="-2"/>
        </w:rPr>
        <w:t>deployment</w:t>
      </w:r>
    </w:p>
    <w:p>
      <w:pPr>
        <w:pStyle w:val="BodyText"/>
        <w:spacing w:line="213" w:lineRule="auto" w:before="12"/>
        <w:ind w:left="3190" w:right="385"/>
      </w:pPr>
      <w:r>
        <w:rPr>
          <w:color w:val="231F20"/>
        </w:rPr>
        <w:t>Agents can be remotely deployed asynchronously as well as synchronously. With asynchronous deployment, you can request that a second remote agent be deployed, even if the previously deployed </w:t>
      </w:r>
      <w:r>
        <w:rPr>
          <w:color w:val="231F20"/>
        </w:rPr>
        <w:t>agent has not initialized fully. You can also group agents for bulk remote </w:t>
      </w:r>
      <w:r>
        <w:rPr>
          <w:color w:val="231F20"/>
          <w:spacing w:val="-2"/>
        </w:rPr>
        <w:t>deployment.</w:t>
      </w:r>
    </w:p>
    <w:p>
      <w:pPr>
        <w:spacing w:line="213" w:lineRule="auto" w:before="116"/>
        <w:ind w:left="3190" w:right="545" w:firstLine="0"/>
        <w:jc w:val="left"/>
        <w:rPr>
          <w:sz w:val="20"/>
        </w:rPr>
      </w:pPr>
      <w:r>
        <w:rPr>
          <w:color w:val="231F20"/>
          <w:sz w:val="20"/>
        </w:rPr>
        <w:t>See “Deploying monitoring agents across your environment” in the </w:t>
      </w:r>
      <w:hyperlink r:id="rId369">
        <w:r>
          <w:rPr>
            <w:rFonts w:ascii="Book Antiqua" w:hAnsi="Book Antiqua"/>
            <w:i/>
            <w:color w:val="231F20"/>
            <w:sz w:val="20"/>
          </w:rPr>
          <w:t>IBM</w:t>
        </w:r>
      </w:hyperlink>
      <w:r>
        <w:rPr>
          <w:rFonts w:ascii="Book Antiqua" w:hAnsi="Book Antiqua"/>
          <w:i/>
          <w:color w:val="231F20"/>
          <w:sz w:val="20"/>
        </w:rPr>
        <w:t> </w:t>
      </w:r>
      <w:hyperlink r:id="rId369">
        <w:r>
          <w:rPr>
            <w:rFonts w:ascii="Book Antiqua" w:hAnsi="Book Antiqua"/>
            <w:i/>
            <w:color w:val="231F20"/>
            <w:w w:val="105"/>
            <w:sz w:val="20"/>
          </w:rPr>
          <w:t>Tivoli Monitoring Installation and Setup Guide</w:t>
        </w:r>
      </w:hyperlink>
      <w:r>
        <w:rPr>
          <w:rFonts w:ascii="Book Antiqua" w:hAnsi="Book Antiqua"/>
          <w:i/>
          <w:color w:val="231F20"/>
          <w:w w:val="105"/>
          <w:sz w:val="20"/>
        </w:rPr>
        <w:t> </w:t>
      </w:r>
      <w:hyperlink r:id="rId470">
        <w:r>
          <w:rPr>
            <w:color w:val="231F20"/>
            <w:w w:val="105"/>
            <w:sz w:val="20"/>
          </w:rPr>
          <w:t>(http://pic.dhe.ibm.com/</w:t>
        </w:r>
      </w:hyperlink>
      <w:r>
        <w:rPr>
          <w:color w:val="231F20"/>
          <w:w w:val="105"/>
          <w:sz w:val="20"/>
        </w:rPr>
        <w:t> </w:t>
      </w:r>
      <w:r>
        <w:rPr>
          <w:color w:val="231F20"/>
          <w:spacing w:val="-2"/>
          <w:w w:val="105"/>
          <w:sz w:val="20"/>
        </w:rPr>
        <w:t>infocenter/tivihelp/v61r1/topic/com.ibm.itm.doc_6.3/install/ </w:t>
      </w:r>
      <w:r>
        <w:rPr>
          <w:color w:val="231F20"/>
          <w:w w:val="105"/>
          <w:sz w:val="20"/>
        </w:rPr>
        <w:t>itm_install.htm) for details.</w:t>
      </w:r>
    </w:p>
    <w:p>
      <w:pPr>
        <w:pStyle w:val="Heading6"/>
        <w:spacing w:before="116"/>
      </w:pPr>
      <w:r>
        <w:rPr>
          <w:color w:val="231F20"/>
        </w:rPr>
        <w:t>CLI</w:t>
      </w:r>
      <w:r>
        <w:rPr>
          <w:color w:val="231F20"/>
          <w:spacing w:val="8"/>
        </w:rPr>
        <w:t> </w:t>
      </w:r>
      <w:r>
        <w:rPr>
          <w:color w:val="231F20"/>
        </w:rPr>
        <w:t>commands</w:t>
      </w:r>
      <w:r>
        <w:rPr>
          <w:color w:val="231F20"/>
          <w:spacing w:val="11"/>
        </w:rPr>
        <w:t> </w:t>
      </w:r>
      <w:r>
        <w:rPr>
          <w:color w:val="231F20"/>
        </w:rPr>
        <w:t>for</w:t>
      </w:r>
      <w:r>
        <w:rPr>
          <w:color w:val="231F20"/>
          <w:spacing w:val="11"/>
        </w:rPr>
        <w:t> </w:t>
      </w:r>
      <w:r>
        <w:rPr>
          <w:color w:val="231F20"/>
        </w:rPr>
        <w:t>agent</w:t>
      </w:r>
      <w:r>
        <w:rPr>
          <w:color w:val="231F20"/>
          <w:spacing w:val="11"/>
        </w:rPr>
        <w:t> </w:t>
      </w:r>
      <w:r>
        <w:rPr>
          <w:color w:val="231F20"/>
          <w:spacing w:val="-2"/>
        </w:rPr>
        <w:t>deployment</w:t>
      </w:r>
    </w:p>
    <w:p>
      <w:pPr>
        <w:spacing w:line="213" w:lineRule="auto" w:before="11"/>
        <w:ind w:left="3190" w:right="258" w:hanging="1"/>
        <w:jc w:val="left"/>
        <w:rPr>
          <w:sz w:val="20"/>
        </w:rPr>
      </w:pPr>
      <w:r>
        <w:rPr>
          <w:color w:val="231F20"/>
          <w:sz w:val="20"/>
        </w:rPr>
        <w:t>The</w:t>
      </w:r>
      <w:r>
        <w:rPr>
          <w:color w:val="231F20"/>
          <w:spacing w:val="-2"/>
          <w:sz w:val="20"/>
        </w:rPr>
        <w:t> </w:t>
      </w:r>
      <w:r>
        <w:rPr>
          <w:rFonts w:ascii="Arial"/>
          <w:b/>
          <w:color w:val="231F20"/>
          <w:sz w:val="20"/>
        </w:rPr>
        <w:t>tacmd</w:t>
      </w:r>
      <w:r>
        <w:rPr>
          <w:rFonts w:ascii="Arial"/>
          <w:b/>
          <w:color w:val="231F20"/>
          <w:spacing w:val="-8"/>
          <w:sz w:val="20"/>
        </w:rPr>
        <w:t> </w:t>
      </w:r>
      <w:r>
        <w:rPr>
          <w:rFonts w:ascii="Arial"/>
          <w:b/>
          <w:color w:val="231F20"/>
          <w:sz w:val="20"/>
        </w:rPr>
        <w:t>getdeploystatus</w:t>
      </w:r>
      <w:r>
        <w:rPr>
          <w:rFonts w:ascii="Arial"/>
          <w:b/>
          <w:color w:val="231F20"/>
          <w:spacing w:val="-8"/>
          <w:sz w:val="20"/>
        </w:rPr>
        <w:t> </w:t>
      </w:r>
      <w:r>
        <w:rPr>
          <w:color w:val="231F20"/>
          <w:sz w:val="20"/>
        </w:rPr>
        <w:t>command</w:t>
      </w:r>
      <w:r>
        <w:rPr>
          <w:color w:val="231F20"/>
          <w:spacing w:val="-2"/>
          <w:sz w:val="20"/>
        </w:rPr>
        <w:t> </w:t>
      </w:r>
      <w:r>
        <w:rPr>
          <w:color w:val="231F20"/>
          <w:sz w:val="20"/>
        </w:rPr>
        <w:t>reports</w:t>
      </w:r>
      <w:r>
        <w:rPr>
          <w:color w:val="231F20"/>
          <w:spacing w:val="-2"/>
          <w:sz w:val="20"/>
        </w:rPr>
        <w:t> </w:t>
      </w:r>
      <w:r>
        <w:rPr>
          <w:color w:val="231F20"/>
          <w:sz w:val="20"/>
        </w:rPr>
        <w:t>the</w:t>
      </w:r>
      <w:r>
        <w:rPr>
          <w:color w:val="231F20"/>
          <w:spacing w:val="-2"/>
          <w:sz w:val="20"/>
        </w:rPr>
        <w:t> </w:t>
      </w:r>
      <w:r>
        <w:rPr>
          <w:color w:val="231F20"/>
          <w:sz w:val="20"/>
        </w:rPr>
        <w:t>deployment</w:t>
      </w:r>
      <w:r>
        <w:rPr>
          <w:color w:val="231F20"/>
          <w:spacing w:val="-2"/>
          <w:sz w:val="20"/>
        </w:rPr>
        <w:t> </w:t>
      </w:r>
      <w:r>
        <w:rPr>
          <w:color w:val="231F20"/>
          <w:sz w:val="20"/>
        </w:rPr>
        <w:t>status</w:t>
      </w:r>
      <w:r>
        <w:rPr>
          <w:color w:val="231F20"/>
          <w:spacing w:val="-2"/>
          <w:sz w:val="20"/>
        </w:rPr>
        <w:t> </w:t>
      </w:r>
      <w:r>
        <w:rPr>
          <w:color w:val="231F20"/>
          <w:sz w:val="20"/>
        </w:rPr>
        <w:t>from the command line.</w:t>
      </w:r>
    </w:p>
    <w:p>
      <w:pPr>
        <w:spacing w:after="0" w:line="213" w:lineRule="auto"/>
        <w:jc w:val="left"/>
        <w:rPr>
          <w:sz w:val="20"/>
        </w:rPr>
        <w:sectPr>
          <w:pgSz w:w="12240" w:h="15840"/>
          <w:pgMar w:header="0" w:footer="736" w:top="1180" w:bottom="920" w:left="1000" w:right="1060"/>
        </w:sectPr>
      </w:pPr>
    </w:p>
    <w:p>
      <w:pPr>
        <w:spacing w:line="213" w:lineRule="auto" w:before="85"/>
        <w:ind w:left="2951" w:right="545" w:firstLine="0"/>
        <w:jc w:val="left"/>
        <w:rPr>
          <w:sz w:val="20"/>
        </w:rPr>
      </w:pPr>
      <w:bookmarkStart w:name="_bookmark309" w:id="637"/>
      <w:bookmarkEnd w:id="637"/>
      <w:r>
        <w:rPr/>
      </w:r>
      <w:r>
        <w:rPr>
          <w:color w:val="231F20"/>
          <w:sz w:val="20"/>
        </w:rPr>
        <w:t>The </w:t>
      </w:r>
      <w:r>
        <w:rPr>
          <w:rFonts w:ascii="Arial"/>
          <w:b/>
          <w:color w:val="231F20"/>
          <w:sz w:val="20"/>
        </w:rPr>
        <w:t>tacmd</w:t>
      </w:r>
      <w:r>
        <w:rPr>
          <w:rFonts w:ascii="Arial"/>
          <w:b/>
          <w:color w:val="231F20"/>
          <w:spacing w:val="-4"/>
          <w:sz w:val="20"/>
        </w:rPr>
        <w:t> </w:t>
      </w:r>
      <w:r>
        <w:rPr>
          <w:rFonts w:ascii="Arial"/>
          <w:b/>
          <w:color w:val="231F20"/>
          <w:sz w:val="20"/>
        </w:rPr>
        <w:t>clearDeployStatus</w:t>
      </w:r>
      <w:r>
        <w:rPr>
          <w:rFonts w:ascii="Arial"/>
          <w:b/>
          <w:color w:val="231F20"/>
          <w:spacing w:val="-4"/>
          <w:sz w:val="20"/>
        </w:rPr>
        <w:t> </w:t>
      </w:r>
      <w:r>
        <w:rPr>
          <w:color w:val="231F20"/>
          <w:sz w:val="20"/>
        </w:rPr>
        <w:t>command can be used to clear all or </w:t>
      </w:r>
      <w:r>
        <w:rPr>
          <w:color w:val="231F20"/>
          <w:sz w:val="20"/>
        </w:rPr>
        <w:t>a filtered list of entries in the status table.</w:t>
      </w:r>
    </w:p>
    <w:p>
      <w:pPr>
        <w:pStyle w:val="BodyText"/>
        <w:spacing w:line="213" w:lineRule="auto" w:before="118"/>
        <w:ind w:left="2951" w:right="545"/>
      </w:pPr>
      <w:r>
        <w:rPr>
          <w:color w:val="231F20"/>
        </w:rPr>
        <w:t>The </w:t>
      </w:r>
      <w:r>
        <w:rPr>
          <w:rFonts w:ascii="Arial"/>
          <w:b/>
          <w:color w:val="231F20"/>
        </w:rPr>
        <w:t>tacmd checkprereq </w:t>
      </w:r>
      <w:r>
        <w:rPr>
          <w:color w:val="231F20"/>
        </w:rPr>
        <w:t>command checks for prerequisites on the target system before you begin deploying a monitoring agent there. You can review the results in the Deployment Status Summary workspace or </w:t>
      </w:r>
      <w:r>
        <w:rPr>
          <w:color w:val="231F20"/>
        </w:rPr>
        <w:t>with the</w:t>
      </w:r>
      <w:r>
        <w:rPr>
          <w:color w:val="231F20"/>
          <w:spacing w:val="22"/>
        </w:rPr>
        <w:t> </w:t>
      </w:r>
      <w:r>
        <w:rPr>
          <w:rFonts w:ascii="Arial"/>
          <w:b/>
          <w:color w:val="231F20"/>
        </w:rPr>
        <w:t>tacmd getDeployStatus </w:t>
      </w:r>
      <w:r>
        <w:rPr>
          <w:color w:val="231F20"/>
        </w:rPr>
        <w:t>command.</w:t>
      </w:r>
    </w:p>
    <w:p>
      <w:pPr>
        <w:pStyle w:val="BodyText"/>
        <w:spacing w:line="213" w:lineRule="auto" w:before="117"/>
        <w:ind w:left="2951" w:right="274"/>
      </w:pPr>
      <w:r>
        <w:rPr>
          <w:color w:val="231F20"/>
        </w:rPr>
        <w:t>The </w:t>
      </w:r>
      <w:r>
        <w:rPr>
          <w:rFonts w:ascii="Arial"/>
          <w:b/>
          <w:color w:val="231F20"/>
        </w:rPr>
        <w:t>tacmd</w:t>
      </w:r>
      <w:r>
        <w:rPr>
          <w:rFonts w:ascii="Arial"/>
          <w:b/>
          <w:color w:val="231F20"/>
          <w:spacing w:val="-4"/>
        </w:rPr>
        <w:t> </w:t>
      </w:r>
      <w:r>
        <w:rPr>
          <w:rFonts w:ascii="Arial"/>
          <w:b/>
          <w:color w:val="231F20"/>
        </w:rPr>
        <w:t>restartFailedDeploy</w:t>
      </w:r>
      <w:r>
        <w:rPr>
          <w:rFonts w:ascii="Arial"/>
          <w:b/>
          <w:color w:val="231F20"/>
          <w:spacing w:val="-4"/>
        </w:rPr>
        <w:t> </w:t>
      </w:r>
      <w:r>
        <w:rPr>
          <w:color w:val="231F20"/>
        </w:rPr>
        <w:t>command restarts failed deployments.</w:t>
      </w:r>
      <w:r>
        <w:rPr>
          <w:color w:val="231F20"/>
          <w:spacing w:val="-1"/>
        </w:rPr>
        <w:t> </w:t>
      </w:r>
      <w:r>
        <w:rPr>
          <w:color w:val="231F20"/>
        </w:rPr>
        <w:t>You can</w:t>
      </w:r>
      <w:r>
        <w:rPr>
          <w:color w:val="231F20"/>
          <w:spacing w:val="20"/>
        </w:rPr>
        <w:t> </w:t>
      </w:r>
      <w:r>
        <w:rPr>
          <w:color w:val="231F20"/>
        </w:rPr>
        <w:t>restart</w:t>
      </w:r>
      <w:r>
        <w:rPr>
          <w:color w:val="231F20"/>
          <w:spacing w:val="20"/>
        </w:rPr>
        <w:t> </w:t>
      </w:r>
      <w:r>
        <w:rPr>
          <w:color w:val="231F20"/>
        </w:rPr>
        <w:t>all</w:t>
      </w:r>
      <w:r>
        <w:rPr>
          <w:color w:val="231F20"/>
          <w:spacing w:val="20"/>
        </w:rPr>
        <w:t> </w:t>
      </w:r>
      <w:r>
        <w:rPr>
          <w:color w:val="231F20"/>
        </w:rPr>
        <w:t>the</w:t>
      </w:r>
      <w:r>
        <w:rPr>
          <w:color w:val="231F20"/>
          <w:spacing w:val="20"/>
        </w:rPr>
        <w:t> </w:t>
      </w:r>
      <w:r>
        <w:rPr>
          <w:color w:val="231F20"/>
        </w:rPr>
        <w:t>failed</w:t>
      </w:r>
      <w:r>
        <w:rPr>
          <w:color w:val="231F20"/>
          <w:spacing w:val="20"/>
        </w:rPr>
        <w:t> </w:t>
      </w:r>
      <w:r>
        <w:rPr>
          <w:color w:val="231F20"/>
        </w:rPr>
        <w:t>entries</w:t>
      </w:r>
      <w:r>
        <w:rPr>
          <w:color w:val="231F20"/>
          <w:spacing w:val="20"/>
        </w:rPr>
        <w:t> </w:t>
      </w:r>
      <w:r>
        <w:rPr>
          <w:color w:val="231F20"/>
        </w:rPr>
        <w:t>in</w:t>
      </w:r>
      <w:r>
        <w:rPr>
          <w:color w:val="231F20"/>
          <w:spacing w:val="20"/>
        </w:rPr>
        <w:t> </w:t>
      </w:r>
      <w:r>
        <w:rPr>
          <w:color w:val="231F20"/>
        </w:rPr>
        <w:t>the</w:t>
      </w:r>
      <w:r>
        <w:rPr>
          <w:color w:val="231F20"/>
          <w:spacing w:val="20"/>
        </w:rPr>
        <w:t> </w:t>
      </w:r>
      <w:r>
        <w:rPr>
          <w:color w:val="231F20"/>
        </w:rPr>
        <w:t>status</w:t>
      </w:r>
      <w:r>
        <w:rPr>
          <w:color w:val="231F20"/>
          <w:spacing w:val="20"/>
        </w:rPr>
        <w:t> </w:t>
      </w:r>
      <w:r>
        <w:rPr>
          <w:color w:val="231F20"/>
        </w:rPr>
        <w:t>table</w:t>
      </w:r>
      <w:r>
        <w:rPr>
          <w:color w:val="231F20"/>
          <w:spacing w:val="20"/>
        </w:rPr>
        <w:t> </w:t>
      </w:r>
      <w:r>
        <w:rPr>
          <w:color w:val="231F20"/>
        </w:rPr>
        <w:t>or</w:t>
      </w:r>
      <w:r>
        <w:rPr>
          <w:color w:val="231F20"/>
          <w:spacing w:val="20"/>
        </w:rPr>
        <w:t> </w:t>
      </w:r>
      <w:r>
        <w:rPr>
          <w:color w:val="231F20"/>
        </w:rPr>
        <w:t>filter</w:t>
      </w:r>
      <w:r>
        <w:rPr>
          <w:color w:val="231F20"/>
          <w:spacing w:val="20"/>
        </w:rPr>
        <w:t> </w:t>
      </w:r>
      <w:r>
        <w:rPr>
          <w:color w:val="231F20"/>
        </w:rPr>
        <w:t>the</w:t>
      </w:r>
      <w:r>
        <w:rPr>
          <w:color w:val="231F20"/>
          <w:spacing w:val="20"/>
        </w:rPr>
        <w:t> </w:t>
      </w:r>
      <w:r>
        <w:rPr>
          <w:color w:val="231F20"/>
        </w:rPr>
        <w:t>table</w:t>
      </w:r>
      <w:r>
        <w:rPr>
          <w:color w:val="231F20"/>
          <w:spacing w:val="20"/>
        </w:rPr>
        <w:t> </w:t>
      </w:r>
      <w:r>
        <w:rPr>
          <w:color w:val="231F20"/>
        </w:rPr>
        <w:t>entries</w:t>
      </w:r>
    </w:p>
    <w:p>
      <w:pPr>
        <w:spacing w:line="213" w:lineRule="auto" w:before="118"/>
        <w:ind w:left="2951" w:right="545" w:firstLine="0"/>
        <w:jc w:val="left"/>
        <w:rPr>
          <w:sz w:val="20"/>
        </w:rPr>
      </w:pPr>
      <w:r>
        <w:rPr>
          <w:color w:val="231F20"/>
          <w:spacing w:val="-2"/>
          <w:w w:val="105"/>
          <w:sz w:val="20"/>
        </w:rPr>
        <w:t>The </w:t>
      </w:r>
      <w:hyperlink r:id="rId348">
        <w:r>
          <w:rPr>
            <w:rFonts w:ascii="Book Antiqua"/>
            <w:i/>
            <w:color w:val="231F20"/>
            <w:spacing w:val="-2"/>
            <w:w w:val="105"/>
            <w:sz w:val="20"/>
          </w:rPr>
          <w:t>IBM Tivoli Monitoring Command Reference</w:t>
        </w:r>
      </w:hyperlink>
      <w:r>
        <w:rPr>
          <w:rFonts w:ascii="Book Antiqua"/>
          <w:i/>
          <w:color w:val="231F20"/>
          <w:spacing w:val="-2"/>
          <w:w w:val="105"/>
          <w:sz w:val="20"/>
        </w:rPr>
        <w:t> </w:t>
      </w:r>
      <w:hyperlink r:id="rId470">
        <w:r>
          <w:rPr>
            <w:color w:val="231F20"/>
            <w:spacing w:val="-2"/>
            <w:w w:val="105"/>
            <w:sz w:val="20"/>
          </w:rPr>
          <w:t>(http://pic.dhe.ibm.com/</w:t>
        </w:r>
      </w:hyperlink>
      <w:r>
        <w:rPr>
          <w:color w:val="231F20"/>
          <w:spacing w:val="-2"/>
          <w:w w:val="105"/>
          <w:sz w:val="20"/>
        </w:rPr>
        <w:t> infocenter/tivihelp/v61r1/topic/com.ibm.itm.doc_6.3/cmdref/ </w:t>
      </w:r>
      <w:r>
        <w:rPr>
          <w:color w:val="231F20"/>
          <w:w w:val="105"/>
          <w:sz w:val="20"/>
        </w:rPr>
        <w:t>itm_cmdref.htm)</w:t>
      </w:r>
      <w:r>
        <w:rPr>
          <w:color w:val="231F20"/>
          <w:spacing w:val="-6"/>
          <w:w w:val="105"/>
          <w:sz w:val="20"/>
        </w:rPr>
        <w:t> </w:t>
      </w:r>
      <w:r>
        <w:rPr>
          <w:color w:val="231F20"/>
          <w:w w:val="105"/>
          <w:sz w:val="20"/>
        </w:rPr>
        <w:t>describes</w:t>
      </w:r>
      <w:r>
        <w:rPr>
          <w:color w:val="231F20"/>
          <w:spacing w:val="-6"/>
          <w:w w:val="105"/>
          <w:sz w:val="20"/>
        </w:rPr>
        <w:t> </w:t>
      </w:r>
      <w:r>
        <w:rPr>
          <w:color w:val="231F20"/>
          <w:w w:val="105"/>
          <w:sz w:val="20"/>
        </w:rPr>
        <w:t>these</w:t>
      </w:r>
      <w:r>
        <w:rPr>
          <w:color w:val="231F20"/>
          <w:spacing w:val="-6"/>
          <w:w w:val="105"/>
          <w:sz w:val="20"/>
        </w:rPr>
        <w:t> </w:t>
      </w:r>
      <w:r>
        <w:rPr>
          <w:color w:val="231F20"/>
          <w:w w:val="105"/>
          <w:sz w:val="20"/>
        </w:rPr>
        <w:t>commands</w:t>
      </w:r>
      <w:r>
        <w:rPr>
          <w:color w:val="231F20"/>
          <w:spacing w:val="-6"/>
          <w:w w:val="105"/>
          <w:sz w:val="20"/>
        </w:rPr>
        <w:t> </w:t>
      </w:r>
      <w:r>
        <w:rPr>
          <w:color w:val="231F20"/>
          <w:w w:val="105"/>
          <w:sz w:val="20"/>
        </w:rPr>
        <w:t>and</w:t>
      </w:r>
      <w:r>
        <w:rPr>
          <w:color w:val="231F20"/>
          <w:spacing w:val="-6"/>
          <w:w w:val="105"/>
          <w:sz w:val="20"/>
        </w:rPr>
        <w:t> </w:t>
      </w:r>
      <w:r>
        <w:rPr>
          <w:color w:val="231F20"/>
          <w:w w:val="105"/>
          <w:sz w:val="20"/>
        </w:rPr>
        <w:t>their</w:t>
      </w:r>
      <w:r>
        <w:rPr>
          <w:color w:val="231F20"/>
          <w:spacing w:val="-6"/>
          <w:w w:val="105"/>
          <w:sz w:val="20"/>
        </w:rPr>
        <w:t> </w:t>
      </w:r>
      <w:r>
        <w:rPr>
          <w:color w:val="231F20"/>
          <w:w w:val="105"/>
          <w:sz w:val="20"/>
        </w:rPr>
        <w:t>syntax.</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232"/>
      </w:pPr>
      <w:hyperlink w:history="true" w:anchor="_bookmark306">
        <w:r>
          <w:rPr>
            <w:color w:val="231F20"/>
          </w:rPr>
          <w:t>“Deploy</w:t>
        </w:r>
        <w:r>
          <w:rPr>
            <w:color w:val="231F20"/>
            <w:spacing w:val="10"/>
          </w:rPr>
          <w:t> </w:t>
        </w:r>
        <w:r>
          <w:rPr>
            <w:color w:val="231F20"/>
          </w:rPr>
          <w:t>Depot</w:t>
        </w:r>
        <w:r>
          <w:rPr>
            <w:color w:val="231F20"/>
            <w:spacing w:val="10"/>
          </w:rPr>
          <w:t> </w:t>
        </w:r>
        <w:r>
          <w:rPr>
            <w:color w:val="231F20"/>
          </w:rPr>
          <w:t>Package</w:t>
        </w:r>
        <w:r>
          <w:rPr>
            <w:color w:val="231F20"/>
            <w:spacing w:val="10"/>
          </w:rPr>
          <w:t> </w:t>
        </w:r>
        <w:r>
          <w:rPr>
            <w:color w:val="231F20"/>
          </w:rPr>
          <w:t>List</w:t>
        </w:r>
        <w:r>
          <w:rPr>
            <w:color w:val="231F20"/>
            <w:spacing w:val="10"/>
          </w:rPr>
          <w:t> </w:t>
        </w:r>
        <w:r>
          <w:rPr>
            <w:color w:val="231F20"/>
          </w:rPr>
          <w:t>workspace”</w:t>
        </w:r>
        <w:r>
          <w:rPr>
            <w:color w:val="231F20"/>
            <w:spacing w:val="10"/>
          </w:rPr>
          <w:t> </w:t>
        </w:r>
        <w:r>
          <w:rPr>
            <w:color w:val="231F20"/>
          </w:rPr>
          <w:t>on</w:t>
        </w:r>
        <w:r>
          <w:rPr>
            <w:color w:val="231F20"/>
            <w:spacing w:val="11"/>
          </w:rPr>
          <w:t> </w:t>
        </w:r>
        <w:r>
          <w:rPr>
            <w:color w:val="231F20"/>
          </w:rPr>
          <w:t>page</w:t>
        </w:r>
        <w:r>
          <w:rPr>
            <w:color w:val="231F20"/>
            <w:spacing w:val="10"/>
          </w:rPr>
          <w:t> </w:t>
        </w:r>
        <w:r>
          <w:rPr>
            <w:color w:val="231F20"/>
            <w:spacing w:val="-5"/>
          </w:rPr>
          <w:t>396</w:t>
        </w:r>
      </w:hyperlink>
    </w:p>
    <w:p>
      <w:pPr>
        <w:pStyle w:val="BodyText"/>
        <w:spacing w:line="213" w:lineRule="auto" w:before="8"/>
        <w:ind w:left="2232" w:right="545"/>
      </w:pPr>
      <w:r>
        <w:rPr>
          <w:color w:val="231F20"/>
        </w:rPr>
        <w:t>Use the Deploy Depot Package List workspace to see the installation packages </w:t>
      </w:r>
      <w:r>
        <w:rPr>
          <w:color w:val="231F20"/>
        </w:rPr>
        <w:t>that </w:t>
      </w:r>
      <w:bookmarkStart w:name="Deployment Status by Deploy Group worksp" w:id="638"/>
      <w:bookmarkEnd w:id="638"/>
      <w:r>
        <w:rPr>
          <w:color w:val="231F20"/>
        </w:rPr>
        <w:t>a</w:t>
      </w:r>
      <w:r>
        <w:rPr>
          <w:color w:val="231F20"/>
        </w:rPr>
        <w:t>re available in the agent depot at the Tivoli Enterprise Monitoring Server.</w:t>
      </w:r>
    </w:p>
    <w:p>
      <w:pPr>
        <w:pStyle w:val="Heading4"/>
        <w:spacing w:line="273" w:lineRule="exact" w:before="165"/>
      </w:pPr>
      <w:r>
        <w:rPr>
          <w:color w:val="231F20"/>
        </w:rPr>
        <w:t>Deployment</w:t>
      </w:r>
      <w:r>
        <w:rPr>
          <w:color w:val="231F20"/>
          <w:spacing w:val="5"/>
        </w:rPr>
        <w:t> </w:t>
      </w:r>
      <w:r>
        <w:rPr>
          <w:color w:val="231F20"/>
        </w:rPr>
        <w:t>Status</w:t>
      </w:r>
      <w:r>
        <w:rPr>
          <w:color w:val="231F20"/>
          <w:spacing w:val="5"/>
        </w:rPr>
        <w:t> </w:t>
      </w:r>
      <w:r>
        <w:rPr>
          <w:color w:val="231F20"/>
        </w:rPr>
        <w:t>by</w:t>
      </w:r>
      <w:r>
        <w:rPr>
          <w:color w:val="231F20"/>
          <w:spacing w:val="5"/>
        </w:rPr>
        <w:t> </w:t>
      </w:r>
      <w:r>
        <w:rPr>
          <w:color w:val="231F20"/>
        </w:rPr>
        <w:t>Deploy</w:t>
      </w:r>
      <w:r>
        <w:rPr>
          <w:color w:val="231F20"/>
          <w:spacing w:val="5"/>
        </w:rPr>
        <w:t> </w:t>
      </w:r>
      <w:r>
        <w:rPr>
          <w:color w:val="231F20"/>
        </w:rPr>
        <w:t>Group</w:t>
      </w:r>
      <w:r>
        <w:rPr>
          <w:color w:val="231F20"/>
          <w:spacing w:val="5"/>
        </w:rPr>
        <w:t> </w:t>
      </w:r>
      <w:r>
        <w:rPr>
          <w:color w:val="231F20"/>
          <w:spacing w:val="-2"/>
        </w:rPr>
        <w:t>workspace</w:t>
      </w:r>
    </w:p>
    <w:p>
      <w:pPr>
        <w:pStyle w:val="BodyText"/>
        <w:spacing w:line="213" w:lineRule="auto" w:before="19"/>
        <w:ind w:left="2232" w:right="493"/>
      </w:pPr>
      <w:r>
        <w:rPr>
          <w:color w:val="231F20"/>
        </w:rPr>
        <w:t>The Deployment Status by Deploy Group workspace shows status </w:t>
      </w:r>
      <w:r>
        <w:rPr>
          <w:color w:val="231F20"/>
        </w:rPr>
        <w:t>information about asynchronous remote agent deployments for a particular deploy group.</w:t>
      </w:r>
    </w:p>
    <w:p>
      <w:pPr>
        <w:pStyle w:val="BodyText"/>
        <w:spacing w:before="216"/>
        <w:ind w:left="2232"/>
      </w:pPr>
      <w:r>
        <w:rPr>
          <w:color w:val="231F20"/>
        </w:rPr>
        <w:t>This</w:t>
      </w:r>
      <w:r>
        <w:rPr>
          <w:color w:val="231F20"/>
          <w:spacing w:val="9"/>
        </w:rPr>
        <w:t> </w:t>
      </w:r>
      <w:r>
        <w:rPr>
          <w:color w:val="231F20"/>
        </w:rPr>
        <w:t>workspace</w:t>
      </w:r>
      <w:r>
        <w:rPr>
          <w:color w:val="231F20"/>
          <w:spacing w:val="9"/>
        </w:rPr>
        <w:t> </w:t>
      </w:r>
      <w:r>
        <w:rPr>
          <w:color w:val="231F20"/>
        </w:rPr>
        <w:t>is</w:t>
      </w:r>
      <w:r>
        <w:rPr>
          <w:color w:val="231F20"/>
          <w:spacing w:val="10"/>
        </w:rPr>
        <w:t> </w:t>
      </w:r>
      <w:r>
        <w:rPr>
          <w:color w:val="231F20"/>
        </w:rPr>
        <w:t>accessed</w:t>
      </w:r>
      <w:r>
        <w:rPr>
          <w:color w:val="231F20"/>
          <w:spacing w:val="9"/>
        </w:rPr>
        <w:t> </w:t>
      </w:r>
      <w:r>
        <w:rPr>
          <w:color w:val="231F20"/>
        </w:rPr>
        <w:t>from</w:t>
      </w:r>
      <w:r>
        <w:rPr>
          <w:color w:val="231F20"/>
          <w:spacing w:val="10"/>
        </w:rPr>
        <w:t> </w:t>
      </w:r>
      <w:r>
        <w:rPr>
          <w:color w:val="231F20"/>
        </w:rPr>
        <w:t>the</w:t>
      </w:r>
      <w:r>
        <w:rPr>
          <w:color w:val="231F20"/>
          <w:spacing w:val="9"/>
        </w:rPr>
        <w:t> </w:t>
      </w:r>
      <w:r>
        <w:rPr>
          <w:color w:val="231F20"/>
        </w:rPr>
        <w:t>Deployment</w:t>
      </w:r>
      <w:r>
        <w:rPr>
          <w:color w:val="231F20"/>
          <w:spacing w:val="10"/>
        </w:rPr>
        <w:t> </w:t>
      </w:r>
      <w:r>
        <w:rPr>
          <w:color w:val="231F20"/>
        </w:rPr>
        <w:t>Status</w:t>
      </w:r>
      <w:r>
        <w:rPr>
          <w:color w:val="231F20"/>
          <w:spacing w:val="9"/>
        </w:rPr>
        <w:t> </w:t>
      </w:r>
      <w:r>
        <w:rPr>
          <w:color w:val="231F20"/>
        </w:rPr>
        <w:t>Summary</w:t>
      </w:r>
      <w:r>
        <w:rPr>
          <w:color w:val="231F20"/>
          <w:spacing w:val="10"/>
        </w:rPr>
        <w:t> </w:t>
      </w:r>
      <w:r>
        <w:rPr>
          <w:color w:val="231F20"/>
          <w:spacing w:val="-2"/>
        </w:rPr>
        <w:t>workspaces.</w:t>
      </w:r>
    </w:p>
    <w:p>
      <w:pPr>
        <w:pStyle w:val="Heading5"/>
        <w:spacing w:before="212"/>
        <w:ind w:left="2232"/>
      </w:pPr>
      <w:r>
        <w:rPr>
          <w:color w:val="231F20"/>
        </w:rPr>
        <w:t>Accessing</w:t>
      </w:r>
      <w:r>
        <w:rPr>
          <w:color w:val="231F20"/>
          <w:spacing w:val="3"/>
        </w:rPr>
        <w:t> </w:t>
      </w:r>
      <w:r>
        <w:rPr>
          <w:color w:val="231F20"/>
        </w:rPr>
        <w:t>the</w:t>
      </w:r>
      <w:r>
        <w:rPr>
          <w:color w:val="231F20"/>
          <w:spacing w:val="4"/>
        </w:rPr>
        <w:t> </w:t>
      </w:r>
      <w:r>
        <w:rPr>
          <w:color w:val="231F20"/>
          <w:spacing w:val="-2"/>
        </w:rPr>
        <w:t>workspace</w:t>
      </w:r>
    </w:p>
    <w:p>
      <w:pPr>
        <w:pStyle w:val="ListParagraph"/>
        <w:numPr>
          <w:ilvl w:val="0"/>
          <w:numId w:val="182"/>
        </w:numPr>
        <w:tabs>
          <w:tab w:pos="2548" w:val="left" w:leader="none"/>
        </w:tabs>
        <w:spacing w:line="213" w:lineRule="auto" w:before="66" w:after="0"/>
        <w:ind w:left="2548" w:right="863" w:hanging="316"/>
        <w:jc w:val="left"/>
        <w:rPr>
          <w:sz w:val="20"/>
        </w:rPr>
      </w:pPr>
      <w:r>
        <w:rPr>
          <w:color w:val="231F20"/>
          <w:sz w:val="20"/>
        </w:rPr>
        <w:t>Open the Deployment Status Summary workspace or Deployment Status Summary by Transaction workspace from the </w:t>
      </w:r>
      <w:r>
        <w:rPr>
          <w:color w:val="231F20"/>
          <w:spacing w:val="15"/>
          <w:position w:val="-1"/>
          <w:sz w:val="20"/>
        </w:rPr>
        <w:drawing>
          <wp:inline distT="0" distB="0" distL="0" distR="0">
            <wp:extent cx="95250" cy="101600"/>
            <wp:effectExtent l="0" t="0" r="0" b="0"/>
            <wp:docPr id="3137" name="Image 3137"/>
            <wp:cNvGraphicFramePr>
              <a:graphicFrameLocks/>
            </wp:cNvGraphicFramePr>
            <a:graphic>
              <a:graphicData uri="http://schemas.openxmlformats.org/drawingml/2006/picture">
                <pic:pic>
                  <pic:nvPicPr>
                    <pic:cNvPr id="3137" name="Image 3137"/>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sz w:val="20"/>
        </w:rPr>
      </w:r>
      <w:r>
        <w:rPr>
          <w:rFonts w:ascii="Times New Roman"/>
          <w:color w:val="231F20"/>
          <w:spacing w:val="-11"/>
          <w:sz w:val="20"/>
        </w:rPr>
        <w:t> </w:t>
      </w:r>
      <w:r>
        <w:rPr>
          <w:color w:val="231F20"/>
          <w:sz w:val="20"/>
        </w:rPr>
        <w:t>Enterprise Navigator item.</w:t>
      </w:r>
    </w:p>
    <w:p>
      <w:pPr>
        <w:pStyle w:val="ListParagraph"/>
        <w:numPr>
          <w:ilvl w:val="0"/>
          <w:numId w:val="182"/>
        </w:numPr>
        <w:tabs>
          <w:tab w:pos="2546" w:val="left" w:leader="none"/>
          <w:tab w:pos="2548" w:val="left" w:leader="none"/>
        </w:tabs>
        <w:spacing w:line="213" w:lineRule="auto" w:before="59" w:after="0"/>
        <w:ind w:left="2548" w:right="486" w:hanging="317"/>
        <w:jc w:val="left"/>
        <w:rPr>
          <w:sz w:val="20"/>
        </w:rPr>
      </w:pPr>
      <w:r>
        <w:rPr>
          <w:color w:val="231F20"/>
          <w:sz w:val="20"/>
        </w:rPr>
        <w:t>In the Deployment Status Detail table, click the</w:t>
      </w:r>
      <w:r>
        <w:rPr>
          <w:color w:val="231F20"/>
          <w:spacing w:val="-2"/>
          <w:position w:val="-1"/>
          <w:sz w:val="20"/>
        </w:rPr>
        <w:drawing>
          <wp:inline distT="0" distB="0" distL="0" distR="0">
            <wp:extent cx="101600" cy="101600"/>
            <wp:effectExtent l="0" t="0" r="0" b="0"/>
            <wp:docPr id="3138" name="Image 3138"/>
            <wp:cNvGraphicFramePr>
              <a:graphicFrameLocks/>
            </wp:cNvGraphicFramePr>
            <a:graphic>
              <a:graphicData uri="http://schemas.openxmlformats.org/drawingml/2006/picture">
                <pic:pic>
                  <pic:nvPicPr>
                    <pic:cNvPr id="3138" name="Image 3138"/>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2"/>
          <w:position w:val="-1"/>
          <w:sz w:val="20"/>
        </w:rPr>
      </w:r>
      <w:r>
        <w:rPr>
          <w:rFonts w:ascii="Times New Roman"/>
          <w:color w:val="231F20"/>
          <w:spacing w:val="40"/>
          <w:sz w:val="20"/>
        </w:rPr>
        <w:t> </w:t>
      </w:r>
      <w:r>
        <w:rPr>
          <w:color w:val="231F20"/>
          <w:sz w:val="20"/>
        </w:rPr>
        <w:t>link in the row of the deploy</w:t>
      </w:r>
      <w:r>
        <w:rPr>
          <w:color w:val="231F20"/>
          <w:spacing w:val="40"/>
          <w:sz w:val="20"/>
        </w:rPr>
        <w:t> </w:t>
      </w:r>
      <w:r>
        <w:rPr>
          <w:color w:val="231F20"/>
          <w:sz w:val="20"/>
        </w:rPr>
        <w:t>group for which you want detailed status.</w:t>
      </w:r>
    </w:p>
    <w:p>
      <w:pPr>
        <w:pStyle w:val="ListParagraph"/>
        <w:numPr>
          <w:ilvl w:val="0"/>
          <w:numId w:val="182"/>
        </w:numPr>
        <w:tabs>
          <w:tab w:pos="2547" w:val="left" w:leader="none"/>
        </w:tabs>
        <w:spacing w:line="240" w:lineRule="auto" w:before="35" w:after="0"/>
        <w:ind w:left="2547" w:right="0" w:hanging="315"/>
        <w:jc w:val="left"/>
        <w:rPr>
          <w:sz w:val="20"/>
        </w:rPr>
      </w:pPr>
      <w:r>
        <w:rPr>
          <w:color w:val="231F20"/>
          <w:sz w:val="20"/>
        </w:rPr>
        <w:t>Click</w:t>
      </w:r>
      <w:r>
        <w:rPr>
          <w:color w:val="231F20"/>
          <w:spacing w:val="10"/>
          <w:sz w:val="20"/>
        </w:rPr>
        <w:t> </w:t>
      </w:r>
      <w:r>
        <w:rPr>
          <w:rFonts w:ascii="Book Antiqua"/>
          <w:b/>
          <w:color w:val="231F20"/>
          <w:sz w:val="20"/>
        </w:rPr>
        <w:t>Deployment</w:t>
      </w:r>
      <w:r>
        <w:rPr>
          <w:rFonts w:ascii="Book Antiqua"/>
          <w:b/>
          <w:color w:val="231F20"/>
          <w:spacing w:val="11"/>
          <w:sz w:val="20"/>
        </w:rPr>
        <w:t> </w:t>
      </w:r>
      <w:r>
        <w:rPr>
          <w:rFonts w:ascii="Book Antiqua"/>
          <w:b/>
          <w:color w:val="231F20"/>
          <w:sz w:val="20"/>
        </w:rPr>
        <w:t>Status</w:t>
      </w:r>
      <w:r>
        <w:rPr>
          <w:rFonts w:ascii="Book Antiqua"/>
          <w:b/>
          <w:color w:val="231F20"/>
          <w:spacing w:val="11"/>
          <w:sz w:val="20"/>
        </w:rPr>
        <w:t> </w:t>
      </w:r>
      <w:r>
        <w:rPr>
          <w:rFonts w:ascii="Book Antiqua"/>
          <w:b/>
          <w:color w:val="231F20"/>
          <w:sz w:val="20"/>
        </w:rPr>
        <w:t>by</w:t>
      </w:r>
      <w:r>
        <w:rPr>
          <w:rFonts w:ascii="Book Antiqua"/>
          <w:b/>
          <w:color w:val="231F20"/>
          <w:spacing w:val="11"/>
          <w:sz w:val="20"/>
        </w:rPr>
        <w:t> </w:t>
      </w:r>
      <w:r>
        <w:rPr>
          <w:rFonts w:ascii="Book Antiqua"/>
          <w:b/>
          <w:color w:val="231F20"/>
          <w:sz w:val="20"/>
        </w:rPr>
        <w:t>Deploy</w:t>
      </w:r>
      <w:r>
        <w:rPr>
          <w:rFonts w:ascii="Book Antiqua"/>
          <w:b/>
          <w:color w:val="231F20"/>
          <w:spacing w:val="11"/>
          <w:sz w:val="20"/>
        </w:rPr>
        <w:t> </w:t>
      </w:r>
      <w:r>
        <w:rPr>
          <w:rFonts w:ascii="Book Antiqua"/>
          <w:b/>
          <w:color w:val="231F20"/>
          <w:sz w:val="20"/>
        </w:rPr>
        <w:t>Group</w:t>
      </w:r>
      <w:r>
        <w:rPr>
          <w:rFonts w:ascii="Book Antiqua"/>
          <w:b/>
          <w:color w:val="231F20"/>
          <w:spacing w:val="11"/>
          <w:sz w:val="20"/>
        </w:rPr>
        <w:t> </w:t>
      </w:r>
      <w:r>
        <w:rPr>
          <w:color w:val="231F20"/>
          <w:sz w:val="20"/>
        </w:rPr>
        <w:t>to</w:t>
      </w:r>
      <w:r>
        <w:rPr>
          <w:color w:val="231F20"/>
          <w:spacing w:val="11"/>
          <w:sz w:val="20"/>
        </w:rPr>
        <w:t> </w:t>
      </w:r>
      <w:r>
        <w:rPr>
          <w:color w:val="231F20"/>
          <w:sz w:val="20"/>
        </w:rPr>
        <w:t>open</w:t>
      </w:r>
      <w:r>
        <w:rPr>
          <w:color w:val="231F20"/>
          <w:spacing w:val="11"/>
          <w:sz w:val="20"/>
        </w:rPr>
        <w:t> </w:t>
      </w:r>
      <w:r>
        <w:rPr>
          <w:color w:val="231F20"/>
          <w:sz w:val="20"/>
        </w:rPr>
        <w:t>the</w:t>
      </w:r>
      <w:r>
        <w:rPr>
          <w:color w:val="231F20"/>
          <w:spacing w:val="11"/>
          <w:sz w:val="20"/>
        </w:rPr>
        <w:t> </w:t>
      </w:r>
      <w:r>
        <w:rPr>
          <w:color w:val="231F20"/>
          <w:spacing w:val="-2"/>
          <w:sz w:val="20"/>
        </w:rPr>
        <w:t>workspace.</w:t>
      </w:r>
    </w:p>
    <w:p>
      <w:pPr>
        <w:pStyle w:val="Heading5"/>
        <w:spacing w:before="213"/>
        <w:ind w:left="2232"/>
      </w:pPr>
      <w:r>
        <w:rPr>
          <w:color w:val="231F20"/>
        </w:rPr>
        <w:t>What</w:t>
      </w:r>
      <w:r>
        <w:rPr>
          <w:color w:val="231F20"/>
          <w:spacing w:val="4"/>
        </w:rPr>
        <w:t> </w:t>
      </w:r>
      <w:r>
        <w:rPr>
          <w:color w:val="231F20"/>
        </w:rPr>
        <w:t>the</w:t>
      </w:r>
      <w:r>
        <w:rPr>
          <w:color w:val="231F20"/>
          <w:spacing w:val="4"/>
        </w:rPr>
        <w:t> </w:t>
      </w:r>
      <w:r>
        <w:rPr>
          <w:color w:val="231F20"/>
        </w:rPr>
        <w:t>workspace</w:t>
      </w:r>
      <w:r>
        <w:rPr>
          <w:color w:val="231F20"/>
          <w:spacing w:val="4"/>
        </w:rPr>
        <w:t> </w:t>
      </w:r>
      <w:r>
        <w:rPr>
          <w:color w:val="231F20"/>
          <w:spacing w:val="-2"/>
        </w:rPr>
        <w:t>shows</w:t>
      </w:r>
    </w:p>
    <w:p>
      <w:pPr>
        <w:pStyle w:val="BodyText"/>
        <w:spacing w:before="222"/>
        <w:ind w:left="2232"/>
      </w:pPr>
      <w:r>
        <w:rPr>
          <w:color w:val="231F20"/>
        </w:rPr>
        <w:t>The</w:t>
      </w:r>
      <w:r>
        <w:rPr>
          <w:color w:val="231F20"/>
          <w:spacing w:val="9"/>
        </w:rPr>
        <w:t> </w:t>
      </w:r>
      <w:r>
        <w:rPr>
          <w:color w:val="231F20"/>
        </w:rPr>
        <w:t>workspace</w:t>
      </w:r>
      <w:r>
        <w:rPr>
          <w:color w:val="231F20"/>
          <w:spacing w:val="10"/>
        </w:rPr>
        <w:t> </w:t>
      </w:r>
      <w:r>
        <w:rPr>
          <w:color w:val="231F20"/>
        </w:rPr>
        <w:t>contains</w:t>
      </w:r>
      <w:r>
        <w:rPr>
          <w:color w:val="231F20"/>
          <w:spacing w:val="10"/>
        </w:rPr>
        <w:t> </w:t>
      </w:r>
      <w:r>
        <w:rPr>
          <w:color w:val="231F20"/>
        </w:rPr>
        <w:t>four</w:t>
      </w:r>
      <w:r>
        <w:rPr>
          <w:color w:val="231F20"/>
          <w:spacing w:val="10"/>
        </w:rPr>
        <w:t> </w:t>
      </w:r>
      <w:r>
        <w:rPr>
          <w:color w:val="231F20"/>
          <w:spacing w:val="-2"/>
        </w:rPr>
        <w:t>views:</w:t>
      </w:r>
    </w:p>
    <w:p>
      <w:pPr>
        <w:pStyle w:val="Heading6"/>
        <w:spacing w:line="240" w:lineRule="auto" w:before="111"/>
        <w:ind w:left="2232"/>
      </w:pPr>
      <w:r>
        <w:rPr>
          <w:color w:val="231F20"/>
        </w:rPr>
        <w:t>Deployment</w:t>
      </w:r>
      <w:r>
        <w:rPr>
          <w:color w:val="231F20"/>
          <w:spacing w:val="8"/>
        </w:rPr>
        <w:t> </w:t>
      </w:r>
      <w:r>
        <w:rPr>
          <w:color w:val="231F20"/>
        </w:rPr>
        <w:t>Status</w:t>
      </w:r>
      <w:r>
        <w:rPr>
          <w:color w:val="231F20"/>
          <w:spacing w:val="9"/>
        </w:rPr>
        <w:t> </w:t>
      </w:r>
      <w:r>
        <w:rPr>
          <w:color w:val="231F20"/>
        </w:rPr>
        <w:t>Summary</w:t>
      </w:r>
      <w:r>
        <w:rPr>
          <w:color w:val="231F20"/>
          <w:spacing w:val="9"/>
        </w:rPr>
        <w:t> </w:t>
      </w:r>
      <w:r>
        <w:rPr>
          <w:color w:val="231F20"/>
        </w:rPr>
        <w:t>by</w:t>
      </w:r>
      <w:r>
        <w:rPr>
          <w:color w:val="231F20"/>
          <w:spacing w:val="9"/>
        </w:rPr>
        <w:t> </w:t>
      </w:r>
      <w:r>
        <w:rPr>
          <w:color w:val="231F20"/>
        </w:rPr>
        <w:t>Deploy</w:t>
      </w:r>
      <w:r>
        <w:rPr>
          <w:color w:val="231F20"/>
          <w:spacing w:val="9"/>
        </w:rPr>
        <w:t> </w:t>
      </w:r>
      <w:r>
        <w:rPr>
          <w:color w:val="231F20"/>
          <w:spacing w:val="-2"/>
        </w:rPr>
        <w:t>Group</w:t>
      </w:r>
    </w:p>
    <w:p>
      <w:pPr>
        <w:pStyle w:val="BodyText"/>
        <w:spacing w:line="213" w:lineRule="auto" w:before="120"/>
        <w:ind w:left="2951" w:right="545"/>
      </w:pPr>
      <w:r>
        <w:rPr>
          <w:color w:val="231F20"/>
        </w:rPr>
        <w:t>Deployment Status Summary is a table view showing total counts of the pending asynchronous agent deployments for the selected deploy </w:t>
      </w:r>
      <w:r>
        <w:rPr>
          <w:color w:val="231F20"/>
        </w:rPr>
        <w:t>group. For each target managed system, the table shows the number of deployments in each status (succeeded, failed, retrying, queued, and in </w:t>
      </w:r>
      <w:r>
        <w:rPr>
          <w:color w:val="231F20"/>
          <w:spacing w:val="-2"/>
        </w:rPr>
        <w:t>progress).</w:t>
      </w:r>
    </w:p>
    <w:p>
      <w:pPr>
        <w:pStyle w:val="Heading6"/>
        <w:spacing w:before="115"/>
        <w:ind w:left="2232"/>
      </w:pPr>
      <w:r>
        <w:rPr>
          <w:color w:val="231F20"/>
        </w:rPr>
        <w:t>Status</w:t>
      </w:r>
      <w:r>
        <w:rPr>
          <w:color w:val="231F20"/>
          <w:spacing w:val="9"/>
        </w:rPr>
        <w:t> </w:t>
      </w:r>
      <w:r>
        <w:rPr>
          <w:color w:val="231F20"/>
        </w:rPr>
        <w:t>Summary</w:t>
      </w:r>
      <w:r>
        <w:rPr>
          <w:color w:val="231F20"/>
          <w:spacing w:val="10"/>
        </w:rPr>
        <w:t> </w:t>
      </w:r>
      <w:r>
        <w:rPr>
          <w:color w:val="231F20"/>
        </w:rPr>
        <w:t>of</w:t>
      </w:r>
      <w:r>
        <w:rPr>
          <w:color w:val="231F20"/>
          <w:spacing w:val="10"/>
        </w:rPr>
        <w:t> </w:t>
      </w:r>
      <w:r>
        <w:rPr>
          <w:color w:val="231F20"/>
        </w:rPr>
        <w:t>Complete</w:t>
      </w:r>
      <w:r>
        <w:rPr>
          <w:color w:val="231F20"/>
          <w:spacing w:val="9"/>
        </w:rPr>
        <w:t> </w:t>
      </w:r>
      <w:r>
        <w:rPr>
          <w:color w:val="231F20"/>
          <w:spacing w:val="-2"/>
        </w:rPr>
        <w:t>Deployments</w:t>
      </w:r>
    </w:p>
    <w:p>
      <w:pPr>
        <w:pStyle w:val="BodyText"/>
        <w:spacing w:line="213" w:lineRule="auto" w:before="11"/>
        <w:ind w:left="2951" w:right="493"/>
      </w:pPr>
      <w:r>
        <w:rPr>
          <w:color w:val="231F20"/>
        </w:rPr>
        <w:t>Status Summary of Complete Deployments is a stacked bar chart showing the asynchronous agent deployments for the selected deploy group that have finished processing. For each target managed system, the chart </w:t>
      </w:r>
      <w:r>
        <w:rPr>
          <w:color w:val="231F20"/>
        </w:rPr>
        <w:t>shows how many deployments succeeded and how many failed.</w:t>
      </w:r>
    </w:p>
    <w:p>
      <w:pPr>
        <w:pStyle w:val="Heading6"/>
        <w:spacing w:before="116"/>
        <w:ind w:left="2232"/>
      </w:pPr>
      <w:r>
        <w:rPr>
          <w:color w:val="231F20"/>
        </w:rPr>
        <w:t>Status</w:t>
      </w:r>
      <w:r>
        <w:rPr>
          <w:color w:val="231F20"/>
          <w:spacing w:val="9"/>
        </w:rPr>
        <w:t> </w:t>
      </w:r>
      <w:r>
        <w:rPr>
          <w:color w:val="231F20"/>
        </w:rPr>
        <w:t>Summary</w:t>
      </w:r>
      <w:r>
        <w:rPr>
          <w:color w:val="231F20"/>
          <w:spacing w:val="9"/>
        </w:rPr>
        <w:t> </w:t>
      </w:r>
      <w:r>
        <w:rPr>
          <w:color w:val="231F20"/>
        </w:rPr>
        <w:t>of</w:t>
      </w:r>
      <w:r>
        <w:rPr>
          <w:color w:val="231F20"/>
          <w:spacing w:val="9"/>
        </w:rPr>
        <w:t> </w:t>
      </w:r>
      <w:r>
        <w:rPr>
          <w:color w:val="231F20"/>
        </w:rPr>
        <w:t>Incomplete</w:t>
      </w:r>
      <w:r>
        <w:rPr>
          <w:color w:val="231F20"/>
          <w:spacing w:val="10"/>
        </w:rPr>
        <w:t> </w:t>
      </w:r>
      <w:r>
        <w:rPr>
          <w:color w:val="231F20"/>
          <w:spacing w:val="-2"/>
        </w:rPr>
        <w:t>Deployments</w:t>
      </w:r>
    </w:p>
    <w:p>
      <w:pPr>
        <w:pStyle w:val="BodyText"/>
        <w:spacing w:line="213" w:lineRule="auto" w:before="11"/>
        <w:ind w:left="2951" w:right="636"/>
      </w:pPr>
      <w:r>
        <w:rPr>
          <w:color w:val="231F20"/>
        </w:rPr>
        <w:t>Status Summary of Incomplete Deployments is a stacked bar chart showing the asynchronous agent deployments for the selected deploy group that have not yet finished processing. For each target managed system, the chart shows the deployments that are queued, in progress, </w:t>
      </w:r>
      <w:r>
        <w:rPr>
          <w:color w:val="231F20"/>
        </w:rPr>
        <w:t>or </w:t>
      </w:r>
      <w:r>
        <w:rPr>
          <w:color w:val="231F20"/>
          <w:spacing w:val="-2"/>
        </w:rPr>
        <w:t>retrying.</w:t>
      </w:r>
    </w:p>
    <w:p>
      <w:pPr>
        <w:pStyle w:val="Heading6"/>
        <w:spacing w:before="116"/>
        <w:ind w:left="2232"/>
      </w:pPr>
      <w:r>
        <w:rPr>
          <w:color w:val="231F20"/>
        </w:rPr>
        <w:t>Deployment</w:t>
      </w:r>
      <w:r>
        <w:rPr>
          <w:color w:val="231F20"/>
          <w:spacing w:val="9"/>
        </w:rPr>
        <w:t> </w:t>
      </w:r>
      <w:r>
        <w:rPr>
          <w:color w:val="231F20"/>
        </w:rPr>
        <w:t>Status</w:t>
      </w:r>
      <w:r>
        <w:rPr>
          <w:color w:val="231F20"/>
          <w:spacing w:val="10"/>
        </w:rPr>
        <w:t> </w:t>
      </w:r>
      <w:r>
        <w:rPr>
          <w:color w:val="231F20"/>
        </w:rPr>
        <w:t>Detail</w:t>
      </w:r>
      <w:r>
        <w:rPr>
          <w:color w:val="231F20"/>
          <w:spacing w:val="9"/>
        </w:rPr>
        <w:t> </w:t>
      </w:r>
      <w:r>
        <w:rPr>
          <w:color w:val="231F20"/>
        </w:rPr>
        <w:t>by</w:t>
      </w:r>
      <w:r>
        <w:rPr>
          <w:color w:val="231F20"/>
          <w:spacing w:val="10"/>
        </w:rPr>
        <w:t> </w:t>
      </w:r>
      <w:r>
        <w:rPr>
          <w:color w:val="231F20"/>
        </w:rPr>
        <w:t>Deploy</w:t>
      </w:r>
      <w:r>
        <w:rPr>
          <w:color w:val="231F20"/>
          <w:spacing w:val="10"/>
        </w:rPr>
        <w:t> </w:t>
      </w:r>
      <w:r>
        <w:rPr>
          <w:color w:val="231F20"/>
          <w:spacing w:val="-2"/>
        </w:rPr>
        <w:t>Group</w:t>
      </w:r>
    </w:p>
    <w:p>
      <w:pPr>
        <w:pStyle w:val="BodyText"/>
        <w:spacing w:line="258" w:lineRule="exact"/>
        <w:ind w:left="2951"/>
      </w:pPr>
      <w:r>
        <w:rPr>
          <w:color w:val="231F20"/>
        </w:rPr>
        <w:t>Deployment</w:t>
      </w:r>
      <w:r>
        <w:rPr>
          <w:color w:val="231F20"/>
          <w:spacing w:val="10"/>
        </w:rPr>
        <w:t> </w:t>
      </w:r>
      <w:r>
        <w:rPr>
          <w:color w:val="231F20"/>
        </w:rPr>
        <w:t>Status</w:t>
      </w:r>
      <w:r>
        <w:rPr>
          <w:color w:val="231F20"/>
          <w:spacing w:val="11"/>
        </w:rPr>
        <w:t> </w:t>
      </w:r>
      <w:r>
        <w:rPr>
          <w:color w:val="231F20"/>
        </w:rPr>
        <w:t>Detail</w:t>
      </w:r>
      <w:r>
        <w:rPr>
          <w:color w:val="231F20"/>
          <w:spacing w:val="11"/>
        </w:rPr>
        <w:t> </w:t>
      </w:r>
      <w:r>
        <w:rPr>
          <w:color w:val="231F20"/>
        </w:rPr>
        <w:t>is</w:t>
      </w:r>
      <w:r>
        <w:rPr>
          <w:color w:val="231F20"/>
          <w:spacing w:val="10"/>
        </w:rPr>
        <w:t> </w:t>
      </w:r>
      <w:r>
        <w:rPr>
          <w:color w:val="231F20"/>
        </w:rPr>
        <w:t>a</w:t>
      </w:r>
      <w:r>
        <w:rPr>
          <w:color w:val="231F20"/>
          <w:spacing w:val="11"/>
        </w:rPr>
        <w:t> </w:t>
      </w:r>
      <w:r>
        <w:rPr>
          <w:color w:val="231F20"/>
        </w:rPr>
        <w:t>table</w:t>
      </w:r>
      <w:r>
        <w:rPr>
          <w:color w:val="231F20"/>
          <w:spacing w:val="11"/>
        </w:rPr>
        <w:t> </w:t>
      </w:r>
      <w:r>
        <w:rPr>
          <w:color w:val="231F20"/>
        </w:rPr>
        <w:t>view</w:t>
      </w:r>
      <w:r>
        <w:rPr>
          <w:color w:val="231F20"/>
          <w:spacing w:val="10"/>
        </w:rPr>
        <w:t> </w:t>
      </w:r>
      <w:r>
        <w:rPr>
          <w:color w:val="231F20"/>
        </w:rPr>
        <w:t>showing</w:t>
      </w:r>
      <w:r>
        <w:rPr>
          <w:color w:val="231F20"/>
          <w:spacing w:val="11"/>
        </w:rPr>
        <w:t> </w:t>
      </w:r>
      <w:r>
        <w:rPr>
          <w:color w:val="231F20"/>
        </w:rPr>
        <w:t>detailed</w:t>
      </w:r>
      <w:r>
        <w:rPr>
          <w:color w:val="231F20"/>
          <w:spacing w:val="11"/>
        </w:rPr>
        <w:t> </w:t>
      </w:r>
      <w:r>
        <w:rPr>
          <w:color w:val="231F20"/>
          <w:spacing w:val="-2"/>
        </w:rPr>
        <w:t>information</w:t>
      </w:r>
    </w:p>
    <w:p>
      <w:pPr>
        <w:spacing w:after="0" w:line="258" w:lineRule="exact"/>
        <w:sectPr>
          <w:pgSz w:w="12240" w:h="15840"/>
          <w:pgMar w:header="0" w:footer="736" w:top="1180" w:bottom="920" w:left="1000" w:right="1060"/>
        </w:sectPr>
      </w:pPr>
    </w:p>
    <w:p>
      <w:pPr>
        <w:pStyle w:val="BodyText"/>
        <w:spacing w:line="213" w:lineRule="auto" w:before="85"/>
        <w:ind w:left="3190" w:right="313"/>
        <w:jc w:val="both"/>
      </w:pPr>
      <w:bookmarkStart w:name="_bookmark310" w:id="639"/>
      <w:bookmarkEnd w:id="639"/>
      <w:r>
        <w:rPr/>
      </w:r>
      <w:r>
        <w:rPr>
          <w:color w:val="231F20"/>
        </w:rPr>
        <w:t>about all asynchronous agent deployments for the selected deploy group. The table shows the status, product ID, target managed system, and </w:t>
      </w:r>
      <w:r>
        <w:rPr>
          <w:color w:val="231F20"/>
        </w:rPr>
        <w:t>other </w:t>
      </w:r>
      <w:bookmarkStart w:name="Deployment Status by Product workspace" w:id="640"/>
      <w:bookmarkEnd w:id="640"/>
      <w:r>
        <w:rPr>
          <w:color w:val="231F20"/>
        </w:rPr>
        <w:t>details</w:t>
      </w:r>
      <w:r>
        <w:rPr>
          <w:color w:val="231F20"/>
        </w:rPr>
        <w:t> about each deployment request.</w:t>
      </w:r>
    </w:p>
    <w:p>
      <w:pPr>
        <w:pStyle w:val="Heading4"/>
        <w:spacing w:line="273" w:lineRule="exact" w:before="164"/>
        <w:ind w:left="2472"/>
      </w:pPr>
      <w:r>
        <w:rPr>
          <w:color w:val="231F20"/>
        </w:rPr>
        <w:t>Deployment</w:t>
      </w:r>
      <w:r>
        <w:rPr>
          <w:color w:val="231F20"/>
          <w:spacing w:val="4"/>
        </w:rPr>
        <w:t> </w:t>
      </w:r>
      <w:r>
        <w:rPr>
          <w:color w:val="231F20"/>
        </w:rPr>
        <w:t>Status</w:t>
      </w:r>
      <w:r>
        <w:rPr>
          <w:color w:val="231F20"/>
          <w:spacing w:val="5"/>
        </w:rPr>
        <w:t> </w:t>
      </w:r>
      <w:r>
        <w:rPr>
          <w:color w:val="231F20"/>
        </w:rPr>
        <w:t>by</w:t>
      </w:r>
      <w:r>
        <w:rPr>
          <w:color w:val="231F20"/>
          <w:spacing w:val="5"/>
        </w:rPr>
        <w:t> </w:t>
      </w:r>
      <w:r>
        <w:rPr>
          <w:color w:val="231F20"/>
        </w:rPr>
        <w:t>Product</w:t>
      </w:r>
      <w:r>
        <w:rPr>
          <w:color w:val="231F20"/>
          <w:spacing w:val="5"/>
        </w:rPr>
        <w:t> </w:t>
      </w:r>
      <w:r>
        <w:rPr>
          <w:color w:val="231F20"/>
          <w:spacing w:val="-2"/>
        </w:rPr>
        <w:t>workspace</w:t>
      </w:r>
    </w:p>
    <w:p>
      <w:pPr>
        <w:pStyle w:val="BodyText"/>
        <w:spacing w:line="213" w:lineRule="auto" w:before="20"/>
        <w:ind w:left="2472" w:right="493"/>
      </w:pPr>
      <w:r>
        <w:rPr>
          <w:color w:val="231F20"/>
        </w:rPr>
        <w:t>The Deployment Status by Product workspace shows status information </w:t>
      </w:r>
      <w:r>
        <w:rPr>
          <w:color w:val="231F20"/>
        </w:rPr>
        <w:t>about asynchronous remote agent deployments for a particular product ID.</w:t>
      </w:r>
    </w:p>
    <w:p>
      <w:pPr>
        <w:pStyle w:val="BodyText"/>
        <w:spacing w:before="215"/>
        <w:ind w:left="2472"/>
      </w:pPr>
      <w:r>
        <w:rPr>
          <w:color w:val="231F20"/>
        </w:rPr>
        <w:t>This</w:t>
      </w:r>
      <w:r>
        <w:rPr>
          <w:color w:val="231F20"/>
          <w:spacing w:val="9"/>
        </w:rPr>
        <w:t> </w:t>
      </w:r>
      <w:r>
        <w:rPr>
          <w:color w:val="231F20"/>
        </w:rPr>
        <w:t>workspace</w:t>
      </w:r>
      <w:r>
        <w:rPr>
          <w:color w:val="231F20"/>
          <w:spacing w:val="9"/>
        </w:rPr>
        <w:t> </w:t>
      </w:r>
      <w:r>
        <w:rPr>
          <w:color w:val="231F20"/>
        </w:rPr>
        <w:t>is</w:t>
      </w:r>
      <w:r>
        <w:rPr>
          <w:color w:val="231F20"/>
          <w:spacing w:val="10"/>
        </w:rPr>
        <w:t> </w:t>
      </w:r>
      <w:r>
        <w:rPr>
          <w:color w:val="231F20"/>
        </w:rPr>
        <w:t>accessed</w:t>
      </w:r>
      <w:r>
        <w:rPr>
          <w:color w:val="231F20"/>
          <w:spacing w:val="9"/>
        </w:rPr>
        <w:t> </w:t>
      </w:r>
      <w:r>
        <w:rPr>
          <w:color w:val="231F20"/>
        </w:rPr>
        <w:t>from</w:t>
      </w:r>
      <w:r>
        <w:rPr>
          <w:color w:val="231F20"/>
          <w:spacing w:val="10"/>
        </w:rPr>
        <w:t> </w:t>
      </w:r>
      <w:r>
        <w:rPr>
          <w:color w:val="231F20"/>
        </w:rPr>
        <w:t>the</w:t>
      </w:r>
      <w:r>
        <w:rPr>
          <w:color w:val="231F20"/>
          <w:spacing w:val="9"/>
        </w:rPr>
        <w:t> </w:t>
      </w:r>
      <w:r>
        <w:rPr>
          <w:color w:val="231F20"/>
        </w:rPr>
        <w:t>Deployment</w:t>
      </w:r>
      <w:r>
        <w:rPr>
          <w:color w:val="231F20"/>
          <w:spacing w:val="10"/>
        </w:rPr>
        <w:t> </w:t>
      </w:r>
      <w:r>
        <w:rPr>
          <w:color w:val="231F20"/>
        </w:rPr>
        <w:t>Status</w:t>
      </w:r>
      <w:r>
        <w:rPr>
          <w:color w:val="231F20"/>
          <w:spacing w:val="9"/>
        </w:rPr>
        <w:t> </w:t>
      </w:r>
      <w:r>
        <w:rPr>
          <w:color w:val="231F20"/>
        </w:rPr>
        <w:t>Summary</w:t>
      </w:r>
      <w:r>
        <w:rPr>
          <w:color w:val="231F20"/>
          <w:spacing w:val="10"/>
        </w:rPr>
        <w:t> </w:t>
      </w:r>
      <w:r>
        <w:rPr>
          <w:color w:val="231F20"/>
          <w:spacing w:val="-2"/>
        </w:rPr>
        <w:t>workspaces.</w:t>
      </w:r>
    </w:p>
    <w:p>
      <w:pPr>
        <w:pStyle w:val="Heading5"/>
        <w:spacing w:before="213"/>
      </w:pPr>
      <w:r>
        <w:rPr>
          <w:color w:val="231F20"/>
        </w:rPr>
        <w:t>Accessing</w:t>
      </w:r>
      <w:r>
        <w:rPr>
          <w:color w:val="231F20"/>
          <w:spacing w:val="3"/>
        </w:rPr>
        <w:t> </w:t>
      </w:r>
      <w:r>
        <w:rPr>
          <w:color w:val="231F20"/>
        </w:rPr>
        <w:t>the</w:t>
      </w:r>
      <w:r>
        <w:rPr>
          <w:color w:val="231F20"/>
          <w:spacing w:val="4"/>
        </w:rPr>
        <w:t> </w:t>
      </w:r>
      <w:r>
        <w:rPr>
          <w:color w:val="231F20"/>
          <w:spacing w:val="-2"/>
        </w:rPr>
        <w:t>workspace</w:t>
      </w:r>
    </w:p>
    <w:p>
      <w:pPr>
        <w:pStyle w:val="ListParagraph"/>
        <w:numPr>
          <w:ilvl w:val="1"/>
          <w:numId w:val="182"/>
        </w:numPr>
        <w:tabs>
          <w:tab w:pos="2788" w:val="left" w:leader="none"/>
        </w:tabs>
        <w:spacing w:line="213" w:lineRule="auto" w:before="65" w:after="0"/>
        <w:ind w:left="2788" w:right="623" w:hanging="316"/>
        <w:jc w:val="left"/>
        <w:rPr>
          <w:sz w:val="20"/>
        </w:rPr>
      </w:pPr>
      <w:r>
        <w:rPr>
          <w:color w:val="231F20"/>
          <w:sz w:val="20"/>
        </w:rPr>
        <w:t>Open the Deployment Status Summary workspace or Deployment Status Summary by Transaction workspace from the </w:t>
      </w:r>
      <w:r>
        <w:rPr>
          <w:color w:val="231F20"/>
          <w:spacing w:val="15"/>
          <w:position w:val="-1"/>
          <w:sz w:val="20"/>
        </w:rPr>
        <w:drawing>
          <wp:inline distT="0" distB="0" distL="0" distR="0">
            <wp:extent cx="95250" cy="101600"/>
            <wp:effectExtent l="0" t="0" r="0" b="0"/>
            <wp:docPr id="3139" name="Image 3139"/>
            <wp:cNvGraphicFramePr>
              <a:graphicFrameLocks/>
            </wp:cNvGraphicFramePr>
            <a:graphic>
              <a:graphicData uri="http://schemas.openxmlformats.org/drawingml/2006/picture">
                <pic:pic>
                  <pic:nvPicPr>
                    <pic:cNvPr id="3139" name="Image 313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sz w:val="20"/>
        </w:rPr>
      </w:r>
      <w:r>
        <w:rPr>
          <w:rFonts w:ascii="Times New Roman"/>
          <w:color w:val="231F20"/>
          <w:spacing w:val="-11"/>
          <w:sz w:val="20"/>
        </w:rPr>
        <w:t> </w:t>
      </w:r>
      <w:r>
        <w:rPr>
          <w:color w:val="231F20"/>
          <w:sz w:val="20"/>
        </w:rPr>
        <w:t>Enterprise Navigator item.</w:t>
      </w:r>
    </w:p>
    <w:p>
      <w:pPr>
        <w:pStyle w:val="ListParagraph"/>
        <w:numPr>
          <w:ilvl w:val="1"/>
          <w:numId w:val="182"/>
        </w:numPr>
        <w:tabs>
          <w:tab w:pos="2786" w:val="left" w:leader="none"/>
          <w:tab w:pos="2788" w:val="left" w:leader="none"/>
        </w:tabs>
        <w:spacing w:line="213" w:lineRule="auto" w:before="59" w:after="0"/>
        <w:ind w:left="2788" w:right="174" w:hanging="317"/>
        <w:jc w:val="left"/>
        <w:rPr>
          <w:sz w:val="20"/>
        </w:rPr>
      </w:pPr>
      <w:r>
        <w:rPr>
          <w:color w:val="231F20"/>
          <w:sz w:val="20"/>
        </w:rPr>
        <w:t>In the Deployment Status Detail table, click the</w:t>
      </w:r>
      <w:r>
        <w:rPr>
          <w:color w:val="231F20"/>
          <w:spacing w:val="-2"/>
          <w:position w:val="-1"/>
          <w:sz w:val="20"/>
        </w:rPr>
        <w:drawing>
          <wp:inline distT="0" distB="0" distL="0" distR="0">
            <wp:extent cx="101600" cy="101600"/>
            <wp:effectExtent l="0" t="0" r="0" b="0"/>
            <wp:docPr id="3140" name="Image 3140"/>
            <wp:cNvGraphicFramePr>
              <a:graphicFrameLocks/>
            </wp:cNvGraphicFramePr>
            <a:graphic>
              <a:graphicData uri="http://schemas.openxmlformats.org/drawingml/2006/picture">
                <pic:pic>
                  <pic:nvPicPr>
                    <pic:cNvPr id="3140" name="Image 3140"/>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spacing w:val="-2"/>
          <w:position w:val="-1"/>
          <w:sz w:val="20"/>
        </w:rPr>
      </w:r>
      <w:r>
        <w:rPr>
          <w:rFonts w:ascii="Times New Roman"/>
          <w:color w:val="231F20"/>
          <w:spacing w:val="40"/>
          <w:sz w:val="20"/>
        </w:rPr>
        <w:t> </w:t>
      </w:r>
      <w:r>
        <w:rPr>
          <w:color w:val="231F20"/>
          <w:sz w:val="20"/>
        </w:rPr>
        <w:t>link in the row for which you</w:t>
      </w:r>
      <w:r>
        <w:rPr>
          <w:color w:val="231F20"/>
          <w:spacing w:val="40"/>
          <w:sz w:val="20"/>
        </w:rPr>
        <w:t> </w:t>
      </w:r>
      <w:r>
        <w:rPr>
          <w:color w:val="231F20"/>
          <w:sz w:val="20"/>
        </w:rPr>
        <w:t>want detailed status by product.</w:t>
      </w:r>
    </w:p>
    <w:p>
      <w:pPr>
        <w:pStyle w:val="ListParagraph"/>
        <w:numPr>
          <w:ilvl w:val="1"/>
          <w:numId w:val="182"/>
        </w:numPr>
        <w:tabs>
          <w:tab w:pos="2787" w:val="left" w:leader="none"/>
        </w:tabs>
        <w:spacing w:line="240" w:lineRule="auto" w:before="35" w:after="0"/>
        <w:ind w:left="2787" w:right="0" w:hanging="315"/>
        <w:jc w:val="left"/>
        <w:rPr>
          <w:sz w:val="20"/>
        </w:rPr>
      </w:pPr>
      <w:r>
        <w:rPr>
          <w:color w:val="231F20"/>
          <w:sz w:val="20"/>
        </w:rPr>
        <w:t>Click</w:t>
      </w:r>
      <w:r>
        <w:rPr>
          <w:color w:val="231F20"/>
          <w:spacing w:val="11"/>
          <w:sz w:val="20"/>
        </w:rPr>
        <w:t> </w:t>
      </w:r>
      <w:r>
        <w:rPr>
          <w:rFonts w:ascii="Book Antiqua"/>
          <w:b/>
          <w:color w:val="231F20"/>
          <w:sz w:val="20"/>
        </w:rPr>
        <w:t>Deployment</w:t>
      </w:r>
      <w:r>
        <w:rPr>
          <w:rFonts w:ascii="Book Antiqua"/>
          <w:b/>
          <w:color w:val="231F20"/>
          <w:spacing w:val="10"/>
          <w:sz w:val="20"/>
        </w:rPr>
        <w:t> </w:t>
      </w:r>
      <w:r>
        <w:rPr>
          <w:rFonts w:ascii="Book Antiqua"/>
          <w:b/>
          <w:color w:val="231F20"/>
          <w:sz w:val="20"/>
        </w:rPr>
        <w:t>Status</w:t>
      </w:r>
      <w:r>
        <w:rPr>
          <w:rFonts w:ascii="Book Antiqua"/>
          <w:b/>
          <w:color w:val="231F20"/>
          <w:spacing w:val="11"/>
          <w:sz w:val="20"/>
        </w:rPr>
        <w:t> </w:t>
      </w:r>
      <w:r>
        <w:rPr>
          <w:rFonts w:ascii="Book Antiqua"/>
          <w:b/>
          <w:color w:val="231F20"/>
          <w:sz w:val="20"/>
        </w:rPr>
        <w:t>by</w:t>
      </w:r>
      <w:r>
        <w:rPr>
          <w:rFonts w:ascii="Book Antiqua"/>
          <w:b/>
          <w:color w:val="231F20"/>
          <w:spacing w:val="11"/>
          <w:sz w:val="20"/>
        </w:rPr>
        <w:t> </w:t>
      </w:r>
      <w:r>
        <w:rPr>
          <w:rFonts w:ascii="Book Antiqua"/>
          <w:b/>
          <w:color w:val="231F20"/>
          <w:sz w:val="20"/>
        </w:rPr>
        <w:t>Product</w:t>
      </w:r>
      <w:r>
        <w:rPr>
          <w:rFonts w:ascii="Book Antiqua"/>
          <w:b/>
          <w:color w:val="231F20"/>
          <w:spacing w:val="11"/>
          <w:sz w:val="20"/>
        </w:rPr>
        <w:t> </w:t>
      </w:r>
      <w:r>
        <w:rPr>
          <w:color w:val="231F20"/>
          <w:sz w:val="20"/>
        </w:rPr>
        <w:t>to</w:t>
      </w:r>
      <w:r>
        <w:rPr>
          <w:color w:val="231F20"/>
          <w:spacing w:val="11"/>
          <w:sz w:val="20"/>
        </w:rPr>
        <w:t> </w:t>
      </w:r>
      <w:r>
        <w:rPr>
          <w:color w:val="231F20"/>
          <w:sz w:val="20"/>
        </w:rPr>
        <w:t>open</w:t>
      </w:r>
      <w:r>
        <w:rPr>
          <w:color w:val="231F20"/>
          <w:spacing w:val="11"/>
          <w:sz w:val="20"/>
        </w:rPr>
        <w:t> </w:t>
      </w:r>
      <w:r>
        <w:rPr>
          <w:color w:val="231F20"/>
          <w:sz w:val="20"/>
        </w:rPr>
        <w:t>the</w:t>
      </w:r>
      <w:r>
        <w:rPr>
          <w:color w:val="231F20"/>
          <w:spacing w:val="11"/>
          <w:sz w:val="20"/>
        </w:rPr>
        <w:t> </w:t>
      </w:r>
      <w:r>
        <w:rPr>
          <w:color w:val="231F20"/>
          <w:spacing w:val="-2"/>
          <w:sz w:val="20"/>
        </w:rPr>
        <w:t>workspace.</w:t>
      </w:r>
    </w:p>
    <w:p>
      <w:pPr>
        <w:pStyle w:val="Heading5"/>
        <w:spacing w:before="213"/>
      </w:pPr>
      <w:r>
        <w:rPr>
          <w:color w:val="231F20"/>
        </w:rPr>
        <w:t>What</w:t>
      </w:r>
      <w:r>
        <w:rPr>
          <w:color w:val="231F20"/>
          <w:spacing w:val="4"/>
        </w:rPr>
        <w:t> </w:t>
      </w:r>
      <w:r>
        <w:rPr>
          <w:color w:val="231F20"/>
        </w:rPr>
        <w:t>the</w:t>
      </w:r>
      <w:r>
        <w:rPr>
          <w:color w:val="231F20"/>
          <w:spacing w:val="4"/>
        </w:rPr>
        <w:t> </w:t>
      </w:r>
      <w:r>
        <w:rPr>
          <w:color w:val="231F20"/>
        </w:rPr>
        <w:t>workspace</w:t>
      </w:r>
      <w:r>
        <w:rPr>
          <w:color w:val="231F20"/>
          <w:spacing w:val="4"/>
        </w:rPr>
        <w:t> </w:t>
      </w:r>
      <w:r>
        <w:rPr>
          <w:color w:val="231F20"/>
          <w:spacing w:val="-2"/>
        </w:rPr>
        <w:t>shows</w:t>
      </w:r>
    </w:p>
    <w:p>
      <w:pPr>
        <w:pStyle w:val="BodyText"/>
        <w:spacing w:before="222"/>
        <w:ind w:left="2472"/>
      </w:pPr>
      <w:r>
        <w:rPr>
          <w:color w:val="231F20"/>
        </w:rPr>
        <w:t>The</w:t>
      </w:r>
      <w:r>
        <w:rPr>
          <w:color w:val="231F20"/>
          <w:spacing w:val="9"/>
        </w:rPr>
        <w:t> </w:t>
      </w:r>
      <w:r>
        <w:rPr>
          <w:color w:val="231F20"/>
        </w:rPr>
        <w:t>workspace</w:t>
      </w:r>
      <w:r>
        <w:rPr>
          <w:color w:val="231F20"/>
          <w:spacing w:val="10"/>
        </w:rPr>
        <w:t> </w:t>
      </w:r>
      <w:r>
        <w:rPr>
          <w:color w:val="231F20"/>
        </w:rPr>
        <w:t>contains</w:t>
      </w:r>
      <w:r>
        <w:rPr>
          <w:color w:val="231F20"/>
          <w:spacing w:val="10"/>
        </w:rPr>
        <w:t> </w:t>
      </w:r>
      <w:r>
        <w:rPr>
          <w:color w:val="231F20"/>
        </w:rPr>
        <w:t>four</w:t>
      </w:r>
      <w:r>
        <w:rPr>
          <w:color w:val="231F20"/>
          <w:spacing w:val="10"/>
        </w:rPr>
        <w:t> </w:t>
      </w:r>
      <w:r>
        <w:rPr>
          <w:color w:val="231F20"/>
          <w:spacing w:val="-2"/>
        </w:rPr>
        <w:t>views:</w:t>
      </w:r>
    </w:p>
    <w:p>
      <w:pPr>
        <w:pStyle w:val="Heading6"/>
        <w:spacing w:line="240" w:lineRule="auto" w:before="112"/>
      </w:pPr>
      <w:r>
        <w:rPr>
          <w:color w:val="231F20"/>
        </w:rPr>
        <w:t>Deployment</w:t>
      </w:r>
      <w:r>
        <w:rPr>
          <w:color w:val="231F20"/>
          <w:spacing w:val="8"/>
        </w:rPr>
        <w:t> </w:t>
      </w:r>
      <w:r>
        <w:rPr>
          <w:color w:val="231F20"/>
        </w:rPr>
        <w:t>Status</w:t>
      </w:r>
      <w:r>
        <w:rPr>
          <w:color w:val="231F20"/>
          <w:spacing w:val="9"/>
        </w:rPr>
        <w:t> </w:t>
      </w:r>
      <w:r>
        <w:rPr>
          <w:color w:val="231F20"/>
        </w:rPr>
        <w:t>Summary</w:t>
      </w:r>
      <w:r>
        <w:rPr>
          <w:color w:val="231F20"/>
          <w:spacing w:val="9"/>
        </w:rPr>
        <w:t> </w:t>
      </w:r>
      <w:r>
        <w:rPr>
          <w:color w:val="231F20"/>
        </w:rPr>
        <w:t>by</w:t>
      </w:r>
      <w:r>
        <w:rPr>
          <w:color w:val="231F20"/>
          <w:spacing w:val="9"/>
        </w:rPr>
        <w:t> </w:t>
      </w:r>
      <w:r>
        <w:rPr>
          <w:color w:val="231F20"/>
          <w:spacing w:val="-2"/>
        </w:rPr>
        <w:t>Product</w:t>
      </w:r>
    </w:p>
    <w:p>
      <w:pPr>
        <w:pStyle w:val="BodyText"/>
        <w:spacing w:line="213" w:lineRule="auto" w:before="119"/>
        <w:ind w:left="3190" w:right="338"/>
      </w:pPr>
      <w:r>
        <w:rPr>
          <w:color w:val="231F20"/>
        </w:rPr>
        <w:t>Deployment Status Summary is a table view showing total counts of the pending asynchronous agent deployments for the selected product ID. </w:t>
      </w:r>
      <w:r>
        <w:rPr>
          <w:color w:val="231F20"/>
        </w:rPr>
        <w:t>For each target managed system, the table shows the number of deployments</w:t>
      </w:r>
      <w:r>
        <w:rPr>
          <w:color w:val="231F20"/>
          <w:spacing w:val="80"/>
        </w:rPr>
        <w:t> </w:t>
      </w:r>
      <w:r>
        <w:rPr>
          <w:color w:val="231F20"/>
        </w:rPr>
        <w:t>in each status (succeeded, failed, retrying, queued, and in progress).</w:t>
      </w:r>
    </w:p>
    <w:p>
      <w:pPr>
        <w:pStyle w:val="Heading6"/>
        <w:spacing w:before="116"/>
      </w:pPr>
      <w:r>
        <w:rPr>
          <w:color w:val="231F20"/>
        </w:rPr>
        <w:t>Status</w:t>
      </w:r>
      <w:r>
        <w:rPr>
          <w:color w:val="231F20"/>
          <w:spacing w:val="9"/>
        </w:rPr>
        <w:t> </w:t>
      </w:r>
      <w:r>
        <w:rPr>
          <w:color w:val="231F20"/>
        </w:rPr>
        <w:t>Summary</w:t>
      </w:r>
      <w:r>
        <w:rPr>
          <w:color w:val="231F20"/>
          <w:spacing w:val="10"/>
        </w:rPr>
        <w:t> </w:t>
      </w:r>
      <w:r>
        <w:rPr>
          <w:color w:val="231F20"/>
        </w:rPr>
        <w:t>of</w:t>
      </w:r>
      <w:r>
        <w:rPr>
          <w:color w:val="231F20"/>
          <w:spacing w:val="10"/>
        </w:rPr>
        <w:t> </w:t>
      </w:r>
      <w:r>
        <w:rPr>
          <w:color w:val="231F20"/>
        </w:rPr>
        <w:t>Complete</w:t>
      </w:r>
      <w:r>
        <w:rPr>
          <w:color w:val="231F20"/>
          <w:spacing w:val="9"/>
        </w:rPr>
        <w:t> </w:t>
      </w:r>
      <w:r>
        <w:rPr>
          <w:color w:val="231F20"/>
          <w:spacing w:val="-2"/>
        </w:rPr>
        <w:t>Deployments</w:t>
      </w:r>
    </w:p>
    <w:p>
      <w:pPr>
        <w:pStyle w:val="BodyText"/>
        <w:spacing w:line="213" w:lineRule="auto" w:before="11"/>
        <w:ind w:left="3190" w:right="237"/>
        <w:jc w:val="both"/>
      </w:pPr>
      <w:r>
        <w:rPr>
          <w:color w:val="231F20"/>
        </w:rPr>
        <w:t>Status Summary of Complete Deployments is a stacked bar chart showing the asynchronous agent deployments for the selected product ID that have finished processing. For each target managed system, the chart shows </w:t>
      </w:r>
      <w:r>
        <w:rPr>
          <w:color w:val="231F20"/>
        </w:rPr>
        <w:t>how many deployments succeeded and how many failed.</w:t>
      </w:r>
    </w:p>
    <w:p>
      <w:pPr>
        <w:pStyle w:val="Heading6"/>
        <w:spacing w:before="116"/>
      </w:pPr>
      <w:r>
        <w:rPr>
          <w:color w:val="231F20"/>
        </w:rPr>
        <w:t>Status</w:t>
      </w:r>
      <w:r>
        <w:rPr>
          <w:color w:val="231F20"/>
          <w:spacing w:val="9"/>
        </w:rPr>
        <w:t> </w:t>
      </w:r>
      <w:r>
        <w:rPr>
          <w:color w:val="231F20"/>
        </w:rPr>
        <w:t>Summary</w:t>
      </w:r>
      <w:r>
        <w:rPr>
          <w:color w:val="231F20"/>
          <w:spacing w:val="9"/>
        </w:rPr>
        <w:t> </w:t>
      </w:r>
      <w:r>
        <w:rPr>
          <w:color w:val="231F20"/>
        </w:rPr>
        <w:t>of</w:t>
      </w:r>
      <w:r>
        <w:rPr>
          <w:color w:val="231F20"/>
          <w:spacing w:val="9"/>
        </w:rPr>
        <w:t> </w:t>
      </w:r>
      <w:r>
        <w:rPr>
          <w:color w:val="231F20"/>
        </w:rPr>
        <w:t>Incomplete</w:t>
      </w:r>
      <w:r>
        <w:rPr>
          <w:color w:val="231F20"/>
          <w:spacing w:val="10"/>
        </w:rPr>
        <w:t> </w:t>
      </w:r>
      <w:r>
        <w:rPr>
          <w:color w:val="231F20"/>
          <w:spacing w:val="-2"/>
        </w:rPr>
        <w:t>Deployments</w:t>
      </w:r>
    </w:p>
    <w:p>
      <w:pPr>
        <w:pStyle w:val="BodyText"/>
        <w:spacing w:line="213" w:lineRule="auto" w:before="11"/>
        <w:ind w:left="3190" w:right="274"/>
      </w:pPr>
      <w:r>
        <w:rPr>
          <w:color w:val="231F20"/>
        </w:rPr>
        <w:t>Status</w:t>
      </w:r>
      <w:r>
        <w:rPr>
          <w:color w:val="231F20"/>
          <w:spacing w:val="32"/>
        </w:rPr>
        <w:t> </w:t>
      </w:r>
      <w:r>
        <w:rPr>
          <w:color w:val="231F20"/>
        </w:rPr>
        <w:t>Summary</w:t>
      </w:r>
      <w:r>
        <w:rPr>
          <w:color w:val="231F20"/>
          <w:spacing w:val="32"/>
        </w:rPr>
        <w:t> </w:t>
      </w:r>
      <w:r>
        <w:rPr>
          <w:color w:val="231F20"/>
        </w:rPr>
        <w:t>of</w:t>
      </w:r>
      <w:r>
        <w:rPr>
          <w:color w:val="231F20"/>
          <w:spacing w:val="32"/>
        </w:rPr>
        <w:t> </w:t>
      </w:r>
      <w:r>
        <w:rPr>
          <w:color w:val="231F20"/>
        </w:rPr>
        <w:t>Incomplete</w:t>
      </w:r>
      <w:r>
        <w:rPr>
          <w:color w:val="231F20"/>
          <w:spacing w:val="32"/>
        </w:rPr>
        <w:t> </w:t>
      </w:r>
      <w:r>
        <w:rPr>
          <w:color w:val="231F20"/>
        </w:rPr>
        <w:t>Deployments</w:t>
      </w:r>
      <w:r>
        <w:rPr>
          <w:color w:val="231F20"/>
          <w:spacing w:val="32"/>
        </w:rPr>
        <w:t> </w:t>
      </w:r>
      <w:r>
        <w:rPr>
          <w:color w:val="231F20"/>
        </w:rPr>
        <w:t>is</w:t>
      </w:r>
      <w:r>
        <w:rPr>
          <w:color w:val="231F20"/>
          <w:spacing w:val="32"/>
        </w:rPr>
        <w:t> </w:t>
      </w:r>
      <w:r>
        <w:rPr>
          <w:color w:val="231F20"/>
        </w:rPr>
        <w:t>a</w:t>
      </w:r>
      <w:r>
        <w:rPr>
          <w:color w:val="231F20"/>
          <w:spacing w:val="32"/>
        </w:rPr>
        <w:t> </w:t>
      </w:r>
      <w:r>
        <w:rPr>
          <w:color w:val="231F20"/>
        </w:rPr>
        <w:t>stacked</w:t>
      </w:r>
      <w:r>
        <w:rPr>
          <w:color w:val="231F20"/>
          <w:spacing w:val="32"/>
        </w:rPr>
        <w:t> </w:t>
      </w:r>
      <w:r>
        <w:rPr>
          <w:color w:val="231F20"/>
        </w:rPr>
        <w:t>bar</w:t>
      </w:r>
      <w:r>
        <w:rPr>
          <w:color w:val="231F20"/>
          <w:spacing w:val="32"/>
        </w:rPr>
        <w:t> </w:t>
      </w:r>
      <w:r>
        <w:rPr>
          <w:color w:val="231F20"/>
        </w:rPr>
        <w:t>chart showing the asynchronous agent deployments for the selected product ID that have not yet finished processing. For each target managed system, </w:t>
      </w:r>
      <w:r>
        <w:rPr>
          <w:color w:val="231F20"/>
        </w:rPr>
        <w:t>the chart shows the deployments that are queued, in progress, or retrying.</w:t>
      </w:r>
    </w:p>
    <w:p>
      <w:pPr>
        <w:pStyle w:val="Heading6"/>
        <w:spacing w:before="116"/>
      </w:pPr>
      <w:r>
        <w:rPr>
          <w:color w:val="231F20"/>
        </w:rPr>
        <w:t>Deployment</w:t>
      </w:r>
      <w:r>
        <w:rPr>
          <w:color w:val="231F20"/>
          <w:spacing w:val="9"/>
        </w:rPr>
        <w:t> </w:t>
      </w:r>
      <w:r>
        <w:rPr>
          <w:color w:val="231F20"/>
        </w:rPr>
        <w:t>Status</w:t>
      </w:r>
      <w:r>
        <w:rPr>
          <w:color w:val="231F20"/>
          <w:spacing w:val="10"/>
        </w:rPr>
        <w:t> </w:t>
      </w:r>
      <w:r>
        <w:rPr>
          <w:color w:val="231F20"/>
        </w:rPr>
        <w:t>Detail</w:t>
      </w:r>
      <w:r>
        <w:rPr>
          <w:color w:val="231F20"/>
          <w:spacing w:val="10"/>
        </w:rPr>
        <w:t> </w:t>
      </w:r>
      <w:r>
        <w:rPr>
          <w:color w:val="231F20"/>
        </w:rPr>
        <w:t>by</w:t>
      </w:r>
      <w:r>
        <w:rPr>
          <w:color w:val="231F20"/>
          <w:spacing w:val="9"/>
        </w:rPr>
        <w:t> </w:t>
      </w:r>
      <w:r>
        <w:rPr>
          <w:color w:val="231F20"/>
          <w:spacing w:val="-2"/>
        </w:rPr>
        <w:t>Product</w:t>
      </w:r>
    </w:p>
    <w:p>
      <w:pPr>
        <w:pStyle w:val="BodyText"/>
        <w:spacing w:line="213" w:lineRule="auto" w:before="12"/>
        <w:ind w:left="3190" w:right="274"/>
      </w:pPr>
      <w:r>
        <w:rPr>
          <w:color w:val="231F20"/>
        </w:rPr>
        <w:t>Deployment Status Detail is a table view showing detailed information</w:t>
      </w:r>
      <w:r>
        <w:rPr>
          <w:color w:val="231F20"/>
          <w:spacing w:val="40"/>
        </w:rPr>
        <w:t> </w:t>
      </w:r>
      <w:r>
        <w:rPr>
          <w:color w:val="231F20"/>
        </w:rPr>
        <w:t>about all asynchronous agent deployments for the selected product ID. </w:t>
      </w:r>
      <w:r>
        <w:rPr>
          <w:color w:val="231F20"/>
        </w:rPr>
        <w:t>The table</w:t>
      </w:r>
      <w:r>
        <w:rPr>
          <w:color w:val="231F20"/>
          <w:spacing w:val="30"/>
        </w:rPr>
        <w:t> </w:t>
      </w:r>
      <w:r>
        <w:rPr>
          <w:color w:val="231F20"/>
        </w:rPr>
        <w:t>shows</w:t>
      </w:r>
      <w:r>
        <w:rPr>
          <w:color w:val="231F20"/>
          <w:spacing w:val="30"/>
        </w:rPr>
        <w:t> </w:t>
      </w:r>
      <w:r>
        <w:rPr>
          <w:color w:val="231F20"/>
        </w:rPr>
        <w:t>the</w:t>
      </w:r>
      <w:r>
        <w:rPr>
          <w:color w:val="231F20"/>
          <w:spacing w:val="30"/>
        </w:rPr>
        <w:t> </w:t>
      </w:r>
      <w:r>
        <w:rPr>
          <w:color w:val="231F20"/>
        </w:rPr>
        <w:t>status,</w:t>
      </w:r>
      <w:r>
        <w:rPr>
          <w:color w:val="231F20"/>
          <w:spacing w:val="30"/>
        </w:rPr>
        <w:t> </w:t>
      </w:r>
      <w:r>
        <w:rPr>
          <w:color w:val="231F20"/>
        </w:rPr>
        <w:t>target</w:t>
      </w:r>
      <w:r>
        <w:rPr>
          <w:color w:val="231F20"/>
          <w:spacing w:val="30"/>
        </w:rPr>
        <w:t> </w:t>
      </w:r>
      <w:r>
        <w:rPr>
          <w:color w:val="231F20"/>
        </w:rPr>
        <w:t>managed</w:t>
      </w:r>
      <w:r>
        <w:rPr>
          <w:color w:val="231F20"/>
          <w:spacing w:val="30"/>
        </w:rPr>
        <w:t> </w:t>
      </w:r>
      <w:r>
        <w:rPr>
          <w:color w:val="231F20"/>
        </w:rPr>
        <w:t>system,</w:t>
      </w:r>
      <w:r>
        <w:rPr>
          <w:color w:val="231F20"/>
          <w:spacing w:val="30"/>
        </w:rPr>
        <w:t> </w:t>
      </w:r>
      <w:r>
        <w:rPr>
          <w:color w:val="231F20"/>
        </w:rPr>
        <w:t>and</w:t>
      </w:r>
      <w:r>
        <w:rPr>
          <w:color w:val="231F20"/>
          <w:spacing w:val="30"/>
        </w:rPr>
        <w:t> </w:t>
      </w:r>
      <w:r>
        <w:rPr>
          <w:color w:val="231F20"/>
        </w:rPr>
        <w:t>other</w:t>
      </w:r>
      <w:r>
        <w:rPr>
          <w:color w:val="231F20"/>
          <w:spacing w:val="30"/>
        </w:rPr>
        <w:t> </w:t>
      </w:r>
      <w:r>
        <w:rPr>
          <w:color w:val="231F20"/>
        </w:rPr>
        <w:t>details</w:t>
      </w:r>
      <w:r>
        <w:rPr>
          <w:color w:val="231F20"/>
          <w:spacing w:val="30"/>
        </w:rPr>
        <w:t> </w:t>
      </w:r>
      <w:r>
        <w:rPr>
          <w:color w:val="231F20"/>
        </w:rPr>
        <w:t>about </w:t>
      </w:r>
      <w:bookmarkStart w:name="Stopping a monitoring agent" w:id="641"/>
      <w:bookmarkEnd w:id="641"/>
      <w:r>
        <w:rPr>
          <w:color w:val="231F20"/>
        </w:rPr>
        <w:t>each</w:t>
      </w:r>
      <w:r>
        <w:rPr>
          <w:color w:val="231F20"/>
        </w:rPr>
        <w:t> deployment request.</w:t>
      </w:r>
    </w:p>
    <w:p>
      <w:pPr>
        <w:pStyle w:val="Heading3"/>
        <w:spacing w:before="215"/>
        <w:ind w:left="1574"/>
      </w:pPr>
      <w:r>
        <w:rPr>
          <w:color w:val="231F20"/>
        </w:rPr>
        <w:t>Stopping</w:t>
      </w:r>
      <w:r>
        <w:rPr>
          <w:color w:val="231F20"/>
          <w:spacing w:val="5"/>
        </w:rPr>
        <w:t> </w:t>
      </w:r>
      <w:r>
        <w:rPr>
          <w:color w:val="231F20"/>
        </w:rPr>
        <w:t>a</w:t>
      </w:r>
      <w:r>
        <w:rPr>
          <w:color w:val="231F20"/>
          <w:spacing w:val="6"/>
        </w:rPr>
        <w:t> </w:t>
      </w:r>
      <w:r>
        <w:rPr>
          <w:color w:val="231F20"/>
        </w:rPr>
        <w:t>monitoring</w:t>
      </w:r>
      <w:r>
        <w:rPr>
          <w:color w:val="231F20"/>
          <w:spacing w:val="5"/>
        </w:rPr>
        <w:t> </w:t>
      </w:r>
      <w:r>
        <w:rPr>
          <w:color w:val="231F20"/>
          <w:spacing w:val="-2"/>
        </w:rPr>
        <w:t>agent</w:t>
      </w:r>
    </w:p>
    <w:p>
      <w:pPr>
        <w:pStyle w:val="BodyText"/>
        <w:spacing w:line="213" w:lineRule="auto" w:before="59"/>
        <w:ind w:left="2472"/>
      </w:pPr>
      <w:r>
        <w:rPr>
          <w:color w:val="231F20"/>
        </w:rPr>
        <w:t>You can stop running any of the distributed monitoring agents other than the OS agents, which are used for agent deployment and configuration.</w:t>
      </w:r>
    </w:p>
    <w:p>
      <w:pPr>
        <w:pStyle w:val="Heading4"/>
        <w:spacing w:before="199"/>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9"/>
        <w:ind w:left="2472"/>
      </w:pPr>
      <w:r>
        <w:rPr>
          <w:color w:val="231F20"/>
        </w:rPr>
        <w:t>To</w:t>
      </w:r>
      <w:r>
        <w:rPr>
          <w:color w:val="231F20"/>
          <w:spacing w:val="6"/>
        </w:rPr>
        <w:t> </w:t>
      </w:r>
      <w:r>
        <w:rPr>
          <w:color w:val="231F20"/>
        </w:rPr>
        <w:t>stop</w:t>
      </w:r>
      <w:r>
        <w:rPr>
          <w:color w:val="231F20"/>
          <w:spacing w:val="7"/>
        </w:rPr>
        <w:t> </w:t>
      </w:r>
      <w:r>
        <w:rPr>
          <w:color w:val="231F20"/>
        </w:rPr>
        <w:t>a</w:t>
      </w:r>
      <w:r>
        <w:rPr>
          <w:color w:val="231F20"/>
          <w:spacing w:val="7"/>
        </w:rPr>
        <w:t> </w:t>
      </w:r>
      <w:r>
        <w:rPr>
          <w:color w:val="231F20"/>
        </w:rPr>
        <w:t>monitoring</w:t>
      </w:r>
      <w:r>
        <w:rPr>
          <w:color w:val="231F20"/>
          <w:spacing w:val="7"/>
        </w:rPr>
        <w:t> </w:t>
      </w:r>
      <w:r>
        <w:rPr>
          <w:color w:val="231F20"/>
          <w:spacing w:val="-2"/>
        </w:rPr>
        <w:t>agent:</w:t>
      </w:r>
    </w:p>
    <w:p>
      <w:pPr>
        <w:pStyle w:val="BodyText"/>
        <w:spacing w:line="213" w:lineRule="auto" w:before="232"/>
        <w:ind w:left="2472" w:right="545"/>
      </w:pPr>
      <w:r>
        <w:rPr>
          <w:color w:val="231F20"/>
        </w:rPr>
        <w:t>Your user ID must have Agent Management Start/Stop permission to use </w:t>
      </w:r>
      <w:r>
        <w:rPr>
          <w:color w:val="231F20"/>
        </w:rPr>
        <w:t>this </w:t>
      </w:r>
      <w:r>
        <w:rPr>
          <w:color w:val="231F20"/>
          <w:spacing w:val="-2"/>
        </w:rPr>
        <w:t>feature.</w:t>
      </w:r>
    </w:p>
    <w:p>
      <w:pPr>
        <w:spacing w:after="0" w:line="213" w:lineRule="auto"/>
        <w:sectPr>
          <w:pgSz w:w="12240" w:h="15840"/>
          <w:pgMar w:header="0" w:footer="736" w:top="1180" w:bottom="920" w:left="1000" w:right="1060"/>
        </w:sectPr>
      </w:pPr>
    </w:p>
    <w:p>
      <w:pPr>
        <w:pStyle w:val="Heading4"/>
        <w:spacing w:before="86"/>
      </w:pPr>
      <w:bookmarkStart w:name="_bookmark311" w:id="642"/>
      <w:bookmarkEnd w:id="642"/>
      <w:r>
        <w:rPr>
          <w:b w:val="0"/>
        </w:rPr>
      </w:r>
      <w:r>
        <w:rPr>
          <w:color w:val="231F20"/>
          <w:spacing w:val="-2"/>
        </w:rPr>
        <w:t>Procedure</w:t>
      </w:r>
    </w:p>
    <w:p>
      <w:pPr>
        <w:pStyle w:val="ListParagraph"/>
        <w:numPr>
          <w:ilvl w:val="0"/>
          <w:numId w:val="183"/>
        </w:numPr>
        <w:tabs>
          <w:tab w:pos="2547" w:val="left" w:leader="none"/>
        </w:tabs>
        <w:spacing w:line="240" w:lineRule="auto" w:before="39" w:after="0"/>
        <w:ind w:left="2547" w:right="0" w:hanging="315"/>
        <w:jc w:val="left"/>
        <w:rPr>
          <w:sz w:val="20"/>
        </w:rPr>
      </w:pPr>
      <w:r>
        <w:rPr>
          <w:color w:val="231F20"/>
          <w:sz w:val="20"/>
        </w:rPr>
        <w:t>In</w:t>
      </w:r>
      <w:r>
        <w:rPr>
          <w:color w:val="231F20"/>
          <w:spacing w:val="8"/>
          <w:sz w:val="20"/>
        </w:rPr>
        <w:t> </w:t>
      </w:r>
      <w:r>
        <w:rPr>
          <w:color w:val="231F20"/>
          <w:sz w:val="20"/>
        </w:rPr>
        <w:t>the</w:t>
      </w:r>
      <w:r>
        <w:rPr>
          <w:color w:val="231F20"/>
          <w:spacing w:val="9"/>
          <w:sz w:val="20"/>
        </w:rPr>
        <w:t> </w:t>
      </w:r>
      <w:r>
        <w:rPr>
          <w:color w:val="231F20"/>
          <w:sz w:val="20"/>
        </w:rPr>
        <w:t>Navigator</w:t>
      </w:r>
      <w:r>
        <w:rPr>
          <w:color w:val="231F20"/>
          <w:spacing w:val="8"/>
          <w:sz w:val="20"/>
        </w:rPr>
        <w:t> </w:t>
      </w:r>
      <w:r>
        <w:rPr>
          <w:color w:val="231F20"/>
          <w:sz w:val="20"/>
        </w:rPr>
        <w:t>physical</w:t>
      </w:r>
      <w:r>
        <w:rPr>
          <w:color w:val="231F20"/>
          <w:spacing w:val="9"/>
          <w:sz w:val="20"/>
        </w:rPr>
        <w:t> </w:t>
      </w:r>
      <w:r>
        <w:rPr>
          <w:color w:val="231F20"/>
          <w:sz w:val="20"/>
        </w:rPr>
        <w:t>view,</w:t>
      </w:r>
      <w:r>
        <w:rPr>
          <w:color w:val="231F20"/>
          <w:spacing w:val="9"/>
          <w:sz w:val="20"/>
        </w:rPr>
        <w:t> </w:t>
      </w:r>
      <w:r>
        <w:rPr>
          <w:color w:val="231F20"/>
          <w:sz w:val="20"/>
        </w:rPr>
        <w:t>right-click</w:t>
      </w:r>
      <w:r>
        <w:rPr>
          <w:color w:val="231F20"/>
          <w:spacing w:val="8"/>
          <w:sz w:val="20"/>
        </w:rPr>
        <w:t> </w:t>
      </w:r>
      <w:r>
        <w:rPr>
          <w:color w:val="231F20"/>
          <w:sz w:val="20"/>
        </w:rPr>
        <w:t>the</w:t>
      </w:r>
      <w:r>
        <w:rPr>
          <w:color w:val="231F20"/>
          <w:spacing w:val="17"/>
          <w:sz w:val="20"/>
        </w:rPr>
        <w:t> </w:t>
      </w:r>
      <w:r>
        <w:rPr>
          <w:color w:val="231F20"/>
          <w:spacing w:val="-25"/>
          <w:position w:val="-1"/>
          <w:sz w:val="20"/>
        </w:rPr>
        <w:drawing>
          <wp:inline distT="0" distB="0" distL="0" distR="0">
            <wp:extent cx="95250" cy="95250"/>
            <wp:effectExtent l="0" t="0" r="0" b="0"/>
            <wp:docPr id="3141" name="Image 3141"/>
            <wp:cNvGraphicFramePr>
              <a:graphicFrameLocks/>
            </wp:cNvGraphicFramePr>
            <a:graphic>
              <a:graphicData uri="http://schemas.openxmlformats.org/drawingml/2006/picture">
                <pic:pic>
                  <pic:nvPicPr>
                    <pic:cNvPr id="3141" name="Image 3141"/>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6"/>
          <w:sz w:val="20"/>
        </w:rPr>
        <w:t> </w:t>
      </w:r>
      <w:r>
        <w:rPr>
          <w:color w:val="231F20"/>
          <w:sz w:val="20"/>
        </w:rPr>
        <w:t>agent-level</w:t>
      </w:r>
      <w:r>
        <w:rPr>
          <w:color w:val="231F20"/>
          <w:spacing w:val="8"/>
          <w:sz w:val="20"/>
        </w:rPr>
        <w:t> </w:t>
      </w:r>
      <w:r>
        <w:rPr>
          <w:color w:val="231F20"/>
          <w:sz w:val="20"/>
        </w:rPr>
        <w:t>Navigator</w:t>
      </w:r>
      <w:r>
        <w:rPr>
          <w:color w:val="231F20"/>
          <w:spacing w:val="9"/>
          <w:sz w:val="20"/>
        </w:rPr>
        <w:t> </w:t>
      </w:r>
      <w:r>
        <w:rPr>
          <w:color w:val="231F20"/>
          <w:spacing w:val="-2"/>
          <w:sz w:val="20"/>
        </w:rPr>
        <w:t>item.</w:t>
      </w:r>
    </w:p>
    <w:p>
      <w:pPr>
        <w:pStyle w:val="ListParagraph"/>
        <w:numPr>
          <w:ilvl w:val="0"/>
          <w:numId w:val="183"/>
        </w:numPr>
        <w:tabs>
          <w:tab w:pos="2546" w:val="left" w:leader="none"/>
          <w:tab w:pos="2548" w:val="left" w:leader="none"/>
        </w:tabs>
        <w:spacing w:line="213" w:lineRule="auto" w:before="53" w:after="0"/>
        <w:ind w:left="2548" w:right="599" w:hanging="317"/>
        <w:jc w:val="left"/>
        <w:rPr>
          <w:sz w:val="20"/>
        </w:rPr>
      </w:pPr>
      <w:r>
        <w:rPr>
          <w:color w:val="231F20"/>
          <w:sz w:val="20"/>
        </w:rPr>
        <w:t>Click</w:t>
      </w:r>
      <w:r>
        <w:rPr>
          <w:color w:val="231F20"/>
          <w:spacing w:val="30"/>
          <w:sz w:val="20"/>
        </w:rPr>
        <w:t> </w:t>
      </w:r>
      <w:r>
        <w:rPr>
          <w:color w:val="231F20"/>
          <w:spacing w:val="-24"/>
          <w:position w:val="-1"/>
          <w:sz w:val="20"/>
        </w:rPr>
        <w:drawing>
          <wp:inline distT="0" distB="0" distL="0" distR="0">
            <wp:extent cx="95250" cy="95250"/>
            <wp:effectExtent l="0" t="0" r="0" b="0"/>
            <wp:docPr id="3142" name="Image 3142"/>
            <wp:cNvGraphicFramePr>
              <a:graphicFrameLocks/>
            </wp:cNvGraphicFramePr>
            <a:graphic>
              <a:graphicData uri="http://schemas.openxmlformats.org/drawingml/2006/picture">
                <pic:pic>
                  <pic:nvPicPr>
                    <pic:cNvPr id="3142" name="Image 3142"/>
                    <pic:cNvPicPr/>
                  </pic:nvPicPr>
                  <pic:blipFill>
                    <a:blip r:embed="rId38"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27"/>
          <w:sz w:val="20"/>
        </w:rPr>
        <w:t> </w:t>
      </w:r>
      <w:r>
        <w:rPr>
          <w:rFonts w:ascii="Book Antiqua"/>
          <w:b/>
          <w:color w:val="231F20"/>
          <w:sz w:val="20"/>
        </w:rPr>
        <w:t>Stop</w:t>
      </w:r>
      <w:r>
        <w:rPr>
          <w:color w:val="231F20"/>
          <w:sz w:val="20"/>
        </w:rPr>
        <w:t>. The agent goes offline and the Navigator item is dimmed. The agent will not come online again until it has been restarted on the monitoring server to which it is assigned.</w:t>
      </w:r>
    </w:p>
    <w:p>
      <w:pPr>
        <w:pStyle w:val="Heading3"/>
        <w:spacing w:before="216"/>
        <w:ind w:left="1334"/>
      </w:pPr>
      <w:bookmarkStart w:name="Recycling a monitoring agent" w:id="643"/>
      <w:bookmarkEnd w:id="643"/>
      <w:r>
        <w:rPr>
          <w:b w:val="0"/>
        </w:rPr>
      </w:r>
      <w:r>
        <w:rPr>
          <w:color w:val="231F20"/>
        </w:rPr>
        <w:t>Recycling</w:t>
      </w:r>
      <w:r>
        <w:rPr>
          <w:color w:val="231F20"/>
          <w:spacing w:val="5"/>
        </w:rPr>
        <w:t> </w:t>
      </w:r>
      <w:r>
        <w:rPr>
          <w:color w:val="231F20"/>
        </w:rPr>
        <w:t>a</w:t>
      </w:r>
      <w:r>
        <w:rPr>
          <w:color w:val="231F20"/>
          <w:spacing w:val="5"/>
        </w:rPr>
        <w:t> </w:t>
      </w:r>
      <w:r>
        <w:rPr>
          <w:color w:val="231F20"/>
        </w:rPr>
        <w:t>monitoring</w:t>
      </w:r>
      <w:r>
        <w:rPr>
          <w:color w:val="231F20"/>
          <w:spacing w:val="5"/>
        </w:rPr>
        <w:t> </w:t>
      </w:r>
      <w:r>
        <w:rPr>
          <w:color w:val="231F20"/>
          <w:spacing w:val="-2"/>
        </w:rPr>
        <w:t>agent</w:t>
      </w:r>
    </w:p>
    <w:p>
      <w:pPr>
        <w:pStyle w:val="BodyText"/>
        <w:spacing w:before="35"/>
        <w:ind w:left="2232"/>
      </w:pPr>
      <w:r>
        <w:rPr>
          <w:color w:val="231F20"/>
        </w:rPr>
        <w:t>You</w:t>
      </w:r>
      <w:r>
        <w:rPr>
          <w:color w:val="231F20"/>
          <w:spacing w:val="6"/>
        </w:rPr>
        <w:t> </w:t>
      </w:r>
      <w:r>
        <w:rPr>
          <w:color w:val="231F20"/>
        </w:rPr>
        <w:t>can</w:t>
      </w:r>
      <w:r>
        <w:rPr>
          <w:color w:val="231F20"/>
          <w:spacing w:val="7"/>
        </w:rPr>
        <w:t> </w:t>
      </w:r>
      <w:r>
        <w:rPr>
          <w:color w:val="231F20"/>
        </w:rPr>
        <w:t>recycle</w:t>
      </w:r>
      <w:r>
        <w:rPr>
          <w:color w:val="231F20"/>
          <w:spacing w:val="6"/>
        </w:rPr>
        <w:t> </w:t>
      </w:r>
      <w:r>
        <w:rPr>
          <w:color w:val="231F20"/>
        </w:rPr>
        <w:t>a</w:t>
      </w:r>
      <w:r>
        <w:rPr>
          <w:color w:val="231F20"/>
          <w:spacing w:val="7"/>
        </w:rPr>
        <w:t> </w:t>
      </w:r>
      <w:r>
        <w:rPr>
          <w:color w:val="231F20"/>
        </w:rPr>
        <w:t>monitoring</w:t>
      </w:r>
      <w:r>
        <w:rPr>
          <w:color w:val="231F20"/>
          <w:spacing w:val="7"/>
        </w:rPr>
        <w:t> </w:t>
      </w:r>
      <w:r>
        <w:rPr>
          <w:color w:val="231F20"/>
          <w:spacing w:val="-2"/>
        </w:rPr>
        <w:t>agent.</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5"/>
        </w:rPr>
        <w:t> </w:t>
      </w:r>
      <w:r>
        <w:rPr>
          <w:color w:val="231F20"/>
        </w:rPr>
        <w:t>recycle</w:t>
      </w:r>
      <w:r>
        <w:rPr>
          <w:color w:val="231F20"/>
          <w:spacing w:val="5"/>
        </w:rPr>
        <w:t> </w:t>
      </w:r>
      <w:r>
        <w:rPr>
          <w:color w:val="231F20"/>
        </w:rPr>
        <w:t>a</w:t>
      </w:r>
      <w:r>
        <w:rPr>
          <w:color w:val="231F20"/>
          <w:spacing w:val="6"/>
        </w:rPr>
        <w:t> </w:t>
      </w:r>
      <w:r>
        <w:rPr>
          <w:color w:val="231F20"/>
        </w:rPr>
        <w:t>monitoring</w:t>
      </w:r>
      <w:r>
        <w:rPr>
          <w:color w:val="231F20"/>
          <w:spacing w:val="5"/>
        </w:rPr>
        <w:t> </w:t>
      </w:r>
      <w:r>
        <w:rPr>
          <w:color w:val="231F20"/>
          <w:spacing w:val="-2"/>
        </w:rPr>
        <w:t>agent:</w:t>
      </w:r>
    </w:p>
    <w:p>
      <w:pPr>
        <w:pStyle w:val="BodyText"/>
        <w:spacing w:line="213" w:lineRule="auto" w:before="232"/>
        <w:ind w:left="2232" w:right="545" w:firstLine="20"/>
      </w:pPr>
      <w:r>
        <w:rPr>
          <w:position w:val="-1"/>
        </w:rPr>
        <w:drawing>
          <wp:inline distT="0" distB="0" distL="0" distR="0">
            <wp:extent cx="82550" cy="101600"/>
            <wp:effectExtent l="0" t="0" r="0" b="0"/>
            <wp:docPr id="3143" name="Image 3143"/>
            <wp:cNvGraphicFramePr>
              <a:graphicFrameLocks/>
            </wp:cNvGraphicFramePr>
            <a:graphic>
              <a:graphicData uri="http://schemas.openxmlformats.org/drawingml/2006/picture">
                <pic:pic>
                  <pic:nvPicPr>
                    <pic:cNvPr id="3143" name="Image 3143"/>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spacing w:val="40"/>
        </w:rPr>
        <w:t> </w:t>
      </w:r>
      <w:r>
        <w:rPr>
          <w:color w:val="231F20"/>
        </w:rPr>
        <w:t>Your user ID must have Agent Management Start/Stop permission to use </w:t>
      </w:r>
      <w:r>
        <w:rPr>
          <w:color w:val="231F20"/>
        </w:rPr>
        <w:t>this</w:t>
      </w:r>
      <w:r>
        <w:rPr>
          <w:color w:val="231F20"/>
          <w:spacing w:val="40"/>
        </w:rPr>
        <w:t> </w:t>
      </w:r>
      <w:r>
        <w:rPr>
          <w:color w:val="231F20"/>
          <w:spacing w:val="-2"/>
        </w:rPr>
        <w:t>feature.</w:t>
      </w:r>
    </w:p>
    <w:p>
      <w:pPr>
        <w:pStyle w:val="Heading4"/>
      </w:pPr>
      <w:r>
        <w:rPr>
          <w:color w:val="231F20"/>
          <w:spacing w:val="-2"/>
        </w:rPr>
        <w:t>Procedure</w:t>
      </w:r>
    </w:p>
    <w:p>
      <w:pPr>
        <w:pStyle w:val="ListParagraph"/>
        <w:numPr>
          <w:ilvl w:val="0"/>
          <w:numId w:val="184"/>
        </w:numPr>
        <w:tabs>
          <w:tab w:pos="2547" w:val="left" w:leader="none"/>
        </w:tabs>
        <w:spacing w:line="240" w:lineRule="auto" w:before="39" w:after="0"/>
        <w:ind w:left="2547" w:right="0" w:hanging="315"/>
        <w:jc w:val="left"/>
        <w:rPr>
          <w:sz w:val="20"/>
        </w:rPr>
      </w:pPr>
      <w:r>
        <w:rPr>
          <w:color w:val="231F20"/>
          <w:sz w:val="20"/>
        </w:rPr>
        <w:t>In</w:t>
      </w:r>
      <w:r>
        <w:rPr>
          <w:color w:val="231F20"/>
          <w:spacing w:val="9"/>
          <w:sz w:val="20"/>
        </w:rPr>
        <w:t> </w:t>
      </w:r>
      <w:r>
        <w:rPr>
          <w:color w:val="231F20"/>
          <w:sz w:val="20"/>
        </w:rPr>
        <w:t>the</w:t>
      </w:r>
      <w:r>
        <w:rPr>
          <w:color w:val="231F20"/>
          <w:spacing w:val="9"/>
          <w:sz w:val="20"/>
        </w:rPr>
        <w:t> </w:t>
      </w:r>
      <w:r>
        <w:rPr>
          <w:color w:val="231F20"/>
          <w:sz w:val="20"/>
        </w:rPr>
        <w:t>Navigator</w:t>
      </w:r>
      <w:r>
        <w:rPr>
          <w:color w:val="231F20"/>
          <w:spacing w:val="9"/>
          <w:sz w:val="20"/>
        </w:rPr>
        <w:t> </w:t>
      </w:r>
      <w:r>
        <w:rPr>
          <w:color w:val="231F20"/>
          <w:sz w:val="20"/>
        </w:rPr>
        <w:t>physical</w:t>
      </w:r>
      <w:r>
        <w:rPr>
          <w:color w:val="231F20"/>
          <w:spacing w:val="10"/>
          <w:sz w:val="20"/>
        </w:rPr>
        <w:t> </w:t>
      </w:r>
      <w:r>
        <w:rPr>
          <w:color w:val="231F20"/>
          <w:sz w:val="20"/>
        </w:rPr>
        <w:t>view,</w:t>
      </w:r>
      <w:r>
        <w:rPr>
          <w:color w:val="231F20"/>
          <w:spacing w:val="9"/>
          <w:sz w:val="20"/>
        </w:rPr>
        <w:t> </w:t>
      </w:r>
      <w:r>
        <w:rPr>
          <w:color w:val="231F20"/>
          <w:sz w:val="20"/>
        </w:rPr>
        <w:t>right-click</w:t>
      </w:r>
      <w:r>
        <w:rPr>
          <w:color w:val="231F20"/>
          <w:spacing w:val="9"/>
          <w:sz w:val="20"/>
        </w:rPr>
        <w:t> </w:t>
      </w:r>
      <w:r>
        <w:rPr>
          <w:color w:val="231F20"/>
          <w:sz w:val="20"/>
        </w:rPr>
        <w:t>the</w:t>
      </w:r>
      <w:r>
        <w:rPr>
          <w:color w:val="231F20"/>
          <w:spacing w:val="18"/>
          <w:sz w:val="20"/>
        </w:rPr>
        <w:t> </w:t>
      </w:r>
      <w:r>
        <w:rPr>
          <w:color w:val="231F20"/>
          <w:spacing w:val="-25"/>
          <w:position w:val="-1"/>
          <w:sz w:val="20"/>
        </w:rPr>
        <w:drawing>
          <wp:inline distT="0" distB="0" distL="0" distR="0">
            <wp:extent cx="95250" cy="95250"/>
            <wp:effectExtent l="0" t="0" r="0" b="0"/>
            <wp:docPr id="3144" name="Image 3144"/>
            <wp:cNvGraphicFramePr>
              <a:graphicFrameLocks/>
            </wp:cNvGraphicFramePr>
            <a:graphic>
              <a:graphicData uri="http://schemas.openxmlformats.org/drawingml/2006/picture">
                <pic:pic>
                  <pic:nvPicPr>
                    <pic:cNvPr id="3144" name="Image 3144"/>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75"/>
          <w:sz w:val="20"/>
        </w:rPr>
        <w:t> </w:t>
      </w:r>
      <w:r>
        <w:rPr>
          <w:color w:val="231F20"/>
          <w:sz w:val="20"/>
        </w:rPr>
        <w:t>agent-level</w:t>
      </w:r>
      <w:r>
        <w:rPr>
          <w:color w:val="231F20"/>
          <w:spacing w:val="10"/>
          <w:sz w:val="20"/>
        </w:rPr>
        <w:t> </w:t>
      </w:r>
      <w:r>
        <w:rPr>
          <w:color w:val="231F20"/>
          <w:sz w:val="20"/>
        </w:rPr>
        <w:t>Navigator</w:t>
      </w:r>
      <w:r>
        <w:rPr>
          <w:color w:val="231F20"/>
          <w:spacing w:val="9"/>
          <w:sz w:val="20"/>
        </w:rPr>
        <w:t> </w:t>
      </w:r>
      <w:r>
        <w:rPr>
          <w:color w:val="231F20"/>
          <w:spacing w:val="-2"/>
          <w:sz w:val="20"/>
        </w:rPr>
        <w:t>item.</w:t>
      </w:r>
    </w:p>
    <w:p>
      <w:pPr>
        <w:pStyle w:val="ListParagraph"/>
        <w:numPr>
          <w:ilvl w:val="0"/>
          <w:numId w:val="184"/>
        </w:numPr>
        <w:tabs>
          <w:tab w:pos="2547" w:val="left" w:leader="none"/>
        </w:tabs>
        <w:spacing w:line="240" w:lineRule="auto" w:before="29" w:after="0"/>
        <w:ind w:left="2547" w:right="0" w:hanging="315"/>
        <w:jc w:val="left"/>
        <w:rPr>
          <w:sz w:val="20"/>
        </w:rPr>
      </w:pPr>
      <w:r>
        <w:rPr>
          <w:color w:val="231F20"/>
          <w:sz w:val="20"/>
        </w:rPr>
        <w:t>Click</w:t>
      </w:r>
      <w:r>
        <w:rPr>
          <w:color w:val="231F20"/>
          <w:spacing w:val="21"/>
          <w:sz w:val="20"/>
        </w:rPr>
        <w:t> </w:t>
      </w:r>
      <w:r>
        <w:rPr>
          <w:color w:val="231F20"/>
          <w:spacing w:val="-24"/>
          <w:position w:val="-1"/>
          <w:sz w:val="20"/>
        </w:rPr>
        <w:drawing>
          <wp:inline distT="0" distB="0" distL="0" distR="0">
            <wp:extent cx="95250" cy="101600"/>
            <wp:effectExtent l="0" t="0" r="0" b="0"/>
            <wp:docPr id="3145" name="Image 3145"/>
            <wp:cNvGraphicFramePr>
              <a:graphicFrameLocks/>
            </wp:cNvGraphicFramePr>
            <a:graphic>
              <a:graphicData uri="http://schemas.openxmlformats.org/drawingml/2006/picture">
                <pic:pic>
                  <pic:nvPicPr>
                    <pic:cNvPr id="3145" name="Image 3145"/>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4"/>
          <w:position w:val="-1"/>
          <w:sz w:val="20"/>
        </w:rPr>
      </w:r>
      <w:r>
        <w:rPr>
          <w:rFonts w:ascii="Times New Roman"/>
          <w:color w:val="231F20"/>
          <w:spacing w:val="57"/>
          <w:w w:val="150"/>
          <w:sz w:val="20"/>
        </w:rPr>
        <w:t> </w:t>
      </w:r>
      <w:r>
        <w:rPr>
          <w:rFonts w:ascii="Book Antiqua"/>
          <w:b/>
          <w:color w:val="231F20"/>
          <w:sz w:val="20"/>
        </w:rPr>
        <w:t>Restart</w:t>
      </w:r>
      <w:r>
        <w:rPr>
          <w:rFonts w:ascii="Book Antiqua"/>
          <w:b/>
          <w:color w:val="231F20"/>
          <w:spacing w:val="12"/>
          <w:sz w:val="20"/>
        </w:rPr>
        <w:t> </w:t>
      </w:r>
      <w:r>
        <w:rPr>
          <w:color w:val="231F20"/>
          <w:sz w:val="20"/>
        </w:rPr>
        <w:t>to</w:t>
      </w:r>
      <w:r>
        <w:rPr>
          <w:color w:val="231F20"/>
          <w:spacing w:val="12"/>
          <w:sz w:val="20"/>
        </w:rPr>
        <w:t> </w:t>
      </w:r>
      <w:r>
        <w:rPr>
          <w:color w:val="231F20"/>
          <w:sz w:val="20"/>
        </w:rPr>
        <w:t>stop,</w:t>
      </w:r>
      <w:r>
        <w:rPr>
          <w:color w:val="231F20"/>
          <w:spacing w:val="13"/>
          <w:sz w:val="20"/>
        </w:rPr>
        <w:t> </w:t>
      </w:r>
      <w:r>
        <w:rPr>
          <w:color w:val="231F20"/>
          <w:sz w:val="20"/>
        </w:rPr>
        <w:t>then</w:t>
      </w:r>
      <w:r>
        <w:rPr>
          <w:color w:val="231F20"/>
          <w:spacing w:val="12"/>
          <w:sz w:val="20"/>
        </w:rPr>
        <w:t> </w:t>
      </w:r>
      <w:r>
        <w:rPr>
          <w:color w:val="231F20"/>
          <w:sz w:val="20"/>
        </w:rPr>
        <w:t>start</w:t>
      </w:r>
      <w:r>
        <w:rPr>
          <w:color w:val="231F20"/>
          <w:spacing w:val="12"/>
          <w:sz w:val="20"/>
        </w:rPr>
        <w:t> </w:t>
      </w:r>
      <w:r>
        <w:rPr>
          <w:color w:val="231F20"/>
          <w:sz w:val="20"/>
        </w:rPr>
        <w:t>the</w:t>
      </w:r>
      <w:r>
        <w:rPr>
          <w:color w:val="231F20"/>
          <w:spacing w:val="12"/>
          <w:sz w:val="20"/>
        </w:rPr>
        <w:t> </w:t>
      </w:r>
      <w:r>
        <w:rPr>
          <w:color w:val="231F20"/>
          <w:sz w:val="20"/>
        </w:rPr>
        <w:t>monitoring</w:t>
      </w:r>
      <w:r>
        <w:rPr>
          <w:color w:val="231F20"/>
          <w:spacing w:val="13"/>
          <w:sz w:val="20"/>
        </w:rPr>
        <w:t> </w:t>
      </w:r>
      <w:r>
        <w:rPr>
          <w:color w:val="231F20"/>
          <w:spacing w:val="-2"/>
          <w:sz w:val="20"/>
        </w:rPr>
        <w:t>agent.</w:t>
      </w:r>
    </w:p>
    <w:p>
      <w:pPr>
        <w:pStyle w:val="Heading3"/>
        <w:spacing w:before="212"/>
        <w:ind w:left="1334"/>
      </w:pPr>
      <w:bookmarkStart w:name="Starting an offline monitoring agent" w:id="644"/>
      <w:bookmarkEnd w:id="644"/>
      <w:r>
        <w:rPr>
          <w:b w:val="0"/>
        </w:rPr>
      </w:r>
      <w:r>
        <w:rPr>
          <w:color w:val="231F20"/>
        </w:rPr>
        <w:t>Starting</w:t>
      </w:r>
      <w:r>
        <w:rPr>
          <w:color w:val="231F20"/>
          <w:spacing w:val="5"/>
        </w:rPr>
        <w:t> </w:t>
      </w:r>
      <w:r>
        <w:rPr>
          <w:color w:val="231F20"/>
        </w:rPr>
        <w:t>an</w:t>
      </w:r>
      <w:r>
        <w:rPr>
          <w:color w:val="231F20"/>
          <w:spacing w:val="6"/>
        </w:rPr>
        <w:t> </w:t>
      </w:r>
      <w:r>
        <w:rPr>
          <w:color w:val="231F20"/>
        </w:rPr>
        <w:t>offline</w:t>
      </w:r>
      <w:r>
        <w:rPr>
          <w:color w:val="231F20"/>
          <w:spacing w:val="6"/>
        </w:rPr>
        <w:t> </w:t>
      </w:r>
      <w:r>
        <w:rPr>
          <w:color w:val="231F20"/>
        </w:rPr>
        <w:t>monitoring</w:t>
      </w:r>
      <w:r>
        <w:rPr>
          <w:color w:val="231F20"/>
          <w:spacing w:val="6"/>
        </w:rPr>
        <w:t> </w:t>
      </w:r>
      <w:r>
        <w:rPr>
          <w:color w:val="231F20"/>
          <w:spacing w:val="-2"/>
        </w:rPr>
        <w:t>agent</w:t>
      </w:r>
    </w:p>
    <w:p>
      <w:pPr>
        <w:pStyle w:val="BodyText"/>
        <w:spacing w:before="35"/>
        <w:ind w:left="2232"/>
      </w:pPr>
      <w:r>
        <w:rPr>
          <w:color w:val="231F20"/>
        </w:rPr>
        <w:t>An</w:t>
      </w:r>
      <w:r>
        <w:rPr>
          <w:color w:val="231F20"/>
          <w:spacing w:val="10"/>
        </w:rPr>
        <w:t> </w:t>
      </w:r>
      <w:r>
        <w:rPr>
          <w:color w:val="231F20"/>
        </w:rPr>
        <w:t>offline</w:t>
      </w:r>
      <w:r>
        <w:rPr>
          <w:color w:val="231F20"/>
          <w:spacing w:val="11"/>
        </w:rPr>
        <w:t> </w:t>
      </w:r>
      <w:r>
        <w:rPr>
          <w:color w:val="231F20"/>
        </w:rPr>
        <w:t>monitoring</w:t>
      </w:r>
      <w:r>
        <w:rPr>
          <w:color w:val="231F20"/>
          <w:spacing w:val="10"/>
        </w:rPr>
        <w:t> </w:t>
      </w:r>
      <w:r>
        <w:rPr>
          <w:color w:val="231F20"/>
        </w:rPr>
        <w:t>agent</w:t>
      </w:r>
      <w:r>
        <w:rPr>
          <w:color w:val="231F20"/>
          <w:spacing w:val="11"/>
        </w:rPr>
        <w:t> </w:t>
      </w:r>
      <w:r>
        <w:rPr>
          <w:color w:val="231F20"/>
        </w:rPr>
        <w:t>can</w:t>
      </w:r>
      <w:r>
        <w:rPr>
          <w:color w:val="231F20"/>
          <w:spacing w:val="10"/>
        </w:rPr>
        <w:t> </w:t>
      </w:r>
      <w:r>
        <w:rPr>
          <w:color w:val="231F20"/>
        </w:rPr>
        <w:t>be</w:t>
      </w:r>
      <w:r>
        <w:rPr>
          <w:color w:val="231F20"/>
          <w:spacing w:val="11"/>
        </w:rPr>
        <w:t> </w:t>
      </w:r>
      <w:r>
        <w:rPr>
          <w:color w:val="231F20"/>
          <w:spacing w:val="-2"/>
        </w:rPr>
        <w:t>started.</w:t>
      </w:r>
    </w:p>
    <w:p>
      <w:pPr>
        <w:pStyle w:val="Heading4"/>
        <w:spacing w:before="194"/>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232"/>
      </w:pPr>
      <w:r>
        <w:rPr>
          <w:color w:val="231F20"/>
        </w:rPr>
        <w:t>To</w:t>
      </w:r>
      <w:r>
        <w:rPr>
          <w:color w:val="231F20"/>
          <w:spacing w:val="6"/>
        </w:rPr>
        <w:t> </w:t>
      </w:r>
      <w:r>
        <w:rPr>
          <w:color w:val="231F20"/>
        </w:rPr>
        <w:t>start</w:t>
      </w:r>
      <w:r>
        <w:rPr>
          <w:color w:val="231F20"/>
          <w:spacing w:val="7"/>
        </w:rPr>
        <w:t> </w:t>
      </w:r>
      <w:r>
        <w:rPr>
          <w:color w:val="231F20"/>
        </w:rPr>
        <w:t>an</w:t>
      </w:r>
      <w:r>
        <w:rPr>
          <w:color w:val="231F20"/>
          <w:spacing w:val="6"/>
        </w:rPr>
        <w:t> </w:t>
      </w:r>
      <w:r>
        <w:rPr>
          <w:color w:val="231F20"/>
        </w:rPr>
        <w:t>offline</w:t>
      </w:r>
      <w:r>
        <w:rPr>
          <w:color w:val="231F20"/>
          <w:spacing w:val="7"/>
        </w:rPr>
        <w:t> </w:t>
      </w:r>
      <w:r>
        <w:rPr>
          <w:color w:val="231F20"/>
        </w:rPr>
        <w:t>monitoring</w:t>
      </w:r>
      <w:r>
        <w:rPr>
          <w:color w:val="231F20"/>
          <w:spacing w:val="6"/>
        </w:rPr>
        <w:t> </w:t>
      </w:r>
      <w:r>
        <w:rPr>
          <w:color w:val="231F20"/>
          <w:spacing w:val="-2"/>
        </w:rPr>
        <w:t>agent:</w:t>
      </w:r>
    </w:p>
    <w:p>
      <w:pPr>
        <w:pStyle w:val="BodyText"/>
        <w:spacing w:line="213" w:lineRule="auto" w:before="232"/>
        <w:ind w:left="2232" w:right="545" w:firstLine="20"/>
      </w:pPr>
      <w:r>
        <w:rPr>
          <w:position w:val="-1"/>
        </w:rPr>
        <w:drawing>
          <wp:inline distT="0" distB="0" distL="0" distR="0">
            <wp:extent cx="82550" cy="101600"/>
            <wp:effectExtent l="0" t="0" r="0" b="0"/>
            <wp:docPr id="3146" name="Image 3146"/>
            <wp:cNvGraphicFramePr>
              <a:graphicFrameLocks/>
            </wp:cNvGraphicFramePr>
            <a:graphic>
              <a:graphicData uri="http://schemas.openxmlformats.org/drawingml/2006/picture">
                <pic:pic>
                  <pic:nvPicPr>
                    <pic:cNvPr id="3146" name="Image 3146"/>
                    <pic:cNvPicPr/>
                  </pic:nvPicPr>
                  <pic:blipFill>
                    <a:blip r:embed="rId32" cstate="print"/>
                    <a:stretch>
                      <a:fillRect/>
                    </a:stretch>
                  </pic:blipFill>
                  <pic:spPr>
                    <a:xfrm>
                      <a:off x="0" y="0"/>
                      <a:ext cx="82550" cy="101600"/>
                    </a:xfrm>
                    <a:prstGeom prst="rect">
                      <a:avLst/>
                    </a:prstGeom>
                  </pic:spPr>
                </pic:pic>
              </a:graphicData>
            </a:graphic>
          </wp:inline>
        </w:drawing>
      </w:r>
      <w:r>
        <w:rPr>
          <w:position w:val="-1"/>
        </w:rPr>
      </w:r>
      <w:r>
        <w:rPr>
          <w:rFonts w:ascii="Times New Roman"/>
        </w:rPr>
        <w:t> </w:t>
      </w:r>
      <w:r>
        <w:rPr>
          <w:color w:val="231F20"/>
        </w:rPr>
        <w:t>Your user ID must have Agent Management Start/Stop permission to use </w:t>
      </w:r>
      <w:r>
        <w:rPr>
          <w:color w:val="231F20"/>
        </w:rPr>
        <w:t>this </w:t>
      </w:r>
      <w:r>
        <w:rPr>
          <w:color w:val="231F20"/>
          <w:spacing w:val="-2"/>
        </w:rPr>
        <w:t>feature.</w:t>
      </w:r>
    </w:p>
    <w:p>
      <w:pPr>
        <w:pStyle w:val="Heading4"/>
      </w:pPr>
      <w:r>
        <w:rPr>
          <w:color w:val="231F20"/>
          <w:spacing w:val="-2"/>
        </w:rPr>
        <w:t>Procedure</w:t>
      </w:r>
    </w:p>
    <w:p>
      <w:pPr>
        <w:pStyle w:val="ListParagraph"/>
        <w:numPr>
          <w:ilvl w:val="0"/>
          <w:numId w:val="185"/>
        </w:numPr>
        <w:tabs>
          <w:tab w:pos="2548" w:val="left" w:leader="none"/>
        </w:tabs>
        <w:spacing w:line="213" w:lineRule="auto" w:before="61" w:after="0"/>
        <w:ind w:left="2548" w:right="645" w:hanging="316"/>
        <w:jc w:val="left"/>
        <w:rPr>
          <w:sz w:val="20"/>
        </w:rPr>
      </w:pPr>
      <w:r>
        <w:rPr>
          <w:color w:val="231F20"/>
          <w:sz w:val="20"/>
        </w:rPr>
        <w:t>In the Navigator physical view, right-click the offline </w:t>
      </w:r>
      <w:r>
        <w:rPr>
          <w:color w:val="231F20"/>
          <w:spacing w:val="15"/>
          <w:position w:val="-1"/>
          <w:sz w:val="20"/>
        </w:rPr>
        <w:drawing>
          <wp:inline distT="0" distB="0" distL="0" distR="0">
            <wp:extent cx="101600" cy="95250"/>
            <wp:effectExtent l="0" t="0" r="0" b="0"/>
            <wp:docPr id="3147" name="Image 3147"/>
            <wp:cNvGraphicFramePr>
              <a:graphicFrameLocks/>
            </wp:cNvGraphicFramePr>
            <a:graphic>
              <a:graphicData uri="http://schemas.openxmlformats.org/drawingml/2006/picture">
                <pic:pic>
                  <pic:nvPicPr>
                    <pic:cNvPr id="3147" name="Image 3147"/>
                    <pic:cNvPicPr/>
                  </pic:nvPicPr>
                  <pic:blipFill>
                    <a:blip r:embed="rId132"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16"/>
          <w:sz w:val="20"/>
        </w:rPr>
        <w:t> </w:t>
      </w:r>
      <w:r>
        <w:rPr>
          <w:color w:val="231F20"/>
          <w:sz w:val="20"/>
        </w:rPr>
        <w:t>agent-level Navigator </w:t>
      </w:r>
      <w:r>
        <w:rPr>
          <w:color w:val="231F20"/>
          <w:spacing w:val="-2"/>
          <w:sz w:val="20"/>
        </w:rPr>
        <w:t>item.</w:t>
      </w:r>
    </w:p>
    <w:p>
      <w:pPr>
        <w:pStyle w:val="ListParagraph"/>
        <w:numPr>
          <w:ilvl w:val="0"/>
          <w:numId w:val="185"/>
        </w:numPr>
        <w:tabs>
          <w:tab w:pos="2546" w:val="left" w:leader="none"/>
          <w:tab w:pos="2548" w:val="left" w:leader="none"/>
        </w:tabs>
        <w:spacing w:line="213" w:lineRule="auto" w:before="59" w:after="0"/>
        <w:ind w:left="2548" w:right="466" w:hanging="317"/>
        <w:jc w:val="left"/>
        <w:rPr>
          <w:sz w:val="20"/>
        </w:rPr>
      </w:pPr>
      <w:r>
        <w:rPr>
          <w:color w:val="231F20"/>
          <w:sz w:val="20"/>
        </w:rPr>
        <w:t>Click</w:t>
      </w:r>
      <w:r>
        <w:rPr>
          <w:color w:val="231F20"/>
          <w:spacing w:val="80"/>
          <w:sz w:val="20"/>
        </w:rPr>
        <w:t> </w:t>
      </w:r>
      <w:r>
        <w:rPr>
          <w:color w:val="231F20"/>
          <w:spacing w:val="16"/>
          <w:position w:val="-1"/>
          <w:sz w:val="20"/>
        </w:rPr>
        <w:drawing>
          <wp:inline distT="0" distB="0" distL="0" distR="0">
            <wp:extent cx="63500" cy="95250"/>
            <wp:effectExtent l="0" t="0" r="0" b="0"/>
            <wp:docPr id="3148" name="Image 3148"/>
            <wp:cNvGraphicFramePr>
              <a:graphicFrameLocks/>
            </wp:cNvGraphicFramePr>
            <a:graphic>
              <a:graphicData uri="http://schemas.openxmlformats.org/drawingml/2006/picture">
                <pic:pic>
                  <pic:nvPicPr>
                    <pic:cNvPr id="3148" name="Image 3148"/>
                    <pic:cNvPicPr/>
                  </pic:nvPicPr>
                  <pic:blipFill>
                    <a:blip r:embed="rId37" cstate="print"/>
                    <a:stretch>
                      <a:fillRect/>
                    </a:stretch>
                  </pic:blipFill>
                  <pic:spPr>
                    <a:xfrm>
                      <a:off x="0" y="0"/>
                      <a:ext cx="63500" cy="95250"/>
                    </a:xfrm>
                    <a:prstGeom prst="rect">
                      <a:avLst/>
                    </a:prstGeom>
                  </pic:spPr>
                </pic:pic>
              </a:graphicData>
            </a:graphic>
          </wp:inline>
        </w:drawing>
      </w:r>
      <w:r>
        <w:rPr>
          <w:color w:val="231F20"/>
          <w:spacing w:val="16"/>
          <w:position w:val="-1"/>
          <w:sz w:val="20"/>
        </w:rPr>
      </w:r>
      <w:r>
        <w:rPr>
          <w:rFonts w:ascii="Times New Roman"/>
          <w:color w:val="231F20"/>
          <w:sz w:val="20"/>
        </w:rPr>
        <w:t> </w:t>
      </w:r>
      <w:r>
        <w:rPr>
          <w:rFonts w:ascii="Book Antiqua"/>
          <w:b/>
          <w:color w:val="231F20"/>
          <w:sz w:val="20"/>
        </w:rPr>
        <w:t>Start</w:t>
      </w:r>
      <w:r>
        <w:rPr>
          <w:color w:val="231F20"/>
          <w:sz w:val="20"/>
        </w:rPr>
        <w:t>.</w:t>
      </w:r>
      <w:r>
        <w:rPr>
          <w:color w:val="231F20"/>
          <w:spacing w:val="26"/>
          <w:sz w:val="20"/>
        </w:rPr>
        <w:t> </w:t>
      </w:r>
      <w:r>
        <w:rPr>
          <w:color w:val="231F20"/>
          <w:sz w:val="20"/>
        </w:rPr>
        <w:t>The</w:t>
      </w:r>
      <w:r>
        <w:rPr>
          <w:color w:val="231F20"/>
          <w:spacing w:val="26"/>
          <w:sz w:val="20"/>
        </w:rPr>
        <w:t> </w:t>
      </w:r>
      <w:r>
        <w:rPr>
          <w:color w:val="231F20"/>
          <w:sz w:val="20"/>
        </w:rPr>
        <w:t>request</w:t>
      </w:r>
      <w:r>
        <w:rPr>
          <w:color w:val="231F20"/>
          <w:spacing w:val="26"/>
          <w:sz w:val="20"/>
        </w:rPr>
        <w:t> </w:t>
      </w:r>
      <w:r>
        <w:rPr>
          <w:color w:val="231F20"/>
          <w:sz w:val="20"/>
        </w:rPr>
        <w:t>to</w:t>
      </w:r>
      <w:r>
        <w:rPr>
          <w:color w:val="231F20"/>
          <w:spacing w:val="26"/>
          <w:sz w:val="20"/>
        </w:rPr>
        <w:t> </w:t>
      </w:r>
      <w:r>
        <w:rPr>
          <w:color w:val="231F20"/>
          <w:sz w:val="20"/>
        </w:rPr>
        <w:t>start</w:t>
      </w:r>
      <w:r>
        <w:rPr>
          <w:color w:val="231F20"/>
          <w:spacing w:val="26"/>
          <w:sz w:val="20"/>
        </w:rPr>
        <w:t> </w:t>
      </w:r>
      <w:r>
        <w:rPr>
          <w:color w:val="231F20"/>
          <w:sz w:val="20"/>
        </w:rPr>
        <w:t>the</w:t>
      </w:r>
      <w:r>
        <w:rPr>
          <w:color w:val="231F20"/>
          <w:spacing w:val="26"/>
          <w:sz w:val="20"/>
        </w:rPr>
        <w:t> </w:t>
      </w:r>
      <w:r>
        <w:rPr>
          <w:color w:val="231F20"/>
          <w:sz w:val="20"/>
        </w:rPr>
        <w:t>monitoring</w:t>
      </w:r>
      <w:r>
        <w:rPr>
          <w:color w:val="231F20"/>
          <w:spacing w:val="26"/>
          <w:sz w:val="20"/>
        </w:rPr>
        <w:t> </w:t>
      </w:r>
      <w:r>
        <w:rPr>
          <w:color w:val="231F20"/>
          <w:sz w:val="20"/>
        </w:rPr>
        <w:t>agent</w:t>
      </w:r>
      <w:r>
        <w:rPr>
          <w:color w:val="231F20"/>
          <w:spacing w:val="26"/>
          <w:sz w:val="20"/>
        </w:rPr>
        <w:t> </w:t>
      </w:r>
      <w:r>
        <w:rPr>
          <w:color w:val="231F20"/>
          <w:sz w:val="20"/>
        </w:rPr>
        <w:t>is</w:t>
      </w:r>
      <w:r>
        <w:rPr>
          <w:color w:val="231F20"/>
          <w:spacing w:val="26"/>
          <w:sz w:val="20"/>
        </w:rPr>
        <w:t> </w:t>
      </w:r>
      <w:r>
        <w:rPr>
          <w:color w:val="231F20"/>
          <w:sz w:val="20"/>
        </w:rPr>
        <w:t>sent</w:t>
      </w:r>
      <w:r>
        <w:rPr>
          <w:color w:val="231F20"/>
          <w:spacing w:val="26"/>
          <w:sz w:val="20"/>
        </w:rPr>
        <w:t> </w:t>
      </w:r>
      <w:r>
        <w:rPr>
          <w:color w:val="231F20"/>
          <w:sz w:val="20"/>
        </w:rPr>
        <w:t>to</w:t>
      </w:r>
      <w:r>
        <w:rPr>
          <w:color w:val="231F20"/>
          <w:spacing w:val="26"/>
          <w:sz w:val="20"/>
        </w:rPr>
        <w:t> </w:t>
      </w:r>
      <w:r>
        <w:rPr>
          <w:color w:val="231F20"/>
          <w:sz w:val="20"/>
        </w:rPr>
        <w:t>the monitoring server to which it is connected. Depending on your monitoring configuration, it might take a few moments before the agent starts running </w:t>
      </w:r>
      <w:r>
        <w:rPr>
          <w:color w:val="231F20"/>
          <w:sz w:val="20"/>
        </w:rPr>
        <w:t>and you see the Navigator item enabled.</w:t>
      </w:r>
    </w:p>
    <w:p>
      <w:pPr>
        <w:pStyle w:val="Heading4"/>
        <w:spacing w:before="198"/>
      </w:pPr>
      <w:r>
        <w:rPr>
          <w:color w:val="231F20"/>
          <w:spacing w:val="-2"/>
        </w:rPr>
        <w:t>Results</w:t>
      </w:r>
    </w:p>
    <w:p>
      <w:pPr>
        <w:pStyle w:val="BodyText"/>
        <w:spacing w:line="213" w:lineRule="auto" w:before="242"/>
        <w:ind w:left="2232" w:right="545"/>
      </w:pPr>
      <w:r>
        <w:rPr>
          <w:rFonts w:ascii="Book Antiqua"/>
          <w:b/>
          <w:color w:val="231F20"/>
        </w:rPr>
        <w:t>Note:</w:t>
      </w:r>
      <w:r>
        <w:rPr>
          <w:rFonts w:ascii="Book Antiqua"/>
          <w:b/>
          <w:color w:val="231F20"/>
          <w:spacing w:val="40"/>
        </w:rPr>
        <w:t> </w:t>
      </w:r>
      <w:r>
        <w:rPr>
          <w:color w:val="231F20"/>
        </w:rPr>
        <w:t>If the monitoring agent does not start and you get an error message, </w:t>
      </w:r>
      <w:r>
        <w:rPr>
          <w:color w:val="231F20"/>
        </w:rPr>
        <w:t>the </w:t>
      </w:r>
      <w:bookmarkStart w:name="Adding a managed system through the Tivo" w:id="645"/>
      <w:bookmarkEnd w:id="645"/>
      <w:r>
        <w:rPr>
          <w:color w:val="231F20"/>
        </w:rPr>
        <w:t>computer</w:t>
      </w:r>
      <w:r>
        <w:rPr>
          <w:color w:val="231F20"/>
        </w:rPr>
        <w:t> might be unavailable.</w:t>
      </w:r>
    </w:p>
    <w:p>
      <w:pPr>
        <w:pStyle w:val="Heading3"/>
        <w:spacing w:before="217"/>
        <w:ind w:left="1334"/>
      </w:pPr>
      <w:r>
        <w:rPr>
          <w:color w:val="231F20"/>
        </w:rPr>
        <w:t>Adding</w:t>
      </w:r>
      <w:r>
        <w:rPr>
          <w:color w:val="231F20"/>
          <w:spacing w:val="5"/>
        </w:rPr>
        <w:t> </w:t>
      </w:r>
      <w:r>
        <w:rPr>
          <w:color w:val="231F20"/>
        </w:rPr>
        <w:t>a</w:t>
      </w:r>
      <w:r>
        <w:rPr>
          <w:color w:val="231F20"/>
          <w:spacing w:val="6"/>
        </w:rPr>
        <w:t> </w:t>
      </w:r>
      <w:r>
        <w:rPr>
          <w:color w:val="231F20"/>
        </w:rPr>
        <w:t>managed</w:t>
      </w:r>
      <w:r>
        <w:rPr>
          <w:color w:val="231F20"/>
          <w:spacing w:val="6"/>
        </w:rPr>
        <w:t> </w:t>
      </w:r>
      <w:r>
        <w:rPr>
          <w:color w:val="231F20"/>
        </w:rPr>
        <w:t>system</w:t>
      </w:r>
      <w:r>
        <w:rPr>
          <w:color w:val="231F20"/>
          <w:spacing w:val="5"/>
        </w:rPr>
        <w:t> </w:t>
      </w:r>
      <w:r>
        <w:rPr>
          <w:color w:val="231F20"/>
        </w:rPr>
        <w:t>through</w:t>
      </w:r>
      <w:r>
        <w:rPr>
          <w:color w:val="231F20"/>
          <w:spacing w:val="6"/>
        </w:rPr>
        <w:t> </w:t>
      </w:r>
      <w:r>
        <w:rPr>
          <w:color w:val="231F20"/>
        </w:rPr>
        <w:t>the</w:t>
      </w:r>
      <w:r>
        <w:rPr>
          <w:color w:val="231F20"/>
          <w:spacing w:val="6"/>
        </w:rPr>
        <w:t> </w:t>
      </w:r>
      <w:r>
        <w:rPr>
          <w:color w:val="231F20"/>
        </w:rPr>
        <w:t>Tivoli</w:t>
      </w:r>
      <w:r>
        <w:rPr>
          <w:color w:val="231F20"/>
          <w:spacing w:val="6"/>
        </w:rPr>
        <w:t> </w:t>
      </w:r>
      <w:r>
        <w:rPr>
          <w:color w:val="231F20"/>
        </w:rPr>
        <w:t>Enterprise</w:t>
      </w:r>
      <w:r>
        <w:rPr>
          <w:color w:val="231F20"/>
          <w:spacing w:val="5"/>
        </w:rPr>
        <w:t> </w:t>
      </w:r>
      <w:r>
        <w:rPr>
          <w:color w:val="231F20"/>
          <w:spacing w:val="-2"/>
        </w:rPr>
        <w:t>Portal</w:t>
      </w:r>
    </w:p>
    <w:p>
      <w:pPr>
        <w:pStyle w:val="BodyText"/>
        <w:spacing w:line="213" w:lineRule="auto" w:before="58"/>
        <w:ind w:left="2232" w:right="493"/>
      </w:pPr>
      <w:r>
        <w:rPr>
          <w:color w:val="231F20"/>
        </w:rPr>
        <w:t>You can install and configure managed systems where OS monitoring agents are installed and running.</w:t>
      </w:r>
    </w:p>
    <w:p>
      <w:pPr>
        <w:pStyle w:val="Heading4"/>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232" w:right="545"/>
      </w:pPr>
      <w:r>
        <w:rPr>
          <w:color w:val="231F20"/>
        </w:rPr>
        <w:t>To use this feature, your user ID must have Manage permission for </w:t>
      </w:r>
      <w:r>
        <w:rPr>
          <w:color w:val="231F20"/>
        </w:rPr>
        <w:t>Agent </w:t>
      </w:r>
      <w:r>
        <w:rPr>
          <w:color w:val="231F20"/>
          <w:spacing w:val="-2"/>
        </w:rPr>
        <w:t>Management.</w:t>
      </w:r>
    </w:p>
    <w:p>
      <w:pPr>
        <w:spacing w:after="0" w:line="213" w:lineRule="auto"/>
        <w:sectPr>
          <w:pgSz w:w="12240" w:h="15840"/>
          <w:pgMar w:header="0" w:footer="736" w:top="1140" w:bottom="920" w:left="1000" w:right="1060"/>
        </w:sectPr>
      </w:pPr>
    </w:p>
    <w:p>
      <w:pPr>
        <w:pStyle w:val="Heading4"/>
        <w:spacing w:before="86"/>
        <w:ind w:left="2472"/>
      </w:pPr>
      <w:bookmarkStart w:name="_bookmark312" w:id="646"/>
      <w:bookmarkEnd w:id="646"/>
      <w:r>
        <w:rPr>
          <w:b w:val="0"/>
        </w:rPr>
      </w:r>
      <w:r>
        <w:rPr>
          <w:color w:val="231F20"/>
          <w:spacing w:val="-2"/>
        </w:rPr>
        <w:t>Procedure</w:t>
      </w:r>
    </w:p>
    <w:p>
      <w:pPr>
        <w:pStyle w:val="ListParagraph"/>
        <w:numPr>
          <w:ilvl w:val="1"/>
          <w:numId w:val="185"/>
        </w:numPr>
        <w:tabs>
          <w:tab w:pos="2788" w:val="left" w:leader="none"/>
        </w:tabs>
        <w:spacing w:line="213" w:lineRule="auto" w:before="62" w:after="0"/>
        <w:ind w:left="2788" w:right="311" w:hanging="316"/>
        <w:jc w:val="left"/>
        <w:rPr>
          <w:sz w:val="20"/>
        </w:rPr>
      </w:pPr>
      <w:r>
        <w:rPr>
          <w:color w:val="231F20"/>
          <w:sz w:val="20"/>
        </w:rPr>
        <w:t>In the Navigator physical view, right-click the </w:t>
      </w:r>
      <w:r>
        <w:rPr>
          <w:color w:val="231F20"/>
          <w:spacing w:val="15"/>
          <w:position w:val="-1"/>
          <w:sz w:val="20"/>
        </w:rPr>
        <w:drawing>
          <wp:inline distT="0" distB="0" distL="0" distR="0">
            <wp:extent cx="101600" cy="95250"/>
            <wp:effectExtent l="0" t="0" r="0" b="0"/>
            <wp:docPr id="3149" name="Image 3149"/>
            <wp:cNvGraphicFramePr>
              <a:graphicFrameLocks/>
            </wp:cNvGraphicFramePr>
            <a:graphic>
              <a:graphicData uri="http://schemas.openxmlformats.org/drawingml/2006/picture">
                <pic:pic>
                  <pic:nvPicPr>
                    <pic:cNvPr id="3149" name="Image 3149"/>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color w:val="231F20"/>
          <w:sz w:val="20"/>
        </w:rPr>
        <w:t>system-level Navigator item for the computer where you want to install the monitoring agent. In this example, the computers named ORANGE, PEAR, CABBAGE, and ONION </w:t>
      </w:r>
      <w:r>
        <w:rPr>
          <w:color w:val="231F20"/>
          <w:sz w:val="20"/>
        </w:rPr>
        <w:t>are </w:t>
      </w:r>
      <w:r>
        <w:rPr>
          <w:color w:val="231F20"/>
          <w:spacing w:val="-2"/>
          <w:sz w:val="20"/>
        </w:rPr>
        <w:t>available.</w:t>
      </w:r>
    </w:p>
    <w:p>
      <w:pPr>
        <w:pStyle w:val="BodyText"/>
        <w:spacing w:before="34"/>
        <w:ind w:left="3087"/>
      </w:pPr>
      <w:r>
        <w:rPr>
          <w:position w:val="-1"/>
        </w:rPr>
        <w:drawing>
          <wp:inline distT="0" distB="0" distL="0" distR="0">
            <wp:extent cx="95250" cy="101600"/>
            <wp:effectExtent l="0" t="0" r="0" b="0"/>
            <wp:docPr id="3150" name="Image 3150"/>
            <wp:cNvGraphicFramePr>
              <a:graphicFrameLocks/>
            </wp:cNvGraphicFramePr>
            <a:graphic>
              <a:graphicData uri="http://schemas.openxmlformats.org/drawingml/2006/picture">
                <pic:pic>
                  <pic:nvPicPr>
                    <pic:cNvPr id="3150" name="Image 3150"/>
                    <pic:cNvPicPr/>
                  </pic:nvPicPr>
                  <pic:blipFill>
                    <a:blip r:embed="rId70" cstate="print"/>
                    <a:stretch>
                      <a:fillRect/>
                    </a:stretch>
                  </pic:blipFill>
                  <pic:spPr>
                    <a:xfrm>
                      <a:off x="0" y="0"/>
                      <a:ext cx="95250" cy="101600"/>
                    </a:xfrm>
                    <a:prstGeom prst="rect">
                      <a:avLst/>
                    </a:prstGeom>
                  </pic:spPr>
                </pic:pic>
              </a:graphicData>
            </a:graphic>
          </wp:inline>
        </w:drawing>
      </w:r>
      <w:r>
        <w:rPr>
          <w:position w:val="-1"/>
        </w:rPr>
      </w:r>
      <w:r>
        <w:rPr>
          <w:rFonts w:ascii="Times New Roman"/>
          <w:spacing w:val="40"/>
        </w:rPr>
        <w:t> </w:t>
      </w:r>
      <w:r>
        <w:rPr>
          <w:color w:val="231F20"/>
        </w:rPr>
        <w:t>Enterprise</w:t>
      </w:r>
    </w:p>
    <w:p>
      <w:pPr>
        <w:pStyle w:val="BodyText"/>
        <w:spacing w:line="266" w:lineRule="auto" w:before="30"/>
        <w:ind w:left="3752" w:right="4944" w:hanging="200"/>
      </w:pPr>
      <w:r>
        <w:rPr>
          <w:position w:val="-1"/>
        </w:rPr>
        <w:drawing>
          <wp:inline distT="0" distB="0" distL="0" distR="0">
            <wp:extent cx="101600" cy="95250"/>
            <wp:effectExtent l="0" t="0" r="0" b="0"/>
            <wp:docPr id="3151" name="Image 3151"/>
            <wp:cNvGraphicFramePr>
              <a:graphicFrameLocks/>
            </wp:cNvGraphicFramePr>
            <a:graphic>
              <a:graphicData uri="http://schemas.openxmlformats.org/drawingml/2006/picture">
                <pic:pic>
                  <pic:nvPicPr>
                    <pic:cNvPr id="3151" name="Image 3151"/>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Linux </w:t>
      </w:r>
      <w:r>
        <w:rPr>
          <w:color w:val="231F20"/>
        </w:rPr>
        <w:t>Systems </w:t>
      </w:r>
      <w:r>
        <w:rPr>
          <w:color w:val="231F20"/>
          <w:position w:val="-1"/>
        </w:rPr>
        <w:drawing>
          <wp:inline distT="0" distB="0" distL="0" distR="0">
            <wp:extent cx="101600" cy="95250"/>
            <wp:effectExtent l="0" t="0" r="0" b="0"/>
            <wp:docPr id="3152" name="Image 3152"/>
            <wp:cNvGraphicFramePr>
              <a:graphicFrameLocks/>
            </wp:cNvGraphicFramePr>
            <a:graphic>
              <a:graphicData uri="http://schemas.openxmlformats.org/drawingml/2006/picture">
                <pic:pic>
                  <pic:nvPicPr>
                    <pic:cNvPr id="3152" name="Image 3152"/>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ORANGE</w:t>
      </w:r>
    </w:p>
    <w:p>
      <w:pPr>
        <w:pStyle w:val="BodyText"/>
        <w:spacing w:line="269" w:lineRule="exact"/>
        <w:ind w:left="3752"/>
      </w:pPr>
      <w:r>
        <w:rPr>
          <w:position w:val="-1"/>
        </w:rPr>
        <w:drawing>
          <wp:inline distT="0" distB="0" distL="0" distR="0">
            <wp:extent cx="101600" cy="95250"/>
            <wp:effectExtent l="0" t="0" r="0" b="0"/>
            <wp:docPr id="3153" name="Image 3153"/>
            <wp:cNvGraphicFramePr>
              <a:graphicFrameLocks/>
            </wp:cNvGraphicFramePr>
            <a:graphic>
              <a:graphicData uri="http://schemas.openxmlformats.org/drawingml/2006/picture">
                <pic:pic>
                  <pic:nvPicPr>
                    <pic:cNvPr id="3153" name="Image 3153"/>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PEAR</w:t>
      </w:r>
    </w:p>
    <w:p>
      <w:pPr>
        <w:pStyle w:val="BodyText"/>
        <w:spacing w:line="266" w:lineRule="auto" w:before="29"/>
        <w:ind w:left="3752" w:right="4693" w:hanging="200"/>
      </w:pPr>
      <w:r>
        <w:rPr>
          <w:position w:val="-1"/>
        </w:rPr>
        <w:drawing>
          <wp:inline distT="0" distB="0" distL="0" distR="0">
            <wp:extent cx="101600" cy="95250"/>
            <wp:effectExtent l="0" t="0" r="0" b="0"/>
            <wp:docPr id="3154" name="Image 3154"/>
            <wp:cNvGraphicFramePr>
              <a:graphicFrameLocks/>
            </wp:cNvGraphicFramePr>
            <a:graphic>
              <a:graphicData uri="http://schemas.openxmlformats.org/drawingml/2006/picture">
                <pic:pic>
                  <pic:nvPicPr>
                    <pic:cNvPr id="3154" name="Image 3154"/>
                    <pic:cNvPicPr/>
                  </pic:nvPicPr>
                  <pic:blipFill>
                    <a:blip r:embed="rId82"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33"/>
        </w:rPr>
        <w:t> </w:t>
      </w:r>
      <w:r>
        <w:rPr>
          <w:color w:val="231F20"/>
        </w:rPr>
        <w:t>Windows</w:t>
      </w:r>
      <w:r>
        <w:rPr>
          <w:color w:val="231F20"/>
          <w:spacing w:val="-2"/>
        </w:rPr>
        <w:t> </w:t>
      </w:r>
      <w:r>
        <w:rPr>
          <w:color w:val="231F20"/>
        </w:rPr>
        <w:t>Systems </w:t>
      </w:r>
      <w:r>
        <w:rPr>
          <w:color w:val="231F20"/>
          <w:position w:val="-1"/>
        </w:rPr>
        <w:drawing>
          <wp:inline distT="0" distB="0" distL="0" distR="0">
            <wp:extent cx="101600" cy="95250"/>
            <wp:effectExtent l="0" t="0" r="0" b="0"/>
            <wp:docPr id="3155" name="Image 3155"/>
            <wp:cNvGraphicFramePr>
              <a:graphicFrameLocks/>
            </wp:cNvGraphicFramePr>
            <a:graphic>
              <a:graphicData uri="http://schemas.openxmlformats.org/drawingml/2006/picture">
                <pic:pic>
                  <pic:nvPicPr>
                    <pic:cNvPr id="3155" name="Image 3155"/>
                    <pic:cNvPicPr/>
                  </pic:nvPicPr>
                  <pic:blipFill>
                    <a:blip r:embed="rId90" cstate="print"/>
                    <a:stretch>
                      <a:fillRect/>
                    </a:stretch>
                  </pic:blipFill>
                  <pic:spPr>
                    <a:xfrm>
                      <a:off x="0" y="0"/>
                      <a:ext cx="101600" cy="95250"/>
                    </a:xfrm>
                    <a:prstGeom prst="rect">
                      <a:avLst/>
                    </a:prstGeom>
                  </pic:spPr>
                </pic:pic>
              </a:graphicData>
            </a:graphic>
          </wp:inline>
        </w:drawing>
      </w:r>
      <w:r>
        <w:rPr>
          <w:color w:val="231F20"/>
          <w:position w:val="-1"/>
        </w:rPr>
      </w:r>
      <w:r>
        <w:rPr>
          <w:rFonts w:ascii="Times New Roman"/>
          <w:color w:val="231F20"/>
          <w:spacing w:val="40"/>
        </w:rPr>
        <w:t> </w:t>
      </w:r>
      <w:r>
        <w:rPr>
          <w:color w:val="231F20"/>
        </w:rPr>
        <w:t>CABBAGE</w:t>
      </w:r>
    </w:p>
    <w:p>
      <w:pPr>
        <w:pStyle w:val="BodyText"/>
        <w:spacing w:line="269" w:lineRule="exact"/>
        <w:ind w:left="3752"/>
      </w:pPr>
      <w:r>
        <w:rPr>
          <w:position w:val="-1"/>
        </w:rPr>
        <w:drawing>
          <wp:inline distT="0" distB="0" distL="0" distR="0">
            <wp:extent cx="101600" cy="95250"/>
            <wp:effectExtent l="0" t="0" r="0" b="0"/>
            <wp:docPr id="3156" name="Image 3156"/>
            <wp:cNvGraphicFramePr>
              <a:graphicFrameLocks/>
            </wp:cNvGraphicFramePr>
            <a:graphic>
              <a:graphicData uri="http://schemas.openxmlformats.org/drawingml/2006/picture">
                <pic:pic>
                  <pic:nvPicPr>
                    <pic:cNvPr id="3156" name="Image 3156"/>
                    <pic:cNvPicPr/>
                  </pic:nvPicPr>
                  <pic:blipFill>
                    <a:blip r:embed="rId90" cstate="print"/>
                    <a:stretch>
                      <a:fillRect/>
                    </a:stretch>
                  </pic:blipFill>
                  <pic:spPr>
                    <a:xfrm>
                      <a:off x="0" y="0"/>
                      <a:ext cx="101600" cy="95250"/>
                    </a:xfrm>
                    <a:prstGeom prst="rect">
                      <a:avLst/>
                    </a:prstGeom>
                  </pic:spPr>
                </pic:pic>
              </a:graphicData>
            </a:graphic>
          </wp:inline>
        </w:drawing>
      </w:r>
      <w:r>
        <w:rPr>
          <w:position w:val="-1"/>
        </w:rPr>
      </w:r>
      <w:r>
        <w:rPr>
          <w:rFonts w:ascii="Times New Roman"/>
          <w:spacing w:val="40"/>
        </w:rPr>
        <w:t> </w:t>
      </w:r>
      <w:r>
        <w:rPr>
          <w:color w:val="231F20"/>
        </w:rPr>
        <w:t>ONION</w:t>
      </w:r>
    </w:p>
    <w:p>
      <w:pPr>
        <w:pStyle w:val="ListParagraph"/>
        <w:numPr>
          <w:ilvl w:val="1"/>
          <w:numId w:val="185"/>
        </w:numPr>
        <w:tabs>
          <w:tab w:pos="2788" w:val="left" w:leader="none"/>
        </w:tabs>
        <w:spacing w:line="213" w:lineRule="auto" w:before="53" w:after="0"/>
        <w:ind w:left="2788" w:right="260" w:hanging="316"/>
        <w:jc w:val="left"/>
        <w:rPr>
          <w:sz w:val="20"/>
        </w:rPr>
      </w:pPr>
      <w:r>
        <w:rPr>
          <w:color w:val="231F20"/>
          <w:sz w:val="20"/>
        </w:rPr>
        <w:t>Click</w:t>
      </w:r>
      <w:r>
        <w:rPr>
          <w:color w:val="231F20"/>
          <w:spacing w:val="17"/>
          <w:sz w:val="20"/>
        </w:rPr>
        <w:t> </w:t>
      </w:r>
      <w:r>
        <w:rPr>
          <w:color w:val="231F20"/>
          <w:spacing w:val="-24"/>
          <w:position w:val="-1"/>
          <w:sz w:val="20"/>
        </w:rPr>
        <w:drawing>
          <wp:inline distT="0" distB="0" distL="0" distR="0">
            <wp:extent cx="95250" cy="95250"/>
            <wp:effectExtent l="0" t="0" r="0" b="0"/>
            <wp:docPr id="3157" name="Image 3157"/>
            <wp:cNvGraphicFramePr>
              <a:graphicFrameLocks/>
            </wp:cNvGraphicFramePr>
            <a:graphic>
              <a:graphicData uri="http://schemas.openxmlformats.org/drawingml/2006/picture">
                <pic:pic>
                  <pic:nvPicPr>
                    <pic:cNvPr id="3157" name="Image 3157"/>
                    <pic:cNvPicPr/>
                  </pic:nvPicPr>
                  <pic:blipFill>
                    <a:blip r:embed="rId471"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4"/>
          <w:sz w:val="20"/>
        </w:rPr>
        <w:t> </w:t>
      </w:r>
      <w:r>
        <w:rPr>
          <w:rFonts w:ascii="Book Antiqua"/>
          <w:b/>
          <w:color w:val="231F20"/>
          <w:sz w:val="20"/>
        </w:rPr>
        <w:t>Add Managed System </w:t>
      </w:r>
      <w:r>
        <w:rPr>
          <w:color w:val="231F20"/>
          <w:sz w:val="20"/>
        </w:rPr>
        <w:t>to open the Select a Monitoring Agent </w:t>
      </w:r>
      <w:r>
        <w:rPr>
          <w:color w:val="231F20"/>
          <w:sz w:val="20"/>
        </w:rPr>
        <w:t>window. The agents shown in this list are those available for the operating system on which this computer runs. The two-digit version number is followed by a</w:t>
      </w:r>
    </w:p>
    <w:p>
      <w:pPr>
        <w:pStyle w:val="BodyText"/>
        <w:spacing w:line="245" w:lineRule="exact"/>
        <w:ind w:left="2788"/>
      </w:pPr>
      <w:r>
        <w:rPr>
          <w:color w:val="231F20"/>
        </w:rPr>
        <w:t>two-digit</w:t>
      </w:r>
      <w:r>
        <w:rPr>
          <w:color w:val="231F20"/>
          <w:spacing w:val="10"/>
        </w:rPr>
        <w:t> </w:t>
      </w:r>
      <w:r>
        <w:rPr>
          <w:color w:val="231F20"/>
        </w:rPr>
        <w:t>release</w:t>
      </w:r>
      <w:r>
        <w:rPr>
          <w:color w:val="231F20"/>
          <w:spacing w:val="11"/>
        </w:rPr>
        <w:t> </w:t>
      </w:r>
      <w:r>
        <w:rPr>
          <w:color w:val="231F20"/>
        </w:rPr>
        <w:t>number</w:t>
      </w:r>
      <w:r>
        <w:rPr>
          <w:color w:val="231F20"/>
          <w:spacing w:val="11"/>
        </w:rPr>
        <w:t> </w:t>
      </w:r>
      <w:r>
        <w:rPr>
          <w:color w:val="231F20"/>
        </w:rPr>
        <w:t>and</w:t>
      </w:r>
      <w:r>
        <w:rPr>
          <w:color w:val="231F20"/>
          <w:spacing w:val="11"/>
        </w:rPr>
        <w:t> </w:t>
      </w:r>
      <w:r>
        <w:rPr>
          <w:color w:val="231F20"/>
        </w:rPr>
        <w:t>a</w:t>
      </w:r>
      <w:r>
        <w:rPr>
          <w:color w:val="231F20"/>
          <w:spacing w:val="11"/>
        </w:rPr>
        <w:t> </w:t>
      </w:r>
      <w:r>
        <w:rPr>
          <w:color w:val="231F20"/>
        </w:rPr>
        <w:t>modification</w:t>
      </w:r>
      <w:r>
        <w:rPr>
          <w:color w:val="231F20"/>
          <w:spacing w:val="10"/>
        </w:rPr>
        <w:t> </w:t>
      </w:r>
      <w:r>
        <w:rPr>
          <w:color w:val="231F20"/>
        </w:rPr>
        <w:t>number</w:t>
      </w:r>
      <w:r>
        <w:rPr>
          <w:color w:val="231F20"/>
          <w:spacing w:val="11"/>
        </w:rPr>
        <w:t> </w:t>
      </w:r>
      <w:r>
        <w:rPr>
          <w:color w:val="231F20"/>
        </w:rPr>
        <w:t>of</w:t>
      </w:r>
      <w:r>
        <w:rPr>
          <w:color w:val="231F20"/>
          <w:spacing w:val="11"/>
        </w:rPr>
        <w:t> </w:t>
      </w:r>
      <w:r>
        <w:rPr>
          <w:color w:val="231F20"/>
        </w:rPr>
        <w:t>up</w:t>
      </w:r>
      <w:r>
        <w:rPr>
          <w:color w:val="231F20"/>
          <w:spacing w:val="11"/>
        </w:rPr>
        <w:t> </w:t>
      </w:r>
      <w:r>
        <w:rPr>
          <w:color w:val="231F20"/>
        </w:rPr>
        <w:t>to</w:t>
      </w:r>
      <w:r>
        <w:rPr>
          <w:color w:val="231F20"/>
          <w:spacing w:val="10"/>
        </w:rPr>
        <w:t> </w:t>
      </w:r>
      <w:r>
        <w:rPr>
          <w:color w:val="231F20"/>
        </w:rPr>
        <w:t>five</w:t>
      </w:r>
      <w:r>
        <w:rPr>
          <w:color w:val="231F20"/>
          <w:spacing w:val="11"/>
        </w:rPr>
        <w:t> </w:t>
      </w:r>
      <w:r>
        <w:rPr>
          <w:color w:val="231F20"/>
          <w:spacing w:val="-2"/>
        </w:rPr>
        <w:t>digits.</w:t>
      </w:r>
    </w:p>
    <w:p>
      <w:pPr>
        <w:pStyle w:val="ListParagraph"/>
        <w:numPr>
          <w:ilvl w:val="1"/>
          <w:numId w:val="185"/>
        </w:numPr>
        <w:tabs>
          <w:tab w:pos="2788" w:val="left" w:leader="none"/>
        </w:tabs>
        <w:spacing w:line="213" w:lineRule="auto" w:before="52" w:after="0"/>
        <w:ind w:left="2788" w:right="297" w:hanging="316"/>
        <w:jc w:val="left"/>
        <w:rPr>
          <w:sz w:val="20"/>
        </w:rPr>
      </w:pPr>
      <w:r>
        <w:rPr>
          <w:color w:val="231F20"/>
          <w:sz w:val="20"/>
        </w:rPr>
        <w:t>Highlight the type of the monitoring agent to install and click </w:t>
      </w:r>
      <w:r>
        <w:rPr>
          <w:rFonts w:ascii="Book Antiqua"/>
          <w:b/>
          <w:color w:val="231F20"/>
          <w:sz w:val="20"/>
        </w:rPr>
        <w:t>OK</w:t>
      </w:r>
      <w:r>
        <w:rPr>
          <w:color w:val="231F20"/>
          <w:sz w:val="20"/>
        </w:rPr>
        <w:t>. For some agent types, the new managed system operation is queued and the </w:t>
      </w:r>
      <w:r>
        <w:rPr>
          <w:color w:val="231F20"/>
          <w:sz w:val="20"/>
        </w:rPr>
        <w:t>transaction ID is displayed. For other agent types, a wizard is provided for you to</w:t>
      </w:r>
      <w:r>
        <w:rPr>
          <w:color w:val="231F20"/>
          <w:spacing w:val="80"/>
          <w:sz w:val="20"/>
        </w:rPr>
        <w:t> </w:t>
      </w:r>
      <w:r>
        <w:rPr>
          <w:color w:val="231F20"/>
          <w:sz w:val="20"/>
        </w:rPr>
        <w:t>configure the agent on this system.</w:t>
      </w:r>
    </w:p>
    <w:p>
      <w:pPr>
        <w:pStyle w:val="ListParagraph"/>
        <w:numPr>
          <w:ilvl w:val="1"/>
          <w:numId w:val="185"/>
        </w:numPr>
        <w:tabs>
          <w:tab w:pos="2788" w:val="left" w:leader="none"/>
        </w:tabs>
        <w:spacing w:line="213" w:lineRule="auto" w:before="58" w:after="0"/>
        <w:ind w:left="2788" w:right="570" w:hanging="316"/>
        <w:jc w:val="left"/>
        <w:rPr>
          <w:sz w:val="20"/>
        </w:rPr>
      </w:pPr>
      <w:r>
        <w:rPr>
          <w:color w:val="231F20"/>
          <w:sz w:val="20"/>
        </w:rPr>
        <w:t>Complete the fields to configure the agent, clicking </w:t>
      </w:r>
      <w:r>
        <w:rPr>
          <w:rFonts w:ascii="Book Antiqua"/>
          <w:b/>
          <w:color w:val="231F20"/>
          <w:sz w:val="20"/>
        </w:rPr>
        <w:t>Next </w:t>
      </w:r>
      <w:r>
        <w:rPr>
          <w:color w:val="231F20"/>
          <w:sz w:val="20"/>
        </w:rPr>
        <w:t>and </w:t>
      </w:r>
      <w:r>
        <w:rPr>
          <w:rFonts w:ascii="Book Antiqua"/>
          <w:b/>
          <w:color w:val="231F20"/>
          <w:sz w:val="20"/>
        </w:rPr>
        <w:t>Back </w:t>
      </w:r>
      <w:r>
        <w:rPr>
          <w:color w:val="231F20"/>
          <w:sz w:val="20"/>
        </w:rPr>
        <w:t>to </w:t>
      </w:r>
      <w:r>
        <w:rPr>
          <w:color w:val="231F20"/>
          <w:sz w:val="20"/>
        </w:rPr>
        <w:t>move among the pages.</w:t>
      </w:r>
    </w:p>
    <w:p>
      <w:pPr>
        <w:pStyle w:val="ListParagraph"/>
        <w:numPr>
          <w:ilvl w:val="1"/>
          <w:numId w:val="185"/>
        </w:numPr>
        <w:tabs>
          <w:tab w:pos="2788" w:val="left" w:leader="none"/>
        </w:tabs>
        <w:spacing w:line="213" w:lineRule="auto" w:before="58" w:after="0"/>
        <w:ind w:left="2788" w:right="276" w:hanging="316"/>
        <w:jc w:val="left"/>
        <w:rPr>
          <w:sz w:val="20"/>
        </w:rPr>
      </w:pPr>
      <w:r>
        <w:rPr>
          <w:color w:val="231F20"/>
          <w:sz w:val="20"/>
        </w:rPr>
        <w:t>On the </w:t>
      </w:r>
      <w:r>
        <w:rPr>
          <w:rFonts w:ascii="Book Antiqua"/>
          <w:b/>
          <w:color w:val="231F20"/>
          <w:sz w:val="20"/>
        </w:rPr>
        <w:t>Agent </w:t>
      </w:r>
      <w:r>
        <w:rPr>
          <w:color w:val="231F20"/>
          <w:sz w:val="20"/>
        </w:rPr>
        <w:t>page, establish the operating system user ID under which the agent will run on the managed system. </w:t>
      </w:r>
      <w:r>
        <w:rPr>
          <w:rFonts w:ascii="Book Antiqua"/>
          <w:i/>
          <w:color w:val="231F20"/>
          <w:sz w:val="20"/>
        </w:rPr>
        <w:t>Windows</w:t>
      </w:r>
      <w:r>
        <w:rPr>
          <w:color w:val="231F20"/>
          <w:sz w:val="20"/>
        </w:rPr>
        <w:t>: Either accept the default to start the managed system with your user ID (you can also select the check </w:t>
      </w:r>
      <w:r>
        <w:rPr>
          <w:color w:val="231F20"/>
          <w:sz w:val="20"/>
        </w:rPr>
        <w:t>box</w:t>
      </w:r>
      <w:r>
        <w:rPr>
          <w:color w:val="231F20"/>
          <w:spacing w:val="40"/>
          <w:sz w:val="20"/>
        </w:rPr>
        <w:t> </w:t>
      </w:r>
      <w:r>
        <w:rPr>
          <w:color w:val="231F20"/>
          <w:sz w:val="20"/>
        </w:rPr>
        <w:t>to </w:t>
      </w:r>
      <w:r>
        <w:rPr>
          <w:rFonts w:ascii="Book Antiqua"/>
          <w:b/>
          <w:color w:val="231F20"/>
          <w:sz w:val="20"/>
        </w:rPr>
        <w:t>Allow service to interact with desktop </w:t>
      </w:r>
      <w:r>
        <w:rPr>
          <w:color w:val="231F20"/>
          <w:sz w:val="20"/>
        </w:rPr>
        <w:t>to enable remote control) or select</w:t>
      </w:r>
      <w:r>
        <w:rPr>
          <w:color w:val="231F20"/>
          <w:spacing w:val="40"/>
          <w:sz w:val="20"/>
        </w:rPr>
        <w:t> </w:t>
      </w:r>
      <w:r>
        <w:rPr>
          <w:rFonts w:ascii="Book Antiqua"/>
          <w:b/>
          <w:color w:val="231F20"/>
          <w:sz w:val="20"/>
        </w:rPr>
        <w:t>Use</w:t>
      </w:r>
      <w:r>
        <w:rPr>
          <w:rFonts w:ascii="Book Antiqua"/>
          <w:b/>
          <w:color w:val="231F20"/>
          <w:spacing w:val="27"/>
          <w:sz w:val="20"/>
        </w:rPr>
        <w:t> </w:t>
      </w:r>
      <w:r>
        <w:rPr>
          <w:rFonts w:ascii="Book Antiqua"/>
          <w:b/>
          <w:color w:val="231F20"/>
          <w:sz w:val="20"/>
        </w:rPr>
        <w:t>this</w:t>
      </w:r>
      <w:r>
        <w:rPr>
          <w:rFonts w:ascii="Book Antiqua"/>
          <w:b/>
          <w:color w:val="231F20"/>
          <w:spacing w:val="27"/>
          <w:sz w:val="20"/>
        </w:rPr>
        <w:t> </w:t>
      </w:r>
      <w:r>
        <w:rPr>
          <w:rFonts w:ascii="Book Antiqua"/>
          <w:b/>
          <w:color w:val="231F20"/>
          <w:sz w:val="20"/>
        </w:rPr>
        <w:t>account</w:t>
      </w:r>
      <w:r>
        <w:rPr>
          <w:rFonts w:ascii="Book Antiqua"/>
          <w:b/>
          <w:color w:val="231F20"/>
          <w:spacing w:val="27"/>
          <w:sz w:val="20"/>
        </w:rPr>
        <w:t> </w:t>
      </w:r>
      <w:r>
        <w:rPr>
          <w:color w:val="231F20"/>
          <w:sz w:val="20"/>
        </w:rPr>
        <w:t>and</w:t>
      </w:r>
      <w:r>
        <w:rPr>
          <w:color w:val="231F20"/>
          <w:spacing w:val="27"/>
          <w:sz w:val="20"/>
        </w:rPr>
        <w:t> </w:t>
      </w:r>
      <w:r>
        <w:rPr>
          <w:color w:val="231F20"/>
          <w:sz w:val="20"/>
        </w:rPr>
        <w:t>fill</w:t>
      </w:r>
      <w:r>
        <w:rPr>
          <w:color w:val="231F20"/>
          <w:spacing w:val="27"/>
          <w:sz w:val="20"/>
        </w:rPr>
        <w:t> </w:t>
      </w:r>
      <w:r>
        <w:rPr>
          <w:color w:val="231F20"/>
          <w:sz w:val="20"/>
        </w:rPr>
        <w:t>in</w:t>
      </w:r>
      <w:r>
        <w:rPr>
          <w:color w:val="231F20"/>
          <w:spacing w:val="27"/>
          <w:sz w:val="20"/>
        </w:rPr>
        <w:t> </w:t>
      </w:r>
      <w:r>
        <w:rPr>
          <w:color w:val="231F20"/>
          <w:sz w:val="20"/>
        </w:rPr>
        <w:t>the</w:t>
      </w:r>
      <w:r>
        <w:rPr>
          <w:color w:val="231F20"/>
          <w:spacing w:val="27"/>
          <w:sz w:val="20"/>
        </w:rPr>
        <w:t> </w:t>
      </w:r>
      <w:r>
        <w:rPr>
          <w:color w:val="231F20"/>
          <w:sz w:val="20"/>
        </w:rPr>
        <w:t>user</w:t>
      </w:r>
      <w:r>
        <w:rPr>
          <w:color w:val="231F20"/>
          <w:spacing w:val="27"/>
          <w:sz w:val="20"/>
        </w:rPr>
        <w:t> </w:t>
      </w:r>
      <w:r>
        <w:rPr>
          <w:color w:val="231F20"/>
          <w:sz w:val="20"/>
        </w:rPr>
        <w:t>name</w:t>
      </w:r>
      <w:r>
        <w:rPr>
          <w:color w:val="231F20"/>
          <w:spacing w:val="27"/>
          <w:sz w:val="20"/>
        </w:rPr>
        <w:t> </w:t>
      </w:r>
      <w:r>
        <w:rPr>
          <w:color w:val="231F20"/>
          <w:sz w:val="20"/>
        </w:rPr>
        <w:t>and</w:t>
      </w:r>
      <w:r>
        <w:rPr>
          <w:color w:val="231F20"/>
          <w:spacing w:val="27"/>
          <w:sz w:val="20"/>
        </w:rPr>
        <w:t> </w:t>
      </w:r>
      <w:r>
        <w:rPr>
          <w:color w:val="231F20"/>
          <w:sz w:val="20"/>
        </w:rPr>
        <w:t>password</w:t>
      </w:r>
      <w:r>
        <w:rPr>
          <w:color w:val="231F20"/>
          <w:spacing w:val="27"/>
          <w:sz w:val="20"/>
        </w:rPr>
        <w:t> </w:t>
      </w:r>
      <w:r>
        <w:rPr>
          <w:color w:val="231F20"/>
          <w:sz w:val="20"/>
        </w:rPr>
        <w:t>under</w:t>
      </w:r>
      <w:r>
        <w:rPr>
          <w:color w:val="231F20"/>
          <w:spacing w:val="27"/>
          <w:sz w:val="20"/>
        </w:rPr>
        <w:t> </w:t>
      </w:r>
      <w:r>
        <w:rPr>
          <w:color w:val="231F20"/>
          <w:sz w:val="20"/>
        </w:rPr>
        <w:t>which</w:t>
      </w:r>
      <w:r>
        <w:rPr>
          <w:color w:val="231F20"/>
          <w:spacing w:val="27"/>
          <w:sz w:val="20"/>
        </w:rPr>
        <w:t> </w:t>
      </w:r>
      <w:r>
        <w:rPr>
          <w:color w:val="231F20"/>
          <w:sz w:val="20"/>
        </w:rPr>
        <w:t>the agent will run.</w:t>
      </w:r>
    </w:p>
    <w:p>
      <w:pPr>
        <w:spacing w:line="255" w:lineRule="exact" w:before="33"/>
        <w:ind w:left="2788" w:right="0" w:firstLine="0"/>
        <w:jc w:val="left"/>
        <w:rPr>
          <w:sz w:val="20"/>
        </w:rPr>
      </w:pPr>
      <w:r>
        <w:rPr>
          <w:rFonts w:ascii="Book Antiqua"/>
          <w:i/>
          <w:color w:val="231F20"/>
          <w:sz w:val="20"/>
        </w:rPr>
        <w:t>Non-Windows</w:t>
      </w:r>
      <w:r>
        <w:rPr>
          <w:color w:val="231F20"/>
          <w:sz w:val="20"/>
        </w:rPr>
        <w:t>:</w:t>
      </w:r>
      <w:r>
        <w:rPr>
          <w:color w:val="231F20"/>
          <w:spacing w:val="10"/>
          <w:sz w:val="20"/>
        </w:rPr>
        <w:t> </w:t>
      </w:r>
      <w:r>
        <w:rPr>
          <w:color w:val="231F20"/>
          <w:sz w:val="20"/>
        </w:rPr>
        <w:t>Enter</w:t>
      </w:r>
      <w:r>
        <w:rPr>
          <w:color w:val="231F20"/>
          <w:spacing w:val="10"/>
          <w:sz w:val="20"/>
        </w:rPr>
        <w:t> </w:t>
      </w:r>
      <w:r>
        <w:rPr>
          <w:color w:val="231F20"/>
          <w:sz w:val="20"/>
        </w:rPr>
        <w:t>the</w:t>
      </w:r>
      <w:r>
        <w:rPr>
          <w:color w:val="231F20"/>
          <w:spacing w:val="10"/>
          <w:sz w:val="20"/>
        </w:rPr>
        <w:t> </w:t>
      </w:r>
      <w:r>
        <w:rPr>
          <w:rFonts w:ascii="Book Antiqua"/>
          <w:b/>
          <w:color w:val="231F20"/>
          <w:sz w:val="20"/>
        </w:rPr>
        <w:t>Username</w:t>
      </w:r>
      <w:r>
        <w:rPr>
          <w:rFonts w:ascii="Book Antiqua"/>
          <w:b/>
          <w:color w:val="231F20"/>
          <w:spacing w:val="10"/>
          <w:sz w:val="20"/>
        </w:rPr>
        <w:t> </w:t>
      </w:r>
      <w:r>
        <w:rPr>
          <w:color w:val="231F20"/>
          <w:sz w:val="20"/>
        </w:rPr>
        <w:t>under</w:t>
      </w:r>
      <w:r>
        <w:rPr>
          <w:color w:val="231F20"/>
          <w:spacing w:val="11"/>
          <w:sz w:val="20"/>
        </w:rPr>
        <w:t> </w:t>
      </w:r>
      <w:r>
        <w:rPr>
          <w:color w:val="231F20"/>
          <w:sz w:val="20"/>
        </w:rPr>
        <w:t>which</w:t>
      </w:r>
      <w:r>
        <w:rPr>
          <w:color w:val="231F20"/>
          <w:spacing w:val="10"/>
          <w:sz w:val="20"/>
        </w:rPr>
        <w:t> </w:t>
      </w:r>
      <w:r>
        <w:rPr>
          <w:color w:val="231F20"/>
          <w:sz w:val="20"/>
        </w:rPr>
        <w:t>the</w:t>
      </w:r>
      <w:r>
        <w:rPr>
          <w:color w:val="231F20"/>
          <w:spacing w:val="10"/>
          <w:sz w:val="20"/>
        </w:rPr>
        <w:t> </w:t>
      </w:r>
      <w:r>
        <w:rPr>
          <w:color w:val="231F20"/>
          <w:sz w:val="20"/>
        </w:rPr>
        <w:t>agent</w:t>
      </w:r>
      <w:r>
        <w:rPr>
          <w:color w:val="231F20"/>
          <w:spacing w:val="10"/>
          <w:sz w:val="20"/>
        </w:rPr>
        <w:t> </w:t>
      </w:r>
      <w:r>
        <w:rPr>
          <w:color w:val="231F20"/>
          <w:sz w:val="20"/>
        </w:rPr>
        <w:t>will</w:t>
      </w:r>
      <w:r>
        <w:rPr>
          <w:color w:val="231F20"/>
          <w:spacing w:val="10"/>
          <w:sz w:val="20"/>
        </w:rPr>
        <w:t> </w:t>
      </w:r>
      <w:r>
        <w:rPr>
          <w:color w:val="231F20"/>
          <w:sz w:val="20"/>
        </w:rPr>
        <w:t>run</w:t>
      </w:r>
      <w:r>
        <w:rPr>
          <w:color w:val="231F20"/>
          <w:spacing w:val="11"/>
          <w:sz w:val="20"/>
        </w:rPr>
        <w:t> </w:t>
      </w:r>
      <w:r>
        <w:rPr>
          <w:color w:val="231F20"/>
          <w:sz w:val="20"/>
        </w:rPr>
        <w:t>and</w:t>
      </w:r>
      <w:r>
        <w:rPr>
          <w:color w:val="231F20"/>
          <w:spacing w:val="10"/>
          <w:sz w:val="20"/>
        </w:rPr>
        <w:t> </w:t>
      </w:r>
      <w:r>
        <w:rPr>
          <w:color w:val="231F20"/>
          <w:spacing w:val="-5"/>
          <w:sz w:val="20"/>
        </w:rPr>
        <w:t>the</w:t>
      </w:r>
    </w:p>
    <w:p>
      <w:pPr>
        <w:pStyle w:val="Heading6"/>
        <w:spacing w:line="255" w:lineRule="exact" w:before="0"/>
        <w:ind w:left="2788"/>
        <w:rPr>
          <w:rFonts w:ascii="Palatino Linotype"/>
          <w:b w:val="0"/>
        </w:rPr>
      </w:pPr>
      <w:r>
        <w:rPr>
          <w:color w:val="231F20"/>
        </w:rPr>
        <w:t>Group</w:t>
      </w:r>
      <w:r>
        <w:rPr>
          <w:color w:val="231F20"/>
          <w:spacing w:val="8"/>
        </w:rPr>
        <w:t> </w:t>
      </w:r>
      <w:r>
        <w:rPr>
          <w:color w:val="231F20"/>
          <w:spacing w:val="-4"/>
        </w:rPr>
        <w:t>name</w:t>
      </w:r>
      <w:r>
        <w:rPr>
          <w:rFonts w:ascii="Palatino Linotype"/>
          <w:b w:val="0"/>
          <w:color w:val="231F20"/>
          <w:spacing w:val="-4"/>
        </w:rPr>
        <w:t>.</w:t>
      </w:r>
    </w:p>
    <w:p>
      <w:pPr>
        <w:pStyle w:val="ListParagraph"/>
        <w:numPr>
          <w:ilvl w:val="1"/>
          <w:numId w:val="185"/>
        </w:numPr>
        <w:tabs>
          <w:tab w:pos="2788" w:val="left" w:leader="none"/>
        </w:tabs>
        <w:spacing w:line="213" w:lineRule="auto" w:before="52" w:after="0"/>
        <w:ind w:left="2788" w:right="240" w:hanging="316"/>
        <w:jc w:val="left"/>
        <w:rPr>
          <w:sz w:val="20"/>
        </w:rPr>
      </w:pPr>
      <w:r>
        <w:rPr>
          <w:color w:val="231F20"/>
          <w:sz w:val="20"/>
        </w:rPr>
        <w:t>Click </w:t>
      </w:r>
      <w:r>
        <w:rPr>
          <w:rFonts w:ascii="Book Antiqua"/>
          <w:b/>
          <w:color w:val="231F20"/>
          <w:sz w:val="20"/>
        </w:rPr>
        <w:t>Finish </w:t>
      </w:r>
      <w:r>
        <w:rPr>
          <w:color w:val="231F20"/>
          <w:sz w:val="20"/>
        </w:rPr>
        <w:t>to complete the managed system configuration. If any of the information provided is invalid, you will receive an error message and be returned to the configuration window. Check your entries and edit as appropriate to configure correctly. Installation and setup begins and might </w:t>
      </w:r>
      <w:r>
        <w:rPr>
          <w:color w:val="231F20"/>
          <w:sz w:val="20"/>
        </w:rPr>
        <w:t>take several minutes to complete depending on your Tivoli monitoring</w:t>
      </w:r>
      <w:r>
        <w:rPr>
          <w:color w:val="231F20"/>
          <w:spacing w:val="80"/>
          <w:sz w:val="20"/>
        </w:rPr>
        <w:t> </w:t>
      </w:r>
      <w:r>
        <w:rPr>
          <w:color w:val="231F20"/>
          <w:sz w:val="20"/>
        </w:rPr>
        <w:t>configuration, the location of the managed system, and the type of monitoring </w:t>
      </w:r>
      <w:r>
        <w:rPr>
          <w:color w:val="231F20"/>
          <w:spacing w:val="-2"/>
          <w:sz w:val="20"/>
        </w:rPr>
        <w:t>agent.</w:t>
      </w:r>
    </w:p>
    <w:p>
      <w:pPr>
        <w:pStyle w:val="ListParagraph"/>
        <w:numPr>
          <w:ilvl w:val="1"/>
          <w:numId w:val="185"/>
        </w:numPr>
        <w:tabs>
          <w:tab w:pos="2786" w:val="left" w:leader="none"/>
          <w:tab w:pos="2788" w:val="left" w:leader="none"/>
        </w:tabs>
        <w:spacing w:line="213" w:lineRule="auto" w:before="56" w:after="0"/>
        <w:ind w:left="2788" w:right="262" w:hanging="317"/>
        <w:jc w:val="left"/>
        <w:rPr>
          <w:sz w:val="20"/>
        </w:rPr>
      </w:pPr>
      <w:r>
        <w:rPr>
          <w:color w:val="231F20"/>
          <w:sz w:val="20"/>
        </w:rPr>
        <w:t>After the managed system has been added to the enterprise, click </w:t>
      </w:r>
      <w:r>
        <w:rPr>
          <w:color w:val="231F20"/>
          <w:spacing w:val="-25"/>
          <w:position w:val="-1"/>
          <w:sz w:val="20"/>
        </w:rPr>
        <w:drawing>
          <wp:inline distT="0" distB="0" distL="0" distR="0">
            <wp:extent cx="95250" cy="101600"/>
            <wp:effectExtent l="0" t="0" r="0" b="0"/>
            <wp:docPr id="3158" name="Image 3158"/>
            <wp:cNvGraphicFramePr>
              <a:graphicFrameLocks/>
            </wp:cNvGraphicFramePr>
            <a:graphic>
              <a:graphicData uri="http://schemas.openxmlformats.org/drawingml/2006/picture">
                <pic:pic>
                  <pic:nvPicPr>
                    <pic:cNvPr id="3158" name="Image 3158"/>
                    <pic:cNvPicPr/>
                  </pic:nvPicPr>
                  <pic:blipFill>
                    <a:blip r:embed="rId39" cstate="print"/>
                    <a:stretch>
                      <a:fillRect/>
                    </a:stretch>
                  </pic:blipFill>
                  <pic:spPr>
                    <a:xfrm>
                      <a:off x="0" y="0"/>
                      <a:ext cx="95250" cy="101600"/>
                    </a:xfrm>
                    <a:prstGeom prst="rect">
                      <a:avLst/>
                    </a:prstGeom>
                  </pic:spPr>
                </pic:pic>
              </a:graphicData>
            </a:graphic>
          </wp:inline>
        </w:drawing>
      </w:r>
      <w:r>
        <w:rPr>
          <w:color w:val="231F20"/>
          <w:spacing w:val="-25"/>
          <w:position w:val="-1"/>
          <w:sz w:val="20"/>
        </w:rPr>
      </w:r>
      <w:r>
        <w:rPr>
          <w:rFonts w:ascii="Times New Roman"/>
          <w:color w:val="231F20"/>
          <w:spacing w:val="80"/>
          <w:sz w:val="20"/>
        </w:rPr>
        <w:t> </w:t>
      </w:r>
      <w:r>
        <w:rPr>
          <w:rFonts w:ascii="Book Antiqua"/>
          <w:b/>
          <w:color w:val="231F20"/>
          <w:sz w:val="20"/>
        </w:rPr>
        <w:t>Apply Pending Updates </w:t>
      </w:r>
      <w:r>
        <w:rPr>
          <w:color w:val="231F20"/>
          <w:sz w:val="20"/>
        </w:rPr>
        <w:t>in the Navigator view toolbar. The new managed system </w:t>
      </w:r>
      <w:bookmarkStart w:name="Configuring a managed system" w:id="647"/>
      <w:bookmarkEnd w:id="647"/>
      <w:r>
        <w:rPr>
          <w:color w:val="231F20"/>
          <w:sz w:val="20"/>
        </w:rPr>
        <w:t>(such</w:t>
      </w:r>
      <w:r>
        <w:rPr>
          <w:color w:val="231F20"/>
          <w:sz w:val="20"/>
        </w:rPr>
        <w:t> as</w:t>
      </w:r>
      <w:r>
        <w:rPr>
          <w:color w:val="231F20"/>
          <w:spacing w:val="19"/>
          <w:sz w:val="20"/>
        </w:rPr>
        <w:t> </w:t>
      </w:r>
      <w:r>
        <w:rPr>
          <w:color w:val="231F20"/>
          <w:spacing w:val="-24"/>
          <w:position w:val="-1"/>
          <w:sz w:val="20"/>
        </w:rPr>
        <w:drawing>
          <wp:inline distT="0" distB="0" distL="0" distR="0">
            <wp:extent cx="95250" cy="95250"/>
            <wp:effectExtent l="0" t="0" r="0" b="0"/>
            <wp:docPr id="3159" name="Image 3159"/>
            <wp:cNvGraphicFramePr>
              <a:graphicFrameLocks/>
            </wp:cNvGraphicFramePr>
            <a:graphic>
              <a:graphicData uri="http://schemas.openxmlformats.org/drawingml/2006/picture">
                <pic:pic>
                  <pic:nvPicPr>
                    <pic:cNvPr id="3159" name="Image 315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77"/>
          <w:sz w:val="20"/>
        </w:rPr>
        <w:t> </w:t>
      </w:r>
      <w:r>
        <w:rPr>
          <w:color w:val="231F20"/>
          <w:sz w:val="20"/>
        </w:rPr>
        <w:t>Universal Database) is displayed below the system Navigator </w:t>
      </w:r>
      <w:r>
        <w:rPr>
          <w:color w:val="231F20"/>
          <w:sz w:val="20"/>
        </w:rPr>
        <w:t>item.</w:t>
      </w:r>
    </w:p>
    <w:p>
      <w:pPr>
        <w:pStyle w:val="Heading3"/>
        <w:spacing w:before="216"/>
        <w:ind w:left="1574"/>
      </w:pPr>
      <w:r>
        <w:rPr>
          <w:color w:val="231F20"/>
        </w:rPr>
        <w:t>Configuring</w:t>
      </w:r>
      <w:r>
        <w:rPr>
          <w:color w:val="231F20"/>
          <w:spacing w:val="5"/>
        </w:rPr>
        <w:t> </w:t>
      </w:r>
      <w:r>
        <w:rPr>
          <w:color w:val="231F20"/>
        </w:rPr>
        <w:t>a</w:t>
      </w:r>
      <w:r>
        <w:rPr>
          <w:color w:val="231F20"/>
          <w:spacing w:val="5"/>
        </w:rPr>
        <w:t> </w:t>
      </w:r>
      <w:r>
        <w:rPr>
          <w:color w:val="231F20"/>
        </w:rPr>
        <w:t>managed</w:t>
      </w:r>
      <w:r>
        <w:rPr>
          <w:color w:val="231F20"/>
          <w:spacing w:val="5"/>
        </w:rPr>
        <w:t> </w:t>
      </w:r>
      <w:r>
        <w:rPr>
          <w:color w:val="231F20"/>
          <w:spacing w:val="-2"/>
        </w:rPr>
        <w:t>system</w:t>
      </w:r>
    </w:p>
    <w:p>
      <w:pPr>
        <w:pStyle w:val="BodyText"/>
        <w:spacing w:line="213" w:lineRule="auto" w:before="58"/>
        <w:ind w:left="2472"/>
      </w:pPr>
      <w:r>
        <w:rPr>
          <w:color w:val="231F20"/>
        </w:rPr>
        <w:t>After adding a managed system to your enterprise, you can open the Configure Managed System window whenever you want to adjust the configuration </w:t>
      </w:r>
      <w:r>
        <w:rPr>
          <w:color w:val="231F20"/>
        </w:rPr>
        <w:t>settings.</w:t>
      </w:r>
    </w:p>
    <w:p>
      <w:pPr>
        <w:pStyle w:val="Heading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1"/>
        <w:ind w:left="2472" w:right="545"/>
      </w:pPr>
      <w:r>
        <w:rPr>
          <w:color w:val="231F20"/>
        </w:rPr>
        <w:t>To use this feature, your user ID must have Manage permission for </w:t>
      </w:r>
      <w:r>
        <w:rPr>
          <w:color w:val="231F20"/>
        </w:rPr>
        <w:t>Agent </w:t>
      </w:r>
      <w:r>
        <w:rPr>
          <w:color w:val="231F20"/>
          <w:spacing w:val="-2"/>
        </w:rPr>
        <w:t>Management.</w:t>
      </w:r>
    </w:p>
    <w:p>
      <w:pPr>
        <w:spacing w:after="0" w:line="213" w:lineRule="auto"/>
        <w:sectPr>
          <w:pgSz w:w="12240" w:h="15840"/>
          <w:pgMar w:header="0" w:footer="736" w:top="1140" w:bottom="920" w:left="1000" w:right="1060"/>
        </w:sectPr>
      </w:pPr>
    </w:p>
    <w:p>
      <w:pPr>
        <w:pStyle w:val="Heading4"/>
        <w:spacing w:before="86"/>
      </w:pPr>
      <w:bookmarkStart w:name="_bookmark313" w:id="648"/>
      <w:bookmarkEnd w:id="648"/>
      <w:r>
        <w:rPr>
          <w:b w:val="0"/>
        </w:rPr>
      </w:r>
      <w:r>
        <w:rPr>
          <w:color w:val="231F20"/>
          <w:spacing w:val="-2"/>
        </w:rPr>
        <w:t>Procedure</w:t>
      </w:r>
    </w:p>
    <w:p>
      <w:pPr>
        <w:pStyle w:val="ListParagraph"/>
        <w:numPr>
          <w:ilvl w:val="0"/>
          <w:numId w:val="186"/>
        </w:numPr>
        <w:tabs>
          <w:tab w:pos="2547" w:val="left" w:leader="none"/>
        </w:tabs>
        <w:spacing w:line="240" w:lineRule="auto" w:before="39" w:after="0"/>
        <w:ind w:left="2547" w:right="0" w:hanging="315"/>
        <w:jc w:val="left"/>
        <w:rPr>
          <w:sz w:val="20"/>
        </w:rPr>
      </w:pPr>
      <w:r>
        <w:rPr>
          <w:color w:val="231F20"/>
          <w:sz w:val="20"/>
        </w:rPr>
        <w:t>Right-click</w:t>
      </w:r>
      <w:r>
        <w:rPr>
          <w:color w:val="231F20"/>
          <w:spacing w:val="11"/>
          <w:sz w:val="20"/>
        </w:rPr>
        <w:t> </w:t>
      </w:r>
      <w:r>
        <w:rPr>
          <w:color w:val="231F20"/>
          <w:sz w:val="20"/>
        </w:rPr>
        <w:t>the</w:t>
      </w:r>
      <w:r>
        <w:rPr>
          <w:color w:val="231F20"/>
          <w:spacing w:val="21"/>
          <w:sz w:val="20"/>
        </w:rPr>
        <w:t> </w:t>
      </w:r>
      <w:r>
        <w:rPr>
          <w:color w:val="231F20"/>
          <w:spacing w:val="-24"/>
          <w:position w:val="-1"/>
          <w:sz w:val="20"/>
        </w:rPr>
        <w:drawing>
          <wp:inline distT="0" distB="0" distL="0" distR="0">
            <wp:extent cx="95250" cy="95250"/>
            <wp:effectExtent l="0" t="0" r="0" b="0"/>
            <wp:docPr id="3160" name="Image 3160"/>
            <wp:cNvGraphicFramePr>
              <a:graphicFrameLocks/>
            </wp:cNvGraphicFramePr>
            <a:graphic>
              <a:graphicData uri="http://schemas.openxmlformats.org/drawingml/2006/picture">
                <pic:pic>
                  <pic:nvPicPr>
                    <pic:cNvPr id="3160" name="Image 3160"/>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18"/>
          <w:sz w:val="20"/>
        </w:rPr>
        <w:t> </w:t>
      </w:r>
      <w:r>
        <w:rPr>
          <w:color w:val="231F20"/>
          <w:sz w:val="20"/>
        </w:rPr>
        <w:t>Navigator</w:t>
      </w:r>
      <w:r>
        <w:rPr>
          <w:color w:val="231F20"/>
          <w:spacing w:val="11"/>
          <w:sz w:val="20"/>
        </w:rPr>
        <w:t> </w:t>
      </w:r>
      <w:r>
        <w:rPr>
          <w:color w:val="231F20"/>
          <w:sz w:val="20"/>
        </w:rPr>
        <w:t>item</w:t>
      </w:r>
      <w:r>
        <w:rPr>
          <w:color w:val="231F20"/>
          <w:spacing w:val="11"/>
          <w:sz w:val="20"/>
        </w:rPr>
        <w:t> </w:t>
      </w:r>
      <w:r>
        <w:rPr>
          <w:color w:val="231F20"/>
          <w:sz w:val="20"/>
        </w:rPr>
        <w:t>for</w:t>
      </w:r>
      <w:r>
        <w:rPr>
          <w:color w:val="231F20"/>
          <w:spacing w:val="12"/>
          <w:sz w:val="20"/>
        </w:rPr>
        <w:t> </w:t>
      </w:r>
      <w:r>
        <w:rPr>
          <w:color w:val="231F20"/>
          <w:sz w:val="20"/>
        </w:rPr>
        <w:t>the</w:t>
      </w:r>
      <w:r>
        <w:rPr>
          <w:color w:val="231F20"/>
          <w:spacing w:val="11"/>
          <w:sz w:val="20"/>
        </w:rPr>
        <w:t> </w:t>
      </w:r>
      <w:r>
        <w:rPr>
          <w:color w:val="231F20"/>
          <w:sz w:val="20"/>
        </w:rPr>
        <w:t>agent</w:t>
      </w:r>
      <w:r>
        <w:rPr>
          <w:color w:val="231F20"/>
          <w:spacing w:val="12"/>
          <w:sz w:val="20"/>
        </w:rPr>
        <w:t> </w:t>
      </w:r>
      <w:r>
        <w:rPr>
          <w:color w:val="231F20"/>
          <w:sz w:val="20"/>
        </w:rPr>
        <w:t>to</w:t>
      </w:r>
      <w:r>
        <w:rPr>
          <w:color w:val="231F20"/>
          <w:spacing w:val="11"/>
          <w:sz w:val="20"/>
        </w:rPr>
        <w:t> </w:t>
      </w:r>
      <w:r>
        <w:rPr>
          <w:color w:val="231F20"/>
          <w:sz w:val="20"/>
        </w:rPr>
        <w:t>configure</w:t>
      </w:r>
      <w:r>
        <w:rPr>
          <w:color w:val="231F20"/>
          <w:spacing w:val="11"/>
          <w:sz w:val="20"/>
        </w:rPr>
        <w:t> </w:t>
      </w:r>
      <w:r>
        <w:rPr>
          <w:color w:val="231F20"/>
          <w:sz w:val="20"/>
        </w:rPr>
        <w:t>or</w:t>
      </w:r>
      <w:r>
        <w:rPr>
          <w:color w:val="231F20"/>
          <w:spacing w:val="12"/>
          <w:sz w:val="20"/>
        </w:rPr>
        <w:t> </w:t>
      </w:r>
      <w:r>
        <w:rPr>
          <w:color w:val="231F20"/>
          <w:spacing w:val="-2"/>
          <w:sz w:val="20"/>
        </w:rPr>
        <w:t>upgrade.</w:t>
      </w:r>
    </w:p>
    <w:p>
      <w:pPr>
        <w:pStyle w:val="ListParagraph"/>
        <w:numPr>
          <w:ilvl w:val="0"/>
          <w:numId w:val="186"/>
        </w:numPr>
        <w:tabs>
          <w:tab w:pos="2547" w:val="left" w:leader="none"/>
        </w:tabs>
        <w:spacing w:line="240" w:lineRule="auto" w:before="29" w:after="0"/>
        <w:ind w:left="2547" w:right="0" w:hanging="315"/>
        <w:jc w:val="left"/>
        <w:rPr>
          <w:sz w:val="20"/>
        </w:rPr>
      </w:pPr>
      <w:r>
        <w:rPr>
          <w:color w:val="231F20"/>
          <w:sz w:val="20"/>
        </w:rPr>
        <w:t>Click</w:t>
      </w:r>
      <w:r>
        <w:rPr>
          <w:color w:val="231F20"/>
          <w:spacing w:val="7"/>
          <w:sz w:val="20"/>
        </w:rPr>
        <w:t> </w:t>
      </w:r>
      <w:r>
        <w:rPr>
          <w:color w:val="231F20"/>
          <w:spacing w:val="16"/>
          <w:position w:val="-1"/>
          <w:sz w:val="20"/>
        </w:rPr>
        <w:drawing>
          <wp:inline distT="0" distB="0" distL="0" distR="0">
            <wp:extent cx="101600" cy="101600"/>
            <wp:effectExtent l="0" t="0" r="0" b="0"/>
            <wp:docPr id="3161" name="Image 3161"/>
            <wp:cNvGraphicFramePr>
              <a:graphicFrameLocks/>
            </wp:cNvGraphicFramePr>
            <a:graphic>
              <a:graphicData uri="http://schemas.openxmlformats.org/drawingml/2006/picture">
                <pic:pic>
                  <pic:nvPicPr>
                    <pic:cNvPr id="3161" name="Image 3161"/>
                    <pic:cNvPicPr/>
                  </pic:nvPicPr>
                  <pic:blipFill>
                    <a:blip r:embed="rId47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Configure</w:t>
      </w:r>
      <w:r>
        <w:rPr>
          <w:rFonts w:ascii="Book Antiqua"/>
          <w:b/>
          <w:color w:val="231F20"/>
          <w:spacing w:val="10"/>
          <w:sz w:val="20"/>
        </w:rPr>
        <w:t> </w:t>
      </w:r>
      <w:r>
        <w:rPr>
          <w:color w:val="231F20"/>
          <w:sz w:val="20"/>
        </w:rPr>
        <w:t>to</w:t>
      </w:r>
      <w:r>
        <w:rPr>
          <w:color w:val="231F20"/>
          <w:spacing w:val="10"/>
          <w:sz w:val="20"/>
        </w:rPr>
        <w:t> </w:t>
      </w:r>
      <w:r>
        <w:rPr>
          <w:color w:val="231F20"/>
          <w:sz w:val="20"/>
        </w:rPr>
        <w:t>open</w:t>
      </w:r>
      <w:r>
        <w:rPr>
          <w:color w:val="231F20"/>
          <w:spacing w:val="10"/>
          <w:sz w:val="20"/>
        </w:rPr>
        <w:t> </w:t>
      </w:r>
      <w:r>
        <w:rPr>
          <w:color w:val="231F20"/>
          <w:sz w:val="20"/>
        </w:rPr>
        <w:t>the</w:t>
      </w:r>
      <w:r>
        <w:rPr>
          <w:color w:val="231F20"/>
          <w:spacing w:val="10"/>
          <w:sz w:val="20"/>
        </w:rPr>
        <w:t> </w:t>
      </w:r>
      <w:r>
        <w:rPr>
          <w:color w:val="231F20"/>
          <w:sz w:val="20"/>
        </w:rPr>
        <w:t>Configure</w:t>
      </w:r>
      <w:r>
        <w:rPr>
          <w:color w:val="231F20"/>
          <w:spacing w:val="10"/>
          <w:sz w:val="20"/>
        </w:rPr>
        <w:t> </w:t>
      </w:r>
      <w:r>
        <w:rPr>
          <w:color w:val="231F20"/>
          <w:sz w:val="20"/>
        </w:rPr>
        <w:t>Managed</w:t>
      </w:r>
      <w:r>
        <w:rPr>
          <w:color w:val="231F20"/>
          <w:spacing w:val="10"/>
          <w:sz w:val="20"/>
        </w:rPr>
        <w:t> </w:t>
      </w:r>
      <w:r>
        <w:rPr>
          <w:color w:val="231F20"/>
          <w:sz w:val="20"/>
        </w:rPr>
        <w:t>System</w:t>
      </w:r>
      <w:r>
        <w:rPr>
          <w:color w:val="231F20"/>
          <w:spacing w:val="10"/>
          <w:sz w:val="20"/>
        </w:rPr>
        <w:t> </w:t>
      </w:r>
      <w:r>
        <w:rPr>
          <w:color w:val="231F20"/>
          <w:spacing w:val="-2"/>
          <w:sz w:val="20"/>
        </w:rPr>
        <w:t>window.</w:t>
      </w:r>
    </w:p>
    <w:p>
      <w:pPr>
        <w:pStyle w:val="ListParagraph"/>
        <w:numPr>
          <w:ilvl w:val="0"/>
          <w:numId w:val="186"/>
        </w:numPr>
        <w:tabs>
          <w:tab w:pos="2548" w:val="left" w:leader="none"/>
        </w:tabs>
        <w:spacing w:line="213" w:lineRule="auto" w:before="53" w:after="0"/>
        <w:ind w:left="2548" w:right="625" w:hanging="316"/>
        <w:jc w:val="left"/>
        <w:rPr>
          <w:sz w:val="20"/>
        </w:rPr>
      </w:pPr>
      <w:r>
        <w:rPr>
          <w:color w:val="231F20"/>
          <w:sz w:val="20"/>
        </w:rPr>
        <w:t>Edit the fields to configure the agent, clicking </w:t>
      </w:r>
      <w:r>
        <w:rPr>
          <w:rFonts w:ascii="Book Antiqua"/>
          <w:b/>
          <w:color w:val="231F20"/>
          <w:sz w:val="20"/>
        </w:rPr>
        <w:t>Next </w:t>
      </w:r>
      <w:r>
        <w:rPr>
          <w:color w:val="231F20"/>
          <w:sz w:val="20"/>
        </w:rPr>
        <w:t>and </w:t>
      </w:r>
      <w:r>
        <w:rPr>
          <w:rFonts w:ascii="Book Antiqua"/>
          <w:b/>
          <w:color w:val="231F20"/>
          <w:sz w:val="20"/>
        </w:rPr>
        <w:t>Back </w:t>
      </w:r>
      <w:r>
        <w:rPr>
          <w:color w:val="231F20"/>
          <w:sz w:val="20"/>
        </w:rPr>
        <w:t>to move among the pages. Any pages besides </w:t>
      </w:r>
      <w:r>
        <w:rPr>
          <w:rFonts w:ascii="Book Antiqua"/>
          <w:b/>
          <w:color w:val="231F20"/>
          <w:sz w:val="20"/>
        </w:rPr>
        <w:t>Agent </w:t>
      </w:r>
      <w:r>
        <w:rPr>
          <w:color w:val="231F20"/>
          <w:sz w:val="20"/>
        </w:rPr>
        <w:t>are specific to the agent type.</w:t>
      </w:r>
    </w:p>
    <w:p>
      <w:pPr>
        <w:spacing w:line="213" w:lineRule="auto" w:before="59"/>
        <w:ind w:left="2764" w:right="493" w:hanging="216"/>
        <w:jc w:val="left"/>
        <w:rPr>
          <w:sz w:val="20"/>
        </w:rPr>
      </w:pPr>
      <w:r>
        <w:rPr>
          <w:rFonts w:ascii="Futura MdCn BT" w:hAnsi="Futura MdCn BT"/>
          <w:color w:val="231F20"/>
          <w:sz w:val="20"/>
        </w:rPr>
        <w:t>v</w:t>
      </w:r>
      <w:r>
        <w:rPr>
          <w:rFonts w:ascii="Futura MdCn BT" w:hAnsi="Futura MdCn BT"/>
          <w:color w:val="231F20"/>
          <w:spacing w:val="80"/>
          <w:sz w:val="20"/>
        </w:rPr>
        <w:t> </w:t>
      </w:r>
      <w:r>
        <w:rPr>
          <w:color w:val="231F20"/>
          <w:sz w:val="20"/>
        </w:rPr>
        <w:t>Performance Analyzer, Summarization and Pruning Agent, and </w:t>
      </w:r>
      <w:r>
        <w:rPr>
          <w:color w:val="231F20"/>
          <w:sz w:val="20"/>
        </w:rPr>
        <w:t>Warehouse</w:t>
      </w:r>
      <w:r>
        <w:rPr>
          <w:color w:val="231F20"/>
          <w:sz w:val="20"/>
        </w:rPr>
        <w:t> Proxy: See </w:t>
      </w:r>
      <w:hyperlink r:id="rId473">
        <w:r>
          <w:rPr>
            <w:color w:val="231F20"/>
            <w:sz w:val="20"/>
          </w:rPr>
          <w:t>“Tivoli Data Warehouse solutions”</w:t>
        </w:r>
      </w:hyperlink>
      <w:r>
        <w:rPr>
          <w:color w:val="231F20"/>
          <w:sz w:val="20"/>
        </w:rPr>
        <w:t> in the </w:t>
      </w:r>
      <w:r>
        <w:rPr>
          <w:rFonts w:ascii="Book Antiqua" w:hAnsi="Book Antiqua"/>
          <w:i/>
          <w:color w:val="231F20"/>
          <w:sz w:val="20"/>
        </w:rPr>
        <w:t>IBM Tivoli Monitoring</w:t>
      </w:r>
      <w:r>
        <w:rPr>
          <w:rFonts w:ascii="Book Antiqua" w:hAnsi="Book Antiqua"/>
          <w:i/>
          <w:color w:val="231F20"/>
          <w:sz w:val="20"/>
        </w:rPr>
        <w:t> Installation and Setup Guide</w:t>
      </w:r>
      <w:r>
        <w:rPr>
          <w:color w:val="231F20"/>
          <w:sz w:val="20"/>
        </w:rPr>
        <w:t>.</w:t>
      </w:r>
    </w:p>
    <w:p>
      <w:pPr>
        <w:spacing w:line="213" w:lineRule="auto" w:before="57"/>
        <w:ind w:left="2764" w:right="545" w:hanging="216"/>
        <w:jc w:val="left"/>
        <w:rPr>
          <w:sz w:val="20"/>
        </w:rPr>
      </w:pPr>
      <w:r>
        <w:rPr>
          <w:rFonts w:ascii="Futura MdCn BT"/>
          <w:color w:val="231F20"/>
          <w:sz w:val="20"/>
        </w:rPr>
        <w:t>v</w:t>
      </w:r>
      <w:r>
        <w:rPr>
          <w:rFonts w:ascii="Futura MdCn BT"/>
          <w:color w:val="231F20"/>
          <w:spacing w:val="80"/>
          <w:sz w:val="20"/>
        </w:rPr>
        <w:t> </w:t>
      </w:r>
      <w:r>
        <w:rPr>
          <w:color w:val="231F20"/>
          <w:sz w:val="20"/>
        </w:rPr>
        <w:t>Universal Agent: Specify the Metafile and Script files. These are described </w:t>
      </w:r>
      <w:r>
        <w:rPr>
          <w:color w:val="231F20"/>
          <w:sz w:val="20"/>
        </w:rPr>
        <w:t>in</w:t>
      </w:r>
      <w:r>
        <w:rPr>
          <w:color w:val="231F20"/>
          <w:sz w:val="20"/>
        </w:rPr>
        <w:t> the </w:t>
      </w:r>
      <w:r>
        <w:rPr>
          <w:rFonts w:ascii="Book Antiqua"/>
          <w:i/>
          <w:color w:val="231F20"/>
          <w:sz w:val="20"/>
        </w:rPr>
        <w:t>IBM Tivoli Monitoring Universal Agent User's Guide</w:t>
      </w:r>
      <w:r>
        <w:rPr>
          <w:color w:val="231F20"/>
          <w:sz w:val="20"/>
        </w:rPr>
        <w:t>.</w:t>
      </w:r>
    </w:p>
    <w:p>
      <w:pPr>
        <w:pStyle w:val="BodyText"/>
        <w:spacing w:line="213" w:lineRule="auto" w:before="59"/>
        <w:ind w:left="2764" w:right="418" w:hanging="216"/>
      </w:pPr>
      <w:r>
        <w:rPr>
          <w:rFonts w:ascii="Futura MdCn BT"/>
          <w:color w:val="231F20"/>
          <w:w w:val="105"/>
        </w:rPr>
        <w:t>v</w:t>
      </w:r>
      <w:r>
        <w:rPr>
          <w:rFonts w:ascii="Futura MdCn BT"/>
          <w:color w:val="231F20"/>
          <w:spacing w:val="78"/>
          <w:w w:val="105"/>
        </w:rPr>
        <w:t> </w:t>
      </w:r>
      <w:r>
        <w:rPr>
          <w:color w:val="231F20"/>
          <w:w w:val="105"/>
        </w:rPr>
        <w:t>Non-base agents: See your product's installation guide in the </w:t>
      </w:r>
      <w:hyperlink r:id="rId21">
        <w:r>
          <w:rPr>
            <w:color w:val="231F20"/>
            <w:w w:val="105"/>
          </w:rPr>
          <w:t>IBM Tivoli</w:t>
        </w:r>
      </w:hyperlink>
      <w:r>
        <w:rPr>
          <w:color w:val="231F20"/>
          <w:w w:val="105"/>
        </w:rPr>
        <w:t> </w:t>
      </w:r>
      <w:hyperlink r:id="rId21">
        <w:r>
          <w:rPr>
            <w:color w:val="231F20"/>
            <w:w w:val="105"/>
          </w:rPr>
          <w:t>Monitoring</w:t>
        </w:r>
        <w:r>
          <w:rPr>
            <w:color w:val="231F20"/>
            <w:spacing w:val="-10"/>
            <w:w w:val="105"/>
          </w:rPr>
          <w:t> </w:t>
        </w:r>
        <w:r>
          <w:rPr>
            <w:color w:val="231F20"/>
            <w:w w:val="105"/>
          </w:rPr>
          <w:t>Information</w:t>
        </w:r>
        <w:r>
          <w:rPr>
            <w:color w:val="231F20"/>
            <w:spacing w:val="-10"/>
            <w:w w:val="105"/>
          </w:rPr>
          <w:t> </w:t>
        </w:r>
        <w:r>
          <w:rPr>
            <w:color w:val="231F20"/>
            <w:w w:val="105"/>
          </w:rPr>
          <w:t>Center</w:t>
        </w:r>
      </w:hyperlink>
      <w:r>
        <w:rPr>
          <w:color w:val="231F20"/>
          <w:spacing w:val="-9"/>
          <w:w w:val="105"/>
        </w:rPr>
        <w:t> </w:t>
      </w:r>
      <w:hyperlink r:id="rId22">
        <w:r>
          <w:rPr>
            <w:color w:val="231F20"/>
            <w:w w:val="105"/>
          </w:rPr>
          <w:t>(http://pic.dhe.ibm.com/infocenter/tivihelp/</w:t>
        </w:r>
      </w:hyperlink>
      <w:r>
        <w:rPr>
          <w:color w:val="231F20"/>
          <w:w w:val="105"/>
        </w:rPr>
        <w:t> v61r1/topic/com.ibm.itm.doc_6.3/welcome.htm) or on </w:t>
      </w:r>
      <w:hyperlink r:id="rId474">
        <w:r>
          <w:rPr>
            <w:color w:val="231F20"/>
            <w:w w:val="105"/>
          </w:rPr>
          <w:t>IBM Tivoli</w:t>
        </w:r>
      </w:hyperlink>
      <w:r>
        <w:rPr>
          <w:color w:val="231F20"/>
          <w:w w:val="105"/>
        </w:rPr>
        <w:t> </w:t>
      </w:r>
      <w:hyperlink r:id="rId474">
        <w:r>
          <w:rPr>
            <w:color w:val="231F20"/>
            <w:w w:val="105"/>
          </w:rPr>
          <w:t>Documentation Central</w:t>
        </w:r>
      </w:hyperlink>
      <w:r>
        <w:rPr>
          <w:color w:val="231F20"/>
          <w:w w:val="105"/>
        </w:rPr>
        <w:t> </w:t>
      </w:r>
      <w:hyperlink r:id="rId475">
        <w:r>
          <w:rPr>
            <w:color w:val="231F20"/>
            <w:w w:val="105"/>
          </w:rPr>
          <w:t>(http://www.ibm.com/tivoli/documentation).</w:t>
        </w:r>
      </w:hyperlink>
    </w:p>
    <w:p>
      <w:pPr>
        <w:pStyle w:val="ListParagraph"/>
        <w:numPr>
          <w:ilvl w:val="0"/>
          <w:numId w:val="186"/>
        </w:numPr>
        <w:tabs>
          <w:tab w:pos="2548" w:val="left" w:leader="none"/>
        </w:tabs>
        <w:spacing w:line="213" w:lineRule="auto" w:before="57" w:after="0"/>
        <w:ind w:left="2548" w:right="913" w:hanging="316"/>
        <w:jc w:val="left"/>
        <w:rPr>
          <w:sz w:val="20"/>
        </w:rPr>
      </w:pPr>
      <w:r>
        <w:rPr>
          <w:color w:val="231F20"/>
          <w:sz w:val="20"/>
        </w:rPr>
        <w:t>On the </w:t>
      </w:r>
      <w:r>
        <w:rPr>
          <w:rFonts w:ascii="Book Antiqua"/>
          <w:b/>
          <w:color w:val="231F20"/>
          <w:sz w:val="20"/>
        </w:rPr>
        <w:t>Agent </w:t>
      </w:r>
      <w:r>
        <w:rPr>
          <w:color w:val="231F20"/>
          <w:sz w:val="20"/>
        </w:rPr>
        <w:t>page, establish the user ID that will be used to maintain the</w:t>
      </w:r>
      <w:r>
        <w:rPr>
          <w:color w:val="231F20"/>
          <w:spacing w:val="40"/>
          <w:sz w:val="20"/>
        </w:rPr>
        <w:t> </w:t>
      </w:r>
      <w:r>
        <w:rPr>
          <w:color w:val="231F20"/>
          <w:spacing w:val="-2"/>
          <w:sz w:val="20"/>
        </w:rPr>
        <w:t>agent:</w:t>
      </w:r>
    </w:p>
    <w:p>
      <w:pPr>
        <w:spacing w:line="233" w:lineRule="exact" w:before="117"/>
        <w:ind w:left="2548" w:right="0" w:firstLine="0"/>
        <w:jc w:val="left"/>
        <w:rPr>
          <w:rFonts w:ascii="Book Antiqua"/>
          <w:b/>
          <w:sz w:val="20"/>
        </w:rPr>
      </w:pPr>
      <w:r>
        <w:rPr>
          <w:rFonts w:ascii="Book Antiqua"/>
          <w:i/>
          <w:color w:val="231F20"/>
          <w:spacing w:val="-2"/>
          <w:sz w:val="20"/>
        </w:rPr>
        <w:t>Windows</w:t>
      </w:r>
      <w:r>
        <w:rPr>
          <w:rFonts w:ascii="Book Antiqua"/>
          <w:b/>
          <w:color w:val="231F20"/>
          <w:spacing w:val="-2"/>
          <w:sz w:val="20"/>
        </w:rPr>
        <w:t>:</w:t>
      </w:r>
    </w:p>
    <w:p>
      <w:pPr>
        <w:spacing w:line="211" w:lineRule="auto" w:before="15"/>
        <w:ind w:left="3267" w:right="545" w:hanging="1"/>
        <w:jc w:val="left"/>
        <w:rPr>
          <w:sz w:val="20"/>
        </w:rPr>
      </w:pPr>
      <w:r>
        <w:rPr>
          <w:color w:val="231F20"/>
          <w:sz w:val="20"/>
        </w:rPr>
        <w:t>Accept the default </w:t>
      </w:r>
      <w:r>
        <w:rPr>
          <w:color w:val="231F20"/>
          <w:spacing w:val="16"/>
          <w:sz w:val="20"/>
        </w:rPr>
        <w:drawing>
          <wp:inline distT="0" distB="0" distL="0" distR="0">
            <wp:extent cx="88900" cy="82550"/>
            <wp:effectExtent l="0" t="0" r="0" b="0"/>
            <wp:docPr id="3162" name="Image 3162"/>
            <wp:cNvGraphicFramePr>
              <a:graphicFrameLocks/>
            </wp:cNvGraphicFramePr>
            <a:graphic>
              <a:graphicData uri="http://schemas.openxmlformats.org/drawingml/2006/picture">
                <pic:pic>
                  <pic:nvPicPr>
                    <pic:cNvPr id="3162" name="Image 3162"/>
                    <pic:cNvPicPr/>
                  </pic:nvPicPr>
                  <pic:blipFill>
                    <a:blip r:embed="rId140" cstate="print"/>
                    <a:stretch>
                      <a:fillRect/>
                    </a:stretch>
                  </pic:blipFill>
                  <pic:spPr>
                    <a:xfrm>
                      <a:off x="0" y="0"/>
                      <a:ext cx="88900" cy="8255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Use local system account </w:t>
      </w:r>
      <w:r>
        <w:rPr>
          <w:color w:val="231F20"/>
          <w:sz w:val="20"/>
        </w:rPr>
        <w:t>to use your Tivoli Enterprise Portal user ID. You can also select </w:t>
      </w:r>
      <w:r>
        <w:rPr>
          <w:color w:val="231F20"/>
          <w:spacing w:val="15"/>
          <w:sz w:val="20"/>
        </w:rPr>
        <w:drawing>
          <wp:inline distT="0" distB="0" distL="0" distR="0">
            <wp:extent cx="82550" cy="82550"/>
            <wp:effectExtent l="0" t="0" r="0" b="0"/>
            <wp:docPr id="3163" name="Image 3163"/>
            <wp:cNvGraphicFramePr>
              <a:graphicFrameLocks/>
            </wp:cNvGraphicFramePr>
            <a:graphic>
              <a:graphicData uri="http://schemas.openxmlformats.org/drawingml/2006/picture">
                <pic:pic>
                  <pic:nvPicPr>
                    <pic:cNvPr id="3163" name="Image 3163"/>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Allow service to</w:t>
      </w:r>
      <w:r>
        <w:rPr>
          <w:rFonts w:ascii="Book Antiqua"/>
          <w:b/>
          <w:color w:val="231F20"/>
          <w:spacing w:val="40"/>
          <w:sz w:val="20"/>
        </w:rPr>
        <w:t> </w:t>
      </w:r>
      <w:r>
        <w:rPr>
          <w:rFonts w:ascii="Book Antiqua"/>
          <w:b/>
          <w:color w:val="231F20"/>
          <w:sz w:val="20"/>
        </w:rPr>
        <w:t>interact with desktop </w:t>
      </w:r>
      <w:r>
        <w:rPr>
          <w:color w:val="231F20"/>
          <w:sz w:val="20"/>
        </w:rPr>
        <w:t>to enable remote control. Or select </w:t>
      </w:r>
      <w:r>
        <w:rPr>
          <w:color w:val="231F20"/>
          <w:spacing w:val="15"/>
          <w:sz w:val="20"/>
        </w:rPr>
        <w:drawing>
          <wp:inline distT="0" distB="0" distL="0" distR="0">
            <wp:extent cx="88900" cy="82550"/>
            <wp:effectExtent l="0" t="0" r="0" b="0"/>
            <wp:docPr id="3164" name="Image 3164"/>
            <wp:cNvGraphicFramePr>
              <a:graphicFrameLocks/>
            </wp:cNvGraphicFramePr>
            <a:graphic>
              <a:graphicData uri="http://schemas.openxmlformats.org/drawingml/2006/picture">
                <pic:pic>
                  <pic:nvPicPr>
                    <pic:cNvPr id="3164" name="Image 3164"/>
                    <pic:cNvPicPr/>
                  </pic:nvPicPr>
                  <pic:blipFill>
                    <a:blip r:embed="rId182" cstate="print"/>
                    <a:stretch>
                      <a:fillRect/>
                    </a:stretch>
                  </pic:blipFill>
                  <pic:spPr>
                    <a:xfrm>
                      <a:off x="0" y="0"/>
                      <a:ext cx="88900" cy="82550"/>
                    </a:xfrm>
                    <a:prstGeom prst="rect">
                      <a:avLst/>
                    </a:prstGeom>
                  </pic:spPr>
                </pic:pic>
              </a:graphicData>
            </a:graphic>
          </wp:inline>
        </w:drawing>
      </w:r>
      <w:r>
        <w:rPr>
          <w:color w:val="231F20"/>
          <w:spacing w:val="15"/>
          <w:sz w:val="20"/>
        </w:rPr>
      </w:r>
      <w:r>
        <w:rPr>
          <w:rFonts w:ascii="Times New Roman"/>
          <w:color w:val="231F20"/>
          <w:spacing w:val="40"/>
          <w:sz w:val="20"/>
        </w:rPr>
        <w:t> </w:t>
      </w:r>
      <w:r>
        <w:rPr>
          <w:rFonts w:ascii="Book Antiqua"/>
          <w:b/>
          <w:color w:val="231F20"/>
          <w:sz w:val="20"/>
        </w:rPr>
        <w:t>Use this account </w:t>
      </w:r>
      <w:r>
        <w:rPr>
          <w:color w:val="231F20"/>
          <w:sz w:val="20"/>
        </w:rPr>
        <w:t>and fill in the user name and password under which the </w:t>
      </w:r>
      <w:r>
        <w:rPr>
          <w:color w:val="231F20"/>
          <w:sz w:val="20"/>
        </w:rPr>
        <w:t>agent will be controlled.</w:t>
      </w:r>
    </w:p>
    <w:p>
      <w:pPr>
        <w:spacing w:line="231" w:lineRule="exact" w:before="121"/>
        <w:ind w:left="2548" w:right="0" w:firstLine="0"/>
        <w:jc w:val="left"/>
        <w:rPr>
          <w:rFonts w:ascii="Book Antiqua"/>
          <w:b/>
          <w:sz w:val="20"/>
        </w:rPr>
      </w:pPr>
      <w:r>
        <w:rPr>
          <w:rFonts w:ascii="Book Antiqua"/>
          <w:i/>
          <w:color w:val="231F20"/>
          <w:spacing w:val="-2"/>
          <w:sz w:val="20"/>
        </w:rPr>
        <w:t>Non-Windows</w:t>
      </w:r>
      <w:r>
        <w:rPr>
          <w:rFonts w:ascii="Book Antiqua"/>
          <w:b/>
          <w:color w:val="231F20"/>
          <w:spacing w:val="-2"/>
          <w:sz w:val="20"/>
        </w:rPr>
        <w:t>:</w:t>
      </w:r>
    </w:p>
    <w:p>
      <w:pPr>
        <w:spacing w:line="213" w:lineRule="auto" w:before="10"/>
        <w:ind w:left="3267" w:right="493" w:firstLine="0"/>
        <w:jc w:val="left"/>
        <w:rPr>
          <w:sz w:val="20"/>
        </w:rPr>
      </w:pPr>
      <w:r>
        <w:rPr>
          <w:color w:val="231F20"/>
          <w:sz w:val="20"/>
        </w:rPr>
        <w:t>Enter the </w:t>
      </w:r>
      <w:r>
        <w:rPr>
          <w:rFonts w:ascii="Book Antiqua"/>
          <w:b/>
          <w:color w:val="231F20"/>
          <w:sz w:val="20"/>
        </w:rPr>
        <w:t>Username </w:t>
      </w:r>
      <w:r>
        <w:rPr>
          <w:color w:val="231F20"/>
          <w:sz w:val="20"/>
        </w:rPr>
        <w:t>under which the agent will run and the </w:t>
      </w:r>
      <w:r>
        <w:rPr>
          <w:rFonts w:ascii="Book Antiqua"/>
          <w:b/>
          <w:color w:val="231F20"/>
          <w:sz w:val="20"/>
        </w:rPr>
        <w:t>Group </w:t>
      </w:r>
      <w:r>
        <w:rPr>
          <w:rFonts w:ascii="Book Antiqua"/>
          <w:b/>
          <w:color w:val="231F20"/>
          <w:spacing w:val="-2"/>
          <w:sz w:val="20"/>
        </w:rPr>
        <w:t>name</w:t>
      </w:r>
      <w:r>
        <w:rPr>
          <w:color w:val="231F20"/>
          <w:spacing w:val="-2"/>
          <w:sz w:val="20"/>
        </w:rPr>
        <w:t>.</w:t>
      </w:r>
    </w:p>
    <w:p>
      <w:pPr>
        <w:pStyle w:val="ListParagraph"/>
        <w:numPr>
          <w:ilvl w:val="0"/>
          <w:numId w:val="186"/>
        </w:numPr>
        <w:tabs>
          <w:tab w:pos="2548" w:val="left" w:leader="none"/>
        </w:tabs>
        <w:spacing w:line="213" w:lineRule="auto" w:before="59" w:after="0"/>
        <w:ind w:left="2548" w:right="966" w:hanging="316"/>
        <w:jc w:val="left"/>
        <w:rPr>
          <w:sz w:val="20"/>
        </w:rPr>
      </w:pPr>
      <w:r>
        <w:rPr>
          <w:color w:val="231F20"/>
          <w:sz w:val="20"/>
        </w:rPr>
        <w:t>Click </w:t>
      </w:r>
      <w:r>
        <w:rPr>
          <w:rFonts w:ascii="Book Antiqua"/>
          <w:b/>
          <w:color w:val="231F20"/>
          <w:sz w:val="20"/>
        </w:rPr>
        <w:t>Finish </w:t>
      </w:r>
      <w:r>
        <w:rPr>
          <w:color w:val="231F20"/>
          <w:sz w:val="20"/>
        </w:rPr>
        <w:t>to complete the managed system configuration. If any of the information provided is invalid, you will receive an error message and </w:t>
      </w:r>
      <w:r>
        <w:rPr>
          <w:color w:val="231F20"/>
          <w:sz w:val="20"/>
        </w:rPr>
        <w:t>be returned to the configuration window. Check your entries and edit as </w:t>
      </w:r>
      <w:bookmarkStart w:name="Updating a monitoring agent" w:id="649"/>
      <w:bookmarkEnd w:id="649"/>
      <w:r>
        <w:rPr>
          <w:color w:val="231F20"/>
          <w:sz w:val="20"/>
        </w:rPr>
        <w:t>app</w:t>
      </w:r>
      <w:r>
        <w:rPr>
          <w:color w:val="231F20"/>
          <w:sz w:val="20"/>
        </w:rPr>
        <w:t>ropriate to configure correctly.</w:t>
      </w:r>
    </w:p>
    <w:p>
      <w:pPr>
        <w:pStyle w:val="Heading3"/>
        <w:spacing w:before="216"/>
        <w:ind w:left="0" w:right="3659"/>
        <w:jc w:val="center"/>
      </w:pPr>
      <w:r>
        <w:rPr>
          <w:color w:val="231F20"/>
        </w:rPr>
        <w:t>Updating</w:t>
      </w:r>
      <w:r>
        <w:rPr>
          <w:color w:val="231F20"/>
          <w:spacing w:val="5"/>
        </w:rPr>
        <w:t> </w:t>
      </w:r>
      <w:r>
        <w:rPr>
          <w:color w:val="231F20"/>
        </w:rPr>
        <w:t>a</w:t>
      </w:r>
      <w:r>
        <w:rPr>
          <w:color w:val="231F20"/>
          <w:spacing w:val="6"/>
        </w:rPr>
        <w:t> </w:t>
      </w:r>
      <w:r>
        <w:rPr>
          <w:color w:val="231F20"/>
        </w:rPr>
        <w:t>monitoring</w:t>
      </w:r>
      <w:r>
        <w:rPr>
          <w:color w:val="231F20"/>
          <w:spacing w:val="5"/>
        </w:rPr>
        <w:t> </w:t>
      </w:r>
      <w:r>
        <w:rPr>
          <w:color w:val="231F20"/>
          <w:spacing w:val="-2"/>
        </w:rPr>
        <w:t>agent</w:t>
      </w:r>
    </w:p>
    <w:p>
      <w:pPr>
        <w:pStyle w:val="BodyText"/>
        <w:spacing w:line="213" w:lineRule="auto" w:before="58"/>
        <w:ind w:left="2232" w:right="550"/>
        <w:jc w:val="both"/>
      </w:pPr>
      <w:r>
        <w:rPr>
          <w:color w:val="231F20"/>
        </w:rPr>
        <w:t>When a new version of a distributed monitoring agent is released, you can apply the new version locally or remotely to one managed system at a time, or to many simultaneously.</w:t>
      </w:r>
      <w:r>
        <w:rPr>
          <w:color w:val="231F20"/>
          <w:spacing w:val="7"/>
        </w:rPr>
        <w:t> </w:t>
      </w:r>
      <w:r>
        <w:rPr>
          <w:color w:val="231F20"/>
        </w:rPr>
        <w:t>Use</w:t>
      </w:r>
      <w:r>
        <w:rPr>
          <w:color w:val="231F20"/>
          <w:spacing w:val="7"/>
        </w:rPr>
        <w:t> </w:t>
      </w:r>
      <w:r>
        <w:rPr>
          <w:color w:val="231F20"/>
        </w:rPr>
        <w:t>the</w:t>
      </w:r>
      <w:r>
        <w:rPr>
          <w:color w:val="231F20"/>
          <w:spacing w:val="7"/>
        </w:rPr>
        <w:t> </w:t>
      </w:r>
      <w:r>
        <w:rPr>
          <w:color w:val="231F20"/>
        </w:rPr>
        <w:t>Configure</w:t>
      </w:r>
      <w:r>
        <w:rPr>
          <w:color w:val="231F20"/>
          <w:spacing w:val="7"/>
        </w:rPr>
        <w:t> </w:t>
      </w:r>
      <w:r>
        <w:rPr>
          <w:color w:val="231F20"/>
        </w:rPr>
        <w:t>Managed</w:t>
      </w:r>
      <w:r>
        <w:rPr>
          <w:color w:val="231F20"/>
          <w:spacing w:val="8"/>
        </w:rPr>
        <w:t> </w:t>
      </w:r>
      <w:r>
        <w:rPr>
          <w:color w:val="231F20"/>
        </w:rPr>
        <w:t>System</w:t>
      </w:r>
      <w:r>
        <w:rPr>
          <w:color w:val="231F20"/>
          <w:spacing w:val="7"/>
        </w:rPr>
        <w:t> </w:t>
      </w:r>
      <w:r>
        <w:rPr>
          <w:color w:val="231F20"/>
        </w:rPr>
        <w:t>window</w:t>
      </w:r>
      <w:r>
        <w:rPr>
          <w:color w:val="231F20"/>
          <w:spacing w:val="7"/>
        </w:rPr>
        <w:t> </w:t>
      </w:r>
      <w:r>
        <w:rPr>
          <w:color w:val="231F20"/>
        </w:rPr>
        <w:t>to</w:t>
      </w:r>
      <w:r>
        <w:rPr>
          <w:color w:val="231F20"/>
          <w:spacing w:val="7"/>
        </w:rPr>
        <w:t> </w:t>
      </w:r>
      <w:r>
        <w:rPr>
          <w:color w:val="231F20"/>
        </w:rPr>
        <w:t>apply</w:t>
      </w:r>
      <w:r>
        <w:rPr>
          <w:color w:val="231F20"/>
          <w:spacing w:val="7"/>
        </w:rPr>
        <w:t> </w:t>
      </w:r>
      <w:r>
        <w:rPr>
          <w:color w:val="231F20"/>
        </w:rPr>
        <w:t>the</w:t>
      </w:r>
      <w:r>
        <w:rPr>
          <w:color w:val="231F20"/>
          <w:spacing w:val="8"/>
        </w:rPr>
        <w:t> </w:t>
      </w:r>
      <w:r>
        <w:rPr>
          <w:color w:val="231F20"/>
          <w:spacing w:val="-2"/>
        </w:rPr>
        <w:t>update.</w:t>
      </w:r>
    </w:p>
    <w:p>
      <w:pPr>
        <w:pStyle w:val="BodyText"/>
        <w:spacing w:line="213" w:lineRule="auto" w:before="237"/>
        <w:ind w:left="2232" w:right="636"/>
      </w:pPr>
      <w:r>
        <w:rPr>
          <w:rFonts w:ascii="Book Antiqua"/>
          <w:b/>
          <w:color w:val="231F20"/>
        </w:rPr>
        <w:t>Note:</w:t>
      </w:r>
      <w:r>
        <w:rPr>
          <w:rFonts w:ascii="Book Antiqua"/>
          <w:b/>
          <w:color w:val="231F20"/>
          <w:spacing w:val="40"/>
        </w:rPr>
        <w:t> </w:t>
      </w:r>
      <w:r>
        <w:rPr>
          <w:color w:val="231F20"/>
        </w:rPr>
        <w:t>Agent updates are automatic and this procedure is not required if your monitoring agent is at Version 6.2.3 or higher unless the self-describing </w:t>
      </w:r>
      <w:r>
        <w:rPr>
          <w:color w:val="231F20"/>
        </w:rPr>
        <w:t>capability is disabled.</w:t>
      </w:r>
    </w:p>
    <w:p>
      <w:pPr>
        <w:pStyle w:val="Heading4"/>
        <w:spacing w:before="199"/>
        <w:ind w:left="0" w:right="3730"/>
        <w:jc w:val="center"/>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232" w:right="545"/>
      </w:pPr>
      <w:r>
        <w:rPr>
          <w:color w:val="231F20"/>
        </w:rPr>
        <w:t>A patch is for a specific version of the agent. The prereq field of the depot entry</w:t>
      </w:r>
      <w:r>
        <w:rPr>
          <w:color w:val="231F20"/>
          <w:spacing w:val="40"/>
        </w:rPr>
        <w:t> </w:t>
      </w:r>
      <w:r>
        <w:rPr>
          <w:color w:val="231F20"/>
        </w:rPr>
        <w:t>contains an agent of the same type as the agent itself. For example, if 6.1 UD (DB2</w:t>
      </w:r>
      <w:r>
        <w:rPr>
          <w:color w:val="231F20"/>
          <w:spacing w:val="40"/>
        </w:rPr>
        <w:t> </w:t>
      </w:r>
      <w:r>
        <w:rPr>
          <w:color w:val="231F20"/>
        </w:rPr>
        <w:t>monitoring) is the selected agent, the prereq field in the depot entry must contain a deployment bundle notation such as ud:061000000.</w:t>
      </w:r>
    </w:p>
    <w:p>
      <w:pPr>
        <w:pStyle w:val="BodyText"/>
        <w:spacing w:line="213" w:lineRule="auto" w:before="236"/>
        <w:ind w:left="2232" w:right="385"/>
      </w:pPr>
      <w:r>
        <w:rPr>
          <w:color w:val="231F20"/>
        </w:rPr>
        <w:t>You cannot upgrade an agent to a new version with this procedure, but rather with </w:t>
      </w:r>
      <w:r>
        <w:rPr>
          <w:color w:val="231F20"/>
          <w:w w:val="105"/>
        </w:rPr>
        <w:t>the</w:t>
      </w:r>
      <w:r>
        <w:rPr>
          <w:color w:val="231F20"/>
          <w:spacing w:val="-3"/>
          <w:w w:val="105"/>
        </w:rPr>
        <w:t> </w:t>
      </w:r>
      <w:r>
        <w:rPr>
          <w:rFonts w:ascii="Book Antiqua"/>
          <w:b/>
          <w:color w:val="231F20"/>
          <w:w w:val="105"/>
        </w:rPr>
        <w:t>tacmd</w:t>
      </w:r>
      <w:r>
        <w:rPr>
          <w:rFonts w:ascii="Book Antiqua"/>
          <w:b/>
          <w:color w:val="231F20"/>
          <w:spacing w:val="-3"/>
          <w:w w:val="105"/>
        </w:rPr>
        <w:t> </w:t>
      </w:r>
      <w:r>
        <w:rPr>
          <w:rFonts w:ascii="Book Antiqua"/>
          <w:b/>
          <w:color w:val="231F20"/>
          <w:w w:val="105"/>
        </w:rPr>
        <w:t>upgradeAgent</w:t>
      </w:r>
      <w:r>
        <w:rPr>
          <w:rFonts w:ascii="Book Antiqua"/>
          <w:b/>
          <w:color w:val="231F20"/>
          <w:spacing w:val="-3"/>
          <w:w w:val="105"/>
        </w:rPr>
        <w:t> </w:t>
      </w:r>
      <w:r>
        <w:rPr>
          <w:color w:val="231F20"/>
          <w:w w:val="105"/>
        </w:rPr>
        <w:t>command,</w:t>
      </w:r>
      <w:r>
        <w:rPr>
          <w:color w:val="231F20"/>
          <w:spacing w:val="-3"/>
          <w:w w:val="105"/>
        </w:rPr>
        <w:t> </w:t>
      </w:r>
      <w:r>
        <w:rPr>
          <w:color w:val="231F20"/>
          <w:w w:val="105"/>
        </w:rPr>
        <w:t>which</w:t>
      </w:r>
      <w:r>
        <w:rPr>
          <w:color w:val="231F20"/>
          <w:spacing w:val="-3"/>
          <w:w w:val="105"/>
        </w:rPr>
        <w:t> </w:t>
      </w:r>
      <w:r>
        <w:rPr>
          <w:color w:val="231F20"/>
          <w:w w:val="105"/>
        </w:rPr>
        <w:t>is</w:t>
      </w:r>
      <w:r>
        <w:rPr>
          <w:color w:val="231F20"/>
          <w:spacing w:val="-3"/>
          <w:w w:val="105"/>
        </w:rPr>
        <w:t> </w:t>
      </w:r>
      <w:r>
        <w:rPr>
          <w:color w:val="231F20"/>
          <w:w w:val="105"/>
        </w:rPr>
        <w:t>described</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hyperlink r:id="rId348">
        <w:r>
          <w:rPr>
            <w:rFonts w:ascii="Book Antiqua"/>
            <w:i/>
            <w:color w:val="231F20"/>
            <w:w w:val="105"/>
          </w:rPr>
          <w:t>IBM</w:t>
        </w:r>
        <w:r>
          <w:rPr>
            <w:rFonts w:ascii="Book Antiqua"/>
            <w:i/>
            <w:color w:val="231F20"/>
            <w:spacing w:val="-3"/>
            <w:w w:val="105"/>
          </w:rPr>
          <w:t> </w:t>
        </w:r>
        <w:r>
          <w:rPr>
            <w:rFonts w:ascii="Book Antiqua"/>
            <w:i/>
            <w:color w:val="231F20"/>
            <w:w w:val="105"/>
          </w:rPr>
          <w:t>Tivoli</w:t>
        </w:r>
      </w:hyperlink>
      <w:r>
        <w:rPr>
          <w:rFonts w:ascii="Book Antiqua"/>
          <w:i/>
          <w:color w:val="231F20"/>
          <w:w w:val="105"/>
        </w:rPr>
        <w:t> </w:t>
      </w:r>
      <w:hyperlink r:id="rId348">
        <w:r>
          <w:rPr>
            <w:rFonts w:ascii="Book Antiqua"/>
            <w:i/>
            <w:color w:val="231F20"/>
            <w:w w:val="105"/>
          </w:rPr>
          <w:t>Monitoring Command Reference</w:t>
        </w:r>
      </w:hyperlink>
      <w:r>
        <w:rPr>
          <w:rFonts w:ascii="Book Antiqua"/>
          <w:i/>
          <w:color w:val="231F20"/>
          <w:w w:val="105"/>
        </w:rPr>
        <w:t> </w:t>
      </w:r>
      <w:hyperlink r:id="rId476">
        <w:r>
          <w:rPr>
            <w:color w:val="231F20"/>
            <w:w w:val="105"/>
          </w:rPr>
          <w:t>(http://pic.dhe.ibm.com/infocenter/tivihelp/v61r1/</w:t>
        </w:r>
      </w:hyperlink>
      <w:r>
        <w:rPr>
          <w:color w:val="231F20"/>
          <w:w w:val="105"/>
        </w:rPr>
        <w:t> topic/com.ibm.itm.doc_6.3/cmdref/itm_cmdref.htm). Do not try to change the configuration</w:t>
      </w:r>
      <w:r>
        <w:rPr>
          <w:color w:val="231F20"/>
          <w:spacing w:val="-1"/>
          <w:w w:val="105"/>
        </w:rPr>
        <w:t> </w:t>
      </w:r>
      <w:r>
        <w:rPr>
          <w:color w:val="231F20"/>
          <w:w w:val="105"/>
        </w:rPr>
        <w:t>of</w:t>
      </w:r>
      <w:r>
        <w:rPr>
          <w:color w:val="231F20"/>
          <w:spacing w:val="-1"/>
          <w:w w:val="105"/>
        </w:rPr>
        <w:t> </w:t>
      </w:r>
      <w:r>
        <w:rPr>
          <w:color w:val="231F20"/>
          <w:w w:val="105"/>
        </w:rPr>
        <w:t>a</w:t>
      </w:r>
      <w:r>
        <w:rPr>
          <w:color w:val="231F20"/>
          <w:spacing w:val="-1"/>
          <w:w w:val="105"/>
        </w:rPr>
        <w:t> </w:t>
      </w:r>
      <w:r>
        <w:rPr>
          <w:color w:val="231F20"/>
          <w:w w:val="105"/>
        </w:rPr>
        <w:t>managed</w:t>
      </w:r>
      <w:r>
        <w:rPr>
          <w:color w:val="231F20"/>
          <w:spacing w:val="-1"/>
          <w:w w:val="105"/>
        </w:rPr>
        <w:t> </w:t>
      </w:r>
      <w:r>
        <w:rPr>
          <w:color w:val="231F20"/>
          <w:w w:val="105"/>
        </w:rPr>
        <w:t>system</w:t>
      </w:r>
      <w:r>
        <w:rPr>
          <w:color w:val="231F20"/>
          <w:spacing w:val="-1"/>
          <w:w w:val="105"/>
        </w:rPr>
        <w:t> </w:t>
      </w:r>
      <w:r>
        <w:rPr>
          <w:color w:val="231F20"/>
          <w:w w:val="105"/>
        </w:rPr>
        <w:t>at</w:t>
      </w:r>
      <w:r>
        <w:rPr>
          <w:color w:val="231F20"/>
          <w:spacing w:val="-1"/>
          <w:w w:val="105"/>
        </w:rPr>
        <w:t> </w:t>
      </w:r>
      <w:r>
        <w:rPr>
          <w:color w:val="231F20"/>
          <w:w w:val="105"/>
        </w:rPr>
        <w:t>this</w:t>
      </w:r>
      <w:r>
        <w:rPr>
          <w:color w:val="231F20"/>
          <w:spacing w:val="-1"/>
          <w:w w:val="105"/>
        </w:rPr>
        <w:t> </w:t>
      </w:r>
      <w:r>
        <w:rPr>
          <w:color w:val="231F20"/>
          <w:w w:val="105"/>
        </w:rPr>
        <w:t>time</w:t>
      </w:r>
      <w:r>
        <w:rPr>
          <w:color w:val="231F20"/>
          <w:spacing w:val="-1"/>
          <w:w w:val="105"/>
        </w:rPr>
        <w:t> </w:t>
      </w:r>
      <w:r>
        <w:rPr>
          <w:color w:val="231F20"/>
          <w:w w:val="105"/>
        </w:rPr>
        <w:t>because</w:t>
      </w:r>
      <w:r>
        <w:rPr>
          <w:color w:val="231F20"/>
          <w:spacing w:val="-1"/>
          <w:w w:val="105"/>
        </w:rPr>
        <w:t> </w:t>
      </w:r>
      <w:r>
        <w:rPr>
          <w:color w:val="231F20"/>
          <w:w w:val="105"/>
        </w:rPr>
        <w:t>your</w:t>
      </w:r>
      <w:r>
        <w:rPr>
          <w:color w:val="231F20"/>
          <w:spacing w:val="-1"/>
          <w:w w:val="105"/>
        </w:rPr>
        <w:t> </w:t>
      </w:r>
      <w:r>
        <w:rPr>
          <w:color w:val="231F20"/>
          <w:w w:val="105"/>
        </w:rPr>
        <w:t>changes</w:t>
      </w:r>
      <w:r>
        <w:rPr>
          <w:color w:val="231F20"/>
          <w:spacing w:val="-1"/>
          <w:w w:val="105"/>
        </w:rPr>
        <w:t> </w:t>
      </w:r>
      <w:r>
        <w:rPr>
          <w:color w:val="231F20"/>
          <w:w w:val="105"/>
        </w:rPr>
        <w:t>will</w:t>
      </w:r>
      <w:r>
        <w:rPr>
          <w:color w:val="231F20"/>
          <w:spacing w:val="-1"/>
          <w:w w:val="105"/>
        </w:rPr>
        <w:t> </w:t>
      </w:r>
      <w:r>
        <w:rPr>
          <w:color w:val="231F20"/>
          <w:w w:val="105"/>
        </w:rPr>
        <w:t>be</w:t>
      </w:r>
      <w:r>
        <w:rPr>
          <w:color w:val="231F20"/>
          <w:spacing w:val="-1"/>
          <w:w w:val="105"/>
        </w:rPr>
        <w:t> </w:t>
      </w:r>
      <w:r>
        <w:rPr>
          <w:color w:val="231F20"/>
          <w:w w:val="105"/>
        </w:rPr>
        <w:t>lost when the installation of the updates begins.</w:t>
      </w:r>
    </w:p>
    <w:p>
      <w:pPr>
        <w:spacing w:after="0" w:line="213" w:lineRule="auto"/>
        <w:sectPr>
          <w:pgSz w:w="12240" w:h="15840"/>
          <w:pgMar w:header="0" w:footer="736" w:top="1140" w:bottom="920" w:left="1000" w:right="1060"/>
        </w:sectPr>
      </w:pPr>
    </w:p>
    <w:p>
      <w:pPr>
        <w:pStyle w:val="BodyText"/>
        <w:spacing w:line="213" w:lineRule="auto" w:before="85"/>
        <w:ind w:left="2472" w:right="545"/>
      </w:pPr>
      <w:bookmarkStart w:name="_bookmark314" w:id="650"/>
      <w:bookmarkEnd w:id="650"/>
      <w:r>
        <w:rPr/>
      </w:r>
      <w:r>
        <w:rPr>
          <w:color w:val="231F20"/>
        </w:rPr>
        <w:t>To use this feature, your user ID must have Manage permission for </w:t>
      </w:r>
      <w:r>
        <w:rPr>
          <w:color w:val="231F20"/>
        </w:rPr>
        <w:t>Agent </w:t>
      </w:r>
      <w:r>
        <w:rPr>
          <w:color w:val="231F20"/>
          <w:spacing w:val="-2"/>
        </w:rPr>
        <w:t>Management.</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before="218"/>
        <w:ind w:left="2472"/>
      </w:pPr>
      <w:r>
        <w:rPr>
          <w:color w:val="231F20"/>
        </w:rPr>
        <w:t>Complete</w:t>
      </w:r>
      <w:r>
        <w:rPr>
          <w:color w:val="231F20"/>
          <w:spacing w:val="9"/>
        </w:rPr>
        <w:t> </w:t>
      </w:r>
      <w:r>
        <w:rPr>
          <w:color w:val="231F20"/>
        </w:rPr>
        <w:t>these</w:t>
      </w:r>
      <w:r>
        <w:rPr>
          <w:color w:val="231F20"/>
          <w:spacing w:val="12"/>
        </w:rPr>
        <w:t> </w:t>
      </w:r>
      <w:r>
        <w:rPr>
          <w:color w:val="231F20"/>
        </w:rPr>
        <w:t>steps</w:t>
      </w:r>
      <w:r>
        <w:rPr>
          <w:color w:val="231F20"/>
          <w:spacing w:val="11"/>
        </w:rPr>
        <w:t> </w:t>
      </w:r>
      <w:r>
        <w:rPr>
          <w:color w:val="231F20"/>
        </w:rPr>
        <w:t>to</w:t>
      </w:r>
      <w:r>
        <w:rPr>
          <w:color w:val="231F20"/>
          <w:spacing w:val="12"/>
        </w:rPr>
        <w:t> </w:t>
      </w:r>
      <w:r>
        <w:rPr>
          <w:color w:val="231F20"/>
        </w:rPr>
        <w:t>apply</w:t>
      </w:r>
      <w:r>
        <w:rPr>
          <w:color w:val="231F20"/>
          <w:spacing w:val="12"/>
        </w:rPr>
        <w:t> </w:t>
      </w:r>
      <w:r>
        <w:rPr>
          <w:color w:val="231F20"/>
        </w:rPr>
        <w:t>a</w:t>
      </w:r>
      <w:r>
        <w:rPr>
          <w:color w:val="231F20"/>
          <w:spacing w:val="11"/>
        </w:rPr>
        <w:t> </w:t>
      </w:r>
      <w:r>
        <w:rPr>
          <w:color w:val="231F20"/>
        </w:rPr>
        <w:t>patch</w:t>
      </w:r>
      <w:r>
        <w:rPr>
          <w:color w:val="231F20"/>
          <w:spacing w:val="12"/>
        </w:rPr>
        <w:t> </w:t>
      </w:r>
      <w:r>
        <w:rPr>
          <w:color w:val="231F20"/>
        </w:rPr>
        <w:t>for</w:t>
      </w:r>
      <w:r>
        <w:rPr>
          <w:color w:val="231F20"/>
          <w:spacing w:val="11"/>
        </w:rPr>
        <w:t> </w:t>
      </w:r>
      <w:r>
        <w:rPr>
          <w:color w:val="231F20"/>
        </w:rPr>
        <w:t>a</w:t>
      </w:r>
      <w:r>
        <w:rPr>
          <w:color w:val="231F20"/>
          <w:spacing w:val="12"/>
        </w:rPr>
        <w:t> </w:t>
      </w:r>
      <w:r>
        <w:rPr>
          <w:color w:val="231F20"/>
        </w:rPr>
        <w:t>monitoring</w:t>
      </w:r>
      <w:r>
        <w:rPr>
          <w:color w:val="231F20"/>
          <w:spacing w:val="12"/>
        </w:rPr>
        <w:t> </w:t>
      </w:r>
      <w:r>
        <w:rPr>
          <w:color w:val="231F20"/>
          <w:spacing w:val="-2"/>
        </w:rPr>
        <w:t>agent:</w:t>
      </w:r>
    </w:p>
    <w:p>
      <w:pPr>
        <w:pStyle w:val="Heading4"/>
        <w:spacing w:before="194"/>
        <w:ind w:left="2472"/>
      </w:pPr>
      <w:r>
        <w:rPr>
          <w:color w:val="231F20"/>
          <w:spacing w:val="-2"/>
        </w:rPr>
        <w:t>Procedure</w:t>
      </w:r>
    </w:p>
    <w:p>
      <w:pPr>
        <w:pStyle w:val="ListParagraph"/>
        <w:numPr>
          <w:ilvl w:val="1"/>
          <w:numId w:val="186"/>
        </w:numPr>
        <w:tabs>
          <w:tab w:pos="2787" w:val="left" w:leader="none"/>
        </w:tabs>
        <w:spacing w:line="240" w:lineRule="auto" w:before="38" w:after="0"/>
        <w:ind w:left="2787" w:right="0" w:hanging="315"/>
        <w:jc w:val="left"/>
        <w:rPr>
          <w:sz w:val="20"/>
        </w:rPr>
      </w:pPr>
      <w:r>
        <w:rPr>
          <w:color w:val="231F20"/>
          <w:sz w:val="20"/>
        </w:rPr>
        <w:t>Right-click</w:t>
      </w:r>
      <w:r>
        <w:rPr>
          <w:color w:val="231F20"/>
          <w:spacing w:val="12"/>
          <w:sz w:val="20"/>
        </w:rPr>
        <w:t> </w:t>
      </w:r>
      <w:r>
        <w:rPr>
          <w:color w:val="231F20"/>
          <w:sz w:val="20"/>
        </w:rPr>
        <w:t>the</w:t>
      </w:r>
      <w:r>
        <w:rPr>
          <w:color w:val="231F20"/>
          <w:spacing w:val="22"/>
          <w:sz w:val="20"/>
        </w:rPr>
        <w:t> </w:t>
      </w:r>
      <w:r>
        <w:rPr>
          <w:color w:val="231F20"/>
          <w:spacing w:val="-24"/>
          <w:position w:val="-1"/>
          <w:sz w:val="20"/>
        </w:rPr>
        <w:drawing>
          <wp:inline distT="0" distB="0" distL="0" distR="0">
            <wp:extent cx="95250" cy="95250"/>
            <wp:effectExtent l="0" t="0" r="0" b="0"/>
            <wp:docPr id="3165" name="Image 3165"/>
            <wp:cNvGraphicFramePr>
              <a:graphicFrameLocks/>
            </wp:cNvGraphicFramePr>
            <a:graphic>
              <a:graphicData uri="http://schemas.openxmlformats.org/drawingml/2006/picture">
                <pic:pic>
                  <pic:nvPicPr>
                    <pic:cNvPr id="3165" name="Image 316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6"/>
          <w:w w:val="150"/>
          <w:sz w:val="20"/>
        </w:rPr>
        <w:t> </w:t>
      </w:r>
      <w:r>
        <w:rPr>
          <w:color w:val="231F20"/>
          <w:sz w:val="20"/>
        </w:rPr>
        <w:t>Navigator</w:t>
      </w:r>
      <w:r>
        <w:rPr>
          <w:color w:val="231F20"/>
          <w:spacing w:val="12"/>
          <w:sz w:val="20"/>
        </w:rPr>
        <w:t> </w:t>
      </w:r>
      <w:r>
        <w:rPr>
          <w:color w:val="231F20"/>
          <w:sz w:val="20"/>
        </w:rPr>
        <w:t>item</w:t>
      </w:r>
      <w:r>
        <w:rPr>
          <w:color w:val="231F20"/>
          <w:spacing w:val="13"/>
          <w:sz w:val="20"/>
        </w:rPr>
        <w:t> </w:t>
      </w:r>
      <w:r>
        <w:rPr>
          <w:color w:val="231F20"/>
          <w:sz w:val="20"/>
        </w:rPr>
        <w:t>for</w:t>
      </w:r>
      <w:r>
        <w:rPr>
          <w:color w:val="231F20"/>
          <w:spacing w:val="12"/>
          <w:sz w:val="20"/>
        </w:rPr>
        <w:t> </w:t>
      </w:r>
      <w:r>
        <w:rPr>
          <w:color w:val="231F20"/>
          <w:sz w:val="20"/>
        </w:rPr>
        <w:t>the</w:t>
      </w:r>
      <w:r>
        <w:rPr>
          <w:color w:val="231F20"/>
          <w:spacing w:val="12"/>
          <w:sz w:val="20"/>
        </w:rPr>
        <w:t> </w:t>
      </w:r>
      <w:r>
        <w:rPr>
          <w:color w:val="231F20"/>
          <w:sz w:val="20"/>
        </w:rPr>
        <w:t>agent</w:t>
      </w:r>
      <w:r>
        <w:rPr>
          <w:color w:val="231F20"/>
          <w:spacing w:val="13"/>
          <w:sz w:val="20"/>
        </w:rPr>
        <w:t> </w:t>
      </w:r>
      <w:r>
        <w:rPr>
          <w:color w:val="231F20"/>
          <w:sz w:val="20"/>
        </w:rPr>
        <w:t>that</w:t>
      </w:r>
      <w:r>
        <w:rPr>
          <w:color w:val="231F20"/>
          <w:spacing w:val="12"/>
          <w:sz w:val="20"/>
        </w:rPr>
        <w:t> </w:t>
      </w:r>
      <w:r>
        <w:rPr>
          <w:color w:val="231F20"/>
          <w:sz w:val="20"/>
        </w:rPr>
        <w:t>you</w:t>
      </w:r>
      <w:r>
        <w:rPr>
          <w:color w:val="231F20"/>
          <w:spacing w:val="12"/>
          <w:sz w:val="20"/>
        </w:rPr>
        <w:t> </w:t>
      </w:r>
      <w:r>
        <w:rPr>
          <w:color w:val="231F20"/>
          <w:sz w:val="20"/>
        </w:rPr>
        <w:t>want</w:t>
      </w:r>
      <w:r>
        <w:rPr>
          <w:color w:val="231F20"/>
          <w:spacing w:val="13"/>
          <w:sz w:val="20"/>
        </w:rPr>
        <w:t> </w:t>
      </w:r>
      <w:r>
        <w:rPr>
          <w:color w:val="231F20"/>
          <w:sz w:val="20"/>
        </w:rPr>
        <w:t>to</w:t>
      </w:r>
      <w:r>
        <w:rPr>
          <w:color w:val="231F20"/>
          <w:spacing w:val="12"/>
          <w:sz w:val="20"/>
        </w:rPr>
        <w:t> </w:t>
      </w:r>
      <w:r>
        <w:rPr>
          <w:color w:val="231F20"/>
          <w:spacing w:val="-2"/>
          <w:sz w:val="20"/>
        </w:rPr>
        <w:t>upgrade.</w:t>
      </w:r>
    </w:p>
    <w:p>
      <w:pPr>
        <w:pStyle w:val="ListParagraph"/>
        <w:numPr>
          <w:ilvl w:val="1"/>
          <w:numId w:val="186"/>
        </w:numPr>
        <w:tabs>
          <w:tab w:pos="2787" w:val="left" w:leader="none"/>
        </w:tabs>
        <w:spacing w:line="240" w:lineRule="auto" w:before="30" w:after="0"/>
        <w:ind w:left="2787" w:right="0" w:hanging="315"/>
        <w:jc w:val="left"/>
        <w:rPr>
          <w:sz w:val="20"/>
        </w:rPr>
      </w:pPr>
      <w:r>
        <w:rPr>
          <w:color w:val="231F20"/>
          <w:sz w:val="20"/>
        </w:rPr>
        <w:t>Click</w:t>
      </w:r>
      <w:r>
        <w:rPr>
          <w:color w:val="231F20"/>
          <w:spacing w:val="7"/>
          <w:sz w:val="20"/>
        </w:rPr>
        <w:t> </w:t>
      </w:r>
      <w:r>
        <w:rPr>
          <w:color w:val="231F20"/>
          <w:spacing w:val="16"/>
          <w:position w:val="-1"/>
          <w:sz w:val="20"/>
        </w:rPr>
        <w:drawing>
          <wp:inline distT="0" distB="0" distL="0" distR="0">
            <wp:extent cx="101600" cy="101600"/>
            <wp:effectExtent l="0" t="0" r="0" b="0"/>
            <wp:docPr id="3166" name="Image 3166"/>
            <wp:cNvGraphicFramePr>
              <a:graphicFrameLocks/>
            </wp:cNvGraphicFramePr>
            <a:graphic>
              <a:graphicData uri="http://schemas.openxmlformats.org/drawingml/2006/picture">
                <pic:pic>
                  <pic:nvPicPr>
                    <pic:cNvPr id="3166" name="Image 3166"/>
                    <pic:cNvPicPr/>
                  </pic:nvPicPr>
                  <pic:blipFill>
                    <a:blip r:embed="rId472" cstate="print"/>
                    <a:stretch>
                      <a:fillRect/>
                    </a:stretch>
                  </pic:blipFill>
                  <pic:spPr>
                    <a:xfrm>
                      <a:off x="0" y="0"/>
                      <a:ext cx="101600" cy="101600"/>
                    </a:xfrm>
                    <a:prstGeom prst="rect">
                      <a:avLst/>
                    </a:prstGeom>
                  </pic:spPr>
                </pic:pic>
              </a:graphicData>
            </a:graphic>
          </wp:inline>
        </w:drawing>
      </w:r>
      <w:r>
        <w:rPr>
          <w:color w:val="231F20"/>
          <w:spacing w:val="16"/>
          <w:position w:val="-1"/>
          <w:sz w:val="20"/>
        </w:rPr>
      </w:r>
      <w:r>
        <w:rPr>
          <w:rFonts w:ascii="Times New Roman"/>
          <w:color w:val="231F20"/>
          <w:spacing w:val="-17"/>
          <w:sz w:val="20"/>
        </w:rPr>
        <w:t> </w:t>
      </w:r>
      <w:r>
        <w:rPr>
          <w:rFonts w:ascii="Book Antiqua"/>
          <w:b/>
          <w:color w:val="231F20"/>
          <w:sz w:val="20"/>
        </w:rPr>
        <w:t>Configure</w:t>
      </w:r>
      <w:r>
        <w:rPr>
          <w:rFonts w:ascii="Book Antiqua"/>
          <w:b/>
          <w:color w:val="231F20"/>
          <w:spacing w:val="10"/>
          <w:sz w:val="20"/>
        </w:rPr>
        <w:t> </w:t>
      </w:r>
      <w:r>
        <w:rPr>
          <w:color w:val="231F20"/>
          <w:sz w:val="20"/>
        </w:rPr>
        <w:t>to</w:t>
      </w:r>
      <w:r>
        <w:rPr>
          <w:color w:val="231F20"/>
          <w:spacing w:val="10"/>
          <w:sz w:val="20"/>
        </w:rPr>
        <w:t> </w:t>
      </w:r>
      <w:r>
        <w:rPr>
          <w:color w:val="231F20"/>
          <w:sz w:val="20"/>
        </w:rPr>
        <w:t>open</w:t>
      </w:r>
      <w:r>
        <w:rPr>
          <w:color w:val="231F20"/>
          <w:spacing w:val="10"/>
          <w:sz w:val="20"/>
        </w:rPr>
        <w:t> </w:t>
      </w:r>
      <w:r>
        <w:rPr>
          <w:color w:val="231F20"/>
          <w:sz w:val="20"/>
        </w:rPr>
        <w:t>the</w:t>
      </w:r>
      <w:r>
        <w:rPr>
          <w:color w:val="231F20"/>
          <w:spacing w:val="10"/>
          <w:sz w:val="20"/>
        </w:rPr>
        <w:t> </w:t>
      </w:r>
      <w:r>
        <w:rPr>
          <w:color w:val="231F20"/>
          <w:sz w:val="20"/>
        </w:rPr>
        <w:t>Configure</w:t>
      </w:r>
      <w:r>
        <w:rPr>
          <w:color w:val="231F20"/>
          <w:spacing w:val="10"/>
          <w:sz w:val="20"/>
        </w:rPr>
        <w:t> </w:t>
      </w:r>
      <w:r>
        <w:rPr>
          <w:color w:val="231F20"/>
          <w:sz w:val="20"/>
        </w:rPr>
        <w:t>Managed</w:t>
      </w:r>
      <w:r>
        <w:rPr>
          <w:color w:val="231F20"/>
          <w:spacing w:val="10"/>
          <w:sz w:val="20"/>
        </w:rPr>
        <w:t> </w:t>
      </w:r>
      <w:r>
        <w:rPr>
          <w:color w:val="231F20"/>
          <w:sz w:val="20"/>
        </w:rPr>
        <w:t>System</w:t>
      </w:r>
      <w:r>
        <w:rPr>
          <w:color w:val="231F20"/>
          <w:spacing w:val="10"/>
          <w:sz w:val="20"/>
        </w:rPr>
        <w:t> </w:t>
      </w:r>
      <w:r>
        <w:rPr>
          <w:color w:val="231F20"/>
          <w:spacing w:val="-2"/>
          <w:sz w:val="20"/>
        </w:rPr>
        <w:t>window.</w:t>
      </w:r>
    </w:p>
    <w:p>
      <w:pPr>
        <w:pStyle w:val="ListParagraph"/>
        <w:numPr>
          <w:ilvl w:val="1"/>
          <w:numId w:val="186"/>
        </w:numPr>
        <w:tabs>
          <w:tab w:pos="2787" w:val="left" w:leader="none"/>
        </w:tabs>
        <w:spacing w:line="240" w:lineRule="auto" w:before="29" w:after="0"/>
        <w:ind w:left="2787" w:right="0" w:hanging="315"/>
        <w:jc w:val="left"/>
        <w:rPr>
          <w:sz w:val="20"/>
        </w:rPr>
      </w:pPr>
      <w:r>
        <w:rPr>
          <w:color w:val="231F20"/>
          <w:sz w:val="20"/>
        </w:rPr>
        <w:t>Click</w:t>
      </w:r>
      <w:r>
        <w:rPr>
          <w:color w:val="231F20"/>
          <w:spacing w:val="11"/>
          <w:sz w:val="20"/>
        </w:rPr>
        <w:t> </w:t>
      </w:r>
      <w:r>
        <w:rPr>
          <w:color w:val="231F20"/>
          <w:sz w:val="20"/>
        </w:rPr>
        <w:t>the</w:t>
      </w:r>
      <w:r>
        <w:rPr>
          <w:color w:val="231F20"/>
          <w:spacing w:val="12"/>
          <w:sz w:val="20"/>
        </w:rPr>
        <w:t> </w:t>
      </w:r>
      <w:r>
        <w:rPr>
          <w:rFonts w:ascii="Book Antiqua"/>
          <w:b/>
          <w:color w:val="231F20"/>
          <w:sz w:val="20"/>
        </w:rPr>
        <w:t>Agent</w:t>
      </w:r>
      <w:r>
        <w:rPr>
          <w:rFonts w:ascii="Book Antiqua"/>
          <w:b/>
          <w:color w:val="231F20"/>
          <w:spacing w:val="12"/>
          <w:sz w:val="20"/>
        </w:rPr>
        <w:t> </w:t>
      </w:r>
      <w:r>
        <w:rPr>
          <w:color w:val="231F20"/>
          <w:spacing w:val="-4"/>
          <w:sz w:val="20"/>
        </w:rPr>
        <w:t>tab.</w:t>
      </w:r>
    </w:p>
    <w:p>
      <w:pPr>
        <w:pStyle w:val="ListParagraph"/>
        <w:numPr>
          <w:ilvl w:val="1"/>
          <w:numId w:val="186"/>
        </w:numPr>
        <w:tabs>
          <w:tab w:pos="2788" w:val="left" w:leader="none"/>
        </w:tabs>
        <w:spacing w:line="213" w:lineRule="auto" w:before="53" w:after="0"/>
        <w:ind w:left="2788" w:right="172" w:hanging="316"/>
        <w:jc w:val="left"/>
        <w:rPr>
          <w:sz w:val="20"/>
        </w:rPr>
      </w:pPr>
      <w:r>
        <w:rPr>
          <w:color w:val="231F20"/>
          <w:sz w:val="20"/>
        </w:rPr>
        <w:t>Compare the installed version of the monitoring agent with any available</w:t>
      </w:r>
      <w:r>
        <w:rPr>
          <w:color w:val="231F20"/>
          <w:spacing w:val="40"/>
          <w:sz w:val="20"/>
        </w:rPr>
        <w:t> </w:t>
      </w:r>
      <w:r>
        <w:rPr>
          <w:color w:val="231F20"/>
          <w:sz w:val="20"/>
        </w:rPr>
        <w:t>product updates, then highlight the row of the agent to update and click </w:t>
      </w:r>
      <w:r>
        <w:rPr>
          <w:rFonts w:ascii="Book Antiqua"/>
          <w:b/>
          <w:color w:val="231F20"/>
          <w:sz w:val="20"/>
        </w:rPr>
        <w:t>Install </w:t>
      </w:r>
      <w:r>
        <w:rPr>
          <w:rFonts w:ascii="Book Antiqua"/>
          <w:b/>
          <w:color w:val="231F20"/>
          <w:spacing w:val="-2"/>
          <w:sz w:val="20"/>
        </w:rPr>
        <w:t>Updates</w:t>
      </w:r>
      <w:r>
        <w:rPr>
          <w:color w:val="231F20"/>
          <w:spacing w:val="-2"/>
          <w:sz w:val="20"/>
        </w:rPr>
        <w:t>.</w:t>
      </w:r>
    </w:p>
    <w:p>
      <w:pPr>
        <w:pStyle w:val="Heading4"/>
        <w:spacing w:before="199"/>
        <w:ind w:left="2472"/>
      </w:pPr>
      <w:r>
        <w:rPr>
          <w:color w:val="231F20"/>
          <w:spacing w:val="-2"/>
        </w:rPr>
        <w:t>Results</w:t>
      </w:r>
    </w:p>
    <w:p>
      <w:pPr>
        <w:pStyle w:val="BodyText"/>
        <w:spacing w:line="213" w:lineRule="auto" w:before="241"/>
        <w:ind w:left="2472" w:right="202"/>
      </w:pPr>
      <w:r>
        <w:rPr>
          <w:color w:val="231F20"/>
        </w:rPr>
        <w:t>Installation of the updates begins and might take several minutes to complete. </w:t>
      </w:r>
      <w:r>
        <w:rPr>
          <w:color w:val="231F20"/>
        </w:rPr>
        <w:t>The list</w:t>
      </w:r>
      <w:r>
        <w:rPr>
          <w:color w:val="231F20"/>
          <w:spacing w:val="22"/>
        </w:rPr>
        <w:t> </w:t>
      </w:r>
      <w:r>
        <w:rPr>
          <w:color w:val="231F20"/>
        </w:rPr>
        <w:t>that</w:t>
      </w:r>
      <w:r>
        <w:rPr>
          <w:color w:val="231F20"/>
          <w:spacing w:val="22"/>
        </w:rPr>
        <w:t> </w:t>
      </w:r>
      <w:r>
        <w:rPr>
          <w:color w:val="231F20"/>
        </w:rPr>
        <w:t>displays</w:t>
      </w:r>
      <w:r>
        <w:rPr>
          <w:color w:val="231F20"/>
          <w:spacing w:val="22"/>
        </w:rPr>
        <w:t> </w:t>
      </w:r>
      <w:r>
        <w:rPr>
          <w:color w:val="231F20"/>
        </w:rPr>
        <w:t>reflects</w:t>
      </w:r>
      <w:r>
        <w:rPr>
          <w:color w:val="231F20"/>
          <w:spacing w:val="22"/>
        </w:rPr>
        <w:t> </w:t>
      </w:r>
      <w:r>
        <w:rPr>
          <w:color w:val="231F20"/>
        </w:rPr>
        <w:t>the</w:t>
      </w:r>
      <w:r>
        <w:rPr>
          <w:color w:val="231F20"/>
          <w:spacing w:val="22"/>
        </w:rPr>
        <w:t> </w:t>
      </w:r>
      <w:r>
        <w:rPr>
          <w:color w:val="231F20"/>
        </w:rPr>
        <w:t>contents</w:t>
      </w:r>
      <w:r>
        <w:rPr>
          <w:color w:val="231F20"/>
          <w:spacing w:val="22"/>
        </w:rPr>
        <w:t> </w:t>
      </w:r>
      <w:r>
        <w:rPr>
          <w:color w:val="231F20"/>
        </w:rPr>
        <w:t>of</w:t>
      </w:r>
      <w:r>
        <w:rPr>
          <w:color w:val="231F20"/>
          <w:spacing w:val="22"/>
        </w:rPr>
        <w:t> </w:t>
      </w:r>
      <w:r>
        <w:rPr>
          <w:color w:val="231F20"/>
        </w:rPr>
        <w:t>the</w:t>
      </w:r>
      <w:r>
        <w:rPr>
          <w:color w:val="231F20"/>
          <w:spacing w:val="22"/>
        </w:rPr>
        <w:t> </w:t>
      </w:r>
      <w:r>
        <w:rPr>
          <w:color w:val="231F20"/>
        </w:rPr>
        <w:t>deployment</w:t>
      </w:r>
      <w:r>
        <w:rPr>
          <w:color w:val="231F20"/>
          <w:spacing w:val="22"/>
        </w:rPr>
        <w:t> </w:t>
      </w:r>
      <w:r>
        <w:rPr>
          <w:color w:val="231F20"/>
        </w:rPr>
        <w:t>depot.</w:t>
      </w:r>
      <w:r>
        <w:rPr>
          <w:color w:val="231F20"/>
          <w:spacing w:val="22"/>
        </w:rPr>
        <w:t> </w:t>
      </w:r>
      <w:r>
        <w:rPr>
          <w:color w:val="231F20"/>
        </w:rPr>
        <w:t>If</w:t>
      </w:r>
      <w:r>
        <w:rPr>
          <w:color w:val="231F20"/>
          <w:spacing w:val="22"/>
        </w:rPr>
        <w:t> </w:t>
      </w:r>
      <w:r>
        <w:rPr>
          <w:rFonts w:ascii="Book Antiqua"/>
          <w:b/>
          <w:color w:val="231F20"/>
        </w:rPr>
        <w:t>Install</w:t>
      </w:r>
      <w:r>
        <w:rPr>
          <w:rFonts w:ascii="Book Antiqua"/>
          <w:b/>
          <w:color w:val="231F20"/>
          <w:spacing w:val="22"/>
        </w:rPr>
        <w:t> </w:t>
      </w:r>
      <w:r>
        <w:rPr>
          <w:rFonts w:ascii="Book Antiqua"/>
          <w:b/>
          <w:color w:val="231F20"/>
        </w:rPr>
        <w:t>Updates </w:t>
      </w:r>
      <w:r>
        <w:rPr>
          <w:color w:val="231F20"/>
        </w:rPr>
        <w:t>is disabled, one or more of the following conditions exist:</w:t>
      </w:r>
    </w:p>
    <w:p>
      <w:pPr>
        <w:pStyle w:val="BodyText"/>
        <w:spacing w:before="35"/>
        <w:ind w:left="2472"/>
      </w:pPr>
      <w:r>
        <w:rPr>
          <w:rFonts w:ascii="Futura MdCn BT"/>
          <w:color w:val="231F20"/>
        </w:rPr>
        <w:t>v</w:t>
      </w:r>
      <w:r>
        <w:rPr>
          <w:rFonts w:ascii="Futura MdCn BT"/>
          <w:color w:val="231F20"/>
          <w:spacing w:val="31"/>
        </w:rPr>
        <w:t>  </w:t>
      </w:r>
      <w:r>
        <w:rPr>
          <w:color w:val="231F20"/>
        </w:rPr>
        <w:t>The</w:t>
      </w:r>
      <w:r>
        <w:rPr>
          <w:color w:val="231F20"/>
          <w:spacing w:val="12"/>
        </w:rPr>
        <w:t> </w:t>
      </w:r>
      <w:r>
        <w:rPr>
          <w:color w:val="231F20"/>
        </w:rPr>
        <w:t>depot</w:t>
      </w:r>
      <w:r>
        <w:rPr>
          <w:color w:val="231F20"/>
          <w:spacing w:val="13"/>
        </w:rPr>
        <w:t> </w:t>
      </w:r>
      <w:r>
        <w:rPr>
          <w:color w:val="231F20"/>
        </w:rPr>
        <w:t>entry</w:t>
      </w:r>
      <w:r>
        <w:rPr>
          <w:color w:val="231F20"/>
          <w:spacing w:val="12"/>
        </w:rPr>
        <w:t> </w:t>
      </w:r>
      <w:r>
        <w:rPr>
          <w:color w:val="231F20"/>
        </w:rPr>
        <w:t>does</w:t>
      </w:r>
      <w:r>
        <w:rPr>
          <w:color w:val="231F20"/>
          <w:spacing w:val="12"/>
        </w:rPr>
        <w:t> </w:t>
      </w:r>
      <w:r>
        <w:rPr>
          <w:color w:val="231F20"/>
        </w:rPr>
        <w:t>not</w:t>
      </w:r>
      <w:r>
        <w:rPr>
          <w:color w:val="231F20"/>
          <w:spacing w:val="12"/>
        </w:rPr>
        <w:t> </w:t>
      </w:r>
      <w:r>
        <w:rPr>
          <w:color w:val="231F20"/>
        </w:rPr>
        <w:t>match</w:t>
      </w:r>
      <w:r>
        <w:rPr>
          <w:color w:val="231F20"/>
          <w:spacing w:val="12"/>
        </w:rPr>
        <w:t> </w:t>
      </w:r>
      <w:r>
        <w:rPr>
          <w:color w:val="231F20"/>
        </w:rPr>
        <w:t>the</w:t>
      </w:r>
      <w:r>
        <w:rPr>
          <w:color w:val="231F20"/>
          <w:spacing w:val="12"/>
        </w:rPr>
        <w:t> </w:t>
      </w:r>
      <w:r>
        <w:rPr>
          <w:color w:val="231F20"/>
        </w:rPr>
        <w:t>product</w:t>
      </w:r>
      <w:r>
        <w:rPr>
          <w:color w:val="231F20"/>
          <w:spacing w:val="12"/>
        </w:rPr>
        <w:t> </w:t>
      </w:r>
      <w:r>
        <w:rPr>
          <w:color w:val="231F20"/>
          <w:spacing w:val="-2"/>
        </w:rPr>
        <w:t>type.</w:t>
      </w:r>
    </w:p>
    <w:p>
      <w:pPr>
        <w:pStyle w:val="BodyText"/>
        <w:spacing w:line="213" w:lineRule="auto" w:before="53"/>
        <w:ind w:left="2688" w:right="274" w:hanging="216"/>
      </w:pPr>
      <w:r>
        <w:rPr>
          <w:rFonts w:ascii="Futura MdCn BT"/>
          <w:color w:val="231F20"/>
        </w:rPr>
        <w:t>v</w:t>
      </w:r>
      <w:r>
        <w:rPr>
          <w:rFonts w:ascii="Futura MdCn BT"/>
          <w:color w:val="231F20"/>
          <w:spacing w:val="80"/>
        </w:rPr>
        <w:t> </w:t>
      </w:r>
      <w:r>
        <w:rPr>
          <w:color w:val="231F20"/>
        </w:rPr>
        <w:t>The </w:t>
      </w:r>
      <w:r>
        <w:rPr>
          <w:rFonts w:ascii="Book Antiqua"/>
          <w:b/>
          <w:color w:val="231F20"/>
        </w:rPr>
        <w:t>VVRR </w:t>
      </w:r>
      <w:r>
        <w:rPr>
          <w:color w:val="231F20"/>
        </w:rPr>
        <w:t>fields for the agent and the depot entry are the same, where </w:t>
      </w:r>
      <w:r>
        <w:rPr>
          <w:rFonts w:ascii="Arial"/>
          <w:color w:val="231F20"/>
        </w:rPr>
        <w:t>VV </w:t>
      </w:r>
      <w:r>
        <w:rPr>
          <w:color w:val="231F20"/>
        </w:rPr>
        <w:t>is the version number and </w:t>
      </w:r>
      <w:r>
        <w:rPr>
          <w:rFonts w:ascii="Arial"/>
          <w:color w:val="231F20"/>
        </w:rPr>
        <w:t>RR </w:t>
      </w:r>
      <w:r>
        <w:rPr>
          <w:color w:val="231F20"/>
        </w:rPr>
        <w:t>is the revision number. For example, an entry of </w:t>
      </w:r>
      <w:r>
        <w:rPr>
          <w:rFonts w:ascii="Arial"/>
          <w:b/>
          <w:color w:val="231F20"/>
        </w:rPr>
        <w:t>0610 </w:t>
      </w:r>
      <w:r>
        <w:rPr>
          <w:color w:val="231F20"/>
        </w:rPr>
        <w:t>prevents you from applying a fix pack intended for a version 6.2 agent.</w:t>
      </w:r>
    </w:p>
    <w:p>
      <w:pPr>
        <w:pStyle w:val="BodyText"/>
        <w:spacing w:before="34"/>
        <w:ind w:left="2472"/>
      </w:pPr>
      <w:r>
        <w:rPr>
          <w:rFonts w:ascii="Futura MdCn BT"/>
          <w:color w:val="231F20"/>
        </w:rPr>
        <w:t>v</w:t>
      </w:r>
      <w:r>
        <w:rPr>
          <w:rFonts w:ascii="Futura MdCn BT"/>
          <w:color w:val="231F20"/>
          <w:spacing w:val="32"/>
        </w:rPr>
        <w:t>  </w:t>
      </w:r>
      <w:r>
        <w:rPr>
          <w:color w:val="231F20"/>
        </w:rPr>
        <w:t>The</w:t>
      </w:r>
      <w:r>
        <w:rPr>
          <w:color w:val="231F20"/>
          <w:spacing w:val="13"/>
        </w:rPr>
        <w:t> </w:t>
      </w:r>
      <w:r>
        <w:rPr>
          <w:color w:val="231F20"/>
        </w:rPr>
        <w:t>depot</w:t>
      </w:r>
      <w:r>
        <w:rPr>
          <w:color w:val="231F20"/>
          <w:spacing w:val="13"/>
        </w:rPr>
        <w:t> </w:t>
      </w:r>
      <w:r>
        <w:rPr>
          <w:color w:val="231F20"/>
        </w:rPr>
        <w:t>entry</w:t>
      </w:r>
      <w:r>
        <w:rPr>
          <w:color w:val="231F20"/>
          <w:spacing w:val="13"/>
        </w:rPr>
        <w:t> </w:t>
      </w:r>
      <w:r>
        <w:rPr>
          <w:color w:val="231F20"/>
        </w:rPr>
        <w:t>is</w:t>
      </w:r>
      <w:r>
        <w:rPr>
          <w:color w:val="231F20"/>
          <w:spacing w:val="13"/>
        </w:rPr>
        <w:t> </w:t>
      </w:r>
      <w:r>
        <w:rPr>
          <w:color w:val="231F20"/>
        </w:rPr>
        <w:t>at</w:t>
      </w:r>
      <w:r>
        <w:rPr>
          <w:color w:val="231F20"/>
          <w:spacing w:val="13"/>
        </w:rPr>
        <w:t> </w:t>
      </w:r>
      <w:r>
        <w:rPr>
          <w:color w:val="231F20"/>
        </w:rPr>
        <w:t>an</w:t>
      </w:r>
      <w:r>
        <w:rPr>
          <w:color w:val="231F20"/>
          <w:spacing w:val="13"/>
        </w:rPr>
        <w:t> </w:t>
      </w:r>
      <w:r>
        <w:rPr>
          <w:color w:val="231F20"/>
        </w:rPr>
        <w:t>older</w:t>
      </w:r>
      <w:r>
        <w:rPr>
          <w:color w:val="231F20"/>
          <w:spacing w:val="13"/>
        </w:rPr>
        <w:t> </w:t>
      </w:r>
      <w:r>
        <w:rPr>
          <w:color w:val="231F20"/>
        </w:rPr>
        <w:t>version</w:t>
      </w:r>
      <w:r>
        <w:rPr>
          <w:color w:val="231F20"/>
          <w:spacing w:val="14"/>
        </w:rPr>
        <w:t> </w:t>
      </w:r>
      <w:r>
        <w:rPr>
          <w:color w:val="231F20"/>
        </w:rPr>
        <w:t>than</w:t>
      </w:r>
      <w:r>
        <w:rPr>
          <w:color w:val="231F20"/>
          <w:spacing w:val="13"/>
        </w:rPr>
        <w:t> </w:t>
      </w:r>
      <w:r>
        <w:rPr>
          <w:color w:val="231F20"/>
        </w:rPr>
        <w:t>the</w:t>
      </w:r>
      <w:r>
        <w:rPr>
          <w:color w:val="231F20"/>
          <w:spacing w:val="13"/>
        </w:rPr>
        <w:t> </w:t>
      </w:r>
      <w:r>
        <w:rPr>
          <w:color w:val="231F20"/>
          <w:spacing w:val="-2"/>
        </w:rPr>
        <w:t>agent.</w:t>
      </w:r>
    </w:p>
    <w:p>
      <w:pPr>
        <w:pStyle w:val="BodyText"/>
        <w:spacing w:line="213" w:lineRule="auto" w:before="53"/>
        <w:ind w:left="2688" w:right="493" w:hanging="216"/>
      </w:pPr>
      <w:r>
        <w:rPr>
          <w:rFonts w:ascii="Futura MdCn BT"/>
          <w:color w:val="231F20"/>
        </w:rPr>
        <w:t>v</w:t>
      </w:r>
      <w:r>
        <w:rPr>
          <w:rFonts w:ascii="Futura MdCn BT"/>
          <w:color w:val="231F20"/>
          <w:spacing w:val="80"/>
        </w:rPr>
        <w:t> </w:t>
      </w:r>
      <w:r>
        <w:rPr>
          <w:color w:val="231F20"/>
        </w:rPr>
        <w:t>The host version field of the depot entry does not contain the host platform </w:t>
      </w:r>
      <w:r>
        <w:rPr>
          <w:color w:val="231F20"/>
        </w:rPr>
        <w:t>for</w:t>
      </w:r>
      <w:r>
        <w:rPr>
          <w:color w:val="231F20"/>
          <w:spacing w:val="40"/>
        </w:rPr>
        <w:t> </w:t>
      </w:r>
      <w:r>
        <w:rPr>
          <w:color w:val="231F20"/>
        </w:rPr>
        <w:t>the agent.</w:t>
      </w:r>
    </w:p>
    <w:p>
      <w:pPr>
        <w:pStyle w:val="BodyText"/>
        <w:spacing w:line="213" w:lineRule="auto" w:before="58"/>
        <w:ind w:left="2688" w:right="188" w:hanging="216"/>
      </w:pPr>
      <w:r>
        <w:rPr>
          <w:rFonts w:ascii="Futura MdCn BT"/>
          <w:color w:val="231F20"/>
        </w:rPr>
        <w:t>v</w:t>
      </w:r>
      <w:r>
        <w:rPr>
          <w:rFonts w:ascii="Futura MdCn BT"/>
          <w:color w:val="231F20"/>
          <w:spacing w:val="40"/>
        </w:rPr>
        <w:t>  </w:t>
      </w:r>
      <w:r>
        <w:rPr>
          <w:color w:val="231F20"/>
        </w:rPr>
        <w:t>The</w:t>
      </w:r>
      <w:r>
        <w:rPr>
          <w:color w:val="231F20"/>
          <w:spacing w:val="24"/>
        </w:rPr>
        <w:t> </w:t>
      </w:r>
      <w:r>
        <w:rPr>
          <w:color w:val="231F20"/>
        </w:rPr>
        <w:t>prereq</w:t>
      </w:r>
      <w:r>
        <w:rPr>
          <w:color w:val="231F20"/>
          <w:spacing w:val="24"/>
        </w:rPr>
        <w:t> </w:t>
      </w:r>
      <w:r>
        <w:rPr>
          <w:color w:val="231F20"/>
        </w:rPr>
        <w:t>field</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depot</w:t>
      </w:r>
      <w:r>
        <w:rPr>
          <w:color w:val="231F20"/>
          <w:spacing w:val="24"/>
        </w:rPr>
        <w:t> </w:t>
      </w:r>
      <w:r>
        <w:rPr>
          <w:color w:val="231F20"/>
        </w:rPr>
        <w:t>entry</w:t>
      </w:r>
      <w:r>
        <w:rPr>
          <w:color w:val="231F20"/>
          <w:spacing w:val="24"/>
        </w:rPr>
        <w:t> </w:t>
      </w:r>
      <w:r>
        <w:rPr>
          <w:color w:val="231F20"/>
        </w:rPr>
        <w:t>does</w:t>
      </w:r>
      <w:r>
        <w:rPr>
          <w:color w:val="231F20"/>
          <w:spacing w:val="24"/>
        </w:rPr>
        <w:t> </w:t>
      </w:r>
      <w:r>
        <w:rPr>
          <w:color w:val="231F20"/>
        </w:rPr>
        <w:t>not</w:t>
      </w:r>
      <w:r>
        <w:rPr>
          <w:color w:val="231F20"/>
          <w:spacing w:val="24"/>
        </w:rPr>
        <w:t> </w:t>
      </w:r>
      <w:r>
        <w:rPr>
          <w:color w:val="231F20"/>
        </w:rPr>
        <w:t>contain</w:t>
      </w:r>
      <w:r>
        <w:rPr>
          <w:color w:val="231F20"/>
          <w:spacing w:val="24"/>
        </w:rPr>
        <w:t> </w:t>
      </w:r>
      <w:r>
        <w:rPr>
          <w:color w:val="231F20"/>
        </w:rPr>
        <w:t>an</w:t>
      </w:r>
      <w:r>
        <w:rPr>
          <w:color w:val="231F20"/>
          <w:spacing w:val="24"/>
        </w:rPr>
        <w:t> </w:t>
      </w:r>
      <w:r>
        <w:rPr>
          <w:color w:val="231F20"/>
        </w:rPr>
        <w:t>agent</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same</w:t>
      </w:r>
      <w:r>
        <w:rPr>
          <w:color w:val="231F20"/>
          <w:spacing w:val="24"/>
        </w:rPr>
        <w:t> </w:t>
      </w:r>
      <w:r>
        <w:rPr>
          <w:color w:val="231F20"/>
        </w:rPr>
        <w:t>type as the agent itself. For example, if 6.1 UD (DB2 monitoring) is the selected </w:t>
      </w:r>
      <w:r>
        <w:rPr>
          <w:color w:val="231F20"/>
        </w:rPr>
        <w:t>agent,</w:t>
      </w:r>
      <w:r>
        <w:rPr>
          <w:color w:val="231F20"/>
        </w:rPr>
        <w:t> the prereq field in the depot entry must contain a deployment bundle notation </w:t>
      </w:r>
      <w:bookmarkStart w:name="Removing a managed system and monitoring" w:id="651"/>
      <w:bookmarkEnd w:id="651"/>
      <w:r>
        <w:rPr>
          <w:color w:val="231F20"/>
        </w:rPr>
        <w:t>such</w:t>
      </w:r>
      <w:r>
        <w:rPr>
          <w:color w:val="231F20"/>
        </w:rPr>
        <w:t> as ud:061000000, which is one way to denote a patch deployment bundle.</w:t>
      </w:r>
    </w:p>
    <w:p>
      <w:pPr>
        <w:pStyle w:val="Heading3"/>
        <w:spacing w:before="216"/>
        <w:ind w:left="0" w:right="75"/>
        <w:jc w:val="center"/>
      </w:pPr>
      <w:r>
        <w:rPr>
          <w:color w:val="231F20"/>
        </w:rPr>
        <w:t>Removing</w:t>
      </w:r>
      <w:r>
        <w:rPr>
          <w:color w:val="231F20"/>
          <w:spacing w:val="5"/>
        </w:rPr>
        <w:t> </w:t>
      </w:r>
      <w:r>
        <w:rPr>
          <w:color w:val="231F20"/>
        </w:rPr>
        <w:t>a</w:t>
      </w:r>
      <w:r>
        <w:rPr>
          <w:color w:val="231F20"/>
          <w:spacing w:val="6"/>
        </w:rPr>
        <w:t> </w:t>
      </w:r>
      <w:r>
        <w:rPr>
          <w:color w:val="231F20"/>
        </w:rPr>
        <w:t>managed</w:t>
      </w:r>
      <w:r>
        <w:rPr>
          <w:color w:val="231F20"/>
          <w:spacing w:val="5"/>
        </w:rPr>
        <w:t> </w:t>
      </w:r>
      <w:r>
        <w:rPr>
          <w:color w:val="231F20"/>
        </w:rPr>
        <w:t>system</w:t>
      </w:r>
      <w:r>
        <w:rPr>
          <w:color w:val="231F20"/>
          <w:spacing w:val="6"/>
        </w:rPr>
        <w:t> </w:t>
      </w:r>
      <w:r>
        <w:rPr>
          <w:color w:val="231F20"/>
        </w:rPr>
        <w:t>and</w:t>
      </w:r>
      <w:r>
        <w:rPr>
          <w:color w:val="231F20"/>
          <w:spacing w:val="5"/>
        </w:rPr>
        <w:t> </w:t>
      </w:r>
      <w:r>
        <w:rPr>
          <w:color w:val="231F20"/>
        </w:rPr>
        <w:t>monitoring</w:t>
      </w:r>
      <w:r>
        <w:rPr>
          <w:color w:val="231F20"/>
          <w:spacing w:val="6"/>
        </w:rPr>
        <w:t> </w:t>
      </w:r>
      <w:r>
        <w:rPr>
          <w:color w:val="231F20"/>
          <w:spacing w:val="-2"/>
        </w:rPr>
        <w:t>agent</w:t>
      </w:r>
    </w:p>
    <w:p>
      <w:pPr>
        <w:pStyle w:val="BodyText"/>
        <w:spacing w:line="213" w:lineRule="auto" w:before="58"/>
        <w:ind w:left="2472"/>
      </w:pPr>
      <w:r>
        <w:rPr>
          <w:color w:val="231F20"/>
        </w:rPr>
        <w:t>Use </w:t>
      </w:r>
      <w:r>
        <w:rPr>
          <w:color w:val="231F20"/>
          <w:spacing w:val="-24"/>
          <w:position w:val="-1"/>
        </w:rPr>
        <w:drawing>
          <wp:inline distT="0" distB="0" distL="0" distR="0">
            <wp:extent cx="95250" cy="95250"/>
            <wp:effectExtent l="0" t="0" r="0" b="0"/>
            <wp:docPr id="3167" name="Image 3167"/>
            <wp:cNvGraphicFramePr>
              <a:graphicFrameLocks/>
            </wp:cNvGraphicFramePr>
            <a:graphic>
              <a:graphicData uri="http://schemas.openxmlformats.org/drawingml/2006/picture">
                <pic:pic>
                  <pic:nvPicPr>
                    <pic:cNvPr id="3167" name="Image 3167"/>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rPr>
      </w:r>
      <w:r>
        <w:rPr>
          <w:rFonts w:ascii="Times New Roman"/>
          <w:color w:val="231F20"/>
          <w:spacing w:val="77"/>
        </w:rPr>
        <w:t> </w:t>
      </w:r>
      <w:r>
        <w:rPr>
          <w:rFonts w:ascii="Book Antiqua"/>
          <w:b/>
          <w:color w:val="231F20"/>
        </w:rPr>
        <w:t>Remove </w:t>
      </w:r>
      <w:r>
        <w:rPr>
          <w:color w:val="231F20"/>
        </w:rPr>
        <w:t>to stop a managed system and permanently remove it from </w:t>
      </w:r>
      <w:r>
        <w:rPr>
          <w:color w:val="231F20"/>
        </w:rPr>
        <w:t>the Navigator Physical view.</w:t>
      </w:r>
    </w:p>
    <w:p>
      <w:pPr>
        <w:spacing w:before="215"/>
        <w:ind w:left="2472" w:right="0" w:firstLine="0"/>
        <w:jc w:val="left"/>
        <w:rPr>
          <w:sz w:val="20"/>
        </w:rPr>
      </w:pPr>
      <w:r>
        <w:rPr>
          <w:color w:val="231F20"/>
          <w:sz w:val="20"/>
        </w:rPr>
        <w:t>(You</w:t>
      </w:r>
      <w:r>
        <w:rPr>
          <w:color w:val="231F20"/>
          <w:spacing w:val="11"/>
          <w:sz w:val="20"/>
        </w:rPr>
        <w:t> </w:t>
      </w:r>
      <w:r>
        <w:rPr>
          <w:color w:val="231F20"/>
          <w:sz w:val="20"/>
        </w:rPr>
        <w:t>can</w:t>
      </w:r>
      <w:r>
        <w:rPr>
          <w:color w:val="231F20"/>
          <w:spacing w:val="11"/>
          <w:sz w:val="20"/>
        </w:rPr>
        <w:t> </w:t>
      </w:r>
      <w:r>
        <w:rPr>
          <w:color w:val="231F20"/>
          <w:sz w:val="20"/>
        </w:rPr>
        <w:t>add</w:t>
      </w:r>
      <w:r>
        <w:rPr>
          <w:color w:val="231F20"/>
          <w:spacing w:val="12"/>
          <w:sz w:val="20"/>
        </w:rPr>
        <w:t> </w:t>
      </w:r>
      <w:r>
        <w:rPr>
          <w:color w:val="231F20"/>
          <w:sz w:val="20"/>
        </w:rPr>
        <w:t>it</w:t>
      </w:r>
      <w:r>
        <w:rPr>
          <w:color w:val="231F20"/>
          <w:spacing w:val="11"/>
          <w:sz w:val="20"/>
        </w:rPr>
        <w:t> </w:t>
      </w:r>
      <w:r>
        <w:rPr>
          <w:color w:val="231F20"/>
          <w:sz w:val="20"/>
        </w:rPr>
        <w:t>back</w:t>
      </w:r>
      <w:r>
        <w:rPr>
          <w:color w:val="231F20"/>
          <w:spacing w:val="12"/>
          <w:sz w:val="20"/>
        </w:rPr>
        <w:t> </w:t>
      </w:r>
      <w:r>
        <w:rPr>
          <w:color w:val="231F20"/>
          <w:sz w:val="20"/>
        </w:rPr>
        <w:t>in</w:t>
      </w:r>
      <w:r>
        <w:rPr>
          <w:color w:val="231F20"/>
          <w:spacing w:val="11"/>
          <w:sz w:val="20"/>
        </w:rPr>
        <w:t> </w:t>
      </w:r>
      <w:r>
        <w:rPr>
          <w:color w:val="231F20"/>
          <w:sz w:val="20"/>
        </w:rPr>
        <w:t>at</w:t>
      </w:r>
      <w:r>
        <w:rPr>
          <w:color w:val="231F20"/>
          <w:spacing w:val="12"/>
          <w:sz w:val="20"/>
        </w:rPr>
        <w:t> </w:t>
      </w:r>
      <w:r>
        <w:rPr>
          <w:color w:val="231F20"/>
          <w:sz w:val="20"/>
        </w:rPr>
        <w:t>a</w:t>
      </w:r>
      <w:r>
        <w:rPr>
          <w:color w:val="231F20"/>
          <w:spacing w:val="11"/>
          <w:sz w:val="20"/>
        </w:rPr>
        <w:t> </w:t>
      </w:r>
      <w:r>
        <w:rPr>
          <w:color w:val="231F20"/>
          <w:sz w:val="20"/>
        </w:rPr>
        <w:t>later</w:t>
      </w:r>
      <w:r>
        <w:rPr>
          <w:color w:val="231F20"/>
          <w:spacing w:val="12"/>
          <w:sz w:val="20"/>
        </w:rPr>
        <w:t> </w:t>
      </w:r>
      <w:r>
        <w:rPr>
          <w:color w:val="231F20"/>
          <w:sz w:val="20"/>
        </w:rPr>
        <w:t>time</w:t>
      </w:r>
      <w:r>
        <w:rPr>
          <w:color w:val="231F20"/>
          <w:spacing w:val="11"/>
          <w:sz w:val="20"/>
        </w:rPr>
        <w:t> </w:t>
      </w:r>
      <w:r>
        <w:rPr>
          <w:color w:val="231F20"/>
          <w:sz w:val="20"/>
        </w:rPr>
        <w:t>using</w:t>
      </w:r>
      <w:r>
        <w:rPr>
          <w:color w:val="231F20"/>
          <w:spacing w:val="20"/>
          <w:sz w:val="20"/>
        </w:rPr>
        <w:t> </w:t>
      </w:r>
      <w:r>
        <w:rPr>
          <w:color w:val="231F20"/>
          <w:spacing w:val="-25"/>
          <w:position w:val="-1"/>
          <w:sz w:val="20"/>
        </w:rPr>
        <w:drawing>
          <wp:inline distT="0" distB="0" distL="0" distR="0">
            <wp:extent cx="95250" cy="95250"/>
            <wp:effectExtent l="0" t="0" r="0" b="0"/>
            <wp:docPr id="3168" name="Image 3168"/>
            <wp:cNvGraphicFramePr>
              <a:graphicFrameLocks/>
            </wp:cNvGraphicFramePr>
            <a:graphic>
              <a:graphicData uri="http://schemas.openxmlformats.org/drawingml/2006/picture">
                <pic:pic>
                  <pic:nvPicPr>
                    <pic:cNvPr id="3168" name="Image 3168"/>
                    <pic:cNvPicPr/>
                  </pic:nvPicPr>
                  <pic:blipFill>
                    <a:blip r:embed="rId471" cstate="print"/>
                    <a:stretch>
                      <a:fillRect/>
                    </a:stretch>
                  </pic:blipFill>
                  <pic:spPr>
                    <a:xfrm>
                      <a:off x="0" y="0"/>
                      <a:ext cx="95250" cy="95250"/>
                    </a:xfrm>
                    <a:prstGeom prst="rect">
                      <a:avLst/>
                    </a:prstGeom>
                  </pic:spPr>
                </pic:pic>
              </a:graphicData>
            </a:graphic>
          </wp:inline>
        </w:drawing>
      </w:r>
      <w:r>
        <w:rPr>
          <w:color w:val="231F20"/>
          <w:spacing w:val="-25"/>
          <w:position w:val="-1"/>
          <w:sz w:val="20"/>
        </w:rPr>
      </w:r>
      <w:r>
        <w:rPr>
          <w:rFonts w:ascii="Times New Roman"/>
          <w:color w:val="231F20"/>
          <w:spacing w:val="19"/>
          <w:sz w:val="20"/>
        </w:rPr>
        <w:t> </w:t>
      </w:r>
      <w:r>
        <w:rPr>
          <w:rFonts w:ascii="Book Antiqua"/>
          <w:b/>
          <w:color w:val="231F20"/>
          <w:sz w:val="20"/>
        </w:rPr>
        <w:t>Add</w:t>
      </w:r>
      <w:r>
        <w:rPr>
          <w:rFonts w:ascii="Book Antiqua"/>
          <w:b/>
          <w:color w:val="231F20"/>
          <w:spacing w:val="11"/>
          <w:sz w:val="20"/>
        </w:rPr>
        <w:t> </w:t>
      </w:r>
      <w:r>
        <w:rPr>
          <w:rFonts w:ascii="Book Antiqua"/>
          <w:b/>
          <w:color w:val="231F20"/>
          <w:sz w:val="20"/>
        </w:rPr>
        <w:t>Managed</w:t>
      </w:r>
      <w:r>
        <w:rPr>
          <w:rFonts w:ascii="Book Antiqua"/>
          <w:b/>
          <w:color w:val="231F20"/>
          <w:spacing w:val="12"/>
          <w:sz w:val="20"/>
        </w:rPr>
        <w:t> </w:t>
      </w:r>
      <w:r>
        <w:rPr>
          <w:rFonts w:ascii="Book Antiqua"/>
          <w:b/>
          <w:color w:val="231F20"/>
          <w:spacing w:val="-2"/>
          <w:sz w:val="20"/>
        </w:rPr>
        <w:t>System</w:t>
      </w:r>
      <w:r>
        <w:rPr>
          <w:color w:val="231F20"/>
          <w:spacing w:val="-2"/>
          <w:sz w:val="20"/>
        </w:rPr>
        <w:t>.)</w:t>
      </w:r>
    </w:p>
    <w:p>
      <w:pPr>
        <w:pStyle w:val="Heading4"/>
        <w:spacing w:before="194"/>
        <w:ind w:left="2472"/>
      </w:pPr>
      <w:r>
        <w:rPr>
          <w:color w:val="231F20"/>
        </w:rPr>
        <w:t>Before</w:t>
      </w:r>
      <w:r>
        <w:rPr>
          <w:color w:val="231F20"/>
          <w:spacing w:val="7"/>
        </w:rPr>
        <w:t> </w:t>
      </w:r>
      <w:r>
        <w:rPr>
          <w:color w:val="231F20"/>
        </w:rPr>
        <w:t>you</w:t>
      </w:r>
      <w:r>
        <w:rPr>
          <w:color w:val="231F20"/>
          <w:spacing w:val="7"/>
        </w:rPr>
        <w:t> </w:t>
      </w:r>
      <w:r>
        <w:rPr>
          <w:color w:val="231F20"/>
          <w:spacing w:val="-2"/>
        </w:rPr>
        <w:t>begin</w:t>
      </w:r>
    </w:p>
    <w:p>
      <w:pPr>
        <w:pStyle w:val="BodyText"/>
        <w:spacing w:line="213" w:lineRule="auto" w:before="242"/>
        <w:ind w:left="2472" w:right="545"/>
      </w:pPr>
      <w:r>
        <w:rPr>
          <w:color w:val="231F20"/>
        </w:rPr>
        <w:t>To use this feature, your user ID must have Manage permission for </w:t>
      </w:r>
      <w:r>
        <w:rPr>
          <w:color w:val="231F20"/>
        </w:rPr>
        <w:t>Agent </w:t>
      </w:r>
      <w:r>
        <w:rPr>
          <w:color w:val="231F20"/>
          <w:spacing w:val="-2"/>
        </w:rPr>
        <w:t>Management.</w:t>
      </w:r>
    </w:p>
    <w:p>
      <w:pPr>
        <w:pStyle w:val="Heading4"/>
        <w:ind w:left="2472"/>
      </w:pPr>
      <w:r>
        <w:rPr>
          <w:color w:val="231F20"/>
        </w:rPr>
        <w:t>About</w:t>
      </w:r>
      <w:r>
        <w:rPr>
          <w:color w:val="231F20"/>
          <w:spacing w:val="7"/>
        </w:rPr>
        <w:t> </w:t>
      </w:r>
      <w:r>
        <w:rPr>
          <w:color w:val="231F20"/>
        </w:rPr>
        <w:t>this</w:t>
      </w:r>
      <w:r>
        <w:rPr>
          <w:color w:val="231F20"/>
          <w:spacing w:val="7"/>
        </w:rPr>
        <w:t> </w:t>
      </w:r>
      <w:r>
        <w:rPr>
          <w:color w:val="231F20"/>
          <w:spacing w:val="-4"/>
        </w:rPr>
        <w:t>task</w:t>
      </w:r>
    </w:p>
    <w:p>
      <w:pPr>
        <w:pStyle w:val="BodyText"/>
        <w:spacing w:line="213" w:lineRule="auto" w:before="241"/>
        <w:ind w:left="2472" w:right="545"/>
      </w:pPr>
      <w:r>
        <w:rPr>
          <w:color w:val="231F20"/>
        </w:rPr>
        <w:t>After you have removed all managed systems, you can choose to completely uninstall the monitoring agent. If you plan to reinstall the monitoring agent </w:t>
      </w:r>
      <w:r>
        <w:rPr>
          <w:color w:val="231F20"/>
        </w:rPr>
        <w:t>in future, it is best to leave it installed.</w:t>
      </w:r>
    </w:p>
    <w:p>
      <w:pPr>
        <w:pStyle w:val="Heading4"/>
        <w:spacing w:before="199"/>
        <w:ind w:left="2472"/>
      </w:pPr>
      <w:r>
        <w:rPr>
          <w:color w:val="231F20"/>
          <w:spacing w:val="-2"/>
        </w:rPr>
        <w:t>Procedure</w:t>
      </w:r>
    </w:p>
    <w:p>
      <w:pPr>
        <w:pStyle w:val="ListParagraph"/>
        <w:numPr>
          <w:ilvl w:val="0"/>
          <w:numId w:val="187"/>
        </w:numPr>
        <w:tabs>
          <w:tab w:pos="2787" w:val="left" w:leader="none"/>
        </w:tabs>
        <w:spacing w:line="240" w:lineRule="auto" w:before="38" w:after="0"/>
        <w:ind w:left="2787" w:right="0" w:hanging="315"/>
        <w:jc w:val="left"/>
        <w:rPr>
          <w:sz w:val="20"/>
        </w:rPr>
      </w:pPr>
      <w:r>
        <w:rPr>
          <w:color w:val="231F20"/>
          <w:sz w:val="20"/>
        </w:rPr>
        <w:t>Right-click</w:t>
      </w:r>
      <w:r>
        <w:rPr>
          <w:color w:val="231F20"/>
          <w:spacing w:val="11"/>
          <w:sz w:val="20"/>
        </w:rPr>
        <w:t> </w:t>
      </w:r>
      <w:r>
        <w:rPr>
          <w:color w:val="231F20"/>
          <w:sz w:val="20"/>
        </w:rPr>
        <w:t>the</w:t>
      </w:r>
      <w:r>
        <w:rPr>
          <w:color w:val="231F20"/>
          <w:spacing w:val="21"/>
          <w:sz w:val="20"/>
        </w:rPr>
        <w:t> </w:t>
      </w:r>
      <w:r>
        <w:rPr>
          <w:color w:val="231F20"/>
          <w:spacing w:val="-24"/>
          <w:position w:val="-1"/>
          <w:sz w:val="20"/>
        </w:rPr>
        <w:drawing>
          <wp:inline distT="0" distB="0" distL="0" distR="0">
            <wp:extent cx="95250" cy="95250"/>
            <wp:effectExtent l="0" t="0" r="0" b="0"/>
            <wp:docPr id="3169" name="Image 3169"/>
            <wp:cNvGraphicFramePr>
              <a:graphicFrameLocks/>
            </wp:cNvGraphicFramePr>
            <a:graphic>
              <a:graphicData uri="http://schemas.openxmlformats.org/drawingml/2006/picture">
                <pic:pic>
                  <pic:nvPicPr>
                    <pic:cNvPr id="3169" name="Image 3169"/>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56"/>
          <w:w w:val="150"/>
          <w:sz w:val="20"/>
        </w:rPr>
        <w:t> </w:t>
      </w:r>
      <w:r>
        <w:rPr>
          <w:color w:val="231F20"/>
          <w:sz w:val="20"/>
        </w:rPr>
        <w:t>agent</w:t>
      </w:r>
      <w:r>
        <w:rPr>
          <w:color w:val="231F20"/>
          <w:spacing w:val="11"/>
          <w:sz w:val="20"/>
        </w:rPr>
        <w:t> </w:t>
      </w:r>
      <w:r>
        <w:rPr>
          <w:color w:val="231F20"/>
          <w:sz w:val="20"/>
        </w:rPr>
        <w:t>Navigator</w:t>
      </w:r>
      <w:r>
        <w:rPr>
          <w:color w:val="231F20"/>
          <w:spacing w:val="12"/>
          <w:sz w:val="20"/>
        </w:rPr>
        <w:t> </w:t>
      </w:r>
      <w:r>
        <w:rPr>
          <w:color w:val="231F20"/>
          <w:spacing w:val="-2"/>
          <w:sz w:val="20"/>
        </w:rPr>
        <w:t>item.</w:t>
      </w:r>
    </w:p>
    <w:p>
      <w:pPr>
        <w:pStyle w:val="ListParagraph"/>
        <w:numPr>
          <w:ilvl w:val="0"/>
          <w:numId w:val="187"/>
        </w:numPr>
        <w:tabs>
          <w:tab w:pos="2787" w:val="left" w:leader="none"/>
        </w:tabs>
        <w:spacing w:line="240" w:lineRule="auto" w:before="30" w:after="0"/>
        <w:ind w:left="2787" w:right="0" w:hanging="315"/>
        <w:jc w:val="left"/>
        <w:rPr>
          <w:sz w:val="20"/>
        </w:rPr>
      </w:pPr>
      <w:r>
        <w:rPr>
          <w:color w:val="231F20"/>
          <w:sz w:val="20"/>
        </w:rPr>
        <w:t>Click</w:t>
      </w:r>
      <w:r>
        <w:rPr>
          <w:color w:val="231F20"/>
          <w:spacing w:val="24"/>
          <w:sz w:val="20"/>
        </w:rPr>
        <w:t> </w:t>
      </w:r>
      <w:r>
        <w:rPr>
          <w:color w:val="231F20"/>
          <w:spacing w:val="-24"/>
          <w:position w:val="-1"/>
          <w:sz w:val="20"/>
        </w:rPr>
        <w:drawing>
          <wp:inline distT="0" distB="0" distL="0" distR="0">
            <wp:extent cx="95250" cy="95250"/>
            <wp:effectExtent l="0" t="0" r="0" b="0"/>
            <wp:docPr id="3170" name="Image 3170"/>
            <wp:cNvGraphicFramePr>
              <a:graphicFrameLocks/>
            </wp:cNvGraphicFramePr>
            <a:graphic>
              <a:graphicData uri="http://schemas.openxmlformats.org/drawingml/2006/picture">
                <pic:pic>
                  <pic:nvPicPr>
                    <pic:cNvPr id="3170" name="Image 3170"/>
                    <pic:cNvPicPr/>
                  </pic:nvPicPr>
                  <pic:blipFill>
                    <a:blip r:embed="rId69" cstate="print"/>
                    <a:stretch>
                      <a:fillRect/>
                    </a:stretch>
                  </pic:blipFill>
                  <pic:spPr>
                    <a:xfrm>
                      <a:off x="0" y="0"/>
                      <a:ext cx="95250" cy="95250"/>
                    </a:xfrm>
                    <a:prstGeom prst="rect">
                      <a:avLst/>
                    </a:prstGeom>
                  </pic:spPr>
                </pic:pic>
              </a:graphicData>
            </a:graphic>
          </wp:inline>
        </w:drawing>
      </w:r>
      <w:r>
        <w:rPr>
          <w:color w:val="231F20"/>
          <w:spacing w:val="-24"/>
          <w:position w:val="-1"/>
          <w:sz w:val="20"/>
        </w:rPr>
      </w:r>
      <w:r>
        <w:rPr>
          <w:rFonts w:ascii="Times New Roman"/>
          <w:color w:val="231F20"/>
          <w:spacing w:val="61"/>
          <w:w w:val="150"/>
          <w:sz w:val="20"/>
        </w:rPr>
        <w:t> </w:t>
      </w:r>
      <w:r>
        <w:rPr>
          <w:rFonts w:ascii="Book Antiqua"/>
          <w:b/>
          <w:color w:val="231F20"/>
          <w:spacing w:val="-2"/>
          <w:sz w:val="20"/>
        </w:rPr>
        <w:t>Remove</w:t>
      </w:r>
      <w:r>
        <w:rPr>
          <w:color w:val="231F20"/>
          <w:spacing w:val="-2"/>
          <w:sz w:val="20"/>
        </w:rPr>
        <w:t>.</w:t>
      </w:r>
    </w:p>
    <w:p>
      <w:pPr>
        <w:spacing w:after="0" w:line="240" w:lineRule="auto"/>
        <w:jc w:val="left"/>
        <w:rPr>
          <w:sz w:val="20"/>
        </w:rPr>
        <w:sectPr>
          <w:pgSz w:w="12240" w:h="15840"/>
          <w:pgMar w:header="0" w:footer="736" w:top="1180" w:bottom="920" w:left="1000" w:right="1060"/>
        </w:sectPr>
      </w:pPr>
    </w:p>
    <w:p>
      <w:pPr>
        <w:pStyle w:val="ListParagraph"/>
        <w:numPr>
          <w:ilvl w:val="0"/>
          <w:numId w:val="187"/>
        </w:numPr>
        <w:tabs>
          <w:tab w:pos="2548" w:val="left" w:leader="none"/>
        </w:tabs>
        <w:spacing w:line="213" w:lineRule="auto" w:before="85" w:after="0"/>
        <w:ind w:left="2548" w:right="796" w:hanging="316"/>
        <w:jc w:val="left"/>
        <w:rPr>
          <w:sz w:val="20"/>
        </w:rPr>
      </w:pPr>
      <w:bookmarkStart w:name="_bookmark315" w:id="652"/>
      <w:bookmarkEnd w:id="652"/>
      <w:r>
        <w:rPr/>
      </w:r>
      <w:r>
        <w:rPr>
          <w:color w:val="231F20"/>
          <w:sz w:val="20"/>
        </w:rPr>
        <w:t>Click </w:t>
      </w:r>
      <w:r>
        <w:rPr>
          <w:rFonts w:ascii="Book Antiqua"/>
          <w:b/>
          <w:color w:val="231F20"/>
          <w:sz w:val="20"/>
        </w:rPr>
        <w:t>Yes </w:t>
      </w:r>
      <w:r>
        <w:rPr>
          <w:color w:val="231F20"/>
          <w:sz w:val="20"/>
        </w:rPr>
        <w:t>when a message asks you to confirm the removal of the managed system; or </w:t>
      </w:r>
      <w:r>
        <w:rPr>
          <w:rFonts w:ascii="Book Antiqua"/>
          <w:b/>
          <w:color w:val="231F20"/>
          <w:sz w:val="20"/>
        </w:rPr>
        <w:t>No </w:t>
      </w:r>
      <w:r>
        <w:rPr>
          <w:color w:val="231F20"/>
          <w:sz w:val="20"/>
        </w:rPr>
        <w:t>to cancel.</w:t>
      </w:r>
    </w:p>
    <w:p>
      <w:pPr>
        <w:pStyle w:val="ListParagraph"/>
        <w:numPr>
          <w:ilvl w:val="0"/>
          <w:numId w:val="187"/>
        </w:numPr>
        <w:tabs>
          <w:tab w:pos="2548" w:val="left" w:leader="none"/>
        </w:tabs>
        <w:spacing w:line="213" w:lineRule="auto" w:before="58" w:after="0"/>
        <w:ind w:left="2548" w:right="447" w:hanging="316"/>
        <w:jc w:val="left"/>
        <w:rPr>
          <w:sz w:val="20"/>
        </w:rPr>
      </w:pPr>
      <w:r>
        <w:rPr>
          <w:color w:val="231F20"/>
          <w:sz w:val="20"/>
        </w:rPr>
        <w:t>If another message asks you to confirm that you want to uninstall the</w:t>
      </w:r>
      <w:r>
        <w:rPr>
          <w:color w:val="231F20"/>
          <w:spacing w:val="80"/>
          <w:sz w:val="20"/>
        </w:rPr>
        <w:t> </w:t>
      </w:r>
      <w:r>
        <w:rPr>
          <w:color w:val="231F20"/>
          <w:sz w:val="20"/>
        </w:rPr>
        <w:t>monitoring agent, click </w:t>
      </w:r>
      <w:r>
        <w:rPr>
          <w:rFonts w:ascii="Book Antiqua"/>
          <w:b/>
          <w:color w:val="231F20"/>
          <w:sz w:val="20"/>
        </w:rPr>
        <w:t>Yes </w:t>
      </w:r>
      <w:r>
        <w:rPr>
          <w:color w:val="231F20"/>
          <w:sz w:val="20"/>
        </w:rPr>
        <w:t>to permanently uninstall the monitoring agent </w:t>
      </w:r>
      <w:r>
        <w:rPr>
          <w:color w:val="231F20"/>
          <w:sz w:val="20"/>
        </w:rPr>
        <w:t>from the computer; or </w:t>
      </w:r>
      <w:r>
        <w:rPr>
          <w:rFonts w:ascii="Book Antiqua"/>
          <w:b/>
          <w:color w:val="231F20"/>
          <w:sz w:val="20"/>
        </w:rPr>
        <w:t>No </w:t>
      </w:r>
      <w:r>
        <w:rPr>
          <w:color w:val="231F20"/>
          <w:sz w:val="20"/>
        </w:rPr>
        <w:t>to cancel.</w:t>
      </w:r>
    </w:p>
    <w:p>
      <w:pPr>
        <w:pStyle w:val="Heading4"/>
        <w:spacing w:before="199"/>
      </w:pPr>
      <w:r>
        <w:rPr>
          <w:color w:val="231F20"/>
          <w:spacing w:val="-2"/>
        </w:rPr>
        <w:t>Results</w:t>
      </w:r>
    </w:p>
    <w:p>
      <w:pPr>
        <w:pStyle w:val="BodyText"/>
        <w:spacing w:before="218"/>
        <w:ind w:left="2232"/>
      </w:pPr>
      <w:r>
        <w:rPr>
          <w:color w:val="231F20"/>
        </w:rPr>
        <w:t>The</w:t>
      </w:r>
      <w:r>
        <w:rPr>
          <w:color w:val="231F20"/>
          <w:spacing w:val="12"/>
        </w:rPr>
        <w:t> </w:t>
      </w:r>
      <w:r>
        <w:rPr>
          <w:color w:val="231F20"/>
        </w:rPr>
        <w:t>agent</w:t>
      </w:r>
      <w:r>
        <w:rPr>
          <w:color w:val="231F20"/>
          <w:spacing w:val="12"/>
        </w:rPr>
        <w:t> </w:t>
      </w:r>
      <w:r>
        <w:rPr>
          <w:color w:val="231F20"/>
        </w:rPr>
        <w:t>item</w:t>
      </w:r>
      <w:r>
        <w:rPr>
          <w:color w:val="231F20"/>
          <w:spacing w:val="12"/>
        </w:rPr>
        <w:t> </w:t>
      </w:r>
      <w:r>
        <w:rPr>
          <w:color w:val="231F20"/>
        </w:rPr>
        <w:t>no</w:t>
      </w:r>
      <w:r>
        <w:rPr>
          <w:color w:val="231F20"/>
          <w:spacing w:val="12"/>
        </w:rPr>
        <w:t> </w:t>
      </w:r>
      <w:r>
        <w:rPr>
          <w:color w:val="231F20"/>
        </w:rPr>
        <w:t>longer</w:t>
      </w:r>
      <w:r>
        <w:rPr>
          <w:color w:val="231F20"/>
          <w:spacing w:val="12"/>
        </w:rPr>
        <w:t> </w:t>
      </w:r>
      <w:r>
        <w:rPr>
          <w:color w:val="231F20"/>
        </w:rPr>
        <w:t>appears</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spacing w:val="-2"/>
        </w:rPr>
        <w:t>Navigator.</w:t>
      </w:r>
    </w:p>
    <w:p>
      <w:pPr>
        <w:pStyle w:val="Heading6"/>
        <w:spacing w:line="240" w:lineRule="auto" w:before="30"/>
        <w:ind w:left="2232"/>
        <w:rPr>
          <w:rFonts w:ascii="Palatino Linotype"/>
          <w:b w:val="0"/>
        </w:rPr>
      </w:pPr>
      <w:r>
        <w:rPr>
          <w:color w:val="231F20"/>
        </w:rPr>
        <w:t>Related</w:t>
      </w:r>
      <w:r>
        <w:rPr>
          <w:color w:val="231F20"/>
          <w:spacing w:val="9"/>
        </w:rPr>
        <w:t> </w:t>
      </w:r>
      <w:r>
        <w:rPr>
          <w:color w:val="231F20"/>
          <w:spacing w:val="-2"/>
        </w:rPr>
        <w:t>tasks</w:t>
      </w:r>
      <w:r>
        <w:rPr>
          <w:rFonts w:ascii="Palatino Linotype"/>
          <w:b w:val="0"/>
          <w:color w:val="231F20"/>
          <w:spacing w:val="-2"/>
        </w:rPr>
        <w:t>:</w:t>
      </w:r>
    </w:p>
    <w:p>
      <w:pPr>
        <w:pStyle w:val="BodyText"/>
        <w:spacing w:line="255" w:lineRule="exact" w:before="30"/>
        <w:ind w:left="2232"/>
      </w:pPr>
      <w:hyperlink w:history="true" w:anchor="_bookmark22">
        <w:r>
          <w:rPr>
            <w:color w:val="231F20"/>
          </w:rPr>
          <w:t>“Removing</w:t>
        </w:r>
        <w:r>
          <w:rPr>
            <w:color w:val="231F20"/>
            <w:spacing w:val="9"/>
          </w:rPr>
          <w:t> </w:t>
        </w:r>
        <w:r>
          <w:rPr>
            <w:color w:val="231F20"/>
          </w:rPr>
          <w:t>an</w:t>
        </w:r>
        <w:r>
          <w:rPr>
            <w:color w:val="231F20"/>
            <w:spacing w:val="10"/>
          </w:rPr>
          <w:t> </w:t>
        </w:r>
        <w:r>
          <w:rPr>
            <w:color w:val="231F20"/>
          </w:rPr>
          <w:t>offline</w:t>
        </w:r>
        <w:r>
          <w:rPr>
            <w:color w:val="231F20"/>
            <w:spacing w:val="10"/>
          </w:rPr>
          <w:t> </w:t>
        </w:r>
        <w:r>
          <w:rPr>
            <w:color w:val="231F20"/>
          </w:rPr>
          <w:t>managed</w:t>
        </w:r>
        <w:r>
          <w:rPr>
            <w:color w:val="231F20"/>
            <w:spacing w:val="9"/>
          </w:rPr>
          <w:t> </w:t>
        </w:r>
        <w:r>
          <w:rPr>
            <w:color w:val="231F20"/>
          </w:rPr>
          <w:t>system</w:t>
        </w:r>
        <w:r>
          <w:rPr>
            <w:color w:val="231F20"/>
            <w:spacing w:val="10"/>
          </w:rPr>
          <w:t> </w:t>
        </w:r>
        <w:r>
          <w:rPr>
            <w:color w:val="231F20"/>
          </w:rPr>
          <w:t>Navigator</w:t>
        </w:r>
        <w:r>
          <w:rPr>
            <w:color w:val="231F20"/>
            <w:spacing w:val="10"/>
          </w:rPr>
          <w:t> </w:t>
        </w:r>
        <w:r>
          <w:rPr>
            <w:color w:val="231F20"/>
          </w:rPr>
          <w:t>item”</w:t>
        </w:r>
        <w:r>
          <w:rPr>
            <w:color w:val="231F20"/>
            <w:spacing w:val="9"/>
          </w:rPr>
          <w:t> </w:t>
        </w:r>
        <w:r>
          <w:rPr>
            <w:color w:val="231F20"/>
          </w:rPr>
          <w:t>on</w:t>
        </w:r>
        <w:r>
          <w:rPr>
            <w:color w:val="231F20"/>
            <w:spacing w:val="10"/>
          </w:rPr>
          <w:t> </w:t>
        </w:r>
        <w:r>
          <w:rPr>
            <w:color w:val="231F20"/>
          </w:rPr>
          <w:t>page</w:t>
        </w:r>
        <w:r>
          <w:rPr>
            <w:color w:val="231F20"/>
            <w:spacing w:val="10"/>
          </w:rPr>
          <w:t> </w:t>
        </w:r>
        <w:r>
          <w:rPr>
            <w:color w:val="231F20"/>
            <w:spacing w:val="-5"/>
          </w:rPr>
          <w:t>32</w:t>
        </w:r>
      </w:hyperlink>
    </w:p>
    <w:p>
      <w:pPr>
        <w:pStyle w:val="BodyText"/>
        <w:spacing w:line="213" w:lineRule="auto" w:before="7"/>
        <w:ind w:left="2232" w:right="545"/>
      </w:pPr>
      <w:r>
        <w:rPr>
          <w:color w:val="231F20"/>
        </w:rPr>
        <w:t>Use the Managed System Status workspace to clear offline managed systems </w:t>
      </w:r>
      <w:r>
        <w:rPr>
          <w:color w:val="231F20"/>
        </w:rPr>
        <w:t>from the Navigator view.</w:t>
      </w:r>
    </w:p>
    <w:p>
      <w:pPr>
        <w:pStyle w:val="BodyText"/>
        <w:spacing w:before="6"/>
        <w:rPr>
          <w:sz w:val="16"/>
        </w:rPr>
      </w:pPr>
      <w:r>
        <w:rPr/>
        <mc:AlternateContent>
          <mc:Choice Requires="wps">
            <w:drawing>
              <wp:anchor distT="0" distB="0" distL="0" distR="0" allowOverlap="1" layoutInCell="1" locked="0" behindDoc="1" simplePos="0" relativeHeight="487743488">
                <wp:simplePos x="0" y="0"/>
                <wp:positionH relativeFrom="page">
                  <wp:posOffset>760323</wp:posOffset>
                </wp:positionH>
                <wp:positionV relativeFrom="paragraph">
                  <wp:posOffset>156274</wp:posOffset>
                </wp:positionV>
                <wp:extent cx="6082665" cy="1270"/>
                <wp:effectExtent l="0" t="0" r="0" b="0"/>
                <wp:wrapTopAndBottom/>
                <wp:docPr id="3171" name="Graphic 3171"/>
                <wp:cNvGraphicFramePr>
                  <a:graphicFrameLocks/>
                </wp:cNvGraphicFramePr>
                <a:graphic>
                  <a:graphicData uri="http://schemas.microsoft.com/office/word/2010/wordprocessingShape">
                    <wps:wsp>
                      <wps:cNvPr id="3171" name="Graphic 317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5115pt;width:478.95pt;height:.1pt;mso-position-horizontal-relative:page;mso-position-vertical-relative:paragraph;z-index:-15572992;mso-wrap-distance-left:0;mso-wrap-distance-right:0" id="docshape253"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Optimizing IBM Tivoli Monitoring resourc" w:id="653"/>
      <w:bookmarkEnd w:id="653"/>
      <w:r>
        <w:rPr>
          <w:b w:val="0"/>
        </w:rPr>
      </w:r>
      <w:r>
        <w:rPr>
          <w:color w:val="231F20"/>
        </w:rPr>
        <w:t>Optimizing</w:t>
      </w:r>
      <w:r>
        <w:rPr>
          <w:color w:val="231F20"/>
          <w:spacing w:val="3"/>
        </w:rPr>
        <w:t> </w:t>
      </w:r>
      <w:r>
        <w:rPr>
          <w:color w:val="231F20"/>
        </w:rPr>
        <w:t>IBM</w:t>
      </w:r>
      <w:r>
        <w:rPr>
          <w:color w:val="231F20"/>
          <w:spacing w:val="3"/>
        </w:rPr>
        <w:t> </w:t>
      </w:r>
      <w:r>
        <w:rPr>
          <w:color w:val="231F20"/>
        </w:rPr>
        <w:t>Tivoli</w:t>
      </w:r>
      <w:r>
        <w:rPr>
          <w:color w:val="231F20"/>
          <w:spacing w:val="4"/>
        </w:rPr>
        <w:t> </w:t>
      </w:r>
      <w:r>
        <w:rPr>
          <w:color w:val="231F20"/>
        </w:rPr>
        <w:t>Monitoring</w:t>
      </w:r>
      <w:r>
        <w:rPr>
          <w:color w:val="231F20"/>
          <w:spacing w:val="3"/>
        </w:rPr>
        <w:t> </w:t>
      </w:r>
      <w:r>
        <w:rPr>
          <w:color w:val="231F20"/>
          <w:spacing w:val="-2"/>
        </w:rPr>
        <w:t>resources</w:t>
      </w:r>
    </w:p>
    <w:p>
      <w:pPr>
        <w:pStyle w:val="BodyText"/>
        <w:spacing w:before="115"/>
        <w:ind w:left="2232"/>
      </w:pPr>
      <w:r>
        <w:rPr>
          <w:color w:val="231F20"/>
        </w:rPr>
        <w:t>Here</w:t>
      </w:r>
      <w:r>
        <w:rPr>
          <w:color w:val="231F20"/>
          <w:spacing w:val="10"/>
        </w:rPr>
        <w:t> </w:t>
      </w:r>
      <w:r>
        <w:rPr>
          <w:color w:val="231F20"/>
        </w:rPr>
        <w:t>are</w:t>
      </w:r>
      <w:r>
        <w:rPr>
          <w:color w:val="231F20"/>
          <w:spacing w:val="11"/>
        </w:rPr>
        <w:t> </w:t>
      </w:r>
      <w:r>
        <w:rPr>
          <w:color w:val="231F20"/>
        </w:rPr>
        <w:t>some</w:t>
      </w:r>
      <w:r>
        <w:rPr>
          <w:color w:val="231F20"/>
          <w:spacing w:val="11"/>
        </w:rPr>
        <w:t> </w:t>
      </w:r>
      <w:r>
        <w:rPr>
          <w:color w:val="231F20"/>
        </w:rPr>
        <w:t>tips</w:t>
      </w:r>
      <w:r>
        <w:rPr>
          <w:color w:val="231F20"/>
          <w:spacing w:val="11"/>
        </w:rPr>
        <w:t> </w:t>
      </w:r>
      <w:r>
        <w:rPr>
          <w:color w:val="231F20"/>
        </w:rPr>
        <w:t>for</w:t>
      </w:r>
      <w:r>
        <w:rPr>
          <w:color w:val="231F20"/>
          <w:spacing w:val="11"/>
        </w:rPr>
        <w:t> </w:t>
      </w:r>
      <w:r>
        <w:rPr>
          <w:color w:val="231F20"/>
        </w:rPr>
        <w:t>making</w:t>
      </w:r>
      <w:r>
        <w:rPr>
          <w:color w:val="231F20"/>
          <w:spacing w:val="11"/>
        </w:rPr>
        <w:t> </w:t>
      </w:r>
      <w:r>
        <w:rPr>
          <w:color w:val="231F20"/>
        </w:rPr>
        <w:t>the</w:t>
      </w:r>
      <w:r>
        <w:rPr>
          <w:color w:val="231F20"/>
          <w:spacing w:val="11"/>
        </w:rPr>
        <w:t> </w:t>
      </w:r>
      <w:r>
        <w:rPr>
          <w:color w:val="231F20"/>
        </w:rPr>
        <w:t>most</w:t>
      </w:r>
      <w:r>
        <w:rPr>
          <w:color w:val="231F20"/>
          <w:spacing w:val="11"/>
        </w:rPr>
        <w:t> </w:t>
      </w:r>
      <w:r>
        <w:rPr>
          <w:color w:val="231F20"/>
        </w:rPr>
        <w:t>of</w:t>
      </w:r>
      <w:r>
        <w:rPr>
          <w:color w:val="231F20"/>
          <w:spacing w:val="11"/>
        </w:rPr>
        <w:t> </w:t>
      </w:r>
      <w:r>
        <w:rPr>
          <w:color w:val="231F20"/>
        </w:rPr>
        <w:t>your</w:t>
      </w:r>
      <w:r>
        <w:rPr>
          <w:color w:val="231F20"/>
          <w:spacing w:val="11"/>
        </w:rPr>
        <w:t> </w:t>
      </w:r>
      <w:r>
        <w:rPr>
          <w:color w:val="231F20"/>
        </w:rPr>
        <w:t>monitoring</w:t>
      </w:r>
      <w:r>
        <w:rPr>
          <w:color w:val="231F20"/>
          <w:spacing w:val="11"/>
        </w:rPr>
        <w:t> </w:t>
      </w:r>
      <w:r>
        <w:rPr>
          <w:color w:val="231F20"/>
          <w:spacing w:val="-2"/>
        </w:rPr>
        <w:t>resources:</w:t>
      </w:r>
    </w:p>
    <w:p>
      <w:pPr>
        <w:pStyle w:val="BodyText"/>
        <w:spacing w:before="47"/>
        <w:ind w:left="2232"/>
        <w:rPr>
          <w:rFonts w:ascii="Futura MdCn BT"/>
        </w:rPr>
      </w:pPr>
      <w:r>
        <w:rPr>
          <w:rFonts w:ascii="Futura MdCn BT"/>
          <w:color w:val="231F20"/>
          <w:spacing w:val="-10"/>
        </w:rPr>
        <w:t>v</w:t>
      </w:r>
    </w:p>
    <w:p>
      <w:pPr>
        <w:pStyle w:val="BodyText"/>
        <w:spacing w:line="213" w:lineRule="auto" w:before="66"/>
        <w:ind w:left="2448" w:right="545"/>
      </w:pPr>
      <w:r>
        <w:rPr>
          <w:color w:val="231F20"/>
        </w:rPr>
        <w:t>Tivoli Enterprise Portal must run every query you use for different chart and table views. If you use the same query for these views, data retrieval speeds </w:t>
      </w:r>
      <w:r>
        <w:rPr>
          <w:color w:val="231F20"/>
        </w:rPr>
        <w:t>up and you conserve Tivoli Enterprise Portal Server and monitoring server </w:t>
      </w:r>
      <w:r>
        <w:rPr>
          <w:color w:val="231F20"/>
          <w:spacing w:val="-2"/>
        </w:rPr>
        <w:t>resources.</w:t>
      </w:r>
    </w:p>
    <w:p>
      <w:pPr>
        <w:pStyle w:val="BodyText"/>
        <w:spacing w:before="51"/>
        <w:ind w:left="2232"/>
        <w:rPr>
          <w:rFonts w:ascii="Futura MdCn BT"/>
        </w:rPr>
      </w:pPr>
      <w:r>
        <w:rPr>
          <w:rFonts w:ascii="Futura MdCn BT"/>
          <w:color w:val="231F20"/>
          <w:spacing w:val="-10"/>
        </w:rPr>
        <w:t>v</w:t>
      </w:r>
    </w:p>
    <w:p>
      <w:pPr>
        <w:pStyle w:val="BodyText"/>
        <w:spacing w:line="213" w:lineRule="auto" w:before="66"/>
        <w:ind w:left="2448" w:right="438"/>
      </w:pPr>
      <w:r>
        <w:rPr>
          <w:color w:val="231F20"/>
        </w:rPr>
        <w:t>Tivoli</w:t>
      </w:r>
      <w:r>
        <w:rPr>
          <w:color w:val="231F20"/>
          <w:spacing w:val="26"/>
        </w:rPr>
        <w:t> </w:t>
      </w:r>
      <w:r>
        <w:rPr>
          <w:color w:val="231F20"/>
        </w:rPr>
        <w:t>Enterprise</w:t>
      </w:r>
      <w:r>
        <w:rPr>
          <w:color w:val="231F20"/>
          <w:spacing w:val="26"/>
        </w:rPr>
        <w:t> </w:t>
      </w:r>
      <w:r>
        <w:rPr>
          <w:color w:val="231F20"/>
        </w:rPr>
        <w:t>Portal</w:t>
      </w:r>
      <w:r>
        <w:rPr>
          <w:color w:val="231F20"/>
          <w:spacing w:val="26"/>
        </w:rPr>
        <w:t> </w:t>
      </w:r>
      <w:r>
        <w:rPr>
          <w:color w:val="231F20"/>
        </w:rPr>
        <w:t>uses</w:t>
      </w:r>
      <w:r>
        <w:rPr>
          <w:color w:val="231F20"/>
          <w:spacing w:val="26"/>
        </w:rPr>
        <w:t> </w:t>
      </w:r>
      <w:r>
        <w:rPr>
          <w:color w:val="231F20"/>
        </w:rPr>
        <w:t>queries</w:t>
      </w:r>
      <w:r>
        <w:rPr>
          <w:color w:val="231F20"/>
          <w:spacing w:val="26"/>
        </w:rPr>
        <w:t> </w:t>
      </w:r>
      <w:r>
        <w:rPr>
          <w:color w:val="231F20"/>
        </w:rPr>
        <w:t>to</w:t>
      </w:r>
      <w:r>
        <w:rPr>
          <w:color w:val="231F20"/>
          <w:spacing w:val="26"/>
        </w:rPr>
        <w:t> </w:t>
      </w:r>
      <w:r>
        <w:rPr>
          <w:color w:val="231F20"/>
        </w:rPr>
        <w:t>specify</w:t>
      </w:r>
      <w:r>
        <w:rPr>
          <w:color w:val="231F20"/>
          <w:spacing w:val="26"/>
        </w:rPr>
        <w:t> </w:t>
      </w:r>
      <w:r>
        <w:rPr>
          <w:color w:val="231F20"/>
        </w:rPr>
        <w:t>the</w:t>
      </w:r>
      <w:r>
        <w:rPr>
          <w:color w:val="231F20"/>
          <w:spacing w:val="26"/>
        </w:rPr>
        <w:t> </w:t>
      </w:r>
      <w:r>
        <w:rPr>
          <w:color w:val="231F20"/>
        </w:rPr>
        <w:t>attributes</w:t>
      </w:r>
      <w:r>
        <w:rPr>
          <w:color w:val="231F20"/>
          <w:spacing w:val="26"/>
        </w:rPr>
        <w:t> </w:t>
      </w:r>
      <w:r>
        <w:rPr>
          <w:color w:val="231F20"/>
        </w:rPr>
        <w:t>to</w:t>
      </w:r>
      <w:r>
        <w:rPr>
          <w:color w:val="231F20"/>
          <w:spacing w:val="26"/>
        </w:rPr>
        <w:t> </w:t>
      </w:r>
      <w:r>
        <w:rPr>
          <w:color w:val="231F20"/>
        </w:rPr>
        <w:t>retrieve</w:t>
      </w:r>
      <w:r>
        <w:rPr>
          <w:color w:val="231F20"/>
          <w:spacing w:val="26"/>
        </w:rPr>
        <w:t> </w:t>
      </w:r>
      <w:r>
        <w:rPr>
          <w:color w:val="231F20"/>
        </w:rPr>
        <w:t>for</w:t>
      </w:r>
      <w:r>
        <w:rPr>
          <w:color w:val="231F20"/>
          <w:spacing w:val="26"/>
        </w:rPr>
        <w:t> </w:t>
      </w:r>
      <w:r>
        <w:rPr>
          <w:color w:val="231F20"/>
        </w:rPr>
        <w:t>a table or chart. After that data is retrieved, you can use the Properties editor</w:t>
      </w:r>
      <w:r>
        <w:rPr>
          <w:color w:val="231F20"/>
          <w:spacing w:val="80"/>
          <w:w w:val="150"/>
        </w:rPr>
        <w:t> </w:t>
      </w:r>
      <w:r>
        <w:rPr>
          <w:rFonts w:ascii="Book Antiqua"/>
          <w:b/>
          <w:color w:val="231F20"/>
        </w:rPr>
        <w:t>Filters </w:t>
      </w:r>
      <w:r>
        <w:rPr>
          <w:color w:val="231F20"/>
        </w:rPr>
        <w:t>tab to filter out any unwanted data from the view. You can use the same filtering capability in the query itself to filter the data </w:t>
      </w:r>
      <w:r>
        <w:rPr>
          <w:rFonts w:ascii="Book Antiqua"/>
          <w:i/>
          <w:color w:val="231F20"/>
        </w:rPr>
        <w:t>before </w:t>
      </w:r>
      <w:r>
        <w:rPr>
          <w:color w:val="231F20"/>
        </w:rPr>
        <w:t>it is retrieved. This</w:t>
      </w:r>
      <w:r>
        <w:rPr>
          <w:color w:val="231F20"/>
          <w:spacing w:val="80"/>
        </w:rPr>
        <w:t> </w:t>
      </w:r>
      <w:r>
        <w:rPr>
          <w:rFonts w:ascii="Book Antiqua"/>
          <w:i/>
          <w:color w:val="231F20"/>
        </w:rPr>
        <w:t>pre-filtering </w:t>
      </w:r>
      <w:r>
        <w:rPr>
          <w:color w:val="231F20"/>
        </w:rPr>
        <w:t>means the portal server has less data to retrieve and therefore speeds up the process.</w:t>
      </w:r>
    </w:p>
    <w:p>
      <w:pPr>
        <w:pStyle w:val="BodyText"/>
        <w:spacing w:before="50"/>
        <w:ind w:left="2232"/>
        <w:rPr>
          <w:rFonts w:ascii="Futura MdCn BT"/>
        </w:rPr>
      </w:pPr>
      <w:r>
        <w:rPr>
          <w:rFonts w:ascii="Futura MdCn BT"/>
          <w:color w:val="231F20"/>
          <w:spacing w:val="-10"/>
        </w:rPr>
        <w:t>v</w:t>
      </w:r>
    </w:p>
    <w:p>
      <w:pPr>
        <w:pStyle w:val="BodyText"/>
        <w:spacing w:line="213" w:lineRule="auto" w:before="65"/>
        <w:ind w:left="2448" w:right="636"/>
      </w:pPr>
      <w:r>
        <w:rPr>
          <w:color w:val="231F20"/>
        </w:rPr>
        <w:t>You can control the time span shown in a chart or table by adding a filter (through the Properties window) or by using </w:t>
      </w:r>
      <w:r>
        <w:rPr>
          <w:color w:val="231F20"/>
          <w:spacing w:val="15"/>
          <w:position w:val="-1"/>
        </w:rPr>
        <w:drawing>
          <wp:inline distT="0" distB="0" distL="0" distR="0">
            <wp:extent cx="101600" cy="95250"/>
            <wp:effectExtent l="0" t="0" r="0" b="0"/>
            <wp:docPr id="3172" name="Image 3172"/>
            <wp:cNvGraphicFramePr>
              <a:graphicFrameLocks/>
            </wp:cNvGraphicFramePr>
            <a:graphic>
              <a:graphicData uri="http://schemas.openxmlformats.org/drawingml/2006/picture">
                <pic:pic>
                  <pic:nvPicPr>
                    <pic:cNvPr id="3172" name="Image 3172"/>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5"/>
        </w:rPr>
        <w:t> </w:t>
      </w:r>
      <w:r>
        <w:rPr>
          <w:rFonts w:ascii="Book Antiqua"/>
          <w:b/>
          <w:color w:val="231F20"/>
        </w:rPr>
        <w:t>time span </w:t>
      </w:r>
      <w:r>
        <w:rPr>
          <w:color w:val="231F20"/>
        </w:rPr>
        <w:t>in the chart or table view toolbar. Using the </w:t>
      </w:r>
      <w:r>
        <w:rPr>
          <w:rFonts w:ascii="Book Antiqua"/>
          <w:b/>
          <w:color w:val="231F20"/>
        </w:rPr>
        <w:t>Filters </w:t>
      </w:r>
      <w:r>
        <w:rPr>
          <w:color w:val="231F20"/>
        </w:rPr>
        <w:t>tab causes the filtering to be done </w:t>
      </w:r>
      <w:r>
        <w:rPr>
          <w:rFonts w:ascii="Book Antiqua"/>
          <w:i/>
          <w:color w:val="231F20"/>
        </w:rPr>
        <w:t>after</w:t>
      </w:r>
      <w:r>
        <w:rPr>
          <w:color w:val="231F20"/>
        </w:rPr>
        <w:t>the data</w:t>
      </w:r>
      <w:r>
        <w:rPr>
          <w:color w:val="231F20"/>
          <w:spacing w:val="40"/>
        </w:rPr>
        <w:t> </w:t>
      </w:r>
      <w:r>
        <w:rPr>
          <w:color w:val="231F20"/>
        </w:rPr>
        <w:t>has been received at the client. </w:t>
      </w:r>
      <w:r>
        <w:rPr>
          <w:color w:val="231F20"/>
          <w:spacing w:val="15"/>
          <w:position w:val="-1"/>
        </w:rPr>
        <w:drawing>
          <wp:inline distT="0" distB="0" distL="0" distR="0">
            <wp:extent cx="101600" cy="95250"/>
            <wp:effectExtent l="0" t="0" r="0" b="0"/>
            <wp:docPr id="3173" name="Image 3173"/>
            <wp:cNvGraphicFramePr>
              <a:graphicFrameLocks/>
            </wp:cNvGraphicFramePr>
            <a:graphic>
              <a:graphicData uri="http://schemas.openxmlformats.org/drawingml/2006/picture">
                <pic:pic>
                  <pic:nvPicPr>
                    <pic:cNvPr id="3173" name="Image 3173"/>
                    <pic:cNvPicPr/>
                  </pic:nvPicPr>
                  <pic:blipFill>
                    <a:blip r:embed="rId29"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16"/>
        </w:rPr>
        <w:t> </w:t>
      </w:r>
      <w:r>
        <w:rPr>
          <w:rFonts w:ascii="Book Antiqua"/>
          <w:b/>
          <w:color w:val="231F20"/>
        </w:rPr>
        <w:t>time span </w:t>
      </w:r>
      <w:r>
        <w:rPr>
          <w:color w:val="231F20"/>
        </w:rPr>
        <w:t>pre-filters at the server, so only the rows that pass the test are returned, and you conserve network resources.</w:t>
      </w:r>
    </w:p>
    <w:p>
      <w:pPr>
        <w:pStyle w:val="BodyText"/>
        <w:spacing w:before="51"/>
        <w:ind w:left="2232"/>
        <w:rPr>
          <w:rFonts w:ascii="Futura MdCn BT"/>
        </w:rPr>
      </w:pPr>
      <w:r>
        <w:rPr>
          <w:rFonts w:ascii="Futura MdCn BT"/>
          <w:color w:val="231F20"/>
          <w:spacing w:val="-10"/>
        </w:rPr>
        <w:t>v</w:t>
      </w:r>
    </w:p>
    <w:p>
      <w:pPr>
        <w:pStyle w:val="BodyText"/>
        <w:spacing w:line="213" w:lineRule="auto" w:before="66"/>
        <w:ind w:left="2448" w:right="545"/>
      </w:pPr>
      <w:r>
        <w:rPr>
          <w:color w:val="231F20"/>
        </w:rPr>
        <w:t>When you create a situation, the interval is set to 15 minutes by default. Set the</w:t>
      </w:r>
      <w:r>
        <w:rPr>
          <w:color w:val="231F20"/>
          <w:spacing w:val="40"/>
        </w:rPr>
        <w:t> </w:t>
      </w:r>
      <w:r>
        <w:rPr>
          <w:color w:val="231F20"/>
        </w:rPr>
        <w:t>situation to a longer interval between data samplings to reduce traffic on the monitoring server. This is done in the </w:t>
      </w:r>
      <w:r>
        <w:rPr>
          <w:rFonts w:ascii="Book Antiqua"/>
          <w:b/>
          <w:color w:val="231F20"/>
        </w:rPr>
        <w:t>Sampling interval area </w:t>
      </w:r>
      <w:r>
        <w:rPr>
          <w:color w:val="231F20"/>
        </w:rPr>
        <w:t>of the </w:t>
      </w:r>
      <w:r>
        <w:rPr>
          <w:rFonts w:ascii="Book Antiqua"/>
          <w:b/>
          <w:color w:val="231F20"/>
        </w:rPr>
        <w:t>Formula </w:t>
      </w:r>
      <w:r>
        <w:rPr>
          <w:color w:val="231F20"/>
        </w:rPr>
        <w:t>tab</w:t>
      </w:r>
      <w:r>
        <w:rPr>
          <w:color w:val="231F20"/>
          <w:spacing w:val="40"/>
        </w:rPr>
        <w:t> </w:t>
      </w:r>
      <w:r>
        <w:rPr>
          <w:color w:val="231F20"/>
        </w:rPr>
        <w:t>in the Situation editor.</w:t>
      </w:r>
    </w:p>
    <w:p>
      <w:pPr>
        <w:pStyle w:val="BodyText"/>
        <w:spacing w:before="51"/>
        <w:ind w:left="2232"/>
        <w:rPr>
          <w:rFonts w:ascii="Futura MdCn BT"/>
        </w:rPr>
      </w:pPr>
      <w:r>
        <w:rPr>
          <w:rFonts w:ascii="Futura MdCn BT"/>
          <w:color w:val="231F20"/>
          <w:spacing w:val="-10"/>
        </w:rPr>
        <w:t>v</w:t>
      </w:r>
    </w:p>
    <w:p>
      <w:pPr>
        <w:pStyle w:val="BodyText"/>
        <w:spacing w:line="213" w:lineRule="auto" w:before="66"/>
        <w:ind w:left="2448" w:right="438"/>
      </w:pPr>
      <w:r>
        <w:rPr>
          <w:color w:val="231F20"/>
        </w:rPr>
        <w:t>A workspace gathers new data samplings when you first open it. You can set the workspace to refresh automatically anywhere from every 30 seconds to once an hour.</w:t>
      </w:r>
      <w:r>
        <w:rPr>
          <w:color w:val="231F20"/>
          <w:spacing w:val="25"/>
        </w:rPr>
        <w:t> </w:t>
      </w:r>
      <w:r>
        <w:rPr>
          <w:color w:val="231F20"/>
        </w:rPr>
        <w:t>If</w:t>
      </w:r>
      <w:r>
        <w:rPr>
          <w:color w:val="231F20"/>
          <w:spacing w:val="25"/>
        </w:rPr>
        <w:t> </w:t>
      </w:r>
      <w:r>
        <w:rPr>
          <w:color w:val="231F20"/>
        </w:rPr>
        <w:t>you</w:t>
      </w:r>
      <w:r>
        <w:rPr>
          <w:color w:val="231F20"/>
          <w:spacing w:val="25"/>
        </w:rPr>
        <w:t> </w:t>
      </w:r>
      <w:r>
        <w:rPr>
          <w:color w:val="231F20"/>
        </w:rPr>
        <w:t>have</w:t>
      </w:r>
      <w:r>
        <w:rPr>
          <w:color w:val="231F20"/>
          <w:spacing w:val="25"/>
        </w:rPr>
        <w:t> </w:t>
      </w:r>
      <w:r>
        <w:rPr>
          <w:color w:val="231F20"/>
        </w:rPr>
        <w:t>workspaces</w:t>
      </w:r>
      <w:r>
        <w:rPr>
          <w:color w:val="231F20"/>
          <w:spacing w:val="25"/>
        </w:rPr>
        <w:t> </w:t>
      </w:r>
      <w:r>
        <w:rPr>
          <w:color w:val="231F20"/>
        </w:rPr>
        <w:t>set</w:t>
      </w:r>
      <w:r>
        <w:rPr>
          <w:color w:val="231F20"/>
          <w:spacing w:val="25"/>
        </w:rPr>
        <w:t> </w:t>
      </w:r>
      <w:r>
        <w:rPr>
          <w:color w:val="231F20"/>
        </w:rPr>
        <w:t>for</w:t>
      </w:r>
      <w:r>
        <w:rPr>
          <w:color w:val="231F20"/>
          <w:spacing w:val="25"/>
        </w:rPr>
        <w:t> </w:t>
      </w:r>
      <w:r>
        <w:rPr>
          <w:color w:val="231F20"/>
        </w:rPr>
        <w:t>automatic</w:t>
      </w:r>
      <w:r>
        <w:rPr>
          <w:color w:val="231F20"/>
          <w:spacing w:val="25"/>
        </w:rPr>
        <w:t> </w:t>
      </w:r>
      <w:r>
        <w:rPr>
          <w:color w:val="231F20"/>
        </w:rPr>
        <w:t>refresh,</w:t>
      </w:r>
      <w:r>
        <w:rPr>
          <w:color w:val="231F20"/>
          <w:spacing w:val="25"/>
        </w:rPr>
        <w:t> </w:t>
      </w:r>
      <w:r>
        <w:rPr>
          <w:color w:val="231F20"/>
        </w:rPr>
        <w:t>set</w:t>
      </w:r>
      <w:r>
        <w:rPr>
          <w:color w:val="231F20"/>
          <w:spacing w:val="25"/>
        </w:rPr>
        <w:t> </w:t>
      </w:r>
      <w:r>
        <w:rPr>
          <w:color w:val="231F20"/>
        </w:rPr>
        <w:t>the</w:t>
      </w:r>
      <w:r>
        <w:rPr>
          <w:color w:val="231F20"/>
          <w:spacing w:val="25"/>
        </w:rPr>
        <w:t> </w:t>
      </w:r>
      <w:r>
        <w:rPr>
          <w:color w:val="231F20"/>
        </w:rPr>
        <w:t>interval</w:t>
      </w:r>
      <w:r>
        <w:rPr>
          <w:color w:val="231F20"/>
          <w:spacing w:val="25"/>
        </w:rPr>
        <w:t> </w:t>
      </w:r>
      <w:r>
        <w:rPr>
          <w:color w:val="231F20"/>
        </w:rPr>
        <w:t>as</w:t>
      </w:r>
      <w:r>
        <w:rPr>
          <w:color w:val="231F20"/>
          <w:spacing w:val="25"/>
        </w:rPr>
        <w:t> </w:t>
      </w:r>
      <w:r>
        <w:rPr>
          <w:color w:val="231F20"/>
        </w:rPr>
        <w:t>high</w:t>
      </w:r>
      <w:r>
        <w:rPr>
          <w:color w:val="231F20"/>
        </w:rPr>
        <w:t> as possible to reduce network traffic (requests from the portal client go through</w:t>
      </w:r>
      <w:r>
        <w:rPr>
          <w:color w:val="231F20"/>
          <w:spacing w:val="40"/>
        </w:rPr>
        <w:t> </w:t>
      </w:r>
      <w:r>
        <w:rPr>
          <w:color w:val="231F20"/>
        </w:rPr>
        <w:t>the portal server to the monitoring server, then to the monitoring agent, and the information is sent back through the same path).</w:t>
      </w:r>
    </w:p>
    <w:p>
      <w:pPr>
        <w:pStyle w:val="BodyText"/>
        <w:spacing w:before="50"/>
        <w:ind w:left="2232"/>
        <w:rPr>
          <w:rFonts w:ascii="Futura MdCn BT"/>
        </w:rPr>
      </w:pPr>
      <w:r>
        <w:rPr>
          <w:rFonts w:ascii="Futura MdCn BT"/>
          <w:color w:val="231F20"/>
          <w:spacing w:val="-10"/>
        </w:rPr>
        <w:t>v</w:t>
      </w:r>
    </w:p>
    <w:p>
      <w:pPr>
        <w:pStyle w:val="BodyText"/>
        <w:spacing w:line="213" w:lineRule="auto" w:before="65"/>
        <w:ind w:left="2448" w:right="545"/>
      </w:pPr>
      <w:r>
        <w:rPr>
          <w:color w:val="231F20"/>
        </w:rPr>
        <w:t>Event data is stored in the KFW tables on the portal server. To ensure the performance of your portal server, you must periodically prune this data. You can do this by controlling how long the event data is kept (using the KFW_EVENT_RETENTION parameter), at what time of the day the pruning</w:t>
      </w:r>
    </w:p>
    <w:p>
      <w:pPr>
        <w:spacing w:after="0" w:line="213" w:lineRule="auto"/>
        <w:sectPr>
          <w:pgSz w:w="12240" w:h="15840"/>
          <w:pgMar w:header="0" w:footer="736" w:top="1180" w:bottom="920" w:left="1000" w:right="1060"/>
        </w:sectPr>
      </w:pPr>
    </w:p>
    <w:p>
      <w:pPr>
        <w:pStyle w:val="BodyText"/>
        <w:spacing w:line="213" w:lineRule="auto" w:before="85"/>
        <w:ind w:left="2688" w:right="258"/>
      </w:pPr>
      <w:bookmarkStart w:name="_bookmark316" w:id="654"/>
      <w:bookmarkEnd w:id="654"/>
      <w:r>
        <w:rPr/>
      </w:r>
      <w:r>
        <w:rPr>
          <w:color w:val="231F20"/>
        </w:rPr>
        <w:t>begins (using the KFW_PRUNE_START parameter), and when the pruning </w:t>
      </w:r>
      <w:r>
        <w:rPr>
          <w:color w:val="231F20"/>
        </w:rPr>
        <w:t>ends (using the KFW_PRUNE_END parameter). Set these parameters in the Tivoli Enterprise Portal Server environment file (KFWENV), as described in the </w:t>
      </w:r>
      <w:r>
        <w:rPr>
          <w:rFonts w:ascii="Book Antiqua"/>
          <w:i/>
          <w:color w:val="231F20"/>
        </w:rPr>
        <w:t>IBM</w:t>
      </w:r>
      <w:r>
        <w:rPr>
          <w:rFonts w:ascii="Book Antiqua"/>
          <w:i/>
          <w:color w:val="231F20"/>
        </w:rPr>
        <w:t> Tivoli Monitoring Administrator's Guide</w:t>
      </w:r>
      <w:r>
        <w:rPr>
          <w:color w:val="231F20"/>
        </w:rPr>
        <w:t>.</w:t>
      </w:r>
    </w:p>
    <w:p>
      <w:pPr>
        <w:pStyle w:val="BodyText"/>
        <w:spacing w:line="213" w:lineRule="auto" w:before="57"/>
        <w:ind w:left="2688" w:right="274" w:hanging="216"/>
      </w:pPr>
      <w:r>
        <w:rPr>
          <w:rFonts w:ascii="Futura MdCn BT" w:hAnsi="Futura MdCn BT"/>
          <w:color w:val="231F20"/>
        </w:rPr>
        <w:t>v</w:t>
      </w:r>
      <w:r>
        <w:rPr>
          <w:rFonts w:ascii="Futura MdCn BT" w:hAnsi="Futura MdCn BT"/>
          <w:color w:val="231F20"/>
          <w:spacing w:val="80"/>
          <w:w w:val="150"/>
        </w:rPr>
        <w:t> </w:t>
      </w:r>
      <w:r>
        <w:rPr>
          <w:color w:val="231F20"/>
        </w:rPr>
        <w:t>A poorly</w:t>
      </w:r>
      <w:r>
        <w:rPr>
          <w:color w:val="231F20"/>
          <w:spacing w:val="26"/>
        </w:rPr>
        <w:t> </w:t>
      </w:r>
      <w:r>
        <w:rPr>
          <w:color w:val="231F20"/>
        </w:rPr>
        <w:t>written</w:t>
      </w:r>
      <w:r>
        <w:rPr>
          <w:color w:val="231F20"/>
          <w:spacing w:val="26"/>
        </w:rPr>
        <w:t> </w:t>
      </w:r>
      <w:r>
        <w:rPr>
          <w:color w:val="231F20"/>
        </w:rPr>
        <w:t>situation</w:t>
      </w:r>
      <w:r>
        <w:rPr>
          <w:color w:val="231F20"/>
          <w:spacing w:val="26"/>
        </w:rPr>
        <w:t> </w:t>
      </w:r>
      <w:r>
        <w:rPr>
          <w:color w:val="231F20"/>
        </w:rPr>
        <w:t>can</w:t>
      </w:r>
      <w:r>
        <w:rPr>
          <w:color w:val="231F20"/>
          <w:spacing w:val="26"/>
        </w:rPr>
        <w:t> </w:t>
      </w:r>
      <w:r>
        <w:rPr>
          <w:color w:val="231F20"/>
        </w:rPr>
        <w:t>have</w:t>
      </w:r>
      <w:r>
        <w:rPr>
          <w:color w:val="231F20"/>
          <w:spacing w:val="26"/>
        </w:rPr>
        <w:t> </w:t>
      </w:r>
      <w:r>
        <w:rPr>
          <w:color w:val="231F20"/>
        </w:rPr>
        <w:t>a</w:t>
      </w:r>
      <w:r>
        <w:rPr>
          <w:color w:val="231F20"/>
          <w:spacing w:val="26"/>
        </w:rPr>
        <w:t> </w:t>
      </w:r>
      <w:r>
        <w:rPr>
          <w:color w:val="231F20"/>
        </w:rPr>
        <w:t>surprisingly</w:t>
      </w:r>
      <w:r>
        <w:rPr>
          <w:color w:val="231F20"/>
          <w:spacing w:val="26"/>
        </w:rPr>
        <w:t> </w:t>
      </w:r>
      <w:r>
        <w:rPr>
          <w:color w:val="231F20"/>
        </w:rPr>
        <w:t>large</w:t>
      </w:r>
      <w:r>
        <w:rPr>
          <w:color w:val="231F20"/>
          <w:spacing w:val="26"/>
        </w:rPr>
        <w:t> </w:t>
      </w:r>
      <w:r>
        <w:rPr>
          <w:color w:val="231F20"/>
        </w:rPr>
        <w:t>impact</w:t>
      </w:r>
      <w:r>
        <w:rPr>
          <w:color w:val="231F20"/>
          <w:spacing w:val="26"/>
        </w:rPr>
        <w:t> </w:t>
      </w:r>
      <w:r>
        <w:rPr>
          <w:color w:val="231F20"/>
        </w:rPr>
        <w:t>on</w:t>
      </w:r>
      <w:r>
        <w:rPr>
          <w:color w:val="231F20"/>
          <w:spacing w:val="26"/>
        </w:rPr>
        <w:t> </w:t>
      </w:r>
      <w:r>
        <w:rPr>
          <w:color w:val="231F20"/>
        </w:rPr>
        <w:t>CPU</w:t>
      </w:r>
      <w:r>
        <w:rPr>
          <w:color w:val="231F20"/>
          <w:spacing w:val="26"/>
        </w:rPr>
        <w:t> </w:t>
      </w:r>
      <w:r>
        <w:rPr>
          <w:color w:val="231F20"/>
        </w:rPr>
        <w:t>usage on a monitoring server. Using wildcard characters (*) in situations is one of the most common mistakes made in writing situations. Using fields longer than required can also cause additional work to evaluate the situation. Making the changes below have, in some instances, reduced CPU usage on a monitoring server from close to full utilization to nearly completely idle. The CPU usage manifests itself in the kdsmain process. See </w:t>
      </w:r>
      <w:hyperlink w:history="true" w:anchor="_bookmark234">
        <w:r>
          <w:rPr>
            <w:color w:val="231F20"/>
          </w:rPr>
          <w:t>“High CPU usage on the </w:t>
        </w:r>
        <w:r>
          <w:rPr>
            <w:color w:val="231F20"/>
          </w:rPr>
          <w:t>monitoring</w:t>
        </w:r>
      </w:hyperlink>
      <w:r>
        <w:rPr>
          <w:color w:val="231F20"/>
        </w:rPr>
        <w:t> </w:t>
      </w:r>
      <w:hyperlink w:history="true" w:anchor="_bookmark234">
        <w:r>
          <w:rPr>
            <w:color w:val="231F20"/>
          </w:rPr>
          <w:t>server” on page 321</w:t>
        </w:r>
      </w:hyperlink>
      <w:r>
        <w:rPr>
          <w:color w:val="231F20"/>
        </w:rPr>
        <w:t> for more information.</w:t>
      </w:r>
    </w:p>
    <w:p>
      <w:pPr>
        <w:pStyle w:val="BodyText"/>
        <w:spacing w:before="1"/>
        <w:rPr>
          <w:sz w:val="16"/>
        </w:rPr>
      </w:pPr>
      <w:r>
        <w:rPr/>
        <mc:AlternateContent>
          <mc:Choice Requires="wps">
            <w:drawing>
              <wp:anchor distT="0" distB="0" distL="0" distR="0" allowOverlap="1" layoutInCell="1" locked="0" behindDoc="1" simplePos="0" relativeHeight="487744000">
                <wp:simplePos x="0" y="0"/>
                <wp:positionH relativeFrom="page">
                  <wp:posOffset>912380</wp:posOffset>
                </wp:positionH>
                <wp:positionV relativeFrom="paragraph">
                  <wp:posOffset>153325</wp:posOffset>
                </wp:positionV>
                <wp:extent cx="6082665" cy="1270"/>
                <wp:effectExtent l="0" t="0" r="0" b="0"/>
                <wp:wrapTopAndBottom/>
                <wp:docPr id="3174" name="Graphic 3174"/>
                <wp:cNvGraphicFramePr>
                  <a:graphicFrameLocks/>
                </wp:cNvGraphicFramePr>
                <a:graphic>
                  <a:graphicData uri="http://schemas.microsoft.com/office/word/2010/wordprocessingShape">
                    <wps:wsp>
                      <wps:cNvPr id="3174" name="Graphic 317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72867pt;width:478.95pt;height:.1pt;mso-position-horizontal-relative:page;mso-position-vertical-relative:paragraph;z-index:-15572480;mso-wrap-distance-left:0;mso-wrap-distance-right:0" id="docshape254" coordorigin="1437,241" coordsize="9579,0" path="m1437,241l11016,241e" filled="false" stroked="true" strokeweight=".499pt" strokecolor="#231f20">
                <v:path arrowok="t"/>
                <v:stroke dashstyle="solid"/>
                <w10:wrap type="topAndBottom"/>
              </v:shape>
            </w:pict>
          </mc:Fallback>
        </mc:AlternateContent>
      </w:r>
    </w:p>
    <w:p>
      <w:pPr>
        <w:pStyle w:val="Heading3"/>
      </w:pPr>
      <w:bookmarkStart w:name="Organization of predefined workspaces" w:id="655"/>
      <w:bookmarkEnd w:id="655"/>
      <w:r>
        <w:rPr>
          <w:b w:val="0"/>
        </w:rPr>
      </w:r>
      <w:r>
        <w:rPr>
          <w:color w:val="231F20"/>
        </w:rPr>
        <w:t>Organization</w:t>
      </w:r>
      <w:r>
        <w:rPr>
          <w:color w:val="231F20"/>
          <w:spacing w:val="3"/>
        </w:rPr>
        <w:t> </w:t>
      </w:r>
      <w:r>
        <w:rPr>
          <w:color w:val="231F20"/>
        </w:rPr>
        <w:t>of</w:t>
      </w:r>
      <w:r>
        <w:rPr>
          <w:color w:val="231F20"/>
          <w:spacing w:val="4"/>
        </w:rPr>
        <w:t> </w:t>
      </w:r>
      <w:r>
        <w:rPr>
          <w:color w:val="231F20"/>
        </w:rPr>
        <w:t>predefined</w:t>
      </w:r>
      <w:r>
        <w:rPr>
          <w:color w:val="231F20"/>
          <w:spacing w:val="3"/>
        </w:rPr>
        <w:t> </w:t>
      </w:r>
      <w:r>
        <w:rPr>
          <w:color w:val="231F20"/>
          <w:spacing w:val="-2"/>
        </w:rPr>
        <w:t>workspaces</w:t>
      </w:r>
    </w:p>
    <w:p>
      <w:pPr>
        <w:pStyle w:val="BodyText"/>
        <w:spacing w:line="213" w:lineRule="auto" w:before="138"/>
        <w:ind w:left="2472" w:right="545"/>
      </w:pPr>
      <w:r>
        <w:rPr>
          <w:color w:val="231F20"/>
        </w:rPr>
        <w:t>The Enterprise Navigator item has workspaces that query the Tivoli </w:t>
      </w:r>
      <w:r>
        <w:rPr>
          <w:color w:val="231F20"/>
        </w:rPr>
        <w:t>Enterprise Monitoring Server. Use these predefined workspaces to get status information about the monitoring server and monitoring agents and about situations and </w:t>
      </w:r>
      <w:r>
        <w:rPr>
          <w:color w:val="231F20"/>
          <w:spacing w:val="-2"/>
        </w:rPr>
        <w:t>policies.</w:t>
      </w:r>
    </w:p>
    <w:p>
      <w:pPr>
        <w:pStyle w:val="BodyText"/>
        <w:spacing w:line="213" w:lineRule="auto" w:before="237"/>
        <w:ind w:left="2472" w:right="385"/>
      </w:pPr>
      <w:r>
        <w:rPr>
          <w:color w:val="231F20"/>
        </w:rPr>
        <w:t>Use the </w:t>
      </w:r>
      <w:r>
        <w:rPr>
          <w:color w:val="231F20"/>
          <w:spacing w:val="16"/>
          <w:position w:val="-1"/>
        </w:rPr>
        <w:drawing>
          <wp:inline distT="0" distB="0" distL="0" distR="0">
            <wp:extent cx="101600" cy="101600"/>
            <wp:effectExtent l="0" t="0" r="0" b="0"/>
            <wp:docPr id="3175" name="Image 3175"/>
            <wp:cNvGraphicFramePr>
              <a:graphicFrameLocks/>
            </wp:cNvGraphicFramePr>
            <a:graphic>
              <a:graphicData uri="http://schemas.openxmlformats.org/drawingml/2006/picture">
                <pic:pic>
                  <pic:nvPicPr>
                    <pic:cNvPr id="3175" name="Image 3175"/>
                    <pic:cNvPicPr/>
                  </pic:nvPicPr>
                  <pic:blipFill>
                    <a:blip r:embed="rId4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2"/>
        </w:rPr>
        <w:t> </w:t>
      </w:r>
      <w:r>
        <w:rPr>
          <w:rFonts w:ascii="Book Antiqua"/>
          <w:b/>
          <w:color w:val="231F20"/>
        </w:rPr>
        <w:t>Workspace Gallery </w:t>
      </w:r>
      <w:r>
        <w:rPr>
          <w:color w:val="231F20"/>
        </w:rPr>
        <w:t>to see what is available for the Navigator item.</w:t>
      </w:r>
      <w:r>
        <w:rPr>
          <w:color w:val="231F20"/>
          <w:spacing w:val="80"/>
        </w:rPr>
        <w:t> </w:t>
      </w:r>
      <w:r>
        <w:rPr>
          <w:color w:val="231F20"/>
        </w:rPr>
        <w:t>These are the Enterprise Navigator item workspaces and the workspaces they </w:t>
      </w:r>
      <w:r>
        <w:rPr>
          <w:color w:val="231F20"/>
        </w:rPr>
        <w:t>link </w:t>
      </w:r>
      <w:r>
        <w:rPr>
          <w:color w:val="231F20"/>
          <w:spacing w:val="-4"/>
        </w:rPr>
        <w:t>to:</w:t>
      </w:r>
    </w:p>
    <w:p>
      <w:pPr>
        <w:pStyle w:val="Heading6"/>
      </w:pPr>
      <w:r>
        <w:rPr>
          <w:color w:val="231F20"/>
        </w:rPr>
        <w:t>Enterprise</w:t>
      </w:r>
      <w:r>
        <w:rPr>
          <w:color w:val="231F20"/>
          <w:spacing w:val="6"/>
        </w:rPr>
        <w:t> </w:t>
      </w:r>
      <w:r>
        <w:rPr>
          <w:color w:val="231F20"/>
          <w:spacing w:val="-2"/>
        </w:rPr>
        <w:t>Status</w:t>
      </w:r>
    </w:p>
    <w:p>
      <w:pPr>
        <w:pStyle w:val="BodyText"/>
        <w:spacing w:line="213" w:lineRule="auto" w:before="11"/>
        <w:ind w:left="3190"/>
      </w:pPr>
      <w:r>
        <w:rPr>
          <w:color w:val="231F20"/>
        </w:rPr>
        <w:t>The default workspace is Enterprise Status, which gives an overview of </w:t>
      </w:r>
      <w:r>
        <w:rPr>
          <w:color w:val="231F20"/>
        </w:rPr>
        <w:t>the situation event status throughout your enterprise.</w:t>
      </w:r>
    </w:p>
    <w:p>
      <w:pPr>
        <w:pStyle w:val="BodyText"/>
        <w:spacing w:line="213" w:lineRule="auto"/>
        <w:ind w:left="3190" w:right="2916"/>
      </w:pPr>
      <w:r>
        <w:rPr>
          <w:position w:val="-1"/>
        </w:rPr>
        <w:drawing>
          <wp:inline distT="0" distB="0" distL="0" distR="0">
            <wp:extent cx="101600" cy="101600"/>
            <wp:effectExtent l="0" t="0" r="0" b="0"/>
            <wp:docPr id="3176" name="Image 3176"/>
            <wp:cNvGraphicFramePr>
              <a:graphicFrameLocks/>
            </wp:cNvGraphicFramePr>
            <a:graphic>
              <a:graphicData uri="http://schemas.openxmlformats.org/drawingml/2006/picture">
                <pic:pic>
                  <pic:nvPicPr>
                    <pic:cNvPr id="3176" name="Image 3176"/>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Event Details - Similar by Situation </w:t>
      </w:r>
      <w:r>
        <w:rPr>
          <w:color w:val="231F20"/>
        </w:rPr>
        <w:t>Name </w:t>
      </w:r>
      <w:r>
        <w:rPr>
          <w:color w:val="231F20"/>
          <w:position w:val="-1"/>
        </w:rPr>
        <w:drawing>
          <wp:inline distT="0" distB="0" distL="0" distR="0">
            <wp:extent cx="101600" cy="101600"/>
            <wp:effectExtent l="0" t="0" r="0" b="0"/>
            <wp:docPr id="3177" name="Image 3177"/>
            <wp:cNvGraphicFramePr>
              <a:graphicFrameLocks/>
            </wp:cNvGraphicFramePr>
            <a:graphic>
              <a:graphicData uri="http://schemas.openxmlformats.org/drawingml/2006/picture">
                <pic:pic>
                  <pic:nvPicPr>
                    <pic:cNvPr id="3177" name="Image 3177"/>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Event Details - Similar by Source</w:t>
      </w:r>
    </w:p>
    <w:p>
      <w:pPr>
        <w:pStyle w:val="BodyText"/>
        <w:spacing w:line="245" w:lineRule="exact"/>
        <w:ind w:left="3190"/>
      </w:pPr>
      <w:r>
        <w:rPr>
          <w:position w:val="-1"/>
        </w:rPr>
        <w:drawing>
          <wp:inline distT="0" distB="0" distL="0" distR="0">
            <wp:extent cx="101600" cy="101600"/>
            <wp:effectExtent l="0" t="0" r="0" b="0"/>
            <wp:docPr id="3178" name="Image 3178"/>
            <wp:cNvGraphicFramePr>
              <a:graphicFrameLocks/>
            </wp:cNvGraphicFramePr>
            <a:graphic>
              <a:graphicData uri="http://schemas.openxmlformats.org/drawingml/2006/picture">
                <pic:pic>
                  <pic:nvPicPr>
                    <pic:cNvPr id="3178" name="Image 3178"/>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79"/>
        </w:rPr>
        <w:t> </w:t>
      </w:r>
      <w:r>
        <w:rPr>
          <w:color w:val="231F20"/>
        </w:rPr>
        <w:t>Event</w:t>
      </w:r>
      <w:r>
        <w:rPr>
          <w:color w:val="231F20"/>
          <w:spacing w:val="24"/>
        </w:rPr>
        <w:t> </w:t>
      </w:r>
      <w:r>
        <w:rPr>
          <w:color w:val="231F20"/>
        </w:rPr>
        <w:t>Details</w:t>
      </w:r>
      <w:r>
        <w:rPr>
          <w:color w:val="231F20"/>
          <w:spacing w:val="24"/>
        </w:rPr>
        <w:t> </w:t>
      </w:r>
      <w:r>
        <w:rPr>
          <w:color w:val="231F20"/>
        </w:rPr>
        <w:t>-</w:t>
      </w:r>
      <w:r>
        <w:rPr>
          <w:color w:val="231F20"/>
          <w:spacing w:val="24"/>
        </w:rPr>
        <w:t> </w:t>
      </w:r>
      <w:r>
        <w:rPr>
          <w:color w:val="231F20"/>
        </w:rPr>
        <w:t>Similar</w:t>
      </w:r>
      <w:r>
        <w:rPr>
          <w:color w:val="231F20"/>
          <w:spacing w:val="24"/>
        </w:rPr>
        <w:t> </w:t>
      </w:r>
      <w:r>
        <w:rPr>
          <w:color w:val="231F20"/>
        </w:rPr>
        <w:t>by</w:t>
      </w:r>
      <w:r>
        <w:rPr>
          <w:color w:val="231F20"/>
          <w:spacing w:val="24"/>
        </w:rPr>
        <w:t> </w:t>
      </w:r>
      <w:r>
        <w:rPr>
          <w:color w:val="231F20"/>
        </w:rPr>
        <w:t>Resource</w:t>
      </w:r>
    </w:p>
    <w:p>
      <w:pPr>
        <w:pStyle w:val="Heading6"/>
        <w:spacing w:before="110"/>
      </w:pPr>
      <w:r>
        <w:rPr>
          <w:color w:val="231F20"/>
        </w:rPr>
        <w:t>Manage</w:t>
      </w:r>
      <w:r>
        <w:rPr>
          <w:color w:val="231F20"/>
          <w:spacing w:val="5"/>
        </w:rPr>
        <w:t> </w:t>
      </w:r>
      <w:r>
        <w:rPr>
          <w:color w:val="231F20"/>
        </w:rPr>
        <w:t>Tivoli</w:t>
      </w:r>
      <w:r>
        <w:rPr>
          <w:color w:val="231F20"/>
          <w:spacing w:val="5"/>
        </w:rPr>
        <w:t> </w:t>
      </w:r>
      <w:r>
        <w:rPr>
          <w:color w:val="231F20"/>
        </w:rPr>
        <w:t>Enterprise</w:t>
      </w:r>
      <w:r>
        <w:rPr>
          <w:color w:val="231F20"/>
          <w:spacing w:val="5"/>
        </w:rPr>
        <w:t> </w:t>
      </w:r>
      <w:r>
        <w:rPr>
          <w:color w:val="231F20"/>
        </w:rPr>
        <w:t>Monitoring</w:t>
      </w:r>
      <w:r>
        <w:rPr>
          <w:color w:val="231F20"/>
          <w:spacing w:val="5"/>
        </w:rPr>
        <w:t> </w:t>
      </w:r>
      <w:r>
        <w:rPr>
          <w:color w:val="231F20"/>
          <w:spacing w:val="-2"/>
        </w:rPr>
        <w:t>Servers</w:t>
      </w:r>
    </w:p>
    <w:p>
      <w:pPr>
        <w:pStyle w:val="BodyText"/>
        <w:spacing w:line="213" w:lineRule="auto" w:before="11"/>
        <w:ind w:left="3190" w:right="495"/>
        <w:jc w:val="both"/>
      </w:pPr>
      <w:r>
        <w:rPr>
          <w:color w:val="231F20"/>
        </w:rPr>
        <w:t>The Manage Tivoli Enterprise Monitoring Servers workspaces provide </w:t>
      </w:r>
      <w:r>
        <w:rPr>
          <w:color w:val="231F20"/>
        </w:rPr>
        <w:t>a visual health check of the monitoring servers in your enterprise and the application support that has been applied.</w:t>
      </w:r>
    </w:p>
    <w:p>
      <w:pPr>
        <w:pStyle w:val="BodyText"/>
        <w:spacing w:line="213" w:lineRule="auto"/>
        <w:ind w:left="3190" w:right="3512"/>
      </w:pPr>
      <w:r>
        <w:rPr>
          <w:position w:val="-1"/>
        </w:rPr>
        <w:drawing>
          <wp:inline distT="0" distB="0" distL="0" distR="0">
            <wp:extent cx="101600" cy="101600"/>
            <wp:effectExtent l="0" t="0" r="0" b="0"/>
            <wp:docPr id="3179" name="Image 3179"/>
            <wp:cNvGraphicFramePr>
              <a:graphicFrameLocks/>
            </wp:cNvGraphicFramePr>
            <a:graphic>
              <a:graphicData uri="http://schemas.openxmlformats.org/drawingml/2006/picture">
                <pic:pic>
                  <pic:nvPicPr>
                    <pic:cNvPr id="3179" name="Image 3179"/>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Installed Catalogs - Enterprise </w:t>
      </w:r>
      <w:r>
        <w:rPr>
          <w:color w:val="231F20"/>
        </w:rPr>
        <w:t>View </w:t>
      </w:r>
      <w:r>
        <w:rPr>
          <w:color w:val="231F20"/>
          <w:position w:val="-1"/>
        </w:rPr>
        <w:drawing>
          <wp:inline distT="0" distB="0" distL="0" distR="0">
            <wp:extent cx="101600" cy="101600"/>
            <wp:effectExtent l="0" t="0" r="0" b="0"/>
            <wp:docPr id="3180" name="Image 3180"/>
            <wp:cNvGraphicFramePr>
              <a:graphicFrameLocks/>
            </wp:cNvGraphicFramePr>
            <a:graphic>
              <a:graphicData uri="http://schemas.openxmlformats.org/drawingml/2006/picture">
                <pic:pic>
                  <pic:nvPicPr>
                    <pic:cNvPr id="3180" name="Image 3180"/>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Installed Catalogs - Remote Server</w:t>
      </w:r>
      <w:r>
        <w:rPr>
          <w:color w:val="231F20"/>
          <w:spacing w:val="80"/>
        </w:rPr>
        <w:t> </w:t>
      </w:r>
      <w:r>
        <w:rPr>
          <w:color w:val="231F20"/>
          <w:position w:val="-1"/>
        </w:rPr>
        <w:drawing>
          <wp:inline distT="0" distB="0" distL="0" distR="0">
            <wp:extent cx="101600" cy="101600"/>
            <wp:effectExtent l="0" t="0" r="0" b="0"/>
            <wp:docPr id="3181" name="Image 3181"/>
            <wp:cNvGraphicFramePr>
              <a:graphicFrameLocks/>
            </wp:cNvGraphicFramePr>
            <a:graphic>
              <a:graphicData uri="http://schemas.openxmlformats.org/drawingml/2006/picture">
                <pic:pic>
                  <pic:nvPicPr>
                    <pic:cNvPr id="3181" name="Image 3181"/>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Protocols</w:t>
      </w:r>
    </w:p>
    <w:p>
      <w:pPr>
        <w:pStyle w:val="BodyText"/>
        <w:spacing w:line="230" w:lineRule="exact"/>
        <w:ind w:left="3190"/>
      </w:pPr>
      <w:r>
        <w:rPr>
          <w:position w:val="-1"/>
        </w:rPr>
        <w:drawing>
          <wp:inline distT="0" distB="0" distL="0" distR="0">
            <wp:extent cx="101600" cy="101600"/>
            <wp:effectExtent l="0" t="0" r="0" b="0"/>
            <wp:docPr id="3182" name="Image 3182"/>
            <wp:cNvGraphicFramePr>
              <a:graphicFrameLocks/>
            </wp:cNvGraphicFramePr>
            <a:graphic>
              <a:graphicData uri="http://schemas.openxmlformats.org/drawingml/2006/picture">
                <pic:pic>
                  <pic:nvPicPr>
                    <pic:cNvPr id="3182" name="Image 3182"/>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Situation Status</w:t>
      </w:r>
    </w:p>
    <w:p>
      <w:pPr>
        <w:pStyle w:val="BodyText"/>
        <w:spacing w:line="255" w:lineRule="exact"/>
        <w:ind w:left="3190"/>
      </w:pPr>
      <w:r>
        <w:rPr>
          <w:position w:val="-1"/>
        </w:rPr>
        <w:drawing>
          <wp:inline distT="0" distB="0" distL="0" distR="0">
            <wp:extent cx="101600" cy="101600"/>
            <wp:effectExtent l="0" t="0" r="0" b="0"/>
            <wp:docPr id="3183" name="Image 3183"/>
            <wp:cNvGraphicFramePr>
              <a:graphicFrameLocks/>
            </wp:cNvGraphicFramePr>
            <a:graphic>
              <a:graphicData uri="http://schemas.openxmlformats.org/drawingml/2006/picture">
                <pic:pic>
                  <pic:nvPicPr>
                    <pic:cNvPr id="3183" name="Image 3183"/>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System Information</w:t>
      </w:r>
    </w:p>
    <w:p>
      <w:pPr>
        <w:pStyle w:val="Heading6"/>
        <w:spacing w:before="109"/>
      </w:pPr>
      <w:r>
        <w:rPr>
          <w:color w:val="231F20"/>
        </w:rPr>
        <w:t>Managed</w:t>
      </w:r>
      <w:r>
        <w:rPr>
          <w:color w:val="231F20"/>
          <w:spacing w:val="8"/>
        </w:rPr>
        <w:t> </w:t>
      </w:r>
      <w:r>
        <w:rPr>
          <w:color w:val="231F20"/>
        </w:rPr>
        <w:t>System</w:t>
      </w:r>
      <w:r>
        <w:rPr>
          <w:color w:val="231F20"/>
          <w:spacing w:val="8"/>
        </w:rPr>
        <w:t> </w:t>
      </w:r>
      <w:r>
        <w:rPr>
          <w:color w:val="231F20"/>
          <w:spacing w:val="-2"/>
        </w:rPr>
        <w:t>Status</w:t>
      </w:r>
    </w:p>
    <w:p>
      <w:pPr>
        <w:pStyle w:val="BodyText"/>
        <w:spacing w:line="213" w:lineRule="auto" w:before="12"/>
        <w:ind w:left="3190" w:right="179"/>
        <w:jc w:val="both"/>
      </w:pPr>
      <w:r>
        <w:rPr>
          <w:color w:val="231F20"/>
        </w:rPr>
        <w:t>The Managed System Status is a list of monitoring agents in your </w:t>
      </w:r>
      <w:r>
        <w:rPr>
          <w:color w:val="231F20"/>
        </w:rPr>
        <w:t>managed network and their ONLINE or OFFLINE status. The linked workspaces are only available for online managed systems.</w:t>
      </w:r>
    </w:p>
    <w:p>
      <w:pPr>
        <w:pStyle w:val="BodyText"/>
        <w:spacing w:line="230" w:lineRule="exact"/>
        <w:ind w:left="3190"/>
        <w:jc w:val="both"/>
      </w:pPr>
      <w:r>
        <w:rPr>
          <w:position w:val="-1"/>
        </w:rPr>
        <w:drawing>
          <wp:inline distT="0" distB="0" distL="0" distR="0">
            <wp:extent cx="101600" cy="101600"/>
            <wp:effectExtent l="0" t="0" r="0" b="0"/>
            <wp:docPr id="3184" name="Image 3184"/>
            <wp:cNvGraphicFramePr>
              <a:graphicFrameLocks/>
            </wp:cNvGraphicFramePr>
            <a:graphic>
              <a:graphicData uri="http://schemas.openxmlformats.org/drawingml/2006/picture">
                <pic:pic>
                  <pic:nvPicPr>
                    <pic:cNvPr id="3184" name="Image 3184"/>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Audit Log</w:t>
      </w:r>
    </w:p>
    <w:p>
      <w:pPr>
        <w:pStyle w:val="BodyText"/>
        <w:spacing w:line="213" w:lineRule="auto" w:before="8"/>
        <w:ind w:left="3190" w:right="4717"/>
        <w:jc w:val="both"/>
      </w:pPr>
      <w:r>
        <w:rPr>
          <w:position w:val="-1"/>
        </w:rPr>
        <w:drawing>
          <wp:inline distT="0" distB="0" distL="0" distR="0">
            <wp:extent cx="101600" cy="101600"/>
            <wp:effectExtent l="0" t="0" r="0" b="0"/>
            <wp:docPr id="3185" name="Image 3185"/>
            <wp:cNvGraphicFramePr>
              <a:graphicFrameLocks/>
            </wp:cNvGraphicFramePr>
            <a:graphic>
              <a:graphicData uri="http://schemas.openxmlformats.org/drawingml/2006/picture">
                <pic:pic>
                  <pic:nvPicPr>
                    <pic:cNvPr id="3185" name="Image 3185"/>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39"/>
        </w:rPr>
        <w:t> </w:t>
      </w:r>
      <w:r>
        <w:rPr>
          <w:color w:val="231F20"/>
        </w:rPr>
        <w:t>Agent Operations </w:t>
      </w:r>
      <w:r>
        <w:rPr>
          <w:color w:val="231F20"/>
        </w:rPr>
        <w:t>Log </w:t>
      </w:r>
      <w:r>
        <w:rPr>
          <w:color w:val="231F20"/>
          <w:position w:val="-1"/>
        </w:rPr>
        <w:drawing>
          <wp:inline distT="0" distB="0" distL="0" distR="0">
            <wp:extent cx="101600" cy="101600"/>
            <wp:effectExtent l="0" t="0" r="0" b="0"/>
            <wp:docPr id="3186" name="Image 3186"/>
            <wp:cNvGraphicFramePr>
              <a:graphicFrameLocks/>
            </wp:cNvGraphicFramePr>
            <a:graphic>
              <a:graphicData uri="http://schemas.openxmlformats.org/drawingml/2006/picture">
                <pic:pic>
                  <pic:nvPicPr>
                    <pic:cNvPr id="3186" name="Image 3186"/>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History Exports</w:t>
      </w:r>
    </w:p>
    <w:p>
      <w:pPr>
        <w:pStyle w:val="Heading6"/>
      </w:pPr>
      <w:r>
        <w:rPr>
          <w:color w:val="231F20"/>
        </w:rPr>
        <w:t>EIB</w:t>
      </w:r>
      <w:r>
        <w:rPr>
          <w:color w:val="231F20"/>
          <w:spacing w:val="10"/>
        </w:rPr>
        <w:t> </w:t>
      </w:r>
      <w:r>
        <w:rPr>
          <w:color w:val="231F20"/>
        </w:rPr>
        <w:t>Change</w:t>
      </w:r>
      <w:r>
        <w:rPr>
          <w:color w:val="231F20"/>
          <w:spacing w:val="11"/>
        </w:rPr>
        <w:t> </w:t>
      </w:r>
      <w:r>
        <w:rPr>
          <w:color w:val="231F20"/>
          <w:spacing w:val="-5"/>
        </w:rPr>
        <w:t>Log</w:t>
      </w:r>
    </w:p>
    <w:p>
      <w:pPr>
        <w:pStyle w:val="BodyText"/>
        <w:spacing w:line="213" w:lineRule="auto" w:before="11"/>
        <w:ind w:left="3190" w:right="385"/>
      </w:pPr>
      <w:r>
        <w:rPr>
          <w:color w:val="231F20"/>
        </w:rPr>
        <w:t>This workspaces displays entries in the Enterprise Information Base (EIB) log. The EIB is a database used by the Tivoli Enterprise Monitoring </w:t>
      </w:r>
      <w:r>
        <w:rPr>
          <w:color w:val="231F20"/>
        </w:rPr>
        <w:t>Server to store situation, policy, user definitions, and configuration information.</w:t>
      </w:r>
    </w:p>
    <w:p>
      <w:pPr>
        <w:pStyle w:val="Heading6"/>
      </w:pPr>
      <w:r>
        <w:rPr>
          <w:color w:val="231F20"/>
        </w:rPr>
        <w:t>Self-Monitoring</w:t>
      </w:r>
      <w:r>
        <w:rPr>
          <w:color w:val="231F20"/>
          <w:spacing w:val="1"/>
        </w:rPr>
        <w:t> </w:t>
      </w:r>
      <w:r>
        <w:rPr>
          <w:color w:val="231F20"/>
          <w:spacing w:val="-2"/>
        </w:rPr>
        <w:t>Topology</w:t>
      </w:r>
    </w:p>
    <w:p>
      <w:pPr>
        <w:pStyle w:val="BodyText"/>
        <w:spacing w:line="213" w:lineRule="auto" w:before="11"/>
        <w:ind w:left="3190" w:right="166"/>
        <w:jc w:val="both"/>
      </w:pPr>
      <w:r>
        <w:rPr>
          <w:color w:val="231F20"/>
        </w:rPr>
        <w:t>The Self-Monitoring Topology workspace provides a high level overview </w:t>
      </w:r>
      <w:r>
        <w:rPr>
          <w:color w:val="231F20"/>
        </w:rPr>
        <w:t>of your managed infrastructure and its health.</w:t>
      </w:r>
    </w:p>
    <w:p>
      <w:pPr>
        <w:spacing w:after="0" w:line="213" w:lineRule="auto"/>
        <w:jc w:val="both"/>
        <w:sectPr>
          <w:pgSz w:w="12240" w:h="15840"/>
          <w:pgMar w:header="0" w:footer="736" w:top="1180" w:bottom="920" w:left="1000" w:right="1060"/>
        </w:sectPr>
      </w:pPr>
    </w:p>
    <w:p>
      <w:pPr>
        <w:pStyle w:val="Heading6"/>
        <w:spacing w:before="83"/>
        <w:ind w:left="2232"/>
      </w:pPr>
      <w:bookmarkStart w:name="_bookmark317" w:id="656"/>
      <w:bookmarkEnd w:id="656"/>
      <w:r>
        <w:rPr>
          <w:b w:val="0"/>
        </w:rPr>
      </w:r>
      <w:r>
        <w:rPr>
          <w:color w:val="231F20"/>
        </w:rPr>
        <w:t>Deploy</w:t>
      </w:r>
      <w:r>
        <w:rPr>
          <w:color w:val="231F20"/>
          <w:spacing w:val="9"/>
        </w:rPr>
        <w:t> </w:t>
      </w:r>
      <w:r>
        <w:rPr>
          <w:color w:val="231F20"/>
        </w:rPr>
        <w:t>Depot</w:t>
      </w:r>
      <w:r>
        <w:rPr>
          <w:color w:val="231F20"/>
          <w:spacing w:val="9"/>
        </w:rPr>
        <w:t> </w:t>
      </w:r>
      <w:r>
        <w:rPr>
          <w:color w:val="231F20"/>
        </w:rPr>
        <w:t>Package</w:t>
      </w:r>
      <w:r>
        <w:rPr>
          <w:color w:val="231F20"/>
          <w:spacing w:val="10"/>
        </w:rPr>
        <w:t> </w:t>
      </w:r>
      <w:r>
        <w:rPr>
          <w:color w:val="231F20"/>
          <w:spacing w:val="-4"/>
        </w:rPr>
        <w:t>List</w:t>
      </w:r>
    </w:p>
    <w:p>
      <w:pPr>
        <w:pStyle w:val="BodyText"/>
        <w:spacing w:line="213" w:lineRule="auto" w:before="12"/>
        <w:ind w:left="2951" w:right="545"/>
      </w:pPr>
      <w:r>
        <w:rPr>
          <w:color w:val="231F20"/>
        </w:rPr>
        <w:t>The Deploy Depot Package List workspace shows the installation </w:t>
      </w:r>
      <w:r>
        <w:rPr>
          <w:color w:val="231F20"/>
        </w:rPr>
        <w:t>packages that are available in the agent depot.</w:t>
      </w:r>
    </w:p>
    <w:p>
      <w:pPr>
        <w:pStyle w:val="Heading6"/>
        <w:ind w:left="2232"/>
      </w:pPr>
      <w:r>
        <w:rPr>
          <w:color w:val="231F20"/>
        </w:rPr>
        <w:t>Deployment</w:t>
      </w:r>
      <w:r>
        <w:rPr>
          <w:color w:val="231F20"/>
          <w:spacing w:val="7"/>
        </w:rPr>
        <w:t> </w:t>
      </w:r>
      <w:r>
        <w:rPr>
          <w:color w:val="231F20"/>
        </w:rPr>
        <w:t>Status</w:t>
      </w:r>
      <w:r>
        <w:rPr>
          <w:color w:val="231F20"/>
          <w:spacing w:val="7"/>
        </w:rPr>
        <w:t> </w:t>
      </w:r>
      <w:r>
        <w:rPr>
          <w:color w:val="231F20"/>
          <w:spacing w:val="-2"/>
        </w:rPr>
        <w:t>Summary</w:t>
      </w:r>
    </w:p>
    <w:p>
      <w:pPr>
        <w:pStyle w:val="BodyText"/>
        <w:spacing w:line="213" w:lineRule="auto" w:before="11"/>
        <w:ind w:left="2951" w:right="545"/>
      </w:pPr>
      <w:r>
        <w:rPr>
          <w:color w:val="231F20"/>
        </w:rPr>
        <w:t>The Deployment Status Summary workspace shows summary </w:t>
      </w:r>
      <w:r>
        <w:rPr>
          <w:color w:val="231F20"/>
        </w:rPr>
        <w:t>status information about remote agent deployments.</w:t>
      </w:r>
    </w:p>
    <w:p>
      <w:pPr>
        <w:pStyle w:val="BodyText"/>
        <w:spacing w:line="213" w:lineRule="auto"/>
        <w:ind w:left="2951" w:right="3594"/>
      </w:pPr>
      <w:r>
        <w:rPr>
          <w:position w:val="-1"/>
        </w:rPr>
        <w:drawing>
          <wp:inline distT="0" distB="0" distL="0" distR="0">
            <wp:extent cx="101600" cy="101600"/>
            <wp:effectExtent l="0" t="0" r="0" b="0"/>
            <wp:docPr id="3187" name="Image 3187"/>
            <wp:cNvGraphicFramePr>
              <a:graphicFrameLocks/>
            </wp:cNvGraphicFramePr>
            <a:graphic>
              <a:graphicData uri="http://schemas.openxmlformats.org/drawingml/2006/picture">
                <pic:pic>
                  <pic:nvPicPr>
                    <pic:cNvPr id="3187" name="Image 3187"/>
                    <pic:cNvPicPr/>
                  </pic:nvPicPr>
                  <pic:blipFill>
                    <a:blip r:embed="rId79" cstate="print"/>
                    <a:stretch>
                      <a:fillRect/>
                    </a:stretch>
                  </pic:blipFill>
                  <pic:spPr>
                    <a:xfrm>
                      <a:off x="0" y="0"/>
                      <a:ext cx="101600" cy="101600"/>
                    </a:xfrm>
                    <a:prstGeom prst="rect">
                      <a:avLst/>
                    </a:prstGeom>
                  </pic:spPr>
                </pic:pic>
              </a:graphicData>
            </a:graphic>
          </wp:inline>
        </w:drawing>
      </w:r>
      <w:r>
        <w:rPr>
          <w:position w:val="-1"/>
        </w:rPr>
      </w:r>
      <w:r>
        <w:rPr>
          <w:rFonts w:ascii="Times New Roman"/>
          <w:spacing w:val="40"/>
        </w:rPr>
        <w:t> </w:t>
      </w:r>
      <w:r>
        <w:rPr>
          <w:color w:val="231F20"/>
        </w:rPr>
        <w:t>Deployment Status by Deploy </w:t>
      </w:r>
      <w:r>
        <w:rPr>
          <w:color w:val="231F20"/>
        </w:rPr>
        <w:t>Group </w:t>
      </w:r>
      <w:r>
        <w:rPr>
          <w:color w:val="231F20"/>
          <w:position w:val="-1"/>
        </w:rPr>
        <w:drawing>
          <wp:inline distT="0" distB="0" distL="0" distR="0">
            <wp:extent cx="101600" cy="101600"/>
            <wp:effectExtent l="0" t="0" r="0" b="0"/>
            <wp:docPr id="3188" name="Image 3188"/>
            <wp:cNvGraphicFramePr>
              <a:graphicFrameLocks/>
            </wp:cNvGraphicFramePr>
            <a:graphic>
              <a:graphicData uri="http://schemas.openxmlformats.org/drawingml/2006/picture">
                <pic:pic>
                  <pic:nvPicPr>
                    <pic:cNvPr id="3188" name="Image 3188"/>
                    <pic:cNvPicPr/>
                  </pic:nvPicPr>
                  <pic:blipFill>
                    <a:blip r:embed="rId79" cstate="print"/>
                    <a:stretch>
                      <a:fillRect/>
                    </a:stretch>
                  </pic:blipFill>
                  <pic:spPr>
                    <a:xfrm>
                      <a:off x="0" y="0"/>
                      <a:ext cx="101600" cy="101600"/>
                    </a:xfrm>
                    <a:prstGeom prst="rect">
                      <a:avLst/>
                    </a:prstGeom>
                  </pic:spPr>
                </pic:pic>
              </a:graphicData>
            </a:graphic>
          </wp:inline>
        </w:drawing>
      </w:r>
      <w:r>
        <w:rPr>
          <w:color w:val="231F20"/>
          <w:position w:val="-1"/>
        </w:rPr>
      </w:r>
      <w:r>
        <w:rPr>
          <w:rFonts w:ascii="Times New Roman"/>
          <w:color w:val="231F20"/>
          <w:spacing w:val="40"/>
        </w:rPr>
        <w:t> </w:t>
      </w:r>
      <w:r>
        <w:rPr>
          <w:color w:val="231F20"/>
        </w:rPr>
        <w:t>Deployment Status by Product</w:t>
      </w:r>
    </w:p>
    <w:p>
      <w:pPr>
        <w:pStyle w:val="Heading6"/>
        <w:spacing w:before="116"/>
        <w:ind w:left="2232"/>
      </w:pPr>
      <w:r>
        <w:rPr>
          <w:color w:val="231F20"/>
        </w:rPr>
        <w:t>Deployment</w:t>
      </w:r>
      <w:r>
        <w:rPr>
          <w:color w:val="231F20"/>
          <w:spacing w:val="8"/>
        </w:rPr>
        <w:t> </w:t>
      </w:r>
      <w:r>
        <w:rPr>
          <w:color w:val="231F20"/>
        </w:rPr>
        <w:t>Status</w:t>
      </w:r>
      <w:r>
        <w:rPr>
          <w:color w:val="231F20"/>
          <w:spacing w:val="9"/>
        </w:rPr>
        <w:t> </w:t>
      </w:r>
      <w:r>
        <w:rPr>
          <w:color w:val="231F20"/>
        </w:rPr>
        <w:t>Summary</w:t>
      </w:r>
      <w:r>
        <w:rPr>
          <w:color w:val="231F20"/>
          <w:spacing w:val="9"/>
        </w:rPr>
        <w:t> </w:t>
      </w:r>
      <w:r>
        <w:rPr>
          <w:color w:val="231F20"/>
        </w:rPr>
        <w:t>by</w:t>
      </w:r>
      <w:r>
        <w:rPr>
          <w:color w:val="231F20"/>
          <w:spacing w:val="9"/>
        </w:rPr>
        <w:t> </w:t>
      </w:r>
      <w:r>
        <w:rPr>
          <w:color w:val="231F20"/>
          <w:spacing w:val="-2"/>
        </w:rPr>
        <w:t>Transaction</w:t>
      </w:r>
    </w:p>
    <w:p>
      <w:pPr>
        <w:pStyle w:val="BodyText"/>
        <w:spacing w:line="213" w:lineRule="auto" w:before="11"/>
        <w:ind w:left="2951" w:right="545"/>
      </w:pPr>
      <w:r>
        <w:rPr>
          <w:color w:val="231F20"/>
        </w:rPr>
        <w:t>The Deployment Status Summary by Transaction workspace shows summary status information about remote agent deployments, sorted </w:t>
      </w:r>
      <w:r>
        <w:rPr>
          <w:color w:val="231F20"/>
        </w:rPr>
        <w:t>by </w:t>
      </w:r>
      <w:r>
        <w:rPr>
          <w:color w:val="231F20"/>
          <w:spacing w:val="-2"/>
        </w:rPr>
        <w:t>transaction.</w:t>
      </w:r>
    </w:p>
    <w:p>
      <w:pPr>
        <w:pStyle w:val="Heading6"/>
        <w:spacing w:line="240" w:lineRule="auto" w:before="35"/>
        <w:ind w:left="2232"/>
        <w:rPr>
          <w:rFonts w:ascii="Palatino Linotype"/>
          <w:b w:val="0"/>
        </w:rPr>
      </w:pPr>
      <w:r>
        <w:rPr>
          <w:color w:val="231F20"/>
        </w:rPr>
        <w:t>Related</w:t>
      </w:r>
      <w:r>
        <w:rPr>
          <w:color w:val="231F20"/>
          <w:spacing w:val="9"/>
        </w:rPr>
        <w:t> </w:t>
      </w:r>
      <w:r>
        <w:rPr>
          <w:color w:val="231F20"/>
          <w:spacing w:val="-2"/>
        </w:rPr>
        <w:t>reference</w:t>
      </w:r>
      <w:r>
        <w:rPr>
          <w:rFonts w:ascii="Palatino Linotype"/>
          <w:b w:val="0"/>
          <w:color w:val="231F20"/>
          <w:spacing w:val="-2"/>
        </w:rPr>
        <w:t>:</w:t>
      </w:r>
    </w:p>
    <w:p>
      <w:pPr>
        <w:pStyle w:val="BodyText"/>
        <w:spacing w:line="255" w:lineRule="exact" w:before="30"/>
        <w:ind w:left="2232"/>
      </w:pPr>
      <w:hyperlink w:history="true" w:anchor="_bookmark41">
        <w:r>
          <w:rPr>
            <w:color w:val="231F20"/>
          </w:rPr>
          <w:t>“Enterprise</w:t>
        </w:r>
        <w:r>
          <w:rPr>
            <w:color w:val="231F20"/>
            <w:spacing w:val="9"/>
          </w:rPr>
          <w:t> </w:t>
        </w:r>
        <w:r>
          <w:rPr>
            <w:color w:val="231F20"/>
          </w:rPr>
          <w:t>Status</w:t>
        </w:r>
        <w:r>
          <w:rPr>
            <w:color w:val="231F20"/>
            <w:spacing w:val="9"/>
          </w:rPr>
          <w:t> </w:t>
        </w:r>
        <w:r>
          <w:rPr>
            <w:color w:val="231F20"/>
          </w:rPr>
          <w:t>workspace”</w:t>
        </w:r>
        <w:r>
          <w:rPr>
            <w:color w:val="231F20"/>
            <w:spacing w:val="10"/>
          </w:rPr>
          <w:t> </w:t>
        </w:r>
        <w:r>
          <w:rPr>
            <w:color w:val="231F20"/>
          </w:rPr>
          <w:t>on</w:t>
        </w:r>
        <w:r>
          <w:rPr>
            <w:color w:val="231F20"/>
            <w:spacing w:val="9"/>
          </w:rPr>
          <w:t> </w:t>
        </w:r>
        <w:r>
          <w:rPr>
            <w:color w:val="231F20"/>
          </w:rPr>
          <w:t>page</w:t>
        </w:r>
        <w:r>
          <w:rPr>
            <w:color w:val="231F20"/>
            <w:spacing w:val="10"/>
          </w:rPr>
          <w:t> </w:t>
        </w:r>
        <w:r>
          <w:rPr>
            <w:color w:val="231F20"/>
            <w:spacing w:val="-5"/>
          </w:rPr>
          <w:t>55</w:t>
        </w:r>
      </w:hyperlink>
    </w:p>
    <w:p>
      <w:pPr>
        <w:pStyle w:val="BodyText"/>
        <w:spacing w:line="213" w:lineRule="auto" w:before="8"/>
        <w:ind w:left="2232" w:right="493"/>
      </w:pPr>
      <w:r>
        <w:rPr>
          <w:color w:val="231F20"/>
        </w:rPr>
        <w:t>At the highest level of the Navigator Physical view is the </w:t>
      </w:r>
      <w:r>
        <w:rPr>
          <w:color w:val="231F20"/>
          <w:spacing w:val="15"/>
          <w:position w:val="-1"/>
        </w:rPr>
        <w:drawing>
          <wp:inline distT="0" distB="0" distL="0" distR="0">
            <wp:extent cx="95250" cy="101600"/>
            <wp:effectExtent l="0" t="0" r="0" b="0"/>
            <wp:docPr id="3189" name="Image 3189"/>
            <wp:cNvGraphicFramePr>
              <a:graphicFrameLocks/>
            </wp:cNvGraphicFramePr>
            <a:graphic>
              <a:graphicData uri="http://schemas.openxmlformats.org/drawingml/2006/picture">
                <pic:pic>
                  <pic:nvPicPr>
                    <pic:cNvPr id="3189" name="Image 3189"/>
                    <pic:cNvPicPr/>
                  </pic:nvPicPr>
                  <pic:blipFill>
                    <a:blip r:embed="rId70" cstate="print"/>
                    <a:stretch>
                      <a:fillRect/>
                    </a:stretch>
                  </pic:blipFill>
                  <pic:spPr>
                    <a:xfrm>
                      <a:off x="0" y="0"/>
                      <a:ext cx="95250" cy="101600"/>
                    </a:xfrm>
                    <a:prstGeom prst="rect">
                      <a:avLst/>
                    </a:prstGeom>
                  </pic:spPr>
                </pic:pic>
              </a:graphicData>
            </a:graphic>
          </wp:inline>
        </w:drawing>
      </w:r>
      <w:r>
        <w:rPr>
          <w:color w:val="231F20"/>
          <w:spacing w:val="15"/>
          <w:position w:val="-1"/>
        </w:rPr>
      </w:r>
      <w:r>
        <w:rPr>
          <w:rFonts w:ascii="Times New Roman"/>
          <w:color w:val="231F20"/>
          <w:spacing w:val="-8"/>
        </w:rPr>
        <w:t> </w:t>
      </w:r>
      <w:r>
        <w:rPr>
          <w:color w:val="231F20"/>
        </w:rPr>
        <w:t>Enterprise item. The default workspace for the Enterprise is called Enterprise Status.</w:t>
      </w:r>
    </w:p>
    <w:p>
      <w:pPr>
        <w:pStyle w:val="BodyText"/>
        <w:spacing w:line="255" w:lineRule="exact" w:before="35"/>
        <w:ind w:left="2232"/>
      </w:pPr>
      <w:hyperlink w:history="true" w:anchor="_bookmark304">
        <w:r>
          <w:rPr>
            <w:color w:val="231F20"/>
          </w:rPr>
          <w:t>“Manage</w:t>
        </w:r>
        <w:r>
          <w:rPr>
            <w:color w:val="231F20"/>
            <w:spacing w:val="7"/>
          </w:rPr>
          <w:t> </w:t>
        </w:r>
        <w:r>
          <w:rPr>
            <w:color w:val="231F20"/>
          </w:rPr>
          <w:t>Tivoli</w:t>
        </w:r>
        <w:r>
          <w:rPr>
            <w:color w:val="231F20"/>
            <w:spacing w:val="7"/>
          </w:rPr>
          <w:t> </w:t>
        </w:r>
        <w:r>
          <w:rPr>
            <w:color w:val="231F20"/>
          </w:rPr>
          <w:t>Enterprise</w:t>
        </w:r>
        <w:r>
          <w:rPr>
            <w:color w:val="231F20"/>
            <w:spacing w:val="8"/>
          </w:rPr>
          <w:t> </w:t>
        </w:r>
        <w:r>
          <w:rPr>
            <w:color w:val="231F20"/>
          </w:rPr>
          <w:t>Monitoring</w:t>
        </w:r>
        <w:r>
          <w:rPr>
            <w:color w:val="231F20"/>
            <w:spacing w:val="7"/>
          </w:rPr>
          <w:t> </w:t>
        </w:r>
        <w:r>
          <w:rPr>
            <w:color w:val="231F20"/>
          </w:rPr>
          <w:t>Servers</w:t>
        </w:r>
        <w:r>
          <w:rPr>
            <w:color w:val="231F20"/>
            <w:spacing w:val="8"/>
          </w:rPr>
          <w:t> </w:t>
        </w:r>
        <w:r>
          <w:rPr>
            <w:color w:val="231F20"/>
          </w:rPr>
          <w:t>workspaces”</w:t>
        </w:r>
        <w:r>
          <w:rPr>
            <w:color w:val="231F20"/>
            <w:spacing w:val="7"/>
          </w:rPr>
          <w:t> </w:t>
        </w:r>
        <w:r>
          <w:rPr>
            <w:color w:val="231F20"/>
          </w:rPr>
          <w:t>on</w:t>
        </w:r>
        <w:r>
          <w:rPr>
            <w:color w:val="231F20"/>
            <w:spacing w:val="8"/>
          </w:rPr>
          <w:t> </w:t>
        </w:r>
        <w:r>
          <w:rPr>
            <w:color w:val="231F20"/>
          </w:rPr>
          <w:t>page</w:t>
        </w:r>
        <w:r>
          <w:rPr>
            <w:color w:val="231F20"/>
            <w:spacing w:val="7"/>
          </w:rPr>
          <w:t> </w:t>
        </w:r>
        <w:r>
          <w:rPr>
            <w:color w:val="231F20"/>
            <w:spacing w:val="-5"/>
          </w:rPr>
          <w:t>394</w:t>
        </w:r>
      </w:hyperlink>
    </w:p>
    <w:p>
      <w:pPr>
        <w:pStyle w:val="BodyText"/>
        <w:spacing w:line="213" w:lineRule="auto" w:before="8"/>
        <w:ind w:left="2232" w:right="545"/>
      </w:pPr>
      <w:r>
        <w:rPr>
          <w:color w:val="231F20"/>
        </w:rPr>
        <w:t>Use the Manage Tivoli Enterprise Monitoring Servers workspaces and situations </w:t>
      </w:r>
      <w:r>
        <w:rPr>
          <w:color w:val="231F20"/>
        </w:rPr>
        <w:t>to gather information for diagnosing and correcting typical monitoring server configuration issues.</w:t>
      </w:r>
    </w:p>
    <w:p>
      <w:pPr>
        <w:pStyle w:val="BodyText"/>
        <w:spacing w:line="255" w:lineRule="exact" w:before="35"/>
        <w:ind w:left="2232"/>
      </w:pPr>
      <w:hyperlink w:history="true" w:anchor="_bookmark296">
        <w:r>
          <w:rPr>
            <w:color w:val="231F20"/>
          </w:rPr>
          <w:t>“Managed</w:t>
        </w:r>
        <w:r>
          <w:rPr>
            <w:color w:val="231F20"/>
            <w:spacing w:val="9"/>
          </w:rPr>
          <w:t> </w:t>
        </w:r>
        <w:r>
          <w:rPr>
            <w:color w:val="231F20"/>
          </w:rPr>
          <w:t>System</w:t>
        </w:r>
        <w:r>
          <w:rPr>
            <w:color w:val="231F20"/>
            <w:spacing w:val="10"/>
          </w:rPr>
          <w:t> </w:t>
        </w:r>
        <w:r>
          <w:rPr>
            <w:color w:val="231F20"/>
          </w:rPr>
          <w:t>Status</w:t>
        </w:r>
        <w:r>
          <w:rPr>
            <w:color w:val="231F20"/>
            <w:spacing w:val="9"/>
          </w:rPr>
          <w:t> </w:t>
        </w:r>
        <w:r>
          <w:rPr>
            <w:color w:val="231F20"/>
          </w:rPr>
          <w:t>workspace”</w:t>
        </w:r>
        <w:r>
          <w:rPr>
            <w:color w:val="231F20"/>
            <w:spacing w:val="10"/>
          </w:rPr>
          <w:t> </w:t>
        </w:r>
        <w:r>
          <w:rPr>
            <w:color w:val="231F20"/>
          </w:rPr>
          <w:t>on</w:t>
        </w:r>
        <w:r>
          <w:rPr>
            <w:color w:val="231F20"/>
            <w:spacing w:val="10"/>
          </w:rPr>
          <w:t> </w:t>
        </w:r>
        <w:r>
          <w:rPr>
            <w:color w:val="231F20"/>
          </w:rPr>
          <w:t>page</w:t>
        </w:r>
        <w:r>
          <w:rPr>
            <w:color w:val="231F20"/>
            <w:spacing w:val="9"/>
          </w:rPr>
          <w:t> </w:t>
        </w:r>
        <w:r>
          <w:rPr>
            <w:color w:val="231F20"/>
            <w:spacing w:val="-5"/>
          </w:rPr>
          <w:t>388</w:t>
        </w:r>
      </w:hyperlink>
    </w:p>
    <w:p>
      <w:pPr>
        <w:pStyle w:val="BodyText"/>
        <w:spacing w:line="213" w:lineRule="auto" w:before="8"/>
        <w:ind w:left="2232" w:right="636"/>
      </w:pPr>
      <w:r>
        <w:rPr>
          <w:color w:val="231F20"/>
        </w:rPr>
        <w:t>The Managed System Status workspace is one of the predefined workspaces for</w:t>
      </w:r>
      <w:r>
        <w:rPr>
          <w:color w:val="231F20"/>
          <w:spacing w:val="40"/>
        </w:rPr>
        <w:t> </w:t>
      </w:r>
      <w:r>
        <w:rPr>
          <w:color w:val="231F20"/>
        </w:rPr>
        <w:t>the Enterprise Navigator item, and offers a high level overview of your </w:t>
      </w:r>
      <w:r>
        <w:rPr>
          <w:color w:val="231F20"/>
        </w:rPr>
        <w:t>managed network. The workspace has a single view: </w:t>
      </w:r>
      <w:r>
        <w:rPr>
          <w:rFonts w:ascii="Book Antiqua"/>
          <w:i/>
          <w:color w:val="231F20"/>
        </w:rPr>
        <w:t>Managed System Status table view</w:t>
      </w:r>
      <w:r>
        <w:rPr>
          <w:color w:val="231F20"/>
        </w:rPr>
        <w:t>.</w:t>
      </w:r>
    </w:p>
    <w:p>
      <w:pPr>
        <w:pStyle w:val="BodyText"/>
        <w:spacing w:line="255" w:lineRule="exact" w:before="34"/>
        <w:ind w:left="2232"/>
      </w:pPr>
      <w:hyperlink w:history="true" w:anchor="_bookmark302">
        <w:r>
          <w:rPr>
            <w:color w:val="231F20"/>
          </w:rPr>
          <w:t>“EIB</w:t>
        </w:r>
        <w:r>
          <w:rPr>
            <w:color w:val="231F20"/>
            <w:spacing w:val="10"/>
          </w:rPr>
          <w:t> </w:t>
        </w:r>
        <w:r>
          <w:rPr>
            <w:color w:val="231F20"/>
          </w:rPr>
          <w:t>Change</w:t>
        </w:r>
        <w:r>
          <w:rPr>
            <w:color w:val="231F20"/>
            <w:spacing w:val="11"/>
          </w:rPr>
          <w:t> </w:t>
        </w:r>
        <w:r>
          <w:rPr>
            <w:color w:val="231F20"/>
          </w:rPr>
          <w:t>Log</w:t>
        </w:r>
        <w:r>
          <w:rPr>
            <w:color w:val="231F20"/>
            <w:spacing w:val="11"/>
          </w:rPr>
          <w:t> </w:t>
        </w:r>
        <w:r>
          <w:rPr>
            <w:color w:val="231F20"/>
          </w:rPr>
          <w:t>workspace”</w:t>
        </w:r>
        <w:r>
          <w:rPr>
            <w:color w:val="231F20"/>
            <w:spacing w:val="11"/>
          </w:rPr>
          <w:t> </w:t>
        </w:r>
        <w:r>
          <w:rPr>
            <w:color w:val="231F20"/>
          </w:rPr>
          <w:t>on</w:t>
        </w:r>
        <w:r>
          <w:rPr>
            <w:color w:val="231F20"/>
            <w:spacing w:val="10"/>
          </w:rPr>
          <w:t> </w:t>
        </w:r>
        <w:r>
          <w:rPr>
            <w:color w:val="231F20"/>
          </w:rPr>
          <w:t>page</w:t>
        </w:r>
        <w:r>
          <w:rPr>
            <w:color w:val="231F20"/>
            <w:spacing w:val="11"/>
          </w:rPr>
          <w:t> </w:t>
        </w:r>
        <w:r>
          <w:rPr>
            <w:color w:val="231F20"/>
            <w:spacing w:val="-5"/>
          </w:rPr>
          <w:t>392</w:t>
        </w:r>
      </w:hyperlink>
    </w:p>
    <w:p>
      <w:pPr>
        <w:pStyle w:val="BodyText"/>
        <w:spacing w:line="213" w:lineRule="auto" w:before="8"/>
        <w:ind w:left="2232" w:right="493"/>
      </w:pPr>
      <w:r>
        <w:rPr>
          <w:color w:val="231F20"/>
        </w:rPr>
        <w:t>The Enterprise Information Base (EIB) is a database used by the Tivoli </w:t>
      </w:r>
      <w:r>
        <w:rPr>
          <w:color w:val="231F20"/>
        </w:rPr>
        <w:t>Enterprise Monitoring Server to store situation, policy, user definitions and configuration information. The EIB Change Log view is a log with details of changes made to</w:t>
      </w:r>
      <w:r>
        <w:rPr>
          <w:color w:val="231F20"/>
          <w:spacing w:val="40"/>
        </w:rPr>
        <w:t> </w:t>
      </w:r>
      <w:r>
        <w:rPr>
          <w:color w:val="231F20"/>
        </w:rPr>
        <w:t>information in the database.</w:t>
      </w:r>
    </w:p>
    <w:p>
      <w:pPr>
        <w:pStyle w:val="BodyText"/>
        <w:spacing w:line="255" w:lineRule="exact" w:before="34"/>
        <w:ind w:left="2232"/>
      </w:pPr>
      <w:hyperlink w:history="true" w:anchor="_bookmark303">
        <w:r>
          <w:rPr>
            <w:color w:val="231F20"/>
          </w:rPr>
          <w:t>“Self-Monitoring</w:t>
        </w:r>
        <w:r>
          <w:rPr>
            <w:color w:val="231F20"/>
            <w:spacing w:val="4"/>
          </w:rPr>
          <w:t> </w:t>
        </w:r>
        <w:r>
          <w:rPr>
            <w:color w:val="231F20"/>
          </w:rPr>
          <w:t>Topology</w:t>
        </w:r>
        <w:r>
          <w:rPr>
            <w:color w:val="231F20"/>
            <w:spacing w:val="4"/>
          </w:rPr>
          <w:t> </w:t>
        </w:r>
        <w:r>
          <w:rPr>
            <w:color w:val="231F20"/>
          </w:rPr>
          <w:t>workspace”</w:t>
        </w:r>
        <w:r>
          <w:rPr>
            <w:color w:val="231F20"/>
            <w:spacing w:val="4"/>
          </w:rPr>
          <w:t> </w:t>
        </w:r>
        <w:r>
          <w:rPr>
            <w:color w:val="231F20"/>
          </w:rPr>
          <w:t>on</w:t>
        </w:r>
        <w:r>
          <w:rPr>
            <w:color w:val="231F20"/>
            <w:spacing w:val="4"/>
          </w:rPr>
          <w:t> </w:t>
        </w:r>
        <w:r>
          <w:rPr>
            <w:color w:val="231F20"/>
          </w:rPr>
          <w:t>page</w:t>
        </w:r>
        <w:r>
          <w:rPr>
            <w:color w:val="231F20"/>
            <w:spacing w:val="4"/>
          </w:rPr>
          <w:t> </w:t>
        </w:r>
        <w:r>
          <w:rPr>
            <w:color w:val="231F20"/>
            <w:spacing w:val="-5"/>
          </w:rPr>
          <w:t>393</w:t>
        </w:r>
      </w:hyperlink>
    </w:p>
    <w:p>
      <w:pPr>
        <w:pStyle w:val="BodyText"/>
        <w:spacing w:line="213" w:lineRule="auto" w:before="8"/>
        <w:ind w:left="2232" w:right="600"/>
        <w:jc w:val="both"/>
      </w:pPr>
      <w:r>
        <w:rPr>
          <w:color w:val="231F20"/>
        </w:rPr>
        <w:t>The Self-Monitoring Topology workspace provides a high level overview of your managed infrastructure and its health and introduces you to the Tivoli </w:t>
      </w:r>
      <w:r>
        <w:rPr>
          <w:color w:val="231F20"/>
        </w:rPr>
        <w:t>Enterprise Portal self-monitoring capabilities.</w:t>
      </w:r>
    </w:p>
    <w:p>
      <w:pPr>
        <w:pStyle w:val="BodyText"/>
        <w:spacing w:line="255" w:lineRule="exact" w:before="35"/>
        <w:ind w:left="2232"/>
        <w:jc w:val="both"/>
      </w:pPr>
      <w:hyperlink w:history="true" w:anchor="_bookmark306">
        <w:r>
          <w:rPr>
            <w:color w:val="231F20"/>
          </w:rPr>
          <w:t>“Agent</w:t>
        </w:r>
        <w:r>
          <w:rPr>
            <w:color w:val="231F20"/>
            <w:spacing w:val="8"/>
          </w:rPr>
          <w:t> </w:t>
        </w:r>
        <w:r>
          <w:rPr>
            <w:color w:val="231F20"/>
          </w:rPr>
          <w:t>deployment</w:t>
        </w:r>
        <w:r>
          <w:rPr>
            <w:color w:val="231F20"/>
            <w:spacing w:val="9"/>
          </w:rPr>
          <w:t> </w:t>
        </w:r>
        <w:r>
          <w:rPr>
            <w:color w:val="231F20"/>
          </w:rPr>
          <w:t>workspaces”</w:t>
        </w:r>
        <w:r>
          <w:rPr>
            <w:color w:val="231F20"/>
            <w:spacing w:val="9"/>
          </w:rPr>
          <w:t> </w:t>
        </w:r>
        <w:r>
          <w:rPr>
            <w:color w:val="231F20"/>
          </w:rPr>
          <w:t>on</w:t>
        </w:r>
        <w:r>
          <w:rPr>
            <w:color w:val="231F20"/>
            <w:spacing w:val="9"/>
          </w:rPr>
          <w:t> </w:t>
        </w:r>
        <w:r>
          <w:rPr>
            <w:color w:val="231F20"/>
          </w:rPr>
          <w:t>page</w:t>
        </w:r>
        <w:r>
          <w:rPr>
            <w:color w:val="231F20"/>
            <w:spacing w:val="9"/>
          </w:rPr>
          <w:t> </w:t>
        </w:r>
        <w:r>
          <w:rPr>
            <w:color w:val="231F20"/>
            <w:spacing w:val="-5"/>
          </w:rPr>
          <w:t>396</w:t>
        </w:r>
      </w:hyperlink>
    </w:p>
    <w:p>
      <w:pPr>
        <w:pStyle w:val="BodyText"/>
        <w:spacing w:line="213" w:lineRule="auto" w:before="8"/>
        <w:ind w:left="2232" w:right="521"/>
        <w:jc w:val="both"/>
      </w:pPr>
      <w:r>
        <w:rPr>
          <w:color w:val="231F20"/>
        </w:rPr>
        <w:t>Use the agent deployment workspaces to see your package list, the results of a deployment</w:t>
      </w:r>
      <w:r>
        <w:rPr>
          <w:color w:val="231F20"/>
          <w:spacing w:val="8"/>
        </w:rPr>
        <w:t> </w:t>
      </w:r>
      <w:r>
        <w:rPr>
          <w:color w:val="231F20"/>
        </w:rPr>
        <w:t>prerequisite</w:t>
      </w:r>
      <w:r>
        <w:rPr>
          <w:color w:val="231F20"/>
          <w:spacing w:val="8"/>
        </w:rPr>
        <w:t> </w:t>
      </w:r>
      <w:r>
        <w:rPr>
          <w:color w:val="231F20"/>
        </w:rPr>
        <w:t>check,</w:t>
      </w:r>
      <w:r>
        <w:rPr>
          <w:color w:val="231F20"/>
          <w:spacing w:val="8"/>
        </w:rPr>
        <w:t> </w:t>
      </w:r>
      <w:r>
        <w:rPr>
          <w:color w:val="231F20"/>
        </w:rPr>
        <w:t>and</w:t>
      </w:r>
      <w:r>
        <w:rPr>
          <w:color w:val="231F20"/>
          <w:spacing w:val="9"/>
        </w:rPr>
        <w:t> </w:t>
      </w:r>
      <w:r>
        <w:rPr>
          <w:color w:val="231F20"/>
        </w:rPr>
        <w:t>the</w:t>
      </w:r>
      <w:r>
        <w:rPr>
          <w:color w:val="231F20"/>
          <w:spacing w:val="8"/>
        </w:rPr>
        <w:t> </w:t>
      </w:r>
      <w:r>
        <w:rPr>
          <w:color w:val="231F20"/>
        </w:rPr>
        <w:t>progress</w:t>
      </w:r>
      <w:r>
        <w:rPr>
          <w:color w:val="231F20"/>
          <w:spacing w:val="8"/>
        </w:rPr>
        <w:t> </w:t>
      </w:r>
      <w:r>
        <w:rPr>
          <w:color w:val="231F20"/>
        </w:rPr>
        <w:t>of</w:t>
      </w:r>
      <w:r>
        <w:rPr>
          <w:color w:val="231F20"/>
          <w:spacing w:val="9"/>
        </w:rPr>
        <w:t> </w:t>
      </w:r>
      <w:r>
        <w:rPr>
          <w:color w:val="231F20"/>
        </w:rPr>
        <w:t>the</w:t>
      </w:r>
      <w:r>
        <w:rPr>
          <w:color w:val="231F20"/>
          <w:spacing w:val="8"/>
        </w:rPr>
        <w:t> </w:t>
      </w:r>
      <w:r>
        <w:rPr>
          <w:color w:val="231F20"/>
        </w:rPr>
        <w:t>agent</w:t>
      </w:r>
      <w:r>
        <w:rPr>
          <w:color w:val="231F20"/>
          <w:spacing w:val="8"/>
        </w:rPr>
        <w:t> </w:t>
      </w:r>
      <w:r>
        <w:rPr>
          <w:color w:val="231F20"/>
        </w:rPr>
        <w:t>deployment</w:t>
      </w:r>
      <w:r>
        <w:rPr>
          <w:color w:val="231F20"/>
          <w:spacing w:val="9"/>
        </w:rPr>
        <w:t> </w:t>
      </w:r>
      <w:r>
        <w:rPr>
          <w:color w:val="231F20"/>
          <w:spacing w:val="-2"/>
        </w:rPr>
        <w:t>process.</w:t>
      </w:r>
    </w:p>
    <w:p>
      <w:pPr>
        <w:pStyle w:val="BodyText"/>
        <w:spacing w:before="5"/>
        <w:rPr>
          <w:sz w:val="16"/>
        </w:rPr>
      </w:pPr>
      <w:r>
        <w:rPr/>
        <mc:AlternateContent>
          <mc:Choice Requires="wps">
            <w:drawing>
              <wp:anchor distT="0" distB="0" distL="0" distR="0" allowOverlap="1" layoutInCell="1" locked="0" behindDoc="1" simplePos="0" relativeHeight="487744512">
                <wp:simplePos x="0" y="0"/>
                <wp:positionH relativeFrom="page">
                  <wp:posOffset>760323</wp:posOffset>
                </wp:positionH>
                <wp:positionV relativeFrom="paragraph">
                  <wp:posOffset>155987</wp:posOffset>
                </wp:positionV>
                <wp:extent cx="6082665" cy="1270"/>
                <wp:effectExtent l="0" t="0" r="0" b="0"/>
                <wp:wrapTopAndBottom/>
                <wp:docPr id="3190" name="Graphic 3190"/>
                <wp:cNvGraphicFramePr>
                  <a:graphicFrameLocks/>
                </wp:cNvGraphicFramePr>
                <a:graphic>
                  <a:graphicData uri="http://schemas.microsoft.com/office/word/2010/wordprocessingShape">
                    <wps:wsp>
                      <wps:cNvPr id="3190" name="Graphic 3190"/>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82499pt;width:478.95pt;height:.1pt;mso-position-horizontal-relative:page;mso-position-vertical-relative:paragraph;z-index:-15571968;mso-wrap-distance-left:0;mso-wrap-distance-right:0" id="docshape255"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Tivoli Enterprise Monitoring Server situ" w:id="657"/>
      <w:bookmarkEnd w:id="657"/>
      <w:r>
        <w:rPr>
          <w:b w:val="0"/>
        </w:rPr>
      </w:r>
      <w:r>
        <w:rPr>
          <w:color w:val="231F20"/>
        </w:rPr>
        <w:t>Tivoli</w:t>
      </w:r>
      <w:r>
        <w:rPr>
          <w:color w:val="231F20"/>
          <w:spacing w:val="2"/>
        </w:rPr>
        <w:t> </w:t>
      </w:r>
      <w:r>
        <w:rPr>
          <w:color w:val="231F20"/>
        </w:rPr>
        <w:t>Enterprise</w:t>
      </w:r>
      <w:r>
        <w:rPr>
          <w:color w:val="231F20"/>
          <w:spacing w:val="3"/>
        </w:rPr>
        <w:t> </w:t>
      </w:r>
      <w:r>
        <w:rPr>
          <w:color w:val="231F20"/>
        </w:rPr>
        <w:t>Monitoring</w:t>
      </w:r>
      <w:r>
        <w:rPr>
          <w:color w:val="231F20"/>
          <w:spacing w:val="3"/>
        </w:rPr>
        <w:t> </w:t>
      </w:r>
      <w:r>
        <w:rPr>
          <w:color w:val="231F20"/>
        </w:rPr>
        <w:t>Server</w:t>
      </w:r>
      <w:r>
        <w:rPr>
          <w:color w:val="231F20"/>
          <w:spacing w:val="2"/>
        </w:rPr>
        <w:t> </w:t>
      </w:r>
      <w:r>
        <w:rPr>
          <w:color w:val="231F20"/>
          <w:spacing w:val="-2"/>
        </w:rPr>
        <w:t>situations</w:t>
      </w:r>
    </w:p>
    <w:p>
      <w:pPr>
        <w:pStyle w:val="BodyText"/>
        <w:spacing w:line="213" w:lineRule="auto" w:before="138"/>
        <w:ind w:left="2232" w:right="545"/>
      </w:pPr>
      <w:r>
        <w:rPr>
          <w:color w:val="231F20"/>
        </w:rPr>
        <w:t>The Enterprise Navigator item has a set of predefined situations. They </w:t>
      </w:r>
      <w:r>
        <w:rPr>
          <w:color w:val="231F20"/>
        </w:rPr>
        <w:t>appear within the Tivoli Enterprise Monitoring Server entry of the Situation editor.</w:t>
      </w:r>
    </w:p>
    <w:p>
      <w:pPr>
        <w:pStyle w:val="Heading6"/>
        <w:spacing w:before="118"/>
        <w:ind w:left="2232"/>
      </w:pPr>
      <w:r>
        <w:rPr>
          <w:color w:val="231F20"/>
          <w:spacing w:val="-2"/>
        </w:rPr>
        <w:t>Deploy_Failed</w:t>
      </w:r>
    </w:p>
    <w:p>
      <w:pPr>
        <w:pStyle w:val="BodyText"/>
        <w:spacing w:line="213" w:lineRule="auto" w:before="11"/>
        <w:ind w:left="2951" w:right="636"/>
      </w:pPr>
      <w:r>
        <w:rPr>
          <w:color w:val="231F20"/>
        </w:rPr>
        <w:t>This situation becomes true and an event is opened when one or more agent deployments has failed. Default: Do not </w:t>
      </w:r>
      <w:r>
        <w:rPr>
          <w:color w:val="231F20"/>
          <w:spacing w:val="15"/>
        </w:rPr>
        <w:drawing>
          <wp:inline distT="0" distB="0" distL="0" distR="0">
            <wp:extent cx="82550" cy="82550"/>
            <wp:effectExtent l="0" t="0" r="0" b="0"/>
            <wp:docPr id="3191" name="Image 3191"/>
            <wp:cNvGraphicFramePr>
              <a:graphicFrameLocks/>
            </wp:cNvGraphicFramePr>
            <a:graphic>
              <a:graphicData uri="http://schemas.openxmlformats.org/drawingml/2006/picture">
                <pic:pic>
                  <pic:nvPicPr>
                    <pic:cNvPr id="3191" name="Image 319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7"/>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92" name="Image 3192"/>
            <wp:cNvGraphicFramePr>
              <a:graphicFrameLocks/>
            </wp:cNvGraphicFramePr>
            <a:graphic>
              <a:graphicData uri="http://schemas.openxmlformats.org/drawingml/2006/picture">
                <pic:pic>
                  <pic:nvPicPr>
                    <pic:cNvPr id="3192" name="Image 3192"/>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w:t>
      </w:r>
      <w:r>
        <w:rPr>
          <w:color w:val="231F20"/>
          <w:spacing w:val="-2"/>
        </w:rPr>
        <w:t>Formula:</w:t>
      </w:r>
    </w:p>
    <w:p>
      <w:pPr>
        <w:spacing w:before="61"/>
        <w:ind w:left="2951" w:right="0" w:firstLine="0"/>
        <w:jc w:val="left"/>
        <w:rPr>
          <w:rFonts w:ascii="Arial"/>
          <w:sz w:val="18"/>
        </w:rPr>
      </w:pPr>
      <w:r>
        <w:rPr>
          <w:rFonts w:ascii="Arial"/>
          <w:color w:val="231F20"/>
          <w:w w:val="120"/>
          <w:sz w:val="18"/>
        </w:rPr>
        <w:t>(</w:t>
      </w:r>
      <w:r>
        <w:rPr>
          <w:rFonts w:ascii="Arial"/>
          <w:color w:val="231F20"/>
          <w:spacing w:val="20"/>
          <w:w w:val="120"/>
          <w:sz w:val="18"/>
        </w:rPr>
        <w:t> </w:t>
      </w:r>
      <w:r>
        <w:rPr>
          <w:rFonts w:ascii="Arial"/>
          <w:color w:val="231F20"/>
          <w:w w:val="105"/>
          <w:sz w:val="18"/>
        </w:rPr>
        <w:t>Status</w:t>
      </w:r>
      <w:r>
        <w:rPr>
          <w:rFonts w:ascii="Arial"/>
          <w:color w:val="231F20"/>
          <w:spacing w:val="29"/>
          <w:w w:val="105"/>
          <w:sz w:val="18"/>
        </w:rPr>
        <w:t> </w:t>
      </w:r>
      <w:r>
        <w:rPr>
          <w:rFonts w:ascii="Arial"/>
          <w:color w:val="231F20"/>
          <w:w w:val="105"/>
          <w:sz w:val="18"/>
        </w:rPr>
        <w:t>==</w:t>
      </w:r>
      <w:r>
        <w:rPr>
          <w:rFonts w:ascii="Arial"/>
          <w:color w:val="231F20"/>
          <w:spacing w:val="28"/>
          <w:w w:val="105"/>
          <w:sz w:val="18"/>
        </w:rPr>
        <w:t> </w:t>
      </w:r>
      <w:r>
        <w:rPr>
          <w:rFonts w:ascii="Arial"/>
          <w:color w:val="231F20"/>
          <w:spacing w:val="-2"/>
          <w:w w:val="105"/>
          <w:sz w:val="18"/>
        </w:rPr>
        <w:t>Failed)</w:t>
      </w:r>
    </w:p>
    <w:p>
      <w:pPr>
        <w:pStyle w:val="Heading6"/>
        <w:spacing w:before="128"/>
        <w:ind w:left="2232"/>
      </w:pPr>
      <w:r>
        <w:rPr>
          <w:color w:val="231F20"/>
          <w:spacing w:val="-2"/>
        </w:rPr>
        <w:t>Deploy_Retrying</w:t>
      </w:r>
    </w:p>
    <w:p>
      <w:pPr>
        <w:pStyle w:val="BodyText"/>
        <w:spacing w:line="213" w:lineRule="auto" w:before="11"/>
        <w:ind w:left="2951" w:right="379"/>
      </w:pPr>
      <w:r>
        <w:rPr>
          <w:color w:val="231F20"/>
        </w:rPr>
        <w:t>This</w:t>
      </w:r>
      <w:r>
        <w:rPr>
          <w:color w:val="231F20"/>
          <w:spacing w:val="27"/>
        </w:rPr>
        <w:t> </w:t>
      </w:r>
      <w:r>
        <w:rPr>
          <w:color w:val="231F20"/>
        </w:rPr>
        <w:t>situation</w:t>
      </w:r>
      <w:r>
        <w:rPr>
          <w:color w:val="231F20"/>
          <w:spacing w:val="27"/>
        </w:rPr>
        <w:t> </w:t>
      </w:r>
      <w:r>
        <w:rPr>
          <w:color w:val="231F20"/>
        </w:rPr>
        <w:t>becomes</w:t>
      </w:r>
      <w:r>
        <w:rPr>
          <w:color w:val="231F20"/>
          <w:spacing w:val="27"/>
        </w:rPr>
        <w:t> </w:t>
      </w:r>
      <w:r>
        <w:rPr>
          <w:color w:val="231F20"/>
        </w:rPr>
        <w:t>true</w:t>
      </w:r>
      <w:r>
        <w:rPr>
          <w:color w:val="231F20"/>
          <w:spacing w:val="27"/>
        </w:rPr>
        <w:t> </w:t>
      </w:r>
      <w:r>
        <w:rPr>
          <w:color w:val="231F20"/>
        </w:rPr>
        <w:t>and</w:t>
      </w:r>
      <w:r>
        <w:rPr>
          <w:color w:val="231F20"/>
          <w:spacing w:val="27"/>
        </w:rPr>
        <w:t> </w:t>
      </w:r>
      <w:r>
        <w:rPr>
          <w:color w:val="231F20"/>
        </w:rPr>
        <w:t>an</w:t>
      </w:r>
      <w:r>
        <w:rPr>
          <w:color w:val="231F20"/>
          <w:spacing w:val="27"/>
        </w:rPr>
        <w:t> </w:t>
      </w:r>
      <w:r>
        <w:rPr>
          <w:color w:val="231F20"/>
        </w:rPr>
        <w:t>event</w:t>
      </w:r>
      <w:r>
        <w:rPr>
          <w:color w:val="231F20"/>
          <w:spacing w:val="27"/>
        </w:rPr>
        <w:t> </w:t>
      </w:r>
      <w:r>
        <w:rPr>
          <w:color w:val="231F20"/>
        </w:rPr>
        <w:t>is</w:t>
      </w:r>
      <w:r>
        <w:rPr>
          <w:color w:val="231F20"/>
          <w:spacing w:val="27"/>
        </w:rPr>
        <w:t> </w:t>
      </w:r>
      <w:r>
        <w:rPr>
          <w:color w:val="231F20"/>
        </w:rPr>
        <w:t>opened</w:t>
      </w:r>
      <w:r>
        <w:rPr>
          <w:color w:val="231F20"/>
          <w:spacing w:val="27"/>
        </w:rPr>
        <w:t> </w:t>
      </w:r>
      <w:r>
        <w:rPr>
          <w:color w:val="231F20"/>
        </w:rPr>
        <w:t>when</w:t>
      </w:r>
      <w:r>
        <w:rPr>
          <w:color w:val="231F20"/>
          <w:spacing w:val="27"/>
        </w:rPr>
        <w:t> </w:t>
      </w:r>
      <w:r>
        <w:rPr>
          <w:color w:val="231F20"/>
        </w:rPr>
        <w:t>one</w:t>
      </w:r>
      <w:r>
        <w:rPr>
          <w:color w:val="231F20"/>
          <w:spacing w:val="27"/>
        </w:rPr>
        <w:t> </w:t>
      </w:r>
      <w:r>
        <w:rPr>
          <w:color w:val="231F20"/>
        </w:rPr>
        <w:t>or</w:t>
      </w:r>
      <w:r>
        <w:rPr>
          <w:color w:val="231F20"/>
          <w:spacing w:val="27"/>
        </w:rPr>
        <w:t> </w:t>
      </w:r>
      <w:r>
        <w:rPr>
          <w:color w:val="231F20"/>
        </w:rPr>
        <w:t>more agent deployments is in the FailedRetry state, which means it has failed </w:t>
      </w:r>
      <w:r>
        <w:rPr>
          <w:color w:val="231F20"/>
        </w:rPr>
        <w:t>an attempt</w:t>
      </w:r>
      <w:r>
        <w:rPr>
          <w:color w:val="231F20"/>
          <w:spacing w:val="27"/>
        </w:rPr>
        <w:t> </w:t>
      </w:r>
      <w:r>
        <w:rPr>
          <w:color w:val="231F20"/>
        </w:rPr>
        <w:t>to</w:t>
      </w:r>
      <w:r>
        <w:rPr>
          <w:color w:val="231F20"/>
          <w:spacing w:val="27"/>
        </w:rPr>
        <w:t> </w:t>
      </w:r>
      <w:r>
        <w:rPr>
          <w:color w:val="231F20"/>
        </w:rPr>
        <w:t>deploy</w:t>
      </w:r>
      <w:r>
        <w:rPr>
          <w:color w:val="231F20"/>
          <w:spacing w:val="27"/>
        </w:rPr>
        <w:t> </w:t>
      </w:r>
      <w:r>
        <w:rPr>
          <w:color w:val="231F20"/>
        </w:rPr>
        <w:t>and</w:t>
      </w:r>
      <w:r>
        <w:rPr>
          <w:color w:val="231F20"/>
          <w:spacing w:val="27"/>
        </w:rPr>
        <w:t> </w:t>
      </w:r>
      <w:r>
        <w:rPr>
          <w:color w:val="231F20"/>
        </w:rPr>
        <w:t>is</w:t>
      </w:r>
      <w:r>
        <w:rPr>
          <w:color w:val="231F20"/>
          <w:spacing w:val="27"/>
        </w:rPr>
        <w:t> </w:t>
      </w:r>
      <w:r>
        <w:rPr>
          <w:color w:val="231F20"/>
        </w:rPr>
        <w:t>making</w:t>
      </w:r>
      <w:r>
        <w:rPr>
          <w:color w:val="231F20"/>
          <w:spacing w:val="27"/>
        </w:rPr>
        <w:t> </w:t>
      </w:r>
      <w:r>
        <w:rPr>
          <w:color w:val="231F20"/>
        </w:rPr>
        <w:t>another</w:t>
      </w:r>
      <w:r>
        <w:rPr>
          <w:color w:val="231F20"/>
          <w:spacing w:val="27"/>
        </w:rPr>
        <w:t> </w:t>
      </w:r>
      <w:r>
        <w:rPr>
          <w:color w:val="231F20"/>
        </w:rPr>
        <w:t>attempt.</w:t>
      </w:r>
      <w:r>
        <w:rPr>
          <w:color w:val="231F20"/>
          <w:spacing w:val="27"/>
        </w:rPr>
        <w:t> </w:t>
      </w:r>
      <w:r>
        <w:rPr>
          <w:color w:val="231F20"/>
        </w:rPr>
        <w:t>Default:</w:t>
      </w:r>
      <w:r>
        <w:rPr>
          <w:color w:val="231F20"/>
          <w:spacing w:val="27"/>
        </w:rPr>
        <w:t> </w:t>
      </w:r>
      <w:r>
        <w:rPr>
          <w:color w:val="231F20"/>
        </w:rPr>
        <w:t>Do</w:t>
      </w:r>
      <w:r>
        <w:rPr>
          <w:color w:val="231F20"/>
          <w:spacing w:val="27"/>
        </w:rPr>
        <w:t> </w:t>
      </w:r>
      <w:r>
        <w:rPr>
          <w:color w:val="231F20"/>
        </w:rPr>
        <w:t>not</w:t>
      </w:r>
      <w:r>
        <w:rPr>
          <w:color w:val="231F20"/>
          <w:spacing w:val="15"/>
        </w:rPr>
        <w:t> </w:t>
      </w:r>
      <w:r>
        <w:rPr>
          <w:color w:val="231F20"/>
          <w:spacing w:val="15"/>
        </w:rPr>
        <w:drawing>
          <wp:inline distT="0" distB="0" distL="0" distR="0">
            <wp:extent cx="82550" cy="82550"/>
            <wp:effectExtent l="0" t="0" r="0" b="0"/>
            <wp:docPr id="3193" name="Image 3193"/>
            <wp:cNvGraphicFramePr>
              <a:graphicFrameLocks/>
            </wp:cNvGraphicFramePr>
            <a:graphic>
              <a:graphicData uri="http://schemas.openxmlformats.org/drawingml/2006/picture">
                <pic:pic>
                  <pic:nvPicPr>
                    <pic:cNvPr id="3193" name="Image 3193"/>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1"/>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94" name="Image 3194"/>
            <wp:cNvGraphicFramePr>
              <a:graphicFrameLocks/>
            </wp:cNvGraphicFramePr>
            <a:graphic>
              <a:graphicData uri="http://schemas.openxmlformats.org/drawingml/2006/picture">
                <pic:pic>
                  <pic:nvPicPr>
                    <pic:cNvPr id="3194" name="Image 3194"/>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0"/>
        <w:ind w:left="2951" w:right="0" w:firstLine="0"/>
        <w:jc w:val="left"/>
        <w:rPr>
          <w:rFonts w:ascii="Arial" w:hAnsi="Arial"/>
          <w:sz w:val="18"/>
        </w:rPr>
      </w:pPr>
      <w:r>
        <w:rPr>
          <w:rFonts w:ascii="Arial" w:hAnsi="Arial"/>
          <w:color w:val="231F20"/>
          <w:w w:val="120"/>
          <w:sz w:val="18"/>
        </w:rPr>
        <w:t>(</w:t>
      </w:r>
      <w:r>
        <w:rPr>
          <w:rFonts w:ascii="Arial" w:hAnsi="Arial"/>
          <w:color w:val="231F20"/>
          <w:spacing w:val="8"/>
          <w:w w:val="120"/>
          <w:sz w:val="18"/>
        </w:rPr>
        <w:t> </w:t>
      </w:r>
      <w:r>
        <w:rPr>
          <w:rFonts w:ascii="Arial" w:hAnsi="Arial"/>
          <w:color w:val="231F20"/>
          <w:w w:val="115"/>
          <w:sz w:val="18"/>
        </w:rPr>
        <w:t>Status</w:t>
      </w:r>
      <w:r>
        <w:rPr>
          <w:rFonts w:ascii="Arial" w:hAnsi="Arial"/>
          <w:color w:val="231F20"/>
          <w:spacing w:val="12"/>
          <w:w w:val="115"/>
          <w:sz w:val="18"/>
        </w:rPr>
        <w:t> </w:t>
      </w:r>
      <w:r>
        <w:rPr>
          <w:rFonts w:ascii="Arial" w:hAnsi="Arial"/>
          <w:color w:val="231F20"/>
          <w:w w:val="115"/>
          <w:sz w:val="18"/>
        </w:rPr>
        <w:t>==</w:t>
      </w:r>
      <w:r>
        <w:rPr>
          <w:rFonts w:ascii="Arial" w:hAnsi="Arial"/>
          <w:color w:val="231F20"/>
          <w:spacing w:val="11"/>
          <w:w w:val="115"/>
          <w:sz w:val="18"/>
        </w:rPr>
        <w:t> </w:t>
      </w:r>
      <w:r>
        <w:rPr>
          <w:rFonts w:ascii="Arial" w:hAnsi="Arial"/>
          <w:color w:val="231F20"/>
          <w:w w:val="115"/>
          <w:sz w:val="18"/>
        </w:rPr>
        <w:t>’Failed</w:t>
      </w:r>
      <w:r>
        <w:rPr>
          <w:rFonts w:ascii="Arial" w:hAnsi="Arial"/>
          <w:color w:val="231F20"/>
          <w:spacing w:val="11"/>
          <w:w w:val="115"/>
          <w:sz w:val="18"/>
        </w:rPr>
        <w:t> </w:t>
      </w:r>
      <w:r>
        <w:rPr>
          <w:rFonts w:ascii="Arial" w:hAnsi="Arial"/>
          <w:color w:val="231F20"/>
          <w:spacing w:val="-2"/>
          <w:w w:val="115"/>
          <w:sz w:val="18"/>
        </w:rPr>
        <w:t>Retrying’)</w:t>
      </w:r>
    </w:p>
    <w:p>
      <w:pPr>
        <w:spacing w:after="0"/>
        <w:jc w:val="left"/>
        <w:rPr>
          <w:rFonts w:ascii="Arial" w:hAnsi="Arial"/>
          <w:sz w:val="18"/>
        </w:rPr>
        <w:sectPr>
          <w:pgSz w:w="12240" w:h="15840"/>
          <w:pgMar w:header="0" w:footer="736" w:top="1180" w:bottom="920" w:left="1000" w:right="1060"/>
        </w:sectPr>
      </w:pPr>
    </w:p>
    <w:p>
      <w:pPr>
        <w:pStyle w:val="Heading6"/>
        <w:spacing w:before="83"/>
      </w:pPr>
      <w:r>
        <w:rPr>
          <w:color w:val="231F20"/>
          <w:spacing w:val="-2"/>
        </w:rPr>
        <w:t>Hub_Catalog_Critical</w:t>
      </w:r>
    </w:p>
    <w:p>
      <w:pPr>
        <w:pStyle w:val="BodyText"/>
        <w:spacing w:line="213" w:lineRule="auto" w:before="12"/>
        <w:ind w:left="3190" w:right="258"/>
      </w:pPr>
      <w:r>
        <w:rPr>
          <w:color w:val="231F20"/>
        </w:rPr>
        <w:t>This situation becomes true and an event is opened when an application catalog that is installed at a remote monitoring server is </w:t>
      </w:r>
      <w:r>
        <w:rPr>
          <w:rFonts w:ascii="Book Antiqua"/>
          <w:i/>
          <w:color w:val="231F20"/>
        </w:rPr>
        <w:t>not </w:t>
      </w:r>
      <w:r>
        <w:rPr>
          <w:color w:val="231F20"/>
        </w:rPr>
        <w:t>installed at </w:t>
      </w:r>
      <w:r>
        <w:rPr>
          <w:color w:val="231F20"/>
        </w:rPr>
        <w:t>the hub monitoring server. This can happen when application support has not been selected for the hub during installation. Default: Do not </w:t>
      </w:r>
      <w:r>
        <w:rPr>
          <w:color w:val="231F20"/>
          <w:spacing w:val="15"/>
        </w:rPr>
        <w:drawing>
          <wp:inline distT="0" distB="0" distL="0" distR="0">
            <wp:extent cx="82550" cy="82550"/>
            <wp:effectExtent l="0" t="0" r="0" b="0"/>
            <wp:docPr id="3195" name="Image 3195"/>
            <wp:cNvGraphicFramePr>
              <a:graphicFrameLocks/>
            </wp:cNvGraphicFramePr>
            <a:graphic>
              <a:graphicData uri="http://schemas.openxmlformats.org/drawingml/2006/picture">
                <pic:pic>
                  <pic:nvPicPr>
                    <pic:cNvPr id="3195" name="Image 3195"/>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96" name="Image 3196"/>
            <wp:cNvGraphicFramePr>
              <a:graphicFrameLocks/>
            </wp:cNvGraphicFramePr>
            <a:graphic>
              <a:graphicData uri="http://schemas.openxmlformats.org/drawingml/2006/picture">
                <pic:pic>
                  <pic:nvPicPr>
                    <pic:cNvPr id="3196" name="Image 3196"/>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59"/>
        <w:ind w:left="3190" w:right="0" w:firstLine="0"/>
        <w:jc w:val="left"/>
        <w:rPr>
          <w:rFonts w:ascii="Arial" w:hAnsi="Arial"/>
          <w:sz w:val="18"/>
        </w:rPr>
      </w:pPr>
      <w:r>
        <w:rPr>
          <w:rFonts w:ascii="Arial" w:hAnsi="Arial"/>
          <w:color w:val="231F20"/>
          <w:w w:val="120"/>
          <w:sz w:val="18"/>
        </w:rPr>
        <w:t>(</w:t>
      </w:r>
      <w:r>
        <w:rPr>
          <w:rFonts w:ascii="Arial" w:hAnsi="Arial"/>
          <w:color w:val="231F20"/>
          <w:spacing w:val="23"/>
          <w:w w:val="120"/>
          <w:sz w:val="18"/>
        </w:rPr>
        <w:t> </w:t>
      </w:r>
      <w:r>
        <w:rPr>
          <w:rFonts w:ascii="Arial" w:hAnsi="Arial"/>
          <w:color w:val="231F20"/>
          <w:sz w:val="18"/>
        </w:rPr>
        <w:t>Status</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z w:val="18"/>
        </w:rPr>
        <w:t>Missing</w:t>
      </w:r>
      <w:r>
        <w:rPr>
          <w:rFonts w:ascii="Arial" w:hAnsi="Arial"/>
          <w:color w:val="231F20"/>
          <w:spacing w:val="33"/>
          <w:sz w:val="18"/>
        </w:rPr>
        <w:t> </w:t>
      </w:r>
      <w:r>
        <w:rPr>
          <w:rFonts w:ascii="Arial" w:hAnsi="Arial"/>
          <w:color w:val="231F20"/>
          <w:sz w:val="18"/>
        </w:rPr>
        <w:t>At</w:t>
      </w:r>
      <w:r>
        <w:rPr>
          <w:rFonts w:ascii="Arial" w:hAnsi="Arial"/>
          <w:color w:val="231F20"/>
          <w:spacing w:val="34"/>
          <w:sz w:val="18"/>
        </w:rPr>
        <w:t> </w:t>
      </w:r>
      <w:r>
        <w:rPr>
          <w:rFonts w:ascii="Arial" w:hAnsi="Arial"/>
          <w:color w:val="231F20"/>
          <w:sz w:val="18"/>
        </w:rPr>
        <w:t>Hub)</w:t>
      </w:r>
      <w:r>
        <w:rPr>
          <w:rFonts w:ascii="Arial" w:hAnsi="Arial"/>
          <w:color w:val="231F20"/>
          <w:spacing w:val="33"/>
          <w:sz w:val="18"/>
        </w:rPr>
        <w:t> </w:t>
      </w:r>
      <w:r>
        <w:rPr>
          <w:rFonts w:ascii="Arial" w:hAnsi="Arial"/>
          <w:color w:val="231F20"/>
          <w:sz w:val="18"/>
        </w:rPr>
        <w:t>AND</w:t>
      </w:r>
      <w:r>
        <w:rPr>
          <w:rFonts w:ascii="Arial" w:hAnsi="Arial"/>
          <w:color w:val="231F20"/>
          <w:spacing w:val="34"/>
          <w:sz w:val="18"/>
        </w:rPr>
        <w:t> </w:t>
      </w:r>
      <w:r>
        <w:rPr>
          <w:rFonts w:ascii="Arial" w:hAnsi="Arial"/>
          <w:color w:val="231F20"/>
          <w:sz w:val="18"/>
        </w:rPr>
        <w:t>(Catalog</w:t>
      </w:r>
      <w:r>
        <w:rPr>
          <w:rFonts w:ascii="Arial" w:hAnsi="Arial"/>
          <w:color w:val="231F20"/>
          <w:spacing w:val="33"/>
          <w:sz w:val="18"/>
        </w:rPr>
        <w:t> </w:t>
      </w:r>
      <w:r>
        <w:rPr>
          <w:rFonts w:ascii="Arial" w:hAnsi="Arial"/>
          <w:color w:val="231F20"/>
          <w:sz w:val="18"/>
        </w:rPr>
        <w:t>!=</w:t>
      </w:r>
      <w:r>
        <w:rPr>
          <w:rFonts w:ascii="Arial" w:hAnsi="Arial"/>
          <w:color w:val="231F20"/>
          <w:spacing w:val="34"/>
          <w:sz w:val="18"/>
        </w:rPr>
        <w:t> </w:t>
      </w:r>
      <w:r>
        <w:rPr>
          <w:rFonts w:ascii="Arial" w:hAnsi="Arial"/>
          <w:color w:val="231F20"/>
          <w:spacing w:val="-2"/>
          <w:sz w:val="18"/>
        </w:rPr>
        <w:t>’PDSSTATS’)</w:t>
      </w:r>
    </w:p>
    <w:p>
      <w:pPr>
        <w:pStyle w:val="Heading6"/>
        <w:spacing w:before="128"/>
      </w:pPr>
      <w:r>
        <w:rPr>
          <w:color w:val="231F20"/>
          <w:spacing w:val="-2"/>
        </w:rPr>
        <w:t>Hub_Catalog_Warning</w:t>
      </w:r>
    </w:p>
    <w:p>
      <w:pPr>
        <w:pStyle w:val="BodyText"/>
        <w:spacing w:line="213" w:lineRule="auto" w:before="12"/>
        <w:ind w:left="3190" w:right="488"/>
      </w:pPr>
      <w:r>
        <w:rPr>
          <w:color w:val="231F20"/>
        </w:rPr>
        <w:t>This situation becomes true and an event is opened when an application catalog that is installed at a remote monitoring server is newer than </w:t>
      </w:r>
      <w:r>
        <w:rPr>
          <w:color w:val="231F20"/>
        </w:rPr>
        <w:t>what</w:t>
      </w:r>
      <w:r>
        <w:rPr>
          <w:color w:val="231F20"/>
          <w:spacing w:val="40"/>
        </w:rPr>
        <w:t> </w:t>
      </w:r>
      <w:r>
        <w:rPr>
          <w:color w:val="231F20"/>
        </w:rPr>
        <w:t>is installed at the hub monitoring server. This is a warning that the application support for the component is out of date. This might not be a problem if the hub has not been upgraded yet. Default: Do not </w:t>
      </w:r>
      <w:r>
        <w:rPr>
          <w:color w:val="231F20"/>
          <w:spacing w:val="15"/>
        </w:rPr>
        <w:drawing>
          <wp:inline distT="0" distB="0" distL="0" distR="0">
            <wp:extent cx="82550" cy="82550"/>
            <wp:effectExtent l="0" t="0" r="0" b="0"/>
            <wp:docPr id="3197" name="Image 3197"/>
            <wp:cNvGraphicFramePr>
              <a:graphicFrameLocks/>
            </wp:cNvGraphicFramePr>
            <a:graphic>
              <a:graphicData uri="http://schemas.openxmlformats.org/drawingml/2006/picture">
                <pic:pic>
                  <pic:nvPicPr>
                    <pic:cNvPr id="3197" name="Image 3197"/>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4"/>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198" name="Image 3198"/>
            <wp:cNvGraphicFramePr>
              <a:graphicFrameLocks/>
            </wp:cNvGraphicFramePr>
            <a:graphic>
              <a:graphicData uri="http://schemas.openxmlformats.org/drawingml/2006/picture">
                <pic:pic>
                  <pic:nvPicPr>
                    <pic:cNvPr id="3198" name="Image 3198"/>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59"/>
        <w:ind w:left="3190" w:right="0" w:firstLine="0"/>
        <w:jc w:val="left"/>
        <w:rPr>
          <w:rFonts w:ascii="Arial"/>
          <w:sz w:val="18"/>
        </w:rPr>
      </w:pPr>
      <w:r>
        <w:rPr>
          <w:rFonts w:ascii="Arial"/>
          <w:color w:val="231F20"/>
          <w:spacing w:val="-4"/>
          <w:sz w:val="18"/>
        </w:rPr>
        <w:t>(</w:t>
      </w:r>
      <w:r>
        <w:rPr>
          <w:rFonts w:ascii="Arial"/>
          <w:color w:val="231F20"/>
          <w:spacing w:val="13"/>
          <w:sz w:val="18"/>
        </w:rPr>
        <w:t> </w:t>
      </w:r>
      <w:r>
        <w:rPr>
          <w:rFonts w:ascii="Arial"/>
          <w:color w:val="231F20"/>
          <w:spacing w:val="-4"/>
          <w:sz w:val="18"/>
        </w:rPr>
        <w:t>Status</w:t>
      </w:r>
      <w:r>
        <w:rPr>
          <w:rFonts w:ascii="Arial"/>
          <w:color w:val="231F20"/>
          <w:spacing w:val="13"/>
          <w:sz w:val="18"/>
        </w:rPr>
        <w:t> </w:t>
      </w:r>
      <w:r>
        <w:rPr>
          <w:rFonts w:ascii="Arial"/>
          <w:color w:val="231F20"/>
          <w:spacing w:val="-4"/>
          <w:sz w:val="18"/>
        </w:rPr>
        <w:t>==</w:t>
      </w:r>
      <w:r>
        <w:rPr>
          <w:rFonts w:ascii="Arial"/>
          <w:color w:val="231F20"/>
          <w:spacing w:val="13"/>
          <w:sz w:val="18"/>
        </w:rPr>
        <w:t> </w:t>
      </w:r>
      <w:r>
        <w:rPr>
          <w:rFonts w:ascii="Arial"/>
          <w:color w:val="231F20"/>
          <w:spacing w:val="-4"/>
          <w:sz w:val="18"/>
        </w:rPr>
        <w:t>RTEMS</w:t>
      </w:r>
      <w:r>
        <w:rPr>
          <w:rFonts w:ascii="Arial"/>
          <w:color w:val="231F20"/>
          <w:spacing w:val="13"/>
          <w:sz w:val="18"/>
        </w:rPr>
        <w:t> </w:t>
      </w:r>
      <w:r>
        <w:rPr>
          <w:rFonts w:ascii="Arial"/>
          <w:color w:val="231F20"/>
          <w:spacing w:val="-4"/>
          <w:sz w:val="18"/>
        </w:rPr>
        <w:t>Newer)</w:t>
      </w:r>
    </w:p>
    <w:p>
      <w:pPr>
        <w:pStyle w:val="Heading6"/>
        <w:spacing w:before="128"/>
      </w:pPr>
      <w:r>
        <w:rPr>
          <w:color w:val="231F20"/>
          <w:spacing w:val="-2"/>
        </w:rPr>
        <w:t>Remote_Catalog_Warning</w:t>
      </w:r>
    </w:p>
    <w:p>
      <w:pPr>
        <w:pStyle w:val="BodyText"/>
        <w:spacing w:line="213" w:lineRule="auto" w:before="11"/>
        <w:ind w:left="3190" w:right="147"/>
      </w:pPr>
      <w:r>
        <w:rPr>
          <w:color w:val="231F20"/>
        </w:rPr>
        <w:t>This situation becomes true and an event is opened when an application catalog</w:t>
      </w:r>
      <w:r>
        <w:rPr>
          <w:color w:val="231F20"/>
          <w:spacing w:val="15"/>
        </w:rPr>
        <w:t> </w:t>
      </w:r>
      <w:r>
        <w:rPr>
          <w:color w:val="231F20"/>
        </w:rPr>
        <w:t>that</w:t>
      </w:r>
      <w:r>
        <w:rPr>
          <w:color w:val="231F20"/>
          <w:spacing w:val="15"/>
        </w:rPr>
        <w:t> </w:t>
      </w:r>
      <w:r>
        <w:rPr>
          <w:color w:val="231F20"/>
        </w:rPr>
        <w:t>is</w:t>
      </w:r>
      <w:r>
        <w:rPr>
          <w:color w:val="231F20"/>
          <w:spacing w:val="15"/>
        </w:rPr>
        <w:t> </w:t>
      </w:r>
      <w:r>
        <w:rPr>
          <w:color w:val="231F20"/>
        </w:rPr>
        <w:t>installed</w:t>
      </w:r>
      <w:r>
        <w:rPr>
          <w:color w:val="231F20"/>
          <w:spacing w:val="15"/>
        </w:rPr>
        <w:t> </w:t>
      </w:r>
      <w:r>
        <w:rPr>
          <w:color w:val="231F20"/>
        </w:rPr>
        <w:t>at</w:t>
      </w:r>
      <w:r>
        <w:rPr>
          <w:color w:val="231F20"/>
          <w:spacing w:val="15"/>
        </w:rPr>
        <w:t> </w:t>
      </w:r>
      <w:r>
        <w:rPr>
          <w:color w:val="231F20"/>
        </w:rPr>
        <w:t>the</w:t>
      </w:r>
      <w:r>
        <w:rPr>
          <w:color w:val="231F20"/>
          <w:spacing w:val="15"/>
        </w:rPr>
        <w:t> </w:t>
      </w:r>
      <w:r>
        <w:rPr>
          <w:color w:val="231F20"/>
        </w:rPr>
        <w:t>hub</w:t>
      </w:r>
      <w:r>
        <w:rPr>
          <w:color w:val="231F20"/>
          <w:spacing w:val="15"/>
        </w:rPr>
        <w:t> </w:t>
      </w:r>
      <w:r>
        <w:rPr>
          <w:color w:val="231F20"/>
        </w:rPr>
        <w:t>monitoring</w:t>
      </w:r>
      <w:r>
        <w:rPr>
          <w:color w:val="231F20"/>
          <w:spacing w:val="15"/>
        </w:rPr>
        <w:t> </w:t>
      </w:r>
      <w:r>
        <w:rPr>
          <w:color w:val="231F20"/>
        </w:rPr>
        <w:t>server</w:t>
      </w:r>
      <w:r>
        <w:rPr>
          <w:color w:val="231F20"/>
          <w:spacing w:val="15"/>
        </w:rPr>
        <w:t> </w:t>
      </w:r>
      <w:r>
        <w:rPr>
          <w:color w:val="231F20"/>
        </w:rPr>
        <w:t>is</w:t>
      </w:r>
      <w:r>
        <w:rPr>
          <w:color w:val="231F20"/>
          <w:spacing w:val="15"/>
        </w:rPr>
        <w:t> </w:t>
      </w:r>
      <w:r>
        <w:rPr>
          <w:color w:val="231F20"/>
        </w:rPr>
        <w:t>not</w:t>
      </w:r>
      <w:r>
        <w:rPr>
          <w:color w:val="231F20"/>
          <w:spacing w:val="15"/>
        </w:rPr>
        <w:t> </w:t>
      </w:r>
      <w:r>
        <w:rPr>
          <w:color w:val="231F20"/>
        </w:rPr>
        <w:t>also</w:t>
      </w:r>
      <w:r>
        <w:rPr>
          <w:color w:val="231F20"/>
          <w:spacing w:val="15"/>
        </w:rPr>
        <w:t> </w:t>
      </w:r>
      <w:r>
        <w:rPr>
          <w:color w:val="231F20"/>
        </w:rPr>
        <w:t>installed</w:t>
      </w:r>
      <w:r>
        <w:rPr>
          <w:color w:val="231F20"/>
          <w:spacing w:val="15"/>
        </w:rPr>
        <w:t> </w:t>
      </w:r>
      <w:r>
        <w:rPr>
          <w:color w:val="231F20"/>
        </w:rPr>
        <w:t>at a remote monitoring server; or an application catalog that is installed at </w:t>
      </w:r>
      <w:r>
        <w:rPr>
          <w:color w:val="231F20"/>
        </w:rPr>
        <w:t>the hub is newer than what is installed at a remote monitoring server.</w:t>
      </w:r>
    </w:p>
    <w:p>
      <w:pPr>
        <w:pStyle w:val="BodyText"/>
        <w:spacing w:line="213" w:lineRule="auto" w:before="117"/>
        <w:ind w:left="3190" w:right="385"/>
      </w:pPr>
      <w:r>
        <w:rPr>
          <w:color w:val="231F20"/>
        </w:rPr>
        <w:t>This might not be a problem if the remote monitoring server has not been upgraded yet. Also, the remote system might be intentionally not supporting the subject application, or might only be supporting an older version of the application. Default: Do not </w:t>
      </w:r>
      <w:r>
        <w:rPr>
          <w:color w:val="231F20"/>
          <w:spacing w:val="15"/>
        </w:rPr>
        <w:drawing>
          <wp:inline distT="0" distB="0" distL="0" distR="0">
            <wp:extent cx="82550" cy="82550"/>
            <wp:effectExtent l="0" t="0" r="0" b="0"/>
            <wp:docPr id="3199" name="Image 3199"/>
            <wp:cNvGraphicFramePr>
              <a:graphicFrameLocks/>
            </wp:cNvGraphicFramePr>
            <a:graphic>
              <a:graphicData uri="http://schemas.openxmlformats.org/drawingml/2006/picture">
                <pic:pic>
                  <pic:nvPicPr>
                    <pic:cNvPr id="3199" name="Image 3199"/>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5"/>
        </w:rPr>
      </w:r>
      <w:r>
        <w:rPr>
          <w:rFonts w:ascii="Times New Roman"/>
          <w:color w:val="231F20"/>
          <w:spacing w:val="2"/>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200" name="Image 3200"/>
            <wp:cNvGraphicFramePr>
              <a:graphicFrameLocks/>
            </wp:cNvGraphicFramePr>
            <a:graphic>
              <a:graphicData uri="http://schemas.openxmlformats.org/drawingml/2006/picture">
                <pic:pic>
                  <pic:nvPicPr>
                    <pic:cNvPr id="3200" name="Image 3200"/>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w:t>
      </w:r>
      <w:r>
        <w:rPr>
          <w:color w:val="231F20"/>
          <w:spacing w:val="-2"/>
        </w:rPr>
        <w:t>Formula:</w:t>
      </w:r>
    </w:p>
    <w:p>
      <w:pPr>
        <w:spacing w:line="230" w:lineRule="auto" w:before="66"/>
        <w:ind w:left="3190" w:right="1504" w:firstLine="0"/>
        <w:jc w:val="left"/>
        <w:rPr>
          <w:rFonts w:ascii="Arial" w:hAnsi="Arial"/>
          <w:sz w:val="18"/>
        </w:rPr>
      </w:pPr>
      <w:r>
        <w:rPr>
          <w:rFonts w:ascii="Arial" w:hAnsi="Arial"/>
          <w:color w:val="231F20"/>
          <w:sz w:val="18"/>
        </w:rPr>
        <w:t>((Status</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Missing</w:t>
      </w:r>
      <w:r>
        <w:rPr>
          <w:rFonts w:ascii="Arial" w:hAnsi="Arial"/>
          <w:color w:val="231F20"/>
          <w:spacing w:val="18"/>
          <w:sz w:val="18"/>
        </w:rPr>
        <w:t> </w:t>
      </w:r>
      <w:r>
        <w:rPr>
          <w:rFonts w:ascii="Arial" w:hAnsi="Arial"/>
          <w:color w:val="231F20"/>
          <w:sz w:val="18"/>
        </w:rPr>
        <w:t>At</w:t>
      </w:r>
      <w:r>
        <w:rPr>
          <w:rFonts w:ascii="Arial" w:hAnsi="Arial"/>
          <w:color w:val="231F20"/>
          <w:spacing w:val="18"/>
          <w:sz w:val="18"/>
        </w:rPr>
        <w:t> </w:t>
      </w:r>
      <w:r>
        <w:rPr>
          <w:rFonts w:ascii="Arial" w:hAnsi="Arial"/>
          <w:color w:val="231F20"/>
          <w:sz w:val="18"/>
        </w:rPr>
        <w:t>Hub)</w:t>
      </w:r>
      <w:r>
        <w:rPr>
          <w:rFonts w:ascii="Arial" w:hAnsi="Arial"/>
          <w:color w:val="231F20"/>
          <w:spacing w:val="18"/>
          <w:sz w:val="18"/>
        </w:rPr>
        <w:t> </w:t>
      </w:r>
      <w:r>
        <w:rPr>
          <w:rFonts w:ascii="Arial" w:hAnsi="Arial"/>
          <w:color w:val="231F20"/>
          <w:sz w:val="18"/>
        </w:rPr>
        <w:t>AND</w:t>
      </w:r>
      <w:r>
        <w:rPr>
          <w:rFonts w:ascii="Arial" w:hAnsi="Arial"/>
          <w:color w:val="231F20"/>
          <w:spacing w:val="18"/>
          <w:sz w:val="18"/>
        </w:rPr>
        <w:t> </w:t>
      </w:r>
      <w:r>
        <w:rPr>
          <w:rFonts w:ascii="Arial" w:hAnsi="Arial"/>
          <w:color w:val="231F20"/>
          <w:sz w:val="18"/>
        </w:rPr>
        <w:t>(Catalog</w:t>
      </w:r>
      <w:r>
        <w:rPr>
          <w:rFonts w:ascii="Arial" w:hAnsi="Arial"/>
          <w:color w:val="231F20"/>
          <w:spacing w:val="18"/>
          <w:sz w:val="18"/>
        </w:rPr>
        <w:t> </w:t>
      </w:r>
      <w:r>
        <w:rPr>
          <w:rFonts w:ascii="Arial" w:hAnsi="Arial"/>
          <w:color w:val="231F20"/>
          <w:sz w:val="18"/>
        </w:rPr>
        <w:t>!=</w:t>
      </w:r>
      <w:r>
        <w:rPr>
          <w:rFonts w:ascii="Arial" w:hAnsi="Arial"/>
          <w:color w:val="231F20"/>
          <w:spacing w:val="18"/>
          <w:sz w:val="18"/>
        </w:rPr>
        <w:t> </w:t>
      </w:r>
      <w:r>
        <w:rPr>
          <w:rFonts w:ascii="Arial" w:hAnsi="Arial"/>
          <w:color w:val="231F20"/>
          <w:sz w:val="18"/>
        </w:rPr>
        <w:t>’PDSSTATS’))</w:t>
      </w:r>
      <w:r>
        <w:rPr>
          <w:rFonts w:ascii="Arial" w:hAnsi="Arial"/>
          <w:color w:val="231F20"/>
          <w:spacing w:val="18"/>
          <w:sz w:val="18"/>
        </w:rPr>
        <w:t> </w:t>
      </w:r>
      <w:r>
        <w:rPr>
          <w:rFonts w:ascii="Arial" w:hAnsi="Arial"/>
          <w:color w:val="231F20"/>
          <w:sz w:val="18"/>
        </w:rPr>
        <w:t>OR (Status</w:t>
      </w:r>
      <w:r>
        <w:rPr>
          <w:rFonts w:ascii="Arial" w:hAnsi="Arial"/>
          <w:color w:val="231F20"/>
          <w:spacing w:val="40"/>
          <w:sz w:val="18"/>
        </w:rPr>
        <w:t> </w:t>
      </w:r>
      <w:r>
        <w:rPr>
          <w:rFonts w:ascii="Arial" w:hAnsi="Arial"/>
          <w:color w:val="231F20"/>
          <w:sz w:val="18"/>
        </w:rPr>
        <w:t>==</w:t>
      </w:r>
      <w:r>
        <w:rPr>
          <w:rFonts w:ascii="Arial" w:hAnsi="Arial"/>
          <w:color w:val="231F20"/>
          <w:spacing w:val="40"/>
          <w:sz w:val="18"/>
        </w:rPr>
        <w:t> </w:t>
      </w:r>
      <w:r>
        <w:rPr>
          <w:rFonts w:ascii="Arial" w:hAnsi="Arial"/>
          <w:color w:val="231F20"/>
          <w:sz w:val="18"/>
        </w:rPr>
        <w:t>Hub_Newer)</w:t>
      </w:r>
    </w:p>
    <w:p>
      <w:pPr>
        <w:pStyle w:val="Heading6"/>
        <w:spacing w:before="131"/>
      </w:pPr>
      <w:r>
        <w:rPr>
          <w:color w:val="231F20"/>
          <w:spacing w:val="-2"/>
        </w:rPr>
        <w:t>TEMS_Busy</w:t>
      </w:r>
    </w:p>
    <w:p>
      <w:pPr>
        <w:pStyle w:val="BodyText"/>
        <w:spacing w:line="213" w:lineRule="auto" w:before="11"/>
        <w:ind w:left="3190" w:right="274"/>
      </w:pPr>
      <w:r>
        <w:rPr>
          <w:color w:val="231F20"/>
        </w:rPr>
        <w:t>This situation becomes true and an event is opened when the Tivoli Enterprise Monitoring Server is continually busy. Default: Do not </w:t>
      </w:r>
      <w:r>
        <w:rPr>
          <w:color w:val="231F20"/>
          <w:spacing w:val="14"/>
        </w:rPr>
        <w:drawing>
          <wp:inline distT="0" distB="0" distL="0" distR="0">
            <wp:extent cx="82550" cy="82550"/>
            <wp:effectExtent l="0" t="0" r="0" b="0"/>
            <wp:docPr id="3201" name="Image 3201"/>
            <wp:cNvGraphicFramePr>
              <a:graphicFrameLocks/>
            </wp:cNvGraphicFramePr>
            <a:graphic>
              <a:graphicData uri="http://schemas.openxmlformats.org/drawingml/2006/picture">
                <pic:pic>
                  <pic:nvPicPr>
                    <pic:cNvPr id="3201" name="Image 3201"/>
                    <pic:cNvPicPr/>
                  </pic:nvPicPr>
                  <pic:blipFill>
                    <a:blip r:embed="rId120" cstate="print"/>
                    <a:stretch>
                      <a:fillRect/>
                    </a:stretch>
                  </pic:blipFill>
                  <pic:spPr>
                    <a:xfrm>
                      <a:off x="0" y="0"/>
                      <a:ext cx="82550" cy="82550"/>
                    </a:xfrm>
                    <a:prstGeom prst="rect">
                      <a:avLst/>
                    </a:prstGeom>
                  </pic:spPr>
                </pic:pic>
              </a:graphicData>
            </a:graphic>
          </wp:inline>
        </w:drawing>
      </w:r>
      <w:r>
        <w:rPr>
          <w:color w:val="231F20"/>
          <w:spacing w:val="14"/>
        </w:rPr>
      </w:r>
      <w:r>
        <w:rPr>
          <w:rFonts w:ascii="Times New Roman"/>
          <w:color w:val="231F20"/>
          <w:spacing w:val="-9"/>
        </w:rPr>
        <w:t> </w:t>
      </w:r>
      <w:r>
        <w:rPr>
          <w:rFonts w:ascii="Book Antiqua"/>
          <w:b/>
          <w:color w:val="231F20"/>
        </w:rPr>
        <w:t>Run at startup</w:t>
      </w:r>
      <w:r>
        <w:rPr>
          <w:color w:val="231F20"/>
        </w:rPr>
        <w:t>. </w:t>
      </w:r>
      <w:r>
        <w:rPr>
          <w:color w:val="231F20"/>
          <w:spacing w:val="16"/>
          <w:position w:val="-1"/>
        </w:rPr>
        <w:drawing>
          <wp:inline distT="0" distB="0" distL="0" distR="0">
            <wp:extent cx="101600" cy="101600"/>
            <wp:effectExtent l="0" t="0" r="0" b="0"/>
            <wp:docPr id="3202" name="Image 3202"/>
            <wp:cNvGraphicFramePr>
              <a:graphicFrameLocks/>
            </wp:cNvGraphicFramePr>
            <a:graphic>
              <a:graphicData uri="http://schemas.openxmlformats.org/drawingml/2006/picture">
                <pic:pic>
                  <pic:nvPicPr>
                    <pic:cNvPr id="3202" name="Image 3202"/>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Show Formula:</w:t>
      </w:r>
    </w:p>
    <w:p>
      <w:pPr>
        <w:spacing w:before="61"/>
        <w:ind w:left="3190" w:right="0" w:firstLine="0"/>
        <w:jc w:val="left"/>
        <w:rPr>
          <w:rFonts w:ascii="Arial" w:hAnsi="Arial"/>
          <w:sz w:val="18"/>
        </w:rPr>
      </w:pPr>
      <w:r>
        <w:rPr>
          <w:rFonts w:ascii="Arial" w:hAnsi="Arial"/>
          <w:color w:val="231F20"/>
          <w:spacing w:val="-2"/>
          <w:sz w:val="18"/>
        </w:rPr>
        <w:t>(</w:t>
      </w:r>
      <w:r>
        <w:rPr>
          <w:rFonts w:ascii="Arial" w:hAnsi="Arial"/>
          <w:color w:val="231F20"/>
          <w:spacing w:val="14"/>
          <w:sz w:val="18"/>
        </w:rPr>
        <w:t> </w:t>
      </w:r>
      <w:r>
        <w:rPr>
          <w:rFonts w:ascii="Arial" w:hAnsi="Arial"/>
          <w:color w:val="231F20"/>
          <w:spacing w:val="-2"/>
          <w:sz w:val="18"/>
        </w:rPr>
        <w:t>Product</w:t>
      </w:r>
      <w:r>
        <w:rPr>
          <w:rFonts w:ascii="Arial" w:hAnsi="Arial"/>
          <w:color w:val="231F20"/>
          <w:spacing w:val="15"/>
          <w:sz w:val="18"/>
        </w:rPr>
        <w:t> </w:t>
      </w:r>
      <w:r>
        <w:rPr>
          <w:rFonts w:ascii="Arial" w:hAnsi="Arial"/>
          <w:color w:val="231F20"/>
          <w:spacing w:val="-2"/>
          <w:sz w:val="18"/>
        </w:rPr>
        <w:t>==</w:t>
      </w:r>
      <w:r>
        <w:rPr>
          <w:rFonts w:ascii="Arial" w:hAnsi="Arial"/>
          <w:color w:val="231F20"/>
          <w:spacing w:val="14"/>
          <w:sz w:val="18"/>
        </w:rPr>
        <w:t> </w:t>
      </w:r>
      <w:r>
        <w:rPr>
          <w:rFonts w:ascii="Arial" w:hAnsi="Arial"/>
          <w:color w:val="231F20"/>
          <w:spacing w:val="-2"/>
          <w:sz w:val="18"/>
        </w:rPr>
        <w:t>’EM’</w:t>
      </w:r>
      <w:r>
        <w:rPr>
          <w:rFonts w:ascii="Arial" w:hAnsi="Arial"/>
          <w:color w:val="231F20"/>
          <w:spacing w:val="15"/>
          <w:sz w:val="18"/>
        </w:rPr>
        <w:t> </w:t>
      </w:r>
      <w:r>
        <w:rPr>
          <w:rFonts w:ascii="Arial" w:hAnsi="Arial"/>
          <w:color w:val="231F20"/>
          <w:spacing w:val="-2"/>
          <w:sz w:val="18"/>
        </w:rPr>
        <w:t>AND</w:t>
      </w:r>
      <w:r>
        <w:rPr>
          <w:rFonts w:ascii="Arial" w:hAnsi="Arial"/>
          <w:color w:val="231F20"/>
          <w:spacing w:val="14"/>
          <w:sz w:val="18"/>
        </w:rPr>
        <w:t> </w:t>
      </w:r>
      <w:r>
        <w:rPr>
          <w:rFonts w:ascii="Arial" w:hAnsi="Arial"/>
          <w:color w:val="231F20"/>
          <w:spacing w:val="-2"/>
          <w:sz w:val="18"/>
        </w:rPr>
        <w:t>Reason</w:t>
      </w:r>
      <w:r>
        <w:rPr>
          <w:rFonts w:ascii="Arial" w:hAnsi="Arial"/>
          <w:color w:val="231F20"/>
          <w:spacing w:val="15"/>
          <w:sz w:val="18"/>
        </w:rPr>
        <w:t> </w:t>
      </w:r>
      <w:r>
        <w:rPr>
          <w:rFonts w:ascii="Arial" w:hAnsi="Arial"/>
          <w:color w:val="231F20"/>
          <w:spacing w:val="-2"/>
          <w:sz w:val="18"/>
        </w:rPr>
        <w:t>==</w:t>
      </w:r>
      <w:r>
        <w:rPr>
          <w:rFonts w:ascii="Arial" w:hAnsi="Arial"/>
          <w:color w:val="231F20"/>
          <w:spacing w:val="14"/>
          <w:sz w:val="18"/>
        </w:rPr>
        <w:t> </w:t>
      </w:r>
      <w:r>
        <w:rPr>
          <w:rFonts w:ascii="Arial" w:hAnsi="Arial"/>
          <w:color w:val="231F20"/>
          <w:spacing w:val="-4"/>
          <w:sz w:val="18"/>
        </w:rPr>
        <w:t>’H’)</w:t>
      </w:r>
    </w:p>
    <w:p>
      <w:pPr>
        <w:spacing w:after="0"/>
        <w:jc w:val="left"/>
        <w:rPr>
          <w:rFonts w:ascii="Arial" w:hAnsi="Arial"/>
          <w:sz w:val="18"/>
        </w:rPr>
        <w:sectPr>
          <w:pgSz w:w="12240" w:h="15840"/>
          <w:pgMar w:header="0" w:footer="736" w:top="1180" w:bottom="920" w:left="1000" w:right="1060"/>
        </w:sectPr>
      </w:pPr>
    </w:p>
    <w:p>
      <w:pPr>
        <w:pStyle w:val="BodyText"/>
        <w:spacing w:before="4"/>
        <w:rPr>
          <w:rFonts w:ascii="Arial"/>
          <w:sz w:val="17"/>
        </w:rPr>
      </w:pPr>
    </w:p>
    <w:p>
      <w:pPr>
        <w:spacing w:after="0"/>
        <w:rPr>
          <w:rFonts w:ascii="Arial"/>
          <w:sz w:val="17"/>
        </w:rPr>
        <w:sectPr>
          <w:pgSz w:w="12240" w:h="15840"/>
          <w:pgMar w:header="0" w:footer="736" w:top="1820" w:bottom="920" w:left="1000" w:right="1060"/>
        </w:sectPr>
      </w:pPr>
    </w:p>
    <w:p>
      <w:pPr>
        <w:pStyle w:val="BodyText"/>
        <w:spacing w:line="20" w:lineRule="exact"/>
        <w:ind w:left="436"/>
        <w:rPr>
          <w:rFonts w:ascii="Arial"/>
          <w:sz w:val="2"/>
        </w:rPr>
      </w:pPr>
      <w:bookmarkStart w:name="_bookmark318" w:id="658"/>
      <w:bookmarkEnd w:id="658"/>
      <w:r>
        <w:rPr/>
      </w:r>
      <w:r>
        <w:rPr>
          <w:rFonts w:ascii="Arial"/>
          <w:sz w:val="2"/>
        </w:rPr>
        <mc:AlternateContent>
          <mc:Choice Requires="wps">
            <w:drawing>
              <wp:inline distT="0" distB="0" distL="0" distR="0">
                <wp:extent cx="6082665" cy="25400"/>
                <wp:effectExtent l="19050" t="0" r="3810" b="3175"/>
                <wp:docPr id="3206" name="Group 3206"/>
                <wp:cNvGraphicFramePr>
                  <a:graphicFrameLocks/>
                </wp:cNvGraphicFramePr>
                <a:graphic>
                  <a:graphicData uri="http://schemas.microsoft.com/office/word/2010/wordprocessingGroup">
                    <wpg:wgp>
                      <wpg:cNvPr id="3206" name="Group 3206"/>
                      <wpg:cNvGrpSpPr/>
                      <wpg:grpSpPr>
                        <a:xfrm>
                          <a:off x="0" y="0"/>
                          <a:ext cx="6082665" cy="25400"/>
                          <a:chExt cx="6082665" cy="25400"/>
                        </a:xfrm>
                      </wpg:grpSpPr>
                      <wps:wsp>
                        <wps:cNvPr id="3207" name="Graphic 3207"/>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59" coordorigin="0,0" coordsize="9579,40">
                <v:line style="position:absolute" from="0,20" to="9579,20" stroked="true" strokeweight="1.996pt" strokecolor="#231f20">
                  <v:stroke dashstyle="solid"/>
                </v:line>
              </v:group>
            </w:pict>
          </mc:Fallback>
        </mc:AlternateContent>
      </w:r>
      <w:r>
        <w:rPr>
          <w:rFonts w:ascii="Arial"/>
          <w:sz w:val="2"/>
        </w:rPr>
      </w:r>
    </w:p>
    <w:p>
      <w:pPr>
        <w:pStyle w:val="BodyText"/>
        <w:spacing w:before="142"/>
        <w:rPr>
          <w:rFonts w:ascii="Arial"/>
          <w:sz w:val="32"/>
        </w:rPr>
      </w:pPr>
    </w:p>
    <w:p>
      <w:pPr>
        <w:pStyle w:val="Heading2"/>
      </w:pPr>
      <w:bookmarkStart w:name="Appendix A. Formula functions" w:id="659"/>
      <w:bookmarkEnd w:id="659"/>
      <w:r>
        <w:rPr>
          <w:b w:val="0"/>
        </w:rPr>
      </w:r>
      <w:r>
        <w:rPr>
          <w:color w:val="231F20"/>
        </w:rPr>
        <w:t>Appendix</w:t>
      </w:r>
      <w:r>
        <w:rPr>
          <w:color w:val="231F20"/>
          <w:spacing w:val="-10"/>
        </w:rPr>
        <w:t> </w:t>
      </w:r>
      <w:r>
        <w:rPr>
          <w:color w:val="231F20"/>
        </w:rPr>
        <w:t>A.</w:t>
      </w:r>
      <w:r>
        <w:rPr>
          <w:color w:val="231F20"/>
          <w:spacing w:val="6"/>
        </w:rPr>
        <w:t> </w:t>
      </w:r>
      <w:r>
        <w:rPr>
          <w:color w:val="231F20"/>
        </w:rPr>
        <w:t>Formula</w:t>
      </w:r>
      <w:r>
        <w:rPr>
          <w:color w:val="231F20"/>
          <w:spacing w:val="6"/>
        </w:rPr>
        <w:t> </w:t>
      </w:r>
      <w:r>
        <w:rPr>
          <w:color w:val="231F20"/>
          <w:spacing w:val="-2"/>
        </w:rPr>
        <w:t>functions</w:t>
      </w:r>
    </w:p>
    <w:p>
      <w:pPr>
        <w:pStyle w:val="BodyText"/>
        <w:spacing w:line="213" w:lineRule="auto" w:before="304"/>
        <w:ind w:left="2472"/>
      </w:pPr>
      <w:r>
        <w:rPr>
          <w:color w:val="231F20"/>
        </w:rPr>
        <w:t>Use the functions provided in these editors to write formulas: Situation, </w:t>
      </w:r>
      <w:r>
        <w:rPr>
          <w:color w:val="231F20"/>
        </w:rPr>
        <w:t>Query, Properties Filters tab, and Properties Thresholds tab.</w:t>
      </w:r>
    </w:p>
    <w:p>
      <w:pPr>
        <w:pStyle w:val="BodyText"/>
        <w:spacing w:before="5"/>
        <w:rPr>
          <w:sz w:val="16"/>
        </w:rPr>
      </w:pPr>
      <w:r>
        <w:rPr/>
        <mc:AlternateContent>
          <mc:Choice Requires="wps">
            <w:drawing>
              <wp:anchor distT="0" distB="0" distL="0" distR="0" allowOverlap="1" layoutInCell="1" locked="0" behindDoc="1" simplePos="0" relativeHeight="487745536">
                <wp:simplePos x="0" y="0"/>
                <wp:positionH relativeFrom="page">
                  <wp:posOffset>912380</wp:posOffset>
                </wp:positionH>
                <wp:positionV relativeFrom="paragraph">
                  <wp:posOffset>155978</wp:posOffset>
                </wp:positionV>
                <wp:extent cx="6082665" cy="1270"/>
                <wp:effectExtent l="0" t="0" r="0" b="0"/>
                <wp:wrapTopAndBottom/>
                <wp:docPr id="3208" name="Graphic 3208"/>
                <wp:cNvGraphicFramePr>
                  <a:graphicFrameLocks/>
                </wp:cNvGraphicFramePr>
                <a:graphic>
                  <a:graphicData uri="http://schemas.microsoft.com/office/word/2010/wordprocessingShape">
                    <wps:wsp>
                      <wps:cNvPr id="3208" name="Graphic 320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8177pt;width:478.95pt;height:.1pt;mso-position-horizontal-relative:page;mso-position-vertical-relative:paragraph;z-index:-15570944;mso-wrap-distance-left:0;mso-wrap-distance-right:0" id="docshape260" coordorigin="1437,246" coordsize="9579,0" path="m1437,246l11016,246e" filled="false" stroked="true" strokeweight=".499pt" strokecolor="#231f20">
                <v:path arrowok="t"/>
                <v:stroke dashstyle="solid"/>
                <w10:wrap type="topAndBottom"/>
              </v:shape>
            </w:pict>
          </mc:Fallback>
        </mc:AlternateContent>
      </w:r>
    </w:p>
    <w:p>
      <w:pPr>
        <w:pStyle w:val="Heading3"/>
      </w:pPr>
      <w:bookmarkStart w:name="Formula function types" w:id="660"/>
      <w:bookmarkEnd w:id="660"/>
      <w:r>
        <w:rPr>
          <w:b w:val="0"/>
        </w:rPr>
      </w:r>
      <w:r>
        <w:rPr>
          <w:color w:val="231F20"/>
        </w:rPr>
        <w:t>Formula</w:t>
      </w:r>
      <w:r>
        <w:rPr>
          <w:color w:val="231F20"/>
          <w:spacing w:val="3"/>
        </w:rPr>
        <w:t> </w:t>
      </w:r>
      <w:r>
        <w:rPr>
          <w:color w:val="231F20"/>
        </w:rPr>
        <w:t>function</w:t>
      </w:r>
      <w:r>
        <w:rPr>
          <w:color w:val="231F20"/>
          <w:spacing w:val="4"/>
        </w:rPr>
        <w:t> </w:t>
      </w:r>
      <w:r>
        <w:rPr>
          <w:color w:val="231F20"/>
          <w:spacing w:val="-2"/>
        </w:rPr>
        <w:t>types</w:t>
      </w:r>
    </w:p>
    <w:p>
      <w:pPr>
        <w:pStyle w:val="BodyText"/>
        <w:spacing w:line="213" w:lineRule="auto" w:before="138"/>
        <w:ind w:left="2472" w:right="385"/>
      </w:pPr>
      <w:r>
        <w:rPr>
          <w:color w:val="231F20"/>
        </w:rPr>
        <w:t>With over a dozen cell and group functions available, you can build </w:t>
      </w:r>
      <w:r>
        <w:rPr>
          <w:color w:val="231F20"/>
        </w:rPr>
        <w:t>sophisticated filters for reporting only what matters to you, thus saving time and network resources. Likewise, you can build thresholds in table views and conditions in situations that trigger alerts to keep you informed of important changes in your managed network.</w:t>
      </w:r>
    </w:p>
    <w:p>
      <w:pPr>
        <w:pStyle w:val="BodyText"/>
        <w:spacing w:line="213" w:lineRule="auto" w:before="236"/>
        <w:ind w:left="2472" w:right="493"/>
      </w:pPr>
      <w:r>
        <w:rPr>
          <w:color w:val="231F20"/>
        </w:rPr>
        <w:t>The functions that are available depend on the type of attribute (numeric, text, </w:t>
      </w:r>
      <w:r>
        <w:rPr>
          <w:color w:val="231F20"/>
        </w:rPr>
        <w:t>or time) and in which editor you are working: Query, Situation, Properties (Filters and Thresholds tabs), or History Collection Configuration (Filter tab).</w:t>
      </w:r>
    </w:p>
    <w:p>
      <w:pPr>
        <w:pStyle w:val="Heading6"/>
      </w:pPr>
      <w:r>
        <w:rPr>
          <w:color w:val="231F20"/>
        </w:rPr>
        <w:t>Cell</w:t>
      </w:r>
      <w:r>
        <w:rPr>
          <w:color w:val="231F20"/>
          <w:spacing w:val="12"/>
        </w:rPr>
        <w:t> </w:t>
      </w:r>
      <w:r>
        <w:rPr>
          <w:color w:val="231F20"/>
          <w:spacing w:val="-2"/>
        </w:rPr>
        <w:t>functions</w:t>
      </w:r>
    </w:p>
    <w:p>
      <w:pPr>
        <w:pStyle w:val="BodyText"/>
        <w:spacing w:line="213" w:lineRule="auto" w:before="11"/>
        <w:ind w:left="3190" w:right="319"/>
        <w:jc w:val="both"/>
      </w:pPr>
      <w:r>
        <w:rPr>
          <w:color w:val="231F20"/>
        </w:rPr>
        <w:t>This table maps the </w:t>
      </w:r>
      <w:r>
        <w:rPr>
          <w:color w:val="231F20"/>
          <w:spacing w:val="16"/>
          <w:position w:val="-1"/>
        </w:rPr>
        <w:drawing>
          <wp:inline distT="0" distB="0" distL="0" distR="0">
            <wp:extent cx="101600" cy="101600"/>
            <wp:effectExtent l="0" t="0" r="0" b="0"/>
            <wp:docPr id="3209" name="Image 3209"/>
            <wp:cNvGraphicFramePr>
              <a:graphicFrameLocks/>
            </wp:cNvGraphicFramePr>
            <a:graphic>
              <a:graphicData uri="http://schemas.openxmlformats.org/drawingml/2006/picture">
                <pic:pic>
                  <pic:nvPicPr>
                    <pic:cNvPr id="3209" name="Image 3209"/>
                    <pic:cNvPicPr/>
                  </pic:nvPicPr>
                  <pic:blipFill>
                    <a:blip r:embed="rId479"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numeric, </w:t>
      </w:r>
      <w:r>
        <w:rPr>
          <w:color w:val="231F20"/>
          <w:spacing w:val="16"/>
          <w:position w:val="-1"/>
        </w:rPr>
        <w:drawing>
          <wp:inline distT="0" distB="0" distL="0" distR="0">
            <wp:extent cx="101600" cy="101600"/>
            <wp:effectExtent l="0" t="0" r="0" b="0"/>
            <wp:docPr id="3210" name="Image 3210"/>
            <wp:cNvGraphicFramePr>
              <a:graphicFrameLocks/>
            </wp:cNvGraphicFramePr>
            <a:graphic>
              <a:graphicData uri="http://schemas.openxmlformats.org/drawingml/2006/picture">
                <pic:pic>
                  <pic:nvPicPr>
                    <pic:cNvPr id="3210" name="Image 3210"/>
                    <pic:cNvPicPr/>
                  </pic:nvPicPr>
                  <pic:blipFill>
                    <a:blip r:embed="rId480"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text, and </w:t>
      </w:r>
      <w:r>
        <w:rPr>
          <w:color w:val="231F20"/>
          <w:spacing w:val="16"/>
          <w:position w:val="-1"/>
        </w:rPr>
        <w:drawing>
          <wp:inline distT="0" distB="0" distL="0" distR="0">
            <wp:extent cx="101600" cy="101600"/>
            <wp:effectExtent l="0" t="0" r="0" b="0"/>
            <wp:docPr id="3211" name="Image 3211"/>
            <wp:cNvGraphicFramePr>
              <a:graphicFrameLocks/>
            </wp:cNvGraphicFramePr>
            <a:graphic>
              <a:graphicData uri="http://schemas.openxmlformats.org/drawingml/2006/picture">
                <pic:pic>
                  <pic:nvPicPr>
                    <pic:cNvPr id="3211" name="Image 3211"/>
                    <pic:cNvPicPr/>
                  </pic:nvPicPr>
                  <pic:blipFill>
                    <a:blip r:embed="rId481"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40"/>
        </w:rPr>
        <w:t> </w:t>
      </w:r>
      <w:r>
        <w:rPr>
          <w:color w:val="231F20"/>
        </w:rPr>
        <w:t>timestamp attribute types</w:t>
      </w:r>
      <w:r>
        <w:rPr>
          <w:color w:val="231F20"/>
          <w:spacing w:val="40"/>
        </w:rPr>
        <w:t> </w:t>
      </w:r>
      <w:r>
        <w:rPr>
          <w:color w:val="231F20"/>
        </w:rPr>
        <w:t>to the cell and group formula functions and to the editors where they are </w:t>
      </w:r>
      <w:r>
        <w:rPr>
          <w:color w:val="231F20"/>
          <w:spacing w:val="-2"/>
        </w:rPr>
        <w:t>available.</w:t>
      </w:r>
    </w:p>
    <w:p>
      <w:pPr>
        <w:spacing w:before="141"/>
        <w:ind w:left="2522" w:right="0" w:firstLine="0"/>
        <w:jc w:val="left"/>
        <w:rPr>
          <w:rFonts w:ascii="Arial"/>
          <w:i/>
          <w:sz w:val="18"/>
        </w:rPr>
      </w:pPr>
      <w:r>
        <w:rPr>
          <w:rFonts w:ascii="Arial"/>
          <w:i/>
          <w:color w:val="231F20"/>
          <w:sz w:val="18"/>
        </w:rPr>
        <w:t>Table</w:t>
      </w:r>
      <w:r>
        <w:rPr>
          <w:rFonts w:ascii="Arial"/>
          <w:i/>
          <w:color w:val="231F20"/>
          <w:spacing w:val="-7"/>
          <w:sz w:val="18"/>
        </w:rPr>
        <w:t> </w:t>
      </w:r>
      <w:r>
        <w:rPr>
          <w:rFonts w:ascii="Arial"/>
          <w:i/>
          <w:color w:val="231F20"/>
          <w:sz w:val="18"/>
        </w:rPr>
        <w:t>10.</w:t>
      </w:r>
      <w:r>
        <w:rPr>
          <w:rFonts w:ascii="Arial"/>
          <w:i/>
          <w:color w:val="231F20"/>
          <w:spacing w:val="3"/>
          <w:sz w:val="18"/>
        </w:rPr>
        <w:t> </w:t>
      </w:r>
      <w:r>
        <w:rPr>
          <w:rFonts w:ascii="Arial"/>
          <w:i/>
          <w:color w:val="231F20"/>
          <w:sz w:val="18"/>
        </w:rPr>
        <w:t>Formula</w:t>
      </w:r>
      <w:r>
        <w:rPr>
          <w:rFonts w:ascii="Arial"/>
          <w:i/>
          <w:color w:val="231F20"/>
          <w:spacing w:val="3"/>
          <w:sz w:val="18"/>
        </w:rPr>
        <w:t> </w:t>
      </w:r>
      <w:r>
        <w:rPr>
          <w:rFonts w:ascii="Arial"/>
          <w:i/>
          <w:color w:val="231F20"/>
          <w:sz w:val="18"/>
        </w:rPr>
        <w:t>functions</w:t>
      </w:r>
      <w:r>
        <w:rPr>
          <w:rFonts w:ascii="Arial"/>
          <w:i/>
          <w:color w:val="231F20"/>
          <w:spacing w:val="2"/>
          <w:sz w:val="18"/>
        </w:rPr>
        <w:t> </w:t>
      </w:r>
      <w:r>
        <w:rPr>
          <w:rFonts w:ascii="Arial"/>
          <w:i/>
          <w:color w:val="231F20"/>
          <w:sz w:val="18"/>
        </w:rPr>
        <w:t>and</w:t>
      </w:r>
      <w:r>
        <w:rPr>
          <w:rFonts w:ascii="Arial"/>
          <w:i/>
          <w:color w:val="231F20"/>
          <w:spacing w:val="3"/>
          <w:sz w:val="18"/>
        </w:rPr>
        <w:t> </w:t>
      </w:r>
      <w:r>
        <w:rPr>
          <w:rFonts w:ascii="Arial"/>
          <w:i/>
          <w:color w:val="231F20"/>
          <w:sz w:val="18"/>
        </w:rPr>
        <w:t>the</w:t>
      </w:r>
      <w:r>
        <w:rPr>
          <w:rFonts w:ascii="Arial"/>
          <w:i/>
          <w:color w:val="231F20"/>
          <w:spacing w:val="3"/>
          <w:sz w:val="18"/>
        </w:rPr>
        <w:t> </w:t>
      </w:r>
      <w:r>
        <w:rPr>
          <w:rFonts w:ascii="Arial"/>
          <w:i/>
          <w:color w:val="231F20"/>
          <w:sz w:val="18"/>
        </w:rPr>
        <w:t>editors</w:t>
      </w:r>
      <w:r>
        <w:rPr>
          <w:rFonts w:ascii="Arial"/>
          <w:i/>
          <w:color w:val="231F20"/>
          <w:spacing w:val="3"/>
          <w:sz w:val="18"/>
        </w:rPr>
        <w:t> </w:t>
      </w:r>
      <w:r>
        <w:rPr>
          <w:rFonts w:ascii="Arial"/>
          <w:i/>
          <w:color w:val="231F20"/>
          <w:sz w:val="18"/>
        </w:rPr>
        <w:t>they</w:t>
      </w:r>
      <w:r>
        <w:rPr>
          <w:rFonts w:ascii="Arial"/>
          <w:i/>
          <w:color w:val="231F20"/>
          <w:spacing w:val="2"/>
          <w:sz w:val="18"/>
        </w:rPr>
        <w:t> </w:t>
      </w:r>
      <w:r>
        <w:rPr>
          <w:rFonts w:ascii="Arial"/>
          <w:i/>
          <w:color w:val="231F20"/>
          <w:sz w:val="18"/>
        </w:rPr>
        <w:t>are</w:t>
      </w:r>
      <w:r>
        <w:rPr>
          <w:rFonts w:ascii="Arial"/>
          <w:i/>
          <w:color w:val="231F20"/>
          <w:spacing w:val="3"/>
          <w:sz w:val="18"/>
        </w:rPr>
        <w:t> </w:t>
      </w:r>
      <w:r>
        <w:rPr>
          <w:rFonts w:ascii="Arial"/>
          <w:i/>
          <w:color w:val="231F20"/>
          <w:sz w:val="18"/>
        </w:rPr>
        <w:t>available</w:t>
      </w:r>
      <w:r>
        <w:rPr>
          <w:rFonts w:ascii="Arial"/>
          <w:i/>
          <w:color w:val="231F20"/>
          <w:spacing w:val="3"/>
          <w:sz w:val="18"/>
        </w:rPr>
        <w:t> </w:t>
      </w:r>
      <w:r>
        <w:rPr>
          <w:rFonts w:ascii="Arial"/>
          <w:i/>
          <w:color w:val="231F20"/>
          <w:spacing w:val="-5"/>
          <w:sz w:val="18"/>
        </w:rPr>
        <w:t>in</w:t>
      </w:r>
    </w:p>
    <w:p>
      <w:pPr>
        <w:pStyle w:val="BodyText"/>
        <w:spacing w:before="11"/>
        <w:rPr>
          <w:rFonts w:ascii="Arial"/>
          <w:i/>
          <w:sz w:val="7"/>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19"/>
        <w:gridCol w:w="1483"/>
        <w:gridCol w:w="1483"/>
        <w:gridCol w:w="1483"/>
        <w:gridCol w:w="1468"/>
      </w:tblGrid>
      <w:tr>
        <w:trPr>
          <w:trHeight w:val="932" w:hRule="atLeast"/>
        </w:trPr>
        <w:tc>
          <w:tcPr>
            <w:tcW w:w="1619" w:type="dxa"/>
          </w:tcPr>
          <w:p>
            <w:pPr>
              <w:pStyle w:val="TableParagraph"/>
              <w:spacing w:before="0"/>
              <w:ind w:left="0"/>
              <w:rPr>
                <w:rFonts w:ascii="Arial"/>
                <w:i/>
                <w:sz w:val="18"/>
              </w:rPr>
            </w:pPr>
          </w:p>
          <w:p>
            <w:pPr>
              <w:pStyle w:val="TableParagraph"/>
              <w:spacing w:before="0"/>
              <w:ind w:left="0"/>
              <w:rPr>
                <w:rFonts w:ascii="Arial"/>
                <w:i/>
                <w:sz w:val="18"/>
              </w:rPr>
            </w:pPr>
          </w:p>
          <w:p>
            <w:pPr>
              <w:pStyle w:val="TableParagraph"/>
              <w:spacing w:before="47"/>
              <w:ind w:left="0"/>
              <w:rPr>
                <w:rFonts w:ascii="Arial"/>
                <w:i/>
                <w:sz w:val="18"/>
              </w:rPr>
            </w:pPr>
          </w:p>
          <w:p>
            <w:pPr>
              <w:pStyle w:val="TableParagraph"/>
              <w:spacing w:before="0"/>
              <w:ind w:left="44"/>
              <w:rPr>
                <w:rFonts w:ascii="Book Antiqua"/>
                <w:b/>
                <w:sz w:val="18"/>
              </w:rPr>
            </w:pPr>
            <w:r>
              <w:rPr>
                <w:rFonts w:ascii="Book Antiqua"/>
                <w:b/>
                <w:color w:val="231F20"/>
                <w:sz w:val="18"/>
              </w:rPr>
              <w:t>Cell</w:t>
            </w:r>
            <w:r>
              <w:rPr>
                <w:rFonts w:ascii="Book Antiqua"/>
                <w:b/>
                <w:color w:val="231F20"/>
                <w:spacing w:val="10"/>
                <w:sz w:val="18"/>
              </w:rPr>
              <w:t> </w:t>
            </w:r>
            <w:r>
              <w:rPr>
                <w:rFonts w:ascii="Book Antiqua"/>
                <w:b/>
                <w:color w:val="231F20"/>
                <w:spacing w:val="-2"/>
                <w:sz w:val="18"/>
              </w:rPr>
              <w:t>function</w:t>
            </w:r>
          </w:p>
        </w:tc>
        <w:tc>
          <w:tcPr>
            <w:tcW w:w="1483" w:type="dxa"/>
          </w:tcPr>
          <w:p>
            <w:pPr>
              <w:pStyle w:val="TableParagraph"/>
              <w:spacing w:before="0"/>
              <w:ind w:left="0"/>
              <w:rPr>
                <w:rFonts w:ascii="Arial"/>
                <w:i/>
                <w:sz w:val="18"/>
              </w:rPr>
            </w:pPr>
          </w:p>
          <w:p>
            <w:pPr>
              <w:pStyle w:val="TableParagraph"/>
              <w:spacing w:before="35"/>
              <w:ind w:left="0"/>
              <w:rPr>
                <w:rFonts w:ascii="Arial"/>
                <w:i/>
                <w:sz w:val="18"/>
              </w:rPr>
            </w:pPr>
          </w:p>
          <w:p>
            <w:pPr>
              <w:pStyle w:val="TableParagraph"/>
              <w:spacing w:line="242" w:lineRule="auto" w:before="0"/>
              <w:ind w:right="147"/>
              <w:rPr>
                <w:rFonts w:ascii="Book Antiqua"/>
                <w:b/>
                <w:sz w:val="18"/>
              </w:rPr>
            </w:pPr>
            <w:r>
              <w:rPr>
                <w:rFonts w:ascii="Book Antiqua"/>
                <w:b/>
                <w:color w:val="231F20"/>
                <w:spacing w:val="-2"/>
                <w:sz w:val="18"/>
              </w:rPr>
              <w:t>Query specification</w:t>
            </w:r>
          </w:p>
        </w:tc>
        <w:tc>
          <w:tcPr>
            <w:tcW w:w="1483" w:type="dxa"/>
          </w:tcPr>
          <w:p>
            <w:pPr>
              <w:pStyle w:val="TableParagraph"/>
              <w:spacing w:line="242" w:lineRule="auto" w:before="10"/>
              <w:ind w:right="147"/>
              <w:rPr>
                <w:rFonts w:ascii="Book Antiqua"/>
                <w:b/>
                <w:sz w:val="18"/>
              </w:rPr>
            </w:pPr>
            <w:r>
              <w:rPr>
                <w:rFonts w:ascii="Book Antiqua"/>
                <w:b/>
                <w:color w:val="231F20"/>
                <w:spacing w:val="-4"/>
                <w:sz w:val="18"/>
              </w:rPr>
              <w:t>View </w:t>
            </w:r>
            <w:r>
              <w:rPr>
                <w:rFonts w:ascii="Book Antiqua"/>
                <w:b/>
                <w:color w:val="231F20"/>
                <w:spacing w:val="-2"/>
                <w:sz w:val="18"/>
              </w:rPr>
              <w:t>properties: Filters; Thresholds</w:t>
            </w:r>
          </w:p>
        </w:tc>
        <w:tc>
          <w:tcPr>
            <w:tcW w:w="1483" w:type="dxa"/>
          </w:tcPr>
          <w:p>
            <w:pPr>
              <w:pStyle w:val="TableParagraph"/>
              <w:spacing w:before="0"/>
              <w:ind w:left="0"/>
              <w:rPr>
                <w:rFonts w:ascii="Arial"/>
                <w:i/>
                <w:sz w:val="18"/>
              </w:rPr>
            </w:pPr>
          </w:p>
          <w:p>
            <w:pPr>
              <w:pStyle w:val="TableParagraph"/>
              <w:spacing w:before="35"/>
              <w:ind w:left="0"/>
              <w:rPr>
                <w:rFonts w:ascii="Arial"/>
                <w:i/>
                <w:sz w:val="18"/>
              </w:rPr>
            </w:pPr>
          </w:p>
          <w:p>
            <w:pPr>
              <w:pStyle w:val="TableParagraph"/>
              <w:spacing w:line="242" w:lineRule="auto" w:before="0"/>
              <w:ind w:left="58" w:right="147"/>
              <w:rPr>
                <w:rFonts w:ascii="Book Antiqua"/>
                <w:b/>
                <w:sz w:val="18"/>
              </w:rPr>
            </w:pPr>
            <w:r>
              <w:rPr>
                <w:rFonts w:ascii="Book Antiqua"/>
                <w:b/>
                <w:color w:val="231F20"/>
                <w:spacing w:val="-2"/>
                <w:sz w:val="18"/>
              </w:rPr>
              <w:t>Situation: Formula</w:t>
            </w:r>
          </w:p>
        </w:tc>
        <w:tc>
          <w:tcPr>
            <w:tcW w:w="1468" w:type="dxa"/>
          </w:tcPr>
          <w:p>
            <w:pPr>
              <w:pStyle w:val="TableParagraph"/>
              <w:spacing w:line="242" w:lineRule="auto" w:before="10"/>
              <w:ind w:left="57"/>
              <w:rPr>
                <w:rFonts w:ascii="Book Antiqua"/>
                <w:b/>
                <w:sz w:val="18"/>
              </w:rPr>
            </w:pPr>
            <w:r>
              <w:rPr>
                <w:rFonts w:ascii="Book Antiqua"/>
                <w:b/>
                <w:color w:val="231F20"/>
                <w:spacing w:val="-2"/>
                <w:sz w:val="18"/>
              </w:rPr>
              <w:t>History Collection Configuration: Filter</w:t>
            </w:r>
          </w:p>
        </w:tc>
      </w:tr>
      <w:tr>
        <w:trPr>
          <w:trHeight w:val="1187" w:hRule="atLeast"/>
        </w:trPr>
        <w:tc>
          <w:tcPr>
            <w:tcW w:w="1619" w:type="dxa"/>
          </w:tcPr>
          <w:p>
            <w:pPr>
              <w:pStyle w:val="TableParagraph"/>
              <w:spacing w:before="45"/>
              <w:ind w:left="0" w:right="359"/>
              <w:jc w:val="right"/>
              <w:rPr>
                <w:rFonts w:ascii="Book Antiqua"/>
                <w:b/>
                <w:sz w:val="18"/>
              </w:rPr>
            </w:pPr>
            <w:r>
              <w:rPr>
                <w:position w:val="2"/>
              </w:rPr>
              <w:drawing>
                <wp:inline distT="0" distB="0" distL="0" distR="0">
                  <wp:extent cx="101600" cy="44450"/>
                  <wp:effectExtent l="0" t="0" r="0" b="0"/>
                  <wp:docPr id="3212" name="Image 3212"/>
                  <wp:cNvGraphicFramePr>
                    <a:graphicFrameLocks/>
                  </wp:cNvGraphicFramePr>
                  <a:graphic>
                    <a:graphicData uri="http://schemas.openxmlformats.org/drawingml/2006/picture">
                      <pic:pic>
                        <pic:nvPicPr>
                          <pic:cNvPr id="3212" name="Image 3212"/>
                          <pic:cNvPicPr/>
                        </pic:nvPicPr>
                        <pic:blipFill>
                          <a:blip r:embed="rId482" cstate="print"/>
                          <a:stretch>
                            <a:fillRect/>
                          </a:stretch>
                        </pic:blipFill>
                        <pic:spPr>
                          <a:xfrm>
                            <a:off x="0" y="0"/>
                            <a:ext cx="101600" cy="44450"/>
                          </a:xfrm>
                          <a:prstGeom prst="rect">
                            <a:avLst/>
                          </a:prstGeom>
                        </pic:spPr>
                      </pic:pic>
                    </a:graphicData>
                  </a:graphic>
                </wp:inline>
              </w:drawing>
            </w:r>
            <w:r>
              <w:rPr>
                <w:position w:val="2"/>
              </w:rPr>
            </w:r>
            <w:r>
              <w:rPr>
                <w:rFonts w:ascii="Times New Roman"/>
                <w:spacing w:val="40"/>
                <w:sz w:val="20"/>
              </w:rPr>
              <w:t> </w:t>
            </w:r>
            <w:r>
              <w:rPr>
                <w:rFonts w:ascii="Book Antiqua"/>
                <w:b/>
                <w:color w:val="231F20"/>
                <w:sz w:val="18"/>
              </w:rPr>
              <w:t>BETWEEN</w:t>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8"/>
                  <wp:effectExtent l="0" t="0" r="0" b="0"/>
                  <wp:docPr id="3213" name="Image 3213"/>
                  <wp:cNvGraphicFramePr>
                    <a:graphicFrameLocks/>
                  </wp:cNvGraphicFramePr>
                  <a:graphic>
                    <a:graphicData uri="http://schemas.openxmlformats.org/drawingml/2006/picture">
                      <pic:pic>
                        <pic:nvPicPr>
                          <pic:cNvPr id="3213" name="Image 3213"/>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p>
        </w:tc>
        <w:tc>
          <w:tcPr>
            <w:tcW w:w="1483" w:type="dxa"/>
          </w:tcPr>
          <w:p>
            <w:pPr>
              <w:pStyle w:val="TableParagraph"/>
              <w:spacing w:line="216" w:lineRule="auto" w:before="44"/>
              <w:ind w:right="147"/>
              <w:rPr>
                <w:sz w:val="18"/>
              </w:rPr>
            </w:pPr>
            <w:r>
              <w:rPr>
                <w:position w:val="-3"/>
              </w:rPr>
              <w:drawing>
                <wp:inline distT="0" distB="0" distL="0" distR="0">
                  <wp:extent cx="101600" cy="101600"/>
                  <wp:effectExtent l="0" t="0" r="0" b="0"/>
                  <wp:docPr id="3214" name="Image 3214"/>
                  <wp:cNvGraphicFramePr>
                    <a:graphicFrameLocks/>
                  </wp:cNvGraphicFramePr>
                  <a:graphic>
                    <a:graphicData uri="http://schemas.openxmlformats.org/drawingml/2006/picture">
                      <pic:pic>
                        <pic:nvPicPr>
                          <pic:cNvPr id="3214" name="Image 3214"/>
                          <pic:cNvPicPr/>
                        </pic:nvPicPr>
                        <pic:blipFill>
                          <a:blip r:embed="rId479"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17"/>
                <w:sz w:val="20"/>
              </w:rPr>
              <w:t> </w:t>
            </w:r>
            <w:r>
              <w:rPr>
                <w:color w:val="231F20"/>
                <w:sz w:val="18"/>
              </w:rPr>
              <w:t>(Thresholds </w:t>
            </w:r>
            <w:r>
              <w:rPr>
                <w:color w:val="231F20"/>
                <w:spacing w:val="-2"/>
                <w:sz w:val="18"/>
              </w:rPr>
              <w:t>only)</w:t>
            </w:r>
          </w:p>
        </w:tc>
        <w:tc>
          <w:tcPr>
            <w:tcW w:w="2951" w:type="dxa"/>
            <w:gridSpan w:val="2"/>
          </w:tcPr>
          <w:p>
            <w:pPr>
              <w:pStyle w:val="TableParagraph"/>
              <w:spacing w:line="216" w:lineRule="auto" w:before="44"/>
              <w:ind w:left="58" w:right="81"/>
              <w:rPr>
                <w:sz w:val="18"/>
              </w:rPr>
            </w:pPr>
            <w:r>
              <w:rPr>
                <w:color w:val="231F20"/>
                <w:sz w:val="18"/>
              </w:rPr>
              <w:t>Replicate the</w:t>
            </w:r>
            <w:r>
              <w:rPr>
                <w:color w:val="231F20"/>
                <w:spacing w:val="40"/>
                <w:sz w:val="18"/>
              </w:rPr>
              <w:t> </w:t>
            </w:r>
            <w:r>
              <w:rPr>
                <w:color w:val="231F20"/>
                <w:spacing w:val="-11"/>
                <w:position w:val="2"/>
                <w:sz w:val="18"/>
              </w:rPr>
              <w:drawing>
                <wp:inline distT="0" distB="0" distL="0" distR="0">
                  <wp:extent cx="101600" cy="44450"/>
                  <wp:effectExtent l="0" t="0" r="0" b="0"/>
                  <wp:docPr id="3215" name="Image 3215"/>
                  <wp:cNvGraphicFramePr>
                    <a:graphicFrameLocks/>
                  </wp:cNvGraphicFramePr>
                  <a:graphic>
                    <a:graphicData uri="http://schemas.openxmlformats.org/drawingml/2006/picture">
                      <pic:pic>
                        <pic:nvPicPr>
                          <pic:cNvPr id="3215" name="Image 3215"/>
                          <pic:cNvPicPr/>
                        </pic:nvPicPr>
                        <pic:blipFill>
                          <a:blip r:embed="rId482" cstate="print"/>
                          <a:stretch>
                            <a:fillRect/>
                          </a:stretch>
                        </pic:blipFill>
                        <pic:spPr>
                          <a:xfrm>
                            <a:off x="0" y="0"/>
                            <a:ext cx="101600" cy="44450"/>
                          </a:xfrm>
                          <a:prstGeom prst="rect">
                            <a:avLst/>
                          </a:prstGeom>
                        </pic:spPr>
                      </pic:pic>
                    </a:graphicData>
                  </a:graphic>
                </wp:inline>
              </w:drawing>
            </w:r>
            <w:r>
              <w:rPr>
                <w:color w:val="231F20"/>
                <w:spacing w:val="-11"/>
                <w:position w:val="2"/>
                <w:sz w:val="18"/>
              </w:rPr>
            </w:r>
            <w:r>
              <w:rPr>
                <w:rFonts w:ascii="Times New Roman"/>
                <w:color w:val="231F20"/>
                <w:spacing w:val="40"/>
                <w:sz w:val="18"/>
              </w:rPr>
              <w:t> </w:t>
            </w:r>
            <w:r>
              <w:rPr>
                <w:rFonts w:ascii="Book Antiqua"/>
                <w:b/>
                <w:color w:val="231F20"/>
                <w:sz w:val="18"/>
              </w:rPr>
              <w:t>See if a value is within a range </w:t>
            </w:r>
            <w:r>
              <w:rPr>
                <w:color w:val="231F20"/>
                <w:sz w:val="18"/>
              </w:rPr>
              <w:t>functionality by repeating the attribute in the </w:t>
            </w:r>
            <w:r>
              <w:rPr>
                <w:color w:val="231F20"/>
                <w:sz w:val="18"/>
              </w:rPr>
              <w:t>same row</w:t>
            </w:r>
            <w:r>
              <w:rPr>
                <w:color w:val="231F20"/>
                <w:spacing w:val="31"/>
                <w:sz w:val="18"/>
              </w:rPr>
              <w:t> </w:t>
            </w:r>
            <w:r>
              <w:rPr>
                <w:color w:val="231F20"/>
                <w:sz w:val="18"/>
              </w:rPr>
              <w:t>and</w:t>
            </w:r>
            <w:r>
              <w:rPr>
                <w:color w:val="231F20"/>
                <w:spacing w:val="31"/>
                <w:sz w:val="18"/>
              </w:rPr>
              <w:t> </w:t>
            </w:r>
            <w:r>
              <w:rPr>
                <w:color w:val="231F20"/>
                <w:sz w:val="18"/>
              </w:rPr>
              <w:t>using</w:t>
            </w:r>
            <w:r>
              <w:rPr>
                <w:color w:val="231F20"/>
                <w:spacing w:val="31"/>
                <w:sz w:val="18"/>
              </w:rPr>
              <w:t> </w:t>
            </w:r>
            <w:r>
              <w:rPr>
                <w:color w:val="231F20"/>
                <w:sz w:val="18"/>
              </w:rPr>
              <w:t>the</w:t>
            </w:r>
            <w:r>
              <w:rPr>
                <w:color w:val="231F20"/>
                <w:spacing w:val="31"/>
                <w:sz w:val="18"/>
              </w:rPr>
              <w:t> </w:t>
            </w:r>
            <w:r>
              <w:rPr>
                <w:color w:val="231F20"/>
                <w:sz w:val="18"/>
              </w:rPr>
              <w:t>&gt;</w:t>
            </w:r>
            <w:r>
              <w:rPr>
                <w:color w:val="231F20"/>
                <w:spacing w:val="31"/>
                <w:sz w:val="18"/>
              </w:rPr>
              <w:t> </w:t>
            </w:r>
            <w:r>
              <w:rPr>
                <w:color w:val="231F20"/>
                <w:sz w:val="18"/>
              </w:rPr>
              <w:t>or</w:t>
            </w:r>
            <w:r>
              <w:rPr>
                <w:color w:val="231F20"/>
                <w:spacing w:val="31"/>
                <w:sz w:val="18"/>
              </w:rPr>
              <w:t> </w:t>
            </w:r>
            <w:r>
              <w:rPr>
                <w:color w:val="231F20"/>
                <w:sz w:val="18"/>
              </w:rPr>
              <w:t>&gt;=</w:t>
            </w:r>
            <w:r>
              <w:rPr>
                <w:color w:val="231F20"/>
                <w:spacing w:val="31"/>
                <w:sz w:val="18"/>
              </w:rPr>
              <w:t> </w:t>
            </w:r>
            <w:r>
              <w:rPr>
                <w:color w:val="231F20"/>
                <w:sz w:val="18"/>
              </w:rPr>
              <w:t>and</w:t>
            </w:r>
            <w:r>
              <w:rPr>
                <w:color w:val="231F20"/>
                <w:spacing w:val="31"/>
                <w:sz w:val="18"/>
              </w:rPr>
              <w:t> </w:t>
            </w:r>
            <w:r>
              <w:rPr>
                <w:color w:val="231F20"/>
                <w:sz w:val="18"/>
              </w:rPr>
              <w:t>&lt; or &lt;= operators.</w:t>
            </w:r>
          </w:p>
        </w:tc>
      </w:tr>
      <w:tr>
        <w:trPr>
          <w:trHeight w:val="808" w:hRule="atLeast"/>
        </w:trPr>
        <w:tc>
          <w:tcPr>
            <w:tcW w:w="1619" w:type="dxa"/>
          </w:tcPr>
          <w:p>
            <w:pPr>
              <w:pStyle w:val="TableParagraph"/>
              <w:spacing w:line="208" w:lineRule="exact" w:before="105"/>
              <w:ind w:left="94"/>
              <w:rPr>
                <w:rFonts w:ascii="Book Antiqua"/>
                <w:b/>
                <w:sz w:val="18"/>
              </w:rPr>
            </w:pPr>
            <w:r>
              <w:rPr>
                <w:position w:val="5"/>
              </w:rPr>
              <w:drawing>
                <wp:inline distT="0" distB="0" distL="0" distR="0">
                  <wp:extent cx="63500" cy="50800"/>
                  <wp:effectExtent l="0" t="0" r="0" b="0"/>
                  <wp:docPr id="3216" name="Image 3216"/>
                  <wp:cNvGraphicFramePr>
                    <a:graphicFrameLocks/>
                  </wp:cNvGraphicFramePr>
                  <a:graphic>
                    <a:graphicData uri="http://schemas.openxmlformats.org/drawingml/2006/picture">
                      <pic:pic>
                        <pic:nvPicPr>
                          <pic:cNvPr id="3216" name="Image 3216"/>
                          <pic:cNvPicPr/>
                        </pic:nvPicPr>
                        <pic:blipFill>
                          <a:blip r:embed="rId483" cstate="print"/>
                          <a:stretch>
                            <a:fillRect/>
                          </a:stretch>
                        </pic:blipFill>
                        <pic:spPr>
                          <a:xfrm>
                            <a:off x="0" y="0"/>
                            <a:ext cx="63500" cy="50800"/>
                          </a:xfrm>
                          <a:prstGeom prst="rect">
                            <a:avLst/>
                          </a:prstGeom>
                        </pic:spPr>
                      </pic:pic>
                    </a:graphicData>
                  </a:graphic>
                </wp:inline>
              </w:drawing>
            </w:r>
            <w:r>
              <w:rPr>
                <w:position w:val="5"/>
              </w:rPr>
            </w:r>
            <w:r>
              <w:rPr>
                <w:rFonts w:ascii="Times New Roman"/>
                <w:spacing w:val="40"/>
                <w:sz w:val="20"/>
              </w:rPr>
              <w:t> </w:t>
            </w:r>
            <w:r>
              <w:rPr>
                <w:rFonts w:ascii="Book Antiqua"/>
                <w:b/>
                <w:color w:val="231F20"/>
                <w:sz w:val="18"/>
              </w:rPr>
              <w:t>CHANGE</w:t>
            </w:r>
          </w:p>
          <w:p>
            <w:pPr>
              <w:pStyle w:val="TableParagraph"/>
              <w:spacing w:line="216" w:lineRule="auto" w:before="10"/>
              <w:ind w:left="44" w:right="11"/>
              <w:rPr>
                <w:sz w:val="18"/>
              </w:rPr>
            </w:pPr>
            <w:r>
              <w:rPr>
                <w:color w:val="231F20"/>
                <w:sz w:val="18"/>
              </w:rPr>
              <w:t>(Formula</w:t>
            </w:r>
            <w:r>
              <w:rPr>
                <w:color w:val="231F20"/>
                <w:spacing w:val="-7"/>
                <w:sz w:val="18"/>
              </w:rPr>
              <w:t> </w:t>
            </w:r>
            <w:r>
              <w:rPr>
                <w:color w:val="231F20"/>
                <w:sz w:val="18"/>
              </w:rPr>
              <w:t>editor row 1 only)</w:t>
            </w:r>
          </w:p>
        </w:tc>
        <w:tc>
          <w:tcPr>
            <w:tcW w:w="1483" w:type="dxa"/>
          </w:tcPr>
          <w:p>
            <w:pPr>
              <w:pStyle w:val="TableParagraph"/>
              <w:spacing w:before="0"/>
              <w:ind w:left="0"/>
              <w:rPr>
                <w:rFonts w:ascii="Times New Roman"/>
                <w:sz w:val="18"/>
              </w:rPr>
            </w:pP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8"/>
                  <wp:effectExtent l="0" t="0" r="0" b="0"/>
                  <wp:docPr id="3217" name="Image 3217"/>
                  <wp:cNvGraphicFramePr>
                    <a:graphicFrameLocks/>
                  </wp:cNvGraphicFramePr>
                  <a:graphic>
                    <a:graphicData uri="http://schemas.openxmlformats.org/drawingml/2006/picture">
                      <pic:pic>
                        <pic:nvPicPr>
                          <pic:cNvPr id="3217" name="Image 3217"/>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p>
        </w:tc>
        <w:tc>
          <w:tcPr>
            <w:tcW w:w="1468" w:type="dxa"/>
          </w:tcPr>
          <w:p>
            <w:pPr>
              <w:pStyle w:val="TableParagraph"/>
              <w:spacing w:before="0"/>
              <w:ind w:left="0"/>
              <w:rPr>
                <w:rFonts w:ascii="Times New Roman"/>
                <w:sz w:val="18"/>
              </w:rPr>
            </w:pPr>
          </w:p>
        </w:tc>
      </w:tr>
      <w:tr>
        <w:trPr>
          <w:trHeight w:val="309" w:hRule="atLeast"/>
        </w:trPr>
        <w:tc>
          <w:tcPr>
            <w:tcW w:w="1619" w:type="dxa"/>
          </w:tcPr>
          <w:p>
            <w:pPr>
              <w:pStyle w:val="TableParagraph"/>
              <w:spacing w:before="45"/>
              <w:ind w:left="44"/>
              <w:rPr>
                <w:rFonts w:ascii="Book Antiqua"/>
                <w:b/>
                <w:sz w:val="18"/>
              </w:rPr>
            </w:pPr>
            <w:r>
              <w:rPr/>
              <w:drawing>
                <wp:inline distT="0" distB="0" distL="0" distR="0">
                  <wp:extent cx="88900" cy="63500"/>
                  <wp:effectExtent l="0" t="0" r="0" b="0"/>
                  <wp:docPr id="3218" name="Image 3218"/>
                  <wp:cNvGraphicFramePr>
                    <a:graphicFrameLocks/>
                  </wp:cNvGraphicFramePr>
                  <a:graphic>
                    <a:graphicData uri="http://schemas.openxmlformats.org/drawingml/2006/picture">
                      <pic:pic>
                        <pic:nvPicPr>
                          <pic:cNvPr id="3218" name="Image 3218"/>
                          <pic:cNvPicPr/>
                        </pic:nvPicPr>
                        <pic:blipFill>
                          <a:blip r:embed="rId156" cstate="print"/>
                          <a:stretch>
                            <a:fillRect/>
                          </a:stretch>
                        </pic:blipFill>
                        <pic:spPr>
                          <a:xfrm>
                            <a:off x="0" y="0"/>
                            <a:ext cx="88900" cy="63500"/>
                          </a:xfrm>
                          <a:prstGeom prst="rect">
                            <a:avLst/>
                          </a:prstGeom>
                        </pic:spPr>
                      </pic:pic>
                    </a:graphicData>
                  </a:graphic>
                </wp:inline>
              </w:drawing>
            </w:r>
            <w:r>
              <w:rPr/>
            </w:r>
            <w:r>
              <w:rPr>
                <w:rFonts w:ascii="Times New Roman"/>
                <w:spacing w:val="40"/>
                <w:sz w:val="20"/>
              </w:rPr>
              <w:t> </w:t>
            </w:r>
            <w:r>
              <w:rPr>
                <w:rFonts w:ascii="Book Antiqua"/>
                <w:b/>
                <w:color w:val="231F20"/>
                <w:sz w:val="18"/>
              </w:rPr>
              <w:t>DATE</w:t>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8"/>
                  <wp:effectExtent l="0" t="0" r="0" b="0"/>
                  <wp:docPr id="3219" name="Image 3219"/>
                  <wp:cNvGraphicFramePr>
                    <a:graphicFrameLocks/>
                  </wp:cNvGraphicFramePr>
                  <a:graphic>
                    <a:graphicData uri="http://schemas.openxmlformats.org/drawingml/2006/picture">
                      <pic:pic>
                        <pic:nvPicPr>
                          <pic:cNvPr id="3219" name="Image 3219"/>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position w:val="-2"/>
                <w:sz w:val="16"/>
              </w:rPr>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8"/>
                  <wp:effectExtent l="0" t="0" r="0" b="0"/>
                  <wp:docPr id="3220" name="Image 3220"/>
                  <wp:cNvGraphicFramePr>
                    <a:graphicFrameLocks/>
                  </wp:cNvGraphicFramePr>
                  <a:graphic>
                    <a:graphicData uri="http://schemas.openxmlformats.org/drawingml/2006/picture">
                      <pic:pic>
                        <pic:nvPicPr>
                          <pic:cNvPr id="3220" name="Image 3220"/>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8"/>
                  <wp:effectExtent l="0" t="0" r="0" b="0"/>
                  <wp:docPr id="3221" name="Image 3221"/>
                  <wp:cNvGraphicFramePr>
                    <a:graphicFrameLocks/>
                  </wp:cNvGraphicFramePr>
                  <a:graphic>
                    <a:graphicData uri="http://schemas.openxmlformats.org/drawingml/2006/picture">
                      <pic:pic>
                        <pic:nvPicPr>
                          <pic:cNvPr id="3221" name="Image 3221"/>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position w:val="-2"/>
                <w:sz w:val="16"/>
              </w:rPr>
            </w:r>
          </w:p>
        </w:tc>
        <w:tc>
          <w:tcPr>
            <w:tcW w:w="1468" w:type="dxa"/>
          </w:tcPr>
          <w:p>
            <w:pPr>
              <w:pStyle w:val="TableParagraph"/>
              <w:spacing w:before="2"/>
              <w:ind w:left="0"/>
              <w:rPr>
                <w:rFonts w:ascii="Arial"/>
                <w:i/>
                <w:sz w:val="8"/>
              </w:rPr>
            </w:pPr>
          </w:p>
          <w:p>
            <w:pPr>
              <w:pStyle w:val="TableParagraph"/>
              <w:spacing w:line="160" w:lineRule="exact" w:before="0"/>
              <w:ind w:left="57"/>
              <w:rPr>
                <w:rFonts w:ascii="Arial"/>
                <w:sz w:val="16"/>
              </w:rPr>
            </w:pPr>
            <w:r>
              <w:rPr>
                <w:rFonts w:ascii="Arial"/>
                <w:position w:val="-2"/>
                <w:sz w:val="16"/>
              </w:rPr>
              <w:drawing>
                <wp:inline distT="0" distB="0" distL="0" distR="0">
                  <wp:extent cx="102108" cy="102108"/>
                  <wp:effectExtent l="0" t="0" r="0" b="0"/>
                  <wp:docPr id="3222" name="Image 3222"/>
                  <wp:cNvGraphicFramePr>
                    <a:graphicFrameLocks/>
                  </wp:cNvGraphicFramePr>
                  <a:graphic>
                    <a:graphicData uri="http://schemas.openxmlformats.org/drawingml/2006/picture">
                      <pic:pic>
                        <pic:nvPicPr>
                          <pic:cNvPr id="3222" name="Image 3222"/>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position w:val="-2"/>
                <w:sz w:val="16"/>
              </w:rPr>
            </w:r>
          </w:p>
        </w:tc>
      </w:tr>
      <w:tr>
        <w:trPr>
          <w:trHeight w:val="309" w:hRule="atLeast"/>
        </w:trPr>
        <w:tc>
          <w:tcPr>
            <w:tcW w:w="1619" w:type="dxa"/>
          </w:tcPr>
          <w:p>
            <w:pPr>
              <w:pStyle w:val="TableParagraph"/>
              <w:spacing w:before="45"/>
              <w:ind w:left="44"/>
              <w:rPr>
                <w:rFonts w:ascii="Book Antiqua"/>
                <w:b/>
                <w:sz w:val="18"/>
              </w:rPr>
            </w:pPr>
            <w:r>
              <w:rPr/>
              <w:drawing>
                <wp:inline distT="0" distB="0" distL="0" distR="0">
                  <wp:extent cx="63500" cy="63500"/>
                  <wp:effectExtent l="0" t="0" r="0" b="0"/>
                  <wp:docPr id="3223" name="Image 3223"/>
                  <wp:cNvGraphicFramePr>
                    <a:graphicFrameLocks/>
                  </wp:cNvGraphicFramePr>
                  <a:graphic>
                    <a:graphicData uri="http://schemas.openxmlformats.org/drawingml/2006/picture">
                      <pic:pic>
                        <pic:nvPicPr>
                          <pic:cNvPr id="3223" name="Image 3223"/>
                          <pic:cNvPicPr/>
                        </pic:nvPicPr>
                        <pic:blipFill>
                          <a:blip r:embed="rId484"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ISNULL</w:t>
            </w: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24" name="Image 3224"/>
                  <wp:cNvGraphicFramePr>
                    <a:graphicFrameLocks/>
                  </wp:cNvGraphicFramePr>
                  <a:graphic>
                    <a:graphicData uri="http://schemas.openxmlformats.org/drawingml/2006/picture">
                      <pic:pic>
                        <pic:nvPicPr>
                          <pic:cNvPr id="3224" name="Image 3224"/>
                          <pic:cNvPicPr/>
                        </pic:nvPicPr>
                        <pic:blipFill>
                          <a:blip r:embed="rId479"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25" name="Image 3225"/>
                  <wp:cNvGraphicFramePr>
                    <a:graphicFrameLocks/>
                  </wp:cNvGraphicFramePr>
                  <a:graphic>
                    <a:graphicData uri="http://schemas.openxmlformats.org/drawingml/2006/picture">
                      <pic:pic>
                        <pic:nvPicPr>
                          <pic:cNvPr id="3225" name="Image 3225"/>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26" name="Image 3226"/>
                  <wp:cNvGraphicFramePr>
                    <a:graphicFrameLocks/>
                  </wp:cNvGraphicFramePr>
                  <a:graphic>
                    <a:graphicData uri="http://schemas.openxmlformats.org/drawingml/2006/picture">
                      <pic:pic>
                        <pic:nvPicPr>
                          <pic:cNvPr id="3226" name="Image 3226"/>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0"/>
              <w:ind w:left="0"/>
              <w:rPr>
                <w:rFonts w:ascii="Times New Roman"/>
                <w:sz w:val="18"/>
              </w:rPr>
            </w:pPr>
          </w:p>
        </w:tc>
        <w:tc>
          <w:tcPr>
            <w:tcW w:w="1468" w:type="dxa"/>
          </w:tcPr>
          <w:p>
            <w:pPr>
              <w:pStyle w:val="TableParagraph"/>
              <w:spacing w:before="0"/>
              <w:ind w:left="0"/>
              <w:rPr>
                <w:rFonts w:ascii="Times New Roman"/>
                <w:sz w:val="18"/>
              </w:rPr>
            </w:pPr>
          </w:p>
        </w:tc>
      </w:tr>
      <w:tr>
        <w:trPr>
          <w:trHeight w:val="748" w:hRule="atLeast"/>
        </w:trPr>
        <w:tc>
          <w:tcPr>
            <w:tcW w:w="1619" w:type="dxa"/>
          </w:tcPr>
          <w:p>
            <w:pPr>
              <w:pStyle w:val="TableParagraph"/>
              <w:spacing w:line="208" w:lineRule="exact" w:before="45"/>
              <w:ind w:left="44"/>
              <w:rPr>
                <w:rFonts w:ascii="Book Antiqua"/>
                <w:b/>
                <w:sz w:val="18"/>
              </w:rPr>
            </w:pPr>
            <w:r>
              <w:rPr>
                <w:position w:val="-3"/>
              </w:rPr>
              <w:drawing>
                <wp:inline distT="0" distB="0" distL="0" distR="0">
                  <wp:extent cx="101600" cy="101600"/>
                  <wp:effectExtent l="0" t="0" r="0" b="0"/>
                  <wp:docPr id="3227" name="Image 3227"/>
                  <wp:cNvGraphicFramePr>
                    <a:graphicFrameLocks/>
                  </wp:cNvGraphicFramePr>
                  <a:graphic>
                    <a:graphicData uri="http://schemas.openxmlformats.org/drawingml/2006/picture">
                      <pic:pic>
                        <pic:nvPicPr>
                          <pic:cNvPr id="3227" name="Image 3227"/>
                          <pic:cNvPicPr/>
                        </pic:nvPicPr>
                        <pic:blipFill>
                          <a:blip r:embed="rId109"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MISSING</w:t>
            </w:r>
          </w:p>
          <w:p>
            <w:pPr>
              <w:pStyle w:val="TableParagraph"/>
              <w:spacing w:line="216" w:lineRule="auto" w:before="10"/>
              <w:ind w:left="44" w:right="11"/>
              <w:rPr>
                <w:sz w:val="18"/>
              </w:rPr>
            </w:pPr>
            <w:r>
              <w:rPr>
                <w:color w:val="231F20"/>
                <w:sz w:val="18"/>
              </w:rPr>
              <w:t>(Formula</w:t>
            </w:r>
            <w:r>
              <w:rPr>
                <w:color w:val="231F20"/>
                <w:spacing w:val="-7"/>
                <w:sz w:val="18"/>
              </w:rPr>
              <w:t> </w:t>
            </w:r>
            <w:r>
              <w:rPr>
                <w:color w:val="231F20"/>
                <w:sz w:val="18"/>
              </w:rPr>
              <w:t>editor row 1 only)</w:t>
            </w:r>
          </w:p>
        </w:tc>
        <w:tc>
          <w:tcPr>
            <w:tcW w:w="1483" w:type="dxa"/>
          </w:tcPr>
          <w:p>
            <w:pPr>
              <w:pStyle w:val="TableParagraph"/>
              <w:spacing w:before="0"/>
              <w:ind w:left="0"/>
              <w:rPr>
                <w:rFonts w:ascii="Times New Roman"/>
                <w:sz w:val="18"/>
              </w:rPr>
            </w:pP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28" name="Image 3228"/>
                  <wp:cNvGraphicFramePr>
                    <a:graphicFrameLocks/>
                  </wp:cNvGraphicFramePr>
                  <a:graphic>
                    <a:graphicData uri="http://schemas.openxmlformats.org/drawingml/2006/picture">
                      <pic:pic>
                        <pic:nvPicPr>
                          <pic:cNvPr id="3228" name="Image 3228"/>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68" w:type="dxa"/>
          </w:tcPr>
          <w:p>
            <w:pPr>
              <w:pStyle w:val="TableParagraph"/>
              <w:spacing w:before="0"/>
              <w:ind w:left="0"/>
              <w:rPr>
                <w:rFonts w:ascii="Times New Roman"/>
                <w:sz w:val="18"/>
              </w:rPr>
            </w:pPr>
          </w:p>
        </w:tc>
      </w:tr>
      <w:tr>
        <w:trPr>
          <w:trHeight w:val="808" w:hRule="atLeast"/>
        </w:trPr>
        <w:tc>
          <w:tcPr>
            <w:tcW w:w="1619" w:type="dxa"/>
          </w:tcPr>
          <w:p>
            <w:pPr>
              <w:pStyle w:val="TableParagraph"/>
              <w:spacing w:line="208" w:lineRule="exact" w:before="105"/>
              <w:ind w:left="114"/>
              <w:rPr>
                <w:rFonts w:ascii="Book Antiqua"/>
                <w:b/>
                <w:sz w:val="18"/>
              </w:rPr>
            </w:pPr>
            <w:r>
              <w:rPr>
                <w:position w:val="4"/>
              </w:rPr>
              <w:drawing>
                <wp:inline distT="0" distB="0" distL="0" distR="0">
                  <wp:extent cx="50800" cy="50800"/>
                  <wp:effectExtent l="0" t="0" r="0" b="0"/>
                  <wp:docPr id="3229" name="Image 3229"/>
                  <wp:cNvGraphicFramePr>
                    <a:graphicFrameLocks/>
                  </wp:cNvGraphicFramePr>
                  <a:graphic>
                    <a:graphicData uri="http://schemas.openxmlformats.org/drawingml/2006/picture">
                      <pic:pic>
                        <pic:nvPicPr>
                          <pic:cNvPr id="3229" name="Image 3229"/>
                          <pic:cNvPicPr/>
                        </pic:nvPicPr>
                        <pic:blipFill>
                          <a:blip r:embed="rId485" cstate="print"/>
                          <a:stretch>
                            <a:fillRect/>
                          </a:stretch>
                        </pic:blipFill>
                        <pic:spPr>
                          <a:xfrm>
                            <a:off x="0" y="0"/>
                            <a:ext cx="50800" cy="50800"/>
                          </a:xfrm>
                          <a:prstGeom prst="rect">
                            <a:avLst/>
                          </a:prstGeom>
                        </pic:spPr>
                      </pic:pic>
                    </a:graphicData>
                  </a:graphic>
                </wp:inline>
              </w:drawing>
            </w:r>
            <w:r>
              <w:rPr>
                <w:position w:val="4"/>
              </w:rPr>
            </w:r>
            <w:r>
              <w:rPr>
                <w:rFonts w:ascii="Times New Roman"/>
                <w:spacing w:val="40"/>
                <w:sz w:val="20"/>
              </w:rPr>
              <w:t> </w:t>
            </w:r>
            <w:r>
              <w:rPr>
                <w:rFonts w:ascii="Book Antiqua"/>
                <w:b/>
                <w:color w:val="231F20"/>
                <w:sz w:val="18"/>
              </w:rPr>
              <w:t>PCTCHANGE</w:t>
            </w:r>
          </w:p>
          <w:p>
            <w:pPr>
              <w:pStyle w:val="TableParagraph"/>
              <w:spacing w:line="216" w:lineRule="auto" w:before="10"/>
              <w:ind w:left="44" w:right="11"/>
              <w:rPr>
                <w:sz w:val="18"/>
              </w:rPr>
            </w:pPr>
            <w:r>
              <w:rPr>
                <w:color w:val="231F20"/>
                <w:sz w:val="18"/>
              </w:rPr>
              <w:t>(Formula</w:t>
            </w:r>
            <w:r>
              <w:rPr>
                <w:color w:val="231F20"/>
                <w:spacing w:val="-7"/>
                <w:sz w:val="18"/>
              </w:rPr>
              <w:t> </w:t>
            </w:r>
            <w:r>
              <w:rPr>
                <w:color w:val="231F20"/>
                <w:sz w:val="18"/>
              </w:rPr>
              <w:t>editor row 1 only)</w:t>
            </w:r>
          </w:p>
        </w:tc>
        <w:tc>
          <w:tcPr>
            <w:tcW w:w="1483" w:type="dxa"/>
          </w:tcPr>
          <w:p>
            <w:pPr>
              <w:pStyle w:val="TableParagraph"/>
              <w:spacing w:before="0"/>
              <w:ind w:left="0"/>
              <w:rPr>
                <w:rFonts w:ascii="Times New Roman"/>
                <w:sz w:val="18"/>
              </w:rPr>
            </w:pP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30" name="Image 3230"/>
                  <wp:cNvGraphicFramePr>
                    <a:graphicFrameLocks/>
                  </wp:cNvGraphicFramePr>
                  <a:graphic>
                    <a:graphicData uri="http://schemas.openxmlformats.org/drawingml/2006/picture">
                      <pic:pic>
                        <pic:nvPicPr>
                          <pic:cNvPr id="3230" name="Image 3230"/>
                          <pic:cNvPicPr/>
                        </pic:nvPicPr>
                        <pic:blipFill>
                          <a:blip r:embed="rId479"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68" w:type="dxa"/>
          </w:tcPr>
          <w:p>
            <w:pPr>
              <w:pStyle w:val="TableParagraph"/>
              <w:spacing w:before="0"/>
              <w:ind w:left="0"/>
              <w:rPr>
                <w:rFonts w:ascii="Times New Roman"/>
                <w:sz w:val="18"/>
              </w:rPr>
            </w:pPr>
          </w:p>
        </w:tc>
      </w:tr>
      <w:tr>
        <w:trPr>
          <w:trHeight w:val="309" w:hRule="atLeast"/>
        </w:trPr>
        <w:tc>
          <w:tcPr>
            <w:tcW w:w="1619" w:type="dxa"/>
          </w:tcPr>
          <w:p>
            <w:pPr>
              <w:pStyle w:val="TableParagraph"/>
              <w:spacing w:before="45"/>
              <w:ind w:left="74"/>
              <w:rPr>
                <w:rFonts w:ascii="Book Antiqua"/>
                <w:b/>
                <w:sz w:val="18"/>
              </w:rPr>
            </w:pPr>
            <w:r>
              <w:rPr>
                <w:position w:val="-2"/>
              </w:rPr>
              <w:drawing>
                <wp:inline distT="0" distB="0" distL="0" distR="0">
                  <wp:extent cx="69850" cy="69850"/>
                  <wp:effectExtent l="0" t="0" r="0" b="0"/>
                  <wp:docPr id="3231" name="Image 3231"/>
                  <wp:cNvGraphicFramePr>
                    <a:graphicFrameLocks/>
                  </wp:cNvGraphicFramePr>
                  <a:graphic>
                    <a:graphicData uri="http://schemas.openxmlformats.org/drawingml/2006/picture">
                      <pic:pic>
                        <pic:nvPicPr>
                          <pic:cNvPr id="3231" name="Image 3231"/>
                          <pic:cNvPicPr/>
                        </pic:nvPicPr>
                        <pic:blipFill>
                          <a:blip r:embed="rId486" cstate="print"/>
                          <a:stretch>
                            <a:fillRect/>
                          </a:stretch>
                        </pic:blipFill>
                        <pic:spPr>
                          <a:xfrm>
                            <a:off x="0" y="0"/>
                            <a:ext cx="69850" cy="69850"/>
                          </a:xfrm>
                          <a:prstGeom prst="rect">
                            <a:avLst/>
                          </a:prstGeom>
                        </pic:spPr>
                      </pic:pic>
                    </a:graphicData>
                  </a:graphic>
                </wp:inline>
              </w:drawing>
            </w:r>
            <w:r>
              <w:rPr>
                <w:position w:val="-2"/>
              </w:rPr>
            </w:r>
            <w:r>
              <w:rPr>
                <w:rFonts w:ascii="Times New Roman"/>
                <w:spacing w:val="40"/>
                <w:sz w:val="20"/>
              </w:rPr>
              <w:t> </w:t>
            </w:r>
            <w:r>
              <w:rPr>
                <w:rFonts w:ascii="Book Antiqua"/>
                <w:b/>
                <w:color w:val="231F20"/>
                <w:sz w:val="18"/>
              </w:rPr>
              <w:t>REGEX</w:t>
            </w: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32" name="Image 3232"/>
                  <wp:cNvGraphicFramePr>
                    <a:graphicFrameLocks/>
                  </wp:cNvGraphicFramePr>
                  <a:graphic>
                    <a:graphicData uri="http://schemas.openxmlformats.org/drawingml/2006/picture">
                      <pic:pic>
                        <pic:nvPicPr>
                          <pic:cNvPr id="3232" name="Image 3232"/>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33" name="Image 3233"/>
                  <wp:cNvGraphicFramePr>
                    <a:graphicFrameLocks/>
                  </wp:cNvGraphicFramePr>
                  <a:graphic>
                    <a:graphicData uri="http://schemas.openxmlformats.org/drawingml/2006/picture">
                      <pic:pic>
                        <pic:nvPicPr>
                          <pic:cNvPr id="3233" name="Image 3233"/>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0"/>
              <w:ind w:left="0"/>
              <w:rPr>
                <w:rFonts w:ascii="Times New Roman"/>
                <w:sz w:val="18"/>
              </w:rPr>
            </w:pPr>
          </w:p>
        </w:tc>
        <w:tc>
          <w:tcPr>
            <w:tcW w:w="1468" w:type="dxa"/>
          </w:tcPr>
          <w:p>
            <w:pPr>
              <w:pStyle w:val="TableParagraph"/>
              <w:spacing w:before="0"/>
              <w:ind w:left="0"/>
              <w:rPr>
                <w:rFonts w:ascii="Times New Roman"/>
                <w:sz w:val="18"/>
              </w:rPr>
            </w:pPr>
          </w:p>
        </w:tc>
      </w:tr>
      <w:tr>
        <w:trPr>
          <w:trHeight w:val="309" w:hRule="atLeast"/>
        </w:trPr>
        <w:tc>
          <w:tcPr>
            <w:tcW w:w="1619" w:type="dxa"/>
          </w:tcPr>
          <w:p>
            <w:pPr>
              <w:pStyle w:val="TableParagraph"/>
              <w:spacing w:before="45"/>
              <w:ind w:left="44"/>
              <w:rPr>
                <w:rFonts w:ascii="Book Antiqua"/>
                <w:b/>
                <w:sz w:val="18"/>
              </w:rPr>
            </w:pPr>
            <w:r>
              <w:rPr/>
              <w:drawing>
                <wp:inline distT="0" distB="0" distL="0" distR="0">
                  <wp:extent cx="63500" cy="63500"/>
                  <wp:effectExtent l="0" t="0" r="0" b="0"/>
                  <wp:docPr id="3234" name="Image 3234"/>
                  <wp:cNvGraphicFramePr>
                    <a:graphicFrameLocks/>
                  </wp:cNvGraphicFramePr>
                  <a:graphic>
                    <a:graphicData uri="http://schemas.openxmlformats.org/drawingml/2006/picture">
                      <pic:pic>
                        <pic:nvPicPr>
                          <pic:cNvPr id="3234" name="Image 3234"/>
                          <pic:cNvPicPr/>
                        </pic:nvPicPr>
                        <pic:blipFill>
                          <a:blip r:embed="rId158"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SCAN</w:t>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35" name="Image 3235"/>
                  <wp:cNvGraphicFramePr>
                    <a:graphicFrameLocks/>
                  </wp:cNvGraphicFramePr>
                  <a:graphic>
                    <a:graphicData uri="http://schemas.openxmlformats.org/drawingml/2006/picture">
                      <pic:pic>
                        <pic:nvPicPr>
                          <pic:cNvPr id="3235" name="Image 3235"/>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36" name="Image 3236"/>
                  <wp:cNvGraphicFramePr>
                    <a:graphicFrameLocks/>
                  </wp:cNvGraphicFramePr>
                  <a:graphic>
                    <a:graphicData uri="http://schemas.openxmlformats.org/drawingml/2006/picture">
                      <pic:pic>
                        <pic:nvPicPr>
                          <pic:cNvPr id="3236" name="Image 3236"/>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37" name="Image 3237"/>
                  <wp:cNvGraphicFramePr>
                    <a:graphicFrameLocks/>
                  </wp:cNvGraphicFramePr>
                  <a:graphic>
                    <a:graphicData uri="http://schemas.openxmlformats.org/drawingml/2006/picture">
                      <pic:pic>
                        <pic:nvPicPr>
                          <pic:cNvPr id="3237" name="Image 3237"/>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38" name="Image 3238"/>
                  <wp:cNvGraphicFramePr>
                    <a:graphicFrameLocks/>
                  </wp:cNvGraphicFramePr>
                  <a:graphic>
                    <a:graphicData uri="http://schemas.openxmlformats.org/drawingml/2006/picture">
                      <pic:pic>
                        <pic:nvPicPr>
                          <pic:cNvPr id="3238" name="Image 3238"/>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39" name="Image 3239"/>
                  <wp:cNvGraphicFramePr>
                    <a:graphicFrameLocks/>
                  </wp:cNvGraphicFramePr>
                  <a:graphic>
                    <a:graphicData uri="http://schemas.openxmlformats.org/drawingml/2006/picture">
                      <pic:pic>
                        <pic:nvPicPr>
                          <pic:cNvPr id="3239" name="Image 3239"/>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40" name="Image 3240"/>
                  <wp:cNvGraphicFramePr>
                    <a:graphicFrameLocks/>
                  </wp:cNvGraphicFramePr>
                  <a:graphic>
                    <a:graphicData uri="http://schemas.openxmlformats.org/drawingml/2006/picture">
                      <pic:pic>
                        <pic:nvPicPr>
                          <pic:cNvPr id="3240" name="Image 3240"/>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68" w:type="dxa"/>
          </w:tcPr>
          <w:p>
            <w:pPr>
              <w:pStyle w:val="TableParagraph"/>
              <w:spacing w:before="2"/>
              <w:ind w:left="0"/>
              <w:rPr>
                <w:rFonts w:ascii="Arial"/>
                <w:i/>
                <w:sz w:val="8"/>
              </w:rPr>
            </w:pPr>
          </w:p>
          <w:p>
            <w:pPr>
              <w:pStyle w:val="TableParagraph"/>
              <w:spacing w:line="160" w:lineRule="exact" w:before="0"/>
              <w:ind w:left="57"/>
              <w:rPr>
                <w:rFonts w:ascii="Arial"/>
                <w:sz w:val="16"/>
              </w:rPr>
            </w:pPr>
            <w:r>
              <w:rPr>
                <w:rFonts w:ascii="Arial"/>
                <w:position w:val="-2"/>
                <w:sz w:val="16"/>
              </w:rPr>
              <w:drawing>
                <wp:inline distT="0" distB="0" distL="0" distR="0">
                  <wp:extent cx="102108" cy="102107"/>
                  <wp:effectExtent l="0" t="0" r="0" b="0"/>
                  <wp:docPr id="3241" name="Image 3241"/>
                  <wp:cNvGraphicFramePr>
                    <a:graphicFrameLocks/>
                  </wp:cNvGraphicFramePr>
                  <a:graphic>
                    <a:graphicData uri="http://schemas.openxmlformats.org/drawingml/2006/picture">
                      <pic:pic>
                        <pic:nvPicPr>
                          <pic:cNvPr id="3241" name="Image 3241"/>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42" name="Image 3242"/>
                  <wp:cNvGraphicFramePr>
                    <a:graphicFrameLocks/>
                  </wp:cNvGraphicFramePr>
                  <a:graphic>
                    <a:graphicData uri="http://schemas.openxmlformats.org/drawingml/2006/picture">
                      <pic:pic>
                        <pic:nvPicPr>
                          <pic:cNvPr id="3242" name="Image 3242"/>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r>
      <w:tr>
        <w:trPr>
          <w:trHeight w:val="309" w:hRule="atLeast"/>
        </w:trPr>
        <w:tc>
          <w:tcPr>
            <w:tcW w:w="1619" w:type="dxa"/>
          </w:tcPr>
          <w:p>
            <w:pPr>
              <w:pStyle w:val="TableParagraph"/>
              <w:spacing w:before="45"/>
              <w:ind w:left="44"/>
              <w:rPr>
                <w:rFonts w:ascii="Book Antiqua"/>
                <w:b/>
                <w:sz w:val="18"/>
              </w:rPr>
            </w:pPr>
            <w:r>
              <w:rPr/>
              <w:drawing>
                <wp:inline distT="0" distB="0" distL="0" distR="0">
                  <wp:extent cx="63500" cy="63500"/>
                  <wp:effectExtent l="0" t="0" r="0" b="0"/>
                  <wp:docPr id="3243" name="Image 3243"/>
                  <wp:cNvGraphicFramePr>
                    <a:graphicFrameLocks/>
                  </wp:cNvGraphicFramePr>
                  <a:graphic>
                    <a:graphicData uri="http://schemas.openxmlformats.org/drawingml/2006/picture">
                      <pic:pic>
                        <pic:nvPicPr>
                          <pic:cNvPr id="3243" name="Image 3243"/>
                          <pic:cNvPicPr/>
                        </pic:nvPicPr>
                        <pic:blipFill>
                          <a:blip r:embed="rId159"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STR</w:t>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44" name="Image 3244"/>
                  <wp:cNvGraphicFramePr>
                    <a:graphicFrameLocks/>
                  </wp:cNvGraphicFramePr>
                  <a:graphic>
                    <a:graphicData uri="http://schemas.openxmlformats.org/drawingml/2006/picture">
                      <pic:pic>
                        <pic:nvPicPr>
                          <pic:cNvPr id="3244" name="Image 3244"/>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45" name="Image 3245"/>
                  <wp:cNvGraphicFramePr>
                    <a:graphicFrameLocks/>
                  </wp:cNvGraphicFramePr>
                  <a:graphic>
                    <a:graphicData uri="http://schemas.openxmlformats.org/drawingml/2006/picture">
                      <pic:pic>
                        <pic:nvPicPr>
                          <pic:cNvPr id="3245" name="Image 3245"/>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46" name="Image 3246"/>
                  <wp:cNvGraphicFramePr>
                    <a:graphicFrameLocks/>
                  </wp:cNvGraphicFramePr>
                  <a:graphic>
                    <a:graphicData uri="http://schemas.openxmlformats.org/drawingml/2006/picture">
                      <pic:pic>
                        <pic:nvPicPr>
                          <pic:cNvPr id="3246" name="Image 3246"/>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47" name="Image 3247"/>
                  <wp:cNvGraphicFramePr>
                    <a:graphicFrameLocks/>
                  </wp:cNvGraphicFramePr>
                  <a:graphic>
                    <a:graphicData uri="http://schemas.openxmlformats.org/drawingml/2006/picture">
                      <pic:pic>
                        <pic:nvPicPr>
                          <pic:cNvPr id="3247" name="Image 3247"/>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48" name="Image 3248"/>
                  <wp:cNvGraphicFramePr>
                    <a:graphicFrameLocks/>
                  </wp:cNvGraphicFramePr>
                  <a:graphic>
                    <a:graphicData uri="http://schemas.openxmlformats.org/drawingml/2006/picture">
                      <pic:pic>
                        <pic:nvPicPr>
                          <pic:cNvPr id="3248" name="Image 3248"/>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49" name="Image 3249"/>
                  <wp:cNvGraphicFramePr>
                    <a:graphicFrameLocks/>
                  </wp:cNvGraphicFramePr>
                  <a:graphic>
                    <a:graphicData uri="http://schemas.openxmlformats.org/drawingml/2006/picture">
                      <pic:pic>
                        <pic:nvPicPr>
                          <pic:cNvPr id="3249" name="Image 3249"/>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68" w:type="dxa"/>
          </w:tcPr>
          <w:p>
            <w:pPr>
              <w:pStyle w:val="TableParagraph"/>
              <w:spacing w:before="2"/>
              <w:ind w:left="0"/>
              <w:rPr>
                <w:rFonts w:ascii="Arial"/>
                <w:i/>
                <w:sz w:val="8"/>
              </w:rPr>
            </w:pPr>
          </w:p>
          <w:p>
            <w:pPr>
              <w:pStyle w:val="TableParagraph"/>
              <w:spacing w:line="160" w:lineRule="exact" w:before="0"/>
              <w:ind w:left="57"/>
              <w:rPr>
                <w:rFonts w:ascii="Arial"/>
                <w:sz w:val="16"/>
              </w:rPr>
            </w:pPr>
            <w:r>
              <w:rPr>
                <w:rFonts w:ascii="Arial"/>
                <w:position w:val="-2"/>
                <w:sz w:val="16"/>
              </w:rPr>
              <w:drawing>
                <wp:inline distT="0" distB="0" distL="0" distR="0">
                  <wp:extent cx="102108" cy="102107"/>
                  <wp:effectExtent l="0" t="0" r="0" b="0"/>
                  <wp:docPr id="3250" name="Image 3250"/>
                  <wp:cNvGraphicFramePr>
                    <a:graphicFrameLocks/>
                  </wp:cNvGraphicFramePr>
                  <a:graphic>
                    <a:graphicData uri="http://schemas.openxmlformats.org/drawingml/2006/picture">
                      <pic:pic>
                        <pic:nvPicPr>
                          <pic:cNvPr id="3250" name="Image 3250"/>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51" name="Image 3251"/>
                  <wp:cNvGraphicFramePr>
                    <a:graphicFrameLocks/>
                  </wp:cNvGraphicFramePr>
                  <a:graphic>
                    <a:graphicData uri="http://schemas.openxmlformats.org/drawingml/2006/picture">
                      <pic:pic>
                        <pic:nvPicPr>
                          <pic:cNvPr id="3251" name="Image 3251"/>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r>
      <w:tr>
        <w:trPr>
          <w:trHeight w:val="309" w:hRule="atLeast"/>
        </w:trPr>
        <w:tc>
          <w:tcPr>
            <w:tcW w:w="1619" w:type="dxa"/>
          </w:tcPr>
          <w:p>
            <w:pPr>
              <w:pStyle w:val="TableParagraph"/>
              <w:spacing w:before="45"/>
              <w:ind w:left="44"/>
              <w:rPr>
                <w:rFonts w:ascii="Book Antiqua"/>
                <w:b/>
                <w:sz w:val="18"/>
              </w:rPr>
            </w:pPr>
            <w:r>
              <w:rPr/>
              <w:drawing>
                <wp:inline distT="0" distB="0" distL="0" distR="0">
                  <wp:extent cx="88900" cy="88900"/>
                  <wp:effectExtent l="0" t="0" r="0" b="0"/>
                  <wp:docPr id="3252" name="Image 3252"/>
                  <wp:cNvGraphicFramePr>
                    <a:graphicFrameLocks/>
                  </wp:cNvGraphicFramePr>
                  <a:graphic>
                    <a:graphicData uri="http://schemas.openxmlformats.org/drawingml/2006/picture">
                      <pic:pic>
                        <pic:nvPicPr>
                          <pic:cNvPr id="3252" name="Image 3252"/>
                          <pic:cNvPicPr/>
                        </pic:nvPicPr>
                        <pic:blipFill>
                          <a:blip r:embed="rId487"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rFonts w:ascii="Book Antiqua"/>
                <w:b/>
                <w:color w:val="231F20"/>
                <w:position w:val="2"/>
                <w:sz w:val="18"/>
              </w:rPr>
              <w:t>TIME</w:t>
            </w: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53" name="Image 3253"/>
                  <wp:cNvGraphicFramePr>
                    <a:graphicFrameLocks/>
                  </wp:cNvGraphicFramePr>
                  <a:graphic>
                    <a:graphicData uri="http://schemas.openxmlformats.org/drawingml/2006/picture">
                      <pic:pic>
                        <pic:nvPicPr>
                          <pic:cNvPr id="3253" name="Image 3253"/>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54" name="Image 3254"/>
                  <wp:cNvGraphicFramePr>
                    <a:graphicFrameLocks/>
                  </wp:cNvGraphicFramePr>
                  <a:graphic>
                    <a:graphicData uri="http://schemas.openxmlformats.org/drawingml/2006/picture">
                      <pic:pic>
                        <pic:nvPicPr>
                          <pic:cNvPr id="3254" name="Image 3254"/>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68" w:type="dxa"/>
          </w:tcPr>
          <w:p>
            <w:pPr>
              <w:pStyle w:val="TableParagraph"/>
              <w:spacing w:before="0"/>
              <w:ind w:left="0"/>
              <w:rPr>
                <w:rFonts w:ascii="Times New Roman"/>
                <w:sz w:val="18"/>
              </w:rPr>
            </w:pPr>
          </w:p>
        </w:tc>
      </w:tr>
      <w:tr>
        <w:trPr>
          <w:trHeight w:val="309" w:hRule="atLeast"/>
        </w:trPr>
        <w:tc>
          <w:tcPr>
            <w:tcW w:w="1619" w:type="dxa"/>
          </w:tcPr>
          <w:p>
            <w:pPr>
              <w:pStyle w:val="TableParagraph"/>
              <w:spacing w:before="45"/>
              <w:ind w:left="0" w:right="382"/>
              <w:jc w:val="right"/>
              <w:rPr>
                <w:rFonts w:ascii="Book Antiqua"/>
                <w:b/>
                <w:sz w:val="18"/>
              </w:rPr>
            </w:pPr>
            <w:r>
              <w:rPr>
                <w:position w:val="-3"/>
              </w:rPr>
              <w:drawing>
                <wp:inline distT="0" distB="0" distL="0" distR="0">
                  <wp:extent cx="101600" cy="101600"/>
                  <wp:effectExtent l="0" t="0" r="0" b="0"/>
                  <wp:docPr id="3255" name="Image 3255"/>
                  <wp:cNvGraphicFramePr>
                    <a:graphicFrameLocks/>
                  </wp:cNvGraphicFramePr>
                  <a:graphic>
                    <a:graphicData uri="http://schemas.openxmlformats.org/drawingml/2006/picture">
                      <pic:pic>
                        <pic:nvPicPr>
                          <pic:cNvPr id="3255" name="Image 3255"/>
                          <pic:cNvPicPr/>
                        </pic:nvPicPr>
                        <pic:blipFill>
                          <a:blip r:embed="rId80"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13"/>
                <w:sz w:val="20"/>
              </w:rPr>
              <w:t> </w:t>
            </w:r>
            <w:r>
              <w:rPr>
                <w:rFonts w:ascii="Book Antiqua"/>
                <w:b/>
                <w:color w:val="231F20"/>
                <w:sz w:val="18"/>
              </w:rPr>
              <w:t>TIMESPAN</w:t>
            </w: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56" name="Image 3256"/>
                  <wp:cNvGraphicFramePr>
                    <a:graphicFrameLocks/>
                  </wp:cNvGraphicFramePr>
                  <a:graphic>
                    <a:graphicData uri="http://schemas.openxmlformats.org/drawingml/2006/picture">
                      <pic:pic>
                        <pic:nvPicPr>
                          <pic:cNvPr id="3256" name="Image 3256"/>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83" w:type="dxa"/>
          </w:tcPr>
          <w:p>
            <w:pPr>
              <w:pStyle w:val="TableParagraph"/>
              <w:spacing w:before="0"/>
              <w:ind w:left="0"/>
              <w:rPr>
                <w:rFonts w:ascii="Times New Roman"/>
                <w:sz w:val="18"/>
              </w:rPr>
            </w:pPr>
          </w:p>
        </w:tc>
        <w:tc>
          <w:tcPr>
            <w:tcW w:w="1468" w:type="dxa"/>
          </w:tcPr>
          <w:p>
            <w:pPr>
              <w:pStyle w:val="TableParagraph"/>
              <w:spacing w:before="0"/>
              <w:ind w:left="0"/>
              <w:rPr>
                <w:rFonts w:ascii="Times New Roman"/>
                <w:sz w:val="18"/>
              </w:rPr>
            </w:pPr>
          </w:p>
        </w:tc>
      </w:tr>
      <w:tr>
        <w:trPr>
          <w:trHeight w:val="314" w:hRule="atLeast"/>
        </w:trPr>
        <w:tc>
          <w:tcPr>
            <w:tcW w:w="1619" w:type="dxa"/>
          </w:tcPr>
          <w:p>
            <w:pPr>
              <w:pStyle w:val="TableParagraph"/>
              <w:spacing w:before="45"/>
              <w:ind w:left="44"/>
              <w:rPr>
                <w:rFonts w:ascii="Book Antiqua"/>
                <w:b/>
                <w:sz w:val="18"/>
              </w:rPr>
            </w:pPr>
            <w:r>
              <w:rPr/>
              <w:drawing>
                <wp:inline distT="0" distB="0" distL="0" distR="0">
                  <wp:extent cx="63500" cy="63500"/>
                  <wp:effectExtent l="0" t="0" r="0" b="0"/>
                  <wp:docPr id="3257" name="Image 3257"/>
                  <wp:cNvGraphicFramePr>
                    <a:graphicFrameLocks/>
                  </wp:cNvGraphicFramePr>
                  <a:graphic>
                    <a:graphicData uri="http://schemas.openxmlformats.org/drawingml/2006/picture">
                      <pic:pic>
                        <pic:nvPicPr>
                          <pic:cNvPr id="3257" name="Image 3257"/>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3"/>
                <w:sz w:val="20"/>
              </w:rPr>
              <w:t> </w:t>
            </w:r>
            <w:r>
              <w:rPr>
                <w:rFonts w:ascii="Book Antiqua"/>
                <w:b/>
                <w:color w:val="231F20"/>
                <w:sz w:val="18"/>
              </w:rPr>
              <w:t>VALUE</w:t>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8"/>
                  <wp:effectExtent l="0" t="0" r="0" b="0"/>
                  <wp:docPr id="3258" name="Image 3258"/>
                  <wp:cNvGraphicFramePr>
                    <a:graphicFrameLocks/>
                  </wp:cNvGraphicFramePr>
                  <a:graphic>
                    <a:graphicData uri="http://schemas.openxmlformats.org/drawingml/2006/picture">
                      <pic:pic>
                        <pic:nvPicPr>
                          <pic:cNvPr id="3258" name="Image 3258"/>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59" name="Image 3259"/>
                  <wp:cNvGraphicFramePr>
                    <a:graphicFrameLocks/>
                  </wp:cNvGraphicFramePr>
                  <a:graphic>
                    <a:graphicData uri="http://schemas.openxmlformats.org/drawingml/2006/picture">
                      <pic:pic>
                        <pic:nvPicPr>
                          <pic:cNvPr id="3259" name="Image 3259"/>
                          <pic:cNvPicPr/>
                        </pic:nvPicPr>
                        <pic:blipFill>
                          <a:blip r:embed="rId480"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60" name="Image 3260"/>
                  <wp:cNvGraphicFramePr>
                    <a:graphicFrameLocks/>
                  </wp:cNvGraphicFramePr>
                  <a:graphic>
                    <a:graphicData uri="http://schemas.openxmlformats.org/drawingml/2006/picture">
                      <pic:pic>
                        <pic:nvPicPr>
                          <pic:cNvPr id="3260" name="Image 3260"/>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8"/>
                  <wp:effectExtent l="0" t="0" r="0" b="0"/>
                  <wp:docPr id="3261" name="Image 3261"/>
                  <wp:cNvGraphicFramePr>
                    <a:graphicFrameLocks/>
                  </wp:cNvGraphicFramePr>
                  <a:graphic>
                    <a:graphicData uri="http://schemas.openxmlformats.org/drawingml/2006/picture">
                      <pic:pic>
                        <pic:nvPicPr>
                          <pic:cNvPr id="3261" name="Image 3261"/>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62" name="Image 3262"/>
                  <wp:cNvGraphicFramePr>
                    <a:graphicFrameLocks/>
                  </wp:cNvGraphicFramePr>
                  <a:graphic>
                    <a:graphicData uri="http://schemas.openxmlformats.org/drawingml/2006/picture">
                      <pic:pic>
                        <pic:nvPicPr>
                          <pic:cNvPr id="3262" name="Image 3262"/>
                          <pic:cNvPicPr/>
                        </pic:nvPicPr>
                        <pic:blipFill>
                          <a:blip r:embed="rId480"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63" name="Image 3263"/>
                  <wp:cNvGraphicFramePr>
                    <a:graphicFrameLocks/>
                  </wp:cNvGraphicFramePr>
                  <a:graphic>
                    <a:graphicData uri="http://schemas.openxmlformats.org/drawingml/2006/picture">
                      <pic:pic>
                        <pic:nvPicPr>
                          <pic:cNvPr id="3263" name="Image 3263"/>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8"/>
                  <wp:effectExtent l="0" t="0" r="0" b="0"/>
                  <wp:docPr id="3264" name="Image 3264"/>
                  <wp:cNvGraphicFramePr>
                    <a:graphicFrameLocks/>
                  </wp:cNvGraphicFramePr>
                  <a:graphic>
                    <a:graphicData uri="http://schemas.openxmlformats.org/drawingml/2006/picture">
                      <pic:pic>
                        <pic:nvPicPr>
                          <pic:cNvPr id="3264" name="Image 3264"/>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65" name="Image 3265"/>
                  <wp:cNvGraphicFramePr>
                    <a:graphicFrameLocks/>
                  </wp:cNvGraphicFramePr>
                  <a:graphic>
                    <a:graphicData uri="http://schemas.openxmlformats.org/drawingml/2006/picture">
                      <pic:pic>
                        <pic:nvPicPr>
                          <pic:cNvPr id="3265" name="Image 3265"/>
                          <pic:cNvPicPr/>
                        </pic:nvPicPr>
                        <pic:blipFill>
                          <a:blip r:embed="rId480"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r>
              <w:rPr>
                <w:rFonts w:ascii="Times New Roman"/>
                <w:spacing w:val="63"/>
                <w:position w:val="-2"/>
                <w:sz w:val="16"/>
              </w:rPr>
              <w:t> </w:t>
            </w:r>
            <w:r>
              <w:rPr>
                <w:rFonts w:ascii="Arial"/>
                <w:spacing w:val="63"/>
                <w:position w:val="-2"/>
                <w:sz w:val="16"/>
              </w:rPr>
              <w:drawing>
                <wp:inline distT="0" distB="0" distL="0" distR="0">
                  <wp:extent cx="102108" cy="102108"/>
                  <wp:effectExtent l="0" t="0" r="0" b="0"/>
                  <wp:docPr id="3266" name="Image 3266"/>
                  <wp:cNvGraphicFramePr>
                    <a:graphicFrameLocks/>
                  </wp:cNvGraphicFramePr>
                  <a:graphic>
                    <a:graphicData uri="http://schemas.openxmlformats.org/drawingml/2006/picture">
                      <pic:pic>
                        <pic:nvPicPr>
                          <pic:cNvPr id="3266" name="Image 3266"/>
                          <pic:cNvPicPr/>
                        </pic:nvPicPr>
                        <pic:blipFill>
                          <a:blip r:embed="rId481" cstate="print"/>
                          <a:stretch>
                            <a:fillRect/>
                          </a:stretch>
                        </pic:blipFill>
                        <pic:spPr>
                          <a:xfrm>
                            <a:off x="0" y="0"/>
                            <a:ext cx="102108" cy="102108"/>
                          </a:xfrm>
                          <a:prstGeom prst="rect">
                            <a:avLst/>
                          </a:prstGeom>
                        </pic:spPr>
                      </pic:pic>
                    </a:graphicData>
                  </a:graphic>
                </wp:inline>
              </w:drawing>
            </w:r>
            <w:r>
              <w:rPr>
                <w:rFonts w:ascii="Arial"/>
                <w:spacing w:val="63"/>
                <w:position w:val="-2"/>
                <w:sz w:val="16"/>
              </w:rPr>
            </w:r>
          </w:p>
        </w:tc>
        <w:tc>
          <w:tcPr>
            <w:tcW w:w="1468" w:type="dxa"/>
          </w:tcPr>
          <w:p>
            <w:pPr>
              <w:pStyle w:val="TableParagraph"/>
              <w:spacing w:before="2"/>
              <w:ind w:left="0"/>
              <w:rPr>
                <w:rFonts w:ascii="Arial"/>
                <w:i/>
                <w:sz w:val="8"/>
              </w:rPr>
            </w:pPr>
          </w:p>
          <w:p>
            <w:pPr>
              <w:pStyle w:val="TableParagraph"/>
              <w:spacing w:line="160" w:lineRule="exact" w:before="0"/>
              <w:ind w:left="57"/>
              <w:rPr>
                <w:rFonts w:ascii="Arial"/>
                <w:sz w:val="16"/>
              </w:rPr>
            </w:pPr>
            <w:r>
              <w:rPr>
                <w:rFonts w:ascii="Arial"/>
                <w:position w:val="-2"/>
                <w:sz w:val="16"/>
              </w:rPr>
              <w:drawing>
                <wp:inline distT="0" distB="0" distL="0" distR="0">
                  <wp:extent cx="102108" cy="102108"/>
                  <wp:effectExtent l="0" t="0" r="0" b="0"/>
                  <wp:docPr id="3267" name="Image 3267"/>
                  <wp:cNvGraphicFramePr>
                    <a:graphicFrameLocks/>
                  </wp:cNvGraphicFramePr>
                  <a:graphic>
                    <a:graphicData uri="http://schemas.openxmlformats.org/drawingml/2006/picture">
                      <pic:pic>
                        <pic:nvPicPr>
                          <pic:cNvPr id="3267" name="Image 3267"/>
                          <pic:cNvPicPr/>
                        </pic:nvPicPr>
                        <pic:blipFill>
                          <a:blip r:embed="rId479" cstate="print"/>
                          <a:stretch>
                            <a:fillRect/>
                          </a:stretch>
                        </pic:blipFill>
                        <pic:spPr>
                          <a:xfrm>
                            <a:off x="0" y="0"/>
                            <a:ext cx="102108" cy="102108"/>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mc:AlternateContent>
                <mc:Choice Requires="wps">
                  <w:drawing>
                    <wp:inline distT="0" distB="0" distL="0" distR="0">
                      <wp:extent cx="231775" cy="101600"/>
                      <wp:effectExtent l="0" t="0" r="0" b="3175"/>
                      <wp:docPr id="3268" name="Group 3268"/>
                      <wp:cNvGraphicFramePr>
                        <a:graphicFrameLocks/>
                      </wp:cNvGraphicFramePr>
                      <a:graphic>
                        <a:graphicData uri="http://schemas.microsoft.com/office/word/2010/wordprocessingGroup">
                          <wpg:wgp>
                            <wpg:cNvPr id="3268" name="Group 3268"/>
                            <wpg:cNvGrpSpPr/>
                            <wpg:grpSpPr>
                              <a:xfrm>
                                <a:off x="0" y="0"/>
                                <a:ext cx="231775" cy="101600"/>
                                <a:chExt cx="231775" cy="101600"/>
                              </a:xfrm>
                            </wpg:grpSpPr>
                            <pic:pic>
                              <pic:nvPicPr>
                                <pic:cNvPr id="3269" name="Image 3269"/>
                                <pic:cNvPicPr/>
                              </pic:nvPicPr>
                              <pic:blipFill>
                                <a:blip r:embed="rId480" cstate="print"/>
                                <a:stretch>
                                  <a:fillRect/>
                                </a:stretch>
                              </pic:blipFill>
                              <pic:spPr>
                                <a:xfrm>
                                  <a:off x="0" y="0"/>
                                  <a:ext cx="101600" cy="101600"/>
                                </a:xfrm>
                                <a:prstGeom prst="rect">
                                  <a:avLst/>
                                </a:prstGeom>
                              </pic:spPr>
                            </pic:pic>
                            <pic:pic>
                              <pic:nvPicPr>
                                <pic:cNvPr id="3270" name="Image 3270"/>
                                <pic:cNvPicPr/>
                              </pic:nvPicPr>
                              <pic:blipFill>
                                <a:blip r:embed="rId481" cstate="print"/>
                                <a:stretch>
                                  <a:fillRect/>
                                </a:stretch>
                              </pic:blipFill>
                              <pic:spPr>
                                <a:xfrm>
                                  <a:off x="129887" y="0"/>
                                  <a:ext cx="101600" cy="101600"/>
                                </a:xfrm>
                                <a:prstGeom prst="rect">
                                  <a:avLst/>
                                </a:prstGeom>
                              </pic:spPr>
                            </pic:pic>
                          </wpg:wgp>
                        </a:graphicData>
                      </a:graphic>
                    </wp:inline>
                  </w:drawing>
                </mc:Choice>
                <mc:Fallback>
                  <w:pict>
                    <v:group style="width:18.25pt;height:8pt;mso-position-horizontal-relative:char;mso-position-vertical-relative:line" id="docshapegroup261" coordorigin="0,0" coordsize="365,160">
                      <v:shape style="position:absolute;left:0;top:0;width:160;height:160" type="#_x0000_t75" id="docshape262" stroked="false">
                        <v:imagedata r:id="rId480" o:title=""/>
                      </v:shape>
                      <v:shape style="position:absolute;left:204;top:0;width:160;height:160" type="#_x0000_t75" id="docshape263" stroked="false">
                        <v:imagedata r:id="rId481" o:title=""/>
                      </v:shape>
                    </v:group>
                  </w:pict>
                </mc:Fallback>
              </mc:AlternateContent>
            </w:r>
            <w:r>
              <w:rPr>
                <w:rFonts w:ascii="Arial"/>
                <w:spacing w:val="63"/>
                <w:position w:val="-2"/>
                <w:sz w:val="16"/>
              </w:rPr>
            </w:r>
          </w:p>
        </w:tc>
      </w:tr>
    </w:tbl>
    <w:p>
      <w:pPr>
        <w:spacing w:after="0" w:line="160" w:lineRule="exact"/>
        <w:rPr>
          <w:rFonts w:ascii="Arial"/>
          <w:sz w:val="16"/>
        </w:rPr>
        <w:sectPr>
          <w:footerReference w:type="default" r:id="rId477"/>
          <w:footerReference w:type="even" r:id="rId478"/>
          <w:pgSz w:w="12240" w:h="15840"/>
          <w:pgMar w:header="0" w:footer="736" w:top="1300" w:bottom="920" w:left="1000" w:right="1060"/>
          <w:pgNumType w:start="411"/>
        </w:sectPr>
      </w:pPr>
    </w:p>
    <w:p>
      <w:pPr>
        <w:spacing w:before="88"/>
        <w:ind w:left="2282" w:right="0" w:firstLine="0"/>
        <w:jc w:val="left"/>
        <w:rPr>
          <w:rFonts w:ascii="Arial"/>
          <w:i/>
          <w:sz w:val="18"/>
        </w:rPr>
      </w:pPr>
      <w:r>
        <w:rPr>
          <w:rFonts w:ascii="Arial"/>
          <w:i/>
          <w:color w:val="231F20"/>
          <w:sz w:val="18"/>
        </w:rPr>
        <w:t>Table</w:t>
      </w:r>
      <w:r>
        <w:rPr>
          <w:rFonts w:ascii="Arial"/>
          <w:i/>
          <w:color w:val="231F20"/>
          <w:spacing w:val="-6"/>
          <w:sz w:val="18"/>
        </w:rPr>
        <w:t> </w:t>
      </w:r>
      <w:r>
        <w:rPr>
          <w:rFonts w:ascii="Arial"/>
          <w:i/>
          <w:color w:val="231F20"/>
          <w:sz w:val="18"/>
        </w:rPr>
        <w:t>10.</w:t>
      </w:r>
      <w:r>
        <w:rPr>
          <w:rFonts w:ascii="Arial"/>
          <w:i/>
          <w:color w:val="231F20"/>
          <w:spacing w:val="3"/>
          <w:sz w:val="18"/>
        </w:rPr>
        <w:t> </w:t>
      </w:r>
      <w:r>
        <w:rPr>
          <w:rFonts w:ascii="Arial"/>
          <w:i/>
          <w:color w:val="231F20"/>
          <w:sz w:val="18"/>
        </w:rPr>
        <w:t>Formula</w:t>
      </w:r>
      <w:r>
        <w:rPr>
          <w:rFonts w:ascii="Arial"/>
          <w:i/>
          <w:color w:val="231F20"/>
          <w:spacing w:val="4"/>
          <w:sz w:val="18"/>
        </w:rPr>
        <w:t> </w:t>
      </w:r>
      <w:r>
        <w:rPr>
          <w:rFonts w:ascii="Arial"/>
          <w:i/>
          <w:color w:val="231F20"/>
          <w:sz w:val="18"/>
        </w:rPr>
        <w:t>functions</w:t>
      </w:r>
      <w:r>
        <w:rPr>
          <w:rFonts w:ascii="Arial"/>
          <w:i/>
          <w:color w:val="231F20"/>
          <w:spacing w:val="3"/>
          <w:sz w:val="18"/>
        </w:rPr>
        <w:t> </w:t>
      </w:r>
      <w:r>
        <w:rPr>
          <w:rFonts w:ascii="Arial"/>
          <w:i/>
          <w:color w:val="231F20"/>
          <w:sz w:val="18"/>
        </w:rPr>
        <w:t>and</w:t>
      </w:r>
      <w:r>
        <w:rPr>
          <w:rFonts w:ascii="Arial"/>
          <w:i/>
          <w:color w:val="231F20"/>
          <w:spacing w:val="4"/>
          <w:sz w:val="18"/>
        </w:rPr>
        <w:t> </w:t>
      </w:r>
      <w:r>
        <w:rPr>
          <w:rFonts w:ascii="Arial"/>
          <w:i/>
          <w:color w:val="231F20"/>
          <w:sz w:val="18"/>
        </w:rPr>
        <w:t>the</w:t>
      </w:r>
      <w:r>
        <w:rPr>
          <w:rFonts w:ascii="Arial"/>
          <w:i/>
          <w:color w:val="231F20"/>
          <w:spacing w:val="3"/>
          <w:sz w:val="18"/>
        </w:rPr>
        <w:t> </w:t>
      </w:r>
      <w:r>
        <w:rPr>
          <w:rFonts w:ascii="Arial"/>
          <w:i/>
          <w:color w:val="231F20"/>
          <w:sz w:val="18"/>
        </w:rPr>
        <w:t>editors</w:t>
      </w:r>
      <w:r>
        <w:rPr>
          <w:rFonts w:ascii="Arial"/>
          <w:i/>
          <w:color w:val="231F20"/>
          <w:spacing w:val="4"/>
          <w:sz w:val="18"/>
        </w:rPr>
        <w:t> </w:t>
      </w:r>
      <w:r>
        <w:rPr>
          <w:rFonts w:ascii="Arial"/>
          <w:i/>
          <w:color w:val="231F20"/>
          <w:sz w:val="18"/>
        </w:rPr>
        <w:t>they</w:t>
      </w:r>
      <w:r>
        <w:rPr>
          <w:rFonts w:ascii="Arial"/>
          <w:i/>
          <w:color w:val="231F20"/>
          <w:spacing w:val="3"/>
          <w:sz w:val="18"/>
        </w:rPr>
        <w:t> </w:t>
      </w:r>
      <w:r>
        <w:rPr>
          <w:rFonts w:ascii="Arial"/>
          <w:i/>
          <w:color w:val="231F20"/>
          <w:sz w:val="18"/>
        </w:rPr>
        <w:t>are</w:t>
      </w:r>
      <w:r>
        <w:rPr>
          <w:rFonts w:ascii="Arial"/>
          <w:i/>
          <w:color w:val="231F20"/>
          <w:spacing w:val="4"/>
          <w:sz w:val="18"/>
        </w:rPr>
        <w:t> </w:t>
      </w:r>
      <w:r>
        <w:rPr>
          <w:rFonts w:ascii="Arial"/>
          <w:i/>
          <w:color w:val="231F20"/>
          <w:sz w:val="18"/>
        </w:rPr>
        <w:t>available</w:t>
      </w:r>
      <w:r>
        <w:rPr>
          <w:rFonts w:ascii="Arial"/>
          <w:i/>
          <w:color w:val="231F20"/>
          <w:spacing w:val="3"/>
          <w:sz w:val="18"/>
        </w:rPr>
        <w:t> </w:t>
      </w:r>
      <w:r>
        <w:rPr>
          <w:rFonts w:ascii="Arial"/>
          <w:i/>
          <w:color w:val="231F20"/>
          <w:sz w:val="18"/>
        </w:rPr>
        <w:t>in</w:t>
      </w:r>
      <w:r>
        <w:rPr>
          <w:rFonts w:ascii="Arial"/>
          <w:i/>
          <w:color w:val="231F20"/>
          <w:spacing w:val="40"/>
          <w:sz w:val="18"/>
        </w:rPr>
        <w:t> </w:t>
      </w:r>
      <w:r>
        <w:rPr>
          <w:rFonts w:ascii="Arial"/>
          <w:i/>
          <w:color w:val="231F20"/>
          <w:spacing w:val="-2"/>
          <w:sz w:val="18"/>
        </w:rPr>
        <w:t>(continued)</w:t>
      </w:r>
    </w:p>
    <w:p>
      <w:pPr>
        <w:pStyle w:val="BodyText"/>
        <w:spacing w:before="11"/>
        <w:rPr>
          <w:rFonts w:ascii="Arial"/>
          <w:i/>
          <w:sz w:val="7"/>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619"/>
        <w:gridCol w:w="1483"/>
        <w:gridCol w:w="1483"/>
        <w:gridCol w:w="1483"/>
        <w:gridCol w:w="1468"/>
      </w:tblGrid>
      <w:tr>
        <w:trPr>
          <w:trHeight w:val="932" w:hRule="atLeast"/>
        </w:trPr>
        <w:tc>
          <w:tcPr>
            <w:tcW w:w="1619" w:type="dxa"/>
          </w:tcPr>
          <w:p>
            <w:pPr>
              <w:pStyle w:val="TableParagraph"/>
              <w:spacing w:before="0"/>
              <w:ind w:left="0"/>
              <w:rPr>
                <w:rFonts w:ascii="Arial"/>
                <w:i/>
                <w:sz w:val="18"/>
              </w:rPr>
            </w:pPr>
          </w:p>
          <w:p>
            <w:pPr>
              <w:pStyle w:val="TableParagraph"/>
              <w:spacing w:before="0"/>
              <w:ind w:left="0"/>
              <w:rPr>
                <w:rFonts w:ascii="Arial"/>
                <w:i/>
                <w:sz w:val="18"/>
              </w:rPr>
            </w:pPr>
          </w:p>
          <w:p>
            <w:pPr>
              <w:pStyle w:val="TableParagraph"/>
              <w:spacing w:before="47"/>
              <w:ind w:left="0"/>
              <w:rPr>
                <w:rFonts w:ascii="Arial"/>
                <w:i/>
                <w:sz w:val="18"/>
              </w:rPr>
            </w:pPr>
          </w:p>
          <w:p>
            <w:pPr>
              <w:pStyle w:val="TableParagraph"/>
              <w:spacing w:before="0"/>
              <w:ind w:left="44"/>
              <w:rPr>
                <w:rFonts w:ascii="Book Antiqua"/>
                <w:b/>
                <w:sz w:val="18"/>
              </w:rPr>
            </w:pPr>
            <w:r>
              <w:rPr>
                <w:rFonts w:ascii="Book Antiqua"/>
                <w:b/>
                <w:color w:val="231F20"/>
                <w:sz w:val="18"/>
              </w:rPr>
              <w:t>Cell</w:t>
            </w:r>
            <w:r>
              <w:rPr>
                <w:rFonts w:ascii="Book Antiqua"/>
                <w:b/>
                <w:color w:val="231F20"/>
                <w:spacing w:val="10"/>
                <w:sz w:val="18"/>
              </w:rPr>
              <w:t> </w:t>
            </w:r>
            <w:r>
              <w:rPr>
                <w:rFonts w:ascii="Book Antiqua"/>
                <w:b/>
                <w:color w:val="231F20"/>
                <w:spacing w:val="-2"/>
                <w:sz w:val="18"/>
              </w:rPr>
              <w:t>function</w:t>
            </w:r>
          </w:p>
        </w:tc>
        <w:tc>
          <w:tcPr>
            <w:tcW w:w="1483" w:type="dxa"/>
          </w:tcPr>
          <w:p>
            <w:pPr>
              <w:pStyle w:val="TableParagraph"/>
              <w:spacing w:before="0"/>
              <w:ind w:left="0"/>
              <w:rPr>
                <w:rFonts w:ascii="Arial"/>
                <w:i/>
                <w:sz w:val="18"/>
              </w:rPr>
            </w:pPr>
          </w:p>
          <w:p>
            <w:pPr>
              <w:pStyle w:val="TableParagraph"/>
              <w:spacing w:before="35"/>
              <w:ind w:left="0"/>
              <w:rPr>
                <w:rFonts w:ascii="Arial"/>
                <w:i/>
                <w:sz w:val="18"/>
              </w:rPr>
            </w:pPr>
          </w:p>
          <w:p>
            <w:pPr>
              <w:pStyle w:val="TableParagraph"/>
              <w:spacing w:line="242" w:lineRule="auto" w:before="0"/>
              <w:ind w:right="147"/>
              <w:rPr>
                <w:rFonts w:ascii="Book Antiqua"/>
                <w:b/>
                <w:sz w:val="18"/>
              </w:rPr>
            </w:pPr>
            <w:r>
              <w:rPr>
                <w:rFonts w:ascii="Book Antiqua"/>
                <w:b/>
                <w:color w:val="231F20"/>
                <w:spacing w:val="-2"/>
                <w:sz w:val="18"/>
              </w:rPr>
              <w:t>Query specification</w:t>
            </w:r>
          </w:p>
        </w:tc>
        <w:tc>
          <w:tcPr>
            <w:tcW w:w="1483" w:type="dxa"/>
          </w:tcPr>
          <w:p>
            <w:pPr>
              <w:pStyle w:val="TableParagraph"/>
              <w:spacing w:line="242" w:lineRule="auto" w:before="10"/>
              <w:ind w:right="147"/>
              <w:rPr>
                <w:rFonts w:ascii="Book Antiqua"/>
                <w:b/>
                <w:sz w:val="18"/>
              </w:rPr>
            </w:pPr>
            <w:r>
              <w:rPr>
                <w:rFonts w:ascii="Book Antiqua"/>
                <w:b/>
                <w:color w:val="231F20"/>
                <w:spacing w:val="-4"/>
                <w:sz w:val="18"/>
              </w:rPr>
              <w:t>View </w:t>
            </w:r>
            <w:r>
              <w:rPr>
                <w:rFonts w:ascii="Book Antiqua"/>
                <w:b/>
                <w:color w:val="231F20"/>
                <w:spacing w:val="-2"/>
                <w:sz w:val="18"/>
              </w:rPr>
              <w:t>properties: Filters; Thresholds</w:t>
            </w:r>
          </w:p>
        </w:tc>
        <w:tc>
          <w:tcPr>
            <w:tcW w:w="1483" w:type="dxa"/>
          </w:tcPr>
          <w:p>
            <w:pPr>
              <w:pStyle w:val="TableParagraph"/>
              <w:spacing w:before="0"/>
              <w:ind w:left="0"/>
              <w:rPr>
                <w:rFonts w:ascii="Arial"/>
                <w:i/>
                <w:sz w:val="18"/>
              </w:rPr>
            </w:pPr>
          </w:p>
          <w:p>
            <w:pPr>
              <w:pStyle w:val="TableParagraph"/>
              <w:spacing w:before="35"/>
              <w:ind w:left="0"/>
              <w:rPr>
                <w:rFonts w:ascii="Arial"/>
                <w:i/>
                <w:sz w:val="18"/>
              </w:rPr>
            </w:pPr>
          </w:p>
          <w:p>
            <w:pPr>
              <w:pStyle w:val="TableParagraph"/>
              <w:spacing w:line="242" w:lineRule="auto" w:before="0"/>
              <w:ind w:left="58" w:right="147"/>
              <w:rPr>
                <w:rFonts w:ascii="Book Antiqua"/>
                <w:b/>
                <w:sz w:val="18"/>
              </w:rPr>
            </w:pPr>
            <w:r>
              <w:rPr>
                <w:rFonts w:ascii="Book Antiqua"/>
                <w:b/>
                <w:color w:val="231F20"/>
                <w:spacing w:val="-2"/>
                <w:sz w:val="18"/>
              </w:rPr>
              <w:t>Situation: Formula</w:t>
            </w:r>
          </w:p>
        </w:tc>
        <w:tc>
          <w:tcPr>
            <w:tcW w:w="1468" w:type="dxa"/>
          </w:tcPr>
          <w:p>
            <w:pPr>
              <w:pStyle w:val="TableParagraph"/>
              <w:spacing w:line="242" w:lineRule="auto" w:before="10"/>
              <w:ind w:left="57"/>
              <w:rPr>
                <w:rFonts w:ascii="Book Antiqua"/>
                <w:b/>
                <w:sz w:val="18"/>
              </w:rPr>
            </w:pPr>
            <w:r>
              <w:rPr>
                <w:rFonts w:ascii="Book Antiqua"/>
                <w:b/>
                <w:color w:val="231F20"/>
                <w:spacing w:val="-2"/>
                <w:sz w:val="18"/>
              </w:rPr>
              <w:t>History Collection Configuration: Filter</w:t>
            </w:r>
          </w:p>
        </w:tc>
      </w:tr>
      <w:tr>
        <w:trPr>
          <w:trHeight w:val="972" w:hRule="atLeast"/>
        </w:trPr>
        <w:tc>
          <w:tcPr>
            <w:tcW w:w="1619" w:type="dxa"/>
          </w:tcPr>
          <w:p>
            <w:pPr>
              <w:pStyle w:val="TableParagraph"/>
              <w:spacing w:line="208" w:lineRule="exact" w:before="45"/>
              <w:ind w:left="44"/>
              <w:rPr>
                <w:rFonts w:ascii="Book Antiqua"/>
                <w:b/>
                <w:sz w:val="18"/>
              </w:rPr>
            </w:pPr>
            <w:r>
              <w:rPr/>
              <w:drawing>
                <wp:inline distT="0" distB="0" distL="0" distR="0">
                  <wp:extent cx="63500" cy="63500"/>
                  <wp:effectExtent l="0" t="0" r="0" b="0"/>
                  <wp:docPr id="3271" name="Image 3271"/>
                  <wp:cNvGraphicFramePr>
                    <a:graphicFrameLocks/>
                  </wp:cNvGraphicFramePr>
                  <a:graphic>
                    <a:graphicData uri="http://schemas.openxmlformats.org/drawingml/2006/picture">
                      <pic:pic>
                        <pic:nvPicPr>
                          <pic:cNvPr id="3271" name="Image 3271"/>
                          <pic:cNvPicPr/>
                        </pic:nvPicPr>
                        <pic:blipFill>
                          <a:blip r:embed="rId138" cstate="print"/>
                          <a:stretch>
                            <a:fillRect/>
                          </a:stretch>
                        </pic:blipFill>
                        <pic:spPr>
                          <a:xfrm>
                            <a:off x="0" y="0"/>
                            <a:ext cx="63500" cy="63500"/>
                          </a:xfrm>
                          <a:prstGeom prst="rect">
                            <a:avLst/>
                          </a:prstGeom>
                        </pic:spPr>
                      </pic:pic>
                    </a:graphicData>
                  </a:graphic>
                </wp:inline>
              </w:drawing>
            </w:r>
            <w:r>
              <w:rPr/>
            </w:r>
            <w:r>
              <w:rPr>
                <w:rFonts w:ascii="Times New Roman"/>
                <w:spacing w:val="-13"/>
                <w:sz w:val="20"/>
              </w:rPr>
              <w:t> </w:t>
            </w:r>
            <w:r>
              <w:rPr>
                <w:rFonts w:ascii="Book Antiqua"/>
                <w:b/>
                <w:color w:val="231F20"/>
                <w:spacing w:val="-2"/>
                <w:sz w:val="18"/>
              </w:rPr>
              <w:t>VALUE</w:t>
            </w:r>
            <w:r>
              <w:rPr>
                <w:rFonts w:ascii="Book Antiqua"/>
                <w:b/>
                <w:color w:val="231F20"/>
                <w:sz w:val="18"/>
              </w:rPr>
              <w:t> IN</w:t>
            </w:r>
          </w:p>
          <w:p>
            <w:pPr>
              <w:pStyle w:val="TableParagraph"/>
              <w:spacing w:line="216" w:lineRule="auto" w:before="10"/>
              <w:ind w:left="44"/>
              <w:rPr>
                <w:sz w:val="18"/>
              </w:rPr>
            </w:pPr>
            <w:r>
              <w:rPr>
                <w:color w:val="231F20"/>
                <w:sz w:val="18"/>
              </w:rPr>
              <w:t>(IN is a </w:t>
            </w:r>
            <w:r>
              <w:rPr>
                <w:color w:val="231F20"/>
                <w:sz w:val="18"/>
              </w:rPr>
              <w:t>relational operator for the Value function)</w:t>
            </w:r>
          </w:p>
        </w:tc>
        <w:tc>
          <w:tcPr>
            <w:tcW w:w="1483" w:type="dxa"/>
          </w:tcPr>
          <w:p>
            <w:pPr>
              <w:pStyle w:val="TableParagraph"/>
              <w:spacing w:before="0"/>
              <w:ind w:left="0"/>
              <w:rPr>
                <w:rFonts w:ascii="Times New Roman"/>
                <w:sz w:val="18"/>
              </w:rPr>
            </w:pPr>
          </w:p>
        </w:tc>
        <w:tc>
          <w:tcPr>
            <w:tcW w:w="1483" w:type="dxa"/>
          </w:tcPr>
          <w:p>
            <w:pPr>
              <w:pStyle w:val="TableParagraph"/>
              <w:spacing w:before="2"/>
              <w:ind w:left="0"/>
              <w:rPr>
                <w:rFonts w:ascii="Arial"/>
                <w:i/>
                <w:sz w:val="8"/>
              </w:rPr>
            </w:pPr>
          </w:p>
          <w:p>
            <w:pPr>
              <w:pStyle w:val="TableParagraph"/>
              <w:spacing w:line="160" w:lineRule="exact" w:before="0"/>
              <w:rPr>
                <w:rFonts w:ascii="Arial"/>
                <w:sz w:val="16"/>
              </w:rPr>
            </w:pPr>
            <w:r>
              <w:rPr>
                <w:rFonts w:ascii="Arial"/>
                <w:position w:val="-2"/>
                <w:sz w:val="16"/>
              </w:rPr>
              <w:drawing>
                <wp:inline distT="0" distB="0" distL="0" distR="0">
                  <wp:extent cx="102108" cy="102107"/>
                  <wp:effectExtent l="0" t="0" r="0" b="0"/>
                  <wp:docPr id="3272" name="Image 3272"/>
                  <wp:cNvGraphicFramePr>
                    <a:graphicFrameLocks/>
                  </wp:cNvGraphicFramePr>
                  <a:graphic>
                    <a:graphicData uri="http://schemas.openxmlformats.org/drawingml/2006/picture">
                      <pic:pic>
                        <pic:nvPicPr>
                          <pic:cNvPr id="3272" name="Image 3272"/>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r>
              <w:rPr>
                <w:rFonts w:ascii="Times New Roman"/>
                <w:spacing w:val="63"/>
                <w:position w:val="-2"/>
                <w:sz w:val="16"/>
              </w:rPr>
              <w:t> </w:t>
            </w:r>
            <w:r>
              <w:rPr>
                <w:rFonts w:ascii="Arial"/>
                <w:spacing w:val="63"/>
                <w:position w:val="-2"/>
                <w:sz w:val="16"/>
              </w:rPr>
              <w:drawing>
                <wp:inline distT="0" distB="0" distL="0" distR="0">
                  <wp:extent cx="102108" cy="102107"/>
                  <wp:effectExtent l="0" t="0" r="0" b="0"/>
                  <wp:docPr id="3273" name="Image 3273"/>
                  <wp:cNvGraphicFramePr>
                    <a:graphicFrameLocks/>
                  </wp:cNvGraphicFramePr>
                  <a:graphic>
                    <a:graphicData uri="http://schemas.openxmlformats.org/drawingml/2006/picture">
                      <pic:pic>
                        <pic:nvPicPr>
                          <pic:cNvPr id="3273" name="Image 3273"/>
                          <pic:cNvPicPr/>
                        </pic:nvPicPr>
                        <pic:blipFill>
                          <a:blip r:embed="rId481" cstate="print"/>
                          <a:stretch>
                            <a:fillRect/>
                          </a:stretch>
                        </pic:blipFill>
                        <pic:spPr>
                          <a:xfrm>
                            <a:off x="0" y="0"/>
                            <a:ext cx="102108" cy="102107"/>
                          </a:xfrm>
                          <a:prstGeom prst="rect">
                            <a:avLst/>
                          </a:prstGeom>
                        </pic:spPr>
                      </pic:pic>
                    </a:graphicData>
                  </a:graphic>
                </wp:inline>
              </w:drawing>
            </w:r>
            <w:r>
              <w:rPr>
                <w:rFonts w:ascii="Arial"/>
                <w:spacing w:val="63"/>
                <w:position w:val="-2"/>
                <w:sz w:val="16"/>
              </w:rPr>
            </w:r>
          </w:p>
        </w:tc>
        <w:tc>
          <w:tcPr>
            <w:tcW w:w="1483" w:type="dxa"/>
          </w:tcPr>
          <w:p>
            <w:pPr>
              <w:pStyle w:val="TableParagraph"/>
              <w:spacing w:before="2"/>
              <w:ind w:left="0"/>
              <w:rPr>
                <w:rFonts w:ascii="Arial"/>
                <w:i/>
                <w:sz w:val="8"/>
              </w:rPr>
            </w:pPr>
          </w:p>
          <w:p>
            <w:pPr>
              <w:pStyle w:val="TableParagraph"/>
              <w:spacing w:line="160" w:lineRule="exact" w:before="0"/>
              <w:ind w:left="58"/>
              <w:rPr>
                <w:rFonts w:ascii="Arial"/>
                <w:sz w:val="16"/>
              </w:rPr>
            </w:pPr>
            <w:r>
              <w:rPr>
                <w:rFonts w:ascii="Arial"/>
                <w:position w:val="-2"/>
                <w:sz w:val="16"/>
              </w:rPr>
              <w:drawing>
                <wp:inline distT="0" distB="0" distL="0" distR="0">
                  <wp:extent cx="102108" cy="102107"/>
                  <wp:effectExtent l="0" t="0" r="0" b="0"/>
                  <wp:docPr id="3274" name="Image 3274"/>
                  <wp:cNvGraphicFramePr>
                    <a:graphicFrameLocks/>
                  </wp:cNvGraphicFramePr>
                  <a:graphic>
                    <a:graphicData uri="http://schemas.openxmlformats.org/drawingml/2006/picture">
                      <pic:pic>
                        <pic:nvPicPr>
                          <pic:cNvPr id="3274" name="Image 3274"/>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p>
        </w:tc>
        <w:tc>
          <w:tcPr>
            <w:tcW w:w="1468" w:type="dxa"/>
          </w:tcPr>
          <w:p>
            <w:pPr>
              <w:pStyle w:val="TableParagraph"/>
              <w:spacing w:before="2"/>
              <w:ind w:left="0"/>
              <w:rPr>
                <w:rFonts w:ascii="Arial"/>
                <w:i/>
                <w:sz w:val="8"/>
              </w:rPr>
            </w:pPr>
          </w:p>
          <w:p>
            <w:pPr>
              <w:pStyle w:val="TableParagraph"/>
              <w:spacing w:line="160" w:lineRule="exact" w:before="0"/>
              <w:ind w:left="57"/>
              <w:rPr>
                <w:rFonts w:ascii="Arial"/>
                <w:sz w:val="16"/>
              </w:rPr>
            </w:pPr>
            <w:r>
              <w:rPr>
                <w:rFonts w:ascii="Arial"/>
                <w:position w:val="-2"/>
                <w:sz w:val="16"/>
              </w:rPr>
              <w:drawing>
                <wp:inline distT="0" distB="0" distL="0" distR="0">
                  <wp:extent cx="102108" cy="102107"/>
                  <wp:effectExtent l="0" t="0" r="0" b="0"/>
                  <wp:docPr id="3275" name="Image 3275"/>
                  <wp:cNvGraphicFramePr>
                    <a:graphicFrameLocks/>
                  </wp:cNvGraphicFramePr>
                  <a:graphic>
                    <a:graphicData uri="http://schemas.openxmlformats.org/drawingml/2006/picture">
                      <pic:pic>
                        <pic:nvPicPr>
                          <pic:cNvPr id="3275" name="Image 3275"/>
                          <pic:cNvPicPr/>
                        </pic:nvPicPr>
                        <pic:blipFill>
                          <a:blip r:embed="rId480" cstate="print"/>
                          <a:stretch>
                            <a:fillRect/>
                          </a:stretch>
                        </pic:blipFill>
                        <pic:spPr>
                          <a:xfrm>
                            <a:off x="0" y="0"/>
                            <a:ext cx="102108" cy="102107"/>
                          </a:xfrm>
                          <a:prstGeom prst="rect">
                            <a:avLst/>
                          </a:prstGeom>
                        </pic:spPr>
                      </pic:pic>
                    </a:graphicData>
                  </a:graphic>
                </wp:inline>
              </w:drawing>
            </w:r>
            <w:r>
              <w:rPr>
                <w:rFonts w:ascii="Arial"/>
                <w:position w:val="-2"/>
                <w:sz w:val="16"/>
              </w:rPr>
            </w:r>
          </w:p>
        </w:tc>
      </w:tr>
    </w:tbl>
    <w:p>
      <w:pPr>
        <w:pStyle w:val="BodyText"/>
        <w:spacing w:line="194" w:lineRule="auto" w:before="170"/>
        <w:ind w:left="2951" w:right="567"/>
      </w:pPr>
      <w:r>
        <w:rPr>
          <w:color w:val="231F20"/>
        </w:rPr>
        <w:t>Where you see the notation, “Formula editor row 1 only”, the function</w:t>
      </w:r>
      <w:r>
        <w:rPr>
          <w:color w:val="231F20"/>
          <w:spacing w:val="40"/>
        </w:rPr>
        <w:t> </w:t>
      </w:r>
      <w:r>
        <w:rPr>
          <w:color w:val="231F20"/>
        </w:rPr>
        <w:t>must be used in the first-row cell of the formula editor; subsequent rows will be disabled. Additionally, a formula with this function cannot </w:t>
      </w:r>
      <w:r>
        <w:rPr>
          <w:color w:val="231F20"/>
        </w:rPr>
        <w:t>include any other functions that have this restriction or be combined with any group functions.</w:t>
      </w:r>
    </w:p>
    <w:p>
      <w:pPr>
        <w:pStyle w:val="Heading6"/>
        <w:spacing w:before="122"/>
        <w:ind w:left="2232"/>
      </w:pPr>
      <w:r>
        <w:rPr>
          <w:color w:val="231F20"/>
        </w:rPr>
        <w:t>Group</w:t>
      </w:r>
      <w:r>
        <w:rPr>
          <w:color w:val="231F20"/>
          <w:spacing w:val="10"/>
        </w:rPr>
        <w:t> </w:t>
      </w:r>
      <w:r>
        <w:rPr>
          <w:color w:val="231F20"/>
          <w:spacing w:val="-2"/>
        </w:rPr>
        <w:t>functions</w:t>
      </w:r>
    </w:p>
    <w:p>
      <w:pPr>
        <w:pStyle w:val="BodyText"/>
        <w:spacing w:line="213" w:lineRule="auto" w:before="11"/>
        <w:ind w:left="2951" w:right="545"/>
      </w:pPr>
      <w:r>
        <w:rPr>
          <w:color w:val="231F20"/>
        </w:rPr>
        <w:t>Use</w:t>
      </w:r>
      <w:r>
        <w:rPr>
          <w:color w:val="231F20"/>
          <w:spacing w:val="29"/>
        </w:rPr>
        <w:t> </w:t>
      </w:r>
      <w:r>
        <w:rPr>
          <w:color w:val="231F20"/>
        </w:rPr>
        <w:t>the</w:t>
      </w:r>
      <w:r>
        <w:rPr>
          <w:color w:val="231F20"/>
          <w:spacing w:val="29"/>
        </w:rPr>
        <w:t> </w:t>
      </w:r>
      <w:r>
        <w:rPr>
          <w:color w:val="231F20"/>
        </w:rPr>
        <w:t>group</w:t>
      </w:r>
      <w:r>
        <w:rPr>
          <w:color w:val="231F20"/>
          <w:spacing w:val="29"/>
        </w:rPr>
        <w:t> </w:t>
      </w:r>
      <w:r>
        <w:rPr>
          <w:color w:val="231F20"/>
        </w:rPr>
        <w:t>functions</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Query</w:t>
      </w:r>
      <w:r>
        <w:rPr>
          <w:color w:val="231F20"/>
          <w:spacing w:val="29"/>
        </w:rPr>
        <w:t> </w:t>
      </w:r>
      <w:r>
        <w:rPr>
          <w:color w:val="231F20"/>
        </w:rPr>
        <w:t>editor</w:t>
      </w:r>
      <w:r>
        <w:rPr>
          <w:color w:val="231F20"/>
          <w:spacing w:val="29"/>
        </w:rPr>
        <w:t> </w:t>
      </w:r>
      <w:r>
        <w:rPr>
          <w:color w:val="231F20"/>
        </w:rPr>
        <w:t>or</w:t>
      </w:r>
      <w:r>
        <w:rPr>
          <w:color w:val="231F20"/>
          <w:spacing w:val="29"/>
        </w:rPr>
        <w:t> </w:t>
      </w:r>
      <w:r>
        <w:rPr>
          <w:color w:val="231F20"/>
        </w:rPr>
        <w:t>Situation</w:t>
      </w:r>
      <w:r>
        <w:rPr>
          <w:color w:val="231F20"/>
          <w:spacing w:val="29"/>
        </w:rPr>
        <w:t> </w:t>
      </w:r>
      <w:r>
        <w:rPr>
          <w:color w:val="231F20"/>
        </w:rPr>
        <w:t>editor</w:t>
      </w:r>
      <w:r>
        <w:rPr>
          <w:color w:val="231F20"/>
          <w:spacing w:val="29"/>
        </w:rPr>
        <w:t> </w:t>
      </w:r>
      <w:r>
        <w:rPr>
          <w:color w:val="231F20"/>
        </w:rPr>
        <w:t>for attribute groups that return multiple rows of data or a single-row </w:t>
      </w:r>
      <w:r>
        <w:rPr>
          <w:color w:val="231F20"/>
        </w:rPr>
        <w:t>attribute group that has been configured for historical data collection.</w:t>
      </w:r>
    </w:p>
    <w:p>
      <w:pPr>
        <w:pStyle w:val="BodyText"/>
        <w:spacing w:line="213" w:lineRule="auto" w:before="118"/>
        <w:ind w:left="2951" w:right="545"/>
      </w:pPr>
      <w:r>
        <w:rPr>
          <w:color w:val="231F20"/>
        </w:rPr>
        <w:t>With the exception of COUNT, which can be used by all attribute </w:t>
      </w:r>
      <w:r>
        <w:rPr>
          <w:color w:val="231F20"/>
        </w:rPr>
        <w:t>types, group functions are available only for numeric attributes.</w:t>
      </w:r>
    </w:p>
    <w:p>
      <w:pPr>
        <w:pStyle w:val="BodyText"/>
        <w:spacing w:line="213" w:lineRule="auto" w:before="118"/>
        <w:ind w:left="2951" w:right="545"/>
      </w:pPr>
      <w:r>
        <w:rPr>
          <w:color w:val="231F20"/>
        </w:rPr>
        <w:t>Table and chart views require that a time range be set to show a span of data samplings.</w:t>
      </w:r>
    </w:p>
    <w:p>
      <w:pPr>
        <w:pStyle w:val="BodyText"/>
        <w:spacing w:before="9"/>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274" w:hRule="atLeast"/>
        </w:trPr>
        <w:tc>
          <w:tcPr>
            <w:tcW w:w="2506" w:type="dxa"/>
          </w:tcPr>
          <w:p>
            <w:pPr>
              <w:pStyle w:val="TableParagraph"/>
              <w:spacing w:before="10"/>
              <w:ind w:left="44"/>
              <w:rPr>
                <w:rFonts w:ascii="Book Antiqua"/>
                <w:b/>
                <w:sz w:val="18"/>
              </w:rPr>
            </w:pPr>
            <w:r>
              <w:rPr>
                <w:rFonts w:ascii="Book Antiqua"/>
                <w:b/>
                <w:color w:val="231F20"/>
                <w:sz w:val="18"/>
              </w:rPr>
              <w:t>Group</w:t>
            </w:r>
            <w:r>
              <w:rPr>
                <w:rFonts w:ascii="Book Antiqua"/>
                <w:b/>
                <w:color w:val="231F20"/>
                <w:spacing w:val="8"/>
                <w:sz w:val="18"/>
              </w:rPr>
              <w:t> </w:t>
            </w:r>
            <w:r>
              <w:rPr>
                <w:rFonts w:ascii="Book Antiqua"/>
                <w:b/>
                <w:color w:val="231F20"/>
                <w:spacing w:val="-2"/>
                <w:sz w:val="18"/>
              </w:rPr>
              <w:t>function</w:t>
            </w:r>
          </w:p>
        </w:tc>
        <w:tc>
          <w:tcPr>
            <w:tcW w:w="2521" w:type="dxa"/>
          </w:tcPr>
          <w:p>
            <w:pPr>
              <w:pStyle w:val="TableParagraph"/>
              <w:spacing w:before="10"/>
              <w:ind w:left="60"/>
              <w:rPr>
                <w:rFonts w:ascii="Book Antiqua"/>
                <w:b/>
                <w:sz w:val="18"/>
              </w:rPr>
            </w:pPr>
            <w:r>
              <w:rPr>
                <w:rFonts w:ascii="Book Antiqua"/>
                <w:b/>
                <w:color w:val="231F20"/>
                <w:sz w:val="18"/>
              </w:rPr>
              <w:t>Query</w:t>
            </w:r>
            <w:r>
              <w:rPr>
                <w:rFonts w:ascii="Book Antiqua"/>
                <w:b/>
                <w:color w:val="231F20"/>
                <w:spacing w:val="8"/>
                <w:sz w:val="18"/>
              </w:rPr>
              <w:t> </w:t>
            </w:r>
            <w:r>
              <w:rPr>
                <w:rFonts w:ascii="Book Antiqua"/>
                <w:b/>
                <w:color w:val="231F20"/>
                <w:spacing w:val="-2"/>
                <w:sz w:val="18"/>
              </w:rPr>
              <w:t>Specification</w:t>
            </w:r>
          </w:p>
        </w:tc>
        <w:tc>
          <w:tcPr>
            <w:tcW w:w="2506" w:type="dxa"/>
          </w:tcPr>
          <w:p>
            <w:pPr>
              <w:pStyle w:val="TableParagraph"/>
              <w:spacing w:before="10"/>
              <w:ind w:left="60"/>
              <w:rPr>
                <w:rFonts w:ascii="Book Antiqua"/>
                <w:b/>
                <w:sz w:val="18"/>
              </w:rPr>
            </w:pPr>
            <w:r>
              <w:rPr>
                <w:rFonts w:ascii="Book Antiqua"/>
                <w:b/>
                <w:color w:val="231F20"/>
                <w:sz w:val="18"/>
              </w:rPr>
              <w:t>Situation</w:t>
            </w:r>
            <w:r>
              <w:rPr>
                <w:rFonts w:ascii="Book Antiqua"/>
                <w:b/>
                <w:color w:val="231F20"/>
                <w:spacing w:val="6"/>
                <w:sz w:val="18"/>
              </w:rPr>
              <w:t> </w:t>
            </w:r>
            <w:r>
              <w:rPr>
                <w:rFonts w:ascii="Book Antiqua"/>
                <w:b/>
                <w:color w:val="231F20"/>
                <w:spacing w:val="-2"/>
                <w:sz w:val="18"/>
              </w:rPr>
              <w:t>Formula</w:t>
            </w:r>
          </w:p>
        </w:tc>
      </w:tr>
      <w:tr>
        <w:trPr>
          <w:trHeight w:val="309" w:hRule="atLeast"/>
        </w:trPr>
        <w:tc>
          <w:tcPr>
            <w:tcW w:w="2506" w:type="dxa"/>
          </w:tcPr>
          <w:p>
            <w:pPr>
              <w:pStyle w:val="TableParagraph"/>
              <w:spacing w:before="45"/>
              <w:ind w:left="44"/>
              <w:rPr>
                <w:rFonts w:ascii="Book Antiqua"/>
                <w:b/>
                <w:sz w:val="18"/>
              </w:rPr>
            </w:pPr>
            <w:r>
              <w:rPr/>
              <w:drawing>
                <wp:inline distT="0" distB="0" distL="0" distR="0">
                  <wp:extent cx="63500" cy="63500"/>
                  <wp:effectExtent l="0" t="0" r="0" b="0"/>
                  <wp:docPr id="3276" name="Image 3276"/>
                  <wp:cNvGraphicFramePr>
                    <a:graphicFrameLocks/>
                  </wp:cNvGraphicFramePr>
                  <a:graphic>
                    <a:graphicData uri="http://schemas.openxmlformats.org/drawingml/2006/picture">
                      <pic:pic>
                        <pic:nvPicPr>
                          <pic:cNvPr id="3276" name="Image 3276"/>
                          <pic:cNvPicPr/>
                        </pic:nvPicPr>
                        <pic:blipFill>
                          <a:blip r:embed="rId342"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AVG</w:t>
            </w:r>
          </w:p>
        </w:tc>
        <w:tc>
          <w:tcPr>
            <w:tcW w:w="2521"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77" name="Image 3277"/>
                  <wp:cNvGraphicFramePr>
                    <a:graphicFrameLocks/>
                  </wp:cNvGraphicFramePr>
                  <a:graphic>
                    <a:graphicData uri="http://schemas.openxmlformats.org/drawingml/2006/picture">
                      <pic:pic>
                        <pic:nvPicPr>
                          <pic:cNvPr id="3277" name="Image 3277"/>
                          <pic:cNvPicPr/>
                        </pic:nvPicPr>
                        <pic:blipFill>
                          <a:blip r:embed="rId98" cstate="print"/>
                          <a:stretch>
                            <a:fillRect/>
                          </a:stretch>
                        </pic:blipFill>
                        <pic:spPr>
                          <a:xfrm>
                            <a:off x="0" y="0"/>
                            <a:ext cx="102108" cy="102108"/>
                          </a:xfrm>
                          <a:prstGeom prst="rect">
                            <a:avLst/>
                          </a:prstGeom>
                        </pic:spPr>
                      </pic:pic>
                    </a:graphicData>
                  </a:graphic>
                </wp:inline>
              </w:drawing>
            </w:r>
            <w:r>
              <w:rPr>
                <w:position w:val="-2"/>
                <w:sz w:val="16"/>
              </w:rPr>
            </w:r>
          </w:p>
        </w:tc>
        <w:tc>
          <w:tcPr>
            <w:tcW w:w="2506"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78" name="Image 3278"/>
                  <wp:cNvGraphicFramePr>
                    <a:graphicFrameLocks/>
                  </wp:cNvGraphicFramePr>
                  <a:graphic>
                    <a:graphicData uri="http://schemas.openxmlformats.org/drawingml/2006/picture">
                      <pic:pic>
                        <pic:nvPicPr>
                          <pic:cNvPr id="3278" name="Image 3278"/>
                          <pic:cNvPicPr/>
                        </pic:nvPicPr>
                        <pic:blipFill>
                          <a:blip r:embed="rId479" cstate="print"/>
                          <a:stretch>
                            <a:fillRect/>
                          </a:stretch>
                        </pic:blipFill>
                        <pic:spPr>
                          <a:xfrm>
                            <a:off x="0" y="0"/>
                            <a:ext cx="102108" cy="102108"/>
                          </a:xfrm>
                          <a:prstGeom prst="rect">
                            <a:avLst/>
                          </a:prstGeom>
                        </pic:spPr>
                      </pic:pic>
                    </a:graphicData>
                  </a:graphic>
                </wp:inline>
              </w:drawing>
            </w:r>
            <w:r>
              <w:rPr>
                <w:position w:val="-2"/>
                <w:sz w:val="16"/>
              </w:rPr>
            </w:r>
          </w:p>
        </w:tc>
      </w:tr>
      <w:tr>
        <w:trPr>
          <w:trHeight w:val="309" w:hRule="atLeast"/>
        </w:trPr>
        <w:tc>
          <w:tcPr>
            <w:tcW w:w="2506" w:type="dxa"/>
          </w:tcPr>
          <w:p>
            <w:pPr>
              <w:pStyle w:val="TableParagraph"/>
              <w:spacing w:before="45"/>
              <w:ind w:left="44"/>
              <w:rPr>
                <w:rFonts w:ascii="Book Antiqua"/>
                <w:b/>
                <w:sz w:val="18"/>
              </w:rPr>
            </w:pPr>
            <w:r>
              <w:rPr/>
              <w:drawing>
                <wp:inline distT="0" distB="0" distL="0" distR="0">
                  <wp:extent cx="69850" cy="63500"/>
                  <wp:effectExtent l="0" t="0" r="0" b="0"/>
                  <wp:docPr id="3279" name="Image 3279"/>
                  <wp:cNvGraphicFramePr>
                    <a:graphicFrameLocks/>
                  </wp:cNvGraphicFramePr>
                  <a:graphic>
                    <a:graphicData uri="http://schemas.openxmlformats.org/drawingml/2006/picture">
                      <pic:pic>
                        <pic:nvPicPr>
                          <pic:cNvPr id="3279" name="Image 3279"/>
                          <pic:cNvPicPr/>
                        </pic:nvPicPr>
                        <pic:blipFill>
                          <a:blip r:embed="rId328" cstate="print"/>
                          <a:stretch>
                            <a:fillRect/>
                          </a:stretch>
                        </pic:blipFill>
                        <pic:spPr>
                          <a:xfrm>
                            <a:off x="0" y="0"/>
                            <a:ext cx="69850" cy="63500"/>
                          </a:xfrm>
                          <a:prstGeom prst="rect">
                            <a:avLst/>
                          </a:prstGeom>
                        </pic:spPr>
                      </pic:pic>
                    </a:graphicData>
                  </a:graphic>
                </wp:inline>
              </w:drawing>
            </w:r>
            <w:r>
              <w:rPr/>
            </w:r>
            <w:r>
              <w:rPr>
                <w:rFonts w:ascii="Times New Roman"/>
                <w:spacing w:val="40"/>
                <w:sz w:val="20"/>
              </w:rPr>
              <w:t> </w:t>
            </w:r>
            <w:r>
              <w:rPr>
                <w:rFonts w:ascii="Book Antiqua"/>
                <w:b/>
                <w:color w:val="231F20"/>
                <w:sz w:val="18"/>
              </w:rPr>
              <w:t>COUNT</w:t>
            </w:r>
          </w:p>
        </w:tc>
        <w:tc>
          <w:tcPr>
            <w:tcW w:w="2521"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80" name="Image 3280"/>
                  <wp:cNvGraphicFramePr>
                    <a:graphicFrameLocks/>
                  </wp:cNvGraphicFramePr>
                  <a:graphic>
                    <a:graphicData uri="http://schemas.openxmlformats.org/drawingml/2006/picture">
                      <pic:pic>
                        <pic:nvPicPr>
                          <pic:cNvPr id="3280" name="Image 3280"/>
                          <pic:cNvPicPr/>
                        </pic:nvPicPr>
                        <pic:blipFill>
                          <a:blip r:embed="rId98" cstate="print"/>
                          <a:stretch>
                            <a:fillRect/>
                          </a:stretch>
                        </pic:blipFill>
                        <pic:spPr>
                          <a:xfrm>
                            <a:off x="0" y="0"/>
                            <a:ext cx="102108" cy="102108"/>
                          </a:xfrm>
                          <a:prstGeom prst="rect">
                            <a:avLst/>
                          </a:prstGeom>
                        </pic:spPr>
                      </pic:pic>
                    </a:graphicData>
                  </a:graphic>
                </wp:inline>
              </w:drawing>
            </w:r>
            <w:r>
              <w:rPr>
                <w:position w:val="-2"/>
                <w:sz w:val="16"/>
              </w:rPr>
            </w:r>
          </w:p>
        </w:tc>
        <w:tc>
          <w:tcPr>
            <w:tcW w:w="2506" w:type="dxa"/>
          </w:tcPr>
          <w:p>
            <w:pPr>
              <w:pStyle w:val="TableParagraph"/>
              <w:spacing w:before="13"/>
              <w:ind w:left="0"/>
              <w:rPr>
                <w:sz w:val="6"/>
              </w:rPr>
            </w:pPr>
          </w:p>
          <w:p>
            <w:pPr>
              <w:pStyle w:val="TableParagraph"/>
              <w:spacing w:line="160" w:lineRule="exact" w:before="0"/>
              <w:ind w:left="60"/>
              <w:rPr>
                <w:sz w:val="16"/>
              </w:rPr>
            </w:pPr>
            <w:r>
              <w:rPr>
                <w:position w:val="-2"/>
                <w:sz w:val="16"/>
              </w:rPr>
              <mc:AlternateContent>
                <mc:Choice Requires="wps">
                  <w:drawing>
                    <wp:inline distT="0" distB="0" distL="0" distR="0">
                      <wp:extent cx="361950" cy="101600"/>
                      <wp:effectExtent l="0" t="0" r="0" b="3175"/>
                      <wp:docPr id="3281" name="Group 3281"/>
                      <wp:cNvGraphicFramePr>
                        <a:graphicFrameLocks/>
                      </wp:cNvGraphicFramePr>
                      <a:graphic>
                        <a:graphicData uri="http://schemas.microsoft.com/office/word/2010/wordprocessingGroup">
                          <wpg:wgp>
                            <wpg:cNvPr id="3281" name="Group 3281"/>
                            <wpg:cNvGrpSpPr/>
                            <wpg:grpSpPr>
                              <a:xfrm>
                                <a:off x="0" y="0"/>
                                <a:ext cx="361950" cy="101600"/>
                                <a:chExt cx="361950" cy="101600"/>
                              </a:xfrm>
                            </wpg:grpSpPr>
                            <pic:pic>
                              <pic:nvPicPr>
                                <pic:cNvPr id="3282" name="Image 3282"/>
                                <pic:cNvPicPr/>
                              </pic:nvPicPr>
                              <pic:blipFill>
                                <a:blip r:embed="rId479" cstate="print"/>
                                <a:stretch>
                                  <a:fillRect/>
                                </a:stretch>
                              </pic:blipFill>
                              <pic:spPr>
                                <a:xfrm>
                                  <a:off x="0" y="0"/>
                                  <a:ext cx="101600" cy="101600"/>
                                </a:xfrm>
                                <a:prstGeom prst="rect">
                                  <a:avLst/>
                                </a:prstGeom>
                              </pic:spPr>
                            </pic:pic>
                            <pic:pic>
                              <pic:nvPicPr>
                                <pic:cNvPr id="3283" name="Image 3283"/>
                                <pic:cNvPicPr/>
                              </pic:nvPicPr>
                              <pic:blipFill>
                                <a:blip r:embed="rId480" cstate="print"/>
                                <a:stretch>
                                  <a:fillRect/>
                                </a:stretch>
                              </pic:blipFill>
                              <pic:spPr>
                                <a:xfrm>
                                  <a:off x="129887" y="0"/>
                                  <a:ext cx="101600" cy="101600"/>
                                </a:xfrm>
                                <a:prstGeom prst="rect">
                                  <a:avLst/>
                                </a:prstGeom>
                              </pic:spPr>
                            </pic:pic>
                            <pic:pic>
                              <pic:nvPicPr>
                                <pic:cNvPr id="3284" name="Image 3284"/>
                                <pic:cNvPicPr/>
                              </pic:nvPicPr>
                              <pic:blipFill>
                                <a:blip r:embed="rId481" cstate="print"/>
                                <a:stretch>
                                  <a:fillRect/>
                                </a:stretch>
                              </pic:blipFill>
                              <pic:spPr>
                                <a:xfrm>
                                  <a:off x="259774" y="0"/>
                                  <a:ext cx="101600" cy="101600"/>
                                </a:xfrm>
                                <a:prstGeom prst="rect">
                                  <a:avLst/>
                                </a:prstGeom>
                              </pic:spPr>
                            </pic:pic>
                          </wpg:wgp>
                        </a:graphicData>
                      </a:graphic>
                    </wp:inline>
                  </w:drawing>
                </mc:Choice>
                <mc:Fallback>
                  <w:pict>
                    <v:group style="width:28.5pt;height:8pt;mso-position-horizontal-relative:char;mso-position-vertical-relative:line" id="docshapegroup264" coordorigin="0,0" coordsize="570,160">
                      <v:shape style="position:absolute;left:0;top:0;width:160;height:160" type="#_x0000_t75" id="docshape265" stroked="false">
                        <v:imagedata r:id="rId479" o:title=""/>
                      </v:shape>
                      <v:shape style="position:absolute;left:204;top:0;width:160;height:160" type="#_x0000_t75" id="docshape266" stroked="false">
                        <v:imagedata r:id="rId480" o:title=""/>
                      </v:shape>
                      <v:shape style="position:absolute;left:409;top:0;width:160;height:160" type="#_x0000_t75" id="docshape267" stroked="false">
                        <v:imagedata r:id="rId481" o:title=""/>
                      </v:shape>
                    </v:group>
                  </w:pict>
                </mc:Fallback>
              </mc:AlternateContent>
            </w:r>
            <w:r>
              <w:rPr>
                <w:position w:val="-2"/>
                <w:sz w:val="16"/>
              </w:rPr>
            </w:r>
          </w:p>
        </w:tc>
      </w:tr>
      <w:tr>
        <w:trPr>
          <w:trHeight w:val="309" w:hRule="atLeast"/>
        </w:trPr>
        <w:tc>
          <w:tcPr>
            <w:tcW w:w="2506" w:type="dxa"/>
          </w:tcPr>
          <w:p>
            <w:pPr>
              <w:pStyle w:val="TableParagraph"/>
              <w:spacing w:before="45"/>
              <w:ind w:left="44"/>
              <w:rPr>
                <w:rFonts w:ascii="Book Antiqua"/>
                <w:b/>
                <w:sz w:val="18"/>
              </w:rPr>
            </w:pPr>
            <w:r>
              <w:rPr/>
              <w:drawing>
                <wp:inline distT="0" distB="0" distL="0" distR="0">
                  <wp:extent cx="63500" cy="63500"/>
                  <wp:effectExtent l="0" t="0" r="0" b="0"/>
                  <wp:docPr id="3285" name="Image 3285"/>
                  <wp:cNvGraphicFramePr>
                    <a:graphicFrameLocks/>
                  </wp:cNvGraphicFramePr>
                  <a:graphic>
                    <a:graphicData uri="http://schemas.openxmlformats.org/drawingml/2006/picture">
                      <pic:pic>
                        <pic:nvPicPr>
                          <pic:cNvPr id="3285" name="Image 3285"/>
                          <pic:cNvPicPr/>
                        </pic:nvPicPr>
                        <pic:blipFill>
                          <a:blip r:embed="rId340"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MAX</w:t>
            </w:r>
          </w:p>
        </w:tc>
        <w:tc>
          <w:tcPr>
            <w:tcW w:w="2521"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86" name="Image 3286"/>
                  <wp:cNvGraphicFramePr>
                    <a:graphicFrameLocks/>
                  </wp:cNvGraphicFramePr>
                  <a:graphic>
                    <a:graphicData uri="http://schemas.openxmlformats.org/drawingml/2006/picture">
                      <pic:pic>
                        <pic:nvPicPr>
                          <pic:cNvPr id="3286" name="Image 3286"/>
                          <pic:cNvPicPr/>
                        </pic:nvPicPr>
                        <pic:blipFill>
                          <a:blip r:embed="rId98" cstate="print"/>
                          <a:stretch>
                            <a:fillRect/>
                          </a:stretch>
                        </pic:blipFill>
                        <pic:spPr>
                          <a:xfrm>
                            <a:off x="0" y="0"/>
                            <a:ext cx="102108" cy="102108"/>
                          </a:xfrm>
                          <a:prstGeom prst="rect">
                            <a:avLst/>
                          </a:prstGeom>
                        </pic:spPr>
                      </pic:pic>
                    </a:graphicData>
                  </a:graphic>
                </wp:inline>
              </w:drawing>
            </w:r>
            <w:r>
              <w:rPr>
                <w:position w:val="-2"/>
                <w:sz w:val="16"/>
              </w:rPr>
            </w:r>
          </w:p>
        </w:tc>
        <w:tc>
          <w:tcPr>
            <w:tcW w:w="2506"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87" name="Image 3287"/>
                  <wp:cNvGraphicFramePr>
                    <a:graphicFrameLocks/>
                  </wp:cNvGraphicFramePr>
                  <a:graphic>
                    <a:graphicData uri="http://schemas.openxmlformats.org/drawingml/2006/picture">
                      <pic:pic>
                        <pic:nvPicPr>
                          <pic:cNvPr id="3287" name="Image 3287"/>
                          <pic:cNvPicPr/>
                        </pic:nvPicPr>
                        <pic:blipFill>
                          <a:blip r:embed="rId479" cstate="print"/>
                          <a:stretch>
                            <a:fillRect/>
                          </a:stretch>
                        </pic:blipFill>
                        <pic:spPr>
                          <a:xfrm>
                            <a:off x="0" y="0"/>
                            <a:ext cx="102108" cy="102108"/>
                          </a:xfrm>
                          <a:prstGeom prst="rect">
                            <a:avLst/>
                          </a:prstGeom>
                        </pic:spPr>
                      </pic:pic>
                    </a:graphicData>
                  </a:graphic>
                </wp:inline>
              </w:drawing>
            </w:r>
            <w:r>
              <w:rPr>
                <w:position w:val="-2"/>
                <w:sz w:val="16"/>
              </w:rPr>
            </w:r>
          </w:p>
        </w:tc>
      </w:tr>
      <w:tr>
        <w:trPr>
          <w:trHeight w:val="309" w:hRule="atLeast"/>
        </w:trPr>
        <w:tc>
          <w:tcPr>
            <w:tcW w:w="2506" w:type="dxa"/>
          </w:tcPr>
          <w:p>
            <w:pPr>
              <w:pStyle w:val="TableParagraph"/>
              <w:spacing w:before="45"/>
              <w:ind w:left="44"/>
              <w:rPr>
                <w:rFonts w:ascii="Book Antiqua"/>
                <w:b/>
                <w:sz w:val="18"/>
              </w:rPr>
            </w:pPr>
            <w:r>
              <w:rPr/>
              <w:drawing>
                <wp:inline distT="0" distB="0" distL="0" distR="0">
                  <wp:extent cx="63500" cy="63500"/>
                  <wp:effectExtent l="0" t="0" r="0" b="0"/>
                  <wp:docPr id="3288" name="Image 3288"/>
                  <wp:cNvGraphicFramePr>
                    <a:graphicFrameLocks/>
                  </wp:cNvGraphicFramePr>
                  <a:graphic>
                    <a:graphicData uri="http://schemas.openxmlformats.org/drawingml/2006/picture">
                      <pic:pic>
                        <pic:nvPicPr>
                          <pic:cNvPr id="3288" name="Image 3288"/>
                          <pic:cNvPicPr/>
                        </pic:nvPicPr>
                        <pic:blipFill>
                          <a:blip r:embed="rId339"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MIN</w:t>
            </w:r>
          </w:p>
        </w:tc>
        <w:tc>
          <w:tcPr>
            <w:tcW w:w="2521"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89" name="Image 3289"/>
                  <wp:cNvGraphicFramePr>
                    <a:graphicFrameLocks/>
                  </wp:cNvGraphicFramePr>
                  <a:graphic>
                    <a:graphicData uri="http://schemas.openxmlformats.org/drawingml/2006/picture">
                      <pic:pic>
                        <pic:nvPicPr>
                          <pic:cNvPr id="3289" name="Image 3289"/>
                          <pic:cNvPicPr/>
                        </pic:nvPicPr>
                        <pic:blipFill>
                          <a:blip r:embed="rId98" cstate="print"/>
                          <a:stretch>
                            <a:fillRect/>
                          </a:stretch>
                        </pic:blipFill>
                        <pic:spPr>
                          <a:xfrm>
                            <a:off x="0" y="0"/>
                            <a:ext cx="102108" cy="102108"/>
                          </a:xfrm>
                          <a:prstGeom prst="rect">
                            <a:avLst/>
                          </a:prstGeom>
                        </pic:spPr>
                      </pic:pic>
                    </a:graphicData>
                  </a:graphic>
                </wp:inline>
              </w:drawing>
            </w:r>
            <w:r>
              <w:rPr>
                <w:position w:val="-2"/>
                <w:sz w:val="16"/>
              </w:rPr>
            </w:r>
          </w:p>
        </w:tc>
        <w:tc>
          <w:tcPr>
            <w:tcW w:w="2506"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90" name="Image 3290"/>
                  <wp:cNvGraphicFramePr>
                    <a:graphicFrameLocks/>
                  </wp:cNvGraphicFramePr>
                  <a:graphic>
                    <a:graphicData uri="http://schemas.openxmlformats.org/drawingml/2006/picture">
                      <pic:pic>
                        <pic:nvPicPr>
                          <pic:cNvPr id="3290" name="Image 3290"/>
                          <pic:cNvPicPr/>
                        </pic:nvPicPr>
                        <pic:blipFill>
                          <a:blip r:embed="rId479" cstate="print"/>
                          <a:stretch>
                            <a:fillRect/>
                          </a:stretch>
                        </pic:blipFill>
                        <pic:spPr>
                          <a:xfrm>
                            <a:off x="0" y="0"/>
                            <a:ext cx="102108" cy="102108"/>
                          </a:xfrm>
                          <a:prstGeom prst="rect">
                            <a:avLst/>
                          </a:prstGeom>
                        </pic:spPr>
                      </pic:pic>
                    </a:graphicData>
                  </a:graphic>
                </wp:inline>
              </w:drawing>
            </w:r>
            <w:r>
              <w:rPr>
                <w:position w:val="-2"/>
                <w:sz w:val="16"/>
              </w:rPr>
            </w:r>
          </w:p>
        </w:tc>
      </w:tr>
      <w:tr>
        <w:trPr>
          <w:trHeight w:val="314" w:hRule="atLeast"/>
        </w:trPr>
        <w:tc>
          <w:tcPr>
            <w:tcW w:w="2506" w:type="dxa"/>
          </w:tcPr>
          <w:p>
            <w:pPr>
              <w:pStyle w:val="TableParagraph"/>
              <w:spacing w:before="45"/>
              <w:ind w:left="44"/>
              <w:rPr>
                <w:rFonts w:ascii="Book Antiqua"/>
                <w:b/>
                <w:sz w:val="18"/>
              </w:rPr>
            </w:pPr>
            <w:r>
              <w:rPr/>
              <w:drawing>
                <wp:inline distT="0" distB="0" distL="0" distR="0">
                  <wp:extent cx="63500" cy="63500"/>
                  <wp:effectExtent l="0" t="0" r="0" b="0"/>
                  <wp:docPr id="3291" name="Image 3291"/>
                  <wp:cNvGraphicFramePr>
                    <a:graphicFrameLocks/>
                  </wp:cNvGraphicFramePr>
                  <a:graphic>
                    <a:graphicData uri="http://schemas.openxmlformats.org/drawingml/2006/picture">
                      <pic:pic>
                        <pic:nvPicPr>
                          <pic:cNvPr id="3291" name="Image 3291"/>
                          <pic:cNvPicPr/>
                        </pic:nvPicPr>
                        <pic:blipFill>
                          <a:blip r:embed="rId341"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rFonts w:ascii="Book Antiqua"/>
                <w:b/>
                <w:color w:val="231F20"/>
                <w:sz w:val="18"/>
              </w:rPr>
              <w:t>SUM</w:t>
            </w:r>
          </w:p>
        </w:tc>
        <w:tc>
          <w:tcPr>
            <w:tcW w:w="2521"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92" name="Image 3292"/>
                  <wp:cNvGraphicFramePr>
                    <a:graphicFrameLocks/>
                  </wp:cNvGraphicFramePr>
                  <a:graphic>
                    <a:graphicData uri="http://schemas.openxmlformats.org/drawingml/2006/picture">
                      <pic:pic>
                        <pic:nvPicPr>
                          <pic:cNvPr id="3292" name="Image 3292"/>
                          <pic:cNvPicPr/>
                        </pic:nvPicPr>
                        <pic:blipFill>
                          <a:blip r:embed="rId98" cstate="print"/>
                          <a:stretch>
                            <a:fillRect/>
                          </a:stretch>
                        </pic:blipFill>
                        <pic:spPr>
                          <a:xfrm>
                            <a:off x="0" y="0"/>
                            <a:ext cx="102108" cy="102108"/>
                          </a:xfrm>
                          <a:prstGeom prst="rect">
                            <a:avLst/>
                          </a:prstGeom>
                        </pic:spPr>
                      </pic:pic>
                    </a:graphicData>
                  </a:graphic>
                </wp:inline>
              </w:drawing>
            </w:r>
            <w:r>
              <w:rPr>
                <w:position w:val="-2"/>
                <w:sz w:val="16"/>
              </w:rPr>
            </w:r>
          </w:p>
        </w:tc>
        <w:tc>
          <w:tcPr>
            <w:tcW w:w="2506" w:type="dxa"/>
          </w:tcPr>
          <w:p>
            <w:pPr>
              <w:pStyle w:val="TableParagraph"/>
              <w:spacing w:before="13"/>
              <w:ind w:left="0"/>
              <w:rPr>
                <w:sz w:val="6"/>
              </w:rPr>
            </w:pPr>
          </w:p>
          <w:p>
            <w:pPr>
              <w:pStyle w:val="TableParagraph"/>
              <w:spacing w:line="160" w:lineRule="exact" w:before="0"/>
              <w:ind w:left="60"/>
              <w:rPr>
                <w:sz w:val="16"/>
              </w:rPr>
            </w:pPr>
            <w:r>
              <w:rPr>
                <w:position w:val="-2"/>
                <w:sz w:val="16"/>
              </w:rPr>
              <w:drawing>
                <wp:inline distT="0" distB="0" distL="0" distR="0">
                  <wp:extent cx="102108" cy="102108"/>
                  <wp:effectExtent l="0" t="0" r="0" b="0"/>
                  <wp:docPr id="3293" name="Image 3293"/>
                  <wp:cNvGraphicFramePr>
                    <a:graphicFrameLocks/>
                  </wp:cNvGraphicFramePr>
                  <a:graphic>
                    <a:graphicData uri="http://schemas.openxmlformats.org/drawingml/2006/picture">
                      <pic:pic>
                        <pic:nvPicPr>
                          <pic:cNvPr id="3293" name="Image 3293"/>
                          <pic:cNvPicPr/>
                        </pic:nvPicPr>
                        <pic:blipFill>
                          <a:blip r:embed="rId479" cstate="print"/>
                          <a:stretch>
                            <a:fillRect/>
                          </a:stretch>
                        </pic:blipFill>
                        <pic:spPr>
                          <a:xfrm>
                            <a:off x="0" y="0"/>
                            <a:ext cx="102108" cy="102108"/>
                          </a:xfrm>
                          <a:prstGeom prst="rect">
                            <a:avLst/>
                          </a:prstGeom>
                        </pic:spPr>
                      </pic:pic>
                    </a:graphicData>
                  </a:graphic>
                </wp:inline>
              </w:drawing>
            </w:r>
            <w:r>
              <w:rPr>
                <w:position w:val="-2"/>
                <w:sz w:val="16"/>
              </w:rPr>
            </w:r>
          </w:p>
        </w:tc>
      </w:tr>
    </w:tbl>
    <w:p>
      <w:pPr>
        <w:pStyle w:val="BodyText"/>
        <w:spacing w:before="137"/>
      </w:pPr>
    </w:p>
    <w:p>
      <w:pPr>
        <w:pStyle w:val="Heading6"/>
        <w:spacing w:line="240" w:lineRule="auto" w:before="0"/>
        <w:ind w:left="2951"/>
      </w:pPr>
      <w:r>
        <w:rPr>
          <w:color w:val="231F20"/>
          <w:spacing w:val="-2"/>
        </w:rPr>
        <w:t>Note:</w:t>
      </w:r>
    </w:p>
    <w:p>
      <w:pPr>
        <w:pStyle w:val="ListParagraph"/>
        <w:numPr>
          <w:ilvl w:val="0"/>
          <w:numId w:val="188"/>
        </w:numPr>
        <w:tabs>
          <w:tab w:pos="3267" w:val="left" w:leader="none"/>
          <w:tab w:pos="3275" w:val="left" w:leader="none"/>
        </w:tabs>
        <w:spacing w:line="208" w:lineRule="auto" w:before="69" w:after="0"/>
        <w:ind w:left="3267" w:right="813" w:hanging="316"/>
        <w:jc w:val="left"/>
        <w:rPr>
          <w:sz w:val="20"/>
        </w:rPr>
      </w:pPr>
      <w:r>
        <w:rPr>
          <w:rFonts w:ascii="Arial"/>
          <w:color w:val="231F20"/>
          <w:sz w:val="20"/>
        </w:rPr>
        <w:tab/>
      </w:r>
      <w:r>
        <w:rPr>
          <w:rFonts w:ascii="Arial"/>
          <w:color w:val="231F20"/>
          <w:spacing w:val="-9"/>
          <w:sz w:val="20"/>
        </w:rPr>
        <w:drawing>
          <wp:inline distT="0" distB="0" distL="0" distR="0">
            <wp:extent cx="83343" cy="83343"/>
            <wp:effectExtent l="0" t="0" r="0" b="0"/>
            <wp:docPr id="3294" name="Image 3294"/>
            <wp:cNvGraphicFramePr>
              <a:graphicFrameLocks/>
            </wp:cNvGraphicFramePr>
            <a:graphic>
              <a:graphicData uri="http://schemas.openxmlformats.org/drawingml/2006/picture">
                <pic:pic>
                  <pic:nvPicPr>
                    <pic:cNvPr id="3294" name="Image 3294"/>
                    <pic:cNvPicPr/>
                  </pic:nvPicPr>
                  <pic:blipFill>
                    <a:blip r:embed="rId61" cstate="print"/>
                    <a:stretch>
                      <a:fillRect/>
                    </a:stretch>
                  </pic:blipFill>
                  <pic:spPr>
                    <a:xfrm>
                      <a:off x="0" y="0"/>
                      <a:ext cx="83343" cy="83343"/>
                    </a:xfrm>
                    <a:prstGeom prst="rect">
                      <a:avLst/>
                    </a:prstGeom>
                  </pic:spPr>
                </pic:pic>
              </a:graphicData>
            </a:graphic>
          </wp:inline>
        </w:drawing>
      </w:r>
      <w:r>
        <w:rPr>
          <w:rFonts w:ascii="Arial"/>
          <w:color w:val="231F20"/>
          <w:spacing w:val="-9"/>
          <w:sz w:val="20"/>
        </w:rPr>
      </w:r>
      <w:r>
        <w:rPr>
          <w:rFonts w:ascii="Times New Roman"/>
          <w:color w:val="231F20"/>
          <w:spacing w:val="40"/>
          <w:sz w:val="20"/>
        </w:rPr>
        <w:t> </w:t>
      </w:r>
      <w:r>
        <w:rPr>
          <w:color w:val="231F20"/>
          <w:sz w:val="20"/>
        </w:rPr>
        <w:t>Time Span selection is not available for a table or chart view if </w:t>
      </w:r>
      <w:r>
        <w:rPr>
          <w:color w:val="231F20"/>
          <w:sz w:val="20"/>
        </w:rPr>
        <w:t>it uses a query that includes a group function.</w:t>
      </w:r>
    </w:p>
    <w:p>
      <w:pPr>
        <w:pStyle w:val="ListParagraph"/>
        <w:numPr>
          <w:ilvl w:val="0"/>
          <w:numId w:val="188"/>
        </w:numPr>
        <w:tabs>
          <w:tab w:pos="3267" w:val="left" w:leader="none"/>
        </w:tabs>
        <w:spacing w:line="213" w:lineRule="auto" w:before="60" w:after="0"/>
        <w:ind w:left="3267" w:right="694" w:hanging="316"/>
        <w:jc w:val="left"/>
        <w:rPr>
          <w:sz w:val="20"/>
        </w:rPr>
      </w:pPr>
      <w:r>
        <w:rPr>
          <w:color w:val="231F20"/>
          <w:sz w:val="20"/>
        </w:rPr>
        <w:t>When entering a hexadecimal value in a cell, prefix the number </w:t>
      </w:r>
      <w:r>
        <w:rPr>
          <w:color w:val="231F20"/>
          <w:sz w:val="20"/>
        </w:rPr>
        <w:t>with zero and the letter “x”, as in 0x456c for hex value 456c.</w:t>
      </w:r>
    </w:p>
    <w:p>
      <w:pPr>
        <w:pStyle w:val="ListParagraph"/>
        <w:numPr>
          <w:ilvl w:val="0"/>
          <w:numId w:val="188"/>
        </w:numPr>
        <w:tabs>
          <w:tab w:pos="3267" w:val="left" w:leader="none"/>
        </w:tabs>
        <w:spacing w:line="213" w:lineRule="auto" w:before="59" w:after="0"/>
        <w:ind w:left="3267" w:right="629" w:hanging="316"/>
        <w:jc w:val="left"/>
        <w:rPr>
          <w:sz w:val="20"/>
        </w:rPr>
      </w:pPr>
      <w:r>
        <w:rPr>
          <w:color w:val="231F20"/>
          <w:sz w:val="20"/>
        </w:rPr>
        <w:t>If the expression that is responsible for a situation event uses a group function, the situation event results workspace shows neither the attribute value threshold color nor the expression that should display when you hover over an initial situation value.</w:t>
      </w:r>
    </w:p>
    <w:p>
      <w:pPr>
        <w:pStyle w:val="Heading6"/>
        <w:spacing w:before="115"/>
        <w:ind w:left="2232"/>
      </w:pPr>
      <w:r>
        <w:rPr>
          <w:color w:val="231F20"/>
          <w:spacing w:val="-2"/>
        </w:rPr>
        <w:t>Examples</w:t>
      </w:r>
    </w:p>
    <w:p>
      <w:pPr>
        <w:pStyle w:val="BodyText"/>
        <w:spacing w:line="213" w:lineRule="auto" w:before="12"/>
        <w:ind w:left="2951" w:right="587"/>
      </w:pPr>
      <w:r>
        <w:rPr>
          <w:color w:val="231F20"/>
        </w:rPr>
        <w:t>After you open a workspace that has query-based views with filters</w:t>
      </w:r>
      <w:r>
        <w:rPr>
          <w:color w:val="231F20"/>
          <w:spacing w:val="80"/>
          <w:w w:val="150"/>
        </w:rPr>
        <w:t> </w:t>
      </w:r>
      <w:r>
        <w:rPr>
          <w:color w:val="231F20"/>
        </w:rPr>
        <w:t>applied or after you start a situation, the sampled value of each </w:t>
      </w:r>
      <w:r>
        <w:rPr>
          <w:color w:val="231F20"/>
        </w:rPr>
        <w:t>referenced attribute is compared with the expression. A true comparison causes the value to be filtered into the view or to open an event.</w:t>
      </w:r>
    </w:p>
    <w:p>
      <w:pPr>
        <w:pStyle w:val="BodyText"/>
        <w:spacing w:line="213" w:lineRule="auto" w:before="117"/>
        <w:ind w:left="2951" w:right="564"/>
        <w:jc w:val="both"/>
      </w:pPr>
      <w:r>
        <w:rPr>
          <w:color w:val="231F20"/>
        </w:rPr>
        <w:t>For example, the following expression uses the VALUE formula function and can be read as, “When the VALUE of Day of Week is greater than or equal to 2 (Monday) and the VALUE of Day of Week is less than or equal</w:t>
      </w:r>
      <w:r>
        <w:rPr>
          <w:color w:val="231F20"/>
          <w:spacing w:val="40"/>
        </w:rPr>
        <w:t> </w:t>
      </w:r>
      <w:r>
        <w:rPr>
          <w:color w:val="231F20"/>
        </w:rPr>
        <w:t>to 6 (Friday), the comparison is true.”</w:t>
      </w:r>
    </w:p>
    <w:p>
      <w:pPr>
        <w:spacing w:after="0" w:line="213" w:lineRule="auto"/>
        <w:jc w:val="both"/>
        <w:sectPr>
          <w:pgSz w:w="12240" w:h="15840"/>
          <w:pgMar w:header="0" w:footer="736" w:top="1200" w:bottom="92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760"/>
        <w:gridCol w:w="3395"/>
        <w:gridCol w:w="3380"/>
      </w:tblGrid>
      <w:tr>
        <w:trPr>
          <w:trHeight w:val="274" w:hRule="atLeast"/>
        </w:trPr>
        <w:tc>
          <w:tcPr>
            <w:tcW w:w="760" w:type="dxa"/>
          </w:tcPr>
          <w:p>
            <w:pPr>
              <w:pStyle w:val="TableParagraph"/>
              <w:spacing w:before="0"/>
              <w:ind w:left="0"/>
              <w:rPr>
                <w:rFonts w:ascii="Times New Roman"/>
                <w:sz w:val="20"/>
              </w:rPr>
            </w:pPr>
          </w:p>
        </w:tc>
        <w:tc>
          <w:tcPr>
            <w:tcW w:w="3395" w:type="dxa"/>
          </w:tcPr>
          <w:p>
            <w:pPr>
              <w:pStyle w:val="TableParagraph"/>
              <w:spacing w:before="10"/>
              <w:rPr>
                <w:rFonts w:ascii="Book Antiqua"/>
                <w:b/>
                <w:sz w:val="18"/>
              </w:rPr>
            </w:pPr>
            <w:r>
              <w:rPr>
                <w:rFonts w:ascii="Book Antiqua"/>
                <w:b/>
                <w:color w:val="231F20"/>
                <w:sz w:val="18"/>
              </w:rPr>
              <w:t>Day</w:t>
            </w:r>
            <w:r>
              <w:rPr>
                <w:rFonts w:ascii="Book Antiqua"/>
                <w:b/>
                <w:color w:val="231F20"/>
                <w:spacing w:val="11"/>
                <w:sz w:val="18"/>
              </w:rPr>
              <w:t> </w:t>
            </w:r>
            <w:r>
              <w:rPr>
                <w:rFonts w:ascii="Book Antiqua"/>
                <w:b/>
                <w:color w:val="231F20"/>
                <w:sz w:val="18"/>
              </w:rPr>
              <w:t>of</w:t>
            </w:r>
            <w:r>
              <w:rPr>
                <w:rFonts w:ascii="Book Antiqua"/>
                <w:b/>
                <w:color w:val="231F20"/>
                <w:spacing w:val="11"/>
                <w:sz w:val="18"/>
              </w:rPr>
              <w:t> </w:t>
            </w:r>
            <w:r>
              <w:rPr>
                <w:rFonts w:ascii="Book Antiqua"/>
                <w:b/>
                <w:color w:val="231F20"/>
                <w:spacing w:val="-4"/>
                <w:sz w:val="18"/>
              </w:rPr>
              <w:t>Week</w:t>
            </w:r>
          </w:p>
        </w:tc>
        <w:tc>
          <w:tcPr>
            <w:tcW w:w="3380" w:type="dxa"/>
          </w:tcPr>
          <w:p>
            <w:pPr>
              <w:pStyle w:val="TableParagraph"/>
              <w:spacing w:before="10"/>
              <w:ind w:left="58"/>
              <w:rPr>
                <w:rFonts w:ascii="Book Antiqua"/>
                <w:b/>
                <w:sz w:val="18"/>
              </w:rPr>
            </w:pPr>
            <w:r>
              <w:rPr>
                <w:rFonts w:ascii="Book Antiqua"/>
                <w:b/>
                <w:color w:val="231F20"/>
                <w:sz w:val="18"/>
              </w:rPr>
              <w:t>Day</w:t>
            </w:r>
            <w:r>
              <w:rPr>
                <w:rFonts w:ascii="Book Antiqua"/>
                <w:b/>
                <w:color w:val="231F20"/>
                <w:spacing w:val="11"/>
                <w:sz w:val="18"/>
              </w:rPr>
              <w:t> </w:t>
            </w:r>
            <w:r>
              <w:rPr>
                <w:rFonts w:ascii="Book Antiqua"/>
                <w:b/>
                <w:color w:val="231F20"/>
                <w:sz w:val="18"/>
              </w:rPr>
              <w:t>of</w:t>
            </w:r>
            <w:r>
              <w:rPr>
                <w:rFonts w:ascii="Book Antiqua"/>
                <w:b/>
                <w:color w:val="231F20"/>
                <w:spacing w:val="11"/>
                <w:sz w:val="18"/>
              </w:rPr>
              <w:t> </w:t>
            </w:r>
            <w:r>
              <w:rPr>
                <w:rFonts w:ascii="Book Antiqua"/>
                <w:b/>
                <w:color w:val="231F20"/>
                <w:spacing w:val="-4"/>
                <w:sz w:val="18"/>
              </w:rPr>
              <w:t>Week</w:t>
            </w:r>
          </w:p>
        </w:tc>
      </w:tr>
      <w:tr>
        <w:trPr>
          <w:trHeight w:val="314" w:hRule="atLeast"/>
        </w:trPr>
        <w:tc>
          <w:tcPr>
            <w:tcW w:w="760" w:type="dxa"/>
          </w:tcPr>
          <w:p>
            <w:pPr>
              <w:pStyle w:val="TableParagraph"/>
              <w:ind w:left="44"/>
              <w:rPr>
                <w:sz w:val="18"/>
              </w:rPr>
            </w:pPr>
            <w:r>
              <w:rPr>
                <w:color w:val="231F20"/>
                <w:spacing w:val="-10"/>
                <w:sz w:val="18"/>
              </w:rPr>
              <w:t>1</w:t>
            </w:r>
          </w:p>
        </w:tc>
        <w:tc>
          <w:tcPr>
            <w:tcW w:w="3395" w:type="dxa"/>
          </w:tcPr>
          <w:p>
            <w:pPr>
              <w:pStyle w:val="TableParagraph"/>
              <w:spacing w:before="45"/>
              <w:rPr>
                <w:rFonts w:ascii="Arial"/>
                <w:sz w:val="18"/>
              </w:rPr>
            </w:pPr>
            <w:r>
              <w:rPr>
                <w:rFonts w:ascii="Arial"/>
                <w:color w:val="231F20"/>
                <w:w w:val="95"/>
                <w:sz w:val="18"/>
              </w:rPr>
              <w:t>&gt;=</w:t>
            </w:r>
            <w:r>
              <w:rPr>
                <w:rFonts w:ascii="Arial"/>
                <w:color w:val="231F20"/>
                <w:spacing w:val="17"/>
                <w:sz w:val="18"/>
              </w:rPr>
              <w:t> </w:t>
            </w:r>
            <w:r>
              <w:rPr>
                <w:rFonts w:ascii="Arial"/>
                <w:color w:val="231F20"/>
                <w:spacing w:val="-12"/>
                <w:w w:val="95"/>
                <w:sz w:val="18"/>
              </w:rPr>
              <w:t>2</w:t>
            </w:r>
          </w:p>
        </w:tc>
        <w:tc>
          <w:tcPr>
            <w:tcW w:w="3380" w:type="dxa"/>
          </w:tcPr>
          <w:p>
            <w:pPr>
              <w:pStyle w:val="TableParagraph"/>
              <w:spacing w:before="45"/>
              <w:ind w:left="58"/>
              <w:rPr>
                <w:rFonts w:ascii="Arial"/>
                <w:sz w:val="18"/>
              </w:rPr>
            </w:pPr>
            <w:r>
              <w:rPr>
                <w:rFonts w:ascii="Arial"/>
                <w:color w:val="231F20"/>
                <w:w w:val="95"/>
                <w:sz w:val="18"/>
              </w:rPr>
              <w:t>&lt;=</w:t>
            </w:r>
            <w:r>
              <w:rPr>
                <w:rFonts w:ascii="Arial"/>
                <w:color w:val="231F20"/>
                <w:spacing w:val="17"/>
                <w:sz w:val="18"/>
              </w:rPr>
              <w:t> </w:t>
            </w:r>
            <w:r>
              <w:rPr>
                <w:rFonts w:ascii="Arial"/>
                <w:color w:val="231F20"/>
                <w:spacing w:val="-12"/>
                <w:w w:val="95"/>
                <w:sz w:val="18"/>
              </w:rPr>
              <w:t>6</w:t>
            </w:r>
          </w:p>
        </w:tc>
      </w:tr>
    </w:tbl>
    <w:p>
      <w:pPr>
        <w:pStyle w:val="BodyText"/>
        <w:spacing w:before="34"/>
      </w:pPr>
    </w:p>
    <w:p>
      <w:pPr>
        <w:pStyle w:val="BodyText"/>
        <w:spacing w:line="213" w:lineRule="auto" w:before="1"/>
        <w:ind w:left="3190" w:right="258"/>
      </w:pPr>
      <w:bookmarkStart w:name="_bookmark319" w:id="661"/>
      <w:bookmarkEnd w:id="661"/>
      <w:r>
        <w:rPr/>
      </w:r>
      <w:r>
        <w:rPr>
          <w:color w:val="231F20"/>
        </w:rPr>
        <w:t>Here is another example using the MIN formula function, which is a </w:t>
      </w:r>
      <w:r>
        <w:rPr>
          <w:rFonts w:ascii="Book Antiqua"/>
          <w:i/>
          <w:color w:val="231F20"/>
        </w:rPr>
        <w:t>group</w:t>
      </w:r>
      <w:r>
        <w:rPr>
          <w:rFonts w:ascii="Book Antiqua"/>
          <w:i/>
          <w:color w:val="231F20"/>
        </w:rPr>
        <w:t> function</w:t>
      </w:r>
      <w:r>
        <w:rPr>
          <w:color w:val="231F20"/>
        </w:rPr>
        <w:t>.</w:t>
      </w:r>
      <w:r>
        <w:rPr>
          <w:color w:val="231F20"/>
          <w:spacing w:val="29"/>
        </w:rPr>
        <w:t> </w:t>
      </w:r>
      <w:r>
        <w:rPr>
          <w:color w:val="231F20"/>
        </w:rPr>
        <w:t>This</w:t>
      </w:r>
      <w:r>
        <w:rPr>
          <w:color w:val="231F20"/>
          <w:spacing w:val="29"/>
        </w:rPr>
        <w:t> </w:t>
      </w:r>
      <w:r>
        <w:rPr>
          <w:color w:val="231F20"/>
        </w:rPr>
        <w:t>formula</w:t>
      </w:r>
      <w:r>
        <w:rPr>
          <w:color w:val="231F20"/>
          <w:spacing w:val="29"/>
        </w:rPr>
        <w:t> </w:t>
      </w:r>
      <w:r>
        <w:rPr>
          <w:color w:val="231F20"/>
        </w:rPr>
        <w:t>finds</w:t>
      </w:r>
      <w:r>
        <w:rPr>
          <w:color w:val="231F20"/>
          <w:spacing w:val="29"/>
        </w:rPr>
        <w:t> </w:t>
      </w:r>
      <w:r>
        <w:rPr>
          <w:color w:val="231F20"/>
        </w:rPr>
        <w:t>the</w:t>
      </w:r>
      <w:r>
        <w:rPr>
          <w:color w:val="231F20"/>
          <w:spacing w:val="29"/>
        </w:rPr>
        <w:t> </w:t>
      </w:r>
      <w:r>
        <w:rPr>
          <w:color w:val="231F20"/>
        </w:rPr>
        <w:t>process</w:t>
      </w:r>
      <w:r>
        <w:rPr>
          <w:color w:val="231F20"/>
          <w:spacing w:val="29"/>
        </w:rPr>
        <w:t> </w:t>
      </w:r>
      <w:r>
        <w:rPr>
          <w:color w:val="231F20"/>
        </w:rPr>
        <w:t>with</w:t>
      </w:r>
      <w:r>
        <w:rPr>
          <w:color w:val="231F20"/>
          <w:spacing w:val="29"/>
        </w:rPr>
        <w:t> </w:t>
      </w:r>
      <w:r>
        <w:rPr>
          <w:color w:val="231F20"/>
        </w:rPr>
        <w:t>the</w:t>
      </w:r>
      <w:r>
        <w:rPr>
          <w:color w:val="231F20"/>
          <w:spacing w:val="29"/>
        </w:rPr>
        <w:t> </w:t>
      </w:r>
      <w:r>
        <w:rPr>
          <w:color w:val="231F20"/>
        </w:rPr>
        <w:t>lowest</w:t>
      </w:r>
      <w:r>
        <w:rPr>
          <w:color w:val="231F20"/>
          <w:spacing w:val="29"/>
        </w:rPr>
        <w:t> </w:t>
      </w:r>
      <w:r>
        <w:rPr>
          <w:color w:val="231F20"/>
        </w:rPr>
        <w:t>priority</w:t>
      </w:r>
      <w:r>
        <w:rPr>
          <w:color w:val="231F20"/>
          <w:spacing w:val="29"/>
        </w:rPr>
        <w:t> </w:t>
      </w:r>
      <w:r>
        <w:rPr>
          <w:color w:val="231F20"/>
        </w:rPr>
        <w:t>base.</w:t>
      </w:r>
      <w:r>
        <w:rPr>
          <w:color w:val="231F20"/>
          <w:spacing w:val="29"/>
        </w:rPr>
        <w:t> </w:t>
      </w:r>
      <w:r>
        <w:rPr>
          <w:color w:val="231F20"/>
        </w:rPr>
        <w:t>If this process also uses 20% or more privileged time, the comparison is true.</w:t>
      </w:r>
    </w:p>
    <w:p>
      <w:pPr>
        <w:pStyle w:val="BodyText"/>
        <w:spacing w:before="7"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840"/>
        <w:gridCol w:w="3354"/>
        <w:gridCol w:w="3339"/>
      </w:tblGrid>
      <w:tr>
        <w:trPr>
          <w:trHeight w:val="274" w:hRule="atLeast"/>
        </w:trPr>
        <w:tc>
          <w:tcPr>
            <w:tcW w:w="840" w:type="dxa"/>
          </w:tcPr>
          <w:p>
            <w:pPr>
              <w:pStyle w:val="TableParagraph"/>
              <w:spacing w:before="0"/>
              <w:ind w:left="0"/>
              <w:rPr>
                <w:rFonts w:ascii="Times New Roman"/>
                <w:sz w:val="20"/>
              </w:rPr>
            </w:pPr>
          </w:p>
        </w:tc>
        <w:tc>
          <w:tcPr>
            <w:tcW w:w="3354" w:type="dxa"/>
          </w:tcPr>
          <w:p>
            <w:pPr>
              <w:pStyle w:val="TableParagraph"/>
              <w:spacing w:before="10"/>
              <w:rPr>
                <w:rFonts w:ascii="Book Antiqua"/>
                <w:b/>
                <w:sz w:val="18"/>
              </w:rPr>
            </w:pPr>
            <w:r>
              <w:rPr>
                <w:rFonts w:ascii="Book Antiqua"/>
                <w:b/>
                <w:color w:val="231F20"/>
                <w:sz w:val="18"/>
              </w:rPr>
              <w:t>Priority</w:t>
            </w:r>
            <w:r>
              <w:rPr>
                <w:rFonts w:ascii="Book Antiqua"/>
                <w:b/>
                <w:color w:val="231F20"/>
                <w:spacing w:val="7"/>
                <w:sz w:val="18"/>
              </w:rPr>
              <w:t> </w:t>
            </w:r>
            <w:r>
              <w:rPr>
                <w:rFonts w:ascii="Book Antiqua"/>
                <w:b/>
                <w:color w:val="231F20"/>
                <w:spacing w:val="-4"/>
                <w:sz w:val="18"/>
              </w:rPr>
              <w:t>Base</w:t>
            </w:r>
          </w:p>
        </w:tc>
        <w:tc>
          <w:tcPr>
            <w:tcW w:w="3339" w:type="dxa"/>
          </w:tcPr>
          <w:p>
            <w:pPr>
              <w:pStyle w:val="TableParagraph"/>
              <w:spacing w:before="10"/>
              <w:ind w:left="60"/>
              <w:rPr>
                <w:rFonts w:ascii="Book Antiqua"/>
                <w:b/>
                <w:sz w:val="18"/>
              </w:rPr>
            </w:pPr>
            <w:r>
              <w:rPr>
                <w:rFonts w:ascii="Book Antiqua"/>
                <w:b/>
                <w:color w:val="231F20"/>
                <w:sz w:val="18"/>
              </w:rPr>
              <w:t>%</w:t>
            </w:r>
            <w:r>
              <w:rPr>
                <w:rFonts w:ascii="Book Antiqua"/>
                <w:b/>
                <w:color w:val="231F20"/>
                <w:spacing w:val="8"/>
                <w:sz w:val="18"/>
              </w:rPr>
              <w:t> </w:t>
            </w:r>
            <w:r>
              <w:rPr>
                <w:rFonts w:ascii="Book Antiqua"/>
                <w:b/>
                <w:color w:val="231F20"/>
                <w:sz w:val="18"/>
              </w:rPr>
              <w:t>Privileged</w:t>
            </w:r>
            <w:r>
              <w:rPr>
                <w:rFonts w:ascii="Book Antiqua"/>
                <w:b/>
                <w:color w:val="231F20"/>
                <w:spacing w:val="9"/>
                <w:sz w:val="18"/>
              </w:rPr>
              <w:t> </w:t>
            </w:r>
            <w:r>
              <w:rPr>
                <w:rFonts w:ascii="Book Antiqua"/>
                <w:b/>
                <w:color w:val="231F20"/>
                <w:spacing w:val="-4"/>
                <w:sz w:val="18"/>
              </w:rPr>
              <w:t>Time</w:t>
            </w:r>
          </w:p>
        </w:tc>
      </w:tr>
      <w:tr>
        <w:trPr>
          <w:trHeight w:val="314" w:hRule="atLeast"/>
        </w:trPr>
        <w:tc>
          <w:tcPr>
            <w:tcW w:w="840" w:type="dxa"/>
          </w:tcPr>
          <w:p>
            <w:pPr>
              <w:pStyle w:val="TableParagraph"/>
              <w:ind w:left="44"/>
              <w:rPr>
                <w:sz w:val="18"/>
              </w:rPr>
            </w:pPr>
            <w:r>
              <w:rPr>
                <w:color w:val="231F20"/>
                <w:spacing w:val="-10"/>
                <w:sz w:val="18"/>
              </w:rPr>
              <w:t>1</w:t>
            </w:r>
          </w:p>
        </w:tc>
        <w:tc>
          <w:tcPr>
            <w:tcW w:w="3354" w:type="dxa"/>
          </w:tcPr>
          <w:p>
            <w:pPr>
              <w:pStyle w:val="TableParagraph"/>
              <w:spacing w:before="45"/>
              <w:rPr>
                <w:rFonts w:ascii="Arial"/>
                <w:sz w:val="18"/>
              </w:rPr>
            </w:pPr>
            <w:r>
              <w:rPr/>
              <w:drawing>
                <wp:inline distT="0" distB="0" distL="0" distR="0">
                  <wp:extent cx="88900" cy="88900"/>
                  <wp:effectExtent l="0" t="0" r="0" b="0"/>
                  <wp:docPr id="3297" name="Image 3297"/>
                  <wp:cNvGraphicFramePr>
                    <a:graphicFrameLocks/>
                  </wp:cNvGraphicFramePr>
                  <a:graphic>
                    <a:graphicData uri="http://schemas.openxmlformats.org/drawingml/2006/picture">
                      <pic:pic>
                        <pic:nvPicPr>
                          <pic:cNvPr id="3297" name="Image 3297"/>
                          <pic:cNvPicPr/>
                        </pic:nvPicPr>
                        <pic:blipFill>
                          <a:blip r:embed="rId339" cstate="print"/>
                          <a:stretch>
                            <a:fillRect/>
                          </a:stretch>
                        </pic:blipFill>
                        <pic:spPr>
                          <a:xfrm>
                            <a:off x="0" y="0"/>
                            <a:ext cx="88900" cy="88900"/>
                          </a:xfrm>
                          <a:prstGeom prst="rect">
                            <a:avLst/>
                          </a:prstGeom>
                        </pic:spPr>
                      </pic:pic>
                    </a:graphicData>
                  </a:graphic>
                </wp:inline>
              </w:drawing>
            </w:r>
            <w:r>
              <w:rPr/>
            </w:r>
            <w:r>
              <w:rPr>
                <w:rFonts w:ascii="Times New Roman"/>
                <w:spacing w:val="80"/>
                <w:position w:val="2"/>
                <w:sz w:val="20"/>
              </w:rPr>
              <w:t> </w:t>
            </w:r>
            <w:r>
              <w:rPr>
                <w:rFonts w:ascii="Arial"/>
                <w:color w:val="231F20"/>
                <w:w w:val="95"/>
                <w:position w:val="2"/>
                <w:sz w:val="18"/>
              </w:rPr>
              <w:t>==</w:t>
            </w:r>
            <w:r>
              <w:rPr>
                <w:rFonts w:ascii="Arial"/>
                <w:color w:val="231F20"/>
                <w:spacing w:val="40"/>
                <w:position w:val="2"/>
                <w:sz w:val="18"/>
              </w:rPr>
              <w:t> </w:t>
            </w:r>
            <w:r>
              <w:rPr>
                <w:rFonts w:ascii="Arial"/>
                <w:color w:val="231F20"/>
                <w:w w:val="95"/>
                <w:position w:val="2"/>
                <w:sz w:val="18"/>
              </w:rPr>
              <w:t>*TRUE</w:t>
            </w:r>
          </w:p>
        </w:tc>
        <w:tc>
          <w:tcPr>
            <w:tcW w:w="3339" w:type="dxa"/>
          </w:tcPr>
          <w:p>
            <w:pPr>
              <w:pStyle w:val="TableParagraph"/>
              <w:spacing w:before="45"/>
              <w:ind w:left="60"/>
              <w:rPr>
                <w:rFonts w:ascii="Arial"/>
                <w:sz w:val="18"/>
              </w:rPr>
            </w:pPr>
            <w:r>
              <w:rPr>
                <w:rFonts w:ascii="Arial"/>
                <w:color w:val="231F20"/>
                <w:w w:val="95"/>
                <w:sz w:val="18"/>
              </w:rPr>
              <w:t>&gt;=</w:t>
            </w:r>
            <w:r>
              <w:rPr>
                <w:rFonts w:ascii="Arial"/>
                <w:color w:val="231F20"/>
                <w:spacing w:val="17"/>
                <w:sz w:val="18"/>
              </w:rPr>
              <w:t> </w:t>
            </w:r>
            <w:r>
              <w:rPr>
                <w:rFonts w:ascii="Arial"/>
                <w:color w:val="231F20"/>
                <w:spacing w:val="-5"/>
                <w:w w:val="95"/>
                <w:sz w:val="18"/>
              </w:rPr>
              <w:t>20</w:t>
            </w:r>
          </w:p>
        </w:tc>
      </w:tr>
    </w:tbl>
    <w:p>
      <w:pPr>
        <w:pStyle w:val="BodyText"/>
        <w:spacing w:before="120"/>
      </w:pPr>
      <w:r>
        <w:rPr/>
        <mc:AlternateContent>
          <mc:Choice Requires="wps">
            <w:drawing>
              <wp:anchor distT="0" distB="0" distL="0" distR="0" allowOverlap="1" layoutInCell="1" locked="0" behindDoc="1" simplePos="0" relativeHeight="487747072">
                <wp:simplePos x="0" y="0"/>
                <wp:positionH relativeFrom="page">
                  <wp:posOffset>912380</wp:posOffset>
                </wp:positionH>
                <wp:positionV relativeFrom="paragraph">
                  <wp:posOffset>263302</wp:posOffset>
                </wp:positionV>
                <wp:extent cx="6082665" cy="1270"/>
                <wp:effectExtent l="0" t="0" r="0" b="0"/>
                <wp:wrapTopAndBottom/>
                <wp:docPr id="3298" name="Graphic 3298"/>
                <wp:cNvGraphicFramePr>
                  <a:graphicFrameLocks/>
                </wp:cNvGraphicFramePr>
                <a:graphic>
                  <a:graphicData uri="http://schemas.microsoft.com/office/word/2010/wordprocessingShape">
                    <wps:wsp>
                      <wps:cNvPr id="3298" name="Graphic 329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20.732500pt;width:478.95pt;height:.1pt;mso-position-horizontal-relative:page;mso-position-vertical-relative:paragraph;z-index:-15569408;mso-wrap-distance-left:0;mso-wrap-distance-right:0" id="docshape270" coordorigin="1437,415" coordsize="9579,0" path="m1437,415l11016,415e" filled="false" stroked="true" strokeweight=".499pt" strokecolor="#231f20">
                <v:path arrowok="t"/>
                <v:stroke dashstyle="solid"/>
                <w10:wrap type="topAndBottom"/>
              </v:shape>
            </w:pict>
          </mc:Fallback>
        </mc:AlternateContent>
      </w:r>
    </w:p>
    <w:p>
      <w:pPr>
        <w:pStyle w:val="Heading3"/>
      </w:pPr>
      <w:bookmarkStart w:name="Attribute and attribute group characteri" w:id="662"/>
      <w:bookmarkEnd w:id="662"/>
      <w:r>
        <w:rPr>
          <w:b w:val="0"/>
        </w:rPr>
      </w:r>
      <w:r>
        <w:rPr>
          <w:color w:val="231F20"/>
        </w:rPr>
        <w:t>Attribute</w:t>
      </w:r>
      <w:r>
        <w:rPr>
          <w:color w:val="231F20"/>
          <w:spacing w:val="6"/>
        </w:rPr>
        <w:t> </w:t>
      </w:r>
      <w:r>
        <w:rPr>
          <w:color w:val="231F20"/>
        </w:rPr>
        <w:t>and</w:t>
      </w:r>
      <w:r>
        <w:rPr>
          <w:color w:val="231F20"/>
          <w:spacing w:val="6"/>
        </w:rPr>
        <w:t> </w:t>
      </w:r>
      <w:r>
        <w:rPr>
          <w:color w:val="231F20"/>
        </w:rPr>
        <w:t>attribute</w:t>
      </w:r>
      <w:r>
        <w:rPr>
          <w:color w:val="231F20"/>
          <w:spacing w:val="6"/>
        </w:rPr>
        <w:t> </w:t>
      </w:r>
      <w:r>
        <w:rPr>
          <w:color w:val="231F20"/>
        </w:rPr>
        <w:t>group</w:t>
      </w:r>
      <w:r>
        <w:rPr>
          <w:color w:val="231F20"/>
          <w:spacing w:val="6"/>
        </w:rPr>
        <w:t> </w:t>
      </w:r>
      <w:r>
        <w:rPr>
          <w:color w:val="231F20"/>
          <w:spacing w:val="-2"/>
        </w:rPr>
        <w:t>characteristics</w:t>
      </w:r>
    </w:p>
    <w:p>
      <w:pPr>
        <w:pStyle w:val="BodyText"/>
        <w:spacing w:line="213" w:lineRule="auto" w:before="138"/>
        <w:ind w:left="2472" w:right="545"/>
      </w:pPr>
      <w:r>
        <w:rPr>
          <w:color w:val="231F20"/>
        </w:rPr>
        <w:t>Formula functions treat attributes as numeric, text or timestamp. Attributes also have other characteristics that further categorize them and inform your choice </w:t>
      </w:r>
      <w:r>
        <w:rPr>
          <w:color w:val="231F20"/>
        </w:rPr>
        <w:t>of formula function or query-based view..</w:t>
      </w:r>
    </w:p>
    <w:p>
      <w:pPr>
        <w:pStyle w:val="Heading6"/>
        <w:spacing w:line="240" w:lineRule="auto"/>
      </w:pPr>
      <w:r>
        <w:rPr>
          <w:color w:val="231F20"/>
          <w:spacing w:val="-2"/>
        </w:rPr>
        <w:t>Numeric</w:t>
      </w:r>
    </w:p>
    <w:p>
      <w:pPr>
        <w:pStyle w:val="BodyText"/>
        <w:spacing w:line="208" w:lineRule="auto" w:before="9"/>
        <w:ind w:left="3190" w:right="545"/>
      </w:pPr>
      <w:r>
        <w:rPr/>
        <w:drawing>
          <wp:inline distT="0" distB="0" distL="0" distR="0">
            <wp:extent cx="88900" cy="88900"/>
            <wp:effectExtent l="0" t="0" r="0" b="0"/>
            <wp:docPr id="3299" name="Image 3299"/>
            <wp:cNvGraphicFramePr>
              <a:graphicFrameLocks/>
            </wp:cNvGraphicFramePr>
            <a:graphic>
              <a:graphicData uri="http://schemas.openxmlformats.org/drawingml/2006/picture">
                <pic:pic>
                  <pic:nvPicPr>
                    <pic:cNvPr id="3299" name="Image 3299"/>
                    <pic:cNvPicPr/>
                  </pic:nvPicPr>
                  <pic:blipFill>
                    <a:blip r:embed="rId479" cstate="print"/>
                    <a:stretch>
                      <a:fillRect/>
                    </a:stretch>
                  </pic:blipFill>
                  <pic:spPr>
                    <a:xfrm>
                      <a:off x="0" y="0"/>
                      <a:ext cx="88900" cy="88900"/>
                    </a:xfrm>
                    <a:prstGeom prst="rect">
                      <a:avLst/>
                    </a:prstGeom>
                  </pic:spPr>
                </pic:pic>
              </a:graphicData>
            </a:graphic>
          </wp:inline>
        </w:drawing>
      </w:r>
      <w:r>
        <w:rPr/>
      </w:r>
      <w:r>
        <w:rPr>
          <w:rFonts w:ascii="Times New Roman"/>
          <w:spacing w:val="-6"/>
        </w:rPr>
        <w:t> </w:t>
      </w:r>
      <w:r>
        <w:rPr>
          <w:color w:val="231F20"/>
        </w:rPr>
        <w:t>Numeric attributes can represent a percentage, seconds, bytes or </w:t>
      </w:r>
      <w:r>
        <w:rPr>
          <w:color w:val="231F20"/>
        </w:rPr>
        <w:t>some other unit of measurement.</w:t>
      </w:r>
    </w:p>
    <w:p>
      <w:pPr>
        <w:pStyle w:val="BodyText"/>
        <w:spacing w:line="213" w:lineRule="auto" w:before="120"/>
        <w:ind w:left="3190" w:right="274"/>
      </w:pPr>
      <w:r>
        <w:rPr>
          <w:color w:val="231F20"/>
        </w:rPr>
        <w:t>When entering a hexadecimal value in a cell, prefix the number with zero and the letter “x”, as in 0x123ab for hex value 123ab. In z/OS </w:t>
      </w:r>
      <w:r>
        <w:rPr>
          <w:color w:val="231F20"/>
        </w:rPr>
        <w:t>applications,</w:t>
      </w:r>
      <w:r>
        <w:rPr>
          <w:color w:val="231F20"/>
          <w:spacing w:val="40"/>
        </w:rPr>
        <w:t> </w:t>
      </w:r>
      <w:r>
        <w:rPr>
          <w:color w:val="231F20"/>
        </w:rPr>
        <w:t>for example, DASD volume serial numbers are hexadecimal.</w:t>
      </w:r>
    </w:p>
    <w:p>
      <w:pPr>
        <w:pStyle w:val="BodyText"/>
        <w:tabs>
          <w:tab w:pos="3190" w:val="left" w:leader="none"/>
        </w:tabs>
        <w:spacing w:line="208" w:lineRule="auto" w:before="127"/>
        <w:ind w:left="3190" w:right="188" w:hanging="719"/>
      </w:pPr>
      <w:r>
        <w:rPr>
          <w:rFonts w:ascii="Book Antiqua"/>
          <w:b/>
          <w:color w:val="231F20"/>
          <w:spacing w:val="-4"/>
        </w:rPr>
        <w:t>Text</w:t>
      </w:r>
      <w:r>
        <w:rPr>
          <w:rFonts w:ascii="Book Antiqua"/>
          <w:b/>
          <w:color w:val="231F20"/>
        </w:rPr>
        <w:tab/>
      </w:r>
      <w:r>
        <w:rPr>
          <w:rFonts w:ascii="Book Antiqua"/>
          <w:b/>
          <w:color w:val="231F20"/>
        </w:rPr>
        <w:drawing>
          <wp:inline distT="0" distB="0" distL="0" distR="0">
            <wp:extent cx="88900" cy="88900"/>
            <wp:effectExtent l="0" t="0" r="0" b="0"/>
            <wp:docPr id="3300" name="Image 3300"/>
            <wp:cNvGraphicFramePr>
              <a:graphicFrameLocks/>
            </wp:cNvGraphicFramePr>
            <a:graphic>
              <a:graphicData uri="http://schemas.openxmlformats.org/drawingml/2006/picture">
                <pic:pic>
                  <pic:nvPicPr>
                    <pic:cNvPr id="3300" name="Image 3300"/>
                    <pic:cNvPicPr/>
                  </pic:nvPicPr>
                  <pic:blipFill>
                    <a:blip r:embed="rId480" cstate="print"/>
                    <a:stretch>
                      <a:fillRect/>
                    </a:stretch>
                  </pic:blipFill>
                  <pic:spPr>
                    <a:xfrm>
                      <a:off x="0" y="0"/>
                      <a:ext cx="88900" cy="88900"/>
                    </a:xfrm>
                    <a:prstGeom prst="rect">
                      <a:avLst/>
                    </a:prstGeom>
                  </pic:spPr>
                </pic:pic>
              </a:graphicData>
            </a:graphic>
          </wp:inline>
        </w:drawing>
      </w:r>
      <w:r>
        <w:rPr>
          <w:rFonts w:ascii="Book Antiqua"/>
          <w:b/>
          <w:color w:val="231F20"/>
        </w:rPr>
      </w:r>
      <w:r>
        <w:rPr>
          <w:rFonts w:ascii="Times New Roman"/>
          <w:color w:val="231F20"/>
        </w:rPr>
        <w:t> </w:t>
      </w:r>
      <w:r>
        <w:rPr>
          <w:color w:val="231F20"/>
        </w:rPr>
        <w:t>Single quotes are required around multiple-word text values. The timestamp</w:t>
      </w:r>
      <w:r>
        <w:rPr>
          <w:color w:val="231F20"/>
          <w:spacing w:val="6"/>
        </w:rPr>
        <w:t> </w:t>
      </w:r>
      <w:r>
        <w:rPr>
          <w:color w:val="231F20"/>
        </w:rPr>
        <w:t>and,</w:t>
      </w:r>
      <w:r>
        <w:rPr>
          <w:color w:val="231F20"/>
          <w:spacing w:val="7"/>
        </w:rPr>
        <w:t> </w:t>
      </w:r>
      <w:r>
        <w:rPr>
          <w:color w:val="231F20"/>
        </w:rPr>
        <w:t>usually,</w:t>
      </w:r>
      <w:r>
        <w:rPr>
          <w:color w:val="231F20"/>
          <w:spacing w:val="6"/>
        </w:rPr>
        <w:t> </w:t>
      </w:r>
      <w:r>
        <w:rPr>
          <w:color w:val="231F20"/>
        </w:rPr>
        <w:t>enumerated</w:t>
      </w:r>
      <w:r>
        <w:rPr>
          <w:color w:val="231F20"/>
          <w:spacing w:val="7"/>
        </w:rPr>
        <w:t> </w:t>
      </w:r>
      <w:r>
        <w:rPr>
          <w:color w:val="231F20"/>
        </w:rPr>
        <w:t>attributes</w:t>
      </w:r>
      <w:r>
        <w:rPr>
          <w:color w:val="231F20"/>
          <w:spacing w:val="7"/>
        </w:rPr>
        <w:t> </w:t>
      </w:r>
      <w:r>
        <w:rPr>
          <w:color w:val="231F20"/>
        </w:rPr>
        <w:t>are</w:t>
      </w:r>
      <w:r>
        <w:rPr>
          <w:color w:val="231F20"/>
          <w:spacing w:val="6"/>
        </w:rPr>
        <w:t> </w:t>
      </w:r>
      <w:r>
        <w:rPr>
          <w:color w:val="231F20"/>
        </w:rPr>
        <w:t>treated</w:t>
      </w:r>
      <w:r>
        <w:rPr>
          <w:color w:val="231F20"/>
          <w:spacing w:val="7"/>
        </w:rPr>
        <w:t> </w:t>
      </w:r>
      <w:r>
        <w:rPr>
          <w:color w:val="231F20"/>
        </w:rPr>
        <w:t>as</w:t>
      </w:r>
      <w:r>
        <w:rPr>
          <w:color w:val="231F20"/>
          <w:spacing w:val="6"/>
        </w:rPr>
        <w:t> </w:t>
      </w:r>
      <w:r>
        <w:rPr>
          <w:color w:val="231F20"/>
        </w:rPr>
        <w:t>text</w:t>
      </w:r>
      <w:r>
        <w:rPr>
          <w:color w:val="231F20"/>
          <w:spacing w:val="7"/>
        </w:rPr>
        <w:t> </w:t>
      </w:r>
      <w:r>
        <w:rPr>
          <w:color w:val="231F20"/>
          <w:spacing w:val="-2"/>
        </w:rPr>
        <w:t>attributes.</w:t>
      </w:r>
    </w:p>
    <w:p>
      <w:pPr>
        <w:spacing w:line="213" w:lineRule="auto" w:before="120"/>
        <w:ind w:left="3190" w:right="258" w:firstLine="0"/>
        <w:jc w:val="left"/>
        <w:rPr>
          <w:sz w:val="20"/>
        </w:rPr>
      </w:pPr>
      <w:r>
        <w:rPr>
          <w:color w:val="231F20"/>
          <w:sz w:val="20"/>
        </w:rPr>
        <w:t>Words with apostrophes, such as </w:t>
      </w:r>
      <w:r>
        <w:rPr>
          <w:rFonts w:ascii="Book Antiqua"/>
          <w:b/>
          <w:color w:val="231F20"/>
          <w:sz w:val="20"/>
        </w:rPr>
        <w:t>that's </w:t>
      </w:r>
      <w:r>
        <w:rPr>
          <w:color w:val="231F20"/>
          <w:sz w:val="20"/>
        </w:rPr>
        <w:t>or </w:t>
      </w:r>
      <w:r>
        <w:rPr>
          <w:rFonts w:ascii="Book Antiqua"/>
          <w:b/>
          <w:color w:val="231F20"/>
          <w:sz w:val="20"/>
        </w:rPr>
        <w:t>agent's</w:t>
      </w:r>
      <w:r>
        <w:rPr>
          <w:color w:val="231F20"/>
          <w:sz w:val="20"/>
        </w:rPr>
        <w:t>, cannot be used. </w:t>
      </w:r>
      <w:r>
        <w:rPr>
          <w:color w:val="231F20"/>
          <w:sz w:val="20"/>
        </w:rPr>
        <w:t>Instead, consider using a wildcard or, if appropriate, use </w:t>
      </w:r>
      <w:r>
        <w:rPr>
          <w:color w:val="231F20"/>
          <w:spacing w:val="15"/>
          <w:sz w:val="20"/>
        </w:rPr>
        <w:drawing>
          <wp:inline distT="0" distB="0" distL="0" distR="0">
            <wp:extent cx="88900" cy="88900"/>
            <wp:effectExtent l="0" t="0" r="0" b="0"/>
            <wp:docPr id="3301" name="Image 3301"/>
            <wp:cNvGraphicFramePr>
              <a:graphicFrameLocks/>
            </wp:cNvGraphicFramePr>
            <a:graphic>
              <a:graphicData uri="http://schemas.openxmlformats.org/drawingml/2006/picture">
                <pic:pic>
                  <pic:nvPicPr>
                    <pic:cNvPr id="3301" name="Image 3301"/>
                    <pic:cNvPicPr/>
                  </pic:nvPicPr>
                  <pic:blipFill>
                    <a:blip r:embed="rId159" cstate="print"/>
                    <a:stretch>
                      <a:fillRect/>
                    </a:stretch>
                  </pic:blipFill>
                  <pic:spPr>
                    <a:xfrm>
                      <a:off x="0" y="0"/>
                      <a:ext cx="88900" cy="88900"/>
                    </a:xfrm>
                    <a:prstGeom prst="rect">
                      <a:avLst/>
                    </a:prstGeom>
                  </pic:spPr>
                </pic:pic>
              </a:graphicData>
            </a:graphic>
          </wp:inline>
        </w:drawing>
      </w:r>
      <w:r>
        <w:rPr>
          <w:color w:val="231F20"/>
          <w:spacing w:val="15"/>
          <w:sz w:val="20"/>
        </w:rPr>
      </w:r>
      <w:r>
        <w:rPr>
          <w:rFonts w:ascii="Times New Roman"/>
          <w:color w:val="231F20"/>
          <w:spacing w:val="15"/>
          <w:sz w:val="20"/>
        </w:rPr>
        <w:t> </w:t>
      </w:r>
      <w:r>
        <w:rPr>
          <w:rFonts w:ascii="Book Antiqua"/>
          <w:b/>
          <w:color w:val="231F20"/>
          <w:sz w:val="20"/>
        </w:rPr>
        <w:t>Return a subset of the string or </w:t>
      </w:r>
      <w:r>
        <w:rPr>
          <w:color w:val="231F20"/>
          <w:sz w:val="20"/>
        </w:rPr>
        <w:t>or </w:t>
      </w:r>
      <w:r>
        <w:rPr>
          <w:color w:val="231F20"/>
          <w:spacing w:val="16"/>
          <w:sz w:val="20"/>
        </w:rPr>
        <w:drawing>
          <wp:inline distT="0" distB="0" distL="0" distR="0">
            <wp:extent cx="88900" cy="88900"/>
            <wp:effectExtent l="0" t="0" r="0" b="0"/>
            <wp:docPr id="3302" name="Image 3302"/>
            <wp:cNvGraphicFramePr>
              <a:graphicFrameLocks/>
            </wp:cNvGraphicFramePr>
            <a:graphic>
              <a:graphicData uri="http://schemas.openxmlformats.org/drawingml/2006/picture">
                <pic:pic>
                  <pic:nvPicPr>
                    <pic:cNvPr id="3302" name="Image 3302"/>
                    <pic:cNvPicPr/>
                  </pic:nvPicPr>
                  <pic:blipFill>
                    <a:blip r:embed="rId158" cstate="print"/>
                    <a:stretch>
                      <a:fillRect/>
                    </a:stretch>
                  </pic:blipFill>
                  <pic:spPr>
                    <a:xfrm>
                      <a:off x="0" y="0"/>
                      <a:ext cx="88900" cy="88900"/>
                    </a:xfrm>
                    <a:prstGeom prst="rect">
                      <a:avLst/>
                    </a:prstGeom>
                  </pic:spPr>
                </pic:pic>
              </a:graphicData>
            </a:graphic>
          </wp:inline>
        </w:drawing>
      </w:r>
      <w:r>
        <w:rPr>
          <w:color w:val="231F20"/>
          <w:spacing w:val="16"/>
          <w:sz w:val="20"/>
        </w:rPr>
      </w:r>
      <w:r>
        <w:rPr>
          <w:rFonts w:ascii="Times New Roman"/>
          <w:color w:val="231F20"/>
          <w:spacing w:val="16"/>
          <w:sz w:val="20"/>
        </w:rPr>
        <w:t> </w:t>
      </w:r>
      <w:r>
        <w:rPr>
          <w:rFonts w:ascii="Book Antiqua"/>
          <w:b/>
          <w:color w:val="231F20"/>
          <w:sz w:val="20"/>
        </w:rPr>
        <w:t>Scan for string within a string </w:t>
      </w:r>
      <w:r>
        <w:rPr>
          <w:color w:val="231F20"/>
          <w:sz w:val="20"/>
        </w:rPr>
        <w:t>and specify the letters</w:t>
      </w:r>
      <w:r>
        <w:rPr>
          <w:color w:val="231F20"/>
          <w:spacing w:val="40"/>
          <w:sz w:val="20"/>
        </w:rPr>
        <w:t> </w:t>
      </w:r>
      <w:r>
        <w:rPr>
          <w:color w:val="231F20"/>
          <w:sz w:val="20"/>
        </w:rPr>
        <w:t>preceding the apostrophe.</w:t>
      </w:r>
    </w:p>
    <w:p>
      <w:pPr>
        <w:spacing w:line="213" w:lineRule="auto" w:before="117"/>
        <w:ind w:left="3190" w:right="208" w:firstLine="0"/>
        <w:jc w:val="left"/>
        <w:rPr>
          <w:sz w:val="20"/>
        </w:rPr>
      </w:pPr>
      <w:r>
        <w:rPr>
          <w:color w:val="231F20"/>
          <w:sz w:val="20"/>
        </w:rPr>
        <w:t>You</w:t>
      </w:r>
      <w:r>
        <w:rPr>
          <w:color w:val="231F20"/>
          <w:spacing w:val="19"/>
          <w:sz w:val="20"/>
        </w:rPr>
        <w:t> </w:t>
      </w:r>
      <w:r>
        <w:rPr>
          <w:color w:val="231F20"/>
          <w:sz w:val="20"/>
        </w:rPr>
        <w:t>can</w:t>
      </w:r>
      <w:r>
        <w:rPr>
          <w:color w:val="231F20"/>
          <w:spacing w:val="19"/>
          <w:sz w:val="20"/>
        </w:rPr>
        <w:t> </w:t>
      </w:r>
      <w:r>
        <w:rPr>
          <w:color w:val="231F20"/>
          <w:sz w:val="20"/>
        </w:rPr>
        <w:t>use</w:t>
      </w:r>
      <w:r>
        <w:rPr>
          <w:color w:val="231F20"/>
          <w:spacing w:val="19"/>
          <w:sz w:val="20"/>
        </w:rPr>
        <w:t> </w:t>
      </w:r>
      <w:r>
        <w:rPr>
          <w:color w:val="231F20"/>
          <w:sz w:val="20"/>
        </w:rPr>
        <w:t>an</w:t>
      </w:r>
      <w:r>
        <w:rPr>
          <w:color w:val="231F20"/>
          <w:spacing w:val="19"/>
          <w:sz w:val="20"/>
        </w:rPr>
        <w:t> </w:t>
      </w:r>
      <w:r>
        <w:rPr>
          <w:color w:val="231F20"/>
          <w:sz w:val="20"/>
        </w:rPr>
        <w:t>*</w:t>
      </w:r>
      <w:r>
        <w:rPr>
          <w:color w:val="231F20"/>
          <w:spacing w:val="19"/>
          <w:sz w:val="20"/>
        </w:rPr>
        <w:t> </w:t>
      </w:r>
      <w:r>
        <w:rPr>
          <w:color w:val="231F20"/>
          <w:sz w:val="20"/>
        </w:rPr>
        <w:t>asterisk</w:t>
      </w:r>
      <w:r>
        <w:rPr>
          <w:color w:val="231F20"/>
          <w:spacing w:val="19"/>
          <w:sz w:val="20"/>
        </w:rPr>
        <w:t> </w:t>
      </w:r>
      <w:r>
        <w:rPr>
          <w:color w:val="231F20"/>
          <w:sz w:val="20"/>
        </w:rPr>
        <w:t>wildcard</w:t>
      </w:r>
      <w:r>
        <w:rPr>
          <w:color w:val="231F20"/>
          <w:spacing w:val="19"/>
          <w:sz w:val="20"/>
        </w:rPr>
        <w:t> </w:t>
      </w:r>
      <w:r>
        <w:rPr>
          <w:color w:val="231F20"/>
          <w:sz w:val="20"/>
        </w:rPr>
        <w:t>to</w:t>
      </w:r>
      <w:r>
        <w:rPr>
          <w:color w:val="231F20"/>
          <w:spacing w:val="19"/>
          <w:sz w:val="20"/>
        </w:rPr>
        <w:t> </w:t>
      </w:r>
      <w:r>
        <w:rPr>
          <w:color w:val="231F20"/>
          <w:sz w:val="20"/>
        </w:rPr>
        <w:t>begin</w:t>
      </w:r>
      <w:r>
        <w:rPr>
          <w:color w:val="231F20"/>
          <w:spacing w:val="19"/>
          <w:sz w:val="20"/>
        </w:rPr>
        <w:t> </w:t>
      </w:r>
      <w:r>
        <w:rPr>
          <w:color w:val="231F20"/>
          <w:sz w:val="20"/>
        </w:rPr>
        <w:t>or</w:t>
      </w:r>
      <w:r>
        <w:rPr>
          <w:color w:val="231F20"/>
          <w:spacing w:val="19"/>
          <w:sz w:val="20"/>
        </w:rPr>
        <w:t> </w:t>
      </w:r>
      <w:r>
        <w:rPr>
          <w:color w:val="231F20"/>
          <w:sz w:val="20"/>
        </w:rPr>
        <w:t>end</w:t>
      </w:r>
      <w:r>
        <w:rPr>
          <w:color w:val="231F20"/>
          <w:spacing w:val="19"/>
          <w:sz w:val="20"/>
        </w:rPr>
        <w:t> </w:t>
      </w:r>
      <w:r>
        <w:rPr>
          <w:color w:val="231F20"/>
          <w:sz w:val="20"/>
        </w:rPr>
        <w:t>the</w:t>
      </w:r>
      <w:r>
        <w:rPr>
          <w:color w:val="231F20"/>
          <w:spacing w:val="19"/>
          <w:sz w:val="20"/>
        </w:rPr>
        <w:t> </w:t>
      </w:r>
      <w:r>
        <w:rPr>
          <w:color w:val="231F20"/>
          <w:sz w:val="20"/>
        </w:rPr>
        <w:t>attribute</w:t>
      </w:r>
      <w:r>
        <w:rPr>
          <w:color w:val="231F20"/>
          <w:spacing w:val="19"/>
          <w:sz w:val="20"/>
        </w:rPr>
        <w:t> </w:t>
      </w:r>
      <w:r>
        <w:rPr>
          <w:color w:val="231F20"/>
          <w:sz w:val="20"/>
        </w:rPr>
        <w:t>value</w:t>
      </w:r>
      <w:r>
        <w:rPr>
          <w:color w:val="231F20"/>
          <w:spacing w:val="19"/>
          <w:sz w:val="20"/>
        </w:rPr>
        <w:t> </w:t>
      </w:r>
      <w:r>
        <w:rPr>
          <w:color w:val="231F20"/>
          <w:sz w:val="20"/>
        </w:rPr>
        <w:t>in</w:t>
      </w:r>
      <w:r>
        <w:rPr>
          <w:color w:val="231F20"/>
          <w:spacing w:val="19"/>
          <w:sz w:val="20"/>
        </w:rPr>
        <w:t> </w:t>
      </w:r>
      <w:r>
        <w:rPr>
          <w:color w:val="231F20"/>
          <w:sz w:val="20"/>
        </w:rPr>
        <w:t>a </w:t>
      </w:r>
      <w:r>
        <w:rPr>
          <w:color w:val="231F20"/>
          <w:sz w:val="20"/>
        </w:rPr>
        <w:drawing>
          <wp:inline distT="0" distB="0" distL="0" distR="0">
            <wp:extent cx="88900" cy="88900"/>
            <wp:effectExtent l="0" t="0" r="0" b="0"/>
            <wp:docPr id="3303" name="Image 3303"/>
            <wp:cNvGraphicFramePr>
              <a:graphicFrameLocks/>
            </wp:cNvGraphicFramePr>
            <a:graphic>
              <a:graphicData uri="http://schemas.openxmlformats.org/drawingml/2006/picture">
                <pic:pic>
                  <pic:nvPicPr>
                    <pic:cNvPr id="3303" name="Image 3303"/>
                    <pic:cNvPicPr/>
                  </pic:nvPicPr>
                  <pic:blipFill>
                    <a:blip r:embed="rId138" cstate="print"/>
                    <a:stretch>
                      <a:fillRect/>
                    </a:stretch>
                  </pic:blipFill>
                  <pic:spPr>
                    <a:xfrm>
                      <a:off x="0" y="0"/>
                      <a:ext cx="88900" cy="88900"/>
                    </a:xfrm>
                    <a:prstGeom prst="rect">
                      <a:avLst/>
                    </a:prstGeom>
                  </pic:spPr>
                </pic:pic>
              </a:graphicData>
            </a:graphic>
          </wp:inline>
        </w:drawing>
      </w:r>
      <w:r>
        <w:rPr>
          <w:color w:val="231F20"/>
          <w:sz w:val="20"/>
        </w:rPr>
      </w:r>
      <w:r>
        <w:rPr>
          <w:rFonts w:ascii="Times New Roman"/>
          <w:color w:val="231F20"/>
          <w:spacing w:val="40"/>
          <w:sz w:val="20"/>
        </w:rPr>
        <w:t> </w:t>
      </w:r>
      <w:r>
        <w:rPr>
          <w:rFonts w:ascii="Book Antiqua"/>
          <w:b/>
          <w:color w:val="231F20"/>
          <w:sz w:val="20"/>
        </w:rPr>
        <w:t>Value of expression </w:t>
      </w:r>
      <w:r>
        <w:rPr>
          <w:color w:val="231F20"/>
          <w:sz w:val="20"/>
        </w:rPr>
        <w:t>(Equal operator only), </w:t>
      </w:r>
      <w:r>
        <w:rPr>
          <w:color w:val="231F20"/>
          <w:spacing w:val="15"/>
          <w:position w:val="-1"/>
          <w:sz w:val="20"/>
        </w:rPr>
        <w:drawing>
          <wp:inline distT="0" distB="0" distL="0" distR="0">
            <wp:extent cx="101600" cy="101600"/>
            <wp:effectExtent l="0" t="0" r="0" b="0"/>
            <wp:docPr id="3304" name="Image 3304"/>
            <wp:cNvGraphicFramePr>
              <a:graphicFrameLocks/>
            </wp:cNvGraphicFramePr>
            <a:graphic>
              <a:graphicData uri="http://schemas.openxmlformats.org/drawingml/2006/picture">
                <pic:pic>
                  <pic:nvPicPr>
                    <pic:cNvPr id="3304" name="Image 3304"/>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spacing w:val="15"/>
          <w:position w:val="-1"/>
          <w:sz w:val="20"/>
        </w:rPr>
      </w:r>
      <w:r>
        <w:rPr>
          <w:rFonts w:ascii="Times New Roman"/>
          <w:color w:val="231F20"/>
          <w:spacing w:val="40"/>
          <w:sz w:val="20"/>
        </w:rPr>
        <w:t> </w:t>
      </w:r>
      <w:r>
        <w:rPr>
          <w:rFonts w:ascii="Book Antiqua"/>
          <w:b/>
          <w:color w:val="231F20"/>
          <w:sz w:val="20"/>
        </w:rPr>
        <w:t>Check for Missing Items</w:t>
      </w:r>
      <w:r>
        <w:rPr>
          <w:color w:val="231F20"/>
          <w:sz w:val="20"/>
        </w:rPr>
        <w:t>,</w:t>
      </w:r>
      <w:r>
        <w:rPr>
          <w:color w:val="231F20"/>
          <w:spacing w:val="80"/>
          <w:sz w:val="20"/>
        </w:rPr>
        <w:t> </w:t>
      </w:r>
      <w:r>
        <w:rPr>
          <w:color w:val="231F20"/>
          <w:sz w:val="20"/>
        </w:rPr>
        <w:drawing>
          <wp:inline distT="0" distB="0" distL="0" distR="0">
            <wp:extent cx="63500" cy="63500"/>
            <wp:effectExtent l="0" t="0" r="0" b="0"/>
            <wp:docPr id="3305" name="Image 3305"/>
            <wp:cNvGraphicFramePr>
              <a:graphicFrameLocks/>
            </wp:cNvGraphicFramePr>
            <a:graphic>
              <a:graphicData uri="http://schemas.openxmlformats.org/drawingml/2006/picture">
                <pic:pic>
                  <pic:nvPicPr>
                    <pic:cNvPr id="3305" name="Image 3305"/>
                    <pic:cNvPicPr/>
                  </pic:nvPicPr>
                  <pic:blipFill>
                    <a:blip r:embed="rId158" cstate="print"/>
                    <a:stretch>
                      <a:fillRect/>
                    </a:stretch>
                  </pic:blipFill>
                  <pic:spPr>
                    <a:xfrm>
                      <a:off x="0" y="0"/>
                      <a:ext cx="63500" cy="63500"/>
                    </a:xfrm>
                    <a:prstGeom prst="rect">
                      <a:avLst/>
                    </a:prstGeom>
                  </pic:spPr>
                </pic:pic>
              </a:graphicData>
            </a:graphic>
          </wp:inline>
        </w:drawing>
      </w:r>
      <w:r>
        <w:rPr>
          <w:color w:val="231F20"/>
          <w:sz w:val="20"/>
        </w:rPr>
      </w:r>
      <w:r>
        <w:rPr>
          <w:rFonts w:ascii="Times New Roman"/>
          <w:color w:val="231F20"/>
          <w:spacing w:val="40"/>
          <w:sz w:val="20"/>
        </w:rPr>
        <w:t> </w:t>
      </w:r>
      <w:r>
        <w:rPr>
          <w:rFonts w:ascii="Book Antiqua"/>
          <w:b/>
          <w:color w:val="231F20"/>
          <w:sz w:val="20"/>
        </w:rPr>
        <w:t>Scan for string within a string</w:t>
      </w:r>
      <w:r>
        <w:rPr>
          <w:color w:val="231F20"/>
          <w:sz w:val="20"/>
        </w:rPr>
        <w:t>, or </w:t>
      </w:r>
      <w:r>
        <w:rPr>
          <w:color w:val="231F20"/>
          <w:spacing w:val="15"/>
          <w:sz w:val="20"/>
        </w:rPr>
        <w:drawing>
          <wp:inline distT="0" distB="0" distL="0" distR="0">
            <wp:extent cx="88900" cy="88900"/>
            <wp:effectExtent l="0" t="0" r="0" b="0"/>
            <wp:docPr id="3306" name="Image 3306"/>
            <wp:cNvGraphicFramePr>
              <a:graphicFrameLocks/>
            </wp:cNvGraphicFramePr>
            <a:graphic>
              <a:graphicData uri="http://schemas.openxmlformats.org/drawingml/2006/picture">
                <pic:pic>
                  <pic:nvPicPr>
                    <pic:cNvPr id="3306" name="Image 3306"/>
                    <pic:cNvPicPr/>
                  </pic:nvPicPr>
                  <pic:blipFill>
                    <a:blip r:embed="rId159" cstate="print"/>
                    <a:stretch>
                      <a:fillRect/>
                    </a:stretch>
                  </pic:blipFill>
                  <pic:spPr>
                    <a:xfrm>
                      <a:off x="0" y="0"/>
                      <a:ext cx="88900" cy="88900"/>
                    </a:xfrm>
                    <a:prstGeom prst="rect">
                      <a:avLst/>
                    </a:prstGeom>
                  </pic:spPr>
                </pic:pic>
              </a:graphicData>
            </a:graphic>
          </wp:inline>
        </w:drawing>
      </w:r>
      <w:r>
        <w:rPr>
          <w:color w:val="231F20"/>
          <w:spacing w:val="15"/>
          <w:sz w:val="20"/>
        </w:rPr>
      </w:r>
      <w:r>
        <w:rPr>
          <w:rFonts w:ascii="Times New Roman"/>
          <w:color w:val="231F20"/>
          <w:spacing w:val="-11"/>
          <w:sz w:val="20"/>
        </w:rPr>
        <w:t> </w:t>
      </w:r>
      <w:r>
        <w:rPr>
          <w:rFonts w:ascii="Book Antiqua"/>
          <w:b/>
          <w:color w:val="231F20"/>
          <w:sz w:val="20"/>
        </w:rPr>
        <w:t>Return a subset of the string</w:t>
      </w:r>
      <w:r>
        <w:rPr>
          <w:rFonts w:ascii="Book Antiqua"/>
          <w:b/>
          <w:color w:val="231F20"/>
          <w:spacing w:val="40"/>
          <w:sz w:val="20"/>
        </w:rPr>
        <w:t> </w:t>
      </w:r>
      <w:r>
        <w:rPr>
          <w:color w:val="231F20"/>
          <w:spacing w:val="-2"/>
          <w:sz w:val="20"/>
        </w:rPr>
        <w:t>function.</w:t>
      </w:r>
    </w:p>
    <w:p>
      <w:pPr>
        <w:pStyle w:val="BodyText"/>
        <w:spacing w:line="213" w:lineRule="auto" w:before="117"/>
        <w:ind w:left="3190"/>
      </w:pPr>
      <w:r>
        <w:rPr>
          <w:color w:val="231F20"/>
        </w:rPr>
        <w:t>You can also use the ? question mark wildcard for a single character at that position. When using the ? question mark wildcard with the </w:t>
      </w:r>
      <w:r>
        <w:rPr>
          <w:color w:val="231F20"/>
          <w:spacing w:val="15"/>
        </w:rPr>
        <w:drawing>
          <wp:inline distT="0" distB="0" distL="0" distR="0">
            <wp:extent cx="63500" cy="63500"/>
            <wp:effectExtent l="0" t="0" r="0" b="0"/>
            <wp:docPr id="3307" name="Image 3307"/>
            <wp:cNvGraphicFramePr>
              <a:graphicFrameLocks/>
            </wp:cNvGraphicFramePr>
            <a:graphic>
              <a:graphicData uri="http://schemas.openxmlformats.org/drawingml/2006/picture">
                <pic:pic>
                  <pic:nvPicPr>
                    <pic:cNvPr id="3307" name="Image 3307"/>
                    <pic:cNvPicPr/>
                  </pic:nvPicPr>
                  <pic:blipFill>
                    <a:blip r:embed="rId138" cstate="print"/>
                    <a:stretch>
                      <a:fillRect/>
                    </a:stretch>
                  </pic:blipFill>
                  <pic:spPr>
                    <a:xfrm>
                      <a:off x="0" y="0"/>
                      <a:ext cx="63500" cy="63500"/>
                    </a:xfrm>
                    <a:prstGeom prst="rect">
                      <a:avLst/>
                    </a:prstGeom>
                  </pic:spPr>
                </pic:pic>
              </a:graphicData>
            </a:graphic>
          </wp:inline>
        </w:drawing>
      </w:r>
      <w:r>
        <w:rPr>
          <w:color w:val="231F20"/>
          <w:spacing w:val="15"/>
        </w:rPr>
      </w:r>
      <w:r>
        <w:rPr>
          <w:rFonts w:ascii="Times New Roman"/>
          <w:color w:val="231F20"/>
          <w:spacing w:val="40"/>
        </w:rPr>
        <w:t> </w:t>
      </w:r>
      <w:r>
        <w:rPr>
          <w:rFonts w:ascii="Book Antiqua"/>
          <w:b/>
          <w:color w:val="231F20"/>
        </w:rPr>
        <w:t>Value of expression </w:t>
      </w:r>
      <w:r>
        <w:rPr>
          <w:color w:val="231F20"/>
        </w:rPr>
        <w:t>function, append the text with an * asterisk. For example, enter Sa?e* to find Safe and Sale.</w:t>
      </w:r>
    </w:p>
    <w:p>
      <w:pPr>
        <w:pStyle w:val="Heading6"/>
        <w:spacing w:line="232" w:lineRule="exact" w:before="115"/>
      </w:pPr>
      <w:r>
        <w:rPr>
          <w:color w:val="231F20"/>
          <w:spacing w:val="-2"/>
        </w:rPr>
        <w:t>Timestamp</w:t>
      </w:r>
    </w:p>
    <w:p>
      <w:pPr>
        <w:pStyle w:val="BodyText"/>
        <w:spacing w:line="211" w:lineRule="auto" w:before="16"/>
        <w:ind w:left="3190" w:right="545"/>
      </w:pPr>
      <w:r>
        <w:rPr/>
        <w:drawing>
          <wp:inline distT="0" distB="0" distL="0" distR="0">
            <wp:extent cx="88900" cy="88900"/>
            <wp:effectExtent l="0" t="0" r="0" b="0"/>
            <wp:docPr id="3308" name="Image 3308"/>
            <wp:cNvGraphicFramePr>
              <a:graphicFrameLocks/>
            </wp:cNvGraphicFramePr>
            <a:graphic>
              <a:graphicData uri="http://schemas.openxmlformats.org/drawingml/2006/picture">
                <pic:pic>
                  <pic:nvPicPr>
                    <pic:cNvPr id="3308" name="Image 3308"/>
                    <pic:cNvPicPr/>
                  </pic:nvPicPr>
                  <pic:blipFill>
                    <a:blip r:embed="rId481" cstate="print"/>
                    <a:stretch>
                      <a:fillRect/>
                    </a:stretch>
                  </pic:blipFill>
                  <pic:spPr>
                    <a:xfrm>
                      <a:off x="0" y="0"/>
                      <a:ext cx="88900" cy="88900"/>
                    </a:xfrm>
                    <a:prstGeom prst="rect">
                      <a:avLst/>
                    </a:prstGeom>
                  </pic:spPr>
                </pic:pic>
              </a:graphicData>
            </a:graphic>
          </wp:inline>
        </w:drawing>
      </w:r>
      <w:r>
        <w:rPr/>
      </w:r>
      <w:r>
        <w:rPr>
          <w:rFonts w:ascii="Times New Roman"/>
          <w:spacing w:val="40"/>
        </w:rPr>
        <w:t> </w:t>
      </w:r>
      <w:r>
        <w:rPr>
          <w:color w:val="231F20"/>
        </w:rPr>
        <w:t>The Timestamp attribute is treated like a text attribute formatted as mm/dd/yy hh:mm:ss. Some timestamp attributes have different </w:t>
      </w:r>
      <w:r>
        <w:rPr>
          <w:color w:val="231F20"/>
        </w:rPr>
        <w:t>names, such as </w:t>
      </w:r>
      <w:r>
        <w:rPr>
          <w:rFonts w:ascii="Book Antiqua"/>
          <w:i/>
          <w:color w:val="231F20"/>
        </w:rPr>
        <w:t>Start Date &amp; Time </w:t>
      </w:r>
      <w:r>
        <w:rPr>
          <w:color w:val="231F20"/>
        </w:rPr>
        <w:t>and </w:t>
      </w:r>
      <w:r>
        <w:rPr>
          <w:rFonts w:ascii="Book Antiqua"/>
          <w:i/>
          <w:color w:val="231F20"/>
        </w:rPr>
        <w:t>Recording Time</w:t>
      </w:r>
      <w:r>
        <w:rPr>
          <w:color w:val="231F20"/>
        </w:rPr>
        <w:t>.</w:t>
      </w:r>
    </w:p>
    <w:p>
      <w:pPr>
        <w:pStyle w:val="BodyText"/>
        <w:spacing w:line="213" w:lineRule="auto" w:before="119"/>
        <w:ind w:left="3190" w:right="258"/>
      </w:pPr>
      <w:r>
        <w:rPr>
          <w:color w:val="231F20"/>
        </w:rPr>
        <w:t>Some timestamp functions enable you to add and subtract values from </w:t>
      </w:r>
      <w:r>
        <w:rPr>
          <w:color w:val="231F20"/>
        </w:rPr>
        <w:t>the second</w:t>
      </w:r>
      <w:r>
        <w:rPr>
          <w:color w:val="231F20"/>
          <w:spacing w:val="28"/>
        </w:rPr>
        <w:t> </w:t>
      </w:r>
      <w:r>
        <w:rPr>
          <w:color w:val="231F20"/>
        </w:rPr>
        <w:t>attribute</w:t>
      </w:r>
      <w:r>
        <w:rPr>
          <w:color w:val="231F20"/>
          <w:spacing w:val="28"/>
        </w:rPr>
        <w:t> </w:t>
      </w:r>
      <w:r>
        <w:rPr>
          <w:color w:val="231F20"/>
        </w:rPr>
        <w:t>by</w:t>
      </w:r>
      <w:r>
        <w:rPr>
          <w:color w:val="231F20"/>
          <w:spacing w:val="28"/>
        </w:rPr>
        <w:t> </w:t>
      </w:r>
      <w:r>
        <w:rPr>
          <w:color w:val="231F20"/>
        </w:rPr>
        <w:t>using</w:t>
      </w:r>
      <w:r>
        <w:rPr>
          <w:color w:val="231F20"/>
          <w:spacing w:val="28"/>
        </w:rPr>
        <w:t> </w:t>
      </w:r>
      <w:r>
        <w:rPr>
          <w:color w:val="231F20"/>
        </w:rPr>
        <w:t>the</w:t>
      </w:r>
      <w:r>
        <w:rPr>
          <w:color w:val="231F20"/>
          <w:spacing w:val="28"/>
        </w:rPr>
        <w:t> </w:t>
      </w:r>
      <w:r>
        <w:rPr>
          <w:color w:val="231F20"/>
        </w:rPr>
        <w:t>+</w:t>
      </w:r>
      <w:r>
        <w:rPr>
          <w:color w:val="231F20"/>
          <w:spacing w:val="28"/>
        </w:rPr>
        <w:t> </w:t>
      </w:r>
      <w:r>
        <w:rPr>
          <w:color w:val="231F20"/>
        </w:rPr>
        <w:t>and</w:t>
      </w:r>
      <w:r>
        <w:rPr>
          <w:color w:val="231F20"/>
          <w:spacing w:val="28"/>
        </w:rPr>
        <w:t> </w:t>
      </w:r>
      <w:r>
        <w:rPr>
          <w:color w:val="231F20"/>
        </w:rPr>
        <w:t>-</w:t>
      </w:r>
      <w:r>
        <w:rPr>
          <w:color w:val="231F20"/>
          <w:spacing w:val="28"/>
        </w:rPr>
        <w:t> </w:t>
      </w:r>
      <w:r>
        <w:rPr>
          <w:color w:val="231F20"/>
        </w:rPr>
        <w:t>symbols.</w:t>
      </w:r>
      <w:r>
        <w:rPr>
          <w:color w:val="231F20"/>
          <w:spacing w:val="28"/>
        </w:rPr>
        <w:t> </w:t>
      </w:r>
      <w:r>
        <w:rPr>
          <w:color w:val="231F20"/>
        </w:rPr>
        <w:t>The</w:t>
      </w:r>
      <w:r>
        <w:rPr>
          <w:color w:val="231F20"/>
          <w:spacing w:val="28"/>
        </w:rPr>
        <w:t> </w:t>
      </w:r>
      <w:r>
        <w:rPr>
          <w:color w:val="231F20"/>
        </w:rPr>
        <w:t>value</w:t>
      </w:r>
      <w:r>
        <w:rPr>
          <w:color w:val="231F20"/>
          <w:spacing w:val="28"/>
        </w:rPr>
        <w:t> </w:t>
      </w:r>
      <w:r>
        <w:rPr>
          <w:color w:val="231F20"/>
        </w:rPr>
        <w:t>can</w:t>
      </w:r>
      <w:r>
        <w:rPr>
          <w:color w:val="231F20"/>
          <w:spacing w:val="28"/>
        </w:rPr>
        <w:t> </w:t>
      </w:r>
      <w:r>
        <w:rPr>
          <w:color w:val="231F20"/>
        </w:rPr>
        <w:t>be</w:t>
      </w:r>
      <w:r>
        <w:rPr>
          <w:color w:val="231F20"/>
          <w:spacing w:val="28"/>
        </w:rPr>
        <w:t> </w:t>
      </w:r>
      <w:r>
        <w:rPr>
          <w:color w:val="231F20"/>
        </w:rPr>
        <w:t>one</w:t>
      </w:r>
      <w:r>
        <w:rPr>
          <w:color w:val="231F20"/>
          <w:spacing w:val="28"/>
        </w:rPr>
        <w:t> </w:t>
      </w:r>
      <w:r>
        <w:rPr>
          <w:color w:val="231F20"/>
        </w:rPr>
        <w:t>or two digits followed by D for Day, H for Hour, M for Minute, or S for</w:t>
      </w:r>
      <w:r>
        <w:rPr>
          <w:color w:val="231F20"/>
          <w:spacing w:val="40"/>
        </w:rPr>
        <w:t> </w:t>
      </w:r>
      <w:r>
        <w:rPr>
          <w:color w:val="231F20"/>
          <w:spacing w:val="-2"/>
        </w:rPr>
        <w:t>Second.</w:t>
      </w:r>
    </w:p>
    <w:p>
      <w:pPr>
        <w:pStyle w:val="Heading6"/>
        <w:spacing w:line="240" w:lineRule="auto" w:before="116"/>
      </w:pPr>
      <w:r>
        <w:rPr>
          <w:color w:val="231F20"/>
          <w:spacing w:val="-2"/>
        </w:rPr>
        <w:t>Enumerated</w:t>
      </w:r>
    </w:p>
    <w:p>
      <w:pPr>
        <w:pStyle w:val="BodyText"/>
        <w:spacing w:line="211" w:lineRule="auto" w:before="7"/>
        <w:ind w:left="3190" w:right="213"/>
        <w:jc w:val="both"/>
      </w:pPr>
      <w:r>
        <w:rPr/>
        <w:drawing>
          <wp:inline distT="0" distB="0" distL="0" distR="0">
            <wp:extent cx="88900" cy="88900"/>
            <wp:effectExtent l="0" t="0" r="0" b="0"/>
            <wp:docPr id="3309" name="Image 3309"/>
            <wp:cNvGraphicFramePr>
              <a:graphicFrameLocks/>
            </wp:cNvGraphicFramePr>
            <a:graphic>
              <a:graphicData uri="http://schemas.openxmlformats.org/drawingml/2006/picture">
                <pic:pic>
                  <pic:nvPicPr>
                    <pic:cNvPr id="3309" name="Image 3309"/>
                    <pic:cNvPicPr/>
                  </pic:nvPicPr>
                  <pic:blipFill>
                    <a:blip r:embed="rId480" cstate="print"/>
                    <a:stretch>
                      <a:fillRect/>
                    </a:stretch>
                  </pic:blipFill>
                  <pic:spPr>
                    <a:xfrm>
                      <a:off x="0" y="0"/>
                      <a:ext cx="88900" cy="88900"/>
                    </a:xfrm>
                    <a:prstGeom prst="rect">
                      <a:avLst/>
                    </a:prstGeom>
                  </pic:spPr>
                </pic:pic>
              </a:graphicData>
            </a:graphic>
          </wp:inline>
        </w:drawing>
      </w:r>
      <w:r>
        <w:rPr/>
      </w:r>
      <w:r>
        <w:rPr>
          <w:rFonts w:ascii="Times New Roman"/>
          <w:spacing w:val="16"/>
        </w:rPr>
        <w:t> </w:t>
      </w:r>
      <w:r>
        <w:rPr>
          <w:rFonts w:ascii="Times New Roman"/>
          <w:spacing w:val="16"/>
        </w:rPr>
        <w:drawing>
          <wp:inline distT="0" distB="0" distL="0" distR="0">
            <wp:extent cx="88900" cy="88900"/>
            <wp:effectExtent l="0" t="0" r="0" b="0"/>
            <wp:docPr id="3310" name="Image 3310"/>
            <wp:cNvGraphicFramePr>
              <a:graphicFrameLocks/>
            </wp:cNvGraphicFramePr>
            <a:graphic>
              <a:graphicData uri="http://schemas.openxmlformats.org/drawingml/2006/picture">
                <pic:pic>
                  <pic:nvPicPr>
                    <pic:cNvPr id="3310" name="Image 3310"/>
                    <pic:cNvPicPr/>
                  </pic:nvPicPr>
                  <pic:blipFill>
                    <a:blip r:embed="rId479" cstate="print"/>
                    <a:stretch>
                      <a:fillRect/>
                    </a:stretch>
                  </pic:blipFill>
                  <pic:spPr>
                    <a:xfrm>
                      <a:off x="0" y="0"/>
                      <a:ext cx="88900" cy="88900"/>
                    </a:xfrm>
                    <a:prstGeom prst="rect">
                      <a:avLst/>
                    </a:prstGeom>
                  </pic:spPr>
                </pic:pic>
              </a:graphicData>
            </a:graphic>
          </wp:inline>
        </w:drawing>
      </w:r>
      <w:r>
        <w:rPr>
          <w:rFonts w:ascii="Times New Roman"/>
          <w:spacing w:val="16"/>
        </w:rPr>
      </w:r>
      <w:r>
        <w:rPr>
          <w:rFonts w:ascii="Times New Roman"/>
          <w:spacing w:val="-13"/>
        </w:rPr>
        <w:t> </w:t>
      </w:r>
      <w:r>
        <w:rPr>
          <w:color w:val="231F20"/>
        </w:rPr>
        <w:t>Enumerated attributes have a predefined set of values and the tabular editor supplies a </w:t>
      </w:r>
      <w:r>
        <w:rPr>
          <w:color w:val="231F20"/>
          <w:spacing w:val="16"/>
          <w:position w:val="-1"/>
        </w:rPr>
        <w:drawing>
          <wp:inline distT="0" distB="0" distL="0" distR="0">
            <wp:extent cx="101600" cy="101600"/>
            <wp:effectExtent l="0" t="0" r="0" b="0"/>
            <wp:docPr id="3311" name="Image 3311"/>
            <wp:cNvGraphicFramePr>
              <a:graphicFrameLocks/>
            </wp:cNvGraphicFramePr>
            <a:graphic>
              <a:graphicData uri="http://schemas.openxmlformats.org/drawingml/2006/picture">
                <pic:pic>
                  <pic:nvPicPr>
                    <pic:cNvPr id="3311" name="Image 331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 to choose from. These values are usually treated as </w:t>
      </w:r>
      <w:r>
        <w:rPr>
          <w:color w:val="231F20"/>
          <w:spacing w:val="-2"/>
        </w:rPr>
        <w:t>text.</w:t>
      </w:r>
    </w:p>
    <w:p>
      <w:pPr>
        <w:pStyle w:val="BodyText"/>
        <w:spacing w:line="213" w:lineRule="auto" w:before="118"/>
        <w:ind w:left="3190" w:right="204"/>
        <w:jc w:val="both"/>
      </w:pPr>
      <w:r>
        <w:rPr>
          <w:color w:val="231F20"/>
        </w:rPr>
        <w:t>Some enumerated values are actually numeric, with text representing </w:t>
      </w:r>
      <w:r>
        <w:rPr>
          <w:color w:val="231F20"/>
        </w:rPr>
        <w:t>some or all of the numbers, and you can type the numeric value instead of</w:t>
      </w:r>
    </w:p>
    <w:p>
      <w:pPr>
        <w:spacing w:after="0" w:line="213" w:lineRule="auto"/>
        <w:jc w:val="both"/>
        <w:sectPr>
          <w:footerReference w:type="default" r:id="rId488"/>
          <w:footerReference w:type="even" r:id="rId489"/>
          <w:pgSz w:w="12240" w:h="15840"/>
          <w:pgMar w:header="0" w:footer="736" w:top="1300" w:bottom="920" w:left="1000" w:right="1060"/>
          <w:pgNumType w:start="413"/>
        </w:sectPr>
      </w:pPr>
    </w:p>
    <w:p>
      <w:pPr>
        <w:pStyle w:val="BodyText"/>
        <w:spacing w:line="213" w:lineRule="auto" w:before="85"/>
        <w:ind w:left="2951" w:right="379"/>
      </w:pPr>
      <w:bookmarkStart w:name="_bookmark320" w:id="663"/>
      <w:bookmarkEnd w:id="663"/>
      <w:r>
        <w:rPr/>
      </w:r>
      <w:r>
        <w:rPr>
          <w:color w:val="231F20"/>
        </w:rPr>
        <w:t>choosing a text equivalent from a list. For example, the WebSphere MQ attribute, </w:t>
      </w:r>
      <w:r>
        <w:rPr>
          <w:rFonts w:ascii="Book Antiqua"/>
          <w:i/>
          <w:color w:val="231F20"/>
        </w:rPr>
        <w:t>Action to Take </w:t>
      </w:r>
      <w:r>
        <w:rPr>
          <w:color w:val="231F20"/>
        </w:rPr>
        <w:t>has values of </w:t>
      </w:r>
      <w:r>
        <w:rPr>
          <w:rFonts w:ascii="Book Antiqua"/>
          <w:i/>
          <w:color w:val="231F20"/>
        </w:rPr>
        <w:t>n/a</w:t>
      </w:r>
      <w:r>
        <w:rPr>
          <w:color w:val="231F20"/>
        </w:rPr>
        <w:t>, </w:t>
      </w:r>
      <w:r>
        <w:rPr>
          <w:rFonts w:ascii="Book Antiqua"/>
          <w:i/>
          <w:color w:val="231F20"/>
        </w:rPr>
        <w:t>delete</w:t>
      </w:r>
      <w:r>
        <w:rPr>
          <w:color w:val="231F20"/>
        </w:rPr>
        <w:t>, </w:t>
      </w:r>
      <w:r>
        <w:rPr>
          <w:rFonts w:ascii="Book Antiqua"/>
          <w:i/>
          <w:color w:val="231F20"/>
        </w:rPr>
        <w:t>create</w:t>
      </w:r>
      <w:r>
        <w:rPr>
          <w:color w:val="231F20"/>
        </w:rPr>
        <w:t>, and </w:t>
      </w:r>
      <w:r>
        <w:rPr>
          <w:rFonts w:ascii="Book Antiqua"/>
          <w:i/>
          <w:color w:val="231F20"/>
        </w:rPr>
        <w:t>discover</w:t>
      </w:r>
      <w:r>
        <w:rPr>
          <w:color w:val="231F20"/>
        </w:rPr>
        <w:t>. But you can</w:t>
      </w:r>
      <w:r>
        <w:rPr>
          <w:color w:val="231F20"/>
          <w:spacing w:val="25"/>
        </w:rPr>
        <w:t> </w:t>
      </w:r>
      <w:r>
        <w:rPr>
          <w:color w:val="231F20"/>
        </w:rPr>
        <w:t>also</w:t>
      </w:r>
      <w:r>
        <w:rPr>
          <w:color w:val="231F20"/>
          <w:spacing w:val="25"/>
        </w:rPr>
        <w:t> </w:t>
      </w:r>
      <w:r>
        <w:rPr>
          <w:color w:val="231F20"/>
        </w:rPr>
        <w:t>enter</w:t>
      </w:r>
      <w:r>
        <w:rPr>
          <w:color w:val="231F20"/>
          <w:spacing w:val="25"/>
        </w:rPr>
        <w:t> </w:t>
      </w:r>
      <w:r>
        <w:rPr>
          <w:color w:val="231F20"/>
        </w:rPr>
        <w:t>5</w:t>
      </w:r>
      <w:r>
        <w:rPr>
          <w:color w:val="231F20"/>
          <w:spacing w:val="25"/>
        </w:rPr>
        <w:t> </w:t>
      </w:r>
      <w:r>
        <w:rPr>
          <w:color w:val="231F20"/>
        </w:rPr>
        <w:t>or</w:t>
      </w:r>
      <w:r>
        <w:rPr>
          <w:color w:val="231F20"/>
          <w:spacing w:val="25"/>
        </w:rPr>
        <w:t> </w:t>
      </w:r>
      <w:r>
        <w:rPr>
          <w:color w:val="231F20"/>
        </w:rPr>
        <w:t>6,</w:t>
      </w:r>
      <w:r>
        <w:rPr>
          <w:color w:val="231F20"/>
          <w:spacing w:val="25"/>
        </w:rPr>
        <w:t> </w:t>
      </w:r>
      <w:r>
        <w:rPr>
          <w:color w:val="231F20"/>
        </w:rPr>
        <w:t>which</w:t>
      </w:r>
      <w:r>
        <w:rPr>
          <w:color w:val="231F20"/>
          <w:spacing w:val="25"/>
        </w:rPr>
        <w:t> </w:t>
      </w:r>
      <w:r>
        <w:rPr>
          <w:color w:val="231F20"/>
        </w:rPr>
        <w:t>represent</w:t>
      </w:r>
      <w:r>
        <w:rPr>
          <w:color w:val="231F20"/>
          <w:spacing w:val="25"/>
        </w:rPr>
        <w:t> </w:t>
      </w:r>
      <w:r>
        <w:rPr>
          <w:color w:val="231F20"/>
        </w:rPr>
        <w:t>other</w:t>
      </w:r>
      <w:r>
        <w:rPr>
          <w:color w:val="231F20"/>
          <w:spacing w:val="25"/>
        </w:rPr>
        <w:t> </w:t>
      </w:r>
      <w:r>
        <w:rPr>
          <w:color w:val="231F20"/>
        </w:rPr>
        <w:t>actions.</w:t>
      </w:r>
      <w:r>
        <w:rPr>
          <w:color w:val="231F20"/>
          <w:spacing w:val="25"/>
        </w:rPr>
        <w:t> </w:t>
      </w:r>
      <w:r>
        <w:rPr>
          <w:color w:val="231F20"/>
        </w:rPr>
        <w:t>See</w:t>
      </w:r>
      <w:r>
        <w:rPr>
          <w:color w:val="231F20"/>
          <w:spacing w:val="25"/>
        </w:rPr>
        <w:t> </w:t>
      </w:r>
      <w:r>
        <w:rPr>
          <w:color w:val="231F20"/>
        </w:rPr>
        <w:t>the</w:t>
      </w:r>
      <w:r>
        <w:rPr>
          <w:color w:val="231F20"/>
          <w:spacing w:val="25"/>
        </w:rPr>
        <w:t> </w:t>
      </w:r>
      <w:r>
        <w:rPr>
          <w:color w:val="231F20"/>
        </w:rPr>
        <w:t>help</w:t>
      </w:r>
      <w:r>
        <w:rPr>
          <w:color w:val="231F20"/>
          <w:spacing w:val="25"/>
        </w:rPr>
        <w:t> </w:t>
      </w:r>
      <w:r>
        <w:rPr>
          <w:color w:val="231F20"/>
        </w:rPr>
        <w:t>topic</w:t>
      </w:r>
      <w:r>
        <w:rPr>
          <w:color w:val="231F20"/>
          <w:spacing w:val="25"/>
        </w:rPr>
        <w:t> </w:t>
      </w:r>
      <w:r>
        <w:rPr>
          <w:color w:val="231F20"/>
        </w:rPr>
        <w:t>of the attribute in question for a list of possible entries.</w:t>
      </w:r>
    </w:p>
    <w:p>
      <w:pPr>
        <w:pStyle w:val="Heading6"/>
        <w:spacing w:before="115"/>
        <w:ind w:left="2232"/>
      </w:pPr>
      <w:r>
        <w:rPr>
          <w:color w:val="231F20"/>
        </w:rPr>
        <w:t>Single-row</w:t>
      </w:r>
      <w:r>
        <w:rPr>
          <w:color w:val="231F20"/>
          <w:spacing w:val="5"/>
        </w:rPr>
        <w:t> </w:t>
      </w:r>
      <w:r>
        <w:rPr>
          <w:color w:val="231F20"/>
        </w:rPr>
        <w:t>or</w:t>
      </w:r>
      <w:r>
        <w:rPr>
          <w:color w:val="231F20"/>
          <w:spacing w:val="6"/>
        </w:rPr>
        <w:t> </w:t>
      </w:r>
      <w:r>
        <w:rPr>
          <w:color w:val="231F20"/>
        </w:rPr>
        <w:t>multiple-</w:t>
      </w:r>
      <w:r>
        <w:rPr>
          <w:color w:val="231F20"/>
          <w:spacing w:val="-5"/>
        </w:rPr>
        <w:t>row</w:t>
      </w:r>
    </w:p>
    <w:p>
      <w:pPr>
        <w:pStyle w:val="BodyText"/>
        <w:spacing w:line="213" w:lineRule="auto" w:before="12"/>
        <w:ind w:left="2951" w:right="592"/>
        <w:jc w:val="both"/>
      </w:pPr>
      <w:r>
        <w:rPr>
          <w:color w:val="231F20"/>
        </w:rPr>
        <w:t>Depending on the type of attribute group, data samplings return either a single row of data or multiple rows. For example, the Windows Memory attribute group returns one row of a data for a managed system, </w:t>
      </w:r>
      <w:r>
        <w:rPr>
          <w:color w:val="231F20"/>
        </w:rPr>
        <w:t>whereas the Windows Process attribute group returns multiple rows, one for each process running.</w:t>
      </w:r>
    </w:p>
    <w:p>
      <w:pPr>
        <w:pStyle w:val="BodyText"/>
        <w:spacing w:line="213" w:lineRule="auto" w:before="116"/>
        <w:ind w:left="2951" w:right="545"/>
      </w:pPr>
      <w:r>
        <w:rPr>
          <w:color w:val="231F20"/>
        </w:rPr>
        <w:t>A single-row attribute group will return multiple rows if it has </w:t>
      </w:r>
      <w:r>
        <w:rPr>
          <w:color w:val="231F20"/>
        </w:rPr>
        <w:t>been configured for historical data collection.</w:t>
      </w:r>
    </w:p>
    <w:p>
      <w:pPr>
        <w:pStyle w:val="BodyText"/>
        <w:spacing w:line="213" w:lineRule="auto" w:before="119"/>
        <w:ind w:left="2951" w:right="545"/>
      </w:pPr>
      <w:r>
        <w:rPr>
          <w:color w:val="231F20"/>
        </w:rPr>
        <w:t>Attributes from different attribute groups can be combined in the same situation if they are from single-row attribute groups. Local Time and Universal Time are the exception—they can be combined with any </w:t>
      </w:r>
      <w:r>
        <w:rPr>
          <w:color w:val="231F20"/>
        </w:rPr>
        <w:t>group.</w:t>
      </w:r>
    </w:p>
    <w:p>
      <w:pPr>
        <w:pStyle w:val="BodyText"/>
        <w:spacing w:line="213" w:lineRule="auto" w:before="117"/>
        <w:ind w:left="2951" w:right="545"/>
      </w:pPr>
      <w:r>
        <w:rPr>
          <w:color w:val="231F20"/>
        </w:rPr>
        <w:t>When you create a query for an attribute group that returns multiple </w:t>
      </w:r>
      <w:r>
        <w:rPr>
          <w:color w:val="231F20"/>
        </w:rPr>
        <w:t>rows, consider</w:t>
      </w:r>
      <w:r>
        <w:rPr>
          <w:color w:val="231F20"/>
          <w:spacing w:val="27"/>
        </w:rPr>
        <w:t> </w:t>
      </w:r>
      <w:r>
        <w:rPr>
          <w:color w:val="231F20"/>
        </w:rPr>
        <w:t>adding</w:t>
      </w:r>
      <w:r>
        <w:rPr>
          <w:color w:val="231F20"/>
          <w:spacing w:val="27"/>
        </w:rPr>
        <w:t> </w:t>
      </w:r>
      <w:r>
        <w:rPr>
          <w:color w:val="231F20"/>
        </w:rPr>
        <w:t>a</w:t>
      </w:r>
      <w:r>
        <w:rPr>
          <w:color w:val="231F20"/>
          <w:spacing w:val="27"/>
        </w:rPr>
        <w:t> </w:t>
      </w:r>
      <w:r>
        <w:rPr>
          <w:color w:val="231F20"/>
        </w:rPr>
        <w:t>formula</w:t>
      </w:r>
      <w:r>
        <w:rPr>
          <w:color w:val="231F20"/>
          <w:spacing w:val="27"/>
        </w:rPr>
        <w:t> </w:t>
      </w:r>
      <w:r>
        <w:rPr>
          <w:color w:val="231F20"/>
        </w:rPr>
        <w:t>as</w:t>
      </w:r>
      <w:r>
        <w:rPr>
          <w:color w:val="231F20"/>
          <w:spacing w:val="27"/>
        </w:rPr>
        <w:t> </w:t>
      </w:r>
      <w:r>
        <w:rPr>
          <w:color w:val="231F20"/>
        </w:rPr>
        <w:t>a</w:t>
      </w:r>
      <w:r>
        <w:rPr>
          <w:color w:val="231F20"/>
          <w:spacing w:val="27"/>
        </w:rPr>
        <w:t> </w:t>
      </w:r>
      <w:r>
        <w:rPr>
          <w:color w:val="231F20"/>
        </w:rPr>
        <w:t>pre-filter</w:t>
      </w:r>
      <w:r>
        <w:rPr>
          <w:color w:val="231F20"/>
          <w:spacing w:val="27"/>
        </w:rPr>
        <w:t> </w:t>
      </w:r>
      <w:r>
        <w:rPr>
          <w:color w:val="231F20"/>
        </w:rPr>
        <w:t>to</w:t>
      </w:r>
      <w:r>
        <w:rPr>
          <w:color w:val="231F20"/>
          <w:spacing w:val="27"/>
        </w:rPr>
        <w:t> </w:t>
      </w:r>
      <w:r>
        <w:rPr>
          <w:color w:val="231F20"/>
        </w:rPr>
        <w:t>limit</w:t>
      </w:r>
      <w:r>
        <w:rPr>
          <w:color w:val="231F20"/>
          <w:spacing w:val="27"/>
        </w:rPr>
        <w:t> </w:t>
      </w:r>
      <w:r>
        <w:rPr>
          <w:color w:val="231F20"/>
        </w:rPr>
        <w:t>the</w:t>
      </w:r>
      <w:r>
        <w:rPr>
          <w:color w:val="231F20"/>
          <w:spacing w:val="27"/>
        </w:rPr>
        <w:t> </w:t>
      </w:r>
      <w:r>
        <w:rPr>
          <w:color w:val="231F20"/>
        </w:rPr>
        <w:t>rows</w:t>
      </w:r>
      <w:r>
        <w:rPr>
          <w:color w:val="231F20"/>
          <w:spacing w:val="27"/>
        </w:rPr>
        <w:t> </w:t>
      </w:r>
      <w:r>
        <w:rPr>
          <w:color w:val="231F20"/>
        </w:rPr>
        <w:t>returned</w:t>
      </w:r>
      <w:r>
        <w:rPr>
          <w:color w:val="231F20"/>
          <w:spacing w:val="27"/>
        </w:rPr>
        <w:t> </w:t>
      </w:r>
      <w:r>
        <w:rPr>
          <w:color w:val="231F20"/>
        </w:rPr>
        <w:t>to those of interest, which also reduces network traffic overhead.</w:t>
      </w:r>
    </w:p>
    <w:p>
      <w:pPr>
        <w:pStyle w:val="Heading6"/>
        <w:ind w:left="2232"/>
      </w:pPr>
      <w:r>
        <w:rPr>
          <w:color w:val="231F20"/>
        </w:rPr>
        <w:t>Pure</w:t>
      </w:r>
      <w:r>
        <w:rPr>
          <w:color w:val="231F20"/>
          <w:spacing w:val="12"/>
        </w:rPr>
        <w:t> </w:t>
      </w:r>
      <w:r>
        <w:rPr>
          <w:color w:val="231F20"/>
        </w:rPr>
        <w:t>or</w:t>
      </w:r>
      <w:r>
        <w:rPr>
          <w:color w:val="231F20"/>
          <w:spacing w:val="13"/>
        </w:rPr>
        <w:t> </w:t>
      </w:r>
      <w:r>
        <w:rPr>
          <w:color w:val="231F20"/>
          <w:spacing w:val="-2"/>
        </w:rPr>
        <w:t>sampled</w:t>
      </w:r>
    </w:p>
    <w:p>
      <w:pPr>
        <w:pStyle w:val="BodyText"/>
        <w:spacing w:line="213" w:lineRule="auto" w:before="11"/>
        <w:ind w:left="2951" w:right="545"/>
      </w:pPr>
      <w:r>
        <w:rPr>
          <w:color w:val="231F20"/>
        </w:rPr>
        <w:t>Attributes behave differently in situations depending on whether they are able to be sampled at intervals. Attributes that cannot be sampled are </w:t>
      </w:r>
      <w:r>
        <w:rPr>
          <w:color w:val="231F20"/>
        </w:rPr>
        <w:t>those that</w:t>
      </w:r>
      <w:r>
        <w:rPr>
          <w:color w:val="231F20"/>
          <w:spacing w:val="29"/>
        </w:rPr>
        <w:t> </w:t>
      </w:r>
      <w:r>
        <w:rPr>
          <w:color w:val="231F20"/>
        </w:rPr>
        <w:t>have</w:t>
      </w:r>
      <w:r>
        <w:rPr>
          <w:color w:val="231F20"/>
          <w:spacing w:val="29"/>
        </w:rPr>
        <w:t> </w:t>
      </w:r>
      <w:r>
        <w:rPr>
          <w:color w:val="231F20"/>
        </w:rPr>
        <w:t>no</w:t>
      </w:r>
      <w:r>
        <w:rPr>
          <w:color w:val="231F20"/>
          <w:spacing w:val="29"/>
        </w:rPr>
        <w:t> </w:t>
      </w:r>
      <w:r>
        <w:rPr>
          <w:color w:val="231F20"/>
        </w:rPr>
        <w:t>value</w:t>
      </w:r>
      <w:r>
        <w:rPr>
          <w:color w:val="231F20"/>
          <w:spacing w:val="29"/>
        </w:rPr>
        <w:t> </w:t>
      </w:r>
      <w:r>
        <w:rPr>
          <w:color w:val="231F20"/>
        </w:rPr>
        <w:t>until</w:t>
      </w:r>
      <w:r>
        <w:rPr>
          <w:color w:val="231F20"/>
          <w:spacing w:val="29"/>
        </w:rPr>
        <w:t> </w:t>
      </w:r>
      <w:r>
        <w:rPr>
          <w:color w:val="231F20"/>
        </w:rPr>
        <w:t>something</w:t>
      </w:r>
      <w:r>
        <w:rPr>
          <w:color w:val="231F20"/>
          <w:spacing w:val="29"/>
        </w:rPr>
        <w:t> </w:t>
      </w:r>
      <w:r>
        <w:rPr>
          <w:color w:val="231F20"/>
        </w:rPr>
        <w:t>happens,</w:t>
      </w:r>
      <w:r>
        <w:rPr>
          <w:color w:val="231F20"/>
          <w:spacing w:val="29"/>
        </w:rPr>
        <w:t> </w:t>
      </w:r>
      <w:r>
        <w:rPr>
          <w:color w:val="231F20"/>
        </w:rPr>
        <w:t>such</w:t>
      </w:r>
      <w:r>
        <w:rPr>
          <w:color w:val="231F20"/>
          <w:spacing w:val="29"/>
        </w:rPr>
        <w:t> </w:t>
      </w:r>
      <w:r>
        <w:rPr>
          <w:color w:val="231F20"/>
        </w:rPr>
        <w:t>as</w:t>
      </w:r>
      <w:r>
        <w:rPr>
          <w:color w:val="231F20"/>
          <w:spacing w:val="29"/>
        </w:rPr>
        <w:t> </w:t>
      </w:r>
      <w:r>
        <w:rPr>
          <w:color w:val="231F20"/>
        </w:rPr>
        <w:t>those</w:t>
      </w:r>
      <w:r>
        <w:rPr>
          <w:color w:val="231F20"/>
          <w:spacing w:val="29"/>
        </w:rPr>
        <w:t> </w:t>
      </w:r>
      <w:r>
        <w:rPr>
          <w:color w:val="231F20"/>
        </w:rPr>
        <w:t>for</w:t>
      </w:r>
      <w:r>
        <w:rPr>
          <w:color w:val="231F20"/>
          <w:spacing w:val="29"/>
        </w:rPr>
        <w:t> </w:t>
      </w:r>
      <w:r>
        <w:rPr>
          <w:color w:val="231F20"/>
        </w:rPr>
        <w:t>the Windows OS File Change attribute group. These unsolicited notifications</w:t>
      </w:r>
      <w:r>
        <w:rPr>
          <w:color w:val="231F20"/>
          <w:spacing w:val="80"/>
        </w:rPr>
        <w:t> </w:t>
      </w:r>
      <w:r>
        <w:rPr>
          <w:color w:val="231F20"/>
        </w:rPr>
        <w:t>are</w:t>
      </w:r>
      <w:r>
        <w:rPr>
          <w:color w:val="231F20"/>
          <w:spacing w:val="29"/>
        </w:rPr>
        <w:t> </w:t>
      </w:r>
      <w:r>
        <w:rPr>
          <w:color w:val="231F20"/>
        </w:rPr>
        <w:t>called</w:t>
      </w:r>
      <w:r>
        <w:rPr>
          <w:color w:val="231F20"/>
          <w:spacing w:val="29"/>
        </w:rPr>
        <w:t> </w:t>
      </w:r>
      <w:r>
        <w:rPr>
          <w:rFonts w:ascii="Book Antiqua"/>
          <w:i/>
          <w:color w:val="231F20"/>
        </w:rPr>
        <w:t>pure</w:t>
      </w:r>
      <w:r>
        <w:rPr>
          <w:rFonts w:ascii="Book Antiqua"/>
          <w:i/>
          <w:color w:val="231F20"/>
          <w:spacing w:val="29"/>
        </w:rPr>
        <w:t> </w:t>
      </w:r>
      <w:r>
        <w:rPr>
          <w:rFonts w:ascii="Book Antiqua"/>
          <w:i/>
          <w:color w:val="231F20"/>
        </w:rPr>
        <w:t>events</w:t>
      </w:r>
      <w:r>
        <w:rPr>
          <w:rFonts w:ascii="Book Antiqua"/>
          <w:i/>
          <w:color w:val="231F20"/>
          <w:spacing w:val="29"/>
        </w:rPr>
        <w:t> </w:t>
      </w:r>
      <w:r>
        <w:rPr>
          <w:color w:val="231F20"/>
        </w:rPr>
        <w:t>Examples</w:t>
      </w:r>
      <w:r>
        <w:rPr>
          <w:color w:val="231F20"/>
          <w:spacing w:val="29"/>
        </w:rPr>
        <w:t> </w:t>
      </w:r>
      <w:r>
        <w:rPr>
          <w:color w:val="231F20"/>
        </w:rPr>
        <w:t>of</w:t>
      </w:r>
      <w:r>
        <w:rPr>
          <w:color w:val="231F20"/>
          <w:spacing w:val="29"/>
        </w:rPr>
        <w:t> </w:t>
      </w:r>
      <w:r>
        <w:rPr>
          <w:color w:val="231F20"/>
        </w:rPr>
        <w:t>pure</w:t>
      </w:r>
      <w:r>
        <w:rPr>
          <w:color w:val="231F20"/>
          <w:spacing w:val="29"/>
        </w:rPr>
        <w:t> </w:t>
      </w:r>
      <w:r>
        <w:rPr>
          <w:color w:val="231F20"/>
        </w:rPr>
        <w:t>events</w:t>
      </w:r>
      <w:r>
        <w:rPr>
          <w:color w:val="231F20"/>
          <w:spacing w:val="29"/>
        </w:rPr>
        <w:t> </w:t>
      </w:r>
      <w:r>
        <w:rPr>
          <w:color w:val="231F20"/>
        </w:rPr>
        <w:t>are</w:t>
      </w:r>
      <w:r>
        <w:rPr>
          <w:color w:val="231F20"/>
          <w:spacing w:val="29"/>
        </w:rPr>
        <w:t> </w:t>
      </w:r>
      <w:r>
        <w:rPr>
          <w:color w:val="231F20"/>
        </w:rPr>
        <w:t>an</w:t>
      </w:r>
      <w:r>
        <w:rPr>
          <w:color w:val="231F20"/>
          <w:spacing w:val="29"/>
        </w:rPr>
        <w:t> </w:t>
      </w:r>
      <w:r>
        <w:rPr>
          <w:color w:val="231F20"/>
        </w:rPr>
        <w:t>out-of-paper condition</w:t>
      </w:r>
      <w:r>
        <w:rPr>
          <w:color w:val="231F20"/>
          <w:spacing w:val="28"/>
        </w:rPr>
        <w:t> </w:t>
      </w:r>
      <w:r>
        <w:rPr>
          <w:color w:val="231F20"/>
        </w:rPr>
        <w:t>on</w:t>
      </w:r>
      <w:r>
        <w:rPr>
          <w:color w:val="231F20"/>
          <w:spacing w:val="28"/>
        </w:rPr>
        <w:t> </w:t>
      </w:r>
      <w:r>
        <w:rPr>
          <w:color w:val="231F20"/>
        </w:rPr>
        <w:t>a</w:t>
      </w:r>
      <w:r>
        <w:rPr>
          <w:color w:val="231F20"/>
          <w:spacing w:val="28"/>
        </w:rPr>
        <w:t> </w:t>
      </w:r>
      <w:r>
        <w:rPr>
          <w:color w:val="231F20"/>
        </w:rPr>
        <w:t>printer</w:t>
      </w:r>
      <w:r>
        <w:rPr>
          <w:color w:val="231F20"/>
          <w:spacing w:val="28"/>
        </w:rPr>
        <w:t> </w:t>
      </w:r>
      <w:r>
        <w:rPr>
          <w:color w:val="231F20"/>
        </w:rPr>
        <w:t>and</w:t>
      </w:r>
      <w:r>
        <w:rPr>
          <w:color w:val="231F20"/>
          <w:spacing w:val="28"/>
        </w:rPr>
        <w:t> </w:t>
      </w:r>
      <w:r>
        <w:rPr>
          <w:color w:val="231F20"/>
        </w:rPr>
        <w:t>an</w:t>
      </w:r>
      <w:r>
        <w:rPr>
          <w:color w:val="231F20"/>
          <w:spacing w:val="28"/>
        </w:rPr>
        <w:t> </w:t>
      </w:r>
      <w:r>
        <w:rPr>
          <w:color w:val="231F20"/>
        </w:rPr>
        <w:t>occurrence</w:t>
      </w:r>
      <w:r>
        <w:rPr>
          <w:color w:val="231F20"/>
          <w:spacing w:val="28"/>
        </w:rPr>
        <w:t> </w:t>
      </w:r>
      <w:r>
        <w:rPr>
          <w:color w:val="231F20"/>
        </w:rPr>
        <w:t>that</w:t>
      </w:r>
      <w:r>
        <w:rPr>
          <w:color w:val="231F20"/>
          <w:spacing w:val="28"/>
        </w:rPr>
        <w:t> </w:t>
      </w:r>
      <w:r>
        <w:rPr>
          <w:color w:val="231F20"/>
        </w:rPr>
        <w:t>adds</w:t>
      </w:r>
      <w:r>
        <w:rPr>
          <w:color w:val="231F20"/>
          <w:spacing w:val="28"/>
        </w:rPr>
        <w:t> </w:t>
      </w:r>
      <w:r>
        <w:rPr>
          <w:color w:val="231F20"/>
        </w:rPr>
        <w:t>an</w:t>
      </w:r>
      <w:r>
        <w:rPr>
          <w:color w:val="231F20"/>
          <w:spacing w:val="28"/>
        </w:rPr>
        <w:t> </w:t>
      </w:r>
      <w:r>
        <w:rPr>
          <w:color w:val="231F20"/>
        </w:rPr>
        <w:t>entry</w:t>
      </w:r>
      <w:r>
        <w:rPr>
          <w:color w:val="231F20"/>
          <w:spacing w:val="28"/>
        </w:rPr>
        <w:t> </w:t>
      </w:r>
      <w:r>
        <w:rPr>
          <w:color w:val="231F20"/>
        </w:rPr>
        <w:t>to</w:t>
      </w:r>
      <w:r>
        <w:rPr>
          <w:color w:val="231F20"/>
          <w:spacing w:val="28"/>
        </w:rPr>
        <w:t> </w:t>
      </w:r>
      <w:r>
        <w:rPr>
          <w:color w:val="231F20"/>
        </w:rPr>
        <w:t>the Windows System Log.</w:t>
      </w:r>
    </w:p>
    <w:p>
      <w:pPr>
        <w:pStyle w:val="BodyText"/>
        <w:spacing w:line="213" w:lineRule="auto" w:before="115"/>
        <w:ind w:left="2951" w:right="493"/>
      </w:pPr>
      <w:r>
        <w:rPr>
          <w:color w:val="231F20"/>
        </w:rPr>
        <w:t>Events from sampled situations are closed automatically when the </w:t>
      </w:r>
      <w:r>
        <w:rPr>
          <w:color w:val="231F20"/>
        </w:rPr>
        <w:t>situation is no longer true (goes back to false). Because of the nature of pure events, they are not closed automatically like sampled events but must be closed manually unless an Until clause is included in the situation definition.</w:t>
      </w:r>
    </w:p>
    <w:p>
      <w:pPr>
        <w:pStyle w:val="BodyText"/>
        <w:spacing w:before="4"/>
        <w:rPr>
          <w:sz w:val="16"/>
        </w:rPr>
      </w:pPr>
      <w:r>
        <w:rPr/>
        <mc:AlternateContent>
          <mc:Choice Requires="wps">
            <w:drawing>
              <wp:anchor distT="0" distB="0" distL="0" distR="0" allowOverlap="1" layoutInCell="1" locked="0" behindDoc="1" simplePos="0" relativeHeight="487747584">
                <wp:simplePos x="0" y="0"/>
                <wp:positionH relativeFrom="page">
                  <wp:posOffset>760323</wp:posOffset>
                </wp:positionH>
                <wp:positionV relativeFrom="paragraph">
                  <wp:posOffset>155238</wp:posOffset>
                </wp:positionV>
                <wp:extent cx="6082665" cy="1270"/>
                <wp:effectExtent l="0" t="0" r="0" b="0"/>
                <wp:wrapTopAndBottom/>
                <wp:docPr id="3312" name="Graphic 3312"/>
                <wp:cNvGraphicFramePr>
                  <a:graphicFrameLocks/>
                </wp:cNvGraphicFramePr>
                <a:graphic>
                  <a:graphicData uri="http://schemas.microsoft.com/office/word/2010/wordprocessingShape">
                    <wps:wsp>
                      <wps:cNvPr id="3312" name="Graphic 331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23522pt;width:478.95pt;height:.1pt;mso-position-horizontal-relative:page;mso-position-vertical-relative:paragraph;z-index:-15568896;mso-wrap-distance-left:0;mso-wrap-distance-right:0" id="docshape271" coordorigin="1197,244" coordsize="9579,0" path="m1197,244l10776,244e" filled="false" stroked="true" strokeweight=".499pt" strokecolor="#231f20">
                <v:path arrowok="t"/>
                <v:stroke dashstyle="solid"/>
                <w10:wrap type="topAndBottom"/>
              </v:shape>
            </w:pict>
          </mc:Fallback>
        </mc:AlternateContent>
      </w:r>
    </w:p>
    <w:p>
      <w:pPr>
        <w:pStyle w:val="Heading3"/>
        <w:ind w:left="197"/>
      </w:pPr>
      <w:bookmarkStart w:name="Boolean AND and OR" w:id="664"/>
      <w:bookmarkEnd w:id="664"/>
      <w:r>
        <w:rPr>
          <w:b w:val="0"/>
        </w:rPr>
      </w:r>
      <w:r>
        <w:rPr>
          <w:color w:val="231F20"/>
        </w:rPr>
        <w:t>Boolean</w:t>
      </w:r>
      <w:r>
        <w:rPr>
          <w:color w:val="231F20"/>
          <w:spacing w:val="-3"/>
        </w:rPr>
        <w:t> </w:t>
      </w:r>
      <w:r>
        <w:rPr>
          <w:color w:val="231F20"/>
        </w:rPr>
        <w:t>AND</w:t>
      </w:r>
      <w:r>
        <w:rPr>
          <w:color w:val="231F20"/>
          <w:spacing w:val="7"/>
        </w:rPr>
        <w:t> </w:t>
      </w:r>
      <w:r>
        <w:rPr>
          <w:color w:val="231F20"/>
        </w:rPr>
        <w:t>and</w:t>
      </w:r>
      <w:r>
        <w:rPr>
          <w:color w:val="231F20"/>
          <w:spacing w:val="7"/>
        </w:rPr>
        <w:t> </w:t>
      </w:r>
      <w:r>
        <w:rPr>
          <w:color w:val="231F20"/>
          <w:spacing w:val="-5"/>
        </w:rPr>
        <w:t>OR</w:t>
      </w:r>
    </w:p>
    <w:p>
      <w:pPr>
        <w:pStyle w:val="BodyText"/>
        <w:spacing w:before="115"/>
        <w:ind w:left="2232"/>
      </w:pPr>
      <w:r>
        <w:rPr>
          <w:color w:val="231F20"/>
        </w:rPr>
        <w:t>The</w:t>
      </w:r>
      <w:r>
        <w:rPr>
          <w:color w:val="231F20"/>
          <w:spacing w:val="11"/>
        </w:rPr>
        <w:t> </w:t>
      </w:r>
      <w:r>
        <w:rPr>
          <w:color w:val="231F20"/>
        </w:rPr>
        <w:t>tabular</w:t>
      </w:r>
      <w:r>
        <w:rPr>
          <w:color w:val="231F20"/>
          <w:spacing w:val="11"/>
        </w:rPr>
        <w:t> </w:t>
      </w:r>
      <w:r>
        <w:rPr>
          <w:color w:val="231F20"/>
        </w:rPr>
        <w:t>editors</w:t>
      </w:r>
      <w:r>
        <w:rPr>
          <w:color w:val="231F20"/>
          <w:spacing w:val="11"/>
        </w:rPr>
        <w:t> </w:t>
      </w:r>
      <w:r>
        <w:rPr>
          <w:color w:val="231F20"/>
        </w:rPr>
        <w:t>work</w:t>
      </w:r>
      <w:r>
        <w:rPr>
          <w:color w:val="231F20"/>
          <w:spacing w:val="11"/>
        </w:rPr>
        <w:t> </w:t>
      </w:r>
      <w:r>
        <w:rPr>
          <w:color w:val="231F20"/>
        </w:rPr>
        <w:t>with</w:t>
      </w:r>
      <w:r>
        <w:rPr>
          <w:color w:val="231F20"/>
          <w:spacing w:val="11"/>
        </w:rPr>
        <w:t> </w:t>
      </w:r>
      <w:r>
        <w:rPr>
          <w:color w:val="231F20"/>
        </w:rPr>
        <w:t>Boolean</w:t>
      </w:r>
      <w:r>
        <w:rPr>
          <w:color w:val="231F20"/>
          <w:spacing w:val="5"/>
        </w:rPr>
        <w:t> </w:t>
      </w:r>
      <w:r>
        <w:rPr>
          <w:color w:val="231F20"/>
        </w:rPr>
        <w:t>AND</w:t>
      </w:r>
      <w:r>
        <w:rPr>
          <w:color w:val="231F20"/>
          <w:spacing w:val="11"/>
        </w:rPr>
        <w:t> </w:t>
      </w:r>
      <w:r>
        <w:rPr>
          <w:color w:val="231F20"/>
        </w:rPr>
        <w:t>and</w:t>
      </w:r>
      <w:r>
        <w:rPr>
          <w:color w:val="231F20"/>
          <w:spacing w:val="12"/>
        </w:rPr>
        <w:t> </w:t>
      </w:r>
      <w:r>
        <w:rPr>
          <w:color w:val="231F20"/>
        </w:rPr>
        <w:t>OR</w:t>
      </w:r>
      <w:r>
        <w:rPr>
          <w:color w:val="231F20"/>
          <w:spacing w:val="11"/>
        </w:rPr>
        <w:t> </w:t>
      </w:r>
      <w:r>
        <w:rPr>
          <w:color w:val="231F20"/>
          <w:spacing w:val="-2"/>
        </w:rPr>
        <w:t>logic.</w:t>
      </w:r>
    </w:p>
    <w:p>
      <w:pPr>
        <w:pStyle w:val="Heading4"/>
        <w:spacing w:before="194"/>
      </w:pPr>
      <w:r>
        <w:rPr>
          <w:color w:val="231F20"/>
        </w:rPr>
        <w:t>Multiple</w:t>
      </w:r>
      <w:r>
        <w:rPr>
          <w:color w:val="231F20"/>
          <w:spacing w:val="3"/>
        </w:rPr>
        <w:t> </w:t>
      </w:r>
      <w:r>
        <w:rPr>
          <w:color w:val="231F20"/>
          <w:spacing w:val="-2"/>
        </w:rPr>
        <w:t>expressions</w:t>
      </w:r>
    </w:p>
    <w:p>
      <w:pPr>
        <w:pStyle w:val="BodyText"/>
        <w:spacing w:line="213" w:lineRule="auto" w:before="241"/>
        <w:ind w:left="2232" w:right="545"/>
      </w:pPr>
      <w:r>
        <w:rPr>
          <w:color w:val="231F20"/>
        </w:rPr>
        <w:t>Enter multiple expressions in the same row if they must all be met (Boolean AND logic) and on separate rows if any of them can be met (Boolean OR logic) to set the</w:t>
      </w:r>
      <w:r>
        <w:rPr>
          <w:color w:val="231F20"/>
          <w:spacing w:val="80"/>
        </w:rPr>
        <w:t> </w:t>
      </w:r>
      <w:r>
        <w:rPr>
          <w:color w:val="231F20"/>
        </w:rPr>
        <w:t>situation to true. For example, if you want a situation to fire when either disk time</w:t>
      </w:r>
      <w:r>
        <w:rPr>
          <w:color w:val="231F20"/>
          <w:spacing w:val="40"/>
        </w:rPr>
        <w:t> </w:t>
      </w:r>
      <w:r>
        <w:rPr>
          <w:color w:val="231F20"/>
        </w:rPr>
        <w:t>OR disk space is at least 90% on myserver, the condition would look like the one</w:t>
      </w:r>
      <w:r>
        <w:rPr>
          <w:color w:val="231F20"/>
          <w:spacing w:val="40"/>
        </w:rPr>
        <w:t> </w:t>
      </w:r>
      <w:r>
        <w:rPr>
          <w:color w:val="231F20"/>
        </w:rPr>
        <w:t>shown here.</w:t>
      </w:r>
    </w:p>
    <w:p>
      <w:pPr>
        <w:pStyle w:val="BodyText"/>
        <w:spacing w:before="7"/>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78"/>
        <w:gridCol w:w="2357"/>
        <w:gridCol w:w="2357"/>
        <w:gridCol w:w="2342"/>
      </w:tblGrid>
      <w:tr>
        <w:trPr>
          <w:trHeight w:val="274" w:hRule="atLeast"/>
        </w:trPr>
        <w:tc>
          <w:tcPr>
            <w:tcW w:w="478" w:type="dxa"/>
          </w:tcPr>
          <w:p>
            <w:pPr>
              <w:pStyle w:val="TableParagraph"/>
              <w:spacing w:before="0"/>
              <w:ind w:left="0"/>
              <w:rPr>
                <w:rFonts w:ascii="Times New Roman"/>
                <w:sz w:val="18"/>
              </w:rPr>
            </w:pPr>
          </w:p>
        </w:tc>
        <w:tc>
          <w:tcPr>
            <w:tcW w:w="2357" w:type="dxa"/>
          </w:tcPr>
          <w:p>
            <w:pPr>
              <w:pStyle w:val="TableParagraph"/>
              <w:spacing w:before="10"/>
              <w:ind w:left="629"/>
              <w:rPr>
                <w:rFonts w:ascii="Book Antiqua"/>
                <w:b/>
                <w:sz w:val="18"/>
              </w:rPr>
            </w:pPr>
            <w:r>
              <w:rPr>
                <w:rFonts w:ascii="Book Antiqua"/>
                <w:b/>
                <w:color w:val="231F20"/>
                <w:sz w:val="18"/>
              </w:rPr>
              <w:t>%</w:t>
            </w:r>
            <w:r>
              <w:rPr>
                <w:rFonts w:ascii="Book Antiqua"/>
                <w:b/>
                <w:color w:val="231F20"/>
                <w:spacing w:val="11"/>
                <w:sz w:val="18"/>
              </w:rPr>
              <w:t> </w:t>
            </w:r>
            <w:r>
              <w:rPr>
                <w:rFonts w:ascii="Book Antiqua"/>
                <w:b/>
                <w:color w:val="231F20"/>
                <w:sz w:val="18"/>
              </w:rPr>
              <w:t>Disk</w:t>
            </w:r>
            <w:r>
              <w:rPr>
                <w:rFonts w:ascii="Book Antiqua"/>
                <w:b/>
                <w:color w:val="231F20"/>
                <w:spacing w:val="11"/>
                <w:sz w:val="18"/>
              </w:rPr>
              <w:t> </w:t>
            </w:r>
            <w:r>
              <w:rPr>
                <w:rFonts w:ascii="Book Antiqua"/>
                <w:b/>
                <w:color w:val="231F20"/>
                <w:spacing w:val="-4"/>
                <w:sz w:val="18"/>
              </w:rPr>
              <w:t>Time</w:t>
            </w:r>
          </w:p>
        </w:tc>
        <w:tc>
          <w:tcPr>
            <w:tcW w:w="2357" w:type="dxa"/>
          </w:tcPr>
          <w:p>
            <w:pPr>
              <w:pStyle w:val="TableParagraph"/>
              <w:spacing w:before="10"/>
              <w:ind w:left="9"/>
              <w:jc w:val="center"/>
              <w:rPr>
                <w:rFonts w:ascii="Book Antiqua"/>
                <w:b/>
                <w:sz w:val="18"/>
              </w:rPr>
            </w:pPr>
            <w:r>
              <w:rPr>
                <w:rFonts w:ascii="Book Antiqua"/>
                <w:b/>
                <w:color w:val="231F20"/>
                <w:sz w:val="18"/>
              </w:rPr>
              <w:t>%</w:t>
            </w:r>
            <w:r>
              <w:rPr>
                <w:rFonts w:ascii="Book Antiqua"/>
                <w:b/>
                <w:color w:val="231F20"/>
                <w:spacing w:val="12"/>
                <w:sz w:val="18"/>
              </w:rPr>
              <w:t> </w:t>
            </w:r>
            <w:r>
              <w:rPr>
                <w:rFonts w:ascii="Book Antiqua"/>
                <w:b/>
                <w:color w:val="231F20"/>
                <w:spacing w:val="-4"/>
                <w:sz w:val="18"/>
              </w:rPr>
              <w:t>Used</w:t>
            </w:r>
          </w:p>
        </w:tc>
        <w:tc>
          <w:tcPr>
            <w:tcW w:w="2342" w:type="dxa"/>
          </w:tcPr>
          <w:p>
            <w:pPr>
              <w:pStyle w:val="TableParagraph"/>
              <w:spacing w:before="10"/>
              <w:ind w:left="639"/>
              <w:rPr>
                <w:rFonts w:ascii="Book Antiqua"/>
                <w:b/>
                <w:sz w:val="18"/>
              </w:rPr>
            </w:pPr>
            <w:r>
              <w:rPr>
                <w:rFonts w:ascii="Book Antiqua"/>
                <w:b/>
                <w:color w:val="231F20"/>
                <w:sz w:val="18"/>
              </w:rPr>
              <w:t>Server</w:t>
            </w:r>
            <w:r>
              <w:rPr>
                <w:rFonts w:ascii="Book Antiqua"/>
                <w:b/>
                <w:color w:val="231F20"/>
                <w:spacing w:val="8"/>
                <w:sz w:val="18"/>
              </w:rPr>
              <w:t> </w:t>
            </w:r>
            <w:r>
              <w:rPr>
                <w:rFonts w:ascii="Book Antiqua"/>
                <w:b/>
                <w:color w:val="231F20"/>
                <w:spacing w:val="-4"/>
                <w:sz w:val="18"/>
              </w:rPr>
              <w:t>Name</w:t>
            </w:r>
          </w:p>
        </w:tc>
      </w:tr>
      <w:tr>
        <w:trPr>
          <w:trHeight w:val="309" w:hRule="atLeast"/>
        </w:trPr>
        <w:tc>
          <w:tcPr>
            <w:tcW w:w="478" w:type="dxa"/>
          </w:tcPr>
          <w:p>
            <w:pPr>
              <w:pStyle w:val="TableParagraph"/>
              <w:spacing w:before="45"/>
              <w:ind w:left="44"/>
              <w:rPr>
                <w:rFonts w:ascii="Arial"/>
                <w:sz w:val="18"/>
              </w:rPr>
            </w:pPr>
            <w:r>
              <w:rPr>
                <w:rFonts w:ascii="Arial"/>
                <w:color w:val="231F20"/>
                <w:spacing w:val="-10"/>
                <w:sz w:val="18"/>
              </w:rPr>
              <w:t>1</w:t>
            </w:r>
          </w:p>
        </w:tc>
        <w:tc>
          <w:tcPr>
            <w:tcW w:w="2357" w:type="dxa"/>
          </w:tcPr>
          <w:p>
            <w:pPr>
              <w:pStyle w:val="TableParagraph"/>
              <w:spacing w:before="45"/>
              <w:rPr>
                <w:rFonts w:ascii="Arial"/>
                <w:sz w:val="18"/>
              </w:rPr>
            </w:pPr>
            <w:r>
              <w:rPr>
                <w:rFonts w:ascii="Arial"/>
                <w:color w:val="231F20"/>
                <w:w w:val="95"/>
                <w:sz w:val="18"/>
              </w:rPr>
              <w:t>&gt;=</w:t>
            </w:r>
            <w:r>
              <w:rPr>
                <w:rFonts w:ascii="Arial"/>
                <w:color w:val="231F20"/>
                <w:spacing w:val="17"/>
                <w:sz w:val="18"/>
              </w:rPr>
              <w:t> </w:t>
            </w:r>
            <w:r>
              <w:rPr>
                <w:rFonts w:ascii="Arial"/>
                <w:color w:val="231F20"/>
                <w:spacing w:val="-5"/>
                <w:w w:val="95"/>
                <w:sz w:val="18"/>
              </w:rPr>
              <w:t>90</w:t>
            </w:r>
          </w:p>
        </w:tc>
        <w:tc>
          <w:tcPr>
            <w:tcW w:w="2357" w:type="dxa"/>
          </w:tcPr>
          <w:p>
            <w:pPr>
              <w:pStyle w:val="TableParagraph"/>
              <w:spacing w:before="0"/>
              <w:ind w:left="0"/>
              <w:rPr>
                <w:rFonts w:ascii="Times New Roman"/>
                <w:sz w:val="18"/>
              </w:rPr>
            </w:pPr>
          </w:p>
        </w:tc>
        <w:tc>
          <w:tcPr>
            <w:tcW w:w="2342" w:type="dxa"/>
          </w:tcPr>
          <w:p>
            <w:pPr>
              <w:pStyle w:val="TableParagraph"/>
              <w:spacing w:before="45"/>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myserver</w:t>
            </w:r>
          </w:p>
        </w:tc>
      </w:tr>
      <w:tr>
        <w:trPr>
          <w:trHeight w:val="314" w:hRule="atLeast"/>
        </w:trPr>
        <w:tc>
          <w:tcPr>
            <w:tcW w:w="478" w:type="dxa"/>
          </w:tcPr>
          <w:p>
            <w:pPr>
              <w:pStyle w:val="TableParagraph"/>
              <w:spacing w:before="45"/>
              <w:ind w:left="44"/>
              <w:rPr>
                <w:rFonts w:ascii="Arial"/>
                <w:sz w:val="18"/>
              </w:rPr>
            </w:pPr>
            <w:r>
              <w:rPr>
                <w:rFonts w:ascii="Arial"/>
                <w:color w:val="231F20"/>
                <w:spacing w:val="-10"/>
                <w:sz w:val="18"/>
              </w:rPr>
              <w:t>2</w:t>
            </w:r>
          </w:p>
        </w:tc>
        <w:tc>
          <w:tcPr>
            <w:tcW w:w="2357" w:type="dxa"/>
          </w:tcPr>
          <w:p>
            <w:pPr>
              <w:pStyle w:val="TableParagraph"/>
              <w:spacing w:before="0"/>
              <w:ind w:left="0"/>
              <w:rPr>
                <w:rFonts w:ascii="Times New Roman"/>
                <w:sz w:val="18"/>
              </w:rPr>
            </w:pPr>
          </w:p>
        </w:tc>
        <w:tc>
          <w:tcPr>
            <w:tcW w:w="2357" w:type="dxa"/>
          </w:tcPr>
          <w:p>
            <w:pPr>
              <w:pStyle w:val="TableParagraph"/>
              <w:spacing w:before="45"/>
              <w:rPr>
                <w:rFonts w:ascii="Arial"/>
                <w:sz w:val="18"/>
              </w:rPr>
            </w:pPr>
            <w:r>
              <w:rPr>
                <w:rFonts w:ascii="Arial"/>
                <w:color w:val="231F20"/>
                <w:w w:val="95"/>
                <w:sz w:val="18"/>
              </w:rPr>
              <w:t>&gt;=</w:t>
            </w:r>
            <w:r>
              <w:rPr>
                <w:rFonts w:ascii="Arial"/>
                <w:color w:val="231F20"/>
                <w:spacing w:val="17"/>
                <w:sz w:val="18"/>
              </w:rPr>
              <w:t> </w:t>
            </w:r>
            <w:r>
              <w:rPr>
                <w:rFonts w:ascii="Arial"/>
                <w:color w:val="231F20"/>
                <w:spacing w:val="-5"/>
                <w:w w:val="95"/>
                <w:sz w:val="18"/>
              </w:rPr>
              <w:t>90</w:t>
            </w:r>
          </w:p>
        </w:tc>
        <w:tc>
          <w:tcPr>
            <w:tcW w:w="2342" w:type="dxa"/>
          </w:tcPr>
          <w:p>
            <w:pPr>
              <w:pStyle w:val="TableParagraph"/>
              <w:spacing w:before="45"/>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myserver</w:t>
            </w:r>
          </w:p>
        </w:tc>
      </w:tr>
    </w:tbl>
    <w:p>
      <w:pPr>
        <w:pStyle w:val="BodyText"/>
        <w:spacing w:before="99"/>
      </w:pPr>
    </w:p>
    <w:p>
      <w:pPr>
        <w:pStyle w:val="Heading4"/>
        <w:spacing w:before="0"/>
      </w:pPr>
      <w:r>
        <w:rPr>
          <w:color w:val="231F20"/>
        </w:rPr>
        <w:t>Branching</w:t>
      </w:r>
      <w:r>
        <w:rPr>
          <w:color w:val="231F20"/>
          <w:spacing w:val="5"/>
        </w:rPr>
        <w:t> </w:t>
      </w:r>
      <w:r>
        <w:rPr>
          <w:color w:val="231F20"/>
        </w:rPr>
        <w:t>OR</w:t>
      </w:r>
      <w:r>
        <w:rPr>
          <w:color w:val="231F20"/>
          <w:spacing w:val="5"/>
        </w:rPr>
        <w:t> </w:t>
      </w:r>
      <w:r>
        <w:rPr>
          <w:color w:val="231F20"/>
          <w:spacing w:val="-2"/>
        </w:rPr>
        <w:t>expressions</w:t>
      </w:r>
    </w:p>
    <w:p>
      <w:pPr>
        <w:pStyle w:val="BodyText"/>
        <w:spacing w:line="213" w:lineRule="auto" w:before="242"/>
        <w:ind w:left="2232" w:right="509"/>
      </w:pPr>
      <w:r>
        <w:rPr>
          <w:color w:val="231F20"/>
        </w:rPr>
        <w:t>If</w:t>
      </w:r>
      <w:r>
        <w:rPr>
          <w:color w:val="231F20"/>
          <w:spacing w:val="24"/>
        </w:rPr>
        <w:t> </w:t>
      </w:r>
      <w:r>
        <w:rPr>
          <w:color w:val="231F20"/>
        </w:rPr>
        <w:t>you</w:t>
      </w:r>
      <w:r>
        <w:rPr>
          <w:color w:val="231F20"/>
          <w:spacing w:val="24"/>
        </w:rPr>
        <w:t> </w:t>
      </w:r>
      <w:r>
        <w:rPr>
          <w:color w:val="231F20"/>
        </w:rPr>
        <w:t>are</w:t>
      </w:r>
      <w:r>
        <w:rPr>
          <w:color w:val="231F20"/>
          <w:spacing w:val="24"/>
        </w:rPr>
        <w:t> </w:t>
      </w:r>
      <w:r>
        <w:rPr>
          <w:color w:val="231F20"/>
        </w:rPr>
        <w:t>building</w:t>
      </w:r>
      <w:r>
        <w:rPr>
          <w:color w:val="231F20"/>
          <w:spacing w:val="24"/>
        </w:rPr>
        <w:t> </w:t>
      </w:r>
      <w:r>
        <w:rPr>
          <w:color w:val="231F20"/>
        </w:rPr>
        <w:t>a</w:t>
      </w:r>
      <w:r>
        <w:rPr>
          <w:color w:val="231F20"/>
          <w:spacing w:val="24"/>
        </w:rPr>
        <w:t> </w:t>
      </w:r>
      <w:r>
        <w:rPr>
          <w:color w:val="231F20"/>
        </w:rPr>
        <w:t>situation</w:t>
      </w:r>
      <w:r>
        <w:rPr>
          <w:color w:val="231F20"/>
          <w:spacing w:val="24"/>
        </w:rPr>
        <w:t> </w:t>
      </w:r>
      <w:r>
        <w:rPr>
          <w:color w:val="231F20"/>
        </w:rPr>
        <w:t>or</w:t>
      </w:r>
      <w:r>
        <w:rPr>
          <w:color w:val="231F20"/>
          <w:spacing w:val="24"/>
        </w:rPr>
        <w:t> </w:t>
      </w:r>
      <w:r>
        <w:rPr>
          <w:color w:val="231F20"/>
        </w:rPr>
        <w:t>setting</w:t>
      </w:r>
      <w:r>
        <w:rPr>
          <w:color w:val="231F20"/>
          <w:spacing w:val="24"/>
        </w:rPr>
        <w:t> </w:t>
      </w:r>
      <w:r>
        <w:rPr>
          <w:color w:val="231F20"/>
        </w:rPr>
        <w:t>a</w:t>
      </w:r>
      <w:r>
        <w:rPr>
          <w:color w:val="231F20"/>
          <w:spacing w:val="24"/>
        </w:rPr>
        <w:t> </w:t>
      </w:r>
      <w:r>
        <w:rPr>
          <w:color w:val="231F20"/>
        </w:rPr>
        <w:t>filter</w:t>
      </w:r>
      <w:r>
        <w:rPr>
          <w:color w:val="231F20"/>
          <w:spacing w:val="24"/>
        </w:rPr>
        <w:t> </w:t>
      </w:r>
      <w:r>
        <w:rPr>
          <w:color w:val="231F20"/>
        </w:rPr>
        <w:t>or</w:t>
      </w:r>
      <w:r>
        <w:rPr>
          <w:color w:val="231F20"/>
          <w:spacing w:val="24"/>
        </w:rPr>
        <w:t> </w:t>
      </w:r>
      <w:r>
        <w:rPr>
          <w:color w:val="231F20"/>
        </w:rPr>
        <w:t>threshold</w:t>
      </w:r>
      <w:r>
        <w:rPr>
          <w:color w:val="231F20"/>
          <w:spacing w:val="24"/>
        </w:rPr>
        <w:t> </w:t>
      </w:r>
      <w:r>
        <w:rPr>
          <w:color w:val="231F20"/>
        </w:rPr>
        <w:t>where</w:t>
      </w:r>
      <w:r>
        <w:rPr>
          <w:color w:val="231F20"/>
          <w:spacing w:val="24"/>
        </w:rPr>
        <w:t> </w:t>
      </w:r>
      <w:r>
        <w:rPr>
          <w:color w:val="231F20"/>
        </w:rPr>
        <w:t>you</w:t>
      </w:r>
      <w:r>
        <w:rPr>
          <w:color w:val="231F20"/>
          <w:spacing w:val="24"/>
        </w:rPr>
        <w:t> </w:t>
      </w:r>
      <w:r>
        <w:rPr>
          <w:color w:val="231F20"/>
        </w:rPr>
        <w:t>want</w:t>
      </w:r>
      <w:r>
        <w:rPr>
          <w:color w:val="231F20"/>
          <w:spacing w:val="24"/>
        </w:rPr>
        <w:t> </w:t>
      </w:r>
      <w:r>
        <w:rPr>
          <w:color w:val="231F20"/>
        </w:rPr>
        <w:t>an OR expression to branch at a specific AND expression, repeat the AND </w:t>
      </w:r>
      <w:r>
        <w:rPr>
          <w:color w:val="231F20"/>
        </w:rPr>
        <w:t>expression in a new row with the OR expression.</w:t>
      </w:r>
    </w:p>
    <w:p>
      <w:pPr>
        <w:spacing w:after="0" w:line="213" w:lineRule="auto"/>
        <w:sectPr>
          <w:pgSz w:w="12240" w:h="15840"/>
          <w:pgMar w:header="0" w:footer="736" w:top="1180" w:bottom="920" w:left="1000" w:right="1060"/>
        </w:sectPr>
      </w:pPr>
    </w:p>
    <w:p>
      <w:pPr>
        <w:pStyle w:val="BodyText"/>
        <w:spacing w:line="213" w:lineRule="auto" w:before="85"/>
        <w:ind w:left="2472" w:right="385"/>
      </w:pPr>
      <w:bookmarkStart w:name="_bookmark321" w:id="665"/>
      <w:bookmarkEnd w:id="665"/>
      <w:r>
        <w:rPr/>
      </w:r>
      <w:r>
        <w:rPr>
          <w:color w:val="231F20"/>
        </w:rPr>
        <w:t>In the situation example below, the comparisons are true if the notepad process exceeds 50 seconds AND the virtual bytes exceed one million OR the notepad process on myserver exceeds 50 seconds AND the page faults exceed 100,000 </w:t>
      </w:r>
      <w:r>
        <w:rPr>
          <w:color w:val="231F20"/>
        </w:rPr>
        <w:t>per </w:t>
      </w:r>
      <w:r>
        <w:rPr>
          <w:color w:val="231F20"/>
          <w:spacing w:val="-2"/>
        </w:rPr>
        <w:t>second.</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36"/>
        <w:gridCol w:w="1778"/>
        <w:gridCol w:w="1778"/>
        <w:gridCol w:w="1778"/>
        <w:gridCol w:w="1763"/>
      </w:tblGrid>
      <w:tr>
        <w:trPr>
          <w:trHeight w:val="274" w:hRule="atLeast"/>
        </w:trPr>
        <w:tc>
          <w:tcPr>
            <w:tcW w:w="436" w:type="dxa"/>
          </w:tcPr>
          <w:p>
            <w:pPr>
              <w:pStyle w:val="TableParagraph"/>
              <w:spacing w:before="0"/>
              <w:ind w:left="0"/>
              <w:rPr>
                <w:rFonts w:ascii="Times New Roman"/>
                <w:sz w:val="18"/>
              </w:rPr>
            </w:pPr>
          </w:p>
        </w:tc>
        <w:tc>
          <w:tcPr>
            <w:tcW w:w="1778" w:type="dxa"/>
          </w:tcPr>
          <w:p>
            <w:pPr>
              <w:pStyle w:val="TableParagraph"/>
              <w:spacing w:before="10"/>
              <w:ind w:left="310"/>
              <w:rPr>
                <w:rFonts w:ascii="Book Antiqua"/>
                <w:b/>
                <w:sz w:val="18"/>
              </w:rPr>
            </w:pPr>
            <w:r>
              <w:rPr>
                <w:rFonts w:ascii="Book Antiqua"/>
                <w:b/>
                <w:color w:val="231F20"/>
                <w:sz w:val="18"/>
              </w:rPr>
              <w:t>Process</w:t>
            </w:r>
            <w:r>
              <w:rPr>
                <w:rFonts w:ascii="Book Antiqua"/>
                <w:b/>
                <w:color w:val="231F20"/>
                <w:spacing w:val="7"/>
                <w:sz w:val="18"/>
              </w:rPr>
              <w:t> </w:t>
            </w:r>
            <w:r>
              <w:rPr>
                <w:rFonts w:ascii="Book Antiqua"/>
                <w:b/>
                <w:color w:val="231F20"/>
                <w:spacing w:val="-4"/>
                <w:sz w:val="18"/>
              </w:rPr>
              <w:t>Name</w:t>
            </w:r>
          </w:p>
        </w:tc>
        <w:tc>
          <w:tcPr>
            <w:tcW w:w="1778" w:type="dxa"/>
          </w:tcPr>
          <w:p>
            <w:pPr>
              <w:pStyle w:val="TableParagraph"/>
              <w:spacing w:before="10"/>
              <w:ind w:left="325"/>
              <w:rPr>
                <w:rFonts w:ascii="Book Antiqua"/>
                <w:b/>
                <w:sz w:val="18"/>
              </w:rPr>
            </w:pPr>
            <w:r>
              <w:rPr>
                <w:rFonts w:ascii="Book Antiqua"/>
                <w:b/>
                <w:color w:val="231F20"/>
                <w:sz w:val="18"/>
              </w:rPr>
              <w:t>Elapsed</w:t>
            </w:r>
            <w:r>
              <w:rPr>
                <w:rFonts w:ascii="Book Antiqua"/>
                <w:b/>
                <w:color w:val="231F20"/>
                <w:spacing w:val="7"/>
                <w:sz w:val="18"/>
              </w:rPr>
              <w:t> </w:t>
            </w:r>
            <w:r>
              <w:rPr>
                <w:rFonts w:ascii="Book Antiqua"/>
                <w:b/>
                <w:color w:val="231F20"/>
                <w:spacing w:val="-4"/>
                <w:sz w:val="18"/>
              </w:rPr>
              <w:t>Time</w:t>
            </w:r>
          </w:p>
        </w:tc>
        <w:tc>
          <w:tcPr>
            <w:tcW w:w="1778" w:type="dxa"/>
          </w:tcPr>
          <w:p>
            <w:pPr>
              <w:pStyle w:val="TableParagraph"/>
              <w:spacing w:before="10"/>
              <w:ind w:left="345"/>
              <w:rPr>
                <w:rFonts w:ascii="Book Antiqua"/>
                <w:b/>
                <w:sz w:val="18"/>
              </w:rPr>
            </w:pPr>
            <w:r>
              <w:rPr>
                <w:rFonts w:ascii="Book Antiqua"/>
                <w:b/>
                <w:color w:val="231F20"/>
                <w:sz w:val="18"/>
              </w:rPr>
              <w:t>Virtual</w:t>
            </w:r>
            <w:r>
              <w:rPr>
                <w:rFonts w:ascii="Book Antiqua"/>
                <w:b/>
                <w:color w:val="231F20"/>
                <w:spacing w:val="-2"/>
                <w:sz w:val="18"/>
              </w:rPr>
              <w:t> </w:t>
            </w:r>
            <w:r>
              <w:rPr>
                <w:rFonts w:ascii="Book Antiqua"/>
                <w:b/>
                <w:color w:val="231F20"/>
                <w:spacing w:val="-4"/>
                <w:sz w:val="18"/>
              </w:rPr>
              <w:t>Bytes</w:t>
            </w:r>
          </w:p>
        </w:tc>
        <w:tc>
          <w:tcPr>
            <w:tcW w:w="1763" w:type="dxa"/>
          </w:tcPr>
          <w:p>
            <w:pPr>
              <w:pStyle w:val="TableParagraph"/>
              <w:spacing w:before="10"/>
              <w:ind w:left="264"/>
              <w:rPr>
                <w:rFonts w:ascii="Book Antiqua"/>
                <w:b/>
                <w:sz w:val="18"/>
              </w:rPr>
            </w:pPr>
            <w:r>
              <w:rPr>
                <w:rFonts w:ascii="Book Antiqua"/>
                <w:b/>
                <w:color w:val="231F20"/>
                <w:sz w:val="18"/>
              </w:rPr>
              <w:t>Page</w:t>
            </w:r>
            <w:r>
              <w:rPr>
                <w:rFonts w:ascii="Book Antiqua"/>
                <w:b/>
                <w:color w:val="231F20"/>
                <w:spacing w:val="10"/>
                <w:sz w:val="18"/>
              </w:rPr>
              <w:t> </w:t>
            </w:r>
            <w:r>
              <w:rPr>
                <w:rFonts w:ascii="Book Antiqua"/>
                <w:b/>
                <w:color w:val="231F20"/>
                <w:spacing w:val="-2"/>
                <w:sz w:val="18"/>
              </w:rPr>
              <w:t>Faults/sec</w:t>
            </w:r>
          </w:p>
        </w:tc>
      </w:tr>
      <w:tr>
        <w:trPr>
          <w:trHeight w:val="309" w:hRule="atLeast"/>
        </w:trPr>
        <w:tc>
          <w:tcPr>
            <w:tcW w:w="436" w:type="dxa"/>
          </w:tcPr>
          <w:p>
            <w:pPr>
              <w:pStyle w:val="TableParagraph"/>
              <w:spacing w:before="45"/>
              <w:ind w:left="44"/>
              <w:rPr>
                <w:rFonts w:ascii="Arial"/>
                <w:sz w:val="18"/>
              </w:rPr>
            </w:pPr>
            <w:r>
              <w:rPr>
                <w:rFonts w:ascii="Arial"/>
                <w:color w:val="231F20"/>
                <w:spacing w:val="-10"/>
                <w:sz w:val="18"/>
              </w:rPr>
              <w:t>1</w:t>
            </w:r>
          </w:p>
        </w:tc>
        <w:tc>
          <w:tcPr>
            <w:tcW w:w="1778" w:type="dxa"/>
          </w:tcPr>
          <w:p>
            <w:pPr>
              <w:pStyle w:val="TableParagraph"/>
              <w:spacing w:before="45"/>
              <w:ind w:left="60"/>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notepad</w:t>
            </w:r>
          </w:p>
        </w:tc>
        <w:tc>
          <w:tcPr>
            <w:tcW w:w="1778" w:type="dxa"/>
          </w:tcPr>
          <w:p>
            <w:pPr>
              <w:pStyle w:val="TableParagraph"/>
              <w:spacing w:before="45"/>
              <w:ind w:left="60"/>
              <w:rPr>
                <w:rFonts w:ascii="Arial"/>
                <w:sz w:val="18"/>
              </w:rPr>
            </w:pPr>
            <w:r>
              <w:rPr>
                <w:rFonts w:ascii="Arial"/>
                <w:color w:val="231F20"/>
                <w:w w:val="95"/>
                <w:sz w:val="18"/>
              </w:rPr>
              <w:t>&gt;</w:t>
            </w:r>
            <w:r>
              <w:rPr>
                <w:rFonts w:ascii="Arial"/>
                <w:color w:val="231F20"/>
                <w:spacing w:val="28"/>
                <w:sz w:val="18"/>
              </w:rPr>
              <w:t> </w:t>
            </w:r>
            <w:r>
              <w:rPr>
                <w:rFonts w:ascii="Arial"/>
                <w:color w:val="231F20"/>
                <w:spacing w:val="-2"/>
                <w:w w:val="95"/>
                <w:sz w:val="18"/>
              </w:rPr>
              <w:t>500000</w:t>
            </w:r>
          </w:p>
        </w:tc>
        <w:tc>
          <w:tcPr>
            <w:tcW w:w="1778" w:type="dxa"/>
          </w:tcPr>
          <w:p>
            <w:pPr>
              <w:pStyle w:val="TableParagraph"/>
              <w:spacing w:before="45"/>
              <w:ind w:left="60"/>
              <w:rPr>
                <w:rFonts w:ascii="Arial"/>
                <w:sz w:val="18"/>
              </w:rPr>
            </w:pPr>
            <w:r>
              <w:rPr>
                <w:rFonts w:ascii="Arial"/>
                <w:color w:val="231F20"/>
                <w:w w:val="95"/>
                <w:sz w:val="18"/>
              </w:rPr>
              <w:t>&gt;</w:t>
            </w:r>
            <w:r>
              <w:rPr>
                <w:rFonts w:ascii="Arial"/>
                <w:color w:val="231F20"/>
                <w:spacing w:val="28"/>
                <w:sz w:val="18"/>
              </w:rPr>
              <w:t> </w:t>
            </w:r>
            <w:r>
              <w:rPr>
                <w:rFonts w:ascii="Arial"/>
                <w:color w:val="231F20"/>
                <w:spacing w:val="-2"/>
                <w:w w:val="95"/>
                <w:sz w:val="18"/>
              </w:rPr>
              <w:t>1000000</w:t>
            </w:r>
          </w:p>
        </w:tc>
        <w:tc>
          <w:tcPr>
            <w:tcW w:w="1763" w:type="dxa"/>
          </w:tcPr>
          <w:p>
            <w:pPr>
              <w:pStyle w:val="TableParagraph"/>
              <w:spacing w:before="0"/>
              <w:ind w:left="0"/>
              <w:rPr>
                <w:rFonts w:ascii="Times New Roman"/>
                <w:sz w:val="18"/>
              </w:rPr>
            </w:pPr>
          </w:p>
        </w:tc>
      </w:tr>
      <w:tr>
        <w:trPr>
          <w:trHeight w:val="314" w:hRule="atLeast"/>
        </w:trPr>
        <w:tc>
          <w:tcPr>
            <w:tcW w:w="436" w:type="dxa"/>
          </w:tcPr>
          <w:p>
            <w:pPr>
              <w:pStyle w:val="TableParagraph"/>
              <w:spacing w:before="45"/>
              <w:ind w:left="44"/>
              <w:rPr>
                <w:rFonts w:ascii="Arial"/>
                <w:sz w:val="18"/>
              </w:rPr>
            </w:pPr>
            <w:r>
              <w:rPr>
                <w:rFonts w:ascii="Arial"/>
                <w:color w:val="231F20"/>
                <w:spacing w:val="-10"/>
                <w:sz w:val="18"/>
              </w:rPr>
              <w:t>2</w:t>
            </w:r>
          </w:p>
        </w:tc>
        <w:tc>
          <w:tcPr>
            <w:tcW w:w="1778" w:type="dxa"/>
          </w:tcPr>
          <w:p>
            <w:pPr>
              <w:pStyle w:val="TableParagraph"/>
              <w:spacing w:before="45"/>
              <w:ind w:left="60"/>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notepad</w:t>
            </w:r>
          </w:p>
        </w:tc>
        <w:tc>
          <w:tcPr>
            <w:tcW w:w="1778" w:type="dxa"/>
          </w:tcPr>
          <w:p>
            <w:pPr>
              <w:pStyle w:val="TableParagraph"/>
              <w:spacing w:before="45"/>
              <w:ind w:left="60"/>
              <w:rPr>
                <w:rFonts w:ascii="Arial"/>
                <w:sz w:val="18"/>
              </w:rPr>
            </w:pPr>
            <w:r>
              <w:rPr>
                <w:rFonts w:ascii="Arial"/>
                <w:color w:val="231F20"/>
                <w:w w:val="95"/>
                <w:sz w:val="18"/>
              </w:rPr>
              <w:t>&gt;</w:t>
            </w:r>
            <w:r>
              <w:rPr>
                <w:rFonts w:ascii="Arial"/>
                <w:color w:val="231F20"/>
                <w:spacing w:val="28"/>
                <w:sz w:val="18"/>
              </w:rPr>
              <w:t> </w:t>
            </w:r>
            <w:r>
              <w:rPr>
                <w:rFonts w:ascii="Arial"/>
                <w:color w:val="231F20"/>
                <w:spacing w:val="-2"/>
                <w:w w:val="95"/>
                <w:sz w:val="18"/>
              </w:rPr>
              <w:t>500000</w:t>
            </w:r>
          </w:p>
        </w:tc>
        <w:tc>
          <w:tcPr>
            <w:tcW w:w="1778" w:type="dxa"/>
          </w:tcPr>
          <w:p>
            <w:pPr>
              <w:pStyle w:val="TableParagraph"/>
              <w:spacing w:before="0"/>
              <w:ind w:left="0"/>
              <w:rPr>
                <w:rFonts w:ascii="Times New Roman"/>
                <w:sz w:val="18"/>
              </w:rPr>
            </w:pPr>
          </w:p>
        </w:tc>
        <w:tc>
          <w:tcPr>
            <w:tcW w:w="1763" w:type="dxa"/>
          </w:tcPr>
          <w:p>
            <w:pPr>
              <w:pStyle w:val="TableParagraph"/>
              <w:spacing w:before="45"/>
              <w:ind w:left="60"/>
              <w:rPr>
                <w:rFonts w:ascii="Arial"/>
                <w:sz w:val="18"/>
              </w:rPr>
            </w:pPr>
            <w:r>
              <w:rPr>
                <w:rFonts w:ascii="Arial"/>
                <w:color w:val="231F20"/>
                <w:w w:val="95"/>
                <w:sz w:val="18"/>
              </w:rPr>
              <w:t>&gt;</w:t>
            </w:r>
            <w:r>
              <w:rPr>
                <w:rFonts w:ascii="Arial"/>
                <w:color w:val="231F20"/>
                <w:spacing w:val="28"/>
                <w:sz w:val="18"/>
              </w:rPr>
              <w:t> </w:t>
            </w:r>
            <w:r>
              <w:rPr>
                <w:rFonts w:ascii="Arial"/>
                <w:color w:val="231F20"/>
                <w:spacing w:val="-2"/>
                <w:w w:val="95"/>
                <w:sz w:val="18"/>
              </w:rPr>
              <w:t>100000</w:t>
            </w:r>
          </w:p>
        </w:tc>
      </w:tr>
    </w:tbl>
    <w:p>
      <w:pPr>
        <w:pStyle w:val="BodyText"/>
        <w:spacing w:before="99"/>
      </w:pPr>
    </w:p>
    <w:p>
      <w:pPr>
        <w:pStyle w:val="Heading4"/>
        <w:spacing w:before="0"/>
        <w:ind w:left="2472"/>
      </w:pPr>
      <w:r>
        <w:rPr>
          <w:color w:val="231F20"/>
        </w:rPr>
        <w:t>Repeating</w:t>
      </w:r>
      <w:r>
        <w:rPr>
          <w:color w:val="231F20"/>
          <w:spacing w:val="5"/>
        </w:rPr>
        <w:t> </w:t>
      </w:r>
      <w:r>
        <w:rPr>
          <w:color w:val="231F20"/>
        </w:rPr>
        <w:t>attributes</w:t>
      </w:r>
      <w:r>
        <w:rPr>
          <w:color w:val="231F20"/>
          <w:spacing w:val="5"/>
        </w:rPr>
        <w:t> </w:t>
      </w:r>
      <w:r>
        <w:rPr>
          <w:color w:val="231F20"/>
        </w:rPr>
        <w:t>in</w:t>
      </w:r>
      <w:r>
        <w:rPr>
          <w:color w:val="231F20"/>
          <w:spacing w:val="-3"/>
        </w:rPr>
        <w:t> </w:t>
      </w:r>
      <w:r>
        <w:rPr>
          <w:color w:val="231F20"/>
        </w:rPr>
        <w:t>AND</w:t>
      </w:r>
      <w:r>
        <w:rPr>
          <w:color w:val="231F20"/>
          <w:spacing w:val="6"/>
        </w:rPr>
        <w:t> </w:t>
      </w:r>
      <w:r>
        <w:rPr>
          <w:color w:val="231F20"/>
          <w:spacing w:val="-2"/>
        </w:rPr>
        <w:t>expressions</w:t>
      </w:r>
    </w:p>
    <w:p>
      <w:pPr>
        <w:pStyle w:val="BodyText"/>
        <w:spacing w:line="213" w:lineRule="auto" w:before="242"/>
        <w:ind w:left="2472" w:right="545"/>
      </w:pPr>
      <w:r>
        <w:rPr>
          <w:color w:val="231F20"/>
        </w:rPr>
        <w:t>Some situation formulas require you to repeat the same attribute in an </w:t>
      </w:r>
      <w:r>
        <w:rPr>
          <w:color w:val="231F20"/>
        </w:rPr>
        <w:t>AND expression for a certain outcome.</w:t>
      </w:r>
    </w:p>
    <w:p>
      <w:pPr>
        <w:pStyle w:val="BodyText"/>
        <w:spacing w:line="213" w:lineRule="auto" w:before="238"/>
        <w:ind w:left="2472" w:right="258"/>
      </w:pPr>
      <w:r>
        <w:rPr>
          <w:color w:val="231F20"/>
        </w:rPr>
        <w:t>If</w:t>
      </w:r>
      <w:r>
        <w:rPr>
          <w:color w:val="231F20"/>
          <w:spacing w:val="27"/>
        </w:rPr>
        <w:t> </w:t>
      </w:r>
      <w:r>
        <w:rPr>
          <w:color w:val="231F20"/>
        </w:rPr>
        <w:t>you</w:t>
      </w:r>
      <w:r>
        <w:rPr>
          <w:color w:val="231F20"/>
          <w:spacing w:val="27"/>
        </w:rPr>
        <w:t> </w:t>
      </w:r>
      <w:r>
        <w:rPr>
          <w:color w:val="231F20"/>
        </w:rPr>
        <w:t>are</w:t>
      </w:r>
      <w:r>
        <w:rPr>
          <w:color w:val="231F20"/>
          <w:spacing w:val="27"/>
        </w:rPr>
        <w:t> </w:t>
      </w:r>
      <w:r>
        <w:rPr>
          <w:color w:val="231F20"/>
        </w:rPr>
        <w:t>constructing</w:t>
      </w:r>
      <w:r>
        <w:rPr>
          <w:color w:val="231F20"/>
          <w:spacing w:val="27"/>
        </w:rPr>
        <w:t> </w:t>
      </w:r>
      <w:r>
        <w:rPr>
          <w:color w:val="231F20"/>
        </w:rPr>
        <w:t>a</w:t>
      </w:r>
      <w:r>
        <w:rPr>
          <w:color w:val="231F20"/>
          <w:spacing w:val="27"/>
        </w:rPr>
        <w:t> </w:t>
      </w:r>
      <w:r>
        <w:rPr>
          <w:color w:val="231F20"/>
        </w:rPr>
        <w:t>situation</w:t>
      </w:r>
      <w:r>
        <w:rPr>
          <w:color w:val="231F20"/>
          <w:spacing w:val="27"/>
        </w:rPr>
        <w:t> </w:t>
      </w:r>
      <w:r>
        <w:rPr>
          <w:color w:val="231F20"/>
        </w:rPr>
        <w:t>that</w:t>
      </w:r>
      <w:r>
        <w:rPr>
          <w:color w:val="231F20"/>
          <w:spacing w:val="27"/>
        </w:rPr>
        <w:t> </w:t>
      </w:r>
      <w:r>
        <w:rPr>
          <w:color w:val="231F20"/>
        </w:rPr>
        <w:t>requires</w:t>
      </w:r>
      <w:r>
        <w:rPr>
          <w:color w:val="231F20"/>
          <w:spacing w:val="27"/>
        </w:rPr>
        <w:t> </w:t>
      </w:r>
      <w:r>
        <w:rPr>
          <w:color w:val="231F20"/>
        </w:rPr>
        <w:t>repeating</w:t>
      </w:r>
      <w:r>
        <w:rPr>
          <w:color w:val="231F20"/>
          <w:spacing w:val="27"/>
        </w:rPr>
        <w:t> </w:t>
      </w:r>
      <w:r>
        <w:rPr>
          <w:color w:val="231F20"/>
        </w:rPr>
        <w:t>an</w:t>
      </w:r>
      <w:r>
        <w:rPr>
          <w:color w:val="231F20"/>
          <w:spacing w:val="27"/>
        </w:rPr>
        <w:t> </w:t>
      </w:r>
      <w:r>
        <w:rPr>
          <w:color w:val="231F20"/>
        </w:rPr>
        <w:t>attribute,</w:t>
      </w:r>
      <w:r>
        <w:rPr>
          <w:color w:val="231F20"/>
          <w:spacing w:val="27"/>
        </w:rPr>
        <w:t> </w:t>
      </w:r>
      <w:r>
        <w:rPr>
          <w:color w:val="231F20"/>
        </w:rPr>
        <w:t>each instance of the attribute must appear in its own column. To repeat an attribute in a new column of the Situation editor:</w:t>
      </w:r>
    </w:p>
    <w:p>
      <w:pPr>
        <w:spacing w:before="34"/>
        <w:ind w:left="2472" w:right="0" w:firstLine="0"/>
        <w:jc w:val="left"/>
        <w:rPr>
          <w:sz w:val="20"/>
        </w:rPr>
      </w:pPr>
      <w:r>
        <w:rPr>
          <w:rFonts w:ascii="Futura MdCn BT"/>
          <w:color w:val="231F20"/>
          <w:sz w:val="20"/>
        </w:rPr>
        <w:t>v</w:t>
      </w:r>
      <w:r>
        <w:rPr>
          <w:rFonts w:ascii="Futura MdCn BT"/>
          <w:color w:val="231F20"/>
          <w:spacing w:val="30"/>
          <w:sz w:val="20"/>
        </w:rPr>
        <w:t>  </w:t>
      </w:r>
      <w:r>
        <w:rPr>
          <w:color w:val="231F20"/>
          <w:sz w:val="20"/>
        </w:rPr>
        <w:t>Click</w:t>
      </w:r>
      <w:r>
        <w:rPr>
          <w:color w:val="231F20"/>
          <w:spacing w:val="13"/>
          <w:sz w:val="20"/>
        </w:rPr>
        <w:t> </w:t>
      </w:r>
      <w:r>
        <w:rPr>
          <w:rFonts w:ascii="Book Antiqua"/>
          <w:b/>
          <w:color w:val="231F20"/>
          <w:sz w:val="20"/>
        </w:rPr>
        <w:t>Add</w:t>
      </w:r>
      <w:r>
        <w:rPr>
          <w:rFonts w:ascii="Book Antiqua"/>
          <w:b/>
          <w:color w:val="231F20"/>
          <w:spacing w:val="12"/>
          <w:sz w:val="20"/>
        </w:rPr>
        <w:t> </w:t>
      </w:r>
      <w:r>
        <w:rPr>
          <w:rFonts w:ascii="Book Antiqua"/>
          <w:b/>
          <w:color w:val="231F20"/>
          <w:sz w:val="20"/>
        </w:rPr>
        <w:t>Conditions</w:t>
      </w:r>
      <w:r>
        <w:rPr>
          <w:rFonts w:ascii="Book Antiqua"/>
          <w:b/>
          <w:color w:val="231F20"/>
          <w:spacing w:val="11"/>
          <w:sz w:val="20"/>
        </w:rPr>
        <w:t> </w:t>
      </w:r>
      <w:r>
        <w:rPr>
          <w:color w:val="231F20"/>
          <w:sz w:val="20"/>
        </w:rPr>
        <w:t>and</w:t>
      </w:r>
      <w:r>
        <w:rPr>
          <w:color w:val="231F20"/>
          <w:spacing w:val="12"/>
          <w:sz w:val="20"/>
        </w:rPr>
        <w:t> </w:t>
      </w:r>
      <w:r>
        <w:rPr>
          <w:color w:val="231F20"/>
          <w:sz w:val="20"/>
        </w:rPr>
        <w:t>select</w:t>
      </w:r>
      <w:r>
        <w:rPr>
          <w:color w:val="231F20"/>
          <w:spacing w:val="12"/>
          <w:sz w:val="20"/>
        </w:rPr>
        <w:t> </w:t>
      </w:r>
      <w:r>
        <w:rPr>
          <w:color w:val="231F20"/>
          <w:sz w:val="20"/>
        </w:rPr>
        <w:t>it</w:t>
      </w:r>
      <w:r>
        <w:rPr>
          <w:color w:val="231F20"/>
          <w:spacing w:val="11"/>
          <w:sz w:val="20"/>
        </w:rPr>
        <w:t> </w:t>
      </w:r>
      <w:r>
        <w:rPr>
          <w:color w:val="231F20"/>
          <w:sz w:val="20"/>
        </w:rPr>
        <w:t>from</w:t>
      </w:r>
      <w:r>
        <w:rPr>
          <w:color w:val="231F20"/>
          <w:spacing w:val="12"/>
          <w:sz w:val="20"/>
        </w:rPr>
        <w:t> </w:t>
      </w:r>
      <w:r>
        <w:rPr>
          <w:color w:val="231F20"/>
          <w:sz w:val="20"/>
        </w:rPr>
        <w:t>the</w:t>
      </w:r>
      <w:r>
        <w:rPr>
          <w:color w:val="231F20"/>
          <w:spacing w:val="12"/>
          <w:sz w:val="20"/>
        </w:rPr>
        <w:t> </w:t>
      </w:r>
      <w:r>
        <w:rPr>
          <w:color w:val="231F20"/>
          <w:sz w:val="20"/>
        </w:rPr>
        <w:t>Select</w:t>
      </w:r>
      <w:r>
        <w:rPr>
          <w:color w:val="231F20"/>
          <w:spacing w:val="11"/>
          <w:sz w:val="20"/>
        </w:rPr>
        <w:t> </w:t>
      </w:r>
      <w:r>
        <w:rPr>
          <w:color w:val="231F20"/>
          <w:sz w:val="20"/>
        </w:rPr>
        <w:t>condition</w:t>
      </w:r>
      <w:r>
        <w:rPr>
          <w:color w:val="231F20"/>
          <w:spacing w:val="12"/>
          <w:sz w:val="20"/>
        </w:rPr>
        <w:t> </w:t>
      </w:r>
      <w:r>
        <w:rPr>
          <w:color w:val="231F20"/>
          <w:spacing w:val="-2"/>
          <w:sz w:val="20"/>
        </w:rPr>
        <w:t>window.</w:t>
      </w:r>
    </w:p>
    <w:p>
      <w:pPr>
        <w:pStyle w:val="BodyText"/>
        <w:spacing w:before="210"/>
        <w:ind w:left="2472"/>
      </w:pPr>
      <w:r>
        <w:rPr>
          <w:color w:val="231F20"/>
          <w:spacing w:val="-2"/>
        </w:rPr>
        <w:t>Examples:</w:t>
      </w:r>
    </w:p>
    <w:p>
      <w:pPr>
        <w:pStyle w:val="BodyText"/>
        <w:spacing w:line="213" w:lineRule="auto" w:before="52"/>
        <w:ind w:left="2688" w:right="493" w:hanging="216"/>
      </w:pPr>
      <w:r>
        <w:rPr>
          <w:rFonts w:ascii="Futura MdCn BT"/>
          <w:color w:val="231F20"/>
        </w:rPr>
        <w:t>v</w:t>
      </w:r>
      <w:r>
        <w:rPr>
          <w:rFonts w:ascii="Futura MdCn BT"/>
          <w:color w:val="231F20"/>
          <w:spacing w:val="80"/>
        </w:rPr>
        <w:t> </w:t>
      </w:r>
      <w:r>
        <w:rPr>
          <w:color w:val="231F20"/>
        </w:rPr>
        <w:t>This situation is true when the notepad process occurs more than four times in</w:t>
      </w:r>
      <w:r>
        <w:rPr>
          <w:color w:val="231F20"/>
          <w:spacing w:val="40"/>
        </w:rPr>
        <w:t> </w:t>
      </w:r>
      <w:r>
        <w:rPr>
          <w:color w:val="231F20"/>
        </w:rPr>
        <w:t>the same data sampling. The user wrote the first expression to check for</w:t>
      </w:r>
      <w:r>
        <w:rPr>
          <w:color w:val="231F20"/>
          <w:spacing w:val="40"/>
        </w:rPr>
        <w:t> </w:t>
      </w:r>
      <w:r>
        <w:rPr>
          <w:color w:val="231F20"/>
        </w:rPr>
        <w:t>notepad, then clicked </w:t>
      </w:r>
      <w:r>
        <w:rPr>
          <w:rFonts w:ascii="Book Antiqua"/>
          <w:b/>
          <w:color w:val="231F20"/>
        </w:rPr>
        <w:t>Add Conditions </w:t>
      </w:r>
      <w:r>
        <w:rPr>
          <w:color w:val="231F20"/>
        </w:rPr>
        <w:t>and selected Process Name again to create a new column and add another expression to count these processes.</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29"/>
        <w:gridCol w:w="3510"/>
        <w:gridCol w:w="3495"/>
      </w:tblGrid>
      <w:tr>
        <w:trPr>
          <w:trHeight w:val="274" w:hRule="atLeast"/>
        </w:trPr>
        <w:tc>
          <w:tcPr>
            <w:tcW w:w="529" w:type="dxa"/>
          </w:tcPr>
          <w:p>
            <w:pPr>
              <w:pStyle w:val="TableParagraph"/>
              <w:spacing w:before="0"/>
              <w:ind w:left="0"/>
              <w:rPr>
                <w:rFonts w:ascii="Times New Roman"/>
                <w:sz w:val="18"/>
              </w:rPr>
            </w:pPr>
          </w:p>
        </w:tc>
        <w:tc>
          <w:tcPr>
            <w:tcW w:w="3510" w:type="dxa"/>
          </w:tcPr>
          <w:p>
            <w:pPr>
              <w:pStyle w:val="TableParagraph"/>
              <w:spacing w:before="10"/>
              <w:ind w:left="8"/>
              <w:jc w:val="center"/>
              <w:rPr>
                <w:rFonts w:ascii="Arial"/>
                <w:b/>
                <w:sz w:val="18"/>
              </w:rPr>
            </w:pPr>
            <w:r>
              <w:rPr>
                <w:rFonts w:ascii="Arial"/>
                <w:b/>
                <w:color w:val="231F20"/>
                <w:w w:val="90"/>
                <w:sz w:val="18"/>
              </w:rPr>
              <w:t>Process</w:t>
            </w:r>
            <w:r>
              <w:rPr>
                <w:rFonts w:ascii="Arial"/>
                <w:b/>
                <w:color w:val="231F20"/>
                <w:spacing w:val="30"/>
                <w:sz w:val="18"/>
              </w:rPr>
              <w:t> </w:t>
            </w:r>
            <w:r>
              <w:rPr>
                <w:rFonts w:ascii="Arial"/>
                <w:b/>
                <w:color w:val="231F20"/>
                <w:spacing w:val="-4"/>
                <w:w w:val="95"/>
                <w:sz w:val="18"/>
              </w:rPr>
              <w:t>Name</w:t>
            </w:r>
          </w:p>
        </w:tc>
        <w:tc>
          <w:tcPr>
            <w:tcW w:w="3495" w:type="dxa"/>
          </w:tcPr>
          <w:p>
            <w:pPr>
              <w:pStyle w:val="TableParagraph"/>
              <w:spacing w:before="10"/>
              <w:ind w:left="23"/>
              <w:jc w:val="center"/>
              <w:rPr>
                <w:rFonts w:ascii="Arial"/>
                <w:b/>
                <w:sz w:val="18"/>
              </w:rPr>
            </w:pPr>
            <w:r>
              <w:rPr>
                <w:rFonts w:ascii="Arial"/>
                <w:b/>
                <w:color w:val="231F20"/>
                <w:w w:val="90"/>
                <w:sz w:val="18"/>
              </w:rPr>
              <w:t>Process</w:t>
            </w:r>
            <w:r>
              <w:rPr>
                <w:rFonts w:ascii="Arial"/>
                <w:b/>
                <w:color w:val="231F20"/>
                <w:spacing w:val="30"/>
                <w:sz w:val="18"/>
              </w:rPr>
              <w:t> </w:t>
            </w:r>
            <w:r>
              <w:rPr>
                <w:rFonts w:ascii="Arial"/>
                <w:b/>
                <w:color w:val="231F20"/>
                <w:spacing w:val="-4"/>
                <w:w w:val="95"/>
                <w:sz w:val="18"/>
              </w:rPr>
              <w:t>Name</w:t>
            </w:r>
          </w:p>
        </w:tc>
      </w:tr>
      <w:tr>
        <w:trPr>
          <w:trHeight w:val="314" w:hRule="atLeast"/>
        </w:trPr>
        <w:tc>
          <w:tcPr>
            <w:tcW w:w="529" w:type="dxa"/>
          </w:tcPr>
          <w:p>
            <w:pPr>
              <w:pStyle w:val="TableParagraph"/>
              <w:spacing w:before="45"/>
              <w:ind w:left="44"/>
              <w:rPr>
                <w:rFonts w:ascii="Arial"/>
                <w:sz w:val="18"/>
              </w:rPr>
            </w:pPr>
            <w:r>
              <w:rPr>
                <w:rFonts w:ascii="Arial"/>
                <w:color w:val="231F20"/>
                <w:spacing w:val="-10"/>
                <w:sz w:val="18"/>
              </w:rPr>
              <w:t>1</w:t>
            </w:r>
          </w:p>
        </w:tc>
        <w:tc>
          <w:tcPr>
            <w:tcW w:w="3510" w:type="dxa"/>
          </w:tcPr>
          <w:p>
            <w:pPr>
              <w:pStyle w:val="TableParagraph"/>
              <w:spacing w:before="45"/>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notepad</w:t>
            </w:r>
          </w:p>
        </w:tc>
        <w:tc>
          <w:tcPr>
            <w:tcW w:w="3495" w:type="dxa"/>
          </w:tcPr>
          <w:p>
            <w:pPr>
              <w:pStyle w:val="TableParagraph"/>
              <w:spacing w:before="45"/>
              <w:rPr>
                <w:rFonts w:ascii="Arial"/>
                <w:sz w:val="18"/>
              </w:rPr>
            </w:pPr>
            <w:r>
              <w:rPr/>
              <w:drawing>
                <wp:inline distT="0" distB="0" distL="0" distR="0">
                  <wp:extent cx="81492" cy="74082"/>
                  <wp:effectExtent l="0" t="0" r="0" b="0"/>
                  <wp:docPr id="3313" name="Image 3313"/>
                  <wp:cNvGraphicFramePr>
                    <a:graphicFrameLocks/>
                  </wp:cNvGraphicFramePr>
                  <a:graphic>
                    <a:graphicData uri="http://schemas.openxmlformats.org/drawingml/2006/picture">
                      <pic:pic>
                        <pic:nvPicPr>
                          <pic:cNvPr id="3313" name="Image 3313"/>
                          <pic:cNvPicPr/>
                        </pic:nvPicPr>
                        <pic:blipFill>
                          <a:blip r:embed="rId328" cstate="print"/>
                          <a:stretch>
                            <a:fillRect/>
                          </a:stretch>
                        </pic:blipFill>
                        <pic:spPr>
                          <a:xfrm>
                            <a:off x="0" y="0"/>
                            <a:ext cx="81492" cy="74082"/>
                          </a:xfrm>
                          <a:prstGeom prst="rect">
                            <a:avLst/>
                          </a:prstGeom>
                        </pic:spPr>
                      </pic:pic>
                    </a:graphicData>
                  </a:graphic>
                </wp:inline>
              </w:drawing>
            </w:r>
            <w:r>
              <w:rPr/>
            </w:r>
            <w:r>
              <w:rPr>
                <w:rFonts w:ascii="Times New Roman"/>
                <w:sz w:val="20"/>
              </w:rPr>
              <w:t> </w:t>
            </w:r>
            <w:r>
              <w:rPr>
                <w:rFonts w:ascii="Arial"/>
                <w:color w:val="231F20"/>
                <w:spacing w:val="39"/>
                <w:w w:val="95"/>
                <w:sz w:val="18"/>
              </w:rPr>
              <w:t>&gt;</w:t>
            </w:r>
            <w:r>
              <w:rPr>
                <w:rFonts w:ascii="Arial"/>
                <w:color w:val="231F20"/>
                <w:spacing w:val="5"/>
                <w:w w:val="95"/>
                <w:sz w:val="18"/>
              </w:rPr>
              <w:t> </w:t>
            </w:r>
            <w:r>
              <w:rPr>
                <w:rFonts w:ascii="Arial"/>
                <w:color w:val="231F20"/>
                <w:w w:val="95"/>
                <w:sz w:val="18"/>
              </w:rPr>
              <w:t>4</w:t>
            </w:r>
            <w:r>
              <w:rPr>
                <w:rFonts w:ascii="Arial"/>
                <w:color w:val="231F20"/>
                <w:w w:val="95"/>
                <w:sz w:val="18"/>
              </w:rPr>
              <w:t> </w:t>
            </w:r>
          </w:p>
        </w:tc>
      </w:tr>
    </w:tbl>
    <w:p>
      <w:pPr>
        <w:pStyle w:val="BodyText"/>
        <w:tabs>
          <w:tab w:pos="2754" w:val="left" w:leader="none"/>
        </w:tabs>
        <w:spacing w:before="204"/>
        <w:ind w:left="2472"/>
      </w:pPr>
      <w:r>
        <w:rPr>
          <w:rFonts w:ascii="Futura MdCn BT"/>
          <w:color w:val="231F20"/>
          <w:spacing w:val="-10"/>
        </w:rPr>
        <w:t>v</w:t>
      </w:r>
      <w:r>
        <w:rPr>
          <w:rFonts w:ascii="Futura MdCn BT"/>
          <w:color w:val="231F20"/>
        </w:rPr>
        <w:tab/>
      </w:r>
      <w:r>
        <w:rPr>
          <w:color w:val="231F20"/>
        </w:rPr>
        <w:t>This</w:t>
      </w:r>
      <w:r>
        <w:rPr>
          <w:color w:val="231F20"/>
          <w:spacing w:val="12"/>
        </w:rPr>
        <w:t> </w:t>
      </w:r>
      <w:r>
        <w:rPr>
          <w:color w:val="231F20"/>
        </w:rPr>
        <w:t>situation</w:t>
      </w:r>
      <w:r>
        <w:rPr>
          <w:color w:val="231F20"/>
          <w:spacing w:val="13"/>
        </w:rPr>
        <w:t> </w:t>
      </w:r>
      <w:r>
        <w:rPr>
          <w:color w:val="231F20"/>
        </w:rPr>
        <w:t>is</w:t>
      </w:r>
      <w:r>
        <w:rPr>
          <w:color w:val="231F20"/>
          <w:spacing w:val="12"/>
        </w:rPr>
        <w:t> </w:t>
      </w:r>
      <w:r>
        <w:rPr>
          <w:color w:val="231F20"/>
        </w:rPr>
        <w:t>true</w:t>
      </w:r>
      <w:r>
        <w:rPr>
          <w:color w:val="231F20"/>
          <w:spacing w:val="13"/>
        </w:rPr>
        <w:t> </w:t>
      </w:r>
      <w:r>
        <w:rPr>
          <w:color w:val="231F20"/>
        </w:rPr>
        <w:t>when</w:t>
      </w:r>
      <w:r>
        <w:rPr>
          <w:color w:val="231F20"/>
          <w:spacing w:val="12"/>
        </w:rPr>
        <w:t> </w:t>
      </w:r>
      <w:r>
        <w:rPr>
          <w:color w:val="231F20"/>
        </w:rPr>
        <w:t>the</w:t>
      </w:r>
      <w:r>
        <w:rPr>
          <w:color w:val="231F20"/>
          <w:spacing w:val="13"/>
        </w:rPr>
        <w:t> </w:t>
      </w:r>
      <w:r>
        <w:rPr>
          <w:color w:val="231F20"/>
        </w:rPr>
        <w:t>day</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rPr>
        <w:t>week</w:t>
      </w:r>
      <w:r>
        <w:rPr>
          <w:color w:val="231F20"/>
          <w:spacing w:val="13"/>
        </w:rPr>
        <w:t> </w:t>
      </w:r>
      <w:r>
        <w:rPr>
          <w:color w:val="231F20"/>
        </w:rPr>
        <w:t>is</w:t>
      </w:r>
      <w:r>
        <w:rPr>
          <w:color w:val="231F20"/>
          <w:spacing w:val="12"/>
        </w:rPr>
        <w:t> </w:t>
      </w:r>
      <w:r>
        <w:rPr>
          <w:color w:val="231F20"/>
        </w:rPr>
        <w:t>02</w:t>
      </w:r>
      <w:r>
        <w:rPr>
          <w:color w:val="231F20"/>
          <w:spacing w:val="13"/>
        </w:rPr>
        <w:t> </w:t>
      </w:r>
      <w:r>
        <w:rPr>
          <w:color w:val="231F20"/>
        </w:rPr>
        <w:t>to</w:t>
      </w:r>
      <w:r>
        <w:rPr>
          <w:color w:val="231F20"/>
          <w:spacing w:val="12"/>
        </w:rPr>
        <w:t> </w:t>
      </w:r>
      <w:r>
        <w:rPr>
          <w:color w:val="231F20"/>
        </w:rPr>
        <w:t>06</w:t>
      </w:r>
      <w:r>
        <w:rPr>
          <w:color w:val="231F20"/>
          <w:spacing w:val="13"/>
        </w:rPr>
        <w:t> </w:t>
      </w:r>
      <w:r>
        <w:rPr>
          <w:color w:val="231F20"/>
        </w:rPr>
        <w:t>(Monday</w:t>
      </w:r>
      <w:r>
        <w:rPr>
          <w:color w:val="231F20"/>
          <w:spacing w:val="12"/>
        </w:rPr>
        <w:t> </w:t>
      </w:r>
      <w:r>
        <w:rPr>
          <w:color w:val="231F20"/>
        </w:rPr>
        <w:t>to</w:t>
      </w:r>
      <w:r>
        <w:rPr>
          <w:color w:val="231F20"/>
          <w:spacing w:val="13"/>
        </w:rPr>
        <w:t> </w:t>
      </w:r>
      <w:r>
        <w:rPr>
          <w:color w:val="231F20"/>
          <w:spacing w:val="-2"/>
        </w:rPr>
        <w:t>Friday).</w:t>
      </w:r>
    </w:p>
    <w:p>
      <w:pPr>
        <w:pStyle w:val="BodyText"/>
        <w:spacing w:before="3"/>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29"/>
        <w:gridCol w:w="3510"/>
        <w:gridCol w:w="3495"/>
      </w:tblGrid>
      <w:tr>
        <w:trPr>
          <w:trHeight w:val="274" w:hRule="atLeast"/>
        </w:trPr>
        <w:tc>
          <w:tcPr>
            <w:tcW w:w="529" w:type="dxa"/>
          </w:tcPr>
          <w:p>
            <w:pPr>
              <w:pStyle w:val="TableParagraph"/>
              <w:spacing w:before="0"/>
              <w:ind w:left="0"/>
              <w:rPr>
                <w:rFonts w:ascii="Times New Roman"/>
                <w:sz w:val="18"/>
              </w:rPr>
            </w:pPr>
          </w:p>
        </w:tc>
        <w:tc>
          <w:tcPr>
            <w:tcW w:w="3510" w:type="dxa"/>
          </w:tcPr>
          <w:p>
            <w:pPr>
              <w:pStyle w:val="TableParagraph"/>
              <w:spacing w:before="10"/>
              <w:ind w:left="8"/>
              <w:jc w:val="center"/>
              <w:rPr>
                <w:rFonts w:ascii="Arial"/>
                <w:b/>
                <w:sz w:val="18"/>
              </w:rPr>
            </w:pPr>
            <w:r>
              <w:rPr>
                <w:rFonts w:ascii="Arial"/>
                <w:b/>
                <w:color w:val="231F20"/>
                <w:w w:val="95"/>
                <w:sz w:val="18"/>
              </w:rPr>
              <w:t>Day</w:t>
            </w:r>
            <w:r>
              <w:rPr>
                <w:rFonts w:ascii="Arial"/>
                <w:b/>
                <w:color w:val="231F20"/>
                <w:spacing w:val="24"/>
                <w:sz w:val="18"/>
              </w:rPr>
              <w:t> </w:t>
            </w:r>
            <w:r>
              <w:rPr>
                <w:rFonts w:ascii="Arial"/>
                <w:b/>
                <w:color w:val="231F20"/>
                <w:w w:val="95"/>
                <w:sz w:val="18"/>
              </w:rPr>
              <w:t>of</w:t>
            </w:r>
            <w:r>
              <w:rPr>
                <w:rFonts w:ascii="Arial"/>
                <w:b/>
                <w:color w:val="231F20"/>
                <w:spacing w:val="24"/>
                <w:sz w:val="18"/>
              </w:rPr>
              <w:t> </w:t>
            </w:r>
            <w:r>
              <w:rPr>
                <w:rFonts w:ascii="Arial"/>
                <w:b/>
                <w:color w:val="231F20"/>
                <w:spacing w:val="-4"/>
                <w:w w:val="95"/>
                <w:sz w:val="18"/>
              </w:rPr>
              <w:t>Week</w:t>
            </w:r>
          </w:p>
        </w:tc>
        <w:tc>
          <w:tcPr>
            <w:tcW w:w="3495" w:type="dxa"/>
          </w:tcPr>
          <w:p>
            <w:pPr>
              <w:pStyle w:val="TableParagraph"/>
              <w:spacing w:before="10"/>
              <w:ind w:left="23"/>
              <w:jc w:val="center"/>
              <w:rPr>
                <w:rFonts w:ascii="Arial"/>
                <w:b/>
                <w:sz w:val="18"/>
              </w:rPr>
            </w:pPr>
            <w:r>
              <w:rPr>
                <w:rFonts w:ascii="Arial"/>
                <w:b/>
                <w:color w:val="231F20"/>
                <w:w w:val="95"/>
                <w:sz w:val="18"/>
              </w:rPr>
              <w:t>Day</w:t>
            </w:r>
            <w:r>
              <w:rPr>
                <w:rFonts w:ascii="Arial"/>
                <w:b/>
                <w:color w:val="231F20"/>
                <w:spacing w:val="24"/>
                <w:sz w:val="18"/>
              </w:rPr>
              <w:t> </w:t>
            </w:r>
            <w:r>
              <w:rPr>
                <w:rFonts w:ascii="Arial"/>
                <w:b/>
                <w:color w:val="231F20"/>
                <w:w w:val="95"/>
                <w:sz w:val="18"/>
              </w:rPr>
              <w:t>of</w:t>
            </w:r>
            <w:r>
              <w:rPr>
                <w:rFonts w:ascii="Arial"/>
                <w:b/>
                <w:color w:val="231F20"/>
                <w:spacing w:val="24"/>
                <w:sz w:val="18"/>
              </w:rPr>
              <w:t> </w:t>
            </w:r>
            <w:r>
              <w:rPr>
                <w:rFonts w:ascii="Arial"/>
                <w:b/>
                <w:color w:val="231F20"/>
                <w:spacing w:val="-4"/>
                <w:w w:val="95"/>
                <w:sz w:val="18"/>
              </w:rPr>
              <w:t>Week</w:t>
            </w:r>
          </w:p>
        </w:tc>
      </w:tr>
      <w:tr>
        <w:trPr>
          <w:trHeight w:val="314" w:hRule="atLeast"/>
        </w:trPr>
        <w:tc>
          <w:tcPr>
            <w:tcW w:w="529" w:type="dxa"/>
          </w:tcPr>
          <w:p>
            <w:pPr>
              <w:pStyle w:val="TableParagraph"/>
              <w:spacing w:before="45"/>
              <w:ind w:left="44"/>
              <w:rPr>
                <w:rFonts w:ascii="Arial"/>
                <w:sz w:val="18"/>
              </w:rPr>
            </w:pPr>
            <w:r>
              <w:rPr>
                <w:rFonts w:ascii="Arial"/>
                <w:color w:val="231F20"/>
                <w:spacing w:val="-10"/>
                <w:sz w:val="18"/>
              </w:rPr>
              <w:t>1</w:t>
            </w:r>
          </w:p>
        </w:tc>
        <w:tc>
          <w:tcPr>
            <w:tcW w:w="3510" w:type="dxa"/>
          </w:tcPr>
          <w:p>
            <w:pPr>
              <w:pStyle w:val="TableParagraph"/>
              <w:spacing w:before="45"/>
              <w:rPr>
                <w:rFonts w:ascii="Arial"/>
                <w:sz w:val="18"/>
              </w:rPr>
            </w:pPr>
            <w:r>
              <w:rPr>
                <w:rFonts w:ascii="Arial"/>
                <w:color w:val="231F20"/>
                <w:w w:val="95"/>
                <w:sz w:val="18"/>
              </w:rPr>
              <w:t>&gt;=</w:t>
            </w:r>
            <w:r>
              <w:rPr>
                <w:rFonts w:ascii="Arial"/>
                <w:color w:val="231F20"/>
                <w:spacing w:val="17"/>
                <w:sz w:val="18"/>
              </w:rPr>
              <w:t> </w:t>
            </w:r>
            <w:r>
              <w:rPr>
                <w:rFonts w:ascii="Arial"/>
                <w:color w:val="231F20"/>
                <w:spacing w:val="-12"/>
                <w:w w:val="95"/>
                <w:sz w:val="18"/>
              </w:rPr>
              <w:t>2</w:t>
            </w:r>
          </w:p>
        </w:tc>
        <w:tc>
          <w:tcPr>
            <w:tcW w:w="3495" w:type="dxa"/>
          </w:tcPr>
          <w:p>
            <w:pPr>
              <w:pStyle w:val="TableParagraph"/>
              <w:spacing w:before="45"/>
              <w:rPr>
                <w:rFonts w:ascii="Arial"/>
                <w:sz w:val="18"/>
              </w:rPr>
            </w:pPr>
            <w:r>
              <w:rPr>
                <w:rFonts w:ascii="Arial"/>
                <w:color w:val="231F20"/>
                <w:w w:val="95"/>
                <w:sz w:val="18"/>
              </w:rPr>
              <w:t>&lt;=</w:t>
            </w:r>
            <w:r>
              <w:rPr>
                <w:rFonts w:ascii="Arial"/>
                <w:color w:val="231F20"/>
                <w:spacing w:val="17"/>
                <w:sz w:val="18"/>
              </w:rPr>
              <w:t> </w:t>
            </w:r>
            <w:r>
              <w:rPr>
                <w:rFonts w:ascii="Arial"/>
                <w:color w:val="231F20"/>
                <w:spacing w:val="-12"/>
                <w:w w:val="95"/>
                <w:sz w:val="18"/>
              </w:rPr>
              <w:t>6</w:t>
            </w:r>
          </w:p>
        </w:tc>
      </w:tr>
    </w:tbl>
    <w:p>
      <w:pPr>
        <w:pStyle w:val="BodyText"/>
        <w:spacing w:before="120"/>
      </w:pPr>
      <w:r>
        <w:rPr/>
        <mc:AlternateContent>
          <mc:Choice Requires="wps">
            <w:drawing>
              <wp:anchor distT="0" distB="0" distL="0" distR="0" allowOverlap="1" layoutInCell="1" locked="0" behindDoc="1" simplePos="0" relativeHeight="487748096">
                <wp:simplePos x="0" y="0"/>
                <wp:positionH relativeFrom="page">
                  <wp:posOffset>912380</wp:posOffset>
                </wp:positionH>
                <wp:positionV relativeFrom="paragraph">
                  <wp:posOffset>263302</wp:posOffset>
                </wp:positionV>
                <wp:extent cx="6082665" cy="1270"/>
                <wp:effectExtent l="0" t="0" r="0" b="0"/>
                <wp:wrapTopAndBottom/>
                <wp:docPr id="3314" name="Graphic 3314"/>
                <wp:cNvGraphicFramePr>
                  <a:graphicFrameLocks/>
                </wp:cNvGraphicFramePr>
                <a:graphic>
                  <a:graphicData uri="http://schemas.microsoft.com/office/word/2010/wordprocessingShape">
                    <wps:wsp>
                      <wps:cNvPr id="3314" name="Graphic 3314"/>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20.732500pt;width:478.95pt;height:.1pt;mso-position-horizontal-relative:page;mso-position-vertical-relative:paragraph;z-index:-15568384;mso-wrap-distance-left:0;mso-wrap-distance-right:0" id="docshape272" coordorigin="1437,415" coordsize="9579,0" path="m1437,415l11016,415e" filled="false" stroked="true" strokeweight=".499pt" strokecolor="#231f20">
                <v:path arrowok="t"/>
                <v:stroke dashstyle="solid"/>
                <w10:wrap type="topAndBottom"/>
              </v:shape>
            </w:pict>
          </mc:Fallback>
        </mc:AlternateContent>
      </w:r>
    </w:p>
    <w:p>
      <w:pPr>
        <w:pStyle w:val="Heading3"/>
      </w:pPr>
      <w:bookmarkStart w:name="Formula editor menu" w:id="666"/>
      <w:bookmarkEnd w:id="666"/>
      <w:r>
        <w:rPr>
          <w:b w:val="0"/>
        </w:rPr>
      </w:r>
      <w:r>
        <w:rPr>
          <w:color w:val="231F20"/>
        </w:rPr>
        <w:t>Formula</w:t>
      </w:r>
      <w:r>
        <w:rPr>
          <w:color w:val="231F20"/>
          <w:spacing w:val="5"/>
        </w:rPr>
        <w:t> </w:t>
      </w:r>
      <w:r>
        <w:rPr>
          <w:color w:val="231F20"/>
        </w:rPr>
        <w:t>editor</w:t>
      </w:r>
      <w:r>
        <w:rPr>
          <w:color w:val="231F20"/>
          <w:spacing w:val="6"/>
        </w:rPr>
        <w:t> </w:t>
      </w:r>
      <w:r>
        <w:rPr>
          <w:color w:val="231F20"/>
          <w:spacing w:val="-4"/>
        </w:rPr>
        <w:t>menu</w:t>
      </w:r>
    </w:p>
    <w:p>
      <w:pPr>
        <w:pStyle w:val="BodyText"/>
        <w:spacing w:line="213" w:lineRule="auto" w:before="138"/>
        <w:ind w:left="2472" w:right="545"/>
      </w:pPr>
      <w:r>
        <w:rPr>
          <w:color w:val="231F20"/>
        </w:rPr>
        <w:t>The formula editor pop-up menu has functions for editing the </w:t>
      </w:r>
      <w:r>
        <w:rPr>
          <w:color w:val="231F20"/>
        </w:rPr>
        <w:t>expressions, inserting rows, and deleting rows and columns.</w:t>
      </w:r>
    </w:p>
    <w:p>
      <w:pPr>
        <w:pStyle w:val="BodyText"/>
        <w:spacing w:line="213" w:lineRule="auto" w:before="239"/>
        <w:ind w:left="2472" w:right="385"/>
      </w:pPr>
      <w:r>
        <w:rPr>
          <w:color w:val="231F20"/>
        </w:rPr>
        <w:t>Right-click a column heading, row number, or an unselected cell to see and </w:t>
      </w:r>
      <w:r>
        <w:rPr>
          <w:color w:val="231F20"/>
        </w:rPr>
        <w:t>select from a menu of actions.</w:t>
      </w:r>
    </w:p>
    <w:p>
      <w:pPr>
        <w:pStyle w:val="BodyText"/>
        <w:spacing w:line="213" w:lineRule="auto" w:before="238"/>
        <w:ind w:left="2472" w:right="292"/>
      </w:pPr>
      <w:r>
        <w:rPr>
          <w:rFonts w:ascii="Book Antiqua"/>
          <w:b/>
          <w:color w:val="231F20"/>
        </w:rPr>
        <w:t>Note:</w:t>
      </w:r>
      <w:r>
        <w:rPr>
          <w:rFonts w:ascii="Book Antiqua"/>
          <w:b/>
          <w:color w:val="231F20"/>
          <w:spacing w:val="40"/>
        </w:rPr>
        <w:t> </w:t>
      </w:r>
      <w:r>
        <w:rPr>
          <w:color w:val="231F20"/>
        </w:rPr>
        <w:t>Although you can enter both ASCII and non-ASCII characters (such as </w:t>
      </w:r>
      <w:r>
        <w:rPr>
          <w:color w:val="231F20"/>
        </w:rPr>
        <w:t>those in double-byte character set languages) in the formula editor, you can paste only ASCII characters. If you want to repeat non-ASCII characters in a cell, you must</w:t>
      </w:r>
      <w:r>
        <w:rPr>
          <w:color w:val="231F20"/>
          <w:spacing w:val="80"/>
        </w:rPr>
        <w:t> </w:t>
      </w:r>
      <w:r>
        <w:rPr>
          <w:color w:val="231F20"/>
        </w:rPr>
        <w:t>type the characters in the cell.</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00"/>
        <w:gridCol w:w="1612"/>
        <w:gridCol w:w="1612"/>
        <w:gridCol w:w="1612"/>
        <w:gridCol w:w="1597"/>
      </w:tblGrid>
      <w:tr>
        <w:trPr>
          <w:trHeight w:val="493" w:hRule="atLeast"/>
        </w:trPr>
        <w:tc>
          <w:tcPr>
            <w:tcW w:w="1100" w:type="dxa"/>
          </w:tcPr>
          <w:p>
            <w:pPr>
              <w:pStyle w:val="TableParagraph"/>
              <w:spacing w:before="229"/>
              <w:ind w:left="268"/>
              <w:rPr>
                <w:rFonts w:ascii="Book Antiqua"/>
                <w:b/>
                <w:sz w:val="18"/>
              </w:rPr>
            </w:pPr>
            <w:r>
              <w:rPr>
                <w:rFonts w:ascii="Book Antiqua"/>
                <w:b/>
                <w:color w:val="231F20"/>
                <w:spacing w:val="-2"/>
                <w:sz w:val="18"/>
              </w:rPr>
              <w:t>Action</w:t>
            </w:r>
          </w:p>
        </w:tc>
        <w:tc>
          <w:tcPr>
            <w:tcW w:w="1612" w:type="dxa"/>
          </w:tcPr>
          <w:p>
            <w:pPr>
              <w:pStyle w:val="TableParagraph"/>
              <w:spacing w:before="229"/>
              <w:ind w:left="322"/>
              <w:rPr>
                <w:rFonts w:ascii="Book Antiqua"/>
                <w:b/>
                <w:sz w:val="18"/>
              </w:rPr>
            </w:pPr>
            <w:r>
              <w:rPr>
                <w:rFonts w:ascii="Book Antiqua"/>
                <w:b/>
                <w:color w:val="231F20"/>
                <w:spacing w:val="-2"/>
                <w:sz w:val="18"/>
              </w:rPr>
              <w:t>Description</w:t>
            </w:r>
          </w:p>
        </w:tc>
        <w:tc>
          <w:tcPr>
            <w:tcW w:w="1612" w:type="dxa"/>
          </w:tcPr>
          <w:p>
            <w:pPr>
              <w:pStyle w:val="TableParagraph"/>
              <w:spacing w:line="242" w:lineRule="auto" w:before="10"/>
              <w:ind w:left="444" w:firstLine="204"/>
              <w:rPr>
                <w:rFonts w:ascii="Book Antiqua"/>
                <w:b/>
                <w:sz w:val="18"/>
              </w:rPr>
            </w:pPr>
            <w:r>
              <w:rPr/>
              <mc:AlternateContent>
                <mc:Choice Requires="wps">
                  <w:drawing>
                    <wp:anchor distT="0" distB="0" distL="0" distR="0" allowOverlap="1" layoutInCell="1" locked="0" behindDoc="1" simplePos="0" relativeHeight="473285120">
                      <wp:simplePos x="0" y="0"/>
                      <wp:positionH relativeFrom="column">
                        <wp:posOffset>158769</wp:posOffset>
                      </wp:positionH>
                      <wp:positionV relativeFrom="paragraph">
                        <wp:posOffset>37586</wp:posOffset>
                      </wp:positionV>
                      <wp:extent cx="225425" cy="241300"/>
                      <wp:effectExtent l="0" t="0" r="0" b="0"/>
                      <wp:wrapNone/>
                      <wp:docPr id="3315" name="Group 3315"/>
                      <wp:cNvGraphicFramePr>
                        <a:graphicFrameLocks/>
                      </wp:cNvGraphicFramePr>
                      <a:graphic>
                        <a:graphicData uri="http://schemas.microsoft.com/office/word/2010/wordprocessingGroup">
                          <wpg:wgp>
                            <wpg:cNvPr id="3315" name="Group 3315"/>
                            <wpg:cNvGrpSpPr/>
                            <wpg:grpSpPr>
                              <a:xfrm>
                                <a:off x="0" y="0"/>
                                <a:ext cx="225425" cy="241300"/>
                                <a:chExt cx="225425" cy="241300"/>
                              </a:xfrm>
                            </wpg:grpSpPr>
                            <pic:pic>
                              <pic:nvPicPr>
                                <pic:cNvPr id="3316" name="Image 3316"/>
                                <pic:cNvPicPr/>
                              </pic:nvPicPr>
                              <pic:blipFill>
                                <a:blip r:embed="rId88" cstate="print"/>
                                <a:stretch>
                                  <a:fillRect/>
                                </a:stretch>
                              </pic:blipFill>
                              <pic:spPr>
                                <a:xfrm>
                                  <a:off x="129887" y="0"/>
                                  <a:ext cx="95250" cy="101600"/>
                                </a:xfrm>
                                <a:prstGeom prst="rect">
                                  <a:avLst/>
                                </a:prstGeom>
                              </pic:spPr>
                            </pic:pic>
                            <pic:pic>
                              <pic:nvPicPr>
                                <pic:cNvPr id="3317" name="Image 3317"/>
                                <pic:cNvPicPr/>
                              </pic:nvPicPr>
                              <pic:blipFill>
                                <a:blip r:embed="rId102" cstate="print"/>
                                <a:stretch>
                                  <a:fillRect/>
                                </a:stretch>
                              </pic:blipFill>
                              <pic:spPr>
                                <a:xfrm>
                                  <a:off x="0" y="145705"/>
                                  <a:ext cx="88900" cy="95250"/>
                                </a:xfrm>
                                <a:prstGeom prst="rect">
                                  <a:avLst/>
                                </a:prstGeom>
                              </pic:spPr>
                            </pic:pic>
                          </wpg:wgp>
                        </a:graphicData>
                      </a:graphic>
                    </wp:anchor>
                  </w:drawing>
                </mc:Choice>
                <mc:Fallback>
                  <w:pict>
                    <v:group style="position:absolute;margin-left:12.5015pt;margin-top:2.959568pt;width:17.75pt;height:19pt;mso-position-horizontal-relative:column;mso-position-vertical-relative:paragraph;z-index:-30031360" id="docshapegroup273" coordorigin="250,59" coordsize="355,380">
                      <v:shape style="position:absolute;left:454;top:59;width:150;height:160" type="#_x0000_t75" id="docshape274" stroked="false">
                        <v:imagedata r:id="rId88" o:title=""/>
                      </v:shape>
                      <v:shape style="position:absolute;left:250;top:288;width:140;height:150" type="#_x0000_t75" id="docshape275" stroked="false">
                        <v:imagedata r:id="rId102" o:title=""/>
                      </v:shape>
                      <w10:wrap type="none"/>
                    </v:group>
                  </w:pict>
                </mc:Fallback>
              </mc:AlternateContent>
            </w:r>
            <w:r>
              <w:rPr>
                <w:rFonts w:ascii="Book Antiqua"/>
                <w:b/>
                <w:color w:val="231F20"/>
                <w:spacing w:val="-2"/>
                <w:sz w:val="18"/>
              </w:rPr>
              <w:t>Filters Thresholds</w:t>
            </w:r>
          </w:p>
        </w:tc>
        <w:tc>
          <w:tcPr>
            <w:tcW w:w="1612" w:type="dxa"/>
          </w:tcPr>
          <w:p>
            <w:pPr>
              <w:pStyle w:val="TableParagraph"/>
              <w:spacing w:before="229"/>
              <w:ind w:left="454"/>
              <w:rPr>
                <w:rFonts w:ascii="Book Antiqua"/>
                <w:b/>
                <w:sz w:val="18"/>
              </w:rPr>
            </w:pPr>
            <w:r>
              <w:rPr>
                <w:position w:val="-3"/>
              </w:rPr>
              <w:drawing>
                <wp:inline distT="0" distB="0" distL="0" distR="0">
                  <wp:extent cx="95250" cy="101600"/>
                  <wp:effectExtent l="0" t="0" r="0" b="0"/>
                  <wp:docPr id="3318" name="Image 3318"/>
                  <wp:cNvGraphicFramePr>
                    <a:graphicFrameLocks/>
                  </wp:cNvGraphicFramePr>
                  <a:graphic>
                    <a:graphicData uri="http://schemas.openxmlformats.org/drawingml/2006/picture">
                      <pic:pic>
                        <pic:nvPicPr>
                          <pic:cNvPr id="3318" name="Image 3318"/>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Query</w:t>
            </w:r>
          </w:p>
        </w:tc>
        <w:tc>
          <w:tcPr>
            <w:tcW w:w="1597" w:type="dxa"/>
          </w:tcPr>
          <w:p>
            <w:pPr>
              <w:pStyle w:val="TableParagraph"/>
              <w:spacing w:before="229"/>
              <w:ind w:left="329"/>
              <w:rPr>
                <w:rFonts w:ascii="Book Antiqua"/>
                <w:b/>
                <w:sz w:val="18"/>
              </w:rPr>
            </w:pPr>
            <w:r>
              <w:rPr>
                <w:position w:val="-3"/>
              </w:rPr>
              <w:drawing>
                <wp:inline distT="0" distB="0" distL="0" distR="0">
                  <wp:extent cx="101600" cy="101600"/>
                  <wp:effectExtent l="0" t="0" r="0" b="0"/>
                  <wp:docPr id="3319" name="Image 3319"/>
                  <wp:cNvGraphicFramePr>
                    <a:graphicFrameLocks/>
                  </wp:cNvGraphicFramePr>
                  <a:graphic>
                    <a:graphicData uri="http://schemas.openxmlformats.org/drawingml/2006/picture">
                      <pic:pic>
                        <pic:nvPicPr>
                          <pic:cNvPr id="3319" name="Image 3319"/>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Formula</w:t>
            </w:r>
          </w:p>
        </w:tc>
      </w:tr>
      <w:tr>
        <w:trPr>
          <w:trHeight w:val="533" w:hRule="atLeast"/>
        </w:trPr>
        <w:tc>
          <w:tcPr>
            <w:tcW w:w="1100" w:type="dxa"/>
          </w:tcPr>
          <w:p>
            <w:pPr>
              <w:pStyle w:val="TableParagraph"/>
              <w:spacing w:line="216" w:lineRule="auto" w:before="44"/>
              <w:ind w:left="44"/>
              <w:rPr>
                <w:sz w:val="18"/>
              </w:rPr>
            </w:pPr>
            <w:r>
              <w:rPr>
                <w:position w:val="-2"/>
              </w:rPr>
              <w:drawing>
                <wp:inline distT="0" distB="0" distL="0" distR="0">
                  <wp:extent cx="101600" cy="88900"/>
                  <wp:effectExtent l="0" t="0" r="0" b="0"/>
                  <wp:docPr id="3320" name="Image 3320"/>
                  <wp:cNvGraphicFramePr>
                    <a:graphicFrameLocks/>
                  </wp:cNvGraphicFramePr>
                  <a:graphic>
                    <a:graphicData uri="http://schemas.openxmlformats.org/drawingml/2006/picture">
                      <pic:pic>
                        <pic:nvPicPr>
                          <pic:cNvPr id="3320" name="Image 3320"/>
                          <pic:cNvPicPr/>
                        </pic:nvPicPr>
                        <pic:blipFill>
                          <a:blip r:embed="rId133" cstate="print"/>
                          <a:stretch>
                            <a:fillRect/>
                          </a:stretch>
                        </pic:blipFill>
                        <pic:spPr>
                          <a:xfrm>
                            <a:off x="0" y="0"/>
                            <a:ext cx="101600" cy="88900"/>
                          </a:xfrm>
                          <a:prstGeom prst="rect">
                            <a:avLst/>
                          </a:prstGeom>
                        </pic:spPr>
                      </pic:pic>
                    </a:graphicData>
                  </a:graphic>
                </wp:inline>
              </w:drawing>
            </w:r>
            <w:r>
              <w:rPr>
                <w:position w:val="-2"/>
              </w:rPr>
            </w:r>
            <w:r>
              <w:rPr>
                <w:rFonts w:ascii="Times New Roman"/>
                <w:spacing w:val="17"/>
                <w:sz w:val="20"/>
              </w:rPr>
              <w:t> </w:t>
            </w:r>
            <w:r>
              <w:rPr>
                <w:color w:val="231F20"/>
                <w:sz w:val="18"/>
              </w:rPr>
              <w:t>Clear </w:t>
            </w:r>
            <w:r>
              <w:rPr>
                <w:color w:val="231F20"/>
                <w:spacing w:val="-2"/>
                <w:sz w:val="18"/>
              </w:rPr>
              <w:t>contents</w:t>
            </w:r>
          </w:p>
        </w:tc>
        <w:tc>
          <w:tcPr>
            <w:tcW w:w="1612" w:type="dxa"/>
          </w:tcPr>
          <w:p>
            <w:pPr>
              <w:pStyle w:val="TableParagraph"/>
              <w:spacing w:line="216" w:lineRule="auto" w:before="44"/>
              <w:rPr>
                <w:sz w:val="18"/>
              </w:rPr>
            </w:pPr>
            <w:r>
              <w:rPr>
                <w:color w:val="231F20"/>
                <w:sz w:val="18"/>
              </w:rPr>
              <w:t>Clear</w:t>
            </w:r>
            <w:r>
              <w:rPr>
                <w:color w:val="231F20"/>
                <w:spacing w:val="-6"/>
                <w:sz w:val="18"/>
              </w:rPr>
              <w:t> </w:t>
            </w:r>
            <w:r>
              <w:rPr>
                <w:color w:val="231F20"/>
                <w:sz w:val="18"/>
              </w:rPr>
              <w:t>the</w:t>
            </w:r>
            <w:r>
              <w:rPr>
                <w:color w:val="231F20"/>
                <w:spacing w:val="-6"/>
                <w:sz w:val="18"/>
              </w:rPr>
              <w:t> </w:t>
            </w:r>
            <w:r>
              <w:rPr>
                <w:color w:val="231F20"/>
                <w:sz w:val="18"/>
              </w:rPr>
              <w:t>contents of the...</w:t>
            </w:r>
          </w:p>
        </w:tc>
        <w:tc>
          <w:tcPr>
            <w:tcW w:w="1612" w:type="dxa"/>
          </w:tcPr>
          <w:p>
            <w:pPr>
              <w:pStyle w:val="TableParagraph"/>
              <w:spacing w:line="216" w:lineRule="auto" w:before="44"/>
              <w:ind w:right="47"/>
              <w:rPr>
                <w:sz w:val="18"/>
              </w:rPr>
            </w:pPr>
            <w:r>
              <w:rPr>
                <w:color w:val="231F20"/>
                <w:sz w:val="18"/>
              </w:rPr>
              <w:t>cell,</w:t>
            </w:r>
            <w:r>
              <w:rPr>
                <w:color w:val="231F20"/>
                <w:spacing w:val="-6"/>
                <w:sz w:val="18"/>
              </w:rPr>
              <w:t> </w:t>
            </w:r>
            <w:r>
              <w:rPr>
                <w:color w:val="231F20"/>
                <w:sz w:val="18"/>
              </w:rPr>
              <w:t>column,</w:t>
            </w:r>
            <w:r>
              <w:rPr>
                <w:color w:val="231F20"/>
                <w:spacing w:val="-6"/>
                <w:sz w:val="18"/>
              </w:rPr>
              <w:t> </w:t>
            </w:r>
            <w:r>
              <w:rPr>
                <w:color w:val="231F20"/>
                <w:sz w:val="18"/>
              </w:rPr>
              <w:t>or </w:t>
            </w:r>
            <w:r>
              <w:rPr>
                <w:color w:val="231F20"/>
                <w:spacing w:val="-4"/>
                <w:sz w:val="18"/>
              </w:rPr>
              <w:t>row</w:t>
            </w:r>
          </w:p>
        </w:tc>
        <w:tc>
          <w:tcPr>
            <w:tcW w:w="1612" w:type="dxa"/>
          </w:tcPr>
          <w:p>
            <w:pPr>
              <w:pStyle w:val="TableParagraph"/>
              <w:spacing w:line="216" w:lineRule="auto" w:before="44"/>
              <w:ind w:right="47"/>
              <w:rPr>
                <w:sz w:val="18"/>
              </w:rPr>
            </w:pPr>
            <w:r>
              <w:rPr>
                <w:color w:val="231F20"/>
                <w:sz w:val="18"/>
              </w:rPr>
              <w:t>cell,</w:t>
            </w:r>
            <w:r>
              <w:rPr>
                <w:color w:val="231F20"/>
                <w:spacing w:val="-5"/>
                <w:sz w:val="18"/>
              </w:rPr>
              <w:t> </w:t>
            </w:r>
            <w:r>
              <w:rPr>
                <w:color w:val="231F20"/>
                <w:sz w:val="18"/>
              </w:rPr>
              <w:t>column,</w:t>
            </w:r>
            <w:r>
              <w:rPr>
                <w:color w:val="231F20"/>
                <w:spacing w:val="-5"/>
                <w:sz w:val="18"/>
              </w:rPr>
              <w:t> </w:t>
            </w:r>
            <w:r>
              <w:rPr>
                <w:color w:val="231F20"/>
                <w:sz w:val="18"/>
              </w:rPr>
              <w:t>or </w:t>
            </w:r>
            <w:r>
              <w:rPr>
                <w:color w:val="231F20"/>
                <w:spacing w:val="-4"/>
                <w:sz w:val="18"/>
              </w:rPr>
              <w:t>row</w:t>
            </w:r>
          </w:p>
        </w:tc>
        <w:tc>
          <w:tcPr>
            <w:tcW w:w="1597" w:type="dxa"/>
          </w:tcPr>
          <w:p>
            <w:pPr>
              <w:pStyle w:val="TableParagraph"/>
              <w:spacing w:line="216" w:lineRule="auto" w:before="44"/>
              <w:ind w:left="60" w:right="28"/>
              <w:rPr>
                <w:sz w:val="18"/>
              </w:rPr>
            </w:pPr>
            <w:r>
              <w:rPr>
                <w:color w:val="231F20"/>
                <w:sz w:val="18"/>
              </w:rPr>
              <w:t>cell,</w:t>
            </w:r>
            <w:r>
              <w:rPr>
                <w:color w:val="231F20"/>
                <w:spacing w:val="-6"/>
                <w:sz w:val="18"/>
              </w:rPr>
              <w:t> </w:t>
            </w:r>
            <w:r>
              <w:rPr>
                <w:color w:val="231F20"/>
                <w:sz w:val="18"/>
              </w:rPr>
              <w:t>column,</w:t>
            </w:r>
            <w:r>
              <w:rPr>
                <w:color w:val="231F20"/>
                <w:spacing w:val="-6"/>
                <w:sz w:val="18"/>
              </w:rPr>
              <w:t> </w:t>
            </w:r>
            <w:r>
              <w:rPr>
                <w:color w:val="231F20"/>
                <w:sz w:val="18"/>
              </w:rPr>
              <w:t>or </w:t>
            </w:r>
            <w:r>
              <w:rPr>
                <w:color w:val="231F20"/>
                <w:spacing w:val="-4"/>
                <w:sz w:val="18"/>
              </w:rPr>
              <w:t>row</w:t>
            </w:r>
          </w:p>
        </w:tc>
      </w:tr>
    </w:tbl>
    <w:p>
      <w:pPr>
        <w:spacing w:after="0" w:line="216" w:lineRule="auto"/>
        <w:rPr>
          <w:sz w:val="18"/>
        </w:rPr>
        <w:sectPr>
          <w:pgSz w:w="12240" w:h="15840"/>
          <w:pgMar w:header="0" w:footer="736" w:top="1180" w:bottom="1566"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00"/>
        <w:gridCol w:w="1612"/>
        <w:gridCol w:w="1612"/>
        <w:gridCol w:w="1612"/>
        <w:gridCol w:w="1597"/>
      </w:tblGrid>
      <w:tr>
        <w:trPr>
          <w:trHeight w:val="493" w:hRule="atLeast"/>
        </w:trPr>
        <w:tc>
          <w:tcPr>
            <w:tcW w:w="1100" w:type="dxa"/>
          </w:tcPr>
          <w:p>
            <w:pPr>
              <w:pStyle w:val="TableParagraph"/>
              <w:spacing w:before="229"/>
              <w:ind w:left="268"/>
              <w:rPr>
                <w:rFonts w:ascii="Book Antiqua"/>
                <w:b/>
                <w:sz w:val="18"/>
              </w:rPr>
            </w:pPr>
            <w:r>
              <w:rPr>
                <w:rFonts w:ascii="Book Antiqua"/>
                <w:b/>
                <w:color w:val="231F20"/>
                <w:spacing w:val="-2"/>
                <w:sz w:val="18"/>
              </w:rPr>
              <w:t>Action</w:t>
            </w:r>
          </w:p>
        </w:tc>
        <w:tc>
          <w:tcPr>
            <w:tcW w:w="1612" w:type="dxa"/>
          </w:tcPr>
          <w:p>
            <w:pPr>
              <w:pStyle w:val="TableParagraph"/>
              <w:spacing w:before="229"/>
              <w:ind w:left="322"/>
              <w:rPr>
                <w:rFonts w:ascii="Book Antiqua"/>
                <w:b/>
                <w:sz w:val="18"/>
              </w:rPr>
            </w:pPr>
            <w:r>
              <w:rPr>
                <w:rFonts w:ascii="Book Antiqua"/>
                <w:b/>
                <w:color w:val="231F20"/>
                <w:spacing w:val="-2"/>
                <w:sz w:val="18"/>
              </w:rPr>
              <w:t>Description</w:t>
            </w:r>
          </w:p>
        </w:tc>
        <w:tc>
          <w:tcPr>
            <w:tcW w:w="1612" w:type="dxa"/>
          </w:tcPr>
          <w:p>
            <w:pPr>
              <w:pStyle w:val="TableParagraph"/>
              <w:spacing w:line="242" w:lineRule="auto" w:before="10"/>
              <w:ind w:left="444" w:firstLine="204"/>
              <w:rPr>
                <w:rFonts w:ascii="Book Antiqua"/>
                <w:b/>
                <w:sz w:val="18"/>
              </w:rPr>
            </w:pPr>
            <w:r>
              <w:rPr/>
              <mc:AlternateContent>
                <mc:Choice Requires="wps">
                  <w:drawing>
                    <wp:anchor distT="0" distB="0" distL="0" distR="0" allowOverlap="1" layoutInCell="1" locked="0" behindDoc="1" simplePos="0" relativeHeight="473286144">
                      <wp:simplePos x="0" y="0"/>
                      <wp:positionH relativeFrom="column">
                        <wp:posOffset>158774</wp:posOffset>
                      </wp:positionH>
                      <wp:positionV relativeFrom="paragraph">
                        <wp:posOffset>37585</wp:posOffset>
                      </wp:positionV>
                      <wp:extent cx="225425" cy="241300"/>
                      <wp:effectExtent l="0" t="0" r="0" b="0"/>
                      <wp:wrapNone/>
                      <wp:docPr id="3321" name="Group 3321"/>
                      <wp:cNvGraphicFramePr>
                        <a:graphicFrameLocks/>
                      </wp:cNvGraphicFramePr>
                      <a:graphic>
                        <a:graphicData uri="http://schemas.microsoft.com/office/word/2010/wordprocessingGroup">
                          <wpg:wgp>
                            <wpg:cNvPr id="3321" name="Group 3321"/>
                            <wpg:cNvGrpSpPr/>
                            <wpg:grpSpPr>
                              <a:xfrm>
                                <a:off x="0" y="0"/>
                                <a:ext cx="225425" cy="241300"/>
                                <a:chExt cx="225425" cy="241300"/>
                              </a:xfrm>
                            </wpg:grpSpPr>
                            <pic:pic>
                              <pic:nvPicPr>
                                <pic:cNvPr id="3322" name="Image 3322"/>
                                <pic:cNvPicPr/>
                              </pic:nvPicPr>
                              <pic:blipFill>
                                <a:blip r:embed="rId88" cstate="print"/>
                                <a:stretch>
                                  <a:fillRect/>
                                </a:stretch>
                              </pic:blipFill>
                              <pic:spPr>
                                <a:xfrm>
                                  <a:off x="129887" y="0"/>
                                  <a:ext cx="95250" cy="101600"/>
                                </a:xfrm>
                                <a:prstGeom prst="rect">
                                  <a:avLst/>
                                </a:prstGeom>
                              </pic:spPr>
                            </pic:pic>
                            <pic:pic>
                              <pic:nvPicPr>
                                <pic:cNvPr id="3323" name="Image 3323"/>
                                <pic:cNvPicPr/>
                              </pic:nvPicPr>
                              <pic:blipFill>
                                <a:blip r:embed="rId102" cstate="print"/>
                                <a:stretch>
                                  <a:fillRect/>
                                </a:stretch>
                              </pic:blipFill>
                              <pic:spPr>
                                <a:xfrm>
                                  <a:off x="0" y="145705"/>
                                  <a:ext cx="88900" cy="95250"/>
                                </a:xfrm>
                                <a:prstGeom prst="rect">
                                  <a:avLst/>
                                </a:prstGeom>
                              </pic:spPr>
                            </pic:pic>
                          </wpg:wgp>
                        </a:graphicData>
                      </a:graphic>
                    </wp:anchor>
                  </w:drawing>
                </mc:Choice>
                <mc:Fallback>
                  <w:pict>
                    <v:group style="position:absolute;margin-left:12.50190pt;margin-top:2.959449pt;width:17.75pt;height:19pt;mso-position-horizontal-relative:column;mso-position-vertical-relative:paragraph;z-index:-30030336" id="docshapegroup276" coordorigin="250,59" coordsize="355,380">
                      <v:shape style="position:absolute;left:454;top:59;width:150;height:160" type="#_x0000_t75" id="docshape277" stroked="false">
                        <v:imagedata r:id="rId88" o:title=""/>
                      </v:shape>
                      <v:shape style="position:absolute;left:250;top:288;width:140;height:150" type="#_x0000_t75" id="docshape278" stroked="false">
                        <v:imagedata r:id="rId102" o:title=""/>
                      </v:shape>
                      <w10:wrap type="none"/>
                    </v:group>
                  </w:pict>
                </mc:Fallback>
              </mc:AlternateContent>
            </w:r>
            <w:r>
              <w:rPr>
                <w:rFonts w:ascii="Book Antiqua"/>
                <w:b/>
                <w:color w:val="231F20"/>
                <w:spacing w:val="-2"/>
                <w:sz w:val="18"/>
              </w:rPr>
              <w:t>Filters Thresholds</w:t>
            </w:r>
          </w:p>
        </w:tc>
        <w:tc>
          <w:tcPr>
            <w:tcW w:w="1612" w:type="dxa"/>
          </w:tcPr>
          <w:p>
            <w:pPr>
              <w:pStyle w:val="TableParagraph"/>
              <w:spacing w:before="229"/>
              <w:ind w:left="454"/>
              <w:rPr>
                <w:rFonts w:ascii="Book Antiqua"/>
                <w:b/>
                <w:sz w:val="18"/>
              </w:rPr>
            </w:pPr>
            <w:r>
              <w:rPr>
                <w:position w:val="-3"/>
              </w:rPr>
              <w:drawing>
                <wp:inline distT="0" distB="0" distL="0" distR="0">
                  <wp:extent cx="95250" cy="101600"/>
                  <wp:effectExtent l="0" t="0" r="0" b="0"/>
                  <wp:docPr id="3324" name="Image 3324"/>
                  <wp:cNvGraphicFramePr>
                    <a:graphicFrameLocks/>
                  </wp:cNvGraphicFramePr>
                  <a:graphic>
                    <a:graphicData uri="http://schemas.openxmlformats.org/drawingml/2006/picture">
                      <pic:pic>
                        <pic:nvPicPr>
                          <pic:cNvPr id="3324" name="Image 3324"/>
                          <pic:cNvPicPr/>
                        </pic:nvPicPr>
                        <pic:blipFill>
                          <a:blip r:embed="rId33"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rFonts w:ascii="Book Antiqua"/>
                <w:b/>
                <w:color w:val="231F20"/>
                <w:sz w:val="18"/>
              </w:rPr>
              <w:t>Query</w:t>
            </w:r>
          </w:p>
        </w:tc>
        <w:tc>
          <w:tcPr>
            <w:tcW w:w="1597" w:type="dxa"/>
          </w:tcPr>
          <w:p>
            <w:pPr>
              <w:pStyle w:val="TableParagraph"/>
              <w:spacing w:before="229"/>
              <w:ind w:left="329"/>
              <w:rPr>
                <w:rFonts w:ascii="Book Antiqua"/>
                <w:b/>
                <w:sz w:val="18"/>
              </w:rPr>
            </w:pPr>
            <w:r>
              <w:rPr>
                <w:position w:val="-3"/>
              </w:rPr>
              <w:drawing>
                <wp:inline distT="0" distB="0" distL="0" distR="0">
                  <wp:extent cx="101600" cy="101600"/>
                  <wp:effectExtent l="0" t="0" r="0" b="0"/>
                  <wp:docPr id="3325" name="Image 3325"/>
                  <wp:cNvGraphicFramePr>
                    <a:graphicFrameLocks/>
                  </wp:cNvGraphicFramePr>
                  <a:graphic>
                    <a:graphicData uri="http://schemas.openxmlformats.org/drawingml/2006/picture">
                      <pic:pic>
                        <pic:nvPicPr>
                          <pic:cNvPr id="3325" name="Image 3325"/>
                          <pic:cNvPicPr/>
                        </pic:nvPicPr>
                        <pic:blipFill>
                          <a:blip r:embed="rId98"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rFonts w:ascii="Book Antiqua"/>
                <w:b/>
                <w:color w:val="231F20"/>
                <w:sz w:val="18"/>
              </w:rPr>
              <w:t>Formula</w:t>
            </w:r>
          </w:p>
        </w:tc>
      </w:tr>
      <w:tr>
        <w:trPr>
          <w:trHeight w:val="748" w:hRule="atLeast"/>
        </w:trPr>
        <w:tc>
          <w:tcPr>
            <w:tcW w:w="1100" w:type="dxa"/>
          </w:tcPr>
          <w:p>
            <w:pPr>
              <w:pStyle w:val="TableParagraph"/>
              <w:spacing w:before="2"/>
              <w:ind w:left="0"/>
              <w:rPr>
                <w:sz w:val="18"/>
              </w:rPr>
            </w:pPr>
          </w:p>
          <w:p>
            <w:pPr>
              <w:pStyle w:val="TableParagraph"/>
              <w:spacing w:before="0"/>
              <w:ind w:left="64"/>
              <w:rPr>
                <w:sz w:val="18"/>
              </w:rPr>
            </w:pPr>
            <w:r>
              <w:rPr>
                <w:position w:val="-3"/>
              </w:rPr>
              <w:drawing>
                <wp:inline distT="0" distB="0" distL="0" distR="0">
                  <wp:extent cx="82550" cy="95250"/>
                  <wp:effectExtent l="0" t="0" r="0" b="0"/>
                  <wp:docPr id="3326" name="Image 3326"/>
                  <wp:cNvGraphicFramePr>
                    <a:graphicFrameLocks/>
                  </wp:cNvGraphicFramePr>
                  <a:graphic>
                    <a:graphicData uri="http://schemas.openxmlformats.org/drawingml/2006/picture">
                      <pic:pic>
                        <pic:nvPicPr>
                          <pic:cNvPr id="3326" name="Image 3326"/>
                          <pic:cNvPicPr/>
                        </pic:nvPicPr>
                        <pic:blipFill>
                          <a:blip r:embed="rId332" cstate="print"/>
                          <a:stretch>
                            <a:fillRect/>
                          </a:stretch>
                        </pic:blipFill>
                        <pic:spPr>
                          <a:xfrm>
                            <a:off x="0" y="0"/>
                            <a:ext cx="82550" cy="95250"/>
                          </a:xfrm>
                          <a:prstGeom prst="rect">
                            <a:avLst/>
                          </a:prstGeom>
                        </pic:spPr>
                      </pic:pic>
                    </a:graphicData>
                  </a:graphic>
                </wp:inline>
              </w:drawing>
            </w:r>
            <w:r>
              <w:rPr>
                <w:position w:val="-3"/>
              </w:rPr>
            </w:r>
            <w:r>
              <w:rPr>
                <w:rFonts w:ascii="Times New Roman"/>
                <w:spacing w:val="40"/>
                <w:sz w:val="20"/>
              </w:rPr>
              <w:t> </w:t>
            </w:r>
            <w:r>
              <w:rPr>
                <w:color w:val="231F20"/>
                <w:sz w:val="18"/>
              </w:rPr>
              <w:t>Copy</w:t>
            </w:r>
          </w:p>
        </w:tc>
        <w:tc>
          <w:tcPr>
            <w:tcW w:w="1612" w:type="dxa"/>
          </w:tcPr>
          <w:p>
            <w:pPr>
              <w:pStyle w:val="TableParagraph"/>
              <w:spacing w:line="216" w:lineRule="auto" w:before="44"/>
              <w:rPr>
                <w:sz w:val="18"/>
              </w:rPr>
            </w:pPr>
            <w:r>
              <w:rPr>
                <w:color w:val="231F20"/>
                <w:sz w:val="18"/>
              </w:rPr>
              <w:t>Copy to the clipboard the contents</w:t>
            </w:r>
            <w:r>
              <w:rPr>
                <w:color w:val="231F20"/>
                <w:spacing w:val="-6"/>
                <w:sz w:val="18"/>
              </w:rPr>
              <w:t> </w:t>
            </w:r>
            <w:r>
              <w:rPr>
                <w:color w:val="231F20"/>
                <w:sz w:val="18"/>
              </w:rPr>
              <w:t>of</w:t>
            </w:r>
            <w:r>
              <w:rPr>
                <w:color w:val="231F20"/>
                <w:spacing w:val="-6"/>
                <w:sz w:val="18"/>
              </w:rPr>
              <w:t> </w:t>
            </w:r>
            <w:r>
              <w:rPr>
                <w:color w:val="231F20"/>
                <w:sz w:val="18"/>
              </w:rPr>
              <w:t>the...</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597" w:type="dxa"/>
          </w:tcPr>
          <w:p>
            <w:pPr>
              <w:pStyle w:val="TableParagraph"/>
              <w:spacing w:before="2"/>
              <w:ind w:left="0"/>
              <w:rPr>
                <w:sz w:val="18"/>
              </w:rPr>
            </w:pPr>
          </w:p>
          <w:p>
            <w:pPr>
              <w:pStyle w:val="TableParagraph"/>
              <w:spacing w:before="0"/>
              <w:ind w:left="6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r>
      <w:tr>
        <w:trPr>
          <w:trHeight w:val="748" w:hRule="atLeast"/>
        </w:trPr>
        <w:tc>
          <w:tcPr>
            <w:tcW w:w="1100" w:type="dxa"/>
          </w:tcPr>
          <w:p>
            <w:pPr>
              <w:pStyle w:val="TableParagraph"/>
              <w:spacing w:before="2"/>
              <w:ind w:left="0"/>
              <w:rPr>
                <w:sz w:val="18"/>
              </w:rPr>
            </w:pPr>
          </w:p>
          <w:p>
            <w:pPr>
              <w:pStyle w:val="TableParagraph"/>
              <w:spacing w:before="0"/>
              <w:ind w:left="44"/>
              <w:rPr>
                <w:sz w:val="18"/>
              </w:rPr>
            </w:pPr>
            <w:r>
              <w:rPr>
                <w:position w:val="-3"/>
              </w:rPr>
              <w:drawing>
                <wp:inline distT="0" distB="0" distL="0" distR="0">
                  <wp:extent cx="101600" cy="101600"/>
                  <wp:effectExtent l="0" t="0" r="0" b="0"/>
                  <wp:docPr id="3327" name="Image 3327"/>
                  <wp:cNvGraphicFramePr>
                    <a:graphicFrameLocks/>
                  </wp:cNvGraphicFramePr>
                  <a:graphic>
                    <a:graphicData uri="http://schemas.openxmlformats.org/drawingml/2006/picture">
                      <pic:pic>
                        <pic:nvPicPr>
                          <pic:cNvPr id="3327" name="Image 3327"/>
                          <pic:cNvPicPr/>
                        </pic:nvPicPr>
                        <pic:blipFill>
                          <a:blip r:embed="rId334"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color w:val="231F20"/>
                <w:sz w:val="18"/>
              </w:rPr>
              <w:t>Cut</w:t>
            </w:r>
          </w:p>
        </w:tc>
        <w:tc>
          <w:tcPr>
            <w:tcW w:w="1612" w:type="dxa"/>
          </w:tcPr>
          <w:p>
            <w:pPr>
              <w:pStyle w:val="TableParagraph"/>
              <w:spacing w:line="216" w:lineRule="auto" w:before="44"/>
              <w:rPr>
                <w:sz w:val="18"/>
              </w:rPr>
            </w:pPr>
            <w:r>
              <w:rPr>
                <w:color w:val="231F20"/>
                <w:sz w:val="18"/>
              </w:rPr>
              <w:t>Move to the clipboard the contents</w:t>
            </w:r>
            <w:r>
              <w:rPr>
                <w:color w:val="231F20"/>
                <w:spacing w:val="-5"/>
                <w:sz w:val="18"/>
              </w:rPr>
              <w:t> </w:t>
            </w:r>
            <w:r>
              <w:rPr>
                <w:color w:val="231F20"/>
                <w:sz w:val="18"/>
              </w:rPr>
              <w:t>of</w:t>
            </w:r>
            <w:r>
              <w:rPr>
                <w:color w:val="231F20"/>
                <w:spacing w:val="-5"/>
                <w:sz w:val="18"/>
              </w:rPr>
              <w:t> </w:t>
            </w:r>
            <w:r>
              <w:rPr>
                <w:color w:val="231F20"/>
                <w:sz w:val="18"/>
              </w:rPr>
              <w:t>the..</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597" w:type="dxa"/>
          </w:tcPr>
          <w:p>
            <w:pPr>
              <w:pStyle w:val="TableParagraph"/>
              <w:spacing w:before="2"/>
              <w:ind w:left="0"/>
              <w:rPr>
                <w:sz w:val="18"/>
              </w:rPr>
            </w:pPr>
          </w:p>
          <w:p>
            <w:pPr>
              <w:pStyle w:val="TableParagraph"/>
              <w:spacing w:before="0"/>
              <w:ind w:left="6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r>
      <w:tr>
        <w:trPr>
          <w:trHeight w:val="528" w:hRule="atLeast"/>
        </w:trPr>
        <w:tc>
          <w:tcPr>
            <w:tcW w:w="1100" w:type="dxa"/>
          </w:tcPr>
          <w:p>
            <w:pPr>
              <w:pStyle w:val="TableParagraph"/>
              <w:spacing w:before="135"/>
              <w:ind w:left="54"/>
              <w:rPr>
                <w:sz w:val="18"/>
              </w:rPr>
            </w:pPr>
            <w:r>
              <w:rPr>
                <w:position w:val="-3"/>
              </w:rPr>
              <w:drawing>
                <wp:inline distT="0" distB="0" distL="0" distR="0">
                  <wp:extent cx="95250" cy="101600"/>
                  <wp:effectExtent l="0" t="0" r="0" b="0"/>
                  <wp:docPr id="3328" name="Image 3328"/>
                  <wp:cNvGraphicFramePr>
                    <a:graphicFrameLocks/>
                  </wp:cNvGraphicFramePr>
                  <a:graphic>
                    <a:graphicData uri="http://schemas.openxmlformats.org/drawingml/2006/picture">
                      <pic:pic>
                        <pic:nvPicPr>
                          <pic:cNvPr id="3328" name="Image 3328"/>
                          <pic:cNvPicPr/>
                        </pic:nvPicPr>
                        <pic:blipFill>
                          <a:blip r:embed="rId269"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Delete</w:t>
            </w:r>
          </w:p>
        </w:tc>
        <w:tc>
          <w:tcPr>
            <w:tcW w:w="1612" w:type="dxa"/>
          </w:tcPr>
          <w:p>
            <w:pPr>
              <w:pStyle w:val="TableParagraph"/>
              <w:spacing w:line="216" w:lineRule="auto" w:before="44"/>
              <w:ind w:right="47"/>
              <w:rPr>
                <w:sz w:val="18"/>
              </w:rPr>
            </w:pPr>
            <w:r>
              <w:rPr>
                <w:color w:val="231F20"/>
                <w:sz w:val="18"/>
              </w:rPr>
              <w:t>Remove</w:t>
            </w:r>
            <w:r>
              <w:rPr>
                <w:color w:val="231F20"/>
                <w:spacing w:val="-7"/>
                <w:sz w:val="18"/>
              </w:rPr>
              <w:t> </w:t>
            </w:r>
            <w:r>
              <w:rPr>
                <w:color w:val="231F20"/>
                <w:sz w:val="18"/>
              </w:rPr>
              <w:t>the </w:t>
            </w:r>
            <w:r>
              <w:rPr>
                <w:color w:val="231F20"/>
                <w:spacing w:val="-2"/>
                <w:sz w:val="18"/>
              </w:rPr>
              <w:t>entire...</w:t>
            </w:r>
          </w:p>
        </w:tc>
        <w:tc>
          <w:tcPr>
            <w:tcW w:w="1612" w:type="dxa"/>
          </w:tcPr>
          <w:p>
            <w:pPr>
              <w:pStyle w:val="TableParagraph"/>
              <w:spacing w:before="135"/>
              <w:rPr>
                <w:sz w:val="18"/>
              </w:rPr>
            </w:pPr>
            <w:r>
              <w:rPr>
                <w:color w:val="231F20"/>
                <w:spacing w:val="-5"/>
                <w:sz w:val="18"/>
              </w:rPr>
              <w:t>row</w:t>
            </w:r>
          </w:p>
        </w:tc>
        <w:tc>
          <w:tcPr>
            <w:tcW w:w="1612" w:type="dxa"/>
          </w:tcPr>
          <w:p>
            <w:pPr>
              <w:pStyle w:val="TableParagraph"/>
              <w:spacing w:before="135"/>
              <w:rPr>
                <w:sz w:val="18"/>
              </w:rPr>
            </w:pPr>
            <w:r>
              <w:rPr>
                <w:color w:val="231F20"/>
                <w:spacing w:val="-5"/>
                <w:sz w:val="18"/>
              </w:rPr>
              <w:t>row</w:t>
            </w:r>
          </w:p>
        </w:tc>
        <w:tc>
          <w:tcPr>
            <w:tcW w:w="1597" w:type="dxa"/>
          </w:tcPr>
          <w:p>
            <w:pPr>
              <w:pStyle w:val="TableParagraph"/>
              <w:spacing w:before="135"/>
              <w:ind w:left="60"/>
              <w:rPr>
                <w:sz w:val="18"/>
              </w:rPr>
            </w:pPr>
            <w:r>
              <w:rPr>
                <w:color w:val="231F20"/>
                <w:spacing w:val="-5"/>
                <w:sz w:val="18"/>
              </w:rPr>
              <w:t>row</w:t>
            </w:r>
          </w:p>
        </w:tc>
      </w:tr>
      <w:tr>
        <w:trPr>
          <w:trHeight w:val="967" w:hRule="atLeast"/>
        </w:trPr>
        <w:tc>
          <w:tcPr>
            <w:tcW w:w="1100" w:type="dxa"/>
          </w:tcPr>
          <w:p>
            <w:pPr>
              <w:pStyle w:val="TableParagraph"/>
              <w:spacing w:before="111"/>
              <w:ind w:left="0"/>
              <w:rPr>
                <w:sz w:val="18"/>
              </w:rPr>
            </w:pPr>
          </w:p>
          <w:p>
            <w:pPr>
              <w:pStyle w:val="TableParagraph"/>
              <w:spacing w:before="1"/>
              <w:ind w:left="54"/>
              <w:rPr>
                <w:sz w:val="18"/>
              </w:rPr>
            </w:pPr>
            <w:r>
              <w:rPr>
                <w:position w:val="-3"/>
              </w:rPr>
              <w:drawing>
                <wp:inline distT="0" distB="0" distL="0" distR="0">
                  <wp:extent cx="95250" cy="101600"/>
                  <wp:effectExtent l="0" t="0" r="0" b="0"/>
                  <wp:docPr id="3329" name="Image 3329"/>
                  <wp:cNvGraphicFramePr>
                    <a:graphicFrameLocks/>
                  </wp:cNvGraphicFramePr>
                  <a:graphic>
                    <a:graphicData uri="http://schemas.openxmlformats.org/drawingml/2006/picture">
                      <pic:pic>
                        <pic:nvPicPr>
                          <pic:cNvPr id="3329" name="Image 3329"/>
                          <pic:cNvPicPr/>
                        </pic:nvPicPr>
                        <pic:blipFill>
                          <a:blip r:embed="rId74"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40"/>
                <w:sz w:val="20"/>
              </w:rPr>
              <w:t> </w:t>
            </w:r>
            <w:r>
              <w:rPr>
                <w:color w:val="231F20"/>
                <w:sz w:val="18"/>
              </w:rPr>
              <w:t>Edit</w:t>
            </w:r>
          </w:p>
        </w:tc>
        <w:tc>
          <w:tcPr>
            <w:tcW w:w="1612" w:type="dxa"/>
          </w:tcPr>
          <w:p>
            <w:pPr>
              <w:pStyle w:val="TableParagraph"/>
              <w:spacing w:line="216" w:lineRule="auto" w:before="44"/>
              <w:ind w:right="532"/>
              <w:rPr>
                <w:sz w:val="18"/>
              </w:rPr>
            </w:pPr>
            <w:r>
              <w:rPr>
                <w:color w:val="231F20"/>
                <w:sz w:val="18"/>
              </w:rPr>
              <w:t>Open the </w:t>
            </w:r>
            <w:r>
              <w:rPr>
                <w:color w:val="231F20"/>
                <w:spacing w:val="-2"/>
                <w:sz w:val="18"/>
              </w:rPr>
              <w:t>embedded </w:t>
            </w:r>
            <w:r>
              <w:rPr>
                <w:color w:val="231F20"/>
                <w:sz w:val="18"/>
              </w:rPr>
              <w:t>situation</w:t>
            </w:r>
            <w:r>
              <w:rPr>
                <w:color w:val="231F20"/>
                <w:spacing w:val="-5"/>
                <w:sz w:val="18"/>
              </w:rPr>
              <w:t> </w:t>
            </w:r>
            <w:r>
              <w:rPr>
                <w:color w:val="231F20"/>
                <w:sz w:val="18"/>
              </w:rPr>
              <w:t>for editing</w:t>
            </w:r>
            <w:r>
              <w:rPr>
                <w:color w:val="231F20"/>
                <w:spacing w:val="8"/>
                <w:sz w:val="18"/>
              </w:rPr>
              <w:t> </w:t>
            </w:r>
            <w:r>
              <w:rPr>
                <w:color w:val="231F20"/>
                <w:spacing w:val="-2"/>
                <w:sz w:val="18"/>
              </w:rPr>
              <w:t>the...</w:t>
            </w:r>
          </w:p>
        </w:tc>
        <w:tc>
          <w:tcPr>
            <w:tcW w:w="1612" w:type="dxa"/>
          </w:tcPr>
          <w:p>
            <w:pPr>
              <w:pStyle w:val="TableParagraph"/>
              <w:spacing w:before="0"/>
              <w:ind w:left="0"/>
              <w:rPr>
                <w:rFonts w:ascii="Times New Roman"/>
                <w:sz w:val="18"/>
              </w:rPr>
            </w:pPr>
          </w:p>
        </w:tc>
        <w:tc>
          <w:tcPr>
            <w:tcW w:w="1612" w:type="dxa"/>
          </w:tcPr>
          <w:p>
            <w:pPr>
              <w:pStyle w:val="TableParagraph"/>
              <w:spacing w:before="0"/>
              <w:ind w:left="0"/>
              <w:rPr>
                <w:rFonts w:ascii="Times New Roman"/>
                <w:sz w:val="18"/>
              </w:rPr>
            </w:pPr>
          </w:p>
        </w:tc>
        <w:tc>
          <w:tcPr>
            <w:tcW w:w="1597" w:type="dxa"/>
          </w:tcPr>
          <w:p>
            <w:pPr>
              <w:pStyle w:val="TableParagraph"/>
              <w:spacing w:before="111"/>
              <w:ind w:left="0"/>
              <w:rPr>
                <w:sz w:val="18"/>
              </w:rPr>
            </w:pPr>
          </w:p>
          <w:p>
            <w:pPr>
              <w:pStyle w:val="TableParagraph"/>
              <w:spacing w:before="1"/>
              <w:ind w:left="60"/>
              <w:rPr>
                <w:sz w:val="18"/>
              </w:rPr>
            </w:pPr>
            <w:r>
              <w:rPr>
                <w:color w:val="231F20"/>
                <w:spacing w:val="-4"/>
                <w:sz w:val="18"/>
              </w:rPr>
              <w:t>cell</w:t>
            </w:r>
          </w:p>
        </w:tc>
      </w:tr>
      <w:tr>
        <w:trPr>
          <w:trHeight w:val="528" w:hRule="atLeast"/>
        </w:trPr>
        <w:tc>
          <w:tcPr>
            <w:tcW w:w="1100" w:type="dxa"/>
          </w:tcPr>
          <w:p>
            <w:pPr>
              <w:pStyle w:val="TableParagraph"/>
              <w:spacing w:before="135"/>
              <w:ind w:left="44"/>
              <w:rPr>
                <w:sz w:val="18"/>
              </w:rPr>
            </w:pPr>
            <w:r>
              <w:rPr>
                <w:position w:val="-3"/>
              </w:rPr>
              <w:drawing>
                <wp:inline distT="0" distB="0" distL="0" distR="0">
                  <wp:extent cx="95250" cy="95250"/>
                  <wp:effectExtent l="0" t="0" r="0" b="0"/>
                  <wp:docPr id="3330" name="Image 3330"/>
                  <wp:cNvGraphicFramePr>
                    <a:graphicFrameLocks/>
                  </wp:cNvGraphicFramePr>
                  <a:graphic>
                    <a:graphicData uri="http://schemas.openxmlformats.org/drawingml/2006/picture">
                      <pic:pic>
                        <pic:nvPicPr>
                          <pic:cNvPr id="3330" name="Image 3330"/>
                          <pic:cNvPicPr/>
                        </pic:nvPicPr>
                        <pic:blipFill>
                          <a:blip r:embed="rId333" cstate="print"/>
                          <a:stretch>
                            <a:fillRect/>
                          </a:stretch>
                        </pic:blipFill>
                        <pic:spPr>
                          <a:xfrm>
                            <a:off x="0" y="0"/>
                            <a:ext cx="95250" cy="95250"/>
                          </a:xfrm>
                          <a:prstGeom prst="rect">
                            <a:avLst/>
                          </a:prstGeom>
                        </pic:spPr>
                      </pic:pic>
                    </a:graphicData>
                  </a:graphic>
                </wp:inline>
              </w:drawing>
            </w:r>
            <w:r>
              <w:rPr>
                <w:position w:val="-3"/>
              </w:rPr>
            </w:r>
            <w:r>
              <w:rPr>
                <w:rFonts w:ascii="Times New Roman"/>
                <w:sz w:val="20"/>
              </w:rPr>
              <w:t> </w:t>
            </w:r>
            <w:r>
              <w:rPr>
                <w:color w:val="231F20"/>
                <w:sz w:val="18"/>
              </w:rPr>
              <w:t>Insert</w:t>
            </w:r>
          </w:p>
        </w:tc>
        <w:tc>
          <w:tcPr>
            <w:tcW w:w="1612" w:type="dxa"/>
          </w:tcPr>
          <w:p>
            <w:pPr>
              <w:pStyle w:val="TableParagraph"/>
              <w:spacing w:line="216" w:lineRule="auto" w:before="44"/>
              <w:rPr>
                <w:sz w:val="18"/>
              </w:rPr>
            </w:pPr>
            <w:r>
              <w:rPr>
                <w:color w:val="231F20"/>
                <w:sz w:val="18"/>
              </w:rPr>
              <w:t>Insert a new </w:t>
            </w:r>
            <w:r>
              <w:rPr>
                <w:color w:val="231F20"/>
                <w:sz w:val="18"/>
              </w:rPr>
              <w:t>row above this...</w:t>
            </w:r>
          </w:p>
        </w:tc>
        <w:tc>
          <w:tcPr>
            <w:tcW w:w="1612" w:type="dxa"/>
          </w:tcPr>
          <w:p>
            <w:pPr>
              <w:pStyle w:val="TableParagraph"/>
              <w:spacing w:before="135"/>
              <w:rPr>
                <w:sz w:val="18"/>
              </w:rPr>
            </w:pPr>
            <w:r>
              <w:rPr>
                <w:color w:val="231F20"/>
                <w:spacing w:val="-5"/>
                <w:sz w:val="18"/>
              </w:rPr>
              <w:t>row</w:t>
            </w:r>
          </w:p>
        </w:tc>
        <w:tc>
          <w:tcPr>
            <w:tcW w:w="1612" w:type="dxa"/>
          </w:tcPr>
          <w:p>
            <w:pPr>
              <w:pStyle w:val="TableParagraph"/>
              <w:spacing w:before="135"/>
              <w:rPr>
                <w:sz w:val="18"/>
              </w:rPr>
            </w:pPr>
            <w:r>
              <w:rPr>
                <w:color w:val="231F20"/>
                <w:spacing w:val="-5"/>
                <w:sz w:val="18"/>
              </w:rPr>
              <w:t>row</w:t>
            </w:r>
          </w:p>
        </w:tc>
        <w:tc>
          <w:tcPr>
            <w:tcW w:w="1597" w:type="dxa"/>
          </w:tcPr>
          <w:p>
            <w:pPr>
              <w:pStyle w:val="TableParagraph"/>
              <w:spacing w:before="135"/>
              <w:ind w:left="60"/>
              <w:rPr>
                <w:sz w:val="18"/>
              </w:rPr>
            </w:pPr>
            <w:r>
              <w:rPr>
                <w:color w:val="231F20"/>
                <w:spacing w:val="-5"/>
                <w:sz w:val="18"/>
              </w:rPr>
              <w:t>row</w:t>
            </w:r>
          </w:p>
        </w:tc>
      </w:tr>
      <w:tr>
        <w:trPr>
          <w:trHeight w:val="753" w:hRule="atLeast"/>
        </w:trPr>
        <w:tc>
          <w:tcPr>
            <w:tcW w:w="1100" w:type="dxa"/>
          </w:tcPr>
          <w:p>
            <w:pPr>
              <w:pStyle w:val="TableParagraph"/>
              <w:spacing w:before="2"/>
              <w:ind w:left="0"/>
              <w:rPr>
                <w:sz w:val="18"/>
              </w:rPr>
            </w:pPr>
          </w:p>
          <w:p>
            <w:pPr>
              <w:pStyle w:val="TableParagraph"/>
              <w:spacing w:before="0"/>
              <w:ind w:left="54"/>
              <w:rPr>
                <w:sz w:val="18"/>
              </w:rPr>
            </w:pPr>
            <w:r>
              <w:rPr>
                <w:position w:val="-3"/>
              </w:rPr>
              <w:drawing>
                <wp:inline distT="0" distB="0" distL="0" distR="0">
                  <wp:extent cx="95250" cy="101600"/>
                  <wp:effectExtent l="0" t="0" r="0" b="0"/>
                  <wp:docPr id="3331" name="Image 3331"/>
                  <wp:cNvGraphicFramePr>
                    <a:graphicFrameLocks/>
                  </wp:cNvGraphicFramePr>
                  <a:graphic>
                    <a:graphicData uri="http://schemas.openxmlformats.org/drawingml/2006/picture">
                      <pic:pic>
                        <pic:nvPicPr>
                          <pic:cNvPr id="3331" name="Image 3331"/>
                          <pic:cNvPicPr/>
                        </pic:nvPicPr>
                        <pic:blipFill>
                          <a:blip r:embed="rId335"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color w:val="231F20"/>
                <w:sz w:val="18"/>
              </w:rPr>
              <w:t>Paste</w:t>
            </w:r>
          </w:p>
        </w:tc>
        <w:tc>
          <w:tcPr>
            <w:tcW w:w="1612" w:type="dxa"/>
          </w:tcPr>
          <w:p>
            <w:pPr>
              <w:pStyle w:val="TableParagraph"/>
              <w:spacing w:line="216" w:lineRule="auto" w:before="44"/>
              <w:ind w:right="57"/>
              <w:rPr>
                <w:sz w:val="18"/>
              </w:rPr>
            </w:pPr>
            <w:r>
              <w:rPr>
                <w:color w:val="231F20"/>
                <w:sz w:val="18"/>
              </w:rPr>
              <w:t>Paste the</w:t>
            </w:r>
            <w:r>
              <w:rPr>
                <w:color w:val="231F20"/>
                <w:spacing w:val="40"/>
                <w:sz w:val="18"/>
              </w:rPr>
              <w:t> </w:t>
            </w:r>
            <w:r>
              <w:rPr>
                <w:color w:val="231F20"/>
                <w:sz w:val="18"/>
              </w:rPr>
              <w:t>clipboard</w:t>
            </w:r>
            <w:r>
              <w:rPr>
                <w:color w:val="231F20"/>
                <w:spacing w:val="-7"/>
                <w:sz w:val="18"/>
              </w:rPr>
              <w:t> </w:t>
            </w:r>
            <w:r>
              <w:rPr>
                <w:color w:val="231F20"/>
                <w:sz w:val="18"/>
              </w:rPr>
              <w:t>contents into the...</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612" w:type="dxa"/>
          </w:tcPr>
          <w:p>
            <w:pPr>
              <w:pStyle w:val="TableParagraph"/>
              <w:spacing w:before="2"/>
              <w:ind w:left="0"/>
              <w:rPr>
                <w:sz w:val="18"/>
              </w:rPr>
            </w:pPr>
          </w:p>
          <w:p>
            <w:pPr>
              <w:pStyle w:val="TableParagraph"/>
              <w:spacing w:before="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c>
          <w:tcPr>
            <w:tcW w:w="1597" w:type="dxa"/>
          </w:tcPr>
          <w:p>
            <w:pPr>
              <w:pStyle w:val="TableParagraph"/>
              <w:spacing w:before="2"/>
              <w:ind w:left="0"/>
              <w:rPr>
                <w:sz w:val="18"/>
              </w:rPr>
            </w:pPr>
          </w:p>
          <w:p>
            <w:pPr>
              <w:pStyle w:val="TableParagraph"/>
              <w:spacing w:before="0"/>
              <w:ind w:left="60"/>
              <w:rPr>
                <w:sz w:val="18"/>
              </w:rPr>
            </w:pPr>
            <w:r>
              <w:rPr>
                <w:color w:val="231F20"/>
                <w:sz w:val="18"/>
              </w:rPr>
              <w:t>cell</w:t>
            </w:r>
            <w:r>
              <w:rPr>
                <w:color w:val="231F20"/>
                <w:spacing w:val="11"/>
                <w:sz w:val="18"/>
              </w:rPr>
              <w:t> </w:t>
            </w:r>
            <w:r>
              <w:rPr>
                <w:color w:val="231F20"/>
                <w:sz w:val="18"/>
              </w:rPr>
              <w:t>or</w:t>
            </w:r>
            <w:r>
              <w:rPr>
                <w:color w:val="231F20"/>
                <w:spacing w:val="12"/>
                <w:sz w:val="18"/>
              </w:rPr>
              <w:t> </w:t>
            </w:r>
            <w:r>
              <w:rPr>
                <w:color w:val="231F20"/>
                <w:spacing w:val="-5"/>
                <w:sz w:val="18"/>
              </w:rPr>
              <w:t>row</w:t>
            </w:r>
          </w:p>
        </w:tc>
      </w:tr>
    </w:tbl>
    <w:p>
      <w:pPr>
        <w:pStyle w:val="BodyText"/>
        <w:spacing w:before="164" w:after="1"/>
      </w:pPr>
    </w:p>
    <w:p>
      <w:pPr>
        <w:pStyle w:val="BodyText"/>
        <w:spacing w:line="20" w:lineRule="exact"/>
        <w:ind w:left="197"/>
        <w:rPr>
          <w:sz w:val="2"/>
        </w:rPr>
      </w:pPr>
      <w:bookmarkStart w:name="_bookmark323" w:id="667"/>
      <w:bookmarkEnd w:id="667"/>
      <w:r>
        <w:rPr/>
      </w:r>
      <w:r>
        <w:rPr>
          <w:sz w:val="2"/>
        </w:rPr>
        <mc:AlternateContent>
          <mc:Choice Requires="wps">
            <w:drawing>
              <wp:inline distT="0" distB="0" distL="0" distR="0">
                <wp:extent cx="6082665" cy="6350"/>
                <wp:effectExtent l="9525" t="0" r="0" b="3175"/>
                <wp:docPr id="3332" name="Group 3332"/>
                <wp:cNvGraphicFramePr>
                  <a:graphicFrameLocks/>
                </wp:cNvGraphicFramePr>
                <a:graphic>
                  <a:graphicData uri="http://schemas.microsoft.com/office/word/2010/wordprocessingGroup">
                    <wpg:wgp>
                      <wpg:cNvPr id="3332" name="Group 3332"/>
                      <wpg:cNvGrpSpPr/>
                      <wpg:grpSpPr>
                        <a:xfrm>
                          <a:off x="0" y="0"/>
                          <a:ext cx="6082665" cy="6350"/>
                          <a:chExt cx="6082665" cy="6350"/>
                        </a:xfrm>
                      </wpg:grpSpPr>
                      <wps:wsp>
                        <wps:cNvPr id="3333" name="Graphic 3333"/>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79" coordorigin="0,0" coordsize="9579,10">
                <v:line style="position:absolute" from="0,5" to="9579,5" stroked="true" strokeweight=".499pt" strokecolor="#231f20">
                  <v:stroke dashstyle="solid"/>
                </v:line>
              </v:group>
            </w:pict>
          </mc:Fallback>
        </mc:AlternateContent>
      </w:r>
      <w:r>
        <w:rPr>
          <w:sz w:val="2"/>
        </w:rPr>
      </w:r>
    </w:p>
    <w:p>
      <w:pPr>
        <w:spacing w:after="0" w:line="20" w:lineRule="exact"/>
        <w:rPr>
          <w:sz w:val="2"/>
        </w:rPr>
        <w:sectPr>
          <w:type w:val="continuous"/>
          <w:pgSz w:w="12240" w:h="15840"/>
          <w:pgMar w:header="0" w:footer="736" w:top="1300" w:bottom="920" w:left="1000" w:right="1060"/>
        </w:sectPr>
      </w:pPr>
    </w:p>
    <w:p>
      <w:pPr>
        <w:pStyle w:val="Heading3"/>
        <w:spacing w:before="11"/>
        <w:ind w:left="197"/>
      </w:pPr>
      <w:bookmarkStart w:name="Cell functions" w:id="668"/>
      <w:bookmarkEnd w:id="668"/>
      <w:r>
        <w:rPr>
          <w:b w:val="0"/>
        </w:rPr>
      </w:r>
      <w:r>
        <w:rPr>
          <w:color w:val="231F20"/>
        </w:rPr>
        <w:t>Cell</w:t>
      </w:r>
      <w:r>
        <w:rPr>
          <w:color w:val="231F20"/>
          <w:spacing w:val="9"/>
        </w:rPr>
        <w:t> </w:t>
      </w:r>
      <w:bookmarkStart w:name="_bookmark322" w:id="669"/>
      <w:bookmarkEnd w:id="669"/>
      <w:r>
        <w:rPr>
          <w:color w:val="231F20"/>
          <w:spacing w:val="-2"/>
        </w:rPr>
        <w:t>function</w:t>
      </w:r>
      <w:r>
        <w:rPr>
          <w:color w:val="231F20"/>
          <w:spacing w:val="-2"/>
        </w:rPr>
        <w:t>s</w:t>
      </w:r>
    </w:p>
    <w:p>
      <w:pPr>
        <w:spacing w:line="240" w:lineRule="auto" w:before="0"/>
        <w:rPr>
          <w:rFonts w:ascii="Arial"/>
          <w:b/>
          <w:sz w:val="20"/>
        </w:rPr>
      </w:pPr>
      <w:r>
        <w:rPr/>
        <w:br w:type="column"/>
      </w:r>
      <w:r>
        <w:rPr>
          <w:rFonts w:ascii="Arial"/>
          <w:b/>
          <w:sz w:val="20"/>
        </w:rPr>
      </w:r>
    </w:p>
    <w:p>
      <w:pPr>
        <w:pStyle w:val="BodyText"/>
        <w:spacing w:before="11"/>
        <w:rPr>
          <w:rFonts w:ascii="Arial"/>
          <w:b/>
        </w:rPr>
      </w:pPr>
    </w:p>
    <w:p>
      <w:pPr>
        <w:pStyle w:val="BodyText"/>
        <w:spacing w:line="213" w:lineRule="auto"/>
        <w:ind w:left="132" w:right="530"/>
      </w:pPr>
      <w:r>
        <w:rPr>
          <w:color w:val="231F20"/>
        </w:rPr>
        <w:t>Use the cell formula functions to add filters to queries and query-based views, </w:t>
      </w:r>
      <w:r>
        <w:rPr>
          <w:color w:val="231F20"/>
        </w:rPr>
        <w:t>and</w:t>
      </w:r>
      <w:r>
        <w:rPr>
          <w:color w:val="231F20"/>
          <w:spacing w:val="40"/>
        </w:rPr>
        <w:t> </w:t>
      </w:r>
      <w:r>
        <w:rPr>
          <w:color w:val="231F20"/>
        </w:rPr>
        <w:t>to set thresholds for situations and query-based views. The functions that are available depend on the type of attribute (numeric, text, or time) and in which</w:t>
      </w:r>
      <w:r>
        <w:rPr>
          <w:color w:val="231F20"/>
          <w:spacing w:val="80"/>
        </w:rPr>
        <w:t> </w:t>
      </w:r>
      <w:r>
        <w:rPr>
          <w:color w:val="231F20"/>
        </w:rPr>
        <w:t>editor you are working: Query, Situation, or Properties (Filters and Thresholds</w:t>
      </w:r>
      <w:r>
        <w:rPr>
          <w:color w:val="231F20"/>
          <w:spacing w:val="80"/>
        </w:rPr>
        <w:t> </w:t>
      </w:r>
      <w:r>
        <w:rPr>
          <w:color w:val="231F20"/>
          <w:spacing w:val="-2"/>
        </w:rPr>
        <w:t>tabs).</w:t>
      </w:r>
    </w:p>
    <w:p>
      <w:pPr>
        <w:tabs>
          <w:tab w:pos="2687" w:val="left" w:leader="none"/>
          <w:tab w:pos="5241" w:val="left" w:leader="none"/>
        </w:tabs>
        <w:spacing w:before="179"/>
        <w:ind w:left="132" w:right="0" w:firstLine="0"/>
        <w:jc w:val="left"/>
        <w:rPr>
          <w:rFonts w:ascii="Book Antiqua"/>
          <w:b/>
          <w:sz w:val="18"/>
        </w:rPr>
      </w:pPr>
      <w:r>
        <w:rPr>
          <w:rFonts w:ascii="Book Antiqua"/>
          <w:b/>
          <w:color w:val="231F20"/>
          <w:sz w:val="18"/>
        </w:rPr>
        <w:t>Numeric</w:t>
      </w:r>
      <w:r>
        <w:rPr>
          <w:rFonts w:ascii="Book Antiqua"/>
          <w:b/>
          <w:color w:val="231F20"/>
          <w:spacing w:val="6"/>
          <w:sz w:val="18"/>
        </w:rPr>
        <w:t> </w:t>
      </w:r>
      <w:r>
        <w:rPr>
          <w:rFonts w:ascii="Book Antiqua"/>
          <w:b/>
          <w:color w:val="231F20"/>
          <w:spacing w:val="-2"/>
          <w:sz w:val="18"/>
        </w:rPr>
        <w:t>attributes</w:t>
      </w:r>
      <w:r>
        <w:rPr>
          <w:rFonts w:ascii="Book Antiqua"/>
          <w:b/>
          <w:color w:val="231F20"/>
          <w:sz w:val="18"/>
        </w:rPr>
        <w:tab/>
      </w:r>
      <w:r>
        <w:rPr>
          <w:rFonts w:ascii="Book Antiqua"/>
          <w:b/>
          <w:color w:val="231F20"/>
          <w:spacing w:val="-2"/>
          <w:sz w:val="18"/>
        </w:rPr>
        <w:t>Text attributes</w:t>
      </w:r>
      <w:r>
        <w:rPr>
          <w:rFonts w:ascii="Book Antiqua"/>
          <w:b/>
          <w:color w:val="231F20"/>
          <w:sz w:val="18"/>
        </w:rPr>
        <w:tab/>
        <w:t>Time</w:t>
      </w:r>
      <w:r>
        <w:rPr>
          <w:rFonts w:ascii="Book Antiqua"/>
          <w:b/>
          <w:color w:val="231F20"/>
          <w:spacing w:val="-1"/>
          <w:sz w:val="18"/>
        </w:rPr>
        <w:t> </w:t>
      </w:r>
      <w:r>
        <w:rPr>
          <w:rFonts w:ascii="Book Antiqua"/>
          <w:b/>
          <w:color w:val="231F20"/>
          <w:spacing w:val="-2"/>
          <w:sz w:val="18"/>
        </w:rPr>
        <w:t>attributes</w:t>
      </w:r>
    </w:p>
    <w:p>
      <w:pPr>
        <w:tabs>
          <w:tab w:pos="2687" w:val="left" w:leader="none"/>
          <w:tab w:pos="5241" w:val="left" w:leader="none"/>
        </w:tabs>
        <w:spacing w:line="231" w:lineRule="exact" w:before="3"/>
        <w:ind w:left="132" w:right="0" w:firstLine="0"/>
        <w:jc w:val="left"/>
        <w:rPr>
          <w:sz w:val="18"/>
        </w:rPr>
      </w:pPr>
      <w:r>
        <w:rPr/>
        <w:drawing>
          <wp:inline distT="0" distB="0" distL="0" distR="0">
            <wp:extent cx="88900" cy="88900"/>
            <wp:effectExtent l="0" t="0" r="0" b="0"/>
            <wp:docPr id="3334" name="Image 3334"/>
            <wp:cNvGraphicFramePr>
              <a:graphicFrameLocks/>
            </wp:cNvGraphicFramePr>
            <a:graphic>
              <a:graphicData uri="http://schemas.openxmlformats.org/drawingml/2006/picture">
                <pic:pic>
                  <pic:nvPicPr>
                    <pic:cNvPr id="3334" name="Image 3334"/>
                    <pic:cNvPicPr/>
                  </pic:nvPicPr>
                  <pic:blipFill>
                    <a:blip r:embed="rId138"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Value of expression</w:t>
        <w:tab/>
      </w:r>
      <w:r>
        <w:rPr>
          <w:color w:val="231F20"/>
          <w:sz w:val="18"/>
        </w:rPr>
        <w:drawing>
          <wp:inline distT="0" distB="0" distL="0" distR="0">
            <wp:extent cx="88900" cy="88900"/>
            <wp:effectExtent l="0" t="0" r="0" b="0"/>
            <wp:docPr id="3335" name="Image 3335"/>
            <wp:cNvGraphicFramePr>
              <a:graphicFrameLocks/>
            </wp:cNvGraphicFramePr>
            <a:graphic>
              <a:graphicData uri="http://schemas.openxmlformats.org/drawingml/2006/picture">
                <pic:pic>
                  <pic:nvPicPr>
                    <pic:cNvPr id="3335" name="Image 3335"/>
                    <pic:cNvPicPr/>
                  </pic:nvPicPr>
                  <pic:blipFill>
                    <a:blip r:embed="rId138"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40"/>
          <w:position w:val="2"/>
          <w:sz w:val="18"/>
        </w:rPr>
        <w:t> </w:t>
      </w:r>
      <w:r>
        <w:rPr>
          <w:color w:val="231F20"/>
          <w:position w:val="2"/>
          <w:sz w:val="18"/>
        </w:rPr>
        <w:t>Value of expression</w:t>
        <w:tab/>
      </w:r>
      <w:r>
        <w:rPr>
          <w:color w:val="231F20"/>
          <w:sz w:val="18"/>
        </w:rPr>
        <w:drawing>
          <wp:inline distT="0" distB="0" distL="0" distR="0">
            <wp:extent cx="88900" cy="88900"/>
            <wp:effectExtent l="0" t="0" r="0" b="0"/>
            <wp:docPr id="3336" name="Image 3336"/>
            <wp:cNvGraphicFramePr>
              <a:graphicFrameLocks/>
            </wp:cNvGraphicFramePr>
            <a:graphic>
              <a:graphicData uri="http://schemas.openxmlformats.org/drawingml/2006/picture">
                <pic:pic>
                  <pic:nvPicPr>
                    <pic:cNvPr id="3336" name="Image 3336"/>
                    <pic:cNvPicPr/>
                  </pic:nvPicPr>
                  <pic:blipFill>
                    <a:blip r:embed="rId159"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74"/>
          <w:position w:val="2"/>
          <w:sz w:val="18"/>
        </w:rPr>
        <w:t> </w:t>
      </w:r>
      <w:r>
        <w:rPr>
          <w:color w:val="231F20"/>
          <w:position w:val="2"/>
          <w:sz w:val="18"/>
        </w:rPr>
        <w:t>Return</w:t>
      </w:r>
      <w:r>
        <w:rPr>
          <w:color w:val="231F20"/>
          <w:spacing w:val="22"/>
          <w:position w:val="2"/>
          <w:sz w:val="18"/>
        </w:rPr>
        <w:t> </w:t>
      </w:r>
      <w:r>
        <w:rPr>
          <w:color w:val="231F20"/>
          <w:position w:val="2"/>
          <w:sz w:val="18"/>
        </w:rPr>
        <w:t>a</w:t>
      </w:r>
      <w:r>
        <w:rPr>
          <w:color w:val="231F20"/>
          <w:spacing w:val="22"/>
          <w:position w:val="2"/>
          <w:sz w:val="18"/>
        </w:rPr>
        <w:t> </w:t>
      </w:r>
      <w:r>
        <w:rPr>
          <w:color w:val="231F20"/>
          <w:position w:val="2"/>
          <w:sz w:val="18"/>
        </w:rPr>
        <w:t>subset</w:t>
      </w:r>
      <w:r>
        <w:rPr>
          <w:color w:val="231F20"/>
          <w:spacing w:val="22"/>
          <w:position w:val="2"/>
          <w:sz w:val="18"/>
        </w:rPr>
        <w:t> </w:t>
      </w:r>
      <w:r>
        <w:rPr>
          <w:color w:val="231F20"/>
          <w:position w:val="2"/>
          <w:sz w:val="18"/>
        </w:rPr>
        <w:t>of</w:t>
      </w:r>
      <w:r>
        <w:rPr>
          <w:color w:val="231F20"/>
          <w:spacing w:val="22"/>
          <w:position w:val="2"/>
          <w:sz w:val="18"/>
        </w:rPr>
        <w:t> </w:t>
      </w:r>
      <w:r>
        <w:rPr>
          <w:color w:val="231F20"/>
          <w:position w:val="2"/>
          <w:sz w:val="18"/>
        </w:rPr>
        <w:t>the</w:t>
      </w:r>
    </w:p>
    <w:p>
      <w:pPr>
        <w:spacing w:line="231" w:lineRule="exact" w:before="0"/>
        <w:ind w:left="5241" w:right="0" w:firstLine="0"/>
        <w:jc w:val="left"/>
        <w:rPr>
          <w:sz w:val="18"/>
        </w:rPr>
      </w:pPr>
      <w:r>
        <w:rPr>
          <w:color w:val="231F20"/>
          <w:spacing w:val="-2"/>
          <w:sz w:val="18"/>
        </w:rPr>
        <w:t>string</w:t>
      </w:r>
    </w:p>
    <w:p>
      <w:pPr>
        <w:spacing w:after="0" w:line="231" w:lineRule="exact"/>
        <w:jc w:val="left"/>
        <w:rPr>
          <w:sz w:val="18"/>
        </w:rPr>
        <w:sectPr>
          <w:type w:val="continuous"/>
          <w:pgSz w:w="12240" w:h="15840"/>
          <w:pgMar w:header="0" w:footer="736" w:top="0" w:bottom="4660" w:left="1000" w:right="1060"/>
          <w:cols w:num="2" w:equalWidth="0">
            <w:col w:w="2060" w:space="40"/>
            <w:col w:w="8080"/>
          </w:cols>
        </w:sectPr>
      </w:pPr>
    </w:p>
    <w:p>
      <w:pPr>
        <w:spacing w:line="216" w:lineRule="auto" w:before="17"/>
        <w:ind w:left="2232" w:right="0" w:firstLine="0"/>
        <w:jc w:val="left"/>
        <w:rPr>
          <w:sz w:val="18"/>
        </w:rPr>
      </w:pPr>
      <w:r>
        <w:rPr/>
        <w:drawing>
          <wp:inline distT="0" distB="0" distL="0" distR="0">
            <wp:extent cx="88900" cy="88900"/>
            <wp:effectExtent l="0" t="0" r="0" b="0"/>
            <wp:docPr id="3337" name="Image 3337"/>
            <wp:cNvGraphicFramePr>
              <a:graphicFrameLocks/>
            </wp:cNvGraphicFramePr>
            <a:graphic>
              <a:graphicData uri="http://schemas.openxmlformats.org/drawingml/2006/picture">
                <pic:pic>
                  <pic:nvPicPr>
                    <pic:cNvPr id="3337" name="Image 3337"/>
                    <pic:cNvPicPr/>
                  </pic:nvPicPr>
                  <pic:blipFill>
                    <a:blip r:embed="rId490"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See if value is within </w:t>
      </w:r>
      <w:r>
        <w:rPr>
          <w:color w:val="231F20"/>
          <w:position w:val="2"/>
          <w:sz w:val="18"/>
        </w:rPr>
        <w:t>a </w:t>
      </w:r>
      <w:r>
        <w:rPr>
          <w:color w:val="231F20"/>
          <w:spacing w:val="-2"/>
          <w:sz w:val="18"/>
        </w:rPr>
        <w:t>range</w:t>
      </w:r>
    </w:p>
    <w:p>
      <w:pPr>
        <w:spacing w:line="216" w:lineRule="auto" w:before="17"/>
        <w:ind w:left="414" w:right="0" w:firstLine="0"/>
        <w:jc w:val="left"/>
        <w:rPr>
          <w:sz w:val="18"/>
        </w:rPr>
      </w:pPr>
      <w:r>
        <w:rPr/>
        <w:br w:type="column"/>
      </w:r>
      <w:r>
        <w:rPr/>
        <w:drawing>
          <wp:inline distT="0" distB="0" distL="0" distR="0">
            <wp:extent cx="88900" cy="88900"/>
            <wp:effectExtent l="0" t="0" r="0" b="0"/>
            <wp:docPr id="3338" name="Image 3338"/>
            <wp:cNvGraphicFramePr>
              <a:graphicFrameLocks/>
            </wp:cNvGraphicFramePr>
            <a:graphic>
              <a:graphicData uri="http://schemas.openxmlformats.org/drawingml/2006/picture">
                <pic:pic>
                  <pic:nvPicPr>
                    <pic:cNvPr id="3338" name="Image 3338"/>
                    <pic:cNvPicPr/>
                  </pic:nvPicPr>
                  <pic:blipFill>
                    <a:blip r:embed="rId159"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Return a subset of </w:t>
      </w:r>
      <w:r>
        <w:rPr>
          <w:color w:val="231F20"/>
          <w:position w:val="2"/>
          <w:sz w:val="18"/>
        </w:rPr>
        <w:t>the </w:t>
      </w:r>
      <w:r>
        <w:rPr>
          <w:color w:val="231F20"/>
          <w:spacing w:val="-2"/>
          <w:sz w:val="18"/>
        </w:rPr>
        <w:t>string</w:t>
      </w:r>
    </w:p>
    <w:p>
      <w:pPr>
        <w:spacing w:line="216" w:lineRule="auto" w:before="17"/>
        <w:ind w:left="481" w:right="681" w:firstLine="0"/>
        <w:jc w:val="left"/>
        <w:rPr>
          <w:sz w:val="18"/>
        </w:rPr>
      </w:pPr>
      <w:r>
        <w:rPr/>
        <w:br w:type="column"/>
      </w:r>
      <w:r>
        <w:rPr/>
        <w:drawing>
          <wp:inline distT="0" distB="0" distL="0" distR="0">
            <wp:extent cx="88900" cy="88900"/>
            <wp:effectExtent l="0" t="0" r="0" b="0"/>
            <wp:docPr id="3339" name="Image 3339"/>
            <wp:cNvGraphicFramePr>
              <a:graphicFrameLocks/>
            </wp:cNvGraphicFramePr>
            <a:graphic>
              <a:graphicData uri="http://schemas.openxmlformats.org/drawingml/2006/picture">
                <pic:pic>
                  <pic:nvPicPr>
                    <pic:cNvPr id="3339" name="Image 3339"/>
                    <pic:cNvPicPr/>
                  </pic:nvPicPr>
                  <pic:blipFill>
                    <a:blip r:embed="rId158"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Scan for string within </w:t>
      </w:r>
      <w:r>
        <w:rPr>
          <w:color w:val="231F20"/>
          <w:position w:val="2"/>
          <w:sz w:val="18"/>
        </w:rPr>
        <w:t>a </w:t>
      </w:r>
      <w:r>
        <w:rPr>
          <w:color w:val="231F20"/>
          <w:spacing w:val="-2"/>
          <w:sz w:val="18"/>
        </w:rPr>
        <w:t>string</w:t>
      </w:r>
    </w:p>
    <w:p>
      <w:pPr>
        <w:spacing w:after="0" w:line="216" w:lineRule="auto"/>
        <w:jc w:val="left"/>
        <w:rPr>
          <w:sz w:val="18"/>
        </w:rPr>
        <w:sectPr>
          <w:type w:val="continuous"/>
          <w:pgSz w:w="12240" w:h="15840"/>
          <w:pgMar w:header="0" w:footer="736" w:top="0" w:bottom="4660" w:left="1000" w:right="1060"/>
          <w:cols w:num="3" w:equalWidth="0">
            <w:col w:w="4333" w:space="40"/>
            <w:col w:w="2448" w:space="39"/>
            <w:col w:w="3320"/>
          </w:cols>
        </w:sectPr>
      </w:pPr>
    </w:p>
    <w:p>
      <w:pPr>
        <w:tabs>
          <w:tab w:pos="4787" w:val="left" w:leader="none"/>
        </w:tabs>
        <w:spacing w:line="170" w:lineRule="auto" w:before="45"/>
        <w:ind w:left="4787" w:right="0" w:hanging="2505"/>
        <w:jc w:val="left"/>
        <w:rPr>
          <w:sz w:val="18"/>
        </w:rPr>
      </w:pPr>
      <w:r>
        <w:rPr>
          <w:position w:val="1"/>
        </w:rPr>
        <w:drawing>
          <wp:inline distT="0" distB="0" distL="0" distR="0">
            <wp:extent cx="63500" cy="50800"/>
            <wp:effectExtent l="0" t="0" r="0" b="0"/>
            <wp:docPr id="3340" name="Image 3340"/>
            <wp:cNvGraphicFramePr>
              <a:graphicFrameLocks/>
            </wp:cNvGraphicFramePr>
            <a:graphic>
              <a:graphicData uri="http://schemas.openxmlformats.org/drawingml/2006/picture">
                <pic:pic>
                  <pic:nvPicPr>
                    <pic:cNvPr id="3340" name="Image 3340"/>
                    <pic:cNvPicPr/>
                  </pic:nvPicPr>
                  <pic:blipFill>
                    <a:blip r:embed="rId483" cstate="print"/>
                    <a:stretch>
                      <a:fillRect/>
                    </a:stretch>
                  </pic:blipFill>
                  <pic:spPr>
                    <a:xfrm>
                      <a:off x="0" y="0"/>
                      <a:ext cx="63500" cy="50800"/>
                    </a:xfrm>
                    <a:prstGeom prst="rect">
                      <a:avLst/>
                    </a:prstGeom>
                  </pic:spPr>
                </pic:pic>
              </a:graphicData>
            </a:graphic>
          </wp:inline>
        </w:drawing>
      </w:r>
      <w:r>
        <w:rPr>
          <w:position w:val="1"/>
        </w:rPr>
      </w:r>
      <w:r>
        <w:rPr>
          <w:rFonts w:ascii="Times New Roman"/>
          <w:spacing w:val="80"/>
          <w:position w:val="-3"/>
          <w:sz w:val="20"/>
        </w:rPr>
        <w:t> </w:t>
      </w:r>
      <w:r>
        <w:rPr>
          <w:color w:val="231F20"/>
          <w:position w:val="-3"/>
          <w:sz w:val="18"/>
        </w:rPr>
        <w:t>Change in value</w:t>
        <w:tab/>
      </w:r>
      <w:r>
        <w:rPr>
          <w:color w:val="231F20"/>
          <w:sz w:val="18"/>
        </w:rPr>
        <w:drawing>
          <wp:inline distT="0" distB="0" distL="0" distR="0">
            <wp:extent cx="88900" cy="88900"/>
            <wp:effectExtent l="0" t="0" r="0" b="0"/>
            <wp:docPr id="3341" name="Image 3341"/>
            <wp:cNvGraphicFramePr>
              <a:graphicFrameLocks/>
            </wp:cNvGraphicFramePr>
            <a:graphic>
              <a:graphicData uri="http://schemas.openxmlformats.org/drawingml/2006/picture">
                <pic:pic>
                  <pic:nvPicPr>
                    <pic:cNvPr id="3341" name="Image 3341"/>
                    <pic:cNvPicPr/>
                  </pic:nvPicPr>
                  <pic:blipFill>
                    <a:blip r:embed="rId158"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40"/>
          <w:position w:val="2"/>
          <w:sz w:val="18"/>
        </w:rPr>
        <w:t> </w:t>
      </w:r>
      <w:r>
        <w:rPr>
          <w:color w:val="231F20"/>
          <w:position w:val="2"/>
          <w:sz w:val="18"/>
        </w:rPr>
        <w:t>Scan for string within </w:t>
      </w:r>
      <w:r>
        <w:rPr>
          <w:color w:val="231F20"/>
          <w:position w:val="2"/>
          <w:sz w:val="18"/>
        </w:rPr>
        <w:t>a </w:t>
      </w:r>
      <w:r>
        <w:rPr>
          <w:color w:val="231F20"/>
          <w:spacing w:val="-2"/>
          <w:sz w:val="18"/>
        </w:rPr>
        <w:t>string</w:t>
      </w:r>
    </w:p>
    <w:p>
      <w:pPr>
        <w:spacing w:before="1"/>
        <w:ind w:left="359" w:right="0" w:firstLine="0"/>
        <w:jc w:val="left"/>
        <w:rPr>
          <w:sz w:val="18"/>
        </w:rPr>
      </w:pPr>
      <w:r>
        <w:rPr/>
        <w:br w:type="column"/>
      </w:r>
      <w:r>
        <w:rPr/>
        <w:drawing>
          <wp:inline distT="0" distB="0" distL="0" distR="0">
            <wp:extent cx="88900" cy="88900"/>
            <wp:effectExtent l="0" t="0" r="0" b="0"/>
            <wp:docPr id="3342" name="Image 3342"/>
            <wp:cNvGraphicFramePr>
              <a:graphicFrameLocks/>
            </wp:cNvGraphicFramePr>
            <a:graphic>
              <a:graphicData uri="http://schemas.openxmlformats.org/drawingml/2006/picture">
                <pic:pic>
                  <pic:nvPicPr>
                    <pic:cNvPr id="3342" name="Image 3342"/>
                    <pic:cNvPicPr/>
                  </pic:nvPicPr>
                  <pic:blipFill>
                    <a:blip r:embed="rId491" cstate="print"/>
                    <a:stretch>
                      <a:fillRect/>
                    </a:stretch>
                  </pic:blipFill>
                  <pic:spPr>
                    <a:xfrm>
                      <a:off x="0" y="0"/>
                      <a:ext cx="88900" cy="88900"/>
                    </a:xfrm>
                    <a:prstGeom prst="rect">
                      <a:avLst/>
                    </a:prstGeom>
                  </pic:spPr>
                </pic:pic>
              </a:graphicData>
            </a:graphic>
          </wp:inline>
        </w:drawing>
      </w:r>
      <w:r>
        <w:rPr/>
      </w:r>
      <w:r>
        <w:rPr>
          <w:rFonts w:ascii="Times New Roman"/>
          <w:spacing w:val="40"/>
          <w:position w:val="2"/>
          <w:sz w:val="20"/>
        </w:rPr>
        <w:t> </w:t>
      </w:r>
      <w:r>
        <w:rPr>
          <w:color w:val="231F20"/>
          <w:position w:val="2"/>
          <w:sz w:val="18"/>
        </w:rPr>
        <w:t>Compare date/time</w:t>
      </w:r>
    </w:p>
    <w:p>
      <w:pPr>
        <w:spacing w:after="0"/>
        <w:jc w:val="left"/>
        <w:rPr>
          <w:sz w:val="18"/>
        </w:rPr>
        <w:sectPr>
          <w:type w:val="continuous"/>
          <w:pgSz w:w="12240" w:h="15840"/>
          <w:pgMar w:header="0" w:footer="736" w:top="0" w:bottom="4660" w:left="1000" w:right="1060"/>
          <w:cols w:num="2" w:equalWidth="0">
            <w:col w:w="6942" w:space="40"/>
            <w:col w:w="3198"/>
          </w:cols>
        </w:sectPr>
      </w:pPr>
    </w:p>
    <w:p>
      <w:pPr>
        <w:tabs>
          <w:tab w:pos="4787" w:val="left" w:leader="none"/>
          <w:tab w:pos="7341" w:val="left" w:leader="none"/>
        </w:tabs>
        <w:spacing w:before="10"/>
        <w:ind w:left="2302" w:right="0" w:firstLine="0"/>
        <w:jc w:val="left"/>
        <w:rPr>
          <w:sz w:val="18"/>
        </w:rPr>
      </w:pPr>
      <w:r>
        <w:rPr/>
        <w:drawing>
          <wp:inline distT="0" distB="0" distL="0" distR="0">
            <wp:extent cx="50800" cy="50800"/>
            <wp:effectExtent l="0" t="0" r="0" b="0"/>
            <wp:docPr id="3343" name="Image 3343"/>
            <wp:cNvGraphicFramePr>
              <a:graphicFrameLocks/>
            </wp:cNvGraphicFramePr>
            <a:graphic>
              <a:graphicData uri="http://schemas.openxmlformats.org/drawingml/2006/picture">
                <pic:pic>
                  <pic:nvPicPr>
                    <pic:cNvPr id="3343" name="Image 3343"/>
                    <pic:cNvPicPr/>
                  </pic:nvPicPr>
                  <pic:blipFill>
                    <a:blip r:embed="rId485" cstate="print"/>
                    <a:stretch>
                      <a:fillRect/>
                    </a:stretch>
                  </pic:blipFill>
                  <pic:spPr>
                    <a:xfrm>
                      <a:off x="0" y="0"/>
                      <a:ext cx="50800" cy="50800"/>
                    </a:xfrm>
                    <a:prstGeom prst="rect">
                      <a:avLst/>
                    </a:prstGeom>
                  </pic:spPr>
                </pic:pic>
              </a:graphicData>
            </a:graphic>
          </wp:inline>
        </w:drawing>
      </w:r>
      <w:r>
        <w:rPr/>
      </w:r>
      <w:r>
        <w:rPr>
          <w:rFonts w:ascii="Times New Roman"/>
          <w:spacing w:val="80"/>
          <w:position w:val="-3"/>
          <w:sz w:val="20"/>
        </w:rPr>
        <w:t> </w:t>
      </w:r>
      <w:r>
        <w:rPr>
          <w:color w:val="231F20"/>
          <w:position w:val="-3"/>
          <w:sz w:val="18"/>
        </w:rPr>
        <w:t>Percent</w:t>
      </w:r>
      <w:r>
        <w:rPr>
          <w:color w:val="231F20"/>
          <w:spacing w:val="31"/>
          <w:position w:val="-3"/>
          <w:sz w:val="18"/>
        </w:rPr>
        <w:t> </w:t>
      </w:r>
      <w:r>
        <w:rPr>
          <w:color w:val="231F20"/>
          <w:position w:val="-3"/>
          <w:sz w:val="18"/>
        </w:rPr>
        <w:t>change</w:t>
      </w:r>
      <w:r>
        <w:rPr>
          <w:color w:val="231F20"/>
          <w:spacing w:val="31"/>
          <w:position w:val="-3"/>
          <w:sz w:val="18"/>
        </w:rPr>
        <w:t> </w:t>
      </w:r>
      <w:r>
        <w:rPr>
          <w:color w:val="231F20"/>
          <w:position w:val="-3"/>
          <w:sz w:val="18"/>
        </w:rPr>
        <w:t>in</w:t>
      </w:r>
      <w:r>
        <w:rPr>
          <w:color w:val="231F20"/>
          <w:spacing w:val="31"/>
          <w:position w:val="-3"/>
          <w:sz w:val="18"/>
        </w:rPr>
        <w:t> </w:t>
      </w:r>
      <w:r>
        <w:rPr>
          <w:color w:val="231F20"/>
          <w:position w:val="-3"/>
          <w:sz w:val="18"/>
        </w:rPr>
        <w:t>value</w:t>
        <w:tab/>
      </w:r>
      <w:r>
        <w:rPr>
          <w:color w:val="231F20"/>
          <w:position w:val="-1"/>
          <w:sz w:val="18"/>
        </w:rPr>
        <w:drawing>
          <wp:inline distT="0" distB="0" distL="0" distR="0">
            <wp:extent cx="101600" cy="101600"/>
            <wp:effectExtent l="0" t="0" r="0" b="0"/>
            <wp:docPr id="3344" name="Image 3344"/>
            <wp:cNvGraphicFramePr>
              <a:graphicFrameLocks/>
            </wp:cNvGraphicFramePr>
            <a:graphic>
              <a:graphicData uri="http://schemas.openxmlformats.org/drawingml/2006/picture">
                <pic:pic>
                  <pic:nvPicPr>
                    <pic:cNvPr id="3344" name="Image 3344"/>
                    <pic:cNvPicPr/>
                  </pic:nvPicPr>
                  <pic:blipFill>
                    <a:blip r:embed="rId109" cstate="print"/>
                    <a:stretch>
                      <a:fillRect/>
                    </a:stretch>
                  </pic:blipFill>
                  <pic:spPr>
                    <a:xfrm>
                      <a:off x="0" y="0"/>
                      <a:ext cx="101600" cy="101600"/>
                    </a:xfrm>
                    <a:prstGeom prst="rect">
                      <a:avLst/>
                    </a:prstGeom>
                  </pic:spPr>
                </pic:pic>
              </a:graphicData>
            </a:graphic>
          </wp:inline>
        </w:drawing>
      </w:r>
      <w:r>
        <w:rPr>
          <w:color w:val="231F20"/>
          <w:position w:val="-1"/>
          <w:sz w:val="18"/>
        </w:rPr>
      </w:r>
      <w:r>
        <w:rPr>
          <w:rFonts w:ascii="Times New Roman"/>
          <w:color w:val="231F20"/>
          <w:spacing w:val="77"/>
          <w:position w:val="2"/>
          <w:sz w:val="18"/>
        </w:rPr>
        <w:t> </w:t>
      </w:r>
      <w:r>
        <w:rPr>
          <w:color w:val="231F20"/>
          <w:position w:val="2"/>
          <w:sz w:val="18"/>
        </w:rPr>
        <w:t>Check</w:t>
      </w:r>
      <w:r>
        <w:rPr>
          <w:color w:val="231F20"/>
          <w:spacing w:val="24"/>
          <w:position w:val="2"/>
          <w:sz w:val="18"/>
        </w:rPr>
        <w:t> </w:t>
      </w:r>
      <w:r>
        <w:rPr>
          <w:color w:val="231F20"/>
          <w:position w:val="2"/>
          <w:sz w:val="18"/>
        </w:rPr>
        <w:t>for</w:t>
      </w:r>
      <w:r>
        <w:rPr>
          <w:color w:val="231F20"/>
          <w:spacing w:val="24"/>
          <w:position w:val="2"/>
          <w:sz w:val="18"/>
        </w:rPr>
        <w:t> </w:t>
      </w:r>
      <w:r>
        <w:rPr>
          <w:color w:val="231F20"/>
          <w:position w:val="2"/>
          <w:sz w:val="18"/>
        </w:rPr>
        <w:t>Missing</w:t>
      </w:r>
      <w:r>
        <w:rPr>
          <w:color w:val="231F20"/>
          <w:spacing w:val="24"/>
          <w:position w:val="2"/>
          <w:sz w:val="18"/>
        </w:rPr>
        <w:t> </w:t>
      </w:r>
      <w:r>
        <w:rPr>
          <w:color w:val="231F20"/>
          <w:position w:val="2"/>
          <w:sz w:val="18"/>
        </w:rPr>
        <w:t>Items</w:t>
        <w:tab/>
      </w:r>
      <w:r>
        <w:rPr>
          <w:color w:val="231F20"/>
          <w:sz w:val="18"/>
        </w:rPr>
        <w:drawing>
          <wp:inline distT="0" distB="0" distL="0" distR="0">
            <wp:extent cx="88900" cy="88900"/>
            <wp:effectExtent l="0" t="0" r="0" b="0"/>
            <wp:docPr id="3345" name="Image 3345"/>
            <wp:cNvGraphicFramePr>
              <a:graphicFrameLocks/>
            </wp:cNvGraphicFramePr>
            <a:graphic>
              <a:graphicData uri="http://schemas.openxmlformats.org/drawingml/2006/picture">
                <pic:pic>
                  <pic:nvPicPr>
                    <pic:cNvPr id="3345" name="Image 3345"/>
                    <pic:cNvPicPr/>
                  </pic:nvPicPr>
                  <pic:blipFill>
                    <a:blip r:embed="rId487" cstate="print"/>
                    <a:stretch>
                      <a:fillRect/>
                    </a:stretch>
                  </pic:blipFill>
                  <pic:spPr>
                    <a:xfrm>
                      <a:off x="0" y="0"/>
                      <a:ext cx="88900" cy="88900"/>
                    </a:xfrm>
                    <a:prstGeom prst="rect">
                      <a:avLst/>
                    </a:prstGeom>
                  </pic:spPr>
                </pic:pic>
              </a:graphicData>
            </a:graphic>
          </wp:inline>
        </w:drawing>
      </w:r>
      <w:r>
        <w:rPr>
          <w:color w:val="231F20"/>
          <w:sz w:val="18"/>
        </w:rPr>
      </w:r>
      <w:r>
        <w:rPr>
          <w:rFonts w:ascii="Times New Roman"/>
          <w:color w:val="231F20"/>
          <w:spacing w:val="80"/>
          <w:position w:val="2"/>
          <w:sz w:val="18"/>
        </w:rPr>
        <w:t> </w:t>
      </w:r>
      <w:r>
        <w:rPr>
          <w:color w:val="231F20"/>
          <w:position w:val="2"/>
          <w:sz w:val="18"/>
        </w:rPr>
        <w:t>Compare</w:t>
      </w:r>
      <w:r>
        <w:rPr>
          <w:color w:val="231F20"/>
          <w:spacing w:val="34"/>
          <w:position w:val="2"/>
          <w:sz w:val="18"/>
        </w:rPr>
        <w:t> </w:t>
      </w:r>
      <w:r>
        <w:rPr>
          <w:color w:val="231F20"/>
          <w:position w:val="2"/>
          <w:sz w:val="18"/>
        </w:rPr>
        <w:t>to</w:t>
      </w:r>
      <w:r>
        <w:rPr>
          <w:color w:val="231F20"/>
          <w:spacing w:val="34"/>
          <w:position w:val="2"/>
          <w:sz w:val="18"/>
        </w:rPr>
        <w:t> </w:t>
      </w:r>
      <w:r>
        <w:rPr>
          <w:color w:val="231F20"/>
          <w:position w:val="2"/>
          <w:sz w:val="18"/>
        </w:rPr>
        <w:t>time</w:t>
      </w:r>
      <w:r>
        <w:rPr>
          <w:color w:val="231F20"/>
          <w:spacing w:val="34"/>
          <w:position w:val="2"/>
          <w:sz w:val="18"/>
        </w:rPr>
        <w:t> </w:t>
      </w:r>
      <w:r>
        <w:rPr>
          <w:color w:val="231F20"/>
          <w:position w:val="2"/>
          <w:sz w:val="18"/>
        </w:rPr>
        <w:t>+/-</w:t>
      </w:r>
      <w:r>
        <w:rPr>
          <w:color w:val="231F20"/>
          <w:spacing w:val="34"/>
          <w:position w:val="2"/>
          <w:sz w:val="18"/>
        </w:rPr>
        <w:t> </w:t>
      </w:r>
      <w:r>
        <w:rPr>
          <w:color w:val="231F20"/>
          <w:position w:val="2"/>
          <w:sz w:val="18"/>
        </w:rPr>
        <w:t>delta</w:t>
      </w:r>
    </w:p>
    <w:p>
      <w:pPr>
        <w:spacing w:after="0"/>
        <w:jc w:val="left"/>
        <w:rPr>
          <w:sz w:val="18"/>
        </w:rPr>
        <w:sectPr>
          <w:type w:val="continuous"/>
          <w:pgSz w:w="12240" w:h="15840"/>
          <w:pgMar w:header="0" w:footer="736" w:top="0" w:bottom="4660" w:left="1000" w:right="1060"/>
        </w:sectPr>
      </w:pPr>
    </w:p>
    <w:p>
      <w:pPr>
        <w:spacing w:line="216" w:lineRule="auto" w:before="16"/>
        <w:ind w:left="2232" w:right="0" w:firstLine="0"/>
        <w:jc w:val="left"/>
        <w:rPr>
          <w:sz w:val="18"/>
        </w:rPr>
      </w:pPr>
      <w:r>
        <w:rPr/>
        <w:drawing>
          <wp:inline distT="0" distB="0" distL="0" distR="0">
            <wp:extent cx="63500" cy="63500"/>
            <wp:effectExtent l="0" t="0" r="0" b="0"/>
            <wp:docPr id="3346" name="Image 3346"/>
            <wp:cNvGraphicFramePr>
              <a:graphicFrameLocks/>
            </wp:cNvGraphicFramePr>
            <a:graphic>
              <a:graphicData uri="http://schemas.openxmlformats.org/drawingml/2006/picture">
                <pic:pic>
                  <pic:nvPicPr>
                    <pic:cNvPr id="3346" name="Image 3346"/>
                    <pic:cNvPicPr/>
                  </pic:nvPicPr>
                  <pic:blipFill>
                    <a:blip r:embed="rId484"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See if Null (no value) </w:t>
      </w:r>
      <w:r>
        <w:rPr>
          <w:color w:val="231F20"/>
          <w:sz w:val="18"/>
        </w:rPr>
        <w:t>has been detected</w:t>
      </w:r>
    </w:p>
    <w:p>
      <w:pPr>
        <w:spacing w:line="216" w:lineRule="auto" w:before="16"/>
        <w:ind w:left="240" w:right="0" w:firstLine="0"/>
        <w:jc w:val="left"/>
        <w:rPr>
          <w:sz w:val="18"/>
        </w:rPr>
      </w:pPr>
      <w:r>
        <w:rPr/>
        <w:br w:type="column"/>
      </w:r>
      <w:r>
        <w:rPr/>
        <w:drawing>
          <wp:inline distT="0" distB="0" distL="0" distR="0">
            <wp:extent cx="63500" cy="63500"/>
            <wp:effectExtent l="0" t="0" r="0" b="0"/>
            <wp:docPr id="3347" name="Image 3347"/>
            <wp:cNvGraphicFramePr>
              <a:graphicFrameLocks/>
            </wp:cNvGraphicFramePr>
            <a:graphic>
              <a:graphicData uri="http://schemas.openxmlformats.org/drawingml/2006/picture">
                <pic:pic>
                  <pic:nvPicPr>
                    <pic:cNvPr id="3347" name="Image 3347"/>
                    <pic:cNvPicPr/>
                  </pic:nvPicPr>
                  <pic:blipFill>
                    <a:blip r:embed="rId484" cstate="print"/>
                    <a:stretch>
                      <a:fillRect/>
                    </a:stretch>
                  </pic:blipFill>
                  <pic:spPr>
                    <a:xfrm>
                      <a:off x="0" y="0"/>
                      <a:ext cx="63500" cy="63500"/>
                    </a:xfrm>
                    <a:prstGeom prst="rect">
                      <a:avLst/>
                    </a:prstGeom>
                  </pic:spPr>
                </pic:pic>
              </a:graphicData>
            </a:graphic>
          </wp:inline>
        </w:drawing>
      </w:r>
      <w:r>
        <w:rPr/>
      </w:r>
      <w:r>
        <w:rPr>
          <w:rFonts w:ascii="Times New Roman"/>
          <w:spacing w:val="40"/>
          <w:sz w:val="20"/>
        </w:rPr>
        <w:t> </w:t>
      </w:r>
      <w:r>
        <w:rPr>
          <w:color w:val="231F20"/>
          <w:sz w:val="18"/>
        </w:rPr>
        <w:t>See if Null (no value) </w:t>
      </w:r>
      <w:r>
        <w:rPr>
          <w:color w:val="231F20"/>
          <w:sz w:val="18"/>
        </w:rPr>
        <w:t>has been detected</w:t>
      </w:r>
    </w:p>
    <w:p>
      <w:pPr>
        <w:spacing w:line="216" w:lineRule="auto" w:before="22"/>
        <w:ind w:left="240" w:right="0" w:firstLine="30"/>
        <w:jc w:val="left"/>
        <w:rPr>
          <w:sz w:val="18"/>
        </w:rPr>
      </w:pPr>
      <w:r>
        <w:rPr>
          <w:position w:val="-2"/>
        </w:rPr>
        <w:drawing>
          <wp:inline distT="0" distB="0" distL="0" distR="0">
            <wp:extent cx="69850" cy="69850"/>
            <wp:effectExtent l="0" t="0" r="0" b="0"/>
            <wp:docPr id="3348" name="Image 3348"/>
            <wp:cNvGraphicFramePr>
              <a:graphicFrameLocks/>
            </wp:cNvGraphicFramePr>
            <a:graphic>
              <a:graphicData uri="http://schemas.openxmlformats.org/drawingml/2006/picture">
                <pic:pic>
                  <pic:nvPicPr>
                    <pic:cNvPr id="3348" name="Image 3348"/>
                    <pic:cNvPicPr/>
                  </pic:nvPicPr>
                  <pic:blipFill>
                    <a:blip r:embed="rId486" cstate="print"/>
                    <a:stretch>
                      <a:fillRect/>
                    </a:stretch>
                  </pic:blipFill>
                  <pic:spPr>
                    <a:xfrm>
                      <a:off x="0" y="0"/>
                      <a:ext cx="69850" cy="69850"/>
                    </a:xfrm>
                    <a:prstGeom prst="rect">
                      <a:avLst/>
                    </a:prstGeom>
                  </pic:spPr>
                </pic:pic>
              </a:graphicData>
            </a:graphic>
          </wp:inline>
        </w:drawing>
      </w:r>
      <w:r>
        <w:rPr>
          <w:position w:val="-2"/>
        </w:rPr>
      </w:r>
      <w:r>
        <w:rPr>
          <w:rFonts w:ascii="Times New Roman"/>
          <w:spacing w:val="80"/>
          <w:sz w:val="20"/>
        </w:rPr>
        <w:t> </w:t>
      </w:r>
      <w:r>
        <w:rPr>
          <w:color w:val="231F20"/>
          <w:sz w:val="18"/>
        </w:rPr>
        <w:t>Scan for a string based </w:t>
      </w:r>
      <w:r>
        <w:rPr>
          <w:color w:val="231F20"/>
          <w:sz w:val="18"/>
        </w:rPr>
        <w:t>on Regular Expression pattern</w:t>
      </w:r>
    </w:p>
    <w:p>
      <w:pPr>
        <w:spacing w:line="216" w:lineRule="auto" w:before="16"/>
        <w:ind w:left="118" w:right="328" w:firstLine="0"/>
        <w:jc w:val="left"/>
        <w:rPr>
          <w:sz w:val="18"/>
        </w:rPr>
      </w:pPr>
      <w:r>
        <w:rPr/>
        <w:br w:type="column"/>
      </w:r>
      <w:r>
        <w:rPr>
          <w:position w:val="-3"/>
        </w:rPr>
        <w:drawing>
          <wp:inline distT="0" distB="0" distL="0" distR="0">
            <wp:extent cx="101600" cy="101600"/>
            <wp:effectExtent l="0" t="0" r="0" b="0"/>
            <wp:docPr id="3349" name="Image 3349"/>
            <wp:cNvGraphicFramePr>
              <a:graphicFrameLocks/>
            </wp:cNvGraphicFramePr>
            <a:graphic>
              <a:graphicData uri="http://schemas.openxmlformats.org/drawingml/2006/picture">
                <pic:pic>
                  <pic:nvPicPr>
                    <pic:cNvPr id="3349" name="Image 3349"/>
                    <pic:cNvPicPr/>
                  </pic:nvPicPr>
                  <pic:blipFill>
                    <a:blip r:embed="rId80" cstate="print"/>
                    <a:stretch>
                      <a:fillRect/>
                    </a:stretch>
                  </pic:blipFill>
                  <pic:spPr>
                    <a:xfrm>
                      <a:off x="0" y="0"/>
                      <a:ext cx="101600" cy="101600"/>
                    </a:xfrm>
                    <a:prstGeom prst="rect">
                      <a:avLst/>
                    </a:prstGeom>
                  </pic:spPr>
                </pic:pic>
              </a:graphicData>
            </a:graphic>
          </wp:inline>
        </w:drawing>
      </w:r>
      <w:r>
        <w:rPr>
          <w:position w:val="-3"/>
        </w:rPr>
      </w:r>
      <w:r>
        <w:rPr>
          <w:rFonts w:ascii="Times New Roman"/>
          <w:spacing w:val="40"/>
          <w:sz w:val="20"/>
        </w:rPr>
        <w:t> </w:t>
      </w:r>
      <w:r>
        <w:rPr>
          <w:color w:val="231F20"/>
          <w:sz w:val="18"/>
        </w:rPr>
        <w:t>See if a time is within </w:t>
      </w:r>
      <w:r>
        <w:rPr>
          <w:color w:val="231F20"/>
          <w:sz w:val="18"/>
        </w:rPr>
        <w:t>a </w:t>
      </w:r>
      <w:r>
        <w:rPr>
          <w:color w:val="231F20"/>
          <w:spacing w:val="-2"/>
          <w:sz w:val="18"/>
        </w:rPr>
        <w:t>range</w:t>
      </w:r>
    </w:p>
    <w:p>
      <w:pPr>
        <w:spacing w:line="216" w:lineRule="auto" w:before="22"/>
        <w:ind w:left="118" w:right="328" w:firstLine="30"/>
        <w:jc w:val="left"/>
        <w:rPr>
          <w:sz w:val="18"/>
        </w:rPr>
      </w:pPr>
      <w:r>
        <w:rPr>
          <w:position w:val="-2"/>
        </w:rPr>
        <w:drawing>
          <wp:inline distT="0" distB="0" distL="0" distR="0">
            <wp:extent cx="69850" cy="69850"/>
            <wp:effectExtent l="0" t="0" r="0" b="0"/>
            <wp:docPr id="3350" name="Image 3350"/>
            <wp:cNvGraphicFramePr>
              <a:graphicFrameLocks/>
            </wp:cNvGraphicFramePr>
            <a:graphic>
              <a:graphicData uri="http://schemas.openxmlformats.org/drawingml/2006/picture">
                <pic:pic>
                  <pic:nvPicPr>
                    <pic:cNvPr id="3350" name="Image 3350"/>
                    <pic:cNvPicPr/>
                  </pic:nvPicPr>
                  <pic:blipFill>
                    <a:blip r:embed="rId486" cstate="print"/>
                    <a:stretch>
                      <a:fillRect/>
                    </a:stretch>
                  </pic:blipFill>
                  <pic:spPr>
                    <a:xfrm>
                      <a:off x="0" y="0"/>
                      <a:ext cx="69850" cy="69850"/>
                    </a:xfrm>
                    <a:prstGeom prst="rect">
                      <a:avLst/>
                    </a:prstGeom>
                  </pic:spPr>
                </pic:pic>
              </a:graphicData>
            </a:graphic>
          </wp:inline>
        </w:drawing>
      </w:r>
      <w:r>
        <w:rPr>
          <w:position w:val="-2"/>
        </w:rPr>
      </w:r>
      <w:r>
        <w:rPr>
          <w:rFonts w:ascii="Times New Roman"/>
          <w:spacing w:val="80"/>
          <w:sz w:val="20"/>
        </w:rPr>
        <w:t> </w:t>
      </w:r>
      <w:r>
        <w:rPr>
          <w:color w:val="231F20"/>
          <w:sz w:val="18"/>
        </w:rPr>
        <w:t>Scan for a string based </w:t>
      </w:r>
      <w:r>
        <w:rPr>
          <w:color w:val="231F20"/>
          <w:sz w:val="18"/>
        </w:rPr>
        <w:t>on Regular Expression pattern</w:t>
      </w:r>
    </w:p>
    <w:p>
      <w:pPr>
        <w:spacing w:after="0" w:line="216" w:lineRule="auto"/>
        <w:jc w:val="left"/>
        <w:rPr>
          <w:sz w:val="18"/>
        </w:rPr>
        <w:sectPr>
          <w:type w:val="continuous"/>
          <w:pgSz w:w="12240" w:h="15840"/>
          <w:pgMar w:header="0" w:footer="736" w:top="0" w:bottom="4660" w:left="1000" w:right="1060"/>
          <w:cols w:num="3" w:equalWidth="0">
            <w:col w:w="4508" w:space="40"/>
            <w:col w:w="2637" w:space="39"/>
            <w:col w:w="2956"/>
          </w:cols>
        </w:sectPr>
      </w:pPr>
    </w:p>
    <w:p>
      <w:pPr>
        <w:pStyle w:val="BodyText"/>
        <w:spacing w:before="60"/>
        <w:rPr>
          <w:sz w:val="28"/>
        </w:rPr>
      </w:pPr>
    </w:p>
    <w:p>
      <w:pPr>
        <w:pStyle w:val="Heading3"/>
        <w:spacing w:before="0"/>
        <w:ind w:left="1334"/>
      </w:pPr>
      <w:bookmarkStart w:name="BETWEEN: See if value is within a range" w:id="670"/>
      <w:bookmarkEnd w:id="670"/>
      <w:r>
        <w:rPr>
          <w:b w:val="0"/>
        </w:rPr>
      </w:r>
      <w:r>
        <w:rPr>
          <w:color w:val="231F20"/>
        </w:rPr>
        <w:t>BETWEEN:</w:t>
      </w:r>
      <w:r>
        <w:rPr>
          <w:color w:val="231F20"/>
          <w:spacing w:val="9"/>
        </w:rPr>
        <w:t> </w:t>
      </w:r>
      <w:r>
        <w:rPr>
          <w:color w:val="231F20"/>
        </w:rPr>
        <w:t>See</w:t>
      </w:r>
      <w:r>
        <w:rPr>
          <w:color w:val="231F20"/>
          <w:spacing w:val="9"/>
        </w:rPr>
        <w:t> </w:t>
      </w:r>
      <w:r>
        <w:rPr>
          <w:color w:val="231F20"/>
        </w:rPr>
        <w:t>if</w:t>
      </w:r>
      <w:r>
        <w:rPr>
          <w:color w:val="231F20"/>
          <w:spacing w:val="9"/>
        </w:rPr>
        <w:t> </w:t>
      </w:r>
      <w:r>
        <w:rPr>
          <w:color w:val="231F20"/>
        </w:rPr>
        <w:t>value</w:t>
      </w:r>
      <w:r>
        <w:rPr>
          <w:color w:val="231F20"/>
          <w:spacing w:val="9"/>
        </w:rPr>
        <w:t> </w:t>
      </w:r>
      <w:r>
        <w:rPr>
          <w:color w:val="231F20"/>
        </w:rPr>
        <w:t>is</w:t>
      </w:r>
      <w:r>
        <w:rPr>
          <w:color w:val="231F20"/>
          <w:spacing w:val="9"/>
        </w:rPr>
        <w:t> </w:t>
      </w:r>
      <w:r>
        <w:rPr>
          <w:color w:val="231F20"/>
        </w:rPr>
        <w:t>within</w:t>
      </w:r>
      <w:r>
        <w:rPr>
          <w:color w:val="231F20"/>
          <w:spacing w:val="10"/>
        </w:rPr>
        <w:t> </w:t>
      </w:r>
      <w:r>
        <w:rPr>
          <w:color w:val="231F20"/>
        </w:rPr>
        <w:t>a</w:t>
      </w:r>
      <w:r>
        <w:rPr>
          <w:color w:val="231F20"/>
          <w:spacing w:val="9"/>
        </w:rPr>
        <w:t> </w:t>
      </w:r>
      <w:r>
        <w:rPr>
          <w:color w:val="231F20"/>
          <w:spacing w:val="-2"/>
        </w:rPr>
        <w:t>range</w:t>
      </w:r>
    </w:p>
    <w:p>
      <w:pPr>
        <w:pStyle w:val="BodyText"/>
        <w:spacing w:line="213" w:lineRule="auto" w:before="58"/>
        <w:ind w:left="2232" w:right="603"/>
      </w:pPr>
      <w:r>
        <w:rPr>
          <w:color w:val="231F20"/>
        </w:rPr>
        <w:t>Use the BETWEEN function in the Properties editor and Query editor to filter </w:t>
      </w:r>
      <w:r>
        <w:rPr>
          <w:color w:val="231F20"/>
        </w:rPr>
        <w:t>or add a threshold indicator when a value falls within a range.</w:t>
      </w:r>
    </w:p>
    <w:p>
      <w:pPr>
        <w:pStyle w:val="Heading6"/>
        <w:ind w:left="2252"/>
      </w:pPr>
      <w:r>
        <w:rPr>
          <w:b w:val="0"/>
          <w:position w:val="2"/>
        </w:rPr>
        <w:drawing>
          <wp:inline distT="0" distB="0" distL="0" distR="0">
            <wp:extent cx="101600" cy="44450"/>
            <wp:effectExtent l="0" t="0" r="0" b="0"/>
            <wp:docPr id="3351" name="Image 3351"/>
            <wp:cNvGraphicFramePr>
              <a:graphicFrameLocks/>
            </wp:cNvGraphicFramePr>
            <a:graphic>
              <a:graphicData uri="http://schemas.openxmlformats.org/drawingml/2006/picture">
                <pic:pic>
                  <pic:nvPicPr>
                    <pic:cNvPr id="3351" name="Image 3351"/>
                    <pic:cNvPicPr/>
                  </pic:nvPicPr>
                  <pic:blipFill>
                    <a:blip r:embed="rId482" cstate="print"/>
                    <a:stretch>
                      <a:fillRect/>
                    </a:stretch>
                  </pic:blipFill>
                  <pic:spPr>
                    <a:xfrm>
                      <a:off x="0" y="0"/>
                      <a:ext cx="101600" cy="44450"/>
                    </a:xfrm>
                    <a:prstGeom prst="rect">
                      <a:avLst/>
                    </a:prstGeom>
                  </pic:spPr>
                </pic:pic>
              </a:graphicData>
            </a:graphic>
          </wp:inline>
        </w:drawing>
      </w:r>
      <w:r>
        <w:rPr>
          <w:b w:val="0"/>
          <w:position w:val="2"/>
        </w:rPr>
      </w:r>
      <w:r>
        <w:rPr>
          <w:rFonts w:ascii="Times New Roman"/>
          <w:b w:val="0"/>
          <w:spacing w:val="80"/>
        </w:rPr>
        <w:t> </w:t>
      </w:r>
      <w:r>
        <w:rPr>
          <w:color w:val="231F20"/>
        </w:rPr>
        <w:t>See</w:t>
      </w:r>
      <w:r>
        <w:rPr>
          <w:color w:val="231F20"/>
          <w:spacing w:val="25"/>
        </w:rPr>
        <w:t> </w:t>
      </w:r>
      <w:r>
        <w:rPr>
          <w:color w:val="231F20"/>
        </w:rPr>
        <w:t>if</w:t>
      </w:r>
      <w:r>
        <w:rPr>
          <w:color w:val="231F20"/>
          <w:spacing w:val="25"/>
        </w:rPr>
        <w:t> </w:t>
      </w:r>
      <w:r>
        <w:rPr>
          <w:color w:val="231F20"/>
        </w:rPr>
        <w:t>value</w:t>
      </w:r>
      <w:r>
        <w:rPr>
          <w:color w:val="231F20"/>
          <w:spacing w:val="25"/>
        </w:rPr>
        <w:t> </w:t>
      </w:r>
      <w:r>
        <w:rPr>
          <w:color w:val="231F20"/>
        </w:rPr>
        <w:t>is</w:t>
      </w:r>
      <w:r>
        <w:rPr>
          <w:color w:val="231F20"/>
          <w:spacing w:val="25"/>
        </w:rPr>
        <w:t> </w:t>
      </w:r>
      <w:r>
        <w:rPr>
          <w:color w:val="231F20"/>
        </w:rPr>
        <w:t>within</w:t>
      </w:r>
      <w:r>
        <w:rPr>
          <w:color w:val="231F20"/>
          <w:spacing w:val="25"/>
        </w:rPr>
        <w:t> </w:t>
      </w:r>
      <w:r>
        <w:rPr>
          <w:color w:val="231F20"/>
        </w:rPr>
        <w:t>a</w:t>
      </w:r>
      <w:r>
        <w:rPr>
          <w:color w:val="231F20"/>
          <w:spacing w:val="25"/>
        </w:rPr>
        <w:t> </w:t>
      </w:r>
      <w:r>
        <w:rPr>
          <w:color w:val="231F20"/>
        </w:rPr>
        <w:t>range</w:t>
      </w:r>
    </w:p>
    <w:p>
      <w:pPr>
        <w:pStyle w:val="BodyText"/>
        <w:spacing w:line="213" w:lineRule="auto" w:before="12"/>
        <w:ind w:left="2951" w:right="433"/>
      </w:pPr>
      <w:r>
        <w:rPr>
          <w:color w:val="231F20"/>
        </w:rPr>
        <w:t>Compares all values between two numbers. When you select the function, the</w:t>
      </w:r>
      <w:r>
        <w:rPr>
          <w:color w:val="231F20"/>
          <w:spacing w:val="29"/>
        </w:rPr>
        <w:t> </w:t>
      </w:r>
      <w:r>
        <w:rPr>
          <w:color w:val="231F20"/>
        </w:rPr>
        <w:t>Range</w:t>
      </w:r>
      <w:r>
        <w:rPr>
          <w:color w:val="231F20"/>
          <w:spacing w:val="29"/>
        </w:rPr>
        <w:t> </w:t>
      </w:r>
      <w:r>
        <w:rPr>
          <w:color w:val="231F20"/>
        </w:rPr>
        <w:t>Parameters</w:t>
      </w:r>
      <w:r>
        <w:rPr>
          <w:color w:val="231F20"/>
          <w:spacing w:val="29"/>
        </w:rPr>
        <w:t> </w:t>
      </w:r>
      <w:r>
        <w:rPr>
          <w:color w:val="231F20"/>
        </w:rPr>
        <w:t>window</w:t>
      </w:r>
      <w:r>
        <w:rPr>
          <w:color w:val="231F20"/>
          <w:spacing w:val="29"/>
        </w:rPr>
        <w:t> </w:t>
      </w:r>
      <w:r>
        <w:rPr>
          <w:color w:val="231F20"/>
        </w:rPr>
        <w:t>opens.</w:t>
      </w:r>
      <w:r>
        <w:rPr>
          <w:color w:val="231F20"/>
          <w:spacing w:val="29"/>
        </w:rPr>
        <w:t> </w:t>
      </w:r>
      <w:r>
        <w:rPr>
          <w:color w:val="231F20"/>
        </w:rPr>
        <w:t>Enter</w:t>
      </w:r>
      <w:r>
        <w:rPr>
          <w:color w:val="231F20"/>
          <w:spacing w:val="29"/>
        </w:rPr>
        <w:t> </w:t>
      </w:r>
      <w:r>
        <w:rPr>
          <w:color w:val="231F20"/>
        </w:rPr>
        <w:t>the</w:t>
      </w:r>
      <w:r>
        <w:rPr>
          <w:color w:val="231F20"/>
          <w:spacing w:val="29"/>
        </w:rPr>
        <w:t> </w:t>
      </w:r>
      <w:r>
        <w:rPr>
          <w:color w:val="231F20"/>
        </w:rPr>
        <w:t>first</w:t>
      </w:r>
      <w:r>
        <w:rPr>
          <w:color w:val="231F20"/>
          <w:spacing w:val="29"/>
        </w:rPr>
        <w:t> </w:t>
      </w:r>
      <w:r>
        <w:rPr>
          <w:color w:val="231F20"/>
        </w:rPr>
        <w:t>and</w:t>
      </w:r>
      <w:r>
        <w:rPr>
          <w:color w:val="231F20"/>
          <w:spacing w:val="29"/>
        </w:rPr>
        <w:t> </w:t>
      </w:r>
      <w:r>
        <w:rPr>
          <w:color w:val="231F20"/>
        </w:rPr>
        <w:t>last</w:t>
      </w:r>
      <w:r>
        <w:rPr>
          <w:color w:val="231F20"/>
          <w:spacing w:val="29"/>
        </w:rPr>
        <w:t> </w:t>
      </w:r>
      <w:r>
        <w:rPr>
          <w:color w:val="231F20"/>
        </w:rPr>
        <w:t>numbers</w:t>
      </w:r>
      <w:r>
        <w:rPr>
          <w:color w:val="231F20"/>
          <w:spacing w:val="29"/>
        </w:rPr>
        <w:t> </w:t>
      </w:r>
      <w:r>
        <w:rPr>
          <w:color w:val="231F20"/>
        </w:rPr>
        <w:t>in the value range. The relational operators available are == Equal and != </w:t>
      </w:r>
      <w:r>
        <w:rPr>
          <w:color w:val="231F20"/>
        </w:rPr>
        <w:t>Not</w:t>
      </w:r>
      <w:r>
        <w:rPr>
          <w:color w:val="231F20"/>
          <w:spacing w:val="40"/>
        </w:rPr>
        <w:t> </w:t>
      </w:r>
      <w:r>
        <w:rPr>
          <w:color w:val="231F20"/>
          <w:spacing w:val="-2"/>
        </w:rPr>
        <w:t>Equal.</w:t>
      </w:r>
    </w:p>
    <w:p>
      <w:pPr>
        <w:spacing w:line="213" w:lineRule="auto" w:before="117"/>
        <w:ind w:left="2951" w:right="545" w:hanging="1"/>
        <w:jc w:val="left"/>
        <w:rPr>
          <w:sz w:val="20"/>
        </w:rPr>
      </w:pPr>
      <w:r>
        <w:rPr>
          <w:position w:val="-3"/>
        </w:rPr>
        <w:drawing>
          <wp:inline distT="0" distB="0" distL="0" distR="0">
            <wp:extent cx="106135" cy="106135"/>
            <wp:effectExtent l="0" t="0" r="0" b="0"/>
            <wp:docPr id="3352" name="Image 3352"/>
            <wp:cNvGraphicFramePr>
              <a:graphicFrameLocks/>
            </wp:cNvGraphicFramePr>
            <a:graphic>
              <a:graphicData uri="http://schemas.openxmlformats.org/drawingml/2006/picture">
                <pic:pic>
                  <pic:nvPicPr>
                    <pic:cNvPr id="3352" name="Image 3352"/>
                    <pic:cNvPicPr/>
                  </pic:nvPicPr>
                  <pic:blipFill>
                    <a:blip r:embed="rId120" cstate="print"/>
                    <a:stretch>
                      <a:fillRect/>
                    </a:stretch>
                  </pic:blipFill>
                  <pic:spPr>
                    <a:xfrm>
                      <a:off x="0" y="0"/>
                      <a:ext cx="106135" cy="106135"/>
                    </a:xfrm>
                    <a:prstGeom prst="rect">
                      <a:avLst/>
                    </a:prstGeom>
                  </pic:spPr>
                </pic:pic>
              </a:graphicData>
            </a:graphic>
          </wp:inline>
        </w:drawing>
      </w:r>
      <w:r>
        <w:rPr>
          <w:position w:val="-3"/>
        </w:rPr>
      </w:r>
      <w:r>
        <w:rPr>
          <w:rFonts w:ascii="Times New Roman"/>
          <w:spacing w:val="80"/>
          <w:sz w:val="20"/>
        </w:rPr>
        <w:t> </w:t>
      </w:r>
      <w:r>
        <w:rPr>
          <w:rFonts w:ascii="Book Antiqua"/>
          <w:b/>
          <w:color w:val="231F20"/>
          <w:sz w:val="20"/>
        </w:rPr>
        <w:t>Exclude</w:t>
      </w:r>
      <w:r>
        <w:rPr>
          <w:rFonts w:ascii="Book Antiqua"/>
          <w:b/>
          <w:color w:val="231F20"/>
          <w:spacing w:val="32"/>
          <w:sz w:val="20"/>
        </w:rPr>
        <w:t> </w:t>
      </w:r>
      <w:r>
        <w:rPr>
          <w:rFonts w:ascii="Book Antiqua"/>
          <w:b/>
          <w:color w:val="231F20"/>
          <w:sz w:val="20"/>
        </w:rPr>
        <w:t>range</w:t>
      </w:r>
      <w:r>
        <w:rPr>
          <w:rFonts w:ascii="Book Antiqua"/>
          <w:b/>
          <w:color w:val="231F20"/>
          <w:spacing w:val="32"/>
          <w:sz w:val="20"/>
        </w:rPr>
        <w:t> </w:t>
      </w:r>
      <w:r>
        <w:rPr>
          <w:rFonts w:ascii="Book Antiqua"/>
          <w:b/>
          <w:color w:val="231F20"/>
          <w:sz w:val="20"/>
        </w:rPr>
        <w:t>start/end</w:t>
      </w:r>
      <w:r>
        <w:rPr>
          <w:rFonts w:ascii="Book Antiqua"/>
          <w:b/>
          <w:color w:val="231F20"/>
          <w:spacing w:val="32"/>
          <w:sz w:val="20"/>
        </w:rPr>
        <w:t> </w:t>
      </w:r>
      <w:r>
        <w:rPr>
          <w:rFonts w:ascii="Book Antiqua"/>
          <w:b/>
          <w:color w:val="231F20"/>
          <w:sz w:val="20"/>
        </w:rPr>
        <w:t>from</w:t>
      </w:r>
      <w:r>
        <w:rPr>
          <w:rFonts w:ascii="Book Antiqua"/>
          <w:b/>
          <w:color w:val="231F20"/>
          <w:spacing w:val="32"/>
          <w:sz w:val="20"/>
        </w:rPr>
        <w:t> </w:t>
      </w:r>
      <w:r>
        <w:rPr>
          <w:rFonts w:ascii="Book Antiqua"/>
          <w:b/>
          <w:color w:val="231F20"/>
          <w:sz w:val="20"/>
        </w:rPr>
        <w:t>evaluation</w:t>
      </w:r>
      <w:r>
        <w:rPr>
          <w:color w:val="231F20"/>
          <w:sz w:val="20"/>
        </w:rPr>
        <w:t>,</w:t>
      </w:r>
      <w:r>
        <w:rPr>
          <w:color w:val="231F20"/>
          <w:spacing w:val="32"/>
          <w:sz w:val="20"/>
        </w:rPr>
        <w:t> </w:t>
      </w:r>
      <w:r>
        <w:rPr>
          <w:color w:val="231F20"/>
          <w:sz w:val="20"/>
        </w:rPr>
        <w:t>when</w:t>
      </w:r>
      <w:r>
        <w:rPr>
          <w:color w:val="231F20"/>
          <w:spacing w:val="32"/>
          <w:sz w:val="20"/>
        </w:rPr>
        <w:t> </w:t>
      </w:r>
      <w:r>
        <w:rPr>
          <w:color w:val="231F20"/>
          <w:sz w:val="20"/>
        </w:rPr>
        <w:t>left</w:t>
      </w:r>
      <w:r>
        <w:rPr>
          <w:color w:val="231F20"/>
          <w:spacing w:val="32"/>
          <w:sz w:val="20"/>
        </w:rPr>
        <w:t> </w:t>
      </w:r>
      <w:r>
        <w:rPr>
          <w:color w:val="231F20"/>
          <w:sz w:val="20"/>
        </w:rPr>
        <w:t>unchecked, includes the values entered in the range. The expression ends with 0 if </w:t>
      </w:r>
      <w:r>
        <w:rPr>
          <w:color w:val="231F20"/>
          <w:sz w:val="20"/>
        </w:rPr>
        <w:t>this</w:t>
      </w:r>
      <w:r>
        <w:rPr>
          <w:color w:val="231F20"/>
          <w:spacing w:val="80"/>
          <w:sz w:val="20"/>
        </w:rPr>
        <w:t> </w:t>
      </w:r>
      <w:r>
        <w:rPr>
          <w:color w:val="231F20"/>
          <w:sz w:val="20"/>
        </w:rPr>
        <w:t>is left unchecked; 1 if it is checked (see example).</w:t>
      </w:r>
    </w:p>
    <w:p>
      <w:pPr>
        <w:spacing w:after="0" w:line="213" w:lineRule="auto"/>
        <w:jc w:val="left"/>
        <w:rPr>
          <w:sz w:val="20"/>
        </w:rPr>
        <w:sectPr>
          <w:type w:val="continuous"/>
          <w:pgSz w:w="12240" w:h="15840"/>
          <w:pgMar w:header="0" w:footer="736" w:top="0" w:bottom="4660" w:left="1000" w:right="1060"/>
        </w:sectPr>
      </w:pPr>
    </w:p>
    <w:p>
      <w:pPr>
        <w:pStyle w:val="Heading6"/>
        <w:spacing w:before="83"/>
      </w:pPr>
      <w:bookmarkStart w:name="_bookmark324" w:id="671"/>
      <w:bookmarkEnd w:id="671"/>
      <w:r>
        <w:rPr>
          <w:b w:val="0"/>
        </w:rPr>
      </w:r>
      <w:r>
        <w:rPr>
          <w:color w:val="231F20"/>
          <w:spacing w:val="-2"/>
        </w:rPr>
        <w:t>Example</w:t>
      </w:r>
    </w:p>
    <w:p>
      <w:pPr>
        <w:pStyle w:val="BodyText"/>
        <w:spacing w:line="258" w:lineRule="exact"/>
        <w:ind w:left="3190"/>
      </w:pPr>
      <w:r>
        <w:rPr>
          <w:color w:val="231F20"/>
        </w:rPr>
        <w:t>The</w:t>
      </w:r>
      <w:r>
        <w:rPr>
          <w:color w:val="231F20"/>
          <w:spacing w:val="11"/>
        </w:rPr>
        <w:t> </w:t>
      </w:r>
      <w:r>
        <w:rPr>
          <w:color w:val="231F20"/>
        </w:rPr>
        <w:t>comparison</w:t>
      </w:r>
      <w:r>
        <w:rPr>
          <w:color w:val="231F20"/>
          <w:spacing w:val="12"/>
        </w:rPr>
        <w:t> </w:t>
      </w:r>
      <w:r>
        <w:rPr>
          <w:color w:val="231F20"/>
        </w:rPr>
        <w:t>is</w:t>
      </w:r>
      <w:r>
        <w:rPr>
          <w:color w:val="231F20"/>
          <w:spacing w:val="12"/>
        </w:rPr>
        <w:t> </w:t>
      </w:r>
      <w:r>
        <w:rPr>
          <w:color w:val="231F20"/>
        </w:rPr>
        <w:t>true</w:t>
      </w:r>
      <w:r>
        <w:rPr>
          <w:color w:val="231F20"/>
          <w:spacing w:val="11"/>
        </w:rPr>
        <w:t> </w:t>
      </w:r>
      <w:r>
        <w:rPr>
          <w:color w:val="231F20"/>
        </w:rPr>
        <w:t>if</w:t>
      </w:r>
      <w:r>
        <w:rPr>
          <w:color w:val="231F20"/>
          <w:spacing w:val="12"/>
        </w:rPr>
        <w:t> </w:t>
      </w:r>
      <w:r>
        <w:rPr>
          <w:color w:val="231F20"/>
        </w:rPr>
        <w:t>Copy</w:t>
      </w:r>
      <w:r>
        <w:rPr>
          <w:color w:val="231F20"/>
          <w:spacing w:val="12"/>
        </w:rPr>
        <w:t> </w:t>
      </w:r>
      <w:r>
        <w:rPr>
          <w:color w:val="231F20"/>
        </w:rPr>
        <w:t>Read</w:t>
      </w:r>
      <w:r>
        <w:rPr>
          <w:color w:val="231F20"/>
          <w:spacing w:val="12"/>
        </w:rPr>
        <w:t> </w:t>
      </w:r>
      <w:r>
        <w:rPr>
          <w:color w:val="231F20"/>
        </w:rPr>
        <w:t>Hits</w:t>
      </w:r>
      <w:r>
        <w:rPr>
          <w:color w:val="231F20"/>
          <w:spacing w:val="11"/>
        </w:rPr>
        <w:t> </w:t>
      </w:r>
      <w:r>
        <w:rPr>
          <w:color w:val="231F20"/>
        </w:rPr>
        <w:t>is</w:t>
      </w:r>
      <w:r>
        <w:rPr>
          <w:color w:val="231F20"/>
          <w:spacing w:val="12"/>
        </w:rPr>
        <w:t> </w:t>
      </w:r>
      <w:r>
        <w:rPr>
          <w:color w:val="231F20"/>
        </w:rPr>
        <w:t>between</w:t>
      </w:r>
      <w:r>
        <w:rPr>
          <w:color w:val="231F20"/>
          <w:spacing w:val="12"/>
        </w:rPr>
        <w:t> </w:t>
      </w:r>
      <w:r>
        <w:rPr>
          <w:color w:val="231F20"/>
        </w:rPr>
        <w:t>50%</w:t>
      </w:r>
      <w:r>
        <w:rPr>
          <w:color w:val="231F20"/>
          <w:spacing w:val="12"/>
        </w:rPr>
        <w:t> </w:t>
      </w:r>
      <w:r>
        <w:rPr>
          <w:color w:val="231F20"/>
        </w:rPr>
        <w:t>and</w:t>
      </w:r>
      <w:r>
        <w:rPr>
          <w:color w:val="231F20"/>
          <w:spacing w:val="11"/>
        </w:rPr>
        <w:t> </w:t>
      </w:r>
      <w:r>
        <w:rPr>
          <w:color w:val="231F20"/>
          <w:spacing w:val="-4"/>
        </w:rPr>
        <w:t>60%.</w:t>
      </w:r>
    </w:p>
    <w:p>
      <w:pPr>
        <w:spacing w:before="56"/>
        <w:ind w:left="3190" w:right="0" w:firstLine="0"/>
        <w:jc w:val="left"/>
        <w:rPr>
          <w:rFonts w:ascii="Arial"/>
          <w:sz w:val="18"/>
        </w:rPr>
      </w:pPr>
      <w:r>
        <w:rPr>
          <w:rFonts w:ascii="Arial"/>
          <w:color w:val="231F20"/>
          <w:w w:val="90"/>
          <w:sz w:val="18"/>
        </w:rPr>
        <w:t>BETWEEN</w:t>
      </w:r>
      <w:r>
        <w:rPr>
          <w:rFonts w:ascii="Arial"/>
          <w:color w:val="231F20"/>
          <w:spacing w:val="14"/>
          <w:sz w:val="18"/>
        </w:rPr>
        <w:t> </w:t>
      </w:r>
      <w:r>
        <w:rPr>
          <w:rFonts w:ascii="Arial"/>
          <w:color w:val="231F20"/>
          <w:w w:val="90"/>
          <w:sz w:val="18"/>
        </w:rPr>
        <w:t>(Copy</w:t>
      </w:r>
      <w:r>
        <w:rPr>
          <w:rFonts w:ascii="Arial"/>
          <w:color w:val="231F20"/>
          <w:spacing w:val="15"/>
          <w:sz w:val="18"/>
        </w:rPr>
        <w:t> </w:t>
      </w:r>
      <w:r>
        <w:rPr>
          <w:rFonts w:ascii="Arial"/>
          <w:color w:val="231F20"/>
          <w:w w:val="90"/>
          <w:sz w:val="18"/>
        </w:rPr>
        <w:t>Read</w:t>
      </w:r>
      <w:r>
        <w:rPr>
          <w:rFonts w:ascii="Arial"/>
          <w:color w:val="231F20"/>
          <w:spacing w:val="14"/>
          <w:sz w:val="18"/>
        </w:rPr>
        <w:t> </w:t>
      </w:r>
      <w:r>
        <w:rPr>
          <w:rFonts w:ascii="Arial"/>
          <w:color w:val="231F20"/>
          <w:w w:val="90"/>
          <w:sz w:val="18"/>
        </w:rPr>
        <w:t>Hits</w:t>
      </w:r>
      <w:r>
        <w:rPr>
          <w:rFonts w:ascii="Arial"/>
          <w:color w:val="231F20"/>
          <w:spacing w:val="15"/>
          <w:sz w:val="18"/>
        </w:rPr>
        <w:t> </w:t>
      </w:r>
      <w:r>
        <w:rPr>
          <w:rFonts w:ascii="Arial"/>
          <w:color w:val="231F20"/>
          <w:w w:val="90"/>
          <w:sz w:val="18"/>
        </w:rPr>
        <w:t>%)</w:t>
      </w:r>
      <w:r>
        <w:rPr>
          <w:rFonts w:ascii="Arial"/>
          <w:color w:val="231F20"/>
          <w:spacing w:val="14"/>
          <w:sz w:val="18"/>
        </w:rPr>
        <w:t> </w:t>
      </w:r>
      <w:r>
        <w:rPr>
          <w:rFonts w:ascii="Arial"/>
          <w:color w:val="231F20"/>
          <w:w w:val="90"/>
          <w:sz w:val="18"/>
        </w:rPr>
        <w:t>==</w:t>
      </w:r>
      <w:r>
        <w:rPr>
          <w:rFonts w:ascii="Arial"/>
          <w:color w:val="231F20"/>
          <w:spacing w:val="15"/>
          <w:sz w:val="18"/>
        </w:rPr>
        <w:t> </w:t>
      </w:r>
      <w:r>
        <w:rPr>
          <w:rFonts w:ascii="Arial"/>
          <w:color w:val="231F20"/>
          <w:spacing w:val="-2"/>
          <w:w w:val="90"/>
          <w:sz w:val="18"/>
        </w:rPr>
        <w:t>50,60,1</w:t>
      </w:r>
    </w:p>
    <w:p>
      <w:pPr>
        <w:pStyle w:val="Heading6"/>
        <w:spacing w:before="128"/>
      </w:pPr>
      <w:r>
        <w:rPr>
          <w:color w:val="231F20"/>
        </w:rPr>
        <w:t>Hexadecimal</w:t>
      </w:r>
      <w:r>
        <w:rPr>
          <w:color w:val="231F20"/>
          <w:spacing w:val="4"/>
        </w:rPr>
        <w:t> </w:t>
      </w:r>
      <w:r>
        <w:rPr>
          <w:color w:val="231F20"/>
          <w:spacing w:val="-2"/>
        </w:rPr>
        <w:t>numbers</w:t>
      </w:r>
    </w:p>
    <w:p>
      <w:pPr>
        <w:pStyle w:val="BodyText"/>
        <w:spacing w:line="213" w:lineRule="auto" w:before="11"/>
        <w:ind w:left="3190" w:right="274"/>
      </w:pPr>
      <w:r>
        <w:rPr>
          <w:color w:val="231F20"/>
        </w:rPr>
        <w:t>When entering a hexadecimal value in a cell, prefix the number with </w:t>
      </w:r>
      <w:r>
        <w:rPr>
          <w:color w:val="231F20"/>
        </w:rPr>
        <w:t>zero and the letter “x”, as in 0x123ab for hex value 123ab.</w:t>
      </w:r>
    </w:p>
    <w:p>
      <w:pPr>
        <w:pStyle w:val="Heading3"/>
        <w:spacing w:before="218"/>
        <w:ind w:left="1574"/>
      </w:pPr>
      <w:bookmarkStart w:name="CHANGE: Change in value" w:id="672"/>
      <w:bookmarkEnd w:id="672"/>
      <w:r>
        <w:rPr>
          <w:b w:val="0"/>
        </w:rPr>
      </w:r>
      <w:r>
        <w:rPr>
          <w:color w:val="231F20"/>
        </w:rPr>
        <w:t>CHANGE:</w:t>
      </w:r>
      <w:r>
        <w:rPr>
          <w:color w:val="231F20"/>
          <w:spacing w:val="6"/>
        </w:rPr>
        <w:t> </w:t>
      </w:r>
      <w:r>
        <w:rPr>
          <w:color w:val="231F20"/>
        </w:rPr>
        <w:t>Change</w:t>
      </w:r>
      <w:r>
        <w:rPr>
          <w:color w:val="231F20"/>
          <w:spacing w:val="6"/>
        </w:rPr>
        <w:t> </w:t>
      </w:r>
      <w:r>
        <w:rPr>
          <w:color w:val="231F20"/>
        </w:rPr>
        <w:t>in</w:t>
      </w:r>
      <w:r>
        <w:rPr>
          <w:color w:val="231F20"/>
          <w:spacing w:val="7"/>
        </w:rPr>
        <w:t> </w:t>
      </w:r>
      <w:r>
        <w:rPr>
          <w:color w:val="231F20"/>
          <w:spacing w:val="-2"/>
        </w:rPr>
        <w:t>value</w:t>
      </w:r>
    </w:p>
    <w:p>
      <w:pPr>
        <w:pStyle w:val="BodyText"/>
        <w:spacing w:line="213" w:lineRule="auto" w:before="58"/>
        <w:ind w:left="2472" w:right="385"/>
      </w:pPr>
      <w:r>
        <w:rPr>
          <w:color w:val="231F20"/>
        </w:rPr>
        <w:t>Use the CHANGE formula function in a situation to compare the change </w:t>
      </w:r>
      <w:r>
        <w:rPr>
          <w:color w:val="231F20"/>
        </w:rPr>
        <w:t>between the value of the current data sample and the previous sample.</w:t>
      </w:r>
    </w:p>
    <w:p>
      <w:pPr>
        <w:pStyle w:val="Heading6"/>
        <w:spacing w:before="197"/>
        <w:ind w:left="2532"/>
      </w:pPr>
      <w:r>
        <w:rPr>
          <w:b w:val="0"/>
          <w:position w:val="6"/>
        </w:rPr>
        <w:drawing>
          <wp:inline distT="0" distB="0" distL="0" distR="0">
            <wp:extent cx="76200" cy="60959"/>
            <wp:effectExtent l="0" t="0" r="0" b="0"/>
            <wp:docPr id="3353" name="Image 3353"/>
            <wp:cNvGraphicFramePr>
              <a:graphicFrameLocks/>
            </wp:cNvGraphicFramePr>
            <a:graphic>
              <a:graphicData uri="http://schemas.openxmlformats.org/drawingml/2006/picture">
                <pic:pic>
                  <pic:nvPicPr>
                    <pic:cNvPr id="3353" name="Image 3353"/>
                    <pic:cNvPicPr/>
                  </pic:nvPicPr>
                  <pic:blipFill>
                    <a:blip r:embed="rId483" cstate="print"/>
                    <a:stretch>
                      <a:fillRect/>
                    </a:stretch>
                  </pic:blipFill>
                  <pic:spPr>
                    <a:xfrm>
                      <a:off x="0" y="0"/>
                      <a:ext cx="76200" cy="60959"/>
                    </a:xfrm>
                    <a:prstGeom prst="rect">
                      <a:avLst/>
                    </a:prstGeom>
                  </pic:spPr>
                </pic:pic>
              </a:graphicData>
            </a:graphic>
          </wp:inline>
        </w:drawing>
      </w:r>
      <w:r>
        <w:rPr>
          <w:b w:val="0"/>
          <w:position w:val="6"/>
        </w:rPr>
      </w:r>
      <w:r>
        <w:rPr>
          <w:rFonts w:ascii="Times New Roman"/>
          <w:b w:val="0"/>
          <w:spacing w:val="80"/>
          <w:w w:val="150"/>
        </w:rPr>
        <w:t> </w:t>
      </w:r>
      <w:r>
        <w:rPr>
          <w:color w:val="231F20"/>
        </w:rPr>
        <w:t>Change</w:t>
      </w:r>
      <w:r>
        <w:rPr>
          <w:color w:val="231F20"/>
          <w:spacing w:val="40"/>
        </w:rPr>
        <w:t> </w:t>
      </w:r>
      <w:r>
        <w:rPr>
          <w:color w:val="231F20"/>
        </w:rPr>
        <w:t>in</w:t>
      </w:r>
      <w:r>
        <w:rPr>
          <w:color w:val="231F20"/>
          <w:spacing w:val="40"/>
        </w:rPr>
        <w:t> </w:t>
      </w:r>
      <w:r>
        <w:rPr>
          <w:color w:val="231F20"/>
        </w:rPr>
        <w:t>value</w:t>
      </w:r>
    </w:p>
    <w:p>
      <w:pPr>
        <w:pStyle w:val="BodyText"/>
        <w:spacing w:line="213" w:lineRule="auto" w:before="11"/>
        <w:ind w:left="3190" w:right="385"/>
      </w:pPr>
      <w:r>
        <w:rPr>
          <w:color w:val="231F20"/>
        </w:rPr>
        <w:t>The CHANGE function takes the amount of change between the </w:t>
      </w:r>
      <w:r>
        <w:rPr>
          <w:color w:val="231F20"/>
        </w:rPr>
        <w:t>sampled value of the attribute and the previous value, then compares it with the value you enter here. If the result meets the comparison, the situation is true. Valid values are numeric integers.</w:t>
      </w:r>
    </w:p>
    <w:p>
      <w:pPr>
        <w:pStyle w:val="Heading6"/>
        <w:spacing w:before="116"/>
      </w:pPr>
      <w:r>
        <w:rPr>
          <w:color w:val="231F20"/>
          <w:spacing w:val="-2"/>
        </w:rPr>
        <w:t>Example</w:t>
      </w:r>
    </w:p>
    <w:p>
      <w:pPr>
        <w:pStyle w:val="BodyText"/>
        <w:spacing w:line="213" w:lineRule="auto" w:before="11"/>
        <w:ind w:left="3190" w:right="385"/>
      </w:pPr>
      <w:r>
        <w:rPr>
          <w:color w:val="231F20"/>
        </w:rPr>
        <w:t>In the following example, the situation becomes true if the Virtual Bytes have increased by at least 100 bytes since the last data sampling. During</w:t>
      </w:r>
      <w:r>
        <w:rPr>
          <w:color w:val="231F20"/>
          <w:spacing w:val="40"/>
        </w:rPr>
        <w:t> </w:t>
      </w:r>
      <w:r>
        <w:rPr>
          <w:color w:val="231F20"/>
        </w:rPr>
        <w:t>the first monitor iteration the value of Virtual Bytes is 200 and during </w:t>
      </w:r>
      <w:r>
        <w:rPr>
          <w:color w:val="231F20"/>
        </w:rPr>
        <w:t>the second iteration the value is 500, which is an increase of 300 between samples, thus the situation is true.</w:t>
      </w:r>
    </w:p>
    <w:p>
      <w:pPr>
        <w:spacing w:before="60"/>
        <w:ind w:left="3190" w:right="0" w:firstLine="0"/>
        <w:jc w:val="left"/>
        <w:rPr>
          <w:rFonts w:ascii="Arial"/>
          <w:sz w:val="18"/>
        </w:rPr>
      </w:pPr>
      <w:r>
        <w:rPr>
          <w:rFonts w:ascii="Arial"/>
          <w:color w:val="231F20"/>
          <w:sz w:val="18"/>
        </w:rPr>
        <w:t>CHANGE</w:t>
      </w:r>
      <w:r>
        <w:rPr>
          <w:rFonts w:ascii="Arial"/>
          <w:color w:val="231F20"/>
          <w:spacing w:val="14"/>
          <w:sz w:val="18"/>
        </w:rPr>
        <w:t> </w:t>
      </w:r>
      <w:r>
        <w:rPr>
          <w:rFonts w:ascii="Arial"/>
          <w:color w:val="231F20"/>
          <w:sz w:val="18"/>
        </w:rPr>
        <w:t>(Virtual</w:t>
      </w:r>
      <w:r>
        <w:rPr>
          <w:rFonts w:ascii="Arial"/>
          <w:color w:val="231F20"/>
          <w:spacing w:val="15"/>
          <w:sz w:val="18"/>
        </w:rPr>
        <w:t> </w:t>
      </w:r>
      <w:r>
        <w:rPr>
          <w:rFonts w:ascii="Arial"/>
          <w:color w:val="231F20"/>
          <w:sz w:val="18"/>
        </w:rPr>
        <w:t>Bytes)</w:t>
      </w:r>
      <w:r>
        <w:rPr>
          <w:rFonts w:ascii="Arial"/>
          <w:color w:val="231F20"/>
          <w:spacing w:val="15"/>
          <w:sz w:val="18"/>
        </w:rPr>
        <w:t> </w:t>
      </w:r>
      <w:r>
        <w:rPr>
          <w:rFonts w:ascii="Arial"/>
          <w:color w:val="231F20"/>
          <w:sz w:val="18"/>
        </w:rPr>
        <w:t>&gt;=</w:t>
      </w:r>
      <w:r>
        <w:rPr>
          <w:rFonts w:ascii="Arial"/>
          <w:color w:val="231F20"/>
          <w:spacing w:val="15"/>
          <w:sz w:val="18"/>
        </w:rPr>
        <w:t> </w:t>
      </w:r>
      <w:r>
        <w:rPr>
          <w:rFonts w:ascii="Arial"/>
          <w:color w:val="231F20"/>
          <w:spacing w:val="-5"/>
          <w:sz w:val="18"/>
        </w:rPr>
        <w:t>100</w:t>
      </w:r>
    </w:p>
    <w:p>
      <w:pPr>
        <w:pStyle w:val="Heading6"/>
        <w:spacing w:before="128"/>
      </w:pPr>
      <w:r>
        <w:rPr>
          <w:color w:val="231F20"/>
          <w:spacing w:val="-2"/>
        </w:rPr>
        <w:t>Restrictions</w:t>
      </w:r>
    </w:p>
    <w:p>
      <w:pPr>
        <w:pStyle w:val="BodyText"/>
        <w:spacing w:line="258" w:lineRule="exact"/>
        <w:ind w:left="3190"/>
      </w:pPr>
      <w:r>
        <w:rPr>
          <w:color w:val="231F20"/>
        </w:rPr>
        <w:t>You</w:t>
      </w:r>
      <w:r>
        <w:rPr>
          <w:color w:val="231F20"/>
          <w:spacing w:val="9"/>
        </w:rPr>
        <w:t> </w:t>
      </w:r>
      <w:r>
        <w:rPr>
          <w:color w:val="231F20"/>
        </w:rPr>
        <w:t>can</w:t>
      </w:r>
      <w:r>
        <w:rPr>
          <w:color w:val="231F20"/>
          <w:spacing w:val="10"/>
        </w:rPr>
        <w:t> </w:t>
      </w:r>
      <w:r>
        <w:rPr>
          <w:color w:val="231F20"/>
        </w:rPr>
        <w:t>have</w:t>
      </w:r>
      <w:r>
        <w:rPr>
          <w:color w:val="231F20"/>
          <w:spacing w:val="10"/>
        </w:rPr>
        <w:t> </w:t>
      </w:r>
      <w:r>
        <w:rPr>
          <w:color w:val="231F20"/>
        </w:rPr>
        <w:t>only</w:t>
      </w:r>
      <w:r>
        <w:rPr>
          <w:color w:val="231F20"/>
          <w:spacing w:val="9"/>
        </w:rPr>
        <w:t> </w:t>
      </w:r>
      <w:r>
        <w:rPr>
          <w:color w:val="231F20"/>
        </w:rPr>
        <w:t>one</w:t>
      </w:r>
      <w:r>
        <w:rPr>
          <w:color w:val="231F20"/>
          <w:spacing w:val="10"/>
        </w:rPr>
        <w:t> </w:t>
      </w:r>
      <w:r>
        <w:rPr>
          <w:color w:val="231F20"/>
        </w:rPr>
        <w:t>CHANGE</w:t>
      </w:r>
      <w:r>
        <w:rPr>
          <w:color w:val="231F20"/>
          <w:spacing w:val="10"/>
        </w:rPr>
        <w:t> </w:t>
      </w:r>
      <w:r>
        <w:rPr>
          <w:color w:val="231F20"/>
        </w:rPr>
        <w:t>function</w:t>
      </w:r>
      <w:r>
        <w:rPr>
          <w:color w:val="231F20"/>
          <w:spacing w:val="10"/>
        </w:rPr>
        <w:t> </w:t>
      </w:r>
      <w:r>
        <w:rPr>
          <w:color w:val="231F20"/>
        </w:rPr>
        <w:t>in</w:t>
      </w:r>
      <w:r>
        <w:rPr>
          <w:color w:val="231F20"/>
          <w:spacing w:val="9"/>
        </w:rPr>
        <w:t> </w:t>
      </w:r>
      <w:r>
        <w:rPr>
          <w:color w:val="231F20"/>
        </w:rPr>
        <w:t>a</w:t>
      </w:r>
      <w:r>
        <w:rPr>
          <w:color w:val="231F20"/>
          <w:spacing w:val="10"/>
        </w:rPr>
        <w:t> </w:t>
      </w:r>
      <w:r>
        <w:rPr>
          <w:color w:val="231F20"/>
          <w:spacing w:val="-2"/>
        </w:rPr>
        <w:t>situation.</w:t>
      </w:r>
    </w:p>
    <w:p>
      <w:pPr>
        <w:pStyle w:val="BodyText"/>
        <w:spacing w:line="213" w:lineRule="auto" w:before="112"/>
        <w:ind w:left="3190"/>
      </w:pPr>
      <w:r>
        <w:rPr>
          <w:color w:val="231F20"/>
        </w:rPr>
        <w:t>The CHANGE function must be written on row 1 of the formula editor; </w:t>
      </w:r>
      <w:r>
        <w:rPr>
          <w:color w:val="231F20"/>
        </w:rPr>
        <w:t>all subsequent rows are disabled.</w:t>
      </w:r>
    </w:p>
    <w:p>
      <w:pPr>
        <w:pStyle w:val="BodyText"/>
        <w:spacing w:line="213" w:lineRule="auto" w:before="119"/>
        <w:ind w:left="3190" w:right="545"/>
      </w:pPr>
      <w:r>
        <w:rPr>
          <w:color w:val="231F20"/>
        </w:rPr>
        <w:t>You cannot combine the CHANGE function with a </w:t>
      </w:r>
      <w:r>
        <w:rPr>
          <w:color w:val="231F20"/>
        </w:rPr>
        <w:t>PCTCHANGE, MISSING or group function in a situation.</w:t>
      </w:r>
    </w:p>
    <w:p>
      <w:pPr>
        <w:pStyle w:val="BodyText"/>
        <w:spacing w:line="213" w:lineRule="auto" w:before="118"/>
        <w:ind w:left="3190" w:right="385"/>
      </w:pPr>
      <w:r>
        <w:rPr>
          <w:color w:val="231F20"/>
        </w:rPr>
        <w:t>A formula with the CHANGE function can use values from one </w:t>
      </w:r>
      <w:r>
        <w:rPr>
          <w:color w:val="231F20"/>
        </w:rPr>
        <w:t>attribute group only.</w:t>
      </w:r>
    </w:p>
    <w:p>
      <w:pPr>
        <w:pStyle w:val="BodyText"/>
        <w:spacing w:line="213" w:lineRule="auto" w:before="118"/>
        <w:ind w:left="3190" w:right="545"/>
      </w:pPr>
      <w:r>
        <w:rPr>
          <w:color w:val="231F20"/>
        </w:rPr>
        <w:t>The function list shows CHANGE for monitoring agents that are of </w:t>
      </w:r>
      <w:r>
        <w:rPr>
          <w:color w:val="231F20"/>
        </w:rPr>
        <w:t>the correct version; older versions will not display CHANGE in the list.</w:t>
      </w:r>
    </w:p>
    <w:p>
      <w:pPr>
        <w:pStyle w:val="BodyText"/>
        <w:spacing w:line="213" w:lineRule="auto" w:before="119"/>
        <w:ind w:left="3190" w:right="258"/>
      </w:pPr>
      <w:r>
        <w:rPr>
          <w:color w:val="231F20"/>
        </w:rPr>
        <w:t>If the expression that is responsible for a situation event uses this </w:t>
      </w:r>
      <w:r>
        <w:rPr>
          <w:color w:val="231F20"/>
        </w:rPr>
        <w:t>function, the event results workspace will show neither the attribute value nor the expression that should display when you hover over an initial situation </w:t>
      </w:r>
      <w:r>
        <w:rPr>
          <w:color w:val="231F20"/>
          <w:spacing w:val="-2"/>
        </w:rPr>
        <w:t>value.</w:t>
      </w:r>
    </w:p>
    <w:p>
      <w:pPr>
        <w:pStyle w:val="Heading6"/>
        <w:spacing w:before="116"/>
      </w:pPr>
      <w:r>
        <w:rPr>
          <w:color w:val="231F20"/>
        </w:rPr>
        <w:t>Hexadecimal</w:t>
      </w:r>
      <w:r>
        <w:rPr>
          <w:color w:val="231F20"/>
          <w:spacing w:val="4"/>
        </w:rPr>
        <w:t> </w:t>
      </w:r>
      <w:r>
        <w:rPr>
          <w:color w:val="231F20"/>
          <w:spacing w:val="-2"/>
        </w:rPr>
        <w:t>numbers</w:t>
      </w:r>
    </w:p>
    <w:p>
      <w:pPr>
        <w:pStyle w:val="BodyText"/>
        <w:spacing w:line="213" w:lineRule="auto" w:before="11"/>
        <w:ind w:left="3190" w:right="274"/>
      </w:pPr>
      <w:r>
        <w:rPr>
          <w:color w:val="231F20"/>
        </w:rPr>
        <w:t>When entering a hexadecimal value in a cell, prefix the number with </w:t>
      </w:r>
      <w:r>
        <w:rPr>
          <w:color w:val="231F20"/>
        </w:rPr>
        <w:t>zero </w:t>
      </w:r>
      <w:bookmarkStart w:name="DATE: Compare Date and Time" w:id="673"/>
      <w:bookmarkEnd w:id="673"/>
      <w:r>
        <w:rPr>
          <w:color w:val="231F20"/>
        </w:rPr>
        <w:t>and</w:t>
      </w:r>
      <w:r>
        <w:rPr>
          <w:color w:val="231F20"/>
        </w:rPr>
        <w:t> the letter “x”, as in 0x123ab for hex value 123ab.</w:t>
      </w:r>
    </w:p>
    <w:p>
      <w:pPr>
        <w:pStyle w:val="Heading3"/>
        <w:spacing w:before="217"/>
        <w:ind w:left="1574"/>
      </w:pPr>
      <w:r>
        <w:rPr>
          <w:color w:val="231F20"/>
        </w:rPr>
        <w:t>DATE:</w:t>
      </w:r>
      <w:r>
        <w:rPr>
          <w:color w:val="231F20"/>
          <w:spacing w:val="1"/>
        </w:rPr>
        <w:t> </w:t>
      </w:r>
      <w:r>
        <w:rPr>
          <w:color w:val="231F20"/>
        </w:rPr>
        <w:t>Compare</w:t>
      </w:r>
      <w:r>
        <w:rPr>
          <w:color w:val="231F20"/>
          <w:spacing w:val="2"/>
        </w:rPr>
        <w:t> </w:t>
      </w:r>
      <w:r>
        <w:rPr>
          <w:color w:val="231F20"/>
        </w:rPr>
        <w:t>Date</w:t>
      </w:r>
      <w:r>
        <w:rPr>
          <w:color w:val="231F20"/>
          <w:spacing w:val="2"/>
        </w:rPr>
        <w:t> </w:t>
      </w:r>
      <w:r>
        <w:rPr>
          <w:color w:val="231F20"/>
        </w:rPr>
        <w:t>and</w:t>
      </w:r>
      <w:r>
        <w:rPr>
          <w:color w:val="231F20"/>
          <w:spacing w:val="2"/>
        </w:rPr>
        <w:t> </w:t>
      </w:r>
      <w:r>
        <w:rPr>
          <w:color w:val="231F20"/>
          <w:spacing w:val="-4"/>
        </w:rPr>
        <w:t>Time</w:t>
      </w:r>
    </w:p>
    <w:p>
      <w:pPr>
        <w:pStyle w:val="BodyText"/>
        <w:spacing w:line="213" w:lineRule="auto" w:before="58"/>
        <w:ind w:left="2472" w:right="493"/>
      </w:pPr>
      <w:r>
        <w:rPr>
          <w:color w:val="231F20"/>
        </w:rPr>
        <w:t>Use the DATE formula function in a situation, query, query-based view filter, </w:t>
      </w:r>
      <w:r>
        <w:rPr>
          <w:color w:val="231F20"/>
        </w:rPr>
        <w:t>or table view threshold formula to compare the time stamp from the data sample with the value specified.</w:t>
      </w:r>
    </w:p>
    <w:p>
      <w:pPr>
        <w:pStyle w:val="Heading6"/>
      </w:pPr>
      <w:r>
        <w:rPr>
          <w:b w:val="0"/>
        </w:rPr>
        <w:drawing>
          <wp:inline distT="0" distB="0" distL="0" distR="0">
            <wp:extent cx="88900" cy="63500"/>
            <wp:effectExtent l="0" t="0" r="0" b="0"/>
            <wp:docPr id="3354" name="Image 3354"/>
            <wp:cNvGraphicFramePr>
              <a:graphicFrameLocks/>
            </wp:cNvGraphicFramePr>
            <a:graphic>
              <a:graphicData uri="http://schemas.openxmlformats.org/drawingml/2006/picture">
                <pic:pic>
                  <pic:nvPicPr>
                    <pic:cNvPr id="3354" name="Image 3354"/>
                    <pic:cNvPicPr/>
                  </pic:nvPicPr>
                  <pic:blipFill>
                    <a:blip r:embed="rId156" cstate="print"/>
                    <a:stretch>
                      <a:fillRect/>
                    </a:stretch>
                  </pic:blipFill>
                  <pic:spPr>
                    <a:xfrm>
                      <a:off x="0" y="0"/>
                      <a:ext cx="88900" cy="63500"/>
                    </a:xfrm>
                    <a:prstGeom prst="rect">
                      <a:avLst/>
                    </a:prstGeom>
                  </pic:spPr>
                </pic:pic>
              </a:graphicData>
            </a:graphic>
          </wp:inline>
        </w:drawing>
      </w:r>
      <w:r>
        <w:rPr>
          <w:b w:val="0"/>
        </w:rPr>
      </w:r>
      <w:r>
        <w:rPr>
          <w:rFonts w:ascii="Times New Roman"/>
          <w:b w:val="0"/>
          <w:spacing w:val="40"/>
        </w:rPr>
        <w:t> </w:t>
      </w:r>
      <w:r>
        <w:rPr>
          <w:color w:val="231F20"/>
        </w:rPr>
        <w:t>Compare date/time</w:t>
      </w:r>
    </w:p>
    <w:p>
      <w:pPr>
        <w:pStyle w:val="BodyText"/>
        <w:spacing w:line="213" w:lineRule="auto" w:before="11"/>
        <w:ind w:left="3190"/>
      </w:pPr>
      <w:r>
        <w:rPr>
          <w:color w:val="231F20"/>
        </w:rPr>
        <w:t>This is the default function for time attributes. It compares the </w:t>
      </w:r>
      <w:r>
        <w:rPr>
          <w:color w:val="231F20"/>
        </w:rPr>
        <w:t>Timestamp value from the data sampling with the value entered here.</w:t>
      </w:r>
    </w:p>
    <w:p>
      <w:pPr>
        <w:spacing w:after="0" w:line="213" w:lineRule="auto"/>
        <w:sectPr>
          <w:pgSz w:w="12240" w:h="15840"/>
          <w:pgMar w:header="0" w:footer="736" w:top="1180" w:bottom="920" w:left="1000" w:right="1060"/>
        </w:sectPr>
      </w:pPr>
    </w:p>
    <w:p>
      <w:pPr>
        <w:pStyle w:val="BodyText"/>
        <w:spacing w:line="213" w:lineRule="auto" w:before="85"/>
        <w:ind w:left="2951" w:right="636"/>
      </w:pPr>
      <w:bookmarkStart w:name="_bookmark325" w:id="674"/>
      <w:bookmarkEnd w:id="674"/>
      <w:r>
        <w:rPr/>
      </w:r>
      <w:r>
        <w:rPr>
          <w:color w:val="231F20"/>
        </w:rPr>
        <w:t>After you select the DATE function and click inside the value cell, the</w:t>
      </w:r>
      <w:r>
        <w:rPr>
          <w:color w:val="231F20"/>
          <w:spacing w:val="40"/>
        </w:rPr>
        <w:t> </w:t>
      </w:r>
      <w:r>
        <w:rPr>
          <w:rFonts w:ascii="Book Antiqua"/>
          <w:b/>
          <w:color w:val="231F20"/>
        </w:rPr>
        <w:t>Select the Time Comparison </w:t>
      </w:r>
      <w:r>
        <w:rPr>
          <w:color w:val="231F20"/>
        </w:rPr>
        <w:t>dialog opens for selecting the exact date </w:t>
      </w:r>
      <w:r>
        <w:rPr>
          <w:color w:val="231F20"/>
        </w:rPr>
        <w:t>and time to compare. The format is the date as seen in the date columns (mm/dd/yy</w:t>
      </w:r>
      <w:r>
        <w:rPr>
          <w:color w:val="231F20"/>
          <w:spacing w:val="40"/>
        </w:rPr>
        <w:t> </w:t>
      </w:r>
      <w:r>
        <w:rPr>
          <w:color w:val="231F20"/>
        </w:rPr>
        <w:t>hh:mm:ss)</w:t>
      </w:r>
      <w:r>
        <w:rPr>
          <w:color w:val="231F20"/>
          <w:spacing w:val="40"/>
        </w:rPr>
        <w:t> </w:t>
      </w:r>
      <w:r>
        <w:rPr>
          <w:color w:val="231F20"/>
        </w:rPr>
        <w:t>or</w:t>
      </w:r>
      <w:r>
        <w:rPr>
          <w:color w:val="231F20"/>
          <w:spacing w:val="40"/>
        </w:rPr>
        <w:t> </w:t>
      </w:r>
      <w:r>
        <w:rPr>
          <w:color w:val="231F20"/>
        </w:rPr>
        <w:t>as</w:t>
      </w:r>
      <w:r>
        <w:rPr>
          <w:color w:val="231F20"/>
          <w:spacing w:val="40"/>
        </w:rPr>
        <w:t> </w:t>
      </w:r>
      <w:r>
        <w:rPr>
          <w:color w:val="231F20"/>
        </w:rPr>
        <w:t>defined</w:t>
      </w:r>
      <w:r>
        <w:rPr>
          <w:color w:val="231F20"/>
          <w:spacing w:val="40"/>
        </w:rPr>
        <w:t> </w:t>
      </w:r>
      <w:r>
        <w:rPr>
          <w:color w:val="231F20"/>
        </w:rPr>
        <w:t>for</w:t>
      </w:r>
      <w:r>
        <w:rPr>
          <w:color w:val="231F20"/>
          <w:spacing w:val="40"/>
        </w:rPr>
        <w:t> </w:t>
      </w:r>
      <w:r>
        <w:rPr>
          <w:color w:val="231F20"/>
        </w:rPr>
        <w:t>your</w:t>
      </w:r>
      <w:r>
        <w:rPr>
          <w:color w:val="231F20"/>
          <w:spacing w:val="40"/>
        </w:rPr>
        <w:t> </w:t>
      </w:r>
      <w:r>
        <w:rPr>
          <w:color w:val="231F20"/>
        </w:rPr>
        <w:t>locale.</w:t>
      </w:r>
    </w:p>
    <w:p>
      <w:pPr>
        <w:pStyle w:val="Heading6"/>
        <w:spacing w:before="115"/>
        <w:ind w:left="2232"/>
      </w:pPr>
      <w:r>
        <w:rPr>
          <w:color w:val="231F20"/>
          <w:spacing w:val="-2"/>
        </w:rPr>
        <w:t>Example</w:t>
      </w:r>
    </w:p>
    <w:p>
      <w:pPr>
        <w:pStyle w:val="BodyText"/>
        <w:spacing w:line="213" w:lineRule="auto" w:before="12"/>
        <w:ind w:left="2951" w:right="545"/>
      </w:pPr>
      <w:r>
        <w:rPr>
          <w:color w:val="231F20"/>
        </w:rPr>
        <w:t>This formula checks the Timestamp attribute value. When it matches </w:t>
      </w:r>
      <w:r>
        <w:rPr>
          <w:color w:val="231F20"/>
        </w:rPr>
        <w:t>the date set here, the comparison is true.</w:t>
      </w:r>
    </w:p>
    <w:p>
      <w:pPr>
        <w:spacing w:line="203" w:lineRule="exact" w:before="61"/>
        <w:ind w:left="2951" w:right="0" w:firstLine="0"/>
        <w:jc w:val="left"/>
        <w:rPr>
          <w:rFonts w:ascii="Arial"/>
          <w:sz w:val="18"/>
        </w:rPr>
      </w:pPr>
      <w:r>
        <w:rPr>
          <w:rFonts w:ascii="Arial"/>
          <w:color w:val="231F20"/>
          <w:spacing w:val="-2"/>
          <w:sz w:val="18"/>
        </w:rPr>
        <w:t>DATE(Timestamp)</w:t>
      </w:r>
    </w:p>
    <w:p>
      <w:pPr>
        <w:spacing w:line="203" w:lineRule="exact" w:before="0"/>
        <w:ind w:left="2951" w:right="0" w:firstLine="0"/>
        <w:jc w:val="left"/>
        <w:rPr>
          <w:rFonts w:ascii="Arial"/>
          <w:sz w:val="18"/>
        </w:rPr>
      </w:pPr>
      <w:r>
        <w:rPr>
          <w:rFonts w:ascii="Arial"/>
          <w:color w:val="231F20"/>
          <w:sz w:val="18"/>
        </w:rPr>
        <w:t>==</w:t>
      </w:r>
      <w:r>
        <w:rPr>
          <w:rFonts w:ascii="Arial"/>
          <w:color w:val="231F20"/>
          <w:spacing w:val="30"/>
          <w:sz w:val="18"/>
        </w:rPr>
        <w:t> </w:t>
      </w:r>
      <w:r>
        <w:rPr>
          <w:rFonts w:ascii="Arial"/>
          <w:color w:val="231F20"/>
          <w:sz w:val="18"/>
        </w:rPr>
        <w:t>09/30/03</w:t>
      </w:r>
      <w:r>
        <w:rPr>
          <w:rFonts w:ascii="Arial"/>
          <w:color w:val="231F20"/>
          <w:spacing w:val="30"/>
          <w:sz w:val="18"/>
        </w:rPr>
        <w:t> </w:t>
      </w:r>
      <w:r>
        <w:rPr>
          <w:rFonts w:ascii="Arial"/>
          <w:color w:val="231F20"/>
          <w:spacing w:val="-2"/>
          <w:sz w:val="18"/>
        </w:rPr>
        <w:t>23:59:00</w:t>
      </w:r>
    </w:p>
    <w:p>
      <w:pPr>
        <w:pStyle w:val="BodyText"/>
        <w:spacing w:before="21"/>
        <w:rPr>
          <w:rFonts w:ascii="Arial"/>
          <w:sz w:val="18"/>
        </w:rPr>
      </w:pPr>
    </w:p>
    <w:p>
      <w:pPr>
        <w:pStyle w:val="Heading3"/>
        <w:spacing w:before="0"/>
        <w:ind w:left="1334"/>
      </w:pPr>
      <w:bookmarkStart w:name="ISNULL: See if Null has been detected" w:id="675"/>
      <w:bookmarkEnd w:id="675"/>
      <w:r>
        <w:rPr>
          <w:b w:val="0"/>
        </w:rPr>
      </w:r>
      <w:r>
        <w:rPr>
          <w:color w:val="231F20"/>
        </w:rPr>
        <w:t>ISNULL:</w:t>
      </w:r>
      <w:r>
        <w:rPr>
          <w:color w:val="231F20"/>
          <w:spacing w:val="9"/>
        </w:rPr>
        <w:t> </w:t>
      </w:r>
      <w:r>
        <w:rPr>
          <w:color w:val="231F20"/>
        </w:rPr>
        <w:t>See</w:t>
      </w:r>
      <w:r>
        <w:rPr>
          <w:color w:val="231F20"/>
          <w:spacing w:val="9"/>
        </w:rPr>
        <w:t> </w:t>
      </w:r>
      <w:r>
        <w:rPr>
          <w:color w:val="231F20"/>
        </w:rPr>
        <w:t>if</w:t>
      </w:r>
      <w:r>
        <w:rPr>
          <w:color w:val="231F20"/>
          <w:spacing w:val="9"/>
        </w:rPr>
        <w:t> </w:t>
      </w:r>
      <w:r>
        <w:rPr>
          <w:color w:val="231F20"/>
        </w:rPr>
        <w:t>Null</w:t>
      </w:r>
      <w:r>
        <w:rPr>
          <w:color w:val="231F20"/>
          <w:spacing w:val="10"/>
        </w:rPr>
        <w:t> </w:t>
      </w:r>
      <w:r>
        <w:rPr>
          <w:color w:val="231F20"/>
        </w:rPr>
        <w:t>has</w:t>
      </w:r>
      <w:r>
        <w:rPr>
          <w:color w:val="231F20"/>
          <w:spacing w:val="9"/>
        </w:rPr>
        <w:t> </w:t>
      </w:r>
      <w:r>
        <w:rPr>
          <w:color w:val="231F20"/>
        </w:rPr>
        <w:t>been</w:t>
      </w:r>
      <w:r>
        <w:rPr>
          <w:color w:val="231F20"/>
          <w:spacing w:val="9"/>
        </w:rPr>
        <w:t> </w:t>
      </w:r>
      <w:r>
        <w:rPr>
          <w:color w:val="231F20"/>
          <w:spacing w:val="-2"/>
        </w:rPr>
        <w:t>detected</w:t>
      </w:r>
    </w:p>
    <w:p>
      <w:pPr>
        <w:pStyle w:val="BodyText"/>
        <w:spacing w:line="213" w:lineRule="auto" w:before="59"/>
        <w:ind w:left="2232" w:right="545"/>
      </w:pPr>
      <w:r>
        <w:rPr>
          <w:color w:val="231F20"/>
        </w:rPr>
        <w:t>Use the ISNULL formula function in a query-based view filter or a table </w:t>
      </w:r>
      <w:r>
        <w:rPr>
          <w:color w:val="231F20"/>
        </w:rPr>
        <w:t>view threshold to find cells that have receive no value and insert “null”.</w:t>
      </w:r>
    </w:p>
    <w:p>
      <w:pPr>
        <w:pStyle w:val="Heading6"/>
        <w:ind w:left="2232"/>
      </w:pPr>
      <w:r>
        <w:rPr>
          <w:b w:val="0"/>
        </w:rPr>
        <w:drawing>
          <wp:inline distT="0" distB="0" distL="0" distR="0">
            <wp:extent cx="63500" cy="63500"/>
            <wp:effectExtent l="0" t="0" r="0" b="0"/>
            <wp:docPr id="3355" name="Image 3355"/>
            <wp:cNvGraphicFramePr>
              <a:graphicFrameLocks/>
            </wp:cNvGraphicFramePr>
            <a:graphic>
              <a:graphicData uri="http://schemas.openxmlformats.org/drawingml/2006/picture">
                <pic:pic>
                  <pic:nvPicPr>
                    <pic:cNvPr id="3355" name="Image 3355"/>
                    <pic:cNvPicPr/>
                  </pic:nvPicPr>
                  <pic:blipFill>
                    <a:blip r:embed="rId484" cstate="print"/>
                    <a:stretch>
                      <a:fillRect/>
                    </a:stretch>
                  </pic:blipFill>
                  <pic:spPr>
                    <a:xfrm>
                      <a:off x="0" y="0"/>
                      <a:ext cx="63500" cy="63500"/>
                    </a:xfrm>
                    <a:prstGeom prst="rect">
                      <a:avLst/>
                    </a:prstGeom>
                  </pic:spPr>
                </pic:pic>
              </a:graphicData>
            </a:graphic>
          </wp:inline>
        </w:drawing>
      </w:r>
      <w:r>
        <w:rPr>
          <w:b w:val="0"/>
        </w:rPr>
      </w:r>
      <w:r>
        <w:rPr>
          <w:rFonts w:ascii="Times New Roman"/>
          <w:b w:val="0"/>
          <w:spacing w:val="76"/>
        </w:rPr>
        <w:t> </w:t>
      </w:r>
      <w:r>
        <w:rPr>
          <w:color w:val="231F20"/>
        </w:rPr>
        <w:t>See</w:t>
      </w:r>
      <w:r>
        <w:rPr>
          <w:color w:val="231F20"/>
          <w:spacing w:val="21"/>
        </w:rPr>
        <w:t> </w:t>
      </w:r>
      <w:r>
        <w:rPr>
          <w:color w:val="231F20"/>
        </w:rPr>
        <w:t>if</w:t>
      </w:r>
      <w:r>
        <w:rPr>
          <w:color w:val="231F20"/>
          <w:spacing w:val="21"/>
        </w:rPr>
        <w:t> </w:t>
      </w:r>
      <w:r>
        <w:rPr>
          <w:color w:val="231F20"/>
        </w:rPr>
        <w:t>Null</w:t>
      </w:r>
      <w:r>
        <w:rPr>
          <w:color w:val="231F20"/>
          <w:spacing w:val="21"/>
        </w:rPr>
        <w:t> </w:t>
      </w:r>
      <w:r>
        <w:rPr>
          <w:color w:val="231F20"/>
        </w:rPr>
        <w:t>(no</w:t>
      </w:r>
      <w:r>
        <w:rPr>
          <w:color w:val="231F20"/>
          <w:spacing w:val="21"/>
        </w:rPr>
        <w:t> </w:t>
      </w:r>
      <w:r>
        <w:rPr>
          <w:color w:val="231F20"/>
        </w:rPr>
        <w:t>value)</w:t>
      </w:r>
      <w:r>
        <w:rPr>
          <w:color w:val="231F20"/>
          <w:spacing w:val="21"/>
        </w:rPr>
        <w:t> </w:t>
      </w:r>
      <w:r>
        <w:rPr>
          <w:color w:val="231F20"/>
        </w:rPr>
        <w:t>has</w:t>
      </w:r>
      <w:r>
        <w:rPr>
          <w:color w:val="231F20"/>
          <w:spacing w:val="21"/>
        </w:rPr>
        <w:t> </w:t>
      </w:r>
      <w:r>
        <w:rPr>
          <w:color w:val="231F20"/>
        </w:rPr>
        <w:t>been</w:t>
      </w:r>
      <w:r>
        <w:rPr>
          <w:color w:val="231F20"/>
          <w:spacing w:val="21"/>
        </w:rPr>
        <w:t> </w:t>
      </w:r>
      <w:r>
        <w:rPr>
          <w:color w:val="231F20"/>
        </w:rPr>
        <w:t>detected</w:t>
      </w:r>
    </w:p>
    <w:p>
      <w:pPr>
        <w:pStyle w:val="BodyText"/>
        <w:spacing w:line="213" w:lineRule="auto" w:before="11"/>
        <w:ind w:left="2951" w:right="385"/>
      </w:pPr>
      <w:r>
        <w:rPr>
          <w:color w:val="231F20"/>
          <w:w w:val="105"/>
        </w:rPr>
        <w:t>Inserts</w:t>
      </w:r>
      <w:r>
        <w:rPr>
          <w:color w:val="231F20"/>
          <w:spacing w:val="-5"/>
          <w:w w:val="105"/>
        </w:rPr>
        <w:t> </w:t>
      </w:r>
      <w:r>
        <w:rPr>
          <w:rFonts w:ascii="Arial"/>
          <w:color w:val="231F20"/>
          <w:w w:val="105"/>
        </w:rPr>
        <w:t>null</w:t>
      </w:r>
      <w:r>
        <w:rPr>
          <w:rFonts w:ascii="Arial"/>
          <w:color w:val="231F20"/>
          <w:spacing w:val="-11"/>
          <w:w w:val="105"/>
        </w:rPr>
        <w:t> </w:t>
      </w:r>
      <w:r>
        <w:rPr>
          <w:color w:val="231F20"/>
          <w:w w:val="105"/>
        </w:rPr>
        <w:t>into</w:t>
      </w:r>
      <w:r>
        <w:rPr>
          <w:color w:val="231F20"/>
          <w:spacing w:val="-5"/>
          <w:w w:val="105"/>
        </w:rPr>
        <w:t> </w:t>
      </w:r>
      <w:r>
        <w:rPr>
          <w:color w:val="231F20"/>
          <w:w w:val="105"/>
        </w:rPr>
        <w:t>a</w:t>
      </w:r>
      <w:r>
        <w:rPr>
          <w:color w:val="231F20"/>
          <w:spacing w:val="-5"/>
          <w:w w:val="105"/>
        </w:rPr>
        <w:t> </w:t>
      </w:r>
      <w:r>
        <w:rPr>
          <w:color w:val="231F20"/>
          <w:w w:val="105"/>
        </w:rPr>
        <w:t>cell</w:t>
      </w:r>
      <w:r>
        <w:rPr>
          <w:color w:val="231F20"/>
          <w:spacing w:val="-5"/>
          <w:w w:val="105"/>
        </w:rPr>
        <w:t> </w:t>
      </w:r>
      <w:r>
        <w:rPr>
          <w:color w:val="231F20"/>
          <w:w w:val="105"/>
        </w:rPr>
        <w:t>that</w:t>
      </w:r>
      <w:r>
        <w:rPr>
          <w:color w:val="231F20"/>
          <w:spacing w:val="-5"/>
          <w:w w:val="105"/>
        </w:rPr>
        <w:t> </w:t>
      </w:r>
      <w:r>
        <w:rPr>
          <w:color w:val="231F20"/>
          <w:w w:val="105"/>
        </w:rPr>
        <w:t>has</w:t>
      </w:r>
      <w:r>
        <w:rPr>
          <w:color w:val="231F20"/>
          <w:spacing w:val="-5"/>
          <w:w w:val="105"/>
        </w:rPr>
        <w:t> </w:t>
      </w:r>
      <w:r>
        <w:rPr>
          <w:color w:val="231F20"/>
          <w:w w:val="105"/>
        </w:rPr>
        <w:t>received</w:t>
      </w:r>
      <w:r>
        <w:rPr>
          <w:color w:val="231F20"/>
          <w:spacing w:val="-5"/>
          <w:w w:val="105"/>
        </w:rPr>
        <w:t> </w:t>
      </w:r>
      <w:r>
        <w:rPr>
          <w:color w:val="231F20"/>
          <w:w w:val="105"/>
        </w:rPr>
        <w:t>no</w:t>
      </w:r>
      <w:r>
        <w:rPr>
          <w:color w:val="231F20"/>
          <w:spacing w:val="-5"/>
          <w:w w:val="105"/>
        </w:rPr>
        <w:t> </w:t>
      </w:r>
      <w:r>
        <w:rPr>
          <w:color w:val="231F20"/>
          <w:w w:val="105"/>
        </w:rPr>
        <w:t>value</w:t>
      </w:r>
      <w:r>
        <w:rPr>
          <w:color w:val="231F20"/>
          <w:spacing w:val="-5"/>
          <w:w w:val="105"/>
        </w:rPr>
        <w:t> </w:t>
      </w:r>
      <w:r>
        <w:rPr>
          <w:color w:val="231F20"/>
          <w:w w:val="105"/>
        </w:rPr>
        <w:t>from</w:t>
      </w:r>
      <w:r>
        <w:rPr>
          <w:color w:val="231F20"/>
          <w:spacing w:val="-5"/>
          <w:w w:val="105"/>
        </w:rPr>
        <w:t> </w:t>
      </w:r>
      <w:r>
        <w:rPr>
          <w:color w:val="231F20"/>
          <w:w w:val="105"/>
        </w:rPr>
        <w:t>the</w:t>
      </w:r>
      <w:r>
        <w:rPr>
          <w:color w:val="231F20"/>
          <w:spacing w:val="-5"/>
          <w:w w:val="105"/>
        </w:rPr>
        <w:t> </w:t>
      </w:r>
      <w:r>
        <w:rPr>
          <w:color w:val="231F20"/>
          <w:w w:val="105"/>
        </w:rPr>
        <w:t>numeric</w:t>
      </w:r>
      <w:r>
        <w:rPr>
          <w:color w:val="231F20"/>
          <w:spacing w:val="-5"/>
          <w:w w:val="105"/>
        </w:rPr>
        <w:t> </w:t>
      </w:r>
      <w:r>
        <w:rPr>
          <w:color w:val="231F20"/>
          <w:w w:val="105"/>
        </w:rPr>
        <w:t>or</w:t>
      </w:r>
      <w:r>
        <w:rPr>
          <w:color w:val="231F20"/>
          <w:spacing w:val="-5"/>
          <w:w w:val="105"/>
        </w:rPr>
        <w:t> </w:t>
      </w:r>
      <w:r>
        <w:rPr>
          <w:color w:val="231F20"/>
          <w:w w:val="105"/>
        </w:rPr>
        <w:t>text attribute</w:t>
      </w:r>
      <w:r>
        <w:rPr>
          <w:color w:val="231F20"/>
          <w:spacing w:val="-10"/>
          <w:w w:val="105"/>
        </w:rPr>
        <w:t> </w:t>
      </w:r>
      <w:r>
        <w:rPr>
          <w:color w:val="231F20"/>
          <w:w w:val="105"/>
        </w:rPr>
        <w:t>for</w:t>
      </w:r>
      <w:r>
        <w:rPr>
          <w:color w:val="231F20"/>
          <w:spacing w:val="-10"/>
          <w:w w:val="105"/>
        </w:rPr>
        <w:t> </w:t>
      </w:r>
      <w:r>
        <w:rPr>
          <w:color w:val="231F20"/>
          <w:w w:val="105"/>
        </w:rPr>
        <w:t>the</w:t>
      </w:r>
      <w:r>
        <w:rPr>
          <w:color w:val="231F20"/>
          <w:spacing w:val="-9"/>
          <w:w w:val="105"/>
        </w:rPr>
        <w:t> </w:t>
      </w:r>
      <w:r>
        <w:rPr>
          <w:color w:val="231F20"/>
          <w:w w:val="105"/>
        </w:rPr>
        <w:t>view.</w:t>
      </w:r>
      <w:r>
        <w:rPr>
          <w:color w:val="231F20"/>
          <w:spacing w:val="-10"/>
          <w:w w:val="105"/>
        </w:rPr>
        <w:t> </w:t>
      </w:r>
      <w:r>
        <w:rPr>
          <w:color w:val="231F20"/>
          <w:w w:val="105"/>
        </w:rPr>
        <w:t>In</w:t>
      </w:r>
      <w:r>
        <w:rPr>
          <w:color w:val="231F20"/>
          <w:spacing w:val="-9"/>
          <w:w w:val="105"/>
        </w:rPr>
        <w:t> </w:t>
      </w:r>
      <w:r>
        <w:rPr>
          <w:color w:val="231F20"/>
          <w:w w:val="105"/>
        </w:rPr>
        <w:t>the</w:t>
      </w:r>
      <w:r>
        <w:rPr>
          <w:color w:val="231F20"/>
          <w:spacing w:val="-10"/>
          <w:w w:val="105"/>
        </w:rPr>
        <w:t> </w:t>
      </w:r>
      <w:r>
        <w:rPr>
          <w:color w:val="231F20"/>
          <w:w w:val="105"/>
        </w:rPr>
        <w:t>Formula</w:t>
      </w:r>
      <w:r>
        <w:rPr>
          <w:color w:val="231F20"/>
          <w:spacing w:val="-10"/>
          <w:w w:val="105"/>
        </w:rPr>
        <w:t> </w:t>
      </w:r>
      <w:r>
        <w:rPr>
          <w:color w:val="231F20"/>
          <w:w w:val="105"/>
        </w:rPr>
        <w:t>editor,</w:t>
      </w:r>
      <w:r>
        <w:rPr>
          <w:color w:val="231F20"/>
          <w:spacing w:val="-9"/>
          <w:w w:val="105"/>
        </w:rPr>
        <w:t> </w:t>
      </w:r>
      <w:r>
        <w:rPr>
          <w:color w:val="231F20"/>
          <w:w w:val="105"/>
        </w:rPr>
        <w:t>the</w:t>
      </w:r>
      <w:r>
        <w:rPr>
          <w:color w:val="231F20"/>
          <w:spacing w:val="-10"/>
          <w:w w:val="105"/>
        </w:rPr>
        <w:t> </w:t>
      </w:r>
      <w:r>
        <w:rPr>
          <w:color w:val="231F20"/>
          <w:w w:val="105"/>
        </w:rPr>
        <w:t>value</w:t>
      </w:r>
      <w:r>
        <w:rPr>
          <w:color w:val="231F20"/>
          <w:spacing w:val="-9"/>
          <w:w w:val="105"/>
        </w:rPr>
        <w:t> </w:t>
      </w:r>
      <w:r>
        <w:rPr>
          <w:color w:val="231F20"/>
          <w:w w:val="105"/>
        </w:rPr>
        <w:t>shows</w:t>
      </w:r>
      <w:r>
        <w:rPr>
          <w:color w:val="231F20"/>
          <w:spacing w:val="-10"/>
          <w:w w:val="105"/>
        </w:rPr>
        <w:t> </w:t>
      </w:r>
      <w:r>
        <w:rPr>
          <w:color w:val="231F20"/>
          <w:w w:val="105"/>
        </w:rPr>
        <w:t>as</w:t>
      </w:r>
      <w:r>
        <w:rPr>
          <w:color w:val="231F20"/>
          <w:spacing w:val="-10"/>
          <w:w w:val="105"/>
        </w:rPr>
        <w:t> </w:t>
      </w:r>
      <w:r>
        <w:rPr>
          <w:color w:val="231F20"/>
          <w:w w:val="105"/>
        </w:rPr>
        <w:t>True</w:t>
      </w:r>
      <w:r>
        <w:rPr>
          <w:color w:val="231F20"/>
          <w:spacing w:val="-9"/>
          <w:w w:val="105"/>
        </w:rPr>
        <w:t> </w:t>
      </w:r>
      <w:r>
        <w:rPr>
          <w:color w:val="231F20"/>
          <w:w w:val="105"/>
        </w:rPr>
        <w:t>and the operators available are == Equal and != Not Equal.</w:t>
      </w:r>
    </w:p>
    <w:p>
      <w:pPr>
        <w:pStyle w:val="Heading6"/>
        <w:ind w:left="2232"/>
      </w:pPr>
      <w:r>
        <w:rPr>
          <w:color w:val="231F20"/>
          <w:spacing w:val="-2"/>
        </w:rPr>
        <w:t>Example</w:t>
      </w:r>
    </w:p>
    <w:p>
      <w:pPr>
        <w:pStyle w:val="BodyText"/>
        <w:spacing w:line="213" w:lineRule="auto" w:before="11"/>
        <w:ind w:left="2951" w:right="636"/>
      </w:pPr>
      <w:r>
        <w:rPr>
          <w:color w:val="231F20"/>
        </w:rPr>
        <w:t>In the Filters tab, any row that has no value in the Contents field will be</w:t>
      </w:r>
      <w:r>
        <w:rPr>
          <w:color w:val="231F20"/>
          <w:spacing w:val="40"/>
        </w:rPr>
        <w:t> </w:t>
      </w:r>
      <w:r>
        <w:rPr>
          <w:color w:val="231F20"/>
        </w:rPr>
        <w:t>excluded from the view. If, instead, this formula is written in the Thresholds tab, all cells that have a valid value in this column will be displayed with the threshold color or theshold icon.</w:t>
      </w:r>
    </w:p>
    <w:p>
      <w:pPr>
        <w:spacing w:before="60"/>
        <w:ind w:left="2951" w:right="0" w:firstLine="0"/>
        <w:jc w:val="left"/>
        <w:rPr>
          <w:rFonts w:ascii="Arial"/>
          <w:sz w:val="18"/>
        </w:rPr>
      </w:pPr>
      <w:r>
        <w:rPr>
          <w:rFonts w:ascii="Arial"/>
          <w:color w:val="231F20"/>
          <w:sz w:val="18"/>
        </w:rPr>
        <w:t>ISNULL(Contents)</w:t>
      </w:r>
      <w:r>
        <w:rPr>
          <w:rFonts w:ascii="Arial"/>
          <w:color w:val="231F20"/>
          <w:spacing w:val="28"/>
          <w:sz w:val="18"/>
        </w:rPr>
        <w:t> </w:t>
      </w:r>
      <w:r>
        <w:rPr>
          <w:rFonts w:ascii="Arial"/>
          <w:color w:val="231F20"/>
          <w:sz w:val="18"/>
        </w:rPr>
        <w:t>!=</w:t>
      </w:r>
      <w:r>
        <w:rPr>
          <w:rFonts w:ascii="Arial"/>
          <w:color w:val="231F20"/>
          <w:spacing w:val="29"/>
          <w:sz w:val="18"/>
        </w:rPr>
        <w:t> </w:t>
      </w:r>
      <w:r>
        <w:rPr>
          <w:rFonts w:ascii="Arial"/>
          <w:color w:val="231F20"/>
          <w:spacing w:val="-4"/>
          <w:sz w:val="18"/>
        </w:rPr>
        <w:t>True</w:t>
      </w:r>
    </w:p>
    <w:p>
      <w:pPr>
        <w:pStyle w:val="BodyText"/>
        <w:spacing w:before="21"/>
        <w:rPr>
          <w:rFonts w:ascii="Arial"/>
          <w:sz w:val="18"/>
        </w:rPr>
      </w:pPr>
    </w:p>
    <w:p>
      <w:pPr>
        <w:pStyle w:val="Heading3"/>
        <w:spacing w:before="0"/>
        <w:ind w:left="1334"/>
      </w:pPr>
      <w:bookmarkStart w:name="MISSING: Check for missing items" w:id="676"/>
      <w:bookmarkEnd w:id="676"/>
      <w:r>
        <w:rPr>
          <w:b w:val="0"/>
        </w:rPr>
      </w:r>
      <w:r>
        <w:rPr>
          <w:color w:val="231F20"/>
        </w:rPr>
        <w:t>MISSING:</w:t>
      </w:r>
      <w:r>
        <w:rPr>
          <w:color w:val="231F20"/>
          <w:spacing w:val="6"/>
        </w:rPr>
        <w:t> </w:t>
      </w:r>
      <w:r>
        <w:rPr>
          <w:color w:val="231F20"/>
        </w:rPr>
        <w:t>Check</w:t>
      </w:r>
      <w:r>
        <w:rPr>
          <w:color w:val="231F20"/>
          <w:spacing w:val="6"/>
        </w:rPr>
        <w:t> </w:t>
      </w:r>
      <w:r>
        <w:rPr>
          <w:color w:val="231F20"/>
        </w:rPr>
        <w:t>for</w:t>
      </w:r>
      <w:r>
        <w:rPr>
          <w:color w:val="231F20"/>
          <w:spacing w:val="6"/>
        </w:rPr>
        <w:t> </w:t>
      </w:r>
      <w:r>
        <w:rPr>
          <w:color w:val="231F20"/>
        </w:rPr>
        <w:t>missing</w:t>
      </w:r>
      <w:r>
        <w:rPr>
          <w:color w:val="231F20"/>
          <w:spacing w:val="6"/>
        </w:rPr>
        <w:t> </w:t>
      </w:r>
      <w:r>
        <w:rPr>
          <w:color w:val="231F20"/>
          <w:spacing w:val="-2"/>
        </w:rPr>
        <w:t>items</w:t>
      </w:r>
    </w:p>
    <w:p>
      <w:pPr>
        <w:pStyle w:val="BodyText"/>
        <w:spacing w:line="213" w:lineRule="auto" w:before="58"/>
        <w:ind w:left="2232" w:right="545"/>
      </w:pPr>
      <w:r>
        <w:rPr>
          <w:color w:val="231F20"/>
        </w:rPr>
        <w:t>Use the MISSING function in a situation to compare the data sample with a list of</w:t>
      </w:r>
      <w:r>
        <w:rPr>
          <w:color w:val="231F20"/>
          <w:spacing w:val="40"/>
        </w:rPr>
        <w:t> </w:t>
      </w:r>
      <w:r>
        <w:rPr>
          <w:color w:val="231F20"/>
        </w:rPr>
        <w:t>text entries. If no match is found, a situation event is opened.</w:t>
      </w:r>
    </w:p>
    <w:p>
      <w:pPr>
        <w:pStyle w:val="Heading6"/>
        <w:spacing w:before="118"/>
        <w:ind w:left="2232"/>
      </w:pPr>
      <w:r>
        <w:rPr>
          <w:b w:val="0"/>
          <w:position w:val="-1"/>
        </w:rPr>
        <w:drawing>
          <wp:inline distT="0" distB="0" distL="0" distR="0">
            <wp:extent cx="101600" cy="101600"/>
            <wp:effectExtent l="0" t="0" r="0" b="0"/>
            <wp:docPr id="3356" name="Image 3356"/>
            <wp:cNvGraphicFramePr>
              <a:graphicFrameLocks/>
            </wp:cNvGraphicFramePr>
            <a:graphic>
              <a:graphicData uri="http://schemas.openxmlformats.org/drawingml/2006/picture">
                <pic:pic>
                  <pic:nvPicPr>
                    <pic:cNvPr id="3356" name="Image 3356"/>
                    <pic:cNvPicPr/>
                  </pic:nvPicPr>
                  <pic:blipFill>
                    <a:blip r:embed="rId109"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80"/>
        </w:rPr>
        <w:t> </w:t>
      </w:r>
      <w:r>
        <w:rPr>
          <w:color w:val="231F20"/>
        </w:rPr>
        <w:t>Check</w:t>
      </w:r>
      <w:r>
        <w:rPr>
          <w:color w:val="231F20"/>
          <w:spacing w:val="28"/>
        </w:rPr>
        <w:t> </w:t>
      </w:r>
      <w:r>
        <w:rPr>
          <w:color w:val="231F20"/>
        </w:rPr>
        <w:t>for</w:t>
      </w:r>
      <w:r>
        <w:rPr>
          <w:color w:val="231F20"/>
          <w:spacing w:val="28"/>
        </w:rPr>
        <w:t> </w:t>
      </w:r>
      <w:r>
        <w:rPr>
          <w:color w:val="231F20"/>
        </w:rPr>
        <w:t>Missing</w:t>
      </w:r>
      <w:r>
        <w:rPr>
          <w:color w:val="231F20"/>
          <w:spacing w:val="28"/>
        </w:rPr>
        <w:t> </w:t>
      </w:r>
      <w:r>
        <w:rPr>
          <w:color w:val="231F20"/>
        </w:rPr>
        <w:t>Items</w:t>
      </w:r>
    </w:p>
    <w:p>
      <w:pPr>
        <w:pStyle w:val="BodyText"/>
        <w:spacing w:line="213" w:lineRule="auto" w:before="11"/>
        <w:ind w:left="2951" w:right="545"/>
      </w:pPr>
      <w:r>
        <w:rPr>
          <w:color w:val="231F20"/>
        </w:rPr>
        <w:t>Compares the value of the specified text attribute with a list of values </w:t>
      </w:r>
      <w:r>
        <w:rPr>
          <w:color w:val="231F20"/>
        </w:rPr>
        <w:t>you supply.</w:t>
      </w:r>
      <w:r>
        <w:rPr>
          <w:color w:val="231F20"/>
          <w:spacing w:val="25"/>
        </w:rPr>
        <w:t> </w:t>
      </w:r>
      <w:r>
        <w:rPr>
          <w:color w:val="231F20"/>
        </w:rPr>
        <w:t>The</w:t>
      </w:r>
      <w:r>
        <w:rPr>
          <w:color w:val="231F20"/>
          <w:spacing w:val="25"/>
        </w:rPr>
        <w:t> </w:t>
      </w:r>
      <w:r>
        <w:rPr>
          <w:color w:val="231F20"/>
        </w:rPr>
        <w:t>condition</w:t>
      </w:r>
      <w:r>
        <w:rPr>
          <w:color w:val="231F20"/>
          <w:spacing w:val="25"/>
        </w:rPr>
        <w:t> </w:t>
      </w:r>
      <w:r>
        <w:rPr>
          <w:color w:val="231F20"/>
        </w:rPr>
        <w:t>is</w:t>
      </w:r>
      <w:r>
        <w:rPr>
          <w:color w:val="231F20"/>
          <w:spacing w:val="25"/>
        </w:rPr>
        <w:t> </w:t>
      </w:r>
      <w:r>
        <w:rPr>
          <w:color w:val="231F20"/>
        </w:rPr>
        <w:t>true</w:t>
      </w:r>
      <w:r>
        <w:rPr>
          <w:color w:val="231F20"/>
          <w:spacing w:val="25"/>
        </w:rPr>
        <w:t> </w:t>
      </w:r>
      <w:r>
        <w:rPr>
          <w:color w:val="231F20"/>
        </w:rPr>
        <w:t>when</w:t>
      </w:r>
      <w:r>
        <w:rPr>
          <w:color w:val="231F20"/>
          <w:spacing w:val="25"/>
        </w:rPr>
        <w:t> </w:t>
      </w:r>
      <w:r>
        <w:rPr>
          <w:color w:val="231F20"/>
        </w:rPr>
        <w:t>the</w:t>
      </w:r>
      <w:r>
        <w:rPr>
          <w:color w:val="231F20"/>
          <w:spacing w:val="25"/>
        </w:rPr>
        <w:t> </w:t>
      </w:r>
      <w:r>
        <w:rPr>
          <w:color w:val="231F20"/>
        </w:rPr>
        <w:t>value</w:t>
      </w:r>
      <w:r>
        <w:rPr>
          <w:color w:val="231F20"/>
          <w:spacing w:val="25"/>
        </w:rPr>
        <w:t> </w:t>
      </w:r>
      <w:r>
        <w:rPr>
          <w:color w:val="231F20"/>
        </w:rPr>
        <w:t>does</w:t>
      </w:r>
      <w:r>
        <w:rPr>
          <w:color w:val="231F20"/>
          <w:spacing w:val="25"/>
        </w:rPr>
        <w:t> </w:t>
      </w:r>
      <w:r>
        <w:rPr>
          <w:color w:val="231F20"/>
        </w:rPr>
        <w:t>not</w:t>
      </w:r>
      <w:r>
        <w:rPr>
          <w:color w:val="231F20"/>
          <w:spacing w:val="25"/>
        </w:rPr>
        <w:t> </w:t>
      </w:r>
      <w:r>
        <w:rPr>
          <w:color w:val="231F20"/>
        </w:rPr>
        <w:t>match</w:t>
      </w:r>
      <w:r>
        <w:rPr>
          <w:color w:val="231F20"/>
          <w:spacing w:val="25"/>
        </w:rPr>
        <w:t> </w:t>
      </w:r>
      <w:r>
        <w:rPr>
          <w:color w:val="231F20"/>
        </w:rPr>
        <w:t>any</w:t>
      </w:r>
      <w:r>
        <w:rPr>
          <w:color w:val="231F20"/>
          <w:spacing w:val="25"/>
        </w:rPr>
        <w:t> </w:t>
      </w:r>
      <w:r>
        <w:rPr>
          <w:color w:val="231F20"/>
        </w:rPr>
        <w:t>in</w:t>
      </w:r>
      <w:r>
        <w:rPr>
          <w:color w:val="231F20"/>
          <w:spacing w:val="25"/>
        </w:rPr>
        <w:t> </w:t>
      </w:r>
      <w:r>
        <w:rPr>
          <w:color w:val="231F20"/>
        </w:rPr>
        <w:t>the list. This function is useful when you want notification that something is</w:t>
      </w:r>
      <w:r>
        <w:rPr>
          <w:color w:val="231F20"/>
          <w:spacing w:val="40"/>
        </w:rPr>
        <w:t> </w:t>
      </w:r>
      <w:r>
        <w:rPr>
          <w:color w:val="231F20"/>
        </w:rPr>
        <w:t>not present in your system.</w:t>
      </w:r>
    </w:p>
    <w:p>
      <w:pPr>
        <w:pStyle w:val="Heading6"/>
        <w:spacing w:before="116"/>
        <w:ind w:left="2232"/>
      </w:pPr>
      <w:r>
        <w:rPr>
          <w:color w:val="231F20"/>
          <w:spacing w:val="-2"/>
        </w:rPr>
        <w:t>Examples</w:t>
      </w:r>
    </w:p>
    <w:p>
      <w:pPr>
        <w:pStyle w:val="BodyText"/>
        <w:spacing w:line="258" w:lineRule="exact"/>
        <w:ind w:left="2951"/>
      </w:pPr>
      <w:r>
        <w:rPr>
          <w:color w:val="231F20"/>
        </w:rPr>
        <w:t>An</w:t>
      </w:r>
      <w:r>
        <w:rPr>
          <w:color w:val="231F20"/>
          <w:spacing w:val="10"/>
        </w:rPr>
        <w:t> </w:t>
      </w:r>
      <w:r>
        <w:rPr>
          <w:color w:val="231F20"/>
        </w:rPr>
        <w:t>event</w:t>
      </w:r>
      <w:r>
        <w:rPr>
          <w:color w:val="231F20"/>
          <w:spacing w:val="10"/>
        </w:rPr>
        <w:t> </w:t>
      </w:r>
      <w:r>
        <w:rPr>
          <w:color w:val="231F20"/>
        </w:rPr>
        <w:t>opens</w:t>
      </w:r>
      <w:r>
        <w:rPr>
          <w:color w:val="231F20"/>
          <w:spacing w:val="11"/>
        </w:rPr>
        <w:t> </w:t>
      </w:r>
      <w:r>
        <w:rPr>
          <w:color w:val="231F20"/>
        </w:rPr>
        <w:t>when</w:t>
      </w:r>
      <w:r>
        <w:rPr>
          <w:color w:val="231F20"/>
          <w:spacing w:val="10"/>
        </w:rPr>
        <w:t> </w:t>
      </w:r>
      <w:r>
        <w:rPr>
          <w:color w:val="231F20"/>
        </w:rPr>
        <w:t>the</w:t>
      </w:r>
      <w:r>
        <w:rPr>
          <w:color w:val="231F20"/>
          <w:spacing w:val="11"/>
        </w:rPr>
        <w:t> </w:t>
      </w:r>
      <w:r>
        <w:rPr>
          <w:color w:val="231F20"/>
        </w:rPr>
        <w:t>anti-virus</w:t>
      </w:r>
      <w:r>
        <w:rPr>
          <w:color w:val="231F20"/>
          <w:spacing w:val="10"/>
        </w:rPr>
        <w:t> </w:t>
      </w:r>
      <w:r>
        <w:rPr>
          <w:color w:val="231F20"/>
        </w:rPr>
        <w:t>scanning</w:t>
      </w:r>
      <w:r>
        <w:rPr>
          <w:color w:val="231F20"/>
          <w:spacing w:val="11"/>
        </w:rPr>
        <w:t> </w:t>
      </w:r>
      <w:r>
        <w:rPr>
          <w:color w:val="231F20"/>
        </w:rPr>
        <w:t>program</w:t>
      </w:r>
      <w:r>
        <w:rPr>
          <w:color w:val="231F20"/>
          <w:spacing w:val="10"/>
        </w:rPr>
        <w:t> </w:t>
      </w:r>
      <w:r>
        <w:rPr>
          <w:color w:val="231F20"/>
        </w:rPr>
        <w:t>is</w:t>
      </w:r>
      <w:r>
        <w:rPr>
          <w:color w:val="231F20"/>
          <w:spacing w:val="11"/>
        </w:rPr>
        <w:t> </w:t>
      </w:r>
      <w:r>
        <w:rPr>
          <w:color w:val="231F20"/>
        </w:rPr>
        <w:t>not</w:t>
      </w:r>
      <w:r>
        <w:rPr>
          <w:color w:val="231F20"/>
          <w:spacing w:val="10"/>
        </w:rPr>
        <w:t> </w:t>
      </w:r>
      <w:r>
        <w:rPr>
          <w:color w:val="231F20"/>
          <w:spacing w:val="-2"/>
        </w:rPr>
        <w:t>available.</w:t>
      </w:r>
    </w:p>
    <w:p>
      <w:pPr>
        <w:spacing w:before="55"/>
        <w:ind w:left="2951" w:right="0" w:firstLine="0"/>
        <w:jc w:val="left"/>
        <w:rPr>
          <w:rFonts w:ascii="Arial"/>
          <w:sz w:val="18"/>
        </w:rPr>
      </w:pPr>
      <w:r>
        <w:rPr>
          <w:rFonts w:ascii="Arial"/>
          <w:color w:val="231F20"/>
          <w:w w:val="90"/>
          <w:sz w:val="18"/>
        </w:rPr>
        <w:t>MISSING</w:t>
      </w:r>
      <w:r>
        <w:rPr>
          <w:rFonts w:ascii="Arial"/>
          <w:color w:val="231F20"/>
          <w:spacing w:val="30"/>
          <w:sz w:val="18"/>
        </w:rPr>
        <w:t> </w:t>
      </w:r>
      <w:r>
        <w:rPr>
          <w:rFonts w:ascii="Arial"/>
          <w:color w:val="231F20"/>
          <w:w w:val="90"/>
          <w:sz w:val="18"/>
        </w:rPr>
        <w:t>(ProcessName)</w:t>
      </w:r>
      <w:r>
        <w:rPr>
          <w:rFonts w:ascii="Arial"/>
          <w:color w:val="231F20"/>
          <w:spacing w:val="31"/>
          <w:sz w:val="18"/>
        </w:rPr>
        <w:t> </w:t>
      </w:r>
      <w:r>
        <w:rPr>
          <w:rFonts w:ascii="Arial"/>
          <w:color w:val="231F20"/>
          <w:w w:val="90"/>
          <w:sz w:val="18"/>
        </w:rPr>
        <w:t>==</w:t>
      </w:r>
      <w:r>
        <w:rPr>
          <w:rFonts w:ascii="Arial"/>
          <w:color w:val="231F20"/>
          <w:spacing w:val="30"/>
          <w:sz w:val="18"/>
        </w:rPr>
        <w:t> </w:t>
      </w:r>
      <w:r>
        <w:rPr>
          <w:rFonts w:ascii="Arial"/>
          <w:color w:val="231F20"/>
          <w:spacing w:val="-2"/>
          <w:w w:val="90"/>
          <w:sz w:val="18"/>
        </w:rPr>
        <w:t>(VirusGone.exe)</w:t>
      </w:r>
    </w:p>
    <w:p>
      <w:pPr>
        <w:pStyle w:val="BodyText"/>
        <w:spacing w:before="42"/>
        <w:rPr>
          <w:rFonts w:ascii="Arial"/>
          <w:sz w:val="18"/>
        </w:rPr>
      </w:pPr>
    </w:p>
    <w:p>
      <w:pPr>
        <w:pStyle w:val="BodyText"/>
        <w:spacing w:line="213" w:lineRule="auto"/>
        <w:ind w:left="2951" w:right="385"/>
      </w:pPr>
      <w:r>
        <w:rPr>
          <w:color w:val="231F20"/>
        </w:rPr>
        <w:t>This example builds on the last one. Two names were added to the </w:t>
      </w:r>
      <w:r>
        <w:rPr>
          <w:rFonts w:ascii="Book Antiqua"/>
          <w:i/>
          <w:color w:val="231F20"/>
        </w:rPr>
        <w:t>Missing</w:t>
      </w:r>
      <w:r>
        <w:rPr>
          <w:rFonts w:ascii="Book Antiqua"/>
          <w:i/>
          <w:color w:val="231F20"/>
        </w:rPr>
        <w:t> List</w:t>
      </w:r>
      <w:r>
        <w:rPr>
          <w:rFonts w:ascii="Book Antiqua"/>
          <w:i/>
          <w:color w:val="231F20"/>
          <w:spacing w:val="27"/>
        </w:rPr>
        <w:t> </w:t>
      </w:r>
      <w:r>
        <w:rPr>
          <w:color w:val="231F20"/>
        </w:rPr>
        <w:t>and</w:t>
      </w:r>
      <w:r>
        <w:rPr>
          <w:color w:val="231F20"/>
          <w:spacing w:val="27"/>
        </w:rPr>
        <w:t> </w:t>
      </w:r>
      <w:r>
        <w:rPr>
          <w:color w:val="231F20"/>
        </w:rPr>
        <w:t>a</w:t>
      </w:r>
      <w:r>
        <w:rPr>
          <w:color w:val="231F20"/>
          <w:spacing w:val="27"/>
        </w:rPr>
        <w:t> </w:t>
      </w:r>
      <w:r>
        <w:rPr>
          <w:color w:val="231F20"/>
        </w:rPr>
        <w:t>system</w:t>
      </w:r>
      <w:r>
        <w:rPr>
          <w:color w:val="231F20"/>
          <w:spacing w:val="27"/>
        </w:rPr>
        <w:t> </w:t>
      </w:r>
      <w:r>
        <w:rPr>
          <w:color w:val="231F20"/>
        </w:rPr>
        <w:t>name</w:t>
      </w:r>
      <w:r>
        <w:rPr>
          <w:color w:val="231F20"/>
          <w:spacing w:val="27"/>
        </w:rPr>
        <w:t> </w:t>
      </w:r>
      <w:r>
        <w:rPr>
          <w:color w:val="231F20"/>
        </w:rPr>
        <w:t>specified</w:t>
      </w:r>
      <w:r>
        <w:rPr>
          <w:color w:val="231F20"/>
          <w:spacing w:val="27"/>
        </w:rPr>
        <w:t> </w:t>
      </w:r>
      <w:r>
        <w:rPr>
          <w:color w:val="231F20"/>
        </w:rPr>
        <w:t>with</w:t>
      </w:r>
      <w:r>
        <w:rPr>
          <w:color w:val="231F20"/>
          <w:spacing w:val="27"/>
        </w:rPr>
        <w:t> </w:t>
      </w:r>
      <w:r>
        <w:rPr>
          <w:color w:val="231F20"/>
        </w:rPr>
        <w:t>a</w:t>
      </w:r>
      <w:r>
        <w:rPr>
          <w:color w:val="231F20"/>
          <w:spacing w:val="27"/>
        </w:rPr>
        <w:t> </w:t>
      </w:r>
      <w:r>
        <w:rPr>
          <w:color w:val="231F20"/>
        </w:rPr>
        <w:t>wildcard. An</w:t>
      </w:r>
      <w:r>
        <w:rPr>
          <w:color w:val="231F20"/>
          <w:spacing w:val="27"/>
        </w:rPr>
        <w:t> </w:t>
      </w:r>
      <w:r>
        <w:rPr>
          <w:color w:val="231F20"/>
        </w:rPr>
        <w:t>event</w:t>
      </w:r>
      <w:r>
        <w:rPr>
          <w:color w:val="231F20"/>
          <w:spacing w:val="27"/>
        </w:rPr>
        <w:t> </w:t>
      </w:r>
      <w:r>
        <w:rPr>
          <w:color w:val="231F20"/>
        </w:rPr>
        <w:t>will</w:t>
      </w:r>
      <w:r>
        <w:rPr>
          <w:color w:val="231F20"/>
          <w:spacing w:val="27"/>
        </w:rPr>
        <w:t> </w:t>
      </w:r>
      <w:r>
        <w:rPr>
          <w:color w:val="231F20"/>
        </w:rPr>
        <w:t>open</w:t>
      </w:r>
      <w:r>
        <w:rPr>
          <w:color w:val="231F20"/>
          <w:spacing w:val="27"/>
        </w:rPr>
        <w:t> </w:t>
      </w:r>
      <w:r>
        <w:rPr>
          <w:color w:val="231F20"/>
        </w:rPr>
        <w:t>if any of these processes is missing on any system whose name starts with SERVER (such as SERVER_BLDG100 or SERVERSOUTH). If you wanted to be notified when this is the case, you could add a notification action to be</w:t>
      </w:r>
      <w:r>
        <w:rPr>
          <w:color w:val="231F20"/>
          <w:spacing w:val="40"/>
        </w:rPr>
        <w:t> </w:t>
      </w:r>
      <w:r>
        <w:rPr>
          <w:color w:val="231F20"/>
        </w:rPr>
        <w:t>executed when the situation becomes true.</w:t>
      </w:r>
    </w:p>
    <w:p>
      <w:pPr>
        <w:spacing w:line="230" w:lineRule="auto" w:before="66"/>
        <w:ind w:left="2951" w:right="545" w:firstLine="0"/>
        <w:jc w:val="left"/>
        <w:rPr>
          <w:rFonts w:ascii="Arial"/>
          <w:sz w:val="18"/>
        </w:rPr>
      </w:pPr>
      <w:r>
        <w:rPr>
          <w:rFonts w:ascii="Arial"/>
          <w:color w:val="231F20"/>
          <w:spacing w:val="-2"/>
          <w:sz w:val="18"/>
        </w:rPr>
        <w:t>(MISSING</w:t>
      </w:r>
      <w:r>
        <w:rPr>
          <w:rFonts w:ascii="Arial"/>
          <w:color w:val="231F20"/>
          <w:spacing w:val="31"/>
          <w:sz w:val="18"/>
        </w:rPr>
        <w:t> </w:t>
      </w:r>
      <w:r>
        <w:rPr>
          <w:rFonts w:ascii="Arial"/>
          <w:color w:val="231F20"/>
          <w:spacing w:val="-2"/>
          <w:sz w:val="18"/>
        </w:rPr>
        <w:t>(ProcessName)==</w:t>
      </w:r>
      <w:r>
        <w:rPr>
          <w:rFonts w:ascii="Arial"/>
          <w:color w:val="231F20"/>
          <w:spacing w:val="31"/>
          <w:sz w:val="18"/>
        </w:rPr>
        <w:t> </w:t>
      </w:r>
      <w:r>
        <w:rPr>
          <w:rFonts w:ascii="Arial"/>
          <w:color w:val="231F20"/>
          <w:spacing w:val="-2"/>
          <w:sz w:val="18"/>
        </w:rPr>
        <w:t>(VirusGone.exe,DBServer.exe,iexplore.exe))AND </w:t>
      </w:r>
      <w:r>
        <w:rPr>
          <w:rFonts w:ascii="Arial"/>
          <w:color w:val="231F20"/>
          <w:spacing w:val="-4"/>
          <w:sz w:val="18"/>
        </w:rPr>
        <w:t>ServerName</w:t>
      </w:r>
      <w:r>
        <w:rPr>
          <w:rFonts w:ascii="Arial"/>
          <w:color w:val="231F20"/>
          <w:spacing w:val="7"/>
          <w:sz w:val="18"/>
        </w:rPr>
        <w:t> </w:t>
      </w:r>
      <w:r>
        <w:rPr>
          <w:rFonts w:ascii="Arial"/>
          <w:color w:val="231F20"/>
          <w:spacing w:val="-4"/>
          <w:sz w:val="18"/>
        </w:rPr>
        <w:t>==</w:t>
      </w:r>
      <w:r>
        <w:rPr>
          <w:rFonts w:ascii="Arial"/>
          <w:color w:val="231F20"/>
          <w:spacing w:val="8"/>
          <w:sz w:val="18"/>
        </w:rPr>
        <w:t> </w:t>
      </w:r>
      <w:r>
        <w:rPr>
          <w:rFonts w:ascii="Arial"/>
          <w:color w:val="231F20"/>
          <w:spacing w:val="-4"/>
          <w:sz w:val="18"/>
        </w:rPr>
        <w:t>SERVER*</w:t>
      </w:r>
    </w:p>
    <w:p>
      <w:pPr>
        <w:pStyle w:val="Heading6"/>
        <w:spacing w:before="130"/>
        <w:ind w:left="2232"/>
      </w:pPr>
      <w:r>
        <w:rPr>
          <w:color w:val="231F20"/>
          <w:spacing w:val="-2"/>
        </w:rPr>
        <w:t>Restrictions</w:t>
      </w:r>
    </w:p>
    <w:p>
      <w:pPr>
        <w:pStyle w:val="BodyText"/>
        <w:spacing w:line="258" w:lineRule="exact"/>
        <w:ind w:left="2951"/>
      </w:pPr>
      <w:r>
        <w:rPr>
          <w:color w:val="231F20"/>
        </w:rPr>
        <w:t>You</w:t>
      </w:r>
      <w:r>
        <w:rPr>
          <w:color w:val="231F20"/>
          <w:spacing w:val="9"/>
        </w:rPr>
        <w:t> </w:t>
      </w:r>
      <w:r>
        <w:rPr>
          <w:color w:val="231F20"/>
        </w:rPr>
        <w:t>can</w:t>
      </w:r>
      <w:r>
        <w:rPr>
          <w:color w:val="231F20"/>
          <w:spacing w:val="10"/>
        </w:rPr>
        <w:t> </w:t>
      </w:r>
      <w:r>
        <w:rPr>
          <w:color w:val="231F20"/>
        </w:rPr>
        <w:t>have</w:t>
      </w:r>
      <w:r>
        <w:rPr>
          <w:color w:val="231F20"/>
          <w:spacing w:val="10"/>
        </w:rPr>
        <w:t> </w:t>
      </w:r>
      <w:r>
        <w:rPr>
          <w:color w:val="231F20"/>
        </w:rPr>
        <w:t>only</w:t>
      </w:r>
      <w:r>
        <w:rPr>
          <w:color w:val="231F20"/>
          <w:spacing w:val="10"/>
        </w:rPr>
        <w:t> </w:t>
      </w:r>
      <w:r>
        <w:rPr>
          <w:color w:val="231F20"/>
        </w:rPr>
        <w:t>one</w:t>
      </w:r>
      <w:r>
        <w:rPr>
          <w:color w:val="231F20"/>
          <w:spacing w:val="10"/>
        </w:rPr>
        <w:t> </w:t>
      </w:r>
      <w:r>
        <w:rPr>
          <w:color w:val="231F20"/>
        </w:rPr>
        <w:t>MISSING</w:t>
      </w:r>
      <w:r>
        <w:rPr>
          <w:color w:val="231F20"/>
          <w:spacing w:val="9"/>
        </w:rPr>
        <w:t> </w:t>
      </w:r>
      <w:r>
        <w:rPr>
          <w:color w:val="231F20"/>
        </w:rPr>
        <w:t>function</w:t>
      </w:r>
      <w:r>
        <w:rPr>
          <w:color w:val="231F20"/>
          <w:spacing w:val="10"/>
        </w:rPr>
        <w:t> </w:t>
      </w:r>
      <w:r>
        <w:rPr>
          <w:color w:val="231F20"/>
        </w:rPr>
        <w:t>in</w:t>
      </w:r>
      <w:r>
        <w:rPr>
          <w:color w:val="231F20"/>
          <w:spacing w:val="10"/>
        </w:rPr>
        <w:t> </w:t>
      </w:r>
      <w:r>
        <w:rPr>
          <w:color w:val="231F20"/>
        </w:rPr>
        <w:t>a</w:t>
      </w:r>
      <w:r>
        <w:rPr>
          <w:color w:val="231F20"/>
          <w:spacing w:val="10"/>
        </w:rPr>
        <w:t> </w:t>
      </w:r>
      <w:r>
        <w:rPr>
          <w:color w:val="231F20"/>
          <w:spacing w:val="-2"/>
        </w:rPr>
        <w:t>situation.</w:t>
      </w:r>
    </w:p>
    <w:p>
      <w:pPr>
        <w:pStyle w:val="BodyText"/>
        <w:spacing w:line="213" w:lineRule="auto" w:before="113"/>
        <w:ind w:left="2951"/>
      </w:pPr>
      <w:r>
        <w:rPr>
          <w:color w:val="231F20"/>
        </w:rPr>
        <w:t>The MISSING function must be written on row 1 of the formula editor; </w:t>
      </w:r>
      <w:r>
        <w:rPr>
          <w:color w:val="231F20"/>
        </w:rPr>
        <w:t>all subsequent rows are disabled.</w:t>
      </w:r>
    </w:p>
    <w:p>
      <w:pPr>
        <w:pStyle w:val="BodyText"/>
        <w:spacing w:line="213" w:lineRule="auto" w:before="118"/>
        <w:ind w:left="2951" w:right="763"/>
      </w:pPr>
      <w:r>
        <w:rPr>
          <w:color w:val="231F20"/>
        </w:rPr>
        <w:t>You cannot combine the MISSING function with any grouping </w:t>
      </w:r>
      <w:r>
        <w:rPr>
          <w:color w:val="231F20"/>
        </w:rPr>
        <w:t>functions like MAX or COUNT but you can combine it with value-type functions like VALUE, SCAN, DATE, etc.</w:t>
      </w:r>
    </w:p>
    <w:p>
      <w:pPr>
        <w:spacing w:after="0" w:line="213" w:lineRule="auto"/>
        <w:sectPr>
          <w:pgSz w:w="12240" w:h="15840"/>
          <w:pgMar w:header="0" w:footer="736" w:top="1180" w:bottom="920" w:left="1000" w:right="1060"/>
        </w:sectPr>
      </w:pPr>
    </w:p>
    <w:p>
      <w:pPr>
        <w:pStyle w:val="Heading6"/>
        <w:spacing w:before="83"/>
      </w:pPr>
      <w:bookmarkStart w:name="_bookmark326" w:id="677"/>
      <w:bookmarkEnd w:id="677"/>
      <w:r>
        <w:rPr>
          <w:b w:val="0"/>
        </w:rPr>
      </w:r>
      <w:r>
        <w:rPr>
          <w:color w:val="231F20"/>
          <w:spacing w:val="-2"/>
        </w:rPr>
        <w:t>Wildcards</w:t>
      </w:r>
    </w:p>
    <w:p>
      <w:pPr>
        <w:pStyle w:val="BodyText"/>
        <w:spacing w:line="213" w:lineRule="auto" w:before="12"/>
        <w:ind w:left="3190" w:right="258"/>
      </w:pPr>
      <w:r>
        <w:rPr>
          <w:color w:val="231F20"/>
        </w:rPr>
        <w:t>You can use an * asterisk wildcard to begin or end the attribute value. You can also use the ? question mark wildcard for a single character at that </w:t>
      </w:r>
      <w:r>
        <w:rPr>
          <w:color w:val="231F20"/>
          <w:spacing w:val="-2"/>
        </w:rPr>
        <w:t>position.</w:t>
      </w:r>
    </w:p>
    <w:p>
      <w:pPr>
        <w:pStyle w:val="BodyText"/>
        <w:tabs>
          <w:tab w:pos="3190" w:val="left" w:leader="none"/>
        </w:tabs>
        <w:spacing w:line="213" w:lineRule="auto" w:before="117"/>
        <w:ind w:left="3190" w:right="274" w:hanging="719"/>
      </w:pPr>
      <w:r>
        <w:rPr>
          <w:rFonts w:ascii="Book Antiqua"/>
          <w:b/>
          <w:color w:val="231F20"/>
          <w:spacing w:val="-4"/>
        </w:rPr>
        <w:t>Tip</w:t>
      </w:r>
      <w:r>
        <w:rPr>
          <w:rFonts w:ascii="Book Antiqua"/>
          <w:b/>
          <w:color w:val="231F20"/>
        </w:rPr>
        <w:tab/>
      </w:r>
      <w:r>
        <w:rPr>
          <w:color w:val="231F20"/>
        </w:rPr>
        <w:t>If the formula is for a multiple-row attribute group, add a display item </w:t>
      </w:r>
      <w:r>
        <w:rPr>
          <w:color w:val="231F20"/>
        </w:rPr>
        <w:t>(in the Condition tab, click </w:t>
      </w:r>
      <w:r>
        <w:rPr>
          <w:rFonts w:ascii="Book Antiqua"/>
          <w:b/>
          <w:color w:val="231F20"/>
        </w:rPr>
        <w:t>Advanced</w:t>
      </w:r>
      <w:r>
        <w:rPr>
          <w:color w:val="231F20"/>
        </w:rPr>
        <w:t>) if you want the situation to continue testing for missing items after opening an event for the first one.</w:t>
      </w:r>
    </w:p>
    <w:p>
      <w:pPr>
        <w:pStyle w:val="Heading3"/>
        <w:spacing w:before="217"/>
        <w:ind w:left="1574"/>
      </w:pPr>
      <w:bookmarkStart w:name="PCTCHANGE: Percent change in value" w:id="678"/>
      <w:bookmarkEnd w:id="678"/>
      <w:r>
        <w:rPr>
          <w:b w:val="0"/>
        </w:rPr>
      </w:r>
      <w:r>
        <w:rPr>
          <w:color w:val="231F20"/>
        </w:rPr>
        <w:t>PCTCHANGE:</w:t>
      </w:r>
      <w:r>
        <w:rPr>
          <w:color w:val="231F20"/>
          <w:spacing w:val="4"/>
        </w:rPr>
        <w:t> </w:t>
      </w:r>
      <w:r>
        <w:rPr>
          <w:color w:val="231F20"/>
        </w:rPr>
        <w:t>Percent</w:t>
      </w:r>
      <w:r>
        <w:rPr>
          <w:color w:val="231F20"/>
          <w:spacing w:val="5"/>
        </w:rPr>
        <w:t> </w:t>
      </w:r>
      <w:r>
        <w:rPr>
          <w:color w:val="231F20"/>
        </w:rPr>
        <w:t>change</w:t>
      </w:r>
      <w:r>
        <w:rPr>
          <w:color w:val="231F20"/>
          <w:spacing w:val="5"/>
        </w:rPr>
        <w:t> </w:t>
      </w:r>
      <w:r>
        <w:rPr>
          <w:color w:val="231F20"/>
        </w:rPr>
        <w:t>in</w:t>
      </w:r>
      <w:r>
        <w:rPr>
          <w:color w:val="231F20"/>
          <w:spacing w:val="4"/>
        </w:rPr>
        <w:t> </w:t>
      </w:r>
      <w:r>
        <w:rPr>
          <w:color w:val="231F20"/>
          <w:spacing w:val="-2"/>
        </w:rPr>
        <w:t>value</w:t>
      </w:r>
    </w:p>
    <w:p>
      <w:pPr>
        <w:pStyle w:val="BodyText"/>
        <w:spacing w:line="213" w:lineRule="auto" w:before="58"/>
        <w:ind w:left="2472" w:right="545"/>
      </w:pPr>
      <w:r>
        <w:rPr>
          <w:color w:val="231F20"/>
        </w:rPr>
        <w:t>Use the PCTCHANGE formula function in a situation to compare the percent change between the value of the current data sample and the previous </w:t>
      </w:r>
      <w:r>
        <w:rPr>
          <w:color w:val="231F20"/>
        </w:rPr>
        <w:t>sample.</w:t>
      </w:r>
    </w:p>
    <w:p>
      <w:pPr>
        <w:pStyle w:val="Heading6"/>
        <w:spacing w:line="227" w:lineRule="exact" w:before="122"/>
        <w:ind w:left="2542"/>
      </w:pPr>
      <w:r>
        <w:rPr>
          <w:b w:val="0"/>
        </w:rPr>
        <w:drawing>
          <wp:inline distT="0" distB="0" distL="0" distR="0">
            <wp:extent cx="50800" cy="50800"/>
            <wp:effectExtent l="0" t="0" r="0" b="0"/>
            <wp:docPr id="3357" name="Image 3357"/>
            <wp:cNvGraphicFramePr>
              <a:graphicFrameLocks/>
            </wp:cNvGraphicFramePr>
            <a:graphic>
              <a:graphicData uri="http://schemas.openxmlformats.org/drawingml/2006/picture">
                <pic:pic>
                  <pic:nvPicPr>
                    <pic:cNvPr id="3357" name="Image 3357"/>
                    <pic:cNvPicPr/>
                  </pic:nvPicPr>
                  <pic:blipFill>
                    <a:blip r:embed="rId485" cstate="print"/>
                    <a:stretch>
                      <a:fillRect/>
                    </a:stretch>
                  </pic:blipFill>
                  <pic:spPr>
                    <a:xfrm>
                      <a:off x="0" y="0"/>
                      <a:ext cx="50800" cy="50800"/>
                    </a:xfrm>
                    <a:prstGeom prst="rect">
                      <a:avLst/>
                    </a:prstGeom>
                  </pic:spPr>
                </pic:pic>
              </a:graphicData>
            </a:graphic>
          </wp:inline>
        </w:drawing>
      </w:r>
      <w:r>
        <w:rPr>
          <w:b w:val="0"/>
        </w:rPr>
      </w:r>
      <w:r>
        <w:rPr>
          <w:rFonts w:ascii="Times New Roman"/>
          <w:b w:val="0"/>
          <w:spacing w:val="40"/>
        </w:rPr>
        <w:t> </w:t>
      </w:r>
      <w:r>
        <w:rPr>
          <w:color w:val="231F20"/>
        </w:rPr>
        <w:t>Percent</w:t>
      </w:r>
      <w:r>
        <w:rPr>
          <w:color w:val="231F20"/>
          <w:spacing w:val="25"/>
        </w:rPr>
        <w:t> </w:t>
      </w:r>
      <w:r>
        <w:rPr>
          <w:color w:val="231F20"/>
        </w:rPr>
        <w:t>change</w:t>
      </w:r>
      <w:r>
        <w:rPr>
          <w:color w:val="231F20"/>
          <w:spacing w:val="25"/>
        </w:rPr>
        <w:t> </w:t>
      </w:r>
      <w:r>
        <w:rPr>
          <w:color w:val="231F20"/>
        </w:rPr>
        <w:t>in</w:t>
      </w:r>
      <w:r>
        <w:rPr>
          <w:color w:val="231F20"/>
          <w:spacing w:val="25"/>
        </w:rPr>
        <w:t> </w:t>
      </w:r>
      <w:r>
        <w:rPr>
          <w:color w:val="231F20"/>
        </w:rPr>
        <w:t>value</w:t>
      </w:r>
    </w:p>
    <w:p>
      <w:pPr>
        <w:pStyle w:val="BodyText"/>
        <w:spacing w:line="213" w:lineRule="auto" w:before="9"/>
        <w:ind w:left="3190" w:right="385"/>
      </w:pPr>
      <w:r>
        <w:rPr>
          <w:color w:val="231F20"/>
        </w:rPr>
        <w:t>The PCTCHANGE function takes the percentage change between the sampled value of the attribute and the previous value, then compares it with what you enter here. If the result meets the comparison, the </w:t>
      </w:r>
      <w:r>
        <w:rPr>
          <w:color w:val="231F20"/>
        </w:rPr>
        <w:t>situation</w:t>
      </w:r>
      <w:r>
        <w:rPr>
          <w:color w:val="231F20"/>
          <w:spacing w:val="40"/>
        </w:rPr>
        <w:t> </w:t>
      </w:r>
      <w:r>
        <w:rPr>
          <w:color w:val="231F20"/>
        </w:rPr>
        <w:t>is true. Valid values are numeric integers.</w:t>
      </w:r>
    </w:p>
    <w:p>
      <w:pPr>
        <w:pStyle w:val="Heading6"/>
        <w:spacing w:before="116"/>
      </w:pPr>
      <w:r>
        <w:rPr>
          <w:color w:val="231F20"/>
          <w:spacing w:val="-2"/>
        </w:rPr>
        <w:t>Example</w:t>
      </w:r>
    </w:p>
    <w:p>
      <w:pPr>
        <w:pStyle w:val="BodyText"/>
        <w:spacing w:line="213" w:lineRule="auto" w:before="11"/>
        <w:ind w:left="3190" w:right="545"/>
      </w:pPr>
      <w:r>
        <w:rPr>
          <w:color w:val="231F20"/>
        </w:rPr>
        <w:t>This situation is true when the memory usage of a process increases </w:t>
      </w:r>
      <w:r>
        <w:rPr>
          <w:color w:val="231F20"/>
        </w:rPr>
        <w:t>by 50% or more between sampling intervals.</w:t>
      </w:r>
    </w:p>
    <w:p>
      <w:pPr>
        <w:spacing w:before="62"/>
        <w:ind w:left="3190" w:right="0" w:firstLine="0"/>
        <w:jc w:val="left"/>
        <w:rPr>
          <w:rFonts w:ascii="Arial"/>
          <w:sz w:val="18"/>
        </w:rPr>
      </w:pPr>
      <w:r>
        <w:rPr>
          <w:rFonts w:ascii="Arial"/>
          <w:color w:val="231F20"/>
          <w:w w:val="90"/>
          <w:sz w:val="18"/>
        </w:rPr>
        <w:t>PCTCHANGE</w:t>
      </w:r>
      <w:r>
        <w:rPr>
          <w:rFonts w:ascii="Arial"/>
          <w:color w:val="231F20"/>
          <w:spacing w:val="11"/>
          <w:sz w:val="18"/>
        </w:rPr>
        <w:t> </w:t>
      </w:r>
      <w:r>
        <w:rPr>
          <w:rFonts w:ascii="Arial"/>
          <w:color w:val="231F20"/>
          <w:w w:val="90"/>
          <w:sz w:val="18"/>
        </w:rPr>
        <w:t>(%</w:t>
      </w:r>
      <w:r>
        <w:rPr>
          <w:rFonts w:ascii="Arial"/>
          <w:color w:val="231F20"/>
          <w:spacing w:val="11"/>
          <w:sz w:val="18"/>
        </w:rPr>
        <w:t> </w:t>
      </w:r>
      <w:r>
        <w:rPr>
          <w:rFonts w:ascii="Arial"/>
          <w:color w:val="231F20"/>
          <w:w w:val="90"/>
          <w:sz w:val="18"/>
        </w:rPr>
        <w:t>Processor</w:t>
      </w:r>
      <w:r>
        <w:rPr>
          <w:rFonts w:ascii="Arial"/>
          <w:color w:val="231F20"/>
          <w:spacing w:val="11"/>
          <w:sz w:val="18"/>
        </w:rPr>
        <w:t> </w:t>
      </w:r>
      <w:r>
        <w:rPr>
          <w:rFonts w:ascii="Arial"/>
          <w:color w:val="231F20"/>
          <w:w w:val="90"/>
          <w:sz w:val="18"/>
        </w:rPr>
        <w:t>Time)</w:t>
      </w:r>
      <w:r>
        <w:rPr>
          <w:rFonts w:ascii="Arial"/>
          <w:color w:val="231F20"/>
          <w:spacing w:val="11"/>
          <w:sz w:val="18"/>
        </w:rPr>
        <w:t> </w:t>
      </w:r>
      <w:r>
        <w:rPr>
          <w:rFonts w:ascii="Arial"/>
          <w:color w:val="231F20"/>
          <w:w w:val="90"/>
          <w:sz w:val="18"/>
        </w:rPr>
        <w:t>&gt;=</w:t>
      </w:r>
      <w:r>
        <w:rPr>
          <w:rFonts w:ascii="Arial"/>
          <w:color w:val="231F20"/>
          <w:spacing w:val="11"/>
          <w:sz w:val="18"/>
        </w:rPr>
        <w:t> </w:t>
      </w:r>
      <w:r>
        <w:rPr>
          <w:rFonts w:ascii="Arial"/>
          <w:color w:val="231F20"/>
          <w:spacing w:val="-5"/>
          <w:w w:val="90"/>
          <w:sz w:val="18"/>
        </w:rPr>
        <w:t>50</w:t>
      </w:r>
    </w:p>
    <w:p>
      <w:pPr>
        <w:pStyle w:val="Heading6"/>
        <w:spacing w:before="128"/>
      </w:pPr>
      <w:r>
        <w:rPr>
          <w:color w:val="231F20"/>
          <w:spacing w:val="-2"/>
        </w:rPr>
        <w:t>Restrictions</w:t>
      </w:r>
    </w:p>
    <w:p>
      <w:pPr>
        <w:pStyle w:val="BodyText"/>
        <w:spacing w:line="258" w:lineRule="exact"/>
        <w:ind w:left="3190"/>
      </w:pPr>
      <w:r>
        <w:rPr>
          <w:color w:val="231F20"/>
        </w:rPr>
        <w:t>You</w:t>
      </w:r>
      <w:r>
        <w:rPr>
          <w:color w:val="231F20"/>
          <w:spacing w:val="9"/>
        </w:rPr>
        <w:t> </w:t>
      </w:r>
      <w:r>
        <w:rPr>
          <w:color w:val="231F20"/>
        </w:rPr>
        <w:t>can</w:t>
      </w:r>
      <w:r>
        <w:rPr>
          <w:color w:val="231F20"/>
          <w:spacing w:val="9"/>
        </w:rPr>
        <w:t> </w:t>
      </w:r>
      <w:r>
        <w:rPr>
          <w:color w:val="231F20"/>
        </w:rPr>
        <w:t>have</w:t>
      </w:r>
      <w:r>
        <w:rPr>
          <w:color w:val="231F20"/>
          <w:spacing w:val="9"/>
        </w:rPr>
        <w:t> </w:t>
      </w:r>
      <w:r>
        <w:rPr>
          <w:color w:val="231F20"/>
        </w:rPr>
        <w:t>only</w:t>
      </w:r>
      <w:r>
        <w:rPr>
          <w:color w:val="231F20"/>
          <w:spacing w:val="10"/>
        </w:rPr>
        <w:t> </w:t>
      </w:r>
      <w:r>
        <w:rPr>
          <w:color w:val="231F20"/>
        </w:rPr>
        <w:t>one</w:t>
      </w:r>
      <w:r>
        <w:rPr>
          <w:color w:val="231F20"/>
          <w:spacing w:val="9"/>
        </w:rPr>
        <w:t> </w:t>
      </w:r>
      <w:r>
        <w:rPr>
          <w:color w:val="231F20"/>
        </w:rPr>
        <w:t>PCTCHANGE</w:t>
      </w:r>
      <w:r>
        <w:rPr>
          <w:color w:val="231F20"/>
          <w:spacing w:val="9"/>
        </w:rPr>
        <w:t> </w:t>
      </w:r>
      <w:r>
        <w:rPr>
          <w:color w:val="231F20"/>
        </w:rPr>
        <w:t>function</w:t>
      </w:r>
      <w:r>
        <w:rPr>
          <w:color w:val="231F20"/>
          <w:spacing w:val="10"/>
        </w:rPr>
        <w:t> </w:t>
      </w:r>
      <w:r>
        <w:rPr>
          <w:color w:val="231F20"/>
        </w:rPr>
        <w:t>in</w:t>
      </w:r>
      <w:r>
        <w:rPr>
          <w:color w:val="231F20"/>
          <w:spacing w:val="9"/>
        </w:rPr>
        <w:t> </w:t>
      </w:r>
      <w:r>
        <w:rPr>
          <w:color w:val="231F20"/>
        </w:rPr>
        <w:t>a</w:t>
      </w:r>
      <w:r>
        <w:rPr>
          <w:color w:val="231F20"/>
          <w:spacing w:val="9"/>
        </w:rPr>
        <w:t> </w:t>
      </w:r>
      <w:r>
        <w:rPr>
          <w:color w:val="231F20"/>
          <w:spacing w:val="-2"/>
        </w:rPr>
        <w:t>situation.</w:t>
      </w:r>
    </w:p>
    <w:p>
      <w:pPr>
        <w:pStyle w:val="BodyText"/>
        <w:spacing w:line="213" w:lineRule="auto" w:before="112"/>
        <w:ind w:left="3190" w:right="545"/>
      </w:pPr>
      <w:r>
        <w:rPr>
          <w:color w:val="231F20"/>
        </w:rPr>
        <w:t>The PCTCHANGE function must be written on row 1 of the </w:t>
      </w:r>
      <w:r>
        <w:rPr>
          <w:color w:val="231F20"/>
        </w:rPr>
        <w:t>formula editor; all subsequent rows are disabled.</w:t>
      </w:r>
    </w:p>
    <w:p>
      <w:pPr>
        <w:pStyle w:val="BodyText"/>
        <w:spacing w:line="213" w:lineRule="auto" w:before="119"/>
        <w:ind w:left="3190" w:right="545"/>
      </w:pPr>
      <w:r>
        <w:rPr>
          <w:color w:val="231F20"/>
        </w:rPr>
        <w:t>You cannot combine the PCTCHANGE function with a </w:t>
      </w:r>
      <w:r>
        <w:rPr>
          <w:color w:val="231F20"/>
        </w:rPr>
        <w:t>CHANGE, MISSING or group function in a situation.</w:t>
      </w:r>
    </w:p>
    <w:p>
      <w:pPr>
        <w:pStyle w:val="BodyText"/>
        <w:spacing w:line="213" w:lineRule="auto" w:before="118"/>
        <w:ind w:left="3190" w:right="545"/>
      </w:pPr>
      <w:r>
        <w:rPr>
          <w:color w:val="231F20"/>
        </w:rPr>
        <w:t>A formula with the PCTCHANGE function can use values from </w:t>
      </w:r>
      <w:r>
        <w:rPr>
          <w:color w:val="231F20"/>
        </w:rPr>
        <w:t>one attribute group only.</w:t>
      </w:r>
    </w:p>
    <w:p>
      <w:pPr>
        <w:pStyle w:val="BodyText"/>
        <w:spacing w:line="213" w:lineRule="auto" w:before="118"/>
        <w:ind w:left="3190"/>
      </w:pPr>
      <w:r>
        <w:rPr>
          <w:color w:val="231F20"/>
        </w:rPr>
        <w:t>The function list shows PCTCHANGE for monitoring agents that are of </w:t>
      </w:r>
      <w:r>
        <w:rPr>
          <w:color w:val="231F20"/>
        </w:rPr>
        <w:t>the correct version; older versions do not display PCTCHANGE in the list.</w:t>
      </w:r>
    </w:p>
    <w:p>
      <w:pPr>
        <w:pStyle w:val="BodyText"/>
        <w:spacing w:line="213" w:lineRule="auto" w:before="119"/>
        <w:ind w:left="3190" w:right="258"/>
      </w:pPr>
      <w:r>
        <w:rPr>
          <w:color w:val="231F20"/>
        </w:rPr>
        <w:t>If the expression that is responsible for a situation event uses this </w:t>
      </w:r>
      <w:r>
        <w:rPr>
          <w:color w:val="231F20"/>
        </w:rPr>
        <w:t>function, the event results workspace shows neither the attribute value threshold color</w:t>
      </w:r>
      <w:r>
        <w:rPr>
          <w:color w:val="231F20"/>
          <w:spacing w:val="29"/>
        </w:rPr>
        <w:t> </w:t>
      </w:r>
      <w:r>
        <w:rPr>
          <w:color w:val="231F20"/>
        </w:rPr>
        <w:t>nor</w:t>
      </w:r>
      <w:r>
        <w:rPr>
          <w:color w:val="231F20"/>
          <w:spacing w:val="29"/>
        </w:rPr>
        <w:t> </w:t>
      </w:r>
      <w:r>
        <w:rPr>
          <w:color w:val="231F20"/>
        </w:rPr>
        <w:t>the</w:t>
      </w:r>
      <w:r>
        <w:rPr>
          <w:color w:val="231F20"/>
          <w:spacing w:val="29"/>
        </w:rPr>
        <w:t> </w:t>
      </w:r>
      <w:r>
        <w:rPr>
          <w:color w:val="231F20"/>
        </w:rPr>
        <w:t>expression</w:t>
      </w:r>
      <w:r>
        <w:rPr>
          <w:color w:val="231F20"/>
          <w:spacing w:val="29"/>
        </w:rPr>
        <w:t> </w:t>
      </w:r>
      <w:r>
        <w:rPr>
          <w:color w:val="231F20"/>
        </w:rPr>
        <w:t>that</w:t>
      </w:r>
      <w:r>
        <w:rPr>
          <w:color w:val="231F20"/>
          <w:spacing w:val="29"/>
        </w:rPr>
        <w:t> </w:t>
      </w:r>
      <w:r>
        <w:rPr>
          <w:color w:val="231F20"/>
        </w:rPr>
        <w:t>should</w:t>
      </w:r>
      <w:r>
        <w:rPr>
          <w:color w:val="231F20"/>
          <w:spacing w:val="29"/>
        </w:rPr>
        <w:t> </w:t>
      </w:r>
      <w:r>
        <w:rPr>
          <w:color w:val="231F20"/>
        </w:rPr>
        <w:t>display</w:t>
      </w:r>
      <w:r>
        <w:rPr>
          <w:color w:val="231F20"/>
          <w:spacing w:val="29"/>
        </w:rPr>
        <w:t> </w:t>
      </w:r>
      <w:r>
        <w:rPr>
          <w:color w:val="231F20"/>
        </w:rPr>
        <w:t>when</w:t>
      </w:r>
      <w:r>
        <w:rPr>
          <w:color w:val="231F20"/>
          <w:spacing w:val="29"/>
        </w:rPr>
        <w:t> </w:t>
      </w:r>
      <w:r>
        <w:rPr>
          <w:color w:val="231F20"/>
        </w:rPr>
        <w:t>you</w:t>
      </w:r>
      <w:r>
        <w:rPr>
          <w:color w:val="231F20"/>
          <w:spacing w:val="29"/>
        </w:rPr>
        <w:t> </w:t>
      </w:r>
      <w:r>
        <w:rPr>
          <w:color w:val="231F20"/>
        </w:rPr>
        <w:t>hover</w:t>
      </w:r>
      <w:r>
        <w:rPr>
          <w:color w:val="231F20"/>
          <w:spacing w:val="29"/>
        </w:rPr>
        <w:t> </w:t>
      </w:r>
      <w:r>
        <w:rPr>
          <w:color w:val="231F20"/>
        </w:rPr>
        <w:t>over</w:t>
      </w:r>
      <w:r>
        <w:rPr>
          <w:color w:val="231F20"/>
          <w:spacing w:val="29"/>
        </w:rPr>
        <w:t> </w:t>
      </w:r>
      <w:r>
        <w:rPr>
          <w:color w:val="231F20"/>
        </w:rPr>
        <w:t>an initial situation value.</w:t>
      </w:r>
    </w:p>
    <w:p>
      <w:pPr>
        <w:pStyle w:val="Heading6"/>
        <w:spacing w:before="116"/>
      </w:pPr>
      <w:r>
        <w:rPr>
          <w:color w:val="231F20"/>
        </w:rPr>
        <w:t>Hexadecimal</w:t>
      </w:r>
      <w:r>
        <w:rPr>
          <w:color w:val="231F20"/>
          <w:spacing w:val="4"/>
        </w:rPr>
        <w:t> </w:t>
      </w:r>
      <w:r>
        <w:rPr>
          <w:color w:val="231F20"/>
          <w:spacing w:val="-2"/>
        </w:rPr>
        <w:t>numbers</w:t>
      </w:r>
    </w:p>
    <w:p>
      <w:pPr>
        <w:pStyle w:val="BodyText"/>
        <w:spacing w:line="213" w:lineRule="auto" w:before="11"/>
        <w:ind w:left="3190" w:right="274"/>
      </w:pPr>
      <w:r>
        <w:rPr>
          <w:color w:val="231F20"/>
        </w:rPr>
        <w:t>When entering a hexadecimal value in a cell, prefix the number with </w:t>
      </w:r>
      <w:r>
        <w:rPr>
          <w:color w:val="231F20"/>
        </w:rPr>
        <w:t>zero </w:t>
      </w:r>
      <w:bookmarkStart w:name="REGEX: Scan for a string based on Regula" w:id="679"/>
      <w:bookmarkEnd w:id="679"/>
      <w:r>
        <w:rPr>
          <w:color w:val="231F20"/>
        </w:rPr>
        <w:t>and</w:t>
      </w:r>
      <w:r>
        <w:rPr>
          <w:color w:val="231F20"/>
        </w:rPr>
        <w:t> the letter “x”, as in 0x123ab for hex value 123ab.</w:t>
      </w:r>
    </w:p>
    <w:p>
      <w:pPr>
        <w:pStyle w:val="Heading3"/>
        <w:spacing w:line="237" w:lineRule="auto" w:before="220"/>
        <w:ind w:left="1574" w:right="545"/>
      </w:pPr>
      <w:r>
        <w:rPr>
          <w:color w:val="231F20"/>
        </w:rPr>
        <w:t>REGEX: Scan for a string based on Regular </w:t>
      </w:r>
      <w:r>
        <w:rPr>
          <w:color w:val="231F20"/>
        </w:rPr>
        <w:t>Expression </w:t>
      </w:r>
      <w:r>
        <w:rPr>
          <w:color w:val="231F20"/>
          <w:spacing w:val="-2"/>
        </w:rPr>
        <w:t>pattern</w:t>
      </w:r>
    </w:p>
    <w:p>
      <w:pPr>
        <w:pStyle w:val="BodyText"/>
        <w:spacing w:line="213" w:lineRule="auto" w:before="59"/>
        <w:ind w:left="2472" w:right="202"/>
      </w:pPr>
      <w:r>
        <w:rPr>
          <w:color w:val="231F20"/>
        </w:rPr>
        <w:t>Use the REGEX formula function in a query-based view filter or a table view threshold</w:t>
      </w:r>
      <w:r>
        <w:rPr>
          <w:color w:val="231F20"/>
          <w:spacing w:val="12"/>
        </w:rPr>
        <w:t> </w:t>
      </w:r>
      <w:r>
        <w:rPr>
          <w:color w:val="231F20"/>
        </w:rPr>
        <w:t>for</w:t>
      </w:r>
      <w:r>
        <w:rPr>
          <w:color w:val="231F20"/>
          <w:spacing w:val="12"/>
        </w:rPr>
        <w:t> </w:t>
      </w:r>
      <w:r>
        <w:rPr>
          <w:color w:val="231F20"/>
        </w:rPr>
        <w:t>the</w:t>
      </w:r>
      <w:r>
        <w:rPr>
          <w:color w:val="231F20"/>
          <w:spacing w:val="12"/>
        </w:rPr>
        <w:t> </w:t>
      </w:r>
      <w:r>
        <w:rPr>
          <w:color w:val="231F20"/>
        </w:rPr>
        <w:t>text</w:t>
      </w:r>
      <w:r>
        <w:rPr>
          <w:color w:val="231F20"/>
          <w:spacing w:val="12"/>
        </w:rPr>
        <w:t> </w:t>
      </w:r>
      <w:r>
        <w:rPr>
          <w:color w:val="231F20"/>
        </w:rPr>
        <w:t>or</w:t>
      </w:r>
      <w:r>
        <w:rPr>
          <w:color w:val="231F20"/>
          <w:spacing w:val="12"/>
        </w:rPr>
        <w:t> </w:t>
      </w:r>
      <w:r>
        <w:rPr>
          <w:color w:val="231F20"/>
        </w:rPr>
        <w:t>timestamp</w:t>
      </w:r>
      <w:r>
        <w:rPr>
          <w:color w:val="231F20"/>
          <w:spacing w:val="12"/>
        </w:rPr>
        <w:t> </w:t>
      </w:r>
      <w:r>
        <w:rPr>
          <w:color w:val="231F20"/>
        </w:rPr>
        <w:t>that</w:t>
      </w:r>
      <w:r>
        <w:rPr>
          <w:color w:val="231F20"/>
          <w:spacing w:val="12"/>
        </w:rPr>
        <w:t> </w:t>
      </w:r>
      <w:r>
        <w:rPr>
          <w:color w:val="231F20"/>
        </w:rPr>
        <w:t>matches</w:t>
      </w:r>
      <w:r>
        <w:rPr>
          <w:color w:val="231F20"/>
          <w:spacing w:val="12"/>
        </w:rPr>
        <w:t> </w:t>
      </w:r>
      <w:r>
        <w:rPr>
          <w:color w:val="231F20"/>
        </w:rPr>
        <w:t>a</w:t>
      </w:r>
      <w:r>
        <w:rPr>
          <w:color w:val="231F20"/>
          <w:spacing w:val="12"/>
        </w:rPr>
        <w:t> </w:t>
      </w:r>
      <w:r>
        <w:rPr>
          <w:color w:val="231F20"/>
        </w:rPr>
        <w:t>pattern.</w:t>
      </w:r>
      <w:r>
        <w:rPr>
          <w:color w:val="231F20"/>
          <w:spacing w:val="12"/>
        </w:rPr>
        <w:t> </w:t>
      </w:r>
      <w:r>
        <w:rPr>
          <w:color w:val="231F20"/>
        </w:rPr>
        <w:t>The</w:t>
      </w:r>
      <w:r>
        <w:rPr>
          <w:color w:val="231F20"/>
          <w:spacing w:val="12"/>
        </w:rPr>
        <w:t> </w:t>
      </w:r>
      <w:r>
        <w:rPr>
          <w:color w:val="231F20"/>
        </w:rPr>
        <w:t>pattern</w:t>
      </w:r>
      <w:r>
        <w:rPr>
          <w:color w:val="231F20"/>
          <w:spacing w:val="12"/>
        </w:rPr>
        <w:t> </w:t>
      </w:r>
      <w:r>
        <w:rPr>
          <w:color w:val="231F20"/>
        </w:rPr>
        <w:t>is</w:t>
      </w:r>
      <w:r>
        <w:rPr>
          <w:color w:val="231F20"/>
          <w:spacing w:val="12"/>
        </w:rPr>
        <w:t> </w:t>
      </w:r>
      <w:r>
        <w:rPr>
          <w:color w:val="231F20"/>
        </w:rPr>
        <w:t>based</w:t>
      </w:r>
      <w:r>
        <w:rPr>
          <w:color w:val="231F20"/>
          <w:spacing w:val="12"/>
        </w:rPr>
        <w:t> </w:t>
      </w:r>
      <w:r>
        <w:rPr>
          <w:color w:val="231F20"/>
        </w:rPr>
        <w:t>on a regular expression.</w:t>
      </w:r>
    </w:p>
    <w:p>
      <w:pPr>
        <w:pStyle w:val="Heading6"/>
        <w:spacing w:line="227" w:lineRule="exact" w:before="122"/>
        <w:ind w:left="2502"/>
      </w:pPr>
      <w:r>
        <w:rPr>
          <w:b w:val="0"/>
        </w:rPr>
        <w:drawing>
          <wp:inline distT="0" distB="0" distL="0" distR="0">
            <wp:extent cx="69850" cy="69850"/>
            <wp:effectExtent l="0" t="0" r="0" b="0"/>
            <wp:docPr id="3358" name="Image 3358"/>
            <wp:cNvGraphicFramePr>
              <a:graphicFrameLocks/>
            </wp:cNvGraphicFramePr>
            <a:graphic>
              <a:graphicData uri="http://schemas.openxmlformats.org/drawingml/2006/picture">
                <pic:pic>
                  <pic:nvPicPr>
                    <pic:cNvPr id="3358" name="Image 3358"/>
                    <pic:cNvPicPr/>
                  </pic:nvPicPr>
                  <pic:blipFill>
                    <a:blip r:embed="rId486" cstate="print"/>
                    <a:stretch>
                      <a:fillRect/>
                    </a:stretch>
                  </pic:blipFill>
                  <pic:spPr>
                    <a:xfrm>
                      <a:off x="0" y="0"/>
                      <a:ext cx="69850" cy="69850"/>
                    </a:xfrm>
                    <a:prstGeom prst="rect">
                      <a:avLst/>
                    </a:prstGeom>
                  </pic:spPr>
                </pic:pic>
              </a:graphicData>
            </a:graphic>
          </wp:inline>
        </w:drawing>
      </w:r>
      <w:r>
        <w:rPr>
          <w:b w:val="0"/>
        </w:rPr>
      </w:r>
      <w:r>
        <w:rPr>
          <w:rFonts w:ascii="Times New Roman"/>
          <w:b w:val="0"/>
          <w:spacing w:val="80"/>
          <w:w w:val="150"/>
          <w:position w:val="1"/>
        </w:rPr>
        <w:t> </w:t>
      </w:r>
      <w:r>
        <w:rPr>
          <w:color w:val="231F20"/>
          <w:position w:val="1"/>
        </w:rPr>
        <w:t>Scan</w:t>
      </w:r>
      <w:r>
        <w:rPr>
          <w:color w:val="231F20"/>
          <w:spacing w:val="23"/>
          <w:position w:val="1"/>
        </w:rPr>
        <w:t> </w:t>
      </w:r>
      <w:r>
        <w:rPr>
          <w:color w:val="231F20"/>
          <w:position w:val="1"/>
        </w:rPr>
        <w:t>for</w:t>
      </w:r>
      <w:r>
        <w:rPr>
          <w:color w:val="231F20"/>
          <w:spacing w:val="23"/>
          <w:position w:val="1"/>
        </w:rPr>
        <w:t> </w:t>
      </w:r>
      <w:r>
        <w:rPr>
          <w:color w:val="231F20"/>
          <w:position w:val="1"/>
        </w:rPr>
        <w:t>a</w:t>
      </w:r>
      <w:r>
        <w:rPr>
          <w:color w:val="231F20"/>
          <w:spacing w:val="23"/>
          <w:position w:val="1"/>
        </w:rPr>
        <w:t> </w:t>
      </w:r>
      <w:r>
        <w:rPr>
          <w:color w:val="231F20"/>
          <w:position w:val="1"/>
        </w:rPr>
        <w:t>string</w:t>
      </w:r>
      <w:r>
        <w:rPr>
          <w:color w:val="231F20"/>
          <w:spacing w:val="23"/>
          <w:position w:val="1"/>
        </w:rPr>
        <w:t> </w:t>
      </w:r>
      <w:r>
        <w:rPr>
          <w:color w:val="231F20"/>
          <w:position w:val="1"/>
        </w:rPr>
        <w:t>based</w:t>
      </w:r>
      <w:r>
        <w:rPr>
          <w:color w:val="231F20"/>
          <w:spacing w:val="23"/>
          <w:position w:val="1"/>
        </w:rPr>
        <w:t> </w:t>
      </w:r>
      <w:r>
        <w:rPr>
          <w:color w:val="231F20"/>
          <w:position w:val="1"/>
        </w:rPr>
        <w:t>on</w:t>
      </w:r>
      <w:r>
        <w:rPr>
          <w:color w:val="231F20"/>
          <w:spacing w:val="23"/>
          <w:position w:val="1"/>
        </w:rPr>
        <w:t> </w:t>
      </w:r>
      <w:r>
        <w:rPr>
          <w:color w:val="231F20"/>
          <w:position w:val="1"/>
        </w:rPr>
        <w:t>Regular</w:t>
      </w:r>
      <w:r>
        <w:rPr>
          <w:color w:val="231F20"/>
          <w:spacing w:val="23"/>
          <w:position w:val="1"/>
        </w:rPr>
        <w:t> </w:t>
      </w:r>
      <w:r>
        <w:rPr>
          <w:color w:val="231F20"/>
          <w:position w:val="1"/>
        </w:rPr>
        <w:t>Expression</w:t>
      </w:r>
      <w:r>
        <w:rPr>
          <w:color w:val="231F20"/>
          <w:spacing w:val="23"/>
          <w:position w:val="1"/>
        </w:rPr>
        <w:t> </w:t>
      </w:r>
      <w:r>
        <w:rPr>
          <w:color w:val="231F20"/>
          <w:position w:val="1"/>
        </w:rPr>
        <w:t>pattern</w:t>
      </w:r>
    </w:p>
    <w:p>
      <w:pPr>
        <w:pStyle w:val="BodyText"/>
        <w:spacing w:line="213" w:lineRule="auto" w:before="8"/>
        <w:ind w:left="3190" w:right="493"/>
      </w:pPr>
      <w:r>
        <w:rPr>
          <w:color w:val="231F20"/>
        </w:rPr>
        <w:t>The REGEX function looks for a pattern match to the expression. The operators available are specific to the </w:t>
      </w:r>
      <w:r>
        <w:rPr>
          <w:rFonts w:ascii="Book Antiqua" w:hAnsi="Book Antiqua"/>
          <w:i/>
          <w:color w:val="231F20"/>
        </w:rPr>
        <w:t>regular expression </w:t>
      </w:r>
      <w:r>
        <w:rPr>
          <w:color w:val="231F20"/>
        </w:rPr>
        <w:t>syntax. Search for "regex" or "regular expression" in your browser to find links to more information (such as this topic in the </w:t>
      </w:r>
      <w:hyperlink r:id="rId492">
        <w:r>
          <w:rPr>
            <w:color w:val="231F20"/>
          </w:rPr>
          <w:t>developerWorks</w:t>
        </w:r>
        <w:r>
          <w:rPr>
            <w:color w:val="231F20"/>
            <w:vertAlign w:val="superscript"/>
          </w:rPr>
          <w:t>®</w:t>
        </w:r>
        <w:r>
          <w:rPr>
            <w:color w:val="231F20"/>
            <w:vertAlign w:val="baseline"/>
          </w:rPr>
          <w:t> technical </w:t>
        </w:r>
        <w:r>
          <w:rPr>
            <w:color w:val="231F20"/>
            <w:vertAlign w:val="baseline"/>
          </w:rPr>
          <w:t>library).</w:t>
        </w:r>
      </w:hyperlink>
    </w:p>
    <w:p>
      <w:pPr>
        <w:spacing w:after="0" w:line="213" w:lineRule="auto"/>
        <w:sectPr>
          <w:pgSz w:w="12240" w:h="15840"/>
          <w:pgMar w:header="0" w:footer="736" w:top="1180" w:bottom="920" w:left="1000" w:right="1060"/>
        </w:sectPr>
      </w:pPr>
    </w:p>
    <w:p>
      <w:pPr>
        <w:pStyle w:val="Heading6"/>
        <w:spacing w:before="83"/>
        <w:ind w:left="2232"/>
      </w:pPr>
      <w:bookmarkStart w:name="_bookmark328" w:id="680"/>
      <w:bookmarkEnd w:id="680"/>
      <w:r>
        <w:rPr>
          <w:b w:val="0"/>
        </w:rPr>
      </w:r>
      <w:r>
        <w:rPr>
          <w:color w:val="231F20"/>
          <w:spacing w:val="-2"/>
        </w:rPr>
        <w:t>Text</w:t>
      </w:r>
      <w:r>
        <w:rPr>
          <w:color w:val="231F20"/>
          <w:spacing w:val="-3"/>
        </w:rPr>
        <w:t> </w:t>
      </w:r>
      <w:r>
        <w:rPr>
          <w:color w:val="231F20"/>
          <w:spacing w:val="-2"/>
        </w:rPr>
        <w:t>example</w:t>
      </w:r>
    </w:p>
    <w:p>
      <w:pPr>
        <w:pStyle w:val="BodyText"/>
        <w:spacing w:line="213" w:lineRule="auto" w:before="12"/>
        <w:ind w:left="2951" w:right="603"/>
      </w:pPr>
      <w:r>
        <w:rPr>
          <w:color w:val="231F20"/>
        </w:rPr>
        <w:t>This formula for the Windows event log table view threshold highlights </w:t>
      </w:r>
      <w:r>
        <w:rPr>
          <w:color w:val="231F20"/>
        </w:rPr>
        <w:t>a cell if the event type is at least three letters long but no longer than nine.</w:t>
      </w:r>
      <w:r>
        <w:rPr>
          <w:color w:val="231F20"/>
          <w:spacing w:val="40"/>
        </w:rPr>
        <w:t> </w:t>
      </w:r>
      <w:r>
        <w:rPr>
          <w:color w:val="231F20"/>
        </w:rPr>
        <w:t>Thus, the event types </w:t>
      </w:r>
      <w:r>
        <w:rPr>
          <w:rFonts w:ascii="Book Antiqua"/>
          <w:i/>
          <w:color w:val="231F20"/>
        </w:rPr>
        <w:t>Error </w:t>
      </w:r>
      <w:r>
        <w:rPr>
          <w:color w:val="231F20"/>
        </w:rPr>
        <w:t>and </w:t>
      </w:r>
      <w:r>
        <w:rPr>
          <w:rFonts w:ascii="Book Antiqua"/>
          <w:i/>
          <w:color w:val="231F20"/>
        </w:rPr>
        <w:t>Warning </w:t>
      </w:r>
      <w:r>
        <w:rPr>
          <w:color w:val="231F20"/>
        </w:rPr>
        <w:t>are highlighted but not</w:t>
      </w:r>
      <w:r>
        <w:rPr>
          <w:color w:val="231F20"/>
          <w:spacing w:val="40"/>
        </w:rPr>
        <w:t> </w:t>
      </w:r>
      <w:r>
        <w:rPr>
          <w:rFonts w:ascii="Book Antiqua"/>
          <w:i/>
          <w:color w:val="231F20"/>
          <w:spacing w:val="-2"/>
        </w:rPr>
        <w:t>Information</w:t>
      </w:r>
      <w:r>
        <w:rPr>
          <w:color w:val="231F20"/>
          <w:spacing w:val="-2"/>
        </w:rPr>
        <w:t>.</w:t>
      </w:r>
    </w:p>
    <w:p>
      <w:pPr>
        <w:spacing w:line="203" w:lineRule="exact" w:before="60"/>
        <w:ind w:left="2951" w:right="0" w:firstLine="0"/>
        <w:jc w:val="left"/>
        <w:rPr>
          <w:rFonts w:ascii="Arial"/>
          <w:sz w:val="18"/>
        </w:rPr>
      </w:pPr>
      <w:r>
        <w:rPr>
          <w:rFonts w:ascii="Arial"/>
          <w:color w:val="231F20"/>
          <w:spacing w:val="-2"/>
          <w:w w:val="95"/>
          <w:sz w:val="18"/>
        </w:rPr>
        <w:t>REGEX(Type)</w:t>
      </w:r>
    </w:p>
    <w:p>
      <w:pPr>
        <w:spacing w:line="203" w:lineRule="exact" w:before="0"/>
        <w:ind w:left="2951" w:right="0" w:firstLine="0"/>
        <w:jc w:val="left"/>
        <w:rPr>
          <w:rFonts w:ascii="Arial" w:hAnsi="Arial"/>
          <w:sz w:val="18"/>
        </w:rPr>
      </w:pPr>
      <w:r>
        <w:rPr>
          <w:rFonts w:ascii="Arial" w:hAnsi="Arial"/>
          <w:color w:val="231F20"/>
          <w:w w:val="115"/>
          <w:sz w:val="18"/>
        </w:rPr>
        <w:t>==</w:t>
      </w:r>
      <w:r>
        <w:rPr>
          <w:rFonts w:ascii="Arial" w:hAnsi="Arial"/>
          <w:color w:val="231F20"/>
          <w:spacing w:val="11"/>
          <w:w w:val="115"/>
          <w:sz w:val="18"/>
        </w:rPr>
        <w:t> </w:t>
      </w:r>
      <w:r>
        <w:rPr>
          <w:rFonts w:ascii="Arial" w:hAnsi="Arial"/>
          <w:color w:val="231F20"/>
          <w:w w:val="115"/>
          <w:sz w:val="18"/>
        </w:rPr>
        <w:t>’[A-Za-</w:t>
      </w:r>
      <w:r>
        <w:rPr>
          <w:rFonts w:ascii="Arial" w:hAnsi="Arial"/>
          <w:color w:val="231F20"/>
          <w:spacing w:val="-2"/>
          <w:w w:val="115"/>
          <w:sz w:val="18"/>
        </w:rPr>
        <w:t>z]{3,9}’</w:t>
      </w:r>
    </w:p>
    <w:p>
      <w:pPr>
        <w:pStyle w:val="Heading6"/>
        <w:spacing w:before="128"/>
        <w:ind w:left="2232"/>
      </w:pPr>
      <w:r>
        <w:rPr>
          <w:color w:val="231F20"/>
        </w:rPr>
        <w:t>Time </w:t>
      </w:r>
      <w:r>
        <w:rPr>
          <w:color w:val="231F20"/>
          <w:spacing w:val="-2"/>
        </w:rPr>
        <w:t>example</w:t>
      </w:r>
    </w:p>
    <w:p>
      <w:pPr>
        <w:spacing w:line="213" w:lineRule="auto" w:before="11"/>
        <w:ind w:left="2951" w:right="634" w:firstLine="0"/>
        <w:jc w:val="both"/>
        <w:rPr>
          <w:sz w:val="20"/>
        </w:rPr>
      </w:pPr>
      <w:r>
        <w:rPr>
          <w:color w:val="231F20"/>
          <w:sz w:val="20"/>
        </w:rPr>
        <w:t>This formula begins looking at the seventh character, the year, to find </w:t>
      </w:r>
      <w:r>
        <w:rPr>
          <w:color w:val="231F20"/>
          <w:sz w:val="20"/>
        </w:rPr>
        <w:t>10, so a timestamp of </w:t>
      </w:r>
      <w:r>
        <w:rPr>
          <w:rFonts w:ascii="Book Antiqua"/>
          <w:i/>
          <w:color w:val="231F20"/>
          <w:sz w:val="20"/>
        </w:rPr>
        <w:t>06/12/10 09:29:05 </w:t>
      </w:r>
      <w:r>
        <w:rPr>
          <w:color w:val="231F20"/>
          <w:sz w:val="20"/>
        </w:rPr>
        <w:t>would meet the criteria, but </w:t>
      </w:r>
      <w:r>
        <w:rPr>
          <w:rFonts w:ascii="Book Antiqua"/>
          <w:i/>
          <w:color w:val="231F20"/>
          <w:sz w:val="20"/>
        </w:rPr>
        <w:t>01/20/09</w:t>
      </w:r>
      <w:r>
        <w:rPr>
          <w:rFonts w:ascii="Book Antiqua"/>
          <w:i/>
          <w:color w:val="231F20"/>
          <w:sz w:val="20"/>
        </w:rPr>
        <w:t> 11:07:05 </w:t>
      </w:r>
      <w:r>
        <w:rPr>
          <w:color w:val="231F20"/>
          <w:sz w:val="20"/>
        </w:rPr>
        <w:t>would not.</w:t>
      </w:r>
    </w:p>
    <w:p>
      <w:pPr>
        <w:spacing w:line="203" w:lineRule="exact" w:before="61"/>
        <w:ind w:left="2951" w:right="0" w:firstLine="0"/>
        <w:jc w:val="left"/>
        <w:rPr>
          <w:rFonts w:ascii="Arial"/>
          <w:sz w:val="18"/>
        </w:rPr>
      </w:pPr>
      <w:r>
        <w:rPr>
          <w:rFonts w:ascii="Arial"/>
          <w:color w:val="231F20"/>
          <w:spacing w:val="-2"/>
          <w:w w:val="95"/>
          <w:sz w:val="18"/>
        </w:rPr>
        <w:t>REGEX(Timestamp)</w:t>
      </w:r>
    </w:p>
    <w:p>
      <w:pPr>
        <w:spacing w:line="203" w:lineRule="exact" w:before="0"/>
        <w:ind w:left="2951" w:right="0" w:firstLine="0"/>
        <w:jc w:val="left"/>
        <w:rPr>
          <w:rFonts w:ascii="Arial"/>
          <w:sz w:val="18"/>
        </w:rPr>
      </w:pPr>
      <w:r>
        <w:rPr>
          <w:rFonts w:ascii="Arial"/>
          <w:color w:val="231F20"/>
          <w:spacing w:val="-2"/>
          <w:sz w:val="18"/>
        </w:rPr>
        <w:t>==</w:t>
      </w:r>
      <w:r>
        <w:rPr>
          <w:rFonts w:ascii="Arial"/>
          <w:color w:val="231F20"/>
          <w:spacing w:val="11"/>
          <w:sz w:val="18"/>
        </w:rPr>
        <w:t> </w:t>
      </w:r>
      <w:r>
        <w:rPr>
          <w:rFonts w:ascii="Arial"/>
          <w:color w:val="231F20"/>
          <w:spacing w:val="-4"/>
          <w:sz w:val="18"/>
        </w:rPr>
        <w:t>7,10</w:t>
      </w:r>
    </w:p>
    <w:p>
      <w:pPr>
        <w:pStyle w:val="Heading6"/>
        <w:spacing w:before="128"/>
        <w:ind w:left="2232"/>
      </w:pPr>
      <w:r>
        <w:rPr>
          <w:color w:val="231F20"/>
          <w:spacing w:val="-2"/>
        </w:rPr>
        <w:t>Operators</w:t>
      </w:r>
    </w:p>
    <w:p>
      <w:pPr>
        <w:pStyle w:val="BodyText"/>
        <w:spacing w:line="213" w:lineRule="auto" w:before="12"/>
        <w:ind w:left="2951" w:right="545"/>
      </w:pPr>
      <w:r>
        <w:rPr>
          <w:color w:val="231F20"/>
        </w:rPr>
        <w:t>The regular expression capability in the Filters and Thresholds tabs of </w:t>
      </w:r>
      <w:r>
        <w:rPr>
          <w:color w:val="231F20"/>
        </w:rPr>
        <w:t>the Properties editor enables you to perform very specific searches through many rows of data based on a pattern. This table has a list of commonly used operators in regular expressions.</w:t>
      </w:r>
    </w:p>
    <w:p>
      <w:pPr>
        <w:pStyle w:val="BodyText"/>
        <w:spacing w:before="7"/>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Operator</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3767" w:type="dxa"/>
          </w:tcPr>
          <w:p>
            <w:pPr>
              <w:pStyle w:val="TableParagraph"/>
              <w:ind w:left="44"/>
              <w:rPr>
                <w:sz w:val="18"/>
              </w:rPr>
            </w:pPr>
            <w:r>
              <w:rPr>
                <w:color w:val="231F20"/>
                <w:sz w:val="18"/>
              </w:rPr>
              <w:t>.</w:t>
            </w:r>
            <w:r>
              <w:rPr>
                <w:color w:val="231F20"/>
                <w:spacing w:val="13"/>
                <w:sz w:val="18"/>
              </w:rPr>
              <w:t> </w:t>
            </w:r>
            <w:r>
              <w:rPr>
                <w:color w:val="231F20"/>
                <w:spacing w:val="-2"/>
                <w:sz w:val="18"/>
              </w:rPr>
              <w:t>period</w:t>
            </w:r>
          </w:p>
        </w:tc>
        <w:tc>
          <w:tcPr>
            <w:tcW w:w="3767" w:type="dxa"/>
          </w:tcPr>
          <w:p>
            <w:pPr>
              <w:pStyle w:val="TableParagraph"/>
              <w:rPr>
                <w:sz w:val="18"/>
              </w:rPr>
            </w:pPr>
            <w:r>
              <w:rPr>
                <w:color w:val="231F20"/>
                <w:sz w:val="18"/>
              </w:rPr>
              <w:t>Match</w:t>
            </w:r>
            <w:r>
              <w:rPr>
                <w:color w:val="231F20"/>
                <w:spacing w:val="9"/>
                <w:sz w:val="18"/>
              </w:rPr>
              <w:t> </w:t>
            </w:r>
            <w:r>
              <w:rPr>
                <w:color w:val="231F20"/>
                <w:sz w:val="18"/>
              </w:rPr>
              <w:t>any</w:t>
            </w:r>
            <w:r>
              <w:rPr>
                <w:color w:val="231F20"/>
                <w:spacing w:val="10"/>
                <w:sz w:val="18"/>
              </w:rPr>
              <w:t> </w:t>
            </w:r>
            <w:r>
              <w:rPr>
                <w:color w:val="231F20"/>
                <w:sz w:val="18"/>
              </w:rPr>
              <w:t>single</w:t>
            </w:r>
            <w:r>
              <w:rPr>
                <w:color w:val="231F20"/>
                <w:spacing w:val="10"/>
                <w:sz w:val="18"/>
              </w:rPr>
              <w:t> </w:t>
            </w:r>
            <w:r>
              <w:rPr>
                <w:color w:val="231F20"/>
                <w:spacing w:val="-2"/>
                <w:sz w:val="18"/>
              </w:rPr>
              <w:t>character</w:t>
            </w:r>
          </w:p>
        </w:tc>
      </w:tr>
      <w:tr>
        <w:trPr>
          <w:trHeight w:val="528" w:hRule="atLeast"/>
        </w:trPr>
        <w:tc>
          <w:tcPr>
            <w:tcW w:w="3767" w:type="dxa"/>
          </w:tcPr>
          <w:p>
            <w:pPr>
              <w:pStyle w:val="TableParagraph"/>
              <w:ind w:left="44"/>
              <w:rPr>
                <w:sz w:val="18"/>
              </w:rPr>
            </w:pPr>
            <w:r>
              <w:rPr>
                <w:color w:val="231F20"/>
                <w:w w:val="105"/>
                <w:sz w:val="18"/>
              </w:rPr>
              <w:t>^</w:t>
            </w:r>
            <w:r>
              <w:rPr>
                <w:color w:val="231F20"/>
                <w:spacing w:val="25"/>
                <w:w w:val="105"/>
                <w:sz w:val="18"/>
              </w:rPr>
              <w:t> </w:t>
            </w:r>
            <w:r>
              <w:rPr>
                <w:color w:val="231F20"/>
                <w:spacing w:val="-2"/>
                <w:w w:val="105"/>
                <w:sz w:val="18"/>
              </w:rPr>
              <w:t>caret</w:t>
            </w:r>
          </w:p>
        </w:tc>
        <w:tc>
          <w:tcPr>
            <w:tcW w:w="3767" w:type="dxa"/>
          </w:tcPr>
          <w:p>
            <w:pPr>
              <w:pStyle w:val="TableParagraph"/>
              <w:spacing w:line="216" w:lineRule="auto" w:before="44"/>
              <w:ind w:right="195" w:hanging="1"/>
              <w:rPr>
                <w:sz w:val="18"/>
              </w:rPr>
            </w:pPr>
            <w:r>
              <w:rPr>
                <w:color w:val="231F20"/>
                <w:sz w:val="18"/>
              </w:rPr>
              <w:t>Match the empty string that occurs at </w:t>
            </w:r>
            <w:r>
              <w:rPr>
                <w:color w:val="231F20"/>
                <w:sz w:val="18"/>
              </w:rPr>
              <w:t>the beginning of a line or string</w:t>
            </w:r>
          </w:p>
        </w:tc>
      </w:tr>
      <w:tr>
        <w:trPr>
          <w:trHeight w:val="528" w:hRule="atLeast"/>
        </w:trPr>
        <w:tc>
          <w:tcPr>
            <w:tcW w:w="3767" w:type="dxa"/>
          </w:tcPr>
          <w:p>
            <w:pPr>
              <w:pStyle w:val="TableParagraph"/>
              <w:ind w:left="44"/>
              <w:rPr>
                <w:sz w:val="18"/>
              </w:rPr>
            </w:pPr>
            <w:r>
              <w:rPr>
                <w:color w:val="231F20"/>
                <w:sz w:val="18"/>
              </w:rPr>
              <w:t>$</w:t>
            </w:r>
            <w:r>
              <w:rPr>
                <w:color w:val="231F20"/>
                <w:spacing w:val="11"/>
                <w:sz w:val="18"/>
              </w:rPr>
              <w:t> </w:t>
            </w:r>
            <w:r>
              <w:rPr>
                <w:color w:val="231F20"/>
                <w:sz w:val="18"/>
              </w:rPr>
              <w:t>dollar</w:t>
            </w:r>
            <w:r>
              <w:rPr>
                <w:color w:val="231F20"/>
                <w:spacing w:val="11"/>
                <w:sz w:val="18"/>
              </w:rPr>
              <w:t> </w:t>
            </w:r>
            <w:r>
              <w:rPr>
                <w:color w:val="231F20"/>
                <w:spacing w:val="-4"/>
                <w:sz w:val="18"/>
              </w:rPr>
              <w:t>sign</w:t>
            </w:r>
          </w:p>
        </w:tc>
        <w:tc>
          <w:tcPr>
            <w:tcW w:w="3767" w:type="dxa"/>
          </w:tcPr>
          <w:p>
            <w:pPr>
              <w:pStyle w:val="TableParagraph"/>
              <w:spacing w:line="216" w:lineRule="auto" w:before="44"/>
              <w:ind w:right="195" w:hanging="1"/>
              <w:rPr>
                <w:sz w:val="18"/>
              </w:rPr>
            </w:pPr>
            <w:r>
              <w:rPr>
                <w:color w:val="231F20"/>
                <w:sz w:val="18"/>
              </w:rPr>
              <w:t>Match the empty string that occurs at </w:t>
            </w:r>
            <w:r>
              <w:rPr>
                <w:color w:val="231F20"/>
                <w:sz w:val="18"/>
              </w:rPr>
              <w:t>the end of a line</w:t>
            </w:r>
          </w:p>
        </w:tc>
      </w:tr>
      <w:tr>
        <w:trPr>
          <w:trHeight w:val="309" w:hRule="atLeast"/>
        </w:trPr>
        <w:tc>
          <w:tcPr>
            <w:tcW w:w="3767" w:type="dxa"/>
          </w:tcPr>
          <w:p>
            <w:pPr>
              <w:pStyle w:val="TableParagraph"/>
              <w:ind w:left="44"/>
              <w:rPr>
                <w:sz w:val="18"/>
              </w:rPr>
            </w:pPr>
            <w:r>
              <w:rPr>
                <w:color w:val="231F20"/>
                <w:spacing w:val="-10"/>
                <w:sz w:val="18"/>
              </w:rPr>
              <w:t>A</w:t>
            </w:r>
          </w:p>
        </w:tc>
        <w:tc>
          <w:tcPr>
            <w:tcW w:w="3767" w:type="dxa"/>
          </w:tcPr>
          <w:p>
            <w:pPr>
              <w:pStyle w:val="TableParagraph"/>
              <w:rPr>
                <w:rFonts w:ascii="Book Antiqua"/>
                <w:i/>
                <w:sz w:val="18"/>
              </w:rPr>
            </w:pPr>
            <w:r>
              <w:rPr>
                <w:color w:val="231F20"/>
                <w:sz w:val="18"/>
              </w:rPr>
              <w:t>Match</w:t>
            </w:r>
            <w:r>
              <w:rPr>
                <w:color w:val="231F20"/>
                <w:spacing w:val="8"/>
                <w:sz w:val="18"/>
              </w:rPr>
              <w:t> </w:t>
            </w:r>
            <w:r>
              <w:rPr>
                <w:color w:val="231F20"/>
                <w:sz w:val="18"/>
              </w:rPr>
              <w:t>an</w:t>
            </w:r>
            <w:r>
              <w:rPr>
                <w:color w:val="231F20"/>
                <w:spacing w:val="8"/>
                <w:sz w:val="18"/>
              </w:rPr>
              <w:t> </w:t>
            </w:r>
            <w:r>
              <w:rPr>
                <w:color w:val="231F20"/>
                <w:sz w:val="18"/>
              </w:rPr>
              <w:t>uppercase</w:t>
            </w:r>
            <w:r>
              <w:rPr>
                <w:color w:val="231F20"/>
                <w:spacing w:val="8"/>
                <w:sz w:val="18"/>
              </w:rPr>
              <w:t> </w:t>
            </w:r>
            <w:r>
              <w:rPr>
                <w:color w:val="231F20"/>
                <w:sz w:val="18"/>
              </w:rPr>
              <w:t>letter</w:t>
            </w:r>
            <w:r>
              <w:rPr>
                <w:color w:val="231F20"/>
                <w:spacing w:val="8"/>
                <w:sz w:val="18"/>
              </w:rPr>
              <w:t> </w:t>
            </w:r>
            <w:r>
              <w:rPr>
                <w:rFonts w:ascii="Book Antiqua"/>
                <w:i/>
                <w:color w:val="231F20"/>
                <w:spacing w:val="-10"/>
                <w:sz w:val="18"/>
              </w:rPr>
              <w:t>A</w:t>
            </w:r>
          </w:p>
        </w:tc>
      </w:tr>
      <w:tr>
        <w:trPr>
          <w:trHeight w:val="309" w:hRule="atLeast"/>
        </w:trPr>
        <w:tc>
          <w:tcPr>
            <w:tcW w:w="3767" w:type="dxa"/>
          </w:tcPr>
          <w:p>
            <w:pPr>
              <w:pStyle w:val="TableParagraph"/>
              <w:ind w:left="44"/>
              <w:rPr>
                <w:sz w:val="18"/>
              </w:rPr>
            </w:pPr>
            <w:r>
              <w:rPr>
                <w:color w:val="231F20"/>
                <w:spacing w:val="-10"/>
                <w:sz w:val="18"/>
              </w:rPr>
              <w:t>a</w:t>
            </w:r>
          </w:p>
        </w:tc>
        <w:tc>
          <w:tcPr>
            <w:tcW w:w="3767" w:type="dxa"/>
          </w:tcPr>
          <w:p>
            <w:pPr>
              <w:pStyle w:val="TableParagraph"/>
              <w:rPr>
                <w:rFonts w:ascii="Book Antiqua"/>
                <w:i/>
                <w:sz w:val="18"/>
              </w:rPr>
            </w:pPr>
            <w:r>
              <w:rPr>
                <w:color w:val="231F20"/>
                <w:sz w:val="18"/>
              </w:rPr>
              <w:t>Match</w:t>
            </w:r>
            <w:r>
              <w:rPr>
                <w:color w:val="231F20"/>
                <w:spacing w:val="8"/>
                <w:sz w:val="18"/>
              </w:rPr>
              <w:t> </w:t>
            </w:r>
            <w:r>
              <w:rPr>
                <w:color w:val="231F20"/>
                <w:sz w:val="18"/>
              </w:rPr>
              <w:t>a</w:t>
            </w:r>
            <w:r>
              <w:rPr>
                <w:color w:val="231F20"/>
                <w:spacing w:val="9"/>
                <w:sz w:val="18"/>
              </w:rPr>
              <w:t> </w:t>
            </w:r>
            <w:r>
              <w:rPr>
                <w:color w:val="231F20"/>
                <w:sz w:val="18"/>
              </w:rPr>
              <w:t>lowercase</w:t>
            </w:r>
            <w:r>
              <w:rPr>
                <w:color w:val="231F20"/>
                <w:spacing w:val="8"/>
                <w:sz w:val="18"/>
              </w:rPr>
              <w:t> </w:t>
            </w:r>
            <w:r>
              <w:rPr>
                <w:color w:val="231F20"/>
                <w:sz w:val="18"/>
              </w:rPr>
              <w:t>letter</w:t>
            </w:r>
            <w:r>
              <w:rPr>
                <w:color w:val="231F20"/>
                <w:spacing w:val="9"/>
                <w:sz w:val="18"/>
              </w:rPr>
              <w:t> </w:t>
            </w:r>
            <w:r>
              <w:rPr>
                <w:rFonts w:ascii="Book Antiqua"/>
                <w:i/>
                <w:color w:val="231F20"/>
                <w:spacing w:val="-10"/>
                <w:sz w:val="18"/>
              </w:rPr>
              <w:t>a</w:t>
            </w:r>
          </w:p>
        </w:tc>
      </w:tr>
      <w:tr>
        <w:trPr>
          <w:trHeight w:val="309" w:hRule="atLeast"/>
        </w:trPr>
        <w:tc>
          <w:tcPr>
            <w:tcW w:w="3767" w:type="dxa"/>
          </w:tcPr>
          <w:p>
            <w:pPr>
              <w:pStyle w:val="TableParagraph"/>
              <w:ind w:left="44"/>
              <w:rPr>
                <w:sz w:val="18"/>
              </w:rPr>
            </w:pPr>
            <w:r>
              <w:rPr>
                <w:color w:val="231F20"/>
                <w:spacing w:val="-5"/>
                <w:sz w:val="18"/>
              </w:rPr>
              <w:t>\d</w:t>
            </w:r>
          </w:p>
        </w:tc>
        <w:tc>
          <w:tcPr>
            <w:tcW w:w="3767" w:type="dxa"/>
          </w:tcPr>
          <w:p>
            <w:pPr>
              <w:pStyle w:val="TableParagraph"/>
              <w:rPr>
                <w:sz w:val="18"/>
              </w:rPr>
            </w:pPr>
            <w:r>
              <w:rPr>
                <w:color w:val="231F20"/>
                <w:sz w:val="18"/>
              </w:rPr>
              <w:t>Match</w:t>
            </w:r>
            <w:r>
              <w:rPr>
                <w:color w:val="231F20"/>
                <w:spacing w:val="9"/>
                <w:sz w:val="18"/>
              </w:rPr>
              <w:t> </w:t>
            </w:r>
            <w:r>
              <w:rPr>
                <w:color w:val="231F20"/>
                <w:sz w:val="18"/>
              </w:rPr>
              <w:t>any</w:t>
            </w:r>
            <w:r>
              <w:rPr>
                <w:color w:val="231F20"/>
                <w:spacing w:val="10"/>
                <w:sz w:val="18"/>
              </w:rPr>
              <w:t> </w:t>
            </w:r>
            <w:r>
              <w:rPr>
                <w:color w:val="231F20"/>
                <w:sz w:val="18"/>
              </w:rPr>
              <w:t>single</w:t>
            </w:r>
            <w:r>
              <w:rPr>
                <w:color w:val="231F20"/>
                <w:spacing w:val="10"/>
                <w:sz w:val="18"/>
              </w:rPr>
              <w:t> </w:t>
            </w:r>
            <w:r>
              <w:rPr>
                <w:color w:val="231F20"/>
                <w:spacing w:val="-2"/>
                <w:sz w:val="18"/>
              </w:rPr>
              <w:t>digit</w:t>
            </w:r>
          </w:p>
        </w:tc>
      </w:tr>
      <w:tr>
        <w:trPr>
          <w:trHeight w:val="309" w:hRule="atLeast"/>
        </w:trPr>
        <w:tc>
          <w:tcPr>
            <w:tcW w:w="3767" w:type="dxa"/>
          </w:tcPr>
          <w:p>
            <w:pPr>
              <w:pStyle w:val="TableParagraph"/>
              <w:ind w:left="44"/>
              <w:rPr>
                <w:sz w:val="18"/>
              </w:rPr>
            </w:pPr>
            <w:r>
              <w:rPr>
                <w:color w:val="231F20"/>
                <w:spacing w:val="-5"/>
                <w:sz w:val="18"/>
              </w:rPr>
              <w:t>\D</w:t>
            </w:r>
          </w:p>
        </w:tc>
        <w:tc>
          <w:tcPr>
            <w:tcW w:w="3767" w:type="dxa"/>
          </w:tcPr>
          <w:p>
            <w:pPr>
              <w:pStyle w:val="TableParagraph"/>
              <w:rPr>
                <w:sz w:val="18"/>
              </w:rPr>
            </w:pPr>
            <w:r>
              <w:rPr>
                <w:color w:val="231F20"/>
                <w:sz w:val="18"/>
              </w:rPr>
              <w:t>Match</w:t>
            </w:r>
            <w:r>
              <w:rPr>
                <w:color w:val="231F20"/>
                <w:spacing w:val="9"/>
                <w:sz w:val="18"/>
              </w:rPr>
              <w:t> </w:t>
            </w:r>
            <w:r>
              <w:rPr>
                <w:color w:val="231F20"/>
                <w:sz w:val="18"/>
              </w:rPr>
              <w:t>any</w:t>
            </w:r>
            <w:r>
              <w:rPr>
                <w:color w:val="231F20"/>
                <w:spacing w:val="9"/>
                <w:sz w:val="18"/>
              </w:rPr>
              <w:t> </w:t>
            </w:r>
            <w:r>
              <w:rPr>
                <w:color w:val="231F20"/>
                <w:sz w:val="18"/>
              </w:rPr>
              <w:t>single</w:t>
            </w:r>
            <w:r>
              <w:rPr>
                <w:color w:val="231F20"/>
                <w:spacing w:val="9"/>
                <w:sz w:val="18"/>
              </w:rPr>
              <w:t> </w:t>
            </w:r>
            <w:r>
              <w:rPr>
                <w:color w:val="231F20"/>
                <w:sz w:val="18"/>
              </w:rPr>
              <w:t>nondigit</w:t>
            </w:r>
            <w:r>
              <w:rPr>
                <w:color w:val="231F20"/>
                <w:spacing w:val="9"/>
                <w:sz w:val="18"/>
              </w:rPr>
              <w:t> </w:t>
            </w:r>
            <w:r>
              <w:rPr>
                <w:color w:val="231F20"/>
                <w:spacing w:val="-2"/>
                <w:sz w:val="18"/>
              </w:rPr>
              <w:t>character</w:t>
            </w:r>
          </w:p>
        </w:tc>
      </w:tr>
      <w:tr>
        <w:trPr>
          <w:trHeight w:val="528" w:hRule="atLeast"/>
        </w:trPr>
        <w:tc>
          <w:tcPr>
            <w:tcW w:w="3767" w:type="dxa"/>
          </w:tcPr>
          <w:p>
            <w:pPr>
              <w:pStyle w:val="TableParagraph"/>
              <w:ind w:left="44"/>
              <w:rPr>
                <w:sz w:val="18"/>
              </w:rPr>
            </w:pPr>
            <w:r>
              <w:rPr>
                <w:color w:val="231F20"/>
                <w:spacing w:val="-5"/>
                <w:sz w:val="18"/>
              </w:rPr>
              <w:t>\w</w:t>
            </w:r>
          </w:p>
        </w:tc>
        <w:tc>
          <w:tcPr>
            <w:tcW w:w="3767" w:type="dxa"/>
          </w:tcPr>
          <w:p>
            <w:pPr>
              <w:pStyle w:val="TableParagraph"/>
              <w:spacing w:line="216" w:lineRule="auto" w:before="44"/>
              <w:ind w:right="54" w:hanging="1"/>
              <w:rPr>
                <w:sz w:val="18"/>
              </w:rPr>
            </w:pPr>
            <w:r>
              <w:rPr>
                <w:color w:val="231F20"/>
                <w:sz w:val="18"/>
              </w:rPr>
              <w:t>Match any single alphanumeric character; </w:t>
            </w:r>
            <w:r>
              <w:rPr>
                <w:color w:val="231F20"/>
                <w:sz w:val="18"/>
              </w:rPr>
              <w:t>a synonym is [:alnum:]</w:t>
            </w:r>
          </w:p>
        </w:tc>
      </w:tr>
      <w:tr>
        <w:trPr>
          <w:trHeight w:val="309" w:hRule="atLeast"/>
        </w:trPr>
        <w:tc>
          <w:tcPr>
            <w:tcW w:w="3767" w:type="dxa"/>
          </w:tcPr>
          <w:p>
            <w:pPr>
              <w:pStyle w:val="TableParagraph"/>
              <w:ind w:left="44"/>
              <w:rPr>
                <w:sz w:val="18"/>
              </w:rPr>
            </w:pPr>
            <w:r>
              <w:rPr>
                <w:color w:val="231F20"/>
                <w:spacing w:val="-2"/>
                <w:sz w:val="18"/>
              </w:rPr>
              <w:t>[A-</w:t>
            </w:r>
            <w:r>
              <w:rPr>
                <w:color w:val="231F20"/>
                <w:spacing w:val="-7"/>
                <w:sz w:val="18"/>
              </w:rPr>
              <w:t>E]</w:t>
            </w:r>
          </w:p>
        </w:tc>
        <w:tc>
          <w:tcPr>
            <w:tcW w:w="3767" w:type="dxa"/>
          </w:tcPr>
          <w:p>
            <w:pPr>
              <w:pStyle w:val="TableParagraph"/>
              <w:rPr>
                <w:rFonts w:ascii="Book Antiqua"/>
                <w:i/>
                <w:sz w:val="18"/>
              </w:rPr>
            </w:pPr>
            <w:r>
              <w:rPr>
                <w:color w:val="231F20"/>
                <w:sz w:val="18"/>
              </w:rPr>
              <w:t>Match</w:t>
            </w:r>
            <w:r>
              <w:rPr>
                <w:color w:val="231F20"/>
                <w:spacing w:val="10"/>
                <w:sz w:val="18"/>
              </w:rPr>
              <w:t> </w:t>
            </w:r>
            <w:r>
              <w:rPr>
                <w:color w:val="231F20"/>
                <w:sz w:val="18"/>
              </w:rPr>
              <w:t>uppercase</w:t>
            </w:r>
            <w:r>
              <w:rPr>
                <w:color w:val="231F20"/>
                <w:spacing w:val="10"/>
                <w:sz w:val="18"/>
              </w:rPr>
              <w:t> </w:t>
            </w:r>
            <w:r>
              <w:rPr>
                <w:rFonts w:ascii="Book Antiqua"/>
                <w:i/>
                <w:color w:val="231F20"/>
                <w:sz w:val="18"/>
              </w:rPr>
              <w:t>A,</w:t>
            </w:r>
            <w:r>
              <w:rPr>
                <w:rFonts w:ascii="Book Antiqua"/>
                <w:i/>
                <w:color w:val="231F20"/>
                <w:spacing w:val="11"/>
                <w:sz w:val="18"/>
              </w:rPr>
              <w:t> </w:t>
            </w:r>
            <w:r>
              <w:rPr>
                <w:rFonts w:ascii="Book Antiqua"/>
                <w:i/>
                <w:color w:val="231F20"/>
                <w:sz w:val="18"/>
              </w:rPr>
              <w:t>B,</w:t>
            </w:r>
            <w:r>
              <w:rPr>
                <w:rFonts w:ascii="Book Antiqua"/>
                <w:i/>
                <w:color w:val="231F20"/>
                <w:spacing w:val="10"/>
                <w:sz w:val="18"/>
              </w:rPr>
              <w:t> </w:t>
            </w:r>
            <w:r>
              <w:rPr>
                <w:rFonts w:ascii="Book Antiqua"/>
                <w:i/>
                <w:color w:val="231F20"/>
                <w:sz w:val="18"/>
              </w:rPr>
              <w:t>C,</w:t>
            </w:r>
            <w:r>
              <w:rPr>
                <w:rFonts w:ascii="Book Antiqua"/>
                <w:i/>
                <w:color w:val="231F20"/>
                <w:spacing w:val="10"/>
                <w:sz w:val="18"/>
              </w:rPr>
              <w:t> </w:t>
            </w:r>
            <w:r>
              <w:rPr>
                <w:rFonts w:ascii="Book Antiqua"/>
                <w:i/>
                <w:color w:val="231F20"/>
                <w:sz w:val="18"/>
              </w:rPr>
              <w:t>D</w:t>
            </w:r>
            <w:r>
              <w:rPr>
                <w:color w:val="231F20"/>
                <w:sz w:val="18"/>
              </w:rPr>
              <w:t>,</w:t>
            </w:r>
            <w:r>
              <w:rPr>
                <w:color w:val="231F20"/>
                <w:spacing w:val="11"/>
                <w:sz w:val="18"/>
              </w:rPr>
              <w:t> </w:t>
            </w:r>
            <w:r>
              <w:rPr>
                <w:color w:val="231F20"/>
                <w:sz w:val="18"/>
              </w:rPr>
              <w:t>or</w:t>
            </w:r>
            <w:r>
              <w:rPr>
                <w:color w:val="231F20"/>
                <w:spacing w:val="10"/>
                <w:sz w:val="18"/>
              </w:rPr>
              <w:t> </w:t>
            </w:r>
            <w:r>
              <w:rPr>
                <w:rFonts w:ascii="Book Antiqua"/>
                <w:i/>
                <w:color w:val="231F20"/>
                <w:spacing w:val="-10"/>
                <w:sz w:val="18"/>
              </w:rPr>
              <w:t>E</w:t>
            </w:r>
          </w:p>
        </w:tc>
      </w:tr>
      <w:tr>
        <w:trPr>
          <w:trHeight w:val="528" w:hRule="atLeast"/>
        </w:trPr>
        <w:tc>
          <w:tcPr>
            <w:tcW w:w="3767" w:type="dxa"/>
          </w:tcPr>
          <w:p>
            <w:pPr>
              <w:pStyle w:val="TableParagraph"/>
              <w:ind w:left="44"/>
              <w:rPr>
                <w:sz w:val="18"/>
              </w:rPr>
            </w:pPr>
            <w:r>
              <w:rPr>
                <w:color w:val="231F20"/>
                <w:sz w:val="18"/>
              </w:rPr>
              <w:t>[^A-</w:t>
            </w:r>
            <w:r>
              <w:rPr>
                <w:color w:val="231F20"/>
                <w:spacing w:val="-5"/>
                <w:sz w:val="18"/>
              </w:rPr>
              <w:t>E]</w:t>
            </w:r>
          </w:p>
        </w:tc>
        <w:tc>
          <w:tcPr>
            <w:tcW w:w="3767" w:type="dxa"/>
          </w:tcPr>
          <w:p>
            <w:pPr>
              <w:pStyle w:val="TableParagraph"/>
              <w:spacing w:line="216" w:lineRule="auto" w:before="44"/>
              <w:ind w:right="59"/>
              <w:rPr>
                <w:rFonts w:ascii="Book Antiqua"/>
                <w:i/>
                <w:sz w:val="18"/>
              </w:rPr>
            </w:pPr>
            <w:r>
              <w:rPr>
                <w:color w:val="231F20"/>
                <w:sz w:val="18"/>
              </w:rPr>
              <w:t>Match any characters except uppercase </w:t>
            </w:r>
            <w:r>
              <w:rPr>
                <w:rFonts w:ascii="Book Antiqua"/>
                <w:i/>
                <w:color w:val="231F20"/>
                <w:sz w:val="18"/>
              </w:rPr>
              <w:t>A, </w:t>
            </w:r>
            <w:r>
              <w:rPr>
                <w:rFonts w:ascii="Book Antiqua"/>
                <w:i/>
                <w:color w:val="231F20"/>
                <w:sz w:val="18"/>
              </w:rPr>
              <w:t>B,</w:t>
            </w:r>
            <w:r>
              <w:rPr>
                <w:rFonts w:ascii="Book Antiqua"/>
                <w:i/>
                <w:color w:val="231F20"/>
                <w:sz w:val="18"/>
              </w:rPr>
              <w:t> C, D</w:t>
            </w:r>
            <w:r>
              <w:rPr>
                <w:color w:val="231F20"/>
                <w:sz w:val="18"/>
              </w:rPr>
              <w:t>, or </w:t>
            </w:r>
            <w:r>
              <w:rPr>
                <w:rFonts w:ascii="Book Antiqua"/>
                <w:i/>
                <w:color w:val="231F20"/>
                <w:sz w:val="18"/>
              </w:rPr>
              <w:t>E</w:t>
            </w:r>
          </w:p>
        </w:tc>
      </w:tr>
      <w:tr>
        <w:trPr>
          <w:trHeight w:val="309" w:hRule="atLeast"/>
        </w:trPr>
        <w:tc>
          <w:tcPr>
            <w:tcW w:w="3767" w:type="dxa"/>
          </w:tcPr>
          <w:p>
            <w:pPr>
              <w:pStyle w:val="TableParagraph"/>
              <w:ind w:left="44"/>
              <w:rPr>
                <w:sz w:val="18"/>
              </w:rPr>
            </w:pPr>
            <w:r>
              <w:rPr>
                <w:color w:val="231F20"/>
                <w:spacing w:val="-5"/>
                <w:sz w:val="18"/>
              </w:rPr>
              <w:t>X?</w:t>
            </w:r>
          </w:p>
        </w:tc>
        <w:tc>
          <w:tcPr>
            <w:tcW w:w="3767" w:type="dxa"/>
          </w:tcPr>
          <w:p>
            <w:pPr>
              <w:pStyle w:val="TableParagraph"/>
              <w:rPr>
                <w:rFonts w:ascii="Arial"/>
                <w:sz w:val="18"/>
              </w:rPr>
            </w:pPr>
            <w:r>
              <w:rPr>
                <w:color w:val="231F20"/>
                <w:sz w:val="18"/>
              </w:rPr>
              <w:t>Match</w:t>
            </w:r>
            <w:r>
              <w:rPr>
                <w:color w:val="231F20"/>
                <w:spacing w:val="10"/>
                <w:sz w:val="18"/>
              </w:rPr>
              <w:t> </w:t>
            </w:r>
            <w:r>
              <w:rPr>
                <w:color w:val="231F20"/>
                <w:sz w:val="18"/>
              </w:rPr>
              <w:t>none</w:t>
            </w:r>
            <w:r>
              <w:rPr>
                <w:color w:val="231F20"/>
                <w:spacing w:val="10"/>
                <w:sz w:val="18"/>
              </w:rPr>
              <w:t> </w:t>
            </w:r>
            <w:r>
              <w:rPr>
                <w:color w:val="231F20"/>
                <w:sz w:val="18"/>
              </w:rPr>
              <w:t>or</w:t>
            </w:r>
            <w:r>
              <w:rPr>
                <w:color w:val="231F20"/>
                <w:spacing w:val="10"/>
                <w:sz w:val="18"/>
              </w:rPr>
              <w:t> </w:t>
            </w:r>
            <w:r>
              <w:rPr>
                <w:color w:val="231F20"/>
                <w:sz w:val="18"/>
              </w:rPr>
              <w:t>one</w:t>
            </w:r>
            <w:r>
              <w:rPr>
                <w:color w:val="231F20"/>
                <w:spacing w:val="10"/>
                <w:sz w:val="18"/>
              </w:rPr>
              <w:t> </w:t>
            </w:r>
            <w:r>
              <w:rPr>
                <w:color w:val="231F20"/>
                <w:sz w:val="18"/>
              </w:rPr>
              <w:t>capital</w:t>
            </w:r>
            <w:r>
              <w:rPr>
                <w:color w:val="231F20"/>
                <w:spacing w:val="10"/>
                <w:sz w:val="18"/>
              </w:rPr>
              <w:t> </w:t>
            </w:r>
            <w:r>
              <w:rPr>
                <w:color w:val="231F20"/>
                <w:sz w:val="18"/>
              </w:rPr>
              <w:t>letter</w:t>
            </w:r>
            <w:r>
              <w:rPr>
                <w:color w:val="231F20"/>
                <w:spacing w:val="10"/>
                <w:sz w:val="18"/>
              </w:rPr>
              <w:t> </w:t>
            </w:r>
            <w:r>
              <w:rPr>
                <w:rFonts w:ascii="Arial"/>
                <w:color w:val="231F20"/>
                <w:spacing w:val="-10"/>
                <w:sz w:val="18"/>
              </w:rPr>
              <w:t>X</w:t>
            </w:r>
          </w:p>
        </w:tc>
      </w:tr>
      <w:tr>
        <w:trPr>
          <w:trHeight w:val="309" w:hRule="atLeast"/>
        </w:trPr>
        <w:tc>
          <w:tcPr>
            <w:tcW w:w="3767" w:type="dxa"/>
          </w:tcPr>
          <w:p>
            <w:pPr>
              <w:pStyle w:val="TableParagraph"/>
              <w:ind w:left="44"/>
              <w:rPr>
                <w:sz w:val="18"/>
              </w:rPr>
            </w:pPr>
            <w:r>
              <w:rPr>
                <w:color w:val="231F20"/>
                <w:spacing w:val="-5"/>
                <w:sz w:val="18"/>
              </w:rPr>
              <w:t>X*</w:t>
            </w:r>
          </w:p>
        </w:tc>
        <w:tc>
          <w:tcPr>
            <w:tcW w:w="3767" w:type="dxa"/>
          </w:tcPr>
          <w:p>
            <w:pPr>
              <w:pStyle w:val="TableParagraph"/>
              <w:rPr>
                <w:sz w:val="18"/>
              </w:rPr>
            </w:pPr>
            <w:r>
              <w:rPr>
                <w:color w:val="231F20"/>
                <w:sz w:val="18"/>
              </w:rPr>
              <w:t>Match</w:t>
            </w:r>
            <w:r>
              <w:rPr>
                <w:color w:val="231F20"/>
                <w:spacing w:val="9"/>
                <w:sz w:val="18"/>
              </w:rPr>
              <w:t> </w:t>
            </w:r>
            <w:r>
              <w:rPr>
                <w:color w:val="231F20"/>
                <w:sz w:val="18"/>
              </w:rPr>
              <w:t>any</w:t>
            </w:r>
            <w:r>
              <w:rPr>
                <w:color w:val="231F20"/>
                <w:spacing w:val="10"/>
                <w:sz w:val="18"/>
              </w:rPr>
              <w:t> </w:t>
            </w:r>
            <w:r>
              <w:rPr>
                <w:color w:val="231F20"/>
                <w:sz w:val="18"/>
              </w:rPr>
              <w:t>number</w:t>
            </w:r>
            <w:r>
              <w:rPr>
                <w:color w:val="231F20"/>
                <w:spacing w:val="10"/>
                <w:sz w:val="18"/>
              </w:rPr>
              <w:t> </w:t>
            </w:r>
            <w:r>
              <w:rPr>
                <w:color w:val="231F20"/>
                <w:sz w:val="18"/>
              </w:rPr>
              <w:t>of</w:t>
            </w:r>
            <w:r>
              <w:rPr>
                <w:color w:val="231F20"/>
                <w:spacing w:val="10"/>
                <w:sz w:val="18"/>
              </w:rPr>
              <w:t> </w:t>
            </w:r>
            <w:r>
              <w:rPr>
                <w:color w:val="231F20"/>
                <w:sz w:val="18"/>
              </w:rPr>
              <w:t>capital</w:t>
            </w:r>
            <w:r>
              <w:rPr>
                <w:color w:val="231F20"/>
                <w:spacing w:val="9"/>
                <w:sz w:val="18"/>
              </w:rPr>
              <w:t> </w:t>
            </w:r>
            <w:r>
              <w:rPr>
                <w:rFonts w:ascii="Book Antiqua"/>
                <w:i/>
                <w:color w:val="231F20"/>
                <w:spacing w:val="-5"/>
                <w:sz w:val="18"/>
              </w:rPr>
              <w:t>X</w:t>
            </w:r>
            <w:r>
              <w:rPr>
                <w:color w:val="231F20"/>
                <w:spacing w:val="-5"/>
                <w:sz w:val="18"/>
              </w:rPr>
              <w:t>es</w:t>
            </w:r>
          </w:p>
        </w:tc>
      </w:tr>
      <w:tr>
        <w:trPr>
          <w:trHeight w:val="309" w:hRule="atLeast"/>
        </w:trPr>
        <w:tc>
          <w:tcPr>
            <w:tcW w:w="3767" w:type="dxa"/>
          </w:tcPr>
          <w:p>
            <w:pPr>
              <w:pStyle w:val="TableParagraph"/>
              <w:ind w:left="44"/>
              <w:rPr>
                <w:sz w:val="18"/>
              </w:rPr>
            </w:pPr>
            <w:r>
              <w:rPr>
                <w:color w:val="231F20"/>
                <w:spacing w:val="-5"/>
                <w:w w:val="110"/>
                <w:sz w:val="18"/>
              </w:rPr>
              <w:t>X+</w:t>
            </w:r>
          </w:p>
        </w:tc>
        <w:tc>
          <w:tcPr>
            <w:tcW w:w="3767" w:type="dxa"/>
          </w:tcPr>
          <w:p>
            <w:pPr>
              <w:pStyle w:val="TableParagraph"/>
              <w:rPr>
                <w:sz w:val="18"/>
              </w:rPr>
            </w:pPr>
            <w:r>
              <w:rPr>
                <w:color w:val="231F20"/>
                <w:sz w:val="18"/>
              </w:rPr>
              <w:t>Match</w:t>
            </w:r>
            <w:r>
              <w:rPr>
                <w:color w:val="231F20"/>
                <w:spacing w:val="9"/>
                <w:sz w:val="18"/>
              </w:rPr>
              <w:t> </w:t>
            </w:r>
            <w:r>
              <w:rPr>
                <w:color w:val="231F20"/>
                <w:sz w:val="18"/>
              </w:rPr>
              <w:t>one</w:t>
            </w:r>
            <w:r>
              <w:rPr>
                <w:color w:val="231F20"/>
                <w:spacing w:val="9"/>
                <w:sz w:val="18"/>
              </w:rPr>
              <w:t> </w:t>
            </w:r>
            <w:r>
              <w:rPr>
                <w:color w:val="231F20"/>
                <w:sz w:val="18"/>
              </w:rPr>
              <w:t>or</w:t>
            </w:r>
            <w:r>
              <w:rPr>
                <w:color w:val="231F20"/>
                <w:spacing w:val="10"/>
                <w:sz w:val="18"/>
              </w:rPr>
              <w:t> </w:t>
            </w:r>
            <w:r>
              <w:rPr>
                <w:color w:val="231F20"/>
                <w:sz w:val="18"/>
              </w:rPr>
              <w:t>more</w:t>
            </w:r>
            <w:r>
              <w:rPr>
                <w:color w:val="231F20"/>
                <w:spacing w:val="9"/>
                <w:sz w:val="18"/>
              </w:rPr>
              <w:t> </w:t>
            </w:r>
            <w:r>
              <w:rPr>
                <w:color w:val="231F20"/>
                <w:sz w:val="18"/>
              </w:rPr>
              <w:t>capital</w:t>
            </w:r>
            <w:r>
              <w:rPr>
                <w:color w:val="231F20"/>
                <w:spacing w:val="9"/>
                <w:sz w:val="18"/>
              </w:rPr>
              <w:t> </w:t>
            </w:r>
            <w:r>
              <w:rPr>
                <w:rFonts w:ascii="Book Antiqua"/>
                <w:i/>
                <w:color w:val="231F20"/>
                <w:spacing w:val="-5"/>
                <w:sz w:val="18"/>
              </w:rPr>
              <w:t>X</w:t>
            </w:r>
            <w:r>
              <w:rPr>
                <w:color w:val="231F20"/>
                <w:spacing w:val="-5"/>
                <w:sz w:val="18"/>
              </w:rPr>
              <w:t>es</w:t>
            </w:r>
          </w:p>
        </w:tc>
      </w:tr>
      <w:tr>
        <w:trPr>
          <w:trHeight w:val="309" w:hRule="atLeast"/>
        </w:trPr>
        <w:tc>
          <w:tcPr>
            <w:tcW w:w="3767" w:type="dxa"/>
          </w:tcPr>
          <w:p>
            <w:pPr>
              <w:pStyle w:val="TableParagraph"/>
              <w:ind w:left="44"/>
              <w:rPr>
                <w:sz w:val="18"/>
              </w:rPr>
            </w:pPr>
            <w:r>
              <w:rPr>
                <w:color w:val="231F20"/>
                <w:spacing w:val="-4"/>
                <w:sz w:val="18"/>
              </w:rPr>
              <w:t>X{n}</w:t>
            </w:r>
          </w:p>
        </w:tc>
        <w:tc>
          <w:tcPr>
            <w:tcW w:w="3767" w:type="dxa"/>
          </w:tcPr>
          <w:p>
            <w:pPr>
              <w:pStyle w:val="TableParagraph"/>
              <w:rPr>
                <w:sz w:val="18"/>
              </w:rPr>
            </w:pPr>
            <w:r>
              <w:rPr>
                <w:color w:val="231F20"/>
                <w:sz w:val="18"/>
              </w:rPr>
              <w:t>Match</w:t>
            </w:r>
            <w:r>
              <w:rPr>
                <w:color w:val="231F20"/>
                <w:spacing w:val="9"/>
                <w:sz w:val="18"/>
              </w:rPr>
              <w:t> </w:t>
            </w:r>
            <w:r>
              <w:rPr>
                <w:color w:val="231F20"/>
                <w:sz w:val="18"/>
              </w:rPr>
              <w:t>exactly</w:t>
            </w:r>
            <w:r>
              <w:rPr>
                <w:color w:val="231F20"/>
                <w:spacing w:val="10"/>
                <w:sz w:val="18"/>
              </w:rPr>
              <w:t> </w:t>
            </w:r>
            <w:r>
              <w:rPr>
                <w:rFonts w:ascii="Book Antiqua"/>
                <w:i/>
                <w:color w:val="231F20"/>
                <w:sz w:val="18"/>
              </w:rPr>
              <w:t>n</w:t>
            </w:r>
            <w:r>
              <w:rPr>
                <w:rFonts w:ascii="Book Antiqua"/>
                <w:i/>
                <w:color w:val="231F20"/>
                <w:spacing w:val="10"/>
                <w:sz w:val="18"/>
              </w:rPr>
              <w:t> </w:t>
            </w:r>
            <w:r>
              <w:rPr>
                <w:color w:val="231F20"/>
                <w:sz w:val="18"/>
              </w:rPr>
              <w:t>capital</w:t>
            </w:r>
            <w:r>
              <w:rPr>
                <w:color w:val="231F20"/>
                <w:spacing w:val="10"/>
                <w:sz w:val="18"/>
              </w:rPr>
              <w:t> </w:t>
            </w:r>
            <w:r>
              <w:rPr>
                <w:rFonts w:ascii="Book Antiqua"/>
                <w:i/>
                <w:color w:val="231F20"/>
                <w:spacing w:val="-5"/>
                <w:sz w:val="18"/>
              </w:rPr>
              <w:t>X</w:t>
            </w:r>
            <w:r>
              <w:rPr>
                <w:color w:val="231F20"/>
                <w:spacing w:val="-5"/>
                <w:sz w:val="18"/>
              </w:rPr>
              <w:t>es</w:t>
            </w:r>
          </w:p>
        </w:tc>
      </w:tr>
      <w:tr>
        <w:trPr>
          <w:trHeight w:val="748" w:hRule="atLeast"/>
        </w:trPr>
        <w:tc>
          <w:tcPr>
            <w:tcW w:w="3767" w:type="dxa"/>
          </w:tcPr>
          <w:p>
            <w:pPr>
              <w:pStyle w:val="TableParagraph"/>
              <w:ind w:left="44"/>
              <w:rPr>
                <w:sz w:val="18"/>
              </w:rPr>
            </w:pPr>
            <w:r>
              <w:rPr>
                <w:color w:val="231F20"/>
                <w:spacing w:val="-2"/>
                <w:sz w:val="18"/>
              </w:rPr>
              <w:t>X{n,m}</w:t>
            </w:r>
          </w:p>
        </w:tc>
        <w:tc>
          <w:tcPr>
            <w:tcW w:w="3767" w:type="dxa"/>
          </w:tcPr>
          <w:p>
            <w:pPr>
              <w:pStyle w:val="TableParagraph"/>
              <w:spacing w:line="216" w:lineRule="auto" w:before="44"/>
              <w:rPr>
                <w:sz w:val="18"/>
              </w:rPr>
            </w:pPr>
            <w:r>
              <w:rPr>
                <w:color w:val="231F20"/>
                <w:sz w:val="18"/>
              </w:rPr>
              <w:t>Match at least </w:t>
            </w:r>
            <w:r>
              <w:rPr>
                <w:rFonts w:ascii="Book Antiqua"/>
                <w:i/>
                <w:color w:val="231F20"/>
                <w:sz w:val="18"/>
              </w:rPr>
              <w:t>n </w:t>
            </w:r>
            <w:r>
              <w:rPr>
                <w:color w:val="231F20"/>
                <w:sz w:val="18"/>
              </w:rPr>
              <w:t>and no more than m capital </w:t>
            </w:r>
            <w:r>
              <w:rPr>
                <w:rFonts w:ascii="Book Antiqua"/>
                <w:i/>
                <w:color w:val="231F20"/>
                <w:sz w:val="18"/>
              </w:rPr>
              <w:t>X</w:t>
            </w:r>
            <w:r>
              <w:rPr>
                <w:color w:val="231F20"/>
                <w:sz w:val="18"/>
              </w:rPr>
              <w:t>es; if you omit </w:t>
            </w:r>
            <w:r>
              <w:rPr>
                <w:rFonts w:ascii="Book Antiqua"/>
                <w:i/>
                <w:color w:val="231F20"/>
                <w:sz w:val="18"/>
              </w:rPr>
              <w:t>m</w:t>
            </w:r>
            <w:r>
              <w:rPr>
                <w:color w:val="231F20"/>
                <w:sz w:val="18"/>
              </w:rPr>
              <w:t>, the expression tries to match at least </w:t>
            </w:r>
            <w:r>
              <w:rPr>
                <w:rFonts w:ascii="Book Antiqua"/>
                <w:i/>
                <w:color w:val="231F20"/>
                <w:sz w:val="18"/>
              </w:rPr>
              <w:t>n X</w:t>
            </w:r>
            <w:r>
              <w:rPr>
                <w:color w:val="231F20"/>
                <w:sz w:val="18"/>
              </w:rPr>
              <w:t>es</w:t>
            </w:r>
          </w:p>
        </w:tc>
      </w:tr>
      <w:tr>
        <w:trPr>
          <w:trHeight w:val="533" w:hRule="atLeast"/>
        </w:trPr>
        <w:tc>
          <w:tcPr>
            <w:tcW w:w="3767" w:type="dxa"/>
          </w:tcPr>
          <w:p>
            <w:pPr>
              <w:pStyle w:val="TableParagraph"/>
              <w:ind w:left="44"/>
              <w:rPr>
                <w:sz w:val="18"/>
              </w:rPr>
            </w:pPr>
            <w:r>
              <w:rPr>
                <w:color w:val="231F20"/>
                <w:spacing w:val="-2"/>
                <w:w w:val="105"/>
                <w:sz w:val="18"/>
              </w:rPr>
              <w:t>(abc|def)+</w:t>
            </w:r>
          </w:p>
        </w:tc>
        <w:tc>
          <w:tcPr>
            <w:tcW w:w="3767" w:type="dxa"/>
          </w:tcPr>
          <w:p>
            <w:pPr>
              <w:pStyle w:val="TableParagraph"/>
              <w:spacing w:line="216" w:lineRule="auto" w:before="44"/>
              <w:rPr>
                <w:sz w:val="18"/>
              </w:rPr>
            </w:pPr>
            <w:r>
              <w:rPr>
                <w:color w:val="231F20"/>
                <w:sz w:val="18"/>
              </w:rPr>
              <w:t>Match a sequence of at least one </w:t>
            </w:r>
            <w:r>
              <w:rPr>
                <w:rFonts w:ascii="Book Antiqua"/>
                <w:i/>
                <w:color w:val="231F20"/>
                <w:sz w:val="18"/>
              </w:rPr>
              <w:t>abc </w:t>
            </w:r>
            <w:r>
              <w:rPr>
                <w:color w:val="231F20"/>
                <w:sz w:val="18"/>
              </w:rPr>
              <w:t>and </w:t>
            </w:r>
            <w:r>
              <w:rPr>
                <w:rFonts w:ascii="Book Antiqua"/>
                <w:i/>
                <w:color w:val="231F20"/>
                <w:sz w:val="18"/>
              </w:rPr>
              <w:t>def</w:t>
            </w:r>
            <w:r>
              <w:rPr>
                <w:color w:val="231F20"/>
                <w:sz w:val="18"/>
              </w:rPr>
              <w:t>; </w:t>
            </w:r>
            <w:r>
              <w:rPr>
                <w:rFonts w:ascii="Book Antiqua"/>
                <w:i/>
                <w:color w:val="231F20"/>
                <w:sz w:val="18"/>
              </w:rPr>
              <w:t>abc </w:t>
            </w:r>
            <w:r>
              <w:rPr>
                <w:color w:val="231F20"/>
                <w:sz w:val="18"/>
              </w:rPr>
              <w:t>and </w:t>
            </w:r>
            <w:r>
              <w:rPr>
                <w:rFonts w:ascii="Book Antiqua"/>
                <w:i/>
                <w:color w:val="231F20"/>
                <w:sz w:val="18"/>
              </w:rPr>
              <w:t>def </w:t>
            </w:r>
            <w:r>
              <w:rPr>
                <w:color w:val="231F20"/>
                <w:sz w:val="18"/>
              </w:rPr>
              <w:t>would match</w:t>
            </w:r>
          </w:p>
        </w:tc>
      </w:tr>
    </w:tbl>
    <w:p>
      <w:pPr>
        <w:pStyle w:val="BodyText"/>
        <w:spacing w:before="123"/>
      </w:pPr>
    </w:p>
    <w:p>
      <w:pPr>
        <w:pStyle w:val="Heading3"/>
        <w:spacing w:before="0"/>
        <w:ind w:left="1334"/>
      </w:pPr>
      <w:bookmarkStart w:name="SCAN: Scan for string within a string" w:id="681"/>
      <w:bookmarkEnd w:id="681"/>
      <w:r>
        <w:rPr>
          <w:b w:val="0"/>
        </w:rPr>
      </w:r>
      <w:r>
        <w:rPr>
          <w:color w:val="231F20"/>
        </w:rPr>
        <w:t>SCAN:</w:t>
      </w:r>
      <w:r>
        <w:rPr>
          <w:color w:val="231F20"/>
          <w:spacing w:val="8"/>
        </w:rPr>
        <w:t> </w:t>
      </w:r>
      <w:r>
        <w:rPr>
          <w:color w:val="231F20"/>
        </w:rPr>
        <w:t>Scan</w:t>
      </w:r>
      <w:r>
        <w:rPr>
          <w:color w:val="231F20"/>
          <w:spacing w:val="9"/>
        </w:rPr>
        <w:t> </w:t>
      </w:r>
      <w:r>
        <w:rPr>
          <w:color w:val="231F20"/>
        </w:rPr>
        <w:t>for</w:t>
      </w:r>
      <w:r>
        <w:rPr>
          <w:color w:val="231F20"/>
          <w:spacing w:val="9"/>
        </w:rPr>
        <w:t> </w:t>
      </w:r>
      <w:r>
        <w:rPr>
          <w:color w:val="231F20"/>
        </w:rPr>
        <w:t>string</w:t>
      </w:r>
      <w:r>
        <w:rPr>
          <w:color w:val="231F20"/>
          <w:spacing w:val="9"/>
        </w:rPr>
        <w:t> </w:t>
      </w:r>
      <w:r>
        <w:rPr>
          <w:color w:val="231F20"/>
        </w:rPr>
        <w:t>within</w:t>
      </w:r>
      <w:r>
        <w:rPr>
          <w:color w:val="231F20"/>
          <w:spacing w:val="9"/>
        </w:rPr>
        <w:t> </w:t>
      </w:r>
      <w:r>
        <w:rPr>
          <w:color w:val="231F20"/>
        </w:rPr>
        <w:t>a</w:t>
      </w:r>
      <w:r>
        <w:rPr>
          <w:color w:val="231F20"/>
          <w:spacing w:val="9"/>
        </w:rPr>
        <w:t> </w:t>
      </w:r>
      <w:bookmarkStart w:name="_bookmark327" w:id="682"/>
      <w:bookmarkEnd w:id="682"/>
      <w:r>
        <w:rPr>
          <w:color w:val="231F20"/>
          <w:spacing w:val="-2"/>
        </w:rPr>
        <w:t>string</w:t>
      </w:r>
    </w:p>
    <w:p>
      <w:pPr>
        <w:pStyle w:val="BodyText"/>
        <w:spacing w:line="213" w:lineRule="auto" w:before="58"/>
        <w:ind w:left="2232" w:right="545"/>
      </w:pPr>
      <w:r>
        <w:rPr>
          <w:color w:val="231F20"/>
        </w:rPr>
        <w:t>Use the SCAN formula function in a situation, query, view filter or table view threshold to scan the data sample for the specified text or time stamp.</w:t>
      </w:r>
    </w:p>
    <w:p>
      <w:pPr>
        <w:pStyle w:val="Heading6"/>
        <w:spacing w:line="227" w:lineRule="exact" w:before="122"/>
        <w:ind w:left="2232"/>
      </w:pPr>
      <w:r>
        <w:rPr>
          <w:b w:val="0"/>
        </w:rPr>
        <w:drawing>
          <wp:inline distT="0" distB="0" distL="0" distR="0">
            <wp:extent cx="88900" cy="88900"/>
            <wp:effectExtent l="0" t="0" r="0" b="0"/>
            <wp:docPr id="3359" name="Image 3359"/>
            <wp:cNvGraphicFramePr>
              <a:graphicFrameLocks/>
            </wp:cNvGraphicFramePr>
            <a:graphic>
              <a:graphicData uri="http://schemas.openxmlformats.org/drawingml/2006/picture">
                <pic:pic>
                  <pic:nvPicPr>
                    <pic:cNvPr id="3359" name="Image 3359"/>
                    <pic:cNvPicPr/>
                  </pic:nvPicPr>
                  <pic:blipFill>
                    <a:blip r:embed="rId158"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79"/>
        </w:rPr>
        <w:t> </w:t>
      </w:r>
      <w:r>
        <w:rPr>
          <w:color w:val="231F20"/>
        </w:rPr>
        <w:t>Scan</w:t>
      </w:r>
      <w:r>
        <w:rPr>
          <w:color w:val="231F20"/>
          <w:spacing w:val="24"/>
        </w:rPr>
        <w:t> </w:t>
      </w:r>
      <w:r>
        <w:rPr>
          <w:color w:val="231F20"/>
        </w:rPr>
        <w:t>for</w:t>
      </w:r>
      <w:r>
        <w:rPr>
          <w:color w:val="231F20"/>
          <w:spacing w:val="24"/>
        </w:rPr>
        <w:t> </w:t>
      </w:r>
      <w:r>
        <w:rPr>
          <w:color w:val="231F20"/>
        </w:rPr>
        <w:t>string</w:t>
      </w:r>
      <w:r>
        <w:rPr>
          <w:color w:val="231F20"/>
          <w:spacing w:val="24"/>
        </w:rPr>
        <w:t> </w:t>
      </w:r>
      <w:r>
        <w:rPr>
          <w:color w:val="231F20"/>
        </w:rPr>
        <w:t>within</w:t>
      </w:r>
      <w:r>
        <w:rPr>
          <w:color w:val="231F20"/>
          <w:spacing w:val="24"/>
        </w:rPr>
        <w:t> </w:t>
      </w:r>
      <w:r>
        <w:rPr>
          <w:color w:val="231F20"/>
        </w:rPr>
        <w:t>a</w:t>
      </w:r>
      <w:r>
        <w:rPr>
          <w:color w:val="231F20"/>
          <w:spacing w:val="24"/>
        </w:rPr>
        <w:t> </w:t>
      </w:r>
      <w:r>
        <w:rPr>
          <w:color w:val="231F20"/>
        </w:rPr>
        <w:t>string</w:t>
      </w:r>
    </w:p>
    <w:p>
      <w:pPr>
        <w:pStyle w:val="BodyText"/>
        <w:spacing w:line="256" w:lineRule="exact"/>
        <w:ind w:left="2951"/>
        <w:jc w:val="both"/>
      </w:pPr>
      <w:r>
        <w:rPr>
          <w:color w:val="231F20"/>
        </w:rPr>
        <w:t>Searches</w:t>
      </w:r>
      <w:r>
        <w:rPr>
          <w:color w:val="231F20"/>
          <w:spacing w:val="10"/>
        </w:rPr>
        <w:t> </w:t>
      </w:r>
      <w:r>
        <w:rPr>
          <w:color w:val="231F20"/>
        </w:rPr>
        <w:t>for</w:t>
      </w:r>
      <w:r>
        <w:rPr>
          <w:color w:val="231F20"/>
          <w:spacing w:val="11"/>
        </w:rPr>
        <w:t> </w:t>
      </w:r>
      <w:r>
        <w:rPr>
          <w:color w:val="231F20"/>
        </w:rPr>
        <w:t>the</w:t>
      </w:r>
      <w:r>
        <w:rPr>
          <w:color w:val="231F20"/>
          <w:spacing w:val="11"/>
        </w:rPr>
        <w:t> </w:t>
      </w:r>
      <w:r>
        <w:rPr>
          <w:color w:val="231F20"/>
        </w:rPr>
        <w:t>value</w:t>
      </w:r>
      <w:r>
        <w:rPr>
          <w:color w:val="231F20"/>
          <w:spacing w:val="10"/>
        </w:rPr>
        <w:t> </w:t>
      </w:r>
      <w:r>
        <w:rPr>
          <w:color w:val="231F20"/>
        </w:rPr>
        <w:t>or</w:t>
      </w:r>
      <w:r>
        <w:rPr>
          <w:color w:val="231F20"/>
          <w:spacing w:val="11"/>
        </w:rPr>
        <w:t> </w:t>
      </w:r>
      <w:r>
        <w:rPr>
          <w:color w:val="231F20"/>
        </w:rPr>
        <w:t>partial</w:t>
      </w:r>
      <w:r>
        <w:rPr>
          <w:color w:val="231F20"/>
          <w:spacing w:val="11"/>
        </w:rPr>
        <w:t> </w:t>
      </w:r>
      <w:r>
        <w:rPr>
          <w:color w:val="231F20"/>
        </w:rPr>
        <w:t>value</w:t>
      </w:r>
      <w:r>
        <w:rPr>
          <w:color w:val="231F20"/>
          <w:spacing w:val="10"/>
        </w:rPr>
        <w:t> </w:t>
      </w:r>
      <w:r>
        <w:rPr>
          <w:color w:val="231F20"/>
        </w:rPr>
        <w:t>occurring</w:t>
      </w:r>
      <w:r>
        <w:rPr>
          <w:color w:val="231F20"/>
          <w:spacing w:val="11"/>
        </w:rPr>
        <w:t> </w:t>
      </w:r>
      <w:r>
        <w:rPr>
          <w:color w:val="231F20"/>
        </w:rPr>
        <w:t>anywhere</w:t>
      </w:r>
      <w:r>
        <w:rPr>
          <w:color w:val="231F20"/>
          <w:spacing w:val="11"/>
        </w:rPr>
        <w:t> </w:t>
      </w:r>
      <w:r>
        <w:rPr>
          <w:color w:val="231F20"/>
        </w:rPr>
        <w:t>in</w:t>
      </w:r>
      <w:r>
        <w:rPr>
          <w:color w:val="231F20"/>
          <w:spacing w:val="11"/>
        </w:rPr>
        <w:t> </w:t>
      </w:r>
      <w:r>
        <w:rPr>
          <w:color w:val="231F20"/>
        </w:rPr>
        <w:t>the</w:t>
      </w:r>
      <w:r>
        <w:rPr>
          <w:color w:val="231F20"/>
          <w:spacing w:val="10"/>
        </w:rPr>
        <w:t> </w:t>
      </w:r>
      <w:r>
        <w:rPr>
          <w:color w:val="231F20"/>
        </w:rPr>
        <w:t>text</w:t>
      </w:r>
      <w:r>
        <w:rPr>
          <w:color w:val="231F20"/>
          <w:spacing w:val="11"/>
        </w:rPr>
        <w:t> </w:t>
      </w:r>
      <w:r>
        <w:rPr>
          <w:color w:val="231F20"/>
          <w:spacing w:val="-5"/>
        </w:rPr>
        <w:t>or</w:t>
      </w:r>
    </w:p>
    <w:p>
      <w:pPr>
        <w:spacing w:after="0" w:line="256" w:lineRule="exact"/>
        <w:jc w:val="both"/>
        <w:sectPr>
          <w:pgSz w:w="12240" w:h="15840"/>
          <w:pgMar w:header="0" w:footer="736" w:top="1180" w:bottom="920" w:left="1000" w:right="1060"/>
        </w:sectPr>
      </w:pPr>
    </w:p>
    <w:p>
      <w:pPr>
        <w:pStyle w:val="BodyText"/>
        <w:spacing w:line="213" w:lineRule="auto" w:before="85"/>
        <w:ind w:left="3190" w:right="493"/>
      </w:pPr>
      <w:bookmarkStart w:name="_bookmark330" w:id="683"/>
      <w:bookmarkEnd w:id="683"/>
      <w:r>
        <w:rPr/>
      </w:r>
      <w:r>
        <w:rPr>
          <w:color w:val="231F20"/>
        </w:rPr>
        <w:t>time stamp returned by the attribute. The == Equal relational operator </w:t>
      </w:r>
      <w:r>
        <w:rPr>
          <w:color w:val="231F20"/>
        </w:rPr>
        <w:t>is valid; all other operators return invalid or unwanted results.</w:t>
      </w:r>
    </w:p>
    <w:p>
      <w:pPr>
        <w:pStyle w:val="Heading6"/>
      </w:pPr>
      <w:r>
        <w:rPr>
          <w:color w:val="231F20"/>
          <w:spacing w:val="-2"/>
        </w:rPr>
        <w:t>Text</w:t>
      </w:r>
      <w:r>
        <w:rPr>
          <w:color w:val="231F20"/>
          <w:spacing w:val="-5"/>
        </w:rPr>
        <w:t> </w:t>
      </w:r>
      <w:r>
        <w:rPr>
          <w:color w:val="231F20"/>
          <w:spacing w:val="-2"/>
        </w:rPr>
        <w:t>examples</w:t>
      </w:r>
    </w:p>
    <w:p>
      <w:pPr>
        <w:pStyle w:val="BodyText"/>
        <w:spacing w:line="213" w:lineRule="auto" w:before="11"/>
        <w:ind w:left="3190"/>
      </w:pPr>
      <w:r>
        <w:rPr>
          <w:color w:val="231F20"/>
        </w:rPr>
        <w:t>This formula scans the value of Owner for </w:t>
      </w:r>
      <w:r>
        <w:rPr>
          <w:rFonts w:ascii="Book Antiqua"/>
          <w:i/>
          <w:color w:val="231F20"/>
        </w:rPr>
        <w:t>CD </w:t>
      </w:r>
      <w:r>
        <w:rPr>
          <w:color w:val="231F20"/>
        </w:rPr>
        <w:t>anywhere in the text. </w:t>
      </w:r>
      <w:r>
        <w:rPr>
          <w:color w:val="231F20"/>
        </w:rPr>
        <w:t>For example, an owner named </w:t>
      </w:r>
      <w:r>
        <w:rPr>
          <w:rFonts w:ascii="Book Antiqua"/>
          <w:i/>
          <w:color w:val="231F20"/>
        </w:rPr>
        <w:t>ABCDEF </w:t>
      </w:r>
      <w:r>
        <w:rPr>
          <w:color w:val="231F20"/>
        </w:rPr>
        <w:t>would meet the comparison.</w:t>
      </w:r>
    </w:p>
    <w:p>
      <w:pPr>
        <w:spacing w:before="62"/>
        <w:ind w:left="3190" w:right="0" w:firstLine="0"/>
        <w:jc w:val="left"/>
        <w:rPr>
          <w:rFonts w:ascii="Arial"/>
          <w:sz w:val="18"/>
        </w:rPr>
      </w:pPr>
      <w:r>
        <w:rPr>
          <w:rFonts w:ascii="Arial"/>
          <w:color w:val="231F20"/>
          <w:w w:val="85"/>
          <w:sz w:val="18"/>
        </w:rPr>
        <w:t>SCAN(Owner)</w:t>
      </w:r>
      <w:r>
        <w:rPr>
          <w:rFonts w:ascii="Arial"/>
          <w:color w:val="231F20"/>
          <w:spacing w:val="39"/>
          <w:sz w:val="18"/>
        </w:rPr>
        <w:t> </w:t>
      </w:r>
      <w:r>
        <w:rPr>
          <w:rFonts w:ascii="Arial"/>
          <w:color w:val="231F20"/>
          <w:w w:val="85"/>
          <w:sz w:val="18"/>
        </w:rPr>
        <w:t>==</w:t>
      </w:r>
      <w:r>
        <w:rPr>
          <w:rFonts w:ascii="Arial"/>
          <w:color w:val="231F20"/>
          <w:spacing w:val="39"/>
          <w:sz w:val="18"/>
        </w:rPr>
        <w:t> </w:t>
      </w:r>
      <w:r>
        <w:rPr>
          <w:rFonts w:ascii="Arial"/>
          <w:color w:val="231F20"/>
          <w:spacing w:val="-5"/>
          <w:w w:val="85"/>
          <w:sz w:val="18"/>
        </w:rPr>
        <w:t>CD</w:t>
      </w:r>
    </w:p>
    <w:p>
      <w:pPr>
        <w:pStyle w:val="BodyText"/>
        <w:spacing w:before="18"/>
        <w:rPr>
          <w:rFonts w:ascii="Arial"/>
          <w:sz w:val="18"/>
        </w:rPr>
      </w:pPr>
    </w:p>
    <w:p>
      <w:pPr>
        <w:spacing w:line="255" w:lineRule="exact" w:before="1"/>
        <w:ind w:left="3190" w:right="0" w:firstLine="0"/>
        <w:jc w:val="left"/>
        <w:rPr>
          <w:rFonts w:ascii="Book Antiqua"/>
          <w:i/>
          <w:sz w:val="20"/>
        </w:rPr>
      </w:pPr>
      <w:r>
        <w:rPr>
          <w:color w:val="231F20"/>
          <w:sz w:val="20"/>
        </w:rPr>
        <w:t>This</w:t>
      </w:r>
      <w:r>
        <w:rPr>
          <w:color w:val="231F20"/>
          <w:spacing w:val="11"/>
          <w:sz w:val="20"/>
        </w:rPr>
        <w:t> </w:t>
      </w:r>
      <w:r>
        <w:rPr>
          <w:color w:val="231F20"/>
          <w:sz w:val="20"/>
        </w:rPr>
        <w:t>formula</w:t>
      </w:r>
      <w:r>
        <w:rPr>
          <w:color w:val="231F20"/>
          <w:spacing w:val="11"/>
          <w:sz w:val="20"/>
        </w:rPr>
        <w:t> </w:t>
      </w:r>
      <w:r>
        <w:rPr>
          <w:color w:val="231F20"/>
          <w:sz w:val="20"/>
        </w:rPr>
        <w:t>scans</w:t>
      </w:r>
      <w:r>
        <w:rPr>
          <w:color w:val="231F20"/>
          <w:spacing w:val="11"/>
          <w:sz w:val="20"/>
        </w:rPr>
        <w:t> </w:t>
      </w:r>
      <w:r>
        <w:rPr>
          <w:color w:val="231F20"/>
          <w:sz w:val="20"/>
        </w:rPr>
        <w:t>the</w:t>
      </w:r>
      <w:r>
        <w:rPr>
          <w:color w:val="231F20"/>
          <w:spacing w:val="11"/>
          <w:sz w:val="20"/>
        </w:rPr>
        <w:t> </w:t>
      </w:r>
      <w:r>
        <w:rPr>
          <w:color w:val="231F20"/>
          <w:sz w:val="20"/>
        </w:rPr>
        <w:t>value</w:t>
      </w:r>
      <w:r>
        <w:rPr>
          <w:color w:val="231F20"/>
          <w:spacing w:val="12"/>
          <w:sz w:val="20"/>
        </w:rPr>
        <w:t> </w:t>
      </w:r>
      <w:r>
        <w:rPr>
          <w:color w:val="231F20"/>
          <w:sz w:val="20"/>
        </w:rPr>
        <w:t>of</w:t>
      </w:r>
      <w:r>
        <w:rPr>
          <w:color w:val="231F20"/>
          <w:spacing w:val="11"/>
          <w:sz w:val="20"/>
        </w:rPr>
        <w:t> </w:t>
      </w:r>
      <w:r>
        <w:rPr>
          <w:color w:val="231F20"/>
          <w:sz w:val="20"/>
        </w:rPr>
        <w:t>ProcessName</w:t>
      </w:r>
      <w:r>
        <w:rPr>
          <w:color w:val="231F20"/>
          <w:spacing w:val="11"/>
          <w:sz w:val="20"/>
        </w:rPr>
        <w:t> </w:t>
      </w:r>
      <w:r>
        <w:rPr>
          <w:color w:val="231F20"/>
          <w:sz w:val="20"/>
        </w:rPr>
        <w:t>for</w:t>
      </w:r>
      <w:r>
        <w:rPr>
          <w:color w:val="231F20"/>
          <w:spacing w:val="11"/>
          <w:sz w:val="20"/>
        </w:rPr>
        <w:t> </w:t>
      </w:r>
      <w:r>
        <w:rPr>
          <w:rFonts w:ascii="Book Antiqua"/>
          <w:i/>
          <w:color w:val="231F20"/>
          <w:sz w:val="20"/>
        </w:rPr>
        <w:t>ho</w:t>
      </w:r>
      <w:r>
        <w:rPr>
          <w:color w:val="231F20"/>
          <w:sz w:val="20"/>
        </w:rPr>
        <w:t>,</w:t>
      </w:r>
      <w:r>
        <w:rPr>
          <w:color w:val="231F20"/>
          <w:spacing w:val="12"/>
          <w:sz w:val="20"/>
        </w:rPr>
        <w:t> </w:t>
      </w:r>
      <w:r>
        <w:rPr>
          <w:color w:val="231F20"/>
          <w:sz w:val="20"/>
        </w:rPr>
        <w:t>so</w:t>
      </w:r>
      <w:r>
        <w:rPr>
          <w:color w:val="231F20"/>
          <w:spacing w:val="11"/>
          <w:sz w:val="20"/>
        </w:rPr>
        <w:t> </w:t>
      </w:r>
      <w:r>
        <w:rPr>
          <w:rFonts w:ascii="Book Antiqua"/>
          <w:i/>
          <w:color w:val="231F20"/>
          <w:sz w:val="20"/>
        </w:rPr>
        <w:t>svchost</w:t>
      </w:r>
      <w:r>
        <w:rPr>
          <w:rFonts w:ascii="Book Antiqua"/>
          <w:i/>
          <w:color w:val="231F20"/>
          <w:spacing w:val="11"/>
          <w:sz w:val="20"/>
        </w:rPr>
        <w:t> </w:t>
      </w:r>
      <w:r>
        <w:rPr>
          <w:color w:val="231F20"/>
          <w:sz w:val="20"/>
        </w:rPr>
        <w:t>and</w:t>
      </w:r>
      <w:r>
        <w:rPr>
          <w:color w:val="231F20"/>
          <w:spacing w:val="11"/>
          <w:sz w:val="20"/>
        </w:rPr>
        <w:t> </w:t>
      </w:r>
      <w:r>
        <w:rPr>
          <w:rFonts w:ascii="Book Antiqua"/>
          <w:i/>
          <w:color w:val="231F20"/>
          <w:spacing w:val="-2"/>
          <w:sz w:val="20"/>
        </w:rPr>
        <w:t>shopper</w:t>
      </w:r>
    </w:p>
    <w:p>
      <w:pPr>
        <w:pStyle w:val="BodyText"/>
        <w:spacing w:line="255" w:lineRule="exact"/>
        <w:ind w:left="3190"/>
      </w:pPr>
      <w:r>
        <w:rPr>
          <w:color w:val="231F20"/>
        </w:rPr>
        <w:t>would</w:t>
      </w:r>
      <w:r>
        <w:rPr>
          <w:color w:val="231F20"/>
          <w:spacing w:val="11"/>
        </w:rPr>
        <w:t> </w:t>
      </w:r>
      <w:r>
        <w:rPr>
          <w:color w:val="231F20"/>
        </w:rPr>
        <w:t>meet</w:t>
      </w:r>
      <w:r>
        <w:rPr>
          <w:color w:val="231F20"/>
          <w:spacing w:val="12"/>
        </w:rPr>
        <w:t> </w:t>
      </w:r>
      <w:r>
        <w:rPr>
          <w:color w:val="231F20"/>
        </w:rPr>
        <w:t>the</w:t>
      </w:r>
      <w:r>
        <w:rPr>
          <w:color w:val="231F20"/>
          <w:spacing w:val="12"/>
        </w:rPr>
        <w:t> </w:t>
      </w:r>
      <w:r>
        <w:rPr>
          <w:color w:val="231F20"/>
          <w:spacing w:val="-2"/>
        </w:rPr>
        <w:t>comparison.</w:t>
      </w:r>
    </w:p>
    <w:p>
      <w:pPr>
        <w:spacing w:before="55"/>
        <w:ind w:left="3190" w:right="0" w:firstLine="0"/>
        <w:jc w:val="left"/>
        <w:rPr>
          <w:rFonts w:ascii="Arial"/>
          <w:sz w:val="18"/>
        </w:rPr>
      </w:pPr>
      <w:r>
        <w:rPr>
          <w:rFonts w:ascii="Arial"/>
          <w:color w:val="231F20"/>
          <w:w w:val="85"/>
          <w:sz w:val="18"/>
        </w:rPr>
        <w:t>SCAN(ProcessName)</w:t>
      </w:r>
      <w:r>
        <w:rPr>
          <w:rFonts w:ascii="Arial"/>
          <w:color w:val="231F20"/>
          <w:spacing w:val="56"/>
          <w:sz w:val="18"/>
        </w:rPr>
        <w:t> </w:t>
      </w:r>
      <w:r>
        <w:rPr>
          <w:rFonts w:ascii="Arial"/>
          <w:color w:val="231F20"/>
          <w:w w:val="85"/>
          <w:sz w:val="18"/>
        </w:rPr>
        <w:t>==</w:t>
      </w:r>
      <w:r>
        <w:rPr>
          <w:rFonts w:ascii="Arial"/>
          <w:color w:val="231F20"/>
          <w:spacing w:val="57"/>
          <w:sz w:val="18"/>
        </w:rPr>
        <w:t> </w:t>
      </w:r>
      <w:r>
        <w:rPr>
          <w:rFonts w:ascii="Arial"/>
          <w:color w:val="231F20"/>
          <w:spacing w:val="-5"/>
          <w:w w:val="85"/>
          <w:sz w:val="18"/>
        </w:rPr>
        <w:t>ho</w:t>
      </w:r>
    </w:p>
    <w:p>
      <w:pPr>
        <w:pStyle w:val="Heading6"/>
        <w:spacing w:before="128"/>
      </w:pPr>
      <w:r>
        <w:rPr>
          <w:color w:val="231F20"/>
        </w:rPr>
        <w:t>Time </w:t>
      </w:r>
      <w:r>
        <w:rPr>
          <w:color w:val="231F20"/>
          <w:spacing w:val="-2"/>
        </w:rPr>
        <w:t>example</w:t>
      </w:r>
    </w:p>
    <w:p>
      <w:pPr>
        <w:pStyle w:val="BodyText"/>
        <w:spacing w:line="213" w:lineRule="auto" w:before="12"/>
        <w:ind w:left="3190"/>
      </w:pPr>
      <w:r>
        <w:rPr>
          <w:color w:val="231F20"/>
        </w:rPr>
        <w:t>This</w:t>
      </w:r>
      <w:r>
        <w:rPr>
          <w:color w:val="231F20"/>
          <w:spacing w:val="25"/>
        </w:rPr>
        <w:t> </w:t>
      </w:r>
      <w:r>
        <w:rPr>
          <w:color w:val="231F20"/>
        </w:rPr>
        <w:t>formula</w:t>
      </w:r>
      <w:r>
        <w:rPr>
          <w:color w:val="231F20"/>
          <w:spacing w:val="25"/>
        </w:rPr>
        <w:t> </w:t>
      </w:r>
      <w:r>
        <w:rPr>
          <w:color w:val="231F20"/>
        </w:rPr>
        <w:t>scans</w:t>
      </w:r>
      <w:r>
        <w:rPr>
          <w:color w:val="231F20"/>
          <w:spacing w:val="25"/>
        </w:rPr>
        <w:t> </w:t>
      </w:r>
      <w:r>
        <w:rPr>
          <w:color w:val="231F20"/>
        </w:rPr>
        <w:t>the</w:t>
      </w:r>
      <w:r>
        <w:rPr>
          <w:color w:val="231F20"/>
          <w:spacing w:val="25"/>
        </w:rPr>
        <w:t> </w:t>
      </w:r>
      <w:r>
        <w:rPr>
          <w:color w:val="231F20"/>
        </w:rPr>
        <w:t>timestamp</w:t>
      </w:r>
      <w:r>
        <w:rPr>
          <w:color w:val="231F20"/>
          <w:spacing w:val="25"/>
        </w:rPr>
        <w:t> </w:t>
      </w:r>
      <w:r>
        <w:rPr>
          <w:color w:val="231F20"/>
        </w:rPr>
        <w:t>for</w:t>
      </w:r>
      <w:r>
        <w:rPr>
          <w:color w:val="231F20"/>
          <w:spacing w:val="25"/>
        </w:rPr>
        <w:t> </w:t>
      </w:r>
      <w:r>
        <w:rPr>
          <w:color w:val="231F20"/>
        </w:rPr>
        <w:t>a</w:t>
      </w:r>
      <w:r>
        <w:rPr>
          <w:color w:val="231F20"/>
          <w:spacing w:val="25"/>
        </w:rPr>
        <w:t> </w:t>
      </w:r>
      <w:r>
        <w:rPr>
          <w:color w:val="231F20"/>
        </w:rPr>
        <w:t>value</w:t>
      </w:r>
      <w:r>
        <w:rPr>
          <w:color w:val="231F20"/>
          <w:spacing w:val="25"/>
        </w:rPr>
        <w:t> </w:t>
      </w:r>
      <w:r>
        <w:rPr>
          <w:color w:val="231F20"/>
        </w:rPr>
        <w:t>of</w:t>
      </w:r>
      <w:r>
        <w:rPr>
          <w:color w:val="231F20"/>
          <w:spacing w:val="25"/>
        </w:rPr>
        <w:t> </w:t>
      </w:r>
      <w:r>
        <w:rPr>
          <w:color w:val="231F20"/>
        </w:rPr>
        <w:t>07/08. A date</w:t>
      </w:r>
      <w:r>
        <w:rPr>
          <w:color w:val="231F20"/>
          <w:spacing w:val="25"/>
        </w:rPr>
        <w:t> </w:t>
      </w:r>
      <w:r>
        <w:rPr>
          <w:color w:val="231F20"/>
        </w:rPr>
        <w:t>of</w:t>
      </w:r>
      <w:r>
        <w:rPr>
          <w:color w:val="231F20"/>
          <w:spacing w:val="25"/>
        </w:rPr>
        <w:t> </w:t>
      </w:r>
      <w:r>
        <w:rPr>
          <w:color w:val="231F20"/>
        </w:rPr>
        <w:t>07/08/10 would</w:t>
      </w:r>
      <w:r>
        <w:rPr>
          <w:color w:val="231F20"/>
          <w:spacing w:val="40"/>
        </w:rPr>
        <w:t> </w:t>
      </w:r>
      <w:r>
        <w:rPr>
          <w:color w:val="231F20"/>
        </w:rPr>
        <w:t>meet</w:t>
      </w:r>
      <w:r>
        <w:rPr>
          <w:color w:val="231F20"/>
          <w:spacing w:val="40"/>
        </w:rPr>
        <w:t> </w:t>
      </w:r>
      <w:r>
        <w:rPr>
          <w:color w:val="231F20"/>
        </w:rPr>
        <w:t>the</w:t>
      </w:r>
      <w:r>
        <w:rPr>
          <w:color w:val="231F20"/>
          <w:spacing w:val="40"/>
        </w:rPr>
        <w:t> </w:t>
      </w:r>
      <w:r>
        <w:rPr>
          <w:color w:val="231F20"/>
        </w:rPr>
        <w:t>comparison</w:t>
      </w:r>
      <w:r>
        <w:rPr>
          <w:color w:val="231F20"/>
          <w:spacing w:val="40"/>
        </w:rPr>
        <w:t> </w:t>
      </w:r>
      <w:r>
        <w:rPr>
          <w:color w:val="231F20"/>
        </w:rPr>
        <w:t>as</w:t>
      </w:r>
      <w:r>
        <w:rPr>
          <w:color w:val="231F20"/>
          <w:spacing w:val="40"/>
        </w:rPr>
        <w:t> </w:t>
      </w:r>
      <w:r>
        <w:rPr>
          <w:color w:val="231F20"/>
        </w:rPr>
        <w:t>would</w:t>
      </w:r>
      <w:r>
        <w:rPr>
          <w:color w:val="231F20"/>
          <w:spacing w:val="40"/>
        </w:rPr>
        <w:t> </w:t>
      </w:r>
      <w:r>
        <w:rPr>
          <w:color w:val="231F20"/>
        </w:rPr>
        <w:t>12/07/08.</w:t>
      </w:r>
    </w:p>
    <w:p>
      <w:pPr>
        <w:spacing w:before="61"/>
        <w:ind w:left="3190" w:right="0" w:firstLine="0"/>
        <w:jc w:val="left"/>
        <w:rPr>
          <w:rFonts w:ascii="Arial"/>
          <w:sz w:val="18"/>
        </w:rPr>
      </w:pPr>
      <w:r>
        <w:rPr>
          <w:rFonts w:ascii="Arial"/>
          <w:color w:val="231F20"/>
          <w:w w:val="90"/>
          <w:sz w:val="18"/>
        </w:rPr>
        <w:t>SCAN(Timestamp)</w:t>
      </w:r>
      <w:r>
        <w:rPr>
          <w:rFonts w:ascii="Arial"/>
          <w:color w:val="231F20"/>
          <w:spacing w:val="26"/>
          <w:sz w:val="18"/>
        </w:rPr>
        <w:t> </w:t>
      </w:r>
      <w:r>
        <w:rPr>
          <w:rFonts w:ascii="Arial"/>
          <w:color w:val="231F20"/>
          <w:w w:val="90"/>
          <w:sz w:val="18"/>
        </w:rPr>
        <w:t>==</w:t>
      </w:r>
      <w:r>
        <w:rPr>
          <w:rFonts w:ascii="Arial"/>
          <w:color w:val="231F20"/>
          <w:spacing w:val="26"/>
          <w:sz w:val="18"/>
        </w:rPr>
        <w:t> </w:t>
      </w:r>
      <w:r>
        <w:rPr>
          <w:rFonts w:ascii="Arial"/>
          <w:color w:val="231F20"/>
          <w:spacing w:val="-2"/>
          <w:w w:val="90"/>
          <w:sz w:val="18"/>
        </w:rPr>
        <w:t>07/08</w:t>
      </w:r>
    </w:p>
    <w:p>
      <w:pPr>
        <w:pStyle w:val="Heading6"/>
        <w:spacing w:before="128"/>
      </w:pPr>
      <w:r>
        <w:rPr>
          <w:color w:val="231F20"/>
          <w:spacing w:val="-2"/>
        </w:rPr>
        <w:t>Wildcards</w:t>
      </w:r>
    </w:p>
    <w:p>
      <w:pPr>
        <w:pStyle w:val="BodyText"/>
        <w:spacing w:line="213" w:lineRule="auto" w:before="11"/>
        <w:ind w:left="3190" w:right="258"/>
      </w:pPr>
      <w:r>
        <w:rPr>
          <w:color w:val="231F20"/>
        </w:rPr>
        <w:t>You can use an * asterisk wildcard to begin or end the attribute value. You can also use the ? question mark wildcard for a single character at that </w:t>
      </w:r>
      <w:r>
        <w:rPr>
          <w:color w:val="231F20"/>
          <w:spacing w:val="-2"/>
        </w:rPr>
        <w:t>position.</w:t>
      </w:r>
    </w:p>
    <w:p>
      <w:pPr>
        <w:pStyle w:val="Heading3"/>
        <w:spacing w:before="217"/>
        <w:ind w:left="1574"/>
      </w:pPr>
      <w:bookmarkStart w:name="STR: Return a subset of the string" w:id="684"/>
      <w:bookmarkEnd w:id="684"/>
      <w:r>
        <w:rPr>
          <w:b w:val="0"/>
        </w:rPr>
      </w:r>
      <w:r>
        <w:rPr>
          <w:color w:val="231F20"/>
        </w:rPr>
        <w:t>STR:</w:t>
      </w:r>
      <w:r>
        <w:rPr>
          <w:color w:val="231F20"/>
          <w:spacing w:val="9"/>
        </w:rPr>
        <w:t> </w:t>
      </w:r>
      <w:r>
        <w:rPr>
          <w:color w:val="231F20"/>
        </w:rPr>
        <w:t>Return</w:t>
      </w:r>
      <w:r>
        <w:rPr>
          <w:color w:val="231F20"/>
          <w:spacing w:val="10"/>
        </w:rPr>
        <w:t> </w:t>
      </w:r>
      <w:r>
        <w:rPr>
          <w:color w:val="231F20"/>
        </w:rPr>
        <w:t>a</w:t>
      </w:r>
      <w:r>
        <w:rPr>
          <w:color w:val="231F20"/>
          <w:spacing w:val="9"/>
        </w:rPr>
        <w:t> </w:t>
      </w:r>
      <w:r>
        <w:rPr>
          <w:color w:val="231F20"/>
        </w:rPr>
        <w:t>subset</w:t>
      </w:r>
      <w:r>
        <w:rPr>
          <w:color w:val="231F20"/>
          <w:spacing w:val="10"/>
        </w:rPr>
        <w:t> </w:t>
      </w:r>
      <w:r>
        <w:rPr>
          <w:color w:val="231F20"/>
        </w:rPr>
        <w:t>of</w:t>
      </w:r>
      <w:r>
        <w:rPr>
          <w:color w:val="231F20"/>
          <w:spacing w:val="9"/>
        </w:rPr>
        <w:t> </w:t>
      </w:r>
      <w:r>
        <w:rPr>
          <w:color w:val="231F20"/>
        </w:rPr>
        <w:t>the</w:t>
      </w:r>
      <w:r>
        <w:rPr>
          <w:color w:val="231F20"/>
          <w:spacing w:val="10"/>
        </w:rPr>
        <w:t> </w:t>
      </w:r>
      <w:bookmarkStart w:name="_bookmark329" w:id="685"/>
      <w:bookmarkEnd w:id="685"/>
      <w:r>
        <w:rPr>
          <w:color w:val="231F20"/>
          <w:spacing w:val="-2"/>
        </w:rPr>
        <w:t>string</w:t>
      </w:r>
    </w:p>
    <w:p>
      <w:pPr>
        <w:pStyle w:val="BodyText"/>
        <w:spacing w:line="213" w:lineRule="auto" w:before="58"/>
        <w:ind w:left="2472" w:right="493"/>
      </w:pPr>
      <w:r>
        <w:rPr>
          <w:color w:val="231F20"/>
        </w:rPr>
        <w:t>Use the STR formula function in a situation, query, view filter or table view threshold to start searching for the value in the text or time stamp at a specific</w:t>
      </w:r>
      <w:r>
        <w:rPr>
          <w:color w:val="231F20"/>
          <w:spacing w:val="40"/>
        </w:rPr>
        <w:t> </w:t>
      </w:r>
      <w:r>
        <w:rPr>
          <w:color w:val="231F20"/>
        </w:rPr>
        <w:t>character position.</w:t>
      </w:r>
    </w:p>
    <w:p>
      <w:pPr>
        <w:pStyle w:val="Heading6"/>
        <w:spacing w:line="227" w:lineRule="exact" w:before="122"/>
      </w:pPr>
      <w:r>
        <w:rPr>
          <w:b w:val="0"/>
        </w:rPr>
        <w:drawing>
          <wp:inline distT="0" distB="0" distL="0" distR="0">
            <wp:extent cx="88900" cy="88900"/>
            <wp:effectExtent l="0" t="0" r="0" b="0"/>
            <wp:docPr id="3360" name="Image 3360"/>
            <wp:cNvGraphicFramePr>
              <a:graphicFrameLocks/>
            </wp:cNvGraphicFramePr>
            <a:graphic>
              <a:graphicData uri="http://schemas.openxmlformats.org/drawingml/2006/picture">
                <pic:pic>
                  <pic:nvPicPr>
                    <pic:cNvPr id="3360" name="Image 3360"/>
                    <pic:cNvPicPr/>
                  </pic:nvPicPr>
                  <pic:blipFill>
                    <a:blip r:embed="rId159"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79"/>
        </w:rPr>
        <w:t> </w:t>
      </w:r>
      <w:r>
        <w:rPr>
          <w:color w:val="231F20"/>
        </w:rPr>
        <w:t>Return</w:t>
      </w:r>
      <w:r>
        <w:rPr>
          <w:color w:val="231F20"/>
          <w:spacing w:val="24"/>
        </w:rPr>
        <w:t> </w:t>
      </w:r>
      <w:r>
        <w:rPr>
          <w:color w:val="231F20"/>
        </w:rPr>
        <w:t>a</w:t>
      </w:r>
      <w:r>
        <w:rPr>
          <w:color w:val="231F20"/>
          <w:spacing w:val="24"/>
        </w:rPr>
        <w:t> </w:t>
      </w:r>
      <w:r>
        <w:rPr>
          <w:color w:val="231F20"/>
        </w:rPr>
        <w:t>subset</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string</w:t>
      </w:r>
    </w:p>
    <w:p>
      <w:pPr>
        <w:pStyle w:val="BodyText"/>
        <w:spacing w:line="213" w:lineRule="auto" w:before="8"/>
        <w:ind w:left="3190" w:right="258"/>
      </w:pPr>
      <w:r>
        <w:rPr>
          <w:color w:val="231F20"/>
        </w:rPr>
        <w:t>Searches for a value occurring at a specific location in the data returned </w:t>
      </w:r>
      <w:r>
        <w:rPr>
          <w:color w:val="231F20"/>
        </w:rPr>
        <w:t>by the attribute. When you select STR, a Substring Comparison Information window</w:t>
      </w:r>
      <w:r>
        <w:rPr>
          <w:color w:val="231F20"/>
          <w:spacing w:val="27"/>
        </w:rPr>
        <w:t> </w:t>
      </w:r>
      <w:r>
        <w:rPr>
          <w:color w:val="231F20"/>
        </w:rPr>
        <w:t>opens</w:t>
      </w:r>
      <w:r>
        <w:rPr>
          <w:color w:val="231F20"/>
          <w:spacing w:val="27"/>
        </w:rPr>
        <w:t> </w:t>
      </w:r>
      <w:r>
        <w:rPr>
          <w:color w:val="231F20"/>
        </w:rPr>
        <w:t>for</w:t>
      </w:r>
      <w:r>
        <w:rPr>
          <w:color w:val="231F20"/>
          <w:spacing w:val="27"/>
        </w:rPr>
        <w:t> </w:t>
      </w:r>
      <w:r>
        <w:rPr>
          <w:color w:val="231F20"/>
        </w:rPr>
        <w:t>you</w:t>
      </w:r>
      <w:r>
        <w:rPr>
          <w:color w:val="231F20"/>
          <w:spacing w:val="27"/>
        </w:rPr>
        <w:t> </w:t>
      </w:r>
      <w:r>
        <w:rPr>
          <w:color w:val="231F20"/>
        </w:rPr>
        <w:t>to</w:t>
      </w:r>
      <w:r>
        <w:rPr>
          <w:color w:val="231F20"/>
          <w:spacing w:val="27"/>
        </w:rPr>
        <w:t> </w:t>
      </w:r>
      <w:r>
        <w:rPr>
          <w:color w:val="231F20"/>
        </w:rPr>
        <w:t>enter</w:t>
      </w:r>
      <w:r>
        <w:rPr>
          <w:color w:val="231F20"/>
          <w:spacing w:val="27"/>
        </w:rPr>
        <w:t> </w:t>
      </w:r>
      <w:r>
        <w:rPr>
          <w:color w:val="231F20"/>
        </w:rPr>
        <w:t>the</w:t>
      </w:r>
      <w:r>
        <w:rPr>
          <w:color w:val="231F20"/>
          <w:spacing w:val="27"/>
        </w:rPr>
        <w:t> </w:t>
      </w:r>
      <w:r>
        <w:rPr>
          <w:color w:val="231F20"/>
        </w:rPr>
        <w:t>starting</w:t>
      </w:r>
      <w:r>
        <w:rPr>
          <w:color w:val="231F20"/>
          <w:spacing w:val="27"/>
        </w:rPr>
        <w:t> </w:t>
      </w:r>
      <w:r>
        <w:rPr>
          <w:color w:val="231F20"/>
        </w:rPr>
        <w:t>position,</w:t>
      </w:r>
      <w:r>
        <w:rPr>
          <w:color w:val="231F20"/>
          <w:spacing w:val="27"/>
        </w:rPr>
        <w:t> </w:t>
      </w:r>
      <w:r>
        <w:rPr>
          <w:color w:val="231F20"/>
        </w:rPr>
        <w:t>such</w:t>
      </w:r>
      <w:r>
        <w:rPr>
          <w:color w:val="231F20"/>
          <w:spacing w:val="27"/>
        </w:rPr>
        <w:t> </w:t>
      </w:r>
      <w:r>
        <w:rPr>
          <w:color w:val="231F20"/>
        </w:rPr>
        <w:t>as</w:t>
      </w:r>
      <w:r>
        <w:rPr>
          <w:color w:val="231F20"/>
          <w:spacing w:val="27"/>
        </w:rPr>
        <w:t> </w:t>
      </w:r>
      <w:r>
        <w:rPr>
          <w:color w:val="231F20"/>
        </w:rPr>
        <w:t>4</w:t>
      </w:r>
      <w:r>
        <w:rPr>
          <w:color w:val="231F20"/>
          <w:spacing w:val="27"/>
        </w:rPr>
        <w:t> </w:t>
      </w:r>
      <w:r>
        <w:rPr>
          <w:color w:val="231F20"/>
        </w:rPr>
        <w:t>for</w:t>
      </w:r>
      <w:r>
        <w:rPr>
          <w:color w:val="231F20"/>
          <w:spacing w:val="27"/>
        </w:rPr>
        <w:t> </w:t>
      </w:r>
      <w:r>
        <w:rPr>
          <w:color w:val="231F20"/>
        </w:rPr>
        <w:t>the fourth character from the left to begin looking for the value.</w:t>
      </w:r>
    </w:p>
    <w:p>
      <w:pPr>
        <w:pStyle w:val="Heading6"/>
        <w:spacing w:before="116"/>
      </w:pPr>
      <w:r>
        <w:rPr>
          <w:color w:val="231F20"/>
          <w:spacing w:val="-2"/>
        </w:rPr>
        <w:t>Text</w:t>
      </w:r>
      <w:r>
        <w:rPr>
          <w:color w:val="231F20"/>
          <w:spacing w:val="-3"/>
        </w:rPr>
        <w:t> </w:t>
      </w:r>
      <w:r>
        <w:rPr>
          <w:color w:val="231F20"/>
          <w:spacing w:val="-2"/>
        </w:rPr>
        <w:t>example</w:t>
      </w:r>
    </w:p>
    <w:p>
      <w:pPr>
        <w:pStyle w:val="BodyText"/>
        <w:spacing w:line="213" w:lineRule="auto" w:before="12"/>
        <w:ind w:left="3190" w:right="545"/>
      </w:pPr>
      <w:r>
        <w:rPr>
          <w:color w:val="231F20"/>
        </w:rPr>
        <w:t>This formula looks for ar starting with the second character in </w:t>
      </w:r>
      <w:r>
        <w:rPr>
          <w:color w:val="231F20"/>
        </w:rPr>
        <w:t>returned values for Handle of the User, so </w:t>
      </w:r>
      <w:r>
        <w:rPr>
          <w:rFonts w:ascii="Book Antiqua"/>
          <w:i/>
          <w:color w:val="231F20"/>
        </w:rPr>
        <w:t>aardvark</w:t>
      </w:r>
      <w:r>
        <w:rPr>
          <w:color w:val="231F20"/>
        </w:rPr>
        <w:t>, </w:t>
      </w:r>
      <w:r>
        <w:rPr>
          <w:rFonts w:ascii="Book Antiqua"/>
          <w:i/>
          <w:color w:val="231F20"/>
        </w:rPr>
        <w:t>parrot </w:t>
      </w:r>
      <w:r>
        <w:rPr>
          <w:color w:val="231F20"/>
        </w:rPr>
        <w:t>and </w:t>
      </w:r>
      <w:r>
        <w:rPr>
          <w:rFonts w:ascii="Book Antiqua"/>
          <w:i/>
          <w:color w:val="231F20"/>
        </w:rPr>
        <w:t>sardine </w:t>
      </w:r>
      <w:r>
        <w:rPr>
          <w:color w:val="231F20"/>
        </w:rPr>
        <w:t>meet the comparison, but not </w:t>
      </w:r>
      <w:r>
        <w:rPr>
          <w:rFonts w:ascii="Book Antiqua"/>
          <w:i/>
          <w:color w:val="231F20"/>
        </w:rPr>
        <w:t>artist</w:t>
      </w:r>
      <w:r>
        <w:rPr>
          <w:color w:val="231F20"/>
        </w:rPr>
        <w:t>, </w:t>
      </w:r>
      <w:r>
        <w:rPr>
          <w:rFonts w:ascii="Book Antiqua"/>
          <w:i/>
          <w:color w:val="231F20"/>
        </w:rPr>
        <w:t>star </w:t>
      </w:r>
      <w:r>
        <w:rPr>
          <w:color w:val="231F20"/>
        </w:rPr>
        <w:t>or SARDINE (case-sensitive).</w:t>
      </w:r>
    </w:p>
    <w:p>
      <w:pPr>
        <w:spacing w:before="61"/>
        <w:ind w:left="3190" w:right="0" w:firstLine="0"/>
        <w:jc w:val="left"/>
        <w:rPr>
          <w:rFonts w:ascii="Arial"/>
          <w:sz w:val="18"/>
        </w:rPr>
      </w:pPr>
      <w:r>
        <w:rPr>
          <w:rFonts w:ascii="Arial"/>
          <w:color w:val="231F20"/>
          <w:sz w:val="18"/>
        </w:rPr>
        <w:t>STR(Handle</w:t>
      </w:r>
      <w:r>
        <w:rPr>
          <w:rFonts w:ascii="Arial"/>
          <w:color w:val="231F20"/>
          <w:spacing w:val="23"/>
          <w:sz w:val="18"/>
        </w:rPr>
        <w:t> </w:t>
      </w:r>
      <w:r>
        <w:rPr>
          <w:rFonts w:ascii="Arial"/>
          <w:color w:val="231F20"/>
          <w:sz w:val="18"/>
        </w:rPr>
        <w:t>of</w:t>
      </w:r>
      <w:r>
        <w:rPr>
          <w:rFonts w:ascii="Arial"/>
          <w:color w:val="231F20"/>
          <w:spacing w:val="24"/>
          <w:sz w:val="18"/>
        </w:rPr>
        <w:t> </w:t>
      </w:r>
      <w:r>
        <w:rPr>
          <w:rFonts w:ascii="Arial"/>
          <w:color w:val="231F20"/>
          <w:sz w:val="18"/>
        </w:rPr>
        <w:t>the</w:t>
      </w:r>
      <w:r>
        <w:rPr>
          <w:rFonts w:ascii="Arial"/>
          <w:color w:val="231F20"/>
          <w:spacing w:val="24"/>
          <w:sz w:val="18"/>
        </w:rPr>
        <w:t> </w:t>
      </w:r>
      <w:r>
        <w:rPr>
          <w:rFonts w:ascii="Arial"/>
          <w:color w:val="231F20"/>
          <w:sz w:val="18"/>
        </w:rPr>
        <w:t>User)</w:t>
      </w:r>
      <w:r>
        <w:rPr>
          <w:rFonts w:ascii="Arial"/>
          <w:color w:val="231F20"/>
          <w:spacing w:val="24"/>
          <w:sz w:val="18"/>
        </w:rPr>
        <w:t> </w:t>
      </w:r>
      <w:r>
        <w:rPr>
          <w:rFonts w:ascii="Arial"/>
          <w:color w:val="231F20"/>
          <w:sz w:val="18"/>
        </w:rPr>
        <w:t>==</w:t>
      </w:r>
      <w:r>
        <w:rPr>
          <w:rFonts w:ascii="Arial"/>
          <w:color w:val="231F20"/>
          <w:spacing w:val="24"/>
          <w:sz w:val="18"/>
        </w:rPr>
        <w:t> </w:t>
      </w:r>
      <w:r>
        <w:rPr>
          <w:rFonts w:ascii="Arial"/>
          <w:color w:val="231F20"/>
          <w:spacing w:val="-4"/>
          <w:sz w:val="18"/>
        </w:rPr>
        <w:t>2,ar</w:t>
      </w:r>
    </w:p>
    <w:p>
      <w:pPr>
        <w:pStyle w:val="Heading6"/>
        <w:spacing w:before="128"/>
      </w:pPr>
      <w:r>
        <w:rPr>
          <w:color w:val="231F20"/>
        </w:rPr>
        <w:t>Time </w:t>
      </w:r>
      <w:r>
        <w:rPr>
          <w:color w:val="231F20"/>
          <w:spacing w:val="-2"/>
        </w:rPr>
        <w:t>example</w:t>
      </w:r>
    </w:p>
    <w:p>
      <w:pPr>
        <w:spacing w:line="213" w:lineRule="auto" w:before="11"/>
        <w:ind w:left="3190" w:right="385" w:firstLine="0"/>
        <w:jc w:val="left"/>
        <w:rPr>
          <w:sz w:val="20"/>
        </w:rPr>
      </w:pPr>
      <w:r>
        <w:rPr>
          <w:color w:val="231F20"/>
          <w:sz w:val="20"/>
        </w:rPr>
        <w:t>This formula begins looking at the seventh character, the year, to find </w:t>
      </w:r>
      <w:r>
        <w:rPr>
          <w:color w:val="231F20"/>
          <w:sz w:val="20"/>
        </w:rPr>
        <w:t>10, so a timestamp of </w:t>
      </w:r>
      <w:r>
        <w:rPr>
          <w:rFonts w:ascii="Book Antiqua"/>
          <w:i/>
          <w:color w:val="231F20"/>
          <w:sz w:val="20"/>
        </w:rPr>
        <w:t>07/12/10 09:29:05 </w:t>
      </w:r>
      <w:r>
        <w:rPr>
          <w:color w:val="231F20"/>
          <w:sz w:val="20"/>
        </w:rPr>
        <w:t>would meet the criteria but </w:t>
      </w:r>
      <w:r>
        <w:rPr>
          <w:rFonts w:ascii="Book Antiqua"/>
          <w:i/>
          <w:color w:val="231F20"/>
          <w:sz w:val="20"/>
        </w:rPr>
        <w:t>10/11/09</w:t>
      </w:r>
      <w:r>
        <w:rPr>
          <w:rFonts w:ascii="Book Antiqua"/>
          <w:i/>
          <w:color w:val="231F20"/>
          <w:sz w:val="20"/>
        </w:rPr>
        <w:t> 11:07:05 </w:t>
      </w:r>
      <w:r>
        <w:rPr>
          <w:color w:val="231F20"/>
          <w:sz w:val="20"/>
        </w:rPr>
        <w:t>would not.</w:t>
      </w:r>
    </w:p>
    <w:p>
      <w:pPr>
        <w:spacing w:before="61"/>
        <w:ind w:left="3190" w:right="0" w:firstLine="0"/>
        <w:jc w:val="left"/>
        <w:rPr>
          <w:rFonts w:ascii="Arial"/>
          <w:sz w:val="18"/>
        </w:rPr>
      </w:pPr>
      <w:r>
        <w:rPr>
          <w:rFonts w:ascii="Arial"/>
          <w:color w:val="231F20"/>
          <w:w w:val="90"/>
          <w:sz w:val="18"/>
        </w:rPr>
        <w:t>STR(Timestamp)</w:t>
      </w:r>
      <w:r>
        <w:rPr>
          <w:rFonts w:ascii="Arial"/>
          <w:color w:val="231F20"/>
          <w:spacing w:val="40"/>
          <w:sz w:val="18"/>
        </w:rPr>
        <w:t> </w:t>
      </w:r>
      <w:r>
        <w:rPr>
          <w:rFonts w:ascii="Arial"/>
          <w:color w:val="231F20"/>
          <w:w w:val="90"/>
          <w:sz w:val="18"/>
        </w:rPr>
        <w:t>==</w:t>
      </w:r>
      <w:r>
        <w:rPr>
          <w:rFonts w:ascii="Arial"/>
          <w:color w:val="231F20"/>
          <w:spacing w:val="41"/>
          <w:sz w:val="18"/>
        </w:rPr>
        <w:t> </w:t>
      </w:r>
      <w:r>
        <w:rPr>
          <w:rFonts w:ascii="Arial"/>
          <w:color w:val="231F20"/>
          <w:spacing w:val="-4"/>
          <w:w w:val="90"/>
          <w:sz w:val="18"/>
        </w:rPr>
        <w:t>7,10</w:t>
      </w:r>
    </w:p>
    <w:p>
      <w:pPr>
        <w:pStyle w:val="Heading6"/>
        <w:spacing w:before="128"/>
      </w:pPr>
      <w:r>
        <w:rPr>
          <w:color w:val="231F20"/>
          <w:spacing w:val="-2"/>
        </w:rPr>
        <w:t>Wildcards</w:t>
      </w:r>
    </w:p>
    <w:p>
      <w:pPr>
        <w:pStyle w:val="BodyText"/>
        <w:spacing w:line="213" w:lineRule="auto" w:before="11"/>
        <w:ind w:left="3190" w:right="258"/>
      </w:pPr>
      <w:r>
        <w:rPr>
          <w:color w:val="231F20"/>
        </w:rPr>
        <w:t>You can use an * asterisk wildcard to begin or end the attribute value. You can also use the ? question mark wildcard for a single character at that </w:t>
      </w:r>
      <w:bookmarkStart w:name="TIME: Compare to a time +/- delta" w:id="686"/>
      <w:bookmarkEnd w:id="686"/>
      <w:r>
        <w:rPr>
          <w:color w:val="231F20"/>
          <w:spacing w:val="-2"/>
        </w:rPr>
        <w:t>position.</w:t>
      </w:r>
    </w:p>
    <w:p>
      <w:pPr>
        <w:pStyle w:val="Heading3"/>
        <w:spacing w:before="217"/>
        <w:ind w:left="1574"/>
      </w:pPr>
      <w:r>
        <w:rPr>
          <w:color w:val="231F20"/>
        </w:rPr>
        <w:t>TIME:</w:t>
      </w:r>
      <w:r>
        <w:rPr>
          <w:color w:val="231F20"/>
          <w:spacing w:val="9"/>
        </w:rPr>
        <w:t> </w:t>
      </w:r>
      <w:r>
        <w:rPr>
          <w:color w:val="231F20"/>
        </w:rPr>
        <w:t>Compare</w:t>
      </w:r>
      <w:r>
        <w:rPr>
          <w:color w:val="231F20"/>
          <w:spacing w:val="9"/>
        </w:rPr>
        <w:t> </w:t>
      </w:r>
      <w:r>
        <w:rPr>
          <w:color w:val="231F20"/>
        </w:rPr>
        <w:t>to</w:t>
      </w:r>
      <w:r>
        <w:rPr>
          <w:color w:val="231F20"/>
          <w:spacing w:val="10"/>
        </w:rPr>
        <w:t> </w:t>
      </w:r>
      <w:r>
        <w:rPr>
          <w:color w:val="231F20"/>
        </w:rPr>
        <w:t>a</w:t>
      </w:r>
      <w:r>
        <w:rPr>
          <w:color w:val="231F20"/>
          <w:spacing w:val="9"/>
        </w:rPr>
        <w:t> </w:t>
      </w:r>
      <w:r>
        <w:rPr>
          <w:color w:val="231F20"/>
        </w:rPr>
        <w:t>time</w:t>
      </w:r>
      <w:r>
        <w:rPr>
          <w:color w:val="231F20"/>
          <w:spacing w:val="10"/>
        </w:rPr>
        <w:t> </w:t>
      </w:r>
      <w:r>
        <w:rPr>
          <w:color w:val="231F20"/>
        </w:rPr>
        <w:t>+/-</w:t>
      </w:r>
      <w:r>
        <w:rPr>
          <w:color w:val="231F20"/>
          <w:spacing w:val="9"/>
        </w:rPr>
        <w:t> </w:t>
      </w:r>
      <w:r>
        <w:rPr>
          <w:color w:val="231F20"/>
          <w:spacing w:val="-2"/>
        </w:rPr>
        <w:t>delta</w:t>
      </w:r>
    </w:p>
    <w:p>
      <w:pPr>
        <w:pStyle w:val="BodyText"/>
        <w:spacing w:line="213" w:lineRule="auto" w:before="58"/>
        <w:ind w:left="2472" w:right="385"/>
      </w:pPr>
      <w:r>
        <w:rPr>
          <w:color w:val="231F20"/>
        </w:rPr>
        <w:t>Use the TIME formula function in a situation, query-based view filter, or table</w:t>
      </w:r>
      <w:r>
        <w:rPr>
          <w:color w:val="231F20"/>
          <w:spacing w:val="80"/>
        </w:rPr>
        <w:t> </w:t>
      </w:r>
      <w:r>
        <w:rPr>
          <w:color w:val="231F20"/>
        </w:rPr>
        <w:t>view threshold formula to compare the time stamp attribute (such a recording</w:t>
      </w:r>
      <w:r>
        <w:rPr>
          <w:color w:val="231F20"/>
          <w:spacing w:val="40"/>
        </w:rPr>
        <w:t> </w:t>
      </w:r>
      <w:r>
        <w:rPr>
          <w:color w:val="231F20"/>
        </w:rPr>
        <w:t>time) with the specified difference in number of days, hours, minutes, or </w:t>
      </w:r>
      <w:r>
        <w:rPr>
          <w:color w:val="231F20"/>
        </w:rPr>
        <w:t>seconds.</w:t>
      </w:r>
    </w:p>
    <w:p>
      <w:pPr>
        <w:pStyle w:val="Heading6"/>
        <w:spacing w:line="227" w:lineRule="exact" w:before="121"/>
      </w:pPr>
      <w:r>
        <w:rPr>
          <w:b w:val="0"/>
        </w:rPr>
        <w:drawing>
          <wp:inline distT="0" distB="0" distL="0" distR="0">
            <wp:extent cx="88900" cy="88900"/>
            <wp:effectExtent l="0" t="0" r="0" b="0"/>
            <wp:docPr id="3361" name="Image 3361"/>
            <wp:cNvGraphicFramePr>
              <a:graphicFrameLocks/>
            </wp:cNvGraphicFramePr>
            <a:graphic>
              <a:graphicData uri="http://schemas.openxmlformats.org/drawingml/2006/picture">
                <pic:pic>
                  <pic:nvPicPr>
                    <pic:cNvPr id="3361" name="Image 3361"/>
                    <pic:cNvPicPr/>
                  </pic:nvPicPr>
                  <pic:blipFill>
                    <a:blip r:embed="rId487"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80"/>
        </w:rPr>
        <w:t> </w:t>
      </w:r>
      <w:r>
        <w:rPr>
          <w:color w:val="231F20"/>
        </w:rPr>
        <w:t>Compare</w:t>
      </w:r>
      <w:r>
        <w:rPr>
          <w:color w:val="231F20"/>
          <w:spacing w:val="26"/>
        </w:rPr>
        <w:t> </w:t>
      </w:r>
      <w:r>
        <w:rPr>
          <w:color w:val="231F20"/>
        </w:rPr>
        <w:t>to</w:t>
      </w:r>
      <w:r>
        <w:rPr>
          <w:color w:val="231F20"/>
          <w:spacing w:val="26"/>
        </w:rPr>
        <w:t> </w:t>
      </w:r>
      <w:r>
        <w:rPr>
          <w:color w:val="231F20"/>
        </w:rPr>
        <w:t>time</w:t>
      </w:r>
      <w:r>
        <w:rPr>
          <w:color w:val="231F20"/>
          <w:spacing w:val="26"/>
        </w:rPr>
        <w:t> </w:t>
      </w:r>
      <w:r>
        <w:rPr>
          <w:color w:val="231F20"/>
        </w:rPr>
        <w:t>+/-</w:t>
      </w:r>
      <w:r>
        <w:rPr>
          <w:color w:val="231F20"/>
          <w:spacing w:val="26"/>
        </w:rPr>
        <w:t> </w:t>
      </w:r>
      <w:r>
        <w:rPr>
          <w:color w:val="231F20"/>
        </w:rPr>
        <w:t>delta</w:t>
      </w:r>
    </w:p>
    <w:p>
      <w:pPr>
        <w:pStyle w:val="BodyText"/>
        <w:spacing w:line="213" w:lineRule="auto" w:before="9"/>
        <w:ind w:left="3190"/>
      </w:pPr>
      <w:r>
        <w:rPr>
          <w:color w:val="231F20"/>
        </w:rPr>
        <w:t>Compares the time difference you enter with the timestamp returned by </w:t>
      </w:r>
      <w:r>
        <w:rPr>
          <w:color w:val="231F20"/>
        </w:rPr>
        <w:t>an attribute.</w:t>
      </w:r>
      <w:r>
        <w:rPr>
          <w:color w:val="231F20"/>
          <w:spacing w:val="4"/>
        </w:rPr>
        <w:t> </w:t>
      </w:r>
      <w:r>
        <w:rPr>
          <w:color w:val="231F20"/>
        </w:rPr>
        <w:t>After</w:t>
      </w:r>
      <w:r>
        <w:rPr>
          <w:color w:val="231F20"/>
          <w:spacing w:val="11"/>
        </w:rPr>
        <w:t> </w:t>
      </w:r>
      <w:r>
        <w:rPr>
          <w:color w:val="231F20"/>
        </w:rPr>
        <w:t>you</w:t>
      </w:r>
      <w:r>
        <w:rPr>
          <w:color w:val="231F20"/>
          <w:spacing w:val="12"/>
        </w:rPr>
        <w:t> </w:t>
      </w:r>
      <w:r>
        <w:rPr>
          <w:color w:val="231F20"/>
        </w:rPr>
        <w:t>select</w:t>
      </w:r>
      <w:r>
        <w:rPr>
          <w:color w:val="231F20"/>
          <w:spacing w:val="11"/>
        </w:rPr>
        <w:t> </w:t>
      </w:r>
      <w:r>
        <w:rPr>
          <w:color w:val="231F20"/>
        </w:rPr>
        <w:t>the</w:t>
      </w:r>
      <w:r>
        <w:rPr>
          <w:color w:val="231F20"/>
          <w:spacing w:val="11"/>
        </w:rPr>
        <w:t> </w:t>
      </w:r>
      <w:r>
        <w:rPr>
          <w:color w:val="231F20"/>
        </w:rPr>
        <w:t>TIME</w:t>
      </w:r>
      <w:r>
        <w:rPr>
          <w:color w:val="231F20"/>
          <w:spacing w:val="11"/>
        </w:rPr>
        <w:t> </w:t>
      </w:r>
      <w:r>
        <w:rPr>
          <w:color w:val="231F20"/>
        </w:rPr>
        <w:t>function</w:t>
      </w:r>
      <w:r>
        <w:rPr>
          <w:color w:val="231F20"/>
          <w:spacing w:val="12"/>
        </w:rPr>
        <w:t> </w:t>
      </w:r>
      <w:r>
        <w:rPr>
          <w:color w:val="231F20"/>
        </w:rPr>
        <w:t>and</w:t>
      </w:r>
      <w:r>
        <w:rPr>
          <w:color w:val="231F20"/>
          <w:spacing w:val="11"/>
        </w:rPr>
        <w:t> </w:t>
      </w:r>
      <w:r>
        <w:rPr>
          <w:color w:val="231F20"/>
        </w:rPr>
        <w:t>click</w:t>
      </w:r>
      <w:r>
        <w:rPr>
          <w:color w:val="231F20"/>
          <w:spacing w:val="11"/>
        </w:rPr>
        <w:t> </w:t>
      </w:r>
      <w:r>
        <w:rPr>
          <w:color w:val="231F20"/>
        </w:rPr>
        <w:t>inside</w:t>
      </w:r>
      <w:r>
        <w:rPr>
          <w:color w:val="231F20"/>
          <w:spacing w:val="11"/>
        </w:rPr>
        <w:t> </w:t>
      </w:r>
      <w:r>
        <w:rPr>
          <w:color w:val="231F20"/>
        </w:rPr>
        <w:t>the</w:t>
      </w:r>
      <w:r>
        <w:rPr>
          <w:color w:val="231F20"/>
          <w:spacing w:val="12"/>
        </w:rPr>
        <w:t> </w:t>
      </w:r>
      <w:r>
        <w:rPr>
          <w:color w:val="231F20"/>
        </w:rPr>
        <w:t>value</w:t>
      </w:r>
      <w:r>
        <w:rPr>
          <w:color w:val="231F20"/>
          <w:spacing w:val="11"/>
        </w:rPr>
        <w:t> </w:t>
      </w:r>
      <w:r>
        <w:rPr>
          <w:color w:val="231F20"/>
          <w:spacing w:val="-2"/>
        </w:rPr>
        <w:t>cell,</w:t>
      </w:r>
    </w:p>
    <w:p>
      <w:pPr>
        <w:spacing w:after="0" w:line="213" w:lineRule="auto"/>
        <w:sectPr>
          <w:pgSz w:w="12240" w:h="15840"/>
          <w:pgMar w:header="0" w:footer="736" w:top="1180" w:bottom="920" w:left="1000" w:right="1060"/>
        </w:sectPr>
      </w:pPr>
    </w:p>
    <w:p>
      <w:pPr>
        <w:pStyle w:val="BodyText"/>
        <w:spacing w:line="213" w:lineRule="auto" w:before="85"/>
        <w:ind w:left="2951" w:right="545"/>
      </w:pPr>
      <w:bookmarkStart w:name="_bookmark331" w:id="687"/>
      <w:bookmarkEnd w:id="687"/>
      <w:r>
        <w:rPr/>
      </w:r>
      <w:r>
        <w:rPr>
          <w:color w:val="231F20"/>
        </w:rPr>
        <w:t>the Select Time Comparison Criteria window opens. Select a timestamp attribute from the list. Specify the delta by combining + or - with the</w:t>
      </w:r>
      <w:r>
        <w:rPr>
          <w:color w:val="231F20"/>
          <w:spacing w:val="40"/>
        </w:rPr>
        <w:t> </w:t>
      </w:r>
      <w:r>
        <w:rPr>
          <w:color w:val="231F20"/>
        </w:rPr>
        <w:t>number of days (D), hours (H), minutes (M), or seconds (S). The </w:t>
      </w:r>
      <w:r>
        <w:rPr>
          <w:color w:val="231F20"/>
        </w:rPr>
        <w:t>sampled timestamps are compared to the delta.</w:t>
      </w:r>
    </w:p>
    <w:p>
      <w:pPr>
        <w:pStyle w:val="Heading6"/>
        <w:spacing w:before="115"/>
        <w:ind w:left="2232"/>
      </w:pPr>
      <w:r>
        <w:rPr>
          <w:color w:val="231F20"/>
          <w:spacing w:val="-2"/>
        </w:rPr>
        <w:t>Example</w:t>
      </w:r>
    </w:p>
    <w:p>
      <w:pPr>
        <w:pStyle w:val="BodyText"/>
        <w:spacing w:line="213" w:lineRule="auto" w:before="12"/>
        <w:ind w:left="2951" w:right="636"/>
      </w:pPr>
      <w:r>
        <w:rPr>
          <w:color w:val="231F20"/>
        </w:rPr>
        <w:t>This formula compares the time the event was logged (Entry Time) </w:t>
      </w:r>
      <w:r>
        <w:rPr>
          <w:color w:val="231F20"/>
        </w:rPr>
        <w:t>with the timestamp from the data sampling. If the event occurred seven days earlier, the comparison is true. If the == were changed to &lt;=, the</w:t>
      </w:r>
      <w:r>
        <w:rPr>
          <w:color w:val="231F20"/>
          <w:spacing w:val="40"/>
        </w:rPr>
        <w:t> </w:t>
      </w:r>
      <w:r>
        <w:rPr>
          <w:color w:val="231F20"/>
        </w:rPr>
        <w:t>comparison would be true after eight days, nine days, and so on.</w:t>
      </w:r>
    </w:p>
    <w:p>
      <w:pPr>
        <w:spacing w:before="60"/>
        <w:ind w:left="2951" w:right="0" w:firstLine="0"/>
        <w:jc w:val="left"/>
        <w:rPr>
          <w:rFonts w:ascii="Arial"/>
          <w:sz w:val="18"/>
        </w:rPr>
      </w:pPr>
      <w:r>
        <w:rPr>
          <w:rFonts w:ascii="Arial"/>
          <w:color w:val="231F20"/>
          <w:spacing w:val="-2"/>
          <w:sz w:val="18"/>
        </w:rPr>
        <w:t>TIME(Entry</w:t>
      </w:r>
      <w:r>
        <w:rPr>
          <w:rFonts w:ascii="Arial"/>
          <w:color w:val="231F20"/>
          <w:spacing w:val="12"/>
          <w:sz w:val="18"/>
        </w:rPr>
        <w:t> </w:t>
      </w:r>
      <w:r>
        <w:rPr>
          <w:rFonts w:ascii="Arial"/>
          <w:color w:val="231F20"/>
          <w:spacing w:val="-2"/>
          <w:sz w:val="18"/>
        </w:rPr>
        <w:t>Time)</w:t>
      </w:r>
      <w:r>
        <w:rPr>
          <w:rFonts w:ascii="Arial"/>
          <w:color w:val="231F20"/>
          <w:spacing w:val="13"/>
          <w:sz w:val="18"/>
        </w:rPr>
        <w:t> </w:t>
      </w:r>
      <w:r>
        <w:rPr>
          <w:rFonts w:ascii="Arial"/>
          <w:color w:val="231F20"/>
          <w:spacing w:val="-2"/>
          <w:sz w:val="18"/>
        </w:rPr>
        <w:t>==</w:t>
      </w:r>
      <w:r>
        <w:rPr>
          <w:rFonts w:ascii="Arial"/>
          <w:color w:val="231F20"/>
          <w:spacing w:val="13"/>
          <w:sz w:val="18"/>
        </w:rPr>
        <w:t> </w:t>
      </w:r>
      <w:r>
        <w:rPr>
          <w:rFonts w:ascii="Arial"/>
          <w:color w:val="231F20"/>
          <w:spacing w:val="-2"/>
          <w:sz w:val="18"/>
        </w:rPr>
        <w:t>#NT_Event_Log.Timestamp</w:t>
      </w:r>
      <w:r>
        <w:rPr>
          <w:rFonts w:ascii="Arial"/>
          <w:color w:val="231F20"/>
          <w:spacing w:val="12"/>
          <w:sz w:val="18"/>
        </w:rPr>
        <w:t> </w:t>
      </w:r>
      <w:r>
        <w:rPr>
          <w:rFonts w:ascii="Arial"/>
          <w:color w:val="231F20"/>
          <w:spacing w:val="-2"/>
          <w:sz w:val="18"/>
        </w:rPr>
        <w:t>-</w:t>
      </w:r>
      <w:r>
        <w:rPr>
          <w:rFonts w:ascii="Arial"/>
          <w:color w:val="231F20"/>
          <w:spacing w:val="13"/>
          <w:sz w:val="18"/>
        </w:rPr>
        <w:t> </w:t>
      </w:r>
      <w:r>
        <w:rPr>
          <w:rFonts w:ascii="Arial"/>
          <w:color w:val="231F20"/>
          <w:spacing w:val="-5"/>
          <w:sz w:val="18"/>
        </w:rPr>
        <w:t>7D</w:t>
      </w:r>
    </w:p>
    <w:p>
      <w:pPr>
        <w:pStyle w:val="BodyText"/>
        <w:spacing w:before="21"/>
        <w:rPr>
          <w:rFonts w:ascii="Arial"/>
          <w:sz w:val="18"/>
        </w:rPr>
      </w:pPr>
    </w:p>
    <w:p>
      <w:pPr>
        <w:pStyle w:val="Heading3"/>
        <w:spacing w:before="0"/>
        <w:ind w:left="1334"/>
      </w:pPr>
      <w:bookmarkStart w:name="TIMESPAN: See if a time is within a rang" w:id="688"/>
      <w:bookmarkEnd w:id="688"/>
      <w:r>
        <w:rPr>
          <w:b w:val="0"/>
        </w:rPr>
      </w:r>
      <w:r>
        <w:rPr>
          <w:color w:val="231F20"/>
        </w:rPr>
        <w:t>TIMESPAN:</w:t>
      </w:r>
      <w:r>
        <w:rPr>
          <w:color w:val="231F20"/>
          <w:spacing w:val="7"/>
        </w:rPr>
        <w:t> </w:t>
      </w:r>
      <w:r>
        <w:rPr>
          <w:color w:val="231F20"/>
        </w:rPr>
        <w:t>See</w:t>
      </w:r>
      <w:r>
        <w:rPr>
          <w:color w:val="231F20"/>
          <w:spacing w:val="7"/>
        </w:rPr>
        <w:t> </w:t>
      </w:r>
      <w:r>
        <w:rPr>
          <w:color w:val="231F20"/>
        </w:rPr>
        <w:t>if</w:t>
      </w:r>
      <w:r>
        <w:rPr>
          <w:color w:val="231F20"/>
          <w:spacing w:val="7"/>
        </w:rPr>
        <w:t> </w:t>
      </w:r>
      <w:r>
        <w:rPr>
          <w:color w:val="231F20"/>
        </w:rPr>
        <w:t>a</w:t>
      </w:r>
      <w:r>
        <w:rPr>
          <w:color w:val="231F20"/>
          <w:spacing w:val="7"/>
        </w:rPr>
        <w:t> </w:t>
      </w:r>
      <w:r>
        <w:rPr>
          <w:color w:val="231F20"/>
        </w:rPr>
        <w:t>time</w:t>
      </w:r>
      <w:r>
        <w:rPr>
          <w:color w:val="231F20"/>
          <w:spacing w:val="8"/>
        </w:rPr>
        <w:t> </w:t>
      </w:r>
      <w:r>
        <w:rPr>
          <w:color w:val="231F20"/>
        </w:rPr>
        <w:t>is</w:t>
      </w:r>
      <w:r>
        <w:rPr>
          <w:color w:val="231F20"/>
          <w:spacing w:val="7"/>
        </w:rPr>
        <w:t> </w:t>
      </w:r>
      <w:r>
        <w:rPr>
          <w:color w:val="231F20"/>
        </w:rPr>
        <w:t>within</w:t>
      </w:r>
      <w:r>
        <w:rPr>
          <w:color w:val="231F20"/>
          <w:spacing w:val="7"/>
        </w:rPr>
        <w:t> </w:t>
      </w:r>
      <w:r>
        <w:rPr>
          <w:color w:val="231F20"/>
        </w:rPr>
        <w:t>a</w:t>
      </w:r>
      <w:r>
        <w:rPr>
          <w:color w:val="231F20"/>
          <w:spacing w:val="7"/>
        </w:rPr>
        <w:t> </w:t>
      </w:r>
      <w:r>
        <w:rPr>
          <w:color w:val="231F20"/>
          <w:spacing w:val="-2"/>
        </w:rPr>
        <w:t>range</w:t>
      </w:r>
    </w:p>
    <w:p>
      <w:pPr>
        <w:pStyle w:val="BodyText"/>
        <w:spacing w:line="213" w:lineRule="auto" w:before="58"/>
        <w:ind w:left="2232" w:right="545"/>
      </w:pPr>
      <w:r>
        <w:rPr>
          <w:color w:val="231F20"/>
        </w:rPr>
        <w:t>Use the TIMESPAN formula function to filter a query-based view or to add threshold indicators to a table view. The data sample time stamp is compared with the specified time span.</w:t>
      </w:r>
    </w:p>
    <w:p>
      <w:pPr>
        <w:pStyle w:val="Heading6"/>
        <w:ind w:left="2232"/>
      </w:pPr>
      <w:r>
        <w:rPr>
          <w:b w:val="0"/>
          <w:position w:val="-1"/>
        </w:rPr>
        <w:drawing>
          <wp:inline distT="0" distB="0" distL="0" distR="0">
            <wp:extent cx="101600" cy="101600"/>
            <wp:effectExtent l="0" t="0" r="0" b="0"/>
            <wp:docPr id="3362" name="Image 3362"/>
            <wp:cNvGraphicFramePr>
              <a:graphicFrameLocks/>
            </wp:cNvGraphicFramePr>
            <a:graphic>
              <a:graphicData uri="http://schemas.openxmlformats.org/drawingml/2006/picture">
                <pic:pic>
                  <pic:nvPicPr>
                    <pic:cNvPr id="3362" name="Image 3362"/>
                    <pic:cNvPicPr/>
                  </pic:nvPicPr>
                  <pic:blipFill>
                    <a:blip r:embed="rId80" cstate="print"/>
                    <a:stretch>
                      <a:fillRect/>
                    </a:stretch>
                  </pic:blipFill>
                  <pic:spPr>
                    <a:xfrm>
                      <a:off x="0" y="0"/>
                      <a:ext cx="101600" cy="101600"/>
                    </a:xfrm>
                    <a:prstGeom prst="rect">
                      <a:avLst/>
                    </a:prstGeom>
                  </pic:spPr>
                </pic:pic>
              </a:graphicData>
            </a:graphic>
          </wp:inline>
        </w:drawing>
      </w:r>
      <w:r>
        <w:rPr>
          <w:b w:val="0"/>
          <w:position w:val="-1"/>
        </w:rPr>
      </w:r>
      <w:r>
        <w:rPr>
          <w:rFonts w:ascii="Times New Roman"/>
          <w:b w:val="0"/>
          <w:spacing w:val="76"/>
        </w:rPr>
        <w:t> </w:t>
      </w:r>
      <w:r>
        <w:rPr>
          <w:color w:val="231F20"/>
        </w:rPr>
        <w:t>See</w:t>
      </w:r>
      <w:r>
        <w:rPr>
          <w:color w:val="231F20"/>
          <w:spacing w:val="22"/>
        </w:rPr>
        <w:t> </w:t>
      </w:r>
      <w:r>
        <w:rPr>
          <w:color w:val="231F20"/>
        </w:rPr>
        <w:t>if</w:t>
      </w:r>
      <w:r>
        <w:rPr>
          <w:color w:val="231F20"/>
          <w:spacing w:val="22"/>
        </w:rPr>
        <w:t> </w:t>
      </w:r>
      <w:r>
        <w:rPr>
          <w:color w:val="231F20"/>
        </w:rPr>
        <w:t>a</w:t>
      </w:r>
      <w:r>
        <w:rPr>
          <w:color w:val="231F20"/>
          <w:spacing w:val="22"/>
        </w:rPr>
        <w:t> </w:t>
      </w:r>
      <w:r>
        <w:rPr>
          <w:color w:val="231F20"/>
        </w:rPr>
        <w:t>time</w:t>
      </w:r>
      <w:r>
        <w:rPr>
          <w:color w:val="231F20"/>
          <w:spacing w:val="22"/>
        </w:rPr>
        <w:t> </w:t>
      </w:r>
      <w:r>
        <w:rPr>
          <w:color w:val="231F20"/>
        </w:rPr>
        <w:t>is</w:t>
      </w:r>
      <w:r>
        <w:rPr>
          <w:color w:val="231F20"/>
          <w:spacing w:val="22"/>
        </w:rPr>
        <w:t> </w:t>
      </w:r>
      <w:r>
        <w:rPr>
          <w:color w:val="231F20"/>
        </w:rPr>
        <w:t>within</w:t>
      </w:r>
      <w:r>
        <w:rPr>
          <w:color w:val="231F20"/>
          <w:spacing w:val="22"/>
        </w:rPr>
        <w:t> </w:t>
      </w:r>
      <w:r>
        <w:rPr>
          <w:color w:val="231F20"/>
        </w:rPr>
        <w:t>a</w:t>
      </w:r>
      <w:r>
        <w:rPr>
          <w:color w:val="231F20"/>
          <w:spacing w:val="22"/>
        </w:rPr>
        <w:t> </w:t>
      </w:r>
      <w:r>
        <w:rPr>
          <w:color w:val="231F20"/>
        </w:rPr>
        <w:t>range</w:t>
      </w:r>
    </w:p>
    <w:p>
      <w:pPr>
        <w:pStyle w:val="BodyText"/>
        <w:spacing w:line="213" w:lineRule="auto" w:before="11"/>
        <w:ind w:left="2951" w:right="385"/>
      </w:pPr>
      <w:r>
        <w:rPr>
          <w:color w:val="231F20"/>
        </w:rPr>
        <w:t>The TIMESPAN function selects rows based on the comparison of the Timestamp value to the time span indicated. When you select this </w:t>
      </w:r>
      <w:r>
        <w:rPr>
          <w:color w:val="231F20"/>
        </w:rPr>
        <w:t>function and</w:t>
      </w:r>
      <w:r>
        <w:rPr>
          <w:color w:val="231F20"/>
          <w:spacing w:val="18"/>
        </w:rPr>
        <w:t> </w:t>
      </w:r>
      <w:r>
        <w:rPr>
          <w:color w:val="231F20"/>
        </w:rPr>
        <w:t>click</w:t>
      </w:r>
      <w:r>
        <w:rPr>
          <w:color w:val="231F20"/>
          <w:spacing w:val="18"/>
        </w:rPr>
        <w:t> </w:t>
      </w:r>
      <w:r>
        <w:rPr>
          <w:color w:val="231F20"/>
        </w:rPr>
        <w:t>inside</w:t>
      </w:r>
      <w:r>
        <w:rPr>
          <w:color w:val="231F20"/>
          <w:spacing w:val="18"/>
        </w:rPr>
        <w:t> </w:t>
      </w:r>
      <w:r>
        <w:rPr>
          <w:color w:val="231F20"/>
        </w:rPr>
        <w:t>the</w:t>
      </w:r>
      <w:r>
        <w:rPr>
          <w:color w:val="231F20"/>
          <w:spacing w:val="18"/>
        </w:rPr>
        <w:t> </w:t>
      </w:r>
      <w:r>
        <w:rPr>
          <w:color w:val="231F20"/>
        </w:rPr>
        <w:t>value</w:t>
      </w:r>
      <w:r>
        <w:rPr>
          <w:color w:val="231F20"/>
          <w:spacing w:val="18"/>
        </w:rPr>
        <w:t> </w:t>
      </w:r>
      <w:r>
        <w:rPr>
          <w:color w:val="231F20"/>
        </w:rPr>
        <w:t>cell,</w:t>
      </w:r>
      <w:r>
        <w:rPr>
          <w:color w:val="231F20"/>
          <w:spacing w:val="18"/>
        </w:rPr>
        <w:t> </w:t>
      </w:r>
      <w:r>
        <w:rPr>
          <w:color w:val="231F20"/>
        </w:rPr>
        <w:t>the</w:t>
      </w:r>
      <w:r>
        <w:rPr>
          <w:color w:val="231F20"/>
          <w:spacing w:val="18"/>
        </w:rPr>
        <w:t> </w:t>
      </w:r>
      <w:r>
        <w:rPr>
          <w:rFonts w:ascii="Book Antiqua"/>
          <w:b/>
          <w:color w:val="231F20"/>
        </w:rPr>
        <w:t>Select</w:t>
      </w:r>
      <w:r>
        <w:rPr>
          <w:rFonts w:ascii="Book Antiqua"/>
          <w:b/>
          <w:color w:val="231F20"/>
          <w:spacing w:val="18"/>
        </w:rPr>
        <w:t> </w:t>
      </w:r>
      <w:r>
        <w:rPr>
          <w:rFonts w:ascii="Book Antiqua"/>
          <w:b/>
          <w:color w:val="231F20"/>
        </w:rPr>
        <w:t>Time</w:t>
      </w:r>
      <w:r>
        <w:rPr>
          <w:rFonts w:ascii="Book Antiqua"/>
          <w:b/>
          <w:color w:val="231F20"/>
          <w:spacing w:val="18"/>
        </w:rPr>
        <w:t> </w:t>
      </w:r>
      <w:r>
        <w:rPr>
          <w:rFonts w:ascii="Book Antiqua"/>
          <w:b/>
          <w:color w:val="231F20"/>
        </w:rPr>
        <w:t>Span</w:t>
      </w:r>
      <w:r>
        <w:rPr>
          <w:rFonts w:ascii="Book Antiqua"/>
          <w:b/>
          <w:color w:val="231F20"/>
          <w:spacing w:val="18"/>
        </w:rPr>
        <w:t> </w:t>
      </w:r>
      <w:r>
        <w:rPr>
          <w:color w:val="231F20"/>
        </w:rPr>
        <w:t>dialog</w:t>
      </w:r>
      <w:r>
        <w:rPr>
          <w:color w:val="231F20"/>
          <w:spacing w:val="18"/>
        </w:rPr>
        <w:t> </w:t>
      </w:r>
      <w:r>
        <w:rPr>
          <w:color w:val="231F20"/>
        </w:rPr>
        <w:t>opens</w:t>
      </w:r>
      <w:r>
        <w:rPr>
          <w:color w:val="231F20"/>
          <w:spacing w:val="18"/>
        </w:rPr>
        <w:t> </w:t>
      </w:r>
      <w:r>
        <w:rPr>
          <w:color w:val="231F20"/>
        </w:rPr>
        <w:t>for</w:t>
      </w:r>
      <w:r>
        <w:rPr>
          <w:color w:val="231F20"/>
          <w:spacing w:val="18"/>
        </w:rPr>
        <w:t> </w:t>
      </w:r>
      <w:r>
        <w:rPr>
          <w:color w:val="231F20"/>
        </w:rPr>
        <w:t>you to</w:t>
      </w:r>
      <w:r>
        <w:rPr>
          <w:color w:val="231F20"/>
          <w:spacing w:val="31"/>
        </w:rPr>
        <w:t> </w:t>
      </w:r>
      <w:r>
        <w:rPr>
          <w:color w:val="231F20"/>
        </w:rPr>
        <w:t>choose</w:t>
      </w:r>
      <w:r>
        <w:rPr>
          <w:color w:val="231F20"/>
          <w:spacing w:val="31"/>
        </w:rPr>
        <w:t> </w:t>
      </w:r>
      <w:r>
        <w:rPr>
          <w:color w:val="231F20"/>
        </w:rPr>
        <w:t>a</w:t>
      </w:r>
      <w:r>
        <w:rPr>
          <w:color w:val="231F20"/>
          <w:spacing w:val="31"/>
        </w:rPr>
        <w:t> </w:t>
      </w:r>
      <w:r>
        <w:rPr>
          <w:color w:val="231F20"/>
        </w:rPr>
        <w:t>time</w:t>
      </w:r>
      <w:r>
        <w:rPr>
          <w:color w:val="231F20"/>
          <w:spacing w:val="31"/>
        </w:rPr>
        <w:t> </w:t>
      </w:r>
      <w:r>
        <w:rPr>
          <w:color w:val="231F20"/>
        </w:rPr>
        <w:t>span.</w:t>
      </w:r>
      <w:r>
        <w:rPr>
          <w:color w:val="231F20"/>
          <w:spacing w:val="31"/>
        </w:rPr>
        <w:t> </w:t>
      </w:r>
      <w:r>
        <w:rPr>
          <w:color w:val="231F20"/>
        </w:rPr>
        <w:t>Note</w:t>
      </w:r>
      <w:r>
        <w:rPr>
          <w:color w:val="231F20"/>
          <w:spacing w:val="31"/>
        </w:rPr>
        <w:t> </w:t>
      </w:r>
      <w:r>
        <w:rPr>
          <w:color w:val="231F20"/>
        </w:rPr>
        <w:t>that</w:t>
      </w:r>
      <w:r>
        <w:rPr>
          <w:color w:val="231F20"/>
          <w:spacing w:val="31"/>
        </w:rPr>
        <w:t> </w:t>
      </w:r>
      <w:r>
        <w:rPr>
          <w:color w:val="231F20"/>
        </w:rPr>
        <w:t>only</w:t>
      </w:r>
      <w:r>
        <w:rPr>
          <w:color w:val="231F20"/>
          <w:spacing w:val="31"/>
        </w:rPr>
        <w:t> </w:t>
      </w:r>
      <w:r>
        <w:rPr>
          <w:color w:val="231F20"/>
        </w:rPr>
        <w:t>the</w:t>
      </w:r>
      <w:r>
        <w:rPr>
          <w:color w:val="231F20"/>
          <w:spacing w:val="31"/>
        </w:rPr>
        <w:t> </w:t>
      </w:r>
      <w:r>
        <w:rPr>
          <w:color w:val="231F20"/>
        </w:rPr>
        <w:t>==</w:t>
      </w:r>
      <w:r>
        <w:rPr>
          <w:color w:val="231F20"/>
          <w:spacing w:val="31"/>
        </w:rPr>
        <w:t> </w:t>
      </w:r>
      <w:r>
        <w:rPr>
          <w:color w:val="231F20"/>
        </w:rPr>
        <w:t>and</w:t>
      </w:r>
      <w:r>
        <w:rPr>
          <w:color w:val="231F20"/>
          <w:spacing w:val="31"/>
        </w:rPr>
        <w:t> </w:t>
      </w:r>
      <w:r>
        <w:rPr>
          <w:color w:val="231F20"/>
        </w:rPr>
        <w:t>!=</w:t>
      </w:r>
      <w:r>
        <w:rPr>
          <w:color w:val="231F20"/>
          <w:spacing w:val="31"/>
        </w:rPr>
        <w:t> </w:t>
      </w:r>
      <w:r>
        <w:rPr>
          <w:color w:val="231F20"/>
        </w:rPr>
        <w:t>relational</w:t>
      </w:r>
      <w:r>
        <w:rPr>
          <w:color w:val="231F20"/>
          <w:spacing w:val="31"/>
        </w:rPr>
        <w:t> </w:t>
      </w:r>
      <w:r>
        <w:rPr>
          <w:color w:val="231F20"/>
        </w:rPr>
        <w:t>operators are available for this function.</w:t>
      </w:r>
    </w:p>
    <w:p>
      <w:pPr>
        <w:pStyle w:val="Heading6"/>
        <w:spacing w:before="115"/>
        <w:ind w:left="2232"/>
      </w:pPr>
      <w:r>
        <w:rPr>
          <w:color w:val="231F20"/>
          <w:spacing w:val="-2"/>
        </w:rPr>
        <w:t>Example</w:t>
      </w:r>
    </w:p>
    <w:p>
      <w:pPr>
        <w:pStyle w:val="BodyText"/>
        <w:spacing w:line="258" w:lineRule="exact"/>
        <w:ind w:left="2951"/>
      </w:pPr>
      <w:r>
        <w:rPr>
          <w:color w:val="231F20"/>
        </w:rPr>
        <w:t>This</w:t>
      </w:r>
      <w:r>
        <w:rPr>
          <w:color w:val="231F20"/>
          <w:spacing w:val="10"/>
        </w:rPr>
        <w:t> </w:t>
      </w:r>
      <w:r>
        <w:rPr>
          <w:color w:val="231F20"/>
        </w:rPr>
        <w:t>formula</w:t>
      </w:r>
      <w:r>
        <w:rPr>
          <w:color w:val="231F20"/>
          <w:spacing w:val="11"/>
        </w:rPr>
        <w:t> </w:t>
      </w:r>
      <w:r>
        <w:rPr>
          <w:color w:val="231F20"/>
        </w:rPr>
        <w:t>selects</w:t>
      </w:r>
      <w:r>
        <w:rPr>
          <w:color w:val="231F20"/>
          <w:spacing w:val="11"/>
        </w:rPr>
        <w:t> </w:t>
      </w:r>
      <w:r>
        <w:rPr>
          <w:color w:val="231F20"/>
        </w:rPr>
        <w:t>all</w:t>
      </w:r>
      <w:r>
        <w:rPr>
          <w:color w:val="231F20"/>
          <w:spacing w:val="11"/>
        </w:rPr>
        <w:t> </w:t>
      </w:r>
      <w:r>
        <w:rPr>
          <w:color w:val="231F20"/>
        </w:rPr>
        <w:t>rows</w:t>
      </w:r>
      <w:r>
        <w:rPr>
          <w:color w:val="231F20"/>
          <w:spacing w:val="11"/>
        </w:rPr>
        <w:t> </w:t>
      </w:r>
      <w:r>
        <w:rPr>
          <w:color w:val="231F20"/>
        </w:rPr>
        <w:t>with</w:t>
      </w:r>
      <w:r>
        <w:rPr>
          <w:color w:val="231F20"/>
          <w:spacing w:val="11"/>
        </w:rPr>
        <w:t> </w:t>
      </w:r>
      <w:r>
        <w:rPr>
          <w:color w:val="231F20"/>
        </w:rPr>
        <w:t>timestamps</w:t>
      </w:r>
      <w:r>
        <w:rPr>
          <w:color w:val="231F20"/>
          <w:spacing w:val="10"/>
        </w:rPr>
        <w:t> </w:t>
      </w:r>
      <w:r>
        <w:rPr>
          <w:color w:val="231F20"/>
        </w:rPr>
        <w:t>within</w:t>
      </w:r>
      <w:r>
        <w:rPr>
          <w:color w:val="231F20"/>
          <w:spacing w:val="11"/>
        </w:rPr>
        <w:t> </w:t>
      </w:r>
      <w:r>
        <w:rPr>
          <w:color w:val="231F20"/>
        </w:rPr>
        <w:t>the</w:t>
      </w:r>
      <w:r>
        <w:rPr>
          <w:color w:val="231F20"/>
          <w:spacing w:val="11"/>
        </w:rPr>
        <w:t> </w:t>
      </w:r>
      <w:r>
        <w:rPr>
          <w:color w:val="231F20"/>
        </w:rPr>
        <w:t>last</w:t>
      </w:r>
      <w:r>
        <w:rPr>
          <w:color w:val="231F20"/>
          <w:spacing w:val="11"/>
        </w:rPr>
        <w:t> </w:t>
      </w:r>
      <w:r>
        <w:rPr>
          <w:color w:val="231F20"/>
        </w:rPr>
        <w:t>two</w:t>
      </w:r>
      <w:r>
        <w:rPr>
          <w:color w:val="231F20"/>
          <w:spacing w:val="11"/>
        </w:rPr>
        <w:t> </w:t>
      </w:r>
      <w:r>
        <w:rPr>
          <w:color w:val="231F20"/>
          <w:spacing w:val="-2"/>
        </w:rPr>
        <w:t>hours.</w:t>
      </w:r>
    </w:p>
    <w:p>
      <w:pPr>
        <w:spacing w:line="203" w:lineRule="exact" w:before="56"/>
        <w:ind w:left="2951" w:right="0" w:firstLine="0"/>
        <w:jc w:val="left"/>
        <w:rPr>
          <w:rFonts w:ascii="Arial"/>
          <w:sz w:val="18"/>
        </w:rPr>
      </w:pPr>
      <w:r>
        <w:rPr>
          <w:rFonts w:ascii="Arial"/>
          <w:color w:val="231F20"/>
          <w:spacing w:val="-2"/>
          <w:sz w:val="18"/>
        </w:rPr>
        <w:t>TIMESPAN(Timestamp)</w:t>
      </w:r>
    </w:p>
    <w:p>
      <w:pPr>
        <w:spacing w:line="203" w:lineRule="exact" w:before="0"/>
        <w:ind w:left="2951" w:right="0" w:firstLine="0"/>
        <w:jc w:val="left"/>
        <w:rPr>
          <w:rFonts w:ascii="Arial"/>
          <w:sz w:val="18"/>
        </w:rPr>
      </w:pPr>
      <w:r>
        <w:rPr>
          <w:rFonts w:ascii="Arial"/>
          <w:color w:val="231F20"/>
          <w:spacing w:val="-2"/>
          <w:sz w:val="18"/>
        </w:rPr>
        <w:t>==</w:t>
      </w:r>
      <w:r>
        <w:rPr>
          <w:rFonts w:ascii="Arial"/>
          <w:color w:val="231F20"/>
          <w:spacing w:val="11"/>
          <w:sz w:val="18"/>
        </w:rPr>
        <w:t> </w:t>
      </w:r>
      <w:r>
        <w:rPr>
          <w:rFonts w:ascii="Arial"/>
          <w:color w:val="231F20"/>
          <w:spacing w:val="-2"/>
          <w:sz w:val="18"/>
        </w:rPr>
        <w:t>,,7200</w:t>
      </w:r>
    </w:p>
    <w:p>
      <w:pPr>
        <w:pStyle w:val="BodyText"/>
        <w:spacing w:before="21"/>
        <w:rPr>
          <w:rFonts w:ascii="Arial"/>
          <w:sz w:val="18"/>
        </w:rPr>
      </w:pPr>
    </w:p>
    <w:p>
      <w:pPr>
        <w:pStyle w:val="Heading3"/>
        <w:spacing w:before="0"/>
        <w:ind w:left="1334"/>
      </w:pPr>
      <w:bookmarkStart w:name="VALUE: Value of expression" w:id="689"/>
      <w:bookmarkEnd w:id="689"/>
      <w:r>
        <w:rPr>
          <w:b w:val="0"/>
        </w:rPr>
      </w:r>
      <w:r>
        <w:rPr>
          <w:color w:val="231F20"/>
        </w:rPr>
        <w:t>VALUE:</w:t>
      </w:r>
      <w:r>
        <w:rPr>
          <w:color w:val="231F20"/>
          <w:spacing w:val="-5"/>
        </w:rPr>
        <w:t> </w:t>
      </w:r>
      <w:r>
        <w:rPr>
          <w:color w:val="231F20"/>
        </w:rPr>
        <w:t>Value</w:t>
      </w:r>
      <w:r>
        <w:rPr>
          <w:color w:val="231F20"/>
          <w:spacing w:val="-4"/>
        </w:rPr>
        <w:t> </w:t>
      </w:r>
      <w:r>
        <w:rPr>
          <w:color w:val="231F20"/>
        </w:rPr>
        <w:t>of</w:t>
      </w:r>
      <w:r>
        <w:rPr>
          <w:color w:val="231F20"/>
          <w:spacing w:val="-4"/>
        </w:rPr>
        <w:t> </w:t>
      </w:r>
      <w:r>
        <w:rPr>
          <w:color w:val="231F20"/>
          <w:spacing w:val="-2"/>
        </w:rPr>
        <w:t>expression</w:t>
      </w:r>
    </w:p>
    <w:p>
      <w:pPr>
        <w:pStyle w:val="BodyText"/>
        <w:spacing w:line="213" w:lineRule="auto" w:before="58"/>
        <w:ind w:left="2232" w:right="545"/>
      </w:pPr>
      <w:r>
        <w:rPr>
          <w:color w:val="231F20"/>
        </w:rPr>
        <w:t>Use the VALUE formula function in a situation, query, view filter or table view threshold</w:t>
      </w:r>
      <w:r>
        <w:rPr>
          <w:color w:val="231F20"/>
          <w:spacing w:val="11"/>
        </w:rPr>
        <w:t> </w:t>
      </w:r>
      <w:r>
        <w:rPr>
          <w:color w:val="231F20"/>
        </w:rPr>
        <w:t>to</w:t>
      </w:r>
      <w:r>
        <w:rPr>
          <w:color w:val="231F20"/>
          <w:spacing w:val="12"/>
        </w:rPr>
        <w:t> </w:t>
      </w:r>
      <w:r>
        <w:rPr>
          <w:color w:val="231F20"/>
        </w:rPr>
        <w:t>look</w:t>
      </w:r>
      <w:r>
        <w:rPr>
          <w:color w:val="231F20"/>
          <w:spacing w:val="12"/>
        </w:rPr>
        <w:t> </w:t>
      </w:r>
      <w:r>
        <w:rPr>
          <w:color w:val="231F20"/>
        </w:rPr>
        <w:t>for</w:t>
      </w:r>
      <w:r>
        <w:rPr>
          <w:color w:val="231F20"/>
          <w:spacing w:val="11"/>
        </w:rPr>
        <w:t> </w:t>
      </w:r>
      <w:r>
        <w:rPr>
          <w:color w:val="231F20"/>
        </w:rPr>
        <w:t>the</w:t>
      </w:r>
      <w:r>
        <w:rPr>
          <w:color w:val="231F20"/>
          <w:spacing w:val="12"/>
        </w:rPr>
        <w:t> </w:t>
      </w:r>
      <w:r>
        <w:rPr>
          <w:color w:val="231F20"/>
        </w:rPr>
        <w:t>partial</w:t>
      </w:r>
      <w:r>
        <w:rPr>
          <w:color w:val="231F20"/>
          <w:spacing w:val="12"/>
        </w:rPr>
        <w:t> </w:t>
      </w:r>
      <w:r>
        <w:rPr>
          <w:color w:val="231F20"/>
        </w:rPr>
        <w:t>or</w:t>
      </w:r>
      <w:r>
        <w:rPr>
          <w:color w:val="231F20"/>
          <w:spacing w:val="12"/>
        </w:rPr>
        <w:t> </w:t>
      </w:r>
      <w:r>
        <w:rPr>
          <w:color w:val="231F20"/>
        </w:rPr>
        <w:t>complete</w:t>
      </w:r>
      <w:r>
        <w:rPr>
          <w:color w:val="231F20"/>
          <w:spacing w:val="11"/>
        </w:rPr>
        <w:t> </w:t>
      </w:r>
      <w:r>
        <w:rPr>
          <w:color w:val="231F20"/>
        </w:rPr>
        <w:t>number</w:t>
      </w:r>
      <w:r>
        <w:rPr>
          <w:color w:val="231F20"/>
          <w:spacing w:val="12"/>
        </w:rPr>
        <w:t> </w:t>
      </w:r>
      <w:r>
        <w:rPr>
          <w:color w:val="231F20"/>
        </w:rPr>
        <w:t>or</w:t>
      </w:r>
      <w:r>
        <w:rPr>
          <w:color w:val="231F20"/>
          <w:spacing w:val="12"/>
        </w:rPr>
        <w:t> </w:t>
      </w:r>
      <w:r>
        <w:rPr>
          <w:color w:val="231F20"/>
        </w:rPr>
        <w:t>text</w:t>
      </w:r>
      <w:r>
        <w:rPr>
          <w:color w:val="231F20"/>
          <w:spacing w:val="12"/>
        </w:rPr>
        <w:t> </w:t>
      </w:r>
      <w:r>
        <w:rPr>
          <w:color w:val="231F20"/>
        </w:rPr>
        <w:t>in</w:t>
      </w:r>
      <w:r>
        <w:rPr>
          <w:color w:val="231F20"/>
          <w:spacing w:val="11"/>
        </w:rPr>
        <w:t> </w:t>
      </w:r>
      <w:r>
        <w:rPr>
          <w:color w:val="231F20"/>
        </w:rPr>
        <w:t>the</w:t>
      </w:r>
      <w:r>
        <w:rPr>
          <w:color w:val="231F20"/>
          <w:spacing w:val="12"/>
        </w:rPr>
        <w:t> </w:t>
      </w:r>
      <w:r>
        <w:rPr>
          <w:color w:val="231F20"/>
        </w:rPr>
        <w:t>data</w:t>
      </w:r>
      <w:r>
        <w:rPr>
          <w:color w:val="231F20"/>
          <w:spacing w:val="12"/>
        </w:rPr>
        <w:t> </w:t>
      </w:r>
      <w:r>
        <w:rPr>
          <w:color w:val="231F20"/>
          <w:spacing w:val="-2"/>
        </w:rPr>
        <w:t>sample.</w:t>
      </w:r>
    </w:p>
    <w:p>
      <w:pPr>
        <w:pStyle w:val="Heading6"/>
        <w:ind w:left="2232"/>
      </w:pPr>
      <w:r>
        <w:rPr>
          <w:b w:val="0"/>
        </w:rPr>
        <w:drawing>
          <wp:inline distT="0" distB="0" distL="0" distR="0">
            <wp:extent cx="63500" cy="63500"/>
            <wp:effectExtent l="0" t="0" r="0" b="0"/>
            <wp:docPr id="3363" name="Image 3363"/>
            <wp:cNvGraphicFramePr>
              <a:graphicFrameLocks/>
            </wp:cNvGraphicFramePr>
            <a:graphic>
              <a:graphicData uri="http://schemas.openxmlformats.org/drawingml/2006/picture">
                <pic:pic>
                  <pic:nvPicPr>
                    <pic:cNvPr id="3363" name="Image 3363"/>
                    <pic:cNvPicPr/>
                  </pic:nvPicPr>
                  <pic:blipFill>
                    <a:blip r:embed="rId138" cstate="print"/>
                    <a:stretch>
                      <a:fillRect/>
                    </a:stretch>
                  </pic:blipFill>
                  <pic:spPr>
                    <a:xfrm>
                      <a:off x="0" y="0"/>
                      <a:ext cx="63500" cy="63500"/>
                    </a:xfrm>
                    <a:prstGeom prst="rect">
                      <a:avLst/>
                    </a:prstGeom>
                  </pic:spPr>
                </pic:pic>
              </a:graphicData>
            </a:graphic>
          </wp:inline>
        </w:drawing>
      </w:r>
      <w:r>
        <w:rPr>
          <w:b w:val="0"/>
        </w:rPr>
      </w:r>
      <w:r>
        <w:rPr>
          <w:rFonts w:ascii="Times New Roman"/>
          <w:b w:val="0"/>
          <w:spacing w:val="40"/>
        </w:rPr>
        <w:t> </w:t>
      </w:r>
      <w:r>
        <w:rPr>
          <w:color w:val="231F20"/>
        </w:rPr>
        <w:t>Value of expression</w:t>
      </w:r>
    </w:p>
    <w:p>
      <w:pPr>
        <w:pStyle w:val="BodyText"/>
        <w:spacing w:line="213" w:lineRule="auto" w:before="12"/>
        <w:ind w:left="2951" w:right="545"/>
      </w:pPr>
      <w:r>
        <w:rPr>
          <w:color w:val="231F20"/>
        </w:rPr>
        <w:t>Takes the sampled value of the attribute. When used with other </w:t>
      </w:r>
      <w:r>
        <w:rPr>
          <w:color w:val="231F20"/>
        </w:rPr>
        <w:t>functions, VALUE is evaluated before the others, acting as a filter to the other </w:t>
      </w:r>
      <w:r>
        <w:rPr>
          <w:color w:val="231F20"/>
          <w:spacing w:val="-2"/>
        </w:rPr>
        <w:t>functions.</w:t>
      </w:r>
    </w:p>
    <w:p>
      <w:pPr>
        <w:pStyle w:val="Heading6"/>
        <w:spacing w:before="116"/>
        <w:ind w:left="2232"/>
      </w:pPr>
      <w:r>
        <w:rPr>
          <w:color w:val="231F20"/>
        </w:rPr>
        <w:t>Numeric</w:t>
      </w:r>
      <w:r>
        <w:rPr>
          <w:color w:val="231F20"/>
          <w:spacing w:val="8"/>
        </w:rPr>
        <w:t> </w:t>
      </w:r>
      <w:r>
        <w:rPr>
          <w:color w:val="231F20"/>
          <w:spacing w:val="-2"/>
        </w:rPr>
        <w:t>example</w:t>
      </w:r>
    </w:p>
    <w:p>
      <w:pPr>
        <w:pStyle w:val="BodyText"/>
        <w:spacing w:line="213" w:lineRule="auto" w:before="11"/>
        <w:ind w:left="2951" w:right="545"/>
      </w:pPr>
      <w:r>
        <w:rPr>
          <w:color w:val="231F20"/>
        </w:rPr>
        <w:t>This formula looks through all CPU Utilization values. If one is over </w:t>
      </w:r>
      <w:r>
        <w:rPr>
          <w:color w:val="231F20"/>
        </w:rPr>
        <w:t>50% the comparison is true.</w:t>
      </w:r>
    </w:p>
    <w:p>
      <w:pPr>
        <w:spacing w:before="62"/>
        <w:ind w:left="2951" w:right="0" w:firstLine="0"/>
        <w:jc w:val="left"/>
        <w:rPr>
          <w:rFonts w:ascii="Arial"/>
          <w:sz w:val="18"/>
        </w:rPr>
      </w:pPr>
      <w:r>
        <w:rPr>
          <w:rFonts w:ascii="Arial"/>
          <w:color w:val="231F20"/>
          <w:sz w:val="18"/>
        </w:rPr>
        <w:t>VALUE(CPU</w:t>
      </w:r>
      <w:r>
        <w:rPr>
          <w:rFonts w:ascii="Arial"/>
          <w:color w:val="231F20"/>
          <w:spacing w:val="8"/>
          <w:w w:val="105"/>
          <w:sz w:val="18"/>
        </w:rPr>
        <w:t> </w:t>
      </w:r>
      <w:r>
        <w:rPr>
          <w:rFonts w:ascii="Arial"/>
          <w:color w:val="231F20"/>
          <w:w w:val="105"/>
          <w:sz w:val="18"/>
        </w:rPr>
        <w:t>Utilization)&gt;</w:t>
      </w:r>
      <w:r>
        <w:rPr>
          <w:rFonts w:ascii="Arial"/>
          <w:color w:val="231F20"/>
          <w:spacing w:val="8"/>
          <w:w w:val="105"/>
          <w:sz w:val="18"/>
        </w:rPr>
        <w:t> </w:t>
      </w:r>
      <w:r>
        <w:rPr>
          <w:rFonts w:ascii="Arial"/>
          <w:color w:val="231F20"/>
          <w:spacing w:val="-7"/>
          <w:sz w:val="18"/>
        </w:rPr>
        <w:t>50</w:t>
      </w:r>
    </w:p>
    <w:p>
      <w:pPr>
        <w:pStyle w:val="Heading6"/>
        <w:spacing w:before="128"/>
        <w:ind w:left="2232"/>
      </w:pPr>
      <w:r>
        <w:rPr>
          <w:color w:val="231F20"/>
          <w:spacing w:val="-2"/>
        </w:rPr>
        <w:t>Text</w:t>
      </w:r>
      <w:r>
        <w:rPr>
          <w:color w:val="231F20"/>
          <w:spacing w:val="-5"/>
        </w:rPr>
        <w:t> </w:t>
      </w:r>
      <w:r>
        <w:rPr>
          <w:color w:val="231F20"/>
          <w:spacing w:val="-2"/>
        </w:rPr>
        <w:t>examples</w:t>
      </w:r>
    </w:p>
    <w:p>
      <w:pPr>
        <w:pStyle w:val="BodyText"/>
        <w:spacing w:line="258" w:lineRule="exact"/>
        <w:ind w:left="2951"/>
      </w:pPr>
      <w:r>
        <w:rPr>
          <w:color w:val="231F20"/>
        </w:rPr>
        <w:t>The</w:t>
      </w:r>
      <w:r>
        <w:rPr>
          <w:color w:val="231F20"/>
          <w:spacing w:val="11"/>
        </w:rPr>
        <w:t> </w:t>
      </w:r>
      <w:r>
        <w:rPr>
          <w:color w:val="231F20"/>
        </w:rPr>
        <w:t>comparison</w:t>
      </w:r>
      <w:r>
        <w:rPr>
          <w:color w:val="231F20"/>
          <w:spacing w:val="12"/>
        </w:rPr>
        <w:t> </w:t>
      </w:r>
      <w:r>
        <w:rPr>
          <w:color w:val="231F20"/>
        </w:rPr>
        <w:t>is</w:t>
      </w:r>
      <w:r>
        <w:rPr>
          <w:color w:val="231F20"/>
          <w:spacing w:val="12"/>
        </w:rPr>
        <w:t> </w:t>
      </w:r>
      <w:r>
        <w:rPr>
          <w:color w:val="231F20"/>
        </w:rPr>
        <w:t>true</w:t>
      </w:r>
      <w:r>
        <w:rPr>
          <w:color w:val="231F20"/>
          <w:spacing w:val="12"/>
        </w:rPr>
        <w:t> </w:t>
      </w:r>
      <w:r>
        <w:rPr>
          <w:color w:val="231F20"/>
        </w:rPr>
        <w:t>if</w:t>
      </w:r>
      <w:r>
        <w:rPr>
          <w:color w:val="231F20"/>
          <w:spacing w:val="12"/>
        </w:rPr>
        <w:t> </w:t>
      </w:r>
      <w:r>
        <w:rPr>
          <w:color w:val="231F20"/>
        </w:rPr>
        <w:t>the</w:t>
      </w:r>
      <w:r>
        <w:rPr>
          <w:color w:val="231F20"/>
          <w:spacing w:val="12"/>
        </w:rPr>
        <w:t> </w:t>
      </w:r>
      <w:r>
        <w:rPr>
          <w:color w:val="231F20"/>
        </w:rPr>
        <w:t>system</w:t>
      </w:r>
      <w:r>
        <w:rPr>
          <w:color w:val="231F20"/>
          <w:spacing w:val="11"/>
        </w:rPr>
        <w:t> </w:t>
      </w:r>
      <w:r>
        <w:rPr>
          <w:color w:val="231F20"/>
        </w:rPr>
        <w:t>name</w:t>
      </w:r>
      <w:r>
        <w:rPr>
          <w:color w:val="231F20"/>
          <w:spacing w:val="12"/>
        </w:rPr>
        <w:t> </w:t>
      </w:r>
      <w:r>
        <w:rPr>
          <w:color w:val="231F20"/>
        </w:rPr>
        <w:t>is</w:t>
      </w:r>
      <w:r>
        <w:rPr>
          <w:color w:val="231F20"/>
          <w:spacing w:val="12"/>
        </w:rPr>
        <w:t> </w:t>
      </w:r>
      <w:r>
        <w:rPr>
          <w:rFonts w:ascii="Book Antiqua"/>
          <w:i/>
          <w:color w:val="231F20"/>
          <w:spacing w:val="-2"/>
        </w:rPr>
        <w:t>redwood</w:t>
      </w:r>
      <w:r>
        <w:rPr>
          <w:color w:val="231F20"/>
          <w:spacing w:val="-2"/>
        </w:rPr>
        <w:t>.</w:t>
      </w:r>
    </w:p>
    <w:p>
      <w:pPr>
        <w:spacing w:before="56"/>
        <w:ind w:left="2951" w:right="0" w:firstLine="0"/>
        <w:jc w:val="left"/>
        <w:rPr>
          <w:rFonts w:ascii="Arial"/>
          <w:sz w:val="18"/>
        </w:rPr>
      </w:pPr>
      <w:r>
        <w:rPr>
          <w:rFonts w:ascii="Arial"/>
          <w:color w:val="231F20"/>
          <w:w w:val="85"/>
          <w:sz w:val="18"/>
        </w:rPr>
        <w:t>VALUE(System</w:t>
      </w:r>
      <w:r>
        <w:rPr>
          <w:rFonts w:ascii="Arial"/>
          <w:color w:val="231F20"/>
          <w:spacing w:val="39"/>
          <w:sz w:val="18"/>
        </w:rPr>
        <w:t> </w:t>
      </w:r>
      <w:r>
        <w:rPr>
          <w:rFonts w:ascii="Arial"/>
          <w:color w:val="231F20"/>
          <w:w w:val="85"/>
          <w:sz w:val="18"/>
        </w:rPr>
        <w:t>Name)</w:t>
      </w:r>
      <w:r>
        <w:rPr>
          <w:rFonts w:ascii="Arial"/>
          <w:color w:val="231F20"/>
          <w:spacing w:val="40"/>
          <w:sz w:val="18"/>
        </w:rPr>
        <w:t> </w:t>
      </w:r>
      <w:r>
        <w:rPr>
          <w:rFonts w:ascii="Arial"/>
          <w:color w:val="231F20"/>
          <w:w w:val="85"/>
          <w:sz w:val="18"/>
        </w:rPr>
        <w:t>==</w:t>
      </w:r>
      <w:r>
        <w:rPr>
          <w:rFonts w:ascii="Arial"/>
          <w:color w:val="231F20"/>
          <w:spacing w:val="39"/>
          <w:sz w:val="18"/>
        </w:rPr>
        <w:t> </w:t>
      </w:r>
      <w:r>
        <w:rPr>
          <w:rFonts w:ascii="Arial"/>
          <w:color w:val="231F20"/>
          <w:spacing w:val="-2"/>
          <w:w w:val="85"/>
          <w:sz w:val="18"/>
        </w:rPr>
        <w:t>redwood</w:t>
      </w:r>
    </w:p>
    <w:p>
      <w:pPr>
        <w:pStyle w:val="BodyText"/>
        <w:spacing w:before="41"/>
        <w:rPr>
          <w:rFonts w:ascii="Arial"/>
          <w:sz w:val="18"/>
        </w:rPr>
      </w:pPr>
    </w:p>
    <w:p>
      <w:pPr>
        <w:pStyle w:val="BodyText"/>
        <w:spacing w:line="213" w:lineRule="auto" w:before="1"/>
        <w:ind w:left="2951" w:right="493"/>
      </w:pPr>
      <w:r>
        <w:rPr>
          <w:color w:val="231F20"/>
        </w:rPr>
        <w:t>This formula uses a wildcard to find log files that start with uppercase </w:t>
      </w:r>
      <w:r>
        <w:rPr>
          <w:rFonts w:ascii="Book Antiqua"/>
          <w:i/>
          <w:color w:val="231F20"/>
        </w:rPr>
        <w:t>S</w:t>
      </w:r>
      <w:r>
        <w:rPr>
          <w:color w:val="231F20"/>
        </w:rPr>
        <w:t>, such as </w:t>
      </w:r>
      <w:r>
        <w:rPr>
          <w:rFonts w:ascii="Book Antiqua"/>
          <w:i/>
          <w:color w:val="231F20"/>
        </w:rPr>
        <w:t>System </w:t>
      </w:r>
      <w:r>
        <w:rPr>
          <w:color w:val="231F20"/>
        </w:rPr>
        <w:t>and </w:t>
      </w:r>
      <w:r>
        <w:rPr>
          <w:rFonts w:ascii="Book Antiqua"/>
          <w:i/>
          <w:color w:val="231F20"/>
        </w:rPr>
        <w:t>Security</w:t>
      </w:r>
      <w:r>
        <w:rPr>
          <w:color w:val="231F20"/>
        </w:rPr>
        <w:t>.</w:t>
      </w:r>
    </w:p>
    <w:p>
      <w:pPr>
        <w:spacing w:before="61"/>
        <w:ind w:left="2951" w:right="0" w:firstLine="0"/>
        <w:jc w:val="left"/>
        <w:rPr>
          <w:rFonts w:ascii="Arial"/>
          <w:sz w:val="18"/>
        </w:rPr>
      </w:pPr>
      <w:r>
        <w:rPr>
          <w:rFonts w:ascii="Arial"/>
          <w:color w:val="231F20"/>
          <w:w w:val="85"/>
          <w:sz w:val="18"/>
        </w:rPr>
        <w:t>VALUE(Log</w:t>
      </w:r>
      <w:r>
        <w:rPr>
          <w:rFonts w:ascii="Arial"/>
          <w:color w:val="231F20"/>
          <w:spacing w:val="35"/>
          <w:sz w:val="18"/>
        </w:rPr>
        <w:t> </w:t>
      </w:r>
      <w:r>
        <w:rPr>
          <w:rFonts w:ascii="Arial"/>
          <w:color w:val="231F20"/>
          <w:w w:val="85"/>
          <w:sz w:val="18"/>
        </w:rPr>
        <w:t>Name)</w:t>
      </w:r>
      <w:r>
        <w:rPr>
          <w:rFonts w:ascii="Arial"/>
          <w:color w:val="231F20"/>
          <w:spacing w:val="35"/>
          <w:sz w:val="18"/>
        </w:rPr>
        <w:t> </w:t>
      </w:r>
      <w:r>
        <w:rPr>
          <w:rFonts w:ascii="Arial"/>
          <w:color w:val="231F20"/>
          <w:w w:val="85"/>
          <w:sz w:val="18"/>
        </w:rPr>
        <w:t>==</w:t>
      </w:r>
      <w:r>
        <w:rPr>
          <w:rFonts w:ascii="Arial"/>
          <w:color w:val="231F20"/>
          <w:spacing w:val="36"/>
          <w:sz w:val="18"/>
        </w:rPr>
        <w:t> </w:t>
      </w:r>
      <w:r>
        <w:rPr>
          <w:rFonts w:ascii="Arial"/>
          <w:color w:val="231F20"/>
          <w:spacing w:val="-5"/>
          <w:w w:val="85"/>
          <w:sz w:val="18"/>
        </w:rPr>
        <w:t>S*</w:t>
      </w:r>
    </w:p>
    <w:p>
      <w:pPr>
        <w:pStyle w:val="Heading6"/>
        <w:spacing w:before="128"/>
        <w:ind w:left="2232"/>
      </w:pPr>
      <w:r>
        <w:rPr>
          <w:color w:val="231F20"/>
          <w:spacing w:val="-2"/>
        </w:rPr>
        <w:t>Wildcards</w:t>
      </w:r>
    </w:p>
    <w:p>
      <w:pPr>
        <w:pStyle w:val="BodyText"/>
        <w:spacing w:line="213" w:lineRule="auto" w:before="12"/>
        <w:ind w:left="2951" w:right="601"/>
      </w:pPr>
      <w:r>
        <w:rPr>
          <w:color w:val="231F20"/>
        </w:rPr>
        <w:t>For text attributes only, you can use wildcards to enter partial values </w:t>
      </w:r>
      <w:r>
        <w:rPr>
          <w:color w:val="231F20"/>
        </w:rPr>
        <w:t>that will find everything that includes those characters provided that you append the text with an * asterisk. Use an * asterisk wildcard for any number of characters beginning at that position. Use a ? question mark wildcard for a single character at that position. The last character of the</w:t>
      </w:r>
      <w:r>
        <w:rPr>
          <w:color w:val="231F20"/>
          <w:spacing w:val="40"/>
        </w:rPr>
        <w:t> </w:t>
      </w:r>
      <w:r>
        <w:rPr>
          <w:color w:val="231F20"/>
        </w:rPr>
        <w:t>text</w:t>
      </w:r>
      <w:r>
        <w:rPr>
          <w:color w:val="231F20"/>
          <w:spacing w:val="15"/>
        </w:rPr>
        <w:t> </w:t>
      </w:r>
      <w:r>
        <w:rPr>
          <w:color w:val="231F20"/>
        </w:rPr>
        <w:t>must</w:t>
      </w:r>
      <w:r>
        <w:rPr>
          <w:color w:val="231F20"/>
          <w:spacing w:val="15"/>
        </w:rPr>
        <w:t> </w:t>
      </w:r>
      <w:r>
        <w:rPr>
          <w:color w:val="231F20"/>
        </w:rPr>
        <w:t>be</w:t>
      </w:r>
      <w:r>
        <w:rPr>
          <w:color w:val="231F20"/>
          <w:spacing w:val="15"/>
        </w:rPr>
        <w:t> </w:t>
      </w:r>
      <w:r>
        <w:rPr>
          <w:color w:val="231F20"/>
        </w:rPr>
        <w:t>an</w:t>
      </w:r>
      <w:r>
        <w:rPr>
          <w:color w:val="231F20"/>
          <w:spacing w:val="15"/>
        </w:rPr>
        <w:t> </w:t>
      </w:r>
      <w:r>
        <w:rPr>
          <w:color w:val="231F20"/>
        </w:rPr>
        <w:t>*</w:t>
      </w:r>
      <w:r>
        <w:rPr>
          <w:color w:val="231F20"/>
          <w:spacing w:val="15"/>
        </w:rPr>
        <w:t> </w:t>
      </w:r>
      <w:r>
        <w:rPr>
          <w:color w:val="231F20"/>
        </w:rPr>
        <w:t>asterisk.</w:t>
      </w:r>
      <w:r>
        <w:rPr>
          <w:color w:val="231F20"/>
          <w:spacing w:val="15"/>
        </w:rPr>
        <w:t> </w:t>
      </w:r>
      <w:r>
        <w:rPr>
          <w:color w:val="231F20"/>
        </w:rPr>
        <w:t>For</w:t>
      </w:r>
      <w:r>
        <w:rPr>
          <w:color w:val="231F20"/>
          <w:spacing w:val="15"/>
        </w:rPr>
        <w:t> </w:t>
      </w:r>
      <w:r>
        <w:rPr>
          <w:color w:val="231F20"/>
        </w:rPr>
        <w:t>example,</w:t>
      </w:r>
      <w:r>
        <w:rPr>
          <w:color w:val="231F20"/>
          <w:spacing w:val="15"/>
        </w:rPr>
        <w:t> </w:t>
      </w:r>
      <w:r>
        <w:rPr>
          <w:color w:val="231F20"/>
        </w:rPr>
        <w:t>enter</w:t>
      </w:r>
      <w:r>
        <w:rPr>
          <w:color w:val="231F20"/>
          <w:spacing w:val="15"/>
        </w:rPr>
        <w:t> </w:t>
      </w:r>
      <w:r>
        <w:rPr>
          <w:color w:val="231F20"/>
        </w:rPr>
        <w:t>Sa?e*</w:t>
      </w:r>
      <w:r>
        <w:rPr>
          <w:color w:val="231F20"/>
          <w:spacing w:val="15"/>
        </w:rPr>
        <w:t> </w:t>
      </w:r>
      <w:r>
        <w:rPr>
          <w:color w:val="231F20"/>
        </w:rPr>
        <w:t>to</w:t>
      </w:r>
      <w:r>
        <w:rPr>
          <w:color w:val="231F20"/>
          <w:spacing w:val="15"/>
        </w:rPr>
        <w:t> </w:t>
      </w:r>
      <w:r>
        <w:rPr>
          <w:color w:val="231F20"/>
        </w:rPr>
        <w:t>find</w:t>
      </w:r>
      <w:r>
        <w:rPr>
          <w:color w:val="231F20"/>
          <w:spacing w:val="15"/>
        </w:rPr>
        <w:t> </w:t>
      </w:r>
      <w:r>
        <w:rPr>
          <w:color w:val="231F20"/>
        </w:rPr>
        <w:t>Safe</w:t>
      </w:r>
      <w:r>
        <w:rPr>
          <w:color w:val="231F20"/>
          <w:spacing w:val="15"/>
        </w:rPr>
        <w:t> </w:t>
      </w:r>
      <w:r>
        <w:rPr>
          <w:color w:val="231F20"/>
        </w:rPr>
        <w:t>and</w:t>
      </w:r>
      <w:r>
        <w:rPr>
          <w:color w:val="231F20"/>
          <w:spacing w:val="15"/>
        </w:rPr>
        <w:t> </w:t>
      </w:r>
      <w:r>
        <w:rPr>
          <w:color w:val="231F20"/>
        </w:rPr>
        <w:t>Sale;</w:t>
      </w:r>
    </w:p>
    <w:p>
      <w:pPr>
        <w:spacing w:after="0" w:line="213" w:lineRule="auto"/>
        <w:sectPr>
          <w:pgSz w:w="12240" w:h="15840"/>
          <w:pgMar w:header="0" w:footer="736" w:top="1180" w:bottom="920" w:left="1000" w:right="1060"/>
        </w:sectPr>
      </w:pPr>
    </w:p>
    <w:p>
      <w:pPr>
        <w:pStyle w:val="BodyText"/>
        <w:spacing w:line="213" w:lineRule="auto" w:before="85"/>
        <w:ind w:left="3190" w:right="385"/>
      </w:pPr>
      <w:bookmarkStart w:name="_bookmark332" w:id="690"/>
      <w:bookmarkEnd w:id="690"/>
      <w:r>
        <w:rPr/>
      </w:r>
      <w:r>
        <w:rPr>
          <w:color w:val="231F20"/>
        </w:rPr>
        <w:t>and enter *System* to find AIX_System and UNIX_Systems. Be aware </w:t>
      </w:r>
      <w:r>
        <w:rPr>
          <w:color w:val="231F20"/>
        </w:rPr>
        <w:t>that only the == Equal operator is valid; all other operators will return invalid</w:t>
      </w:r>
      <w:r>
        <w:rPr>
          <w:color w:val="231F20"/>
          <w:spacing w:val="80"/>
        </w:rPr>
        <w:t> </w:t>
      </w:r>
      <w:r>
        <w:rPr>
          <w:color w:val="231F20"/>
        </w:rPr>
        <w:t>or unwanted results. For another example, db2*.exe* will find db2fmp.exe and db2systray.exe; and db2???.* will find db2fmp.exe but not </w:t>
      </w:r>
      <w:r>
        <w:rPr>
          <w:color w:val="231F20"/>
          <w:spacing w:val="-2"/>
        </w:rPr>
        <w:t>db2systray.exe.</w:t>
      </w:r>
    </w:p>
    <w:p>
      <w:pPr>
        <w:pStyle w:val="Heading6"/>
        <w:spacing w:before="115"/>
      </w:pPr>
      <w:r>
        <w:rPr>
          <w:color w:val="231F20"/>
        </w:rPr>
        <w:t>Hexadecimal</w:t>
      </w:r>
      <w:r>
        <w:rPr>
          <w:color w:val="231F20"/>
          <w:spacing w:val="4"/>
        </w:rPr>
        <w:t> </w:t>
      </w:r>
      <w:r>
        <w:rPr>
          <w:color w:val="231F20"/>
          <w:spacing w:val="-2"/>
        </w:rPr>
        <w:t>numbers</w:t>
      </w:r>
    </w:p>
    <w:p>
      <w:pPr>
        <w:pStyle w:val="BodyText"/>
        <w:spacing w:line="213" w:lineRule="auto" w:before="11"/>
        <w:ind w:left="3190" w:right="274"/>
      </w:pPr>
      <w:r>
        <w:rPr>
          <w:color w:val="231F20"/>
        </w:rPr>
        <w:t>When entering a hexadecimal value in a cell, prefix the number with </w:t>
      </w:r>
      <w:r>
        <w:rPr>
          <w:color w:val="231F20"/>
        </w:rPr>
        <w:t>zero and the letter “x”, as in 0x123ab for hex value 123ab.</w:t>
      </w:r>
    </w:p>
    <w:p>
      <w:pPr>
        <w:pStyle w:val="BodyText"/>
        <w:tabs>
          <w:tab w:pos="3190" w:val="left" w:leader="none"/>
        </w:tabs>
        <w:spacing w:line="213" w:lineRule="auto" w:before="119"/>
        <w:ind w:left="3190" w:right="385" w:hanging="719"/>
      </w:pPr>
      <w:r>
        <w:rPr>
          <w:rFonts w:ascii="Book Antiqua"/>
          <w:b/>
          <w:color w:val="231F20"/>
          <w:spacing w:val="-4"/>
        </w:rPr>
        <w:t>Tip</w:t>
      </w:r>
      <w:r>
        <w:rPr>
          <w:rFonts w:ascii="Book Antiqua"/>
          <w:b/>
          <w:color w:val="231F20"/>
        </w:rPr>
        <w:tab/>
      </w:r>
      <w:r>
        <w:rPr>
          <w:color w:val="231F20"/>
        </w:rPr>
        <w:t>For situations on multiple-row attribute groups, you can add a display</w:t>
      </w:r>
      <w:r>
        <w:rPr>
          <w:color w:val="231F20"/>
          <w:spacing w:val="80"/>
        </w:rPr>
        <w:t> </w:t>
      </w:r>
      <w:r>
        <w:rPr>
          <w:color w:val="231F20"/>
        </w:rPr>
        <w:t>item (in the Condition tab, click </w:t>
      </w:r>
      <w:r>
        <w:rPr>
          <w:rFonts w:ascii="Book Antiqua"/>
          <w:b/>
          <w:color w:val="231F20"/>
        </w:rPr>
        <w:t>Advanced</w:t>
      </w:r>
      <w:r>
        <w:rPr>
          <w:color w:val="231F20"/>
        </w:rPr>
        <w:t>) to open an event for each </w:t>
      </w:r>
      <w:r>
        <w:rPr>
          <w:color w:val="231F20"/>
        </w:rPr>
        <w:t>row </w:t>
      </w:r>
      <w:bookmarkStart w:name="IN: Value of expression IN" w:id="691"/>
      <w:bookmarkEnd w:id="691"/>
      <w:r>
        <w:rPr>
          <w:color w:val="231F20"/>
        </w:rPr>
        <w:t>that</w:t>
      </w:r>
      <w:r>
        <w:rPr>
          <w:color w:val="231F20"/>
        </w:rPr>
        <w:t> meets the condition and not just the first one.</w:t>
      </w:r>
    </w:p>
    <w:p>
      <w:pPr>
        <w:pStyle w:val="Heading4"/>
        <w:spacing w:line="275" w:lineRule="exact" w:before="164"/>
        <w:ind w:left="2472"/>
      </w:pPr>
      <w:r>
        <w:rPr>
          <w:color w:val="231F20"/>
        </w:rPr>
        <w:t>IN:</w:t>
      </w:r>
      <w:r>
        <w:rPr>
          <w:color w:val="231F20"/>
          <w:spacing w:val="3"/>
        </w:rPr>
        <w:t> </w:t>
      </w:r>
      <w:r>
        <w:rPr>
          <w:color w:val="231F20"/>
        </w:rPr>
        <w:t>Value</w:t>
      </w:r>
      <w:r>
        <w:rPr>
          <w:color w:val="231F20"/>
          <w:spacing w:val="3"/>
        </w:rPr>
        <w:t> </w:t>
      </w:r>
      <w:r>
        <w:rPr>
          <w:color w:val="231F20"/>
        </w:rPr>
        <w:t>of</w:t>
      </w:r>
      <w:r>
        <w:rPr>
          <w:color w:val="231F20"/>
          <w:spacing w:val="4"/>
        </w:rPr>
        <w:t> </w:t>
      </w:r>
      <w:r>
        <w:rPr>
          <w:color w:val="231F20"/>
        </w:rPr>
        <w:t>expression</w:t>
      </w:r>
      <w:r>
        <w:rPr>
          <w:color w:val="231F20"/>
          <w:spacing w:val="3"/>
        </w:rPr>
        <w:t> </w:t>
      </w:r>
      <w:r>
        <w:rPr>
          <w:color w:val="231F20"/>
          <w:spacing w:val="-5"/>
        </w:rPr>
        <w:t>IN</w:t>
      </w:r>
    </w:p>
    <w:p>
      <w:pPr>
        <w:pStyle w:val="BodyText"/>
        <w:spacing w:line="211" w:lineRule="auto" w:before="24"/>
        <w:ind w:left="2472" w:right="545"/>
      </w:pPr>
      <w:r>
        <w:rPr>
          <w:color w:val="231F20"/>
        </w:rPr>
        <w:t>Use the IN relational operator with the </w:t>
      </w:r>
      <w:r>
        <w:rPr>
          <w:color w:val="231F20"/>
          <w:spacing w:val="15"/>
        </w:rPr>
        <w:drawing>
          <wp:inline distT="0" distB="0" distL="0" distR="0">
            <wp:extent cx="88900" cy="88900"/>
            <wp:effectExtent l="0" t="0" r="0" b="0"/>
            <wp:docPr id="3364" name="Image 3364"/>
            <wp:cNvGraphicFramePr>
              <a:graphicFrameLocks/>
            </wp:cNvGraphicFramePr>
            <a:graphic>
              <a:graphicData uri="http://schemas.openxmlformats.org/drawingml/2006/picture">
                <pic:pic>
                  <pic:nvPicPr>
                    <pic:cNvPr id="3364" name="Image 3364"/>
                    <pic:cNvPicPr/>
                  </pic:nvPicPr>
                  <pic:blipFill>
                    <a:blip r:embed="rId138" cstate="print"/>
                    <a:stretch>
                      <a:fillRect/>
                    </a:stretch>
                  </pic:blipFill>
                  <pic:spPr>
                    <a:xfrm>
                      <a:off x="0" y="0"/>
                      <a:ext cx="88900" cy="88900"/>
                    </a:xfrm>
                    <a:prstGeom prst="rect">
                      <a:avLst/>
                    </a:prstGeom>
                  </pic:spPr>
                </pic:pic>
              </a:graphicData>
            </a:graphic>
          </wp:inline>
        </w:drawing>
      </w:r>
      <w:r>
        <w:rPr>
          <w:color w:val="231F20"/>
          <w:spacing w:val="15"/>
        </w:rPr>
      </w:r>
      <w:r>
        <w:rPr>
          <w:rFonts w:ascii="Times New Roman"/>
          <w:color w:val="231F20"/>
          <w:spacing w:val="-12"/>
        </w:rPr>
        <w:t> </w:t>
      </w:r>
      <w:r>
        <w:rPr>
          <w:color w:val="231F20"/>
        </w:rPr>
        <w:t>Value of expression function in a situation or a query-based view filter or threshold to compare the data </w:t>
      </w:r>
      <w:r>
        <w:rPr>
          <w:color w:val="231F20"/>
        </w:rPr>
        <w:t>sample with</w:t>
      </w:r>
      <w:r>
        <w:rPr>
          <w:color w:val="231F20"/>
          <w:spacing w:val="26"/>
        </w:rPr>
        <w:t> </w:t>
      </w:r>
      <w:r>
        <w:rPr>
          <w:color w:val="231F20"/>
        </w:rPr>
        <w:t>a</w:t>
      </w:r>
      <w:r>
        <w:rPr>
          <w:color w:val="231F20"/>
          <w:spacing w:val="26"/>
        </w:rPr>
        <w:t> </w:t>
      </w:r>
      <w:r>
        <w:rPr>
          <w:color w:val="231F20"/>
        </w:rPr>
        <w:t>list</w:t>
      </w:r>
      <w:r>
        <w:rPr>
          <w:color w:val="231F20"/>
          <w:spacing w:val="26"/>
        </w:rPr>
        <w:t> </w:t>
      </w:r>
      <w:r>
        <w:rPr>
          <w:color w:val="231F20"/>
        </w:rPr>
        <w:t>of</w:t>
      </w:r>
      <w:r>
        <w:rPr>
          <w:color w:val="231F20"/>
          <w:spacing w:val="26"/>
        </w:rPr>
        <w:t> </w:t>
      </w:r>
      <w:r>
        <w:rPr>
          <w:color w:val="231F20"/>
        </w:rPr>
        <w:t>text</w:t>
      </w:r>
      <w:r>
        <w:rPr>
          <w:color w:val="231F20"/>
          <w:spacing w:val="26"/>
        </w:rPr>
        <w:t> </w:t>
      </w:r>
      <w:r>
        <w:rPr>
          <w:color w:val="231F20"/>
        </w:rPr>
        <w:t>values.</w:t>
      </w:r>
      <w:r>
        <w:rPr>
          <w:color w:val="231F20"/>
          <w:spacing w:val="26"/>
        </w:rPr>
        <w:t> </w:t>
      </w:r>
      <w:r>
        <w:rPr>
          <w:color w:val="231F20"/>
        </w:rPr>
        <w:t>The</w:t>
      </w:r>
      <w:r>
        <w:rPr>
          <w:color w:val="231F20"/>
          <w:spacing w:val="26"/>
        </w:rPr>
        <w:t> </w:t>
      </w:r>
      <w:r>
        <w:rPr>
          <w:color w:val="231F20"/>
        </w:rPr>
        <w:t>condition</w:t>
      </w:r>
      <w:r>
        <w:rPr>
          <w:color w:val="231F20"/>
          <w:spacing w:val="26"/>
        </w:rPr>
        <w:t> </w:t>
      </w:r>
      <w:r>
        <w:rPr>
          <w:color w:val="231F20"/>
        </w:rPr>
        <w:t>is</w:t>
      </w:r>
      <w:r>
        <w:rPr>
          <w:color w:val="231F20"/>
          <w:spacing w:val="26"/>
        </w:rPr>
        <w:t> </w:t>
      </w:r>
      <w:r>
        <w:rPr>
          <w:color w:val="231F20"/>
        </w:rPr>
        <w:t>met</w:t>
      </w:r>
      <w:r>
        <w:rPr>
          <w:color w:val="231F20"/>
          <w:spacing w:val="26"/>
        </w:rPr>
        <w:t> </w:t>
      </w:r>
      <w:r>
        <w:rPr>
          <w:color w:val="231F20"/>
        </w:rPr>
        <w:t>when</w:t>
      </w:r>
      <w:r>
        <w:rPr>
          <w:color w:val="231F20"/>
          <w:spacing w:val="26"/>
        </w:rPr>
        <w:t> </w:t>
      </w:r>
      <w:r>
        <w:rPr>
          <w:color w:val="231F20"/>
        </w:rPr>
        <w:t>a</w:t>
      </w:r>
      <w:r>
        <w:rPr>
          <w:color w:val="231F20"/>
          <w:spacing w:val="26"/>
        </w:rPr>
        <w:t> </w:t>
      </w:r>
      <w:r>
        <w:rPr>
          <w:color w:val="231F20"/>
        </w:rPr>
        <w:t>match</w:t>
      </w:r>
      <w:r>
        <w:rPr>
          <w:color w:val="231F20"/>
          <w:spacing w:val="26"/>
        </w:rPr>
        <w:t> </w:t>
      </w:r>
      <w:r>
        <w:rPr>
          <w:color w:val="231F20"/>
        </w:rPr>
        <w:t>is</w:t>
      </w:r>
      <w:r>
        <w:rPr>
          <w:color w:val="231F20"/>
          <w:spacing w:val="26"/>
        </w:rPr>
        <w:t> </w:t>
      </w:r>
      <w:r>
        <w:rPr>
          <w:color w:val="231F20"/>
        </w:rPr>
        <w:t>found.</w:t>
      </w:r>
    </w:p>
    <w:p>
      <w:pPr>
        <w:pStyle w:val="Heading6"/>
        <w:spacing w:line="227" w:lineRule="exact" w:before="123"/>
      </w:pPr>
      <w:r>
        <w:rPr>
          <w:b w:val="0"/>
        </w:rPr>
        <w:drawing>
          <wp:inline distT="0" distB="0" distL="0" distR="0">
            <wp:extent cx="88900" cy="88899"/>
            <wp:effectExtent l="0" t="0" r="0" b="0"/>
            <wp:docPr id="3365" name="Image 3365"/>
            <wp:cNvGraphicFramePr>
              <a:graphicFrameLocks/>
            </wp:cNvGraphicFramePr>
            <a:graphic>
              <a:graphicData uri="http://schemas.openxmlformats.org/drawingml/2006/picture">
                <pic:pic>
                  <pic:nvPicPr>
                    <pic:cNvPr id="3365" name="Image 3365"/>
                    <pic:cNvPicPr/>
                  </pic:nvPicPr>
                  <pic:blipFill>
                    <a:blip r:embed="rId138" cstate="print"/>
                    <a:stretch>
                      <a:fillRect/>
                    </a:stretch>
                  </pic:blipFill>
                  <pic:spPr>
                    <a:xfrm>
                      <a:off x="0" y="0"/>
                      <a:ext cx="88900" cy="88899"/>
                    </a:xfrm>
                    <a:prstGeom prst="rect">
                      <a:avLst/>
                    </a:prstGeom>
                  </pic:spPr>
                </pic:pic>
              </a:graphicData>
            </a:graphic>
          </wp:inline>
        </w:drawing>
      </w:r>
      <w:r>
        <w:rPr>
          <w:b w:val="0"/>
        </w:rPr>
      </w:r>
      <w:r>
        <w:rPr>
          <w:rFonts w:ascii="Times New Roman"/>
          <w:b w:val="0"/>
          <w:spacing w:val="40"/>
        </w:rPr>
        <w:t> </w:t>
      </w:r>
      <w:r>
        <w:rPr>
          <w:color w:val="231F20"/>
        </w:rPr>
        <w:t>Value of expression IN</w:t>
      </w:r>
    </w:p>
    <w:p>
      <w:pPr>
        <w:pStyle w:val="BodyText"/>
        <w:spacing w:line="213" w:lineRule="auto" w:before="9"/>
        <w:ind w:left="3190" w:right="258"/>
      </w:pPr>
      <w:r>
        <w:rPr>
          <w:color w:val="231F20"/>
        </w:rPr>
        <w:t>Compares the value of the specified text attribute with a list of values that you supply. The condition is true when a match is found in the list. Using</w:t>
      </w:r>
      <w:r>
        <w:rPr>
          <w:color w:val="231F20"/>
          <w:spacing w:val="40"/>
        </w:rPr>
        <w:t> </w:t>
      </w:r>
      <w:r>
        <w:rPr>
          <w:color w:val="231F20"/>
        </w:rPr>
        <w:t>the IN relational operator with the </w:t>
      </w:r>
      <w:r>
        <w:rPr>
          <w:color w:val="231F20"/>
          <w:spacing w:val="15"/>
        </w:rPr>
        <w:drawing>
          <wp:inline distT="0" distB="0" distL="0" distR="0">
            <wp:extent cx="88900" cy="88900"/>
            <wp:effectExtent l="0" t="0" r="0" b="0"/>
            <wp:docPr id="3366" name="Image 3366"/>
            <wp:cNvGraphicFramePr>
              <a:graphicFrameLocks/>
            </wp:cNvGraphicFramePr>
            <a:graphic>
              <a:graphicData uri="http://schemas.openxmlformats.org/drawingml/2006/picture">
                <pic:pic>
                  <pic:nvPicPr>
                    <pic:cNvPr id="3366" name="Image 3366"/>
                    <pic:cNvPicPr/>
                  </pic:nvPicPr>
                  <pic:blipFill>
                    <a:blip r:embed="rId138" cstate="print"/>
                    <a:stretch>
                      <a:fillRect/>
                    </a:stretch>
                  </pic:blipFill>
                  <pic:spPr>
                    <a:xfrm>
                      <a:off x="0" y="0"/>
                      <a:ext cx="88900" cy="88900"/>
                    </a:xfrm>
                    <a:prstGeom prst="rect">
                      <a:avLst/>
                    </a:prstGeom>
                  </pic:spPr>
                </pic:pic>
              </a:graphicData>
            </a:graphic>
          </wp:inline>
        </w:drawing>
      </w:r>
      <w:r>
        <w:rPr>
          <w:color w:val="231F20"/>
          <w:spacing w:val="15"/>
        </w:rPr>
      </w:r>
      <w:r>
        <w:rPr>
          <w:rFonts w:ascii="Times New Roman"/>
          <w:color w:val="231F20"/>
          <w:spacing w:val="-16"/>
        </w:rPr>
        <w:t> </w:t>
      </w:r>
      <w:r>
        <w:rPr>
          <w:rFonts w:ascii="Book Antiqua"/>
          <w:b/>
          <w:color w:val="231F20"/>
        </w:rPr>
        <w:t>Value of expression </w:t>
      </w:r>
      <w:r>
        <w:rPr>
          <w:color w:val="231F20"/>
        </w:rPr>
        <w:t>function is useful for highlighting specific names or text values that are present in the data samplings, such as certain process names.</w:t>
      </w:r>
    </w:p>
    <w:p>
      <w:pPr>
        <w:pStyle w:val="Heading6"/>
        <w:spacing w:before="115"/>
      </w:pPr>
      <w:r>
        <w:rPr>
          <w:color w:val="231F20"/>
          <w:spacing w:val="-2"/>
        </w:rPr>
        <w:t>Examples</w:t>
      </w:r>
    </w:p>
    <w:p>
      <w:pPr>
        <w:pStyle w:val="BodyText"/>
        <w:spacing w:line="213" w:lineRule="auto" w:before="11"/>
        <w:ind w:left="3190" w:right="545"/>
      </w:pPr>
      <w:r>
        <w:rPr>
          <w:color w:val="231F20"/>
        </w:rPr>
        <w:t>This is a filter used to display only those rows that have a user name of</w:t>
      </w:r>
      <w:r>
        <w:rPr>
          <w:color w:val="231F20"/>
          <w:spacing w:val="40"/>
        </w:rPr>
        <w:t> </w:t>
      </w:r>
      <w:r>
        <w:rPr>
          <w:color w:val="231F20"/>
        </w:rPr>
        <w:t>Anne, Jane or John in the table.</w:t>
      </w:r>
    </w:p>
    <w:p>
      <w:pPr>
        <w:spacing w:before="62"/>
        <w:ind w:left="3190" w:right="0" w:firstLine="0"/>
        <w:jc w:val="left"/>
        <w:rPr>
          <w:rFonts w:ascii="Arial" w:hAnsi="Arial"/>
          <w:sz w:val="18"/>
        </w:rPr>
      </w:pPr>
      <w:r>
        <w:rPr>
          <w:rFonts w:ascii="Arial" w:hAnsi="Arial"/>
          <w:color w:val="231F20"/>
          <w:spacing w:val="-2"/>
          <w:sz w:val="18"/>
        </w:rPr>
        <w:t>(User</w:t>
      </w:r>
      <w:r>
        <w:rPr>
          <w:rFonts w:ascii="Arial" w:hAnsi="Arial"/>
          <w:color w:val="231F20"/>
          <w:spacing w:val="79"/>
          <w:sz w:val="18"/>
        </w:rPr>
        <w:t> </w:t>
      </w:r>
      <w:r>
        <w:rPr>
          <w:rFonts w:ascii="Arial" w:hAnsi="Arial"/>
          <w:color w:val="231F20"/>
          <w:spacing w:val="-2"/>
          <w:sz w:val="18"/>
        </w:rPr>
        <w:t>Name</w:t>
      </w:r>
      <w:r>
        <w:rPr>
          <w:rFonts w:ascii="Arial" w:hAnsi="Arial"/>
          <w:color w:val="231F20"/>
          <w:spacing w:val="55"/>
          <w:w w:val="150"/>
          <w:sz w:val="18"/>
        </w:rPr>
        <w:t> </w:t>
      </w:r>
      <w:r>
        <w:rPr>
          <w:rFonts w:ascii="Arial" w:hAnsi="Arial"/>
          <w:color w:val="231F20"/>
          <w:spacing w:val="-2"/>
          <w:sz w:val="18"/>
        </w:rPr>
        <w:t>*IN</w:t>
      </w:r>
      <w:r>
        <w:rPr>
          <w:rFonts w:ascii="Arial" w:hAnsi="Arial"/>
          <w:color w:val="231F20"/>
          <w:spacing w:val="55"/>
          <w:w w:val="150"/>
          <w:sz w:val="18"/>
        </w:rPr>
        <w:t> </w:t>
      </w:r>
      <w:r>
        <w:rPr>
          <w:rFonts w:ascii="Arial" w:hAnsi="Arial"/>
          <w:color w:val="231F20"/>
          <w:spacing w:val="-2"/>
          <w:sz w:val="18"/>
        </w:rPr>
        <w:t>(’Anne’,’John’,’Jane’))</w:t>
      </w:r>
    </w:p>
    <w:p>
      <w:pPr>
        <w:pStyle w:val="BodyText"/>
        <w:spacing w:before="41"/>
        <w:rPr>
          <w:rFonts w:ascii="Arial"/>
          <w:sz w:val="18"/>
        </w:rPr>
      </w:pPr>
    </w:p>
    <w:p>
      <w:pPr>
        <w:pStyle w:val="BodyText"/>
        <w:spacing w:line="213" w:lineRule="auto" w:before="1"/>
        <w:ind w:left="3190" w:right="258"/>
      </w:pPr>
      <w:r>
        <w:rPr>
          <w:color w:val="231F20"/>
        </w:rPr>
        <w:t>This</w:t>
      </w:r>
      <w:r>
        <w:rPr>
          <w:color w:val="231F20"/>
          <w:spacing w:val="27"/>
        </w:rPr>
        <w:t> </w:t>
      </w:r>
      <w:r>
        <w:rPr>
          <w:color w:val="231F20"/>
        </w:rPr>
        <w:t>is</w:t>
      </w:r>
      <w:r>
        <w:rPr>
          <w:color w:val="231F20"/>
          <w:spacing w:val="27"/>
        </w:rPr>
        <w:t> </w:t>
      </w:r>
      <w:r>
        <w:rPr>
          <w:color w:val="231F20"/>
        </w:rPr>
        <w:t>a</w:t>
      </w:r>
      <w:r>
        <w:rPr>
          <w:color w:val="231F20"/>
          <w:spacing w:val="27"/>
        </w:rPr>
        <w:t> </w:t>
      </w:r>
      <w:r>
        <w:rPr>
          <w:color w:val="231F20"/>
        </w:rPr>
        <w:t>threshold</w:t>
      </w:r>
      <w:r>
        <w:rPr>
          <w:color w:val="231F20"/>
          <w:spacing w:val="27"/>
        </w:rPr>
        <w:t> </w:t>
      </w:r>
      <w:r>
        <w:rPr>
          <w:color w:val="231F20"/>
        </w:rPr>
        <w:t>formula</w:t>
      </w:r>
      <w:r>
        <w:rPr>
          <w:color w:val="231F20"/>
          <w:spacing w:val="27"/>
        </w:rPr>
        <w:t> </w:t>
      </w:r>
      <w:r>
        <w:rPr>
          <w:color w:val="231F20"/>
        </w:rPr>
        <w:t>for</w:t>
      </w:r>
      <w:r>
        <w:rPr>
          <w:color w:val="231F20"/>
          <w:spacing w:val="27"/>
        </w:rPr>
        <w:t> </w:t>
      </w:r>
      <w:r>
        <w:rPr>
          <w:color w:val="231F20"/>
        </w:rPr>
        <w:t>a</w:t>
      </w:r>
      <w:r>
        <w:rPr>
          <w:color w:val="231F20"/>
          <w:spacing w:val="27"/>
        </w:rPr>
        <w:t> </w:t>
      </w:r>
      <w:r>
        <w:rPr>
          <w:color w:val="231F20"/>
        </w:rPr>
        <w:t>view</w:t>
      </w:r>
      <w:r>
        <w:rPr>
          <w:color w:val="231F20"/>
          <w:spacing w:val="27"/>
        </w:rPr>
        <w:t> </w:t>
      </w:r>
      <w:r>
        <w:rPr>
          <w:color w:val="231F20"/>
        </w:rPr>
        <w:t>of</w:t>
      </w:r>
      <w:r>
        <w:rPr>
          <w:color w:val="231F20"/>
          <w:spacing w:val="27"/>
        </w:rPr>
        <w:t> </w:t>
      </w:r>
      <w:r>
        <w:rPr>
          <w:color w:val="231F20"/>
        </w:rPr>
        <w:t>situations</w:t>
      </w:r>
      <w:r>
        <w:rPr>
          <w:color w:val="231F20"/>
          <w:spacing w:val="27"/>
        </w:rPr>
        <w:t> </w:t>
      </w:r>
      <w:r>
        <w:rPr>
          <w:color w:val="231F20"/>
        </w:rPr>
        <w:t>used</w:t>
      </w:r>
      <w:r>
        <w:rPr>
          <w:color w:val="231F20"/>
          <w:spacing w:val="27"/>
        </w:rPr>
        <w:t> </w:t>
      </w:r>
      <w:r>
        <w:rPr>
          <w:color w:val="231F20"/>
        </w:rPr>
        <w:t>to</w:t>
      </w:r>
      <w:r>
        <w:rPr>
          <w:color w:val="231F20"/>
          <w:spacing w:val="27"/>
        </w:rPr>
        <w:t> </w:t>
      </w:r>
      <w:r>
        <w:rPr>
          <w:color w:val="231F20"/>
        </w:rPr>
        <w:t>apply</w:t>
      </w:r>
      <w:r>
        <w:rPr>
          <w:color w:val="231F20"/>
          <w:spacing w:val="27"/>
        </w:rPr>
        <w:t> </w:t>
      </w:r>
      <w:r>
        <w:rPr>
          <w:color w:val="231F20"/>
        </w:rPr>
        <w:t>the Minor severity threshold color to any cell that contains one of these </w:t>
      </w:r>
      <w:r>
        <w:rPr>
          <w:color w:val="231F20"/>
        </w:rPr>
        <w:t>names.</w:t>
      </w:r>
    </w:p>
    <w:p>
      <w:pPr>
        <w:spacing w:line="230" w:lineRule="auto" w:before="68"/>
        <w:ind w:left="3370" w:right="0" w:hanging="180"/>
        <w:jc w:val="left"/>
        <w:rPr>
          <w:rFonts w:ascii="Arial" w:hAnsi="Arial"/>
          <w:sz w:val="18"/>
        </w:rPr>
      </w:pPr>
      <w:r>
        <w:rPr>
          <w:rFonts w:ascii="Arial" w:hAnsi="Arial"/>
          <w:color w:val="231F20"/>
          <w:w w:val="120"/>
          <w:sz w:val="18"/>
        </w:rPr>
        <w:t>((---</w:t>
      </w:r>
      <w:r>
        <w:rPr>
          <w:rFonts w:ascii="Arial" w:hAnsi="Arial"/>
          <w:color w:val="231F20"/>
          <w:w w:val="120"/>
          <w:sz w:val="18"/>
        </w:rPr>
        <w:t> </w:t>
      </w:r>
      <w:r>
        <w:rPr>
          <w:rFonts w:ascii="Arial" w:hAnsi="Arial"/>
          <w:color w:val="231F20"/>
          <w:w w:val="105"/>
          <w:sz w:val="18"/>
        </w:rPr>
        <w:t>Minor</w:t>
      </w:r>
      <w:r>
        <w:rPr>
          <w:rFonts w:ascii="Arial" w:hAnsi="Arial"/>
          <w:color w:val="231F20"/>
          <w:w w:val="120"/>
          <w:sz w:val="18"/>
        </w:rPr>
        <w:t> ---)</w:t>
      </w:r>
      <w:r>
        <w:rPr>
          <w:rFonts w:ascii="Arial" w:hAnsi="Arial"/>
          <w:color w:val="231F20"/>
          <w:w w:val="120"/>
          <w:sz w:val="18"/>
        </w:rPr>
        <w:t> </w:t>
      </w:r>
      <w:r>
        <w:rPr>
          <w:rFonts w:ascii="Arial" w:hAnsi="Arial"/>
          <w:color w:val="231F20"/>
          <w:w w:val="105"/>
          <w:sz w:val="18"/>
        </w:rPr>
        <w:t>Name</w:t>
      </w:r>
      <w:r>
        <w:rPr>
          <w:rFonts w:ascii="Arial" w:hAnsi="Arial"/>
          <w:color w:val="231F20"/>
          <w:spacing w:val="30"/>
          <w:w w:val="105"/>
          <w:sz w:val="18"/>
        </w:rPr>
        <w:t> </w:t>
      </w:r>
      <w:r>
        <w:rPr>
          <w:rFonts w:ascii="Arial" w:hAnsi="Arial"/>
          <w:color w:val="231F20"/>
          <w:w w:val="105"/>
          <w:sz w:val="18"/>
        </w:rPr>
        <w:t>*IN</w:t>
      </w:r>
      <w:r>
        <w:rPr>
          <w:rFonts w:ascii="Arial" w:hAnsi="Arial"/>
          <w:color w:val="231F20"/>
          <w:spacing w:val="30"/>
          <w:w w:val="105"/>
          <w:sz w:val="18"/>
        </w:rPr>
        <w:t> </w:t>
      </w:r>
      <w:r>
        <w:rPr>
          <w:rFonts w:ascii="Arial" w:hAnsi="Arial"/>
          <w:color w:val="231F20"/>
          <w:w w:val="105"/>
          <w:sz w:val="18"/>
        </w:rPr>
        <w:t>(’NT_Percent_Processor_Time’, </w:t>
      </w:r>
      <w:r>
        <w:rPr>
          <w:rFonts w:ascii="Arial" w:hAnsi="Arial"/>
          <w:color w:val="231F20"/>
          <w:spacing w:val="-2"/>
          <w:w w:val="90"/>
          <w:sz w:val="18"/>
        </w:rPr>
        <w:t>’NT_Memory_Pages_Sec_Low’,’NT_Percent_Disk_Time_Low’))</w:t>
      </w:r>
    </w:p>
    <w:p>
      <w:pPr>
        <w:pStyle w:val="Heading6"/>
        <w:spacing w:before="130"/>
      </w:pPr>
      <w:r>
        <w:rPr>
          <w:color w:val="231F20"/>
        </w:rPr>
        <w:t>Situation</w:t>
      </w:r>
      <w:r>
        <w:rPr>
          <w:color w:val="231F20"/>
          <w:spacing w:val="7"/>
        </w:rPr>
        <w:t> </w:t>
      </w:r>
      <w:r>
        <w:rPr>
          <w:color w:val="231F20"/>
          <w:spacing w:val="-5"/>
        </w:rPr>
        <w:t>tip</w:t>
      </w:r>
    </w:p>
    <w:p>
      <w:pPr>
        <w:pStyle w:val="BodyText"/>
        <w:spacing w:line="213" w:lineRule="auto" w:before="12"/>
        <w:ind w:left="3190" w:right="385"/>
      </w:pPr>
      <w:r>
        <w:rPr>
          <w:color w:val="231F20"/>
        </w:rPr>
        <w:t>If the formula is for a multiple-row attribute group, add a display item </w:t>
      </w:r>
      <w:r>
        <w:rPr>
          <w:color w:val="231F20"/>
        </w:rPr>
        <w:t>(in the Condition tab, click </w:t>
      </w:r>
      <w:r>
        <w:rPr>
          <w:rFonts w:ascii="Book Antiqua"/>
          <w:b/>
          <w:color w:val="231F20"/>
        </w:rPr>
        <w:t>Advanced</w:t>
      </w:r>
      <w:r>
        <w:rPr>
          <w:color w:val="231F20"/>
        </w:rPr>
        <w:t>) if you want the situation to continue testing for missing items after opening an event for the first one.</w:t>
      </w:r>
    </w:p>
    <w:p>
      <w:pPr>
        <w:pStyle w:val="BodyText"/>
        <w:spacing w:before="4"/>
        <w:rPr>
          <w:sz w:val="16"/>
        </w:rPr>
      </w:pPr>
      <w:r>
        <w:rPr/>
        <mc:AlternateContent>
          <mc:Choice Requires="wps">
            <w:drawing>
              <wp:anchor distT="0" distB="0" distL="0" distR="0" allowOverlap="1" layoutInCell="1" locked="0" behindDoc="1" simplePos="0" relativeHeight="487750144">
                <wp:simplePos x="0" y="0"/>
                <wp:positionH relativeFrom="page">
                  <wp:posOffset>912380</wp:posOffset>
                </wp:positionH>
                <wp:positionV relativeFrom="paragraph">
                  <wp:posOffset>155390</wp:posOffset>
                </wp:positionV>
                <wp:extent cx="6082665" cy="1270"/>
                <wp:effectExtent l="0" t="0" r="0" b="0"/>
                <wp:wrapTopAndBottom/>
                <wp:docPr id="3367" name="Graphic 3367"/>
                <wp:cNvGraphicFramePr>
                  <a:graphicFrameLocks/>
                </wp:cNvGraphicFramePr>
                <a:graphic>
                  <a:graphicData uri="http://schemas.microsoft.com/office/word/2010/wordprocessingShape">
                    <wps:wsp>
                      <wps:cNvPr id="3367" name="Graphic 336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5434pt;width:478.95pt;height:.1pt;mso-position-horizontal-relative:page;mso-position-vertical-relative:paragraph;z-index:-15566336;mso-wrap-distance-left:0;mso-wrap-distance-right:0" id="docshape280"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Group functions" w:id="692"/>
      <w:bookmarkEnd w:id="692"/>
      <w:r>
        <w:rPr>
          <w:b w:val="0"/>
        </w:rPr>
      </w:r>
      <w:r>
        <w:rPr>
          <w:color w:val="231F20"/>
        </w:rPr>
        <w:t>Group</w:t>
      </w:r>
      <w:r>
        <w:rPr>
          <w:color w:val="231F20"/>
          <w:spacing w:val="6"/>
        </w:rPr>
        <w:t> </w:t>
      </w:r>
      <w:r>
        <w:rPr>
          <w:color w:val="231F20"/>
          <w:spacing w:val="-2"/>
        </w:rPr>
        <w:t>functions</w:t>
      </w:r>
    </w:p>
    <w:p>
      <w:pPr>
        <w:pStyle w:val="BodyText"/>
        <w:spacing w:line="213" w:lineRule="auto" w:before="138"/>
        <w:ind w:left="2472" w:right="258"/>
      </w:pPr>
      <w:r>
        <w:rPr>
          <w:color w:val="231F20"/>
        </w:rPr>
        <w:t>Use the group functions in the Query editor or Situation editor for attribute </w:t>
      </w:r>
      <w:r>
        <w:rPr>
          <w:color w:val="231F20"/>
        </w:rPr>
        <w:t>groups that return multiple rows of data or a single-row attribute group that has been configured for historical data collection. With the exception of COUNT, which can</w:t>
      </w:r>
      <w:r>
        <w:rPr>
          <w:color w:val="231F20"/>
          <w:spacing w:val="80"/>
        </w:rPr>
        <w:t> </w:t>
      </w:r>
      <w:r>
        <w:rPr>
          <w:color w:val="231F20"/>
        </w:rPr>
        <w:t>be used by all attribute types, group functions are available only for numeric </w:t>
      </w:r>
      <w:r>
        <w:rPr>
          <w:color w:val="231F20"/>
          <w:spacing w:val="-2"/>
        </w:rPr>
        <w:t>attributes.</w:t>
      </w:r>
    </w:p>
    <w:p>
      <w:pPr>
        <w:pStyle w:val="Heading6"/>
        <w:spacing w:line="240" w:lineRule="auto" w:before="235"/>
      </w:pPr>
      <w:r>
        <w:rPr>
          <w:color w:val="231F20"/>
          <w:spacing w:val="-2"/>
        </w:rPr>
        <w:t>Note:</w:t>
      </w:r>
    </w:p>
    <w:p>
      <w:pPr>
        <w:pStyle w:val="ListParagraph"/>
        <w:numPr>
          <w:ilvl w:val="0"/>
          <w:numId w:val="189"/>
        </w:numPr>
        <w:tabs>
          <w:tab w:pos="2788" w:val="left" w:leader="none"/>
          <w:tab w:pos="2796" w:val="left" w:leader="none"/>
        </w:tabs>
        <w:spacing w:line="208" w:lineRule="auto" w:before="69" w:after="0"/>
        <w:ind w:left="2788" w:right="674" w:hanging="316"/>
        <w:jc w:val="left"/>
        <w:rPr>
          <w:sz w:val="20"/>
        </w:rPr>
      </w:pPr>
      <w:r>
        <w:rPr>
          <w:rFonts w:ascii="Arial"/>
          <w:color w:val="231F20"/>
          <w:sz w:val="20"/>
        </w:rPr>
        <w:tab/>
      </w:r>
      <w:r>
        <w:rPr>
          <w:rFonts w:ascii="Arial"/>
          <w:color w:val="231F20"/>
          <w:spacing w:val="-9"/>
          <w:sz w:val="20"/>
        </w:rPr>
        <w:drawing>
          <wp:inline distT="0" distB="0" distL="0" distR="0">
            <wp:extent cx="83343" cy="83343"/>
            <wp:effectExtent l="0" t="0" r="0" b="0"/>
            <wp:docPr id="3368" name="Image 3368"/>
            <wp:cNvGraphicFramePr>
              <a:graphicFrameLocks/>
            </wp:cNvGraphicFramePr>
            <a:graphic>
              <a:graphicData uri="http://schemas.openxmlformats.org/drawingml/2006/picture">
                <pic:pic>
                  <pic:nvPicPr>
                    <pic:cNvPr id="3368" name="Image 3368"/>
                    <pic:cNvPicPr/>
                  </pic:nvPicPr>
                  <pic:blipFill>
                    <a:blip r:embed="rId61" cstate="print"/>
                    <a:stretch>
                      <a:fillRect/>
                    </a:stretch>
                  </pic:blipFill>
                  <pic:spPr>
                    <a:xfrm>
                      <a:off x="0" y="0"/>
                      <a:ext cx="83343" cy="83343"/>
                    </a:xfrm>
                    <a:prstGeom prst="rect">
                      <a:avLst/>
                    </a:prstGeom>
                  </pic:spPr>
                </pic:pic>
              </a:graphicData>
            </a:graphic>
          </wp:inline>
        </w:drawing>
      </w:r>
      <w:r>
        <w:rPr>
          <w:rFonts w:ascii="Arial"/>
          <w:color w:val="231F20"/>
          <w:spacing w:val="-9"/>
          <w:sz w:val="20"/>
        </w:rPr>
      </w:r>
      <w:r>
        <w:rPr>
          <w:rFonts w:ascii="Times New Roman"/>
          <w:color w:val="231F20"/>
          <w:spacing w:val="40"/>
          <w:sz w:val="20"/>
        </w:rPr>
        <w:t> </w:t>
      </w:r>
      <w:r>
        <w:rPr>
          <w:color w:val="231F20"/>
          <w:sz w:val="20"/>
        </w:rPr>
        <w:t>Time Span selection is not available for a table or chart view if it uses </w:t>
      </w:r>
      <w:r>
        <w:rPr>
          <w:color w:val="231F20"/>
          <w:sz w:val="20"/>
        </w:rPr>
        <w:t>a</w:t>
      </w:r>
      <w:r>
        <w:rPr>
          <w:color w:val="231F20"/>
          <w:spacing w:val="40"/>
          <w:sz w:val="20"/>
        </w:rPr>
        <w:t> </w:t>
      </w:r>
      <w:r>
        <w:rPr>
          <w:color w:val="231F20"/>
          <w:sz w:val="20"/>
        </w:rPr>
        <w:t>query that includes a group function.</w:t>
      </w:r>
    </w:p>
    <w:p>
      <w:pPr>
        <w:pStyle w:val="ListParagraph"/>
        <w:numPr>
          <w:ilvl w:val="0"/>
          <w:numId w:val="189"/>
        </w:numPr>
        <w:tabs>
          <w:tab w:pos="2788" w:val="left" w:leader="none"/>
        </w:tabs>
        <w:spacing w:line="213" w:lineRule="auto" w:before="60" w:after="0"/>
        <w:ind w:left="2788" w:right="322" w:hanging="316"/>
        <w:jc w:val="left"/>
        <w:rPr>
          <w:sz w:val="20"/>
        </w:rPr>
      </w:pPr>
      <w:r>
        <w:rPr>
          <w:color w:val="231F20"/>
          <w:sz w:val="20"/>
        </w:rPr>
        <w:t>When entering a hexadecimal value in a cell, prefix the number with zero and the letter “x”, as in 0x456c for hex value 456c.</w:t>
      </w:r>
    </w:p>
    <w:p>
      <w:pPr>
        <w:pStyle w:val="ListParagraph"/>
        <w:numPr>
          <w:ilvl w:val="0"/>
          <w:numId w:val="189"/>
        </w:numPr>
        <w:tabs>
          <w:tab w:pos="2788" w:val="left" w:leader="none"/>
        </w:tabs>
        <w:spacing w:line="213" w:lineRule="auto" w:before="59" w:after="0"/>
        <w:ind w:left="2788" w:right="216" w:hanging="316"/>
        <w:jc w:val="left"/>
        <w:rPr>
          <w:sz w:val="20"/>
        </w:rPr>
      </w:pPr>
      <w:r>
        <w:rPr>
          <w:color w:val="231F20"/>
          <w:sz w:val="20"/>
        </w:rPr>
        <w:t>If the expression that is responsible for a situation event uses a group function, the situation event results workspace shows neither the attribute value</w:t>
      </w:r>
      <w:r>
        <w:rPr>
          <w:color w:val="231F20"/>
          <w:spacing w:val="80"/>
          <w:sz w:val="20"/>
        </w:rPr>
        <w:t> </w:t>
      </w:r>
      <w:r>
        <w:rPr>
          <w:color w:val="231F20"/>
          <w:sz w:val="20"/>
        </w:rPr>
        <w:t>threshold color nor the expression that should display when you hover over </w:t>
      </w:r>
      <w:r>
        <w:rPr>
          <w:color w:val="231F20"/>
          <w:sz w:val="20"/>
        </w:rPr>
        <w:t>an initial situation value.</w:t>
      </w:r>
    </w:p>
    <w:p>
      <w:pPr>
        <w:spacing w:after="0" w:line="213" w:lineRule="auto"/>
        <w:jc w:val="left"/>
        <w:rPr>
          <w:sz w:val="20"/>
        </w:rPr>
        <w:sectPr>
          <w:pgSz w:w="12240" w:h="15840"/>
          <w:pgMar w:header="0" w:footer="736" w:top="1180" w:bottom="920" w:left="1000" w:right="1060"/>
        </w:sectPr>
      </w:pPr>
    </w:p>
    <w:p>
      <w:pPr>
        <w:pStyle w:val="Heading3"/>
        <w:spacing w:before="84"/>
        <w:ind w:left="1334"/>
      </w:pPr>
      <w:bookmarkStart w:name="_bookmark333" w:id="693"/>
      <w:bookmarkEnd w:id="693"/>
      <w:r>
        <w:rPr>
          <w:b w:val="0"/>
        </w:rPr>
      </w:r>
      <w:bookmarkStart w:name="AVG: Average of group" w:id="694"/>
      <w:bookmarkEnd w:id="694"/>
      <w:r>
        <w:rPr>
          <w:b w:val="0"/>
        </w:rPr>
      </w:r>
      <w:r>
        <w:rPr>
          <w:color w:val="231F20"/>
        </w:rPr>
        <w:t>AVG:</w:t>
      </w:r>
      <w:r>
        <w:rPr>
          <w:color w:val="231F20"/>
          <w:spacing w:val="-13"/>
        </w:rPr>
        <w:t> </w:t>
      </w:r>
      <w:r>
        <w:rPr>
          <w:color w:val="231F20"/>
        </w:rPr>
        <w:t>Average</w:t>
      </w:r>
      <w:r>
        <w:rPr>
          <w:color w:val="231F20"/>
          <w:spacing w:val="-3"/>
        </w:rPr>
        <w:t> </w:t>
      </w:r>
      <w:r>
        <w:rPr>
          <w:color w:val="231F20"/>
        </w:rPr>
        <w:t>of</w:t>
      </w:r>
      <w:r>
        <w:rPr>
          <w:color w:val="231F20"/>
          <w:spacing w:val="-3"/>
        </w:rPr>
        <w:t> </w:t>
      </w:r>
      <w:r>
        <w:rPr>
          <w:color w:val="231F20"/>
          <w:spacing w:val="-2"/>
        </w:rPr>
        <w:t>group</w:t>
      </w:r>
    </w:p>
    <w:p>
      <w:pPr>
        <w:pStyle w:val="BodyText"/>
        <w:spacing w:line="208" w:lineRule="auto" w:before="67"/>
        <w:ind w:left="2232" w:right="636"/>
      </w:pPr>
      <w:r>
        <w:rPr>
          <w:color w:val="231F20"/>
        </w:rPr>
        <w:t>Use the </w:t>
      </w:r>
      <w:r>
        <w:rPr>
          <w:color w:val="231F20"/>
          <w:spacing w:val="16"/>
        </w:rPr>
        <w:drawing>
          <wp:inline distT="0" distB="0" distL="0" distR="0">
            <wp:extent cx="88900" cy="88900"/>
            <wp:effectExtent l="0" t="0" r="0" b="0"/>
            <wp:docPr id="3369" name="Image 3369"/>
            <wp:cNvGraphicFramePr>
              <a:graphicFrameLocks/>
            </wp:cNvGraphicFramePr>
            <a:graphic>
              <a:graphicData uri="http://schemas.openxmlformats.org/drawingml/2006/picture">
                <pic:pic>
                  <pic:nvPicPr>
                    <pic:cNvPr id="3369" name="Image 3369"/>
                    <pic:cNvPicPr/>
                  </pic:nvPicPr>
                  <pic:blipFill>
                    <a:blip r:embed="rId342" cstate="print"/>
                    <a:stretch>
                      <a:fillRect/>
                    </a:stretch>
                  </pic:blipFill>
                  <pic:spPr>
                    <a:xfrm>
                      <a:off x="0" y="0"/>
                      <a:ext cx="88900" cy="88900"/>
                    </a:xfrm>
                    <a:prstGeom prst="rect">
                      <a:avLst/>
                    </a:prstGeom>
                  </pic:spPr>
                </pic:pic>
              </a:graphicData>
            </a:graphic>
          </wp:inline>
        </w:drawing>
      </w:r>
      <w:r>
        <w:rPr>
          <w:color w:val="231F20"/>
          <w:spacing w:val="16"/>
        </w:rPr>
      </w:r>
      <w:r>
        <w:rPr>
          <w:rFonts w:ascii="Times New Roman"/>
          <w:color w:val="231F20"/>
          <w:spacing w:val="16"/>
        </w:rPr>
        <w:t> </w:t>
      </w:r>
      <w:r>
        <w:rPr>
          <w:rFonts w:ascii="Book Antiqua"/>
          <w:b/>
          <w:color w:val="231F20"/>
        </w:rPr>
        <w:t>Average of group </w:t>
      </w:r>
      <w:r>
        <w:rPr>
          <w:color w:val="231F20"/>
        </w:rPr>
        <w:t>function in a query or situation to calculate the</w:t>
      </w:r>
      <w:r>
        <w:rPr>
          <w:color w:val="231F20"/>
          <w:spacing w:val="40"/>
        </w:rPr>
        <w:t> </w:t>
      </w:r>
      <w:r>
        <w:rPr>
          <w:color w:val="231F20"/>
        </w:rPr>
        <w:t>average from a range of values.</w:t>
      </w:r>
    </w:p>
    <w:p>
      <w:pPr>
        <w:pStyle w:val="Heading6"/>
        <w:spacing w:before="119"/>
        <w:ind w:left="2232"/>
      </w:pPr>
      <w:r>
        <w:rPr>
          <w:b w:val="0"/>
        </w:rPr>
        <w:drawing>
          <wp:inline distT="0" distB="0" distL="0" distR="0">
            <wp:extent cx="63500" cy="63500"/>
            <wp:effectExtent l="0" t="0" r="0" b="0"/>
            <wp:docPr id="3370" name="Image 3370"/>
            <wp:cNvGraphicFramePr>
              <a:graphicFrameLocks/>
            </wp:cNvGraphicFramePr>
            <a:graphic>
              <a:graphicData uri="http://schemas.openxmlformats.org/drawingml/2006/picture">
                <pic:pic>
                  <pic:nvPicPr>
                    <pic:cNvPr id="3370" name="Image 3370"/>
                    <pic:cNvPicPr/>
                  </pic:nvPicPr>
                  <pic:blipFill>
                    <a:blip r:embed="rId342" cstate="print"/>
                    <a:stretch>
                      <a:fillRect/>
                    </a:stretch>
                  </pic:blipFill>
                  <pic:spPr>
                    <a:xfrm>
                      <a:off x="0" y="0"/>
                      <a:ext cx="63500" cy="63500"/>
                    </a:xfrm>
                    <a:prstGeom prst="rect">
                      <a:avLst/>
                    </a:prstGeom>
                  </pic:spPr>
                </pic:pic>
              </a:graphicData>
            </a:graphic>
          </wp:inline>
        </w:drawing>
      </w:r>
      <w:r>
        <w:rPr>
          <w:b w:val="0"/>
        </w:rPr>
      </w:r>
      <w:r>
        <w:rPr>
          <w:rFonts w:ascii="Times New Roman"/>
          <w:b w:val="0"/>
          <w:spacing w:val="40"/>
        </w:rPr>
        <w:t> </w:t>
      </w:r>
      <w:r>
        <w:rPr>
          <w:color w:val="231F20"/>
        </w:rPr>
        <w:t>Average of group</w:t>
      </w:r>
    </w:p>
    <w:p>
      <w:pPr>
        <w:pStyle w:val="BodyText"/>
        <w:spacing w:line="213" w:lineRule="auto" w:before="11"/>
        <w:ind w:left="2951" w:right="545"/>
      </w:pPr>
      <w:r>
        <w:rPr>
          <w:color w:val="231F20"/>
        </w:rPr>
        <w:t>The AVG function totals the attribute values specified and calculates </w:t>
      </w:r>
      <w:r>
        <w:rPr>
          <w:color w:val="231F20"/>
        </w:rPr>
        <w:t>the </w:t>
      </w:r>
      <w:r>
        <w:rPr>
          <w:color w:val="231F20"/>
          <w:spacing w:val="-2"/>
        </w:rPr>
        <w:t>average.</w:t>
      </w:r>
    </w:p>
    <w:p>
      <w:pPr>
        <w:pStyle w:val="Heading6"/>
        <w:ind w:left="2232"/>
      </w:pPr>
      <w:r>
        <w:rPr>
          <w:color w:val="231F20"/>
        </w:rPr>
        <w:t>Query</w:t>
      </w:r>
      <w:r>
        <w:rPr>
          <w:color w:val="231F20"/>
          <w:spacing w:val="10"/>
        </w:rPr>
        <w:t> </w:t>
      </w:r>
      <w:r>
        <w:rPr>
          <w:color w:val="231F20"/>
          <w:spacing w:val="-2"/>
        </w:rPr>
        <w:t>example</w:t>
      </w:r>
    </w:p>
    <w:p>
      <w:pPr>
        <w:pStyle w:val="BodyText"/>
        <w:spacing w:line="213" w:lineRule="auto" w:before="12"/>
        <w:ind w:left="2951" w:right="636"/>
      </w:pPr>
      <w:r>
        <w:rPr>
          <w:color w:val="231F20"/>
        </w:rPr>
        <w:t>This function averages all returned values of % User Time. GROUP BY </w:t>
      </w:r>
      <w:r>
        <w:rPr>
          <w:color w:val="231F20"/>
        </w:rPr>
        <w:t>is Server Name, so the view will show the average user time, one row for each managed system.</w:t>
      </w:r>
    </w:p>
    <w:p>
      <w:pPr>
        <w:spacing w:before="61"/>
        <w:ind w:left="2951" w:right="0" w:firstLine="0"/>
        <w:jc w:val="left"/>
        <w:rPr>
          <w:rFonts w:ascii="Arial"/>
          <w:sz w:val="18"/>
        </w:rPr>
      </w:pPr>
      <w:r>
        <w:rPr>
          <w:rFonts w:ascii="Arial"/>
          <w:color w:val="231F20"/>
          <w:w w:val="85"/>
          <w:sz w:val="18"/>
        </w:rPr>
        <w:t>AVG(%</w:t>
      </w:r>
      <w:r>
        <w:rPr>
          <w:rFonts w:ascii="Arial"/>
          <w:color w:val="231F20"/>
          <w:spacing w:val="23"/>
          <w:sz w:val="18"/>
        </w:rPr>
        <w:t> </w:t>
      </w:r>
      <w:r>
        <w:rPr>
          <w:rFonts w:ascii="Arial"/>
          <w:color w:val="231F20"/>
          <w:w w:val="85"/>
          <w:sz w:val="18"/>
        </w:rPr>
        <w:t>User</w:t>
      </w:r>
      <w:r>
        <w:rPr>
          <w:rFonts w:ascii="Arial"/>
          <w:color w:val="231F20"/>
          <w:spacing w:val="23"/>
          <w:sz w:val="18"/>
        </w:rPr>
        <w:t> </w:t>
      </w:r>
      <w:r>
        <w:rPr>
          <w:rFonts w:ascii="Arial"/>
          <w:color w:val="231F20"/>
          <w:spacing w:val="-2"/>
          <w:w w:val="85"/>
          <w:sz w:val="18"/>
        </w:rPr>
        <w:t>Time)</w:t>
      </w:r>
    </w:p>
    <w:p>
      <w:pPr>
        <w:pStyle w:val="Heading6"/>
        <w:spacing w:before="128"/>
        <w:ind w:left="2232"/>
      </w:pPr>
      <w:r>
        <w:rPr>
          <w:color w:val="231F20"/>
        </w:rPr>
        <w:t>Situation</w:t>
      </w:r>
      <w:r>
        <w:rPr>
          <w:color w:val="231F20"/>
          <w:spacing w:val="7"/>
        </w:rPr>
        <w:t> </w:t>
      </w:r>
      <w:r>
        <w:rPr>
          <w:color w:val="231F20"/>
          <w:spacing w:val="-2"/>
        </w:rPr>
        <w:t>example</w:t>
      </w:r>
    </w:p>
    <w:p>
      <w:pPr>
        <w:pStyle w:val="BodyText"/>
        <w:spacing w:line="213" w:lineRule="auto" w:before="11"/>
        <w:ind w:left="2951" w:right="545"/>
      </w:pPr>
      <w:r>
        <w:rPr>
          <w:color w:val="231F20"/>
        </w:rPr>
        <w:t>This formula averages all returned values of % User Time. If the </w:t>
      </w:r>
      <w:r>
        <w:rPr>
          <w:color w:val="231F20"/>
        </w:rPr>
        <w:t>average exceeds 20%, the comparison is true.</w:t>
      </w:r>
    </w:p>
    <w:p>
      <w:pPr>
        <w:spacing w:before="61"/>
        <w:ind w:left="2951" w:right="0" w:firstLine="0"/>
        <w:jc w:val="left"/>
        <w:rPr>
          <w:rFonts w:ascii="Arial"/>
          <w:sz w:val="18"/>
        </w:rPr>
      </w:pPr>
      <w:r>
        <w:rPr>
          <w:rFonts w:ascii="Arial"/>
          <w:color w:val="231F20"/>
          <w:w w:val="90"/>
          <w:sz w:val="18"/>
        </w:rPr>
        <w:t>AVG</w:t>
      </w:r>
      <w:r>
        <w:rPr>
          <w:rFonts w:ascii="Arial"/>
          <w:color w:val="231F20"/>
          <w:spacing w:val="25"/>
          <w:sz w:val="18"/>
        </w:rPr>
        <w:t> </w:t>
      </w:r>
      <w:r>
        <w:rPr>
          <w:rFonts w:ascii="Arial"/>
          <w:color w:val="231F20"/>
          <w:w w:val="90"/>
          <w:sz w:val="18"/>
        </w:rPr>
        <w:t>(%</w:t>
      </w:r>
      <w:r>
        <w:rPr>
          <w:rFonts w:ascii="Arial"/>
          <w:color w:val="231F20"/>
          <w:spacing w:val="26"/>
          <w:sz w:val="18"/>
        </w:rPr>
        <w:t> </w:t>
      </w:r>
      <w:r>
        <w:rPr>
          <w:rFonts w:ascii="Arial"/>
          <w:color w:val="231F20"/>
          <w:w w:val="90"/>
          <w:sz w:val="18"/>
        </w:rPr>
        <w:t>User</w:t>
      </w:r>
      <w:r>
        <w:rPr>
          <w:rFonts w:ascii="Arial"/>
          <w:color w:val="231F20"/>
          <w:spacing w:val="26"/>
          <w:sz w:val="18"/>
        </w:rPr>
        <w:t> </w:t>
      </w:r>
      <w:r>
        <w:rPr>
          <w:rFonts w:ascii="Arial"/>
          <w:color w:val="231F20"/>
          <w:w w:val="90"/>
          <w:sz w:val="18"/>
        </w:rPr>
        <w:t>Time)&gt;</w:t>
      </w:r>
      <w:r>
        <w:rPr>
          <w:rFonts w:ascii="Arial"/>
          <w:color w:val="231F20"/>
          <w:spacing w:val="26"/>
          <w:sz w:val="18"/>
        </w:rPr>
        <w:t> </w:t>
      </w:r>
      <w:r>
        <w:rPr>
          <w:rFonts w:ascii="Arial"/>
          <w:color w:val="231F20"/>
          <w:spacing w:val="-5"/>
          <w:w w:val="90"/>
          <w:sz w:val="18"/>
        </w:rPr>
        <w:t>20</w:t>
      </w:r>
    </w:p>
    <w:p>
      <w:pPr>
        <w:pStyle w:val="BodyText"/>
        <w:spacing w:before="21"/>
        <w:rPr>
          <w:rFonts w:ascii="Arial"/>
          <w:sz w:val="18"/>
        </w:rPr>
      </w:pPr>
    </w:p>
    <w:p>
      <w:pPr>
        <w:pStyle w:val="Heading3"/>
        <w:spacing w:before="1"/>
        <w:ind w:left="1334"/>
      </w:pPr>
      <w:bookmarkStart w:name="COUNT: Count of group members" w:id="695"/>
      <w:bookmarkEnd w:id="695"/>
      <w:r>
        <w:rPr>
          <w:b w:val="0"/>
        </w:rPr>
      </w:r>
      <w:r>
        <w:rPr>
          <w:color w:val="231F20"/>
        </w:rPr>
        <w:t>COUNT:</w:t>
      </w:r>
      <w:r>
        <w:rPr>
          <w:color w:val="231F20"/>
          <w:spacing w:val="-1"/>
        </w:rPr>
        <w:t> </w:t>
      </w:r>
      <w:r>
        <w:rPr>
          <w:color w:val="231F20"/>
        </w:rPr>
        <w:t>Count of</w:t>
      </w:r>
      <w:r>
        <w:rPr>
          <w:color w:val="231F20"/>
          <w:spacing w:val="-1"/>
        </w:rPr>
        <w:t> </w:t>
      </w:r>
      <w:r>
        <w:rPr>
          <w:color w:val="231F20"/>
        </w:rPr>
        <w:t>group </w:t>
      </w:r>
      <w:r>
        <w:rPr>
          <w:color w:val="231F20"/>
          <w:spacing w:val="-2"/>
        </w:rPr>
        <w:t>members</w:t>
      </w:r>
    </w:p>
    <w:p>
      <w:pPr>
        <w:pStyle w:val="BodyText"/>
        <w:spacing w:line="213" w:lineRule="auto" w:before="58"/>
        <w:ind w:left="2232" w:right="493"/>
      </w:pPr>
      <w:r>
        <w:rPr>
          <w:color w:val="231F20"/>
        </w:rPr>
        <w:t>Use the </w:t>
      </w:r>
      <w:r>
        <w:rPr>
          <w:color w:val="231F20"/>
          <w:spacing w:val="16"/>
        </w:rPr>
        <w:drawing>
          <wp:inline distT="0" distB="0" distL="0" distR="0">
            <wp:extent cx="81492" cy="74082"/>
            <wp:effectExtent l="0" t="0" r="0" b="0"/>
            <wp:docPr id="3371" name="Image 3371"/>
            <wp:cNvGraphicFramePr>
              <a:graphicFrameLocks/>
            </wp:cNvGraphicFramePr>
            <a:graphic>
              <a:graphicData uri="http://schemas.openxmlformats.org/drawingml/2006/picture">
                <pic:pic>
                  <pic:nvPicPr>
                    <pic:cNvPr id="3371" name="Image 3371"/>
                    <pic:cNvPicPr/>
                  </pic:nvPicPr>
                  <pic:blipFill>
                    <a:blip r:embed="rId328" cstate="print"/>
                    <a:stretch>
                      <a:fillRect/>
                    </a:stretch>
                  </pic:blipFill>
                  <pic:spPr>
                    <a:xfrm>
                      <a:off x="0" y="0"/>
                      <a:ext cx="81492" cy="74082"/>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Count of group members </w:t>
      </w:r>
      <w:r>
        <w:rPr>
          <w:color w:val="231F20"/>
        </w:rPr>
        <w:t>formula function in a query or situation to</w:t>
      </w:r>
      <w:r>
        <w:rPr>
          <w:color w:val="231F20"/>
          <w:spacing w:val="40"/>
        </w:rPr>
        <w:t> </w:t>
      </w:r>
      <w:r>
        <w:rPr>
          <w:color w:val="231F20"/>
        </w:rPr>
        <w:t>count the number of returned rows, which can be filtered by an AND expression.</w:t>
      </w:r>
    </w:p>
    <w:p>
      <w:pPr>
        <w:pStyle w:val="BodyText"/>
        <w:spacing w:line="213" w:lineRule="auto" w:before="238"/>
        <w:ind w:left="2232" w:right="545"/>
      </w:pPr>
      <w:r>
        <w:rPr>
          <w:color w:val="231F20"/>
        </w:rPr>
        <w:t>COUNT in a query to the monitoring server works differently than it does in a situation: It counts the column specified within the group referenced </w:t>
      </w:r>
      <w:r>
        <w:rPr>
          <w:color w:val="231F20"/>
        </w:rPr>
        <w:t>(Advanced button, Group By tab), and displays the result in the count column.</w:t>
      </w:r>
    </w:p>
    <w:p>
      <w:pPr>
        <w:pStyle w:val="BodyText"/>
        <w:spacing w:line="213" w:lineRule="auto" w:before="237"/>
        <w:ind w:left="2232" w:right="636"/>
      </w:pPr>
      <w:r>
        <w:rPr>
          <w:rFonts w:ascii="Book Antiqua"/>
          <w:b/>
          <w:color w:val="231F20"/>
        </w:rPr>
        <w:t>Note:</w:t>
      </w:r>
      <w:r>
        <w:rPr>
          <w:rFonts w:ascii="Book Antiqua"/>
          <w:b/>
          <w:color w:val="231F20"/>
          <w:spacing w:val="40"/>
        </w:rPr>
        <w:t> </w:t>
      </w:r>
      <w:r>
        <w:rPr>
          <w:color w:val="231F20"/>
        </w:rPr>
        <w:t>When using COUNT in an AND expression, it must be the last function </w:t>
      </w:r>
      <w:r>
        <w:rPr>
          <w:color w:val="231F20"/>
        </w:rPr>
        <w:t>in the expression.</w:t>
      </w:r>
    </w:p>
    <w:p>
      <w:pPr>
        <w:pStyle w:val="Heading6"/>
        <w:ind w:left="2232"/>
      </w:pPr>
      <w:r>
        <w:rPr>
          <w:color w:val="231F20"/>
        </w:rPr>
        <w:t>Query</w:t>
      </w:r>
      <w:r>
        <w:rPr>
          <w:color w:val="231F20"/>
          <w:spacing w:val="10"/>
        </w:rPr>
        <w:t> </w:t>
      </w:r>
      <w:r>
        <w:rPr>
          <w:color w:val="231F20"/>
          <w:spacing w:val="-2"/>
        </w:rPr>
        <w:t>example</w:t>
      </w:r>
    </w:p>
    <w:p>
      <w:pPr>
        <w:pStyle w:val="BodyText"/>
        <w:spacing w:line="213" w:lineRule="auto" w:before="12"/>
        <w:ind w:left="2951" w:right="545"/>
      </w:pPr>
      <w:r>
        <w:rPr>
          <w:color w:val="231F20"/>
        </w:rPr>
        <w:t>This function counts the number of processes. GROUP BY is Server </w:t>
      </w:r>
      <w:r>
        <w:rPr>
          <w:color w:val="231F20"/>
        </w:rPr>
        <w:t>Name, and the number of processes counted for each system appears in the ID Process column. Example as it would be written in an SQL statement:</w:t>
      </w:r>
    </w:p>
    <w:p>
      <w:pPr>
        <w:spacing w:before="61"/>
        <w:ind w:left="2951" w:right="0" w:firstLine="0"/>
        <w:jc w:val="left"/>
        <w:rPr>
          <w:rFonts w:ascii="Arial"/>
          <w:sz w:val="18"/>
        </w:rPr>
      </w:pPr>
      <w:r>
        <w:rPr>
          <w:rFonts w:ascii="Arial"/>
          <w:color w:val="231F20"/>
          <w:spacing w:val="-2"/>
          <w:sz w:val="18"/>
        </w:rPr>
        <w:t>COUNT(ID_Process)</w:t>
      </w:r>
    </w:p>
    <w:p>
      <w:pPr>
        <w:pStyle w:val="Heading6"/>
        <w:spacing w:before="128"/>
        <w:ind w:left="2232"/>
      </w:pPr>
      <w:r>
        <w:rPr>
          <w:color w:val="231F20"/>
        </w:rPr>
        <w:t>Situation</w:t>
      </w:r>
      <w:r>
        <w:rPr>
          <w:color w:val="231F20"/>
          <w:spacing w:val="7"/>
        </w:rPr>
        <w:t> </w:t>
      </w:r>
      <w:r>
        <w:rPr>
          <w:color w:val="231F20"/>
          <w:spacing w:val="-2"/>
        </w:rPr>
        <w:t>examples</w:t>
      </w:r>
    </w:p>
    <w:p>
      <w:pPr>
        <w:pStyle w:val="BodyText"/>
        <w:spacing w:line="258" w:lineRule="exact"/>
        <w:ind w:left="2951"/>
      </w:pPr>
      <w:r>
        <w:rPr>
          <w:color w:val="231F20"/>
        </w:rPr>
        <w:t>Examples</w:t>
      </w:r>
      <w:r>
        <w:rPr>
          <w:color w:val="231F20"/>
          <w:spacing w:val="9"/>
        </w:rPr>
        <w:t> </w:t>
      </w:r>
      <w:r>
        <w:rPr>
          <w:color w:val="231F20"/>
        </w:rPr>
        <w:t>as</w:t>
      </w:r>
      <w:r>
        <w:rPr>
          <w:color w:val="231F20"/>
          <w:spacing w:val="12"/>
        </w:rPr>
        <w:t> </w:t>
      </w:r>
      <w:r>
        <w:rPr>
          <w:color w:val="231F20"/>
        </w:rPr>
        <w:t>they</w:t>
      </w:r>
      <w:r>
        <w:rPr>
          <w:color w:val="231F20"/>
          <w:spacing w:val="12"/>
        </w:rPr>
        <w:t> </w:t>
      </w:r>
      <w:r>
        <w:rPr>
          <w:color w:val="231F20"/>
        </w:rPr>
        <w:t>appear</w:t>
      </w:r>
      <w:r>
        <w:rPr>
          <w:color w:val="231F20"/>
          <w:spacing w:val="12"/>
        </w:rPr>
        <w:t> </w:t>
      </w:r>
      <w:r>
        <w:rPr>
          <w:color w:val="231F20"/>
        </w:rPr>
        <w:t>in</w:t>
      </w:r>
      <w:r>
        <w:rPr>
          <w:color w:val="231F20"/>
          <w:spacing w:val="11"/>
        </w:rPr>
        <w:t> </w:t>
      </w:r>
      <w:r>
        <w:rPr>
          <w:color w:val="231F20"/>
          <w:spacing w:val="16"/>
          <w:position w:val="-1"/>
        </w:rPr>
        <w:drawing>
          <wp:inline distT="0" distB="0" distL="0" distR="0">
            <wp:extent cx="101600" cy="101600"/>
            <wp:effectExtent l="0" t="0" r="0" b="0"/>
            <wp:docPr id="3372" name="Image 3372"/>
            <wp:cNvGraphicFramePr>
              <a:graphicFrameLocks/>
            </wp:cNvGraphicFramePr>
            <a:graphic>
              <a:graphicData uri="http://schemas.openxmlformats.org/drawingml/2006/picture">
                <pic:pic>
                  <pic:nvPicPr>
                    <pic:cNvPr id="3372" name="Image 3372"/>
                    <pic:cNvPicPr/>
                  </pic:nvPicPr>
                  <pic:blipFill>
                    <a:blip r:embed="rId19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7"/>
        </w:rPr>
        <w:t> </w:t>
      </w:r>
      <w:r>
        <w:rPr>
          <w:color w:val="231F20"/>
        </w:rPr>
        <w:t>Show</w:t>
      </w:r>
      <w:r>
        <w:rPr>
          <w:color w:val="231F20"/>
          <w:spacing w:val="12"/>
        </w:rPr>
        <w:t> </w:t>
      </w:r>
      <w:r>
        <w:rPr>
          <w:color w:val="231F20"/>
          <w:spacing w:val="-2"/>
        </w:rPr>
        <w:t>Formula:</w:t>
      </w:r>
    </w:p>
    <w:p>
      <w:pPr>
        <w:pStyle w:val="BodyText"/>
        <w:spacing w:before="29"/>
        <w:ind w:left="2951"/>
      </w:pPr>
      <w:r>
        <w:rPr>
          <w:rFonts w:ascii="Futura MdCn BT"/>
          <w:color w:val="231F20"/>
        </w:rPr>
        <w:t>v</w:t>
      </w:r>
      <w:r>
        <w:rPr>
          <w:rFonts w:ascii="Futura MdCn BT"/>
          <w:color w:val="231F20"/>
          <w:spacing w:val="30"/>
        </w:rPr>
        <w:t>  </w:t>
      </w:r>
      <w:r>
        <w:rPr>
          <w:color w:val="231F20"/>
        </w:rPr>
        <w:t>The</w:t>
      </w:r>
      <w:r>
        <w:rPr>
          <w:color w:val="231F20"/>
          <w:spacing w:val="13"/>
        </w:rPr>
        <w:t> </w:t>
      </w:r>
      <w:r>
        <w:rPr>
          <w:color w:val="231F20"/>
        </w:rPr>
        <w:t>comparison</w:t>
      </w:r>
      <w:r>
        <w:rPr>
          <w:color w:val="231F20"/>
          <w:spacing w:val="12"/>
        </w:rPr>
        <w:t> </w:t>
      </w:r>
      <w:r>
        <w:rPr>
          <w:color w:val="231F20"/>
        </w:rPr>
        <w:t>is</w:t>
      </w:r>
      <w:r>
        <w:rPr>
          <w:color w:val="231F20"/>
          <w:spacing w:val="11"/>
        </w:rPr>
        <w:t> </w:t>
      </w:r>
      <w:r>
        <w:rPr>
          <w:color w:val="231F20"/>
        </w:rPr>
        <w:t>true</w:t>
      </w:r>
      <w:r>
        <w:rPr>
          <w:color w:val="231F20"/>
          <w:spacing w:val="12"/>
        </w:rPr>
        <w:t> </w:t>
      </w:r>
      <w:r>
        <w:rPr>
          <w:color w:val="231F20"/>
        </w:rPr>
        <w:t>when</w:t>
      </w:r>
      <w:r>
        <w:rPr>
          <w:color w:val="231F20"/>
          <w:spacing w:val="12"/>
        </w:rPr>
        <w:t> </w:t>
      </w:r>
      <w:r>
        <w:rPr>
          <w:color w:val="231F20"/>
        </w:rPr>
        <w:t>more</w:t>
      </w:r>
      <w:r>
        <w:rPr>
          <w:color w:val="231F20"/>
          <w:spacing w:val="11"/>
        </w:rPr>
        <w:t> </w:t>
      </w:r>
      <w:r>
        <w:rPr>
          <w:color w:val="231F20"/>
        </w:rPr>
        <w:t>than</w:t>
      </w:r>
      <w:r>
        <w:rPr>
          <w:color w:val="231F20"/>
          <w:spacing w:val="12"/>
        </w:rPr>
        <w:t> </w:t>
      </w:r>
      <w:r>
        <w:rPr>
          <w:color w:val="231F20"/>
        </w:rPr>
        <w:t>10</w:t>
      </w:r>
      <w:r>
        <w:rPr>
          <w:color w:val="231F20"/>
          <w:spacing w:val="12"/>
        </w:rPr>
        <w:t> </w:t>
      </w:r>
      <w:r>
        <w:rPr>
          <w:color w:val="231F20"/>
        </w:rPr>
        <w:t>rows</w:t>
      </w:r>
      <w:r>
        <w:rPr>
          <w:color w:val="231F20"/>
          <w:spacing w:val="11"/>
        </w:rPr>
        <w:t> </w:t>
      </w:r>
      <w:r>
        <w:rPr>
          <w:color w:val="231F20"/>
        </w:rPr>
        <w:t>have</w:t>
      </w:r>
      <w:r>
        <w:rPr>
          <w:color w:val="231F20"/>
          <w:spacing w:val="12"/>
        </w:rPr>
        <w:t> </w:t>
      </w:r>
      <w:r>
        <w:rPr>
          <w:color w:val="231F20"/>
        </w:rPr>
        <w:t>been</w:t>
      </w:r>
      <w:r>
        <w:rPr>
          <w:color w:val="231F20"/>
          <w:spacing w:val="12"/>
        </w:rPr>
        <w:t> </w:t>
      </w:r>
      <w:r>
        <w:rPr>
          <w:color w:val="231F20"/>
          <w:spacing w:val="-2"/>
        </w:rPr>
        <w:t>counted.</w:t>
      </w:r>
    </w:p>
    <w:p>
      <w:pPr>
        <w:spacing w:before="56"/>
        <w:ind w:left="3167" w:right="0" w:firstLine="0"/>
        <w:jc w:val="left"/>
        <w:rPr>
          <w:rFonts w:ascii="Arial"/>
          <w:sz w:val="18"/>
        </w:rPr>
      </w:pPr>
      <w:r>
        <w:rPr>
          <w:rFonts w:ascii="Arial"/>
          <w:color w:val="231F20"/>
          <w:w w:val="90"/>
          <w:sz w:val="18"/>
        </w:rPr>
        <w:t>COUNT(Timestamp)</w:t>
      </w:r>
      <w:r>
        <w:rPr>
          <w:rFonts w:ascii="Arial"/>
          <w:color w:val="231F20"/>
          <w:spacing w:val="11"/>
          <w:sz w:val="18"/>
        </w:rPr>
        <w:t> </w:t>
      </w:r>
      <w:r>
        <w:rPr>
          <w:rFonts w:ascii="Arial"/>
          <w:color w:val="231F20"/>
          <w:w w:val="90"/>
          <w:sz w:val="18"/>
        </w:rPr>
        <w:t>&gt;</w:t>
      </w:r>
      <w:r>
        <w:rPr>
          <w:rFonts w:ascii="Arial"/>
          <w:color w:val="231F20"/>
          <w:spacing w:val="12"/>
          <w:sz w:val="18"/>
        </w:rPr>
        <w:t> </w:t>
      </w:r>
      <w:r>
        <w:rPr>
          <w:rFonts w:ascii="Arial"/>
          <w:color w:val="231F20"/>
          <w:spacing w:val="-5"/>
          <w:w w:val="90"/>
          <w:sz w:val="18"/>
        </w:rPr>
        <w:t>10</w:t>
      </w:r>
    </w:p>
    <w:p>
      <w:pPr>
        <w:pStyle w:val="BodyText"/>
        <w:spacing w:line="213" w:lineRule="auto" w:before="69"/>
        <w:ind w:left="3167" w:right="636" w:hanging="216"/>
      </w:pPr>
      <w:r>
        <w:rPr>
          <w:rFonts w:ascii="Futura MdCn BT"/>
          <w:color w:val="231F20"/>
        </w:rPr>
        <w:t>v</w:t>
      </w:r>
      <w:r>
        <w:rPr>
          <w:rFonts w:ascii="Futura MdCn BT"/>
          <w:color w:val="231F20"/>
          <w:spacing w:val="80"/>
        </w:rPr>
        <w:t> </w:t>
      </w:r>
      <w:r>
        <w:rPr>
          <w:color w:val="231F20"/>
        </w:rPr>
        <w:t>This formula first filters the rows for those with the notepad process, then counts the returned rows by referencing the Timestamp </w:t>
      </w:r>
      <w:r>
        <w:rPr>
          <w:color w:val="231F20"/>
        </w:rPr>
        <w:t>attribute.</w:t>
      </w:r>
      <w:r>
        <w:rPr>
          <w:color w:val="231F20"/>
        </w:rPr>
        <w:t> The attribute used for the count does not matter, because the COUNT function is simply counting the number of rows where this attribute appears. When the count exceeds four, the comparison is true.</w:t>
      </w:r>
    </w:p>
    <w:p>
      <w:pPr>
        <w:spacing w:before="60"/>
        <w:ind w:left="3167" w:right="0" w:firstLine="0"/>
        <w:jc w:val="left"/>
        <w:rPr>
          <w:rFonts w:ascii="Arial"/>
          <w:sz w:val="18"/>
        </w:rPr>
      </w:pPr>
      <w:r>
        <w:rPr>
          <w:rFonts w:ascii="Arial"/>
          <w:color w:val="231F20"/>
          <w:w w:val="90"/>
          <w:sz w:val="18"/>
        </w:rPr>
        <w:t>(Process</w:t>
      </w:r>
      <w:r>
        <w:rPr>
          <w:rFonts w:ascii="Arial"/>
          <w:color w:val="231F20"/>
          <w:spacing w:val="30"/>
          <w:sz w:val="18"/>
        </w:rPr>
        <w:t> </w:t>
      </w:r>
      <w:r>
        <w:rPr>
          <w:rFonts w:ascii="Arial"/>
          <w:color w:val="231F20"/>
          <w:w w:val="90"/>
          <w:sz w:val="18"/>
        </w:rPr>
        <w:t>Name)</w:t>
      </w:r>
      <w:r>
        <w:rPr>
          <w:rFonts w:ascii="Arial"/>
          <w:color w:val="231F20"/>
          <w:spacing w:val="30"/>
          <w:sz w:val="18"/>
        </w:rPr>
        <w:t> </w:t>
      </w:r>
      <w:r>
        <w:rPr>
          <w:rFonts w:ascii="Arial"/>
          <w:color w:val="231F20"/>
          <w:w w:val="90"/>
          <w:sz w:val="18"/>
        </w:rPr>
        <w:t>==</w:t>
      </w:r>
      <w:r>
        <w:rPr>
          <w:rFonts w:ascii="Arial"/>
          <w:color w:val="231F20"/>
          <w:spacing w:val="30"/>
          <w:sz w:val="18"/>
        </w:rPr>
        <w:t> </w:t>
      </w:r>
      <w:r>
        <w:rPr>
          <w:rFonts w:ascii="Arial"/>
          <w:color w:val="231F20"/>
          <w:w w:val="90"/>
          <w:sz w:val="18"/>
        </w:rPr>
        <w:t>notepad</w:t>
      </w:r>
      <w:r>
        <w:rPr>
          <w:rFonts w:ascii="Arial"/>
          <w:color w:val="231F20"/>
          <w:spacing w:val="30"/>
          <w:sz w:val="18"/>
        </w:rPr>
        <w:t> </w:t>
      </w:r>
      <w:r>
        <w:rPr>
          <w:rFonts w:ascii="Arial"/>
          <w:color w:val="231F20"/>
          <w:w w:val="90"/>
          <w:sz w:val="18"/>
        </w:rPr>
        <w:t>AND</w:t>
      </w:r>
      <w:r>
        <w:rPr>
          <w:rFonts w:ascii="Arial"/>
          <w:color w:val="231F20"/>
          <w:spacing w:val="30"/>
          <w:sz w:val="18"/>
        </w:rPr>
        <w:t> </w:t>
      </w:r>
      <w:r>
        <w:rPr>
          <w:rFonts w:ascii="Arial"/>
          <w:color w:val="231F20"/>
          <w:w w:val="90"/>
          <w:sz w:val="18"/>
        </w:rPr>
        <w:t>COUNT(Timestamp)</w:t>
      </w:r>
      <w:r>
        <w:rPr>
          <w:rFonts w:ascii="Arial"/>
          <w:color w:val="231F20"/>
          <w:spacing w:val="30"/>
          <w:sz w:val="18"/>
        </w:rPr>
        <w:t> </w:t>
      </w:r>
      <w:r>
        <w:rPr>
          <w:rFonts w:ascii="Arial"/>
          <w:color w:val="231F20"/>
          <w:w w:val="90"/>
          <w:sz w:val="18"/>
        </w:rPr>
        <w:t>&gt;</w:t>
      </w:r>
      <w:r>
        <w:rPr>
          <w:rFonts w:ascii="Arial"/>
          <w:color w:val="231F20"/>
          <w:spacing w:val="31"/>
          <w:sz w:val="18"/>
        </w:rPr>
        <w:t> </w:t>
      </w:r>
      <w:r>
        <w:rPr>
          <w:rFonts w:ascii="Arial"/>
          <w:color w:val="231F20"/>
          <w:spacing w:val="-10"/>
          <w:w w:val="90"/>
          <w:sz w:val="18"/>
        </w:rPr>
        <w:t>4</w:t>
      </w:r>
    </w:p>
    <w:p>
      <w:pPr>
        <w:pStyle w:val="BodyText"/>
        <w:spacing w:line="213" w:lineRule="auto" w:before="69"/>
        <w:ind w:left="3167" w:right="545" w:hanging="216"/>
      </w:pPr>
      <w:r>
        <w:rPr>
          <w:rFonts w:ascii="Futura MdCn BT"/>
          <w:color w:val="231F20"/>
        </w:rPr>
        <w:t>v</w:t>
      </w:r>
      <w:r>
        <w:rPr>
          <w:rFonts w:ascii="Futura MdCn BT"/>
          <w:color w:val="231F20"/>
          <w:spacing w:val="80"/>
        </w:rPr>
        <w:t> </w:t>
      </w:r>
      <w:r>
        <w:rPr>
          <w:color w:val="231F20"/>
        </w:rPr>
        <w:t>The next formula counts the processes that have been running for </w:t>
      </w:r>
      <w:r>
        <w:rPr>
          <w:color w:val="231F20"/>
        </w:rPr>
        <w:t>mor</w:t>
      </w:r>
      <w:r>
        <w:rPr>
          <w:color w:val="231F20"/>
        </w:rPr>
        <w:t>e</w:t>
      </w:r>
      <w:r>
        <w:rPr>
          <w:color w:val="231F20"/>
        </w:rPr>
        <w:t> than an hour. When at least five processes have been counted, the comparison is true.</w:t>
      </w:r>
    </w:p>
    <w:p>
      <w:pPr>
        <w:spacing w:before="61"/>
        <w:ind w:left="3167" w:right="0" w:firstLine="0"/>
        <w:jc w:val="left"/>
        <w:rPr>
          <w:rFonts w:ascii="Arial"/>
          <w:sz w:val="18"/>
        </w:rPr>
      </w:pPr>
      <w:bookmarkStart w:name="MAX: Maximum in group" w:id="696"/>
      <w:bookmarkEnd w:id="696"/>
      <w:r>
        <w:rPr/>
      </w:r>
      <w:r>
        <w:rPr>
          <w:rFonts w:ascii="Arial"/>
          <w:color w:val="231F20"/>
          <w:spacing w:val="-4"/>
          <w:sz w:val="18"/>
        </w:rPr>
        <w:t>(Elapsed</w:t>
      </w:r>
      <w:r>
        <w:rPr>
          <w:rFonts w:ascii="Arial"/>
          <w:color w:val="231F20"/>
          <w:spacing w:val="10"/>
          <w:sz w:val="18"/>
        </w:rPr>
        <w:t> </w:t>
      </w:r>
      <w:r>
        <w:rPr>
          <w:rFonts w:ascii="Arial"/>
          <w:color w:val="231F20"/>
          <w:spacing w:val="-4"/>
          <w:sz w:val="18"/>
        </w:rPr>
        <w:t>Time</w:t>
      </w:r>
      <w:r>
        <w:rPr>
          <w:rFonts w:ascii="Arial"/>
          <w:color w:val="231F20"/>
          <w:spacing w:val="10"/>
          <w:sz w:val="18"/>
        </w:rPr>
        <w:t> </w:t>
      </w:r>
      <w:r>
        <w:rPr>
          <w:rFonts w:ascii="Arial"/>
          <w:color w:val="231F20"/>
          <w:spacing w:val="-4"/>
          <w:sz w:val="18"/>
        </w:rPr>
        <w:t>(Seconds)</w:t>
      </w:r>
      <w:r>
        <w:rPr>
          <w:rFonts w:ascii="Arial"/>
          <w:color w:val="231F20"/>
          <w:spacing w:val="11"/>
          <w:sz w:val="18"/>
        </w:rPr>
        <w:t> </w:t>
      </w:r>
      <w:r>
        <w:rPr>
          <w:rFonts w:ascii="Arial"/>
          <w:color w:val="231F20"/>
          <w:spacing w:val="-4"/>
          <w:sz w:val="18"/>
        </w:rPr>
        <w:t>&gt;=</w:t>
      </w:r>
      <w:r>
        <w:rPr>
          <w:rFonts w:ascii="Arial"/>
          <w:color w:val="231F20"/>
          <w:spacing w:val="10"/>
          <w:sz w:val="18"/>
        </w:rPr>
        <w:t> </w:t>
      </w:r>
      <w:r>
        <w:rPr>
          <w:rFonts w:ascii="Arial"/>
          <w:color w:val="231F20"/>
          <w:spacing w:val="-4"/>
          <w:sz w:val="18"/>
        </w:rPr>
        <w:t>3600))</w:t>
      </w:r>
      <w:r>
        <w:rPr>
          <w:rFonts w:ascii="Arial"/>
          <w:color w:val="231F20"/>
          <w:spacing w:val="10"/>
          <w:sz w:val="18"/>
        </w:rPr>
        <w:t> </w:t>
      </w:r>
      <w:r>
        <w:rPr>
          <w:rFonts w:ascii="Arial"/>
          <w:color w:val="231F20"/>
          <w:spacing w:val="-4"/>
          <w:sz w:val="18"/>
        </w:rPr>
        <w:t>AND</w:t>
      </w:r>
      <w:r>
        <w:rPr>
          <w:rFonts w:ascii="Arial"/>
          <w:color w:val="231F20"/>
          <w:spacing w:val="11"/>
          <w:sz w:val="18"/>
        </w:rPr>
        <w:t> </w:t>
      </w:r>
      <w:r>
        <w:rPr>
          <w:rFonts w:ascii="Arial"/>
          <w:color w:val="231F20"/>
          <w:spacing w:val="-4"/>
          <w:sz w:val="18"/>
        </w:rPr>
        <w:t>COUNT(Timestamp)</w:t>
      </w:r>
      <w:r>
        <w:rPr>
          <w:rFonts w:ascii="Arial"/>
          <w:color w:val="231F20"/>
          <w:spacing w:val="10"/>
          <w:sz w:val="18"/>
        </w:rPr>
        <w:t> </w:t>
      </w:r>
      <w:r>
        <w:rPr>
          <w:rFonts w:ascii="Arial"/>
          <w:color w:val="231F20"/>
          <w:spacing w:val="-4"/>
          <w:sz w:val="18"/>
        </w:rPr>
        <w:t>&gt;=</w:t>
      </w:r>
      <w:r>
        <w:rPr>
          <w:rFonts w:ascii="Arial"/>
          <w:color w:val="231F20"/>
          <w:spacing w:val="10"/>
          <w:sz w:val="18"/>
        </w:rPr>
        <w:t> </w:t>
      </w:r>
      <w:r>
        <w:rPr>
          <w:rFonts w:ascii="Arial"/>
          <w:color w:val="231F20"/>
          <w:spacing w:val="-10"/>
          <w:sz w:val="18"/>
        </w:rPr>
        <w:t>5</w:t>
      </w:r>
    </w:p>
    <w:p>
      <w:pPr>
        <w:pStyle w:val="BodyText"/>
        <w:spacing w:before="21"/>
        <w:rPr>
          <w:rFonts w:ascii="Arial"/>
          <w:sz w:val="18"/>
        </w:rPr>
      </w:pPr>
    </w:p>
    <w:p>
      <w:pPr>
        <w:pStyle w:val="Heading3"/>
        <w:spacing w:before="0"/>
        <w:ind w:left="1334"/>
      </w:pPr>
      <w:r>
        <w:rPr>
          <w:color w:val="231F20"/>
        </w:rPr>
        <w:t>MAX:</w:t>
      </w:r>
      <w:r>
        <w:rPr>
          <w:color w:val="231F20"/>
          <w:spacing w:val="7"/>
        </w:rPr>
        <w:t> </w:t>
      </w:r>
      <w:r>
        <w:rPr>
          <w:color w:val="231F20"/>
        </w:rPr>
        <w:t>Maximum</w:t>
      </w:r>
      <w:r>
        <w:rPr>
          <w:color w:val="231F20"/>
          <w:spacing w:val="7"/>
        </w:rPr>
        <w:t> </w:t>
      </w:r>
      <w:r>
        <w:rPr>
          <w:color w:val="231F20"/>
        </w:rPr>
        <w:t>in</w:t>
      </w:r>
      <w:r>
        <w:rPr>
          <w:color w:val="231F20"/>
          <w:spacing w:val="8"/>
        </w:rPr>
        <w:t> </w:t>
      </w:r>
      <w:r>
        <w:rPr>
          <w:color w:val="231F20"/>
          <w:spacing w:val="-2"/>
        </w:rPr>
        <w:t>group</w:t>
      </w:r>
    </w:p>
    <w:p>
      <w:pPr>
        <w:pStyle w:val="BodyText"/>
        <w:spacing w:line="208" w:lineRule="auto" w:before="67"/>
        <w:ind w:left="2232" w:right="545"/>
      </w:pPr>
      <w:r>
        <w:rPr>
          <w:color w:val="231F20"/>
        </w:rPr>
        <w:t>Use the </w:t>
      </w:r>
      <w:r>
        <w:rPr>
          <w:color w:val="231F20"/>
          <w:spacing w:val="16"/>
        </w:rPr>
        <w:drawing>
          <wp:inline distT="0" distB="0" distL="0" distR="0">
            <wp:extent cx="88900" cy="88900"/>
            <wp:effectExtent l="0" t="0" r="0" b="0"/>
            <wp:docPr id="3373" name="Image 3373"/>
            <wp:cNvGraphicFramePr>
              <a:graphicFrameLocks/>
            </wp:cNvGraphicFramePr>
            <a:graphic>
              <a:graphicData uri="http://schemas.openxmlformats.org/drawingml/2006/picture">
                <pic:pic>
                  <pic:nvPicPr>
                    <pic:cNvPr id="3373" name="Image 3373"/>
                    <pic:cNvPicPr/>
                  </pic:nvPicPr>
                  <pic:blipFill>
                    <a:blip r:embed="rId340" cstate="print"/>
                    <a:stretch>
                      <a:fillRect/>
                    </a:stretch>
                  </pic:blipFill>
                  <pic:spPr>
                    <a:xfrm>
                      <a:off x="0" y="0"/>
                      <a:ext cx="88900" cy="8890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Maximum in group </w:t>
      </w:r>
      <w:r>
        <w:rPr>
          <w:color w:val="231F20"/>
        </w:rPr>
        <w:t>function in a query or situation to compare the attributes returned and select the one with the highest value.</w:t>
      </w:r>
    </w:p>
    <w:p>
      <w:pPr>
        <w:spacing w:after="0" w:line="208" w:lineRule="auto"/>
        <w:sectPr>
          <w:pgSz w:w="12240" w:h="15840"/>
          <w:pgMar w:header="0" w:footer="736" w:top="1160" w:bottom="920" w:left="1000" w:right="1060"/>
        </w:sectPr>
      </w:pPr>
    </w:p>
    <w:p>
      <w:pPr>
        <w:pStyle w:val="Heading6"/>
        <w:spacing w:line="227" w:lineRule="exact" w:before="88"/>
      </w:pPr>
      <w:bookmarkStart w:name="_bookmark334" w:id="697"/>
      <w:bookmarkEnd w:id="697"/>
      <w:r>
        <w:rPr>
          <w:b w:val="0"/>
        </w:rPr>
      </w:r>
      <w:r>
        <w:rPr>
          <w:b w:val="0"/>
        </w:rPr>
        <w:drawing>
          <wp:inline distT="0" distB="0" distL="0" distR="0">
            <wp:extent cx="88900" cy="88900"/>
            <wp:effectExtent l="0" t="0" r="0" b="0"/>
            <wp:docPr id="3374" name="Image 3374"/>
            <wp:cNvGraphicFramePr>
              <a:graphicFrameLocks/>
            </wp:cNvGraphicFramePr>
            <a:graphic>
              <a:graphicData uri="http://schemas.openxmlformats.org/drawingml/2006/picture">
                <pic:pic>
                  <pic:nvPicPr>
                    <pic:cNvPr id="3374" name="Image 3374"/>
                    <pic:cNvPicPr/>
                  </pic:nvPicPr>
                  <pic:blipFill>
                    <a:blip r:embed="rId340"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80"/>
        </w:rPr>
        <w:t> </w:t>
      </w:r>
      <w:r>
        <w:rPr>
          <w:color w:val="231F20"/>
        </w:rPr>
        <w:t>Maximum</w:t>
      </w:r>
      <w:r>
        <w:rPr>
          <w:color w:val="231F20"/>
          <w:spacing w:val="32"/>
        </w:rPr>
        <w:t> </w:t>
      </w:r>
      <w:r>
        <w:rPr>
          <w:color w:val="231F20"/>
        </w:rPr>
        <w:t>in</w:t>
      </w:r>
      <w:r>
        <w:rPr>
          <w:color w:val="231F20"/>
          <w:spacing w:val="32"/>
        </w:rPr>
        <w:t> </w:t>
      </w:r>
      <w:r>
        <w:rPr>
          <w:color w:val="231F20"/>
        </w:rPr>
        <w:t>group</w:t>
      </w:r>
    </w:p>
    <w:p>
      <w:pPr>
        <w:pStyle w:val="BodyText"/>
        <w:spacing w:line="213" w:lineRule="auto" w:before="9"/>
        <w:ind w:left="3190" w:right="493"/>
      </w:pPr>
      <w:r>
        <w:rPr>
          <w:color w:val="231F20"/>
        </w:rPr>
        <w:t>For attributes that return multiple rows, the MAX function finds </w:t>
      </w:r>
      <w:r>
        <w:rPr>
          <w:color w:val="231F20"/>
        </w:rPr>
        <w:t>the highest returned value (or values).</w:t>
      </w:r>
    </w:p>
    <w:p>
      <w:pPr>
        <w:pStyle w:val="Heading6"/>
      </w:pPr>
      <w:r>
        <w:rPr>
          <w:color w:val="231F20"/>
        </w:rPr>
        <w:t>Query</w:t>
      </w:r>
      <w:r>
        <w:rPr>
          <w:color w:val="231F20"/>
          <w:spacing w:val="10"/>
        </w:rPr>
        <w:t> </w:t>
      </w:r>
      <w:r>
        <w:rPr>
          <w:color w:val="231F20"/>
          <w:spacing w:val="-2"/>
        </w:rPr>
        <w:t>example</w:t>
      </w:r>
    </w:p>
    <w:p>
      <w:pPr>
        <w:pStyle w:val="BodyText"/>
        <w:spacing w:line="213" w:lineRule="auto" w:before="12"/>
        <w:ind w:left="3190" w:right="385"/>
      </w:pPr>
      <w:r>
        <w:rPr>
          <w:color w:val="231F20"/>
        </w:rPr>
        <w:t>This function finds the process with the highest thread count. GROUP </w:t>
      </w:r>
      <w:r>
        <w:rPr>
          <w:color w:val="231F20"/>
        </w:rPr>
        <w:t>BY</w:t>
      </w:r>
      <w:r>
        <w:rPr>
          <w:color w:val="231F20"/>
          <w:spacing w:val="40"/>
        </w:rPr>
        <w:t> </w:t>
      </w:r>
      <w:r>
        <w:rPr>
          <w:color w:val="231F20"/>
        </w:rPr>
        <w:t>is Server Name, so the view shows the process with the highest thread count on each system.</w:t>
      </w:r>
    </w:p>
    <w:p>
      <w:pPr>
        <w:spacing w:before="61"/>
        <w:ind w:left="3190" w:right="0" w:firstLine="0"/>
        <w:jc w:val="left"/>
        <w:rPr>
          <w:rFonts w:ascii="Arial"/>
          <w:sz w:val="18"/>
        </w:rPr>
      </w:pPr>
      <w:r>
        <w:rPr>
          <w:rFonts w:ascii="Arial"/>
          <w:color w:val="231F20"/>
          <w:w w:val="90"/>
          <w:sz w:val="18"/>
        </w:rPr>
        <w:t>MAX(Thread</w:t>
      </w:r>
      <w:r>
        <w:rPr>
          <w:rFonts w:ascii="Arial"/>
          <w:color w:val="231F20"/>
          <w:spacing w:val="18"/>
          <w:sz w:val="18"/>
        </w:rPr>
        <w:t> </w:t>
      </w:r>
      <w:r>
        <w:rPr>
          <w:rFonts w:ascii="Arial"/>
          <w:color w:val="231F20"/>
          <w:spacing w:val="-2"/>
          <w:sz w:val="18"/>
        </w:rPr>
        <w:t>Count)</w:t>
      </w:r>
    </w:p>
    <w:p>
      <w:pPr>
        <w:pStyle w:val="Heading6"/>
        <w:spacing w:before="128"/>
      </w:pPr>
      <w:r>
        <w:rPr>
          <w:color w:val="231F20"/>
        </w:rPr>
        <w:t>Situation</w:t>
      </w:r>
      <w:r>
        <w:rPr>
          <w:color w:val="231F20"/>
          <w:spacing w:val="7"/>
        </w:rPr>
        <w:t> </w:t>
      </w:r>
      <w:r>
        <w:rPr>
          <w:color w:val="231F20"/>
          <w:spacing w:val="-2"/>
        </w:rPr>
        <w:t>example</w:t>
      </w:r>
    </w:p>
    <w:p>
      <w:pPr>
        <w:pStyle w:val="BodyText"/>
        <w:spacing w:line="213" w:lineRule="auto" w:before="11"/>
        <w:ind w:left="3190" w:right="258"/>
      </w:pPr>
      <w:r>
        <w:rPr>
          <w:color w:val="231F20"/>
        </w:rPr>
        <w:t>The relational operator is set to == and the value to TRUE. The MAX</w:t>
      </w:r>
      <w:r>
        <w:rPr>
          <w:color w:val="231F20"/>
          <w:spacing w:val="40"/>
        </w:rPr>
        <w:t> </w:t>
      </w:r>
      <w:r>
        <w:rPr>
          <w:color w:val="231F20"/>
        </w:rPr>
        <w:t>function is meaningful when combined with another expression. This formula finds the process with the highest thread count. If the process </w:t>
      </w:r>
      <w:r>
        <w:rPr>
          <w:color w:val="231F20"/>
        </w:rPr>
        <w:t>also has more than 150 million virtual bytes, the comparison is true.</w:t>
      </w:r>
    </w:p>
    <w:p>
      <w:pPr>
        <w:spacing w:before="60"/>
        <w:ind w:left="3190" w:right="0" w:firstLine="0"/>
        <w:jc w:val="left"/>
        <w:rPr>
          <w:rFonts w:ascii="Arial"/>
          <w:sz w:val="18"/>
        </w:rPr>
      </w:pPr>
      <w:r>
        <w:rPr>
          <w:rFonts w:ascii="Arial"/>
          <w:color w:val="231F20"/>
          <w:spacing w:val="-4"/>
          <w:sz w:val="18"/>
        </w:rPr>
        <w:t>MAX(Thread</w:t>
      </w:r>
      <w:r>
        <w:rPr>
          <w:rFonts w:ascii="Arial"/>
          <w:color w:val="231F20"/>
          <w:spacing w:val="18"/>
          <w:sz w:val="18"/>
        </w:rPr>
        <w:t> </w:t>
      </w:r>
      <w:r>
        <w:rPr>
          <w:rFonts w:ascii="Arial"/>
          <w:color w:val="231F20"/>
          <w:spacing w:val="-4"/>
          <w:sz w:val="18"/>
        </w:rPr>
        <w:t>Count)==</w:t>
      </w:r>
      <w:r>
        <w:rPr>
          <w:rFonts w:ascii="Arial"/>
          <w:color w:val="231F20"/>
          <w:spacing w:val="18"/>
          <w:sz w:val="18"/>
        </w:rPr>
        <w:t> </w:t>
      </w:r>
      <w:r>
        <w:rPr>
          <w:rFonts w:ascii="Arial"/>
          <w:color w:val="231F20"/>
          <w:spacing w:val="-4"/>
          <w:sz w:val="18"/>
        </w:rPr>
        <w:t>*TRUE</w:t>
      </w:r>
      <w:r>
        <w:rPr>
          <w:rFonts w:ascii="Arial"/>
          <w:color w:val="231F20"/>
          <w:spacing w:val="19"/>
          <w:sz w:val="18"/>
        </w:rPr>
        <w:t> </w:t>
      </w:r>
      <w:r>
        <w:rPr>
          <w:rFonts w:ascii="Arial"/>
          <w:color w:val="231F20"/>
          <w:spacing w:val="-4"/>
          <w:sz w:val="18"/>
        </w:rPr>
        <w:t>AND</w:t>
      </w:r>
      <w:r>
        <w:rPr>
          <w:rFonts w:ascii="Arial"/>
          <w:color w:val="231F20"/>
          <w:spacing w:val="18"/>
          <w:sz w:val="18"/>
        </w:rPr>
        <w:t> </w:t>
      </w:r>
      <w:r>
        <w:rPr>
          <w:rFonts w:ascii="Arial"/>
          <w:color w:val="231F20"/>
          <w:spacing w:val="-4"/>
          <w:sz w:val="18"/>
        </w:rPr>
        <w:t>Virtual</w:t>
      </w:r>
      <w:r>
        <w:rPr>
          <w:rFonts w:ascii="Arial"/>
          <w:color w:val="231F20"/>
          <w:spacing w:val="18"/>
          <w:sz w:val="18"/>
        </w:rPr>
        <w:t> </w:t>
      </w:r>
      <w:r>
        <w:rPr>
          <w:rFonts w:ascii="Arial"/>
          <w:color w:val="231F20"/>
          <w:spacing w:val="-4"/>
          <w:sz w:val="18"/>
        </w:rPr>
        <w:t>Bytes</w:t>
      </w:r>
      <w:r>
        <w:rPr>
          <w:rFonts w:ascii="Arial"/>
          <w:color w:val="231F20"/>
          <w:spacing w:val="19"/>
          <w:sz w:val="18"/>
        </w:rPr>
        <w:t> </w:t>
      </w:r>
      <w:r>
        <w:rPr>
          <w:rFonts w:ascii="Arial"/>
          <w:color w:val="231F20"/>
          <w:spacing w:val="-4"/>
          <w:sz w:val="18"/>
        </w:rPr>
        <w:t>&gt;=</w:t>
      </w:r>
      <w:r>
        <w:rPr>
          <w:rFonts w:ascii="Arial"/>
          <w:color w:val="231F20"/>
          <w:spacing w:val="18"/>
          <w:sz w:val="18"/>
        </w:rPr>
        <w:t> </w:t>
      </w:r>
      <w:r>
        <w:rPr>
          <w:rFonts w:ascii="Arial"/>
          <w:color w:val="231F20"/>
          <w:spacing w:val="-4"/>
          <w:sz w:val="18"/>
        </w:rPr>
        <w:t>150,000,000</w:t>
      </w:r>
    </w:p>
    <w:p>
      <w:pPr>
        <w:pStyle w:val="BodyText"/>
        <w:spacing w:before="21"/>
        <w:rPr>
          <w:rFonts w:ascii="Arial"/>
          <w:sz w:val="18"/>
        </w:rPr>
      </w:pPr>
    </w:p>
    <w:p>
      <w:pPr>
        <w:pStyle w:val="Heading3"/>
        <w:spacing w:before="0"/>
        <w:ind w:left="1574"/>
      </w:pPr>
      <w:bookmarkStart w:name="MIN: Minimum in group" w:id="698"/>
      <w:bookmarkEnd w:id="698"/>
      <w:r>
        <w:rPr>
          <w:b w:val="0"/>
        </w:rPr>
      </w:r>
      <w:r>
        <w:rPr>
          <w:color w:val="231F20"/>
        </w:rPr>
        <w:t>MIN:</w:t>
      </w:r>
      <w:r>
        <w:rPr>
          <w:color w:val="231F20"/>
          <w:spacing w:val="8"/>
        </w:rPr>
        <w:t> </w:t>
      </w:r>
      <w:r>
        <w:rPr>
          <w:color w:val="231F20"/>
        </w:rPr>
        <w:t>Minimum</w:t>
      </w:r>
      <w:r>
        <w:rPr>
          <w:color w:val="231F20"/>
          <w:spacing w:val="8"/>
        </w:rPr>
        <w:t> </w:t>
      </w:r>
      <w:r>
        <w:rPr>
          <w:color w:val="231F20"/>
        </w:rPr>
        <w:t>in</w:t>
      </w:r>
      <w:r>
        <w:rPr>
          <w:color w:val="231F20"/>
          <w:spacing w:val="8"/>
        </w:rPr>
        <w:t> </w:t>
      </w:r>
      <w:r>
        <w:rPr>
          <w:color w:val="231F20"/>
          <w:spacing w:val="-2"/>
        </w:rPr>
        <w:t>group</w:t>
      </w:r>
    </w:p>
    <w:p>
      <w:pPr>
        <w:pStyle w:val="BodyText"/>
        <w:spacing w:line="208" w:lineRule="auto" w:before="68"/>
        <w:ind w:left="2472" w:right="545"/>
      </w:pPr>
      <w:r>
        <w:rPr>
          <w:color w:val="231F20"/>
        </w:rPr>
        <w:t>Use the </w:t>
      </w:r>
      <w:r>
        <w:rPr>
          <w:color w:val="231F20"/>
          <w:spacing w:val="16"/>
        </w:rPr>
        <w:drawing>
          <wp:inline distT="0" distB="0" distL="0" distR="0">
            <wp:extent cx="88900" cy="88900"/>
            <wp:effectExtent l="0" t="0" r="0" b="0"/>
            <wp:docPr id="3375" name="Image 3375"/>
            <wp:cNvGraphicFramePr>
              <a:graphicFrameLocks/>
            </wp:cNvGraphicFramePr>
            <a:graphic>
              <a:graphicData uri="http://schemas.openxmlformats.org/drawingml/2006/picture">
                <pic:pic>
                  <pic:nvPicPr>
                    <pic:cNvPr id="3375" name="Image 3375"/>
                    <pic:cNvPicPr/>
                  </pic:nvPicPr>
                  <pic:blipFill>
                    <a:blip r:embed="rId339" cstate="print"/>
                    <a:stretch>
                      <a:fillRect/>
                    </a:stretch>
                  </pic:blipFill>
                  <pic:spPr>
                    <a:xfrm>
                      <a:off x="0" y="0"/>
                      <a:ext cx="88900" cy="8890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Minimum in group </w:t>
      </w:r>
      <w:r>
        <w:rPr>
          <w:color w:val="231F20"/>
        </w:rPr>
        <w:t>function in a query or situation to compare the attributes returned and select the one with the lowest value.</w:t>
      </w:r>
    </w:p>
    <w:p>
      <w:pPr>
        <w:pStyle w:val="Heading6"/>
        <w:spacing w:line="227" w:lineRule="exact" w:before="123"/>
      </w:pPr>
      <w:r>
        <w:rPr>
          <w:b w:val="0"/>
        </w:rPr>
        <w:drawing>
          <wp:inline distT="0" distB="0" distL="0" distR="0">
            <wp:extent cx="88900" cy="88900"/>
            <wp:effectExtent l="0" t="0" r="0" b="0"/>
            <wp:docPr id="3376" name="Image 3376"/>
            <wp:cNvGraphicFramePr>
              <a:graphicFrameLocks/>
            </wp:cNvGraphicFramePr>
            <a:graphic>
              <a:graphicData uri="http://schemas.openxmlformats.org/drawingml/2006/picture">
                <pic:pic>
                  <pic:nvPicPr>
                    <pic:cNvPr id="3376" name="Image 3376"/>
                    <pic:cNvPicPr/>
                  </pic:nvPicPr>
                  <pic:blipFill>
                    <a:blip r:embed="rId339"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80"/>
        </w:rPr>
        <w:t> </w:t>
      </w:r>
      <w:r>
        <w:rPr>
          <w:color w:val="231F20"/>
        </w:rPr>
        <w:t>Minimum</w:t>
      </w:r>
      <w:r>
        <w:rPr>
          <w:color w:val="231F20"/>
          <w:spacing w:val="32"/>
        </w:rPr>
        <w:t> </w:t>
      </w:r>
      <w:r>
        <w:rPr>
          <w:color w:val="231F20"/>
        </w:rPr>
        <w:t>in</w:t>
      </w:r>
      <w:r>
        <w:rPr>
          <w:color w:val="231F20"/>
          <w:spacing w:val="32"/>
        </w:rPr>
        <w:t> </w:t>
      </w:r>
      <w:r>
        <w:rPr>
          <w:color w:val="231F20"/>
        </w:rPr>
        <w:t>group</w:t>
      </w:r>
    </w:p>
    <w:p>
      <w:pPr>
        <w:pStyle w:val="BodyText"/>
        <w:spacing w:line="213" w:lineRule="auto" w:before="9"/>
        <w:ind w:left="3190" w:right="274"/>
      </w:pPr>
      <w:r>
        <w:rPr>
          <w:color w:val="231F20"/>
        </w:rPr>
        <w:t>For attributes that return multiple rows, the MIN function finds the </w:t>
      </w:r>
      <w:r>
        <w:rPr>
          <w:color w:val="231F20"/>
        </w:rPr>
        <w:t>lowest returned value (or values).</w:t>
      </w:r>
    </w:p>
    <w:p>
      <w:pPr>
        <w:pStyle w:val="Heading6"/>
      </w:pPr>
      <w:r>
        <w:rPr>
          <w:color w:val="231F20"/>
        </w:rPr>
        <w:t>Query</w:t>
      </w:r>
      <w:r>
        <w:rPr>
          <w:color w:val="231F20"/>
          <w:spacing w:val="10"/>
        </w:rPr>
        <w:t> </w:t>
      </w:r>
      <w:r>
        <w:rPr>
          <w:color w:val="231F20"/>
          <w:spacing w:val="-2"/>
        </w:rPr>
        <w:t>example</w:t>
      </w:r>
    </w:p>
    <w:p>
      <w:pPr>
        <w:pStyle w:val="BodyText"/>
        <w:spacing w:line="213" w:lineRule="auto" w:before="12"/>
        <w:ind w:left="3190" w:right="258"/>
      </w:pPr>
      <w:r>
        <w:rPr>
          <w:color w:val="231F20"/>
        </w:rPr>
        <w:t>This function finds the process with the lowest priority base. GROUP BY </w:t>
      </w:r>
      <w:r>
        <w:rPr>
          <w:color w:val="231F20"/>
        </w:rPr>
        <w:t>is Server Name, so the view will show the process with the lowest priority</w:t>
      </w:r>
      <w:r>
        <w:rPr>
          <w:color w:val="231F20"/>
          <w:spacing w:val="40"/>
        </w:rPr>
        <w:t> </w:t>
      </w:r>
      <w:r>
        <w:rPr>
          <w:color w:val="231F20"/>
        </w:rPr>
        <w:t>base on each system.</w:t>
      </w:r>
    </w:p>
    <w:p>
      <w:pPr>
        <w:spacing w:before="61"/>
        <w:ind w:left="3190" w:right="0" w:firstLine="0"/>
        <w:jc w:val="left"/>
        <w:rPr>
          <w:rFonts w:ascii="Arial"/>
          <w:sz w:val="18"/>
        </w:rPr>
      </w:pPr>
      <w:r>
        <w:rPr>
          <w:rFonts w:ascii="Arial"/>
          <w:color w:val="231F20"/>
          <w:w w:val="105"/>
          <w:sz w:val="18"/>
        </w:rPr>
        <w:t>MIN(Priority</w:t>
      </w:r>
      <w:r>
        <w:rPr>
          <w:rFonts w:ascii="Arial"/>
          <w:color w:val="231F20"/>
          <w:spacing w:val="28"/>
          <w:w w:val="105"/>
          <w:sz w:val="18"/>
        </w:rPr>
        <w:t>  </w:t>
      </w:r>
      <w:r>
        <w:rPr>
          <w:rFonts w:ascii="Arial"/>
          <w:color w:val="231F20"/>
          <w:spacing w:val="-2"/>
          <w:w w:val="105"/>
          <w:sz w:val="18"/>
        </w:rPr>
        <w:t>Base)</w:t>
      </w:r>
    </w:p>
    <w:p>
      <w:pPr>
        <w:pStyle w:val="Heading6"/>
        <w:spacing w:before="128"/>
      </w:pPr>
      <w:r>
        <w:rPr>
          <w:color w:val="231F20"/>
        </w:rPr>
        <w:t>Situation</w:t>
      </w:r>
      <w:r>
        <w:rPr>
          <w:color w:val="231F20"/>
          <w:spacing w:val="7"/>
        </w:rPr>
        <w:t> </w:t>
      </w:r>
      <w:r>
        <w:rPr>
          <w:color w:val="231F20"/>
          <w:spacing w:val="-2"/>
        </w:rPr>
        <w:t>example</w:t>
      </w:r>
    </w:p>
    <w:p>
      <w:pPr>
        <w:pStyle w:val="BodyText"/>
        <w:spacing w:line="213" w:lineRule="auto" w:before="11"/>
        <w:ind w:left="3190" w:right="385"/>
      </w:pPr>
      <w:r>
        <w:rPr>
          <w:color w:val="231F20"/>
        </w:rPr>
        <w:t>The relational operator is set to == and the value to TRUE. The MIN</w:t>
      </w:r>
      <w:r>
        <w:rPr>
          <w:color w:val="231F20"/>
          <w:spacing w:val="40"/>
        </w:rPr>
        <w:t> </w:t>
      </w:r>
      <w:r>
        <w:rPr>
          <w:color w:val="231F20"/>
        </w:rPr>
        <w:t>function is meaningful when combined with another expression. This formula finds the process with the lowest priority base. If it also has </w:t>
      </w:r>
      <w:r>
        <w:rPr>
          <w:color w:val="231F20"/>
        </w:rPr>
        <w:t>more than 20% privileged time, the comparison is true.</w:t>
      </w:r>
    </w:p>
    <w:p>
      <w:pPr>
        <w:spacing w:before="60"/>
        <w:ind w:left="3190" w:right="0" w:firstLine="0"/>
        <w:jc w:val="left"/>
        <w:rPr>
          <w:rFonts w:ascii="Arial"/>
          <w:sz w:val="18"/>
        </w:rPr>
      </w:pPr>
      <w:bookmarkStart w:name="SUM: Sum of group" w:id="699"/>
      <w:bookmarkEnd w:id="699"/>
      <w:r>
        <w:rPr/>
      </w:r>
      <w:r>
        <w:rPr>
          <w:rFonts w:ascii="Arial"/>
          <w:color w:val="231F20"/>
          <w:sz w:val="18"/>
        </w:rPr>
        <w:t>MIN(Priority</w:t>
      </w:r>
      <w:r>
        <w:rPr>
          <w:rFonts w:ascii="Arial"/>
          <w:color w:val="231F20"/>
          <w:spacing w:val="20"/>
          <w:sz w:val="18"/>
        </w:rPr>
        <w:t> </w:t>
      </w:r>
      <w:r>
        <w:rPr>
          <w:rFonts w:ascii="Arial"/>
          <w:color w:val="231F20"/>
          <w:sz w:val="18"/>
        </w:rPr>
        <w:t>Base)==</w:t>
      </w:r>
      <w:r>
        <w:rPr>
          <w:rFonts w:ascii="Arial"/>
          <w:color w:val="231F20"/>
          <w:spacing w:val="21"/>
          <w:sz w:val="18"/>
        </w:rPr>
        <w:t> </w:t>
      </w:r>
      <w:r>
        <w:rPr>
          <w:rFonts w:ascii="Arial"/>
          <w:color w:val="231F20"/>
          <w:w w:val="95"/>
          <w:sz w:val="18"/>
        </w:rPr>
        <w:t>*TRUE</w:t>
      </w:r>
      <w:r>
        <w:rPr>
          <w:rFonts w:ascii="Arial"/>
          <w:color w:val="231F20"/>
          <w:spacing w:val="21"/>
          <w:sz w:val="18"/>
        </w:rPr>
        <w:t> </w:t>
      </w:r>
      <w:r>
        <w:rPr>
          <w:rFonts w:ascii="Arial"/>
          <w:color w:val="231F20"/>
          <w:w w:val="95"/>
          <w:sz w:val="18"/>
        </w:rPr>
        <w:t>AND</w:t>
      </w:r>
      <w:r>
        <w:rPr>
          <w:rFonts w:ascii="Arial"/>
          <w:color w:val="231F20"/>
          <w:spacing w:val="21"/>
          <w:sz w:val="18"/>
        </w:rPr>
        <w:t> </w:t>
      </w:r>
      <w:r>
        <w:rPr>
          <w:rFonts w:ascii="Arial"/>
          <w:color w:val="231F20"/>
          <w:w w:val="95"/>
          <w:sz w:val="18"/>
        </w:rPr>
        <w:t>%</w:t>
      </w:r>
      <w:r>
        <w:rPr>
          <w:rFonts w:ascii="Arial"/>
          <w:color w:val="231F20"/>
          <w:spacing w:val="21"/>
          <w:sz w:val="18"/>
        </w:rPr>
        <w:t> </w:t>
      </w:r>
      <w:r>
        <w:rPr>
          <w:rFonts w:ascii="Arial"/>
          <w:color w:val="231F20"/>
          <w:sz w:val="18"/>
        </w:rPr>
        <w:t>Privileged</w:t>
      </w:r>
      <w:r>
        <w:rPr>
          <w:rFonts w:ascii="Arial"/>
          <w:color w:val="231F20"/>
          <w:spacing w:val="21"/>
          <w:sz w:val="18"/>
        </w:rPr>
        <w:t> </w:t>
      </w:r>
      <w:r>
        <w:rPr>
          <w:rFonts w:ascii="Arial"/>
          <w:color w:val="231F20"/>
          <w:sz w:val="18"/>
        </w:rPr>
        <w:t>Time</w:t>
      </w:r>
      <w:r>
        <w:rPr>
          <w:rFonts w:ascii="Arial"/>
          <w:color w:val="231F20"/>
          <w:spacing w:val="20"/>
          <w:sz w:val="18"/>
        </w:rPr>
        <w:t> </w:t>
      </w:r>
      <w:r>
        <w:rPr>
          <w:rFonts w:ascii="Arial"/>
          <w:color w:val="231F20"/>
          <w:sz w:val="18"/>
        </w:rPr>
        <w:t>&gt;=</w:t>
      </w:r>
      <w:r>
        <w:rPr>
          <w:rFonts w:ascii="Arial"/>
          <w:color w:val="231F20"/>
          <w:spacing w:val="21"/>
          <w:sz w:val="18"/>
        </w:rPr>
        <w:t> </w:t>
      </w:r>
      <w:r>
        <w:rPr>
          <w:rFonts w:ascii="Arial"/>
          <w:color w:val="231F20"/>
          <w:spacing w:val="-5"/>
          <w:sz w:val="18"/>
        </w:rPr>
        <w:t>20</w:t>
      </w:r>
    </w:p>
    <w:p>
      <w:pPr>
        <w:pStyle w:val="BodyText"/>
        <w:spacing w:before="21"/>
        <w:rPr>
          <w:rFonts w:ascii="Arial"/>
          <w:sz w:val="18"/>
        </w:rPr>
      </w:pPr>
    </w:p>
    <w:p>
      <w:pPr>
        <w:pStyle w:val="Heading3"/>
        <w:spacing w:before="0"/>
        <w:ind w:left="1574"/>
      </w:pPr>
      <w:r>
        <w:rPr>
          <w:color w:val="231F20"/>
        </w:rPr>
        <w:t>SUM:</w:t>
      </w:r>
      <w:r>
        <w:rPr>
          <w:color w:val="231F20"/>
          <w:spacing w:val="9"/>
        </w:rPr>
        <w:t> </w:t>
      </w:r>
      <w:r>
        <w:rPr>
          <w:color w:val="231F20"/>
        </w:rPr>
        <w:t>Sum</w:t>
      </w:r>
      <w:r>
        <w:rPr>
          <w:color w:val="231F20"/>
          <w:spacing w:val="10"/>
        </w:rPr>
        <w:t> </w:t>
      </w:r>
      <w:r>
        <w:rPr>
          <w:color w:val="231F20"/>
        </w:rPr>
        <w:t>of</w:t>
      </w:r>
      <w:r>
        <w:rPr>
          <w:color w:val="231F20"/>
          <w:spacing w:val="10"/>
        </w:rPr>
        <w:t> </w:t>
      </w:r>
      <w:r>
        <w:rPr>
          <w:color w:val="231F20"/>
          <w:spacing w:val="-2"/>
        </w:rPr>
        <w:t>group</w:t>
      </w:r>
    </w:p>
    <w:p>
      <w:pPr>
        <w:pStyle w:val="BodyText"/>
        <w:spacing w:line="208" w:lineRule="auto" w:before="68"/>
        <w:ind w:left="2472" w:right="545"/>
      </w:pPr>
      <w:r>
        <w:rPr>
          <w:color w:val="231F20"/>
        </w:rPr>
        <w:t>Use the </w:t>
      </w:r>
      <w:r>
        <w:rPr>
          <w:color w:val="231F20"/>
          <w:spacing w:val="16"/>
        </w:rPr>
        <w:drawing>
          <wp:inline distT="0" distB="0" distL="0" distR="0">
            <wp:extent cx="88900" cy="88900"/>
            <wp:effectExtent l="0" t="0" r="0" b="0"/>
            <wp:docPr id="3377" name="Image 3377"/>
            <wp:cNvGraphicFramePr>
              <a:graphicFrameLocks/>
            </wp:cNvGraphicFramePr>
            <a:graphic>
              <a:graphicData uri="http://schemas.openxmlformats.org/drawingml/2006/picture">
                <pic:pic>
                  <pic:nvPicPr>
                    <pic:cNvPr id="3377" name="Image 3377"/>
                    <pic:cNvPicPr/>
                  </pic:nvPicPr>
                  <pic:blipFill>
                    <a:blip r:embed="rId341" cstate="print"/>
                    <a:stretch>
                      <a:fillRect/>
                    </a:stretch>
                  </pic:blipFill>
                  <pic:spPr>
                    <a:xfrm>
                      <a:off x="0" y="0"/>
                      <a:ext cx="88900" cy="88900"/>
                    </a:xfrm>
                    <a:prstGeom prst="rect">
                      <a:avLst/>
                    </a:prstGeom>
                  </pic:spPr>
                </pic:pic>
              </a:graphicData>
            </a:graphic>
          </wp:inline>
        </w:drawing>
      </w:r>
      <w:r>
        <w:rPr>
          <w:color w:val="231F20"/>
          <w:spacing w:val="16"/>
        </w:rPr>
      </w:r>
      <w:r>
        <w:rPr>
          <w:rFonts w:ascii="Times New Roman"/>
          <w:color w:val="231F20"/>
          <w:spacing w:val="40"/>
        </w:rPr>
        <w:t> </w:t>
      </w:r>
      <w:r>
        <w:rPr>
          <w:rFonts w:ascii="Book Antiqua"/>
          <w:b/>
          <w:color w:val="231F20"/>
        </w:rPr>
        <w:t>Sum of group </w:t>
      </w:r>
      <w:r>
        <w:rPr>
          <w:color w:val="231F20"/>
        </w:rPr>
        <w:t>function in a query or situation to calculate the total</w:t>
      </w:r>
      <w:r>
        <w:rPr>
          <w:color w:val="231F20"/>
          <w:spacing w:val="40"/>
        </w:rPr>
        <w:t> </w:t>
      </w:r>
      <w:r>
        <w:rPr>
          <w:color w:val="231F20"/>
        </w:rPr>
        <w:t>from a range of values.</w:t>
      </w:r>
    </w:p>
    <w:p>
      <w:pPr>
        <w:pStyle w:val="Heading6"/>
        <w:spacing w:line="227" w:lineRule="exact" w:before="123"/>
      </w:pPr>
      <w:r>
        <w:rPr>
          <w:b w:val="0"/>
        </w:rPr>
        <w:drawing>
          <wp:inline distT="0" distB="0" distL="0" distR="0">
            <wp:extent cx="88900" cy="88900"/>
            <wp:effectExtent l="0" t="0" r="0" b="0"/>
            <wp:docPr id="3378" name="Image 3378"/>
            <wp:cNvGraphicFramePr>
              <a:graphicFrameLocks/>
            </wp:cNvGraphicFramePr>
            <a:graphic>
              <a:graphicData uri="http://schemas.openxmlformats.org/drawingml/2006/picture">
                <pic:pic>
                  <pic:nvPicPr>
                    <pic:cNvPr id="3378" name="Image 3378"/>
                    <pic:cNvPicPr/>
                  </pic:nvPicPr>
                  <pic:blipFill>
                    <a:blip r:embed="rId341" cstate="print"/>
                    <a:stretch>
                      <a:fillRect/>
                    </a:stretch>
                  </pic:blipFill>
                  <pic:spPr>
                    <a:xfrm>
                      <a:off x="0" y="0"/>
                      <a:ext cx="88900" cy="88900"/>
                    </a:xfrm>
                    <a:prstGeom prst="rect">
                      <a:avLst/>
                    </a:prstGeom>
                  </pic:spPr>
                </pic:pic>
              </a:graphicData>
            </a:graphic>
          </wp:inline>
        </w:drawing>
      </w:r>
      <w:r>
        <w:rPr>
          <w:b w:val="0"/>
        </w:rPr>
      </w:r>
      <w:r>
        <w:rPr>
          <w:rFonts w:ascii="Times New Roman"/>
          <w:b w:val="0"/>
          <w:spacing w:val="80"/>
        </w:rPr>
        <w:t> </w:t>
      </w:r>
      <w:r>
        <w:rPr>
          <w:color w:val="231F20"/>
        </w:rPr>
        <w:t>Sum</w:t>
      </w:r>
      <w:r>
        <w:rPr>
          <w:color w:val="231F20"/>
          <w:spacing w:val="34"/>
        </w:rPr>
        <w:t> </w:t>
      </w:r>
      <w:r>
        <w:rPr>
          <w:color w:val="231F20"/>
        </w:rPr>
        <w:t>of</w:t>
      </w:r>
      <w:r>
        <w:rPr>
          <w:color w:val="231F20"/>
          <w:spacing w:val="34"/>
        </w:rPr>
        <w:t> </w:t>
      </w:r>
      <w:r>
        <w:rPr>
          <w:color w:val="231F20"/>
        </w:rPr>
        <w:t>group</w:t>
      </w:r>
    </w:p>
    <w:p>
      <w:pPr>
        <w:pStyle w:val="BodyText"/>
        <w:spacing w:line="256" w:lineRule="exact"/>
        <w:ind w:left="3190"/>
      </w:pPr>
      <w:r>
        <w:rPr>
          <w:color w:val="231F20"/>
        </w:rPr>
        <w:t>Takes</w:t>
      </w:r>
      <w:r>
        <w:rPr>
          <w:color w:val="231F20"/>
          <w:spacing w:val="9"/>
        </w:rPr>
        <w:t> </w:t>
      </w:r>
      <w:r>
        <w:rPr>
          <w:color w:val="231F20"/>
        </w:rPr>
        <w:t>the</w:t>
      </w:r>
      <w:r>
        <w:rPr>
          <w:color w:val="231F20"/>
          <w:spacing w:val="9"/>
        </w:rPr>
        <w:t> </w:t>
      </w:r>
      <w:r>
        <w:rPr>
          <w:color w:val="231F20"/>
        </w:rPr>
        <w:t>attribute</w:t>
      </w:r>
      <w:r>
        <w:rPr>
          <w:color w:val="231F20"/>
          <w:spacing w:val="9"/>
        </w:rPr>
        <w:t> </w:t>
      </w:r>
      <w:r>
        <w:rPr>
          <w:color w:val="231F20"/>
        </w:rPr>
        <w:t>values</w:t>
      </w:r>
      <w:r>
        <w:rPr>
          <w:color w:val="231F20"/>
          <w:spacing w:val="9"/>
        </w:rPr>
        <w:t> </w:t>
      </w:r>
      <w:r>
        <w:rPr>
          <w:color w:val="231F20"/>
        </w:rPr>
        <w:t>returned</w:t>
      </w:r>
      <w:r>
        <w:rPr>
          <w:color w:val="231F20"/>
          <w:spacing w:val="9"/>
        </w:rPr>
        <w:t> </w:t>
      </w:r>
      <w:r>
        <w:rPr>
          <w:color w:val="231F20"/>
        </w:rPr>
        <w:t>that</w:t>
      </w:r>
      <w:r>
        <w:rPr>
          <w:color w:val="231F20"/>
          <w:spacing w:val="9"/>
        </w:rPr>
        <w:t> </w:t>
      </w:r>
      <w:r>
        <w:rPr>
          <w:color w:val="231F20"/>
        </w:rPr>
        <w:t>meet</w:t>
      </w:r>
      <w:r>
        <w:rPr>
          <w:color w:val="231F20"/>
          <w:spacing w:val="9"/>
        </w:rPr>
        <w:t> </w:t>
      </w:r>
      <w:r>
        <w:rPr>
          <w:color w:val="231F20"/>
        </w:rPr>
        <w:t>the</w:t>
      </w:r>
      <w:r>
        <w:rPr>
          <w:color w:val="231F20"/>
          <w:spacing w:val="9"/>
        </w:rPr>
        <w:t> </w:t>
      </w:r>
      <w:r>
        <w:rPr>
          <w:color w:val="231F20"/>
        </w:rPr>
        <w:t>criteria</w:t>
      </w:r>
      <w:r>
        <w:rPr>
          <w:color w:val="231F20"/>
          <w:spacing w:val="8"/>
        </w:rPr>
        <w:t> </w:t>
      </w:r>
      <w:r>
        <w:rPr>
          <w:color w:val="231F20"/>
        </w:rPr>
        <w:t>and</w:t>
      </w:r>
      <w:r>
        <w:rPr>
          <w:color w:val="231F20"/>
          <w:spacing w:val="9"/>
        </w:rPr>
        <w:t> </w:t>
      </w:r>
      <w:r>
        <w:rPr>
          <w:color w:val="231F20"/>
        </w:rPr>
        <w:t>totals</w:t>
      </w:r>
      <w:r>
        <w:rPr>
          <w:color w:val="231F20"/>
          <w:spacing w:val="9"/>
        </w:rPr>
        <w:t> </w:t>
      </w:r>
      <w:r>
        <w:rPr>
          <w:color w:val="231F20"/>
          <w:spacing w:val="-2"/>
        </w:rPr>
        <w:t>them.</w:t>
      </w:r>
    </w:p>
    <w:p>
      <w:pPr>
        <w:pStyle w:val="Heading6"/>
        <w:spacing w:before="112"/>
      </w:pPr>
      <w:r>
        <w:rPr>
          <w:color w:val="231F20"/>
        </w:rPr>
        <w:t>Query</w:t>
      </w:r>
      <w:r>
        <w:rPr>
          <w:color w:val="231F20"/>
          <w:spacing w:val="10"/>
        </w:rPr>
        <w:t> </w:t>
      </w:r>
      <w:r>
        <w:rPr>
          <w:color w:val="231F20"/>
          <w:spacing w:val="-2"/>
        </w:rPr>
        <w:t>example</w:t>
      </w:r>
    </w:p>
    <w:p>
      <w:pPr>
        <w:pStyle w:val="BodyText"/>
        <w:spacing w:line="213" w:lineRule="auto" w:before="11"/>
        <w:ind w:left="3190" w:right="545"/>
      </w:pPr>
      <w:r>
        <w:rPr>
          <w:color w:val="231F20"/>
        </w:rPr>
        <w:t>This formula totals all CPU Utilization values in the data sampling. GROUP BY is Server Name, so the view will show the total for each managed system.</w:t>
      </w:r>
    </w:p>
    <w:p>
      <w:pPr>
        <w:spacing w:before="61"/>
        <w:ind w:left="3190" w:right="0" w:firstLine="0"/>
        <w:jc w:val="left"/>
        <w:rPr>
          <w:rFonts w:ascii="Arial"/>
          <w:sz w:val="18"/>
        </w:rPr>
      </w:pPr>
      <w:r>
        <w:rPr>
          <w:rFonts w:ascii="Arial"/>
          <w:color w:val="231F20"/>
          <w:w w:val="75"/>
          <w:sz w:val="18"/>
        </w:rPr>
        <w:t>SUM(CPU</w:t>
      </w:r>
      <w:r>
        <w:rPr>
          <w:rFonts w:ascii="Arial"/>
          <w:color w:val="231F20"/>
          <w:spacing w:val="25"/>
          <w:w w:val="110"/>
          <w:sz w:val="18"/>
        </w:rPr>
        <w:t> </w:t>
      </w:r>
      <w:r>
        <w:rPr>
          <w:rFonts w:ascii="Arial"/>
          <w:color w:val="231F20"/>
          <w:spacing w:val="-2"/>
          <w:w w:val="110"/>
          <w:sz w:val="18"/>
        </w:rPr>
        <w:t>Utilization)</w:t>
      </w:r>
    </w:p>
    <w:p>
      <w:pPr>
        <w:pStyle w:val="Heading6"/>
        <w:spacing w:before="128"/>
      </w:pPr>
      <w:r>
        <w:rPr>
          <w:color w:val="231F20"/>
        </w:rPr>
        <w:t>Situation</w:t>
      </w:r>
      <w:r>
        <w:rPr>
          <w:color w:val="231F20"/>
          <w:spacing w:val="7"/>
        </w:rPr>
        <w:t> </w:t>
      </w:r>
      <w:r>
        <w:rPr>
          <w:color w:val="231F20"/>
          <w:spacing w:val="-2"/>
        </w:rPr>
        <w:t>example</w:t>
      </w:r>
    </w:p>
    <w:p>
      <w:pPr>
        <w:pStyle w:val="BodyText"/>
        <w:spacing w:line="213" w:lineRule="auto" w:before="11"/>
        <w:ind w:left="3190" w:right="545"/>
      </w:pPr>
      <w:r>
        <w:rPr>
          <w:color w:val="231F20"/>
        </w:rPr>
        <w:t>This formula totals all CPU Utilization values in the data sampling </w:t>
      </w:r>
      <w:r>
        <w:rPr>
          <w:color w:val="231F20"/>
        </w:rPr>
        <w:t>from the system named </w:t>
      </w:r>
      <w:r>
        <w:rPr>
          <w:rFonts w:ascii="Book Antiqua"/>
          <w:i/>
          <w:color w:val="231F20"/>
        </w:rPr>
        <w:t>redwood</w:t>
      </w:r>
      <w:r>
        <w:rPr>
          <w:color w:val="231F20"/>
        </w:rPr>
        <w:t>. If the sum of these values exceeds 50%, the comparison is true.</w:t>
      </w:r>
    </w:p>
    <w:p>
      <w:pPr>
        <w:spacing w:before="61"/>
        <w:ind w:left="3190" w:right="0" w:firstLine="0"/>
        <w:jc w:val="left"/>
        <w:rPr>
          <w:rFonts w:ascii="Arial"/>
          <w:sz w:val="18"/>
        </w:rPr>
      </w:pPr>
      <w:r>
        <w:rPr>
          <w:rFonts w:ascii="Arial"/>
          <w:color w:val="231F20"/>
          <w:spacing w:val="-4"/>
          <w:sz w:val="18"/>
        </w:rPr>
        <w:t>SUM(CPU</w:t>
      </w:r>
      <w:r>
        <w:rPr>
          <w:rFonts w:ascii="Arial"/>
          <w:color w:val="231F20"/>
          <w:spacing w:val="8"/>
          <w:sz w:val="18"/>
        </w:rPr>
        <w:t> </w:t>
      </w:r>
      <w:r>
        <w:rPr>
          <w:rFonts w:ascii="Arial"/>
          <w:color w:val="231F20"/>
          <w:spacing w:val="-4"/>
          <w:sz w:val="18"/>
        </w:rPr>
        <w:t>Utilization)&gt;</w:t>
      </w:r>
      <w:r>
        <w:rPr>
          <w:rFonts w:ascii="Arial"/>
          <w:color w:val="231F20"/>
          <w:spacing w:val="9"/>
          <w:sz w:val="18"/>
        </w:rPr>
        <w:t> </w:t>
      </w:r>
      <w:r>
        <w:rPr>
          <w:rFonts w:ascii="Arial"/>
          <w:color w:val="231F20"/>
          <w:spacing w:val="-4"/>
          <w:sz w:val="18"/>
        </w:rPr>
        <w:t>50</w:t>
      </w:r>
      <w:r>
        <w:rPr>
          <w:rFonts w:ascii="Arial"/>
          <w:color w:val="231F20"/>
          <w:spacing w:val="9"/>
          <w:sz w:val="18"/>
        </w:rPr>
        <w:t> </w:t>
      </w:r>
      <w:r>
        <w:rPr>
          <w:rFonts w:ascii="Arial"/>
          <w:color w:val="231F20"/>
          <w:spacing w:val="-4"/>
          <w:sz w:val="18"/>
        </w:rPr>
        <w:t>AND</w:t>
      </w:r>
      <w:r>
        <w:rPr>
          <w:rFonts w:ascii="Arial"/>
          <w:color w:val="231F20"/>
          <w:spacing w:val="9"/>
          <w:sz w:val="18"/>
        </w:rPr>
        <w:t> </w:t>
      </w:r>
      <w:r>
        <w:rPr>
          <w:rFonts w:ascii="Arial"/>
          <w:color w:val="231F20"/>
          <w:spacing w:val="-4"/>
          <w:sz w:val="18"/>
        </w:rPr>
        <w:t>System</w:t>
      </w:r>
      <w:r>
        <w:rPr>
          <w:rFonts w:ascii="Arial"/>
          <w:color w:val="231F20"/>
          <w:spacing w:val="9"/>
          <w:sz w:val="18"/>
        </w:rPr>
        <w:t> </w:t>
      </w:r>
      <w:r>
        <w:rPr>
          <w:rFonts w:ascii="Arial"/>
          <w:color w:val="231F20"/>
          <w:spacing w:val="-4"/>
          <w:sz w:val="18"/>
        </w:rPr>
        <w:t>Name</w:t>
      </w:r>
      <w:r>
        <w:rPr>
          <w:rFonts w:ascii="Arial"/>
          <w:color w:val="231F20"/>
          <w:spacing w:val="8"/>
          <w:sz w:val="18"/>
        </w:rPr>
        <w:t> </w:t>
      </w:r>
      <w:r>
        <w:rPr>
          <w:rFonts w:ascii="Arial"/>
          <w:color w:val="231F20"/>
          <w:spacing w:val="-4"/>
          <w:sz w:val="18"/>
        </w:rPr>
        <w:t>==</w:t>
      </w:r>
      <w:r>
        <w:rPr>
          <w:rFonts w:ascii="Arial"/>
          <w:color w:val="231F20"/>
          <w:spacing w:val="9"/>
          <w:sz w:val="18"/>
        </w:rPr>
        <w:t> </w:t>
      </w:r>
      <w:r>
        <w:rPr>
          <w:rFonts w:ascii="Arial"/>
          <w:color w:val="231F20"/>
          <w:spacing w:val="-4"/>
          <w:sz w:val="18"/>
        </w:rPr>
        <w:t>redwood</w:t>
      </w:r>
    </w:p>
    <w:p>
      <w:pPr>
        <w:spacing w:after="0"/>
        <w:jc w:val="left"/>
        <w:rPr>
          <w:rFonts w:ascii="Arial"/>
          <w:sz w:val="18"/>
        </w:rPr>
        <w:sectPr>
          <w:pgSz w:w="12240" w:h="15840"/>
          <w:pgMar w:header="0" w:footer="736" w:top="1180" w:bottom="920" w:left="1000" w:right="1060"/>
        </w:sectPr>
      </w:pPr>
    </w:p>
    <w:p>
      <w:pPr>
        <w:pStyle w:val="BodyText"/>
        <w:spacing w:before="4"/>
        <w:rPr>
          <w:rFonts w:ascii="Arial"/>
          <w:sz w:val="17"/>
        </w:rPr>
      </w:pPr>
    </w:p>
    <w:p>
      <w:pPr>
        <w:spacing w:after="0"/>
        <w:rPr>
          <w:rFonts w:ascii="Arial"/>
          <w:sz w:val="17"/>
        </w:rPr>
        <w:sectPr>
          <w:pgSz w:w="12240" w:h="15840"/>
          <w:pgMar w:header="0" w:footer="736" w:top="1820" w:bottom="920" w:left="1000" w:right="1060"/>
        </w:sectPr>
      </w:pPr>
    </w:p>
    <w:p>
      <w:pPr>
        <w:pStyle w:val="BodyText"/>
        <w:spacing w:line="20" w:lineRule="exact"/>
        <w:ind w:left="436"/>
        <w:rPr>
          <w:rFonts w:ascii="Arial"/>
          <w:sz w:val="2"/>
        </w:rPr>
      </w:pPr>
      <w:bookmarkStart w:name="_bookmark335" w:id="700"/>
      <w:bookmarkEnd w:id="700"/>
      <w:r>
        <w:rPr/>
      </w:r>
      <w:r>
        <w:rPr>
          <w:rFonts w:ascii="Arial"/>
          <w:sz w:val="2"/>
        </w:rPr>
        <mc:AlternateContent>
          <mc:Choice Requires="wps">
            <w:drawing>
              <wp:inline distT="0" distB="0" distL="0" distR="0">
                <wp:extent cx="6082665" cy="25400"/>
                <wp:effectExtent l="19050" t="0" r="3810" b="3175"/>
                <wp:docPr id="3382" name="Group 3382"/>
                <wp:cNvGraphicFramePr>
                  <a:graphicFrameLocks/>
                </wp:cNvGraphicFramePr>
                <a:graphic>
                  <a:graphicData uri="http://schemas.microsoft.com/office/word/2010/wordprocessingGroup">
                    <wpg:wgp>
                      <wpg:cNvPr id="3382" name="Group 3382"/>
                      <wpg:cNvGrpSpPr/>
                      <wpg:grpSpPr>
                        <a:xfrm>
                          <a:off x="0" y="0"/>
                          <a:ext cx="6082665" cy="25400"/>
                          <a:chExt cx="6082665" cy="25400"/>
                        </a:xfrm>
                      </wpg:grpSpPr>
                      <wps:wsp>
                        <wps:cNvPr id="3383" name="Graphic 3383"/>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284" coordorigin="0,0" coordsize="9579,40">
                <v:line style="position:absolute" from="0,20" to="9579,20" stroked="true" strokeweight="1.996pt" strokecolor="#231f20">
                  <v:stroke dashstyle="solid"/>
                </v:line>
              </v:group>
            </w:pict>
          </mc:Fallback>
        </mc:AlternateContent>
      </w:r>
      <w:r>
        <w:rPr>
          <w:rFonts w:ascii="Arial"/>
          <w:sz w:val="2"/>
        </w:rPr>
      </w:r>
    </w:p>
    <w:p>
      <w:pPr>
        <w:pStyle w:val="BodyText"/>
        <w:spacing w:before="181"/>
        <w:rPr>
          <w:rFonts w:ascii="Arial"/>
          <w:sz w:val="32"/>
        </w:rPr>
      </w:pPr>
    </w:p>
    <w:p>
      <w:pPr>
        <w:pStyle w:val="Heading2"/>
        <w:spacing w:line="208" w:lineRule="auto"/>
      </w:pPr>
      <w:bookmarkStart w:name="Appendix B. Tivoli Enterprise Monitoring" w:id="701"/>
      <w:bookmarkEnd w:id="701"/>
      <w:r>
        <w:rPr>
          <w:b w:val="0"/>
        </w:rPr>
      </w:r>
      <w:r>
        <w:rPr>
          <w:color w:val="231F20"/>
        </w:rPr>
        <w:t>Appendix</w:t>
      </w:r>
      <w:r>
        <w:rPr>
          <w:color w:val="231F20"/>
          <w:spacing w:val="-8"/>
        </w:rPr>
        <w:t> </w:t>
      </w:r>
      <w:r>
        <w:rPr>
          <w:color w:val="231F20"/>
        </w:rPr>
        <w:t>B. Tivoli Enterprise Monitoring Server and </w:t>
      </w:r>
      <w:r>
        <w:rPr>
          <w:color w:val="231F20"/>
        </w:rPr>
        <w:t>global </w:t>
      </w:r>
      <w:r>
        <w:rPr>
          <w:color w:val="231F20"/>
          <w:spacing w:val="-2"/>
        </w:rPr>
        <w:t>attributes</w:t>
      </w:r>
    </w:p>
    <w:p>
      <w:pPr>
        <w:pStyle w:val="BodyText"/>
        <w:spacing w:line="213" w:lineRule="auto" w:before="312"/>
        <w:ind w:left="2472" w:right="274"/>
      </w:pPr>
      <w:r>
        <w:rPr>
          <w:color w:val="231F20"/>
        </w:rPr>
        <w:t>The Tivoli Enterprise Monitoring Server has attributes for monitoring enterprise</w:t>
      </w:r>
      <w:r>
        <w:rPr>
          <w:color w:val="231F20"/>
          <w:spacing w:val="40"/>
        </w:rPr>
        <w:t> </w:t>
      </w:r>
      <w:r>
        <w:rPr>
          <w:color w:val="231F20"/>
        </w:rPr>
        <w:t>logs and status. Global attributes are also available for use alone or combined </w:t>
      </w:r>
      <w:r>
        <w:rPr>
          <w:color w:val="231F20"/>
        </w:rPr>
        <w:t>with other attribute groups in situations.</w:t>
      </w:r>
    </w:p>
    <w:p>
      <w:pPr>
        <w:pStyle w:val="BodyText"/>
        <w:spacing w:line="213" w:lineRule="auto" w:before="237"/>
        <w:ind w:left="2472" w:right="385"/>
      </w:pPr>
      <w:r>
        <w:rPr>
          <w:color w:val="231F20"/>
        </w:rPr>
        <w:t>Every monitoring agent connects to a Tivoli Enterprise Monitoring Server, which acts as a collection and control point for alerts received from the agents, and gathers performance and availability data from them. The main, or hub, monitoring server correlates the monitoring data collected by agents and remote servers and passes it to the Tivoli Enterprise Portal Server for presentation in </w:t>
      </w:r>
      <w:r>
        <w:rPr>
          <w:color w:val="231F20"/>
        </w:rPr>
        <w:t>the Tivoli Enterprise Portal.</w:t>
      </w:r>
    </w:p>
    <w:p>
      <w:pPr>
        <w:pStyle w:val="BodyText"/>
        <w:spacing w:line="213" w:lineRule="auto" w:before="236"/>
        <w:ind w:left="2472" w:right="385"/>
      </w:pPr>
      <w:r>
        <w:rPr>
          <w:color w:val="231F20"/>
        </w:rPr>
        <w:t>Monitoring agents are made up of attributes, which represent the properties of systems or networks, such as the amount of CPU usage or the message ID. Attributes are organized into attribute groups. The attributes in a group can be displayed in a query-based view (table, chart or relational topology) or used to specify a condition for testing in a situation. When you open the view or start </w:t>
      </w:r>
      <w:r>
        <w:rPr>
          <w:color w:val="231F20"/>
        </w:rPr>
        <w:t>the</w:t>
      </w:r>
      <w:r>
        <w:rPr>
          <w:color w:val="231F20"/>
          <w:spacing w:val="40"/>
        </w:rPr>
        <w:t> </w:t>
      </w:r>
      <w:r>
        <w:rPr>
          <w:color w:val="231F20"/>
        </w:rPr>
        <w:t>situation, data samples are taken of the selected attributes.</w:t>
      </w:r>
    </w:p>
    <w:p>
      <w:pPr>
        <w:pStyle w:val="BodyText"/>
        <w:spacing w:line="213" w:lineRule="auto" w:before="235"/>
        <w:ind w:left="2472"/>
      </w:pPr>
      <w:r>
        <w:rPr>
          <w:color w:val="231F20"/>
        </w:rPr>
        <w:t>The Tivoli Enterprise Monitoring Server has attribute groups that you can use </w:t>
      </w:r>
      <w:r>
        <w:rPr>
          <w:color w:val="231F20"/>
        </w:rPr>
        <w:t>for reporting the status of enterprise activities, monitoring agents, and situations:</w:t>
      </w:r>
    </w:p>
    <w:p>
      <w:pPr>
        <w:pStyle w:val="BodyText"/>
        <w:spacing w:line="213" w:lineRule="auto" w:before="59"/>
        <w:ind w:left="2688" w:right="462" w:hanging="216"/>
      </w:pPr>
      <w:r>
        <w:rPr>
          <w:rFonts w:ascii="Futura MdCn BT" w:hAnsi="Futura MdCn BT"/>
          <w:color w:val="231F20"/>
        </w:rPr>
        <w:t>v</w:t>
      </w:r>
      <w:r>
        <w:rPr>
          <w:rFonts w:ascii="Futura MdCn BT" w:hAnsi="Futura MdCn BT"/>
          <w:color w:val="231F20"/>
          <w:spacing w:val="80"/>
        </w:rPr>
        <w:t> </w:t>
      </w:r>
      <w:r>
        <w:rPr>
          <w:color w:val="231F20"/>
        </w:rPr>
        <w:t>Agent Operations Log for use in query-based views and situations to </w:t>
      </w:r>
      <w:r>
        <w:rPr>
          <w:color w:val="231F20"/>
        </w:rPr>
        <w:t>monitor</w:t>
      </w:r>
      <w:r>
        <w:rPr>
          <w:color w:val="231F20"/>
        </w:rPr>
        <w:t> message-related information about the monitoring agent. See the </w:t>
      </w:r>
      <w:hyperlink w:history="true" w:anchor="_bookmark336">
        <w:r>
          <w:rPr>
            <w:color w:val="231F20"/>
          </w:rPr>
          <w:t>“Agent</w:t>
        </w:r>
      </w:hyperlink>
      <w:r>
        <w:rPr>
          <w:color w:val="231F20"/>
        </w:rPr>
        <w:t> </w:t>
      </w:r>
      <w:hyperlink w:history="true" w:anchor="_bookmark336">
        <w:r>
          <w:rPr>
            <w:color w:val="231F20"/>
          </w:rPr>
          <w:t>Operations Log attributes” on page 428.</w:t>
        </w:r>
      </w:hyperlink>
    </w:p>
    <w:p>
      <w:pPr>
        <w:pStyle w:val="BodyText"/>
        <w:spacing w:before="35"/>
        <w:ind w:left="2472"/>
      </w:pPr>
      <w:r>
        <w:rPr>
          <w:rFonts w:ascii="Futura MdCn BT"/>
          <w:color w:val="231F20"/>
        </w:rPr>
        <w:t>v</w:t>
      </w:r>
      <w:r>
        <w:rPr>
          <w:rFonts w:ascii="Futura MdCn BT"/>
          <w:color w:val="231F20"/>
          <w:spacing w:val="30"/>
        </w:rPr>
        <w:t>  </w:t>
      </w:r>
      <w:r>
        <w:rPr>
          <w:color w:val="231F20"/>
        </w:rPr>
        <w:t>Three</w:t>
      </w:r>
      <w:r>
        <w:rPr>
          <w:color w:val="231F20"/>
          <w:spacing w:val="12"/>
        </w:rPr>
        <w:t> </w:t>
      </w:r>
      <w:r>
        <w:rPr>
          <w:color w:val="231F20"/>
        </w:rPr>
        <w:t>attribute</w:t>
      </w:r>
      <w:r>
        <w:rPr>
          <w:color w:val="231F20"/>
          <w:spacing w:val="12"/>
        </w:rPr>
        <w:t> </w:t>
      </w:r>
      <w:r>
        <w:rPr>
          <w:color w:val="231F20"/>
        </w:rPr>
        <w:t>groups</w:t>
      </w:r>
      <w:r>
        <w:rPr>
          <w:color w:val="231F20"/>
          <w:spacing w:val="12"/>
        </w:rPr>
        <w:t> </w:t>
      </w:r>
      <w:r>
        <w:rPr>
          <w:color w:val="231F20"/>
        </w:rPr>
        <w:t>for</w:t>
      </w:r>
      <w:r>
        <w:rPr>
          <w:color w:val="231F20"/>
          <w:spacing w:val="11"/>
        </w:rPr>
        <w:t> </w:t>
      </w:r>
      <w:r>
        <w:rPr>
          <w:color w:val="231F20"/>
        </w:rPr>
        <w:t>the</w:t>
      </w:r>
      <w:r>
        <w:rPr>
          <w:color w:val="231F20"/>
          <w:spacing w:val="12"/>
        </w:rPr>
        <w:t> </w:t>
      </w:r>
      <w:r>
        <w:rPr>
          <w:color w:val="231F20"/>
          <w:spacing w:val="-2"/>
        </w:rPr>
        <w:t>Depot</w:t>
      </w:r>
    </w:p>
    <w:p>
      <w:pPr>
        <w:pStyle w:val="BodyText"/>
        <w:spacing w:line="213" w:lineRule="auto" w:before="52"/>
        <w:ind w:left="2688" w:right="493" w:hanging="216"/>
      </w:pPr>
      <w:r>
        <w:rPr>
          <w:rFonts w:ascii="Futura MdCn BT" w:hAnsi="Futura MdCn BT"/>
          <w:color w:val="231F20"/>
        </w:rPr>
        <w:t>v</w:t>
      </w:r>
      <w:r>
        <w:rPr>
          <w:rFonts w:ascii="Futura MdCn BT" w:hAnsi="Futura MdCn BT"/>
          <w:color w:val="231F20"/>
          <w:spacing w:val="80"/>
        </w:rPr>
        <w:t> </w:t>
      </w:r>
      <w:r>
        <w:rPr>
          <w:color w:val="231F20"/>
        </w:rPr>
        <w:t>Enterprise Information Base (EIB) Change log for use in query-based views </w:t>
      </w:r>
      <w:r>
        <w:rPr>
          <w:color w:val="231F20"/>
        </w:rPr>
        <w:t>of</w:t>
      </w:r>
      <w:r>
        <w:rPr>
          <w:color w:val="231F20"/>
        </w:rPr>
        <w:t> the changes made by users to deploy situations and policies. See the </w:t>
      </w:r>
      <w:hyperlink w:history="true" w:anchor="_bookmark340">
        <w:r>
          <w:rPr>
            <w:color w:val="231F20"/>
          </w:rPr>
          <w:t>“EIB</w:t>
        </w:r>
      </w:hyperlink>
      <w:r>
        <w:rPr>
          <w:color w:val="231F20"/>
        </w:rPr>
        <w:t> </w:t>
      </w:r>
      <w:hyperlink w:history="true" w:anchor="_bookmark340">
        <w:r>
          <w:rPr>
            <w:color w:val="231F20"/>
          </w:rPr>
          <w:t>Change Log attributes” on page 436.</w:t>
        </w:r>
      </w:hyperlink>
    </w:p>
    <w:p>
      <w:pPr>
        <w:pStyle w:val="BodyText"/>
        <w:spacing w:line="213" w:lineRule="auto" w:before="58"/>
        <w:ind w:left="2688" w:right="493" w:hanging="216"/>
      </w:pPr>
      <w:r>
        <w:rPr>
          <w:rFonts w:ascii="Futura MdCn BT" w:hAnsi="Futura MdCn BT"/>
          <w:color w:val="231F20"/>
        </w:rPr>
        <w:t>v</w:t>
      </w:r>
      <w:r>
        <w:rPr>
          <w:rFonts w:ascii="Futura MdCn BT" w:hAnsi="Futura MdCn BT"/>
          <w:color w:val="231F20"/>
          <w:spacing w:val="80"/>
        </w:rPr>
        <w:t> </w:t>
      </w:r>
      <w:r>
        <w:rPr>
          <w:color w:val="231F20"/>
        </w:rPr>
        <w:t>Managed System for use in query-based views and situations regarding </w:t>
      </w:r>
      <w:r>
        <w:rPr>
          <w:color w:val="231F20"/>
        </w:rPr>
        <w:t>the</w:t>
      </w:r>
      <w:r>
        <w:rPr>
          <w:color w:val="231F20"/>
        </w:rPr>
        <w:t> status of the monitoring server and agents. See the </w:t>
      </w:r>
      <w:hyperlink w:history="true" w:anchor="_bookmark344">
        <w:r>
          <w:rPr>
            <w:color w:val="231F20"/>
          </w:rPr>
          <w:t>“Managed Systems</w:t>
        </w:r>
      </w:hyperlink>
      <w:r>
        <w:rPr>
          <w:color w:val="231F20"/>
        </w:rPr>
        <w:t> </w:t>
      </w:r>
      <w:hyperlink w:history="true" w:anchor="_bookmark344">
        <w:r>
          <w:rPr>
            <w:color w:val="231F20"/>
          </w:rPr>
          <w:t>attributes” on page 445.</w:t>
        </w:r>
      </w:hyperlink>
    </w:p>
    <w:p>
      <w:pPr>
        <w:pStyle w:val="BodyText"/>
        <w:spacing w:line="213" w:lineRule="auto" w:before="58"/>
        <w:ind w:left="2688" w:right="493" w:hanging="216"/>
      </w:pPr>
      <w:r>
        <w:rPr>
          <w:rFonts w:ascii="Futura MdCn BT" w:hAnsi="Futura MdCn BT"/>
          <w:color w:val="231F20"/>
        </w:rPr>
        <w:t>v</w:t>
      </w:r>
      <w:r>
        <w:rPr>
          <w:rFonts w:ascii="Futura MdCn BT" w:hAnsi="Futura MdCn BT"/>
          <w:color w:val="231F20"/>
          <w:spacing w:val="80"/>
        </w:rPr>
        <w:t> </w:t>
      </w:r>
      <w:r>
        <w:rPr>
          <w:color w:val="231F20"/>
        </w:rPr>
        <w:t>Situation Definition for use in query-based views to report the complete definition of situations. See the </w:t>
      </w:r>
      <w:hyperlink w:history="true" w:anchor="_bookmark345">
        <w:r>
          <w:rPr>
            <w:color w:val="231F20"/>
          </w:rPr>
          <w:t>“Situation Definition attributes” on page </w:t>
        </w:r>
        <w:r>
          <w:rPr>
            <w:color w:val="231F20"/>
          </w:rPr>
          <w:t>446.</w:t>
        </w:r>
      </w:hyperlink>
    </w:p>
    <w:p>
      <w:pPr>
        <w:pStyle w:val="BodyText"/>
        <w:spacing w:line="213" w:lineRule="auto" w:before="58"/>
        <w:ind w:left="2688" w:right="493" w:hanging="216"/>
      </w:pPr>
      <w:r>
        <w:rPr>
          <w:rFonts w:ascii="Futura MdCn BT" w:hAnsi="Futura MdCn BT"/>
          <w:color w:val="231F20"/>
        </w:rPr>
        <w:t>v</w:t>
      </w:r>
      <w:r>
        <w:rPr>
          <w:rFonts w:ascii="Futura MdCn BT" w:hAnsi="Futura MdCn BT"/>
          <w:color w:val="231F20"/>
          <w:spacing w:val="80"/>
        </w:rPr>
        <w:t> </w:t>
      </w:r>
      <w:r>
        <w:rPr>
          <w:color w:val="231F20"/>
        </w:rPr>
        <w:t>Active Situation Status and Situation Status for use in query-based views </w:t>
      </w:r>
      <w:r>
        <w:rPr>
          <w:color w:val="231F20"/>
        </w:rPr>
        <w:t>to</w:t>
      </w:r>
      <w:r>
        <w:rPr>
          <w:color w:val="231F20"/>
        </w:rPr>
        <w:t> report the situation and policy status. See the </w:t>
      </w:r>
      <w:hyperlink w:history="true" w:anchor="_bookmark347">
        <w:r>
          <w:rPr>
            <w:color w:val="231F20"/>
          </w:rPr>
          <w:t>“Situation Status Current</w:t>
        </w:r>
      </w:hyperlink>
      <w:r>
        <w:rPr>
          <w:color w:val="231F20"/>
        </w:rPr>
        <w:t> </w:t>
      </w:r>
      <w:hyperlink w:history="true" w:anchor="_bookmark347">
        <w:r>
          <w:rPr>
            <w:color w:val="231F20"/>
          </w:rPr>
          <w:t>attributes” on page 449</w:t>
        </w:r>
      </w:hyperlink>
      <w:r>
        <w:rPr>
          <w:color w:val="231F20"/>
        </w:rPr>
        <w:t> and </w:t>
      </w:r>
      <w:hyperlink w:history="true" w:anchor="_bookmark348">
        <w:r>
          <w:rPr>
            <w:color w:val="231F20"/>
          </w:rPr>
          <w:t>“Situation Status Log attributes” on page 451.</w:t>
        </w:r>
      </w:hyperlink>
    </w:p>
    <w:p>
      <w:pPr>
        <w:pStyle w:val="BodyText"/>
        <w:spacing w:line="213" w:lineRule="auto" w:before="58"/>
        <w:ind w:left="2688" w:right="1051" w:hanging="216"/>
      </w:pPr>
      <w:r>
        <w:rPr>
          <w:rFonts w:ascii="Futura MdCn BT" w:hAnsi="Futura MdCn BT"/>
          <w:color w:val="231F20"/>
        </w:rPr>
        <w:t>v</w:t>
      </w:r>
      <w:r>
        <w:rPr>
          <w:rFonts w:ascii="Futura MdCn BT" w:hAnsi="Futura MdCn BT"/>
          <w:color w:val="231F20"/>
          <w:spacing w:val="80"/>
        </w:rPr>
        <w:t> </w:t>
      </w:r>
      <w:r>
        <w:rPr>
          <w:color w:val="231F20"/>
        </w:rPr>
        <w:t>Application</w:t>
      </w:r>
      <w:r>
        <w:rPr>
          <w:color w:val="231F20"/>
          <w:spacing w:val="30"/>
        </w:rPr>
        <w:t> </w:t>
      </w:r>
      <w:r>
        <w:rPr>
          <w:color w:val="231F20"/>
        </w:rPr>
        <w:t>Property</w:t>
      </w:r>
      <w:r>
        <w:rPr>
          <w:color w:val="231F20"/>
          <w:spacing w:val="30"/>
        </w:rPr>
        <w:t> </w:t>
      </w:r>
      <w:r>
        <w:rPr>
          <w:color w:val="231F20"/>
        </w:rPr>
        <w:t>Installation</w:t>
      </w:r>
      <w:r>
        <w:rPr>
          <w:color w:val="231F20"/>
          <w:spacing w:val="30"/>
        </w:rPr>
        <w:t> </w:t>
      </w:r>
      <w:r>
        <w:rPr>
          <w:color w:val="231F20"/>
        </w:rPr>
        <w:t>provide</w:t>
      </w:r>
      <w:r>
        <w:rPr>
          <w:color w:val="231F20"/>
          <w:spacing w:val="30"/>
        </w:rPr>
        <w:t> </w:t>
      </w:r>
      <w:r>
        <w:rPr>
          <w:color w:val="231F20"/>
        </w:rPr>
        <w:t>information</w:t>
      </w:r>
      <w:r>
        <w:rPr>
          <w:color w:val="231F20"/>
          <w:spacing w:val="30"/>
        </w:rPr>
        <w:t> </w:t>
      </w:r>
      <w:r>
        <w:rPr>
          <w:color w:val="231F20"/>
        </w:rPr>
        <w:t>related</w:t>
      </w:r>
      <w:r>
        <w:rPr>
          <w:color w:val="231F20"/>
          <w:spacing w:val="30"/>
        </w:rPr>
        <w:t> </w:t>
      </w:r>
      <w:r>
        <w:rPr>
          <w:color w:val="231F20"/>
        </w:rPr>
        <w:t>to</w:t>
      </w:r>
      <w:r>
        <w:rPr>
          <w:color w:val="231F20"/>
          <w:spacing w:val="30"/>
        </w:rPr>
        <w:t> </w:t>
      </w:r>
      <w:r>
        <w:rPr>
          <w:color w:val="231F20"/>
        </w:rPr>
        <w:t>the self-describing agent installation process. See the </w:t>
      </w:r>
      <w:hyperlink w:history="true" w:anchor="_bookmark336">
        <w:r>
          <w:rPr>
            <w:color w:val="231F20"/>
          </w:rPr>
          <w:t>“Application </w:t>
        </w:r>
        <w:r>
          <w:rPr>
            <w:color w:val="231F20"/>
          </w:rPr>
          <w:t>Property</w:t>
        </w:r>
      </w:hyperlink>
      <w:r>
        <w:rPr>
          <w:color w:val="231F20"/>
        </w:rPr>
        <w:t> </w:t>
      </w:r>
      <w:hyperlink w:history="true" w:anchor="_bookmark336">
        <w:r>
          <w:rPr>
            <w:color w:val="231F20"/>
          </w:rPr>
          <w:t>Installation attributes” on page 428.</w:t>
        </w:r>
      </w:hyperlink>
    </w:p>
    <w:p>
      <w:pPr>
        <w:pStyle w:val="BodyText"/>
        <w:spacing w:line="213" w:lineRule="auto" w:before="238"/>
        <w:ind w:left="2472"/>
      </w:pPr>
      <w:r>
        <w:rPr>
          <w:color w:val="231F20"/>
        </w:rPr>
        <w:t>The Tivoli Enterprise Monitoring Server also has several global attribute groups </w:t>
      </w:r>
      <w:r>
        <w:rPr>
          <w:color w:val="231F20"/>
        </w:rPr>
        <w:t>for using alone or combining with a product attribute group to create situations:</w:t>
      </w:r>
    </w:p>
    <w:p>
      <w:pPr>
        <w:pStyle w:val="BodyText"/>
        <w:spacing w:line="213" w:lineRule="auto" w:before="58"/>
        <w:ind w:left="2688" w:right="274" w:hanging="216"/>
      </w:pPr>
      <w:r>
        <w:rPr>
          <w:rFonts w:ascii="Futura MdCn BT" w:hAnsi="Futura MdCn BT"/>
          <w:color w:val="231F20"/>
        </w:rPr>
        <w:t>v</w:t>
      </w:r>
      <w:r>
        <w:rPr>
          <w:rFonts w:ascii="Futura MdCn BT" w:hAnsi="Futura MdCn BT"/>
          <w:color w:val="231F20"/>
          <w:spacing w:val="80"/>
        </w:rPr>
        <w:t> </w:t>
      </w:r>
      <w:r>
        <w:rPr>
          <w:color w:val="231F20"/>
        </w:rPr>
        <w:t>Local Time and Universal Time for use in situations, including embedded situations on any managed system. See the </w:t>
      </w:r>
      <w:hyperlink w:history="true" w:anchor="_bookmark343">
        <w:r>
          <w:rPr>
            <w:color w:val="231F20"/>
          </w:rPr>
          <w:t>“Local Time attributes” on page </w:t>
        </w:r>
        <w:r>
          <w:rPr>
            <w:color w:val="231F20"/>
          </w:rPr>
          <w:t>444</w:t>
        </w:r>
      </w:hyperlink>
      <w:r>
        <w:rPr>
          <w:color w:val="231F20"/>
        </w:rPr>
        <w:t> and </w:t>
      </w:r>
      <w:hyperlink w:history="true" w:anchor="_bookmark350">
        <w:r>
          <w:rPr>
            <w:color w:val="231F20"/>
          </w:rPr>
          <w:t>“Universal Time attributes” on page 453.</w:t>
        </w:r>
      </w:hyperlink>
    </w:p>
    <w:p>
      <w:pPr>
        <w:pStyle w:val="BodyText"/>
        <w:spacing w:line="213" w:lineRule="auto" w:before="58"/>
        <w:ind w:left="2688" w:right="493" w:hanging="216"/>
      </w:pPr>
      <w:r>
        <w:rPr>
          <w:rFonts w:ascii="Futura MdCn BT" w:hAnsi="Futura MdCn BT"/>
          <w:color w:val="231F20"/>
        </w:rPr>
        <w:t>v</w:t>
      </w:r>
      <w:r>
        <w:rPr>
          <w:rFonts w:ascii="Futura MdCn BT" w:hAnsi="Futura MdCn BT"/>
          <w:color w:val="231F20"/>
          <w:spacing w:val="80"/>
        </w:rPr>
        <w:t> </w:t>
      </w:r>
      <w:r>
        <w:rPr>
          <w:color w:val="231F20"/>
        </w:rPr>
        <w:t>Universal Message for monitoring the messages that have been generated through a situation or policy action command. See the </w:t>
      </w:r>
      <w:hyperlink w:history="true" w:anchor="_bookmark349">
        <w:r>
          <w:rPr>
            <w:color w:val="231F20"/>
          </w:rPr>
          <w:t>“Universal </w:t>
        </w:r>
        <w:r>
          <w:rPr>
            <w:color w:val="231F20"/>
          </w:rPr>
          <w:t>Messages</w:t>
        </w:r>
      </w:hyperlink>
      <w:r>
        <w:rPr>
          <w:color w:val="231F20"/>
        </w:rPr>
        <w:t> </w:t>
      </w:r>
      <w:hyperlink w:history="true" w:anchor="_bookmark349">
        <w:r>
          <w:rPr>
            <w:color w:val="231F20"/>
          </w:rPr>
          <w:t>attributes” on page 452.</w:t>
        </w:r>
      </w:hyperlink>
    </w:p>
    <w:p>
      <w:pPr>
        <w:spacing w:after="0" w:line="213" w:lineRule="auto"/>
        <w:sectPr>
          <w:footerReference w:type="default" r:id="rId493"/>
          <w:footerReference w:type="even" r:id="rId494"/>
          <w:pgSz w:w="12240" w:h="15840"/>
          <w:pgMar w:header="0" w:footer="736" w:top="1300" w:bottom="920" w:left="1000" w:right="1060"/>
          <w:pgNumType w:start="427"/>
        </w:sectPr>
      </w:pPr>
    </w:p>
    <w:p>
      <w:pPr>
        <w:pStyle w:val="BodyText"/>
        <w:spacing w:line="213" w:lineRule="auto" w:before="85"/>
        <w:ind w:left="2448" w:right="521" w:hanging="216"/>
        <w:jc w:val="both"/>
      </w:pPr>
      <w:bookmarkStart w:name="_bookmark336" w:id="702"/>
      <w:bookmarkEnd w:id="702"/>
      <w:r>
        <w:rPr/>
      </w:r>
      <w:r>
        <w:rPr>
          <w:rFonts w:ascii="Futura MdCn BT"/>
          <w:color w:val="231F20"/>
        </w:rPr>
        <w:t>v</w:t>
      </w:r>
      <w:r>
        <w:rPr>
          <w:rFonts w:ascii="Futura MdCn BT"/>
          <w:color w:val="231F20"/>
          <w:spacing w:val="40"/>
        </w:rPr>
        <w:t> </w:t>
      </w:r>
      <w:r>
        <w:rPr>
          <w:color w:val="231F20"/>
        </w:rPr>
        <w:t>The Situation Status Event attributes for information on situation events. Views that display this information include My Acknowledged Events, Selected </w:t>
      </w:r>
      <w:r>
        <w:rPr>
          <w:color w:val="231F20"/>
        </w:rPr>
        <w:t>Event,</w:t>
      </w:r>
      <w:r>
        <w:rPr>
          <w:color w:val="231F20"/>
        </w:rPr>
        <w:t> and Similar Events and are used in some of the Enterprise workspaces.</w:t>
      </w:r>
    </w:p>
    <w:p>
      <w:pPr>
        <w:pStyle w:val="BodyText"/>
        <w:spacing w:line="213" w:lineRule="auto" w:before="57"/>
        <w:ind w:left="2448" w:right="493" w:hanging="216"/>
      </w:pPr>
      <w:r>
        <w:rPr>
          <w:rFonts w:ascii="Futura MdCn BT" w:hAnsi="Futura MdCn BT"/>
          <w:color w:val="231F20"/>
        </w:rPr>
        <w:t>v</w:t>
      </w:r>
      <w:r>
        <w:rPr>
          <w:rFonts w:ascii="Futura MdCn BT" w:hAnsi="Futura MdCn BT"/>
          <w:color w:val="231F20"/>
          <w:spacing w:val="80"/>
        </w:rPr>
        <w:t> </w:t>
      </w:r>
      <w:r>
        <w:rPr>
          <w:color w:val="231F20"/>
        </w:rPr>
        <w:t>ITM Audit attributes for information on critical state-changing events in </w:t>
      </w:r>
      <w:r>
        <w:rPr>
          <w:color w:val="231F20"/>
        </w:rPr>
        <w:t>the</w:t>
      </w:r>
      <w:r>
        <w:rPr>
          <w:color w:val="231F20"/>
        </w:rPr>
        <w:t> monitoring environment. See the </w:t>
      </w:r>
      <w:hyperlink w:history="true" w:anchor="_bookmark341">
        <w:r>
          <w:rPr>
            <w:color w:val="231F20"/>
          </w:rPr>
          <w:t>“ITM Audit attributes” on page 437.</w:t>
        </w:r>
      </w:hyperlink>
    </w:p>
    <w:p>
      <w:pPr>
        <w:pStyle w:val="BodyText"/>
        <w:spacing w:line="213" w:lineRule="auto" w:before="59"/>
        <w:ind w:left="2448" w:right="493" w:hanging="216"/>
      </w:pPr>
      <w:r>
        <w:rPr>
          <w:rFonts w:ascii="Futura MdCn BT" w:hAnsi="Futura MdCn BT"/>
          <w:color w:val="231F20"/>
        </w:rPr>
        <w:t>v</w:t>
      </w:r>
      <w:r>
        <w:rPr>
          <w:rFonts w:ascii="Futura MdCn BT" w:hAnsi="Futura MdCn BT"/>
          <w:color w:val="231F20"/>
          <w:spacing w:val="80"/>
        </w:rPr>
        <w:t> </w:t>
      </w:r>
      <w:r>
        <w:rPr>
          <w:color w:val="231F20"/>
        </w:rPr>
        <w:t>ITM Historical Collection attributes for information about the active </w:t>
      </w:r>
      <w:r>
        <w:rPr>
          <w:color w:val="231F20"/>
        </w:rPr>
        <w:t>historical</w:t>
      </w:r>
      <w:r>
        <w:rPr>
          <w:color w:val="231F20"/>
        </w:rPr>
        <w:t> collections that are exporting data from a location. See the </w:t>
      </w:r>
      <w:hyperlink w:history="true" w:anchor="_bookmark342">
        <w:r>
          <w:rPr>
            <w:color w:val="231F20"/>
          </w:rPr>
          <w:t>“ITM Historical</w:t>
        </w:r>
      </w:hyperlink>
      <w:r>
        <w:rPr>
          <w:color w:val="231F20"/>
        </w:rPr>
        <w:t> </w:t>
      </w:r>
      <w:hyperlink w:history="true" w:anchor="_bookmark342">
        <w:r>
          <w:rPr>
            <w:color w:val="231F20"/>
          </w:rPr>
          <w:t>Collection attributes” on page 442.</w:t>
        </w:r>
      </w:hyperlink>
    </w:p>
    <w:p>
      <w:pPr>
        <w:pStyle w:val="BodyText"/>
        <w:spacing w:line="213" w:lineRule="auto" w:before="237"/>
        <w:ind w:left="2232" w:right="493"/>
      </w:pPr>
      <w:r>
        <w:rPr>
          <w:color w:val="231F20"/>
        </w:rPr>
        <w:t>You can also work with attributes of other applications by creating SQL queries to retrieve them from ODBC-compliant databases.</w:t>
      </w:r>
    </w:p>
    <w:p>
      <w:pPr>
        <w:pStyle w:val="BodyText"/>
        <w:spacing w:before="6"/>
        <w:rPr>
          <w:sz w:val="16"/>
        </w:rPr>
      </w:pPr>
      <w:r>
        <w:rPr/>
        <mc:AlternateContent>
          <mc:Choice Requires="wps">
            <w:drawing>
              <wp:anchor distT="0" distB="0" distL="0" distR="0" allowOverlap="1" layoutInCell="1" locked="0" behindDoc="1" simplePos="0" relativeHeight="487751168">
                <wp:simplePos x="0" y="0"/>
                <wp:positionH relativeFrom="page">
                  <wp:posOffset>760323</wp:posOffset>
                </wp:positionH>
                <wp:positionV relativeFrom="paragraph">
                  <wp:posOffset>156301</wp:posOffset>
                </wp:positionV>
                <wp:extent cx="6082665" cy="1270"/>
                <wp:effectExtent l="0" t="0" r="0" b="0"/>
                <wp:wrapTopAndBottom/>
                <wp:docPr id="3384" name="Graphic 3384"/>
                <wp:cNvGraphicFramePr>
                  <a:graphicFrameLocks/>
                </wp:cNvGraphicFramePr>
                <a:graphic>
                  <a:graphicData uri="http://schemas.microsoft.com/office/word/2010/wordprocessingShape">
                    <wps:wsp>
                      <wps:cNvPr id="3384" name="Graphic 3384"/>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307222pt;width:478.95pt;height:.1pt;mso-position-horizontal-relative:page;mso-position-vertical-relative:paragraph;z-index:-15565312;mso-wrap-distance-left:0;mso-wrap-distance-right:0" id="docshape285"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Agent Operations Log attributes" w:id="703"/>
      <w:bookmarkEnd w:id="703"/>
      <w:r>
        <w:rPr>
          <w:b w:val="0"/>
        </w:rPr>
      </w:r>
      <w:r>
        <w:rPr>
          <w:color w:val="231F20"/>
        </w:rPr>
        <w:t>Agent</w:t>
      </w:r>
      <w:r>
        <w:rPr>
          <w:color w:val="231F20"/>
          <w:spacing w:val="5"/>
        </w:rPr>
        <w:t> </w:t>
      </w:r>
      <w:r>
        <w:rPr>
          <w:color w:val="231F20"/>
        </w:rPr>
        <w:t>Operations</w:t>
      </w:r>
      <w:r>
        <w:rPr>
          <w:color w:val="231F20"/>
          <w:spacing w:val="6"/>
        </w:rPr>
        <w:t> </w:t>
      </w:r>
      <w:r>
        <w:rPr>
          <w:color w:val="231F20"/>
        </w:rPr>
        <w:t>Log</w:t>
      </w:r>
      <w:r>
        <w:rPr>
          <w:color w:val="231F20"/>
          <w:spacing w:val="6"/>
        </w:rPr>
        <w:t> </w:t>
      </w:r>
      <w:r>
        <w:rPr>
          <w:color w:val="231F20"/>
          <w:spacing w:val="-2"/>
        </w:rPr>
        <w:t>attributes</w:t>
      </w:r>
    </w:p>
    <w:p>
      <w:pPr>
        <w:pStyle w:val="BodyText"/>
        <w:spacing w:line="213" w:lineRule="auto" w:before="138"/>
        <w:ind w:left="2232" w:right="545"/>
      </w:pPr>
      <w:r>
        <w:rPr>
          <w:color w:val="231F20"/>
        </w:rPr>
        <w:t>The Agent Operations Log collects the messages that occur on managed systems </w:t>
      </w:r>
      <w:r>
        <w:rPr>
          <w:color w:val="231F20"/>
        </w:rPr>
        <w:t>in your enterprise. This log provides a list of message-related information about the monitoring agent.</w:t>
      </w:r>
    </w:p>
    <w:p>
      <w:pPr>
        <w:pStyle w:val="BodyText"/>
        <w:spacing w:line="213" w:lineRule="auto" w:before="238"/>
        <w:ind w:left="2232" w:right="550"/>
        <w:jc w:val="both"/>
      </w:pPr>
      <w:r>
        <w:rPr>
          <w:rFonts w:ascii="Book Antiqua"/>
          <w:b/>
          <w:color w:val="231F20"/>
        </w:rPr>
        <w:t>Restriction:</w:t>
      </w:r>
      <w:r>
        <w:rPr>
          <w:rFonts w:ascii="Book Antiqua"/>
          <w:b/>
          <w:color w:val="231F20"/>
          <w:spacing w:val="40"/>
        </w:rPr>
        <w:t> </w:t>
      </w:r>
      <w:r>
        <w:rPr>
          <w:color w:val="231F20"/>
        </w:rPr>
        <w:t>The IBM i and z/OS monitoring agents do not list information in </w:t>
      </w:r>
      <w:r>
        <w:rPr>
          <w:color w:val="231F20"/>
        </w:rPr>
        <w:t>the Agent Operations Log. Also, because this log is specific to the individual agent, it reports data only at the </w:t>
      </w:r>
      <w:r>
        <w:rPr>
          <w:color w:val="231F20"/>
          <w:spacing w:val="-25"/>
          <w:position w:val="-1"/>
        </w:rPr>
        <w:drawing>
          <wp:inline distT="0" distB="0" distL="0" distR="0">
            <wp:extent cx="95250" cy="95250"/>
            <wp:effectExtent l="0" t="0" r="0" b="0"/>
            <wp:docPr id="3385" name="Image 3385"/>
            <wp:cNvGraphicFramePr>
              <a:graphicFrameLocks/>
            </wp:cNvGraphicFramePr>
            <a:graphic>
              <a:graphicData uri="http://schemas.openxmlformats.org/drawingml/2006/picture">
                <pic:pic>
                  <pic:nvPicPr>
                    <pic:cNvPr id="3385" name="Image 3385"/>
                    <pic:cNvPicPr/>
                  </pic:nvPicPr>
                  <pic:blipFill>
                    <a:blip r:embed="rId84" cstate="print"/>
                    <a:stretch>
                      <a:fillRect/>
                    </a:stretch>
                  </pic:blipFill>
                  <pic:spPr>
                    <a:xfrm>
                      <a:off x="0" y="0"/>
                      <a:ext cx="95250" cy="95250"/>
                    </a:xfrm>
                    <a:prstGeom prst="rect">
                      <a:avLst/>
                    </a:prstGeom>
                  </pic:spPr>
                </pic:pic>
              </a:graphicData>
            </a:graphic>
          </wp:inline>
        </w:drawing>
      </w:r>
      <w:r>
        <w:rPr>
          <w:color w:val="231F20"/>
          <w:spacing w:val="-25"/>
          <w:position w:val="-1"/>
        </w:rPr>
      </w:r>
      <w:r>
        <w:rPr>
          <w:rFonts w:ascii="Times New Roman"/>
          <w:color w:val="231F20"/>
          <w:spacing w:val="40"/>
        </w:rPr>
        <w:t> </w:t>
      </w:r>
      <w:r>
        <w:rPr>
          <w:color w:val="231F20"/>
        </w:rPr>
        <w:t>agent and </w:t>
      </w:r>
      <w:r>
        <w:rPr>
          <w:color w:val="231F20"/>
          <w:spacing w:val="-24"/>
          <w:position w:val="-1"/>
        </w:rPr>
        <w:drawing>
          <wp:inline distT="0" distB="0" distL="0" distR="0">
            <wp:extent cx="88900" cy="101600"/>
            <wp:effectExtent l="0" t="0" r="0" b="0"/>
            <wp:docPr id="3386" name="Image 3386"/>
            <wp:cNvGraphicFramePr>
              <a:graphicFrameLocks/>
            </wp:cNvGraphicFramePr>
            <a:graphic>
              <a:graphicData uri="http://schemas.openxmlformats.org/drawingml/2006/picture">
                <pic:pic>
                  <pic:nvPicPr>
                    <pic:cNvPr id="3386" name="Image 3386"/>
                    <pic:cNvPicPr/>
                  </pic:nvPicPr>
                  <pic:blipFill>
                    <a:blip r:embed="rId83" cstate="print"/>
                    <a:stretch>
                      <a:fillRect/>
                    </a:stretch>
                  </pic:blipFill>
                  <pic:spPr>
                    <a:xfrm>
                      <a:off x="0" y="0"/>
                      <a:ext cx="88900" cy="101600"/>
                    </a:xfrm>
                    <a:prstGeom prst="rect">
                      <a:avLst/>
                    </a:prstGeom>
                  </pic:spPr>
                </pic:pic>
              </a:graphicData>
            </a:graphic>
          </wp:inline>
        </w:drawing>
      </w:r>
      <w:r>
        <w:rPr>
          <w:color w:val="231F20"/>
          <w:spacing w:val="-24"/>
          <w:position w:val="-1"/>
        </w:rPr>
      </w:r>
      <w:r>
        <w:rPr>
          <w:rFonts w:ascii="Times New Roman"/>
          <w:color w:val="231F20"/>
          <w:spacing w:val="40"/>
        </w:rPr>
        <w:t> </w:t>
      </w:r>
      <w:r>
        <w:rPr>
          <w:color w:val="231F20"/>
        </w:rPr>
        <w:t>attribute levels of the Navigator Physical </w:t>
      </w:r>
      <w:r>
        <w:rPr>
          <w:color w:val="231F20"/>
          <w:spacing w:val="-2"/>
        </w:rPr>
        <w:t>view.</w:t>
      </w:r>
    </w:p>
    <w:p>
      <w:pPr>
        <w:pStyle w:val="BodyText"/>
        <w:spacing w:line="213" w:lineRule="auto" w:before="237"/>
        <w:ind w:left="2232" w:right="439"/>
        <w:jc w:val="both"/>
      </w:pPr>
      <w:r>
        <w:rPr>
          <w:rFonts w:ascii="Book Antiqua"/>
          <w:b/>
          <w:color w:val="231F20"/>
        </w:rPr>
        <w:t>Global Timestamp </w:t>
      </w:r>
      <w:r>
        <w:rPr>
          <w:color w:val="231F20"/>
        </w:rPr>
        <w:t>The date and time at the monitoring server when the </w:t>
      </w:r>
      <w:r>
        <w:rPr>
          <w:color w:val="231F20"/>
        </w:rPr>
        <w:t>operation took</w:t>
      </w:r>
      <w:r>
        <w:rPr>
          <w:color w:val="231F20"/>
          <w:spacing w:val="40"/>
        </w:rPr>
        <w:t> </w:t>
      </w:r>
      <w:r>
        <w:rPr>
          <w:color w:val="231F20"/>
        </w:rPr>
        <w:t>place.</w:t>
      </w:r>
      <w:r>
        <w:rPr>
          <w:color w:val="231F20"/>
          <w:spacing w:val="40"/>
        </w:rPr>
        <w:t> </w:t>
      </w:r>
      <w:r>
        <w:rPr>
          <w:color w:val="231F20"/>
        </w:rPr>
        <w:t>The</w:t>
      </w:r>
      <w:r>
        <w:rPr>
          <w:color w:val="231F20"/>
          <w:spacing w:val="40"/>
        </w:rPr>
        <w:t> </w:t>
      </w:r>
      <w:r>
        <w:rPr>
          <w:color w:val="231F20"/>
        </w:rPr>
        <w:t>format</w:t>
      </w:r>
      <w:r>
        <w:rPr>
          <w:color w:val="231F20"/>
          <w:spacing w:val="40"/>
        </w:rPr>
        <w:t> </w:t>
      </w:r>
      <w:r>
        <w:rPr>
          <w:color w:val="231F20"/>
        </w:rPr>
        <w:t>is</w:t>
      </w:r>
      <w:r>
        <w:rPr>
          <w:color w:val="231F20"/>
          <w:spacing w:val="40"/>
        </w:rPr>
        <w:t> </w:t>
      </w:r>
      <w:r>
        <w:rPr>
          <w:color w:val="231F20"/>
        </w:rPr>
        <w:t>MM/DD/YY HH:MM:SS.</w:t>
      </w:r>
    </w:p>
    <w:p>
      <w:pPr>
        <w:spacing w:before="215"/>
        <w:ind w:left="2232" w:right="0" w:firstLine="0"/>
        <w:jc w:val="left"/>
        <w:rPr>
          <w:sz w:val="20"/>
        </w:rPr>
      </w:pPr>
      <w:r>
        <w:rPr>
          <w:rFonts w:ascii="Book Antiqua"/>
          <w:b/>
          <w:color w:val="231F20"/>
          <w:sz w:val="20"/>
        </w:rPr>
        <w:t>Help</w:t>
      </w:r>
      <w:r>
        <w:rPr>
          <w:rFonts w:ascii="Book Antiqua"/>
          <w:b/>
          <w:color w:val="231F20"/>
          <w:spacing w:val="8"/>
          <w:sz w:val="20"/>
        </w:rPr>
        <w:t> </w:t>
      </w:r>
      <w:r>
        <w:rPr>
          <w:rFonts w:ascii="Book Antiqua"/>
          <w:b/>
          <w:color w:val="231F20"/>
          <w:sz w:val="20"/>
        </w:rPr>
        <w:t>Text</w:t>
      </w:r>
      <w:r>
        <w:rPr>
          <w:rFonts w:ascii="Book Antiqua"/>
          <w:b/>
          <w:color w:val="231F20"/>
          <w:spacing w:val="8"/>
          <w:sz w:val="20"/>
        </w:rPr>
        <w:t> </w:t>
      </w:r>
      <w:r>
        <w:rPr>
          <w:color w:val="231F20"/>
          <w:sz w:val="20"/>
        </w:rPr>
        <w:t>The</w:t>
      </w:r>
      <w:r>
        <w:rPr>
          <w:color w:val="231F20"/>
          <w:spacing w:val="9"/>
          <w:sz w:val="20"/>
        </w:rPr>
        <w:t> </w:t>
      </w:r>
      <w:r>
        <w:rPr>
          <w:color w:val="231F20"/>
          <w:sz w:val="20"/>
        </w:rPr>
        <w:t>text</w:t>
      </w:r>
      <w:r>
        <w:rPr>
          <w:color w:val="231F20"/>
          <w:spacing w:val="8"/>
          <w:sz w:val="20"/>
        </w:rPr>
        <w:t> </w:t>
      </w:r>
      <w:r>
        <w:rPr>
          <w:color w:val="231F20"/>
          <w:sz w:val="20"/>
        </w:rPr>
        <w:t>description</w:t>
      </w:r>
      <w:r>
        <w:rPr>
          <w:color w:val="231F20"/>
          <w:spacing w:val="9"/>
          <w:sz w:val="20"/>
        </w:rPr>
        <w:t> </w:t>
      </w:r>
      <w:r>
        <w:rPr>
          <w:color w:val="231F20"/>
          <w:sz w:val="20"/>
        </w:rPr>
        <w:t>of</w:t>
      </w:r>
      <w:r>
        <w:rPr>
          <w:color w:val="231F20"/>
          <w:spacing w:val="8"/>
          <w:sz w:val="20"/>
        </w:rPr>
        <w:t> </w:t>
      </w:r>
      <w:r>
        <w:rPr>
          <w:color w:val="231F20"/>
          <w:sz w:val="20"/>
        </w:rPr>
        <w:t>the</w:t>
      </w:r>
      <w:r>
        <w:rPr>
          <w:color w:val="231F20"/>
          <w:spacing w:val="9"/>
          <w:sz w:val="20"/>
        </w:rPr>
        <w:t> </w:t>
      </w:r>
      <w:r>
        <w:rPr>
          <w:color w:val="231F20"/>
          <w:spacing w:val="-2"/>
          <w:sz w:val="20"/>
        </w:rPr>
        <w:t>operation.</w:t>
      </w:r>
    </w:p>
    <w:p>
      <w:pPr>
        <w:spacing w:before="209"/>
        <w:ind w:left="2232" w:right="0" w:firstLine="0"/>
        <w:jc w:val="left"/>
        <w:rPr>
          <w:sz w:val="20"/>
        </w:rPr>
      </w:pPr>
      <w:r>
        <w:rPr>
          <w:rFonts w:ascii="Book Antiqua"/>
          <w:b/>
          <w:color w:val="231F20"/>
          <w:sz w:val="20"/>
        </w:rPr>
        <w:t>Managed</w:t>
      </w:r>
      <w:r>
        <w:rPr>
          <w:rFonts w:ascii="Book Antiqua"/>
          <w:b/>
          <w:color w:val="231F20"/>
          <w:spacing w:val="8"/>
          <w:sz w:val="20"/>
        </w:rPr>
        <w:t> </w:t>
      </w:r>
      <w:r>
        <w:rPr>
          <w:rFonts w:ascii="Book Antiqua"/>
          <w:b/>
          <w:color w:val="231F20"/>
          <w:sz w:val="20"/>
        </w:rPr>
        <w:t>System</w:t>
      </w:r>
      <w:r>
        <w:rPr>
          <w:rFonts w:ascii="Book Antiqua"/>
          <w:b/>
          <w:color w:val="231F20"/>
          <w:spacing w:val="8"/>
          <w:sz w:val="20"/>
        </w:rPr>
        <w:t> </w:t>
      </w:r>
      <w:r>
        <w:rPr>
          <w:rFonts w:ascii="Book Antiqua"/>
          <w:b/>
          <w:color w:val="231F20"/>
          <w:sz w:val="20"/>
        </w:rPr>
        <w:t>Type</w:t>
      </w:r>
      <w:r>
        <w:rPr>
          <w:rFonts w:ascii="Book Antiqua"/>
          <w:b/>
          <w:color w:val="231F20"/>
          <w:spacing w:val="8"/>
          <w:sz w:val="20"/>
        </w:rPr>
        <w:t> </w:t>
      </w:r>
      <w:r>
        <w:rPr>
          <w:color w:val="231F20"/>
          <w:sz w:val="20"/>
        </w:rPr>
        <w:t>The</w:t>
      </w:r>
      <w:r>
        <w:rPr>
          <w:color w:val="231F20"/>
          <w:spacing w:val="8"/>
          <w:sz w:val="20"/>
        </w:rPr>
        <w:t> </w:t>
      </w:r>
      <w:r>
        <w:rPr>
          <w:color w:val="231F20"/>
          <w:sz w:val="20"/>
        </w:rPr>
        <w:t>type</w:t>
      </w:r>
      <w:r>
        <w:rPr>
          <w:color w:val="231F20"/>
          <w:spacing w:val="8"/>
          <w:sz w:val="20"/>
        </w:rPr>
        <w:t> </w:t>
      </w:r>
      <w:r>
        <w:rPr>
          <w:color w:val="231F20"/>
          <w:sz w:val="20"/>
        </w:rPr>
        <w:t>of</w:t>
      </w:r>
      <w:r>
        <w:rPr>
          <w:color w:val="231F20"/>
          <w:spacing w:val="8"/>
          <w:sz w:val="20"/>
        </w:rPr>
        <w:t> </w:t>
      </w:r>
      <w:r>
        <w:rPr>
          <w:color w:val="231F20"/>
          <w:sz w:val="20"/>
        </w:rPr>
        <w:t>managed</w:t>
      </w:r>
      <w:r>
        <w:rPr>
          <w:color w:val="231F20"/>
          <w:spacing w:val="8"/>
          <w:sz w:val="20"/>
        </w:rPr>
        <w:t> </w:t>
      </w:r>
      <w:r>
        <w:rPr>
          <w:color w:val="231F20"/>
          <w:spacing w:val="-2"/>
          <w:sz w:val="20"/>
        </w:rPr>
        <w:t>system.</w:t>
      </w:r>
    </w:p>
    <w:p>
      <w:pPr>
        <w:spacing w:before="209"/>
        <w:ind w:left="2232" w:right="0" w:firstLine="0"/>
        <w:jc w:val="left"/>
        <w:rPr>
          <w:sz w:val="20"/>
        </w:rPr>
      </w:pPr>
      <w:r>
        <w:rPr>
          <w:rFonts w:ascii="Book Antiqua"/>
          <w:b/>
          <w:color w:val="231F20"/>
          <w:sz w:val="20"/>
        </w:rPr>
        <w:t>Message</w:t>
      </w:r>
      <w:r>
        <w:rPr>
          <w:rFonts w:ascii="Book Antiqua"/>
          <w:b/>
          <w:color w:val="231F20"/>
          <w:spacing w:val="10"/>
          <w:sz w:val="20"/>
        </w:rPr>
        <w:t> </w:t>
      </w:r>
      <w:r>
        <w:rPr>
          <w:rFonts w:ascii="Book Antiqua"/>
          <w:b/>
          <w:color w:val="231F20"/>
          <w:sz w:val="20"/>
        </w:rPr>
        <w:t>Number</w:t>
      </w:r>
      <w:r>
        <w:rPr>
          <w:rFonts w:ascii="Book Antiqua"/>
          <w:b/>
          <w:color w:val="231F20"/>
          <w:spacing w:val="10"/>
          <w:sz w:val="20"/>
        </w:rPr>
        <w:t> </w:t>
      </w:r>
      <w:r>
        <w:rPr>
          <w:color w:val="231F20"/>
          <w:sz w:val="20"/>
        </w:rPr>
        <w:t>The</w:t>
      </w:r>
      <w:r>
        <w:rPr>
          <w:color w:val="231F20"/>
          <w:spacing w:val="10"/>
          <w:sz w:val="20"/>
        </w:rPr>
        <w:t> </w:t>
      </w:r>
      <w:r>
        <w:rPr>
          <w:color w:val="231F20"/>
          <w:sz w:val="20"/>
        </w:rPr>
        <w:t>message</w:t>
      </w:r>
      <w:r>
        <w:rPr>
          <w:color w:val="231F20"/>
          <w:spacing w:val="11"/>
          <w:sz w:val="20"/>
        </w:rPr>
        <w:t> </w:t>
      </w:r>
      <w:r>
        <w:rPr>
          <w:color w:val="231F20"/>
          <w:sz w:val="20"/>
        </w:rPr>
        <w:t>ID</w:t>
      </w:r>
      <w:r>
        <w:rPr>
          <w:color w:val="231F20"/>
          <w:spacing w:val="10"/>
          <w:sz w:val="20"/>
        </w:rPr>
        <w:t> </w:t>
      </w:r>
      <w:r>
        <w:rPr>
          <w:color w:val="231F20"/>
          <w:sz w:val="20"/>
        </w:rPr>
        <w:t>that</w:t>
      </w:r>
      <w:r>
        <w:rPr>
          <w:color w:val="231F20"/>
          <w:spacing w:val="10"/>
          <w:sz w:val="20"/>
        </w:rPr>
        <w:t> </w:t>
      </w:r>
      <w:r>
        <w:rPr>
          <w:color w:val="231F20"/>
          <w:sz w:val="20"/>
        </w:rPr>
        <w:t>corresponds</w:t>
      </w:r>
      <w:r>
        <w:rPr>
          <w:color w:val="231F20"/>
          <w:spacing w:val="10"/>
          <w:sz w:val="20"/>
        </w:rPr>
        <w:t> </w:t>
      </w:r>
      <w:r>
        <w:rPr>
          <w:color w:val="231F20"/>
          <w:sz w:val="20"/>
        </w:rPr>
        <w:t>to</w:t>
      </w:r>
      <w:r>
        <w:rPr>
          <w:color w:val="231F20"/>
          <w:spacing w:val="11"/>
          <w:sz w:val="20"/>
        </w:rPr>
        <w:t> </w:t>
      </w:r>
      <w:r>
        <w:rPr>
          <w:color w:val="231F20"/>
          <w:sz w:val="20"/>
        </w:rPr>
        <w:t>the</w:t>
      </w:r>
      <w:r>
        <w:rPr>
          <w:color w:val="231F20"/>
          <w:spacing w:val="10"/>
          <w:sz w:val="20"/>
        </w:rPr>
        <w:t> </w:t>
      </w:r>
      <w:r>
        <w:rPr>
          <w:color w:val="231F20"/>
          <w:spacing w:val="-2"/>
          <w:sz w:val="20"/>
        </w:rPr>
        <w:t>text.</w:t>
      </w:r>
    </w:p>
    <w:p>
      <w:pPr>
        <w:spacing w:before="209"/>
        <w:ind w:left="2232" w:right="0" w:firstLine="0"/>
        <w:jc w:val="left"/>
        <w:rPr>
          <w:sz w:val="20"/>
        </w:rPr>
      </w:pPr>
      <w:r>
        <w:rPr>
          <w:rFonts w:ascii="Book Antiqua"/>
          <w:b/>
          <w:color w:val="231F20"/>
          <w:sz w:val="20"/>
        </w:rPr>
        <w:t>Message</w:t>
      </w:r>
      <w:r>
        <w:rPr>
          <w:rFonts w:ascii="Book Antiqua"/>
          <w:b/>
          <w:color w:val="231F20"/>
          <w:spacing w:val="11"/>
          <w:sz w:val="20"/>
        </w:rPr>
        <w:t> </w:t>
      </w:r>
      <w:r>
        <w:rPr>
          <w:rFonts w:ascii="Book Antiqua"/>
          <w:b/>
          <w:color w:val="231F20"/>
          <w:sz w:val="20"/>
        </w:rPr>
        <w:t>Severity</w:t>
      </w:r>
      <w:r>
        <w:rPr>
          <w:rFonts w:ascii="Book Antiqua"/>
          <w:b/>
          <w:color w:val="231F20"/>
          <w:spacing w:val="11"/>
          <w:sz w:val="20"/>
        </w:rPr>
        <w:t> </w:t>
      </w:r>
      <w:r>
        <w:rPr>
          <w:color w:val="231F20"/>
          <w:sz w:val="20"/>
        </w:rPr>
        <w:t>A</w:t>
      </w:r>
      <w:r>
        <w:rPr>
          <w:color w:val="231F20"/>
          <w:spacing w:val="1"/>
          <w:sz w:val="20"/>
        </w:rPr>
        <w:t> </w:t>
      </w:r>
      <w:r>
        <w:rPr>
          <w:color w:val="231F20"/>
          <w:sz w:val="20"/>
        </w:rPr>
        <w:t>numeric</w:t>
      </w:r>
      <w:r>
        <w:rPr>
          <w:color w:val="231F20"/>
          <w:spacing w:val="11"/>
          <w:sz w:val="20"/>
        </w:rPr>
        <w:t> </w:t>
      </w:r>
      <w:r>
        <w:rPr>
          <w:color w:val="231F20"/>
          <w:sz w:val="20"/>
        </w:rPr>
        <w:t>indicator</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z w:val="20"/>
        </w:rPr>
        <w:t>severity</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pacing w:val="-2"/>
          <w:sz w:val="20"/>
        </w:rPr>
        <w:t>operation.</w:t>
      </w:r>
    </w:p>
    <w:p>
      <w:pPr>
        <w:pStyle w:val="BodyText"/>
        <w:spacing w:line="213" w:lineRule="auto" w:before="232"/>
        <w:ind w:left="2232" w:right="636"/>
      </w:pPr>
      <w:r>
        <w:rPr>
          <w:rFonts w:ascii="Book Antiqua"/>
          <w:b/>
          <w:color w:val="231F20"/>
        </w:rPr>
        <w:t>Message Text </w:t>
      </w:r>
      <w:r>
        <w:rPr>
          <w:color w:val="231F20"/>
        </w:rPr>
        <w:t>The operation that took place at the agent, such as execution of a take action command or connection to the monitoring server.</w:t>
      </w:r>
    </w:p>
    <w:p>
      <w:pPr>
        <w:pStyle w:val="BodyText"/>
        <w:spacing w:before="215"/>
        <w:ind w:left="2232"/>
      </w:pPr>
      <w:r>
        <w:rPr>
          <w:rFonts w:ascii="Book Antiqua"/>
          <w:b/>
          <w:color w:val="231F20"/>
        </w:rPr>
        <w:t>Server</w:t>
      </w:r>
      <w:r>
        <w:rPr>
          <w:rFonts w:ascii="Book Antiqua"/>
          <w:b/>
          <w:color w:val="231F20"/>
          <w:spacing w:val="10"/>
        </w:rPr>
        <w:t> </w:t>
      </w:r>
      <w:r>
        <w:rPr>
          <w:rFonts w:ascii="Book Antiqua"/>
          <w:b/>
          <w:color w:val="231F20"/>
        </w:rPr>
        <w:t>Name</w:t>
      </w:r>
      <w:r>
        <w:rPr>
          <w:rFonts w:ascii="Book Antiqua"/>
          <w:b/>
          <w:color w:val="231F20"/>
          <w:spacing w:val="11"/>
        </w:rPr>
        <w:t> </w:t>
      </w:r>
      <w:r>
        <w:rPr>
          <w:color w:val="231F20"/>
        </w:rPr>
        <w:t>The</w:t>
      </w:r>
      <w:r>
        <w:rPr>
          <w:color w:val="231F20"/>
          <w:spacing w:val="10"/>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monitoring</w:t>
      </w:r>
      <w:r>
        <w:rPr>
          <w:color w:val="231F20"/>
          <w:spacing w:val="11"/>
        </w:rPr>
        <w:t> </w:t>
      </w:r>
      <w:r>
        <w:rPr>
          <w:color w:val="231F20"/>
        </w:rPr>
        <w:t>server</w:t>
      </w:r>
      <w:r>
        <w:rPr>
          <w:color w:val="231F20"/>
          <w:spacing w:val="11"/>
        </w:rPr>
        <w:t> </w:t>
      </w:r>
      <w:r>
        <w:rPr>
          <w:color w:val="231F20"/>
        </w:rPr>
        <w:t>where</w:t>
      </w:r>
      <w:r>
        <w:rPr>
          <w:color w:val="231F20"/>
          <w:spacing w:val="10"/>
        </w:rPr>
        <w:t> </w:t>
      </w:r>
      <w:r>
        <w:rPr>
          <w:color w:val="231F20"/>
        </w:rPr>
        <w:t>the</w:t>
      </w:r>
      <w:r>
        <w:rPr>
          <w:color w:val="231F20"/>
          <w:spacing w:val="11"/>
        </w:rPr>
        <w:t> </w:t>
      </w:r>
      <w:r>
        <w:rPr>
          <w:color w:val="231F20"/>
        </w:rPr>
        <w:t>operation</w:t>
      </w:r>
      <w:r>
        <w:rPr>
          <w:color w:val="231F20"/>
          <w:spacing w:val="11"/>
        </w:rPr>
        <w:t> </w:t>
      </w:r>
      <w:r>
        <w:rPr>
          <w:color w:val="231F20"/>
        </w:rPr>
        <w:t>took</w:t>
      </w:r>
      <w:r>
        <w:rPr>
          <w:color w:val="231F20"/>
          <w:spacing w:val="10"/>
        </w:rPr>
        <w:t> </w:t>
      </w:r>
      <w:r>
        <w:rPr>
          <w:color w:val="231F20"/>
          <w:spacing w:val="-2"/>
        </w:rPr>
        <w:t>place.</w:t>
      </w:r>
    </w:p>
    <w:p>
      <w:pPr>
        <w:pStyle w:val="BodyText"/>
        <w:rPr>
          <w:sz w:val="16"/>
        </w:rPr>
      </w:pPr>
      <w:r>
        <w:rPr/>
        <mc:AlternateContent>
          <mc:Choice Requires="wps">
            <w:drawing>
              <wp:anchor distT="0" distB="0" distL="0" distR="0" allowOverlap="1" layoutInCell="1" locked="0" behindDoc="1" simplePos="0" relativeHeight="487751680">
                <wp:simplePos x="0" y="0"/>
                <wp:positionH relativeFrom="page">
                  <wp:posOffset>760323</wp:posOffset>
                </wp:positionH>
                <wp:positionV relativeFrom="paragraph">
                  <wp:posOffset>152398</wp:posOffset>
                </wp:positionV>
                <wp:extent cx="6082665" cy="1270"/>
                <wp:effectExtent l="0" t="0" r="0" b="0"/>
                <wp:wrapTopAndBottom/>
                <wp:docPr id="3387" name="Graphic 3387"/>
                <wp:cNvGraphicFramePr>
                  <a:graphicFrameLocks/>
                </wp:cNvGraphicFramePr>
                <a:graphic>
                  <a:graphicData uri="http://schemas.microsoft.com/office/word/2010/wordprocessingShape">
                    <wps:wsp>
                      <wps:cNvPr id="3387" name="Graphic 3387"/>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99857pt;width:478.95pt;height:.1pt;mso-position-horizontal-relative:page;mso-position-vertical-relative:paragraph;z-index:-15564800;mso-wrap-distance-left:0;mso-wrap-distance-right:0" id="docshape286"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Application Property Installation attrib" w:id="704"/>
      <w:bookmarkEnd w:id="704"/>
      <w:r>
        <w:rPr>
          <w:b w:val="0"/>
        </w:rPr>
      </w:r>
      <w:r>
        <w:rPr>
          <w:color w:val="231F20"/>
        </w:rPr>
        <w:t>Application</w:t>
      </w:r>
      <w:r>
        <w:rPr>
          <w:color w:val="231F20"/>
          <w:spacing w:val="1"/>
        </w:rPr>
        <w:t> </w:t>
      </w:r>
      <w:r>
        <w:rPr>
          <w:color w:val="231F20"/>
        </w:rPr>
        <w:t>Property</w:t>
      </w:r>
      <w:r>
        <w:rPr>
          <w:color w:val="231F20"/>
          <w:spacing w:val="1"/>
        </w:rPr>
        <w:t> </w:t>
      </w:r>
      <w:r>
        <w:rPr>
          <w:color w:val="231F20"/>
        </w:rPr>
        <w:t>Installation</w:t>
      </w:r>
      <w:r>
        <w:rPr>
          <w:color w:val="231F20"/>
          <w:spacing w:val="1"/>
        </w:rPr>
        <w:t> </w:t>
      </w:r>
      <w:r>
        <w:rPr>
          <w:color w:val="231F20"/>
          <w:spacing w:val="-2"/>
        </w:rPr>
        <w:t>attributes</w:t>
      </w:r>
    </w:p>
    <w:p>
      <w:pPr>
        <w:pStyle w:val="BodyText"/>
        <w:spacing w:line="255" w:lineRule="exact" w:before="115"/>
        <w:ind w:left="2232"/>
      </w:pPr>
      <w:r>
        <w:rPr>
          <w:color w:val="231F20"/>
        </w:rPr>
        <w:t>Application</w:t>
      </w:r>
      <w:r>
        <w:rPr>
          <w:color w:val="231F20"/>
          <w:spacing w:val="6"/>
        </w:rPr>
        <w:t> </w:t>
      </w:r>
      <w:r>
        <w:rPr>
          <w:color w:val="231F20"/>
        </w:rPr>
        <w:t>Property</w:t>
      </w:r>
      <w:r>
        <w:rPr>
          <w:color w:val="231F20"/>
          <w:spacing w:val="7"/>
        </w:rPr>
        <w:t> </w:t>
      </w:r>
      <w:r>
        <w:rPr>
          <w:color w:val="231F20"/>
        </w:rPr>
        <w:t>Installation</w:t>
      </w:r>
      <w:r>
        <w:rPr>
          <w:color w:val="231F20"/>
          <w:spacing w:val="7"/>
        </w:rPr>
        <w:t> </w:t>
      </w:r>
      <w:r>
        <w:rPr>
          <w:color w:val="231F20"/>
        </w:rPr>
        <w:t>attributes</w:t>
      </w:r>
      <w:r>
        <w:rPr>
          <w:color w:val="231F20"/>
          <w:spacing w:val="6"/>
        </w:rPr>
        <w:t> </w:t>
      </w:r>
      <w:r>
        <w:rPr>
          <w:color w:val="231F20"/>
        </w:rPr>
        <w:t>provide</w:t>
      </w:r>
      <w:r>
        <w:rPr>
          <w:color w:val="231F20"/>
          <w:spacing w:val="7"/>
        </w:rPr>
        <w:t> </w:t>
      </w:r>
      <w:r>
        <w:rPr>
          <w:color w:val="231F20"/>
        </w:rPr>
        <w:t>information</w:t>
      </w:r>
      <w:r>
        <w:rPr>
          <w:color w:val="231F20"/>
          <w:spacing w:val="7"/>
        </w:rPr>
        <w:t> </w:t>
      </w:r>
      <w:r>
        <w:rPr>
          <w:color w:val="231F20"/>
        </w:rPr>
        <w:t>related</w:t>
      </w:r>
      <w:r>
        <w:rPr>
          <w:color w:val="231F20"/>
          <w:spacing w:val="7"/>
        </w:rPr>
        <w:t> </w:t>
      </w:r>
      <w:r>
        <w:rPr>
          <w:color w:val="231F20"/>
        </w:rPr>
        <w:t>to</w:t>
      </w:r>
      <w:r>
        <w:rPr>
          <w:color w:val="231F20"/>
          <w:spacing w:val="6"/>
        </w:rPr>
        <w:t> </w:t>
      </w:r>
      <w:r>
        <w:rPr>
          <w:color w:val="231F20"/>
          <w:spacing w:val="-5"/>
        </w:rPr>
        <w:t>the</w:t>
      </w:r>
    </w:p>
    <w:p>
      <w:pPr>
        <w:pStyle w:val="BodyText"/>
        <w:spacing w:line="213" w:lineRule="auto" w:before="8"/>
        <w:ind w:left="2232" w:right="511"/>
      </w:pPr>
      <w:r>
        <w:rPr>
          <w:color w:val="231F20"/>
        </w:rPr>
        <w:t>self-describing agent installation process. This table stores and maintains: the </w:t>
      </w:r>
      <w:r>
        <w:rPr>
          <w:color w:val="231F20"/>
        </w:rPr>
        <w:t>status of each product's self-describing agent product support installation, the operational state of the self-describing facility for each monitoring server, and user</w:t>
      </w:r>
      <w:r>
        <w:rPr>
          <w:color w:val="231F20"/>
          <w:spacing w:val="80"/>
        </w:rPr>
        <w:t> </w:t>
      </w:r>
      <w:r>
        <w:rPr>
          <w:color w:val="231F20"/>
        </w:rPr>
        <w:t>configuration settings for the self-describing feature. This attribute group is also known as the TAPPLPROPS table.</w:t>
      </w:r>
    </w:p>
    <w:p>
      <w:pPr>
        <w:pStyle w:val="BodyText"/>
        <w:spacing w:line="213" w:lineRule="auto" w:before="236"/>
        <w:ind w:left="2232" w:right="493"/>
      </w:pPr>
      <w:r>
        <w:rPr>
          <w:rFonts w:ascii="Book Antiqua"/>
          <w:b/>
          <w:color w:val="231F20"/>
        </w:rPr>
        <w:t>Note:</w:t>
      </w:r>
      <w:r>
        <w:rPr>
          <w:rFonts w:ascii="Book Antiqua"/>
          <w:b/>
          <w:color w:val="231F20"/>
          <w:spacing w:val="40"/>
        </w:rPr>
        <w:t> </w:t>
      </w:r>
      <w:r>
        <w:rPr>
          <w:color w:val="231F20"/>
        </w:rPr>
        <w:t>Some attributes might return blank data because they are not used by a specific record type or because they are reserved for future use.</w:t>
      </w:r>
    </w:p>
    <w:p>
      <w:pPr>
        <w:pStyle w:val="BodyText"/>
        <w:spacing w:before="215"/>
        <w:ind w:left="2232"/>
      </w:pPr>
      <w:r>
        <w:rPr>
          <w:rFonts w:ascii="Book Antiqua"/>
          <w:b/>
          <w:color w:val="231F20"/>
        </w:rPr>
        <w:t>Restriction:</w:t>
      </w:r>
      <w:r>
        <w:rPr>
          <w:rFonts w:ascii="Book Antiqua"/>
          <w:b/>
          <w:color w:val="231F20"/>
          <w:spacing w:val="41"/>
        </w:rPr>
        <w:t> </w:t>
      </w:r>
      <w:r>
        <w:rPr>
          <w:color w:val="231F20"/>
        </w:rPr>
        <w:t>This</w:t>
      </w:r>
      <w:r>
        <w:rPr>
          <w:color w:val="231F20"/>
          <w:spacing w:val="11"/>
        </w:rPr>
        <w:t> </w:t>
      </w:r>
      <w:r>
        <w:rPr>
          <w:color w:val="231F20"/>
        </w:rPr>
        <w:t>attribute</w:t>
      </w:r>
      <w:r>
        <w:rPr>
          <w:color w:val="231F20"/>
          <w:spacing w:val="11"/>
        </w:rPr>
        <w:t> </w:t>
      </w:r>
      <w:r>
        <w:rPr>
          <w:color w:val="231F20"/>
        </w:rPr>
        <w:t>group</w:t>
      </w:r>
      <w:r>
        <w:rPr>
          <w:color w:val="231F20"/>
          <w:spacing w:val="11"/>
        </w:rPr>
        <w:t> </w:t>
      </w:r>
      <w:r>
        <w:rPr>
          <w:color w:val="231F20"/>
        </w:rPr>
        <w:t>is</w:t>
      </w:r>
      <w:r>
        <w:rPr>
          <w:color w:val="231F20"/>
          <w:spacing w:val="11"/>
        </w:rPr>
        <w:t> </w:t>
      </w:r>
      <w:r>
        <w:rPr>
          <w:color w:val="231F20"/>
        </w:rPr>
        <w:t>only</w:t>
      </w:r>
      <w:r>
        <w:rPr>
          <w:color w:val="231F20"/>
          <w:spacing w:val="11"/>
        </w:rPr>
        <w:t> </w:t>
      </w:r>
      <w:r>
        <w:rPr>
          <w:color w:val="231F20"/>
        </w:rPr>
        <w:t>available</w:t>
      </w:r>
      <w:r>
        <w:rPr>
          <w:color w:val="231F20"/>
          <w:spacing w:val="11"/>
        </w:rPr>
        <w:t> </w:t>
      </w:r>
      <w:r>
        <w:rPr>
          <w:color w:val="231F20"/>
        </w:rPr>
        <w:t>for</w:t>
      </w:r>
      <w:r>
        <w:rPr>
          <w:color w:val="231F20"/>
          <w:spacing w:val="11"/>
        </w:rPr>
        <w:t> </w:t>
      </w:r>
      <w:r>
        <w:rPr>
          <w:color w:val="231F20"/>
        </w:rPr>
        <w:t>use</w:t>
      </w:r>
      <w:r>
        <w:rPr>
          <w:color w:val="231F20"/>
          <w:spacing w:val="12"/>
        </w:rPr>
        <w:t> </w:t>
      </w:r>
      <w:r>
        <w:rPr>
          <w:color w:val="231F20"/>
        </w:rPr>
        <w:t>in</w:t>
      </w:r>
      <w:r>
        <w:rPr>
          <w:color w:val="231F20"/>
          <w:spacing w:val="11"/>
        </w:rPr>
        <w:t> </w:t>
      </w:r>
      <w:r>
        <w:rPr>
          <w:color w:val="231F20"/>
          <w:spacing w:val="-2"/>
        </w:rPr>
        <w:t>queries.</w:t>
      </w:r>
    </w:p>
    <w:p>
      <w:pPr>
        <w:spacing w:after="0"/>
        <w:sectPr>
          <w:pgSz w:w="12240" w:h="15840"/>
          <w:pgMar w:header="0" w:footer="736" w:top="1180" w:bottom="920" w:left="1000" w:right="1060"/>
        </w:sectPr>
      </w:pPr>
    </w:p>
    <w:p>
      <w:pPr>
        <w:pStyle w:val="BodyText"/>
        <w:spacing w:line="213" w:lineRule="auto" w:before="85"/>
        <w:ind w:left="2472" w:right="385"/>
      </w:pPr>
      <w:r>
        <w:rPr>
          <w:rFonts w:ascii="Book Antiqua"/>
          <w:b/>
          <w:color w:val="231F20"/>
        </w:rPr>
        <w:t>Catalog Install Timestamp </w:t>
      </w:r>
      <w:r>
        <w:rPr>
          <w:color w:val="231F20"/>
        </w:rPr>
        <w:t>The package record date and time that is extracted</w:t>
      </w:r>
      <w:r>
        <w:rPr>
          <w:color w:val="231F20"/>
          <w:spacing w:val="40"/>
        </w:rPr>
        <w:t> </w:t>
      </w:r>
      <w:r>
        <w:rPr>
          <w:color w:val="231F20"/>
        </w:rPr>
        <w:t>from the product catalog file (kxx.cat) on the monitoring server. The format is CYYMMDDHHMMSSmmm (as in 1120615074501000 for June 15, 2012 at </w:t>
      </w:r>
      <w:r>
        <w:rPr>
          <w:color w:val="231F20"/>
        </w:rPr>
        <w:t>07:45:01)</w:t>
      </w:r>
    </w:p>
    <w:p>
      <w:pPr>
        <w:pStyle w:val="BodyText"/>
        <w:spacing w:line="245" w:lineRule="exact"/>
        <w:ind w:left="2472"/>
      </w:pPr>
      <w:r>
        <w:rPr>
          <w:color w:val="231F20"/>
          <w:spacing w:val="-2"/>
        </w:rPr>
        <w:t>where:</w:t>
      </w:r>
    </w:p>
    <w:p>
      <w:pPr>
        <w:pStyle w:val="BodyText"/>
        <w:spacing w:line="266" w:lineRule="auto" w:before="29"/>
        <w:ind w:left="2771" w:right="4197"/>
      </w:pPr>
      <w:r>
        <w:rPr>
          <w:color w:val="231F20"/>
          <w:w w:val="105"/>
        </w:rPr>
        <w:t>C</w:t>
      </w:r>
      <w:r>
        <w:rPr>
          <w:color w:val="231F20"/>
          <w:spacing w:val="-6"/>
          <w:w w:val="105"/>
        </w:rPr>
        <w:t> </w:t>
      </w:r>
      <w:r>
        <w:rPr>
          <w:color w:val="231F20"/>
          <w:w w:val="105"/>
        </w:rPr>
        <w:t>=</w:t>
      </w:r>
      <w:r>
        <w:rPr>
          <w:color w:val="231F20"/>
          <w:spacing w:val="-6"/>
          <w:w w:val="105"/>
        </w:rPr>
        <w:t> </w:t>
      </w:r>
      <w:r>
        <w:rPr>
          <w:color w:val="231F20"/>
          <w:w w:val="105"/>
        </w:rPr>
        <w:t>Century</w:t>
      </w:r>
      <w:r>
        <w:rPr>
          <w:color w:val="231F20"/>
          <w:spacing w:val="-6"/>
          <w:w w:val="105"/>
        </w:rPr>
        <w:t> </w:t>
      </w:r>
      <w:r>
        <w:rPr>
          <w:color w:val="231F20"/>
          <w:w w:val="105"/>
        </w:rPr>
        <w:t>(0</w:t>
      </w:r>
      <w:r>
        <w:rPr>
          <w:color w:val="231F20"/>
          <w:spacing w:val="-6"/>
          <w:w w:val="105"/>
        </w:rPr>
        <w:t> </w:t>
      </w:r>
      <w:r>
        <w:rPr>
          <w:color w:val="231F20"/>
          <w:w w:val="105"/>
        </w:rPr>
        <w:t>for</w:t>
      </w:r>
      <w:r>
        <w:rPr>
          <w:color w:val="231F20"/>
          <w:spacing w:val="-6"/>
          <w:w w:val="105"/>
        </w:rPr>
        <w:t> </w:t>
      </w:r>
      <w:r>
        <w:rPr>
          <w:color w:val="231F20"/>
          <w:w w:val="105"/>
        </w:rPr>
        <w:t>20th,</w:t>
      </w:r>
      <w:r>
        <w:rPr>
          <w:color w:val="231F20"/>
          <w:spacing w:val="-6"/>
          <w:w w:val="105"/>
        </w:rPr>
        <w:t> </w:t>
      </w:r>
      <w:r>
        <w:rPr>
          <w:color w:val="231F20"/>
          <w:w w:val="105"/>
        </w:rPr>
        <w:t>1</w:t>
      </w:r>
      <w:r>
        <w:rPr>
          <w:color w:val="231F20"/>
          <w:spacing w:val="-6"/>
          <w:w w:val="105"/>
        </w:rPr>
        <w:t> </w:t>
      </w:r>
      <w:r>
        <w:rPr>
          <w:color w:val="231F20"/>
          <w:w w:val="105"/>
        </w:rPr>
        <w:t>for</w:t>
      </w:r>
      <w:r>
        <w:rPr>
          <w:color w:val="231F20"/>
          <w:spacing w:val="-6"/>
          <w:w w:val="105"/>
        </w:rPr>
        <w:t> </w:t>
      </w:r>
      <w:r>
        <w:rPr>
          <w:color w:val="231F20"/>
          <w:w w:val="105"/>
        </w:rPr>
        <w:t>21st) </w:t>
      </w:r>
      <w:r>
        <w:rPr>
          <w:color w:val="231F20"/>
          <w:spacing w:val="12"/>
          <w:w w:val="105"/>
        </w:rPr>
        <w:t>Y </w:t>
      </w:r>
      <w:r>
        <w:rPr>
          <w:color w:val="231F20"/>
          <w:w w:val="105"/>
        </w:rPr>
        <w:t>= Year</w:t>
      </w:r>
    </w:p>
    <w:p>
      <w:pPr>
        <w:pStyle w:val="BodyText"/>
        <w:spacing w:line="266" w:lineRule="auto"/>
        <w:ind w:left="2771" w:right="6351"/>
      </w:pP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Month D = Day</w:t>
      </w:r>
    </w:p>
    <w:p>
      <w:pPr>
        <w:pStyle w:val="BodyText"/>
        <w:spacing w:line="266" w:lineRule="auto"/>
        <w:ind w:left="2771" w:right="6319"/>
      </w:pPr>
      <w:r>
        <w:rPr>
          <w:color w:val="231F20"/>
          <w:w w:val="105"/>
        </w:rPr>
        <w:t>H = Hour M</w:t>
      </w:r>
      <w:r>
        <w:rPr>
          <w:color w:val="231F20"/>
          <w:spacing w:val="-10"/>
          <w:w w:val="105"/>
        </w:rPr>
        <w:t> </w:t>
      </w:r>
      <w:r>
        <w:rPr>
          <w:color w:val="231F20"/>
          <w:w w:val="105"/>
        </w:rPr>
        <w:t>=</w:t>
      </w:r>
      <w:r>
        <w:rPr>
          <w:color w:val="231F20"/>
          <w:spacing w:val="-10"/>
          <w:w w:val="105"/>
        </w:rPr>
        <w:t> </w:t>
      </w:r>
      <w:r>
        <w:rPr>
          <w:color w:val="231F20"/>
          <w:w w:val="105"/>
        </w:rPr>
        <w:t>Minute S = Second</w:t>
      </w:r>
    </w:p>
    <w:p>
      <w:pPr>
        <w:pStyle w:val="BodyText"/>
        <w:spacing w:line="269" w:lineRule="exact"/>
        <w:ind w:left="2771"/>
      </w:pPr>
      <w:r>
        <w:rPr>
          <w:color w:val="231F20"/>
          <w:w w:val="105"/>
        </w:rPr>
        <w:t>m</w:t>
      </w:r>
      <w:r>
        <w:rPr>
          <w:color w:val="231F20"/>
          <w:spacing w:val="15"/>
          <w:w w:val="105"/>
        </w:rPr>
        <w:t> </w:t>
      </w:r>
      <w:r>
        <w:rPr>
          <w:color w:val="231F20"/>
          <w:w w:val="105"/>
        </w:rPr>
        <w:t>=</w:t>
      </w:r>
      <w:r>
        <w:rPr>
          <w:color w:val="231F20"/>
          <w:spacing w:val="16"/>
          <w:w w:val="105"/>
        </w:rPr>
        <w:t> </w:t>
      </w:r>
      <w:r>
        <w:rPr>
          <w:color w:val="231F20"/>
          <w:spacing w:val="-2"/>
          <w:w w:val="105"/>
        </w:rPr>
        <w:t>Millisecond</w:t>
      </w:r>
    </w:p>
    <w:p>
      <w:pPr>
        <w:pStyle w:val="BodyText"/>
        <w:spacing w:line="213" w:lineRule="auto" w:before="232"/>
        <w:ind w:left="2472" w:right="258"/>
      </w:pPr>
      <w:r>
        <w:rPr>
          <w:rFonts w:ascii="Book Antiqua"/>
          <w:b/>
          <w:color w:val="231F20"/>
        </w:rPr>
        <w:t>Catalog Install Version </w:t>
      </w:r>
      <w:r>
        <w:rPr>
          <w:color w:val="231F20"/>
        </w:rPr>
        <w:t>The package record version that is extracted from the product catalog file (kxx.cat) on the monitoring server. This version is not </w:t>
      </w:r>
      <w:r>
        <w:rPr>
          <w:color w:val="231F20"/>
        </w:rPr>
        <w:t>expected to exactly match any self-describing reported product version.</w:t>
      </w:r>
    </w:p>
    <w:p>
      <w:pPr>
        <w:pStyle w:val="BodyText"/>
        <w:spacing w:line="213" w:lineRule="auto" w:before="237"/>
        <w:ind w:left="2472" w:right="385"/>
      </w:pPr>
      <w:r>
        <w:rPr>
          <w:rFonts w:ascii="Book Antiqua"/>
          <w:b/>
          <w:color w:val="231F20"/>
        </w:rPr>
        <w:t>Catalog SDA </w:t>
      </w:r>
      <w:r>
        <w:rPr>
          <w:color w:val="231F20"/>
        </w:rPr>
        <w:t>The value identifies the results of the self-describing consistency check performed at the monitoring server startup. Determines whether a </w:t>
      </w:r>
      <w:r>
        <w:rPr>
          <w:color w:val="231F20"/>
        </w:rPr>
        <w:t>manual install process was performed after the last monitoring server self-describing installation. Valid values:</w:t>
      </w:r>
    </w:p>
    <w:p>
      <w:pPr>
        <w:pStyle w:val="BodyText"/>
        <w:spacing w:before="7"/>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2"/>
                <w:sz w:val="18"/>
              </w:rPr>
              <w:t>Value</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967" w:hRule="atLeast"/>
        </w:trPr>
        <w:tc>
          <w:tcPr>
            <w:tcW w:w="1964" w:type="dxa"/>
          </w:tcPr>
          <w:p>
            <w:pPr>
              <w:pStyle w:val="TableParagraph"/>
              <w:ind w:left="44"/>
              <w:rPr>
                <w:sz w:val="18"/>
              </w:rPr>
            </w:pPr>
            <w:r>
              <w:rPr>
                <w:color w:val="231F20"/>
                <w:spacing w:val="-10"/>
                <w:sz w:val="18"/>
              </w:rPr>
              <w:t>Y</w:t>
            </w:r>
          </w:p>
        </w:tc>
        <w:tc>
          <w:tcPr>
            <w:tcW w:w="5570" w:type="dxa"/>
          </w:tcPr>
          <w:p>
            <w:pPr>
              <w:pStyle w:val="TableParagraph"/>
              <w:spacing w:line="216" w:lineRule="auto" w:before="44"/>
              <w:ind w:right="120" w:hanging="1"/>
              <w:rPr>
                <w:sz w:val="18"/>
              </w:rPr>
            </w:pPr>
            <w:r>
              <w:rPr>
                <w:color w:val="231F20"/>
                <w:sz w:val="18"/>
              </w:rPr>
              <w:t>Self-describing check passed. The stored values for the </w:t>
            </w:r>
            <w:r>
              <w:rPr>
                <w:rFonts w:ascii="Book Antiqua"/>
                <w:b/>
                <w:color w:val="231F20"/>
                <w:sz w:val="18"/>
              </w:rPr>
              <w:t>Catalog Install Timestamp </w:t>
            </w:r>
            <w:r>
              <w:rPr>
                <w:color w:val="231F20"/>
                <w:sz w:val="18"/>
              </w:rPr>
              <w:t>and </w:t>
            </w:r>
            <w:r>
              <w:rPr>
                <w:rFonts w:ascii="Book Antiqua"/>
                <w:b/>
                <w:color w:val="231F20"/>
                <w:sz w:val="18"/>
              </w:rPr>
              <w:t>Catalog Install Version </w:t>
            </w:r>
            <w:r>
              <w:rPr>
                <w:color w:val="231F20"/>
                <w:sz w:val="18"/>
              </w:rPr>
              <w:t>attributes match the values from the existing product catalog files that are installed on the monitoring server.</w:t>
            </w:r>
          </w:p>
        </w:tc>
      </w:tr>
      <w:tr>
        <w:trPr>
          <w:trHeight w:val="1192" w:hRule="atLeast"/>
        </w:trPr>
        <w:tc>
          <w:tcPr>
            <w:tcW w:w="1964" w:type="dxa"/>
          </w:tcPr>
          <w:p>
            <w:pPr>
              <w:pStyle w:val="TableParagraph"/>
              <w:ind w:left="44"/>
              <w:rPr>
                <w:sz w:val="18"/>
              </w:rPr>
            </w:pPr>
            <w:r>
              <w:rPr>
                <w:color w:val="231F20"/>
                <w:spacing w:val="-10"/>
                <w:sz w:val="18"/>
              </w:rPr>
              <w:t>N</w:t>
            </w:r>
          </w:p>
        </w:tc>
        <w:tc>
          <w:tcPr>
            <w:tcW w:w="5570" w:type="dxa"/>
          </w:tcPr>
          <w:p>
            <w:pPr>
              <w:pStyle w:val="TableParagraph"/>
              <w:spacing w:line="216" w:lineRule="auto" w:before="44"/>
              <w:ind w:right="120"/>
              <w:rPr>
                <w:sz w:val="18"/>
              </w:rPr>
            </w:pPr>
            <w:r>
              <w:rPr>
                <w:color w:val="231F20"/>
                <w:sz w:val="18"/>
              </w:rPr>
              <w:t>Self-describing check failed. A</w:t>
            </w:r>
            <w:r>
              <w:rPr>
                <w:color w:val="231F20"/>
                <w:spacing w:val="-1"/>
                <w:sz w:val="18"/>
              </w:rPr>
              <w:t> </w:t>
            </w:r>
            <w:r>
              <w:rPr>
                <w:color w:val="231F20"/>
                <w:sz w:val="18"/>
              </w:rPr>
              <w:t>mismatch was detected between </w:t>
            </w:r>
            <w:r>
              <w:rPr>
                <w:color w:val="231F20"/>
                <w:sz w:val="18"/>
              </w:rPr>
              <w:t>the </w:t>
            </w:r>
            <w:r>
              <w:rPr>
                <w:rFonts w:ascii="Book Antiqua"/>
                <w:b/>
                <w:color w:val="231F20"/>
                <w:sz w:val="18"/>
              </w:rPr>
              <w:t>Catalog Install Timestamp </w:t>
            </w:r>
            <w:r>
              <w:rPr>
                <w:color w:val="231F20"/>
                <w:sz w:val="18"/>
              </w:rPr>
              <w:t>and </w:t>
            </w:r>
            <w:r>
              <w:rPr>
                <w:rFonts w:ascii="Book Antiqua"/>
                <w:b/>
                <w:color w:val="231F20"/>
                <w:sz w:val="18"/>
              </w:rPr>
              <w:t>Catalog Install Version </w:t>
            </w:r>
            <w:r>
              <w:rPr>
                <w:color w:val="231F20"/>
                <w:sz w:val="18"/>
              </w:rPr>
              <w:t>attributes, as compared to the existing product catalog files that are installed on the monitoring server, due to an undetermined manual install </w:t>
            </w:r>
            <w:r>
              <w:rPr>
                <w:color w:val="231F20"/>
                <w:spacing w:val="-2"/>
                <w:sz w:val="18"/>
              </w:rPr>
              <w:t>process.</w:t>
            </w:r>
          </w:p>
        </w:tc>
      </w:tr>
    </w:tbl>
    <w:p>
      <w:pPr>
        <w:pStyle w:val="BodyText"/>
        <w:spacing w:before="114"/>
      </w:pPr>
    </w:p>
    <w:p>
      <w:pPr>
        <w:pStyle w:val="BodyText"/>
        <w:spacing w:before="1"/>
        <w:ind w:left="2472"/>
      </w:pPr>
      <w:r>
        <w:rPr>
          <w:rFonts w:ascii="Book Antiqua"/>
          <w:b/>
          <w:color w:val="231F20"/>
        </w:rPr>
        <w:t>Configuration</w:t>
      </w:r>
      <w:r>
        <w:rPr>
          <w:rFonts w:ascii="Book Antiqua"/>
          <w:b/>
          <w:color w:val="231F20"/>
          <w:spacing w:val="9"/>
        </w:rPr>
        <w:t> </w:t>
      </w:r>
      <w:r>
        <w:rPr>
          <w:color w:val="231F20"/>
        </w:rPr>
        <w:t>The</w:t>
      </w:r>
      <w:r>
        <w:rPr>
          <w:color w:val="231F20"/>
          <w:spacing w:val="9"/>
        </w:rPr>
        <w:t> </w:t>
      </w:r>
      <w:r>
        <w:rPr>
          <w:color w:val="231F20"/>
        </w:rPr>
        <w:t>configuration</w:t>
      </w:r>
      <w:r>
        <w:rPr>
          <w:color w:val="231F20"/>
          <w:spacing w:val="10"/>
        </w:rPr>
        <w:t> </w:t>
      </w:r>
      <w:r>
        <w:rPr>
          <w:color w:val="231F20"/>
        </w:rPr>
        <w:t>details</w:t>
      </w:r>
      <w:r>
        <w:rPr>
          <w:color w:val="231F20"/>
          <w:spacing w:val="9"/>
        </w:rPr>
        <w:t> </w:t>
      </w:r>
      <w:r>
        <w:rPr>
          <w:color w:val="231F20"/>
        </w:rPr>
        <w:t>related</w:t>
      </w:r>
      <w:r>
        <w:rPr>
          <w:color w:val="231F20"/>
          <w:spacing w:val="9"/>
        </w:rPr>
        <w:t> </w:t>
      </w:r>
      <w:r>
        <w:rPr>
          <w:color w:val="231F20"/>
        </w:rPr>
        <w:t>to</w:t>
      </w:r>
      <w:r>
        <w:rPr>
          <w:color w:val="231F20"/>
          <w:spacing w:val="10"/>
        </w:rPr>
        <w:t> </w:t>
      </w:r>
      <w:r>
        <w:rPr>
          <w:color w:val="231F20"/>
        </w:rPr>
        <w:t>the</w:t>
      </w:r>
      <w:r>
        <w:rPr>
          <w:color w:val="231F20"/>
          <w:spacing w:val="9"/>
        </w:rPr>
        <w:t> </w:t>
      </w:r>
      <w:r>
        <w:rPr>
          <w:color w:val="231F20"/>
        </w:rPr>
        <w:t>type</w:t>
      </w:r>
      <w:r>
        <w:rPr>
          <w:color w:val="231F20"/>
          <w:spacing w:val="9"/>
        </w:rPr>
        <w:t> </w:t>
      </w:r>
      <w:r>
        <w:rPr>
          <w:color w:val="231F20"/>
        </w:rPr>
        <w:t>of</w:t>
      </w:r>
      <w:r>
        <w:rPr>
          <w:color w:val="231F20"/>
          <w:spacing w:val="10"/>
        </w:rPr>
        <w:t> </w:t>
      </w:r>
      <w:r>
        <w:rPr>
          <w:color w:val="231F20"/>
        </w:rPr>
        <w:t>record</w:t>
      </w:r>
      <w:r>
        <w:rPr>
          <w:color w:val="231F20"/>
          <w:spacing w:val="9"/>
        </w:rPr>
        <w:t> </w:t>
      </w:r>
      <w:r>
        <w:rPr>
          <w:color w:val="231F20"/>
        </w:rPr>
        <w:t>being</w:t>
      </w:r>
      <w:r>
        <w:rPr>
          <w:color w:val="231F20"/>
          <w:spacing w:val="9"/>
        </w:rPr>
        <w:t> </w:t>
      </w:r>
      <w:r>
        <w:rPr>
          <w:color w:val="231F20"/>
          <w:spacing w:val="-2"/>
        </w:rPr>
        <w:t>viewed.</w:t>
      </w:r>
    </w:p>
    <w:p>
      <w:pPr>
        <w:pStyle w:val="BodyText"/>
        <w:spacing w:line="213" w:lineRule="auto" w:before="232"/>
        <w:ind w:left="2472" w:right="1002"/>
      </w:pPr>
      <w:r>
        <w:rPr>
          <w:rFonts w:ascii="Book Antiqua"/>
          <w:b/>
          <w:color w:val="231F20"/>
        </w:rPr>
        <w:t>Group ID </w:t>
      </w:r>
      <w:r>
        <w:rPr>
          <w:color w:val="231F20"/>
        </w:rPr>
        <w:t>The value identifies the record type. The value 5655 identifies </w:t>
      </w:r>
      <w:r>
        <w:rPr>
          <w:color w:val="231F20"/>
        </w:rPr>
        <w:t>a self-describing product installation record. The value 5530 identifies a</w:t>
      </w:r>
    </w:p>
    <w:p>
      <w:pPr>
        <w:pStyle w:val="BodyText"/>
        <w:spacing w:line="245" w:lineRule="exact"/>
        <w:ind w:left="2472"/>
      </w:pPr>
      <w:r>
        <w:rPr>
          <w:color w:val="231F20"/>
        </w:rPr>
        <w:t>self-describing</w:t>
      </w:r>
      <w:r>
        <w:rPr>
          <w:color w:val="231F20"/>
          <w:spacing w:val="3"/>
        </w:rPr>
        <w:t> </w:t>
      </w:r>
      <w:r>
        <w:rPr>
          <w:color w:val="231F20"/>
        </w:rPr>
        <w:t>configuration</w:t>
      </w:r>
      <w:r>
        <w:rPr>
          <w:color w:val="231F20"/>
          <w:spacing w:val="4"/>
        </w:rPr>
        <w:t> </w:t>
      </w:r>
      <w:r>
        <w:rPr>
          <w:color w:val="231F20"/>
          <w:spacing w:val="-2"/>
        </w:rPr>
        <w:t>record.</w:t>
      </w:r>
    </w:p>
    <w:p>
      <w:pPr>
        <w:pStyle w:val="BodyText"/>
        <w:spacing w:before="209"/>
        <w:ind w:left="2472"/>
      </w:pPr>
      <w:r>
        <w:rPr>
          <w:rFonts w:ascii="Book Antiqua"/>
          <w:b/>
          <w:color w:val="231F20"/>
        </w:rPr>
        <w:t>ID</w:t>
      </w:r>
      <w:r>
        <w:rPr>
          <w:rFonts w:ascii="Book Antiqua"/>
          <w:b/>
          <w:color w:val="231F20"/>
          <w:spacing w:val="12"/>
        </w:rPr>
        <w:t> </w:t>
      </w:r>
      <w:r>
        <w:rPr>
          <w:color w:val="231F20"/>
        </w:rPr>
        <w:t>The</w:t>
      </w:r>
      <w:r>
        <w:rPr>
          <w:color w:val="231F20"/>
          <w:spacing w:val="12"/>
        </w:rPr>
        <w:t> </w:t>
      </w:r>
      <w:r>
        <w:rPr>
          <w:color w:val="231F20"/>
        </w:rPr>
        <w:t>value</w:t>
      </w:r>
      <w:r>
        <w:rPr>
          <w:color w:val="231F20"/>
          <w:spacing w:val="12"/>
        </w:rPr>
        <w:t> </w:t>
      </w:r>
      <w:r>
        <w:rPr>
          <w:color w:val="231F20"/>
        </w:rPr>
        <w:t>indicates</w:t>
      </w:r>
      <w:r>
        <w:rPr>
          <w:color w:val="231F20"/>
          <w:spacing w:val="12"/>
        </w:rPr>
        <w:t> </w:t>
      </w:r>
      <w:r>
        <w:rPr>
          <w:color w:val="231F20"/>
        </w:rPr>
        <w:t>the</w:t>
      </w:r>
      <w:r>
        <w:rPr>
          <w:color w:val="231F20"/>
          <w:spacing w:val="12"/>
        </w:rPr>
        <w:t> </w:t>
      </w:r>
      <w:r>
        <w:rPr>
          <w:color w:val="231F20"/>
        </w:rPr>
        <w:t>type</w:t>
      </w:r>
      <w:r>
        <w:rPr>
          <w:color w:val="231F20"/>
          <w:spacing w:val="12"/>
        </w:rPr>
        <w:t> </w:t>
      </w:r>
      <w:r>
        <w:rPr>
          <w:color w:val="231F20"/>
        </w:rPr>
        <w:t>of</w:t>
      </w:r>
      <w:r>
        <w:rPr>
          <w:color w:val="231F20"/>
          <w:spacing w:val="12"/>
        </w:rPr>
        <w:t> </w:t>
      </w:r>
      <w:r>
        <w:rPr>
          <w:color w:val="231F20"/>
          <w:spacing w:val="-2"/>
        </w:rPr>
        <w:t>record.</w:t>
      </w:r>
    </w:p>
    <w:p>
      <w:pPr>
        <w:pStyle w:val="BodyText"/>
        <w:spacing w:line="213" w:lineRule="auto" w:before="232"/>
        <w:ind w:left="2472"/>
      </w:pPr>
      <w:r>
        <w:rPr>
          <w:color w:val="231F20"/>
        </w:rPr>
        <w:t>The following values are the current package keys for self-describing </w:t>
      </w:r>
      <w:r>
        <w:rPr>
          <w:color w:val="231F20"/>
        </w:rPr>
        <w:t>installation </w:t>
      </w:r>
      <w:r>
        <w:rPr>
          <w:color w:val="231F20"/>
          <w:spacing w:val="-2"/>
        </w:rPr>
        <w:t>records:</w:t>
      </w:r>
    </w:p>
    <w:p>
      <w:pPr>
        <w:pStyle w:val="BodyText"/>
        <w:spacing w:before="9"/>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5"/>
                <w:sz w:val="18"/>
              </w:rPr>
              <w:t>Key</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1964" w:type="dxa"/>
          </w:tcPr>
          <w:p>
            <w:pPr>
              <w:pStyle w:val="TableParagraph"/>
              <w:ind w:left="44"/>
              <w:rPr>
                <w:sz w:val="18"/>
              </w:rPr>
            </w:pPr>
            <w:r>
              <w:rPr>
                <w:color w:val="231F20"/>
                <w:spacing w:val="-5"/>
                <w:sz w:val="18"/>
              </w:rPr>
              <w:t>TMS</w:t>
            </w:r>
          </w:p>
        </w:tc>
        <w:tc>
          <w:tcPr>
            <w:tcW w:w="5570" w:type="dxa"/>
          </w:tcPr>
          <w:p>
            <w:pPr>
              <w:pStyle w:val="TableParagraph"/>
              <w:rPr>
                <w:sz w:val="18"/>
              </w:rPr>
            </w:pPr>
            <w:r>
              <w:rPr>
                <w:color w:val="231F20"/>
                <w:sz w:val="18"/>
              </w:rPr>
              <w:t>Monitoring</w:t>
            </w:r>
            <w:r>
              <w:rPr>
                <w:color w:val="231F20"/>
                <w:spacing w:val="6"/>
                <w:sz w:val="18"/>
              </w:rPr>
              <w:t> </w:t>
            </w:r>
            <w:r>
              <w:rPr>
                <w:color w:val="231F20"/>
                <w:sz w:val="18"/>
              </w:rPr>
              <w:t>server</w:t>
            </w:r>
            <w:r>
              <w:rPr>
                <w:color w:val="231F20"/>
                <w:spacing w:val="6"/>
                <w:sz w:val="18"/>
              </w:rPr>
              <w:t> </w:t>
            </w:r>
            <w:r>
              <w:rPr>
                <w:color w:val="231F20"/>
                <w:sz w:val="18"/>
              </w:rPr>
              <w:t>product</w:t>
            </w:r>
            <w:r>
              <w:rPr>
                <w:color w:val="231F20"/>
                <w:spacing w:val="7"/>
                <w:sz w:val="18"/>
              </w:rPr>
              <w:t> </w:t>
            </w:r>
            <w:r>
              <w:rPr>
                <w:color w:val="231F20"/>
                <w:sz w:val="18"/>
              </w:rPr>
              <w:t>support</w:t>
            </w:r>
            <w:r>
              <w:rPr>
                <w:color w:val="231F20"/>
                <w:spacing w:val="6"/>
                <w:sz w:val="18"/>
              </w:rPr>
              <w:t> </w:t>
            </w:r>
            <w:r>
              <w:rPr>
                <w:color w:val="231F20"/>
                <w:spacing w:val="-2"/>
                <w:sz w:val="18"/>
              </w:rPr>
              <w:t>package</w:t>
            </w:r>
          </w:p>
        </w:tc>
      </w:tr>
      <w:tr>
        <w:trPr>
          <w:trHeight w:val="309" w:hRule="atLeast"/>
        </w:trPr>
        <w:tc>
          <w:tcPr>
            <w:tcW w:w="1964" w:type="dxa"/>
          </w:tcPr>
          <w:p>
            <w:pPr>
              <w:pStyle w:val="TableParagraph"/>
              <w:ind w:left="44"/>
              <w:rPr>
                <w:sz w:val="18"/>
              </w:rPr>
            </w:pPr>
            <w:r>
              <w:rPr>
                <w:color w:val="231F20"/>
                <w:spacing w:val="-5"/>
                <w:sz w:val="18"/>
              </w:rPr>
              <w:t>TPS</w:t>
            </w:r>
          </w:p>
        </w:tc>
        <w:tc>
          <w:tcPr>
            <w:tcW w:w="5570" w:type="dxa"/>
          </w:tcPr>
          <w:p>
            <w:pPr>
              <w:pStyle w:val="TableParagraph"/>
              <w:rPr>
                <w:sz w:val="18"/>
              </w:rPr>
            </w:pPr>
            <w:r>
              <w:rPr>
                <w:color w:val="231F20"/>
                <w:sz w:val="18"/>
              </w:rPr>
              <w:t>Portal</w:t>
            </w:r>
            <w:r>
              <w:rPr>
                <w:color w:val="231F20"/>
                <w:spacing w:val="7"/>
                <w:sz w:val="18"/>
              </w:rPr>
              <w:t> </w:t>
            </w:r>
            <w:r>
              <w:rPr>
                <w:color w:val="231F20"/>
                <w:sz w:val="18"/>
              </w:rPr>
              <w:t>server</w:t>
            </w:r>
            <w:r>
              <w:rPr>
                <w:color w:val="231F20"/>
                <w:spacing w:val="7"/>
                <w:sz w:val="18"/>
              </w:rPr>
              <w:t> </w:t>
            </w:r>
            <w:r>
              <w:rPr>
                <w:color w:val="231F20"/>
                <w:sz w:val="18"/>
              </w:rPr>
              <w:t>product</w:t>
            </w:r>
            <w:r>
              <w:rPr>
                <w:color w:val="231F20"/>
                <w:spacing w:val="8"/>
                <w:sz w:val="18"/>
              </w:rPr>
              <w:t> </w:t>
            </w:r>
            <w:r>
              <w:rPr>
                <w:color w:val="231F20"/>
                <w:sz w:val="18"/>
              </w:rPr>
              <w:t>support</w:t>
            </w:r>
            <w:r>
              <w:rPr>
                <w:color w:val="231F20"/>
                <w:spacing w:val="7"/>
                <w:sz w:val="18"/>
              </w:rPr>
              <w:t> </w:t>
            </w:r>
            <w:r>
              <w:rPr>
                <w:color w:val="231F20"/>
                <w:spacing w:val="-2"/>
                <w:sz w:val="18"/>
              </w:rPr>
              <w:t>package</w:t>
            </w:r>
          </w:p>
        </w:tc>
      </w:tr>
      <w:tr>
        <w:trPr>
          <w:trHeight w:val="314" w:hRule="atLeast"/>
        </w:trPr>
        <w:tc>
          <w:tcPr>
            <w:tcW w:w="1964" w:type="dxa"/>
          </w:tcPr>
          <w:p>
            <w:pPr>
              <w:pStyle w:val="TableParagraph"/>
              <w:ind w:left="44"/>
              <w:rPr>
                <w:sz w:val="18"/>
              </w:rPr>
            </w:pPr>
            <w:r>
              <w:rPr>
                <w:color w:val="231F20"/>
                <w:spacing w:val="-5"/>
                <w:sz w:val="18"/>
              </w:rPr>
              <w:t>TPW</w:t>
            </w:r>
          </w:p>
        </w:tc>
        <w:tc>
          <w:tcPr>
            <w:tcW w:w="5570" w:type="dxa"/>
          </w:tcPr>
          <w:p>
            <w:pPr>
              <w:pStyle w:val="TableParagraph"/>
              <w:rPr>
                <w:sz w:val="18"/>
              </w:rPr>
            </w:pPr>
            <w:r>
              <w:rPr>
                <w:color w:val="231F20"/>
                <w:sz w:val="18"/>
              </w:rPr>
              <w:t>Portal</w:t>
            </w:r>
            <w:r>
              <w:rPr>
                <w:color w:val="231F20"/>
                <w:spacing w:val="6"/>
                <w:sz w:val="18"/>
              </w:rPr>
              <w:t> </w:t>
            </w:r>
            <w:r>
              <w:rPr>
                <w:color w:val="231F20"/>
                <w:sz w:val="18"/>
              </w:rPr>
              <w:t>browser</w:t>
            </w:r>
            <w:r>
              <w:rPr>
                <w:color w:val="231F20"/>
                <w:spacing w:val="7"/>
                <w:sz w:val="18"/>
              </w:rPr>
              <w:t> </w:t>
            </w:r>
            <w:r>
              <w:rPr>
                <w:color w:val="231F20"/>
                <w:sz w:val="18"/>
              </w:rPr>
              <w:t>client</w:t>
            </w:r>
            <w:r>
              <w:rPr>
                <w:color w:val="231F20"/>
                <w:spacing w:val="7"/>
                <w:sz w:val="18"/>
              </w:rPr>
              <w:t> </w:t>
            </w:r>
            <w:r>
              <w:rPr>
                <w:color w:val="231F20"/>
                <w:sz w:val="18"/>
              </w:rPr>
              <w:t>product</w:t>
            </w:r>
            <w:r>
              <w:rPr>
                <w:color w:val="231F20"/>
                <w:spacing w:val="6"/>
                <w:sz w:val="18"/>
              </w:rPr>
              <w:t> </w:t>
            </w:r>
            <w:r>
              <w:rPr>
                <w:color w:val="231F20"/>
                <w:sz w:val="18"/>
              </w:rPr>
              <w:t>support</w:t>
            </w:r>
            <w:r>
              <w:rPr>
                <w:color w:val="231F20"/>
                <w:spacing w:val="7"/>
                <w:sz w:val="18"/>
              </w:rPr>
              <w:t> </w:t>
            </w:r>
            <w:r>
              <w:rPr>
                <w:color w:val="231F20"/>
                <w:spacing w:val="-2"/>
                <w:sz w:val="18"/>
              </w:rPr>
              <w:t>package</w:t>
            </w:r>
          </w:p>
        </w:tc>
      </w:tr>
    </w:tbl>
    <w:p>
      <w:pPr>
        <w:pStyle w:val="BodyText"/>
        <w:spacing w:before="138"/>
      </w:pPr>
    </w:p>
    <w:p>
      <w:pPr>
        <w:pStyle w:val="BodyText"/>
        <w:spacing w:line="213" w:lineRule="auto"/>
        <w:ind w:left="2472"/>
      </w:pPr>
      <w:r>
        <w:rPr>
          <w:color w:val="231F20"/>
        </w:rPr>
        <w:t>The following values are the current package keys for self-describing user or </w:t>
      </w:r>
      <w:r>
        <w:rPr>
          <w:color w:val="231F20"/>
        </w:rPr>
        <w:t>status configuration types:</w:t>
      </w:r>
    </w:p>
    <w:p>
      <w:pPr>
        <w:spacing w:after="0" w:line="213" w:lineRule="auto"/>
        <w:sectPr>
          <w:footerReference w:type="default" r:id="rId495"/>
          <w:footerReference w:type="even" r:id="rId496"/>
          <w:pgSz w:w="12240" w:h="15840"/>
          <w:pgMar w:header="0" w:footer="736" w:top="1180" w:bottom="920" w:left="1000" w:right="1060"/>
          <w:pgNumType w:start="429"/>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5"/>
                <w:sz w:val="18"/>
              </w:rPr>
              <w:t>Key</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1964" w:type="dxa"/>
          </w:tcPr>
          <w:p>
            <w:pPr>
              <w:pStyle w:val="TableParagraph"/>
              <w:ind w:left="44"/>
              <w:rPr>
                <w:sz w:val="18"/>
              </w:rPr>
            </w:pPr>
            <w:r>
              <w:rPr>
                <w:color w:val="231F20"/>
                <w:spacing w:val="-2"/>
                <w:sz w:val="18"/>
              </w:rPr>
              <w:t>SEEDDIST</w:t>
            </w:r>
          </w:p>
        </w:tc>
        <w:tc>
          <w:tcPr>
            <w:tcW w:w="5570" w:type="dxa"/>
          </w:tcPr>
          <w:p>
            <w:pPr>
              <w:pStyle w:val="TableParagraph"/>
              <w:rPr>
                <w:sz w:val="18"/>
              </w:rPr>
            </w:pPr>
            <w:r>
              <w:rPr>
                <w:color w:val="231F20"/>
                <w:sz w:val="18"/>
              </w:rPr>
              <w:t>Product</w:t>
            </w:r>
            <w:r>
              <w:rPr>
                <w:color w:val="231F20"/>
                <w:spacing w:val="4"/>
                <w:sz w:val="18"/>
              </w:rPr>
              <w:t> </w:t>
            </w:r>
            <w:r>
              <w:rPr>
                <w:color w:val="231F20"/>
                <w:sz w:val="18"/>
              </w:rPr>
              <w:t>seeding</w:t>
            </w:r>
            <w:r>
              <w:rPr>
                <w:color w:val="231F20"/>
                <w:spacing w:val="5"/>
                <w:sz w:val="18"/>
              </w:rPr>
              <w:t> </w:t>
            </w:r>
            <w:r>
              <w:rPr>
                <w:color w:val="231F20"/>
                <w:sz w:val="18"/>
              </w:rPr>
              <w:t>configuration</w:t>
            </w:r>
            <w:r>
              <w:rPr>
                <w:color w:val="231F20"/>
                <w:spacing w:val="5"/>
                <w:sz w:val="18"/>
              </w:rPr>
              <w:t> </w:t>
            </w:r>
            <w:r>
              <w:rPr>
                <w:color w:val="231F20"/>
                <w:spacing w:val="-2"/>
                <w:sz w:val="18"/>
              </w:rPr>
              <w:t>records</w:t>
            </w:r>
          </w:p>
        </w:tc>
      </w:tr>
      <w:tr>
        <w:trPr>
          <w:trHeight w:val="309" w:hRule="atLeast"/>
        </w:trPr>
        <w:tc>
          <w:tcPr>
            <w:tcW w:w="1964" w:type="dxa"/>
          </w:tcPr>
          <w:p>
            <w:pPr>
              <w:pStyle w:val="TableParagraph"/>
              <w:ind w:left="44"/>
              <w:rPr>
                <w:sz w:val="18"/>
              </w:rPr>
            </w:pPr>
            <w:r>
              <w:rPr>
                <w:color w:val="231F20"/>
                <w:spacing w:val="-2"/>
                <w:sz w:val="18"/>
              </w:rPr>
              <w:t>SDA_STAT</w:t>
            </w:r>
          </w:p>
        </w:tc>
        <w:tc>
          <w:tcPr>
            <w:tcW w:w="5570" w:type="dxa"/>
          </w:tcPr>
          <w:p>
            <w:pPr>
              <w:pStyle w:val="TableParagraph"/>
              <w:rPr>
                <w:sz w:val="18"/>
              </w:rPr>
            </w:pPr>
            <w:r>
              <w:rPr>
                <w:color w:val="231F20"/>
                <w:sz w:val="18"/>
              </w:rPr>
              <w:t>Monitoring</w:t>
            </w:r>
            <w:r>
              <w:rPr>
                <w:color w:val="231F20"/>
                <w:spacing w:val="6"/>
                <w:sz w:val="18"/>
              </w:rPr>
              <w:t> </w:t>
            </w:r>
            <w:r>
              <w:rPr>
                <w:color w:val="231F20"/>
                <w:sz w:val="18"/>
              </w:rPr>
              <w:t>server</w:t>
            </w:r>
            <w:r>
              <w:rPr>
                <w:color w:val="231F20"/>
                <w:spacing w:val="6"/>
                <w:sz w:val="18"/>
              </w:rPr>
              <w:t> </w:t>
            </w:r>
            <w:r>
              <w:rPr>
                <w:color w:val="231F20"/>
                <w:sz w:val="18"/>
              </w:rPr>
              <w:t>self-describing</w:t>
            </w:r>
            <w:r>
              <w:rPr>
                <w:color w:val="231F20"/>
                <w:spacing w:val="7"/>
                <w:sz w:val="18"/>
              </w:rPr>
              <w:t> </w:t>
            </w:r>
            <w:r>
              <w:rPr>
                <w:color w:val="231F20"/>
                <w:sz w:val="18"/>
              </w:rPr>
              <w:t>operation</w:t>
            </w:r>
            <w:r>
              <w:rPr>
                <w:color w:val="231F20"/>
                <w:spacing w:val="6"/>
                <w:sz w:val="18"/>
              </w:rPr>
              <w:t> </w:t>
            </w:r>
            <w:r>
              <w:rPr>
                <w:color w:val="231F20"/>
                <w:sz w:val="18"/>
              </w:rPr>
              <w:t>status</w:t>
            </w:r>
            <w:r>
              <w:rPr>
                <w:color w:val="231F20"/>
                <w:spacing w:val="6"/>
                <w:sz w:val="18"/>
              </w:rPr>
              <w:t> </w:t>
            </w:r>
            <w:r>
              <w:rPr>
                <w:color w:val="231F20"/>
                <w:spacing w:val="-2"/>
                <w:sz w:val="18"/>
              </w:rPr>
              <w:t>records</w:t>
            </w:r>
          </w:p>
        </w:tc>
      </w:tr>
      <w:tr>
        <w:trPr>
          <w:trHeight w:val="309" w:hRule="atLeast"/>
        </w:trPr>
        <w:tc>
          <w:tcPr>
            <w:tcW w:w="1964" w:type="dxa"/>
          </w:tcPr>
          <w:p>
            <w:pPr>
              <w:pStyle w:val="TableParagraph"/>
              <w:ind w:left="44"/>
              <w:rPr>
                <w:sz w:val="18"/>
              </w:rPr>
            </w:pPr>
            <w:r>
              <w:rPr>
                <w:color w:val="231F20"/>
                <w:spacing w:val="-2"/>
                <w:sz w:val="18"/>
              </w:rPr>
              <w:t>INSTALL</w:t>
            </w:r>
          </w:p>
        </w:tc>
        <w:tc>
          <w:tcPr>
            <w:tcW w:w="5570" w:type="dxa"/>
          </w:tcPr>
          <w:p>
            <w:pPr>
              <w:pStyle w:val="TableParagraph"/>
              <w:rPr>
                <w:sz w:val="18"/>
              </w:rPr>
            </w:pPr>
            <w:r>
              <w:rPr>
                <w:color w:val="231F20"/>
                <w:sz w:val="18"/>
              </w:rPr>
              <w:t>Product</w:t>
            </w:r>
            <w:r>
              <w:rPr>
                <w:color w:val="231F20"/>
                <w:spacing w:val="6"/>
                <w:sz w:val="18"/>
              </w:rPr>
              <w:t> </w:t>
            </w:r>
            <w:r>
              <w:rPr>
                <w:color w:val="231F20"/>
                <w:sz w:val="18"/>
              </w:rPr>
              <w:t>install</w:t>
            </w:r>
            <w:r>
              <w:rPr>
                <w:color w:val="231F20"/>
                <w:spacing w:val="7"/>
                <w:sz w:val="18"/>
              </w:rPr>
              <w:t> </w:t>
            </w:r>
            <w:r>
              <w:rPr>
                <w:color w:val="231F20"/>
                <w:sz w:val="18"/>
              </w:rPr>
              <w:t>user</w:t>
            </w:r>
            <w:r>
              <w:rPr>
                <w:color w:val="231F20"/>
                <w:spacing w:val="6"/>
                <w:sz w:val="18"/>
              </w:rPr>
              <w:t> </w:t>
            </w:r>
            <w:r>
              <w:rPr>
                <w:color w:val="231F20"/>
                <w:sz w:val="18"/>
              </w:rPr>
              <w:t>configuration</w:t>
            </w:r>
            <w:r>
              <w:rPr>
                <w:color w:val="231F20"/>
                <w:spacing w:val="7"/>
                <w:sz w:val="18"/>
              </w:rPr>
              <w:t> </w:t>
            </w:r>
            <w:r>
              <w:rPr>
                <w:color w:val="231F20"/>
                <w:spacing w:val="-2"/>
                <w:sz w:val="18"/>
              </w:rPr>
              <w:t>records</w:t>
            </w:r>
          </w:p>
        </w:tc>
      </w:tr>
      <w:tr>
        <w:trPr>
          <w:trHeight w:val="314" w:hRule="atLeast"/>
        </w:trPr>
        <w:tc>
          <w:tcPr>
            <w:tcW w:w="1964" w:type="dxa"/>
          </w:tcPr>
          <w:p>
            <w:pPr>
              <w:pStyle w:val="TableParagraph"/>
              <w:ind w:left="44"/>
              <w:rPr>
                <w:sz w:val="18"/>
              </w:rPr>
            </w:pPr>
            <w:r>
              <w:rPr>
                <w:color w:val="231F20"/>
                <w:spacing w:val="-2"/>
                <w:sz w:val="18"/>
              </w:rPr>
              <w:t>SUSPEND</w:t>
            </w:r>
          </w:p>
        </w:tc>
        <w:tc>
          <w:tcPr>
            <w:tcW w:w="5570" w:type="dxa"/>
          </w:tcPr>
          <w:p>
            <w:pPr>
              <w:pStyle w:val="TableParagraph"/>
              <w:rPr>
                <w:sz w:val="18"/>
              </w:rPr>
            </w:pPr>
            <w:r>
              <w:rPr>
                <w:color w:val="231F20"/>
                <w:sz w:val="18"/>
              </w:rPr>
              <w:t>User</w:t>
            </w:r>
            <w:r>
              <w:rPr>
                <w:color w:val="231F20"/>
                <w:spacing w:val="7"/>
                <w:sz w:val="18"/>
              </w:rPr>
              <w:t> </w:t>
            </w:r>
            <w:r>
              <w:rPr>
                <w:color w:val="231F20"/>
                <w:sz w:val="18"/>
              </w:rPr>
              <w:t>suspended</w:t>
            </w:r>
            <w:r>
              <w:rPr>
                <w:color w:val="231F20"/>
                <w:spacing w:val="7"/>
                <w:sz w:val="18"/>
              </w:rPr>
              <w:t> </w:t>
            </w:r>
            <w:r>
              <w:rPr>
                <w:color w:val="231F20"/>
                <w:sz w:val="18"/>
              </w:rPr>
              <w:t>operation</w:t>
            </w:r>
            <w:r>
              <w:rPr>
                <w:color w:val="231F20"/>
                <w:spacing w:val="7"/>
                <w:sz w:val="18"/>
              </w:rPr>
              <w:t> </w:t>
            </w:r>
            <w:r>
              <w:rPr>
                <w:color w:val="231F20"/>
                <w:spacing w:val="-2"/>
                <w:sz w:val="18"/>
              </w:rPr>
              <w:t>records</w:t>
            </w:r>
          </w:p>
        </w:tc>
      </w:tr>
    </w:tbl>
    <w:p>
      <w:pPr>
        <w:pStyle w:val="BodyText"/>
        <w:spacing w:before="155"/>
      </w:pPr>
    </w:p>
    <w:p>
      <w:pPr>
        <w:pStyle w:val="BodyText"/>
        <w:spacing w:line="213" w:lineRule="auto"/>
        <w:ind w:left="2232" w:right="545"/>
      </w:pPr>
      <w:r>
        <w:rPr>
          <w:rFonts w:ascii="Book Antiqua"/>
          <w:b/>
          <w:color w:val="231F20"/>
        </w:rPr>
        <w:t>ID Version </w:t>
      </w:r>
      <w:r>
        <w:rPr>
          <w:color w:val="231F20"/>
        </w:rPr>
        <w:t>The version of the ID column key for the self-describing product installation status records. The format is: VVRRMMFF (as in 06230100 for Version 6.2.3 Fix Pack 1) where:</w:t>
      </w:r>
    </w:p>
    <w:p>
      <w:pPr>
        <w:pStyle w:val="BodyText"/>
        <w:spacing w:line="266" w:lineRule="auto" w:before="35"/>
        <w:ind w:left="2532" w:right="6582"/>
      </w:pPr>
      <w:r>
        <w:rPr>
          <w:color w:val="231F20"/>
          <w:spacing w:val="-2"/>
          <w:w w:val="105"/>
        </w:rPr>
        <w:t>V</w:t>
      </w:r>
      <w:r>
        <w:rPr>
          <w:color w:val="231F20"/>
          <w:spacing w:val="-10"/>
          <w:w w:val="105"/>
        </w:rPr>
        <w:t> </w:t>
      </w:r>
      <w:r>
        <w:rPr>
          <w:color w:val="231F20"/>
          <w:spacing w:val="-2"/>
          <w:w w:val="105"/>
        </w:rPr>
        <w:t>=</w:t>
      </w:r>
      <w:r>
        <w:rPr>
          <w:color w:val="231F20"/>
          <w:spacing w:val="-10"/>
          <w:w w:val="105"/>
        </w:rPr>
        <w:t> </w:t>
      </w:r>
      <w:r>
        <w:rPr>
          <w:color w:val="231F20"/>
          <w:spacing w:val="-2"/>
          <w:w w:val="105"/>
        </w:rPr>
        <w:t>Version </w:t>
      </w:r>
      <w:r>
        <w:rPr>
          <w:color w:val="231F20"/>
        </w:rPr>
        <w:t>R</w:t>
      </w:r>
      <w:r>
        <w:rPr>
          <w:color w:val="231F20"/>
          <w:spacing w:val="25"/>
        </w:rPr>
        <w:t> </w:t>
      </w:r>
      <w:r>
        <w:rPr>
          <w:color w:val="231F20"/>
        </w:rPr>
        <w:t>=</w:t>
      </w:r>
      <w:r>
        <w:rPr>
          <w:color w:val="231F20"/>
          <w:spacing w:val="25"/>
        </w:rPr>
        <w:t> </w:t>
      </w:r>
      <w:r>
        <w:rPr>
          <w:color w:val="231F20"/>
          <w:spacing w:val="-2"/>
        </w:rPr>
        <w:t>Release</w:t>
      </w:r>
    </w:p>
    <w:p>
      <w:pPr>
        <w:pStyle w:val="BodyText"/>
        <w:spacing w:line="266" w:lineRule="auto"/>
        <w:ind w:left="2532" w:right="6058"/>
      </w:pPr>
      <w:r>
        <w:rPr>
          <w:color w:val="231F20"/>
          <w:spacing w:val="-2"/>
          <w:w w:val="105"/>
        </w:rPr>
        <w:t>M</w:t>
      </w:r>
      <w:r>
        <w:rPr>
          <w:color w:val="231F20"/>
          <w:spacing w:val="-10"/>
          <w:w w:val="105"/>
        </w:rPr>
        <w:t> </w:t>
      </w:r>
      <w:r>
        <w:rPr>
          <w:color w:val="231F20"/>
          <w:spacing w:val="-2"/>
          <w:w w:val="105"/>
        </w:rPr>
        <w:t>=</w:t>
      </w:r>
      <w:r>
        <w:rPr>
          <w:color w:val="231F20"/>
          <w:spacing w:val="-10"/>
          <w:w w:val="105"/>
        </w:rPr>
        <w:t> </w:t>
      </w:r>
      <w:r>
        <w:rPr>
          <w:color w:val="231F20"/>
          <w:spacing w:val="-2"/>
          <w:w w:val="105"/>
        </w:rPr>
        <w:t>Modification </w:t>
      </w:r>
      <w:r>
        <w:rPr>
          <w:color w:val="231F20"/>
          <w:w w:val="105"/>
        </w:rPr>
        <w:t>F = Interim Fix</w:t>
      </w:r>
    </w:p>
    <w:p>
      <w:pPr>
        <w:pStyle w:val="BodyText"/>
        <w:spacing w:line="213" w:lineRule="auto" w:before="202"/>
        <w:ind w:left="2232"/>
      </w:pPr>
      <w:r>
        <w:rPr>
          <w:rFonts w:ascii="Book Antiqua"/>
          <w:b/>
          <w:color w:val="231F20"/>
        </w:rPr>
        <w:t>Last Date </w:t>
      </w:r>
      <w:r>
        <w:rPr>
          <w:color w:val="231F20"/>
        </w:rPr>
        <w:t>The date and time of the last recorded update. The format is CYYMMDDHHMMSSmmm (as in 1120615074501000 for June 15, 2012 at </w:t>
      </w:r>
      <w:r>
        <w:rPr>
          <w:color w:val="231F20"/>
        </w:rPr>
        <w:t>07:45:01)</w:t>
      </w:r>
    </w:p>
    <w:p>
      <w:pPr>
        <w:pStyle w:val="BodyText"/>
        <w:spacing w:line="245" w:lineRule="exact"/>
        <w:ind w:left="2232"/>
      </w:pPr>
      <w:r>
        <w:rPr>
          <w:color w:val="231F20"/>
          <w:spacing w:val="-2"/>
        </w:rPr>
        <w:t>where:</w:t>
      </w:r>
    </w:p>
    <w:p>
      <w:pPr>
        <w:pStyle w:val="BodyText"/>
        <w:spacing w:line="266" w:lineRule="auto" w:before="30"/>
        <w:ind w:left="2532" w:right="4420"/>
      </w:pPr>
      <w:r>
        <w:rPr>
          <w:color w:val="231F20"/>
          <w:w w:val="105"/>
        </w:rPr>
        <w:t>C</w:t>
      </w:r>
      <w:r>
        <w:rPr>
          <w:color w:val="231F20"/>
          <w:spacing w:val="-6"/>
          <w:w w:val="105"/>
        </w:rPr>
        <w:t> </w:t>
      </w:r>
      <w:r>
        <w:rPr>
          <w:color w:val="231F20"/>
          <w:w w:val="105"/>
        </w:rPr>
        <w:t>=</w:t>
      </w:r>
      <w:r>
        <w:rPr>
          <w:color w:val="231F20"/>
          <w:spacing w:val="-6"/>
          <w:w w:val="105"/>
        </w:rPr>
        <w:t> </w:t>
      </w:r>
      <w:r>
        <w:rPr>
          <w:color w:val="231F20"/>
          <w:w w:val="105"/>
        </w:rPr>
        <w:t>Century</w:t>
      </w:r>
      <w:r>
        <w:rPr>
          <w:color w:val="231F20"/>
          <w:spacing w:val="-6"/>
          <w:w w:val="105"/>
        </w:rPr>
        <w:t> </w:t>
      </w:r>
      <w:r>
        <w:rPr>
          <w:color w:val="231F20"/>
          <w:w w:val="105"/>
        </w:rPr>
        <w:t>(0</w:t>
      </w:r>
      <w:r>
        <w:rPr>
          <w:color w:val="231F20"/>
          <w:spacing w:val="-6"/>
          <w:w w:val="105"/>
        </w:rPr>
        <w:t> </w:t>
      </w:r>
      <w:r>
        <w:rPr>
          <w:color w:val="231F20"/>
          <w:w w:val="105"/>
        </w:rPr>
        <w:t>for</w:t>
      </w:r>
      <w:r>
        <w:rPr>
          <w:color w:val="231F20"/>
          <w:spacing w:val="-6"/>
          <w:w w:val="105"/>
        </w:rPr>
        <w:t> </w:t>
      </w:r>
      <w:r>
        <w:rPr>
          <w:color w:val="231F20"/>
          <w:w w:val="105"/>
        </w:rPr>
        <w:t>20th,</w:t>
      </w:r>
      <w:r>
        <w:rPr>
          <w:color w:val="231F20"/>
          <w:spacing w:val="-6"/>
          <w:w w:val="105"/>
        </w:rPr>
        <w:t> </w:t>
      </w:r>
      <w:r>
        <w:rPr>
          <w:color w:val="231F20"/>
          <w:w w:val="105"/>
        </w:rPr>
        <w:t>1</w:t>
      </w:r>
      <w:r>
        <w:rPr>
          <w:color w:val="231F20"/>
          <w:spacing w:val="-6"/>
          <w:w w:val="105"/>
        </w:rPr>
        <w:t> </w:t>
      </w:r>
      <w:r>
        <w:rPr>
          <w:color w:val="231F20"/>
          <w:w w:val="105"/>
        </w:rPr>
        <w:t>for</w:t>
      </w:r>
      <w:r>
        <w:rPr>
          <w:color w:val="231F20"/>
          <w:spacing w:val="-6"/>
          <w:w w:val="105"/>
        </w:rPr>
        <w:t> </w:t>
      </w:r>
      <w:r>
        <w:rPr>
          <w:color w:val="231F20"/>
          <w:w w:val="105"/>
        </w:rPr>
        <w:t>21st) </w:t>
      </w:r>
      <w:r>
        <w:rPr>
          <w:color w:val="231F20"/>
          <w:spacing w:val="12"/>
          <w:w w:val="105"/>
        </w:rPr>
        <w:t>Y </w:t>
      </w:r>
      <w:r>
        <w:rPr>
          <w:color w:val="231F20"/>
          <w:w w:val="105"/>
        </w:rPr>
        <w:t>= Year</w:t>
      </w:r>
    </w:p>
    <w:p>
      <w:pPr>
        <w:pStyle w:val="BodyText"/>
        <w:spacing w:line="266" w:lineRule="auto"/>
        <w:ind w:left="2532" w:right="6582"/>
      </w:pP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Month D = Day</w:t>
      </w:r>
    </w:p>
    <w:p>
      <w:pPr>
        <w:pStyle w:val="BodyText"/>
        <w:spacing w:line="266" w:lineRule="auto"/>
        <w:ind w:left="2532" w:right="6559"/>
      </w:pPr>
      <w:r>
        <w:rPr>
          <w:color w:val="231F20"/>
          <w:w w:val="105"/>
        </w:rPr>
        <w:t>H = Hour M</w:t>
      </w:r>
      <w:r>
        <w:rPr>
          <w:color w:val="231F20"/>
          <w:spacing w:val="-10"/>
          <w:w w:val="105"/>
        </w:rPr>
        <w:t> </w:t>
      </w:r>
      <w:r>
        <w:rPr>
          <w:color w:val="231F20"/>
          <w:w w:val="105"/>
        </w:rPr>
        <w:t>=</w:t>
      </w:r>
      <w:r>
        <w:rPr>
          <w:color w:val="231F20"/>
          <w:spacing w:val="-10"/>
          <w:w w:val="105"/>
        </w:rPr>
        <w:t> </w:t>
      </w:r>
      <w:r>
        <w:rPr>
          <w:color w:val="231F20"/>
          <w:w w:val="105"/>
        </w:rPr>
        <w:t>Minute S = Second</w:t>
      </w:r>
    </w:p>
    <w:p>
      <w:pPr>
        <w:pStyle w:val="BodyText"/>
        <w:spacing w:line="269" w:lineRule="exact"/>
        <w:ind w:left="2532"/>
      </w:pPr>
      <w:r>
        <w:rPr>
          <w:color w:val="231F20"/>
          <w:w w:val="105"/>
        </w:rPr>
        <w:t>m</w:t>
      </w:r>
      <w:r>
        <w:rPr>
          <w:color w:val="231F20"/>
          <w:spacing w:val="15"/>
          <w:w w:val="105"/>
        </w:rPr>
        <w:t> </w:t>
      </w:r>
      <w:r>
        <w:rPr>
          <w:color w:val="231F20"/>
          <w:w w:val="105"/>
        </w:rPr>
        <w:t>=</w:t>
      </w:r>
      <w:r>
        <w:rPr>
          <w:color w:val="231F20"/>
          <w:spacing w:val="16"/>
          <w:w w:val="105"/>
        </w:rPr>
        <w:t> </w:t>
      </w:r>
      <w:r>
        <w:rPr>
          <w:color w:val="231F20"/>
          <w:spacing w:val="-2"/>
          <w:w w:val="105"/>
        </w:rPr>
        <w:t>Millisecond</w:t>
      </w:r>
    </w:p>
    <w:p>
      <w:pPr>
        <w:pStyle w:val="BodyText"/>
        <w:spacing w:line="213" w:lineRule="auto" w:before="231"/>
        <w:ind w:left="2232" w:right="545"/>
      </w:pPr>
      <w:r>
        <w:rPr>
          <w:rFonts w:ascii="Book Antiqua"/>
          <w:b/>
          <w:color w:val="231F20"/>
        </w:rPr>
        <w:t>Manual Install </w:t>
      </w:r>
      <w:r>
        <w:rPr>
          <w:color w:val="231F20"/>
        </w:rPr>
        <w:t>The value indicates a manual product install for </w:t>
      </w:r>
      <w:r>
        <w:rPr>
          <w:color w:val="231F20"/>
        </w:rPr>
        <w:t>self-describing product installation status records only. Valid values:</w:t>
      </w:r>
    </w:p>
    <w:p>
      <w:pPr>
        <w:pStyle w:val="BodyText"/>
        <w:spacing w:before="9"/>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2"/>
                <w:sz w:val="18"/>
              </w:rPr>
              <w:t>Value</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1964" w:type="dxa"/>
          </w:tcPr>
          <w:p>
            <w:pPr>
              <w:pStyle w:val="TableParagraph"/>
              <w:ind w:left="44"/>
              <w:rPr>
                <w:sz w:val="18"/>
              </w:rPr>
            </w:pPr>
            <w:r>
              <w:rPr>
                <w:color w:val="231F20"/>
                <w:spacing w:val="-10"/>
                <w:sz w:val="18"/>
              </w:rPr>
              <w:t>Y</w:t>
            </w:r>
          </w:p>
        </w:tc>
        <w:tc>
          <w:tcPr>
            <w:tcW w:w="5570" w:type="dxa"/>
          </w:tcPr>
          <w:p>
            <w:pPr>
              <w:pStyle w:val="TableParagraph"/>
              <w:rPr>
                <w:sz w:val="18"/>
              </w:rPr>
            </w:pPr>
            <w:r>
              <w:rPr>
                <w:color w:val="231F20"/>
                <w:sz w:val="18"/>
              </w:rPr>
              <w:t>The</w:t>
            </w:r>
            <w:r>
              <w:rPr>
                <w:color w:val="231F20"/>
                <w:spacing w:val="9"/>
                <w:sz w:val="18"/>
              </w:rPr>
              <w:t> </w:t>
            </w:r>
            <w:r>
              <w:rPr>
                <w:color w:val="231F20"/>
                <w:sz w:val="18"/>
              </w:rPr>
              <w:t>monitoring</w:t>
            </w:r>
            <w:r>
              <w:rPr>
                <w:color w:val="231F20"/>
                <w:spacing w:val="9"/>
                <w:sz w:val="18"/>
              </w:rPr>
              <w:t> </w:t>
            </w:r>
            <w:r>
              <w:rPr>
                <w:color w:val="231F20"/>
                <w:sz w:val="18"/>
              </w:rPr>
              <w:t>server</w:t>
            </w:r>
            <w:r>
              <w:rPr>
                <w:color w:val="231F20"/>
                <w:spacing w:val="10"/>
                <w:sz w:val="18"/>
              </w:rPr>
              <w:t> </w:t>
            </w:r>
            <w:r>
              <w:rPr>
                <w:color w:val="231F20"/>
                <w:sz w:val="18"/>
              </w:rPr>
              <w:t>support</w:t>
            </w:r>
            <w:r>
              <w:rPr>
                <w:color w:val="231F20"/>
                <w:spacing w:val="9"/>
                <w:sz w:val="18"/>
              </w:rPr>
              <w:t> </w:t>
            </w:r>
            <w:r>
              <w:rPr>
                <w:color w:val="231F20"/>
                <w:sz w:val="18"/>
              </w:rPr>
              <w:t>was</w:t>
            </w:r>
            <w:r>
              <w:rPr>
                <w:color w:val="231F20"/>
                <w:spacing w:val="10"/>
                <w:sz w:val="18"/>
              </w:rPr>
              <w:t> </w:t>
            </w:r>
            <w:r>
              <w:rPr>
                <w:color w:val="231F20"/>
                <w:sz w:val="18"/>
              </w:rPr>
              <w:t>applied</w:t>
            </w:r>
            <w:r>
              <w:rPr>
                <w:color w:val="231F20"/>
                <w:spacing w:val="9"/>
                <w:sz w:val="18"/>
              </w:rPr>
              <w:t> </w:t>
            </w:r>
            <w:r>
              <w:rPr>
                <w:color w:val="231F20"/>
                <w:sz w:val="18"/>
              </w:rPr>
              <w:t>by</w:t>
            </w:r>
            <w:r>
              <w:rPr>
                <w:color w:val="231F20"/>
                <w:spacing w:val="9"/>
                <w:sz w:val="18"/>
              </w:rPr>
              <w:t> </w:t>
            </w:r>
            <w:r>
              <w:rPr>
                <w:color w:val="231F20"/>
                <w:sz w:val="18"/>
              </w:rPr>
              <w:t>a</w:t>
            </w:r>
            <w:r>
              <w:rPr>
                <w:color w:val="231F20"/>
                <w:spacing w:val="10"/>
                <w:sz w:val="18"/>
              </w:rPr>
              <w:t> </w:t>
            </w:r>
            <w:r>
              <w:rPr>
                <w:color w:val="231F20"/>
                <w:sz w:val="18"/>
              </w:rPr>
              <w:t>manual</w:t>
            </w:r>
            <w:r>
              <w:rPr>
                <w:color w:val="231F20"/>
                <w:spacing w:val="9"/>
                <w:sz w:val="18"/>
              </w:rPr>
              <w:t> </w:t>
            </w:r>
            <w:r>
              <w:rPr>
                <w:color w:val="231F20"/>
                <w:spacing w:val="-2"/>
                <w:sz w:val="18"/>
              </w:rPr>
              <w:t>installer.</w:t>
            </w:r>
          </w:p>
        </w:tc>
      </w:tr>
      <w:tr>
        <w:trPr>
          <w:trHeight w:val="533" w:hRule="atLeast"/>
        </w:trPr>
        <w:tc>
          <w:tcPr>
            <w:tcW w:w="1964" w:type="dxa"/>
          </w:tcPr>
          <w:p>
            <w:pPr>
              <w:pStyle w:val="TableParagraph"/>
              <w:ind w:left="44"/>
              <w:rPr>
                <w:sz w:val="18"/>
              </w:rPr>
            </w:pPr>
            <w:r>
              <w:rPr>
                <w:color w:val="231F20"/>
                <w:spacing w:val="-10"/>
                <w:sz w:val="18"/>
              </w:rPr>
              <w:t>N</w:t>
            </w:r>
          </w:p>
        </w:tc>
        <w:tc>
          <w:tcPr>
            <w:tcW w:w="5570" w:type="dxa"/>
          </w:tcPr>
          <w:p>
            <w:pPr>
              <w:pStyle w:val="TableParagraph"/>
              <w:spacing w:line="216" w:lineRule="auto" w:before="44"/>
              <w:rPr>
                <w:sz w:val="18"/>
              </w:rPr>
            </w:pPr>
            <w:r>
              <w:rPr>
                <w:color w:val="231F20"/>
                <w:sz w:val="18"/>
              </w:rPr>
              <w:t>The monitoring server support was installed by the </w:t>
            </w:r>
            <w:r>
              <w:rPr>
                <w:color w:val="231F20"/>
                <w:sz w:val="18"/>
              </w:rPr>
              <w:t>self-describing </w:t>
            </w:r>
            <w:r>
              <w:rPr>
                <w:color w:val="231F20"/>
                <w:spacing w:val="-2"/>
                <w:sz w:val="18"/>
              </w:rPr>
              <w:t>process.</w:t>
            </w:r>
          </w:p>
        </w:tc>
      </w:tr>
    </w:tbl>
    <w:p>
      <w:pPr>
        <w:pStyle w:val="BodyText"/>
        <w:spacing w:before="138"/>
      </w:pPr>
    </w:p>
    <w:p>
      <w:pPr>
        <w:pStyle w:val="BodyText"/>
        <w:spacing w:line="213" w:lineRule="auto"/>
        <w:ind w:left="2232" w:right="545"/>
      </w:pPr>
      <w:r>
        <w:rPr>
          <w:rFonts w:ascii="Book Antiqua"/>
          <w:b/>
          <w:color w:val="231F20"/>
        </w:rPr>
        <w:t>Product </w:t>
      </w:r>
      <w:r>
        <w:rPr>
          <w:color w:val="231F20"/>
        </w:rPr>
        <w:t>The product code as reported by the self-describing product manifest </w:t>
      </w:r>
      <w:r>
        <w:rPr>
          <w:color w:val="231F20"/>
        </w:rPr>
        <w:t>file (such as </w:t>
      </w:r>
      <w:r>
        <w:rPr>
          <w:rFonts w:ascii="Arial"/>
          <w:color w:val="231F20"/>
        </w:rPr>
        <w:t>NT </w:t>
      </w:r>
      <w:r>
        <w:rPr>
          <w:color w:val="231F20"/>
        </w:rPr>
        <w:t>or </w:t>
      </w:r>
      <w:r>
        <w:rPr>
          <w:rFonts w:ascii="Arial"/>
          <w:color w:val="231F20"/>
        </w:rPr>
        <w:t>LZ</w:t>
      </w:r>
      <w:r>
        <w:rPr>
          <w:color w:val="231F20"/>
        </w:rPr>
        <w:t>). Typically returns the two-character product code. Some configuration records types return a value of </w:t>
      </w:r>
      <w:r>
        <w:rPr>
          <w:rFonts w:ascii="Arial"/>
          <w:color w:val="231F20"/>
        </w:rPr>
        <w:t>TEMS</w:t>
      </w:r>
      <w:r>
        <w:rPr>
          <w:color w:val="231F20"/>
        </w:rPr>
        <w:t>.</w:t>
      </w:r>
    </w:p>
    <w:p>
      <w:pPr>
        <w:pStyle w:val="BodyText"/>
        <w:spacing w:line="213" w:lineRule="auto" w:before="237"/>
        <w:ind w:left="2232" w:right="385"/>
      </w:pPr>
      <w:r>
        <w:rPr>
          <w:rFonts w:ascii="Book Antiqua"/>
          <w:b/>
          <w:color w:val="231F20"/>
        </w:rPr>
        <w:t>Product Version </w:t>
      </w:r>
      <w:r>
        <w:rPr>
          <w:color w:val="231F20"/>
        </w:rPr>
        <w:t>The version of the </w:t>
      </w:r>
      <w:r>
        <w:rPr>
          <w:rFonts w:ascii="Book Antiqua"/>
          <w:b/>
          <w:color w:val="231F20"/>
        </w:rPr>
        <w:t>Product </w:t>
      </w:r>
      <w:r>
        <w:rPr>
          <w:color w:val="231F20"/>
        </w:rPr>
        <w:t>attribute for self-describing </w:t>
      </w:r>
      <w:r>
        <w:rPr>
          <w:color w:val="231F20"/>
        </w:rPr>
        <w:t>installation status</w:t>
      </w:r>
      <w:r>
        <w:rPr>
          <w:color w:val="231F20"/>
          <w:spacing w:val="25"/>
        </w:rPr>
        <w:t> </w:t>
      </w:r>
      <w:r>
        <w:rPr>
          <w:color w:val="231F20"/>
        </w:rPr>
        <w:t>records.</w:t>
      </w:r>
      <w:r>
        <w:rPr>
          <w:color w:val="231F20"/>
          <w:spacing w:val="25"/>
        </w:rPr>
        <w:t> </w:t>
      </w:r>
      <w:r>
        <w:rPr>
          <w:color w:val="231F20"/>
        </w:rPr>
        <w:t>The</w:t>
      </w:r>
      <w:r>
        <w:rPr>
          <w:color w:val="231F20"/>
          <w:spacing w:val="25"/>
        </w:rPr>
        <w:t> </w:t>
      </w:r>
      <w:r>
        <w:rPr>
          <w:color w:val="231F20"/>
        </w:rPr>
        <w:t>format</w:t>
      </w:r>
      <w:r>
        <w:rPr>
          <w:color w:val="231F20"/>
          <w:spacing w:val="25"/>
        </w:rPr>
        <w:t> </w:t>
      </w:r>
      <w:r>
        <w:rPr>
          <w:color w:val="231F20"/>
        </w:rPr>
        <w:t>is:</w:t>
      </w:r>
      <w:r>
        <w:rPr>
          <w:color w:val="231F20"/>
          <w:spacing w:val="25"/>
        </w:rPr>
        <w:t> </w:t>
      </w:r>
      <w:r>
        <w:rPr>
          <w:color w:val="231F20"/>
        </w:rPr>
        <w:t>VVRRMMFF</w:t>
      </w:r>
      <w:r>
        <w:rPr>
          <w:color w:val="231F20"/>
          <w:spacing w:val="25"/>
        </w:rPr>
        <w:t> </w:t>
      </w:r>
      <w:r>
        <w:rPr>
          <w:color w:val="231F20"/>
        </w:rPr>
        <w:t>(as</w:t>
      </w:r>
      <w:r>
        <w:rPr>
          <w:color w:val="231F20"/>
          <w:spacing w:val="25"/>
        </w:rPr>
        <w:t> </w:t>
      </w:r>
      <w:r>
        <w:rPr>
          <w:color w:val="231F20"/>
        </w:rPr>
        <w:t>in</w:t>
      </w:r>
      <w:r>
        <w:rPr>
          <w:color w:val="231F20"/>
          <w:spacing w:val="25"/>
        </w:rPr>
        <w:t> </w:t>
      </w:r>
      <w:r>
        <w:rPr>
          <w:color w:val="231F20"/>
        </w:rPr>
        <w:t>06230100</w:t>
      </w:r>
      <w:r>
        <w:rPr>
          <w:color w:val="231F20"/>
          <w:spacing w:val="25"/>
        </w:rPr>
        <w:t> </w:t>
      </w:r>
      <w:r>
        <w:rPr>
          <w:color w:val="231F20"/>
        </w:rPr>
        <w:t>for</w:t>
      </w:r>
      <w:r>
        <w:rPr>
          <w:color w:val="231F20"/>
          <w:spacing w:val="25"/>
        </w:rPr>
        <w:t> </w:t>
      </w:r>
      <w:r>
        <w:rPr>
          <w:color w:val="231F20"/>
        </w:rPr>
        <w:t>Version</w:t>
      </w:r>
      <w:r>
        <w:rPr>
          <w:color w:val="231F20"/>
          <w:spacing w:val="25"/>
        </w:rPr>
        <w:t> </w:t>
      </w:r>
      <w:r>
        <w:rPr>
          <w:color w:val="231F20"/>
        </w:rPr>
        <w:t>6.2.3</w:t>
      </w:r>
      <w:r>
        <w:rPr>
          <w:color w:val="231F20"/>
          <w:spacing w:val="25"/>
        </w:rPr>
        <w:t> </w:t>
      </w:r>
      <w:r>
        <w:rPr>
          <w:color w:val="231F20"/>
        </w:rPr>
        <w:t>Fix Pack 1) where:</w:t>
      </w:r>
    </w:p>
    <w:p>
      <w:pPr>
        <w:pStyle w:val="BodyText"/>
        <w:spacing w:line="266" w:lineRule="auto" w:before="35"/>
        <w:ind w:left="2532" w:right="6582"/>
      </w:pPr>
      <w:r>
        <w:rPr>
          <w:color w:val="231F20"/>
          <w:spacing w:val="-2"/>
          <w:w w:val="105"/>
        </w:rPr>
        <w:t>V</w:t>
      </w:r>
      <w:r>
        <w:rPr>
          <w:color w:val="231F20"/>
          <w:spacing w:val="-10"/>
          <w:w w:val="105"/>
        </w:rPr>
        <w:t> </w:t>
      </w:r>
      <w:r>
        <w:rPr>
          <w:color w:val="231F20"/>
          <w:spacing w:val="-2"/>
          <w:w w:val="105"/>
        </w:rPr>
        <w:t>=</w:t>
      </w:r>
      <w:r>
        <w:rPr>
          <w:color w:val="231F20"/>
          <w:spacing w:val="-10"/>
          <w:w w:val="105"/>
        </w:rPr>
        <w:t> </w:t>
      </w:r>
      <w:r>
        <w:rPr>
          <w:color w:val="231F20"/>
          <w:spacing w:val="-2"/>
          <w:w w:val="105"/>
        </w:rPr>
        <w:t>Version </w:t>
      </w:r>
      <w:r>
        <w:rPr>
          <w:color w:val="231F20"/>
        </w:rPr>
        <w:t>R</w:t>
      </w:r>
      <w:r>
        <w:rPr>
          <w:color w:val="231F20"/>
          <w:spacing w:val="25"/>
        </w:rPr>
        <w:t> </w:t>
      </w:r>
      <w:r>
        <w:rPr>
          <w:color w:val="231F20"/>
        </w:rPr>
        <w:t>=</w:t>
      </w:r>
      <w:r>
        <w:rPr>
          <w:color w:val="231F20"/>
          <w:spacing w:val="25"/>
        </w:rPr>
        <w:t> </w:t>
      </w:r>
      <w:r>
        <w:rPr>
          <w:color w:val="231F20"/>
          <w:spacing w:val="-2"/>
        </w:rPr>
        <w:t>Release</w:t>
      </w:r>
    </w:p>
    <w:p>
      <w:pPr>
        <w:pStyle w:val="BodyText"/>
        <w:spacing w:line="266" w:lineRule="auto"/>
        <w:ind w:left="2532" w:right="6058"/>
      </w:pPr>
      <w:r>
        <w:rPr>
          <w:color w:val="231F20"/>
          <w:spacing w:val="-2"/>
          <w:w w:val="105"/>
        </w:rPr>
        <w:t>M</w:t>
      </w:r>
      <w:r>
        <w:rPr>
          <w:color w:val="231F20"/>
          <w:spacing w:val="-10"/>
          <w:w w:val="105"/>
        </w:rPr>
        <w:t> </w:t>
      </w:r>
      <w:r>
        <w:rPr>
          <w:color w:val="231F20"/>
          <w:spacing w:val="-2"/>
          <w:w w:val="105"/>
        </w:rPr>
        <w:t>=</w:t>
      </w:r>
      <w:r>
        <w:rPr>
          <w:color w:val="231F20"/>
          <w:spacing w:val="-10"/>
          <w:w w:val="105"/>
        </w:rPr>
        <w:t> </w:t>
      </w:r>
      <w:r>
        <w:rPr>
          <w:color w:val="231F20"/>
          <w:spacing w:val="-2"/>
          <w:w w:val="105"/>
        </w:rPr>
        <w:t>Modification </w:t>
      </w:r>
      <w:r>
        <w:rPr>
          <w:color w:val="231F20"/>
          <w:w w:val="105"/>
        </w:rPr>
        <w:t>F = Interim Fix</w:t>
      </w:r>
    </w:p>
    <w:p>
      <w:pPr>
        <w:pStyle w:val="BodyText"/>
        <w:spacing w:before="179"/>
        <w:ind w:left="2232"/>
      </w:pPr>
      <w:r>
        <w:rPr>
          <w:rFonts w:ascii="Book Antiqua"/>
          <w:b/>
          <w:color w:val="231F20"/>
        </w:rPr>
        <w:t>Resource</w:t>
      </w:r>
      <w:r>
        <w:rPr>
          <w:rFonts w:ascii="Book Antiqua"/>
          <w:b/>
          <w:color w:val="231F20"/>
          <w:spacing w:val="9"/>
        </w:rPr>
        <w:t> </w:t>
      </w:r>
      <w:r>
        <w:rPr>
          <w:color w:val="231F20"/>
        </w:rPr>
        <w:t>The</w:t>
      </w:r>
      <w:r>
        <w:rPr>
          <w:color w:val="231F20"/>
          <w:spacing w:val="10"/>
        </w:rPr>
        <w:t> </w:t>
      </w:r>
      <w:r>
        <w:rPr>
          <w:color w:val="231F20"/>
        </w:rPr>
        <w:t>self-describing</w:t>
      </w:r>
      <w:r>
        <w:rPr>
          <w:color w:val="231F20"/>
          <w:spacing w:val="10"/>
        </w:rPr>
        <w:t> </w:t>
      </w:r>
      <w:r>
        <w:rPr>
          <w:color w:val="231F20"/>
        </w:rPr>
        <w:t>package</w:t>
      </w:r>
      <w:r>
        <w:rPr>
          <w:color w:val="231F20"/>
          <w:spacing w:val="10"/>
        </w:rPr>
        <w:t> </w:t>
      </w:r>
      <w:r>
        <w:rPr>
          <w:color w:val="231F20"/>
        </w:rPr>
        <w:t>file</w:t>
      </w:r>
      <w:r>
        <w:rPr>
          <w:color w:val="231F20"/>
          <w:spacing w:val="10"/>
        </w:rPr>
        <w:t> </w:t>
      </w:r>
      <w:r>
        <w:rPr>
          <w:color w:val="231F20"/>
        </w:rPr>
        <w:t>name</w:t>
      </w:r>
      <w:r>
        <w:rPr>
          <w:color w:val="231F20"/>
          <w:spacing w:val="10"/>
        </w:rPr>
        <w:t> </w:t>
      </w:r>
      <w:r>
        <w:rPr>
          <w:color w:val="231F20"/>
        </w:rPr>
        <w:t>used</w:t>
      </w:r>
      <w:r>
        <w:rPr>
          <w:color w:val="231F20"/>
          <w:spacing w:val="10"/>
        </w:rPr>
        <w:t> </w:t>
      </w:r>
      <w:r>
        <w:rPr>
          <w:color w:val="231F20"/>
        </w:rPr>
        <w:t>for</w:t>
      </w:r>
      <w:r>
        <w:rPr>
          <w:color w:val="231F20"/>
          <w:spacing w:val="10"/>
        </w:rPr>
        <w:t> </w:t>
      </w:r>
      <w:r>
        <w:rPr>
          <w:color w:val="231F20"/>
        </w:rPr>
        <w:t>the</w:t>
      </w:r>
      <w:r>
        <w:rPr>
          <w:color w:val="231F20"/>
          <w:spacing w:val="10"/>
        </w:rPr>
        <w:t> </w:t>
      </w:r>
      <w:r>
        <w:rPr>
          <w:color w:val="231F20"/>
        </w:rPr>
        <w:t>product</w:t>
      </w:r>
      <w:r>
        <w:rPr>
          <w:color w:val="231F20"/>
          <w:spacing w:val="10"/>
        </w:rPr>
        <w:t> </w:t>
      </w:r>
      <w:r>
        <w:rPr>
          <w:color w:val="231F20"/>
          <w:spacing w:val="-2"/>
        </w:rPr>
        <w:t>installation.</w:t>
      </w:r>
    </w:p>
    <w:p>
      <w:pPr>
        <w:spacing w:after="0"/>
        <w:sectPr>
          <w:pgSz w:w="12240" w:h="15840"/>
          <w:pgMar w:header="0" w:footer="736" w:top="1300" w:bottom="920" w:left="1000" w:right="1060"/>
        </w:sectPr>
      </w:pPr>
    </w:p>
    <w:p>
      <w:pPr>
        <w:pStyle w:val="BodyText"/>
        <w:spacing w:line="213" w:lineRule="auto" w:before="85"/>
        <w:ind w:left="2472" w:right="493"/>
      </w:pPr>
      <w:bookmarkStart w:name="_bookmark337" w:id="705"/>
      <w:bookmarkEnd w:id="705"/>
      <w:r>
        <w:rPr/>
      </w:r>
      <w:r>
        <w:rPr>
          <w:rFonts w:ascii="Book Antiqua"/>
          <w:b/>
          <w:color w:val="231F20"/>
        </w:rPr>
        <w:t>Seeding State </w:t>
      </w:r>
      <w:r>
        <w:rPr>
          <w:color w:val="231F20"/>
        </w:rPr>
        <w:t>The product seed processing state or result of any product seed operation that is invoked directly by the monitoring server self-describing </w:t>
      </w:r>
      <w:r>
        <w:rPr>
          <w:color w:val="231F20"/>
        </w:rPr>
        <w:t>agent installation process. Valid values:</w:t>
      </w:r>
    </w:p>
    <w:p>
      <w:pPr>
        <w:pStyle w:val="BodyText"/>
        <w:spacing w:before="7"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2"/>
                <w:sz w:val="18"/>
              </w:rPr>
              <w:t>Value</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1964" w:type="dxa"/>
          </w:tcPr>
          <w:p>
            <w:pPr>
              <w:pStyle w:val="TableParagraph"/>
              <w:ind w:left="44"/>
              <w:rPr>
                <w:sz w:val="18"/>
              </w:rPr>
            </w:pPr>
            <w:r>
              <w:rPr>
                <w:color w:val="231F20"/>
                <w:spacing w:val="-10"/>
                <w:sz w:val="18"/>
              </w:rPr>
              <w:t>Y</w:t>
            </w:r>
          </w:p>
        </w:tc>
        <w:tc>
          <w:tcPr>
            <w:tcW w:w="5570" w:type="dxa"/>
          </w:tcPr>
          <w:p>
            <w:pPr>
              <w:pStyle w:val="TableParagraph"/>
              <w:rPr>
                <w:sz w:val="18"/>
              </w:rPr>
            </w:pPr>
            <w:r>
              <w:rPr>
                <w:color w:val="231F20"/>
                <w:sz w:val="18"/>
              </w:rPr>
              <w:t>Seed</w:t>
            </w:r>
            <w:r>
              <w:rPr>
                <w:color w:val="231F20"/>
                <w:spacing w:val="7"/>
                <w:sz w:val="18"/>
              </w:rPr>
              <w:t> </w:t>
            </w:r>
            <w:r>
              <w:rPr>
                <w:color w:val="231F20"/>
                <w:sz w:val="18"/>
              </w:rPr>
              <w:t>operation</w:t>
            </w:r>
            <w:r>
              <w:rPr>
                <w:color w:val="231F20"/>
                <w:spacing w:val="7"/>
                <w:sz w:val="18"/>
              </w:rPr>
              <w:t> </w:t>
            </w:r>
            <w:r>
              <w:rPr>
                <w:color w:val="231F20"/>
                <w:sz w:val="18"/>
              </w:rPr>
              <w:t>completed</w:t>
            </w:r>
            <w:r>
              <w:rPr>
                <w:color w:val="231F20"/>
                <w:spacing w:val="8"/>
                <w:sz w:val="18"/>
              </w:rPr>
              <w:t> </w:t>
            </w:r>
            <w:r>
              <w:rPr>
                <w:color w:val="231F20"/>
                <w:spacing w:val="-2"/>
                <w:sz w:val="18"/>
              </w:rPr>
              <w:t>successfully.</w:t>
            </w:r>
          </w:p>
        </w:tc>
      </w:tr>
      <w:tr>
        <w:trPr>
          <w:trHeight w:val="309" w:hRule="atLeast"/>
        </w:trPr>
        <w:tc>
          <w:tcPr>
            <w:tcW w:w="1964" w:type="dxa"/>
          </w:tcPr>
          <w:p>
            <w:pPr>
              <w:pStyle w:val="TableParagraph"/>
              <w:ind w:left="44"/>
              <w:rPr>
                <w:sz w:val="18"/>
              </w:rPr>
            </w:pPr>
            <w:r>
              <w:rPr>
                <w:color w:val="231F20"/>
                <w:spacing w:val="-10"/>
                <w:sz w:val="18"/>
              </w:rPr>
              <w:t>N</w:t>
            </w:r>
          </w:p>
        </w:tc>
        <w:tc>
          <w:tcPr>
            <w:tcW w:w="5570" w:type="dxa"/>
          </w:tcPr>
          <w:p>
            <w:pPr>
              <w:pStyle w:val="TableParagraph"/>
              <w:rPr>
                <w:sz w:val="18"/>
              </w:rPr>
            </w:pPr>
            <w:r>
              <w:rPr>
                <w:color w:val="231F20"/>
                <w:sz w:val="18"/>
              </w:rPr>
              <w:t>Seeding</w:t>
            </w:r>
            <w:r>
              <w:rPr>
                <w:color w:val="231F20"/>
                <w:spacing w:val="10"/>
                <w:sz w:val="18"/>
              </w:rPr>
              <w:t> </w:t>
            </w:r>
            <w:r>
              <w:rPr>
                <w:color w:val="231F20"/>
                <w:sz w:val="18"/>
              </w:rPr>
              <w:t>has</w:t>
            </w:r>
            <w:r>
              <w:rPr>
                <w:color w:val="231F20"/>
                <w:spacing w:val="10"/>
                <w:sz w:val="18"/>
              </w:rPr>
              <w:t> </w:t>
            </w:r>
            <w:r>
              <w:rPr>
                <w:color w:val="231F20"/>
                <w:sz w:val="18"/>
              </w:rPr>
              <w:t>not</w:t>
            </w:r>
            <w:r>
              <w:rPr>
                <w:color w:val="231F20"/>
                <w:spacing w:val="10"/>
                <w:sz w:val="18"/>
              </w:rPr>
              <w:t> </w:t>
            </w:r>
            <w:r>
              <w:rPr>
                <w:color w:val="231F20"/>
                <w:spacing w:val="-4"/>
                <w:sz w:val="18"/>
              </w:rPr>
              <w:t>run.</w:t>
            </w:r>
          </w:p>
        </w:tc>
      </w:tr>
      <w:tr>
        <w:trPr>
          <w:trHeight w:val="309" w:hRule="atLeast"/>
        </w:trPr>
        <w:tc>
          <w:tcPr>
            <w:tcW w:w="1964" w:type="dxa"/>
          </w:tcPr>
          <w:p>
            <w:pPr>
              <w:pStyle w:val="TableParagraph"/>
              <w:ind w:left="44"/>
              <w:rPr>
                <w:sz w:val="18"/>
              </w:rPr>
            </w:pPr>
            <w:r>
              <w:rPr>
                <w:color w:val="231F20"/>
                <w:spacing w:val="-10"/>
                <w:sz w:val="18"/>
              </w:rPr>
              <w:t>E</w:t>
            </w:r>
          </w:p>
        </w:tc>
        <w:tc>
          <w:tcPr>
            <w:tcW w:w="5570" w:type="dxa"/>
          </w:tcPr>
          <w:p>
            <w:pPr>
              <w:pStyle w:val="TableParagraph"/>
              <w:rPr>
                <w:sz w:val="18"/>
              </w:rPr>
            </w:pPr>
            <w:r>
              <w:rPr>
                <w:color w:val="231F20"/>
                <w:sz w:val="18"/>
              </w:rPr>
              <w:t>An</w:t>
            </w:r>
            <w:r>
              <w:rPr>
                <w:color w:val="231F20"/>
                <w:spacing w:val="8"/>
                <w:sz w:val="18"/>
              </w:rPr>
              <w:t> </w:t>
            </w:r>
            <w:r>
              <w:rPr>
                <w:color w:val="231F20"/>
                <w:sz w:val="18"/>
              </w:rPr>
              <w:t>error</w:t>
            </w:r>
            <w:r>
              <w:rPr>
                <w:color w:val="231F20"/>
                <w:spacing w:val="8"/>
                <w:sz w:val="18"/>
              </w:rPr>
              <w:t> </w:t>
            </w:r>
            <w:r>
              <w:rPr>
                <w:color w:val="231F20"/>
                <w:sz w:val="18"/>
              </w:rPr>
              <w:t>occurred</w:t>
            </w:r>
            <w:r>
              <w:rPr>
                <w:color w:val="231F20"/>
                <w:spacing w:val="8"/>
                <w:sz w:val="18"/>
              </w:rPr>
              <w:t> </w:t>
            </w:r>
            <w:r>
              <w:rPr>
                <w:color w:val="231F20"/>
                <w:sz w:val="18"/>
              </w:rPr>
              <w:t>during</w:t>
            </w:r>
            <w:r>
              <w:rPr>
                <w:color w:val="231F20"/>
                <w:spacing w:val="8"/>
                <w:sz w:val="18"/>
              </w:rPr>
              <w:t> </w:t>
            </w:r>
            <w:r>
              <w:rPr>
                <w:color w:val="231F20"/>
                <w:sz w:val="18"/>
              </w:rPr>
              <w:t>the</w:t>
            </w:r>
            <w:r>
              <w:rPr>
                <w:color w:val="231F20"/>
                <w:spacing w:val="8"/>
                <w:sz w:val="18"/>
              </w:rPr>
              <w:t> </w:t>
            </w:r>
            <w:r>
              <w:rPr>
                <w:color w:val="231F20"/>
                <w:sz w:val="18"/>
              </w:rPr>
              <w:t>seeding</w:t>
            </w:r>
            <w:r>
              <w:rPr>
                <w:color w:val="231F20"/>
                <w:spacing w:val="8"/>
                <w:sz w:val="18"/>
              </w:rPr>
              <w:t> </w:t>
            </w:r>
            <w:r>
              <w:rPr>
                <w:color w:val="231F20"/>
                <w:spacing w:val="-2"/>
                <w:sz w:val="18"/>
              </w:rPr>
              <w:t>operation.</w:t>
            </w:r>
          </w:p>
        </w:tc>
      </w:tr>
      <w:tr>
        <w:trPr>
          <w:trHeight w:val="309" w:hRule="atLeast"/>
        </w:trPr>
        <w:tc>
          <w:tcPr>
            <w:tcW w:w="1964" w:type="dxa"/>
          </w:tcPr>
          <w:p>
            <w:pPr>
              <w:pStyle w:val="TableParagraph"/>
              <w:ind w:left="44"/>
              <w:rPr>
                <w:sz w:val="18"/>
              </w:rPr>
            </w:pPr>
            <w:r>
              <w:rPr>
                <w:color w:val="231F20"/>
                <w:spacing w:val="-10"/>
                <w:sz w:val="18"/>
              </w:rPr>
              <w:t>I</w:t>
            </w:r>
          </w:p>
        </w:tc>
        <w:tc>
          <w:tcPr>
            <w:tcW w:w="5570" w:type="dxa"/>
          </w:tcPr>
          <w:p>
            <w:pPr>
              <w:pStyle w:val="TableParagraph"/>
              <w:rPr>
                <w:sz w:val="18"/>
              </w:rPr>
            </w:pPr>
            <w:r>
              <w:rPr>
                <w:color w:val="231F20"/>
                <w:sz w:val="18"/>
              </w:rPr>
              <w:t>Seed</w:t>
            </w:r>
            <w:r>
              <w:rPr>
                <w:color w:val="231F20"/>
                <w:spacing w:val="8"/>
                <w:sz w:val="18"/>
              </w:rPr>
              <w:t> </w:t>
            </w:r>
            <w:r>
              <w:rPr>
                <w:color w:val="231F20"/>
                <w:sz w:val="18"/>
              </w:rPr>
              <w:t>operation</w:t>
            </w:r>
            <w:r>
              <w:rPr>
                <w:color w:val="231F20"/>
                <w:spacing w:val="8"/>
                <w:sz w:val="18"/>
              </w:rPr>
              <w:t> </w:t>
            </w:r>
            <w:r>
              <w:rPr>
                <w:color w:val="231F20"/>
                <w:spacing w:val="-2"/>
                <w:sz w:val="18"/>
              </w:rPr>
              <w:t>started.</w:t>
            </w:r>
          </w:p>
        </w:tc>
      </w:tr>
      <w:tr>
        <w:trPr>
          <w:trHeight w:val="533" w:hRule="atLeast"/>
        </w:trPr>
        <w:tc>
          <w:tcPr>
            <w:tcW w:w="1964" w:type="dxa"/>
          </w:tcPr>
          <w:p>
            <w:pPr>
              <w:pStyle w:val="TableParagraph"/>
              <w:ind w:left="44"/>
              <w:rPr>
                <w:sz w:val="18"/>
              </w:rPr>
            </w:pPr>
            <w:r>
              <w:rPr>
                <w:color w:val="231F20"/>
                <w:spacing w:val="-10"/>
                <w:sz w:val="18"/>
              </w:rPr>
              <w:t>U</w:t>
            </w:r>
          </w:p>
        </w:tc>
        <w:tc>
          <w:tcPr>
            <w:tcW w:w="5570" w:type="dxa"/>
          </w:tcPr>
          <w:p>
            <w:pPr>
              <w:pStyle w:val="TableParagraph"/>
              <w:spacing w:line="216" w:lineRule="auto" w:before="44"/>
              <w:ind w:right="120"/>
              <w:rPr>
                <w:sz w:val="18"/>
              </w:rPr>
            </w:pPr>
            <w:r>
              <w:rPr>
                <w:color w:val="231F20"/>
                <w:sz w:val="18"/>
              </w:rPr>
              <w:t>State of seed operation is unknown and displays as blank. This is the initial value.</w:t>
            </w:r>
          </w:p>
        </w:tc>
      </w:tr>
    </w:tbl>
    <w:p>
      <w:pPr>
        <w:pStyle w:val="BodyText"/>
        <w:spacing w:before="139"/>
      </w:pPr>
    </w:p>
    <w:p>
      <w:pPr>
        <w:pStyle w:val="BodyText"/>
        <w:spacing w:line="213" w:lineRule="auto"/>
        <w:ind w:left="2472"/>
      </w:pPr>
      <w:r>
        <w:rPr>
          <w:rFonts w:ascii="Book Antiqua"/>
          <w:b/>
          <w:color w:val="231F20"/>
        </w:rPr>
        <w:t>State </w:t>
      </w:r>
      <w:r>
        <w:rPr>
          <w:color w:val="231F20"/>
        </w:rPr>
        <w:t>The processing state codes for the self-describing product installation </w:t>
      </w:r>
      <w:r>
        <w:rPr>
          <w:color w:val="231F20"/>
        </w:rPr>
        <w:t>status. Valid values:</w:t>
      </w:r>
    </w:p>
    <w:p>
      <w:pPr>
        <w:pStyle w:val="BodyText"/>
        <w:spacing w:before="8"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964"/>
        <w:gridCol w:w="5570"/>
      </w:tblGrid>
      <w:tr>
        <w:trPr>
          <w:trHeight w:val="274" w:hRule="atLeast"/>
        </w:trPr>
        <w:tc>
          <w:tcPr>
            <w:tcW w:w="1964" w:type="dxa"/>
          </w:tcPr>
          <w:p>
            <w:pPr>
              <w:pStyle w:val="TableParagraph"/>
              <w:spacing w:before="10"/>
              <w:ind w:left="44"/>
              <w:rPr>
                <w:rFonts w:ascii="Book Antiqua"/>
                <w:b/>
                <w:sz w:val="18"/>
              </w:rPr>
            </w:pPr>
            <w:r>
              <w:rPr>
                <w:rFonts w:ascii="Book Antiqua"/>
                <w:b/>
                <w:color w:val="231F20"/>
                <w:spacing w:val="-2"/>
                <w:sz w:val="18"/>
              </w:rPr>
              <w:t>Value</w:t>
            </w:r>
          </w:p>
        </w:tc>
        <w:tc>
          <w:tcPr>
            <w:tcW w:w="557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1964" w:type="dxa"/>
          </w:tcPr>
          <w:p>
            <w:pPr>
              <w:pStyle w:val="TableParagraph"/>
              <w:ind w:left="44"/>
              <w:rPr>
                <w:sz w:val="18"/>
              </w:rPr>
            </w:pPr>
            <w:r>
              <w:rPr>
                <w:color w:val="231F20"/>
                <w:spacing w:val="-5"/>
                <w:sz w:val="18"/>
              </w:rPr>
              <w:t>IR</w:t>
            </w:r>
          </w:p>
        </w:tc>
        <w:tc>
          <w:tcPr>
            <w:tcW w:w="5570" w:type="dxa"/>
          </w:tcPr>
          <w:p>
            <w:pPr>
              <w:pStyle w:val="TableParagraph"/>
              <w:rPr>
                <w:sz w:val="18"/>
              </w:rPr>
            </w:pPr>
            <w:r>
              <w:rPr>
                <w:color w:val="231F20"/>
                <w:sz w:val="18"/>
              </w:rPr>
              <w:t>Install</w:t>
            </w:r>
            <w:r>
              <w:rPr>
                <w:color w:val="231F20"/>
                <w:spacing w:val="9"/>
                <w:sz w:val="18"/>
              </w:rPr>
              <w:t> </w:t>
            </w:r>
            <w:r>
              <w:rPr>
                <w:color w:val="231F20"/>
                <w:spacing w:val="-2"/>
                <w:sz w:val="18"/>
              </w:rPr>
              <w:t>request</w:t>
            </w:r>
          </w:p>
        </w:tc>
      </w:tr>
      <w:tr>
        <w:trPr>
          <w:trHeight w:val="309" w:hRule="atLeast"/>
        </w:trPr>
        <w:tc>
          <w:tcPr>
            <w:tcW w:w="1964" w:type="dxa"/>
          </w:tcPr>
          <w:p>
            <w:pPr>
              <w:pStyle w:val="TableParagraph"/>
              <w:ind w:left="44"/>
              <w:rPr>
                <w:sz w:val="18"/>
              </w:rPr>
            </w:pPr>
            <w:r>
              <w:rPr>
                <w:color w:val="231F20"/>
                <w:spacing w:val="-5"/>
                <w:sz w:val="18"/>
              </w:rPr>
              <w:t>IM</w:t>
            </w:r>
          </w:p>
        </w:tc>
        <w:tc>
          <w:tcPr>
            <w:tcW w:w="5570" w:type="dxa"/>
          </w:tcPr>
          <w:p>
            <w:pPr>
              <w:pStyle w:val="TableParagraph"/>
              <w:rPr>
                <w:sz w:val="18"/>
              </w:rPr>
            </w:pPr>
            <w:r>
              <w:rPr>
                <w:color w:val="231F20"/>
                <w:sz w:val="18"/>
              </w:rPr>
              <w:t>Install</w:t>
            </w:r>
            <w:r>
              <w:rPr>
                <w:color w:val="231F20"/>
                <w:spacing w:val="9"/>
                <w:sz w:val="18"/>
              </w:rPr>
              <w:t> </w:t>
            </w:r>
            <w:r>
              <w:rPr>
                <w:color w:val="231F20"/>
                <w:spacing w:val="-2"/>
                <w:sz w:val="18"/>
              </w:rPr>
              <w:t>metadata</w:t>
            </w:r>
          </w:p>
        </w:tc>
      </w:tr>
      <w:tr>
        <w:trPr>
          <w:trHeight w:val="309" w:hRule="atLeast"/>
        </w:trPr>
        <w:tc>
          <w:tcPr>
            <w:tcW w:w="1964" w:type="dxa"/>
          </w:tcPr>
          <w:p>
            <w:pPr>
              <w:pStyle w:val="TableParagraph"/>
              <w:ind w:left="44"/>
              <w:rPr>
                <w:sz w:val="18"/>
              </w:rPr>
            </w:pPr>
            <w:r>
              <w:rPr>
                <w:color w:val="231F20"/>
                <w:spacing w:val="-5"/>
                <w:sz w:val="18"/>
              </w:rPr>
              <w:t>MC</w:t>
            </w:r>
          </w:p>
        </w:tc>
        <w:tc>
          <w:tcPr>
            <w:tcW w:w="5570" w:type="dxa"/>
          </w:tcPr>
          <w:p>
            <w:pPr>
              <w:pStyle w:val="TableParagraph"/>
              <w:rPr>
                <w:sz w:val="18"/>
              </w:rPr>
            </w:pPr>
            <w:r>
              <w:rPr>
                <w:color w:val="231F20"/>
                <w:sz w:val="18"/>
              </w:rPr>
              <w:t>Metadata</w:t>
            </w:r>
            <w:r>
              <w:rPr>
                <w:color w:val="231F20"/>
                <w:spacing w:val="6"/>
                <w:sz w:val="18"/>
              </w:rPr>
              <w:t> </w:t>
            </w:r>
            <w:r>
              <w:rPr>
                <w:color w:val="231F20"/>
                <w:spacing w:val="-2"/>
                <w:sz w:val="18"/>
              </w:rPr>
              <w:t>complete</w:t>
            </w:r>
          </w:p>
        </w:tc>
      </w:tr>
      <w:tr>
        <w:trPr>
          <w:trHeight w:val="309" w:hRule="atLeast"/>
        </w:trPr>
        <w:tc>
          <w:tcPr>
            <w:tcW w:w="1964" w:type="dxa"/>
          </w:tcPr>
          <w:p>
            <w:pPr>
              <w:pStyle w:val="TableParagraph"/>
              <w:ind w:left="44"/>
              <w:rPr>
                <w:sz w:val="18"/>
              </w:rPr>
            </w:pPr>
            <w:r>
              <w:rPr>
                <w:color w:val="231F20"/>
                <w:spacing w:val="-5"/>
                <w:sz w:val="18"/>
              </w:rPr>
              <w:t>ME</w:t>
            </w:r>
          </w:p>
        </w:tc>
        <w:tc>
          <w:tcPr>
            <w:tcW w:w="5570" w:type="dxa"/>
          </w:tcPr>
          <w:p>
            <w:pPr>
              <w:pStyle w:val="TableParagraph"/>
              <w:rPr>
                <w:sz w:val="18"/>
              </w:rPr>
            </w:pPr>
            <w:r>
              <w:rPr>
                <w:color w:val="231F20"/>
                <w:sz w:val="18"/>
              </w:rPr>
              <w:t>Metadata</w:t>
            </w:r>
            <w:r>
              <w:rPr>
                <w:color w:val="231F20"/>
                <w:spacing w:val="6"/>
                <w:sz w:val="18"/>
              </w:rPr>
              <w:t> </w:t>
            </w:r>
            <w:r>
              <w:rPr>
                <w:color w:val="231F20"/>
                <w:spacing w:val="-4"/>
                <w:sz w:val="18"/>
              </w:rPr>
              <w:t>error</w:t>
            </w:r>
          </w:p>
        </w:tc>
      </w:tr>
      <w:tr>
        <w:trPr>
          <w:trHeight w:val="309" w:hRule="atLeast"/>
        </w:trPr>
        <w:tc>
          <w:tcPr>
            <w:tcW w:w="1964" w:type="dxa"/>
          </w:tcPr>
          <w:p>
            <w:pPr>
              <w:pStyle w:val="TableParagraph"/>
              <w:ind w:left="44"/>
              <w:rPr>
                <w:sz w:val="18"/>
              </w:rPr>
            </w:pPr>
            <w:r>
              <w:rPr>
                <w:color w:val="231F20"/>
                <w:spacing w:val="-5"/>
                <w:sz w:val="18"/>
              </w:rPr>
              <w:t>IS</w:t>
            </w:r>
          </w:p>
        </w:tc>
        <w:tc>
          <w:tcPr>
            <w:tcW w:w="5570" w:type="dxa"/>
          </w:tcPr>
          <w:p>
            <w:pPr>
              <w:pStyle w:val="TableParagraph"/>
              <w:rPr>
                <w:sz w:val="18"/>
              </w:rPr>
            </w:pPr>
            <w:r>
              <w:rPr>
                <w:color w:val="231F20"/>
                <w:sz w:val="18"/>
              </w:rPr>
              <w:t>Install</w:t>
            </w:r>
            <w:r>
              <w:rPr>
                <w:color w:val="231F20"/>
                <w:spacing w:val="9"/>
                <w:sz w:val="18"/>
              </w:rPr>
              <w:t> </w:t>
            </w:r>
            <w:r>
              <w:rPr>
                <w:color w:val="231F20"/>
                <w:sz w:val="18"/>
              </w:rPr>
              <w:t>seed</w:t>
            </w:r>
            <w:r>
              <w:rPr>
                <w:color w:val="231F20"/>
                <w:spacing w:val="10"/>
                <w:sz w:val="18"/>
              </w:rPr>
              <w:t> </w:t>
            </w:r>
            <w:r>
              <w:rPr>
                <w:color w:val="231F20"/>
                <w:spacing w:val="-4"/>
                <w:sz w:val="18"/>
              </w:rPr>
              <w:t>data</w:t>
            </w:r>
          </w:p>
        </w:tc>
      </w:tr>
      <w:tr>
        <w:trPr>
          <w:trHeight w:val="309" w:hRule="atLeast"/>
        </w:trPr>
        <w:tc>
          <w:tcPr>
            <w:tcW w:w="1964" w:type="dxa"/>
          </w:tcPr>
          <w:p>
            <w:pPr>
              <w:pStyle w:val="TableParagraph"/>
              <w:ind w:left="44"/>
              <w:rPr>
                <w:sz w:val="18"/>
              </w:rPr>
            </w:pPr>
            <w:r>
              <w:rPr>
                <w:color w:val="231F20"/>
                <w:spacing w:val="-5"/>
                <w:sz w:val="18"/>
              </w:rPr>
              <w:t>SC</w:t>
            </w:r>
          </w:p>
        </w:tc>
        <w:tc>
          <w:tcPr>
            <w:tcW w:w="5570" w:type="dxa"/>
          </w:tcPr>
          <w:p>
            <w:pPr>
              <w:pStyle w:val="TableParagraph"/>
              <w:rPr>
                <w:sz w:val="18"/>
              </w:rPr>
            </w:pPr>
            <w:r>
              <w:rPr>
                <w:color w:val="231F20"/>
                <w:sz w:val="18"/>
              </w:rPr>
              <w:t>Seed</w:t>
            </w:r>
            <w:r>
              <w:rPr>
                <w:color w:val="231F20"/>
                <w:spacing w:val="9"/>
                <w:sz w:val="18"/>
              </w:rPr>
              <w:t> </w:t>
            </w:r>
            <w:r>
              <w:rPr>
                <w:color w:val="231F20"/>
                <w:sz w:val="18"/>
              </w:rPr>
              <w:t>data</w:t>
            </w:r>
            <w:r>
              <w:rPr>
                <w:color w:val="231F20"/>
                <w:spacing w:val="10"/>
                <w:sz w:val="18"/>
              </w:rPr>
              <w:t> </w:t>
            </w:r>
            <w:r>
              <w:rPr>
                <w:color w:val="231F20"/>
                <w:sz w:val="18"/>
              </w:rPr>
              <w:t>install</w:t>
            </w:r>
            <w:r>
              <w:rPr>
                <w:color w:val="231F20"/>
                <w:spacing w:val="10"/>
                <w:sz w:val="18"/>
              </w:rPr>
              <w:t> </w:t>
            </w:r>
            <w:r>
              <w:rPr>
                <w:color w:val="231F20"/>
                <w:spacing w:val="-2"/>
                <w:sz w:val="18"/>
              </w:rPr>
              <w:t>complete</w:t>
            </w:r>
          </w:p>
        </w:tc>
      </w:tr>
      <w:tr>
        <w:trPr>
          <w:trHeight w:val="309" w:hRule="atLeast"/>
        </w:trPr>
        <w:tc>
          <w:tcPr>
            <w:tcW w:w="1964" w:type="dxa"/>
          </w:tcPr>
          <w:p>
            <w:pPr>
              <w:pStyle w:val="TableParagraph"/>
              <w:ind w:left="44"/>
              <w:rPr>
                <w:sz w:val="18"/>
              </w:rPr>
            </w:pPr>
            <w:r>
              <w:rPr>
                <w:color w:val="231F20"/>
                <w:spacing w:val="-5"/>
                <w:sz w:val="18"/>
              </w:rPr>
              <w:t>SE</w:t>
            </w:r>
          </w:p>
        </w:tc>
        <w:tc>
          <w:tcPr>
            <w:tcW w:w="5570" w:type="dxa"/>
          </w:tcPr>
          <w:p>
            <w:pPr>
              <w:pStyle w:val="TableParagraph"/>
              <w:rPr>
                <w:sz w:val="18"/>
              </w:rPr>
            </w:pPr>
            <w:r>
              <w:rPr>
                <w:color w:val="231F20"/>
                <w:sz w:val="18"/>
              </w:rPr>
              <w:t>Seed</w:t>
            </w:r>
            <w:r>
              <w:rPr>
                <w:color w:val="231F20"/>
                <w:spacing w:val="9"/>
                <w:sz w:val="18"/>
              </w:rPr>
              <w:t> </w:t>
            </w:r>
            <w:r>
              <w:rPr>
                <w:color w:val="231F20"/>
                <w:sz w:val="18"/>
              </w:rPr>
              <w:t>data</w:t>
            </w:r>
            <w:r>
              <w:rPr>
                <w:color w:val="231F20"/>
                <w:spacing w:val="10"/>
                <w:sz w:val="18"/>
              </w:rPr>
              <w:t> </w:t>
            </w:r>
            <w:r>
              <w:rPr>
                <w:color w:val="231F20"/>
                <w:sz w:val="18"/>
              </w:rPr>
              <w:t>error</w:t>
            </w:r>
            <w:r>
              <w:rPr>
                <w:color w:val="231F20"/>
                <w:spacing w:val="10"/>
                <w:sz w:val="18"/>
              </w:rPr>
              <w:t> </w:t>
            </w:r>
            <w:r>
              <w:rPr>
                <w:color w:val="231F20"/>
                <w:sz w:val="18"/>
              </w:rPr>
              <w:t>or</w:t>
            </w:r>
            <w:r>
              <w:rPr>
                <w:color w:val="231F20"/>
                <w:spacing w:val="10"/>
                <w:sz w:val="18"/>
              </w:rPr>
              <w:t> </w:t>
            </w:r>
            <w:r>
              <w:rPr>
                <w:color w:val="231F20"/>
                <w:spacing w:val="-2"/>
                <w:sz w:val="18"/>
              </w:rPr>
              <w:t>incomplete</w:t>
            </w:r>
          </w:p>
        </w:tc>
      </w:tr>
      <w:tr>
        <w:trPr>
          <w:trHeight w:val="309" w:hRule="atLeast"/>
        </w:trPr>
        <w:tc>
          <w:tcPr>
            <w:tcW w:w="1964" w:type="dxa"/>
          </w:tcPr>
          <w:p>
            <w:pPr>
              <w:pStyle w:val="TableParagraph"/>
              <w:ind w:left="44"/>
              <w:rPr>
                <w:sz w:val="18"/>
              </w:rPr>
            </w:pPr>
            <w:r>
              <w:rPr>
                <w:color w:val="231F20"/>
                <w:spacing w:val="-5"/>
                <w:sz w:val="18"/>
              </w:rPr>
              <w:t>IC</w:t>
            </w:r>
          </w:p>
        </w:tc>
        <w:tc>
          <w:tcPr>
            <w:tcW w:w="5570" w:type="dxa"/>
          </w:tcPr>
          <w:p>
            <w:pPr>
              <w:pStyle w:val="TableParagraph"/>
              <w:rPr>
                <w:sz w:val="18"/>
              </w:rPr>
            </w:pPr>
            <w:r>
              <w:rPr>
                <w:color w:val="231F20"/>
                <w:sz w:val="18"/>
              </w:rPr>
              <w:t>Installation</w:t>
            </w:r>
            <w:r>
              <w:rPr>
                <w:color w:val="231F20"/>
                <w:spacing w:val="5"/>
                <w:sz w:val="18"/>
              </w:rPr>
              <w:t> </w:t>
            </w:r>
            <w:r>
              <w:rPr>
                <w:color w:val="231F20"/>
                <w:spacing w:val="-2"/>
                <w:sz w:val="18"/>
              </w:rPr>
              <w:t>complete</w:t>
            </w:r>
          </w:p>
        </w:tc>
      </w:tr>
      <w:tr>
        <w:trPr>
          <w:trHeight w:val="314" w:hRule="atLeast"/>
        </w:trPr>
        <w:tc>
          <w:tcPr>
            <w:tcW w:w="1964" w:type="dxa"/>
          </w:tcPr>
          <w:p>
            <w:pPr>
              <w:pStyle w:val="TableParagraph"/>
              <w:spacing w:before="0"/>
              <w:ind w:left="0"/>
              <w:rPr>
                <w:rFonts w:ascii="Times New Roman"/>
                <w:sz w:val="18"/>
              </w:rPr>
            </w:pPr>
          </w:p>
        </w:tc>
        <w:tc>
          <w:tcPr>
            <w:tcW w:w="5570" w:type="dxa"/>
          </w:tcPr>
          <w:p>
            <w:pPr>
              <w:pStyle w:val="TableParagraph"/>
              <w:rPr>
                <w:sz w:val="18"/>
              </w:rPr>
            </w:pPr>
            <w:r>
              <w:rPr>
                <w:color w:val="231F20"/>
                <w:sz w:val="18"/>
              </w:rPr>
              <w:t>(Blank)</w:t>
            </w:r>
            <w:r>
              <w:rPr>
                <w:color w:val="231F20"/>
                <w:spacing w:val="8"/>
                <w:sz w:val="18"/>
              </w:rPr>
              <w:t> </w:t>
            </w:r>
            <w:r>
              <w:rPr>
                <w:color w:val="231F20"/>
                <w:sz w:val="18"/>
              </w:rPr>
              <w:t>Product</w:t>
            </w:r>
            <w:r>
              <w:rPr>
                <w:color w:val="231F20"/>
                <w:spacing w:val="8"/>
                <w:sz w:val="18"/>
              </w:rPr>
              <w:t> </w:t>
            </w:r>
            <w:r>
              <w:rPr>
                <w:color w:val="231F20"/>
                <w:sz w:val="18"/>
              </w:rPr>
              <w:t>installed</w:t>
            </w:r>
            <w:r>
              <w:rPr>
                <w:color w:val="231F20"/>
                <w:spacing w:val="8"/>
                <w:sz w:val="18"/>
              </w:rPr>
              <w:t> </w:t>
            </w:r>
            <w:r>
              <w:rPr>
                <w:color w:val="231F20"/>
                <w:sz w:val="18"/>
              </w:rPr>
              <w:t>manually</w:t>
            </w:r>
            <w:r>
              <w:rPr>
                <w:color w:val="231F20"/>
                <w:spacing w:val="8"/>
                <w:sz w:val="18"/>
              </w:rPr>
              <w:t> </w:t>
            </w:r>
            <w:r>
              <w:rPr>
                <w:color w:val="231F20"/>
                <w:sz w:val="18"/>
              </w:rPr>
              <w:t>and</w:t>
            </w:r>
            <w:r>
              <w:rPr>
                <w:color w:val="231F20"/>
                <w:spacing w:val="8"/>
                <w:sz w:val="18"/>
              </w:rPr>
              <w:t> </w:t>
            </w:r>
            <w:r>
              <w:rPr>
                <w:color w:val="231F20"/>
                <w:sz w:val="18"/>
              </w:rPr>
              <w:t>not</w:t>
            </w:r>
            <w:r>
              <w:rPr>
                <w:color w:val="231F20"/>
                <w:spacing w:val="8"/>
                <w:sz w:val="18"/>
              </w:rPr>
              <w:t> </w:t>
            </w:r>
            <w:r>
              <w:rPr>
                <w:color w:val="231F20"/>
                <w:sz w:val="18"/>
              </w:rPr>
              <w:t>by</w:t>
            </w:r>
            <w:r>
              <w:rPr>
                <w:color w:val="231F20"/>
                <w:spacing w:val="8"/>
                <w:sz w:val="18"/>
              </w:rPr>
              <w:t> </w:t>
            </w:r>
            <w:r>
              <w:rPr>
                <w:color w:val="231F20"/>
                <w:sz w:val="18"/>
              </w:rPr>
              <w:t>self-</w:t>
            </w:r>
            <w:r>
              <w:rPr>
                <w:color w:val="231F20"/>
                <w:spacing w:val="-2"/>
                <w:sz w:val="18"/>
              </w:rPr>
              <w:t>description.</w:t>
            </w:r>
          </w:p>
        </w:tc>
      </w:tr>
    </w:tbl>
    <w:p>
      <w:pPr>
        <w:pStyle w:val="BodyText"/>
        <w:spacing w:before="139"/>
      </w:pPr>
    </w:p>
    <w:p>
      <w:pPr>
        <w:pStyle w:val="BodyText"/>
        <w:spacing w:line="213" w:lineRule="auto" w:before="1"/>
        <w:ind w:left="2472" w:right="460"/>
      </w:pPr>
      <w:r>
        <w:rPr>
          <w:rFonts w:ascii="Book Antiqua"/>
          <w:b/>
          <w:color w:val="231F20"/>
        </w:rPr>
        <w:t>Status </w:t>
      </w:r>
      <w:r>
        <w:rPr>
          <w:color w:val="231F20"/>
        </w:rPr>
        <w:t>The operation or phase completion status, if any. A zero (0) indicates </w:t>
      </w:r>
      <w:r>
        <w:rPr>
          <w:color w:val="231F20"/>
        </w:rPr>
        <w:t>that self-describing is enabled.</w:t>
      </w:r>
    </w:p>
    <w:p>
      <w:pPr>
        <w:pStyle w:val="BodyText"/>
        <w:spacing w:line="213" w:lineRule="auto" w:before="238"/>
        <w:ind w:left="2472"/>
      </w:pPr>
      <w:r>
        <w:rPr>
          <w:rFonts w:ascii="Book Antiqua"/>
          <w:b/>
          <w:color w:val="231F20"/>
        </w:rPr>
        <w:t>Timestamp </w:t>
      </w:r>
      <w:r>
        <w:rPr>
          <w:color w:val="231F20"/>
        </w:rPr>
        <w:t>The date and time the TAPPLPROPS record was created. The format </w:t>
      </w:r>
      <w:r>
        <w:rPr>
          <w:color w:val="231F20"/>
        </w:rPr>
        <w:t>is CYYMMDDHHMMSSmmm (as in 1120615074501000 for June 15, 2012 at 07:45:01)</w:t>
      </w:r>
    </w:p>
    <w:p>
      <w:pPr>
        <w:pStyle w:val="BodyText"/>
        <w:spacing w:line="245" w:lineRule="exact"/>
        <w:ind w:left="2472"/>
      </w:pPr>
      <w:r>
        <w:rPr>
          <w:color w:val="231F20"/>
          <w:spacing w:val="-2"/>
        </w:rPr>
        <w:t>where:</w:t>
      </w:r>
    </w:p>
    <w:p>
      <w:pPr>
        <w:pStyle w:val="BodyText"/>
        <w:spacing w:line="266" w:lineRule="auto" w:before="29"/>
        <w:ind w:left="2771" w:right="4197"/>
      </w:pPr>
      <w:r>
        <w:rPr>
          <w:color w:val="231F20"/>
          <w:w w:val="105"/>
        </w:rPr>
        <w:t>C</w:t>
      </w:r>
      <w:r>
        <w:rPr>
          <w:color w:val="231F20"/>
          <w:spacing w:val="-6"/>
          <w:w w:val="105"/>
        </w:rPr>
        <w:t> </w:t>
      </w:r>
      <w:r>
        <w:rPr>
          <w:color w:val="231F20"/>
          <w:w w:val="105"/>
        </w:rPr>
        <w:t>=</w:t>
      </w:r>
      <w:r>
        <w:rPr>
          <w:color w:val="231F20"/>
          <w:spacing w:val="-6"/>
          <w:w w:val="105"/>
        </w:rPr>
        <w:t> </w:t>
      </w:r>
      <w:r>
        <w:rPr>
          <w:color w:val="231F20"/>
          <w:w w:val="105"/>
        </w:rPr>
        <w:t>Century</w:t>
      </w:r>
      <w:r>
        <w:rPr>
          <w:color w:val="231F20"/>
          <w:spacing w:val="-6"/>
          <w:w w:val="105"/>
        </w:rPr>
        <w:t> </w:t>
      </w:r>
      <w:r>
        <w:rPr>
          <w:color w:val="231F20"/>
          <w:w w:val="105"/>
        </w:rPr>
        <w:t>(0</w:t>
      </w:r>
      <w:r>
        <w:rPr>
          <w:color w:val="231F20"/>
          <w:spacing w:val="-6"/>
          <w:w w:val="105"/>
        </w:rPr>
        <w:t> </w:t>
      </w:r>
      <w:r>
        <w:rPr>
          <w:color w:val="231F20"/>
          <w:w w:val="105"/>
        </w:rPr>
        <w:t>for</w:t>
      </w:r>
      <w:r>
        <w:rPr>
          <w:color w:val="231F20"/>
          <w:spacing w:val="-6"/>
          <w:w w:val="105"/>
        </w:rPr>
        <w:t> </w:t>
      </w:r>
      <w:r>
        <w:rPr>
          <w:color w:val="231F20"/>
          <w:w w:val="105"/>
        </w:rPr>
        <w:t>20th,</w:t>
      </w:r>
      <w:r>
        <w:rPr>
          <w:color w:val="231F20"/>
          <w:spacing w:val="-6"/>
          <w:w w:val="105"/>
        </w:rPr>
        <w:t> </w:t>
      </w:r>
      <w:r>
        <w:rPr>
          <w:color w:val="231F20"/>
          <w:w w:val="105"/>
        </w:rPr>
        <w:t>1</w:t>
      </w:r>
      <w:r>
        <w:rPr>
          <w:color w:val="231F20"/>
          <w:spacing w:val="-6"/>
          <w:w w:val="105"/>
        </w:rPr>
        <w:t> </w:t>
      </w:r>
      <w:r>
        <w:rPr>
          <w:color w:val="231F20"/>
          <w:w w:val="105"/>
        </w:rPr>
        <w:t>for</w:t>
      </w:r>
      <w:r>
        <w:rPr>
          <w:color w:val="231F20"/>
          <w:spacing w:val="-6"/>
          <w:w w:val="105"/>
        </w:rPr>
        <w:t> </w:t>
      </w:r>
      <w:r>
        <w:rPr>
          <w:color w:val="231F20"/>
          <w:w w:val="105"/>
        </w:rPr>
        <w:t>21st) </w:t>
      </w:r>
      <w:r>
        <w:rPr>
          <w:color w:val="231F20"/>
          <w:spacing w:val="12"/>
          <w:w w:val="105"/>
        </w:rPr>
        <w:t>Y </w:t>
      </w:r>
      <w:r>
        <w:rPr>
          <w:color w:val="231F20"/>
          <w:w w:val="105"/>
        </w:rPr>
        <w:t>= Year</w:t>
      </w:r>
    </w:p>
    <w:p>
      <w:pPr>
        <w:pStyle w:val="BodyText"/>
        <w:spacing w:line="266" w:lineRule="auto"/>
        <w:ind w:left="2771" w:right="6351"/>
      </w:pP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Month D = Day</w:t>
      </w:r>
    </w:p>
    <w:p>
      <w:pPr>
        <w:pStyle w:val="BodyText"/>
        <w:spacing w:line="266" w:lineRule="auto"/>
        <w:ind w:left="2771" w:right="6319"/>
      </w:pPr>
      <w:r>
        <w:rPr>
          <w:color w:val="231F20"/>
          <w:w w:val="105"/>
        </w:rPr>
        <w:t>H = Hour M</w:t>
      </w:r>
      <w:r>
        <w:rPr>
          <w:color w:val="231F20"/>
          <w:spacing w:val="-10"/>
          <w:w w:val="105"/>
        </w:rPr>
        <w:t> </w:t>
      </w:r>
      <w:r>
        <w:rPr>
          <w:color w:val="231F20"/>
          <w:w w:val="105"/>
        </w:rPr>
        <w:t>=</w:t>
      </w:r>
      <w:r>
        <w:rPr>
          <w:color w:val="231F20"/>
          <w:spacing w:val="-10"/>
          <w:w w:val="105"/>
        </w:rPr>
        <w:t> </w:t>
      </w:r>
      <w:r>
        <w:rPr>
          <w:color w:val="231F20"/>
          <w:w w:val="105"/>
        </w:rPr>
        <w:t>Minute S = Second</w:t>
      </w:r>
    </w:p>
    <w:p>
      <w:pPr>
        <w:pStyle w:val="BodyText"/>
        <w:spacing w:line="269" w:lineRule="exact"/>
        <w:ind w:left="2771"/>
      </w:pPr>
      <w:r>
        <w:rPr>
          <w:color w:val="231F20"/>
        </w:rPr>
        <w:t>m=</w:t>
      </w:r>
      <w:r>
        <w:rPr>
          <w:color w:val="231F20"/>
          <w:spacing w:val="35"/>
        </w:rPr>
        <w:t> </w:t>
      </w:r>
      <w:r>
        <w:rPr>
          <w:color w:val="231F20"/>
          <w:spacing w:val="-2"/>
        </w:rPr>
        <w:t>Millisecond</w:t>
      </w:r>
    </w:p>
    <w:p>
      <w:pPr>
        <w:pStyle w:val="BodyText"/>
        <w:spacing w:before="13"/>
        <w:rPr>
          <w:sz w:val="15"/>
        </w:rPr>
      </w:pPr>
      <w:r>
        <w:rPr/>
        <mc:AlternateContent>
          <mc:Choice Requires="wps">
            <w:drawing>
              <wp:anchor distT="0" distB="0" distL="0" distR="0" allowOverlap="1" layoutInCell="1" locked="0" behindDoc="1" simplePos="0" relativeHeight="487752192">
                <wp:simplePos x="0" y="0"/>
                <wp:positionH relativeFrom="page">
                  <wp:posOffset>912380</wp:posOffset>
                </wp:positionH>
                <wp:positionV relativeFrom="paragraph">
                  <wp:posOffset>152007</wp:posOffset>
                </wp:positionV>
                <wp:extent cx="6082665" cy="1270"/>
                <wp:effectExtent l="0" t="0" r="0" b="0"/>
                <wp:wrapTopAndBottom/>
                <wp:docPr id="3390" name="Graphic 3390"/>
                <wp:cNvGraphicFramePr>
                  <a:graphicFrameLocks/>
                </wp:cNvGraphicFramePr>
                <a:graphic>
                  <a:graphicData uri="http://schemas.microsoft.com/office/word/2010/wordprocessingShape">
                    <wps:wsp>
                      <wps:cNvPr id="3390" name="Graphic 339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69114pt;width:478.95pt;height:.1pt;mso-position-horizontal-relative:page;mso-position-vertical-relative:paragraph;z-index:-15564288;mso-wrap-distance-left:0;mso-wrap-distance-right:0" id="docshape289" coordorigin="1437,239" coordsize="9579,0" path="m1437,239l11016,239e" filled="false" stroked="true" strokeweight=".499pt" strokecolor="#231f20">
                <v:path arrowok="t"/>
                <v:stroke dashstyle="solid"/>
                <w10:wrap type="topAndBottom"/>
              </v:shape>
            </w:pict>
          </mc:Fallback>
        </mc:AlternateContent>
      </w:r>
    </w:p>
    <w:p>
      <w:pPr>
        <w:pStyle w:val="Heading3"/>
      </w:pPr>
      <w:bookmarkStart w:name="Catalog Check attributes" w:id="706"/>
      <w:bookmarkEnd w:id="706"/>
      <w:r>
        <w:rPr>
          <w:b w:val="0"/>
        </w:rPr>
      </w:r>
      <w:r>
        <w:rPr>
          <w:color w:val="231F20"/>
        </w:rPr>
        <w:t>Catalog</w:t>
      </w:r>
      <w:r>
        <w:rPr>
          <w:color w:val="231F20"/>
          <w:spacing w:val="5"/>
        </w:rPr>
        <w:t> </w:t>
      </w:r>
      <w:r>
        <w:rPr>
          <w:color w:val="231F20"/>
        </w:rPr>
        <w:t>Check</w:t>
      </w:r>
      <w:r>
        <w:rPr>
          <w:color w:val="231F20"/>
          <w:spacing w:val="6"/>
        </w:rPr>
        <w:t> </w:t>
      </w:r>
      <w:r>
        <w:rPr>
          <w:color w:val="231F20"/>
          <w:spacing w:val="-2"/>
        </w:rPr>
        <w:t>attributes</w:t>
      </w:r>
    </w:p>
    <w:p>
      <w:pPr>
        <w:spacing w:line="213" w:lineRule="auto" w:before="138"/>
        <w:ind w:left="2472" w:right="274" w:firstLine="0"/>
        <w:jc w:val="left"/>
        <w:rPr>
          <w:rFonts w:ascii="Book Antiqua"/>
          <w:i/>
          <w:sz w:val="20"/>
        </w:rPr>
      </w:pPr>
      <w:r>
        <w:rPr>
          <w:color w:val="231F20"/>
          <w:sz w:val="20"/>
        </w:rPr>
        <w:t>The Catalog Check attributes compare the application catalogs of the hub Tivoli Enterprise Monitoring Server with remote monitoring servers and report any discrepancies. These are the predefined queries for Catalog Check attributes: </w:t>
      </w:r>
      <w:r>
        <w:rPr>
          <w:rFonts w:ascii="Book Antiqua"/>
          <w:i/>
          <w:color w:val="231F20"/>
          <w:sz w:val="20"/>
        </w:rPr>
        <w:t>Compare Enterprise Catalogs </w:t>
      </w:r>
      <w:r>
        <w:rPr>
          <w:color w:val="231F20"/>
          <w:sz w:val="20"/>
        </w:rPr>
        <w:t>and </w:t>
      </w:r>
      <w:r>
        <w:rPr>
          <w:rFonts w:ascii="Book Antiqua"/>
          <w:i/>
          <w:color w:val="231F20"/>
          <w:sz w:val="20"/>
        </w:rPr>
        <w:t>Compare Tivoli Enterprise Monitoring Server </w:t>
      </w:r>
      <w:r>
        <w:rPr>
          <w:rFonts w:ascii="Book Antiqua"/>
          <w:i/>
          <w:color w:val="231F20"/>
          <w:sz w:val="20"/>
        </w:rPr>
        <w:t>Catalogs.</w:t>
      </w:r>
    </w:p>
    <w:p>
      <w:pPr>
        <w:spacing w:after="0" w:line="213" w:lineRule="auto"/>
        <w:jc w:val="left"/>
        <w:rPr>
          <w:rFonts w:ascii="Book Antiqua"/>
          <w:sz w:val="20"/>
        </w:rPr>
        <w:sectPr>
          <w:pgSz w:w="12240" w:h="15840"/>
          <w:pgMar w:header="0" w:footer="736" w:top="1180" w:bottom="920" w:left="1000" w:right="1060"/>
        </w:sectPr>
      </w:pPr>
    </w:p>
    <w:p>
      <w:pPr>
        <w:spacing w:line="213" w:lineRule="auto" w:before="85"/>
        <w:ind w:left="2232" w:right="660" w:firstLine="0"/>
        <w:jc w:val="both"/>
        <w:rPr>
          <w:sz w:val="20"/>
        </w:rPr>
      </w:pPr>
      <w:bookmarkStart w:name="_bookmark338" w:id="707"/>
      <w:bookmarkEnd w:id="707"/>
      <w:r>
        <w:rPr/>
      </w:r>
      <w:r>
        <w:rPr>
          <w:rFonts w:ascii="Book Antiqua"/>
          <w:b/>
          <w:color w:val="231F20"/>
          <w:sz w:val="20"/>
        </w:rPr>
        <w:t>Application Name </w:t>
      </w:r>
      <w:r>
        <w:rPr>
          <w:color w:val="231F20"/>
          <w:sz w:val="20"/>
        </w:rPr>
        <w:t>The identifier of an application catalog that is installed at the Tivoli Enterprise Monitoring Server. Some of the catalog IDs are identified in </w:t>
      </w:r>
      <w:r>
        <w:rPr>
          <w:color w:val="231F20"/>
          <w:sz w:val="20"/>
        </w:rPr>
        <w:t>the </w:t>
      </w:r>
      <w:r>
        <w:rPr>
          <w:rFonts w:ascii="Book Antiqua"/>
          <w:i/>
          <w:color w:val="231F20"/>
          <w:sz w:val="20"/>
        </w:rPr>
        <w:t>IBM Tivoli Monitoring Messages Guide</w:t>
      </w:r>
      <w:r>
        <w:rPr>
          <w:color w:val="231F20"/>
          <w:sz w:val="20"/>
        </w:rPr>
        <w:t>.</w:t>
      </w:r>
    </w:p>
    <w:p>
      <w:pPr>
        <w:pStyle w:val="BodyText"/>
        <w:spacing w:line="213" w:lineRule="auto" w:before="237"/>
        <w:ind w:left="2232" w:right="545"/>
      </w:pPr>
      <w:r>
        <w:rPr>
          <w:rFonts w:ascii="Book Antiqua"/>
          <w:b/>
          <w:color w:val="231F20"/>
        </w:rPr>
        <w:t>Hub Column Count </w:t>
      </w:r>
      <w:r>
        <w:rPr>
          <w:color w:val="231F20"/>
        </w:rPr>
        <w:t>The total number of table columns for this application at </w:t>
      </w:r>
      <w:r>
        <w:rPr>
          <w:color w:val="231F20"/>
        </w:rPr>
        <w:t>the Hub Tivoli Enterprise Monitoring Server. The catalog contains all the agent table definition, with multiple tables of multiple columns.</w:t>
      </w:r>
    </w:p>
    <w:p>
      <w:pPr>
        <w:pStyle w:val="BodyText"/>
        <w:spacing w:line="213" w:lineRule="auto" w:before="238"/>
        <w:ind w:left="2232" w:right="545"/>
      </w:pPr>
      <w:r>
        <w:rPr>
          <w:rFonts w:ascii="Book Antiqua"/>
          <w:b/>
          <w:color w:val="231F20"/>
        </w:rPr>
        <w:t>Hub Timestamp </w:t>
      </w:r>
      <w:r>
        <w:rPr>
          <w:color w:val="231F20"/>
        </w:rPr>
        <w:t>The timestamp of the application catalog at the Hub </w:t>
      </w:r>
      <w:r>
        <w:rPr>
          <w:color w:val="231F20"/>
        </w:rPr>
        <w:t>Tivoli Enterprise Monitoring Server. The format is MM/DD/YY HH:MM:SS.</w:t>
      </w:r>
    </w:p>
    <w:p>
      <w:pPr>
        <w:pStyle w:val="BodyText"/>
        <w:spacing w:line="213" w:lineRule="auto" w:before="238"/>
        <w:ind w:left="2232" w:right="763"/>
      </w:pPr>
      <w:r>
        <w:rPr>
          <w:rFonts w:ascii="Book Antiqua"/>
          <w:b/>
          <w:color w:val="231F20"/>
        </w:rPr>
        <w:t>Server Column Count </w:t>
      </w:r>
      <w:r>
        <w:rPr>
          <w:color w:val="231F20"/>
        </w:rPr>
        <w:t>The total number of table columns for this application. If the total is different from the hub column count, it might signify that the version installed is different from the version of application support installed on the hub monitoring server.</w:t>
      </w:r>
    </w:p>
    <w:p>
      <w:pPr>
        <w:pStyle w:val="BodyText"/>
        <w:spacing w:before="213"/>
        <w:ind w:left="2232"/>
      </w:pPr>
      <w:r>
        <w:rPr>
          <w:rFonts w:ascii="Book Antiqua"/>
          <w:b/>
          <w:color w:val="231F20"/>
        </w:rPr>
        <w:t>Server</w:t>
      </w:r>
      <w:r>
        <w:rPr>
          <w:rFonts w:ascii="Book Antiqua"/>
          <w:b/>
          <w:color w:val="231F20"/>
          <w:spacing w:val="9"/>
        </w:rPr>
        <w:t> </w:t>
      </w:r>
      <w:r>
        <w:rPr>
          <w:rFonts w:ascii="Book Antiqua"/>
          <w:b/>
          <w:color w:val="231F20"/>
        </w:rPr>
        <w:t>Name</w:t>
      </w:r>
      <w:r>
        <w:rPr>
          <w:rFonts w:ascii="Book Antiqua"/>
          <w:b/>
          <w:color w:val="231F20"/>
          <w:spacing w:val="9"/>
        </w:rPr>
        <w:t> </w:t>
      </w:r>
      <w:r>
        <w:rPr>
          <w:color w:val="231F20"/>
        </w:rPr>
        <w:t>The</w:t>
      </w:r>
      <w:r>
        <w:rPr>
          <w:color w:val="231F20"/>
          <w:spacing w:val="10"/>
        </w:rPr>
        <w:t> </w:t>
      </w:r>
      <w:r>
        <w:rPr>
          <w:color w:val="231F20"/>
        </w:rPr>
        <w:t>name</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Tivoli</w:t>
      </w:r>
      <w:r>
        <w:rPr>
          <w:color w:val="231F20"/>
          <w:spacing w:val="9"/>
        </w:rPr>
        <w:t> </w:t>
      </w:r>
      <w:r>
        <w:rPr>
          <w:color w:val="231F20"/>
        </w:rPr>
        <w:t>Enterprise</w:t>
      </w:r>
      <w:r>
        <w:rPr>
          <w:color w:val="231F20"/>
          <w:spacing w:val="10"/>
        </w:rPr>
        <w:t> </w:t>
      </w:r>
      <w:r>
        <w:rPr>
          <w:color w:val="231F20"/>
        </w:rPr>
        <w:t>Monitoring</w:t>
      </w:r>
      <w:r>
        <w:rPr>
          <w:color w:val="231F20"/>
          <w:spacing w:val="9"/>
        </w:rPr>
        <w:t> </w:t>
      </w:r>
      <w:r>
        <w:rPr>
          <w:color w:val="231F20"/>
          <w:spacing w:val="-2"/>
        </w:rPr>
        <w:t>Server.</w:t>
      </w:r>
    </w:p>
    <w:p>
      <w:pPr>
        <w:pStyle w:val="BodyText"/>
        <w:spacing w:line="213" w:lineRule="auto" w:before="233"/>
        <w:ind w:left="2232" w:right="636"/>
      </w:pPr>
      <w:r>
        <w:rPr>
          <w:rFonts w:ascii="Book Antiqua"/>
          <w:b/>
          <w:color w:val="231F20"/>
        </w:rPr>
        <w:t>Server Timestamp </w:t>
      </w:r>
      <w:r>
        <w:rPr>
          <w:color w:val="231F20"/>
        </w:rPr>
        <w:t>The timestamp of the application catalog at the </w:t>
      </w:r>
      <w:r>
        <w:rPr>
          <w:color w:val="231F20"/>
        </w:rPr>
        <w:t>Tivoli Enterprise Monitoring Server. The format is MM/DD/YY HH:MM:SS.</w:t>
      </w:r>
    </w:p>
    <w:p>
      <w:pPr>
        <w:pStyle w:val="BodyText"/>
        <w:spacing w:line="213" w:lineRule="auto" w:before="238"/>
        <w:ind w:left="2232" w:right="545"/>
      </w:pPr>
      <w:r>
        <w:rPr>
          <w:rFonts w:ascii="Book Antiqua"/>
          <w:b/>
          <w:color w:val="231F20"/>
        </w:rPr>
        <w:t>Status </w:t>
      </w:r>
      <w:r>
        <w:rPr>
          <w:color w:val="231F20"/>
        </w:rPr>
        <w:t>The result of the comparison between an application catalog at the Hub Tivoli Enterprise Monitoring Server and the corresponding application catalog at </w:t>
      </w:r>
      <w:r>
        <w:rPr>
          <w:color w:val="231F20"/>
        </w:rPr>
        <w:t>a Remote Tivoli Enterprise Monitoring Server.</w:t>
      </w:r>
    </w:p>
    <w:p>
      <w:pPr>
        <w:pStyle w:val="BodyText"/>
        <w:spacing w:before="7" w:after="1"/>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325"/>
        <w:gridCol w:w="6207"/>
      </w:tblGrid>
      <w:tr>
        <w:trPr>
          <w:trHeight w:val="274" w:hRule="atLeast"/>
        </w:trPr>
        <w:tc>
          <w:tcPr>
            <w:tcW w:w="1325" w:type="dxa"/>
          </w:tcPr>
          <w:p>
            <w:pPr>
              <w:pStyle w:val="TableParagraph"/>
              <w:spacing w:before="10"/>
              <w:ind w:left="44"/>
              <w:rPr>
                <w:rFonts w:ascii="Book Antiqua"/>
                <w:b/>
                <w:sz w:val="18"/>
              </w:rPr>
            </w:pPr>
            <w:r>
              <w:rPr>
                <w:rFonts w:ascii="Book Antiqua"/>
                <w:b/>
                <w:color w:val="231F20"/>
                <w:spacing w:val="-2"/>
                <w:sz w:val="18"/>
              </w:rPr>
              <w:t>Enumeration</w:t>
            </w:r>
          </w:p>
        </w:tc>
        <w:tc>
          <w:tcPr>
            <w:tcW w:w="6207" w:type="dxa"/>
          </w:tcPr>
          <w:p>
            <w:pPr>
              <w:pStyle w:val="TableParagraph"/>
              <w:spacing w:before="10"/>
              <w:ind w:left="60"/>
              <w:rPr>
                <w:rFonts w:ascii="Book Antiqua"/>
                <w:b/>
                <w:sz w:val="18"/>
              </w:rPr>
            </w:pPr>
            <w:r>
              <w:rPr>
                <w:rFonts w:ascii="Book Antiqua"/>
                <w:b/>
                <w:color w:val="231F20"/>
                <w:spacing w:val="-2"/>
                <w:sz w:val="18"/>
              </w:rPr>
              <w:t>Description</w:t>
            </w:r>
          </w:p>
        </w:tc>
      </w:tr>
      <w:tr>
        <w:trPr>
          <w:trHeight w:val="528" w:hRule="atLeast"/>
        </w:trPr>
        <w:tc>
          <w:tcPr>
            <w:tcW w:w="1325" w:type="dxa"/>
          </w:tcPr>
          <w:p>
            <w:pPr>
              <w:pStyle w:val="TableParagraph"/>
              <w:ind w:left="44"/>
              <w:rPr>
                <w:sz w:val="18"/>
              </w:rPr>
            </w:pPr>
            <w:r>
              <w:rPr>
                <w:color w:val="231F20"/>
                <w:spacing w:val="-10"/>
                <w:sz w:val="18"/>
              </w:rPr>
              <w:t>0</w:t>
            </w:r>
          </w:p>
        </w:tc>
        <w:tc>
          <w:tcPr>
            <w:tcW w:w="6207" w:type="dxa"/>
          </w:tcPr>
          <w:p>
            <w:pPr>
              <w:pStyle w:val="TableParagraph"/>
              <w:spacing w:line="216" w:lineRule="auto" w:before="44"/>
              <w:ind w:left="60" w:right="156"/>
              <w:rPr>
                <w:sz w:val="18"/>
              </w:rPr>
            </w:pPr>
            <w:r>
              <w:rPr>
                <w:rFonts w:ascii="Book Antiqua"/>
                <w:b/>
                <w:color w:val="231F20"/>
                <w:sz w:val="18"/>
              </w:rPr>
              <w:t>OK </w:t>
            </w:r>
            <w:r>
              <w:rPr>
                <w:color w:val="231F20"/>
                <w:sz w:val="18"/>
              </w:rPr>
              <w:t>indicates that the timestamps and column counts of the hub and remote monitoring servers match.</w:t>
            </w:r>
          </w:p>
        </w:tc>
      </w:tr>
      <w:tr>
        <w:trPr>
          <w:trHeight w:val="528" w:hRule="atLeast"/>
        </w:trPr>
        <w:tc>
          <w:tcPr>
            <w:tcW w:w="1325" w:type="dxa"/>
          </w:tcPr>
          <w:p>
            <w:pPr>
              <w:pStyle w:val="TableParagraph"/>
              <w:ind w:left="44"/>
              <w:rPr>
                <w:sz w:val="18"/>
              </w:rPr>
            </w:pPr>
            <w:r>
              <w:rPr>
                <w:color w:val="231F20"/>
                <w:spacing w:val="-10"/>
                <w:sz w:val="18"/>
              </w:rPr>
              <w:t>1</w:t>
            </w:r>
          </w:p>
        </w:tc>
        <w:tc>
          <w:tcPr>
            <w:tcW w:w="6207" w:type="dxa"/>
          </w:tcPr>
          <w:p>
            <w:pPr>
              <w:pStyle w:val="TableParagraph"/>
              <w:spacing w:line="216" w:lineRule="auto" w:before="44"/>
              <w:ind w:left="60"/>
              <w:rPr>
                <w:sz w:val="18"/>
              </w:rPr>
            </w:pPr>
            <w:r>
              <w:rPr>
                <w:rFonts w:ascii="Book Antiqua"/>
                <w:b/>
                <w:color w:val="231F20"/>
                <w:sz w:val="18"/>
              </w:rPr>
              <w:t>Hub Newer </w:t>
            </w:r>
            <w:r>
              <w:rPr>
                <w:color w:val="231F20"/>
                <w:sz w:val="18"/>
              </w:rPr>
              <w:t>indicates that the hub monitoring server was updated more recently than a remote monitoring server.</w:t>
            </w:r>
          </w:p>
        </w:tc>
      </w:tr>
      <w:tr>
        <w:trPr>
          <w:trHeight w:val="528" w:hRule="atLeast"/>
        </w:trPr>
        <w:tc>
          <w:tcPr>
            <w:tcW w:w="1325" w:type="dxa"/>
          </w:tcPr>
          <w:p>
            <w:pPr>
              <w:pStyle w:val="TableParagraph"/>
              <w:ind w:left="44"/>
              <w:rPr>
                <w:sz w:val="18"/>
              </w:rPr>
            </w:pPr>
            <w:r>
              <w:rPr>
                <w:color w:val="231F20"/>
                <w:spacing w:val="-10"/>
                <w:sz w:val="18"/>
              </w:rPr>
              <w:t>2</w:t>
            </w:r>
          </w:p>
        </w:tc>
        <w:tc>
          <w:tcPr>
            <w:tcW w:w="6207" w:type="dxa"/>
          </w:tcPr>
          <w:p>
            <w:pPr>
              <w:pStyle w:val="TableParagraph"/>
              <w:spacing w:line="216" w:lineRule="auto" w:before="44"/>
              <w:ind w:left="60" w:right="156"/>
              <w:rPr>
                <w:sz w:val="18"/>
              </w:rPr>
            </w:pPr>
            <w:r>
              <w:rPr>
                <w:rFonts w:ascii="Book Antiqua"/>
                <w:b/>
                <w:color w:val="231F20"/>
                <w:sz w:val="18"/>
              </w:rPr>
              <w:t>RTEMS Newer </w:t>
            </w:r>
            <w:r>
              <w:rPr>
                <w:color w:val="231F20"/>
                <w:sz w:val="18"/>
              </w:rPr>
              <w:t>indicates that a remote monitoring server was updated more recently than the hub monitoring server.</w:t>
            </w:r>
          </w:p>
        </w:tc>
      </w:tr>
      <w:tr>
        <w:trPr>
          <w:trHeight w:val="528" w:hRule="atLeast"/>
        </w:trPr>
        <w:tc>
          <w:tcPr>
            <w:tcW w:w="1325" w:type="dxa"/>
          </w:tcPr>
          <w:p>
            <w:pPr>
              <w:pStyle w:val="TableParagraph"/>
              <w:ind w:left="44"/>
              <w:rPr>
                <w:sz w:val="18"/>
              </w:rPr>
            </w:pPr>
            <w:r>
              <w:rPr>
                <w:color w:val="231F20"/>
                <w:spacing w:val="-10"/>
                <w:sz w:val="18"/>
              </w:rPr>
              <w:t>3</w:t>
            </w:r>
          </w:p>
        </w:tc>
        <w:tc>
          <w:tcPr>
            <w:tcW w:w="6207" w:type="dxa"/>
          </w:tcPr>
          <w:p>
            <w:pPr>
              <w:pStyle w:val="TableParagraph"/>
              <w:spacing w:line="216" w:lineRule="auto" w:before="44"/>
              <w:ind w:left="60"/>
              <w:rPr>
                <w:sz w:val="18"/>
              </w:rPr>
            </w:pPr>
            <w:r>
              <w:rPr>
                <w:rFonts w:ascii="Book Antiqua"/>
                <w:b/>
                <w:color w:val="231F20"/>
                <w:sz w:val="18"/>
              </w:rPr>
              <w:t>Missing At Hub </w:t>
            </w:r>
            <w:r>
              <w:rPr>
                <w:color w:val="231F20"/>
                <w:sz w:val="18"/>
              </w:rPr>
              <w:t>indicates that the catalog ID that is present on a remote monitoring server is missing at the hub monitoring server.</w:t>
            </w:r>
          </w:p>
        </w:tc>
      </w:tr>
      <w:tr>
        <w:trPr>
          <w:trHeight w:val="528" w:hRule="atLeast"/>
        </w:trPr>
        <w:tc>
          <w:tcPr>
            <w:tcW w:w="1325" w:type="dxa"/>
          </w:tcPr>
          <w:p>
            <w:pPr>
              <w:pStyle w:val="TableParagraph"/>
              <w:ind w:left="44"/>
              <w:rPr>
                <w:sz w:val="18"/>
              </w:rPr>
            </w:pPr>
            <w:r>
              <w:rPr>
                <w:color w:val="231F20"/>
                <w:spacing w:val="-10"/>
                <w:sz w:val="18"/>
              </w:rPr>
              <w:t>4</w:t>
            </w:r>
          </w:p>
        </w:tc>
        <w:tc>
          <w:tcPr>
            <w:tcW w:w="6207" w:type="dxa"/>
          </w:tcPr>
          <w:p>
            <w:pPr>
              <w:pStyle w:val="TableParagraph"/>
              <w:spacing w:line="216" w:lineRule="auto" w:before="44"/>
              <w:ind w:left="60"/>
              <w:rPr>
                <w:sz w:val="18"/>
              </w:rPr>
            </w:pPr>
            <w:r>
              <w:rPr>
                <w:rFonts w:ascii="Book Antiqua"/>
                <w:b/>
                <w:color w:val="231F20"/>
                <w:sz w:val="18"/>
              </w:rPr>
              <w:t>Missing At RTEMS </w:t>
            </w:r>
            <w:r>
              <w:rPr>
                <w:color w:val="231F20"/>
                <w:sz w:val="18"/>
              </w:rPr>
              <w:t>indicates that the catalog ID that is present at the hub monitoring server is missing at a remote monitoring server.</w:t>
            </w:r>
          </w:p>
        </w:tc>
      </w:tr>
      <w:tr>
        <w:trPr>
          <w:trHeight w:val="528" w:hRule="atLeast"/>
        </w:trPr>
        <w:tc>
          <w:tcPr>
            <w:tcW w:w="1325" w:type="dxa"/>
          </w:tcPr>
          <w:p>
            <w:pPr>
              <w:pStyle w:val="TableParagraph"/>
              <w:ind w:left="44"/>
              <w:rPr>
                <w:sz w:val="18"/>
              </w:rPr>
            </w:pPr>
            <w:r>
              <w:rPr>
                <w:color w:val="231F20"/>
                <w:spacing w:val="-10"/>
                <w:sz w:val="18"/>
              </w:rPr>
              <w:t>5</w:t>
            </w:r>
          </w:p>
        </w:tc>
        <w:tc>
          <w:tcPr>
            <w:tcW w:w="6207" w:type="dxa"/>
          </w:tcPr>
          <w:p>
            <w:pPr>
              <w:pStyle w:val="TableParagraph"/>
              <w:spacing w:line="216" w:lineRule="auto" w:before="44"/>
              <w:ind w:left="60"/>
              <w:rPr>
                <w:sz w:val="18"/>
              </w:rPr>
            </w:pPr>
            <w:r>
              <w:rPr>
                <w:rFonts w:ascii="Book Antiqua"/>
                <w:b/>
                <w:color w:val="231F20"/>
                <w:sz w:val="18"/>
              </w:rPr>
              <w:t>Count Mismatch </w:t>
            </w:r>
            <w:r>
              <w:rPr>
                <w:color w:val="231F20"/>
                <w:sz w:val="18"/>
              </w:rPr>
              <w:t>indicates that the column count at the remote </w:t>
            </w:r>
            <w:r>
              <w:rPr>
                <w:color w:val="231F20"/>
                <w:sz w:val="18"/>
              </w:rPr>
              <w:t>monitoring server does not match the column count at the hub monitoring server.</w:t>
            </w:r>
          </w:p>
        </w:tc>
      </w:tr>
      <w:tr>
        <w:trPr>
          <w:trHeight w:val="533" w:hRule="atLeast"/>
        </w:trPr>
        <w:tc>
          <w:tcPr>
            <w:tcW w:w="1325" w:type="dxa"/>
          </w:tcPr>
          <w:p>
            <w:pPr>
              <w:pStyle w:val="TableParagraph"/>
              <w:ind w:left="44"/>
              <w:rPr>
                <w:sz w:val="18"/>
              </w:rPr>
            </w:pPr>
            <w:r>
              <w:rPr>
                <w:color w:val="231F20"/>
                <w:spacing w:val="-10"/>
                <w:sz w:val="18"/>
              </w:rPr>
              <w:t>6</w:t>
            </w:r>
          </w:p>
        </w:tc>
        <w:tc>
          <w:tcPr>
            <w:tcW w:w="6207" w:type="dxa"/>
          </w:tcPr>
          <w:p>
            <w:pPr>
              <w:pStyle w:val="TableParagraph"/>
              <w:spacing w:line="216" w:lineRule="auto" w:before="44"/>
              <w:ind w:left="60"/>
              <w:rPr>
                <w:sz w:val="18"/>
              </w:rPr>
            </w:pPr>
            <w:r>
              <w:rPr>
                <w:rFonts w:ascii="Book Antiqua"/>
                <w:b/>
                <w:color w:val="231F20"/>
                <w:sz w:val="18"/>
              </w:rPr>
              <w:t>Timestamp Mismatch </w:t>
            </w:r>
            <w:r>
              <w:rPr>
                <w:color w:val="231F20"/>
                <w:sz w:val="18"/>
              </w:rPr>
              <w:t>indicates that the time the remote monitoring server was last updated does not match the time the hub was last updated.</w:t>
            </w:r>
          </w:p>
        </w:tc>
      </w:tr>
    </w:tbl>
    <w:p>
      <w:pPr>
        <w:pStyle w:val="BodyText"/>
        <w:spacing w:before="142"/>
      </w:pPr>
    </w:p>
    <w:p>
      <w:pPr>
        <w:pStyle w:val="BodyText"/>
        <w:spacing w:line="213" w:lineRule="auto"/>
        <w:ind w:left="2232" w:right="545"/>
      </w:pPr>
      <w:r>
        <w:rPr>
          <w:rFonts w:ascii="Book Antiqua"/>
          <w:b/>
          <w:color w:val="231F20"/>
        </w:rPr>
        <w:t>Timestamp </w:t>
      </w:r>
      <w:r>
        <w:rPr>
          <w:color w:val="231F20"/>
        </w:rPr>
        <w:t>The time at the Tivoli Enterprise Monitoring Server location when </w:t>
      </w:r>
      <w:r>
        <w:rPr>
          <w:color w:val="231F20"/>
        </w:rPr>
        <w:t>the data</w:t>
      </w:r>
      <w:r>
        <w:rPr>
          <w:color w:val="231F20"/>
          <w:spacing w:val="40"/>
        </w:rPr>
        <w:t> </w:t>
      </w:r>
      <w:r>
        <w:rPr>
          <w:color w:val="231F20"/>
        </w:rPr>
        <w:t>was</w:t>
      </w:r>
      <w:r>
        <w:rPr>
          <w:color w:val="231F20"/>
          <w:spacing w:val="40"/>
        </w:rPr>
        <w:t> </w:t>
      </w:r>
      <w:r>
        <w:rPr>
          <w:color w:val="231F20"/>
        </w:rPr>
        <w:t>sampled.</w:t>
      </w:r>
      <w:r>
        <w:rPr>
          <w:color w:val="231F20"/>
          <w:spacing w:val="40"/>
        </w:rPr>
        <w:t> </w:t>
      </w:r>
      <w:r>
        <w:rPr>
          <w:color w:val="231F20"/>
        </w:rPr>
        <w:t>The</w:t>
      </w:r>
      <w:r>
        <w:rPr>
          <w:color w:val="231F20"/>
          <w:spacing w:val="40"/>
        </w:rPr>
        <w:t> </w:t>
      </w:r>
      <w:r>
        <w:rPr>
          <w:color w:val="231F20"/>
        </w:rPr>
        <w:t>format</w:t>
      </w:r>
      <w:r>
        <w:rPr>
          <w:color w:val="231F20"/>
          <w:spacing w:val="40"/>
        </w:rPr>
        <w:t> </w:t>
      </w:r>
      <w:r>
        <w:rPr>
          <w:color w:val="231F20"/>
        </w:rPr>
        <w:t>is</w:t>
      </w:r>
      <w:r>
        <w:rPr>
          <w:color w:val="231F20"/>
          <w:spacing w:val="40"/>
        </w:rPr>
        <w:t> </w:t>
      </w:r>
      <w:r>
        <w:rPr>
          <w:color w:val="231F20"/>
        </w:rPr>
        <w:t>MM/DD/YY HH:MM:SS.</w:t>
      </w:r>
    </w:p>
    <w:p>
      <w:pPr>
        <w:pStyle w:val="BodyText"/>
        <w:spacing w:before="6"/>
        <w:rPr>
          <w:sz w:val="16"/>
        </w:rPr>
      </w:pPr>
      <w:r>
        <w:rPr/>
        <mc:AlternateContent>
          <mc:Choice Requires="wps">
            <w:drawing>
              <wp:anchor distT="0" distB="0" distL="0" distR="0" allowOverlap="1" layoutInCell="1" locked="0" behindDoc="1" simplePos="0" relativeHeight="487752704">
                <wp:simplePos x="0" y="0"/>
                <wp:positionH relativeFrom="page">
                  <wp:posOffset>760323</wp:posOffset>
                </wp:positionH>
                <wp:positionV relativeFrom="paragraph">
                  <wp:posOffset>156171</wp:posOffset>
                </wp:positionV>
                <wp:extent cx="6082665" cy="1270"/>
                <wp:effectExtent l="0" t="0" r="0" b="0"/>
                <wp:wrapTopAndBottom/>
                <wp:docPr id="3391" name="Graphic 3391"/>
                <wp:cNvGraphicFramePr>
                  <a:graphicFrameLocks/>
                </wp:cNvGraphicFramePr>
                <a:graphic>
                  <a:graphicData uri="http://schemas.microsoft.com/office/word/2010/wordprocessingShape">
                    <wps:wsp>
                      <wps:cNvPr id="3391" name="Graphic 3391"/>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96933pt;width:478.95pt;height:.1pt;mso-position-horizontal-relative:page;mso-position-vertical-relative:paragraph;z-index:-15563776;mso-wrap-distance-left:0;mso-wrap-distance-right:0" id="docshape290"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Deploy Status attributes" w:id="708"/>
      <w:bookmarkEnd w:id="708"/>
      <w:r>
        <w:rPr>
          <w:b w:val="0"/>
        </w:rPr>
      </w:r>
      <w:r>
        <w:rPr>
          <w:color w:val="231F20"/>
        </w:rPr>
        <w:t>Deploy</w:t>
      </w:r>
      <w:r>
        <w:rPr>
          <w:color w:val="231F20"/>
          <w:spacing w:val="6"/>
        </w:rPr>
        <w:t> </w:t>
      </w:r>
      <w:r>
        <w:rPr>
          <w:color w:val="231F20"/>
        </w:rPr>
        <w:t>Status</w:t>
      </w:r>
      <w:r>
        <w:rPr>
          <w:color w:val="231F20"/>
          <w:spacing w:val="6"/>
        </w:rPr>
        <w:t> </w:t>
      </w:r>
      <w:r>
        <w:rPr>
          <w:color w:val="231F20"/>
          <w:spacing w:val="-2"/>
        </w:rPr>
        <w:t>attributes</w:t>
      </w:r>
    </w:p>
    <w:p>
      <w:pPr>
        <w:pStyle w:val="BodyText"/>
        <w:spacing w:line="213" w:lineRule="auto" w:before="138"/>
        <w:ind w:left="2232" w:right="545"/>
      </w:pPr>
      <w:r>
        <w:rPr>
          <w:color w:val="231F20"/>
        </w:rPr>
        <w:t>The Deploy Status attributes give information on the status of the </w:t>
      </w:r>
      <w:r>
        <w:rPr>
          <w:color w:val="231F20"/>
        </w:rPr>
        <w:t>agent deployment; each row displays a completed command.</w:t>
      </w:r>
    </w:p>
    <w:p>
      <w:pPr>
        <w:pStyle w:val="BodyText"/>
        <w:spacing w:line="213" w:lineRule="auto" w:before="238"/>
        <w:ind w:left="2232" w:right="545"/>
      </w:pPr>
      <w:r>
        <w:rPr>
          <w:rFonts w:ascii="Book Antiqua"/>
          <w:b/>
          <w:color w:val="231F20"/>
        </w:rPr>
        <w:t>Bundle group </w:t>
      </w:r>
      <w:r>
        <w:rPr>
          <w:color w:val="231F20"/>
        </w:rPr>
        <w:t>The collection of agents, another bundle group, or collection </w:t>
      </w:r>
      <w:r>
        <w:rPr>
          <w:color w:val="231F20"/>
        </w:rPr>
        <w:t>of bundle groups that are being added to the computer.</w:t>
      </w:r>
    </w:p>
    <w:p>
      <w:pPr>
        <w:spacing w:after="0" w:line="213" w:lineRule="auto"/>
        <w:sectPr>
          <w:pgSz w:w="12240" w:h="15840"/>
          <w:pgMar w:header="0" w:footer="736" w:top="1180" w:bottom="920" w:left="1000" w:right="1060"/>
        </w:sectPr>
      </w:pPr>
    </w:p>
    <w:p>
      <w:pPr>
        <w:pStyle w:val="BodyText"/>
        <w:spacing w:line="213" w:lineRule="auto" w:before="85"/>
        <w:ind w:left="2472"/>
      </w:pPr>
      <w:r>
        <w:rPr>
          <w:rFonts w:ascii="Book Antiqua"/>
          <w:b/>
          <w:color w:val="231F20"/>
        </w:rPr>
        <w:t>Command </w:t>
      </w:r>
      <w:r>
        <w:rPr>
          <w:color w:val="231F20"/>
        </w:rPr>
        <w:t>The command being used for the agent deployment process, such </w:t>
      </w:r>
      <w:r>
        <w:rPr>
          <w:color w:val="231F20"/>
        </w:rPr>
        <w:t>as </w:t>
      </w:r>
      <w:r>
        <w:rPr>
          <w:color w:val="231F20"/>
          <w:spacing w:val="-2"/>
        </w:rPr>
        <w:t>updateAgent.</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Command</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1187" w:hRule="atLeast"/>
        </w:trPr>
        <w:tc>
          <w:tcPr>
            <w:tcW w:w="3767" w:type="dxa"/>
          </w:tcPr>
          <w:p>
            <w:pPr>
              <w:pStyle w:val="TableParagraph"/>
              <w:ind w:left="44"/>
              <w:rPr>
                <w:sz w:val="18"/>
              </w:rPr>
            </w:pPr>
            <w:r>
              <w:rPr>
                <w:color w:val="231F20"/>
                <w:spacing w:val="-2"/>
                <w:sz w:val="18"/>
              </w:rPr>
              <w:t>addSystem</w:t>
            </w:r>
          </w:p>
        </w:tc>
        <w:tc>
          <w:tcPr>
            <w:tcW w:w="3767" w:type="dxa"/>
          </w:tcPr>
          <w:p>
            <w:pPr>
              <w:pStyle w:val="TableParagraph"/>
              <w:spacing w:line="216" w:lineRule="auto" w:before="44"/>
              <w:ind w:right="54" w:hanging="1"/>
              <w:rPr>
                <w:sz w:val="18"/>
              </w:rPr>
            </w:pPr>
            <w:r>
              <w:rPr>
                <w:color w:val="231F20"/>
                <w:sz w:val="18"/>
              </w:rPr>
              <w:t>The command to deploy a monitoring agent to a computer in the IBM Tivoli Monitoring environment. This command deploys an agent and other required components if </w:t>
            </w:r>
            <w:r>
              <w:rPr>
                <w:color w:val="231F20"/>
                <w:sz w:val="18"/>
              </w:rPr>
              <w:t>they are not already installed on the node.</w:t>
            </w:r>
          </w:p>
        </w:tc>
      </w:tr>
      <w:tr>
        <w:trPr>
          <w:trHeight w:val="967" w:hRule="atLeast"/>
        </w:trPr>
        <w:tc>
          <w:tcPr>
            <w:tcW w:w="3767" w:type="dxa"/>
          </w:tcPr>
          <w:p>
            <w:pPr>
              <w:pStyle w:val="TableParagraph"/>
              <w:ind w:left="44"/>
              <w:rPr>
                <w:sz w:val="18"/>
              </w:rPr>
            </w:pPr>
            <w:r>
              <w:rPr>
                <w:color w:val="231F20"/>
                <w:spacing w:val="-2"/>
                <w:sz w:val="18"/>
              </w:rPr>
              <w:t>createNode</w:t>
            </w:r>
          </w:p>
        </w:tc>
        <w:tc>
          <w:tcPr>
            <w:tcW w:w="3767" w:type="dxa"/>
          </w:tcPr>
          <w:p>
            <w:pPr>
              <w:pStyle w:val="TableParagraph"/>
              <w:spacing w:line="216" w:lineRule="auto" w:before="44"/>
              <w:ind w:right="121" w:hanging="1"/>
              <w:rPr>
                <w:sz w:val="18"/>
              </w:rPr>
            </w:pPr>
            <w:r>
              <w:rPr>
                <w:color w:val="231F20"/>
                <w:sz w:val="18"/>
              </w:rPr>
              <w:t>The command to create the node directory on the target computer. This is the directory where the OS agent is installed and where any non-OS agents are deployed.</w:t>
            </w:r>
          </w:p>
        </w:tc>
      </w:tr>
      <w:tr>
        <w:trPr>
          <w:trHeight w:val="1406" w:hRule="atLeast"/>
        </w:trPr>
        <w:tc>
          <w:tcPr>
            <w:tcW w:w="3767" w:type="dxa"/>
          </w:tcPr>
          <w:p>
            <w:pPr>
              <w:pStyle w:val="TableParagraph"/>
              <w:ind w:left="44"/>
              <w:rPr>
                <w:sz w:val="18"/>
              </w:rPr>
            </w:pPr>
            <w:r>
              <w:rPr>
                <w:color w:val="231F20"/>
                <w:spacing w:val="-2"/>
                <w:sz w:val="18"/>
              </w:rPr>
              <w:t>setConfig</w:t>
            </w:r>
          </w:p>
        </w:tc>
        <w:tc>
          <w:tcPr>
            <w:tcW w:w="3767" w:type="dxa"/>
          </w:tcPr>
          <w:p>
            <w:pPr>
              <w:pStyle w:val="TableParagraph"/>
              <w:spacing w:line="216" w:lineRule="auto" w:before="44"/>
              <w:ind w:right="168" w:hanging="1"/>
              <w:rPr>
                <w:sz w:val="18"/>
              </w:rPr>
            </w:pPr>
            <w:r>
              <w:rPr>
                <w:color w:val="231F20"/>
                <w:sz w:val="18"/>
              </w:rPr>
              <w:t>The command to edit configuration </w:t>
            </w:r>
            <w:r>
              <w:rPr>
                <w:color w:val="231F20"/>
                <w:sz w:val="18"/>
              </w:rPr>
              <w:t>options of an existing agent. The agent is restarted</w:t>
            </w:r>
            <w:r>
              <w:rPr>
                <w:color w:val="231F20"/>
                <w:spacing w:val="40"/>
                <w:sz w:val="18"/>
              </w:rPr>
              <w:t> </w:t>
            </w:r>
            <w:r>
              <w:rPr>
                <w:color w:val="231F20"/>
                <w:sz w:val="18"/>
              </w:rPr>
              <w:t>so that the new configuration parameters can take effect. Specify the configuration data through the parameter pair </w:t>
            </w:r>
            <w:r>
              <w:rPr>
                <w:rFonts w:ascii="Book Antiqua"/>
                <w:i/>
                <w:color w:val="231F20"/>
                <w:spacing w:val="-2"/>
                <w:sz w:val="18"/>
              </w:rPr>
              <w:t>section.name=value</w:t>
            </w:r>
            <w:r>
              <w:rPr>
                <w:color w:val="231F20"/>
                <w:spacing w:val="-2"/>
                <w:sz w:val="18"/>
              </w:rPr>
              <w:t>.</w:t>
            </w:r>
          </w:p>
        </w:tc>
      </w:tr>
      <w:tr>
        <w:trPr>
          <w:trHeight w:val="309" w:hRule="atLeast"/>
        </w:trPr>
        <w:tc>
          <w:tcPr>
            <w:tcW w:w="3767" w:type="dxa"/>
          </w:tcPr>
          <w:p>
            <w:pPr>
              <w:pStyle w:val="TableParagraph"/>
              <w:ind w:left="44"/>
              <w:rPr>
                <w:sz w:val="18"/>
              </w:rPr>
            </w:pPr>
            <w:r>
              <w:rPr>
                <w:color w:val="231F20"/>
                <w:spacing w:val="-2"/>
                <w:sz w:val="18"/>
              </w:rPr>
              <w:t>startAgent</w:t>
            </w:r>
          </w:p>
        </w:tc>
        <w:tc>
          <w:tcPr>
            <w:tcW w:w="3767" w:type="dxa"/>
          </w:tcPr>
          <w:p>
            <w:pPr>
              <w:pStyle w:val="TableParagraph"/>
              <w:rPr>
                <w:sz w:val="18"/>
              </w:rPr>
            </w:pPr>
            <w:r>
              <w:rPr>
                <w:color w:val="231F20"/>
                <w:sz w:val="18"/>
              </w:rPr>
              <w:t>The</w:t>
            </w:r>
            <w:r>
              <w:rPr>
                <w:color w:val="231F20"/>
                <w:spacing w:val="9"/>
                <w:sz w:val="18"/>
              </w:rPr>
              <w:t> </w:t>
            </w:r>
            <w:r>
              <w:rPr>
                <w:color w:val="231F20"/>
                <w:sz w:val="18"/>
              </w:rPr>
              <w:t>command</w:t>
            </w:r>
            <w:r>
              <w:rPr>
                <w:color w:val="231F20"/>
                <w:spacing w:val="9"/>
                <w:sz w:val="18"/>
              </w:rPr>
              <w:t> </w:t>
            </w:r>
            <w:r>
              <w:rPr>
                <w:color w:val="231F20"/>
                <w:sz w:val="18"/>
              </w:rPr>
              <w:t>to</w:t>
            </w:r>
            <w:r>
              <w:rPr>
                <w:color w:val="231F20"/>
                <w:spacing w:val="10"/>
                <w:sz w:val="18"/>
              </w:rPr>
              <w:t> </w:t>
            </w:r>
            <w:r>
              <w:rPr>
                <w:color w:val="231F20"/>
                <w:sz w:val="18"/>
              </w:rPr>
              <w:t>start</w:t>
            </w:r>
            <w:r>
              <w:rPr>
                <w:color w:val="231F20"/>
                <w:spacing w:val="9"/>
                <w:sz w:val="18"/>
              </w:rPr>
              <w:t> </w:t>
            </w:r>
            <w:r>
              <w:rPr>
                <w:color w:val="231F20"/>
                <w:sz w:val="18"/>
              </w:rPr>
              <w:t>the</w:t>
            </w:r>
            <w:r>
              <w:rPr>
                <w:color w:val="231F20"/>
                <w:spacing w:val="9"/>
                <w:sz w:val="18"/>
              </w:rPr>
              <w:t> </w:t>
            </w:r>
            <w:r>
              <w:rPr>
                <w:color w:val="231F20"/>
                <w:sz w:val="18"/>
              </w:rPr>
              <w:t>monitoring</w:t>
            </w:r>
            <w:r>
              <w:rPr>
                <w:color w:val="231F20"/>
                <w:spacing w:val="10"/>
                <w:sz w:val="18"/>
              </w:rPr>
              <w:t> </w:t>
            </w:r>
            <w:r>
              <w:rPr>
                <w:color w:val="231F20"/>
                <w:spacing w:val="-2"/>
                <w:sz w:val="18"/>
              </w:rPr>
              <w:t>agent.</w:t>
            </w:r>
          </w:p>
        </w:tc>
      </w:tr>
      <w:tr>
        <w:trPr>
          <w:trHeight w:val="309" w:hRule="atLeast"/>
        </w:trPr>
        <w:tc>
          <w:tcPr>
            <w:tcW w:w="3767" w:type="dxa"/>
          </w:tcPr>
          <w:p>
            <w:pPr>
              <w:pStyle w:val="TableParagraph"/>
              <w:ind w:left="44"/>
              <w:rPr>
                <w:sz w:val="18"/>
              </w:rPr>
            </w:pPr>
            <w:r>
              <w:rPr>
                <w:color w:val="231F20"/>
                <w:spacing w:val="-2"/>
                <w:sz w:val="18"/>
              </w:rPr>
              <w:t>stopAgent</w:t>
            </w:r>
          </w:p>
        </w:tc>
        <w:tc>
          <w:tcPr>
            <w:tcW w:w="3767" w:type="dxa"/>
          </w:tcPr>
          <w:p>
            <w:pPr>
              <w:pStyle w:val="TableParagraph"/>
              <w:rPr>
                <w:sz w:val="18"/>
              </w:rPr>
            </w:pPr>
            <w:r>
              <w:rPr>
                <w:color w:val="231F20"/>
                <w:sz w:val="18"/>
              </w:rPr>
              <w:t>The</w:t>
            </w:r>
            <w:r>
              <w:rPr>
                <w:color w:val="231F20"/>
                <w:spacing w:val="9"/>
                <w:sz w:val="18"/>
              </w:rPr>
              <w:t> </w:t>
            </w:r>
            <w:r>
              <w:rPr>
                <w:color w:val="231F20"/>
                <w:sz w:val="18"/>
              </w:rPr>
              <w:t>command</w:t>
            </w:r>
            <w:r>
              <w:rPr>
                <w:color w:val="231F20"/>
                <w:spacing w:val="9"/>
                <w:sz w:val="18"/>
              </w:rPr>
              <w:t> </w:t>
            </w:r>
            <w:r>
              <w:rPr>
                <w:color w:val="231F20"/>
                <w:sz w:val="18"/>
              </w:rPr>
              <w:t>to</w:t>
            </w:r>
            <w:r>
              <w:rPr>
                <w:color w:val="231F20"/>
                <w:spacing w:val="10"/>
                <w:sz w:val="18"/>
              </w:rPr>
              <w:t> </w:t>
            </w:r>
            <w:r>
              <w:rPr>
                <w:color w:val="231F20"/>
                <w:sz w:val="18"/>
              </w:rPr>
              <w:t>stop</w:t>
            </w:r>
            <w:r>
              <w:rPr>
                <w:color w:val="231F20"/>
                <w:spacing w:val="9"/>
                <w:sz w:val="18"/>
              </w:rPr>
              <w:t> </w:t>
            </w:r>
            <w:r>
              <w:rPr>
                <w:color w:val="231F20"/>
                <w:sz w:val="18"/>
              </w:rPr>
              <w:t>the</w:t>
            </w:r>
            <w:r>
              <w:rPr>
                <w:color w:val="231F20"/>
                <w:spacing w:val="10"/>
                <w:sz w:val="18"/>
              </w:rPr>
              <w:t> </w:t>
            </w:r>
            <w:r>
              <w:rPr>
                <w:color w:val="231F20"/>
                <w:sz w:val="18"/>
              </w:rPr>
              <w:t>monitoring</w:t>
            </w:r>
            <w:r>
              <w:rPr>
                <w:color w:val="231F20"/>
                <w:spacing w:val="9"/>
                <w:sz w:val="18"/>
              </w:rPr>
              <w:t> </w:t>
            </w:r>
            <w:r>
              <w:rPr>
                <w:color w:val="231F20"/>
                <w:spacing w:val="-2"/>
                <w:sz w:val="18"/>
              </w:rPr>
              <w:t>agent.</w:t>
            </w:r>
          </w:p>
        </w:tc>
      </w:tr>
      <w:tr>
        <w:trPr>
          <w:trHeight w:val="1411" w:hRule="atLeast"/>
        </w:trPr>
        <w:tc>
          <w:tcPr>
            <w:tcW w:w="3767" w:type="dxa"/>
          </w:tcPr>
          <w:p>
            <w:pPr>
              <w:pStyle w:val="TableParagraph"/>
              <w:ind w:left="44"/>
              <w:rPr>
                <w:sz w:val="18"/>
              </w:rPr>
            </w:pPr>
            <w:r>
              <w:rPr>
                <w:color w:val="231F20"/>
                <w:spacing w:val="-2"/>
                <w:sz w:val="18"/>
              </w:rPr>
              <w:t>updateAgent</w:t>
            </w:r>
          </w:p>
        </w:tc>
        <w:tc>
          <w:tcPr>
            <w:tcW w:w="3767" w:type="dxa"/>
          </w:tcPr>
          <w:p>
            <w:pPr>
              <w:pStyle w:val="TableParagraph"/>
              <w:spacing w:line="216" w:lineRule="auto" w:before="44"/>
              <w:ind w:right="121" w:hanging="1"/>
              <w:rPr>
                <w:sz w:val="18"/>
              </w:rPr>
            </w:pPr>
            <w:r>
              <w:rPr>
                <w:color w:val="231F20"/>
                <w:sz w:val="18"/>
              </w:rPr>
              <w:t>The command used to install an agent update on a specified managed system. Updating agents involves stopping any that are running, applying the changes, and restarting them. If a version is not </w:t>
            </w:r>
            <w:r>
              <w:rPr>
                <w:color w:val="231F20"/>
                <w:sz w:val="18"/>
              </w:rPr>
              <w:t>specified, the agent is updated to the latest version.</w:t>
            </w:r>
          </w:p>
        </w:tc>
      </w:tr>
    </w:tbl>
    <w:p>
      <w:pPr>
        <w:pStyle w:val="BodyText"/>
        <w:spacing w:before="116"/>
      </w:pPr>
    </w:p>
    <w:p>
      <w:pPr>
        <w:pStyle w:val="BodyText"/>
        <w:ind w:left="2472"/>
      </w:pPr>
      <w:r>
        <w:rPr>
          <w:rFonts w:ascii="Book Antiqua"/>
          <w:b/>
          <w:color w:val="231F20"/>
        </w:rPr>
        <w:t>Count</w:t>
      </w:r>
      <w:r>
        <w:rPr>
          <w:rFonts w:ascii="Book Antiqua"/>
          <w:b/>
          <w:color w:val="231F20"/>
          <w:spacing w:val="10"/>
        </w:rPr>
        <w:t> </w:t>
      </w:r>
      <w:r>
        <w:rPr>
          <w:color w:val="231F20"/>
        </w:rPr>
        <w:t>Counts</w:t>
      </w:r>
      <w:r>
        <w:rPr>
          <w:color w:val="231F20"/>
          <w:spacing w:val="11"/>
        </w:rPr>
        <w:t> </w:t>
      </w:r>
      <w:r>
        <w:rPr>
          <w:color w:val="231F20"/>
        </w:rPr>
        <w:t>to</w:t>
      </w:r>
      <w:r>
        <w:rPr>
          <w:color w:val="231F20"/>
          <w:spacing w:val="11"/>
        </w:rPr>
        <w:t> </w:t>
      </w:r>
      <w:r>
        <w:rPr>
          <w:color w:val="231F20"/>
        </w:rPr>
        <w:t>keep</w:t>
      </w:r>
      <w:r>
        <w:rPr>
          <w:color w:val="231F20"/>
          <w:spacing w:val="11"/>
        </w:rPr>
        <w:t> </w:t>
      </w:r>
      <w:r>
        <w:rPr>
          <w:color w:val="231F20"/>
        </w:rPr>
        <w:t>track</w:t>
      </w:r>
      <w:r>
        <w:rPr>
          <w:color w:val="231F20"/>
          <w:spacing w:val="11"/>
        </w:rPr>
        <w:t> </w:t>
      </w:r>
      <w:r>
        <w:rPr>
          <w:color w:val="231F20"/>
        </w:rPr>
        <w:t>of</w:t>
      </w:r>
      <w:r>
        <w:rPr>
          <w:color w:val="231F20"/>
          <w:spacing w:val="11"/>
        </w:rPr>
        <w:t> </w:t>
      </w:r>
      <w:r>
        <w:rPr>
          <w:color w:val="231F20"/>
        </w:rPr>
        <w:t>number</w:t>
      </w:r>
      <w:r>
        <w:rPr>
          <w:color w:val="231F20"/>
          <w:spacing w:val="11"/>
        </w:rPr>
        <w:t> </w:t>
      </w:r>
      <w:r>
        <w:rPr>
          <w:color w:val="231F20"/>
        </w:rPr>
        <w:t>of</w:t>
      </w:r>
      <w:r>
        <w:rPr>
          <w:color w:val="231F20"/>
          <w:spacing w:val="11"/>
        </w:rPr>
        <w:t> </w:t>
      </w:r>
      <w:r>
        <w:rPr>
          <w:color w:val="231F20"/>
        </w:rPr>
        <w:t>requests</w:t>
      </w:r>
      <w:r>
        <w:rPr>
          <w:color w:val="231F20"/>
          <w:spacing w:val="11"/>
        </w:rPr>
        <w:t> </w:t>
      </w:r>
      <w:r>
        <w:rPr>
          <w:color w:val="231F20"/>
        </w:rPr>
        <w:t>from</w:t>
      </w:r>
      <w:r>
        <w:rPr>
          <w:color w:val="231F20"/>
          <w:spacing w:val="11"/>
        </w:rPr>
        <w:t> </w:t>
      </w:r>
      <w:r>
        <w:rPr>
          <w:color w:val="231F20"/>
        </w:rPr>
        <w:t>the</w:t>
      </w:r>
      <w:r>
        <w:rPr>
          <w:color w:val="231F20"/>
          <w:spacing w:val="11"/>
        </w:rPr>
        <w:t> </w:t>
      </w:r>
      <w:r>
        <w:rPr>
          <w:color w:val="231F20"/>
          <w:spacing w:val="-2"/>
        </w:rPr>
        <w:t>group.</w:t>
      </w:r>
    </w:p>
    <w:p>
      <w:pPr>
        <w:pStyle w:val="BodyText"/>
        <w:spacing w:line="213" w:lineRule="auto" w:before="233"/>
        <w:ind w:left="2472" w:right="385"/>
      </w:pPr>
      <w:r>
        <w:rPr>
          <w:rFonts w:ascii="Book Antiqua"/>
          <w:b/>
          <w:color w:val="231F20"/>
        </w:rPr>
        <w:t>Deploy group </w:t>
      </w:r>
      <w:r>
        <w:rPr>
          <w:color w:val="231F20"/>
        </w:rPr>
        <w:t>The collection of host names of different computers or other </w:t>
      </w:r>
      <w:r>
        <w:rPr>
          <w:color w:val="231F20"/>
        </w:rPr>
        <w:t>deploy groups</w:t>
      </w:r>
      <w:r>
        <w:rPr>
          <w:color w:val="231F20"/>
          <w:spacing w:val="26"/>
        </w:rPr>
        <w:t> </w:t>
      </w:r>
      <w:r>
        <w:rPr>
          <w:color w:val="231F20"/>
        </w:rPr>
        <w:t>that</w:t>
      </w:r>
      <w:r>
        <w:rPr>
          <w:color w:val="231F20"/>
          <w:spacing w:val="26"/>
        </w:rPr>
        <w:t> </w:t>
      </w:r>
      <w:r>
        <w:rPr>
          <w:color w:val="231F20"/>
        </w:rPr>
        <w:t>the</w:t>
      </w:r>
      <w:r>
        <w:rPr>
          <w:color w:val="231F20"/>
          <w:spacing w:val="26"/>
        </w:rPr>
        <w:t> </w:t>
      </w:r>
      <w:r>
        <w:rPr>
          <w:color w:val="231F20"/>
        </w:rPr>
        <w:t>agents</w:t>
      </w:r>
      <w:r>
        <w:rPr>
          <w:color w:val="231F20"/>
          <w:spacing w:val="26"/>
        </w:rPr>
        <w:t> </w:t>
      </w:r>
      <w:r>
        <w:rPr>
          <w:color w:val="231F20"/>
        </w:rPr>
        <w:t>are</w:t>
      </w:r>
      <w:r>
        <w:rPr>
          <w:color w:val="231F20"/>
          <w:spacing w:val="26"/>
        </w:rPr>
        <w:t> </w:t>
      </w:r>
      <w:r>
        <w:rPr>
          <w:color w:val="231F20"/>
        </w:rPr>
        <w:t>deployed</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deploy</w:t>
      </w:r>
      <w:r>
        <w:rPr>
          <w:color w:val="231F20"/>
          <w:spacing w:val="26"/>
        </w:rPr>
        <w:t> </w:t>
      </w:r>
      <w:r>
        <w:rPr>
          <w:color w:val="231F20"/>
        </w:rPr>
        <w:t>group</w:t>
      </w:r>
      <w:r>
        <w:rPr>
          <w:color w:val="231F20"/>
          <w:spacing w:val="26"/>
        </w:rPr>
        <w:t> </w:t>
      </w:r>
      <w:r>
        <w:rPr>
          <w:color w:val="231F20"/>
        </w:rPr>
        <w:t>will</w:t>
      </w:r>
      <w:r>
        <w:rPr>
          <w:color w:val="231F20"/>
          <w:spacing w:val="26"/>
        </w:rPr>
        <w:t> </w:t>
      </w:r>
      <w:r>
        <w:rPr>
          <w:color w:val="231F20"/>
        </w:rPr>
        <w:t>have</w:t>
      </w:r>
      <w:r>
        <w:rPr>
          <w:color w:val="231F20"/>
          <w:spacing w:val="26"/>
        </w:rPr>
        <w:t> </w:t>
      </w:r>
      <w:r>
        <w:rPr>
          <w:color w:val="231F20"/>
        </w:rPr>
        <w:t>a</w:t>
      </w:r>
      <w:r>
        <w:rPr>
          <w:color w:val="231F20"/>
          <w:spacing w:val="26"/>
        </w:rPr>
        <w:t> </w:t>
      </w:r>
      <w:r>
        <w:rPr>
          <w:color w:val="231F20"/>
        </w:rPr>
        <w:t>deploy </w:t>
      </w:r>
      <w:r>
        <w:rPr>
          <w:color w:val="231F20"/>
          <w:spacing w:val="-2"/>
        </w:rPr>
        <w:t>name.</w:t>
      </w:r>
    </w:p>
    <w:p>
      <w:pPr>
        <w:pStyle w:val="BodyText"/>
        <w:spacing w:line="213" w:lineRule="auto" w:before="237"/>
        <w:ind w:left="2472" w:right="385"/>
      </w:pPr>
      <w:r>
        <w:rPr>
          <w:rFonts w:ascii="Book Antiqua"/>
          <w:b/>
          <w:color w:val="231F20"/>
        </w:rPr>
        <w:t>Deploy</w:t>
      </w:r>
      <w:r>
        <w:rPr>
          <w:rFonts w:ascii="Book Antiqua"/>
          <w:b/>
          <w:color w:val="231F20"/>
          <w:spacing w:val="27"/>
        </w:rPr>
        <w:t> </w:t>
      </w:r>
      <w:r>
        <w:rPr>
          <w:rFonts w:ascii="Book Antiqua"/>
          <w:b/>
          <w:color w:val="231F20"/>
        </w:rPr>
        <w:t>group</w:t>
      </w:r>
      <w:r>
        <w:rPr>
          <w:rFonts w:ascii="Book Antiqua"/>
          <w:b/>
          <w:color w:val="231F20"/>
          <w:spacing w:val="27"/>
        </w:rPr>
        <w:t> </w:t>
      </w:r>
      <w:r>
        <w:rPr>
          <w:rFonts w:ascii="Book Antiqua"/>
          <w:b/>
          <w:color w:val="231F20"/>
        </w:rPr>
        <w:t>name</w:t>
      </w:r>
      <w:r>
        <w:rPr>
          <w:rFonts w:ascii="Book Antiqua"/>
          <w:b/>
          <w:color w:val="231F20"/>
          <w:spacing w:val="27"/>
        </w:rPr>
        <w:t> </w:t>
      </w:r>
      <w:r>
        <w:rPr>
          <w:color w:val="231F20"/>
        </w:rPr>
        <w:t>The</w:t>
      </w:r>
      <w:r>
        <w:rPr>
          <w:color w:val="231F20"/>
          <w:spacing w:val="27"/>
        </w:rPr>
        <w:t> </w:t>
      </w:r>
      <w:r>
        <w:rPr>
          <w:color w:val="231F20"/>
        </w:rPr>
        <w:t>name</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group</w:t>
      </w:r>
      <w:r>
        <w:rPr>
          <w:color w:val="231F20"/>
          <w:spacing w:val="27"/>
        </w:rPr>
        <w:t> </w:t>
      </w:r>
      <w:r>
        <w:rPr>
          <w:color w:val="231F20"/>
        </w:rPr>
        <w:t>containing</w:t>
      </w:r>
      <w:r>
        <w:rPr>
          <w:color w:val="231F20"/>
          <w:spacing w:val="27"/>
        </w:rPr>
        <w:t> </w:t>
      </w:r>
      <w:r>
        <w:rPr>
          <w:color w:val="231F20"/>
        </w:rPr>
        <w:t>the</w:t>
      </w:r>
      <w:r>
        <w:rPr>
          <w:color w:val="231F20"/>
          <w:spacing w:val="27"/>
        </w:rPr>
        <w:t> </w:t>
      </w:r>
      <w:r>
        <w:rPr>
          <w:color w:val="231F20"/>
        </w:rPr>
        <w:t>collection</w:t>
      </w:r>
      <w:r>
        <w:rPr>
          <w:color w:val="231F20"/>
          <w:spacing w:val="27"/>
        </w:rPr>
        <w:t> </w:t>
      </w:r>
      <w:r>
        <w:rPr>
          <w:color w:val="231F20"/>
        </w:rPr>
        <w:t>of</w:t>
      </w:r>
      <w:r>
        <w:rPr>
          <w:color w:val="231F20"/>
          <w:spacing w:val="27"/>
        </w:rPr>
        <w:t> </w:t>
      </w:r>
      <w:r>
        <w:rPr>
          <w:color w:val="231F20"/>
        </w:rPr>
        <w:t>host names of different computers or other deploy groups that the agents are deployed </w:t>
      </w:r>
      <w:r>
        <w:rPr>
          <w:color w:val="231F20"/>
          <w:spacing w:val="-4"/>
        </w:rPr>
        <w:t>to.</w:t>
      </w:r>
    </w:p>
    <w:p>
      <w:pPr>
        <w:pStyle w:val="BodyText"/>
        <w:spacing w:line="213" w:lineRule="auto" w:before="238"/>
        <w:ind w:left="2472" w:right="545"/>
      </w:pPr>
      <w:r>
        <w:rPr>
          <w:rFonts w:ascii="Book Antiqua"/>
          <w:b/>
          <w:color w:val="231F20"/>
        </w:rPr>
        <w:t>Deploy TEMS </w:t>
      </w:r>
      <w:r>
        <w:rPr>
          <w:color w:val="231F20"/>
        </w:rPr>
        <w:t>The through node or the remote Tivoli Enterprise </w:t>
      </w:r>
      <w:r>
        <w:rPr>
          <w:color w:val="231F20"/>
        </w:rPr>
        <w:t>Monitoring Server that the agent is being deployed from.</w:t>
      </w:r>
    </w:p>
    <w:p>
      <w:pPr>
        <w:pStyle w:val="BodyText"/>
        <w:spacing w:line="213" w:lineRule="auto" w:before="238"/>
        <w:ind w:left="2472" w:right="258"/>
      </w:pPr>
      <w:r>
        <w:rPr>
          <w:rFonts w:ascii="Book Antiqua"/>
          <w:b/>
          <w:color w:val="231F20"/>
        </w:rPr>
        <w:t>GlobalTimeStamp </w:t>
      </w:r>
      <w:r>
        <w:rPr>
          <w:color w:val="231F20"/>
        </w:rPr>
        <w:t>The most recent update at the hub Tivoli Enterprise </w:t>
      </w:r>
      <w:r>
        <w:rPr>
          <w:color w:val="231F20"/>
        </w:rPr>
        <w:t>Monitoring Server to the deployment status for the transaction time. The GlobalTimeStamp attribute indicates the last time any information was updated for the deploy command, which is used for EIB probe completion.</w:t>
      </w:r>
    </w:p>
    <w:p>
      <w:pPr>
        <w:pStyle w:val="BodyText"/>
        <w:spacing w:line="213" w:lineRule="auto" w:before="236"/>
        <w:ind w:left="2472" w:right="493"/>
      </w:pPr>
      <w:r>
        <w:rPr>
          <w:rFonts w:ascii="Book Antiqua"/>
          <w:b/>
          <w:color w:val="231F20"/>
        </w:rPr>
        <w:t>Group Transaction ID </w:t>
      </w:r>
      <w:r>
        <w:rPr>
          <w:color w:val="231F20"/>
        </w:rPr>
        <w:t>The identifying number that is assigned to a group transaction. This value allows you to see the transactions involved in the </w:t>
      </w:r>
      <w:r>
        <w:rPr>
          <w:color w:val="231F20"/>
        </w:rPr>
        <w:t>same command. It is the amef value.</w:t>
      </w:r>
    </w:p>
    <w:p>
      <w:pPr>
        <w:pStyle w:val="BodyText"/>
        <w:spacing w:line="213" w:lineRule="auto" w:before="238"/>
        <w:ind w:left="2472" w:right="545"/>
      </w:pPr>
      <w:r>
        <w:rPr>
          <w:rFonts w:ascii="Book Antiqua"/>
          <w:b/>
          <w:color w:val="231F20"/>
        </w:rPr>
        <w:t>lstdate timestamp </w:t>
      </w:r>
      <w:r>
        <w:rPr>
          <w:color w:val="231F20"/>
        </w:rPr>
        <w:t>The last time the record for the deploy command (row in the table) was changed. The lstdate timestamp attribute displays the last time any information update made. The files have been installed and the agent is configured; the row in the table is inserted once the command is complete.</w:t>
      </w:r>
    </w:p>
    <w:p>
      <w:pPr>
        <w:spacing w:after="0" w:line="213" w:lineRule="auto"/>
        <w:sectPr>
          <w:pgSz w:w="12240" w:h="15840"/>
          <w:pgMar w:header="0" w:footer="736" w:top="1180" w:bottom="920" w:left="1000" w:right="1060"/>
        </w:sectPr>
      </w:pPr>
    </w:p>
    <w:p>
      <w:pPr>
        <w:pStyle w:val="BodyText"/>
        <w:spacing w:line="213" w:lineRule="auto" w:before="85"/>
        <w:ind w:left="2232" w:right="545"/>
      </w:pPr>
      <w:bookmarkStart w:name="_bookmark339" w:id="709"/>
      <w:bookmarkEnd w:id="709"/>
      <w:r>
        <w:rPr/>
      </w:r>
      <w:r>
        <w:rPr>
          <w:rFonts w:ascii="Book Antiqua"/>
          <w:b/>
          <w:color w:val="231F20"/>
        </w:rPr>
        <w:t>NodeId </w:t>
      </w:r>
      <w:r>
        <w:rPr>
          <w:color w:val="231F20"/>
        </w:rPr>
        <w:t>The agent name and platform (separated by a colon). The nodeId and </w:t>
      </w:r>
      <w:r>
        <w:rPr>
          <w:color w:val="231F20"/>
        </w:rPr>
        <w:t>the target managed system name are similar.</w:t>
      </w:r>
    </w:p>
    <w:p>
      <w:pPr>
        <w:pStyle w:val="BodyText"/>
        <w:spacing w:line="213" w:lineRule="auto" w:before="238"/>
        <w:ind w:left="2232" w:right="545"/>
      </w:pPr>
      <w:r>
        <w:rPr>
          <w:rFonts w:ascii="Book Antiqua"/>
          <w:b/>
          <w:color w:val="231F20"/>
        </w:rPr>
        <w:t>Platform Version </w:t>
      </w:r>
      <w:r>
        <w:rPr>
          <w:color w:val="231F20"/>
        </w:rPr>
        <w:t>The operating platform of the target computer for the </w:t>
      </w:r>
      <w:r>
        <w:rPr>
          <w:color w:val="231F20"/>
        </w:rPr>
        <w:t>agent install. For example, WinNt.</w:t>
      </w:r>
    </w:p>
    <w:p>
      <w:pPr>
        <w:pStyle w:val="BodyText"/>
        <w:spacing w:line="213" w:lineRule="auto" w:before="238"/>
        <w:ind w:left="2232" w:right="1074"/>
      </w:pPr>
      <w:r>
        <w:rPr>
          <w:rFonts w:ascii="Book Antiqua"/>
          <w:b/>
          <w:color w:val="231F20"/>
        </w:rPr>
        <w:t>Processing State </w:t>
      </w:r>
      <w:r>
        <w:rPr>
          <w:color w:val="231F20"/>
        </w:rPr>
        <w:t>The state of the deploy command, from pre-deployment </w:t>
      </w:r>
      <w:r>
        <w:rPr>
          <w:color w:val="231F20"/>
        </w:rPr>
        <w:t>to post-installation. The state is indicated with an integer.</w:t>
      </w:r>
    </w:p>
    <w:p>
      <w:pPr>
        <w:spacing w:line="427" w:lineRule="auto" w:before="215"/>
        <w:ind w:left="2232" w:right="4095" w:firstLine="0"/>
        <w:jc w:val="left"/>
        <w:rPr>
          <w:sz w:val="20"/>
        </w:rPr>
      </w:pPr>
      <w:r>
        <w:rPr>
          <w:rFonts w:ascii="Book Antiqua"/>
          <w:b/>
          <w:color w:val="231F20"/>
          <w:sz w:val="20"/>
        </w:rPr>
        <w:t>Product ID </w:t>
      </w:r>
      <w:r>
        <w:rPr>
          <w:color w:val="231F20"/>
          <w:sz w:val="20"/>
        </w:rPr>
        <w:t>The product code of the </w:t>
      </w:r>
      <w:r>
        <w:rPr>
          <w:color w:val="231F20"/>
          <w:sz w:val="20"/>
        </w:rPr>
        <w:t>agent. </w:t>
      </w:r>
      <w:r>
        <w:rPr>
          <w:rFonts w:ascii="Book Antiqua"/>
          <w:b/>
          <w:color w:val="231F20"/>
          <w:sz w:val="20"/>
        </w:rPr>
        <w:t>Product Version </w:t>
      </w:r>
      <w:r>
        <w:rPr>
          <w:color w:val="231F20"/>
          <w:sz w:val="20"/>
        </w:rPr>
        <w:t>The version of the agent. </w:t>
      </w:r>
      <w:r>
        <w:rPr>
          <w:rFonts w:ascii="Book Antiqua"/>
          <w:b/>
          <w:color w:val="231F20"/>
          <w:sz w:val="20"/>
        </w:rPr>
        <w:t>Reserved1 </w:t>
      </w:r>
      <w:r>
        <w:rPr>
          <w:color w:val="231F20"/>
          <w:sz w:val="20"/>
        </w:rPr>
        <w:t>Reserved for future use.</w:t>
      </w:r>
    </w:p>
    <w:p>
      <w:pPr>
        <w:spacing w:line="266" w:lineRule="exact" w:before="0"/>
        <w:ind w:left="2232" w:right="0" w:firstLine="0"/>
        <w:jc w:val="left"/>
        <w:rPr>
          <w:sz w:val="20"/>
        </w:rPr>
      </w:pPr>
      <w:r>
        <w:rPr>
          <w:rFonts w:ascii="Book Antiqua"/>
          <w:b/>
          <w:color w:val="231F20"/>
          <w:sz w:val="20"/>
        </w:rPr>
        <w:t>Reserved2</w:t>
      </w:r>
      <w:r>
        <w:rPr>
          <w:rFonts w:ascii="Book Antiqua"/>
          <w:b/>
          <w:color w:val="231F20"/>
          <w:spacing w:val="8"/>
          <w:sz w:val="20"/>
        </w:rPr>
        <w:t> </w:t>
      </w:r>
      <w:r>
        <w:rPr>
          <w:color w:val="231F20"/>
          <w:sz w:val="20"/>
        </w:rPr>
        <w:t>Reserved</w:t>
      </w:r>
      <w:r>
        <w:rPr>
          <w:color w:val="231F20"/>
          <w:spacing w:val="9"/>
          <w:sz w:val="20"/>
        </w:rPr>
        <w:t> </w:t>
      </w:r>
      <w:r>
        <w:rPr>
          <w:color w:val="231F20"/>
          <w:sz w:val="20"/>
        </w:rPr>
        <w:t>for</w:t>
      </w:r>
      <w:r>
        <w:rPr>
          <w:color w:val="231F20"/>
          <w:spacing w:val="8"/>
          <w:sz w:val="20"/>
        </w:rPr>
        <w:t> </w:t>
      </w:r>
      <w:r>
        <w:rPr>
          <w:color w:val="231F20"/>
          <w:sz w:val="20"/>
        </w:rPr>
        <w:t>future</w:t>
      </w:r>
      <w:r>
        <w:rPr>
          <w:color w:val="231F20"/>
          <w:spacing w:val="9"/>
          <w:sz w:val="20"/>
        </w:rPr>
        <w:t> </w:t>
      </w:r>
      <w:r>
        <w:rPr>
          <w:color w:val="231F20"/>
          <w:spacing w:val="-4"/>
          <w:sz w:val="20"/>
        </w:rPr>
        <w:t>use.</w:t>
      </w:r>
    </w:p>
    <w:p>
      <w:pPr>
        <w:pStyle w:val="BodyText"/>
        <w:spacing w:line="213" w:lineRule="auto" w:before="232"/>
        <w:ind w:left="2232" w:right="545"/>
      </w:pPr>
      <w:r>
        <w:rPr>
          <w:rFonts w:ascii="Book Antiqua"/>
          <w:b/>
          <w:color w:val="231F20"/>
        </w:rPr>
        <w:t>RetryCount </w:t>
      </w:r>
      <w:r>
        <w:rPr>
          <w:color w:val="231F20"/>
        </w:rPr>
        <w:t>The number of times the agent is retried. 0 is displayed if it is fine and</w:t>
      </w:r>
      <w:r>
        <w:rPr>
          <w:color w:val="231F20"/>
          <w:spacing w:val="40"/>
        </w:rPr>
        <w:t> </w:t>
      </w:r>
      <w:r>
        <w:rPr>
          <w:color w:val="231F20"/>
        </w:rPr>
        <w:t>no retries occur.</w:t>
      </w:r>
    </w:p>
    <w:p>
      <w:pPr>
        <w:pStyle w:val="BodyText"/>
        <w:spacing w:line="213" w:lineRule="auto" w:before="238"/>
        <w:ind w:left="2232" w:right="461"/>
      </w:pPr>
      <w:r>
        <w:rPr>
          <w:rFonts w:ascii="Book Antiqua"/>
          <w:b/>
          <w:color w:val="231F20"/>
        </w:rPr>
        <w:t>Return</w:t>
      </w:r>
      <w:r>
        <w:rPr>
          <w:rFonts w:ascii="Book Antiqua"/>
          <w:b/>
          <w:color w:val="231F20"/>
          <w:spacing w:val="12"/>
        </w:rPr>
        <w:t> </w:t>
      </w:r>
      <w:r>
        <w:rPr>
          <w:rFonts w:ascii="Book Antiqua"/>
          <w:b/>
          <w:color w:val="231F20"/>
        </w:rPr>
        <w:t>code</w:t>
      </w:r>
      <w:r>
        <w:rPr>
          <w:rFonts w:ascii="Book Antiqua"/>
          <w:b/>
          <w:color w:val="231F20"/>
          <w:spacing w:val="12"/>
        </w:rPr>
        <w:t> </w:t>
      </w:r>
      <w:r>
        <w:rPr>
          <w:color w:val="231F20"/>
        </w:rPr>
        <w:t>The</w:t>
      </w:r>
      <w:r>
        <w:rPr>
          <w:color w:val="231F20"/>
          <w:spacing w:val="12"/>
        </w:rPr>
        <w:t> </w:t>
      </w:r>
      <w:r>
        <w:rPr>
          <w:color w:val="231F20"/>
        </w:rPr>
        <w:t>code</w:t>
      </w:r>
      <w:r>
        <w:rPr>
          <w:color w:val="231F20"/>
          <w:spacing w:val="12"/>
        </w:rPr>
        <w:t> </w:t>
      </w:r>
      <w:r>
        <w:rPr>
          <w:color w:val="231F20"/>
        </w:rPr>
        <w:t>that</w:t>
      </w:r>
      <w:r>
        <w:rPr>
          <w:color w:val="231F20"/>
          <w:spacing w:val="12"/>
        </w:rPr>
        <w:t> </w:t>
      </w:r>
      <w:r>
        <w:rPr>
          <w:color w:val="231F20"/>
        </w:rPr>
        <w:t>is</w:t>
      </w:r>
      <w:r>
        <w:rPr>
          <w:color w:val="231F20"/>
          <w:spacing w:val="12"/>
        </w:rPr>
        <w:t> </w:t>
      </w:r>
      <w:r>
        <w:rPr>
          <w:color w:val="231F20"/>
        </w:rPr>
        <w:t>generated</w:t>
      </w:r>
      <w:r>
        <w:rPr>
          <w:color w:val="231F20"/>
          <w:spacing w:val="12"/>
        </w:rPr>
        <w:t> </w:t>
      </w:r>
      <w:r>
        <w:rPr>
          <w:color w:val="231F20"/>
        </w:rPr>
        <w:t>upon</w:t>
      </w:r>
      <w:r>
        <w:rPr>
          <w:color w:val="231F20"/>
          <w:spacing w:val="12"/>
        </w:rPr>
        <w:t> </w:t>
      </w:r>
      <w:r>
        <w:rPr>
          <w:color w:val="231F20"/>
        </w:rPr>
        <w:t>completion</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task:</w:t>
      </w:r>
      <w:r>
        <w:rPr>
          <w:color w:val="231F20"/>
          <w:spacing w:val="12"/>
        </w:rPr>
        <w:t> </w:t>
      </w:r>
      <w:r>
        <w:rPr>
          <w:color w:val="231F20"/>
        </w:rPr>
        <w:t>0</w:t>
      </w:r>
      <w:r>
        <w:rPr>
          <w:color w:val="231F20"/>
          <w:spacing w:val="12"/>
        </w:rPr>
        <w:t> </w:t>
      </w:r>
      <w:r>
        <w:rPr>
          <w:color w:val="231F20"/>
        </w:rPr>
        <w:t>for</w:t>
      </w:r>
      <w:r>
        <w:rPr>
          <w:color w:val="231F20"/>
          <w:spacing w:val="12"/>
        </w:rPr>
        <w:t> </w:t>
      </w:r>
      <w:r>
        <w:rPr>
          <w:color w:val="231F20"/>
        </w:rPr>
        <w:t>success; 3 for failure.</w:t>
      </w:r>
    </w:p>
    <w:p>
      <w:pPr>
        <w:pStyle w:val="BodyText"/>
        <w:spacing w:line="213" w:lineRule="auto" w:before="238"/>
        <w:ind w:left="2232" w:right="545"/>
      </w:pPr>
      <w:r>
        <w:rPr>
          <w:rFonts w:ascii="Book Antiqua"/>
          <w:b/>
          <w:color w:val="231F20"/>
        </w:rPr>
        <w:t>Return Message </w:t>
      </w:r>
      <w:r>
        <w:rPr>
          <w:color w:val="231F20"/>
        </w:rPr>
        <w:t>The information message or error message regarding the </w:t>
      </w:r>
      <w:r>
        <w:rPr>
          <w:color w:val="231F20"/>
        </w:rPr>
        <w:t>agent deployment. For example, fail is displayed when agent has been deployed and couldn't connect.</w:t>
      </w:r>
    </w:p>
    <w:p>
      <w:pPr>
        <w:pStyle w:val="BodyText"/>
        <w:spacing w:line="213" w:lineRule="auto" w:before="238"/>
        <w:ind w:left="2232" w:right="493"/>
      </w:pPr>
      <w:r>
        <w:rPr>
          <w:rFonts w:ascii="Book Antiqua"/>
          <w:b/>
          <w:color w:val="231F20"/>
        </w:rPr>
        <w:t>StartTime </w:t>
      </w:r>
      <w:r>
        <w:rPr>
          <w:color w:val="231F20"/>
        </w:rPr>
        <w:t>The time of the most recent attempt to initiate the deployment transaction. With every retry, this value is reset. No value is displayed if no retry </w:t>
      </w:r>
      <w:r>
        <w:rPr>
          <w:color w:val="231F20"/>
          <w:spacing w:val="-2"/>
        </w:rPr>
        <w:t>occurs.</w:t>
      </w:r>
    </w:p>
    <w:p>
      <w:pPr>
        <w:pStyle w:val="BodyText"/>
        <w:spacing w:line="213" w:lineRule="auto" w:before="237"/>
        <w:ind w:left="2232" w:right="763"/>
      </w:pPr>
      <w:r>
        <w:rPr>
          <w:rFonts w:ascii="Book Antiqua"/>
          <w:b/>
          <w:color w:val="231F20"/>
        </w:rPr>
        <w:t>Status </w:t>
      </w:r>
      <w:r>
        <w:rPr>
          <w:color w:val="231F20"/>
        </w:rPr>
        <w:t>The status of the agent deployment. Valid values are Success, Failed, In progress, and Failed retry (default setting for number of attempts to retry is 5 times with 90 second intervals between each retry).</w:t>
      </w:r>
    </w:p>
    <w:p>
      <w:pPr>
        <w:pStyle w:val="BodyText"/>
        <w:spacing w:line="213" w:lineRule="auto" w:before="238"/>
        <w:ind w:left="2232" w:right="700"/>
      </w:pPr>
      <w:r>
        <w:rPr>
          <w:rFonts w:ascii="Book Antiqua"/>
          <w:b/>
          <w:color w:val="231F20"/>
        </w:rPr>
        <w:t>System </w:t>
      </w:r>
      <w:r>
        <w:rPr>
          <w:color w:val="231F20"/>
        </w:rPr>
        <w:t>The host address of the deploy target computer. It is the fully qualified host name or IP address of the target computer.</w:t>
      </w:r>
    </w:p>
    <w:p>
      <w:pPr>
        <w:spacing w:line="213" w:lineRule="auto" w:before="238"/>
        <w:ind w:left="2232" w:right="493" w:firstLine="0"/>
        <w:jc w:val="left"/>
        <w:rPr>
          <w:sz w:val="20"/>
        </w:rPr>
      </w:pPr>
      <w:r>
        <w:rPr>
          <w:rFonts w:ascii="Book Antiqua"/>
          <w:b/>
          <w:color w:val="231F20"/>
          <w:sz w:val="20"/>
        </w:rPr>
        <w:t>Target managed system name </w:t>
      </w:r>
      <w:r>
        <w:rPr>
          <w:color w:val="231F20"/>
          <w:sz w:val="20"/>
        </w:rPr>
        <w:t>The managed system name of the OS agent that </w:t>
      </w:r>
      <w:r>
        <w:rPr>
          <w:color w:val="231F20"/>
          <w:sz w:val="20"/>
        </w:rPr>
        <w:t>is processing the deployment transaction.</w:t>
      </w:r>
    </w:p>
    <w:p>
      <w:pPr>
        <w:pStyle w:val="BodyText"/>
        <w:spacing w:line="213" w:lineRule="auto" w:before="238"/>
        <w:ind w:left="2232" w:right="550"/>
      </w:pPr>
      <w:r>
        <w:rPr>
          <w:rFonts w:ascii="Book Antiqua"/>
          <w:b/>
          <w:color w:val="231F20"/>
        </w:rPr>
        <w:t>Transaction ID </w:t>
      </w:r>
      <w:r>
        <w:rPr>
          <w:color w:val="231F20"/>
        </w:rPr>
        <w:t>The identifying number assigned to the transaction; this identifier</w:t>
      </w:r>
      <w:r>
        <w:rPr>
          <w:color w:val="231F20"/>
          <w:spacing w:val="80"/>
        </w:rPr>
        <w:t> </w:t>
      </w:r>
      <w:r>
        <w:rPr>
          <w:color w:val="231F20"/>
        </w:rPr>
        <w:t>is</w:t>
      </w:r>
      <w:r>
        <w:rPr>
          <w:color w:val="231F20"/>
          <w:spacing w:val="11"/>
        </w:rPr>
        <w:t> </w:t>
      </w:r>
      <w:r>
        <w:rPr>
          <w:color w:val="231F20"/>
        </w:rPr>
        <w:t>unique</w:t>
      </w:r>
      <w:r>
        <w:rPr>
          <w:color w:val="231F20"/>
          <w:spacing w:val="11"/>
        </w:rPr>
        <w:t> </w:t>
      </w:r>
      <w:r>
        <w:rPr>
          <w:color w:val="231F20"/>
        </w:rPr>
        <w:t>to</w:t>
      </w:r>
      <w:r>
        <w:rPr>
          <w:color w:val="231F20"/>
          <w:spacing w:val="11"/>
        </w:rPr>
        <w:t> </w:t>
      </w:r>
      <w:r>
        <w:rPr>
          <w:color w:val="231F20"/>
        </w:rPr>
        <w:t>each</w:t>
      </w:r>
      <w:r>
        <w:rPr>
          <w:color w:val="231F20"/>
          <w:spacing w:val="12"/>
        </w:rPr>
        <w:t> </w:t>
      </w:r>
      <w:r>
        <w:rPr>
          <w:color w:val="231F20"/>
        </w:rPr>
        <w:t>transaction.</w:t>
      </w:r>
      <w:r>
        <w:rPr>
          <w:color w:val="231F20"/>
          <w:spacing w:val="11"/>
        </w:rPr>
        <w:t> </w:t>
      </w:r>
      <w:r>
        <w:rPr>
          <w:color w:val="231F20"/>
        </w:rPr>
        <w:t>It</w:t>
      </w:r>
      <w:r>
        <w:rPr>
          <w:color w:val="231F20"/>
          <w:spacing w:val="11"/>
        </w:rPr>
        <w:t> </w:t>
      </w:r>
      <w:r>
        <w:rPr>
          <w:color w:val="231F20"/>
        </w:rPr>
        <w:t>is</w:t>
      </w:r>
      <w:r>
        <w:rPr>
          <w:color w:val="231F20"/>
          <w:spacing w:val="11"/>
        </w:rPr>
        <w:t> </w:t>
      </w:r>
      <w:r>
        <w:rPr>
          <w:color w:val="231F20"/>
        </w:rPr>
        <w:t>generated</w:t>
      </w:r>
      <w:r>
        <w:rPr>
          <w:color w:val="231F20"/>
          <w:spacing w:val="12"/>
        </w:rPr>
        <w:t> </w:t>
      </w:r>
      <w:r>
        <w:rPr>
          <w:color w:val="231F20"/>
        </w:rPr>
        <w:t>through</w:t>
      </w:r>
      <w:r>
        <w:rPr>
          <w:color w:val="231F20"/>
          <w:spacing w:val="11"/>
        </w:rPr>
        <w:t> </w:t>
      </w:r>
      <w:r>
        <w:rPr>
          <w:color w:val="231F20"/>
        </w:rPr>
        <w:t>a</w:t>
      </w:r>
      <w:r>
        <w:rPr>
          <w:color w:val="231F20"/>
          <w:spacing w:val="11"/>
        </w:rPr>
        <w:t> </w:t>
      </w:r>
      <w:r>
        <w:rPr>
          <w:color w:val="231F20"/>
        </w:rPr>
        <w:t>random</w:t>
      </w:r>
      <w:r>
        <w:rPr>
          <w:color w:val="231F20"/>
          <w:spacing w:val="12"/>
        </w:rPr>
        <w:t> </w:t>
      </w:r>
      <w:r>
        <w:rPr>
          <w:color w:val="231F20"/>
        </w:rPr>
        <w:t>string</w:t>
      </w:r>
      <w:r>
        <w:rPr>
          <w:color w:val="231F20"/>
          <w:spacing w:val="11"/>
        </w:rPr>
        <w:t> </w:t>
      </w:r>
      <w:r>
        <w:rPr>
          <w:color w:val="231F20"/>
        </w:rPr>
        <w:t>of</w:t>
      </w:r>
      <w:r>
        <w:rPr>
          <w:color w:val="231F20"/>
          <w:spacing w:val="11"/>
        </w:rPr>
        <w:t> </w:t>
      </w:r>
      <w:r>
        <w:rPr>
          <w:color w:val="231F20"/>
          <w:spacing w:val="-2"/>
        </w:rPr>
        <w:t>numbers.</w:t>
      </w:r>
    </w:p>
    <w:p>
      <w:pPr>
        <w:pStyle w:val="BodyText"/>
        <w:spacing w:before="5"/>
        <w:rPr>
          <w:sz w:val="16"/>
        </w:rPr>
      </w:pPr>
      <w:r>
        <w:rPr/>
        <mc:AlternateContent>
          <mc:Choice Requires="wps">
            <w:drawing>
              <wp:anchor distT="0" distB="0" distL="0" distR="0" allowOverlap="1" layoutInCell="1" locked="0" behindDoc="1" simplePos="0" relativeHeight="487753216">
                <wp:simplePos x="0" y="0"/>
                <wp:positionH relativeFrom="page">
                  <wp:posOffset>760323</wp:posOffset>
                </wp:positionH>
                <wp:positionV relativeFrom="paragraph">
                  <wp:posOffset>155990</wp:posOffset>
                </wp:positionV>
                <wp:extent cx="6082665" cy="1270"/>
                <wp:effectExtent l="0" t="0" r="0" b="0"/>
                <wp:wrapTopAndBottom/>
                <wp:docPr id="3392" name="Graphic 3392"/>
                <wp:cNvGraphicFramePr>
                  <a:graphicFrameLocks/>
                </wp:cNvGraphicFramePr>
                <a:graphic>
                  <a:graphicData uri="http://schemas.microsoft.com/office/word/2010/wordprocessingShape">
                    <wps:wsp>
                      <wps:cNvPr id="3392" name="Graphic 3392"/>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82732pt;width:478.95pt;height:.1pt;mso-position-horizontal-relative:page;mso-position-vertical-relative:paragraph;z-index:-15563264;mso-wrap-distance-left:0;mso-wrap-distance-right:0" id="docshape291" coordorigin="1197,246" coordsize="9579,0" path="m1197,246l10776,246e" filled="false" stroked="true" strokeweight=".499pt" strokecolor="#231f20">
                <v:path arrowok="t"/>
                <v:stroke dashstyle="solid"/>
                <w10:wrap type="topAndBottom"/>
              </v:shape>
            </w:pict>
          </mc:Fallback>
        </mc:AlternateContent>
      </w:r>
    </w:p>
    <w:p>
      <w:pPr>
        <w:pStyle w:val="Heading3"/>
        <w:ind w:left="197"/>
      </w:pPr>
      <w:bookmarkStart w:name="Deploy Summary attributes" w:id="710"/>
      <w:bookmarkEnd w:id="710"/>
      <w:r>
        <w:rPr>
          <w:b w:val="0"/>
        </w:rPr>
      </w:r>
      <w:r>
        <w:rPr>
          <w:color w:val="231F20"/>
        </w:rPr>
        <w:t>Deploy</w:t>
      </w:r>
      <w:r>
        <w:rPr>
          <w:color w:val="231F20"/>
          <w:spacing w:val="3"/>
        </w:rPr>
        <w:t> </w:t>
      </w:r>
      <w:r>
        <w:rPr>
          <w:color w:val="231F20"/>
        </w:rPr>
        <w:t>Summary</w:t>
      </w:r>
      <w:r>
        <w:rPr>
          <w:color w:val="231F20"/>
          <w:spacing w:val="4"/>
        </w:rPr>
        <w:t> </w:t>
      </w:r>
      <w:r>
        <w:rPr>
          <w:color w:val="231F20"/>
          <w:spacing w:val="-2"/>
        </w:rPr>
        <w:t>attributes</w:t>
      </w:r>
    </w:p>
    <w:p>
      <w:pPr>
        <w:pStyle w:val="BodyText"/>
        <w:spacing w:line="213" w:lineRule="auto" w:before="138"/>
        <w:ind w:left="2232" w:right="603"/>
      </w:pPr>
      <w:r>
        <w:rPr>
          <w:color w:val="231F20"/>
        </w:rPr>
        <w:t>The deploy summary attributes provide a summary of all the deploy </w:t>
      </w:r>
      <w:r>
        <w:rPr>
          <w:color w:val="231F20"/>
        </w:rPr>
        <w:t>commands that have been issued.</w:t>
      </w:r>
    </w:p>
    <w:p>
      <w:pPr>
        <w:pStyle w:val="BodyText"/>
        <w:spacing w:line="213" w:lineRule="auto" w:before="239"/>
        <w:ind w:left="2232" w:right="545"/>
      </w:pPr>
      <w:r>
        <w:rPr>
          <w:rFonts w:ascii="Book Antiqua"/>
          <w:b/>
          <w:color w:val="231F20"/>
        </w:rPr>
        <w:t>Bundle group </w:t>
      </w:r>
      <w:r>
        <w:rPr>
          <w:color w:val="231F20"/>
        </w:rPr>
        <w:t>The collection of agents, another bundle group, or collection </w:t>
      </w:r>
      <w:r>
        <w:rPr>
          <w:color w:val="231F20"/>
        </w:rPr>
        <w:t>of bundle groups that are being added to the computer.</w:t>
      </w:r>
    </w:p>
    <w:p>
      <w:pPr>
        <w:pStyle w:val="BodyText"/>
        <w:spacing w:line="213" w:lineRule="auto" w:before="238"/>
        <w:ind w:left="2232" w:right="545"/>
      </w:pPr>
      <w:r>
        <w:rPr>
          <w:rFonts w:ascii="Book Antiqua"/>
          <w:b/>
          <w:color w:val="231F20"/>
        </w:rPr>
        <w:t>Command </w:t>
      </w:r>
      <w:r>
        <w:rPr>
          <w:color w:val="231F20"/>
        </w:rPr>
        <w:t>The commands that are used for agent deployment, maintenance, </w:t>
      </w:r>
      <w:r>
        <w:rPr>
          <w:color w:val="231F20"/>
        </w:rPr>
        <w:t>and system configuration.</w:t>
      </w:r>
    </w:p>
    <w:p>
      <w:pPr>
        <w:spacing w:after="0" w:line="213" w:lineRule="auto"/>
        <w:sectPr>
          <w:pgSz w:w="12240" w:h="15840"/>
          <w:pgMar w:header="0" w:footer="736" w:top="1180" w:bottom="92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pacing w:val="-2"/>
                <w:sz w:val="18"/>
              </w:rPr>
              <w:t>Command</w:t>
            </w:r>
          </w:p>
        </w:tc>
        <w:tc>
          <w:tcPr>
            <w:tcW w:w="3767" w:type="dxa"/>
          </w:tcPr>
          <w:p>
            <w:pPr>
              <w:pStyle w:val="TableParagraph"/>
              <w:spacing w:before="10"/>
              <w:rPr>
                <w:rFonts w:ascii="Book Antiqua"/>
                <w:b/>
                <w:sz w:val="18"/>
              </w:rPr>
            </w:pPr>
            <w:r>
              <w:rPr>
                <w:rFonts w:ascii="Book Antiqua"/>
                <w:b/>
                <w:color w:val="231F20"/>
                <w:spacing w:val="-2"/>
                <w:sz w:val="18"/>
              </w:rPr>
              <w:t>Description</w:t>
            </w:r>
          </w:p>
        </w:tc>
      </w:tr>
      <w:tr>
        <w:trPr>
          <w:trHeight w:val="1187" w:hRule="atLeast"/>
        </w:trPr>
        <w:tc>
          <w:tcPr>
            <w:tcW w:w="3767" w:type="dxa"/>
          </w:tcPr>
          <w:p>
            <w:pPr>
              <w:pStyle w:val="TableParagraph"/>
              <w:ind w:left="44"/>
              <w:rPr>
                <w:sz w:val="18"/>
              </w:rPr>
            </w:pPr>
            <w:r>
              <w:rPr>
                <w:color w:val="231F20"/>
                <w:spacing w:val="-2"/>
                <w:sz w:val="18"/>
              </w:rPr>
              <w:t>addSystem</w:t>
            </w:r>
          </w:p>
        </w:tc>
        <w:tc>
          <w:tcPr>
            <w:tcW w:w="3767" w:type="dxa"/>
          </w:tcPr>
          <w:p>
            <w:pPr>
              <w:pStyle w:val="TableParagraph"/>
              <w:spacing w:line="216" w:lineRule="auto" w:before="44"/>
              <w:ind w:right="54" w:hanging="1"/>
              <w:rPr>
                <w:sz w:val="18"/>
              </w:rPr>
            </w:pPr>
            <w:r>
              <w:rPr>
                <w:color w:val="231F20"/>
                <w:sz w:val="18"/>
              </w:rPr>
              <w:t>The command to deploy a monitoring agent to a computer in the IBM Tivoli Monitoring environment. This command deploys an agent and other required components if </w:t>
            </w:r>
            <w:r>
              <w:rPr>
                <w:color w:val="231F20"/>
                <w:sz w:val="18"/>
              </w:rPr>
              <w:t>they are not already installed on the node.</w:t>
            </w:r>
          </w:p>
        </w:tc>
      </w:tr>
      <w:tr>
        <w:trPr>
          <w:trHeight w:val="967" w:hRule="atLeast"/>
        </w:trPr>
        <w:tc>
          <w:tcPr>
            <w:tcW w:w="3767" w:type="dxa"/>
          </w:tcPr>
          <w:p>
            <w:pPr>
              <w:pStyle w:val="TableParagraph"/>
              <w:ind w:left="44"/>
              <w:rPr>
                <w:sz w:val="18"/>
              </w:rPr>
            </w:pPr>
            <w:r>
              <w:rPr>
                <w:color w:val="231F20"/>
                <w:spacing w:val="-2"/>
                <w:sz w:val="18"/>
              </w:rPr>
              <w:t>createNode</w:t>
            </w:r>
          </w:p>
        </w:tc>
        <w:tc>
          <w:tcPr>
            <w:tcW w:w="3767" w:type="dxa"/>
          </w:tcPr>
          <w:p>
            <w:pPr>
              <w:pStyle w:val="TableParagraph"/>
              <w:spacing w:line="216" w:lineRule="auto" w:before="44"/>
              <w:ind w:right="121" w:hanging="1"/>
              <w:rPr>
                <w:sz w:val="18"/>
              </w:rPr>
            </w:pPr>
            <w:r>
              <w:rPr>
                <w:color w:val="231F20"/>
                <w:sz w:val="18"/>
              </w:rPr>
              <w:t>The command to create the node directory on the target computer. This is the directory where the OS agent is installed and where any non-OS agents are deployed.</w:t>
            </w:r>
          </w:p>
        </w:tc>
      </w:tr>
      <w:tr>
        <w:trPr>
          <w:trHeight w:val="1406" w:hRule="atLeast"/>
        </w:trPr>
        <w:tc>
          <w:tcPr>
            <w:tcW w:w="3767" w:type="dxa"/>
          </w:tcPr>
          <w:p>
            <w:pPr>
              <w:pStyle w:val="TableParagraph"/>
              <w:ind w:left="44"/>
              <w:rPr>
                <w:sz w:val="18"/>
              </w:rPr>
            </w:pPr>
            <w:r>
              <w:rPr>
                <w:color w:val="231F20"/>
                <w:spacing w:val="-2"/>
                <w:sz w:val="18"/>
              </w:rPr>
              <w:t>setConfig</w:t>
            </w:r>
          </w:p>
        </w:tc>
        <w:tc>
          <w:tcPr>
            <w:tcW w:w="3767" w:type="dxa"/>
          </w:tcPr>
          <w:p>
            <w:pPr>
              <w:pStyle w:val="TableParagraph"/>
              <w:spacing w:line="216" w:lineRule="auto" w:before="44"/>
              <w:ind w:right="168" w:hanging="1"/>
              <w:rPr>
                <w:sz w:val="18"/>
              </w:rPr>
            </w:pPr>
            <w:r>
              <w:rPr>
                <w:color w:val="231F20"/>
                <w:sz w:val="18"/>
              </w:rPr>
              <w:t>The command to edit configuration </w:t>
            </w:r>
            <w:r>
              <w:rPr>
                <w:color w:val="231F20"/>
                <w:sz w:val="18"/>
              </w:rPr>
              <w:t>options of an existing agent. The agent is restarted</w:t>
            </w:r>
            <w:r>
              <w:rPr>
                <w:color w:val="231F20"/>
                <w:spacing w:val="40"/>
                <w:sz w:val="18"/>
              </w:rPr>
              <w:t> </w:t>
            </w:r>
            <w:r>
              <w:rPr>
                <w:color w:val="231F20"/>
                <w:sz w:val="18"/>
              </w:rPr>
              <w:t>so that the new configuration parameters can take effect. Specify the configuration data through the parameter pair </w:t>
            </w:r>
            <w:r>
              <w:rPr>
                <w:rFonts w:ascii="Book Antiqua"/>
                <w:i/>
                <w:color w:val="231F20"/>
                <w:spacing w:val="-2"/>
                <w:sz w:val="18"/>
              </w:rPr>
              <w:t>section.name=value</w:t>
            </w:r>
            <w:r>
              <w:rPr>
                <w:color w:val="231F20"/>
                <w:spacing w:val="-2"/>
                <w:sz w:val="18"/>
              </w:rPr>
              <w:t>.</w:t>
            </w:r>
          </w:p>
        </w:tc>
      </w:tr>
      <w:tr>
        <w:trPr>
          <w:trHeight w:val="309" w:hRule="atLeast"/>
        </w:trPr>
        <w:tc>
          <w:tcPr>
            <w:tcW w:w="3767" w:type="dxa"/>
          </w:tcPr>
          <w:p>
            <w:pPr>
              <w:pStyle w:val="TableParagraph"/>
              <w:ind w:left="44"/>
              <w:rPr>
                <w:sz w:val="18"/>
              </w:rPr>
            </w:pPr>
            <w:r>
              <w:rPr>
                <w:color w:val="231F20"/>
                <w:spacing w:val="-2"/>
                <w:sz w:val="18"/>
              </w:rPr>
              <w:t>startAgent</w:t>
            </w:r>
          </w:p>
        </w:tc>
        <w:tc>
          <w:tcPr>
            <w:tcW w:w="3767" w:type="dxa"/>
          </w:tcPr>
          <w:p>
            <w:pPr>
              <w:pStyle w:val="TableParagraph"/>
              <w:rPr>
                <w:sz w:val="18"/>
              </w:rPr>
            </w:pPr>
            <w:r>
              <w:rPr>
                <w:color w:val="231F20"/>
                <w:sz w:val="18"/>
              </w:rPr>
              <w:t>The</w:t>
            </w:r>
            <w:r>
              <w:rPr>
                <w:color w:val="231F20"/>
                <w:spacing w:val="9"/>
                <w:sz w:val="18"/>
              </w:rPr>
              <w:t> </w:t>
            </w:r>
            <w:r>
              <w:rPr>
                <w:color w:val="231F20"/>
                <w:sz w:val="18"/>
              </w:rPr>
              <w:t>command</w:t>
            </w:r>
            <w:r>
              <w:rPr>
                <w:color w:val="231F20"/>
                <w:spacing w:val="9"/>
                <w:sz w:val="18"/>
              </w:rPr>
              <w:t> </w:t>
            </w:r>
            <w:r>
              <w:rPr>
                <w:color w:val="231F20"/>
                <w:sz w:val="18"/>
              </w:rPr>
              <w:t>to</w:t>
            </w:r>
            <w:r>
              <w:rPr>
                <w:color w:val="231F20"/>
                <w:spacing w:val="10"/>
                <w:sz w:val="18"/>
              </w:rPr>
              <w:t> </w:t>
            </w:r>
            <w:r>
              <w:rPr>
                <w:color w:val="231F20"/>
                <w:sz w:val="18"/>
              </w:rPr>
              <w:t>start</w:t>
            </w:r>
            <w:r>
              <w:rPr>
                <w:color w:val="231F20"/>
                <w:spacing w:val="9"/>
                <w:sz w:val="18"/>
              </w:rPr>
              <w:t> </w:t>
            </w:r>
            <w:r>
              <w:rPr>
                <w:color w:val="231F20"/>
                <w:sz w:val="18"/>
              </w:rPr>
              <w:t>the</w:t>
            </w:r>
            <w:r>
              <w:rPr>
                <w:color w:val="231F20"/>
                <w:spacing w:val="9"/>
                <w:sz w:val="18"/>
              </w:rPr>
              <w:t> </w:t>
            </w:r>
            <w:r>
              <w:rPr>
                <w:color w:val="231F20"/>
                <w:sz w:val="18"/>
              </w:rPr>
              <w:t>monitoring</w:t>
            </w:r>
            <w:r>
              <w:rPr>
                <w:color w:val="231F20"/>
                <w:spacing w:val="10"/>
                <w:sz w:val="18"/>
              </w:rPr>
              <w:t> </w:t>
            </w:r>
            <w:r>
              <w:rPr>
                <w:color w:val="231F20"/>
                <w:spacing w:val="-2"/>
                <w:sz w:val="18"/>
              </w:rPr>
              <w:t>agent.</w:t>
            </w:r>
          </w:p>
        </w:tc>
      </w:tr>
      <w:tr>
        <w:trPr>
          <w:trHeight w:val="309" w:hRule="atLeast"/>
        </w:trPr>
        <w:tc>
          <w:tcPr>
            <w:tcW w:w="3767" w:type="dxa"/>
          </w:tcPr>
          <w:p>
            <w:pPr>
              <w:pStyle w:val="TableParagraph"/>
              <w:ind w:left="44"/>
              <w:rPr>
                <w:sz w:val="18"/>
              </w:rPr>
            </w:pPr>
            <w:r>
              <w:rPr>
                <w:color w:val="231F20"/>
                <w:spacing w:val="-2"/>
                <w:sz w:val="18"/>
              </w:rPr>
              <w:t>stopAgent</w:t>
            </w:r>
          </w:p>
        </w:tc>
        <w:tc>
          <w:tcPr>
            <w:tcW w:w="3767" w:type="dxa"/>
          </w:tcPr>
          <w:p>
            <w:pPr>
              <w:pStyle w:val="TableParagraph"/>
              <w:rPr>
                <w:sz w:val="18"/>
              </w:rPr>
            </w:pPr>
            <w:r>
              <w:rPr>
                <w:color w:val="231F20"/>
                <w:sz w:val="18"/>
              </w:rPr>
              <w:t>The</w:t>
            </w:r>
            <w:r>
              <w:rPr>
                <w:color w:val="231F20"/>
                <w:spacing w:val="9"/>
                <w:sz w:val="18"/>
              </w:rPr>
              <w:t> </w:t>
            </w:r>
            <w:r>
              <w:rPr>
                <w:color w:val="231F20"/>
                <w:sz w:val="18"/>
              </w:rPr>
              <w:t>command</w:t>
            </w:r>
            <w:r>
              <w:rPr>
                <w:color w:val="231F20"/>
                <w:spacing w:val="9"/>
                <w:sz w:val="18"/>
              </w:rPr>
              <w:t> </w:t>
            </w:r>
            <w:r>
              <w:rPr>
                <w:color w:val="231F20"/>
                <w:sz w:val="18"/>
              </w:rPr>
              <w:t>to</w:t>
            </w:r>
            <w:r>
              <w:rPr>
                <w:color w:val="231F20"/>
                <w:spacing w:val="10"/>
                <w:sz w:val="18"/>
              </w:rPr>
              <w:t> </w:t>
            </w:r>
            <w:r>
              <w:rPr>
                <w:color w:val="231F20"/>
                <w:sz w:val="18"/>
              </w:rPr>
              <w:t>stop</w:t>
            </w:r>
            <w:r>
              <w:rPr>
                <w:color w:val="231F20"/>
                <w:spacing w:val="9"/>
                <w:sz w:val="18"/>
              </w:rPr>
              <w:t> </w:t>
            </w:r>
            <w:r>
              <w:rPr>
                <w:color w:val="231F20"/>
                <w:sz w:val="18"/>
              </w:rPr>
              <w:t>the</w:t>
            </w:r>
            <w:r>
              <w:rPr>
                <w:color w:val="231F20"/>
                <w:spacing w:val="10"/>
                <w:sz w:val="18"/>
              </w:rPr>
              <w:t> </w:t>
            </w:r>
            <w:r>
              <w:rPr>
                <w:color w:val="231F20"/>
                <w:sz w:val="18"/>
              </w:rPr>
              <w:t>monitoring</w:t>
            </w:r>
            <w:r>
              <w:rPr>
                <w:color w:val="231F20"/>
                <w:spacing w:val="9"/>
                <w:sz w:val="18"/>
              </w:rPr>
              <w:t> </w:t>
            </w:r>
            <w:r>
              <w:rPr>
                <w:color w:val="231F20"/>
                <w:spacing w:val="-2"/>
                <w:sz w:val="18"/>
              </w:rPr>
              <w:t>agent.</w:t>
            </w:r>
          </w:p>
        </w:tc>
      </w:tr>
      <w:tr>
        <w:trPr>
          <w:trHeight w:val="1411" w:hRule="atLeast"/>
        </w:trPr>
        <w:tc>
          <w:tcPr>
            <w:tcW w:w="3767" w:type="dxa"/>
          </w:tcPr>
          <w:p>
            <w:pPr>
              <w:pStyle w:val="TableParagraph"/>
              <w:ind w:left="44"/>
              <w:rPr>
                <w:sz w:val="18"/>
              </w:rPr>
            </w:pPr>
            <w:r>
              <w:rPr>
                <w:color w:val="231F20"/>
                <w:spacing w:val="-2"/>
                <w:sz w:val="18"/>
              </w:rPr>
              <w:t>updateAgent</w:t>
            </w:r>
          </w:p>
        </w:tc>
        <w:tc>
          <w:tcPr>
            <w:tcW w:w="3767" w:type="dxa"/>
          </w:tcPr>
          <w:p>
            <w:pPr>
              <w:pStyle w:val="TableParagraph"/>
              <w:spacing w:line="216" w:lineRule="auto" w:before="44"/>
              <w:ind w:right="121" w:hanging="1"/>
              <w:rPr>
                <w:sz w:val="18"/>
              </w:rPr>
            </w:pPr>
            <w:r>
              <w:rPr>
                <w:color w:val="231F20"/>
                <w:sz w:val="18"/>
              </w:rPr>
              <w:t>The command used to install an agent update on a specified managed system. Updating agents involves stopping any that are running, applying the changes, and restarting them. If a version is not </w:t>
            </w:r>
            <w:r>
              <w:rPr>
                <w:color w:val="231F20"/>
                <w:sz w:val="18"/>
              </w:rPr>
              <w:t>specified, the agent is updated to the latest version.</w:t>
            </w:r>
          </w:p>
        </w:tc>
      </w:tr>
    </w:tbl>
    <w:p>
      <w:pPr>
        <w:pStyle w:val="BodyText"/>
        <w:spacing w:before="156"/>
      </w:pPr>
    </w:p>
    <w:p>
      <w:pPr>
        <w:pStyle w:val="BodyText"/>
        <w:spacing w:line="213" w:lineRule="auto" w:before="1"/>
        <w:ind w:left="2472" w:right="385"/>
      </w:pPr>
      <w:r>
        <w:rPr>
          <w:rFonts w:ascii="Book Antiqua"/>
          <w:b/>
          <w:color w:val="231F20"/>
        </w:rPr>
        <w:t>Deploy group </w:t>
      </w:r>
      <w:r>
        <w:rPr>
          <w:color w:val="231F20"/>
        </w:rPr>
        <w:t>The collection of host names of different computers or other </w:t>
      </w:r>
      <w:r>
        <w:rPr>
          <w:color w:val="231F20"/>
        </w:rPr>
        <w:t>deploy groups</w:t>
      </w:r>
      <w:r>
        <w:rPr>
          <w:color w:val="231F20"/>
          <w:spacing w:val="26"/>
        </w:rPr>
        <w:t> </w:t>
      </w:r>
      <w:r>
        <w:rPr>
          <w:color w:val="231F20"/>
        </w:rPr>
        <w:t>that</w:t>
      </w:r>
      <w:r>
        <w:rPr>
          <w:color w:val="231F20"/>
          <w:spacing w:val="26"/>
        </w:rPr>
        <w:t> </w:t>
      </w:r>
      <w:r>
        <w:rPr>
          <w:color w:val="231F20"/>
        </w:rPr>
        <w:t>the</w:t>
      </w:r>
      <w:r>
        <w:rPr>
          <w:color w:val="231F20"/>
          <w:spacing w:val="26"/>
        </w:rPr>
        <w:t> </w:t>
      </w:r>
      <w:r>
        <w:rPr>
          <w:color w:val="231F20"/>
        </w:rPr>
        <w:t>agents</w:t>
      </w:r>
      <w:r>
        <w:rPr>
          <w:color w:val="231F20"/>
          <w:spacing w:val="26"/>
        </w:rPr>
        <w:t> </w:t>
      </w:r>
      <w:r>
        <w:rPr>
          <w:color w:val="231F20"/>
        </w:rPr>
        <w:t>are</w:t>
      </w:r>
      <w:r>
        <w:rPr>
          <w:color w:val="231F20"/>
          <w:spacing w:val="26"/>
        </w:rPr>
        <w:t> </w:t>
      </w:r>
      <w:r>
        <w:rPr>
          <w:color w:val="231F20"/>
        </w:rPr>
        <w:t>deployed</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deploy</w:t>
      </w:r>
      <w:r>
        <w:rPr>
          <w:color w:val="231F20"/>
          <w:spacing w:val="26"/>
        </w:rPr>
        <w:t> </w:t>
      </w:r>
      <w:r>
        <w:rPr>
          <w:color w:val="231F20"/>
        </w:rPr>
        <w:t>group</w:t>
      </w:r>
      <w:r>
        <w:rPr>
          <w:color w:val="231F20"/>
          <w:spacing w:val="26"/>
        </w:rPr>
        <w:t> </w:t>
      </w:r>
      <w:r>
        <w:rPr>
          <w:color w:val="231F20"/>
        </w:rPr>
        <w:t>will</w:t>
      </w:r>
      <w:r>
        <w:rPr>
          <w:color w:val="231F20"/>
          <w:spacing w:val="26"/>
        </w:rPr>
        <w:t> </w:t>
      </w:r>
      <w:r>
        <w:rPr>
          <w:color w:val="231F20"/>
        </w:rPr>
        <w:t>have</w:t>
      </w:r>
      <w:r>
        <w:rPr>
          <w:color w:val="231F20"/>
          <w:spacing w:val="26"/>
        </w:rPr>
        <w:t> </w:t>
      </w:r>
      <w:r>
        <w:rPr>
          <w:color w:val="231F20"/>
        </w:rPr>
        <w:t>a</w:t>
      </w:r>
      <w:r>
        <w:rPr>
          <w:color w:val="231F20"/>
          <w:spacing w:val="26"/>
        </w:rPr>
        <w:t> </w:t>
      </w:r>
      <w:r>
        <w:rPr>
          <w:color w:val="231F20"/>
        </w:rPr>
        <w:t>deploy </w:t>
      </w:r>
      <w:r>
        <w:rPr>
          <w:color w:val="231F20"/>
          <w:spacing w:val="-2"/>
        </w:rPr>
        <w:t>name.</w:t>
      </w:r>
    </w:p>
    <w:p>
      <w:pPr>
        <w:pStyle w:val="BodyText"/>
        <w:spacing w:line="213" w:lineRule="auto" w:before="237"/>
        <w:ind w:left="2472" w:right="545"/>
      </w:pPr>
      <w:r>
        <w:rPr>
          <w:rFonts w:ascii="Book Antiqua"/>
          <w:b/>
          <w:color w:val="231F20"/>
        </w:rPr>
        <w:t>Deploy TEMS </w:t>
      </w:r>
      <w:r>
        <w:rPr>
          <w:color w:val="231F20"/>
        </w:rPr>
        <w:t>The through node or the remote Tivoli Enterprise </w:t>
      </w:r>
      <w:r>
        <w:rPr>
          <w:color w:val="231F20"/>
        </w:rPr>
        <w:t>Monitoring Server that the agent is being deployed from.</w:t>
      </w:r>
    </w:p>
    <w:p>
      <w:pPr>
        <w:pStyle w:val="BodyText"/>
        <w:spacing w:before="215"/>
        <w:ind w:left="2472"/>
      </w:pPr>
      <w:r>
        <w:rPr>
          <w:rFonts w:ascii="Book Antiqua"/>
          <w:b/>
          <w:color w:val="231F20"/>
        </w:rPr>
        <w:t>Failed</w:t>
      </w:r>
      <w:r>
        <w:rPr>
          <w:rFonts w:ascii="Book Antiqua"/>
          <w:b/>
          <w:color w:val="231F20"/>
          <w:spacing w:val="10"/>
        </w:rPr>
        <w:t> </w:t>
      </w:r>
      <w:r>
        <w:rPr>
          <w:color w:val="231F20"/>
        </w:rPr>
        <w:t>The</w:t>
      </w:r>
      <w:r>
        <w:rPr>
          <w:color w:val="231F20"/>
          <w:spacing w:val="11"/>
        </w:rPr>
        <w:t> </w:t>
      </w:r>
      <w:r>
        <w:rPr>
          <w:color w:val="231F20"/>
        </w:rPr>
        <w:t>number</w:t>
      </w:r>
      <w:r>
        <w:rPr>
          <w:color w:val="231F20"/>
          <w:spacing w:val="11"/>
        </w:rPr>
        <w:t> </w:t>
      </w:r>
      <w:r>
        <w:rPr>
          <w:color w:val="231F20"/>
        </w:rPr>
        <w:t>of</w:t>
      </w:r>
      <w:r>
        <w:rPr>
          <w:color w:val="231F20"/>
          <w:spacing w:val="11"/>
        </w:rPr>
        <w:t> </w:t>
      </w:r>
      <w:r>
        <w:rPr>
          <w:color w:val="231F20"/>
        </w:rPr>
        <w:t>deploy</w:t>
      </w:r>
      <w:r>
        <w:rPr>
          <w:color w:val="231F20"/>
          <w:spacing w:val="11"/>
        </w:rPr>
        <w:t> </w:t>
      </w:r>
      <w:r>
        <w:rPr>
          <w:color w:val="231F20"/>
        </w:rPr>
        <w:t>commands</w:t>
      </w:r>
      <w:r>
        <w:rPr>
          <w:color w:val="231F20"/>
          <w:spacing w:val="10"/>
        </w:rPr>
        <w:t> </w:t>
      </w:r>
      <w:r>
        <w:rPr>
          <w:color w:val="231F20"/>
        </w:rPr>
        <w:t>that</w:t>
      </w:r>
      <w:r>
        <w:rPr>
          <w:color w:val="231F20"/>
          <w:spacing w:val="11"/>
        </w:rPr>
        <w:t> </w:t>
      </w:r>
      <w:r>
        <w:rPr>
          <w:color w:val="231F20"/>
        </w:rPr>
        <w:t>have</w:t>
      </w:r>
      <w:r>
        <w:rPr>
          <w:color w:val="231F20"/>
          <w:spacing w:val="11"/>
        </w:rPr>
        <w:t> </w:t>
      </w:r>
      <w:r>
        <w:rPr>
          <w:color w:val="231F20"/>
          <w:spacing w:val="-2"/>
        </w:rPr>
        <w:t>failed.</w:t>
      </w:r>
    </w:p>
    <w:p>
      <w:pPr>
        <w:pStyle w:val="BodyText"/>
        <w:spacing w:line="213" w:lineRule="auto" w:before="232"/>
        <w:ind w:left="2472" w:right="493"/>
      </w:pPr>
      <w:r>
        <w:rPr>
          <w:rFonts w:ascii="Book Antiqua"/>
          <w:b/>
          <w:color w:val="231F20"/>
        </w:rPr>
        <w:t>Group Transaction ID </w:t>
      </w:r>
      <w:r>
        <w:rPr>
          <w:color w:val="231F20"/>
        </w:rPr>
        <w:t>The identifying number that is assigned to a group transaction. This value allows you to see the transactions involved in the </w:t>
      </w:r>
      <w:r>
        <w:rPr>
          <w:color w:val="231F20"/>
        </w:rPr>
        <w:t>same </w:t>
      </w:r>
      <w:r>
        <w:rPr>
          <w:color w:val="231F20"/>
          <w:spacing w:val="-2"/>
        </w:rPr>
        <w:t>command.</w:t>
      </w:r>
    </w:p>
    <w:p>
      <w:pPr>
        <w:pStyle w:val="BodyText"/>
        <w:spacing w:before="215"/>
        <w:ind w:left="2472"/>
      </w:pPr>
      <w:r>
        <w:rPr>
          <w:rFonts w:ascii="Book Antiqua"/>
          <w:b/>
          <w:color w:val="231F20"/>
        </w:rPr>
        <w:t>In</w:t>
      </w:r>
      <w:r>
        <w:rPr>
          <w:rFonts w:ascii="Book Antiqua"/>
          <w:b/>
          <w:color w:val="231F20"/>
          <w:spacing w:val="11"/>
        </w:rPr>
        <w:t> </w:t>
      </w:r>
      <w:r>
        <w:rPr>
          <w:rFonts w:ascii="Book Antiqua"/>
          <w:b/>
          <w:color w:val="231F20"/>
        </w:rPr>
        <w:t>Progress</w:t>
      </w:r>
      <w:r>
        <w:rPr>
          <w:rFonts w:ascii="Book Antiqua"/>
          <w:b/>
          <w:color w:val="231F20"/>
          <w:spacing w:val="11"/>
        </w:rPr>
        <w:t> </w:t>
      </w:r>
      <w:r>
        <w:rPr>
          <w:color w:val="231F20"/>
        </w:rPr>
        <w:t>The</w:t>
      </w:r>
      <w:r>
        <w:rPr>
          <w:color w:val="231F20"/>
          <w:spacing w:val="11"/>
        </w:rPr>
        <w:t> </w:t>
      </w:r>
      <w:r>
        <w:rPr>
          <w:color w:val="231F20"/>
        </w:rPr>
        <w:t>number</w:t>
      </w:r>
      <w:r>
        <w:rPr>
          <w:color w:val="231F20"/>
          <w:spacing w:val="11"/>
        </w:rPr>
        <w:t> </w:t>
      </w:r>
      <w:r>
        <w:rPr>
          <w:color w:val="231F20"/>
        </w:rPr>
        <w:t>of</w:t>
      </w:r>
      <w:r>
        <w:rPr>
          <w:color w:val="231F20"/>
          <w:spacing w:val="11"/>
        </w:rPr>
        <w:t> </w:t>
      </w:r>
      <w:r>
        <w:rPr>
          <w:color w:val="231F20"/>
        </w:rPr>
        <w:t>deploy</w:t>
      </w:r>
      <w:r>
        <w:rPr>
          <w:color w:val="231F20"/>
          <w:spacing w:val="11"/>
        </w:rPr>
        <w:t> </w:t>
      </w:r>
      <w:r>
        <w:rPr>
          <w:color w:val="231F20"/>
        </w:rPr>
        <w:t>commands</w:t>
      </w:r>
      <w:r>
        <w:rPr>
          <w:color w:val="231F20"/>
          <w:spacing w:val="11"/>
        </w:rPr>
        <w:t> </w:t>
      </w:r>
      <w:r>
        <w:rPr>
          <w:color w:val="231F20"/>
        </w:rPr>
        <w:t>that</w:t>
      </w:r>
      <w:r>
        <w:rPr>
          <w:color w:val="231F20"/>
          <w:spacing w:val="11"/>
        </w:rPr>
        <w:t> </w:t>
      </w:r>
      <w:r>
        <w:rPr>
          <w:color w:val="231F20"/>
        </w:rPr>
        <w:t>are</w:t>
      </w:r>
      <w:r>
        <w:rPr>
          <w:color w:val="231F20"/>
          <w:spacing w:val="11"/>
        </w:rPr>
        <w:t> </w:t>
      </w:r>
      <w:r>
        <w:rPr>
          <w:color w:val="231F20"/>
        </w:rPr>
        <w:t>in</w:t>
      </w:r>
      <w:r>
        <w:rPr>
          <w:color w:val="231F20"/>
          <w:spacing w:val="11"/>
        </w:rPr>
        <w:t> </w:t>
      </w:r>
      <w:r>
        <w:rPr>
          <w:color w:val="231F20"/>
          <w:spacing w:val="-2"/>
        </w:rPr>
        <w:t>progress.</w:t>
      </w:r>
    </w:p>
    <w:p>
      <w:pPr>
        <w:spacing w:before="209"/>
        <w:ind w:left="2472" w:right="0" w:firstLine="0"/>
        <w:jc w:val="left"/>
        <w:rPr>
          <w:sz w:val="20"/>
        </w:rPr>
      </w:pPr>
      <w:r>
        <w:rPr>
          <w:rFonts w:ascii="Book Antiqua"/>
          <w:b/>
          <w:color w:val="231F20"/>
          <w:sz w:val="20"/>
        </w:rPr>
        <w:t>Product</w:t>
      </w:r>
      <w:r>
        <w:rPr>
          <w:rFonts w:ascii="Book Antiqua"/>
          <w:b/>
          <w:color w:val="231F20"/>
          <w:spacing w:val="10"/>
          <w:sz w:val="20"/>
        </w:rPr>
        <w:t> </w:t>
      </w:r>
      <w:r>
        <w:rPr>
          <w:rFonts w:ascii="Book Antiqua"/>
          <w:b/>
          <w:color w:val="231F20"/>
          <w:sz w:val="20"/>
        </w:rPr>
        <w:t>ID</w:t>
      </w:r>
      <w:r>
        <w:rPr>
          <w:rFonts w:ascii="Book Antiqua"/>
          <w:b/>
          <w:color w:val="231F20"/>
          <w:spacing w:val="10"/>
          <w:sz w:val="20"/>
        </w:rPr>
        <w:t> </w:t>
      </w:r>
      <w:r>
        <w:rPr>
          <w:color w:val="231F20"/>
          <w:sz w:val="20"/>
        </w:rPr>
        <w:t>The</w:t>
      </w:r>
      <w:r>
        <w:rPr>
          <w:color w:val="231F20"/>
          <w:spacing w:val="10"/>
          <w:sz w:val="20"/>
        </w:rPr>
        <w:t> </w:t>
      </w:r>
      <w:r>
        <w:rPr>
          <w:color w:val="231F20"/>
          <w:sz w:val="20"/>
        </w:rPr>
        <w:t>agent</w:t>
      </w:r>
      <w:r>
        <w:rPr>
          <w:color w:val="231F20"/>
          <w:spacing w:val="10"/>
          <w:sz w:val="20"/>
        </w:rPr>
        <w:t> </w:t>
      </w:r>
      <w:r>
        <w:rPr>
          <w:color w:val="231F20"/>
          <w:sz w:val="20"/>
        </w:rPr>
        <w:t>product</w:t>
      </w:r>
      <w:r>
        <w:rPr>
          <w:color w:val="231F20"/>
          <w:spacing w:val="11"/>
          <w:sz w:val="20"/>
        </w:rPr>
        <w:t> </w:t>
      </w:r>
      <w:r>
        <w:rPr>
          <w:color w:val="231F20"/>
          <w:spacing w:val="-2"/>
          <w:sz w:val="20"/>
        </w:rPr>
        <w:t>code.</w:t>
      </w:r>
    </w:p>
    <w:p>
      <w:pPr>
        <w:pStyle w:val="BodyText"/>
        <w:spacing w:line="427" w:lineRule="auto" w:before="209"/>
        <w:ind w:left="2472" w:right="1712"/>
      </w:pPr>
      <w:r>
        <w:rPr>
          <w:rFonts w:ascii="Book Antiqua"/>
          <w:b/>
          <w:color w:val="231F20"/>
        </w:rPr>
        <w:t>Queued </w:t>
      </w:r>
      <w:r>
        <w:rPr>
          <w:color w:val="231F20"/>
        </w:rPr>
        <w:t>The number of deploy commands that are queued. </w:t>
      </w:r>
      <w:r>
        <w:rPr>
          <w:rFonts w:ascii="Book Antiqua"/>
          <w:b/>
          <w:color w:val="231F20"/>
        </w:rPr>
        <w:t>Retrying </w:t>
      </w:r>
      <w:r>
        <w:rPr>
          <w:color w:val="231F20"/>
        </w:rPr>
        <w:t>The number of deploy commands that are retrying. </w:t>
      </w:r>
      <w:r>
        <w:rPr>
          <w:rFonts w:ascii="Book Antiqua"/>
          <w:b/>
          <w:color w:val="231F20"/>
        </w:rPr>
        <w:t>Succeeded </w:t>
      </w:r>
      <w:r>
        <w:rPr>
          <w:color w:val="231F20"/>
        </w:rPr>
        <w:t>The number of deploy commands that have </w:t>
      </w:r>
      <w:r>
        <w:rPr>
          <w:color w:val="231F20"/>
        </w:rPr>
        <w:t>succeeded.</w:t>
      </w:r>
    </w:p>
    <w:p>
      <w:pPr>
        <w:pStyle w:val="BodyText"/>
        <w:spacing w:line="266" w:lineRule="exact"/>
        <w:ind w:left="2472"/>
      </w:pPr>
      <w:r>
        <w:rPr>
          <w:rFonts w:ascii="Book Antiqua"/>
          <w:b/>
          <w:color w:val="231F20"/>
        </w:rPr>
        <w:t>Summarize</w:t>
      </w:r>
      <w:r>
        <w:rPr>
          <w:rFonts w:ascii="Book Antiqua"/>
          <w:b/>
          <w:color w:val="231F20"/>
          <w:spacing w:val="10"/>
        </w:rPr>
        <w:t> </w:t>
      </w:r>
      <w:r>
        <w:rPr>
          <w:rFonts w:ascii="Book Antiqua"/>
          <w:b/>
          <w:color w:val="231F20"/>
        </w:rPr>
        <w:t>On</w:t>
      </w:r>
      <w:r>
        <w:rPr>
          <w:rFonts w:ascii="Book Antiqua"/>
          <w:b/>
          <w:color w:val="231F20"/>
          <w:spacing w:val="11"/>
        </w:rPr>
        <w:t> </w:t>
      </w:r>
      <w:r>
        <w:rPr>
          <w:color w:val="231F20"/>
        </w:rPr>
        <w:t>The</w:t>
      </w:r>
      <w:r>
        <w:rPr>
          <w:color w:val="231F20"/>
          <w:spacing w:val="11"/>
        </w:rPr>
        <w:t> </w:t>
      </w:r>
      <w:r>
        <w:rPr>
          <w:color w:val="231F20"/>
        </w:rPr>
        <w:t>selection</w:t>
      </w:r>
      <w:r>
        <w:rPr>
          <w:color w:val="231F20"/>
          <w:spacing w:val="11"/>
        </w:rPr>
        <w:t> </w:t>
      </w:r>
      <w:r>
        <w:rPr>
          <w:color w:val="231F20"/>
        </w:rPr>
        <w:t>that</w:t>
      </w:r>
      <w:r>
        <w:rPr>
          <w:color w:val="231F20"/>
          <w:spacing w:val="10"/>
        </w:rPr>
        <w:t> </w:t>
      </w:r>
      <w:r>
        <w:rPr>
          <w:color w:val="231F20"/>
        </w:rPr>
        <w:t>distinguishes</w:t>
      </w:r>
      <w:r>
        <w:rPr>
          <w:color w:val="231F20"/>
          <w:spacing w:val="11"/>
        </w:rPr>
        <w:t> </w:t>
      </w:r>
      <w:r>
        <w:rPr>
          <w:color w:val="231F20"/>
        </w:rPr>
        <w:t>how</w:t>
      </w:r>
      <w:r>
        <w:rPr>
          <w:color w:val="231F20"/>
          <w:spacing w:val="11"/>
        </w:rPr>
        <w:t> </w:t>
      </w:r>
      <w:r>
        <w:rPr>
          <w:color w:val="231F20"/>
        </w:rPr>
        <w:t>the</w:t>
      </w:r>
      <w:r>
        <w:rPr>
          <w:color w:val="231F20"/>
          <w:spacing w:val="11"/>
        </w:rPr>
        <w:t> </w:t>
      </w:r>
      <w:r>
        <w:rPr>
          <w:color w:val="231F20"/>
        </w:rPr>
        <w:t>table</w:t>
      </w:r>
      <w:r>
        <w:rPr>
          <w:color w:val="231F20"/>
          <w:spacing w:val="11"/>
        </w:rPr>
        <w:t> </w:t>
      </w:r>
      <w:r>
        <w:rPr>
          <w:color w:val="231F20"/>
        </w:rPr>
        <w:t>is</w:t>
      </w:r>
      <w:r>
        <w:rPr>
          <w:color w:val="231F20"/>
          <w:spacing w:val="10"/>
        </w:rPr>
        <w:t> </w:t>
      </w:r>
      <w:r>
        <w:rPr>
          <w:color w:val="231F20"/>
          <w:spacing w:val="-2"/>
        </w:rPr>
        <w:t>ordered.</w:t>
      </w:r>
    </w:p>
    <w:p>
      <w:pPr>
        <w:spacing w:after="0" w:line="266" w:lineRule="exact"/>
        <w:sectPr>
          <w:pgSz w:w="12240" w:h="15840"/>
          <w:pgMar w:header="0" w:footer="736" w:top="1300" w:bottom="920" w:left="1000" w:right="1060"/>
        </w:sectPr>
      </w:pPr>
    </w:p>
    <w:p>
      <w:pPr>
        <w:pStyle w:val="BodyText"/>
        <w:spacing w:before="11"/>
        <w:rPr>
          <w:sz w:val="3"/>
        </w:rPr>
      </w:pPr>
    </w:p>
    <w:p>
      <w:pPr>
        <w:pStyle w:val="BodyText"/>
        <w:spacing w:line="20" w:lineRule="exact"/>
        <w:ind w:left="197"/>
        <w:rPr>
          <w:sz w:val="2"/>
        </w:rPr>
      </w:pPr>
      <w:bookmarkStart w:name="_bookmark340" w:id="711"/>
      <w:bookmarkEnd w:id="711"/>
      <w:r>
        <w:rPr/>
      </w:r>
      <w:r>
        <w:rPr>
          <w:sz w:val="2"/>
        </w:rPr>
        <mc:AlternateContent>
          <mc:Choice Requires="wps">
            <w:drawing>
              <wp:inline distT="0" distB="0" distL="0" distR="0">
                <wp:extent cx="6082665" cy="6350"/>
                <wp:effectExtent l="9525" t="0" r="0" b="3175"/>
                <wp:docPr id="3393" name="Group 3393"/>
                <wp:cNvGraphicFramePr>
                  <a:graphicFrameLocks/>
                </wp:cNvGraphicFramePr>
                <a:graphic>
                  <a:graphicData uri="http://schemas.microsoft.com/office/word/2010/wordprocessingGroup">
                    <wpg:wgp>
                      <wpg:cNvPr id="3393" name="Group 3393"/>
                      <wpg:cNvGrpSpPr/>
                      <wpg:grpSpPr>
                        <a:xfrm>
                          <a:off x="0" y="0"/>
                          <a:ext cx="6082665" cy="6350"/>
                          <a:chExt cx="6082665" cy="6350"/>
                        </a:xfrm>
                      </wpg:grpSpPr>
                      <wps:wsp>
                        <wps:cNvPr id="3394" name="Graphic 3394"/>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92" coordorigin="0,0" coordsize="9579,10">
                <v:line style="position:absolute" from="0,5" to="9579,5" stroked="true" strokeweight=".499pt" strokecolor="#231f20">
                  <v:stroke dashstyle="solid"/>
                </v:line>
              </v:group>
            </w:pict>
          </mc:Fallback>
        </mc:AlternateContent>
      </w:r>
      <w:r>
        <w:rPr>
          <w:sz w:val="2"/>
        </w:rPr>
      </w:r>
    </w:p>
    <w:p>
      <w:pPr>
        <w:pStyle w:val="Heading3"/>
        <w:spacing w:before="12"/>
        <w:ind w:left="197"/>
      </w:pPr>
      <w:bookmarkStart w:name="Depot Inventory attributes" w:id="712"/>
      <w:bookmarkEnd w:id="712"/>
      <w:r>
        <w:rPr>
          <w:b w:val="0"/>
        </w:rPr>
      </w:r>
      <w:r>
        <w:rPr>
          <w:color w:val="231F20"/>
        </w:rPr>
        <w:t>Depot</w:t>
      </w:r>
      <w:r>
        <w:rPr>
          <w:color w:val="231F20"/>
          <w:spacing w:val="4"/>
        </w:rPr>
        <w:t> </w:t>
      </w:r>
      <w:r>
        <w:rPr>
          <w:color w:val="231F20"/>
        </w:rPr>
        <w:t>Inventory</w:t>
      </w:r>
      <w:r>
        <w:rPr>
          <w:color w:val="231F20"/>
          <w:spacing w:val="5"/>
        </w:rPr>
        <w:t> </w:t>
      </w:r>
      <w:r>
        <w:rPr>
          <w:color w:val="231F20"/>
          <w:spacing w:val="-2"/>
        </w:rPr>
        <w:t>attributes</w:t>
      </w:r>
    </w:p>
    <w:p>
      <w:pPr>
        <w:pStyle w:val="BodyText"/>
        <w:spacing w:before="115"/>
        <w:ind w:left="2232"/>
      </w:pPr>
      <w:r>
        <w:rPr>
          <w:color w:val="231F20"/>
        </w:rPr>
        <w:t>The</w:t>
      </w:r>
      <w:r>
        <w:rPr>
          <w:color w:val="231F20"/>
          <w:spacing w:val="10"/>
        </w:rPr>
        <w:t> </w:t>
      </w:r>
      <w:r>
        <w:rPr>
          <w:color w:val="231F20"/>
        </w:rPr>
        <w:t>depot</w:t>
      </w:r>
      <w:r>
        <w:rPr>
          <w:color w:val="231F20"/>
          <w:spacing w:val="11"/>
        </w:rPr>
        <w:t> </w:t>
      </w:r>
      <w:r>
        <w:rPr>
          <w:color w:val="231F20"/>
        </w:rPr>
        <w:t>inventory</w:t>
      </w:r>
      <w:r>
        <w:rPr>
          <w:color w:val="231F20"/>
          <w:spacing w:val="11"/>
        </w:rPr>
        <w:t> </w:t>
      </w:r>
      <w:r>
        <w:rPr>
          <w:color w:val="231F20"/>
        </w:rPr>
        <w:t>attributes</w:t>
      </w:r>
      <w:r>
        <w:rPr>
          <w:color w:val="231F20"/>
          <w:spacing w:val="10"/>
        </w:rPr>
        <w:t> </w:t>
      </w:r>
      <w:r>
        <w:rPr>
          <w:color w:val="231F20"/>
        </w:rPr>
        <w:t>give</w:t>
      </w:r>
      <w:r>
        <w:rPr>
          <w:color w:val="231F20"/>
          <w:spacing w:val="11"/>
        </w:rPr>
        <w:t> </w:t>
      </w:r>
      <w:r>
        <w:rPr>
          <w:color w:val="231F20"/>
        </w:rPr>
        <w:t>information</w:t>
      </w:r>
      <w:r>
        <w:rPr>
          <w:color w:val="231F20"/>
          <w:spacing w:val="11"/>
        </w:rPr>
        <w:t> </w:t>
      </w:r>
      <w:r>
        <w:rPr>
          <w:color w:val="231F20"/>
        </w:rPr>
        <w:t>on</w:t>
      </w:r>
      <w:r>
        <w:rPr>
          <w:color w:val="231F20"/>
          <w:spacing w:val="10"/>
        </w:rPr>
        <w:t> </w:t>
      </w:r>
      <w:r>
        <w:rPr>
          <w:color w:val="231F20"/>
        </w:rPr>
        <w:t>agent</w:t>
      </w:r>
      <w:r>
        <w:rPr>
          <w:color w:val="231F20"/>
          <w:spacing w:val="11"/>
        </w:rPr>
        <w:t> </w:t>
      </w:r>
      <w:r>
        <w:rPr>
          <w:color w:val="231F20"/>
        </w:rPr>
        <w:t>bundles</w:t>
      </w:r>
      <w:r>
        <w:rPr>
          <w:color w:val="231F20"/>
          <w:spacing w:val="11"/>
        </w:rPr>
        <w:t> </w:t>
      </w:r>
      <w:r>
        <w:rPr>
          <w:color w:val="231F20"/>
        </w:rPr>
        <w:t>in</w:t>
      </w:r>
      <w:r>
        <w:rPr>
          <w:color w:val="231F20"/>
          <w:spacing w:val="10"/>
        </w:rPr>
        <w:t> </w:t>
      </w:r>
      <w:r>
        <w:rPr>
          <w:color w:val="231F20"/>
        </w:rPr>
        <w:t>the</w:t>
      </w:r>
      <w:r>
        <w:rPr>
          <w:color w:val="231F20"/>
          <w:spacing w:val="11"/>
        </w:rPr>
        <w:t> </w:t>
      </w:r>
      <w:r>
        <w:rPr>
          <w:color w:val="231F20"/>
          <w:spacing w:val="-2"/>
        </w:rPr>
        <w:t>depot.</w:t>
      </w:r>
    </w:p>
    <w:p>
      <w:pPr>
        <w:spacing w:before="209"/>
        <w:ind w:left="2232" w:right="0" w:firstLine="0"/>
        <w:jc w:val="left"/>
        <w:rPr>
          <w:sz w:val="20"/>
        </w:rPr>
      </w:pPr>
      <w:r>
        <w:rPr>
          <w:rFonts w:ascii="Book Antiqua"/>
          <w:b/>
          <w:color w:val="231F20"/>
          <w:sz w:val="20"/>
        </w:rPr>
        <w:t>Config</w:t>
      </w:r>
      <w:r>
        <w:rPr>
          <w:rFonts w:ascii="Book Antiqua"/>
          <w:b/>
          <w:color w:val="231F20"/>
          <w:spacing w:val="9"/>
          <w:sz w:val="20"/>
        </w:rPr>
        <w:t> </w:t>
      </w:r>
      <w:r>
        <w:rPr>
          <w:rFonts w:ascii="Book Antiqua"/>
          <w:b/>
          <w:color w:val="231F20"/>
          <w:sz w:val="20"/>
        </w:rPr>
        <w:t>descriptor</w:t>
      </w:r>
      <w:r>
        <w:rPr>
          <w:rFonts w:ascii="Book Antiqua"/>
          <w:b/>
          <w:color w:val="231F20"/>
          <w:spacing w:val="10"/>
          <w:sz w:val="20"/>
        </w:rPr>
        <w:t> </w:t>
      </w:r>
      <w:r>
        <w:rPr>
          <w:rFonts w:ascii="Book Antiqua"/>
          <w:b/>
          <w:color w:val="231F20"/>
          <w:sz w:val="20"/>
        </w:rPr>
        <w:t>version</w:t>
      </w:r>
      <w:r>
        <w:rPr>
          <w:rFonts w:ascii="Book Antiqua"/>
          <w:b/>
          <w:color w:val="231F20"/>
          <w:spacing w:val="10"/>
          <w:sz w:val="20"/>
        </w:rPr>
        <w:t> </w:t>
      </w:r>
      <w:r>
        <w:rPr>
          <w:color w:val="231F20"/>
          <w:sz w:val="20"/>
        </w:rPr>
        <w:t>The</w:t>
      </w:r>
      <w:r>
        <w:rPr>
          <w:color w:val="231F20"/>
          <w:spacing w:val="10"/>
          <w:sz w:val="20"/>
        </w:rPr>
        <w:t> </w:t>
      </w:r>
      <w:r>
        <w:rPr>
          <w:color w:val="231F20"/>
          <w:sz w:val="20"/>
        </w:rPr>
        <w:t>version</w:t>
      </w:r>
      <w:r>
        <w:rPr>
          <w:color w:val="231F20"/>
          <w:spacing w:val="10"/>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z w:val="20"/>
        </w:rPr>
        <w:t>configuration</w:t>
      </w:r>
      <w:r>
        <w:rPr>
          <w:color w:val="231F20"/>
          <w:spacing w:val="10"/>
          <w:sz w:val="20"/>
        </w:rPr>
        <w:t> </w:t>
      </w:r>
      <w:r>
        <w:rPr>
          <w:color w:val="231F20"/>
          <w:spacing w:val="-2"/>
          <w:sz w:val="20"/>
        </w:rPr>
        <w:t>descriptor.</w:t>
      </w:r>
    </w:p>
    <w:p>
      <w:pPr>
        <w:spacing w:before="209"/>
        <w:ind w:left="2232" w:right="0" w:firstLine="0"/>
        <w:jc w:val="left"/>
        <w:rPr>
          <w:sz w:val="20"/>
        </w:rPr>
      </w:pPr>
      <w:r>
        <w:rPr>
          <w:rFonts w:ascii="Book Antiqua"/>
          <w:b/>
          <w:color w:val="231F20"/>
          <w:sz w:val="20"/>
        </w:rPr>
        <w:t>Description</w:t>
      </w:r>
      <w:r>
        <w:rPr>
          <w:rFonts w:ascii="Book Antiqua"/>
          <w:b/>
          <w:color w:val="231F20"/>
          <w:spacing w:val="10"/>
          <w:sz w:val="20"/>
        </w:rPr>
        <w:t> </w:t>
      </w:r>
      <w:r>
        <w:rPr>
          <w:color w:val="231F20"/>
          <w:sz w:val="20"/>
        </w:rPr>
        <w:t>The</w:t>
      </w:r>
      <w:r>
        <w:rPr>
          <w:color w:val="231F20"/>
          <w:spacing w:val="10"/>
          <w:sz w:val="20"/>
        </w:rPr>
        <w:t> </w:t>
      </w:r>
      <w:r>
        <w:rPr>
          <w:color w:val="231F20"/>
          <w:sz w:val="20"/>
        </w:rPr>
        <w:t>description</w:t>
      </w:r>
      <w:r>
        <w:rPr>
          <w:color w:val="231F20"/>
          <w:spacing w:val="11"/>
          <w:sz w:val="20"/>
        </w:rPr>
        <w:t> </w:t>
      </w:r>
      <w:r>
        <w:rPr>
          <w:color w:val="231F20"/>
          <w:sz w:val="20"/>
        </w:rPr>
        <w:t>of</w:t>
      </w:r>
      <w:r>
        <w:rPr>
          <w:color w:val="231F20"/>
          <w:spacing w:val="10"/>
          <w:sz w:val="20"/>
        </w:rPr>
        <w:t> </w:t>
      </w:r>
      <w:r>
        <w:rPr>
          <w:color w:val="231F20"/>
          <w:sz w:val="20"/>
        </w:rPr>
        <w:t>the</w:t>
      </w:r>
      <w:r>
        <w:rPr>
          <w:color w:val="231F20"/>
          <w:spacing w:val="11"/>
          <w:sz w:val="20"/>
        </w:rPr>
        <w:t> </w:t>
      </w:r>
      <w:r>
        <w:rPr>
          <w:color w:val="231F20"/>
          <w:sz w:val="20"/>
        </w:rPr>
        <w:t>agent</w:t>
      </w:r>
      <w:r>
        <w:rPr>
          <w:color w:val="231F20"/>
          <w:spacing w:val="10"/>
          <w:sz w:val="20"/>
        </w:rPr>
        <w:t> </w:t>
      </w:r>
      <w:r>
        <w:rPr>
          <w:color w:val="231F20"/>
          <w:spacing w:val="-2"/>
          <w:sz w:val="20"/>
        </w:rPr>
        <w:t>bundle.</w:t>
      </w:r>
    </w:p>
    <w:p>
      <w:pPr>
        <w:spacing w:before="209"/>
        <w:ind w:left="2232" w:right="0" w:firstLine="0"/>
        <w:jc w:val="left"/>
        <w:rPr>
          <w:sz w:val="20"/>
        </w:rPr>
      </w:pPr>
      <w:r>
        <w:rPr>
          <w:rFonts w:ascii="Book Antiqua"/>
          <w:b/>
          <w:color w:val="231F20"/>
          <w:sz w:val="20"/>
        </w:rPr>
        <w:t>Friendly</w:t>
      </w:r>
      <w:r>
        <w:rPr>
          <w:rFonts w:ascii="Book Antiqua"/>
          <w:b/>
          <w:color w:val="231F20"/>
          <w:spacing w:val="8"/>
          <w:sz w:val="20"/>
        </w:rPr>
        <w:t> </w:t>
      </w:r>
      <w:r>
        <w:rPr>
          <w:rFonts w:ascii="Book Antiqua"/>
          <w:b/>
          <w:color w:val="231F20"/>
          <w:sz w:val="20"/>
        </w:rPr>
        <w:t>Version</w:t>
      </w:r>
      <w:r>
        <w:rPr>
          <w:rFonts w:ascii="Book Antiqua"/>
          <w:b/>
          <w:color w:val="231F20"/>
          <w:spacing w:val="8"/>
          <w:sz w:val="20"/>
        </w:rPr>
        <w:t> </w:t>
      </w:r>
      <w:r>
        <w:rPr>
          <w:color w:val="231F20"/>
          <w:sz w:val="20"/>
        </w:rPr>
        <w:t>The</w:t>
      </w:r>
      <w:r>
        <w:rPr>
          <w:color w:val="231F20"/>
          <w:spacing w:val="8"/>
          <w:sz w:val="20"/>
        </w:rPr>
        <w:t> </w:t>
      </w:r>
      <w:r>
        <w:rPr>
          <w:color w:val="231F20"/>
          <w:sz w:val="20"/>
        </w:rPr>
        <w:t>more</w:t>
      </w:r>
      <w:r>
        <w:rPr>
          <w:color w:val="231F20"/>
          <w:spacing w:val="9"/>
          <w:sz w:val="20"/>
        </w:rPr>
        <w:t> </w:t>
      </w:r>
      <w:r>
        <w:rPr>
          <w:color w:val="231F20"/>
          <w:sz w:val="20"/>
        </w:rPr>
        <w:t>user</w:t>
      </w:r>
      <w:r>
        <w:rPr>
          <w:color w:val="231F20"/>
          <w:spacing w:val="8"/>
          <w:sz w:val="20"/>
        </w:rPr>
        <w:t> </w:t>
      </w:r>
      <w:r>
        <w:rPr>
          <w:color w:val="231F20"/>
          <w:sz w:val="20"/>
        </w:rPr>
        <w:t>friendly</w:t>
      </w:r>
      <w:r>
        <w:rPr>
          <w:color w:val="231F20"/>
          <w:spacing w:val="8"/>
          <w:sz w:val="20"/>
        </w:rPr>
        <w:t> </w:t>
      </w:r>
      <w:r>
        <w:rPr>
          <w:color w:val="231F20"/>
          <w:sz w:val="20"/>
        </w:rPr>
        <w:t>version</w:t>
      </w:r>
      <w:r>
        <w:rPr>
          <w:color w:val="231F20"/>
          <w:spacing w:val="9"/>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agent</w:t>
      </w:r>
      <w:r>
        <w:rPr>
          <w:color w:val="231F20"/>
          <w:spacing w:val="9"/>
          <w:sz w:val="20"/>
        </w:rPr>
        <w:t> </w:t>
      </w:r>
      <w:r>
        <w:rPr>
          <w:color w:val="231F20"/>
          <w:spacing w:val="-2"/>
          <w:sz w:val="20"/>
        </w:rPr>
        <w:t>bundle.</w:t>
      </w:r>
    </w:p>
    <w:p>
      <w:pPr>
        <w:pStyle w:val="BodyText"/>
        <w:spacing w:before="209"/>
        <w:ind w:left="2232"/>
      </w:pPr>
      <w:r>
        <w:rPr>
          <w:rFonts w:ascii="Book Antiqua"/>
          <w:b/>
          <w:color w:val="231F20"/>
        </w:rPr>
        <w:t>Host</w:t>
      </w:r>
      <w:r>
        <w:rPr>
          <w:rFonts w:ascii="Book Antiqua"/>
          <w:b/>
          <w:color w:val="231F20"/>
          <w:spacing w:val="11"/>
        </w:rPr>
        <w:t> </w:t>
      </w:r>
      <w:r>
        <w:rPr>
          <w:rFonts w:ascii="Book Antiqua"/>
          <w:b/>
          <w:color w:val="231F20"/>
        </w:rPr>
        <w:t>type</w:t>
      </w:r>
      <w:r>
        <w:rPr>
          <w:rFonts w:ascii="Book Antiqua"/>
          <w:b/>
          <w:color w:val="231F20"/>
          <w:spacing w:val="11"/>
        </w:rPr>
        <w:t> </w:t>
      </w:r>
      <w:r>
        <w:rPr>
          <w:color w:val="231F20"/>
        </w:rPr>
        <w:t>The</w:t>
      </w:r>
      <w:r>
        <w:rPr>
          <w:color w:val="231F20"/>
          <w:spacing w:val="11"/>
        </w:rPr>
        <w:t> </w:t>
      </w:r>
      <w:r>
        <w:rPr>
          <w:color w:val="231F20"/>
        </w:rPr>
        <w:t>operating</w:t>
      </w:r>
      <w:r>
        <w:rPr>
          <w:color w:val="231F20"/>
          <w:spacing w:val="12"/>
        </w:rPr>
        <w:t> </w:t>
      </w:r>
      <w:r>
        <w:rPr>
          <w:color w:val="231F20"/>
        </w:rPr>
        <w:t>platform</w:t>
      </w:r>
      <w:r>
        <w:rPr>
          <w:color w:val="231F20"/>
          <w:spacing w:val="11"/>
        </w:rPr>
        <w:t> </w:t>
      </w:r>
      <w:r>
        <w:rPr>
          <w:color w:val="231F20"/>
        </w:rPr>
        <w:t>of</w:t>
      </w:r>
      <w:r>
        <w:rPr>
          <w:color w:val="231F20"/>
          <w:spacing w:val="11"/>
        </w:rPr>
        <w:t> </w:t>
      </w:r>
      <w:r>
        <w:rPr>
          <w:color w:val="231F20"/>
        </w:rPr>
        <w:t>the</w:t>
      </w:r>
      <w:r>
        <w:rPr>
          <w:color w:val="231F20"/>
          <w:spacing w:val="12"/>
        </w:rPr>
        <w:t> </w:t>
      </w:r>
      <w:r>
        <w:rPr>
          <w:color w:val="231F20"/>
        </w:rPr>
        <w:t>bundle</w:t>
      </w:r>
      <w:r>
        <w:rPr>
          <w:color w:val="231F20"/>
          <w:spacing w:val="11"/>
        </w:rPr>
        <w:t> </w:t>
      </w:r>
      <w:r>
        <w:rPr>
          <w:color w:val="231F20"/>
        </w:rPr>
        <w:t>can</w:t>
      </w:r>
      <w:r>
        <w:rPr>
          <w:color w:val="231F20"/>
          <w:spacing w:val="11"/>
        </w:rPr>
        <w:t> </w:t>
      </w:r>
      <w:r>
        <w:rPr>
          <w:color w:val="231F20"/>
        </w:rPr>
        <w:t>be</w:t>
      </w:r>
      <w:r>
        <w:rPr>
          <w:color w:val="231F20"/>
          <w:spacing w:val="12"/>
        </w:rPr>
        <w:t> </w:t>
      </w:r>
      <w:r>
        <w:rPr>
          <w:color w:val="231F20"/>
        </w:rPr>
        <w:t>installed</w:t>
      </w:r>
      <w:r>
        <w:rPr>
          <w:color w:val="231F20"/>
          <w:spacing w:val="11"/>
        </w:rPr>
        <w:t> </w:t>
      </w:r>
      <w:r>
        <w:rPr>
          <w:color w:val="231F20"/>
          <w:spacing w:val="-5"/>
        </w:rPr>
        <w:t>on.</w:t>
      </w:r>
    </w:p>
    <w:p>
      <w:pPr>
        <w:pStyle w:val="BodyText"/>
        <w:spacing w:line="213" w:lineRule="auto" w:before="233"/>
        <w:ind w:left="2232" w:right="545"/>
      </w:pPr>
      <w:r>
        <w:rPr>
          <w:rFonts w:ascii="Book Antiqua"/>
          <w:b/>
          <w:color w:val="231F20"/>
        </w:rPr>
        <w:t>Host versions </w:t>
      </w:r>
      <w:r>
        <w:rPr>
          <w:color w:val="231F20"/>
        </w:rPr>
        <w:t>The specific version associated with the operating platform </w:t>
      </w:r>
      <w:r>
        <w:rPr>
          <w:color w:val="231F20"/>
        </w:rPr>
        <w:t>the bundle can be installed on.</w:t>
      </w:r>
    </w:p>
    <w:p>
      <w:pPr>
        <w:pStyle w:val="BodyText"/>
        <w:spacing w:before="215"/>
        <w:ind w:left="2232"/>
      </w:pPr>
      <w:r>
        <w:rPr>
          <w:rFonts w:ascii="Book Antiqua"/>
          <w:b/>
          <w:color w:val="231F20"/>
        </w:rPr>
        <w:t>Prerequisites</w:t>
      </w:r>
      <w:r>
        <w:rPr>
          <w:rFonts w:ascii="Book Antiqua"/>
          <w:b/>
          <w:color w:val="231F20"/>
          <w:spacing w:val="8"/>
        </w:rPr>
        <w:t> </w:t>
      </w:r>
      <w:r>
        <w:rPr>
          <w:color w:val="231F20"/>
        </w:rPr>
        <w:t>The</w:t>
      </w:r>
      <w:r>
        <w:rPr>
          <w:color w:val="231F20"/>
          <w:spacing w:val="9"/>
        </w:rPr>
        <w:t> </w:t>
      </w:r>
      <w:r>
        <w:rPr>
          <w:color w:val="231F20"/>
        </w:rPr>
        <w:t>prerequisites</w:t>
      </w:r>
      <w:r>
        <w:rPr>
          <w:color w:val="231F20"/>
          <w:spacing w:val="8"/>
        </w:rPr>
        <w:t> </w:t>
      </w:r>
      <w:r>
        <w:rPr>
          <w:color w:val="231F20"/>
        </w:rPr>
        <w:t>required</w:t>
      </w:r>
      <w:r>
        <w:rPr>
          <w:color w:val="231F20"/>
          <w:spacing w:val="9"/>
        </w:rPr>
        <w:t> </w:t>
      </w:r>
      <w:r>
        <w:rPr>
          <w:color w:val="231F20"/>
        </w:rPr>
        <w:t>for</w:t>
      </w:r>
      <w:r>
        <w:rPr>
          <w:color w:val="231F20"/>
          <w:spacing w:val="9"/>
        </w:rPr>
        <w:t> </w:t>
      </w:r>
      <w:r>
        <w:rPr>
          <w:color w:val="231F20"/>
        </w:rPr>
        <w:t>this</w:t>
      </w:r>
      <w:r>
        <w:rPr>
          <w:color w:val="231F20"/>
          <w:spacing w:val="8"/>
        </w:rPr>
        <w:t> </w:t>
      </w:r>
      <w:r>
        <w:rPr>
          <w:color w:val="231F20"/>
        </w:rPr>
        <w:t>bundle</w:t>
      </w:r>
      <w:r>
        <w:rPr>
          <w:color w:val="231F20"/>
          <w:spacing w:val="9"/>
        </w:rPr>
        <w:t> </w:t>
      </w:r>
      <w:r>
        <w:rPr>
          <w:color w:val="231F20"/>
        </w:rPr>
        <w:t>to</w:t>
      </w:r>
      <w:r>
        <w:rPr>
          <w:color w:val="231F20"/>
          <w:spacing w:val="8"/>
        </w:rPr>
        <w:t> </w:t>
      </w:r>
      <w:r>
        <w:rPr>
          <w:color w:val="231F20"/>
        </w:rPr>
        <w:t>be</w:t>
      </w:r>
      <w:r>
        <w:rPr>
          <w:color w:val="231F20"/>
          <w:spacing w:val="9"/>
        </w:rPr>
        <w:t> </w:t>
      </w:r>
      <w:r>
        <w:rPr>
          <w:color w:val="231F20"/>
        </w:rPr>
        <w:t>installed</w:t>
      </w:r>
      <w:r>
        <w:rPr>
          <w:color w:val="231F20"/>
          <w:spacing w:val="9"/>
        </w:rPr>
        <w:t> </w:t>
      </w:r>
      <w:r>
        <w:rPr>
          <w:color w:val="231F20"/>
          <w:spacing w:val="-2"/>
        </w:rPr>
        <w:t>properly.</w:t>
      </w:r>
    </w:p>
    <w:p>
      <w:pPr>
        <w:spacing w:before="209"/>
        <w:ind w:left="2232" w:right="0" w:firstLine="0"/>
        <w:jc w:val="left"/>
        <w:rPr>
          <w:sz w:val="20"/>
        </w:rPr>
      </w:pPr>
      <w:r>
        <w:rPr>
          <w:rFonts w:ascii="Book Antiqua"/>
          <w:b/>
          <w:color w:val="231F20"/>
          <w:sz w:val="20"/>
        </w:rPr>
        <w:t>Product</w:t>
      </w:r>
      <w:r>
        <w:rPr>
          <w:rFonts w:ascii="Book Antiqua"/>
          <w:b/>
          <w:color w:val="231F20"/>
          <w:spacing w:val="11"/>
          <w:sz w:val="20"/>
        </w:rPr>
        <w:t> </w:t>
      </w:r>
      <w:r>
        <w:rPr>
          <w:rFonts w:ascii="Book Antiqua"/>
          <w:b/>
          <w:color w:val="231F20"/>
          <w:sz w:val="20"/>
        </w:rPr>
        <w:t>ID</w:t>
      </w:r>
      <w:r>
        <w:rPr>
          <w:rFonts w:ascii="Book Antiqua"/>
          <w:b/>
          <w:color w:val="231F20"/>
          <w:spacing w:val="12"/>
          <w:sz w:val="20"/>
        </w:rPr>
        <w:t> </w:t>
      </w:r>
      <w:r>
        <w:rPr>
          <w:color w:val="231F20"/>
          <w:sz w:val="20"/>
        </w:rPr>
        <w:t>The</w:t>
      </w:r>
      <w:r>
        <w:rPr>
          <w:color w:val="231F20"/>
          <w:spacing w:val="12"/>
          <w:sz w:val="20"/>
        </w:rPr>
        <w:t> </w:t>
      </w:r>
      <w:r>
        <w:rPr>
          <w:color w:val="231F20"/>
          <w:sz w:val="20"/>
        </w:rPr>
        <w:t>two</w:t>
      </w:r>
      <w:r>
        <w:rPr>
          <w:color w:val="231F20"/>
          <w:spacing w:val="12"/>
          <w:sz w:val="20"/>
        </w:rPr>
        <w:t> </w:t>
      </w:r>
      <w:r>
        <w:rPr>
          <w:color w:val="231F20"/>
          <w:sz w:val="20"/>
        </w:rPr>
        <w:t>character</w:t>
      </w:r>
      <w:r>
        <w:rPr>
          <w:color w:val="231F20"/>
          <w:spacing w:val="12"/>
          <w:sz w:val="20"/>
        </w:rPr>
        <w:t> </w:t>
      </w:r>
      <w:r>
        <w:rPr>
          <w:color w:val="231F20"/>
          <w:sz w:val="20"/>
        </w:rPr>
        <w:t>code</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1"/>
          <w:sz w:val="20"/>
        </w:rPr>
        <w:t> </w:t>
      </w:r>
      <w:r>
        <w:rPr>
          <w:color w:val="231F20"/>
          <w:spacing w:val="-2"/>
          <w:sz w:val="20"/>
        </w:rPr>
        <w:t>agent.</w:t>
      </w:r>
    </w:p>
    <w:p>
      <w:pPr>
        <w:pStyle w:val="BodyText"/>
        <w:spacing w:line="213" w:lineRule="auto" w:before="232"/>
        <w:ind w:left="2232" w:right="545"/>
      </w:pPr>
      <w:r>
        <w:rPr>
          <w:rFonts w:ascii="Book Antiqua"/>
          <w:b/>
          <w:color w:val="231F20"/>
        </w:rPr>
        <w:t>Refresh Depot </w:t>
      </w:r>
      <w:r>
        <w:rPr>
          <w:color w:val="231F20"/>
        </w:rPr>
        <w:t>The value describing whether the depot information needs to </w:t>
      </w:r>
      <w:r>
        <w:rPr>
          <w:color w:val="231F20"/>
        </w:rPr>
        <w:t>be </w:t>
      </w:r>
      <w:r>
        <w:rPr>
          <w:color w:val="231F20"/>
          <w:spacing w:val="-2"/>
        </w:rPr>
        <w:t>refreshed.</w:t>
      </w:r>
    </w:p>
    <w:p>
      <w:pPr>
        <w:spacing w:before="215"/>
        <w:ind w:left="2232" w:right="0" w:firstLine="0"/>
        <w:jc w:val="left"/>
        <w:rPr>
          <w:sz w:val="20"/>
        </w:rPr>
      </w:pPr>
      <w:r>
        <w:rPr>
          <w:rFonts w:ascii="Book Antiqua"/>
          <w:b/>
          <w:color w:val="231F20"/>
          <w:sz w:val="20"/>
        </w:rPr>
        <w:t>Version</w:t>
      </w:r>
      <w:r>
        <w:rPr>
          <w:rFonts w:ascii="Book Antiqua"/>
          <w:b/>
          <w:color w:val="231F20"/>
          <w:spacing w:val="7"/>
          <w:sz w:val="20"/>
        </w:rPr>
        <w:t> </w:t>
      </w:r>
      <w:r>
        <w:rPr>
          <w:color w:val="231F20"/>
          <w:sz w:val="20"/>
        </w:rPr>
        <w:t>The</w:t>
      </w:r>
      <w:r>
        <w:rPr>
          <w:color w:val="231F20"/>
          <w:spacing w:val="7"/>
          <w:sz w:val="20"/>
        </w:rPr>
        <w:t> </w:t>
      </w:r>
      <w:r>
        <w:rPr>
          <w:color w:val="231F20"/>
          <w:sz w:val="20"/>
        </w:rPr>
        <w:t>version</w:t>
      </w:r>
      <w:r>
        <w:rPr>
          <w:color w:val="231F20"/>
          <w:spacing w:val="7"/>
          <w:sz w:val="20"/>
        </w:rPr>
        <w:t> </w:t>
      </w:r>
      <w:r>
        <w:rPr>
          <w:color w:val="231F20"/>
          <w:sz w:val="20"/>
        </w:rPr>
        <w:t>of</w:t>
      </w:r>
      <w:r>
        <w:rPr>
          <w:color w:val="231F20"/>
          <w:spacing w:val="7"/>
          <w:sz w:val="20"/>
        </w:rPr>
        <w:t> </w:t>
      </w:r>
      <w:r>
        <w:rPr>
          <w:color w:val="231F20"/>
          <w:sz w:val="20"/>
        </w:rPr>
        <w:t>the</w:t>
      </w:r>
      <w:r>
        <w:rPr>
          <w:color w:val="231F20"/>
          <w:spacing w:val="7"/>
          <w:sz w:val="20"/>
        </w:rPr>
        <w:t> </w:t>
      </w:r>
      <w:r>
        <w:rPr>
          <w:color w:val="231F20"/>
          <w:spacing w:val="-2"/>
          <w:sz w:val="20"/>
        </w:rPr>
        <w:t>agent.</w:t>
      </w:r>
    </w:p>
    <w:p>
      <w:pPr>
        <w:pStyle w:val="BodyText"/>
        <w:spacing w:before="13"/>
        <w:rPr>
          <w:sz w:val="15"/>
        </w:rPr>
      </w:pPr>
      <w:r>
        <w:rPr/>
        <mc:AlternateContent>
          <mc:Choice Requires="wps">
            <w:drawing>
              <wp:anchor distT="0" distB="0" distL="0" distR="0" allowOverlap="1" layoutInCell="1" locked="0" behindDoc="1" simplePos="0" relativeHeight="487754240">
                <wp:simplePos x="0" y="0"/>
                <wp:positionH relativeFrom="page">
                  <wp:posOffset>760323</wp:posOffset>
                </wp:positionH>
                <wp:positionV relativeFrom="paragraph">
                  <wp:posOffset>152289</wp:posOffset>
                </wp:positionV>
                <wp:extent cx="6082665" cy="1270"/>
                <wp:effectExtent l="0" t="0" r="0" b="0"/>
                <wp:wrapTopAndBottom/>
                <wp:docPr id="3395" name="Graphic 3395"/>
                <wp:cNvGraphicFramePr>
                  <a:graphicFrameLocks/>
                </wp:cNvGraphicFramePr>
                <a:graphic>
                  <a:graphicData uri="http://schemas.microsoft.com/office/word/2010/wordprocessingShape">
                    <wps:wsp>
                      <wps:cNvPr id="3395" name="Graphic 3395"/>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91287pt;width:478.95pt;height:.1pt;mso-position-horizontal-relative:page;mso-position-vertical-relative:paragraph;z-index:-15562240;mso-wrap-distance-left:0;mso-wrap-distance-right:0" id="docshape293"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EIB Change Log attributes" w:id="713"/>
      <w:bookmarkEnd w:id="713"/>
      <w:r>
        <w:rPr>
          <w:b w:val="0"/>
        </w:rPr>
      </w:r>
      <w:r>
        <w:rPr>
          <w:color w:val="231F20"/>
        </w:rPr>
        <w:t>EIB</w:t>
      </w:r>
      <w:r>
        <w:rPr>
          <w:color w:val="231F20"/>
          <w:spacing w:val="8"/>
        </w:rPr>
        <w:t> </w:t>
      </w:r>
      <w:r>
        <w:rPr>
          <w:color w:val="231F20"/>
        </w:rPr>
        <w:t>Change</w:t>
      </w:r>
      <w:r>
        <w:rPr>
          <w:color w:val="231F20"/>
          <w:spacing w:val="8"/>
        </w:rPr>
        <w:t> </w:t>
      </w:r>
      <w:r>
        <w:rPr>
          <w:color w:val="231F20"/>
        </w:rPr>
        <w:t>Log</w:t>
      </w:r>
      <w:r>
        <w:rPr>
          <w:color w:val="231F20"/>
          <w:spacing w:val="8"/>
        </w:rPr>
        <w:t> </w:t>
      </w:r>
      <w:r>
        <w:rPr>
          <w:color w:val="231F20"/>
          <w:spacing w:val="-2"/>
        </w:rPr>
        <w:t>attributes</w:t>
      </w:r>
    </w:p>
    <w:p>
      <w:pPr>
        <w:pStyle w:val="BodyText"/>
        <w:spacing w:line="213" w:lineRule="auto" w:before="138"/>
        <w:ind w:left="2232" w:right="636"/>
      </w:pPr>
      <w:r>
        <w:rPr>
          <w:color w:val="231F20"/>
        </w:rPr>
        <w:t>The Enterprise Information Change (EIB) log records the details of changes </w:t>
      </w:r>
      <w:r>
        <w:rPr>
          <w:color w:val="231F20"/>
        </w:rPr>
        <w:t>made by users to deploy situations and policies.</w:t>
      </w:r>
    </w:p>
    <w:p>
      <w:pPr>
        <w:pStyle w:val="BodyText"/>
        <w:spacing w:line="213" w:lineRule="auto" w:before="239"/>
        <w:ind w:left="2232" w:right="545"/>
      </w:pPr>
      <w:r>
        <w:rPr>
          <w:rFonts w:ascii="Book Antiqua"/>
          <w:b/>
          <w:color w:val="231F20"/>
        </w:rPr>
        <w:t>Global Timestamp </w:t>
      </w:r>
      <w:r>
        <w:rPr>
          <w:color w:val="231F20"/>
        </w:rPr>
        <w:t>The date and time at the monitoring server when the </w:t>
      </w:r>
      <w:r>
        <w:rPr>
          <w:color w:val="231F20"/>
        </w:rPr>
        <w:t>change took</w:t>
      </w:r>
      <w:r>
        <w:rPr>
          <w:color w:val="231F20"/>
          <w:spacing w:val="40"/>
        </w:rPr>
        <w:t> </w:t>
      </w:r>
      <w:r>
        <w:rPr>
          <w:color w:val="231F20"/>
        </w:rPr>
        <w:t>place.</w:t>
      </w:r>
      <w:r>
        <w:rPr>
          <w:color w:val="231F20"/>
          <w:spacing w:val="40"/>
        </w:rPr>
        <w:t> </w:t>
      </w:r>
      <w:r>
        <w:rPr>
          <w:color w:val="231F20"/>
        </w:rPr>
        <w:t>The</w:t>
      </w:r>
      <w:r>
        <w:rPr>
          <w:color w:val="231F20"/>
          <w:spacing w:val="40"/>
        </w:rPr>
        <w:t> </w:t>
      </w:r>
      <w:r>
        <w:rPr>
          <w:color w:val="231F20"/>
        </w:rPr>
        <w:t>format</w:t>
      </w:r>
      <w:r>
        <w:rPr>
          <w:color w:val="231F20"/>
          <w:spacing w:val="40"/>
        </w:rPr>
        <w:t> </w:t>
      </w:r>
      <w:r>
        <w:rPr>
          <w:color w:val="231F20"/>
        </w:rPr>
        <w:t>is</w:t>
      </w:r>
      <w:r>
        <w:rPr>
          <w:color w:val="231F20"/>
          <w:spacing w:val="40"/>
        </w:rPr>
        <w:t> </w:t>
      </w:r>
      <w:r>
        <w:rPr>
          <w:color w:val="231F20"/>
        </w:rPr>
        <w:t>MM/DD/YY HH:MM:SS.</w:t>
      </w:r>
    </w:p>
    <w:p>
      <w:pPr>
        <w:pStyle w:val="BodyText"/>
        <w:spacing w:line="213" w:lineRule="auto" w:before="238"/>
        <w:ind w:left="2232" w:right="545"/>
      </w:pPr>
      <w:r>
        <w:rPr>
          <w:rFonts w:ascii="Book Antiqua"/>
          <w:b/>
          <w:color w:val="231F20"/>
        </w:rPr>
        <w:t>Last User </w:t>
      </w:r>
      <w:r>
        <w:rPr>
          <w:color w:val="231F20"/>
        </w:rPr>
        <w:t>The user ID of the person who made the change, up to 10 letters and</w:t>
      </w:r>
      <w:r>
        <w:rPr>
          <w:color w:val="231F20"/>
          <w:spacing w:val="40"/>
        </w:rPr>
        <w:t> </w:t>
      </w:r>
      <w:r>
        <w:rPr>
          <w:color w:val="231F20"/>
          <w:spacing w:val="-2"/>
        </w:rPr>
        <w:t>numbers.</w:t>
      </w:r>
    </w:p>
    <w:p>
      <w:pPr>
        <w:pStyle w:val="BodyText"/>
        <w:spacing w:before="215"/>
        <w:ind w:left="2232"/>
      </w:pPr>
      <w:r>
        <w:rPr>
          <w:rFonts w:ascii="Book Antiqua"/>
          <w:b/>
          <w:color w:val="231F20"/>
        </w:rPr>
        <w:t>Object</w:t>
      </w:r>
      <w:r>
        <w:rPr>
          <w:rFonts w:ascii="Book Antiqua"/>
          <w:b/>
          <w:color w:val="231F20"/>
          <w:spacing w:val="9"/>
        </w:rPr>
        <w:t> </w:t>
      </w:r>
      <w:r>
        <w:rPr>
          <w:rFonts w:ascii="Book Antiqua"/>
          <w:b/>
          <w:color w:val="231F20"/>
        </w:rPr>
        <w:t>Name</w:t>
      </w:r>
      <w:r>
        <w:rPr>
          <w:rFonts w:ascii="Book Antiqua"/>
          <w:b/>
          <w:color w:val="231F20"/>
          <w:spacing w:val="10"/>
        </w:rPr>
        <w:t> </w:t>
      </w:r>
      <w:r>
        <w:rPr>
          <w:color w:val="231F20"/>
        </w:rPr>
        <w:t>The</w:t>
      </w:r>
      <w:r>
        <w:rPr>
          <w:color w:val="231F20"/>
          <w:spacing w:val="10"/>
        </w:rPr>
        <w:t> </w:t>
      </w:r>
      <w:r>
        <w:rPr>
          <w:color w:val="231F20"/>
        </w:rPr>
        <w:t>name</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situation,</w:t>
      </w:r>
      <w:r>
        <w:rPr>
          <w:color w:val="231F20"/>
          <w:spacing w:val="10"/>
        </w:rPr>
        <w:t> </w:t>
      </w:r>
      <w:r>
        <w:rPr>
          <w:color w:val="231F20"/>
        </w:rPr>
        <w:t>policy,</w:t>
      </w:r>
      <w:r>
        <w:rPr>
          <w:color w:val="231F20"/>
          <w:spacing w:val="10"/>
        </w:rPr>
        <w:t> </w:t>
      </w:r>
      <w:r>
        <w:rPr>
          <w:color w:val="231F20"/>
        </w:rPr>
        <w:t>or</w:t>
      </w:r>
      <w:r>
        <w:rPr>
          <w:color w:val="231F20"/>
          <w:spacing w:val="10"/>
        </w:rPr>
        <w:t> </w:t>
      </w:r>
      <w:r>
        <w:rPr>
          <w:color w:val="231F20"/>
        </w:rPr>
        <w:t>other</w:t>
      </w:r>
      <w:r>
        <w:rPr>
          <w:color w:val="231F20"/>
          <w:spacing w:val="10"/>
        </w:rPr>
        <w:t> </w:t>
      </w:r>
      <w:r>
        <w:rPr>
          <w:color w:val="231F20"/>
        </w:rPr>
        <w:t>entity</w:t>
      </w:r>
      <w:r>
        <w:rPr>
          <w:color w:val="231F20"/>
          <w:spacing w:val="10"/>
        </w:rPr>
        <w:t> </w:t>
      </w:r>
      <w:r>
        <w:rPr>
          <w:color w:val="231F20"/>
        </w:rPr>
        <w:t>that</w:t>
      </w:r>
      <w:r>
        <w:rPr>
          <w:color w:val="231F20"/>
          <w:spacing w:val="9"/>
        </w:rPr>
        <w:t> </w:t>
      </w:r>
      <w:r>
        <w:rPr>
          <w:color w:val="231F20"/>
        </w:rPr>
        <w:t>was</w:t>
      </w:r>
      <w:r>
        <w:rPr>
          <w:color w:val="231F20"/>
          <w:spacing w:val="10"/>
        </w:rPr>
        <w:t> </w:t>
      </w:r>
      <w:r>
        <w:rPr>
          <w:color w:val="231F20"/>
          <w:spacing w:val="-2"/>
        </w:rPr>
        <w:t>changed.</w:t>
      </w:r>
    </w:p>
    <w:p>
      <w:pPr>
        <w:pStyle w:val="BodyText"/>
        <w:spacing w:line="213" w:lineRule="auto" w:before="232"/>
        <w:ind w:left="2232" w:right="493"/>
      </w:pPr>
      <w:r>
        <w:rPr>
          <w:rFonts w:ascii="Book Antiqua"/>
          <w:b/>
          <w:color w:val="231F20"/>
        </w:rPr>
        <w:t>Operation </w:t>
      </w:r>
      <w:r>
        <w:rPr>
          <w:color w:val="231F20"/>
        </w:rPr>
        <w:t>The type of operation that took place. This is an enumerated </w:t>
      </w:r>
      <w:r>
        <w:rPr>
          <w:color w:val="231F20"/>
        </w:rPr>
        <w:t>attribute where a single word conveys the full meaning of the operation:</w:t>
      </w:r>
    </w:p>
    <w:p>
      <w:pPr>
        <w:tabs>
          <w:tab w:pos="3471" w:val="left" w:leader="none"/>
        </w:tabs>
        <w:spacing w:line="216" w:lineRule="auto" w:before="180"/>
        <w:ind w:left="3471" w:right="603" w:hanging="1239"/>
        <w:jc w:val="left"/>
        <w:rPr>
          <w:sz w:val="18"/>
        </w:rPr>
      </w:pPr>
      <w:r>
        <w:rPr>
          <w:color w:val="231F20"/>
          <w:spacing w:val="-4"/>
          <w:sz w:val="18"/>
        </w:rPr>
        <w:t>Add</w:t>
      </w:r>
      <w:r>
        <w:rPr>
          <w:color w:val="231F20"/>
          <w:sz w:val="18"/>
        </w:rPr>
        <w:tab/>
        <w:t>A managed system or managed system group was added to the situation or policy distribution.</w:t>
      </w:r>
    </w:p>
    <w:p>
      <w:pPr>
        <w:tabs>
          <w:tab w:pos="3471" w:val="left" w:leader="none"/>
        </w:tabs>
        <w:spacing w:line="241" w:lineRule="exact" w:before="3"/>
        <w:ind w:left="2232" w:right="0" w:firstLine="0"/>
        <w:jc w:val="left"/>
        <w:rPr>
          <w:sz w:val="18"/>
        </w:rPr>
      </w:pPr>
      <w:r>
        <w:rPr>
          <w:color w:val="231F20"/>
          <w:spacing w:val="-2"/>
          <w:sz w:val="18"/>
        </w:rPr>
        <w:t>Change</w:t>
      </w:r>
      <w:r>
        <w:rPr>
          <w:color w:val="231F20"/>
          <w:sz w:val="18"/>
        </w:rPr>
        <w:tab/>
        <w:t>The</w:t>
      </w:r>
      <w:r>
        <w:rPr>
          <w:color w:val="231F20"/>
          <w:spacing w:val="9"/>
          <w:sz w:val="18"/>
        </w:rPr>
        <w:t> </w:t>
      </w:r>
      <w:r>
        <w:rPr>
          <w:color w:val="231F20"/>
          <w:sz w:val="18"/>
        </w:rPr>
        <w:t>situation</w:t>
      </w:r>
      <w:r>
        <w:rPr>
          <w:color w:val="231F20"/>
          <w:spacing w:val="10"/>
          <w:sz w:val="18"/>
        </w:rPr>
        <w:t> </w:t>
      </w:r>
      <w:r>
        <w:rPr>
          <w:color w:val="231F20"/>
          <w:sz w:val="18"/>
        </w:rPr>
        <w:t>was</w:t>
      </w:r>
      <w:r>
        <w:rPr>
          <w:color w:val="231F20"/>
          <w:spacing w:val="9"/>
          <w:sz w:val="18"/>
        </w:rPr>
        <w:t> </w:t>
      </w:r>
      <w:r>
        <w:rPr>
          <w:color w:val="231F20"/>
          <w:sz w:val="18"/>
        </w:rPr>
        <w:t>distributed</w:t>
      </w:r>
      <w:r>
        <w:rPr>
          <w:color w:val="231F20"/>
          <w:spacing w:val="10"/>
          <w:sz w:val="18"/>
        </w:rPr>
        <w:t> </w:t>
      </w:r>
      <w:r>
        <w:rPr>
          <w:color w:val="231F20"/>
          <w:sz w:val="18"/>
        </w:rPr>
        <w:t>and</w:t>
      </w:r>
      <w:r>
        <w:rPr>
          <w:color w:val="231F20"/>
          <w:spacing w:val="10"/>
          <w:sz w:val="18"/>
        </w:rPr>
        <w:t> </w:t>
      </w:r>
      <w:r>
        <w:rPr>
          <w:color w:val="231F20"/>
          <w:sz w:val="18"/>
        </w:rPr>
        <w:t>is</w:t>
      </w:r>
      <w:r>
        <w:rPr>
          <w:color w:val="231F20"/>
          <w:spacing w:val="9"/>
          <w:sz w:val="18"/>
        </w:rPr>
        <w:t> </w:t>
      </w:r>
      <w:r>
        <w:rPr>
          <w:color w:val="231F20"/>
          <w:spacing w:val="-2"/>
          <w:sz w:val="18"/>
        </w:rPr>
        <w:t>running.</w:t>
      </w:r>
    </w:p>
    <w:p>
      <w:pPr>
        <w:tabs>
          <w:tab w:pos="3471" w:val="left" w:leader="none"/>
        </w:tabs>
        <w:spacing w:line="239" w:lineRule="exact" w:before="0"/>
        <w:ind w:left="2232" w:right="0" w:firstLine="0"/>
        <w:jc w:val="left"/>
        <w:rPr>
          <w:sz w:val="18"/>
        </w:rPr>
      </w:pPr>
      <w:r>
        <w:rPr>
          <w:color w:val="231F20"/>
          <w:spacing w:val="-2"/>
          <w:sz w:val="18"/>
        </w:rPr>
        <w:t>Delete</w:t>
      </w:r>
      <w:r>
        <w:rPr>
          <w:color w:val="231F20"/>
          <w:sz w:val="18"/>
        </w:rPr>
        <w:tab/>
        <w:t>A</w:t>
      </w:r>
      <w:r>
        <w:rPr>
          <w:color w:val="231F20"/>
          <w:spacing w:val="-1"/>
          <w:sz w:val="18"/>
        </w:rPr>
        <w:t> </w:t>
      </w:r>
      <w:r>
        <w:rPr>
          <w:color w:val="231F20"/>
          <w:sz w:val="18"/>
        </w:rPr>
        <w:t>situation</w:t>
      </w:r>
      <w:r>
        <w:rPr>
          <w:color w:val="231F20"/>
          <w:spacing w:val="10"/>
          <w:sz w:val="18"/>
        </w:rPr>
        <w:t> </w:t>
      </w:r>
      <w:r>
        <w:rPr>
          <w:color w:val="231F20"/>
          <w:sz w:val="18"/>
        </w:rPr>
        <w:t>or</w:t>
      </w:r>
      <w:r>
        <w:rPr>
          <w:color w:val="231F20"/>
          <w:spacing w:val="9"/>
          <w:sz w:val="18"/>
        </w:rPr>
        <w:t> </w:t>
      </w:r>
      <w:r>
        <w:rPr>
          <w:color w:val="231F20"/>
          <w:sz w:val="18"/>
        </w:rPr>
        <w:t>policy</w:t>
      </w:r>
      <w:r>
        <w:rPr>
          <w:color w:val="231F20"/>
          <w:spacing w:val="9"/>
          <w:sz w:val="18"/>
        </w:rPr>
        <w:t> </w:t>
      </w:r>
      <w:r>
        <w:rPr>
          <w:color w:val="231F20"/>
          <w:sz w:val="18"/>
        </w:rPr>
        <w:t>was</w:t>
      </w:r>
      <w:r>
        <w:rPr>
          <w:color w:val="231F20"/>
          <w:spacing w:val="9"/>
          <w:sz w:val="18"/>
        </w:rPr>
        <w:t> </w:t>
      </w:r>
      <w:r>
        <w:rPr>
          <w:color w:val="231F20"/>
          <w:sz w:val="18"/>
        </w:rPr>
        <w:t>deleted</w:t>
      </w:r>
      <w:r>
        <w:rPr>
          <w:color w:val="231F20"/>
          <w:spacing w:val="9"/>
          <w:sz w:val="18"/>
        </w:rPr>
        <w:t> </w:t>
      </w:r>
      <w:r>
        <w:rPr>
          <w:color w:val="231F20"/>
          <w:sz w:val="18"/>
        </w:rPr>
        <w:t>from</w:t>
      </w:r>
      <w:r>
        <w:rPr>
          <w:color w:val="231F20"/>
          <w:spacing w:val="9"/>
          <w:sz w:val="18"/>
        </w:rPr>
        <w:t> </w:t>
      </w:r>
      <w:r>
        <w:rPr>
          <w:color w:val="231F20"/>
          <w:sz w:val="18"/>
        </w:rPr>
        <w:t>the</w:t>
      </w:r>
      <w:r>
        <w:rPr>
          <w:color w:val="231F20"/>
          <w:spacing w:val="9"/>
          <w:sz w:val="18"/>
        </w:rPr>
        <w:t> </w:t>
      </w:r>
      <w:r>
        <w:rPr>
          <w:color w:val="231F20"/>
          <w:sz w:val="18"/>
        </w:rPr>
        <w:t>monitoring</w:t>
      </w:r>
      <w:r>
        <w:rPr>
          <w:color w:val="231F20"/>
          <w:spacing w:val="9"/>
          <w:sz w:val="18"/>
        </w:rPr>
        <w:t> </w:t>
      </w:r>
      <w:r>
        <w:rPr>
          <w:color w:val="231F20"/>
          <w:spacing w:val="-2"/>
          <w:sz w:val="18"/>
        </w:rPr>
        <w:t>server.</w:t>
      </w:r>
    </w:p>
    <w:p>
      <w:pPr>
        <w:tabs>
          <w:tab w:pos="3471" w:val="left" w:leader="none"/>
        </w:tabs>
        <w:spacing w:line="216" w:lineRule="auto" w:before="17"/>
        <w:ind w:left="3471" w:right="1083" w:hanging="1239"/>
        <w:jc w:val="left"/>
        <w:rPr>
          <w:sz w:val="18"/>
        </w:rPr>
      </w:pPr>
      <w:r>
        <w:rPr>
          <w:color w:val="231F20"/>
          <w:spacing w:val="-2"/>
          <w:sz w:val="18"/>
        </w:rPr>
        <w:t>Erase</w:t>
      </w:r>
      <w:r>
        <w:rPr>
          <w:color w:val="231F20"/>
          <w:sz w:val="18"/>
        </w:rPr>
        <w:tab/>
        <w:t>A</w:t>
      </w:r>
      <w:r>
        <w:rPr>
          <w:color w:val="231F20"/>
          <w:spacing w:val="-1"/>
          <w:sz w:val="18"/>
        </w:rPr>
        <w:t> </w:t>
      </w:r>
      <w:r>
        <w:rPr>
          <w:color w:val="231F20"/>
          <w:sz w:val="18"/>
        </w:rPr>
        <w:t>managed system or managed system group was removed from the situation or policy distribution.</w:t>
      </w:r>
    </w:p>
    <w:p>
      <w:pPr>
        <w:tabs>
          <w:tab w:pos="3471" w:val="left" w:leader="none"/>
        </w:tabs>
        <w:spacing w:line="237" w:lineRule="auto" w:before="5"/>
        <w:ind w:left="2232" w:right="807" w:firstLine="0"/>
        <w:jc w:val="left"/>
        <w:rPr>
          <w:sz w:val="18"/>
        </w:rPr>
      </w:pPr>
      <w:r>
        <w:rPr>
          <w:color w:val="231F20"/>
          <w:spacing w:val="-2"/>
          <w:sz w:val="18"/>
        </w:rPr>
        <w:t>Insert</w:t>
      </w:r>
      <w:r>
        <w:rPr>
          <w:color w:val="231F20"/>
          <w:sz w:val="18"/>
        </w:rPr>
        <w:tab/>
        <w:t>A new situation or policy was added (inserted into the internal database. </w:t>
      </w:r>
      <w:r>
        <w:rPr>
          <w:color w:val="231F20"/>
          <w:spacing w:val="-2"/>
          <w:sz w:val="18"/>
        </w:rPr>
        <w:t>Update</w:t>
      </w:r>
      <w:r>
        <w:rPr>
          <w:color w:val="231F20"/>
          <w:sz w:val="18"/>
        </w:rPr>
        <w:tab/>
        <w:t>A situation or policy was updated.</w:t>
      </w:r>
    </w:p>
    <w:p>
      <w:pPr>
        <w:pStyle w:val="BodyText"/>
        <w:spacing w:before="186"/>
        <w:rPr>
          <w:sz w:val="18"/>
        </w:rPr>
      </w:pPr>
    </w:p>
    <w:p>
      <w:pPr>
        <w:pStyle w:val="BodyText"/>
        <w:ind w:left="2232"/>
      </w:pPr>
      <w:r>
        <w:rPr>
          <w:rFonts w:ascii="Book Antiqua"/>
          <w:b/>
          <w:color w:val="231F20"/>
        </w:rPr>
        <w:t>Path</w:t>
      </w:r>
      <w:r>
        <w:rPr>
          <w:rFonts w:ascii="Book Antiqua"/>
          <w:b/>
          <w:color w:val="231F20"/>
          <w:spacing w:val="12"/>
        </w:rPr>
        <w:t> </w:t>
      </w:r>
      <w:r>
        <w:rPr>
          <w:rFonts w:ascii="Book Antiqua"/>
          <w:b/>
          <w:color w:val="231F20"/>
        </w:rPr>
        <w:t>Name</w:t>
      </w:r>
      <w:r>
        <w:rPr>
          <w:rFonts w:ascii="Book Antiqua"/>
          <w:b/>
          <w:color w:val="231F20"/>
          <w:spacing w:val="12"/>
        </w:rPr>
        <w:t> </w:t>
      </w:r>
      <w:r>
        <w:rPr>
          <w:color w:val="231F20"/>
        </w:rPr>
        <w:t>The</w:t>
      </w:r>
      <w:r>
        <w:rPr>
          <w:color w:val="231F20"/>
          <w:spacing w:val="12"/>
        </w:rPr>
        <w:t> </w:t>
      </w:r>
      <w:r>
        <w:rPr>
          <w:color w:val="231F20"/>
        </w:rPr>
        <w:t>location</w:t>
      </w:r>
      <w:r>
        <w:rPr>
          <w:color w:val="231F20"/>
          <w:spacing w:val="13"/>
        </w:rPr>
        <w:t> </w:t>
      </w:r>
      <w:r>
        <w:rPr>
          <w:color w:val="231F20"/>
        </w:rPr>
        <w:t>of</w:t>
      </w:r>
      <w:r>
        <w:rPr>
          <w:color w:val="231F20"/>
          <w:spacing w:val="12"/>
        </w:rPr>
        <w:t> </w:t>
      </w:r>
      <w:r>
        <w:rPr>
          <w:color w:val="231F20"/>
        </w:rPr>
        <w:t>the</w:t>
      </w:r>
      <w:r>
        <w:rPr>
          <w:color w:val="231F20"/>
          <w:spacing w:val="12"/>
        </w:rPr>
        <w:t> </w:t>
      </w:r>
      <w:r>
        <w:rPr>
          <w:color w:val="231F20"/>
        </w:rPr>
        <w:t>file</w:t>
      </w:r>
      <w:r>
        <w:rPr>
          <w:color w:val="231F20"/>
          <w:spacing w:val="12"/>
        </w:rPr>
        <w:t> </w:t>
      </w:r>
      <w:r>
        <w:rPr>
          <w:color w:val="231F20"/>
        </w:rPr>
        <w:t>that</w:t>
      </w:r>
      <w:r>
        <w:rPr>
          <w:color w:val="231F20"/>
          <w:spacing w:val="13"/>
        </w:rPr>
        <w:t> </w:t>
      </w:r>
      <w:r>
        <w:rPr>
          <w:color w:val="231F20"/>
        </w:rPr>
        <w:t>was</w:t>
      </w:r>
      <w:r>
        <w:rPr>
          <w:color w:val="231F20"/>
          <w:spacing w:val="12"/>
        </w:rPr>
        <w:t> </w:t>
      </w:r>
      <w:r>
        <w:rPr>
          <w:color w:val="231F20"/>
        </w:rPr>
        <w:t>changed,</w:t>
      </w:r>
      <w:r>
        <w:rPr>
          <w:color w:val="231F20"/>
          <w:spacing w:val="12"/>
        </w:rPr>
        <w:t> </w:t>
      </w:r>
      <w:r>
        <w:rPr>
          <w:color w:val="231F20"/>
        </w:rPr>
        <w:t>up</w:t>
      </w:r>
      <w:r>
        <w:rPr>
          <w:color w:val="231F20"/>
          <w:spacing w:val="13"/>
        </w:rPr>
        <w:t> </w:t>
      </w:r>
      <w:r>
        <w:rPr>
          <w:color w:val="231F20"/>
        </w:rPr>
        <w:t>to</w:t>
      </w:r>
      <w:r>
        <w:rPr>
          <w:color w:val="231F20"/>
          <w:spacing w:val="12"/>
        </w:rPr>
        <w:t> </w:t>
      </w:r>
      <w:r>
        <w:rPr>
          <w:color w:val="231F20"/>
        </w:rPr>
        <w:t>96</w:t>
      </w:r>
      <w:r>
        <w:rPr>
          <w:color w:val="231F20"/>
          <w:spacing w:val="12"/>
        </w:rPr>
        <w:t> </w:t>
      </w:r>
      <w:r>
        <w:rPr>
          <w:color w:val="231F20"/>
          <w:spacing w:val="-2"/>
        </w:rPr>
        <w:t>characters.</w:t>
      </w:r>
    </w:p>
    <w:p>
      <w:pPr>
        <w:pStyle w:val="BodyText"/>
        <w:spacing w:before="209"/>
        <w:ind w:left="2232"/>
      </w:pPr>
      <w:r>
        <w:rPr>
          <w:rFonts w:ascii="Book Antiqua"/>
          <w:b/>
          <w:color w:val="231F20"/>
        </w:rPr>
        <w:t>Server</w:t>
      </w:r>
      <w:r>
        <w:rPr>
          <w:rFonts w:ascii="Book Antiqua"/>
          <w:b/>
          <w:color w:val="231F20"/>
          <w:spacing w:val="10"/>
        </w:rPr>
        <w:t> </w:t>
      </w:r>
      <w:r>
        <w:rPr>
          <w:rFonts w:ascii="Book Antiqua"/>
          <w:b/>
          <w:color w:val="231F20"/>
        </w:rPr>
        <w:t>Name</w:t>
      </w:r>
      <w:r>
        <w:rPr>
          <w:rFonts w:ascii="Book Antiqua"/>
          <w:b/>
          <w:color w:val="231F20"/>
          <w:spacing w:val="11"/>
        </w:rPr>
        <w:t> </w:t>
      </w:r>
      <w:r>
        <w:rPr>
          <w:color w:val="231F20"/>
        </w:rPr>
        <w:t>The</w:t>
      </w:r>
      <w:r>
        <w:rPr>
          <w:color w:val="231F20"/>
          <w:spacing w:val="11"/>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0"/>
        </w:rPr>
        <w:t> </w:t>
      </w:r>
      <w:r>
        <w:rPr>
          <w:color w:val="231F20"/>
        </w:rPr>
        <w:t>monitoring</w:t>
      </w:r>
      <w:r>
        <w:rPr>
          <w:color w:val="231F20"/>
          <w:spacing w:val="11"/>
        </w:rPr>
        <w:t> </w:t>
      </w:r>
      <w:r>
        <w:rPr>
          <w:color w:val="231F20"/>
        </w:rPr>
        <w:t>server</w:t>
      </w:r>
      <w:r>
        <w:rPr>
          <w:color w:val="231F20"/>
          <w:spacing w:val="11"/>
        </w:rPr>
        <w:t> </w:t>
      </w:r>
      <w:r>
        <w:rPr>
          <w:color w:val="231F20"/>
        </w:rPr>
        <w:t>where</w:t>
      </w:r>
      <w:r>
        <w:rPr>
          <w:color w:val="231F20"/>
          <w:spacing w:val="11"/>
        </w:rPr>
        <w:t> </w:t>
      </w:r>
      <w:r>
        <w:rPr>
          <w:color w:val="231F20"/>
        </w:rPr>
        <w:t>the</w:t>
      </w:r>
      <w:r>
        <w:rPr>
          <w:color w:val="231F20"/>
          <w:spacing w:val="11"/>
        </w:rPr>
        <w:t> </w:t>
      </w:r>
      <w:r>
        <w:rPr>
          <w:color w:val="231F20"/>
        </w:rPr>
        <w:t>change</w:t>
      </w:r>
      <w:r>
        <w:rPr>
          <w:color w:val="231F20"/>
          <w:spacing w:val="11"/>
        </w:rPr>
        <w:t> </w:t>
      </w:r>
      <w:r>
        <w:rPr>
          <w:color w:val="231F20"/>
        </w:rPr>
        <w:t>took</w:t>
      </w:r>
      <w:r>
        <w:rPr>
          <w:color w:val="231F20"/>
          <w:spacing w:val="10"/>
        </w:rPr>
        <w:t> </w:t>
      </w:r>
      <w:r>
        <w:rPr>
          <w:color w:val="231F20"/>
          <w:spacing w:val="-2"/>
        </w:rPr>
        <w:t>place.</w:t>
      </w:r>
    </w:p>
    <w:p>
      <w:pPr>
        <w:pStyle w:val="BodyText"/>
        <w:spacing w:line="213" w:lineRule="auto" w:before="233"/>
        <w:ind w:left="2232" w:right="545"/>
      </w:pPr>
      <w:r>
        <w:rPr>
          <w:rFonts w:ascii="Book Antiqua"/>
          <w:b/>
          <w:color w:val="231F20"/>
        </w:rPr>
        <w:t>Table Name </w:t>
      </w:r>
      <w:r>
        <w:rPr>
          <w:color w:val="231F20"/>
        </w:rPr>
        <w:t>The name of the database table on the monitoring server where the change was generated. The enumerated values are the class IDs for the objects.</w:t>
      </w:r>
    </w:p>
    <w:p>
      <w:pPr>
        <w:spacing w:after="0" w:line="213" w:lineRule="auto"/>
        <w:sectPr>
          <w:pgSz w:w="12240" w:h="15840"/>
          <w:pgMar w:header="0" w:footer="736" w:top="1220" w:bottom="920" w:left="1000" w:right="1060"/>
        </w:sect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713" w:hRule="atLeast"/>
        </w:trPr>
        <w:tc>
          <w:tcPr>
            <w:tcW w:w="2506" w:type="dxa"/>
          </w:tcPr>
          <w:p>
            <w:pPr>
              <w:pStyle w:val="TableParagraph"/>
              <w:spacing w:line="233" w:lineRule="exact" w:before="0"/>
              <w:ind w:left="44"/>
              <w:rPr>
                <w:sz w:val="18"/>
              </w:rPr>
            </w:pPr>
            <w:r>
              <w:rPr>
                <w:color w:val="231F20"/>
                <w:spacing w:val="-4"/>
                <w:sz w:val="18"/>
              </w:rPr>
              <w:t>5535</w:t>
            </w:r>
          </w:p>
        </w:tc>
        <w:tc>
          <w:tcPr>
            <w:tcW w:w="2521" w:type="dxa"/>
          </w:tcPr>
          <w:p>
            <w:pPr>
              <w:pStyle w:val="TableParagraph"/>
              <w:spacing w:line="233" w:lineRule="exact" w:before="0"/>
              <w:ind w:left="60"/>
              <w:rPr>
                <w:sz w:val="18"/>
              </w:rPr>
            </w:pPr>
            <w:r>
              <w:rPr>
                <w:color w:val="231F20"/>
                <w:spacing w:val="-2"/>
                <w:sz w:val="18"/>
              </w:rPr>
              <w:t>IDDefAccessList</w:t>
            </w:r>
          </w:p>
        </w:tc>
        <w:tc>
          <w:tcPr>
            <w:tcW w:w="2506" w:type="dxa"/>
          </w:tcPr>
          <w:p>
            <w:pPr>
              <w:pStyle w:val="TableParagraph"/>
              <w:spacing w:line="216" w:lineRule="auto" w:before="9"/>
              <w:ind w:left="60" w:hanging="1"/>
              <w:rPr>
                <w:sz w:val="18"/>
              </w:rPr>
            </w:pPr>
            <w:r>
              <w:rPr>
                <w:color w:val="231F20"/>
                <w:sz w:val="18"/>
              </w:rPr>
              <w:t>The distribution list for </w:t>
            </w:r>
            <w:r>
              <w:rPr>
                <w:color w:val="231F20"/>
                <w:sz w:val="18"/>
              </w:rPr>
              <w:t>the policy or situation has </w:t>
            </w:r>
            <w:r>
              <w:rPr>
                <w:color w:val="231F20"/>
                <w:spacing w:val="-2"/>
                <w:sz w:val="18"/>
              </w:rPr>
              <w:t>changed.</w:t>
            </w:r>
          </w:p>
        </w:tc>
      </w:tr>
      <w:tr>
        <w:trPr>
          <w:trHeight w:val="309" w:hRule="atLeast"/>
        </w:trPr>
        <w:tc>
          <w:tcPr>
            <w:tcW w:w="2506" w:type="dxa"/>
          </w:tcPr>
          <w:p>
            <w:pPr>
              <w:pStyle w:val="TableParagraph"/>
              <w:ind w:left="44"/>
              <w:rPr>
                <w:sz w:val="18"/>
              </w:rPr>
            </w:pPr>
            <w:r>
              <w:rPr>
                <w:color w:val="231F20"/>
                <w:spacing w:val="-4"/>
                <w:sz w:val="18"/>
              </w:rPr>
              <w:t>5529</w:t>
            </w:r>
          </w:p>
        </w:tc>
        <w:tc>
          <w:tcPr>
            <w:tcW w:w="2521" w:type="dxa"/>
          </w:tcPr>
          <w:p>
            <w:pPr>
              <w:pStyle w:val="TableParagraph"/>
              <w:ind w:left="60"/>
              <w:rPr>
                <w:sz w:val="18"/>
              </w:rPr>
            </w:pPr>
            <w:r>
              <w:rPr>
                <w:color w:val="231F20"/>
                <w:spacing w:val="-2"/>
                <w:sz w:val="18"/>
              </w:rPr>
              <w:t>IDDefNodeList</w:t>
            </w:r>
          </w:p>
        </w:tc>
        <w:tc>
          <w:tcPr>
            <w:tcW w:w="2506" w:type="dxa"/>
          </w:tcPr>
          <w:p>
            <w:pPr>
              <w:pStyle w:val="TableParagraph"/>
              <w:ind w:left="60"/>
              <w:rPr>
                <w:sz w:val="18"/>
              </w:rPr>
            </w:pPr>
            <w:r>
              <w:rPr>
                <w:color w:val="231F20"/>
                <w:sz w:val="18"/>
              </w:rPr>
              <w:t>Managed</w:t>
            </w:r>
            <w:r>
              <w:rPr>
                <w:color w:val="231F20"/>
                <w:spacing w:val="7"/>
                <w:sz w:val="18"/>
              </w:rPr>
              <w:t> </w:t>
            </w:r>
            <w:r>
              <w:rPr>
                <w:color w:val="231F20"/>
                <w:sz w:val="18"/>
              </w:rPr>
              <w:t>system</w:t>
            </w:r>
            <w:r>
              <w:rPr>
                <w:color w:val="231F20"/>
                <w:spacing w:val="7"/>
                <w:sz w:val="18"/>
              </w:rPr>
              <w:t> </w:t>
            </w:r>
            <w:r>
              <w:rPr>
                <w:color w:val="231F20"/>
                <w:spacing w:val="-2"/>
                <w:sz w:val="18"/>
              </w:rPr>
              <w:t>group.</w:t>
            </w:r>
          </w:p>
        </w:tc>
      </w:tr>
      <w:tr>
        <w:trPr>
          <w:trHeight w:val="309" w:hRule="atLeast"/>
        </w:trPr>
        <w:tc>
          <w:tcPr>
            <w:tcW w:w="2506" w:type="dxa"/>
          </w:tcPr>
          <w:p>
            <w:pPr>
              <w:pStyle w:val="TableParagraph"/>
              <w:ind w:left="44"/>
              <w:rPr>
                <w:sz w:val="18"/>
              </w:rPr>
            </w:pPr>
            <w:r>
              <w:rPr>
                <w:color w:val="231F20"/>
                <w:spacing w:val="-4"/>
                <w:sz w:val="18"/>
              </w:rPr>
              <w:t>5130</w:t>
            </w:r>
          </w:p>
        </w:tc>
        <w:tc>
          <w:tcPr>
            <w:tcW w:w="2521" w:type="dxa"/>
          </w:tcPr>
          <w:p>
            <w:pPr>
              <w:pStyle w:val="TableParagraph"/>
              <w:ind w:left="60"/>
              <w:rPr>
                <w:sz w:val="18"/>
              </w:rPr>
            </w:pPr>
            <w:r>
              <w:rPr>
                <w:color w:val="231F20"/>
                <w:spacing w:val="-2"/>
                <w:sz w:val="18"/>
              </w:rPr>
              <w:t>IDDefPolicy</w:t>
            </w:r>
          </w:p>
        </w:tc>
        <w:tc>
          <w:tcPr>
            <w:tcW w:w="2506" w:type="dxa"/>
          </w:tcPr>
          <w:p>
            <w:pPr>
              <w:pStyle w:val="TableParagraph"/>
              <w:ind w:left="60"/>
              <w:rPr>
                <w:sz w:val="18"/>
              </w:rPr>
            </w:pPr>
            <w:r>
              <w:rPr>
                <w:color w:val="231F20"/>
                <w:sz w:val="18"/>
              </w:rPr>
              <w:t>The</w:t>
            </w:r>
            <w:r>
              <w:rPr>
                <w:color w:val="231F20"/>
                <w:spacing w:val="10"/>
                <w:sz w:val="18"/>
              </w:rPr>
              <w:t> </w:t>
            </w:r>
            <w:r>
              <w:rPr>
                <w:color w:val="231F20"/>
                <w:sz w:val="18"/>
              </w:rPr>
              <w:t>policy</w:t>
            </w:r>
            <w:r>
              <w:rPr>
                <w:color w:val="231F20"/>
                <w:spacing w:val="10"/>
                <w:sz w:val="18"/>
              </w:rPr>
              <w:t> </w:t>
            </w:r>
            <w:r>
              <w:rPr>
                <w:color w:val="231F20"/>
                <w:spacing w:val="-2"/>
                <w:sz w:val="18"/>
              </w:rPr>
              <w:t>definition.</w:t>
            </w:r>
          </w:p>
        </w:tc>
      </w:tr>
      <w:tr>
        <w:trPr>
          <w:trHeight w:val="309" w:hRule="atLeast"/>
        </w:trPr>
        <w:tc>
          <w:tcPr>
            <w:tcW w:w="2506" w:type="dxa"/>
          </w:tcPr>
          <w:p>
            <w:pPr>
              <w:pStyle w:val="TableParagraph"/>
              <w:ind w:left="44"/>
              <w:rPr>
                <w:sz w:val="18"/>
              </w:rPr>
            </w:pPr>
            <w:r>
              <w:rPr>
                <w:color w:val="231F20"/>
                <w:spacing w:val="-4"/>
                <w:sz w:val="18"/>
              </w:rPr>
              <w:t>5535</w:t>
            </w:r>
          </w:p>
        </w:tc>
        <w:tc>
          <w:tcPr>
            <w:tcW w:w="2521" w:type="dxa"/>
          </w:tcPr>
          <w:p>
            <w:pPr>
              <w:pStyle w:val="TableParagraph"/>
              <w:ind w:left="60"/>
              <w:rPr>
                <w:sz w:val="18"/>
              </w:rPr>
            </w:pPr>
            <w:r>
              <w:rPr>
                <w:color w:val="231F20"/>
                <w:spacing w:val="-2"/>
                <w:sz w:val="18"/>
              </w:rPr>
              <w:t>IDDefSituation</w:t>
            </w:r>
          </w:p>
        </w:tc>
        <w:tc>
          <w:tcPr>
            <w:tcW w:w="2506" w:type="dxa"/>
          </w:tcPr>
          <w:p>
            <w:pPr>
              <w:pStyle w:val="TableParagraph"/>
              <w:ind w:left="60"/>
              <w:rPr>
                <w:sz w:val="18"/>
              </w:rPr>
            </w:pPr>
            <w:r>
              <w:rPr>
                <w:color w:val="231F20"/>
                <w:sz w:val="18"/>
              </w:rPr>
              <w:t>The</w:t>
            </w:r>
            <w:r>
              <w:rPr>
                <w:color w:val="231F20"/>
                <w:spacing w:val="9"/>
                <w:sz w:val="18"/>
              </w:rPr>
              <w:t> </w:t>
            </w:r>
            <w:r>
              <w:rPr>
                <w:color w:val="231F20"/>
                <w:sz w:val="18"/>
              </w:rPr>
              <w:t>situation</w:t>
            </w:r>
            <w:r>
              <w:rPr>
                <w:color w:val="231F20"/>
                <w:spacing w:val="8"/>
                <w:sz w:val="18"/>
              </w:rPr>
              <w:t> </w:t>
            </w:r>
            <w:r>
              <w:rPr>
                <w:color w:val="231F20"/>
                <w:spacing w:val="-2"/>
                <w:sz w:val="18"/>
              </w:rPr>
              <w:t>definition.</w:t>
            </w:r>
          </w:p>
        </w:tc>
      </w:tr>
      <w:tr>
        <w:trPr>
          <w:trHeight w:val="533" w:hRule="atLeast"/>
        </w:trPr>
        <w:tc>
          <w:tcPr>
            <w:tcW w:w="2506" w:type="dxa"/>
          </w:tcPr>
          <w:p>
            <w:pPr>
              <w:pStyle w:val="TableParagraph"/>
              <w:ind w:left="44"/>
              <w:rPr>
                <w:sz w:val="18"/>
              </w:rPr>
            </w:pPr>
            <w:r>
              <w:rPr>
                <w:color w:val="231F20"/>
                <w:spacing w:val="-4"/>
                <w:sz w:val="18"/>
              </w:rPr>
              <w:t>5625</w:t>
            </w:r>
          </w:p>
        </w:tc>
        <w:tc>
          <w:tcPr>
            <w:tcW w:w="2521" w:type="dxa"/>
          </w:tcPr>
          <w:p>
            <w:pPr>
              <w:pStyle w:val="TableParagraph"/>
              <w:ind w:left="60"/>
              <w:rPr>
                <w:sz w:val="18"/>
              </w:rPr>
            </w:pPr>
            <w:r>
              <w:rPr>
                <w:color w:val="231F20"/>
                <w:spacing w:val="-2"/>
                <w:sz w:val="18"/>
              </w:rPr>
              <w:t>IDRestartCommand</w:t>
            </w:r>
          </w:p>
        </w:tc>
        <w:tc>
          <w:tcPr>
            <w:tcW w:w="2506" w:type="dxa"/>
          </w:tcPr>
          <w:p>
            <w:pPr>
              <w:pStyle w:val="TableParagraph"/>
              <w:spacing w:line="216" w:lineRule="auto" w:before="44"/>
              <w:ind w:left="60" w:hanging="1"/>
              <w:rPr>
                <w:sz w:val="18"/>
              </w:rPr>
            </w:pPr>
            <w:r>
              <w:rPr>
                <w:color w:val="231F20"/>
                <w:sz w:val="18"/>
              </w:rPr>
              <w:t>The situation has </w:t>
            </w:r>
            <w:r>
              <w:rPr>
                <w:color w:val="231F20"/>
                <w:sz w:val="18"/>
              </w:rPr>
              <w:t>been </w:t>
            </w:r>
            <w:r>
              <w:rPr>
                <w:color w:val="231F20"/>
                <w:spacing w:val="-2"/>
                <w:sz w:val="18"/>
              </w:rPr>
              <w:t>restarted.</w:t>
            </w:r>
          </w:p>
        </w:tc>
      </w:tr>
    </w:tbl>
    <w:p>
      <w:pPr>
        <w:pStyle w:val="BodyText"/>
        <w:spacing w:before="139"/>
      </w:pPr>
      <w:r>
        <w:rPr/>
        <mc:AlternateContent>
          <mc:Choice Requires="wps">
            <w:drawing>
              <wp:anchor distT="0" distB="0" distL="0" distR="0" allowOverlap="1" layoutInCell="1" locked="0" behindDoc="1" simplePos="0" relativeHeight="487754752">
                <wp:simplePos x="0" y="0"/>
                <wp:positionH relativeFrom="page">
                  <wp:posOffset>912380</wp:posOffset>
                </wp:positionH>
                <wp:positionV relativeFrom="paragraph">
                  <wp:posOffset>274954</wp:posOffset>
                </wp:positionV>
                <wp:extent cx="6082665" cy="1270"/>
                <wp:effectExtent l="0" t="0" r="0" b="0"/>
                <wp:wrapTopAndBottom/>
                <wp:docPr id="3396" name="Graphic 3396"/>
                <wp:cNvGraphicFramePr>
                  <a:graphicFrameLocks/>
                </wp:cNvGraphicFramePr>
                <a:graphic>
                  <a:graphicData uri="http://schemas.microsoft.com/office/word/2010/wordprocessingShape">
                    <wps:wsp>
                      <wps:cNvPr id="3396" name="Graphic 3396"/>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21.65pt;width:478.95pt;height:.1pt;mso-position-horizontal-relative:page;mso-position-vertical-relative:paragraph;z-index:-15561728;mso-wrap-distance-left:0;mso-wrap-distance-right:0" id="docshape294" coordorigin="1437,433" coordsize="9579,0" path="m1437,433l11016,433e" filled="false" stroked="true" strokeweight=".499pt" strokecolor="#231f20">
                <v:path arrowok="t"/>
                <v:stroke dashstyle="solid"/>
                <w10:wrap type="topAndBottom"/>
              </v:shape>
            </w:pict>
          </mc:Fallback>
        </mc:AlternateContent>
      </w:r>
    </w:p>
    <w:p>
      <w:pPr>
        <w:pStyle w:val="Heading3"/>
      </w:pPr>
      <w:bookmarkStart w:name="_bookmark341" w:id="714"/>
      <w:bookmarkEnd w:id="714"/>
      <w:r>
        <w:rPr>
          <w:b w:val="0"/>
        </w:rPr>
      </w:r>
      <w:bookmarkStart w:name="ITM Audit attributes" w:id="715"/>
      <w:bookmarkEnd w:id="715"/>
      <w:r>
        <w:rPr>
          <w:b w:val="0"/>
        </w:rPr>
      </w:r>
      <w:r>
        <w:rPr>
          <w:color w:val="231F20"/>
        </w:rPr>
        <w:t>ITM</w:t>
      </w:r>
      <w:r>
        <w:rPr>
          <w:color w:val="231F20"/>
          <w:spacing w:val="-2"/>
        </w:rPr>
        <w:t> </w:t>
      </w:r>
      <w:r>
        <w:rPr>
          <w:color w:val="231F20"/>
        </w:rPr>
        <w:t>Audit</w:t>
      </w:r>
      <w:r>
        <w:rPr>
          <w:color w:val="231F20"/>
          <w:spacing w:val="9"/>
        </w:rPr>
        <w:t> </w:t>
      </w:r>
      <w:r>
        <w:rPr>
          <w:color w:val="231F20"/>
          <w:spacing w:val="-2"/>
        </w:rPr>
        <w:t>attributes</w:t>
      </w:r>
    </w:p>
    <w:p>
      <w:pPr>
        <w:pStyle w:val="BodyText"/>
        <w:spacing w:line="213" w:lineRule="auto" w:before="138"/>
        <w:ind w:left="2472" w:right="274"/>
      </w:pPr>
      <w:r>
        <w:rPr>
          <w:color w:val="231F20"/>
        </w:rPr>
        <w:t>The ITM Audit attributes give information on critical state-changing events in the monitoring environment. This attribute group includes information such as </w:t>
      </w:r>
      <w:r>
        <w:rPr>
          <w:color w:val="231F20"/>
        </w:rPr>
        <w:t>which user, application, or process initiated the event; what type of action the event represents; when did the event happen; what database, application, or permission was manipulated; on which computer did this event happen; which system is the source of the event; and which system is the target of the event. You can create Enterprise level queries and situations with this attribute group.</w:t>
      </w:r>
    </w:p>
    <w:p>
      <w:pPr>
        <w:pStyle w:val="BodyText"/>
        <w:spacing w:line="213" w:lineRule="auto" w:before="235"/>
        <w:ind w:left="2472" w:right="258"/>
      </w:pPr>
      <w:r>
        <w:rPr>
          <w:rFonts w:ascii="Book Antiqua"/>
          <w:b/>
          <w:color w:val="231F20"/>
        </w:rPr>
        <w:t>Note:</w:t>
      </w:r>
      <w:r>
        <w:rPr>
          <w:rFonts w:ascii="Book Antiqua"/>
          <w:b/>
          <w:color w:val="231F20"/>
          <w:spacing w:val="40"/>
        </w:rPr>
        <w:t> </w:t>
      </w:r>
      <w:r>
        <w:rPr>
          <w:color w:val="231F20"/>
        </w:rPr>
        <w:t>Some attributes might return blank data because they are reserved for </w:t>
      </w:r>
      <w:r>
        <w:rPr>
          <w:color w:val="231F20"/>
        </w:rPr>
        <w:t>future </w:t>
      </w:r>
      <w:r>
        <w:rPr>
          <w:color w:val="231F20"/>
          <w:spacing w:val="-4"/>
        </w:rPr>
        <w:t>use.</w:t>
      </w:r>
    </w:p>
    <w:p>
      <w:pPr>
        <w:pStyle w:val="BodyText"/>
        <w:spacing w:line="213" w:lineRule="auto" w:before="238"/>
        <w:ind w:left="2472" w:right="545"/>
      </w:pPr>
      <w:r>
        <w:rPr>
          <w:color w:val="231F20"/>
        </w:rPr>
        <w:t>Situations created using this attribute group are displayed under All Managed Systems, </w:t>
      </w:r>
      <w:r>
        <w:rPr>
          <w:rFonts w:ascii="Book Antiqua"/>
          <w:i/>
          <w:color w:val="231F20"/>
        </w:rPr>
        <w:t>not </w:t>
      </w:r>
      <w:r>
        <w:rPr>
          <w:color w:val="231F20"/>
        </w:rPr>
        <w:t>under the node that you created the situation from. Pure events are generated for situations created with this attribute group.</w:t>
      </w:r>
    </w:p>
    <w:p>
      <w:pPr>
        <w:spacing w:before="215"/>
        <w:ind w:left="2472" w:right="0" w:firstLine="0"/>
        <w:jc w:val="left"/>
        <w:rPr>
          <w:sz w:val="20"/>
        </w:rPr>
      </w:pPr>
      <w:r>
        <w:rPr>
          <w:rFonts w:ascii="Book Antiqua"/>
          <w:b/>
          <w:color w:val="231F20"/>
          <w:sz w:val="20"/>
        </w:rPr>
        <w:t>Application</w:t>
      </w:r>
      <w:r>
        <w:rPr>
          <w:rFonts w:ascii="Book Antiqua"/>
          <w:b/>
          <w:color w:val="231F20"/>
          <w:spacing w:val="9"/>
          <w:sz w:val="20"/>
        </w:rPr>
        <w:t> </w:t>
      </w:r>
      <w:r>
        <w:rPr>
          <w:rFonts w:ascii="Book Antiqua"/>
          <w:b/>
          <w:color w:val="231F20"/>
          <w:sz w:val="20"/>
        </w:rPr>
        <w:t>Code</w:t>
      </w:r>
      <w:r>
        <w:rPr>
          <w:rFonts w:ascii="Book Antiqua"/>
          <w:b/>
          <w:color w:val="231F20"/>
          <w:spacing w:val="10"/>
          <w:sz w:val="20"/>
        </w:rPr>
        <w:t> </w:t>
      </w:r>
      <w:r>
        <w:rPr>
          <w:color w:val="231F20"/>
          <w:sz w:val="20"/>
        </w:rPr>
        <w:t>The</w:t>
      </w:r>
      <w:r>
        <w:rPr>
          <w:color w:val="231F20"/>
          <w:spacing w:val="10"/>
          <w:sz w:val="20"/>
        </w:rPr>
        <w:t> </w:t>
      </w:r>
      <w:r>
        <w:rPr>
          <w:color w:val="231F20"/>
          <w:sz w:val="20"/>
        </w:rPr>
        <w:t>product</w:t>
      </w:r>
      <w:r>
        <w:rPr>
          <w:color w:val="231F20"/>
          <w:spacing w:val="9"/>
          <w:sz w:val="20"/>
        </w:rPr>
        <w:t> </w:t>
      </w:r>
      <w:r>
        <w:rPr>
          <w:color w:val="231F20"/>
          <w:sz w:val="20"/>
        </w:rPr>
        <w:t>code</w:t>
      </w:r>
      <w:r>
        <w:rPr>
          <w:color w:val="231F20"/>
          <w:spacing w:val="10"/>
          <w:sz w:val="20"/>
        </w:rPr>
        <w:t> </w:t>
      </w:r>
      <w:r>
        <w:rPr>
          <w:color w:val="231F20"/>
          <w:sz w:val="20"/>
        </w:rPr>
        <w:t>for</w:t>
      </w:r>
      <w:r>
        <w:rPr>
          <w:color w:val="231F20"/>
          <w:spacing w:val="10"/>
          <w:sz w:val="20"/>
        </w:rPr>
        <w:t> </w:t>
      </w:r>
      <w:r>
        <w:rPr>
          <w:color w:val="231F20"/>
          <w:sz w:val="20"/>
        </w:rPr>
        <w:t>the</w:t>
      </w:r>
      <w:r>
        <w:rPr>
          <w:color w:val="231F20"/>
          <w:spacing w:val="9"/>
          <w:sz w:val="20"/>
        </w:rPr>
        <w:t> </w:t>
      </w:r>
      <w:r>
        <w:rPr>
          <w:color w:val="231F20"/>
          <w:sz w:val="20"/>
        </w:rPr>
        <w:t>application.</w:t>
      </w:r>
      <w:r>
        <w:rPr>
          <w:color w:val="231F20"/>
          <w:spacing w:val="10"/>
          <w:sz w:val="20"/>
        </w:rPr>
        <w:t> </w:t>
      </w:r>
      <w:r>
        <w:rPr>
          <w:color w:val="231F20"/>
          <w:sz w:val="20"/>
        </w:rPr>
        <w:t>Character</w:t>
      </w:r>
      <w:r>
        <w:rPr>
          <w:color w:val="231F20"/>
          <w:spacing w:val="10"/>
          <w:sz w:val="20"/>
        </w:rPr>
        <w:t> </w:t>
      </w:r>
      <w:r>
        <w:rPr>
          <w:color w:val="231F20"/>
          <w:sz w:val="20"/>
        </w:rPr>
        <w:t>limit:</w:t>
      </w:r>
      <w:r>
        <w:rPr>
          <w:color w:val="231F20"/>
          <w:spacing w:val="9"/>
          <w:sz w:val="20"/>
        </w:rPr>
        <w:t> </w:t>
      </w:r>
      <w:r>
        <w:rPr>
          <w:color w:val="231F20"/>
          <w:spacing w:val="-5"/>
          <w:sz w:val="20"/>
        </w:rPr>
        <w:t>16.</w:t>
      </w:r>
    </w:p>
    <w:p>
      <w:pPr>
        <w:pStyle w:val="BodyText"/>
        <w:spacing w:line="213" w:lineRule="auto" w:before="232"/>
        <w:ind w:left="2472" w:right="258"/>
      </w:pPr>
      <w:r>
        <w:rPr>
          <w:rFonts w:ascii="Book Antiqua"/>
          <w:b/>
          <w:color w:val="231F20"/>
        </w:rPr>
        <w:t>Application Component </w:t>
      </w:r>
      <w:r>
        <w:rPr>
          <w:color w:val="231F20"/>
        </w:rPr>
        <w:t>The specific component within the product that </w:t>
      </w:r>
      <w:r>
        <w:rPr>
          <w:color w:val="231F20"/>
        </w:rPr>
        <w:t>generated the event. Character limit: 16.</w:t>
      </w:r>
    </w:p>
    <w:p>
      <w:pPr>
        <w:spacing w:before="215"/>
        <w:ind w:left="2472" w:right="0" w:firstLine="0"/>
        <w:jc w:val="left"/>
        <w:rPr>
          <w:sz w:val="20"/>
        </w:rPr>
      </w:pPr>
      <w:r>
        <w:rPr>
          <w:rFonts w:ascii="Book Antiqua"/>
          <w:b/>
          <w:color w:val="231F20"/>
          <w:sz w:val="20"/>
        </w:rPr>
        <w:t>Application</w:t>
      </w:r>
      <w:r>
        <w:rPr>
          <w:rFonts w:ascii="Book Antiqua"/>
          <w:b/>
          <w:color w:val="231F20"/>
          <w:spacing w:val="7"/>
          <w:sz w:val="20"/>
        </w:rPr>
        <w:t> </w:t>
      </w:r>
      <w:r>
        <w:rPr>
          <w:rFonts w:ascii="Book Antiqua"/>
          <w:b/>
          <w:color w:val="231F20"/>
          <w:sz w:val="20"/>
        </w:rPr>
        <w:t>Version</w:t>
      </w:r>
      <w:r>
        <w:rPr>
          <w:rFonts w:ascii="Book Antiqua"/>
          <w:b/>
          <w:color w:val="231F20"/>
          <w:spacing w:val="7"/>
          <w:sz w:val="20"/>
        </w:rPr>
        <w:t> </w:t>
      </w:r>
      <w:r>
        <w:rPr>
          <w:color w:val="231F20"/>
          <w:sz w:val="20"/>
        </w:rPr>
        <w:t>The</w:t>
      </w:r>
      <w:r>
        <w:rPr>
          <w:color w:val="231F20"/>
          <w:spacing w:val="7"/>
          <w:sz w:val="20"/>
        </w:rPr>
        <w:t> </w:t>
      </w:r>
      <w:r>
        <w:rPr>
          <w:color w:val="231F20"/>
          <w:sz w:val="20"/>
        </w:rPr>
        <w:t>version</w:t>
      </w:r>
      <w:r>
        <w:rPr>
          <w:color w:val="231F20"/>
          <w:spacing w:val="7"/>
          <w:sz w:val="20"/>
        </w:rPr>
        <w:t> </w:t>
      </w:r>
      <w:r>
        <w:rPr>
          <w:color w:val="231F20"/>
          <w:sz w:val="20"/>
        </w:rPr>
        <w:t>of</w:t>
      </w:r>
      <w:r>
        <w:rPr>
          <w:color w:val="231F20"/>
          <w:spacing w:val="7"/>
          <w:sz w:val="20"/>
        </w:rPr>
        <w:t> </w:t>
      </w:r>
      <w:r>
        <w:rPr>
          <w:color w:val="231F20"/>
          <w:sz w:val="20"/>
        </w:rPr>
        <w:t>the</w:t>
      </w:r>
      <w:r>
        <w:rPr>
          <w:color w:val="231F20"/>
          <w:spacing w:val="8"/>
          <w:sz w:val="20"/>
        </w:rPr>
        <w:t> </w:t>
      </w:r>
      <w:r>
        <w:rPr>
          <w:color w:val="231F20"/>
          <w:sz w:val="20"/>
        </w:rPr>
        <w:t>application.</w:t>
      </w:r>
      <w:r>
        <w:rPr>
          <w:color w:val="231F20"/>
          <w:spacing w:val="7"/>
          <w:sz w:val="20"/>
        </w:rPr>
        <w:t> </w:t>
      </w:r>
      <w:r>
        <w:rPr>
          <w:color w:val="231F20"/>
          <w:sz w:val="20"/>
        </w:rPr>
        <w:t>Character</w:t>
      </w:r>
      <w:r>
        <w:rPr>
          <w:color w:val="231F20"/>
          <w:spacing w:val="7"/>
          <w:sz w:val="20"/>
        </w:rPr>
        <w:t> </w:t>
      </w:r>
      <w:r>
        <w:rPr>
          <w:color w:val="231F20"/>
          <w:sz w:val="20"/>
        </w:rPr>
        <w:t>limit:</w:t>
      </w:r>
      <w:r>
        <w:rPr>
          <w:color w:val="231F20"/>
          <w:spacing w:val="7"/>
          <w:sz w:val="20"/>
        </w:rPr>
        <w:t> </w:t>
      </w:r>
      <w:r>
        <w:rPr>
          <w:color w:val="231F20"/>
          <w:spacing w:val="-5"/>
          <w:sz w:val="20"/>
        </w:rPr>
        <w:t>24.</w:t>
      </w:r>
    </w:p>
    <w:p>
      <w:pPr>
        <w:spacing w:line="213" w:lineRule="auto" w:before="232"/>
        <w:ind w:left="2472" w:right="493" w:firstLine="0"/>
        <w:jc w:val="left"/>
        <w:rPr>
          <w:sz w:val="20"/>
        </w:rPr>
      </w:pPr>
      <w:r>
        <w:rPr>
          <w:rFonts w:ascii="Book Antiqua"/>
          <w:b/>
          <w:color w:val="231F20"/>
          <w:sz w:val="20"/>
        </w:rPr>
        <w:t>Assumable Authorization ID </w:t>
      </w:r>
      <w:r>
        <w:rPr>
          <w:color w:val="231F20"/>
          <w:sz w:val="20"/>
        </w:rPr>
        <w:t>The authorization ID granted to the user or </w:t>
      </w:r>
      <w:r>
        <w:rPr>
          <w:color w:val="231F20"/>
          <w:sz w:val="20"/>
        </w:rPr>
        <w:t>entity. Character limit: 128.</w:t>
      </w:r>
    </w:p>
    <w:p>
      <w:pPr>
        <w:spacing w:before="215"/>
        <w:ind w:left="2472" w:right="0" w:firstLine="0"/>
        <w:jc w:val="left"/>
        <w:rPr>
          <w:sz w:val="20"/>
        </w:rPr>
      </w:pPr>
      <w:r>
        <w:rPr>
          <w:rFonts w:ascii="Book Antiqua"/>
          <w:b/>
          <w:color w:val="231F20"/>
          <w:sz w:val="20"/>
        </w:rPr>
        <w:t>Audit</w:t>
      </w:r>
      <w:r>
        <w:rPr>
          <w:rFonts w:ascii="Book Antiqua"/>
          <w:b/>
          <w:color w:val="231F20"/>
          <w:spacing w:val="8"/>
          <w:sz w:val="20"/>
        </w:rPr>
        <w:t> </w:t>
      </w:r>
      <w:r>
        <w:rPr>
          <w:rFonts w:ascii="Book Antiqua"/>
          <w:b/>
          <w:color w:val="231F20"/>
          <w:sz w:val="20"/>
        </w:rPr>
        <w:t>Record</w:t>
      </w:r>
      <w:r>
        <w:rPr>
          <w:rFonts w:ascii="Book Antiqua"/>
          <w:b/>
          <w:color w:val="231F20"/>
          <w:spacing w:val="8"/>
          <w:sz w:val="20"/>
        </w:rPr>
        <w:t> </w:t>
      </w:r>
      <w:r>
        <w:rPr>
          <w:rFonts w:ascii="Book Antiqua"/>
          <w:b/>
          <w:color w:val="231F20"/>
          <w:sz w:val="20"/>
        </w:rPr>
        <w:t>Version</w:t>
      </w:r>
      <w:r>
        <w:rPr>
          <w:rFonts w:ascii="Book Antiqua"/>
          <w:b/>
          <w:color w:val="231F20"/>
          <w:spacing w:val="8"/>
          <w:sz w:val="20"/>
        </w:rPr>
        <w:t> </w:t>
      </w:r>
      <w:r>
        <w:rPr>
          <w:color w:val="231F20"/>
          <w:sz w:val="20"/>
        </w:rPr>
        <w:t>The</w:t>
      </w:r>
      <w:r>
        <w:rPr>
          <w:color w:val="231F20"/>
          <w:spacing w:val="8"/>
          <w:sz w:val="20"/>
        </w:rPr>
        <w:t> </w:t>
      </w:r>
      <w:r>
        <w:rPr>
          <w:color w:val="231F20"/>
          <w:sz w:val="20"/>
        </w:rPr>
        <w:t>version</w:t>
      </w:r>
      <w:r>
        <w:rPr>
          <w:color w:val="231F20"/>
          <w:spacing w:val="9"/>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audit</w:t>
      </w:r>
      <w:r>
        <w:rPr>
          <w:color w:val="231F20"/>
          <w:spacing w:val="8"/>
          <w:sz w:val="20"/>
        </w:rPr>
        <w:t> </w:t>
      </w:r>
      <w:r>
        <w:rPr>
          <w:color w:val="231F20"/>
          <w:sz w:val="20"/>
        </w:rPr>
        <w:t>information.</w:t>
      </w:r>
      <w:r>
        <w:rPr>
          <w:color w:val="231F20"/>
          <w:spacing w:val="9"/>
          <w:sz w:val="20"/>
        </w:rPr>
        <w:t> </w:t>
      </w:r>
      <w:r>
        <w:rPr>
          <w:color w:val="231F20"/>
          <w:sz w:val="20"/>
        </w:rPr>
        <w:t>Character</w:t>
      </w:r>
      <w:r>
        <w:rPr>
          <w:color w:val="231F20"/>
          <w:spacing w:val="8"/>
          <w:sz w:val="20"/>
        </w:rPr>
        <w:t> </w:t>
      </w:r>
      <w:r>
        <w:rPr>
          <w:color w:val="231F20"/>
          <w:sz w:val="20"/>
        </w:rPr>
        <w:t>limit:</w:t>
      </w:r>
      <w:r>
        <w:rPr>
          <w:color w:val="231F20"/>
          <w:spacing w:val="8"/>
          <w:sz w:val="20"/>
        </w:rPr>
        <w:t> </w:t>
      </w:r>
      <w:r>
        <w:rPr>
          <w:color w:val="231F20"/>
          <w:spacing w:val="-5"/>
          <w:sz w:val="20"/>
        </w:rPr>
        <w:t>4.</w:t>
      </w:r>
    </w:p>
    <w:p>
      <w:pPr>
        <w:pStyle w:val="BodyText"/>
        <w:spacing w:line="213" w:lineRule="auto" w:before="232"/>
        <w:ind w:left="2472" w:right="545"/>
      </w:pPr>
      <w:r>
        <w:rPr>
          <w:rFonts w:ascii="Book Antiqua"/>
          <w:b/>
          <w:color w:val="231F20"/>
        </w:rPr>
        <w:t>Authorization ID </w:t>
      </w:r>
      <w:r>
        <w:rPr>
          <w:color w:val="231F20"/>
        </w:rPr>
        <w:t>The role, group, or user the User ID or Entity is </w:t>
      </w:r>
      <w:r>
        <w:rPr>
          <w:color w:val="231F20"/>
        </w:rPr>
        <w:t>authorized under. Character limit: 128.</w:t>
      </w:r>
    </w:p>
    <w:p>
      <w:pPr>
        <w:pStyle w:val="BodyText"/>
        <w:spacing w:line="213" w:lineRule="auto" w:before="238"/>
        <w:ind w:left="2472" w:right="274"/>
      </w:pPr>
      <w:r>
        <w:rPr>
          <w:rFonts w:ascii="Book Antiqua"/>
          <w:b/>
          <w:color w:val="231F20"/>
        </w:rPr>
        <w:t>Authorization Plugin Type </w:t>
      </w:r>
      <w:r>
        <w:rPr>
          <w:color w:val="231F20"/>
        </w:rPr>
        <w:t>The type of authorization plug-in in use at the time </w:t>
      </w:r>
      <w:r>
        <w:rPr>
          <w:color w:val="231F20"/>
        </w:rPr>
        <w:t>the audit event occurred. Reserved for future use. Character limit: 4.</w:t>
      </w:r>
    </w:p>
    <w:p>
      <w:pPr>
        <w:pStyle w:val="BodyText"/>
        <w:spacing w:before="9"/>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Not_Applicable</w:t>
            </w:r>
          </w:p>
        </w:tc>
      </w:tr>
      <w:tr>
        <w:trPr>
          <w:trHeight w:val="309" w:hRule="atLeast"/>
        </w:trPr>
        <w:tc>
          <w:tcPr>
            <w:tcW w:w="2583" w:type="dxa"/>
          </w:tcPr>
          <w:p>
            <w:pPr>
              <w:pStyle w:val="TableParagraph"/>
              <w:ind w:left="44"/>
              <w:rPr>
                <w:sz w:val="18"/>
              </w:rPr>
            </w:pPr>
            <w:r>
              <w:rPr>
                <w:color w:val="231F20"/>
                <w:spacing w:val="-10"/>
                <w:sz w:val="18"/>
              </w:rPr>
              <w:t>0</w:t>
            </w:r>
          </w:p>
        </w:tc>
        <w:tc>
          <w:tcPr>
            <w:tcW w:w="4950" w:type="dxa"/>
          </w:tcPr>
          <w:p>
            <w:pPr>
              <w:pStyle w:val="TableParagraph"/>
              <w:rPr>
                <w:sz w:val="18"/>
              </w:rPr>
            </w:pPr>
            <w:r>
              <w:rPr>
                <w:color w:val="231F20"/>
                <w:spacing w:val="-2"/>
                <w:sz w:val="18"/>
              </w:rPr>
              <w:t>LOCAL</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5"/>
                <w:sz w:val="18"/>
              </w:rPr>
              <w:t>SSO</w:t>
            </w:r>
          </w:p>
        </w:tc>
      </w:tr>
      <w:tr>
        <w:trPr>
          <w:trHeight w:val="309"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4"/>
                <w:sz w:val="18"/>
              </w:rPr>
              <w:t>LDAP</w:t>
            </w:r>
          </w:p>
        </w:tc>
      </w:tr>
      <w:tr>
        <w:trPr>
          <w:trHeight w:val="309"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pacing w:val="-4"/>
                <w:sz w:val="18"/>
              </w:rPr>
              <w:t>TSPM</w:t>
            </w:r>
          </w:p>
        </w:tc>
      </w:tr>
      <w:tr>
        <w:trPr>
          <w:trHeight w:val="314" w:hRule="atLeast"/>
        </w:trPr>
        <w:tc>
          <w:tcPr>
            <w:tcW w:w="2583" w:type="dxa"/>
          </w:tcPr>
          <w:p>
            <w:pPr>
              <w:pStyle w:val="TableParagraph"/>
              <w:ind w:left="44"/>
              <w:rPr>
                <w:sz w:val="18"/>
              </w:rPr>
            </w:pPr>
            <w:r>
              <w:rPr>
                <w:color w:val="231F20"/>
                <w:spacing w:val="-5"/>
                <w:sz w:val="18"/>
              </w:rPr>
              <w:t>16</w:t>
            </w:r>
          </w:p>
        </w:tc>
        <w:tc>
          <w:tcPr>
            <w:tcW w:w="4950" w:type="dxa"/>
          </w:tcPr>
          <w:p>
            <w:pPr>
              <w:pStyle w:val="TableParagraph"/>
              <w:rPr>
                <w:sz w:val="18"/>
              </w:rPr>
            </w:pPr>
            <w:r>
              <w:rPr>
                <w:color w:val="231F20"/>
                <w:spacing w:val="-4"/>
                <w:sz w:val="18"/>
              </w:rPr>
              <w:t>RBAC</w:t>
            </w:r>
          </w:p>
        </w:tc>
      </w:tr>
    </w:tbl>
    <w:p>
      <w:pPr>
        <w:spacing w:after="0"/>
        <w:rPr>
          <w:sz w:val="18"/>
        </w:rPr>
        <w:sectPr>
          <w:pgSz w:w="12240" w:h="15840"/>
          <w:pgMar w:header="0" w:footer="736" w:top="1300" w:bottom="1197"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5"/>
                <w:sz w:val="18"/>
              </w:rPr>
              <w:t>32</w:t>
            </w:r>
          </w:p>
        </w:tc>
        <w:tc>
          <w:tcPr>
            <w:tcW w:w="4950" w:type="dxa"/>
          </w:tcPr>
          <w:p>
            <w:pPr>
              <w:pStyle w:val="TableParagraph"/>
              <w:rPr>
                <w:sz w:val="18"/>
              </w:rPr>
            </w:pPr>
            <w:r>
              <w:rPr>
                <w:color w:val="231F20"/>
                <w:spacing w:val="-5"/>
                <w:sz w:val="18"/>
              </w:rPr>
              <w:t>DIS</w:t>
            </w:r>
          </w:p>
        </w:tc>
      </w:tr>
      <w:tr>
        <w:trPr>
          <w:trHeight w:val="309" w:hRule="atLeast"/>
        </w:trPr>
        <w:tc>
          <w:tcPr>
            <w:tcW w:w="2583" w:type="dxa"/>
          </w:tcPr>
          <w:p>
            <w:pPr>
              <w:pStyle w:val="TableParagraph"/>
              <w:ind w:left="44"/>
              <w:rPr>
                <w:sz w:val="18"/>
              </w:rPr>
            </w:pPr>
            <w:r>
              <w:rPr>
                <w:color w:val="231F20"/>
                <w:spacing w:val="-5"/>
                <w:sz w:val="18"/>
              </w:rPr>
              <w:t>128</w:t>
            </w:r>
          </w:p>
        </w:tc>
        <w:tc>
          <w:tcPr>
            <w:tcW w:w="4950" w:type="dxa"/>
          </w:tcPr>
          <w:p>
            <w:pPr>
              <w:pStyle w:val="TableParagraph"/>
              <w:rPr>
                <w:sz w:val="18"/>
              </w:rPr>
            </w:pPr>
            <w:r>
              <w:rPr>
                <w:color w:val="231F20"/>
                <w:spacing w:val="-5"/>
                <w:sz w:val="18"/>
              </w:rPr>
              <w:t>TIM</w:t>
            </w:r>
          </w:p>
        </w:tc>
      </w:tr>
      <w:tr>
        <w:trPr>
          <w:trHeight w:val="309" w:hRule="atLeast"/>
        </w:trPr>
        <w:tc>
          <w:tcPr>
            <w:tcW w:w="2583" w:type="dxa"/>
          </w:tcPr>
          <w:p>
            <w:pPr>
              <w:pStyle w:val="TableParagraph"/>
              <w:ind w:left="44"/>
              <w:rPr>
                <w:sz w:val="18"/>
              </w:rPr>
            </w:pPr>
            <w:r>
              <w:rPr>
                <w:color w:val="231F20"/>
                <w:spacing w:val="-5"/>
                <w:sz w:val="18"/>
              </w:rPr>
              <w:t>256</w:t>
            </w:r>
          </w:p>
        </w:tc>
        <w:tc>
          <w:tcPr>
            <w:tcW w:w="4950" w:type="dxa"/>
          </w:tcPr>
          <w:p>
            <w:pPr>
              <w:pStyle w:val="TableParagraph"/>
              <w:rPr>
                <w:sz w:val="18"/>
              </w:rPr>
            </w:pPr>
            <w:r>
              <w:rPr>
                <w:color w:val="231F20"/>
                <w:spacing w:val="-5"/>
                <w:sz w:val="18"/>
              </w:rPr>
              <w:t>WAS</w:t>
            </w:r>
          </w:p>
        </w:tc>
      </w:tr>
      <w:tr>
        <w:trPr>
          <w:trHeight w:val="309" w:hRule="atLeast"/>
        </w:trPr>
        <w:tc>
          <w:tcPr>
            <w:tcW w:w="2583" w:type="dxa"/>
          </w:tcPr>
          <w:p>
            <w:pPr>
              <w:pStyle w:val="TableParagraph"/>
              <w:ind w:left="44"/>
              <w:rPr>
                <w:sz w:val="18"/>
              </w:rPr>
            </w:pPr>
            <w:r>
              <w:rPr>
                <w:color w:val="231F20"/>
                <w:spacing w:val="-5"/>
                <w:sz w:val="18"/>
              </w:rPr>
              <w:t>512</w:t>
            </w:r>
          </w:p>
        </w:tc>
        <w:tc>
          <w:tcPr>
            <w:tcW w:w="4950" w:type="dxa"/>
          </w:tcPr>
          <w:p>
            <w:pPr>
              <w:pStyle w:val="TableParagraph"/>
              <w:rPr>
                <w:sz w:val="18"/>
              </w:rPr>
            </w:pPr>
            <w:r>
              <w:rPr>
                <w:color w:val="231F20"/>
                <w:spacing w:val="-2"/>
                <w:sz w:val="18"/>
              </w:rPr>
              <w:t>OTHER</w:t>
            </w:r>
          </w:p>
        </w:tc>
      </w:tr>
      <w:tr>
        <w:trPr>
          <w:trHeight w:val="314" w:hRule="atLeast"/>
        </w:trPr>
        <w:tc>
          <w:tcPr>
            <w:tcW w:w="2583" w:type="dxa"/>
          </w:tcPr>
          <w:p>
            <w:pPr>
              <w:pStyle w:val="TableParagraph"/>
              <w:ind w:left="44"/>
              <w:rPr>
                <w:sz w:val="18"/>
              </w:rPr>
            </w:pPr>
            <w:r>
              <w:rPr>
                <w:color w:val="231F20"/>
                <w:spacing w:val="-4"/>
                <w:sz w:val="18"/>
              </w:rPr>
              <w:t>1024</w:t>
            </w:r>
          </w:p>
        </w:tc>
        <w:tc>
          <w:tcPr>
            <w:tcW w:w="4950" w:type="dxa"/>
          </w:tcPr>
          <w:p>
            <w:pPr>
              <w:pStyle w:val="TableParagraph"/>
              <w:rPr>
                <w:sz w:val="18"/>
              </w:rPr>
            </w:pPr>
            <w:r>
              <w:rPr>
                <w:color w:val="231F20"/>
                <w:spacing w:val="-5"/>
                <w:sz w:val="18"/>
              </w:rPr>
              <w:t>TAM</w:t>
            </w:r>
          </w:p>
        </w:tc>
      </w:tr>
    </w:tbl>
    <w:p>
      <w:pPr>
        <w:pStyle w:val="BodyText"/>
        <w:spacing w:before="155"/>
      </w:pPr>
    </w:p>
    <w:p>
      <w:pPr>
        <w:pStyle w:val="BodyText"/>
        <w:spacing w:line="213" w:lineRule="auto" w:before="1"/>
        <w:ind w:left="2232" w:right="493"/>
      </w:pPr>
      <w:r>
        <w:rPr>
          <w:rFonts w:ascii="Book Antiqua"/>
          <w:b/>
          <w:color w:val="231F20"/>
        </w:rPr>
        <w:t>Correlator </w:t>
      </w:r>
      <w:r>
        <w:rPr>
          <w:color w:val="231F20"/>
        </w:rPr>
        <w:t>A unique number to correlate all the audit records related to a single event. Reserved for future use. Character limit: 8.</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14"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bl>
    <w:p>
      <w:pPr>
        <w:pStyle w:val="BodyText"/>
        <w:spacing w:before="137"/>
      </w:pPr>
    </w:p>
    <w:p>
      <w:pPr>
        <w:pStyle w:val="BodyText"/>
        <w:spacing w:line="213" w:lineRule="auto"/>
        <w:ind w:left="2232" w:right="567"/>
      </w:pPr>
      <w:r>
        <w:rPr>
          <w:rFonts w:ascii="Book Antiqua"/>
          <w:b/>
          <w:color w:val="231F20"/>
        </w:rPr>
        <w:t>Domain </w:t>
      </w:r>
      <w:r>
        <w:rPr>
          <w:color w:val="231F20"/>
        </w:rPr>
        <w:t>The multi-tenant domain identifier. A</w:t>
      </w:r>
      <w:r>
        <w:rPr>
          <w:color w:val="231F20"/>
          <w:spacing w:val="-1"/>
        </w:rPr>
        <w:t> </w:t>
      </w:r>
      <w:r>
        <w:rPr>
          <w:color w:val="231F20"/>
        </w:rPr>
        <w:t>custom identifier to identify </w:t>
      </w:r>
      <w:r>
        <w:rPr>
          <w:color w:val="231F20"/>
        </w:rPr>
        <w:t>unique namespaces within the product namespace. Typically used for separating</w:t>
      </w:r>
      <w:r>
        <w:rPr>
          <w:color w:val="231F20"/>
          <w:spacing w:val="80"/>
        </w:rPr>
        <w:t> </w:t>
      </w:r>
      <w:r>
        <w:rPr>
          <w:color w:val="231F20"/>
        </w:rPr>
        <w:t>customers logically within a common infrastructure (ISP Model). This is set by providing a value for the ITM_DOMAIN environment parameter. Character limit: </w:t>
      </w:r>
      <w:r>
        <w:rPr>
          <w:color w:val="231F20"/>
          <w:spacing w:val="-4"/>
        </w:rPr>
        <w:t>128.</w:t>
      </w:r>
    </w:p>
    <w:p>
      <w:pPr>
        <w:pStyle w:val="BodyText"/>
        <w:spacing w:line="213" w:lineRule="auto" w:before="236"/>
        <w:ind w:left="2232" w:right="636"/>
      </w:pPr>
      <w:r>
        <w:rPr>
          <w:rFonts w:ascii="Book Antiqua"/>
          <w:b/>
          <w:color w:val="231F20"/>
        </w:rPr>
        <w:t>Entity </w:t>
      </w:r>
      <w:r>
        <w:rPr>
          <w:color w:val="231F20"/>
        </w:rPr>
        <w:t>Identifies a non-user entity that initiated the audit event. Character </w:t>
      </w:r>
      <w:r>
        <w:rPr>
          <w:color w:val="231F20"/>
        </w:rPr>
        <w:t>limit: </w:t>
      </w:r>
      <w:r>
        <w:rPr>
          <w:color w:val="231F20"/>
          <w:spacing w:val="-4"/>
        </w:rPr>
        <w:t>128.</w:t>
      </w:r>
    </w:p>
    <w:p>
      <w:pPr>
        <w:pStyle w:val="BodyText"/>
        <w:spacing w:line="213" w:lineRule="auto" w:before="239"/>
        <w:ind w:left="2232" w:right="545"/>
      </w:pPr>
      <w:r>
        <w:rPr>
          <w:rFonts w:ascii="Book Antiqua"/>
          <w:b/>
          <w:color w:val="231F20"/>
        </w:rPr>
        <w:t>Entity Type </w:t>
      </w:r>
      <w:r>
        <w:rPr>
          <w:color w:val="231F20"/>
        </w:rPr>
        <w:t>Describes the type of entity that initiated the Audit Event. </w:t>
      </w:r>
      <w:r>
        <w:rPr>
          <w:color w:val="231F20"/>
        </w:rPr>
        <w:t>Character limit: 128.</w:t>
      </w:r>
    </w:p>
    <w:p>
      <w:pPr>
        <w:pStyle w:val="BodyText"/>
        <w:spacing w:line="213" w:lineRule="auto" w:before="238"/>
        <w:ind w:left="2232" w:right="493"/>
      </w:pPr>
      <w:r>
        <w:rPr>
          <w:rFonts w:ascii="Book Antiqua"/>
          <w:b/>
          <w:color w:val="231F20"/>
        </w:rPr>
        <w:t>Extra Attributes </w:t>
      </w:r>
      <w:r>
        <w:rPr>
          <w:color w:val="231F20"/>
        </w:rPr>
        <w:t>A string that contains a semi-colon delimited list of </w:t>
      </w:r>
      <w:r>
        <w:rPr>
          <w:color w:val="231F20"/>
        </w:rPr>
        <w:t>name="value" pairs for which no dedicated column exists in the ITM Audit table. The event's message parameters are stored in the Extra Attributes field as ParamN=n;PARM1="VALUE";PARM2="VALUE"...;PARMn="VALUE". In the</w:t>
      </w:r>
    </w:p>
    <w:p>
      <w:pPr>
        <w:pStyle w:val="BodyText"/>
        <w:spacing w:line="213" w:lineRule="auto"/>
        <w:ind w:left="2232" w:right="545"/>
      </w:pPr>
      <w:r>
        <w:rPr>
          <w:color w:val="231F20"/>
        </w:rPr>
        <w:t>name="value" pairs, the value is always enclosed in quotation marks (" ") and embedded quotation marks are escaped by doubling them. The separator </w:t>
      </w:r>
      <w:r>
        <w:rPr>
          <w:color w:val="231F20"/>
        </w:rPr>
        <w:t>between name="value" pairs is a semicolon (;). No whitespace is allowed around the equal sign (=) or semicolon. </w:t>
      </w:r>
      <w:r>
        <w:rPr>
          <w:rFonts w:ascii="Book Antiqua"/>
          <w:b/>
          <w:color w:val="231F20"/>
        </w:rPr>
        <w:t>Note: </w:t>
      </w:r>
      <w:r>
        <w:rPr>
          <w:color w:val="231F20"/>
        </w:rPr>
        <w:t>The column can hold only 512 bytes, so the string is</w:t>
      </w:r>
      <w:r>
        <w:rPr>
          <w:color w:val="231F20"/>
          <w:spacing w:val="40"/>
        </w:rPr>
        <w:t> </w:t>
      </w:r>
      <w:r>
        <w:rPr>
          <w:color w:val="231F20"/>
        </w:rPr>
        <w:t>truncated at 512 characters if longer than that. There will be fewer than 512 characters if multi-byte characters are used.</w:t>
      </w:r>
    </w:p>
    <w:p>
      <w:pPr>
        <w:pStyle w:val="BodyText"/>
        <w:spacing w:line="213" w:lineRule="auto" w:before="232"/>
        <w:ind w:left="2232"/>
      </w:pPr>
      <w:r>
        <w:rPr>
          <w:rFonts w:ascii="Book Antiqua"/>
          <w:b/>
          <w:color w:val="231F20"/>
        </w:rPr>
        <w:t>Grantee </w:t>
      </w:r>
      <w:r>
        <w:rPr>
          <w:color w:val="231F20"/>
        </w:rPr>
        <w:t>The grantee ID for which a privilege or authority was granted, revoked or checked for authorization. Reserved for future use. Character limit: 128.</w:t>
      </w:r>
    </w:p>
    <w:p>
      <w:pPr>
        <w:pStyle w:val="BodyText"/>
        <w:spacing w:line="213" w:lineRule="auto" w:before="239"/>
        <w:ind w:left="2232" w:right="545"/>
      </w:pPr>
      <w:r>
        <w:rPr>
          <w:rFonts w:ascii="Book Antiqua"/>
          <w:b/>
          <w:color w:val="231F20"/>
        </w:rPr>
        <w:t>Grantee Type </w:t>
      </w:r>
      <w:r>
        <w:rPr>
          <w:color w:val="231F20"/>
        </w:rPr>
        <w:t>The Common Data Model type of the grantee. Reserved for </w:t>
      </w:r>
      <w:r>
        <w:rPr>
          <w:color w:val="231F20"/>
        </w:rPr>
        <w:t>future use. Character limit: 128.</w:t>
      </w:r>
    </w:p>
    <w:p>
      <w:pPr>
        <w:pStyle w:val="BodyText"/>
        <w:spacing w:line="427" w:lineRule="auto" w:before="215"/>
        <w:ind w:left="2232" w:right="1504"/>
      </w:pPr>
      <w:r>
        <w:rPr>
          <w:rFonts w:ascii="Book Antiqua"/>
          <w:b/>
          <w:color w:val="231F20"/>
        </w:rPr>
        <w:t>Message </w:t>
      </w:r>
      <w:r>
        <w:rPr>
          <w:color w:val="231F20"/>
        </w:rPr>
        <w:t>The audit event descriptive message text. Character limit: </w:t>
      </w:r>
      <w:r>
        <w:rPr>
          <w:color w:val="231F20"/>
        </w:rPr>
        <w:t>512. </w:t>
      </w:r>
      <w:r>
        <w:rPr>
          <w:rFonts w:ascii="Book Antiqua"/>
          <w:b/>
          <w:color w:val="231F20"/>
        </w:rPr>
        <w:t>Object Name </w:t>
      </w:r>
      <w:r>
        <w:rPr>
          <w:color w:val="231F20"/>
        </w:rPr>
        <w:t>The descriptive name of the object. Character limit: 256. </w:t>
      </w:r>
      <w:r>
        <w:rPr>
          <w:rFonts w:ascii="Book Antiqua"/>
          <w:b/>
          <w:color w:val="231F20"/>
        </w:rPr>
        <w:t>Object Path </w:t>
      </w:r>
      <w:r>
        <w:rPr>
          <w:color w:val="231F20"/>
        </w:rPr>
        <w:t>The detailed path to the object. Character limit: 256.</w:t>
      </w:r>
    </w:p>
    <w:p>
      <w:pPr>
        <w:pStyle w:val="BodyText"/>
        <w:spacing w:line="213" w:lineRule="auto" w:before="19"/>
        <w:ind w:left="2232" w:right="493"/>
      </w:pPr>
      <w:r>
        <w:rPr>
          <w:rFonts w:ascii="Book Antiqua"/>
          <w:b/>
          <w:color w:val="231F20"/>
        </w:rPr>
        <w:t>Object Type </w:t>
      </w:r>
      <w:r>
        <w:rPr>
          <w:color w:val="231F20"/>
        </w:rPr>
        <w:t>The Common Data Model class of the object. Public CDM classes </w:t>
      </w:r>
      <w:r>
        <w:rPr>
          <w:color w:val="231F20"/>
        </w:rPr>
        <w:t>are defined in CDM v2.10.21 or greater. Private CDM classes are prefixed with</w:t>
      </w:r>
    </w:p>
    <w:p>
      <w:pPr>
        <w:pStyle w:val="BodyText"/>
        <w:spacing w:line="245" w:lineRule="exact"/>
        <w:ind w:left="2232"/>
      </w:pPr>
      <w:r>
        <w:rPr>
          <w:color w:val="231F20"/>
        </w:rPr>
        <w:t>ibm-prod-tivoli-itm:</w:t>
      </w:r>
      <w:r>
        <w:rPr>
          <w:color w:val="231F20"/>
          <w:spacing w:val="5"/>
        </w:rPr>
        <w:t> </w:t>
      </w:r>
      <w:r>
        <w:rPr>
          <w:color w:val="231F20"/>
        </w:rPr>
        <w:t>private</w:t>
      </w:r>
      <w:r>
        <w:rPr>
          <w:color w:val="231F20"/>
          <w:spacing w:val="6"/>
        </w:rPr>
        <w:t> </w:t>
      </w:r>
      <w:r>
        <w:rPr>
          <w:color w:val="231F20"/>
        </w:rPr>
        <w:t>namespace</w:t>
      </w:r>
      <w:r>
        <w:rPr>
          <w:color w:val="231F20"/>
          <w:spacing w:val="5"/>
        </w:rPr>
        <w:t> </w:t>
      </w:r>
      <w:r>
        <w:rPr>
          <w:color w:val="231F20"/>
        </w:rPr>
        <w:t>designation.</w:t>
      </w:r>
      <w:r>
        <w:rPr>
          <w:color w:val="231F20"/>
          <w:spacing w:val="6"/>
        </w:rPr>
        <w:t> </w:t>
      </w:r>
      <w:r>
        <w:rPr>
          <w:color w:val="231F20"/>
        </w:rPr>
        <w:t>Character</w:t>
      </w:r>
      <w:r>
        <w:rPr>
          <w:color w:val="231F20"/>
          <w:spacing w:val="6"/>
        </w:rPr>
        <w:t> </w:t>
      </w:r>
      <w:r>
        <w:rPr>
          <w:color w:val="231F20"/>
        </w:rPr>
        <w:t>limit:</w:t>
      </w:r>
      <w:r>
        <w:rPr>
          <w:color w:val="231F20"/>
          <w:spacing w:val="5"/>
        </w:rPr>
        <w:t> </w:t>
      </w:r>
      <w:r>
        <w:rPr>
          <w:color w:val="231F20"/>
          <w:spacing w:val="-4"/>
        </w:rPr>
        <w:t>128.</w:t>
      </w:r>
    </w:p>
    <w:p>
      <w:pPr>
        <w:spacing w:after="0" w:line="245" w:lineRule="exact"/>
        <w:sectPr>
          <w:type w:val="continuous"/>
          <w:pgSz w:w="12240" w:h="15840"/>
          <w:pgMar w:header="0" w:footer="736" w:top="1300" w:bottom="920" w:left="1000" w:right="1060"/>
        </w:sectPr>
      </w:pPr>
    </w:p>
    <w:p>
      <w:pPr>
        <w:spacing w:before="62"/>
        <w:ind w:left="2472" w:right="0" w:firstLine="0"/>
        <w:jc w:val="left"/>
        <w:rPr>
          <w:sz w:val="20"/>
        </w:rPr>
      </w:pPr>
      <w:r>
        <w:rPr>
          <w:rFonts w:ascii="Book Antiqua"/>
          <w:b/>
          <w:color w:val="231F20"/>
          <w:sz w:val="20"/>
        </w:rPr>
        <w:t>Object</w:t>
      </w:r>
      <w:r>
        <w:rPr>
          <w:rFonts w:ascii="Book Antiqua"/>
          <w:b/>
          <w:color w:val="231F20"/>
          <w:spacing w:val="8"/>
          <w:sz w:val="20"/>
        </w:rPr>
        <w:t> </w:t>
      </w:r>
      <w:r>
        <w:rPr>
          <w:rFonts w:ascii="Book Antiqua"/>
          <w:b/>
          <w:color w:val="231F20"/>
          <w:sz w:val="20"/>
        </w:rPr>
        <w:t>Version</w:t>
      </w:r>
      <w:r>
        <w:rPr>
          <w:rFonts w:ascii="Book Antiqua"/>
          <w:b/>
          <w:color w:val="231F20"/>
          <w:spacing w:val="8"/>
          <w:sz w:val="20"/>
        </w:rPr>
        <w:t> </w:t>
      </w:r>
      <w:r>
        <w:rPr>
          <w:color w:val="231F20"/>
          <w:sz w:val="20"/>
        </w:rPr>
        <w:t>The</w:t>
      </w:r>
      <w:r>
        <w:rPr>
          <w:color w:val="231F20"/>
          <w:spacing w:val="8"/>
          <w:sz w:val="20"/>
        </w:rPr>
        <w:t> </w:t>
      </w:r>
      <w:r>
        <w:rPr>
          <w:color w:val="231F20"/>
          <w:sz w:val="20"/>
        </w:rPr>
        <w:t>version</w:t>
      </w:r>
      <w:r>
        <w:rPr>
          <w:color w:val="231F20"/>
          <w:spacing w:val="9"/>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object.</w:t>
      </w:r>
      <w:r>
        <w:rPr>
          <w:color w:val="231F20"/>
          <w:spacing w:val="8"/>
          <w:sz w:val="20"/>
        </w:rPr>
        <w:t> </w:t>
      </w:r>
      <w:r>
        <w:rPr>
          <w:color w:val="231F20"/>
          <w:sz w:val="20"/>
        </w:rPr>
        <w:t>Character</w:t>
      </w:r>
      <w:r>
        <w:rPr>
          <w:color w:val="231F20"/>
          <w:spacing w:val="9"/>
          <w:sz w:val="20"/>
        </w:rPr>
        <w:t> </w:t>
      </w:r>
      <w:r>
        <w:rPr>
          <w:color w:val="231F20"/>
          <w:sz w:val="20"/>
        </w:rPr>
        <w:t>limit:</w:t>
      </w:r>
      <w:r>
        <w:rPr>
          <w:color w:val="231F20"/>
          <w:spacing w:val="8"/>
          <w:sz w:val="20"/>
        </w:rPr>
        <w:t> </w:t>
      </w:r>
      <w:r>
        <w:rPr>
          <w:color w:val="231F20"/>
          <w:spacing w:val="-5"/>
          <w:sz w:val="20"/>
        </w:rPr>
        <w:t>24.</w:t>
      </w:r>
    </w:p>
    <w:p>
      <w:pPr>
        <w:pStyle w:val="BodyText"/>
        <w:spacing w:line="213" w:lineRule="auto" w:before="232"/>
        <w:ind w:left="2472" w:right="258"/>
      </w:pPr>
      <w:r>
        <w:rPr>
          <w:rFonts w:ascii="Book Antiqua"/>
          <w:b/>
          <w:color w:val="231F20"/>
        </w:rPr>
        <w:t>Operation Object Type </w:t>
      </w:r>
      <w:r>
        <w:rPr>
          <w:color w:val="231F20"/>
        </w:rPr>
        <w:t>The Common Data Model class of the operation. Public CDM classes are defined in CDM v2.10.21 or greater. Private CDM classes are prefixed with ibm-prod-tivoli-itm: private namespace designation. Character </w:t>
      </w:r>
      <w:r>
        <w:rPr>
          <w:color w:val="231F20"/>
        </w:rPr>
        <w:t>limit: </w:t>
      </w:r>
      <w:r>
        <w:rPr>
          <w:color w:val="231F20"/>
          <w:spacing w:val="-4"/>
        </w:rPr>
        <w:t>128.</w:t>
      </w:r>
    </w:p>
    <w:p>
      <w:pPr>
        <w:pStyle w:val="BodyText"/>
        <w:spacing w:line="213" w:lineRule="auto" w:before="237"/>
        <w:ind w:left="2472" w:right="258"/>
      </w:pPr>
      <w:r>
        <w:rPr>
          <w:rFonts w:ascii="Book Antiqua"/>
          <w:b/>
          <w:color w:val="231F20"/>
        </w:rPr>
        <w:t>Operation Type </w:t>
      </w:r>
      <w:r>
        <w:rPr>
          <w:color w:val="231F20"/>
        </w:rPr>
        <w:t>The Common Data Model action of the operation. The action </w:t>
      </w:r>
      <w:r>
        <w:rPr>
          <w:color w:val="231F20"/>
        </w:rPr>
        <w:t>type should be compatible with the type of object involved. Public CDM Actions are defined in CDM v2.10.21 or greater. Character limit: 128.</w:t>
      </w:r>
    </w:p>
    <w:p>
      <w:pPr>
        <w:pStyle w:val="BodyText"/>
        <w:spacing w:before="214"/>
        <w:ind w:left="2472"/>
      </w:pPr>
      <w:r>
        <w:rPr>
          <w:rFonts w:ascii="Book Antiqua"/>
          <w:b/>
          <w:color w:val="231F20"/>
        </w:rPr>
        <w:t>Operation</w:t>
      </w:r>
      <w:r>
        <w:rPr>
          <w:rFonts w:ascii="Book Antiqua"/>
          <w:b/>
          <w:color w:val="231F20"/>
          <w:spacing w:val="10"/>
        </w:rPr>
        <w:t> </w:t>
      </w:r>
      <w:r>
        <w:rPr>
          <w:rFonts w:ascii="Book Antiqua"/>
          <w:b/>
          <w:color w:val="231F20"/>
        </w:rPr>
        <w:t>Name</w:t>
      </w:r>
      <w:r>
        <w:rPr>
          <w:rFonts w:ascii="Book Antiqua"/>
          <w:b/>
          <w:color w:val="231F20"/>
          <w:spacing w:val="10"/>
        </w:rPr>
        <w:t> </w:t>
      </w:r>
      <w:r>
        <w:rPr>
          <w:color w:val="231F20"/>
        </w:rPr>
        <w:t>The</w:t>
      </w:r>
      <w:r>
        <w:rPr>
          <w:color w:val="231F20"/>
          <w:spacing w:val="10"/>
        </w:rPr>
        <w:t> </w:t>
      </w:r>
      <w:r>
        <w:rPr>
          <w:color w:val="231F20"/>
        </w:rPr>
        <w:t>descriptive</w:t>
      </w:r>
      <w:r>
        <w:rPr>
          <w:color w:val="231F20"/>
          <w:spacing w:val="10"/>
        </w:rPr>
        <w:t> </w:t>
      </w:r>
      <w:r>
        <w:rPr>
          <w:color w:val="231F20"/>
        </w:rPr>
        <w:t>name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operation.</w:t>
      </w:r>
      <w:r>
        <w:rPr>
          <w:color w:val="231F20"/>
          <w:spacing w:val="10"/>
        </w:rPr>
        <w:t> </w:t>
      </w:r>
      <w:r>
        <w:rPr>
          <w:color w:val="231F20"/>
        </w:rPr>
        <w:t>Character</w:t>
      </w:r>
      <w:r>
        <w:rPr>
          <w:color w:val="231F20"/>
          <w:spacing w:val="10"/>
        </w:rPr>
        <w:t> </w:t>
      </w:r>
      <w:r>
        <w:rPr>
          <w:color w:val="231F20"/>
        </w:rPr>
        <w:t>limit:</w:t>
      </w:r>
      <w:r>
        <w:rPr>
          <w:color w:val="231F20"/>
          <w:spacing w:val="10"/>
        </w:rPr>
        <w:t> </w:t>
      </w:r>
      <w:r>
        <w:rPr>
          <w:color w:val="231F20"/>
          <w:spacing w:val="-4"/>
        </w:rPr>
        <w:t>128.</w:t>
      </w:r>
    </w:p>
    <w:p>
      <w:pPr>
        <w:pStyle w:val="BodyText"/>
        <w:spacing w:line="213" w:lineRule="auto" w:before="232"/>
        <w:ind w:left="2472" w:right="493"/>
      </w:pPr>
      <w:r>
        <w:rPr>
          <w:rFonts w:ascii="Book Antiqua"/>
          <w:b/>
          <w:color w:val="231F20"/>
        </w:rPr>
        <w:t>Origin </w:t>
      </w:r>
      <w:r>
        <w:rPr>
          <w:color w:val="231F20"/>
        </w:rPr>
        <w:t>The network name of the managed system that emitted the audit </w:t>
      </w:r>
      <w:r>
        <w:rPr>
          <w:color w:val="231F20"/>
        </w:rPr>
        <w:t>event. Character limit: 128.</w:t>
      </w:r>
    </w:p>
    <w:p>
      <w:pPr>
        <w:pStyle w:val="BodyText"/>
        <w:spacing w:line="213" w:lineRule="auto" w:before="238"/>
        <w:ind w:left="2472" w:right="545"/>
      </w:pPr>
      <w:r>
        <w:rPr>
          <w:rFonts w:ascii="Book Antiqua"/>
          <w:b/>
          <w:color w:val="231F20"/>
        </w:rPr>
        <w:t>Origin Address </w:t>
      </w:r>
      <w:r>
        <w:rPr>
          <w:color w:val="231F20"/>
        </w:rPr>
        <w:t>The address of the node that emitted the audit event. </w:t>
      </w:r>
      <w:r>
        <w:rPr>
          <w:color w:val="231F20"/>
        </w:rPr>
        <w:t>Character limit: 64.</w:t>
      </w:r>
    </w:p>
    <w:p>
      <w:pPr>
        <w:pStyle w:val="BodyText"/>
        <w:spacing w:line="213" w:lineRule="auto" w:before="238"/>
        <w:ind w:left="2472" w:right="545"/>
      </w:pPr>
      <w:r>
        <w:rPr>
          <w:rFonts w:ascii="Book Antiqua"/>
          <w:b/>
          <w:color w:val="231F20"/>
        </w:rPr>
        <w:t>Origin Hostname </w:t>
      </w:r>
      <w:r>
        <w:rPr>
          <w:color w:val="231F20"/>
        </w:rPr>
        <w:t>The hostname of the node that emitted the audit </w:t>
      </w:r>
      <w:r>
        <w:rPr>
          <w:color w:val="231F20"/>
        </w:rPr>
        <w:t>event. Character limit: 128.</w:t>
      </w:r>
    </w:p>
    <w:p>
      <w:pPr>
        <w:pStyle w:val="BodyText"/>
        <w:spacing w:line="213" w:lineRule="auto" w:before="238"/>
        <w:ind w:left="2472" w:right="493"/>
      </w:pPr>
      <w:r>
        <w:rPr>
          <w:rFonts w:ascii="Book Antiqua"/>
          <w:b/>
          <w:color w:val="231F20"/>
        </w:rPr>
        <w:t>Origin Name </w:t>
      </w:r>
      <w:r>
        <w:rPr>
          <w:color w:val="231F20"/>
        </w:rPr>
        <w:t>The descriptive name of the node that emitted the audit </w:t>
      </w:r>
      <w:r>
        <w:rPr>
          <w:color w:val="231F20"/>
        </w:rPr>
        <w:t>event. Character limit: 128.</w:t>
      </w:r>
    </w:p>
    <w:p>
      <w:pPr>
        <w:pStyle w:val="BodyText"/>
        <w:spacing w:before="216"/>
        <w:ind w:left="2472"/>
      </w:pPr>
      <w:r>
        <w:rPr>
          <w:rFonts w:ascii="Book Antiqua"/>
          <w:b/>
          <w:color w:val="231F20"/>
        </w:rPr>
        <w:t>Origin</w:t>
      </w:r>
      <w:r>
        <w:rPr>
          <w:rFonts w:ascii="Book Antiqua"/>
          <w:b/>
          <w:color w:val="231F20"/>
          <w:spacing w:val="10"/>
        </w:rPr>
        <w:t> </w:t>
      </w:r>
      <w:r>
        <w:rPr>
          <w:rFonts w:ascii="Book Antiqua"/>
          <w:b/>
          <w:color w:val="231F20"/>
        </w:rPr>
        <w:t>Port</w:t>
      </w:r>
      <w:r>
        <w:rPr>
          <w:rFonts w:ascii="Book Antiqua"/>
          <w:b/>
          <w:color w:val="231F20"/>
          <w:spacing w:val="11"/>
        </w:rPr>
        <w:t> </w:t>
      </w:r>
      <w:r>
        <w:rPr>
          <w:color w:val="231F20"/>
        </w:rPr>
        <w:t>The</w:t>
      </w:r>
      <w:r>
        <w:rPr>
          <w:color w:val="231F20"/>
          <w:spacing w:val="11"/>
        </w:rPr>
        <w:t> </w:t>
      </w:r>
      <w:r>
        <w:rPr>
          <w:color w:val="231F20"/>
        </w:rPr>
        <w:t>communication</w:t>
      </w:r>
      <w:r>
        <w:rPr>
          <w:color w:val="231F20"/>
          <w:spacing w:val="10"/>
        </w:rPr>
        <w:t> </w:t>
      </w:r>
      <w:r>
        <w:rPr>
          <w:color w:val="231F20"/>
        </w:rPr>
        <w:t>port</w:t>
      </w:r>
      <w:r>
        <w:rPr>
          <w:color w:val="231F20"/>
          <w:spacing w:val="11"/>
        </w:rPr>
        <w:t> </w:t>
      </w:r>
      <w:r>
        <w:rPr>
          <w:color w:val="231F20"/>
        </w:rPr>
        <w:t>used</w:t>
      </w:r>
      <w:r>
        <w:rPr>
          <w:color w:val="231F20"/>
          <w:spacing w:val="11"/>
        </w:rPr>
        <w:t> </w:t>
      </w:r>
      <w:r>
        <w:rPr>
          <w:color w:val="231F20"/>
        </w:rPr>
        <w:t>by</w:t>
      </w:r>
      <w:r>
        <w:rPr>
          <w:color w:val="231F20"/>
          <w:spacing w:val="10"/>
        </w:rPr>
        <w:t> </w:t>
      </w:r>
      <w:r>
        <w:rPr>
          <w:color w:val="231F20"/>
        </w:rPr>
        <w:t>the</w:t>
      </w:r>
      <w:r>
        <w:rPr>
          <w:color w:val="231F20"/>
          <w:spacing w:val="11"/>
        </w:rPr>
        <w:t> </w:t>
      </w:r>
      <w:r>
        <w:rPr>
          <w:color w:val="231F20"/>
        </w:rPr>
        <w:t>origin</w:t>
      </w:r>
      <w:r>
        <w:rPr>
          <w:color w:val="231F20"/>
          <w:spacing w:val="11"/>
        </w:rPr>
        <w:t> </w:t>
      </w:r>
      <w:r>
        <w:rPr>
          <w:color w:val="231F20"/>
        </w:rPr>
        <w:t>node.</w:t>
      </w:r>
      <w:r>
        <w:rPr>
          <w:color w:val="231F20"/>
          <w:spacing w:val="10"/>
        </w:rPr>
        <w:t> </w:t>
      </w:r>
      <w:r>
        <w:rPr>
          <w:color w:val="231F20"/>
        </w:rPr>
        <w:t>Character</w:t>
      </w:r>
      <w:r>
        <w:rPr>
          <w:color w:val="231F20"/>
          <w:spacing w:val="11"/>
        </w:rPr>
        <w:t> </w:t>
      </w:r>
      <w:r>
        <w:rPr>
          <w:color w:val="231F20"/>
        </w:rPr>
        <w:t>limit:</w:t>
      </w:r>
      <w:r>
        <w:rPr>
          <w:color w:val="231F20"/>
          <w:spacing w:val="11"/>
        </w:rPr>
        <w:t> </w:t>
      </w:r>
      <w:r>
        <w:rPr>
          <w:color w:val="231F20"/>
          <w:spacing w:val="-5"/>
        </w:rPr>
        <w:t>4.</w:t>
      </w:r>
    </w:p>
    <w:p>
      <w:pPr>
        <w:pStyle w:val="BodyText"/>
        <w:spacing w:before="2"/>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14"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bl>
    <w:p>
      <w:pPr>
        <w:pStyle w:val="BodyText"/>
        <w:spacing w:before="137"/>
      </w:pPr>
    </w:p>
    <w:p>
      <w:pPr>
        <w:pStyle w:val="BodyText"/>
        <w:spacing w:line="213" w:lineRule="auto"/>
        <w:ind w:left="2472" w:right="385"/>
      </w:pPr>
      <w:r>
        <w:rPr>
          <w:rFonts w:ascii="Book Antiqua"/>
          <w:b/>
          <w:color w:val="231F20"/>
        </w:rPr>
        <w:t>Origin Protocol </w:t>
      </w:r>
      <w:r>
        <w:rPr>
          <w:color w:val="231F20"/>
        </w:rPr>
        <w:t>The communication protocol used by the origin node. </w:t>
      </w:r>
      <w:r>
        <w:rPr>
          <w:color w:val="231F20"/>
        </w:rPr>
        <w:t>Character limit: 16.</w:t>
      </w:r>
    </w:p>
    <w:p>
      <w:pPr>
        <w:pStyle w:val="BodyText"/>
        <w:spacing w:line="213" w:lineRule="auto" w:before="238"/>
        <w:ind w:left="2472"/>
      </w:pPr>
      <w:r>
        <w:rPr>
          <w:rFonts w:ascii="Book Antiqua"/>
          <w:b/>
          <w:color w:val="231F20"/>
        </w:rPr>
        <w:t>Origin Type </w:t>
      </w:r>
      <w:r>
        <w:rPr>
          <w:color w:val="231F20"/>
        </w:rPr>
        <w:t>The descriptive classification of the node that emitted the audit </w:t>
      </w:r>
      <w:r>
        <w:rPr>
          <w:color w:val="231F20"/>
        </w:rPr>
        <w:t>event. Character limit: 4.</w:t>
      </w:r>
    </w:p>
    <w:p>
      <w:pPr>
        <w:pStyle w:val="BodyText"/>
        <w:spacing w:before="9"/>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5"/>
                <w:sz w:val="18"/>
              </w:rPr>
              <w:t>GUI</w:t>
            </w:r>
          </w:p>
        </w:tc>
      </w:tr>
      <w:tr>
        <w:trPr>
          <w:trHeight w:val="309"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CLIENT</w:t>
            </w:r>
          </w:p>
        </w:tc>
      </w:tr>
      <w:tr>
        <w:trPr>
          <w:trHeight w:val="309" w:hRule="atLeast"/>
        </w:trPr>
        <w:tc>
          <w:tcPr>
            <w:tcW w:w="2583" w:type="dxa"/>
          </w:tcPr>
          <w:p>
            <w:pPr>
              <w:pStyle w:val="TableParagraph"/>
              <w:ind w:left="44"/>
              <w:rPr>
                <w:sz w:val="18"/>
              </w:rPr>
            </w:pPr>
            <w:r>
              <w:rPr>
                <w:color w:val="231F20"/>
                <w:spacing w:val="-10"/>
                <w:sz w:val="18"/>
              </w:rPr>
              <w:t>3</w:t>
            </w:r>
          </w:p>
        </w:tc>
        <w:tc>
          <w:tcPr>
            <w:tcW w:w="4950" w:type="dxa"/>
          </w:tcPr>
          <w:p>
            <w:pPr>
              <w:pStyle w:val="TableParagraph"/>
              <w:rPr>
                <w:sz w:val="18"/>
              </w:rPr>
            </w:pPr>
            <w:r>
              <w:rPr>
                <w:color w:val="231F20"/>
                <w:spacing w:val="-2"/>
                <w:sz w:val="18"/>
              </w:rPr>
              <w:t>SERVER</w:t>
            </w:r>
          </w:p>
        </w:tc>
      </w:tr>
      <w:tr>
        <w:trPr>
          <w:trHeight w:val="309"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pacing w:val="-2"/>
                <w:sz w:val="18"/>
              </w:rPr>
              <w:t>ENDPOINT</w:t>
            </w:r>
          </w:p>
        </w:tc>
      </w:tr>
      <w:tr>
        <w:trPr>
          <w:trHeight w:val="309" w:hRule="atLeast"/>
        </w:trPr>
        <w:tc>
          <w:tcPr>
            <w:tcW w:w="2583" w:type="dxa"/>
          </w:tcPr>
          <w:p>
            <w:pPr>
              <w:pStyle w:val="TableParagraph"/>
              <w:ind w:left="44"/>
              <w:rPr>
                <w:sz w:val="18"/>
              </w:rPr>
            </w:pPr>
            <w:r>
              <w:rPr>
                <w:color w:val="231F20"/>
                <w:spacing w:val="-10"/>
                <w:sz w:val="18"/>
              </w:rPr>
              <w:t>5</w:t>
            </w:r>
          </w:p>
        </w:tc>
        <w:tc>
          <w:tcPr>
            <w:tcW w:w="4950" w:type="dxa"/>
          </w:tcPr>
          <w:p>
            <w:pPr>
              <w:pStyle w:val="TableParagraph"/>
              <w:rPr>
                <w:sz w:val="18"/>
              </w:rPr>
            </w:pPr>
            <w:r>
              <w:rPr>
                <w:color w:val="231F20"/>
                <w:spacing w:val="-2"/>
                <w:sz w:val="18"/>
              </w:rPr>
              <w:t>AGENT</w:t>
            </w:r>
          </w:p>
        </w:tc>
      </w:tr>
      <w:tr>
        <w:trPr>
          <w:trHeight w:val="309" w:hRule="atLeast"/>
        </w:trPr>
        <w:tc>
          <w:tcPr>
            <w:tcW w:w="2583" w:type="dxa"/>
          </w:tcPr>
          <w:p>
            <w:pPr>
              <w:pStyle w:val="TableParagraph"/>
              <w:ind w:left="44"/>
              <w:rPr>
                <w:sz w:val="18"/>
              </w:rPr>
            </w:pPr>
            <w:r>
              <w:rPr>
                <w:color w:val="231F20"/>
                <w:spacing w:val="-10"/>
                <w:sz w:val="18"/>
              </w:rPr>
              <w:t>6</w:t>
            </w:r>
          </w:p>
        </w:tc>
        <w:tc>
          <w:tcPr>
            <w:tcW w:w="4950" w:type="dxa"/>
          </w:tcPr>
          <w:p>
            <w:pPr>
              <w:pStyle w:val="TableParagraph"/>
              <w:rPr>
                <w:sz w:val="18"/>
              </w:rPr>
            </w:pPr>
            <w:r>
              <w:rPr>
                <w:color w:val="231F20"/>
                <w:spacing w:val="-5"/>
                <w:sz w:val="18"/>
              </w:rPr>
              <w:t>CLI</w:t>
            </w:r>
          </w:p>
        </w:tc>
      </w:tr>
      <w:tr>
        <w:trPr>
          <w:trHeight w:val="314" w:hRule="atLeast"/>
        </w:trPr>
        <w:tc>
          <w:tcPr>
            <w:tcW w:w="2583" w:type="dxa"/>
          </w:tcPr>
          <w:p>
            <w:pPr>
              <w:pStyle w:val="TableParagraph"/>
              <w:ind w:left="44"/>
              <w:rPr>
                <w:sz w:val="18"/>
              </w:rPr>
            </w:pPr>
            <w:r>
              <w:rPr>
                <w:color w:val="231F20"/>
                <w:spacing w:val="-10"/>
                <w:sz w:val="18"/>
              </w:rPr>
              <w:t>7</w:t>
            </w:r>
          </w:p>
        </w:tc>
        <w:tc>
          <w:tcPr>
            <w:tcW w:w="4950" w:type="dxa"/>
          </w:tcPr>
          <w:p>
            <w:pPr>
              <w:pStyle w:val="TableParagraph"/>
              <w:rPr>
                <w:sz w:val="18"/>
              </w:rPr>
            </w:pPr>
            <w:r>
              <w:rPr>
                <w:color w:val="231F20"/>
                <w:spacing w:val="-2"/>
                <w:sz w:val="18"/>
              </w:rPr>
              <w:t>OTHER</w:t>
            </w:r>
          </w:p>
        </w:tc>
      </w:tr>
    </w:tbl>
    <w:p>
      <w:pPr>
        <w:pStyle w:val="BodyText"/>
        <w:spacing w:before="139"/>
      </w:pPr>
    </w:p>
    <w:p>
      <w:pPr>
        <w:pStyle w:val="BodyText"/>
        <w:spacing w:line="213" w:lineRule="auto"/>
        <w:ind w:left="2472"/>
      </w:pPr>
      <w:r>
        <w:rPr>
          <w:rFonts w:ascii="Book Antiqua"/>
          <w:b/>
          <w:color w:val="231F20"/>
        </w:rPr>
        <w:t>Privilege </w:t>
      </w:r>
      <w:r>
        <w:rPr>
          <w:color w:val="231F20"/>
        </w:rPr>
        <w:t>The access type for which a security label is granted. The set of </w:t>
      </w:r>
      <w:r>
        <w:rPr>
          <w:color w:val="231F20"/>
        </w:rPr>
        <w:t>values possible here are specified as the set of actions appropriate to the type of object specified in the object parameters. Reserved for future use. Character limit: 128.</w:t>
      </w:r>
    </w:p>
    <w:p>
      <w:pPr>
        <w:pStyle w:val="BodyText"/>
        <w:spacing w:line="213" w:lineRule="auto" w:before="238"/>
        <w:ind w:left="2472" w:right="493"/>
      </w:pPr>
      <w:r>
        <w:rPr>
          <w:rFonts w:ascii="Book Antiqua"/>
          <w:b/>
          <w:color w:val="231F20"/>
        </w:rPr>
        <w:t>Privilege Type </w:t>
      </w:r>
      <w:r>
        <w:rPr>
          <w:color w:val="231F20"/>
        </w:rPr>
        <w:t>Indicates the type of privilege or authority granted or </w:t>
      </w:r>
      <w:r>
        <w:rPr>
          <w:color w:val="231F20"/>
        </w:rPr>
        <w:t>revoked. Reserved for future use. Character limit: 128.</w:t>
      </w:r>
    </w:p>
    <w:p>
      <w:pPr>
        <w:spacing w:after="0" w:line="213" w:lineRule="auto"/>
        <w:sectPr>
          <w:pgSz w:w="12240" w:h="15840"/>
          <w:pgMar w:header="0" w:footer="736" w:top="1180" w:bottom="920" w:left="1000" w:right="1060"/>
        </w:sectPr>
      </w:pPr>
    </w:p>
    <w:p>
      <w:pPr>
        <w:pStyle w:val="BodyText"/>
        <w:spacing w:line="213" w:lineRule="auto" w:before="85"/>
        <w:ind w:left="2232" w:right="493"/>
      </w:pPr>
      <w:r>
        <w:rPr>
          <w:rFonts w:ascii="Book Antiqua"/>
          <w:b/>
          <w:color w:val="231F20"/>
        </w:rPr>
        <w:t>Record Type </w:t>
      </w:r>
      <w:r>
        <w:rPr>
          <w:color w:val="231F20"/>
        </w:rPr>
        <w:t>Indicates the set of attributes expected in the audit event. </w:t>
      </w:r>
      <w:r>
        <w:rPr>
          <w:color w:val="231F20"/>
        </w:rPr>
        <w:t>Character limit: 4.</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5"/>
                <w:sz w:val="18"/>
              </w:rPr>
              <w:t>32</w:t>
            </w:r>
          </w:p>
        </w:tc>
        <w:tc>
          <w:tcPr>
            <w:tcW w:w="4950" w:type="dxa"/>
          </w:tcPr>
          <w:p>
            <w:pPr>
              <w:pStyle w:val="TableParagraph"/>
              <w:rPr>
                <w:sz w:val="18"/>
              </w:rPr>
            </w:pPr>
            <w:r>
              <w:rPr>
                <w:color w:val="231F20"/>
                <w:spacing w:val="-2"/>
                <w:sz w:val="18"/>
              </w:rPr>
              <w:t>Permission_Checking</w:t>
            </w:r>
          </w:p>
        </w:tc>
      </w:tr>
      <w:tr>
        <w:trPr>
          <w:trHeight w:val="309" w:hRule="atLeast"/>
        </w:trPr>
        <w:tc>
          <w:tcPr>
            <w:tcW w:w="2583" w:type="dxa"/>
          </w:tcPr>
          <w:p>
            <w:pPr>
              <w:pStyle w:val="TableParagraph"/>
              <w:ind w:left="44"/>
              <w:rPr>
                <w:sz w:val="18"/>
              </w:rPr>
            </w:pPr>
            <w:r>
              <w:rPr>
                <w:color w:val="231F20"/>
                <w:spacing w:val="-5"/>
                <w:sz w:val="18"/>
              </w:rPr>
              <w:t>33</w:t>
            </w:r>
          </w:p>
        </w:tc>
        <w:tc>
          <w:tcPr>
            <w:tcW w:w="4950" w:type="dxa"/>
          </w:tcPr>
          <w:p>
            <w:pPr>
              <w:pStyle w:val="TableParagraph"/>
              <w:rPr>
                <w:sz w:val="18"/>
              </w:rPr>
            </w:pPr>
            <w:r>
              <w:rPr>
                <w:color w:val="231F20"/>
                <w:spacing w:val="-2"/>
                <w:sz w:val="18"/>
              </w:rPr>
              <w:t>Object_Maintenance</w:t>
            </w:r>
          </w:p>
        </w:tc>
      </w:tr>
      <w:tr>
        <w:trPr>
          <w:trHeight w:val="309" w:hRule="atLeast"/>
        </w:trPr>
        <w:tc>
          <w:tcPr>
            <w:tcW w:w="2583" w:type="dxa"/>
          </w:tcPr>
          <w:p>
            <w:pPr>
              <w:pStyle w:val="TableParagraph"/>
              <w:ind w:left="44"/>
              <w:rPr>
                <w:sz w:val="18"/>
              </w:rPr>
            </w:pPr>
            <w:r>
              <w:rPr>
                <w:color w:val="231F20"/>
                <w:spacing w:val="-5"/>
                <w:sz w:val="18"/>
              </w:rPr>
              <w:t>34</w:t>
            </w:r>
          </w:p>
        </w:tc>
        <w:tc>
          <w:tcPr>
            <w:tcW w:w="4950" w:type="dxa"/>
          </w:tcPr>
          <w:p>
            <w:pPr>
              <w:pStyle w:val="TableParagraph"/>
              <w:rPr>
                <w:sz w:val="18"/>
              </w:rPr>
            </w:pPr>
            <w:r>
              <w:rPr>
                <w:color w:val="231F20"/>
                <w:spacing w:val="-2"/>
                <w:sz w:val="18"/>
              </w:rPr>
              <w:t>Security_Maintenance</w:t>
            </w:r>
          </w:p>
        </w:tc>
      </w:tr>
      <w:tr>
        <w:trPr>
          <w:trHeight w:val="309" w:hRule="atLeast"/>
        </w:trPr>
        <w:tc>
          <w:tcPr>
            <w:tcW w:w="2583" w:type="dxa"/>
          </w:tcPr>
          <w:p>
            <w:pPr>
              <w:pStyle w:val="TableParagraph"/>
              <w:ind w:left="44"/>
              <w:rPr>
                <w:sz w:val="18"/>
              </w:rPr>
            </w:pPr>
            <w:r>
              <w:rPr>
                <w:color w:val="231F20"/>
                <w:spacing w:val="-5"/>
                <w:sz w:val="18"/>
              </w:rPr>
              <w:t>35</w:t>
            </w:r>
          </w:p>
        </w:tc>
        <w:tc>
          <w:tcPr>
            <w:tcW w:w="4950" w:type="dxa"/>
          </w:tcPr>
          <w:p>
            <w:pPr>
              <w:pStyle w:val="TableParagraph"/>
              <w:rPr>
                <w:sz w:val="18"/>
              </w:rPr>
            </w:pPr>
            <w:r>
              <w:rPr>
                <w:color w:val="231F20"/>
                <w:spacing w:val="-2"/>
                <w:sz w:val="18"/>
              </w:rPr>
              <w:t>System_Administration</w:t>
            </w:r>
          </w:p>
        </w:tc>
      </w:tr>
      <w:tr>
        <w:trPr>
          <w:trHeight w:val="309" w:hRule="atLeast"/>
        </w:trPr>
        <w:tc>
          <w:tcPr>
            <w:tcW w:w="2583" w:type="dxa"/>
          </w:tcPr>
          <w:p>
            <w:pPr>
              <w:pStyle w:val="TableParagraph"/>
              <w:ind w:left="44"/>
              <w:rPr>
                <w:sz w:val="18"/>
              </w:rPr>
            </w:pPr>
            <w:r>
              <w:rPr>
                <w:color w:val="231F20"/>
                <w:spacing w:val="-5"/>
                <w:sz w:val="18"/>
              </w:rPr>
              <w:t>36</w:t>
            </w:r>
          </w:p>
        </w:tc>
        <w:tc>
          <w:tcPr>
            <w:tcW w:w="4950" w:type="dxa"/>
          </w:tcPr>
          <w:p>
            <w:pPr>
              <w:pStyle w:val="TableParagraph"/>
              <w:rPr>
                <w:sz w:val="18"/>
              </w:rPr>
            </w:pPr>
            <w:r>
              <w:rPr>
                <w:color w:val="231F20"/>
                <w:spacing w:val="-2"/>
                <w:sz w:val="18"/>
              </w:rPr>
              <w:t>Contextual_Event</w:t>
            </w:r>
          </w:p>
        </w:tc>
      </w:tr>
      <w:tr>
        <w:trPr>
          <w:trHeight w:val="314" w:hRule="atLeast"/>
        </w:trPr>
        <w:tc>
          <w:tcPr>
            <w:tcW w:w="2583" w:type="dxa"/>
          </w:tcPr>
          <w:p>
            <w:pPr>
              <w:pStyle w:val="TableParagraph"/>
              <w:ind w:left="44"/>
              <w:rPr>
                <w:sz w:val="18"/>
              </w:rPr>
            </w:pPr>
            <w:r>
              <w:rPr>
                <w:color w:val="231F20"/>
                <w:spacing w:val="-5"/>
                <w:sz w:val="18"/>
              </w:rPr>
              <w:t>37</w:t>
            </w:r>
          </w:p>
        </w:tc>
        <w:tc>
          <w:tcPr>
            <w:tcW w:w="4950" w:type="dxa"/>
          </w:tcPr>
          <w:p>
            <w:pPr>
              <w:pStyle w:val="TableParagraph"/>
              <w:rPr>
                <w:sz w:val="18"/>
              </w:rPr>
            </w:pPr>
            <w:r>
              <w:rPr>
                <w:color w:val="231F20"/>
                <w:spacing w:val="-2"/>
                <w:sz w:val="18"/>
              </w:rPr>
              <w:t>Authentication_Validation</w:t>
            </w:r>
          </w:p>
        </w:tc>
      </w:tr>
    </w:tbl>
    <w:p>
      <w:pPr>
        <w:pStyle w:val="BodyText"/>
        <w:spacing w:before="115"/>
      </w:pPr>
    </w:p>
    <w:p>
      <w:pPr>
        <w:spacing w:before="1"/>
        <w:ind w:left="2232" w:right="0" w:firstLine="0"/>
        <w:jc w:val="left"/>
        <w:rPr>
          <w:sz w:val="20"/>
        </w:rPr>
      </w:pPr>
      <w:r>
        <w:rPr>
          <w:rFonts w:ascii="Book Antiqua"/>
          <w:b/>
          <w:color w:val="231F20"/>
          <w:sz w:val="20"/>
        </w:rPr>
        <w:t>Resource</w:t>
      </w:r>
      <w:r>
        <w:rPr>
          <w:rFonts w:ascii="Book Antiqua"/>
          <w:b/>
          <w:color w:val="231F20"/>
          <w:spacing w:val="8"/>
          <w:sz w:val="20"/>
        </w:rPr>
        <w:t> </w:t>
      </w:r>
      <w:r>
        <w:rPr>
          <w:rFonts w:ascii="Book Antiqua"/>
          <w:b/>
          <w:color w:val="231F20"/>
          <w:sz w:val="20"/>
        </w:rPr>
        <w:t>Bundle</w:t>
      </w:r>
      <w:r>
        <w:rPr>
          <w:rFonts w:ascii="Book Antiqua"/>
          <w:b/>
          <w:color w:val="231F20"/>
          <w:spacing w:val="9"/>
          <w:sz w:val="20"/>
        </w:rPr>
        <w:t> </w:t>
      </w:r>
      <w:r>
        <w:rPr>
          <w:rFonts w:ascii="Book Antiqua"/>
          <w:b/>
          <w:color w:val="231F20"/>
          <w:sz w:val="20"/>
        </w:rPr>
        <w:t>Key</w:t>
      </w:r>
      <w:r>
        <w:rPr>
          <w:rFonts w:ascii="Book Antiqua"/>
          <w:b/>
          <w:color w:val="231F20"/>
          <w:spacing w:val="8"/>
          <w:sz w:val="20"/>
        </w:rPr>
        <w:t> </w:t>
      </w:r>
      <w:r>
        <w:rPr>
          <w:color w:val="231F20"/>
          <w:sz w:val="20"/>
        </w:rPr>
        <w:t>The</w:t>
      </w:r>
      <w:r>
        <w:rPr>
          <w:color w:val="231F20"/>
          <w:spacing w:val="8"/>
          <w:sz w:val="20"/>
        </w:rPr>
        <w:t> </w:t>
      </w:r>
      <w:r>
        <w:rPr>
          <w:color w:val="231F20"/>
          <w:sz w:val="20"/>
        </w:rPr>
        <w:t>message</w:t>
      </w:r>
      <w:r>
        <w:rPr>
          <w:color w:val="231F20"/>
          <w:spacing w:val="9"/>
          <w:sz w:val="20"/>
        </w:rPr>
        <w:t> </w:t>
      </w:r>
      <w:r>
        <w:rPr>
          <w:color w:val="231F20"/>
          <w:sz w:val="20"/>
        </w:rPr>
        <w:t>ID</w:t>
      </w:r>
      <w:r>
        <w:rPr>
          <w:color w:val="231F20"/>
          <w:spacing w:val="8"/>
          <w:sz w:val="20"/>
        </w:rPr>
        <w:t> </w:t>
      </w:r>
      <w:r>
        <w:rPr>
          <w:color w:val="231F20"/>
          <w:sz w:val="20"/>
        </w:rPr>
        <w:t>number.</w:t>
      </w:r>
      <w:r>
        <w:rPr>
          <w:color w:val="231F20"/>
          <w:spacing w:val="9"/>
          <w:sz w:val="20"/>
        </w:rPr>
        <w:t> </w:t>
      </w:r>
      <w:r>
        <w:rPr>
          <w:color w:val="231F20"/>
          <w:sz w:val="20"/>
        </w:rPr>
        <w:t>Character</w:t>
      </w:r>
      <w:r>
        <w:rPr>
          <w:color w:val="231F20"/>
          <w:spacing w:val="8"/>
          <w:sz w:val="20"/>
        </w:rPr>
        <w:t> </w:t>
      </w:r>
      <w:r>
        <w:rPr>
          <w:color w:val="231F20"/>
          <w:sz w:val="20"/>
        </w:rPr>
        <w:t>limit:</w:t>
      </w:r>
      <w:r>
        <w:rPr>
          <w:color w:val="231F20"/>
          <w:spacing w:val="9"/>
          <w:sz w:val="20"/>
        </w:rPr>
        <w:t> </w:t>
      </w:r>
      <w:r>
        <w:rPr>
          <w:color w:val="231F20"/>
          <w:spacing w:val="-5"/>
          <w:sz w:val="20"/>
        </w:rPr>
        <w:t>64.</w:t>
      </w:r>
    </w:p>
    <w:p>
      <w:pPr>
        <w:pStyle w:val="BodyText"/>
        <w:spacing w:line="213" w:lineRule="auto" w:before="232"/>
        <w:ind w:left="2232" w:right="545"/>
      </w:pPr>
      <w:r>
        <w:rPr>
          <w:rFonts w:ascii="Book Antiqua"/>
          <w:b/>
          <w:color w:val="231F20"/>
        </w:rPr>
        <w:t>Result </w:t>
      </w:r>
      <w:r>
        <w:rPr>
          <w:color w:val="231F20"/>
        </w:rPr>
        <w:t>The application specific return code. This allows for easier filtering </w:t>
      </w:r>
      <w:r>
        <w:rPr>
          <w:color w:val="231F20"/>
        </w:rPr>
        <w:t>and situation creation. Character limit: 4.</w:t>
      </w:r>
    </w:p>
    <w:p>
      <w:pPr>
        <w:pStyle w:val="BodyText"/>
        <w:spacing w:line="213" w:lineRule="auto" w:before="238"/>
        <w:ind w:left="2232" w:right="636"/>
      </w:pPr>
      <w:r>
        <w:rPr>
          <w:rFonts w:ascii="Book Antiqua"/>
          <w:b/>
          <w:color w:val="231F20"/>
        </w:rPr>
        <w:t>RunAs </w:t>
      </w:r>
      <w:r>
        <w:rPr>
          <w:color w:val="231F20"/>
        </w:rPr>
        <w:t>The role, group, or user the user ID is authorized under. Character limit: </w:t>
      </w:r>
      <w:r>
        <w:rPr>
          <w:color w:val="231F20"/>
          <w:spacing w:val="-4"/>
        </w:rPr>
        <w:t>128.</w:t>
      </w:r>
    </w:p>
    <w:p>
      <w:pPr>
        <w:pStyle w:val="BodyText"/>
        <w:spacing w:line="213" w:lineRule="auto" w:before="238"/>
        <w:ind w:left="2232"/>
      </w:pPr>
      <w:r>
        <w:rPr>
          <w:rFonts w:ascii="Book Antiqua"/>
          <w:b/>
          <w:color w:val="231F20"/>
        </w:rPr>
        <w:t>Security Policy Name </w:t>
      </w:r>
      <w:r>
        <w:rPr>
          <w:color w:val="231F20"/>
        </w:rPr>
        <w:t>The identifier for the security policy authorizing this </w:t>
      </w:r>
      <w:r>
        <w:rPr>
          <w:color w:val="231F20"/>
        </w:rPr>
        <w:t>action. Reserved for future use. Character limit: 128.</w:t>
      </w:r>
    </w:p>
    <w:p>
      <w:pPr>
        <w:pStyle w:val="BodyText"/>
        <w:spacing w:line="213" w:lineRule="auto" w:before="238"/>
        <w:ind w:left="2232" w:right="545"/>
      </w:pPr>
      <w:r>
        <w:rPr>
          <w:rFonts w:ascii="Book Antiqua"/>
          <w:b/>
          <w:color w:val="231F20"/>
        </w:rPr>
        <w:t>Sequence Number </w:t>
      </w:r>
      <w:r>
        <w:rPr>
          <w:color w:val="231F20"/>
        </w:rPr>
        <w:t>The audit event count of this particular audit event since the component was started. The audit event count is reset to zero when the component</w:t>
      </w:r>
      <w:r>
        <w:rPr>
          <w:color w:val="231F20"/>
          <w:spacing w:val="80"/>
        </w:rPr>
        <w:t> </w:t>
      </w:r>
      <w:r>
        <w:rPr>
          <w:color w:val="231F20"/>
        </w:rPr>
        <w:t>is reset. Character limit: 8.</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14"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bl>
    <w:p>
      <w:pPr>
        <w:pStyle w:val="BodyText"/>
        <w:spacing w:before="137"/>
      </w:pPr>
    </w:p>
    <w:p>
      <w:pPr>
        <w:pStyle w:val="BodyText"/>
        <w:spacing w:line="213" w:lineRule="auto"/>
        <w:ind w:left="2232" w:right="456"/>
        <w:jc w:val="both"/>
      </w:pPr>
      <w:r>
        <w:rPr>
          <w:rFonts w:ascii="Book Antiqua"/>
          <w:b/>
          <w:color w:val="231F20"/>
        </w:rPr>
        <w:t>Service Point </w:t>
      </w:r>
      <w:r>
        <w:rPr>
          <w:color w:val="231F20"/>
        </w:rPr>
        <w:t>The origin's service point. Refer to "Using the IBM Tivoli </w:t>
      </w:r>
      <w:r>
        <w:rPr>
          <w:color w:val="231F20"/>
        </w:rPr>
        <w:t>Monitoring Service Console" in the IBM Tivoli Monitoring Information Center. Character limit: </w:t>
      </w:r>
      <w:r>
        <w:rPr>
          <w:color w:val="231F20"/>
          <w:spacing w:val="-4"/>
        </w:rPr>
        <w:t>128.</w:t>
      </w:r>
    </w:p>
    <w:p>
      <w:pPr>
        <w:pStyle w:val="BodyText"/>
        <w:spacing w:line="213" w:lineRule="auto" w:before="238"/>
        <w:ind w:left="2232" w:right="636"/>
      </w:pPr>
      <w:r>
        <w:rPr>
          <w:rFonts w:ascii="Book Antiqua"/>
          <w:b/>
          <w:color w:val="231F20"/>
        </w:rPr>
        <w:t>Source </w:t>
      </w:r>
      <w:r>
        <w:rPr>
          <w:color w:val="231F20"/>
        </w:rPr>
        <w:t>The Managed System Name of the node that initiated the </w:t>
      </w:r>
      <w:r>
        <w:rPr>
          <w:color w:val="231F20"/>
        </w:rPr>
        <w:t>operation reported by the audit event. Character limit: 128.</w:t>
      </w:r>
    </w:p>
    <w:p>
      <w:pPr>
        <w:pStyle w:val="BodyText"/>
        <w:spacing w:line="213" w:lineRule="auto" w:before="238"/>
        <w:ind w:left="2232" w:right="636"/>
      </w:pPr>
      <w:r>
        <w:rPr>
          <w:rFonts w:ascii="Book Antiqua"/>
          <w:b/>
          <w:color w:val="231F20"/>
        </w:rPr>
        <w:t>Source Address </w:t>
      </w:r>
      <w:r>
        <w:rPr>
          <w:color w:val="231F20"/>
        </w:rPr>
        <w:t>The address of the node that initiated the operation reported </w:t>
      </w:r>
      <w:r>
        <w:rPr>
          <w:color w:val="231F20"/>
        </w:rPr>
        <w:t>by the audit event. Character limit: 64.</w:t>
      </w:r>
    </w:p>
    <w:p>
      <w:pPr>
        <w:pStyle w:val="BodyText"/>
        <w:spacing w:line="213" w:lineRule="auto" w:before="238"/>
        <w:ind w:left="2232" w:right="636"/>
      </w:pPr>
      <w:r>
        <w:rPr>
          <w:rFonts w:ascii="Book Antiqua"/>
          <w:b/>
          <w:color w:val="231F20"/>
        </w:rPr>
        <w:t>Source Hostname </w:t>
      </w:r>
      <w:r>
        <w:rPr>
          <w:color w:val="231F20"/>
        </w:rPr>
        <w:t>The hostname of the node that initiated the operation </w:t>
      </w:r>
      <w:r>
        <w:rPr>
          <w:color w:val="231F20"/>
        </w:rPr>
        <w:t>reported by the audit event. Character limit: 128.</w:t>
      </w:r>
    </w:p>
    <w:p>
      <w:pPr>
        <w:pStyle w:val="BodyText"/>
        <w:spacing w:line="213" w:lineRule="auto" w:before="238"/>
        <w:ind w:left="2232" w:right="636"/>
      </w:pPr>
      <w:r>
        <w:rPr>
          <w:rFonts w:ascii="Book Antiqua"/>
          <w:b/>
          <w:color w:val="231F20"/>
        </w:rPr>
        <w:t>Source Name </w:t>
      </w:r>
      <w:r>
        <w:rPr>
          <w:color w:val="231F20"/>
        </w:rPr>
        <w:t>The descriptive name of the node that initiated the </w:t>
      </w:r>
      <w:r>
        <w:rPr>
          <w:color w:val="231F20"/>
        </w:rPr>
        <w:t>operation reported by the audit event. Character limit: 128.</w:t>
      </w:r>
    </w:p>
    <w:p>
      <w:pPr>
        <w:pStyle w:val="BodyText"/>
        <w:spacing w:before="215"/>
        <w:ind w:left="2232"/>
        <w:jc w:val="both"/>
      </w:pPr>
      <w:r>
        <w:rPr>
          <w:rFonts w:ascii="Book Antiqua"/>
          <w:b/>
          <w:color w:val="231F20"/>
        </w:rPr>
        <w:t>Source</w:t>
      </w:r>
      <w:r>
        <w:rPr>
          <w:rFonts w:ascii="Book Antiqua"/>
          <w:b/>
          <w:color w:val="231F20"/>
          <w:spacing w:val="10"/>
        </w:rPr>
        <w:t> </w:t>
      </w:r>
      <w:r>
        <w:rPr>
          <w:rFonts w:ascii="Book Antiqua"/>
          <w:b/>
          <w:color w:val="231F20"/>
        </w:rPr>
        <w:t>Port</w:t>
      </w:r>
      <w:r>
        <w:rPr>
          <w:rFonts w:ascii="Book Antiqua"/>
          <w:b/>
          <w:color w:val="231F20"/>
          <w:spacing w:val="10"/>
        </w:rPr>
        <w:t> </w:t>
      </w:r>
      <w:r>
        <w:rPr>
          <w:color w:val="231F20"/>
        </w:rPr>
        <w:t>The</w:t>
      </w:r>
      <w:r>
        <w:rPr>
          <w:color w:val="231F20"/>
          <w:spacing w:val="10"/>
        </w:rPr>
        <w:t> </w:t>
      </w:r>
      <w:r>
        <w:rPr>
          <w:color w:val="231F20"/>
        </w:rPr>
        <w:t>communication</w:t>
      </w:r>
      <w:r>
        <w:rPr>
          <w:color w:val="231F20"/>
          <w:spacing w:val="11"/>
        </w:rPr>
        <w:t> </w:t>
      </w:r>
      <w:r>
        <w:rPr>
          <w:color w:val="231F20"/>
        </w:rPr>
        <w:t>port</w:t>
      </w:r>
      <w:r>
        <w:rPr>
          <w:color w:val="231F20"/>
          <w:spacing w:val="10"/>
        </w:rPr>
        <w:t> </w:t>
      </w:r>
      <w:r>
        <w:rPr>
          <w:color w:val="231F20"/>
        </w:rPr>
        <w:t>used</w:t>
      </w:r>
      <w:r>
        <w:rPr>
          <w:color w:val="231F20"/>
          <w:spacing w:val="10"/>
        </w:rPr>
        <w:t> </w:t>
      </w:r>
      <w:r>
        <w:rPr>
          <w:color w:val="231F20"/>
        </w:rPr>
        <w:t>by</w:t>
      </w:r>
      <w:r>
        <w:rPr>
          <w:color w:val="231F20"/>
          <w:spacing w:val="11"/>
        </w:rPr>
        <w:t> </w:t>
      </w:r>
      <w:r>
        <w:rPr>
          <w:color w:val="231F20"/>
        </w:rPr>
        <w:t>the</w:t>
      </w:r>
      <w:r>
        <w:rPr>
          <w:color w:val="231F20"/>
          <w:spacing w:val="10"/>
        </w:rPr>
        <w:t> </w:t>
      </w:r>
      <w:r>
        <w:rPr>
          <w:color w:val="231F20"/>
        </w:rPr>
        <w:t>source</w:t>
      </w:r>
      <w:r>
        <w:rPr>
          <w:color w:val="231F20"/>
          <w:spacing w:val="10"/>
        </w:rPr>
        <w:t> </w:t>
      </w:r>
      <w:r>
        <w:rPr>
          <w:color w:val="231F20"/>
        </w:rPr>
        <w:t>node.</w:t>
      </w:r>
      <w:r>
        <w:rPr>
          <w:color w:val="231F20"/>
          <w:spacing w:val="11"/>
        </w:rPr>
        <w:t> </w:t>
      </w:r>
      <w:r>
        <w:rPr>
          <w:color w:val="231F20"/>
        </w:rPr>
        <w:t>Character</w:t>
      </w:r>
      <w:r>
        <w:rPr>
          <w:color w:val="231F20"/>
          <w:spacing w:val="10"/>
        </w:rPr>
        <w:t> </w:t>
      </w:r>
      <w:r>
        <w:rPr>
          <w:color w:val="231F20"/>
        </w:rPr>
        <w:t>limit:</w:t>
      </w:r>
      <w:r>
        <w:rPr>
          <w:color w:val="231F20"/>
          <w:spacing w:val="10"/>
        </w:rPr>
        <w:t> </w:t>
      </w:r>
      <w:r>
        <w:rPr>
          <w:color w:val="231F20"/>
          <w:spacing w:val="-5"/>
        </w:rPr>
        <w:t>4.</w:t>
      </w:r>
    </w:p>
    <w:p>
      <w:pPr>
        <w:pStyle w:val="BodyText"/>
        <w:spacing w:before="3"/>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14"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bl>
    <w:p>
      <w:pPr>
        <w:spacing w:after="0"/>
        <w:rPr>
          <w:sz w:val="18"/>
        </w:rPr>
        <w:sectPr>
          <w:pgSz w:w="12240" w:h="15840"/>
          <w:pgMar w:header="0" w:footer="736" w:top="1180" w:bottom="920" w:left="1000" w:right="1060"/>
        </w:sectPr>
      </w:pPr>
    </w:p>
    <w:p>
      <w:pPr>
        <w:pStyle w:val="BodyText"/>
        <w:spacing w:line="213" w:lineRule="auto" w:before="85"/>
        <w:ind w:left="2472"/>
      </w:pPr>
      <w:r>
        <w:rPr>
          <w:rFonts w:ascii="Book Antiqua"/>
          <w:b/>
          <w:color w:val="231F20"/>
        </w:rPr>
        <w:t>Source Protocol </w:t>
      </w:r>
      <w:r>
        <w:rPr>
          <w:color w:val="231F20"/>
        </w:rPr>
        <w:t>The communication protocol used by the Ssource node. </w:t>
      </w:r>
      <w:r>
        <w:rPr>
          <w:color w:val="231F20"/>
        </w:rPr>
        <w:t>Character limit: 16.</w:t>
      </w:r>
    </w:p>
    <w:p>
      <w:pPr>
        <w:pStyle w:val="BodyText"/>
        <w:spacing w:line="213" w:lineRule="auto" w:before="238"/>
        <w:ind w:left="2472"/>
      </w:pPr>
      <w:r>
        <w:rPr>
          <w:rFonts w:ascii="Book Antiqua"/>
          <w:b/>
          <w:color w:val="231F20"/>
        </w:rPr>
        <w:t>Source Type </w:t>
      </w:r>
      <w:r>
        <w:rPr>
          <w:color w:val="231F20"/>
        </w:rPr>
        <w:t>The descriptive classification of the node that initiated the </w:t>
      </w:r>
      <w:r>
        <w:rPr>
          <w:color w:val="231F20"/>
        </w:rPr>
        <w:t>operation reported by the audit event. Character limit: 4.</w:t>
      </w:r>
    </w:p>
    <w:p>
      <w:pPr>
        <w:pStyle w:val="BodyText"/>
        <w:spacing w:before="8"/>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5"/>
                <w:sz w:val="18"/>
              </w:rPr>
              <w:t>GUI</w:t>
            </w:r>
          </w:p>
        </w:tc>
      </w:tr>
      <w:tr>
        <w:trPr>
          <w:trHeight w:val="309"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CLIENT</w:t>
            </w:r>
          </w:p>
        </w:tc>
      </w:tr>
      <w:tr>
        <w:trPr>
          <w:trHeight w:val="309" w:hRule="atLeast"/>
        </w:trPr>
        <w:tc>
          <w:tcPr>
            <w:tcW w:w="2583" w:type="dxa"/>
          </w:tcPr>
          <w:p>
            <w:pPr>
              <w:pStyle w:val="TableParagraph"/>
              <w:ind w:left="44"/>
              <w:rPr>
                <w:sz w:val="18"/>
              </w:rPr>
            </w:pPr>
            <w:r>
              <w:rPr>
                <w:color w:val="231F20"/>
                <w:spacing w:val="-10"/>
                <w:sz w:val="18"/>
              </w:rPr>
              <w:t>3</w:t>
            </w:r>
          </w:p>
        </w:tc>
        <w:tc>
          <w:tcPr>
            <w:tcW w:w="4950" w:type="dxa"/>
          </w:tcPr>
          <w:p>
            <w:pPr>
              <w:pStyle w:val="TableParagraph"/>
              <w:rPr>
                <w:sz w:val="18"/>
              </w:rPr>
            </w:pPr>
            <w:r>
              <w:rPr>
                <w:color w:val="231F20"/>
                <w:spacing w:val="-2"/>
                <w:sz w:val="18"/>
              </w:rPr>
              <w:t>SERVER</w:t>
            </w:r>
          </w:p>
        </w:tc>
      </w:tr>
      <w:tr>
        <w:trPr>
          <w:trHeight w:val="309"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pacing w:val="-2"/>
                <w:sz w:val="18"/>
              </w:rPr>
              <w:t>ENDPOINT</w:t>
            </w:r>
          </w:p>
        </w:tc>
      </w:tr>
      <w:tr>
        <w:trPr>
          <w:trHeight w:val="309" w:hRule="atLeast"/>
        </w:trPr>
        <w:tc>
          <w:tcPr>
            <w:tcW w:w="2583" w:type="dxa"/>
          </w:tcPr>
          <w:p>
            <w:pPr>
              <w:pStyle w:val="TableParagraph"/>
              <w:ind w:left="44"/>
              <w:rPr>
                <w:sz w:val="18"/>
              </w:rPr>
            </w:pPr>
            <w:r>
              <w:rPr>
                <w:color w:val="231F20"/>
                <w:spacing w:val="-10"/>
                <w:sz w:val="18"/>
              </w:rPr>
              <w:t>5</w:t>
            </w:r>
          </w:p>
        </w:tc>
        <w:tc>
          <w:tcPr>
            <w:tcW w:w="4950" w:type="dxa"/>
          </w:tcPr>
          <w:p>
            <w:pPr>
              <w:pStyle w:val="TableParagraph"/>
              <w:rPr>
                <w:sz w:val="18"/>
              </w:rPr>
            </w:pPr>
            <w:r>
              <w:rPr>
                <w:color w:val="231F20"/>
                <w:spacing w:val="-2"/>
                <w:sz w:val="18"/>
              </w:rPr>
              <w:t>AGENT</w:t>
            </w:r>
          </w:p>
        </w:tc>
      </w:tr>
      <w:tr>
        <w:trPr>
          <w:trHeight w:val="309" w:hRule="atLeast"/>
        </w:trPr>
        <w:tc>
          <w:tcPr>
            <w:tcW w:w="2583" w:type="dxa"/>
          </w:tcPr>
          <w:p>
            <w:pPr>
              <w:pStyle w:val="TableParagraph"/>
              <w:ind w:left="44"/>
              <w:rPr>
                <w:sz w:val="18"/>
              </w:rPr>
            </w:pPr>
            <w:r>
              <w:rPr>
                <w:color w:val="231F20"/>
                <w:spacing w:val="-10"/>
                <w:sz w:val="18"/>
              </w:rPr>
              <w:t>6</w:t>
            </w:r>
          </w:p>
        </w:tc>
        <w:tc>
          <w:tcPr>
            <w:tcW w:w="4950" w:type="dxa"/>
          </w:tcPr>
          <w:p>
            <w:pPr>
              <w:pStyle w:val="TableParagraph"/>
              <w:rPr>
                <w:sz w:val="18"/>
              </w:rPr>
            </w:pPr>
            <w:r>
              <w:rPr>
                <w:color w:val="231F20"/>
                <w:spacing w:val="-5"/>
                <w:sz w:val="18"/>
              </w:rPr>
              <w:t>CLI</w:t>
            </w:r>
          </w:p>
        </w:tc>
      </w:tr>
      <w:tr>
        <w:trPr>
          <w:trHeight w:val="314" w:hRule="atLeast"/>
        </w:trPr>
        <w:tc>
          <w:tcPr>
            <w:tcW w:w="2583" w:type="dxa"/>
          </w:tcPr>
          <w:p>
            <w:pPr>
              <w:pStyle w:val="TableParagraph"/>
              <w:ind w:left="44"/>
              <w:rPr>
                <w:sz w:val="18"/>
              </w:rPr>
            </w:pPr>
            <w:r>
              <w:rPr>
                <w:color w:val="231F20"/>
                <w:spacing w:val="-10"/>
                <w:sz w:val="18"/>
              </w:rPr>
              <w:t>7</w:t>
            </w:r>
          </w:p>
        </w:tc>
        <w:tc>
          <w:tcPr>
            <w:tcW w:w="4950" w:type="dxa"/>
          </w:tcPr>
          <w:p>
            <w:pPr>
              <w:pStyle w:val="TableParagraph"/>
              <w:rPr>
                <w:sz w:val="18"/>
              </w:rPr>
            </w:pPr>
            <w:r>
              <w:rPr>
                <w:color w:val="231F20"/>
                <w:spacing w:val="-2"/>
                <w:sz w:val="18"/>
              </w:rPr>
              <w:t>OTHER</w:t>
            </w:r>
          </w:p>
        </w:tc>
      </w:tr>
    </w:tbl>
    <w:p>
      <w:pPr>
        <w:pStyle w:val="BodyText"/>
        <w:spacing w:before="139"/>
      </w:pPr>
    </w:p>
    <w:p>
      <w:pPr>
        <w:pStyle w:val="BodyText"/>
        <w:spacing w:line="213" w:lineRule="auto"/>
        <w:ind w:left="2472" w:right="545"/>
      </w:pPr>
      <w:r>
        <w:rPr>
          <w:rFonts w:ascii="Book Antiqua"/>
          <w:b/>
          <w:color w:val="231F20"/>
        </w:rPr>
        <w:t>System Name </w:t>
      </w:r>
      <w:r>
        <w:rPr>
          <w:color w:val="231F20"/>
        </w:rPr>
        <w:t>The Managed System Name of the node that emitted the </w:t>
      </w:r>
      <w:r>
        <w:rPr>
          <w:color w:val="231F20"/>
        </w:rPr>
        <w:t>audit event. Character limit: 32.</w:t>
      </w:r>
    </w:p>
    <w:p>
      <w:pPr>
        <w:pStyle w:val="BodyText"/>
        <w:spacing w:line="213" w:lineRule="auto" w:before="238"/>
        <w:ind w:left="2472"/>
      </w:pPr>
      <w:r>
        <w:rPr>
          <w:rFonts w:ascii="Book Antiqua"/>
          <w:b/>
          <w:color w:val="231F20"/>
        </w:rPr>
        <w:t>Target </w:t>
      </w:r>
      <w:r>
        <w:rPr>
          <w:color w:val="231F20"/>
        </w:rPr>
        <w:t>The Managed System Name of the node where the operation is </w:t>
      </w:r>
      <w:r>
        <w:rPr>
          <w:color w:val="231F20"/>
        </w:rPr>
        <w:t>targeted. Character limit: 128.</w:t>
      </w:r>
    </w:p>
    <w:p>
      <w:pPr>
        <w:pStyle w:val="BodyText"/>
        <w:spacing w:line="213" w:lineRule="auto" w:before="239"/>
        <w:ind w:left="2472"/>
      </w:pPr>
      <w:r>
        <w:rPr>
          <w:rFonts w:ascii="Book Antiqua"/>
          <w:b/>
          <w:color w:val="231F20"/>
        </w:rPr>
        <w:t>Target Address </w:t>
      </w:r>
      <w:r>
        <w:rPr>
          <w:color w:val="231F20"/>
        </w:rPr>
        <w:t>The address of the node where the operation is targeted. Character limit: 64.</w:t>
      </w:r>
    </w:p>
    <w:p>
      <w:pPr>
        <w:pStyle w:val="BodyText"/>
        <w:spacing w:line="213" w:lineRule="auto" w:before="238"/>
        <w:ind w:left="2472" w:right="545"/>
      </w:pPr>
      <w:r>
        <w:rPr>
          <w:rFonts w:ascii="Book Antiqua"/>
          <w:b/>
          <w:color w:val="231F20"/>
        </w:rPr>
        <w:t>Target Hostname </w:t>
      </w:r>
      <w:r>
        <w:rPr>
          <w:color w:val="231F20"/>
        </w:rPr>
        <w:t>The hostname of the node where the operation is </w:t>
      </w:r>
      <w:r>
        <w:rPr>
          <w:color w:val="231F20"/>
        </w:rPr>
        <w:t>targeted. Character limit: 128.</w:t>
      </w:r>
    </w:p>
    <w:p>
      <w:pPr>
        <w:pStyle w:val="BodyText"/>
        <w:spacing w:line="213" w:lineRule="auto" w:before="238"/>
        <w:ind w:left="2472" w:right="493"/>
      </w:pPr>
      <w:r>
        <w:rPr>
          <w:rFonts w:ascii="Book Antiqua"/>
          <w:b/>
          <w:color w:val="231F20"/>
        </w:rPr>
        <w:t>Target Name </w:t>
      </w:r>
      <w:r>
        <w:rPr>
          <w:color w:val="231F20"/>
        </w:rPr>
        <w:t>The descriptive name of the node where the operation is targeted. Character limit: 128.</w:t>
      </w:r>
    </w:p>
    <w:p>
      <w:pPr>
        <w:pStyle w:val="BodyText"/>
        <w:spacing w:before="215"/>
        <w:ind w:left="2472"/>
      </w:pPr>
      <w:r>
        <w:rPr>
          <w:rFonts w:ascii="Book Antiqua"/>
          <w:b/>
          <w:color w:val="231F20"/>
        </w:rPr>
        <w:t>Target</w:t>
      </w:r>
      <w:r>
        <w:rPr>
          <w:rFonts w:ascii="Book Antiqua"/>
          <w:b/>
          <w:color w:val="231F20"/>
          <w:spacing w:val="8"/>
        </w:rPr>
        <w:t> </w:t>
      </w:r>
      <w:r>
        <w:rPr>
          <w:rFonts w:ascii="Book Antiqua"/>
          <w:b/>
          <w:color w:val="231F20"/>
        </w:rPr>
        <w:t>Port</w:t>
      </w:r>
      <w:r>
        <w:rPr>
          <w:rFonts w:ascii="Book Antiqua"/>
          <w:b/>
          <w:color w:val="231F20"/>
          <w:spacing w:val="8"/>
        </w:rPr>
        <w:t> </w:t>
      </w:r>
      <w:r>
        <w:rPr>
          <w:color w:val="231F20"/>
        </w:rPr>
        <w:t>The</w:t>
      </w:r>
      <w:r>
        <w:rPr>
          <w:color w:val="231F20"/>
          <w:spacing w:val="9"/>
        </w:rPr>
        <w:t> </w:t>
      </w:r>
      <w:r>
        <w:rPr>
          <w:color w:val="231F20"/>
        </w:rPr>
        <w:t>communication</w:t>
      </w:r>
      <w:r>
        <w:rPr>
          <w:color w:val="231F20"/>
          <w:spacing w:val="8"/>
        </w:rPr>
        <w:t> </w:t>
      </w:r>
      <w:r>
        <w:rPr>
          <w:color w:val="231F20"/>
        </w:rPr>
        <w:t>port</w:t>
      </w:r>
      <w:r>
        <w:rPr>
          <w:color w:val="231F20"/>
          <w:spacing w:val="9"/>
        </w:rPr>
        <w:t> </w:t>
      </w:r>
      <w:r>
        <w:rPr>
          <w:color w:val="231F20"/>
        </w:rPr>
        <w:t>used</w:t>
      </w:r>
      <w:r>
        <w:rPr>
          <w:color w:val="231F20"/>
          <w:spacing w:val="8"/>
        </w:rPr>
        <w:t> </w:t>
      </w:r>
      <w:r>
        <w:rPr>
          <w:color w:val="231F20"/>
        </w:rPr>
        <w:t>by</w:t>
      </w:r>
      <w:r>
        <w:rPr>
          <w:color w:val="231F20"/>
          <w:spacing w:val="9"/>
        </w:rPr>
        <w:t> </w:t>
      </w:r>
      <w:r>
        <w:rPr>
          <w:color w:val="231F20"/>
        </w:rPr>
        <w:t>the</w:t>
      </w:r>
      <w:r>
        <w:rPr>
          <w:color w:val="231F20"/>
          <w:spacing w:val="8"/>
        </w:rPr>
        <w:t> </w:t>
      </w:r>
      <w:r>
        <w:rPr>
          <w:color w:val="231F20"/>
        </w:rPr>
        <w:t>target</w:t>
      </w:r>
      <w:r>
        <w:rPr>
          <w:color w:val="231F20"/>
          <w:spacing w:val="9"/>
        </w:rPr>
        <w:t> </w:t>
      </w:r>
      <w:r>
        <w:rPr>
          <w:color w:val="231F20"/>
        </w:rPr>
        <w:t>node.</w:t>
      </w:r>
      <w:r>
        <w:rPr>
          <w:color w:val="231F20"/>
          <w:spacing w:val="8"/>
        </w:rPr>
        <w:t> </w:t>
      </w:r>
      <w:r>
        <w:rPr>
          <w:color w:val="231F20"/>
        </w:rPr>
        <w:t>Character</w:t>
      </w:r>
      <w:r>
        <w:rPr>
          <w:color w:val="231F20"/>
          <w:spacing w:val="9"/>
        </w:rPr>
        <w:t> </w:t>
      </w:r>
      <w:r>
        <w:rPr>
          <w:color w:val="231F20"/>
        </w:rPr>
        <w:t>limit:</w:t>
      </w:r>
      <w:r>
        <w:rPr>
          <w:color w:val="231F20"/>
          <w:spacing w:val="8"/>
        </w:rPr>
        <w:t> </w:t>
      </w:r>
      <w:r>
        <w:rPr>
          <w:color w:val="231F20"/>
          <w:spacing w:val="-5"/>
        </w:rPr>
        <w:t>4.</w:t>
      </w:r>
    </w:p>
    <w:p>
      <w:pPr>
        <w:pStyle w:val="BodyText"/>
        <w:spacing w:before="2"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14"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bl>
    <w:p>
      <w:pPr>
        <w:pStyle w:val="BodyText"/>
        <w:spacing w:before="137"/>
      </w:pPr>
    </w:p>
    <w:p>
      <w:pPr>
        <w:pStyle w:val="BodyText"/>
        <w:spacing w:line="213" w:lineRule="auto"/>
        <w:ind w:left="2472" w:right="545"/>
      </w:pPr>
      <w:r>
        <w:rPr>
          <w:rFonts w:ascii="Book Antiqua"/>
          <w:b/>
          <w:color w:val="231F20"/>
        </w:rPr>
        <w:t>Target Protocol </w:t>
      </w:r>
      <w:r>
        <w:rPr>
          <w:color w:val="231F20"/>
        </w:rPr>
        <w:t>The communication protocol used by the target node. </w:t>
      </w:r>
      <w:r>
        <w:rPr>
          <w:color w:val="231F20"/>
        </w:rPr>
        <w:t>Character limit: 16.</w:t>
      </w:r>
    </w:p>
    <w:p>
      <w:pPr>
        <w:pStyle w:val="BodyText"/>
        <w:spacing w:line="213" w:lineRule="auto" w:before="238"/>
        <w:ind w:left="2472" w:right="545"/>
      </w:pPr>
      <w:r>
        <w:rPr>
          <w:rFonts w:ascii="Book Antiqua"/>
          <w:b/>
          <w:color w:val="231F20"/>
        </w:rPr>
        <w:t>Target Type </w:t>
      </w:r>
      <w:r>
        <w:rPr>
          <w:color w:val="231F20"/>
        </w:rPr>
        <w:t>The descriptive classification of the node where the operation </w:t>
      </w:r>
      <w:r>
        <w:rPr>
          <w:color w:val="231F20"/>
        </w:rPr>
        <w:t>is targeted. Character limit: 4.</w:t>
      </w:r>
    </w:p>
    <w:p>
      <w:pPr>
        <w:pStyle w:val="BodyText"/>
        <w:spacing w:before="9"/>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2"/>
                <w:sz w:val="18"/>
              </w:rPr>
              <w:t>-</w:t>
            </w:r>
            <w:r>
              <w:rPr>
                <w:color w:val="231F20"/>
                <w:spacing w:val="-12"/>
                <w:sz w:val="18"/>
              </w:rPr>
              <w:t>1</w:t>
            </w:r>
          </w:p>
        </w:tc>
        <w:tc>
          <w:tcPr>
            <w:tcW w:w="4950" w:type="dxa"/>
          </w:tcPr>
          <w:p>
            <w:pPr>
              <w:pStyle w:val="TableParagraph"/>
              <w:rPr>
                <w:sz w:val="18"/>
              </w:rPr>
            </w:pPr>
            <w:r>
              <w:rPr>
                <w:color w:val="231F20"/>
                <w:spacing w:val="-2"/>
                <w:sz w:val="18"/>
              </w:rPr>
              <w:t>Not_Available</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5"/>
                <w:sz w:val="18"/>
              </w:rPr>
              <w:t>GUI</w:t>
            </w:r>
          </w:p>
        </w:tc>
      </w:tr>
      <w:tr>
        <w:trPr>
          <w:trHeight w:val="309"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CLIENT</w:t>
            </w:r>
          </w:p>
        </w:tc>
      </w:tr>
      <w:tr>
        <w:trPr>
          <w:trHeight w:val="309" w:hRule="atLeast"/>
        </w:trPr>
        <w:tc>
          <w:tcPr>
            <w:tcW w:w="2583" w:type="dxa"/>
          </w:tcPr>
          <w:p>
            <w:pPr>
              <w:pStyle w:val="TableParagraph"/>
              <w:ind w:left="44"/>
              <w:rPr>
                <w:sz w:val="18"/>
              </w:rPr>
            </w:pPr>
            <w:r>
              <w:rPr>
                <w:color w:val="231F20"/>
                <w:spacing w:val="-10"/>
                <w:sz w:val="18"/>
              </w:rPr>
              <w:t>3</w:t>
            </w:r>
          </w:p>
        </w:tc>
        <w:tc>
          <w:tcPr>
            <w:tcW w:w="4950" w:type="dxa"/>
          </w:tcPr>
          <w:p>
            <w:pPr>
              <w:pStyle w:val="TableParagraph"/>
              <w:rPr>
                <w:sz w:val="18"/>
              </w:rPr>
            </w:pPr>
            <w:r>
              <w:rPr>
                <w:color w:val="231F20"/>
                <w:spacing w:val="-2"/>
                <w:sz w:val="18"/>
              </w:rPr>
              <w:t>SERVER</w:t>
            </w:r>
          </w:p>
        </w:tc>
      </w:tr>
      <w:tr>
        <w:trPr>
          <w:trHeight w:val="309"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pacing w:val="-2"/>
                <w:sz w:val="18"/>
              </w:rPr>
              <w:t>ENDPOINT</w:t>
            </w:r>
          </w:p>
        </w:tc>
      </w:tr>
      <w:tr>
        <w:trPr>
          <w:trHeight w:val="314" w:hRule="atLeast"/>
        </w:trPr>
        <w:tc>
          <w:tcPr>
            <w:tcW w:w="2583" w:type="dxa"/>
          </w:tcPr>
          <w:p>
            <w:pPr>
              <w:pStyle w:val="TableParagraph"/>
              <w:ind w:left="44"/>
              <w:rPr>
                <w:sz w:val="18"/>
              </w:rPr>
            </w:pPr>
            <w:r>
              <w:rPr>
                <w:color w:val="231F20"/>
                <w:spacing w:val="-10"/>
                <w:sz w:val="18"/>
              </w:rPr>
              <w:t>5</w:t>
            </w:r>
          </w:p>
        </w:tc>
        <w:tc>
          <w:tcPr>
            <w:tcW w:w="4950" w:type="dxa"/>
          </w:tcPr>
          <w:p>
            <w:pPr>
              <w:pStyle w:val="TableParagraph"/>
              <w:rPr>
                <w:sz w:val="18"/>
              </w:rPr>
            </w:pPr>
            <w:r>
              <w:rPr>
                <w:color w:val="231F20"/>
                <w:spacing w:val="-2"/>
                <w:sz w:val="18"/>
              </w:rPr>
              <w:t>AGENT</w:t>
            </w:r>
          </w:p>
        </w:tc>
      </w:tr>
    </w:tbl>
    <w:p>
      <w:pPr>
        <w:spacing w:after="0"/>
        <w:rPr>
          <w:sz w:val="18"/>
        </w:rPr>
        <w:sectPr>
          <w:pgSz w:w="12240" w:h="15840"/>
          <w:pgMar w:header="0" w:footer="736" w:top="1180" w:bottom="1197"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10"/>
                <w:sz w:val="18"/>
              </w:rPr>
              <w:t>6</w:t>
            </w:r>
          </w:p>
        </w:tc>
        <w:tc>
          <w:tcPr>
            <w:tcW w:w="4950" w:type="dxa"/>
          </w:tcPr>
          <w:p>
            <w:pPr>
              <w:pStyle w:val="TableParagraph"/>
              <w:rPr>
                <w:sz w:val="18"/>
              </w:rPr>
            </w:pPr>
            <w:r>
              <w:rPr>
                <w:color w:val="231F20"/>
                <w:spacing w:val="-5"/>
                <w:sz w:val="18"/>
              </w:rPr>
              <w:t>CLI</w:t>
            </w:r>
          </w:p>
        </w:tc>
      </w:tr>
      <w:tr>
        <w:trPr>
          <w:trHeight w:val="314" w:hRule="atLeast"/>
        </w:trPr>
        <w:tc>
          <w:tcPr>
            <w:tcW w:w="2583" w:type="dxa"/>
          </w:tcPr>
          <w:p>
            <w:pPr>
              <w:pStyle w:val="TableParagraph"/>
              <w:ind w:left="44"/>
              <w:rPr>
                <w:sz w:val="18"/>
              </w:rPr>
            </w:pPr>
            <w:r>
              <w:rPr>
                <w:color w:val="231F20"/>
                <w:spacing w:val="-10"/>
                <w:sz w:val="18"/>
              </w:rPr>
              <w:t>7</w:t>
            </w:r>
          </w:p>
        </w:tc>
        <w:tc>
          <w:tcPr>
            <w:tcW w:w="4950" w:type="dxa"/>
          </w:tcPr>
          <w:p>
            <w:pPr>
              <w:pStyle w:val="TableParagraph"/>
              <w:rPr>
                <w:sz w:val="18"/>
              </w:rPr>
            </w:pPr>
            <w:r>
              <w:rPr>
                <w:color w:val="231F20"/>
                <w:spacing w:val="-2"/>
                <w:sz w:val="18"/>
              </w:rPr>
              <w:t>OTHER</w:t>
            </w:r>
          </w:p>
        </w:tc>
      </w:tr>
    </w:tbl>
    <w:p>
      <w:pPr>
        <w:pStyle w:val="BodyText"/>
        <w:spacing w:before="154"/>
      </w:pPr>
    </w:p>
    <w:p>
      <w:pPr>
        <w:pStyle w:val="BodyText"/>
        <w:spacing w:line="213" w:lineRule="auto" w:before="1"/>
        <w:ind w:left="2232" w:right="1104"/>
      </w:pPr>
      <w:bookmarkStart w:name="_bookmark342" w:id="716"/>
      <w:bookmarkEnd w:id="716"/>
      <w:r>
        <w:rPr/>
      </w:r>
      <w:r>
        <w:rPr>
          <w:rFonts w:ascii="Book Antiqua"/>
          <w:b/>
          <w:color w:val="231F20"/>
        </w:rPr>
        <w:t>Timestamp </w:t>
      </w:r>
      <w:r>
        <w:rPr>
          <w:color w:val="231F20"/>
        </w:rPr>
        <w:t>This is the time the log event was generated. The format </w:t>
      </w:r>
      <w:r>
        <w:rPr>
          <w:color w:val="231F20"/>
        </w:rPr>
        <w:t>is MM/DD/YY HH:MM:SS. Character limit: 16</w:t>
      </w:r>
    </w:p>
    <w:p>
      <w:pPr>
        <w:pStyle w:val="BodyText"/>
        <w:spacing w:line="213" w:lineRule="auto" w:before="238"/>
        <w:ind w:left="2232" w:right="493"/>
      </w:pPr>
      <w:r>
        <w:rPr>
          <w:rFonts w:ascii="Book Antiqua"/>
          <w:b/>
          <w:color w:val="231F20"/>
        </w:rPr>
        <w:t>Timestamp (MS) </w:t>
      </w:r>
      <w:r>
        <w:rPr>
          <w:color w:val="231F20"/>
        </w:rPr>
        <w:t>The UTC Timestamp in milliseconds from the epoch. (Number </w:t>
      </w:r>
      <w:r>
        <w:rPr>
          <w:color w:val="231F20"/>
        </w:rPr>
        <w:t>of seconds elapsed since midnight Coordinated Universal Time (UTC) of January 1, 1970, not counting leap seconds. Also known as POSIX time or UNIX time.) Character limit: 8.</w:t>
      </w:r>
    </w:p>
    <w:p>
      <w:pPr>
        <w:pStyle w:val="BodyText"/>
        <w:spacing w:line="213" w:lineRule="auto" w:before="237"/>
        <w:ind w:left="2232"/>
      </w:pPr>
      <w:r>
        <w:rPr>
          <w:rFonts w:ascii="Book Antiqua"/>
          <w:b/>
          <w:color w:val="231F20"/>
        </w:rPr>
        <w:t>Trace Level </w:t>
      </w:r>
      <w:r>
        <w:rPr>
          <w:color w:val="231F20"/>
        </w:rPr>
        <w:t>The minimum AUDIT_TRACE level required to generate this </w:t>
      </w:r>
      <w:r>
        <w:rPr>
          <w:color w:val="231F20"/>
        </w:rPr>
        <w:t>message. Character limit: 4.</w:t>
      </w:r>
    </w:p>
    <w:p>
      <w:pPr>
        <w:pStyle w:val="BodyText"/>
        <w:spacing w:before="8"/>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4"/>
                <w:sz w:val="18"/>
              </w:rPr>
              <w:t>4000</w:t>
            </w:r>
          </w:p>
        </w:tc>
        <w:tc>
          <w:tcPr>
            <w:tcW w:w="4950" w:type="dxa"/>
          </w:tcPr>
          <w:p>
            <w:pPr>
              <w:pStyle w:val="TableParagraph"/>
              <w:rPr>
                <w:sz w:val="18"/>
              </w:rPr>
            </w:pPr>
            <w:r>
              <w:rPr>
                <w:color w:val="231F20"/>
                <w:spacing w:val="-2"/>
                <w:sz w:val="18"/>
              </w:rPr>
              <w:t>Detail</w:t>
            </w:r>
          </w:p>
        </w:tc>
      </w:tr>
      <w:tr>
        <w:trPr>
          <w:trHeight w:val="309" w:hRule="atLeast"/>
        </w:trPr>
        <w:tc>
          <w:tcPr>
            <w:tcW w:w="2583" w:type="dxa"/>
          </w:tcPr>
          <w:p>
            <w:pPr>
              <w:pStyle w:val="TableParagraph"/>
              <w:ind w:left="44"/>
              <w:rPr>
                <w:sz w:val="18"/>
              </w:rPr>
            </w:pPr>
            <w:r>
              <w:rPr>
                <w:color w:val="231F20"/>
                <w:spacing w:val="-4"/>
                <w:sz w:val="18"/>
              </w:rPr>
              <w:t>5000</w:t>
            </w:r>
          </w:p>
        </w:tc>
        <w:tc>
          <w:tcPr>
            <w:tcW w:w="4950" w:type="dxa"/>
          </w:tcPr>
          <w:p>
            <w:pPr>
              <w:pStyle w:val="TableParagraph"/>
              <w:rPr>
                <w:sz w:val="18"/>
              </w:rPr>
            </w:pPr>
            <w:r>
              <w:rPr>
                <w:color w:val="231F20"/>
                <w:spacing w:val="-2"/>
                <w:sz w:val="18"/>
              </w:rPr>
              <w:t>Basic</w:t>
            </w:r>
          </w:p>
        </w:tc>
      </w:tr>
      <w:tr>
        <w:trPr>
          <w:trHeight w:val="314" w:hRule="atLeast"/>
        </w:trPr>
        <w:tc>
          <w:tcPr>
            <w:tcW w:w="2583" w:type="dxa"/>
          </w:tcPr>
          <w:p>
            <w:pPr>
              <w:pStyle w:val="TableParagraph"/>
              <w:ind w:left="44"/>
              <w:rPr>
                <w:sz w:val="18"/>
              </w:rPr>
            </w:pPr>
            <w:r>
              <w:rPr>
                <w:color w:val="231F20"/>
                <w:spacing w:val="-4"/>
                <w:sz w:val="18"/>
              </w:rPr>
              <w:t>6000</w:t>
            </w:r>
          </w:p>
        </w:tc>
        <w:tc>
          <w:tcPr>
            <w:tcW w:w="4950" w:type="dxa"/>
          </w:tcPr>
          <w:p>
            <w:pPr>
              <w:pStyle w:val="TableParagraph"/>
              <w:rPr>
                <w:sz w:val="18"/>
              </w:rPr>
            </w:pPr>
            <w:r>
              <w:rPr>
                <w:color w:val="231F20"/>
                <w:spacing w:val="-2"/>
                <w:sz w:val="18"/>
              </w:rPr>
              <w:t>Minimum</w:t>
            </w:r>
          </w:p>
        </w:tc>
      </w:tr>
    </w:tbl>
    <w:p>
      <w:pPr>
        <w:pStyle w:val="BodyText"/>
        <w:spacing w:before="115"/>
      </w:pPr>
    </w:p>
    <w:p>
      <w:pPr>
        <w:pStyle w:val="BodyText"/>
        <w:ind w:left="2232"/>
      </w:pPr>
      <w:r>
        <w:rPr>
          <w:rFonts w:ascii="Book Antiqua"/>
          <w:b/>
          <w:color w:val="231F20"/>
        </w:rPr>
        <w:t>User</w:t>
      </w:r>
      <w:r>
        <w:rPr>
          <w:rFonts w:ascii="Book Antiqua"/>
          <w:b/>
          <w:color w:val="231F20"/>
          <w:spacing w:val="11"/>
        </w:rPr>
        <w:t> </w:t>
      </w:r>
      <w:r>
        <w:rPr>
          <w:rFonts w:ascii="Book Antiqua"/>
          <w:b/>
          <w:color w:val="231F20"/>
        </w:rPr>
        <w:t>ID</w:t>
      </w:r>
      <w:r>
        <w:rPr>
          <w:rFonts w:ascii="Book Antiqua"/>
          <w:b/>
          <w:color w:val="231F20"/>
          <w:spacing w:val="11"/>
        </w:rPr>
        <w:t> </w:t>
      </w:r>
      <w:r>
        <w:rPr>
          <w:color w:val="231F20"/>
        </w:rPr>
        <w:t>The</w:t>
      </w:r>
      <w:r>
        <w:rPr>
          <w:color w:val="231F20"/>
          <w:spacing w:val="11"/>
        </w:rPr>
        <w:t> </w:t>
      </w:r>
      <w:r>
        <w:rPr>
          <w:color w:val="231F20"/>
        </w:rPr>
        <w:t>user</w:t>
      </w:r>
      <w:r>
        <w:rPr>
          <w:color w:val="231F20"/>
          <w:spacing w:val="12"/>
        </w:rPr>
        <w:t> </w:t>
      </w:r>
      <w:r>
        <w:rPr>
          <w:color w:val="231F20"/>
        </w:rPr>
        <w:t>ID</w:t>
      </w:r>
      <w:r>
        <w:rPr>
          <w:color w:val="231F20"/>
          <w:spacing w:val="11"/>
        </w:rPr>
        <w:t> </w:t>
      </w:r>
      <w:r>
        <w:rPr>
          <w:color w:val="231F20"/>
        </w:rPr>
        <w:t>that</w:t>
      </w:r>
      <w:r>
        <w:rPr>
          <w:color w:val="231F20"/>
          <w:spacing w:val="11"/>
        </w:rPr>
        <w:t> </w:t>
      </w:r>
      <w:r>
        <w:rPr>
          <w:color w:val="231F20"/>
        </w:rPr>
        <w:t>initiated</w:t>
      </w:r>
      <w:r>
        <w:rPr>
          <w:color w:val="231F20"/>
          <w:spacing w:val="11"/>
        </w:rPr>
        <w:t> </w:t>
      </w:r>
      <w:r>
        <w:rPr>
          <w:color w:val="231F20"/>
        </w:rPr>
        <w:t>the</w:t>
      </w:r>
      <w:r>
        <w:rPr>
          <w:color w:val="231F20"/>
          <w:spacing w:val="12"/>
        </w:rPr>
        <w:t> </w:t>
      </w:r>
      <w:r>
        <w:rPr>
          <w:color w:val="231F20"/>
        </w:rPr>
        <w:t>operation.</w:t>
      </w:r>
      <w:r>
        <w:rPr>
          <w:color w:val="231F20"/>
          <w:spacing w:val="11"/>
        </w:rPr>
        <w:t> </w:t>
      </w:r>
      <w:r>
        <w:rPr>
          <w:color w:val="231F20"/>
        </w:rPr>
        <w:t>Character</w:t>
      </w:r>
      <w:r>
        <w:rPr>
          <w:color w:val="231F20"/>
          <w:spacing w:val="11"/>
        </w:rPr>
        <w:t> </w:t>
      </w:r>
      <w:r>
        <w:rPr>
          <w:color w:val="231F20"/>
        </w:rPr>
        <w:t>limit:</w:t>
      </w:r>
      <w:r>
        <w:rPr>
          <w:color w:val="231F20"/>
          <w:spacing w:val="11"/>
        </w:rPr>
        <w:t> </w:t>
      </w:r>
      <w:r>
        <w:rPr>
          <w:color w:val="231F20"/>
          <w:spacing w:val="-4"/>
        </w:rPr>
        <w:t>128.</w:t>
      </w:r>
    </w:p>
    <w:p>
      <w:pPr>
        <w:pStyle w:val="BodyText"/>
        <w:spacing w:before="13"/>
        <w:rPr>
          <w:sz w:val="15"/>
        </w:rPr>
      </w:pPr>
      <w:r>
        <w:rPr/>
        <mc:AlternateContent>
          <mc:Choice Requires="wps">
            <w:drawing>
              <wp:anchor distT="0" distB="0" distL="0" distR="0" allowOverlap="1" layoutInCell="1" locked="0" behindDoc="1" simplePos="0" relativeHeight="487755264">
                <wp:simplePos x="0" y="0"/>
                <wp:positionH relativeFrom="page">
                  <wp:posOffset>760323</wp:posOffset>
                </wp:positionH>
                <wp:positionV relativeFrom="paragraph">
                  <wp:posOffset>152108</wp:posOffset>
                </wp:positionV>
                <wp:extent cx="6082665" cy="1270"/>
                <wp:effectExtent l="0" t="0" r="0" b="0"/>
                <wp:wrapTopAndBottom/>
                <wp:docPr id="3397" name="Graphic 3397"/>
                <wp:cNvGraphicFramePr>
                  <a:graphicFrameLocks/>
                </wp:cNvGraphicFramePr>
                <a:graphic>
                  <a:graphicData uri="http://schemas.microsoft.com/office/word/2010/wordprocessingShape">
                    <wps:wsp>
                      <wps:cNvPr id="3397" name="Graphic 3397"/>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77078pt;width:478.95pt;height:.1pt;mso-position-horizontal-relative:page;mso-position-vertical-relative:paragraph;z-index:-15561216;mso-wrap-distance-left:0;mso-wrap-distance-right:0" id="docshape295"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ITM Historical Collection attributes" w:id="717"/>
      <w:bookmarkEnd w:id="717"/>
      <w:r>
        <w:rPr>
          <w:b w:val="0"/>
        </w:rPr>
      </w:r>
      <w:r>
        <w:rPr>
          <w:color w:val="231F20"/>
        </w:rPr>
        <w:t>ITM</w:t>
      </w:r>
      <w:r>
        <w:rPr>
          <w:color w:val="231F20"/>
          <w:spacing w:val="4"/>
        </w:rPr>
        <w:t> </w:t>
      </w:r>
      <w:r>
        <w:rPr>
          <w:color w:val="231F20"/>
        </w:rPr>
        <w:t>Historical</w:t>
      </w:r>
      <w:r>
        <w:rPr>
          <w:color w:val="231F20"/>
          <w:spacing w:val="5"/>
        </w:rPr>
        <w:t> </w:t>
      </w:r>
      <w:r>
        <w:rPr>
          <w:color w:val="231F20"/>
        </w:rPr>
        <w:t>Collection</w:t>
      </w:r>
      <w:r>
        <w:rPr>
          <w:color w:val="231F20"/>
          <w:spacing w:val="4"/>
        </w:rPr>
        <w:t> </w:t>
      </w:r>
      <w:r>
        <w:rPr>
          <w:color w:val="231F20"/>
          <w:spacing w:val="-2"/>
        </w:rPr>
        <w:t>attributes</w:t>
      </w:r>
    </w:p>
    <w:p>
      <w:pPr>
        <w:pStyle w:val="BodyText"/>
        <w:spacing w:line="213" w:lineRule="auto" w:before="138"/>
        <w:ind w:left="2232" w:right="454"/>
        <w:jc w:val="both"/>
      </w:pPr>
      <w:r>
        <w:rPr>
          <w:color w:val="231F20"/>
        </w:rPr>
        <w:t>ITM Historical Collection attributes provide information about the active historical collections that are exporting data from a location, including the metrics about </w:t>
      </w:r>
      <w:r>
        <w:rPr>
          <w:color w:val="231F20"/>
        </w:rPr>
        <w:t>that historical collection.</w:t>
      </w:r>
    </w:p>
    <w:p>
      <w:pPr>
        <w:spacing w:line="213" w:lineRule="auto" w:before="238"/>
        <w:ind w:left="2232" w:right="464" w:firstLine="0"/>
        <w:jc w:val="both"/>
        <w:rPr>
          <w:sz w:val="20"/>
        </w:rPr>
      </w:pPr>
      <w:r>
        <w:rPr>
          <w:rFonts w:ascii="Book Antiqua"/>
          <w:b/>
          <w:color w:val="231F20"/>
          <w:sz w:val="20"/>
        </w:rPr>
        <w:t>Attribute Group Name </w:t>
      </w:r>
      <w:r>
        <w:rPr>
          <w:color w:val="231F20"/>
          <w:sz w:val="20"/>
        </w:rPr>
        <w:t>The name of the attribute group for which the collection </w:t>
      </w:r>
      <w:r>
        <w:rPr>
          <w:color w:val="231F20"/>
          <w:sz w:val="20"/>
        </w:rPr>
        <w:t>is being performed.</w:t>
      </w:r>
    </w:p>
    <w:p>
      <w:pPr>
        <w:spacing w:before="215"/>
        <w:ind w:left="2232" w:right="0" w:firstLine="0"/>
        <w:jc w:val="left"/>
        <w:rPr>
          <w:sz w:val="20"/>
        </w:rPr>
      </w:pPr>
      <w:r>
        <w:rPr>
          <w:rFonts w:ascii="Book Antiqua"/>
          <w:b/>
          <w:color w:val="231F20"/>
          <w:sz w:val="20"/>
        </w:rPr>
        <w:t>Collection</w:t>
      </w:r>
      <w:r>
        <w:rPr>
          <w:rFonts w:ascii="Book Antiqua"/>
          <w:b/>
          <w:color w:val="231F20"/>
          <w:spacing w:val="10"/>
          <w:sz w:val="20"/>
        </w:rPr>
        <w:t> </w:t>
      </w:r>
      <w:r>
        <w:rPr>
          <w:rFonts w:ascii="Book Antiqua"/>
          <w:b/>
          <w:color w:val="231F20"/>
          <w:sz w:val="20"/>
        </w:rPr>
        <w:t>Identifier</w:t>
      </w:r>
      <w:r>
        <w:rPr>
          <w:rFonts w:ascii="Book Antiqua"/>
          <w:b/>
          <w:color w:val="231F20"/>
          <w:spacing w:val="10"/>
          <w:sz w:val="20"/>
        </w:rPr>
        <w:t> </w:t>
      </w:r>
      <w:r>
        <w:rPr>
          <w:color w:val="231F20"/>
          <w:sz w:val="20"/>
        </w:rPr>
        <w:t>The</w:t>
      </w:r>
      <w:r>
        <w:rPr>
          <w:color w:val="231F20"/>
          <w:spacing w:val="10"/>
          <w:sz w:val="20"/>
        </w:rPr>
        <w:t> </w:t>
      </w:r>
      <w:r>
        <w:rPr>
          <w:color w:val="231F20"/>
          <w:sz w:val="20"/>
        </w:rPr>
        <w:t>name</w:t>
      </w:r>
      <w:r>
        <w:rPr>
          <w:color w:val="231F20"/>
          <w:spacing w:val="11"/>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z w:val="20"/>
        </w:rPr>
        <w:t>that</w:t>
      </w:r>
      <w:r>
        <w:rPr>
          <w:color w:val="231F20"/>
          <w:spacing w:val="11"/>
          <w:sz w:val="20"/>
        </w:rPr>
        <w:t> </w:t>
      </w:r>
      <w:r>
        <w:rPr>
          <w:color w:val="231F20"/>
          <w:sz w:val="20"/>
        </w:rPr>
        <w:t>triggered</w:t>
      </w:r>
      <w:r>
        <w:rPr>
          <w:color w:val="231F20"/>
          <w:spacing w:val="10"/>
          <w:sz w:val="20"/>
        </w:rPr>
        <w:t> </w:t>
      </w:r>
      <w:r>
        <w:rPr>
          <w:color w:val="231F20"/>
          <w:sz w:val="20"/>
        </w:rPr>
        <w:t>the</w:t>
      </w:r>
      <w:r>
        <w:rPr>
          <w:color w:val="231F20"/>
          <w:spacing w:val="10"/>
          <w:sz w:val="20"/>
        </w:rPr>
        <w:t> </w:t>
      </w:r>
      <w:r>
        <w:rPr>
          <w:color w:val="231F20"/>
          <w:spacing w:val="-2"/>
          <w:sz w:val="20"/>
        </w:rPr>
        <w:t>collection.</w:t>
      </w:r>
    </w:p>
    <w:p>
      <w:pPr>
        <w:pStyle w:val="BodyText"/>
        <w:spacing w:line="213" w:lineRule="auto" w:before="232"/>
        <w:ind w:left="2232" w:right="545"/>
      </w:pPr>
      <w:r>
        <w:rPr>
          <w:rFonts w:ascii="Book Antiqua"/>
          <w:b/>
          <w:color w:val="231F20"/>
        </w:rPr>
        <w:t>Collection Interval </w:t>
      </w:r>
      <w:r>
        <w:rPr>
          <w:color w:val="231F20"/>
        </w:rPr>
        <w:t>The amount of time between collections of historical data, </w:t>
      </w:r>
      <w:r>
        <w:rPr>
          <w:color w:val="231F20"/>
        </w:rPr>
        <w:t>in seconds. This attribute is only relevant for sampled data, not event data.</w:t>
      </w:r>
    </w:p>
    <w:p>
      <w:pPr>
        <w:spacing w:before="215"/>
        <w:ind w:left="2232" w:right="0" w:firstLine="0"/>
        <w:jc w:val="left"/>
        <w:rPr>
          <w:sz w:val="20"/>
        </w:rPr>
      </w:pPr>
      <w:r>
        <w:rPr>
          <w:rFonts w:ascii="Book Antiqua"/>
          <w:b/>
          <w:color w:val="231F20"/>
          <w:sz w:val="20"/>
        </w:rPr>
        <w:t>Collection</w:t>
      </w:r>
      <w:r>
        <w:rPr>
          <w:rFonts w:ascii="Book Antiqua"/>
          <w:b/>
          <w:color w:val="231F20"/>
          <w:spacing w:val="8"/>
          <w:sz w:val="20"/>
        </w:rPr>
        <w:t> </w:t>
      </w:r>
      <w:r>
        <w:rPr>
          <w:rFonts w:ascii="Book Antiqua"/>
          <w:b/>
          <w:color w:val="231F20"/>
          <w:sz w:val="20"/>
        </w:rPr>
        <w:t>Type</w:t>
      </w:r>
      <w:r>
        <w:rPr>
          <w:rFonts w:ascii="Book Antiqua"/>
          <w:b/>
          <w:color w:val="231F20"/>
          <w:spacing w:val="8"/>
          <w:sz w:val="20"/>
        </w:rPr>
        <w:t> </w:t>
      </w:r>
      <w:r>
        <w:rPr>
          <w:color w:val="231F20"/>
          <w:sz w:val="20"/>
        </w:rPr>
        <w:t>Indicates</w:t>
      </w:r>
      <w:r>
        <w:rPr>
          <w:color w:val="231F20"/>
          <w:spacing w:val="9"/>
          <w:sz w:val="20"/>
        </w:rPr>
        <w:t> </w:t>
      </w:r>
      <w:r>
        <w:rPr>
          <w:color w:val="231F20"/>
          <w:sz w:val="20"/>
        </w:rPr>
        <w:t>the</w:t>
      </w:r>
      <w:r>
        <w:rPr>
          <w:color w:val="231F20"/>
          <w:spacing w:val="8"/>
          <w:sz w:val="20"/>
        </w:rPr>
        <w:t> </w:t>
      </w:r>
      <w:r>
        <w:rPr>
          <w:color w:val="231F20"/>
          <w:sz w:val="20"/>
        </w:rPr>
        <w:t>type</w:t>
      </w:r>
      <w:r>
        <w:rPr>
          <w:color w:val="231F20"/>
          <w:spacing w:val="9"/>
          <w:sz w:val="20"/>
        </w:rPr>
        <w:t> </w:t>
      </w:r>
      <w:r>
        <w:rPr>
          <w:color w:val="231F20"/>
          <w:sz w:val="20"/>
        </w:rPr>
        <w:t>of</w:t>
      </w:r>
      <w:r>
        <w:rPr>
          <w:color w:val="231F20"/>
          <w:spacing w:val="8"/>
          <w:sz w:val="20"/>
        </w:rPr>
        <w:t> </w:t>
      </w:r>
      <w:r>
        <w:rPr>
          <w:color w:val="231F20"/>
          <w:sz w:val="20"/>
        </w:rPr>
        <w:t>collection,</w:t>
      </w:r>
      <w:r>
        <w:rPr>
          <w:color w:val="231F20"/>
          <w:spacing w:val="8"/>
          <w:sz w:val="20"/>
        </w:rPr>
        <w:t> </w:t>
      </w:r>
      <w:r>
        <w:rPr>
          <w:color w:val="231F20"/>
          <w:sz w:val="20"/>
        </w:rPr>
        <w:t>enterprise</w:t>
      </w:r>
      <w:r>
        <w:rPr>
          <w:color w:val="231F20"/>
          <w:spacing w:val="9"/>
          <w:sz w:val="20"/>
        </w:rPr>
        <w:t> </w:t>
      </w:r>
      <w:r>
        <w:rPr>
          <w:color w:val="231F20"/>
          <w:sz w:val="20"/>
        </w:rPr>
        <w:t>or</w:t>
      </w:r>
      <w:r>
        <w:rPr>
          <w:color w:val="231F20"/>
          <w:spacing w:val="8"/>
          <w:sz w:val="20"/>
        </w:rPr>
        <w:t> </w:t>
      </w:r>
      <w:r>
        <w:rPr>
          <w:color w:val="231F20"/>
          <w:spacing w:val="-2"/>
          <w:sz w:val="20"/>
        </w:rPr>
        <w:t>private.</w:t>
      </w:r>
    </w:p>
    <w:p>
      <w:pPr>
        <w:pStyle w:val="BodyText"/>
        <w:spacing w:before="3"/>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2"/>
                <w:sz w:val="18"/>
              </w:rPr>
              <w:t>Enterprise</w:t>
            </w:r>
          </w:p>
        </w:tc>
      </w:tr>
      <w:tr>
        <w:trPr>
          <w:trHeight w:val="314"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Private</w:t>
            </w:r>
          </w:p>
        </w:tc>
      </w:tr>
    </w:tbl>
    <w:p>
      <w:pPr>
        <w:pStyle w:val="BodyText"/>
        <w:spacing w:before="114"/>
      </w:pPr>
    </w:p>
    <w:p>
      <w:pPr>
        <w:spacing w:before="0"/>
        <w:ind w:left="2232" w:right="0" w:firstLine="0"/>
        <w:jc w:val="left"/>
        <w:rPr>
          <w:sz w:val="20"/>
        </w:rPr>
      </w:pPr>
      <w:r>
        <w:rPr>
          <w:rFonts w:ascii="Book Antiqua"/>
          <w:b/>
          <w:color w:val="231F20"/>
          <w:sz w:val="20"/>
        </w:rPr>
        <w:t>Data</w:t>
      </w:r>
      <w:r>
        <w:rPr>
          <w:rFonts w:ascii="Book Antiqua"/>
          <w:b/>
          <w:color w:val="231F20"/>
          <w:spacing w:val="10"/>
          <w:sz w:val="20"/>
        </w:rPr>
        <w:t> </w:t>
      </w:r>
      <w:r>
        <w:rPr>
          <w:rFonts w:ascii="Book Antiqua"/>
          <w:b/>
          <w:color w:val="231F20"/>
          <w:sz w:val="20"/>
        </w:rPr>
        <w:t>Exported</w:t>
      </w:r>
      <w:r>
        <w:rPr>
          <w:rFonts w:ascii="Book Antiqua"/>
          <w:b/>
          <w:color w:val="231F20"/>
          <w:spacing w:val="10"/>
          <w:sz w:val="20"/>
        </w:rPr>
        <w:t> </w:t>
      </w:r>
      <w:r>
        <w:rPr>
          <w:color w:val="231F20"/>
          <w:sz w:val="20"/>
        </w:rPr>
        <w:t>The</w:t>
      </w:r>
      <w:r>
        <w:rPr>
          <w:color w:val="231F20"/>
          <w:spacing w:val="10"/>
          <w:sz w:val="20"/>
        </w:rPr>
        <w:t> </w:t>
      </w:r>
      <w:r>
        <w:rPr>
          <w:color w:val="231F20"/>
          <w:sz w:val="20"/>
        </w:rPr>
        <w:t>total</w:t>
      </w:r>
      <w:r>
        <w:rPr>
          <w:color w:val="231F20"/>
          <w:spacing w:val="10"/>
          <w:sz w:val="20"/>
        </w:rPr>
        <w:t> </w:t>
      </w:r>
      <w:r>
        <w:rPr>
          <w:color w:val="231F20"/>
          <w:sz w:val="20"/>
        </w:rPr>
        <w:t>amount</w:t>
      </w:r>
      <w:r>
        <w:rPr>
          <w:color w:val="231F20"/>
          <w:spacing w:val="10"/>
          <w:sz w:val="20"/>
        </w:rPr>
        <w:t> </w:t>
      </w:r>
      <w:r>
        <w:rPr>
          <w:color w:val="231F20"/>
          <w:sz w:val="20"/>
        </w:rPr>
        <w:t>of</w:t>
      </w:r>
      <w:r>
        <w:rPr>
          <w:color w:val="231F20"/>
          <w:spacing w:val="10"/>
          <w:sz w:val="20"/>
        </w:rPr>
        <w:t> </w:t>
      </w:r>
      <w:r>
        <w:rPr>
          <w:color w:val="231F20"/>
          <w:sz w:val="20"/>
        </w:rPr>
        <w:t>uncompressed</w:t>
      </w:r>
      <w:r>
        <w:rPr>
          <w:color w:val="231F20"/>
          <w:spacing w:val="10"/>
          <w:sz w:val="20"/>
        </w:rPr>
        <w:t> </w:t>
      </w:r>
      <w:r>
        <w:rPr>
          <w:color w:val="231F20"/>
          <w:sz w:val="20"/>
        </w:rPr>
        <w:t>data</w:t>
      </w:r>
      <w:r>
        <w:rPr>
          <w:color w:val="231F20"/>
          <w:spacing w:val="10"/>
          <w:sz w:val="20"/>
        </w:rPr>
        <w:t> </w:t>
      </w:r>
      <w:r>
        <w:rPr>
          <w:color w:val="231F20"/>
          <w:sz w:val="20"/>
        </w:rPr>
        <w:t>exported,</w:t>
      </w:r>
      <w:r>
        <w:rPr>
          <w:color w:val="231F20"/>
          <w:spacing w:val="10"/>
          <w:sz w:val="20"/>
        </w:rPr>
        <w:t> </w:t>
      </w:r>
      <w:r>
        <w:rPr>
          <w:color w:val="231F20"/>
          <w:sz w:val="20"/>
        </w:rPr>
        <w:t>in</w:t>
      </w:r>
      <w:r>
        <w:rPr>
          <w:color w:val="231F20"/>
          <w:spacing w:val="10"/>
          <w:sz w:val="20"/>
        </w:rPr>
        <w:t> </w:t>
      </w:r>
      <w:r>
        <w:rPr>
          <w:color w:val="231F20"/>
          <w:spacing w:val="-5"/>
          <w:sz w:val="20"/>
        </w:rPr>
        <w:t>KB.</w:t>
      </w:r>
    </w:p>
    <w:p>
      <w:pPr>
        <w:pStyle w:val="BodyText"/>
        <w:spacing w:line="213" w:lineRule="auto" w:before="233"/>
        <w:ind w:left="2232" w:right="493"/>
      </w:pPr>
      <w:r>
        <w:rPr>
          <w:rFonts w:ascii="Book Antiqua"/>
          <w:b/>
          <w:color w:val="231F20"/>
        </w:rPr>
        <w:t>Export Duration </w:t>
      </w:r>
      <w:r>
        <w:rPr>
          <w:color w:val="231F20"/>
        </w:rPr>
        <w:t>The amount of time that the export of historical data took, </w:t>
      </w:r>
      <w:r>
        <w:rPr>
          <w:color w:val="231F20"/>
        </w:rPr>
        <w:t>in </w:t>
      </w:r>
      <w:r>
        <w:rPr>
          <w:color w:val="231F20"/>
          <w:spacing w:val="-2"/>
        </w:rPr>
        <w:t>seconds.</w:t>
      </w:r>
    </w:p>
    <w:p>
      <w:pPr>
        <w:pStyle w:val="BodyText"/>
        <w:spacing w:before="215"/>
        <w:ind w:left="2232"/>
      </w:pPr>
      <w:r>
        <w:rPr>
          <w:rFonts w:ascii="Book Antiqua"/>
          <w:b/>
          <w:color w:val="231F20"/>
        </w:rPr>
        <w:t>Export</w:t>
      </w:r>
      <w:r>
        <w:rPr>
          <w:rFonts w:ascii="Book Antiqua"/>
          <w:b/>
          <w:color w:val="231F20"/>
          <w:spacing w:val="11"/>
        </w:rPr>
        <w:t> </w:t>
      </w:r>
      <w:r>
        <w:rPr>
          <w:rFonts w:ascii="Book Antiqua"/>
          <w:b/>
          <w:color w:val="231F20"/>
        </w:rPr>
        <w:t>End</w:t>
      </w:r>
      <w:r>
        <w:rPr>
          <w:rFonts w:ascii="Book Antiqua"/>
          <w:b/>
          <w:color w:val="231F20"/>
          <w:spacing w:val="12"/>
        </w:rPr>
        <w:t> </w:t>
      </w:r>
      <w:r>
        <w:rPr>
          <w:color w:val="231F20"/>
        </w:rPr>
        <w:t>The</w:t>
      </w:r>
      <w:r>
        <w:rPr>
          <w:color w:val="231F20"/>
          <w:spacing w:val="12"/>
        </w:rPr>
        <w:t> </w:t>
      </w:r>
      <w:r>
        <w:rPr>
          <w:color w:val="231F20"/>
        </w:rPr>
        <w:t>time</w:t>
      </w:r>
      <w:r>
        <w:rPr>
          <w:color w:val="231F20"/>
          <w:spacing w:val="11"/>
        </w:rPr>
        <w:t> </w:t>
      </w:r>
      <w:r>
        <w:rPr>
          <w:color w:val="231F20"/>
        </w:rPr>
        <w:t>that</w:t>
      </w:r>
      <w:r>
        <w:rPr>
          <w:color w:val="231F20"/>
          <w:spacing w:val="12"/>
        </w:rPr>
        <w:t> </w:t>
      </w:r>
      <w:r>
        <w:rPr>
          <w:color w:val="231F20"/>
        </w:rPr>
        <w:t>the</w:t>
      </w:r>
      <w:r>
        <w:rPr>
          <w:color w:val="231F20"/>
          <w:spacing w:val="12"/>
        </w:rPr>
        <w:t> </w:t>
      </w:r>
      <w:r>
        <w:rPr>
          <w:color w:val="231F20"/>
        </w:rPr>
        <w:t>export</w:t>
      </w:r>
      <w:r>
        <w:rPr>
          <w:color w:val="231F20"/>
          <w:spacing w:val="12"/>
        </w:rPr>
        <w:t> </w:t>
      </w:r>
      <w:r>
        <w:rPr>
          <w:color w:val="231F20"/>
        </w:rPr>
        <w:t>of</w:t>
      </w:r>
      <w:r>
        <w:rPr>
          <w:color w:val="231F20"/>
          <w:spacing w:val="11"/>
        </w:rPr>
        <w:t> </w:t>
      </w:r>
      <w:r>
        <w:rPr>
          <w:color w:val="231F20"/>
        </w:rPr>
        <w:t>historical</w:t>
      </w:r>
      <w:r>
        <w:rPr>
          <w:color w:val="231F20"/>
          <w:spacing w:val="12"/>
        </w:rPr>
        <w:t> </w:t>
      </w:r>
      <w:r>
        <w:rPr>
          <w:color w:val="231F20"/>
        </w:rPr>
        <w:t>data</w:t>
      </w:r>
      <w:r>
        <w:rPr>
          <w:color w:val="231F20"/>
          <w:spacing w:val="12"/>
        </w:rPr>
        <w:t> </w:t>
      </w:r>
      <w:r>
        <w:rPr>
          <w:color w:val="231F20"/>
          <w:spacing w:val="-2"/>
        </w:rPr>
        <w:t>finished.</w:t>
      </w:r>
    </w:p>
    <w:p>
      <w:pPr>
        <w:pStyle w:val="BodyText"/>
        <w:spacing w:before="209"/>
        <w:ind w:left="2232"/>
      </w:pPr>
      <w:r>
        <w:rPr>
          <w:rFonts w:ascii="Book Antiqua"/>
          <w:b/>
          <w:color w:val="231F20"/>
        </w:rPr>
        <w:t>Export</w:t>
      </w:r>
      <w:r>
        <w:rPr>
          <w:rFonts w:ascii="Book Antiqua"/>
          <w:b/>
          <w:color w:val="231F20"/>
          <w:spacing w:val="11"/>
        </w:rPr>
        <w:t> </w:t>
      </w:r>
      <w:r>
        <w:rPr>
          <w:rFonts w:ascii="Book Antiqua"/>
          <w:b/>
          <w:color w:val="231F20"/>
        </w:rPr>
        <w:t>Interval</w:t>
      </w:r>
      <w:r>
        <w:rPr>
          <w:rFonts w:ascii="Book Antiqua"/>
          <w:b/>
          <w:color w:val="231F20"/>
          <w:spacing w:val="11"/>
        </w:rPr>
        <w:t> </w:t>
      </w:r>
      <w:r>
        <w:rPr>
          <w:color w:val="231F20"/>
        </w:rPr>
        <w:t>The</w:t>
      </w:r>
      <w:r>
        <w:rPr>
          <w:color w:val="231F20"/>
          <w:spacing w:val="11"/>
        </w:rPr>
        <w:t> </w:t>
      </w:r>
      <w:r>
        <w:rPr>
          <w:color w:val="231F20"/>
        </w:rPr>
        <w:t>amount</w:t>
      </w:r>
      <w:r>
        <w:rPr>
          <w:color w:val="231F20"/>
          <w:spacing w:val="11"/>
        </w:rPr>
        <w:t> </w:t>
      </w:r>
      <w:r>
        <w:rPr>
          <w:color w:val="231F20"/>
        </w:rPr>
        <w:t>of</w:t>
      </w:r>
      <w:r>
        <w:rPr>
          <w:color w:val="231F20"/>
          <w:spacing w:val="11"/>
        </w:rPr>
        <w:t> </w:t>
      </w:r>
      <w:r>
        <w:rPr>
          <w:color w:val="231F20"/>
        </w:rPr>
        <w:t>time</w:t>
      </w:r>
      <w:r>
        <w:rPr>
          <w:color w:val="231F20"/>
          <w:spacing w:val="11"/>
        </w:rPr>
        <w:t> </w:t>
      </w:r>
      <w:r>
        <w:rPr>
          <w:color w:val="231F20"/>
        </w:rPr>
        <w:t>between</w:t>
      </w:r>
      <w:r>
        <w:rPr>
          <w:color w:val="231F20"/>
          <w:spacing w:val="11"/>
        </w:rPr>
        <w:t> </w:t>
      </w:r>
      <w:r>
        <w:rPr>
          <w:color w:val="231F20"/>
        </w:rPr>
        <w:t>exports</w:t>
      </w:r>
      <w:r>
        <w:rPr>
          <w:color w:val="231F20"/>
          <w:spacing w:val="11"/>
        </w:rPr>
        <w:t> </w:t>
      </w:r>
      <w:r>
        <w:rPr>
          <w:color w:val="231F20"/>
        </w:rPr>
        <w:t>of</w:t>
      </w:r>
      <w:r>
        <w:rPr>
          <w:color w:val="231F20"/>
          <w:spacing w:val="11"/>
        </w:rPr>
        <w:t> </w:t>
      </w:r>
      <w:r>
        <w:rPr>
          <w:color w:val="231F20"/>
        </w:rPr>
        <w:t>historical</w:t>
      </w:r>
      <w:r>
        <w:rPr>
          <w:color w:val="231F20"/>
          <w:spacing w:val="11"/>
        </w:rPr>
        <w:t> </w:t>
      </w:r>
      <w:r>
        <w:rPr>
          <w:color w:val="231F20"/>
        </w:rPr>
        <w:t>data,</w:t>
      </w:r>
      <w:r>
        <w:rPr>
          <w:color w:val="231F20"/>
          <w:spacing w:val="11"/>
        </w:rPr>
        <w:t> </w:t>
      </w:r>
      <w:r>
        <w:rPr>
          <w:color w:val="231F20"/>
        </w:rPr>
        <w:t>in</w:t>
      </w:r>
      <w:r>
        <w:rPr>
          <w:color w:val="231F20"/>
          <w:spacing w:val="11"/>
        </w:rPr>
        <w:t> </w:t>
      </w:r>
      <w:r>
        <w:rPr>
          <w:color w:val="231F20"/>
          <w:spacing w:val="-2"/>
        </w:rPr>
        <w:t>seconds.</w:t>
      </w:r>
    </w:p>
    <w:p>
      <w:pPr>
        <w:spacing w:after="0"/>
        <w:sectPr>
          <w:type w:val="continuous"/>
          <w:pgSz w:w="12240" w:h="15840"/>
          <w:pgMar w:header="0" w:footer="736" w:top="1300" w:bottom="920" w:left="1000" w:right="1060"/>
        </w:sectPr>
      </w:pPr>
    </w:p>
    <w:p>
      <w:pPr>
        <w:spacing w:line="213" w:lineRule="auto" w:before="85"/>
        <w:ind w:left="2472" w:right="0" w:firstLine="0"/>
        <w:jc w:val="left"/>
        <w:rPr>
          <w:sz w:val="20"/>
        </w:rPr>
      </w:pPr>
      <w:r>
        <w:rPr>
          <w:rFonts w:ascii="Book Antiqua"/>
          <w:b/>
          <w:color w:val="231F20"/>
          <w:sz w:val="20"/>
        </w:rPr>
        <w:t>Export Interval Used </w:t>
      </w:r>
      <w:r>
        <w:rPr>
          <w:color w:val="231F20"/>
          <w:sz w:val="20"/>
        </w:rPr>
        <w:t>The percentage of the time between exports of historical </w:t>
      </w:r>
      <w:r>
        <w:rPr>
          <w:color w:val="231F20"/>
          <w:sz w:val="20"/>
        </w:rPr>
        <w:t>data used by this export.</w:t>
      </w:r>
    </w:p>
    <w:p>
      <w:pPr>
        <w:pStyle w:val="BodyText"/>
        <w:spacing w:before="215"/>
        <w:ind w:left="2472"/>
      </w:pPr>
      <w:r>
        <w:rPr>
          <w:rFonts w:ascii="Book Antiqua"/>
          <w:b/>
          <w:color w:val="231F20"/>
        </w:rPr>
        <w:t>Export</w:t>
      </w:r>
      <w:r>
        <w:rPr>
          <w:rFonts w:ascii="Book Antiqua"/>
          <w:b/>
          <w:color w:val="231F20"/>
          <w:spacing w:val="11"/>
        </w:rPr>
        <w:t> </w:t>
      </w:r>
      <w:r>
        <w:rPr>
          <w:rFonts w:ascii="Book Antiqua"/>
          <w:b/>
          <w:color w:val="231F20"/>
        </w:rPr>
        <w:t>Start</w:t>
      </w:r>
      <w:r>
        <w:rPr>
          <w:rFonts w:ascii="Book Antiqua"/>
          <w:b/>
          <w:color w:val="231F20"/>
          <w:spacing w:val="12"/>
        </w:rPr>
        <w:t> </w:t>
      </w:r>
      <w:r>
        <w:rPr>
          <w:color w:val="231F20"/>
        </w:rPr>
        <w:t>The</w:t>
      </w:r>
      <w:r>
        <w:rPr>
          <w:color w:val="231F20"/>
          <w:spacing w:val="11"/>
        </w:rPr>
        <w:t> </w:t>
      </w:r>
      <w:r>
        <w:rPr>
          <w:color w:val="231F20"/>
        </w:rPr>
        <w:t>time</w:t>
      </w:r>
      <w:r>
        <w:rPr>
          <w:color w:val="231F20"/>
          <w:spacing w:val="12"/>
        </w:rPr>
        <w:t> </w:t>
      </w:r>
      <w:r>
        <w:rPr>
          <w:color w:val="231F20"/>
        </w:rPr>
        <w:t>that</w:t>
      </w:r>
      <w:r>
        <w:rPr>
          <w:color w:val="231F20"/>
          <w:spacing w:val="11"/>
        </w:rPr>
        <w:t> </w:t>
      </w:r>
      <w:r>
        <w:rPr>
          <w:color w:val="231F20"/>
        </w:rPr>
        <w:t>the</w:t>
      </w:r>
      <w:r>
        <w:rPr>
          <w:color w:val="231F20"/>
          <w:spacing w:val="12"/>
        </w:rPr>
        <w:t> </w:t>
      </w:r>
      <w:r>
        <w:rPr>
          <w:color w:val="231F20"/>
        </w:rPr>
        <w:t>export</w:t>
      </w:r>
      <w:r>
        <w:rPr>
          <w:color w:val="231F20"/>
          <w:spacing w:val="11"/>
        </w:rPr>
        <w:t> </w:t>
      </w:r>
      <w:r>
        <w:rPr>
          <w:color w:val="231F20"/>
        </w:rPr>
        <w:t>of</w:t>
      </w:r>
      <w:r>
        <w:rPr>
          <w:color w:val="231F20"/>
          <w:spacing w:val="12"/>
        </w:rPr>
        <w:t> </w:t>
      </w:r>
      <w:r>
        <w:rPr>
          <w:color w:val="231F20"/>
        </w:rPr>
        <w:t>historical</w:t>
      </w:r>
      <w:r>
        <w:rPr>
          <w:color w:val="231F20"/>
          <w:spacing w:val="12"/>
        </w:rPr>
        <w:t> </w:t>
      </w:r>
      <w:r>
        <w:rPr>
          <w:color w:val="231F20"/>
        </w:rPr>
        <w:t>data</w:t>
      </w:r>
      <w:r>
        <w:rPr>
          <w:color w:val="231F20"/>
          <w:spacing w:val="11"/>
        </w:rPr>
        <w:t> </w:t>
      </w:r>
      <w:r>
        <w:rPr>
          <w:color w:val="231F20"/>
        </w:rPr>
        <w:t>began</w:t>
      </w:r>
      <w:r>
        <w:rPr>
          <w:color w:val="231F20"/>
          <w:spacing w:val="12"/>
        </w:rPr>
        <w:t> </w:t>
      </w:r>
      <w:r>
        <w:rPr>
          <w:color w:val="231F20"/>
          <w:spacing w:val="-2"/>
        </w:rPr>
        <w:t>running.</w:t>
      </w:r>
    </w:p>
    <w:p>
      <w:pPr>
        <w:pStyle w:val="BodyText"/>
        <w:spacing w:line="213" w:lineRule="auto" w:before="232"/>
        <w:ind w:left="2472" w:right="545"/>
      </w:pPr>
      <w:r>
        <w:rPr>
          <w:rFonts w:ascii="Book Antiqua"/>
          <w:b/>
          <w:color w:val="231F20"/>
        </w:rPr>
        <w:t>Export Status </w:t>
      </w:r>
      <w:r>
        <w:rPr>
          <w:color w:val="231F20"/>
        </w:rPr>
        <w:t>Indicates if the export of historical data is idle, queued, </w:t>
      </w:r>
      <w:r>
        <w:rPr>
          <w:color w:val="231F20"/>
        </w:rPr>
        <w:t>trimming data, or processing rows.</w:t>
      </w:r>
    </w:p>
    <w:p>
      <w:pPr>
        <w:pStyle w:val="BodyText"/>
        <w:spacing w:before="8"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z w:val="18"/>
              </w:rPr>
              <w:t>Request</w:t>
            </w:r>
            <w:r>
              <w:rPr>
                <w:color w:val="231F20"/>
                <w:spacing w:val="7"/>
                <w:sz w:val="18"/>
              </w:rPr>
              <w:t> </w:t>
            </w:r>
            <w:r>
              <w:rPr>
                <w:color w:val="231F20"/>
                <w:spacing w:val="-2"/>
                <w:sz w:val="18"/>
              </w:rPr>
              <w:t>Queued</w:t>
            </w:r>
          </w:p>
        </w:tc>
      </w:tr>
      <w:tr>
        <w:trPr>
          <w:trHeight w:val="309"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Trimming</w:t>
            </w:r>
            <w:r>
              <w:rPr>
                <w:color w:val="231F20"/>
                <w:spacing w:val="4"/>
                <w:sz w:val="18"/>
              </w:rPr>
              <w:t> </w:t>
            </w:r>
            <w:r>
              <w:rPr>
                <w:color w:val="231F20"/>
                <w:spacing w:val="-4"/>
                <w:sz w:val="18"/>
              </w:rPr>
              <w:t>Data</w:t>
            </w:r>
          </w:p>
        </w:tc>
      </w:tr>
      <w:tr>
        <w:trPr>
          <w:trHeight w:val="309"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z w:val="18"/>
              </w:rPr>
              <w:t>Processing</w:t>
            </w:r>
            <w:r>
              <w:rPr>
                <w:color w:val="231F20"/>
                <w:spacing w:val="1"/>
                <w:sz w:val="18"/>
              </w:rPr>
              <w:t> </w:t>
            </w:r>
            <w:r>
              <w:rPr>
                <w:color w:val="231F20"/>
                <w:spacing w:val="-4"/>
                <w:sz w:val="18"/>
              </w:rPr>
              <w:t>Rows</w:t>
            </w:r>
          </w:p>
        </w:tc>
      </w:tr>
      <w:tr>
        <w:trPr>
          <w:trHeight w:val="314" w:hRule="atLeast"/>
        </w:trPr>
        <w:tc>
          <w:tcPr>
            <w:tcW w:w="2583" w:type="dxa"/>
          </w:tcPr>
          <w:p>
            <w:pPr>
              <w:pStyle w:val="TableParagraph"/>
              <w:ind w:left="44"/>
              <w:rPr>
                <w:sz w:val="18"/>
              </w:rPr>
            </w:pPr>
            <w:r>
              <w:rPr>
                <w:color w:val="231F20"/>
                <w:spacing w:val="-10"/>
                <w:sz w:val="18"/>
              </w:rPr>
              <w:t>4</w:t>
            </w:r>
          </w:p>
        </w:tc>
        <w:tc>
          <w:tcPr>
            <w:tcW w:w="4950" w:type="dxa"/>
          </w:tcPr>
          <w:p>
            <w:pPr>
              <w:pStyle w:val="TableParagraph"/>
              <w:rPr>
                <w:sz w:val="18"/>
              </w:rPr>
            </w:pPr>
            <w:r>
              <w:rPr>
                <w:color w:val="231F20"/>
                <w:spacing w:val="-4"/>
                <w:sz w:val="18"/>
              </w:rPr>
              <w:t>Idle</w:t>
            </w:r>
          </w:p>
        </w:tc>
      </w:tr>
    </w:tbl>
    <w:p>
      <w:pPr>
        <w:pStyle w:val="BodyText"/>
        <w:spacing w:before="138"/>
      </w:pPr>
    </w:p>
    <w:p>
      <w:pPr>
        <w:spacing w:line="213" w:lineRule="auto" w:before="0"/>
        <w:ind w:left="2472" w:right="0" w:firstLine="0"/>
        <w:jc w:val="left"/>
        <w:rPr>
          <w:sz w:val="20"/>
        </w:rPr>
      </w:pPr>
      <w:r>
        <w:rPr>
          <w:rFonts w:ascii="Book Antiqua"/>
          <w:b/>
          <w:color w:val="231F20"/>
          <w:sz w:val="20"/>
        </w:rPr>
        <w:t>Last Export Return Status </w:t>
      </w:r>
      <w:r>
        <w:rPr>
          <w:color w:val="231F20"/>
          <w:sz w:val="20"/>
        </w:rPr>
        <w:t>The return status of the most recent export. This is </w:t>
      </w:r>
      <w:r>
        <w:rPr>
          <w:color w:val="231F20"/>
          <w:sz w:val="20"/>
        </w:rPr>
        <w:t>the warehouse proxy return code.</w:t>
      </w:r>
    </w:p>
    <w:p>
      <w:pPr>
        <w:spacing w:line="213" w:lineRule="auto" w:before="238"/>
        <w:ind w:left="2472" w:right="545" w:firstLine="0"/>
        <w:jc w:val="left"/>
        <w:rPr>
          <w:sz w:val="20"/>
        </w:rPr>
      </w:pPr>
      <w:r>
        <w:rPr>
          <w:rFonts w:ascii="Book Antiqua"/>
          <w:b/>
          <w:color w:val="231F20"/>
          <w:sz w:val="20"/>
        </w:rPr>
        <w:t>Last Successful Export Interval </w:t>
      </w:r>
      <w:r>
        <w:rPr>
          <w:color w:val="231F20"/>
          <w:sz w:val="20"/>
        </w:rPr>
        <w:t>The amount of elapsed time since the </w:t>
      </w:r>
      <w:r>
        <w:rPr>
          <w:color w:val="231F20"/>
          <w:sz w:val="20"/>
        </w:rPr>
        <w:t>last successful export of historical data, in seconds.</w:t>
      </w:r>
    </w:p>
    <w:p>
      <w:pPr>
        <w:spacing w:line="213" w:lineRule="auto" w:before="238"/>
        <w:ind w:left="2472" w:right="545" w:firstLine="0"/>
        <w:jc w:val="left"/>
        <w:rPr>
          <w:sz w:val="20"/>
        </w:rPr>
      </w:pPr>
      <w:r>
        <w:rPr>
          <w:rFonts w:ascii="Book Antiqua"/>
          <w:b/>
          <w:color w:val="231F20"/>
          <w:sz w:val="20"/>
        </w:rPr>
        <w:t>Last Successful Export Time </w:t>
      </w:r>
      <w:r>
        <w:rPr>
          <w:color w:val="231F20"/>
          <w:sz w:val="20"/>
        </w:rPr>
        <w:t>The end time of the last successfully </w:t>
      </w:r>
      <w:r>
        <w:rPr>
          <w:color w:val="231F20"/>
          <w:sz w:val="20"/>
        </w:rPr>
        <w:t>completed </w:t>
      </w:r>
      <w:r>
        <w:rPr>
          <w:color w:val="231F20"/>
          <w:spacing w:val="-2"/>
          <w:sz w:val="20"/>
        </w:rPr>
        <w:t>export.</w:t>
      </w:r>
    </w:p>
    <w:p>
      <w:pPr>
        <w:pStyle w:val="BodyText"/>
        <w:spacing w:line="213" w:lineRule="auto" w:before="239"/>
        <w:ind w:left="2472"/>
      </w:pPr>
      <w:r>
        <w:rPr>
          <w:rFonts w:ascii="Book Antiqua"/>
          <w:b/>
          <w:color w:val="231F20"/>
        </w:rPr>
        <w:t>Processing Duration </w:t>
      </w:r>
      <w:r>
        <w:rPr>
          <w:color w:val="231F20"/>
        </w:rPr>
        <w:t>The amount of time that the export of historical data took </w:t>
      </w:r>
      <w:r>
        <w:rPr>
          <w:color w:val="231F20"/>
        </w:rPr>
        <w:t>to process rows, in seconds.</w:t>
      </w:r>
    </w:p>
    <w:p>
      <w:pPr>
        <w:pStyle w:val="BodyText"/>
        <w:spacing w:line="213" w:lineRule="auto" w:before="238"/>
        <w:ind w:left="2472" w:right="545"/>
      </w:pPr>
      <w:r>
        <w:rPr>
          <w:rFonts w:ascii="Book Antiqua"/>
          <w:b/>
          <w:color w:val="231F20"/>
        </w:rPr>
        <w:t>Processing End </w:t>
      </w:r>
      <w:r>
        <w:rPr>
          <w:color w:val="231F20"/>
        </w:rPr>
        <w:t>The time that the export of historical data finished </w:t>
      </w:r>
      <w:r>
        <w:rPr>
          <w:color w:val="231F20"/>
        </w:rPr>
        <w:t>processing </w:t>
      </w:r>
      <w:r>
        <w:rPr>
          <w:color w:val="231F20"/>
          <w:spacing w:val="-2"/>
        </w:rPr>
        <w:t>rows.</w:t>
      </w:r>
    </w:p>
    <w:p>
      <w:pPr>
        <w:spacing w:before="215"/>
        <w:ind w:left="2472" w:right="0" w:firstLine="0"/>
        <w:jc w:val="left"/>
        <w:rPr>
          <w:sz w:val="20"/>
        </w:rPr>
      </w:pPr>
      <w:r>
        <w:rPr>
          <w:rFonts w:ascii="Book Antiqua"/>
          <w:b/>
          <w:color w:val="231F20"/>
          <w:sz w:val="20"/>
        </w:rPr>
        <w:t>Processing</w:t>
      </w:r>
      <w:r>
        <w:rPr>
          <w:rFonts w:ascii="Book Antiqua"/>
          <w:b/>
          <w:color w:val="231F20"/>
          <w:spacing w:val="10"/>
          <w:sz w:val="20"/>
        </w:rPr>
        <w:t> </w:t>
      </w:r>
      <w:r>
        <w:rPr>
          <w:rFonts w:ascii="Book Antiqua"/>
          <w:b/>
          <w:color w:val="231F20"/>
          <w:sz w:val="20"/>
        </w:rPr>
        <w:t>Start</w:t>
      </w:r>
      <w:r>
        <w:rPr>
          <w:rFonts w:ascii="Book Antiqua"/>
          <w:b/>
          <w:color w:val="231F20"/>
          <w:spacing w:val="11"/>
          <w:sz w:val="20"/>
        </w:rPr>
        <w:t> </w:t>
      </w:r>
      <w:r>
        <w:rPr>
          <w:color w:val="231F20"/>
          <w:sz w:val="20"/>
        </w:rPr>
        <w:t>The</w:t>
      </w:r>
      <w:r>
        <w:rPr>
          <w:color w:val="231F20"/>
          <w:spacing w:val="10"/>
          <w:sz w:val="20"/>
        </w:rPr>
        <w:t> </w:t>
      </w:r>
      <w:r>
        <w:rPr>
          <w:color w:val="231F20"/>
          <w:sz w:val="20"/>
        </w:rPr>
        <w:t>time</w:t>
      </w:r>
      <w:r>
        <w:rPr>
          <w:color w:val="231F20"/>
          <w:spacing w:val="11"/>
          <w:sz w:val="20"/>
        </w:rPr>
        <w:t> </w:t>
      </w:r>
      <w:r>
        <w:rPr>
          <w:color w:val="231F20"/>
          <w:sz w:val="20"/>
        </w:rPr>
        <w:t>that</w:t>
      </w:r>
      <w:r>
        <w:rPr>
          <w:color w:val="231F20"/>
          <w:spacing w:val="10"/>
          <w:sz w:val="20"/>
        </w:rPr>
        <w:t> </w:t>
      </w:r>
      <w:r>
        <w:rPr>
          <w:color w:val="231F20"/>
          <w:sz w:val="20"/>
        </w:rPr>
        <w:t>the</w:t>
      </w:r>
      <w:r>
        <w:rPr>
          <w:color w:val="231F20"/>
          <w:spacing w:val="11"/>
          <w:sz w:val="20"/>
        </w:rPr>
        <w:t> </w:t>
      </w:r>
      <w:r>
        <w:rPr>
          <w:color w:val="231F20"/>
          <w:sz w:val="20"/>
        </w:rPr>
        <w:t>export</w:t>
      </w:r>
      <w:r>
        <w:rPr>
          <w:color w:val="231F20"/>
          <w:spacing w:val="10"/>
          <w:sz w:val="20"/>
        </w:rPr>
        <w:t> </w:t>
      </w:r>
      <w:r>
        <w:rPr>
          <w:color w:val="231F20"/>
          <w:sz w:val="20"/>
        </w:rPr>
        <w:t>of</w:t>
      </w:r>
      <w:r>
        <w:rPr>
          <w:color w:val="231F20"/>
          <w:spacing w:val="10"/>
          <w:sz w:val="20"/>
        </w:rPr>
        <w:t> </w:t>
      </w:r>
      <w:r>
        <w:rPr>
          <w:color w:val="231F20"/>
          <w:sz w:val="20"/>
        </w:rPr>
        <w:t>historical</w:t>
      </w:r>
      <w:r>
        <w:rPr>
          <w:color w:val="231F20"/>
          <w:spacing w:val="11"/>
          <w:sz w:val="20"/>
        </w:rPr>
        <w:t> </w:t>
      </w:r>
      <w:r>
        <w:rPr>
          <w:color w:val="231F20"/>
          <w:sz w:val="20"/>
        </w:rPr>
        <w:t>data</w:t>
      </w:r>
      <w:r>
        <w:rPr>
          <w:color w:val="231F20"/>
          <w:spacing w:val="10"/>
          <w:sz w:val="20"/>
        </w:rPr>
        <w:t> </w:t>
      </w:r>
      <w:r>
        <w:rPr>
          <w:color w:val="231F20"/>
          <w:sz w:val="20"/>
        </w:rPr>
        <w:t>began</w:t>
      </w:r>
      <w:r>
        <w:rPr>
          <w:color w:val="231F20"/>
          <w:spacing w:val="11"/>
          <w:sz w:val="20"/>
        </w:rPr>
        <w:t> </w:t>
      </w:r>
      <w:r>
        <w:rPr>
          <w:color w:val="231F20"/>
          <w:sz w:val="20"/>
        </w:rPr>
        <w:t>processing</w:t>
      </w:r>
      <w:r>
        <w:rPr>
          <w:color w:val="231F20"/>
          <w:spacing w:val="10"/>
          <w:sz w:val="20"/>
        </w:rPr>
        <w:t> </w:t>
      </w:r>
      <w:r>
        <w:rPr>
          <w:color w:val="231F20"/>
          <w:spacing w:val="-2"/>
          <w:sz w:val="20"/>
        </w:rPr>
        <w:t>rows.</w:t>
      </w:r>
    </w:p>
    <w:p>
      <w:pPr>
        <w:spacing w:before="209"/>
        <w:ind w:left="2472" w:right="0" w:firstLine="0"/>
        <w:jc w:val="left"/>
        <w:rPr>
          <w:sz w:val="20"/>
        </w:rPr>
      </w:pPr>
      <w:r>
        <w:rPr>
          <w:rFonts w:ascii="Book Antiqua"/>
          <w:b/>
          <w:color w:val="231F20"/>
          <w:sz w:val="20"/>
        </w:rPr>
        <w:t>Product</w:t>
      </w:r>
      <w:r>
        <w:rPr>
          <w:rFonts w:ascii="Book Antiqua"/>
          <w:b/>
          <w:color w:val="231F20"/>
          <w:spacing w:val="10"/>
          <w:sz w:val="20"/>
        </w:rPr>
        <w:t> </w:t>
      </w:r>
      <w:r>
        <w:rPr>
          <w:rFonts w:ascii="Book Antiqua"/>
          <w:b/>
          <w:color w:val="231F20"/>
          <w:sz w:val="20"/>
        </w:rPr>
        <w:t>Code</w:t>
      </w:r>
      <w:r>
        <w:rPr>
          <w:rFonts w:ascii="Book Antiqua"/>
          <w:b/>
          <w:color w:val="231F20"/>
          <w:spacing w:val="11"/>
          <w:sz w:val="20"/>
        </w:rPr>
        <w:t> </w:t>
      </w:r>
      <w:r>
        <w:rPr>
          <w:color w:val="231F20"/>
          <w:sz w:val="20"/>
        </w:rPr>
        <w:t>The</w:t>
      </w:r>
      <w:r>
        <w:rPr>
          <w:color w:val="231F20"/>
          <w:spacing w:val="10"/>
          <w:sz w:val="20"/>
        </w:rPr>
        <w:t> </w:t>
      </w:r>
      <w:r>
        <w:rPr>
          <w:color w:val="231F20"/>
          <w:sz w:val="20"/>
        </w:rPr>
        <w:t>product</w:t>
      </w:r>
      <w:r>
        <w:rPr>
          <w:color w:val="231F20"/>
          <w:spacing w:val="11"/>
          <w:sz w:val="20"/>
        </w:rPr>
        <w:t> </w:t>
      </w:r>
      <w:r>
        <w:rPr>
          <w:color w:val="231F20"/>
          <w:sz w:val="20"/>
        </w:rPr>
        <w:t>code</w:t>
      </w:r>
      <w:r>
        <w:rPr>
          <w:color w:val="231F20"/>
          <w:spacing w:val="10"/>
          <w:sz w:val="20"/>
        </w:rPr>
        <w:t> </w:t>
      </w:r>
      <w:r>
        <w:rPr>
          <w:color w:val="231F20"/>
          <w:sz w:val="20"/>
        </w:rPr>
        <w:t>for</w:t>
      </w:r>
      <w:r>
        <w:rPr>
          <w:color w:val="231F20"/>
          <w:spacing w:val="11"/>
          <w:sz w:val="20"/>
        </w:rPr>
        <w:t> </w:t>
      </w:r>
      <w:r>
        <w:rPr>
          <w:color w:val="231F20"/>
          <w:sz w:val="20"/>
        </w:rPr>
        <w:t>the</w:t>
      </w:r>
      <w:r>
        <w:rPr>
          <w:color w:val="231F20"/>
          <w:spacing w:val="10"/>
          <w:sz w:val="20"/>
        </w:rPr>
        <w:t> </w:t>
      </w:r>
      <w:r>
        <w:rPr>
          <w:color w:val="231F20"/>
          <w:sz w:val="20"/>
        </w:rPr>
        <w:t>historical</w:t>
      </w:r>
      <w:r>
        <w:rPr>
          <w:color w:val="231F20"/>
          <w:spacing w:val="11"/>
          <w:sz w:val="20"/>
        </w:rPr>
        <w:t> </w:t>
      </w:r>
      <w:r>
        <w:rPr>
          <w:color w:val="231F20"/>
          <w:spacing w:val="-2"/>
          <w:sz w:val="20"/>
        </w:rPr>
        <w:t>collection.</w:t>
      </w:r>
    </w:p>
    <w:p>
      <w:pPr>
        <w:pStyle w:val="BodyText"/>
        <w:spacing w:before="209"/>
        <w:ind w:left="2472"/>
      </w:pPr>
      <w:r>
        <w:rPr>
          <w:rFonts w:ascii="Book Antiqua"/>
          <w:b/>
          <w:color w:val="231F20"/>
        </w:rPr>
        <w:t>Row</w:t>
      </w:r>
      <w:r>
        <w:rPr>
          <w:rFonts w:ascii="Book Antiqua"/>
          <w:b/>
          <w:color w:val="231F20"/>
          <w:spacing w:val="11"/>
        </w:rPr>
        <w:t> </w:t>
      </w:r>
      <w:r>
        <w:rPr>
          <w:rFonts w:ascii="Book Antiqua"/>
          <w:b/>
          <w:color w:val="231F20"/>
        </w:rPr>
        <w:t>Size</w:t>
      </w:r>
      <w:r>
        <w:rPr>
          <w:rFonts w:ascii="Book Antiqua"/>
          <w:b/>
          <w:color w:val="231F20"/>
          <w:spacing w:val="12"/>
        </w:rPr>
        <w:t> </w:t>
      </w:r>
      <w:r>
        <w:rPr>
          <w:color w:val="231F20"/>
        </w:rPr>
        <w:t>The</w:t>
      </w:r>
      <w:r>
        <w:rPr>
          <w:color w:val="231F20"/>
          <w:spacing w:val="12"/>
        </w:rPr>
        <w:t> </w:t>
      </w:r>
      <w:r>
        <w:rPr>
          <w:color w:val="231F20"/>
        </w:rPr>
        <w:t>size</w:t>
      </w:r>
      <w:r>
        <w:rPr>
          <w:color w:val="231F20"/>
          <w:spacing w:val="12"/>
        </w:rPr>
        <w:t> </w:t>
      </w:r>
      <w:r>
        <w:rPr>
          <w:color w:val="231F20"/>
        </w:rPr>
        <w:t>of</w:t>
      </w:r>
      <w:r>
        <w:rPr>
          <w:color w:val="231F20"/>
          <w:spacing w:val="12"/>
        </w:rPr>
        <w:t> </w:t>
      </w:r>
      <w:r>
        <w:rPr>
          <w:color w:val="231F20"/>
        </w:rPr>
        <w:t>each</w:t>
      </w:r>
      <w:r>
        <w:rPr>
          <w:color w:val="231F20"/>
          <w:spacing w:val="12"/>
        </w:rPr>
        <w:t> </w:t>
      </w:r>
      <w:r>
        <w:rPr>
          <w:color w:val="231F20"/>
        </w:rPr>
        <w:t>row</w:t>
      </w:r>
      <w:r>
        <w:rPr>
          <w:color w:val="231F20"/>
          <w:spacing w:val="12"/>
        </w:rPr>
        <w:t> </w:t>
      </w:r>
      <w:r>
        <w:rPr>
          <w:color w:val="231F20"/>
        </w:rPr>
        <w:t>fetched,</w:t>
      </w:r>
      <w:r>
        <w:rPr>
          <w:color w:val="231F20"/>
          <w:spacing w:val="12"/>
        </w:rPr>
        <w:t> </w:t>
      </w:r>
      <w:r>
        <w:rPr>
          <w:color w:val="231F20"/>
        </w:rPr>
        <w:t>in</w:t>
      </w:r>
      <w:r>
        <w:rPr>
          <w:color w:val="231F20"/>
          <w:spacing w:val="12"/>
        </w:rPr>
        <w:t> </w:t>
      </w:r>
      <w:r>
        <w:rPr>
          <w:color w:val="231F20"/>
          <w:spacing w:val="-2"/>
        </w:rPr>
        <w:t>bytes.</w:t>
      </w:r>
    </w:p>
    <w:p>
      <w:pPr>
        <w:pStyle w:val="BodyText"/>
        <w:spacing w:line="213" w:lineRule="auto" w:before="232"/>
        <w:ind w:left="2472" w:right="385"/>
      </w:pPr>
      <w:r>
        <w:rPr>
          <w:rFonts w:ascii="Book Antiqua"/>
          <w:b/>
          <w:color w:val="231F20"/>
        </w:rPr>
        <w:t>Rows Corrupted </w:t>
      </w:r>
      <w:r>
        <w:rPr>
          <w:color w:val="231F20"/>
        </w:rPr>
        <w:t>The number of rows that could not be processed or skipped </w:t>
      </w:r>
      <w:r>
        <w:rPr>
          <w:color w:val="231F20"/>
        </w:rPr>
        <w:t>due</w:t>
      </w:r>
      <w:r>
        <w:rPr>
          <w:color w:val="231F20"/>
          <w:spacing w:val="40"/>
        </w:rPr>
        <w:t> </w:t>
      </w:r>
      <w:r>
        <w:rPr>
          <w:color w:val="231F20"/>
        </w:rPr>
        <w:t>to errors.</w:t>
      </w:r>
    </w:p>
    <w:p>
      <w:pPr>
        <w:pStyle w:val="BodyText"/>
        <w:spacing w:line="213" w:lineRule="auto" w:before="238"/>
        <w:ind w:left="2472" w:right="545"/>
      </w:pPr>
      <w:r>
        <w:rPr>
          <w:rFonts w:ascii="Book Antiqua"/>
          <w:b/>
          <w:color w:val="231F20"/>
        </w:rPr>
        <w:t>Rows Processed </w:t>
      </w:r>
      <w:r>
        <w:rPr>
          <w:color w:val="231F20"/>
        </w:rPr>
        <w:t>The number of rows successfully exported to the </w:t>
      </w:r>
      <w:r>
        <w:rPr>
          <w:color w:val="231F20"/>
        </w:rPr>
        <w:t>Warehouse Proxy Agent.</w:t>
      </w:r>
    </w:p>
    <w:p>
      <w:pPr>
        <w:spacing w:before="215"/>
        <w:ind w:left="2472" w:right="0" w:firstLine="0"/>
        <w:jc w:val="left"/>
        <w:rPr>
          <w:sz w:val="20"/>
        </w:rPr>
      </w:pPr>
      <w:r>
        <w:rPr>
          <w:rFonts w:ascii="Book Antiqua"/>
          <w:b/>
          <w:color w:val="231F20"/>
          <w:sz w:val="20"/>
        </w:rPr>
        <w:t>Rows</w:t>
      </w:r>
      <w:r>
        <w:rPr>
          <w:rFonts w:ascii="Book Antiqua"/>
          <w:b/>
          <w:color w:val="231F20"/>
          <w:spacing w:val="10"/>
          <w:sz w:val="20"/>
        </w:rPr>
        <w:t> </w:t>
      </w:r>
      <w:r>
        <w:rPr>
          <w:rFonts w:ascii="Book Antiqua"/>
          <w:b/>
          <w:color w:val="231F20"/>
          <w:sz w:val="20"/>
        </w:rPr>
        <w:t>Skipped</w:t>
      </w:r>
      <w:r>
        <w:rPr>
          <w:rFonts w:ascii="Book Antiqua"/>
          <w:b/>
          <w:color w:val="231F20"/>
          <w:spacing w:val="10"/>
          <w:sz w:val="20"/>
        </w:rPr>
        <w:t> </w:t>
      </w:r>
      <w:r>
        <w:rPr>
          <w:color w:val="231F20"/>
          <w:sz w:val="20"/>
        </w:rPr>
        <w:t>The</w:t>
      </w:r>
      <w:r>
        <w:rPr>
          <w:color w:val="231F20"/>
          <w:spacing w:val="11"/>
          <w:sz w:val="20"/>
        </w:rPr>
        <w:t> </w:t>
      </w:r>
      <w:r>
        <w:rPr>
          <w:color w:val="231F20"/>
          <w:sz w:val="20"/>
        </w:rPr>
        <w:t>number</w:t>
      </w:r>
      <w:r>
        <w:rPr>
          <w:color w:val="231F20"/>
          <w:spacing w:val="10"/>
          <w:sz w:val="20"/>
        </w:rPr>
        <w:t> </w:t>
      </w:r>
      <w:r>
        <w:rPr>
          <w:color w:val="231F20"/>
          <w:sz w:val="20"/>
        </w:rPr>
        <w:t>of</w:t>
      </w:r>
      <w:r>
        <w:rPr>
          <w:color w:val="231F20"/>
          <w:spacing w:val="11"/>
          <w:sz w:val="20"/>
        </w:rPr>
        <w:t> </w:t>
      </w:r>
      <w:r>
        <w:rPr>
          <w:color w:val="231F20"/>
          <w:sz w:val="20"/>
        </w:rPr>
        <w:t>rows</w:t>
      </w:r>
      <w:r>
        <w:rPr>
          <w:color w:val="231F20"/>
          <w:spacing w:val="10"/>
          <w:sz w:val="20"/>
        </w:rPr>
        <w:t> </w:t>
      </w:r>
      <w:r>
        <w:rPr>
          <w:color w:val="231F20"/>
          <w:spacing w:val="-2"/>
          <w:sz w:val="20"/>
        </w:rPr>
        <w:t>skipped.</w:t>
      </w:r>
    </w:p>
    <w:p>
      <w:pPr>
        <w:spacing w:before="209"/>
        <w:ind w:left="2472" w:right="0" w:firstLine="0"/>
        <w:jc w:val="left"/>
        <w:rPr>
          <w:sz w:val="20"/>
        </w:rPr>
      </w:pPr>
      <w:r>
        <w:rPr>
          <w:rFonts w:ascii="Book Antiqua"/>
          <w:b/>
          <w:color w:val="231F20"/>
          <w:sz w:val="20"/>
        </w:rPr>
        <w:t>Rows</w:t>
      </w:r>
      <w:r>
        <w:rPr>
          <w:rFonts w:ascii="Book Antiqua"/>
          <w:b/>
          <w:color w:val="231F20"/>
          <w:spacing w:val="7"/>
          <w:sz w:val="20"/>
        </w:rPr>
        <w:t> </w:t>
      </w:r>
      <w:r>
        <w:rPr>
          <w:rFonts w:ascii="Book Antiqua"/>
          <w:b/>
          <w:color w:val="231F20"/>
          <w:sz w:val="20"/>
        </w:rPr>
        <w:t>Total</w:t>
      </w:r>
      <w:r>
        <w:rPr>
          <w:rFonts w:ascii="Book Antiqua"/>
          <w:b/>
          <w:color w:val="231F20"/>
          <w:spacing w:val="8"/>
          <w:sz w:val="20"/>
        </w:rPr>
        <w:t> </w:t>
      </w:r>
      <w:r>
        <w:rPr>
          <w:color w:val="231F20"/>
          <w:sz w:val="20"/>
        </w:rPr>
        <w:t>The</w:t>
      </w:r>
      <w:r>
        <w:rPr>
          <w:color w:val="231F20"/>
          <w:spacing w:val="8"/>
          <w:sz w:val="20"/>
        </w:rPr>
        <w:t> </w:t>
      </w:r>
      <w:r>
        <w:rPr>
          <w:color w:val="231F20"/>
          <w:sz w:val="20"/>
        </w:rPr>
        <w:t>total</w:t>
      </w:r>
      <w:r>
        <w:rPr>
          <w:color w:val="231F20"/>
          <w:spacing w:val="8"/>
          <w:sz w:val="20"/>
        </w:rPr>
        <w:t> </w:t>
      </w:r>
      <w:r>
        <w:rPr>
          <w:color w:val="231F20"/>
          <w:sz w:val="20"/>
        </w:rPr>
        <w:t>number</w:t>
      </w:r>
      <w:r>
        <w:rPr>
          <w:color w:val="231F20"/>
          <w:spacing w:val="8"/>
          <w:sz w:val="20"/>
        </w:rPr>
        <w:t> </w:t>
      </w:r>
      <w:r>
        <w:rPr>
          <w:color w:val="231F20"/>
          <w:sz w:val="20"/>
        </w:rPr>
        <w:t>of</w:t>
      </w:r>
      <w:r>
        <w:rPr>
          <w:color w:val="231F20"/>
          <w:spacing w:val="7"/>
          <w:sz w:val="20"/>
        </w:rPr>
        <w:t> </w:t>
      </w:r>
      <w:r>
        <w:rPr>
          <w:color w:val="231F20"/>
          <w:sz w:val="20"/>
        </w:rPr>
        <w:t>rows</w:t>
      </w:r>
      <w:r>
        <w:rPr>
          <w:color w:val="231F20"/>
          <w:spacing w:val="8"/>
          <w:sz w:val="20"/>
        </w:rPr>
        <w:t> </w:t>
      </w:r>
      <w:r>
        <w:rPr>
          <w:color w:val="231F20"/>
          <w:spacing w:val="-2"/>
          <w:sz w:val="20"/>
        </w:rPr>
        <w:t>fetched.</w:t>
      </w:r>
    </w:p>
    <w:p>
      <w:pPr>
        <w:spacing w:before="210"/>
        <w:ind w:left="2472" w:right="0" w:firstLine="0"/>
        <w:jc w:val="left"/>
        <w:rPr>
          <w:sz w:val="20"/>
        </w:rPr>
      </w:pPr>
      <w:r>
        <w:rPr>
          <w:rFonts w:ascii="Book Antiqua"/>
          <w:b/>
          <w:color w:val="231F20"/>
          <w:sz w:val="20"/>
        </w:rPr>
        <w:t>Sample</w:t>
      </w:r>
      <w:r>
        <w:rPr>
          <w:rFonts w:ascii="Book Antiqua"/>
          <w:b/>
          <w:color w:val="231F20"/>
          <w:spacing w:val="8"/>
          <w:sz w:val="20"/>
        </w:rPr>
        <w:t> </w:t>
      </w:r>
      <w:r>
        <w:rPr>
          <w:rFonts w:ascii="Book Antiqua"/>
          <w:b/>
          <w:color w:val="231F20"/>
          <w:sz w:val="20"/>
        </w:rPr>
        <w:t>Type</w:t>
      </w:r>
      <w:r>
        <w:rPr>
          <w:rFonts w:ascii="Book Antiqua"/>
          <w:b/>
          <w:color w:val="231F20"/>
          <w:spacing w:val="8"/>
          <w:sz w:val="20"/>
        </w:rPr>
        <w:t> </w:t>
      </w:r>
      <w:r>
        <w:rPr>
          <w:color w:val="231F20"/>
          <w:sz w:val="20"/>
        </w:rPr>
        <w:t>Indicates</w:t>
      </w:r>
      <w:r>
        <w:rPr>
          <w:color w:val="231F20"/>
          <w:spacing w:val="9"/>
          <w:sz w:val="20"/>
        </w:rPr>
        <w:t> </w:t>
      </w:r>
      <w:r>
        <w:rPr>
          <w:color w:val="231F20"/>
          <w:sz w:val="20"/>
        </w:rPr>
        <w:t>the</w:t>
      </w:r>
      <w:r>
        <w:rPr>
          <w:color w:val="231F20"/>
          <w:spacing w:val="8"/>
          <w:sz w:val="20"/>
        </w:rPr>
        <w:t> </w:t>
      </w:r>
      <w:r>
        <w:rPr>
          <w:color w:val="231F20"/>
          <w:sz w:val="20"/>
        </w:rPr>
        <w:t>sample</w:t>
      </w:r>
      <w:r>
        <w:rPr>
          <w:color w:val="231F20"/>
          <w:spacing w:val="9"/>
          <w:sz w:val="20"/>
        </w:rPr>
        <w:t> </w:t>
      </w:r>
      <w:r>
        <w:rPr>
          <w:color w:val="231F20"/>
          <w:sz w:val="20"/>
        </w:rPr>
        <w:t>type,</w:t>
      </w:r>
      <w:r>
        <w:rPr>
          <w:color w:val="231F20"/>
          <w:spacing w:val="8"/>
          <w:sz w:val="20"/>
        </w:rPr>
        <w:t> </w:t>
      </w:r>
      <w:r>
        <w:rPr>
          <w:color w:val="231F20"/>
          <w:sz w:val="20"/>
        </w:rPr>
        <w:t>sampled</w:t>
      </w:r>
      <w:r>
        <w:rPr>
          <w:color w:val="231F20"/>
          <w:spacing w:val="9"/>
          <w:sz w:val="20"/>
        </w:rPr>
        <w:t> </w:t>
      </w:r>
      <w:r>
        <w:rPr>
          <w:color w:val="231F20"/>
          <w:sz w:val="20"/>
        </w:rPr>
        <w:t>or</w:t>
      </w:r>
      <w:r>
        <w:rPr>
          <w:color w:val="231F20"/>
          <w:spacing w:val="8"/>
          <w:sz w:val="20"/>
        </w:rPr>
        <w:t> </w:t>
      </w:r>
      <w:r>
        <w:rPr>
          <w:color w:val="231F20"/>
          <w:spacing w:val="-2"/>
          <w:sz w:val="20"/>
        </w:rPr>
        <w:t>event.</w:t>
      </w:r>
    </w:p>
    <w:p>
      <w:pPr>
        <w:pStyle w:val="BodyText"/>
        <w:spacing w:before="2"/>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83"/>
        <w:gridCol w:w="4950"/>
      </w:tblGrid>
      <w:tr>
        <w:trPr>
          <w:trHeight w:val="274" w:hRule="atLeast"/>
        </w:trPr>
        <w:tc>
          <w:tcPr>
            <w:tcW w:w="2583" w:type="dxa"/>
          </w:tcPr>
          <w:p>
            <w:pPr>
              <w:pStyle w:val="TableParagraph"/>
              <w:spacing w:before="10"/>
              <w:ind w:left="44"/>
              <w:rPr>
                <w:rFonts w:ascii="Book Antiqua"/>
                <w:b/>
                <w:sz w:val="18"/>
              </w:rPr>
            </w:pPr>
            <w:r>
              <w:rPr>
                <w:rFonts w:ascii="Book Antiqua"/>
                <w:b/>
                <w:color w:val="231F20"/>
                <w:spacing w:val="-2"/>
                <w:sz w:val="18"/>
              </w:rPr>
              <w:t>Enumeration</w:t>
            </w:r>
          </w:p>
        </w:tc>
        <w:tc>
          <w:tcPr>
            <w:tcW w:w="4950" w:type="dxa"/>
          </w:tcPr>
          <w:p>
            <w:pPr>
              <w:pStyle w:val="TableParagraph"/>
              <w:spacing w:before="10"/>
              <w:rPr>
                <w:rFonts w:ascii="Book Antiqua"/>
                <w:b/>
                <w:sz w:val="18"/>
              </w:rPr>
            </w:pPr>
            <w:r>
              <w:rPr>
                <w:rFonts w:ascii="Book Antiqua"/>
                <w:b/>
                <w:color w:val="231F20"/>
                <w:spacing w:val="-2"/>
                <w:sz w:val="18"/>
              </w:rPr>
              <w:t>Description</w:t>
            </w:r>
          </w:p>
        </w:tc>
      </w:tr>
      <w:tr>
        <w:trPr>
          <w:trHeight w:val="309" w:hRule="atLeast"/>
        </w:trPr>
        <w:tc>
          <w:tcPr>
            <w:tcW w:w="2583" w:type="dxa"/>
          </w:tcPr>
          <w:p>
            <w:pPr>
              <w:pStyle w:val="TableParagraph"/>
              <w:ind w:left="44"/>
              <w:rPr>
                <w:sz w:val="18"/>
              </w:rPr>
            </w:pPr>
            <w:r>
              <w:rPr>
                <w:color w:val="231F20"/>
                <w:spacing w:val="-10"/>
                <w:sz w:val="18"/>
              </w:rPr>
              <w:t>1</w:t>
            </w:r>
          </w:p>
        </w:tc>
        <w:tc>
          <w:tcPr>
            <w:tcW w:w="4950" w:type="dxa"/>
          </w:tcPr>
          <w:p>
            <w:pPr>
              <w:pStyle w:val="TableParagraph"/>
              <w:rPr>
                <w:sz w:val="18"/>
              </w:rPr>
            </w:pPr>
            <w:r>
              <w:rPr>
                <w:color w:val="231F20"/>
                <w:spacing w:val="-2"/>
                <w:sz w:val="18"/>
              </w:rPr>
              <w:t>Sampled</w:t>
            </w:r>
          </w:p>
        </w:tc>
      </w:tr>
      <w:tr>
        <w:trPr>
          <w:trHeight w:val="314" w:hRule="atLeast"/>
        </w:trPr>
        <w:tc>
          <w:tcPr>
            <w:tcW w:w="2583" w:type="dxa"/>
          </w:tcPr>
          <w:p>
            <w:pPr>
              <w:pStyle w:val="TableParagraph"/>
              <w:ind w:left="44"/>
              <w:rPr>
                <w:sz w:val="18"/>
              </w:rPr>
            </w:pPr>
            <w:r>
              <w:rPr>
                <w:color w:val="231F20"/>
                <w:spacing w:val="-10"/>
                <w:sz w:val="18"/>
              </w:rPr>
              <w:t>2</w:t>
            </w:r>
          </w:p>
        </w:tc>
        <w:tc>
          <w:tcPr>
            <w:tcW w:w="4950" w:type="dxa"/>
          </w:tcPr>
          <w:p>
            <w:pPr>
              <w:pStyle w:val="TableParagraph"/>
              <w:rPr>
                <w:sz w:val="18"/>
              </w:rPr>
            </w:pPr>
            <w:r>
              <w:rPr>
                <w:color w:val="231F20"/>
                <w:spacing w:val="-2"/>
                <w:sz w:val="18"/>
              </w:rPr>
              <w:t>Event</w:t>
            </w:r>
          </w:p>
        </w:tc>
      </w:tr>
    </w:tbl>
    <w:p>
      <w:pPr>
        <w:pStyle w:val="BodyText"/>
        <w:spacing w:before="114"/>
      </w:pPr>
    </w:p>
    <w:p>
      <w:pPr>
        <w:pStyle w:val="BodyText"/>
        <w:ind w:left="2472"/>
      </w:pPr>
      <w:r>
        <w:rPr>
          <w:rFonts w:ascii="Book Antiqua"/>
          <w:b/>
          <w:color w:val="231F20"/>
        </w:rPr>
        <w:t>System</w:t>
      </w:r>
      <w:r>
        <w:rPr>
          <w:rFonts w:ascii="Book Antiqua"/>
          <w:b/>
          <w:color w:val="231F20"/>
          <w:spacing w:val="9"/>
        </w:rPr>
        <w:t> </w:t>
      </w:r>
      <w:r>
        <w:rPr>
          <w:rFonts w:ascii="Book Antiqua"/>
          <w:b/>
          <w:color w:val="231F20"/>
        </w:rPr>
        <w:t>Name</w:t>
      </w:r>
      <w:r>
        <w:rPr>
          <w:rFonts w:ascii="Book Antiqua"/>
          <w:b/>
          <w:color w:val="231F20"/>
          <w:spacing w:val="10"/>
        </w:rPr>
        <w:t> </w:t>
      </w:r>
      <w:r>
        <w:rPr>
          <w:color w:val="231F20"/>
        </w:rPr>
        <w:t>The</w:t>
      </w:r>
      <w:r>
        <w:rPr>
          <w:color w:val="231F20"/>
          <w:spacing w:val="10"/>
        </w:rPr>
        <w:t> </w:t>
      </w:r>
      <w:r>
        <w:rPr>
          <w:color w:val="231F20"/>
        </w:rPr>
        <w:t>name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system</w:t>
      </w:r>
      <w:r>
        <w:rPr>
          <w:color w:val="231F20"/>
          <w:spacing w:val="10"/>
        </w:rPr>
        <w:t> </w:t>
      </w:r>
      <w:r>
        <w:rPr>
          <w:color w:val="231F20"/>
        </w:rPr>
        <w:t>where</w:t>
      </w:r>
      <w:r>
        <w:rPr>
          <w:color w:val="231F20"/>
          <w:spacing w:val="10"/>
        </w:rPr>
        <w:t> </w:t>
      </w:r>
      <w:r>
        <w:rPr>
          <w:color w:val="231F20"/>
        </w:rPr>
        <w:t>the</w:t>
      </w:r>
      <w:r>
        <w:rPr>
          <w:color w:val="231F20"/>
          <w:spacing w:val="10"/>
        </w:rPr>
        <w:t> </w:t>
      </w:r>
      <w:r>
        <w:rPr>
          <w:color w:val="231F20"/>
        </w:rPr>
        <w:t>record</w:t>
      </w:r>
      <w:r>
        <w:rPr>
          <w:color w:val="231F20"/>
          <w:spacing w:val="10"/>
        </w:rPr>
        <w:t> </w:t>
      </w:r>
      <w:r>
        <w:rPr>
          <w:color w:val="231F20"/>
        </w:rPr>
        <w:t>originated</w:t>
      </w:r>
      <w:r>
        <w:rPr>
          <w:color w:val="231F20"/>
          <w:spacing w:val="10"/>
        </w:rPr>
        <w:t> </w:t>
      </w:r>
      <w:r>
        <w:rPr>
          <w:color w:val="231F20"/>
          <w:spacing w:val="-2"/>
        </w:rPr>
        <w:t>from.</w:t>
      </w:r>
    </w:p>
    <w:p>
      <w:pPr>
        <w:spacing w:after="0"/>
        <w:sectPr>
          <w:pgSz w:w="12240" w:h="15840"/>
          <w:pgMar w:header="0" w:footer="736" w:top="1180" w:bottom="920" w:left="1000" w:right="1060"/>
        </w:sectPr>
      </w:pPr>
    </w:p>
    <w:p>
      <w:pPr>
        <w:pStyle w:val="BodyText"/>
        <w:spacing w:before="62"/>
        <w:ind w:left="2232"/>
      </w:pPr>
      <w:bookmarkStart w:name="_bookmark343" w:id="718"/>
      <w:bookmarkEnd w:id="718"/>
      <w:r>
        <w:rPr/>
      </w:r>
      <w:r>
        <w:rPr>
          <w:rFonts w:ascii="Book Antiqua"/>
          <w:b/>
          <w:color w:val="231F20"/>
        </w:rPr>
        <w:t>Table</w:t>
      </w:r>
      <w:r>
        <w:rPr>
          <w:rFonts w:ascii="Book Antiqua"/>
          <w:b/>
          <w:color w:val="231F20"/>
          <w:spacing w:val="10"/>
        </w:rPr>
        <w:t> </w:t>
      </w:r>
      <w:r>
        <w:rPr>
          <w:rFonts w:ascii="Book Antiqua"/>
          <w:b/>
          <w:color w:val="231F20"/>
        </w:rPr>
        <w:t>Name</w:t>
      </w:r>
      <w:r>
        <w:rPr>
          <w:rFonts w:ascii="Book Antiqua"/>
          <w:b/>
          <w:color w:val="231F20"/>
          <w:spacing w:val="10"/>
        </w:rPr>
        <w:t> </w:t>
      </w:r>
      <w:r>
        <w:rPr>
          <w:color w:val="231F20"/>
        </w:rPr>
        <w:t>The</w:t>
      </w:r>
      <w:r>
        <w:rPr>
          <w:color w:val="231F20"/>
          <w:spacing w:val="10"/>
        </w:rPr>
        <w:t> </w:t>
      </w:r>
      <w:r>
        <w:rPr>
          <w:color w:val="231F20"/>
        </w:rPr>
        <w:t>name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table</w:t>
      </w:r>
      <w:r>
        <w:rPr>
          <w:color w:val="231F20"/>
          <w:spacing w:val="10"/>
        </w:rPr>
        <w:t> </w:t>
      </w:r>
      <w:r>
        <w:rPr>
          <w:color w:val="231F20"/>
        </w:rPr>
        <w:t>for</w:t>
      </w:r>
      <w:r>
        <w:rPr>
          <w:color w:val="231F20"/>
          <w:spacing w:val="11"/>
        </w:rPr>
        <w:t> </w:t>
      </w:r>
      <w:r>
        <w:rPr>
          <w:color w:val="231F20"/>
        </w:rPr>
        <w:t>which</w:t>
      </w:r>
      <w:r>
        <w:rPr>
          <w:color w:val="231F20"/>
          <w:spacing w:val="10"/>
        </w:rPr>
        <w:t> </w:t>
      </w:r>
      <w:r>
        <w:rPr>
          <w:color w:val="231F20"/>
        </w:rPr>
        <w:t>the</w:t>
      </w:r>
      <w:r>
        <w:rPr>
          <w:color w:val="231F20"/>
          <w:spacing w:val="10"/>
        </w:rPr>
        <w:t> </w:t>
      </w:r>
      <w:r>
        <w:rPr>
          <w:color w:val="231F20"/>
        </w:rPr>
        <w:t>collection</w:t>
      </w:r>
      <w:r>
        <w:rPr>
          <w:color w:val="231F20"/>
          <w:spacing w:val="10"/>
        </w:rPr>
        <w:t> </w:t>
      </w:r>
      <w:r>
        <w:rPr>
          <w:color w:val="231F20"/>
        </w:rPr>
        <w:t>is</w:t>
      </w:r>
      <w:r>
        <w:rPr>
          <w:color w:val="231F20"/>
          <w:spacing w:val="10"/>
        </w:rPr>
        <w:t> </w:t>
      </w:r>
      <w:r>
        <w:rPr>
          <w:color w:val="231F20"/>
        </w:rPr>
        <w:t>being</w:t>
      </w:r>
      <w:r>
        <w:rPr>
          <w:color w:val="231F20"/>
          <w:spacing w:val="10"/>
        </w:rPr>
        <w:t> </w:t>
      </w:r>
      <w:r>
        <w:rPr>
          <w:color w:val="231F20"/>
          <w:spacing w:val="-2"/>
        </w:rPr>
        <w:t>performed.</w:t>
      </w:r>
    </w:p>
    <w:p>
      <w:pPr>
        <w:pStyle w:val="BodyText"/>
        <w:spacing w:line="213" w:lineRule="auto" w:before="232"/>
        <w:ind w:left="2232" w:right="545"/>
      </w:pPr>
      <w:r>
        <w:rPr>
          <w:rFonts w:ascii="Book Antiqua"/>
          <w:b/>
          <w:color w:val="231F20"/>
        </w:rPr>
        <w:t>Trim Duration </w:t>
      </w:r>
      <w:r>
        <w:rPr>
          <w:color w:val="231F20"/>
        </w:rPr>
        <w:t>The amount of time that the export of historical data took to trim data, in seconds.</w:t>
      </w:r>
    </w:p>
    <w:p>
      <w:pPr>
        <w:pStyle w:val="BodyText"/>
        <w:spacing w:before="215"/>
        <w:ind w:left="2232"/>
      </w:pPr>
      <w:r>
        <w:rPr>
          <w:rFonts w:ascii="Book Antiqua"/>
          <w:b/>
          <w:color w:val="231F20"/>
        </w:rPr>
        <w:t>Trim</w:t>
      </w:r>
      <w:r>
        <w:rPr>
          <w:rFonts w:ascii="Book Antiqua"/>
          <w:b/>
          <w:color w:val="231F20"/>
          <w:spacing w:val="9"/>
        </w:rPr>
        <w:t> </w:t>
      </w:r>
      <w:r>
        <w:rPr>
          <w:rFonts w:ascii="Book Antiqua"/>
          <w:b/>
          <w:color w:val="231F20"/>
        </w:rPr>
        <w:t>End</w:t>
      </w:r>
      <w:r>
        <w:rPr>
          <w:rFonts w:ascii="Book Antiqua"/>
          <w:b/>
          <w:color w:val="231F20"/>
          <w:spacing w:val="9"/>
        </w:rPr>
        <w:t> </w:t>
      </w:r>
      <w:r>
        <w:rPr>
          <w:color w:val="231F20"/>
        </w:rPr>
        <w:t>The</w:t>
      </w:r>
      <w:r>
        <w:rPr>
          <w:color w:val="231F20"/>
          <w:spacing w:val="10"/>
        </w:rPr>
        <w:t> </w:t>
      </w:r>
      <w:r>
        <w:rPr>
          <w:color w:val="231F20"/>
        </w:rPr>
        <w:t>time</w:t>
      </w:r>
      <w:r>
        <w:rPr>
          <w:color w:val="231F20"/>
          <w:spacing w:val="9"/>
        </w:rPr>
        <w:t> </w:t>
      </w:r>
      <w:r>
        <w:rPr>
          <w:color w:val="231F20"/>
        </w:rPr>
        <w:t>that</w:t>
      </w:r>
      <w:r>
        <w:rPr>
          <w:color w:val="231F20"/>
          <w:spacing w:val="9"/>
        </w:rPr>
        <w:t> </w:t>
      </w:r>
      <w:r>
        <w:rPr>
          <w:color w:val="231F20"/>
        </w:rPr>
        <w:t>the</w:t>
      </w:r>
      <w:r>
        <w:rPr>
          <w:color w:val="231F20"/>
          <w:spacing w:val="10"/>
        </w:rPr>
        <w:t> </w:t>
      </w:r>
      <w:r>
        <w:rPr>
          <w:color w:val="231F20"/>
        </w:rPr>
        <w:t>export</w:t>
      </w:r>
      <w:r>
        <w:rPr>
          <w:color w:val="231F20"/>
          <w:spacing w:val="9"/>
        </w:rPr>
        <w:t> </w:t>
      </w:r>
      <w:r>
        <w:rPr>
          <w:color w:val="231F20"/>
        </w:rPr>
        <w:t>of</w:t>
      </w:r>
      <w:r>
        <w:rPr>
          <w:color w:val="231F20"/>
          <w:spacing w:val="9"/>
        </w:rPr>
        <w:t> </w:t>
      </w:r>
      <w:r>
        <w:rPr>
          <w:color w:val="231F20"/>
        </w:rPr>
        <w:t>historical</w:t>
      </w:r>
      <w:r>
        <w:rPr>
          <w:color w:val="231F20"/>
          <w:spacing w:val="10"/>
        </w:rPr>
        <w:t> </w:t>
      </w:r>
      <w:r>
        <w:rPr>
          <w:color w:val="231F20"/>
        </w:rPr>
        <w:t>data</w:t>
      </w:r>
      <w:r>
        <w:rPr>
          <w:color w:val="231F20"/>
          <w:spacing w:val="9"/>
        </w:rPr>
        <w:t> </w:t>
      </w:r>
      <w:r>
        <w:rPr>
          <w:color w:val="231F20"/>
        </w:rPr>
        <w:t>finished</w:t>
      </w:r>
      <w:r>
        <w:rPr>
          <w:color w:val="231F20"/>
          <w:spacing w:val="9"/>
        </w:rPr>
        <w:t> </w:t>
      </w:r>
      <w:r>
        <w:rPr>
          <w:color w:val="231F20"/>
        </w:rPr>
        <w:t>trimming</w:t>
      </w:r>
      <w:r>
        <w:rPr>
          <w:color w:val="231F20"/>
          <w:spacing w:val="10"/>
        </w:rPr>
        <w:t> </w:t>
      </w:r>
      <w:r>
        <w:rPr>
          <w:color w:val="231F20"/>
          <w:spacing w:val="-2"/>
        </w:rPr>
        <w:t>data.</w:t>
      </w:r>
    </w:p>
    <w:p>
      <w:pPr>
        <w:pStyle w:val="BodyText"/>
        <w:spacing w:before="209"/>
        <w:ind w:left="2232"/>
      </w:pPr>
      <w:r>
        <w:rPr>
          <w:rFonts w:ascii="Book Antiqua"/>
          <w:b/>
          <w:color w:val="231F20"/>
        </w:rPr>
        <w:t>Trim</w:t>
      </w:r>
      <w:r>
        <w:rPr>
          <w:rFonts w:ascii="Book Antiqua"/>
          <w:b/>
          <w:color w:val="231F20"/>
          <w:spacing w:val="9"/>
        </w:rPr>
        <w:t> </w:t>
      </w:r>
      <w:r>
        <w:rPr>
          <w:rFonts w:ascii="Book Antiqua"/>
          <w:b/>
          <w:color w:val="231F20"/>
        </w:rPr>
        <w:t>Start</w:t>
      </w:r>
      <w:r>
        <w:rPr>
          <w:rFonts w:ascii="Book Antiqua"/>
          <w:b/>
          <w:color w:val="231F20"/>
          <w:spacing w:val="9"/>
        </w:rPr>
        <w:t> </w:t>
      </w:r>
      <w:r>
        <w:rPr>
          <w:color w:val="231F20"/>
        </w:rPr>
        <w:t>The</w:t>
      </w:r>
      <w:r>
        <w:rPr>
          <w:color w:val="231F20"/>
          <w:spacing w:val="10"/>
        </w:rPr>
        <w:t> </w:t>
      </w:r>
      <w:r>
        <w:rPr>
          <w:color w:val="231F20"/>
        </w:rPr>
        <w:t>time</w:t>
      </w:r>
      <w:r>
        <w:rPr>
          <w:color w:val="231F20"/>
          <w:spacing w:val="9"/>
        </w:rPr>
        <w:t> </w:t>
      </w:r>
      <w:r>
        <w:rPr>
          <w:color w:val="231F20"/>
        </w:rPr>
        <w:t>that</w:t>
      </w:r>
      <w:r>
        <w:rPr>
          <w:color w:val="231F20"/>
          <w:spacing w:val="10"/>
        </w:rPr>
        <w:t> </w:t>
      </w:r>
      <w:r>
        <w:rPr>
          <w:color w:val="231F20"/>
        </w:rPr>
        <w:t>the</w:t>
      </w:r>
      <w:r>
        <w:rPr>
          <w:color w:val="231F20"/>
          <w:spacing w:val="9"/>
        </w:rPr>
        <w:t> </w:t>
      </w:r>
      <w:r>
        <w:rPr>
          <w:color w:val="231F20"/>
        </w:rPr>
        <w:t>export</w:t>
      </w:r>
      <w:r>
        <w:rPr>
          <w:color w:val="231F20"/>
          <w:spacing w:val="10"/>
        </w:rPr>
        <w:t> </w:t>
      </w:r>
      <w:r>
        <w:rPr>
          <w:color w:val="231F20"/>
        </w:rPr>
        <w:t>of</w:t>
      </w:r>
      <w:r>
        <w:rPr>
          <w:color w:val="231F20"/>
          <w:spacing w:val="9"/>
        </w:rPr>
        <w:t> </w:t>
      </w:r>
      <w:r>
        <w:rPr>
          <w:color w:val="231F20"/>
        </w:rPr>
        <w:t>historical</w:t>
      </w:r>
      <w:r>
        <w:rPr>
          <w:color w:val="231F20"/>
          <w:spacing w:val="9"/>
        </w:rPr>
        <w:t> </w:t>
      </w:r>
      <w:r>
        <w:rPr>
          <w:color w:val="231F20"/>
        </w:rPr>
        <w:t>data</w:t>
      </w:r>
      <w:r>
        <w:rPr>
          <w:color w:val="231F20"/>
          <w:spacing w:val="10"/>
        </w:rPr>
        <w:t> </w:t>
      </w:r>
      <w:r>
        <w:rPr>
          <w:color w:val="231F20"/>
        </w:rPr>
        <w:t>began</w:t>
      </w:r>
      <w:r>
        <w:rPr>
          <w:color w:val="231F20"/>
          <w:spacing w:val="9"/>
        </w:rPr>
        <w:t> </w:t>
      </w:r>
      <w:r>
        <w:rPr>
          <w:color w:val="231F20"/>
        </w:rPr>
        <w:t>trimming</w:t>
      </w:r>
      <w:r>
        <w:rPr>
          <w:color w:val="231F20"/>
          <w:spacing w:val="10"/>
        </w:rPr>
        <w:t> </w:t>
      </w:r>
      <w:r>
        <w:rPr>
          <w:color w:val="231F20"/>
          <w:spacing w:val="-2"/>
        </w:rPr>
        <w:t>data.</w:t>
      </w:r>
    </w:p>
    <w:p>
      <w:pPr>
        <w:pStyle w:val="BodyText"/>
        <w:spacing w:before="13"/>
        <w:rPr>
          <w:sz w:val="15"/>
        </w:rPr>
      </w:pPr>
      <w:r>
        <w:rPr/>
        <mc:AlternateContent>
          <mc:Choice Requires="wps">
            <w:drawing>
              <wp:anchor distT="0" distB="0" distL="0" distR="0" allowOverlap="1" layoutInCell="1" locked="0" behindDoc="1" simplePos="0" relativeHeight="487755776">
                <wp:simplePos x="0" y="0"/>
                <wp:positionH relativeFrom="page">
                  <wp:posOffset>760323</wp:posOffset>
                </wp:positionH>
                <wp:positionV relativeFrom="paragraph">
                  <wp:posOffset>152184</wp:posOffset>
                </wp:positionV>
                <wp:extent cx="6082665" cy="1270"/>
                <wp:effectExtent l="0" t="0" r="0" b="0"/>
                <wp:wrapTopAndBottom/>
                <wp:docPr id="3398" name="Graphic 3398"/>
                <wp:cNvGraphicFramePr>
                  <a:graphicFrameLocks/>
                </wp:cNvGraphicFramePr>
                <a:graphic>
                  <a:graphicData uri="http://schemas.microsoft.com/office/word/2010/wordprocessingShape">
                    <wps:wsp>
                      <wps:cNvPr id="3398" name="Graphic 339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1.983011pt;width:478.95pt;height:.1pt;mso-position-horizontal-relative:page;mso-position-vertical-relative:paragraph;z-index:-15560704;mso-wrap-distance-left:0;mso-wrap-distance-right:0" id="docshape296" coordorigin="1197,240" coordsize="9579,0" path="m1197,240l10776,240e" filled="false" stroked="true" strokeweight=".499pt" strokecolor="#231f20">
                <v:path arrowok="t"/>
                <v:stroke dashstyle="solid"/>
                <w10:wrap type="topAndBottom"/>
              </v:shape>
            </w:pict>
          </mc:Fallback>
        </mc:AlternateContent>
      </w:r>
    </w:p>
    <w:p>
      <w:pPr>
        <w:pStyle w:val="Heading3"/>
        <w:ind w:left="197"/>
      </w:pPr>
      <w:bookmarkStart w:name="Local Time attributes" w:id="719"/>
      <w:bookmarkEnd w:id="719"/>
      <w:r>
        <w:rPr>
          <w:b w:val="0"/>
        </w:rPr>
      </w:r>
      <w:r>
        <w:rPr>
          <w:color w:val="231F20"/>
        </w:rPr>
        <w:t>Local</w:t>
      </w:r>
      <w:r>
        <w:rPr>
          <w:color w:val="231F20"/>
          <w:spacing w:val="5"/>
        </w:rPr>
        <w:t> </w:t>
      </w:r>
      <w:r>
        <w:rPr>
          <w:color w:val="231F20"/>
        </w:rPr>
        <w:t>Time</w:t>
      </w:r>
      <w:r>
        <w:rPr>
          <w:color w:val="231F20"/>
          <w:spacing w:val="6"/>
        </w:rPr>
        <w:t> </w:t>
      </w:r>
      <w:r>
        <w:rPr>
          <w:color w:val="231F20"/>
          <w:spacing w:val="-2"/>
        </w:rPr>
        <w:t>attributes</w:t>
      </w:r>
    </w:p>
    <w:p>
      <w:pPr>
        <w:pStyle w:val="BodyText"/>
        <w:spacing w:line="213" w:lineRule="auto" w:before="138"/>
        <w:ind w:left="2232" w:right="545"/>
      </w:pPr>
      <w:r>
        <w:rPr>
          <w:color w:val="231F20"/>
        </w:rPr>
        <w:t>The Local Time attributes show the time and date where the agent is located. For example, if you are running the Tivoli Enterprise Portal in London and </w:t>
      </w:r>
      <w:r>
        <w:rPr>
          <w:color w:val="231F20"/>
        </w:rPr>
        <w:t>monitoring</w:t>
      </w:r>
      <w:r>
        <w:rPr>
          <w:color w:val="231F20"/>
          <w:spacing w:val="80"/>
        </w:rPr>
        <w:t> </w:t>
      </w:r>
      <w:r>
        <w:rPr>
          <w:color w:val="231F20"/>
        </w:rPr>
        <w:t>a system in Cairo, the local Cairo time and date will be returned. These attributes</w:t>
      </w:r>
      <w:r>
        <w:rPr>
          <w:color w:val="231F20"/>
          <w:spacing w:val="40"/>
        </w:rPr>
        <w:t> </w:t>
      </w:r>
      <w:r>
        <w:rPr>
          <w:color w:val="231F20"/>
        </w:rPr>
        <w:t>are useful for action situations triggered by time.</w:t>
      </w:r>
    </w:p>
    <w:p>
      <w:pPr>
        <w:pStyle w:val="Heading6"/>
        <w:spacing w:line="240" w:lineRule="auto" w:before="236"/>
        <w:ind w:left="2232"/>
      </w:pPr>
      <w:r>
        <w:rPr>
          <w:color w:val="231F20"/>
          <w:spacing w:val="-2"/>
        </w:rPr>
        <w:t>Note:</w:t>
      </w:r>
    </w:p>
    <w:p>
      <w:pPr>
        <w:pStyle w:val="ListParagraph"/>
        <w:numPr>
          <w:ilvl w:val="0"/>
          <w:numId w:val="190"/>
        </w:numPr>
        <w:tabs>
          <w:tab w:pos="2548" w:val="left" w:leader="none"/>
          <w:tab w:pos="2615" w:val="left" w:leader="none"/>
        </w:tabs>
        <w:spacing w:line="213" w:lineRule="auto" w:before="59" w:after="0"/>
        <w:ind w:left="2548" w:right="632" w:hanging="316"/>
        <w:jc w:val="left"/>
        <w:rPr>
          <w:sz w:val="20"/>
        </w:rPr>
      </w:pPr>
      <w:r>
        <w:rPr>
          <w:rFonts w:ascii="Arial"/>
          <w:color w:val="231F20"/>
          <w:sz w:val="20"/>
        </w:rPr>
        <w:tab/>
      </w:r>
      <w:r>
        <w:rPr>
          <w:color w:val="231F20"/>
          <w:sz w:val="20"/>
        </w:rPr>
        <w:t>The Local Time attribute group can be combined with any attribute group </w:t>
      </w:r>
      <w:r>
        <w:rPr>
          <w:color w:val="231F20"/>
          <w:sz w:val="20"/>
        </w:rPr>
        <w:t>to create a situation condition.</w:t>
      </w:r>
    </w:p>
    <w:p>
      <w:pPr>
        <w:pStyle w:val="ListParagraph"/>
        <w:numPr>
          <w:ilvl w:val="0"/>
          <w:numId w:val="190"/>
        </w:numPr>
        <w:tabs>
          <w:tab w:pos="2548" w:val="left" w:leader="none"/>
        </w:tabs>
        <w:spacing w:line="213" w:lineRule="auto" w:before="59" w:after="0"/>
        <w:ind w:left="2548" w:right="1298" w:hanging="316"/>
        <w:jc w:val="left"/>
        <w:rPr>
          <w:sz w:val="20"/>
        </w:rPr>
      </w:pPr>
      <w:r>
        <w:rPr>
          <w:color w:val="231F20"/>
          <w:sz w:val="20"/>
        </w:rPr>
        <w:t>The Local Time attributes are not available for use in Tivoli Enterprise Monitoring Server queries.</w:t>
      </w:r>
    </w:p>
    <w:p>
      <w:pPr>
        <w:pStyle w:val="ListParagraph"/>
        <w:numPr>
          <w:ilvl w:val="0"/>
          <w:numId w:val="190"/>
        </w:numPr>
        <w:tabs>
          <w:tab w:pos="2548" w:val="left" w:leader="none"/>
          <w:tab w:pos="2615" w:val="left" w:leader="none"/>
        </w:tabs>
        <w:spacing w:line="213" w:lineRule="auto" w:before="58" w:after="0"/>
        <w:ind w:left="2548" w:right="532" w:hanging="316"/>
        <w:jc w:val="left"/>
        <w:rPr>
          <w:sz w:val="20"/>
        </w:rPr>
      </w:pPr>
      <w:r>
        <w:rPr>
          <w:rFonts w:ascii="Arial"/>
          <w:color w:val="231F20"/>
          <w:sz w:val="20"/>
        </w:rPr>
        <w:tab/>
      </w:r>
      <w:r>
        <w:rPr>
          <w:color w:val="231F20"/>
          <w:sz w:val="20"/>
        </w:rPr>
        <w:t>Seconds, Minutes, Hours, and Day Of Month are treated as two-character </w:t>
      </w:r>
      <w:r>
        <w:rPr>
          <w:color w:val="231F20"/>
          <w:sz w:val="20"/>
        </w:rPr>
        <w:t>text attributes. For example, </w:t>
      </w:r>
      <w:r>
        <w:rPr>
          <w:rFonts w:ascii="Book Antiqua"/>
          <w:i/>
          <w:color w:val="231F20"/>
          <w:sz w:val="20"/>
        </w:rPr>
        <w:t>02 </w:t>
      </w:r>
      <w:r>
        <w:rPr>
          <w:color w:val="231F20"/>
          <w:sz w:val="20"/>
        </w:rPr>
        <w:t>Hours is correct, but </w:t>
      </w:r>
      <w:r>
        <w:rPr>
          <w:rFonts w:ascii="Book Antiqua"/>
          <w:i/>
          <w:color w:val="231F20"/>
          <w:sz w:val="20"/>
        </w:rPr>
        <w:t>2 </w:t>
      </w:r>
      <w:r>
        <w:rPr>
          <w:color w:val="231F20"/>
          <w:sz w:val="20"/>
        </w:rPr>
        <w:t>Hours will never be true.</w:t>
      </w:r>
    </w:p>
    <w:p>
      <w:pPr>
        <w:pStyle w:val="BodyText"/>
        <w:spacing w:line="213" w:lineRule="auto" w:before="239"/>
        <w:ind w:left="2232" w:right="456"/>
        <w:jc w:val="both"/>
      </w:pPr>
      <w:r>
        <w:rPr>
          <w:rFonts w:ascii="Book Antiqua"/>
          <w:b/>
          <w:color w:val="231F20"/>
        </w:rPr>
        <w:t>Day Of Month </w:t>
      </w:r>
      <w:r>
        <w:rPr>
          <w:color w:val="231F20"/>
        </w:rPr>
        <w:t>The day in the month that the Tivoli Enterprise Monitoring Server samples the data at the agent location, from 00 to 31. For example, 01 is the first of the month.</w:t>
      </w:r>
    </w:p>
    <w:p>
      <w:pPr>
        <w:pStyle w:val="BodyText"/>
        <w:spacing w:line="213" w:lineRule="auto" w:before="237"/>
        <w:ind w:left="2232" w:right="746"/>
        <w:jc w:val="both"/>
      </w:pPr>
      <w:r>
        <w:rPr>
          <w:rFonts w:ascii="Book Antiqua"/>
          <w:b/>
          <w:color w:val="231F20"/>
        </w:rPr>
        <w:t>Day Of Week </w:t>
      </w:r>
      <w:r>
        <w:rPr>
          <w:color w:val="231F20"/>
        </w:rPr>
        <w:t>The day in the week that the Tivoli Enterprise Monitoring </w:t>
      </w:r>
      <w:r>
        <w:rPr>
          <w:color w:val="231F20"/>
        </w:rPr>
        <w:t>Server samples the data at the agent location, from Sunday to Saturday. Select the day from the </w:t>
      </w:r>
      <w:r>
        <w:rPr>
          <w:color w:val="231F20"/>
          <w:spacing w:val="16"/>
          <w:position w:val="-1"/>
        </w:rPr>
        <w:drawing>
          <wp:inline distT="0" distB="0" distL="0" distR="0">
            <wp:extent cx="101600" cy="101600"/>
            <wp:effectExtent l="0" t="0" r="0" b="0"/>
            <wp:docPr id="3399" name="Image 3399"/>
            <wp:cNvGraphicFramePr>
              <a:graphicFrameLocks/>
            </wp:cNvGraphicFramePr>
            <a:graphic>
              <a:graphicData uri="http://schemas.openxmlformats.org/drawingml/2006/picture">
                <pic:pic>
                  <pic:nvPicPr>
                    <pic:cNvPr id="3399" name="Image 3399"/>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w:t>
      </w:r>
    </w:p>
    <w:p>
      <w:pPr>
        <w:pStyle w:val="BodyText"/>
        <w:spacing w:line="213" w:lineRule="auto" w:before="237"/>
        <w:ind w:left="2232" w:right="700"/>
        <w:jc w:val="both"/>
      </w:pPr>
      <w:r>
        <w:rPr>
          <w:rFonts w:ascii="Book Antiqua"/>
          <w:b/>
          <w:color w:val="231F20"/>
        </w:rPr>
        <w:t>Hours </w:t>
      </w:r>
      <w:r>
        <w:rPr>
          <w:color w:val="231F20"/>
        </w:rPr>
        <w:t>The hour in the day that the Tivoli Enterprise Monitoring Server </w:t>
      </w:r>
      <w:r>
        <w:rPr>
          <w:color w:val="231F20"/>
        </w:rPr>
        <w:t>samples the</w:t>
      </w:r>
      <w:r>
        <w:rPr>
          <w:color w:val="231F20"/>
          <w:spacing w:val="25"/>
        </w:rPr>
        <w:t> </w:t>
      </w:r>
      <w:r>
        <w:rPr>
          <w:color w:val="231F20"/>
        </w:rPr>
        <w:t>data</w:t>
      </w:r>
      <w:r>
        <w:rPr>
          <w:color w:val="231F20"/>
          <w:spacing w:val="25"/>
        </w:rPr>
        <w:t> </w:t>
      </w:r>
      <w:r>
        <w:rPr>
          <w:color w:val="231F20"/>
        </w:rPr>
        <w:t>at</w:t>
      </w:r>
      <w:r>
        <w:rPr>
          <w:color w:val="231F20"/>
          <w:spacing w:val="25"/>
        </w:rPr>
        <w:t> </w:t>
      </w:r>
      <w:r>
        <w:rPr>
          <w:color w:val="231F20"/>
        </w:rPr>
        <w:t>the</w:t>
      </w:r>
      <w:r>
        <w:rPr>
          <w:color w:val="231F20"/>
          <w:spacing w:val="25"/>
        </w:rPr>
        <w:t> </w:t>
      </w:r>
      <w:r>
        <w:rPr>
          <w:color w:val="231F20"/>
        </w:rPr>
        <w:t>agent</w:t>
      </w:r>
      <w:r>
        <w:rPr>
          <w:color w:val="231F20"/>
          <w:spacing w:val="25"/>
        </w:rPr>
        <w:t> </w:t>
      </w:r>
      <w:r>
        <w:rPr>
          <w:color w:val="231F20"/>
        </w:rPr>
        <w:t>location,</w:t>
      </w:r>
      <w:r>
        <w:rPr>
          <w:color w:val="231F20"/>
          <w:spacing w:val="25"/>
        </w:rPr>
        <w:t> </w:t>
      </w:r>
      <w:r>
        <w:rPr>
          <w:color w:val="231F20"/>
        </w:rPr>
        <w:t>from</w:t>
      </w:r>
      <w:r>
        <w:rPr>
          <w:color w:val="231F20"/>
          <w:spacing w:val="25"/>
        </w:rPr>
        <w:t> </w:t>
      </w:r>
      <w:r>
        <w:rPr>
          <w:color w:val="231F20"/>
        </w:rPr>
        <w:t>00</w:t>
      </w:r>
      <w:r>
        <w:rPr>
          <w:color w:val="231F20"/>
          <w:spacing w:val="25"/>
        </w:rPr>
        <w:t> </w:t>
      </w:r>
      <w:r>
        <w:rPr>
          <w:color w:val="231F20"/>
        </w:rPr>
        <w:t>to</w:t>
      </w:r>
      <w:r>
        <w:rPr>
          <w:color w:val="231F20"/>
          <w:spacing w:val="25"/>
        </w:rPr>
        <w:t> </w:t>
      </w:r>
      <w:r>
        <w:rPr>
          <w:color w:val="231F20"/>
        </w:rPr>
        <w:t>23,</w:t>
      </w:r>
      <w:r>
        <w:rPr>
          <w:color w:val="231F20"/>
          <w:spacing w:val="25"/>
        </w:rPr>
        <w:t> </w:t>
      </w:r>
      <w:r>
        <w:rPr>
          <w:color w:val="231F20"/>
        </w:rPr>
        <w:t>starting</w:t>
      </w:r>
      <w:r>
        <w:rPr>
          <w:color w:val="231F20"/>
          <w:spacing w:val="25"/>
        </w:rPr>
        <w:t> </w:t>
      </w:r>
      <w:r>
        <w:rPr>
          <w:color w:val="231F20"/>
        </w:rPr>
        <w:t>at</w:t>
      </w:r>
      <w:r>
        <w:rPr>
          <w:color w:val="231F20"/>
          <w:spacing w:val="25"/>
        </w:rPr>
        <w:t> </w:t>
      </w:r>
      <w:r>
        <w:rPr>
          <w:color w:val="231F20"/>
        </w:rPr>
        <w:t>00</w:t>
      </w:r>
      <w:r>
        <w:rPr>
          <w:color w:val="231F20"/>
          <w:spacing w:val="25"/>
        </w:rPr>
        <w:t> </w:t>
      </w:r>
      <w:r>
        <w:rPr>
          <w:color w:val="231F20"/>
        </w:rPr>
        <w:t>for</w:t>
      </w:r>
      <w:r>
        <w:rPr>
          <w:color w:val="231F20"/>
          <w:spacing w:val="25"/>
        </w:rPr>
        <w:t> </w:t>
      </w:r>
      <w:r>
        <w:rPr>
          <w:color w:val="231F20"/>
        </w:rPr>
        <w:t>12</w:t>
      </w:r>
      <w:r>
        <w:rPr>
          <w:color w:val="231F20"/>
          <w:spacing w:val="25"/>
        </w:rPr>
        <w:t> </w:t>
      </w:r>
      <w:r>
        <w:rPr>
          <w:color w:val="231F20"/>
        </w:rPr>
        <w:t>am.</w:t>
      </w:r>
    </w:p>
    <w:p>
      <w:pPr>
        <w:pStyle w:val="BodyText"/>
        <w:spacing w:line="213" w:lineRule="auto" w:before="239"/>
        <w:ind w:left="2232" w:right="670"/>
        <w:jc w:val="both"/>
      </w:pPr>
      <w:r>
        <w:rPr>
          <w:rFonts w:ascii="Book Antiqua"/>
          <w:b/>
          <w:color w:val="231F20"/>
        </w:rPr>
        <w:t>Minutes </w:t>
      </w:r>
      <w:r>
        <w:rPr>
          <w:color w:val="231F20"/>
        </w:rPr>
        <w:t>The minutes into the hour that the Tivoli Enterprise Monitoring Server samples the data at the agent location, from 00 to 59, such as 05 for five minutes past the hour.</w:t>
      </w:r>
    </w:p>
    <w:p>
      <w:pPr>
        <w:pStyle w:val="BodyText"/>
        <w:spacing w:line="213" w:lineRule="auto" w:before="237"/>
        <w:ind w:left="2232" w:right="447"/>
        <w:jc w:val="both"/>
      </w:pPr>
      <w:r>
        <w:rPr>
          <w:rFonts w:ascii="Book Antiqua"/>
          <w:b/>
          <w:color w:val="231F20"/>
        </w:rPr>
        <w:t>Month Of Year </w:t>
      </w:r>
      <w:r>
        <w:rPr>
          <w:color w:val="231F20"/>
        </w:rPr>
        <w:t>The month in the year that the Tivoli Enterprise Monitoring </w:t>
      </w:r>
      <w:r>
        <w:rPr>
          <w:color w:val="231F20"/>
        </w:rPr>
        <w:t>Server samples the data at the agent location. Select the month from the </w:t>
      </w:r>
      <w:r>
        <w:rPr>
          <w:color w:val="231F20"/>
          <w:spacing w:val="15"/>
          <w:position w:val="-1"/>
        </w:rPr>
        <w:drawing>
          <wp:inline distT="0" distB="0" distL="0" distR="0">
            <wp:extent cx="101600" cy="101600"/>
            <wp:effectExtent l="0" t="0" r="0" b="0"/>
            <wp:docPr id="3400" name="Image 3400"/>
            <wp:cNvGraphicFramePr>
              <a:graphicFrameLocks/>
            </wp:cNvGraphicFramePr>
            <a:graphic>
              <a:graphicData uri="http://schemas.openxmlformats.org/drawingml/2006/picture">
                <pic:pic>
                  <pic:nvPicPr>
                    <pic:cNvPr id="3400" name="Image 340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p>
    <w:p>
      <w:pPr>
        <w:pStyle w:val="BodyText"/>
        <w:spacing w:line="213" w:lineRule="auto" w:before="238"/>
        <w:ind w:left="2232" w:right="545"/>
      </w:pPr>
      <w:r>
        <w:rPr>
          <w:rFonts w:ascii="Book Antiqua"/>
          <w:b/>
          <w:color w:val="231F20"/>
        </w:rPr>
        <w:t>Seconds </w:t>
      </w:r>
      <w:r>
        <w:rPr>
          <w:color w:val="231F20"/>
        </w:rPr>
        <w:t>The second in the minute that the Tivoli Enterprise Monitoring Server samples the data at the agent location. It can be from 00 to 59, such as 08 for the</w:t>
      </w:r>
      <w:r>
        <w:rPr>
          <w:color w:val="231F20"/>
          <w:spacing w:val="80"/>
        </w:rPr>
        <w:t> </w:t>
      </w:r>
      <w:r>
        <w:rPr>
          <w:color w:val="231F20"/>
        </w:rPr>
        <w:t>eighth second.</w:t>
      </w:r>
    </w:p>
    <w:p>
      <w:pPr>
        <w:pStyle w:val="BodyText"/>
        <w:spacing w:line="213" w:lineRule="auto" w:before="238"/>
        <w:ind w:left="2232" w:right="545"/>
      </w:pPr>
      <w:r>
        <w:rPr>
          <w:rFonts w:ascii="Book Antiqua"/>
          <w:b/>
          <w:color w:val="231F20"/>
        </w:rPr>
        <w:t>Time </w:t>
      </w:r>
      <w:r>
        <w:rPr>
          <w:color w:val="231F20"/>
        </w:rPr>
        <w:t>The time of the data sampling, corrected for local time zone and </w:t>
      </w:r>
      <w:r>
        <w:rPr>
          <w:color w:val="231F20"/>
        </w:rPr>
        <w:t>daylight saving time, formatted as HHMMSS. For example, 170700 is 5:07 PM.</w:t>
      </w:r>
    </w:p>
    <w:p>
      <w:pPr>
        <w:pStyle w:val="BodyText"/>
        <w:spacing w:line="213" w:lineRule="auto" w:before="238"/>
        <w:ind w:left="2232" w:right="545"/>
      </w:pPr>
      <w:r>
        <w:rPr>
          <w:rFonts w:ascii="Book Antiqua"/>
          <w:b/>
          <w:color w:val="231F20"/>
        </w:rPr>
        <w:t>Timestamp </w:t>
      </w:r>
      <w:r>
        <w:rPr>
          <w:color w:val="231F20"/>
        </w:rPr>
        <w:t>The date and time when the Tivoli Enterprise Monitoring Server samples</w:t>
      </w:r>
      <w:r>
        <w:rPr>
          <w:color w:val="231F20"/>
          <w:spacing w:val="22"/>
        </w:rPr>
        <w:t> </w:t>
      </w:r>
      <w:r>
        <w:rPr>
          <w:color w:val="231F20"/>
        </w:rPr>
        <w:t>the</w:t>
      </w:r>
      <w:r>
        <w:rPr>
          <w:color w:val="231F20"/>
          <w:spacing w:val="22"/>
        </w:rPr>
        <w:t> </w:t>
      </w:r>
      <w:r>
        <w:rPr>
          <w:color w:val="231F20"/>
        </w:rPr>
        <w:t>data</w:t>
      </w:r>
      <w:r>
        <w:rPr>
          <w:color w:val="231F20"/>
          <w:spacing w:val="22"/>
        </w:rPr>
        <w:t> </w:t>
      </w:r>
      <w:r>
        <w:rPr>
          <w:color w:val="231F20"/>
        </w:rPr>
        <w:t>at</w:t>
      </w:r>
      <w:r>
        <w:rPr>
          <w:color w:val="231F20"/>
          <w:spacing w:val="22"/>
        </w:rPr>
        <w:t> </w:t>
      </w:r>
      <w:r>
        <w:rPr>
          <w:color w:val="231F20"/>
        </w:rPr>
        <w:t>the</w:t>
      </w:r>
      <w:r>
        <w:rPr>
          <w:color w:val="231F20"/>
          <w:spacing w:val="22"/>
        </w:rPr>
        <w:t> </w:t>
      </w:r>
      <w:r>
        <w:rPr>
          <w:color w:val="231F20"/>
        </w:rPr>
        <w:t>agent</w:t>
      </w:r>
      <w:r>
        <w:rPr>
          <w:color w:val="231F20"/>
          <w:spacing w:val="22"/>
        </w:rPr>
        <w:t> </w:t>
      </w:r>
      <w:r>
        <w:rPr>
          <w:color w:val="231F20"/>
        </w:rPr>
        <w:t>location.</w:t>
      </w:r>
      <w:r>
        <w:rPr>
          <w:color w:val="231F20"/>
          <w:spacing w:val="22"/>
        </w:rPr>
        <w:t> </w:t>
      </w:r>
      <w:r>
        <w:rPr>
          <w:color w:val="231F20"/>
        </w:rPr>
        <w:t>The</w:t>
      </w:r>
      <w:r>
        <w:rPr>
          <w:color w:val="231F20"/>
          <w:spacing w:val="22"/>
        </w:rPr>
        <w:t> </w:t>
      </w:r>
      <w:r>
        <w:rPr>
          <w:color w:val="231F20"/>
        </w:rPr>
        <w:t>format</w:t>
      </w:r>
      <w:r>
        <w:rPr>
          <w:color w:val="231F20"/>
          <w:spacing w:val="22"/>
        </w:rPr>
        <w:t> </w:t>
      </w:r>
      <w:r>
        <w:rPr>
          <w:color w:val="231F20"/>
        </w:rPr>
        <w:t>is</w:t>
      </w:r>
      <w:r>
        <w:rPr>
          <w:color w:val="231F20"/>
          <w:spacing w:val="22"/>
        </w:rPr>
        <w:t> </w:t>
      </w:r>
      <w:r>
        <w:rPr>
          <w:color w:val="231F20"/>
        </w:rPr>
        <w:t>MM/DD/YY</w:t>
      </w:r>
      <w:r>
        <w:rPr>
          <w:color w:val="231F20"/>
          <w:spacing w:val="17"/>
        </w:rPr>
        <w:t> </w:t>
      </w:r>
      <w:r>
        <w:rPr>
          <w:color w:val="231F20"/>
        </w:rPr>
        <w:t>HH:MM:SS.</w:t>
      </w:r>
    </w:p>
    <w:p>
      <w:pPr>
        <w:spacing w:after="0" w:line="213" w:lineRule="auto"/>
        <w:sectPr>
          <w:pgSz w:w="12240" w:h="15840"/>
          <w:pgMar w:header="0" w:footer="736" w:top="1180" w:bottom="920" w:left="1000" w:right="1060"/>
        </w:sectPr>
      </w:pPr>
    </w:p>
    <w:p>
      <w:pPr>
        <w:pStyle w:val="BodyText"/>
        <w:spacing w:before="11"/>
        <w:rPr>
          <w:sz w:val="3"/>
        </w:rPr>
      </w:pPr>
    </w:p>
    <w:p>
      <w:pPr>
        <w:pStyle w:val="BodyText"/>
        <w:spacing w:line="20" w:lineRule="exact"/>
        <w:ind w:left="436"/>
        <w:rPr>
          <w:sz w:val="2"/>
        </w:rPr>
      </w:pPr>
      <w:bookmarkStart w:name="_bookmark344" w:id="720"/>
      <w:bookmarkEnd w:id="720"/>
      <w:r>
        <w:rPr/>
      </w:r>
      <w:r>
        <w:rPr>
          <w:sz w:val="2"/>
        </w:rPr>
        <mc:AlternateContent>
          <mc:Choice Requires="wps">
            <w:drawing>
              <wp:inline distT="0" distB="0" distL="0" distR="0">
                <wp:extent cx="6082665" cy="6350"/>
                <wp:effectExtent l="9525" t="0" r="0" b="3175"/>
                <wp:docPr id="3401" name="Group 3401"/>
                <wp:cNvGraphicFramePr>
                  <a:graphicFrameLocks/>
                </wp:cNvGraphicFramePr>
                <a:graphic>
                  <a:graphicData uri="http://schemas.microsoft.com/office/word/2010/wordprocessingGroup">
                    <wpg:wgp>
                      <wpg:cNvPr id="3401" name="Group 3401"/>
                      <wpg:cNvGrpSpPr/>
                      <wpg:grpSpPr>
                        <a:xfrm>
                          <a:off x="0" y="0"/>
                          <a:ext cx="6082665" cy="6350"/>
                          <a:chExt cx="6082665" cy="6350"/>
                        </a:xfrm>
                      </wpg:grpSpPr>
                      <wps:wsp>
                        <wps:cNvPr id="3402" name="Graphic 3402"/>
                        <wps:cNvSpPr/>
                        <wps:spPr>
                          <a:xfrm>
                            <a:off x="0" y="3168"/>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297" coordorigin="0,0" coordsize="9579,10">
                <v:line style="position:absolute" from="0,5" to="9579,5" stroked="true" strokeweight=".499pt" strokecolor="#231f20">
                  <v:stroke dashstyle="solid"/>
                </v:line>
              </v:group>
            </w:pict>
          </mc:Fallback>
        </mc:AlternateContent>
      </w:r>
      <w:r>
        <w:rPr>
          <w:sz w:val="2"/>
        </w:rPr>
      </w:r>
    </w:p>
    <w:p>
      <w:pPr>
        <w:pStyle w:val="Heading3"/>
        <w:spacing w:before="12"/>
      </w:pPr>
      <w:bookmarkStart w:name="Managed Systems attributes" w:id="721"/>
      <w:bookmarkEnd w:id="721"/>
      <w:r>
        <w:rPr>
          <w:b w:val="0"/>
        </w:rPr>
      </w:r>
      <w:r>
        <w:rPr>
          <w:color w:val="231F20"/>
        </w:rPr>
        <w:t>Managed</w:t>
      </w:r>
      <w:r>
        <w:rPr>
          <w:color w:val="231F20"/>
          <w:spacing w:val="3"/>
        </w:rPr>
        <w:t> </w:t>
      </w:r>
      <w:r>
        <w:rPr>
          <w:color w:val="231F20"/>
        </w:rPr>
        <w:t>Systems</w:t>
      </w:r>
      <w:r>
        <w:rPr>
          <w:color w:val="231F20"/>
          <w:spacing w:val="3"/>
        </w:rPr>
        <w:t> </w:t>
      </w:r>
      <w:r>
        <w:rPr>
          <w:color w:val="231F20"/>
          <w:spacing w:val="-2"/>
        </w:rPr>
        <w:t>attributes</w:t>
      </w:r>
    </w:p>
    <w:p>
      <w:pPr>
        <w:pStyle w:val="BodyText"/>
        <w:spacing w:line="213" w:lineRule="auto" w:before="138"/>
        <w:ind w:left="2472" w:right="258"/>
      </w:pPr>
      <w:r>
        <w:rPr>
          <w:color w:val="231F20"/>
        </w:rPr>
        <w:t>The Managed Systems attributes are used to check vital heartbeat information </w:t>
      </w:r>
      <w:r>
        <w:rPr>
          <w:color w:val="231F20"/>
        </w:rPr>
        <w:t>from the Tivoli Enterprise Monitoring Server and monitoring agents. You can apply the Managed System query to a view (in the Query editor under Tivoli Enterprise Monitoring Server </w:t>
      </w:r>
      <w:r>
        <w:rPr>
          <w:rFonts w:ascii="Arial" w:hAnsi="Arial"/>
          <w:color w:val="231F20"/>
          <w:w w:val="90"/>
        </w:rPr>
        <w:t>→ </w:t>
      </w:r>
      <w:r>
        <w:rPr>
          <w:color w:val="231F20"/>
        </w:rPr>
        <w:t>Managed System).</w:t>
      </w:r>
    </w:p>
    <w:p>
      <w:pPr>
        <w:pStyle w:val="BodyText"/>
        <w:spacing w:line="213" w:lineRule="auto" w:before="237"/>
        <w:ind w:left="2472" w:right="451"/>
        <w:jc w:val="both"/>
      </w:pPr>
      <w:r>
        <w:rPr>
          <w:color w:val="231F20"/>
        </w:rPr>
        <w:t>For the Navigator Physical view Enterprise item and for custom Navigator </w:t>
      </w:r>
      <w:r>
        <w:rPr>
          <w:color w:val="231F20"/>
        </w:rPr>
        <w:t>view items that have the *HUB_ or *ALL_CMS managed system group assigned, you can also create situations with these monitoring server attributes.</w:t>
      </w:r>
    </w:p>
    <w:p>
      <w:pPr>
        <w:pStyle w:val="BodyText"/>
        <w:spacing w:before="214"/>
        <w:ind w:left="2472"/>
      </w:pPr>
      <w:r>
        <w:rPr>
          <w:rFonts w:ascii="Book Antiqua"/>
          <w:b/>
          <w:color w:val="231F20"/>
        </w:rPr>
        <w:t>Affinities</w:t>
      </w:r>
      <w:r>
        <w:rPr>
          <w:rFonts w:ascii="Book Antiqua"/>
          <w:b/>
          <w:color w:val="231F20"/>
          <w:spacing w:val="9"/>
        </w:rPr>
        <w:t> </w:t>
      </w:r>
      <w:r>
        <w:rPr>
          <w:color w:val="231F20"/>
        </w:rPr>
        <w:t>The</w:t>
      </w:r>
      <w:r>
        <w:rPr>
          <w:color w:val="231F20"/>
          <w:spacing w:val="10"/>
        </w:rPr>
        <w:t> </w:t>
      </w:r>
      <w:r>
        <w:rPr>
          <w:color w:val="231F20"/>
        </w:rPr>
        <w:t>code</w:t>
      </w:r>
      <w:r>
        <w:rPr>
          <w:color w:val="231F20"/>
          <w:spacing w:val="10"/>
        </w:rPr>
        <w:t> </w:t>
      </w:r>
      <w:r>
        <w:rPr>
          <w:color w:val="231F20"/>
        </w:rPr>
        <w:t>identifier</w:t>
      </w:r>
      <w:r>
        <w:rPr>
          <w:color w:val="231F20"/>
          <w:spacing w:val="9"/>
        </w:rPr>
        <w:t> </w:t>
      </w:r>
      <w:r>
        <w:rPr>
          <w:color w:val="231F20"/>
        </w:rPr>
        <w:t>of</w:t>
      </w:r>
      <w:r>
        <w:rPr>
          <w:color w:val="231F20"/>
          <w:spacing w:val="10"/>
        </w:rPr>
        <w:t> </w:t>
      </w:r>
      <w:r>
        <w:rPr>
          <w:color w:val="231F20"/>
        </w:rPr>
        <w:t>the</w:t>
      </w:r>
      <w:r>
        <w:rPr>
          <w:color w:val="231F20"/>
          <w:spacing w:val="10"/>
        </w:rPr>
        <w:t> </w:t>
      </w:r>
      <w:r>
        <w:rPr>
          <w:color w:val="231F20"/>
        </w:rPr>
        <w:t>product</w:t>
      </w:r>
      <w:r>
        <w:rPr>
          <w:color w:val="231F20"/>
          <w:spacing w:val="9"/>
        </w:rPr>
        <w:t> </w:t>
      </w:r>
      <w:r>
        <w:rPr>
          <w:color w:val="231F20"/>
          <w:spacing w:val="-2"/>
        </w:rPr>
        <w:t>component.</w:t>
      </w:r>
    </w:p>
    <w:p>
      <w:pPr>
        <w:pStyle w:val="BodyText"/>
        <w:spacing w:line="213" w:lineRule="auto" w:before="232"/>
        <w:ind w:left="2472" w:right="258"/>
      </w:pPr>
      <w:r>
        <w:rPr>
          <w:rFonts w:ascii="Book Antiqua"/>
          <w:b/>
          <w:color w:val="231F20"/>
        </w:rPr>
        <w:t>Expiry Time </w:t>
      </w:r>
      <w:r>
        <w:rPr>
          <w:color w:val="231F20"/>
        </w:rPr>
        <w:t>The time when the hub Tivoli Enterprise Monitoring Server stops waiting for the heartbeat and considers the agent offline. This attribute is available for queries, but not for situations. The format is CYYMMDDHHMMSSmmm (as </w:t>
      </w:r>
      <w:r>
        <w:rPr>
          <w:color w:val="231F20"/>
        </w:rPr>
        <w:t>in 1090415074501000 for April 15, 2009 at 07:45:01) where:</w:t>
      </w:r>
    </w:p>
    <w:p>
      <w:pPr>
        <w:pStyle w:val="BodyText"/>
        <w:spacing w:line="266" w:lineRule="auto" w:before="35"/>
        <w:ind w:left="2771" w:right="4197"/>
      </w:pPr>
      <w:r>
        <w:rPr>
          <w:color w:val="231F20"/>
          <w:w w:val="105"/>
        </w:rPr>
        <w:t>C</w:t>
      </w:r>
      <w:r>
        <w:rPr>
          <w:color w:val="231F20"/>
          <w:spacing w:val="-6"/>
          <w:w w:val="105"/>
        </w:rPr>
        <w:t> </w:t>
      </w:r>
      <w:r>
        <w:rPr>
          <w:color w:val="231F20"/>
          <w:w w:val="105"/>
        </w:rPr>
        <w:t>=</w:t>
      </w:r>
      <w:r>
        <w:rPr>
          <w:color w:val="231F20"/>
          <w:spacing w:val="-6"/>
          <w:w w:val="105"/>
        </w:rPr>
        <w:t> </w:t>
      </w:r>
      <w:r>
        <w:rPr>
          <w:color w:val="231F20"/>
          <w:w w:val="105"/>
        </w:rPr>
        <w:t>Century</w:t>
      </w:r>
      <w:r>
        <w:rPr>
          <w:color w:val="231F20"/>
          <w:spacing w:val="-6"/>
          <w:w w:val="105"/>
        </w:rPr>
        <w:t> </w:t>
      </w:r>
      <w:r>
        <w:rPr>
          <w:color w:val="231F20"/>
          <w:w w:val="105"/>
        </w:rPr>
        <w:t>(0</w:t>
      </w:r>
      <w:r>
        <w:rPr>
          <w:color w:val="231F20"/>
          <w:spacing w:val="-6"/>
          <w:w w:val="105"/>
        </w:rPr>
        <w:t> </w:t>
      </w:r>
      <w:r>
        <w:rPr>
          <w:color w:val="231F20"/>
          <w:w w:val="105"/>
        </w:rPr>
        <w:t>for</w:t>
      </w:r>
      <w:r>
        <w:rPr>
          <w:color w:val="231F20"/>
          <w:spacing w:val="-6"/>
          <w:w w:val="105"/>
        </w:rPr>
        <w:t> </w:t>
      </w:r>
      <w:r>
        <w:rPr>
          <w:color w:val="231F20"/>
          <w:w w:val="105"/>
        </w:rPr>
        <w:t>20th,</w:t>
      </w:r>
      <w:r>
        <w:rPr>
          <w:color w:val="231F20"/>
          <w:spacing w:val="-6"/>
          <w:w w:val="105"/>
        </w:rPr>
        <w:t> </w:t>
      </w:r>
      <w:r>
        <w:rPr>
          <w:color w:val="231F20"/>
          <w:w w:val="105"/>
        </w:rPr>
        <w:t>1</w:t>
      </w:r>
      <w:r>
        <w:rPr>
          <w:color w:val="231F20"/>
          <w:spacing w:val="-6"/>
          <w:w w:val="105"/>
        </w:rPr>
        <w:t> </w:t>
      </w:r>
      <w:r>
        <w:rPr>
          <w:color w:val="231F20"/>
          <w:w w:val="105"/>
        </w:rPr>
        <w:t>for</w:t>
      </w:r>
      <w:r>
        <w:rPr>
          <w:color w:val="231F20"/>
          <w:spacing w:val="-6"/>
          <w:w w:val="105"/>
        </w:rPr>
        <w:t> </w:t>
      </w:r>
      <w:r>
        <w:rPr>
          <w:color w:val="231F20"/>
          <w:w w:val="105"/>
        </w:rPr>
        <w:t>21st) </w:t>
      </w:r>
      <w:r>
        <w:rPr>
          <w:color w:val="231F20"/>
          <w:spacing w:val="12"/>
          <w:w w:val="105"/>
        </w:rPr>
        <w:t>Y </w:t>
      </w:r>
      <w:r>
        <w:rPr>
          <w:color w:val="231F20"/>
          <w:w w:val="105"/>
        </w:rPr>
        <w:t>= Year</w:t>
      </w:r>
    </w:p>
    <w:p>
      <w:pPr>
        <w:pStyle w:val="BodyText"/>
        <w:spacing w:line="266" w:lineRule="auto"/>
        <w:ind w:left="2771" w:right="6351"/>
      </w:pP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Month D = Day</w:t>
      </w:r>
    </w:p>
    <w:p>
      <w:pPr>
        <w:pStyle w:val="BodyText"/>
        <w:spacing w:line="266" w:lineRule="auto"/>
        <w:ind w:left="2771" w:right="6319"/>
      </w:pPr>
      <w:r>
        <w:rPr>
          <w:color w:val="231F20"/>
          <w:w w:val="105"/>
        </w:rPr>
        <w:t>H = Hour M</w:t>
      </w:r>
      <w:r>
        <w:rPr>
          <w:color w:val="231F20"/>
          <w:spacing w:val="-10"/>
          <w:w w:val="105"/>
        </w:rPr>
        <w:t> </w:t>
      </w:r>
      <w:r>
        <w:rPr>
          <w:color w:val="231F20"/>
          <w:w w:val="105"/>
        </w:rPr>
        <w:t>=</w:t>
      </w:r>
      <w:r>
        <w:rPr>
          <w:color w:val="231F20"/>
          <w:spacing w:val="-10"/>
          <w:w w:val="105"/>
        </w:rPr>
        <w:t> </w:t>
      </w:r>
      <w:r>
        <w:rPr>
          <w:color w:val="231F20"/>
          <w:w w:val="105"/>
        </w:rPr>
        <w:t>Minute S = Second</w:t>
      </w:r>
    </w:p>
    <w:p>
      <w:pPr>
        <w:pStyle w:val="BodyText"/>
        <w:spacing w:line="269" w:lineRule="exact"/>
        <w:ind w:left="2771"/>
      </w:pPr>
      <w:r>
        <w:rPr>
          <w:color w:val="231F20"/>
          <w:w w:val="105"/>
        </w:rPr>
        <w:t>m</w:t>
      </w:r>
      <w:r>
        <w:rPr>
          <w:color w:val="231F20"/>
          <w:spacing w:val="15"/>
          <w:w w:val="105"/>
        </w:rPr>
        <w:t> </w:t>
      </w:r>
      <w:r>
        <w:rPr>
          <w:color w:val="231F20"/>
          <w:w w:val="105"/>
        </w:rPr>
        <w:t>=</w:t>
      </w:r>
      <w:r>
        <w:rPr>
          <w:color w:val="231F20"/>
          <w:spacing w:val="16"/>
          <w:w w:val="105"/>
        </w:rPr>
        <w:t> </w:t>
      </w:r>
      <w:r>
        <w:rPr>
          <w:color w:val="231F20"/>
          <w:spacing w:val="-2"/>
          <w:w w:val="105"/>
        </w:rPr>
        <w:t>millisecond</w:t>
      </w:r>
    </w:p>
    <w:p>
      <w:pPr>
        <w:pStyle w:val="BodyText"/>
        <w:spacing w:line="213" w:lineRule="auto" w:before="231"/>
        <w:ind w:left="2472" w:right="545"/>
      </w:pPr>
      <w:r>
        <w:rPr>
          <w:rFonts w:ascii="Book Antiqua"/>
          <w:b/>
          <w:color w:val="231F20"/>
        </w:rPr>
        <w:t>Host Address </w:t>
      </w:r>
      <w:r>
        <w:rPr>
          <w:color w:val="231F20"/>
        </w:rPr>
        <w:t>The IP address and port number of the monitoring agent. </w:t>
      </w:r>
      <w:r>
        <w:rPr>
          <w:color w:val="231F20"/>
        </w:rPr>
        <w:t>Other address types can be IP pipe and SNA.</w:t>
      </w:r>
    </w:p>
    <w:p>
      <w:pPr>
        <w:pStyle w:val="BodyText"/>
        <w:spacing w:line="213" w:lineRule="auto" w:before="238"/>
        <w:ind w:left="2472" w:right="545"/>
      </w:pPr>
      <w:r>
        <w:rPr>
          <w:rFonts w:ascii="Book Antiqua"/>
          <w:b/>
          <w:color w:val="231F20"/>
        </w:rPr>
        <w:t>Host Info </w:t>
      </w:r>
      <w:r>
        <w:rPr>
          <w:color w:val="231F20"/>
        </w:rPr>
        <w:t>The name and version of the operation platform and any </w:t>
      </w:r>
      <w:r>
        <w:rPr>
          <w:color w:val="231F20"/>
        </w:rPr>
        <w:t>applied Service Packs. This attribute is available for queries, but not for situations.</w:t>
      </w:r>
    </w:p>
    <w:p>
      <w:pPr>
        <w:pStyle w:val="BodyText"/>
        <w:spacing w:line="213" w:lineRule="auto" w:before="238"/>
        <w:ind w:left="2472" w:right="274"/>
      </w:pPr>
      <w:r>
        <w:rPr>
          <w:rFonts w:ascii="Book Antiqua"/>
          <w:b/>
          <w:color w:val="231F20"/>
        </w:rPr>
        <w:t>Managing System </w:t>
      </w:r>
      <w:r>
        <w:rPr>
          <w:color w:val="231F20"/>
        </w:rPr>
        <w:t>Also called through node, this is the parent system that collects data from the agent or subagent. If the agent is directly connected to the hub Tivoli Enterprise Monitoring Server, the hub monitoring server is the managing system; if the agent is connected to a remote monitoring server, then that is the managing system. An agent with subagents is the managing system for each subagent.</w:t>
      </w:r>
    </w:p>
    <w:p>
      <w:pPr>
        <w:pStyle w:val="BodyText"/>
        <w:spacing w:before="213"/>
        <w:ind w:left="2472"/>
      </w:pPr>
      <w:r>
        <w:rPr>
          <w:rFonts w:ascii="Book Antiqua"/>
          <w:b/>
          <w:color w:val="231F20"/>
        </w:rPr>
        <w:t>Name</w:t>
      </w:r>
      <w:r>
        <w:rPr>
          <w:rFonts w:ascii="Book Antiqua"/>
          <w:b/>
          <w:color w:val="231F20"/>
          <w:spacing w:val="12"/>
        </w:rPr>
        <w:t> </w:t>
      </w:r>
      <w:r>
        <w:rPr>
          <w:color w:val="231F20"/>
        </w:rPr>
        <w:t>The</w:t>
      </w:r>
      <w:r>
        <w:rPr>
          <w:color w:val="231F20"/>
          <w:spacing w:val="12"/>
        </w:rPr>
        <w:t> </w:t>
      </w:r>
      <w:r>
        <w:rPr>
          <w:color w:val="231F20"/>
        </w:rPr>
        <w:t>host</w:t>
      </w:r>
      <w:r>
        <w:rPr>
          <w:color w:val="231F20"/>
          <w:spacing w:val="13"/>
        </w:rPr>
        <w:t> </w:t>
      </w:r>
      <w:r>
        <w:rPr>
          <w:color w:val="231F20"/>
        </w:rPr>
        <w:t>name</w:t>
      </w:r>
      <w:r>
        <w:rPr>
          <w:color w:val="231F20"/>
          <w:spacing w:val="12"/>
        </w:rPr>
        <w:t> </w:t>
      </w:r>
      <w:r>
        <w:rPr>
          <w:color w:val="231F20"/>
        </w:rPr>
        <w:t>of</w:t>
      </w:r>
      <w:r>
        <w:rPr>
          <w:color w:val="231F20"/>
          <w:spacing w:val="12"/>
        </w:rPr>
        <w:t> </w:t>
      </w:r>
      <w:r>
        <w:rPr>
          <w:color w:val="231F20"/>
        </w:rPr>
        <w:t>the</w:t>
      </w:r>
      <w:r>
        <w:rPr>
          <w:color w:val="231F20"/>
          <w:spacing w:val="13"/>
        </w:rPr>
        <w:t> </w:t>
      </w:r>
      <w:r>
        <w:rPr>
          <w:color w:val="231F20"/>
          <w:spacing w:val="-2"/>
        </w:rPr>
        <w:t>agent.</w:t>
      </w:r>
    </w:p>
    <w:p>
      <w:pPr>
        <w:pStyle w:val="BodyText"/>
        <w:spacing w:line="213" w:lineRule="auto" w:before="233"/>
        <w:ind w:left="2472" w:right="258"/>
      </w:pPr>
      <w:r>
        <w:rPr>
          <w:rFonts w:ascii="Book Antiqua"/>
          <w:b/>
          <w:color w:val="231F20"/>
        </w:rPr>
        <w:t>Origin</w:t>
      </w:r>
      <w:r>
        <w:rPr>
          <w:rFonts w:ascii="Book Antiqua"/>
          <w:b/>
          <w:color w:val="231F20"/>
          <w:spacing w:val="26"/>
        </w:rPr>
        <w:t> </w:t>
      </w:r>
      <w:r>
        <w:rPr>
          <w:rFonts w:ascii="Book Antiqua"/>
          <w:b/>
          <w:color w:val="231F20"/>
        </w:rPr>
        <w:t>Node</w:t>
      </w:r>
      <w:r>
        <w:rPr>
          <w:rFonts w:ascii="Book Antiqua"/>
          <w:b/>
          <w:color w:val="231F20"/>
          <w:spacing w:val="26"/>
        </w:rPr>
        <w:t> </w:t>
      </w:r>
      <w:r>
        <w:rPr>
          <w:color w:val="231F20"/>
        </w:rPr>
        <w:t>The</w:t>
      </w:r>
      <w:r>
        <w:rPr>
          <w:color w:val="231F20"/>
          <w:spacing w:val="26"/>
        </w:rPr>
        <w:t> </w:t>
      </w:r>
      <w:r>
        <w:rPr>
          <w:color w:val="231F20"/>
        </w:rPr>
        <w:t>network</w:t>
      </w:r>
      <w:r>
        <w:rPr>
          <w:color w:val="231F20"/>
          <w:spacing w:val="26"/>
        </w:rPr>
        <w:t> </w:t>
      </w:r>
      <w:r>
        <w:rPr>
          <w:color w:val="231F20"/>
        </w:rPr>
        <w:t>name</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source</w:t>
      </w:r>
      <w:r>
        <w:rPr>
          <w:color w:val="231F20"/>
          <w:spacing w:val="26"/>
        </w:rPr>
        <w:t> </w:t>
      </w:r>
      <w:r>
        <w:rPr>
          <w:color w:val="231F20"/>
        </w:rPr>
        <w:t>for</w:t>
      </w:r>
      <w:r>
        <w:rPr>
          <w:color w:val="231F20"/>
          <w:spacing w:val="26"/>
        </w:rPr>
        <w:t> </w:t>
      </w:r>
      <w:r>
        <w:rPr>
          <w:color w:val="231F20"/>
        </w:rPr>
        <w:t>this</w:t>
      </w:r>
      <w:r>
        <w:rPr>
          <w:color w:val="231F20"/>
          <w:spacing w:val="26"/>
        </w:rPr>
        <w:t> </w:t>
      </w:r>
      <w:r>
        <w:rPr>
          <w:color w:val="231F20"/>
        </w:rPr>
        <w:t>information.</w:t>
      </w:r>
      <w:r>
        <w:rPr>
          <w:color w:val="231F20"/>
          <w:spacing w:val="26"/>
        </w:rPr>
        <w:t> </w:t>
      </w:r>
      <w:r>
        <w:rPr>
          <w:color w:val="231F20"/>
        </w:rPr>
        <w:t>Valid</w:t>
      </w:r>
      <w:r>
        <w:rPr>
          <w:color w:val="231F20"/>
          <w:spacing w:val="26"/>
        </w:rPr>
        <w:t> </w:t>
      </w:r>
      <w:r>
        <w:rPr>
          <w:color w:val="231F20"/>
        </w:rPr>
        <w:t>entries are up to 32 characters. This attribute is available for queries, but not for </w:t>
      </w:r>
      <w:r>
        <w:rPr>
          <w:color w:val="231F20"/>
        </w:rPr>
        <w:t>situations.</w:t>
      </w:r>
    </w:p>
    <w:p>
      <w:pPr>
        <w:pStyle w:val="BodyText"/>
        <w:spacing w:before="215"/>
        <w:ind w:left="2472"/>
      </w:pPr>
      <w:r>
        <w:rPr>
          <w:rFonts w:ascii="Book Antiqua"/>
          <w:b/>
          <w:color w:val="231F20"/>
        </w:rPr>
        <w:t>Product</w:t>
      </w:r>
      <w:r>
        <w:rPr>
          <w:rFonts w:ascii="Book Antiqua"/>
          <w:b/>
          <w:color w:val="231F20"/>
          <w:spacing w:val="10"/>
        </w:rPr>
        <w:t> </w:t>
      </w:r>
      <w:r>
        <w:rPr>
          <w:color w:val="231F20"/>
        </w:rPr>
        <w:t>The</w:t>
      </w:r>
      <w:r>
        <w:rPr>
          <w:color w:val="231F20"/>
          <w:spacing w:val="11"/>
        </w:rPr>
        <w:t> </w:t>
      </w:r>
      <w:r>
        <w:rPr>
          <w:color w:val="231F20"/>
        </w:rPr>
        <w:t>two-letter</w:t>
      </w:r>
      <w:r>
        <w:rPr>
          <w:color w:val="231F20"/>
          <w:spacing w:val="10"/>
        </w:rPr>
        <w:t> </w:t>
      </w:r>
      <w:r>
        <w:rPr>
          <w:color w:val="231F20"/>
        </w:rPr>
        <w:t>code</w:t>
      </w:r>
      <w:r>
        <w:rPr>
          <w:color w:val="231F20"/>
          <w:spacing w:val="11"/>
        </w:rPr>
        <w:t> </w:t>
      </w:r>
      <w:r>
        <w:rPr>
          <w:color w:val="231F20"/>
        </w:rPr>
        <w:t>of</w:t>
      </w:r>
      <w:r>
        <w:rPr>
          <w:color w:val="231F20"/>
          <w:spacing w:val="10"/>
        </w:rPr>
        <w:t> </w:t>
      </w:r>
      <w:r>
        <w:rPr>
          <w:color w:val="231F20"/>
        </w:rPr>
        <w:t>the</w:t>
      </w:r>
      <w:r>
        <w:rPr>
          <w:color w:val="231F20"/>
          <w:spacing w:val="11"/>
        </w:rPr>
        <w:t> </w:t>
      </w:r>
      <w:r>
        <w:rPr>
          <w:color w:val="231F20"/>
        </w:rPr>
        <w:t>monitoring</w:t>
      </w:r>
      <w:r>
        <w:rPr>
          <w:color w:val="231F20"/>
          <w:spacing w:val="11"/>
        </w:rPr>
        <w:t> </w:t>
      </w:r>
      <w:r>
        <w:rPr>
          <w:color w:val="231F20"/>
          <w:spacing w:val="-2"/>
        </w:rPr>
        <w:t>agent.</w:t>
      </w:r>
    </w:p>
    <w:p>
      <w:pPr>
        <w:pStyle w:val="BodyText"/>
        <w:spacing w:line="213" w:lineRule="auto" w:before="232"/>
        <w:ind w:left="2472" w:right="493"/>
      </w:pPr>
      <w:r>
        <w:rPr>
          <w:rFonts w:ascii="Book Antiqua"/>
          <w:b/>
          <w:color w:val="231F20"/>
        </w:rPr>
        <w:t>Reason </w:t>
      </w:r>
      <w:r>
        <w:rPr>
          <w:color w:val="231F20"/>
        </w:rPr>
        <w:t>The two-character reason code, if any, for the status. For example, FA means that the agent generated its own offline message, and 00 means that </w:t>
      </w:r>
      <w:r>
        <w:rPr>
          <w:color w:val="231F20"/>
        </w:rPr>
        <w:t>the heartbeat is successful. Reasons are related to the communications layer.</w:t>
      </w:r>
    </w:p>
    <w:p>
      <w:pPr>
        <w:pStyle w:val="BodyText"/>
        <w:spacing w:line="213" w:lineRule="auto" w:before="237"/>
        <w:ind w:left="2472" w:right="292"/>
      </w:pPr>
      <w:r>
        <w:rPr>
          <w:rFonts w:ascii="Book Antiqua"/>
          <w:b/>
          <w:color w:val="231F20"/>
        </w:rPr>
        <w:t>Status </w:t>
      </w:r>
      <w:r>
        <w:rPr>
          <w:color w:val="231F20"/>
        </w:rPr>
        <w:t>Indicates whether the monitoring agent is ONLINE (Y) or OFFLINE (N). If</w:t>
      </w:r>
      <w:r>
        <w:rPr>
          <w:color w:val="231F20"/>
          <w:spacing w:val="40"/>
        </w:rPr>
        <w:t> </w:t>
      </w:r>
      <w:r>
        <w:rPr>
          <w:color w:val="231F20"/>
        </w:rPr>
        <w:t>the agent is offline, you can remove it from the Navigator and from a table view of</w:t>
      </w:r>
      <w:r>
        <w:rPr>
          <w:color w:val="231F20"/>
          <w:spacing w:val="40"/>
        </w:rPr>
        <w:t> </w:t>
      </w:r>
      <w:r>
        <w:rPr>
          <w:color w:val="231F20"/>
          <w:position w:val="1"/>
        </w:rPr>
        <w:t>managed system attributes: Right-click the table row and select </w:t>
      </w:r>
      <w:r>
        <w:rPr>
          <w:color w:val="231F20"/>
          <w:spacing w:val="15"/>
        </w:rPr>
        <w:drawing>
          <wp:inline distT="0" distB="0" distL="0" distR="0">
            <wp:extent cx="101600" cy="88900"/>
            <wp:effectExtent l="0" t="0" r="0" b="0"/>
            <wp:docPr id="3403" name="Image 3403"/>
            <wp:cNvGraphicFramePr>
              <a:graphicFrameLocks/>
            </wp:cNvGraphicFramePr>
            <a:graphic>
              <a:graphicData uri="http://schemas.openxmlformats.org/drawingml/2006/picture">
                <pic:pic>
                  <pic:nvPicPr>
                    <pic:cNvPr id="3403" name="Image 3403"/>
                    <pic:cNvPicPr/>
                  </pic:nvPicPr>
                  <pic:blipFill>
                    <a:blip r:embed="rId133" cstate="print"/>
                    <a:stretch>
                      <a:fillRect/>
                    </a:stretch>
                  </pic:blipFill>
                  <pic:spPr>
                    <a:xfrm>
                      <a:off x="0" y="0"/>
                      <a:ext cx="101600" cy="88900"/>
                    </a:xfrm>
                    <a:prstGeom prst="rect">
                      <a:avLst/>
                    </a:prstGeom>
                  </pic:spPr>
                </pic:pic>
              </a:graphicData>
            </a:graphic>
          </wp:inline>
        </w:drawing>
      </w:r>
      <w:r>
        <w:rPr>
          <w:color w:val="231F20"/>
          <w:spacing w:val="15"/>
        </w:rPr>
      </w:r>
      <w:r>
        <w:rPr>
          <w:rFonts w:ascii="Times New Roman"/>
          <w:color w:val="231F20"/>
          <w:spacing w:val="40"/>
          <w:position w:val="1"/>
        </w:rPr>
        <w:t> </w:t>
      </w:r>
      <w:r>
        <w:rPr>
          <w:color w:val="231F20"/>
          <w:position w:val="1"/>
        </w:rPr>
        <w:t>Clear offline</w:t>
      </w:r>
      <w:r>
        <w:rPr>
          <w:color w:val="231F20"/>
          <w:spacing w:val="80"/>
          <w:position w:val="1"/>
        </w:rPr>
        <w:t> </w:t>
      </w:r>
      <w:r>
        <w:rPr>
          <w:color w:val="231F20"/>
        </w:rPr>
        <w:t>entry</w:t>
      </w:r>
      <w:r>
        <w:rPr>
          <w:color w:val="231F20"/>
          <w:spacing w:val="26"/>
        </w:rPr>
        <w:t> </w:t>
      </w:r>
      <w:r>
        <w:rPr>
          <w:color w:val="231F20"/>
        </w:rPr>
        <w:t>from</w:t>
      </w:r>
      <w:r>
        <w:rPr>
          <w:color w:val="231F20"/>
          <w:spacing w:val="26"/>
        </w:rPr>
        <w:t> </w:t>
      </w:r>
      <w:r>
        <w:rPr>
          <w:color w:val="231F20"/>
        </w:rPr>
        <w:t>the</w:t>
      </w:r>
      <w:r>
        <w:rPr>
          <w:color w:val="231F20"/>
          <w:spacing w:val="26"/>
        </w:rPr>
        <w:t> </w:t>
      </w:r>
      <w:r>
        <w:rPr>
          <w:color w:val="231F20"/>
        </w:rPr>
        <w:t>pop-up</w:t>
      </w:r>
      <w:r>
        <w:rPr>
          <w:color w:val="231F20"/>
          <w:spacing w:val="26"/>
        </w:rPr>
        <w:t> </w:t>
      </w:r>
      <w:r>
        <w:rPr>
          <w:color w:val="231F20"/>
        </w:rPr>
        <w:t>menu;</w:t>
      </w:r>
      <w:r>
        <w:rPr>
          <w:color w:val="231F20"/>
          <w:spacing w:val="26"/>
        </w:rPr>
        <w:t> </w:t>
      </w:r>
      <w:r>
        <w:rPr>
          <w:color w:val="231F20"/>
        </w:rPr>
        <w:t>or</w:t>
      </w:r>
      <w:r>
        <w:rPr>
          <w:color w:val="231F20"/>
          <w:spacing w:val="26"/>
        </w:rPr>
        <w:t> </w:t>
      </w:r>
      <w:r>
        <w:rPr>
          <w:color w:val="231F20"/>
        </w:rPr>
        <w:t>select</w:t>
      </w:r>
      <w:r>
        <w:rPr>
          <w:color w:val="231F20"/>
          <w:spacing w:val="26"/>
        </w:rPr>
        <w:t> </w:t>
      </w:r>
      <w:r>
        <w:rPr>
          <w:color w:val="231F20"/>
        </w:rPr>
        <w:t>the</w:t>
      </w:r>
      <w:r>
        <w:rPr>
          <w:color w:val="231F20"/>
          <w:spacing w:val="26"/>
        </w:rPr>
        <w:t> </w:t>
      </w:r>
      <w:r>
        <w:rPr>
          <w:color w:val="231F20"/>
        </w:rPr>
        <w:t>offline</w:t>
      </w:r>
      <w:r>
        <w:rPr>
          <w:color w:val="231F20"/>
          <w:spacing w:val="15"/>
        </w:rPr>
        <w:t> </w:t>
      </w:r>
      <w:r>
        <w:rPr>
          <w:color w:val="231F20"/>
          <w:spacing w:val="15"/>
          <w:position w:val="-1"/>
        </w:rPr>
        <w:drawing>
          <wp:inline distT="0" distB="0" distL="0" distR="0">
            <wp:extent cx="101600" cy="95250"/>
            <wp:effectExtent l="0" t="0" r="0" b="0"/>
            <wp:docPr id="3404" name="Image 3404"/>
            <wp:cNvGraphicFramePr>
              <a:graphicFrameLocks/>
            </wp:cNvGraphicFramePr>
            <a:graphic>
              <a:graphicData uri="http://schemas.openxmlformats.org/drawingml/2006/picture">
                <pic:pic>
                  <pic:nvPicPr>
                    <pic:cNvPr id="3404" name="Image 3404"/>
                    <pic:cNvPicPr/>
                  </pic:nvPicPr>
                  <pic:blipFill>
                    <a:blip r:embed="rId132" cstate="print"/>
                    <a:stretch>
                      <a:fillRect/>
                    </a:stretch>
                  </pic:blipFill>
                  <pic:spPr>
                    <a:xfrm>
                      <a:off x="0" y="0"/>
                      <a:ext cx="101600" cy="9525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Agent</w:t>
      </w:r>
      <w:r>
        <w:rPr>
          <w:color w:val="231F20"/>
          <w:spacing w:val="26"/>
        </w:rPr>
        <w:t> </w:t>
      </w:r>
      <w:r>
        <w:rPr>
          <w:color w:val="231F20"/>
        </w:rPr>
        <w:t>Navigator</w:t>
      </w:r>
      <w:r>
        <w:rPr>
          <w:color w:val="231F20"/>
          <w:spacing w:val="26"/>
        </w:rPr>
        <w:t> </w:t>
      </w:r>
      <w:r>
        <w:rPr>
          <w:color w:val="231F20"/>
        </w:rPr>
        <w:t>item</w:t>
      </w:r>
      <w:r>
        <w:rPr>
          <w:color w:val="231F20"/>
          <w:spacing w:val="26"/>
        </w:rPr>
        <w:t> </w:t>
      </w:r>
      <w:r>
        <w:rPr>
          <w:color w:val="231F20"/>
        </w:rPr>
        <w:t>from</w:t>
      </w:r>
      <w:r>
        <w:rPr>
          <w:color w:val="231F20"/>
        </w:rPr>
        <w:t> the Navigator and click </w:t>
      </w:r>
      <w:r>
        <w:rPr>
          <w:color w:val="231F20"/>
          <w:spacing w:val="-24"/>
          <w:position w:val="-1"/>
        </w:rPr>
        <w:drawing>
          <wp:inline distT="0" distB="0" distL="0" distR="0">
            <wp:extent cx="95250" cy="95249"/>
            <wp:effectExtent l="0" t="0" r="0" b="0"/>
            <wp:docPr id="3405" name="Image 3405"/>
            <wp:cNvGraphicFramePr>
              <a:graphicFrameLocks/>
            </wp:cNvGraphicFramePr>
            <a:graphic>
              <a:graphicData uri="http://schemas.openxmlformats.org/drawingml/2006/picture">
                <pic:pic>
                  <pic:nvPicPr>
                    <pic:cNvPr id="3405" name="Image 3405"/>
                    <pic:cNvPicPr/>
                  </pic:nvPicPr>
                  <pic:blipFill>
                    <a:blip r:embed="rId69" cstate="print"/>
                    <a:stretch>
                      <a:fillRect/>
                    </a:stretch>
                  </pic:blipFill>
                  <pic:spPr>
                    <a:xfrm>
                      <a:off x="0" y="0"/>
                      <a:ext cx="95250" cy="95249"/>
                    </a:xfrm>
                    <a:prstGeom prst="rect">
                      <a:avLst/>
                    </a:prstGeom>
                  </pic:spPr>
                </pic:pic>
              </a:graphicData>
            </a:graphic>
          </wp:inline>
        </w:drawing>
      </w:r>
      <w:r>
        <w:rPr>
          <w:color w:val="231F20"/>
          <w:spacing w:val="-24"/>
          <w:position w:val="-1"/>
        </w:rPr>
      </w:r>
      <w:r>
        <w:rPr>
          <w:rFonts w:ascii="Times New Roman"/>
          <w:color w:val="231F20"/>
          <w:spacing w:val="80"/>
        </w:rPr>
        <w:t> </w:t>
      </w:r>
      <w:r>
        <w:rPr>
          <w:rFonts w:ascii="Book Antiqua"/>
          <w:b/>
          <w:color w:val="231F20"/>
        </w:rPr>
        <w:t>Remove</w:t>
      </w:r>
      <w:r>
        <w:rPr>
          <w:color w:val="231F20"/>
        </w:rPr>
        <w:t>.</w:t>
      </w:r>
    </w:p>
    <w:p>
      <w:pPr>
        <w:spacing w:after="0" w:line="213" w:lineRule="auto"/>
        <w:sectPr>
          <w:pgSz w:w="12240" w:h="15840"/>
          <w:pgMar w:header="0" w:footer="736" w:top="1220" w:bottom="920" w:left="1000" w:right="1060"/>
        </w:sectPr>
      </w:pPr>
    </w:p>
    <w:p>
      <w:pPr>
        <w:pStyle w:val="BodyText"/>
        <w:spacing w:line="213" w:lineRule="auto" w:before="85"/>
        <w:ind w:left="2232" w:right="545"/>
      </w:pPr>
      <w:bookmarkStart w:name="_bookmark345" w:id="722"/>
      <w:bookmarkEnd w:id="722"/>
      <w:r>
        <w:rPr/>
      </w:r>
      <w:r>
        <w:rPr>
          <w:rFonts w:ascii="Book Antiqua"/>
          <w:b/>
          <w:color w:val="231F20"/>
        </w:rPr>
        <w:t>Timestamp </w:t>
      </w:r>
      <w:r>
        <w:rPr>
          <w:color w:val="231F20"/>
        </w:rPr>
        <w:t>The date and time at the Tivoli Enterprise Monitoring Server when </w:t>
      </w:r>
      <w:r>
        <w:rPr>
          <w:color w:val="231F20"/>
        </w:rPr>
        <w:t>the agent</w:t>
      </w:r>
      <w:r>
        <w:rPr>
          <w:color w:val="231F20"/>
          <w:spacing w:val="40"/>
        </w:rPr>
        <w:t> </w:t>
      </w:r>
      <w:r>
        <w:rPr>
          <w:color w:val="231F20"/>
        </w:rPr>
        <w:t>heartbeat</w:t>
      </w:r>
      <w:r>
        <w:rPr>
          <w:color w:val="231F20"/>
          <w:spacing w:val="40"/>
        </w:rPr>
        <w:t> </w:t>
      </w:r>
      <w:r>
        <w:rPr>
          <w:color w:val="231F20"/>
        </w:rPr>
        <w:t>occurred.</w:t>
      </w:r>
      <w:r>
        <w:rPr>
          <w:color w:val="231F20"/>
          <w:spacing w:val="40"/>
        </w:rPr>
        <w:t> </w:t>
      </w:r>
      <w:r>
        <w:rPr>
          <w:color w:val="231F20"/>
        </w:rPr>
        <w:t>The</w:t>
      </w:r>
      <w:r>
        <w:rPr>
          <w:color w:val="231F20"/>
          <w:spacing w:val="40"/>
        </w:rPr>
        <w:t> </w:t>
      </w:r>
      <w:r>
        <w:rPr>
          <w:color w:val="231F20"/>
        </w:rPr>
        <w:t>format</w:t>
      </w:r>
      <w:r>
        <w:rPr>
          <w:color w:val="231F20"/>
          <w:spacing w:val="40"/>
        </w:rPr>
        <w:t> </w:t>
      </w:r>
      <w:r>
        <w:rPr>
          <w:color w:val="231F20"/>
        </w:rPr>
        <w:t>is</w:t>
      </w:r>
      <w:r>
        <w:rPr>
          <w:color w:val="231F20"/>
          <w:spacing w:val="40"/>
        </w:rPr>
        <w:t> </w:t>
      </w:r>
      <w:r>
        <w:rPr>
          <w:color w:val="231F20"/>
        </w:rPr>
        <w:t>MM/DD/YY HH:MM:SS.</w:t>
      </w:r>
    </w:p>
    <w:p>
      <w:pPr>
        <w:pStyle w:val="BodyText"/>
        <w:spacing w:line="213" w:lineRule="auto" w:before="238"/>
        <w:ind w:left="2232" w:right="636"/>
      </w:pPr>
      <w:r>
        <w:rPr>
          <w:rFonts w:ascii="Book Antiqua"/>
          <w:b/>
          <w:color w:val="231F20"/>
        </w:rPr>
        <w:t>Type </w:t>
      </w:r>
      <w:r>
        <w:rPr>
          <w:color w:val="231F20"/>
        </w:rPr>
        <w:t>Indicates whether the node is a monitoring agent (Virtual) or </w:t>
      </w:r>
      <w:r>
        <w:rPr>
          <w:color w:val="231F20"/>
        </w:rPr>
        <w:t>Tivoli Enterprise Monitoring Server (blank).</w:t>
      </w:r>
    </w:p>
    <w:p>
      <w:pPr>
        <w:pStyle w:val="BodyText"/>
        <w:spacing w:line="213" w:lineRule="auto" w:before="238"/>
        <w:ind w:left="2232" w:right="603"/>
      </w:pPr>
      <w:r>
        <w:rPr>
          <w:rFonts w:ascii="Book Antiqua"/>
          <w:b/>
          <w:color w:val="231F20"/>
        </w:rPr>
        <w:t>Version </w:t>
      </w:r>
      <w:r>
        <w:rPr>
          <w:color w:val="231F20"/>
        </w:rPr>
        <w:t>The version number of the monitoring agent. The number is formatted </w:t>
      </w:r>
      <w:r>
        <w:rPr>
          <w:color w:val="231F20"/>
        </w:rPr>
        <w:t>as 01.50.00, where 01 is the major version number, 05 is the secondary version</w:t>
      </w:r>
      <w:r>
        <w:rPr>
          <w:color w:val="231F20"/>
          <w:spacing w:val="40"/>
        </w:rPr>
        <w:t> </w:t>
      </w:r>
      <w:r>
        <w:rPr>
          <w:color w:val="231F20"/>
        </w:rPr>
        <w:t>number, and 00 the tertiary.</w:t>
      </w:r>
    </w:p>
    <w:p>
      <w:pPr>
        <w:pStyle w:val="BodyText"/>
        <w:spacing w:before="5"/>
        <w:rPr>
          <w:sz w:val="16"/>
        </w:rPr>
      </w:pPr>
      <w:r>
        <w:rPr/>
        <mc:AlternateContent>
          <mc:Choice Requires="wps">
            <w:drawing>
              <wp:anchor distT="0" distB="0" distL="0" distR="0" allowOverlap="1" layoutInCell="1" locked="0" behindDoc="1" simplePos="0" relativeHeight="487756800">
                <wp:simplePos x="0" y="0"/>
                <wp:positionH relativeFrom="page">
                  <wp:posOffset>760323</wp:posOffset>
                </wp:positionH>
                <wp:positionV relativeFrom="paragraph">
                  <wp:posOffset>155508</wp:posOffset>
                </wp:positionV>
                <wp:extent cx="6082665" cy="1270"/>
                <wp:effectExtent l="0" t="0" r="0" b="0"/>
                <wp:wrapTopAndBottom/>
                <wp:docPr id="3406" name="Graphic 3406"/>
                <wp:cNvGraphicFramePr>
                  <a:graphicFrameLocks/>
                </wp:cNvGraphicFramePr>
                <a:graphic>
                  <a:graphicData uri="http://schemas.microsoft.com/office/word/2010/wordprocessingShape">
                    <wps:wsp>
                      <wps:cNvPr id="3406" name="Graphic 3406"/>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44756pt;width:478.95pt;height:.1pt;mso-position-horizontal-relative:page;mso-position-vertical-relative:paragraph;z-index:-15559680;mso-wrap-distance-left:0;mso-wrap-distance-right:0" id="docshape298"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Situation Definition attributes" w:id="723"/>
      <w:bookmarkEnd w:id="723"/>
      <w:r>
        <w:rPr>
          <w:b w:val="0"/>
        </w:rPr>
      </w:r>
      <w:r>
        <w:rPr>
          <w:color w:val="231F20"/>
        </w:rPr>
        <w:t>Situation</w:t>
      </w:r>
      <w:r>
        <w:rPr>
          <w:color w:val="231F20"/>
          <w:spacing w:val="2"/>
        </w:rPr>
        <w:t> </w:t>
      </w:r>
      <w:r>
        <w:rPr>
          <w:color w:val="231F20"/>
        </w:rPr>
        <w:t>Definition</w:t>
      </w:r>
      <w:r>
        <w:rPr>
          <w:color w:val="231F20"/>
          <w:spacing w:val="3"/>
        </w:rPr>
        <w:t> </w:t>
      </w:r>
      <w:r>
        <w:rPr>
          <w:color w:val="231F20"/>
          <w:spacing w:val="-2"/>
        </w:rPr>
        <w:t>attributes</w:t>
      </w:r>
    </w:p>
    <w:p>
      <w:pPr>
        <w:pStyle w:val="BodyText"/>
        <w:spacing w:line="213" w:lineRule="auto" w:before="138"/>
        <w:ind w:left="2232" w:right="493"/>
      </w:pPr>
      <w:r>
        <w:rPr>
          <w:color w:val="231F20"/>
        </w:rPr>
        <w:t>The Situation Definition attributes supply you with the complete definition of situations. You can apply the predefined query for this group (in the Query editor under Tivoli Enterprise Monitoring Server </w:t>
      </w:r>
      <w:r>
        <w:rPr>
          <w:rFonts w:ascii="Arial" w:hAnsi="Arial"/>
          <w:color w:val="231F20"/>
          <w:w w:val="90"/>
        </w:rPr>
        <w:t>→ </w:t>
      </w:r>
      <w:r>
        <w:rPr>
          <w:color w:val="231F20"/>
        </w:rPr>
        <w:t>Situation Definition) to charts and tables; you cannot use these attributes in situations.</w:t>
      </w:r>
    </w:p>
    <w:p>
      <w:pPr>
        <w:pStyle w:val="BodyText"/>
        <w:spacing w:before="214"/>
        <w:ind w:left="2232"/>
      </w:pPr>
      <w:r>
        <w:rPr>
          <w:rFonts w:ascii="Book Antiqua"/>
          <w:b/>
          <w:color w:val="231F20"/>
        </w:rPr>
        <w:t>Advice</w:t>
      </w:r>
      <w:r>
        <w:rPr>
          <w:rFonts w:ascii="Book Antiqua"/>
          <w:b/>
          <w:color w:val="231F20"/>
          <w:spacing w:val="11"/>
        </w:rPr>
        <w:t> </w:t>
      </w:r>
      <w:r>
        <w:rPr>
          <w:color w:val="231F20"/>
        </w:rPr>
        <w:t>The</w:t>
      </w:r>
      <w:r>
        <w:rPr>
          <w:color w:val="231F20"/>
          <w:spacing w:val="12"/>
        </w:rPr>
        <w:t> </w:t>
      </w:r>
      <w:r>
        <w:rPr>
          <w:color w:val="231F20"/>
        </w:rPr>
        <w:t>expert</w:t>
      </w:r>
      <w:r>
        <w:rPr>
          <w:color w:val="231F20"/>
          <w:spacing w:val="11"/>
        </w:rPr>
        <w:t> </w:t>
      </w:r>
      <w:r>
        <w:rPr>
          <w:color w:val="231F20"/>
        </w:rPr>
        <w:t>advice</w:t>
      </w:r>
      <w:r>
        <w:rPr>
          <w:color w:val="231F20"/>
          <w:spacing w:val="12"/>
        </w:rPr>
        <w:t> </w:t>
      </w:r>
      <w:r>
        <w:rPr>
          <w:color w:val="231F20"/>
        </w:rPr>
        <w:t>for</w:t>
      </w:r>
      <w:r>
        <w:rPr>
          <w:color w:val="231F20"/>
          <w:spacing w:val="12"/>
        </w:rPr>
        <w:t> </w:t>
      </w:r>
      <w:r>
        <w:rPr>
          <w:color w:val="231F20"/>
        </w:rPr>
        <w:t>a</w:t>
      </w:r>
      <w:r>
        <w:rPr>
          <w:color w:val="231F20"/>
          <w:spacing w:val="11"/>
        </w:rPr>
        <w:t> </w:t>
      </w:r>
      <w:r>
        <w:rPr>
          <w:color w:val="231F20"/>
        </w:rPr>
        <w:t>situation</w:t>
      </w:r>
      <w:r>
        <w:rPr>
          <w:color w:val="231F20"/>
          <w:spacing w:val="12"/>
        </w:rPr>
        <w:t> </w:t>
      </w:r>
      <w:r>
        <w:rPr>
          <w:color w:val="231F20"/>
        </w:rPr>
        <w:t>that</w:t>
      </w:r>
      <w:r>
        <w:rPr>
          <w:color w:val="231F20"/>
          <w:spacing w:val="12"/>
        </w:rPr>
        <w:t> </w:t>
      </w:r>
      <w:r>
        <w:rPr>
          <w:color w:val="231F20"/>
        </w:rPr>
        <w:t>appears</w:t>
      </w:r>
      <w:r>
        <w:rPr>
          <w:color w:val="231F20"/>
          <w:spacing w:val="11"/>
        </w:rPr>
        <w:t> </w:t>
      </w:r>
      <w:r>
        <w:rPr>
          <w:color w:val="231F20"/>
        </w:rPr>
        <w:t>in</w:t>
      </w:r>
      <w:r>
        <w:rPr>
          <w:color w:val="231F20"/>
          <w:spacing w:val="12"/>
        </w:rPr>
        <w:t> </w:t>
      </w:r>
      <w:r>
        <w:rPr>
          <w:color w:val="231F20"/>
        </w:rPr>
        <w:t>the</w:t>
      </w:r>
      <w:r>
        <w:rPr>
          <w:color w:val="231F20"/>
          <w:spacing w:val="12"/>
        </w:rPr>
        <w:t> </w:t>
      </w:r>
      <w:r>
        <w:rPr>
          <w:color w:val="231F20"/>
        </w:rPr>
        <w:t>event</w:t>
      </w:r>
      <w:r>
        <w:rPr>
          <w:color w:val="231F20"/>
          <w:spacing w:val="11"/>
        </w:rPr>
        <w:t> </w:t>
      </w:r>
      <w:r>
        <w:rPr>
          <w:color w:val="231F20"/>
          <w:spacing w:val="-2"/>
        </w:rPr>
        <w:t>workspace.</w:t>
      </w:r>
    </w:p>
    <w:p>
      <w:pPr>
        <w:pStyle w:val="BodyText"/>
        <w:spacing w:line="213" w:lineRule="auto" w:before="232"/>
        <w:ind w:left="2232" w:right="545"/>
      </w:pPr>
      <w:r>
        <w:rPr>
          <w:rFonts w:ascii="Book Antiqua"/>
          <w:b/>
          <w:color w:val="231F20"/>
        </w:rPr>
        <w:t>Affinities </w:t>
      </w:r>
      <w:r>
        <w:rPr>
          <w:color w:val="231F20"/>
        </w:rPr>
        <w:t>The internal identification number for the agent and attribute </w:t>
      </w:r>
      <w:r>
        <w:rPr>
          <w:color w:val="231F20"/>
        </w:rPr>
        <w:t>group referenced in the situation.</w:t>
      </w:r>
    </w:p>
    <w:p>
      <w:pPr>
        <w:pStyle w:val="BodyText"/>
        <w:spacing w:before="215"/>
        <w:ind w:left="2232"/>
      </w:pPr>
      <w:r>
        <w:rPr>
          <w:rFonts w:ascii="Book Antiqua"/>
          <w:b/>
          <w:color w:val="231F20"/>
        </w:rPr>
        <w:t>Alert</w:t>
      </w:r>
      <w:r>
        <w:rPr>
          <w:rFonts w:ascii="Book Antiqua"/>
          <w:b/>
          <w:color w:val="231F20"/>
          <w:spacing w:val="11"/>
        </w:rPr>
        <w:t> </w:t>
      </w:r>
      <w:r>
        <w:rPr>
          <w:rFonts w:ascii="Book Antiqua"/>
          <w:b/>
          <w:color w:val="231F20"/>
        </w:rPr>
        <w:t>List</w:t>
      </w:r>
      <w:r>
        <w:rPr>
          <w:rFonts w:ascii="Book Antiqua"/>
          <w:b/>
          <w:color w:val="231F20"/>
          <w:spacing w:val="12"/>
        </w:rPr>
        <w:t> </w:t>
      </w:r>
      <w:r>
        <w:rPr>
          <w:color w:val="231F20"/>
        </w:rPr>
        <w:t>Whether</w:t>
      </w:r>
      <w:r>
        <w:rPr>
          <w:color w:val="231F20"/>
          <w:spacing w:val="12"/>
        </w:rPr>
        <w:t> </w:t>
      </w:r>
      <w:r>
        <w:rPr>
          <w:color w:val="231F20"/>
        </w:rPr>
        <w:t>or</w:t>
      </w:r>
      <w:r>
        <w:rPr>
          <w:color w:val="231F20"/>
          <w:spacing w:val="12"/>
        </w:rPr>
        <w:t> </w:t>
      </w:r>
      <w:r>
        <w:rPr>
          <w:color w:val="231F20"/>
        </w:rPr>
        <w:t>not</w:t>
      </w:r>
      <w:r>
        <w:rPr>
          <w:color w:val="231F20"/>
          <w:spacing w:val="12"/>
        </w:rPr>
        <w:t> </w:t>
      </w:r>
      <w:r>
        <w:rPr>
          <w:color w:val="231F20"/>
        </w:rPr>
        <w:t>events</w:t>
      </w:r>
      <w:r>
        <w:rPr>
          <w:color w:val="231F20"/>
          <w:spacing w:val="12"/>
        </w:rPr>
        <w:t> </w:t>
      </w:r>
      <w:r>
        <w:rPr>
          <w:color w:val="231F20"/>
        </w:rPr>
        <w:t>for</w:t>
      </w:r>
      <w:r>
        <w:rPr>
          <w:color w:val="231F20"/>
          <w:spacing w:val="12"/>
        </w:rPr>
        <w:t> </w:t>
      </w:r>
      <w:r>
        <w:rPr>
          <w:color w:val="231F20"/>
        </w:rPr>
        <w:t>this</w:t>
      </w:r>
      <w:r>
        <w:rPr>
          <w:color w:val="231F20"/>
          <w:spacing w:val="11"/>
        </w:rPr>
        <w:t> </w:t>
      </w:r>
      <w:r>
        <w:rPr>
          <w:color w:val="231F20"/>
        </w:rPr>
        <w:t>situation</w:t>
      </w:r>
      <w:r>
        <w:rPr>
          <w:color w:val="231F20"/>
          <w:spacing w:val="12"/>
        </w:rPr>
        <w:t> </w:t>
      </w:r>
      <w:r>
        <w:rPr>
          <w:color w:val="231F20"/>
        </w:rPr>
        <w:t>belong</w:t>
      </w:r>
      <w:r>
        <w:rPr>
          <w:color w:val="231F20"/>
          <w:spacing w:val="12"/>
        </w:rPr>
        <w:t> </w:t>
      </w:r>
      <w:r>
        <w:rPr>
          <w:color w:val="231F20"/>
        </w:rPr>
        <w:t>to</w:t>
      </w:r>
      <w:r>
        <w:rPr>
          <w:color w:val="231F20"/>
          <w:spacing w:val="12"/>
        </w:rPr>
        <w:t> </w:t>
      </w:r>
      <w:r>
        <w:rPr>
          <w:color w:val="231F20"/>
        </w:rPr>
        <w:t>an</w:t>
      </w:r>
      <w:r>
        <w:rPr>
          <w:color w:val="231F20"/>
          <w:spacing w:val="12"/>
        </w:rPr>
        <w:t> </w:t>
      </w:r>
      <w:r>
        <w:rPr>
          <w:color w:val="231F20"/>
        </w:rPr>
        <w:t>alert</w:t>
      </w:r>
      <w:r>
        <w:rPr>
          <w:color w:val="231F20"/>
          <w:spacing w:val="12"/>
        </w:rPr>
        <w:t> </w:t>
      </w:r>
      <w:r>
        <w:rPr>
          <w:color w:val="231F20"/>
          <w:spacing w:val="-2"/>
        </w:rPr>
        <w:t>list.</w:t>
      </w:r>
    </w:p>
    <w:p>
      <w:pPr>
        <w:spacing w:before="209"/>
        <w:ind w:left="2232" w:right="0" w:firstLine="0"/>
        <w:jc w:val="left"/>
        <w:rPr>
          <w:sz w:val="20"/>
        </w:rPr>
      </w:pPr>
      <w:r>
        <w:rPr>
          <w:rFonts w:ascii="Book Antiqua"/>
          <w:b/>
          <w:color w:val="231F20"/>
          <w:sz w:val="20"/>
        </w:rPr>
        <w:t>Auto</w:t>
      </w:r>
      <w:r>
        <w:rPr>
          <w:rFonts w:ascii="Book Antiqua"/>
          <w:b/>
          <w:color w:val="231F20"/>
          <w:spacing w:val="11"/>
          <w:sz w:val="20"/>
        </w:rPr>
        <w:t> </w:t>
      </w:r>
      <w:r>
        <w:rPr>
          <w:rFonts w:ascii="Book Antiqua"/>
          <w:b/>
          <w:color w:val="231F20"/>
          <w:sz w:val="20"/>
        </w:rPr>
        <w:t>SOPT</w:t>
      </w:r>
      <w:r>
        <w:rPr>
          <w:rFonts w:ascii="Book Antiqua"/>
          <w:b/>
          <w:color w:val="231F20"/>
          <w:spacing w:val="12"/>
          <w:sz w:val="20"/>
        </w:rPr>
        <w:t> </w:t>
      </w:r>
      <w:r>
        <w:rPr>
          <w:color w:val="231F20"/>
          <w:sz w:val="20"/>
        </w:rPr>
        <w:t>The</w:t>
      </w:r>
      <w:r>
        <w:rPr>
          <w:color w:val="231F20"/>
          <w:spacing w:val="12"/>
          <w:sz w:val="20"/>
        </w:rPr>
        <w:t> </w:t>
      </w:r>
      <w:r>
        <w:rPr>
          <w:color w:val="231F20"/>
          <w:sz w:val="20"/>
        </w:rPr>
        <w:t>auto</w:t>
      </w:r>
      <w:r>
        <w:rPr>
          <w:color w:val="231F20"/>
          <w:spacing w:val="11"/>
          <w:sz w:val="20"/>
        </w:rPr>
        <w:t> </w:t>
      </w:r>
      <w:r>
        <w:rPr>
          <w:color w:val="231F20"/>
          <w:spacing w:val="-4"/>
          <w:sz w:val="20"/>
        </w:rPr>
        <w:t>SOPT.</w:t>
      </w:r>
    </w:p>
    <w:p>
      <w:pPr>
        <w:pStyle w:val="BodyText"/>
        <w:spacing w:line="213" w:lineRule="auto" w:before="233"/>
        <w:ind w:left="2232" w:right="1104"/>
      </w:pPr>
      <w:r>
        <w:rPr>
          <w:rFonts w:ascii="Book Antiqua"/>
          <w:b/>
          <w:color w:val="231F20"/>
        </w:rPr>
        <w:t>Auto Start </w:t>
      </w:r>
      <w:r>
        <w:rPr>
          <w:color w:val="231F20"/>
        </w:rPr>
        <w:t>Whether the situation is set to autostart, *YES, or to be </w:t>
      </w:r>
      <w:r>
        <w:rPr>
          <w:color w:val="231F20"/>
        </w:rPr>
        <w:t>started manually, *NO.</w:t>
      </w:r>
    </w:p>
    <w:p>
      <w:pPr>
        <w:pStyle w:val="BodyText"/>
        <w:spacing w:before="215"/>
        <w:ind w:left="2232"/>
      </w:pPr>
      <w:r>
        <w:rPr>
          <w:rFonts w:ascii="Book Antiqua"/>
          <w:b/>
          <w:color w:val="231F20"/>
        </w:rPr>
        <w:t>Command</w:t>
      </w:r>
      <w:r>
        <w:rPr>
          <w:rFonts w:ascii="Book Antiqua"/>
          <w:b/>
          <w:color w:val="231F20"/>
          <w:spacing w:val="10"/>
        </w:rPr>
        <w:t> </w:t>
      </w:r>
      <w:r>
        <w:rPr>
          <w:color w:val="231F20"/>
        </w:rPr>
        <w:t>The</w:t>
      </w:r>
      <w:r>
        <w:rPr>
          <w:color w:val="231F20"/>
          <w:spacing w:val="11"/>
        </w:rPr>
        <w:t> </w:t>
      </w:r>
      <w:r>
        <w:rPr>
          <w:color w:val="231F20"/>
        </w:rPr>
        <w:t>type</w:t>
      </w:r>
      <w:r>
        <w:rPr>
          <w:color w:val="231F20"/>
          <w:spacing w:val="11"/>
        </w:rPr>
        <w:t> </w:t>
      </w:r>
      <w:r>
        <w:rPr>
          <w:color w:val="231F20"/>
        </w:rPr>
        <w:t>of</w:t>
      </w:r>
      <w:r>
        <w:rPr>
          <w:color w:val="231F20"/>
          <w:spacing w:val="11"/>
        </w:rPr>
        <w:t> </w:t>
      </w:r>
      <w:r>
        <w:rPr>
          <w:color w:val="231F20"/>
        </w:rPr>
        <w:t>command</w:t>
      </w:r>
      <w:r>
        <w:rPr>
          <w:color w:val="231F20"/>
          <w:spacing w:val="11"/>
        </w:rPr>
        <w:t> </w:t>
      </w:r>
      <w:r>
        <w:rPr>
          <w:color w:val="231F20"/>
        </w:rPr>
        <w:t>specified</w:t>
      </w:r>
      <w:r>
        <w:rPr>
          <w:color w:val="231F20"/>
          <w:spacing w:val="11"/>
        </w:rPr>
        <w:t> </w:t>
      </w:r>
      <w:r>
        <w:rPr>
          <w:color w:val="231F20"/>
        </w:rPr>
        <w:t>in</w:t>
      </w:r>
      <w:r>
        <w:rPr>
          <w:color w:val="231F20"/>
          <w:spacing w:val="10"/>
        </w:rPr>
        <w:t> </w:t>
      </w:r>
      <w:r>
        <w:rPr>
          <w:color w:val="231F20"/>
        </w:rPr>
        <w:t>the</w:t>
      </w:r>
      <w:r>
        <w:rPr>
          <w:color w:val="231F20"/>
          <w:spacing w:val="5"/>
        </w:rPr>
        <w:t> </w:t>
      </w:r>
      <w:r>
        <w:rPr>
          <w:color w:val="231F20"/>
        </w:rPr>
        <w:t>Action</w:t>
      </w:r>
      <w:r>
        <w:rPr>
          <w:color w:val="231F20"/>
          <w:spacing w:val="11"/>
        </w:rPr>
        <w:t> </w:t>
      </w:r>
      <w:r>
        <w:rPr>
          <w:color w:val="231F20"/>
          <w:spacing w:val="-4"/>
        </w:rPr>
        <w:t>tab.</w:t>
      </w:r>
    </w:p>
    <w:p>
      <w:pPr>
        <w:spacing w:before="209"/>
        <w:ind w:left="2232" w:right="0" w:firstLine="0"/>
        <w:jc w:val="left"/>
        <w:rPr>
          <w:sz w:val="20"/>
        </w:rPr>
      </w:pPr>
      <w:r>
        <w:rPr>
          <w:rFonts w:ascii="Book Antiqua"/>
          <w:b/>
          <w:color w:val="231F20"/>
          <w:sz w:val="20"/>
        </w:rPr>
        <w:t>Description</w:t>
      </w:r>
      <w:r>
        <w:rPr>
          <w:rFonts w:ascii="Book Antiqua"/>
          <w:b/>
          <w:color w:val="231F20"/>
          <w:spacing w:val="10"/>
          <w:sz w:val="20"/>
        </w:rPr>
        <w:t> </w:t>
      </w:r>
      <w:r>
        <w:rPr>
          <w:color w:val="231F20"/>
          <w:sz w:val="20"/>
        </w:rPr>
        <w:t>The</w:t>
      </w:r>
      <w:r>
        <w:rPr>
          <w:color w:val="231F20"/>
          <w:spacing w:val="10"/>
          <w:sz w:val="20"/>
        </w:rPr>
        <w:t> </w:t>
      </w:r>
      <w:r>
        <w:rPr>
          <w:color w:val="231F20"/>
          <w:sz w:val="20"/>
        </w:rPr>
        <w:t>description</w:t>
      </w:r>
      <w:r>
        <w:rPr>
          <w:color w:val="231F20"/>
          <w:spacing w:val="10"/>
          <w:sz w:val="20"/>
        </w:rPr>
        <w:t> </w:t>
      </w:r>
      <w:r>
        <w:rPr>
          <w:color w:val="231F20"/>
          <w:sz w:val="20"/>
        </w:rPr>
        <w:t>written</w:t>
      </w:r>
      <w:r>
        <w:rPr>
          <w:color w:val="231F20"/>
          <w:spacing w:val="10"/>
          <w:sz w:val="20"/>
        </w:rPr>
        <w:t> </w:t>
      </w:r>
      <w:r>
        <w:rPr>
          <w:color w:val="231F20"/>
          <w:sz w:val="20"/>
        </w:rPr>
        <w:t>for</w:t>
      </w:r>
      <w:r>
        <w:rPr>
          <w:color w:val="231F20"/>
          <w:spacing w:val="10"/>
          <w:sz w:val="20"/>
        </w:rPr>
        <w:t> </w:t>
      </w:r>
      <w:r>
        <w:rPr>
          <w:color w:val="231F20"/>
          <w:sz w:val="20"/>
        </w:rPr>
        <w:t>the</w:t>
      </w:r>
      <w:r>
        <w:rPr>
          <w:color w:val="231F20"/>
          <w:spacing w:val="10"/>
          <w:sz w:val="20"/>
        </w:rPr>
        <w:t> </w:t>
      </w:r>
      <w:r>
        <w:rPr>
          <w:color w:val="231F20"/>
          <w:spacing w:val="-2"/>
          <w:sz w:val="20"/>
        </w:rPr>
        <w:t>situation.</w:t>
      </w:r>
    </w:p>
    <w:p>
      <w:pPr>
        <w:spacing w:before="209"/>
        <w:ind w:left="2232" w:right="0" w:firstLine="0"/>
        <w:jc w:val="left"/>
        <w:rPr>
          <w:sz w:val="20"/>
        </w:rPr>
      </w:pPr>
      <w:r>
        <w:rPr>
          <w:rFonts w:ascii="Book Antiqua"/>
          <w:b/>
          <w:color w:val="231F20"/>
          <w:sz w:val="20"/>
        </w:rPr>
        <w:t>Destination</w:t>
      </w:r>
      <w:r>
        <w:rPr>
          <w:rFonts w:ascii="Book Antiqua"/>
          <w:b/>
          <w:color w:val="231F20"/>
          <w:spacing w:val="10"/>
          <w:sz w:val="20"/>
        </w:rPr>
        <w:t> </w:t>
      </w:r>
      <w:r>
        <w:rPr>
          <w:rFonts w:ascii="Book Antiqua"/>
          <w:b/>
          <w:color w:val="231F20"/>
          <w:sz w:val="20"/>
        </w:rPr>
        <w:t>Node</w:t>
      </w:r>
      <w:r>
        <w:rPr>
          <w:rFonts w:ascii="Book Antiqua"/>
          <w:b/>
          <w:color w:val="231F20"/>
          <w:spacing w:val="11"/>
          <w:sz w:val="20"/>
        </w:rPr>
        <w:t> </w:t>
      </w:r>
      <w:r>
        <w:rPr>
          <w:color w:val="231F20"/>
          <w:sz w:val="20"/>
        </w:rPr>
        <w:t>The</w:t>
      </w:r>
      <w:r>
        <w:rPr>
          <w:color w:val="231F20"/>
          <w:spacing w:val="11"/>
          <w:sz w:val="20"/>
        </w:rPr>
        <w:t> </w:t>
      </w:r>
      <w:r>
        <w:rPr>
          <w:color w:val="231F20"/>
          <w:sz w:val="20"/>
        </w:rPr>
        <w:t>managed</w:t>
      </w:r>
      <w:r>
        <w:rPr>
          <w:color w:val="231F20"/>
          <w:spacing w:val="10"/>
          <w:sz w:val="20"/>
        </w:rPr>
        <w:t> </w:t>
      </w:r>
      <w:r>
        <w:rPr>
          <w:color w:val="231F20"/>
          <w:sz w:val="20"/>
        </w:rPr>
        <w:t>system</w:t>
      </w:r>
      <w:r>
        <w:rPr>
          <w:color w:val="231F20"/>
          <w:spacing w:val="11"/>
          <w:sz w:val="20"/>
        </w:rPr>
        <w:t> </w:t>
      </w:r>
      <w:r>
        <w:rPr>
          <w:color w:val="231F20"/>
          <w:sz w:val="20"/>
        </w:rPr>
        <w:t>to</w:t>
      </w:r>
      <w:r>
        <w:rPr>
          <w:color w:val="231F20"/>
          <w:spacing w:val="11"/>
          <w:sz w:val="20"/>
        </w:rPr>
        <w:t> </w:t>
      </w:r>
      <w:r>
        <w:rPr>
          <w:color w:val="231F20"/>
          <w:sz w:val="20"/>
        </w:rPr>
        <w:t>which</w:t>
      </w:r>
      <w:r>
        <w:rPr>
          <w:color w:val="231F20"/>
          <w:spacing w:val="11"/>
          <w:sz w:val="20"/>
        </w:rPr>
        <w:t> </w:t>
      </w:r>
      <w:r>
        <w:rPr>
          <w:color w:val="231F20"/>
          <w:sz w:val="20"/>
        </w:rPr>
        <w:t>the</w:t>
      </w:r>
      <w:r>
        <w:rPr>
          <w:color w:val="231F20"/>
          <w:spacing w:val="10"/>
          <w:sz w:val="20"/>
        </w:rPr>
        <w:t> </w:t>
      </w:r>
      <w:r>
        <w:rPr>
          <w:color w:val="231F20"/>
          <w:sz w:val="20"/>
        </w:rPr>
        <w:t>situation</w:t>
      </w:r>
      <w:r>
        <w:rPr>
          <w:color w:val="231F20"/>
          <w:spacing w:val="11"/>
          <w:sz w:val="20"/>
        </w:rPr>
        <w:t> </w:t>
      </w:r>
      <w:r>
        <w:rPr>
          <w:color w:val="231F20"/>
          <w:sz w:val="20"/>
        </w:rPr>
        <w:t>is</w:t>
      </w:r>
      <w:r>
        <w:rPr>
          <w:color w:val="231F20"/>
          <w:spacing w:val="11"/>
          <w:sz w:val="20"/>
        </w:rPr>
        <w:t> </w:t>
      </w:r>
      <w:r>
        <w:rPr>
          <w:color w:val="231F20"/>
          <w:spacing w:val="-2"/>
          <w:sz w:val="20"/>
        </w:rPr>
        <w:t>distributed.</w:t>
      </w:r>
    </w:p>
    <w:p>
      <w:pPr>
        <w:spacing w:before="209"/>
        <w:ind w:left="2232" w:right="0" w:firstLine="0"/>
        <w:jc w:val="left"/>
        <w:rPr>
          <w:sz w:val="20"/>
        </w:rPr>
      </w:pPr>
      <w:r>
        <w:rPr>
          <w:rFonts w:ascii="Book Antiqua"/>
          <w:b/>
          <w:color w:val="231F20"/>
          <w:sz w:val="20"/>
        </w:rPr>
        <w:t>Event</w:t>
      </w:r>
      <w:r>
        <w:rPr>
          <w:rFonts w:ascii="Book Antiqua"/>
          <w:b/>
          <w:color w:val="231F20"/>
          <w:spacing w:val="11"/>
          <w:sz w:val="20"/>
        </w:rPr>
        <w:t> </w:t>
      </w:r>
      <w:r>
        <w:rPr>
          <w:rFonts w:ascii="Book Antiqua"/>
          <w:b/>
          <w:color w:val="231F20"/>
          <w:sz w:val="20"/>
        </w:rPr>
        <w:t>Attribute</w:t>
      </w:r>
      <w:r>
        <w:rPr>
          <w:rFonts w:ascii="Book Antiqua"/>
          <w:b/>
          <w:color w:val="231F20"/>
          <w:spacing w:val="12"/>
          <w:sz w:val="20"/>
        </w:rPr>
        <w:t> </w:t>
      </w:r>
      <w:r>
        <w:rPr>
          <w:color w:val="231F20"/>
          <w:sz w:val="20"/>
        </w:rPr>
        <w:t>A</w:t>
      </w:r>
      <w:r>
        <w:rPr>
          <w:color w:val="231F20"/>
          <w:spacing w:val="1"/>
          <w:sz w:val="20"/>
        </w:rPr>
        <w:t> </w:t>
      </w:r>
      <w:r>
        <w:rPr>
          <w:color w:val="231F20"/>
          <w:sz w:val="20"/>
        </w:rPr>
        <w:t>single</w:t>
      </w:r>
      <w:r>
        <w:rPr>
          <w:color w:val="231F20"/>
          <w:spacing w:val="12"/>
          <w:sz w:val="20"/>
        </w:rPr>
        <w:t> </w:t>
      </w:r>
      <w:r>
        <w:rPr>
          <w:color w:val="231F20"/>
          <w:sz w:val="20"/>
        </w:rPr>
        <w:t>digit</w:t>
      </w:r>
      <w:r>
        <w:rPr>
          <w:color w:val="231F20"/>
          <w:spacing w:val="12"/>
          <w:sz w:val="20"/>
        </w:rPr>
        <w:t> </w:t>
      </w:r>
      <w:r>
        <w:rPr>
          <w:color w:val="231F20"/>
          <w:sz w:val="20"/>
        </w:rPr>
        <w:t>to</w:t>
      </w:r>
      <w:r>
        <w:rPr>
          <w:color w:val="231F20"/>
          <w:spacing w:val="11"/>
          <w:sz w:val="20"/>
        </w:rPr>
        <w:t> </w:t>
      </w:r>
      <w:r>
        <w:rPr>
          <w:color w:val="231F20"/>
          <w:sz w:val="20"/>
        </w:rPr>
        <w:t>describe</w:t>
      </w:r>
      <w:r>
        <w:rPr>
          <w:color w:val="231F20"/>
          <w:spacing w:val="12"/>
          <w:sz w:val="20"/>
        </w:rPr>
        <w:t> </w:t>
      </w:r>
      <w:r>
        <w:rPr>
          <w:color w:val="231F20"/>
          <w:sz w:val="20"/>
        </w:rPr>
        <w:t>the</w:t>
      </w:r>
      <w:r>
        <w:rPr>
          <w:color w:val="231F20"/>
          <w:spacing w:val="12"/>
          <w:sz w:val="20"/>
        </w:rPr>
        <w:t> </w:t>
      </w:r>
      <w:r>
        <w:rPr>
          <w:color w:val="231F20"/>
          <w:sz w:val="20"/>
        </w:rPr>
        <w:t>type</w:t>
      </w:r>
      <w:r>
        <w:rPr>
          <w:color w:val="231F20"/>
          <w:spacing w:val="12"/>
          <w:sz w:val="20"/>
        </w:rPr>
        <w:t> </w:t>
      </w:r>
      <w:r>
        <w:rPr>
          <w:color w:val="231F20"/>
          <w:sz w:val="20"/>
        </w:rPr>
        <w:t>of</w:t>
      </w:r>
      <w:r>
        <w:rPr>
          <w:color w:val="231F20"/>
          <w:spacing w:val="11"/>
          <w:sz w:val="20"/>
        </w:rPr>
        <w:t> </w:t>
      </w:r>
      <w:r>
        <w:rPr>
          <w:color w:val="231F20"/>
          <w:spacing w:val="-2"/>
          <w:sz w:val="20"/>
        </w:rPr>
        <w:t>event.</w:t>
      </w:r>
    </w:p>
    <w:p>
      <w:pPr>
        <w:pStyle w:val="BodyText"/>
        <w:spacing w:before="209"/>
        <w:ind w:left="2232"/>
      </w:pPr>
      <w:r>
        <w:rPr>
          <w:rFonts w:ascii="Book Antiqua"/>
          <w:b/>
          <w:color w:val="231F20"/>
        </w:rPr>
        <w:t>HUB</w:t>
      </w:r>
      <w:r>
        <w:rPr>
          <w:rFonts w:ascii="Book Antiqua"/>
          <w:b/>
          <w:color w:val="231F20"/>
          <w:spacing w:val="11"/>
        </w:rPr>
        <w:t> </w:t>
      </w:r>
      <w:r>
        <w:rPr>
          <w:color w:val="231F20"/>
        </w:rPr>
        <w:t>The</w:t>
      </w:r>
      <w:r>
        <w:rPr>
          <w:color w:val="231F20"/>
          <w:spacing w:val="11"/>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hub</w:t>
      </w:r>
      <w:r>
        <w:rPr>
          <w:color w:val="231F20"/>
          <w:spacing w:val="11"/>
        </w:rPr>
        <w:t> </w:t>
      </w:r>
      <w:r>
        <w:rPr>
          <w:color w:val="231F20"/>
        </w:rPr>
        <w:t>monitoring</w:t>
      </w:r>
      <w:r>
        <w:rPr>
          <w:color w:val="231F20"/>
          <w:spacing w:val="11"/>
        </w:rPr>
        <w:t> </w:t>
      </w:r>
      <w:r>
        <w:rPr>
          <w:color w:val="231F20"/>
        </w:rPr>
        <w:t>server</w:t>
      </w:r>
      <w:r>
        <w:rPr>
          <w:color w:val="231F20"/>
          <w:spacing w:val="12"/>
        </w:rPr>
        <w:t> </w:t>
      </w:r>
      <w:r>
        <w:rPr>
          <w:color w:val="231F20"/>
        </w:rPr>
        <w:t>that</w:t>
      </w:r>
      <w:r>
        <w:rPr>
          <w:color w:val="231F20"/>
          <w:spacing w:val="11"/>
        </w:rPr>
        <w:t> </w:t>
      </w:r>
      <w:r>
        <w:rPr>
          <w:color w:val="231F20"/>
        </w:rPr>
        <w:t>controls</w:t>
      </w:r>
      <w:r>
        <w:rPr>
          <w:color w:val="231F20"/>
          <w:spacing w:val="11"/>
        </w:rPr>
        <w:t> </w:t>
      </w:r>
      <w:r>
        <w:rPr>
          <w:color w:val="231F20"/>
        </w:rPr>
        <w:t>the</w:t>
      </w:r>
      <w:r>
        <w:rPr>
          <w:color w:val="231F20"/>
          <w:spacing w:val="11"/>
        </w:rPr>
        <w:t> </w:t>
      </w:r>
      <w:r>
        <w:rPr>
          <w:color w:val="231F20"/>
          <w:spacing w:val="-2"/>
        </w:rPr>
        <w:t>situation.</w:t>
      </w:r>
    </w:p>
    <w:p>
      <w:pPr>
        <w:pStyle w:val="BodyText"/>
        <w:spacing w:before="209"/>
        <w:ind w:left="2232"/>
      </w:pPr>
      <w:r>
        <w:rPr>
          <w:rFonts w:ascii="Book Antiqua"/>
          <w:b/>
          <w:color w:val="231F20"/>
        </w:rPr>
        <w:t>Interval</w:t>
      </w:r>
      <w:r>
        <w:rPr>
          <w:rFonts w:ascii="Book Antiqua"/>
          <w:b/>
          <w:color w:val="231F20"/>
          <w:spacing w:val="10"/>
        </w:rPr>
        <w:t> </w:t>
      </w:r>
      <w:r>
        <w:rPr>
          <w:rFonts w:ascii="Book Antiqua"/>
          <w:b/>
          <w:color w:val="231F20"/>
        </w:rPr>
        <w:t>Days</w:t>
      </w:r>
      <w:r>
        <w:rPr>
          <w:rFonts w:ascii="Book Antiqua"/>
          <w:b/>
          <w:color w:val="231F20"/>
          <w:spacing w:val="10"/>
        </w:rPr>
        <w:t> </w:t>
      </w:r>
      <w:r>
        <w:rPr>
          <w:color w:val="231F20"/>
        </w:rPr>
        <w:t>A two-digit</w:t>
      </w:r>
      <w:r>
        <w:rPr>
          <w:color w:val="231F20"/>
          <w:spacing w:val="11"/>
        </w:rPr>
        <w:t> </w:t>
      </w:r>
      <w:r>
        <w:rPr>
          <w:color w:val="231F20"/>
        </w:rPr>
        <w:t>number</w:t>
      </w:r>
      <w:r>
        <w:rPr>
          <w:color w:val="231F20"/>
          <w:spacing w:val="10"/>
        </w:rPr>
        <w:t> </w:t>
      </w:r>
      <w:r>
        <w:rPr>
          <w:color w:val="231F20"/>
        </w:rPr>
        <w:t>to</w:t>
      </w:r>
      <w:r>
        <w:rPr>
          <w:color w:val="231F20"/>
          <w:spacing w:val="10"/>
        </w:rPr>
        <w:t> </w:t>
      </w:r>
      <w:r>
        <w:rPr>
          <w:color w:val="231F20"/>
        </w:rPr>
        <w:t>express</w:t>
      </w:r>
      <w:r>
        <w:rPr>
          <w:color w:val="231F20"/>
          <w:spacing w:val="10"/>
        </w:rPr>
        <w:t> </w:t>
      </w:r>
      <w:r>
        <w:rPr>
          <w:color w:val="231F20"/>
        </w:rPr>
        <w:t>the</w:t>
      </w:r>
      <w:r>
        <w:rPr>
          <w:color w:val="231F20"/>
          <w:spacing w:val="11"/>
        </w:rPr>
        <w:t> </w:t>
      </w:r>
      <w:r>
        <w:rPr>
          <w:color w:val="231F20"/>
        </w:rPr>
        <w:t>interval</w:t>
      </w:r>
      <w:r>
        <w:rPr>
          <w:color w:val="231F20"/>
          <w:spacing w:val="10"/>
        </w:rPr>
        <w:t> </w:t>
      </w:r>
      <w:r>
        <w:rPr>
          <w:color w:val="231F20"/>
        </w:rPr>
        <w:t>between</w:t>
      </w:r>
      <w:r>
        <w:rPr>
          <w:color w:val="231F20"/>
          <w:spacing w:val="10"/>
        </w:rPr>
        <w:t> </w:t>
      </w:r>
      <w:r>
        <w:rPr>
          <w:color w:val="231F20"/>
        </w:rPr>
        <w:t>data</w:t>
      </w:r>
      <w:r>
        <w:rPr>
          <w:color w:val="231F20"/>
          <w:spacing w:val="10"/>
        </w:rPr>
        <w:t> </w:t>
      </w:r>
      <w:r>
        <w:rPr>
          <w:color w:val="231F20"/>
          <w:spacing w:val="-2"/>
        </w:rPr>
        <w:t>samplings.</w:t>
      </w:r>
    </w:p>
    <w:p>
      <w:pPr>
        <w:spacing w:line="213" w:lineRule="auto" w:before="232"/>
        <w:ind w:left="2232" w:right="545" w:firstLine="0"/>
        <w:jc w:val="left"/>
        <w:rPr>
          <w:sz w:val="20"/>
        </w:rPr>
      </w:pPr>
      <w:r>
        <w:rPr>
          <w:rFonts w:ascii="Book Antiqua"/>
          <w:b/>
          <w:color w:val="231F20"/>
          <w:sz w:val="20"/>
        </w:rPr>
        <w:t>Interval Seconds </w:t>
      </w:r>
      <w:r>
        <w:rPr>
          <w:color w:val="231F20"/>
          <w:sz w:val="20"/>
        </w:rPr>
        <w:t>A six-digit number that expresses the time between </w:t>
      </w:r>
      <w:r>
        <w:rPr>
          <w:color w:val="231F20"/>
          <w:sz w:val="20"/>
        </w:rPr>
        <w:t>data </w:t>
      </w:r>
      <w:r>
        <w:rPr>
          <w:color w:val="231F20"/>
          <w:spacing w:val="-2"/>
          <w:sz w:val="20"/>
        </w:rPr>
        <w:t>samplings.</w:t>
      </w:r>
    </w:p>
    <w:p>
      <w:pPr>
        <w:pStyle w:val="BodyText"/>
        <w:spacing w:before="216"/>
        <w:ind w:left="2232"/>
      </w:pPr>
      <w:r>
        <w:rPr>
          <w:rFonts w:ascii="Book Antiqua"/>
          <w:b/>
          <w:color w:val="231F20"/>
        </w:rPr>
        <w:t>Last</w:t>
      </w:r>
      <w:r>
        <w:rPr>
          <w:rFonts w:ascii="Book Antiqua"/>
          <w:b/>
          <w:color w:val="231F20"/>
          <w:spacing w:val="10"/>
        </w:rPr>
        <w:t> </w:t>
      </w:r>
      <w:r>
        <w:rPr>
          <w:rFonts w:ascii="Book Antiqua"/>
          <w:b/>
          <w:color w:val="231F20"/>
        </w:rPr>
        <w:t>CCSID</w:t>
      </w:r>
      <w:r>
        <w:rPr>
          <w:rFonts w:ascii="Book Antiqua"/>
          <w:b/>
          <w:color w:val="231F20"/>
          <w:spacing w:val="10"/>
        </w:rPr>
        <w:t> </w:t>
      </w:r>
      <w:r>
        <w:rPr>
          <w:color w:val="231F20"/>
        </w:rPr>
        <w:t>Internal</w:t>
      </w:r>
      <w:r>
        <w:rPr>
          <w:color w:val="231F20"/>
          <w:spacing w:val="11"/>
        </w:rPr>
        <w:t> </w:t>
      </w:r>
      <w:r>
        <w:rPr>
          <w:color w:val="231F20"/>
        </w:rPr>
        <w:t>identifiers</w:t>
      </w:r>
      <w:r>
        <w:rPr>
          <w:color w:val="231F20"/>
          <w:spacing w:val="10"/>
        </w:rPr>
        <w:t> </w:t>
      </w:r>
      <w:r>
        <w:rPr>
          <w:color w:val="231F20"/>
        </w:rPr>
        <w:t>of</w:t>
      </w:r>
      <w:r>
        <w:rPr>
          <w:color w:val="231F20"/>
          <w:spacing w:val="11"/>
        </w:rPr>
        <w:t> </w:t>
      </w:r>
      <w:r>
        <w:rPr>
          <w:color w:val="231F20"/>
        </w:rPr>
        <w:t>the</w:t>
      </w:r>
      <w:r>
        <w:rPr>
          <w:color w:val="231F20"/>
          <w:spacing w:val="10"/>
        </w:rPr>
        <w:t> </w:t>
      </w:r>
      <w:r>
        <w:rPr>
          <w:color w:val="231F20"/>
        </w:rPr>
        <w:t>situation</w:t>
      </w:r>
      <w:r>
        <w:rPr>
          <w:color w:val="231F20"/>
          <w:spacing w:val="11"/>
        </w:rPr>
        <w:t> </w:t>
      </w:r>
      <w:r>
        <w:rPr>
          <w:color w:val="231F20"/>
          <w:spacing w:val="-2"/>
        </w:rPr>
        <w:t>expressions.</w:t>
      </w:r>
    </w:p>
    <w:p>
      <w:pPr>
        <w:pStyle w:val="BodyText"/>
        <w:spacing w:line="213" w:lineRule="auto" w:before="232"/>
        <w:ind w:left="2232"/>
      </w:pPr>
      <w:r>
        <w:rPr>
          <w:rFonts w:ascii="Book Antiqua"/>
          <w:b/>
          <w:color w:val="231F20"/>
        </w:rPr>
        <w:t>Last Date </w:t>
      </w:r>
      <w:r>
        <w:rPr>
          <w:color w:val="231F20"/>
        </w:rPr>
        <w:t>The date of the last revision to the situation. The format is CYYMMDDHHMMSSmmm (as in 1050415074501000 for April 15, 2005 at </w:t>
      </w:r>
      <w:r>
        <w:rPr>
          <w:color w:val="231F20"/>
        </w:rPr>
        <w:t>07:45:01)</w:t>
      </w:r>
    </w:p>
    <w:p>
      <w:pPr>
        <w:pStyle w:val="BodyText"/>
        <w:spacing w:line="245" w:lineRule="exact"/>
        <w:ind w:left="2232"/>
      </w:pPr>
      <w:r>
        <w:rPr>
          <w:color w:val="231F20"/>
          <w:spacing w:val="-2"/>
        </w:rPr>
        <w:t>where:</w:t>
      </w:r>
    </w:p>
    <w:p>
      <w:pPr>
        <w:pStyle w:val="BodyText"/>
        <w:spacing w:line="266" w:lineRule="auto" w:before="29"/>
        <w:ind w:left="2532" w:right="4420"/>
      </w:pPr>
      <w:r>
        <w:rPr>
          <w:color w:val="231F20"/>
          <w:w w:val="105"/>
        </w:rPr>
        <w:t>C</w:t>
      </w:r>
      <w:r>
        <w:rPr>
          <w:color w:val="231F20"/>
          <w:spacing w:val="-6"/>
          <w:w w:val="105"/>
        </w:rPr>
        <w:t> </w:t>
      </w:r>
      <w:r>
        <w:rPr>
          <w:color w:val="231F20"/>
          <w:w w:val="105"/>
        </w:rPr>
        <w:t>=</w:t>
      </w:r>
      <w:r>
        <w:rPr>
          <w:color w:val="231F20"/>
          <w:spacing w:val="-6"/>
          <w:w w:val="105"/>
        </w:rPr>
        <w:t> </w:t>
      </w:r>
      <w:r>
        <w:rPr>
          <w:color w:val="231F20"/>
          <w:w w:val="105"/>
        </w:rPr>
        <w:t>Century</w:t>
      </w:r>
      <w:r>
        <w:rPr>
          <w:color w:val="231F20"/>
          <w:spacing w:val="-6"/>
          <w:w w:val="105"/>
        </w:rPr>
        <w:t> </w:t>
      </w:r>
      <w:r>
        <w:rPr>
          <w:color w:val="231F20"/>
          <w:w w:val="105"/>
        </w:rPr>
        <w:t>(0</w:t>
      </w:r>
      <w:r>
        <w:rPr>
          <w:color w:val="231F20"/>
          <w:spacing w:val="-6"/>
          <w:w w:val="105"/>
        </w:rPr>
        <w:t> </w:t>
      </w:r>
      <w:r>
        <w:rPr>
          <w:color w:val="231F20"/>
          <w:w w:val="105"/>
        </w:rPr>
        <w:t>for</w:t>
      </w:r>
      <w:r>
        <w:rPr>
          <w:color w:val="231F20"/>
          <w:spacing w:val="-6"/>
          <w:w w:val="105"/>
        </w:rPr>
        <w:t> </w:t>
      </w:r>
      <w:r>
        <w:rPr>
          <w:color w:val="231F20"/>
          <w:w w:val="105"/>
        </w:rPr>
        <w:t>20th,</w:t>
      </w:r>
      <w:r>
        <w:rPr>
          <w:color w:val="231F20"/>
          <w:spacing w:val="-6"/>
          <w:w w:val="105"/>
        </w:rPr>
        <w:t> </w:t>
      </w:r>
      <w:r>
        <w:rPr>
          <w:color w:val="231F20"/>
          <w:w w:val="105"/>
        </w:rPr>
        <w:t>1</w:t>
      </w:r>
      <w:r>
        <w:rPr>
          <w:color w:val="231F20"/>
          <w:spacing w:val="-6"/>
          <w:w w:val="105"/>
        </w:rPr>
        <w:t> </w:t>
      </w:r>
      <w:r>
        <w:rPr>
          <w:color w:val="231F20"/>
          <w:w w:val="105"/>
        </w:rPr>
        <w:t>for</w:t>
      </w:r>
      <w:r>
        <w:rPr>
          <w:color w:val="231F20"/>
          <w:spacing w:val="-6"/>
          <w:w w:val="105"/>
        </w:rPr>
        <w:t> </w:t>
      </w:r>
      <w:r>
        <w:rPr>
          <w:color w:val="231F20"/>
          <w:w w:val="105"/>
        </w:rPr>
        <w:t>21st) </w:t>
      </w:r>
      <w:r>
        <w:rPr>
          <w:color w:val="231F20"/>
          <w:spacing w:val="12"/>
          <w:w w:val="105"/>
        </w:rPr>
        <w:t>Y </w:t>
      </w:r>
      <w:r>
        <w:rPr>
          <w:color w:val="231F20"/>
          <w:w w:val="105"/>
        </w:rPr>
        <w:t>= Year</w:t>
      </w:r>
    </w:p>
    <w:p>
      <w:pPr>
        <w:pStyle w:val="BodyText"/>
        <w:spacing w:line="266" w:lineRule="auto"/>
        <w:ind w:left="2532" w:right="6582"/>
      </w:pP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Month D = Day</w:t>
      </w:r>
    </w:p>
    <w:p>
      <w:pPr>
        <w:pStyle w:val="BodyText"/>
        <w:spacing w:line="269" w:lineRule="exact"/>
        <w:ind w:left="2532"/>
      </w:pPr>
      <w:r>
        <w:rPr>
          <w:color w:val="231F20"/>
          <w:w w:val="105"/>
        </w:rPr>
        <w:t>H</w:t>
      </w:r>
      <w:r>
        <w:rPr>
          <w:color w:val="231F20"/>
          <w:spacing w:val="16"/>
          <w:w w:val="105"/>
        </w:rPr>
        <w:t> </w:t>
      </w:r>
      <w:r>
        <w:rPr>
          <w:color w:val="231F20"/>
          <w:w w:val="105"/>
        </w:rPr>
        <w:t>=</w:t>
      </w:r>
      <w:r>
        <w:rPr>
          <w:color w:val="231F20"/>
          <w:spacing w:val="16"/>
          <w:w w:val="105"/>
        </w:rPr>
        <w:t> </w:t>
      </w:r>
      <w:r>
        <w:rPr>
          <w:color w:val="231F20"/>
          <w:spacing w:val="-4"/>
          <w:w w:val="105"/>
        </w:rPr>
        <w:t>Hour</w:t>
      </w:r>
    </w:p>
    <w:p>
      <w:pPr>
        <w:spacing w:after="0" w:line="269" w:lineRule="exact"/>
        <w:sectPr>
          <w:pgSz w:w="12240" w:h="15840"/>
          <w:pgMar w:header="0" w:footer="736" w:top="1180" w:bottom="920" w:left="1000" w:right="1060"/>
        </w:sectPr>
      </w:pPr>
    </w:p>
    <w:p>
      <w:pPr>
        <w:pStyle w:val="BodyText"/>
        <w:spacing w:line="266" w:lineRule="auto" w:before="62"/>
        <w:ind w:left="2771" w:right="6252"/>
      </w:pPr>
      <w:bookmarkStart w:name="_bookmark346" w:id="724"/>
      <w:bookmarkEnd w:id="724"/>
      <w:r>
        <w:rPr/>
      </w:r>
      <w:r>
        <w:rPr>
          <w:color w:val="231F20"/>
          <w:w w:val="105"/>
        </w:rPr>
        <w:t>M</w:t>
      </w:r>
      <w:r>
        <w:rPr>
          <w:color w:val="231F20"/>
          <w:spacing w:val="-10"/>
          <w:w w:val="105"/>
        </w:rPr>
        <w:t> </w:t>
      </w:r>
      <w:r>
        <w:rPr>
          <w:color w:val="231F20"/>
          <w:w w:val="105"/>
        </w:rPr>
        <w:t>=</w:t>
      </w:r>
      <w:r>
        <w:rPr>
          <w:color w:val="231F20"/>
          <w:spacing w:val="-10"/>
          <w:w w:val="105"/>
        </w:rPr>
        <w:t> </w:t>
      </w:r>
      <w:r>
        <w:rPr>
          <w:color w:val="231F20"/>
          <w:w w:val="105"/>
        </w:rPr>
        <w:t>Minute S = Second</w:t>
      </w:r>
    </w:p>
    <w:p>
      <w:pPr>
        <w:pStyle w:val="BodyText"/>
        <w:spacing w:line="269" w:lineRule="exact"/>
        <w:ind w:left="2771"/>
      </w:pPr>
      <w:r>
        <w:rPr>
          <w:color w:val="231F20"/>
          <w:w w:val="105"/>
        </w:rPr>
        <w:t>m</w:t>
      </w:r>
      <w:r>
        <w:rPr>
          <w:color w:val="231F20"/>
          <w:spacing w:val="15"/>
          <w:w w:val="105"/>
        </w:rPr>
        <w:t> </w:t>
      </w:r>
      <w:r>
        <w:rPr>
          <w:color w:val="231F20"/>
          <w:w w:val="105"/>
        </w:rPr>
        <w:t>=</w:t>
      </w:r>
      <w:r>
        <w:rPr>
          <w:color w:val="231F20"/>
          <w:spacing w:val="16"/>
          <w:w w:val="105"/>
        </w:rPr>
        <w:t> </w:t>
      </w:r>
      <w:r>
        <w:rPr>
          <w:color w:val="231F20"/>
          <w:spacing w:val="-2"/>
          <w:w w:val="105"/>
        </w:rPr>
        <w:t>millisecond</w:t>
      </w:r>
    </w:p>
    <w:p>
      <w:pPr>
        <w:spacing w:line="427" w:lineRule="auto" w:before="209"/>
        <w:ind w:left="2472" w:right="1849" w:firstLine="0"/>
        <w:jc w:val="left"/>
        <w:rPr>
          <w:sz w:val="20"/>
        </w:rPr>
      </w:pPr>
      <w:r>
        <w:rPr>
          <w:rFonts w:ascii="Book Antiqua"/>
          <w:b/>
          <w:color w:val="231F20"/>
          <w:sz w:val="20"/>
        </w:rPr>
        <w:t>Last</w:t>
      </w:r>
      <w:r>
        <w:rPr>
          <w:rFonts w:ascii="Book Antiqua"/>
          <w:b/>
          <w:color w:val="231F20"/>
          <w:spacing w:val="32"/>
          <w:sz w:val="20"/>
        </w:rPr>
        <w:t> </w:t>
      </w:r>
      <w:r>
        <w:rPr>
          <w:rFonts w:ascii="Book Antiqua"/>
          <w:b/>
          <w:color w:val="231F20"/>
          <w:sz w:val="20"/>
        </w:rPr>
        <w:t>Release</w:t>
      </w:r>
      <w:r>
        <w:rPr>
          <w:rFonts w:ascii="Book Antiqua"/>
          <w:b/>
          <w:color w:val="231F20"/>
          <w:spacing w:val="32"/>
          <w:sz w:val="20"/>
        </w:rPr>
        <w:t> </w:t>
      </w:r>
      <w:r>
        <w:rPr>
          <w:color w:val="231F20"/>
          <w:sz w:val="20"/>
        </w:rPr>
        <w:t>The</w:t>
      </w:r>
      <w:r>
        <w:rPr>
          <w:color w:val="231F20"/>
          <w:spacing w:val="32"/>
          <w:sz w:val="20"/>
        </w:rPr>
        <w:t> </w:t>
      </w:r>
      <w:r>
        <w:rPr>
          <w:color w:val="231F20"/>
          <w:sz w:val="20"/>
        </w:rPr>
        <w:t>last</w:t>
      </w:r>
      <w:r>
        <w:rPr>
          <w:color w:val="231F20"/>
          <w:spacing w:val="32"/>
          <w:sz w:val="20"/>
        </w:rPr>
        <w:t> </w:t>
      </w:r>
      <w:r>
        <w:rPr>
          <w:color w:val="231F20"/>
          <w:sz w:val="20"/>
        </w:rPr>
        <w:t>release</w:t>
      </w:r>
      <w:r>
        <w:rPr>
          <w:color w:val="231F20"/>
          <w:spacing w:val="32"/>
          <w:sz w:val="20"/>
        </w:rPr>
        <w:t> </w:t>
      </w:r>
      <w:r>
        <w:rPr>
          <w:color w:val="231F20"/>
          <w:sz w:val="20"/>
        </w:rPr>
        <w:t>to</w:t>
      </w:r>
      <w:r>
        <w:rPr>
          <w:color w:val="231F20"/>
          <w:spacing w:val="32"/>
          <w:sz w:val="20"/>
        </w:rPr>
        <w:t> </w:t>
      </w:r>
      <w:r>
        <w:rPr>
          <w:color w:val="231F20"/>
          <w:sz w:val="20"/>
        </w:rPr>
        <w:t>associate</w:t>
      </w:r>
      <w:r>
        <w:rPr>
          <w:color w:val="231F20"/>
          <w:spacing w:val="32"/>
          <w:sz w:val="20"/>
        </w:rPr>
        <w:t> </w:t>
      </w:r>
      <w:r>
        <w:rPr>
          <w:color w:val="231F20"/>
          <w:sz w:val="20"/>
        </w:rPr>
        <w:t>with</w:t>
      </w:r>
      <w:r>
        <w:rPr>
          <w:color w:val="231F20"/>
          <w:spacing w:val="32"/>
          <w:sz w:val="20"/>
        </w:rPr>
        <w:t> </w:t>
      </w:r>
      <w:r>
        <w:rPr>
          <w:color w:val="231F20"/>
          <w:sz w:val="20"/>
        </w:rPr>
        <w:t>the</w:t>
      </w:r>
      <w:r>
        <w:rPr>
          <w:color w:val="231F20"/>
          <w:spacing w:val="32"/>
          <w:sz w:val="20"/>
        </w:rPr>
        <w:t> </w:t>
      </w:r>
      <w:r>
        <w:rPr>
          <w:color w:val="231F20"/>
          <w:sz w:val="20"/>
        </w:rPr>
        <w:t>situation. </w:t>
      </w:r>
      <w:r>
        <w:rPr>
          <w:rFonts w:ascii="Book Antiqua"/>
          <w:b/>
          <w:color w:val="231F20"/>
          <w:sz w:val="20"/>
        </w:rPr>
        <w:t>Last user </w:t>
      </w:r>
      <w:r>
        <w:rPr>
          <w:color w:val="231F20"/>
          <w:sz w:val="20"/>
        </w:rPr>
        <w:t>The user ID of the last person to update the </w:t>
      </w:r>
      <w:r>
        <w:rPr>
          <w:color w:val="231F20"/>
          <w:sz w:val="20"/>
        </w:rPr>
        <w:t>situation. </w:t>
      </w:r>
      <w:r>
        <w:rPr>
          <w:rFonts w:ascii="Book Antiqua"/>
          <w:b/>
          <w:color w:val="231F20"/>
          <w:sz w:val="20"/>
        </w:rPr>
        <w:t>Location Flag </w:t>
      </w:r>
      <w:r>
        <w:rPr>
          <w:color w:val="231F20"/>
          <w:sz w:val="20"/>
        </w:rPr>
        <w:t>The location flag identifier.</w:t>
      </w:r>
    </w:p>
    <w:p>
      <w:pPr>
        <w:spacing w:line="427" w:lineRule="auto" w:before="0"/>
        <w:ind w:left="2472" w:right="3435" w:firstLine="0"/>
        <w:jc w:val="both"/>
        <w:rPr>
          <w:sz w:val="20"/>
        </w:rPr>
      </w:pPr>
      <w:r>
        <w:rPr>
          <w:rFonts w:ascii="Book Antiqua"/>
          <w:b/>
          <w:color w:val="231F20"/>
          <w:sz w:val="20"/>
        </w:rPr>
        <w:t>NOCOL </w:t>
      </w:r>
      <w:r>
        <w:rPr>
          <w:color w:val="231F20"/>
          <w:sz w:val="20"/>
        </w:rPr>
        <w:t>Whether this is a no column attribute. </w:t>
      </w:r>
      <w:r>
        <w:rPr>
          <w:rFonts w:ascii="Book Antiqua"/>
          <w:b/>
          <w:color w:val="231F20"/>
          <w:sz w:val="20"/>
        </w:rPr>
        <w:t>Notify Arguments </w:t>
      </w:r>
      <w:r>
        <w:rPr>
          <w:color w:val="231F20"/>
          <w:sz w:val="20"/>
        </w:rPr>
        <w:t>Any notification </w:t>
      </w:r>
      <w:r>
        <w:rPr>
          <w:color w:val="231F20"/>
          <w:sz w:val="20"/>
        </w:rPr>
        <w:t>arguments. </w:t>
      </w:r>
      <w:r>
        <w:rPr>
          <w:rFonts w:ascii="Book Antiqua"/>
          <w:b/>
          <w:color w:val="231F20"/>
          <w:sz w:val="20"/>
        </w:rPr>
        <w:t>Notify Options </w:t>
      </w:r>
      <w:r>
        <w:rPr>
          <w:color w:val="231F20"/>
          <w:sz w:val="20"/>
        </w:rPr>
        <w:t>Any notification options.</w:t>
      </w:r>
    </w:p>
    <w:p>
      <w:pPr>
        <w:spacing w:line="266" w:lineRule="exact" w:before="0"/>
        <w:ind w:left="2472" w:right="0" w:firstLine="0"/>
        <w:jc w:val="both"/>
        <w:rPr>
          <w:sz w:val="20"/>
        </w:rPr>
      </w:pPr>
      <w:r>
        <w:rPr>
          <w:rFonts w:ascii="Book Antiqua"/>
          <w:b/>
          <w:color w:val="231F20"/>
          <w:sz w:val="20"/>
        </w:rPr>
        <w:t>Object</w:t>
      </w:r>
      <w:r>
        <w:rPr>
          <w:rFonts w:ascii="Book Antiqua"/>
          <w:b/>
          <w:color w:val="231F20"/>
          <w:spacing w:val="11"/>
          <w:sz w:val="20"/>
        </w:rPr>
        <w:t> </w:t>
      </w:r>
      <w:r>
        <w:rPr>
          <w:rFonts w:ascii="Book Antiqua"/>
          <w:b/>
          <w:color w:val="231F20"/>
          <w:sz w:val="20"/>
        </w:rPr>
        <w:t>Lock</w:t>
      </w:r>
      <w:r>
        <w:rPr>
          <w:rFonts w:ascii="Book Antiqua"/>
          <w:b/>
          <w:color w:val="231F20"/>
          <w:spacing w:val="11"/>
          <w:sz w:val="20"/>
        </w:rPr>
        <w:t> </w:t>
      </w:r>
      <w:r>
        <w:rPr>
          <w:color w:val="231F20"/>
          <w:sz w:val="20"/>
        </w:rPr>
        <w:t>The</w:t>
      </w:r>
      <w:r>
        <w:rPr>
          <w:color w:val="231F20"/>
          <w:spacing w:val="11"/>
          <w:sz w:val="20"/>
        </w:rPr>
        <w:t> </w:t>
      </w:r>
      <w:r>
        <w:rPr>
          <w:color w:val="231F20"/>
          <w:sz w:val="20"/>
        </w:rPr>
        <w:t>object</w:t>
      </w:r>
      <w:r>
        <w:rPr>
          <w:color w:val="231F20"/>
          <w:spacing w:val="11"/>
          <w:sz w:val="20"/>
        </w:rPr>
        <w:t> </w:t>
      </w:r>
      <w:r>
        <w:rPr>
          <w:color w:val="231F20"/>
          <w:spacing w:val="-4"/>
          <w:sz w:val="20"/>
        </w:rPr>
        <w:t>lock.</w:t>
      </w:r>
    </w:p>
    <w:p>
      <w:pPr>
        <w:pStyle w:val="BodyText"/>
        <w:spacing w:line="213" w:lineRule="auto" w:before="228"/>
        <w:ind w:left="2472"/>
      </w:pPr>
      <w:r>
        <w:rPr>
          <w:rFonts w:ascii="Book Antiqua"/>
          <w:b/>
          <w:color w:val="231F20"/>
        </w:rPr>
        <w:t>Predicate </w:t>
      </w:r>
      <w:r>
        <w:rPr>
          <w:color w:val="231F20"/>
        </w:rPr>
        <w:t>The formula, including the detailed names of the attribute group </w:t>
      </w:r>
      <w:r>
        <w:rPr>
          <w:color w:val="231F20"/>
        </w:rPr>
        <w:t>and attributes. .</w:t>
      </w:r>
    </w:p>
    <w:p>
      <w:pPr>
        <w:spacing w:line="427" w:lineRule="auto" w:before="215"/>
        <w:ind w:left="2472" w:right="2478" w:firstLine="0"/>
        <w:jc w:val="left"/>
        <w:rPr>
          <w:sz w:val="20"/>
        </w:rPr>
      </w:pPr>
      <w:r>
        <w:rPr>
          <w:rFonts w:ascii="Book Antiqua"/>
          <w:b/>
          <w:color w:val="231F20"/>
          <w:sz w:val="20"/>
        </w:rPr>
        <w:t>QIBCLASSID </w:t>
      </w:r>
      <w:r>
        <w:rPr>
          <w:color w:val="231F20"/>
          <w:sz w:val="20"/>
        </w:rPr>
        <w:t>The query information base class ID. </w:t>
      </w:r>
      <w:r>
        <w:rPr>
          <w:rFonts w:ascii="Book Antiqua"/>
          <w:b/>
          <w:color w:val="231F20"/>
          <w:sz w:val="20"/>
        </w:rPr>
        <w:t>QIBSCOPE </w:t>
      </w:r>
      <w:r>
        <w:rPr>
          <w:color w:val="231F20"/>
          <w:sz w:val="20"/>
        </w:rPr>
        <w:t>The scope of the query information base. </w:t>
      </w:r>
      <w:r>
        <w:rPr>
          <w:rFonts w:ascii="Book Antiqua"/>
          <w:b/>
          <w:color w:val="231F20"/>
          <w:sz w:val="20"/>
        </w:rPr>
        <w:t>Reflex</w:t>
      </w:r>
      <w:r>
        <w:rPr>
          <w:rFonts w:ascii="Book Antiqua"/>
          <w:b/>
          <w:color w:val="231F20"/>
          <w:spacing w:val="10"/>
          <w:sz w:val="20"/>
        </w:rPr>
        <w:t> </w:t>
      </w:r>
      <w:r>
        <w:rPr>
          <w:rFonts w:ascii="Book Antiqua"/>
          <w:b/>
          <w:color w:val="231F20"/>
          <w:sz w:val="20"/>
        </w:rPr>
        <w:t>OK</w:t>
      </w:r>
      <w:r>
        <w:rPr>
          <w:rFonts w:ascii="Book Antiqua"/>
          <w:b/>
          <w:color w:val="231F20"/>
          <w:spacing w:val="11"/>
          <w:sz w:val="20"/>
        </w:rPr>
        <w:t> </w:t>
      </w:r>
      <w:r>
        <w:rPr>
          <w:color w:val="231F20"/>
          <w:sz w:val="20"/>
        </w:rPr>
        <w:t>Whether</w:t>
      </w:r>
      <w:r>
        <w:rPr>
          <w:color w:val="231F20"/>
          <w:spacing w:val="11"/>
          <w:sz w:val="20"/>
        </w:rPr>
        <w:t> </w:t>
      </w:r>
      <w:r>
        <w:rPr>
          <w:color w:val="231F20"/>
          <w:sz w:val="20"/>
        </w:rPr>
        <w:t>an</w:t>
      </w:r>
      <w:r>
        <w:rPr>
          <w:color w:val="231F20"/>
          <w:spacing w:val="11"/>
          <w:sz w:val="20"/>
        </w:rPr>
        <w:t> </w:t>
      </w:r>
      <w:r>
        <w:rPr>
          <w:color w:val="231F20"/>
          <w:sz w:val="20"/>
        </w:rPr>
        <w:t>action</w:t>
      </w:r>
      <w:r>
        <w:rPr>
          <w:color w:val="231F20"/>
          <w:spacing w:val="11"/>
          <w:sz w:val="20"/>
        </w:rPr>
        <w:t> </w:t>
      </w:r>
      <w:r>
        <w:rPr>
          <w:color w:val="231F20"/>
          <w:sz w:val="20"/>
        </w:rPr>
        <w:t>command</w:t>
      </w:r>
      <w:r>
        <w:rPr>
          <w:color w:val="231F20"/>
          <w:spacing w:val="11"/>
          <w:sz w:val="20"/>
        </w:rPr>
        <w:t> </w:t>
      </w:r>
      <w:r>
        <w:rPr>
          <w:color w:val="231F20"/>
          <w:sz w:val="20"/>
        </w:rPr>
        <w:t>has</w:t>
      </w:r>
      <w:r>
        <w:rPr>
          <w:color w:val="231F20"/>
          <w:spacing w:val="11"/>
          <w:sz w:val="20"/>
        </w:rPr>
        <w:t> </w:t>
      </w:r>
      <w:r>
        <w:rPr>
          <w:color w:val="231F20"/>
          <w:sz w:val="20"/>
        </w:rPr>
        <w:t>been</w:t>
      </w:r>
      <w:r>
        <w:rPr>
          <w:color w:val="231F20"/>
          <w:spacing w:val="11"/>
          <w:sz w:val="20"/>
        </w:rPr>
        <w:t> </w:t>
      </w:r>
      <w:r>
        <w:rPr>
          <w:color w:val="231F20"/>
          <w:spacing w:val="-4"/>
          <w:sz w:val="20"/>
        </w:rPr>
        <w:t>set.</w:t>
      </w:r>
    </w:p>
    <w:p>
      <w:pPr>
        <w:pStyle w:val="BodyText"/>
        <w:spacing w:line="213" w:lineRule="auto" w:before="19"/>
        <w:ind w:left="2472" w:right="545"/>
      </w:pPr>
      <w:r>
        <w:rPr>
          <w:rFonts w:ascii="Book Antiqua"/>
          <w:b/>
          <w:color w:val="231F20"/>
        </w:rPr>
        <w:t>Send Message Q </w:t>
      </w:r>
      <w:r>
        <w:rPr>
          <w:color w:val="231F20"/>
        </w:rPr>
        <w:t>The universal message that will be sent when the situation </w:t>
      </w:r>
      <w:r>
        <w:rPr>
          <w:color w:val="231F20"/>
        </w:rPr>
        <w:t>is </w:t>
      </w:r>
      <w:r>
        <w:rPr>
          <w:color w:val="231F20"/>
          <w:spacing w:val="-2"/>
        </w:rPr>
        <w:t>true.</w:t>
      </w:r>
    </w:p>
    <w:p>
      <w:pPr>
        <w:pStyle w:val="BodyText"/>
        <w:spacing w:before="215"/>
        <w:ind w:left="2472"/>
      </w:pPr>
      <w:r>
        <w:rPr>
          <w:rFonts w:ascii="Book Antiqua"/>
          <w:b/>
          <w:color w:val="231F20"/>
        </w:rPr>
        <w:t>Sit</w:t>
      </w:r>
      <w:r>
        <w:rPr>
          <w:rFonts w:ascii="Book Antiqua"/>
          <w:b/>
          <w:color w:val="231F20"/>
          <w:spacing w:val="11"/>
        </w:rPr>
        <w:t> </w:t>
      </w:r>
      <w:r>
        <w:rPr>
          <w:rFonts w:ascii="Book Antiqua"/>
          <w:b/>
          <w:color w:val="231F20"/>
        </w:rPr>
        <w:t>Info</w:t>
      </w:r>
      <w:r>
        <w:rPr>
          <w:rFonts w:ascii="Book Antiqua"/>
          <w:b/>
          <w:color w:val="231F20"/>
          <w:spacing w:val="11"/>
        </w:rPr>
        <w:t> </w:t>
      </w:r>
      <w:r>
        <w:rPr>
          <w:color w:val="231F20"/>
        </w:rPr>
        <w:t>Any</w:t>
      </w:r>
      <w:r>
        <w:rPr>
          <w:color w:val="231F20"/>
          <w:spacing w:val="11"/>
        </w:rPr>
        <w:t> </w:t>
      </w:r>
      <w:r>
        <w:rPr>
          <w:color w:val="231F20"/>
        </w:rPr>
        <w:t>other</w:t>
      </w:r>
      <w:r>
        <w:rPr>
          <w:color w:val="231F20"/>
          <w:spacing w:val="11"/>
        </w:rPr>
        <w:t> </w:t>
      </w:r>
      <w:r>
        <w:rPr>
          <w:color w:val="231F20"/>
        </w:rPr>
        <w:t>information</w:t>
      </w:r>
      <w:r>
        <w:rPr>
          <w:color w:val="231F20"/>
          <w:spacing w:val="12"/>
        </w:rPr>
        <w:t> </w:t>
      </w:r>
      <w:r>
        <w:rPr>
          <w:color w:val="231F20"/>
        </w:rPr>
        <w:t>about</w:t>
      </w:r>
      <w:r>
        <w:rPr>
          <w:color w:val="231F20"/>
          <w:spacing w:val="11"/>
        </w:rPr>
        <w:t> </w:t>
      </w:r>
      <w:r>
        <w:rPr>
          <w:color w:val="231F20"/>
        </w:rPr>
        <w:t>the</w:t>
      </w:r>
      <w:r>
        <w:rPr>
          <w:color w:val="231F20"/>
          <w:spacing w:val="11"/>
        </w:rPr>
        <w:t> </w:t>
      </w:r>
      <w:r>
        <w:rPr>
          <w:color w:val="231F20"/>
          <w:spacing w:val="-2"/>
        </w:rPr>
        <w:t>situation.</w:t>
      </w:r>
    </w:p>
    <w:p>
      <w:pPr>
        <w:spacing w:before="209"/>
        <w:ind w:left="2472" w:right="0" w:firstLine="0"/>
        <w:jc w:val="left"/>
        <w:rPr>
          <w:sz w:val="20"/>
        </w:rPr>
      </w:pPr>
      <w:r>
        <w:rPr>
          <w:rFonts w:ascii="Book Antiqua"/>
          <w:b/>
          <w:color w:val="231F20"/>
          <w:sz w:val="20"/>
        </w:rPr>
        <w:t>Situation</w:t>
      </w:r>
      <w:r>
        <w:rPr>
          <w:rFonts w:ascii="Book Antiqua"/>
          <w:b/>
          <w:color w:val="231F20"/>
          <w:spacing w:val="10"/>
          <w:sz w:val="20"/>
        </w:rPr>
        <w:t> </w:t>
      </w:r>
      <w:r>
        <w:rPr>
          <w:rFonts w:ascii="Book Antiqua"/>
          <w:b/>
          <w:color w:val="231F20"/>
          <w:sz w:val="20"/>
        </w:rPr>
        <w:t>Name</w:t>
      </w:r>
      <w:r>
        <w:rPr>
          <w:rFonts w:ascii="Book Antiqua"/>
          <w:b/>
          <w:color w:val="231F20"/>
          <w:spacing w:val="11"/>
          <w:sz w:val="20"/>
        </w:rPr>
        <w:t> </w:t>
      </w:r>
      <w:r>
        <w:rPr>
          <w:color w:val="231F20"/>
          <w:sz w:val="20"/>
        </w:rPr>
        <w:t>The</w:t>
      </w:r>
      <w:r>
        <w:rPr>
          <w:color w:val="231F20"/>
          <w:spacing w:val="11"/>
          <w:sz w:val="20"/>
        </w:rPr>
        <w:t> </w:t>
      </w:r>
      <w:r>
        <w:rPr>
          <w:color w:val="231F20"/>
          <w:sz w:val="20"/>
        </w:rPr>
        <w:t>unique</w:t>
      </w:r>
      <w:r>
        <w:rPr>
          <w:color w:val="231F20"/>
          <w:spacing w:val="11"/>
          <w:sz w:val="20"/>
        </w:rPr>
        <w:t> </w:t>
      </w:r>
      <w:r>
        <w:rPr>
          <w:color w:val="231F20"/>
          <w:sz w:val="20"/>
        </w:rPr>
        <w:t>identifier</w:t>
      </w:r>
      <w:r>
        <w:rPr>
          <w:color w:val="231F20"/>
          <w:spacing w:val="11"/>
          <w:sz w:val="20"/>
        </w:rPr>
        <w:t> </w:t>
      </w:r>
      <w:r>
        <w:rPr>
          <w:color w:val="231F20"/>
          <w:sz w:val="20"/>
        </w:rPr>
        <w:t>given</w:t>
      </w:r>
      <w:r>
        <w:rPr>
          <w:color w:val="231F20"/>
          <w:spacing w:val="11"/>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1"/>
          <w:sz w:val="20"/>
        </w:rPr>
        <w:t> </w:t>
      </w:r>
      <w:r>
        <w:rPr>
          <w:color w:val="231F20"/>
          <w:sz w:val="20"/>
        </w:rPr>
        <w:t>or</w:t>
      </w:r>
      <w:r>
        <w:rPr>
          <w:color w:val="231F20"/>
          <w:spacing w:val="11"/>
          <w:sz w:val="20"/>
        </w:rPr>
        <w:t> </w:t>
      </w:r>
      <w:r>
        <w:rPr>
          <w:color w:val="231F20"/>
          <w:spacing w:val="-2"/>
          <w:sz w:val="20"/>
        </w:rPr>
        <w:t>policy.</w:t>
      </w:r>
    </w:p>
    <w:p>
      <w:pPr>
        <w:pStyle w:val="BodyText"/>
        <w:spacing w:line="213" w:lineRule="auto" w:before="232"/>
        <w:ind w:left="2472" w:right="545"/>
      </w:pPr>
      <w:r>
        <w:rPr>
          <w:rFonts w:ascii="Book Antiqua"/>
          <w:b/>
          <w:color w:val="231F20"/>
        </w:rPr>
        <w:t>Full Name </w:t>
      </w:r>
      <w:r>
        <w:rPr>
          <w:color w:val="231F20"/>
        </w:rPr>
        <w:t>The name given to the situation or policy. The name can be up to 256</w:t>
      </w:r>
      <w:r>
        <w:rPr>
          <w:color w:val="231F20"/>
          <w:spacing w:val="40"/>
        </w:rPr>
        <w:t> </w:t>
      </w:r>
      <w:r>
        <w:rPr>
          <w:color w:val="231F20"/>
        </w:rPr>
        <w:t>bytes long.</w:t>
      </w:r>
    </w:p>
    <w:p>
      <w:pPr>
        <w:spacing w:before="215"/>
        <w:ind w:left="2472" w:right="0" w:firstLine="0"/>
        <w:jc w:val="left"/>
        <w:rPr>
          <w:sz w:val="20"/>
        </w:rPr>
      </w:pPr>
      <w:r>
        <w:rPr>
          <w:rFonts w:ascii="Book Antiqua"/>
          <w:b/>
          <w:color w:val="231F20"/>
          <w:sz w:val="20"/>
        </w:rPr>
        <w:t>Source</w:t>
      </w:r>
      <w:r>
        <w:rPr>
          <w:rFonts w:ascii="Book Antiqua"/>
          <w:b/>
          <w:color w:val="231F20"/>
          <w:spacing w:val="10"/>
          <w:sz w:val="20"/>
        </w:rPr>
        <w:t> </w:t>
      </w:r>
      <w:r>
        <w:rPr>
          <w:color w:val="231F20"/>
          <w:sz w:val="20"/>
        </w:rPr>
        <w:t>The</w:t>
      </w:r>
      <w:r>
        <w:rPr>
          <w:color w:val="231F20"/>
          <w:spacing w:val="10"/>
          <w:sz w:val="20"/>
        </w:rPr>
        <w:t> </w:t>
      </w:r>
      <w:r>
        <w:rPr>
          <w:color w:val="231F20"/>
          <w:sz w:val="20"/>
        </w:rPr>
        <w:t>situation</w:t>
      </w:r>
      <w:r>
        <w:rPr>
          <w:color w:val="231F20"/>
          <w:spacing w:val="10"/>
          <w:sz w:val="20"/>
        </w:rPr>
        <w:t> </w:t>
      </w:r>
      <w:r>
        <w:rPr>
          <w:color w:val="231F20"/>
          <w:spacing w:val="-2"/>
          <w:sz w:val="20"/>
        </w:rPr>
        <w:t>source.</w:t>
      </w:r>
    </w:p>
    <w:p>
      <w:pPr>
        <w:pStyle w:val="BodyText"/>
        <w:rPr>
          <w:sz w:val="16"/>
        </w:rPr>
      </w:pPr>
      <w:r>
        <w:rPr/>
        <mc:AlternateContent>
          <mc:Choice Requires="wps">
            <w:drawing>
              <wp:anchor distT="0" distB="0" distL="0" distR="0" allowOverlap="1" layoutInCell="1" locked="0" behindDoc="1" simplePos="0" relativeHeight="487757312">
                <wp:simplePos x="0" y="0"/>
                <wp:positionH relativeFrom="page">
                  <wp:posOffset>912380</wp:posOffset>
                </wp:positionH>
                <wp:positionV relativeFrom="paragraph">
                  <wp:posOffset>152439</wp:posOffset>
                </wp:positionV>
                <wp:extent cx="6082665" cy="1270"/>
                <wp:effectExtent l="0" t="0" r="0" b="0"/>
                <wp:wrapTopAndBottom/>
                <wp:docPr id="3407" name="Graphic 3407"/>
                <wp:cNvGraphicFramePr>
                  <a:graphicFrameLocks/>
                </wp:cNvGraphicFramePr>
                <a:graphic>
                  <a:graphicData uri="http://schemas.microsoft.com/office/word/2010/wordprocessingShape">
                    <wps:wsp>
                      <wps:cNvPr id="3407" name="Graphic 340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03111pt;width:478.95pt;height:.1pt;mso-position-horizontal-relative:page;mso-position-vertical-relative:paragraph;z-index:-15559168;mso-wrap-distance-left:0;mso-wrap-distance-right:0" id="docshape299"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Situation State Event attributes" w:id="725"/>
      <w:bookmarkEnd w:id="725"/>
      <w:r>
        <w:rPr>
          <w:b w:val="0"/>
        </w:rPr>
      </w:r>
      <w:r>
        <w:rPr>
          <w:color w:val="231F20"/>
        </w:rPr>
        <w:t>Situation</w:t>
      </w:r>
      <w:r>
        <w:rPr>
          <w:color w:val="231F20"/>
          <w:spacing w:val="6"/>
        </w:rPr>
        <w:t> </w:t>
      </w:r>
      <w:r>
        <w:rPr>
          <w:color w:val="231F20"/>
        </w:rPr>
        <w:t>State</w:t>
      </w:r>
      <w:r>
        <w:rPr>
          <w:color w:val="231F20"/>
          <w:spacing w:val="6"/>
        </w:rPr>
        <w:t> </w:t>
      </w:r>
      <w:r>
        <w:rPr>
          <w:color w:val="231F20"/>
        </w:rPr>
        <w:t>Event</w:t>
      </w:r>
      <w:r>
        <w:rPr>
          <w:color w:val="231F20"/>
          <w:spacing w:val="6"/>
        </w:rPr>
        <w:t> </w:t>
      </w:r>
      <w:r>
        <w:rPr>
          <w:color w:val="231F20"/>
          <w:spacing w:val="-2"/>
        </w:rPr>
        <w:t>attributes</w:t>
      </w:r>
    </w:p>
    <w:p>
      <w:pPr>
        <w:pStyle w:val="BodyText"/>
        <w:spacing w:line="213" w:lineRule="auto" w:before="138"/>
        <w:ind w:left="2472" w:right="292"/>
      </w:pPr>
      <w:r>
        <w:rPr>
          <w:color w:val="231F20"/>
        </w:rPr>
        <w:t>The Situation Event attributes collect status information on situation events. </w:t>
      </w:r>
      <w:r>
        <w:rPr>
          <w:color w:val="231F20"/>
        </w:rPr>
        <w:t>Views that display this information include My Acknowledged Events, Selected Event,</w:t>
      </w:r>
      <w:r>
        <w:rPr>
          <w:color w:val="231F20"/>
          <w:spacing w:val="40"/>
        </w:rPr>
        <w:t> </w:t>
      </w:r>
      <w:r>
        <w:rPr>
          <w:color w:val="231F20"/>
        </w:rPr>
        <w:t>and Similar Events and comprise some of the predefined workspaces for the Enterprise Navigator item.</w:t>
      </w:r>
    </w:p>
    <w:p>
      <w:pPr>
        <w:spacing w:before="214"/>
        <w:ind w:left="2472" w:right="0" w:firstLine="0"/>
        <w:jc w:val="left"/>
        <w:rPr>
          <w:sz w:val="20"/>
        </w:rPr>
      </w:pPr>
      <w:r>
        <w:rPr>
          <w:rFonts w:ascii="Book Antiqua"/>
          <w:b/>
          <w:color w:val="231F20"/>
          <w:sz w:val="20"/>
        </w:rPr>
        <w:t>Affinities</w:t>
      </w:r>
      <w:r>
        <w:rPr>
          <w:rFonts w:ascii="Book Antiqua"/>
          <w:b/>
          <w:color w:val="231F20"/>
          <w:spacing w:val="7"/>
          <w:sz w:val="20"/>
        </w:rPr>
        <w:t> </w:t>
      </w:r>
      <w:r>
        <w:rPr>
          <w:color w:val="231F20"/>
          <w:sz w:val="20"/>
        </w:rPr>
        <w:t>The</w:t>
      </w:r>
      <w:r>
        <w:rPr>
          <w:color w:val="231F20"/>
          <w:spacing w:val="7"/>
          <w:sz w:val="20"/>
        </w:rPr>
        <w:t> </w:t>
      </w:r>
      <w:r>
        <w:rPr>
          <w:color w:val="231F20"/>
          <w:sz w:val="20"/>
        </w:rPr>
        <w:t>affinity</w:t>
      </w:r>
      <w:r>
        <w:rPr>
          <w:color w:val="231F20"/>
          <w:spacing w:val="7"/>
          <w:sz w:val="20"/>
        </w:rPr>
        <w:t> </w:t>
      </w:r>
      <w:r>
        <w:rPr>
          <w:color w:val="231F20"/>
          <w:spacing w:val="-2"/>
          <w:sz w:val="20"/>
        </w:rPr>
        <w:t>identifier.</w:t>
      </w:r>
    </w:p>
    <w:p>
      <w:pPr>
        <w:pStyle w:val="BodyText"/>
        <w:spacing w:line="213" w:lineRule="auto" w:before="232"/>
        <w:ind w:left="2472" w:right="308"/>
      </w:pPr>
      <w:r>
        <w:rPr>
          <w:rFonts w:ascii="Book Antiqua"/>
          <w:b/>
          <w:color w:val="231F20"/>
        </w:rPr>
        <w:t>Close Indicator </w:t>
      </w:r>
      <w:r>
        <w:rPr>
          <w:color w:val="231F20"/>
        </w:rPr>
        <w:t>The close indicator for conveying how the event was closed, </w:t>
      </w:r>
      <w:r>
        <w:rPr>
          <w:color w:val="231F20"/>
        </w:rPr>
        <w:t>such as</w:t>
      </w:r>
      <w:r>
        <w:rPr>
          <w:color w:val="231F20"/>
          <w:spacing w:val="21"/>
        </w:rPr>
        <w:t> </w:t>
      </w:r>
      <w:r>
        <w:rPr>
          <w:color w:val="231F20"/>
        </w:rPr>
        <w:t>closed</w:t>
      </w:r>
      <w:r>
        <w:rPr>
          <w:color w:val="231F20"/>
          <w:spacing w:val="21"/>
        </w:rPr>
        <w:t> </w:t>
      </w:r>
      <w:r>
        <w:rPr>
          <w:color w:val="231F20"/>
        </w:rPr>
        <w:t>by</w:t>
      </w:r>
      <w:r>
        <w:rPr>
          <w:color w:val="231F20"/>
          <w:spacing w:val="21"/>
        </w:rPr>
        <w:t> </w:t>
      </w:r>
      <w:r>
        <w:rPr>
          <w:color w:val="231F20"/>
        </w:rPr>
        <w:t>a</w:t>
      </w:r>
      <w:r>
        <w:rPr>
          <w:color w:val="231F20"/>
          <w:spacing w:val="21"/>
        </w:rPr>
        <w:t> </w:t>
      </w:r>
      <w:r>
        <w:rPr>
          <w:color w:val="231F20"/>
        </w:rPr>
        <w:t>user</w:t>
      </w:r>
      <w:r>
        <w:rPr>
          <w:color w:val="231F20"/>
          <w:spacing w:val="21"/>
        </w:rPr>
        <w:t> </w:t>
      </w:r>
      <w:r>
        <w:rPr>
          <w:color w:val="231F20"/>
        </w:rPr>
        <w:t>or</w:t>
      </w:r>
      <w:r>
        <w:rPr>
          <w:color w:val="231F20"/>
          <w:spacing w:val="21"/>
        </w:rPr>
        <w:t> </w:t>
      </w:r>
      <w:r>
        <w:rPr>
          <w:color w:val="231F20"/>
        </w:rPr>
        <w:t>by</w:t>
      </w:r>
      <w:r>
        <w:rPr>
          <w:color w:val="231F20"/>
          <w:spacing w:val="21"/>
        </w:rPr>
        <w:t> </w:t>
      </w:r>
      <w:r>
        <w:rPr>
          <w:color w:val="231F20"/>
        </w:rPr>
        <w:t>a</w:t>
      </w:r>
      <w:r>
        <w:rPr>
          <w:color w:val="231F20"/>
          <w:spacing w:val="21"/>
        </w:rPr>
        <w:t> </w:t>
      </w:r>
      <w:r>
        <w:rPr>
          <w:color w:val="231F20"/>
        </w:rPr>
        <w:t>process</w:t>
      </w:r>
      <w:r>
        <w:rPr>
          <w:color w:val="231F20"/>
          <w:spacing w:val="21"/>
        </w:rPr>
        <w:t> </w:t>
      </w:r>
      <w:r>
        <w:rPr>
          <w:color w:val="231F20"/>
        </w:rPr>
        <w:t>and</w:t>
      </w:r>
      <w:r>
        <w:rPr>
          <w:color w:val="231F20"/>
          <w:spacing w:val="21"/>
        </w:rPr>
        <w:t> </w:t>
      </w:r>
      <w:r>
        <w:rPr>
          <w:color w:val="231F20"/>
        </w:rPr>
        <w:t>whether</w:t>
      </w:r>
      <w:r>
        <w:rPr>
          <w:color w:val="231F20"/>
          <w:spacing w:val="21"/>
        </w:rPr>
        <w:t> </w:t>
      </w:r>
      <w:r>
        <w:rPr>
          <w:color w:val="231F20"/>
        </w:rPr>
        <w:t>the</w:t>
      </w:r>
      <w:r>
        <w:rPr>
          <w:color w:val="231F20"/>
          <w:spacing w:val="21"/>
        </w:rPr>
        <w:t> </w:t>
      </w:r>
      <w:r>
        <w:rPr>
          <w:color w:val="231F20"/>
        </w:rPr>
        <w:t>event</w:t>
      </w:r>
      <w:r>
        <w:rPr>
          <w:color w:val="231F20"/>
          <w:spacing w:val="21"/>
        </w:rPr>
        <w:t> </w:t>
      </w:r>
      <w:r>
        <w:rPr>
          <w:color w:val="231F20"/>
        </w:rPr>
        <w:t>record</w:t>
      </w:r>
      <w:r>
        <w:rPr>
          <w:color w:val="231F20"/>
          <w:spacing w:val="21"/>
        </w:rPr>
        <w:t> </w:t>
      </w:r>
      <w:r>
        <w:rPr>
          <w:color w:val="231F20"/>
        </w:rPr>
        <w:t>contains</w:t>
      </w:r>
      <w:r>
        <w:rPr>
          <w:color w:val="231F20"/>
          <w:spacing w:val="21"/>
        </w:rPr>
        <w:t> </w:t>
      </w:r>
      <w:r>
        <w:rPr>
          <w:color w:val="231F20"/>
        </w:rPr>
        <w:t>notes.</w:t>
      </w:r>
    </w:p>
    <w:p>
      <w:pPr>
        <w:pStyle w:val="BodyText"/>
        <w:spacing w:line="213" w:lineRule="auto" w:before="238"/>
        <w:ind w:left="2472"/>
      </w:pPr>
      <w:r>
        <w:rPr>
          <w:rFonts w:ascii="Book Antiqua"/>
          <w:b/>
          <w:color w:val="231F20"/>
        </w:rPr>
        <w:t>Close Time </w:t>
      </w:r>
      <w:r>
        <w:rPr>
          <w:color w:val="231F20"/>
        </w:rPr>
        <w:t>Not in use. The time at the hub monitoring server when the event </w:t>
      </w:r>
      <w:r>
        <w:rPr>
          <w:color w:val="231F20"/>
        </w:rPr>
        <w:t>was </w:t>
      </w:r>
      <w:r>
        <w:rPr>
          <w:color w:val="231F20"/>
          <w:spacing w:val="-2"/>
        </w:rPr>
        <w:t>closed.</w:t>
      </w:r>
    </w:p>
    <w:p>
      <w:pPr>
        <w:spacing w:after="0" w:line="213" w:lineRule="auto"/>
        <w:sectPr>
          <w:pgSz w:w="12240" w:h="15840"/>
          <w:pgMar w:header="0" w:footer="736" w:top="1180" w:bottom="920" w:left="1000" w:right="1060"/>
        </w:sectPr>
      </w:pPr>
    </w:p>
    <w:p>
      <w:pPr>
        <w:pStyle w:val="BodyText"/>
        <w:spacing w:line="213" w:lineRule="auto" w:before="85"/>
        <w:ind w:left="2232" w:right="545"/>
      </w:pPr>
      <w:r>
        <w:rPr>
          <w:rFonts w:ascii="Book Antiqua"/>
          <w:b/>
          <w:color w:val="231F20"/>
        </w:rPr>
        <w:t>Display Item </w:t>
      </w:r>
      <w:r>
        <w:rPr>
          <w:color w:val="231F20"/>
        </w:rPr>
        <w:t>For multiple-row attribute groups, enables the situation to continue sampling rows with a different display item than the one that caused the situation</w:t>
      </w:r>
      <w:r>
        <w:rPr>
          <w:color w:val="231F20"/>
          <w:spacing w:val="40"/>
        </w:rPr>
        <w:t> </w:t>
      </w:r>
      <w:r>
        <w:rPr>
          <w:color w:val="231F20"/>
        </w:rPr>
        <w:t>to become true.</w:t>
      </w:r>
    </w:p>
    <w:p>
      <w:pPr>
        <w:pStyle w:val="BodyText"/>
        <w:spacing w:line="213" w:lineRule="auto" w:before="237"/>
        <w:ind w:left="2232" w:right="545"/>
      </w:pPr>
      <w:r>
        <w:rPr>
          <w:rFonts w:ascii="Book Antiqua"/>
          <w:b/>
          <w:color w:val="231F20"/>
        </w:rPr>
        <w:t>Expiration Interval </w:t>
      </w:r>
      <w:r>
        <w:rPr>
          <w:color w:val="231F20"/>
        </w:rPr>
        <w:t>The length of time assigned to keep an acknowledgement </w:t>
      </w:r>
      <w:r>
        <w:rPr>
          <w:color w:val="231F20"/>
        </w:rPr>
        <w:t>open before it expires automatically. Valid values are four digits.</w:t>
      </w:r>
    </w:p>
    <w:p>
      <w:pPr>
        <w:pStyle w:val="BodyText"/>
        <w:spacing w:line="213" w:lineRule="auto" w:before="238"/>
        <w:ind w:left="2232" w:right="545"/>
      </w:pPr>
      <w:r>
        <w:rPr>
          <w:rFonts w:ascii="Book Antiqua"/>
          <w:b/>
          <w:color w:val="231F20"/>
        </w:rPr>
        <w:t>Expiration Time </w:t>
      </w:r>
      <w:r>
        <w:rPr>
          <w:color w:val="231F20"/>
        </w:rPr>
        <w:t>The time that the acknowledgement is scheduled to expire. </w:t>
      </w:r>
      <w:r>
        <w:rPr>
          <w:color w:val="231F20"/>
        </w:rPr>
        <w:t>Valid values</w:t>
      </w:r>
      <w:r>
        <w:rPr>
          <w:color w:val="231F20"/>
          <w:spacing w:val="40"/>
        </w:rPr>
        <w:t> </w:t>
      </w:r>
      <w:r>
        <w:rPr>
          <w:color w:val="231F20"/>
        </w:rPr>
        <w:t>follow</w:t>
      </w:r>
      <w:r>
        <w:rPr>
          <w:color w:val="231F20"/>
          <w:spacing w:val="40"/>
        </w:rPr>
        <w:t> </w:t>
      </w:r>
      <w:r>
        <w:rPr>
          <w:color w:val="231F20"/>
        </w:rPr>
        <w:t>the</w:t>
      </w:r>
      <w:r>
        <w:rPr>
          <w:color w:val="231F20"/>
          <w:spacing w:val="40"/>
        </w:rPr>
        <w:t> </w:t>
      </w:r>
      <w:r>
        <w:rPr>
          <w:color w:val="231F20"/>
        </w:rPr>
        <w:t>MM/DD/YY</w:t>
      </w:r>
      <w:r>
        <w:rPr>
          <w:color w:val="231F20"/>
          <w:spacing w:val="40"/>
        </w:rPr>
        <w:t> </w:t>
      </w:r>
      <w:r>
        <w:rPr>
          <w:color w:val="231F20"/>
        </w:rPr>
        <w:t>HH:MM:SS</w:t>
      </w:r>
      <w:r>
        <w:rPr>
          <w:color w:val="231F20"/>
          <w:spacing w:val="40"/>
        </w:rPr>
        <w:t> </w:t>
      </w:r>
      <w:r>
        <w:rPr>
          <w:color w:val="231F20"/>
        </w:rPr>
        <w:t>format,</w:t>
      </w:r>
      <w:r>
        <w:rPr>
          <w:color w:val="231F20"/>
          <w:spacing w:val="40"/>
        </w:rPr>
        <w:t> </w:t>
      </w:r>
      <w:r>
        <w:rPr>
          <w:color w:val="231F20"/>
        </w:rPr>
        <w:t>as</w:t>
      </w:r>
      <w:r>
        <w:rPr>
          <w:color w:val="231F20"/>
          <w:spacing w:val="40"/>
        </w:rPr>
        <w:t> </w:t>
      </w:r>
      <w:r>
        <w:rPr>
          <w:color w:val="231F20"/>
        </w:rPr>
        <w:t>in</w:t>
      </w:r>
      <w:r>
        <w:rPr>
          <w:color w:val="231F20"/>
          <w:spacing w:val="40"/>
        </w:rPr>
        <w:t> </w:t>
      </w:r>
      <w:r>
        <w:rPr>
          <w:color w:val="231F20"/>
        </w:rPr>
        <w:t>12/30/08</w:t>
      </w:r>
      <w:r>
        <w:rPr>
          <w:color w:val="231F20"/>
          <w:spacing w:val="40"/>
        </w:rPr>
        <w:t> </w:t>
      </w:r>
      <w:r>
        <w:rPr>
          <w:color w:val="231F20"/>
        </w:rPr>
        <w:t>23:59:59.</w:t>
      </w:r>
    </w:p>
    <w:p>
      <w:pPr>
        <w:spacing w:before="215"/>
        <w:ind w:left="2232" w:right="0" w:firstLine="0"/>
        <w:jc w:val="left"/>
        <w:rPr>
          <w:sz w:val="20"/>
        </w:rPr>
      </w:pPr>
      <w:r>
        <w:rPr>
          <w:rFonts w:ascii="Book Antiqua"/>
          <w:b/>
          <w:color w:val="231F20"/>
          <w:sz w:val="20"/>
        </w:rPr>
        <w:t>Full</w:t>
      </w:r>
      <w:r>
        <w:rPr>
          <w:rFonts w:ascii="Book Antiqua"/>
          <w:b/>
          <w:color w:val="231F20"/>
          <w:spacing w:val="12"/>
          <w:sz w:val="20"/>
        </w:rPr>
        <w:t> </w:t>
      </w:r>
      <w:r>
        <w:rPr>
          <w:rFonts w:ascii="Book Antiqua"/>
          <w:b/>
          <w:color w:val="231F20"/>
          <w:sz w:val="20"/>
        </w:rPr>
        <w:t>Name</w:t>
      </w:r>
      <w:r>
        <w:rPr>
          <w:rFonts w:ascii="Book Antiqua"/>
          <w:b/>
          <w:color w:val="231F20"/>
          <w:spacing w:val="12"/>
          <w:sz w:val="20"/>
        </w:rPr>
        <w:t> </w:t>
      </w:r>
      <w:r>
        <w:rPr>
          <w:color w:val="231F20"/>
          <w:sz w:val="20"/>
        </w:rPr>
        <w:t>The</w:t>
      </w:r>
      <w:r>
        <w:rPr>
          <w:color w:val="231F20"/>
          <w:spacing w:val="12"/>
          <w:sz w:val="20"/>
        </w:rPr>
        <w:t> </w:t>
      </w:r>
      <w:r>
        <w:rPr>
          <w:color w:val="231F20"/>
          <w:sz w:val="20"/>
        </w:rPr>
        <w:t>name</w:t>
      </w:r>
      <w:r>
        <w:rPr>
          <w:color w:val="231F20"/>
          <w:spacing w:val="12"/>
          <w:sz w:val="20"/>
        </w:rPr>
        <w:t> </w:t>
      </w:r>
      <w:r>
        <w:rPr>
          <w:color w:val="231F20"/>
          <w:sz w:val="20"/>
        </w:rPr>
        <w:t>given</w:t>
      </w:r>
      <w:r>
        <w:rPr>
          <w:color w:val="231F20"/>
          <w:spacing w:val="12"/>
          <w:sz w:val="20"/>
        </w:rPr>
        <w:t> </w:t>
      </w:r>
      <w:r>
        <w:rPr>
          <w:color w:val="231F20"/>
          <w:sz w:val="20"/>
        </w:rPr>
        <w:t>to</w:t>
      </w:r>
      <w:r>
        <w:rPr>
          <w:color w:val="231F20"/>
          <w:spacing w:val="13"/>
          <w:sz w:val="20"/>
        </w:rPr>
        <w:t> </w:t>
      </w:r>
      <w:r>
        <w:rPr>
          <w:color w:val="231F20"/>
          <w:sz w:val="20"/>
        </w:rPr>
        <w:t>the</w:t>
      </w:r>
      <w:r>
        <w:rPr>
          <w:color w:val="231F20"/>
          <w:spacing w:val="12"/>
          <w:sz w:val="20"/>
        </w:rPr>
        <w:t> </w:t>
      </w:r>
      <w:r>
        <w:rPr>
          <w:color w:val="231F20"/>
          <w:spacing w:val="-2"/>
          <w:sz w:val="20"/>
        </w:rPr>
        <w:t>situation.</w:t>
      </w:r>
    </w:p>
    <w:p>
      <w:pPr>
        <w:pStyle w:val="BodyText"/>
        <w:spacing w:line="427" w:lineRule="auto" w:before="209"/>
        <w:ind w:left="2232" w:right="1504"/>
      </w:pPr>
      <w:r>
        <w:rPr>
          <w:rFonts w:ascii="Book Antiqua"/>
          <w:b/>
          <w:color w:val="231F20"/>
        </w:rPr>
        <w:t>Group ID </w:t>
      </w:r>
      <w:r>
        <w:rPr>
          <w:color w:val="231F20"/>
        </w:rPr>
        <w:t>The identifier for the group that the situation belongs to. </w:t>
      </w:r>
      <w:r>
        <w:rPr>
          <w:rFonts w:ascii="Book Antiqua"/>
          <w:b/>
          <w:color w:val="231F20"/>
        </w:rPr>
        <w:t>HUBCMS </w:t>
      </w:r>
      <w:r>
        <w:rPr>
          <w:color w:val="231F20"/>
        </w:rPr>
        <w:t>The hub monitoring server that the portal server connects </w:t>
      </w:r>
      <w:r>
        <w:rPr>
          <w:color w:val="231F20"/>
        </w:rPr>
        <w:t>to. </w:t>
      </w:r>
      <w:r>
        <w:rPr>
          <w:rFonts w:ascii="Book Antiqua"/>
          <w:b/>
          <w:color w:val="231F20"/>
        </w:rPr>
        <w:t>Impact </w:t>
      </w:r>
      <w:r>
        <w:rPr>
          <w:color w:val="231F20"/>
        </w:rPr>
        <w:t>The name of the Navigator item where the event originated.</w:t>
      </w:r>
    </w:p>
    <w:p>
      <w:pPr>
        <w:pStyle w:val="BodyText"/>
        <w:spacing w:line="213" w:lineRule="auto" w:before="19"/>
        <w:ind w:left="2232"/>
      </w:pPr>
      <w:r>
        <w:rPr>
          <w:rFonts w:ascii="Book Antiqua"/>
          <w:b/>
          <w:color w:val="231F20"/>
        </w:rPr>
        <w:t>Last Update Time </w:t>
      </w:r>
      <w:r>
        <w:rPr>
          <w:color w:val="231F20"/>
        </w:rPr>
        <w:t>The time of the last event activity, either the last user action or a significant system-generated action.</w:t>
      </w:r>
    </w:p>
    <w:p>
      <w:pPr>
        <w:pStyle w:val="BodyText"/>
        <w:spacing w:line="213" w:lineRule="auto" w:before="239"/>
        <w:ind w:left="2232" w:right="636"/>
      </w:pPr>
      <w:r>
        <w:rPr>
          <w:rFonts w:ascii="Book Antiqua"/>
          <w:b/>
          <w:color w:val="231F20"/>
        </w:rPr>
        <w:t>Local Timestamp </w:t>
      </w:r>
      <w:r>
        <w:rPr>
          <w:color w:val="231F20"/>
        </w:rPr>
        <w:t>The time the event occurred or the condition was observed </w:t>
      </w:r>
      <w:r>
        <w:rPr>
          <w:color w:val="231F20"/>
        </w:rPr>
        <w:t>by the originating managed system. The format is MM/DD/YY HH:MM:SS, as in</w:t>
      </w:r>
      <w:r>
        <w:rPr>
          <w:color w:val="231F20"/>
          <w:spacing w:val="80"/>
        </w:rPr>
        <w:t> </w:t>
      </w:r>
      <w:r>
        <w:rPr>
          <w:color w:val="231F20"/>
        </w:rPr>
        <w:t>10/14/08</w:t>
      </w:r>
      <w:r>
        <w:rPr>
          <w:color w:val="231F20"/>
          <w:spacing w:val="40"/>
        </w:rPr>
        <w:t> </w:t>
      </w:r>
      <w:r>
        <w:rPr>
          <w:color w:val="231F20"/>
        </w:rPr>
        <w:t>13:45:35</w:t>
      </w:r>
      <w:r>
        <w:rPr>
          <w:color w:val="231F20"/>
          <w:spacing w:val="40"/>
        </w:rPr>
        <w:t> </w:t>
      </w:r>
      <w:r>
        <w:rPr>
          <w:color w:val="231F20"/>
        </w:rPr>
        <w:t>for</w:t>
      </w:r>
      <w:r>
        <w:rPr>
          <w:color w:val="231F20"/>
          <w:spacing w:val="40"/>
        </w:rPr>
        <w:t> </w:t>
      </w:r>
      <w:r>
        <w:rPr>
          <w:color w:val="231F20"/>
        </w:rPr>
        <w:t>October</w:t>
      </w:r>
      <w:r>
        <w:rPr>
          <w:color w:val="231F20"/>
          <w:spacing w:val="40"/>
        </w:rPr>
        <w:t> </w:t>
      </w:r>
      <w:r>
        <w:rPr>
          <w:color w:val="231F20"/>
        </w:rPr>
        <w:t>14,</w:t>
      </w:r>
      <w:r>
        <w:rPr>
          <w:color w:val="231F20"/>
          <w:spacing w:val="40"/>
        </w:rPr>
        <w:t> </w:t>
      </w:r>
      <w:r>
        <w:rPr>
          <w:color w:val="231F20"/>
        </w:rPr>
        <w:t>2008</w:t>
      </w:r>
      <w:r>
        <w:rPr>
          <w:color w:val="231F20"/>
          <w:spacing w:val="40"/>
        </w:rPr>
        <w:t> </w:t>
      </w:r>
      <w:r>
        <w:rPr>
          <w:color w:val="231F20"/>
        </w:rPr>
        <w:t>at</w:t>
      </w:r>
      <w:r>
        <w:rPr>
          <w:color w:val="231F20"/>
          <w:spacing w:val="40"/>
        </w:rPr>
        <w:t> </w:t>
      </w:r>
      <w:r>
        <w:rPr>
          <w:color w:val="231F20"/>
        </w:rPr>
        <w:t>1:45:35</w:t>
      </w:r>
      <w:r>
        <w:rPr>
          <w:color w:val="231F20"/>
          <w:spacing w:val="40"/>
        </w:rPr>
        <w:t> </w:t>
      </w:r>
      <w:r>
        <w:rPr>
          <w:color w:val="231F20"/>
        </w:rPr>
        <w:t>PM.</w:t>
      </w:r>
    </w:p>
    <w:p>
      <w:pPr>
        <w:spacing w:before="214"/>
        <w:ind w:left="2232" w:right="0" w:firstLine="0"/>
        <w:jc w:val="left"/>
        <w:rPr>
          <w:sz w:val="20"/>
        </w:rPr>
      </w:pPr>
      <w:r>
        <w:rPr>
          <w:rFonts w:ascii="Book Antiqua"/>
          <w:b/>
          <w:color w:val="231F20"/>
          <w:sz w:val="20"/>
        </w:rPr>
        <w:t>LocFlag</w:t>
      </w:r>
      <w:r>
        <w:rPr>
          <w:rFonts w:ascii="Book Antiqua"/>
          <w:b/>
          <w:color w:val="231F20"/>
          <w:spacing w:val="11"/>
          <w:sz w:val="20"/>
        </w:rPr>
        <w:t> </w:t>
      </w:r>
      <w:r>
        <w:rPr>
          <w:color w:val="231F20"/>
          <w:sz w:val="20"/>
        </w:rPr>
        <w:t>Not</w:t>
      </w:r>
      <w:r>
        <w:rPr>
          <w:color w:val="231F20"/>
          <w:spacing w:val="12"/>
          <w:sz w:val="20"/>
        </w:rPr>
        <w:t> </w:t>
      </w:r>
      <w:r>
        <w:rPr>
          <w:color w:val="231F20"/>
          <w:sz w:val="20"/>
        </w:rPr>
        <w:t>in</w:t>
      </w:r>
      <w:r>
        <w:rPr>
          <w:color w:val="231F20"/>
          <w:spacing w:val="11"/>
          <w:sz w:val="20"/>
        </w:rPr>
        <w:t> </w:t>
      </w:r>
      <w:r>
        <w:rPr>
          <w:color w:val="231F20"/>
          <w:sz w:val="20"/>
        </w:rPr>
        <w:t>use.</w:t>
      </w:r>
      <w:r>
        <w:rPr>
          <w:color w:val="231F20"/>
          <w:spacing w:val="12"/>
          <w:sz w:val="20"/>
        </w:rPr>
        <w:t> </w:t>
      </w:r>
      <w:r>
        <w:rPr>
          <w:color w:val="231F20"/>
          <w:sz w:val="20"/>
        </w:rPr>
        <w:t>The</w:t>
      </w:r>
      <w:r>
        <w:rPr>
          <w:color w:val="231F20"/>
          <w:spacing w:val="12"/>
          <w:sz w:val="20"/>
        </w:rPr>
        <w:t> </w:t>
      </w:r>
      <w:r>
        <w:rPr>
          <w:color w:val="231F20"/>
          <w:sz w:val="20"/>
        </w:rPr>
        <w:t>location</w:t>
      </w:r>
      <w:r>
        <w:rPr>
          <w:color w:val="231F20"/>
          <w:spacing w:val="11"/>
          <w:sz w:val="20"/>
        </w:rPr>
        <w:t> </w:t>
      </w:r>
      <w:r>
        <w:rPr>
          <w:color w:val="231F20"/>
          <w:spacing w:val="-2"/>
          <w:sz w:val="20"/>
        </w:rPr>
        <w:t>flag.</w:t>
      </w:r>
    </w:p>
    <w:p>
      <w:pPr>
        <w:pStyle w:val="BodyText"/>
        <w:spacing w:before="209"/>
        <w:ind w:left="2232"/>
      </w:pPr>
      <w:r>
        <w:rPr>
          <w:rFonts w:ascii="Book Antiqua"/>
          <w:b/>
          <w:color w:val="231F20"/>
        </w:rPr>
        <w:t>Misc</w:t>
      </w:r>
      <w:r>
        <w:rPr>
          <w:rFonts w:ascii="Book Antiqua"/>
          <w:b/>
          <w:color w:val="231F20"/>
          <w:spacing w:val="10"/>
        </w:rPr>
        <w:t> </w:t>
      </w:r>
      <w:r>
        <w:rPr>
          <w:color w:val="231F20"/>
        </w:rPr>
        <w:t>Not</w:t>
      </w:r>
      <w:r>
        <w:rPr>
          <w:color w:val="231F20"/>
          <w:spacing w:val="11"/>
        </w:rPr>
        <w:t> </w:t>
      </w:r>
      <w:r>
        <w:rPr>
          <w:color w:val="231F20"/>
        </w:rPr>
        <w:t>in</w:t>
      </w:r>
      <w:r>
        <w:rPr>
          <w:color w:val="231F20"/>
          <w:spacing w:val="11"/>
        </w:rPr>
        <w:t> </w:t>
      </w:r>
      <w:r>
        <w:rPr>
          <w:color w:val="231F20"/>
        </w:rPr>
        <w:t>use.</w:t>
      </w:r>
      <w:r>
        <w:rPr>
          <w:color w:val="231F20"/>
          <w:spacing w:val="11"/>
        </w:rPr>
        <w:t> </w:t>
      </w:r>
      <w:r>
        <w:rPr>
          <w:color w:val="231F20"/>
        </w:rPr>
        <w:t>Miscellaneous</w:t>
      </w:r>
      <w:r>
        <w:rPr>
          <w:color w:val="231F20"/>
          <w:spacing w:val="11"/>
        </w:rPr>
        <w:t> </w:t>
      </w:r>
      <w:r>
        <w:rPr>
          <w:color w:val="231F20"/>
        </w:rPr>
        <w:t>event</w:t>
      </w:r>
      <w:r>
        <w:rPr>
          <w:color w:val="231F20"/>
          <w:spacing w:val="11"/>
        </w:rPr>
        <w:t> </w:t>
      </w:r>
      <w:r>
        <w:rPr>
          <w:color w:val="231F20"/>
          <w:spacing w:val="-2"/>
        </w:rPr>
        <w:t>data.</w:t>
      </w:r>
    </w:p>
    <w:p>
      <w:pPr>
        <w:pStyle w:val="BodyText"/>
        <w:spacing w:line="213" w:lineRule="auto" w:before="232"/>
        <w:ind w:left="2232" w:right="545"/>
      </w:pPr>
      <w:r>
        <w:rPr>
          <w:rFonts w:ascii="Book Antiqua"/>
          <w:b/>
          <w:color w:val="231F20"/>
        </w:rPr>
        <w:t>MOBJ </w:t>
      </w:r>
      <w:r>
        <w:rPr>
          <w:color w:val="231F20"/>
        </w:rPr>
        <w:t>The Navigator item the situation is associated with (where the </w:t>
      </w:r>
      <w:r>
        <w:rPr>
          <w:color w:val="231F20"/>
        </w:rPr>
        <w:t>event indicator originates).</w:t>
      </w:r>
    </w:p>
    <w:p>
      <w:pPr>
        <w:pStyle w:val="BodyText"/>
        <w:spacing w:line="427" w:lineRule="auto" w:before="215"/>
        <w:ind w:left="2232" w:right="1104"/>
      </w:pPr>
      <w:r>
        <w:rPr>
          <w:rFonts w:ascii="Book Antiqua"/>
          <w:b/>
          <w:color w:val="231F20"/>
        </w:rPr>
        <w:t>Node </w:t>
      </w:r>
      <w:r>
        <w:rPr>
          <w:color w:val="231F20"/>
        </w:rPr>
        <w:t>The name of the monitoring server where the situation is running. </w:t>
      </w:r>
      <w:r>
        <w:rPr>
          <w:rFonts w:ascii="Book Antiqua"/>
          <w:b/>
          <w:color w:val="231F20"/>
        </w:rPr>
        <w:t>Opened </w:t>
      </w:r>
      <w:r>
        <w:rPr>
          <w:color w:val="231F20"/>
        </w:rPr>
        <w:t>The time at the managed system when the situation status </w:t>
      </w:r>
      <w:r>
        <w:rPr>
          <w:color w:val="231F20"/>
        </w:rPr>
        <w:t>changed. </w:t>
      </w:r>
      <w:r>
        <w:rPr>
          <w:rFonts w:ascii="Book Antiqua"/>
          <w:b/>
          <w:color w:val="231F20"/>
        </w:rPr>
        <w:t>Owner </w:t>
      </w:r>
      <w:r>
        <w:rPr>
          <w:color w:val="231F20"/>
        </w:rPr>
        <w:t>The user ID of the person who owns this event.</w:t>
      </w:r>
    </w:p>
    <w:p>
      <w:pPr>
        <w:pStyle w:val="BodyText"/>
        <w:spacing w:line="266" w:lineRule="exact"/>
        <w:ind w:left="2232"/>
      </w:pPr>
      <w:r>
        <w:rPr>
          <w:rFonts w:ascii="Book Antiqua"/>
          <w:b/>
          <w:color w:val="231F20"/>
        </w:rPr>
        <w:t>Pathname</w:t>
      </w:r>
      <w:r>
        <w:rPr>
          <w:rFonts w:ascii="Book Antiqua"/>
          <w:b/>
          <w:color w:val="231F20"/>
          <w:spacing w:val="11"/>
        </w:rPr>
        <w:t> </w:t>
      </w:r>
      <w:r>
        <w:rPr>
          <w:color w:val="231F20"/>
        </w:rPr>
        <w:t>Not</w:t>
      </w:r>
      <w:r>
        <w:rPr>
          <w:color w:val="231F20"/>
          <w:spacing w:val="12"/>
        </w:rPr>
        <w:t> </w:t>
      </w:r>
      <w:r>
        <w:rPr>
          <w:color w:val="231F20"/>
        </w:rPr>
        <w:t>in</w:t>
      </w:r>
      <w:r>
        <w:rPr>
          <w:color w:val="231F20"/>
          <w:spacing w:val="11"/>
        </w:rPr>
        <w:t> </w:t>
      </w:r>
      <w:r>
        <w:rPr>
          <w:color w:val="231F20"/>
        </w:rPr>
        <w:t>use.</w:t>
      </w:r>
      <w:r>
        <w:rPr>
          <w:color w:val="231F20"/>
          <w:spacing w:val="12"/>
        </w:rPr>
        <w:t> </w:t>
      </w:r>
      <w:r>
        <w:rPr>
          <w:color w:val="231F20"/>
        </w:rPr>
        <w:t>The</w:t>
      </w:r>
      <w:r>
        <w:rPr>
          <w:color w:val="231F20"/>
          <w:spacing w:val="11"/>
        </w:rPr>
        <w:t> </w:t>
      </w:r>
      <w:r>
        <w:rPr>
          <w:color w:val="231F20"/>
        </w:rPr>
        <w:t>path</w:t>
      </w:r>
      <w:r>
        <w:rPr>
          <w:color w:val="231F20"/>
          <w:spacing w:val="12"/>
        </w:rPr>
        <w:t> </w:t>
      </w:r>
      <w:r>
        <w:rPr>
          <w:color w:val="231F20"/>
        </w:rPr>
        <w:t>to</w:t>
      </w:r>
      <w:r>
        <w:rPr>
          <w:color w:val="231F20"/>
          <w:spacing w:val="11"/>
        </w:rPr>
        <w:t> </w:t>
      </w:r>
      <w:r>
        <w:rPr>
          <w:color w:val="231F20"/>
        </w:rPr>
        <w:t>any</w:t>
      </w:r>
      <w:r>
        <w:rPr>
          <w:color w:val="231F20"/>
          <w:spacing w:val="12"/>
        </w:rPr>
        <w:t> </w:t>
      </w:r>
      <w:r>
        <w:rPr>
          <w:color w:val="231F20"/>
        </w:rPr>
        <w:t>attachments</w:t>
      </w:r>
      <w:r>
        <w:rPr>
          <w:color w:val="231F20"/>
          <w:spacing w:val="11"/>
        </w:rPr>
        <w:t> </w:t>
      </w:r>
      <w:r>
        <w:rPr>
          <w:color w:val="231F20"/>
        </w:rPr>
        <w:t>and</w:t>
      </w:r>
      <w:r>
        <w:rPr>
          <w:color w:val="231F20"/>
          <w:spacing w:val="12"/>
        </w:rPr>
        <w:t> </w:t>
      </w:r>
      <w:r>
        <w:rPr>
          <w:color w:val="231F20"/>
        </w:rPr>
        <w:t>saved</w:t>
      </w:r>
      <w:r>
        <w:rPr>
          <w:color w:val="231F20"/>
          <w:spacing w:val="11"/>
        </w:rPr>
        <w:t> </w:t>
      </w:r>
      <w:r>
        <w:rPr>
          <w:color w:val="231F20"/>
          <w:spacing w:val="-2"/>
        </w:rPr>
        <w:t>notes.</w:t>
      </w:r>
    </w:p>
    <w:p>
      <w:pPr>
        <w:pStyle w:val="BodyText"/>
        <w:spacing w:line="213" w:lineRule="auto" w:before="233"/>
        <w:ind w:left="2232" w:right="545"/>
      </w:pPr>
      <w:r>
        <w:rPr>
          <w:rFonts w:ascii="Book Antiqua"/>
          <w:b/>
          <w:color w:val="231F20"/>
        </w:rPr>
        <w:t>Reference ID </w:t>
      </w:r>
      <w:r>
        <w:rPr>
          <w:color w:val="231F20"/>
        </w:rPr>
        <w:t>An identifying attribute to further qualify the event, such as </w:t>
      </w:r>
      <w:r>
        <w:rPr>
          <w:color w:val="231F20"/>
        </w:rPr>
        <w:t>a situation override.</w:t>
      </w:r>
    </w:p>
    <w:p>
      <w:pPr>
        <w:pStyle w:val="BodyText"/>
        <w:spacing w:before="215"/>
        <w:ind w:left="2232"/>
      </w:pPr>
      <w:r>
        <w:rPr>
          <w:rFonts w:ascii="Book Antiqua"/>
          <w:b/>
          <w:color w:val="231F20"/>
        </w:rPr>
        <w:t>Severity</w:t>
      </w:r>
      <w:r>
        <w:rPr>
          <w:rFonts w:ascii="Book Antiqua"/>
          <w:b/>
          <w:color w:val="231F20"/>
          <w:spacing w:val="8"/>
        </w:rPr>
        <w:t> </w:t>
      </w:r>
      <w:r>
        <w:rPr>
          <w:color w:val="231F20"/>
        </w:rPr>
        <w:t>The</w:t>
      </w:r>
      <w:r>
        <w:rPr>
          <w:color w:val="231F20"/>
          <w:spacing w:val="9"/>
        </w:rPr>
        <w:t> </w:t>
      </w:r>
      <w:r>
        <w:rPr>
          <w:color w:val="231F20"/>
        </w:rPr>
        <w:t>severity</w:t>
      </w:r>
      <w:r>
        <w:rPr>
          <w:color w:val="231F20"/>
          <w:spacing w:val="9"/>
        </w:rPr>
        <w:t> </w:t>
      </w:r>
      <w:r>
        <w:rPr>
          <w:color w:val="231F20"/>
        </w:rPr>
        <w:t>value</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situation</w:t>
      </w:r>
      <w:r>
        <w:rPr>
          <w:color w:val="231F20"/>
          <w:spacing w:val="8"/>
        </w:rPr>
        <w:t> </w:t>
      </w:r>
      <w:r>
        <w:rPr>
          <w:color w:val="231F20"/>
        </w:rPr>
        <w:t>event.</w:t>
      </w:r>
      <w:r>
        <w:rPr>
          <w:color w:val="231F20"/>
          <w:spacing w:val="9"/>
        </w:rPr>
        <w:t> </w:t>
      </w:r>
      <w:r>
        <w:rPr>
          <w:color w:val="231F20"/>
        </w:rPr>
        <w:t>Valid</w:t>
      </w:r>
      <w:r>
        <w:rPr>
          <w:color w:val="231F20"/>
          <w:spacing w:val="9"/>
        </w:rPr>
        <w:t> </w:t>
      </w:r>
      <w:r>
        <w:rPr>
          <w:color w:val="231F20"/>
          <w:spacing w:val="-2"/>
        </w:rPr>
        <w:t>values:</w:t>
      </w:r>
    </w:p>
    <w:p>
      <w:pPr>
        <w:pStyle w:val="BodyText"/>
        <w:spacing w:before="2"/>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z w:val="18"/>
              </w:rPr>
              <w:t>Severity</w:t>
            </w:r>
            <w:r>
              <w:rPr>
                <w:rFonts w:ascii="Book Antiqua"/>
                <w:b/>
                <w:color w:val="231F20"/>
                <w:spacing w:val="7"/>
                <w:sz w:val="18"/>
              </w:rPr>
              <w:t> </w:t>
            </w:r>
            <w:r>
              <w:rPr>
                <w:rFonts w:ascii="Book Antiqua"/>
                <w:b/>
                <w:color w:val="231F20"/>
                <w:spacing w:val="-2"/>
                <w:sz w:val="18"/>
              </w:rPr>
              <w:t>level</w:t>
            </w:r>
          </w:p>
        </w:tc>
        <w:tc>
          <w:tcPr>
            <w:tcW w:w="3767" w:type="dxa"/>
          </w:tcPr>
          <w:p>
            <w:pPr>
              <w:pStyle w:val="TableParagraph"/>
              <w:spacing w:before="10"/>
              <w:rPr>
                <w:rFonts w:ascii="Book Antiqua"/>
                <w:b/>
                <w:sz w:val="18"/>
              </w:rPr>
            </w:pPr>
            <w:r>
              <w:rPr>
                <w:rFonts w:ascii="Book Antiqua"/>
                <w:b/>
                <w:color w:val="231F20"/>
                <w:sz w:val="18"/>
              </w:rPr>
              <w:t>Enumerated</w:t>
            </w:r>
            <w:r>
              <w:rPr>
                <w:rFonts w:ascii="Book Antiqua"/>
                <w:b/>
                <w:color w:val="231F20"/>
                <w:spacing w:val="4"/>
                <w:sz w:val="18"/>
              </w:rPr>
              <w:t> </w:t>
            </w:r>
            <w:r>
              <w:rPr>
                <w:rFonts w:ascii="Book Antiqua"/>
                <w:b/>
                <w:color w:val="231F20"/>
                <w:spacing w:val="-2"/>
                <w:sz w:val="18"/>
              </w:rPr>
              <w:t>value</w:t>
            </w:r>
          </w:p>
        </w:tc>
      </w:tr>
      <w:tr>
        <w:trPr>
          <w:trHeight w:val="309" w:hRule="atLeast"/>
        </w:trPr>
        <w:tc>
          <w:tcPr>
            <w:tcW w:w="3767" w:type="dxa"/>
          </w:tcPr>
          <w:p>
            <w:pPr>
              <w:pStyle w:val="TableParagraph"/>
              <w:ind w:left="44"/>
              <w:rPr>
                <w:sz w:val="18"/>
              </w:rPr>
            </w:pPr>
            <w:r>
              <w:rPr>
                <w:color w:val="231F20"/>
                <w:spacing w:val="-2"/>
                <w:sz w:val="18"/>
              </w:rPr>
              <w:t>Fatal</w:t>
            </w:r>
          </w:p>
        </w:tc>
        <w:tc>
          <w:tcPr>
            <w:tcW w:w="3767" w:type="dxa"/>
          </w:tcPr>
          <w:p>
            <w:pPr>
              <w:pStyle w:val="TableParagraph"/>
              <w:rPr>
                <w:sz w:val="18"/>
              </w:rPr>
            </w:pPr>
            <w:r>
              <w:rPr>
                <w:color w:val="231F20"/>
                <w:spacing w:val="-5"/>
                <w:sz w:val="18"/>
              </w:rPr>
              <w:t>100</w:t>
            </w:r>
          </w:p>
        </w:tc>
      </w:tr>
      <w:tr>
        <w:trPr>
          <w:trHeight w:val="309" w:hRule="atLeast"/>
        </w:trPr>
        <w:tc>
          <w:tcPr>
            <w:tcW w:w="3767" w:type="dxa"/>
          </w:tcPr>
          <w:p>
            <w:pPr>
              <w:pStyle w:val="TableParagraph"/>
              <w:ind w:left="44"/>
              <w:rPr>
                <w:sz w:val="18"/>
              </w:rPr>
            </w:pPr>
            <w:r>
              <w:rPr>
                <w:color w:val="231F20"/>
                <w:spacing w:val="-2"/>
                <w:sz w:val="18"/>
              </w:rPr>
              <w:t>Critical</w:t>
            </w:r>
          </w:p>
        </w:tc>
        <w:tc>
          <w:tcPr>
            <w:tcW w:w="3767" w:type="dxa"/>
          </w:tcPr>
          <w:p>
            <w:pPr>
              <w:pStyle w:val="TableParagraph"/>
              <w:rPr>
                <w:sz w:val="18"/>
              </w:rPr>
            </w:pPr>
            <w:r>
              <w:rPr>
                <w:color w:val="231F20"/>
                <w:spacing w:val="-5"/>
                <w:sz w:val="18"/>
              </w:rPr>
              <w:t>90</w:t>
            </w:r>
          </w:p>
        </w:tc>
      </w:tr>
      <w:tr>
        <w:trPr>
          <w:trHeight w:val="309" w:hRule="atLeast"/>
        </w:trPr>
        <w:tc>
          <w:tcPr>
            <w:tcW w:w="3767" w:type="dxa"/>
          </w:tcPr>
          <w:p>
            <w:pPr>
              <w:pStyle w:val="TableParagraph"/>
              <w:ind w:left="44"/>
              <w:rPr>
                <w:sz w:val="18"/>
              </w:rPr>
            </w:pPr>
            <w:r>
              <w:rPr>
                <w:color w:val="231F20"/>
                <w:spacing w:val="-2"/>
                <w:sz w:val="18"/>
              </w:rPr>
              <w:t>Minor</w:t>
            </w:r>
          </w:p>
        </w:tc>
        <w:tc>
          <w:tcPr>
            <w:tcW w:w="3767" w:type="dxa"/>
          </w:tcPr>
          <w:p>
            <w:pPr>
              <w:pStyle w:val="TableParagraph"/>
              <w:rPr>
                <w:sz w:val="18"/>
              </w:rPr>
            </w:pPr>
            <w:r>
              <w:rPr>
                <w:color w:val="231F20"/>
                <w:spacing w:val="-5"/>
                <w:sz w:val="18"/>
              </w:rPr>
              <w:t>40</w:t>
            </w:r>
          </w:p>
        </w:tc>
      </w:tr>
      <w:tr>
        <w:trPr>
          <w:trHeight w:val="309" w:hRule="atLeast"/>
        </w:trPr>
        <w:tc>
          <w:tcPr>
            <w:tcW w:w="3767" w:type="dxa"/>
          </w:tcPr>
          <w:p>
            <w:pPr>
              <w:pStyle w:val="TableParagraph"/>
              <w:ind w:left="44"/>
              <w:rPr>
                <w:sz w:val="18"/>
              </w:rPr>
            </w:pPr>
            <w:r>
              <w:rPr>
                <w:color w:val="231F20"/>
                <w:spacing w:val="-2"/>
                <w:sz w:val="18"/>
              </w:rPr>
              <w:t>Warning</w:t>
            </w:r>
          </w:p>
        </w:tc>
        <w:tc>
          <w:tcPr>
            <w:tcW w:w="3767" w:type="dxa"/>
          </w:tcPr>
          <w:p>
            <w:pPr>
              <w:pStyle w:val="TableParagraph"/>
              <w:rPr>
                <w:sz w:val="18"/>
              </w:rPr>
            </w:pPr>
            <w:r>
              <w:rPr>
                <w:color w:val="231F20"/>
                <w:spacing w:val="-5"/>
                <w:sz w:val="18"/>
              </w:rPr>
              <w:t>30</w:t>
            </w:r>
          </w:p>
        </w:tc>
      </w:tr>
      <w:tr>
        <w:trPr>
          <w:trHeight w:val="309" w:hRule="atLeast"/>
        </w:trPr>
        <w:tc>
          <w:tcPr>
            <w:tcW w:w="3767" w:type="dxa"/>
          </w:tcPr>
          <w:p>
            <w:pPr>
              <w:pStyle w:val="TableParagraph"/>
              <w:ind w:left="44"/>
              <w:rPr>
                <w:sz w:val="18"/>
              </w:rPr>
            </w:pPr>
            <w:r>
              <w:rPr>
                <w:color w:val="231F20"/>
                <w:spacing w:val="-2"/>
                <w:sz w:val="18"/>
              </w:rPr>
              <w:t>Harmless</w:t>
            </w:r>
          </w:p>
        </w:tc>
        <w:tc>
          <w:tcPr>
            <w:tcW w:w="3767" w:type="dxa"/>
          </w:tcPr>
          <w:p>
            <w:pPr>
              <w:pStyle w:val="TableParagraph"/>
              <w:rPr>
                <w:sz w:val="18"/>
              </w:rPr>
            </w:pPr>
            <w:r>
              <w:rPr>
                <w:color w:val="231F20"/>
                <w:spacing w:val="-5"/>
                <w:sz w:val="18"/>
              </w:rPr>
              <w:t>27</w:t>
            </w:r>
          </w:p>
        </w:tc>
      </w:tr>
      <w:tr>
        <w:trPr>
          <w:trHeight w:val="309" w:hRule="atLeast"/>
        </w:trPr>
        <w:tc>
          <w:tcPr>
            <w:tcW w:w="3767" w:type="dxa"/>
          </w:tcPr>
          <w:p>
            <w:pPr>
              <w:pStyle w:val="TableParagraph"/>
              <w:ind w:left="44"/>
              <w:rPr>
                <w:sz w:val="18"/>
              </w:rPr>
            </w:pPr>
            <w:r>
              <w:rPr>
                <w:color w:val="231F20"/>
                <w:spacing w:val="-2"/>
                <w:sz w:val="18"/>
              </w:rPr>
              <w:t>Informational</w:t>
            </w:r>
          </w:p>
        </w:tc>
        <w:tc>
          <w:tcPr>
            <w:tcW w:w="3767" w:type="dxa"/>
          </w:tcPr>
          <w:p>
            <w:pPr>
              <w:pStyle w:val="TableParagraph"/>
              <w:rPr>
                <w:sz w:val="18"/>
              </w:rPr>
            </w:pPr>
            <w:r>
              <w:rPr>
                <w:color w:val="231F20"/>
                <w:spacing w:val="-5"/>
                <w:sz w:val="18"/>
              </w:rPr>
              <w:t>25</w:t>
            </w:r>
          </w:p>
        </w:tc>
      </w:tr>
      <w:tr>
        <w:trPr>
          <w:trHeight w:val="314" w:hRule="atLeast"/>
        </w:trPr>
        <w:tc>
          <w:tcPr>
            <w:tcW w:w="3767" w:type="dxa"/>
          </w:tcPr>
          <w:p>
            <w:pPr>
              <w:pStyle w:val="TableParagraph"/>
              <w:ind w:left="44"/>
              <w:rPr>
                <w:sz w:val="18"/>
              </w:rPr>
            </w:pPr>
            <w:r>
              <w:rPr>
                <w:color w:val="231F20"/>
                <w:spacing w:val="-2"/>
                <w:sz w:val="18"/>
              </w:rPr>
              <w:t>Unknown</w:t>
            </w:r>
          </w:p>
        </w:tc>
        <w:tc>
          <w:tcPr>
            <w:tcW w:w="3767" w:type="dxa"/>
          </w:tcPr>
          <w:p>
            <w:pPr>
              <w:pStyle w:val="TableParagraph"/>
              <w:rPr>
                <w:sz w:val="18"/>
              </w:rPr>
            </w:pPr>
            <w:r>
              <w:rPr>
                <w:color w:val="231F20"/>
                <w:spacing w:val="-5"/>
                <w:sz w:val="18"/>
              </w:rPr>
              <w:t>15</w:t>
            </w:r>
          </w:p>
        </w:tc>
      </w:tr>
    </w:tbl>
    <w:p>
      <w:pPr>
        <w:spacing w:after="0"/>
        <w:rPr>
          <w:sz w:val="18"/>
        </w:rPr>
        <w:sectPr>
          <w:pgSz w:w="12240" w:h="15840"/>
          <w:pgMar w:header="0" w:footer="736" w:top="1180" w:bottom="920" w:left="1000" w:right="1060"/>
        </w:sectPr>
      </w:pPr>
    </w:p>
    <w:p>
      <w:pPr>
        <w:spacing w:before="62"/>
        <w:ind w:left="2472" w:right="0" w:firstLine="0"/>
        <w:jc w:val="left"/>
        <w:rPr>
          <w:sz w:val="20"/>
        </w:rPr>
      </w:pPr>
      <w:bookmarkStart w:name="_bookmark347" w:id="726"/>
      <w:bookmarkEnd w:id="726"/>
      <w:r>
        <w:rPr/>
      </w:r>
      <w:r>
        <w:rPr>
          <w:rFonts w:ascii="Book Antiqua"/>
          <w:b/>
          <w:color w:val="231F20"/>
          <w:sz w:val="20"/>
        </w:rPr>
        <w:t>Situation</w:t>
      </w:r>
      <w:r>
        <w:rPr>
          <w:rFonts w:ascii="Book Antiqua"/>
          <w:b/>
          <w:color w:val="231F20"/>
          <w:spacing w:val="11"/>
          <w:sz w:val="20"/>
        </w:rPr>
        <w:t> </w:t>
      </w:r>
      <w:r>
        <w:rPr>
          <w:rFonts w:ascii="Book Antiqua"/>
          <w:b/>
          <w:color w:val="231F20"/>
          <w:sz w:val="20"/>
        </w:rPr>
        <w:t>Name</w:t>
      </w:r>
      <w:r>
        <w:rPr>
          <w:rFonts w:ascii="Book Antiqua"/>
          <w:b/>
          <w:color w:val="231F20"/>
          <w:spacing w:val="11"/>
          <w:sz w:val="20"/>
        </w:rPr>
        <w:t> </w:t>
      </w:r>
      <w:r>
        <w:rPr>
          <w:color w:val="231F20"/>
          <w:sz w:val="20"/>
        </w:rPr>
        <w:t>The</w:t>
      </w:r>
      <w:r>
        <w:rPr>
          <w:color w:val="231F20"/>
          <w:spacing w:val="12"/>
          <w:sz w:val="20"/>
        </w:rPr>
        <w:t> </w:t>
      </w:r>
      <w:r>
        <w:rPr>
          <w:color w:val="231F20"/>
          <w:sz w:val="20"/>
        </w:rPr>
        <w:t>name</w:t>
      </w:r>
      <w:r>
        <w:rPr>
          <w:color w:val="231F20"/>
          <w:spacing w:val="11"/>
          <w:sz w:val="20"/>
        </w:rPr>
        <w:t> </w:t>
      </w:r>
      <w:r>
        <w:rPr>
          <w:color w:val="231F20"/>
          <w:sz w:val="20"/>
        </w:rPr>
        <w:t>given</w:t>
      </w:r>
      <w:r>
        <w:rPr>
          <w:color w:val="231F20"/>
          <w:spacing w:val="12"/>
          <w:sz w:val="20"/>
        </w:rPr>
        <w:t> </w:t>
      </w:r>
      <w:r>
        <w:rPr>
          <w:color w:val="231F20"/>
          <w:sz w:val="20"/>
        </w:rPr>
        <w:t>to</w:t>
      </w:r>
      <w:r>
        <w:rPr>
          <w:color w:val="231F20"/>
          <w:spacing w:val="11"/>
          <w:sz w:val="20"/>
        </w:rPr>
        <w:t> </w:t>
      </w:r>
      <w:r>
        <w:rPr>
          <w:color w:val="231F20"/>
          <w:sz w:val="20"/>
        </w:rPr>
        <w:t>the</w:t>
      </w:r>
      <w:r>
        <w:rPr>
          <w:color w:val="231F20"/>
          <w:spacing w:val="11"/>
          <w:sz w:val="20"/>
        </w:rPr>
        <w:t> </w:t>
      </w:r>
      <w:r>
        <w:rPr>
          <w:color w:val="231F20"/>
          <w:sz w:val="20"/>
        </w:rPr>
        <w:t>situation</w:t>
      </w:r>
      <w:r>
        <w:rPr>
          <w:color w:val="231F20"/>
          <w:spacing w:val="12"/>
          <w:sz w:val="20"/>
        </w:rPr>
        <w:t> </w:t>
      </w:r>
      <w:r>
        <w:rPr>
          <w:color w:val="231F20"/>
          <w:sz w:val="20"/>
        </w:rPr>
        <w:t>or</w:t>
      </w:r>
      <w:r>
        <w:rPr>
          <w:color w:val="231F20"/>
          <w:spacing w:val="11"/>
          <w:sz w:val="20"/>
        </w:rPr>
        <w:t> </w:t>
      </w:r>
      <w:r>
        <w:rPr>
          <w:color w:val="231F20"/>
          <w:spacing w:val="-2"/>
          <w:sz w:val="20"/>
        </w:rPr>
        <w:t>policy.</w:t>
      </w:r>
    </w:p>
    <w:p>
      <w:pPr>
        <w:pStyle w:val="BodyText"/>
        <w:spacing w:line="213" w:lineRule="auto" w:before="232"/>
        <w:ind w:left="2472" w:right="545"/>
      </w:pPr>
      <w:r>
        <w:rPr>
          <w:rFonts w:ascii="Book Antiqua"/>
          <w:b/>
          <w:color w:val="231F20"/>
        </w:rPr>
        <w:t>Source </w:t>
      </w:r>
      <w:r>
        <w:rPr>
          <w:color w:val="231F20"/>
        </w:rPr>
        <w:t>The system host name or other name derived from the monitoring </w:t>
      </w:r>
      <w:r>
        <w:rPr>
          <w:color w:val="231F20"/>
        </w:rPr>
        <w:t>agent that identifies the source of the event.</w:t>
      </w:r>
    </w:p>
    <w:p>
      <w:pPr>
        <w:pStyle w:val="BodyText"/>
        <w:spacing w:before="215"/>
        <w:ind w:left="2472"/>
      </w:pPr>
      <w:r>
        <w:rPr>
          <w:rFonts w:ascii="Book Antiqua"/>
          <w:b/>
          <w:color w:val="231F20"/>
        </w:rPr>
        <w:t>Status</w:t>
      </w:r>
      <w:r>
        <w:rPr>
          <w:rFonts w:ascii="Book Antiqua"/>
          <w:b/>
          <w:color w:val="231F20"/>
          <w:spacing w:val="8"/>
        </w:rPr>
        <w:t> </w:t>
      </w:r>
      <w:r>
        <w:rPr>
          <w:color w:val="231F20"/>
        </w:rPr>
        <w:t>The</w:t>
      </w:r>
      <w:r>
        <w:rPr>
          <w:color w:val="231F20"/>
          <w:spacing w:val="9"/>
        </w:rPr>
        <w:t> </w:t>
      </w:r>
      <w:r>
        <w:rPr>
          <w:color w:val="231F20"/>
        </w:rPr>
        <w:t>event</w:t>
      </w:r>
      <w:r>
        <w:rPr>
          <w:color w:val="231F20"/>
          <w:spacing w:val="9"/>
        </w:rPr>
        <w:t> </w:t>
      </w:r>
      <w:r>
        <w:rPr>
          <w:color w:val="231F20"/>
        </w:rPr>
        <w:t>status,</w:t>
      </w:r>
      <w:r>
        <w:rPr>
          <w:color w:val="231F20"/>
          <w:spacing w:val="9"/>
        </w:rPr>
        <w:t> </w:t>
      </w:r>
      <w:r>
        <w:rPr>
          <w:color w:val="231F20"/>
        </w:rPr>
        <w:t>such</w:t>
      </w:r>
      <w:r>
        <w:rPr>
          <w:color w:val="231F20"/>
          <w:spacing w:val="8"/>
        </w:rPr>
        <w:t> </w:t>
      </w:r>
      <w:r>
        <w:rPr>
          <w:color w:val="231F20"/>
        </w:rPr>
        <w:t>as</w:t>
      </w:r>
      <w:r>
        <w:rPr>
          <w:color w:val="231F20"/>
          <w:spacing w:val="9"/>
        </w:rPr>
        <w:t> </w:t>
      </w:r>
      <w:r>
        <w:rPr>
          <w:color w:val="231F20"/>
        </w:rPr>
        <w:t>Closed</w:t>
      </w:r>
      <w:r>
        <w:rPr>
          <w:color w:val="231F20"/>
          <w:spacing w:val="9"/>
        </w:rPr>
        <w:t> </w:t>
      </w:r>
      <w:r>
        <w:rPr>
          <w:color w:val="231F20"/>
        </w:rPr>
        <w:t>or</w:t>
      </w:r>
      <w:r>
        <w:rPr>
          <w:color w:val="231F20"/>
          <w:spacing w:val="3"/>
        </w:rPr>
        <w:t> </w:t>
      </w:r>
      <w:r>
        <w:rPr>
          <w:color w:val="231F20"/>
        </w:rPr>
        <w:t>Acknowledged.</w:t>
      </w:r>
      <w:r>
        <w:rPr>
          <w:color w:val="231F20"/>
          <w:spacing w:val="8"/>
        </w:rPr>
        <w:t> </w:t>
      </w:r>
      <w:r>
        <w:rPr>
          <w:color w:val="231F20"/>
        </w:rPr>
        <w:t>Valid</w:t>
      </w:r>
      <w:r>
        <w:rPr>
          <w:color w:val="231F20"/>
          <w:spacing w:val="9"/>
        </w:rPr>
        <w:t> </w:t>
      </w:r>
      <w:r>
        <w:rPr>
          <w:color w:val="231F20"/>
          <w:spacing w:val="-2"/>
        </w:rPr>
        <w:t>values:</w:t>
      </w:r>
    </w:p>
    <w:p>
      <w:pPr>
        <w:pStyle w:val="BodyText"/>
        <w:spacing w:before="2"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67"/>
        <w:gridCol w:w="3767"/>
      </w:tblGrid>
      <w:tr>
        <w:trPr>
          <w:trHeight w:val="274" w:hRule="atLeast"/>
        </w:trPr>
        <w:tc>
          <w:tcPr>
            <w:tcW w:w="3767" w:type="dxa"/>
          </w:tcPr>
          <w:p>
            <w:pPr>
              <w:pStyle w:val="TableParagraph"/>
              <w:spacing w:before="10"/>
              <w:ind w:left="44"/>
              <w:rPr>
                <w:rFonts w:ascii="Book Antiqua"/>
                <w:b/>
                <w:sz w:val="18"/>
              </w:rPr>
            </w:pPr>
            <w:r>
              <w:rPr>
                <w:rFonts w:ascii="Book Antiqua"/>
                <w:b/>
                <w:color w:val="231F20"/>
                <w:sz w:val="18"/>
              </w:rPr>
              <w:t>Event</w:t>
            </w:r>
            <w:r>
              <w:rPr>
                <w:rFonts w:ascii="Book Antiqua"/>
                <w:b/>
                <w:color w:val="231F20"/>
                <w:spacing w:val="9"/>
                <w:sz w:val="18"/>
              </w:rPr>
              <w:t> </w:t>
            </w:r>
            <w:r>
              <w:rPr>
                <w:rFonts w:ascii="Book Antiqua"/>
                <w:b/>
                <w:color w:val="231F20"/>
                <w:spacing w:val="-2"/>
                <w:sz w:val="18"/>
              </w:rPr>
              <w:t>status</w:t>
            </w:r>
          </w:p>
        </w:tc>
        <w:tc>
          <w:tcPr>
            <w:tcW w:w="3767" w:type="dxa"/>
          </w:tcPr>
          <w:p>
            <w:pPr>
              <w:pStyle w:val="TableParagraph"/>
              <w:spacing w:before="10"/>
              <w:rPr>
                <w:rFonts w:ascii="Book Antiqua"/>
                <w:b/>
                <w:sz w:val="18"/>
              </w:rPr>
            </w:pPr>
            <w:r>
              <w:rPr>
                <w:rFonts w:ascii="Book Antiqua"/>
                <w:b/>
                <w:color w:val="231F20"/>
                <w:sz w:val="18"/>
              </w:rPr>
              <w:t>Enumerated</w:t>
            </w:r>
            <w:r>
              <w:rPr>
                <w:rFonts w:ascii="Book Antiqua"/>
                <w:b/>
                <w:color w:val="231F20"/>
                <w:spacing w:val="4"/>
                <w:sz w:val="18"/>
              </w:rPr>
              <w:t> </w:t>
            </w:r>
            <w:r>
              <w:rPr>
                <w:rFonts w:ascii="Book Antiqua"/>
                <w:b/>
                <w:color w:val="231F20"/>
                <w:spacing w:val="-2"/>
                <w:sz w:val="18"/>
              </w:rPr>
              <w:t>value</w:t>
            </w:r>
          </w:p>
        </w:tc>
      </w:tr>
      <w:tr>
        <w:trPr>
          <w:trHeight w:val="309" w:hRule="atLeast"/>
        </w:trPr>
        <w:tc>
          <w:tcPr>
            <w:tcW w:w="3767" w:type="dxa"/>
          </w:tcPr>
          <w:p>
            <w:pPr>
              <w:pStyle w:val="TableParagraph"/>
              <w:ind w:left="44"/>
              <w:rPr>
                <w:sz w:val="18"/>
              </w:rPr>
            </w:pPr>
            <w:r>
              <w:rPr>
                <w:color w:val="231F20"/>
                <w:spacing w:val="-4"/>
                <w:sz w:val="18"/>
              </w:rPr>
              <w:t>Open</w:t>
            </w:r>
          </w:p>
        </w:tc>
        <w:tc>
          <w:tcPr>
            <w:tcW w:w="3767" w:type="dxa"/>
          </w:tcPr>
          <w:p>
            <w:pPr>
              <w:pStyle w:val="TableParagraph"/>
              <w:rPr>
                <w:sz w:val="18"/>
              </w:rPr>
            </w:pPr>
            <w:r>
              <w:rPr>
                <w:color w:val="231F20"/>
                <w:spacing w:val="-10"/>
                <w:sz w:val="18"/>
              </w:rPr>
              <w:t>Y</w:t>
            </w:r>
          </w:p>
        </w:tc>
      </w:tr>
      <w:tr>
        <w:trPr>
          <w:trHeight w:val="309" w:hRule="atLeast"/>
        </w:trPr>
        <w:tc>
          <w:tcPr>
            <w:tcW w:w="3767" w:type="dxa"/>
          </w:tcPr>
          <w:p>
            <w:pPr>
              <w:pStyle w:val="TableParagraph"/>
              <w:ind w:left="44"/>
              <w:rPr>
                <w:sz w:val="18"/>
              </w:rPr>
            </w:pPr>
            <w:r>
              <w:rPr>
                <w:color w:val="231F20"/>
                <w:spacing w:val="-2"/>
                <w:sz w:val="18"/>
              </w:rPr>
              <w:t>Closed</w:t>
            </w:r>
          </w:p>
        </w:tc>
        <w:tc>
          <w:tcPr>
            <w:tcW w:w="3767" w:type="dxa"/>
          </w:tcPr>
          <w:p>
            <w:pPr>
              <w:pStyle w:val="TableParagraph"/>
              <w:rPr>
                <w:sz w:val="18"/>
              </w:rPr>
            </w:pPr>
            <w:r>
              <w:rPr>
                <w:color w:val="231F20"/>
                <w:spacing w:val="-10"/>
                <w:sz w:val="18"/>
              </w:rPr>
              <w:t>N</w:t>
            </w:r>
          </w:p>
        </w:tc>
      </w:tr>
      <w:tr>
        <w:trPr>
          <w:trHeight w:val="309" w:hRule="atLeast"/>
        </w:trPr>
        <w:tc>
          <w:tcPr>
            <w:tcW w:w="3767" w:type="dxa"/>
          </w:tcPr>
          <w:p>
            <w:pPr>
              <w:pStyle w:val="TableParagraph"/>
              <w:ind w:left="44"/>
              <w:rPr>
                <w:sz w:val="18"/>
              </w:rPr>
            </w:pPr>
            <w:r>
              <w:rPr>
                <w:color w:val="231F20"/>
                <w:spacing w:val="-2"/>
                <w:sz w:val="18"/>
              </w:rPr>
              <w:t>Stopped</w:t>
            </w:r>
          </w:p>
        </w:tc>
        <w:tc>
          <w:tcPr>
            <w:tcW w:w="3767" w:type="dxa"/>
          </w:tcPr>
          <w:p>
            <w:pPr>
              <w:pStyle w:val="TableParagraph"/>
              <w:rPr>
                <w:sz w:val="18"/>
              </w:rPr>
            </w:pPr>
            <w:r>
              <w:rPr>
                <w:color w:val="231F20"/>
                <w:spacing w:val="-10"/>
                <w:sz w:val="18"/>
              </w:rPr>
              <w:t>P</w:t>
            </w:r>
          </w:p>
        </w:tc>
      </w:tr>
      <w:tr>
        <w:trPr>
          <w:trHeight w:val="309" w:hRule="atLeast"/>
        </w:trPr>
        <w:tc>
          <w:tcPr>
            <w:tcW w:w="3767" w:type="dxa"/>
          </w:tcPr>
          <w:p>
            <w:pPr>
              <w:pStyle w:val="TableParagraph"/>
              <w:ind w:left="44"/>
              <w:rPr>
                <w:sz w:val="18"/>
              </w:rPr>
            </w:pPr>
            <w:r>
              <w:rPr>
                <w:color w:val="231F20"/>
                <w:spacing w:val="-2"/>
                <w:sz w:val="18"/>
              </w:rPr>
              <w:t>Started</w:t>
            </w:r>
          </w:p>
        </w:tc>
        <w:tc>
          <w:tcPr>
            <w:tcW w:w="3767" w:type="dxa"/>
          </w:tcPr>
          <w:p>
            <w:pPr>
              <w:pStyle w:val="TableParagraph"/>
              <w:rPr>
                <w:sz w:val="18"/>
              </w:rPr>
            </w:pPr>
            <w:r>
              <w:rPr>
                <w:color w:val="231F20"/>
                <w:spacing w:val="-10"/>
                <w:sz w:val="18"/>
              </w:rPr>
              <w:t>S</w:t>
            </w:r>
          </w:p>
        </w:tc>
      </w:tr>
      <w:tr>
        <w:trPr>
          <w:trHeight w:val="309" w:hRule="atLeast"/>
        </w:trPr>
        <w:tc>
          <w:tcPr>
            <w:tcW w:w="3767" w:type="dxa"/>
          </w:tcPr>
          <w:p>
            <w:pPr>
              <w:pStyle w:val="TableParagraph"/>
              <w:ind w:left="44"/>
              <w:rPr>
                <w:sz w:val="18"/>
              </w:rPr>
            </w:pPr>
            <w:r>
              <w:rPr>
                <w:color w:val="231F20"/>
                <w:spacing w:val="-2"/>
                <w:sz w:val="18"/>
              </w:rPr>
              <w:t>Deleted</w:t>
            </w:r>
          </w:p>
        </w:tc>
        <w:tc>
          <w:tcPr>
            <w:tcW w:w="3767" w:type="dxa"/>
          </w:tcPr>
          <w:p>
            <w:pPr>
              <w:pStyle w:val="TableParagraph"/>
              <w:rPr>
                <w:sz w:val="18"/>
              </w:rPr>
            </w:pPr>
            <w:r>
              <w:rPr>
                <w:color w:val="231F20"/>
                <w:spacing w:val="-10"/>
                <w:sz w:val="18"/>
              </w:rPr>
              <w:t>D</w:t>
            </w:r>
          </w:p>
        </w:tc>
      </w:tr>
      <w:tr>
        <w:trPr>
          <w:trHeight w:val="309" w:hRule="atLeast"/>
        </w:trPr>
        <w:tc>
          <w:tcPr>
            <w:tcW w:w="3767" w:type="dxa"/>
          </w:tcPr>
          <w:p>
            <w:pPr>
              <w:pStyle w:val="TableParagraph"/>
              <w:ind w:left="44"/>
              <w:rPr>
                <w:sz w:val="18"/>
              </w:rPr>
            </w:pPr>
            <w:r>
              <w:rPr>
                <w:color w:val="231F20"/>
                <w:spacing w:val="-2"/>
                <w:sz w:val="18"/>
              </w:rPr>
              <w:t>Acknowledged</w:t>
            </w:r>
          </w:p>
        </w:tc>
        <w:tc>
          <w:tcPr>
            <w:tcW w:w="3767" w:type="dxa"/>
          </w:tcPr>
          <w:p>
            <w:pPr>
              <w:pStyle w:val="TableParagraph"/>
              <w:rPr>
                <w:sz w:val="18"/>
              </w:rPr>
            </w:pPr>
            <w:r>
              <w:rPr>
                <w:color w:val="231F20"/>
                <w:spacing w:val="-10"/>
                <w:sz w:val="18"/>
              </w:rPr>
              <w:t>A</w:t>
            </w:r>
          </w:p>
        </w:tc>
      </w:tr>
      <w:tr>
        <w:trPr>
          <w:trHeight w:val="309" w:hRule="atLeast"/>
        </w:trPr>
        <w:tc>
          <w:tcPr>
            <w:tcW w:w="3767" w:type="dxa"/>
          </w:tcPr>
          <w:p>
            <w:pPr>
              <w:pStyle w:val="TableParagraph"/>
              <w:ind w:left="44"/>
              <w:rPr>
                <w:sz w:val="18"/>
              </w:rPr>
            </w:pPr>
            <w:r>
              <w:rPr>
                <w:color w:val="231F20"/>
                <w:spacing w:val="-2"/>
                <w:sz w:val="18"/>
              </w:rPr>
              <w:t>Reopened</w:t>
            </w:r>
          </w:p>
        </w:tc>
        <w:tc>
          <w:tcPr>
            <w:tcW w:w="3767" w:type="dxa"/>
          </w:tcPr>
          <w:p>
            <w:pPr>
              <w:pStyle w:val="TableParagraph"/>
              <w:rPr>
                <w:sz w:val="18"/>
              </w:rPr>
            </w:pPr>
            <w:r>
              <w:rPr>
                <w:color w:val="231F20"/>
                <w:spacing w:val="-10"/>
                <w:sz w:val="18"/>
              </w:rPr>
              <w:t>E</w:t>
            </w:r>
          </w:p>
        </w:tc>
      </w:tr>
      <w:tr>
        <w:trPr>
          <w:trHeight w:val="309" w:hRule="atLeast"/>
        </w:trPr>
        <w:tc>
          <w:tcPr>
            <w:tcW w:w="3767" w:type="dxa"/>
          </w:tcPr>
          <w:p>
            <w:pPr>
              <w:pStyle w:val="TableParagraph"/>
              <w:ind w:left="44"/>
              <w:rPr>
                <w:sz w:val="18"/>
              </w:rPr>
            </w:pPr>
            <w:r>
              <w:rPr>
                <w:color w:val="231F20"/>
                <w:spacing w:val="-2"/>
                <w:sz w:val="18"/>
              </w:rPr>
              <w:t>Expired</w:t>
            </w:r>
          </w:p>
        </w:tc>
        <w:tc>
          <w:tcPr>
            <w:tcW w:w="3767" w:type="dxa"/>
          </w:tcPr>
          <w:p>
            <w:pPr>
              <w:pStyle w:val="TableParagraph"/>
              <w:rPr>
                <w:sz w:val="18"/>
              </w:rPr>
            </w:pPr>
            <w:r>
              <w:rPr>
                <w:color w:val="231F20"/>
                <w:spacing w:val="-10"/>
                <w:sz w:val="18"/>
              </w:rPr>
              <w:t>F</w:t>
            </w:r>
          </w:p>
        </w:tc>
      </w:tr>
      <w:tr>
        <w:trPr>
          <w:trHeight w:val="314" w:hRule="atLeast"/>
        </w:trPr>
        <w:tc>
          <w:tcPr>
            <w:tcW w:w="3767" w:type="dxa"/>
          </w:tcPr>
          <w:p>
            <w:pPr>
              <w:pStyle w:val="TableParagraph"/>
              <w:ind w:left="44"/>
              <w:rPr>
                <w:sz w:val="18"/>
              </w:rPr>
            </w:pPr>
            <w:r>
              <w:rPr>
                <w:color w:val="231F20"/>
                <w:spacing w:val="-2"/>
                <w:sz w:val="18"/>
              </w:rPr>
              <w:t>Problem</w:t>
            </w:r>
          </w:p>
        </w:tc>
        <w:tc>
          <w:tcPr>
            <w:tcW w:w="3767" w:type="dxa"/>
          </w:tcPr>
          <w:p>
            <w:pPr>
              <w:pStyle w:val="TableParagraph"/>
              <w:rPr>
                <w:sz w:val="18"/>
              </w:rPr>
            </w:pPr>
            <w:r>
              <w:rPr>
                <w:color w:val="231F20"/>
                <w:spacing w:val="-10"/>
                <w:sz w:val="18"/>
              </w:rPr>
              <w:t>X</w:t>
            </w:r>
          </w:p>
        </w:tc>
      </w:tr>
    </w:tbl>
    <w:p>
      <w:pPr>
        <w:pStyle w:val="BodyText"/>
        <w:spacing w:before="116"/>
      </w:pPr>
    </w:p>
    <w:p>
      <w:pPr>
        <w:pStyle w:val="BodyText"/>
        <w:spacing w:before="1"/>
        <w:ind w:left="2472"/>
      </w:pPr>
      <w:r>
        <w:rPr>
          <w:rFonts w:ascii="Book Antiqua"/>
          <w:b/>
          <w:color w:val="231F20"/>
        </w:rPr>
        <w:t>TEC</w:t>
      </w:r>
      <w:r>
        <w:rPr>
          <w:rFonts w:ascii="Book Antiqua"/>
          <w:b/>
          <w:color w:val="231F20"/>
          <w:spacing w:val="9"/>
        </w:rPr>
        <w:t> </w:t>
      </w:r>
      <w:r>
        <w:rPr>
          <w:rFonts w:ascii="Book Antiqua"/>
          <w:b/>
          <w:color w:val="231F20"/>
        </w:rPr>
        <w:t>Severity</w:t>
      </w:r>
      <w:r>
        <w:rPr>
          <w:rFonts w:ascii="Book Antiqua"/>
          <w:b/>
          <w:color w:val="231F20"/>
          <w:spacing w:val="10"/>
        </w:rPr>
        <w:t> </w:t>
      </w:r>
      <w:r>
        <w:rPr>
          <w:color w:val="231F20"/>
        </w:rPr>
        <w:t>The</w:t>
      </w:r>
      <w:r>
        <w:rPr>
          <w:color w:val="231F20"/>
          <w:spacing w:val="10"/>
        </w:rPr>
        <w:t> </w:t>
      </w:r>
      <w:r>
        <w:rPr>
          <w:color w:val="231F20"/>
        </w:rPr>
        <w:t>severity</w:t>
      </w:r>
      <w:r>
        <w:rPr>
          <w:color w:val="231F20"/>
          <w:spacing w:val="10"/>
        </w:rPr>
        <w:t> </w:t>
      </w:r>
      <w:r>
        <w:rPr>
          <w:color w:val="231F20"/>
        </w:rPr>
        <w:t>value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event</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rPr>
        <w:t>Tivoli</w:t>
      </w:r>
      <w:r>
        <w:rPr>
          <w:color w:val="231F20"/>
          <w:spacing w:val="10"/>
        </w:rPr>
        <w:t> </w:t>
      </w:r>
      <w:r>
        <w:rPr>
          <w:color w:val="231F20"/>
        </w:rPr>
        <w:t>Enterprise</w:t>
      </w:r>
      <w:r>
        <w:rPr>
          <w:color w:val="231F20"/>
          <w:spacing w:val="10"/>
        </w:rPr>
        <w:t> </w:t>
      </w:r>
      <w:r>
        <w:rPr>
          <w:color w:val="231F20"/>
          <w:spacing w:val="-2"/>
        </w:rPr>
        <w:t>Console.</w:t>
      </w:r>
    </w:p>
    <w:p>
      <w:pPr>
        <w:pStyle w:val="BodyText"/>
        <w:spacing w:before="209"/>
        <w:ind w:left="2472"/>
      </w:pPr>
      <w:r>
        <w:rPr>
          <w:rFonts w:ascii="Book Antiqua"/>
          <w:b/>
          <w:color w:val="231F20"/>
        </w:rPr>
        <w:t>Transfer</w:t>
      </w:r>
      <w:r>
        <w:rPr>
          <w:rFonts w:ascii="Book Antiqua"/>
          <w:b/>
          <w:color w:val="231F20"/>
          <w:spacing w:val="10"/>
        </w:rPr>
        <w:t> </w:t>
      </w:r>
      <w:r>
        <w:rPr>
          <w:rFonts w:ascii="Book Antiqua"/>
          <w:b/>
          <w:color w:val="231F20"/>
        </w:rPr>
        <w:t>Owner</w:t>
      </w:r>
      <w:r>
        <w:rPr>
          <w:rFonts w:ascii="Book Antiqua"/>
          <w:b/>
          <w:color w:val="231F20"/>
          <w:spacing w:val="10"/>
        </w:rPr>
        <w:t> </w:t>
      </w:r>
      <w:r>
        <w:rPr>
          <w:color w:val="231F20"/>
        </w:rPr>
        <w:t>The</w:t>
      </w:r>
      <w:r>
        <w:rPr>
          <w:color w:val="231F20"/>
          <w:spacing w:val="10"/>
        </w:rPr>
        <w:t> </w:t>
      </w:r>
      <w:r>
        <w:rPr>
          <w:color w:val="231F20"/>
        </w:rPr>
        <w:t>ID</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user</w:t>
      </w:r>
      <w:r>
        <w:rPr>
          <w:color w:val="231F20"/>
          <w:spacing w:val="10"/>
        </w:rPr>
        <w:t> </w:t>
      </w:r>
      <w:r>
        <w:rPr>
          <w:color w:val="231F20"/>
        </w:rPr>
        <w:t>who</w:t>
      </w:r>
      <w:r>
        <w:rPr>
          <w:color w:val="231F20"/>
          <w:spacing w:val="10"/>
        </w:rPr>
        <w:t> </w:t>
      </w:r>
      <w:r>
        <w:rPr>
          <w:color w:val="231F20"/>
        </w:rPr>
        <w:t>is</w:t>
      </w:r>
      <w:r>
        <w:rPr>
          <w:color w:val="231F20"/>
          <w:spacing w:val="11"/>
        </w:rPr>
        <w:t> </w:t>
      </w:r>
      <w:r>
        <w:rPr>
          <w:color w:val="231F20"/>
        </w:rPr>
        <w:t>to</w:t>
      </w:r>
      <w:r>
        <w:rPr>
          <w:color w:val="231F20"/>
          <w:spacing w:val="10"/>
        </w:rPr>
        <w:t> </w:t>
      </w:r>
      <w:r>
        <w:rPr>
          <w:color w:val="231F20"/>
        </w:rPr>
        <w:t>receive</w:t>
      </w:r>
      <w:r>
        <w:rPr>
          <w:color w:val="231F20"/>
          <w:spacing w:val="10"/>
        </w:rPr>
        <w:t> </w:t>
      </w:r>
      <w:r>
        <w:rPr>
          <w:color w:val="231F20"/>
        </w:rPr>
        <w:t>ownership</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spacing w:val="-2"/>
        </w:rPr>
        <w:t>event.</w:t>
      </w:r>
    </w:p>
    <w:p>
      <w:pPr>
        <w:pStyle w:val="BodyText"/>
        <w:spacing w:line="213" w:lineRule="auto" w:before="232"/>
        <w:ind w:left="2472" w:right="545"/>
      </w:pPr>
      <w:r>
        <w:rPr>
          <w:rFonts w:ascii="Book Antiqua"/>
          <w:b/>
          <w:color w:val="231F20"/>
        </w:rPr>
        <w:t>Type </w:t>
      </w:r>
      <w:r>
        <w:rPr>
          <w:color w:val="231F20"/>
        </w:rPr>
        <w:t>Sampled (the situation samples at intervals), pure (unsolicited </w:t>
      </w:r>
      <w:r>
        <w:rPr>
          <w:color w:val="231F20"/>
        </w:rPr>
        <w:t>notification; the situation has no sampling interval), or hub (situation that runs at the hub monitoring server): 0, 1, 2.</w:t>
      </w:r>
    </w:p>
    <w:p>
      <w:pPr>
        <w:pStyle w:val="BodyText"/>
        <w:spacing w:line="213" w:lineRule="auto" w:before="237"/>
        <w:ind w:left="2472"/>
      </w:pPr>
      <w:r>
        <w:rPr>
          <w:rFonts w:ascii="Book Antiqua"/>
          <w:b/>
          <w:color w:val="231F20"/>
        </w:rPr>
        <w:t>UID </w:t>
      </w:r>
      <w:r>
        <w:rPr>
          <w:color w:val="231F20"/>
        </w:rPr>
        <w:t>The event record identifier, consisting of the current record count. After the counter reaches 9999, it starts at 0001 again.</w:t>
      </w:r>
    </w:p>
    <w:p>
      <w:pPr>
        <w:pStyle w:val="BodyText"/>
        <w:spacing w:before="215"/>
        <w:ind w:left="2472"/>
      </w:pPr>
      <w:r>
        <w:rPr>
          <w:rFonts w:ascii="Book Antiqua"/>
          <w:b/>
          <w:color w:val="231F20"/>
        </w:rPr>
        <w:t>UUID</w:t>
      </w:r>
      <w:r>
        <w:rPr>
          <w:rFonts w:ascii="Book Antiqua"/>
          <w:b/>
          <w:color w:val="231F20"/>
          <w:spacing w:val="11"/>
        </w:rPr>
        <w:t> </w:t>
      </w:r>
      <w:r>
        <w:rPr>
          <w:color w:val="231F20"/>
        </w:rPr>
        <w:t>A unique</w:t>
      </w:r>
      <w:r>
        <w:rPr>
          <w:color w:val="231F20"/>
          <w:spacing w:val="12"/>
        </w:rPr>
        <w:t> </w:t>
      </w:r>
      <w:r>
        <w:rPr>
          <w:color w:val="231F20"/>
        </w:rPr>
        <w:t>identifier</w:t>
      </w:r>
      <w:r>
        <w:rPr>
          <w:color w:val="231F20"/>
          <w:spacing w:val="11"/>
        </w:rPr>
        <w:t> </w:t>
      </w:r>
      <w:r>
        <w:rPr>
          <w:color w:val="231F20"/>
        </w:rPr>
        <w:t>assigned</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spacing w:val="-2"/>
        </w:rPr>
        <w:t>event.</w:t>
      </w:r>
    </w:p>
    <w:p>
      <w:pPr>
        <w:pStyle w:val="BodyText"/>
        <w:rPr>
          <w:sz w:val="16"/>
        </w:rPr>
      </w:pPr>
      <w:r>
        <w:rPr/>
        <mc:AlternateContent>
          <mc:Choice Requires="wps">
            <w:drawing>
              <wp:anchor distT="0" distB="0" distL="0" distR="0" allowOverlap="1" layoutInCell="1" locked="0" behindDoc="1" simplePos="0" relativeHeight="487757824">
                <wp:simplePos x="0" y="0"/>
                <wp:positionH relativeFrom="page">
                  <wp:posOffset>912380</wp:posOffset>
                </wp:positionH>
                <wp:positionV relativeFrom="paragraph">
                  <wp:posOffset>152473</wp:posOffset>
                </wp:positionV>
                <wp:extent cx="6082665" cy="1270"/>
                <wp:effectExtent l="0" t="0" r="0" b="0"/>
                <wp:wrapTopAndBottom/>
                <wp:docPr id="3408" name="Graphic 3408"/>
                <wp:cNvGraphicFramePr>
                  <a:graphicFrameLocks/>
                </wp:cNvGraphicFramePr>
                <a:graphic>
                  <a:graphicData uri="http://schemas.microsoft.com/office/word/2010/wordprocessingShape">
                    <wps:wsp>
                      <wps:cNvPr id="3408" name="Graphic 340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005768pt;width:478.95pt;height:.1pt;mso-position-horizontal-relative:page;mso-position-vertical-relative:paragraph;z-index:-15558656;mso-wrap-distance-left:0;mso-wrap-distance-right:0" id="docshape300" coordorigin="1437,240" coordsize="9579,0" path="m1437,240l11016,240e" filled="false" stroked="true" strokeweight=".499pt" strokecolor="#231f20">
                <v:path arrowok="t"/>
                <v:stroke dashstyle="solid"/>
                <w10:wrap type="topAndBottom"/>
              </v:shape>
            </w:pict>
          </mc:Fallback>
        </mc:AlternateContent>
      </w:r>
    </w:p>
    <w:p>
      <w:pPr>
        <w:pStyle w:val="Heading3"/>
      </w:pPr>
      <w:bookmarkStart w:name="Situation Status Current attributes" w:id="727"/>
      <w:bookmarkEnd w:id="727"/>
      <w:r>
        <w:rPr>
          <w:b w:val="0"/>
        </w:rPr>
      </w:r>
      <w:r>
        <w:rPr>
          <w:color w:val="231F20"/>
        </w:rPr>
        <w:t>Situation</w:t>
      </w:r>
      <w:r>
        <w:rPr>
          <w:color w:val="231F20"/>
          <w:spacing w:val="4"/>
        </w:rPr>
        <w:t> </w:t>
      </w:r>
      <w:r>
        <w:rPr>
          <w:color w:val="231F20"/>
        </w:rPr>
        <w:t>Status</w:t>
      </w:r>
      <w:r>
        <w:rPr>
          <w:color w:val="231F20"/>
          <w:spacing w:val="5"/>
        </w:rPr>
        <w:t> </w:t>
      </w:r>
      <w:r>
        <w:rPr>
          <w:color w:val="231F20"/>
        </w:rPr>
        <w:t>Current</w:t>
      </w:r>
      <w:r>
        <w:rPr>
          <w:color w:val="231F20"/>
          <w:spacing w:val="5"/>
        </w:rPr>
        <w:t> </w:t>
      </w:r>
      <w:r>
        <w:rPr>
          <w:color w:val="231F20"/>
          <w:spacing w:val="-2"/>
        </w:rPr>
        <w:t>attributes</w:t>
      </w:r>
    </w:p>
    <w:p>
      <w:pPr>
        <w:pStyle w:val="BodyText"/>
        <w:spacing w:line="213" w:lineRule="auto" w:before="138"/>
        <w:ind w:left="2472" w:right="258"/>
      </w:pPr>
      <w:r>
        <w:rPr>
          <w:color w:val="231F20"/>
        </w:rPr>
        <w:t>The Active Situation Status attributes collect status information on situations and policies</w:t>
      </w:r>
      <w:r>
        <w:rPr>
          <w:color w:val="231F20"/>
          <w:spacing w:val="28"/>
        </w:rPr>
        <w:t> </w:t>
      </w:r>
      <w:r>
        <w:rPr>
          <w:color w:val="231F20"/>
        </w:rPr>
        <w:t>that</w:t>
      </w:r>
      <w:r>
        <w:rPr>
          <w:color w:val="231F20"/>
          <w:spacing w:val="28"/>
        </w:rPr>
        <w:t> </w:t>
      </w:r>
      <w:r>
        <w:rPr>
          <w:color w:val="231F20"/>
        </w:rPr>
        <w:t>are</w:t>
      </w:r>
      <w:r>
        <w:rPr>
          <w:color w:val="231F20"/>
          <w:spacing w:val="28"/>
        </w:rPr>
        <w:t> </w:t>
      </w:r>
      <w:r>
        <w:rPr>
          <w:color w:val="231F20"/>
        </w:rPr>
        <w:t>running.</w:t>
      </w:r>
      <w:r>
        <w:rPr>
          <w:color w:val="231F20"/>
          <w:spacing w:val="28"/>
        </w:rPr>
        <w:t> </w:t>
      </w:r>
      <w:r>
        <w:rPr>
          <w:color w:val="231F20"/>
        </w:rPr>
        <w:t>The</w:t>
      </w:r>
      <w:r>
        <w:rPr>
          <w:color w:val="231F20"/>
          <w:spacing w:val="28"/>
        </w:rPr>
        <w:t> </w:t>
      </w:r>
      <w:r>
        <w:rPr>
          <w:color w:val="231F20"/>
        </w:rPr>
        <w:t>situation</w:t>
      </w:r>
      <w:r>
        <w:rPr>
          <w:color w:val="231F20"/>
          <w:spacing w:val="28"/>
        </w:rPr>
        <w:t> </w:t>
      </w:r>
      <w:r>
        <w:rPr>
          <w:color w:val="231F20"/>
        </w:rPr>
        <w:t>event</w:t>
      </w:r>
      <w:r>
        <w:rPr>
          <w:color w:val="231F20"/>
          <w:spacing w:val="28"/>
        </w:rPr>
        <w:t> </w:t>
      </w:r>
      <w:r>
        <w:rPr>
          <w:color w:val="231F20"/>
        </w:rPr>
        <w:t>console</w:t>
      </w:r>
      <w:r>
        <w:rPr>
          <w:color w:val="231F20"/>
          <w:spacing w:val="28"/>
        </w:rPr>
        <w:t> </w:t>
      </w:r>
      <w:r>
        <w:rPr>
          <w:color w:val="231F20"/>
        </w:rPr>
        <w:t>and</w:t>
      </w:r>
      <w:r>
        <w:rPr>
          <w:color w:val="231F20"/>
          <w:spacing w:val="28"/>
        </w:rPr>
        <w:t> </w:t>
      </w:r>
      <w:r>
        <w:rPr>
          <w:color w:val="231F20"/>
        </w:rPr>
        <w:t>message</w:t>
      </w:r>
      <w:r>
        <w:rPr>
          <w:color w:val="231F20"/>
          <w:spacing w:val="28"/>
        </w:rPr>
        <w:t> </w:t>
      </w:r>
      <w:r>
        <w:rPr>
          <w:color w:val="231F20"/>
        </w:rPr>
        <w:t>log</w:t>
      </w:r>
      <w:r>
        <w:rPr>
          <w:color w:val="231F20"/>
          <w:spacing w:val="28"/>
        </w:rPr>
        <w:t> </w:t>
      </w:r>
      <w:r>
        <w:rPr>
          <w:color w:val="231F20"/>
        </w:rPr>
        <w:t>views display these attributes. You can apply one of the predefined queries for this group (in the Query editor under Tivoli Enterprise Monitoring Server </w:t>
      </w:r>
      <w:r>
        <w:rPr>
          <w:rFonts w:ascii="Arial" w:hAnsi="Arial"/>
          <w:color w:val="231F20"/>
          <w:w w:val="90"/>
        </w:rPr>
        <w:t>→ </w:t>
      </w:r>
      <w:r>
        <w:rPr>
          <w:color w:val="231F20"/>
        </w:rPr>
        <w:t>Situation Status Current) to charts and tables; you cannot use these attributes in situations.</w:t>
      </w:r>
    </w:p>
    <w:p>
      <w:pPr>
        <w:pStyle w:val="BodyText"/>
        <w:spacing w:line="213" w:lineRule="auto" w:before="236"/>
        <w:ind w:left="2472" w:right="162"/>
      </w:pPr>
      <w:r>
        <w:rPr>
          <w:rFonts w:ascii="Book Antiqua"/>
          <w:b/>
          <w:color w:val="231F20"/>
        </w:rPr>
        <w:t>Display</w:t>
      </w:r>
      <w:r>
        <w:rPr>
          <w:rFonts w:ascii="Book Antiqua"/>
          <w:b/>
          <w:color w:val="231F20"/>
          <w:spacing w:val="21"/>
        </w:rPr>
        <w:t> </w:t>
      </w:r>
      <w:r>
        <w:rPr>
          <w:rFonts w:ascii="Book Antiqua"/>
          <w:b/>
          <w:color w:val="231F20"/>
        </w:rPr>
        <w:t>Item</w:t>
      </w:r>
      <w:r>
        <w:rPr>
          <w:rFonts w:ascii="Book Antiqua"/>
          <w:b/>
          <w:color w:val="231F20"/>
          <w:spacing w:val="21"/>
        </w:rPr>
        <w:t> </w:t>
      </w:r>
      <w:r>
        <w:rPr>
          <w:color w:val="231F20"/>
        </w:rPr>
        <w:t>Attribute</w:t>
      </w:r>
      <w:r>
        <w:rPr>
          <w:color w:val="231F20"/>
          <w:spacing w:val="21"/>
        </w:rPr>
        <w:t> </w:t>
      </w:r>
      <w:r>
        <w:rPr>
          <w:color w:val="231F20"/>
        </w:rPr>
        <w:t>to</w:t>
      </w:r>
      <w:r>
        <w:rPr>
          <w:color w:val="231F20"/>
          <w:spacing w:val="21"/>
        </w:rPr>
        <w:t> </w:t>
      </w:r>
      <w:r>
        <w:rPr>
          <w:color w:val="231F20"/>
        </w:rPr>
        <w:t>further</w:t>
      </w:r>
      <w:r>
        <w:rPr>
          <w:color w:val="231F20"/>
          <w:spacing w:val="21"/>
        </w:rPr>
        <w:t> </w:t>
      </w:r>
      <w:r>
        <w:rPr>
          <w:color w:val="231F20"/>
        </w:rPr>
        <w:t>qualify</w:t>
      </w:r>
      <w:r>
        <w:rPr>
          <w:color w:val="231F20"/>
          <w:spacing w:val="21"/>
        </w:rPr>
        <w:t> </w:t>
      </w:r>
      <w:r>
        <w:rPr>
          <w:color w:val="231F20"/>
        </w:rPr>
        <w:t>the</w:t>
      </w:r>
      <w:r>
        <w:rPr>
          <w:color w:val="231F20"/>
          <w:spacing w:val="21"/>
        </w:rPr>
        <w:t> </w:t>
      </w:r>
      <w:r>
        <w:rPr>
          <w:color w:val="231F20"/>
        </w:rPr>
        <w:t>situation.</w:t>
      </w:r>
      <w:r>
        <w:rPr>
          <w:color w:val="231F20"/>
          <w:spacing w:val="21"/>
        </w:rPr>
        <w:t> </w:t>
      </w:r>
      <w:r>
        <w:rPr>
          <w:color w:val="231F20"/>
        </w:rPr>
        <w:t>With</w:t>
      </w:r>
      <w:r>
        <w:rPr>
          <w:color w:val="231F20"/>
          <w:spacing w:val="21"/>
        </w:rPr>
        <w:t> </w:t>
      </w:r>
      <w:r>
        <w:rPr>
          <w:color w:val="231F20"/>
        </w:rPr>
        <w:t>a</w:t>
      </w:r>
      <w:r>
        <w:rPr>
          <w:color w:val="231F20"/>
          <w:spacing w:val="21"/>
        </w:rPr>
        <w:t> </w:t>
      </w:r>
      <w:r>
        <w:rPr>
          <w:color w:val="231F20"/>
        </w:rPr>
        <w:t>display</w:t>
      </w:r>
      <w:r>
        <w:rPr>
          <w:color w:val="231F20"/>
          <w:spacing w:val="21"/>
        </w:rPr>
        <w:t> </w:t>
      </w:r>
      <w:r>
        <w:rPr>
          <w:color w:val="231F20"/>
        </w:rPr>
        <w:t>item</w:t>
      </w:r>
      <w:r>
        <w:rPr>
          <w:color w:val="231F20"/>
          <w:spacing w:val="21"/>
        </w:rPr>
        <w:t> </w:t>
      </w:r>
      <w:r>
        <w:rPr>
          <w:color w:val="231F20"/>
        </w:rPr>
        <w:t>set</w:t>
      </w:r>
      <w:r>
        <w:rPr>
          <w:color w:val="231F20"/>
          <w:spacing w:val="21"/>
        </w:rPr>
        <w:t> </w:t>
      </w:r>
      <w:r>
        <w:rPr>
          <w:color w:val="231F20"/>
        </w:rPr>
        <w:t>for a multiple-row attribute group, the situation continues to look at the other rows in the</w:t>
      </w:r>
      <w:r>
        <w:rPr>
          <w:color w:val="231F20"/>
          <w:spacing w:val="25"/>
        </w:rPr>
        <w:t> </w:t>
      </w:r>
      <w:r>
        <w:rPr>
          <w:color w:val="231F20"/>
        </w:rPr>
        <w:t>sampling</w:t>
      </w:r>
      <w:r>
        <w:rPr>
          <w:color w:val="231F20"/>
          <w:spacing w:val="25"/>
        </w:rPr>
        <w:t> </w:t>
      </w:r>
      <w:r>
        <w:rPr>
          <w:color w:val="231F20"/>
        </w:rPr>
        <w:t>and</w:t>
      </w:r>
      <w:r>
        <w:rPr>
          <w:color w:val="231F20"/>
          <w:spacing w:val="25"/>
        </w:rPr>
        <w:t> </w:t>
      </w:r>
      <w:r>
        <w:rPr>
          <w:color w:val="231F20"/>
        </w:rPr>
        <w:t>opens</w:t>
      </w:r>
      <w:r>
        <w:rPr>
          <w:color w:val="231F20"/>
          <w:spacing w:val="25"/>
        </w:rPr>
        <w:t> </w:t>
      </w:r>
      <w:r>
        <w:rPr>
          <w:color w:val="231F20"/>
        </w:rPr>
        <w:t>more</w:t>
      </w:r>
      <w:r>
        <w:rPr>
          <w:color w:val="231F20"/>
          <w:spacing w:val="25"/>
        </w:rPr>
        <w:t> </w:t>
      </w:r>
      <w:r>
        <w:rPr>
          <w:color w:val="231F20"/>
        </w:rPr>
        <w:t>events</w:t>
      </w:r>
      <w:r>
        <w:rPr>
          <w:color w:val="231F20"/>
          <w:spacing w:val="25"/>
        </w:rPr>
        <w:t> </w:t>
      </w:r>
      <w:r>
        <w:rPr>
          <w:color w:val="231F20"/>
        </w:rPr>
        <w:t>if</w:t>
      </w:r>
      <w:r>
        <w:rPr>
          <w:color w:val="231F20"/>
          <w:spacing w:val="25"/>
        </w:rPr>
        <w:t> </w:t>
      </w:r>
      <w:r>
        <w:rPr>
          <w:color w:val="231F20"/>
        </w:rPr>
        <w:t>other</w:t>
      </w:r>
      <w:r>
        <w:rPr>
          <w:color w:val="231F20"/>
          <w:spacing w:val="25"/>
        </w:rPr>
        <w:t> </w:t>
      </w:r>
      <w:r>
        <w:rPr>
          <w:color w:val="231F20"/>
        </w:rPr>
        <w:t>rows</w:t>
      </w:r>
      <w:r>
        <w:rPr>
          <w:color w:val="231F20"/>
          <w:spacing w:val="25"/>
        </w:rPr>
        <w:t> </w:t>
      </w:r>
      <w:r>
        <w:rPr>
          <w:color w:val="231F20"/>
        </w:rPr>
        <w:t>qualify.</w:t>
      </w:r>
      <w:r>
        <w:rPr>
          <w:color w:val="231F20"/>
          <w:spacing w:val="25"/>
        </w:rPr>
        <w:t> </w:t>
      </w:r>
      <w:r>
        <w:rPr>
          <w:color w:val="231F20"/>
        </w:rPr>
        <w:t>This</w:t>
      </w:r>
      <w:r>
        <w:rPr>
          <w:color w:val="231F20"/>
          <w:spacing w:val="25"/>
        </w:rPr>
        <w:t> </w:t>
      </w:r>
      <w:r>
        <w:rPr>
          <w:color w:val="231F20"/>
        </w:rPr>
        <w:t>optional</w:t>
      </w:r>
      <w:r>
        <w:rPr>
          <w:color w:val="231F20"/>
          <w:spacing w:val="25"/>
        </w:rPr>
        <w:t> </w:t>
      </w:r>
      <w:r>
        <w:rPr>
          <w:color w:val="231F20"/>
        </w:rPr>
        <w:t>addition</w:t>
      </w:r>
      <w:r>
        <w:rPr>
          <w:color w:val="231F20"/>
        </w:rPr>
        <w:t> to a situation also enables you to quickly distinguish events in the message log and event</w:t>
      </w:r>
      <w:r>
        <w:rPr>
          <w:color w:val="231F20"/>
          <w:spacing w:val="29"/>
        </w:rPr>
        <w:t> </w:t>
      </w:r>
      <w:r>
        <w:rPr>
          <w:color w:val="231F20"/>
        </w:rPr>
        <w:t>console</w:t>
      </w:r>
      <w:r>
        <w:rPr>
          <w:color w:val="231F20"/>
          <w:spacing w:val="29"/>
        </w:rPr>
        <w:t> </w:t>
      </w:r>
      <w:r>
        <w:rPr>
          <w:color w:val="231F20"/>
        </w:rPr>
        <w:t>views.</w:t>
      </w:r>
      <w:r>
        <w:rPr>
          <w:color w:val="231F20"/>
          <w:spacing w:val="29"/>
        </w:rPr>
        <w:t> </w:t>
      </w:r>
      <w:r>
        <w:rPr>
          <w:color w:val="231F20"/>
        </w:rPr>
        <w:t>The</w:t>
      </w:r>
      <w:r>
        <w:rPr>
          <w:color w:val="231F20"/>
          <w:spacing w:val="29"/>
        </w:rPr>
        <w:t> </w:t>
      </w:r>
      <w:r>
        <w:rPr>
          <w:color w:val="231F20"/>
        </w:rPr>
        <w:t>display</w:t>
      </w:r>
      <w:r>
        <w:rPr>
          <w:color w:val="231F20"/>
          <w:spacing w:val="29"/>
        </w:rPr>
        <w:t> </w:t>
      </w:r>
      <w:r>
        <w:rPr>
          <w:color w:val="231F20"/>
        </w:rPr>
        <w:t>item</w:t>
      </w:r>
      <w:r>
        <w:rPr>
          <w:color w:val="231F20"/>
          <w:spacing w:val="29"/>
        </w:rPr>
        <w:t> </w:t>
      </w:r>
      <w:r>
        <w:rPr>
          <w:color w:val="231F20"/>
        </w:rPr>
        <w:t>is</w:t>
      </w:r>
      <w:r>
        <w:rPr>
          <w:color w:val="231F20"/>
          <w:spacing w:val="29"/>
        </w:rPr>
        <w:t> </w:t>
      </w:r>
      <w:r>
        <w:rPr>
          <w:color w:val="231F20"/>
        </w:rPr>
        <w:t>designated</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Situation</w:t>
      </w:r>
      <w:r>
        <w:rPr>
          <w:color w:val="231F20"/>
          <w:spacing w:val="29"/>
        </w:rPr>
        <w:t> </w:t>
      </w:r>
      <w:r>
        <w:rPr>
          <w:color w:val="231F20"/>
        </w:rPr>
        <w:t>editor (Formula tab, click </w:t>
      </w:r>
      <w:r>
        <w:rPr>
          <w:rFonts w:ascii="Book Antiqua"/>
          <w:b/>
          <w:color w:val="231F20"/>
        </w:rPr>
        <w:t>Advanced</w:t>
      </w:r>
      <w:r>
        <w:rPr>
          <w:color w:val="231F20"/>
        </w:rPr>
        <w:t>).</w:t>
      </w:r>
    </w:p>
    <w:p>
      <w:pPr>
        <w:pStyle w:val="BodyText"/>
        <w:spacing w:before="213"/>
        <w:ind w:left="2472"/>
      </w:pPr>
      <w:r>
        <w:rPr>
          <w:rFonts w:ascii="Book Antiqua"/>
          <w:b/>
          <w:color w:val="231F20"/>
        </w:rPr>
        <w:t>Full</w:t>
      </w:r>
      <w:r>
        <w:rPr>
          <w:rFonts w:ascii="Book Antiqua"/>
          <w:b/>
          <w:color w:val="231F20"/>
          <w:spacing w:val="11"/>
        </w:rPr>
        <w:t> </w:t>
      </w:r>
      <w:r>
        <w:rPr>
          <w:rFonts w:ascii="Book Antiqua"/>
          <w:b/>
          <w:color w:val="231F20"/>
        </w:rPr>
        <w:t>Name</w:t>
      </w:r>
      <w:r>
        <w:rPr>
          <w:rFonts w:ascii="Book Antiqua"/>
          <w:b/>
          <w:color w:val="231F20"/>
          <w:spacing w:val="12"/>
        </w:rPr>
        <w:t> </w:t>
      </w:r>
      <w:r>
        <w:rPr>
          <w:color w:val="231F20"/>
        </w:rPr>
        <w:t>The</w:t>
      </w:r>
      <w:r>
        <w:rPr>
          <w:color w:val="231F20"/>
          <w:spacing w:val="12"/>
        </w:rPr>
        <w:t> </w:t>
      </w:r>
      <w:r>
        <w:rPr>
          <w:color w:val="231F20"/>
        </w:rPr>
        <w:t>name</w:t>
      </w:r>
      <w:r>
        <w:rPr>
          <w:color w:val="231F20"/>
          <w:spacing w:val="12"/>
        </w:rPr>
        <w:t> </w:t>
      </w:r>
      <w:r>
        <w:rPr>
          <w:color w:val="231F20"/>
        </w:rPr>
        <w:t>given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rPr>
        <w:t>or</w:t>
      </w:r>
      <w:r>
        <w:rPr>
          <w:color w:val="231F20"/>
          <w:spacing w:val="12"/>
        </w:rPr>
        <w:t> </w:t>
      </w:r>
      <w:r>
        <w:rPr>
          <w:color w:val="231F20"/>
          <w:spacing w:val="-2"/>
        </w:rPr>
        <w:t>policy.</w:t>
      </w:r>
    </w:p>
    <w:p>
      <w:pPr>
        <w:pStyle w:val="BodyText"/>
        <w:spacing w:line="213" w:lineRule="auto" w:before="232"/>
        <w:ind w:left="2472" w:right="274"/>
      </w:pPr>
      <w:r>
        <w:rPr>
          <w:rFonts w:ascii="Book Antiqua"/>
          <w:b/>
          <w:color w:val="231F20"/>
        </w:rPr>
        <w:t>Global Timestamp </w:t>
      </w:r>
      <w:r>
        <w:rPr>
          <w:color w:val="231F20"/>
        </w:rPr>
        <w:t>The time the event was recorded by the hub Tivoli </w:t>
      </w:r>
      <w:r>
        <w:rPr>
          <w:color w:val="231F20"/>
        </w:rPr>
        <w:t>Enterprise Monitoring Server. The format is MM/DD/YY HH:MM:SS.</w:t>
      </w:r>
    </w:p>
    <w:p>
      <w:pPr>
        <w:spacing w:after="0" w:line="213" w:lineRule="auto"/>
        <w:sectPr>
          <w:pgSz w:w="12240" w:h="15840"/>
          <w:pgMar w:header="0" w:footer="736" w:top="1180" w:bottom="920" w:left="1000" w:right="1060"/>
        </w:sectPr>
      </w:pPr>
    </w:p>
    <w:p>
      <w:pPr>
        <w:pStyle w:val="BodyText"/>
        <w:spacing w:line="213" w:lineRule="auto" w:before="85"/>
        <w:ind w:left="2232" w:right="636"/>
      </w:pPr>
      <w:r>
        <w:rPr>
          <w:rFonts w:ascii="Book Antiqua"/>
          <w:b/>
          <w:color w:val="231F20"/>
        </w:rPr>
        <w:t>Local Timestamp </w:t>
      </w:r>
      <w:r>
        <w:rPr>
          <w:color w:val="231F20"/>
        </w:rPr>
        <w:t>The time the event occurred or the condition was observed </w:t>
      </w:r>
      <w:r>
        <w:rPr>
          <w:color w:val="231F20"/>
        </w:rPr>
        <w:t>by the originating managed system. The format is MM/DD/YY HH:MM:SS, as in</w:t>
      </w:r>
      <w:r>
        <w:rPr>
          <w:color w:val="231F20"/>
          <w:spacing w:val="80"/>
        </w:rPr>
        <w:t> </w:t>
      </w:r>
      <w:r>
        <w:rPr>
          <w:color w:val="231F20"/>
        </w:rPr>
        <w:t>07/23/09</w:t>
      </w:r>
      <w:r>
        <w:rPr>
          <w:color w:val="231F20"/>
          <w:spacing w:val="40"/>
        </w:rPr>
        <w:t> </w:t>
      </w:r>
      <w:r>
        <w:rPr>
          <w:color w:val="231F20"/>
        </w:rPr>
        <w:t>04:45:35</w:t>
      </w:r>
      <w:r>
        <w:rPr>
          <w:color w:val="231F20"/>
          <w:spacing w:val="40"/>
        </w:rPr>
        <w:t> </w:t>
      </w:r>
      <w:r>
        <w:rPr>
          <w:color w:val="231F20"/>
        </w:rPr>
        <w:t>for</w:t>
      </w:r>
      <w:r>
        <w:rPr>
          <w:color w:val="231F20"/>
          <w:spacing w:val="40"/>
        </w:rPr>
        <w:t> </w:t>
      </w:r>
      <w:r>
        <w:rPr>
          <w:color w:val="231F20"/>
        </w:rPr>
        <w:t>July</w:t>
      </w:r>
      <w:r>
        <w:rPr>
          <w:color w:val="231F20"/>
          <w:spacing w:val="40"/>
        </w:rPr>
        <w:t> </w:t>
      </w:r>
      <w:r>
        <w:rPr>
          <w:color w:val="231F20"/>
        </w:rPr>
        <w:t>23,2009</w:t>
      </w:r>
      <w:r>
        <w:rPr>
          <w:color w:val="231F20"/>
          <w:spacing w:val="40"/>
        </w:rPr>
        <w:t> </w:t>
      </w:r>
      <w:r>
        <w:rPr>
          <w:color w:val="231F20"/>
        </w:rPr>
        <w:t>at</w:t>
      </w:r>
      <w:r>
        <w:rPr>
          <w:color w:val="231F20"/>
          <w:spacing w:val="40"/>
        </w:rPr>
        <w:t> </w:t>
      </w:r>
      <w:r>
        <w:rPr>
          <w:color w:val="231F20"/>
        </w:rPr>
        <w:t>4:45:35 AM.</w:t>
      </w:r>
    </w:p>
    <w:p>
      <w:pPr>
        <w:pStyle w:val="BodyText"/>
        <w:spacing w:before="214"/>
        <w:ind w:left="2232"/>
      </w:pPr>
      <w:r>
        <w:rPr>
          <w:rFonts w:ascii="Book Antiqua"/>
          <w:b/>
          <w:color w:val="231F20"/>
        </w:rPr>
        <w:t>Name</w:t>
      </w:r>
      <w:r>
        <w:rPr>
          <w:rFonts w:ascii="Book Antiqua"/>
          <w:b/>
          <w:color w:val="231F20"/>
          <w:spacing w:val="11"/>
        </w:rPr>
        <w:t> </w:t>
      </w:r>
      <w:r>
        <w:rPr>
          <w:color w:val="231F20"/>
        </w:rPr>
        <w:t>The</w:t>
      </w:r>
      <w:r>
        <w:rPr>
          <w:color w:val="231F20"/>
          <w:spacing w:val="11"/>
        </w:rPr>
        <w:t> </w:t>
      </w:r>
      <w:r>
        <w:rPr>
          <w:color w:val="231F20"/>
        </w:rPr>
        <w:t>unique</w:t>
      </w:r>
      <w:r>
        <w:rPr>
          <w:color w:val="231F20"/>
          <w:spacing w:val="11"/>
        </w:rPr>
        <w:t> </w:t>
      </w:r>
      <w:r>
        <w:rPr>
          <w:color w:val="231F20"/>
        </w:rPr>
        <w:t>identifier</w:t>
      </w:r>
      <w:r>
        <w:rPr>
          <w:color w:val="231F20"/>
          <w:spacing w:val="12"/>
        </w:rPr>
        <w:t> </w:t>
      </w:r>
      <w:r>
        <w:rPr>
          <w:color w:val="231F20"/>
        </w:rPr>
        <w:t>given</w:t>
      </w:r>
      <w:r>
        <w:rPr>
          <w:color w:val="231F20"/>
          <w:spacing w:val="11"/>
        </w:rPr>
        <w:t> </w:t>
      </w:r>
      <w:r>
        <w:rPr>
          <w:color w:val="231F20"/>
        </w:rPr>
        <w:t>to</w:t>
      </w:r>
      <w:r>
        <w:rPr>
          <w:color w:val="231F20"/>
          <w:spacing w:val="11"/>
        </w:rPr>
        <w:t> </w:t>
      </w:r>
      <w:r>
        <w:rPr>
          <w:color w:val="231F20"/>
        </w:rPr>
        <w:t>the</w:t>
      </w:r>
      <w:r>
        <w:rPr>
          <w:color w:val="231F20"/>
          <w:spacing w:val="12"/>
        </w:rPr>
        <w:t> </w:t>
      </w:r>
      <w:r>
        <w:rPr>
          <w:color w:val="231F20"/>
        </w:rPr>
        <w:t>situation</w:t>
      </w:r>
      <w:r>
        <w:rPr>
          <w:color w:val="231F20"/>
          <w:spacing w:val="11"/>
        </w:rPr>
        <w:t> </w:t>
      </w:r>
      <w:r>
        <w:rPr>
          <w:color w:val="231F20"/>
        </w:rPr>
        <w:t>or</w:t>
      </w:r>
      <w:r>
        <w:rPr>
          <w:color w:val="231F20"/>
          <w:spacing w:val="11"/>
        </w:rPr>
        <w:t> </w:t>
      </w:r>
      <w:r>
        <w:rPr>
          <w:color w:val="231F20"/>
          <w:spacing w:val="-2"/>
        </w:rPr>
        <w:t>policy.</w:t>
      </w:r>
    </w:p>
    <w:p>
      <w:pPr>
        <w:pStyle w:val="BodyText"/>
        <w:spacing w:before="209"/>
        <w:ind w:left="2232"/>
      </w:pPr>
      <w:r>
        <w:rPr>
          <w:rFonts w:ascii="Book Antiqua"/>
          <w:b/>
          <w:color w:val="231F20"/>
        </w:rPr>
        <w:t>Node</w:t>
      </w:r>
      <w:r>
        <w:rPr>
          <w:rFonts w:ascii="Book Antiqua"/>
          <w:b/>
          <w:color w:val="231F20"/>
          <w:spacing w:val="11"/>
        </w:rPr>
        <w:t> </w:t>
      </w:r>
      <w:r>
        <w:rPr>
          <w:color w:val="231F20"/>
        </w:rPr>
        <w:t>The</w:t>
      </w:r>
      <w:r>
        <w:rPr>
          <w:color w:val="231F20"/>
          <w:spacing w:val="11"/>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monitoring</w:t>
      </w:r>
      <w:r>
        <w:rPr>
          <w:color w:val="231F20"/>
          <w:spacing w:val="11"/>
        </w:rPr>
        <w:t> </w:t>
      </w:r>
      <w:r>
        <w:rPr>
          <w:color w:val="231F20"/>
        </w:rPr>
        <w:t>server</w:t>
      </w:r>
      <w:r>
        <w:rPr>
          <w:color w:val="231F20"/>
          <w:spacing w:val="11"/>
        </w:rPr>
        <w:t> </w:t>
      </w:r>
      <w:r>
        <w:rPr>
          <w:color w:val="231F20"/>
        </w:rPr>
        <w:t>where</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spacing w:val="-2"/>
        </w:rPr>
        <w:t>running.</w:t>
      </w:r>
    </w:p>
    <w:p>
      <w:pPr>
        <w:pStyle w:val="BodyText"/>
        <w:spacing w:line="213" w:lineRule="auto" w:before="232"/>
        <w:ind w:left="2232" w:right="545"/>
      </w:pPr>
      <w:r>
        <w:rPr>
          <w:rFonts w:ascii="Book Antiqua"/>
          <w:b/>
          <w:color w:val="231F20"/>
        </w:rPr>
        <w:t>Origin Node </w:t>
      </w:r>
      <w:r>
        <w:rPr>
          <w:color w:val="231F20"/>
        </w:rPr>
        <w:t>The name of the managed system where the situation is </w:t>
      </w:r>
      <w:r>
        <w:rPr>
          <w:color w:val="231F20"/>
        </w:rPr>
        <w:t>being </w:t>
      </w:r>
      <w:r>
        <w:rPr>
          <w:color w:val="231F20"/>
          <w:spacing w:val="-2"/>
        </w:rPr>
        <w:t>monitored.</w:t>
      </w:r>
    </w:p>
    <w:p>
      <w:pPr>
        <w:pStyle w:val="BodyText"/>
        <w:spacing w:before="215"/>
        <w:ind w:left="2232"/>
      </w:pPr>
      <w:r>
        <w:rPr>
          <w:rFonts w:ascii="Book Antiqua"/>
          <w:b/>
          <w:color w:val="231F20"/>
        </w:rPr>
        <w:t>Owner</w:t>
      </w:r>
      <w:r>
        <w:rPr>
          <w:rFonts w:ascii="Book Antiqua"/>
          <w:b/>
          <w:color w:val="231F20"/>
          <w:spacing w:val="11"/>
        </w:rPr>
        <w:t> </w:t>
      </w:r>
      <w:r>
        <w:rPr>
          <w:color w:val="231F20"/>
        </w:rPr>
        <w:t>The</w:t>
      </w:r>
      <w:r>
        <w:rPr>
          <w:color w:val="231F20"/>
          <w:spacing w:val="11"/>
        </w:rPr>
        <w:t> </w:t>
      </w:r>
      <w:r>
        <w:rPr>
          <w:color w:val="231F20"/>
        </w:rPr>
        <w:t>user</w:t>
      </w:r>
      <w:r>
        <w:rPr>
          <w:color w:val="231F20"/>
          <w:spacing w:val="12"/>
        </w:rPr>
        <w:t> </w:t>
      </w:r>
      <w:r>
        <w:rPr>
          <w:color w:val="231F20"/>
        </w:rPr>
        <w:t>ID</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person</w:t>
      </w:r>
      <w:r>
        <w:rPr>
          <w:color w:val="231F20"/>
          <w:spacing w:val="11"/>
        </w:rPr>
        <w:t> </w:t>
      </w:r>
      <w:r>
        <w:rPr>
          <w:color w:val="231F20"/>
        </w:rPr>
        <w:t>who</w:t>
      </w:r>
      <w:r>
        <w:rPr>
          <w:color w:val="231F20"/>
          <w:spacing w:val="12"/>
        </w:rPr>
        <w:t> </w:t>
      </w:r>
      <w:r>
        <w:rPr>
          <w:color w:val="231F20"/>
        </w:rPr>
        <w:t>acknowledged</w:t>
      </w:r>
      <w:r>
        <w:rPr>
          <w:color w:val="231F20"/>
          <w:spacing w:val="11"/>
        </w:rPr>
        <w:t> </w:t>
      </w:r>
      <w:r>
        <w:rPr>
          <w:color w:val="231F20"/>
        </w:rPr>
        <w:t>the</w:t>
      </w:r>
      <w:r>
        <w:rPr>
          <w:color w:val="231F20"/>
          <w:spacing w:val="12"/>
        </w:rPr>
        <w:t> </w:t>
      </w:r>
      <w:r>
        <w:rPr>
          <w:color w:val="231F20"/>
          <w:spacing w:val="-2"/>
        </w:rPr>
        <w:t>event.</w:t>
      </w:r>
    </w:p>
    <w:p>
      <w:pPr>
        <w:pStyle w:val="BodyText"/>
        <w:spacing w:line="213" w:lineRule="auto" w:before="233"/>
        <w:ind w:left="2232"/>
      </w:pPr>
      <w:r>
        <w:rPr>
          <w:rFonts w:ascii="Book Antiqua"/>
          <w:b/>
          <w:color w:val="231F20"/>
        </w:rPr>
        <w:t>Sound File </w:t>
      </w:r>
      <w:r>
        <w:rPr>
          <w:color w:val="231F20"/>
        </w:rPr>
        <w:t>The name of the sound file associated with the Navigator item for </w:t>
      </w:r>
      <w:r>
        <w:rPr>
          <w:color w:val="231F20"/>
        </w:rPr>
        <w:t>this </w:t>
      </w:r>
      <w:r>
        <w:rPr>
          <w:color w:val="231F20"/>
          <w:spacing w:val="-2"/>
        </w:rPr>
        <w:t>situation.</w:t>
      </w:r>
    </w:p>
    <w:p>
      <w:pPr>
        <w:pStyle w:val="BodyText"/>
        <w:spacing w:before="215"/>
        <w:ind w:left="2232"/>
      </w:pPr>
      <w:r>
        <w:rPr>
          <w:rFonts w:ascii="Book Antiqua"/>
          <w:b/>
          <w:color w:val="231F20"/>
        </w:rPr>
        <w:t>Status</w:t>
      </w:r>
      <w:r>
        <w:rPr>
          <w:rFonts w:ascii="Book Antiqua"/>
          <w:b/>
          <w:color w:val="231F20"/>
          <w:spacing w:val="11"/>
        </w:rPr>
        <w:t> </w:t>
      </w:r>
      <w:r>
        <w:rPr>
          <w:color w:val="231F20"/>
        </w:rPr>
        <w:t>The</w:t>
      </w:r>
      <w:r>
        <w:rPr>
          <w:color w:val="231F20"/>
          <w:spacing w:val="11"/>
        </w:rPr>
        <w:t> </w:t>
      </w:r>
      <w:r>
        <w:rPr>
          <w:color w:val="231F20"/>
        </w:rPr>
        <w:t>status</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situation.</w:t>
      </w:r>
      <w:r>
        <w:rPr>
          <w:color w:val="231F20"/>
          <w:spacing w:val="11"/>
        </w:rPr>
        <w:t> </w:t>
      </w:r>
      <w:r>
        <w:rPr>
          <w:color w:val="231F20"/>
        </w:rPr>
        <w:t>The</w:t>
      </w:r>
      <w:r>
        <w:rPr>
          <w:color w:val="231F20"/>
          <w:spacing w:val="11"/>
        </w:rPr>
        <w:t> </w:t>
      </w:r>
      <w:r>
        <w:rPr>
          <w:color w:val="231F20"/>
        </w:rPr>
        <w:t>possible</w:t>
      </w:r>
      <w:r>
        <w:rPr>
          <w:color w:val="231F20"/>
          <w:spacing w:val="12"/>
        </w:rPr>
        <w:t> </w:t>
      </w:r>
      <w:r>
        <w:rPr>
          <w:color w:val="231F20"/>
        </w:rPr>
        <w:t>values</w:t>
      </w:r>
      <w:r>
        <w:rPr>
          <w:color w:val="231F20"/>
          <w:spacing w:val="11"/>
        </w:rPr>
        <w:t> </w:t>
      </w:r>
      <w:r>
        <w:rPr>
          <w:color w:val="231F20"/>
        </w:rPr>
        <w:t>are</w:t>
      </w:r>
      <w:r>
        <w:rPr>
          <w:color w:val="231F20"/>
          <w:spacing w:val="11"/>
        </w:rPr>
        <w:t> </w:t>
      </w:r>
      <w:r>
        <w:rPr>
          <w:color w:val="231F20"/>
        </w:rPr>
        <w:t>as</w:t>
      </w:r>
      <w:r>
        <w:rPr>
          <w:color w:val="231F20"/>
          <w:spacing w:val="12"/>
        </w:rPr>
        <w:t> </w:t>
      </w:r>
      <w:r>
        <w:rPr>
          <w:color w:val="231F20"/>
          <w:spacing w:val="-2"/>
        </w:rPr>
        <w:t>follows:</w:t>
      </w:r>
    </w:p>
    <w:p>
      <w:pPr>
        <w:pStyle w:val="BodyText"/>
        <w:spacing w:before="2"/>
        <w:rPr>
          <w:sz w:val="12"/>
        </w:r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493" w:hRule="atLeast"/>
        </w:trPr>
        <w:tc>
          <w:tcPr>
            <w:tcW w:w="2506" w:type="dxa"/>
          </w:tcPr>
          <w:p>
            <w:pPr>
              <w:pStyle w:val="TableParagraph"/>
              <w:spacing w:line="233" w:lineRule="exact" w:before="0"/>
              <w:ind w:left="54"/>
              <w:rPr>
                <w:sz w:val="18"/>
              </w:rPr>
            </w:pPr>
            <w:r>
              <w:rPr>
                <w:position w:val="-3"/>
              </w:rPr>
              <w:drawing>
                <wp:inline distT="0" distB="0" distL="0" distR="0">
                  <wp:extent cx="95250" cy="95250"/>
                  <wp:effectExtent l="0" t="0" r="0" b="0"/>
                  <wp:docPr id="3409" name="Image 3409"/>
                  <wp:cNvGraphicFramePr>
                    <a:graphicFrameLocks/>
                  </wp:cNvGraphicFramePr>
                  <a:graphic>
                    <a:graphicData uri="http://schemas.openxmlformats.org/drawingml/2006/picture">
                      <pic:pic>
                        <pic:nvPicPr>
                          <pic:cNvPr id="3409" name="Image 3409"/>
                          <pic:cNvPicPr/>
                        </pic:nvPicPr>
                        <pic:blipFill>
                          <a:blip r:embed="rId11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40"/>
                <w:sz w:val="20"/>
              </w:rPr>
              <w:t> </w:t>
            </w:r>
            <w:r>
              <w:rPr>
                <w:color w:val="231F20"/>
                <w:sz w:val="18"/>
              </w:rPr>
              <w:t>Acknowledged</w:t>
            </w:r>
          </w:p>
        </w:tc>
        <w:tc>
          <w:tcPr>
            <w:tcW w:w="2521" w:type="dxa"/>
          </w:tcPr>
          <w:p>
            <w:pPr>
              <w:pStyle w:val="TableParagraph"/>
              <w:spacing w:line="233" w:lineRule="exact" w:before="0"/>
              <w:rPr>
                <w:sz w:val="18"/>
              </w:rPr>
            </w:pPr>
            <w:r>
              <w:rPr>
                <w:color w:val="231F20"/>
                <w:spacing w:val="-10"/>
                <w:sz w:val="18"/>
              </w:rPr>
              <w:t>A</w:t>
            </w:r>
          </w:p>
        </w:tc>
        <w:tc>
          <w:tcPr>
            <w:tcW w:w="2506" w:type="dxa"/>
          </w:tcPr>
          <w:p>
            <w:pPr>
              <w:pStyle w:val="TableParagraph"/>
              <w:spacing w:line="216" w:lineRule="auto" w:before="9"/>
              <w:ind w:left="60" w:hanging="1"/>
              <w:rPr>
                <w:sz w:val="18"/>
              </w:rPr>
            </w:pPr>
            <w:r>
              <w:rPr>
                <w:color w:val="231F20"/>
                <w:sz w:val="18"/>
              </w:rPr>
              <w:t>The situation event has </w:t>
            </w:r>
            <w:r>
              <w:rPr>
                <w:color w:val="231F20"/>
                <w:sz w:val="18"/>
              </w:rPr>
              <w:t>been </w:t>
            </w:r>
            <w:r>
              <w:rPr>
                <w:color w:val="231F20"/>
                <w:spacing w:val="-2"/>
                <w:sz w:val="18"/>
              </w:rPr>
              <w:t>acknowledged.</w:t>
            </w:r>
          </w:p>
        </w:tc>
      </w:tr>
      <w:tr>
        <w:trPr>
          <w:trHeight w:val="528" w:hRule="atLeast"/>
        </w:trPr>
        <w:tc>
          <w:tcPr>
            <w:tcW w:w="2506" w:type="dxa"/>
          </w:tcPr>
          <w:p>
            <w:pPr>
              <w:pStyle w:val="TableParagraph"/>
              <w:ind w:left="54"/>
              <w:rPr>
                <w:sz w:val="18"/>
              </w:rPr>
            </w:pPr>
            <w:r>
              <w:rPr>
                <w:position w:val="-3"/>
              </w:rPr>
              <w:drawing>
                <wp:inline distT="0" distB="0" distL="0" distR="0">
                  <wp:extent cx="95250" cy="101600"/>
                  <wp:effectExtent l="0" t="0" r="0" b="0"/>
                  <wp:docPr id="3410" name="Image 3410"/>
                  <wp:cNvGraphicFramePr>
                    <a:graphicFrameLocks/>
                  </wp:cNvGraphicFramePr>
                  <a:graphic>
                    <a:graphicData uri="http://schemas.openxmlformats.org/drawingml/2006/picture">
                      <pic:pic>
                        <pic:nvPicPr>
                          <pic:cNvPr id="3410" name="Image 3410"/>
                          <pic:cNvPicPr/>
                        </pic:nvPicPr>
                        <pic:blipFill>
                          <a:blip r:embed="rId269"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color w:val="231F20"/>
                <w:sz w:val="18"/>
              </w:rPr>
              <w:t>Deleted</w:t>
            </w:r>
          </w:p>
        </w:tc>
        <w:tc>
          <w:tcPr>
            <w:tcW w:w="2521" w:type="dxa"/>
          </w:tcPr>
          <w:p>
            <w:pPr>
              <w:pStyle w:val="TableParagraph"/>
              <w:ind w:left="60"/>
              <w:rPr>
                <w:sz w:val="18"/>
              </w:rPr>
            </w:pPr>
            <w:r>
              <w:rPr>
                <w:color w:val="231F20"/>
                <w:spacing w:val="-10"/>
                <w:sz w:val="18"/>
              </w:rPr>
              <w:t>D</w:t>
            </w:r>
          </w:p>
        </w:tc>
        <w:tc>
          <w:tcPr>
            <w:tcW w:w="2506" w:type="dxa"/>
          </w:tcPr>
          <w:p>
            <w:pPr>
              <w:pStyle w:val="TableParagraph"/>
              <w:spacing w:line="216" w:lineRule="auto" w:before="44"/>
              <w:ind w:left="60" w:right="84" w:hanging="1"/>
              <w:rPr>
                <w:sz w:val="18"/>
              </w:rPr>
            </w:pPr>
            <w:r>
              <w:rPr>
                <w:color w:val="231F20"/>
                <w:sz w:val="18"/>
              </w:rPr>
              <w:t>The situation has </w:t>
            </w:r>
            <w:r>
              <w:rPr>
                <w:color w:val="231F20"/>
                <w:sz w:val="18"/>
              </w:rPr>
              <w:t>been </w:t>
            </w:r>
            <w:r>
              <w:rPr>
                <w:color w:val="231F20"/>
                <w:spacing w:val="-2"/>
                <w:sz w:val="18"/>
              </w:rPr>
              <w:t>deleted.</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11" name="Image 3411"/>
                  <wp:cNvGraphicFramePr>
                    <a:graphicFrameLocks/>
                  </wp:cNvGraphicFramePr>
                  <a:graphic>
                    <a:graphicData uri="http://schemas.openxmlformats.org/drawingml/2006/picture">
                      <pic:pic>
                        <pic:nvPicPr>
                          <pic:cNvPr id="3411" name="Image 3411"/>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Problem</w:t>
            </w:r>
          </w:p>
        </w:tc>
        <w:tc>
          <w:tcPr>
            <w:tcW w:w="2521" w:type="dxa"/>
          </w:tcPr>
          <w:p>
            <w:pPr>
              <w:pStyle w:val="TableParagraph"/>
              <w:ind w:left="60"/>
              <w:rPr>
                <w:sz w:val="18"/>
              </w:rPr>
            </w:pPr>
            <w:r>
              <w:rPr>
                <w:color w:val="231F20"/>
                <w:spacing w:val="-10"/>
                <w:sz w:val="18"/>
              </w:rPr>
              <w:t>X</w:t>
            </w:r>
          </w:p>
        </w:tc>
        <w:tc>
          <w:tcPr>
            <w:tcW w:w="2506" w:type="dxa"/>
          </w:tcPr>
          <w:p>
            <w:pPr>
              <w:pStyle w:val="TableParagraph"/>
              <w:spacing w:line="216" w:lineRule="auto" w:before="44"/>
              <w:ind w:left="60" w:hanging="1"/>
              <w:rPr>
                <w:sz w:val="18"/>
              </w:rPr>
            </w:pPr>
            <w:r>
              <w:rPr>
                <w:color w:val="231F20"/>
                <w:sz w:val="18"/>
              </w:rPr>
              <w:t>The situation is in a </w:t>
            </w:r>
            <w:r>
              <w:rPr>
                <w:color w:val="231F20"/>
                <w:sz w:val="18"/>
              </w:rPr>
              <w:t>problem </w:t>
            </w:r>
            <w:r>
              <w:rPr>
                <w:color w:val="231F20"/>
                <w:spacing w:val="-2"/>
                <w:sz w:val="18"/>
              </w:rPr>
              <w:t>state.</w:t>
            </w:r>
          </w:p>
        </w:tc>
      </w:tr>
      <w:tr>
        <w:trPr>
          <w:trHeight w:val="748" w:hRule="atLeast"/>
        </w:trPr>
        <w:tc>
          <w:tcPr>
            <w:tcW w:w="2506" w:type="dxa"/>
          </w:tcPr>
          <w:p>
            <w:pPr>
              <w:pStyle w:val="TableParagraph"/>
              <w:ind w:left="54"/>
              <w:rPr>
                <w:sz w:val="18"/>
              </w:rPr>
            </w:pPr>
            <w:r>
              <w:rPr>
                <w:position w:val="-3"/>
              </w:rPr>
              <w:drawing>
                <wp:inline distT="0" distB="0" distL="0" distR="0">
                  <wp:extent cx="95250" cy="95250"/>
                  <wp:effectExtent l="0" t="0" r="0" b="0"/>
                  <wp:docPr id="3412" name="Image 3412"/>
                  <wp:cNvGraphicFramePr>
                    <a:graphicFrameLocks/>
                  </wp:cNvGraphicFramePr>
                  <a:graphic>
                    <a:graphicData uri="http://schemas.openxmlformats.org/drawingml/2006/picture">
                      <pic:pic>
                        <pic:nvPicPr>
                          <pic:cNvPr id="3412" name="Image 3412"/>
                          <pic:cNvPicPr/>
                        </pic:nvPicPr>
                        <pic:blipFill>
                          <a:blip r:embed="rId11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Expired</w:t>
            </w:r>
          </w:p>
        </w:tc>
        <w:tc>
          <w:tcPr>
            <w:tcW w:w="2521" w:type="dxa"/>
          </w:tcPr>
          <w:p>
            <w:pPr>
              <w:pStyle w:val="TableParagraph"/>
              <w:ind w:left="60"/>
              <w:rPr>
                <w:sz w:val="18"/>
              </w:rPr>
            </w:pPr>
            <w:r>
              <w:rPr>
                <w:color w:val="231F20"/>
                <w:spacing w:val="-10"/>
                <w:sz w:val="18"/>
              </w:rPr>
              <w:t>F</w:t>
            </w:r>
          </w:p>
        </w:tc>
        <w:tc>
          <w:tcPr>
            <w:tcW w:w="2506" w:type="dxa"/>
          </w:tcPr>
          <w:p>
            <w:pPr>
              <w:pStyle w:val="TableParagraph"/>
              <w:spacing w:line="216" w:lineRule="auto" w:before="44"/>
              <w:ind w:left="60" w:right="170" w:hanging="1"/>
              <w:jc w:val="both"/>
              <w:rPr>
                <w:sz w:val="18"/>
              </w:rPr>
            </w:pPr>
            <w:r>
              <w:rPr>
                <w:color w:val="231F20"/>
                <w:sz w:val="18"/>
              </w:rPr>
              <w:t>The</w:t>
            </w:r>
            <w:r>
              <w:rPr>
                <w:color w:val="231F20"/>
                <w:spacing w:val="-7"/>
                <w:sz w:val="18"/>
              </w:rPr>
              <w:t> </w:t>
            </w:r>
            <w:r>
              <w:rPr>
                <w:color w:val="231F20"/>
                <w:sz w:val="18"/>
              </w:rPr>
              <w:t>acknowldedgement</w:t>
            </w:r>
            <w:r>
              <w:rPr>
                <w:color w:val="231F20"/>
                <w:spacing w:val="-7"/>
                <w:sz w:val="18"/>
              </w:rPr>
              <w:t> </w:t>
            </w:r>
            <w:r>
              <w:rPr>
                <w:color w:val="231F20"/>
                <w:sz w:val="18"/>
              </w:rPr>
              <w:t>has expired and the situation is still true.</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13" name="Image 3413"/>
                  <wp:cNvGraphicFramePr>
                    <a:graphicFrameLocks/>
                  </wp:cNvGraphicFramePr>
                  <a:graphic>
                    <a:graphicData uri="http://schemas.openxmlformats.org/drawingml/2006/picture">
                      <pic:pic>
                        <pic:nvPicPr>
                          <pic:cNvPr id="3413" name="Image 3413"/>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Open</w:t>
            </w:r>
          </w:p>
        </w:tc>
        <w:tc>
          <w:tcPr>
            <w:tcW w:w="2521" w:type="dxa"/>
          </w:tcPr>
          <w:p>
            <w:pPr>
              <w:pStyle w:val="TableParagraph"/>
              <w:ind w:left="60"/>
              <w:rPr>
                <w:sz w:val="18"/>
              </w:rPr>
            </w:pPr>
            <w:r>
              <w:rPr>
                <w:color w:val="231F20"/>
                <w:spacing w:val="-10"/>
                <w:sz w:val="18"/>
              </w:rPr>
              <w:t>Y</w:t>
            </w:r>
          </w:p>
        </w:tc>
        <w:tc>
          <w:tcPr>
            <w:tcW w:w="2506" w:type="dxa"/>
          </w:tcPr>
          <w:p>
            <w:pPr>
              <w:pStyle w:val="TableParagraph"/>
              <w:spacing w:line="216" w:lineRule="auto" w:before="44"/>
              <w:ind w:left="60" w:right="84" w:hanging="1"/>
              <w:rPr>
                <w:sz w:val="18"/>
              </w:rPr>
            </w:pPr>
            <w:r>
              <w:rPr>
                <w:color w:val="231F20"/>
                <w:sz w:val="18"/>
              </w:rPr>
              <w:t>The situation is running </w:t>
            </w:r>
            <w:r>
              <w:rPr>
                <w:color w:val="231F20"/>
                <w:sz w:val="18"/>
              </w:rPr>
              <w:t>and is true.</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14" name="Image 3414"/>
                  <wp:cNvGraphicFramePr>
                    <a:graphicFrameLocks/>
                  </wp:cNvGraphicFramePr>
                  <a:graphic>
                    <a:graphicData uri="http://schemas.openxmlformats.org/drawingml/2006/picture">
                      <pic:pic>
                        <pic:nvPicPr>
                          <pic:cNvPr id="3414" name="Image 3414"/>
                          <pic:cNvPicPr/>
                        </pic:nvPicPr>
                        <pic:blipFill>
                          <a:blip r:embed="rId16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Closed</w:t>
            </w:r>
          </w:p>
        </w:tc>
        <w:tc>
          <w:tcPr>
            <w:tcW w:w="2521" w:type="dxa"/>
          </w:tcPr>
          <w:p>
            <w:pPr>
              <w:pStyle w:val="TableParagraph"/>
              <w:ind w:left="60"/>
              <w:rPr>
                <w:sz w:val="18"/>
              </w:rPr>
            </w:pPr>
            <w:r>
              <w:rPr>
                <w:color w:val="231F20"/>
                <w:spacing w:val="-10"/>
                <w:sz w:val="18"/>
              </w:rPr>
              <w:t>N</w:t>
            </w:r>
          </w:p>
        </w:tc>
        <w:tc>
          <w:tcPr>
            <w:tcW w:w="2506" w:type="dxa"/>
          </w:tcPr>
          <w:p>
            <w:pPr>
              <w:pStyle w:val="TableParagraph"/>
              <w:spacing w:line="216" w:lineRule="auto" w:before="44"/>
              <w:ind w:left="60" w:hanging="1"/>
              <w:rPr>
                <w:sz w:val="18"/>
              </w:rPr>
            </w:pPr>
            <w:r>
              <w:rPr>
                <w:color w:val="231F20"/>
                <w:sz w:val="18"/>
              </w:rPr>
              <w:t>The situation is running, </w:t>
            </w:r>
            <w:r>
              <w:rPr>
                <w:color w:val="231F20"/>
                <w:sz w:val="18"/>
              </w:rPr>
              <w:t>has been true, and is now false.</w:t>
            </w:r>
          </w:p>
        </w:tc>
      </w:tr>
      <w:tr>
        <w:trPr>
          <w:trHeight w:val="967" w:hRule="atLeast"/>
        </w:trPr>
        <w:tc>
          <w:tcPr>
            <w:tcW w:w="2506" w:type="dxa"/>
          </w:tcPr>
          <w:p>
            <w:pPr>
              <w:pStyle w:val="TableParagraph"/>
              <w:ind w:left="54"/>
              <w:rPr>
                <w:sz w:val="18"/>
              </w:rPr>
            </w:pPr>
            <w:r>
              <w:rPr>
                <w:position w:val="-3"/>
              </w:rPr>
              <w:drawing>
                <wp:inline distT="0" distB="0" distL="0" distR="0">
                  <wp:extent cx="95250" cy="95250"/>
                  <wp:effectExtent l="0" t="0" r="0" b="0"/>
                  <wp:docPr id="3415" name="Image 3415"/>
                  <wp:cNvGraphicFramePr>
                    <a:graphicFrameLocks/>
                  </wp:cNvGraphicFramePr>
                  <a:graphic>
                    <a:graphicData uri="http://schemas.openxmlformats.org/drawingml/2006/picture">
                      <pic:pic>
                        <pic:nvPicPr>
                          <pic:cNvPr id="3415" name="Image 3415"/>
                          <pic:cNvPicPr/>
                        </pic:nvPicPr>
                        <pic:blipFill>
                          <a:blip r:embed="rId112"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Reopened</w:t>
            </w:r>
          </w:p>
        </w:tc>
        <w:tc>
          <w:tcPr>
            <w:tcW w:w="2521" w:type="dxa"/>
          </w:tcPr>
          <w:p>
            <w:pPr>
              <w:pStyle w:val="TableParagraph"/>
              <w:ind w:left="60"/>
              <w:rPr>
                <w:sz w:val="18"/>
              </w:rPr>
            </w:pPr>
            <w:r>
              <w:rPr>
                <w:color w:val="231F20"/>
                <w:spacing w:val="-10"/>
                <w:sz w:val="18"/>
              </w:rPr>
              <w:t>E</w:t>
            </w:r>
          </w:p>
        </w:tc>
        <w:tc>
          <w:tcPr>
            <w:tcW w:w="2506" w:type="dxa"/>
          </w:tcPr>
          <w:p>
            <w:pPr>
              <w:pStyle w:val="TableParagraph"/>
              <w:spacing w:line="216" w:lineRule="auto" w:before="44"/>
              <w:ind w:left="60" w:right="84" w:hanging="1"/>
              <w:rPr>
                <w:sz w:val="18"/>
              </w:rPr>
            </w:pPr>
            <w:r>
              <w:rPr>
                <w:color w:val="231F20"/>
                <w:sz w:val="18"/>
              </w:rPr>
              <w:t>The acknowledgement was removed before it had expired and the situation </w:t>
            </w:r>
            <w:r>
              <w:rPr>
                <w:color w:val="231F20"/>
                <w:sz w:val="18"/>
              </w:rPr>
              <w:t>is still true.</w:t>
            </w:r>
          </w:p>
        </w:tc>
      </w:tr>
      <w:tr>
        <w:trPr>
          <w:trHeight w:val="528" w:hRule="atLeast"/>
        </w:trPr>
        <w:tc>
          <w:tcPr>
            <w:tcW w:w="2506" w:type="dxa"/>
          </w:tcPr>
          <w:p>
            <w:pPr>
              <w:pStyle w:val="TableParagraph"/>
              <w:spacing w:before="104"/>
              <w:ind w:left="114"/>
              <w:rPr>
                <w:sz w:val="18"/>
              </w:rPr>
            </w:pPr>
            <w:r>
              <w:rPr>
                <w:position w:val="-1"/>
              </w:rPr>
              <w:drawing>
                <wp:inline distT="0" distB="0" distL="0" distR="0">
                  <wp:extent cx="82550" cy="133350"/>
                  <wp:effectExtent l="0" t="0" r="0" b="0"/>
                  <wp:docPr id="3416" name="Image 3416"/>
                  <wp:cNvGraphicFramePr>
                    <a:graphicFrameLocks/>
                  </wp:cNvGraphicFramePr>
                  <a:graphic>
                    <a:graphicData uri="http://schemas.openxmlformats.org/drawingml/2006/picture">
                      <pic:pic>
                        <pic:nvPicPr>
                          <pic:cNvPr id="3416" name="Image 3416"/>
                          <pic:cNvPicPr/>
                        </pic:nvPicPr>
                        <pic:blipFill>
                          <a:blip r:embed="rId166" cstate="print"/>
                          <a:stretch>
                            <a:fillRect/>
                          </a:stretch>
                        </pic:blipFill>
                        <pic:spPr>
                          <a:xfrm>
                            <a:off x="0" y="0"/>
                            <a:ext cx="82550" cy="133350"/>
                          </a:xfrm>
                          <a:prstGeom prst="rect">
                            <a:avLst/>
                          </a:prstGeom>
                        </pic:spPr>
                      </pic:pic>
                    </a:graphicData>
                  </a:graphic>
                </wp:inline>
              </w:drawing>
            </w:r>
            <w:r>
              <w:rPr>
                <w:position w:val="-1"/>
              </w:rPr>
            </w:r>
            <w:r>
              <w:rPr>
                <w:rFonts w:ascii="Times New Roman"/>
                <w:sz w:val="20"/>
              </w:rPr>
              <w:t> </w:t>
            </w:r>
            <w:r>
              <w:rPr>
                <w:color w:val="231F20"/>
                <w:sz w:val="18"/>
              </w:rPr>
              <w:t>Started</w:t>
            </w:r>
          </w:p>
        </w:tc>
        <w:tc>
          <w:tcPr>
            <w:tcW w:w="2521" w:type="dxa"/>
          </w:tcPr>
          <w:p>
            <w:pPr>
              <w:pStyle w:val="TableParagraph"/>
              <w:ind w:left="60"/>
              <w:rPr>
                <w:sz w:val="18"/>
              </w:rPr>
            </w:pPr>
            <w:r>
              <w:rPr>
                <w:color w:val="231F20"/>
                <w:spacing w:val="-10"/>
                <w:sz w:val="18"/>
              </w:rPr>
              <w:t>S</w:t>
            </w:r>
          </w:p>
        </w:tc>
        <w:tc>
          <w:tcPr>
            <w:tcW w:w="2506" w:type="dxa"/>
          </w:tcPr>
          <w:p>
            <w:pPr>
              <w:pStyle w:val="TableParagraph"/>
              <w:spacing w:line="216" w:lineRule="auto" w:before="44"/>
              <w:ind w:left="60" w:right="167"/>
              <w:rPr>
                <w:sz w:val="18"/>
              </w:rPr>
            </w:pPr>
            <w:r>
              <w:rPr>
                <w:color w:val="231F20"/>
                <w:sz w:val="18"/>
              </w:rPr>
              <w:t>The situation is </w:t>
            </w:r>
            <w:r>
              <w:rPr>
                <w:color w:val="231F20"/>
                <w:sz w:val="18"/>
              </w:rPr>
              <w:t>being </w:t>
            </w:r>
            <w:r>
              <w:rPr>
                <w:color w:val="231F20"/>
                <w:spacing w:val="-2"/>
                <w:sz w:val="18"/>
              </w:rPr>
              <w:t>started.</w:t>
            </w:r>
          </w:p>
        </w:tc>
      </w:tr>
      <w:tr>
        <w:trPr>
          <w:trHeight w:val="533" w:hRule="atLeast"/>
        </w:trPr>
        <w:tc>
          <w:tcPr>
            <w:tcW w:w="2506" w:type="dxa"/>
          </w:tcPr>
          <w:p>
            <w:pPr>
              <w:pStyle w:val="TableParagraph"/>
              <w:ind w:left="54"/>
              <w:rPr>
                <w:sz w:val="18"/>
              </w:rPr>
            </w:pPr>
            <w:r>
              <w:rPr>
                <w:position w:val="-3"/>
              </w:rPr>
              <w:drawing>
                <wp:inline distT="0" distB="0" distL="0" distR="0">
                  <wp:extent cx="95250" cy="95250"/>
                  <wp:effectExtent l="0" t="0" r="0" b="0"/>
                  <wp:docPr id="3417" name="Image 3417"/>
                  <wp:cNvGraphicFramePr>
                    <a:graphicFrameLocks/>
                  </wp:cNvGraphicFramePr>
                  <a:graphic>
                    <a:graphicData uri="http://schemas.openxmlformats.org/drawingml/2006/picture">
                      <pic:pic>
                        <pic:nvPicPr>
                          <pic:cNvPr id="3417" name="Image 3417"/>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Stopped</w:t>
            </w:r>
          </w:p>
        </w:tc>
        <w:tc>
          <w:tcPr>
            <w:tcW w:w="2521" w:type="dxa"/>
          </w:tcPr>
          <w:p>
            <w:pPr>
              <w:pStyle w:val="TableParagraph"/>
              <w:ind w:left="60"/>
              <w:rPr>
                <w:sz w:val="18"/>
              </w:rPr>
            </w:pPr>
            <w:r>
              <w:rPr>
                <w:color w:val="231F20"/>
                <w:spacing w:val="-10"/>
                <w:sz w:val="18"/>
              </w:rPr>
              <w:t>P</w:t>
            </w:r>
          </w:p>
        </w:tc>
        <w:tc>
          <w:tcPr>
            <w:tcW w:w="2506" w:type="dxa"/>
          </w:tcPr>
          <w:p>
            <w:pPr>
              <w:pStyle w:val="TableParagraph"/>
              <w:spacing w:line="216" w:lineRule="auto" w:before="44"/>
              <w:ind w:left="60" w:hanging="1"/>
              <w:rPr>
                <w:sz w:val="18"/>
              </w:rPr>
            </w:pPr>
            <w:r>
              <w:rPr>
                <w:color w:val="231F20"/>
                <w:sz w:val="18"/>
              </w:rPr>
              <w:t>The situation has </w:t>
            </w:r>
            <w:r>
              <w:rPr>
                <w:color w:val="231F20"/>
                <w:sz w:val="18"/>
              </w:rPr>
              <w:t>been </w:t>
            </w:r>
            <w:r>
              <w:rPr>
                <w:color w:val="231F20"/>
                <w:spacing w:val="-2"/>
                <w:sz w:val="18"/>
              </w:rPr>
              <w:t>stopped.</w:t>
            </w:r>
          </w:p>
        </w:tc>
      </w:tr>
    </w:tbl>
    <w:p>
      <w:pPr>
        <w:pStyle w:val="BodyText"/>
        <w:spacing w:before="143"/>
      </w:pPr>
    </w:p>
    <w:p>
      <w:pPr>
        <w:pStyle w:val="BodyText"/>
        <w:spacing w:line="213" w:lineRule="auto"/>
        <w:ind w:left="2232" w:right="636"/>
      </w:pPr>
      <w:r>
        <w:rPr>
          <w:rFonts w:ascii="Book Antiqua"/>
          <w:b/>
          <w:color w:val="231F20"/>
        </w:rPr>
        <w:t>Type </w:t>
      </w:r>
      <w:r>
        <w:rPr>
          <w:color w:val="231F20"/>
        </w:rPr>
        <w:t>The event is either pure (unsolicited notification; the situation has </w:t>
      </w:r>
      <w:r>
        <w:rPr>
          <w:color w:val="231F20"/>
        </w:rPr>
        <w:t>no sampling interval) or sampled (the situation is sampled at intervals).</w:t>
      </w:r>
    </w:p>
    <w:p>
      <w:pPr>
        <w:pStyle w:val="Heading6"/>
        <w:spacing w:line="240" w:lineRule="auto"/>
        <w:ind w:left="2232"/>
      </w:pPr>
      <w:r>
        <w:rPr>
          <w:color w:val="231F20"/>
          <w:spacing w:val="-2"/>
        </w:rPr>
        <w:t>Sampled</w:t>
      </w:r>
    </w:p>
    <w:p>
      <w:pPr>
        <w:pStyle w:val="BodyText"/>
        <w:spacing w:line="213" w:lineRule="auto" w:before="119"/>
        <w:ind w:left="2951" w:right="493"/>
      </w:pPr>
      <w:r>
        <w:rPr>
          <w:color w:val="231F20"/>
        </w:rPr>
        <w:t>Sampled events happen when a situation becomes true. Situations sample data at regular intervals. When the situation is true, it causes an event,</w:t>
      </w:r>
      <w:r>
        <w:rPr>
          <w:color w:val="231F20"/>
          <w:spacing w:val="40"/>
        </w:rPr>
        <w:t> </w:t>
      </w:r>
      <w:r>
        <w:rPr>
          <w:color w:val="231F20"/>
        </w:rPr>
        <w:t>which is closed automatically when the situation goes back to false (or </w:t>
      </w:r>
      <w:r>
        <w:rPr>
          <w:color w:val="231F20"/>
        </w:rPr>
        <w:t>you can close it manually if you stop the situation).</w:t>
      </w:r>
    </w:p>
    <w:p>
      <w:pPr>
        <w:pStyle w:val="Heading6"/>
        <w:spacing w:line="240" w:lineRule="auto" w:before="116"/>
        <w:ind w:left="2232"/>
      </w:pPr>
      <w:r>
        <w:rPr>
          <w:color w:val="231F20"/>
          <w:spacing w:val="-4"/>
        </w:rPr>
        <w:t>Pure</w:t>
      </w:r>
    </w:p>
    <w:p>
      <w:pPr>
        <w:pStyle w:val="BodyText"/>
        <w:spacing w:line="213" w:lineRule="auto" w:before="119"/>
        <w:ind w:left="2951" w:right="569"/>
        <w:jc w:val="both"/>
      </w:pPr>
      <w:r>
        <w:rPr>
          <w:color w:val="231F20"/>
        </w:rPr>
        <w:t>Pure events are unsolicited notifications. Examples of pure events are an out-of-paper condition on a printer and an occurrence that adds an entry</w:t>
      </w:r>
      <w:r>
        <w:rPr>
          <w:color w:val="231F20"/>
          <w:spacing w:val="80"/>
        </w:rPr>
        <w:t> </w:t>
      </w:r>
      <w:r>
        <w:rPr>
          <w:color w:val="231F20"/>
        </w:rPr>
        <w:t>to the Windows System Log. Some monitoring agents have attributes </w:t>
      </w:r>
      <w:r>
        <w:rPr>
          <w:color w:val="231F20"/>
        </w:rPr>
        <w:t>that report pure events, such as the Windows Event Log and Windows File</w:t>
      </w:r>
    </w:p>
    <w:p>
      <w:pPr>
        <w:spacing w:after="0" w:line="213" w:lineRule="auto"/>
        <w:jc w:val="both"/>
        <w:sectPr>
          <w:pgSz w:w="12240" w:h="15840"/>
          <w:pgMar w:header="0" w:footer="736" w:top="1180" w:bottom="920" w:left="1000" w:right="1060"/>
        </w:sectPr>
      </w:pPr>
    </w:p>
    <w:p>
      <w:pPr>
        <w:pStyle w:val="BodyText"/>
        <w:spacing w:line="213" w:lineRule="auto" w:before="85"/>
        <w:ind w:left="3190" w:right="379"/>
      </w:pPr>
      <w:bookmarkStart w:name="_bookmark348" w:id="728"/>
      <w:bookmarkEnd w:id="728"/>
      <w:r>
        <w:rPr/>
      </w:r>
      <w:r>
        <w:rPr>
          <w:color w:val="231F20"/>
        </w:rPr>
        <w:t>Change attribute groups. A situation using one of these attributes can monitor for pure events. Because of the nature of pure events and the fact that a situation created with pure event attributes does not have a</w:t>
      </w:r>
      <w:r>
        <w:rPr>
          <w:color w:val="231F20"/>
          <w:spacing w:val="80"/>
        </w:rPr>
        <w:t> </w:t>
      </w:r>
      <w:r>
        <w:rPr>
          <w:color w:val="231F20"/>
        </w:rPr>
        <w:t>sampling interval, they are not closed automatically like sampled events; you must close the event manually or through an UNTIL clause.</w:t>
      </w:r>
    </w:p>
    <w:p>
      <w:pPr>
        <w:pStyle w:val="BodyText"/>
        <w:spacing w:line="213" w:lineRule="auto" w:before="116"/>
        <w:ind w:left="3190" w:right="493"/>
      </w:pPr>
      <w:r>
        <w:rPr>
          <w:rFonts w:ascii="Book Antiqua"/>
          <w:b/>
          <w:color w:val="231F20"/>
        </w:rPr>
        <w:t>Note</w:t>
      </w:r>
      <w:r>
        <w:rPr>
          <w:color w:val="231F20"/>
        </w:rPr>
        <w:t>: If you create a query and apply a column function to the Type attribute, pure events will not be included in the AVG, COUNT, </w:t>
      </w:r>
      <w:r>
        <w:rPr>
          <w:color w:val="231F20"/>
        </w:rPr>
        <w:t>MAX, MIN or SUM calculation.</w:t>
      </w:r>
    </w:p>
    <w:p>
      <w:pPr>
        <w:pStyle w:val="BodyText"/>
        <w:spacing w:before="5"/>
        <w:rPr>
          <w:sz w:val="16"/>
        </w:rPr>
      </w:pPr>
      <w:r>
        <w:rPr/>
        <mc:AlternateContent>
          <mc:Choice Requires="wps">
            <w:drawing>
              <wp:anchor distT="0" distB="0" distL="0" distR="0" allowOverlap="1" layoutInCell="1" locked="0" behindDoc="1" simplePos="0" relativeHeight="487758336">
                <wp:simplePos x="0" y="0"/>
                <wp:positionH relativeFrom="page">
                  <wp:posOffset>912380</wp:posOffset>
                </wp:positionH>
                <wp:positionV relativeFrom="paragraph">
                  <wp:posOffset>155582</wp:posOffset>
                </wp:positionV>
                <wp:extent cx="6082665" cy="1270"/>
                <wp:effectExtent l="0" t="0" r="0" b="0"/>
                <wp:wrapTopAndBottom/>
                <wp:docPr id="3418" name="Graphic 3418"/>
                <wp:cNvGraphicFramePr>
                  <a:graphicFrameLocks/>
                </wp:cNvGraphicFramePr>
                <a:graphic>
                  <a:graphicData uri="http://schemas.microsoft.com/office/word/2010/wordprocessingShape">
                    <wps:wsp>
                      <wps:cNvPr id="3418" name="Graphic 3418"/>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50578pt;width:478.95pt;height:.1pt;mso-position-horizontal-relative:page;mso-position-vertical-relative:paragraph;z-index:-15558144;mso-wrap-distance-left:0;mso-wrap-distance-right:0" id="docshape301"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Situation Status Log attributes" w:id="729"/>
      <w:bookmarkEnd w:id="729"/>
      <w:r>
        <w:rPr>
          <w:b w:val="0"/>
        </w:rPr>
      </w:r>
      <w:r>
        <w:rPr>
          <w:color w:val="231F20"/>
        </w:rPr>
        <w:t>Situation</w:t>
      </w:r>
      <w:r>
        <w:rPr>
          <w:color w:val="231F20"/>
          <w:spacing w:val="6"/>
        </w:rPr>
        <w:t> </w:t>
      </w:r>
      <w:r>
        <w:rPr>
          <w:color w:val="231F20"/>
        </w:rPr>
        <w:t>Status</w:t>
      </w:r>
      <w:r>
        <w:rPr>
          <w:color w:val="231F20"/>
          <w:spacing w:val="6"/>
        </w:rPr>
        <w:t> </w:t>
      </w:r>
      <w:r>
        <w:rPr>
          <w:color w:val="231F20"/>
        </w:rPr>
        <w:t>Log</w:t>
      </w:r>
      <w:r>
        <w:rPr>
          <w:color w:val="231F20"/>
          <w:spacing w:val="7"/>
        </w:rPr>
        <w:t> </w:t>
      </w:r>
      <w:r>
        <w:rPr>
          <w:color w:val="231F20"/>
          <w:spacing w:val="-2"/>
        </w:rPr>
        <w:t>attributes</w:t>
      </w:r>
    </w:p>
    <w:p>
      <w:pPr>
        <w:pStyle w:val="BodyText"/>
        <w:spacing w:line="213" w:lineRule="auto" w:before="138"/>
        <w:ind w:left="2472" w:right="315"/>
        <w:jc w:val="both"/>
      </w:pPr>
      <w:r>
        <w:rPr>
          <w:color w:val="231F20"/>
        </w:rPr>
        <w:t>The Situation Status attributes collect status information on started situations and policies. You can apply any of the predefined queries for this group (in the Query editor under Tivoli Enterprise Monitoring Server </w:t>
      </w:r>
      <w:r>
        <w:rPr>
          <w:rFonts w:ascii="Arial" w:hAnsi="Arial"/>
          <w:color w:val="231F20"/>
          <w:w w:val="90"/>
        </w:rPr>
        <w:t>→ </w:t>
      </w:r>
      <w:r>
        <w:rPr>
          <w:color w:val="231F20"/>
        </w:rPr>
        <w:t>Situation Status Log) to charts and tables; you cannot use these attributes in situations.</w:t>
      </w:r>
    </w:p>
    <w:p>
      <w:pPr>
        <w:pStyle w:val="BodyText"/>
        <w:spacing w:line="213" w:lineRule="auto" w:before="237"/>
        <w:ind w:left="2472" w:right="162"/>
      </w:pPr>
      <w:r>
        <w:rPr>
          <w:rFonts w:ascii="Book Antiqua"/>
          <w:b/>
          <w:color w:val="231F20"/>
        </w:rPr>
        <w:t>Display</w:t>
      </w:r>
      <w:r>
        <w:rPr>
          <w:rFonts w:ascii="Book Antiqua"/>
          <w:b/>
          <w:color w:val="231F20"/>
          <w:spacing w:val="21"/>
        </w:rPr>
        <w:t> </w:t>
      </w:r>
      <w:r>
        <w:rPr>
          <w:rFonts w:ascii="Book Antiqua"/>
          <w:b/>
          <w:color w:val="231F20"/>
        </w:rPr>
        <w:t>Item</w:t>
      </w:r>
      <w:r>
        <w:rPr>
          <w:rFonts w:ascii="Book Antiqua"/>
          <w:b/>
          <w:color w:val="231F20"/>
          <w:spacing w:val="21"/>
        </w:rPr>
        <w:t> </w:t>
      </w:r>
      <w:r>
        <w:rPr>
          <w:color w:val="231F20"/>
        </w:rPr>
        <w:t>Attribute</w:t>
      </w:r>
      <w:r>
        <w:rPr>
          <w:color w:val="231F20"/>
          <w:spacing w:val="21"/>
        </w:rPr>
        <w:t> </w:t>
      </w:r>
      <w:r>
        <w:rPr>
          <w:color w:val="231F20"/>
        </w:rPr>
        <w:t>to</w:t>
      </w:r>
      <w:r>
        <w:rPr>
          <w:color w:val="231F20"/>
          <w:spacing w:val="21"/>
        </w:rPr>
        <w:t> </w:t>
      </w:r>
      <w:r>
        <w:rPr>
          <w:color w:val="231F20"/>
        </w:rPr>
        <w:t>further</w:t>
      </w:r>
      <w:r>
        <w:rPr>
          <w:color w:val="231F20"/>
          <w:spacing w:val="21"/>
        </w:rPr>
        <w:t> </w:t>
      </w:r>
      <w:r>
        <w:rPr>
          <w:color w:val="231F20"/>
        </w:rPr>
        <w:t>qualify</w:t>
      </w:r>
      <w:r>
        <w:rPr>
          <w:color w:val="231F20"/>
          <w:spacing w:val="21"/>
        </w:rPr>
        <w:t> </w:t>
      </w:r>
      <w:r>
        <w:rPr>
          <w:color w:val="231F20"/>
        </w:rPr>
        <w:t>the</w:t>
      </w:r>
      <w:r>
        <w:rPr>
          <w:color w:val="231F20"/>
          <w:spacing w:val="21"/>
        </w:rPr>
        <w:t> </w:t>
      </w:r>
      <w:r>
        <w:rPr>
          <w:color w:val="231F20"/>
        </w:rPr>
        <w:t>situation.</w:t>
      </w:r>
      <w:r>
        <w:rPr>
          <w:color w:val="231F20"/>
          <w:spacing w:val="21"/>
        </w:rPr>
        <w:t> </w:t>
      </w:r>
      <w:r>
        <w:rPr>
          <w:color w:val="231F20"/>
        </w:rPr>
        <w:t>With</w:t>
      </w:r>
      <w:r>
        <w:rPr>
          <w:color w:val="231F20"/>
          <w:spacing w:val="21"/>
        </w:rPr>
        <w:t> </w:t>
      </w:r>
      <w:r>
        <w:rPr>
          <w:color w:val="231F20"/>
        </w:rPr>
        <w:t>a</w:t>
      </w:r>
      <w:r>
        <w:rPr>
          <w:color w:val="231F20"/>
          <w:spacing w:val="21"/>
        </w:rPr>
        <w:t> </w:t>
      </w:r>
      <w:r>
        <w:rPr>
          <w:color w:val="231F20"/>
        </w:rPr>
        <w:t>display</w:t>
      </w:r>
      <w:r>
        <w:rPr>
          <w:color w:val="231F20"/>
          <w:spacing w:val="21"/>
        </w:rPr>
        <w:t> </w:t>
      </w:r>
      <w:r>
        <w:rPr>
          <w:color w:val="231F20"/>
        </w:rPr>
        <w:t>item</w:t>
      </w:r>
      <w:r>
        <w:rPr>
          <w:color w:val="231F20"/>
          <w:spacing w:val="21"/>
        </w:rPr>
        <w:t> </w:t>
      </w:r>
      <w:r>
        <w:rPr>
          <w:color w:val="231F20"/>
        </w:rPr>
        <w:t>set</w:t>
      </w:r>
      <w:r>
        <w:rPr>
          <w:color w:val="231F20"/>
          <w:spacing w:val="21"/>
        </w:rPr>
        <w:t> </w:t>
      </w:r>
      <w:r>
        <w:rPr>
          <w:color w:val="231F20"/>
        </w:rPr>
        <w:t>for a multiple-row attribute group, the situation continues to look at the other rows in the</w:t>
      </w:r>
      <w:r>
        <w:rPr>
          <w:color w:val="231F20"/>
          <w:spacing w:val="25"/>
        </w:rPr>
        <w:t> </w:t>
      </w:r>
      <w:r>
        <w:rPr>
          <w:color w:val="231F20"/>
        </w:rPr>
        <w:t>sampling</w:t>
      </w:r>
      <w:r>
        <w:rPr>
          <w:color w:val="231F20"/>
          <w:spacing w:val="25"/>
        </w:rPr>
        <w:t> </w:t>
      </w:r>
      <w:r>
        <w:rPr>
          <w:color w:val="231F20"/>
        </w:rPr>
        <w:t>and</w:t>
      </w:r>
      <w:r>
        <w:rPr>
          <w:color w:val="231F20"/>
          <w:spacing w:val="25"/>
        </w:rPr>
        <w:t> </w:t>
      </w:r>
      <w:r>
        <w:rPr>
          <w:color w:val="231F20"/>
        </w:rPr>
        <w:t>opens</w:t>
      </w:r>
      <w:r>
        <w:rPr>
          <w:color w:val="231F20"/>
          <w:spacing w:val="25"/>
        </w:rPr>
        <w:t> </w:t>
      </w:r>
      <w:r>
        <w:rPr>
          <w:color w:val="231F20"/>
        </w:rPr>
        <w:t>more</w:t>
      </w:r>
      <w:r>
        <w:rPr>
          <w:color w:val="231F20"/>
          <w:spacing w:val="25"/>
        </w:rPr>
        <w:t> </w:t>
      </w:r>
      <w:r>
        <w:rPr>
          <w:color w:val="231F20"/>
        </w:rPr>
        <w:t>events</w:t>
      </w:r>
      <w:r>
        <w:rPr>
          <w:color w:val="231F20"/>
          <w:spacing w:val="25"/>
        </w:rPr>
        <w:t> </w:t>
      </w:r>
      <w:r>
        <w:rPr>
          <w:color w:val="231F20"/>
        </w:rPr>
        <w:t>if</w:t>
      </w:r>
      <w:r>
        <w:rPr>
          <w:color w:val="231F20"/>
          <w:spacing w:val="25"/>
        </w:rPr>
        <w:t> </w:t>
      </w:r>
      <w:r>
        <w:rPr>
          <w:color w:val="231F20"/>
        </w:rPr>
        <w:t>other</w:t>
      </w:r>
      <w:r>
        <w:rPr>
          <w:color w:val="231F20"/>
          <w:spacing w:val="25"/>
        </w:rPr>
        <w:t> </w:t>
      </w:r>
      <w:r>
        <w:rPr>
          <w:color w:val="231F20"/>
        </w:rPr>
        <w:t>rows</w:t>
      </w:r>
      <w:r>
        <w:rPr>
          <w:color w:val="231F20"/>
          <w:spacing w:val="25"/>
        </w:rPr>
        <w:t> </w:t>
      </w:r>
      <w:r>
        <w:rPr>
          <w:color w:val="231F20"/>
        </w:rPr>
        <w:t>qualify.</w:t>
      </w:r>
      <w:r>
        <w:rPr>
          <w:color w:val="231F20"/>
          <w:spacing w:val="25"/>
        </w:rPr>
        <w:t> </w:t>
      </w:r>
      <w:r>
        <w:rPr>
          <w:color w:val="231F20"/>
        </w:rPr>
        <w:t>This</w:t>
      </w:r>
      <w:r>
        <w:rPr>
          <w:color w:val="231F20"/>
          <w:spacing w:val="25"/>
        </w:rPr>
        <w:t> </w:t>
      </w:r>
      <w:r>
        <w:rPr>
          <w:color w:val="231F20"/>
        </w:rPr>
        <w:t>optional</w:t>
      </w:r>
      <w:r>
        <w:rPr>
          <w:color w:val="231F20"/>
          <w:spacing w:val="25"/>
        </w:rPr>
        <w:t> </w:t>
      </w:r>
      <w:r>
        <w:rPr>
          <w:color w:val="231F20"/>
        </w:rPr>
        <w:t>addition</w:t>
      </w:r>
      <w:r>
        <w:rPr>
          <w:color w:val="231F20"/>
        </w:rPr>
        <w:t> to a situation also enables you to quickly distinguish events in the message log and event</w:t>
      </w:r>
      <w:r>
        <w:rPr>
          <w:color w:val="231F20"/>
          <w:spacing w:val="29"/>
        </w:rPr>
        <w:t> </w:t>
      </w:r>
      <w:r>
        <w:rPr>
          <w:color w:val="231F20"/>
        </w:rPr>
        <w:t>console</w:t>
      </w:r>
      <w:r>
        <w:rPr>
          <w:color w:val="231F20"/>
          <w:spacing w:val="29"/>
        </w:rPr>
        <w:t> </w:t>
      </w:r>
      <w:r>
        <w:rPr>
          <w:color w:val="231F20"/>
        </w:rPr>
        <w:t>views.</w:t>
      </w:r>
      <w:r>
        <w:rPr>
          <w:color w:val="231F20"/>
          <w:spacing w:val="29"/>
        </w:rPr>
        <w:t> </w:t>
      </w:r>
      <w:r>
        <w:rPr>
          <w:color w:val="231F20"/>
        </w:rPr>
        <w:t>The</w:t>
      </w:r>
      <w:r>
        <w:rPr>
          <w:color w:val="231F20"/>
          <w:spacing w:val="29"/>
        </w:rPr>
        <w:t> </w:t>
      </w:r>
      <w:r>
        <w:rPr>
          <w:color w:val="231F20"/>
        </w:rPr>
        <w:t>display</w:t>
      </w:r>
      <w:r>
        <w:rPr>
          <w:color w:val="231F20"/>
          <w:spacing w:val="29"/>
        </w:rPr>
        <w:t> </w:t>
      </w:r>
      <w:r>
        <w:rPr>
          <w:color w:val="231F20"/>
        </w:rPr>
        <w:t>item</w:t>
      </w:r>
      <w:r>
        <w:rPr>
          <w:color w:val="231F20"/>
          <w:spacing w:val="29"/>
        </w:rPr>
        <w:t> </w:t>
      </w:r>
      <w:r>
        <w:rPr>
          <w:color w:val="231F20"/>
        </w:rPr>
        <w:t>is</w:t>
      </w:r>
      <w:r>
        <w:rPr>
          <w:color w:val="231F20"/>
          <w:spacing w:val="29"/>
        </w:rPr>
        <w:t> </w:t>
      </w:r>
      <w:r>
        <w:rPr>
          <w:color w:val="231F20"/>
        </w:rPr>
        <w:t>designated</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Situation</w:t>
      </w:r>
      <w:r>
        <w:rPr>
          <w:color w:val="231F20"/>
          <w:spacing w:val="29"/>
        </w:rPr>
        <w:t> </w:t>
      </w:r>
      <w:r>
        <w:rPr>
          <w:color w:val="231F20"/>
        </w:rPr>
        <w:t>editor (Formula tab, click </w:t>
      </w:r>
      <w:r>
        <w:rPr>
          <w:rFonts w:ascii="Book Antiqua"/>
          <w:b/>
          <w:color w:val="231F20"/>
        </w:rPr>
        <w:t>Advanced</w:t>
      </w:r>
      <w:r>
        <w:rPr>
          <w:color w:val="231F20"/>
        </w:rPr>
        <w:t>).</w:t>
      </w:r>
    </w:p>
    <w:p>
      <w:pPr>
        <w:pStyle w:val="BodyText"/>
        <w:spacing w:before="213"/>
        <w:ind w:left="2472"/>
      </w:pPr>
      <w:r>
        <w:rPr>
          <w:rFonts w:ascii="Book Antiqua"/>
          <w:b/>
          <w:color w:val="231F20"/>
        </w:rPr>
        <w:t>Full</w:t>
      </w:r>
      <w:r>
        <w:rPr>
          <w:rFonts w:ascii="Book Antiqua"/>
          <w:b/>
          <w:color w:val="231F20"/>
          <w:spacing w:val="11"/>
        </w:rPr>
        <w:t> </w:t>
      </w:r>
      <w:r>
        <w:rPr>
          <w:rFonts w:ascii="Book Antiqua"/>
          <w:b/>
          <w:color w:val="231F20"/>
        </w:rPr>
        <w:t>Name</w:t>
      </w:r>
      <w:r>
        <w:rPr>
          <w:rFonts w:ascii="Book Antiqua"/>
          <w:b/>
          <w:color w:val="231F20"/>
          <w:spacing w:val="12"/>
        </w:rPr>
        <w:t> </w:t>
      </w:r>
      <w:r>
        <w:rPr>
          <w:color w:val="231F20"/>
        </w:rPr>
        <w:t>The</w:t>
      </w:r>
      <w:r>
        <w:rPr>
          <w:color w:val="231F20"/>
          <w:spacing w:val="12"/>
        </w:rPr>
        <w:t> </w:t>
      </w:r>
      <w:r>
        <w:rPr>
          <w:color w:val="231F20"/>
        </w:rPr>
        <w:t>name</w:t>
      </w:r>
      <w:r>
        <w:rPr>
          <w:color w:val="231F20"/>
          <w:spacing w:val="12"/>
        </w:rPr>
        <w:t> </w:t>
      </w:r>
      <w:r>
        <w:rPr>
          <w:color w:val="231F20"/>
        </w:rPr>
        <w:t>given</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situation</w:t>
      </w:r>
      <w:r>
        <w:rPr>
          <w:color w:val="231F20"/>
          <w:spacing w:val="12"/>
        </w:rPr>
        <w:t> </w:t>
      </w:r>
      <w:r>
        <w:rPr>
          <w:color w:val="231F20"/>
        </w:rPr>
        <w:t>or</w:t>
      </w:r>
      <w:r>
        <w:rPr>
          <w:color w:val="231F20"/>
          <w:spacing w:val="12"/>
        </w:rPr>
        <w:t> </w:t>
      </w:r>
      <w:r>
        <w:rPr>
          <w:color w:val="231F20"/>
          <w:spacing w:val="-2"/>
        </w:rPr>
        <w:t>policy.</w:t>
      </w:r>
    </w:p>
    <w:p>
      <w:pPr>
        <w:pStyle w:val="BodyText"/>
        <w:spacing w:line="213" w:lineRule="auto" w:before="232"/>
        <w:ind w:left="2472" w:right="274"/>
      </w:pPr>
      <w:r>
        <w:rPr>
          <w:rFonts w:ascii="Book Antiqua"/>
          <w:b/>
          <w:color w:val="231F20"/>
        </w:rPr>
        <w:t>Global Timestamp </w:t>
      </w:r>
      <w:r>
        <w:rPr>
          <w:color w:val="231F20"/>
        </w:rPr>
        <w:t>The time the event was recorded by the hub Tivoli </w:t>
      </w:r>
      <w:r>
        <w:rPr>
          <w:color w:val="231F20"/>
        </w:rPr>
        <w:t>Enterprise Monitoring Server. The format is MM/DD/YY HH:MM:SS.</w:t>
      </w:r>
    </w:p>
    <w:p>
      <w:pPr>
        <w:pStyle w:val="BodyText"/>
        <w:spacing w:line="213" w:lineRule="auto" w:before="238"/>
        <w:ind w:left="2472" w:right="493"/>
      </w:pPr>
      <w:r>
        <w:rPr>
          <w:rFonts w:ascii="Book Antiqua"/>
          <w:b/>
          <w:color w:val="231F20"/>
        </w:rPr>
        <w:t>Local Timestamp </w:t>
      </w:r>
      <w:r>
        <w:rPr>
          <w:color w:val="231F20"/>
        </w:rPr>
        <w:t>The time the event occurred or the condition was observed </w:t>
      </w:r>
      <w:r>
        <w:rPr>
          <w:color w:val="231F20"/>
        </w:rPr>
        <w:t>by the originating managed system. The format is MM/DD/YY HH:MM:SS, as in</w:t>
      </w:r>
      <w:r>
        <w:rPr>
          <w:color w:val="231F20"/>
          <w:spacing w:val="80"/>
        </w:rPr>
        <w:t> </w:t>
      </w:r>
      <w:r>
        <w:rPr>
          <w:color w:val="231F20"/>
        </w:rPr>
        <w:t>07/23/09</w:t>
      </w:r>
      <w:r>
        <w:rPr>
          <w:color w:val="231F20"/>
          <w:spacing w:val="40"/>
        </w:rPr>
        <w:t> </w:t>
      </w:r>
      <w:r>
        <w:rPr>
          <w:color w:val="231F20"/>
        </w:rPr>
        <w:t>04:45:35</w:t>
      </w:r>
      <w:r>
        <w:rPr>
          <w:color w:val="231F20"/>
          <w:spacing w:val="40"/>
        </w:rPr>
        <w:t> </w:t>
      </w:r>
      <w:r>
        <w:rPr>
          <w:color w:val="231F20"/>
        </w:rPr>
        <w:t>for</w:t>
      </w:r>
      <w:r>
        <w:rPr>
          <w:color w:val="231F20"/>
          <w:spacing w:val="40"/>
        </w:rPr>
        <w:t> </w:t>
      </w:r>
      <w:r>
        <w:rPr>
          <w:color w:val="231F20"/>
        </w:rPr>
        <w:t>July</w:t>
      </w:r>
      <w:r>
        <w:rPr>
          <w:color w:val="231F20"/>
          <w:spacing w:val="40"/>
        </w:rPr>
        <w:t> </w:t>
      </w:r>
      <w:r>
        <w:rPr>
          <w:color w:val="231F20"/>
        </w:rPr>
        <w:t>23,2009</w:t>
      </w:r>
      <w:r>
        <w:rPr>
          <w:color w:val="231F20"/>
          <w:spacing w:val="40"/>
        </w:rPr>
        <w:t> </w:t>
      </w:r>
      <w:r>
        <w:rPr>
          <w:color w:val="231F20"/>
        </w:rPr>
        <w:t>at</w:t>
      </w:r>
      <w:r>
        <w:rPr>
          <w:color w:val="231F20"/>
          <w:spacing w:val="40"/>
        </w:rPr>
        <w:t> </w:t>
      </w:r>
      <w:r>
        <w:rPr>
          <w:color w:val="231F20"/>
        </w:rPr>
        <w:t>4:45:35 AM.</w:t>
      </w:r>
    </w:p>
    <w:p>
      <w:pPr>
        <w:pStyle w:val="BodyText"/>
        <w:spacing w:before="214"/>
        <w:ind w:left="2472"/>
      </w:pPr>
      <w:r>
        <w:rPr>
          <w:rFonts w:ascii="Book Antiqua"/>
          <w:b/>
          <w:color w:val="231F20"/>
        </w:rPr>
        <w:t>Name</w:t>
      </w:r>
      <w:r>
        <w:rPr>
          <w:rFonts w:ascii="Book Antiqua"/>
          <w:b/>
          <w:color w:val="231F20"/>
          <w:spacing w:val="11"/>
        </w:rPr>
        <w:t> </w:t>
      </w:r>
      <w:r>
        <w:rPr>
          <w:color w:val="231F20"/>
        </w:rPr>
        <w:t>The</w:t>
      </w:r>
      <w:r>
        <w:rPr>
          <w:color w:val="231F20"/>
          <w:spacing w:val="11"/>
        </w:rPr>
        <w:t> </w:t>
      </w:r>
      <w:r>
        <w:rPr>
          <w:color w:val="231F20"/>
        </w:rPr>
        <w:t>unique</w:t>
      </w:r>
      <w:r>
        <w:rPr>
          <w:color w:val="231F20"/>
          <w:spacing w:val="11"/>
        </w:rPr>
        <w:t> </w:t>
      </w:r>
      <w:r>
        <w:rPr>
          <w:color w:val="231F20"/>
        </w:rPr>
        <w:t>identifier</w:t>
      </w:r>
      <w:r>
        <w:rPr>
          <w:color w:val="231F20"/>
          <w:spacing w:val="12"/>
        </w:rPr>
        <w:t> </w:t>
      </w:r>
      <w:r>
        <w:rPr>
          <w:color w:val="231F20"/>
        </w:rPr>
        <w:t>given</w:t>
      </w:r>
      <w:r>
        <w:rPr>
          <w:color w:val="231F20"/>
          <w:spacing w:val="11"/>
        </w:rPr>
        <w:t> </w:t>
      </w:r>
      <w:r>
        <w:rPr>
          <w:color w:val="231F20"/>
        </w:rPr>
        <w:t>to</w:t>
      </w:r>
      <w:r>
        <w:rPr>
          <w:color w:val="231F20"/>
          <w:spacing w:val="11"/>
        </w:rPr>
        <w:t> </w:t>
      </w:r>
      <w:r>
        <w:rPr>
          <w:color w:val="231F20"/>
        </w:rPr>
        <w:t>the</w:t>
      </w:r>
      <w:r>
        <w:rPr>
          <w:color w:val="231F20"/>
          <w:spacing w:val="12"/>
        </w:rPr>
        <w:t> </w:t>
      </w:r>
      <w:r>
        <w:rPr>
          <w:color w:val="231F20"/>
        </w:rPr>
        <w:t>situation</w:t>
      </w:r>
      <w:r>
        <w:rPr>
          <w:color w:val="231F20"/>
          <w:spacing w:val="11"/>
        </w:rPr>
        <w:t> </w:t>
      </w:r>
      <w:r>
        <w:rPr>
          <w:color w:val="231F20"/>
        </w:rPr>
        <w:t>or</w:t>
      </w:r>
      <w:r>
        <w:rPr>
          <w:color w:val="231F20"/>
          <w:spacing w:val="11"/>
        </w:rPr>
        <w:t> </w:t>
      </w:r>
      <w:r>
        <w:rPr>
          <w:color w:val="231F20"/>
          <w:spacing w:val="-2"/>
        </w:rPr>
        <w:t>policy.</w:t>
      </w:r>
    </w:p>
    <w:p>
      <w:pPr>
        <w:pStyle w:val="BodyText"/>
        <w:spacing w:before="209"/>
        <w:ind w:left="2472"/>
      </w:pPr>
      <w:r>
        <w:rPr>
          <w:rFonts w:ascii="Book Antiqua"/>
          <w:b/>
          <w:color w:val="231F20"/>
        </w:rPr>
        <w:t>Node</w:t>
      </w:r>
      <w:r>
        <w:rPr>
          <w:rFonts w:ascii="Book Antiqua"/>
          <w:b/>
          <w:color w:val="231F20"/>
          <w:spacing w:val="11"/>
        </w:rPr>
        <w:t> </w:t>
      </w:r>
      <w:r>
        <w:rPr>
          <w:color w:val="231F20"/>
        </w:rPr>
        <w:t>The</w:t>
      </w:r>
      <w:r>
        <w:rPr>
          <w:color w:val="231F20"/>
          <w:spacing w:val="11"/>
        </w:rPr>
        <w:t> </w:t>
      </w:r>
      <w:r>
        <w:rPr>
          <w:color w:val="231F20"/>
        </w:rPr>
        <w:t>name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monitoring</w:t>
      </w:r>
      <w:r>
        <w:rPr>
          <w:color w:val="231F20"/>
          <w:spacing w:val="11"/>
        </w:rPr>
        <w:t> </w:t>
      </w:r>
      <w:r>
        <w:rPr>
          <w:color w:val="231F20"/>
        </w:rPr>
        <w:t>server</w:t>
      </w:r>
      <w:r>
        <w:rPr>
          <w:color w:val="231F20"/>
          <w:spacing w:val="11"/>
        </w:rPr>
        <w:t> </w:t>
      </w:r>
      <w:r>
        <w:rPr>
          <w:color w:val="231F20"/>
        </w:rPr>
        <w:t>where</w:t>
      </w:r>
      <w:r>
        <w:rPr>
          <w:color w:val="231F20"/>
          <w:spacing w:val="11"/>
        </w:rPr>
        <w:t> </w:t>
      </w:r>
      <w:r>
        <w:rPr>
          <w:color w:val="231F20"/>
        </w:rPr>
        <w:t>the</w:t>
      </w:r>
      <w:r>
        <w:rPr>
          <w:color w:val="231F20"/>
          <w:spacing w:val="11"/>
        </w:rPr>
        <w:t> </w:t>
      </w:r>
      <w:r>
        <w:rPr>
          <w:color w:val="231F20"/>
        </w:rPr>
        <w:t>situation</w:t>
      </w:r>
      <w:r>
        <w:rPr>
          <w:color w:val="231F20"/>
          <w:spacing w:val="11"/>
        </w:rPr>
        <w:t> </w:t>
      </w:r>
      <w:r>
        <w:rPr>
          <w:color w:val="231F20"/>
        </w:rPr>
        <w:t>is</w:t>
      </w:r>
      <w:r>
        <w:rPr>
          <w:color w:val="231F20"/>
          <w:spacing w:val="11"/>
        </w:rPr>
        <w:t> </w:t>
      </w:r>
      <w:r>
        <w:rPr>
          <w:color w:val="231F20"/>
          <w:spacing w:val="-2"/>
        </w:rPr>
        <w:t>running.</w:t>
      </w:r>
    </w:p>
    <w:p>
      <w:pPr>
        <w:pStyle w:val="BodyText"/>
        <w:spacing w:line="213" w:lineRule="auto" w:before="233"/>
        <w:ind w:left="2472" w:right="545"/>
      </w:pPr>
      <w:r>
        <w:rPr>
          <w:rFonts w:ascii="Book Antiqua"/>
          <w:b/>
          <w:color w:val="231F20"/>
        </w:rPr>
        <w:t>Origin Node </w:t>
      </w:r>
      <w:r>
        <w:rPr>
          <w:color w:val="231F20"/>
        </w:rPr>
        <w:t>The name of the managed system where the situation is </w:t>
      </w:r>
      <w:r>
        <w:rPr>
          <w:color w:val="231F20"/>
        </w:rPr>
        <w:t>being </w:t>
      </w:r>
      <w:r>
        <w:rPr>
          <w:color w:val="231F20"/>
          <w:spacing w:val="-2"/>
        </w:rPr>
        <w:t>monitored.</w:t>
      </w:r>
    </w:p>
    <w:p>
      <w:pPr>
        <w:pStyle w:val="BodyText"/>
        <w:spacing w:before="215"/>
        <w:ind w:left="2472"/>
      </w:pPr>
      <w:r>
        <w:rPr>
          <w:rFonts w:ascii="Book Antiqua"/>
          <w:b/>
          <w:color w:val="231F20"/>
        </w:rPr>
        <w:t>Owner</w:t>
      </w:r>
      <w:r>
        <w:rPr>
          <w:rFonts w:ascii="Book Antiqua"/>
          <w:b/>
          <w:color w:val="231F20"/>
          <w:spacing w:val="11"/>
        </w:rPr>
        <w:t> </w:t>
      </w:r>
      <w:r>
        <w:rPr>
          <w:color w:val="231F20"/>
        </w:rPr>
        <w:t>The</w:t>
      </w:r>
      <w:r>
        <w:rPr>
          <w:color w:val="231F20"/>
          <w:spacing w:val="11"/>
        </w:rPr>
        <w:t> </w:t>
      </w:r>
      <w:r>
        <w:rPr>
          <w:color w:val="231F20"/>
        </w:rPr>
        <w:t>user</w:t>
      </w:r>
      <w:r>
        <w:rPr>
          <w:color w:val="231F20"/>
          <w:spacing w:val="12"/>
        </w:rPr>
        <w:t> </w:t>
      </w:r>
      <w:r>
        <w:rPr>
          <w:color w:val="231F20"/>
        </w:rPr>
        <w:t>ID</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person</w:t>
      </w:r>
      <w:r>
        <w:rPr>
          <w:color w:val="231F20"/>
          <w:spacing w:val="11"/>
        </w:rPr>
        <w:t> </w:t>
      </w:r>
      <w:r>
        <w:rPr>
          <w:color w:val="231F20"/>
        </w:rPr>
        <w:t>who</w:t>
      </w:r>
      <w:r>
        <w:rPr>
          <w:color w:val="231F20"/>
          <w:spacing w:val="12"/>
        </w:rPr>
        <w:t> </w:t>
      </w:r>
      <w:r>
        <w:rPr>
          <w:color w:val="231F20"/>
        </w:rPr>
        <w:t>acknowledged</w:t>
      </w:r>
      <w:r>
        <w:rPr>
          <w:color w:val="231F20"/>
          <w:spacing w:val="11"/>
        </w:rPr>
        <w:t> </w:t>
      </w:r>
      <w:r>
        <w:rPr>
          <w:color w:val="231F20"/>
        </w:rPr>
        <w:t>the</w:t>
      </w:r>
      <w:r>
        <w:rPr>
          <w:color w:val="231F20"/>
          <w:spacing w:val="12"/>
        </w:rPr>
        <w:t> </w:t>
      </w:r>
      <w:r>
        <w:rPr>
          <w:color w:val="231F20"/>
          <w:spacing w:val="-2"/>
        </w:rPr>
        <w:t>event.</w:t>
      </w:r>
    </w:p>
    <w:p>
      <w:pPr>
        <w:pStyle w:val="BodyText"/>
        <w:spacing w:line="213" w:lineRule="auto" w:before="232"/>
        <w:ind w:left="2472"/>
      </w:pPr>
      <w:r>
        <w:rPr>
          <w:rFonts w:ascii="Book Antiqua"/>
          <w:b/>
          <w:color w:val="231F20"/>
        </w:rPr>
        <w:t>Sound File </w:t>
      </w:r>
      <w:r>
        <w:rPr>
          <w:color w:val="231F20"/>
        </w:rPr>
        <w:t>The name of the sound file associated with the Navigator item for </w:t>
      </w:r>
      <w:r>
        <w:rPr>
          <w:color w:val="231F20"/>
        </w:rPr>
        <w:t>this </w:t>
      </w:r>
      <w:r>
        <w:rPr>
          <w:color w:val="231F20"/>
          <w:spacing w:val="-2"/>
        </w:rPr>
        <w:t>situation.</w:t>
      </w:r>
    </w:p>
    <w:p>
      <w:pPr>
        <w:pStyle w:val="BodyText"/>
        <w:spacing w:before="215"/>
        <w:ind w:left="2472"/>
      </w:pPr>
      <w:r>
        <w:rPr>
          <w:rFonts w:ascii="Book Antiqua"/>
          <w:b/>
          <w:color w:val="231F20"/>
        </w:rPr>
        <w:t>Status</w:t>
      </w:r>
      <w:r>
        <w:rPr>
          <w:rFonts w:ascii="Book Antiqua"/>
          <w:b/>
          <w:color w:val="231F20"/>
          <w:spacing w:val="11"/>
        </w:rPr>
        <w:t> </w:t>
      </w:r>
      <w:r>
        <w:rPr>
          <w:color w:val="231F20"/>
        </w:rPr>
        <w:t>The</w:t>
      </w:r>
      <w:r>
        <w:rPr>
          <w:color w:val="231F20"/>
          <w:spacing w:val="11"/>
        </w:rPr>
        <w:t> </w:t>
      </w:r>
      <w:r>
        <w:rPr>
          <w:color w:val="231F20"/>
        </w:rPr>
        <w:t>status</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situation.</w:t>
      </w:r>
      <w:r>
        <w:rPr>
          <w:color w:val="231F20"/>
          <w:spacing w:val="11"/>
        </w:rPr>
        <w:t> </w:t>
      </w:r>
      <w:r>
        <w:rPr>
          <w:color w:val="231F20"/>
        </w:rPr>
        <w:t>The</w:t>
      </w:r>
      <w:r>
        <w:rPr>
          <w:color w:val="231F20"/>
          <w:spacing w:val="11"/>
        </w:rPr>
        <w:t> </w:t>
      </w:r>
      <w:r>
        <w:rPr>
          <w:color w:val="231F20"/>
        </w:rPr>
        <w:t>possible</w:t>
      </w:r>
      <w:r>
        <w:rPr>
          <w:color w:val="231F20"/>
          <w:spacing w:val="12"/>
        </w:rPr>
        <w:t> </w:t>
      </w:r>
      <w:r>
        <w:rPr>
          <w:color w:val="231F20"/>
        </w:rPr>
        <w:t>values</w:t>
      </w:r>
      <w:r>
        <w:rPr>
          <w:color w:val="231F20"/>
          <w:spacing w:val="11"/>
        </w:rPr>
        <w:t> </w:t>
      </w:r>
      <w:r>
        <w:rPr>
          <w:color w:val="231F20"/>
        </w:rPr>
        <w:t>are</w:t>
      </w:r>
      <w:r>
        <w:rPr>
          <w:color w:val="231F20"/>
          <w:spacing w:val="11"/>
        </w:rPr>
        <w:t> </w:t>
      </w:r>
      <w:r>
        <w:rPr>
          <w:color w:val="231F20"/>
        </w:rPr>
        <w:t>as</w:t>
      </w:r>
      <w:r>
        <w:rPr>
          <w:color w:val="231F20"/>
          <w:spacing w:val="12"/>
        </w:rPr>
        <w:t> </w:t>
      </w:r>
      <w:r>
        <w:rPr>
          <w:color w:val="231F20"/>
          <w:spacing w:val="-2"/>
        </w:rPr>
        <w:t>follows:</w:t>
      </w:r>
    </w:p>
    <w:p>
      <w:pPr>
        <w:pStyle w:val="BodyText"/>
        <w:spacing w:before="2" w:after="1"/>
        <w:rPr>
          <w:sz w:val="12"/>
        </w:rPr>
      </w:pPr>
    </w:p>
    <w:tbl>
      <w:tblPr>
        <w:tblW w:w="0" w:type="auto"/>
        <w:jc w:val="left"/>
        <w:tblInd w:w="248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493" w:hRule="atLeast"/>
        </w:trPr>
        <w:tc>
          <w:tcPr>
            <w:tcW w:w="2506" w:type="dxa"/>
          </w:tcPr>
          <w:p>
            <w:pPr>
              <w:pStyle w:val="TableParagraph"/>
              <w:spacing w:line="233" w:lineRule="exact" w:before="0"/>
              <w:ind w:left="54"/>
              <w:rPr>
                <w:sz w:val="18"/>
              </w:rPr>
            </w:pPr>
            <w:r>
              <w:rPr>
                <w:position w:val="-3"/>
              </w:rPr>
              <w:drawing>
                <wp:inline distT="0" distB="0" distL="0" distR="0">
                  <wp:extent cx="95250" cy="95250"/>
                  <wp:effectExtent l="0" t="0" r="0" b="0"/>
                  <wp:docPr id="3419" name="Image 3419"/>
                  <wp:cNvGraphicFramePr>
                    <a:graphicFrameLocks/>
                  </wp:cNvGraphicFramePr>
                  <a:graphic>
                    <a:graphicData uri="http://schemas.openxmlformats.org/drawingml/2006/picture">
                      <pic:pic>
                        <pic:nvPicPr>
                          <pic:cNvPr id="3419" name="Image 3419"/>
                          <pic:cNvPicPr/>
                        </pic:nvPicPr>
                        <pic:blipFill>
                          <a:blip r:embed="rId110"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Acknowledged</w:t>
            </w:r>
          </w:p>
        </w:tc>
        <w:tc>
          <w:tcPr>
            <w:tcW w:w="2521" w:type="dxa"/>
          </w:tcPr>
          <w:p>
            <w:pPr>
              <w:pStyle w:val="TableParagraph"/>
              <w:spacing w:line="233" w:lineRule="exact" w:before="0"/>
              <w:ind w:left="60"/>
              <w:rPr>
                <w:sz w:val="18"/>
              </w:rPr>
            </w:pPr>
            <w:r>
              <w:rPr>
                <w:color w:val="231F20"/>
                <w:spacing w:val="-10"/>
                <w:sz w:val="18"/>
              </w:rPr>
              <w:t>A</w:t>
            </w:r>
          </w:p>
        </w:tc>
        <w:tc>
          <w:tcPr>
            <w:tcW w:w="2506" w:type="dxa"/>
          </w:tcPr>
          <w:p>
            <w:pPr>
              <w:pStyle w:val="TableParagraph"/>
              <w:spacing w:line="216" w:lineRule="auto" w:before="9"/>
              <w:ind w:left="60" w:hanging="1"/>
              <w:rPr>
                <w:sz w:val="18"/>
              </w:rPr>
            </w:pPr>
            <w:r>
              <w:rPr>
                <w:color w:val="231F20"/>
                <w:sz w:val="18"/>
              </w:rPr>
              <w:t>The situation event has </w:t>
            </w:r>
            <w:r>
              <w:rPr>
                <w:color w:val="231F20"/>
                <w:sz w:val="18"/>
              </w:rPr>
              <w:t>been </w:t>
            </w:r>
            <w:r>
              <w:rPr>
                <w:color w:val="231F20"/>
                <w:spacing w:val="-2"/>
                <w:sz w:val="18"/>
              </w:rPr>
              <w:t>acknowledged.</w:t>
            </w:r>
          </w:p>
        </w:tc>
      </w:tr>
      <w:tr>
        <w:trPr>
          <w:trHeight w:val="528" w:hRule="atLeast"/>
        </w:trPr>
        <w:tc>
          <w:tcPr>
            <w:tcW w:w="2506" w:type="dxa"/>
          </w:tcPr>
          <w:p>
            <w:pPr>
              <w:pStyle w:val="TableParagraph"/>
              <w:ind w:left="54"/>
              <w:rPr>
                <w:sz w:val="18"/>
              </w:rPr>
            </w:pPr>
            <w:r>
              <w:rPr>
                <w:position w:val="-3"/>
              </w:rPr>
              <w:drawing>
                <wp:inline distT="0" distB="0" distL="0" distR="0">
                  <wp:extent cx="95250" cy="101600"/>
                  <wp:effectExtent l="0" t="0" r="0" b="0"/>
                  <wp:docPr id="3420" name="Image 3420"/>
                  <wp:cNvGraphicFramePr>
                    <a:graphicFrameLocks/>
                  </wp:cNvGraphicFramePr>
                  <a:graphic>
                    <a:graphicData uri="http://schemas.openxmlformats.org/drawingml/2006/picture">
                      <pic:pic>
                        <pic:nvPicPr>
                          <pic:cNvPr id="3420" name="Image 3420"/>
                          <pic:cNvPicPr/>
                        </pic:nvPicPr>
                        <pic:blipFill>
                          <a:blip r:embed="rId269" cstate="print"/>
                          <a:stretch>
                            <a:fillRect/>
                          </a:stretch>
                        </pic:blipFill>
                        <pic:spPr>
                          <a:xfrm>
                            <a:off x="0" y="0"/>
                            <a:ext cx="95250" cy="101600"/>
                          </a:xfrm>
                          <a:prstGeom prst="rect">
                            <a:avLst/>
                          </a:prstGeom>
                        </pic:spPr>
                      </pic:pic>
                    </a:graphicData>
                  </a:graphic>
                </wp:inline>
              </w:drawing>
            </w:r>
            <w:r>
              <w:rPr>
                <w:position w:val="-3"/>
              </w:rPr>
            </w:r>
            <w:r>
              <w:rPr>
                <w:rFonts w:ascii="Times New Roman"/>
                <w:spacing w:val="-3"/>
                <w:sz w:val="20"/>
              </w:rPr>
              <w:t> </w:t>
            </w:r>
            <w:r>
              <w:rPr>
                <w:color w:val="231F20"/>
                <w:sz w:val="18"/>
              </w:rPr>
              <w:t>Deleted</w:t>
            </w:r>
          </w:p>
        </w:tc>
        <w:tc>
          <w:tcPr>
            <w:tcW w:w="2521" w:type="dxa"/>
          </w:tcPr>
          <w:p>
            <w:pPr>
              <w:pStyle w:val="TableParagraph"/>
              <w:ind w:left="60"/>
              <w:rPr>
                <w:sz w:val="18"/>
              </w:rPr>
            </w:pPr>
            <w:r>
              <w:rPr>
                <w:color w:val="231F20"/>
                <w:spacing w:val="-10"/>
                <w:sz w:val="18"/>
              </w:rPr>
              <w:t>D</w:t>
            </w:r>
          </w:p>
        </w:tc>
        <w:tc>
          <w:tcPr>
            <w:tcW w:w="2506" w:type="dxa"/>
          </w:tcPr>
          <w:p>
            <w:pPr>
              <w:pStyle w:val="TableParagraph"/>
              <w:spacing w:line="216" w:lineRule="auto" w:before="44"/>
              <w:ind w:left="60" w:right="84" w:hanging="1"/>
              <w:rPr>
                <w:sz w:val="18"/>
              </w:rPr>
            </w:pPr>
            <w:r>
              <w:rPr>
                <w:color w:val="231F20"/>
                <w:sz w:val="18"/>
              </w:rPr>
              <w:t>The situation has </w:t>
            </w:r>
            <w:r>
              <w:rPr>
                <w:color w:val="231F20"/>
                <w:sz w:val="18"/>
              </w:rPr>
              <w:t>been </w:t>
            </w:r>
            <w:r>
              <w:rPr>
                <w:color w:val="231F20"/>
                <w:spacing w:val="-2"/>
                <w:sz w:val="18"/>
              </w:rPr>
              <w:t>deleted.</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21" name="Image 3421"/>
                  <wp:cNvGraphicFramePr>
                    <a:graphicFrameLocks/>
                  </wp:cNvGraphicFramePr>
                  <a:graphic>
                    <a:graphicData uri="http://schemas.openxmlformats.org/drawingml/2006/picture">
                      <pic:pic>
                        <pic:nvPicPr>
                          <pic:cNvPr id="3421" name="Image 3421"/>
                          <pic:cNvPicPr/>
                        </pic:nvPicPr>
                        <pic:blipFill>
                          <a:blip r:embed="rId113"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Problem</w:t>
            </w:r>
          </w:p>
        </w:tc>
        <w:tc>
          <w:tcPr>
            <w:tcW w:w="2521" w:type="dxa"/>
          </w:tcPr>
          <w:p>
            <w:pPr>
              <w:pStyle w:val="TableParagraph"/>
              <w:ind w:left="60"/>
              <w:rPr>
                <w:sz w:val="18"/>
              </w:rPr>
            </w:pPr>
            <w:r>
              <w:rPr>
                <w:color w:val="231F20"/>
                <w:spacing w:val="-10"/>
                <w:sz w:val="18"/>
              </w:rPr>
              <w:t>X</w:t>
            </w:r>
          </w:p>
        </w:tc>
        <w:tc>
          <w:tcPr>
            <w:tcW w:w="2506" w:type="dxa"/>
          </w:tcPr>
          <w:p>
            <w:pPr>
              <w:pStyle w:val="TableParagraph"/>
              <w:spacing w:line="216" w:lineRule="auto" w:before="44"/>
              <w:ind w:left="60" w:hanging="1"/>
              <w:rPr>
                <w:sz w:val="18"/>
              </w:rPr>
            </w:pPr>
            <w:r>
              <w:rPr>
                <w:color w:val="231F20"/>
                <w:sz w:val="18"/>
              </w:rPr>
              <w:t>The situation is in a </w:t>
            </w:r>
            <w:r>
              <w:rPr>
                <w:color w:val="231F20"/>
                <w:sz w:val="18"/>
              </w:rPr>
              <w:t>problem </w:t>
            </w:r>
            <w:r>
              <w:rPr>
                <w:color w:val="231F20"/>
                <w:spacing w:val="-2"/>
                <w:sz w:val="18"/>
              </w:rPr>
              <w:t>state.</w:t>
            </w:r>
          </w:p>
        </w:tc>
      </w:tr>
      <w:tr>
        <w:trPr>
          <w:trHeight w:val="753" w:hRule="atLeast"/>
        </w:trPr>
        <w:tc>
          <w:tcPr>
            <w:tcW w:w="2506" w:type="dxa"/>
          </w:tcPr>
          <w:p>
            <w:pPr>
              <w:pStyle w:val="TableParagraph"/>
              <w:ind w:left="54"/>
              <w:rPr>
                <w:sz w:val="18"/>
              </w:rPr>
            </w:pPr>
            <w:r>
              <w:rPr>
                <w:position w:val="-3"/>
              </w:rPr>
              <w:drawing>
                <wp:inline distT="0" distB="0" distL="0" distR="0">
                  <wp:extent cx="95250" cy="95250"/>
                  <wp:effectExtent l="0" t="0" r="0" b="0"/>
                  <wp:docPr id="3422" name="Image 3422"/>
                  <wp:cNvGraphicFramePr>
                    <a:graphicFrameLocks/>
                  </wp:cNvGraphicFramePr>
                  <a:graphic>
                    <a:graphicData uri="http://schemas.openxmlformats.org/drawingml/2006/picture">
                      <pic:pic>
                        <pic:nvPicPr>
                          <pic:cNvPr id="3422" name="Image 3422"/>
                          <pic:cNvPicPr/>
                        </pic:nvPicPr>
                        <pic:blipFill>
                          <a:blip r:embed="rId111"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Expired</w:t>
            </w:r>
          </w:p>
        </w:tc>
        <w:tc>
          <w:tcPr>
            <w:tcW w:w="2521" w:type="dxa"/>
          </w:tcPr>
          <w:p>
            <w:pPr>
              <w:pStyle w:val="TableParagraph"/>
              <w:ind w:left="60"/>
              <w:rPr>
                <w:sz w:val="18"/>
              </w:rPr>
            </w:pPr>
            <w:r>
              <w:rPr>
                <w:color w:val="231F20"/>
                <w:spacing w:val="-10"/>
                <w:sz w:val="18"/>
              </w:rPr>
              <w:t>F</w:t>
            </w:r>
          </w:p>
        </w:tc>
        <w:tc>
          <w:tcPr>
            <w:tcW w:w="2506" w:type="dxa"/>
          </w:tcPr>
          <w:p>
            <w:pPr>
              <w:pStyle w:val="TableParagraph"/>
              <w:spacing w:line="216" w:lineRule="auto" w:before="44"/>
              <w:ind w:left="60" w:hanging="1"/>
              <w:rPr>
                <w:sz w:val="18"/>
              </w:rPr>
            </w:pPr>
            <w:r>
              <w:rPr>
                <w:color w:val="231F20"/>
                <w:sz w:val="18"/>
              </w:rPr>
              <w:t>The acknowledgement has expired and the situation </w:t>
            </w:r>
            <w:r>
              <w:rPr>
                <w:color w:val="231F20"/>
                <w:sz w:val="18"/>
              </w:rPr>
              <w:t>is still true.</w:t>
            </w:r>
          </w:p>
        </w:tc>
      </w:tr>
    </w:tbl>
    <w:p>
      <w:pPr>
        <w:spacing w:after="0" w:line="216" w:lineRule="auto"/>
        <w:rPr>
          <w:sz w:val="18"/>
        </w:rPr>
        <w:sectPr>
          <w:pgSz w:w="12240" w:h="15840"/>
          <w:pgMar w:header="0" w:footer="736" w:top="1180" w:bottom="920" w:left="1000" w:right="1060"/>
        </w:sectPr>
      </w:pPr>
    </w:p>
    <w:tbl>
      <w:tblPr>
        <w:tblW w:w="0" w:type="auto"/>
        <w:jc w:val="left"/>
        <w:tblInd w:w="2242"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506"/>
        <w:gridCol w:w="2521"/>
        <w:gridCol w:w="2506"/>
      </w:tblGrid>
      <w:tr>
        <w:trPr>
          <w:trHeight w:val="493" w:hRule="atLeast"/>
        </w:trPr>
        <w:tc>
          <w:tcPr>
            <w:tcW w:w="2506" w:type="dxa"/>
          </w:tcPr>
          <w:p>
            <w:pPr>
              <w:pStyle w:val="TableParagraph"/>
              <w:spacing w:line="233" w:lineRule="exact" w:before="0"/>
              <w:ind w:left="54"/>
              <w:rPr>
                <w:sz w:val="18"/>
              </w:rPr>
            </w:pPr>
            <w:r>
              <w:rPr>
                <w:position w:val="-3"/>
              </w:rPr>
              <w:drawing>
                <wp:inline distT="0" distB="0" distL="0" distR="0">
                  <wp:extent cx="95250" cy="95250"/>
                  <wp:effectExtent l="0" t="0" r="0" b="0"/>
                  <wp:docPr id="3423" name="Image 3423"/>
                  <wp:cNvGraphicFramePr>
                    <a:graphicFrameLocks/>
                  </wp:cNvGraphicFramePr>
                  <a:graphic>
                    <a:graphicData uri="http://schemas.openxmlformats.org/drawingml/2006/picture">
                      <pic:pic>
                        <pic:nvPicPr>
                          <pic:cNvPr id="3423" name="Image 3423"/>
                          <pic:cNvPicPr/>
                        </pic:nvPicPr>
                        <pic:blipFill>
                          <a:blip r:embed="rId127"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Open</w:t>
            </w:r>
          </w:p>
        </w:tc>
        <w:tc>
          <w:tcPr>
            <w:tcW w:w="2521" w:type="dxa"/>
          </w:tcPr>
          <w:p>
            <w:pPr>
              <w:pStyle w:val="TableParagraph"/>
              <w:spacing w:line="233" w:lineRule="exact" w:before="0"/>
              <w:ind w:left="60"/>
              <w:rPr>
                <w:sz w:val="18"/>
              </w:rPr>
            </w:pPr>
            <w:r>
              <w:rPr>
                <w:color w:val="231F20"/>
                <w:spacing w:val="-10"/>
                <w:sz w:val="18"/>
              </w:rPr>
              <w:t>Y</w:t>
            </w:r>
          </w:p>
        </w:tc>
        <w:tc>
          <w:tcPr>
            <w:tcW w:w="2506" w:type="dxa"/>
          </w:tcPr>
          <w:p>
            <w:pPr>
              <w:pStyle w:val="TableParagraph"/>
              <w:spacing w:line="216" w:lineRule="auto" w:before="9"/>
              <w:ind w:left="60" w:right="84" w:hanging="1"/>
              <w:rPr>
                <w:sz w:val="18"/>
              </w:rPr>
            </w:pPr>
            <w:r>
              <w:rPr>
                <w:color w:val="231F20"/>
                <w:sz w:val="18"/>
              </w:rPr>
              <w:t>The situation is running </w:t>
            </w:r>
            <w:r>
              <w:rPr>
                <w:color w:val="231F20"/>
                <w:sz w:val="18"/>
              </w:rPr>
              <w:t>and is true.</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24" name="Image 3424"/>
                  <wp:cNvGraphicFramePr>
                    <a:graphicFrameLocks/>
                  </wp:cNvGraphicFramePr>
                  <a:graphic>
                    <a:graphicData uri="http://schemas.openxmlformats.org/drawingml/2006/picture">
                      <pic:pic>
                        <pic:nvPicPr>
                          <pic:cNvPr id="3424" name="Image 3424"/>
                          <pic:cNvPicPr/>
                        </pic:nvPicPr>
                        <pic:blipFill>
                          <a:blip r:embed="rId16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Closed</w:t>
            </w:r>
          </w:p>
        </w:tc>
        <w:tc>
          <w:tcPr>
            <w:tcW w:w="2521" w:type="dxa"/>
          </w:tcPr>
          <w:p>
            <w:pPr>
              <w:pStyle w:val="TableParagraph"/>
              <w:ind w:left="60"/>
              <w:rPr>
                <w:sz w:val="18"/>
              </w:rPr>
            </w:pPr>
            <w:r>
              <w:rPr>
                <w:color w:val="231F20"/>
                <w:spacing w:val="-10"/>
                <w:sz w:val="18"/>
              </w:rPr>
              <w:t>N</w:t>
            </w:r>
          </w:p>
        </w:tc>
        <w:tc>
          <w:tcPr>
            <w:tcW w:w="2506" w:type="dxa"/>
          </w:tcPr>
          <w:p>
            <w:pPr>
              <w:pStyle w:val="TableParagraph"/>
              <w:spacing w:line="216" w:lineRule="auto" w:before="44"/>
              <w:ind w:left="60" w:hanging="1"/>
              <w:rPr>
                <w:sz w:val="18"/>
              </w:rPr>
            </w:pPr>
            <w:r>
              <w:rPr>
                <w:color w:val="231F20"/>
                <w:sz w:val="18"/>
              </w:rPr>
              <w:t>The situation is running, </w:t>
            </w:r>
            <w:r>
              <w:rPr>
                <w:color w:val="231F20"/>
                <w:sz w:val="18"/>
              </w:rPr>
              <w:t>has been true, and is now false.</w:t>
            </w:r>
          </w:p>
        </w:tc>
      </w:tr>
      <w:tr>
        <w:trPr>
          <w:trHeight w:val="967" w:hRule="atLeast"/>
        </w:trPr>
        <w:tc>
          <w:tcPr>
            <w:tcW w:w="2506" w:type="dxa"/>
          </w:tcPr>
          <w:p>
            <w:pPr>
              <w:pStyle w:val="TableParagraph"/>
              <w:ind w:left="54"/>
              <w:rPr>
                <w:sz w:val="18"/>
              </w:rPr>
            </w:pPr>
            <w:r>
              <w:rPr>
                <w:position w:val="-3"/>
              </w:rPr>
              <w:drawing>
                <wp:inline distT="0" distB="0" distL="0" distR="0">
                  <wp:extent cx="95250" cy="95250"/>
                  <wp:effectExtent l="0" t="0" r="0" b="0"/>
                  <wp:docPr id="3425" name="Image 3425"/>
                  <wp:cNvGraphicFramePr>
                    <a:graphicFrameLocks/>
                  </wp:cNvGraphicFramePr>
                  <a:graphic>
                    <a:graphicData uri="http://schemas.openxmlformats.org/drawingml/2006/picture">
                      <pic:pic>
                        <pic:nvPicPr>
                          <pic:cNvPr id="3425" name="Image 3425"/>
                          <pic:cNvPicPr/>
                        </pic:nvPicPr>
                        <pic:blipFill>
                          <a:blip r:embed="rId112"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Reopened</w:t>
            </w:r>
          </w:p>
        </w:tc>
        <w:tc>
          <w:tcPr>
            <w:tcW w:w="2521" w:type="dxa"/>
          </w:tcPr>
          <w:p>
            <w:pPr>
              <w:pStyle w:val="TableParagraph"/>
              <w:ind w:left="60"/>
              <w:rPr>
                <w:sz w:val="18"/>
              </w:rPr>
            </w:pPr>
            <w:r>
              <w:rPr>
                <w:color w:val="231F20"/>
                <w:spacing w:val="-10"/>
                <w:sz w:val="18"/>
              </w:rPr>
              <w:t>E</w:t>
            </w:r>
          </w:p>
        </w:tc>
        <w:tc>
          <w:tcPr>
            <w:tcW w:w="2506" w:type="dxa"/>
          </w:tcPr>
          <w:p>
            <w:pPr>
              <w:pStyle w:val="TableParagraph"/>
              <w:spacing w:line="216" w:lineRule="auto" w:before="44"/>
              <w:ind w:left="60" w:right="84" w:hanging="1"/>
              <w:rPr>
                <w:sz w:val="18"/>
              </w:rPr>
            </w:pPr>
            <w:r>
              <w:rPr>
                <w:color w:val="231F20"/>
                <w:sz w:val="18"/>
              </w:rPr>
              <w:t>The acknowledgement was removed before it had expired and the situation </w:t>
            </w:r>
            <w:r>
              <w:rPr>
                <w:color w:val="231F20"/>
                <w:sz w:val="18"/>
              </w:rPr>
              <w:t>is still true.</w:t>
            </w:r>
          </w:p>
        </w:tc>
      </w:tr>
      <w:tr>
        <w:trPr>
          <w:trHeight w:val="528" w:hRule="atLeast"/>
        </w:trPr>
        <w:tc>
          <w:tcPr>
            <w:tcW w:w="2506" w:type="dxa"/>
          </w:tcPr>
          <w:p>
            <w:pPr>
              <w:pStyle w:val="TableParagraph"/>
              <w:spacing w:before="104"/>
              <w:ind w:left="114"/>
              <w:rPr>
                <w:sz w:val="18"/>
              </w:rPr>
            </w:pPr>
            <w:r>
              <w:rPr>
                <w:position w:val="-1"/>
              </w:rPr>
              <w:drawing>
                <wp:inline distT="0" distB="0" distL="0" distR="0">
                  <wp:extent cx="82550" cy="133350"/>
                  <wp:effectExtent l="0" t="0" r="0" b="0"/>
                  <wp:docPr id="3426" name="Image 3426"/>
                  <wp:cNvGraphicFramePr>
                    <a:graphicFrameLocks/>
                  </wp:cNvGraphicFramePr>
                  <a:graphic>
                    <a:graphicData uri="http://schemas.openxmlformats.org/drawingml/2006/picture">
                      <pic:pic>
                        <pic:nvPicPr>
                          <pic:cNvPr id="3426" name="Image 3426"/>
                          <pic:cNvPicPr/>
                        </pic:nvPicPr>
                        <pic:blipFill>
                          <a:blip r:embed="rId166" cstate="print"/>
                          <a:stretch>
                            <a:fillRect/>
                          </a:stretch>
                        </pic:blipFill>
                        <pic:spPr>
                          <a:xfrm>
                            <a:off x="0" y="0"/>
                            <a:ext cx="82550" cy="133350"/>
                          </a:xfrm>
                          <a:prstGeom prst="rect">
                            <a:avLst/>
                          </a:prstGeom>
                        </pic:spPr>
                      </pic:pic>
                    </a:graphicData>
                  </a:graphic>
                </wp:inline>
              </w:drawing>
            </w:r>
            <w:r>
              <w:rPr>
                <w:position w:val="-1"/>
              </w:rPr>
            </w:r>
            <w:r>
              <w:rPr>
                <w:rFonts w:ascii="Times New Roman"/>
                <w:sz w:val="20"/>
              </w:rPr>
              <w:t> </w:t>
            </w:r>
            <w:r>
              <w:rPr>
                <w:color w:val="231F20"/>
                <w:sz w:val="18"/>
              </w:rPr>
              <w:t>Started</w:t>
            </w:r>
          </w:p>
        </w:tc>
        <w:tc>
          <w:tcPr>
            <w:tcW w:w="2521" w:type="dxa"/>
          </w:tcPr>
          <w:p>
            <w:pPr>
              <w:pStyle w:val="TableParagraph"/>
              <w:ind w:left="60"/>
              <w:rPr>
                <w:sz w:val="18"/>
              </w:rPr>
            </w:pPr>
            <w:r>
              <w:rPr>
                <w:color w:val="231F20"/>
                <w:spacing w:val="-10"/>
                <w:sz w:val="18"/>
              </w:rPr>
              <w:t>L</w:t>
            </w:r>
          </w:p>
        </w:tc>
        <w:tc>
          <w:tcPr>
            <w:tcW w:w="2506" w:type="dxa"/>
          </w:tcPr>
          <w:p>
            <w:pPr>
              <w:pStyle w:val="TableParagraph"/>
              <w:spacing w:line="216" w:lineRule="auto" w:before="44"/>
              <w:ind w:left="60" w:right="167"/>
              <w:rPr>
                <w:sz w:val="18"/>
              </w:rPr>
            </w:pPr>
            <w:r>
              <w:rPr>
                <w:color w:val="231F20"/>
                <w:sz w:val="18"/>
              </w:rPr>
              <w:t>The situation is </w:t>
            </w:r>
            <w:r>
              <w:rPr>
                <w:color w:val="231F20"/>
                <w:sz w:val="18"/>
              </w:rPr>
              <w:t>being </w:t>
            </w:r>
            <w:r>
              <w:rPr>
                <w:color w:val="231F20"/>
                <w:spacing w:val="-2"/>
                <w:sz w:val="18"/>
              </w:rPr>
              <w:t>started.</w:t>
            </w:r>
          </w:p>
        </w:tc>
      </w:tr>
      <w:tr>
        <w:trPr>
          <w:trHeight w:val="528" w:hRule="atLeast"/>
        </w:trPr>
        <w:tc>
          <w:tcPr>
            <w:tcW w:w="2506" w:type="dxa"/>
          </w:tcPr>
          <w:p>
            <w:pPr>
              <w:pStyle w:val="TableParagraph"/>
              <w:ind w:left="54"/>
              <w:rPr>
                <w:sz w:val="18"/>
              </w:rPr>
            </w:pPr>
            <w:r>
              <w:rPr>
                <w:position w:val="-3"/>
              </w:rPr>
              <w:drawing>
                <wp:inline distT="0" distB="0" distL="0" distR="0">
                  <wp:extent cx="95250" cy="95250"/>
                  <wp:effectExtent l="0" t="0" r="0" b="0"/>
                  <wp:docPr id="3427" name="Image 3427"/>
                  <wp:cNvGraphicFramePr>
                    <a:graphicFrameLocks/>
                  </wp:cNvGraphicFramePr>
                  <a:graphic>
                    <a:graphicData uri="http://schemas.openxmlformats.org/drawingml/2006/picture">
                      <pic:pic>
                        <pic:nvPicPr>
                          <pic:cNvPr id="3427" name="Image 3427"/>
                          <pic:cNvPicPr/>
                        </pic:nvPicPr>
                        <pic:blipFill>
                          <a:blip r:embed="rId38" cstate="print"/>
                          <a:stretch>
                            <a:fillRect/>
                          </a:stretch>
                        </pic:blipFill>
                        <pic:spPr>
                          <a:xfrm>
                            <a:off x="0" y="0"/>
                            <a:ext cx="95250" cy="95250"/>
                          </a:xfrm>
                          <a:prstGeom prst="rect">
                            <a:avLst/>
                          </a:prstGeom>
                        </pic:spPr>
                      </pic:pic>
                    </a:graphicData>
                  </a:graphic>
                </wp:inline>
              </w:drawing>
            </w:r>
            <w:r>
              <w:rPr>
                <w:position w:val="-3"/>
              </w:rPr>
            </w:r>
            <w:r>
              <w:rPr>
                <w:rFonts w:ascii="Times New Roman"/>
                <w:spacing w:val="-3"/>
                <w:sz w:val="20"/>
              </w:rPr>
              <w:t> </w:t>
            </w:r>
            <w:r>
              <w:rPr>
                <w:color w:val="231F20"/>
                <w:sz w:val="18"/>
              </w:rPr>
              <w:t>Stopped</w:t>
            </w:r>
          </w:p>
        </w:tc>
        <w:tc>
          <w:tcPr>
            <w:tcW w:w="2521" w:type="dxa"/>
          </w:tcPr>
          <w:p>
            <w:pPr>
              <w:pStyle w:val="TableParagraph"/>
              <w:ind w:left="60"/>
              <w:rPr>
                <w:sz w:val="18"/>
              </w:rPr>
            </w:pPr>
            <w:r>
              <w:rPr>
                <w:color w:val="231F20"/>
                <w:spacing w:val="-10"/>
                <w:sz w:val="18"/>
              </w:rPr>
              <w:t>P</w:t>
            </w:r>
          </w:p>
        </w:tc>
        <w:tc>
          <w:tcPr>
            <w:tcW w:w="2506" w:type="dxa"/>
          </w:tcPr>
          <w:p>
            <w:pPr>
              <w:pStyle w:val="TableParagraph"/>
              <w:spacing w:line="216" w:lineRule="auto" w:before="44"/>
              <w:ind w:left="60" w:hanging="1"/>
              <w:rPr>
                <w:sz w:val="18"/>
              </w:rPr>
            </w:pPr>
            <w:r>
              <w:rPr>
                <w:color w:val="231F20"/>
                <w:sz w:val="18"/>
              </w:rPr>
              <w:t>The situation has </w:t>
            </w:r>
            <w:r>
              <w:rPr>
                <w:color w:val="231F20"/>
                <w:sz w:val="18"/>
              </w:rPr>
              <w:t>been </w:t>
            </w:r>
            <w:r>
              <w:rPr>
                <w:color w:val="231F20"/>
                <w:spacing w:val="-2"/>
                <w:sz w:val="18"/>
              </w:rPr>
              <w:t>stopped.</w:t>
            </w:r>
          </w:p>
        </w:tc>
      </w:tr>
      <w:tr>
        <w:trPr>
          <w:trHeight w:val="1192" w:hRule="atLeast"/>
        </w:trPr>
        <w:tc>
          <w:tcPr>
            <w:tcW w:w="2506" w:type="dxa"/>
          </w:tcPr>
          <w:p>
            <w:pPr>
              <w:pStyle w:val="TableParagraph"/>
              <w:ind w:left="44"/>
              <w:rPr>
                <w:sz w:val="18"/>
              </w:rPr>
            </w:pPr>
            <w:r>
              <w:rPr>
                <w:color w:val="231F20"/>
                <w:sz w:val="18"/>
              </w:rPr>
              <w:t>Not</w:t>
            </w:r>
            <w:r>
              <w:rPr>
                <w:color w:val="231F20"/>
                <w:spacing w:val="4"/>
                <w:sz w:val="18"/>
              </w:rPr>
              <w:t> </w:t>
            </w:r>
            <w:r>
              <w:rPr>
                <w:color w:val="231F20"/>
                <w:spacing w:val="-2"/>
                <w:sz w:val="18"/>
              </w:rPr>
              <w:t>Available</w:t>
            </w:r>
          </w:p>
        </w:tc>
        <w:tc>
          <w:tcPr>
            <w:tcW w:w="2521" w:type="dxa"/>
          </w:tcPr>
          <w:p>
            <w:pPr>
              <w:pStyle w:val="TableParagraph"/>
              <w:ind w:left="60"/>
              <w:rPr>
                <w:sz w:val="18"/>
              </w:rPr>
            </w:pPr>
            <w:r>
              <w:rPr>
                <w:color w:val="231F20"/>
                <w:spacing w:val="-2"/>
                <w:w w:val="105"/>
                <w:sz w:val="18"/>
              </w:rPr>
              <w:t>&lt;null&gt;</w:t>
            </w:r>
          </w:p>
        </w:tc>
        <w:tc>
          <w:tcPr>
            <w:tcW w:w="2506" w:type="dxa"/>
          </w:tcPr>
          <w:p>
            <w:pPr>
              <w:pStyle w:val="TableParagraph"/>
              <w:spacing w:line="220" w:lineRule="auto" w:before="40"/>
              <w:ind w:left="60" w:hanging="1"/>
              <w:rPr>
                <w:rFonts w:ascii="Arial"/>
                <w:sz w:val="18"/>
              </w:rPr>
            </w:pPr>
            <w:r>
              <w:rPr>
                <w:color w:val="231F20"/>
                <w:spacing w:val="-2"/>
                <w:w w:val="105"/>
                <w:sz w:val="18"/>
              </w:rPr>
              <w:t>The</w:t>
            </w:r>
            <w:r>
              <w:rPr>
                <w:color w:val="231F20"/>
                <w:spacing w:val="-7"/>
                <w:w w:val="105"/>
                <w:sz w:val="18"/>
              </w:rPr>
              <w:t> </w:t>
            </w:r>
            <w:r>
              <w:rPr>
                <w:color w:val="231F20"/>
                <w:spacing w:val="-2"/>
                <w:w w:val="105"/>
                <w:sz w:val="18"/>
              </w:rPr>
              <w:t>status</w:t>
            </w:r>
            <w:r>
              <w:rPr>
                <w:color w:val="231F20"/>
                <w:spacing w:val="-7"/>
                <w:w w:val="105"/>
                <w:sz w:val="18"/>
              </w:rPr>
              <w:t> </w:t>
            </w:r>
            <w:r>
              <w:rPr>
                <w:color w:val="231F20"/>
                <w:spacing w:val="-2"/>
                <w:w w:val="105"/>
                <w:sz w:val="18"/>
              </w:rPr>
              <w:t>for</w:t>
            </w:r>
            <w:r>
              <w:rPr>
                <w:color w:val="231F20"/>
                <w:spacing w:val="-7"/>
                <w:w w:val="105"/>
                <w:sz w:val="18"/>
              </w:rPr>
              <w:t> </w:t>
            </w:r>
            <w:r>
              <w:rPr>
                <w:color w:val="231F20"/>
                <w:spacing w:val="-2"/>
                <w:w w:val="105"/>
                <w:sz w:val="18"/>
              </w:rPr>
              <w:t>the</w:t>
            </w:r>
            <w:r>
              <w:rPr>
                <w:color w:val="231F20"/>
                <w:spacing w:val="-7"/>
                <w:w w:val="105"/>
                <w:sz w:val="18"/>
              </w:rPr>
              <w:t> </w:t>
            </w:r>
            <w:r>
              <w:rPr>
                <w:color w:val="231F20"/>
                <w:spacing w:val="-2"/>
                <w:w w:val="105"/>
                <w:sz w:val="18"/>
              </w:rPr>
              <w:t>situation</w:t>
            </w:r>
            <w:r>
              <w:rPr>
                <w:color w:val="231F20"/>
                <w:spacing w:val="-7"/>
                <w:w w:val="105"/>
                <w:sz w:val="18"/>
              </w:rPr>
              <w:t> </w:t>
            </w:r>
            <w:r>
              <w:rPr>
                <w:color w:val="231F20"/>
                <w:spacing w:val="-2"/>
                <w:w w:val="105"/>
                <w:sz w:val="18"/>
              </w:rPr>
              <w:t>is </w:t>
            </w:r>
            <w:r>
              <w:rPr>
                <w:color w:val="231F20"/>
                <w:w w:val="105"/>
                <w:sz w:val="18"/>
              </w:rPr>
              <w:t>not being returned. To investigate, set this client trace:</w:t>
            </w:r>
            <w:r>
              <w:rPr>
                <w:color w:val="231F20"/>
                <w:spacing w:val="40"/>
                <w:w w:val="105"/>
                <w:sz w:val="18"/>
              </w:rPr>
              <w:t> </w:t>
            </w:r>
            <w:r>
              <w:rPr>
                <w:rFonts w:ascii="Arial"/>
                <w:color w:val="231F20"/>
                <w:w w:val="105"/>
                <w:sz w:val="18"/>
              </w:rPr>
              <w:t>error (unit:Managed </w:t>
            </w:r>
            <w:r>
              <w:rPr>
                <w:rFonts w:ascii="Arial"/>
                <w:color w:val="231F20"/>
                <w:spacing w:val="-2"/>
                <w:w w:val="105"/>
                <w:sz w:val="18"/>
              </w:rPr>
              <w:t>detail)</w:t>
            </w:r>
          </w:p>
        </w:tc>
      </w:tr>
    </w:tbl>
    <w:p>
      <w:pPr>
        <w:pStyle w:val="BodyText"/>
        <w:spacing w:before="134"/>
      </w:pPr>
    </w:p>
    <w:p>
      <w:pPr>
        <w:pStyle w:val="BodyText"/>
        <w:spacing w:line="255" w:lineRule="exact"/>
        <w:ind w:left="2232"/>
      </w:pPr>
      <w:bookmarkStart w:name="_bookmark349" w:id="730"/>
      <w:bookmarkEnd w:id="730"/>
      <w:r>
        <w:rPr/>
      </w:r>
      <w:r>
        <w:rPr>
          <w:color w:val="231F20"/>
        </w:rPr>
        <w:t>To</w:t>
      </w:r>
      <w:r>
        <w:rPr>
          <w:color w:val="231F20"/>
          <w:spacing w:val="11"/>
        </w:rPr>
        <w:t> </w:t>
      </w:r>
      <w:r>
        <w:rPr>
          <w:color w:val="231F20"/>
        </w:rPr>
        <w:t>determine</w:t>
      </w:r>
      <w:r>
        <w:rPr>
          <w:color w:val="231F20"/>
          <w:spacing w:val="11"/>
        </w:rPr>
        <w:t> </w:t>
      </w:r>
      <w:r>
        <w:rPr>
          <w:color w:val="231F20"/>
        </w:rPr>
        <w:t>why</w:t>
      </w:r>
      <w:r>
        <w:rPr>
          <w:color w:val="231F20"/>
          <w:spacing w:val="11"/>
        </w:rPr>
        <w:t> </w:t>
      </w:r>
      <w:r>
        <w:rPr>
          <w:color w:val="231F20"/>
        </w:rPr>
        <w:t>the</w:t>
      </w:r>
      <w:r>
        <w:rPr>
          <w:color w:val="231F20"/>
          <w:spacing w:val="11"/>
        </w:rPr>
        <w:t> </w:t>
      </w:r>
      <w:r>
        <w:rPr>
          <w:color w:val="231F20"/>
        </w:rPr>
        <w:t>status</w:t>
      </w:r>
      <w:r>
        <w:rPr>
          <w:color w:val="231F20"/>
          <w:spacing w:val="10"/>
        </w:rPr>
        <w:t> </w:t>
      </w:r>
      <w:r>
        <w:rPr>
          <w:color w:val="231F20"/>
        </w:rPr>
        <w:t>is</w:t>
      </w:r>
      <w:r>
        <w:rPr>
          <w:color w:val="231F20"/>
          <w:spacing w:val="11"/>
        </w:rPr>
        <w:t> </w:t>
      </w:r>
      <w:r>
        <w:rPr>
          <w:color w:val="231F20"/>
        </w:rPr>
        <w:t>set</w:t>
      </w:r>
      <w:r>
        <w:rPr>
          <w:color w:val="231F20"/>
          <w:spacing w:val="11"/>
        </w:rPr>
        <w:t> </w:t>
      </w:r>
      <w:r>
        <w:rPr>
          <w:color w:val="231F20"/>
        </w:rPr>
        <w:t>as</w:t>
      </w:r>
      <w:r>
        <w:rPr>
          <w:color w:val="231F20"/>
          <w:spacing w:val="11"/>
        </w:rPr>
        <w:t> </w:t>
      </w:r>
      <w:r>
        <w:rPr>
          <w:color w:val="231F20"/>
        </w:rPr>
        <w:t>it</w:t>
      </w:r>
      <w:r>
        <w:rPr>
          <w:color w:val="231F20"/>
          <w:spacing w:val="11"/>
        </w:rPr>
        <w:t> </w:t>
      </w:r>
      <w:r>
        <w:rPr>
          <w:color w:val="231F20"/>
        </w:rPr>
        <w:t>is,</w:t>
      </w:r>
      <w:r>
        <w:rPr>
          <w:color w:val="231F20"/>
          <w:spacing w:val="11"/>
        </w:rPr>
        <w:t> </w:t>
      </w:r>
      <w:r>
        <w:rPr>
          <w:color w:val="231F20"/>
        </w:rPr>
        <w:t>the</w:t>
      </w:r>
      <w:r>
        <w:rPr>
          <w:color w:val="231F20"/>
          <w:spacing w:val="11"/>
        </w:rPr>
        <w:t> </w:t>
      </w:r>
      <w:r>
        <w:rPr>
          <w:color w:val="231F20"/>
        </w:rPr>
        <w:t>following</w:t>
      </w:r>
      <w:r>
        <w:rPr>
          <w:color w:val="231F20"/>
          <w:spacing w:val="11"/>
        </w:rPr>
        <w:t> </w:t>
      </w:r>
      <w:r>
        <w:rPr>
          <w:color w:val="231F20"/>
        </w:rPr>
        <w:t>client</w:t>
      </w:r>
      <w:r>
        <w:rPr>
          <w:color w:val="231F20"/>
          <w:spacing w:val="11"/>
        </w:rPr>
        <w:t> </w:t>
      </w:r>
      <w:r>
        <w:rPr>
          <w:color w:val="231F20"/>
        </w:rPr>
        <w:t>trace</w:t>
      </w:r>
      <w:r>
        <w:rPr>
          <w:color w:val="231F20"/>
          <w:spacing w:val="11"/>
        </w:rPr>
        <w:t> </w:t>
      </w:r>
      <w:r>
        <w:rPr>
          <w:color w:val="231F20"/>
        </w:rPr>
        <w:t>will</w:t>
      </w:r>
      <w:r>
        <w:rPr>
          <w:color w:val="231F20"/>
          <w:spacing w:val="11"/>
        </w:rPr>
        <w:t> </w:t>
      </w:r>
      <w:r>
        <w:rPr>
          <w:color w:val="231F20"/>
          <w:spacing w:val="-2"/>
        </w:rPr>
        <w:t>help:</w:t>
      </w:r>
    </w:p>
    <w:p>
      <w:pPr>
        <w:pStyle w:val="BodyText"/>
        <w:spacing w:line="255" w:lineRule="exact"/>
        <w:ind w:left="2232"/>
      </w:pPr>
      <w:r>
        <w:rPr>
          <w:rFonts w:ascii="Arial"/>
          <w:color w:val="231F20"/>
        </w:rPr>
        <w:t>error</w:t>
      </w:r>
      <w:r>
        <w:rPr>
          <w:rFonts w:ascii="Arial"/>
          <w:color w:val="231F20"/>
          <w:spacing w:val="59"/>
          <w:w w:val="150"/>
        </w:rPr>
        <w:t> </w:t>
      </w:r>
      <w:r>
        <w:rPr>
          <w:rFonts w:ascii="Arial"/>
          <w:color w:val="231F20"/>
        </w:rPr>
        <w:t>(unit:Managed</w:t>
      </w:r>
      <w:r>
        <w:rPr>
          <w:rFonts w:ascii="Arial"/>
          <w:color w:val="231F20"/>
          <w:spacing w:val="60"/>
          <w:w w:val="150"/>
        </w:rPr>
        <w:t> </w:t>
      </w:r>
      <w:r>
        <w:rPr>
          <w:rFonts w:ascii="Arial"/>
          <w:color w:val="231F20"/>
          <w:spacing w:val="-2"/>
        </w:rPr>
        <w:t>detail)</w:t>
      </w:r>
      <w:r>
        <w:rPr>
          <w:color w:val="231F20"/>
          <w:spacing w:val="-2"/>
        </w:rPr>
        <w:t>.</w:t>
      </w:r>
    </w:p>
    <w:p>
      <w:pPr>
        <w:pStyle w:val="BodyText"/>
        <w:spacing w:line="213" w:lineRule="auto" w:before="233"/>
        <w:ind w:left="2232" w:right="636"/>
      </w:pPr>
      <w:r>
        <w:rPr>
          <w:rFonts w:ascii="Book Antiqua"/>
          <w:b/>
          <w:color w:val="231F20"/>
        </w:rPr>
        <w:t>Type </w:t>
      </w:r>
      <w:r>
        <w:rPr>
          <w:color w:val="231F20"/>
        </w:rPr>
        <w:t>The event is either pure (unsolicited notification; the situation has </w:t>
      </w:r>
      <w:r>
        <w:rPr>
          <w:color w:val="231F20"/>
        </w:rPr>
        <w:t>no sampling interval) or sampled (the situation is sampled at intervals).</w:t>
      </w:r>
    </w:p>
    <w:p>
      <w:pPr>
        <w:pStyle w:val="Heading6"/>
        <w:spacing w:line="240" w:lineRule="auto"/>
        <w:ind w:left="2232"/>
      </w:pPr>
      <w:r>
        <w:rPr>
          <w:color w:val="231F20"/>
          <w:spacing w:val="-2"/>
        </w:rPr>
        <w:t>Sampled</w:t>
      </w:r>
    </w:p>
    <w:p>
      <w:pPr>
        <w:pStyle w:val="BodyText"/>
        <w:spacing w:line="213" w:lineRule="auto" w:before="119"/>
        <w:ind w:left="2951" w:right="545"/>
      </w:pPr>
      <w:r>
        <w:rPr>
          <w:color w:val="231F20"/>
        </w:rPr>
        <w:t>Sampled events happen when a situation becomes true. Situations </w:t>
      </w:r>
      <w:r>
        <w:rPr>
          <w:color w:val="231F20"/>
        </w:rPr>
        <w:t>sample data at regular intervals. When the situation is true, it causes an event, which gets closed automatically when the situation goes back to false (or you can close it manually if you stop the situation).</w:t>
      </w:r>
    </w:p>
    <w:p>
      <w:pPr>
        <w:pStyle w:val="BodyText"/>
        <w:tabs>
          <w:tab w:pos="2951" w:val="left" w:leader="none"/>
        </w:tabs>
        <w:spacing w:line="213" w:lineRule="auto" w:before="117"/>
        <w:ind w:left="2951" w:right="544" w:hanging="719"/>
      </w:pPr>
      <w:r>
        <w:rPr>
          <w:rFonts w:ascii="Book Antiqua"/>
          <w:b/>
          <w:color w:val="231F20"/>
          <w:spacing w:val="-4"/>
        </w:rPr>
        <w:t>Pure</w:t>
      </w:r>
      <w:r>
        <w:rPr>
          <w:rFonts w:ascii="Book Antiqua"/>
          <w:b/>
          <w:color w:val="231F20"/>
        </w:rPr>
        <w:tab/>
      </w:r>
      <w:r>
        <w:rPr>
          <w:color w:val="231F20"/>
        </w:rPr>
        <w:t>Pure events are unsolicited notifications. Examples of pure events are an out-of-paper condition on a printer and an occurrence that adds an entry</w:t>
      </w:r>
      <w:r>
        <w:rPr>
          <w:color w:val="231F20"/>
          <w:spacing w:val="80"/>
        </w:rPr>
        <w:t> </w:t>
      </w:r>
      <w:r>
        <w:rPr>
          <w:color w:val="231F20"/>
        </w:rPr>
        <w:t>to the Windows System Log. Some monitoring agents have attributes that report pure events, such as the Windows Event Log and Windows File Change attribute groups. A situation using one of these attributes can monitor for pure events. Because of the nature of pure events and the </w:t>
      </w:r>
      <w:r>
        <w:rPr>
          <w:color w:val="231F20"/>
        </w:rPr>
        <w:t>fact that a situation created with pure event attributes does not have a</w:t>
      </w:r>
      <w:r>
        <w:rPr>
          <w:color w:val="231F20"/>
          <w:spacing w:val="80"/>
        </w:rPr>
        <w:t> </w:t>
      </w:r>
      <w:r>
        <w:rPr>
          <w:color w:val="231F20"/>
        </w:rPr>
        <w:t>sampling interval, they are not closed automatically like sampled events; you must close the event manually or through an UNTIL clause.</w:t>
      </w:r>
    </w:p>
    <w:p>
      <w:pPr>
        <w:pStyle w:val="BodyText"/>
        <w:spacing w:line="213" w:lineRule="auto" w:before="114"/>
        <w:ind w:left="2951" w:right="636"/>
      </w:pPr>
      <w:r>
        <w:rPr>
          <w:rFonts w:ascii="Book Antiqua"/>
          <w:b/>
          <w:color w:val="231F20"/>
        </w:rPr>
        <w:t>Note</w:t>
      </w:r>
      <w:r>
        <w:rPr>
          <w:color w:val="231F20"/>
        </w:rPr>
        <w:t>: If you create a query and apply a column function to the Type attribute, pure events will not be included in the AVG, COUNT, </w:t>
      </w:r>
      <w:r>
        <w:rPr>
          <w:color w:val="231F20"/>
        </w:rPr>
        <w:t>MAX, MIN or SUM calculation.</w:t>
      </w:r>
    </w:p>
    <w:p>
      <w:pPr>
        <w:pStyle w:val="BodyText"/>
        <w:spacing w:before="5"/>
        <w:rPr>
          <w:sz w:val="16"/>
        </w:rPr>
      </w:pPr>
      <w:r>
        <w:rPr/>
        <mc:AlternateContent>
          <mc:Choice Requires="wps">
            <w:drawing>
              <wp:anchor distT="0" distB="0" distL="0" distR="0" allowOverlap="1" layoutInCell="1" locked="0" behindDoc="1" simplePos="0" relativeHeight="487758848">
                <wp:simplePos x="0" y="0"/>
                <wp:positionH relativeFrom="page">
                  <wp:posOffset>760323</wp:posOffset>
                </wp:positionH>
                <wp:positionV relativeFrom="paragraph">
                  <wp:posOffset>155525</wp:posOffset>
                </wp:positionV>
                <wp:extent cx="6082665" cy="1270"/>
                <wp:effectExtent l="0" t="0" r="0" b="0"/>
                <wp:wrapTopAndBottom/>
                <wp:docPr id="3428" name="Graphic 3428"/>
                <wp:cNvGraphicFramePr>
                  <a:graphicFrameLocks/>
                </wp:cNvGraphicFramePr>
                <a:graphic>
                  <a:graphicData uri="http://schemas.microsoft.com/office/word/2010/wordprocessingShape">
                    <wps:wsp>
                      <wps:cNvPr id="3428" name="Graphic 342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9.868pt;margin-top:12.246113pt;width:478.95pt;height:.1pt;mso-position-horizontal-relative:page;mso-position-vertical-relative:paragraph;z-index:-15557632;mso-wrap-distance-left:0;mso-wrap-distance-right:0" id="docshape302" coordorigin="1197,245" coordsize="9579,0" path="m1197,245l10776,245e" filled="false" stroked="true" strokeweight=".499pt" strokecolor="#231f20">
                <v:path arrowok="t"/>
                <v:stroke dashstyle="solid"/>
                <w10:wrap type="topAndBottom"/>
              </v:shape>
            </w:pict>
          </mc:Fallback>
        </mc:AlternateContent>
      </w:r>
    </w:p>
    <w:p>
      <w:pPr>
        <w:pStyle w:val="Heading3"/>
        <w:ind w:left="197"/>
      </w:pPr>
      <w:bookmarkStart w:name="Universal Messages attributes" w:id="731"/>
      <w:bookmarkEnd w:id="731"/>
      <w:r>
        <w:rPr>
          <w:b w:val="0"/>
        </w:rPr>
      </w:r>
      <w:r>
        <w:rPr>
          <w:color w:val="231F20"/>
        </w:rPr>
        <w:t>Universal</w:t>
      </w:r>
      <w:r>
        <w:rPr>
          <w:color w:val="231F20"/>
          <w:spacing w:val="2"/>
        </w:rPr>
        <w:t> </w:t>
      </w:r>
      <w:r>
        <w:rPr>
          <w:color w:val="231F20"/>
        </w:rPr>
        <w:t>Messages</w:t>
      </w:r>
      <w:r>
        <w:rPr>
          <w:color w:val="231F20"/>
          <w:spacing w:val="2"/>
        </w:rPr>
        <w:t> </w:t>
      </w:r>
      <w:r>
        <w:rPr>
          <w:color w:val="231F20"/>
          <w:spacing w:val="-2"/>
        </w:rPr>
        <w:t>attributes</w:t>
      </w:r>
    </w:p>
    <w:p>
      <w:pPr>
        <w:pStyle w:val="BodyText"/>
        <w:spacing w:line="213" w:lineRule="auto" w:before="138"/>
        <w:ind w:left="2232" w:right="545"/>
      </w:pPr>
      <w:r>
        <w:rPr>
          <w:color w:val="231F20"/>
        </w:rPr>
        <w:t>Universal Messages attributes keep track of the messages that have been </w:t>
      </w:r>
      <w:r>
        <w:rPr>
          <w:color w:val="231F20"/>
        </w:rPr>
        <w:t>generated through a situation or policy action command. The Universal Message Console</w:t>
      </w:r>
      <w:r>
        <w:rPr>
          <w:color w:val="231F20"/>
          <w:spacing w:val="80"/>
        </w:rPr>
        <w:t> </w:t>
      </w:r>
      <w:r>
        <w:rPr>
          <w:color w:val="231F20"/>
        </w:rPr>
        <w:t>view uses these attributes, and they can be used to create situations.</w:t>
      </w:r>
    </w:p>
    <w:p>
      <w:pPr>
        <w:pStyle w:val="BodyText"/>
        <w:spacing w:line="213" w:lineRule="auto" w:before="238"/>
        <w:ind w:left="2232" w:right="545"/>
      </w:pPr>
      <w:r>
        <w:rPr>
          <w:rFonts w:ascii="Book Antiqua"/>
          <w:b/>
          <w:color w:val="231F20"/>
        </w:rPr>
        <w:t>Category </w:t>
      </w:r>
      <w:r>
        <w:rPr>
          <w:color w:val="231F20"/>
        </w:rPr>
        <w:t>The category name that was given for the message, such as </w:t>
      </w:r>
      <w:r>
        <w:rPr>
          <w:color w:val="231F20"/>
        </w:rPr>
        <w:t>'Information' or 'SiteCritical'.</w:t>
      </w:r>
    </w:p>
    <w:p>
      <w:pPr>
        <w:pStyle w:val="BodyText"/>
        <w:spacing w:line="213" w:lineRule="auto" w:before="238"/>
        <w:ind w:left="2232"/>
      </w:pPr>
      <w:r>
        <w:rPr>
          <w:rFonts w:ascii="Book Antiqua"/>
          <w:b/>
          <w:color w:val="231F20"/>
        </w:rPr>
        <w:t>Message Severity </w:t>
      </w:r>
      <w:r>
        <w:rPr>
          <w:color w:val="231F20"/>
        </w:rPr>
        <w:t>The severity name that was given for the message to indicate </w:t>
      </w:r>
      <w:r>
        <w:rPr>
          <w:color w:val="231F20"/>
        </w:rPr>
        <w:t>its importance, such as 'Low' or '5'.</w:t>
      </w:r>
    </w:p>
    <w:p>
      <w:pPr>
        <w:spacing w:after="0" w:line="213" w:lineRule="auto"/>
        <w:sectPr>
          <w:type w:val="continuous"/>
          <w:pgSz w:w="12240" w:h="15840"/>
          <w:pgMar w:header="0" w:footer="736" w:top="1300" w:bottom="920" w:left="1000" w:right="1060"/>
        </w:sectPr>
      </w:pPr>
    </w:p>
    <w:p>
      <w:pPr>
        <w:pStyle w:val="BodyText"/>
        <w:spacing w:line="213" w:lineRule="auto" w:before="85"/>
        <w:ind w:left="2472" w:right="385"/>
      </w:pPr>
      <w:bookmarkStart w:name="_bookmark350" w:id="732"/>
      <w:bookmarkEnd w:id="732"/>
      <w:r>
        <w:rPr/>
      </w:r>
      <w:r>
        <w:rPr>
          <w:rFonts w:ascii="Book Antiqua"/>
          <w:b/>
          <w:color w:val="231F20"/>
        </w:rPr>
        <w:t>Message Text </w:t>
      </w:r>
      <w:r>
        <w:rPr>
          <w:color w:val="231F20"/>
        </w:rPr>
        <w:t>The content of the message, up to 256 characters. You can use the </w:t>
      </w:r>
      <w:r>
        <w:rPr>
          <w:rFonts w:ascii="Book Antiqua"/>
          <w:b/>
          <w:color w:val="231F20"/>
        </w:rPr>
        <w:t>SCAN </w:t>
      </w:r>
      <w:r>
        <w:rPr>
          <w:color w:val="231F20"/>
        </w:rPr>
        <w:t>function to find a value anywhere in the message, and it can include an asterisk (*) as a wildcard, such as inciden* to find messages containing incidence, incident, or incidental. You can also use the </w:t>
      </w:r>
      <w:r>
        <w:rPr>
          <w:rFonts w:ascii="Book Antiqua"/>
          <w:b/>
          <w:color w:val="231F20"/>
        </w:rPr>
        <w:t>STR</w:t>
      </w:r>
      <w:r>
        <w:rPr>
          <w:color w:val="231F20"/>
        </w:rPr>
        <w:t>ing function to look for </w:t>
      </w:r>
      <w:r>
        <w:rPr>
          <w:color w:val="231F20"/>
        </w:rPr>
        <w:t>matching text at a specific location in the message.</w:t>
      </w:r>
    </w:p>
    <w:p>
      <w:pPr>
        <w:pStyle w:val="BodyText"/>
        <w:spacing w:line="213" w:lineRule="auto" w:before="236"/>
        <w:ind w:left="2472" w:right="258"/>
      </w:pPr>
      <w:r>
        <w:rPr>
          <w:rFonts w:ascii="Book Antiqua"/>
          <w:b/>
          <w:color w:val="231F20"/>
        </w:rPr>
        <w:t>Originnode </w:t>
      </w:r>
      <w:r>
        <w:rPr>
          <w:color w:val="231F20"/>
        </w:rPr>
        <w:t>The network name of the managed system where the situation</w:t>
      </w:r>
      <w:r>
        <w:rPr>
          <w:color w:val="231F20"/>
          <w:spacing w:val="40"/>
        </w:rPr>
        <w:t> </w:t>
      </w:r>
      <w:r>
        <w:rPr>
          <w:color w:val="231F20"/>
        </w:rPr>
        <w:t>triggering the Universal Message became true. Valid entries are up to 32 </w:t>
      </w:r>
      <w:r>
        <w:rPr>
          <w:color w:val="231F20"/>
        </w:rPr>
        <w:t>characters.</w:t>
      </w:r>
    </w:p>
    <w:p>
      <w:pPr>
        <w:pStyle w:val="BodyText"/>
        <w:spacing w:before="184"/>
      </w:pPr>
    </w:p>
    <w:p>
      <w:pPr>
        <w:spacing w:before="0"/>
        <w:ind w:left="2472" w:right="0" w:firstLine="0"/>
        <w:jc w:val="left"/>
        <w:rPr>
          <w:sz w:val="20"/>
        </w:rPr>
      </w:pPr>
      <w:r>
        <w:rPr>
          <w:rFonts w:ascii="Book Antiqua"/>
          <w:b/>
          <w:color w:val="231F20"/>
          <w:sz w:val="20"/>
        </w:rPr>
        <w:t>Situation</w:t>
      </w:r>
      <w:r>
        <w:rPr>
          <w:rFonts w:ascii="Book Antiqua"/>
          <w:b/>
          <w:color w:val="231F20"/>
          <w:spacing w:val="10"/>
          <w:sz w:val="20"/>
        </w:rPr>
        <w:t> </w:t>
      </w:r>
      <w:r>
        <w:rPr>
          <w:rFonts w:ascii="Book Antiqua"/>
          <w:b/>
          <w:color w:val="231F20"/>
          <w:sz w:val="20"/>
        </w:rPr>
        <w:t>Name</w:t>
      </w:r>
      <w:r>
        <w:rPr>
          <w:rFonts w:ascii="Book Antiqua"/>
          <w:b/>
          <w:color w:val="231F20"/>
          <w:spacing w:val="10"/>
          <w:sz w:val="20"/>
        </w:rPr>
        <w:t> </w:t>
      </w:r>
      <w:r>
        <w:rPr>
          <w:color w:val="231F20"/>
          <w:sz w:val="20"/>
        </w:rPr>
        <w:t>The</w:t>
      </w:r>
      <w:r>
        <w:rPr>
          <w:color w:val="231F20"/>
          <w:spacing w:val="11"/>
          <w:sz w:val="20"/>
        </w:rPr>
        <w:t> </w:t>
      </w:r>
      <w:r>
        <w:rPr>
          <w:color w:val="231F20"/>
          <w:sz w:val="20"/>
        </w:rPr>
        <w:t>name</w:t>
      </w:r>
      <w:r>
        <w:rPr>
          <w:color w:val="231F20"/>
          <w:spacing w:val="10"/>
          <w:sz w:val="20"/>
        </w:rPr>
        <w:t> </w:t>
      </w:r>
      <w:r>
        <w:rPr>
          <w:color w:val="231F20"/>
          <w:sz w:val="20"/>
        </w:rPr>
        <w:t>of</w:t>
      </w:r>
      <w:r>
        <w:rPr>
          <w:color w:val="231F20"/>
          <w:spacing w:val="11"/>
          <w:sz w:val="20"/>
        </w:rPr>
        <w:t> </w:t>
      </w:r>
      <w:r>
        <w:rPr>
          <w:color w:val="231F20"/>
          <w:sz w:val="20"/>
        </w:rPr>
        <w:t>the</w:t>
      </w:r>
      <w:r>
        <w:rPr>
          <w:color w:val="231F20"/>
          <w:spacing w:val="10"/>
          <w:sz w:val="20"/>
        </w:rPr>
        <w:t> </w:t>
      </w:r>
      <w:r>
        <w:rPr>
          <w:color w:val="231F20"/>
          <w:sz w:val="20"/>
        </w:rPr>
        <w:t>situation</w:t>
      </w:r>
      <w:r>
        <w:rPr>
          <w:color w:val="231F20"/>
          <w:spacing w:val="11"/>
          <w:sz w:val="20"/>
        </w:rPr>
        <w:t> </w:t>
      </w:r>
      <w:r>
        <w:rPr>
          <w:color w:val="231F20"/>
          <w:sz w:val="20"/>
        </w:rPr>
        <w:t>generating</w:t>
      </w:r>
      <w:r>
        <w:rPr>
          <w:color w:val="231F20"/>
          <w:spacing w:val="10"/>
          <w:sz w:val="20"/>
        </w:rPr>
        <w:t> </w:t>
      </w:r>
      <w:r>
        <w:rPr>
          <w:color w:val="231F20"/>
          <w:sz w:val="20"/>
        </w:rPr>
        <w:t>the</w:t>
      </w:r>
      <w:r>
        <w:rPr>
          <w:color w:val="231F20"/>
          <w:spacing w:val="11"/>
          <w:sz w:val="20"/>
        </w:rPr>
        <w:t> </w:t>
      </w:r>
      <w:r>
        <w:rPr>
          <w:color w:val="231F20"/>
          <w:sz w:val="20"/>
        </w:rPr>
        <w:t>Universal</w:t>
      </w:r>
      <w:r>
        <w:rPr>
          <w:color w:val="231F20"/>
          <w:spacing w:val="10"/>
          <w:sz w:val="20"/>
        </w:rPr>
        <w:t> </w:t>
      </w:r>
      <w:r>
        <w:rPr>
          <w:color w:val="231F20"/>
          <w:spacing w:val="-2"/>
          <w:sz w:val="20"/>
        </w:rPr>
        <w:t>Message.</w:t>
      </w:r>
    </w:p>
    <w:p>
      <w:pPr>
        <w:pStyle w:val="BodyText"/>
        <w:spacing w:line="213" w:lineRule="auto" w:before="233"/>
        <w:ind w:left="2472"/>
      </w:pPr>
      <w:r>
        <w:rPr>
          <w:rFonts w:ascii="Book Antiqua"/>
          <w:b/>
          <w:color w:val="231F20"/>
        </w:rPr>
        <w:t>Timestamp </w:t>
      </w:r>
      <w:r>
        <w:rPr>
          <w:color w:val="231F20"/>
        </w:rPr>
        <w:t>The date and time at the Tivoli Enterprise Monitoring Server when </w:t>
      </w:r>
      <w:r>
        <w:rPr>
          <w:color w:val="231F20"/>
        </w:rPr>
        <w:t>the universal</w:t>
      </w:r>
      <w:r>
        <w:rPr>
          <w:color w:val="231F20"/>
          <w:spacing w:val="40"/>
        </w:rPr>
        <w:t> </w:t>
      </w:r>
      <w:r>
        <w:rPr>
          <w:color w:val="231F20"/>
        </w:rPr>
        <w:t>message</w:t>
      </w:r>
      <w:r>
        <w:rPr>
          <w:color w:val="231F20"/>
          <w:spacing w:val="40"/>
        </w:rPr>
        <w:t> </w:t>
      </w:r>
      <w:r>
        <w:rPr>
          <w:color w:val="231F20"/>
        </w:rPr>
        <w:t>was</w:t>
      </w:r>
      <w:r>
        <w:rPr>
          <w:color w:val="231F20"/>
          <w:spacing w:val="40"/>
        </w:rPr>
        <w:t> </w:t>
      </w:r>
      <w:r>
        <w:rPr>
          <w:color w:val="231F20"/>
        </w:rPr>
        <w:t>sent.</w:t>
      </w:r>
      <w:r>
        <w:rPr>
          <w:color w:val="231F20"/>
          <w:spacing w:val="40"/>
        </w:rPr>
        <w:t> </w:t>
      </w:r>
      <w:r>
        <w:rPr>
          <w:color w:val="231F20"/>
        </w:rPr>
        <w:t>The</w:t>
      </w:r>
      <w:r>
        <w:rPr>
          <w:color w:val="231F20"/>
          <w:spacing w:val="40"/>
        </w:rPr>
        <w:t> </w:t>
      </w:r>
      <w:r>
        <w:rPr>
          <w:color w:val="231F20"/>
        </w:rPr>
        <w:t>format</w:t>
      </w:r>
      <w:r>
        <w:rPr>
          <w:color w:val="231F20"/>
          <w:spacing w:val="40"/>
        </w:rPr>
        <w:t> </w:t>
      </w:r>
      <w:r>
        <w:rPr>
          <w:color w:val="231F20"/>
        </w:rPr>
        <w:t>is</w:t>
      </w:r>
      <w:r>
        <w:rPr>
          <w:color w:val="231F20"/>
          <w:spacing w:val="40"/>
        </w:rPr>
        <w:t> </w:t>
      </w:r>
      <w:r>
        <w:rPr>
          <w:color w:val="231F20"/>
        </w:rPr>
        <w:t>MM/DD/YY</w:t>
      </w:r>
      <w:r>
        <w:rPr>
          <w:color w:val="231F20"/>
          <w:spacing w:val="40"/>
        </w:rPr>
        <w:t> </w:t>
      </w:r>
      <w:r>
        <w:rPr>
          <w:color w:val="231F20"/>
        </w:rPr>
        <w:t>HH:MM:SS.</w:t>
      </w:r>
    </w:p>
    <w:p>
      <w:pPr>
        <w:pStyle w:val="BodyText"/>
        <w:spacing w:before="5"/>
        <w:rPr>
          <w:sz w:val="16"/>
        </w:rPr>
      </w:pPr>
      <w:r>
        <w:rPr/>
        <mc:AlternateContent>
          <mc:Choice Requires="wps">
            <w:drawing>
              <wp:anchor distT="0" distB="0" distL="0" distR="0" allowOverlap="1" layoutInCell="1" locked="0" behindDoc="1" simplePos="0" relativeHeight="487759360">
                <wp:simplePos x="0" y="0"/>
                <wp:positionH relativeFrom="page">
                  <wp:posOffset>912380</wp:posOffset>
                </wp:positionH>
                <wp:positionV relativeFrom="paragraph">
                  <wp:posOffset>155777</wp:posOffset>
                </wp:positionV>
                <wp:extent cx="6082665" cy="1270"/>
                <wp:effectExtent l="0" t="0" r="0" b="0"/>
                <wp:wrapTopAndBottom/>
                <wp:docPr id="3429" name="Graphic 3429"/>
                <wp:cNvGraphicFramePr>
                  <a:graphicFrameLocks/>
                </wp:cNvGraphicFramePr>
                <a:graphic>
                  <a:graphicData uri="http://schemas.microsoft.com/office/word/2010/wordprocessingShape">
                    <wps:wsp>
                      <wps:cNvPr id="3429" name="Graphic 3429"/>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65979pt;width:478.95pt;height:.1pt;mso-position-horizontal-relative:page;mso-position-vertical-relative:paragraph;z-index:-15557120;mso-wrap-distance-left:0;mso-wrap-distance-right:0" id="docshape303"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Universal Time attributes" w:id="733"/>
      <w:bookmarkEnd w:id="733"/>
      <w:r>
        <w:rPr>
          <w:b w:val="0"/>
        </w:rPr>
      </w:r>
      <w:r>
        <w:rPr>
          <w:color w:val="231F20"/>
        </w:rPr>
        <w:t>Universal</w:t>
      </w:r>
      <w:r>
        <w:rPr>
          <w:color w:val="231F20"/>
          <w:spacing w:val="2"/>
        </w:rPr>
        <w:t> </w:t>
      </w:r>
      <w:r>
        <w:rPr>
          <w:color w:val="231F20"/>
        </w:rPr>
        <w:t>Time</w:t>
      </w:r>
      <w:r>
        <w:rPr>
          <w:color w:val="231F20"/>
          <w:spacing w:val="3"/>
        </w:rPr>
        <w:t> </w:t>
      </w:r>
      <w:r>
        <w:rPr>
          <w:color w:val="231F20"/>
          <w:spacing w:val="-2"/>
        </w:rPr>
        <w:t>attributes</w:t>
      </w:r>
    </w:p>
    <w:p>
      <w:pPr>
        <w:pStyle w:val="BodyText"/>
        <w:spacing w:line="213" w:lineRule="auto" w:before="138"/>
        <w:ind w:left="2472" w:right="274"/>
      </w:pPr>
      <w:r>
        <w:rPr>
          <w:color w:val="231F20"/>
        </w:rPr>
        <w:t>The Universal Time attributes show the time and date at the monitoring agent expressed in UTC (Coordinated Universal Time) format. For example, if the UTC time is 19:15.00 for an agent in New York, the local time is 2:15 PM Standard Time. These attributes are useful for action situations triggered by time.</w:t>
      </w:r>
    </w:p>
    <w:p>
      <w:pPr>
        <w:pStyle w:val="Heading6"/>
        <w:spacing w:line="240" w:lineRule="auto" w:before="236"/>
      </w:pPr>
      <w:r>
        <w:rPr>
          <w:color w:val="231F20"/>
          <w:spacing w:val="-2"/>
        </w:rPr>
        <w:t>Note:</w:t>
      </w:r>
    </w:p>
    <w:p>
      <w:pPr>
        <w:pStyle w:val="ListParagraph"/>
        <w:numPr>
          <w:ilvl w:val="0"/>
          <w:numId w:val="191"/>
        </w:numPr>
        <w:tabs>
          <w:tab w:pos="2788" w:val="left" w:leader="none"/>
          <w:tab w:pos="2854" w:val="left" w:leader="none"/>
        </w:tabs>
        <w:spacing w:line="213" w:lineRule="auto" w:before="59" w:after="0"/>
        <w:ind w:left="2788" w:right="226" w:hanging="316"/>
        <w:jc w:val="left"/>
        <w:rPr>
          <w:sz w:val="20"/>
        </w:rPr>
      </w:pPr>
      <w:r>
        <w:rPr>
          <w:rFonts w:ascii="Arial"/>
          <w:color w:val="231F20"/>
          <w:sz w:val="20"/>
        </w:rPr>
        <w:tab/>
      </w:r>
      <w:r>
        <w:rPr>
          <w:color w:val="231F20"/>
          <w:sz w:val="20"/>
        </w:rPr>
        <w:t>When building situations, you will see that the Universal Time attribute </w:t>
      </w:r>
      <w:r>
        <w:rPr>
          <w:color w:val="231F20"/>
          <w:sz w:val="20"/>
        </w:rPr>
        <w:t>group can be combined with any attribute group to create a condition.</w:t>
      </w:r>
    </w:p>
    <w:p>
      <w:pPr>
        <w:pStyle w:val="ListParagraph"/>
        <w:numPr>
          <w:ilvl w:val="0"/>
          <w:numId w:val="191"/>
        </w:numPr>
        <w:tabs>
          <w:tab w:pos="2854" w:val="left" w:leader="none"/>
        </w:tabs>
        <w:spacing w:line="240" w:lineRule="auto" w:before="36" w:after="0"/>
        <w:ind w:left="2854" w:right="0" w:hanging="382"/>
        <w:jc w:val="left"/>
        <w:rPr>
          <w:sz w:val="20"/>
        </w:rPr>
      </w:pPr>
      <w:r>
        <w:rPr>
          <w:color w:val="231F20"/>
          <w:sz w:val="20"/>
        </w:rPr>
        <w:t>The</w:t>
      </w:r>
      <w:r>
        <w:rPr>
          <w:color w:val="231F20"/>
          <w:spacing w:val="8"/>
          <w:sz w:val="20"/>
        </w:rPr>
        <w:t> </w:t>
      </w:r>
      <w:r>
        <w:rPr>
          <w:color w:val="231F20"/>
          <w:sz w:val="20"/>
        </w:rPr>
        <w:t>attributes</w:t>
      </w:r>
      <w:r>
        <w:rPr>
          <w:color w:val="231F20"/>
          <w:spacing w:val="9"/>
          <w:sz w:val="20"/>
        </w:rPr>
        <w:t> </w:t>
      </w:r>
      <w:r>
        <w:rPr>
          <w:color w:val="231F20"/>
          <w:sz w:val="20"/>
        </w:rPr>
        <w:t>are</w:t>
      </w:r>
      <w:r>
        <w:rPr>
          <w:color w:val="231F20"/>
          <w:spacing w:val="9"/>
          <w:sz w:val="20"/>
        </w:rPr>
        <w:t> </w:t>
      </w:r>
      <w:r>
        <w:rPr>
          <w:color w:val="231F20"/>
          <w:sz w:val="20"/>
        </w:rPr>
        <w:t>not</w:t>
      </w:r>
      <w:r>
        <w:rPr>
          <w:color w:val="231F20"/>
          <w:spacing w:val="9"/>
          <w:sz w:val="20"/>
        </w:rPr>
        <w:t> </w:t>
      </w:r>
      <w:r>
        <w:rPr>
          <w:color w:val="231F20"/>
          <w:sz w:val="20"/>
        </w:rPr>
        <w:t>available</w:t>
      </w:r>
      <w:r>
        <w:rPr>
          <w:color w:val="231F20"/>
          <w:spacing w:val="8"/>
          <w:sz w:val="20"/>
        </w:rPr>
        <w:t> </w:t>
      </w:r>
      <w:r>
        <w:rPr>
          <w:color w:val="231F20"/>
          <w:sz w:val="20"/>
        </w:rPr>
        <w:t>in</w:t>
      </w:r>
      <w:r>
        <w:rPr>
          <w:color w:val="231F20"/>
          <w:spacing w:val="9"/>
          <w:sz w:val="20"/>
        </w:rPr>
        <w:t> </w:t>
      </w:r>
      <w:r>
        <w:rPr>
          <w:color w:val="231F20"/>
          <w:sz w:val="20"/>
        </w:rPr>
        <w:t>Tivoli</w:t>
      </w:r>
      <w:r>
        <w:rPr>
          <w:color w:val="231F20"/>
          <w:spacing w:val="9"/>
          <w:sz w:val="20"/>
        </w:rPr>
        <w:t> </w:t>
      </w:r>
      <w:r>
        <w:rPr>
          <w:color w:val="231F20"/>
          <w:sz w:val="20"/>
        </w:rPr>
        <w:t>Enterprise</w:t>
      </w:r>
      <w:r>
        <w:rPr>
          <w:color w:val="231F20"/>
          <w:spacing w:val="9"/>
          <w:sz w:val="20"/>
        </w:rPr>
        <w:t> </w:t>
      </w:r>
      <w:r>
        <w:rPr>
          <w:color w:val="231F20"/>
          <w:sz w:val="20"/>
        </w:rPr>
        <w:t>Monitoring</w:t>
      </w:r>
      <w:r>
        <w:rPr>
          <w:color w:val="231F20"/>
          <w:spacing w:val="8"/>
          <w:sz w:val="20"/>
        </w:rPr>
        <w:t> </w:t>
      </w:r>
      <w:r>
        <w:rPr>
          <w:color w:val="231F20"/>
          <w:sz w:val="20"/>
        </w:rPr>
        <w:t>Server</w:t>
      </w:r>
      <w:r>
        <w:rPr>
          <w:color w:val="231F20"/>
          <w:spacing w:val="9"/>
          <w:sz w:val="20"/>
        </w:rPr>
        <w:t> </w:t>
      </w:r>
      <w:r>
        <w:rPr>
          <w:color w:val="231F20"/>
          <w:spacing w:val="-2"/>
          <w:sz w:val="20"/>
        </w:rPr>
        <w:t>queries.</w:t>
      </w:r>
    </w:p>
    <w:p>
      <w:pPr>
        <w:pStyle w:val="ListParagraph"/>
        <w:numPr>
          <w:ilvl w:val="0"/>
          <w:numId w:val="191"/>
        </w:numPr>
        <w:tabs>
          <w:tab w:pos="2788" w:val="left" w:leader="none"/>
          <w:tab w:pos="2854" w:val="left" w:leader="none"/>
        </w:tabs>
        <w:spacing w:line="213" w:lineRule="auto" w:before="52" w:after="0"/>
        <w:ind w:left="2788" w:right="292" w:hanging="316"/>
        <w:jc w:val="left"/>
        <w:rPr>
          <w:sz w:val="20"/>
        </w:rPr>
      </w:pPr>
      <w:r>
        <w:rPr>
          <w:rFonts w:ascii="Arial"/>
          <w:color w:val="231F20"/>
          <w:sz w:val="20"/>
        </w:rPr>
        <w:tab/>
      </w:r>
      <w:r>
        <w:rPr>
          <w:color w:val="231F20"/>
          <w:sz w:val="20"/>
        </w:rPr>
        <w:t>Seconds, Minutes, Hours, and Day Of Month are treated as two-character </w:t>
      </w:r>
      <w:r>
        <w:rPr>
          <w:color w:val="231F20"/>
          <w:sz w:val="20"/>
        </w:rPr>
        <w:t>text attributes.</w:t>
      </w:r>
      <w:r>
        <w:rPr>
          <w:color w:val="231F20"/>
          <w:spacing w:val="24"/>
          <w:sz w:val="20"/>
        </w:rPr>
        <w:t> </w:t>
      </w:r>
      <w:r>
        <w:rPr>
          <w:color w:val="231F20"/>
          <w:sz w:val="20"/>
        </w:rPr>
        <w:t>For</w:t>
      </w:r>
      <w:r>
        <w:rPr>
          <w:color w:val="231F20"/>
          <w:spacing w:val="24"/>
          <w:sz w:val="20"/>
        </w:rPr>
        <w:t> </w:t>
      </w:r>
      <w:r>
        <w:rPr>
          <w:color w:val="231F20"/>
          <w:sz w:val="20"/>
        </w:rPr>
        <w:t>example,</w:t>
      </w:r>
      <w:r>
        <w:rPr>
          <w:color w:val="231F20"/>
          <w:spacing w:val="24"/>
          <w:sz w:val="20"/>
        </w:rPr>
        <w:t> </w:t>
      </w:r>
      <w:r>
        <w:rPr>
          <w:color w:val="231F20"/>
          <w:sz w:val="20"/>
        </w:rPr>
        <w:t>==</w:t>
      </w:r>
      <w:r>
        <w:rPr>
          <w:color w:val="231F20"/>
          <w:spacing w:val="24"/>
          <w:sz w:val="20"/>
        </w:rPr>
        <w:t> </w:t>
      </w:r>
      <w:r>
        <w:rPr>
          <w:color w:val="231F20"/>
          <w:sz w:val="20"/>
        </w:rPr>
        <w:t>05</w:t>
      </w:r>
      <w:r>
        <w:rPr>
          <w:color w:val="231F20"/>
          <w:spacing w:val="24"/>
          <w:sz w:val="20"/>
        </w:rPr>
        <w:t> </w:t>
      </w:r>
      <w:r>
        <w:rPr>
          <w:color w:val="231F20"/>
          <w:sz w:val="20"/>
        </w:rPr>
        <w:t>Minutes</w:t>
      </w:r>
      <w:r>
        <w:rPr>
          <w:color w:val="231F20"/>
          <w:spacing w:val="24"/>
          <w:sz w:val="20"/>
        </w:rPr>
        <w:t> </w:t>
      </w:r>
      <w:r>
        <w:rPr>
          <w:color w:val="231F20"/>
          <w:sz w:val="20"/>
        </w:rPr>
        <w:t>is</w:t>
      </w:r>
      <w:r>
        <w:rPr>
          <w:color w:val="231F20"/>
          <w:spacing w:val="24"/>
          <w:sz w:val="20"/>
        </w:rPr>
        <w:t> </w:t>
      </w:r>
      <w:r>
        <w:rPr>
          <w:color w:val="231F20"/>
          <w:sz w:val="20"/>
        </w:rPr>
        <w:t>correct,</w:t>
      </w:r>
      <w:r>
        <w:rPr>
          <w:color w:val="231F20"/>
          <w:spacing w:val="24"/>
          <w:sz w:val="20"/>
        </w:rPr>
        <w:t> </w:t>
      </w:r>
      <w:r>
        <w:rPr>
          <w:color w:val="231F20"/>
          <w:sz w:val="20"/>
        </w:rPr>
        <w:t>but</w:t>
      </w:r>
      <w:r>
        <w:rPr>
          <w:color w:val="231F20"/>
          <w:spacing w:val="24"/>
          <w:sz w:val="20"/>
        </w:rPr>
        <w:t> </w:t>
      </w:r>
      <w:r>
        <w:rPr>
          <w:color w:val="231F20"/>
          <w:sz w:val="20"/>
        </w:rPr>
        <w:t>==</w:t>
      </w:r>
      <w:r>
        <w:rPr>
          <w:color w:val="231F20"/>
          <w:spacing w:val="24"/>
          <w:sz w:val="20"/>
        </w:rPr>
        <w:t> </w:t>
      </w:r>
      <w:r>
        <w:rPr>
          <w:color w:val="231F20"/>
          <w:sz w:val="20"/>
        </w:rPr>
        <w:t>5</w:t>
      </w:r>
      <w:r>
        <w:rPr>
          <w:color w:val="231F20"/>
          <w:spacing w:val="24"/>
          <w:sz w:val="20"/>
        </w:rPr>
        <w:t> </w:t>
      </w:r>
      <w:r>
        <w:rPr>
          <w:color w:val="231F20"/>
          <w:sz w:val="20"/>
        </w:rPr>
        <w:t>Minutes</w:t>
      </w:r>
      <w:r>
        <w:rPr>
          <w:color w:val="231F20"/>
          <w:spacing w:val="24"/>
          <w:sz w:val="20"/>
        </w:rPr>
        <w:t> </w:t>
      </w:r>
      <w:r>
        <w:rPr>
          <w:color w:val="231F20"/>
          <w:sz w:val="20"/>
        </w:rPr>
        <w:t>will</w:t>
      </w:r>
      <w:r>
        <w:rPr>
          <w:color w:val="231F20"/>
          <w:spacing w:val="24"/>
          <w:sz w:val="20"/>
        </w:rPr>
        <w:t> </w:t>
      </w:r>
      <w:r>
        <w:rPr>
          <w:color w:val="231F20"/>
          <w:sz w:val="20"/>
        </w:rPr>
        <w:t>never be true.</w:t>
      </w:r>
    </w:p>
    <w:p>
      <w:pPr>
        <w:pStyle w:val="BodyText"/>
        <w:spacing w:line="213" w:lineRule="auto" w:before="238"/>
        <w:ind w:left="2472" w:right="545"/>
      </w:pPr>
      <w:r>
        <w:rPr>
          <w:rFonts w:ascii="Book Antiqua"/>
          <w:b/>
          <w:color w:val="231F20"/>
        </w:rPr>
        <w:t>Day Of Month </w:t>
      </w:r>
      <w:r>
        <w:rPr>
          <w:color w:val="231F20"/>
        </w:rPr>
        <w:t>The day in the month at the agent location when the data </w:t>
      </w:r>
      <w:r>
        <w:rPr>
          <w:color w:val="231F20"/>
        </w:rPr>
        <w:t>was</w:t>
      </w:r>
      <w:r>
        <w:rPr>
          <w:color w:val="231F20"/>
          <w:spacing w:val="40"/>
        </w:rPr>
        <w:t> </w:t>
      </w:r>
      <w:r>
        <w:rPr>
          <w:color w:val="231F20"/>
        </w:rPr>
        <w:t>sampled, from 01 to 31. The first day of the month is 01.</w:t>
      </w:r>
    </w:p>
    <w:p>
      <w:pPr>
        <w:pStyle w:val="BodyText"/>
        <w:spacing w:line="213" w:lineRule="auto" w:before="238"/>
        <w:ind w:left="2472" w:right="274"/>
      </w:pPr>
      <w:r>
        <w:rPr>
          <w:rFonts w:ascii="Book Antiqua"/>
          <w:b/>
          <w:color w:val="231F20"/>
        </w:rPr>
        <w:t>Day Of Week </w:t>
      </w:r>
      <w:r>
        <w:rPr>
          <w:color w:val="231F20"/>
        </w:rPr>
        <w:t>The numeric representation for the day in the week at the agent location when the data was sampled, from Sunday to Saturday. Select the day from the </w:t>
      </w:r>
      <w:r>
        <w:rPr>
          <w:color w:val="231F20"/>
          <w:spacing w:val="16"/>
          <w:position w:val="-1"/>
        </w:rPr>
        <w:drawing>
          <wp:inline distT="0" distB="0" distL="0" distR="0">
            <wp:extent cx="101600" cy="101600"/>
            <wp:effectExtent l="0" t="0" r="0" b="0"/>
            <wp:docPr id="3430" name="Image 3430"/>
            <wp:cNvGraphicFramePr>
              <a:graphicFrameLocks/>
            </wp:cNvGraphicFramePr>
            <a:graphic>
              <a:graphicData uri="http://schemas.openxmlformats.org/drawingml/2006/picture">
                <pic:pic>
                  <pic:nvPicPr>
                    <pic:cNvPr id="3430" name="Image 3430"/>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6"/>
          <w:position w:val="-1"/>
        </w:rPr>
      </w:r>
      <w:r>
        <w:rPr>
          <w:rFonts w:ascii="Times New Roman"/>
          <w:color w:val="231F20"/>
          <w:spacing w:val="16"/>
        </w:rPr>
        <w:t> </w:t>
      </w:r>
      <w:r>
        <w:rPr>
          <w:color w:val="231F20"/>
        </w:rPr>
        <w:t>list.</w:t>
      </w:r>
    </w:p>
    <w:p>
      <w:pPr>
        <w:pStyle w:val="BodyText"/>
        <w:spacing w:line="213" w:lineRule="auto" w:before="237"/>
        <w:ind w:left="2472" w:right="385"/>
      </w:pPr>
      <w:r>
        <w:rPr>
          <w:rFonts w:ascii="Book Antiqua"/>
          <w:b/>
          <w:color w:val="231F20"/>
        </w:rPr>
        <w:t>Hours </w:t>
      </w:r>
      <w:r>
        <w:rPr>
          <w:color w:val="231F20"/>
        </w:rPr>
        <w:t>The hour in the day at the agent location when the data was sampled, </w:t>
      </w:r>
      <w:r>
        <w:rPr>
          <w:color w:val="231F20"/>
        </w:rPr>
        <w:t>from</w:t>
      </w:r>
      <w:r>
        <w:rPr>
          <w:color w:val="231F20"/>
          <w:spacing w:val="40"/>
        </w:rPr>
        <w:t> </w:t>
      </w:r>
      <w:r>
        <w:rPr>
          <w:color w:val="231F20"/>
        </w:rPr>
        <w:t>00 to 23, such as 01 for 1 am.</w:t>
      </w:r>
    </w:p>
    <w:p>
      <w:pPr>
        <w:pStyle w:val="BodyText"/>
        <w:spacing w:line="213" w:lineRule="auto" w:before="239"/>
        <w:ind w:left="2472" w:right="385"/>
      </w:pPr>
      <w:r>
        <w:rPr>
          <w:rFonts w:ascii="Book Antiqua"/>
          <w:b/>
          <w:color w:val="231F20"/>
        </w:rPr>
        <w:t>Minutes </w:t>
      </w:r>
      <w:r>
        <w:rPr>
          <w:color w:val="231F20"/>
        </w:rPr>
        <w:t>The minute in the hour at the agent location when the data was </w:t>
      </w:r>
      <w:r>
        <w:rPr>
          <w:color w:val="231F20"/>
        </w:rPr>
        <w:t>sampled, from 00 to 59, such as 05 for the fifth minute.</w:t>
      </w:r>
    </w:p>
    <w:p>
      <w:pPr>
        <w:pStyle w:val="BodyText"/>
        <w:spacing w:line="213" w:lineRule="auto" w:before="238"/>
        <w:ind w:left="2472"/>
      </w:pPr>
      <w:r>
        <w:rPr>
          <w:rFonts w:ascii="Book Antiqua"/>
          <w:b/>
          <w:color w:val="231F20"/>
        </w:rPr>
        <w:t>Month Of Year </w:t>
      </w:r>
      <w:r>
        <w:rPr>
          <w:color w:val="231F20"/>
        </w:rPr>
        <w:t>The numeric representation of the month in the year at the </w:t>
      </w:r>
      <w:r>
        <w:rPr>
          <w:color w:val="231F20"/>
        </w:rPr>
        <w:t>agent location when the data was sampled. Select the month from the </w:t>
      </w:r>
      <w:r>
        <w:rPr>
          <w:color w:val="231F20"/>
          <w:spacing w:val="15"/>
          <w:position w:val="-1"/>
        </w:rPr>
        <w:drawing>
          <wp:inline distT="0" distB="0" distL="0" distR="0">
            <wp:extent cx="101600" cy="101600"/>
            <wp:effectExtent l="0" t="0" r="0" b="0"/>
            <wp:docPr id="3431" name="Image 3431"/>
            <wp:cNvGraphicFramePr>
              <a:graphicFrameLocks/>
            </wp:cNvGraphicFramePr>
            <a:graphic>
              <a:graphicData uri="http://schemas.openxmlformats.org/drawingml/2006/picture">
                <pic:pic>
                  <pic:nvPicPr>
                    <pic:cNvPr id="3431" name="Image 3431"/>
                    <pic:cNvPicPr/>
                  </pic:nvPicPr>
                  <pic:blipFill>
                    <a:blip r:embed="rId75" cstate="print"/>
                    <a:stretch>
                      <a:fillRect/>
                    </a:stretch>
                  </pic:blipFill>
                  <pic:spPr>
                    <a:xfrm>
                      <a:off x="0" y="0"/>
                      <a:ext cx="101600" cy="101600"/>
                    </a:xfrm>
                    <a:prstGeom prst="rect">
                      <a:avLst/>
                    </a:prstGeom>
                  </pic:spPr>
                </pic:pic>
              </a:graphicData>
            </a:graphic>
          </wp:inline>
        </w:drawing>
      </w:r>
      <w:r>
        <w:rPr>
          <w:color w:val="231F20"/>
          <w:spacing w:val="15"/>
          <w:position w:val="-1"/>
        </w:rPr>
      </w:r>
      <w:r>
        <w:rPr>
          <w:rFonts w:ascii="Times New Roman"/>
          <w:color w:val="231F20"/>
          <w:spacing w:val="40"/>
        </w:rPr>
        <w:t> </w:t>
      </w:r>
      <w:r>
        <w:rPr>
          <w:color w:val="231F20"/>
        </w:rPr>
        <w:t>list.</w:t>
      </w:r>
    </w:p>
    <w:p>
      <w:pPr>
        <w:pStyle w:val="BodyText"/>
        <w:spacing w:line="213" w:lineRule="auto" w:before="238"/>
        <w:ind w:left="2472" w:right="545"/>
      </w:pPr>
      <w:r>
        <w:rPr>
          <w:rFonts w:ascii="Book Antiqua"/>
          <w:b/>
          <w:color w:val="231F20"/>
        </w:rPr>
        <w:t>Seconds </w:t>
      </w:r>
      <w:r>
        <w:rPr>
          <w:color w:val="231F20"/>
        </w:rPr>
        <w:t>The seconds into the minute at the agent location when the data </w:t>
      </w:r>
      <w:r>
        <w:rPr>
          <w:color w:val="231F20"/>
        </w:rPr>
        <w:t>was sampled, from 00 to 59, such as 05 for the fifth second.</w:t>
      </w:r>
    </w:p>
    <w:p>
      <w:pPr>
        <w:pStyle w:val="BodyText"/>
        <w:spacing w:line="213" w:lineRule="auto" w:before="238"/>
        <w:ind w:left="2472"/>
      </w:pPr>
      <w:r>
        <w:rPr>
          <w:rFonts w:ascii="Book Antiqua"/>
          <w:b/>
          <w:color w:val="231F20"/>
        </w:rPr>
        <w:t>Time </w:t>
      </w:r>
      <w:r>
        <w:rPr>
          <w:color w:val="231F20"/>
        </w:rPr>
        <w:t>The time at the agent location when the data was sampled, formatted </w:t>
      </w:r>
      <w:r>
        <w:rPr>
          <w:color w:val="231F20"/>
        </w:rPr>
        <w:t>as HHMMSS. For example, 153000 is 3:30 PM</w:t>
      </w:r>
    </w:p>
    <w:p>
      <w:pPr>
        <w:pStyle w:val="BodyText"/>
        <w:spacing w:line="213" w:lineRule="auto" w:before="238"/>
        <w:ind w:left="2472"/>
      </w:pPr>
      <w:r>
        <w:rPr>
          <w:rFonts w:ascii="Book Antiqua"/>
          <w:b/>
          <w:color w:val="231F20"/>
        </w:rPr>
        <w:t>Timestamp </w:t>
      </w:r>
      <w:r>
        <w:rPr>
          <w:color w:val="231F20"/>
        </w:rPr>
        <w:t>The time stamp at the agent location when the data was sampled. </w:t>
      </w:r>
      <w:r>
        <w:rPr>
          <w:color w:val="231F20"/>
        </w:rPr>
        <w:t>The format is MM/DD/YY HH:MM:SS.</w:t>
      </w:r>
    </w:p>
    <w:p>
      <w:pPr>
        <w:spacing w:after="0" w:line="213" w:lineRule="auto"/>
        <w:sectPr>
          <w:pgSz w:w="12240" w:h="15840"/>
          <w:pgMar w:header="0" w:footer="736" w:top="1180" w:bottom="920" w:left="1000" w:right="1060"/>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line="20" w:lineRule="exact"/>
        <w:ind w:left="436"/>
        <w:rPr>
          <w:sz w:val="2"/>
        </w:rPr>
      </w:pPr>
      <w:bookmarkStart w:name="_bookmark351" w:id="734"/>
      <w:bookmarkEnd w:id="734"/>
      <w:r>
        <w:rPr/>
      </w:r>
      <w:r>
        <w:rPr>
          <w:sz w:val="2"/>
        </w:rPr>
        <mc:AlternateContent>
          <mc:Choice Requires="wps">
            <w:drawing>
              <wp:inline distT="0" distB="0" distL="0" distR="0">
                <wp:extent cx="6082665" cy="25400"/>
                <wp:effectExtent l="19050" t="0" r="3810" b="3175"/>
                <wp:docPr id="3435" name="Group 3435"/>
                <wp:cNvGraphicFramePr>
                  <a:graphicFrameLocks/>
                </wp:cNvGraphicFramePr>
                <a:graphic>
                  <a:graphicData uri="http://schemas.microsoft.com/office/word/2010/wordprocessingGroup">
                    <wpg:wgp>
                      <wpg:cNvPr id="3435" name="Group 3435"/>
                      <wpg:cNvGrpSpPr/>
                      <wpg:grpSpPr>
                        <a:xfrm>
                          <a:off x="0" y="0"/>
                          <a:ext cx="6082665" cy="25400"/>
                          <a:chExt cx="6082665" cy="25400"/>
                        </a:xfrm>
                      </wpg:grpSpPr>
                      <wps:wsp>
                        <wps:cNvPr id="3436" name="Graphic 343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307"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Documentation library" w:id="735"/>
      <w:bookmarkEnd w:id="735"/>
      <w:r>
        <w:rPr>
          <w:b w:val="0"/>
        </w:rPr>
      </w:r>
      <w:r>
        <w:rPr>
          <w:color w:val="231F20"/>
        </w:rPr>
        <w:t>Documentation</w:t>
      </w:r>
      <w:r>
        <w:rPr>
          <w:color w:val="231F20"/>
          <w:spacing w:val="-7"/>
        </w:rPr>
        <w:t> </w:t>
      </w:r>
      <w:r>
        <w:rPr>
          <w:color w:val="231F20"/>
          <w:spacing w:val="-2"/>
        </w:rPr>
        <w:t>library</w:t>
      </w:r>
    </w:p>
    <w:p>
      <w:pPr>
        <w:pStyle w:val="BodyText"/>
        <w:spacing w:line="213" w:lineRule="auto" w:before="304"/>
        <w:ind w:left="2472" w:right="545"/>
      </w:pPr>
      <w:r>
        <w:rPr>
          <w:color w:val="231F20"/>
        </w:rPr>
        <w:t>This appendix contains information about the publications related to IBM </w:t>
      </w:r>
      <w:r>
        <w:rPr>
          <w:color w:val="231F20"/>
        </w:rPr>
        <w:t>Tivoli Monitoring and to the commonly shared components of Tivoli Management </w:t>
      </w:r>
      <w:r>
        <w:rPr>
          <w:color w:val="231F20"/>
          <w:spacing w:val="-2"/>
        </w:rPr>
        <w:t>Services.</w:t>
      </w:r>
    </w:p>
    <w:p>
      <w:pPr>
        <w:pStyle w:val="BodyText"/>
        <w:spacing w:before="215"/>
        <w:ind w:left="2472"/>
      </w:pPr>
      <w:r>
        <w:rPr>
          <w:color w:val="231F20"/>
        </w:rPr>
        <w:t>These</w:t>
      </w:r>
      <w:r>
        <w:rPr>
          <w:color w:val="231F20"/>
          <w:spacing w:val="10"/>
        </w:rPr>
        <w:t> </w:t>
      </w:r>
      <w:r>
        <w:rPr>
          <w:color w:val="231F20"/>
        </w:rPr>
        <w:t>publications</w:t>
      </w:r>
      <w:r>
        <w:rPr>
          <w:color w:val="231F20"/>
          <w:spacing w:val="10"/>
        </w:rPr>
        <w:t> </w:t>
      </w:r>
      <w:r>
        <w:rPr>
          <w:color w:val="231F20"/>
        </w:rPr>
        <w:t>are</w:t>
      </w:r>
      <w:r>
        <w:rPr>
          <w:color w:val="231F20"/>
          <w:spacing w:val="10"/>
        </w:rPr>
        <w:t> </w:t>
      </w:r>
      <w:r>
        <w:rPr>
          <w:color w:val="231F20"/>
        </w:rPr>
        <w:t>listed</w:t>
      </w:r>
      <w:r>
        <w:rPr>
          <w:color w:val="231F20"/>
          <w:spacing w:val="10"/>
        </w:rPr>
        <w:t> </w:t>
      </w:r>
      <w:r>
        <w:rPr>
          <w:color w:val="231F20"/>
        </w:rPr>
        <w:t>in</w:t>
      </w:r>
      <w:r>
        <w:rPr>
          <w:color w:val="231F20"/>
          <w:spacing w:val="10"/>
        </w:rPr>
        <w:t> </w:t>
      </w:r>
      <w:r>
        <w:rPr>
          <w:color w:val="231F20"/>
        </w:rPr>
        <w:t>the</w:t>
      </w:r>
      <w:r>
        <w:rPr>
          <w:color w:val="231F20"/>
          <w:spacing w:val="11"/>
        </w:rPr>
        <w:t> </w:t>
      </w:r>
      <w:r>
        <w:rPr>
          <w:color w:val="231F20"/>
        </w:rPr>
        <w:t>following</w:t>
      </w:r>
      <w:r>
        <w:rPr>
          <w:color w:val="231F20"/>
          <w:spacing w:val="10"/>
        </w:rPr>
        <w:t> </w:t>
      </w:r>
      <w:r>
        <w:rPr>
          <w:color w:val="231F20"/>
          <w:spacing w:val="-2"/>
        </w:rPr>
        <w:t>categories:</w:t>
      </w:r>
    </w:p>
    <w:p>
      <w:pPr>
        <w:pStyle w:val="BodyText"/>
        <w:spacing w:before="29"/>
        <w:ind w:left="2472"/>
      </w:pPr>
      <w:r>
        <w:rPr>
          <w:rFonts w:ascii="Futura MdCn BT"/>
          <w:color w:val="231F20"/>
        </w:rPr>
        <w:t>v</w:t>
      </w:r>
      <w:r>
        <w:rPr>
          <w:rFonts w:ascii="Futura MdCn BT"/>
          <w:color w:val="231F20"/>
          <w:spacing w:val="77"/>
          <w:w w:val="150"/>
        </w:rPr>
        <w:t> </w:t>
      </w:r>
      <w:r>
        <w:rPr>
          <w:color w:val="231F20"/>
        </w:rPr>
        <w:t>IBM</w:t>
      </w:r>
      <w:r>
        <w:rPr>
          <w:color w:val="231F20"/>
          <w:spacing w:val="11"/>
        </w:rPr>
        <w:t> </w:t>
      </w:r>
      <w:r>
        <w:rPr>
          <w:color w:val="231F20"/>
        </w:rPr>
        <w:t>Tivoli</w:t>
      </w:r>
      <w:r>
        <w:rPr>
          <w:color w:val="231F20"/>
          <w:spacing w:val="10"/>
        </w:rPr>
        <w:t> </w:t>
      </w:r>
      <w:r>
        <w:rPr>
          <w:color w:val="231F20"/>
        </w:rPr>
        <w:t>Monitoring</w:t>
      </w:r>
      <w:r>
        <w:rPr>
          <w:color w:val="231F20"/>
          <w:spacing w:val="10"/>
        </w:rPr>
        <w:t> </w:t>
      </w:r>
      <w:r>
        <w:rPr>
          <w:color w:val="231F20"/>
          <w:spacing w:val="-2"/>
        </w:rPr>
        <w:t>library</w:t>
      </w:r>
    </w:p>
    <w:p>
      <w:pPr>
        <w:pStyle w:val="BodyText"/>
        <w:spacing w:before="30"/>
        <w:ind w:left="2472"/>
      </w:pPr>
      <w:r>
        <w:rPr>
          <w:rFonts w:ascii="Futura MdCn BT"/>
          <w:color w:val="231F20"/>
        </w:rPr>
        <w:t>v</w:t>
      </w:r>
      <w:r>
        <w:rPr>
          <w:rFonts w:ascii="Futura MdCn BT"/>
          <w:color w:val="231F20"/>
          <w:spacing w:val="33"/>
        </w:rPr>
        <w:t>  </w:t>
      </w:r>
      <w:r>
        <w:rPr>
          <w:color w:val="231F20"/>
        </w:rPr>
        <w:t>Related</w:t>
      </w:r>
      <w:r>
        <w:rPr>
          <w:color w:val="231F20"/>
          <w:spacing w:val="14"/>
        </w:rPr>
        <w:t> </w:t>
      </w:r>
      <w:r>
        <w:rPr>
          <w:color w:val="231F20"/>
          <w:spacing w:val="-2"/>
        </w:rPr>
        <w:t>publications</w:t>
      </w:r>
    </w:p>
    <w:p>
      <w:pPr>
        <w:pStyle w:val="BodyText"/>
        <w:spacing w:line="213" w:lineRule="auto" w:before="232"/>
        <w:ind w:left="2472" w:right="748"/>
      </w:pPr>
      <w:r>
        <w:rPr>
          <w:color w:val="231F20"/>
        </w:rPr>
        <w:t>For information about accessing and using the publications, select </w:t>
      </w:r>
      <w:r>
        <w:rPr>
          <w:rFonts w:ascii="Book Antiqua"/>
          <w:b/>
          <w:color w:val="231F20"/>
        </w:rPr>
        <w:t>Using the </w:t>
      </w:r>
      <w:r>
        <w:rPr>
          <w:rFonts w:ascii="Book Antiqua"/>
          <w:b/>
          <w:color w:val="231F20"/>
          <w:w w:val="105"/>
        </w:rPr>
        <w:t>publications</w:t>
      </w:r>
      <w:r>
        <w:rPr>
          <w:rFonts w:ascii="Book Antiqua"/>
          <w:b/>
          <w:color w:val="231F20"/>
          <w:spacing w:val="-1"/>
          <w:w w:val="105"/>
        </w:rPr>
        <w:t> </w:t>
      </w:r>
      <w:r>
        <w:rPr>
          <w:color w:val="231F20"/>
          <w:w w:val="105"/>
        </w:rPr>
        <w:t>in</w:t>
      </w:r>
      <w:r>
        <w:rPr>
          <w:color w:val="231F20"/>
          <w:spacing w:val="-1"/>
          <w:w w:val="105"/>
        </w:rPr>
        <w:t> </w:t>
      </w:r>
      <w:r>
        <w:rPr>
          <w:color w:val="231F20"/>
          <w:w w:val="105"/>
        </w:rPr>
        <w:t>the</w:t>
      </w:r>
      <w:r>
        <w:rPr>
          <w:color w:val="231F20"/>
          <w:spacing w:val="-1"/>
          <w:w w:val="105"/>
        </w:rPr>
        <w:t> </w:t>
      </w:r>
      <w:r>
        <w:rPr>
          <w:rFonts w:ascii="Book Antiqua"/>
          <w:b/>
          <w:color w:val="231F20"/>
          <w:w w:val="105"/>
        </w:rPr>
        <w:t>Contents</w:t>
      </w:r>
      <w:r>
        <w:rPr>
          <w:rFonts w:ascii="Book Antiqua"/>
          <w:b/>
          <w:color w:val="231F20"/>
          <w:spacing w:val="-1"/>
          <w:w w:val="105"/>
        </w:rPr>
        <w:t> </w:t>
      </w:r>
      <w:r>
        <w:rPr>
          <w:color w:val="231F20"/>
          <w:w w:val="105"/>
        </w:rPr>
        <w:t>pane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IBM</w:t>
      </w:r>
      <w:r>
        <w:rPr>
          <w:color w:val="231F20"/>
          <w:spacing w:val="-1"/>
          <w:w w:val="105"/>
        </w:rPr>
        <w:t> </w:t>
      </w:r>
      <w:r>
        <w:rPr>
          <w:color w:val="231F20"/>
          <w:w w:val="105"/>
        </w:rPr>
        <w:t>Tivoli</w:t>
      </w:r>
      <w:r>
        <w:rPr>
          <w:color w:val="231F20"/>
          <w:spacing w:val="-1"/>
          <w:w w:val="105"/>
        </w:rPr>
        <w:t> </w:t>
      </w:r>
      <w:r>
        <w:rPr>
          <w:color w:val="231F20"/>
          <w:w w:val="105"/>
        </w:rPr>
        <w:t>Monitoring</w:t>
      </w:r>
      <w:r>
        <w:rPr>
          <w:color w:val="231F20"/>
          <w:spacing w:val="-1"/>
          <w:w w:val="105"/>
        </w:rPr>
        <w:t> </w:t>
      </w:r>
      <w:r>
        <w:rPr>
          <w:color w:val="231F20"/>
          <w:w w:val="105"/>
        </w:rPr>
        <w:t>and OMEGAMON</w:t>
      </w:r>
      <w:r>
        <w:rPr>
          <w:color w:val="231F20"/>
          <w:spacing w:val="-10"/>
          <w:w w:val="105"/>
        </w:rPr>
        <w:t> </w:t>
      </w:r>
      <w:r>
        <w:rPr>
          <w:color w:val="231F20"/>
          <w:w w:val="105"/>
        </w:rPr>
        <w:t>XE</w:t>
      </w:r>
      <w:r>
        <w:rPr>
          <w:color w:val="231F20"/>
          <w:spacing w:val="-10"/>
          <w:w w:val="105"/>
        </w:rPr>
        <w:t> </w:t>
      </w:r>
      <w:r>
        <w:rPr>
          <w:color w:val="231F20"/>
          <w:w w:val="105"/>
        </w:rPr>
        <w:t>Information</w:t>
      </w:r>
      <w:r>
        <w:rPr>
          <w:color w:val="231F20"/>
          <w:spacing w:val="-9"/>
          <w:w w:val="105"/>
        </w:rPr>
        <w:t> </w:t>
      </w:r>
      <w:r>
        <w:rPr>
          <w:color w:val="231F20"/>
          <w:w w:val="105"/>
        </w:rPr>
        <w:t>Center</w:t>
      </w:r>
      <w:r>
        <w:rPr>
          <w:color w:val="231F20"/>
          <w:spacing w:val="-10"/>
          <w:w w:val="105"/>
        </w:rPr>
        <w:t> </w:t>
      </w:r>
      <w:r>
        <w:rPr>
          <w:color w:val="231F20"/>
          <w:w w:val="105"/>
        </w:rPr>
        <w:t>at</w:t>
      </w:r>
      <w:r>
        <w:rPr>
          <w:color w:val="231F20"/>
          <w:spacing w:val="-9"/>
          <w:w w:val="105"/>
        </w:rPr>
        <w:t> </w:t>
      </w:r>
      <w:hyperlink r:id="rId499">
        <w:r>
          <w:rPr>
            <w:color w:val="231F20"/>
            <w:w w:val="105"/>
          </w:rPr>
          <w:t>http://pic.dhe.ibm.com/infocenter/</w:t>
        </w:r>
      </w:hyperlink>
      <w:r>
        <w:rPr>
          <w:color w:val="231F20"/>
          <w:w w:val="105"/>
        </w:rPr>
        <w:t> </w:t>
      </w:r>
      <w:hyperlink r:id="rId499">
        <w:r>
          <w:rPr>
            <w:color w:val="231F20"/>
            <w:spacing w:val="-2"/>
            <w:w w:val="105"/>
          </w:rPr>
          <w:t>tivihelp/v61r1/index.jsp.</w:t>
        </w:r>
      </w:hyperlink>
    </w:p>
    <w:p>
      <w:pPr>
        <w:pStyle w:val="BodyText"/>
        <w:spacing w:line="213" w:lineRule="auto" w:before="237"/>
        <w:ind w:left="2472" w:right="385"/>
      </w:pPr>
      <w:r>
        <w:rPr>
          <w:color w:val="231F20"/>
        </w:rPr>
        <w:t>To find a list of new and changed publications, click </w:t>
      </w:r>
      <w:r>
        <w:rPr>
          <w:rFonts w:ascii="Book Antiqua"/>
          <w:b/>
          <w:color w:val="231F20"/>
        </w:rPr>
        <w:t>What's new </w:t>
      </w:r>
      <w:r>
        <w:rPr>
          <w:color w:val="231F20"/>
        </w:rPr>
        <w:t>on the Welcome page of the IBM Tivoli Monitoring and OMEGAMON XE Information Center. To find publications from the previous version of a product, click </w:t>
      </w:r>
      <w:r>
        <w:rPr>
          <w:rFonts w:ascii="Book Antiqua"/>
          <w:b/>
          <w:color w:val="231F20"/>
        </w:rPr>
        <w:t>Previous versions </w:t>
      </w:r>
      <w:r>
        <w:rPr>
          <w:color w:val="231F20"/>
        </w:rPr>
        <w:t>under the name of the product in the </w:t>
      </w:r>
      <w:r>
        <w:rPr>
          <w:rFonts w:ascii="Book Antiqua"/>
          <w:b/>
          <w:color w:val="231F20"/>
        </w:rPr>
        <w:t>Contents </w:t>
      </w:r>
      <w:r>
        <w:rPr>
          <w:color w:val="231F20"/>
        </w:rPr>
        <w:t>pane.</w:t>
      </w:r>
    </w:p>
    <w:p>
      <w:pPr>
        <w:pStyle w:val="BodyText"/>
        <w:spacing w:before="4"/>
        <w:rPr>
          <w:sz w:val="16"/>
        </w:rPr>
      </w:pPr>
      <w:r>
        <w:rPr/>
        <mc:AlternateContent>
          <mc:Choice Requires="wps">
            <w:drawing>
              <wp:anchor distT="0" distB="0" distL="0" distR="0" allowOverlap="1" layoutInCell="1" locked="0" behindDoc="1" simplePos="0" relativeHeight="487760384">
                <wp:simplePos x="0" y="0"/>
                <wp:positionH relativeFrom="page">
                  <wp:posOffset>912380</wp:posOffset>
                </wp:positionH>
                <wp:positionV relativeFrom="paragraph">
                  <wp:posOffset>154889</wp:posOffset>
                </wp:positionV>
                <wp:extent cx="6082665" cy="1270"/>
                <wp:effectExtent l="0" t="0" r="0" b="0"/>
                <wp:wrapTopAndBottom/>
                <wp:docPr id="3437" name="Graphic 3437"/>
                <wp:cNvGraphicFramePr>
                  <a:graphicFrameLocks/>
                </wp:cNvGraphicFramePr>
                <a:graphic>
                  <a:graphicData uri="http://schemas.microsoft.com/office/word/2010/wordprocessingShape">
                    <wps:wsp>
                      <wps:cNvPr id="3437" name="Graphic 343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196037pt;width:478.95pt;height:.1pt;mso-position-horizontal-relative:page;mso-position-vertical-relative:paragraph;z-index:-15556096;mso-wrap-distance-left:0;mso-wrap-distance-right:0" id="docshape308" coordorigin="1437,244" coordsize="9579,0" path="m1437,244l11016,244e" filled="false" stroked="true" strokeweight=".499pt" strokecolor="#231f20">
                <v:path arrowok="t"/>
                <v:stroke dashstyle="solid"/>
                <w10:wrap type="topAndBottom"/>
              </v:shape>
            </w:pict>
          </mc:Fallback>
        </mc:AlternateContent>
      </w:r>
    </w:p>
    <w:p>
      <w:pPr>
        <w:pStyle w:val="Heading3"/>
      </w:pPr>
      <w:bookmarkStart w:name="IBM Tivoli Monitoring library" w:id="736"/>
      <w:bookmarkEnd w:id="736"/>
      <w:r>
        <w:rPr>
          <w:b w:val="0"/>
        </w:rPr>
      </w:r>
      <w:r>
        <w:rPr>
          <w:color w:val="231F20"/>
        </w:rPr>
        <w:t>IBM</w:t>
      </w:r>
      <w:r>
        <w:rPr>
          <w:color w:val="231F20"/>
          <w:spacing w:val="4"/>
        </w:rPr>
        <w:t> </w:t>
      </w:r>
      <w:r>
        <w:rPr>
          <w:color w:val="231F20"/>
        </w:rPr>
        <w:t>Tivoli</w:t>
      </w:r>
      <w:r>
        <w:rPr>
          <w:color w:val="231F20"/>
          <w:spacing w:val="4"/>
        </w:rPr>
        <w:t> </w:t>
      </w:r>
      <w:r>
        <w:rPr>
          <w:color w:val="231F20"/>
        </w:rPr>
        <w:t>Monitoring</w:t>
      </w:r>
      <w:r>
        <w:rPr>
          <w:color w:val="231F20"/>
          <w:spacing w:val="5"/>
        </w:rPr>
        <w:t> </w:t>
      </w:r>
      <w:r>
        <w:rPr>
          <w:color w:val="231F20"/>
          <w:spacing w:val="-2"/>
        </w:rPr>
        <w:t>library</w:t>
      </w:r>
    </w:p>
    <w:p>
      <w:pPr>
        <w:pStyle w:val="BodyText"/>
        <w:spacing w:line="213" w:lineRule="auto" w:before="138"/>
        <w:ind w:left="2472"/>
      </w:pPr>
      <w:r>
        <w:rPr>
          <w:color w:val="231F20"/>
        </w:rPr>
        <w:t>The following publications provide information about IBM Tivoli Monitoring </w:t>
      </w:r>
      <w:r>
        <w:rPr>
          <w:color w:val="231F20"/>
        </w:rPr>
        <w:t>and about the commonly shared components of Tivoli Management Services:</w:t>
      </w:r>
    </w:p>
    <w:p>
      <w:pPr>
        <w:spacing w:before="53"/>
        <w:ind w:left="2472" w:right="0" w:firstLine="0"/>
        <w:jc w:val="left"/>
        <w:rPr>
          <w:rFonts w:ascii="Book Antiqua"/>
          <w:i/>
          <w:sz w:val="20"/>
        </w:rPr>
      </w:pPr>
      <w:r>
        <w:rPr>
          <w:rFonts w:ascii="Futura MdCn BT"/>
          <w:color w:val="231F20"/>
          <w:sz w:val="20"/>
        </w:rPr>
        <w:t>v</w:t>
      </w:r>
      <w:r>
        <w:rPr>
          <w:rFonts w:ascii="Futura MdCn BT"/>
          <w:color w:val="231F20"/>
          <w:spacing w:val="33"/>
          <w:sz w:val="20"/>
        </w:rPr>
        <w:t>  </w:t>
      </w:r>
      <w:r>
        <w:rPr>
          <w:rFonts w:ascii="Book Antiqua"/>
          <w:i/>
          <w:color w:val="231F20"/>
          <w:sz w:val="20"/>
        </w:rPr>
        <w:t>Quick</w:t>
      </w:r>
      <w:r>
        <w:rPr>
          <w:rFonts w:ascii="Book Antiqua"/>
          <w:i/>
          <w:color w:val="231F20"/>
          <w:spacing w:val="14"/>
          <w:sz w:val="20"/>
        </w:rPr>
        <w:t> </w:t>
      </w:r>
      <w:r>
        <w:rPr>
          <w:rFonts w:ascii="Book Antiqua"/>
          <w:i/>
          <w:color w:val="231F20"/>
          <w:sz w:val="20"/>
        </w:rPr>
        <w:t>Start</w:t>
      </w:r>
      <w:r>
        <w:rPr>
          <w:rFonts w:ascii="Book Antiqua"/>
          <w:i/>
          <w:color w:val="231F20"/>
          <w:spacing w:val="14"/>
          <w:sz w:val="20"/>
        </w:rPr>
        <w:t> </w:t>
      </w:r>
      <w:r>
        <w:rPr>
          <w:rFonts w:ascii="Book Antiqua"/>
          <w:i/>
          <w:color w:val="231F20"/>
          <w:spacing w:val="-2"/>
          <w:sz w:val="20"/>
        </w:rPr>
        <w:t>Guide</w:t>
      </w:r>
    </w:p>
    <w:p>
      <w:pPr>
        <w:pStyle w:val="BodyText"/>
        <w:spacing w:before="34"/>
        <w:ind w:left="2688"/>
      </w:pPr>
      <w:r>
        <w:rPr>
          <w:color w:val="231F20"/>
        </w:rPr>
        <w:t>Introduces</w:t>
      </w:r>
      <w:r>
        <w:rPr>
          <w:color w:val="231F20"/>
          <w:spacing w:val="7"/>
        </w:rPr>
        <w:t> </w:t>
      </w:r>
      <w:r>
        <w:rPr>
          <w:color w:val="231F20"/>
        </w:rPr>
        <w:t>the</w:t>
      </w:r>
      <w:r>
        <w:rPr>
          <w:color w:val="231F20"/>
          <w:spacing w:val="8"/>
        </w:rPr>
        <w:t> </w:t>
      </w:r>
      <w:r>
        <w:rPr>
          <w:color w:val="231F20"/>
        </w:rPr>
        <w:t>components</w:t>
      </w:r>
      <w:r>
        <w:rPr>
          <w:color w:val="231F20"/>
          <w:spacing w:val="8"/>
        </w:rPr>
        <w:t> </w:t>
      </w:r>
      <w:r>
        <w:rPr>
          <w:color w:val="231F20"/>
        </w:rPr>
        <w:t>of</w:t>
      </w:r>
      <w:r>
        <w:rPr>
          <w:color w:val="231F20"/>
          <w:spacing w:val="8"/>
        </w:rPr>
        <w:t> </w:t>
      </w:r>
      <w:r>
        <w:rPr>
          <w:color w:val="231F20"/>
        </w:rPr>
        <w:t>IBM</w:t>
      </w:r>
      <w:r>
        <w:rPr>
          <w:color w:val="231F20"/>
          <w:spacing w:val="8"/>
        </w:rPr>
        <w:t> </w:t>
      </w:r>
      <w:r>
        <w:rPr>
          <w:color w:val="231F20"/>
        </w:rPr>
        <w:t>Tivoli</w:t>
      </w:r>
      <w:r>
        <w:rPr>
          <w:color w:val="231F20"/>
          <w:spacing w:val="8"/>
        </w:rPr>
        <w:t> </w:t>
      </w:r>
      <w:r>
        <w:rPr>
          <w:color w:val="231F20"/>
          <w:spacing w:val="-2"/>
        </w:rPr>
        <w:t>Monitoring.</w:t>
      </w:r>
    </w:p>
    <w:p>
      <w:pPr>
        <w:spacing w:before="29"/>
        <w:ind w:left="2472" w:right="0" w:firstLine="0"/>
        <w:jc w:val="left"/>
        <w:rPr>
          <w:sz w:val="20"/>
        </w:rPr>
      </w:pPr>
      <w:r>
        <w:rPr>
          <w:rFonts w:ascii="Futura MdCn BT"/>
          <w:color w:val="231F20"/>
          <w:sz w:val="20"/>
        </w:rPr>
        <w:t>v</w:t>
      </w:r>
      <w:r>
        <w:rPr>
          <w:rFonts w:ascii="Futura MdCn BT"/>
          <w:color w:val="231F20"/>
          <w:spacing w:val="30"/>
          <w:sz w:val="20"/>
        </w:rPr>
        <w:t>  </w:t>
      </w:r>
      <w:r>
        <w:rPr>
          <w:rFonts w:ascii="Book Antiqua"/>
          <w:i/>
          <w:color w:val="231F20"/>
          <w:sz w:val="20"/>
        </w:rPr>
        <w:t>Installation</w:t>
      </w:r>
      <w:r>
        <w:rPr>
          <w:rFonts w:ascii="Book Antiqua"/>
          <w:i/>
          <w:color w:val="231F20"/>
          <w:spacing w:val="13"/>
          <w:sz w:val="20"/>
        </w:rPr>
        <w:t> </w:t>
      </w:r>
      <w:r>
        <w:rPr>
          <w:rFonts w:ascii="Book Antiqua"/>
          <w:i/>
          <w:color w:val="231F20"/>
          <w:sz w:val="20"/>
        </w:rPr>
        <w:t>and</w:t>
      </w:r>
      <w:r>
        <w:rPr>
          <w:rFonts w:ascii="Book Antiqua"/>
          <w:i/>
          <w:color w:val="231F20"/>
          <w:spacing w:val="11"/>
          <w:sz w:val="20"/>
        </w:rPr>
        <w:t> </w:t>
      </w:r>
      <w:r>
        <w:rPr>
          <w:rFonts w:ascii="Book Antiqua"/>
          <w:i/>
          <w:color w:val="231F20"/>
          <w:sz w:val="20"/>
        </w:rPr>
        <w:t>Setup</w:t>
      </w:r>
      <w:r>
        <w:rPr>
          <w:rFonts w:ascii="Book Antiqua"/>
          <w:i/>
          <w:color w:val="231F20"/>
          <w:spacing w:val="12"/>
          <w:sz w:val="20"/>
        </w:rPr>
        <w:t> </w:t>
      </w:r>
      <w:r>
        <w:rPr>
          <w:rFonts w:ascii="Book Antiqua"/>
          <w:i/>
          <w:color w:val="231F20"/>
          <w:sz w:val="20"/>
        </w:rPr>
        <w:t>Guide</w:t>
      </w:r>
      <w:r>
        <w:rPr>
          <w:color w:val="231F20"/>
          <w:sz w:val="20"/>
        </w:rPr>
        <w:t>,</w:t>
      </w:r>
      <w:r>
        <w:rPr>
          <w:color w:val="231F20"/>
          <w:spacing w:val="11"/>
          <w:sz w:val="20"/>
        </w:rPr>
        <w:t> </w:t>
      </w:r>
      <w:r>
        <w:rPr>
          <w:color w:val="231F20"/>
          <w:sz w:val="20"/>
        </w:rPr>
        <w:t>SC22-</w:t>
      </w:r>
      <w:r>
        <w:rPr>
          <w:color w:val="231F20"/>
          <w:spacing w:val="-4"/>
          <w:sz w:val="20"/>
        </w:rPr>
        <w:t>5445</w:t>
      </w:r>
    </w:p>
    <w:p>
      <w:pPr>
        <w:pStyle w:val="BodyText"/>
        <w:spacing w:line="213" w:lineRule="auto" w:before="53"/>
        <w:ind w:left="2688"/>
      </w:pPr>
      <w:r>
        <w:rPr>
          <w:color w:val="231F20"/>
        </w:rPr>
        <w:t>Provides instructions for installing and configuring IBM Tivoli </w:t>
      </w:r>
      <w:r>
        <w:rPr>
          <w:color w:val="231F20"/>
        </w:rPr>
        <w:t>Monitoring components on Windows, Linux, and UNIX systems.</w:t>
      </w:r>
    </w:p>
    <w:p>
      <w:pPr>
        <w:spacing w:before="35"/>
        <w:ind w:left="2472" w:right="0" w:firstLine="0"/>
        <w:jc w:val="left"/>
        <w:rPr>
          <w:sz w:val="20"/>
        </w:rPr>
      </w:pPr>
      <w:r>
        <w:rPr>
          <w:rFonts w:ascii="Futura MdCn BT"/>
          <w:color w:val="231F20"/>
          <w:sz w:val="20"/>
        </w:rPr>
        <w:t>v</w:t>
      </w:r>
      <w:r>
        <w:rPr>
          <w:rFonts w:ascii="Futura MdCn BT"/>
          <w:color w:val="231F20"/>
          <w:spacing w:val="73"/>
          <w:w w:val="150"/>
          <w:sz w:val="20"/>
        </w:rPr>
        <w:t> </w:t>
      </w:r>
      <w:r>
        <w:rPr>
          <w:rFonts w:ascii="Book Antiqua"/>
          <w:i/>
          <w:color w:val="231F20"/>
          <w:sz w:val="20"/>
        </w:rPr>
        <w:t>Program</w:t>
      </w:r>
      <w:r>
        <w:rPr>
          <w:rFonts w:ascii="Book Antiqua"/>
          <w:i/>
          <w:color w:val="231F20"/>
          <w:spacing w:val="9"/>
          <w:sz w:val="20"/>
        </w:rPr>
        <w:t> </w:t>
      </w:r>
      <w:r>
        <w:rPr>
          <w:rFonts w:ascii="Book Antiqua"/>
          <w:i/>
          <w:color w:val="231F20"/>
          <w:sz w:val="20"/>
        </w:rPr>
        <w:t>Directory</w:t>
      </w:r>
      <w:r>
        <w:rPr>
          <w:rFonts w:ascii="Book Antiqua"/>
          <w:i/>
          <w:color w:val="231F20"/>
          <w:spacing w:val="8"/>
          <w:sz w:val="20"/>
        </w:rPr>
        <w:t> </w:t>
      </w:r>
      <w:r>
        <w:rPr>
          <w:rFonts w:ascii="Book Antiqua"/>
          <w:i/>
          <w:color w:val="231F20"/>
          <w:sz w:val="20"/>
        </w:rPr>
        <w:t>for</w:t>
      </w:r>
      <w:r>
        <w:rPr>
          <w:rFonts w:ascii="Book Antiqua"/>
          <w:i/>
          <w:color w:val="231F20"/>
          <w:spacing w:val="9"/>
          <w:sz w:val="20"/>
        </w:rPr>
        <w:t> </w:t>
      </w:r>
      <w:r>
        <w:rPr>
          <w:rFonts w:ascii="Book Antiqua"/>
          <w:i/>
          <w:color w:val="231F20"/>
          <w:sz w:val="20"/>
        </w:rPr>
        <w:t>IBM</w:t>
      </w:r>
      <w:r>
        <w:rPr>
          <w:rFonts w:ascii="Book Antiqua"/>
          <w:i/>
          <w:color w:val="231F20"/>
          <w:spacing w:val="8"/>
          <w:sz w:val="20"/>
        </w:rPr>
        <w:t> </w:t>
      </w:r>
      <w:r>
        <w:rPr>
          <w:rFonts w:ascii="Book Antiqua"/>
          <w:i/>
          <w:color w:val="231F20"/>
          <w:sz w:val="20"/>
        </w:rPr>
        <w:t>Tivoli</w:t>
      </w:r>
      <w:r>
        <w:rPr>
          <w:rFonts w:ascii="Book Antiqua"/>
          <w:i/>
          <w:color w:val="231F20"/>
          <w:spacing w:val="9"/>
          <w:sz w:val="20"/>
        </w:rPr>
        <w:t> </w:t>
      </w:r>
      <w:r>
        <w:rPr>
          <w:rFonts w:ascii="Book Antiqua"/>
          <w:i/>
          <w:color w:val="231F20"/>
          <w:sz w:val="20"/>
        </w:rPr>
        <w:t>Management</w:t>
      </w:r>
      <w:r>
        <w:rPr>
          <w:rFonts w:ascii="Book Antiqua"/>
          <w:i/>
          <w:color w:val="231F20"/>
          <w:spacing w:val="8"/>
          <w:sz w:val="20"/>
        </w:rPr>
        <w:t> </w:t>
      </w:r>
      <w:r>
        <w:rPr>
          <w:rFonts w:ascii="Book Antiqua"/>
          <w:i/>
          <w:color w:val="231F20"/>
          <w:sz w:val="20"/>
        </w:rPr>
        <w:t>Services</w:t>
      </w:r>
      <w:r>
        <w:rPr>
          <w:rFonts w:ascii="Book Antiqua"/>
          <w:i/>
          <w:color w:val="231F20"/>
          <w:spacing w:val="9"/>
          <w:sz w:val="20"/>
        </w:rPr>
        <w:t> </w:t>
      </w:r>
      <w:r>
        <w:rPr>
          <w:rFonts w:ascii="Book Antiqua"/>
          <w:i/>
          <w:color w:val="231F20"/>
          <w:sz w:val="20"/>
        </w:rPr>
        <w:t>on</w:t>
      </w:r>
      <w:r>
        <w:rPr>
          <w:rFonts w:ascii="Book Antiqua"/>
          <w:i/>
          <w:color w:val="231F20"/>
          <w:spacing w:val="8"/>
          <w:sz w:val="20"/>
        </w:rPr>
        <w:t> </w:t>
      </w:r>
      <w:r>
        <w:rPr>
          <w:rFonts w:ascii="Book Antiqua"/>
          <w:i/>
          <w:color w:val="231F20"/>
          <w:sz w:val="20"/>
        </w:rPr>
        <w:t>z/OS</w:t>
      </w:r>
      <w:r>
        <w:rPr>
          <w:color w:val="231F20"/>
          <w:sz w:val="20"/>
        </w:rPr>
        <w:t>,</w:t>
      </w:r>
      <w:r>
        <w:rPr>
          <w:color w:val="231F20"/>
          <w:spacing w:val="9"/>
          <w:sz w:val="20"/>
        </w:rPr>
        <w:t> </w:t>
      </w:r>
      <w:r>
        <w:rPr>
          <w:color w:val="231F20"/>
          <w:sz w:val="20"/>
        </w:rPr>
        <w:t>GI11-</w:t>
      </w:r>
      <w:r>
        <w:rPr>
          <w:color w:val="231F20"/>
          <w:spacing w:val="-4"/>
          <w:sz w:val="20"/>
        </w:rPr>
        <w:t>4105</w:t>
      </w:r>
    </w:p>
    <w:p>
      <w:pPr>
        <w:pStyle w:val="BodyText"/>
        <w:spacing w:line="213" w:lineRule="auto" w:before="53"/>
        <w:ind w:left="2688"/>
      </w:pPr>
      <w:r>
        <w:rPr>
          <w:color w:val="231F20"/>
        </w:rPr>
        <w:t>Gives instructions for the SMP/E installation of the Tivoli Management </w:t>
      </w:r>
      <w:r>
        <w:rPr>
          <w:color w:val="231F20"/>
        </w:rPr>
        <w:t>Services components on z/OS.</w:t>
      </w:r>
    </w:p>
    <w:p>
      <w:pPr>
        <w:spacing w:before="35"/>
        <w:ind w:left="2472" w:right="0" w:firstLine="0"/>
        <w:jc w:val="left"/>
        <w:rPr>
          <w:sz w:val="20"/>
        </w:rPr>
      </w:pPr>
      <w:r>
        <w:rPr>
          <w:rFonts w:ascii="Futura MdCn BT"/>
          <w:color w:val="231F20"/>
          <w:sz w:val="20"/>
        </w:rPr>
        <w:t>v</w:t>
      </w:r>
      <w:r>
        <w:rPr>
          <w:rFonts w:ascii="Futura MdCn BT"/>
          <w:color w:val="231F20"/>
          <w:spacing w:val="76"/>
          <w:w w:val="150"/>
          <w:sz w:val="20"/>
        </w:rPr>
        <w:t> </w:t>
      </w:r>
      <w:r>
        <w:rPr>
          <w:rFonts w:ascii="Book Antiqua"/>
          <w:i/>
          <w:color w:val="231F20"/>
          <w:sz w:val="20"/>
        </w:rPr>
        <w:t>High</w:t>
      </w:r>
      <w:r>
        <w:rPr>
          <w:rFonts w:ascii="Book Antiqua"/>
          <w:i/>
          <w:color w:val="231F20"/>
          <w:spacing w:val="10"/>
          <w:sz w:val="20"/>
        </w:rPr>
        <w:t> </w:t>
      </w:r>
      <w:r>
        <w:rPr>
          <w:rFonts w:ascii="Book Antiqua"/>
          <w:i/>
          <w:color w:val="231F20"/>
          <w:sz w:val="20"/>
        </w:rPr>
        <w:t>Availability</w:t>
      </w:r>
      <w:r>
        <w:rPr>
          <w:rFonts w:ascii="Book Antiqua"/>
          <w:i/>
          <w:color w:val="231F20"/>
          <w:spacing w:val="10"/>
          <w:sz w:val="20"/>
        </w:rPr>
        <w:t> </w:t>
      </w:r>
      <w:r>
        <w:rPr>
          <w:rFonts w:ascii="Book Antiqua"/>
          <w:i/>
          <w:color w:val="231F20"/>
          <w:sz w:val="20"/>
        </w:rPr>
        <w:t>Guide</w:t>
      </w:r>
      <w:r>
        <w:rPr>
          <w:rFonts w:ascii="Book Antiqua"/>
          <w:i/>
          <w:color w:val="231F20"/>
          <w:spacing w:val="10"/>
          <w:sz w:val="20"/>
        </w:rPr>
        <w:t> </w:t>
      </w:r>
      <w:r>
        <w:rPr>
          <w:rFonts w:ascii="Book Antiqua"/>
          <w:i/>
          <w:color w:val="231F20"/>
          <w:sz w:val="20"/>
        </w:rPr>
        <w:t>for</w:t>
      </w:r>
      <w:r>
        <w:rPr>
          <w:rFonts w:ascii="Book Antiqua"/>
          <w:i/>
          <w:color w:val="231F20"/>
          <w:spacing w:val="10"/>
          <w:sz w:val="20"/>
        </w:rPr>
        <w:t> </w:t>
      </w:r>
      <w:r>
        <w:rPr>
          <w:rFonts w:ascii="Book Antiqua"/>
          <w:i/>
          <w:color w:val="231F20"/>
          <w:sz w:val="20"/>
        </w:rPr>
        <w:t>Distributed</w:t>
      </w:r>
      <w:r>
        <w:rPr>
          <w:rFonts w:ascii="Book Antiqua"/>
          <w:i/>
          <w:color w:val="231F20"/>
          <w:spacing w:val="10"/>
          <w:sz w:val="20"/>
        </w:rPr>
        <w:t> </w:t>
      </w:r>
      <w:r>
        <w:rPr>
          <w:rFonts w:ascii="Book Antiqua"/>
          <w:i/>
          <w:color w:val="231F20"/>
          <w:sz w:val="20"/>
        </w:rPr>
        <w:t>Systems</w:t>
      </w:r>
      <w:r>
        <w:rPr>
          <w:color w:val="231F20"/>
          <w:sz w:val="20"/>
        </w:rPr>
        <w:t>,</w:t>
      </w:r>
      <w:r>
        <w:rPr>
          <w:color w:val="231F20"/>
          <w:spacing w:val="10"/>
          <w:sz w:val="20"/>
        </w:rPr>
        <w:t> </w:t>
      </w:r>
      <w:r>
        <w:rPr>
          <w:color w:val="231F20"/>
          <w:sz w:val="20"/>
        </w:rPr>
        <w:t>SC22-</w:t>
      </w:r>
      <w:r>
        <w:rPr>
          <w:color w:val="231F20"/>
          <w:spacing w:val="-4"/>
          <w:sz w:val="20"/>
        </w:rPr>
        <w:t>5455</w:t>
      </w:r>
    </w:p>
    <w:p>
      <w:pPr>
        <w:pStyle w:val="BodyText"/>
        <w:spacing w:line="213" w:lineRule="auto" w:before="53"/>
        <w:ind w:left="2688" w:right="545"/>
      </w:pPr>
      <w:r>
        <w:rPr>
          <w:color w:val="231F20"/>
        </w:rPr>
        <w:t>Gives instructions for several methods of ensuring the availability of the </w:t>
      </w:r>
      <w:r>
        <w:rPr>
          <w:color w:val="231F20"/>
        </w:rPr>
        <w:t>IBM Tivoli Monitoring components.</w:t>
      </w:r>
    </w:p>
    <w:p>
      <w:pPr>
        <w:spacing w:line="213" w:lineRule="auto" w:before="59"/>
        <w:ind w:left="2688" w:right="832" w:hanging="216"/>
        <w:jc w:val="left"/>
        <w:rPr>
          <w:sz w:val="20"/>
        </w:rPr>
      </w:pPr>
      <w:r>
        <w:rPr>
          <w:rFonts w:ascii="Futura MdCn BT"/>
          <w:color w:val="231F20"/>
          <w:sz w:val="20"/>
        </w:rPr>
        <w:t>v</w:t>
      </w:r>
      <w:r>
        <w:rPr>
          <w:rFonts w:ascii="Futura MdCn BT"/>
          <w:color w:val="231F20"/>
          <w:spacing w:val="80"/>
          <w:sz w:val="20"/>
        </w:rPr>
        <w:t> </w:t>
      </w:r>
      <w:r>
        <w:rPr>
          <w:rFonts w:ascii="Book Antiqua"/>
          <w:i/>
          <w:color w:val="231F20"/>
          <w:sz w:val="20"/>
        </w:rPr>
        <w:t>IBM Tivoli zEnterprise Monitoring Agent Installation and Configuration </w:t>
      </w:r>
      <w:r>
        <w:rPr>
          <w:rFonts w:ascii="Book Antiqua"/>
          <w:i/>
          <w:color w:val="231F20"/>
          <w:sz w:val="20"/>
        </w:rPr>
        <w:t>Guide</w:t>
      </w:r>
      <w:r>
        <w:rPr>
          <w:color w:val="231F20"/>
          <w:sz w:val="20"/>
        </w:rPr>
        <w:t>,</w:t>
      </w:r>
      <w:r>
        <w:rPr>
          <w:color w:val="231F20"/>
          <w:sz w:val="20"/>
        </w:rPr>
        <w:t> </w:t>
      </w:r>
      <w:r>
        <w:rPr>
          <w:color w:val="231F20"/>
          <w:spacing w:val="-2"/>
          <w:sz w:val="20"/>
        </w:rPr>
        <w:t>SC14-7358</w:t>
      </w:r>
    </w:p>
    <w:p>
      <w:pPr>
        <w:pStyle w:val="BodyText"/>
        <w:spacing w:line="213" w:lineRule="auto" w:before="58"/>
        <w:ind w:left="2688" w:right="230"/>
      </w:pPr>
      <w:r>
        <w:rPr>
          <w:color w:val="231F20"/>
        </w:rPr>
        <w:t>Provides instructions for installing and configuring Tivoli zEnterprise </w:t>
      </w:r>
      <w:r>
        <w:rPr>
          <w:color w:val="231F20"/>
        </w:rPr>
        <w:t>monitoring agent components on Windows, Linux, and UNIX systems. Also includes migration and backup information, Enterprise Common Collector</w:t>
      </w:r>
      <w:r>
        <w:rPr>
          <w:color w:val="231F20"/>
          <w:spacing w:val="40"/>
        </w:rPr>
        <w:t> </w:t>
      </w:r>
      <w:r>
        <w:rPr>
          <w:color w:val="231F20"/>
        </w:rPr>
        <w:t>troubleshooting, Hardware Management Console configuration, and use of the command line interface or APIs to customize the collector. This guide complements the </w:t>
      </w:r>
      <w:r>
        <w:rPr>
          <w:rFonts w:ascii="Book Antiqua" w:hAnsi="Book Antiqua"/>
          <w:i/>
          <w:color w:val="231F20"/>
        </w:rPr>
        <w:t>Tivoli zEnterprise Monitoring Agent User’s Guide</w:t>
      </w:r>
      <w:r>
        <w:rPr>
          <w:color w:val="231F20"/>
        </w:rPr>
        <w:t>.</w:t>
      </w:r>
    </w:p>
    <w:p>
      <w:pPr>
        <w:spacing w:before="33"/>
        <w:ind w:left="2472" w:right="0" w:firstLine="0"/>
        <w:jc w:val="left"/>
        <w:rPr>
          <w:sz w:val="20"/>
        </w:rPr>
      </w:pPr>
      <w:r>
        <w:rPr>
          <w:rFonts w:ascii="Futura MdCn BT"/>
          <w:color w:val="231F20"/>
          <w:sz w:val="20"/>
        </w:rPr>
        <w:t>v</w:t>
      </w:r>
      <w:r>
        <w:rPr>
          <w:rFonts w:ascii="Futura MdCn BT"/>
          <w:color w:val="231F20"/>
          <w:spacing w:val="78"/>
          <w:w w:val="150"/>
          <w:sz w:val="20"/>
        </w:rPr>
        <w:t> </w:t>
      </w:r>
      <w:r>
        <w:rPr>
          <w:rFonts w:ascii="Book Antiqua"/>
          <w:i/>
          <w:color w:val="231F20"/>
          <w:sz w:val="20"/>
        </w:rPr>
        <w:t>Administrator's</w:t>
      </w:r>
      <w:r>
        <w:rPr>
          <w:rFonts w:ascii="Book Antiqua"/>
          <w:i/>
          <w:color w:val="231F20"/>
          <w:spacing w:val="10"/>
          <w:sz w:val="20"/>
        </w:rPr>
        <w:t> </w:t>
      </w:r>
      <w:r>
        <w:rPr>
          <w:rFonts w:ascii="Book Antiqua"/>
          <w:i/>
          <w:color w:val="231F20"/>
          <w:sz w:val="20"/>
        </w:rPr>
        <w:t>Guide</w:t>
      </w:r>
      <w:r>
        <w:rPr>
          <w:color w:val="231F20"/>
          <w:sz w:val="20"/>
        </w:rPr>
        <w:t>,</w:t>
      </w:r>
      <w:r>
        <w:rPr>
          <w:color w:val="231F20"/>
          <w:spacing w:val="11"/>
          <w:sz w:val="20"/>
        </w:rPr>
        <w:t> </w:t>
      </w:r>
      <w:r>
        <w:rPr>
          <w:color w:val="231F20"/>
          <w:sz w:val="20"/>
        </w:rPr>
        <w:t>SC22-</w:t>
      </w:r>
      <w:r>
        <w:rPr>
          <w:color w:val="231F20"/>
          <w:spacing w:val="-4"/>
          <w:sz w:val="20"/>
        </w:rPr>
        <w:t>5446</w:t>
      </w:r>
    </w:p>
    <w:p>
      <w:pPr>
        <w:pStyle w:val="BodyText"/>
        <w:spacing w:line="213" w:lineRule="auto" w:before="52"/>
        <w:ind w:left="2688" w:right="385"/>
      </w:pPr>
      <w:r>
        <w:rPr>
          <w:color w:val="231F20"/>
        </w:rPr>
        <w:t>Describes the support tasks and functions required for the Tivoli Enterprise Portal Server and clients, including Tivoli Enterprise Portal user </w:t>
      </w:r>
      <w:r>
        <w:rPr>
          <w:color w:val="231F20"/>
        </w:rPr>
        <w:t>administration.</w:t>
      </w:r>
    </w:p>
    <w:p>
      <w:pPr>
        <w:spacing w:before="36"/>
        <w:ind w:left="2472" w:right="0" w:firstLine="0"/>
        <w:jc w:val="left"/>
        <w:rPr>
          <w:sz w:val="20"/>
        </w:rPr>
      </w:pPr>
      <w:r>
        <w:rPr>
          <w:rFonts w:ascii="Futura MdCn BT"/>
          <w:color w:val="231F20"/>
          <w:sz w:val="20"/>
        </w:rPr>
        <w:t>v</w:t>
      </w:r>
      <w:r>
        <w:rPr>
          <w:rFonts w:ascii="Futura MdCn BT"/>
          <w:color w:val="231F20"/>
          <w:spacing w:val="77"/>
          <w:w w:val="150"/>
          <w:sz w:val="20"/>
        </w:rPr>
        <w:t> </w:t>
      </w:r>
      <w:r>
        <w:rPr>
          <w:rFonts w:ascii="Book Antiqua"/>
          <w:i/>
          <w:color w:val="231F20"/>
          <w:sz w:val="20"/>
        </w:rPr>
        <w:t>Command</w:t>
      </w:r>
      <w:r>
        <w:rPr>
          <w:rFonts w:ascii="Book Antiqua"/>
          <w:i/>
          <w:color w:val="231F20"/>
          <w:spacing w:val="10"/>
          <w:sz w:val="20"/>
        </w:rPr>
        <w:t> </w:t>
      </w:r>
      <w:r>
        <w:rPr>
          <w:rFonts w:ascii="Book Antiqua"/>
          <w:i/>
          <w:color w:val="231F20"/>
          <w:sz w:val="20"/>
        </w:rPr>
        <w:t>Reference</w:t>
      </w:r>
      <w:r>
        <w:rPr>
          <w:color w:val="231F20"/>
          <w:sz w:val="20"/>
        </w:rPr>
        <w:t>,</w:t>
      </w:r>
      <w:r>
        <w:rPr>
          <w:color w:val="231F20"/>
          <w:spacing w:val="10"/>
          <w:sz w:val="20"/>
        </w:rPr>
        <w:t> </w:t>
      </w:r>
      <w:r>
        <w:rPr>
          <w:color w:val="231F20"/>
          <w:sz w:val="20"/>
        </w:rPr>
        <w:t>SC22-</w:t>
      </w:r>
      <w:r>
        <w:rPr>
          <w:color w:val="231F20"/>
          <w:spacing w:val="-4"/>
          <w:sz w:val="20"/>
        </w:rPr>
        <w:t>5448</w:t>
      </w:r>
    </w:p>
    <w:p>
      <w:pPr>
        <w:pStyle w:val="BodyText"/>
        <w:spacing w:line="213" w:lineRule="auto" w:before="52"/>
        <w:ind w:left="2688" w:right="274"/>
      </w:pPr>
      <w:r>
        <w:rPr>
          <w:color w:val="231F20"/>
        </w:rPr>
        <w:t>Provides detailed syntax and parameter information, as well as examples, for </w:t>
      </w:r>
      <w:r>
        <w:rPr>
          <w:color w:val="231F20"/>
        </w:rPr>
        <w:t>the commands you can use in IBM Tivoli Monitoring.</w:t>
      </w:r>
    </w:p>
    <w:p>
      <w:pPr>
        <w:spacing w:after="0" w:line="213" w:lineRule="auto"/>
        <w:sectPr>
          <w:footerReference w:type="default" r:id="rId497"/>
          <w:footerReference w:type="even" r:id="rId498"/>
          <w:pgSz w:w="12240" w:h="15840"/>
          <w:pgMar w:header="0" w:footer="736" w:top="1300" w:bottom="920" w:left="1000" w:right="1060"/>
          <w:pgNumType w:start="455"/>
        </w:sectPr>
      </w:pPr>
    </w:p>
    <w:p>
      <w:pPr>
        <w:spacing w:before="62"/>
        <w:ind w:left="2232" w:right="0" w:firstLine="0"/>
        <w:jc w:val="left"/>
        <w:rPr>
          <w:sz w:val="20"/>
        </w:rPr>
      </w:pPr>
      <w:bookmarkStart w:name="_bookmark352" w:id="737"/>
      <w:bookmarkEnd w:id="737"/>
      <w:r>
        <w:rPr/>
      </w:r>
      <w:r>
        <w:rPr>
          <w:rFonts w:ascii="Futura MdCn BT"/>
          <w:color w:val="231F20"/>
          <w:sz w:val="20"/>
        </w:rPr>
        <w:t>v</w:t>
      </w:r>
      <w:r>
        <w:rPr>
          <w:rFonts w:ascii="Futura MdCn BT"/>
          <w:color w:val="231F20"/>
          <w:spacing w:val="31"/>
          <w:sz w:val="20"/>
        </w:rPr>
        <w:t>  </w:t>
      </w:r>
      <w:r>
        <w:rPr>
          <w:rFonts w:ascii="Book Antiqua"/>
          <w:i/>
          <w:color w:val="231F20"/>
          <w:sz w:val="20"/>
        </w:rPr>
        <w:t>Messages</w:t>
      </w:r>
      <w:r>
        <w:rPr>
          <w:color w:val="231F20"/>
          <w:sz w:val="20"/>
        </w:rPr>
        <w:t>,</w:t>
      </w:r>
      <w:r>
        <w:rPr>
          <w:color w:val="231F20"/>
          <w:spacing w:val="12"/>
          <w:sz w:val="20"/>
        </w:rPr>
        <w:t> </w:t>
      </w:r>
      <w:r>
        <w:rPr>
          <w:color w:val="231F20"/>
          <w:sz w:val="20"/>
        </w:rPr>
        <w:t>SC22-</w:t>
      </w:r>
      <w:r>
        <w:rPr>
          <w:color w:val="231F20"/>
          <w:spacing w:val="-4"/>
          <w:sz w:val="20"/>
        </w:rPr>
        <w:t>5450</w:t>
      </w:r>
    </w:p>
    <w:p>
      <w:pPr>
        <w:pStyle w:val="BodyText"/>
        <w:spacing w:line="213" w:lineRule="auto" w:before="52"/>
        <w:ind w:left="2448" w:right="545"/>
      </w:pPr>
      <w:r>
        <w:rPr>
          <w:color w:val="231F20"/>
        </w:rPr>
        <w:t>Lists and explains messages generated by all IBM Tivoli Monitoring </w:t>
      </w:r>
      <w:r>
        <w:rPr>
          <w:color w:val="231F20"/>
        </w:rPr>
        <w:t>components and by z/OS-based Tivoli Management Services components (such as Tivoli Enterprise Monitoring Server on z/OS and TMS:Engine).</w:t>
      </w:r>
    </w:p>
    <w:p>
      <w:pPr>
        <w:spacing w:before="35"/>
        <w:ind w:left="2232" w:right="0" w:firstLine="0"/>
        <w:jc w:val="left"/>
        <w:rPr>
          <w:sz w:val="20"/>
        </w:rPr>
      </w:pPr>
      <w:r>
        <w:rPr>
          <w:rFonts w:ascii="Futura MdCn BT"/>
          <w:color w:val="231F20"/>
          <w:sz w:val="20"/>
        </w:rPr>
        <w:t>v</w:t>
      </w:r>
      <w:r>
        <w:rPr>
          <w:rFonts w:ascii="Futura MdCn BT"/>
          <w:color w:val="231F20"/>
          <w:spacing w:val="63"/>
          <w:w w:val="150"/>
          <w:sz w:val="20"/>
        </w:rPr>
        <w:t> </w:t>
      </w:r>
      <w:r>
        <w:rPr>
          <w:rFonts w:ascii="Book Antiqua"/>
          <w:i/>
          <w:color w:val="231F20"/>
          <w:sz w:val="20"/>
        </w:rPr>
        <w:t>Troubleshooting</w:t>
      </w:r>
      <w:r>
        <w:rPr>
          <w:rFonts w:ascii="Book Antiqua"/>
          <w:i/>
          <w:color w:val="231F20"/>
          <w:spacing w:val="4"/>
          <w:sz w:val="20"/>
        </w:rPr>
        <w:t> </w:t>
      </w:r>
      <w:r>
        <w:rPr>
          <w:rFonts w:ascii="Book Antiqua"/>
          <w:i/>
          <w:color w:val="231F20"/>
          <w:sz w:val="20"/>
        </w:rPr>
        <w:t>Guide</w:t>
      </w:r>
      <w:r>
        <w:rPr>
          <w:color w:val="231F20"/>
          <w:sz w:val="20"/>
        </w:rPr>
        <w:t>,</w:t>
      </w:r>
      <w:r>
        <w:rPr>
          <w:color w:val="231F20"/>
          <w:spacing w:val="4"/>
          <w:sz w:val="20"/>
        </w:rPr>
        <w:t> </w:t>
      </w:r>
      <w:r>
        <w:rPr>
          <w:color w:val="231F20"/>
          <w:sz w:val="20"/>
        </w:rPr>
        <w:t>GC22-</w:t>
      </w:r>
      <w:r>
        <w:rPr>
          <w:color w:val="231F20"/>
          <w:spacing w:val="-4"/>
          <w:sz w:val="20"/>
        </w:rPr>
        <w:t>5449</w:t>
      </w:r>
    </w:p>
    <w:p>
      <w:pPr>
        <w:pStyle w:val="BodyText"/>
        <w:spacing w:before="29"/>
        <w:ind w:left="2448"/>
      </w:pPr>
      <w:r>
        <w:rPr>
          <w:color w:val="231F20"/>
        </w:rPr>
        <w:t>Provides</w:t>
      </w:r>
      <w:r>
        <w:rPr>
          <w:color w:val="231F20"/>
          <w:spacing w:val="8"/>
        </w:rPr>
        <w:t> </w:t>
      </w:r>
      <w:r>
        <w:rPr>
          <w:color w:val="231F20"/>
        </w:rPr>
        <w:t>information</w:t>
      </w:r>
      <w:r>
        <w:rPr>
          <w:color w:val="231F20"/>
          <w:spacing w:val="9"/>
        </w:rPr>
        <w:t> </w:t>
      </w:r>
      <w:r>
        <w:rPr>
          <w:color w:val="231F20"/>
        </w:rPr>
        <w:t>to</w:t>
      </w:r>
      <w:r>
        <w:rPr>
          <w:color w:val="231F20"/>
          <w:spacing w:val="9"/>
        </w:rPr>
        <w:t> </w:t>
      </w:r>
      <w:r>
        <w:rPr>
          <w:color w:val="231F20"/>
        </w:rPr>
        <w:t>help</w:t>
      </w:r>
      <w:r>
        <w:rPr>
          <w:color w:val="231F20"/>
          <w:spacing w:val="8"/>
        </w:rPr>
        <w:t> </w:t>
      </w:r>
      <w:r>
        <w:rPr>
          <w:color w:val="231F20"/>
        </w:rPr>
        <w:t>you</w:t>
      </w:r>
      <w:r>
        <w:rPr>
          <w:color w:val="231F20"/>
          <w:spacing w:val="9"/>
        </w:rPr>
        <w:t> </w:t>
      </w:r>
      <w:r>
        <w:rPr>
          <w:color w:val="231F20"/>
        </w:rPr>
        <w:t>troubleshoot</w:t>
      </w:r>
      <w:r>
        <w:rPr>
          <w:color w:val="231F20"/>
          <w:spacing w:val="9"/>
        </w:rPr>
        <w:t> </w:t>
      </w:r>
      <w:r>
        <w:rPr>
          <w:color w:val="231F20"/>
        </w:rPr>
        <w:t>problems</w:t>
      </w:r>
      <w:r>
        <w:rPr>
          <w:color w:val="231F20"/>
          <w:spacing w:val="8"/>
        </w:rPr>
        <w:t> </w:t>
      </w:r>
      <w:r>
        <w:rPr>
          <w:color w:val="231F20"/>
        </w:rPr>
        <w:t>with</w:t>
      </w:r>
      <w:r>
        <w:rPr>
          <w:color w:val="231F20"/>
          <w:spacing w:val="9"/>
        </w:rPr>
        <w:t> </w:t>
      </w:r>
      <w:r>
        <w:rPr>
          <w:color w:val="231F20"/>
        </w:rPr>
        <w:t>the</w:t>
      </w:r>
      <w:r>
        <w:rPr>
          <w:color w:val="231F20"/>
          <w:spacing w:val="9"/>
        </w:rPr>
        <w:t> </w:t>
      </w:r>
      <w:r>
        <w:rPr>
          <w:color w:val="231F20"/>
          <w:spacing w:val="-2"/>
        </w:rPr>
        <w:t>software.</w:t>
      </w:r>
    </w:p>
    <w:p>
      <w:pPr>
        <w:pStyle w:val="BodyText"/>
        <w:spacing w:before="30"/>
        <w:ind w:left="2232"/>
      </w:pPr>
      <w:r>
        <w:rPr>
          <w:rFonts w:ascii="Futura MdCn BT"/>
          <w:color w:val="231F20"/>
        </w:rPr>
        <w:t>v</w:t>
      </w:r>
      <w:r>
        <w:rPr>
          <w:rFonts w:ascii="Futura MdCn BT"/>
          <w:color w:val="231F20"/>
          <w:spacing w:val="77"/>
          <w:w w:val="150"/>
        </w:rPr>
        <w:t> </w:t>
      </w:r>
      <w:r>
        <w:rPr>
          <w:color w:val="231F20"/>
        </w:rPr>
        <w:t>Tivoli</w:t>
      </w:r>
      <w:r>
        <w:rPr>
          <w:color w:val="231F20"/>
          <w:spacing w:val="10"/>
        </w:rPr>
        <w:t> </w:t>
      </w:r>
      <w:r>
        <w:rPr>
          <w:color w:val="231F20"/>
        </w:rPr>
        <w:t>Enterprise</w:t>
      </w:r>
      <w:r>
        <w:rPr>
          <w:color w:val="231F20"/>
          <w:spacing w:val="11"/>
        </w:rPr>
        <w:t> </w:t>
      </w:r>
      <w:r>
        <w:rPr>
          <w:color w:val="231F20"/>
        </w:rPr>
        <w:t>Portal</w:t>
      </w:r>
      <w:r>
        <w:rPr>
          <w:color w:val="231F20"/>
          <w:spacing w:val="10"/>
        </w:rPr>
        <w:t> </w:t>
      </w:r>
      <w:r>
        <w:rPr>
          <w:color w:val="231F20"/>
        </w:rPr>
        <w:t>online</w:t>
      </w:r>
      <w:r>
        <w:rPr>
          <w:color w:val="231F20"/>
          <w:spacing w:val="10"/>
        </w:rPr>
        <w:t> </w:t>
      </w:r>
      <w:r>
        <w:rPr>
          <w:color w:val="231F20"/>
          <w:spacing w:val="-4"/>
        </w:rPr>
        <w:t>help</w:t>
      </w:r>
    </w:p>
    <w:p>
      <w:pPr>
        <w:pStyle w:val="BodyText"/>
        <w:spacing w:line="213" w:lineRule="auto" w:before="53"/>
        <w:ind w:left="2448" w:right="493"/>
      </w:pPr>
      <w:r>
        <w:rPr>
          <w:color w:val="231F20"/>
        </w:rPr>
        <w:t>Provides context-sensitive reference information about all features and customization options of the Tivoli Enterprise Portal. Also gives instructions </w:t>
      </w:r>
      <w:r>
        <w:rPr>
          <w:color w:val="231F20"/>
        </w:rPr>
        <w:t>for using and administering the Tivoli Enterprise Portal.</w:t>
      </w:r>
    </w:p>
    <w:p>
      <w:pPr>
        <w:spacing w:before="34"/>
        <w:ind w:left="2232" w:right="0" w:firstLine="0"/>
        <w:jc w:val="left"/>
        <w:rPr>
          <w:sz w:val="20"/>
        </w:rPr>
      </w:pPr>
      <w:r>
        <w:rPr>
          <w:rFonts w:ascii="Futura MdCn BT"/>
          <w:color w:val="231F20"/>
          <w:sz w:val="20"/>
        </w:rPr>
        <w:t>v</w:t>
      </w:r>
      <w:r>
        <w:rPr>
          <w:rFonts w:ascii="Futura MdCn BT"/>
          <w:color w:val="231F20"/>
          <w:spacing w:val="76"/>
          <w:w w:val="150"/>
          <w:sz w:val="20"/>
        </w:rPr>
        <w:t> </w:t>
      </w:r>
      <w:r>
        <w:rPr>
          <w:rFonts w:ascii="Book Antiqua"/>
          <w:i/>
          <w:color w:val="231F20"/>
          <w:sz w:val="20"/>
        </w:rPr>
        <w:t>Tivoli</w:t>
      </w:r>
      <w:r>
        <w:rPr>
          <w:rFonts w:ascii="Book Antiqua"/>
          <w:i/>
          <w:color w:val="231F20"/>
          <w:spacing w:val="10"/>
          <w:sz w:val="20"/>
        </w:rPr>
        <w:t> </w:t>
      </w:r>
      <w:r>
        <w:rPr>
          <w:rFonts w:ascii="Book Antiqua"/>
          <w:i/>
          <w:color w:val="231F20"/>
          <w:sz w:val="20"/>
        </w:rPr>
        <w:t>Enterprise</w:t>
      </w:r>
      <w:r>
        <w:rPr>
          <w:rFonts w:ascii="Book Antiqua"/>
          <w:i/>
          <w:color w:val="231F20"/>
          <w:spacing w:val="10"/>
          <w:sz w:val="20"/>
        </w:rPr>
        <w:t> </w:t>
      </w:r>
      <w:r>
        <w:rPr>
          <w:rFonts w:ascii="Book Antiqua"/>
          <w:i/>
          <w:color w:val="231F20"/>
          <w:sz w:val="20"/>
        </w:rPr>
        <w:t>Portal</w:t>
      </w:r>
      <w:r>
        <w:rPr>
          <w:rFonts w:ascii="Book Antiqua"/>
          <w:i/>
          <w:color w:val="231F20"/>
          <w:spacing w:val="10"/>
          <w:sz w:val="20"/>
        </w:rPr>
        <w:t> </w:t>
      </w:r>
      <w:r>
        <w:rPr>
          <w:rFonts w:ascii="Book Antiqua"/>
          <w:i/>
          <w:color w:val="231F20"/>
          <w:sz w:val="20"/>
        </w:rPr>
        <w:t>User's</w:t>
      </w:r>
      <w:r>
        <w:rPr>
          <w:rFonts w:ascii="Book Antiqua"/>
          <w:i/>
          <w:color w:val="231F20"/>
          <w:spacing w:val="9"/>
          <w:sz w:val="20"/>
        </w:rPr>
        <w:t> </w:t>
      </w:r>
      <w:r>
        <w:rPr>
          <w:rFonts w:ascii="Book Antiqua"/>
          <w:i/>
          <w:color w:val="231F20"/>
          <w:sz w:val="20"/>
        </w:rPr>
        <w:t>Guide</w:t>
      </w:r>
      <w:r>
        <w:rPr>
          <w:color w:val="231F20"/>
          <w:sz w:val="20"/>
        </w:rPr>
        <w:t>,</w:t>
      </w:r>
      <w:r>
        <w:rPr>
          <w:color w:val="231F20"/>
          <w:spacing w:val="10"/>
          <w:sz w:val="20"/>
        </w:rPr>
        <w:t> </w:t>
      </w:r>
      <w:r>
        <w:rPr>
          <w:color w:val="231F20"/>
          <w:sz w:val="20"/>
        </w:rPr>
        <w:t>SC22-</w:t>
      </w:r>
      <w:r>
        <w:rPr>
          <w:color w:val="231F20"/>
          <w:spacing w:val="-4"/>
          <w:sz w:val="20"/>
        </w:rPr>
        <w:t>5447</w:t>
      </w:r>
    </w:p>
    <w:p>
      <w:pPr>
        <w:pStyle w:val="BodyText"/>
        <w:spacing w:line="213" w:lineRule="auto" w:before="53"/>
        <w:ind w:left="2448" w:right="1052"/>
      </w:pPr>
      <w:r>
        <w:rPr>
          <w:color w:val="231F20"/>
        </w:rPr>
        <w:t>Complements the Tivoli Enterprise Portal online help. The guide </w:t>
      </w:r>
      <w:r>
        <w:rPr>
          <w:color w:val="231F20"/>
        </w:rPr>
        <w:t>provides hands-on lessons and detailed instructions for all Tivoli Enterprise Portal </w:t>
      </w:r>
      <w:r>
        <w:rPr>
          <w:color w:val="231F20"/>
          <w:spacing w:val="-2"/>
        </w:rPr>
        <w:t>features.</w:t>
      </w:r>
    </w:p>
    <w:p>
      <w:pPr>
        <w:spacing w:before="35"/>
        <w:ind w:left="2232" w:right="0" w:firstLine="0"/>
        <w:jc w:val="left"/>
        <w:rPr>
          <w:sz w:val="20"/>
        </w:rPr>
      </w:pPr>
      <w:r>
        <w:rPr>
          <w:rFonts w:ascii="Futura MdCn BT"/>
          <w:color w:val="231F20"/>
          <w:sz w:val="20"/>
        </w:rPr>
        <w:t>v</w:t>
      </w:r>
      <w:r>
        <w:rPr>
          <w:rFonts w:ascii="Futura MdCn BT"/>
          <w:color w:val="231F20"/>
          <w:spacing w:val="30"/>
          <w:sz w:val="20"/>
        </w:rPr>
        <w:t>  </w:t>
      </w:r>
      <w:r>
        <w:rPr>
          <w:rFonts w:ascii="Book Antiqua"/>
          <w:i/>
          <w:color w:val="231F20"/>
          <w:sz w:val="20"/>
        </w:rPr>
        <w:t>Agent</w:t>
      </w:r>
      <w:r>
        <w:rPr>
          <w:rFonts w:ascii="Book Antiqua"/>
          <w:i/>
          <w:color w:val="231F20"/>
          <w:spacing w:val="13"/>
          <w:sz w:val="20"/>
        </w:rPr>
        <w:t> </w:t>
      </w:r>
      <w:r>
        <w:rPr>
          <w:rFonts w:ascii="Book Antiqua"/>
          <w:i/>
          <w:color w:val="231F20"/>
          <w:sz w:val="20"/>
        </w:rPr>
        <w:t>Builder</w:t>
      </w:r>
      <w:r>
        <w:rPr>
          <w:rFonts w:ascii="Book Antiqua"/>
          <w:i/>
          <w:color w:val="231F20"/>
          <w:spacing w:val="12"/>
          <w:sz w:val="20"/>
        </w:rPr>
        <w:t> </w:t>
      </w:r>
      <w:r>
        <w:rPr>
          <w:rFonts w:ascii="Book Antiqua"/>
          <w:i/>
          <w:color w:val="231F20"/>
          <w:sz w:val="20"/>
        </w:rPr>
        <w:t>User's</w:t>
      </w:r>
      <w:r>
        <w:rPr>
          <w:rFonts w:ascii="Book Antiqua"/>
          <w:i/>
          <w:color w:val="231F20"/>
          <w:spacing w:val="11"/>
          <w:sz w:val="20"/>
        </w:rPr>
        <w:t> </w:t>
      </w:r>
      <w:r>
        <w:rPr>
          <w:rFonts w:ascii="Book Antiqua"/>
          <w:i/>
          <w:color w:val="231F20"/>
          <w:sz w:val="20"/>
        </w:rPr>
        <w:t>Guide</w:t>
      </w:r>
      <w:r>
        <w:rPr>
          <w:color w:val="231F20"/>
          <w:sz w:val="20"/>
        </w:rPr>
        <w:t>,</w:t>
      </w:r>
      <w:r>
        <w:rPr>
          <w:color w:val="231F20"/>
          <w:spacing w:val="12"/>
          <w:sz w:val="20"/>
        </w:rPr>
        <w:t> </w:t>
      </w:r>
      <w:r>
        <w:rPr>
          <w:color w:val="231F20"/>
          <w:sz w:val="20"/>
        </w:rPr>
        <w:t>SC32-</w:t>
      </w:r>
      <w:r>
        <w:rPr>
          <w:color w:val="231F20"/>
          <w:spacing w:val="-4"/>
          <w:sz w:val="20"/>
        </w:rPr>
        <w:t>1921</w:t>
      </w:r>
    </w:p>
    <w:p>
      <w:pPr>
        <w:pStyle w:val="BodyText"/>
        <w:spacing w:line="213" w:lineRule="auto" w:before="52"/>
        <w:ind w:left="2448"/>
      </w:pPr>
      <w:r>
        <w:rPr>
          <w:color w:val="231F20"/>
        </w:rPr>
        <w:t>Explains how to use the Agent Builder for creating monitoring agents and </w:t>
      </w:r>
      <w:r>
        <w:rPr>
          <w:color w:val="231F20"/>
        </w:rPr>
        <w:t>their installation packages, and for adding functions to existing agents.</w:t>
      </w:r>
    </w:p>
    <w:p>
      <w:pPr>
        <w:spacing w:before="36"/>
        <w:ind w:left="2232" w:right="0" w:firstLine="0"/>
        <w:jc w:val="left"/>
        <w:rPr>
          <w:sz w:val="20"/>
        </w:rPr>
      </w:pPr>
      <w:r>
        <w:rPr>
          <w:rFonts w:ascii="Futura MdCn BT" w:hAnsi="Futura MdCn BT"/>
          <w:color w:val="231F20"/>
          <w:sz w:val="20"/>
        </w:rPr>
        <w:t>v</w:t>
      </w:r>
      <w:r>
        <w:rPr>
          <w:rFonts w:ascii="Futura MdCn BT" w:hAnsi="Futura MdCn BT"/>
          <w:color w:val="231F20"/>
          <w:spacing w:val="77"/>
          <w:w w:val="150"/>
          <w:sz w:val="20"/>
        </w:rPr>
        <w:t> </w:t>
      </w:r>
      <w:r>
        <w:rPr>
          <w:rFonts w:ascii="Book Antiqua" w:hAnsi="Book Antiqua"/>
          <w:i/>
          <w:color w:val="231F20"/>
          <w:sz w:val="20"/>
        </w:rPr>
        <w:t>Performance</w:t>
      </w:r>
      <w:r>
        <w:rPr>
          <w:rFonts w:ascii="Book Antiqua" w:hAnsi="Book Antiqua"/>
          <w:i/>
          <w:color w:val="231F20"/>
          <w:spacing w:val="10"/>
          <w:sz w:val="20"/>
        </w:rPr>
        <w:t> </w:t>
      </w:r>
      <w:r>
        <w:rPr>
          <w:rFonts w:ascii="Book Antiqua" w:hAnsi="Book Antiqua"/>
          <w:i/>
          <w:color w:val="231F20"/>
          <w:sz w:val="20"/>
        </w:rPr>
        <w:t>Analyzer</w:t>
      </w:r>
      <w:r>
        <w:rPr>
          <w:rFonts w:ascii="Book Antiqua" w:hAnsi="Book Antiqua"/>
          <w:i/>
          <w:color w:val="231F20"/>
          <w:spacing w:val="10"/>
          <w:sz w:val="20"/>
        </w:rPr>
        <w:t> </w:t>
      </w:r>
      <w:r>
        <w:rPr>
          <w:rFonts w:ascii="Book Antiqua" w:hAnsi="Book Antiqua"/>
          <w:i/>
          <w:color w:val="231F20"/>
          <w:sz w:val="20"/>
        </w:rPr>
        <w:t>User’s</w:t>
      </w:r>
      <w:r>
        <w:rPr>
          <w:rFonts w:ascii="Book Antiqua" w:hAnsi="Book Antiqua"/>
          <w:i/>
          <w:color w:val="231F20"/>
          <w:spacing w:val="10"/>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SC27-</w:t>
      </w:r>
      <w:r>
        <w:rPr>
          <w:color w:val="231F20"/>
          <w:spacing w:val="-4"/>
          <w:sz w:val="20"/>
        </w:rPr>
        <w:t>4004</w:t>
      </w:r>
    </w:p>
    <w:p>
      <w:pPr>
        <w:pStyle w:val="BodyText"/>
        <w:spacing w:line="213" w:lineRule="auto" w:before="52"/>
        <w:ind w:left="2448" w:right="493"/>
      </w:pPr>
      <w:r>
        <w:rPr>
          <w:color w:val="231F20"/>
        </w:rPr>
        <w:t>Explains how to use the Performance Analyzer to understand resource consumption trends, identify problems, resolve problems more quickly, and predict and avoid future problems.</w:t>
      </w:r>
    </w:p>
    <w:p>
      <w:pPr>
        <w:spacing w:before="35"/>
        <w:ind w:left="2232" w:right="0" w:firstLine="0"/>
        <w:jc w:val="left"/>
        <w:rPr>
          <w:sz w:val="20"/>
        </w:rPr>
      </w:pPr>
      <w:r>
        <w:rPr>
          <w:rFonts w:ascii="Futura MdCn BT" w:hAnsi="Futura MdCn BT"/>
          <w:color w:val="231F20"/>
          <w:sz w:val="20"/>
        </w:rPr>
        <w:t>v</w:t>
      </w:r>
      <w:r>
        <w:rPr>
          <w:rFonts w:ascii="Futura MdCn BT" w:hAnsi="Futura MdCn BT"/>
          <w:color w:val="231F20"/>
          <w:spacing w:val="75"/>
          <w:w w:val="150"/>
          <w:sz w:val="20"/>
        </w:rPr>
        <w:t> </w:t>
      </w:r>
      <w:r>
        <w:rPr>
          <w:rFonts w:ascii="Book Antiqua" w:hAnsi="Book Antiqua"/>
          <w:i/>
          <w:color w:val="231F20"/>
          <w:sz w:val="20"/>
        </w:rPr>
        <w:t>IBM</w:t>
      </w:r>
      <w:r>
        <w:rPr>
          <w:rFonts w:ascii="Book Antiqua" w:hAnsi="Book Antiqua"/>
          <w:i/>
          <w:color w:val="231F20"/>
          <w:spacing w:val="9"/>
          <w:sz w:val="20"/>
        </w:rPr>
        <w:t> </w:t>
      </w:r>
      <w:r>
        <w:rPr>
          <w:rFonts w:ascii="Book Antiqua" w:hAnsi="Book Antiqua"/>
          <w:i/>
          <w:color w:val="231F20"/>
          <w:sz w:val="20"/>
        </w:rPr>
        <w:t>Tivoli</w:t>
      </w:r>
      <w:r>
        <w:rPr>
          <w:rFonts w:ascii="Book Antiqua" w:hAnsi="Book Antiqua"/>
          <w:i/>
          <w:color w:val="231F20"/>
          <w:spacing w:val="9"/>
          <w:sz w:val="20"/>
        </w:rPr>
        <w:t> </w:t>
      </w:r>
      <w:r>
        <w:rPr>
          <w:rFonts w:ascii="Book Antiqua" w:hAnsi="Book Antiqua"/>
          <w:i/>
          <w:color w:val="231F20"/>
          <w:sz w:val="20"/>
        </w:rPr>
        <w:t>zEnterprise</w:t>
      </w:r>
      <w:r>
        <w:rPr>
          <w:rFonts w:ascii="Book Antiqua" w:hAnsi="Book Antiqua"/>
          <w:i/>
          <w:color w:val="231F20"/>
          <w:spacing w:val="9"/>
          <w:sz w:val="20"/>
        </w:rPr>
        <w:t> </w:t>
      </w:r>
      <w:r>
        <w:rPr>
          <w:rFonts w:ascii="Book Antiqua" w:hAnsi="Book Antiqua"/>
          <w:i/>
          <w:color w:val="231F20"/>
          <w:sz w:val="20"/>
        </w:rPr>
        <w:t>Monitoring</w:t>
      </w:r>
      <w:r>
        <w:rPr>
          <w:rFonts w:ascii="Book Antiqua" w:hAnsi="Book Antiqua"/>
          <w:i/>
          <w:color w:val="231F20"/>
          <w:spacing w:val="10"/>
          <w:sz w:val="20"/>
        </w:rPr>
        <w:t> </w:t>
      </w:r>
      <w:r>
        <w:rPr>
          <w:rFonts w:ascii="Book Antiqua" w:hAnsi="Book Antiqua"/>
          <w:i/>
          <w:color w:val="231F20"/>
          <w:sz w:val="20"/>
        </w:rPr>
        <w:t>Agent</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9"/>
          <w:sz w:val="20"/>
        </w:rPr>
        <w:t> </w:t>
      </w:r>
      <w:r>
        <w:rPr>
          <w:color w:val="231F20"/>
          <w:sz w:val="20"/>
        </w:rPr>
        <w:t>SC14-</w:t>
      </w:r>
      <w:r>
        <w:rPr>
          <w:color w:val="231F20"/>
          <w:spacing w:val="-4"/>
          <w:sz w:val="20"/>
        </w:rPr>
        <w:t>7359</w:t>
      </w:r>
    </w:p>
    <w:p>
      <w:pPr>
        <w:spacing w:line="213" w:lineRule="auto" w:before="53"/>
        <w:ind w:left="2448" w:right="545" w:firstLine="0"/>
        <w:jc w:val="left"/>
        <w:rPr>
          <w:sz w:val="20"/>
        </w:rPr>
      </w:pPr>
      <w:r>
        <w:rPr>
          <w:color w:val="231F20"/>
          <w:sz w:val="20"/>
        </w:rPr>
        <w:t>Complements the Tivoli zEnterprise monitoring agent online help. The guide provides reference information about the interface, usage scenarios, agent troubleshooting information, and information about Tivoli Common </w:t>
      </w:r>
      <w:r>
        <w:rPr>
          <w:color w:val="231F20"/>
          <w:sz w:val="20"/>
        </w:rPr>
        <w:t>Reporting reports. This guide complements the </w:t>
      </w:r>
      <w:r>
        <w:rPr>
          <w:rFonts w:ascii="Book Antiqua"/>
          <w:i/>
          <w:color w:val="231F20"/>
          <w:sz w:val="20"/>
        </w:rPr>
        <w:t>Tivoli zEnterprise Monitoring Agent</w:t>
      </w:r>
      <w:r>
        <w:rPr>
          <w:rFonts w:ascii="Book Antiqua"/>
          <w:i/>
          <w:color w:val="231F20"/>
          <w:sz w:val="20"/>
        </w:rPr>
        <w:t> Installation and Configuration Guide</w:t>
      </w:r>
      <w:r>
        <w:rPr>
          <w:color w:val="231F20"/>
          <w:sz w:val="20"/>
        </w:rPr>
        <w:t>.</w:t>
      </w:r>
    </w:p>
    <w:p>
      <w:pPr>
        <w:pStyle w:val="Heading3"/>
        <w:spacing w:before="215"/>
        <w:ind w:left="1334"/>
      </w:pPr>
      <w:bookmarkStart w:name="Documentation for the base agents" w:id="738"/>
      <w:bookmarkEnd w:id="738"/>
      <w:r>
        <w:rPr>
          <w:b w:val="0"/>
        </w:rPr>
      </w:r>
      <w:r>
        <w:rPr>
          <w:color w:val="231F20"/>
        </w:rPr>
        <w:t>Documentation</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base</w:t>
      </w:r>
      <w:r>
        <w:rPr>
          <w:color w:val="231F20"/>
          <w:spacing w:val="7"/>
        </w:rPr>
        <w:t> </w:t>
      </w:r>
      <w:r>
        <w:rPr>
          <w:color w:val="231F20"/>
          <w:spacing w:val="-2"/>
        </w:rPr>
        <w:t>agents</w:t>
      </w:r>
    </w:p>
    <w:p>
      <w:pPr>
        <w:pStyle w:val="BodyText"/>
        <w:spacing w:line="213" w:lineRule="auto" w:before="58"/>
        <w:ind w:left="2232" w:right="545"/>
      </w:pPr>
      <w:r>
        <w:rPr>
          <w:color w:val="231F20"/>
        </w:rPr>
        <w:t>If you purchased IBM Tivoli Monitoring as a product, you received a set of base monitoring agents as part of the product. If you purchased a monitoring agent product (for example, an OMEGAMON XE product) that includes the </w:t>
      </w:r>
      <w:r>
        <w:rPr>
          <w:color w:val="231F20"/>
        </w:rPr>
        <w:t>commonly shared components of Tivoli Management Services, you did not receive the base </w:t>
      </w:r>
      <w:r>
        <w:rPr>
          <w:color w:val="231F20"/>
          <w:spacing w:val="-2"/>
        </w:rPr>
        <w:t>agents.</w:t>
      </w:r>
    </w:p>
    <w:p>
      <w:pPr>
        <w:pStyle w:val="BodyText"/>
        <w:spacing w:before="213"/>
        <w:ind w:left="2232"/>
      </w:pPr>
      <w:r>
        <w:rPr>
          <w:color w:val="231F20"/>
        </w:rPr>
        <w:t>The</w:t>
      </w:r>
      <w:r>
        <w:rPr>
          <w:color w:val="231F20"/>
          <w:spacing w:val="9"/>
        </w:rPr>
        <w:t> </w:t>
      </w:r>
      <w:r>
        <w:rPr>
          <w:color w:val="231F20"/>
        </w:rPr>
        <w:t>following</w:t>
      </w:r>
      <w:r>
        <w:rPr>
          <w:color w:val="231F20"/>
          <w:spacing w:val="9"/>
        </w:rPr>
        <w:t> </w:t>
      </w:r>
      <w:r>
        <w:rPr>
          <w:color w:val="231F20"/>
        </w:rPr>
        <w:t>publications</w:t>
      </w:r>
      <w:r>
        <w:rPr>
          <w:color w:val="231F20"/>
          <w:spacing w:val="9"/>
        </w:rPr>
        <w:t> </w:t>
      </w:r>
      <w:r>
        <w:rPr>
          <w:color w:val="231F20"/>
        </w:rPr>
        <w:t>provide</w:t>
      </w:r>
      <w:r>
        <w:rPr>
          <w:color w:val="231F20"/>
          <w:spacing w:val="9"/>
        </w:rPr>
        <w:t> </w:t>
      </w:r>
      <w:r>
        <w:rPr>
          <w:color w:val="231F20"/>
        </w:rPr>
        <w:t>information</w:t>
      </w:r>
      <w:r>
        <w:rPr>
          <w:color w:val="231F20"/>
          <w:spacing w:val="10"/>
        </w:rPr>
        <w:t> </w:t>
      </w:r>
      <w:r>
        <w:rPr>
          <w:color w:val="231F20"/>
        </w:rPr>
        <w:t>about</w:t>
      </w:r>
      <w:r>
        <w:rPr>
          <w:color w:val="231F20"/>
          <w:spacing w:val="9"/>
        </w:rPr>
        <w:t> </w:t>
      </w:r>
      <w:r>
        <w:rPr>
          <w:color w:val="231F20"/>
        </w:rPr>
        <w:t>using</w:t>
      </w:r>
      <w:r>
        <w:rPr>
          <w:color w:val="231F20"/>
          <w:spacing w:val="9"/>
        </w:rPr>
        <w:t> </w:t>
      </w:r>
      <w:r>
        <w:rPr>
          <w:color w:val="231F20"/>
        </w:rPr>
        <w:t>the</w:t>
      </w:r>
      <w:r>
        <w:rPr>
          <w:color w:val="231F20"/>
          <w:spacing w:val="9"/>
        </w:rPr>
        <w:t> </w:t>
      </w:r>
      <w:r>
        <w:rPr>
          <w:color w:val="231F20"/>
        </w:rPr>
        <w:t>base</w:t>
      </w:r>
      <w:r>
        <w:rPr>
          <w:color w:val="231F20"/>
          <w:spacing w:val="10"/>
        </w:rPr>
        <w:t> </w:t>
      </w:r>
      <w:r>
        <w:rPr>
          <w:color w:val="231F20"/>
          <w:spacing w:val="-2"/>
        </w:rPr>
        <w:t>agents.</w:t>
      </w:r>
    </w:p>
    <w:p>
      <w:pPr>
        <w:pStyle w:val="BodyText"/>
        <w:spacing w:before="30"/>
        <w:ind w:left="2232"/>
      </w:pPr>
      <w:r>
        <w:rPr>
          <w:rFonts w:ascii="Futura MdCn BT"/>
          <w:color w:val="231F20"/>
        </w:rPr>
        <w:t>v</w:t>
      </w:r>
      <w:r>
        <w:rPr>
          <w:rFonts w:ascii="Futura MdCn BT"/>
          <w:color w:val="231F20"/>
          <w:spacing w:val="31"/>
        </w:rPr>
        <w:t>  </w:t>
      </w:r>
      <w:r>
        <w:rPr>
          <w:color w:val="231F20"/>
        </w:rPr>
        <w:t>Operating</w:t>
      </w:r>
      <w:r>
        <w:rPr>
          <w:color w:val="231F20"/>
          <w:spacing w:val="13"/>
        </w:rPr>
        <w:t> </w:t>
      </w:r>
      <w:r>
        <w:rPr>
          <w:color w:val="231F20"/>
        </w:rPr>
        <w:t>system</w:t>
      </w:r>
      <w:r>
        <w:rPr>
          <w:color w:val="231F20"/>
          <w:spacing w:val="13"/>
        </w:rPr>
        <w:t> </w:t>
      </w:r>
      <w:r>
        <w:rPr>
          <w:color w:val="231F20"/>
          <w:spacing w:val="-2"/>
        </w:rPr>
        <w:t>agents:</w:t>
      </w:r>
    </w:p>
    <w:p>
      <w:pPr>
        <w:pStyle w:val="ListParagraph"/>
        <w:numPr>
          <w:ilvl w:val="0"/>
          <w:numId w:val="192"/>
        </w:numPr>
        <w:tabs>
          <w:tab w:pos="2696" w:val="left" w:leader="none"/>
        </w:tabs>
        <w:spacing w:line="240" w:lineRule="auto" w:before="29" w:after="0"/>
        <w:ind w:left="2696" w:right="0" w:hanging="248"/>
        <w:jc w:val="left"/>
        <w:rPr>
          <w:sz w:val="20"/>
        </w:rPr>
      </w:pPr>
      <w:r>
        <w:rPr>
          <w:rFonts w:ascii="Book Antiqua" w:hAnsi="Book Antiqua"/>
          <w:i/>
          <w:color w:val="231F20"/>
          <w:sz w:val="20"/>
        </w:rPr>
        <w:t>Windows</w:t>
      </w:r>
      <w:r>
        <w:rPr>
          <w:rFonts w:ascii="Book Antiqua" w:hAnsi="Book Antiqua"/>
          <w:i/>
          <w:color w:val="231F20"/>
          <w:spacing w:val="8"/>
          <w:sz w:val="20"/>
        </w:rPr>
        <w:t> </w:t>
      </w:r>
      <w:r>
        <w:rPr>
          <w:rFonts w:ascii="Book Antiqua" w:hAnsi="Book Antiqua"/>
          <w:i/>
          <w:color w:val="231F20"/>
          <w:sz w:val="20"/>
        </w:rPr>
        <w:t>OS</w:t>
      </w:r>
      <w:r>
        <w:rPr>
          <w:rFonts w:ascii="Book Antiqua" w:hAnsi="Book Antiqua"/>
          <w:i/>
          <w:color w:val="231F20"/>
          <w:spacing w:val="9"/>
          <w:sz w:val="20"/>
        </w:rPr>
        <w:t> </w:t>
      </w:r>
      <w:r>
        <w:rPr>
          <w:rFonts w:ascii="Book Antiqua" w:hAnsi="Book Antiqua"/>
          <w:i/>
          <w:color w:val="231F20"/>
          <w:sz w:val="20"/>
        </w:rPr>
        <w:t>Agent</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9"/>
          <w:sz w:val="20"/>
        </w:rPr>
        <w:t> </w:t>
      </w:r>
      <w:r>
        <w:rPr>
          <w:color w:val="231F20"/>
          <w:sz w:val="20"/>
        </w:rPr>
        <w:t>SC22-</w:t>
      </w:r>
      <w:r>
        <w:rPr>
          <w:color w:val="231F20"/>
          <w:spacing w:val="-4"/>
          <w:sz w:val="20"/>
        </w:rPr>
        <w:t>5451</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UNIX</w:t>
      </w:r>
      <w:r>
        <w:rPr>
          <w:rFonts w:ascii="Book Antiqua" w:hAnsi="Book Antiqua"/>
          <w:i/>
          <w:color w:val="231F20"/>
          <w:spacing w:val="10"/>
          <w:sz w:val="20"/>
        </w:rPr>
        <w:t> </w:t>
      </w:r>
      <w:r>
        <w:rPr>
          <w:rFonts w:ascii="Book Antiqua" w:hAnsi="Book Antiqua"/>
          <w:i/>
          <w:color w:val="231F20"/>
          <w:sz w:val="20"/>
        </w:rPr>
        <w:t>OS</w:t>
      </w:r>
      <w:r>
        <w:rPr>
          <w:rFonts w:ascii="Book Antiqua" w:hAnsi="Book Antiqua"/>
          <w:i/>
          <w:color w:val="231F20"/>
          <w:spacing w:val="10"/>
          <w:sz w:val="20"/>
        </w:rPr>
        <w:t> </w:t>
      </w:r>
      <w:r>
        <w:rPr>
          <w:rFonts w:ascii="Book Antiqua" w:hAnsi="Book Antiqua"/>
          <w:i/>
          <w:color w:val="231F20"/>
          <w:sz w:val="20"/>
        </w:rPr>
        <w:t>Agent</w:t>
      </w:r>
      <w:r>
        <w:rPr>
          <w:rFonts w:ascii="Book Antiqua" w:hAnsi="Book Antiqua"/>
          <w:i/>
          <w:color w:val="231F20"/>
          <w:spacing w:val="10"/>
          <w:sz w:val="20"/>
        </w:rPr>
        <w:t> </w:t>
      </w:r>
      <w:r>
        <w:rPr>
          <w:rFonts w:ascii="Book Antiqua" w:hAnsi="Book Antiqua"/>
          <w:i/>
          <w:color w:val="231F20"/>
          <w:sz w:val="20"/>
        </w:rPr>
        <w:t>User's</w:t>
      </w:r>
      <w:r>
        <w:rPr>
          <w:rFonts w:ascii="Book Antiqua" w:hAnsi="Book Antiqua"/>
          <w:i/>
          <w:color w:val="231F20"/>
          <w:spacing w:val="11"/>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SC22-</w:t>
      </w:r>
      <w:r>
        <w:rPr>
          <w:color w:val="231F20"/>
          <w:spacing w:val="-4"/>
          <w:sz w:val="20"/>
        </w:rPr>
        <w:t>5452</w:t>
      </w:r>
    </w:p>
    <w:p>
      <w:pPr>
        <w:pStyle w:val="ListParagraph"/>
        <w:numPr>
          <w:ilvl w:val="0"/>
          <w:numId w:val="192"/>
        </w:numPr>
        <w:tabs>
          <w:tab w:pos="2696" w:val="left" w:leader="none"/>
        </w:tabs>
        <w:spacing w:line="240" w:lineRule="auto" w:before="29" w:after="0"/>
        <w:ind w:left="2696" w:right="0" w:hanging="248"/>
        <w:jc w:val="left"/>
        <w:rPr>
          <w:sz w:val="20"/>
        </w:rPr>
      </w:pPr>
      <w:r>
        <w:rPr>
          <w:rFonts w:ascii="Book Antiqua" w:hAnsi="Book Antiqua"/>
          <w:i/>
          <w:color w:val="231F20"/>
          <w:sz w:val="20"/>
        </w:rPr>
        <w:t>Linux</w:t>
      </w:r>
      <w:r>
        <w:rPr>
          <w:rFonts w:ascii="Book Antiqua" w:hAnsi="Book Antiqua"/>
          <w:i/>
          <w:color w:val="231F20"/>
          <w:spacing w:val="10"/>
          <w:sz w:val="20"/>
        </w:rPr>
        <w:t> </w:t>
      </w:r>
      <w:r>
        <w:rPr>
          <w:rFonts w:ascii="Book Antiqua" w:hAnsi="Book Antiqua"/>
          <w:i/>
          <w:color w:val="231F20"/>
          <w:sz w:val="20"/>
        </w:rPr>
        <w:t>OS</w:t>
      </w:r>
      <w:r>
        <w:rPr>
          <w:rFonts w:ascii="Book Antiqua" w:hAnsi="Book Antiqua"/>
          <w:i/>
          <w:color w:val="231F20"/>
          <w:spacing w:val="10"/>
          <w:sz w:val="20"/>
        </w:rPr>
        <w:t> </w:t>
      </w:r>
      <w:r>
        <w:rPr>
          <w:rFonts w:ascii="Book Antiqua" w:hAnsi="Book Antiqua"/>
          <w:i/>
          <w:color w:val="231F20"/>
          <w:sz w:val="20"/>
        </w:rPr>
        <w:t>Agent</w:t>
      </w:r>
      <w:r>
        <w:rPr>
          <w:rFonts w:ascii="Book Antiqua" w:hAnsi="Book Antiqua"/>
          <w:i/>
          <w:color w:val="231F20"/>
          <w:spacing w:val="10"/>
          <w:sz w:val="20"/>
        </w:rPr>
        <w:t> </w:t>
      </w:r>
      <w:r>
        <w:rPr>
          <w:rFonts w:ascii="Book Antiqua" w:hAnsi="Book Antiqua"/>
          <w:i/>
          <w:color w:val="231F20"/>
          <w:sz w:val="20"/>
        </w:rPr>
        <w:t>User's</w:t>
      </w:r>
      <w:r>
        <w:rPr>
          <w:rFonts w:ascii="Book Antiqua" w:hAnsi="Book Antiqua"/>
          <w:i/>
          <w:color w:val="231F20"/>
          <w:spacing w:val="11"/>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SC22-</w:t>
      </w:r>
      <w:r>
        <w:rPr>
          <w:color w:val="231F20"/>
          <w:spacing w:val="-4"/>
          <w:sz w:val="20"/>
        </w:rPr>
        <w:t>5453</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IBM</w:t>
      </w:r>
      <w:r>
        <w:rPr>
          <w:rFonts w:ascii="Book Antiqua" w:hAnsi="Book Antiqua"/>
          <w:i/>
          <w:color w:val="231F20"/>
          <w:spacing w:val="10"/>
          <w:sz w:val="20"/>
        </w:rPr>
        <w:t> </w:t>
      </w:r>
      <w:r>
        <w:rPr>
          <w:rFonts w:ascii="Book Antiqua" w:hAnsi="Book Antiqua"/>
          <w:i/>
          <w:color w:val="231F20"/>
          <w:sz w:val="20"/>
        </w:rPr>
        <w:t>i</w:t>
      </w:r>
      <w:r>
        <w:rPr>
          <w:rFonts w:ascii="Book Antiqua" w:hAnsi="Book Antiqua"/>
          <w:i/>
          <w:color w:val="231F20"/>
          <w:spacing w:val="11"/>
          <w:sz w:val="20"/>
        </w:rPr>
        <w:t> </w:t>
      </w:r>
      <w:r>
        <w:rPr>
          <w:rFonts w:ascii="Book Antiqua" w:hAnsi="Book Antiqua"/>
          <w:i/>
          <w:color w:val="231F20"/>
          <w:sz w:val="20"/>
        </w:rPr>
        <w:t>Agent</w:t>
      </w:r>
      <w:r>
        <w:rPr>
          <w:rFonts w:ascii="Book Antiqua" w:hAnsi="Book Antiqua"/>
          <w:i/>
          <w:color w:val="231F20"/>
          <w:spacing w:val="11"/>
          <w:sz w:val="20"/>
        </w:rPr>
        <w:t> </w:t>
      </w:r>
      <w:r>
        <w:rPr>
          <w:rFonts w:ascii="Book Antiqua" w:hAnsi="Book Antiqua"/>
          <w:i/>
          <w:color w:val="231F20"/>
          <w:sz w:val="20"/>
        </w:rPr>
        <w:t>User's</w:t>
      </w:r>
      <w:r>
        <w:rPr>
          <w:rFonts w:ascii="Book Antiqua" w:hAnsi="Book Antiqua"/>
          <w:i/>
          <w:color w:val="231F20"/>
          <w:spacing w:val="11"/>
          <w:sz w:val="20"/>
        </w:rPr>
        <w:t> </w:t>
      </w:r>
      <w:r>
        <w:rPr>
          <w:rFonts w:ascii="Book Antiqua" w:hAnsi="Book Antiqua"/>
          <w:i/>
          <w:color w:val="231F20"/>
          <w:sz w:val="20"/>
        </w:rPr>
        <w:t>Guide</w:t>
      </w:r>
      <w:r>
        <w:rPr>
          <w:color w:val="231F20"/>
          <w:sz w:val="20"/>
        </w:rPr>
        <w:t>,</w:t>
      </w:r>
      <w:r>
        <w:rPr>
          <w:color w:val="231F20"/>
          <w:spacing w:val="11"/>
          <w:sz w:val="20"/>
        </w:rPr>
        <w:t> </w:t>
      </w:r>
      <w:r>
        <w:rPr>
          <w:color w:val="231F20"/>
          <w:sz w:val="20"/>
        </w:rPr>
        <w:t>SC22-</w:t>
      </w:r>
      <w:r>
        <w:rPr>
          <w:color w:val="231F20"/>
          <w:spacing w:val="-4"/>
          <w:sz w:val="20"/>
        </w:rPr>
        <w:t>5454</w:t>
      </w:r>
    </w:p>
    <w:p>
      <w:pPr>
        <w:pStyle w:val="BodyText"/>
        <w:spacing w:before="29"/>
        <w:ind w:left="2232"/>
      </w:pPr>
      <w:r>
        <w:rPr>
          <w:rFonts w:ascii="Futura MdCn BT"/>
          <w:color w:val="231F20"/>
        </w:rPr>
        <w:t>v</w:t>
      </w:r>
      <w:r>
        <w:rPr>
          <w:rFonts w:ascii="Futura MdCn BT"/>
          <w:color w:val="231F20"/>
          <w:spacing w:val="30"/>
        </w:rPr>
        <w:t>  </w:t>
      </w:r>
      <w:r>
        <w:rPr>
          <w:color w:val="231F20"/>
        </w:rPr>
        <w:t>Agentless</w:t>
      </w:r>
      <w:r>
        <w:rPr>
          <w:color w:val="231F20"/>
          <w:spacing w:val="12"/>
        </w:rPr>
        <w:t> </w:t>
      </w:r>
      <w:r>
        <w:rPr>
          <w:color w:val="231F20"/>
        </w:rPr>
        <w:t>operating</w:t>
      </w:r>
      <w:r>
        <w:rPr>
          <w:color w:val="231F20"/>
          <w:spacing w:val="12"/>
        </w:rPr>
        <w:t> </w:t>
      </w:r>
      <w:r>
        <w:rPr>
          <w:color w:val="231F20"/>
        </w:rPr>
        <w:t>system</w:t>
      </w:r>
      <w:r>
        <w:rPr>
          <w:color w:val="231F20"/>
          <w:spacing w:val="12"/>
        </w:rPr>
        <w:t> </w:t>
      </w:r>
      <w:r>
        <w:rPr>
          <w:color w:val="231F20"/>
          <w:spacing w:val="-2"/>
        </w:rPr>
        <w:t>monitors:</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Agentless</w:t>
      </w:r>
      <w:r>
        <w:rPr>
          <w:rFonts w:ascii="Book Antiqua" w:hAnsi="Book Antiqua"/>
          <w:i/>
          <w:color w:val="231F20"/>
          <w:spacing w:val="8"/>
          <w:sz w:val="20"/>
        </w:rPr>
        <w:t> </w:t>
      </w:r>
      <w:r>
        <w:rPr>
          <w:rFonts w:ascii="Book Antiqua" w:hAnsi="Book Antiqua"/>
          <w:i/>
          <w:color w:val="231F20"/>
          <w:sz w:val="20"/>
        </w:rPr>
        <w:t>Monitoring</w:t>
      </w:r>
      <w:r>
        <w:rPr>
          <w:rFonts w:ascii="Book Antiqua" w:hAnsi="Book Antiqua"/>
          <w:i/>
          <w:color w:val="231F20"/>
          <w:spacing w:val="8"/>
          <w:sz w:val="20"/>
        </w:rPr>
        <w:t> </w:t>
      </w:r>
      <w:r>
        <w:rPr>
          <w:rFonts w:ascii="Book Antiqua" w:hAnsi="Book Antiqua"/>
          <w:i/>
          <w:color w:val="231F20"/>
          <w:sz w:val="20"/>
        </w:rPr>
        <w:t>for</w:t>
      </w:r>
      <w:r>
        <w:rPr>
          <w:rFonts w:ascii="Book Antiqua" w:hAnsi="Book Antiqua"/>
          <w:i/>
          <w:color w:val="231F20"/>
          <w:spacing w:val="8"/>
          <w:sz w:val="20"/>
        </w:rPr>
        <w:t> </w:t>
      </w:r>
      <w:r>
        <w:rPr>
          <w:rFonts w:ascii="Book Antiqua" w:hAnsi="Book Antiqua"/>
          <w:i/>
          <w:color w:val="231F20"/>
          <w:sz w:val="20"/>
        </w:rPr>
        <w:t>Windows</w:t>
      </w:r>
      <w:r>
        <w:rPr>
          <w:rFonts w:ascii="Book Antiqua" w:hAnsi="Book Antiqua"/>
          <w:i/>
          <w:color w:val="231F20"/>
          <w:spacing w:val="8"/>
          <w:sz w:val="20"/>
        </w:rPr>
        <w:t> </w:t>
      </w:r>
      <w:r>
        <w:rPr>
          <w:rFonts w:ascii="Book Antiqua" w:hAnsi="Book Antiqua"/>
          <w:i/>
          <w:color w:val="231F20"/>
          <w:sz w:val="20"/>
        </w:rPr>
        <w:t>Operating</w:t>
      </w:r>
      <w:r>
        <w:rPr>
          <w:rFonts w:ascii="Book Antiqua" w:hAnsi="Book Antiqua"/>
          <w:i/>
          <w:color w:val="231F20"/>
          <w:spacing w:val="9"/>
          <w:sz w:val="20"/>
        </w:rPr>
        <w:t> </w:t>
      </w:r>
      <w:r>
        <w:rPr>
          <w:rFonts w:ascii="Book Antiqua" w:hAnsi="Book Antiqua"/>
          <w:i/>
          <w:color w:val="231F20"/>
          <w:sz w:val="20"/>
        </w:rPr>
        <w:t>Systems</w:t>
      </w:r>
      <w:r>
        <w:rPr>
          <w:rFonts w:ascii="Book Antiqua" w:hAnsi="Book Antiqua"/>
          <w:i/>
          <w:color w:val="231F20"/>
          <w:spacing w:val="8"/>
          <w:sz w:val="20"/>
        </w:rPr>
        <w:t> </w:t>
      </w:r>
      <w:r>
        <w:rPr>
          <w:rFonts w:ascii="Book Antiqua" w:hAnsi="Book Antiqua"/>
          <w:i/>
          <w:color w:val="231F20"/>
          <w:sz w:val="20"/>
        </w:rPr>
        <w:t>User's</w:t>
      </w:r>
      <w:r>
        <w:rPr>
          <w:rFonts w:ascii="Book Antiqua" w:hAnsi="Book Antiqua"/>
          <w:i/>
          <w:color w:val="231F20"/>
          <w:spacing w:val="8"/>
          <w:sz w:val="20"/>
        </w:rPr>
        <w:t> </w:t>
      </w:r>
      <w:r>
        <w:rPr>
          <w:rFonts w:ascii="Book Antiqua" w:hAnsi="Book Antiqua"/>
          <w:i/>
          <w:color w:val="231F20"/>
          <w:sz w:val="20"/>
        </w:rPr>
        <w:t>Guide</w:t>
      </w:r>
      <w:r>
        <w:rPr>
          <w:color w:val="231F20"/>
          <w:sz w:val="20"/>
        </w:rPr>
        <w:t>,</w:t>
      </w:r>
      <w:r>
        <w:rPr>
          <w:color w:val="231F20"/>
          <w:spacing w:val="8"/>
          <w:sz w:val="20"/>
        </w:rPr>
        <w:t> </w:t>
      </w:r>
      <w:r>
        <w:rPr>
          <w:color w:val="231F20"/>
          <w:sz w:val="20"/>
        </w:rPr>
        <w:t>SC23-</w:t>
      </w:r>
      <w:r>
        <w:rPr>
          <w:color w:val="231F20"/>
          <w:spacing w:val="-4"/>
          <w:sz w:val="20"/>
        </w:rPr>
        <w:t>9765</w:t>
      </w:r>
    </w:p>
    <w:p>
      <w:pPr>
        <w:pStyle w:val="ListParagraph"/>
        <w:numPr>
          <w:ilvl w:val="0"/>
          <w:numId w:val="192"/>
        </w:numPr>
        <w:tabs>
          <w:tab w:pos="2696" w:val="left" w:leader="none"/>
        </w:tabs>
        <w:spacing w:line="240" w:lineRule="auto" w:before="29" w:after="0"/>
        <w:ind w:left="2696" w:right="0" w:hanging="248"/>
        <w:jc w:val="left"/>
        <w:rPr>
          <w:sz w:val="20"/>
        </w:rPr>
      </w:pPr>
      <w:r>
        <w:rPr>
          <w:rFonts w:ascii="Book Antiqua" w:hAnsi="Book Antiqua"/>
          <w:i/>
          <w:color w:val="231F20"/>
          <w:sz w:val="20"/>
        </w:rPr>
        <w:t>Agentless</w:t>
      </w:r>
      <w:r>
        <w:rPr>
          <w:rFonts w:ascii="Book Antiqua" w:hAnsi="Book Antiqua"/>
          <w:i/>
          <w:color w:val="231F20"/>
          <w:spacing w:val="9"/>
          <w:sz w:val="20"/>
        </w:rPr>
        <w:t> </w:t>
      </w:r>
      <w:r>
        <w:rPr>
          <w:rFonts w:ascii="Book Antiqua" w:hAnsi="Book Antiqua"/>
          <w:i/>
          <w:color w:val="231F20"/>
          <w:sz w:val="20"/>
        </w:rPr>
        <w:t>Monitoring</w:t>
      </w:r>
      <w:r>
        <w:rPr>
          <w:rFonts w:ascii="Book Antiqua" w:hAnsi="Book Antiqua"/>
          <w:i/>
          <w:color w:val="231F20"/>
          <w:spacing w:val="9"/>
          <w:sz w:val="20"/>
        </w:rPr>
        <w:t> </w:t>
      </w:r>
      <w:r>
        <w:rPr>
          <w:rFonts w:ascii="Book Antiqua" w:hAnsi="Book Antiqua"/>
          <w:i/>
          <w:color w:val="231F20"/>
          <w:sz w:val="20"/>
        </w:rPr>
        <w:t>for</w:t>
      </w:r>
      <w:r>
        <w:rPr>
          <w:rFonts w:ascii="Book Antiqua" w:hAnsi="Book Antiqua"/>
          <w:i/>
          <w:color w:val="231F20"/>
          <w:spacing w:val="9"/>
          <w:sz w:val="20"/>
        </w:rPr>
        <w:t> </w:t>
      </w:r>
      <w:r>
        <w:rPr>
          <w:rFonts w:ascii="Book Antiqua" w:hAnsi="Book Antiqua"/>
          <w:i/>
          <w:color w:val="231F20"/>
          <w:sz w:val="20"/>
        </w:rPr>
        <w:t>AIX</w:t>
      </w:r>
      <w:r>
        <w:rPr>
          <w:rFonts w:ascii="Book Antiqua" w:hAnsi="Book Antiqua"/>
          <w:i/>
          <w:color w:val="231F20"/>
          <w:spacing w:val="10"/>
          <w:sz w:val="20"/>
        </w:rPr>
        <w:t> </w:t>
      </w:r>
      <w:r>
        <w:rPr>
          <w:rFonts w:ascii="Book Antiqua" w:hAnsi="Book Antiqua"/>
          <w:i/>
          <w:color w:val="231F20"/>
          <w:sz w:val="20"/>
        </w:rPr>
        <w:t>Operating</w:t>
      </w:r>
      <w:r>
        <w:rPr>
          <w:rFonts w:ascii="Book Antiqua" w:hAnsi="Book Antiqua"/>
          <w:i/>
          <w:color w:val="231F20"/>
          <w:spacing w:val="9"/>
          <w:sz w:val="20"/>
        </w:rPr>
        <w:t> </w:t>
      </w:r>
      <w:r>
        <w:rPr>
          <w:rFonts w:ascii="Book Antiqua" w:hAnsi="Book Antiqua"/>
          <w:i/>
          <w:color w:val="231F20"/>
          <w:sz w:val="20"/>
        </w:rPr>
        <w:t>Systems</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SC23-</w:t>
      </w:r>
      <w:r>
        <w:rPr>
          <w:color w:val="231F20"/>
          <w:spacing w:val="-4"/>
          <w:sz w:val="20"/>
        </w:rPr>
        <w:t>9761</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Agentless</w:t>
      </w:r>
      <w:r>
        <w:rPr>
          <w:rFonts w:ascii="Book Antiqua" w:hAnsi="Book Antiqua"/>
          <w:i/>
          <w:color w:val="231F20"/>
          <w:spacing w:val="8"/>
          <w:sz w:val="20"/>
        </w:rPr>
        <w:t> </w:t>
      </w:r>
      <w:r>
        <w:rPr>
          <w:rFonts w:ascii="Book Antiqua" w:hAnsi="Book Antiqua"/>
          <w:i/>
          <w:color w:val="231F20"/>
          <w:sz w:val="20"/>
        </w:rPr>
        <w:t>Monitoring</w:t>
      </w:r>
      <w:r>
        <w:rPr>
          <w:rFonts w:ascii="Book Antiqua" w:hAnsi="Book Antiqua"/>
          <w:i/>
          <w:color w:val="231F20"/>
          <w:spacing w:val="9"/>
          <w:sz w:val="20"/>
        </w:rPr>
        <w:t> </w:t>
      </w:r>
      <w:r>
        <w:rPr>
          <w:rFonts w:ascii="Book Antiqua" w:hAnsi="Book Antiqua"/>
          <w:i/>
          <w:color w:val="231F20"/>
          <w:sz w:val="20"/>
        </w:rPr>
        <w:t>for</w:t>
      </w:r>
      <w:r>
        <w:rPr>
          <w:rFonts w:ascii="Book Antiqua" w:hAnsi="Book Antiqua"/>
          <w:i/>
          <w:color w:val="231F20"/>
          <w:spacing w:val="9"/>
          <w:sz w:val="20"/>
        </w:rPr>
        <w:t> </w:t>
      </w:r>
      <w:r>
        <w:rPr>
          <w:rFonts w:ascii="Book Antiqua" w:hAnsi="Book Antiqua"/>
          <w:i/>
          <w:color w:val="231F20"/>
          <w:sz w:val="20"/>
        </w:rPr>
        <w:t>HP-UX</w:t>
      </w:r>
      <w:r>
        <w:rPr>
          <w:rFonts w:ascii="Book Antiqua" w:hAnsi="Book Antiqua"/>
          <w:i/>
          <w:color w:val="231F20"/>
          <w:spacing w:val="9"/>
          <w:sz w:val="20"/>
        </w:rPr>
        <w:t> </w:t>
      </w:r>
      <w:r>
        <w:rPr>
          <w:rFonts w:ascii="Book Antiqua" w:hAnsi="Book Antiqua"/>
          <w:i/>
          <w:color w:val="231F20"/>
          <w:sz w:val="20"/>
        </w:rPr>
        <w:t>Operating</w:t>
      </w:r>
      <w:r>
        <w:rPr>
          <w:rFonts w:ascii="Book Antiqua" w:hAnsi="Book Antiqua"/>
          <w:i/>
          <w:color w:val="231F20"/>
          <w:spacing w:val="9"/>
          <w:sz w:val="20"/>
        </w:rPr>
        <w:t> </w:t>
      </w:r>
      <w:r>
        <w:rPr>
          <w:rFonts w:ascii="Book Antiqua" w:hAnsi="Book Antiqua"/>
          <w:i/>
          <w:color w:val="231F20"/>
          <w:sz w:val="20"/>
        </w:rPr>
        <w:t>Systems</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9"/>
          <w:sz w:val="20"/>
        </w:rPr>
        <w:t> </w:t>
      </w:r>
      <w:r>
        <w:rPr>
          <w:color w:val="231F20"/>
          <w:sz w:val="20"/>
        </w:rPr>
        <w:t>SC23-</w:t>
      </w:r>
      <w:r>
        <w:rPr>
          <w:color w:val="231F20"/>
          <w:spacing w:val="-4"/>
          <w:sz w:val="20"/>
        </w:rPr>
        <w:t>9763</w:t>
      </w:r>
    </w:p>
    <w:p>
      <w:pPr>
        <w:pStyle w:val="ListParagraph"/>
        <w:numPr>
          <w:ilvl w:val="0"/>
          <w:numId w:val="192"/>
        </w:numPr>
        <w:tabs>
          <w:tab w:pos="2696" w:val="left" w:leader="none"/>
        </w:tabs>
        <w:spacing w:line="240" w:lineRule="auto" w:before="29" w:after="0"/>
        <w:ind w:left="2696" w:right="0" w:hanging="248"/>
        <w:jc w:val="left"/>
        <w:rPr>
          <w:sz w:val="20"/>
        </w:rPr>
      </w:pPr>
      <w:r>
        <w:rPr>
          <w:rFonts w:ascii="Book Antiqua" w:hAnsi="Book Antiqua"/>
          <w:i/>
          <w:color w:val="231F20"/>
          <w:sz w:val="20"/>
        </w:rPr>
        <w:t>Agentless</w:t>
      </w:r>
      <w:r>
        <w:rPr>
          <w:rFonts w:ascii="Book Antiqua" w:hAnsi="Book Antiqua"/>
          <w:i/>
          <w:color w:val="231F20"/>
          <w:spacing w:val="9"/>
          <w:sz w:val="20"/>
        </w:rPr>
        <w:t> </w:t>
      </w:r>
      <w:r>
        <w:rPr>
          <w:rFonts w:ascii="Book Antiqua" w:hAnsi="Book Antiqua"/>
          <w:i/>
          <w:color w:val="231F20"/>
          <w:sz w:val="20"/>
        </w:rPr>
        <w:t>Monitoring</w:t>
      </w:r>
      <w:r>
        <w:rPr>
          <w:rFonts w:ascii="Book Antiqua" w:hAnsi="Book Antiqua"/>
          <w:i/>
          <w:color w:val="231F20"/>
          <w:spacing w:val="9"/>
          <w:sz w:val="20"/>
        </w:rPr>
        <w:t> </w:t>
      </w:r>
      <w:r>
        <w:rPr>
          <w:rFonts w:ascii="Book Antiqua" w:hAnsi="Book Antiqua"/>
          <w:i/>
          <w:color w:val="231F20"/>
          <w:sz w:val="20"/>
        </w:rPr>
        <w:t>for</w:t>
      </w:r>
      <w:r>
        <w:rPr>
          <w:rFonts w:ascii="Book Antiqua" w:hAnsi="Book Antiqua"/>
          <w:i/>
          <w:color w:val="231F20"/>
          <w:spacing w:val="9"/>
          <w:sz w:val="20"/>
        </w:rPr>
        <w:t> </w:t>
      </w:r>
      <w:r>
        <w:rPr>
          <w:rFonts w:ascii="Book Antiqua" w:hAnsi="Book Antiqua"/>
          <w:i/>
          <w:color w:val="231F20"/>
          <w:sz w:val="20"/>
        </w:rPr>
        <w:t>Solaris</w:t>
      </w:r>
      <w:r>
        <w:rPr>
          <w:rFonts w:ascii="Book Antiqua" w:hAnsi="Book Antiqua"/>
          <w:i/>
          <w:color w:val="231F20"/>
          <w:spacing w:val="9"/>
          <w:sz w:val="20"/>
        </w:rPr>
        <w:t> </w:t>
      </w:r>
      <w:r>
        <w:rPr>
          <w:rFonts w:ascii="Book Antiqua" w:hAnsi="Book Antiqua"/>
          <w:i/>
          <w:color w:val="231F20"/>
          <w:sz w:val="20"/>
        </w:rPr>
        <w:t>Operating</w:t>
      </w:r>
      <w:r>
        <w:rPr>
          <w:rFonts w:ascii="Book Antiqua" w:hAnsi="Book Antiqua"/>
          <w:i/>
          <w:color w:val="231F20"/>
          <w:spacing w:val="9"/>
          <w:sz w:val="20"/>
        </w:rPr>
        <w:t> </w:t>
      </w:r>
      <w:r>
        <w:rPr>
          <w:rFonts w:ascii="Book Antiqua" w:hAnsi="Book Antiqua"/>
          <w:i/>
          <w:color w:val="231F20"/>
          <w:sz w:val="20"/>
        </w:rPr>
        <w:t>Systems</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9"/>
          <w:sz w:val="20"/>
        </w:rPr>
        <w:t> </w:t>
      </w:r>
      <w:r>
        <w:rPr>
          <w:color w:val="231F20"/>
          <w:sz w:val="20"/>
        </w:rPr>
        <w:t>SC23-</w:t>
      </w:r>
      <w:r>
        <w:rPr>
          <w:color w:val="231F20"/>
          <w:spacing w:val="-4"/>
          <w:sz w:val="20"/>
        </w:rPr>
        <w:t>9764</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Agentless</w:t>
      </w:r>
      <w:r>
        <w:rPr>
          <w:rFonts w:ascii="Book Antiqua" w:hAnsi="Book Antiqua"/>
          <w:i/>
          <w:color w:val="231F20"/>
          <w:spacing w:val="9"/>
          <w:sz w:val="20"/>
        </w:rPr>
        <w:t> </w:t>
      </w:r>
      <w:r>
        <w:rPr>
          <w:rFonts w:ascii="Book Antiqua" w:hAnsi="Book Antiqua"/>
          <w:i/>
          <w:color w:val="231F20"/>
          <w:sz w:val="20"/>
        </w:rPr>
        <w:t>Monitoring</w:t>
      </w:r>
      <w:r>
        <w:rPr>
          <w:rFonts w:ascii="Book Antiqua" w:hAnsi="Book Antiqua"/>
          <w:i/>
          <w:color w:val="231F20"/>
          <w:spacing w:val="9"/>
          <w:sz w:val="20"/>
        </w:rPr>
        <w:t> </w:t>
      </w:r>
      <w:r>
        <w:rPr>
          <w:rFonts w:ascii="Book Antiqua" w:hAnsi="Book Antiqua"/>
          <w:i/>
          <w:color w:val="231F20"/>
          <w:sz w:val="20"/>
        </w:rPr>
        <w:t>for</w:t>
      </w:r>
      <w:r>
        <w:rPr>
          <w:rFonts w:ascii="Book Antiqua" w:hAnsi="Book Antiqua"/>
          <w:i/>
          <w:color w:val="231F20"/>
          <w:spacing w:val="9"/>
          <w:sz w:val="20"/>
        </w:rPr>
        <w:t> </w:t>
      </w:r>
      <w:r>
        <w:rPr>
          <w:rFonts w:ascii="Book Antiqua" w:hAnsi="Book Antiqua"/>
          <w:i/>
          <w:color w:val="231F20"/>
          <w:sz w:val="20"/>
        </w:rPr>
        <w:t>Linux</w:t>
      </w:r>
      <w:r>
        <w:rPr>
          <w:rFonts w:ascii="Book Antiqua" w:hAnsi="Book Antiqua"/>
          <w:i/>
          <w:color w:val="231F20"/>
          <w:spacing w:val="9"/>
          <w:sz w:val="20"/>
        </w:rPr>
        <w:t> </w:t>
      </w:r>
      <w:r>
        <w:rPr>
          <w:rFonts w:ascii="Book Antiqua" w:hAnsi="Book Antiqua"/>
          <w:i/>
          <w:color w:val="231F20"/>
          <w:sz w:val="20"/>
        </w:rPr>
        <w:t>Operating</w:t>
      </w:r>
      <w:r>
        <w:rPr>
          <w:rFonts w:ascii="Book Antiqua" w:hAnsi="Book Antiqua"/>
          <w:i/>
          <w:color w:val="231F20"/>
          <w:spacing w:val="9"/>
          <w:sz w:val="20"/>
        </w:rPr>
        <w:t> </w:t>
      </w:r>
      <w:r>
        <w:rPr>
          <w:rFonts w:ascii="Book Antiqua" w:hAnsi="Book Antiqua"/>
          <w:i/>
          <w:color w:val="231F20"/>
          <w:sz w:val="20"/>
        </w:rPr>
        <w:t>Systems</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9"/>
          <w:sz w:val="20"/>
        </w:rPr>
        <w:t> </w:t>
      </w:r>
      <w:r>
        <w:rPr>
          <w:color w:val="231F20"/>
          <w:sz w:val="20"/>
        </w:rPr>
        <w:t>SC23-</w:t>
      </w:r>
      <w:r>
        <w:rPr>
          <w:color w:val="231F20"/>
          <w:spacing w:val="-4"/>
          <w:sz w:val="20"/>
        </w:rPr>
        <w:t>9762</w:t>
      </w:r>
    </w:p>
    <w:p>
      <w:pPr>
        <w:pStyle w:val="BodyText"/>
        <w:spacing w:before="29"/>
        <w:ind w:left="2232"/>
      </w:pPr>
      <w:r>
        <w:rPr>
          <w:rFonts w:ascii="Futura MdCn BT"/>
          <w:color w:val="231F20"/>
        </w:rPr>
        <w:t>v</w:t>
      </w:r>
      <w:r>
        <w:rPr>
          <w:rFonts w:ascii="Futura MdCn BT"/>
          <w:color w:val="231F20"/>
          <w:spacing w:val="67"/>
          <w:w w:val="150"/>
        </w:rPr>
        <w:t> </w:t>
      </w:r>
      <w:r>
        <w:rPr>
          <w:color w:val="231F20"/>
        </w:rPr>
        <w:t>Warehouse</w:t>
      </w:r>
      <w:r>
        <w:rPr>
          <w:color w:val="231F20"/>
          <w:spacing w:val="6"/>
        </w:rPr>
        <w:t> </w:t>
      </w:r>
      <w:r>
        <w:rPr>
          <w:color w:val="231F20"/>
          <w:spacing w:val="-2"/>
        </w:rPr>
        <w:t>agents:</w:t>
      </w:r>
    </w:p>
    <w:p>
      <w:pPr>
        <w:pStyle w:val="ListParagraph"/>
        <w:numPr>
          <w:ilvl w:val="0"/>
          <w:numId w:val="192"/>
        </w:numPr>
        <w:tabs>
          <w:tab w:pos="2696" w:val="left" w:leader="none"/>
        </w:tabs>
        <w:spacing w:line="240" w:lineRule="auto" w:before="30" w:after="0"/>
        <w:ind w:left="2696" w:right="0" w:hanging="248"/>
        <w:jc w:val="left"/>
        <w:rPr>
          <w:sz w:val="20"/>
        </w:rPr>
      </w:pPr>
      <w:r>
        <w:rPr>
          <w:rFonts w:ascii="Book Antiqua" w:hAnsi="Book Antiqua"/>
          <w:i/>
          <w:color w:val="231F20"/>
          <w:sz w:val="20"/>
        </w:rPr>
        <w:t>Warehouse</w:t>
      </w:r>
      <w:r>
        <w:rPr>
          <w:rFonts w:ascii="Book Antiqua" w:hAnsi="Book Antiqua"/>
          <w:i/>
          <w:color w:val="231F20"/>
          <w:spacing w:val="7"/>
          <w:sz w:val="20"/>
        </w:rPr>
        <w:t> </w:t>
      </w:r>
      <w:r>
        <w:rPr>
          <w:rFonts w:ascii="Book Antiqua" w:hAnsi="Book Antiqua"/>
          <w:i/>
          <w:color w:val="231F20"/>
          <w:sz w:val="20"/>
        </w:rPr>
        <w:t>Summarization</w:t>
      </w:r>
      <w:r>
        <w:rPr>
          <w:rFonts w:ascii="Book Antiqua" w:hAnsi="Book Antiqua"/>
          <w:i/>
          <w:color w:val="231F20"/>
          <w:spacing w:val="7"/>
          <w:sz w:val="20"/>
        </w:rPr>
        <w:t> </w:t>
      </w:r>
      <w:r>
        <w:rPr>
          <w:rFonts w:ascii="Book Antiqua" w:hAnsi="Book Antiqua"/>
          <w:i/>
          <w:color w:val="231F20"/>
          <w:sz w:val="20"/>
        </w:rPr>
        <w:t>and</w:t>
      </w:r>
      <w:r>
        <w:rPr>
          <w:rFonts w:ascii="Book Antiqua" w:hAnsi="Book Antiqua"/>
          <w:i/>
          <w:color w:val="231F20"/>
          <w:spacing w:val="8"/>
          <w:sz w:val="20"/>
        </w:rPr>
        <w:t> </w:t>
      </w:r>
      <w:r>
        <w:rPr>
          <w:rFonts w:ascii="Book Antiqua" w:hAnsi="Book Antiqua"/>
          <w:i/>
          <w:color w:val="231F20"/>
          <w:sz w:val="20"/>
        </w:rPr>
        <w:t>Pruning</w:t>
      </w:r>
      <w:r>
        <w:rPr>
          <w:rFonts w:ascii="Book Antiqua" w:hAnsi="Book Antiqua"/>
          <w:i/>
          <w:color w:val="231F20"/>
          <w:spacing w:val="7"/>
          <w:sz w:val="20"/>
        </w:rPr>
        <w:t> </w:t>
      </w:r>
      <w:r>
        <w:rPr>
          <w:rFonts w:ascii="Book Antiqua" w:hAnsi="Book Antiqua"/>
          <w:i/>
          <w:color w:val="231F20"/>
          <w:sz w:val="20"/>
        </w:rPr>
        <w:t>Agent</w:t>
      </w:r>
      <w:r>
        <w:rPr>
          <w:rFonts w:ascii="Book Antiqua" w:hAnsi="Book Antiqua"/>
          <w:i/>
          <w:color w:val="231F20"/>
          <w:spacing w:val="8"/>
          <w:sz w:val="20"/>
        </w:rPr>
        <w:t> </w:t>
      </w:r>
      <w:r>
        <w:rPr>
          <w:rFonts w:ascii="Book Antiqua" w:hAnsi="Book Antiqua"/>
          <w:i/>
          <w:color w:val="231F20"/>
          <w:sz w:val="20"/>
        </w:rPr>
        <w:t>User's</w:t>
      </w:r>
      <w:r>
        <w:rPr>
          <w:rFonts w:ascii="Book Antiqua" w:hAnsi="Book Antiqua"/>
          <w:i/>
          <w:color w:val="231F20"/>
          <w:spacing w:val="7"/>
          <w:sz w:val="20"/>
        </w:rPr>
        <w:t> </w:t>
      </w:r>
      <w:r>
        <w:rPr>
          <w:rFonts w:ascii="Book Antiqua" w:hAnsi="Book Antiqua"/>
          <w:i/>
          <w:color w:val="231F20"/>
          <w:sz w:val="20"/>
        </w:rPr>
        <w:t>Guide</w:t>
      </w:r>
      <w:r>
        <w:rPr>
          <w:color w:val="231F20"/>
          <w:sz w:val="20"/>
        </w:rPr>
        <w:t>,</w:t>
      </w:r>
      <w:r>
        <w:rPr>
          <w:color w:val="231F20"/>
          <w:spacing w:val="7"/>
          <w:sz w:val="20"/>
        </w:rPr>
        <w:t> </w:t>
      </w:r>
      <w:r>
        <w:rPr>
          <w:color w:val="231F20"/>
          <w:sz w:val="20"/>
        </w:rPr>
        <w:t>SC22-</w:t>
      </w:r>
      <w:r>
        <w:rPr>
          <w:color w:val="231F20"/>
          <w:spacing w:val="-4"/>
          <w:sz w:val="20"/>
        </w:rPr>
        <w:t>5457</w:t>
      </w:r>
    </w:p>
    <w:p>
      <w:pPr>
        <w:spacing w:after="0" w:line="240" w:lineRule="auto"/>
        <w:jc w:val="left"/>
        <w:rPr>
          <w:sz w:val="20"/>
        </w:rPr>
        <w:sectPr>
          <w:pgSz w:w="12240" w:h="15840"/>
          <w:pgMar w:header="0" w:footer="736" w:top="1180" w:bottom="920" w:left="1000" w:right="1060"/>
        </w:sectPr>
      </w:pPr>
    </w:p>
    <w:p>
      <w:pPr>
        <w:pStyle w:val="ListParagraph"/>
        <w:numPr>
          <w:ilvl w:val="0"/>
          <w:numId w:val="192"/>
        </w:numPr>
        <w:tabs>
          <w:tab w:pos="2936" w:val="left" w:leader="none"/>
        </w:tabs>
        <w:spacing w:line="240" w:lineRule="auto" w:before="62" w:after="0"/>
        <w:ind w:left="2936" w:right="0" w:hanging="248"/>
        <w:jc w:val="left"/>
        <w:rPr>
          <w:sz w:val="20"/>
        </w:rPr>
      </w:pPr>
      <w:bookmarkStart w:name="_bookmark353" w:id="739"/>
      <w:bookmarkEnd w:id="739"/>
      <w:r>
        <w:rPr/>
      </w:r>
      <w:r>
        <w:rPr>
          <w:rFonts w:ascii="Book Antiqua" w:hAnsi="Book Antiqua"/>
          <w:i/>
          <w:color w:val="231F20"/>
          <w:sz w:val="20"/>
        </w:rPr>
        <w:t>Warehouse</w:t>
      </w:r>
      <w:r>
        <w:rPr>
          <w:rFonts w:ascii="Book Antiqua" w:hAnsi="Book Antiqua"/>
          <w:i/>
          <w:color w:val="231F20"/>
          <w:spacing w:val="6"/>
          <w:sz w:val="20"/>
        </w:rPr>
        <w:t> </w:t>
      </w:r>
      <w:r>
        <w:rPr>
          <w:rFonts w:ascii="Book Antiqua" w:hAnsi="Book Antiqua"/>
          <w:i/>
          <w:color w:val="231F20"/>
          <w:sz w:val="20"/>
        </w:rPr>
        <w:t>Proxy</w:t>
      </w:r>
      <w:r>
        <w:rPr>
          <w:rFonts w:ascii="Book Antiqua" w:hAnsi="Book Antiqua"/>
          <w:i/>
          <w:color w:val="231F20"/>
          <w:spacing w:val="7"/>
          <w:sz w:val="20"/>
        </w:rPr>
        <w:t> </w:t>
      </w:r>
      <w:r>
        <w:rPr>
          <w:rFonts w:ascii="Book Antiqua" w:hAnsi="Book Antiqua"/>
          <w:i/>
          <w:color w:val="231F20"/>
          <w:sz w:val="20"/>
        </w:rPr>
        <w:t>Agent</w:t>
      </w:r>
      <w:r>
        <w:rPr>
          <w:rFonts w:ascii="Book Antiqua" w:hAnsi="Book Antiqua"/>
          <w:i/>
          <w:color w:val="231F20"/>
          <w:spacing w:val="7"/>
          <w:sz w:val="20"/>
        </w:rPr>
        <w:t> </w:t>
      </w:r>
      <w:r>
        <w:rPr>
          <w:rFonts w:ascii="Book Antiqua" w:hAnsi="Book Antiqua"/>
          <w:i/>
          <w:color w:val="231F20"/>
          <w:sz w:val="20"/>
        </w:rPr>
        <w:t>User's</w:t>
      </w:r>
      <w:r>
        <w:rPr>
          <w:rFonts w:ascii="Book Antiqua" w:hAnsi="Book Antiqua"/>
          <w:i/>
          <w:color w:val="231F20"/>
          <w:spacing w:val="6"/>
          <w:sz w:val="20"/>
        </w:rPr>
        <w:t> </w:t>
      </w:r>
      <w:r>
        <w:rPr>
          <w:rFonts w:ascii="Book Antiqua" w:hAnsi="Book Antiqua"/>
          <w:i/>
          <w:color w:val="231F20"/>
          <w:sz w:val="20"/>
        </w:rPr>
        <w:t>Guide</w:t>
      </w:r>
      <w:r>
        <w:rPr>
          <w:color w:val="231F20"/>
          <w:sz w:val="20"/>
        </w:rPr>
        <w:t>,</w:t>
      </w:r>
      <w:r>
        <w:rPr>
          <w:color w:val="231F20"/>
          <w:spacing w:val="7"/>
          <w:sz w:val="20"/>
        </w:rPr>
        <w:t> </w:t>
      </w:r>
      <w:r>
        <w:rPr>
          <w:color w:val="231F20"/>
          <w:sz w:val="20"/>
        </w:rPr>
        <w:t>SC22-</w:t>
      </w:r>
      <w:r>
        <w:rPr>
          <w:color w:val="231F20"/>
          <w:spacing w:val="-4"/>
          <w:sz w:val="20"/>
        </w:rPr>
        <w:t>5456</w:t>
      </w:r>
    </w:p>
    <w:p>
      <w:pPr>
        <w:pStyle w:val="BodyText"/>
        <w:spacing w:before="29"/>
        <w:ind w:left="2472"/>
      </w:pPr>
      <w:r>
        <w:rPr>
          <w:rFonts w:ascii="Futura MdCn BT"/>
          <w:color w:val="231F20"/>
        </w:rPr>
        <w:t>v</w:t>
      </w:r>
      <w:r>
        <w:rPr>
          <w:rFonts w:ascii="Futura MdCn BT"/>
          <w:color w:val="231F20"/>
          <w:spacing w:val="33"/>
        </w:rPr>
        <w:t>  </w:t>
      </w:r>
      <w:r>
        <w:rPr>
          <w:color w:val="231F20"/>
        </w:rPr>
        <w:t>System</w:t>
      </w:r>
      <w:r>
        <w:rPr>
          <w:color w:val="231F20"/>
          <w:spacing w:val="15"/>
        </w:rPr>
        <w:t> </w:t>
      </w:r>
      <w:r>
        <w:rPr>
          <w:color w:val="231F20"/>
        </w:rPr>
        <w:t>P</w:t>
      </w:r>
      <w:r>
        <w:rPr>
          <w:color w:val="231F20"/>
          <w:spacing w:val="10"/>
        </w:rPr>
        <w:t> </w:t>
      </w:r>
      <w:r>
        <w:rPr>
          <w:color w:val="231F20"/>
          <w:spacing w:val="-2"/>
        </w:rPr>
        <w:t>agents:</w:t>
      </w:r>
    </w:p>
    <w:p>
      <w:pPr>
        <w:pStyle w:val="ListParagraph"/>
        <w:numPr>
          <w:ilvl w:val="0"/>
          <w:numId w:val="193"/>
        </w:numPr>
        <w:tabs>
          <w:tab w:pos="2936" w:val="left" w:leader="none"/>
        </w:tabs>
        <w:spacing w:line="240" w:lineRule="auto" w:before="30" w:after="0"/>
        <w:ind w:left="2936" w:right="0" w:hanging="248"/>
        <w:jc w:val="left"/>
        <w:rPr>
          <w:sz w:val="20"/>
        </w:rPr>
      </w:pPr>
      <w:r>
        <w:rPr>
          <w:rFonts w:ascii="Book Antiqua" w:hAnsi="Book Antiqua"/>
          <w:i/>
          <w:color w:val="231F20"/>
          <w:sz w:val="20"/>
        </w:rPr>
        <w:t>AIX</w:t>
      </w:r>
      <w:r>
        <w:rPr>
          <w:rFonts w:ascii="Book Antiqua" w:hAnsi="Book Antiqua"/>
          <w:i/>
          <w:color w:val="231F20"/>
          <w:spacing w:val="8"/>
          <w:sz w:val="20"/>
        </w:rPr>
        <w:t> </w:t>
      </w:r>
      <w:r>
        <w:rPr>
          <w:rFonts w:ascii="Book Antiqua" w:hAnsi="Book Antiqua"/>
          <w:i/>
          <w:color w:val="231F20"/>
          <w:sz w:val="20"/>
        </w:rPr>
        <w:t>Premium</w:t>
      </w:r>
      <w:r>
        <w:rPr>
          <w:rFonts w:ascii="Book Antiqua" w:hAnsi="Book Antiqua"/>
          <w:i/>
          <w:color w:val="231F20"/>
          <w:spacing w:val="9"/>
          <w:sz w:val="20"/>
        </w:rPr>
        <w:t> </w:t>
      </w:r>
      <w:r>
        <w:rPr>
          <w:rFonts w:ascii="Book Antiqua" w:hAnsi="Book Antiqua"/>
          <w:i/>
          <w:color w:val="231F20"/>
          <w:sz w:val="20"/>
        </w:rPr>
        <w:t>Agent</w:t>
      </w:r>
      <w:r>
        <w:rPr>
          <w:rFonts w:ascii="Book Antiqua" w:hAnsi="Book Antiqua"/>
          <w:i/>
          <w:color w:val="231F20"/>
          <w:spacing w:val="9"/>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8"/>
          <w:sz w:val="20"/>
        </w:rPr>
        <w:t> </w:t>
      </w:r>
      <w:r>
        <w:rPr>
          <w:color w:val="231F20"/>
          <w:sz w:val="20"/>
        </w:rPr>
        <w:t>SA23-</w:t>
      </w:r>
      <w:r>
        <w:rPr>
          <w:color w:val="231F20"/>
          <w:spacing w:val="-4"/>
          <w:sz w:val="20"/>
        </w:rPr>
        <w:t>2237</w:t>
      </w:r>
    </w:p>
    <w:p>
      <w:pPr>
        <w:pStyle w:val="ListParagraph"/>
        <w:numPr>
          <w:ilvl w:val="0"/>
          <w:numId w:val="193"/>
        </w:numPr>
        <w:tabs>
          <w:tab w:pos="2936" w:val="left" w:leader="none"/>
        </w:tabs>
        <w:spacing w:line="240" w:lineRule="auto" w:before="29" w:after="0"/>
        <w:ind w:left="2936" w:right="0" w:hanging="248"/>
        <w:jc w:val="left"/>
        <w:rPr>
          <w:sz w:val="20"/>
        </w:rPr>
      </w:pPr>
      <w:r>
        <w:rPr>
          <w:rFonts w:ascii="Book Antiqua" w:hAnsi="Book Antiqua"/>
          <w:i/>
          <w:color w:val="231F20"/>
          <w:sz w:val="20"/>
        </w:rPr>
        <w:t>CEC</w:t>
      </w:r>
      <w:r>
        <w:rPr>
          <w:rFonts w:ascii="Book Antiqua" w:hAnsi="Book Antiqua"/>
          <w:i/>
          <w:color w:val="231F20"/>
          <w:spacing w:val="10"/>
          <w:sz w:val="20"/>
        </w:rPr>
        <w:t> </w:t>
      </w:r>
      <w:r>
        <w:rPr>
          <w:rFonts w:ascii="Book Antiqua" w:hAnsi="Book Antiqua"/>
          <w:i/>
          <w:color w:val="231F20"/>
          <w:sz w:val="20"/>
        </w:rPr>
        <w:t>Base</w:t>
      </w:r>
      <w:r>
        <w:rPr>
          <w:rFonts w:ascii="Book Antiqua" w:hAnsi="Book Antiqua"/>
          <w:i/>
          <w:color w:val="231F20"/>
          <w:spacing w:val="10"/>
          <w:sz w:val="20"/>
        </w:rPr>
        <w:t> </w:t>
      </w:r>
      <w:r>
        <w:rPr>
          <w:rFonts w:ascii="Book Antiqua" w:hAnsi="Book Antiqua"/>
          <w:i/>
          <w:color w:val="231F20"/>
          <w:sz w:val="20"/>
        </w:rPr>
        <w:t>Agent</w:t>
      </w:r>
      <w:r>
        <w:rPr>
          <w:rFonts w:ascii="Book Antiqua" w:hAnsi="Book Antiqua"/>
          <w:i/>
          <w:color w:val="231F20"/>
          <w:spacing w:val="10"/>
          <w:sz w:val="20"/>
        </w:rPr>
        <w:t> </w:t>
      </w:r>
      <w:r>
        <w:rPr>
          <w:rFonts w:ascii="Book Antiqua" w:hAnsi="Book Antiqua"/>
          <w:i/>
          <w:color w:val="231F20"/>
          <w:sz w:val="20"/>
        </w:rPr>
        <w:t>User's</w:t>
      </w:r>
      <w:r>
        <w:rPr>
          <w:rFonts w:ascii="Book Antiqua" w:hAnsi="Book Antiqua"/>
          <w:i/>
          <w:color w:val="231F20"/>
          <w:spacing w:val="11"/>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SC23-</w:t>
      </w:r>
      <w:r>
        <w:rPr>
          <w:color w:val="231F20"/>
          <w:spacing w:val="-4"/>
          <w:sz w:val="20"/>
        </w:rPr>
        <w:t>5239</w:t>
      </w:r>
    </w:p>
    <w:p>
      <w:pPr>
        <w:pStyle w:val="ListParagraph"/>
        <w:numPr>
          <w:ilvl w:val="0"/>
          <w:numId w:val="193"/>
        </w:numPr>
        <w:tabs>
          <w:tab w:pos="2936" w:val="left" w:leader="none"/>
        </w:tabs>
        <w:spacing w:line="240" w:lineRule="auto" w:before="30" w:after="0"/>
        <w:ind w:left="2936" w:right="0" w:hanging="248"/>
        <w:jc w:val="left"/>
        <w:rPr>
          <w:sz w:val="20"/>
        </w:rPr>
      </w:pPr>
      <w:r>
        <w:rPr>
          <w:rFonts w:ascii="Book Antiqua" w:hAnsi="Book Antiqua"/>
          <w:i/>
          <w:color w:val="231F20"/>
          <w:sz w:val="20"/>
        </w:rPr>
        <w:t>HMC</w:t>
      </w:r>
      <w:r>
        <w:rPr>
          <w:rFonts w:ascii="Book Antiqua" w:hAnsi="Book Antiqua"/>
          <w:i/>
          <w:color w:val="231F20"/>
          <w:spacing w:val="10"/>
          <w:sz w:val="20"/>
        </w:rPr>
        <w:t> </w:t>
      </w:r>
      <w:r>
        <w:rPr>
          <w:rFonts w:ascii="Book Antiqua" w:hAnsi="Book Antiqua"/>
          <w:i/>
          <w:color w:val="231F20"/>
          <w:sz w:val="20"/>
        </w:rPr>
        <w:t>Base</w:t>
      </w:r>
      <w:r>
        <w:rPr>
          <w:rFonts w:ascii="Book Antiqua" w:hAnsi="Book Antiqua"/>
          <w:i/>
          <w:color w:val="231F20"/>
          <w:spacing w:val="10"/>
          <w:sz w:val="20"/>
        </w:rPr>
        <w:t> </w:t>
      </w:r>
      <w:r>
        <w:rPr>
          <w:rFonts w:ascii="Book Antiqua" w:hAnsi="Book Antiqua"/>
          <w:i/>
          <w:color w:val="231F20"/>
          <w:sz w:val="20"/>
        </w:rPr>
        <w:t>Agent</w:t>
      </w:r>
      <w:r>
        <w:rPr>
          <w:rFonts w:ascii="Book Antiqua" w:hAnsi="Book Antiqua"/>
          <w:i/>
          <w:color w:val="231F20"/>
          <w:spacing w:val="10"/>
          <w:sz w:val="20"/>
        </w:rPr>
        <w:t> </w:t>
      </w:r>
      <w:r>
        <w:rPr>
          <w:rFonts w:ascii="Book Antiqua" w:hAnsi="Book Antiqua"/>
          <w:i/>
          <w:color w:val="231F20"/>
          <w:sz w:val="20"/>
        </w:rPr>
        <w:t>User's</w:t>
      </w:r>
      <w:r>
        <w:rPr>
          <w:rFonts w:ascii="Book Antiqua" w:hAnsi="Book Antiqua"/>
          <w:i/>
          <w:color w:val="231F20"/>
          <w:spacing w:val="10"/>
          <w:sz w:val="20"/>
        </w:rPr>
        <w:t> </w:t>
      </w:r>
      <w:r>
        <w:rPr>
          <w:rFonts w:ascii="Book Antiqua" w:hAnsi="Book Antiqua"/>
          <w:i/>
          <w:color w:val="231F20"/>
          <w:sz w:val="20"/>
        </w:rPr>
        <w:t>Guide</w:t>
      </w:r>
      <w:r>
        <w:rPr>
          <w:color w:val="231F20"/>
          <w:sz w:val="20"/>
        </w:rPr>
        <w:t>,</w:t>
      </w:r>
      <w:r>
        <w:rPr>
          <w:color w:val="231F20"/>
          <w:spacing w:val="10"/>
          <w:sz w:val="20"/>
        </w:rPr>
        <w:t> </w:t>
      </w:r>
      <w:r>
        <w:rPr>
          <w:color w:val="231F20"/>
          <w:sz w:val="20"/>
        </w:rPr>
        <w:t>SA23-</w:t>
      </w:r>
      <w:r>
        <w:rPr>
          <w:color w:val="231F20"/>
          <w:spacing w:val="-4"/>
          <w:sz w:val="20"/>
        </w:rPr>
        <w:t>2239</w:t>
      </w:r>
    </w:p>
    <w:p>
      <w:pPr>
        <w:pStyle w:val="ListParagraph"/>
        <w:numPr>
          <w:ilvl w:val="0"/>
          <w:numId w:val="193"/>
        </w:numPr>
        <w:tabs>
          <w:tab w:pos="2936" w:val="left" w:leader="none"/>
        </w:tabs>
        <w:spacing w:line="240" w:lineRule="auto" w:before="29" w:after="0"/>
        <w:ind w:left="2936" w:right="0" w:hanging="248"/>
        <w:jc w:val="left"/>
        <w:rPr>
          <w:sz w:val="20"/>
        </w:rPr>
      </w:pPr>
      <w:r>
        <w:rPr>
          <w:rFonts w:ascii="Book Antiqua" w:hAnsi="Book Antiqua"/>
          <w:i/>
          <w:color w:val="231F20"/>
          <w:sz w:val="20"/>
        </w:rPr>
        <w:t>VIOS</w:t>
      </w:r>
      <w:r>
        <w:rPr>
          <w:rFonts w:ascii="Book Antiqua" w:hAnsi="Book Antiqua"/>
          <w:i/>
          <w:color w:val="231F20"/>
          <w:spacing w:val="8"/>
          <w:sz w:val="20"/>
        </w:rPr>
        <w:t> </w:t>
      </w:r>
      <w:r>
        <w:rPr>
          <w:rFonts w:ascii="Book Antiqua" w:hAnsi="Book Antiqua"/>
          <w:i/>
          <w:color w:val="231F20"/>
          <w:sz w:val="20"/>
        </w:rPr>
        <w:t>Premium</w:t>
      </w:r>
      <w:r>
        <w:rPr>
          <w:rFonts w:ascii="Book Antiqua" w:hAnsi="Book Antiqua"/>
          <w:i/>
          <w:color w:val="231F20"/>
          <w:spacing w:val="9"/>
          <w:sz w:val="20"/>
        </w:rPr>
        <w:t> </w:t>
      </w:r>
      <w:r>
        <w:rPr>
          <w:rFonts w:ascii="Book Antiqua" w:hAnsi="Book Antiqua"/>
          <w:i/>
          <w:color w:val="231F20"/>
          <w:sz w:val="20"/>
        </w:rPr>
        <w:t>Agent</w:t>
      </w:r>
      <w:r>
        <w:rPr>
          <w:rFonts w:ascii="Book Antiqua" w:hAnsi="Book Antiqua"/>
          <w:i/>
          <w:color w:val="231F20"/>
          <w:spacing w:val="8"/>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8"/>
          <w:sz w:val="20"/>
        </w:rPr>
        <w:t> </w:t>
      </w:r>
      <w:r>
        <w:rPr>
          <w:color w:val="231F20"/>
          <w:sz w:val="20"/>
        </w:rPr>
        <w:t>SA23-</w:t>
      </w:r>
      <w:r>
        <w:rPr>
          <w:color w:val="231F20"/>
          <w:spacing w:val="-4"/>
          <w:sz w:val="20"/>
        </w:rPr>
        <w:t>2238</w:t>
      </w:r>
    </w:p>
    <w:p>
      <w:pPr>
        <w:pStyle w:val="BodyText"/>
        <w:spacing w:before="30"/>
        <w:ind w:left="2472"/>
      </w:pPr>
      <w:r>
        <w:rPr>
          <w:rFonts w:ascii="Futura MdCn BT"/>
          <w:color w:val="231F20"/>
        </w:rPr>
        <w:t>v</w:t>
      </w:r>
      <w:r>
        <w:rPr>
          <w:rFonts w:ascii="Futura MdCn BT"/>
          <w:color w:val="231F20"/>
          <w:spacing w:val="33"/>
        </w:rPr>
        <w:t>  </w:t>
      </w:r>
      <w:r>
        <w:rPr>
          <w:color w:val="231F20"/>
        </w:rPr>
        <w:t>Other</w:t>
      </w:r>
      <w:r>
        <w:rPr>
          <w:color w:val="231F20"/>
          <w:spacing w:val="14"/>
        </w:rPr>
        <w:t> </w:t>
      </w:r>
      <w:r>
        <w:rPr>
          <w:color w:val="231F20"/>
        </w:rPr>
        <w:t>base</w:t>
      </w:r>
      <w:r>
        <w:rPr>
          <w:color w:val="231F20"/>
          <w:spacing w:val="14"/>
        </w:rPr>
        <w:t> </w:t>
      </w:r>
      <w:r>
        <w:rPr>
          <w:color w:val="231F20"/>
          <w:spacing w:val="-2"/>
        </w:rPr>
        <w:t>agents:</w:t>
      </w:r>
    </w:p>
    <w:p>
      <w:pPr>
        <w:pStyle w:val="ListParagraph"/>
        <w:numPr>
          <w:ilvl w:val="0"/>
          <w:numId w:val="193"/>
        </w:numPr>
        <w:tabs>
          <w:tab w:pos="2936" w:val="left" w:leader="none"/>
        </w:tabs>
        <w:spacing w:line="240" w:lineRule="auto" w:before="29" w:after="0"/>
        <w:ind w:left="2936" w:right="0" w:hanging="248"/>
        <w:jc w:val="left"/>
        <w:rPr>
          <w:sz w:val="20"/>
        </w:rPr>
      </w:pPr>
      <w:r>
        <w:rPr>
          <w:rFonts w:ascii="Book Antiqua" w:hAnsi="Book Antiqua"/>
          <w:i/>
          <w:color w:val="231F20"/>
          <w:sz w:val="20"/>
        </w:rPr>
        <w:t>Tivoli</w:t>
      </w:r>
      <w:r>
        <w:rPr>
          <w:rFonts w:ascii="Book Antiqua" w:hAnsi="Book Antiqua"/>
          <w:i/>
          <w:color w:val="231F20"/>
          <w:spacing w:val="8"/>
          <w:sz w:val="20"/>
        </w:rPr>
        <w:t> </w:t>
      </w:r>
      <w:r>
        <w:rPr>
          <w:rFonts w:ascii="Book Antiqua" w:hAnsi="Book Antiqua"/>
          <w:i/>
          <w:color w:val="231F20"/>
          <w:sz w:val="20"/>
        </w:rPr>
        <w:t>Log</w:t>
      </w:r>
      <w:r>
        <w:rPr>
          <w:rFonts w:ascii="Book Antiqua" w:hAnsi="Book Antiqua"/>
          <w:i/>
          <w:color w:val="231F20"/>
          <w:spacing w:val="8"/>
          <w:sz w:val="20"/>
        </w:rPr>
        <w:t> </w:t>
      </w:r>
      <w:r>
        <w:rPr>
          <w:rFonts w:ascii="Book Antiqua" w:hAnsi="Book Antiqua"/>
          <w:i/>
          <w:color w:val="231F20"/>
          <w:sz w:val="20"/>
        </w:rPr>
        <w:t>File</w:t>
      </w:r>
      <w:r>
        <w:rPr>
          <w:rFonts w:ascii="Book Antiqua" w:hAnsi="Book Antiqua"/>
          <w:i/>
          <w:color w:val="231F20"/>
          <w:spacing w:val="8"/>
          <w:sz w:val="20"/>
        </w:rPr>
        <w:t> </w:t>
      </w:r>
      <w:r>
        <w:rPr>
          <w:rFonts w:ascii="Book Antiqua" w:hAnsi="Book Antiqua"/>
          <w:i/>
          <w:color w:val="231F20"/>
          <w:sz w:val="20"/>
        </w:rPr>
        <w:t>Agent</w:t>
      </w:r>
      <w:r>
        <w:rPr>
          <w:rFonts w:ascii="Book Antiqua" w:hAnsi="Book Antiqua"/>
          <w:i/>
          <w:color w:val="231F20"/>
          <w:spacing w:val="8"/>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8"/>
          <w:sz w:val="20"/>
        </w:rPr>
        <w:t> </w:t>
      </w:r>
      <w:r>
        <w:rPr>
          <w:color w:val="231F20"/>
          <w:sz w:val="20"/>
        </w:rPr>
        <w:t>SC14-</w:t>
      </w:r>
      <w:r>
        <w:rPr>
          <w:color w:val="231F20"/>
          <w:spacing w:val="-4"/>
          <w:sz w:val="20"/>
        </w:rPr>
        <w:t>7484</w:t>
      </w:r>
    </w:p>
    <w:p>
      <w:pPr>
        <w:pStyle w:val="ListParagraph"/>
        <w:numPr>
          <w:ilvl w:val="0"/>
          <w:numId w:val="193"/>
        </w:numPr>
        <w:tabs>
          <w:tab w:pos="2936" w:val="left" w:leader="none"/>
        </w:tabs>
        <w:spacing w:line="240" w:lineRule="auto" w:before="30" w:after="0"/>
        <w:ind w:left="2936" w:right="0" w:hanging="248"/>
        <w:jc w:val="left"/>
        <w:rPr>
          <w:sz w:val="20"/>
        </w:rPr>
      </w:pPr>
      <w:r>
        <w:rPr>
          <w:rFonts w:ascii="Book Antiqua" w:hAnsi="Book Antiqua"/>
          <w:i/>
          <w:color w:val="231F20"/>
          <w:sz w:val="20"/>
        </w:rPr>
        <w:t>Systems</w:t>
      </w:r>
      <w:r>
        <w:rPr>
          <w:rFonts w:ascii="Book Antiqua" w:hAnsi="Book Antiqua"/>
          <w:i/>
          <w:color w:val="231F20"/>
          <w:spacing w:val="8"/>
          <w:sz w:val="20"/>
        </w:rPr>
        <w:t> </w:t>
      </w:r>
      <w:r>
        <w:rPr>
          <w:rFonts w:ascii="Book Antiqua" w:hAnsi="Book Antiqua"/>
          <w:i/>
          <w:color w:val="231F20"/>
          <w:sz w:val="20"/>
        </w:rPr>
        <w:t>Director</w:t>
      </w:r>
      <w:r>
        <w:rPr>
          <w:rFonts w:ascii="Book Antiqua" w:hAnsi="Book Antiqua"/>
          <w:i/>
          <w:color w:val="231F20"/>
          <w:spacing w:val="8"/>
          <w:sz w:val="20"/>
        </w:rPr>
        <w:t> </w:t>
      </w:r>
      <w:r>
        <w:rPr>
          <w:rFonts w:ascii="Book Antiqua" w:hAnsi="Book Antiqua"/>
          <w:i/>
          <w:color w:val="231F20"/>
          <w:sz w:val="20"/>
        </w:rPr>
        <w:t>base</w:t>
      </w:r>
      <w:r>
        <w:rPr>
          <w:rFonts w:ascii="Book Antiqua" w:hAnsi="Book Antiqua"/>
          <w:i/>
          <w:color w:val="231F20"/>
          <w:spacing w:val="9"/>
          <w:sz w:val="20"/>
        </w:rPr>
        <w:t> </w:t>
      </w:r>
      <w:r>
        <w:rPr>
          <w:rFonts w:ascii="Book Antiqua" w:hAnsi="Book Antiqua"/>
          <w:i/>
          <w:color w:val="231F20"/>
          <w:sz w:val="20"/>
        </w:rPr>
        <w:t>Agent</w:t>
      </w:r>
      <w:r>
        <w:rPr>
          <w:rFonts w:ascii="Book Antiqua" w:hAnsi="Book Antiqua"/>
          <w:i/>
          <w:color w:val="231F20"/>
          <w:spacing w:val="8"/>
          <w:sz w:val="20"/>
        </w:rPr>
        <w:t> </w:t>
      </w:r>
      <w:r>
        <w:rPr>
          <w:rFonts w:ascii="Book Antiqua" w:hAnsi="Book Antiqua"/>
          <w:i/>
          <w:color w:val="231F20"/>
          <w:sz w:val="20"/>
        </w:rPr>
        <w:t>User’s</w:t>
      </w:r>
      <w:r>
        <w:rPr>
          <w:rFonts w:ascii="Book Antiqua" w:hAnsi="Book Antiqua"/>
          <w:i/>
          <w:color w:val="231F20"/>
          <w:spacing w:val="9"/>
          <w:sz w:val="20"/>
        </w:rPr>
        <w:t> </w:t>
      </w:r>
      <w:r>
        <w:rPr>
          <w:rFonts w:ascii="Book Antiqua" w:hAnsi="Book Antiqua"/>
          <w:i/>
          <w:color w:val="231F20"/>
          <w:sz w:val="20"/>
        </w:rPr>
        <w:t>Guide</w:t>
      </w:r>
      <w:r>
        <w:rPr>
          <w:color w:val="231F20"/>
          <w:sz w:val="20"/>
        </w:rPr>
        <w:t>,</w:t>
      </w:r>
      <w:r>
        <w:rPr>
          <w:color w:val="231F20"/>
          <w:spacing w:val="8"/>
          <w:sz w:val="20"/>
        </w:rPr>
        <w:t> </w:t>
      </w:r>
      <w:r>
        <w:rPr>
          <w:color w:val="231F20"/>
          <w:sz w:val="20"/>
        </w:rPr>
        <w:t>SC27-</w:t>
      </w:r>
      <w:r>
        <w:rPr>
          <w:color w:val="231F20"/>
          <w:spacing w:val="-4"/>
          <w:sz w:val="20"/>
        </w:rPr>
        <w:t>2872</w:t>
      </w:r>
    </w:p>
    <w:p>
      <w:pPr>
        <w:pStyle w:val="BodyText"/>
        <w:spacing w:before="13"/>
        <w:rPr>
          <w:sz w:val="15"/>
        </w:rPr>
      </w:pPr>
      <w:r>
        <w:rPr/>
        <mc:AlternateContent>
          <mc:Choice Requires="wps">
            <w:drawing>
              <wp:anchor distT="0" distB="0" distL="0" distR="0" allowOverlap="1" layoutInCell="1" locked="0" behindDoc="1" simplePos="0" relativeHeight="487760896">
                <wp:simplePos x="0" y="0"/>
                <wp:positionH relativeFrom="page">
                  <wp:posOffset>912380</wp:posOffset>
                </wp:positionH>
                <wp:positionV relativeFrom="paragraph">
                  <wp:posOffset>152032</wp:posOffset>
                </wp:positionV>
                <wp:extent cx="6082665" cy="1270"/>
                <wp:effectExtent l="0" t="0" r="0" b="0"/>
                <wp:wrapTopAndBottom/>
                <wp:docPr id="3440" name="Graphic 3440"/>
                <wp:cNvGraphicFramePr>
                  <a:graphicFrameLocks/>
                </wp:cNvGraphicFramePr>
                <a:graphic>
                  <a:graphicData uri="http://schemas.microsoft.com/office/word/2010/wordprocessingShape">
                    <wps:wsp>
                      <wps:cNvPr id="3440" name="Graphic 3440"/>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71102pt;width:478.95pt;height:.1pt;mso-position-horizontal-relative:page;mso-position-vertical-relative:paragraph;z-index:-15555584;mso-wrap-distance-left:0;mso-wrap-distance-right:0" id="docshape311" coordorigin="1437,239" coordsize="9579,0" path="m1437,239l11016,239e" filled="false" stroked="true" strokeweight=".499pt" strokecolor="#231f20">
                <v:path arrowok="t"/>
                <v:stroke dashstyle="solid"/>
                <w10:wrap type="topAndBottom"/>
              </v:shape>
            </w:pict>
          </mc:Fallback>
        </mc:AlternateContent>
      </w:r>
    </w:p>
    <w:p>
      <w:pPr>
        <w:pStyle w:val="Heading3"/>
      </w:pPr>
      <w:bookmarkStart w:name="Related publications" w:id="740"/>
      <w:bookmarkEnd w:id="740"/>
      <w:r>
        <w:rPr>
          <w:b w:val="0"/>
        </w:rPr>
      </w:r>
      <w:r>
        <w:rPr>
          <w:color w:val="231F20"/>
        </w:rPr>
        <w:t>Related</w:t>
      </w:r>
      <w:r>
        <w:rPr>
          <w:color w:val="231F20"/>
          <w:spacing w:val="4"/>
        </w:rPr>
        <w:t> </w:t>
      </w:r>
      <w:r>
        <w:rPr>
          <w:color w:val="231F20"/>
          <w:spacing w:val="-2"/>
        </w:rPr>
        <w:t>publications</w:t>
      </w:r>
    </w:p>
    <w:p>
      <w:pPr>
        <w:pStyle w:val="BodyText"/>
        <w:spacing w:line="213" w:lineRule="auto" w:before="138"/>
        <w:ind w:left="2472" w:right="274"/>
      </w:pPr>
      <w:r>
        <w:rPr>
          <w:color w:val="231F20"/>
        </w:rPr>
        <w:t>For information about related products and publications select </w:t>
      </w:r>
      <w:r>
        <w:rPr>
          <w:rFonts w:ascii="Book Antiqua"/>
          <w:b/>
          <w:color w:val="231F20"/>
        </w:rPr>
        <w:t>OMEGAMON XE </w:t>
      </w:r>
      <w:r>
        <w:rPr>
          <w:rFonts w:ascii="Book Antiqua"/>
          <w:b/>
          <w:color w:val="231F20"/>
          <w:w w:val="105"/>
        </w:rPr>
        <w:t>shared</w:t>
      </w:r>
      <w:r>
        <w:rPr>
          <w:rFonts w:ascii="Book Antiqua"/>
          <w:b/>
          <w:color w:val="231F20"/>
          <w:spacing w:val="-1"/>
          <w:w w:val="105"/>
        </w:rPr>
        <w:t> </w:t>
      </w:r>
      <w:r>
        <w:rPr>
          <w:rFonts w:ascii="Book Antiqua"/>
          <w:b/>
          <w:color w:val="231F20"/>
          <w:w w:val="105"/>
        </w:rPr>
        <w:t>publications</w:t>
      </w:r>
      <w:r>
        <w:rPr>
          <w:rFonts w:ascii="Book Antiqua"/>
          <w:b/>
          <w:color w:val="231F20"/>
          <w:spacing w:val="-1"/>
          <w:w w:val="105"/>
        </w:rPr>
        <w:t> </w:t>
      </w:r>
      <w:r>
        <w:rPr>
          <w:color w:val="231F20"/>
          <w:w w:val="105"/>
        </w:rPr>
        <w:t>or</w:t>
      </w:r>
      <w:r>
        <w:rPr>
          <w:color w:val="231F20"/>
          <w:spacing w:val="-1"/>
          <w:w w:val="105"/>
        </w:rPr>
        <w:t> </w:t>
      </w:r>
      <w:r>
        <w:rPr>
          <w:color w:val="231F20"/>
          <w:w w:val="105"/>
        </w:rPr>
        <w:t>other</w:t>
      </w:r>
      <w:r>
        <w:rPr>
          <w:color w:val="231F20"/>
          <w:spacing w:val="-1"/>
          <w:w w:val="105"/>
        </w:rPr>
        <w:t> </w:t>
      </w:r>
      <w:r>
        <w:rPr>
          <w:color w:val="231F20"/>
          <w:w w:val="105"/>
        </w:rPr>
        <w:t>entries</w:t>
      </w:r>
      <w:r>
        <w:rPr>
          <w:color w:val="231F20"/>
          <w:spacing w:val="-1"/>
          <w:w w:val="105"/>
        </w:rPr>
        <w:t> </w:t>
      </w:r>
      <w:r>
        <w:rPr>
          <w:color w:val="231F20"/>
          <w:w w:val="105"/>
        </w:rPr>
        <w:t>in</w:t>
      </w:r>
      <w:r>
        <w:rPr>
          <w:color w:val="231F20"/>
          <w:spacing w:val="-1"/>
          <w:w w:val="105"/>
        </w:rPr>
        <w:t> </w:t>
      </w:r>
      <w:r>
        <w:rPr>
          <w:color w:val="231F20"/>
          <w:w w:val="105"/>
        </w:rPr>
        <w:t>the</w:t>
      </w:r>
      <w:r>
        <w:rPr>
          <w:color w:val="231F20"/>
          <w:spacing w:val="-1"/>
          <w:w w:val="105"/>
        </w:rPr>
        <w:t> </w:t>
      </w:r>
      <w:r>
        <w:rPr>
          <w:rFonts w:ascii="Book Antiqua"/>
          <w:b/>
          <w:color w:val="231F20"/>
          <w:w w:val="105"/>
        </w:rPr>
        <w:t>Contents</w:t>
      </w:r>
      <w:r>
        <w:rPr>
          <w:rFonts w:ascii="Book Antiqua"/>
          <w:b/>
          <w:color w:val="231F20"/>
          <w:spacing w:val="-1"/>
          <w:w w:val="105"/>
        </w:rPr>
        <w:t> </w:t>
      </w:r>
      <w:r>
        <w:rPr>
          <w:color w:val="231F20"/>
          <w:w w:val="105"/>
        </w:rPr>
        <w:t>pane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IBM</w:t>
      </w:r>
      <w:r>
        <w:rPr>
          <w:color w:val="231F20"/>
          <w:spacing w:val="-1"/>
          <w:w w:val="105"/>
        </w:rPr>
        <w:t> </w:t>
      </w:r>
      <w:r>
        <w:rPr>
          <w:color w:val="231F20"/>
          <w:w w:val="105"/>
        </w:rPr>
        <w:t>Tivoli </w:t>
      </w:r>
      <w:r>
        <w:rPr>
          <w:color w:val="231F20"/>
          <w:spacing w:val="-2"/>
          <w:w w:val="105"/>
        </w:rPr>
        <w:t>Monitoring and OMEGAMON XE Information Center at </w:t>
      </w:r>
      <w:hyperlink r:id="rId499">
        <w:r>
          <w:rPr>
            <w:color w:val="231F20"/>
            <w:spacing w:val="-2"/>
            <w:w w:val="105"/>
          </w:rPr>
          <w:t>http://pic.dhe.ibm.com/</w:t>
        </w:r>
      </w:hyperlink>
      <w:r>
        <w:rPr>
          <w:color w:val="231F20"/>
          <w:spacing w:val="-2"/>
          <w:w w:val="105"/>
        </w:rPr>
        <w:t> </w:t>
      </w:r>
      <w:hyperlink r:id="rId499">
        <w:r>
          <w:rPr>
            <w:color w:val="231F20"/>
            <w:w w:val="105"/>
          </w:rPr>
          <w:t>infocenter/tivihelp/v61r1/index.jsp</w:t>
        </w:r>
      </w:hyperlink>
      <w:r>
        <w:rPr>
          <w:color w:val="231F20"/>
          <w:w w:val="105"/>
        </w:rPr>
        <w:t> .</w:t>
      </w:r>
    </w:p>
    <w:p>
      <w:pPr>
        <w:pStyle w:val="BodyText"/>
        <w:spacing w:before="4"/>
        <w:rPr>
          <w:sz w:val="16"/>
        </w:rPr>
      </w:pPr>
      <w:r>
        <w:rPr/>
        <mc:AlternateContent>
          <mc:Choice Requires="wps">
            <w:drawing>
              <wp:anchor distT="0" distB="0" distL="0" distR="0" allowOverlap="1" layoutInCell="1" locked="0" behindDoc="1" simplePos="0" relativeHeight="487761408">
                <wp:simplePos x="0" y="0"/>
                <wp:positionH relativeFrom="page">
                  <wp:posOffset>912380</wp:posOffset>
                </wp:positionH>
                <wp:positionV relativeFrom="paragraph">
                  <wp:posOffset>155399</wp:posOffset>
                </wp:positionV>
                <wp:extent cx="6082665" cy="1270"/>
                <wp:effectExtent l="0" t="0" r="0" b="0"/>
                <wp:wrapTopAndBottom/>
                <wp:docPr id="3441" name="Graphic 3441"/>
                <wp:cNvGraphicFramePr>
                  <a:graphicFrameLocks/>
                </wp:cNvGraphicFramePr>
                <a:graphic>
                  <a:graphicData uri="http://schemas.microsoft.com/office/word/2010/wordprocessingShape">
                    <wps:wsp>
                      <wps:cNvPr id="3441" name="Graphic 3441"/>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236156pt;width:478.95pt;height:.1pt;mso-position-horizontal-relative:page;mso-position-vertical-relative:paragraph;z-index:-15555072;mso-wrap-distance-left:0;mso-wrap-distance-right:0" id="docshape312" coordorigin="1437,245" coordsize="9579,0" path="m1437,245l11016,245e" filled="false" stroked="true" strokeweight=".499pt" strokecolor="#231f20">
                <v:path arrowok="t"/>
                <v:stroke dashstyle="solid"/>
                <w10:wrap type="topAndBottom"/>
              </v:shape>
            </w:pict>
          </mc:Fallback>
        </mc:AlternateContent>
      </w:r>
    </w:p>
    <w:p>
      <w:pPr>
        <w:pStyle w:val="Heading3"/>
      </w:pPr>
      <w:bookmarkStart w:name="Other sources of documentation" w:id="741"/>
      <w:bookmarkEnd w:id="741"/>
      <w:r>
        <w:rPr>
          <w:b w:val="0"/>
        </w:rPr>
      </w:r>
      <w:r>
        <w:rPr>
          <w:color w:val="231F20"/>
        </w:rPr>
        <w:t>Other</w:t>
      </w:r>
      <w:r>
        <w:rPr>
          <w:color w:val="231F20"/>
          <w:spacing w:val="8"/>
        </w:rPr>
        <w:t> </w:t>
      </w:r>
      <w:r>
        <w:rPr>
          <w:color w:val="231F20"/>
        </w:rPr>
        <w:t>sources</w:t>
      </w:r>
      <w:r>
        <w:rPr>
          <w:color w:val="231F20"/>
          <w:spacing w:val="8"/>
        </w:rPr>
        <w:t> </w:t>
      </w:r>
      <w:r>
        <w:rPr>
          <w:color w:val="231F20"/>
        </w:rPr>
        <w:t>of</w:t>
      </w:r>
      <w:r>
        <w:rPr>
          <w:color w:val="231F20"/>
          <w:spacing w:val="8"/>
        </w:rPr>
        <w:t> </w:t>
      </w:r>
      <w:r>
        <w:rPr>
          <w:color w:val="231F20"/>
          <w:spacing w:val="-2"/>
        </w:rPr>
        <w:t>documentation</w:t>
      </w:r>
    </w:p>
    <w:p>
      <w:pPr>
        <w:pStyle w:val="BodyText"/>
        <w:spacing w:line="213" w:lineRule="auto" w:before="138"/>
        <w:ind w:left="2472" w:right="545"/>
      </w:pPr>
      <w:r>
        <w:rPr>
          <w:color w:val="231F20"/>
        </w:rPr>
        <w:t>You can also obtain technical documentation about IBM Tivoli Monitoring </w:t>
      </w:r>
      <w:r>
        <w:rPr>
          <w:color w:val="231F20"/>
        </w:rPr>
        <w:t>and related products from the following sources:</w:t>
      </w:r>
    </w:p>
    <w:p>
      <w:pPr>
        <w:pStyle w:val="BodyText"/>
        <w:spacing w:before="36"/>
        <w:ind w:left="2472"/>
      </w:pPr>
      <w:r>
        <w:rPr>
          <w:rFonts w:ascii="Futura MdCn BT"/>
          <w:color w:val="231F20"/>
        </w:rPr>
        <w:t>v</w:t>
      </w:r>
      <w:r>
        <w:rPr>
          <w:rFonts w:ascii="Futura MdCn BT"/>
          <w:color w:val="231F20"/>
          <w:spacing w:val="79"/>
          <w:w w:val="150"/>
        </w:rPr>
        <w:t> </w:t>
      </w:r>
      <w:r>
        <w:rPr>
          <w:color w:val="231F20"/>
        </w:rPr>
        <w:t>Service</w:t>
      </w:r>
      <w:r>
        <w:rPr>
          <w:color w:val="231F20"/>
          <w:spacing w:val="12"/>
        </w:rPr>
        <w:t> </w:t>
      </w:r>
      <w:r>
        <w:rPr>
          <w:color w:val="231F20"/>
        </w:rPr>
        <w:t>Management</w:t>
      </w:r>
      <w:r>
        <w:rPr>
          <w:color w:val="231F20"/>
          <w:spacing w:val="11"/>
        </w:rPr>
        <w:t> </w:t>
      </w:r>
      <w:r>
        <w:rPr>
          <w:color w:val="231F20"/>
        </w:rPr>
        <w:t>Connect</w:t>
      </w:r>
      <w:r>
        <w:rPr>
          <w:color w:val="231F20"/>
          <w:spacing w:val="11"/>
        </w:rPr>
        <w:t> </w:t>
      </w:r>
      <w:r>
        <w:rPr>
          <w:color w:val="231F20"/>
          <w:spacing w:val="-2"/>
        </w:rPr>
        <w:t>(SMC)</w:t>
      </w:r>
    </w:p>
    <w:p>
      <w:pPr>
        <w:pStyle w:val="BodyText"/>
        <w:spacing w:line="213" w:lineRule="auto" w:before="52"/>
        <w:ind w:left="2688"/>
      </w:pPr>
      <w:r>
        <w:rPr>
          <w:color w:val="231F20"/>
        </w:rPr>
        <w:t>For introductory information about SMC, see </w:t>
      </w:r>
      <w:hyperlink r:id="rId502">
        <w:r>
          <w:rPr>
            <w:color w:val="231F20"/>
          </w:rPr>
          <w:t>IBM Service Management </w:t>
        </w:r>
        <w:r>
          <w:rPr>
            <w:color w:val="231F20"/>
          </w:rPr>
          <w:t>Connect</w:t>
        </w:r>
      </w:hyperlink>
      <w:r>
        <w:rPr>
          <w:color w:val="231F20"/>
        </w:rPr>
        <w:t> </w:t>
      </w:r>
      <w:hyperlink r:id="rId503">
        <w:r>
          <w:rPr>
            <w:color w:val="231F20"/>
            <w:spacing w:val="-2"/>
          </w:rPr>
          <w:t>(http://www.ibm.com/developerworks/servicemanagement).</w:t>
        </w:r>
      </w:hyperlink>
    </w:p>
    <w:p>
      <w:pPr>
        <w:pStyle w:val="BodyText"/>
        <w:spacing w:line="213" w:lineRule="auto" w:before="59"/>
        <w:ind w:left="2688"/>
      </w:pPr>
      <w:r>
        <w:rPr>
          <w:color w:val="231F20"/>
        </w:rPr>
        <w:t>For information about Tivoli products, see the Application Performance Management community on SMC at </w:t>
      </w:r>
      <w:hyperlink r:id="rId504">
        <w:r>
          <w:rPr>
            <w:color w:val="231F20"/>
          </w:rPr>
          <w:t>IBM Service Management Connect &gt;</w:t>
        </w:r>
      </w:hyperlink>
      <w:r>
        <w:rPr>
          <w:color w:val="231F20"/>
        </w:rPr>
        <w:t> </w:t>
      </w:r>
      <w:hyperlink r:id="rId504">
        <w:r>
          <w:rPr>
            <w:color w:val="231F20"/>
          </w:rPr>
          <w:t>Application Performance Management</w:t>
        </w:r>
      </w:hyperlink>
      <w:r>
        <w:rPr>
          <w:color w:val="231F20"/>
        </w:rPr>
        <w:t> </w:t>
      </w:r>
      <w:hyperlink r:id="rId505">
        <w:r>
          <w:rPr>
            <w:color w:val="231F20"/>
          </w:rPr>
          <w:t>(http://www.ibm.com/developerworks/</w:t>
        </w:r>
      </w:hyperlink>
      <w:r>
        <w:rPr>
          <w:color w:val="231F20"/>
          <w:spacing w:val="40"/>
        </w:rPr>
        <w:t> </w:t>
      </w:r>
      <w:r>
        <w:rPr>
          <w:color w:val="231F20"/>
          <w:spacing w:val="-2"/>
        </w:rPr>
        <w:t>servicemanagement/apm).</w:t>
      </w:r>
    </w:p>
    <w:p>
      <w:pPr>
        <w:pStyle w:val="BodyText"/>
        <w:spacing w:line="213" w:lineRule="auto" w:before="57"/>
        <w:ind w:left="2688" w:right="385"/>
      </w:pPr>
      <w:r>
        <w:rPr>
          <w:color w:val="231F20"/>
        </w:rPr>
        <w:t>Connect, learn, and share with Service Management professionals. Get access </w:t>
      </w:r>
      <w:r>
        <w:rPr>
          <w:color w:val="231F20"/>
        </w:rPr>
        <w:t>to developers and product support technical experts who provide their</w:t>
      </w:r>
      <w:r>
        <w:rPr>
          <w:color w:val="231F20"/>
          <w:spacing w:val="40"/>
        </w:rPr>
        <w:t> </w:t>
      </w:r>
      <w:r>
        <w:rPr>
          <w:color w:val="231F20"/>
        </w:rPr>
        <w:t>perspectives and expertise. Using SMC, you can:</w:t>
      </w:r>
    </w:p>
    <w:p>
      <w:pPr>
        <w:pStyle w:val="ListParagraph"/>
        <w:numPr>
          <w:ilvl w:val="0"/>
          <w:numId w:val="194"/>
        </w:numPr>
        <w:tabs>
          <w:tab w:pos="2935" w:val="left" w:leader="none"/>
          <w:tab w:pos="2937" w:val="left" w:leader="none"/>
        </w:tabs>
        <w:spacing w:line="213" w:lineRule="auto" w:before="58" w:after="0"/>
        <w:ind w:left="2937" w:right="313" w:hanging="250"/>
        <w:jc w:val="left"/>
        <w:rPr>
          <w:sz w:val="20"/>
        </w:rPr>
      </w:pPr>
      <w:r>
        <w:rPr>
          <w:color w:val="231F20"/>
          <w:sz w:val="20"/>
        </w:rPr>
        <w:t>Become involved with transparent development, an ongoing, open engagement between external users and developers of Tivoli products </w:t>
      </w:r>
      <w:r>
        <w:rPr>
          <w:color w:val="231F20"/>
          <w:sz w:val="20"/>
        </w:rPr>
        <w:t>where you can access early designs, sprint demos, product roadmaps, and</w:t>
      </w:r>
    </w:p>
    <w:p>
      <w:pPr>
        <w:pStyle w:val="BodyText"/>
        <w:spacing w:line="245" w:lineRule="exact"/>
        <w:ind w:left="2937"/>
      </w:pPr>
      <w:r>
        <w:rPr>
          <w:color w:val="231F20"/>
        </w:rPr>
        <w:t>pre-release</w:t>
      </w:r>
      <w:r>
        <w:rPr>
          <w:color w:val="231F20"/>
          <w:spacing w:val="-2"/>
        </w:rPr>
        <w:t> </w:t>
      </w:r>
      <w:r>
        <w:rPr>
          <w:color w:val="231F20"/>
          <w:spacing w:val="-4"/>
        </w:rPr>
        <w:t>code.</w:t>
      </w:r>
    </w:p>
    <w:p>
      <w:pPr>
        <w:pStyle w:val="ListParagraph"/>
        <w:numPr>
          <w:ilvl w:val="0"/>
          <w:numId w:val="194"/>
        </w:numPr>
        <w:tabs>
          <w:tab w:pos="2935" w:val="left" w:leader="none"/>
          <w:tab w:pos="2937" w:val="left" w:leader="none"/>
        </w:tabs>
        <w:spacing w:line="213" w:lineRule="auto" w:before="53" w:after="0"/>
        <w:ind w:left="2937" w:right="281" w:hanging="250"/>
        <w:jc w:val="left"/>
        <w:rPr>
          <w:sz w:val="20"/>
        </w:rPr>
      </w:pPr>
      <w:r>
        <w:rPr>
          <w:color w:val="231F20"/>
          <w:sz w:val="20"/>
        </w:rPr>
        <w:t>Connect one-on-one with the experts to collaborate and network about </w:t>
      </w:r>
      <w:r>
        <w:rPr>
          <w:color w:val="231F20"/>
          <w:sz w:val="20"/>
        </w:rPr>
        <w:t>Tivoli and Integrated Service Management.</w:t>
      </w:r>
    </w:p>
    <w:p>
      <w:pPr>
        <w:pStyle w:val="ListParagraph"/>
        <w:numPr>
          <w:ilvl w:val="0"/>
          <w:numId w:val="194"/>
        </w:numPr>
        <w:tabs>
          <w:tab w:pos="2936" w:val="left" w:leader="none"/>
        </w:tabs>
        <w:spacing w:line="240" w:lineRule="auto" w:before="35" w:after="0"/>
        <w:ind w:left="2936" w:right="0" w:hanging="248"/>
        <w:jc w:val="left"/>
        <w:rPr>
          <w:sz w:val="20"/>
        </w:rPr>
      </w:pPr>
      <w:r>
        <w:rPr>
          <w:color w:val="231F20"/>
          <w:sz w:val="20"/>
        </w:rPr>
        <w:t>Benefit</w:t>
      </w:r>
      <w:r>
        <w:rPr>
          <w:color w:val="231F20"/>
          <w:spacing w:val="10"/>
          <w:sz w:val="20"/>
        </w:rPr>
        <w:t> </w:t>
      </w:r>
      <w:r>
        <w:rPr>
          <w:color w:val="231F20"/>
          <w:sz w:val="20"/>
        </w:rPr>
        <w:t>from</w:t>
      </w:r>
      <w:r>
        <w:rPr>
          <w:color w:val="231F20"/>
          <w:spacing w:val="10"/>
          <w:sz w:val="20"/>
        </w:rPr>
        <w:t> </w:t>
      </w:r>
      <w:r>
        <w:rPr>
          <w:color w:val="231F20"/>
          <w:sz w:val="20"/>
        </w:rPr>
        <w:t>the</w:t>
      </w:r>
      <w:r>
        <w:rPr>
          <w:color w:val="231F20"/>
          <w:spacing w:val="11"/>
          <w:sz w:val="20"/>
        </w:rPr>
        <w:t> </w:t>
      </w:r>
      <w:r>
        <w:rPr>
          <w:color w:val="231F20"/>
          <w:sz w:val="20"/>
        </w:rPr>
        <w:t>expertise</w:t>
      </w:r>
      <w:r>
        <w:rPr>
          <w:color w:val="231F20"/>
          <w:spacing w:val="10"/>
          <w:sz w:val="20"/>
        </w:rPr>
        <w:t> </w:t>
      </w:r>
      <w:r>
        <w:rPr>
          <w:color w:val="231F20"/>
          <w:sz w:val="20"/>
        </w:rPr>
        <w:t>and</w:t>
      </w:r>
      <w:r>
        <w:rPr>
          <w:color w:val="231F20"/>
          <w:spacing w:val="11"/>
          <w:sz w:val="20"/>
        </w:rPr>
        <w:t> </w:t>
      </w:r>
      <w:r>
        <w:rPr>
          <w:color w:val="231F20"/>
          <w:sz w:val="20"/>
        </w:rPr>
        <w:t>experience</w:t>
      </w:r>
      <w:r>
        <w:rPr>
          <w:color w:val="231F20"/>
          <w:spacing w:val="10"/>
          <w:sz w:val="20"/>
        </w:rPr>
        <w:t> </w:t>
      </w:r>
      <w:r>
        <w:rPr>
          <w:color w:val="231F20"/>
          <w:sz w:val="20"/>
        </w:rPr>
        <w:t>of</w:t>
      </w:r>
      <w:r>
        <w:rPr>
          <w:color w:val="231F20"/>
          <w:spacing w:val="10"/>
          <w:sz w:val="20"/>
        </w:rPr>
        <w:t> </w:t>
      </w:r>
      <w:r>
        <w:rPr>
          <w:color w:val="231F20"/>
          <w:sz w:val="20"/>
        </w:rPr>
        <w:t>others</w:t>
      </w:r>
      <w:r>
        <w:rPr>
          <w:color w:val="231F20"/>
          <w:spacing w:val="11"/>
          <w:sz w:val="20"/>
        </w:rPr>
        <w:t> </w:t>
      </w:r>
      <w:r>
        <w:rPr>
          <w:color w:val="231F20"/>
          <w:sz w:val="20"/>
        </w:rPr>
        <w:t>using</w:t>
      </w:r>
      <w:r>
        <w:rPr>
          <w:color w:val="231F20"/>
          <w:spacing w:val="10"/>
          <w:sz w:val="20"/>
        </w:rPr>
        <w:t> </w:t>
      </w:r>
      <w:r>
        <w:rPr>
          <w:color w:val="231F20"/>
          <w:spacing w:val="-2"/>
          <w:sz w:val="20"/>
        </w:rPr>
        <w:t>blogs.</w:t>
      </w:r>
    </w:p>
    <w:p>
      <w:pPr>
        <w:pStyle w:val="ListParagraph"/>
        <w:numPr>
          <w:ilvl w:val="0"/>
          <w:numId w:val="194"/>
        </w:numPr>
        <w:tabs>
          <w:tab w:pos="2936" w:val="left" w:leader="none"/>
        </w:tabs>
        <w:spacing w:line="240" w:lineRule="auto" w:before="30" w:after="0"/>
        <w:ind w:left="2936" w:right="0" w:hanging="248"/>
        <w:jc w:val="left"/>
        <w:rPr>
          <w:sz w:val="20"/>
        </w:rPr>
      </w:pPr>
      <w:r>
        <w:rPr>
          <w:color w:val="231F20"/>
          <w:sz w:val="20"/>
        </w:rPr>
        <w:t>Collaborate</w:t>
      </w:r>
      <w:r>
        <w:rPr>
          <w:color w:val="231F20"/>
          <w:spacing w:val="9"/>
          <w:sz w:val="20"/>
        </w:rPr>
        <w:t> </w:t>
      </w:r>
      <w:r>
        <w:rPr>
          <w:color w:val="231F20"/>
          <w:sz w:val="20"/>
        </w:rPr>
        <w:t>with</w:t>
      </w:r>
      <w:r>
        <w:rPr>
          <w:color w:val="231F20"/>
          <w:spacing w:val="10"/>
          <w:sz w:val="20"/>
        </w:rPr>
        <w:t> </w:t>
      </w:r>
      <w:r>
        <w:rPr>
          <w:color w:val="231F20"/>
          <w:sz w:val="20"/>
        </w:rPr>
        <w:t>the</w:t>
      </w:r>
      <w:r>
        <w:rPr>
          <w:color w:val="231F20"/>
          <w:spacing w:val="10"/>
          <w:sz w:val="20"/>
        </w:rPr>
        <w:t> </w:t>
      </w:r>
      <w:r>
        <w:rPr>
          <w:color w:val="231F20"/>
          <w:sz w:val="20"/>
        </w:rPr>
        <w:t>broader</w:t>
      </w:r>
      <w:r>
        <w:rPr>
          <w:color w:val="231F20"/>
          <w:spacing w:val="10"/>
          <w:sz w:val="20"/>
        </w:rPr>
        <w:t> </w:t>
      </w:r>
      <w:r>
        <w:rPr>
          <w:color w:val="231F20"/>
          <w:sz w:val="20"/>
        </w:rPr>
        <w:t>user</w:t>
      </w:r>
      <w:r>
        <w:rPr>
          <w:color w:val="231F20"/>
          <w:spacing w:val="10"/>
          <w:sz w:val="20"/>
        </w:rPr>
        <w:t> </w:t>
      </w:r>
      <w:r>
        <w:rPr>
          <w:color w:val="231F20"/>
          <w:sz w:val="20"/>
        </w:rPr>
        <w:t>community</w:t>
      </w:r>
      <w:r>
        <w:rPr>
          <w:color w:val="231F20"/>
          <w:spacing w:val="10"/>
          <w:sz w:val="20"/>
        </w:rPr>
        <w:t> </w:t>
      </w:r>
      <w:r>
        <w:rPr>
          <w:color w:val="231F20"/>
          <w:sz w:val="20"/>
        </w:rPr>
        <w:t>using</w:t>
      </w:r>
      <w:r>
        <w:rPr>
          <w:color w:val="231F20"/>
          <w:spacing w:val="10"/>
          <w:sz w:val="20"/>
        </w:rPr>
        <w:t> </w:t>
      </w:r>
      <w:r>
        <w:rPr>
          <w:color w:val="231F20"/>
          <w:sz w:val="20"/>
        </w:rPr>
        <w:t>wikis</w:t>
      </w:r>
      <w:r>
        <w:rPr>
          <w:color w:val="231F20"/>
          <w:spacing w:val="9"/>
          <w:sz w:val="20"/>
        </w:rPr>
        <w:t> </w:t>
      </w:r>
      <w:r>
        <w:rPr>
          <w:color w:val="231F20"/>
          <w:sz w:val="20"/>
        </w:rPr>
        <w:t>and</w:t>
      </w:r>
      <w:r>
        <w:rPr>
          <w:color w:val="231F20"/>
          <w:spacing w:val="10"/>
          <w:sz w:val="20"/>
        </w:rPr>
        <w:t> </w:t>
      </w:r>
      <w:r>
        <w:rPr>
          <w:color w:val="231F20"/>
          <w:spacing w:val="-2"/>
          <w:sz w:val="20"/>
        </w:rPr>
        <w:t>forums.</w:t>
      </w:r>
    </w:p>
    <w:p>
      <w:pPr>
        <w:pStyle w:val="BodyText"/>
        <w:spacing w:before="29"/>
        <w:ind w:left="2472"/>
      </w:pPr>
      <w:r>
        <w:rPr>
          <w:rFonts w:ascii="Futura MdCn BT"/>
          <w:color w:val="231F20"/>
        </w:rPr>
        <w:t>v</w:t>
      </w:r>
      <w:r>
        <w:rPr>
          <w:rFonts w:ascii="Futura MdCn BT"/>
          <w:color w:val="231F20"/>
          <w:spacing w:val="79"/>
          <w:w w:val="150"/>
        </w:rPr>
        <w:t> </w:t>
      </w:r>
      <w:r>
        <w:rPr>
          <w:color w:val="231F20"/>
        </w:rPr>
        <w:t>Tivoli</w:t>
      </w:r>
      <w:r>
        <w:rPr>
          <w:color w:val="231F20"/>
          <w:spacing w:val="11"/>
        </w:rPr>
        <w:t> </w:t>
      </w:r>
      <w:r>
        <w:rPr>
          <w:color w:val="231F20"/>
          <w:spacing w:val="-4"/>
        </w:rPr>
        <w:t>wikis</w:t>
      </w:r>
    </w:p>
    <w:p>
      <w:pPr>
        <w:pStyle w:val="BodyText"/>
        <w:spacing w:line="213" w:lineRule="auto" w:before="53"/>
        <w:ind w:left="2688" w:right="202"/>
      </w:pPr>
      <w:hyperlink r:id="rId504">
        <w:r>
          <w:rPr>
            <w:color w:val="231F20"/>
            <w:w w:val="105"/>
          </w:rPr>
          <w:t>IBM</w:t>
        </w:r>
        <w:r>
          <w:rPr>
            <w:color w:val="231F20"/>
            <w:spacing w:val="-9"/>
            <w:w w:val="105"/>
          </w:rPr>
          <w:t> </w:t>
        </w:r>
        <w:r>
          <w:rPr>
            <w:color w:val="231F20"/>
            <w:w w:val="105"/>
          </w:rPr>
          <w:t>Service</w:t>
        </w:r>
        <w:r>
          <w:rPr>
            <w:color w:val="231F20"/>
            <w:spacing w:val="-9"/>
            <w:w w:val="105"/>
          </w:rPr>
          <w:t> </w:t>
        </w:r>
        <w:r>
          <w:rPr>
            <w:color w:val="231F20"/>
            <w:w w:val="105"/>
          </w:rPr>
          <w:t>Management</w:t>
        </w:r>
        <w:r>
          <w:rPr>
            <w:color w:val="231F20"/>
            <w:spacing w:val="-9"/>
            <w:w w:val="105"/>
          </w:rPr>
          <w:t> </w:t>
        </w:r>
        <w:r>
          <w:rPr>
            <w:color w:val="231F20"/>
            <w:w w:val="105"/>
          </w:rPr>
          <w:t>Connect</w:t>
        </w:r>
        <w:r>
          <w:rPr>
            <w:color w:val="231F20"/>
            <w:spacing w:val="-9"/>
            <w:w w:val="105"/>
          </w:rPr>
          <w:t> </w:t>
        </w:r>
        <w:r>
          <w:rPr>
            <w:color w:val="231F20"/>
            <w:w w:val="105"/>
          </w:rPr>
          <w:t>&gt;</w:t>
        </w:r>
        <w:r>
          <w:rPr>
            <w:color w:val="231F20"/>
            <w:spacing w:val="-14"/>
            <w:w w:val="105"/>
          </w:rPr>
          <w:t> </w:t>
        </w:r>
        <w:r>
          <w:rPr>
            <w:color w:val="231F20"/>
            <w:w w:val="105"/>
          </w:rPr>
          <w:t>Application</w:t>
        </w:r>
        <w:r>
          <w:rPr>
            <w:color w:val="231F20"/>
            <w:spacing w:val="-8"/>
            <w:w w:val="105"/>
          </w:rPr>
          <w:t> </w:t>
        </w:r>
        <w:r>
          <w:rPr>
            <w:color w:val="231F20"/>
            <w:w w:val="105"/>
          </w:rPr>
          <w:t>Performance</w:t>
        </w:r>
        <w:r>
          <w:rPr>
            <w:color w:val="231F20"/>
            <w:spacing w:val="-9"/>
            <w:w w:val="105"/>
          </w:rPr>
          <w:t> </w:t>
        </w:r>
        <w:r>
          <w:rPr>
            <w:color w:val="231F20"/>
            <w:w w:val="105"/>
          </w:rPr>
          <w:t>Management</w:t>
        </w:r>
      </w:hyperlink>
      <w:r>
        <w:rPr>
          <w:color w:val="231F20"/>
          <w:w w:val="105"/>
        </w:rPr>
        <w:t> </w:t>
      </w:r>
      <w:hyperlink r:id="rId506">
        <w:r>
          <w:rPr>
            <w:color w:val="231F20"/>
            <w:w w:val="105"/>
          </w:rPr>
          <w:t>(http://www.ibm.com/developerworks/servicemanagement/apm)</w:t>
        </w:r>
      </w:hyperlink>
      <w:r>
        <w:rPr>
          <w:color w:val="231F20"/>
          <w:w w:val="105"/>
        </w:rPr>
        <w:t> includes a </w:t>
      </w:r>
      <w:r>
        <w:rPr>
          <w:color w:val="231F20"/>
        </w:rPr>
        <w:t>list of relevant Tivoli wikis that offer best practices and scenarios for using </w:t>
      </w:r>
      <w:r>
        <w:rPr>
          <w:color w:val="231F20"/>
        </w:rPr>
        <w:t>Tivoli </w:t>
      </w:r>
      <w:r>
        <w:rPr>
          <w:color w:val="231F20"/>
          <w:w w:val="105"/>
        </w:rPr>
        <w:t>products,</w:t>
      </w:r>
      <w:r>
        <w:rPr>
          <w:color w:val="231F20"/>
          <w:spacing w:val="-5"/>
          <w:w w:val="105"/>
        </w:rPr>
        <w:t> </w:t>
      </w:r>
      <w:r>
        <w:rPr>
          <w:color w:val="231F20"/>
          <w:w w:val="105"/>
        </w:rPr>
        <w:t>white</w:t>
      </w:r>
      <w:r>
        <w:rPr>
          <w:color w:val="231F20"/>
          <w:spacing w:val="-5"/>
          <w:w w:val="105"/>
        </w:rPr>
        <w:t> </w:t>
      </w:r>
      <w:r>
        <w:rPr>
          <w:color w:val="231F20"/>
          <w:w w:val="105"/>
        </w:rPr>
        <w:t>papers</w:t>
      </w:r>
      <w:r>
        <w:rPr>
          <w:color w:val="231F20"/>
          <w:spacing w:val="-5"/>
          <w:w w:val="105"/>
        </w:rPr>
        <w:t> </w:t>
      </w:r>
      <w:r>
        <w:rPr>
          <w:color w:val="231F20"/>
          <w:w w:val="105"/>
        </w:rPr>
        <w:t>contributed</w:t>
      </w:r>
      <w:r>
        <w:rPr>
          <w:color w:val="231F20"/>
          <w:spacing w:val="-5"/>
          <w:w w:val="105"/>
        </w:rPr>
        <w:t> </w:t>
      </w:r>
      <w:r>
        <w:rPr>
          <w:color w:val="231F20"/>
          <w:w w:val="105"/>
        </w:rPr>
        <w:t>by</w:t>
      </w:r>
      <w:r>
        <w:rPr>
          <w:color w:val="231F20"/>
          <w:spacing w:val="-5"/>
          <w:w w:val="105"/>
        </w:rPr>
        <w:t> </w:t>
      </w:r>
      <w:r>
        <w:rPr>
          <w:color w:val="231F20"/>
          <w:w w:val="105"/>
        </w:rPr>
        <w:t>IBM</w:t>
      </w:r>
      <w:r>
        <w:rPr>
          <w:color w:val="231F20"/>
          <w:spacing w:val="-5"/>
          <w:w w:val="105"/>
        </w:rPr>
        <w:t> </w:t>
      </w:r>
      <w:r>
        <w:rPr>
          <w:color w:val="231F20"/>
          <w:w w:val="105"/>
        </w:rPr>
        <w:t>employees,</w:t>
      </w:r>
      <w:r>
        <w:rPr>
          <w:color w:val="231F20"/>
          <w:spacing w:val="-5"/>
          <w:w w:val="105"/>
        </w:rPr>
        <w:t> </w:t>
      </w:r>
      <w:r>
        <w:rPr>
          <w:color w:val="231F20"/>
          <w:w w:val="105"/>
        </w:rPr>
        <w:t>and</w:t>
      </w:r>
      <w:r>
        <w:rPr>
          <w:color w:val="231F20"/>
          <w:spacing w:val="-5"/>
          <w:w w:val="105"/>
        </w:rPr>
        <w:t> </w:t>
      </w:r>
      <w:r>
        <w:rPr>
          <w:color w:val="231F20"/>
          <w:w w:val="105"/>
        </w:rPr>
        <w:t>content</w:t>
      </w:r>
      <w:r>
        <w:rPr>
          <w:color w:val="231F20"/>
          <w:spacing w:val="-5"/>
          <w:w w:val="105"/>
        </w:rPr>
        <w:t> </w:t>
      </w:r>
      <w:r>
        <w:rPr>
          <w:color w:val="231F20"/>
          <w:w w:val="105"/>
        </w:rPr>
        <w:t>created</w:t>
      </w:r>
      <w:r>
        <w:rPr>
          <w:color w:val="231F20"/>
          <w:spacing w:val="-5"/>
          <w:w w:val="105"/>
        </w:rPr>
        <w:t> </w:t>
      </w:r>
      <w:r>
        <w:rPr>
          <w:color w:val="231F20"/>
          <w:w w:val="105"/>
        </w:rPr>
        <w:t>by customers and business partners.</w:t>
      </w:r>
    </w:p>
    <w:p>
      <w:pPr>
        <w:pStyle w:val="BodyText"/>
        <w:spacing w:before="33"/>
        <w:ind w:left="2688"/>
      </w:pPr>
      <w:r>
        <w:rPr>
          <w:color w:val="231F20"/>
        </w:rPr>
        <w:t>Two</w:t>
      </w:r>
      <w:r>
        <w:rPr>
          <w:color w:val="231F20"/>
          <w:spacing w:val="8"/>
        </w:rPr>
        <w:t> </w:t>
      </w:r>
      <w:r>
        <w:rPr>
          <w:color w:val="231F20"/>
        </w:rPr>
        <w:t>of</w:t>
      </w:r>
      <w:r>
        <w:rPr>
          <w:color w:val="231F20"/>
          <w:spacing w:val="8"/>
        </w:rPr>
        <w:t> </w:t>
      </w:r>
      <w:r>
        <w:rPr>
          <w:color w:val="231F20"/>
        </w:rPr>
        <w:t>these</w:t>
      </w:r>
      <w:r>
        <w:rPr>
          <w:color w:val="231F20"/>
          <w:spacing w:val="8"/>
        </w:rPr>
        <w:t> </w:t>
      </w:r>
      <w:r>
        <w:rPr>
          <w:color w:val="231F20"/>
        </w:rPr>
        <w:t>wikis</w:t>
      </w:r>
      <w:r>
        <w:rPr>
          <w:color w:val="231F20"/>
          <w:spacing w:val="9"/>
        </w:rPr>
        <w:t> </w:t>
      </w:r>
      <w:r>
        <w:rPr>
          <w:color w:val="231F20"/>
        </w:rPr>
        <w:t>are</w:t>
      </w:r>
      <w:r>
        <w:rPr>
          <w:color w:val="231F20"/>
          <w:spacing w:val="8"/>
        </w:rPr>
        <w:t> </w:t>
      </w:r>
      <w:r>
        <w:rPr>
          <w:color w:val="231F20"/>
        </w:rPr>
        <w:t>of</w:t>
      </w:r>
      <w:r>
        <w:rPr>
          <w:color w:val="231F20"/>
          <w:spacing w:val="8"/>
        </w:rPr>
        <w:t> </w:t>
      </w:r>
      <w:r>
        <w:rPr>
          <w:color w:val="231F20"/>
        </w:rPr>
        <w:t>particular</w:t>
      </w:r>
      <w:r>
        <w:rPr>
          <w:color w:val="231F20"/>
          <w:spacing w:val="9"/>
        </w:rPr>
        <w:t> </w:t>
      </w:r>
      <w:r>
        <w:rPr>
          <w:color w:val="231F20"/>
        </w:rPr>
        <w:t>relevance</w:t>
      </w:r>
      <w:r>
        <w:rPr>
          <w:color w:val="231F20"/>
          <w:spacing w:val="8"/>
        </w:rPr>
        <w:t> </w:t>
      </w:r>
      <w:r>
        <w:rPr>
          <w:color w:val="231F20"/>
        </w:rPr>
        <w:t>to</w:t>
      </w:r>
      <w:r>
        <w:rPr>
          <w:color w:val="231F20"/>
          <w:spacing w:val="8"/>
        </w:rPr>
        <w:t> </w:t>
      </w:r>
      <w:r>
        <w:rPr>
          <w:color w:val="231F20"/>
        </w:rPr>
        <w:t>IBM</w:t>
      </w:r>
      <w:r>
        <w:rPr>
          <w:color w:val="231F20"/>
          <w:spacing w:val="9"/>
        </w:rPr>
        <w:t> </w:t>
      </w:r>
      <w:r>
        <w:rPr>
          <w:color w:val="231F20"/>
        </w:rPr>
        <w:t>Tivoli</w:t>
      </w:r>
      <w:r>
        <w:rPr>
          <w:color w:val="231F20"/>
          <w:spacing w:val="8"/>
        </w:rPr>
        <w:t> </w:t>
      </w:r>
      <w:r>
        <w:rPr>
          <w:color w:val="231F20"/>
          <w:spacing w:val="-2"/>
        </w:rPr>
        <w:t>Monitoring:</w:t>
      </w:r>
    </w:p>
    <w:p>
      <w:pPr>
        <w:pStyle w:val="BodyText"/>
        <w:spacing w:line="213" w:lineRule="auto" w:before="53"/>
        <w:ind w:left="2937" w:right="545" w:hanging="250"/>
      </w:pPr>
      <w:r>
        <w:rPr>
          <w:color w:val="231F20"/>
        </w:rPr>
        <w:t>–</w:t>
      </w:r>
      <w:r>
        <w:rPr>
          <w:color w:val="231F20"/>
          <w:spacing w:val="80"/>
        </w:rPr>
        <w:t> </w:t>
      </w:r>
      <w:r>
        <w:rPr>
          <w:color w:val="231F20"/>
        </w:rPr>
        <w:t>The </w:t>
      </w:r>
      <w:hyperlink r:id="rId507">
        <w:r>
          <w:rPr>
            <w:color w:val="231F20"/>
          </w:rPr>
          <w:t>IBM Tivoli Monitoring Wiki</w:t>
        </w:r>
      </w:hyperlink>
      <w:r>
        <w:rPr>
          <w:color w:val="231F20"/>
        </w:rPr>
        <w:t> </w:t>
      </w:r>
      <w:hyperlink r:id="rId505">
        <w:r>
          <w:rPr>
            <w:color w:val="231F20"/>
          </w:rPr>
          <w:t>(https://www.ibm.com/developerworks/</w:t>
        </w:r>
      </w:hyperlink>
      <w:r>
        <w:rPr>
          <w:color w:val="231F20"/>
          <w:spacing w:val="80"/>
        </w:rPr>
        <w:t> </w:t>
      </w:r>
      <w:r>
        <w:rPr>
          <w:color w:val="231F20"/>
          <w:spacing w:val="-2"/>
        </w:rPr>
        <w:t>mydeveloperworks/wikis/home?lang=en#/wiki/Tivoli%20Monitoring/page/</w:t>
      </w:r>
      <w:r>
        <w:rPr>
          <w:color w:val="231F20"/>
          <w:spacing w:val="80"/>
        </w:rPr>
        <w:t>   </w:t>
      </w:r>
      <w:r>
        <w:rPr>
          <w:color w:val="231F20"/>
        </w:rPr>
        <w:t>Home) provides information about IBM Tivoli Monitoring and related distributed products, including IBM Tivoli Composite Application Management products.</w:t>
      </w:r>
    </w:p>
    <w:p>
      <w:pPr>
        <w:spacing w:after="0" w:line="213" w:lineRule="auto"/>
        <w:sectPr>
          <w:footerReference w:type="default" r:id="rId500"/>
          <w:footerReference w:type="even" r:id="rId501"/>
          <w:pgSz w:w="12240" w:h="15840"/>
          <w:pgMar w:header="0" w:footer="736" w:top="1180" w:bottom="920" w:left="1000" w:right="1060"/>
          <w:pgNumType w:start="457"/>
        </w:sectPr>
      </w:pPr>
    </w:p>
    <w:p>
      <w:pPr>
        <w:pStyle w:val="BodyText"/>
        <w:spacing w:line="213" w:lineRule="auto" w:before="105"/>
        <w:ind w:left="2698" w:hanging="250"/>
      </w:pPr>
      <w:r>
        <w:rPr>
          <w:color w:val="231F20"/>
        </w:rPr>
        <w:t>–</w:t>
      </w:r>
      <w:r>
        <w:rPr>
          <w:color w:val="231F20"/>
          <w:spacing w:val="80"/>
        </w:rPr>
        <w:t> </w:t>
      </w:r>
      <w:r>
        <w:rPr>
          <w:color w:val="231F20"/>
        </w:rPr>
        <w:t>The </w:t>
      </w:r>
      <w:hyperlink r:id="rId508">
        <w:r>
          <w:rPr>
            <w:color w:val="231F20"/>
          </w:rPr>
          <w:t>Tivoli System z</w:t>
        </w:r>
        <w:r>
          <w:rPr>
            <w:color w:val="231F20"/>
            <w:vertAlign w:val="superscript"/>
          </w:rPr>
          <w:t>®</w:t>
        </w:r>
        <w:r>
          <w:rPr>
            <w:color w:val="231F20"/>
            <w:vertAlign w:val="baseline"/>
          </w:rPr>
          <w:t> Monitoring and Application Management Wiki</w:t>
        </w:r>
      </w:hyperlink>
      <w:r>
        <w:rPr>
          <w:color w:val="231F20"/>
          <w:vertAlign w:val="baseline"/>
        </w:rPr>
        <w:t> </w:t>
      </w:r>
      <w:r>
        <w:rPr>
          <w:color w:val="231F20"/>
          <w:vertAlign w:val="baseline"/>
        </w:rPr>
        <w:t>provides</w:t>
      </w:r>
      <w:r>
        <w:rPr>
          <w:color w:val="231F20"/>
          <w:vertAlign w:val="baseline"/>
        </w:rPr>
        <w:t> information about the OMEGAMON XE products, NetView for z/OS, Tivoli Monitoring Agent for z/TPF, and other System z monitoring and application management products.</w:t>
      </w:r>
    </w:p>
    <w:p>
      <w:pPr>
        <w:pStyle w:val="BodyText"/>
        <w:spacing w:line="266" w:lineRule="auto" w:before="34"/>
        <w:ind w:left="2448" w:hanging="216"/>
      </w:pPr>
      <w:r>
        <w:rPr>
          <w:rFonts w:ascii="Futura MdCn BT"/>
          <w:color w:val="231F20"/>
          <w:w w:val="105"/>
        </w:rPr>
        <w:t>v</w:t>
      </w:r>
      <w:r>
        <w:rPr>
          <w:rFonts w:ascii="Futura MdCn BT"/>
          <w:color w:val="231F20"/>
          <w:spacing w:val="80"/>
          <w:w w:val="105"/>
        </w:rPr>
        <w:t> </w:t>
      </w:r>
      <w:r>
        <w:rPr>
          <w:color w:val="231F20"/>
          <w:w w:val="105"/>
        </w:rPr>
        <w:t>IBM Integrated Service Management Library </w:t>
      </w:r>
      <w:hyperlink r:id="rId410">
        <w:r>
          <w:rPr>
            <w:color w:val="231F20"/>
            <w:spacing w:val="-2"/>
            <w:w w:val="105"/>
          </w:rPr>
          <w:t>http://www.ibm.com/software/brandcatalog/ismlibrary/</w:t>
        </w:r>
      </w:hyperlink>
    </w:p>
    <w:p>
      <w:pPr>
        <w:pStyle w:val="BodyText"/>
        <w:spacing w:line="213" w:lineRule="auto" w:before="22"/>
        <w:ind w:left="2448"/>
      </w:pPr>
      <w:r>
        <w:rPr>
          <w:color w:val="231F20"/>
        </w:rPr>
        <w:t>IBM Integrated Service Management Library is an online catalog that </w:t>
      </w:r>
      <w:r>
        <w:rPr>
          <w:color w:val="231F20"/>
        </w:rPr>
        <w:t>contains integration documentation and other downloadable product extensions.</w:t>
      </w:r>
    </w:p>
    <w:p>
      <w:pPr>
        <w:pStyle w:val="BodyText"/>
        <w:spacing w:line="266" w:lineRule="auto" w:before="36"/>
        <w:ind w:left="2448" w:right="4392" w:hanging="216"/>
      </w:pPr>
      <w:r>
        <w:rPr>
          <w:rFonts w:ascii="Futura MdCn BT" w:hAnsi="Futura MdCn BT"/>
          <w:color w:val="231F20"/>
        </w:rPr>
        <w:t>v</w:t>
      </w:r>
      <w:r>
        <w:rPr>
          <w:rFonts w:ascii="Futura MdCn BT" w:hAnsi="Futura MdCn BT"/>
          <w:color w:val="231F20"/>
          <w:spacing w:val="80"/>
        </w:rPr>
        <w:t> </w:t>
      </w:r>
      <w:r>
        <w:rPr>
          <w:color w:val="231F20"/>
        </w:rPr>
        <w:t>Redbooks</w:t>
      </w:r>
      <w:r>
        <w:rPr>
          <w:color w:val="231F20"/>
          <w:vertAlign w:val="superscript"/>
        </w:rPr>
        <w:t>®</w:t>
      </w:r>
      <w:r>
        <w:rPr>
          <w:color w:val="231F20"/>
          <w:vertAlign w:val="baseline"/>
        </w:rPr>
        <w:t> </w:t>
      </w:r>
      <w:hyperlink r:id="rId509">
        <w:r>
          <w:rPr>
            <w:color w:val="231F20"/>
            <w:spacing w:val="-2"/>
            <w:vertAlign w:val="baseline"/>
          </w:rPr>
          <w:t>http://www.redbooks.ibm.com/</w:t>
        </w:r>
      </w:hyperlink>
    </w:p>
    <w:p>
      <w:pPr>
        <w:pStyle w:val="BodyText"/>
        <w:spacing w:line="213" w:lineRule="auto" w:before="23"/>
        <w:ind w:left="2448" w:right="636"/>
      </w:pPr>
      <w:r>
        <w:rPr>
          <w:color w:val="231F20"/>
        </w:rPr>
        <w:t>IBM Redbooks and Redpapers include information about products </w:t>
      </w:r>
      <w:r>
        <w:rPr>
          <w:color w:val="231F20"/>
        </w:rPr>
        <w:t>from platform and solution perspectives.</w:t>
      </w:r>
    </w:p>
    <w:p>
      <w:pPr>
        <w:pStyle w:val="BodyText"/>
        <w:spacing w:before="35"/>
        <w:ind w:left="2232"/>
      </w:pPr>
      <w:r>
        <w:rPr>
          <w:rFonts w:ascii="Futura MdCn BT"/>
          <w:color w:val="231F20"/>
        </w:rPr>
        <w:t>v</w:t>
      </w:r>
      <w:r>
        <w:rPr>
          <w:rFonts w:ascii="Futura MdCn BT"/>
          <w:color w:val="231F20"/>
          <w:spacing w:val="35"/>
        </w:rPr>
        <w:t>  </w:t>
      </w:r>
      <w:r>
        <w:rPr>
          <w:color w:val="231F20"/>
          <w:spacing w:val="-2"/>
        </w:rPr>
        <w:t>Technotes</w:t>
      </w:r>
    </w:p>
    <w:p>
      <w:pPr>
        <w:pStyle w:val="BodyText"/>
        <w:spacing w:line="213" w:lineRule="auto" w:before="53"/>
        <w:ind w:left="2448" w:right="657"/>
        <w:jc w:val="both"/>
      </w:pPr>
      <w:r>
        <w:rPr>
          <w:color w:val="231F20"/>
        </w:rPr>
        <w:t>Technotes provide the latest information about known product limitations </w:t>
      </w:r>
      <w:r>
        <w:rPr>
          <w:color w:val="231F20"/>
        </w:rPr>
        <w:t>and workarounds. You can find Technotes through the IBM Software Support Web </w:t>
      </w:r>
      <w:r>
        <w:rPr>
          <w:color w:val="231F20"/>
          <w:w w:val="105"/>
        </w:rPr>
        <w:t>site at </w:t>
      </w:r>
      <w:hyperlink r:id="rId510">
        <w:r>
          <w:rPr>
            <w:color w:val="231F20"/>
            <w:w w:val="105"/>
          </w:rPr>
          <w:t>http://www.ibm.com/software/support/.</w:t>
        </w:r>
      </w:hyperlink>
    </w:p>
    <w:p>
      <w:pPr>
        <w:spacing w:after="0" w:line="213" w:lineRule="auto"/>
        <w:jc w:val="both"/>
        <w:sectPr>
          <w:pgSz w:w="12240" w:h="15840"/>
          <w:pgMar w:header="0" w:footer="736" w:top="1160" w:bottom="920" w:left="1000" w:right="1060"/>
        </w:sectPr>
      </w:pPr>
    </w:p>
    <w:p>
      <w:pPr>
        <w:pStyle w:val="BodyText"/>
        <w:spacing w:line="20" w:lineRule="exact"/>
        <w:ind w:left="436"/>
        <w:rPr>
          <w:sz w:val="2"/>
        </w:rPr>
      </w:pPr>
      <w:bookmarkStart w:name="_bookmark354" w:id="742"/>
      <w:bookmarkEnd w:id="742"/>
      <w:r>
        <w:rPr/>
      </w:r>
      <w:r>
        <w:rPr>
          <w:sz w:val="2"/>
        </w:rPr>
        <mc:AlternateContent>
          <mc:Choice Requires="wps">
            <w:drawing>
              <wp:inline distT="0" distB="0" distL="0" distR="0">
                <wp:extent cx="6082665" cy="25400"/>
                <wp:effectExtent l="19050" t="0" r="3810" b="3175"/>
                <wp:docPr id="3445" name="Group 3445"/>
                <wp:cNvGraphicFramePr>
                  <a:graphicFrameLocks/>
                </wp:cNvGraphicFramePr>
                <a:graphic>
                  <a:graphicData uri="http://schemas.microsoft.com/office/word/2010/wordprocessingGroup">
                    <wpg:wgp>
                      <wpg:cNvPr id="3445" name="Group 3445"/>
                      <wpg:cNvGrpSpPr/>
                      <wpg:grpSpPr>
                        <a:xfrm>
                          <a:off x="0" y="0"/>
                          <a:ext cx="6082665" cy="25400"/>
                          <a:chExt cx="6082665" cy="25400"/>
                        </a:xfrm>
                      </wpg:grpSpPr>
                      <wps:wsp>
                        <wps:cNvPr id="3446" name="Graphic 3446"/>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316"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Support information" w:id="743"/>
      <w:bookmarkEnd w:id="743"/>
      <w:r>
        <w:rPr>
          <w:b w:val="0"/>
        </w:rPr>
      </w:r>
      <w:r>
        <w:rPr>
          <w:color w:val="231F20"/>
        </w:rPr>
        <w:t>Support</w:t>
      </w:r>
      <w:r>
        <w:rPr>
          <w:color w:val="231F20"/>
          <w:spacing w:val="4"/>
        </w:rPr>
        <w:t> </w:t>
      </w:r>
      <w:r>
        <w:rPr>
          <w:color w:val="231F20"/>
          <w:spacing w:val="-2"/>
        </w:rPr>
        <w:t>information</w:t>
      </w:r>
    </w:p>
    <w:p>
      <w:pPr>
        <w:pStyle w:val="BodyText"/>
        <w:spacing w:line="213" w:lineRule="auto" w:before="304"/>
        <w:ind w:left="2472"/>
      </w:pPr>
      <w:r>
        <w:rPr>
          <w:color w:val="231F20"/>
        </w:rPr>
        <w:t>If you have a problem with your IBM software, you want to resolve it quickly. IBM provides ways for you to obtain the support you need.</w:t>
      </w:r>
    </w:p>
    <w:p>
      <w:pPr>
        <w:pStyle w:val="Heading6"/>
        <w:spacing w:line="240" w:lineRule="auto"/>
      </w:pPr>
      <w:r>
        <w:rPr>
          <w:color w:val="231F20"/>
          <w:spacing w:val="-2"/>
        </w:rPr>
        <w:t>Online</w:t>
      </w:r>
    </w:p>
    <w:p>
      <w:pPr>
        <w:pStyle w:val="BodyText"/>
        <w:spacing w:line="247" w:lineRule="exact"/>
        <w:ind w:left="3190"/>
      </w:pPr>
      <w:r>
        <w:rPr>
          <w:color w:val="231F20"/>
        </w:rPr>
        <w:t>The</w:t>
      </w:r>
      <w:r>
        <w:rPr>
          <w:color w:val="231F20"/>
          <w:spacing w:val="7"/>
        </w:rPr>
        <w:t> </w:t>
      </w:r>
      <w:r>
        <w:rPr>
          <w:color w:val="231F20"/>
        </w:rPr>
        <w:t>following</w:t>
      </w:r>
      <w:r>
        <w:rPr>
          <w:color w:val="231F20"/>
          <w:spacing w:val="8"/>
        </w:rPr>
        <w:t> </w:t>
      </w:r>
      <w:r>
        <w:rPr>
          <w:color w:val="231F20"/>
        </w:rPr>
        <w:t>sites</w:t>
      </w:r>
      <w:r>
        <w:rPr>
          <w:color w:val="231F20"/>
          <w:spacing w:val="8"/>
        </w:rPr>
        <w:t> </w:t>
      </w:r>
      <w:r>
        <w:rPr>
          <w:color w:val="231F20"/>
        </w:rPr>
        <w:t>contain</w:t>
      </w:r>
      <w:r>
        <w:rPr>
          <w:color w:val="231F20"/>
          <w:spacing w:val="8"/>
        </w:rPr>
        <w:t> </w:t>
      </w:r>
      <w:r>
        <w:rPr>
          <w:color w:val="231F20"/>
        </w:rPr>
        <w:t>troubleshooting</w:t>
      </w:r>
      <w:r>
        <w:rPr>
          <w:color w:val="231F20"/>
          <w:spacing w:val="8"/>
        </w:rPr>
        <w:t> </w:t>
      </w:r>
      <w:r>
        <w:rPr>
          <w:color w:val="231F20"/>
          <w:spacing w:val="-2"/>
        </w:rPr>
        <w:t>information:</w:t>
      </w:r>
    </w:p>
    <w:p>
      <w:pPr>
        <w:pStyle w:val="BodyText"/>
        <w:spacing w:line="213" w:lineRule="auto" w:before="52"/>
        <w:ind w:left="3406" w:right="493" w:hanging="216"/>
      </w:pPr>
      <w:r>
        <w:rPr>
          <w:rFonts w:ascii="Futura MdCn BT"/>
          <w:color w:val="231F20"/>
          <w:w w:val="105"/>
        </w:rPr>
        <w:t>v</w:t>
      </w:r>
      <w:r>
        <w:rPr>
          <w:rFonts w:ascii="Futura MdCn BT"/>
          <w:color w:val="231F20"/>
          <w:spacing w:val="80"/>
          <w:w w:val="105"/>
        </w:rPr>
        <w:t> </w:t>
      </w:r>
      <w:r>
        <w:rPr>
          <w:color w:val="231F20"/>
          <w:w w:val="105"/>
        </w:rPr>
        <w:t>Go to the </w:t>
      </w:r>
      <w:hyperlink r:id="rId513">
        <w:r>
          <w:rPr>
            <w:color w:val="231F20"/>
            <w:w w:val="105"/>
          </w:rPr>
          <w:t>IBM Support Portal</w:t>
        </w:r>
      </w:hyperlink>
      <w:r>
        <w:rPr>
          <w:color w:val="231F20"/>
          <w:w w:val="105"/>
        </w:rPr>
        <w:t> </w:t>
      </w:r>
      <w:hyperlink r:id="rId514">
        <w:r>
          <w:rPr>
            <w:color w:val="231F20"/>
            <w:w w:val="105"/>
          </w:rPr>
          <w:t>(http://www.ibm.com/support/entry/</w:t>
        </w:r>
      </w:hyperlink>
      <w:r>
        <w:rPr>
          <w:color w:val="231F20"/>
          <w:w w:val="105"/>
        </w:rPr>
        <w:t> portal/software) and follow the instructions.</w:t>
      </w:r>
    </w:p>
    <w:p>
      <w:pPr>
        <w:pStyle w:val="BodyText"/>
        <w:spacing w:line="213" w:lineRule="auto" w:before="59"/>
        <w:ind w:left="3406" w:right="493" w:hanging="216"/>
      </w:pPr>
      <w:r>
        <w:rPr>
          <w:rFonts w:ascii="Futura MdCn BT"/>
          <w:color w:val="231F20"/>
        </w:rPr>
        <w:t>v</w:t>
      </w:r>
      <w:r>
        <w:rPr>
          <w:rFonts w:ascii="Futura MdCn BT"/>
          <w:color w:val="231F20"/>
          <w:spacing w:val="80"/>
        </w:rPr>
        <w:t> </w:t>
      </w:r>
      <w:r>
        <w:rPr>
          <w:color w:val="231F20"/>
        </w:rPr>
        <w:t>Go to </w:t>
      </w:r>
      <w:hyperlink r:id="rId504">
        <w:r>
          <w:rPr>
            <w:color w:val="231F20"/>
          </w:rPr>
          <w:t>IBM Service Management Connect &gt; Application </w:t>
        </w:r>
        <w:r>
          <w:rPr>
            <w:color w:val="231F20"/>
          </w:rPr>
          <w:t>Performance</w:t>
        </w:r>
      </w:hyperlink>
      <w:r>
        <w:rPr>
          <w:color w:val="231F20"/>
        </w:rPr>
        <w:t> </w:t>
      </w:r>
      <w:hyperlink r:id="rId504">
        <w:r>
          <w:rPr>
            <w:color w:val="231F20"/>
            <w:w w:val="105"/>
          </w:rPr>
          <w:t>Management</w:t>
        </w:r>
      </w:hyperlink>
      <w:r>
        <w:rPr>
          <w:color w:val="231F20"/>
          <w:w w:val="105"/>
        </w:rPr>
        <w:t> </w:t>
      </w:r>
      <w:hyperlink r:id="rId505">
        <w:r>
          <w:rPr>
            <w:color w:val="231F20"/>
            <w:w w:val="105"/>
          </w:rPr>
          <w:t>(http://www.ibm.com/developerworks/</w:t>
        </w:r>
      </w:hyperlink>
      <w:r>
        <w:rPr>
          <w:color w:val="231F20"/>
          <w:w w:val="105"/>
        </w:rPr>
        <w:t> servicemanagement/apm) and select the appropriate wiki.</w:t>
      </w:r>
    </w:p>
    <w:p>
      <w:pPr>
        <w:pStyle w:val="Heading6"/>
        <w:spacing w:before="116"/>
      </w:pPr>
      <w:r>
        <w:rPr>
          <w:color w:val="231F20"/>
        </w:rPr>
        <w:t>IBM</w:t>
      </w:r>
      <w:r>
        <w:rPr>
          <w:color w:val="231F20"/>
          <w:spacing w:val="10"/>
        </w:rPr>
        <w:t> </w:t>
      </w:r>
      <w:r>
        <w:rPr>
          <w:color w:val="231F20"/>
        </w:rPr>
        <w:t>Support</w:t>
      </w:r>
      <w:r>
        <w:rPr>
          <w:color w:val="231F20"/>
          <w:spacing w:val="10"/>
        </w:rPr>
        <w:t> </w:t>
      </w:r>
      <w:r>
        <w:rPr>
          <w:color w:val="231F20"/>
          <w:spacing w:val="-2"/>
        </w:rPr>
        <w:t>Assistant</w:t>
      </w:r>
    </w:p>
    <w:p>
      <w:pPr>
        <w:pStyle w:val="BodyText"/>
        <w:spacing w:line="213" w:lineRule="auto" w:before="12"/>
        <w:ind w:left="3190" w:right="258"/>
      </w:pPr>
      <w:r>
        <w:rPr>
          <w:color w:val="231F20"/>
          <w:w w:val="105"/>
        </w:rPr>
        <w:t>The</w:t>
      </w:r>
      <w:r>
        <w:rPr>
          <w:color w:val="231F20"/>
          <w:spacing w:val="-1"/>
          <w:w w:val="105"/>
        </w:rPr>
        <w:t> </w:t>
      </w:r>
      <w:r>
        <w:rPr>
          <w:color w:val="231F20"/>
          <w:w w:val="105"/>
        </w:rPr>
        <w:t>IBM</w:t>
      </w:r>
      <w:r>
        <w:rPr>
          <w:color w:val="231F20"/>
          <w:spacing w:val="-1"/>
          <w:w w:val="105"/>
        </w:rPr>
        <w:t> </w:t>
      </w:r>
      <w:r>
        <w:rPr>
          <w:color w:val="231F20"/>
          <w:w w:val="105"/>
        </w:rPr>
        <w:t>Support</w:t>
      </w:r>
      <w:r>
        <w:rPr>
          <w:color w:val="231F20"/>
          <w:spacing w:val="-7"/>
          <w:w w:val="105"/>
        </w:rPr>
        <w:t> </w:t>
      </w:r>
      <w:r>
        <w:rPr>
          <w:color w:val="231F20"/>
          <w:w w:val="105"/>
        </w:rPr>
        <w:t>Assistant</w:t>
      </w:r>
      <w:r>
        <w:rPr>
          <w:color w:val="231F20"/>
          <w:spacing w:val="-1"/>
          <w:w w:val="105"/>
        </w:rPr>
        <w:t> </w:t>
      </w:r>
      <w:r>
        <w:rPr>
          <w:color w:val="231F20"/>
          <w:w w:val="105"/>
        </w:rPr>
        <w:t>(ISA)</w:t>
      </w:r>
      <w:r>
        <w:rPr>
          <w:color w:val="231F20"/>
          <w:spacing w:val="-1"/>
          <w:w w:val="105"/>
        </w:rPr>
        <w:t> </w:t>
      </w:r>
      <w:r>
        <w:rPr>
          <w:color w:val="231F20"/>
          <w:w w:val="105"/>
        </w:rPr>
        <w:t>is</w:t>
      </w:r>
      <w:r>
        <w:rPr>
          <w:color w:val="231F20"/>
          <w:spacing w:val="-1"/>
          <w:w w:val="105"/>
        </w:rPr>
        <w:t> </w:t>
      </w:r>
      <w:r>
        <w:rPr>
          <w:color w:val="231F20"/>
          <w:w w:val="105"/>
        </w:rPr>
        <w:t>a</w:t>
      </w:r>
      <w:r>
        <w:rPr>
          <w:color w:val="231F20"/>
          <w:spacing w:val="-1"/>
          <w:w w:val="105"/>
        </w:rPr>
        <w:t> </w:t>
      </w:r>
      <w:r>
        <w:rPr>
          <w:color w:val="231F20"/>
          <w:w w:val="105"/>
        </w:rPr>
        <w:t>free</w:t>
      </w:r>
      <w:r>
        <w:rPr>
          <w:color w:val="231F20"/>
          <w:spacing w:val="-1"/>
          <w:w w:val="105"/>
        </w:rPr>
        <w:t> </w:t>
      </w:r>
      <w:r>
        <w:rPr>
          <w:color w:val="231F20"/>
          <w:w w:val="105"/>
        </w:rPr>
        <w:t>local</w:t>
      </w:r>
      <w:r>
        <w:rPr>
          <w:color w:val="231F20"/>
          <w:spacing w:val="-1"/>
          <w:w w:val="105"/>
        </w:rPr>
        <w:t> </w:t>
      </w:r>
      <w:r>
        <w:rPr>
          <w:color w:val="231F20"/>
          <w:w w:val="105"/>
        </w:rPr>
        <w:t>software</w:t>
      </w:r>
      <w:r>
        <w:rPr>
          <w:color w:val="231F20"/>
          <w:spacing w:val="-1"/>
          <w:w w:val="105"/>
        </w:rPr>
        <w:t> </w:t>
      </w:r>
      <w:r>
        <w:rPr>
          <w:color w:val="231F20"/>
          <w:w w:val="105"/>
        </w:rPr>
        <w:t>serviceability workbench</w:t>
      </w:r>
      <w:r>
        <w:rPr>
          <w:color w:val="231F20"/>
          <w:spacing w:val="-3"/>
          <w:w w:val="105"/>
        </w:rPr>
        <w:t> </w:t>
      </w:r>
      <w:r>
        <w:rPr>
          <w:color w:val="231F20"/>
          <w:w w:val="105"/>
        </w:rPr>
        <w:t>that</w:t>
      </w:r>
      <w:r>
        <w:rPr>
          <w:color w:val="231F20"/>
          <w:spacing w:val="-3"/>
          <w:w w:val="105"/>
        </w:rPr>
        <w:t> </w:t>
      </w:r>
      <w:r>
        <w:rPr>
          <w:color w:val="231F20"/>
          <w:w w:val="105"/>
        </w:rPr>
        <w:t>helps</w:t>
      </w:r>
      <w:r>
        <w:rPr>
          <w:color w:val="231F20"/>
          <w:spacing w:val="-3"/>
          <w:w w:val="105"/>
        </w:rPr>
        <w:t> </w:t>
      </w:r>
      <w:r>
        <w:rPr>
          <w:color w:val="231F20"/>
          <w:w w:val="105"/>
        </w:rPr>
        <w:t>you</w:t>
      </w:r>
      <w:r>
        <w:rPr>
          <w:color w:val="231F20"/>
          <w:spacing w:val="-3"/>
          <w:w w:val="105"/>
        </w:rPr>
        <w:t> </w:t>
      </w:r>
      <w:r>
        <w:rPr>
          <w:color w:val="231F20"/>
          <w:w w:val="105"/>
        </w:rPr>
        <w:t>resolve</w:t>
      </w:r>
      <w:r>
        <w:rPr>
          <w:color w:val="231F20"/>
          <w:spacing w:val="-3"/>
          <w:w w:val="105"/>
        </w:rPr>
        <w:t> </w:t>
      </w:r>
      <w:r>
        <w:rPr>
          <w:color w:val="231F20"/>
          <w:w w:val="105"/>
        </w:rPr>
        <w:t>questions</w:t>
      </w:r>
      <w:r>
        <w:rPr>
          <w:color w:val="231F20"/>
          <w:spacing w:val="-3"/>
          <w:w w:val="105"/>
        </w:rPr>
        <w:t> </w:t>
      </w:r>
      <w:r>
        <w:rPr>
          <w:color w:val="231F20"/>
          <w:w w:val="105"/>
        </w:rPr>
        <w:t>and</w:t>
      </w:r>
      <w:r>
        <w:rPr>
          <w:color w:val="231F20"/>
          <w:spacing w:val="-3"/>
          <w:w w:val="105"/>
        </w:rPr>
        <w:t> </w:t>
      </w:r>
      <w:r>
        <w:rPr>
          <w:color w:val="231F20"/>
          <w:w w:val="105"/>
        </w:rPr>
        <w:t>problems</w:t>
      </w:r>
      <w:r>
        <w:rPr>
          <w:color w:val="231F20"/>
          <w:spacing w:val="-3"/>
          <w:w w:val="105"/>
        </w:rPr>
        <w:t> </w:t>
      </w:r>
      <w:r>
        <w:rPr>
          <w:color w:val="231F20"/>
          <w:w w:val="105"/>
        </w:rPr>
        <w:t>with</w:t>
      </w:r>
      <w:r>
        <w:rPr>
          <w:color w:val="231F20"/>
          <w:spacing w:val="-3"/>
          <w:w w:val="105"/>
        </w:rPr>
        <w:t> </w:t>
      </w:r>
      <w:r>
        <w:rPr>
          <w:color w:val="231F20"/>
          <w:w w:val="105"/>
        </w:rPr>
        <w:t>IBM software</w:t>
      </w:r>
      <w:r>
        <w:rPr>
          <w:color w:val="231F20"/>
          <w:spacing w:val="-7"/>
          <w:w w:val="105"/>
        </w:rPr>
        <w:t> </w:t>
      </w:r>
      <w:r>
        <w:rPr>
          <w:color w:val="231F20"/>
          <w:w w:val="105"/>
        </w:rPr>
        <w:t>products.</w:t>
      </w:r>
      <w:r>
        <w:rPr>
          <w:color w:val="231F20"/>
          <w:spacing w:val="-6"/>
          <w:w w:val="105"/>
        </w:rPr>
        <w:t> </w:t>
      </w:r>
      <w:r>
        <w:rPr>
          <w:color w:val="231F20"/>
          <w:w w:val="105"/>
        </w:rPr>
        <w:t>The</w:t>
      </w:r>
      <w:r>
        <w:rPr>
          <w:color w:val="231F20"/>
          <w:spacing w:val="-6"/>
          <w:w w:val="105"/>
        </w:rPr>
        <w:t> </w:t>
      </w:r>
      <w:r>
        <w:rPr>
          <w:color w:val="231F20"/>
          <w:w w:val="105"/>
        </w:rPr>
        <w:t>ISA</w:t>
      </w:r>
      <w:r>
        <w:rPr>
          <w:color w:val="231F20"/>
          <w:spacing w:val="-14"/>
          <w:w w:val="105"/>
        </w:rPr>
        <w:t> </w:t>
      </w:r>
      <w:r>
        <w:rPr>
          <w:color w:val="231F20"/>
          <w:w w:val="105"/>
        </w:rPr>
        <w:t>provides</w:t>
      </w:r>
      <w:r>
        <w:rPr>
          <w:color w:val="231F20"/>
          <w:spacing w:val="-5"/>
          <w:w w:val="105"/>
        </w:rPr>
        <w:t> </w:t>
      </w:r>
      <w:r>
        <w:rPr>
          <w:color w:val="231F20"/>
          <w:w w:val="105"/>
        </w:rPr>
        <w:t>quick</w:t>
      </w:r>
      <w:r>
        <w:rPr>
          <w:color w:val="231F20"/>
          <w:spacing w:val="-6"/>
          <w:w w:val="105"/>
        </w:rPr>
        <w:t> </w:t>
      </w:r>
      <w:r>
        <w:rPr>
          <w:color w:val="231F20"/>
          <w:w w:val="105"/>
        </w:rPr>
        <w:t>access</w:t>
      </w:r>
      <w:r>
        <w:rPr>
          <w:color w:val="231F20"/>
          <w:spacing w:val="-6"/>
          <w:w w:val="105"/>
        </w:rPr>
        <w:t> </w:t>
      </w:r>
      <w:r>
        <w:rPr>
          <w:color w:val="231F20"/>
          <w:w w:val="105"/>
        </w:rPr>
        <w:t>to</w:t>
      </w:r>
      <w:r>
        <w:rPr>
          <w:color w:val="231F20"/>
          <w:spacing w:val="-6"/>
          <w:w w:val="105"/>
        </w:rPr>
        <w:t> </w:t>
      </w:r>
      <w:r>
        <w:rPr>
          <w:color w:val="231F20"/>
          <w:w w:val="105"/>
        </w:rPr>
        <w:t>support-related </w:t>
      </w:r>
      <w:r>
        <w:rPr>
          <w:color w:val="231F20"/>
        </w:rPr>
        <w:t>information and serviceability tools for problem determination. To install </w:t>
      </w:r>
      <w:r>
        <w:rPr>
          <w:color w:val="231F20"/>
          <w:w w:val="105"/>
        </w:rPr>
        <w:t>the</w:t>
      </w:r>
      <w:r>
        <w:rPr>
          <w:color w:val="231F20"/>
          <w:spacing w:val="-10"/>
          <w:w w:val="105"/>
        </w:rPr>
        <w:t> </w:t>
      </w:r>
      <w:r>
        <w:rPr>
          <w:color w:val="231F20"/>
          <w:w w:val="105"/>
        </w:rPr>
        <w:t>ISA</w:t>
      </w:r>
      <w:r>
        <w:rPr>
          <w:color w:val="231F20"/>
          <w:spacing w:val="-13"/>
          <w:w w:val="105"/>
        </w:rPr>
        <w:t> </w:t>
      </w:r>
      <w:r>
        <w:rPr>
          <w:color w:val="231F20"/>
          <w:w w:val="105"/>
        </w:rPr>
        <w:t>software,</w:t>
      </w:r>
      <w:r>
        <w:rPr>
          <w:color w:val="231F20"/>
          <w:spacing w:val="-10"/>
          <w:w w:val="105"/>
        </w:rPr>
        <w:t> </w:t>
      </w:r>
      <w:r>
        <w:rPr>
          <w:color w:val="231F20"/>
          <w:w w:val="105"/>
        </w:rPr>
        <w:t>go</w:t>
      </w:r>
      <w:r>
        <w:rPr>
          <w:color w:val="231F20"/>
          <w:spacing w:val="-9"/>
          <w:w w:val="105"/>
        </w:rPr>
        <w:t> </w:t>
      </w:r>
      <w:r>
        <w:rPr>
          <w:color w:val="231F20"/>
          <w:w w:val="105"/>
        </w:rPr>
        <w:t>to</w:t>
      </w:r>
      <w:r>
        <w:rPr>
          <w:color w:val="231F20"/>
          <w:spacing w:val="-10"/>
          <w:w w:val="105"/>
        </w:rPr>
        <w:t> </w:t>
      </w:r>
      <w:hyperlink r:id="rId515">
        <w:r>
          <w:rPr>
            <w:color w:val="231F20"/>
            <w:w w:val="105"/>
          </w:rPr>
          <w:t>IBM</w:t>
        </w:r>
        <w:r>
          <w:rPr>
            <w:color w:val="231F20"/>
            <w:spacing w:val="-10"/>
            <w:w w:val="105"/>
          </w:rPr>
          <w:t> </w:t>
        </w:r>
        <w:r>
          <w:rPr>
            <w:color w:val="231F20"/>
            <w:w w:val="105"/>
          </w:rPr>
          <w:t>Support</w:t>
        </w:r>
        <w:r>
          <w:rPr>
            <w:color w:val="231F20"/>
            <w:spacing w:val="-13"/>
            <w:w w:val="105"/>
          </w:rPr>
          <w:t> </w:t>
        </w:r>
        <w:r>
          <w:rPr>
            <w:color w:val="231F20"/>
            <w:w w:val="105"/>
          </w:rPr>
          <w:t>Assistant</w:t>
        </w:r>
      </w:hyperlink>
      <w:r>
        <w:rPr>
          <w:color w:val="231F20"/>
          <w:spacing w:val="-9"/>
          <w:w w:val="105"/>
        </w:rPr>
        <w:t> </w:t>
      </w:r>
      <w:hyperlink r:id="rId516">
        <w:r>
          <w:rPr>
            <w:color w:val="231F20"/>
            <w:w w:val="105"/>
          </w:rPr>
          <w:t>(http://www-01.ibm.com/</w:t>
        </w:r>
      </w:hyperlink>
      <w:r>
        <w:rPr>
          <w:color w:val="231F20"/>
          <w:w w:val="105"/>
        </w:rPr>
        <w:t> </w:t>
      </w:r>
      <w:r>
        <w:rPr>
          <w:color w:val="231F20"/>
          <w:spacing w:val="-2"/>
          <w:w w:val="105"/>
        </w:rPr>
        <w:t>software/support/isa).</w:t>
      </w:r>
    </w:p>
    <w:p>
      <w:pPr>
        <w:pStyle w:val="Heading6"/>
        <w:spacing w:before="114"/>
      </w:pPr>
      <w:r>
        <w:rPr>
          <w:color w:val="231F20"/>
          <w:spacing w:val="-2"/>
        </w:rPr>
        <w:t>Troubleshooting</w:t>
      </w:r>
      <w:r>
        <w:rPr>
          <w:color w:val="231F20"/>
          <w:spacing w:val="7"/>
        </w:rPr>
        <w:t> </w:t>
      </w:r>
      <w:r>
        <w:rPr>
          <w:color w:val="231F20"/>
          <w:spacing w:val="-2"/>
        </w:rPr>
        <w:t>Guide</w:t>
      </w:r>
    </w:p>
    <w:p>
      <w:pPr>
        <w:pStyle w:val="BodyText"/>
        <w:spacing w:line="213" w:lineRule="auto" w:before="11"/>
        <w:ind w:left="3190"/>
      </w:pPr>
      <w:r>
        <w:rPr>
          <w:color w:val="231F20"/>
        </w:rPr>
        <w:t>For more information about resolving problems, see the </w:t>
      </w:r>
      <w:r>
        <w:rPr>
          <w:color w:val="231F20"/>
        </w:rPr>
        <w:t>product's Troubleshooting Guide.</w:t>
      </w:r>
    </w:p>
    <w:p>
      <w:pPr>
        <w:pStyle w:val="BodyText"/>
        <w:spacing w:before="6"/>
        <w:rPr>
          <w:sz w:val="16"/>
        </w:rPr>
      </w:pPr>
      <w:r>
        <w:rPr/>
        <mc:AlternateContent>
          <mc:Choice Requires="wps">
            <w:drawing>
              <wp:anchor distT="0" distB="0" distL="0" distR="0" allowOverlap="1" layoutInCell="1" locked="0" behindDoc="1" simplePos="0" relativeHeight="487762432">
                <wp:simplePos x="0" y="0"/>
                <wp:positionH relativeFrom="page">
                  <wp:posOffset>912380</wp:posOffset>
                </wp:positionH>
                <wp:positionV relativeFrom="paragraph">
                  <wp:posOffset>156318</wp:posOffset>
                </wp:positionV>
                <wp:extent cx="6082665" cy="1270"/>
                <wp:effectExtent l="0" t="0" r="0" b="0"/>
                <wp:wrapTopAndBottom/>
                <wp:docPr id="3447" name="Graphic 3447"/>
                <wp:cNvGraphicFramePr>
                  <a:graphicFrameLocks/>
                </wp:cNvGraphicFramePr>
                <a:graphic>
                  <a:graphicData uri="http://schemas.microsoft.com/office/word/2010/wordprocessingShape">
                    <wps:wsp>
                      <wps:cNvPr id="3447" name="Graphic 3447"/>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2.308551pt;width:478.95pt;height:.1pt;mso-position-horizontal-relative:page;mso-position-vertical-relative:paragraph;z-index:-15554048;mso-wrap-distance-left:0;mso-wrap-distance-right:0" id="docshape317" coordorigin="1437,246" coordsize="9579,0" path="m1437,246l11016,246e" filled="false" stroked="true" strokeweight=".499pt" strokecolor="#231f20">
                <v:path arrowok="t"/>
                <v:stroke dashstyle="solid"/>
                <w10:wrap type="topAndBottom"/>
              </v:shape>
            </w:pict>
          </mc:Fallback>
        </mc:AlternateContent>
      </w:r>
    </w:p>
    <w:p>
      <w:pPr>
        <w:pStyle w:val="Heading3"/>
      </w:pPr>
      <w:r>
        <w:rPr>
          <w:color w:val="231F20"/>
        </w:rPr>
        <w:t>Using</w:t>
      </w:r>
      <w:r>
        <w:rPr>
          <w:color w:val="231F20"/>
          <w:spacing w:val="6"/>
        </w:rPr>
        <w:t> </w:t>
      </w:r>
      <w:r>
        <w:rPr>
          <w:color w:val="231F20"/>
        </w:rPr>
        <w:t>IBM</w:t>
      </w:r>
      <w:r>
        <w:rPr>
          <w:color w:val="231F20"/>
          <w:spacing w:val="7"/>
        </w:rPr>
        <w:t> </w:t>
      </w:r>
      <w:r>
        <w:rPr>
          <w:color w:val="231F20"/>
        </w:rPr>
        <w:t>Support</w:t>
      </w:r>
      <w:r>
        <w:rPr>
          <w:color w:val="231F20"/>
          <w:spacing w:val="-3"/>
        </w:rPr>
        <w:t> </w:t>
      </w:r>
      <w:r>
        <w:rPr>
          <w:color w:val="231F20"/>
          <w:spacing w:val="-2"/>
        </w:rPr>
        <w:t>Assistant</w:t>
      </w:r>
    </w:p>
    <w:p>
      <w:pPr>
        <w:pStyle w:val="BodyText"/>
        <w:spacing w:line="213" w:lineRule="auto" w:before="138"/>
        <w:ind w:left="2472" w:right="258"/>
      </w:pPr>
      <w:r>
        <w:rPr>
          <w:color w:val="231F20"/>
        </w:rPr>
        <w:t>The IBM Support Assistant is a free, stand-alone application that you can install </w:t>
      </w:r>
      <w:r>
        <w:rPr>
          <w:color w:val="231F20"/>
        </w:rPr>
        <w:t>on any workstation. You can then enhance the application by installing</w:t>
      </w:r>
    </w:p>
    <w:p>
      <w:pPr>
        <w:pStyle w:val="BodyText"/>
        <w:spacing w:line="245" w:lineRule="exact"/>
        <w:ind w:left="2472"/>
      </w:pPr>
      <w:r>
        <w:rPr>
          <w:color w:val="231F20"/>
        </w:rPr>
        <w:t>product-specific</w:t>
      </w:r>
      <w:r>
        <w:rPr>
          <w:color w:val="231F20"/>
          <w:spacing w:val="8"/>
        </w:rPr>
        <w:t> </w:t>
      </w:r>
      <w:r>
        <w:rPr>
          <w:color w:val="231F20"/>
        </w:rPr>
        <w:t>plug-in</w:t>
      </w:r>
      <w:r>
        <w:rPr>
          <w:color w:val="231F20"/>
          <w:spacing w:val="9"/>
        </w:rPr>
        <w:t> </w:t>
      </w:r>
      <w:r>
        <w:rPr>
          <w:color w:val="231F20"/>
        </w:rPr>
        <w:t>modules</w:t>
      </w:r>
      <w:r>
        <w:rPr>
          <w:color w:val="231F20"/>
          <w:spacing w:val="9"/>
        </w:rPr>
        <w:t> </w:t>
      </w:r>
      <w:r>
        <w:rPr>
          <w:color w:val="231F20"/>
        </w:rPr>
        <w:t>for</w:t>
      </w:r>
      <w:r>
        <w:rPr>
          <w:color w:val="231F20"/>
          <w:spacing w:val="9"/>
        </w:rPr>
        <w:t> </w:t>
      </w:r>
      <w:r>
        <w:rPr>
          <w:color w:val="231F20"/>
        </w:rPr>
        <w:t>the</w:t>
      </w:r>
      <w:r>
        <w:rPr>
          <w:color w:val="231F20"/>
          <w:spacing w:val="9"/>
        </w:rPr>
        <w:t> </w:t>
      </w:r>
      <w:r>
        <w:rPr>
          <w:color w:val="231F20"/>
        </w:rPr>
        <w:t>IBM</w:t>
      </w:r>
      <w:r>
        <w:rPr>
          <w:color w:val="231F20"/>
          <w:spacing w:val="9"/>
        </w:rPr>
        <w:t> </w:t>
      </w:r>
      <w:r>
        <w:rPr>
          <w:color w:val="231F20"/>
        </w:rPr>
        <w:t>products</w:t>
      </w:r>
      <w:r>
        <w:rPr>
          <w:color w:val="231F20"/>
          <w:spacing w:val="9"/>
        </w:rPr>
        <w:t> </w:t>
      </w:r>
      <w:r>
        <w:rPr>
          <w:color w:val="231F20"/>
        </w:rPr>
        <w:t>you</w:t>
      </w:r>
      <w:r>
        <w:rPr>
          <w:color w:val="231F20"/>
          <w:spacing w:val="9"/>
        </w:rPr>
        <w:t> </w:t>
      </w:r>
      <w:r>
        <w:rPr>
          <w:color w:val="231F20"/>
          <w:spacing w:val="-4"/>
        </w:rPr>
        <w:t>use.</w:t>
      </w:r>
    </w:p>
    <w:p>
      <w:pPr>
        <w:pStyle w:val="BodyText"/>
        <w:spacing w:line="213" w:lineRule="auto" w:before="233"/>
        <w:ind w:left="2472" w:right="488"/>
      </w:pPr>
      <w:r>
        <w:rPr>
          <w:color w:val="231F20"/>
        </w:rPr>
        <w:t>The IBM Support Assistant saves you the time it takes to search the product, support, and educational resources. The IBM Support Assistant helps you </w:t>
      </w:r>
      <w:r>
        <w:rPr>
          <w:color w:val="231F20"/>
        </w:rPr>
        <w:t>gather support information when you need to open a problem management record (PMR), which you can then use to track the problem.</w:t>
      </w:r>
    </w:p>
    <w:p>
      <w:pPr>
        <w:pStyle w:val="BodyText"/>
        <w:spacing w:before="213"/>
        <w:ind w:left="2472"/>
      </w:pPr>
      <w:r>
        <w:rPr>
          <w:color w:val="231F20"/>
        </w:rPr>
        <w:t>The</w:t>
      </w:r>
      <w:r>
        <w:rPr>
          <w:color w:val="231F20"/>
          <w:spacing w:val="8"/>
        </w:rPr>
        <w:t> </w:t>
      </w:r>
      <w:r>
        <w:rPr>
          <w:color w:val="231F20"/>
        </w:rPr>
        <w:t>product-specific</w:t>
      </w:r>
      <w:r>
        <w:rPr>
          <w:color w:val="231F20"/>
          <w:spacing w:val="9"/>
        </w:rPr>
        <w:t> </w:t>
      </w:r>
      <w:r>
        <w:rPr>
          <w:color w:val="231F20"/>
        </w:rPr>
        <w:t>plug-in</w:t>
      </w:r>
      <w:r>
        <w:rPr>
          <w:color w:val="231F20"/>
          <w:spacing w:val="9"/>
        </w:rPr>
        <w:t> </w:t>
      </w:r>
      <w:r>
        <w:rPr>
          <w:color w:val="231F20"/>
        </w:rPr>
        <w:t>modules</w:t>
      </w:r>
      <w:r>
        <w:rPr>
          <w:color w:val="231F20"/>
          <w:spacing w:val="8"/>
        </w:rPr>
        <w:t> </w:t>
      </w:r>
      <w:r>
        <w:rPr>
          <w:color w:val="231F20"/>
        </w:rPr>
        <w:t>provide</w:t>
      </w:r>
      <w:r>
        <w:rPr>
          <w:color w:val="231F20"/>
          <w:spacing w:val="9"/>
        </w:rPr>
        <w:t> </w:t>
      </w:r>
      <w:r>
        <w:rPr>
          <w:color w:val="231F20"/>
        </w:rPr>
        <w:t>you</w:t>
      </w:r>
      <w:r>
        <w:rPr>
          <w:color w:val="231F20"/>
          <w:spacing w:val="9"/>
        </w:rPr>
        <w:t> </w:t>
      </w:r>
      <w:r>
        <w:rPr>
          <w:color w:val="231F20"/>
        </w:rPr>
        <w:t>with</w:t>
      </w:r>
      <w:r>
        <w:rPr>
          <w:color w:val="231F20"/>
          <w:spacing w:val="8"/>
        </w:rPr>
        <w:t> </w:t>
      </w:r>
      <w:r>
        <w:rPr>
          <w:color w:val="231F20"/>
        </w:rPr>
        <w:t>the</w:t>
      </w:r>
      <w:r>
        <w:rPr>
          <w:color w:val="231F20"/>
          <w:spacing w:val="9"/>
        </w:rPr>
        <w:t> </w:t>
      </w:r>
      <w:r>
        <w:rPr>
          <w:color w:val="231F20"/>
        </w:rPr>
        <w:t>following</w:t>
      </w:r>
      <w:r>
        <w:rPr>
          <w:color w:val="231F20"/>
          <w:spacing w:val="9"/>
        </w:rPr>
        <w:t> </w:t>
      </w:r>
      <w:r>
        <w:rPr>
          <w:color w:val="231F20"/>
          <w:spacing w:val="-2"/>
        </w:rPr>
        <w:t>resources:</w:t>
      </w:r>
    </w:p>
    <w:p>
      <w:pPr>
        <w:pStyle w:val="BodyText"/>
        <w:spacing w:before="30"/>
        <w:ind w:left="2472"/>
      </w:pPr>
      <w:r>
        <w:rPr>
          <w:rFonts w:ascii="Futura MdCn BT"/>
          <w:color w:val="231F20"/>
        </w:rPr>
        <w:t>v</w:t>
      </w:r>
      <w:r>
        <w:rPr>
          <w:rFonts w:ascii="Futura MdCn BT"/>
          <w:color w:val="231F20"/>
          <w:spacing w:val="33"/>
        </w:rPr>
        <w:t>  </w:t>
      </w:r>
      <w:r>
        <w:rPr>
          <w:color w:val="231F20"/>
        </w:rPr>
        <w:t>Support</w:t>
      </w:r>
      <w:r>
        <w:rPr>
          <w:color w:val="231F20"/>
          <w:spacing w:val="14"/>
        </w:rPr>
        <w:t> </w:t>
      </w:r>
      <w:r>
        <w:rPr>
          <w:color w:val="231F20"/>
          <w:spacing w:val="-2"/>
        </w:rPr>
        <w:t>links</w:t>
      </w:r>
    </w:p>
    <w:p>
      <w:pPr>
        <w:pStyle w:val="BodyText"/>
        <w:spacing w:before="29"/>
        <w:ind w:left="2472"/>
      </w:pPr>
      <w:r>
        <w:rPr>
          <w:rFonts w:ascii="Futura MdCn BT"/>
          <w:color w:val="231F20"/>
        </w:rPr>
        <w:t>v</w:t>
      </w:r>
      <w:r>
        <w:rPr>
          <w:rFonts w:ascii="Futura MdCn BT"/>
          <w:color w:val="231F20"/>
          <w:spacing w:val="32"/>
        </w:rPr>
        <w:t>  </w:t>
      </w:r>
      <w:r>
        <w:rPr>
          <w:color w:val="231F20"/>
        </w:rPr>
        <w:t>Education</w:t>
      </w:r>
      <w:r>
        <w:rPr>
          <w:color w:val="231F20"/>
          <w:spacing w:val="14"/>
        </w:rPr>
        <w:t> </w:t>
      </w:r>
      <w:r>
        <w:rPr>
          <w:color w:val="231F20"/>
          <w:spacing w:val="-2"/>
        </w:rPr>
        <w:t>links</w:t>
      </w:r>
    </w:p>
    <w:p>
      <w:pPr>
        <w:pStyle w:val="BodyText"/>
        <w:spacing w:before="30"/>
        <w:ind w:left="2472"/>
      </w:pPr>
      <w:r>
        <w:rPr>
          <w:rFonts w:ascii="Futura MdCn BT"/>
          <w:color w:val="231F20"/>
        </w:rPr>
        <w:t>v</w:t>
      </w:r>
      <w:r>
        <w:rPr>
          <w:rFonts w:ascii="Futura MdCn BT"/>
          <w:color w:val="231F20"/>
          <w:spacing w:val="79"/>
          <w:w w:val="150"/>
        </w:rPr>
        <w:t> </w:t>
      </w:r>
      <w:r>
        <w:rPr>
          <w:color w:val="231F20"/>
        </w:rPr>
        <w:t>Ability</w:t>
      </w:r>
      <w:r>
        <w:rPr>
          <w:color w:val="231F20"/>
          <w:spacing w:val="11"/>
        </w:rPr>
        <w:t> </w:t>
      </w:r>
      <w:r>
        <w:rPr>
          <w:color w:val="231F20"/>
        </w:rPr>
        <w:t>to</w:t>
      </w:r>
      <w:r>
        <w:rPr>
          <w:color w:val="231F20"/>
          <w:spacing w:val="10"/>
        </w:rPr>
        <w:t> </w:t>
      </w:r>
      <w:r>
        <w:rPr>
          <w:color w:val="231F20"/>
        </w:rPr>
        <w:t>submit</w:t>
      </w:r>
      <w:r>
        <w:rPr>
          <w:color w:val="231F20"/>
          <w:spacing w:val="11"/>
        </w:rPr>
        <w:t> </w:t>
      </w:r>
      <w:r>
        <w:rPr>
          <w:color w:val="231F20"/>
        </w:rPr>
        <w:t>problem</w:t>
      </w:r>
      <w:r>
        <w:rPr>
          <w:color w:val="231F20"/>
          <w:spacing w:val="11"/>
        </w:rPr>
        <w:t> </w:t>
      </w:r>
      <w:r>
        <w:rPr>
          <w:color w:val="231F20"/>
        </w:rPr>
        <w:t>management</w:t>
      </w:r>
      <w:r>
        <w:rPr>
          <w:color w:val="231F20"/>
          <w:spacing w:val="11"/>
        </w:rPr>
        <w:t> </w:t>
      </w:r>
      <w:r>
        <w:rPr>
          <w:color w:val="231F20"/>
          <w:spacing w:val="-2"/>
        </w:rPr>
        <w:t>reports</w:t>
      </w:r>
    </w:p>
    <w:p>
      <w:pPr>
        <w:pStyle w:val="BodyText"/>
        <w:spacing w:line="213" w:lineRule="auto" w:before="112"/>
        <w:ind w:left="2472" w:right="274"/>
      </w:pPr>
      <w:r>
        <w:rPr>
          <w:color w:val="231F20"/>
          <w:w w:val="105"/>
        </w:rPr>
        <w:t>For</w:t>
      </w:r>
      <w:r>
        <w:rPr>
          <w:color w:val="231F20"/>
          <w:spacing w:val="-2"/>
          <w:w w:val="105"/>
        </w:rPr>
        <w:t> </w:t>
      </w:r>
      <w:r>
        <w:rPr>
          <w:color w:val="231F20"/>
          <w:w w:val="105"/>
        </w:rPr>
        <w:t>more</w:t>
      </w:r>
      <w:r>
        <w:rPr>
          <w:color w:val="231F20"/>
          <w:spacing w:val="-2"/>
          <w:w w:val="105"/>
        </w:rPr>
        <w:t> </w:t>
      </w:r>
      <w:r>
        <w:rPr>
          <w:color w:val="231F20"/>
          <w:w w:val="105"/>
        </w:rPr>
        <w:t>information,</w:t>
      </w:r>
      <w:r>
        <w:rPr>
          <w:color w:val="231F20"/>
          <w:spacing w:val="-2"/>
          <w:w w:val="105"/>
        </w:rPr>
        <w:t> </w:t>
      </w:r>
      <w:r>
        <w:rPr>
          <w:color w:val="231F20"/>
          <w:w w:val="105"/>
        </w:rPr>
        <w:t>and</w:t>
      </w:r>
      <w:r>
        <w:rPr>
          <w:color w:val="231F20"/>
          <w:spacing w:val="-2"/>
          <w:w w:val="105"/>
        </w:rPr>
        <w:t> </w:t>
      </w:r>
      <w:r>
        <w:rPr>
          <w:color w:val="231F20"/>
          <w:w w:val="105"/>
        </w:rPr>
        <w:t>to</w:t>
      </w:r>
      <w:r>
        <w:rPr>
          <w:color w:val="231F20"/>
          <w:spacing w:val="-2"/>
          <w:w w:val="105"/>
        </w:rPr>
        <w:t> </w:t>
      </w:r>
      <w:r>
        <w:rPr>
          <w:color w:val="231F20"/>
          <w:w w:val="105"/>
        </w:rPr>
        <w:t>download</w:t>
      </w:r>
      <w:r>
        <w:rPr>
          <w:color w:val="231F20"/>
          <w:spacing w:val="-2"/>
          <w:w w:val="105"/>
        </w:rPr>
        <w:t> </w:t>
      </w:r>
      <w:r>
        <w:rPr>
          <w:color w:val="231F20"/>
          <w:w w:val="105"/>
        </w:rPr>
        <w:t>the</w:t>
      </w:r>
      <w:r>
        <w:rPr>
          <w:color w:val="231F20"/>
          <w:spacing w:val="-2"/>
          <w:w w:val="105"/>
        </w:rPr>
        <w:t> </w:t>
      </w:r>
      <w:r>
        <w:rPr>
          <w:color w:val="231F20"/>
          <w:w w:val="105"/>
        </w:rPr>
        <w:t>IBM</w:t>
      </w:r>
      <w:r>
        <w:rPr>
          <w:color w:val="231F20"/>
          <w:spacing w:val="-2"/>
          <w:w w:val="105"/>
        </w:rPr>
        <w:t> </w:t>
      </w:r>
      <w:r>
        <w:rPr>
          <w:color w:val="231F20"/>
          <w:w w:val="105"/>
        </w:rPr>
        <w:t>Support</w:t>
      </w:r>
      <w:r>
        <w:rPr>
          <w:color w:val="231F20"/>
          <w:spacing w:val="-7"/>
          <w:w w:val="105"/>
        </w:rPr>
        <w:t> </w:t>
      </w:r>
      <w:r>
        <w:rPr>
          <w:color w:val="231F20"/>
          <w:w w:val="105"/>
        </w:rPr>
        <w:t>Assistant,</w:t>
      </w:r>
      <w:r>
        <w:rPr>
          <w:color w:val="231F20"/>
          <w:spacing w:val="-2"/>
          <w:w w:val="105"/>
        </w:rPr>
        <w:t> </w:t>
      </w:r>
      <w:r>
        <w:rPr>
          <w:color w:val="231F20"/>
          <w:w w:val="105"/>
        </w:rPr>
        <w:t>see </w:t>
      </w:r>
      <w:hyperlink r:id="rId411">
        <w:r>
          <w:rPr>
            <w:color w:val="231F20"/>
            <w:w w:val="105"/>
          </w:rPr>
          <w:t>http://www.ibm.com/software/support/isa.</w:t>
        </w:r>
      </w:hyperlink>
      <w:r>
        <w:rPr>
          <w:color w:val="231F20"/>
          <w:spacing w:val="-12"/>
          <w:w w:val="105"/>
        </w:rPr>
        <w:t> </w:t>
      </w:r>
      <w:r>
        <w:rPr>
          <w:color w:val="231F20"/>
          <w:w w:val="105"/>
        </w:rPr>
        <w:t>After</w:t>
      </w:r>
      <w:r>
        <w:rPr>
          <w:color w:val="231F20"/>
          <w:spacing w:val="-8"/>
          <w:w w:val="105"/>
        </w:rPr>
        <w:t> </w:t>
      </w:r>
      <w:r>
        <w:rPr>
          <w:color w:val="231F20"/>
          <w:w w:val="105"/>
        </w:rPr>
        <w:t>you</w:t>
      </w:r>
      <w:r>
        <w:rPr>
          <w:color w:val="231F20"/>
          <w:spacing w:val="-8"/>
          <w:w w:val="105"/>
        </w:rPr>
        <w:t> </w:t>
      </w:r>
      <w:r>
        <w:rPr>
          <w:color w:val="231F20"/>
          <w:w w:val="105"/>
        </w:rPr>
        <w:t>download</w:t>
      </w:r>
      <w:r>
        <w:rPr>
          <w:color w:val="231F20"/>
          <w:spacing w:val="-8"/>
          <w:w w:val="105"/>
        </w:rPr>
        <w:t> </w:t>
      </w:r>
      <w:r>
        <w:rPr>
          <w:color w:val="231F20"/>
          <w:w w:val="105"/>
        </w:rPr>
        <w:t>and</w:t>
      </w:r>
      <w:r>
        <w:rPr>
          <w:color w:val="231F20"/>
          <w:spacing w:val="-8"/>
          <w:w w:val="105"/>
        </w:rPr>
        <w:t> </w:t>
      </w:r>
      <w:r>
        <w:rPr>
          <w:color w:val="231F20"/>
          <w:w w:val="105"/>
        </w:rPr>
        <w:t>install</w:t>
      </w:r>
      <w:r>
        <w:rPr>
          <w:color w:val="231F20"/>
          <w:spacing w:val="-8"/>
          <w:w w:val="105"/>
        </w:rPr>
        <w:t> </w:t>
      </w:r>
      <w:r>
        <w:rPr>
          <w:color w:val="231F20"/>
          <w:w w:val="105"/>
        </w:rPr>
        <w:t>the IBM</w:t>
      </w:r>
      <w:r>
        <w:rPr>
          <w:color w:val="231F20"/>
          <w:spacing w:val="-2"/>
          <w:w w:val="105"/>
        </w:rPr>
        <w:t> </w:t>
      </w:r>
      <w:r>
        <w:rPr>
          <w:color w:val="231F20"/>
          <w:w w:val="105"/>
        </w:rPr>
        <w:t>Support</w:t>
      </w:r>
      <w:r>
        <w:rPr>
          <w:color w:val="231F20"/>
          <w:spacing w:val="-7"/>
          <w:w w:val="105"/>
        </w:rPr>
        <w:t> </w:t>
      </w:r>
      <w:r>
        <w:rPr>
          <w:color w:val="231F20"/>
          <w:w w:val="105"/>
        </w:rPr>
        <w:t>Assistant,</w:t>
      </w:r>
      <w:r>
        <w:rPr>
          <w:color w:val="231F20"/>
          <w:spacing w:val="-2"/>
          <w:w w:val="105"/>
        </w:rPr>
        <w:t> </w:t>
      </w:r>
      <w:r>
        <w:rPr>
          <w:color w:val="231F20"/>
          <w:w w:val="105"/>
        </w:rPr>
        <w:t>follow</w:t>
      </w:r>
      <w:r>
        <w:rPr>
          <w:color w:val="231F20"/>
          <w:spacing w:val="-2"/>
          <w:w w:val="105"/>
        </w:rPr>
        <w:t> </w:t>
      </w:r>
      <w:r>
        <w:rPr>
          <w:color w:val="231F20"/>
          <w:w w:val="105"/>
        </w:rPr>
        <w:t>these</w:t>
      </w:r>
      <w:r>
        <w:rPr>
          <w:color w:val="231F20"/>
          <w:spacing w:val="-2"/>
          <w:w w:val="105"/>
        </w:rPr>
        <w:t> </w:t>
      </w:r>
      <w:r>
        <w:rPr>
          <w:color w:val="231F20"/>
          <w:w w:val="105"/>
        </w:rPr>
        <w:t>steps</w:t>
      </w:r>
      <w:r>
        <w:rPr>
          <w:color w:val="231F20"/>
          <w:spacing w:val="-2"/>
          <w:w w:val="105"/>
        </w:rPr>
        <w:t> </w:t>
      </w:r>
      <w:r>
        <w:rPr>
          <w:color w:val="231F20"/>
          <w:w w:val="105"/>
        </w:rPr>
        <w:t>to</w:t>
      </w:r>
      <w:r>
        <w:rPr>
          <w:color w:val="231F20"/>
          <w:spacing w:val="-2"/>
          <w:w w:val="105"/>
        </w:rPr>
        <w:t> </w:t>
      </w:r>
      <w:r>
        <w:rPr>
          <w:color w:val="231F20"/>
          <w:w w:val="105"/>
        </w:rPr>
        <w:t>install</w:t>
      </w:r>
      <w:r>
        <w:rPr>
          <w:color w:val="231F20"/>
          <w:spacing w:val="-2"/>
          <w:w w:val="105"/>
        </w:rPr>
        <w:t> </w:t>
      </w:r>
      <w:r>
        <w:rPr>
          <w:color w:val="231F20"/>
          <w:w w:val="105"/>
        </w:rPr>
        <w:t>the</w:t>
      </w:r>
      <w:r>
        <w:rPr>
          <w:color w:val="231F20"/>
          <w:spacing w:val="-2"/>
          <w:w w:val="105"/>
        </w:rPr>
        <w:t> </w:t>
      </w:r>
      <w:r>
        <w:rPr>
          <w:color w:val="231F20"/>
          <w:w w:val="105"/>
        </w:rPr>
        <w:t>plug-in</w:t>
      </w:r>
      <w:r>
        <w:rPr>
          <w:color w:val="231F20"/>
          <w:spacing w:val="-2"/>
          <w:w w:val="105"/>
        </w:rPr>
        <w:t> </w:t>
      </w:r>
      <w:r>
        <w:rPr>
          <w:color w:val="231F20"/>
          <w:w w:val="105"/>
        </w:rPr>
        <w:t>for</w:t>
      </w:r>
      <w:r>
        <w:rPr>
          <w:color w:val="231F20"/>
          <w:spacing w:val="-2"/>
          <w:w w:val="105"/>
        </w:rPr>
        <w:t> </w:t>
      </w:r>
      <w:r>
        <w:rPr>
          <w:color w:val="231F20"/>
          <w:w w:val="105"/>
        </w:rPr>
        <w:t>your</w:t>
      </w:r>
      <w:r>
        <w:rPr>
          <w:color w:val="231F20"/>
          <w:spacing w:val="-2"/>
          <w:w w:val="105"/>
        </w:rPr>
        <w:t> </w:t>
      </w:r>
      <w:r>
        <w:rPr>
          <w:color w:val="231F20"/>
          <w:w w:val="105"/>
        </w:rPr>
        <w:t>Tivoli </w:t>
      </w:r>
      <w:r>
        <w:rPr>
          <w:color w:val="231F20"/>
          <w:spacing w:val="-2"/>
          <w:w w:val="105"/>
        </w:rPr>
        <w:t>product:</w:t>
      </w:r>
    </w:p>
    <w:p>
      <w:pPr>
        <w:pStyle w:val="ListParagraph"/>
        <w:numPr>
          <w:ilvl w:val="0"/>
          <w:numId w:val="195"/>
        </w:numPr>
        <w:tabs>
          <w:tab w:pos="2787" w:val="left" w:leader="none"/>
        </w:tabs>
        <w:spacing w:line="240" w:lineRule="auto" w:before="34" w:after="0"/>
        <w:ind w:left="2787" w:right="0" w:hanging="315"/>
        <w:jc w:val="left"/>
        <w:rPr>
          <w:sz w:val="20"/>
        </w:rPr>
      </w:pPr>
      <w:r>
        <w:rPr>
          <w:color w:val="231F20"/>
          <w:sz w:val="20"/>
        </w:rPr>
        <w:t>Start</w:t>
      </w:r>
      <w:r>
        <w:rPr>
          <w:color w:val="231F20"/>
          <w:spacing w:val="10"/>
          <w:sz w:val="20"/>
        </w:rPr>
        <w:t> </w:t>
      </w:r>
      <w:r>
        <w:rPr>
          <w:color w:val="231F20"/>
          <w:sz w:val="20"/>
        </w:rPr>
        <w:t>the</w:t>
      </w:r>
      <w:r>
        <w:rPr>
          <w:color w:val="231F20"/>
          <w:spacing w:val="11"/>
          <w:sz w:val="20"/>
        </w:rPr>
        <w:t> </w:t>
      </w:r>
      <w:r>
        <w:rPr>
          <w:color w:val="231F20"/>
          <w:sz w:val="20"/>
        </w:rPr>
        <w:t>IBM</w:t>
      </w:r>
      <w:r>
        <w:rPr>
          <w:color w:val="231F20"/>
          <w:spacing w:val="11"/>
          <w:sz w:val="20"/>
        </w:rPr>
        <w:t> </w:t>
      </w:r>
      <w:r>
        <w:rPr>
          <w:color w:val="231F20"/>
          <w:sz w:val="20"/>
        </w:rPr>
        <w:t>Support</w:t>
      </w:r>
      <w:r>
        <w:rPr>
          <w:color w:val="231F20"/>
          <w:spacing w:val="4"/>
          <w:sz w:val="20"/>
        </w:rPr>
        <w:t> </w:t>
      </w:r>
      <w:r>
        <w:rPr>
          <w:color w:val="231F20"/>
          <w:sz w:val="20"/>
        </w:rPr>
        <w:t>Assistant</w:t>
      </w:r>
      <w:r>
        <w:rPr>
          <w:color w:val="231F20"/>
          <w:spacing w:val="10"/>
          <w:sz w:val="20"/>
        </w:rPr>
        <w:t> </w:t>
      </w:r>
      <w:r>
        <w:rPr>
          <w:color w:val="231F20"/>
          <w:spacing w:val="-2"/>
          <w:sz w:val="20"/>
        </w:rPr>
        <w:t>application.</w:t>
      </w:r>
    </w:p>
    <w:p>
      <w:pPr>
        <w:pStyle w:val="ListParagraph"/>
        <w:numPr>
          <w:ilvl w:val="0"/>
          <w:numId w:val="195"/>
        </w:numPr>
        <w:tabs>
          <w:tab w:pos="2787" w:val="left" w:leader="none"/>
        </w:tabs>
        <w:spacing w:line="240" w:lineRule="auto" w:before="30" w:after="0"/>
        <w:ind w:left="2787" w:right="0" w:hanging="315"/>
        <w:jc w:val="left"/>
        <w:rPr>
          <w:sz w:val="20"/>
        </w:rPr>
      </w:pPr>
      <w:r>
        <w:rPr>
          <w:color w:val="231F20"/>
          <w:sz w:val="20"/>
        </w:rPr>
        <w:t>Select</w:t>
      </w:r>
      <w:r>
        <w:rPr>
          <w:color w:val="231F20"/>
          <w:spacing w:val="7"/>
          <w:sz w:val="20"/>
        </w:rPr>
        <w:t> </w:t>
      </w:r>
      <w:r>
        <w:rPr>
          <w:rFonts w:ascii="Book Antiqua"/>
          <w:b/>
          <w:color w:val="231F20"/>
          <w:sz w:val="20"/>
        </w:rPr>
        <w:t>Updater</w:t>
      </w:r>
      <w:r>
        <w:rPr>
          <w:rFonts w:ascii="Book Antiqua"/>
          <w:b/>
          <w:color w:val="231F20"/>
          <w:spacing w:val="7"/>
          <w:sz w:val="20"/>
        </w:rPr>
        <w:t> </w:t>
      </w:r>
      <w:r>
        <w:rPr>
          <w:color w:val="231F20"/>
          <w:sz w:val="20"/>
        </w:rPr>
        <w:t>on</w:t>
      </w:r>
      <w:r>
        <w:rPr>
          <w:color w:val="231F20"/>
          <w:spacing w:val="7"/>
          <w:sz w:val="20"/>
        </w:rPr>
        <w:t> </w:t>
      </w:r>
      <w:r>
        <w:rPr>
          <w:color w:val="231F20"/>
          <w:sz w:val="20"/>
        </w:rPr>
        <w:t>the</w:t>
      </w:r>
      <w:r>
        <w:rPr>
          <w:color w:val="231F20"/>
          <w:spacing w:val="7"/>
          <w:sz w:val="20"/>
        </w:rPr>
        <w:t> </w:t>
      </w:r>
      <w:r>
        <w:rPr>
          <w:color w:val="231F20"/>
          <w:sz w:val="20"/>
        </w:rPr>
        <w:t>Welcome</w:t>
      </w:r>
      <w:r>
        <w:rPr>
          <w:color w:val="231F20"/>
          <w:spacing w:val="7"/>
          <w:sz w:val="20"/>
        </w:rPr>
        <w:t> </w:t>
      </w:r>
      <w:r>
        <w:rPr>
          <w:color w:val="231F20"/>
          <w:spacing w:val="-2"/>
          <w:sz w:val="20"/>
        </w:rPr>
        <w:t>page.</w:t>
      </w:r>
    </w:p>
    <w:p>
      <w:pPr>
        <w:pStyle w:val="ListParagraph"/>
        <w:numPr>
          <w:ilvl w:val="0"/>
          <w:numId w:val="195"/>
        </w:numPr>
        <w:tabs>
          <w:tab w:pos="2788" w:val="left" w:leader="none"/>
        </w:tabs>
        <w:spacing w:line="213" w:lineRule="auto" w:before="53" w:after="0"/>
        <w:ind w:left="2788" w:right="217" w:hanging="316"/>
        <w:jc w:val="left"/>
        <w:rPr>
          <w:sz w:val="20"/>
        </w:rPr>
      </w:pPr>
      <w:r>
        <w:rPr>
          <w:color w:val="231F20"/>
          <w:sz w:val="20"/>
        </w:rPr>
        <w:t>Select </w:t>
      </w:r>
      <w:r>
        <w:rPr>
          <w:rFonts w:ascii="Book Antiqua"/>
          <w:b/>
          <w:color w:val="231F20"/>
          <w:sz w:val="20"/>
        </w:rPr>
        <w:t>New Properties and Tools </w:t>
      </w:r>
      <w:r>
        <w:rPr>
          <w:color w:val="231F20"/>
          <w:sz w:val="20"/>
        </w:rPr>
        <w:t>or select the </w:t>
      </w:r>
      <w:r>
        <w:rPr>
          <w:rFonts w:ascii="Book Antiqua"/>
          <w:b/>
          <w:color w:val="231F20"/>
          <w:sz w:val="20"/>
        </w:rPr>
        <w:t>New Plug-ins </w:t>
      </w:r>
      <w:r>
        <w:rPr>
          <w:color w:val="231F20"/>
          <w:sz w:val="20"/>
        </w:rPr>
        <w:t>tab (depending </w:t>
      </w:r>
      <w:r>
        <w:rPr>
          <w:color w:val="231F20"/>
          <w:sz w:val="20"/>
        </w:rPr>
        <w:t>on the version of IBM Support Assistant installed).</w:t>
      </w:r>
    </w:p>
    <w:p>
      <w:pPr>
        <w:pStyle w:val="ListParagraph"/>
        <w:numPr>
          <w:ilvl w:val="0"/>
          <w:numId w:val="195"/>
        </w:numPr>
        <w:tabs>
          <w:tab w:pos="2788" w:val="left" w:leader="none"/>
        </w:tabs>
        <w:spacing w:line="213" w:lineRule="auto" w:before="58" w:after="0"/>
        <w:ind w:left="2788" w:right="498" w:hanging="316"/>
        <w:jc w:val="left"/>
        <w:rPr>
          <w:sz w:val="20"/>
        </w:rPr>
      </w:pPr>
      <w:r>
        <w:rPr>
          <w:color w:val="231F20"/>
          <w:sz w:val="20"/>
        </w:rPr>
        <w:t>Under </w:t>
      </w:r>
      <w:r>
        <w:rPr>
          <w:rFonts w:ascii="Book Antiqua"/>
          <w:b/>
          <w:color w:val="231F20"/>
          <w:sz w:val="20"/>
        </w:rPr>
        <w:t>Tivoli</w:t>
      </w:r>
      <w:r>
        <w:rPr>
          <w:color w:val="231F20"/>
          <w:sz w:val="20"/>
        </w:rPr>
        <w:t>, select your product, and then click </w:t>
      </w:r>
      <w:r>
        <w:rPr>
          <w:rFonts w:ascii="Book Antiqua"/>
          <w:b/>
          <w:color w:val="231F20"/>
          <w:sz w:val="20"/>
        </w:rPr>
        <w:t>Install</w:t>
      </w:r>
      <w:r>
        <w:rPr>
          <w:color w:val="231F20"/>
          <w:sz w:val="20"/>
        </w:rPr>
        <w:t>. Be sure to read the license and description.</w:t>
      </w:r>
    </w:p>
    <w:p>
      <w:pPr>
        <w:spacing w:after="0" w:line="213" w:lineRule="auto"/>
        <w:jc w:val="left"/>
        <w:rPr>
          <w:sz w:val="20"/>
        </w:rPr>
        <w:sectPr>
          <w:footerReference w:type="default" r:id="rId511"/>
          <w:footerReference w:type="even" r:id="rId512"/>
          <w:pgSz w:w="12240" w:h="15840"/>
          <w:pgMar w:header="0" w:footer="736" w:top="1300" w:bottom="920" w:left="1000" w:right="1060"/>
          <w:pgNumType w:start="459"/>
        </w:sectPr>
      </w:pPr>
    </w:p>
    <w:p>
      <w:pPr>
        <w:pStyle w:val="BodyText"/>
        <w:rPr>
          <w:sz w:val="28"/>
        </w:rPr>
      </w:pPr>
    </w:p>
    <w:p>
      <w:pPr>
        <w:pStyle w:val="BodyText"/>
        <w:rPr>
          <w:sz w:val="28"/>
        </w:rPr>
      </w:pPr>
    </w:p>
    <w:p>
      <w:pPr>
        <w:pStyle w:val="BodyText"/>
        <w:spacing w:before="307"/>
        <w:rPr>
          <w:sz w:val="28"/>
        </w:rPr>
      </w:pPr>
    </w:p>
    <w:p>
      <w:pPr>
        <w:pStyle w:val="Heading3"/>
        <w:spacing w:before="0"/>
        <w:ind w:left="197"/>
      </w:pPr>
      <w:bookmarkStart w:name="_bookmark355" w:id="744"/>
      <w:bookmarkEnd w:id="744"/>
      <w:r>
        <w:rPr>
          <w:b w:val="0"/>
        </w:rPr>
      </w:r>
      <w:r>
        <w:rPr>
          <w:color w:val="231F20"/>
        </w:rPr>
        <w:t>Obtaining</w:t>
      </w:r>
      <w:r>
        <w:rPr>
          <w:color w:val="231F20"/>
          <w:spacing w:val="1"/>
        </w:rPr>
        <w:t> </w:t>
      </w:r>
      <w:r>
        <w:rPr>
          <w:color w:val="231F20"/>
          <w:spacing w:val="-2"/>
        </w:rPr>
        <w:t>fixes</w:t>
      </w:r>
    </w:p>
    <w:p>
      <w:pPr>
        <w:pStyle w:val="BodyText"/>
        <w:spacing w:line="213" w:lineRule="auto" w:before="85"/>
        <w:ind w:left="316" w:right="630" w:hanging="1"/>
      </w:pPr>
      <w:r>
        <w:rPr/>
        <w:br w:type="column"/>
      </w:r>
      <w:r>
        <w:rPr>
          <w:color w:val="231F20"/>
        </w:rPr>
        <w:t>If your product is not included on the list under </w:t>
      </w:r>
      <w:r>
        <w:rPr>
          <w:rFonts w:ascii="Book Antiqua"/>
          <w:b/>
          <w:color w:val="231F20"/>
        </w:rPr>
        <w:t>Tivoli</w:t>
      </w:r>
      <w:r>
        <w:rPr>
          <w:color w:val="231F20"/>
        </w:rPr>
        <w:t>, no plug-in is available yet for the product.</w:t>
      </w:r>
    </w:p>
    <w:p>
      <w:pPr>
        <w:pStyle w:val="ListParagraph"/>
        <w:numPr>
          <w:ilvl w:val="0"/>
          <w:numId w:val="195"/>
        </w:numPr>
        <w:tabs>
          <w:tab w:pos="315" w:val="left" w:leader="none"/>
        </w:tabs>
        <w:spacing w:line="240" w:lineRule="auto" w:before="35" w:after="0"/>
        <w:ind w:left="315" w:right="0" w:hanging="315"/>
        <w:jc w:val="left"/>
        <w:rPr>
          <w:sz w:val="20"/>
        </w:rPr>
      </w:pPr>
      <w:r>
        <w:rPr>
          <w:color w:val="231F20"/>
          <w:sz w:val="20"/>
        </w:rPr>
        <w:t>Read</w:t>
      </w:r>
      <w:r>
        <w:rPr>
          <w:color w:val="231F20"/>
          <w:spacing w:val="11"/>
          <w:sz w:val="20"/>
        </w:rPr>
        <w:t> </w:t>
      </w:r>
      <w:r>
        <w:rPr>
          <w:color w:val="231F20"/>
          <w:sz w:val="20"/>
        </w:rPr>
        <w:t>the</w:t>
      </w:r>
      <w:r>
        <w:rPr>
          <w:color w:val="231F20"/>
          <w:spacing w:val="12"/>
          <w:sz w:val="20"/>
        </w:rPr>
        <w:t> </w:t>
      </w:r>
      <w:r>
        <w:rPr>
          <w:color w:val="231F20"/>
          <w:sz w:val="20"/>
        </w:rPr>
        <w:t>license</w:t>
      </w:r>
      <w:r>
        <w:rPr>
          <w:color w:val="231F20"/>
          <w:spacing w:val="11"/>
          <w:sz w:val="20"/>
        </w:rPr>
        <w:t> </w:t>
      </w:r>
      <w:r>
        <w:rPr>
          <w:color w:val="231F20"/>
          <w:sz w:val="20"/>
        </w:rPr>
        <w:t>and</w:t>
      </w:r>
      <w:r>
        <w:rPr>
          <w:color w:val="231F20"/>
          <w:spacing w:val="12"/>
          <w:sz w:val="20"/>
        </w:rPr>
        <w:t> </w:t>
      </w:r>
      <w:r>
        <w:rPr>
          <w:color w:val="231F20"/>
          <w:sz w:val="20"/>
        </w:rPr>
        <w:t>description,</w:t>
      </w:r>
      <w:r>
        <w:rPr>
          <w:color w:val="231F20"/>
          <w:spacing w:val="11"/>
          <w:sz w:val="20"/>
        </w:rPr>
        <w:t> </w:t>
      </w:r>
      <w:r>
        <w:rPr>
          <w:color w:val="231F20"/>
          <w:sz w:val="20"/>
        </w:rPr>
        <w:t>and</w:t>
      </w:r>
      <w:r>
        <w:rPr>
          <w:color w:val="231F20"/>
          <w:spacing w:val="12"/>
          <w:sz w:val="20"/>
        </w:rPr>
        <w:t> </w:t>
      </w:r>
      <w:r>
        <w:rPr>
          <w:color w:val="231F20"/>
          <w:sz w:val="20"/>
        </w:rPr>
        <w:t>click</w:t>
      </w:r>
      <w:r>
        <w:rPr>
          <w:color w:val="231F20"/>
          <w:spacing w:val="12"/>
          <w:sz w:val="20"/>
        </w:rPr>
        <w:t> </w:t>
      </w:r>
      <w:r>
        <w:rPr>
          <w:rFonts w:ascii="Book Antiqua"/>
          <w:b/>
          <w:color w:val="231F20"/>
          <w:sz w:val="20"/>
        </w:rPr>
        <w:t>I</w:t>
      </w:r>
      <w:r>
        <w:rPr>
          <w:rFonts w:ascii="Book Antiqua"/>
          <w:b/>
          <w:color w:val="231F20"/>
          <w:spacing w:val="11"/>
          <w:sz w:val="20"/>
        </w:rPr>
        <w:t> </w:t>
      </w:r>
      <w:r>
        <w:rPr>
          <w:rFonts w:ascii="Book Antiqua"/>
          <w:b/>
          <w:color w:val="231F20"/>
          <w:spacing w:val="-2"/>
          <w:sz w:val="20"/>
        </w:rPr>
        <w:t>agree</w:t>
      </w:r>
      <w:r>
        <w:rPr>
          <w:color w:val="231F20"/>
          <w:spacing w:val="-2"/>
          <w:sz w:val="20"/>
        </w:rPr>
        <w:t>.</w:t>
      </w:r>
    </w:p>
    <w:p>
      <w:pPr>
        <w:pStyle w:val="ListParagraph"/>
        <w:numPr>
          <w:ilvl w:val="0"/>
          <w:numId w:val="195"/>
        </w:numPr>
        <w:tabs>
          <w:tab w:pos="315" w:val="left" w:leader="none"/>
        </w:tabs>
        <w:spacing w:line="240" w:lineRule="auto" w:before="30" w:after="0"/>
        <w:ind w:left="315" w:right="0" w:hanging="315"/>
        <w:jc w:val="left"/>
        <w:rPr>
          <w:sz w:val="20"/>
        </w:rPr>
      </w:pPr>
      <w:r>
        <w:rPr/>
        <mc:AlternateContent>
          <mc:Choice Requires="wps">
            <w:drawing>
              <wp:anchor distT="0" distB="0" distL="0" distR="0" allowOverlap="1" layoutInCell="1" locked="0" behindDoc="0" simplePos="0" relativeHeight="15904256">
                <wp:simplePos x="0" y="0"/>
                <wp:positionH relativeFrom="page">
                  <wp:posOffset>760323</wp:posOffset>
                </wp:positionH>
                <wp:positionV relativeFrom="paragraph">
                  <wp:posOffset>342372</wp:posOffset>
                </wp:positionV>
                <wp:extent cx="6082665" cy="1270"/>
                <wp:effectExtent l="0" t="0" r="0" b="0"/>
                <wp:wrapNone/>
                <wp:docPr id="3448" name="Graphic 3448"/>
                <wp:cNvGraphicFramePr>
                  <a:graphicFrameLocks/>
                </wp:cNvGraphicFramePr>
                <a:graphic>
                  <a:graphicData uri="http://schemas.microsoft.com/office/word/2010/wordprocessingShape">
                    <wps:wsp>
                      <wps:cNvPr id="3448" name="Graphic 3448"/>
                      <wps:cNvSpPr/>
                      <wps:spPr>
                        <a:xfrm>
                          <a:off x="0" y="0"/>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4256" from="59.868pt,26.958433pt" to="538.809pt,26.958433pt" stroked="true" strokeweight=".499pt" strokecolor="#231f20">
                <v:stroke dashstyle="solid"/>
                <w10:wrap type="none"/>
              </v:line>
            </w:pict>
          </mc:Fallback>
        </mc:AlternateContent>
      </w:r>
      <w:r>
        <w:rPr>
          <w:color w:val="231F20"/>
          <w:sz w:val="20"/>
        </w:rPr>
        <w:t>Restart</w:t>
      </w:r>
      <w:r>
        <w:rPr>
          <w:color w:val="231F20"/>
          <w:spacing w:val="10"/>
          <w:sz w:val="20"/>
        </w:rPr>
        <w:t> </w:t>
      </w:r>
      <w:r>
        <w:rPr>
          <w:color w:val="231F20"/>
          <w:sz w:val="20"/>
        </w:rPr>
        <w:t>the</w:t>
      </w:r>
      <w:r>
        <w:rPr>
          <w:color w:val="231F20"/>
          <w:spacing w:val="11"/>
          <w:sz w:val="20"/>
        </w:rPr>
        <w:t> </w:t>
      </w:r>
      <w:r>
        <w:rPr>
          <w:color w:val="231F20"/>
          <w:sz w:val="20"/>
        </w:rPr>
        <w:t>IBM</w:t>
      </w:r>
      <w:r>
        <w:rPr>
          <w:color w:val="231F20"/>
          <w:spacing w:val="11"/>
          <w:sz w:val="20"/>
        </w:rPr>
        <w:t> </w:t>
      </w:r>
      <w:r>
        <w:rPr>
          <w:color w:val="231F20"/>
          <w:sz w:val="20"/>
        </w:rPr>
        <w:t>Support</w:t>
      </w:r>
      <w:r>
        <w:rPr>
          <w:color w:val="231F20"/>
          <w:spacing w:val="5"/>
          <w:sz w:val="20"/>
        </w:rPr>
        <w:t> </w:t>
      </w:r>
      <w:r>
        <w:rPr>
          <w:color w:val="231F20"/>
          <w:spacing w:val="-2"/>
          <w:sz w:val="20"/>
        </w:rPr>
        <w:t>Assistant.</w:t>
      </w:r>
    </w:p>
    <w:p>
      <w:pPr>
        <w:pStyle w:val="BodyText"/>
      </w:pPr>
    </w:p>
    <w:p>
      <w:pPr>
        <w:pStyle w:val="BodyText"/>
        <w:spacing w:before="191"/>
      </w:pPr>
    </w:p>
    <w:p>
      <w:pPr>
        <w:pStyle w:val="BodyText"/>
        <w:spacing w:line="213" w:lineRule="auto"/>
        <w:ind w:right="630"/>
      </w:pPr>
      <w:r>
        <w:rPr>
          <w:color w:val="231F20"/>
        </w:rPr>
        <w:t>A</w:t>
      </w:r>
      <w:r>
        <w:rPr>
          <w:color w:val="231F20"/>
          <w:spacing w:val="-1"/>
        </w:rPr>
        <w:t> </w:t>
      </w:r>
      <w:r>
        <w:rPr>
          <w:color w:val="231F20"/>
        </w:rPr>
        <w:t>product fix might be available to resolve your problem. To determine which fixes are available for your Tivoli software product, follow these steps:</w:t>
      </w:r>
    </w:p>
    <w:p>
      <w:pPr>
        <w:pStyle w:val="ListParagraph"/>
        <w:numPr>
          <w:ilvl w:val="0"/>
          <w:numId w:val="196"/>
        </w:numPr>
        <w:tabs>
          <w:tab w:pos="316" w:val="left" w:leader="none"/>
        </w:tabs>
        <w:spacing w:line="213" w:lineRule="auto" w:before="59" w:after="0"/>
        <w:ind w:left="316" w:right="705" w:hanging="316"/>
        <w:jc w:val="left"/>
        <w:rPr>
          <w:sz w:val="20"/>
        </w:rPr>
      </w:pPr>
      <w:r>
        <w:rPr>
          <w:color w:val="231F20"/>
          <w:w w:val="105"/>
          <w:sz w:val="20"/>
        </w:rPr>
        <w:t>Go</w:t>
      </w:r>
      <w:r>
        <w:rPr>
          <w:color w:val="231F20"/>
          <w:spacing w:val="-6"/>
          <w:w w:val="105"/>
          <w:sz w:val="20"/>
        </w:rPr>
        <w:t> </w:t>
      </w:r>
      <w:r>
        <w:rPr>
          <w:color w:val="231F20"/>
          <w:w w:val="105"/>
          <w:sz w:val="20"/>
        </w:rPr>
        <w:t>to</w:t>
      </w:r>
      <w:r>
        <w:rPr>
          <w:color w:val="231F20"/>
          <w:spacing w:val="-6"/>
          <w:w w:val="105"/>
          <w:sz w:val="20"/>
        </w:rPr>
        <w:t> </w:t>
      </w:r>
      <w:r>
        <w:rPr>
          <w:color w:val="231F20"/>
          <w:w w:val="105"/>
          <w:sz w:val="20"/>
        </w:rPr>
        <w:t>the</w:t>
      </w:r>
      <w:r>
        <w:rPr>
          <w:color w:val="231F20"/>
          <w:spacing w:val="-6"/>
          <w:w w:val="105"/>
          <w:sz w:val="20"/>
        </w:rPr>
        <w:t> </w:t>
      </w:r>
      <w:r>
        <w:rPr>
          <w:color w:val="231F20"/>
          <w:w w:val="105"/>
          <w:sz w:val="20"/>
        </w:rPr>
        <w:t>IBM</w:t>
      </w:r>
      <w:r>
        <w:rPr>
          <w:color w:val="231F20"/>
          <w:spacing w:val="-6"/>
          <w:w w:val="105"/>
          <w:sz w:val="20"/>
        </w:rPr>
        <w:t> </w:t>
      </w:r>
      <w:r>
        <w:rPr>
          <w:color w:val="231F20"/>
          <w:w w:val="105"/>
          <w:sz w:val="20"/>
        </w:rPr>
        <w:t>Software</w:t>
      </w:r>
      <w:r>
        <w:rPr>
          <w:color w:val="231F20"/>
          <w:spacing w:val="-6"/>
          <w:w w:val="105"/>
          <w:sz w:val="20"/>
        </w:rPr>
        <w:t> </w:t>
      </w:r>
      <w:r>
        <w:rPr>
          <w:color w:val="231F20"/>
          <w:w w:val="105"/>
          <w:sz w:val="20"/>
        </w:rPr>
        <w:t>Support</w:t>
      </w:r>
      <w:r>
        <w:rPr>
          <w:color w:val="231F20"/>
          <w:spacing w:val="-6"/>
          <w:w w:val="105"/>
          <w:sz w:val="20"/>
        </w:rPr>
        <w:t> </w:t>
      </w:r>
      <w:r>
        <w:rPr>
          <w:color w:val="231F20"/>
          <w:w w:val="105"/>
          <w:sz w:val="20"/>
        </w:rPr>
        <w:t>website</w:t>
      </w:r>
      <w:r>
        <w:rPr>
          <w:color w:val="231F20"/>
          <w:spacing w:val="-6"/>
          <w:w w:val="105"/>
          <w:sz w:val="20"/>
        </w:rPr>
        <w:t> </w:t>
      </w:r>
      <w:r>
        <w:rPr>
          <w:color w:val="231F20"/>
          <w:w w:val="105"/>
          <w:sz w:val="20"/>
        </w:rPr>
        <w:t>at</w:t>
      </w:r>
      <w:r>
        <w:rPr>
          <w:color w:val="231F20"/>
          <w:spacing w:val="-6"/>
          <w:w w:val="105"/>
          <w:sz w:val="20"/>
        </w:rPr>
        <w:t> </w:t>
      </w:r>
      <w:hyperlink r:id="rId517">
        <w:r>
          <w:rPr>
            <w:color w:val="231F20"/>
            <w:w w:val="105"/>
            <w:sz w:val="20"/>
          </w:rPr>
          <w:t>http://www.ibm.com/software/</w:t>
        </w:r>
      </w:hyperlink>
      <w:r>
        <w:rPr>
          <w:color w:val="231F20"/>
          <w:w w:val="105"/>
          <w:sz w:val="20"/>
        </w:rPr>
        <w:t> </w:t>
      </w:r>
      <w:hyperlink r:id="rId517">
        <w:r>
          <w:rPr>
            <w:color w:val="231F20"/>
            <w:spacing w:val="-2"/>
            <w:w w:val="105"/>
            <w:sz w:val="20"/>
          </w:rPr>
          <w:t>support.</w:t>
        </w:r>
      </w:hyperlink>
    </w:p>
    <w:p>
      <w:pPr>
        <w:pStyle w:val="ListParagraph"/>
        <w:numPr>
          <w:ilvl w:val="0"/>
          <w:numId w:val="196"/>
        </w:numPr>
        <w:tabs>
          <w:tab w:pos="315" w:val="left" w:leader="none"/>
        </w:tabs>
        <w:spacing w:line="240" w:lineRule="auto" w:before="35" w:after="0"/>
        <w:ind w:left="315" w:right="0" w:hanging="315"/>
        <w:jc w:val="left"/>
        <w:rPr>
          <w:sz w:val="20"/>
        </w:rPr>
      </w:pPr>
      <w:r>
        <w:rPr>
          <w:color w:val="231F20"/>
          <w:sz w:val="20"/>
        </w:rPr>
        <w:t>Under</w:t>
      </w:r>
      <w:r>
        <w:rPr>
          <w:color w:val="231F20"/>
          <w:spacing w:val="10"/>
          <w:sz w:val="20"/>
        </w:rPr>
        <w:t> </w:t>
      </w:r>
      <w:r>
        <w:rPr>
          <w:rFonts w:ascii="Book Antiqua"/>
          <w:b/>
          <w:color w:val="231F20"/>
          <w:sz w:val="20"/>
        </w:rPr>
        <w:t>Select</w:t>
      </w:r>
      <w:r>
        <w:rPr>
          <w:rFonts w:ascii="Book Antiqua"/>
          <w:b/>
          <w:color w:val="231F20"/>
          <w:spacing w:val="11"/>
          <w:sz w:val="20"/>
        </w:rPr>
        <w:t> </w:t>
      </w:r>
      <w:r>
        <w:rPr>
          <w:rFonts w:ascii="Book Antiqua"/>
          <w:b/>
          <w:color w:val="231F20"/>
          <w:sz w:val="20"/>
        </w:rPr>
        <w:t>a</w:t>
      </w:r>
      <w:r>
        <w:rPr>
          <w:rFonts w:ascii="Book Antiqua"/>
          <w:b/>
          <w:color w:val="231F20"/>
          <w:spacing w:val="11"/>
          <w:sz w:val="20"/>
        </w:rPr>
        <w:t> </w:t>
      </w:r>
      <w:r>
        <w:rPr>
          <w:rFonts w:ascii="Book Antiqua"/>
          <w:b/>
          <w:color w:val="231F20"/>
          <w:sz w:val="20"/>
        </w:rPr>
        <w:t>brand</w:t>
      </w:r>
      <w:r>
        <w:rPr>
          <w:rFonts w:ascii="Book Antiqua"/>
          <w:b/>
          <w:color w:val="231F20"/>
          <w:spacing w:val="11"/>
          <w:sz w:val="20"/>
        </w:rPr>
        <w:t> </w:t>
      </w:r>
      <w:r>
        <w:rPr>
          <w:rFonts w:ascii="Book Antiqua"/>
          <w:b/>
          <w:color w:val="231F20"/>
          <w:sz w:val="20"/>
        </w:rPr>
        <w:t>and/or</w:t>
      </w:r>
      <w:r>
        <w:rPr>
          <w:rFonts w:ascii="Book Antiqua"/>
          <w:b/>
          <w:color w:val="231F20"/>
          <w:spacing w:val="11"/>
          <w:sz w:val="20"/>
        </w:rPr>
        <w:t> </w:t>
      </w:r>
      <w:r>
        <w:rPr>
          <w:rFonts w:ascii="Book Antiqua"/>
          <w:b/>
          <w:color w:val="231F20"/>
          <w:sz w:val="20"/>
        </w:rPr>
        <w:t>product</w:t>
      </w:r>
      <w:r>
        <w:rPr>
          <w:color w:val="231F20"/>
          <w:sz w:val="20"/>
        </w:rPr>
        <w:t>,</w:t>
      </w:r>
      <w:r>
        <w:rPr>
          <w:color w:val="231F20"/>
          <w:spacing w:val="11"/>
          <w:sz w:val="20"/>
        </w:rPr>
        <w:t> </w:t>
      </w:r>
      <w:r>
        <w:rPr>
          <w:color w:val="231F20"/>
          <w:sz w:val="20"/>
        </w:rPr>
        <w:t>select</w:t>
      </w:r>
      <w:r>
        <w:rPr>
          <w:color w:val="231F20"/>
          <w:spacing w:val="11"/>
          <w:sz w:val="20"/>
        </w:rPr>
        <w:t> </w:t>
      </w:r>
      <w:r>
        <w:rPr>
          <w:rFonts w:ascii="Book Antiqua"/>
          <w:b/>
          <w:color w:val="231F20"/>
          <w:spacing w:val="-2"/>
          <w:sz w:val="20"/>
        </w:rPr>
        <w:t>Tivoli</w:t>
      </w:r>
      <w:r>
        <w:rPr>
          <w:color w:val="231F20"/>
          <w:spacing w:val="-2"/>
          <w:sz w:val="20"/>
        </w:rPr>
        <w:t>.</w:t>
      </w:r>
    </w:p>
    <w:p>
      <w:pPr>
        <w:spacing w:line="213" w:lineRule="auto" w:before="53"/>
        <w:ind w:left="316" w:right="397" w:hanging="1"/>
        <w:jc w:val="left"/>
        <w:rPr>
          <w:sz w:val="20"/>
        </w:rPr>
      </w:pPr>
      <w:r>
        <w:rPr>
          <w:color w:val="231F20"/>
          <w:sz w:val="20"/>
        </w:rPr>
        <w:t>If you click </w:t>
      </w:r>
      <w:r>
        <w:rPr>
          <w:rFonts w:ascii="Book Antiqua"/>
          <w:b/>
          <w:color w:val="231F20"/>
          <w:sz w:val="20"/>
        </w:rPr>
        <w:t>Go</w:t>
      </w:r>
      <w:r>
        <w:rPr>
          <w:color w:val="231F20"/>
          <w:sz w:val="20"/>
        </w:rPr>
        <w:t>, the </w:t>
      </w:r>
      <w:r>
        <w:rPr>
          <w:rFonts w:ascii="Book Antiqua"/>
          <w:b/>
          <w:color w:val="231F20"/>
          <w:sz w:val="20"/>
        </w:rPr>
        <w:t>Search within all of Tivoli support </w:t>
      </w:r>
      <w:r>
        <w:rPr>
          <w:color w:val="231F20"/>
          <w:sz w:val="20"/>
        </w:rPr>
        <w:t>section is displayed. </w:t>
      </w:r>
      <w:r>
        <w:rPr>
          <w:color w:val="231F20"/>
          <w:sz w:val="20"/>
        </w:rPr>
        <w:t>If you don't click </w:t>
      </w:r>
      <w:r>
        <w:rPr>
          <w:rFonts w:ascii="Book Antiqua"/>
          <w:b/>
          <w:color w:val="231F20"/>
          <w:sz w:val="20"/>
        </w:rPr>
        <w:t>Go</w:t>
      </w:r>
      <w:r>
        <w:rPr>
          <w:color w:val="231F20"/>
          <w:sz w:val="20"/>
        </w:rPr>
        <w:t>, you see the </w:t>
      </w:r>
      <w:r>
        <w:rPr>
          <w:rFonts w:ascii="Book Antiqua"/>
          <w:b/>
          <w:color w:val="231F20"/>
          <w:sz w:val="20"/>
        </w:rPr>
        <w:t>Select a product </w:t>
      </w:r>
      <w:r>
        <w:rPr>
          <w:color w:val="231F20"/>
          <w:sz w:val="20"/>
        </w:rPr>
        <w:t>section.</w:t>
      </w:r>
    </w:p>
    <w:p>
      <w:pPr>
        <w:pStyle w:val="ListParagraph"/>
        <w:numPr>
          <w:ilvl w:val="0"/>
          <w:numId w:val="196"/>
        </w:numPr>
        <w:tabs>
          <w:tab w:pos="315" w:val="left" w:leader="none"/>
        </w:tabs>
        <w:spacing w:line="240" w:lineRule="auto" w:before="35" w:after="0"/>
        <w:ind w:left="315" w:right="0" w:hanging="315"/>
        <w:jc w:val="left"/>
        <w:rPr>
          <w:sz w:val="20"/>
        </w:rPr>
      </w:pPr>
      <w:r>
        <w:rPr>
          <w:color w:val="231F20"/>
          <w:sz w:val="20"/>
        </w:rPr>
        <w:t>Select</w:t>
      </w:r>
      <w:r>
        <w:rPr>
          <w:color w:val="231F20"/>
          <w:spacing w:val="10"/>
          <w:sz w:val="20"/>
        </w:rPr>
        <w:t> </w:t>
      </w:r>
      <w:r>
        <w:rPr>
          <w:color w:val="231F20"/>
          <w:sz w:val="20"/>
        </w:rPr>
        <w:t>your</w:t>
      </w:r>
      <w:r>
        <w:rPr>
          <w:color w:val="231F20"/>
          <w:spacing w:val="10"/>
          <w:sz w:val="20"/>
        </w:rPr>
        <w:t> </w:t>
      </w:r>
      <w:r>
        <w:rPr>
          <w:color w:val="231F20"/>
          <w:sz w:val="20"/>
        </w:rPr>
        <w:t>product</w:t>
      </w:r>
      <w:r>
        <w:rPr>
          <w:color w:val="231F20"/>
          <w:spacing w:val="11"/>
          <w:sz w:val="20"/>
        </w:rPr>
        <w:t> </w:t>
      </w:r>
      <w:r>
        <w:rPr>
          <w:color w:val="231F20"/>
          <w:sz w:val="20"/>
        </w:rPr>
        <w:t>and</w:t>
      </w:r>
      <w:r>
        <w:rPr>
          <w:color w:val="231F20"/>
          <w:spacing w:val="10"/>
          <w:sz w:val="20"/>
        </w:rPr>
        <w:t> </w:t>
      </w:r>
      <w:r>
        <w:rPr>
          <w:color w:val="231F20"/>
          <w:sz w:val="20"/>
        </w:rPr>
        <w:t>click</w:t>
      </w:r>
      <w:r>
        <w:rPr>
          <w:color w:val="231F20"/>
          <w:spacing w:val="11"/>
          <w:sz w:val="20"/>
        </w:rPr>
        <w:t> </w:t>
      </w:r>
      <w:r>
        <w:rPr>
          <w:rFonts w:ascii="Book Antiqua"/>
          <w:b/>
          <w:color w:val="231F20"/>
          <w:spacing w:val="-5"/>
          <w:sz w:val="20"/>
        </w:rPr>
        <w:t>Go</w:t>
      </w:r>
      <w:r>
        <w:rPr>
          <w:color w:val="231F20"/>
          <w:spacing w:val="-5"/>
          <w:sz w:val="20"/>
        </w:rPr>
        <w:t>.</w:t>
      </w:r>
    </w:p>
    <w:p>
      <w:pPr>
        <w:pStyle w:val="ListParagraph"/>
        <w:numPr>
          <w:ilvl w:val="0"/>
          <w:numId w:val="196"/>
        </w:numPr>
        <w:tabs>
          <w:tab w:pos="316" w:val="left" w:leader="none"/>
        </w:tabs>
        <w:spacing w:line="213" w:lineRule="auto" w:before="53" w:after="0"/>
        <w:ind w:left="316" w:right="421" w:hanging="316"/>
        <w:jc w:val="left"/>
        <w:rPr>
          <w:sz w:val="20"/>
        </w:rPr>
      </w:pPr>
      <w:r>
        <w:rPr>
          <w:color w:val="231F20"/>
          <w:sz w:val="20"/>
        </w:rPr>
        <w:t>Under </w:t>
      </w:r>
      <w:r>
        <w:rPr>
          <w:rFonts w:ascii="Book Antiqua"/>
          <w:b/>
          <w:color w:val="231F20"/>
          <w:sz w:val="20"/>
        </w:rPr>
        <w:t>Download</w:t>
      </w:r>
      <w:r>
        <w:rPr>
          <w:color w:val="231F20"/>
          <w:sz w:val="20"/>
        </w:rPr>
        <w:t>, click the name of a fix to read its description and, optionally, to download it.</w:t>
      </w:r>
    </w:p>
    <w:p>
      <w:pPr>
        <w:spacing w:line="213" w:lineRule="auto" w:before="58"/>
        <w:ind w:left="316" w:right="630" w:firstLine="0"/>
        <w:jc w:val="left"/>
        <w:rPr>
          <w:sz w:val="20"/>
        </w:rPr>
      </w:pPr>
      <w:r>
        <w:rPr>
          <w:color w:val="231F20"/>
          <w:sz w:val="20"/>
        </w:rPr>
        <w:t>If there is no </w:t>
      </w:r>
      <w:r>
        <w:rPr>
          <w:rFonts w:ascii="Book Antiqua"/>
          <w:b/>
          <w:color w:val="231F20"/>
          <w:sz w:val="20"/>
        </w:rPr>
        <w:t>Download </w:t>
      </w:r>
      <w:r>
        <w:rPr>
          <w:color w:val="231F20"/>
          <w:sz w:val="20"/>
        </w:rPr>
        <w:t>heading for your product, supply a search term, </w:t>
      </w:r>
      <w:r>
        <w:rPr>
          <w:color w:val="231F20"/>
          <w:sz w:val="20"/>
        </w:rPr>
        <w:t>error code, or APAR number in the field provided under </w:t>
      </w:r>
      <w:r>
        <w:rPr>
          <w:rFonts w:ascii="Book Antiqua"/>
          <w:b/>
          <w:color w:val="231F20"/>
          <w:sz w:val="20"/>
        </w:rPr>
        <w:t>Search Support (this product)</w:t>
      </w:r>
      <w:r>
        <w:rPr>
          <w:color w:val="231F20"/>
          <w:sz w:val="20"/>
        </w:rPr>
        <w:t>, and click </w:t>
      </w:r>
      <w:r>
        <w:rPr>
          <w:rFonts w:ascii="Book Antiqua"/>
          <w:b/>
          <w:color w:val="231F20"/>
          <w:sz w:val="20"/>
        </w:rPr>
        <w:t>Search</w:t>
      </w:r>
      <w:r>
        <w:rPr>
          <w:color w:val="231F20"/>
          <w:sz w:val="20"/>
        </w:rPr>
        <w:t>.</w:t>
      </w:r>
    </w:p>
    <w:p>
      <w:pPr>
        <w:pStyle w:val="BodyText"/>
        <w:spacing w:line="213" w:lineRule="auto" w:before="238"/>
        <w:ind w:right="397"/>
      </w:pPr>
      <w:r>
        <w:rPr>
          <w:color w:val="231F20"/>
          <w:w w:val="105"/>
        </w:rPr>
        <w:t>For more information about the types of fixes that are available, see the </w:t>
      </w:r>
      <w:r>
        <w:rPr>
          <w:rFonts w:ascii="Book Antiqua"/>
          <w:i/>
          <w:color w:val="231F20"/>
          <w:w w:val="105"/>
        </w:rPr>
        <w:t>IBM</w:t>
      </w:r>
      <w:r>
        <w:rPr>
          <w:rFonts w:ascii="Book Antiqua"/>
          <w:i/>
          <w:color w:val="231F20"/>
          <w:w w:val="105"/>
        </w:rPr>
        <w:t> Software</w:t>
      </w:r>
      <w:r>
        <w:rPr>
          <w:rFonts w:ascii="Book Antiqua"/>
          <w:i/>
          <w:color w:val="231F20"/>
          <w:spacing w:val="-1"/>
          <w:w w:val="105"/>
        </w:rPr>
        <w:t> </w:t>
      </w:r>
      <w:r>
        <w:rPr>
          <w:rFonts w:ascii="Book Antiqua"/>
          <w:i/>
          <w:color w:val="231F20"/>
          <w:w w:val="105"/>
        </w:rPr>
        <w:t>Support</w:t>
      </w:r>
      <w:r>
        <w:rPr>
          <w:rFonts w:ascii="Book Antiqua"/>
          <w:i/>
          <w:color w:val="231F20"/>
          <w:spacing w:val="-1"/>
          <w:w w:val="105"/>
        </w:rPr>
        <w:t> </w:t>
      </w:r>
      <w:r>
        <w:rPr>
          <w:rFonts w:ascii="Book Antiqua"/>
          <w:i/>
          <w:color w:val="231F20"/>
          <w:w w:val="105"/>
        </w:rPr>
        <w:t>Handbook</w:t>
      </w:r>
      <w:r>
        <w:rPr>
          <w:rFonts w:ascii="Book Antiqua"/>
          <w:i/>
          <w:color w:val="231F20"/>
          <w:spacing w:val="-1"/>
          <w:w w:val="105"/>
        </w:rPr>
        <w:t> </w:t>
      </w:r>
      <w:r>
        <w:rPr>
          <w:color w:val="231F20"/>
          <w:w w:val="105"/>
        </w:rPr>
        <w:t>at</w:t>
      </w:r>
      <w:r>
        <w:rPr>
          <w:color w:val="231F20"/>
          <w:spacing w:val="-1"/>
          <w:w w:val="105"/>
        </w:rPr>
        <w:t> </w:t>
      </w:r>
      <w:hyperlink r:id="rId518">
        <w:r>
          <w:rPr>
            <w:color w:val="231F20"/>
            <w:w w:val="105"/>
          </w:rPr>
          <w:t>http://www14.software.ibm.com/webapp/set2/sas/</w:t>
        </w:r>
      </w:hyperlink>
      <w:r>
        <w:rPr>
          <w:color w:val="231F20"/>
          <w:w w:val="105"/>
        </w:rPr>
        <w:t> </w:t>
      </w:r>
      <w:hyperlink r:id="rId518">
        <w:r>
          <w:rPr>
            <w:color w:val="231F20"/>
            <w:spacing w:val="-2"/>
            <w:w w:val="105"/>
          </w:rPr>
          <w:t>f/handbook/home.html.</w:t>
        </w:r>
      </w:hyperlink>
    </w:p>
    <w:p>
      <w:pPr>
        <w:spacing w:after="0" w:line="213" w:lineRule="auto"/>
        <w:sectPr>
          <w:pgSz w:w="12240" w:h="15840"/>
          <w:pgMar w:header="0" w:footer="736" w:top="1180" w:bottom="920" w:left="1000" w:right="1060"/>
          <w:cols w:num="2" w:equalWidth="0">
            <w:col w:w="2231" w:space="1"/>
            <w:col w:w="7948"/>
          </w:cols>
        </w:sectPr>
      </w:pPr>
    </w:p>
    <w:p>
      <w:pPr>
        <w:pStyle w:val="BodyText"/>
        <w:spacing w:before="1"/>
        <w:rPr>
          <w:sz w:val="18"/>
        </w:rPr>
      </w:pPr>
    </w:p>
    <w:p>
      <w:pPr>
        <w:pStyle w:val="BodyText"/>
        <w:spacing w:line="20" w:lineRule="exact"/>
        <w:ind w:left="197"/>
        <w:rPr>
          <w:sz w:val="2"/>
        </w:rPr>
      </w:pPr>
      <w:r>
        <w:rPr>
          <w:sz w:val="2"/>
        </w:rPr>
        <mc:AlternateContent>
          <mc:Choice Requires="wps">
            <w:drawing>
              <wp:inline distT="0" distB="0" distL="0" distR="0">
                <wp:extent cx="6082665" cy="6350"/>
                <wp:effectExtent l="9525" t="0" r="0" b="3175"/>
                <wp:docPr id="3449" name="Group 3449"/>
                <wp:cNvGraphicFramePr>
                  <a:graphicFrameLocks/>
                </wp:cNvGraphicFramePr>
                <a:graphic>
                  <a:graphicData uri="http://schemas.microsoft.com/office/word/2010/wordprocessingGroup">
                    <wpg:wgp>
                      <wpg:cNvPr id="3449" name="Group 3449"/>
                      <wpg:cNvGrpSpPr/>
                      <wpg:grpSpPr>
                        <a:xfrm>
                          <a:off x="0" y="0"/>
                          <a:ext cx="6082665" cy="6350"/>
                          <a:chExt cx="6082665" cy="6350"/>
                        </a:xfrm>
                      </wpg:grpSpPr>
                      <wps:wsp>
                        <wps:cNvPr id="3450" name="Graphic 3450"/>
                        <wps:cNvSpPr/>
                        <wps:spPr>
                          <a:xfrm>
                            <a:off x="0" y="3168"/>
                            <a:ext cx="6082665" cy="1270"/>
                          </a:xfrm>
                          <a:custGeom>
                            <a:avLst/>
                            <a:gdLst/>
                            <a:ahLst/>
                            <a:cxnLst/>
                            <a:rect l="l" t="t" r="r" b="b"/>
                            <a:pathLst>
                              <a:path w="6082665" h="0">
                                <a:moveTo>
                                  <a:pt x="0" y="0"/>
                                </a:moveTo>
                                <a:lnTo>
                                  <a:pt x="6082550" y="0"/>
                                </a:lnTo>
                              </a:path>
                            </a:pathLst>
                          </a:custGeom>
                          <a:ln w="6337">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5pt;mso-position-horizontal-relative:char;mso-position-vertical-relative:line" id="docshapegroup318" coordorigin="0,0" coordsize="9579,10">
                <v:line style="position:absolute" from="0,5" to="9579,5" stroked="true" strokeweight=".499pt" strokecolor="#231f20">
                  <v:stroke dashstyle="solid"/>
                </v:line>
              </v:group>
            </w:pict>
          </mc:Fallback>
        </mc:AlternateContent>
      </w:r>
      <w:r>
        <w:rPr>
          <w:sz w:val="2"/>
        </w:rPr>
      </w:r>
    </w:p>
    <w:p>
      <w:pPr>
        <w:pStyle w:val="Heading3"/>
        <w:spacing w:before="11"/>
        <w:ind w:left="197"/>
      </w:pPr>
      <w:r>
        <w:rPr>
          <w:color w:val="231F20"/>
        </w:rPr>
        <w:t>Receiving</w:t>
      </w:r>
      <w:r>
        <w:rPr>
          <w:color w:val="231F20"/>
          <w:spacing w:val="4"/>
        </w:rPr>
        <w:t> </w:t>
      </w:r>
      <w:r>
        <w:rPr>
          <w:color w:val="231F20"/>
        </w:rPr>
        <w:t>weekly</w:t>
      </w:r>
      <w:r>
        <w:rPr>
          <w:color w:val="231F20"/>
          <w:spacing w:val="4"/>
        </w:rPr>
        <w:t> </w:t>
      </w:r>
      <w:r>
        <w:rPr>
          <w:color w:val="231F20"/>
        </w:rPr>
        <w:t>support</w:t>
      </w:r>
      <w:r>
        <w:rPr>
          <w:color w:val="231F20"/>
          <w:spacing w:val="4"/>
        </w:rPr>
        <w:t> </w:t>
      </w:r>
      <w:r>
        <w:rPr>
          <w:color w:val="231F20"/>
          <w:spacing w:val="-2"/>
        </w:rPr>
        <w:t>updates</w:t>
      </w:r>
    </w:p>
    <w:p>
      <w:pPr>
        <w:pStyle w:val="BodyText"/>
        <w:spacing w:line="213" w:lineRule="auto" w:before="138"/>
        <w:ind w:left="2232" w:right="385"/>
      </w:pPr>
      <w:r>
        <w:rPr>
          <w:color w:val="231F20"/>
        </w:rPr>
        <w:t>To receive weekly e-mail notifications about fixes and other software support news, follow these steps:</w:t>
      </w:r>
    </w:p>
    <w:p>
      <w:pPr>
        <w:pStyle w:val="ListParagraph"/>
        <w:numPr>
          <w:ilvl w:val="1"/>
          <w:numId w:val="196"/>
        </w:numPr>
        <w:tabs>
          <w:tab w:pos="2659" w:val="left" w:leader="none"/>
        </w:tabs>
        <w:spacing w:line="213" w:lineRule="auto" w:before="59" w:after="0"/>
        <w:ind w:left="2659" w:right="594" w:hanging="316"/>
        <w:jc w:val="left"/>
        <w:rPr>
          <w:sz w:val="20"/>
        </w:rPr>
      </w:pPr>
      <w:r>
        <w:rPr>
          <w:color w:val="231F20"/>
          <w:w w:val="105"/>
          <w:sz w:val="20"/>
        </w:rPr>
        <w:t>Go</w:t>
      </w:r>
      <w:r>
        <w:rPr>
          <w:color w:val="231F20"/>
          <w:spacing w:val="-6"/>
          <w:w w:val="105"/>
          <w:sz w:val="20"/>
        </w:rPr>
        <w:t> </w:t>
      </w:r>
      <w:r>
        <w:rPr>
          <w:color w:val="231F20"/>
          <w:w w:val="105"/>
          <w:sz w:val="20"/>
        </w:rPr>
        <w:t>to</w:t>
      </w:r>
      <w:r>
        <w:rPr>
          <w:color w:val="231F20"/>
          <w:spacing w:val="-6"/>
          <w:w w:val="105"/>
          <w:sz w:val="20"/>
        </w:rPr>
        <w:t> </w:t>
      </w:r>
      <w:r>
        <w:rPr>
          <w:color w:val="231F20"/>
          <w:w w:val="105"/>
          <w:sz w:val="20"/>
        </w:rPr>
        <w:t>the</w:t>
      </w:r>
      <w:r>
        <w:rPr>
          <w:color w:val="231F20"/>
          <w:spacing w:val="-6"/>
          <w:w w:val="105"/>
          <w:sz w:val="20"/>
        </w:rPr>
        <w:t> </w:t>
      </w:r>
      <w:r>
        <w:rPr>
          <w:color w:val="231F20"/>
          <w:w w:val="105"/>
          <w:sz w:val="20"/>
        </w:rPr>
        <w:t>IBM</w:t>
      </w:r>
      <w:r>
        <w:rPr>
          <w:color w:val="231F20"/>
          <w:spacing w:val="-6"/>
          <w:w w:val="105"/>
          <w:sz w:val="20"/>
        </w:rPr>
        <w:t> </w:t>
      </w:r>
      <w:r>
        <w:rPr>
          <w:color w:val="231F20"/>
          <w:w w:val="105"/>
          <w:sz w:val="20"/>
        </w:rPr>
        <w:t>Software</w:t>
      </w:r>
      <w:r>
        <w:rPr>
          <w:color w:val="231F20"/>
          <w:spacing w:val="-6"/>
          <w:w w:val="105"/>
          <w:sz w:val="20"/>
        </w:rPr>
        <w:t> </w:t>
      </w:r>
      <w:r>
        <w:rPr>
          <w:color w:val="231F20"/>
          <w:w w:val="105"/>
          <w:sz w:val="20"/>
        </w:rPr>
        <w:t>Support</w:t>
      </w:r>
      <w:r>
        <w:rPr>
          <w:color w:val="231F20"/>
          <w:spacing w:val="-6"/>
          <w:w w:val="105"/>
          <w:sz w:val="20"/>
        </w:rPr>
        <w:t> </w:t>
      </w:r>
      <w:r>
        <w:rPr>
          <w:color w:val="231F20"/>
          <w:w w:val="105"/>
          <w:sz w:val="20"/>
        </w:rPr>
        <w:t>website</w:t>
      </w:r>
      <w:r>
        <w:rPr>
          <w:color w:val="231F20"/>
          <w:spacing w:val="-6"/>
          <w:w w:val="105"/>
          <w:sz w:val="20"/>
        </w:rPr>
        <w:t> </w:t>
      </w:r>
      <w:r>
        <w:rPr>
          <w:color w:val="231F20"/>
          <w:w w:val="105"/>
          <w:sz w:val="20"/>
        </w:rPr>
        <w:t>at</w:t>
      </w:r>
      <w:r>
        <w:rPr>
          <w:color w:val="231F20"/>
          <w:spacing w:val="-6"/>
          <w:w w:val="105"/>
          <w:sz w:val="20"/>
        </w:rPr>
        <w:t> </w:t>
      </w:r>
      <w:hyperlink r:id="rId517">
        <w:r>
          <w:rPr>
            <w:color w:val="231F20"/>
            <w:w w:val="105"/>
            <w:sz w:val="20"/>
          </w:rPr>
          <w:t>http://www.ibm.com/software/</w:t>
        </w:r>
      </w:hyperlink>
      <w:r>
        <w:rPr>
          <w:color w:val="231F20"/>
          <w:w w:val="105"/>
          <w:sz w:val="20"/>
        </w:rPr>
        <w:t> </w:t>
      </w:r>
      <w:hyperlink r:id="rId517">
        <w:r>
          <w:rPr>
            <w:color w:val="231F20"/>
            <w:spacing w:val="-2"/>
            <w:w w:val="105"/>
            <w:sz w:val="20"/>
          </w:rPr>
          <w:t>support.</w:t>
        </w:r>
      </w:hyperlink>
    </w:p>
    <w:p>
      <w:pPr>
        <w:pStyle w:val="ListParagraph"/>
        <w:numPr>
          <w:ilvl w:val="1"/>
          <w:numId w:val="196"/>
        </w:numPr>
        <w:tabs>
          <w:tab w:pos="2658" w:val="left" w:leader="none"/>
        </w:tabs>
        <w:spacing w:line="255" w:lineRule="exact" w:before="35" w:after="0"/>
        <w:ind w:left="2658" w:right="0" w:hanging="315"/>
        <w:jc w:val="left"/>
        <w:rPr>
          <w:sz w:val="20"/>
        </w:rPr>
      </w:pPr>
      <w:r>
        <w:rPr>
          <w:color w:val="231F20"/>
          <w:sz w:val="20"/>
        </w:rPr>
        <w:t>Click</w:t>
      </w:r>
      <w:r>
        <w:rPr>
          <w:color w:val="231F20"/>
          <w:spacing w:val="11"/>
          <w:sz w:val="20"/>
        </w:rPr>
        <w:t> </w:t>
      </w:r>
      <w:r>
        <w:rPr>
          <w:rFonts w:ascii="Book Antiqua"/>
          <w:b/>
          <w:color w:val="231F20"/>
          <w:sz w:val="20"/>
        </w:rPr>
        <w:t>My</w:t>
      </w:r>
      <w:r>
        <w:rPr>
          <w:rFonts w:ascii="Book Antiqua"/>
          <w:b/>
          <w:color w:val="231F20"/>
          <w:spacing w:val="11"/>
          <w:sz w:val="20"/>
        </w:rPr>
        <w:t> </w:t>
      </w:r>
      <w:r>
        <w:rPr>
          <w:rFonts w:ascii="Book Antiqua"/>
          <w:b/>
          <w:color w:val="231F20"/>
          <w:sz w:val="20"/>
        </w:rPr>
        <w:t>support</w:t>
      </w:r>
      <w:r>
        <w:rPr>
          <w:rFonts w:ascii="Book Antiqua"/>
          <w:b/>
          <w:color w:val="231F20"/>
          <w:spacing w:val="12"/>
          <w:sz w:val="20"/>
        </w:rPr>
        <w:t> </w:t>
      </w:r>
      <w:r>
        <w:rPr>
          <w:color w:val="231F20"/>
          <w:sz w:val="20"/>
        </w:rPr>
        <w:t>in</w:t>
      </w:r>
      <w:r>
        <w:rPr>
          <w:color w:val="231F20"/>
          <w:spacing w:val="11"/>
          <w:sz w:val="20"/>
        </w:rPr>
        <w:t> </w:t>
      </w:r>
      <w:r>
        <w:rPr>
          <w:color w:val="231F20"/>
          <w:sz w:val="20"/>
        </w:rPr>
        <w:t>the</w:t>
      </w:r>
      <w:r>
        <w:rPr>
          <w:color w:val="231F20"/>
          <w:spacing w:val="12"/>
          <w:sz w:val="20"/>
        </w:rPr>
        <w:t> </w:t>
      </w:r>
      <w:r>
        <w:rPr>
          <w:color w:val="231F20"/>
          <w:sz w:val="20"/>
        </w:rPr>
        <w:t>far</w:t>
      </w:r>
      <w:r>
        <w:rPr>
          <w:color w:val="231F20"/>
          <w:spacing w:val="11"/>
          <w:sz w:val="20"/>
        </w:rPr>
        <w:t> </w:t>
      </w:r>
      <w:r>
        <w:rPr>
          <w:color w:val="231F20"/>
          <w:sz w:val="20"/>
        </w:rPr>
        <w:t>upper-right</w:t>
      </w:r>
      <w:r>
        <w:rPr>
          <w:color w:val="231F20"/>
          <w:spacing w:val="11"/>
          <w:sz w:val="20"/>
        </w:rPr>
        <w:t> </w:t>
      </w:r>
      <w:r>
        <w:rPr>
          <w:color w:val="231F20"/>
          <w:sz w:val="20"/>
        </w:rPr>
        <w:t>corner</w:t>
      </w:r>
      <w:r>
        <w:rPr>
          <w:color w:val="231F20"/>
          <w:spacing w:val="12"/>
          <w:sz w:val="20"/>
        </w:rPr>
        <w:t> </w:t>
      </w:r>
      <w:r>
        <w:rPr>
          <w:color w:val="231F20"/>
          <w:sz w:val="20"/>
        </w:rPr>
        <w:t>of</w:t>
      </w:r>
      <w:r>
        <w:rPr>
          <w:color w:val="231F20"/>
          <w:spacing w:val="11"/>
          <w:sz w:val="20"/>
        </w:rPr>
        <w:t> </w:t>
      </w:r>
      <w:r>
        <w:rPr>
          <w:color w:val="231F20"/>
          <w:sz w:val="20"/>
        </w:rPr>
        <w:t>the</w:t>
      </w:r>
      <w:r>
        <w:rPr>
          <w:color w:val="231F20"/>
          <w:spacing w:val="12"/>
          <w:sz w:val="20"/>
        </w:rPr>
        <w:t> </w:t>
      </w:r>
      <w:r>
        <w:rPr>
          <w:color w:val="231F20"/>
          <w:sz w:val="20"/>
        </w:rPr>
        <w:t>page</w:t>
      </w:r>
      <w:r>
        <w:rPr>
          <w:color w:val="231F20"/>
          <w:spacing w:val="11"/>
          <w:sz w:val="20"/>
        </w:rPr>
        <w:t> </w:t>
      </w:r>
      <w:r>
        <w:rPr>
          <w:color w:val="231F20"/>
          <w:spacing w:val="-2"/>
          <w:sz w:val="20"/>
        </w:rPr>
        <w:t>under</w:t>
      </w:r>
    </w:p>
    <w:p>
      <w:pPr>
        <w:pStyle w:val="Heading6"/>
        <w:spacing w:line="255" w:lineRule="exact" w:before="0"/>
        <w:ind w:left="2659"/>
        <w:rPr>
          <w:rFonts w:ascii="Palatino Linotype"/>
          <w:b w:val="0"/>
        </w:rPr>
      </w:pPr>
      <w:r>
        <w:rPr>
          <w:color w:val="231F20"/>
        </w:rPr>
        <w:t>Personalized</w:t>
      </w:r>
      <w:r>
        <w:rPr>
          <w:color w:val="231F20"/>
          <w:spacing w:val="4"/>
        </w:rPr>
        <w:t> </w:t>
      </w:r>
      <w:r>
        <w:rPr>
          <w:color w:val="231F20"/>
          <w:spacing w:val="-2"/>
        </w:rPr>
        <w:t>support</w:t>
      </w:r>
      <w:r>
        <w:rPr>
          <w:rFonts w:ascii="Palatino Linotype"/>
          <w:b w:val="0"/>
          <w:color w:val="231F20"/>
          <w:spacing w:val="-2"/>
        </w:rPr>
        <w:t>.</w:t>
      </w:r>
    </w:p>
    <w:p>
      <w:pPr>
        <w:pStyle w:val="ListParagraph"/>
        <w:numPr>
          <w:ilvl w:val="1"/>
          <w:numId w:val="196"/>
        </w:numPr>
        <w:tabs>
          <w:tab w:pos="2657" w:val="left" w:leader="none"/>
          <w:tab w:pos="2659" w:val="left" w:leader="none"/>
        </w:tabs>
        <w:spacing w:line="213" w:lineRule="auto" w:before="53" w:after="0"/>
        <w:ind w:left="2659" w:right="561" w:hanging="317"/>
        <w:jc w:val="left"/>
        <w:rPr>
          <w:sz w:val="20"/>
        </w:rPr>
      </w:pPr>
      <w:r>
        <w:rPr>
          <w:color w:val="231F20"/>
          <w:sz w:val="20"/>
        </w:rPr>
        <w:t>If you have already registered for </w:t>
      </w:r>
      <w:r>
        <w:rPr>
          <w:rFonts w:ascii="Book Antiqua"/>
          <w:b/>
          <w:color w:val="231F20"/>
          <w:sz w:val="20"/>
        </w:rPr>
        <w:t>My support</w:t>
      </w:r>
      <w:r>
        <w:rPr>
          <w:color w:val="231F20"/>
          <w:sz w:val="20"/>
        </w:rPr>
        <w:t>, sign in and skip to the next step. If you have not registered, click </w:t>
      </w:r>
      <w:r>
        <w:rPr>
          <w:rFonts w:ascii="Book Antiqua"/>
          <w:b/>
          <w:color w:val="231F20"/>
          <w:sz w:val="20"/>
        </w:rPr>
        <w:t>register now</w:t>
      </w:r>
      <w:r>
        <w:rPr>
          <w:color w:val="231F20"/>
          <w:sz w:val="20"/>
        </w:rPr>
        <w:t>. Complete the </w:t>
      </w:r>
      <w:r>
        <w:rPr>
          <w:color w:val="231F20"/>
          <w:sz w:val="20"/>
        </w:rPr>
        <w:t>registration form using your e-mail address as your IBM ID and click </w:t>
      </w:r>
      <w:r>
        <w:rPr>
          <w:rFonts w:ascii="Book Antiqua"/>
          <w:b/>
          <w:color w:val="231F20"/>
          <w:sz w:val="20"/>
        </w:rPr>
        <w:t>Submit</w:t>
      </w:r>
      <w:r>
        <w:rPr>
          <w:color w:val="231F20"/>
          <w:sz w:val="20"/>
        </w:rPr>
        <w:t>.</w:t>
      </w:r>
    </w:p>
    <w:p>
      <w:pPr>
        <w:pStyle w:val="ListParagraph"/>
        <w:numPr>
          <w:ilvl w:val="1"/>
          <w:numId w:val="196"/>
        </w:numPr>
        <w:tabs>
          <w:tab w:pos="2658" w:val="left" w:leader="none"/>
        </w:tabs>
        <w:spacing w:line="240" w:lineRule="auto" w:before="35" w:after="0"/>
        <w:ind w:left="2658" w:right="0" w:hanging="315"/>
        <w:jc w:val="left"/>
        <w:rPr>
          <w:sz w:val="20"/>
        </w:rPr>
      </w:pPr>
      <w:r>
        <w:rPr>
          <w:color w:val="231F20"/>
          <w:sz w:val="20"/>
        </w:rPr>
        <w:t>The</w:t>
      </w:r>
      <w:r>
        <w:rPr>
          <w:color w:val="231F20"/>
          <w:spacing w:val="12"/>
          <w:sz w:val="20"/>
        </w:rPr>
        <w:t> </w:t>
      </w:r>
      <w:r>
        <w:rPr>
          <w:rFonts w:ascii="Book Antiqua"/>
          <w:b/>
          <w:color w:val="231F20"/>
          <w:sz w:val="20"/>
        </w:rPr>
        <w:t>Edit</w:t>
      </w:r>
      <w:r>
        <w:rPr>
          <w:rFonts w:ascii="Book Antiqua"/>
          <w:b/>
          <w:color w:val="231F20"/>
          <w:spacing w:val="12"/>
          <w:sz w:val="20"/>
        </w:rPr>
        <w:t> </w:t>
      </w:r>
      <w:r>
        <w:rPr>
          <w:rFonts w:ascii="Book Antiqua"/>
          <w:b/>
          <w:color w:val="231F20"/>
          <w:sz w:val="20"/>
        </w:rPr>
        <w:t>profile</w:t>
      </w:r>
      <w:r>
        <w:rPr>
          <w:rFonts w:ascii="Book Antiqua"/>
          <w:b/>
          <w:color w:val="231F20"/>
          <w:spacing w:val="13"/>
          <w:sz w:val="20"/>
        </w:rPr>
        <w:t> </w:t>
      </w:r>
      <w:r>
        <w:rPr>
          <w:color w:val="231F20"/>
          <w:sz w:val="20"/>
        </w:rPr>
        <w:t>tab</w:t>
      </w:r>
      <w:r>
        <w:rPr>
          <w:color w:val="231F20"/>
          <w:spacing w:val="12"/>
          <w:sz w:val="20"/>
        </w:rPr>
        <w:t> </w:t>
      </w:r>
      <w:r>
        <w:rPr>
          <w:color w:val="231F20"/>
          <w:sz w:val="20"/>
        </w:rPr>
        <w:t>is</w:t>
      </w:r>
      <w:r>
        <w:rPr>
          <w:color w:val="231F20"/>
          <w:spacing w:val="13"/>
          <w:sz w:val="20"/>
        </w:rPr>
        <w:t> </w:t>
      </w:r>
      <w:r>
        <w:rPr>
          <w:color w:val="231F20"/>
          <w:spacing w:val="-2"/>
          <w:sz w:val="20"/>
        </w:rPr>
        <w:t>displayed.</w:t>
      </w:r>
    </w:p>
    <w:p>
      <w:pPr>
        <w:pStyle w:val="ListParagraph"/>
        <w:numPr>
          <w:ilvl w:val="1"/>
          <w:numId w:val="196"/>
        </w:numPr>
        <w:tabs>
          <w:tab w:pos="2657" w:val="left" w:leader="none"/>
          <w:tab w:pos="2659" w:val="left" w:leader="none"/>
        </w:tabs>
        <w:spacing w:line="213" w:lineRule="auto" w:before="52" w:after="0"/>
        <w:ind w:left="2659" w:right="469" w:hanging="317"/>
        <w:jc w:val="left"/>
        <w:rPr>
          <w:sz w:val="20"/>
        </w:rPr>
      </w:pPr>
      <w:r>
        <w:rPr>
          <w:color w:val="231F20"/>
          <w:sz w:val="20"/>
        </w:rPr>
        <w:t>In the first list under </w:t>
      </w:r>
      <w:r>
        <w:rPr>
          <w:rFonts w:ascii="Book Antiqua"/>
          <w:b/>
          <w:color w:val="231F20"/>
          <w:sz w:val="20"/>
        </w:rPr>
        <w:t>Products</w:t>
      </w:r>
      <w:r>
        <w:rPr>
          <w:color w:val="231F20"/>
          <w:sz w:val="20"/>
        </w:rPr>
        <w:t>, select </w:t>
      </w:r>
      <w:r>
        <w:rPr>
          <w:rFonts w:ascii="Book Antiqua"/>
          <w:b/>
          <w:color w:val="231F20"/>
          <w:sz w:val="20"/>
        </w:rPr>
        <w:t>Software</w:t>
      </w:r>
      <w:r>
        <w:rPr>
          <w:color w:val="231F20"/>
          <w:sz w:val="20"/>
        </w:rPr>
        <w:t>. In the second list, select a product category (for example, </w:t>
      </w:r>
      <w:r>
        <w:rPr>
          <w:rFonts w:ascii="Book Antiqua"/>
          <w:b/>
          <w:color w:val="231F20"/>
          <w:sz w:val="20"/>
        </w:rPr>
        <w:t>Systems and Asset Management</w:t>
      </w:r>
      <w:r>
        <w:rPr>
          <w:color w:val="231F20"/>
          <w:sz w:val="20"/>
        </w:rPr>
        <w:t>). In the </w:t>
      </w:r>
      <w:r>
        <w:rPr>
          <w:color w:val="231F20"/>
          <w:sz w:val="20"/>
        </w:rPr>
        <w:t>third list, select a product sub-category (for example, </w:t>
      </w:r>
      <w:r>
        <w:rPr>
          <w:rFonts w:ascii="Book Antiqua"/>
          <w:b/>
          <w:color w:val="231F20"/>
          <w:sz w:val="20"/>
        </w:rPr>
        <w:t>Application Performance &amp; Availability </w:t>
      </w:r>
      <w:r>
        <w:rPr>
          <w:color w:val="231F20"/>
          <w:sz w:val="20"/>
        </w:rPr>
        <w:t>or </w:t>
      </w:r>
      <w:r>
        <w:rPr>
          <w:rFonts w:ascii="Book Antiqua"/>
          <w:b/>
          <w:color w:val="231F20"/>
          <w:sz w:val="20"/>
        </w:rPr>
        <w:t>Systems Performance</w:t>
      </w:r>
      <w:r>
        <w:rPr>
          <w:color w:val="231F20"/>
          <w:sz w:val="20"/>
        </w:rPr>
        <w:t>). A list of applicable products is </w:t>
      </w:r>
      <w:r>
        <w:rPr>
          <w:color w:val="231F20"/>
          <w:spacing w:val="-2"/>
          <w:sz w:val="20"/>
        </w:rPr>
        <w:t>displayed.</w:t>
      </w:r>
    </w:p>
    <w:p>
      <w:pPr>
        <w:pStyle w:val="ListParagraph"/>
        <w:numPr>
          <w:ilvl w:val="1"/>
          <w:numId w:val="196"/>
        </w:numPr>
        <w:tabs>
          <w:tab w:pos="2658" w:val="left" w:leader="none"/>
        </w:tabs>
        <w:spacing w:line="240" w:lineRule="auto" w:before="34" w:after="0"/>
        <w:ind w:left="2658" w:right="0" w:hanging="315"/>
        <w:jc w:val="left"/>
        <w:rPr>
          <w:sz w:val="20"/>
        </w:rPr>
      </w:pPr>
      <w:r>
        <w:rPr>
          <w:color w:val="231F20"/>
          <w:sz w:val="20"/>
        </w:rPr>
        <w:t>Select</w:t>
      </w:r>
      <w:r>
        <w:rPr>
          <w:color w:val="231F20"/>
          <w:spacing w:val="10"/>
          <w:sz w:val="20"/>
        </w:rPr>
        <w:t> </w:t>
      </w:r>
      <w:r>
        <w:rPr>
          <w:color w:val="231F20"/>
          <w:sz w:val="20"/>
        </w:rPr>
        <w:t>the</w:t>
      </w:r>
      <w:r>
        <w:rPr>
          <w:color w:val="231F20"/>
          <w:spacing w:val="11"/>
          <w:sz w:val="20"/>
        </w:rPr>
        <w:t> </w:t>
      </w:r>
      <w:r>
        <w:rPr>
          <w:color w:val="231F20"/>
          <w:sz w:val="20"/>
        </w:rPr>
        <w:t>products</w:t>
      </w:r>
      <w:r>
        <w:rPr>
          <w:color w:val="231F20"/>
          <w:spacing w:val="11"/>
          <w:sz w:val="20"/>
        </w:rPr>
        <w:t> </w:t>
      </w:r>
      <w:r>
        <w:rPr>
          <w:color w:val="231F20"/>
          <w:sz w:val="20"/>
        </w:rPr>
        <w:t>for</w:t>
      </w:r>
      <w:r>
        <w:rPr>
          <w:color w:val="231F20"/>
          <w:spacing w:val="10"/>
          <w:sz w:val="20"/>
        </w:rPr>
        <w:t> </w:t>
      </w:r>
      <w:r>
        <w:rPr>
          <w:color w:val="231F20"/>
          <w:sz w:val="20"/>
        </w:rPr>
        <w:t>which</w:t>
      </w:r>
      <w:r>
        <w:rPr>
          <w:color w:val="231F20"/>
          <w:spacing w:val="11"/>
          <w:sz w:val="20"/>
        </w:rPr>
        <w:t> </w:t>
      </w:r>
      <w:r>
        <w:rPr>
          <w:color w:val="231F20"/>
          <w:sz w:val="20"/>
        </w:rPr>
        <w:t>you</w:t>
      </w:r>
      <w:r>
        <w:rPr>
          <w:color w:val="231F20"/>
          <w:spacing w:val="11"/>
          <w:sz w:val="20"/>
        </w:rPr>
        <w:t> </w:t>
      </w:r>
      <w:r>
        <w:rPr>
          <w:color w:val="231F20"/>
          <w:sz w:val="20"/>
        </w:rPr>
        <w:t>want</w:t>
      </w:r>
      <w:r>
        <w:rPr>
          <w:color w:val="231F20"/>
          <w:spacing w:val="10"/>
          <w:sz w:val="20"/>
        </w:rPr>
        <w:t> </w:t>
      </w:r>
      <w:r>
        <w:rPr>
          <w:color w:val="231F20"/>
          <w:sz w:val="20"/>
        </w:rPr>
        <w:t>to</w:t>
      </w:r>
      <w:r>
        <w:rPr>
          <w:color w:val="231F20"/>
          <w:spacing w:val="11"/>
          <w:sz w:val="20"/>
        </w:rPr>
        <w:t> </w:t>
      </w:r>
      <w:r>
        <w:rPr>
          <w:color w:val="231F20"/>
          <w:sz w:val="20"/>
        </w:rPr>
        <w:t>receive</w:t>
      </w:r>
      <w:r>
        <w:rPr>
          <w:color w:val="231F20"/>
          <w:spacing w:val="11"/>
          <w:sz w:val="20"/>
        </w:rPr>
        <w:t> </w:t>
      </w:r>
      <w:r>
        <w:rPr>
          <w:color w:val="231F20"/>
          <w:spacing w:val="-2"/>
          <w:sz w:val="20"/>
        </w:rPr>
        <w:t>updates.</w:t>
      </w:r>
    </w:p>
    <w:p>
      <w:pPr>
        <w:pStyle w:val="ListParagraph"/>
        <w:numPr>
          <w:ilvl w:val="1"/>
          <w:numId w:val="196"/>
        </w:numPr>
        <w:tabs>
          <w:tab w:pos="2658" w:val="left" w:leader="none"/>
        </w:tabs>
        <w:spacing w:line="240" w:lineRule="auto" w:before="29" w:after="0"/>
        <w:ind w:left="2658" w:right="0" w:hanging="315"/>
        <w:jc w:val="left"/>
        <w:rPr>
          <w:sz w:val="20"/>
        </w:rPr>
      </w:pPr>
      <w:r>
        <w:rPr>
          <w:color w:val="231F20"/>
          <w:sz w:val="20"/>
        </w:rPr>
        <w:t>Click</w:t>
      </w:r>
      <w:r>
        <w:rPr>
          <w:color w:val="231F20"/>
          <w:spacing w:val="11"/>
          <w:sz w:val="20"/>
        </w:rPr>
        <w:t> </w:t>
      </w:r>
      <w:r>
        <w:rPr>
          <w:rFonts w:ascii="Book Antiqua"/>
          <w:b/>
          <w:color w:val="231F20"/>
          <w:sz w:val="20"/>
        </w:rPr>
        <w:t>Add</w:t>
      </w:r>
      <w:r>
        <w:rPr>
          <w:rFonts w:ascii="Book Antiqua"/>
          <w:b/>
          <w:color w:val="231F20"/>
          <w:spacing w:val="12"/>
          <w:sz w:val="20"/>
        </w:rPr>
        <w:t> </w:t>
      </w:r>
      <w:r>
        <w:rPr>
          <w:rFonts w:ascii="Book Antiqua"/>
          <w:b/>
          <w:color w:val="231F20"/>
          <w:spacing w:val="-2"/>
          <w:sz w:val="20"/>
        </w:rPr>
        <w:t>products</w:t>
      </w:r>
      <w:r>
        <w:rPr>
          <w:color w:val="231F20"/>
          <w:spacing w:val="-2"/>
          <w:sz w:val="20"/>
        </w:rPr>
        <w:t>.</w:t>
      </w:r>
    </w:p>
    <w:p>
      <w:pPr>
        <w:pStyle w:val="ListParagraph"/>
        <w:numPr>
          <w:ilvl w:val="1"/>
          <w:numId w:val="196"/>
        </w:numPr>
        <w:tabs>
          <w:tab w:pos="2658" w:val="left" w:leader="none"/>
        </w:tabs>
        <w:spacing w:line="255" w:lineRule="exact" w:before="30" w:after="0"/>
        <w:ind w:left="2658" w:right="0" w:hanging="315"/>
        <w:jc w:val="left"/>
        <w:rPr>
          <w:rFonts w:ascii="Book Antiqua"/>
          <w:b/>
          <w:sz w:val="20"/>
        </w:rPr>
      </w:pPr>
      <w:r>
        <w:rPr>
          <w:color w:val="231F20"/>
          <w:sz w:val="20"/>
        </w:rPr>
        <w:t>After</w:t>
      </w:r>
      <w:r>
        <w:rPr>
          <w:color w:val="231F20"/>
          <w:spacing w:val="10"/>
          <w:sz w:val="20"/>
        </w:rPr>
        <w:t> </w:t>
      </w:r>
      <w:r>
        <w:rPr>
          <w:color w:val="231F20"/>
          <w:sz w:val="20"/>
        </w:rPr>
        <w:t>selecting</w:t>
      </w:r>
      <w:r>
        <w:rPr>
          <w:color w:val="231F20"/>
          <w:spacing w:val="11"/>
          <w:sz w:val="20"/>
        </w:rPr>
        <w:t> </w:t>
      </w:r>
      <w:r>
        <w:rPr>
          <w:color w:val="231F20"/>
          <w:sz w:val="20"/>
        </w:rPr>
        <w:t>all</w:t>
      </w:r>
      <w:r>
        <w:rPr>
          <w:color w:val="231F20"/>
          <w:spacing w:val="10"/>
          <w:sz w:val="20"/>
        </w:rPr>
        <w:t> </w:t>
      </w:r>
      <w:r>
        <w:rPr>
          <w:color w:val="231F20"/>
          <w:sz w:val="20"/>
        </w:rPr>
        <w:t>products</w:t>
      </w:r>
      <w:r>
        <w:rPr>
          <w:color w:val="231F20"/>
          <w:spacing w:val="11"/>
          <w:sz w:val="20"/>
        </w:rPr>
        <w:t> </w:t>
      </w:r>
      <w:r>
        <w:rPr>
          <w:color w:val="231F20"/>
          <w:sz w:val="20"/>
        </w:rPr>
        <w:t>that</w:t>
      </w:r>
      <w:r>
        <w:rPr>
          <w:color w:val="231F20"/>
          <w:spacing w:val="11"/>
          <w:sz w:val="20"/>
        </w:rPr>
        <w:t> </w:t>
      </w:r>
      <w:r>
        <w:rPr>
          <w:color w:val="231F20"/>
          <w:sz w:val="20"/>
        </w:rPr>
        <w:t>are</w:t>
      </w:r>
      <w:r>
        <w:rPr>
          <w:color w:val="231F20"/>
          <w:spacing w:val="10"/>
          <w:sz w:val="20"/>
        </w:rPr>
        <w:t> </w:t>
      </w:r>
      <w:r>
        <w:rPr>
          <w:color w:val="231F20"/>
          <w:sz w:val="20"/>
        </w:rPr>
        <w:t>of</w:t>
      </w:r>
      <w:r>
        <w:rPr>
          <w:color w:val="231F20"/>
          <w:spacing w:val="11"/>
          <w:sz w:val="20"/>
        </w:rPr>
        <w:t> </w:t>
      </w:r>
      <w:r>
        <w:rPr>
          <w:color w:val="231F20"/>
          <w:sz w:val="20"/>
        </w:rPr>
        <w:t>interest</w:t>
      </w:r>
      <w:r>
        <w:rPr>
          <w:color w:val="231F20"/>
          <w:spacing w:val="11"/>
          <w:sz w:val="20"/>
        </w:rPr>
        <w:t> </w:t>
      </w:r>
      <w:r>
        <w:rPr>
          <w:color w:val="231F20"/>
          <w:sz w:val="20"/>
        </w:rPr>
        <w:t>to</w:t>
      </w:r>
      <w:r>
        <w:rPr>
          <w:color w:val="231F20"/>
          <w:spacing w:val="10"/>
          <w:sz w:val="20"/>
        </w:rPr>
        <w:t> </w:t>
      </w:r>
      <w:r>
        <w:rPr>
          <w:color w:val="231F20"/>
          <w:sz w:val="20"/>
        </w:rPr>
        <w:t>you,</w:t>
      </w:r>
      <w:r>
        <w:rPr>
          <w:color w:val="231F20"/>
          <w:spacing w:val="11"/>
          <w:sz w:val="20"/>
        </w:rPr>
        <w:t> </w:t>
      </w:r>
      <w:r>
        <w:rPr>
          <w:color w:val="231F20"/>
          <w:sz w:val="20"/>
        </w:rPr>
        <w:t>click</w:t>
      </w:r>
      <w:r>
        <w:rPr>
          <w:color w:val="231F20"/>
          <w:spacing w:val="11"/>
          <w:sz w:val="20"/>
        </w:rPr>
        <w:t> </w:t>
      </w:r>
      <w:r>
        <w:rPr>
          <w:rFonts w:ascii="Book Antiqua"/>
          <w:b/>
          <w:color w:val="231F20"/>
          <w:sz w:val="20"/>
        </w:rPr>
        <w:t>Subscribe</w:t>
      </w:r>
      <w:r>
        <w:rPr>
          <w:rFonts w:ascii="Book Antiqua"/>
          <w:b/>
          <w:color w:val="231F20"/>
          <w:spacing w:val="10"/>
          <w:sz w:val="20"/>
        </w:rPr>
        <w:t> </w:t>
      </w:r>
      <w:r>
        <w:rPr>
          <w:rFonts w:ascii="Book Antiqua"/>
          <w:b/>
          <w:color w:val="231F20"/>
          <w:sz w:val="20"/>
        </w:rPr>
        <w:t>to</w:t>
      </w:r>
      <w:r>
        <w:rPr>
          <w:rFonts w:ascii="Book Antiqua"/>
          <w:b/>
          <w:color w:val="231F20"/>
          <w:spacing w:val="11"/>
          <w:sz w:val="20"/>
        </w:rPr>
        <w:t> </w:t>
      </w:r>
      <w:r>
        <w:rPr>
          <w:rFonts w:ascii="Book Antiqua"/>
          <w:b/>
          <w:color w:val="231F20"/>
          <w:spacing w:val="-2"/>
          <w:sz w:val="20"/>
        </w:rPr>
        <w:t>email</w:t>
      </w:r>
    </w:p>
    <w:p>
      <w:pPr>
        <w:spacing w:line="255" w:lineRule="exact" w:before="0"/>
        <w:ind w:left="2659" w:right="0" w:firstLine="0"/>
        <w:jc w:val="left"/>
        <w:rPr>
          <w:sz w:val="20"/>
        </w:rPr>
      </w:pPr>
      <w:r>
        <w:rPr>
          <w:color w:val="231F20"/>
          <w:sz w:val="20"/>
        </w:rPr>
        <w:t>on</w:t>
      </w:r>
      <w:r>
        <w:rPr>
          <w:color w:val="231F20"/>
          <w:spacing w:val="12"/>
          <w:sz w:val="20"/>
        </w:rPr>
        <w:t> </w:t>
      </w:r>
      <w:r>
        <w:rPr>
          <w:color w:val="231F20"/>
          <w:sz w:val="20"/>
        </w:rPr>
        <w:t>the</w:t>
      </w:r>
      <w:r>
        <w:rPr>
          <w:color w:val="231F20"/>
          <w:spacing w:val="12"/>
          <w:sz w:val="20"/>
        </w:rPr>
        <w:t> </w:t>
      </w:r>
      <w:r>
        <w:rPr>
          <w:rFonts w:ascii="Book Antiqua"/>
          <w:b/>
          <w:color w:val="231F20"/>
          <w:sz w:val="20"/>
        </w:rPr>
        <w:t>Edit</w:t>
      </w:r>
      <w:r>
        <w:rPr>
          <w:rFonts w:ascii="Book Antiqua"/>
          <w:b/>
          <w:color w:val="231F20"/>
          <w:spacing w:val="12"/>
          <w:sz w:val="20"/>
        </w:rPr>
        <w:t> </w:t>
      </w:r>
      <w:r>
        <w:rPr>
          <w:rFonts w:ascii="Book Antiqua"/>
          <w:b/>
          <w:color w:val="231F20"/>
          <w:sz w:val="20"/>
        </w:rPr>
        <w:t>profile</w:t>
      </w:r>
      <w:r>
        <w:rPr>
          <w:rFonts w:ascii="Book Antiqua"/>
          <w:b/>
          <w:color w:val="231F20"/>
          <w:spacing w:val="12"/>
          <w:sz w:val="20"/>
        </w:rPr>
        <w:t> </w:t>
      </w:r>
      <w:r>
        <w:rPr>
          <w:color w:val="231F20"/>
          <w:spacing w:val="-4"/>
          <w:sz w:val="20"/>
        </w:rPr>
        <w:t>tab.</w:t>
      </w:r>
    </w:p>
    <w:p>
      <w:pPr>
        <w:pStyle w:val="ListParagraph"/>
        <w:numPr>
          <w:ilvl w:val="1"/>
          <w:numId w:val="196"/>
        </w:numPr>
        <w:tabs>
          <w:tab w:pos="2658" w:val="left" w:leader="none"/>
        </w:tabs>
        <w:spacing w:line="240" w:lineRule="auto" w:before="29" w:after="0"/>
        <w:ind w:left="2658" w:right="0" w:hanging="315"/>
        <w:jc w:val="left"/>
        <w:rPr>
          <w:sz w:val="20"/>
        </w:rPr>
      </w:pPr>
      <w:r>
        <w:rPr>
          <w:color w:val="231F20"/>
          <w:sz w:val="20"/>
        </w:rPr>
        <w:t>In</w:t>
      </w:r>
      <w:r>
        <w:rPr>
          <w:color w:val="231F20"/>
          <w:spacing w:val="11"/>
          <w:sz w:val="20"/>
        </w:rPr>
        <w:t> </w:t>
      </w:r>
      <w:r>
        <w:rPr>
          <w:color w:val="231F20"/>
          <w:sz w:val="20"/>
        </w:rPr>
        <w:t>the</w:t>
      </w:r>
      <w:r>
        <w:rPr>
          <w:color w:val="231F20"/>
          <w:spacing w:val="11"/>
          <w:sz w:val="20"/>
        </w:rPr>
        <w:t> </w:t>
      </w:r>
      <w:r>
        <w:rPr>
          <w:rFonts w:ascii="Book Antiqua"/>
          <w:b/>
          <w:color w:val="231F20"/>
          <w:sz w:val="20"/>
        </w:rPr>
        <w:t>Documents</w:t>
      </w:r>
      <w:r>
        <w:rPr>
          <w:rFonts w:ascii="Book Antiqua"/>
          <w:b/>
          <w:color w:val="231F20"/>
          <w:spacing w:val="12"/>
          <w:sz w:val="20"/>
        </w:rPr>
        <w:t> </w:t>
      </w:r>
      <w:r>
        <w:rPr>
          <w:color w:val="231F20"/>
          <w:sz w:val="20"/>
        </w:rPr>
        <w:t>list,</w:t>
      </w:r>
      <w:r>
        <w:rPr>
          <w:color w:val="231F20"/>
          <w:spacing w:val="11"/>
          <w:sz w:val="20"/>
        </w:rPr>
        <w:t> </w:t>
      </w:r>
      <w:r>
        <w:rPr>
          <w:color w:val="231F20"/>
          <w:sz w:val="20"/>
        </w:rPr>
        <w:t>select</w:t>
      </w:r>
      <w:r>
        <w:rPr>
          <w:color w:val="231F20"/>
          <w:spacing w:val="11"/>
          <w:sz w:val="20"/>
        </w:rPr>
        <w:t> </w:t>
      </w:r>
      <w:r>
        <w:rPr>
          <w:rFonts w:ascii="Book Antiqua"/>
          <w:b/>
          <w:color w:val="231F20"/>
          <w:spacing w:val="-2"/>
          <w:sz w:val="20"/>
        </w:rPr>
        <w:t>Software</w:t>
      </w:r>
      <w:r>
        <w:rPr>
          <w:color w:val="231F20"/>
          <w:spacing w:val="-2"/>
          <w:sz w:val="20"/>
        </w:rPr>
        <w:t>.</w:t>
      </w:r>
    </w:p>
    <w:p>
      <w:pPr>
        <w:pStyle w:val="Heading6"/>
        <w:numPr>
          <w:ilvl w:val="1"/>
          <w:numId w:val="196"/>
        </w:numPr>
        <w:tabs>
          <w:tab w:pos="2659" w:val="left" w:leader="none"/>
        </w:tabs>
        <w:spacing w:line="240" w:lineRule="auto" w:before="30" w:after="0"/>
        <w:ind w:left="2659" w:right="0" w:hanging="427"/>
        <w:jc w:val="left"/>
        <w:rPr>
          <w:rFonts w:ascii="Palatino Linotype"/>
          <w:b w:val="0"/>
        </w:rPr>
      </w:pPr>
      <w:r>
        <w:rPr>
          <w:rFonts w:ascii="Palatino Linotype"/>
          <w:b w:val="0"/>
          <w:color w:val="231F20"/>
        </w:rPr>
        <w:t>Select</w:t>
      </w:r>
      <w:r>
        <w:rPr>
          <w:rFonts w:ascii="Palatino Linotype"/>
          <w:b w:val="0"/>
          <w:color w:val="231F20"/>
          <w:spacing w:val="10"/>
        </w:rPr>
        <w:t> </w:t>
      </w:r>
      <w:r>
        <w:rPr>
          <w:color w:val="231F20"/>
        </w:rPr>
        <w:t>Please</w:t>
      </w:r>
      <w:r>
        <w:rPr>
          <w:color w:val="231F20"/>
          <w:spacing w:val="10"/>
        </w:rPr>
        <w:t> </w:t>
      </w:r>
      <w:r>
        <w:rPr>
          <w:color w:val="231F20"/>
        </w:rPr>
        <w:t>send</w:t>
      </w:r>
      <w:r>
        <w:rPr>
          <w:color w:val="231F20"/>
          <w:spacing w:val="11"/>
        </w:rPr>
        <w:t> </w:t>
      </w:r>
      <w:r>
        <w:rPr>
          <w:color w:val="231F20"/>
        </w:rPr>
        <w:t>these</w:t>
      </w:r>
      <w:r>
        <w:rPr>
          <w:color w:val="231F20"/>
          <w:spacing w:val="10"/>
        </w:rPr>
        <w:t> </w:t>
      </w:r>
      <w:r>
        <w:rPr>
          <w:color w:val="231F20"/>
        </w:rPr>
        <w:t>documents</w:t>
      </w:r>
      <w:r>
        <w:rPr>
          <w:color w:val="231F20"/>
          <w:spacing w:val="11"/>
        </w:rPr>
        <w:t> </w:t>
      </w:r>
      <w:r>
        <w:rPr>
          <w:color w:val="231F20"/>
        </w:rPr>
        <w:t>by</w:t>
      </w:r>
      <w:r>
        <w:rPr>
          <w:color w:val="231F20"/>
          <w:spacing w:val="10"/>
        </w:rPr>
        <w:t> </w:t>
      </w:r>
      <w:r>
        <w:rPr>
          <w:color w:val="231F20"/>
        </w:rPr>
        <w:t>weekly</w:t>
      </w:r>
      <w:r>
        <w:rPr>
          <w:color w:val="231F20"/>
          <w:spacing w:val="11"/>
        </w:rPr>
        <w:t> </w:t>
      </w:r>
      <w:r>
        <w:rPr>
          <w:color w:val="231F20"/>
          <w:spacing w:val="-2"/>
        </w:rPr>
        <w:t>email</w:t>
      </w:r>
      <w:r>
        <w:rPr>
          <w:rFonts w:ascii="Palatino Linotype"/>
          <w:b w:val="0"/>
          <w:color w:val="231F20"/>
          <w:spacing w:val="-2"/>
        </w:rPr>
        <w:t>.</w:t>
      </w:r>
    </w:p>
    <w:p>
      <w:pPr>
        <w:pStyle w:val="ListParagraph"/>
        <w:numPr>
          <w:ilvl w:val="1"/>
          <w:numId w:val="196"/>
        </w:numPr>
        <w:tabs>
          <w:tab w:pos="2643" w:val="left" w:leader="none"/>
        </w:tabs>
        <w:spacing w:line="240" w:lineRule="auto" w:before="29" w:after="0"/>
        <w:ind w:left="2643" w:right="0" w:hanging="411"/>
        <w:jc w:val="left"/>
        <w:rPr>
          <w:sz w:val="20"/>
        </w:rPr>
      </w:pPr>
      <w:r>
        <w:rPr>
          <w:color w:val="231F20"/>
          <w:sz w:val="20"/>
        </w:rPr>
        <w:t>Update</w:t>
      </w:r>
      <w:r>
        <w:rPr>
          <w:color w:val="231F20"/>
          <w:spacing w:val="10"/>
          <w:sz w:val="20"/>
        </w:rPr>
        <w:t> </w:t>
      </w:r>
      <w:r>
        <w:rPr>
          <w:color w:val="231F20"/>
          <w:sz w:val="20"/>
        </w:rPr>
        <w:t>your</w:t>
      </w:r>
      <w:r>
        <w:rPr>
          <w:color w:val="231F20"/>
          <w:spacing w:val="10"/>
          <w:sz w:val="20"/>
        </w:rPr>
        <w:t> </w:t>
      </w:r>
      <w:r>
        <w:rPr>
          <w:color w:val="231F20"/>
          <w:sz w:val="20"/>
        </w:rPr>
        <w:t>e-mail</w:t>
      </w:r>
      <w:r>
        <w:rPr>
          <w:color w:val="231F20"/>
          <w:spacing w:val="10"/>
          <w:sz w:val="20"/>
        </w:rPr>
        <w:t> </w:t>
      </w:r>
      <w:r>
        <w:rPr>
          <w:color w:val="231F20"/>
          <w:sz w:val="20"/>
        </w:rPr>
        <w:t>address</w:t>
      </w:r>
      <w:r>
        <w:rPr>
          <w:color w:val="231F20"/>
          <w:spacing w:val="10"/>
          <w:sz w:val="20"/>
        </w:rPr>
        <w:t> </w:t>
      </w:r>
      <w:r>
        <w:rPr>
          <w:color w:val="231F20"/>
          <w:sz w:val="20"/>
        </w:rPr>
        <w:t>as</w:t>
      </w:r>
      <w:r>
        <w:rPr>
          <w:color w:val="231F20"/>
          <w:spacing w:val="10"/>
          <w:sz w:val="20"/>
        </w:rPr>
        <w:t> </w:t>
      </w:r>
      <w:r>
        <w:rPr>
          <w:color w:val="231F20"/>
          <w:spacing w:val="-2"/>
          <w:sz w:val="20"/>
        </w:rPr>
        <w:t>needed.</w:t>
      </w:r>
    </w:p>
    <w:p>
      <w:pPr>
        <w:pStyle w:val="ListParagraph"/>
        <w:numPr>
          <w:ilvl w:val="1"/>
          <w:numId w:val="196"/>
        </w:numPr>
        <w:tabs>
          <w:tab w:pos="2659" w:val="left" w:leader="none"/>
        </w:tabs>
        <w:spacing w:line="240" w:lineRule="auto" w:before="30" w:after="0"/>
        <w:ind w:left="2659" w:right="0" w:hanging="427"/>
        <w:jc w:val="left"/>
        <w:rPr>
          <w:sz w:val="20"/>
        </w:rPr>
      </w:pPr>
      <w:r>
        <w:rPr>
          <w:color w:val="231F20"/>
          <w:sz w:val="20"/>
        </w:rPr>
        <w:t>Select</w:t>
      </w:r>
      <w:r>
        <w:rPr>
          <w:color w:val="231F20"/>
          <w:spacing w:val="11"/>
          <w:sz w:val="20"/>
        </w:rPr>
        <w:t> </w:t>
      </w:r>
      <w:r>
        <w:rPr>
          <w:color w:val="231F20"/>
          <w:sz w:val="20"/>
        </w:rPr>
        <w:t>the</w:t>
      </w:r>
      <w:r>
        <w:rPr>
          <w:color w:val="231F20"/>
          <w:spacing w:val="12"/>
          <w:sz w:val="20"/>
        </w:rPr>
        <w:t> </w:t>
      </w:r>
      <w:r>
        <w:rPr>
          <w:color w:val="231F20"/>
          <w:sz w:val="20"/>
        </w:rPr>
        <w:t>types</w:t>
      </w:r>
      <w:r>
        <w:rPr>
          <w:color w:val="231F20"/>
          <w:spacing w:val="12"/>
          <w:sz w:val="20"/>
        </w:rPr>
        <w:t> </w:t>
      </w:r>
      <w:r>
        <w:rPr>
          <w:color w:val="231F20"/>
          <w:sz w:val="20"/>
        </w:rPr>
        <w:t>of</w:t>
      </w:r>
      <w:r>
        <w:rPr>
          <w:color w:val="231F20"/>
          <w:spacing w:val="12"/>
          <w:sz w:val="20"/>
        </w:rPr>
        <w:t> </w:t>
      </w:r>
      <w:r>
        <w:rPr>
          <w:color w:val="231F20"/>
          <w:sz w:val="20"/>
        </w:rPr>
        <w:t>documents</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2"/>
          <w:sz w:val="20"/>
        </w:rPr>
        <w:t> </w:t>
      </w:r>
      <w:r>
        <w:rPr>
          <w:color w:val="231F20"/>
          <w:spacing w:val="-2"/>
          <w:sz w:val="20"/>
        </w:rPr>
        <w:t>receive.</w:t>
      </w:r>
    </w:p>
    <w:p>
      <w:pPr>
        <w:pStyle w:val="ListParagraph"/>
        <w:numPr>
          <w:ilvl w:val="1"/>
          <w:numId w:val="196"/>
        </w:numPr>
        <w:tabs>
          <w:tab w:pos="2659" w:val="left" w:leader="none"/>
        </w:tabs>
        <w:spacing w:line="240" w:lineRule="auto" w:before="29" w:after="0"/>
        <w:ind w:left="2659" w:right="0" w:hanging="427"/>
        <w:jc w:val="left"/>
        <w:rPr>
          <w:sz w:val="20"/>
        </w:rPr>
      </w:pPr>
      <w:r>
        <w:rPr>
          <w:color w:val="231F20"/>
          <w:sz w:val="20"/>
        </w:rPr>
        <w:t>Click</w:t>
      </w:r>
      <w:r>
        <w:rPr>
          <w:color w:val="231F20"/>
          <w:spacing w:val="11"/>
          <w:sz w:val="20"/>
        </w:rPr>
        <w:t> </w:t>
      </w:r>
      <w:r>
        <w:rPr>
          <w:rFonts w:ascii="Book Antiqua"/>
          <w:b/>
          <w:color w:val="231F20"/>
          <w:spacing w:val="-2"/>
          <w:sz w:val="20"/>
        </w:rPr>
        <w:t>Update</w:t>
      </w:r>
      <w:r>
        <w:rPr>
          <w:color w:val="231F20"/>
          <w:spacing w:val="-2"/>
          <w:sz w:val="20"/>
        </w:rPr>
        <w:t>.</w:t>
      </w:r>
    </w:p>
    <w:p>
      <w:pPr>
        <w:spacing w:after="0" w:line="240" w:lineRule="auto"/>
        <w:jc w:val="left"/>
        <w:rPr>
          <w:sz w:val="20"/>
        </w:rPr>
        <w:sectPr>
          <w:type w:val="continuous"/>
          <w:pgSz w:w="12240" w:h="15840"/>
          <w:pgMar w:header="0" w:footer="736" w:top="0" w:bottom="4660" w:left="1000" w:right="1060"/>
        </w:sectPr>
      </w:pPr>
    </w:p>
    <w:p>
      <w:pPr>
        <w:pStyle w:val="BodyText"/>
        <w:spacing w:line="213" w:lineRule="auto" w:before="85"/>
        <w:ind w:left="2472" w:right="493"/>
      </w:pPr>
      <w:bookmarkStart w:name="_bookmark356" w:id="745"/>
      <w:bookmarkEnd w:id="745"/>
      <w:r>
        <w:rPr/>
      </w:r>
      <w:r>
        <w:rPr>
          <w:color w:val="231F20"/>
        </w:rPr>
        <w:t>If you experience problems with the </w:t>
      </w:r>
      <w:r>
        <w:rPr>
          <w:rFonts w:ascii="Book Antiqua"/>
          <w:b/>
          <w:color w:val="231F20"/>
        </w:rPr>
        <w:t>My support </w:t>
      </w:r>
      <w:r>
        <w:rPr>
          <w:color w:val="231F20"/>
        </w:rPr>
        <w:t>feature, you can obtain help </w:t>
      </w:r>
      <w:r>
        <w:rPr>
          <w:color w:val="231F20"/>
        </w:rPr>
        <w:t>in one of the following ways:</w:t>
      </w:r>
    </w:p>
    <w:p>
      <w:pPr>
        <w:pStyle w:val="Heading6"/>
        <w:spacing w:line="240" w:lineRule="auto"/>
      </w:pPr>
      <w:r>
        <w:rPr>
          <w:color w:val="231F20"/>
          <w:spacing w:val="-2"/>
        </w:rPr>
        <w:t>Online</w:t>
      </w:r>
    </w:p>
    <w:p>
      <w:pPr>
        <w:pStyle w:val="BodyText"/>
        <w:spacing w:line="246" w:lineRule="exact"/>
        <w:ind w:left="3190"/>
      </w:pPr>
      <w:r>
        <w:rPr>
          <w:color w:val="231F20"/>
        </w:rPr>
        <w:t>Send</w:t>
      </w:r>
      <w:r>
        <w:rPr>
          <w:color w:val="231F20"/>
          <w:spacing w:val="10"/>
        </w:rPr>
        <w:t> </w:t>
      </w:r>
      <w:r>
        <w:rPr>
          <w:color w:val="231F20"/>
        </w:rPr>
        <w:t>an</w:t>
      </w:r>
      <w:r>
        <w:rPr>
          <w:color w:val="231F20"/>
          <w:spacing w:val="11"/>
        </w:rPr>
        <w:t> </w:t>
      </w:r>
      <w:r>
        <w:rPr>
          <w:color w:val="231F20"/>
        </w:rPr>
        <w:t>e-mail</w:t>
      </w:r>
      <w:r>
        <w:rPr>
          <w:color w:val="231F20"/>
          <w:spacing w:val="11"/>
        </w:rPr>
        <w:t> </w:t>
      </w:r>
      <w:r>
        <w:rPr>
          <w:color w:val="231F20"/>
        </w:rPr>
        <w:t>message</w:t>
      </w:r>
      <w:r>
        <w:rPr>
          <w:color w:val="231F20"/>
          <w:spacing w:val="11"/>
        </w:rPr>
        <w:t> </w:t>
      </w:r>
      <w:r>
        <w:rPr>
          <w:color w:val="231F20"/>
        </w:rPr>
        <w:t>to</w:t>
      </w:r>
      <w:r>
        <w:rPr>
          <w:color w:val="231F20"/>
          <w:spacing w:val="11"/>
        </w:rPr>
        <w:t> </w:t>
      </w:r>
      <w:hyperlink r:id="rId521">
        <w:r>
          <w:rPr>
            <w:color w:val="231F20"/>
          </w:rPr>
          <w:t>erchelp@ca.ibm.com,</w:t>
        </w:r>
      </w:hyperlink>
      <w:r>
        <w:rPr>
          <w:color w:val="231F20"/>
          <w:spacing w:val="11"/>
        </w:rPr>
        <w:t> </w:t>
      </w:r>
      <w:r>
        <w:rPr>
          <w:color w:val="231F20"/>
        </w:rPr>
        <w:t>describing</w:t>
      </w:r>
      <w:r>
        <w:rPr>
          <w:color w:val="231F20"/>
          <w:spacing w:val="11"/>
        </w:rPr>
        <w:t> </w:t>
      </w:r>
      <w:r>
        <w:rPr>
          <w:color w:val="231F20"/>
        </w:rPr>
        <w:t>your</w:t>
      </w:r>
      <w:r>
        <w:rPr>
          <w:color w:val="231F20"/>
          <w:spacing w:val="11"/>
        </w:rPr>
        <w:t> </w:t>
      </w:r>
      <w:r>
        <w:rPr>
          <w:color w:val="231F20"/>
          <w:spacing w:val="-2"/>
        </w:rPr>
        <w:t>problem.</w:t>
      </w:r>
    </w:p>
    <w:p>
      <w:pPr>
        <w:pStyle w:val="Heading6"/>
        <w:spacing w:before="111"/>
      </w:pPr>
      <w:r>
        <w:rPr>
          <w:color w:val="231F20"/>
        </w:rPr>
        <w:t>By</w:t>
      </w:r>
      <w:r>
        <w:rPr>
          <w:color w:val="231F20"/>
          <w:spacing w:val="13"/>
        </w:rPr>
        <w:t> </w:t>
      </w:r>
      <w:r>
        <w:rPr>
          <w:color w:val="231F20"/>
          <w:spacing w:val="-2"/>
        </w:rPr>
        <w:t>phone</w:t>
      </w:r>
    </w:p>
    <w:p>
      <w:pPr>
        <w:pStyle w:val="BodyText"/>
        <w:spacing w:line="258" w:lineRule="exact"/>
        <w:ind w:left="3190"/>
      </w:pPr>
      <w:r>
        <w:rPr>
          <w:color w:val="231F20"/>
          <w:spacing w:val="-2"/>
        </w:rPr>
        <w:t>Call</w:t>
      </w:r>
      <w:r>
        <w:rPr>
          <w:color w:val="231F20"/>
          <w:spacing w:val="21"/>
        </w:rPr>
        <w:t> </w:t>
      </w:r>
      <w:r>
        <w:rPr>
          <w:color w:val="231F20"/>
          <w:spacing w:val="-2"/>
        </w:rPr>
        <w:t>1-800-IBM-4You</w:t>
      </w:r>
      <w:r>
        <w:rPr>
          <w:color w:val="231F20"/>
          <w:spacing w:val="22"/>
        </w:rPr>
        <w:t> </w:t>
      </w:r>
      <w:r>
        <w:rPr>
          <w:color w:val="231F20"/>
          <w:spacing w:val="-2"/>
        </w:rPr>
        <w:t>(1-800-426-4968).</w:t>
      </w:r>
    </w:p>
    <w:p>
      <w:pPr>
        <w:pStyle w:val="BodyText"/>
        <w:spacing w:before="13"/>
        <w:rPr>
          <w:sz w:val="15"/>
        </w:rPr>
      </w:pPr>
      <w:r>
        <w:rPr/>
        <mc:AlternateContent>
          <mc:Choice Requires="wps">
            <w:drawing>
              <wp:anchor distT="0" distB="0" distL="0" distR="0" allowOverlap="1" layoutInCell="1" locked="0" behindDoc="1" simplePos="0" relativeHeight="487763968">
                <wp:simplePos x="0" y="0"/>
                <wp:positionH relativeFrom="page">
                  <wp:posOffset>912380</wp:posOffset>
                </wp:positionH>
                <wp:positionV relativeFrom="paragraph">
                  <wp:posOffset>152229</wp:posOffset>
                </wp:positionV>
                <wp:extent cx="6082665" cy="1270"/>
                <wp:effectExtent l="0" t="0" r="0" b="0"/>
                <wp:wrapTopAndBottom/>
                <wp:docPr id="3453" name="Graphic 3453"/>
                <wp:cNvGraphicFramePr>
                  <a:graphicFrameLocks/>
                </wp:cNvGraphicFramePr>
                <a:graphic>
                  <a:graphicData uri="http://schemas.microsoft.com/office/word/2010/wordprocessingShape">
                    <wps:wsp>
                      <wps:cNvPr id="3453" name="Graphic 3453"/>
                      <wps:cNvSpPr/>
                      <wps:spPr>
                        <a:xfrm>
                          <a:off x="0" y="0"/>
                          <a:ext cx="6082665" cy="1270"/>
                        </a:xfrm>
                        <a:custGeom>
                          <a:avLst/>
                          <a:gdLst/>
                          <a:ahLst/>
                          <a:cxnLst/>
                          <a:rect l="l" t="t" r="r" b="b"/>
                          <a:pathLst>
                            <a:path w="6082665" h="0">
                              <a:moveTo>
                                <a:pt x="0" y="0"/>
                              </a:moveTo>
                              <a:lnTo>
                                <a:pt x="6082563" y="0"/>
                              </a:lnTo>
                            </a:path>
                          </a:pathLst>
                        </a:custGeom>
                        <a:ln w="6337">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71.841003pt;margin-top:11.986549pt;width:478.95pt;height:.1pt;mso-position-horizontal-relative:page;mso-position-vertical-relative:paragraph;z-index:-15552512;mso-wrap-distance-left:0;mso-wrap-distance-right:0" id="docshape321" coordorigin="1437,240" coordsize="9579,0" path="m1437,240l11016,240e" filled="false" stroked="true" strokeweight=".499pt" strokecolor="#231f20">
                <v:path arrowok="t"/>
                <v:stroke dashstyle="solid"/>
                <w10:wrap type="topAndBottom"/>
              </v:shape>
            </w:pict>
          </mc:Fallback>
        </mc:AlternateContent>
      </w:r>
    </w:p>
    <w:p>
      <w:pPr>
        <w:pStyle w:val="Heading3"/>
      </w:pPr>
      <w:r>
        <w:rPr>
          <w:color w:val="231F20"/>
        </w:rPr>
        <w:t>Contacting</w:t>
      </w:r>
      <w:r>
        <w:rPr>
          <w:color w:val="231F20"/>
          <w:spacing w:val="4"/>
        </w:rPr>
        <w:t> </w:t>
      </w:r>
      <w:r>
        <w:rPr>
          <w:color w:val="231F20"/>
        </w:rPr>
        <w:t>IBM</w:t>
      </w:r>
      <w:r>
        <w:rPr>
          <w:color w:val="231F20"/>
          <w:spacing w:val="4"/>
        </w:rPr>
        <w:t> </w:t>
      </w:r>
      <w:r>
        <w:rPr>
          <w:color w:val="231F20"/>
        </w:rPr>
        <w:t>Software</w:t>
      </w:r>
      <w:r>
        <w:rPr>
          <w:color w:val="231F20"/>
          <w:spacing w:val="5"/>
        </w:rPr>
        <w:t> </w:t>
      </w:r>
      <w:r>
        <w:rPr>
          <w:color w:val="231F20"/>
          <w:spacing w:val="-2"/>
        </w:rPr>
        <w:t>Support</w:t>
      </w:r>
    </w:p>
    <w:p>
      <w:pPr>
        <w:pStyle w:val="BodyText"/>
        <w:spacing w:line="213" w:lineRule="auto" w:before="138"/>
        <w:ind w:left="2472" w:right="258"/>
      </w:pPr>
      <w:r>
        <w:rPr>
          <w:color w:val="231F20"/>
        </w:rPr>
        <w:t>IBM Software Support provides assistance with product defects. The easiest way </w:t>
      </w:r>
      <w:r>
        <w:rPr>
          <w:color w:val="231F20"/>
        </w:rPr>
        <w:t>to obtain that assistance is to open a PMR or ETR directly from the IBM Support </w:t>
      </w:r>
      <w:r>
        <w:rPr>
          <w:color w:val="231F20"/>
          <w:spacing w:val="-2"/>
        </w:rPr>
        <w:t>Assistant.</w:t>
      </w:r>
    </w:p>
    <w:p>
      <w:pPr>
        <w:pStyle w:val="BodyText"/>
        <w:spacing w:line="213" w:lineRule="auto" w:before="238"/>
        <w:ind w:left="2472" w:right="258"/>
      </w:pPr>
      <w:r>
        <w:rPr>
          <w:color w:val="231F20"/>
        </w:rPr>
        <w:t>Before contacting IBM Software Support, your company must have an active IBM software maintenance contract, and you must be authorized to submit problems </w:t>
      </w:r>
      <w:r>
        <w:rPr>
          <w:color w:val="231F20"/>
        </w:rPr>
        <w:t>to IBM.</w:t>
      </w:r>
      <w:r>
        <w:rPr>
          <w:color w:val="231F20"/>
          <w:spacing w:val="27"/>
        </w:rPr>
        <w:t> </w:t>
      </w:r>
      <w:r>
        <w:rPr>
          <w:color w:val="231F20"/>
        </w:rPr>
        <w:t>The</w:t>
      </w:r>
      <w:r>
        <w:rPr>
          <w:color w:val="231F20"/>
          <w:spacing w:val="27"/>
        </w:rPr>
        <w:t> </w:t>
      </w:r>
      <w:r>
        <w:rPr>
          <w:color w:val="231F20"/>
        </w:rPr>
        <w:t>type</w:t>
      </w:r>
      <w:r>
        <w:rPr>
          <w:color w:val="231F20"/>
          <w:spacing w:val="27"/>
        </w:rPr>
        <w:t> </w:t>
      </w:r>
      <w:r>
        <w:rPr>
          <w:color w:val="231F20"/>
        </w:rPr>
        <w:t>of</w:t>
      </w:r>
      <w:r>
        <w:rPr>
          <w:color w:val="231F20"/>
          <w:spacing w:val="27"/>
        </w:rPr>
        <w:t> </w:t>
      </w:r>
      <w:r>
        <w:rPr>
          <w:color w:val="231F20"/>
        </w:rPr>
        <w:t>software</w:t>
      </w:r>
      <w:r>
        <w:rPr>
          <w:color w:val="231F20"/>
          <w:spacing w:val="27"/>
        </w:rPr>
        <w:t> </w:t>
      </w:r>
      <w:r>
        <w:rPr>
          <w:color w:val="231F20"/>
        </w:rPr>
        <w:t>maintenance</w:t>
      </w:r>
      <w:r>
        <w:rPr>
          <w:color w:val="231F20"/>
          <w:spacing w:val="27"/>
        </w:rPr>
        <w:t> </w:t>
      </w:r>
      <w:r>
        <w:rPr>
          <w:color w:val="231F20"/>
        </w:rPr>
        <w:t>contract</w:t>
      </w:r>
      <w:r>
        <w:rPr>
          <w:color w:val="231F20"/>
          <w:spacing w:val="27"/>
        </w:rPr>
        <w:t> </w:t>
      </w:r>
      <w:r>
        <w:rPr>
          <w:color w:val="231F20"/>
        </w:rPr>
        <w:t>that</w:t>
      </w:r>
      <w:r>
        <w:rPr>
          <w:color w:val="231F20"/>
          <w:spacing w:val="27"/>
        </w:rPr>
        <w:t> </w:t>
      </w:r>
      <w:r>
        <w:rPr>
          <w:color w:val="231F20"/>
        </w:rPr>
        <w:t>you</w:t>
      </w:r>
      <w:r>
        <w:rPr>
          <w:color w:val="231F20"/>
          <w:spacing w:val="27"/>
        </w:rPr>
        <w:t> </w:t>
      </w:r>
      <w:r>
        <w:rPr>
          <w:color w:val="231F20"/>
        </w:rPr>
        <w:t>need</w:t>
      </w:r>
      <w:r>
        <w:rPr>
          <w:color w:val="231F20"/>
          <w:spacing w:val="27"/>
        </w:rPr>
        <w:t> </w:t>
      </w:r>
      <w:r>
        <w:rPr>
          <w:color w:val="231F20"/>
        </w:rPr>
        <w:t>depends</w:t>
      </w:r>
      <w:r>
        <w:rPr>
          <w:color w:val="231F20"/>
          <w:spacing w:val="27"/>
        </w:rPr>
        <w:t> </w:t>
      </w:r>
      <w:r>
        <w:rPr>
          <w:color w:val="231F20"/>
        </w:rPr>
        <w:t>on</w:t>
      </w:r>
      <w:r>
        <w:rPr>
          <w:color w:val="231F20"/>
          <w:spacing w:val="27"/>
        </w:rPr>
        <w:t> </w:t>
      </w:r>
      <w:r>
        <w:rPr>
          <w:color w:val="231F20"/>
        </w:rPr>
        <w:t>the type of product you have:</w:t>
      </w:r>
    </w:p>
    <w:p>
      <w:pPr>
        <w:pStyle w:val="BodyText"/>
        <w:spacing w:line="213" w:lineRule="auto" w:before="57"/>
        <w:ind w:left="2688" w:right="379" w:hanging="216"/>
      </w:pPr>
      <w:r>
        <w:rPr>
          <w:rFonts w:ascii="Futura MdCn BT" w:hAnsi="Futura MdCn BT"/>
          <w:color w:val="231F20"/>
        </w:rPr>
        <w:t>v</w:t>
      </w:r>
      <w:r>
        <w:rPr>
          <w:rFonts w:ascii="Futura MdCn BT" w:hAnsi="Futura MdCn BT"/>
          <w:color w:val="231F20"/>
          <w:spacing w:val="80"/>
        </w:rPr>
        <w:t> </w:t>
      </w:r>
      <w:r>
        <w:rPr>
          <w:color w:val="231F20"/>
        </w:rPr>
        <w:t>For IBM distributed software products (including, but not limited to, Tivoli, Lotus</w:t>
      </w:r>
      <w:r>
        <w:rPr>
          <w:color w:val="231F20"/>
          <w:vertAlign w:val="superscript"/>
        </w:rPr>
        <w:t>®</w:t>
      </w:r>
      <w:r>
        <w:rPr>
          <w:color w:val="231F20"/>
          <w:vertAlign w:val="baseline"/>
        </w:rPr>
        <w:t>, and Rational</w:t>
      </w:r>
      <w:r>
        <w:rPr>
          <w:color w:val="231F20"/>
          <w:vertAlign w:val="superscript"/>
        </w:rPr>
        <w:t>®</w:t>
      </w:r>
      <w:r>
        <w:rPr>
          <w:color w:val="231F20"/>
          <w:vertAlign w:val="baseline"/>
        </w:rPr>
        <w:t> products, as well as DB2</w:t>
      </w:r>
      <w:r>
        <w:rPr>
          <w:color w:val="231F20"/>
          <w:vertAlign w:val="superscript"/>
        </w:rPr>
        <w:t>®</w:t>
      </w:r>
      <w:r>
        <w:rPr>
          <w:color w:val="231F20"/>
          <w:vertAlign w:val="baseline"/>
        </w:rPr>
        <w:t> and WebSphere products that run on Windows or UNIX operating systems), enroll in Passport Advantage</w:t>
      </w:r>
      <w:r>
        <w:rPr>
          <w:color w:val="231F20"/>
          <w:vertAlign w:val="superscript"/>
        </w:rPr>
        <w:t>®</w:t>
      </w:r>
      <w:r>
        <w:rPr>
          <w:color w:val="231F20"/>
          <w:vertAlign w:val="baseline"/>
        </w:rPr>
        <w:t> </w:t>
      </w:r>
      <w:r>
        <w:rPr>
          <w:color w:val="231F20"/>
          <w:vertAlign w:val="baseline"/>
        </w:rPr>
        <w:t>in</w:t>
      </w:r>
      <w:r>
        <w:rPr>
          <w:color w:val="231F20"/>
          <w:vertAlign w:val="baseline"/>
        </w:rPr>
        <w:t> one of the following ways:</w:t>
      </w:r>
    </w:p>
    <w:p>
      <w:pPr>
        <w:pStyle w:val="Heading6"/>
        <w:spacing w:line="240" w:lineRule="auto" w:before="116"/>
        <w:ind w:left="2688"/>
      </w:pPr>
      <w:r>
        <w:rPr>
          <w:color w:val="231F20"/>
          <w:spacing w:val="-2"/>
        </w:rPr>
        <w:t>Online</w:t>
      </w:r>
    </w:p>
    <w:p>
      <w:pPr>
        <w:pStyle w:val="BodyText"/>
        <w:spacing w:line="213" w:lineRule="auto"/>
        <w:ind w:left="3406" w:right="493"/>
      </w:pPr>
      <w:r>
        <w:rPr>
          <w:color w:val="231F20"/>
        </w:rPr>
        <w:t>Go to the Passport Advantage website at </w:t>
      </w:r>
      <w:hyperlink r:id="rId522">
        <w:r>
          <w:rPr>
            <w:color w:val="231F20"/>
          </w:rPr>
          <w:t>http://www-306.ibm.com/</w:t>
        </w:r>
      </w:hyperlink>
      <w:r>
        <w:rPr>
          <w:color w:val="231F20"/>
          <w:spacing w:val="40"/>
        </w:rPr>
        <w:t> </w:t>
      </w:r>
      <w:hyperlink r:id="rId522">
        <w:r>
          <w:rPr>
            <w:color w:val="231F20"/>
          </w:rPr>
          <w:t>software/howtobuy/passportadvantage/pao_customers.htm</w:t>
        </w:r>
      </w:hyperlink>
      <w:r>
        <w:rPr>
          <w:color w:val="231F20"/>
        </w:rPr>
        <w:t> .</w:t>
      </w:r>
    </w:p>
    <w:p>
      <w:pPr>
        <w:pStyle w:val="Heading6"/>
        <w:ind w:left="2688"/>
      </w:pPr>
      <w:r>
        <w:rPr>
          <w:color w:val="231F20"/>
        </w:rPr>
        <w:t>By</w:t>
      </w:r>
      <w:r>
        <w:rPr>
          <w:color w:val="231F20"/>
          <w:spacing w:val="13"/>
        </w:rPr>
        <w:t> </w:t>
      </w:r>
      <w:r>
        <w:rPr>
          <w:color w:val="231F20"/>
          <w:spacing w:val="-2"/>
        </w:rPr>
        <w:t>telephone</w:t>
      </w:r>
    </w:p>
    <w:p>
      <w:pPr>
        <w:pStyle w:val="BodyText"/>
        <w:spacing w:line="213" w:lineRule="auto" w:before="11"/>
        <w:ind w:left="3406" w:right="545"/>
      </w:pPr>
      <w:r>
        <w:rPr>
          <w:color w:val="231F20"/>
        </w:rPr>
        <w:t>For the telephone number to call in your country, go to the IBM Software Support website at </w:t>
      </w:r>
      <w:hyperlink r:id="rId523">
        <w:r>
          <w:rPr>
            <w:color w:val="231F20"/>
          </w:rPr>
          <w:t>http://techsupport.services.ibm.com/</w:t>
        </w:r>
      </w:hyperlink>
      <w:r>
        <w:rPr>
          <w:color w:val="231F20"/>
          <w:spacing w:val="40"/>
        </w:rPr>
        <w:t> </w:t>
      </w:r>
      <w:hyperlink r:id="rId523">
        <w:r>
          <w:rPr>
            <w:color w:val="231F20"/>
          </w:rPr>
          <w:t>guides/contacts.html</w:t>
        </w:r>
      </w:hyperlink>
      <w:r>
        <w:rPr>
          <w:color w:val="231F20"/>
        </w:rPr>
        <w:t> and click the name of your geographic </w:t>
      </w:r>
      <w:r>
        <w:rPr>
          <w:color w:val="231F20"/>
        </w:rPr>
        <w:t>region.</w:t>
      </w:r>
    </w:p>
    <w:p>
      <w:pPr>
        <w:pStyle w:val="BodyText"/>
        <w:spacing w:line="213" w:lineRule="auto" w:before="58"/>
        <w:ind w:left="2688" w:right="274" w:hanging="216"/>
      </w:pPr>
      <w:r>
        <w:rPr>
          <w:rFonts w:ascii="Futura MdCn BT"/>
          <w:color w:val="231F20"/>
          <w:w w:val="105"/>
        </w:rPr>
        <w:t>v</w:t>
      </w:r>
      <w:r>
        <w:rPr>
          <w:rFonts w:ascii="Futura MdCn BT"/>
          <w:color w:val="231F20"/>
          <w:spacing w:val="80"/>
          <w:w w:val="105"/>
        </w:rPr>
        <w:t> </w:t>
      </w:r>
      <w:r>
        <w:rPr>
          <w:color w:val="231F20"/>
          <w:w w:val="105"/>
        </w:rPr>
        <w:t>For customers with Subscription and Support (S &amp; S) contracts, go to the </w:t>
      </w:r>
      <w:r>
        <w:rPr>
          <w:color w:val="231F20"/>
          <w:spacing w:val="-2"/>
          <w:w w:val="105"/>
        </w:rPr>
        <w:t>Software Service Request website at </w:t>
      </w:r>
      <w:hyperlink r:id="rId524">
        <w:r>
          <w:rPr>
            <w:color w:val="231F20"/>
            <w:spacing w:val="-2"/>
            <w:w w:val="105"/>
          </w:rPr>
          <w:t>https://techsupport.services.ibm.com/ssr</w:t>
        </w:r>
        <w:r>
          <w:rPr>
            <w:color w:val="231F20"/>
            <w:spacing w:val="-2"/>
            <w:w w:val="105"/>
          </w:rPr>
          <w:t>/</w:t>
        </w:r>
      </w:hyperlink>
      <w:r>
        <w:rPr>
          <w:color w:val="231F20"/>
          <w:spacing w:val="-2"/>
          <w:w w:val="105"/>
        </w:rPr>
        <w:t> </w:t>
      </w:r>
      <w:hyperlink r:id="rId524">
        <w:r>
          <w:rPr>
            <w:color w:val="231F20"/>
            <w:spacing w:val="-2"/>
            <w:w w:val="105"/>
          </w:rPr>
          <w:t>login.</w:t>
        </w:r>
      </w:hyperlink>
    </w:p>
    <w:p>
      <w:pPr>
        <w:pStyle w:val="BodyText"/>
        <w:spacing w:line="213" w:lineRule="auto" w:before="58"/>
        <w:ind w:left="2688" w:right="493" w:hanging="216"/>
      </w:pPr>
      <w:r>
        <w:rPr>
          <w:rFonts w:ascii="Futura MdCn BT" w:hAnsi="Futura MdCn BT"/>
          <w:color w:val="231F20"/>
          <w:w w:val="105"/>
        </w:rPr>
        <w:t>v</w:t>
      </w:r>
      <w:r>
        <w:rPr>
          <w:rFonts w:ascii="Futura MdCn BT" w:hAnsi="Futura MdCn BT"/>
          <w:color w:val="231F20"/>
          <w:spacing w:val="80"/>
          <w:w w:val="105"/>
        </w:rPr>
        <w:t> </w:t>
      </w:r>
      <w:r>
        <w:rPr>
          <w:color w:val="231F20"/>
          <w:w w:val="105"/>
        </w:rPr>
        <w:t>For customers with Linux, iSeries</w:t>
      </w:r>
      <w:r>
        <w:rPr>
          <w:color w:val="231F20"/>
          <w:w w:val="105"/>
          <w:vertAlign w:val="superscript"/>
        </w:rPr>
        <w:t>®</w:t>
      </w:r>
      <w:r>
        <w:rPr>
          <w:color w:val="231F20"/>
          <w:w w:val="105"/>
          <w:vertAlign w:val="baseline"/>
        </w:rPr>
        <w:t>, pSeries, zSeries</w:t>
      </w:r>
      <w:r>
        <w:rPr>
          <w:color w:val="231F20"/>
          <w:w w:val="105"/>
          <w:vertAlign w:val="superscript"/>
        </w:rPr>
        <w:t>®</w:t>
      </w:r>
      <w:r>
        <w:rPr>
          <w:color w:val="231F20"/>
          <w:w w:val="105"/>
          <w:vertAlign w:val="baseline"/>
        </w:rPr>
        <w:t>, and other support agreements,</w:t>
      </w:r>
      <w:r>
        <w:rPr>
          <w:color w:val="231F20"/>
          <w:spacing w:val="-9"/>
          <w:w w:val="105"/>
          <w:vertAlign w:val="baseline"/>
        </w:rPr>
        <w:t> </w:t>
      </w:r>
      <w:r>
        <w:rPr>
          <w:color w:val="231F20"/>
          <w:w w:val="105"/>
          <w:vertAlign w:val="baseline"/>
        </w:rPr>
        <w:t>go</w:t>
      </w:r>
      <w:r>
        <w:rPr>
          <w:color w:val="231F20"/>
          <w:spacing w:val="-9"/>
          <w:w w:val="105"/>
          <w:vertAlign w:val="baseline"/>
        </w:rPr>
        <w:t> </w:t>
      </w:r>
      <w:r>
        <w:rPr>
          <w:color w:val="231F20"/>
          <w:w w:val="105"/>
          <w:vertAlign w:val="baseline"/>
        </w:rPr>
        <w:t>to</w:t>
      </w:r>
      <w:r>
        <w:rPr>
          <w:color w:val="231F20"/>
          <w:spacing w:val="-9"/>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IBM</w:t>
      </w:r>
      <w:r>
        <w:rPr>
          <w:color w:val="231F20"/>
          <w:spacing w:val="-9"/>
          <w:w w:val="105"/>
          <w:vertAlign w:val="baseline"/>
        </w:rPr>
        <w:t> </w:t>
      </w:r>
      <w:r>
        <w:rPr>
          <w:color w:val="231F20"/>
          <w:w w:val="105"/>
          <w:vertAlign w:val="baseline"/>
        </w:rPr>
        <w:t>Support</w:t>
      </w:r>
      <w:r>
        <w:rPr>
          <w:color w:val="231F20"/>
          <w:spacing w:val="-9"/>
          <w:w w:val="105"/>
          <w:vertAlign w:val="baseline"/>
        </w:rPr>
        <w:t> </w:t>
      </w:r>
      <w:r>
        <w:rPr>
          <w:color w:val="231F20"/>
          <w:w w:val="105"/>
          <w:vertAlign w:val="baseline"/>
        </w:rPr>
        <w:t>Line</w:t>
      </w:r>
      <w:r>
        <w:rPr>
          <w:color w:val="231F20"/>
          <w:spacing w:val="-9"/>
          <w:w w:val="105"/>
          <w:vertAlign w:val="baseline"/>
        </w:rPr>
        <w:t> </w:t>
      </w:r>
      <w:r>
        <w:rPr>
          <w:color w:val="231F20"/>
          <w:w w:val="105"/>
          <w:vertAlign w:val="baseline"/>
        </w:rPr>
        <w:t>website</w:t>
      </w:r>
      <w:r>
        <w:rPr>
          <w:color w:val="231F20"/>
          <w:spacing w:val="-9"/>
          <w:w w:val="105"/>
          <w:vertAlign w:val="baseline"/>
        </w:rPr>
        <w:t> </w:t>
      </w:r>
      <w:r>
        <w:rPr>
          <w:color w:val="231F20"/>
          <w:w w:val="105"/>
          <w:vertAlign w:val="baseline"/>
        </w:rPr>
        <w:t>at</w:t>
      </w:r>
      <w:r>
        <w:rPr>
          <w:color w:val="231F20"/>
          <w:spacing w:val="-9"/>
          <w:w w:val="105"/>
          <w:vertAlign w:val="baseline"/>
        </w:rPr>
        <w:t> </w:t>
      </w:r>
      <w:hyperlink r:id="rId525">
        <w:r>
          <w:rPr>
            <w:color w:val="231F20"/>
            <w:w w:val="105"/>
            <w:vertAlign w:val="baseline"/>
          </w:rPr>
          <w:t>http://www.ibm.com/</w:t>
        </w:r>
      </w:hyperlink>
      <w:r>
        <w:rPr>
          <w:color w:val="231F20"/>
          <w:w w:val="105"/>
          <w:vertAlign w:val="baseline"/>
        </w:rPr>
        <w:t> </w:t>
      </w:r>
      <w:hyperlink r:id="rId525">
        <w:r>
          <w:rPr>
            <w:color w:val="231F20"/>
            <w:spacing w:val="-2"/>
            <w:w w:val="105"/>
            <w:vertAlign w:val="baseline"/>
          </w:rPr>
          <w:t>services/us/index.wss/so/its/a1000030/dt006.</w:t>
        </w:r>
      </w:hyperlink>
    </w:p>
    <w:p>
      <w:pPr>
        <w:pStyle w:val="BodyText"/>
        <w:spacing w:line="213" w:lineRule="auto" w:before="57"/>
        <w:ind w:left="2688" w:right="347" w:hanging="216"/>
      </w:pPr>
      <w:r>
        <w:rPr>
          <w:rFonts w:ascii="Futura MdCn BT" w:hAnsi="Futura MdCn BT"/>
          <w:color w:val="231F20"/>
        </w:rPr>
        <w:t>v</w:t>
      </w:r>
      <w:r>
        <w:rPr>
          <w:rFonts w:ascii="Futura MdCn BT" w:hAnsi="Futura MdCn BT"/>
          <w:color w:val="231F20"/>
          <w:spacing w:val="80"/>
        </w:rPr>
        <w:t> </w:t>
      </w:r>
      <w:r>
        <w:rPr>
          <w:color w:val="231F20"/>
        </w:rPr>
        <w:t>For IBM eServer</w:t>
      </w:r>
      <w:r>
        <w:rPr>
          <w:color w:val="231F20"/>
          <w:vertAlign w:val="superscript"/>
        </w:rPr>
        <w:t>™</w:t>
      </w:r>
      <w:r>
        <w:rPr>
          <w:color w:val="231F20"/>
          <w:vertAlign w:val="baseline"/>
        </w:rPr>
        <w:t> software products (including, but not limited to, DB2 and WebSphere products that run in zSeries, pSeries, and iSeries environments), </w:t>
      </w:r>
      <w:r>
        <w:rPr>
          <w:color w:val="231F20"/>
          <w:vertAlign w:val="baseline"/>
        </w:rPr>
        <w:t>you</w:t>
      </w:r>
      <w:r>
        <w:rPr>
          <w:color w:val="231F20"/>
          <w:vertAlign w:val="baseline"/>
        </w:rPr>
        <w:t> can purchase a software maintenance agreement by working directly with an</w:t>
      </w:r>
      <w:r>
        <w:rPr>
          <w:color w:val="231F20"/>
          <w:spacing w:val="40"/>
          <w:vertAlign w:val="baseline"/>
        </w:rPr>
        <w:t> </w:t>
      </w:r>
      <w:r>
        <w:rPr>
          <w:color w:val="231F20"/>
          <w:vertAlign w:val="baseline"/>
        </w:rPr>
        <w:t>IBM sales representative or an IBM Business Partner. For more information</w:t>
      </w:r>
      <w:r>
        <w:rPr>
          <w:color w:val="231F20"/>
          <w:spacing w:val="80"/>
          <w:vertAlign w:val="baseline"/>
        </w:rPr>
        <w:t> </w:t>
      </w:r>
      <w:r>
        <w:rPr>
          <w:color w:val="231F20"/>
          <w:vertAlign w:val="baseline"/>
        </w:rPr>
        <w:t>about support for eServer software products, go to the IBM Technical Support Advantage</w:t>
      </w:r>
      <w:r>
        <w:rPr>
          <w:color w:val="231F20"/>
          <w:spacing w:val="40"/>
          <w:vertAlign w:val="baseline"/>
        </w:rPr>
        <w:t> </w:t>
      </w:r>
      <w:r>
        <w:rPr>
          <w:color w:val="231F20"/>
          <w:vertAlign w:val="baseline"/>
        </w:rPr>
        <w:t>website</w:t>
      </w:r>
      <w:r>
        <w:rPr>
          <w:color w:val="231F20"/>
          <w:spacing w:val="40"/>
          <w:vertAlign w:val="baseline"/>
        </w:rPr>
        <w:t> </w:t>
      </w:r>
      <w:r>
        <w:rPr>
          <w:color w:val="231F20"/>
          <w:vertAlign w:val="baseline"/>
        </w:rPr>
        <w:t>at</w:t>
      </w:r>
      <w:r>
        <w:rPr>
          <w:color w:val="231F20"/>
          <w:spacing w:val="40"/>
          <w:vertAlign w:val="baseline"/>
        </w:rPr>
        <w:t> </w:t>
      </w:r>
      <w:hyperlink r:id="rId526">
        <w:r>
          <w:rPr>
            <w:color w:val="231F20"/>
            <w:vertAlign w:val="baseline"/>
          </w:rPr>
          <w:t>http://www.ibm.com/servers/eserver/techsupport.html.</w:t>
        </w:r>
      </w:hyperlink>
    </w:p>
    <w:p>
      <w:pPr>
        <w:pStyle w:val="BodyText"/>
        <w:spacing w:line="255" w:lineRule="exact" w:before="213"/>
        <w:ind w:left="2472"/>
      </w:pPr>
      <w:r>
        <w:rPr>
          <w:color w:val="231F20"/>
        </w:rPr>
        <w:t>If</w:t>
      </w:r>
      <w:r>
        <w:rPr>
          <w:color w:val="231F20"/>
          <w:spacing w:val="10"/>
        </w:rPr>
        <w:t> </w:t>
      </w:r>
      <w:r>
        <w:rPr>
          <w:color w:val="231F20"/>
        </w:rPr>
        <w:t>you</w:t>
      </w:r>
      <w:r>
        <w:rPr>
          <w:color w:val="231F20"/>
          <w:spacing w:val="11"/>
        </w:rPr>
        <w:t> </w:t>
      </w:r>
      <w:r>
        <w:rPr>
          <w:color w:val="231F20"/>
        </w:rPr>
        <w:t>are</w:t>
      </w:r>
      <w:r>
        <w:rPr>
          <w:color w:val="231F20"/>
          <w:spacing w:val="10"/>
        </w:rPr>
        <w:t> </w:t>
      </w:r>
      <w:r>
        <w:rPr>
          <w:color w:val="231F20"/>
        </w:rPr>
        <w:t>not</w:t>
      </w:r>
      <w:r>
        <w:rPr>
          <w:color w:val="231F20"/>
          <w:spacing w:val="11"/>
        </w:rPr>
        <w:t> </w:t>
      </w:r>
      <w:r>
        <w:rPr>
          <w:color w:val="231F20"/>
        </w:rPr>
        <w:t>sure</w:t>
      </w:r>
      <w:r>
        <w:rPr>
          <w:color w:val="231F20"/>
          <w:spacing w:val="10"/>
        </w:rPr>
        <w:t> </w:t>
      </w:r>
      <w:r>
        <w:rPr>
          <w:color w:val="231F20"/>
        </w:rPr>
        <w:t>what</w:t>
      </w:r>
      <w:r>
        <w:rPr>
          <w:color w:val="231F20"/>
          <w:spacing w:val="11"/>
        </w:rPr>
        <w:t> </w:t>
      </w:r>
      <w:r>
        <w:rPr>
          <w:color w:val="231F20"/>
        </w:rPr>
        <w:t>type</w:t>
      </w:r>
      <w:r>
        <w:rPr>
          <w:color w:val="231F20"/>
          <w:spacing w:val="10"/>
        </w:rPr>
        <w:t> </w:t>
      </w:r>
      <w:r>
        <w:rPr>
          <w:color w:val="231F20"/>
        </w:rPr>
        <w:t>of</w:t>
      </w:r>
      <w:r>
        <w:rPr>
          <w:color w:val="231F20"/>
          <w:spacing w:val="11"/>
        </w:rPr>
        <w:t> </w:t>
      </w:r>
      <w:r>
        <w:rPr>
          <w:color w:val="231F20"/>
        </w:rPr>
        <w:t>software</w:t>
      </w:r>
      <w:r>
        <w:rPr>
          <w:color w:val="231F20"/>
          <w:spacing w:val="11"/>
        </w:rPr>
        <w:t> </w:t>
      </w:r>
      <w:r>
        <w:rPr>
          <w:color w:val="231F20"/>
        </w:rPr>
        <w:t>maintenance</w:t>
      </w:r>
      <w:r>
        <w:rPr>
          <w:color w:val="231F20"/>
          <w:spacing w:val="10"/>
        </w:rPr>
        <w:t> </w:t>
      </w:r>
      <w:r>
        <w:rPr>
          <w:color w:val="231F20"/>
        </w:rPr>
        <w:t>contract</w:t>
      </w:r>
      <w:r>
        <w:rPr>
          <w:color w:val="231F20"/>
          <w:spacing w:val="11"/>
        </w:rPr>
        <w:t> </w:t>
      </w:r>
      <w:r>
        <w:rPr>
          <w:color w:val="231F20"/>
        </w:rPr>
        <w:t>you</w:t>
      </w:r>
      <w:r>
        <w:rPr>
          <w:color w:val="231F20"/>
          <w:spacing w:val="10"/>
        </w:rPr>
        <w:t> </w:t>
      </w:r>
      <w:r>
        <w:rPr>
          <w:color w:val="231F20"/>
        </w:rPr>
        <w:t>need,</w:t>
      </w:r>
      <w:r>
        <w:rPr>
          <w:color w:val="231F20"/>
          <w:spacing w:val="11"/>
        </w:rPr>
        <w:t> </w:t>
      </w:r>
      <w:r>
        <w:rPr>
          <w:color w:val="231F20"/>
          <w:spacing w:val="-4"/>
        </w:rPr>
        <w:t>call</w:t>
      </w:r>
    </w:p>
    <w:p>
      <w:pPr>
        <w:pStyle w:val="BodyText"/>
        <w:spacing w:line="213" w:lineRule="auto" w:before="8"/>
        <w:ind w:left="2472" w:right="258"/>
      </w:pPr>
      <w:r>
        <w:rPr>
          <w:color w:val="231F20"/>
        </w:rPr>
        <w:t>1-800-IBMSERV (1-800-426-7378) in the United States. From other countries, go to </w:t>
      </w:r>
      <w:r>
        <w:rPr>
          <w:color w:val="231F20"/>
          <w:w w:val="105"/>
        </w:rPr>
        <w:t>the contacts page of the </w:t>
      </w:r>
      <w:r>
        <w:rPr>
          <w:rFonts w:ascii="Book Antiqua"/>
          <w:i/>
          <w:color w:val="231F20"/>
          <w:w w:val="105"/>
        </w:rPr>
        <w:t>IBM Software Support Handbook </w:t>
      </w:r>
      <w:r>
        <w:rPr>
          <w:color w:val="231F20"/>
          <w:w w:val="105"/>
        </w:rPr>
        <w:t>on the web at </w:t>
      </w:r>
      <w:hyperlink r:id="rId518">
        <w:r>
          <w:rPr>
            <w:color w:val="231F20"/>
            <w:w w:val="105"/>
          </w:rPr>
          <w:t>http://www14.software.ibm.com/webapp/set2/sas/f/handbook/home.html</w:t>
        </w:r>
      </w:hyperlink>
      <w:r>
        <w:rPr>
          <w:color w:val="231F20"/>
          <w:w w:val="105"/>
        </w:rPr>
        <w:t> </w:t>
      </w:r>
      <w:r>
        <w:rPr>
          <w:color w:val="231F20"/>
          <w:w w:val="105"/>
        </w:rPr>
        <w:t>and click</w:t>
      </w:r>
      <w:r>
        <w:rPr>
          <w:color w:val="231F20"/>
          <w:spacing w:val="-3"/>
          <w:w w:val="105"/>
        </w:rPr>
        <w:t> </w:t>
      </w:r>
      <w:r>
        <w:rPr>
          <w:color w:val="231F20"/>
          <w:w w:val="105"/>
        </w:rPr>
        <w:t>the</w:t>
      </w:r>
      <w:r>
        <w:rPr>
          <w:color w:val="231F20"/>
          <w:spacing w:val="-3"/>
          <w:w w:val="105"/>
        </w:rPr>
        <w:t> </w:t>
      </w:r>
      <w:r>
        <w:rPr>
          <w:color w:val="231F20"/>
          <w:w w:val="105"/>
        </w:rPr>
        <w:t>name</w:t>
      </w:r>
      <w:r>
        <w:rPr>
          <w:color w:val="231F20"/>
          <w:spacing w:val="-3"/>
          <w:w w:val="105"/>
        </w:rPr>
        <w:t> </w:t>
      </w:r>
      <w:r>
        <w:rPr>
          <w:color w:val="231F20"/>
          <w:w w:val="105"/>
        </w:rPr>
        <w:t>of</w:t>
      </w:r>
      <w:r>
        <w:rPr>
          <w:color w:val="231F20"/>
          <w:spacing w:val="-3"/>
          <w:w w:val="105"/>
        </w:rPr>
        <w:t> </w:t>
      </w:r>
      <w:r>
        <w:rPr>
          <w:color w:val="231F20"/>
          <w:w w:val="105"/>
        </w:rPr>
        <w:t>your</w:t>
      </w:r>
      <w:r>
        <w:rPr>
          <w:color w:val="231F20"/>
          <w:spacing w:val="-3"/>
          <w:w w:val="105"/>
        </w:rPr>
        <w:t> </w:t>
      </w:r>
      <w:r>
        <w:rPr>
          <w:color w:val="231F20"/>
          <w:w w:val="105"/>
        </w:rPr>
        <w:t>geographic</w:t>
      </w:r>
      <w:r>
        <w:rPr>
          <w:color w:val="231F20"/>
          <w:spacing w:val="-3"/>
          <w:w w:val="105"/>
        </w:rPr>
        <w:t> </w:t>
      </w:r>
      <w:r>
        <w:rPr>
          <w:color w:val="231F20"/>
          <w:w w:val="105"/>
        </w:rPr>
        <w:t>region</w:t>
      </w:r>
      <w:r>
        <w:rPr>
          <w:color w:val="231F20"/>
          <w:spacing w:val="-3"/>
          <w:w w:val="105"/>
        </w:rPr>
        <w:t> </w:t>
      </w:r>
      <w:r>
        <w:rPr>
          <w:color w:val="231F20"/>
          <w:w w:val="105"/>
        </w:rPr>
        <w:t>for</w:t>
      </w:r>
      <w:r>
        <w:rPr>
          <w:color w:val="231F20"/>
          <w:spacing w:val="-3"/>
          <w:w w:val="105"/>
        </w:rPr>
        <w:t> </w:t>
      </w:r>
      <w:r>
        <w:rPr>
          <w:color w:val="231F20"/>
          <w:w w:val="105"/>
        </w:rPr>
        <w:t>telephone</w:t>
      </w:r>
      <w:r>
        <w:rPr>
          <w:color w:val="231F20"/>
          <w:spacing w:val="-3"/>
          <w:w w:val="105"/>
        </w:rPr>
        <w:t> </w:t>
      </w:r>
      <w:r>
        <w:rPr>
          <w:color w:val="231F20"/>
          <w:w w:val="105"/>
        </w:rPr>
        <w:t>numbers</w:t>
      </w:r>
      <w:r>
        <w:rPr>
          <w:color w:val="231F20"/>
          <w:spacing w:val="-3"/>
          <w:w w:val="105"/>
        </w:rPr>
        <w:t> </w:t>
      </w:r>
      <w:r>
        <w:rPr>
          <w:color w:val="231F20"/>
          <w:w w:val="105"/>
        </w:rPr>
        <w:t>of</w:t>
      </w:r>
      <w:r>
        <w:rPr>
          <w:color w:val="231F20"/>
          <w:spacing w:val="-3"/>
          <w:w w:val="105"/>
        </w:rPr>
        <w:t> </w:t>
      </w:r>
      <w:r>
        <w:rPr>
          <w:color w:val="231F20"/>
          <w:w w:val="105"/>
        </w:rPr>
        <w:t>people</w:t>
      </w:r>
      <w:r>
        <w:rPr>
          <w:color w:val="231F20"/>
          <w:spacing w:val="-3"/>
          <w:w w:val="105"/>
        </w:rPr>
        <w:t> </w:t>
      </w:r>
      <w:r>
        <w:rPr>
          <w:color w:val="231F20"/>
          <w:w w:val="105"/>
        </w:rPr>
        <w:t>who provide support for your location.</w:t>
      </w:r>
    </w:p>
    <w:p>
      <w:pPr>
        <w:spacing w:after="0" w:line="213" w:lineRule="auto"/>
        <w:sectPr>
          <w:footerReference w:type="default" r:id="rId519"/>
          <w:footerReference w:type="even" r:id="rId520"/>
          <w:pgSz w:w="12240" w:h="15840"/>
          <w:pgMar w:header="0" w:footer="736" w:top="1180" w:bottom="920" w:left="1000" w:right="1060"/>
          <w:pgNumType w:start="461"/>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line="20" w:lineRule="exact"/>
        <w:ind w:left="436"/>
        <w:rPr>
          <w:sz w:val="2"/>
        </w:rPr>
      </w:pPr>
      <w:bookmarkStart w:name="_bookmark357" w:id="746"/>
      <w:bookmarkEnd w:id="746"/>
      <w:r>
        <w:rPr/>
      </w:r>
      <w:r>
        <w:rPr>
          <w:sz w:val="2"/>
        </w:rPr>
        <mc:AlternateContent>
          <mc:Choice Requires="wps">
            <w:drawing>
              <wp:inline distT="0" distB="0" distL="0" distR="0">
                <wp:extent cx="6082665" cy="25400"/>
                <wp:effectExtent l="19050" t="0" r="3810" b="3175"/>
                <wp:docPr id="3457" name="Group 3457"/>
                <wp:cNvGraphicFramePr>
                  <a:graphicFrameLocks/>
                </wp:cNvGraphicFramePr>
                <a:graphic>
                  <a:graphicData uri="http://schemas.microsoft.com/office/word/2010/wordprocessingGroup">
                    <wpg:wgp>
                      <wpg:cNvPr id="3457" name="Group 3457"/>
                      <wpg:cNvGrpSpPr/>
                      <wpg:grpSpPr>
                        <a:xfrm>
                          <a:off x="0" y="0"/>
                          <a:ext cx="6082665" cy="25400"/>
                          <a:chExt cx="6082665" cy="25400"/>
                        </a:xfrm>
                      </wpg:grpSpPr>
                      <wps:wsp>
                        <wps:cNvPr id="3458" name="Graphic 3458"/>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325" coordorigin="0,0" coordsize="9579,40">
                <v:line style="position:absolute" from="0,20" to="9579,20" stroked="true" strokeweight="1.996pt" strokecolor="#231f20">
                  <v:stroke dashstyle="solid"/>
                </v:line>
              </v:group>
            </w:pict>
          </mc:Fallback>
        </mc:AlternateContent>
      </w:r>
      <w:r>
        <w:rPr>
          <w:sz w:val="2"/>
        </w:rPr>
      </w:r>
    </w:p>
    <w:p>
      <w:pPr>
        <w:pStyle w:val="BodyText"/>
        <w:spacing w:before="78"/>
        <w:rPr>
          <w:sz w:val="32"/>
        </w:rPr>
      </w:pPr>
    </w:p>
    <w:p>
      <w:pPr>
        <w:pStyle w:val="Heading2"/>
      </w:pPr>
      <w:bookmarkStart w:name="Notices" w:id="747"/>
      <w:bookmarkEnd w:id="747"/>
      <w:r>
        <w:rPr>
          <w:b w:val="0"/>
        </w:rPr>
      </w:r>
      <w:r>
        <w:rPr>
          <w:color w:val="231F20"/>
          <w:spacing w:val="-2"/>
        </w:rPr>
        <w:t>Notices</w:t>
      </w:r>
    </w:p>
    <w:p>
      <w:pPr>
        <w:pStyle w:val="BodyText"/>
        <w:spacing w:before="74"/>
        <w:rPr>
          <w:rFonts w:ascii="Arial"/>
          <w:b/>
        </w:rPr>
      </w:pPr>
    </w:p>
    <w:p>
      <w:pPr>
        <w:pStyle w:val="BodyText"/>
        <w:spacing w:line="213" w:lineRule="auto"/>
        <w:ind w:left="2472" w:right="258"/>
      </w:pPr>
      <w:r>
        <w:rPr>
          <w:color w:val="231F20"/>
        </w:rPr>
        <w:t>This</w:t>
      </w:r>
      <w:r>
        <w:rPr>
          <w:color w:val="231F20"/>
          <w:spacing w:val="28"/>
        </w:rPr>
        <w:t> </w:t>
      </w:r>
      <w:r>
        <w:rPr>
          <w:color w:val="231F20"/>
        </w:rPr>
        <w:t>information</w:t>
      </w:r>
      <w:r>
        <w:rPr>
          <w:color w:val="231F20"/>
          <w:spacing w:val="28"/>
        </w:rPr>
        <w:t> </w:t>
      </w:r>
      <w:r>
        <w:rPr>
          <w:color w:val="231F20"/>
        </w:rPr>
        <w:t>was</w:t>
      </w:r>
      <w:r>
        <w:rPr>
          <w:color w:val="231F20"/>
          <w:spacing w:val="28"/>
        </w:rPr>
        <w:t> </w:t>
      </w:r>
      <w:r>
        <w:rPr>
          <w:color w:val="231F20"/>
        </w:rPr>
        <w:t>developed</w:t>
      </w:r>
      <w:r>
        <w:rPr>
          <w:color w:val="231F20"/>
          <w:spacing w:val="28"/>
        </w:rPr>
        <w:t> </w:t>
      </w:r>
      <w:r>
        <w:rPr>
          <w:color w:val="231F20"/>
        </w:rPr>
        <w:t>for</w:t>
      </w:r>
      <w:r>
        <w:rPr>
          <w:color w:val="231F20"/>
          <w:spacing w:val="28"/>
        </w:rPr>
        <w:t> </w:t>
      </w:r>
      <w:r>
        <w:rPr>
          <w:color w:val="231F20"/>
        </w:rPr>
        <w:t>products</w:t>
      </w:r>
      <w:r>
        <w:rPr>
          <w:color w:val="231F20"/>
          <w:spacing w:val="28"/>
        </w:rPr>
        <w:t> </w:t>
      </w:r>
      <w:r>
        <w:rPr>
          <w:color w:val="231F20"/>
        </w:rPr>
        <w:t>and</w:t>
      </w:r>
      <w:r>
        <w:rPr>
          <w:color w:val="231F20"/>
          <w:spacing w:val="28"/>
        </w:rPr>
        <w:t> </w:t>
      </w:r>
      <w:r>
        <w:rPr>
          <w:color w:val="231F20"/>
        </w:rPr>
        <w:t>services</w:t>
      </w:r>
      <w:r>
        <w:rPr>
          <w:color w:val="231F20"/>
          <w:spacing w:val="28"/>
        </w:rPr>
        <w:t> </w:t>
      </w:r>
      <w:r>
        <w:rPr>
          <w:color w:val="231F20"/>
        </w:rPr>
        <w:t>offered</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U.S.A. IBM may not offer the products, services, or features discussed in this document </w:t>
      </w:r>
      <w:r>
        <w:rPr>
          <w:color w:val="231F20"/>
        </w:rPr>
        <w:t>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w:t>
      </w:r>
      <w:r>
        <w:rPr>
          <w:color w:val="231F20"/>
          <w:spacing w:val="40"/>
        </w:rPr>
        <w:t> </w:t>
      </w:r>
      <w:r>
        <w:rPr>
          <w:color w:val="231F20"/>
        </w:rPr>
        <w:t>be used instead. However, it is the user's responsibility to evaluate and verify the operation of any non-IBM product, program, or service.</w:t>
      </w:r>
    </w:p>
    <w:p>
      <w:pPr>
        <w:pStyle w:val="BodyText"/>
        <w:spacing w:line="213" w:lineRule="auto" w:before="234"/>
        <w:ind w:left="2472" w:right="545"/>
      </w:pPr>
      <w:r>
        <w:rPr>
          <w:color w:val="231F20"/>
        </w:rPr>
        <w:t>IBM may have patents or pending patent applications covering subject matter described in this document. The furnishing of this document does not give </w:t>
      </w:r>
      <w:r>
        <w:rPr>
          <w:color w:val="231F20"/>
        </w:rPr>
        <w:t>you any license to these patents. You can send license inquiries, in writing, to:</w:t>
      </w:r>
    </w:p>
    <w:p>
      <w:pPr>
        <w:pStyle w:val="BodyText"/>
        <w:spacing w:line="213" w:lineRule="auto" w:before="237"/>
        <w:ind w:left="2472" w:right="5052"/>
      </w:pPr>
      <w:r>
        <w:rPr>
          <w:color w:val="231F20"/>
        </w:rPr>
        <w:t>IBM</w:t>
      </w:r>
      <w:r>
        <w:rPr>
          <w:color w:val="231F20"/>
          <w:spacing w:val="34"/>
        </w:rPr>
        <w:t> </w:t>
      </w:r>
      <w:r>
        <w:rPr>
          <w:color w:val="231F20"/>
        </w:rPr>
        <w:t>Director</w:t>
      </w:r>
      <w:r>
        <w:rPr>
          <w:color w:val="231F20"/>
          <w:spacing w:val="34"/>
        </w:rPr>
        <w:t> </w:t>
      </w:r>
      <w:r>
        <w:rPr>
          <w:color w:val="231F20"/>
        </w:rPr>
        <w:t>of</w:t>
      </w:r>
      <w:r>
        <w:rPr>
          <w:color w:val="231F20"/>
          <w:spacing w:val="34"/>
        </w:rPr>
        <w:t> </w:t>
      </w:r>
      <w:r>
        <w:rPr>
          <w:color w:val="231F20"/>
        </w:rPr>
        <w:t>Licensing IBM</w:t>
      </w:r>
      <w:r>
        <w:rPr>
          <w:color w:val="231F20"/>
          <w:spacing w:val="40"/>
        </w:rPr>
        <w:t> </w:t>
      </w:r>
      <w:r>
        <w:rPr>
          <w:color w:val="231F20"/>
        </w:rPr>
        <w:t>Corporation</w:t>
      </w:r>
    </w:p>
    <w:p>
      <w:pPr>
        <w:pStyle w:val="BodyText"/>
        <w:spacing w:line="230" w:lineRule="exact"/>
        <w:ind w:left="2472"/>
      </w:pPr>
      <w:r>
        <w:rPr>
          <w:color w:val="231F20"/>
        </w:rPr>
        <w:t>North</w:t>
      </w:r>
      <w:r>
        <w:rPr>
          <w:color w:val="231F20"/>
          <w:spacing w:val="43"/>
        </w:rPr>
        <w:t> </w:t>
      </w:r>
      <w:r>
        <w:rPr>
          <w:color w:val="231F20"/>
        </w:rPr>
        <w:t>Castle</w:t>
      </w:r>
      <w:r>
        <w:rPr>
          <w:color w:val="231F20"/>
          <w:spacing w:val="44"/>
        </w:rPr>
        <w:t> </w:t>
      </w:r>
      <w:r>
        <w:rPr>
          <w:color w:val="231F20"/>
          <w:spacing w:val="-2"/>
        </w:rPr>
        <w:t>Drive</w:t>
      </w:r>
    </w:p>
    <w:p>
      <w:pPr>
        <w:pStyle w:val="BodyText"/>
        <w:spacing w:line="255" w:lineRule="exact"/>
        <w:ind w:left="2472"/>
      </w:pPr>
      <w:r>
        <w:rPr>
          <w:color w:val="231F20"/>
        </w:rPr>
        <w:t>Armonk,</w:t>
      </w:r>
      <w:r>
        <w:rPr>
          <w:color w:val="231F20"/>
          <w:spacing w:val="42"/>
        </w:rPr>
        <w:t> </w:t>
      </w:r>
      <w:r>
        <w:rPr>
          <w:color w:val="231F20"/>
        </w:rPr>
        <w:t>NY</w:t>
      </w:r>
      <w:r>
        <w:rPr>
          <w:color w:val="231F20"/>
          <w:spacing w:val="42"/>
        </w:rPr>
        <w:t> </w:t>
      </w:r>
      <w:r>
        <w:rPr>
          <w:color w:val="231F20"/>
        </w:rPr>
        <w:t>10504-1785</w:t>
      </w:r>
      <w:r>
        <w:rPr>
          <w:color w:val="231F20"/>
          <w:spacing w:val="42"/>
        </w:rPr>
        <w:t> </w:t>
      </w:r>
      <w:r>
        <w:rPr>
          <w:color w:val="231F20"/>
          <w:spacing w:val="-2"/>
        </w:rPr>
        <w:t>U.S.A.</w:t>
      </w:r>
    </w:p>
    <w:p>
      <w:pPr>
        <w:pStyle w:val="BodyText"/>
        <w:spacing w:line="213" w:lineRule="auto" w:before="232"/>
        <w:ind w:left="2472" w:right="274"/>
      </w:pPr>
      <w:r>
        <w:rPr>
          <w:color w:val="231F20"/>
        </w:rPr>
        <w:t>For license inquiries regarding double-byte (DBCS) information, contact the IBM Intellectual Property Department in your country or send inquiries, in writing, </w:t>
      </w:r>
      <w:r>
        <w:rPr>
          <w:color w:val="231F20"/>
        </w:rPr>
        <w:t>to:</w:t>
      </w:r>
    </w:p>
    <w:p>
      <w:pPr>
        <w:pStyle w:val="BodyText"/>
        <w:spacing w:line="255" w:lineRule="exact" w:before="215"/>
        <w:ind w:left="2472"/>
      </w:pPr>
      <w:r>
        <w:rPr>
          <w:color w:val="231F20"/>
        </w:rPr>
        <w:t>Intellectual</w:t>
      </w:r>
      <w:r>
        <w:rPr>
          <w:color w:val="231F20"/>
          <w:spacing w:val="38"/>
        </w:rPr>
        <w:t> </w:t>
      </w:r>
      <w:r>
        <w:rPr>
          <w:color w:val="231F20"/>
        </w:rPr>
        <w:t>Property</w:t>
      </w:r>
      <w:r>
        <w:rPr>
          <w:color w:val="231F20"/>
          <w:spacing w:val="38"/>
        </w:rPr>
        <w:t> </w:t>
      </w:r>
      <w:r>
        <w:rPr>
          <w:color w:val="231F20"/>
          <w:spacing w:val="-2"/>
        </w:rPr>
        <w:t>Licensing</w:t>
      </w:r>
    </w:p>
    <w:p>
      <w:pPr>
        <w:pStyle w:val="BodyText"/>
        <w:spacing w:line="213" w:lineRule="auto" w:before="8"/>
        <w:ind w:left="2472" w:right="4095"/>
      </w:pPr>
      <w:r>
        <w:rPr>
          <w:color w:val="231F20"/>
        </w:rPr>
        <w:t>Legal</w:t>
      </w:r>
      <w:r>
        <w:rPr>
          <w:color w:val="231F20"/>
          <w:spacing w:val="37"/>
        </w:rPr>
        <w:t> </w:t>
      </w:r>
      <w:r>
        <w:rPr>
          <w:color w:val="231F20"/>
        </w:rPr>
        <w:t>and</w:t>
      </w:r>
      <w:r>
        <w:rPr>
          <w:color w:val="231F20"/>
          <w:spacing w:val="37"/>
        </w:rPr>
        <w:t> </w:t>
      </w:r>
      <w:r>
        <w:rPr>
          <w:color w:val="231F20"/>
        </w:rPr>
        <w:t>Intellectual</w:t>
      </w:r>
      <w:r>
        <w:rPr>
          <w:color w:val="231F20"/>
          <w:spacing w:val="37"/>
        </w:rPr>
        <w:t> </w:t>
      </w:r>
      <w:r>
        <w:rPr>
          <w:color w:val="231F20"/>
        </w:rPr>
        <w:t>Property</w:t>
      </w:r>
      <w:r>
        <w:rPr>
          <w:color w:val="231F20"/>
          <w:spacing w:val="37"/>
        </w:rPr>
        <w:t> </w:t>
      </w:r>
      <w:r>
        <w:rPr>
          <w:color w:val="231F20"/>
        </w:rPr>
        <w:t>Law IBM</w:t>
      </w:r>
      <w:r>
        <w:rPr>
          <w:color w:val="231F20"/>
          <w:spacing w:val="40"/>
        </w:rPr>
        <w:t> </w:t>
      </w:r>
      <w:r>
        <w:rPr>
          <w:color w:val="231F20"/>
        </w:rPr>
        <w:t>Japan,</w:t>
      </w:r>
      <w:r>
        <w:rPr>
          <w:color w:val="231F20"/>
          <w:spacing w:val="40"/>
        </w:rPr>
        <w:t> </w:t>
      </w:r>
      <w:r>
        <w:rPr>
          <w:color w:val="231F20"/>
        </w:rPr>
        <w:t>Ltd.</w:t>
      </w:r>
    </w:p>
    <w:p>
      <w:pPr>
        <w:pStyle w:val="BodyText"/>
        <w:spacing w:line="230" w:lineRule="exact"/>
        <w:ind w:left="2472"/>
      </w:pPr>
      <w:r>
        <w:rPr>
          <w:color w:val="231F20"/>
        </w:rPr>
        <w:t>19-21,</w:t>
      </w:r>
      <w:r>
        <w:rPr>
          <w:color w:val="231F20"/>
          <w:spacing w:val="32"/>
        </w:rPr>
        <w:t> </w:t>
      </w:r>
      <w:r>
        <w:rPr>
          <w:color w:val="231F20"/>
        </w:rPr>
        <w:t>Nihonbashi-Hakozakicho,</w:t>
      </w:r>
      <w:r>
        <w:rPr>
          <w:color w:val="231F20"/>
          <w:spacing w:val="32"/>
        </w:rPr>
        <w:t> </w:t>
      </w:r>
      <w:r>
        <w:rPr>
          <w:color w:val="231F20"/>
        </w:rPr>
        <w:t>Chuo-</w:t>
      </w:r>
      <w:r>
        <w:rPr>
          <w:color w:val="231F20"/>
          <w:spacing w:val="-5"/>
        </w:rPr>
        <w:t>ku</w:t>
      </w:r>
    </w:p>
    <w:p>
      <w:pPr>
        <w:pStyle w:val="BodyText"/>
        <w:spacing w:line="255" w:lineRule="exact"/>
        <w:ind w:left="2472"/>
      </w:pPr>
      <w:r>
        <w:rPr>
          <w:color w:val="231F20"/>
        </w:rPr>
        <w:t>Tokyo</w:t>
      </w:r>
      <w:r>
        <w:rPr>
          <w:color w:val="231F20"/>
          <w:spacing w:val="32"/>
        </w:rPr>
        <w:t> </w:t>
      </w:r>
      <w:r>
        <w:rPr>
          <w:color w:val="231F20"/>
        </w:rPr>
        <w:t>103-8510,</w:t>
      </w:r>
      <w:r>
        <w:rPr>
          <w:color w:val="231F20"/>
          <w:spacing w:val="33"/>
        </w:rPr>
        <w:t> </w:t>
      </w:r>
      <w:r>
        <w:rPr>
          <w:color w:val="231F20"/>
          <w:spacing w:val="-2"/>
        </w:rPr>
        <w:t>Japan</w:t>
      </w:r>
    </w:p>
    <w:p>
      <w:pPr>
        <w:pStyle w:val="Heading6"/>
        <w:spacing w:line="240" w:lineRule="auto" w:before="231"/>
        <w:ind w:right="545"/>
      </w:pPr>
      <w:r>
        <w:rPr>
          <w:color w:val="231F20"/>
        </w:rPr>
        <w:t>The following paragraph does not apply to the United Kingdom or any </w:t>
      </w:r>
      <w:r>
        <w:rPr>
          <w:color w:val="231F20"/>
        </w:rPr>
        <w:t>other country where such provisions are inconsistent with local law :</w:t>
      </w:r>
    </w:p>
    <w:p>
      <w:pPr>
        <w:pStyle w:val="BodyText"/>
        <w:spacing w:line="213" w:lineRule="auto" w:before="238"/>
        <w:ind w:left="2472" w:right="385"/>
      </w:pPr>
      <w:r>
        <w:rPr>
          <w:color w:val="231F20"/>
        </w:rPr>
        <w:t>INTERNATIONAL BUSINESS MACHINES CORPORATION PROVIDES THIS PUBLICATION "AS IS" WITHOUT WARRANTY OF ANY KIND, EITHER EXPRESS OR IMPLIED, INCLUDING, BUT NOT LIMITED TO, THE IMPLIED WARRANTIES</w:t>
      </w:r>
      <w:r>
        <w:rPr>
          <w:color w:val="231F20"/>
          <w:spacing w:val="-4"/>
        </w:rPr>
        <w:t> </w:t>
      </w:r>
      <w:r>
        <w:rPr>
          <w:color w:val="231F20"/>
        </w:rPr>
        <w:t>OF</w:t>
      </w:r>
      <w:r>
        <w:rPr>
          <w:color w:val="231F20"/>
          <w:spacing w:val="-4"/>
        </w:rPr>
        <w:t> </w:t>
      </w:r>
      <w:r>
        <w:rPr>
          <w:color w:val="231F20"/>
        </w:rPr>
        <w:t>NON-INFRINGEMENT,</w:t>
      </w:r>
      <w:r>
        <w:rPr>
          <w:color w:val="231F20"/>
          <w:spacing w:val="-4"/>
        </w:rPr>
        <w:t> </w:t>
      </w:r>
      <w:r>
        <w:rPr>
          <w:color w:val="231F20"/>
        </w:rPr>
        <w:t>MERCHANTABILITY</w:t>
      </w:r>
      <w:r>
        <w:rPr>
          <w:color w:val="231F20"/>
          <w:spacing w:val="-7"/>
        </w:rPr>
        <w:t> </w:t>
      </w:r>
      <w:r>
        <w:rPr>
          <w:color w:val="231F20"/>
        </w:rPr>
        <w:t>OR</w:t>
      </w:r>
      <w:r>
        <w:rPr>
          <w:color w:val="231F20"/>
          <w:spacing w:val="-4"/>
        </w:rPr>
        <w:t> </w:t>
      </w:r>
      <w:r>
        <w:rPr>
          <w:color w:val="231F20"/>
        </w:rPr>
        <w:t>FITNESS FOR A PARTICULAR PURPOSE.</w:t>
      </w:r>
    </w:p>
    <w:p>
      <w:pPr>
        <w:pStyle w:val="BodyText"/>
        <w:spacing w:line="213" w:lineRule="auto" w:before="236"/>
        <w:ind w:left="2472"/>
      </w:pPr>
      <w:r>
        <w:rPr>
          <w:color w:val="231F20"/>
        </w:rPr>
        <w:t>Some states do not allow disclaimer of express or implied warranties in </w:t>
      </w:r>
      <w:r>
        <w:rPr>
          <w:color w:val="231F20"/>
        </w:rPr>
        <w:t>certain transactions, therefore, this statement might not apply to you.</w:t>
      </w:r>
    </w:p>
    <w:p>
      <w:pPr>
        <w:pStyle w:val="BodyText"/>
        <w:spacing w:line="213" w:lineRule="auto" w:before="238"/>
        <w:ind w:left="2472" w:right="545"/>
      </w:pPr>
      <w:r>
        <w:rPr>
          <w:color w:val="231F20"/>
        </w:rPr>
        <w:t>This information could include technical inaccuracies or typographical errors. Changes are periodically made to the information herein; these changes will </w:t>
      </w:r>
      <w:r>
        <w:rPr>
          <w:color w:val="231F20"/>
        </w:rPr>
        <w:t>be incorporated in new editions of the publication. IBM may make improvements and/or changes in the product(s) and/or the program(s) described in this</w:t>
      </w:r>
      <w:r>
        <w:rPr>
          <w:color w:val="231F20"/>
          <w:spacing w:val="80"/>
        </w:rPr>
        <w:t> </w:t>
      </w:r>
      <w:r>
        <w:rPr>
          <w:color w:val="231F20"/>
        </w:rPr>
        <w:t>publication at any time without notice.</w:t>
      </w:r>
    </w:p>
    <w:p>
      <w:pPr>
        <w:pStyle w:val="BodyText"/>
        <w:spacing w:line="213" w:lineRule="auto" w:before="236"/>
        <w:ind w:left="2472" w:right="258"/>
      </w:pPr>
      <w:r>
        <w:rPr>
          <w:color w:val="231F20"/>
        </w:rPr>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pPr>
        <w:spacing w:after="0" w:line="213" w:lineRule="auto"/>
        <w:sectPr>
          <w:footerReference w:type="default" r:id="rId527"/>
          <w:footerReference w:type="even" r:id="rId528"/>
          <w:pgSz w:w="12240" w:h="15840"/>
          <w:pgMar w:header="0" w:footer="736" w:top="1300" w:bottom="920" w:left="1000" w:right="1060"/>
          <w:pgNumType w:start="463"/>
        </w:sectPr>
      </w:pPr>
    </w:p>
    <w:p>
      <w:pPr>
        <w:pStyle w:val="BodyText"/>
        <w:spacing w:line="213" w:lineRule="auto" w:before="85"/>
        <w:ind w:left="2232" w:right="1104"/>
      </w:pPr>
      <w:r>
        <w:rPr>
          <w:color w:val="231F20"/>
        </w:rPr>
        <w:t>IBM may use or distribute any of the information you supply in any way </w:t>
      </w:r>
      <w:r>
        <w:rPr>
          <w:color w:val="231F20"/>
        </w:rPr>
        <w:t>it believes appropriate without incurring any obligation to you.</w:t>
      </w:r>
    </w:p>
    <w:p>
      <w:pPr>
        <w:pStyle w:val="BodyText"/>
        <w:spacing w:line="213" w:lineRule="auto" w:before="238"/>
        <w:ind w:left="2232" w:right="763"/>
      </w:pPr>
      <w:r>
        <w:rPr>
          <w:color w:val="231F20"/>
        </w:rPr>
        <w:t>Licensees of this program who wish to have information about it for the </w:t>
      </w:r>
      <w:r>
        <w:rPr>
          <w:color w:val="231F20"/>
        </w:rPr>
        <w:t>purpose</w:t>
      </w:r>
      <w:r>
        <w:rPr>
          <w:color w:val="231F20"/>
          <w:spacing w:val="40"/>
        </w:rPr>
        <w:t> </w:t>
      </w:r>
      <w:r>
        <w:rPr>
          <w:color w:val="231F20"/>
        </w:rPr>
        <w:t>of enabling: (i) the exchange of information between independently created programs and other programs (including this one) and (ii) the mutual use of the information which has been exchanged, should contact:</w:t>
      </w:r>
    </w:p>
    <w:p>
      <w:pPr>
        <w:pStyle w:val="BodyText"/>
        <w:spacing w:line="213" w:lineRule="auto" w:before="237"/>
        <w:ind w:left="2232" w:right="6351"/>
      </w:pPr>
      <w:r>
        <w:rPr>
          <w:color w:val="231F20"/>
        </w:rPr>
        <w:t>IBM</w:t>
      </w:r>
      <w:r>
        <w:rPr>
          <w:color w:val="231F20"/>
          <w:spacing w:val="14"/>
        </w:rPr>
        <w:t> </w:t>
      </w:r>
      <w:r>
        <w:rPr>
          <w:color w:val="231F20"/>
        </w:rPr>
        <w:t>Corporation </w:t>
      </w:r>
      <w:r>
        <w:rPr>
          <w:color w:val="231F20"/>
          <w:spacing w:val="-2"/>
        </w:rPr>
        <w:t>2Z4A/101</w:t>
      </w:r>
    </w:p>
    <w:p>
      <w:pPr>
        <w:pStyle w:val="BodyText"/>
        <w:spacing w:line="230" w:lineRule="exact"/>
        <w:ind w:left="2232"/>
      </w:pPr>
      <w:r>
        <w:rPr>
          <w:color w:val="231F20"/>
        </w:rPr>
        <w:t>11400</w:t>
      </w:r>
      <w:r>
        <w:rPr>
          <w:color w:val="231F20"/>
          <w:spacing w:val="38"/>
        </w:rPr>
        <w:t> </w:t>
      </w:r>
      <w:r>
        <w:rPr>
          <w:color w:val="231F20"/>
        </w:rPr>
        <w:t>Burnet</w:t>
      </w:r>
      <w:r>
        <w:rPr>
          <w:color w:val="231F20"/>
          <w:spacing w:val="38"/>
        </w:rPr>
        <w:t> </w:t>
      </w:r>
      <w:r>
        <w:rPr>
          <w:color w:val="231F20"/>
          <w:spacing w:val="-4"/>
        </w:rPr>
        <w:t>Road</w:t>
      </w:r>
    </w:p>
    <w:p>
      <w:pPr>
        <w:pStyle w:val="BodyText"/>
        <w:spacing w:line="255" w:lineRule="exact"/>
        <w:ind w:left="2232"/>
      </w:pPr>
      <w:r>
        <w:rPr>
          <w:color w:val="231F20"/>
        </w:rPr>
        <w:t>Austin,</w:t>
      </w:r>
      <w:r>
        <w:rPr>
          <w:color w:val="231F20"/>
          <w:spacing w:val="46"/>
        </w:rPr>
        <w:t> </w:t>
      </w:r>
      <w:r>
        <w:rPr>
          <w:color w:val="231F20"/>
        </w:rPr>
        <w:t>TX</w:t>
      </w:r>
      <w:r>
        <w:rPr>
          <w:color w:val="231F20"/>
          <w:spacing w:val="46"/>
        </w:rPr>
        <w:t>  </w:t>
      </w:r>
      <w:r>
        <w:rPr>
          <w:color w:val="231F20"/>
        </w:rPr>
        <w:t>78758</w:t>
      </w:r>
      <w:r>
        <w:rPr>
          <w:color w:val="231F20"/>
          <w:spacing w:val="47"/>
        </w:rPr>
        <w:t>  </w:t>
      </w:r>
      <w:r>
        <w:rPr>
          <w:color w:val="231F20"/>
          <w:spacing w:val="-2"/>
        </w:rPr>
        <w:t>U.S.A.</w:t>
      </w:r>
    </w:p>
    <w:p>
      <w:pPr>
        <w:pStyle w:val="BodyText"/>
        <w:spacing w:line="213" w:lineRule="auto" w:before="232"/>
        <w:ind w:left="2232" w:right="545"/>
      </w:pPr>
      <w:r>
        <w:rPr>
          <w:color w:val="231F20"/>
        </w:rPr>
        <w:t>Such information may be available, subject to appropriate terms and </w:t>
      </w:r>
      <w:r>
        <w:rPr>
          <w:color w:val="231F20"/>
        </w:rPr>
        <w:t>conditions, including in some cases payment of a fee.</w:t>
      </w:r>
    </w:p>
    <w:p>
      <w:pPr>
        <w:pStyle w:val="BodyText"/>
        <w:spacing w:line="213" w:lineRule="auto" w:before="238"/>
        <w:ind w:left="2232" w:right="493"/>
      </w:pPr>
      <w:r>
        <w:rPr>
          <w:color w:val="231F20"/>
        </w:rPr>
        <w:t>The</w:t>
      </w:r>
      <w:r>
        <w:rPr>
          <w:color w:val="231F20"/>
          <w:spacing w:val="30"/>
        </w:rPr>
        <w:t> </w:t>
      </w:r>
      <w:r>
        <w:rPr>
          <w:color w:val="231F20"/>
        </w:rPr>
        <w:t>licensed</w:t>
      </w:r>
      <w:r>
        <w:rPr>
          <w:color w:val="231F20"/>
          <w:spacing w:val="30"/>
        </w:rPr>
        <w:t> </w:t>
      </w:r>
      <w:r>
        <w:rPr>
          <w:color w:val="231F20"/>
        </w:rPr>
        <w:t>program</w:t>
      </w:r>
      <w:r>
        <w:rPr>
          <w:color w:val="231F20"/>
          <w:spacing w:val="30"/>
        </w:rPr>
        <w:t> </w:t>
      </w:r>
      <w:r>
        <w:rPr>
          <w:color w:val="231F20"/>
        </w:rPr>
        <w:t>described</w:t>
      </w:r>
      <w:r>
        <w:rPr>
          <w:color w:val="231F20"/>
          <w:spacing w:val="30"/>
        </w:rPr>
        <w:t> </w:t>
      </w:r>
      <w:r>
        <w:rPr>
          <w:color w:val="231F20"/>
        </w:rPr>
        <w:t>in</w:t>
      </w:r>
      <w:r>
        <w:rPr>
          <w:color w:val="231F20"/>
          <w:spacing w:val="30"/>
        </w:rPr>
        <w:t> </w:t>
      </w:r>
      <w:r>
        <w:rPr>
          <w:color w:val="231F20"/>
        </w:rPr>
        <w:t>this</w:t>
      </w:r>
      <w:r>
        <w:rPr>
          <w:color w:val="231F20"/>
          <w:spacing w:val="30"/>
        </w:rPr>
        <w:t> </w:t>
      </w:r>
      <w:r>
        <w:rPr>
          <w:color w:val="231F20"/>
        </w:rPr>
        <w:t>document</w:t>
      </w:r>
      <w:r>
        <w:rPr>
          <w:color w:val="231F20"/>
          <w:spacing w:val="30"/>
        </w:rPr>
        <w:t> </w:t>
      </w:r>
      <w:r>
        <w:rPr>
          <w:color w:val="231F20"/>
        </w:rPr>
        <w:t>and</w:t>
      </w:r>
      <w:r>
        <w:rPr>
          <w:color w:val="231F20"/>
          <w:spacing w:val="30"/>
        </w:rPr>
        <w:t> </w:t>
      </w:r>
      <w:r>
        <w:rPr>
          <w:color w:val="231F20"/>
        </w:rPr>
        <w:t>all</w:t>
      </w:r>
      <w:r>
        <w:rPr>
          <w:color w:val="231F20"/>
          <w:spacing w:val="30"/>
        </w:rPr>
        <w:t> </w:t>
      </w:r>
      <w:r>
        <w:rPr>
          <w:color w:val="231F20"/>
        </w:rPr>
        <w:t>licensed</w:t>
      </w:r>
      <w:r>
        <w:rPr>
          <w:color w:val="231F20"/>
          <w:spacing w:val="30"/>
        </w:rPr>
        <w:t> </w:t>
      </w:r>
      <w:r>
        <w:rPr>
          <w:color w:val="231F20"/>
        </w:rPr>
        <w:t>material available for it are provided by IBM under terms of the IBM Customer Agreement, IBM International Program License Agreement or any equivalent agreement between us.</w:t>
      </w:r>
    </w:p>
    <w:p>
      <w:pPr>
        <w:pStyle w:val="BodyText"/>
        <w:spacing w:line="213" w:lineRule="auto" w:before="237"/>
        <w:ind w:left="2232" w:right="488"/>
      </w:pPr>
      <w:r>
        <w:rPr>
          <w:color w:val="231F20"/>
        </w:rPr>
        <w:t>Any performance data contained herein was determined in a controlled environment. Therefore, the results obtained in other operating environments may vary significantly. Some measurements may have been made on </w:t>
      </w:r>
      <w:r>
        <w:rPr>
          <w:color w:val="231F20"/>
        </w:rPr>
        <w:t>development-level systems and there is no guarantee that these measurements will be the same on generally available systems. Furthermore, some measurement may have been estimated through extrapolation. Actual results may vary. Users of this document should verify the applicable data for their specific environment.</w:t>
      </w:r>
    </w:p>
    <w:p>
      <w:pPr>
        <w:pStyle w:val="BodyText"/>
        <w:spacing w:line="213" w:lineRule="auto" w:before="234"/>
        <w:ind w:left="2232" w:right="545"/>
      </w:pPr>
      <w:r>
        <w:rPr>
          <w:color w:val="231F20"/>
        </w:rPr>
        <w:t>Information</w:t>
      </w:r>
      <w:r>
        <w:rPr>
          <w:color w:val="231F20"/>
          <w:spacing w:val="31"/>
        </w:rPr>
        <w:t> </w:t>
      </w:r>
      <w:r>
        <w:rPr>
          <w:color w:val="231F20"/>
        </w:rPr>
        <w:t>concerning</w:t>
      </w:r>
      <w:r>
        <w:rPr>
          <w:color w:val="231F20"/>
          <w:spacing w:val="31"/>
        </w:rPr>
        <w:t> </w:t>
      </w:r>
      <w:r>
        <w:rPr>
          <w:color w:val="231F20"/>
        </w:rPr>
        <w:t>non-IBM</w:t>
      </w:r>
      <w:r>
        <w:rPr>
          <w:color w:val="231F20"/>
          <w:spacing w:val="31"/>
        </w:rPr>
        <w:t> </w:t>
      </w:r>
      <w:r>
        <w:rPr>
          <w:color w:val="231F20"/>
        </w:rPr>
        <w:t>products</w:t>
      </w:r>
      <w:r>
        <w:rPr>
          <w:color w:val="231F20"/>
          <w:spacing w:val="31"/>
        </w:rPr>
        <w:t> </w:t>
      </w:r>
      <w:r>
        <w:rPr>
          <w:color w:val="231F20"/>
        </w:rPr>
        <w:t>was</w:t>
      </w:r>
      <w:r>
        <w:rPr>
          <w:color w:val="231F20"/>
          <w:spacing w:val="31"/>
        </w:rPr>
        <w:t> </w:t>
      </w:r>
      <w:r>
        <w:rPr>
          <w:color w:val="231F20"/>
        </w:rPr>
        <w:t>obtained</w:t>
      </w:r>
      <w:r>
        <w:rPr>
          <w:color w:val="231F20"/>
          <w:spacing w:val="31"/>
        </w:rPr>
        <w:t> </w:t>
      </w:r>
      <w:r>
        <w:rPr>
          <w:color w:val="231F20"/>
        </w:rPr>
        <w:t>from</w:t>
      </w:r>
      <w:r>
        <w:rPr>
          <w:color w:val="231F20"/>
          <w:spacing w:val="31"/>
        </w:rPr>
        <w:t> </w:t>
      </w:r>
      <w:r>
        <w:rPr>
          <w:color w:val="231F20"/>
        </w:rPr>
        <w:t>the</w:t>
      </w:r>
      <w:r>
        <w:rPr>
          <w:color w:val="231F20"/>
          <w:spacing w:val="31"/>
        </w:rPr>
        <w:t> </w:t>
      </w:r>
      <w:r>
        <w:rPr>
          <w:color w:val="231F20"/>
        </w:rPr>
        <w:t>suppliers</w:t>
      </w:r>
      <w:r>
        <w:rPr>
          <w:color w:val="231F20"/>
          <w:spacing w:val="31"/>
        </w:rPr>
        <w:t> </w:t>
      </w:r>
      <w:r>
        <w:rPr>
          <w:color w:val="231F20"/>
        </w:rPr>
        <w:t>of those products, their published announcements or other publicly available </w:t>
      </w:r>
      <w:r>
        <w:rPr>
          <w:color w:val="231F20"/>
        </w:rPr>
        <w:t>sources. IBM</w:t>
      </w:r>
      <w:r>
        <w:rPr>
          <w:color w:val="231F20"/>
          <w:spacing w:val="29"/>
        </w:rPr>
        <w:t> </w:t>
      </w:r>
      <w:r>
        <w:rPr>
          <w:color w:val="231F20"/>
        </w:rPr>
        <w:t>has</w:t>
      </w:r>
      <w:r>
        <w:rPr>
          <w:color w:val="231F20"/>
          <w:spacing w:val="29"/>
        </w:rPr>
        <w:t> </w:t>
      </w:r>
      <w:r>
        <w:rPr>
          <w:color w:val="231F20"/>
        </w:rPr>
        <w:t>not</w:t>
      </w:r>
      <w:r>
        <w:rPr>
          <w:color w:val="231F20"/>
          <w:spacing w:val="29"/>
        </w:rPr>
        <w:t> </w:t>
      </w:r>
      <w:r>
        <w:rPr>
          <w:color w:val="231F20"/>
        </w:rPr>
        <w:t>tested</w:t>
      </w:r>
      <w:r>
        <w:rPr>
          <w:color w:val="231F20"/>
          <w:spacing w:val="29"/>
        </w:rPr>
        <w:t> </w:t>
      </w:r>
      <w:r>
        <w:rPr>
          <w:color w:val="231F20"/>
        </w:rPr>
        <w:t>those</w:t>
      </w:r>
      <w:r>
        <w:rPr>
          <w:color w:val="231F20"/>
          <w:spacing w:val="29"/>
        </w:rPr>
        <w:t> </w:t>
      </w:r>
      <w:r>
        <w:rPr>
          <w:color w:val="231F20"/>
        </w:rPr>
        <w:t>products</w:t>
      </w:r>
      <w:r>
        <w:rPr>
          <w:color w:val="231F20"/>
          <w:spacing w:val="29"/>
        </w:rPr>
        <w:t> </w:t>
      </w:r>
      <w:r>
        <w:rPr>
          <w:color w:val="231F20"/>
        </w:rPr>
        <w:t>and</w:t>
      </w:r>
      <w:r>
        <w:rPr>
          <w:color w:val="231F20"/>
          <w:spacing w:val="29"/>
        </w:rPr>
        <w:t> </w:t>
      </w:r>
      <w:r>
        <w:rPr>
          <w:color w:val="231F20"/>
        </w:rPr>
        <w:t>cannot</w:t>
      </w:r>
      <w:r>
        <w:rPr>
          <w:color w:val="231F20"/>
          <w:spacing w:val="29"/>
        </w:rPr>
        <w:t> </w:t>
      </w:r>
      <w:r>
        <w:rPr>
          <w:color w:val="231F20"/>
        </w:rPr>
        <w:t>confirm</w:t>
      </w:r>
      <w:r>
        <w:rPr>
          <w:color w:val="231F20"/>
          <w:spacing w:val="29"/>
        </w:rPr>
        <w:t> </w:t>
      </w:r>
      <w:r>
        <w:rPr>
          <w:color w:val="231F20"/>
        </w:rPr>
        <w:t>the</w:t>
      </w:r>
      <w:r>
        <w:rPr>
          <w:color w:val="231F20"/>
          <w:spacing w:val="29"/>
        </w:rPr>
        <w:t> </w:t>
      </w:r>
      <w:r>
        <w:rPr>
          <w:color w:val="231F20"/>
        </w:rPr>
        <w:t>accuracy</w:t>
      </w:r>
      <w:r>
        <w:rPr>
          <w:color w:val="231F20"/>
          <w:spacing w:val="29"/>
        </w:rPr>
        <w:t> </w:t>
      </w:r>
      <w:r>
        <w:rPr>
          <w:color w:val="231F20"/>
        </w:rPr>
        <w:t>of performance, compatibility or any other claims related to non-IBM products.</w:t>
      </w:r>
    </w:p>
    <w:p>
      <w:pPr>
        <w:pStyle w:val="BodyText"/>
        <w:spacing w:line="213" w:lineRule="auto"/>
        <w:ind w:left="2232" w:right="545"/>
      </w:pPr>
      <w:r>
        <w:rPr>
          <w:color w:val="231F20"/>
        </w:rPr>
        <w:t>Questions on the capabilities of non-IBM products should be addressed to </w:t>
      </w:r>
      <w:r>
        <w:rPr>
          <w:color w:val="231F20"/>
        </w:rPr>
        <w:t>the suppliers of those products.</w:t>
      </w:r>
    </w:p>
    <w:p>
      <w:pPr>
        <w:pStyle w:val="BodyText"/>
        <w:spacing w:line="213" w:lineRule="auto" w:before="236"/>
        <w:ind w:left="2232"/>
      </w:pPr>
      <w:r>
        <w:rPr>
          <w:color w:val="231F20"/>
        </w:rPr>
        <w:t>All statements regarding IBM's future direction or intent are subject to change or withdrawal without notice, and represent goals and objectives only.</w:t>
      </w:r>
    </w:p>
    <w:p>
      <w:pPr>
        <w:pStyle w:val="BodyText"/>
        <w:spacing w:line="213" w:lineRule="auto" w:before="238"/>
        <w:ind w:left="2232" w:right="545"/>
      </w:pPr>
      <w:r>
        <w:rPr>
          <w:color w:val="231F20"/>
        </w:rPr>
        <w:t>All IBM prices shown are IBM's suggested retail prices, are current and are subject</w:t>
      </w:r>
      <w:r>
        <w:rPr>
          <w:color w:val="231F20"/>
          <w:spacing w:val="40"/>
        </w:rPr>
        <w:t> </w:t>
      </w:r>
      <w:r>
        <w:rPr>
          <w:color w:val="231F20"/>
        </w:rPr>
        <w:t>to change without notice. Dealer prices may vary.</w:t>
      </w:r>
    </w:p>
    <w:p>
      <w:pPr>
        <w:pStyle w:val="BodyText"/>
        <w:spacing w:line="213" w:lineRule="auto" w:before="238"/>
        <w:ind w:left="2232"/>
      </w:pPr>
      <w:r>
        <w:rPr>
          <w:color w:val="231F20"/>
        </w:rPr>
        <w:t>This information is for planning purposes only. The information herein is subject to change before the products described become available.</w:t>
      </w:r>
    </w:p>
    <w:p>
      <w:pPr>
        <w:pStyle w:val="BodyText"/>
        <w:spacing w:line="213" w:lineRule="auto" w:before="238"/>
        <w:ind w:left="2232" w:right="493"/>
      </w:pPr>
      <w:r>
        <w:rPr>
          <w:color w:val="231F20"/>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BodyText"/>
        <w:spacing w:before="213"/>
        <w:ind w:left="2232"/>
      </w:pPr>
      <w:r>
        <w:rPr>
          <w:color w:val="231F20"/>
        </w:rPr>
        <w:t>COPYRIGHT</w:t>
      </w:r>
      <w:r>
        <w:rPr>
          <w:color w:val="231F20"/>
          <w:spacing w:val="4"/>
        </w:rPr>
        <w:t> </w:t>
      </w:r>
      <w:r>
        <w:rPr>
          <w:color w:val="231F20"/>
          <w:spacing w:val="-2"/>
        </w:rPr>
        <w:t>LICENSE:</w:t>
      </w:r>
    </w:p>
    <w:p>
      <w:pPr>
        <w:pStyle w:val="BodyText"/>
        <w:spacing w:line="213" w:lineRule="auto" w:before="233"/>
        <w:ind w:left="2232" w:right="540"/>
        <w:jc w:val="both"/>
      </w:pPr>
      <w:r>
        <w:rPr>
          <w:color w:val="231F20"/>
        </w:rPr>
        <w:t>This information contains sample application programs in source language, </w:t>
      </w:r>
      <w:r>
        <w:rPr>
          <w:color w:val="231F20"/>
        </w:rPr>
        <w:t>which illustrate programming techniques on various operating platforms. You may copy, modify, and distribute these sample programs in any form without payment to</w:t>
      </w:r>
    </w:p>
    <w:p>
      <w:pPr>
        <w:spacing w:after="0" w:line="213" w:lineRule="auto"/>
        <w:jc w:val="both"/>
        <w:sectPr>
          <w:pgSz w:w="12240" w:h="15840"/>
          <w:pgMar w:header="0" w:footer="736" w:top="1180" w:bottom="920" w:left="1000" w:right="1060"/>
        </w:sectPr>
      </w:pPr>
    </w:p>
    <w:p>
      <w:pPr>
        <w:pStyle w:val="BodyText"/>
        <w:spacing w:line="213" w:lineRule="auto" w:before="85"/>
        <w:ind w:left="2472" w:right="385"/>
      </w:pPr>
      <w:r>
        <w:rPr>
          <w:color w:val="231F20"/>
        </w:rPr>
        <w:t>IBM, for the purposes of developing, using, marketing or distributing </w:t>
      </w:r>
      <w:r>
        <w:rPr>
          <w:color w:val="231F20"/>
        </w:rPr>
        <w:t>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 You may copy, modify, and distribute these sample programs in any form without payment to IBM for the purposes of developing, using, marketing, or distributing application programs conforming to IBM's application programming interfaces.</w:t>
      </w:r>
    </w:p>
    <w:p>
      <w:pPr>
        <w:pStyle w:val="BodyText"/>
        <w:spacing w:line="213" w:lineRule="auto" w:before="234"/>
        <w:ind w:left="2472"/>
      </w:pPr>
      <w:r>
        <w:rPr>
          <w:color w:val="231F20"/>
        </w:rPr>
        <w:t>Each copy or any portion of these sample programs or any derivative work, </w:t>
      </w:r>
      <w:r>
        <w:rPr>
          <w:color w:val="231F20"/>
        </w:rPr>
        <w:t>must include a copyright notice as follows:</w:t>
      </w:r>
    </w:p>
    <w:p>
      <w:pPr>
        <w:pStyle w:val="BodyText"/>
        <w:spacing w:line="213" w:lineRule="auto" w:before="238"/>
        <w:ind w:left="2472"/>
      </w:pPr>
      <w:r>
        <w:rPr>
          <w:color w:val="231F20"/>
        </w:rPr>
        <w:t>© IBM 2013. Portions of this code are derived from IBM Corp. Sample Programs. </w:t>
      </w:r>
      <w:r>
        <w:rPr>
          <w:color w:val="231F20"/>
        </w:rPr>
        <w:t>© Copyright IBM Corp. 2013. All rights reserved.</w:t>
      </w:r>
    </w:p>
    <w:p>
      <w:pPr>
        <w:pStyle w:val="BodyText"/>
        <w:spacing w:line="213" w:lineRule="auto" w:before="238"/>
        <w:ind w:left="2472"/>
      </w:pPr>
      <w:r>
        <w:rPr>
          <w:color w:val="231F20"/>
        </w:rPr>
        <w:t>If you are viewing this information in softcopy form, the photographs and </w:t>
      </w:r>
      <w:r>
        <w:rPr>
          <w:color w:val="231F20"/>
        </w:rPr>
        <w:t>color illustrations might not be displayed.</w:t>
      </w:r>
    </w:p>
    <w:p>
      <w:pPr>
        <w:pStyle w:val="Heading4"/>
        <w:ind w:left="2472"/>
      </w:pPr>
      <w:r>
        <w:rPr>
          <w:color w:val="231F20"/>
          <w:spacing w:val="-2"/>
        </w:rPr>
        <w:t>Trademarks</w:t>
      </w:r>
    </w:p>
    <w:p>
      <w:pPr>
        <w:pStyle w:val="BodyText"/>
        <w:spacing w:line="213" w:lineRule="auto" w:before="241"/>
        <w:ind w:left="2472" w:right="258"/>
      </w:pPr>
      <w:r>
        <w:rPr>
          <w:color w:val="231F20"/>
        </w:rPr>
        <w:t>IBM, the IBM logo, and ibm.com are trademarks or registered trademarks of International Business Machines Corp., registered in many jurisdictions </w:t>
      </w:r>
      <w:r>
        <w:rPr>
          <w:color w:val="231F20"/>
        </w:rPr>
        <w:t>worldwide. Other product and service names might be trademarks of IBM or other companies.</w:t>
      </w:r>
      <w:r>
        <w:rPr>
          <w:color w:val="231F20"/>
          <w:spacing w:val="80"/>
        </w:rPr>
        <w:t> </w:t>
      </w:r>
      <w:r>
        <w:rPr>
          <w:color w:val="231F20"/>
        </w:rPr>
        <w:t>A current list of IBM trademarks is available on the web at “Copyright and trademark information” at </w:t>
      </w:r>
      <w:hyperlink r:id="rId530">
        <w:r>
          <w:rPr>
            <w:color w:val="231F20"/>
          </w:rPr>
          <w:t>www.ibm.com/legal/copytrade.shtml.</w:t>
        </w:r>
      </w:hyperlink>
    </w:p>
    <w:p>
      <w:pPr>
        <w:pStyle w:val="BodyText"/>
        <w:spacing w:line="213" w:lineRule="auto" w:before="236"/>
        <w:ind w:left="2472" w:right="385"/>
      </w:pPr>
      <w:r>
        <w:rPr>
          <w:color w:val="231F20"/>
        </w:rPr>
        <w:t>Adobe, Acrobat, PostScript and all Adobe-based trademarks are either </w:t>
      </w:r>
      <w:r>
        <w:rPr>
          <w:color w:val="231F20"/>
        </w:rPr>
        <w:t>registered trademarks or trademarks of Adobe Systems Incorporated in the United States, other countries, or both.</w:t>
      </w:r>
    </w:p>
    <w:p>
      <w:pPr>
        <w:pStyle w:val="BodyText"/>
        <w:spacing w:line="213" w:lineRule="auto" w:before="238"/>
        <w:ind w:left="2472"/>
      </w:pPr>
      <w:r>
        <w:rPr>
          <w:color w:val="231F20"/>
        </w:rPr>
        <w:t>IT Infrastructure Library is a registered trademark of the Central Computer </w:t>
      </w:r>
      <w:r>
        <w:rPr>
          <w:color w:val="231F20"/>
        </w:rPr>
        <w:t>and Telecommunications Agency which is now part of the Office of Government </w:t>
      </w:r>
      <w:r>
        <w:rPr>
          <w:color w:val="231F20"/>
          <w:spacing w:val="-2"/>
        </w:rPr>
        <w:t>Commerce.</w:t>
      </w:r>
    </w:p>
    <w:p>
      <w:pPr>
        <w:pStyle w:val="BodyText"/>
        <w:spacing w:line="213" w:lineRule="auto" w:before="237"/>
        <w:ind w:left="2472" w:right="385"/>
      </w:pPr>
      <w:r>
        <w:rPr>
          <w:color w:val="231F20"/>
        </w:rPr>
        <w:t>Intel, Intel logo, Intel Inside, Intel Inside logo, Intel Centrino, Intel Centrino </w:t>
      </w:r>
      <w:r>
        <w:rPr>
          <w:color w:val="231F20"/>
        </w:rPr>
        <w:t>logo, Celeron, Intel Xeon, Intel SpeedStep, Itanium, and Pentium are trademarks or registered trademarks of Intel Corporation or its subsidiaries in the United States and other countries.</w:t>
      </w:r>
    </w:p>
    <w:p>
      <w:pPr>
        <w:pStyle w:val="BodyText"/>
        <w:spacing w:line="213" w:lineRule="auto" w:before="237"/>
        <w:ind w:left="2472" w:right="545"/>
      </w:pPr>
      <w:r>
        <w:rPr>
          <w:color w:val="231F20"/>
        </w:rPr>
        <w:t>Linux is a trademark of Linus Torvalds in the United States, other countries, </w:t>
      </w:r>
      <w:r>
        <w:rPr>
          <w:color w:val="231F20"/>
        </w:rPr>
        <w:t>or </w:t>
      </w:r>
      <w:r>
        <w:rPr>
          <w:color w:val="231F20"/>
          <w:spacing w:val="-2"/>
        </w:rPr>
        <w:t>both.</w:t>
      </w:r>
    </w:p>
    <w:p>
      <w:pPr>
        <w:pStyle w:val="BodyText"/>
        <w:spacing w:line="213" w:lineRule="auto" w:before="238"/>
        <w:ind w:left="2472" w:right="493"/>
      </w:pPr>
      <w:r>
        <w:rPr>
          <w:color w:val="231F20"/>
        </w:rPr>
        <w:t>Microsoft, Windows, Windows NT, and the Windows logo are trademarks </w:t>
      </w:r>
      <w:r>
        <w:rPr>
          <w:color w:val="231F20"/>
        </w:rPr>
        <w:t>of Microsoft Corporation in the United States, other countries, or both.</w:t>
      </w:r>
    </w:p>
    <w:p>
      <w:pPr>
        <w:pStyle w:val="BodyText"/>
        <w:spacing w:line="213" w:lineRule="auto" w:before="238"/>
        <w:ind w:left="2472" w:right="385"/>
      </w:pPr>
      <w:r>
        <w:rPr>
          <w:color w:val="231F20"/>
        </w:rPr>
        <w:t>ITIL is a registered trademark, and a registered community trademark of The Minister for the Cabinet Office, and is registered in the U.S. Patent and </w:t>
      </w:r>
      <w:r>
        <w:rPr>
          <w:color w:val="231F20"/>
        </w:rPr>
        <w:t>Trademark </w:t>
      </w:r>
      <w:r>
        <w:rPr>
          <w:color w:val="231F20"/>
          <w:spacing w:val="-2"/>
        </w:rPr>
        <w:t>Office.</w:t>
      </w:r>
    </w:p>
    <w:p>
      <w:pPr>
        <w:pStyle w:val="BodyText"/>
        <w:spacing w:line="213" w:lineRule="auto" w:before="238"/>
        <w:ind w:left="2472"/>
      </w:pPr>
      <w:r>
        <w:rPr>
          <w:color w:val="231F20"/>
        </w:rPr>
        <w:t>UNIX is a registered trademark of The Open Group in the United States and other </w:t>
      </w:r>
      <w:r>
        <w:rPr>
          <w:color w:val="231F20"/>
          <w:spacing w:val="-2"/>
        </w:rPr>
        <w:t>countries.</w:t>
      </w:r>
    </w:p>
    <w:p>
      <w:pPr>
        <w:pStyle w:val="BodyText"/>
      </w:pPr>
    </w:p>
    <w:p>
      <w:pPr>
        <w:pStyle w:val="BodyText"/>
      </w:pPr>
    </w:p>
    <w:p>
      <w:pPr>
        <w:pStyle w:val="BodyText"/>
      </w:pPr>
    </w:p>
    <w:p>
      <w:pPr>
        <w:pStyle w:val="BodyText"/>
      </w:pPr>
    </w:p>
    <w:p>
      <w:pPr>
        <w:pStyle w:val="BodyText"/>
        <w:spacing w:before="71"/>
      </w:pPr>
    </w:p>
    <w:p>
      <w:pPr>
        <w:tabs>
          <w:tab w:pos="772" w:val="left" w:leader="none"/>
        </w:tabs>
        <w:spacing w:before="0"/>
        <w:ind w:left="0" w:right="162" w:firstLine="0"/>
        <w:jc w:val="right"/>
        <w:rPr>
          <w:rFonts w:ascii="Book Antiqua"/>
          <w:b/>
          <w:sz w:val="22"/>
        </w:rPr>
      </w:pPr>
      <w:r>
        <w:rPr>
          <w:color w:val="231F20"/>
          <w:spacing w:val="-2"/>
          <w:sz w:val="16"/>
        </w:rPr>
        <w:t>Notices</w:t>
      </w:r>
      <w:r>
        <w:rPr>
          <w:color w:val="231F20"/>
          <w:sz w:val="16"/>
        </w:rPr>
        <w:tab/>
      </w:r>
      <w:r>
        <w:rPr>
          <w:rFonts w:ascii="Book Antiqua"/>
          <w:b/>
          <w:color w:val="231F20"/>
          <w:spacing w:val="-5"/>
          <w:sz w:val="22"/>
        </w:rPr>
        <w:t>465</w:t>
      </w:r>
    </w:p>
    <w:p>
      <w:pPr>
        <w:spacing w:after="0"/>
        <w:jc w:val="right"/>
        <w:rPr>
          <w:rFonts w:ascii="Book Antiqua"/>
          <w:sz w:val="22"/>
        </w:rPr>
        <w:sectPr>
          <w:footerReference w:type="default" r:id="rId529"/>
          <w:pgSz w:w="12240" w:h="15840"/>
          <w:pgMar w:header="0" w:footer="0" w:top="1180" w:bottom="280" w:left="1000" w:right="1060"/>
        </w:sectPr>
      </w:pPr>
    </w:p>
    <w:p>
      <w:pPr>
        <w:pStyle w:val="BodyText"/>
        <w:rPr>
          <w:rFonts w:ascii="Book Antiqua"/>
          <w:b/>
          <w:sz w:val="18"/>
        </w:rPr>
      </w:pPr>
    </w:p>
    <w:p>
      <w:pPr>
        <w:pStyle w:val="BodyText"/>
        <w:spacing w:before="141"/>
        <w:rPr>
          <w:rFonts w:ascii="Book Antiqua"/>
          <w:b/>
          <w:sz w:val="18"/>
        </w:rPr>
      </w:pPr>
    </w:p>
    <w:p>
      <w:pPr>
        <w:spacing w:line="216" w:lineRule="auto" w:before="0"/>
        <w:ind w:left="3552" w:right="0" w:firstLine="0"/>
        <w:jc w:val="left"/>
        <w:rPr>
          <w:sz w:val="18"/>
        </w:rPr>
      </w:pPr>
      <w:r>
        <w:rPr/>
        <w:drawing>
          <wp:anchor distT="0" distB="0" distL="0" distR="0" allowOverlap="1" layoutInCell="1" locked="0" behindDoc="0" simplePos="0" relativeHeight="15905792">
            <wp:simplePos x="0" y="0"/>
            <wp:positionH relativeFrom="page">
              <wp:posOffset>2152040</wp:posOffset>
            </wp:positionH>
            <wp:positionV relativeFrom="paragraph">
              <wp:posOffset>-371325</wp:posOffset>
            </wp:positionV>
            <wp:extent cx="566928" cy="984808"/>
            <wp:effectExtent l="0" t="0" r="0" b="0"/>
            <wp:wrapNone/>
            <wp:docPr id="3460" name="Image 3460"/>
            <wp:cNvGraphicFramePr>
              <a:graphicFrameLocks/>
            </wp:cNvGraphicFramePr>
            <a:graphic>
              <a:graphicData uri="http://schemas.openxmlformats.org/drawingml/2006/picture">
                <pic:pic>
                  <pic:nvPicPr>
                    <pic:cNvPr id="3460" name="Image 3460"/>
                    <pic:cNvPicPr/>
                  </pic:nvPicPr>
                  <pic:blipFill>
                    <a:blip r:embed="rId532" cstate="print"/>
                    <a:stretch>
                      <a:fillRect/>
                    </a:stretch>
                  </pic:blipFill>
                  <pic:spPr>
                    <a:xfrm>
                      <a:off x="0" y="0"/>
                      <a:ext cx="566928" cy="984808"/>
                    </a:xfrm>
                    <a:prstGeom prst="rect">
                      <a:avLst/>
                    </a:prstGeom>
                  </pic:spPr>
                </pic:pic>
              </a:graphicData>
            </a:graphic>
          </wp:anchor>
        </w:drawing>
      </w:r>
      <w:r>
        <w:rPr>
          <w:color w:val="231F20"/>
          <w:sz w:val="18"/>
        </w:rPr>
        <w:t>Java and all Java-based trademarks and logos are trademarks or registered trademarks of Oracle and/or its affiliates.</w:t>
      </w:r>
    </w:p>
    <w:p>
      <w:pPr>
        <w:pStyle w:val="BodyText"/>
      </w:pPr>
    </w:p>
    <w:p>
      <w:pPr>
        <w:pStyle w:val="BodyText"/>
      </w:pPr>
    </w:p>
    <w:p>
      <w:pPr>
        <w:pStyle w:val="BodyText"/>
        <w:spacing w:before="258"/>
      </w:pPr>
    </w:p>
    <w:p>
      <w:pPr>
        <w:pStyle w:val="BodyText"/>
        <w:spacing w:line="213" w:lineRule="auto"/>
        <w:ind w:left="2232" w:right="545"/>
      </w:pPr>
      <w:r>
        <w:rPr>
          <w:color w:val="231F20"/>
        </w:rPr>
        <w:t>Cell Broadband Engine is a trademark of Sony Computer Entertainment, Inc. in </w:t>
      </w:r>
      <w:r>
        <w:rPr>
          <w:color w:val="231F20"/>
        </w:rPr>
        <w:t>the United States, other countries, or both and is used under license therefrom.</w:t>
      </w:r>
    </w:p>
    <w:p>
      <w:pPr>
        <w:pStyle w:val="BodyText"/>
        <w:spacing w:line="213" w:lineRule="auto" w:before="238"/>
        <w:ind w:left="2232" w:right="545"/>
      </w:pPr>
      <w:r>
        <w:rPr>
          <w:color w:val="231F20"/>
        </w:rPr>
        <w:t>Linear Tape-Open, LTO, the LTO Logo, Ultrium, and the Ultrium logo are trademarks of HP, IBM Corp. and Quantum in the U.S. and other </w:t>
      </w:r>
      <w:r>
        <w:rPr>
          <w:color w:val="231F20"/>
        </w:rPr>
        <w:t>countries.</w:t>
      </w:r>
    </w:p>
    <w:p>
      <w:pPr>
        <w:spacing w:after="0" w:line="213" w:lineRule="auto"/>
        <w:sectPr>
          <w:footerReference w:type="even" r:id="rId531"/>
          <w:pgSz w:w="12240" w:h="15840"/>
          <w:pgMar w:header="0" w:footer="736" w:top="1360" w:bottom="920" w:left="1000" w:right="1060"/>
          <w:pgNumType w:start="466"/>
        </w:sectPr>
      </w:pPr>
    </w:p>
    <w:p>
      <w:pPr>
        <w:pStyle w:val="BodyText"/>
        <w:spacing w:line="20" w:lineRule="exact"/>
        <w:ind w:left="436"/>
        <w:rPr>
          <w:sz w:val="2"/>
        </w:rPr>
      </w:pPr>
      <w:bookmarkStart w:name="_bookmark358" w:id="748"/>
      <w:bookmarkEnd w:id="748"/>
      <w:r>
        <w:rPr/>
      </w:r>
      <w:r>
        <w:rPr>
          <w:sz w:val="2"/>
        </w:rPr>
        <mc:AlternateContent>
          <mc:Choice Requires="wps">
            <w:drawing>
              <wp:inline distT="0" distB="0" distL="0" distR="0">
                <wp:extent cx="6082665" cy="25400"/>
                <wp:effectExtent l="19050" t="0" r="3810" b="3175"/>
                <wp:docPr id="3461" name="Group 3461"/>
                <wp:cNvGraphicFramePr>
                  <a:graphicFrameLocks/>
                </wp:cNvGraphicFramePr>
                <a:graphic>
                  <a:graphicData uri="http://schemas.microsoft.com/office/word/2010/wordprocessingGroup">
                    <wpg:wgp>
                      <wpg:cNvPr id="3461" name="Group 3461"/>
                      <wpg:cNvGrpSpPr/>
                      <wpg:grpSpPr>
                        <a:xfrm>
                          <a:off x="0" y="0"/>
                          <a:ext cx="6082665" cy="25400"/>
                          <a:chExt cx="6082665" cy="25400"/>
                        </a:xfrm>
                      </wpg:grpSpPr>
                      <wps:wsp>
                        <wps:cNvPr id="3462" name="Graphic 3462"/>
                        <wps:cNvSpPr/>
                        <wps:spPr>
                          <a:xfrm>
                            <a:off x="0" y="12674"/>
                            <a:ext cx="6082665" cy="1270"/>
                          </a:xfrm>
                          <a:custGeom>
                            <a:avLst/>
                            <a:gdLst/>
                            <a:ahLst/>
                            <a:cxnLst/>
                            <a:rect l="l" t="t" r="r" b="b"/>
                            <a:pathLst>
                              <a:path w="6082665" h="0">
                                <a:moveTo>
                                  <a:pt x="0" y="0"/>
                                </a:moveTo>
                                <a:lnTo>
                                  <a:pt x="6082563" y="0"/>
                                </a:lnTo>
                              </a:path>
                            </a:pathLst>
                          </a:custGeom>
                          <a:ln w="25349">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78.95pt;height:2pt;mso-position-horizontal-relative:char;mso-position-vertical-relative:line" id="docshapegroup327" coordorigin="0,0" coordsize="9579,40">
                <v:line style="position:absolute" from="0,20" to="9579,20" stroked="true" strokeweight="1.996pt" strokecolor="#231f20">
                  <v:stroke dashstyle="solid"/>
                </v:line>
              </v:group>
            </w:pict>
          </mc:Fallback>
        </mc:AlternateContent>
      </w:r>
      <w:r>
        <w:rPr>
          <w:sz w:val="2"/>
        </w:rPr>
      </w:r>
    </w:p>
    <w:p>
      <w:pPr>
        <w:pStyle w:val="BodyText"/>
        <w:spacing w:before="133"/>
      </w:pPr>
    </w:p>
    <w:p>
      <w:pPr>
        <w:spacing w:after="0"/>
        <w:sectPr>
          <w:footerReference w:type="default" r:id="rId533"/>
          <w:pgSz w:w="12240" w:h="15840"/>
          <w:pgMar w:header="0" w:footer="0" w:top="1300" w:bottom="280" w:left="1000" w:right="1060"/>
        </w:sectPr>
      </w:pPr>
    </w:p>
    <w:p>
      <w:pPr>
        <w:pStyle w:val="Heading2"/>
        <w:spacing w:before="107"/>
      </w:pPr>
      <w:bookmarkStart w:name="Index" w:id="749"/>
      <w:bookmarkEnd w:id="749"/>
      <w:r>
        <w:rPr>
          <w:b w:val="0"/>
        </w:rPr>
      </w:r>
      <w:r>
        <w:rPr>
          <w:color w:val="231F20"/>
          <w:spacing w:val="-2"/>
        </w:rPr>
        <w:t>Index</w:t>
      </w:r>
    </w:p>
    <w:p>
      <w:pPr>
        <w:pStyle w:val="Heading1"/>
        <w:spacing w:before="206"/>
        <w:ind w:left="436"/>
      </w:pPr>
      <w:bookmarkStart w:name="A" w:id="750"/>
      <w:bookmarkEnd w:id="750"/>
      <w:r>
        <w:rPr>
          <w:b w:val="0"/>
        </w:rPr>
      </w:r>
      <w:r>
        <w:rPr>
          <w:color w:val="231F20"/>
          <w:spacing w:val="-10"/>
        </w:rPr>
        <w:t>A</w:t>
      </w:r>
    </w:p>
    <w:p>
      <w:pPr>
        <w:spacing w:line="220" w:lineRule="auto" w:before="10"/>
        <w:ind w:left="436" w:right="0" w:firstLine="0"/>
        <w:jc w:val="left"/>
        <w:rPr>
          <w:sz w:val="16"/>
        </w:rPr>
      </w:pPr>
      <w:hyperlink w:history="true" w:anchor="_bookmark0">
        <w:r>
          <w:rPr>
            <w:color w:val="231F20"/>
            <w:sz w:val="16"/>
          </w:rPr>
          <w:t>about this document</w:t>
        </w:r>
        <w:r>
          <w:rPr>
            <w:color w:val="231F20"/>
            <w:spacing w:val="80"/>
            <w:sz w:val="16"/>
          </w:rPr>
          <w:t> </w:t>
        </w:r>
        <w:r>
          <w:rPr>
            <w:color w:val="231F20"/>
            <w:sz w:val="16"/>
          </w:rPr>
          <w:t>vii</w:t>
        </w:r>
      </w:hyperlink>
      <w:r>
        <w:rPr>
          <w:color w:val="231F20"/>
          <w:spacing w:val="40"/>
          <w:sz w:val="16"/>
        </w:rPr>
        <w:t> </w:t>
      </w:r>
      <w:r>
        <w:rPr>
          <w:color w:val="231F20"/>
          <w:spacing w:val="-2"/>
          <w:sz w:val="16"/>
        </w:rPr>
        <w:t>acknowledgement</w:t>
      </w:r>
    </w:p>
    <w:p>
      <w:pPr>
        <w:spacing w:line="220" w:lineRule="auto" w:before="2"/>
        <w:ind w:left="436" w:right="857" w:firstLine="239"/>
        <w:jc w:val="left"/>
        <w:rPr>
          <w:sz w:val="16"/>
        </w:rPr>
      </w:pPr>
      <w:hyperlink w:history="true" w:anchor="_bookmark44">
        <w:r>
          <w:rPr>
            <w:color w:val="231F20"/>
            <w:sz w:val="16"/>
          </w:rPr>
          <w:t>open an existing</w:t>
        </w:r>
        <w:r>
          <w:rPr>
            <w:color w:val="231F20"/>
            <w:spacing w:val="80"/>
            <w:sz w:val="16"/>
          </w:rPr>
          <w:t> </w:t>
        </w:r>
        <w:r>
          <w:rPr>
            <w:color w:val="231F20"/>
            <w:sz w:val="16"/>
          </w:rPr>
          <w:t>58</w:t>
        </w:r>
      </w:hyperlink>
      <w:r>
        <w:rPr>
          <w:color w:val="231F20"/>
          <w:spacing w:val="40"/>
          <w:sz w:val="16"/>
        </w:rPr>
        <w:t> </w:t>
      </w:r>
      <w:hyperlink w:history="true" w:anchor="_bookmark279">
        <w:r>
          <w:rPr>
            <w:color w:val="231F20"/>
            <w:sz w:val="16"/>
          </w:rPr>
          <w:t>administer users</w:t>
        </w:r>
        <w:r>
          <w:rPr>
            <w:color w:val="231F20"/>
            <w:spacing w:val="80"/>
            <w:sz w:val="16"/>
          </w:rPr>
          <w:t> </w:t>
        </w:r>
        <w:r>
          <w:rPr>
            <w:color w:val="231F20"/>
            <w:sz w:val="16"/>
          </w:rPr>
          <w:t>370</w:t>
        </w:r>
      </w:hyperlink>
      <w:r>
        <w:rPr>
          <w:color w:val="231F20"/>
          <w:spacing w:val="40"/>
          <w:sz w:val="16"/>
        </w:rPr>
        <w:t> </w:t>
      </w:r>
      <w:r>
        <w:rPr>
          <w:color w:val="231F20"/>
          <w:spacing w:val="-2"/>
          <w:sz w:val="16"/>
        </w:rPr>
        <w:t>administration</w:t>
      </w:r>
    </w:p>
    <w:p>
      <w:pPr>
        <w:spacing w:line="197" w:lineRule="exact" w:before="0"/>
        <w:ind w:left="676" w:right="0" w:firstLine="0"/>
        <w:jc w:val="left"/>
        <w:rPr>
          <w:sz w:val="16"/>
        </w:rPr>
      </w:pPr>
      <w:hyperlink w:history="true" w:anchor="_bookmark53">
        <w:r>
          <w:rPr>
            <w:color w:val="231F20"/>
            <w:sz w:val="16"/>
          </w:rPr>
          <w:t>mode</w:t>
        </w:r>
        <w:r>
          <w:rPr>
            <w:color w:val="231F20"/>
            <w:spacing w:val="37"/>
            <w:sz w:val="16"/>
          </w:rPr>
          <w:t>  </w:t>
        </w:r>
        <w:r>
          <w:rPr>
            <w:color w:val="231F20"/>
            <w:spacing w:val="-7"/>
            <w:sz w:val="16"/>
          </w:rPr>
          <w:t>67</w:t>
        </w:r>
      </w:hyperlink>
    </w:p>
    <w:p>
      <w:pPr>
        <w:spacing w:line="200" w:lineRule="exact" w:before="0"/>
        <w:ind w:left="436" w:right="0" w:firstLine="0"/>
        <w:jc w:val="left"/>
        <w:rPr>
          <w:sz w:val="16"/>
        </w:rPr>
      </w:pPr>
      <w:hyperlink w:history="true" w:anchor="_bookmark73">
        <w:r>
          <w:rPr>
            <w:color w:val="231F20"/>
            <w:sz w:val="16"/>
          </w:rPr>
          <w:t>advanced</w:t>
        </w:r>
        <w:r>
          <w:rPr>
            <w:color w:val="231F20"/>
            <w:spacing w:val="10"/>
            <w:sz w:val="16"/>
          </w:rPr>
          <w:t> </w:t>
        </w:r>
        <w:r>
          <w:rPr>
            <w:color w:val="231F20"/>
            <w:sz w:val="16"/>
          </w:rPr>
          <w:t>filter</w:t>
        </w:r>
        <w:r>
          <w:rPr>
            <w:color w:val="231F20"/>
            <w:spacing w:val="35"/>
            <w:sz w:val="16"/>
          </w:rPr>
          <w:t>  </w:t>
        </w:r>
        <w:r>
          <w:rPr>
            <w:color w:val="231F20"/>
            <w:spacing w:val="-5"/>
            <w:sz w:val="16"/>
          </w:rPr>
          <w:t>95</w:t>
        </w:r>
      </w:hyperlink>
    </w:p>
    <w:p>
      <w:pPr>
        <w:spacing w:line="220" w:lineRule="auto" w:before="5"/>
        <w:ind w:left="556" w:right="0" w:hanging="120"/>
        <w:jc w:val="left"/>
        <w:rPr>
          <w:sz w:val="16"/>
        </w:rPr>
      </w:pPr>
      <w:hyperlink w:history="true" w:anchor="_bookmark232">
        <w:r>
          <w:rPr>
            <w:color w:val="231F20"/>
            <w:sz w:val="16"/>
          </w:rPr>
          <w:t>agent not connected to the </w:t>
        </w:r>
        <w:r>
          <w:rPr>
            <w:color w:val="231F20"/>
            <w:sz w:val="16"/>
          </w:rPr>
          <w:t>monitoring</w:t>
        </w:r>
      </w:hyperlink>
      <w:r>
        <w:rPr>
          <w:color w:val="231F20"/>
          <w:spacing w:val="40"/>
          <w:sz w:val="16"/>
        </w:rPr>
        <w:t> </w:t>
      </w:r>
      <w:hyperlink w:history="true" w:anchor="_bookmark232">
        <w:r>
          <w:rPr>
            <w:color w:val="231F20"/>
            <w:sz w:val="16"/>
          </w:rPr>
          <w:t>server</w:t>
        </w:r>
        <w:r>
          <w:rPr>
            <w:color w:val="231F20"/>
            <w:spacing w:val="80"/>
            <w:sz w:val="16"/>
          </w:rPr>
          <w:t> </w:t>
        </w:r>
        <w:r>
          <w:rPr>
            <w:color w:val="231F20"/>
            <w:sz w:val="16"/>
          </w:rPr>
          <w:t>318</w:t>
        </w:r>
      </w:hyperlink>
    </w:p>
    <w:p>
      <w:pPr>
        <w:spacing w:line="220" w:lineRule="auto" w:before="2"/>
        <w:ind w:left="676" w:right="857" w:hanging="240"/>
        <w:jc w:val="left"/>
        <w:rPr>
          <w:sz w:val="16"/>
        </w:rPr>
      </w:pPr>
      <w:r>
        <w:rPr>
          <w:color w:val="231F20"/>
          <w:sz w:val="16"/>
        </w:rPr>
        <w:t>Agent</w:t>
      </w:r>
      <w:r>
        <w:rPr>
          <w:color w:val="231F20"/>
          <w:spacing w:val="-6"/>
          <w:sz w:val="16"/>
        </w:rPr>
        <w:t> </w:t>
      </w:r>
      <w:r>
        <w:rPr>
          <w:color w:val="231F20"/>
          <w:sz w:val="16"/>
        </w:rPr>
        <w:t>Operations</w:t>
      </w:r>
      <w:r>
        <w:rPr>
          <w:color w:val="231F20"/>
          <w:spacing w:val="-6"/>
          <w:sz w:val="16"/>
        </w:rPr>
        <w:t> </w:t>
      </w:r>
      <w:r>
        <w:rPr>
          <w:color w:val="231F20"/>
          <w:sz w:val="16"/>
        </w:rPr>
        <w:t>Log</w:t>
      </w:r>
      <w:r>
        <w:rPr>
          <w:color w:val="231F20"/>
          <w:spacing w:val="40"/>
          <w:sz w:val="16"/>
        </w:rPr>
        <w:t> </w:t>
      </w:r>
      <w:hyperlink w:history="true" w:anchor="_bookmark150">
        <w:r>
          <w:rPr>
            <w:color w:val="231F20"/>
            <w:sz w:val="16"/>
          </w:rPr>
          <w:t>query</w:t>
        </w:r>
        <w:r>
          <w:rPr>
            <w:color w:val="231F20"/>
            <w:spacing w:val="80"/>
            <w:sz w:val="16"/>
          </w:rPr>
          <w:t> </w:t>
        </w:r>
        <w:r>
          <w:rPr>
            <w:color w:val="231F20"/>
            <w:sz w:val="16"/>
          </w:rPr>
          <w:t>210</w:t>
        </w:r>
      </w:hyperlink>
    </w:p>
    <w:p>
      <w:pPr>
        <w:spacing w:line="220" w:lineRule="auto" w:before="2"/>
        <w:ind w:left="436" w:right="0" w:firstLine="0"/>
        <w:jc w:val="left"/>
        <w:rPr>
          <w:sz w:val="16"/>
        </w:rPr>
      </w:pPr>
      <w:hyperlink w:history="true" w:anchor="_bookmark297">
        <w:r>
          <w:rPr>
            <w:color w:val="231F20"/>
            <w:sz w:val="16"/>
          </w:rPr>
          <w:t>Agent Operations Log workspace</w:t>
        </w:r>
        <w:r>
          <w:rPr>
            <w:color w:val="231F20"/>
            <w:spacing w:val="80"/>
            <w:sz w:val="16"/>
          </w:rPr>
          <w:t> </w:t>
        </w:r>
        <w:r>
          <w:rPr>
            <w:color w:val="231F20"/>
            <w:sz w:val="16"/>
          </w:rPr>
          <w:t>389</w:t>
        </w:r>
      </w:hyperlink>
      <w:r>
        <w:rPr>
          <w:color w:val="231F20"/>
          <w:spacing w:val="40"/>
          <w:sz w:val="16"/>
        </w:rPr>
        <w:t> </w:t>
      </w:r>
      <w:hyperlink w:history="true" w:anchor="_bookmark6">
        <w:r>
          <w:rPr>
            <w:color w:val="231F20"/>
            <w:sz w:val="16"/>
          </w:rPr>
          <w:t>agents</w:t>
        </w:r>
        <w:r>
          <w:rPr>
            <w:color w:val="231F20"/>
            <w:spacing w:val="80"/>
            <w:sz w:val="16"/>
          </w:rPr>
          <w:t> </w:t>
        </w:r>
        <w:r>
          <w:rPr>
            <w:color w:val="231F20"/>
            <w:sz w:val="16"/>
          </w:rPr>
          <w:t>8</w:t>
        </w:r>
      </w:hyperlink>
    </w:p>
    <w:p>
      <w:pPr>
        <w:spacing w:line="220" w:lineRule="auto" w:before="2"/>
        <w:ind w:left="676" w:right="0" w:firstLine="0"/>
        <w:jc w:val="left"/>
        <w:rPr>
          <w:sz w:val="16"/>
        </w:rPr>
      </w:pPr>
      <w:hyperlink w:history="true" w:anchor="_bookmark307">
        <w:r>
          <w:rPr>
            <w:color w:val="231F20"/>
            <w:sz w:val="16"/>
          </w:rPr>
          <w:t>deploy depot workspace</w:t>
        </w:r>
        <w:r>
          <w:rPr>
            <w:color w:val="231F20"/>
            <w:spacing w:val="80"/>
            <w:sz w:val="16"/>
          </w:rPr>
          <w:t> </w:t>
        </w:r>
        <w:r>
          <w:rPr>
            <w:color w:val="231F20"/>
            <w:sz w:val="16"/>
          </w:rPr>
          <w:t>397</w:t>
        </w:r>
      </w:hyperlink>
      <w:r>
        <w:rPr>
          <w:color w:val="231F20"/>
          <w:spacing w:val="40"/>
          <w:sz w:val="16"/>
        </w:rPr>
        <w:t> </w:t>
      </w:r>
      <w:hyperlink w:history="true" w:anchor="_bookmark307">
        <w:r>
          <w:rPr>
            <w:color w:val="231F20"/>
            <w:sz w:val="16"/>
          </w:rPr>
          <w:t>deployment status workspace</w:t>
        </w:r>
        <w:r>
          <w:rPr>
            <w:color w:val="231F20"/>
            <w:spacing w:val="80"/>
            <w:sz w:val="16"/>
          </w:rPr>
          <w:t> </w:t>
        </w:r>
        <w:r>
          <w:rPr>
            <w:color w:val="231F20"/>
            <w:sz w:val="16"/>
          </w:rPr>
          <w:t>397,</w:t>
        </w:r>
      </w:hyperlink>
    </w:p>
    <w:p>
      <w:pPr>
        <w:spacing w:line="196" w:lineRule="exact" w:before="0"/>
        <w:ind w:left="796" w:right="0" w:firstLine="0"/>
        <w:jc w:val="left"/>
        <w:rPr>
          <w:sz w:val="16"/>
        </w:rPr>
      </w:pPr>
      <w:hyperlink w:history="true" w:anchor="_bookmark308">
        <w:r>
          <w:rPr>
            <w:color w:val="231F20"/>
            <w:sz w:val="16"/>
          </w:rPr>
          <w:t>398,</w:t>
        </w:r>
      </w:hyperlink>
      <w:r>
        <w:rPr>
          <w:color w:val="231F20"/>
          <w:spacing w:val="10"/>
          <w:sz w:val="16"/>
        </w:rPr>
        <w:t> </w:t>
      </w:r>
      <w:hyperlink w:history="true" w:anchor="_bookmark309">
        <w:r>
          <w:rPr>
            <w:color w:val="231F20"/>
            <w:sz w:val="16"/>
          </w:rPr>
          <w:t>400,</w:t>
        </w:r>
      </w:hyperlink>
      <w:r>
        <w:rPr>
          <w:color w:val="231F20"/>
          <w:spacing w:val="10"/>
          <w:sz w:val="16"/>
        </w:rPr>
        <w:t> </w:t>
      </w:r>
      <w:hyperlink w:history="true" w:anchor="_bookmark310">
        <w:r>
          <w:rPr>
            <w:color w:val="231F20"/>
            <w:spacing w:val="-5"/>
            <w:sz w:val="16"/>
          </w:rPr>
          <w:t>401</w:t>
        </w:r>
      </w:hyperlink>
    </w:p>
    <w:p>
      <w:pPr>
        <w:spacing w:line="200" w:lineRule="exact" w:before="0"/>
        <w:ind w:left="676" w:right="0" w:firstLine="0"/>
        <w:jc w:val="left"/>
        <w:rPr>
          <w:sz w:val="16"/>
        </w:rPr>
      </w:pPr>
      <w:hyperlink w:history="true" w:anchor="_bookmark306">
        <w:r>
          <w:rPr>
            <w:color w:val="231F20"/>
            <w:sz w:val="16"/>
          </w:rPr>
          <w:t>deployment</w:t>
        </w:r>
        <w:r>
          <w:rPr>
            <w:color w:val="231F20"/>
            <w:spacing w:val="8"/>
            <w:sz w:val="16"/>
          </w:rPr>
          <w:t> </w:t>
        </w:r>
        <w:r>
          <w:rPr>
            <w:color w:val="231F20"/>
            <w:sz w:val="16"/>
          </w:rPr>
          <w:t>workspaces</w:t>
        </w:r>
        <w:r>
          <w:rPr>
            <w:color w:val="231F20"/>
            <w:spacing w:val="33"/>
            <w:sz w:val="16"/>
          </w:rPr>
          <w:t>  </w:t>
        </w:r>
        <w:r>
          <w:rPr>
            <w:color w:val="231F20"/>
            <w:spacing w:val="-5"/>
            <w:sz w:val="16"/>
          </w:rPr>
          <w:t>396</w:t>
        </w:r>
      </w:hyperlink>
    </w:p>
    <w:p>
      <w:pPr>
        <w:spacing w:line="220" w:lineRule="auto" w:before="5"/>
        <w:ind w:left="436" w:right="187" w:firstLine="0"/>
        <w:jc w:val="left"/>
        <w:rPr>
          <w:sz w:val="16"/>
        </w:rPr>
      </w:pPr>
      <w:hyperlink w:history="true" w:anchor="_bookmark193">
        <w:r>
          <w:rPr>
            <w:color w:val="231F20"/>
            <w:sz w:val="16"/>
          </w:rPr>
          <w:t>all managed systems situations</w:t>
        </w:r>
        <w:r>
          <w:rPr>
            <w:color w:val="231F20"/>
            <w:spacing w:val="80"/>
            <w:sz w:val="16"/>
          </w:rPr>
          <w:t> </w:t>
        </w:r>
        <w:r>
          <w:rPr>
            <w:color w:val="231F20"/>
            <w:sz w:val="16"/>
          </w:rPr>
          <w:t>263</w:t>
        </w:r>
      </w:hyperlink>
      <w:r>
        <w:rPr>
          <w:color w:val="231F20"/>
          <w:spacing w:val="40"/>
          <w:sz w:val="16"/>
        </w:rPr>
        <w:t> </w:t>
      </w:r>
      <w:hyperlink w:history="true" w:anchor="_bookmark320">
        <w:r>
          <w:rPr>
            <w:color w:val="231F20"/>
            <w:sz w:val="16"/>
          </w:rPr>
          <w:t>AND expression</w:t>
        </w:r>
        <w:r>
          <w:rPr>
            <w:color w:val="231F20"/>
            <w:spacing w:val="80"/>
            <w:sz w:val="16"/>
          </w:rPr>
          <w:t> </w:t>
        </w:r>
        <w:r>
          <w:rPr>
            <w:color w:val="231F20"/>
            <w:sz w:val="16"/>
          </w:rPr>
          <w:t>414,</w:t>
        </w:r>
      </w:hyperlink>
      <w:r>
        <w:rPr>
          <w:color w:val="231F20"/>
          <w:sz w:val="16"/>
        </w:rPr>
        <w:t> </w:t>
      </w:r>
      <w:hyperlink w:history="true" w:anchor="_bookmark321">
        <w:r>
          <w:rPr>
            <w:color w:val="231F20"/>
            <w:sz w:val="16"/>
          </w:rPr>
          <w:t>415</w:t>
        </w:r>
      </w:hyperlink>
      <w:r>
        <w:rPr>
          <w:color w:val="231F20"/>
          <w:spacing w:val="40"/>
          <w:sz w:val="16"/>
        </w:rPr>
        <w:t> </w:t>
      </w:r>
      <w:hyperlink w:history="true" w:anchor="_bookmark20">
        <w:r>
          <w:rPr>
            <w:color w:val="231F20"/>
            <w:sz w:val="16"/>
          </w:rPr>
          <w:t>application support events</w:t>
        </w:r>
        <w:r>
          <w:rPr>
            <w:color w:val="231F20"/>
            <w:spacing w:val="80"/>
            <w:sz w:val="16"/>
          </w:rPr>
          <w:t> </w:t>
        </w:r>
        <w:r>
          <w:rPr>
            <w:color w:val="231F20"/>
            <w:sz w:val="16"/>
          </w:rPr>
          <w:t>30</w:t>
        </w:r>
      </w:hyperlink>
      <w:r>
        <w:rPr>
          <w:color w:val="231F20"/>
          <w:spacing w:val="40"/>
          <w:sz w:val="16"/>
        </w:rPr>
        <w:t> </w:t>
      </w:r>
      <w:hyperlink w:history="true" w:anchor="_bookmark2">
        <w:r>
          <w:rPr>
            <w:color w:val="231F20"/>
            <w:sz w:val="16"/>
          </w:rPr>
          <w:t>architecture</w:t>
        </w:r>
        <w:r>
          <w:rPr>
            <w:color w:val="231F20"/>
            <w:spacing w:val="80"/>
            <w:sz w:val="16"/>
          </w:rPr>
          <w:t> </w:t>
        </w:r>
        <w:r>
          <w:rPr>
            <w:color w:val="231F20"/>
            <w:sz w:val="16"/>
          </w:rPr>
          <w:t>2</w:t>
        </w:r>
      </w:hyperlink>
    </w:p>
    <w:p>
      <w:pPr>
        <w:spacing w:line="198" w:lineRule="exact" w:before="0"/>
        <w:ind w:left="436" w:right="0" w:firstLine="0"/>
        <w:jc w:val="left"/>
        <w:rPr>
          <w:sz w:val="16"/>
        </w:rPr>
      </w:pPr>
      <w:hyperlink w:history="true" w:anchor="_bookmark83">
        <w:r>
          <w:rPr>
            <w:color w:val="231F20"/>
            <w:sz w:val="16"/>
          </w:rPr>
          <w:t>area</w:t>
        </w:r>
        <w:r>
          <w:rPr>
            <w:color w:val="231F20"/>
            <w:spacing w:val="10"/>
            <w:sz w:val="16"/>
          </w:rPr>
          <w:t> </w:t>
        </w:r>
        <w:r>
          <w:rPr>
            <w:color w:val="231F20"/>
            <w:sz w:val="16"/>
          </w:rPr>
          <w:t>chart</w:t>
        </w:r>
        <w:r>
          <w:rPr>
            <w:color w:val="231F20"/>
            <w:spacing w:val="36"/>
            <w:sz w:val="16"/>
          </w:rPr>
          <w:t>  </w:t>
        </w:r>
        <w:r>
          <w:rPr>
            <w:color w:val="231F20"/>
            <w:spacing w:val="-5"/>
            <w:sz w:val="16"/>
          </w:rPr>
          <w:t>110</w:t>
        </w:r>
      </w:hyperlink>
    </w:p>
    <w:p>
      <w:pPr>
        <w:spacing w:line="200" w:lineRule="exact" w:before="0"/>
        <w:ind w:left="676" w:right="0" w:firstLine="0"/>
        <w:jc w:val="left"/>
        <w:rPr>
          <w:sz w:val="16"/>
        </w:rPr>
      </w:pPr>
      <w:hyperlink w:history="true" w:anchor="_bookmark86">
        <w:r>
          <w:rPr>
            <w:color w:val="231F20"/>
            <w:sz w:val="16"/>
          </w:rPr>
          <w:t>plot</w:t>
        </w:r>
        <w:r>
          <w:rPr>
            <w:color w:val="231F20"/>
            <w:spacing w:val="10"/>
            <w:sz w:val="16"/>
          </w:rPr>
          <w:t> </w:t>
        </w:r>
        <w:r>
          <w:rPr>
            <w:color w:val="231F20"/>
            <w:sz w:val="16"/>
          </w:rPr>
          <w:t>area</w:t>
        </w:r>
        <w:r>
          <w:rPr>
            <w:color w:val="231F20"/>
            <w:spacing w:val="36"/>
            <w:sz w:val="16"/>
          </w:rPr>
          <w:t>  </w:t>
        </w:r>
        <w:r>
          <w:rPr>
            <w:color w:val="231F20"/>
            <w:spacing w:val="-5"/>
            <w:sz w:val="16"/>
          </w:rPr>
          <w:t>115</w:t>
        </w:r>
      </w:hyperlink>
    </w:p>
    <w:p>
      <w:pPr>
        <w:spacing w:line="200" w:lineRule="exact" w:before="0"/>
        <w:ind w:left="676" w:right="0" w:firstLine="0"/>
        <w:jc w:val="left"/>
        <w:rPr>
          <w:sz w:val="16"/>
        </w:rPr>
      </w:pPr>
      <w:hyperlink w:history="true" w:anchor="_bookmark88">
        <w:r>
          <w:rPr>
            <w:color w:val="231F20"/>
            <w:sz w:val="16"/>
          </w:rPr>
          <w:t>thresholds</w:t>
        </w:r>
        <w:r>
          <w:rPr>
            <w:color w:val="231F20"/>
            <w:spacing w:val="34"/>
            <w:sz w:val="16"/>
          </w:rPr>
          <w:t>  </w:t>
        </w:r>
        <w:r>
          <w:rPr>
            <w:color w:val="231F20"/>
            <w:spacing w:val="-5"/>
            <w:sz w:val="16"/>
          </w:rPr>
          <w:t>117</w:t>
        </w:r>
      </w:hyperlink>
    </w:p>
    <w:p>
      <w:pPr>
        <w:spacing w:line="220" w:lineRule="auto" w:before="6"/>
        <w:ind w:left="436" w:right="187" w:firstLine="239"/>
        <w:jc w:val="left"/>
        <w:rPr>
          <w:sz w:val="16"/>
        </w:rPr>
      </w:pPr>
      <w:hyperlink w:history="true" w:anchor="_bookmark93">
        <w:r>
          <w:rPr>
            <w:color w:val="231F20"/>
            <w:sz w:val="16"/>
          </w:rPr>
          <w:t>value and category axes</w:t>
        </w:r>
        <w:r>
          <w:rPr>
            <w:color w:val="231F20"/>
            <w:spacing w:val="80"/>
            <w:sz w:val="16"/>
          </w:rPr>
          <w:t> </w:t>
        </w:r>
        <w:r>
          <w:rPr>
            <w:color w:val="231F20"/>
            <w:sz w:val="16"/>
          </w:rPr>
          <w:t>123</w:t>
        </w:r>
      </w:hyperlink>
      <w:r>
        <w:rPr>
          <w:color w:val="231F20"/>
          <w:spacing w:val="40"/>
          <w:sz w:val="16"/>
        </w:rPr>
        <w:t> </w:t>
      </w:r>
      <w:r>
        <w:rPr>
          <w:color w:val="231F20"/>
          <w:sz w:val="16"/>
        </w:rPr>
        <w:t>ASCII and non-ASCII</w:t>
      </w:r>
    </w:p>
    <w:p>
      <w:pPr>
        <w:spacing w:line="220" w:lineRule="auto" w:before="2"/>
        <w:ind w:left="676" w:right="137" w:firstLine="0"/>
        <w:jc w:val="left"/>
        <w:rPr>
          <w:sz w:val="16"/>
        </w:rPr>
      </w:pPr>
      <w:hyperlink w:history="true" w:anchor="_bookmark112">
        <w:r>
          <w:rPr>
            <w:color w:val="231F20"/>
            <w:sz w:val="16"/>
          </w:rPr>
          <w:t>graphic view icon file names</w:t>
        </w:r>
        <w:r>
          <w:rPr>
            <w:color w:val="231F20"/>
            <w:spacing w:val="80"/>
            <w:sz w:val="16"/>
          </w:rPr>
          <w:t> </w:t>
        </w:r>
        <w:r>
          <w:rPr>
            <w:color w:val="231F20"/>
            <w:sz w:val="16"/>
          </w:rPr>
          <w:t>148</w:t>
        </w:r>
      </w:hyperlink>
      <w:r>
        <w:rPr>
          <w:color w:val="231F20"/>
          <w:spacing w:val="40"/>
          <w:sz w:val="16"/>
        </w:rPr>
        <w:t> </w:t>
      </w:r>
      <w:hyperlink w:history="true" w:anchor="_bookmark321">
        <w:r>
          <w:rPr>
            <w:color w:val="231F20"/>
            <w:sz w:val="16"/>
          </w:rPr>
          <w:t>paste into formula editor</w:t>
        </w:r>
        <w:r>
          <w:rPr>
            <w:color w:val="231F20"/>
            <w:spacing w:val="80"/>
            <w:sz w:val="16"/>
          </w:rPr>
          <w:t> </w:t>
        </w:r>
        <w:r>
          <w:rPr>
            <w:color w:val="231F20"/>
            <w:sz w:val="16"/>
          </w:rPr>
          <w:t>415</w:t>
        </w:r>
      </w:hyperlink>
      <w:r>
        <w:rPr>
          <w:color w:val="231F20"/>
          <w:spacing w:val="40"/>
          <w:sz w:val="16"/>
        </w:rPr>
        <w:t> </w:t>
      </w:r>
      <w:hyperlink w:history="true" w:anchor="_bookmark77">
        <w:r>
          <w:rPr>
            <w:color w:val="231F20"/>
            <w:sz w:val="16"/>
          </w:rPr>
          <w:t>threshold icon file names</w:t>
        </w:r>
        <w:r>
          <w:rPr>
            <w:color w:val="231F20"/>
            <w:spacing w:val="80"/>
            <w:sz w:val="16"/>
          </w:rPr>
          <w:t> </w:t>
        </w:r>
        <w:r>
          <w:rPr>
            <w:color w:val="231F20"/>
            <w:sz w:val="16"/>
          </w:rPr>
          <w:t>100</w:t>
        </w:r>
      </w:hyperlink>
      <w:r>
        <w:rPr>
          <w:color w:val="231F20"/>
          <w:spacing w:val="40"/>
          <w:sz w:val="16"/>
        </w:rPr>
        <w:t> </w:t>
      </w:r>
      <w:hyperlink w:history="true" w:anchor="_bookmark275">
        <w:r>
          <w:rPr>
            <w:color w:val="231F20"/>
            <w:sz w:val="16"/>
          </w:rPr>
          <w:t>user ID</w:t>
        </w:r>
        <w:r>
          <w:rPr>
            <w:color w:val="231F20"/>
            <w:spacing w:val="80"/>
            <w:sz w:val="16"/>
          </w:rPr>
          <w:t> </w:t>
        </w:r>
        <w:r>
          <w:rPr>
            <w:color w:val="231F20"/>
            <w:sz w:val="16"/>
          </w:rPr>
          <w:t>366</w:t>
        </w:r>
      </w:hyperlink>
    </w:p>
    <w:p>
      <w:pPr>
        <w:spacing w:line="220" w:lineRule="auto" w:before="4"/>
        <w:ind w:left="436" w:right="857" w:firstLine="0"/>
        <w:jc w:val="left"/>
        <w:rPr>
          <w:sz w:val="16"/>
        </w:rPr>
      </w:pPr>
      <w:hyperlink w:history="true" w:anchor="_bookmark209">
        <w:r>
          <w:rPr>
            <w:color w:val="231F20"/>
            <w:sz w:val="16"/>
          </w:rPr>
          <w:t>associate a situation</w:t>
        </w:r>
        <w:r>
          <w:rPr>
            <w:color w:val="231F20"/>
            <w:spacing w:val="80"/>
            <w:sz w:val="16"/>
          </w:rPr>
          <w:t> </w:t>
        </w:r>
        <w:r>
          <w:rPr>
            <w:color w:val="231F20"/>
            <w:sz w:val="16"/>
          </w:rPr>
          <w:t>283</w:t>
        </w:r>
      </w:hyperlink>
      <w:r>
        <w:rPr>
          <w:color w:val="231F20"/>
          <w:spacing w:val="40"/>
          <w:sz w:val="16"/>
        </w:rPr>
        <w:t> </w:t>
      </w:r>
      <w:hyperlink w:history="true" w:anchor="_bookmark183">
        <w:r>
          <w:rPr>
            <w:color w:val="231F20"/>
            <w:sz w:val="16"/>
          </w:rPr>
          <w:t>associate situations</w:t>
        </w:r>
        <w:r>
          <w:rPr>
            <w:color w:val="231F20"/>
            <w:spacing w:val="80"/>
            <w:sz w:val="16"/>
          </w:rPr>
          <w:t> </w:t>
        </w:r>
        <w:r>
          <w:rPr>
            <w:color w:val="231F20"/>
            <w:sz w:val="16"/>
          </w:rPr>
          <w:t>251</w:t>
        </w:r>
      </w:hyperlink>
      <w:r>
        <w:rPr>
          <w:color w:val="231F20"/>
          <w:spacing w:val="40"/>
          <w:sz w:val="16"/>
        </w:rPr>
        <w:t> </w:t>
      </w:r>
      <w:r>
        <w:rPr>
          <w:color w:val="231F20"/>
          <w:sz w:val="16"/>
        </w:rPr>
        <w:t>attribute groups</w:t>
      </w:r>
    </w:p>
    <w:p>
      <w:pPr>
        <w:spacing w:line="197" w:lineRule="exact" w:before="0"/>
        <w:ind w:left="676" w:right="0" w:firstLine="0"/>
        <w:jc w:val="left"/>
        <w:rPr>
          <w:sz w:val="16"/>
        </w:rPr>
      </w:pPr>
      <w:hyperlink w:history="true" w:anchor="_bookmark319">
        <w:r>
          <w:rPr>
            <w:color w:val="231F20"/>
            <w:sz w:val="16"/>
          </w:rPr>
          <w:t>pure</w:t>
        </w:r>
        <w:r>
          <w:rPr>
            <w:color w:val="231F20"/>
            <w:spacing w:val="10"/>
            <w:sz w:val="16"/>
          </w:rPr>
          <w:t> </w:t>
        </w:r>
        <w:r>
          <w:rPr>
            <w:color w:val="231F20"/>
            <w:sz w:val="16"/>
          </w:rPr>
          <w:t>or</w:t>
        </w:r>
        <w:r>
          <w:rPr>
            <w:color w:val="231F20"/>
            <w:spacing w:val="10"/>
            <w:sz w:val="16"/>
          </w:rPr>
          <w:t> </w:t>
        </w:r>
        <w:r>
          <w:rPr>
            <w:color w:val="231F20"/>
            <w:sz w:val="16"/>
          </w:rPr>
          <w:t>sampled</w:t>
        </w:r>
        <w:r>
          <w:rPr>
            <w:color w:val="231F20"/>
            <w:spacing w:val="35"/>
            <w:sz w:val="16"/>
          </w:rPr>
          <w:t>  </w:t>
        </w:r>
        <w:r>
          <w:rPr>
            <w:color w:val="231F20"/>
            <w:spacing w:val="-5"/>
            <w:sz w:val="16"/>
          </w:rPr>
          <w:t>413</w:t>
        </w:r>
      </w:hyperlink>
    </w:p>
    <w:p>
      <w:pPr>
        <w:spacing w:line="220" w:lineRule="auto" w:before="5"/>
        <w:ind w:left="436" w:right="0" w:firstLine="239"/>
        <w:jc w:val="left"/>
        <w:rPr>
          <w:sz w:val="16"/>
        </w:rPr>
      </w:pPr>
      <w:hyperlink w:history="true" w:anchor="_bookmark319">
        <w:r>
          <w:rPr>
            <w:color w:val="231F20"/>
            <w:sz w:val="16"/>
          </w:rPr>
          <w:t>single-row or multiple-row</w:t>
        </w:r>
        <w:r>
          <w:rPr>
            <w:color w:val="231F20"/>
            <w:spacing w:val="80"/>
            <w:sz w:val="16"/>
          </w:rPr>
          <w:t> </w:t>
        </w:r>
        <w:r>
          <w:rPr>
            <w:color w:val="231F20"/>
            <w:sz w:val="16"/>
          </w:rPr>
          <w:t>413</w:t>
        </w:r>
      </w:hyperlink>
      <w:r>
        <w:rPr>
          <w:color w:val="231F20"/>
          <w:spacing w:val="40"/>
          <w:sz w:val="16"/>
        </w:rPr>
        <w:t> </w:t>
      </w:r>
      <w:hyperlink w:history="true" w:anchor="_bookmark335">
        <w:r>
          <w:rPr>
            <w:color w:val="231F20"/>
            <w:sz w:val="16"/>
          </w:rPr>
          <w:t>attributes</w:t>
        </w:r>
        <w:r>
          <w:rPr>
            <w:color w:val="231F20"/>
            <w:spacing w:val="80"/>
            <w:sz w:val="16"/>
          </w:rPr>
          <w:t> </w:t>
        </w:r>
        <w:r>
          <w:rPr>
            <w:color w:val="231F20"/>
            <w:sz w:val="16"/>
          </w:rPr>
          <w:t>427</w:t>
        </w:r>
      </w:hyperlink>
    </w:p>
    <w:p>
      <w:pPr>
        <w:spacing w:line="196" w:lineRule="exact" w:before="0"/>
        <w:ind w:left="436" w:right="0" w:firstLine="0"/>
        <w:jc w:val="left"/>
        <w:rPr>
          <w:sz w:val="16"/>
        </w:rPr>
      </w:pPr>
      <w:hyperlink w:history="true" w:anchor="_bookmark199">
        <w:r>
          <w:rPr>
            <w:color w:val="231F20"/>
            <w:sz w:val="16"/>
          </w:rPr>
          <w:t>audio</w:t>
        </w:r>
        <w:r>
          <w:rPr>
            <w:color w:val="231F20"/>
            <w:spacing w:val="11"/>
            <w:sz w:val="16"/>
          </w:rPr>
          <w:t> </w:t>
        </w:r>
        <w:r>
          <w:rPr>
            <w:color w:val="231F20"/>
            <w:sz w:val="16"/>
          </w:rPr>
          <w:t>files</w:t>
        </w:r>
        <w:r>
          <w:rPr>
            <w:color w:val="231F20"/>
            <w:spacing w:val="37"/>
            <w:sz w:val="16"/>
          </w:rPr>
          <w:t>  </w:t>
        </w:r>
        <w:r>
          <w:rPr>
            <w:color w:val="231F20"/>
            <w:spacing w:val="-5"/>
            <w:sz w:val="16"/>
          </w:rPr>
          <w:t>269</w:t>
        </w:r>
      </w:hyperlink>
    </w:p>
    <w:p>
      <w:pPr>
        <w:spacing w:line="220" w:lineRule="auto" w:before="5"/>
        <w:ind w:left="436" w:right="857" w:firstLine="0"/>
        <w:jc w:val="left"/>
        <w:rPr>
          <w:sz w:val="16"/>
        </w:rPr>
      </w:pPr>
      <w:hyperlink w:history="true" w:anchor="_bookmark299">
        <w:r>
          <w:rPr>
            <w:color w:val="231F20"/>
            <w:sz w:val="16"/>
          </w:rPr>
          <w:t>Audit Log workspace</w:t>
        </w:r>
        <w:r>
          <w:rPr>
            <w:color w:val="231F20"/>
            <w:spacing w:val="80"/>
            <w:sz w:val="16"/>
          </w:rPr>
          <w:t> </w:t>
        </w:r>
        <w:r>
          <w:rPr>
            <w:color w:val="231F20"/>
            <w:sz w:val="16"/>
          </w:rPr>
          <w:t>390</w:t>
        </w:r>
      </w:hyperlink>
      <w:r>
        <w:rPr>
          <w:color w:val="231F20"/>
          <w:spacing w:val="40"/>
          <w:sz w:val="16"/>
        </w:rPr>
        <w:t> </w:t>
      </w:r>
      <w:r>
        <w:rPr>
          <w:color w:val="231F20"/>
          <w:spacing w:val="-2"/>
          <w:sz w:val="16"/>
        </w:rPr>
        <w:t>automation</w:t>
      </w:r>
    </w:p>
    <w:p>
      <w:pPr>
        <w:spacing w:line="220" w:lineRule="auto" w:before="2"/>
        <w:ind w:left="436" w:right="1101" w:firstLine="239"/>
        <w:jc w:val="left"/>
        <w:rPr>
          <w:sz w:val="16"/>
        </w:rPr>
      </w:pPr>
      <w:hyperlink w:history="true" w:anchor="_bookmark236">
        <w:r>
          <w:rPr>
            <w:color w:val="231F20"/>
            <w:sz w:val="16"/>
          </w:rPr>
          <w:t>policies</w:t>
        </w:r>
        <w:r>
          <w:rPr>
            <w:color w:val="231F20"/>
            <w:spacing w:val="80"/>
            <w:sz w:val="16"/>
          </w:rPr>
          <w:t> </w:t>
        </w:r>
        <w:r>
          <w:rPr>
            <w:color w:val="231F20"/>
            <w:sz w:val="16"/>
          </w:rPr>
          <w:t>323</w:t>
        </w:r>
      </w:hyperlink>
      <w:r>
        <w:rPr>
          <w:color w:val="231F20"/>
          <w:spacing w:val="40"/>
          <w:sz w:val="16"/>
        </w:rPr>
        <w:t> </w:t>
      </w:r>
      <w:hyperlink w:history="true" w:anchor="_bookmark333">
        <w:r>
          <w:rPr>
            <w:color w:val="231F20"/>
            <w:sz w:val="16"/>
          </w:rPr>
          <w:t>Average of group</w:t>
        </w:r>
        <w:r>
          <w:rPr>
            <w:color w:val="231F20"/>
            <w:spacing w:val="80"/>
            <w:sz w:val="16"/>
          </w:rPr>
          <w:t> </w:t>
        </w:r>
        <w:r>
          <w:rPr>
            <w:color w:val="231F20"/>
            <w:sz w:val="16"/>
          </w:rPr>
          <w:t>424</w:t>
        </w:r>
      </w:hyperlink>
    </w:p>
    <w:p>
      <w:pPr>
        <w:spacing w:line="204" w:lineRule="exact" w:before="0"/>
        <w:ind w:left="436" w:right="0" w:firstLine="0"/>
        <w:jc w:val="left"/>
        <w:rPr>
          <w:sz w:val="16"/>
        </w:rPr>
      </w:pPr>
      <w:hyperlink w:history="true" w:anchor="_bookmark333">
        <w:r>
          <w:rPr>
            <w:color w:val="231F20"/>
            <w:sz w:val="16"/>
          </w:rPr>
          <w:t>AVG</w:t>
        </w:r>
        <w:r>
          <w:rPr>
            <w:color w:val="231F20"/>
            <w:spacing w:val="6"/>
            <w:sz w:val="16"/>
          </w:rPr>
          <w:t> </w:t>
        </w:r>
        <w:r>
          <w:rPr>
            <w:color w:val="231F20"/>
            <w:sz w:val="16"/>
          </w:rPr>
          <w:t>formula</w:t>
        </w:r>
        <w:r>
          <w:rPr>
            <w:color w:val="231F20"/>
            <w:spacing w:val="6"/>
            <w:sz w:val="16"/>
          </w:rPr>
          <w:t> </w:t>
        </w:r>
        <w:r>
          <w:rPr>
            <w:color w:val="231F20"/>
            <w:sz w:val="16"/>
          </w:rPr>
          <w:t>function</w:t>
        </w:r>
        <w:r>
          <w:rPr>
            <w:color w:val="231F20"/>
            <w:spacing w:val="79"/>
            <w:w w:val="150"/>
            <w:sz w:val="16"/>
          </w:rPr>
          <w:t> </w:t>
        </w:r>
        <w:r>
          <w:rPr>
            <w:color w:val="231F20"/>
            <w:spacing w:val="-5"/>
            <w:sz w:val="16"/>
          </w:rPr>
          <w:t>424</w:t>
        </w:r>
      </w:hyperlink>
    </w:p>
    <w:p>
      <w:pPr>
        <w:pStyle w:val="BodyText"/>
        <w:spacing w:before="104"/>
        <w:rPr>
          <w:sz w:val="16"/>
        </w:rPr>
      </w:pPr>
    </w:p>
    <w:p>
      <w:pPr>
        <w:pStyle w:val="Heading1"/>
        <w:spacing w:before="1"/>
        <w:ind w:left="436"/>
      </w:pPr>
      <w:bookmarkStart w:name="B" w:id="751"/>
      <w:bookmarkEnd w:id="751"/>
      <w:r>
        <w:rPr>
          <w:b w:val="0"/>
        </w:rPr>
      </w:r>
      <w:r>
        <w:rPr>
          <w:color w:val="231F20"/>
          <w:spacing w:val="-10"/>
        </w:rPr>
        <w:t>B</w:t>
      </w:r>
    </w:p>
    <w:p>
      <w:pPr>
        <w:spacing w:line="205" w:lineRule="exact" w:before="0"/>
        <w:ind w:left="436" w:right="0" w:firstLine="0"/>
        <w:jc w:val="left"/>
        <w:rPr>
          <w:sz w:val="16"/>
        </w:rPr>
      </w:pPr>
      <w:hyperlink w:history="true" w:anchor="_bookmark236">
        <w:r>
          <w:rPr>
            <w:color w:val="231F20"/>
            <w:sz w:val="16"/>
          </w:rPr>
          <w:t>background</w:t>
        </w:r>
        <w:r>
          <w:rPr>
            <w:color w:val="231F20"/>
            <w:spacing w:val="8"/>
            <w:sz w:val="16"/>
          </w:rPr>
          <w:t> </w:t>
        </w:r>
        <w:r>
          <w:rPr>
            <w:color w:val="231F20"/>
            <w:sz w:val="16"/>
          </w:rPr>
          <w:t>information</w:t>
        </w:r>
        <w:r>
          <w:rPr>
            <w:color w:val="231F20"/>
            <w:spacing w:val="32"/>
            <w:sz w:val="16"/>
          </w:rPr>
          <w:t>  </w:t>
        </w:r>
        <w:r>
          <w:rPr>
            <w:color w:val="231F20"/>
            <w:spacing w:val="-5"/>
            <w:sz w:val="16"/>
          </w:rPr>
          <w:t>323</w:t>
        </w:r>
      </w:hyperlink>
    </w:p>
    <w:p>
      <w:pPr>
        <w:spacing w:line="200" w:lineRule="exact" w:before="0"/>
        <w:ind w:left="436" w:right="0" w:firstLine="0"/>
        <w:jc w:val="left"/>
        <w:rPr>
          <w:sz w:val="16"/>
        </w:rPr>
      </w:pPr>
      <w:hyperlink w:history="true" w:anchor="_bookmark81">
        <w:r>
          <w:rPr>
            <w:color w:val="231F20"/>
            <w:sz w:val="16"/>
          </w:rPr>
          <w:t>bar</w:t>
        </w:r>
        <w:r>
          <w:rPr>
            <w:color w:val="231F20"/>
            <w:spacing w:val="11"/>
            <w:sz w:val="16"/>
          </w:rPr>
          <w:t> </w:t>
        </w:r>
        <w:r>
          <w:rPr>
            <w:color w:val="231F20"/>
            <w:sz w:val="16"/>
          </w:rPr>
          <w:t>chart</w:t>
        </w:r>
        <w:r>
          <w:rPr>
            <w:color w:val="231F20"/>
            <w:spacing w:val="37"/>
            <w:sz w:val="16"/>
          </w:rPr>
          <w:t>  </w:t>
        </w:r>
        <w:r>
          <w:rPr>
            <w:color w:val="231F20"/>
            <w:spacing w:val="-5"/>
            <w:sz w:val="16"/>
          </w:rPr>
          <w:t>107</w:t>
        </w:r>
      </w:hyperlink>
    </w:p>
    <w:p>
      <w:pPr>
        <w:spacing w:line="200" w:lineRule="exact" w:before="0"/>
        <w:ind w:left="676" w:right="0" w:firstLine="0"/>
        <w:jc w:val="left"/>
        <w:rPr>
          <w:sz w:val="16"/>
        </w:rPr>
      </w:pPr>
      <w:hyperlink w:history="true" w:anchor="_bookmark91">
        <w:r>
          <w:rPr>
            <w:color w:val="231F20"/>
            <w:sz w:val="16"/>
          </w:rPr>
          <w:t>overlay</w:t>
        </w:r>
        <w:r>
          <w:rPr>
            <w:color w:val="231F20"/>
            <w:spacing w:val="36"/>
            <w:sz w:val="16"/>
          </w:rPr>
          <w:t>  </w:t>
        </w:r>
        <w:r>
          <w:rPr>
            <w:color w:val="231F20"/>
            <w:spacing w:val="-5"/>
            <w:sz w:val="16"/>
          </w:rPr>
          <w:t>120</w:t>
        </w:r>
      </w:hyperlink>
    </w:p>
    <w:p>
      <w:pPr>
        <w:spacing w:line="200" w:lineRule="exact" w:before="0"/>
        <w:ind w:left="676" w:right="0" w:firstLine="0"/>
        <w:jc w:val="left"/>
        <w:rPr>
          <w:sz w:val="16"/>
        </w:rPr>
      </w:pPr>
      <w:hyperlink w:history="true" w:anchor="_bookmark86">
        <w:r>
          <w:rPr>
            <w:color w:val="231F20"/>
            <w:sz w:val="16"/>
          </w:rPr>
          <w:t>plot</w:t>
        </w:r>
        <w:r>
          <w:rPr>
            <w:color w:val="231F20"/>
            <w:spacing w:val="10"/>
            <w:sz w:val="16"/>
          </w:rPr>
          <w:t> </w:t>
        </w:r>
        <w:r>
          <w:rPr>
            <w:color w:val="231F20"/>
            <w:sz w:val="16"/>
          </w:rPr>
          <w:t>area</w:t>
        </w:r>
        <w:r>
          <w:rPr>
            <w:color w:val="231F20"/>
            <w:spacing w:val="36"/>
            <w:sz w:val="16"/>
          </w:rPr>
          <w:t>  </w:t>
        </w:r>
        <w:r>
          <w:rPr>
            <w:color w:val="231F20"/>
            <w:spacing w:val="-5"/>
            <w:sz w:val="16"/>
          </w:rPr>
          <w:t>115</w:t>
        </w:r>
      </w:hyperlink>
    </w:p>
    <w:p>
      <w:pPr>
        <w:spacing w:line="200" w:lineRule="exact" w:before="0"/>
        <w:ind w:left="676" w:right="0" w:firstLine="0"/>
        <w:jc w:val="left"/>
        <w:rPr>
          <w:sz w:val="16"/>
        </w:rPr>
      </w:pPr>
      <w:hyperlink w:history="true" w:anchor="_bookmark88">
        <w:r>
          <w:rPr>
            <w:color w:val="231F20"/>
            <w:sz w:val="16"/>
          </w:rPr>
          <w:t>thresholds</w:t>
        </w:r>
        <w:r>
          <w:rPr>
            <w:color w:val="231F20"/>
            <w:spacing w:val="34"/>
            <w:sz w:val="16"/>
          </w:rPr>
          <w:t>  </w:t>
        </w:r>
        <w:r>
          <w:rPr>
            <w:color w:val="231F20"/>
            <w:spacing w:val="-5"/>
            <w:sz w:val="16"/>
          </w:rPr>
          <w:t>117</w:t>
        </w:r>
      </w:hyperlink>
    </w:p>
    <w:p>
      <w:pPr>
        <w:spacing w:line="220" w:lineRule="auto" w:before="5"/>
        <w:ind w:left="436" w:right="0" w:firstLine="239"/>
        <w:jc w:val="left"/>
        <w:rPr>
          <w:sz w:val="16"/>
        </w:rPr>
      </w:pPr>
      <w:hyperlink w:history="true" w:anchor="_bookmark93">
        <w:r>
          <w:rPr>
            <w:color w:val="231F20"/>
            <w:sz w:val="16"/>
          </w:rPr>
          <w:t>value and category axes</w:t>
        </w:r>
        <w:r>
          <w:rPr>
            <w:color w:val="231F20"/>
            <w:spacing w:val="80"/>
            <w:sz w:val="16"/>
          </w:rPr>
          <w:t> </w:t>
        </w:r>
        <w:r>
          <w:rPr>
            <w:color w:val="231F20"/>
            <w:sz w:val="16"/>
          </w:rPr>
          <w:t>123</w:t>
        </w:r>
      </w:hyperlink>
      <w:r>
        <w:rPr>
          <w:color w:val="231F20"/>
          <w:spacing w:val="40"/>
          <w:sz w:val="16"/>
        </w:rPr>
        <w:t> </w:t>
      </w:r>
      <w:r>
        <w:rPr>
          <w:color w:val="231F20"/>
          <w:spacing w:val="-2"/>
          <w:sz w:val="16"/>
        </w:rPr>
        <w:t>baselines</w:t>
      </w:r>
    </w:p>
    <w:p>
      <w:pPr>
        <w:spacing w:line="196" w:lineRule="exact" w:before="0"/>
        <w:ind w:left="676" w:right="0" w:firstLine="0"/>
        <w:jc w:val="left"/>
        <w:rPr>
          <w:sz w:val="16"/>
        </w:rPr>
      </w:pPr>
      <w:hyperlink w:history="true" w:anchor="_bookmark98">
        <w:r>
          <w:rPr>
            <w:color w:val="231F20"/>
            <w:sz w:val="16"/>
          </w:rPr>
          <w:t>add</w:t>
        </w:r>
        <w:r>
          <w:rPr>
            <w:color w:val="231F20"/>
            <w:spacing w:val="10"/>
            <w:sz w:val="16"/>
          </w:rPr>
          <w:t> </w:t>
        </w:r>
        <w:r>
          <w:rPr>
            <w:color w:val="231F20"/>
            <w:sz w:val="16"/>
          </w:rPr>
          <w:t>historical</w:t>
        </w:r>
        <w:r>
          <w:rPr>
            <w:color w:val="231F20"/>
            <w:spacing w:val="36"/>
            <w:sz w:val="16"/>
          </w:rPr>
          <w:t>  </w:t>
        </w:r>
        <w:r>
          <w:rPr>
            <w:color w:val="231F20"/>
            <w:spacing w:val="-5"/>
            <w:sz w:val="16"/>
          </w:rPr>
          <w:t>130</w:t>
        </w:r>
      </w:hyperlink>
    </w:p>
    <w:p>
      <w:pPr>
        <w:spacing w:line="200" w:lineRule="exact" w:before="0"/>
        <w:ind w:left="676" w:right="0" w:firstLine="0"/>
        <w:jc w:val="left"/>
        <w:rPr>
          <w:sz w:val="16"/>
        </w:rPr>
      </w:pPr>
      <w:hyperlink w:history="true" w:anchor="_bookmark95">
        <w:r>
          <w:rPr>
            <w:color w:val="231F20"/>
            <w:sz w:val="16"/>
          </w:rPr>
          <w:t>add</w:t>
        </w:r>
        <w:r>
          <w:rPr>
            <w:color w:val="231F20"/>
            <w:spacing w:val="9"/>
            <w:sz w:val="16"/>
          </w:rPr>
          <w:t> </w:t>
        </w:r>
        <w:r>
          <w:rPr>
            <w:color w:val="231F20"/>
            <w:sz w:val="16"/>
          </w:rPr>
          <w:t>monitored</w:t>
        </w:r>
        <w:r>
          <w:rPr>
            <w:color w:val="231F20"/>
            <w:spacing w:val="34"/>
            <w:sz w:val="16"/>
          </w:rPr>
          <w:t>  </w:t>
        </w:r>
        <w:r>
          <w:rPr>
            <w:color w:val="231F20"/>
            <w:spacing w:val="-5"/>
            <w:sz w:val="16"/>
          </w:rPr>
          <w:t>124</w:t>
        </w:r>
      </w:hyperlink>
    </w:p>
    <w:p>
      <w:pPr>
        <w:spacing w:line="220" w:lineRule="auto" w:before="5"/>
        <w:ind w:left="676" w:right="0" w:firstLine="0"/>
        <w:jc w:val="left"/>
        <w:rPr>
          <w:sz w:val="16"/>
        </w:rPr>
      </w:pPr>
      <w:hyperlink w:history="true" w:anchor="_bookmark97">
        <w:r>
          <w:rPr>
            <w:color w:val="231F20"/>
            <w:sz w:val="16"/>
          </w:rPr>
          <w:t>add statistics to a chart view</w:t>
        </w:r>
        <w:r>
          <w:rPr>
            <w:color w:val="231F20"/>
            <w:spacing w:val="80"/>
            <w:sz w:val="16"/>
          </w:rPr>
          <w:t> </w:t>
        </w:r>
        <w:r>
          <w:rPr>
            <w:color w:val="231F20"/>
            <w:sz w:val="16"/>
          </w:rPr>
          <w:t>128</w:t>
        </w:r>
      </w:hyperlink>
      <w:r>
        <w:rPr>
          <w:color w:val="231F20"/>
          <w:spacing w:val="40"/>
          <w:sz w:val="16"/>
        </w:rPr>
        <w:t> </w:t>
      </w:r>
      <w:hyperlink w:history="true" w:anchor="_bookmark96">
        <w:r>
          <w:rPr>
            <w:color w:val="231F20"/>
            <w:sz w:val="16"/>
          </w:rPr>
          <w:t>monitored chart examples</w:t>
        </w:r>
        <w:r>
          <w:rPr>
            <w:color w:val="231F20"/>
            <w:spacing w:val="80"/>
            <w:sz w:val="16"/>
          </w:rPr>
          <w:t> </w:t>
        </w:r>
        <w:r>
          <w:rPr>
            <w:color w:val="231F20"/>
            <w:sz w:val="16"/>
          </w:rPr>
          <w:t>126</w:t>
        </w:r>
      </w:hyperlink>
    </w:p>
    <w:p>
      <w:pPr>
        <w:spacing w:line="220" w:lineRule="auto" w:before="2"/>
        <w:ind w:left="436" w:right="187" w:firstLine="0"/>
        <w:jc w:val="left"/>
        <w:rPr>
          <w:sz w:val="16"/>
        </w:rPr>
      </w:pPr>
      <w:hyperlink w:history="true" w:anchor="_bookmark323">
        <w:r>
          <w:rPr>
            <w:color w:val="231F20"/>
            <w:sz w:val="16"/>
          </w:rPr>
          <w:t>BETWEEN formula function</w:t>
        </w:r>
        <w:r>
          <w:rPr>
            <w:color w:val="231F20"/>
            <w:spacing w:val="80"/>
            <w:sz w:val="16"/>
          </w:rPr>
          <w:t> </w:t>
        </w:r>
        <w:r>
          <w:rPr>
            <w:color w:val="231F20"/>
            <w:sz w:val="16"/>
          </w:rPr>
          <w:t>416</w:t>
        </w:r>
      </w:hyperlink>
      <w:r>
        <w:rPr>
          <w:color w:val="231F20"/>
          <w:spacing w:val="40"/>
          <w:sz w:val="16"/>
        </w:rPr>
        <w:t> </w:t>
      </w:r>
      <w:hyperlink w:history="true" w:anchor="_bookmark320">
        <w:r>
          <w:rPr>
            <w:color w:val="231F20"/>
            <w:sz w:val="16"/>
          </w:rPr>
          <w:t>Boolean AND and OR</w:t>
        </w:r>
        <w:r>
          <w:rPr>
            <w:color w:val="231F20"/>
            <w:spacing w:val="80"/>
            <w:sz w:val="16"/>
          </w:rPr>
          <w:t> </w:t>
        </w:r>
        <w:r>
          <w:rPr>
            <w:color w:val="231F20"/>
            <w:sz w:val="16"/>
          </w:rPr>
          <w:t>414</w:t>
        </w:r>
      </w:hyperlink>
      <w:r>
        <w:rPr>
          <w:color w:val="231F20"/>
          <w:spacing w:val="40"/>
          <w:sz w:val="16"/>
        </w:rPr>
        <w:t> </w:t>
      </w:r>
      <w:hyperlink w:history="true" w:anchor="_bookmark320">
        <w:r>
          <w:rPr>
            <w:color w:val="231F20"/>
            <w:sz w:val="16"/>
          </w:rPr>
          <w:t>branching OR expressions</w:t>
        </w:r>
        <w:r>
          <w:rPr>
            <w:color w:val="231F20"/>
            <w:spacing w:val="80"/>
            <w:sz w:val="16"/>
          </w:rPr>
          <w:t> </w:t>
        </w:r>
        <w:r>
          <w:rPr>
            <w:color w:val="231F20"/>
            <w:sz w:val="16"/>
          </w:rPr>
          <w:t>414</w:t>
        </w:r>
      </w:hyperlink>
    </w:p>
    <w:p>
      <w:pPr>
        <w:spacing w:line="240" w:lineRule="auto" w:before="0"/>
        <w:rPr>
          <w:sz w:val="16"/>
        </w:rPr>
      </w:pPr>
      <w:r>
        <w:rPr/>
        <w:br w:type="column"/>
      </w:r>
      <w:r>
        <w:rPr>
          <w:sz w:val="16"/>
        </w:rPr>
      </w:r>
    </w:p>
    <w:p>
      <w:pPr>
        <w:pStyle w:val="BodyText"/>
        <w:rPr>
          <w:sz w:val="16"/>
        </w:rPr>
      </w:pPr>
    </w:p>
    <w:p>
      <w:pPr>
        <w:pStyle w:val="BodyText"/>
        <w:spacing w:before="69"/>
        <w:rPr>
          <w:sz w:val="16"/>
        </w:rPr>
      </w:pPr>
    </w:p>
    <w:p>
      <w:pPr>
        <w:spacing w:line="220" w:lineRule="auto" w:before="0"/>
        <w:ind w:left="414" w:right="1238" w:firstLine="0"/>
        <w:jc w:val="left"/>
        <w:rPr>
          <w:sz w:val="16"/>
        </w:rPr>
      </w:pPr>
      <w:hyperlink w:history="true" w:anchor="_bookmark6">
        <w:r>
          <w:rPr>
            <w:color w:val="231F20"/>
            <w:sz w:val="16"/>
          </w:rPr>
          <w:t>browser client</w:t>
        </w:r>
        <w:r>
          <w:rPr>
            <w:color w:val="231F20"/>
            <w:spacing w:val="80"/>
            <w:sz w:val="16"/>
          </w:rPr>
          <w:t> </w:t>
        </w:r>
        <w:r>
          <w:rPr>
            <w:color w:val="231F20"/>
            <w:sz w:val="16"/>
          </w:rPr>
          <w:t>8</w:t>
        </w:r>
      </w:hyperlink>
      <w:r>
        <w:rPr>
          <w:color w:val="231F20"/>
          <w:spacing w:val="40"/>
          <w:sz w:val="16"/>
        </w:rPr>
        <w:t> </w:t>
      </w:r>
      <w:r>
        <w:rPr>
          <w:color w:val="231F20"/>
          <w:sz w:val="16"/>
        </w:rPr>
        <w:t>browser view</w:t>
      </w:r>
    </w:p>
    <w:p>
      <w:pPr>
        <w:spacing w:line="196" w:lineRule="exact" w:before="0"/>
        <w:ind w:left="654" w:right="0" w:firstLine="0"/>
        <w:jc w:val="left"/>
        <w:rPr>
          <w:sz w:val="16"/>
        </w:rPr>
      </w:pPr>
      <w:hyperlink w:history="true" w:anchor="_bookmark121">
        <w:r>
          <w:rPr>
            <w:color w:val="231F20"/>
            <w:sz w:val="16"/>
          </w:rPr>
          <w:t>create</w:t>
        </w:r>
        <w:r>
          <w:rPr>
            <w:color w:val="231F20"/>
            <w:spacing w:val="35"/>
            <w:sz w:val="16"/>
          </w:rPr>
          <w:t>  </w:t>
        </w:r>
        <w:r>
          <w:rPr>
            <w:color w:val="231F20"/>
            <w:spacing w:val="-5"/>
            <w:sz w:val="16"/>
          </w:rPr>
          <w:t>164</w:t>
        </w:r>
      </w:hyperlink>
    </w:p>
    <w:p>
      <w:pPr>
        <w:spacing w:line="200" w:lineRule="exact" w:before="0"/>
        <w:ind w:left="654" w:right="0" w:firstLine="0"/>
        <w:jc w:val="left"/>
        <w:rPr>
          <w:sz w:val="16"/>
        </w:rPr>
      </w:pPr>
      <w:hyperlink w:history="true" w:anchor="_bookmark36">
        <w:r>
          <w:rPr>
            <w:color w:val="231F20"/>
            <w:sz w:val="16"/>
          </w:rPr>
          <w:t>find</w:t>
        </w:r>
        <w:r>
          <w:rPr>
            <w:color w:val="231F20"/>
            <w:spacing w:val="38"/>
            <w:sz w:val="16"/>
          </w:rPr>
          <w:t>  </w:t>
        </w:r>
        <w:r>
          <w:rPr>
            <w:color w:val="231F20"/>
            <w:spacing w:val="-5"/>
            <w:sz w:val="16"/>
          </w:rPr>
          <w:t>46</w:t>
        </w:r>
      </w:hyperlink>
    </w:p>
    <w:p>
      <w:pPr>
        <w:spacing w:line="220" w:lineRule="auto" w:before="5"/>
        <w:ind w:left="773" w:right="409" w:hanging="120"/>
        <w:jc w:val="left"/>
        <w:rPr>
          <w:sz w:val="16"/>
        </w:rPr>
      </w:pPr>
      <w:hyperlink w:history="true" w:anchor="_bookmark123">
        <w:r>
          <w:rPr>
            <w:color w:val="231F20"/>
            <w:sz w:val="16"/>
          </w:rPr>
          <w:t>launching</w:t>
        </w:r>
        <w:r>
          <w:rPr>
            <w:color w:val="231F20"/>
            <w:spacing w:val="-1"/>
            <w:sz w:val="16"/>
          </w:rPr>
          <w:t> </w:t>
        </w:r>
        <w:r>
          <w:rPr>
            <w:color w:val="231F20"/>
            <w:sz w:val="16"/>
          </w:rPr>
          <w:t>an</w:t>
        </w:r>
        <w:r>
          <w:rPr>
            <w:color w:val="231F20"/>
            <w:spacing w:val="-1"/>
            <w:sz w:val="16"/>
          </w:rPr>
          <w:t> </w:t>
        </w:r>
        <w:r>
          <w:rPr>
            <w:color w:val="231F20"/>
            <w:sz w:val="16"/>
          </w:rPr>
          <w:t>external</w:t>
        </w:r>
        <w:r>
          <w:rPr>
            <w:color w:val="231F20"/>
            <w:spacing w:val="-1"/>
            <w:sz w:val="16"/>
          </w:rPr>
          <w:t> </w:t>
        </w:r>
        <w:r>
          <w:rPr>
            <w:color w:val="231F20"/>
            <w:sz w:val="16"/>
          </w:rPr>
          <w:t>web</w:t>
        </w:r>
      </w:hyperlink>
      <w:r>
        <w:rPr>
          <w:color w:val="231F20"/>
          <w:spacing w:val="40"/>
          <w:sz w:val="16"/>
        </w:rPr>
        <w:t> </w:t>
      </w:r>
      <w:hyperlink w:history="true" w:anchor="_bookmark123">
        <w:r>
          <w:rPr>
            <w:color w:val="231F20"/>
            <w:sz w:val="16"/>
          </w:rPr>
          <w:t>browser</w:t>
        </w:r>
        <w:r>
          <w:rPr>
            <w:color w:val="231F20"/>
            <w:spacing w:val="80"/>
            <w:sz w:val="16"/>
          </w:rPr>
          <w:t> </w:t>
        </w:r>
        <w:r>
          <w:rPr>
            <w:color w:val="231F20"/>
            <w:sz w:val="16"/>
          </w:rPr>
          <w:t>166</w:t>
        </w:r>
      </w:hyperlink>
    </w:p>
    <w:p>
      <w:pPr>
        <w:spacing w:line="220" w:lineRule="auto" w:before="2"/>
        <w:ind w:left="654" w:right="0" w:firstLine="0"/>
        <w:jc w:val="left"/>
        <w:rPr>
          <w:sz w:val="16"/>
        </w:rPr>
      </w:pPr>
      <w:hyperlink w:history="true" w:anchor="_bookmark123">
        <w:r>
          <w:rPr>
            <w:color w:val="231F20"/>
            <w:sz w:val="16"/>
          </w:rPr>
          <w:t>link symbols in the URL address</w:t>
        </w:r>
        <w:r>
          <w:rPr>
            <w:color w:val="231F20"/>
            <w:spacing w:val="80"/>
            <w:sz w:val="16"/>
          </w:rPr>
          <w:t> </w:t>
        </w:r>
        <w:r>
          <w:rPr>
            <w:color w:val="231F20"/>
            <w:sz w:val="16"/>
          </w:rPr>
          <w:t>166</w:t>
        </w:r>
      </w:hyperlink>
      <w:r>
        <w:rPr>
          <w:color w:val="231F20"/>
          <w:spacing w:val="40"/>
          <w:sz w:val="16"/>
        </w:rPr>
        <w:t> </w:t>
      </w:r>
      <w:hyperlink w:history="true" w:anchor="_bookmark122">
        <w:r>
          <w:rPr>
            <w:color w:val="231F20"/>
            <w:sz w:val="16"/>
          </w:rPr>
          <w:t>relative URL reference</w:t>
        </w:r>
        <w:r>
          <w:rPr>
            <w:color w:val="231F20"/>
            <w:spacing w:val="80"/>
            <w:sz w:val="16"/>
          </w:rPr>
          <w:t> </w:t>
        </w:r>
        <w:r>
          <w:rPr>
            <w:color w:val="231F20"/>
            <w:sz w:val="16"/>
          </w:rPr>
          <w:t>165</w:t>
        </w:r>
      </w:hyperlink>
    </w:p>
    <w:p>
      <w:pPr>
        <w:spacing w:line="196" w:lineRule="exact" w:before="0"/>
        <w:ind w:left="654" w:right="0" w:firstLine="0"/>
        <w:jc w:val="left"/>
        <w:rPr>
          <w:sz w:val="16"/>
        </w:rPr>
      </w:pPr>
      <w:hyperlink w:history="true" w:anchor="_bookmark122">
        <w:r>
          <w:rPr>
            <w:color w:val="231F20"/>
            <w:sz w:val="16"/>
          </w:rPr>
          <w:t>toolbar</w:t>
        </w:r>
        <w:r>
          <w:rPr>
            <w:color w:val="231F20"/>
            <w:spacing w:val="36"/>
            <w:sz w:val="16"/>
          </w:rPr>
          <w:t>  </w:t>
        </w:r>
        <w:r>
          <w:rPr>
            <w:color w:val="231F20"/>
            <w:spacing w:val="-5"/>
            <w:sz w:val="16"/>
          </w:rPr>
          <w:t>165</w:t>
        </w:r>
      </w:hyperlink>
    </w:p>
    <w:p>
      <w:pPr>
        <w:spacing w:line="208" w:lineRule="exact" w:before="0"/>
        <w:ind w:left="414" w:right="0" w:firstLine="0"/>
        <w:jc w:val="left"/>
        <w:rPr>
          <w:sz w:val="16"/>
        </w:rPr>
      </w:pPr>
      <w:hyperlink w:history="true" w:anchor="_bookmark136">
        <w:r>
          <w:rPr>
            <w:color w:val="231F20"/>
            <w:sz w:val="16"/>
          </w:rPr>
          <w:t>built-in</w:t>
        </w:r>
        <w:r>
          <w:rPr>
            <w:color w:val="231F20"/>
            <w:spacing w:val="10"/>
            <w:sz w:val="16"/>
          </w:rPr>
          <w:t> </w:t>
        </w:r>
        <w:r>
          <w:rPr>
            <w:color w:val="231F20"/>
            <w:sz w:val="16"/>
          </w:rPr>
          <w:t>functions</w:t>
        </w:r>
        <w:r>
          <w:rPr>
            <w:color w:val="231F20"/>
            <w:spacing w:val="35"/>
            <w:sz w:val="16"/>
          </w:rPr>
          <w:t>  </w:t>
        </w:r>
        <w:r>
          <w:rPr>
            <w:color w:val="231F20"/>
            <w:spacing w:val="-5"/>
            <w:sz w:val="16"/>
          </w:rPr>
          <w:t>183</w:t>
        </w:r>
      </w:hyperlink>
    </w:p>
    <w:p>
      <w:pPr>
        <w:pStyle w:val="BodyText"/>
        <w:spacing w:before="105"/>
        <w:rPr>
          <w:sz w:val="16"/>
        </w:rPr>
      </w:pPr>
    </w:p>
    <w:p>
      <w:pPr>
        <w:pStyle w:val="Heading1"/>
        <w:ind w:left="414"/>
      </w:pPr>
      <w:bookmarkStart w:name="C" w:id="752"/>
      <w:bookmarkEnd w:id="752"/>
      <w:r>
        <w:rPr>
          <w:b w:val="0"/>
        </w:rPr>
      </w:r>
      <w:r>
        <w:rPr>
          <w:color w:val="231F20"/>
          <w:spacing w:val="-10"/>
        </w:rPr>
        <w:t>C</w:t>
      </w:r>
    </w:p>
    <w:p>
      <w:pPr>
        <w:spacing w:line="220" w:lineRule="auto" w:before="10"/>
        <w:ind w:left="414" w:right="918" w:firstLine="0"/>
        <w:jc w:val="left"/>
        <w:rPr>
          <w:sz w:val="16"/>
        </w:rPr>
      </w:pPr>
      <w:hyperlink w:history="true" w:anchor="_bookmark93">
        <w:r>
          <w:rPr>
            <w:color w:val="231F20"/>
            <w:sz w:val="16"/>
          </w:rPr>
          <w:t>category axis of chart</w:t>
        </w:r>
        <w:r>
          <w:rPr>
            <w:color w:val="231F20"/>
            <w:spacing w:val="80"/>
            <w:sz w:val="16"/>
          </w:rPr>
          <w:t> </w:t>
        </w:r>
        <w:r>
          <w:rPr>
            <w:color w:val="231F20"/>
            <w:sz w:val="16"/>
          </w:rPr>
          <w:t>123</w:t>
        </w:r>
      </w:hyperlink>
      <w:r>
        <w:rPr>
          <w:color w:val="231F20"/>
          <w:spacing w:val="40"/>
          <w:sz w:val="16"/>
        </w:rPr>
        <w:t> </w:t>
      </w:r>
      <w:hyperlink w:history="true" w:anchor="_bookmark323">
        <w:r>
          <w:rPr>
            <w:color w:val="231F20"/>
            <w:sz w:val="16"/>
          </w:rPr>
          <w:t>cell functions</w:t>
        </w:r>
        <w:r>
          <w:rPr>
            <w:color w:val="231F20"/>
            <w:spacing w:val="80"/>
            <w:sz w:val="16"/>
          </w:rPr>
          <w:t> </w:t>
        </w:r>
        <w:r>
          <w:rPr>
            <w:color w:val="231F20"/>
            <w:sz w:val="16"/>
          </w:rPr>
          <w:t>416</w:t>
        </w:r>
      </w:hyperlink>
    </w:p>
    <w:p>
      <w:pPr>
        <w:spacing w:line="220" w:lineRule="auto" w:before="2"/>
        <w:ind w:left="414" w:right="409" w:firstLine="0"/>
        <w:jc w:val="left"/>
        <w:rPr>
          <w:sz w:val="16"/>
        </w:rPr>
      </w:pPr>
      <w:hyperlink w:history="true" w:anchor="_bookmark324">
        <w:r>
          <w:rPr>
            <w:color w:val="231F20"/>
            <w:sz w:val="16"/>
          </w:rPr>
          <w:t>CHANGE formula function</w:t>
        </w:r>
        <w:r>
          <w:rPr>
            <w:color w:val="231F20"/>
            <w:spacing w:val="80"/>
            <w:sz w:val="16"/>
          </w:rPr>
          <w:t> </w:t>
        </w:r>
        <w:r>
          <w:rPr>
            <w:color w:val="231F20"/>
            <w:sz w:val="16"/>
          </w:rPr>
          <w:t>417</w:t>
        </w:r>
      </w:hyperlink>
      <w:r>
        <w:rPr>
          <w:color w:val="231F20"/>
          <w:spacing w:val="40"/>
          <w:sz w:val="16"/>
        </w:rPr>
        <w:t> </w:t>
      </w:r>
      <w:hyperlink w:history="true" w:anchor="_bookmark324">
        <w:r>
          <w:rPr>
            <w:color w:val="231F20"/>
            <w:sz w:val="16"/>
          </w:rPr>
          <w:t>Change in value</w:t>
        </w:r>
        <w:r>
          <w:rPr>
            <w:color w:val="231F20"/>
            <w:spacing w:val="80"/>
            <w:sz w:val="16"/>
          </w:rPr>
          <w:t> </w:t>
        </w:r>
        <w:r>
          <w:rPr>
            <w:color w:val="231F20"/>
            <w:sz w:val="16"/>
          </w:rPr>
          <w:t>417</w:t>
        </w:r>
      </w:hyperlink>
    </w:p>
    <w:p>
      <w:pPr>
        <w:spacing w:line="196" w:lineRule="exact" w:before="0"/>
        <w:ind w:left="414" w:right="0" w:firstLine="0"/>
        <w:jc w:val="left"/>
        <w:rPr>
          <w:sz w:val="16"/>
        </w:rPr>
      </w:pPr>
      <w:r>
        <w:rPr>
          <w:color w:val="231F20"/>
          <w:spacing w:val="-2"/>
          <w:sz w:val="16"/>
        </w:rPr>
        <w:t>chart</w:t>
      </w:r>
    </w:p>
    <w:p>
      <w:pPr>
        <w:spacing w:line="200" w:lineRule="exact" w:before="0"/>
        <w:ind w:left="654" w:right="0" w:firstLine="0"/>
        <w:jc w:val="left"/>
        <w:rPr>
          <w:sz w:val="16"/>
        </w:rPr>
      </w:pPr>
      <w:hyperlink w:history="true" w:anchor="_bookmark83">
        <w:r>
          <w:rPr>
            <w:color w:val="231F20"/>
            <w:sz w:val="16"/>
          </w:rPr>
          <w:t>area</w:t>
        </w:r>
        <w:r>
          <w:rPr>
            <w:color w:val="231F20"/>
            <w:spacing w:val="36"/>
            <w:sz w:val="16"/>
          </w:rPr>
          <w:t>  </w:t>
        </w:r>
        <w:r>
          <w:rPr>
            <w:color w:val="231F20"/>
            <w:spacing w:val="-5"/>
            <w:sz w:val="16"/>
          </w:rPr>
          <w:t>110</w:t>
        </w:r>
      </w:hyperlink>
    </w:p>
    <w:p>
      <w:pPr>
        <w:spacing w:line="200" w:lineRule="exact" w:before="0"/>
        <w:ind w:left="654" w:right="0" w:firstLine="0"/>
        <w:jc w:val="left"/>
        <w:rPr>
          <w:sz w:val="16"/>
        </w:rPr>
      </w:pPr>
      <w:hyperlink w:history="true" w:anchor="_bookmark81">
        <w:r>
          <w:rPr>
            <w:color w:val="231F20"/>
            <w:sz w:val="16"/>
          </w:rPr>
          <w:t>bar</w:t>
        </w:r>
        <w:r>
          <w:rPr>
            <w:color w:val="231F20"/>
            <w:spacing w:val="38"/>
            <w:sz w:val="16"/>
          </w:rPr>
          <w:t>  </w:t>
        </w:r>
        <w:r>
          <w:rPr>
            <w:color w:val="231F20"/>
            <w:spacing w:val="-5"/>
            <w:sz w:val="16"/>
          </w:rPr>
          <w:t>107</w:t>
        </w:r>
      </w:hyperlink>
    </w:p>
    <w:p>
      <w:pPr>
        <w:spacing w:line="200" w:lineRule="exact" w:before="0"/>
        <w:ind w:left="654" w:right="0" w:firstLine="0"/>
        <w:jc w:val="left"/>
        <w:rPr>
          <w:sz w:val="16"/>
        </w:rPr>
      </w:pPr>
      <w:hyperlink w:history="true" w:anchor="_bookmark84">
        <w:r>
          <w:rPr>
            <w:color w:val="231F20"/>
            <w:sz w:val="16"/>
          </w:rPr>
          <w:t>circular</w:t>
        </w:r>
        <w:r>
          <w:rPr>
            <w:color w:val="231F20"/>
            <w:spacing w:val="9"/>
            <w:sz w:val="16"/>
          </w:rPr>
          <w:t> </w:t>
        </w:r>
        <w:r>
          <w:rPr>
            <w:color w:val="231F20"/>
            <w:sz w:val="16"/>
          </w:rPr>
          <w:t>gauge</w:t>
        </w:r>
        <w:r>
          <w:rPr>
            <w:color w:val="231F20"/>
            <w:spacing w:val="35"/>
            <w:sz w:val="16"/>
          </w:rPr>
          <w:t>  </w:t>
        </w:r>
        <w:r>
          <w:rPr>
            <w:color w:val="231F20"/>
            <w:spacing w:val="-5"/>
            <w:sz w:val="16"/>
          </w:rPr>
          <w:t>112</w:t>
        </w:r>
      </w:hyperlink>
    </w:p>
    <w:p>
      <w:pPr>
        <w:spacing w:line="200" w:lineRule="exact" w:before="0"/>
        <w:ind w:left="654" w:right="0" w:firstLine="0"/>
        <w:jc w:val="left"/>
        <w:rPr>
          <w:sz w:val="16"/>
        </w:rPr>
      </w:pPr>
      <w:hyperlink w:history="true" w:anchor="_bookmark85">
        <w:r>
          <w:rPr>
            <w:color w:val="231F20"/>
            <w:sz w:val="16"/>
          </w:rPr>
          <w:t>linear</w:t>
        </w:r>
        <w:r>
          <w:rPr>
            <w:color w:val="231F20"/>
            <w:spacing w:val="10"/>
            <w:sz w:val="16"/>
          </w:rPr>
          <w:t> </w:t>
        </w:r>
        <w:r>
          <w:rPr>
            <w:color w:val="231F20"/>
            <w:sz w:val="16"/>
          </w:rPr>
          <w:t>gauge</w:t>
        </w:r>
        <w:r>
          <w:rPr>
            <w:color w:val="231F20"/>
            <w:spacing w:val="36"/>
            <w:sz w:val="16"/>
          </w:rPr>
          <w:t>  </w:t>
        </w:r>
        <w:r>
          <w:rPr>
            <w:color w:val="231F20"/>
            <w:spacing w:val="-5"/>
            <w:sz w:val="16"/>
          </w:rPr>
          <w:t>113</w:t>
        </w:r>
      </w:hyperlink>
    </w:p>
    <w:p>
      <w:pPr>
        <w:spacing w:line="200" w:lineRule="exact" w:before="0"/>
        <w:ind w:left="654" w:right="0" w:firstLine="0"/>
        <w:jc w:val="left"/>
        <w:rPr>
          <w:sz w:val="16"/>
        </w:rPr>
      </w:pPr>
      <w:hyperlink w:history="true" w:anchor="_bookmark80">
        <w:r>
          <w:rPr>
            <w:color w:val="231F20"/>
            <w:sz w:val="16"/>
          </w:rPr>
          <w:t>pie</w:t>
        </w:r>
        <w:r>
          <w:rPr>
            <w:color w:val="231F20"/>
            <w:spacing w:val="38"/>
            <w:sz w:val="16"/>
          </w:rPr>
          <w:t>  </w:t>
        </w:r>
        <w:r>
          <w:rPr>
            <w:color w:val="231F20"/>
            <w:spacing w:val="-5"/>
            <w:sz w:val="16"/>
          </w:rPr>
          <w:t>105</w:t>
        </w:r>
      </w:hyperlink>
    </w:p>
    <w:p>
      <w:pPr>
        <w:spacing w:line="220" w:lineRule="auto" w:before="5"/>
        <w:ind w:left="414" w:right="1784" w:firstLine="239"/>
        <w:jc w:val="left"/>
        <w:rPr>
          <w:sz w:val="16"/>
        </w:rPr>
      </w:pPr>
      <w:hyperlink w:history="true" w:anchor="_bookmark82">
        <w:r>
          <w:rPr>
            <w:color w:val="231F20"/>
            <w:sz w:val="16"/>
          </w:rPr>
          <w:t>plot</w:t>
        </w:r>
        <w:r>
          <w:rPr>
            <w:color w:val="231F20"/>
            <w:spacing w:val="80"/>
            <w:sz w:val="16"/>
          </w:rPr>
          <w:t> </w:t>
        </w:r>
        <w:r>
          <w:rPr>
            <w:color w:val="231F20"/>
            <w:sz w:val="16"/>
          </w:rPr>
          <w:t>108</w:t>
        </w:r>
      </w:hyperlink>
      <w:r>
        <w:rPr>
          <w:color w:val="231F20"/>
          <w:spacing w:val="40"/>
          <w:sz w:val="16"/>
        </w:rPr>
        <w:t> </w:t>
      </w:r>
      <w:r>
        <w:rPr>
          <w:color w:val="231F20"/>
          <w:sz w:val="16"/>
        </w:rPr>
        <w:t>chart views</w:t>
      </w:r>
    </w:p>
    <w:p>
      <w:pPr>
        <w:spacing w:line="220" w:lineRule="auto" w:before="2"/>
        <w:ind w:left="414" w:right="1238" w:firstLine="239"/>
        <w:jc w:val="left"/>
        <w:rPr>
          <w:sz w:val="16"/>
        </w:rPr>
      </w:pPr>
      <w:hyperlink w:history="true" w:anchor="_bookmark78">
        <w:r>
          <w:rPr>
            <w:color w:val="231F20"/>
            <w:sz w:val="16"/>
          </w:rPr>
          <w:t>comparison</w:t>
        </w:r>
        <w:r>
          <w:rPr>
            <w:color w:val="231F20"/>
            <w:spacing w:val="80"/>
            <w:sz w:val="16"/>
          </w:rPr>
          <w:t> </w:t>
        </w:r>
        <w:r>
          <w:rPr>
            <w:color w:val="231F20"/>
            <w:sz w:val="16"/>
          </w:rPr>
          <w:t>101</w:t>
        </w:r>
      </w:hyperlink>
      <w:r>
        <w:rPr>
          <w:color w:val="231F20"/>
          <w:spacing w:val="40"/>
          <w:sz w:val="16"/>
        </w:rPr>
        <w:t> </w:t>
      </w:r>
      <w:r>
        <w:rPr>
          <w:color w:val="231F20"/>
          <w:spacing w:val="-2"/>
          <w:sz w:val="16"/>
        </w:rPr>
        <w:t>charts</w:t>
      </w:r>
    </w:p>
    <w:p>
      <w:pPr>
        <w:spacing w:line="220" w:lineRule="auto" w:before="2"/>
        <w:ind w:left="654" w:right="343" w:firstLine="0"/>
        <w:jc w:val="left"/>
        <w:rPr>
          <w:sz w:val="16"/>
        </w:rPr>
      </w:pPr>
      <w:hyperlink w:history="true" w:anchor="_bookmark95">
        <w:r>
          <w:rPr>
            <w:color w:val="231F20"/>
            <w:sz w:val="16"/>
          </w:rPr>
          <w:t>compare situations with</w:t>
        </w:r>
        <w:r>
          <w:rPr>
            <w:color w:val="231F20"/>
            <w:spacing w:val="80"/>
            <w:sz w:val="16"/>
          </w:rPr>
          <w:t> </w:t>
        </w:r>
        <w:r>
          <w:rPr>
            <w:color w:val="231F20"/>
            <w:sz w:val="16"/>
          </w:rPr>
          <w:t>124</w:t>
        </w:r>
      </w:hyperlink>
      <w:r>
        <w:rPr>
          <w:color w:val="231F20"/>
          <w:spacing w:val="40"/>
          <w:sz w:val="16"/>
        </w:rPr>
        <w:t> </w:t>
      </w:r>
      <w:hyperlink w:history="true" w:anchor="_bookmark98">
        <w:r>
          <w:rPr>
            <w:color w:val="231F20"/>
            <w:sz w:val="16"/>
          </w:rPr>
          <w:t>historical baselining in</w:t>
        </w:r>
        <w:r>
          <w:rPr>
            <w:color w:val="231F20"/>
            <w:spacing w:val="80"/>
            <w:sz w:val="16"/>
          </w:rPr>
          <w:t> </w:t>
        </w:r>
        <w:r>
          <w:rPr>
            <w:color w:val="231F20"/>
            <w:sz w:val="16"/>
          </w:rPr>
          <w:t>130</w:t>
        </w:r>
      </w:hyperlink>
      <w:r>
        <w:rPr>
          <w:color w:val="231F20"/>
          <w:spacing w:val="40"/>
          <w:sz w:val="16"/>
        </w:rPr>
        <w:t> </w:t>
      </w:r>
      <w:hyperlink w:history="true" w:anchor="_bookmark92">
        <w:r>
          <w:rPr>
            <w:color w:val="231F20"/>
            <w:sz w:val="16"/>
          </w:rPr>
          <w:t>legend label</w:t>
        </w:r>
        <w:r>
          <w:rPr>
            <w:color w:val="231F20"/>
            <w:spacing w:val="80"/>
            <w:sz w:val="16"/>
          </w:rPr>
          <w:t> </w:t>
        </w:r>
        <w:r>
          <w:rPr>
            <w:color w:val="231F20"/>
            <w:sz w:val="16"/>
          </w:rPr>
          <w:t>121</w:t>
        </w:r>
      </w:hyperlink>
    </w:p>
    <w:p>
      <w:pPr>
        <w:spacing w:line="220" w:lineRule="auto" w:before="3"/>
        <w:ind w:left="654" w:right="134" w:firstLine="0"/>
        <w:jc w:val="left"/>
        <w:rPr>
          <w:sz w:val="16"/>
        </w:rPr>
      </w:pPr>
      <w:hyperlink w:history="true" w:anchor="_bookmark212">
        <w:r>
          <w:rPr>
            <w:color w:val="231F20"/>
            <w:sz w:val="16"/>
          </w:rPr>
          <w:t>model situations with</w:t>
        </w:r>
        <w:r>
          <w:rPr>
            <w:color w:val="231F20"/>
            <w:spacing w:val="80"/>
            <w:sz w:val="16"/>
          </w:rPr>
          <w:t> </w:t>
        </w:r>
        <w:r>
          <w:rPr>
            <w:color w:val="231F20"/>
            <w:sz w:val="16"/>
          </w:rPr>
          <w:t>286</w:t>
        </w:r>
      </w:hyperlink>
      <w:r>
        <w:rPr>
          <w:color w:val="231F20"/>
          <w:spacing w:val="40"/>
          <w:sz w:val="16"/>
        </w:rPr>
        <w:t> </w:t>
      </w:r>
      <w:hyperlink w:history="true" w:anchor="_bookmark96">
        <w:r>
          <w:rPr>
            <w:color w:val="231F20"/>
            <w:sz w:val="16"/>
          </w:rPr>
          <w:t>monitored baselines examples</w:t>
        </w:r>
        <w:r>
          <w:rPr>
            <w:color w:val="231F20"/>
            <w:spacing w:val="80"/>
            <w:sz w:val="16"/>
          </w:rPr>
          <w:t> </w:t>
        </w:r>
        <w:r>
          <w:rPr>
            <w:color w:val="231F20"/>
            <w:sz w:val="16"/>
          </w:rPr>
          <w:t>126</w:t>
        </w:r>
      </w:hyperlink>
      <w:r>
        <w:rPr>
          <w:color w:val="231F20"/>
          <w:spacing w:val="40"/>
          <w:sz w:val="16"/>
        </w:rPr>
        <w:t> </w:t>
      </w:r>
      <w:hyperlink w:history="true" w:anchor="_bookmark97">
        <w:r>
          <w:rPr>
            <w:color w:val="231F20"/>
            <w:sz w:val="16"/>
          </w:rPr>
          <w:t>statistical baselining in</w:t>
        </w:r>
        <w:r>
          <w:rPr>
            <w:color w:val="231F20"/>
            <w:spacing w:val="80"/>
            <w:sz w:val="16"/>
          </w:rPr>
          <w:t> </w:t>
        </w:r>
        <w:r>
          <w:rPr>
            <w:color w:val="231F20"/>
            <w:sz w:val="16"/>
          </w:rPr>
          <w:t>128</w:t>
        </w:r>
      </w:hyperlink>
    </w:p>
    <w:p>
      <w:pPr>
        <w:spacing w:line="220" w:lineRule="auto" w:before="3"/>
        <w:ind w:left="414" w:right="713" w:firstLine="239"/>
        <w:jc w:val="left"/>
        <w:rPr>
          <w:sz w:val="16"/>
        </w:rPr>
      </w:pPr>
      <w:hyperlink w:history="true" w:anchor="_bookmark34">
        <w:r>
          <w:rPr>
            <w:color w:val="231F20"/>
            <w:sz w:val="16"/>
          </w:rPr>
          <w:t>zoom in on an area</w:t>
        </w:r>
        <w:r>
          <w:rPr>
            <w:color w:val="231F20"/>
            <w:spacing w:val="80"/>
            <w:sz w:val="16"/>
          </w:rPr>
          <w:t> </w:t>
        </w:r>
        <w:r>
          <w:rPr>
            <w:color w:val="231F20"/>
            <w:sz w:val="16"/>
          </w:rPr>
          <w:t>44</w:t>
        </w:r>
      </w:hyperlink>
      <w:r>
        <w:rPr>
          <w:color w:val="231F20"/>
          <w:spacing w:val="40"/>
          <w:sz w:val="16"/>
        </w:rPr>
        <w:t> </w:t>
      </w:r>
      <w:hyperlink w:history="true" w:anchor="_bookmark325">
        <w:r>
          <w:rPr>
            <w:color w:val="231F20"/>
            <w:sz w:val="16"/>
          </w:rPr>
          <w:t>Check for missing items</w:t>
        </w:r>
        <w:r>
          <w:rPr>
            <w:color w:val="231F20"/>
            <w:spacing w:val="80"/>
            <w:sz w:val="16"/>
          </w:rPr>
          <w:t> </w:t>
        </w:r>
        <w:r>
          <w:rPr>
            <w:color w:val="231F20"/>
            <w:sz w:val="16"/>
          </w:rPr>
          <w:t>418</w:t>
        </w:r>
      </w:hyperlink>
      <w:r>
        <w:rPr>
          <w:color w:val="231F20"/>
          <w:spacing w:val="40"/>
          <w:sz w:val="16"/>
        </w:rPr>
        <w:t> </w:t>
      </w:r>
      <w:hyperlink w:history="true" w:anchor="_bookmark84">
        <w:r>
          <w:rPr>
            <w:color w:val="231F20"/>
            <w:sz w:val="16"/>
          </w:rPr>
          <w:t>circular gauge</w:t>
        </w:r>
        <w:r>
          <w:rPr>
            <w:color w:val="231F20"/>
            <w:spacing w:val="80"/>
            <w:sz w:val="16"/>
          </w:rPr>
          <w:t> </w:t>
        </w:r>
        <w:r>
          <w:rPr>
            <w:color w:val="231F20"/>
            <w:sz w:val="16"/>
          </w:rPr>
          <w:t>112</w:t>
        </w:r>
      </w:hyperlink>
    </w:p>
    <w:p>
      <w:pPr>
        <w:spacing w:line="220" w:lineRule="auto" w:before="3"/>
        <w:ind w:left="534" w:right="134" w:hanging="120"/>
        <w:jc w:val="left"/>
        <w:rPr>
          <w:sz w:val="16"/>
        </w:rPr>
      </w:pPr>
      <w:hyperlink w:history="true" w:anchor="_bookmark321">
        <w:r>
          <w:rPr>
            <w:color w:val="231F20"/>
            <w:sz w:val="16"/>
          </w:rPr>
          <w:t>clear a formula editor cell, column, </w:t>
        </w:r>
        <w:r>
          <w:rPr>
            <w:color w:val="231F20"/>
            <w:sz w:val="16"/>
          </w:rPr>
          <w:t>or</w:t>
        </w:r>
      </w:hyperlink>
      <w:r>
        <w:rPr>
          <w:color w:val="231F20"/>
          <w:spacing w:val="40"/>
          <w:sz w:val="16"/>
        </w:rPr>
        <w:t> </w:t>
      </w:r>
      <w:hyperlink w:history="true" w:anchor="_bookmark321">
        <w:r>
          <w:rPr>
            <w:color w:val="231F20"/>
            <w:sz w:val="16"/>
          </w:rPr>
          <w:t>row</w:t>
        </w:r>
        <w:r>
          <w:rPr>
            <w:color w:val="231F20"/>
            <w:spacing w:val="80"/>
            <w:sz w:val="16"/>
          </w:rPr>
          <w:t> </w:t>
        </w:r>
        <w:r>
          <w:rPr>
            <w:color w:val="231F20"/>
            <w:sz w:val="16"/>
          </w:rPr>
          <w:t>415</w:t>
        </w:r>
      </w:hyperlink>
    </w:p>
    <w:p>
      <w:pPr>
        <w:spacing w:line="196" w:lineRule="exact" w:before="0"/>
        <w:ind w:left="414" w:right="0" w:firstLine="0"/>
        <w:jc w:val="left"/>
        <w:rPr>
          <w:sz w:val="16"/>
        </w:rPr>
      </w:pPr>
      <w:hyperlink w:history="true" w:anchor="_bookmark93">
        <w:r>
          <w:rPr>
            <w:color w:val="231F20"/>
            <w:sz w:val="16"/>
          </w:rPr>
          <w:t>color</w:t>
        </w:r>
        <w:r>
          <w:rPr>
            <w:color w:val="231F20"/>
            <w:spacing w:val="37"/>
            <w:sz w:val="16"/>
          </w:rPr>
          <w:t>  </w:t>
        </w:r>
        <w:r>
          <w:rPr>
            <w:color w:val="231F20"/>
            <w:spacing w:val="-5"/>
            <w:sz w:val="16"/>
          </w:rPr>
          <w:t>123</w:t>
        </w:r>
      </w:hyperlink>
    </w:p>
    <w:p>
      <w:pPr>
        <w:spacing w:line="220" w:lineRule="auto" w:before="5"/>
        <w:ind w:left="414" w:right="918" w:firstLine="0"/>
        <w:jc w:val="left"/>
        <w:rPr>
          <w:sz w:val="16"/>
        </w:rPr>
      </w:pPr>
      <w:hyperlink w:history="true" w:anchor="_bookmark332">
        <w:r>
          <w:rPr>
            <w:color w:val="231F20"/>
            <w:sz w:val="16"/>
          </w:rPr>
          <w:t>column functions</w:t>
        </w:r>
        <w:r>
          <w:rPr>
            <w:color w:val="231F20"/>
            <w:spacing w:val="80"/>
            <w:sz w:val="16"/>
          </w:rPr>
          <w:t> </w:t>
        </w:r>
        <w:r>
          <w:rPr>
            <w:color w:val="231F20"/>
            <w:sz w:val="16"/>
          </w:rPr>
          <w:t>423</w:t>
        </w:r>
      </w:hyperlink>
      <w:r>
        <w:rPr>
          <w:color w:val="231F20"/>
          <w:spacing w:val="40"/>
          <w:sz w:val="16"/>
        </w:rPr>
        <w:t> </w:t>
      </w:r>
      <w:r>
        <w:rPr>
          <w:color w:val="231F20"/>
          <w:sz w:val="16"/>
        </w:rPr>
        <w:t>common</w:t>
      </w:r>
      <w:r>
        <w:rPr>
          <w:color w:val="231F20"/>
          <w:spacing w:val="-1"/>
          <w:sz w:val="16"/>
        </w:rPr>
        <w:t> </w:t>
      </w:r>
      <w:r>
        <w:rPr>
          <w:color w:val="231F20"/>
          <w:sz w:val="16"/>
        </w:rPr>
        <w:t>event</w:t>
      </w:r>
      <w:r>
        <w:rPr>
          <w:color w:val="231F20"/>
          <w:spacing w:val="-1"/>
          <w:sz w:val="16"/>
        </w:rPr>
        <w:t> </w:t>
      </w:r>
      <w:r>
        <w:rPr>
          <w:color w:val="231F20"/>
          <w:sz w:val="16"/>
        </w:rPr>
        <w:t>console</w:t>
      </w:r>
      <w:r>
        <w:rPr>
          <w:color w:val="231F20"/>
          <w:spacing w:val="-1"/>
          <w:sz w:val="16"/>
        </w:rPr>
        <w:t> </w:t>
      </w:r>
      <w:r>
        <w:rPr>
          <w:color w:val="231F20"/>
          <w:sz w:val="16"/>
        </w:rPr>
        <w:t>view</w:t>
      </w:r>
    </w:p>
    <w:p>
      <w:pPr>
        <w:spacing w:line="196" w:lineRule="exact" w:before="0"/>
        <w:ind w:left="654" w:right="0" w:firstLine="0"/>
        <w:jc w:val="left"/>
        <w:rPr>
          <w:sz w:val="16"/>
        </w:rPr>
      </w:pPr>
      <w:hyperlink w:history="true" w:anchor="_bookmark116">
        <w:r>
          <w:rPr>
            <w:color w:val="231F20"/>
            <w:sz w:val="16"/>
          </w:rPr>
          <w:t>create</w:t>
        </w:r>
        <w:r>
          <w:rPr>
            <w:color w:val="231F20"/>
            <w:spacing w:val="35"/>
            <w:sz w:val="16"/>
          </w:rPr>
          <w:t>  </w:t>
        </w:r>
        <w:r>
          <w:rPr>
            <w:color w:val="231F20"/>
            <w:spacing w:val="-5"/>
            <w:sz w:val="16"/>
          </w:rPr>
          <w:t>156</w:t>
        </w:r>
      </w:hyperlink>
    </w:p>
    <w:p>
      <w:pPr>
        <w:spacing w:line="200" w:lineRule="exact" w:before="0"/>
        <w:ind w:left="654" w:right="0" w:firstLine="0"/>
        <w:jc w:val="left"/>
        <w:rPr>
          <w:sz w:val="16"/>
        </w:rPr>
      </w:pPr>
      <w:hyperlink w:history="true" w:anchor="_bookmark116">
        <w:r>
          <w:rPr>
            <w:color w:val="231F20"/>
            <w:sz w:val="16"/>
          </w:rPr>
          <w:t>details</w:t>
        </w:r>
        <w:r>
          <w:rPr>
            <w:color w:val="231F20"/>
            <w:spacing w:val="37"/>
            <w:sz w:val="16"/>
          </w:rPr>
          <w:t>  </w:t>
        </w:r>
        <w:r>
          <w:rPr>
            <w:color w:val="231F20"/>
            <w:spacing w:val="-5"/>
            <w:sz w:val="16"/>
          </w:rPr>
          <w:t>156</w:t>
        </w:r>
      </w:hyperlink>
    </w:p>
    <w:p>
      <w:pPr>
        <w:spacing w:line="200" w:lineRule="exact" w:before="0"/>
        <w:ind w:left="414" w:right="0" w:firstLine="0"/>
        <w:jc w:val="left"/>
        <w:rPr>
          <w:sz w:val="16"/>
        </w:rPr>
      </w:pPr>
      <w:hyperlink w:history="true" w:anchor="_bookmark324">
        <w:r>
          <w:rPr>
            <w:color w:val="231F20"/>
            <w:sz w:val="16"/>
          </w:rPr>
          <w:t>Compare</w:t>
        </w:r>
        <w:r>
          <w:rPr>
            <w:color w:val="231F20"/>
            <w:spacing w:val="20"/>
            <w:sz w:val="16"/>
          </w:rPr>
          <w:t> </w:t>
        </w:r>
        <w:r>
          <w:rPr>
            <w:color w:val="231F20"/>
            <w:sz w:val="16"/>
          </w:rPr>
          <w:t>date/time</w:t>
        </w:r>
        <w:r>
          <w:rPr>
            <w:color w:val="231F20"/>
            <w:spacing w:val="51"/>
            <w:sz w:val="16"/>
          </w:rPr>
          <w:t>  </w:t>
        </w:r>
        <w:r>
          <w:rPr>
            <w:color w:val="231F20"/>
            <w:spacing w:val="-5"/>
            <w:sz w:val="16"/>
          </w:rPr>
          <w:t>417</w:t>
        </w:r>
      </w:hyperlink>
    </w:p>
    <w:p>
      <w:pPr>
        <w:spacing w:line="220" w:lineRule="auto" w:before="6"/>
        <w:ind w:left="414" w:right="0" w:firstLine="0"/>
        <w:jc w:val="left"/>
        <w:rPr>
          <w:sz w:val="16"/>
        </w:rPr>
      </w:pPr>
      <w:hyperlink w:history="true" w:anchor="_bookmark330">
        <w:r>
          <w:rPr>
            <w:color w:val="231F20"/>
            <w:w w:val="105"/>
            <w:sz w:val="16"/>
          </w:rPr>
          <w:t>Compare to a time +/- delta</w:t>
        </w:r>
        <w:r>
          <w:rPr>
            <w:color w:val="231F20"/>
            <w:spacing w:val="80"/>
            <w:w w:val="105"/>
            <w:sz w:val="16"/>
          </w:rPr>
          <w:t> </w:t>
        </w:r>
        <w:r>
          <w:rPr>
            <w:color w:val="231F20"/>
            <w:w w:val="105"/>
            <w:sz w:val="16"/>
          </w:rPr>
          <w:t>421,</w:t>
        </w:r>
      </w:hyperlink>
      <w:r>
        <w:rPr>
          <w:color w:val="231F20"/>
          <w:w w:val="105"/>
          <w:sz w:val="16"/>
        </w:rPr>
        <w:t> </w:t>
      </w:r>
      <w:hyperlink w:history="true" w:anchor="_bookmark331">
        <w:r>
          <w:rPr>
            <w:color w:val="231F20"/>
            <w:w w:val="105"/>
            <w:sz w:val="16"/>
          </w:rPr>
          <w:t>422</w:t>
        </w:r>
      </w:hyperlink>
      <w:r>
        <w:rPr>
          <w:color w:val="231F20"/>
          <w:w w:val="105"/>
          <w:sz w:val="16"/>
        </w:rPr>
        <w:t> </w:t>
      </w:r>
      <w:hyperlink w:history="true" w:anchor="_bookmark156">
        <w:r>
          <w:rPr>
            <w:color w:val="231F20"/>
            <w:sz w:val="16"/>
          </w:rPr>
          <w:t>configure historical data collection</w:t>
        </w:r>
        <w:r>
          <w:rPr>
            <w:color w:val="231F20"/>
            <w:spacing w:val="80"/>
            <w:sz w:val="16"/>
          </w:rPr>
          <w:t> </w:t>
        </w:r>
        <w:r>
          <w:rPr>
            <w:color w:val="231F20"/>
            <w:sz w:val="16"/>
          </w:rPr>
          <w:t>217,</w:t>
        </w:r>
      </w:hyperlink>
    </w:p>
    <w:p>
      <w:pPr>
        <w:spacing w:line="196" w:lineRule="exact" w:before="0"/>
        <w:ind w:left="534" w:right="0" w:firstLine="0"/>
        <w:jc w:val="left"/>
        <w:rPr>
          <w:sz w:val="16"/>
        </w:rPr>
      </w:pPr>
      <w:hyperlink w:history="true" w:anchor="_bookmark157">
        <w:r>
          <w:rPr>
            <w:color w:val="231F20"/>
            <w:spacing w:val="-5"/>
            <w:sz w:val="16"/>
          </w:rPr>
          <w:t>221</w:t>
        </w:r>
      </w:hyperlink>
    </w:p>
    <w:p>
      <w:pPr>
        <w:spacing w:line="220" w:lineRule="auto" w:before="5"/>
        <w:ind w:left="534" w:right="0" w:hanging="120"/>
        <w:jc w:val="left"/>
        <w:rPr>
          <w:sz w:val="16"/>
        </w:rPr>
      </w:pPr>
      <w:hyperlink w:history="true" w:anchor="_bookmark252">
        <w:r>
          <w:rPr>
            <w:color w:val="231F20"/>
            <w:sz w:val="16"/>
          </w:rPr>
          <w:t>Configure</w:t>
        </w:r>
        <w:r>
          <w:rPr>
            <w:color w:val="231F20"/>
            <w:spacing w:val="-6"/>
            <w:sz w:val="16"/>
          </w:rPr>
          <w:t> </w:t>
        </w:r>
        <w:r>
          <w:rPr>
            <w:color w:val="231F20"/>
            <w:sz w:val="16"/>
          </w:rPr>
          <w:t>Tivoli</w:t>
        </w:r>
        <w:r>
          <w:rPr>
            <w:color w:val="231F20"/>
            <w:spacing w:val="-9"/>
            <w:sz w:val="16"/>
          </w:rPr>
          <w:t> </w:t>
        </w:r>
        <w:r>
          <w:rPr>
            <w:color w:val="231F20"/>
            <w:sz w:val="16"/>
          </w:rPr>
          <w:t>Application</w:t>
        </w:r>
        <w:r>
          <w:rPr>
            <w:color w:val="231F20"/>
            <w:spacing w:val="-6"/>
            <w:sz w:val="16"/>
          </w:rPr>
          <w:t> </w:t>
        </w:r>
        <w:r>
          <w:rPr>
            <w:color w:val="231F20"/>
            <w:sz w:val="16"/>
          </w:rPr>
          <w:t>Dependency</w:t>
        </w:r>
      </w:hyperlink>
      <w:r>
        <w:rPr>
          <w:color w:val="231F20"/>
          <w:spacing w:val="40"/>
          <w:sz w:val="16"/>
        </w:rPr>
        <w:t> </w:t>
      </w:r>
      <w:hyperlink w:history="true" w:anchor="_bookmark252">
        <w:r>
          <w:rPr>
            <w:color w:val="231F20"/>
            <w:sz w:val="16"/>
          </w:rPr>
          <w:t>Discovery Manager Integration</w:t>
        </w:r>
        <w:r>
          <w:rPr>
            <w:color w:val="231F20"/>
            <w:spacing w:val="80"/>
            <w:sz w:val="16"/>
          </w:rPr>
          <w:t> </w:t>
        </w:r>
        <w:r>
          <w:rPr>
            <w:color w:val="231F20"/>
            <w:sz w:val="16"/>
          </w:rPr>
          <w:t>343</w:t>
        </w:r>
      </w:hyperlink>
    </w:p>
    <w:p>
      <w:pPr>
        <w:spacing w:line="196" w:lineRule="exact" w:before="0"/>
        <w:ind w:left="414" w:right="0" w:firstLine="0"/>
        <w:jc w:val="left"/>
        <w:rPr>
          <w:sz w:val="16"/>
        </w:rPr>
      </w:pPr>
      <w:r>
        <w:rPr>
          <w:color w:val="231F20"/>
          <w:spacing w:val="-2"/>
          <w:sz w:val="16"/>
        </w:rPr>
        <w:t>console</w:t>
      </w:r>
    </w:p>
    <w:p>
      <w:pPr>
        <w:spacing w:line="200" w:lineRule="exact" w:before="0"/>
        <w:ind w:left="654" w:right="0" w:firstLine="0"/>
        <w:jc w:val="left"/>
        <w:rPr>
          <w:sz w:val="16"/>
        </w:rPr>
      </w:pPr>
      <w:r>
        <w:rPr>
          <w:color w:val="231F20"/>
          <w:sz w:val="16"/>
        </w:rPr>
        <w:t>common</w:t>
      </w:r>
      <w:r>
        <w:rPr>
          <w:color w:val="231F20"/>
          <w:spacing w:val="6"/>
          <w:sz w:val="16"/>
        </w:rPr>
        <w:t> </w:t>
      </w:r>
      <w:r>
        <w:rPr>
          <w:color w:val="231F20"/>
          <w:spacing w:val="-2"/>
          <w:sz w:val="16"/>
        </w:rPr>
        <w:t>event</w:t>
      </w:r>
    </w:p>
    <w:p>
      <w:pPr>
        <w:spacing w:line="220" w:lineRule="auto" w:before="5"/>
        <w:ind w:left="893" w:right="409" w:firstLine="0"/>
        <w:jc w:val="left"/>
        <w:rPr>
          <w:sz w:val="16"/>
        </w:rPr>
      </w:pPr>
      <w:hyperlink w:history="true" w:anchor="_bookmark117">
        <w:r>
          <w:rPr>
            <w:color w:val="231F20"/>
            <w:sz w:val="16"/>
          </w:rPr>
          <w:t>filter, column value</w:t>
        </w:r>
        <w:r>
          <w:rPr>
            <w:color w:val="231F20"/>
            <w:spacing w:val="80"/>
            <w:sz w:val="16"/>
          </w:rPr>
          <w:t> </w:t>
        </w:r>
        <w:r>
          <w:rPr>
            <w:color w:val="231F20"/>
            <w:sz w:val="16"/>
          </w:rPr>
          <w:t>159</w:t>
        </w:r>
      </w:hyperlink>
      <w:r>
        <w:rPr>
          <w:color w:val="231F20"/>
          <w:spacing w:val="40"/>
          <w:sz w:val="16"/>
        </w:rPr>
        <w:t> </w:t>
      </w:r>
      <w:hyperlink w:history="true" w:anchor="_bookmark118">
        <w:r>
          <w:rPr>
            <w:color w:val="231F20"/>
            <w:sz w:val="16"/>
          </w:rPr>
          <w:t>quick filter, removing</w:t>
        </w:r>
        <w:r>
          <w:rPr>
            <w:color w:val="231F20"/>
            <w:spacing w:val="80"/>
            <w:sz w:val="16"/>
          </w:rPr>
          <w:t> </w:t>
        </w:r>
        <w:r>
          <w:rPr>
            <w:color w:val="231F20"/>
            <w:sz w:val="16"/>
          </w:rPr>
          <w:t>160</w:t>
        </w:r>
      </w:hyperlink>
    </w:p>
    <w:p>
      <w:pPr>
        <w:spacing w:line="196" w:lineRule="exact" w:before="0"/>
        <w:ind w:left="654" w:right="0" w:firstLine="0"/>
        <w:jc w:val="left"/>
        <w:rPr>
          <w:sz w:val="16"/>
        </w:rPr>
      </w:pPr>
      <w:r>
        <w:rPr>
          <w:color w:val="231F20"/>
          <w:spacing w:val="-2"/>
          <w:sz w:val="16"/>
        </w:rPr>
        <w:t>event</w:t>
      </w:r>
    </w:p>
    <w:p>
      <w:pPr>
        <w:spacing w:line="220" w:lineRule="auto" w:before="5"/>
        <w:ind w:left="893" w:right="0" w:firstLine="0"/>
        <w:jc w:val="left"/>
        <w:rPr>
          <w:sz w:val="16"/>
        </w:rPr>
      </w:pPr>
      <w:hyperlink w:history="true" w:anchor="_bookmark118">
        <w:r>
          <w:rPr>
            <w:color w:val="231F20"/>
            <w:sz w:val="16"/>
          </w:rPr>
          <w:t>quick thresholds, remove</w:t>
        </w:r>
        <w:r>
          <w:rPr>
            <w:color w:val="231F20"/>
            <w:spacing w:val="80"/>
            <w:sz w:val="16"/>
          </w:rPr>
          <w:t> </w:t>
        </w:r>
        <w:r>
          <w:rPr>
            <w:color w:val="231F20"/>
            <w:sz w:val="16"/>
          </w:rPr>
          <w:t>160</w:t>
        </w:r>
      </w:hyperlink>
      <w:r>
        <w:rPr>
          <w:color w:val="231F20"/>
          <w:spacing w:val="40"/>
          <w:sz w:val="16"/>
        </w:rPr>
        <w:t> </w:t>
      </w:r>
      <w:hyperlink w:history="true" w:anchor="_bookmark118">
        <w:r>
          <w:rPr>
            <w:color w:val="231F20"/>
            <w:sz w:val="16"/>
          </w:rPr>
          <w:t>setting view properties</w:t>
        </w:r>
        <w:r>
          <w:rPr>
            <w:color w:val="231F20"/>
            <w:spacing w:val="80"/>
            <w:sz w:val="16"/>
          </w:rPr>
          <w:t> </w:t>
        </w:r>
        <w:r>
          <w:rPr>
            <w:color w:val="231F20"/>
            <w:sz w:val="16"/>
          </w:rPr>
          <w:t>160</w:t>
        </w:r>
      </w:hyperlink>
    </w:p>
    <w:p>
      <w:pPr>
        <w:spacing w:line="220" w:lineRule="auto" w:before="2"/>
        <w:ind w:left="534" w:right="0" w:hanging="120"/>
        <w:jc w:val="left"/>
        <w:rPr>
          <w:sz w:val="16"/>
        </w:rPr>
      </w:pPr>
      <w:hyperlink w:history="true" w:anchor="_bookmark321">
        <w:r>
          <w:rPr>
            <w:color w:val="231F20"/>
            <w:sz w:val="16"/>
          </w:rPr>
          <w:t>copy the contents of a cell or row in </w:t>
        </w:r>
        <w:r>
          <w:rPr>
            <w:color w:val="231F20"/>
            <w:sz w:val="16"/>
          </w:rPr>
          <w:t>the</w:t>
        </w:r>
      </w:hyperlink>
      <w:r>
        <w:rPr>
          <w:color w:val="231F20"/>
          <w:spacing w:val="40"/>
          <w:sz w:val="16"/>
        </w:rPr>
        <w:t> </w:t>
      </w:r>
      <w:hyperlink w:history="true" w:anchor="_bookmark321">
        <w:r>
          <w:rPr>
            <w:color w:val="231F20"/>
            <w:sz w:val="16"/>
          </w:rPr>
          <w:t>formula editor</w:t>
        </w:r>
        <w:r>
          <w:rPr>
            <w:color w:val="231F20"/>
            <w:spacing w:val="80"/>
            <w:sz w:val="16"/>
          </w:rPr>
          <w:t> </w:t>
        </w:r>
        <w:r>
          <w:rPr>
            <w:color w:val="231F20"/>
            <w:sz w:val="16"/>
          </w:rPr>
          <w:t>415</w:t>
        </w:r>
      </w:hyperlink>
    </w:p>
    <w:p>
      <w:pPr>
        <w:spacing w:line="220" w:lineRule="auto" w:before="2"/>
        <w:ind w:left="414" w:right="409" w:firstLine="0"/>
        <w:jc w:val="left"/>
        <w:rPr>
          <w:sz w:val="16"/>
        </w:rPr>
      </w:pPr>
      <w:hyperlink w:history="true" w:anchor="_bookmark333">
        <w:r>
          <w:rPr>
            <w:color w:val="231F20"/>
            <w:sz w:val="16"/>
          </w:rPr>
          <w:t>COUNT formula function</w:t>
        </w:r>
        <w:r>
          <w:rPr>
            <w:color w:val="231F20"/>
            <w:spacing w:val="80"/>
            <w:sz w:val="16"/>
          </w:rPr>
          <w:t> </w:t>
        </w:r>
        <w:r>
          <w:rPr>
            <w:color w:val="231F20"/>
            <w:sz w:val="16"/>
          </w:rPr>
          <w:t>424</w:t>
        </w:r>
      </w:hyperlink>
      <w:r>
        <w:rPr>
          <w:color w:val="231F20"/>
          <w:spacing w:val="40"/>
          <w:sz w:val="16"/>
        </w:rPr>
        <w:t> </w:t>
      </w:r>
      <w:hyperlink w:history="true" w:anchor="_bookmark333">
        <w:r>
          <w:rPr>
            <w:color w:val="231F20"/>
            <w:sz w:val="16"/>
          </w:rPr>
          <w:t>Count</w:t>
        </w:r>
        <w:r>
          <w:rPr>
            <w:color w:val="231F20"/>
            <w:spacing w:val="9"/>
            <w:sz w:val="16"/>
          </w:rPr>
          <w:t> </w:t>
        </w:r>
        <w:r>
          <w:rPr>
            <w:color w:val="231F20"/>
            <w:sz w:val="16"/>
          </w:rPr>
          <w:t>of</w:t>
        </w:r>
        <w:r>
          <w:rPr>
            <w:color w:val="231F20"/>
            <w:spacing w:val="10"/>
            <w:sz w:val="16"/>
          </w:rPr>
          <w:t> </w:t>
        </w:r>
        <w:r>
          <w:rPr>
            <w:color w:val="231F20"/>
            <w:sz w:val="16"/>
          </w:rPr>
          <w:t>group</w:t>
        </w:r>
        <w:r>
          <w:rPr>
            <w:color w:val="231F20"/>
            <w:spacing w:val="10"/>
            <w:sz w:val="16"/>
          </w:rPr>
          <w:t> </w:t>
        </w:r>
        <w:r>
          <w:rPr>
            <w:color w:val="231F20"/>
            <w:sz w:val="16"/>
          </w:rPr>
          <w:t>members</w:t>
        </w:r>
        <w:r>
          <w:rPr>
            <w:color w:val="231F20"/>
            <w:spacing w:val="34"/>
            <w:sz w:val="16"/>
          </w:rPr>
          <w:t>  </w:t>
        </w:r>
        <w:r>
          <w:rPr>
            <w:color w:val="231F20"/>
            <w:spacing w:val="-5"/>
            <w:sz w:val="16"/>
          </w:rPr>
          <w:t>424</w:t>
        </w:r>
      </w:hyperlink>
    </w:p>
    <w:p>
      <w:pPr>
        <w:spacing w:line="240" w:lineRule="auto" w:before="0"/>
        <w:rPr>
          <w:sz w:val="16"/>
        </w:rPr>
      </w:pPr>
      <w:r>
        <w:rPr/>
        <w:br w:type="column"/>
      </w:r>
      <w:r>
        <w:rPr>
          <w:sz w:val="16"/>
        </w:rPr>
      </w:r>
    </w:p>
    <w:p>
      <w:pPr>
        <w:pStyle w:val="BodyText"/>
        <w:rPr>
          <w:sz w:val="16"/>
        </w:rPr>
      </w:pPr>
    </w:p>
    <w:p>
      <w:pPr>
        <w:pStyle w:val="BodyText"/>
        <w:spacing w:before="55"/>
        <w:rPr>
          <w:sz w:val="16"/>
        </w:rPr>
      </w:pPr>
    </w:p>
    <w:p>
      <w:pPr>
        <w:spacing w:line="208" w:lineRule="exact" w:before="1"/>
        <w:ind w:left="228" w:right="0" w:firstLine="0"/>
        <w:jc w:val="left"/>
        <w:rPr>
          <w:sz w:val="16"/>
        </w:rPr>
      </w:pPr>
      <w:r>
        <w:rPr>
          <w:color w:val="231F20"/>
          <w:spacing w:val="-5"/>
          <w:sz w:val="16"/>
        </w:rPr>
        <w:t>CPU</w:t>
      </w:r>
    </w:p>
    <w:p>
      <w:pPr>
        <w:spacing w:line="220" w:lineRule="auto" w:before="5"/>
        <w:ind w:left="228" w:right="540" w:firstLine="239"/>
        <w:jc w:val="left"/>
        <w:rPr>
          <w:sz w:val="16"/>
        </w:rPr>
      </w:pPr>
      <w:hyperlink w:history="true" w:anchor="_bookmark234">
        <w:r>
          <w:rPr>
            <w:color w:val="231F20"/>
            <w:sz w:val="16"/>
          </w:rPr>
          <w:t>high on monitoring server</w:t>
        </w:r>
        <w:r>
          <w:rPr>
            <w:color w:val="231F20"/>
            <w:spacing w:val="80"/>
            <w:sz w:val="16"/>
          </w:rPr>
          <w:t> </w:t>
        </w:r>
        <w:r>
          <w:rPr>
            <w:color w:val="231F20"/>
            <w:sz w:val="16"/>
          </w:rPr>
          <w:t>321</w:t>
        </w:r>
      </w:hyperlink>
      <w:r>
        <w:rPr>
          <w:color w:val="231F20"/>
          <w:spacing w:val="40"/>
          <w:sz w:val="16"/>
        </w:rPr>
        <w:t> </w:t>
      </w:r>
      <w:hyperlink w:history="true" w:anchor="_bookmark56">
        <w:r>
          <w:rPr>
            <w:color w:val="231F20"/>
            <w:sz w:val="16"/>
          </w:rPr>
          <w:t>create a new workspace</w:t>
        </w:r>
        <w:r>
          <w:rPr>
            <w:color w:val="231F20"/>
            <w:spacing w:val="80"/>
            <w:sz w:val="16"/>
          </w:rPr>
          <w:t> </w:t>
        </w:r>
        <w:r>
          <w:rPr>
            <w:color w:val="231F20"/>
            <w:sz w:val="16"/>
          </w:rPr>
          <w:t>70</w:t>
        </w:r>
      </w:hyperlink>
    </w:p>
    <w:p>
      <w:pPr>
        <w:spacing w:line="196" w:lineRule="exact" w:before="0"/>
        <w:ind w:left="228" w:right="0" w:firstLine="0"/>
        <w:jc w:val="left"/>
        <w:rPr>
          <w:sz w:val="16"/>
        </w:rPr>
      </w:pPr>
      <w:hyperlink w:history="true" w:anchor="_bookmark195">
        <w:r>
          <w:rPr>
            <w:color w:val="231F20"/>
            <w:sz w:val="16"/>
          </w:rPr>
          <w:t>create</w:t>
        </w:r>
        <w:r>
          <w:rPr>
            <w:color w:val="231F20"/>
            <w:spacing w:val="9"/>
            <w:sz w:val="16"/>
          </w:rPr>
          <w:t> </w:t>
        </w:r>
        <w:r>
          <w:rPr>
            <w:color w:val="231F20"/>
            <w:sz w:val="16"/>
          </w:rPr>
          <w:t>situation</w:t>
        </w:r>
        <w:r>
          <w:rPr>
            <w:color w:val="231F20"/>
            <w:spacing w:val="34"/>
            <w:sz w:val="16"/>
          </w:rPr>
          <w:t>  </w:t>
        </w:r>
        <w:r>
          <w:rPr>
            <w:color w:val="231F20"/>
            <w:spacing w:val="-5"/>
            <w:sz w:val="16"/>
          </w:rPr>
          <w:t>265</w:t>
        </w:r>
      </w:hyperlink>
    </w:p>
    <w:p>
      <w:pPr>
        <w:spacing w:line="220" w:lineRule="auto" w:before="5"/>
        <w:ind w:left="228" w:right="1047" w:firstLine="0"/>
        <w:jc w:val="left"/>
        <w:rPr>
          <w:sz w:val="16"/>
        </w:rPr>
      </w:pPr>
      <w:hyperlink w:history="true" w:anchor="_bookmark63">
        <w:r>
          <w:rPr>
            <w:color w:val="231F20"/>
            <w:sz w:val="16"/>
          </w:rPr>
          <w:t>creating a new view</w:t>
        </w:r>
        <w:r>
          <w:rPr>
            <w:color w:val="231F20"/>
            <w:spacing w:val="80"/>
            <w:sz w:val="16"/>
          </w:rPr>
          <w:t> </w:t>
        </w:r>
        <w:r>
          <w:rPr>
            <w:color w:val="231F20"/>
            <w:sz w:val="16"/>
          </w:rPr>
          <w:t>83,</w:t>
        </w:r>
      </w:hyperlink>
      <w:r>
        <w:rPr>
          <w:color w:val="231F20"/>
          <w:sz w:val="16"/>
        </w:rPr>
        <w:t> </w:t>
      </w:r>
      <w:hyperlink w:history="true" w:anchor="_bookmark79">
        <w:r>
          <w:rPr>
            <w:color w:val="231F20"/>
            <w:sz w:val="16"/>
          </w:rPr>
          <w:t>102</w:t>
        </w:r>
      </w:hyperlink>
      <w:r>
        <w:rPr>
          <w:color w:val="231F20"/>
          <w:spacing w:val="40"/>
          <w:sz w:val="16"/>
        </w:rPr>
        <w:t> </w:t>
      </w:r>
      <w:hyperlink w:history="true" w:anchor="_bookmark199">
        <w:r>
          <w:rPr>
            <w:color w:val="231F20"/>
            <w:sz w:val="16"/>
          </w:rPr>
          <w:t>custom audio files</w:t>
        </w:r>
        <w:r>
          <w:rPr>
            <w:color w:val="231F20"/>
            <w:spacing w:val="80"/>
            <w:sz w:val="16"/>
          </w:rPr>
          <w:t> </w:t>
        </w:r>
        <w:r>
          <w:rPr>
            <w:color w:val="231F20"/>
            <w:sz w:val="16"/>
          </w:rPr>
          <w:t>269</w:t>
        </w:r>
      </w:hyperlink>
      <w:r>
        <w:rPr>
          <w:color w:val="231F20"/>
          <w:spacing w:val="40"/>
          <w:sz w:val="16"/>
        </w:rPr>
        <w:t> </w:t>
      </w:r>
      <w:hyperlink w:history="true" w:anchor="_bookmark93">
        <w:r>
          <w:rPr>
            <w:color w:val="231F20"/>
            <w:sz w:val="16"/>
          </w:rPr>
          <w:t>custom color</w:t>
        </w:r>
        <w:r>
          <w:rPr>
            <w:color w:val="231F20"/>
            <w:spacing w:val="80"/>
            <w:sz w:val="16"/>
          </w:rPr>
          <w:t> </w:t>
        </w:r>
        <w:r>
          <w:rPr>
            <w:color w:val="231F20"/>
            <w:sz w:val="16"/>
          </w:rPr>
          <w:t>123</w:t>
        </w:r>
      </w:hyperlink>
    </w:p>
    <w:p>
      <w:pPr>
        <w:spacing w:line="220" w:lineRule="auto" w:before="3"/>
        <w:ind w:left="468" w:right="1078" w:hanging="240"/>
        <w:jc w:val="left"/>
        <w:rPr>
          <w:sz w:val="16"/>
        </w:rPr>
      </w:pPr>
      <w:hyperlink w:history="true" w:anchor="_bookmark167">
        <w:r>
          <w:rPr>
            <w:color w:val="231F20"/>
            <w:sz w:val="16"/>
          </w:rPr>
          <w:t>custom navigator views</w:t>
        </w:r>
        <w:r>
          <w:rPr>
            <w:color w:val="231F20"/>
            <w:spacing w:val="80"/>
            <w:sz w:val="16"/>
          </w:rPr>
          <w:t> </w:t>
        </w:r>
        <w:r>
          <w:rPr>
            <w:color w:val="231F20"/>
            <w:sz w:val="16"/>
          </w:rPr>
          <w:t>233</w:t>
        </w:r>
      </w:hyperlink>
      <w:r>
        <w:rPr>
          <w:color w:val="231F20"/>
          <w:spacing w:val="40"/>
          <w:sz w:val="16"/>
        </w:rPr>
        <w:t> </w:t>
      </w:r>
      <w:hyperlink w:history="true" w:anchor="_bookmark169">
        <w:r>
          <w:rPr>
            <w:color w:val="231F20"/>
            <w:sz w:val="16"/>
          </w:rPr>
          <w:t>add a child item</w:t>
        </w:r>
        <w:r>
          <w:rPr>
            <w:color w:val="231F20"/>
            <w:spacing w:val="80"/>
            <w:sz w:val="16"/>
          </w:rPr>
          <w:t> </w:t>
        </w:r>
        <w:r>
          <w:rPr>
            <w:color w:val="231F20"/>
            <w:sz w:val="16"/>
          </w:rPr>
          <w:t>236</w:t>
        </w:r>
      </w:hyperlink>
      <w:r>
        <w:rPr>
          <w:color w:val="231F20"/>
          <w:spacing w:val="40"/>
          <w:sz w:val="16"/>
        </w:rPr>
        <w:t> </w:t>
      </w:r>
      <w:hyperlink w:history="true" w:anchor="_bookmark167">
        <w:r>
          <w:rPr>
            <w:color w:val="231F20"/>
            <w:sz w:val="16"/>
          </w:rPr>
          <w:t>characteristics</w:t>
        </w:r>
        <w:r>
          <w:rPr>
            <w:color w:val="231F20"/>
            <w:spacing w:val="80"/>
            <w:sz w:val="16"/>
          </w:rPr>
          <w:t> </w:t>
        </w:r>
        <w:r>
          <w:rPr>
            <w:color w:val="231F20"/>
            <w:sz w:val="16"/>
          </w:rPr>
          <w:t>233</w:t>
        </w:r>
      </w:hyperlink>
      <w:r>
        <w:rPr>
          <w:color w:val="231F20"/>
          <w:spacing w:val="40"/>
          <w:sz w:val="16"/>
        </w:rPr>
        <w:t> </w:t>
      </w:r>
      <w:hyperlink w:history="true" w:anchor="_bookmark168">
        <w:r>
          <w:rPr>
            <w:color w:val="231F20"/>
            <w:sz w:val="16"/>
          </w:rPr>
          <w:t>creating a view</w:t>
        </w:r>
        <w:r>
          <w:rPr>
            <w:color w:val="231F20"/>
            <w:spacing w:val="80"/>
            <w:sz w:val="16"/>
          </w:rPr>
          <w:t> </w:t>
        </w:r>
        <w:r>
          <w:rPr>
            <w:color w:val="231F20"/>
            <w:sz w:val="16"/>
          </w:rPr>
          <w:t>234</w:t>
        </w:r>
      </w:hyperlink>
      <w:r>
        <w:rPr>
          <w:color w:val="231F20"/>
          <w:spacing w:val="80"/>
          <w:sz w:val="16"/>
        </w:rPr>
        <w:t> </w:t>
      </w:r>
      <w:hyperlink w:history="true" w:anchor="_bookmark174">
        <w:r>
          <w:rPr>
            <w:color w:val="231F20"/>
            <w:sz w:val="16"/>
          </w:rPr>
          <w:t>delete a view or item</w:t>
        </w:r>
        <w:r>
          <w:rPr>
            <w:color w:val="231F20"/>
            <w:spacing w:val="80"/>
            <w:sz w:val="16"/>
          </w:rPr>
          <w:t> </w:t>
        </w:r>
        <w:r>
          <w:rPr>
            <w:color w:val="231F20"/>
            <w:sz w:val="16"/>
          </w:rPr>
          <w:t>240</w:t>
        </w:r>
      </w:hyperlink>
      <w:r>
        <w:rPr>
          <w:color w:val="231F20"/>
          <w:spacing w:val="40"/>
          <w:sz w:val="16"/>
        </w:rPr>
        <w:t> </w:t>
      </w:r>
      <w:hyperlink w:history="true" w:anchor="_bookmark171">
        <w:r>
          <w:rPr>
            <w:color w:val="231F20"/>
            <w:sz w:val="16"/>
          </w:rPr>
          <w:t>edit a view</w:t>
        </w:r>
        <w:r>
          <w:rPr>
            <w:color w:val="231F20"/>
            <w:spacing w:val="80"/>
            <w:sz w:val="16"/>
          </w:rPr>
          <w:t> </w:t>
        </w:r>
        <w:r>
          <w:rPr>
            <w:color w:val="231F20"/>
            <w:sz w:val="16"/>
          </w:rPr>
          <w:t>238</w:t>
        </w:r>
      </w:hyperlink>
    </w:p>
    <w:p>
      <w:pPr>
        <w:spacing w:line="220" w:lineRule="auto" w:before="6"/>
        <w:ind w:left="468" w:right="540" w:firstLine="0"/>
        <w:jc w:val="left"/>
        <w:rPr>
          <w:sz w:val="16"/>
        </w:rPr>
      </w:pPr>
      <w:hyperlink w:history="true" w:anchor="_bookmark172">
        <w:r>
          <w:rPr>
            <w:color w:val="231F20"/>
            <w:sz w:val="16"/>
          </w:rPr>
          <w:t>edit item properties</w:t>
        </w:r>
        <w:r>
          <w:rPr>
            <w:color w:val="231F20"/>
            <w:spacing w:val="80"/>
            <w:sz w:val="16"/>
          </w:rPr>
          <w:t> </w:t>
        </w:r>
        <w:r>
          <w:rPr>
            <w:color w:val="231F20"/>
            <w:sz w:val="16"/>
          </w:rPr>
          <w:t>239</w:t>
        </w:r>
      </w:hyperlink>
      <w:r>
        <w:rPr>
          <w:color w:val="231F20"/>
          <w:spacing w:val="40"/>
          <w:sz w:val="16"/>
        </w:rPr>
        <w:t> </w:t>
      </w:r>
      <w:hyperlink w:history="true" w:anchor="_bookmark174">
        <w:r>
          <w:rPr>
            <w:color w:val="231F20"/>
            <w:sz w:val="16"/>
          </w:rPr>
          <w:t>renaming a view or item</w:t>
        </w:r>
        <w:r>
          <w:rPr>
            <w:color w:val="231F20"/>
            <w:spacing w:val="80"/>
            <w:sz w:val="16"/>
          </w:rPr>
          <w:t> </w:t>
        </w:r>
        <w:r>
          <w:rPr>
            <w:color w:val="231F20"/>
            <w:sz w:val="16"/>
          </w:rPr>
          <w:t>240</w:t>
        </w:r>
      </w:hyperlink>
    </w:p>
    <w:p>
      <w:pPr>
        <w:spacing w:line="220" w:lineRule="auto" w:before="2"/>
        <w:ind w:left="228" w:right="749" w:firstLine="0"/>
        <w:jc w:val="left"/>
        <w:rPr>
          <w:sz w:val="16"/>
        </w:rPr>
      </w:pPr>
      <w:hyperlink w:history="true" w:anchor="_bookmark356">
        <w:r>
          <w:rPr>
            <w:color w:val="231F20"/>
            <w:sz w:val="16"/>
          </w:rPr>
          <w:t>customer support</w:t>
        </w:r>
        <w:r>
          <w:rPr>
            <w:color w:val="231F20"/>
            <w:spacing w:val="80"/>
            <w:sz w:val="16"/>
          </w:rPr>
          <w:t> </w:t>
        </w:r>
        <w:r>
          <w:rPr>
            <w:color w:val="231F20"/>
            <w:sz w:val="16"/>
          </w:rPr>
          <w:t>461</w:t>
        </w:r>
      </w:hyperlink>
      <w:r>
        <w:rPr>
          <w:color w:val="231F20"/>
          <w:spacing w:val="40"/>
          <w:sz w:val="16"/>
        </w:rPr>
        <w:t> </w:t>
      </w:r>
      <w:r>
        <w:rPr>
          <w:color w:val="231F20"/>
          <w:sz w:val="16"/>
        </w:rPr>
        <w:t>customizing</w:t>
      </w:r>
      <w:r>
        <w:rPr>
          <w:color w:val="231F20"/>
          <w:spacing w:val="-6"/>
          <w:sz w:val="16"/>
        </w:rPr>
        <w:t> </w:t>
      </w:r>
      <w:r>
        <w:rPr>
          <w:color w:val="231F20"/>
          <w:sz w:val="16"/>
        </w:rPr>
        <w:t>workspace</w:t>
      </w:r>
      <w:r>
        <w:rPr>
          <w:color w:val="231F20"/>
          <w:spacing w:val="-6"/>
          <w:sz w:val="16"/>
        </w:rPr>
        <w:t> </w:t>
      </w:r>
      <w:r>
        <w:rPr>
          <w:color w:val="231F20"/>
          <w:sz w:val="16"/>
        </w:rPr>
        <w:t>views</w:t>
      </w:r>
    </w:p>
    <w:p>
      <w:pPr>
        <w:spacing w:line="220" w:lineRule="auto" w:before="2"/>
        <w:ind w:left="468" w:right="540" w:firstLine="0"/>
        <w:jc w:val="left"/>
        <w:rPr>
          <w:sz w:val="16"/>
        </w:rPr>
      </w:pPr>
      <w:hyperlink w:history="true" w:anchor="_bookmark63">
        <w:r>
          <w:rPr>
            <w:color w:val="231F20"/>
            <w:sz w:val="16"/>
          </w:rPr>
          <w:t>creating a new view</w:t>
        </w:r>
        <w:r>
          <w:rPr>
            <w:color w:val="231F20"/>
            <w:spacing w:val="80"/>
            <w:sz w:val="16"/>
          </w:rPr>
          <w:t> </w:t>
        </w:r>
        <w:r>
          <w:rPr>
            <w:color w:val="231F20"/>
            <w:sz w:val="16"/>
          </w:rPr>
          <w:t>83,</w:t>
        </w:r>
      </w:hyperlink>
      <w:r>
        <w:rPr>
          <w:color w:val="231F20"/>
          <w:sz w:val="16"/>
        </w:rPr>
        <w:t> </w:t>
      </w:r>
      <w:hyperlink w:history="true" w:anchor="_bookmark79">
        <w:r>
          <w:rPr>
            <w:color w:val="231F20"/>
            <w:sz w:val="16"/>
          </w:rPr>
          <w:t>102</w:t>
        </w:r>
      </w:hyperlink>
      <w:r>
        <w:rPr>
          <w:color w:val="231F20"/>
          <w:spacing w:val="40"/>
          <w:sz w:val="16"/>
        </w:rPr>
        <w:t> </w:t>
      </w:r>
      <w:hyperlink w:history="true" w:anchor="_bookmark64">
        <w:r>
          <w:rPr>
            <w:color w:val="231F20"/>
            <w:sz w:val="16"/>
          </w:rPr>
          <w:t>editing a view</w:t>
        </w:r>
        <w:r>
          <w:rPr>
            <w:color w:val="231F20"/>
            <w:spacing w:val="80"/>
            <w:sz w:val="16"/>
          </w:rPr>
          <w:t> </w:t>
        </w:r>
        <w:r>
          <w:rPr>
            <w:color w:val="231F20"/>
            <w:sz w:val="16"/>
          </w:rPr>
          <w:t>84</w:t>
        </w:r>
      </w:hyperlink>
    </w:p>
    <w:p>
      <w:pPr>
        <w:spacing w:line="220" w:lineRule="auto" w:before="2"/>
        <w:ind w:left="348" w:right="286" w:hanging="120"/>
        <w:jc w:val="left"/>
        <w:rPr>
          <w:sz w:val="16"/>
        </w:rPr>
      </w:pPr>
      <w:hyperlink w:history="true" w:anchor="_bookmark321">
        <w:r>
          <w:rPr>
            <w:color w:val="231F20"/>
            <w:sz w:val="16"/>
          </w:rPr>
          <w:t>cut the contents from a formula </w:t>
        </w:r>
        <w:r>
          <w:rPr>
            <w:color w:val="231F20"/>
            <w:sz w:val="16"/>
          </w:rPr>
          <w:t>editor</w:t>
        </w:r>
      </w:hyperlink>
      <w:r>
        <w:rPr>
          <w:color w:val="231F20"/>
          <w:spacing w:val="40"/>
          <w:sz w:val="16"/>
        </w:rPr>
        <w:t> </w:t>
      </w:r>
      <w:hyperlink w:history="true" w:anchor="_bookmark321">
        <w:r>
          <w:rPr>
            <w:color w:val="231F20"/>
            <w:sz w:val="16"/>
          </w:rPr>
          <w:t>cell or row</w:t>
        </w:r>
        <w:r>
          <w:rPr>
            <w:color w:val="231F20"/>
            <w:spacing w:val="80"/>
            <w:sz w:val="16"/>
          </w:rPr>
          <w:t> </w:t>
        </w:r>
        <w:r>
          <w:rPr>
            <w:color w:val="231F20"/>
            <w:sz w:val="16"/>
          </w:rPr>
          <w:t>415</w:t>
        </w:r>
      </w:hyperlink>
    </w:p>
    <w:p>
      <w:pPr>
        <w:pStyle w:val="BodyText"/>
        <w:spacing w:before="109"/>
        <w:rPr>
          <w:sz w:val="16"/>
        </w:rPr>
      </w:pPr>
    </w:p>
    <w:p>
      <w:pPr>
        <w:pStyle w:val="Heading1"/>
        <w:ind w:left="228"/>
      </w:pPr>
      <w:bookmarkStart w:name="D" w:id="753"/>
      <w:bookmarkEnd w:id="753"/>
      <w:r>
        <w:rPr>
          <w:b w:val="0"/>
        </w:rPr>
      </w:r>
      <w:r>
        <w:rPr>
          <w:color w:val="231F20"/>
          <w:spacing w:val="-10"/>
        </w:rPr>
        <w:t>D</w:t>
      </w:r>
    </w:p>
    <w:p>
      <w:pPr>
        <w:spacing w:line="220" w:lineRule="auto" w:before="10"/>
        <w:ind w:left="467" w:right="290" w:hanging="240"/>
        <w:jc w:val="left"/>
        <w:rPr>
          <w:sz w:val="16"/>
        </w:rPr>
      </w:pPr>
      <w:r>
        <w:rPr>
          <w:color w:val="231F20"/>
          <w:sz w:val="16"/>
        </w:rPr>
        <w:t>Dashboard</w:t>
      </w:r>
      <w:r>
        <w:rPr>
          <w:color w:val="231F20"/>
          <w:spacing w:val="-7"/>
          <w:sz w:val="16"/>
        </w:rPr>
        <w:t> </w:t>
      </w:r>
      <w:r>
        <w:rPr>
          <w:color w:val="231F20"/>
          <w:sz w:val="16"/>
        </w:rPr>
        <w:t>Application</w:t>
      </w:r>
      <w:r>
        <w:rPr>
          <w:color w:val="231F20"/>
          <w:spacing w:val="-2"/>
          <w:sz w:val="16"/>
        </w:rPr>
        <w:t> </w:t>
      </w:r>
      <w:r>
        <w:rPr>
          <w:color w:val="231F20"/>
          <w:sz w:val="16"/>
        </w:rPr>
        <w:t>Services</w:t>
      </w:r>
      <w:r>
        <w:rPr>
          <w:color w:val="231F20"/>
          <w:spacing w:val="-2"/>
          <w:sz w:val="16"/>
        </w:rPr>
        <w:t> </w:t>
      </w:r>
      <w:r>
        <w:rPr>
          <w:color w:val="231F20"/>
          <w:sz w:val="16"/>
        </w:rPr>
        <w:t>Hub</w:t>
      </w:r>
      <w:r>
        <w:rPr>
          <w:color w:val="231F20"/>
          <w:spacing w:val="40"/>
          <w:sz w:val="16"/>
        </w:rPr>
        <w:t> </w:t>
      </w:r>
      <w:hyperlink w:history="true" w:anchor="_bookmark284">
        <w:r>
          <w:rPr>
            <w:color w:val="231F20"/>
            <w:sz w:val="16"/>
          </w:rPr>
          <w:t>user IDs</w:t>
        </w:r>
        <w:r>
          <w:rPr>
            <w:color w:val="231F20"/>
            <w:spacing w:val="80"/>
            <w:sz w:val="16"/>
          </w:rPr>
          <w:t> </w:t>
        </w:r>
        <w:r>
          <w:rPr>
            <w:color w:val="231F20"/>
            <w:sz w:val="16"/>
          </w:rPr>
          <w:t>377</w:t>
        </w:r>
      </w:hyperlink>
    </w:p>
    <w:p>
      <w:pPr>
        <w:spacing w:line="220" w:lineRule="auto" w:before="2"/>
        <w:ind w:left="228" w:right="749" w:firstLine="0"/>
        <w:jc w:val="left"/>
        <w:rPr>
          <w:sz w:val="16"/>
        </w:rPr>
      </w:pPr>
      <w:hyperlink w:history="true" w:anchor="_bookmark324">
        <w:r>
          <w:rPr>
            <w:color w:val="231F20"/>
            <w:sz w:val="16"/>
          </w:rPr>
          <w:t>DATE formula function</w:t>
        </w:r>
        <w:r>
          <w:rPr>
            <w:color w:val="231F20"/>
            <w:spacing w:val="80"/>
            <w:sz w:val="16"/>
          </w:rPr>
          <w:t> </w:t>
        </w:r>
        <w:r>
          <w:rPr>
            <w:color w:val="231F20"/>
            <w:sz w:val="16"/>
          </w:rPr>
          <w:t>417</w:t>
        </w:r>
      </w:hyperlink>
      <w:r>
        <w:rPr>
          <w:color w:val="231F20"/>
          <w:spacing w:val="40"/>
          <w:sz w:val="16"/>
        </w:rPr>
        <w:t> </w:t>
      </w:r>
      <w:hyperlink w:history="true" w:anchor="_bookmark58">
        <w:r>
          <w:rPr>
            <w:color w:val="231F20"/>
            <w:sz w:val="16"/>
          </w:rPr>
          <w:t>delete or restore a workspace</w:t>
        </w:r>
        <w:r>
          <w:rPr>
            <w:color w:val="231F20"/>
            <w:spacing w:val="80"/>
            <w:sz w:val="16"/>
          </w:rPr>
          <w:t> </w:t>
        </w:r>
        <w:r>
          <w:rPr>
            <w:color w:val="231F20"/>
            <w:sz w:val="16"/>
          </w:rPr>
          <w:t>72</w:t>
        </w:r>
      </w:hyperlink>
    </w:p>
    <w:p>
      <w:pPr>
        <w:spacing w:line="220" w:lineRule="auto" w:before="2"/>
        <w:ind w:left="348" w:right="540" w:hanging="120"/>
        <w:jc w:val="left"/>
        <w:rPr>
          <w:sz w:val="16"/>
        </w:rPr>
      </w:pPr>
      <w:hyperlink w:history="true" w:anchor="_bookmark321">
        <w:r>
          <w:rPr>
            <w:color w:val="231F20"/>
            <w:sz w:val="16"/>
          </w:rPr>
          <w:t>delete the contents from a row in </w:t>
        </w:r>
        <w:r>
          <w:rPr>
            <w:color w:val="231F20"/>
            <w:sz w:val="16"/>
          </w:rPr>
          <w:t>the</w:t>
        </w:r>
      </w:hyperlink>
      <w:r>
        <w:rPr>
          <w:color w:val="231F20"/>
          <w:spacing w:val="40"/>
          <w:sz w:val="16"/>
        </w:rPr>
        <w:t> </w:t>
      </w:r>
      <w:hyperlink w:history="true" w:anchor="_bookmark321">
        <w:r>
          <w:rPr>
            <w:color w:val="231F20"/>
            <w:sz w:val="16"/>
          </w:rPr>
          <w:t>formula editor</w:t>
        </w:r>
        <w:r>
          <w:rPr>
            <w:color w:val="231F20"/>
            <w:spacing w:val="80"/>
            <w:sz w:val="16"/>
          </w:rPr>
          <w:t> </w:t>
        </w:r>
        <w:r>
          <w:rPr>
            <w:color w:val="231F20"/>
            <w:sz w:val="16"/>
          </w:rPr>
          <w:t>415</w:t>
        </w:r>
      </w:hyperlink>
    </w:p>
    <w:p>
      <w:pPr>
        <w:spacing w:line="196" w:lineRule="exact" w:before="0"/>
        <w:ind w:left="228" w:right="0" w:firstLine="0"/>
        <w:jc w:val="left"/>
        <w:rPr>
          <w:sz w:val="16"/>
        </w:rPr>
      </w:pPr>
      <w:r>
        <w:rPr>
          <w:color w:val="231F20"/>
          <w:spacing w:val="-2"/>
          <w:sz w:val="16"/>
        </w:rPr>
        <w:t>deploy</w:t>
      </w:r>
    </w:p>
    <w:p>
      <w:pPr>
        <w:spacing w:line="220" w:lineRule="auto" w:before="6"/>
        <w:ind w:left="467" w:right="290" w:firstLine="0"/>
        <w:jc w:val="left"/>
        <w:rPr>
          <w:sz w:val="16"/>
        </w:rPr>
      </w:pPr>
      <w:hyperlink w:history="true" w:anchor="_bookmark307">
        <w:r>
          <w:rPr>
            <w:color w:val="231F20"/>
            <w:sz w:val="16"/>
          </w:rPr>
          <w:t>depot package list workspace</w:t>
        </w:r>
        <w:r>
          <w:rPr>
            <w:color w:val="231F20"/>
            <w:spacing w:val="80"/>
            <w:sz w:val="16"/>
          </w:rPr>
          <w:t> </w:t>
        </w:r>
        <w:r>
          <w:rPr>
            <w:color w:val="231F20"/>
            <w:sz w:val="16"/>
          </w:rPr>
          <w:t>397</w:t>
        </w:r>
      </w:hyperlink>
      <w:r>
        <w:rPr>
          <w:color w:val="231F20"/>
          <w:spacing w:val="40"/>
          <w:sz w:val="16"/>
        </w:rPr>
        <w:t> </w:t>
      </w:r>
      <w:hyperlink w:history="true" w:anchor="_bookmark308">
        <w:r>
          <w:rPr>
            <w:color w:val="231F20"/>
            <w:sz w:val="16"/>
          </w:rPr>
          <w:t>status summary by transaction</w:t>
        </w:r>
      </w:hyperlink>
    </w:p>
    <w:p>
      <w:pPr>
        <w:spacing w:line="196" w:lineRule="exact" w:before="0"/>
        <w:ind w:left="587" w:right="0" w:firstLine="0"/>
        <w:jc w:val="left"/>
        <w:rPr>
          <w:sz w:val="16"/>
        </w:rPr>
      </w:pPr>
      <w:hyperlink w:history="true" w:anchor="_bookmark308">
        <w:r>
          <w:rPr>
            <w:color w:val="231F20"/>
            <w:sz w:val="16"/>
          </w:rPr>
          <w:t>workspace</w:t>
        </w:r>
        <w:r>
          <w:rPr>
            <w:color w:val="231F20"/>
            <w:spacing w:val="35"/>
            <w:sz w:val="16"/>
          </w:rPr>
          <w:t>  </w:t>
        </w:r>
        <w:r>
          <w:rPr>
            <w:color w:val="231F20"/>
            <w:spacing w:val="-5"/>
            <w:sz w:val="16"/>
          </w:rPr>
          <w:t>398</w:t>
        </w:r>
      </w:hyperlink>
    </w:p>
    <w:p>
      <w:pPr>
        <w:spacing w:line="220" w:lineRule="auto" w:before="5"/>
        <w:ind w:left="228" w:right="0" w:firstLine="239"/>
        <w:jc w:val="left"/>
        <w:rPr>
          <w:sz w:val="16"/>
        </w:rPr>
      </w:pPr>
      <w:hyperlink w:history="true" w:anchor="_bookmark307">
        <w:r>
          <w:rPr>
            <w:color w:val="231F20"/>
            <w:sz w:val="16"/>
          </w:rPr>
          <w:t>status summary workspace</w:t>
        </w:r>
        <w:r>
          <w:rPr>
            <w:color w:val="231F20"/>
            <w:spacing w:val="80"/>
            <w:sz w:val="16"/>
          </w:rPr>
          <w:t> </w:t>
        </w:r>
        <w:r>
          <w:rPr>
            <w:color w:val="231F20"/>
            <w:sz w:val="16"/>
          </w:rPr>
          <w:t>397</w:t>
        </w:r>
      </w:hyperlink>
      <w:r>
        <w:rPr>
          <w:color w:val="231F20"/>
          <w:spacing w:val="40"/>
          <w:sz w:val="16"/>
        </w:rPr>
        <w:t> </w:t>
      </w:r>
      <w:hyperlink w:history="true" w:anchor="_bookmark353">
        <w:r>
          <w:rPr>
            <w:color w:val="231F20"/>
            <w:sz w:val="16"/>
          </w:rPr>
          <w:t>developerWorks</w:t>
        </w:r>
        <w:r>
          <w:rPr>
            <w:color w:val="231F20"/>
            <w:spacing w:val="80"/>
            <w:sz w:val="16"/>
          </w:rPr>
          <w:t> </w:t>
        </w:r>
        <w:r>
          <w:rPr>
            <w:color w:val="231F20"/>
            <w:sz w:val="16"/>
          </w:rPr>
          <w:t>457</w:t>
        </w:r>
      </w:hyperlink>
    </w:p>
    <w:p>
      <w:pPr>
        <w:spacing w:line="220" w:lineRule="auto" w:before="2"/>
        <w:ind w:left="228" w:right="540" w:firstLine="0"/>
        <w:jc w:val="left"/>
        <w:rPr>
          <w:sz w:val="16"/>
        </w:rPr>
      </w:pPr>
      <w:hyperlink w:history="true" w:anchor="_bookmark210">
        <w:r>
          <w:rPr>
            <w:color w:val="231F20"/>
            <w:sz w:val="16"/>
          </w:rPr>
          <w:t>dissociate a situation</w:t>
        </w:r>
        <w:r>
          <w:rPr>
            <w:color w:val="231F20"/>
            <w:spacing w:val="80"/>
            <w:sz w:val="16"/>
          </w:rPr>
          <w:t> </w:t>
        </w:r>
        <w:r>
          <w:rPr>
            <w:color w:val="231F20"/>
            <w:sz w:val="16"/>
          </w:rPr>
          <w:t>284</w:t>
        </w:r>
      </w:hyperlink>
      <w:r>
        <w:rPr>
          <w:color w:val="231F20"/>
          <w:spacing w:val="40"/>
          <w:sz w:val="16"/>
        </w:rPr>
        <w:t> </w:t>
      </w:r>
      <w:r>
        <w:rPr>
          <w:color w:val="231F20"/>
          <w:sz w:val="16"/>
        </w:rPr>
        <w:t>distinguished name</w:t>
      </w:r>
    </w:p>
    <w:p>
      <w:pPr>
        <w:spacing w:line="220" w:lineRule="auto" w:before="2"/>
        <w:ind w:left="228" w:right="540" w:firstLine="239"/>
        <w:jc w:val="left"/>
        <w:rPr>
          <w:sz w:val="16"/>
        </w:rPr>
      </w:pPr>
      <w:hyperlink w:history="true" w:anchor="_bookmark273">
        <w:r>
          <w:rPr>
            <w:color w:val="231F20"/>
            <w:sz w:val="16"/>
          </w:rPr>
          <w:t>mapping to TEP user ID</w:t>
        </w:r>
        <w:r>
          <w:rPr>
            <w:color w:val="231F20"/>
            <w:spacing w:val="80"/>
            <w:sz w:val="16"/>
          </w:rPr>
          <w:t> </w:t>
        </w:r>
        <w:r>
          <w:rPr>
            <w:color w:val="231F20"/>
            <w:sz w:val="16"/>
          </w:rPr>
          <w:t>364</w:t>
        </w:r>
      </w:hyperlink>
      <w:r>
        <w:rPr>
          <w:color w:val="231F20"/>
          <w:spacing w:val="40"/>
          <w:sz w:val="16"/>
        </w:rPr>
        <w:t> </w:t>
      </w:r>
      <w:hyperlink w:history="true" w:anchor="_bookmark160">
        <w:r>
          <w:rPr>
            <w:color w:val="231F20"/>
            <w:sz w:val="16"/>
          </w:rPr>
          <w:t>distribute</w:t>
        </w:r>
        <w:r>
          <w:rPr>
            <w:color w:val="231F20"/>
            <w:spacing w:val="5"/>
            <w:sz w:val="16"/>
          </w:rPr>
          <w:t> </w:t>
        </w:r>
        <w:r>
          <w:rPr>
            <w:color w:val="231F20"/>
            <w:sz w:val="16"/>
          </w:rPr>
          <w:t>a</w:t>
        </w:r>
        <w:r>
          <w:rPr>
            <w:color w:val="231F20"/>
            <w:spacing w:val="8"/>
            <w:sz w:val="16"/>
          </w:rPr>
          <w:t> </w:t>
        </w:r>
        <w:r>
          <w:rPr>
            <w:color w:val="231F20"/>
            <w:sz w:val="16"/>
          </w:rPr>
          <w:t>historical</w:t>
        </w:r>
        <w:r>
          <w:rPr>
            <w:color w:val="231F20"/>
            <w:spacing w:val="8"/>
            <w:sz w:val="16"/>
          </w:rPr>
          <w:t> </w:t>
        </w:r>
        <w:r>
          <w:rPr>
            <w:color w:val="231F20"/>
            <w:sz w:val="16"/>
          </w:rPr>
          <w:t>collection</w:t>
        </w:r>
        <w:r>
          <w:rPr>
            <w:color w:val="231F20"/>
            <w:spacing w:val="8"/>
            <w:sz w:val="16"/>
          </w:rPr>
          <w:t> </w:t>
        </w:r>
        <w:r>
          <w:rPr>
            <w:color w:val="231F20"/>
            <w:spacing w:val="-5"/>
            <w:sz w:val="16"/>
          </w:rPr>
          <w:t>to</w:t>
        </w:r>
      </w:hyperlink>
    </w:p>
    <w:p>
      <w:pPr>
        <w:spacing w:line="196" w:lineRule="exact" w:before="0"/>
        <w:ind w:left="0" w:right="1057" w:firstLine="0"/>
        <w:jc w:val="center"/>
        <w:rPr>
          <w:sz w:val="16"/>
        </w:rPr>
      </w:pPr>
      <w:hyperlink w:history="true" w:anchor="_bookmark160">
        <w:r>
          <w:rPr>
            <w:color w:val="231F20"/>
            <w:sz w:val="16"/>
          </w:rPr>
          <w:t>managed</w:t>
        </w:r>
        <w:r>
          <w:rPr>
            <w:color w:val="231F20"/>
            <w:spacing w:val="9"/>
            <w:sz w:val="16"/>
          </w:rPr>
          <w:t> </w:t>
        </w:r>
        <w:r>
          <w:rPr>
            <w:color w:val="231F20"/>
            <w:sz w:val="16"/>
          </w:rPr>
          <w:t>systems</w:t>
        </w:r>
        <w:r>
          <w:rPr>
            <w:color w:val="231F20"/>
            <w:spacing w:val="35"/>
            <w:sz w:val="16"/>
          </w:rPr>
          <w:t>  </w:t>
        </w:r>
        <w:r>
          <w:rPr>
            <w:color w:val="231F20"/>
            <w:spacing w:val="-5"/>
            <w:sz w:val="16"/>
          </w:rPr>
          <w:t>224</w:t>
        </w:r>
      </w:hyperlink>
    </w:p>
    <w:p>
      <w:pPr>
        <w:spacing w:line="208" w:lineRule="exact" w:before="0"/>
        <w:ind w:left="62" w:right="1057" w:firstLine="0"/>
        <w:jc w:val="center"/>
        <w:rPr>
          <w:sz w:val="16"/>
        </w:rPr>
      </w:pPr>
      <w:hyperlink w:history="true" w:anchor="_bookmark218">
        <w:r>
          <w:rPr>
            <w:color w:val="231F20"/>
            <w:sz w:val="16"/>
          </w:rPr>
          <w:t>dynamic</w:t>
        </w:r>
        <w:r>
          <w:rPr>
            <w:color w:val="231F20"/>
            <w:spacing w:val="8"/>
            <w:sz w:val="16"/>
          </w:rPr>
          <w:t> </w:t>
        </w:r>
        <w:r>
          <w:rPr>
            <w:color w:val="231F20"/>
            <w:sz w:val="16"/>
          </w:rPr>
          <w:t>thresholding</w:t>
        </w:r>
        <w:r>
          <w:rPr>
            <w:color w:val="231F20"/>
            <w:spacing w:val="32"/>
            <w:sz w:val="16"/>
          </w:rPr>
          <w:t>  </w:t>
        </w:r>
        <w:r>
          <w:rPr>
            <w:color w:val="231F20"/>
            <w:spacing w:val="-5"/>
            <w:sz w:val="16"/>
          </w:rPr>
          <w:t>295</w:t>
        </w:r>
      </w:hyperlink>
    </w:p>
    <w:p>
      <w:pPr>
        <w:pStyle w:val="BodyText"/>
        <w:spacing w:before="104"/>
        <w:rPr>
          <w:sz w:val="16"/>
        </w:rPr>
      </w:pPr>
    </w:p>
    <w:p>
      <w:pPr>
        <w:pStyle w:val="Heading1"/>
        <w:ind w:left="228"/>
      </w:pPr>
      <w:bookmarkStart w:name="E" w:id="754"/>
      <w:bookmarkEnd w:id="754"/>
      <w:r>
        <w:rPr>
          <w:b w:val="0"/>
        </w:rPr>
      </w:r>
      <w:r>
        <w:rPr>
          <w:color w:val="231F20"/>
          <w:spacing w:val="-10"/>
        </w:rPr>
        <w:t>E</w:t>
      </w:r>
    </w:p>
    <w:p>
      <w:pPr>
        <w:spacing w:line="220" w:lineRule="auto" w:before="11"/>
        <w:ind w:left="228" w:right="1650" w:firstLine="0"/>
        <w:jc w:val="left"/>
        <w:rPr>
          <w:sz w:val="16"/>
        </w:rPr>
      </w:pPr>
      <w:hyperlink w:history="true" w:anchor="_bookmark64">
        <w:r>
          <w:rPr>
            <w:color w:val="231F20"/>
            <w:sz w:val="16"/>
          </w:rPr>
          <w:t>editing a view</w:t>
        </w:r>
        <w:r>
          <w:rPr>
            <w:color w:val="231F20"/>
            <w:spacing w:val="80"/>
            <w:sz w:val="16"/>
          </w:rPr>
          <w:t> </w:t>
        </w:r>
        <w:r>
          <w:rPr>
            <w:color w:val="231F20"/>
            <w:sz w:val="16"/>
          </w:rPr>
          <w:t>84</w:t>
        </w:r>
      </w:hyperlink>
      <w:r>
        <w:rPr>
          <w:color w:val="231F20"/>
          <w:spacing w:val="40"/>
          <w:sz w:val="16"/>
        </w:rPr>
        <w:t> </w:t>
      </w:r>
      <w:hyperlink w:history="true" w:anchor="_bookmark150">
        <w:r>
          <w:rPr>
            <w:color w:val="231F20"/>
            <w:sz w:val="16"/>
          </w:rPr>
          <w:t>EIB Change Log</w:t>
        </w:r>
        <w:r>
          <w:rPr>
            <w:color w:val="231F20"/>
            <w:spacing w:val="80"/>
            <w:sz w:val="16"/>
          </w:rPr>
          <w:t> </w:t>
        </w:r>
        <w:r>
          <w:rPr>
            <w:color w:val="231F20"/>
            <w:sz w:val="16"/>
          </w:rPr>
          <w:t>210</w:t>
        </w:r>
      </w:hyperlink>
    </w:p>
    <w:p>
      <w:pPr>
        <w:spacing w:line="220" w:lineRule="auto" w:before="2"/>
        <w:ind w:left="228" w:right="749" w:firstLine="0"/>
        <w:jc w:val="left"/>
        <w:rPr>
          <w:sz w:val="16"/>
        </w:rPr>
      </w:pPr>
      <w:hyperlink w:history="true" w:anchor="_bookmark302">
        <w:r>
          <w:rPr>
            <w:color w:val="231F20"/>
            <w:sz w:val="16"/>
          </w:rPr>
          <w:t>EIB change log workspace</w:t>
        </w:r>
        <w:r>
          <w:rPr>
            <w:color w:val="231F20"/>
            <w:spacing w:val="80"/>
            <w:sz w:val="16"/>
          </w:rPr>
          <w:t> </w:t>
        </w:r>
        <w:r>
          <w:rPr>
            <w:color w:val="231F20"/>
            <w:sz w:val="16"/>
          </w:rPr>
          <w:t>392</w:t>
        </w:r>
      </w:hyperlink>
      <w:r>
        <w:rPr>
          <w:color w:val="231F20"/>
          <w:spacing w:val="40"/>
          <w:sz w:val="16"/>
        </w:rPr>
        <w:t> </w:t>
      </w:r>
      <w:r>
        <w:rPr>
          <w:color w:val="231F20"/>
          <w:sz w:val="16"/>
        </w:rPr>
        <w:t>EIB Change Log workspace</w:t>
      </w:r>
    </w:p>
    <w:p>
      <w:pPr>
        <w:spacing w:line="220" w:lineRule="auto" w:before="2"/>
        <w:ind w:left="467" w:right="540" w:firstLine="0"/>
        <w:jc w:val="left"/>
        <w:rPr>
          <w:sz w:val="16"/>
        </w:rPr>
      </w:pPr>
      <w:hyperlink w:history="true" w:anchor="_bookmark302">
        <w:r>
          <w:rPr>
            <w:color w:val="231F20"/>
            <w:sz w:val="16"/>
          </w:rPr>
          <w:t>accessing the workspace</w:t>
        </w:r>
        <w:r>
          <w:rPr>
            <w:color w:val="231F20"/>
            <w:spacing w:val="80"/>
            <w:sz w:val="16"/>
          </w:rPr>
          <w:t> </w:t>
        </w:r>
        <w:r>
          <w:rPr>
            <w:color w:val="231F20"/>
            <w:sz w:val="16"/>
          </w:rPr>
          <w:t>392</w:t>
        </w:r>
      </w:hyperlink>
      <w:r>
        <w:rPr>
          <w:color w:val="231F20"/>
          <w:spacing w:val="40"/>
          <w:sz w:val="16"/>
        </w:rPr>
        <w:t> </w:t>
      </w:r>
      <w:hyperlink w:history="true" w:anchor="_bookmark303">
        <w:r>
          <w:rPr>
            <w:color w:val="231F20"/>
            <w:sz w:val="16"/>
          </w:rPr>
          <w:t>what the workspace shows</w:t>
        </w:r>
        <w:r>
          <w:rPr>
            <w:color w:val="231F20"/>
            <w:spacing w:val="80"/>
            <w:sz w:val="16"/>
          </w:rPr>
          <w:t> </w:t>
        </w:r>
        <w:r>
          <w:rPr>
            <w:color w:val="231F20"/>
            <w:sz w:val="16"/>
          </w:rPr>
          <w:t>393</w:t>
        </w:r>
      </w:hyperlink>
    </w:p>
    <w:p>
      <w:pPr>
        <w:spacing w:line="196" w:lineRule="exact" w:before="0"/>
        <w:ind w:left="228" w:right="0" w:firstLine="0"/>
        <w:jc w:val="left"/>
        <w:rPr>
          <w:sz w:val="16"/>
        </w:rPr>
      </w:pPr>
      <w:r>
        <w:rPr>
          <w:color w:val="231F20"/>
          <w:spacing w:val="-5"/>
          <w:sz w:val="16"/>
        </w:rPr>
        <w:t>EIF</w:t>
      </w:r>
    </w:p>
    <w:p>
      <w:pPr>
        <w:spacing w:line="220" w:lineRule="auto" w:before="5"/>
        <w:ind w:left="467" w:right="540" w:firstLine="0"/>
        <w:jc w:val="left"/>
        <w:rPr>
          <w:sz w:val="16"/>
        </w:rPr>
      </w:pPr>
      <w:hyperlink w:history="true" w:anchor="_bookmark207">
        <w:r>
          <w:rPr>
            <w:color w:val="231F20"/>
            <w:sz w:val="16"/>
          </w:rPr>
          <w:t>map enumerations window</w:t>
        </w:r>
        <w:r>
          <w:rPr>
            <w:color w:val="231F20"/>
            <w:spacing w:val="80"/>
            <w:sz w:val="16"/>
          </w:rPr>
          <w:t> </w:t>
        </w:r>
        <w:r>
          <w:rPr>
            <w:color w:val="231F20"/>
            <w:sz w:val="16"/>
          </w:rPr>
          <w:t>280</w:t>
        </w:r>
      </w:hyperlink>
      <w:r>
        <w:rPr>
          <w:color w:val="231F20"/>
          <w:spacing w:val="40"/>
          <w:sz w:val="16"/>
        </w:rPr>
        <w:t> </w:t>
      </w:r>
      <w:hyperlink w:history="true" w:anchor="_bookmark206">
        <w:r>
          <w:rPr>
            <w:color w:val="231F20"/>
            <w:sz w:val="16"/>
          </w:rPr>
          <w:t>slot</w:t>
        </w:r>
        <w:r>
          <w:rPr>
            <w:color w:val="231F20"/>
            <w:spacing w:val="9"/>
            <w:sz w:val="16"/>
          </w:rPr>
          <w:t> </w:t>
        </w:r>
        <w:r>
          <w:rPr>
            <w:color w:val="231F20"/>
            <w:sz w:val="16"/>
          </w:rPr>
          <w:t>customization</w:t>
        </w:r>
        <w:r>
          <w:rPr>
            <w:color w:val="231F20"/>
            <w:spacing w:val="9"/>
            <w:sz w:val="16"/>
          </w:rPr>
          <w:t> </w:t>
        </w:r>
        <w:r>
          <w:rPr>
            <w:color w:val="231F20"/>
            <w:sz w:val="16"/>
          </w:rPr>
          <w:t>window</w:t>
        </w:r>
        <w:r>
          <w:rPr>
            <w:color w:val="231F20"/>
            <w:spacing w:val="34"/>
            <w:sz w:val="16"/>
          </w:rPr>
          <w:t>  </w:t>
        </w:r>
        <w:r>
          <w:rPr>
            <w:color w:val="231F20"/>
            <w:spacing w:val="-5"/>
            <w:sz w:val="16"/>
          </w:rPr>
          <w:t>277</w:t>
        </w:r>
      </w:hyperlink>
    </w:p>
    <w:p>
      <w:pPr>
        <w:spacing w:line="196" w:lineRule="exact" w:before="0"/>
        <w:ind w:left="228" w:right="0" w:firstLine="0"/>
        <w:jc w:val="left"/>
        <w:rPr>
          <w:sz w:val="16"/>
        </w:rPr>
      </w:pPr>
      <w:r>
        <w:rPr>
          <w:color w:val="231F20"/>
          <w:sz w:val="16"/>
        </w:rPr>
        <w:t>EIF</w:t>
      </w:r>
      <w:r>
        <w:rPr>
          <w:color w:val="231F20"/>
          <w:spacing w:val="10"/>
          <w:sz w:val="16"/>
        </w:rPr>
        <w:t> </w:t>
      </w:r>
      <w:r>
        <w:rPr>
          <w:color w:val="231F20"/>
          <w:spacing w:val="-2"/>
          <w:sz w:val="16"/>
        </w:rPr>
        <w:t>receiver</w:t>
      </w:r>
    </w:p>
    <w:p>
      <w:pPr>
        <w:spacing w:line="220" w:lineRule="auto" w:before="5"/>
        <w:ind w:left="228" w:right="1047" w:firstLine="239"/>
        <w:jc w:val="left"/>
        <w:rPr>
          <w:sz w:val="16"/>
        </w:rPr>
      </w:pPr>
      <w:hyperlink w:history="true" w:anchor="_bookmark205">
        <w:r>
          <w:rPr>
            <w:color w:val="231F20"/>
            <w:sz w:val="16"/>
          </w:rPr>
          <w:t>forward event</w:t>
        </w:r>
        <w:r>
          <w:rPr>
            <w:color w:val="231F20"/>
            <w:spacing w:val="80"/>
            <w:sz w:val="16"/>
          </w:rPr>
          <w:t> </w:t>
        </w:r>
        <w:r>
          <w:rPr>
            <w:color w:val="231F20"/>
            <w:sz w:val="16"/>
          </w:rPr>
          <w:t>276</w:t>
        </w:r>
      </w:hyperlink>
      <w:r>
        <w:rPr>
          <w:color w:val="231F20"/>
          <w:spacing w:val="40"/>
          <w:sz w:val="16"/>
        </w:rPr>
        <w:t> </w:t>
      </w:r>
      <w:r>
        <w:rPr>
          <w:color w:val="231F20"/>
          <w:sz w:val="16"/>
        </w:rPr>
        <w:t>embedded situation</w:t>
      </w:r>
    </w:p>
    <w:p>
      <w:pPr>
        <w:spacing w:line="196" w:lineRule="exact" w:before="0"/>
        <w:ind w:left="467" w:right="0" w:firstLine="0"/>
        <w:jc w:val="left"/>
        <w:rPr>
          <w:sz w:val="16"/>
        </w:rPr>
      </w:pPr>
      <w:hyperlink w:history="true" w:anchor="_bookmark321">
        <w:r>
          <w:rPr>
            <w:color w:val="231F20"/>
            <w:sz w:val="16"/>
          </w:rPr>
          <w:t>edit</w:t>
        </w:r>
        <w:r>
          <w:rPr>
            <w:color w:val="231F20"/>
            <w:spacing w:val="38"/>
            <w:sz w:val="16"/>
          </w:rPr>
          <w:t>  </w:t>
        </w:r>
        <w:r>
          <w:rPr>
            <w:color w:val="231F20"/>
            <w:spacing w:val="-5"/>
            <w:sz w:val="16"/>
          </w:rPr>
          <w:t>415</w:t>
        </w:r>
      </w:hyperlink>
    </w:p>
    <w:p>
      <w:pPr>
        <w:spacing w:line="200" w:lineRule="exact" w:before="0"/>
        <w:ind w:left="228" w:right="0" w:firstLine="0"/>
        <w:jc w:val="left"/>
        <w:rPr>
          <w:sz w:val="16"/>
        </w:rPr>
      </w:pPr>
      <w:hyperlink w:history="true" w:anchor="_bookmark228">
        <w:r>
          <w:rPr>
            <w:color w:val="231F20"/>
            <w:sz w:val="16"/>
          </w:rPr>
          <w:t>embedding</w:t>
        </w:r>
        <w:r>
          <w:rPr>
            <w:color w:val="231F20"/>
            <w:spacing w:val="9"/>
            <w:sz w:val="16"/>
          </w:rPr>
          <w:t> </w:t>
        </w:r>
        <w:r>
          <w:rPr>
            <w:color w:val="231F20"/>
            <w:sz w:val="16"/>
          </w:rPr>
          <w:t>situations</w:t>
        </w:r>
        <w:r>
          <w:rPr>
            <w:color w:val="231F20"/>
            <w:spacing w:val="34"/>
            <w:sz w:val="16"/>
          </w:rPr>
          <w:t>  </w:t>
        </w:r>
        <w:r>
          <w:rPr>
            <w:color w:val="231F20"/>
            <w:spacing w:val="-5"/>
            <w:sz w:val="16"/>
          </w:rPr>
          <w:t>308</w:t>
        </w:r>
      </w:hyperlink>
    </w:p>
    <w:p>
      <w:pPr>
        <w:spacing w:line="208" w:lineRule="exact" w:before="0"/>
        <w:ind w:left="228" w:right="0" w:firstLine="0"/>
        <w:jc w:val="left"/>
        <w:rPr>
          <w:sz w:val="16"/>
        </w:rPr>
      </w:pPr>
      <w:hyperlink w:history="true" w:anchor="_bookmark248">
        <w:r>
          <w:rPr>
            <w:color w:val="231F20"/>
            <w:sz w:val="16"/>
          </w:rPr>
          <w:t>emitter</w:t>
        </w:r>
        <w:r>
          <w:rPr>
            <w:color w:val="231F20"/>
            <w:spacing w:val="10"/>
            <w:sz w:val="16"/>
          </w:rPr>
          <w:t> </w:t>
        </w:r>
        <w:r>
          <w:rPr>
            <w:color w:val="231F20"/>
            <w:sz w:val="16"/>
          </w:rPr>
          <w:t>activities</w:t>
        </w:r>
        <w:r>
          <w:rPr>
            <w:color w:val="231F20"/>
            <w:spacing w:val="35"/>
            <w:sz w:val="16"/>
          </w:rPr>
          <w:t>  </w:t>
        </w:r>
        <w:r>
          <w:rPr>
            <w:color w:val="231F20"/>
            <w:spacing w:val="-5"/>
            <w:sz w:val="16"/>
          </w:rPr>
          <w:t>340</w:t>
        </w:r>
      </w:hyperlink>
    </w:p>
    <w:p>
      <w:pPr>
        <w:spacing w:after="0" w:line="208" w:lineRule="exact"/>
        <w:jc w:val="left"/>
        <w:rPr>
          <w:sz w:val="16"/>
        </w:rPr>
        <w:sectPr>
          <w:type w:val="continuous"/>
          <w:pgSz w:w="12240" w:h="15840"/>
          <w:pgMar w:header="0" w:footer="0" w:top="0" w:bottom="4660" w:left="1000" w:right="1060"/>
          <w:cols w:num="3" w:equalWidth="0">
            <w:col w:w="3255" w:space="40"/>
            <w:col w:w="3419" w:space="39"/>
            <w:col w:w="3427"/>
          </w:cols>
        </w:sectPr>
      </w:pPr>
    </w:p>
    <w:p>
      <w:pPr>
        <w:tabs>
          <w:tab w:pos="10016" w:val="right" w:leader="none"/>
        </w:tabs>
        <w:spacing w:before="250"/>
        <w:ind w:left="436" w:right="0" w:firstLine="0"/>
        <w:jc w:val="left"/>
        <w:rPr>
          <w:rFonts w:ascii="Book Antiqua" w:hAnsi="Book Antiqua"/>
          <w:b/>
          <w:sz w:val="22"/>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r>
        <w:rPr>
          <w:rFonts w:ascii="Times New Roman" w:hAnsi="Times New Roman"/>
          <w:color w:val="231F20"/>
          <w:sz w:val="16"/>
        </w:rPr>
        <w:tab/>
      </w:r>
      <w:r>
        <w:rPr>
          <w:rFonts w:ascii="Book Antiqua" w:hAnsi="Book Antiqua"/>
          <w:b/>
          <w:color w:val="231F20"/>
          <w:spacing w:val="-5"/>
          <w:sz w:val="22"/>
        </w:rPr>
        <w:t>467</w:t>
      </w:r>
    </w:p>
    <w:p>
      <w:pPr>
        <w:spacing w:after="0"/>
        <w:jc w:val="left"/>
        <w:rPr>
          <w:rFonts w:ascii="Book Antiqua" w:hAnsi="Book Antiqua"/>
          <w:sz w:val="22"/>
        </w:rPr>
        <w:sectPr>
          <w:type w:val="continuous"/>
          <w:pgSz w:w="12240" w:h="15840"/>
          <w:pgMar w:header="0" w:footer="0" w:top="0" w:bottom="4660" w:left="1000" w:right="1060"/>
        </w:sectPr>
      </w:pPr>
    </w:p>
    <w:p>
      <w:pPr>
        <w:spacing w:line="208" w:lineRule="exact" w:before="54"/>
        <w:ind w:left="197" w:right="0" w:firstLine="0"/>
        <w:jc w:val="left"/>
        <w:rPr>
          <w:sz w:val="16"/>
        </w:rPr>
      </w:pPr>
      <w:hyperlink w:history="true" w:anchor="_bookmark137">
        <w:r>
          <w:rPr>
            <w:color w:val="231F20"/>
            <w:sz w:val="16"/>
          </w:rPr>
          <w:t>emulator</w:t>
        </w:r>
        <w:r>
          <w:rPr>
            <w:color w:val="231F20"/>
            <w:spacing w:val="9"/>
            <w:sz w:val="16"/>
          </w:rPr>
          <w:t> </w:t>
        </w:r>
        <w:r>
          <w:rPr>
            <w:color w:val="231F20"/>
            <w:sz w:val="16"/>
          </w:rPr>
          <w:t>functions</w:t>
        </w:r>
        <w:r>
          <w:rPr>
            <w:color w:val="231F20"/>
            <w:spacing w:val="34"/>
            <w:sz w:val="16"/>
          </w:rPr>
          <w:t>  </w:t>
        </w:r>
        <w:r>
          <w:rPr>
            <w:color w:val="231F20"/>
            <w:spacing w:val="-5"/>
            <w:sz w:val="16"/>
          </w:rPr>
          <w:t>186</w:t>
        </w:r>
      </w:hyperlink>
    </w:p>
    <w:p>
      <w:pPr>
        <w:spacing w:line="220" w:lineRule="auto" w:before="5"/>
        <w:ind w:left="197" w:right="809" w:firstLine="0"/>
        <w:jc w:val="left"/>
        <w:rPr>
          <w:sz w:val="16"/>
        </w:rPr>
      </w:pPr>
      <w:hyperlink w:history="true" w:anchor="_bookmark41">
        <w:r>
          <w:rPr>
            <w:color w:val="231F20"/>
            <w:sz w:val="16"/>
          </w:rPr>
          <w:t>enterprise workspace</w:t>
        </w:r>
        <w:r>
          <w:rPr>
            <w:color w:val="231F20"/>
            <w:spacing w:val="80"/>
            <w:sz w:val="16"/>
          </w:rPr>
          <w:t> </w:t>
        </w:r>
        <w:r>
          <w:rPr>
            <w:color w:val="231F20"/>
            <w:sz w:val="16"/>
          </w:rPr>
          <w:t>55</w:t>
        </w:r>
      </w:hyperlink>
      <w:r>
        <w:rPr>
          <w:color w:val="231F20"/>
          <w:spacing w:val="40"/>
          <w:sz w:val="16"/>
        </w:rPr>
        <w:t> </w:t>
      </w:r>
      <w:r>
        <w:rPr>
          <w:color w:val="231F20"/>
          <w:sz w:val="16"/>
        </w:rPr>
        <w:t>Enterprise-level</w:t>
      </w:r>
      <w:r>
        <w:rPr>
          <w:color w:val="231F20"/>
          <w:spacing w:val="1"/>
          <w:sz w:val="16"/>
        </w:rPr>
        <w:t> </w:t>
      </w:r>
      <w:r>
        <w:rPr>
          <w:color w:val="231F20"/>
          <w:spacing w:val="-2"/>
          <w:sz w:val="16"/>
        </w:rPr>
        <w:t>workspace</w:t>
      </w:r>
    </w:p>
    <w:p>
      <w:pPr>
        <w:spacing w:line="196" w:lineRule="exact" w:before="0"/>
        <w:ind w:left="436" w:right="0" w:firstLine="0"/>
        <w:jc w:val="left"/>
        <w:rPr>
          <w:sz w:val="16"/>
        </w:rPr>
      </w:pPr>
      <w:hyperlink w:history="true" w:anchor="_bookmark42">
        <w:r>
          <w:rPr>
            <w:color w:val="231F20"/>
            <w:sz w:val="16"/>
          </w:rPr>
          <w:t>Event</w:t>
        </w:r>
        <w:r>
          <w:rPr>
            <w:color w:val="231F20"/>
            <w:spacing w:val="10"/>
            <w:sz w:val="16"/>
          </w:rPr>
          <w:t> </w:t>
        </w:r>
        <w:r>
          <w:rPr>
            <w:color w:val="231F20"/>
            <w:sz w:val="16"/>
          </w:rPr>
          <w:t>Details</w:t>
        </w:r>
        <w:r>
          <w:rPr>
            <w:color w:val="231F20"/>
            <w:spacing w:val="36"/>
            <w:sz w:val="16"/>
          </w:rPr>
          <w:t>  </w:t>
        </w:r>
        <w:r>
          <w:rPr>
            <w:color w:val="231F20"/>
            <w:spacing w:val="-5"/>
            <w:sz w:val="16"/>
          </w:rPr>
          <w:t>56</w:t>
        </w:r>
      </w:hyperlink>
    </w:p>
    <w:p>
      <w:pPr>
        <w:spacing w:line="220" w:lineRule="auto" w:before="5"/>
        <w:ind w:left="197" w:right="586" w:firstLine="0"/>
        <w:jc w:val="left"/>
        <w:rPr>
          <w:sz w:val="16"/>
        </w:rPr>
      </w:pPr>
      <w:hyperlink w:history="true" w:anchor="_bookmark319">
        <w:r>
          <w:rPr>
            <w:color w:val="231F20"/>
            <w:sz w:val="16"/>
          </w:rPr>
          <w:t>enumerated attributes</w:t>
        </w:r>
        <w:r>
          <w:rPr>
            <w:color w:val="231F20"/>
            <w:spacing w:val="80"/>
            <w:sz w:val="16"/>
          </w:rPr>
          <w:t> </w:t>
        </w:r>
        <w:r>
          <w:rPr>
            <w:color w:val="231F20"/>
            <w:sz w:val="16"/>
          </w:rPr>
          <w:t>413</w:t>
        </w:r>
      </w:hyperlink>
      <w:r>
        <w:rPr>
          <w:color w:val="231F20"/>
          <w:spacing w:val="40"/>
          <w:sz w:val="16"/>
        </w:rPr>
        <w:t> </w:t>
      </w:r>
      <w:r>
        <w:rPr>
          <w:color w:val="231F20"/>
          <w:spacing w:val="-2"/>
          <w:sz w:val="16"/>
        </w:rPr>
        <w:t>event</w:t>
      </w:r>
    </w:p>
    <w:p>
      <w:pPr>
        <w:spacing w:line="220" w:lineRule="auto" w:before="2"/>
        <w:ind w:left="436" w:right="586" w:firstLine="0"/>
        <w:jc w:val="left"/>
        <w:rPr>
          <w:sz w:val="16"/>
        </w:rPr>
      </w:pPr>
      <w:hyperlink w:history="true" w:anchor="_bookmark43">
        <w:r>
          <w:rPr>
            <w:color w:val="231F20"/>
            <w:sz w:val="16"/>
          </w:rPr>
          <w:t>acknowledgement</w:t>
        </w:r>
        <w:r>
          <w:rPr>
            <w:color w:val="231F20"/>
            <w:spacing w:val="80"/>
            <w:sz w:val="16"/>
          </w:rPr>
          <w:t> </w:t>
        </w:r>
        <w:r>
          <w:rPr>
            <w:color w:val="231F20"/>
            <w:sz w:val="16"/>
          </w:rPr>
          <w:t>57</w:t>
        </w:r>
      </w:hyperlink>
      <w:r>
        <w:rPr>
          <w:color w:val="231F20"/>
          <w:spacing w:val="40"/>
          <w:sz w:val="16"/>
        </w:rPr>
        <w:t> </w:t>
      </w:r>
      <w:r>
        <w:rPr>
          <w:color w:val="231F20"/>
          <w:sz w:val="16"/>
        </w:rPr>
        <w:t>common,</w:t>
      </w:r>
      <w:r>
        <w:rPr>
          <w:color w:val="231F20"/>
          <w:spacing w:val="7"/>
          <w:sz w:val="16"/>
        </w:rPr>
        <w:t> </w:t>
      </w:r>
      <w:r>
        <w:rPr>
          <w:color w:val="231F20"/>
          <w:sz w:val="16"/>
        </w:rPr>
        <w:t>console</w:t>
      </w:r>
      <w:r>
        <w:rPr>
          <w:color w:val="231F20"/>
          <w:spacing w:val="7"/>
          <w:sz w:val="16"/>
        </w:rPr>
        <w:t> </w:t>
      </w:r>
      <w:r>
        <w:rPr>
          <w:color w:val="231F20"/>
          <w:spacing w:val="-4"/>
          <w:sz w:val="16"/>
        </w:rPr>
        <w:t>view</w:t>
      </w:r>
    </w:p>
    <w:p>
      <w:pPr>
        <w:spacing w:line="220" w:lineRule="auto" w:before="2"/>
        <w:ind w:left="676" w:right="154" w:firstLine="0"/>
        <w:jc w:val="left"/>
        <w:rPr>
          <w:sz w:val="16"/>
        </w:rPr>
      </w:pPr>
      <w:hyperlink w:history="true" w:anchor="_bookmark117">
        <w:r>
          <w:rPr>
            <w:color w:val="231F20"/>
            <w:sz w:val="16"/>
          </w:rPr>
          <w:t>filter, column value</w:t>
        </w:r>
        <w:r>
          <w:rPr>
            <w:color w:val="231F20"/>
            <w:spacing w:val="80"/>
            <w:sz w:val="16"/>
          </w:rPr>
          <w:t> </w:t>
        </w:r>
        <w:r>
          <w:rPr>
            <w:color w:val="231F20"/>
            <w:sz w:val="16"/>
          </w:rPr>
          <w:t>159</w:t>
        </w:r>
      </w:hyperlink>
      <w:r>
        <w:rPr>
          <w:color w:val="231F20"/>
          <w:spacing w:val="40"/>
          <w:sz w:val="16"/>
        </w:rPr>
        <w:t> </w:t>
      </w:r>
      <w:hyperlink w:history="true" w:anchor="_bookmark118">
        <w:r>
          <w:rPr>
            <w:color w:val="231F20"/>
            <w:sz w:val="16"/>
          </w:rPr>
          <w:t>quick filter, removing</w:t>
        </w:r>
        <w:r>
          <w:rPr>
            <w:color w:val="231F20"/>
            <w:spacing w:val="80"/>
            <w:sz w:val="16"/>
          </w:rPr>
          <w:t> </w:t>
        </w:r>
        <w:r>
          <w:rPr>
            <w:color w:val="231F20"/>
            <w:sz w:val="16"/>
          </w:rPr>
          <w:t>160</w:t>
        </w:r>
      </w:hyperlink>
    </w:p>
    <w:p>
      <w:pPr>
        <w:spacing w:line="196" w:lineRule="exact" w:before="0"/>
        <w:ind w:left="436" w:right="0" w:firstLine="0"/>
        <w:jc w:val="left"/>
        <w:rPr>
          <w:sz w:val="16"/>
        </w:rPr>
      </w:pPr>
      <w:r>
        <w:rPr>
          <w:color w:val="231F20"/>
          <w:spacing w:val="-2"/>
          <w:sz w:val="16"/>
        </w:rPr>
        <w:t>console</w:t>
      </w:r>
    </w:p>
    <w:p>
      <w:pPr>
        <w:spacing w:line="220" w:lineRule="auto" w:before="5"/>
        <w:ind w:left="676" w:right="0" w:firstLine="0"/>
        <w:jc w:val="left"/>
        <w:rPr>
          <w:sz w:val="16"/>
        </w:rPr>
      </w:pPr>
      <w:hyperlink w:history="true" w:anchor="_bookmark118">
        <w:r>
          <w:rPr>
            <w:color w:val="231F20"/>
            <w:sz w:val="16"/>
          </w:rPr>
          <w:t>quick thresholds, remove</w:t>
        </w:r>
        <w:r>
          <w:rPr>
            <w:color w:val="231F20"/>
            <w:spacing w:val="80"/>
            <w:sz w:val="16"/>
          </w:rPr>
          <w:t> </w:t>
        </w:r>
        <w:r>
          <w:rPr>
            <w:color w:val="231F20"/>
            <w:sz w:val="16"/>
          </w:rPr>
          <w:t>160</w:t>
        </w:r>
      </w:hyperlink>
      <w:r>
        <w:rPr>
          <w:color w:val="231F20"/>
          <w:spacing w:val="40"/>
          <w:sz w:val="16"/>
        </w:rPr>
        <w:t> </w:t>
      </w:r>
      <w:hyperlink w:history="true" w:anchor="_bookmark118">
        <w:r>
          <w:rPr>
            <w:color w:val="231F20"/>
            <w:sz w:val="16"/>
          </w:rPr>
          <w:t>setting view properties</w:t>
        </w:r>
        <w:r>
          <w:rPr>
            <w:color w:val="231F20"/>
            <w:spacing w:val="80"/>
            <w:sz w:val="16"/>
          </w:rPr>
          <w:t> </w:t>
        </w:r>
        <w:r>
          <w:rPr>
            <w:color w:val="231F20"/>
            <w:sz w:val="16"/>
          </w:rPr>
          <w:t>160</w:t>
        </w:r>
      </w:hyperlink>
    </w:p>
    <w:p>
      <w:pPr>
        <w:spacing w:line="196" w:lineRule="exact" w:before="0"/>
        <w:ind w:left="436" w:right="0" w:firstLine="0"/>
        <w:jc w:val="left"/>
        <w:rPr>
          <w:sz w:val="16"/>
        </w:rPr>
      </w:pPr>
      <w:hyperlink w:history="true" w:anchor="_bookmark15">
        <w:r>
          <w:rPr>
            <w:color w:val="231F20"/>
            <w:sz w:val="16"/>
          </w:rPr>
          <w:t>indicators</w:t>
        </w:r>
        <w:r>
          <w:rPr>
            <w:color w:val="231F20"/>
            <w:spacing w:val="35"/>
            <w:sz w:val="16"/>
          </w:rPr>
          <w:t>  </w:t>
        </w:r>
        <w:r>
          <w:rPr>
            <w:color w:val="231F20"/>
            <w:spacing w:val="-5"/>
            <w:sz w:val="16"/>
          </w:rPr>
          <w:t>23</w:t>
        </w:r>
      </w:hyperlink>
    </w:p>
    <w:p>
      <w:pPr>
        <w:spacing w:line="200" w:lineRule="exact" w:before="0"/>
        <w:ind w:left="436" w:right="0" w:firstLine="0"/>
        <w:jc w:val="left"/>
        <w:rPr>
          <w:sz w:val="16"/>
        </w:rPr>
      </w:pPr>
      <w:hyperlink w:history="true" w:anchor="_bookmark233">
        <w:r>
          <w:rPr>
            <w:color w:val="231F20"/>
            <w:sz w:val="16"/>
          </w:rPr>
          <w:t>not</w:t>
        </w:r>
        <w:r>
          <w:rPr>
            <w:color w:val="231F20"/>
            <w:spacing w:val="11"/>
            <w:sz w:val="16"/>
          </w:rPr>
          <w:t> </w:t>
        </w:r>
        <w:r>
          <w:rPr>
            <w:color w:val="231F20"/>
            <w:sz w:val="16"/>
          </w:rPr>
          <w:t>closing</w:t>
        </w:r>
        <w:r>
          <w:rPr>
            <w:color w:val="231F20"/>
            <w:spacing w:val="36"/>
            <w:sz w:val="16"/>
          </w:rPr>
          <w:t>  </w:t>
        </w:r>
        <w:r>
          <w:rPr>
            <w:color w:val="231F20"/>
            <w:spacing w:val="-5"/>
            <w:sz w:val="16"/>
          </w:rPr>
          <w:t>320</w:t>
        </w:r>
      </w:hyperlink>
    </w:p>
    <w:p>
      <w:pPr>
        <w:spacing w:line="200" w:lineRule="exact" w:before="0"/>
        <w:ind w:left="436" w:right="0" w:firstLine="0"/>
        <w:jc w:val="left"/>
        <w:rPr>
          <w:sz w:val="16"/>
        </w:rPr>
      </w:pPr>
      <w:hyperlink w:history="true" w:anchor="_bookmark232">
        <w:r>
          <w:rPr>
            <w:color w:val="231F20"/>
            <w:sz w:val="16"/>
          </w:rPr>
          <w:t>not</w:t>
        </w:r>
        <w:r>
          <w:rPr>
            <w:color w:val="231F20"/>
            <w:spacing w:val="10"/>
            <w:sz w:val="16"/>
          </w:rPr>
          <w:t> </w:t>
        </w:r>
        <w:r>
          <w:rPr>
            <w:color w:val="231F20"/>
            <w:sz w:val="16"/>
          </w:rPr>
          <w:t>opening</w:t>
        </w:r>
        <w:r>
          <w:rPr>
            <w:color w:val="231F20"/>
            <w:spacing w:val="36"/>
            <w:sz w:val="16"/>
          </w:rPr>
          <w:t>  </w:t>
        </w:r>
        <w:r>
          <w:rPr>
            <w:color w:val="231F20"/>
            <w:spacing w:val="-5"/>
            <w:sz w:val="16"/>
          </w:rPr>
          <w:t>318</w:t>
        </w:r>
      </w:hyperlink>
    </w:p>
    <w:p>
      <w:pPr>
        <w:spacing w:line="220" w:lineRule="auto" w:before="6"/>
        <w:ind w:left="197" w:right="586" w:firstLine="239"/>
        <w:jc w:val="left"/>
        <w:rPr>
          <w:sz w:val="16"/>
        </w:rPr>
      </w:pPr>
      <w:hyperlink w:history="true" w:anchor="_bookmark40">
        <w:r>
          <w:rPr>
            <w:color w:val="231F20"/>
            <w:sz w:val="16"/>
          </w:rPr>
          <w:t>results workspace</w:t>
        </w:r>
        <w:r>
          <w:rPr>
            <w:color w:val="231F20"/>
            <w:spacing w:val="80"/>
            <w:sz w:val="16"/>
          </w:rPr>
          <w:t> </w:t>
        </w:r>
        <w:r>
          <w:rPr>
            <w:color w:val="231F20"/>
            <w:sz w:val="16"/>
          </w:rPr>
          <w:t>53</w:t>
        </w:r>
      </w:hyperlink>
      <w:r>
        <w:rPr>
          <w:color w:val="231F20"/>
          <w:spacing w:val="40"/>
          <w:sz w:val="16"/>
        </w:rPr>
        <w:t> </w:t>
      </w:r>
      <w:r>
        <w:rPr>
          <w:color w:val="231F20"/>
          <w:sz w:val="16"/>
        </w:rPr>
        <w:t>event console views</w:t>
      </w:r>
    </w:p>
    <w:p>
      <w:pPr>
        <w:spacing w:line="220" w:lineRule="auto" w:before="2"/>
        <w:ind w:left="197" w:right="0" w:firstLine="239"/>
        <w:jc w:val="left"/>
        <w:rPr>
          <w:sz w:val="16"/>
        </w:rPr>
      </w:pPr>
      <w:hyperlink w:history="true" w:anchor="_bookmark76">
        <w:r>
          <w:rPr>
            <w:color w:val="231F20"/>
            <w:sz w:val="16"/>
          </w:rPr>
          <w:t>adding column thresholds</w:t>
        </w:r>
        <w:r>
          <w:rPr>
            <w:color w:val="231F20"/>
            <w:spacing w:val="80"/>
            <w:sz w:val="16"/>
          </w:rPr>
          <w:t> </w:t>
        </w:r>
        <w:r>
          <w:rPr>
            <w:color w:val="231F20"/>
            <w:sz w:val="16"/>
          </w:rPr>
          <w:t>99</w:t>
        </w:r>
      </w:hyperlink>
      <w:r>
        <w:rPr>
          <w:color w:val="231F20"/>
          <w:spacing w:val="40"/>
          <w:sz w:val="16"/>
        </w:rPr>
        <w:t> </w:t>
      </w:r>
      <w:hyperlink w:history="true" w:anchor="_bookmark104">
        <w:r>
          <w:rPr>
            <w:color w:val="231F20"/>
            <w:sz w:val="16"/>
          </w:rPr>
          <w:t>event views</w:t>
        </w:r>
        <w:r>
          <w:rPr>
            <w:color w:val="231F20"/>
            <w:spacing w:val="80"/>
            <w:sz w:val="16"/>
          </w:rPr>
          <w:t> </w:t>
        </w:r>
        <w:r>
          <w:rPr>
            <w:color w:val="231F20"/>
            <w:sz w:val="16"/>
          </w:rPr>
          <w:t>140</w:t>
        </w:r>
      </w:hyperlink>
    </w:p>
    <w:p>
      <w:pPr>
        <w:spacing w:line="220" w:lineRule="auto" w:before="1"/>
        <w:ind w:left="436" w:right="318" w:firstLine="0"/>
        <w:jc w:val="left"/>
        <w:rPr>
          <w:sz w:val="16"/>
        </w:rPr>
      </w:pPr>
      <w:hyperlink w:history="true" w:anchor="_bookmark116">
        <w:r>
          <w:rPr>
            <w:color w:val="231F20"/>
            <w:sz w:val="16"/>
          </w:rPr>
          <w:t>common console</w:t>
        </w:r>
        <w:r>
          <w:rPr>
            <w:color w:val="231F20"/>
            <w:spacing w:val="80"/>
            <w:sz w:val="16"/>
          </w:rPr>
          <w:t> </w:t>
        </w:r>
        <w:r>
          <w:rPr>
            <w:color w:val="231F20"/>
            <w:sz w:val="16"/>
          </w:rPr>
          <w:t>156</w:t>
        </w:r>
      </w:hyperlink>
      <w:r>
        <w:rPr>
          <w:color w:val="231F20"/>
          <w:spacing w:val="40"/>
          <w:sz w:val="16"/>
        </w:rPr>
        <w:t> </w:t>
      </w:r>
      <w:hyperlink w:history="true" w:anchor="_bookmark116">
        <w:r>
          <w:rPr>
            <w:color w:val="231F20"/>
            <w:sz w:val="16"/>
          </w:rPr>
          <w:t>common event console</w:t>
        </w:r>
        <w:r>
          <w:rPr>
            <w:color w:val="231F20"/>
            <w:spacing w:val="80"/>
            <w:sz w:val="16"/>
          </w:rPr>
          <w:t> </w:t>
        </w:r>
        <w:r>
          <w:rPr>
            <w:color w:val="231F20"/>
            <w:sz w:val="16"/>
          </w:rPr>
          <w:t>156</w:t>
        </w:r>
      </w:hyperlink>
      <w:r>
        <w:rPr>
          <w:color w:val="231F20"/>
          <w:spacing w:val="40"/>
          <w:sz w:val="16"/>
        </w:rPr>
        <w:t> </w:t>
      </w:r>
      <w:hyperlink w:history="true" w:anchor="_bookmark108">
        <w:r>
          <w:rPr>
            <w:color w:val="231F20"/>
            <w:sz w:val="16"/>
          </w:rPr>
          <w:t>graphical</w:t>
        </w:r>
        <w:r>
          <w:rPr>
            <w:color w:val="231F20"/>
            <w:spacing w:val="-3"/>
            <w:sz w:val="16"/>
          </w:rPr>
          <w:t> </w:t>
        </w:r>
        <w:r>
          <w:rPr>
            <w:color w:val="231F20"/>
            <w:sz w:val="16"/>
          </w:rPr>
          <w:t>representation</w:t>
        </w:r>
        <w:r>
          <w:rPr>
            <w:color w:val="231F20"/>
            <w:spacing w:val="-3"/>
            <w:sz w:val="16"/>
          </w:rPr>
          <w:t> </w:t>
        </w:r>
        <w:r>
          <w:rPr>
            <w:color w:val="231F20"/>
            <w:sz w:val="16"/>
          </w:rPr>
          <w:t>of</w:t>
        </w:r>
        <w:r>
          <w:rPr>
            <w:color w:val="231F20"/>
            <w:spacing w:val="-3"/>
            <w:sz w:val="16"/>
          </w:rPr>
          <w:t> </w:t>
        </w:r>
        <w:r>
          <w:rPr>
            <w:color w:val="231F20"/>
            <w:sz w:val="16"/>
          </w:rPr>
          <w:t>the</w:t>
        </w:r>
      </w:hyperlink>
    </w:p>
    <w:p>
      <w:pPr>
        <w:spacing w:line="197" w:lineRule="exact" w:before="0"/>
        <w:ind w:left="87" w:right="798" w:firstLine="0"/>
        <w:jc w:val="center"/>
        <w:rPr>
          <w:sz w:val="16"/>
        </w:rPr>
      </w:pPr>
      <w:hyperlink w:history="true" w:anchor="_bookmark108">
        <w:r>
          <w:rPr>
            <w:color w:val="231F20"/>
            <w:sz w:val="16"/>
          </w:rPr>
          <w:t>Navigator</w:t>
        </w:r>
        <w:r>
          <w:rPr>
            <w:color w:val="231F20"/>
            <w:spacing w:val="35"/>
            <w:sz w:val="16"/>
          </w:rPr>
          <w:t>  </w:t>
        </w:r>
        <w:r>
          <w:rPr>
            <w:color w:val="231F20"/>
            <w:spacing w:val="-5"/>
            <w:sz w:val="16"/>
          </w:rPr>
          <w:t>144</w:t>
        </w:r>
      </w:hyperlink>
    </w:p>
    <w:p>
      <w:pPr>
        <w:spacing w:line="200" w:lineRule="exact" w:before="0"/>
        <w:ind w:left="0" w:right="798" w:firstLine="0"/>
        <w:jc w:val="center"/>
        <w:rPr>
          <w:sz w:val="16"/>
        </w:rPr>
      </w:pPr>
      <w:hyperlink w:history="true" w:anchor="_bookmark104">
        <w:r>
          <w:rPr>
            <w:color w:val="231F20"/>
            <w:sz w:val="16"/>
          </w:rPr>
          <w:t>message</w:t>
        </w:r>
        <w:r>
          <w:rPr>
            <w:color w:val="231F20"/>
            <w:spacing w:val="10"/>
            <w:sz w:val="16"/>
          </w:rPr>
          <w:t> </w:t>
        </w:r>
        <w:r>
          <w:rPr>
            <w:color w:val="231F20"/>
            <w:sz w:val="16"/>
          </w:rPr>
          <w:t>log</w:t>
        </w:r>
        <w:r>
          <w:rPr>
            <w:color w:val="231F20"/>
            <w:spacing w:val="36"/>
            <w:sz w:val="16"/>
          </w:rPr>
          <w:t>  </w:t>
        </w:r>
        <w:r>
          <w:rPr>
            <w:color w:val="231F20"/>
            <w:spacing w:val="-5"/>
            <w:sz w:val="16"/>
          </w:rPr>
          <w:t>140</w:t>
        </w:r>
      </w:hyperlink>
    </w:p>
    <w:p>
      <w:pPr>
        <w:spacing w:line="220" w:lineRule="auto" w:before="6"/>
        <w:ind w:left="436" w:right="154" w:firstLine="0"/>
        <w:jc w:val="left"/>
        <w:rPr>
          <w:sz w:val="16"/>
        </w:rPr>
      </w:pPr>
      <w:hyperlink w:history="true" w:anchor="_bookmark113">
        <w:r>
          <w:rPr>
            <w:color w:val="231F20"/>
            <w:sz w:val="16"/>
          </w:rPr>
          <w:t>situation event console</w:t>
        </w:r>
        <w:r>
          <w:rPr>
            <w:color w:val="231F20"/>
            <w:spacing w:val="80"/>
            <w:sz w:val="16"/>
          </w:rPr>
          <w:t> </w:t>
        </w:r>
        <w:r>
          <w:rPr>
            <w:color w:val="231F20"/>
            <w:sz w:val="16"/>
          </w:rPr>
          <w:t>150</w:t>
        </w:r>
      </w:hyperlink>
      <w:r>
        <w:rPr>
          <w:color w:val="231F20"/>
          <w:spacing w:val="40"/>
          <w:sz w:val="16"/>
        </w:rPr>
        <w:t> </w:t>
      </w:r>
      <w:hyperlink w:history="true" w:anchor="_bookmark119">
        <w:r>
          <w:rPr>
            <w:color w:val="231F20"/>
            <w:sz w:val="16"/>
          </w:rPr>
          <w:t>Tivoli Enterprise Console</w:t>
        </w:r>
        <w:r>
          <w:rPr>
            <w:color w:val="231F20"/>
            <w:spacing w:val="80"/>
            <w:sz w:val="16"/>
          </w:rPr>
          <w:t> </w:t>
        </w:r>
        <w:r>
          <w:rPr>
            <w:color w:val="231F20"/>
            <w:sz w:val="16"/>
          </w:rPr>
          <w:t>162</w:t>
        </w:r>
      </w:hyperlink>
      <w:r>
        <w:rPr>
          <w:color w:val="231F20"/>
          <w:spacing w:val="40"/>
          <w:sz w:val="16"/>
        </w:rPr>
        <w:t> </w:t>
      </w:r>
      <w:hyperlink w:history="true" w:anchor="_bookmark107">
        <w:r>
          <w:rPr>
            <w:color w:val="231F20"/>
            <w:sz w:val="16"/>
          </w:rPr>
          <w:t>universal</w:t>
        </w:r>
        <w:r>
          <w:rPr>
            <w:color w:val="231F20"/>
            <w:spacing w:val="9"/>
            <w:sz w:val="16"/>
          </w:rPr>
          <w:t> </w:t>
        </w:r>
        <w:r>
          <w:rPr>
            <w:color w:val="231F20"/>
            <w:sz w:val="16"/>
          </w:rPr>
          <w:t>message</w:t>
        </w:r>
        <w:r>
          <w:rPr>
            <w:color w:val="231F20"/>
            <w:spacing w:val="9"/>
            <w:sz w:val="16"/>
          </w:rPr>
          <w:t> </w:t>
        </w:r>
        <w:r>
          <w:rPr>
            <w:color w:val="231F20"/>
            <w:sz w:val="16"/>
          </w:rPr>
          <w:t>console</w:t>
        </w:r>
        <w:r>
          <w:rPr>
            <w:color w:val="231F20"/>
            <w:spacing w:val="34"/>
            <w:sz w:val="16"/>
          </w:rPr>
          <w:t>  </w:t>
        </w:r>
        <w:r>
          <w:rPr>
            <w:color w:val="231F20"/>
            <w:spacing w:val="-5"/>
            <w:sz w:val="16"/>
          </w:rPr>
          <w:t>143</w:t>
        </w:r>
      </w:hyperlink>
    </w:p>
    <w:p>
      <w:pPr>
        <w:spacing w:line="220" w:lineRule="auto" w:before="3"/>
        <w:ind w:left="436" w:right="1175" w:hanging="240"/>
        <w:jc w:val="left"/>
        <w:rPr>
          <w:sz w:val="16"/>
        </w:rPr>
      </w:pPr>
      <w:r>
        <w:rPr>
          <w:color w:val="231F20"/>
          <w:sz w:val="16"/>
        </w:rPr>
        <w:t>event, situation</w:t>
      </w:r>
      <w:r>
        <w:rPr>
          <w:color w:val="231F20"/>
          <w:spacing w:val="40"/>
          <w:sz w:val="16"/>
        </w:rPr>
        <w:t> </w:t>
      </w:r>
      <w:hyperlink w:history="true" w:anchor="_bookmark45">
        <w:r>
          <w:rPr>
            <w:color w:val="231F20"/>
            <w:sz w:val="16"/>
          </w:rPr>
          <w:t>adding notes</w:t>
        </w:r>
        <w:r>
          <w:rPr>
            <w:color w:val="231F20"/>
            <w:spacing w:val="80"/>
            <w:sz w:val="16"/>
          </w:rPr>
          <w:t> </w:t>
        </w:r>
        <w:r>
          <w:rPr>
            <w:color w:val="231F20"/>
            <w:sz w:val="16"/>
          </w:rPr>
          <w:t>59</w:t>
        </w:r>
      </w:hyperlink>
    </w:p>
    <w:p>
      <w:pPr>
        <w:spacing w:line="220" w:lineRule="auto" w:before="2"/>
        <w:ind w:left="436" w:right="586" w:firstLine="0"/>
        <w:jc w:val="left"/>
        <w:rPr>
          <w:sz w:val="16"/>
        </w:rPr>
      </w:pPr>
      <w:hyperlink w:history="true" w:anchor="_bookmark46">
        <w:r>
          <w:rPr>
            <w:color w:val="231F20"/>
            <w:sz w:val="16"/>
          </w:rPr>
          <w:t>close (pure events)</w:t>
        </w:r>
        <w:r>
          <w:rPr>
            <w:color w:val="231F20"/>
            <w:spacing w:val="80"/>
            <w:sz w:val="16"/>
          </w:rPr>
          <w:t> </w:t>
        </w:r>
        <w:r>
          <w:rPr>
            <w:color w:val="231F20"/>
            <w:sz w:val="16"/>
          </w:rPr>
          <w:t>60</w:t>
        </w:r>
      </w:hyperlink>
      <w:r>
        <w:rPr>
          <w:color w:val="231F20"/>
          <w:spacing w:val="40"/>
          <w:sz w:val="16"/>
        </w:rPr>
        <w:t> </w:t>
      </w:r>
      <w:hyperlink w:history="true" w:anchor="_bookmark44">
        <w:r>
          <w:rPr>
            <w:color w:val="231F20"/>
            <w:sz w:val="16"/>
          </w:rPr>
          <w:t>view status</w:t>
        </w:r>
        <w:r>
          <w:rPr>
            <w:color w:val="231F20"/>
            <w:spacing w:val="80"/>
            <w:sz w:val="16"/>
          </w:rPr>
          <w:t> </w:t>
        </w:r>
        <w:r>
          <w:rPr>
            <w:color w:val="231F20"/>
            <w:sz w:val="16"/>
          </w:rPr>
          <w:t>58</w:t>
        </w:r>
      </w:hyperlink>
    </w:p>
    <w:p>
      <w:pPr>
        <w:spacing w:line="196" w:lineRule="exact" w:before="0"/>
        <w:ind w:left="197" w:right="0" w:firstLine="0"/>
        <w:jc w:val="left"/>
        <w:rPr>
          <w:sz w:val="16"/>
        </w:rPr>
      </w:pPr>
      <w:r>
        <w:rPr>
          <w:color w:val="231F20"/>
          <w:spacing w:val="-2"/>
          <w:sz w:val="16"/>
        </w:rPr>
        <w:t>events</w:t>
      </w:r>
    </w:p>
    <w:p>
      <w:pPr>
        <w:spacing w:line="220" w:lineRule="auto" w:before="5"/>
        <w:ind w:left="436" w:right="0" w:firstLine="0"/>
        <w:jc w:val="left"/>
        <w:rPr>
          <w:sz w:val="16"/>
        </w:rPr>
      </w:pPr>
      <w:hyperlink w:history="true" w:anchor="_bookmark20">
        <w:r>
          <w:rPr>
            <w:color w:val="231F20"/>
            <w:sz w:val="16"/>
          </w:rPr>
          <w:t>application support mismatch</w:t>
        </w:r>
        <w:r>
          <w:rPr>
            <w:color w:val="231F20"/>
            <w:spacing w:val="80"/>
            <w:sz w:val="16"/>
          </w:rPr>
          <w:t> </w:t>
        </w:r>
        <w:r>
          <w:rPr>
            <w:color w:val="231F20"/>
            <w:sz w:val="16"/>
          </w:rPr>
          <w:t>30</w:t>
        </w:r>
      </w:hyperlink>
      <w:r>
        <w:rPr>
          <w:color w:val="231F20"/>
          <w:spacing w:val="40"/>
          <w:sz w:val="16"/>
        </w:rPr>
        <w:t> </w:t>
      </w:r>
      <w:hyperlink w:history="true" w:anchor="_bookmark319">
        <w:r>
          <w:rPr>
            <w:color w:val="231F20"/>
            <w:sz w:val="16"/>
          </w:rPr>
          <w:t>pure or sampled</w:t>
        </w:r>
        <w:r>
          <w:rPr>
            <w:color w:val="231F20"/>
            <w:spacing w:val="80"/>
            <w:sz w:val="16"/>
          </w:rPr>
          <w:t> </w:t>
        </w:r>
        <w:r>
          <w:rPr>
            <w:color w:val="231F20"/>
            <w:sz w:val="16"/>
          </w:rPr>
          <w:t>413</w:t>
        </w:r>
      </w:hyperlink>
    </w:p>
    <w:p>
      <w:pPr>
        <w:spacing w:line="196" w:lineRule="exact" w:before="0"/>
        <w:ind w:left="436" w:right="0" w:firstLine="0"/>
        <w:jc w:val="left"/>
        <w:rPr>
          <w:sz w:val="16"/>
        </w:rPr>
      </w:pPr>
      <w:hyperlink w:history="true" w:anchor="_bookmark39">
        <w:r>
          <w:rPr>
            <w:color w:val="231F20"/>
            <w:sz w:val="16"/>
          </w:rPr>
          <w:t>situation</w:t>
        </w:r>
        <w:r>
          <w:rPr>
            <w:color w:val="231F20"/>
            <w:spacing w:val="36"/>
            <w:sz w:val="16"/>
          </w:rPr>
          <w:t>  </w:t>
        </w:r>
        <w:r>
          <w:rPr>
            <w:color w:val="231F20"/>
            <w:spacing w:val="-5"/>
            <w:sz w:val="16"/>
          </w:rPr>
          <w:t>51</w:t>
        </w:r>
      </w:hyperlink>
    </w:p>
    <w:p>
      <w:pPr>
        <w:spacing w:line="200" w:lineRule="exact" w:before="0"/>
        <w:ind w:left="197" w:right="0" w:firstLine="0"/>
        <w:jc w:val="left"/>
        <w:rPr>
          <w:sz w:val="16"/>
        </w:rPr>
      </w:pPr>
      <w:hyperlink w:history="true" w:anchor="_bookmark189">
        <w:r>
          <w:rPr>
            <w:color w:val="231F20"/>
            <w:sz w:val="16"/>
          </w:rPr>
          <w:t>expert</w:t>
        </w:r>
        <w:r>
          <w:rPr>
            <w:color w:val="231F20"/>
            <w:spacing w:val="10"/>
            <w:sz w:val="16"/>
          </w:rPr>
          <w:t> </w:t>
        </w:r>
        <w:r>
          <w:rPr>
            <w:color w:val="231F20"/>
            <w:sz w:val="16"/>
          </w:rPr>
          <w:t>advice</w:t>
        </w:r>
        <w:r>
          <w:rPr>
            <w:color w:val="231F20"/>
            <w:spacing w:val="36"/>
            <w:sz w:val="16"/>
          </w:rPr>
          <w:t>  </w:t>
        </w:r>
        <w:r>
          <w:rPr>
            <w:color w:val="231F20"/>
            <w:sz w:val="16"/>
          </w:rPr>
          <w:t>258,</w:t>
        </w:r>
      </w:hyperlink>
      <w:r>
        <w:rPr>
          <w:color w:val="231F20"/>
          <w:spacing w:val="11"/>
          <w:sz w:val="16"/>
        </w:rPr>
        <w:t> </w:t>
      </w:r>
      <w:hyperlink w:history="true" w:anchor="_bookmark201">
        <w:r>
          <w:rPr>
            <w:color w:val="231F20"/>
            <w:spacing w:val="-5"/>
            <w:sz w:val="16"/>
          </w:rPr>
          <w:t>271</w:t>
        </w:r>
      </w:hyperlink>
    </w:p>
    <w:p>
      <w:pPr>
        <w:spacing w:line="200" w:lineRule="exact" w:before="0"/>
        <w:ind w:left="197" w:right="0" w:firstLine="0"/>
        <w:jc w:val="left"/>
        <w:rPr>
          <w:sz w:val="16"/>
        </w:rPr>
      </w:pPr>
      <w:hyperlink w:history="true" w:anchor="_bookmark35">
        <w:r>
          <w:rPr>
            <w:color w:val="231F20"/>
            <w:sz w:val="16"/>
          </w:rPr>
          <w:t>export</w:t>
        </w:r>
        <w:r>
          <w:rPr>
            <w:color w:val="231F20"/>
            <w:spacing w:val="11"/>
            <w:sz w:val="16"/>
          </w:rPr>
          <w:t> </w:t>
        </w:r>
        <w:r>
          <w:rPr>
            <w:color w:val="231F20"/>
            <w:sz w:val="16"/>
          </w:rPr>
          <w:t>data</w:t>
        </w:r>
        <w:r>
          <w:rPr>
            <w:color w:val="231F20"/>
            <w:spacing w:val="36"/>
            <w:sz w:val="16"/>
          </w:rPr>
          <w:t>  </w:t>
        </w:r>
        <w:r>
          <w:rPr>
            <w:color w:val="231F20"/>
            <w:spacing w:val="-7"/>
            <w:sz w:val="16"/>
          </w:rPr>
          <w:t>45</w:t>
        </w:r>
      </w:hyperlink>
    </w:p>
    <w:p>
      <w:pPr>
        <w:spacing w:line="208" w:lineRule="exact" w:before="0"/>
        <w:ind w:left="197" w:right="0" w:firstLine="0"/>
        <w:jc w:val="left"/>
        <w:rPr>
          <w:sz w:val="16"/>
        </w:rPr>
      </w:pPr>
      <w:hyperlink w:history="true" w:anchor="_bookmark250">
        <w:r>
          <w:rPr>
            <w:color w:val="231F20"/>
            <w:sz w:val="16"/>
          </w:rPr>
          <w:t>extensions</w:t>
        </w:r>
        <w:r>
          <w:rPr>
            <w:color w:val="231F20"/>
            <w:spacing w:val="35"/>
            <w:sz w:val="16"/>
          </w:rPr>
          <w:t>  </w:t>
        </w:r>
        <w:r>
          <w:rPr>
            <w:color w:val="231F20"/>
            <w:spacing w:val="-5"/>
            <w:sz w:val="16"/>
          </w:rPr>
          <w:t>342</w:t>
        </w:r>
      </w:hyperlink>
    </w:p>
    <w:p>
      <w:pPr>
        <w:pStyle w:val="BodyText"/>
        <w:spacing w:before="104"/>
        <w:rPr>
          <w:sz w:val="16"/>
        </w:rPr>
      </w:pPr>
    </w:p>
    <w:p>
      <w:pPr>
        <w:pStyle w:val="Heading1"/>
      </w:pPr>
      <w:bookmarkStart w:name="F" w:id="755"/>
      <w:bookmarkEnd w:id="755"/>
      <w:r>
        <w:rPr>
          <w:b w:val="0"/>
        </w:rPr>
      </w:r>
      <w:r>
        <w:rPr>
          <w:color w:val="231F20"/>
          <w:spacing w:val="-10"/>
        </w:rPr>
        <w:t>F</w:t>
      </w:r>
    </w:p>
    <w:p>
      <w:pPr>
        <w:spacing w:line="205" w:lineRule="exact" w:before="0"/>
        <w:ind w:left="197" w:right="0" w:firstLine="0"/>
        <w:jc w:val="left"/>
        <w:rPr>
          <w:sz w:val="16"/>
        </w:rPr>
      </w:pPr>
      <w:r>
        <w:rPr>
          <w:color w:val="231F20"/>
          <w:spacing w:val="-2"/>
          <w:sz w:val="16"/>
        </w:rPr>
        <w:t>filters</w:t>
      </w:r>
    </w:p>
    <w:p>
      <w:pPr>
        <w:spacing w:line="200" w:lineRule="exact" w:before="0"/>
        <w:ind w:left="436" w:right="0" w:firstLine="0"/>
        <w:jc w:val="left"/>
        <w:rPr>
          <w:sz w:val="16"/>
        </w:rPr>
      </w:pPr>
      <w:hyperlink w:history="true" w:anchor="_bookmark73">
        <w:r>
          <w:rPr>
            <w:color w:val="231F20"/>
            <w:sz w:val="16"/>
          </w:rPr>
          <w:t>advanced</w:t>
        </w:r>
        <w:r>
          <w:rPr>
            <w:color w:val="231F20"/>
            <w:spacing w:val="36"/>
            <w:sz w:val="16"/>
          </w:rPr>
          <w:t>  </w:t>
        </w:r>
        <w:r>
          <w:rPr>
            <w:color w:val="231F20"/>
            <w:spacing w:val="-5"/>
            <w:sz w:val="16"/>
          </w:rPr>
          <w:t>95</w:t>
        </w:r>
      </w:hyperlink>
    </w:p>
    <w:p>
      <w:pPr>
        <w:spacing w:line="200" w:lineRule="exact" w:before="0"/>
        <w:ind w:left="436" w:right="0" w:firstLine="0"/>
        <w:jc w:val="left"/>
        <w:rPr>
          <w:sz w:val="16"/>
        </w:rPr>
      </w:pPr>
      <w:hyperlink w:history="true" w:anchor="_bookmark318">
        <w:r>
          <w:rPr>
            <w:color w:val="231F20"/>
            <w:sz w:val="16"/>
          </w:rPr>
          <w:t>formula</w:t>
        </w:r>
        <w:r>
          <w:rPr>
            <w:color w:val="231F20"/>
            <w:spacing w:val="9"/>
            <w:sz w:val="16"/>
          </w:rPr>
          <w:t> </w:t>
        </w:r>
        <w:r>
          <w:rPr>
            <w:color w:val="231F20"/>
            <w:sz w:val="16"/>
          </w:rPr>
          <w:t>functions</w:t>
        </w:r>
        <w:r>
          <w:rPr>
            <w:color w:val="231F20"/>
            <w:spacing w:val="35"/>
            <w:sz w:val="16"/>
          </w:rPr>
          <w:t>  </w:t>
        </w:r>
        <w:r>
          <w:rPr>
            <w:color w:val="231F20"/>
            <w:spacing w:val="-5"/>
            <w:sz w:val="16"/>
          </w:rPr>
          <w:t>411</w:t>
        </w:r>
      </w:hyperlink>
    </w:p>
    <w:p>
      <w:pPr>
        <w:spacing w:line="220" w:lineRule="auto" w:before="6"/>
        <w:ind w:left="197" w:right="1199" w:firstLine="239"/>
        <w:jc w:val="left"/>
        <w:rPr>
          <w:sz w:val="16"/>
        </w:rPr>
      </w:pPr>
      <w:hyperlink w:history="true" w:anchor="_bookmark139">
        <w:r>
          <w:rPr>
            <w:color w:val="231F20"/>
            <w:sz w:val="16"/>
          </w:rPr>
          <w:t>in queries</w:t>
        </w:r>
        <w:r>
          <w:rPr>
            <w:color w:val="231F20"/>
            <w:spacing w:val="80"/>
            <w:sz w:val="16"/>
          </w:rPr>
          <w:t> </w:t>
        </w:r>
        <w:r>
          <w:rPr>
            <w:color w:val="231F20"/>
            <w:sz w:val="16"/>
          </w:rPr>
          <w:t>197</w:t>
        </w:r>
      </w:hyperlink>
      <w:r>
        <w:rPr>
          <w:color w:val="231F20"/>
          <w:spacing w:val="40"/>
          <w:sz w:val="16"/>
        </w:rPr>
        <w:t> </w:t>
      </w:r>
      <w:r>
        <w:rPr>
          <w:color w:val="231F20"/>
          <w:spacing w:val="-4"/>
          <w:sz w:val="16"/>
        </w:rPr>
        <w:t>find</w:t>
      </w:r>
    </w:p>
    <w:p>
      <w:pPr>
        <w:spacing w:line="196" w:lineRule="exact" w:before="0"/>
        <w:ind w:left="436" w:right="0" w:firstLine="0"/>
        <w:jc w:val="left"/>
        <w:rPr>
          <w:sz w:val="16"/>
        </w:rPr>
      </w:pPr>
      <w:hyperlink w:history="true" w:anchor="_bookmark36">
        <w:r>
          <w:rPr>
            <w:color w:val="231F20"/>
            <w:sz w:val="16"/>
          </w:rPr>
          <w:t>browser</w:t>
        </w:r>
        <w:r>
          <w:rPr>
            <w:color w:val="231F20"/>
            <w:spacing w:val="9"/>
            <w:sz w:val="16"/>
          </w:rPr>
          <w:t> </w:t>
        </w:r>
        <w:r>
          <w:rPr>
            <w:color w:val="231F20"/>
            <w:sz w:val="16"/>
          </w:rPr>
          <w:t>view</w:t>
        </w:r>
        <w:r>
          <w:rPr>
            <w:color w:val="231F20"/>
            <w:spacing w:val="35"/>
            <w:sz w:val="16"/>
          </w:rPr>
          <w:t>  </w:t>
        </w:r>
        <w:r>
          <w:rPr>
            <w:color w:val="231F20"/>
            <w:spacing w:val="-5"/>
            <w:sz w:val="16"/>
          </w:rPr>
          <w:t>46</w:t>
        </w:r>
      </w:hyperlink>
    </w:p>
    <w:p>
      <w:pPr>
        <w:spacing w:line="200" w:lineRule="exact" w:before="0"/>
        <w:ind w:left="436" w:right="0" w:firstLine="0"/>
        <w:jc w:val="left"/>
        <w:rPr>
          <w:sz w:val="16"/>
        </w:rPr>
      </w:pPr>
      <w:hyperlink w:history="true" w:anchor="_bookmark37">
        <w:r>
          <w:rPr>
            <w:color w:val="231F20"/>
            <w:sz w:val="16"/>
          </w:rPr>
          <w:t>examples</w:t>
        </w:r>
        <w:r>
          <w:rPr>
            <w:color w:val="231F20"/>
            <w:spacing w:val="36"/>
            <w:sz w:val="16"/>
          </w:rPr>
          <w:t>  </w:t>
        </w:r>
        <w:r>
          <w:rPr>
            <w:color w:val="231F20"/>
            <w:spacing w:val="-5"/>
            <w:sz w:val="16"/>
          </w:rPr>
          <w:t>48</w:t>
        </w:r>
      </w:hyperlink>
    </w:p>
    <w:p>
      <w:pPr>
        <w:spacing w:line="220" w:lineRule="auto" w:before="5"/>
        <w:ind w:left="436" w:right="936" w:firstLine="0"/>
        <w:jc w:val="left"/>
        <w:rPr>
          <w:sz w:val="16"/>
        </w:rPr>
      </w:pPr>
      <w:hyperlink w:history="true" w:anchor="_bookmark36">
        <w:r>
          <w:rPr>
            <w:color w:val="231F20"/>
            <w:sz w:val="16"/>
          </w:rPr>
          <w:t>notepad view</w:t>
        </w:r>
        <w:r>
          <w:rPr>
            <w:color w:val="231F20"/>
            <w:spacing w:val="80"/>
            <w:sz w:val="16"/>
          </w:rPr>
          <w:t> </w:t>
        </w:r>
        <w:r>
          <w:rPr>
            <w:color w:val="231F20"/>
            <w:sz w:val="16"/>
          </w:rPr>
          <w:t>46</w:t>
        </w:r>
      </w:hyperlink>
      <w:r>
        <w:rPr>
          <w:color w:val="231F20"/>
          <w:spacing w:val="40"/>
          <w:sz w:val="16"/>
        </w:rPr>
        <w:t> </w:t>
      </w:r>
      <w:hyperlink w:history="true" w:anchor="_bookmark36">
        <w:r>
          <w:rPr>
            <w:color w:val="231F20"/>
            <w:sz w:val="16"/>
          </w:rPr>
          <w:t>table view data</w:t>
        </w:r>
        <w:r>
          <w:rPr>
            <w:color w:val="231F20"/>
            <w:spacing w:val="80"/>
            <w:sz w:val="16"/>
          </w:rPr>
          <w:t> </w:t>
        </w:r>
        <w:r>
          <w:rPr>
            <w:color w:val="231F20"/>
            <w:sz w:val="16"/>
          </w:rPr>
          <w:t>46</w:t>
        </w:r>
      </w:hyperlink>
    </w:p>
    <w:p>
      <w:pPr>
        <w:spacing w:line="196" w:lineRule="exact" w:before="0"/>
        <w:ind w:left="197" w:right="0" w:firstLine="0"/>
        <w:jc w:val="left"/>
        <w:rPr>
          <w:sz w:val="16"/>
        </w:rPr>
      </w:pPr>
      <w:hyperlink w:history="true" w:anchor="_bookmark355">
        <w:r>
          <w:rPr>
            <w:color w:val="231F20"/>
            <w:sz w:val="16"/>
          </w:rPr>
          <w:t>fixes,</w:t>
        </w:r>
        <w:r>
          <w:rPr>
            <w:color w:val="231F20"/>
            <w:spacing w:val="10"/>
            <w:sz w:val="16"/>
          </w:rPr>
          <w:t> </w:t>
        </w:r>
        <w:r>
          <w:rPr>
            <w:color w:val="231F20"/>
            <w:sz w:val="16"/>
          </w:rPr>
          <w:t>obtaining</w:t>
        </w:r>
        <w:r>
          <w:rPr>
            <w:color w:val="231F20"/>
            <w:spacing w:val="35"/>
            <w:sz w:val="16"/>
          </w:rPr>
          <w:t>  </w:t>
        </w:r>
        <w:r>
          <w:rPr>
            <w:color w:val="231F20"/>
            <w:spacing w:val="-5"/>
            <w:sz w:val="16"/>
          </w:rPr>
          <w:t>460</w:t>
        </w:r>
      </w:hyperlink>
    </w:p>
    <w:p>
      <w:pPr>
        <w:spacing w:line="220" w:lineRule="auto" w:before="5"/>
        <w:ind w:left="197" w:right="1175" w:firstLine="0"/>
        <w:jc w:val="left"/>
        <w:rPr>
          <w:sz w:val="16"/>
        </w:rPr>
      </w:pPr>
      <w:hyperlink w:history="true" w:anchor="_bookmark95">
        <w:r>
          <w:rPr>
            <w:color w:val="231F20"/>
            <w:sz w:val="16"/>
          </w:rPr>
          <w:t>footer label</w:t>
        </w:r>
        <w:r>
          <w:rPr>
            <w:color w:val="231F20"/>
            <w:spacing w:val="80"/>
            <w:sz w:val="16"/>
          </w:rPr>
          <w:t> </w:t>
        </w:r>
        <w:r>
          <w:rPr>
            <w:color w:val="231F20"/>
            <w:sz w:val="16"/>
          </w:rPr>
          <w:t>124</w:t>
        </w:r>
      </w:hyperlink>
      <w:r>
        <w:rPr>
          <w:color w:val="231F20"/>
          <w:spacing w:val="40"/>
          <w:sz w:val="16"/>
        </w:rPr>
        <w:t> </w:t>
      </w:r>
      <w:r>
        <w:rPr>
          <w:color w:val="231F20"/>
          <w:spacing w:val="-2"/>
          <w:sz w:val="16"/>
        </w:rPr>
        <w:t>formula</w:t>
      </w:r>
    </w:p>
    <w:p>
      <w:pPr>
        <w:spacing w:line="220" w:lineRule="auto" w:before="2"/>
        <w:ind w:left="197" w:right="586" w:firstLine="239"/>
        <w:jc w:val="left"/>
        <w:rPr>
          <w:sz w:val="16"/>
        </w:rPr>
      </w:pPr>
      <w:hyperlink w:history="true" w:anchor="_bookmark218">
        <w:r>
          <w:rPr>
            <w:color w:val="231F20"/>
            <w:sz w:val="16"/>
          </w:rPr>
          <w:t>situation override</w:t>
        </w:r>
        <w:r>
          <w:rPr>
            <w:color w:val="231F20"/>
            <w:spacing w:val="80"/>
            <w:sz w:val="16"/>
          </w:rPr>
          <w:t> </w:t>
        </w:r>
        <w:r>
          <w:rPr>
            <w:color w:val="231F20"/>
            <w:sz w:val="16"/>
          </w:rPr>
          <w:t>295</w:t>
        </w:r>
      </w:hyperlink>
      <w:r>
        <w:rPr>
          <w:color w:val="231F20"/>
          <w:spacing w:val="40"/>
          <w:sz w:val="16"/>
        </w:rPr>
        <w:t> </w:t>
      </w:r>
      <w:r>
        <w:rPr>
          <w:color w:val="231F20"/>
          <w:sz w:val="16"/>
        </w:rPr>
        <w:t>formula editor</w:t>
      </w:r>
    </w:p>
    <w:p>
      <w:pPr>
        <w:spacing w:line="220" w:lineRule="auto" w:before="2"/>
        <w:ind w:left="197" w:right="809" w:firstLine="239"/>
        <w:jc w:val="left"/>
        <w:rPr>
          <w:sz w:val="16"/>
        </w:rPr>
      </w:pPr>
      <w:hyperlink w:history="true" w:anchor="_bookmark321">
        <w:r>
          <w:rPr>
            <w:color w:val="231F20"/>
            <w:sz w:val="16"/>
          </w:rPr>
          <w:t>pop-up menu</w:t>
        </w:r>
        <w:r>
          <w:rPr>
            <w:color w:val="231F20"/>
            <w:spacing w:val="80"/>
            <w:sz w:val="16"/>
          </w:rPr>
          <w:t> </w:t>
        </w:r>
        <w:r>
          <w:rPr>
            <w:color w:val="231F20"/>
            <w:sz w:val="16"/>
          </w:rPr>
          <w:t>415</w:t>
        </w:r>
      </w:hyperlink>
      <w:r>
        <w:rPr>
          <w:color w:val="231F20"/>
          <w:spacing w:val="40"/>
          <w:sz w:val="16"/>
        </w:rPr>
        <w:t> </w:t>
      </w:r>
      <w:r>
        <w:rPr>
          <w:color w:val="231F20"/>
          <w:sz w:val="16"/>
        </w:rPr>
        <w:t>formula function</w:t>
      </w:r>
    </w:p>
    <w:p>
      <w:pPr>
        <w:spacing w:line="220" w:lineRule="auto" w:before="2"/>
        <w:ind w:left="436" w:right="0" w:firstLine="0"/>
        <w:jc w:val="left"/>
        <w:rPr>
          <w:sz w:val="16"/>
        </w:rPr>
      </w:pPr>
      <w:hyperlink w:history="true" w:anchor="_bookmark320">
        <w:r>
          <w:rPr>
            <w:color w:val="231F20"/>
            <w:sz w:val="16"/>
          </w:rPr>
          <w:t>Boolean AND and OR</w:t>
        </w:r>
        <w:r>
          <w:rPr>
            <w:color w:val="231F20"/>
            <w:spacing w:val="80"/>
            <w:sz w:val="16"/>
          </w:rPr>
          <w:t> </w:t>
        </w:r>
        <w:r>
          <w:rPr>
            <w:color w:val="231F20"/>
            <w:sz w:val="16"/>
          </w:rPr>
          <w:t>414</w:t>
        </w:r>
      </w:hyperlink>
      <w:r>
        <w:rPr>
          <w:color w:val="231F20"/>
          <w:spacing w:val="40"/>
          <w:sz w:val="16"/>
        </w:rPr>
        <w:t> </w:t>
      </w:r>
      <w:hyperlink w:history="true" w:anchor="_bookmark320">
        <w:r>
          <w:rPr>
            <w:color w:val="231F20"/>
            <w:sz w:val="16"/>
          </w:rPr>
          <w:t>multiple expressions</w:t>
        </w:r>
        <w:r>
          <w:rPr>
            <w:color w:val="231F20"/>
            <w:spacing w:val="80"/>
            <w:sz w:val="16"/>
          </w:rPr>
          <w:t> </w:t>
        </w:r>
        <w:r>
          <w:rPr>
            <w:color w:val="231F20"/>
            <w:sz w:val="16"/>
          </w:rPr>
          <w:t>414</w:t>
        </w:r>
      </w:hyperlink>
    </w:p>
    <w:p>
      <w:pPr>
        <w:spacing w:line="196" w:lineRule="exact" w:before="0"/>
        <w:ind w:left="197" w:right="0" w:firstLine="0"/>
        <w:jc w:val="left"/>
        <w:rPr>
          <w:sz w:val="16"/>
        </w:rPr>
      </w:pPr>
      <w:hyperlink w:history="true" w:anchor="_bookmark318">
        <w:r>
          <w:rPr>
            <w:color w:val="231F20"/>
            <w:sz w:val="16"/>
          </w:rPr>
          <w:t>formula</w:t>
        </w:r>
        <w:r>
          <w:rPr>
            <w:color w:val="231F20"/>
            <w:spacing w:val="9"/>
            <w:sz w:val="16"/>
          </w:rPr>
          <w:t> </w:t>
        </w:r>
        <w:r>
          <w:rPr>
            <w:color w:val="231F20"/>
            <w:sz w:val="16"/>
          </w:rPr>
          <w:t>functions</w:t>
        </w:r>
        <w:r>
          <w:rPr>
            <w:color w:val="231F20"/>
            <w:spacing w:val="35"/>
            <w:sz w:val="16"/>
          </w:rPr>
          <w:t>  </w:t>
        </w:r>
        <w:r>
          <w:rPr>
            <w:color w:val="231F20"/>
            <w:spacing w:val="-5"/>
            <w:sz w:val="16"/>
          </w:rPr>
          <w:t>411</w:t>
        </w:r>
      </w:hyperlink>
    </w:p>
    <w:p>
      <w:pPr>
        <w:spacing w:line="220" w:lineRule="auto" w:before="5"/>
        <w:ind w:left="436" w:right="154" w:firstLine="0"/>
        <w:jc w:val="left"/>
        <w:rPr>
          <w:sz w:val="16"/>
        </w:rPr>
      </w:pPr>
      <w:hyperlink w:history="true" w:anchor="_bookmark319">
        <w:r>
          <w:rPr>
            <w:color w:val="231F20"/>
            <w:sz w:val="16"/>
          </w:rPr>
          <w:t>attribute characteristics</w:t>
        </w:r>
        <w:r>
          <w:rPr>
            <w:color w:val="231F20"/>
            <w:spacing w:val="80"/>
            <w:sz w:val="16"/>
          </w:rPr>
          <w:t> </w:t>
        </w:r>
        <w:r>
          <w:rPr>
            <w:color w:val="231F20"/>
            <w:sz w:val="16"/>
          </w:rPr>
          <w:t>413</w:t>
        </w:r>
      </w:hyperlink>
      <w:r>
        <w:rPr>
          <w:color w:val="231F20"/>
          <w:spacing w:val="40"/>
          <w:sz w:val="16"/>
        </w:rPr>
        <w:t> </w:t>
      </w:r>
      <w:hyperlink w:history="true" w:anchor="_bookmark333">
        <w:r>
          <w:rPr>
            <w:color w:val="231F20"/>
            <w:sz w:val="16"/>
          </w:rPr>
          <w:t>Average of group</w:t>
        </w:r>
        <w:r>
          <w:rPr>
            <w:color w:val="231F20"/>
            <w:spacing w:val="80"/>
            <w:sz w:val="16"/>
          </w:rPr>
          <w:t> </w:t>
        </w:r>
        <w:r>
          <w:rPr>
            <w:color w:val="231F20"/>
            <w:sz w:val="16"/>
          </w:rPr>
          <w:t>424</w:t>
        </w:r>
      </w:hyperlink>
      <w:r>
        <w:rPr>
          <w:color w:val="231F20"/>
          <w:spacing w:val="40"/>
          <w:sz w:val="16"/>
        </w:rPr>
        <w:t> </w:t>
      </w:r>
      <w:hyperlink w:history="true" w:anchor="_bookmark323">
        <w:r>
          <w:rPr>
            <w:color w:val="231F20"/>
            <w:sz w:val="16"/>
          </w:rPr>
          <w:t>BETWEEN</w:t>
        </w:r>
        <w:r>
          <w:rPr>
            <w:color w:val="231F20"/>
            <w:spacing w:val="80"/>
            <w:sz w:val="16"/>
          </w:rPr>
          <w:t> </w:t>
        </w:r>
        <w:r>
          <w:rPr>
            <w:color w:val="231F20"/>
            <w:sz w:val="16"/>
          </w:rPr>
          <w:t>416</w:t>
        </w:r>
      </w:hyperlink>
    </w:p>
    <w:p>
      <w:pPr>
        <w:spacing w:line="197" w:lineRule="exact" w:before="0"/>
        <w:ind w:left="436" w:right="0" w:firstLine="0"/>
        <w:jc w:val="left"/>
        <w:rPr>
          <w:sz w:val="16"/>
        </w:rPr>
      </w:pPr>
      <w:hyperlink w:history="true" w:anchor="_bookmark323">
        <w:r>
          <w:rPr>
            <w:color w:val="231F20"/>
            <w:sz w:val="16"/>
          </w:rPr>
          <w:t>cell</w:t>
        </w:r>
        <w:r>
          <w:rPr>
            <w:color w:val="231F20"/>
            <w:spacing w:val="38"/>
            <w:sz w:val="16"/>
          </w:rPr>
          <w:t>  </w:t>
        </w:r>
        <w:r>
          <w:rPr>
            <w:color w:val="231F20"/>
            <w:spacing w:val="-5"/>
            <w:sz w:val="16"/>
          </w:rPr>
          <w:t>416</w:t>
        </w:r>
      </w:hyperlink>
    </w:p>
    <w:p>
      <w:pPr>
        <w:spacing w:line="200" w:lineRule="exact" w:before="0"/>
        <w:ind w:left="436" w:right="0" w:firstLine="0"/>
        <w:jc w:val="left"/>
        <w:rPr>
          <w:sz w:val="16"/>
        </w:rPr>
      </w:pPr>
      <w:hyperlink w:history="true" w:anchor="_bookmark324">
        <w:r>
          <w:rPr>
            <w:color w:val="231F20"/>
            <w:sz w:val="16"/>
          </w:rPr>
          <w:t>CHANGE</w:t>
        </w:r>
        <w:r>
          <w:rPr>
            <w:color w:val="231F20"/>
            <w:spacing w:val="35"/>
            <w:sz w:val="16"/>
          </w:rPr>
          <w:t>  </w:t>
        </w:r>
        <w:r>
          <w:rPr>
            <w:color w:val="231F20"/>
            <w:spacing w:val="-5"/>
            <w:sz w:val="16"/>
          </w:rPr>
          <w:t>417</w:t>
        </w:r>
      </w:hyperlink>
    </w:p>
    <w:p>
      <w:pPr>
        <w:spacing w:line="208" w:lineRule="exact" w:before="0"/>
        <w:ind w:left="436" w:right="0" w:firstLine="0"/>
        <w:jc w:val="left"/>
        <w:rPr>
          <w:sz w:val="16"/>
        </w:rPr>
      </w:pPr>
      <w:hyperlink w:history="true" w:anchor="_bookmark333">
        <w:r>
          <w:rPr>
            <w:color w:val="231F20"/>
            <w:sz w:val="16"/>
          </w:rPr>
          <w:t>Count</w:t>
        </w:r>
        <w:r>
          <w:rPr>
            <w:color w:val="231F20"/>
            <w:spacing w:val="9"/>
            <w:sz w:val="16"/>
          </w:rPr>
          <w:t> </w:t>
        </w:r>
        <w:r>
          <w:rPr>
            <w:color w:val="231F20"/>
            <w:sz w:val="16"/>
          </w:rPr>
          <w:t>of</w:t>
        </w:r>
        <w:r>
          <w:rPr>
            <w:color w:val="231F20"/>
            <w:spacing w:val="10"/>
            <w:sz w:val="16"/>
          </w:rPr>
          <w:t> </w:t>
        </w:r>
        <w:r>
          <w:rPr>
            <w:color w:val="231F20"/>
            <w:sz w:val="16"/>
          </w:rPr>
          <w:t>group</w:t>
        </w:r>
        <w:r>
          <w:rPr>
            <w:color w:val="231F20"/>
            <w:spacing w:val="10"/>
            <w:sz w:val="16"/>
          </w:rPr>
          <w:t> </w:t>
        </w:r>
        <w:r>
          <w:rPr>
            <w:color w:val="231F20"/>
            <w:sz w:val="16"/>
          </w:rPr>
          <w:t>members</w:t>
        </w:r>
        <w:r>
          <w:rPr>
            <w:color w:val="231F20"/>
            <w:spacing w:val="34"/>
            <w:sz w:val="16"/>
          </w:rPr>
          <w:t>  </w:t>
        </w:r>
        <w:r>
          <w:rPr>
            <w:color w:val="231F20"/>
            <w:spacing w:val="-5"/>
            <w:sz w:val="16"/>
          </w:rPr>
          <w:t>424</w:t>
        </w:r>
      </w:hyperlink>
    </w:p>
    <w:p>
      <w:pPr>
        <w:spacing w:line="208" w:lineRule="exact" w:before="54"/>
        <w:ind w:left="197" w:right="0" w:firstLine="0"/>
        <w:jc w:val="left"/>
        <w:rPr>
          <w:rFonts w:ascii="Book Antiqua"/>
          <w:i/>
          <w:sz w:val="16"/>
        </w:rPr>
      </w:pPr>
      <w:r>
        <w:rPr/>
        <w:br w:type="column"/>
      </w:r>
      <w:hyperlink w:history="true" w:anchor="_bookmark318">
        <w:r>
          <w:rPr>
            <w:color w:val="231F20"/>
            <w:sz w:val="16"/>
          </w:rPr>
          <w:t>formula</w:t>
        </w:r>
        <w:r>
          <w:rPr>
            <w:color w:val="231F20"/>
            <w:spacing w:val="8"/>
            <w:sz w:val="16"/>
          </w:rPr>
          <w:t> </w:t>
        </w:r>
        <w:r>
          <w:rPr>
            <w:color w:val="231F20"/>
            <w:sz w:val="16"/>
          </w:rPr>
          <w:t>functions</w:t>
        </w:r>
        <w:r>
          <w:rPr>
            <w:color w:val="231F20"/>
            <w:spacing w:val="31"/>
            <w:sz w:val="16"/>
          </w:rPr>
          <w:t> </w:t>
        </w:r>
        <w:r>
          <w:rPr>
            <w:rFonts w:ascii="Book Antiqua"/>
            <w:i/>
            <w:color w:val="231F20"/>
            <w:spacing w:val="-2"/>
            <w:sz w:val="16"/>
          </w:rPr>
          <w:t>(continued)</w:t>
        </w:r>
      </w:hyperlink>
    </w:p>
    <w:p>
      <w:pPr>
        <w:spacing w:line="200" w:lineRule="exact" w:before="0"/>
        <w:ind w:left="436" w:right="0" w:firstLine="0"/>
        <w:jc w:val="left"/>
        <w:rPr>
          <w:sz w:val="16"/>
        </w:rPr>
      </w:pPr>
      <w:hyperlink w:history="true" w:anchor="_bookmark324">
        <w:r>
          <w:rPr>
            <w:color w:val="231F20"/>
            <w:sz w:val="16"/>
          </w:rPr>
          <w:t>DATE</w:t>
        </w:r>
        <w:r>
          <w:rPr>
            <w:color w:val="231F20"/>
            <w:spacing w:val="31"/>
            <w:sz w:val="16"/>
          </w:rPr>
          <w:t>  </w:t>
        </w:r>
        <w:r>
          <w:rPr>
            <w:color w:val="231F20"/>
            <w:spacing w:val="-5"/>
            <w:sz w:val="16"/>
          </w:rPr>
          <w:t>417</w:t>
        </w:r>
      </w:hyperlink>
    </w:p>
    <w:p>
      <w:pPr>
        <w:spacing w:line="200" w:lineRule="exact" w:before="0"/>
        <w:ind w:left="436" w:right="0" w:firstLine="0"/>
        <w:jc w:val="left"/>
        <w:rPr>
          <w:sz w:val="16"/>
        </w:rPr>
      </w:pPr>
      <w:hyperlink w:history="true" w:anchor="_bookmark332">
        <w:r>
          <w:rPr>
            <w:color w:val="231F20"/>
            <w:sz w:val="16"/>
          </w:rPr>
          <w:t>group</w:t>
        </w:r>
        <w:r>
          <w:rPr>
            <w:color w:val="231F20"/>
            <w:spacing w:val="35"/>
            <w:sz w:val="16"/>
          </w:rPr>
          <w:t>  </w:t>
        </w:r>
        <w:r>
          <w:rPr>
            <w:color w:val="231F20"/>
            <w:spacing w:val="-5"/>
            <w:sz w:val="16"/>
          </w:rPr>
          <w:t>423</w:t>
        </w:r>
      </w:hyperlink>
    </w:p>
    <w:p>
      <w:pPr>
        <w:spacing w:line="200" w:lineRule="exact" w:before="0"/>
        <w:ind w:left="436" w:right="0" w:firstLine="0"/>
        <w:jc w:val="left"/>
        <w:rPr>
          <w:sz w:val="16"/>
        </w:rPr>
      </w:pPr>
      <w:hyperlink w:history="true" w:anchor="_bookmark332">
        <w:r>
          <w:rPr>
            <w:color w:val="231F20"/>
            <w:sz w:val="16"/>
          </w:rPr>
          <w:t>IN</w:t>
        </w:r>
        <w:r>
          <w:rPr>
            <w:color w:val="231F20"/>
            <w:spacing w:val="38"/>
            <w:sz w:val="16"/>
          </w:rPr>
          <w:t>  </w:t>
        </w:r>
        <w:r>
          <w:rPr>
            <w:color w:val="231F20"/>
            <w:spacing w:val="-5"/>
            <w:sz w:val="16"/>
          </w:rPr>
          <w:t>423</w:t>
        </w:r>
      </w:hyperlink>
    </w:p>
    <w:p>
      <w:pPr>
        <w:spacing w:line="200" w:lineRule="exact" w:before="0"/>
        <w:ind w:left="436" w:right="0" w:firstLine="0"/>
        <w:jc w:val="left"/>
        <w:rPr>
          <w:sz w:val="16"/>
        </w:rPr>
      </w:pPr>
      <w:hyperlink w:history="true" w:anchor="_bookmark325">
        <w:r>
          <w:rPr>
            <w:color w:val="231F20"/>
            <w:sz w:val="16"/>
          </w:rPr>
          <w:t>ISNULL</w:t>
        </w:r>
        <w:r>
          <w:rPr>
            <w:color w:val="231F20"/>
            <w:spacing w:val="36"/>
            <w:sz w:val="16"/>
          </w:rPr>
          <w:t>  </w:t>
        </w:r>
        <w:r>
          <w:rPr>
            <w:color w:val="231F20"/>
            <w:spacing w:val="-5"/>
            <w:sz w:val="16"/>
          </w:rPr>
          <w:t>418</w:t>
        </w:r>
      </w:hyperlink>
    </w:p>
    <w:p>
      <w:pPr>
        <w:spacing w:line="220" w:lineRule="auto" w:before="5"/>
        <w:ind w:left="436" w:right="617" w:firstLine="0"/>
        <w:jc w:val="both"/>
        <w:rPr>
          <w:sz w:val="16"/>
        </w:rPr>
      </w:pPr>
      <w:hyperlink w:history="true" w:anchor="_bookmark334">
        <w:r>
          <w:rPr>
            <w:color w:val="231F20"/>
            <w:sz w:val="16"/>
          </w:rPr>
          <w:t>Maximum in group</w:t>
        </w:r>
        <w:r>
          <w:rPr>
            <w:color w:val="231F20"/>
            <w:spacing w:val="40"/>
            <w:sz w:val="16"/>
          </w:rPr>
          <w:t> </w:t>
        </w:r>
        <w:r>
          <w:rPr>
            <w:color w:val="231F20"/>
            <w:sz w:val="16"/>
          </w:rPr>
          <w:t>425</w:t>
        </w:r>
      </w:hyperlink>
      <w:r>
        <w:rPr>
          <w:color w:val="231F20"/>
          <w:spacing w:val="40"/>
          <w:sz w:val="16"/>
        </w:rPr>
        <w:t> </w:t>
      </w:r>
      <w:hyperlink w:history="true" w:anchor="_bookmark334">
        <w:r>
          <w:rPr>
            <w:color w:val="231F20"/>
            <w:sz w:val="16"/>
          </w:rPr>
          <w:t>Minimum in group</w:t>
        </w:r>
        <w:r>
          <w:rPr>
            <w:color w:val="231F20"/>
            <w:spacing w:val="40"/>
            <w:sz w:val="16"/>
          </w:rPr>
          <w:t> </w:t>
        </w:r>
        <w:r>
          <w:rPr>
            <w:color w:val="231F20"/>
            <w:sz w:val="16"/>
          </w:rPr>
          <w:t>425</w:t>
        </w:r>
      </w:hyperlink>
      <w:r>
        <w:rPr>
          <w:color w:val="231F20"/>
          <w:spacing w:val="40"/>
          <w:sz w:val="16"/>
        </w:rPr>
        <w:t> </w:t>
      </w:r>
      <w:hyperlink w:history="true" w:anchor="_bookmark325">
        <w:r>
          <w:rPr>
            <w:color w:val="231F20"/>
            <w:sz w:val="16"/>
          </w:rPr>
          <w:t>MISSING</w:t>
        </w:r>
        <w:r>
          <w:rPr>
            <w:color w:val="231F20"/>
            <w:spacing w:val="80"/>
            <w:sz w:val="16"/>
          </w:rPr>
          <w:t> </w:t>
        </w:r>
        <w:r>
          <w:rPr>
            <w:color w:val="231F20"/>
            <w:sz w:val="16"/>
          </w:rPr>
          <w:t>418</w:t>
        </w:r>
      </w:hyperlink>
    </w:p>
    <w:p>
      <w:pPr>
        <w:spacing w:line="197" w:lineRule="exact" w:before="0"/>
        <w:ind w:left="436" w:right="0" w:firstLine="0"/>
        <w:jc w:val="left"/>
        <w:rPr>
          <w:sz w:val="16"/>
        </w:rPr>
      </w:pPr>
      <w:hyperlink w:history="true" w:anchor="_bookmark326">
        <w:r>
          <w:rPr>
            <w:color w:val="231F20"/>
            <w:sz w:val="16"/>
          </w:rPr>
          <w:t>PCTCHANGE</w:t>
        </w:r>
        <w:r>
          <w:rPr>
            <w:color w:val="231F20"/>
            <w:spacing w:val="34"/>
            <w:sz w:val="16"/>
          </w:rPr>
          <w:t>  </w:t>
        </w:r>
        <w:r>
          <w:rPr>
            <w:color w:val="231F20"/>
            <w:spacing w:val="-5"/>
            <w:sz w:val="16"/>
          </w:rPr>
          <w:t>419</w:t>
        </w:r>
      </w:hyperlink>
    </w:p>
    <w:p>
      <w:pPr>
        <w:spacing w:line="200" w:lineRule="exact" w:before="0"/>
        <w:ind w:left="436" w:right="0" w:firstLine="0"/>
        <w:jc w:val="left"/>
        <w:rPr>
          <w:sz w:val="16"/>
        </w:rPr>
      </w:pPr>
      <w:hyperlink w:history="true" w:anchor="_bookmark326">
        <w:r>
          <w:rPr>
            <w:color w:val="231F20"/>
            <w:sz w:val="16"/>
          </w:rPr>
          <w:t>REGEX</w:t>
        </w:r>
        <w:r>
          <w:rPr>
            <w:color w:val="231F20"/>
            <w:spacing w:val="36"/>
            <w:sz w:val="16"/>
          </w:rPr>
          <w:t>  </w:t>
        </w:r>
        <w:r>
          <w:rPr>
            <w:color w:val="231F20"/>
            <w:spacing w:val="-5"/>
            <w:sz w:val="16"/>
          </w:rPr>
          <w:t>419</w:t>
        </w:r>
      </w:hyperlink>
    </w:p>
    <w:p>
      <w:pPr>
        <w:spacing w:line="200" w:lineRule="exact" w:before="0"/>
        <w:ind w:left="436" w:right="0" w:firstLine="0"/>
        <w:jc w:val="left"/>
        <w:rPr>
          <w:sz w:val="16"/>
        </w:rPr>
      </w:pPr>
      <w:hyperlink w:history="true" w:anchor="_bookmark328">
        <w:r>
          <w:rPr>
            <w:color w:val="231F20"/>
            <w:sz w:val="16"/>
          </w:rPr>
          <w:t>SCAN</w:t>
        </w:r>
        <w:r>
          <w:rPr>
            <w:color w:val="231F20"/>
            <w:spacing w:val="37"/>
            <w:sz w:val="16"/>
          </w:rPr>
          <w:t>  </w:t>
        </w:r>
        <w:r>
          <w:rPr>
            <w:color w:val="231F20"/>
            <w:spacing w:val="-5"/>
            <w:sz w:val="16"/>
          </w:rPr>
          <w:t>420</w:t>
        </w:r>
      </w:hyperlink>
    </w:p>
    <w:p>
      <w:pPr>
        <w:spacing w:line="200" w:lineRule="exact" w:before="0"/>
        <w:ind w:left="436" w:right="0" w:firstLine="0"/>
        <w:jc w:val="left"/>
        <w:rPr>
          <w:sz w:val="16"/>
        </w:rPr>
      </w:pPr>
      <w:hyperlink w:history="true" w:anchor="_bookmark330">
        <w:r>
          <w:rPr>
            <w:color w:val="231F20"/>
            <w:sz w:val="16"/>
          </w:rPr>
          <w:t>STR</w:t>
        </w:r>
        <w:r>
          <w:rPr>
            <w:color w:val="231F20"/>
            <w:spacing w:val="38"/>
            <w:sz w:val="16"/>
          </w:rPr>
          <w:t>  </w:t>
        </w:r>
        <w:r>
          <w:rPr>
            <w:color w:val="231F20"/>
            <w:spacing w:val="-5"/>
            <w:sz w:val="16"/>
          </w:rPr>
          <w:t>421</w:t>
        </w:r>
      </w:hyperlink>
    </w:p>
    <w:p>
      <w:pPr>
        <w:spacing w:line="220" w:lineRule="auto" w:before="5"/>
        <w:ind w:left="436" w:right="831" w:firstLine="0"/>
        <w:jc w:val="left"/>
        <w:rPr>
          <w:sz w:val="16"/>
        </w:rPr>
      </w:pPr>
      <w:hyperlink w:history="true" w:anchor="_bookmark334">
        <w:r>
          <w:rPr>
            <w:color w:val="231F20"/>
            <w:sz w:val="16"/>
          </w:rPr>
          <w:t>Sum of group</w:t>
        </w:r>
        <w:r>
          <w:rPr>
            <w:color w:val="231F20"/>
            <w:spacing w:val="80"/>
            <w:sz w:val="16"/>
          </w:rPr>
          <w:t> </w:t>
        </w:r>
        <w:r>
          <w:rPr>
            <w:color w:val="231F20"/>
            <w:sz w:val="16"/>
          </w:rPr>
          <w:t>425</w:t>
        </w:r>
      </w:hyperlink>
      <w:r>
        <w:rPr>
          <w:color w:val="231F20"/>
          <w:spacing w:val="40"/>
          <w:sz w:val="16"/>
        </w:rPr>
        <w:t> </w:t>
      </w:r>
      <w:hyperlink w:history="true" w:anchor="_bookmark330">
        <w:r>
          <w:rPr>
            <w:color w:val="231F20"/>
            <w:sz w:val="16"/>
          </w:rPr>
          <w:t>TIME</w:t>
        </w:r>
        <w:r>
          <w:rPr>
            <w:color w:val="231F20"/>
            <w:spacing w:val="80"/>
            <w:sz w:val="16"/>
          </w:rPr>
          <w:t> </w:t>
        </w:r>
        <w:r>
          <w:rPr>
            <w:color w:val="231F20"/>
            <w:sz w:val="16"/>
          </w:rPr>
          <w:t>421</w:t>
        </w:r>
      </w:hyperlink>
    </w:p>
    <w:p>
      <w:pPr>
        <w:spacing w:line="196" w:lineRule="exact" w:before="0"/>
        <w:ind w:left="436" w:right="0" w:firstLine="0"/>
        <w:jc w:val="left"/>
        <w:rPr>
          <w:sz w:val="16"/>
        </w:rPr>
      </w:pPr>
      <w:hyperlink w:history="true" w:anchor="_bookmark331">
        <w:r>
          <w:rPr>
            <w:color w:val="231F20"/>
            <w:sz w:val="16"/>
          </w:rPr>
          <w:t>TIMESPAN</w:t>
        </w:r>
        <w:r>
          <w:rPr>
            <w:color w:val="231F20"/>
            <w:spacing w:val="75"/>
            <w:w w:val="150"/>
            <w:sz w:val="16"/>
          </w:rPr>
          <w:t> </w:t>
        </w:r>
        <w:r>
          <w:rPr>
            <w:color w:val="231F20"/>
            <w:spacing w:val="-5"/>
            <w:sz w:val="16"/>
          </w:rPr>
          <w:t>422</w:t>
        </w:r>
      </w:hyperlink>
    </w:p>
    <w:p>
      <w:pPr>
        <w:spacing w:line="200" w:lineRule="exact" w:before="0"/>
        <w:ind w:left="436" w:right="0" w:firstLine="0"/>
        <w:jc w:val="left"/>
        <w:rPr>
          <w:sz w:val="16"/>
        </w:rPr>
      </w:pPr>
      <w:hyperlink w:history="true" w:anchor="_bookmark331">
        <w:r>
          <w:rPr>
            <w:color w:val="231F20"/>
            <w:sz w:val="16"/>
          </w:rPr>
          <w:t>VALUE</w:t>
        </w:r>
        <w:r>
          <w:rPr>
            <w:color w:val="231F20"/>
            <w:spacing w:val="75"/>
            <w:w w:val="150"/>
            <w:sz w:val="16"/>
          </w:rPr>
          <w:t> </w:t>
        </w:r>
        <w:r>
          <w:rPr>
            <w:color w:val="231F20"/>
            <w:spacing w:val="-5"/>
            <w:sz w:val="16"/>
          </w:rPr>
          <w:t>422</w:t>
        </w:r>
      </w:hyperlink>
    </w:p>
    <w:p>
      <w:pPr>
        <w:spacing w:line="220" w:lineRule="auto" w:before="5"/>
        <w:ind w:left="317" w:right="0" w:hanging="120"/>
        <w:jc w:val="left"/>
        <w:rPr>
          <w:sz w:val="16"/>
        </w:rPr>
      </w:pPr>
      <w:hyperlink w:history="true" w:anchor="_bookmark205">
        <w:r>
          <w:rPr>
            <w:color w:val="231F20"/>
            <w:sz w:val="16"/>
          </w:rPr>
          <w:t>forwarding the event to an </w:t>
        </w:r>
        <w:r>
          <w:rPr>
            <w:color w:val="231F20"/>
            <w:sz w:val="16"/>
          </w:rPr>
          <w:t>EIF</w:t>
        </w:r>
      </w:hyperlink>
      <w:r>
        <w:rPr>
          <w:color w:val="231F20"/>
          <w:spacing w:val="40"/>
          <w:sz w:val="16"/>
        </w:rPr>
        <w:t> </w:t>
      </w:r>
      <w:hyperlink w:history="true" w:anchor="_bookmark205">
        <w:r>
          <w:rPr>
            <w:color w:val="231F20"/>
            <w:sz w:val="16"/>
          </w:rPr>
          <w:t>receiver</w:t>
        </w:r>
        <w:r>
          <w:rPr>
            <w:color w:val="231F20"/>
            <w:spacing w:val="80"/>
            <w:sz w:val="16"/>
          </w:rPr>
          <w:t> </w:t>
        </w:r>
        <w:r>
          <w:rPr>
            <w:color w:val="231F20"/>
            <w:sz w:val="16"/>
          </w:rPr>
          <w:t>276</w:t>
        </w:r>
      </w:hyperlink>
    </w:p>
    <w:p>
      <w:pPr>
        <w:spacing w:line="196" w:lineRule="exact" w:before="0"/>
        <w:ind w:left="197" w:right="0" w:firstLine="0"/>
        <w:jc w:val="left"/>
        <w:rPr>
          <w:sz w:val="16"/>
        </w:rPr>
      </w:pPr>
      <w:r>
        <w:rPr>
          <w:color w:val="231F20"/>
          <w:spacing w:val="-2"/>
          <w:sz w:val="16"/>
        </w:rPr>
        <w:t>functions</w:t>
      </w:r>
    </w:p>
    <w:p>
      <w:pPr>
        <w:spacing w:line="208" w:lineRule="exact" w:before="0"/>
        <w:ind w:left="436" w:right="0" w:firstLine="0"/>
        <w:jc w:val="left"/>
        <w:rPr>
          <w:sz w:val="16"/>
        </w:rPr>
      </w:pPr>
      <w:hyperlink w:history="true" w:anchor="_bookmark135">
        <w:r>
          <w:rPr>
            <w:color w:val="231F20"/>
            <w:sz w:val="16"/>
          </w:rPr>
          <w:t>terminal</w:t>
        </w:r>
        <w:r>
          <w:rPr>
            <w:color w:val="231F20"/>
            <w:spacing w:val="9"/>
            <w:sz w:val="16"/>
          </w:rPr>
          <w:t> </w:t>
        </w:r>
        <w:r>
          <w:rPr>
            <w:color w:val="231F20"/>
            <w:sz w:val="16"/>
          </w:rPr>
          <w:t>emulator</w:t>
        </w:r>
        <w:r>
          <w:rPr>
            <w:color w:val="231F20"/>
            <w:spacing w:val="9"/>
            <w:sz w:val="16"/>
          </w:rPr>
          <w:t> </w:t>
        </w:r>
        <w:r>
          <w:rPr>
            <w:color w:val="231F20"/>
            <w:sz w:val="16"/>
          </w:rPr>
          <w:t>scripting</w:t>
        </w:r>
        <w:r>
          <w:rPr>
            <w:color w:val="231F20"/>
            <w:spacing w:val="34"/>
            <w:sz w:val="16"/>
          </w:rPr>
          <w:t>  </w:t>
        </w:r>
        <w:r>
          <w:rPr>
            <w:color w:val="231F20"/>
            <w:spacing w:val="-5"/>
            <w:sz w:val="16"/>
          </w:rPr>
          <w:t>182</w:t>
        </w:r>
      </w:hyperlink>
    </w:p>
    <w:p>
      <w:pPr>
        <w:pStyle w:val="BodyText"/>
        <w:spacing w:before="105"/>
        <w:rPr>
          <w:sz w:val="16"/>
        </w:rPr>
      </w:pPr>
    </w:p>
    <w:p>
      <w:pPr>
        <w:pStyle w:val="Heading1"/>
      </w:pPr>
      <w:bookmarkStart w:name="G" w:id="756"/>
      <w:bookmarkEnd w:id="756"/>
      <w:r>
        <w:rPr>
          <w:b w:val="0"/>
        </w:rPr>
      </w:r>
      <w:r>
        <w:rPr>
          <w:color w:val="231F20"/>
          <w:spacing w:val="-10"/>
        </w:rPr>
        <w:t>G</w:t>
      </w:r>
    </w:p>
    <w:p>
      <w:pPr>
        <w:spacing w:line="205" w:lineRule="exact" w:before="0"/>
        <w:ind w:left="197" w:right="0" w:firstLine="0"/>
        <w:jc w:val="left"/>
        <w:rPr>
          <w:sz w:val="16"/>
        </w:rPr>
      </w:pPr>
      <w:hyperlink w:history="true" w:anchor="_bookmark26">
        <w:r>
          <w:rPr>
            <w:color w:val="231F20"/>
            <w:sz w:val="16"/>
          </w:rPr>
          <w:t>gallery</w:t>
        </w:r>
        <w:r>
          <w:rPr>
            <w:color w:val="231F20"/>
            <w:spacing w:val="37"/>
            <w:sz w:val="16"/>
          </w:rPr>
          <w:t>  </w:t>
        </w:r>
        <w:r>
          <w:rPr>
            <w:color w:val="231F20"/>
            <w:spacing w:val="-5"/>
            <w:sz w:val="16"/>
          </w:rPr>
          <w:t>36</w:t>
        </w:r>
      </w:hyperlink>
    </w:p>
    <w:p>
      <w:pPr>
        <w:spacing w:line="200" w:lineRule="exact" w:before="0"/>
        <w:ind w:left="197" w:right="0" w:firstLine="0"/>
        <w:jc w:val="left"/>
        <w:rPr>
          <w:sz w:val="16"/>
        </w:rPr>
      </w:pPr>
      <w:hyperlink w:history="true" w:anchor="_bookmark247">
        <w:r>
          <w:rPr>
            <w:color w:val="231F20"/>
            <w:sz w:val="16"/>
          </w:rPr>
          <w:t>general</w:t>
        </w:r>
        <w:r>
          <w:rPr>
            <w:color w:val="231F20"/>
            <w:spacing w:val="10"/>
            <w:sz w:val="16"/>
          </w:rPr>
          <w:t> </w:t>
        </w:r>
        <w:r>
          <w:rPr>
            <w:color w:val="231F20"/>
            <w:sz w:val="16"/>
          </w:rPr>
          <w:t>activities</w:t>
        </w:r>
        <w:r>
          <w:rPr>
            <w:color w:val="231F20"/>
            <w:spacing w:val="35"/>
            <w:sz w:val="16"/>
          </w:rPr>
          <w:t>  </w:t>
        </w:r>
        <w:r>
          <w:rPr>
            <w:color w:val="231F20"/>
            <w:spacing w:val="-5"/>
            <w:sz w:val="16"/>
          </w:rPr>
          <w:t>336</w:t>
        </w:r>
      </w:hyperlink>
    </w:p>
    <w:p>
      <w:pPr>
        <w:spacing w:line="220" w:lineRule="auto" w:before="5"/>
        <w:ind w:left="197" w:right="831" w:firstLine="0"/>
        <w:jc w:val="left"/>
        <w:rPr>
          <w:sz w:val="16"/>
        </w:rPr>
      </w:pPr>
      <w:hyperlink w:history="true" w:anchor="_bookmark335">
        <w:r>
          <w:rPr>
            <w:color w:val="231F20"/>
            <w:sz w:val="16"/>
          </w:rPr>
          <w:t>global attributes</w:t>
        </w:r>
        <w:r>
          <w:rPr>
            <w:color w:val="231F20"/>
            <w:spacing w:val="80"/>
            <w:sz w:val="16"/>
          </w:rPr>
          <w:t> </w:t>
        </w:r>
        <w:r>
          <w:rPr>
            <w:color w:val="231F20"/>
            <w:sz w:val="16"/>
          </w:rPr>
          <w:t>427</w:t>
        </w:r>
      </w:hyperlink>
      <w:r>
        <w:rPr>
          <w:color w:val="231F20"/>
          <w:spacing w:val="40"/>
          <w:sz w:val="16"/>
        </w:rPr>
        <w:t> </w:t>
      </w:r>
      <w:r>
        <w:rPr>
          <w:color w:val="231F20"/>
          <w:sz w:val="16"/>
        </w:rPr>
        <w:t>graphic view</w:t>
      </w:r>
    </w:p>
    <w:p>
      <w:pPr>
        <w:spacing w:line="220" w:lineRule="auto" w:before="2"/>
        <w:ind w:left="436" w:right="0" w:firstLine="0"/>
        <w:jc w:val="left"/>
        <w:rPr>
          <w:sz w:val="16"/>
        </w:rPr>
      </w:pPr>
      <w:hyperlink w:history="true" w:anchor="_bookmark113">
        <w:r>
          <w:rPr>
            <w:color w:val="231F20"/>
            <w:sz w:val="16"/>
          </w:rPr>
          <w:t>change default graphics</w:t>
        </w:r>
        <w:r>
          <w:rPr>
            <w:color w:val="231F20"/>
            <w:spacing w:val="80"/>
            <w:sz w:val="16"/>
          </w:rPr>
          <w:t> </w:t>
        </w:r>
        <w:r>
          <w:rPr>
            <w:color w:val="231F20"/>
            <w:sz w:val="16"/>
          </w:rPr>
          <w:t>150</w:t>
        </w:r>
      </w:hyperlink>
      <w:r>
        <w:rPr>
          <w:color w:val="231F20"/>
          <w:spacing w:val="40"/>
          <w:sz w:val="16"/>
        </w:rPr>
        <w:t> </w:t>
      </w:r>
      <w:hyperlink w:history="true" w:anchor="_bookmark108">
        <w:r>
          <w:rPr>
            <w:color w:val="231F20"/>
            <w:sz w:val="16"/>
          </w:rPr>
          <w:t>create</w:t>
        </w:r>
        <w:r>
          <w:rPr>
            <w:color w:val="231F20"/>
            <w:spacing w:val="80"/>
            <w:sz w:val="16"/>
          </w:rPr>
          <w:t> </w:t>
        </w:r>
        <w:r>
          <w:rPr>
            <w:color w:val="231F20"/>
            <w:sz w:val="16"/>
          </w:rPr>
          <w:t>144</w:t>
        </w:r>
      </w:hyperlink>
    </w:p>
    <w:p>
      <w:pPr>
        <w:spacing w:line="220" w:lineRule="auto" w:before="2"/>
        <w:ind w:left="556" w:right="75" w:hanging="120"/>
        <w:jc w:val="left"/>
        <w:rPr>
          <w:sz w:val="16"/>
        </w:rPr>
      </w:pPr>
      <w:hyperlink w:history="true" w:anchor="_bookmark111">
        <w:r>
          <w:rPr>
            <w:color w:val="231F20"/>
            <w:sz w:val="16"/>
          </w:rPr>
          <w:t>creating</w:t>
        </w:r>
        <w:r>
          <w:rPr>
            <w:color w:val="231F20"/>
            <w:spacing w:val="-6"/>
            <w:sz w:val="16"/>
          </w:rPr>
          <w:t> </w:t>
        </w:r>
        <w:r>
          <w:rPr>
            <w:color w:val="231F20"/>
            <w:sz w:val="16"/>
          </w:rPr>
          <w:t>custom</w:t>
        </w:r>
        <w:r>
          <w:rPr>
            <w:color w:val="231F20"/>
            <w:spacing w:val="-6"/>
            <w:sz w:val="16"/>
          </w:rPr>
          <w:t> </w:t>
        </w:r>
        <w:r>
          <w:rPr>
            <w:color w:val="231F20"/>
            <w:sz w:val="16"/>
          </w:rPr>
          <w:t>background</w:t>
        </w:r>
      </w:hyperlink>
      <w:r>
        <w:rPr>
          <w:color w:val="231F20"/>
          <w:spacing w:val="40"/>
          <w:sz w:val="16"/>
        </w:rPr>
        <w:t> </w:t>
      </w:r>
      <w:hyperlink w:history="true" w:anchor="_bookmark111">
        <w:r>
          <w:rPr>
            <w:color w:val="231F20"/>
            <w:sz w:val="16"/>
          </w:rPr>
          <w:t>image</w:t>
        </w:r>
        <w:r>
          <w:rPr>
            <w:color w:val="231F20"/>
            <w:spacing w:val="80"/>
            <w:sz w:val="16"/>
          </w:rPr>
          <w:t> </w:t>
        </w:r>
        <w:r>
          <w:rPr>
            <w:color w:val="231F20"/>
            <w:sz w:val="16"/>
          </w:rPr>
          <w:t>147</w:t>
        </w:r>
      </w:hyperlink>
    </w:p>
    <w:p>
      <w:pPr>
        <w:spacing w:line="196" w:lineRule="exact" w:before="0"/>
        <w:ind w:left="436" w:right="0" w:firstLine="0"/>
        <w:jc w:val="left"/>
        <w:rPr>
          <w:sz w:val="16"/>
        </w:rPr>
      </w:pPr>
      <w:hyperlink w:history="true" w:anchor="_bookmark112">
        <w:r>
          <w:rPr>
            <w:color w:val="231F20"/>
            <w:sz w:val="16"/>
          </w:rPr>
          <w:t>custom</w:t>
        </w:r>
        <w:r>
          <w:rPr>
            <w:color w:val="231F20"/>
            <w:spacing w:val="10"/>
            <w:sz w:val="16"/>
          </w:rPr>
          <w:t> </w:t>
        </w:r>
        <w:r>
          <w:rPr>
            <w:color w:val="231F20"/>
            <w:sz w:val="16"/>
          </w:rPr>
          <w:t>icons</w:t>
        </w:r>
        <w:r>
          <w:rPr>
            <w:color w:val="231F20"/>
            <w:spacing w:val="36"/>
            <w:sz w:val="16"/>
          </w:rPr>
          <w:t>  </w:t>
        </w:r>
        <w:r>
          <w:rPr>
            <w:color w:val="231F20"/>
            <w:spacing w:val="-5"/>
            <w:sz w:val="16"/>
          </w:rPr>
          <w:t>148</w:t>
        </w:r>
      </w:hyperlink>
    </w:p>
    <w:p>
      <w:pPr>
        <w:spacing w:line="200" w:lineRule="exact" w:before="0"/>
        <w:ind w:left="436" w:right="0" w:firstLine="0"/>
        <w:jc w:val="left"/>
        <w:rPr>
          <w:sz w:val="16"/>
        </w:rPr>
      </w:pPr>
      <w:hyperlink w:history="true" w:anchor="_bookmark110">
        <w:r>
          <w:rPr>
            <w:color w:val="231F20"/>
            <w:sz w:val="16"/>
          </w:rPr>
          <w:t>style</w:t>
        </w:r>
        <w:r>
          <w:rPr>
            <w:color w:val="231F20"/>
            <w:spacing w:val="9"/>
            <w:sz w:val="16"/>
          </w:rPr>
          <w:t> </w:t>
        </w:r>
        <w:r>
          <w:rPr>
            <w:color w:val="231F20"/>
            <w:sz w:val="16"/>
          </w:rPr>
          <w:t>properties</w:t>
        </w:r>
        <w:r>
          <w:rPr>
            <w:color w:val="231F20"/>
            <w:spacing w:val="34"/>
            <w:sz w:val="16"/>
          </w:rPr>
          <w:t>  </w:t>
        </w:r>
        <w:r>
          <w:rPr>
            <w:color w:val="231F20"/>
            <w:spacing w:val="-5"/>
            <w:sz w:val="16"/>
          </w:rPr>
          <w:t>146</w:t>
        </w:r>
      </w:hyperlink>
    </w:p>
    <w:p>
      <w:pPr>
        <w:spacing w:line="220" w:lineRule="auto" w:before="6"/>
        <w:ind w:left="197" w:right="1164" w:firstLine="239"/>
        <w:jc w:val="left"/>
        <w:rPr>
          <w:sz w:val="16"/>
        </w:rPr>
      </w:pPr>
      <w:hyperlink w:history="true" w:anchor="_bookmark109">
        <w:r>
          <w:rPr>
            <w:color w:val="231F20"/>
            <w:sz w:val="16"/>
          </w:rPr>
          <w:t>toolbar</w:t>
        </w:r>
        <w:r>
          <w:rPr>
            <w:color w:val="231F20"/>
            <w:spacing w:val="80"/>
            <w:sz w:val="16"/>
          </w:rPr>
          <w:t> </w:t>
        </w:r>
        <w:r>
          <w:rPr>
            <w:color w:val="231F20"/>
            <w:sz w:val="16"/>
          </w:rPr>
          <w:t>145</w:t>
        </w:r>
      </w:hyperlink>
      <w:r>
        <w:rPr>
          <w:color w:val="231F20"/>
          <w:spacing w:val="40"/>
          <w:sz w:val="16"/>
        </w:rPr>
        <w:t> </w:t>
      </w:r>
      <w:r>
        <w:rPr>
          <w:color w:val="231F20"/>
          <w:spacing w:val="-2"/>
          <w:sz w:val="16"/>
        </w:rPr>
        <w:t>group</w:t>
      </w:r>
    </w:p>
    <w:p>
      <w:pPr>
        <w:spacing w:line="220" w:lineRule="auto" w:before="1"/>
        <w:ind w:left="197" w:right="880" w:firstLine="239"/>
        <w:jc w:val="left"/>
        <w:rPr>
          <w:sz w:val="16"/>
        </w:rPr>
      </w:pPr>
      <w:hyperlink w:history="true" w:anchor="_bookmark288">
        <w:r>
          <w:rPr>
            <w:rFonts w:ascii="Book Antiqua"/>
            <w:i/>
            <w:color w:val="231F20"/>
            <w:sz w:val="16"/>
          </w:rPr>
          <w:t>See </w:t>
        </w:r>
        <w:r>
          <w:rPr>
            <w:color w:val="231F20"/>
            <w:sz w:val="16"/>
          </w:rPr>
          <w:t>object group</w:t>
        </w:r>
      </w:hyperlink>
      <w:r>
        <w:rPr>
          <w:color w:val="231F20"/>
          <w:spacing w:val="40"/>
          <w:sz w:val="16"/>
        </w:rPr>
        <w:t> </w:t>
      </w:r>
      <w:hyperlink w:history="true" w:anchor="_bookmark332">
        <w:r>
          <w:rPr>
            <w:color w:val="231F20"/>
            <w:sz w:val="16"/>
          </w:rPr>
          <w:t>group functions</w:t>
        </w:r>
        <w:r>
          <w:rPr>
            <w:color w:val="231F20"/>
            <w:spacing w:val="80"/>
            <w:sz w:val="16"/>
          </w:rPr>
          <w:t> </w:t>
        </w:r>
        <w:r>
          <w:rPr>
            <w:color w:val="231F20"/>
            <w:sz w:val="16"/>
          </w:rPr>
          <w:t>423</w:t>
        </w:r>
      </w:hyperlink>
    </w:p>
    <w:p>
      <w:pPr>
        <w:spacing w:line="220" w:lineRule="auto" w:before="2"/>
        <w:ind w:left="436" w:right="75" w:firstLine="0"/>
        <w:jc w:val="left"/>
        <w:rPr>
          <w:sz w:val="16"/>
        </w:rPr>
      </w:pPr>
      <w:hyperlink w:history="true" w:anchor="_bookmark1">
        <w:r>
          <w:rPr>
            <w:rFonts w:ascii="Book Antiqua"/>
            <w:i/>
            <w:color w:val="231F20"/>
            <w:sz w:val="16"/>
          </w:rPr>
          <w:t>See</w:t>
        </w:r>
        <w:r>
          <w:rPr>
            <w:rFonts w:ascii="Book Antiqua"/>
            <w:i/>
            <w:color w:val="231F20"/>
            <w:spacing w:val="-1"/>
            <w:sz w:val="16"/>
          </w:rPr>
          <w:t> </w:t>
        </w:r>
        <w:r>
          <w:rPr>
            <w:rFonts w:ascii="Book Antiqua"/>
            <w:i/>
            <w:color w:val="231F20"/>
            <w:sz w:val="16"/>
          </w:rPr>
          <w:t>also</w:t>
        </w:r>
        <w:r>
          <w:rPr>
            <w:rFonts w:ascii="Book Antiqua"/>
            <w:i/>
            <w:color w:val="231F20"/>
            <w:spacing w:val="-1"/>
            <w:sz w:val="16"/>
          </w:rPr>
          <w:t> </w:t>
        </w:r>
        <w:r>
          <w:rPr>
            <w:color w:val="231F20"/>
            <w:sz w:val="16"/>
          </w:rPr>
          <w:t>column</w:t>
        </w:r>
        <w:r>
          <w:rPr>
            <w:color w:val="231F20"/>
            <w:spacing w:val="-1"/>
            <w:sz w:val="16"/>
          </w:rPr>
          <w:t> </w:t>
        </w:r>
        <w:r>
          <w:rPr>
            <w:color w:val="231F20"/>
            <w:sz w:val="16"/>
          </w:rPr>
          <w:t>functions</w:t>
        </w:r>
      </w:hyperlink>
      <w:r>
        <w:rPr>
          <w:color w:val="231F20"/>
          <w:spacing w:val="40"/>
          <w:sz w:val="16"/>
        </w:rPr>
        <w:t> </w:t>
      </w:r>
      <w:hyperlink w:history="true" w:anchor="_bookmark333">
        <w:r>
          <w:rPr>
            <w:color w:val="231F20"/>
            <w:sz w:val="16"/>
          </w:rPr>
          <w:t>Average of group</w:t>
        </w:r>
        <w:r>
          <w:rPr>
            <w:color w:val="231F20"/>
            <w:spacing w:val="80"/>
            <w:sz w:val="16"/>
          </w:rPr>
          <w:t> </w:t>
        </w:r>
        <w:r>
          <w:rPr>
            <w:color w:val="231F20"/>
            <w:sz w:val="16"/>
          </w:rPr>
          <w:t>424</w:t>
        </w:r>
      </w:hyperlink>
    </w:p>
    <w:p>
      <w:pPr>
        <w:spacing w:line="220" w:lineRule="auto" w:before="2"/>
        <w:ind w:left="436" w:right="0" w:firstLine="0"/>
        <w:jc w:val="left"/>
        <w:rPr>
          <w:sz w:val="16"/>
        </w:rPr>
      </w:pPr>
      <w:hyperlink w:history="true" w:anchor="_bookmark333">
        <w:r>
          <w:rPr>
            <w:color w:val="231F20"/>
            <w:sz w:val="16"/>
          </w:rPr>
          <w:t>Count of group members</w:t>
        </w:r>
        <w:r>
          <w:rPr>
            <w:color w:val="231F20"/>
            <w:spacing w:val="80"/>
            <w:sz w:val="16"/>
          </w:rPr>
          <w:t> </w:t>
        </w:r>
        <w:r>
          <w:rPr>
            <w:color w:val="231F20"/>
            <w:sz w:val="16"/>
          </w:rPr>
          <w:t>424</w:t>
        </w:r>
      </w:hyperlink>
      <w:r>
        <w:rPr>
          <w:color w:val="231F20"/>
          <w:spacing w:val="40"/>
          <w:sz w:val="16"/>
        </w:rPr>
        <w:t> </w:t>
      </w:r>
      <w:hyperlink w:history="true" w:anchor="_bookmark334">
        <w:r>
          <w:rPr>
            <w:color w:val="231F20"/>
            <w:sz w:val="16"/>
          </w:rPr>
          <w:t>Maximum in group</w:t>
        </w:r>
        <w:r>
          <w:rPr>
            <w:color w:val="231F20"/>
            <w:spacing w:val="80"/>
            <w:sz w:val="16"/>
          </w:rPr>
          <w:t> </w:t>
        </w:r>
        <w:r>
          <w:rPr>
            <w:color w:val="231F20"/>
            <w:sz w:val="16"/>
          </w:rPr>
          <w:t>425</w:t>
        </w:r>
      </w:hyperlink>
      <w:r>
        <w:rPr>
          <w:color w:val="231F20"/>
          <w:spacing w:val="40"/>
          <w:sz w:val="16"/>
        </w:rPr>
        <w:t> </w:t>
      </w:r>
      <w:hyperlink w:history="true" w:anchor="_bookmark334">
        <w:r>
          <w:rPr>
            <w:color w:val="231F20"/>
            <w:sz w:val="16"/>
          </w:rPr>
          <w:t>Minimum in group</w:t>
        </w:r>
        <w:r>
          <w:rPr>
            <w:color w:val="231F20"/>
            <w:spacing w:val="80"/>
            <w:sz w:val="16"/>
          </w:rPr>
          <w:t> </w:t>
        </w:r>
        <w:r>
          <w:rPr>
            <w:color w:val="231F20"/>
            <w:sz w:val="16"/>
          </w:rPr>
          <w:t>425</w:t>
        </w:r>
      </w:hyperlink>
    </w:p>
    <w:p>
      <w:pPr>
        <w:spacing w:line="220" w:lineRule="auto" w:before="3"/>
        <w:ind w:left="197" w:right="831" w:firstLine="239"/>
        <w:jc w:val="left"/>
        <w:rPr>
          <w:sz w:val="16"/>
        </w:rPr>
      </w:pPr>
      <w:hyperlink w:history="true" w:anchor="_bookmark334">
        <w:r>
          <w:rPr>
            <w:color w:val="231F20"/>
            <w:sz w:val="16"/>
          </w:rPr>
          <w:t>Sum of group</w:t>
        </w:r>
        <w:r>
          <w:rPr>
            <w:color w:val="231F20"/>
            <w:spacing w:val="80"/>
            <w:sz w:val="16"/>
          </w:rPr>
          <w:t> </w:t>
        </w:r>
        <w:r>
          <w:rPr>
            <w:color w:val="231F20"/>
            <w:sz w:val="16"/>
          </w:rPr>
          <w:t>425</w:t>
        </w:r>
      </w:hyperlink>
      <w:r>
        <w:rPr>
          <w:color w:val="231F20"/>
          <w:spacing w:val="40"/>
          <w:sz w:val="16"/>
        </w:rPr>
        <w:t> </w:t>
      </w:r>
      <w:hyperlink w:history="true" w:anchor="_bookmark288">
        <w:r>
          <w:rPr>
            <w:color w:val="231F20"/>
            <w:sz w:val="16"/>
          </w:rPr>
          <w:t>group objects</w:t>
        </w:r>
        <w:r>
          <w:rPr>
            <w:color w:val="231F20"/>
            <w:spacing w:val="80"/>
            <w:sz w:val="16"/>
          </w:rPr>
          <w:t> </w:t>
        </w:r>
        <w:r>
          <w:rPr>
            <w:color w:val="231F20"/>
            <w:sz w:val="16"/>
          </w:rPr>
          <w:t>381</w:t>
        </w:r>
      </w:hyperlink>
    </w:p>
    <w:p>
      <w:pPr>
        <w:pStyle w:val="BodyText"/>
        <w:spacing w:before="109"/>
        <w:rPr>
          <w:sz w:val="16"/>
        </w:rPr>
      </w:pPr>
    </w:p>
    <w:p>
      <w:pPr>
        <w:pStyle w:val="Heading1"/>
        <w:spacing w:before="1"/>
      </w:pPr>
      <w:bookmarkStart w:name="H" w:id="757"/>
      <w:bookmarkEnd w:id="757"/>
      <w:r>
        <w:rPr>
          <w:b w:val="0"/>
        </w:rPr>
      </w:r>
      <w:r>
        <w:rPr>
          <w:color w:val="231F20"/>
          <w:spacing w:val="-10"/>
        </w:rPr>
        <w:t>H</w:t>
      </w:r>
    </w:p>
    <w:p>
      <w:pPr>
        <w:spacing w:line="220" w:lineRule="auto" w:before="10"/>
        <w:ind w:left="197" w:right="831" w:firstLine="0"/>
        <w:jc w:val="left"/>
        <w:rPr>
          <w:sz w:val="16"/>
        </w:rPr>
      </w:pPr>
      <w:hyperlink w:history="true" w:anchor="_bookmark86">
        <w:r>
          <w:rPr>
            <w:color w:val="231F20"/>
            <w:sz w:val="16"/>
          </w:rPr>
          <w:t>header label</w:t>
        </w:r>
        <w:r>
          <w:rPr>
            <w:color w:val="231F20"/>
            <w:spacing w:val="80"/>
            <w:sz w:val="16"/>
          </w:rPr>
          <w:t> </w:t>
        </w:r>
        <w:r>
          <w:rPr>
            <w:color w:val="231F20"/>
            <w:sz w:val="16"/>
          </w:rPr>
          <w:t>115</w:t>
        </w:r>
      </w:hyperlink>
      <w:r>
        <w:rPr>
          <w:color w:val="231F20"/>
          <w:spacing w:val="40"/>
          <w:sz w:val="16"/>
        </w:rPr>
        <w:t> </w:t>
      </w:r>
      <w:r>
        <w:rPr>
          <w:color w:val="231F20"/>
          <w:spacing w:val="-2"/>
          <w:sz w:val="16"/>
        </w:rPr>
        <w:t>historical</w:t>
      </w:r>
    </w:p>
    <w:p>
      <w:pPr>
        <w:spacing w:line="220" w:lineRule="auto" w:before="2"/>
        <w:ind w:left="436" w:right="567" w:firstLine="0"/>
        <w:jc w:val="left"/>
        <w:rPr>
          <w:sz w:val="16"/>
        </w:rPr>
      </w:pPr>
      <w:hyperlink w:history="true" w:anchor="_bookmark98">
        <w:r>
          <w:rPr>
            <w:color w:val="231F20"/>
            <w:sz w:val="16"/>
          </w:rPr>
          <w:t>baselines in charts</w:t>
        </w:r>
        <w:r>
          <w:rPr>
            <w:color w:val="231F20"/>
            <w:spacing w:val="80"/>
            <w:sz w:val="16"/>
          </w:rPr>
          <w:t> </w:t>
        </w:r>
        <w:r>
          <w:rPr>
            <w:color w:val="231F20"/>
            <w:sz w:val="16"/>
          </w:rPr>
          <w:t>130</w:t>
        </w:r>
      </w:hyperlink>
      <w:r>
        <w:rPr>
          <w:color w:val="231F20"/>
          <w:spacing w:val="40"/>
          <w:sz w:val="16"/>
        </w:rPr>
        <w:t> </w:t>
      </w:r>
      <w:hyperlink w:history="true" w:anchor="_bookmark155">
        <w:r>
          <w:rPr>
            <w:color w:val="231F20"/>
            <w:sz w:val="16"/>
          </w:rPr>
          <w:t>navigation mode</w:t>
        </w:r>
        <w:r>
          <w:rPr>
            <w:color w:val="231F20"/>
            <w:spacing w:val="80"/>
            <w:sz w:val="16"/>
          </w:rPr>
          <w:t> </w:t>
        </w:r>
        <w:r>
          <w:rPr>
            <w:color w:val="231F20"/>
            <w:sz w:val="16"/>
          </w:rPr>
          <w:t>216</w:t>
        </w:r>
      </w:hyperlink>
    </w:p>
    <w:p>
      <w:pPr>
        <w:spacing w:line="220" w:lineRule="auto" w:before="2"/>
        <w:ind w:left="436" w:right="880" w:hanging="240"/>
        <w:jc w:val="left"/>
        <w:rPr>
          <w:sz w:val="16"/>
        </w:rPr>
      </w:pPr>
      <w:r>
        <w:rPr>
          <w:color w:val="231F20"/>
          <w:sz w:val="16"/>
        </w:rPr>
        <w:t>historical</w:t>
      </w:r>
      <w:r>
        <w:rPr>
          <w:color w:val="231F20"/>
          <w:spacing w:val="-6"/>
          <w:sz w:val="16"/>
        </w:rPr>
        <w:t> </w:t>
      </w:r>
      <w:r>
        <w:rPr>
          <w:color w:val="231F20"/>
          <w:sz w:val="16"/>
        </w:rPr>
        <w:t>collection</w:t>
      </w:r>
      <w:r>
        <w:rPr>
          <w:color w:val="231F20"/>
          <w:spacing w:val="40"/>
          <w:sz w:val="16"/>
        </w:rPr>
        <w:t> </w:t>
      </w:r>
      <w:hyperlink w:history="true" w:anchor="_bookmark160">
        <w:r>
          <w:rPr>
            <w:color w:val="231F20"/>
            <w:sz w:val="16"/>
          </w:rPr>
          <w:t>distribute</w:t>
        </w:r>
        <w:r>
          <w:rPr>
            <w:color w:val="231F20"/>
            <w:spacing w:val="80"/>
            <w:sz w:val="16"/>
          </w:rPr>
          <w:t> </w:t>
        </w:r>
        <w:r>
          <w:rPr>
            <w:color w:val="231F20"/>
            <w:sz w:val="16"/>
          </w:rPr>
          <w:t>224</w:t>
        </w:r>
      </w:hyperlink>
    </w:p>
    <w:p>
      <w:pPr>
        <w:spacing w:line="196" w:lineRule="exact" w:before="0"/>
        <w:ind w:left="197" w:right="0" w:firstLine="0"/>
        <w:jc w:val="left"/>
        <w:rPr>
          <w:sz w:val="16"/>
        </w:rPr>
      </w:pPr>
      <w:r>
        <w:rPr>
          <w:color w:val="231F20"/>
          <w:sz w:val="16"/>
        </w:rPr>
        <w:t>historical</w:t>
      </w:r>
      <w:r>
        <w:rPr>
          <w:color w:val="231F20"/>
          <w:spacing w:val="6"/>
          <w:sz w:val="16"/>
        </w:rPr>
        <w:t> </w:t>
      </w:r>
      <w:r>
        <w:rPr>
          <w:color w:val="231F20"/>
          <w:spacing w:val="-2"/>
          <w:sz w:val="16"/>
        </w:rPr>
        <w:t>configuration</w:t>
      </w:r>
    </w:p>
    <w:p>
      <w:pPr>
        <w:spacing w:line="220" w:lineRule="auto" w:before="5"/>
        <w:ind w:left="197" w:right="0" w:firstLine="239"/>
        <w:jc w:val="left"/>
        <w:rPr>
          <w:sz w:val="16"/>
        </w:rPr>
      </w:pPr>
      <w:hyperlink w:history="true" w:anchor="_bookmark165">
        <w:r>
          <w:rPr>
            <w:color w:val="231F20"/>
            <w:sz w:val="16"/>
          </w:rPr>
          <w:t>change distribution method</w:t>
        </w:r>
        <w:r>
          <w:rPr>
            <w:color w:val="231F20"/>
            <w:spacing w:val="80"/>
            <w:sz w:val="16"/>
          </w:rPr>
          <w:t> </w:t>
        </w:r>
        <w:r>
          <w:rPr>
            <w:color w:val="231F20"/>
            <w:sz w:val="16"/>
          </w:rPr>
          <w:t>231</w:t>
        </w:r>
      </w:hyperlink>
      <w:r>
        <w:rPr>
          <w:color w:val="231F20"/>
          <w:spacing w:val="40"/>
          <w:sz w:val="16"/>
        </w:rPr>
        <w:t> </w:t>
      </w:r>
      <w:r>
        <w:rPr>
          <w:color w:val="231F20"/>
          <w:sz w:val="16"/>
        </w:rPr>
        <w:t>historical data collection</w:t>
      </w:r>
    </w:p>
    <w:p>
      <w:pPr>
        <w:spacing w:line="196" w:lineRule="exact" w:before="0"/>
        <w:ind w:left="436" w:right="0" w:firstLine="0"/>
        <w:jc w:val="left"/>
        <w:rPr>
          <w:sz w:val="16"/>
        </w:rPr>
      </w:pPr>
      <w:hyperlink w:history="true" w:anchor="_bookmark157">
        <w:r>
          <w:rPr>
            <w:color w:val="231F20"/>
            <w:sz w:val="16"/>
          </w:rPr>
          <w:t>configure</w:t>
        </w:r>
        <w:r>
          <w:rPr>
            <w:color w:val="231F20"/>
            <w:spacing w:val="34"/>
            <w:sz w:val="16"/>
          </w:rPr>
          <w:t>  </w:t>
        </w:r>
        <w:r>
          <w:rPr>
            <w:color w:val="231F20"/>
            <w:spacing w:val="-5"/>
            <w:sz w:val="16"/>
          </w:rPr>
          <w:t>221</w:t>
        </w:r>
      </w:hyperlink>
    </w:p>
    <w:p>
      <w:pPr>
        <w:spacing w:line="220" w:lineRule="auto" w:before="5"/>
        <w:ind w:left="556" w:right="0" w:hanging="120"/>
        <w:jc w:val="left"/>
        <w:rPr>
          <w:sz w:val="16"/>
        </w:rPr>
      </w:pPr>
      <w:hyperlink w:history="true" w:anchor="_bookmark161">
        <w:r>
          <w:rPr>
            <w:color w:val="231F20"/>
            <w:sz w:val="16"/>
          </w:rPr>
          <w:t>configure</w:t>
        </w:r>
        <w:r>
          <w:rPr>
            <w:color w:val="231F20"/>
            <w:spacing w:val="-6"/>
            <w:sz w:val="16"/>
          </w:rPr>
          <w:t> </w:t>
        </w:r>
        <w:r>
          <w:rPr>
            <w:color w:val="231F20"/>
            <w:sz w:val="16"/>
          </w:rPr>
          <w:t>summarization</w:t>
        </w:r>
        <w:r>
          <w:rPr>
            <w:color w:val="231F20"/>
            <w:spacing w:val="-6"/>
            <w:sz w:val="16"/>
          </w:rPr>
          <w:t> </w:t>
        </w:r>
        <w:r>
          <w:rPr>
            <w:color w:val="231F20"/>
            <w:sz w:val="16"/>
          </w:rPr>
          <w:t>and</w:t>
        </w:r>
      </w:hyperlink>
      <w:r>
        <w:rPr>
          <w:color w:val="231F20"/>
          <w:spacing w:val="40"/>
          <w:sz w:val="16"/>
        </w:rPr>
        <w:t> </w:t>
      </w:r>
      <w:hyperlink w:history="true" w:anchor="_bookmark161">
        <w:r>
          <w:rPr>
            <w:color w:val="231F20"/>
            <w:sz w:val="16"/>
          </w:rPr>
          <w:t>pruning</w:t>
        </w:r>
        <w:r>
          <w:rPr>
            <w:color w:val="231F20"/>
            <w:spacing w:val="80"/>
            <w:sz w:val="16"/>
          </w:rPr>
          <w:t> </w:t>
        </w:r>
        <w:r>
          <w:rPr>
            <w:color w:val="231F20"/>
            <w:sz w:val="16"/>
          </w:rPr>
          <w:t>226</w:t>
        </w:r>
      </w:hyperlink>
    </w:p>
    <w:p>
      <w:pPr>
        <w:spacing w:line="220" w:lineRule="auto" w:before="2"/>
        <w:ind w:left="436" w:right="567" w:firstLine="0"/>
        <w:jc w:val="left"/>
        <w:rPr>
          <w:sz w:val="16"/>
        </w:rPr>
      </w:pPr>
      <w:hyperlink w:history="true" w:anchor="_bookmark162">
        <w:r>
          <w:rPr>
            <w:color w:val="231F20"/>
            <w:sz w:val="16"/>
          </w:rPr>
          <w:t>create another</w:t>
        </w:r>
        <w:r>
          <w:rPr>
            <w:color w:val="231F20"/>
            <w:spacing w:val="80"/>
            <w:sz w:val="16"/>
          </w:rPr>
          <w:t> </w:t>
        </w:r>
        <w:r>
          <w:rPr>
            <w:color w:val="231F20"/>
            <w:sz w:val="16"/>
          </w:rPr>
          <w:t>227</w:t>
        </w:r>
      </w:hyperlink>
      <w:r>
        <w:rPr>
          <w:color w:val="231F20"/>
          <w:spacing w:val="80"/>
          <w:sz w:val="16"/>
        </w:rPr>
        <w:t> </w:t>
      </w:r>
      <w:hyperlink w:history="true" w:anchor="_bookmark165">
        <w:r>
          <w:rPr>
            <w:color w:val="231F20"/>
            <w:sz w:val="16"/>
          </w:rPr>
          <w:t>delete</w:t>
        </w:r>
        <w:r>
          <w:rPr>
            <w:color w:val="231F20"/>
            <w:spacing w:val="-6"/>
            <w:sz w:val="16"/>
          </w:rPr>
          <w:t> </w:t>
        </w:r>
        <w:r>
          <w:rPr>
            <w:color w:val="231F20"/>
            <w:sz w:val="16"/>
          </w:rPr>
          <w:t>historical</w:t>
        </w:r>
        <w:r>
          <w:rPr>
            <w:color w:val="231F20"/>
            <w:spacing w:val="-6"/>
            <w:sz w:val="16"/>
          </w:rPr>
          <w:t> </w:t>
        </w:r>
        <w:r>
          <w:rPr>
            <w:color w:val="231F20"/>
            <w:sz w:val="16"/>
          </w:rPr>
          <w:t>collection</w:t>
        </w:r>
      </w:hyperlink>
    </w:p>
    <w:p>
      <w:pPr>
        <w:spacing w:line="196" w:lineRule="exact" w:before="0"/>
        <w:ind w:left="556" w:right="0" w:firstLine="0"/>
        <w:jc w:val="left"/>
        <w:rPr>
          <w:sz w:val="16"/>
        </w:rPr>
      </w:pPr>
      <w:hyperlink w:history="true" w:anchor="_bookmark165">
        <w:r>
          <w:rPr>
            <w:color w:val="231F20"/>
            <w:sz w:val="16"/>
          </w:rPr>
          <w:t>definition</w:t>
        </w:r>
        <w:r>
          <w:rPr>
            <w:color w:val="231F20"/>
            <w:spacing w:val="36"/>
            <w:sz w:val="16"/>
          </w:rPr>
          <w:t>  </w:t>
        </w:r>
        <w:r>
          <w:rPr>
            <w:color w:val="231F20"/>
            <w:spacing w:val="-5"/>
            <w:sz w:val="16"/>
          </w:rPr>
          <w:t>231</w:t>
        </w:r>
      </w:hyperlink>
    </w:p>
    <w:p>
      <w:pPr>
        <w:spacing w:line="200" w:lineRule="exact" w:before="0"/>
        <w:ind w:left="436" w:right="0" w:firstLine="0"/>
        <w:jc w:val="left"/>
        <w:rPr>
          <w:sz w:val="16"/>
        </w:rPr>
      </w:pPr>
      <w:hyperlink w:history="true" w:anchor="_bookmark153">
        <w:r>
          <w:rPr>
            <w:color w:val="231F20"/>
            <w:sz w:val="16"/>
          </w:rPr>
          <w:t>overview</w:t>
        </w:r>
        <w:r>
          <w:rPr>
            <w:color w:val="231F20"/>
            <w:spacing w:val="36"/>
            <w:sz w:val="16"/>
          </w:rPr>
          <w:t>  </w:t>
        </w:r>
        <w:r>
          <w:rPr>
            <w:color w:val="231F20"/>
            <w:spacing w:val="-5"/>
            <w:sz w:val="16"/>
          </w:rPr>
          <w:t>213</w:t>
        </w:r>
      </w:hyperlink>
    </w:p>
    <w:p>
      <w:pPr>
        <w:spacing w:line="200" w:lineRule="exact" w:before="0"/>
        <w:ind w:left="436" w:right="0" w:firstLine="0"/>
        <w:jc w:val="left"/>
        <w:rPr>
          <w:sz w:val="16"/>
        </w:rPr>
      </w:pPr>
      <w:hyperlink w:history="true" w:anchor="_bookmark164">
        <w:r>
          <w:rPr>
            <w:color w:val="231F20"/>
            <w:sz w:val="16"/>
          </w:rPr>
          <w:t>start</w:t>
        </w:r>
        <w:r>
          <w:rPr>
            <w:color w:val="231F20"/>
            <w:spacing w:val="37"/>
            <w:sz w:val="16"/>
          </w:rPr>
          <w:t>  </w:t>
        </w:r>
        <w:r>
          <w:rPr>
            <w:color w:val="231F20"/>
            <w:spacing w:val="-5"/>
            <w:sz w:val="16"/>
          </w:rPr>
          <w:t>230</w:t>
        </w:r>
      </w:hyperlink>
    </w:p>
    <w:p>
      <w:pPr>
        <w:spacing w:line="200" w:lineRule="exact" w:before="0"/>
        <w:ind w:left="436" w:right="0" w:firstLine="0"/>
        <w:jc w:val="left"/>
        <w:rPr>
          <w:sz w:val="16"/>
        </w:rPr>
      </w:pPr>
      <w:hyperlink w:history="true" w:anchor="_bookmark163">
        <w:r>
          <w:rPr>
            <w:color w:val="231F20"/>
            <w:sz w:val="16"/>
          </w:rPr>
          <w:t>stop</w:t>
        </w:r>
        <w:r>
          <w:rPr>
            <w:color w:val="231F20"/>
            <w:spacing w:val="37"/>
            <w:sz w:val="16"/>
          </w:rPr>
          <w:t>  </w:t>
        </w:r>
        <w:r>
          <w:rPr>
            <w:color w:val="231F20"/>
            <w:spacing w:val="-5"/>
            <w:sz w:val="16"/>
          </w:rPr>
          <w:t>229</w:t>
        </w:r>
      </w:hyperlink>
    </w:p>
    <w:p>
      <w:pPr>
        <w:spacing w:line="208" w:lineRule="exact" w:before="0"/>
        <w:ind w:left="436" w:right="0" w:firstLine="0"/>
        <w:jc w:val="left"/>
        <w:rPr>
          <w:sz w:val="16"/>
        </w:rPr>
      </w:pPr>
      <w:hyperlink w:history="true" w:anchor="_bookmark165">
        <w:r>
          <w:rPr>
            <w:color w:val="231F20"/>
            <w:sz w:val="16"/>
          </w:rPr>
          <w:t>unconfigure</w:t>
        </w:r>
        <w:r>
          <w:rPr>
            <w:color w:val="231F20"/>
            <w:spacing w:val="33"/>
            <w:sz w:val="16"/>
          </w:rPr>
          <w:t>  </w:t>
        </w:r>
        <w:r>
          <w:rPr>
            <w:color w:val="231F20"/>
            <w:spacing w:val="-5"/>
            <w:sz w:val="16"/>
          </w:rPr>
          <w:t>231</w:t>
        </w:r>
      </w:hyperlink>
    </w:p>
    <w:p>
      <w:pPr>
        <w:spacing w:line="220" w:lineRule="auto" w:before="67"/>
        <w:ind w:left="317" w:right="1300" w:hanging="120"/>
        <w:jc w:val="left"/>
        <w:rPr>
          <w:sz w:val="16"/>
        </w:rPr>
      </w:pPr>
      <w:r>
        <w:rPr/>
        <w:br w:type="column"/>
      </w:r>
      <w:hyperlink w:history="true" w:anchor="_bookmark301">
        <w:r>
          <w:rPr>
            <w:color w:val="231F20"/>
            <w:sz w:val="16"/>
          </w:rPr>
          <w:t>Historical</w:t>
        </w:r>
        <w:r>
          <w:rPr>
            <w:color w:val="231F20"/>
            <w:spacing w:val="-6"/>
            <w:sz w:val="16"/>
          </w:rPr>
          <w:t> </w:t>
        </w:r>
        <w:r>
          <w:rPr>
            <w:color w:val="231F20"/>
            <w:sz w:val="16"/>
          </w:rPr>
          <w:t>Export</w:t>
        </w:r>
        <w:r>
          <w:rPr>
            <w:color w:val="231F20"/>
            <w:spacing w:val="-6"/>
            <w:sz w:val="16"/>
          </w:rPr>
          <w:t> </w:t>
        </w:r>
        <w:r>
          <w:rPr>
            <w:color w:val="231F20"/>
            <w:sz w:val="16"/>
          </w:rPr>
          <w:t>Statistics</w:t>
        </w:r>
      </w:hyperlink>
      <w:r>
        <w:rPr>
          <w:color w:val="231F20"/>
          <w:spacing w:val="40"/>
          <w:sz w:val="16"/>
        </w:rPr>
        <w:t> </w:t>
      </w:r>
      <w:hyperlink w:history="true" w:anchor="_bookmark301">
        <w:r>
          <w:rPr>
            <w:color w:val="231F20"/>
            <w:sz w:val="16"/>
          </w:rPr>
          <w:t>workspace</w:t>
        </w:r>
        <w:r>
          <w:rPr>
            <w:color w:val="231F20"/>
            <w:spacing w:val="80"/>
            <w:sz w:val="16"/>
          </w:rPr>
          <w:t> </w:t>
        </w:r>
        <w:r>
          <w:rPr>
            <w:color w:val="231F20"/>
            <w:sz w:val="16"/>
          </w:rPr>
          <w:t>391</w:t>
        </w:r>
      </w:hyperlink>
    </w:p>
    <w:p>
      <w:pPr>
        <w:spacing w:line="220" w:lineRule="auto" w:before="2"/>
        <w:ind w:left="436" w:right="2062" w:hanging="240"/>
        <w:jc w:val="left"/>
        <w:rPr>
          <w:sz w:val="16"/>
        </w:rPr>
      </w:pPr>
      <w:r>
        <w:rPr>
          <w:color w:val="231F20"/>
          <w:sz w:val="16"/>
        </w:rPr>
        <w:t>historical</w:t>
      </w:r>
      <w:r>
        <w:rPr>
          <w:color w:val="231F20"/>
          <w:spacing w:val="-6"/>
          <w:sz w:val="16"/>
        </w:rPr>
        <w:t> </w:t>
      </w:r>
      <w:r>
        <w:rPr>
          <w:color w:val="231F20"/>
          <w:sz w:val="16"/>
        </w:rPr>
        <w:t>reporting</w:t>
      </w:r>
      <w:r>
        <w:rPr>
          <w:color w:val="231F20"/>
          <w:spacing w:val="40"/>
          <w:sz w:val="16"/>
        </w:rPr>
        <w:t> </w:t>
      </w:r>
      <w:hyperlink w:history="true" w:anchor="_bookmark155">
        <w:r>
          <w:rPr>
            <w:color w:val="231F20"/>
            <w:sz w:val="16"/>
          </w:rPr>
          <w:t>disable</w:t>
        </w:r>
        <w:r>
          <w:rPr>
            <w:color w:val="231F20"/>
            <w:spacing w:val="80"/>
            <w:sz w:val="16"/>
          </w:rPr>
          <w:t> </w:t>
        </w:r>
        <w:r>
          <w:rPr>
            <w:color w:val="231F20"/>
            <w:sz w:val="16"/>
          </w:rPr>
          <w:t>216</w:t>
        </w:r>
      </w:hyperlink>
    </w:p>
    <w:p>
      <w:pPr>
        <w:spacing w:line="196" w:lineRule="exact" w:before="0"/>
        <w:ind w:left="197" w:right="0" w:firstLine="0"/>
        <w:jc w:val="left"/>
        <w:rPr>
          <w:sz w:val="16"/>
        </w:rPr>
      </w:pPr>
      <w:r>
        <w:rPr>
          <w:color w:val="231F20"/>
          <w:spacing w:val="-2"/>
          <w:sz w:val="16"/>
        </w:rPr>
        <w:t>history</w:t>
      </w:r>
    </w:p>
    <w:p>
      <w:pPr>
        <w:spacing w:line="200" w:lineRule="exact" w:before="0"/>
        <w:ind w:left="436" w:right="0" w:firstLine="0"/>
        <w:jc w:val="left"/>
        <w:rPr>
          <w:sz w:val="16"/>
        </w:rPr>
      </w:pPr>
      <w:hyperlink w:history="true" w:anchor="_bookmark162">
        <w:r>
          <w:rPr>
            <w:color w:val="231F20"/>
            <w:sz w:val="16"/>
          </w:rPr>
          <w:t>configuration</w:t>
        </w:r>
        <w:r>
          <w:rPr>
            <w:color w:val="231F20"/>
            <w:spacing w:val="9"/>
            <w:sz w:val="16"/>
          </w:rPr>
          <w:t> </w:t>
        </w:r>
        <w:r>
          <w:rPr>
            <w:color w:val="231F20"/>
            <w:sz w:val="16"/>
          </w:rPr>
          <w:t>groups</w:t>
        </w:r>
        <w:r>
          <w:rPr>
            <w:color w:val="231F20"/>
            <w:spacing w:val="33"/>
            <w:sz w:val="16"/>
          </w:rPr>
          <w:t>  </w:t>
        </w:r>
        <w:r>
          <w:rPr>
            <w:color w:val="231F20"/>
            <w:sz w:val="16"/>
          </w:rPr>
          <w:t>227,</w:t>
        </w:r>
      </w:hyperlink>
      <w:r>
        <w:rPr>
          <w:color w:val="231F20"/>
          <w:spacing w:val="10"/>
          <w:sz w:val="16"/>
        </w:rPr>
        <w:t> </w:t>
      </w:r>
      <w:hyperlink w:history="true" w:anchor="_bookmark294">
        <w:r>
          <w:rPr>
            <w:color w:val="231F20"/>
            <w:sz w:val="16"/>
          </w:rPr>
          <w:t>386,</w:t>
        </w:r>
      </w:hyperlink>
      <w:r>
        <w:rPr>
          <w:color w:val="231F20"/>
          <w:spacing w:val="9"/>
          <w:sz w:val="16"/>
        </w:rPr>
        <w:t> </w:t>
      </w:r>
      <w:hyperlink w:history="true" w:anchor="_bookmark295">
        <w:r>
          <w:rPr>
            <w:color w:val="231F20"/>
            <w:spacing w:val="-5"/>
            <w:sz w:val="16"/>
          </w:rPr>
          <w:t>387</w:t>
        </w:r>
      </w:hyperlink>
    </w:p>
    <w:p>
      <w:pPr>
        <w:spacing w:line="200" w:lineRule="exact" w:before="0"/>
        <w:ind w:left="436" w:right="0" w:firstLine="0"/>
        <w:jc w:val="left"/>
        <w:rPr>
          <w:sz w:val="16"/>
        </w:rPr>
      </w:pPr>
      <w:hyperlink w:history="true" w:anchor="_bookmark156">
        <w:r>
          <w:rPr>
            <w:color w:val="231F20"/>
            <w:sz w:val="16"/>
          </w:rPr>
          <w:t>configuration</w:t>
        </w:r>
        <w:r>
          <w:rPr>
            <w:color w:val="231F20"/>
            <w:spacing w:val="8"/>
            <w:sz w:val="16"/>
          </w:rPr>
          <w:t> </w:t>
        </w:r>
        <w:r>
          <w:rPr>
            <w:color w:val="231F20"/>
            <w:sz w:val="16"/>
          </w:rPr>
          <w:t>overview</w:t>
        </w:r>
        <w:r>
          <w:rPr>
            <w:color w:val="231F20"/>
            <w:spacing w:val="33"/>
            <w:sz w:val="16"/>
          </w:rPr>
          <w:t>  </w:t>
        </w:r>
        <w:r>
          <w:rPr>
            <w:color w:val="231F20"/>
            <w:spacing w:val="-5"/>
            <w:sz w:val="16"/>
          </w:rPr>
          <w:t>217</w:t>
        </w:r>
      </w:hyperlink>
    </w:p>
    <w:p>
      <w:pPr>
        <w:spacing w:line="200" w:lineRule="exact" w:before="0"/>
        <w:ind w:left="436" w:right="0" w:firstLine="0"/>
        <w:jc w:val="left"/>
        <w:rPr>
          <w:sz w:val="16"/>
        </w:rPr>
      </w:pPr>
      <w:hyperlink w:history="true" w:anchor="_bookmark156">
        <w:r>
          <w:rPr>
            <w:color w:val="231F20"/>
            <w:sz w:val="16"/>
          </w:rPr>
          <w:t>configure</w:t>
        </w:r>
        <w:r>
          <w:rPr>
            <w:color w:val="231F20"/>
            <w:spacing w:val="34"/>
            <w:sz w:val="16"/>
          </w:rPr>
          <w:t>  </w:t>
        </w:r>
        <w:r>
          <w:rPr>
            <w:color w:val="231F20"/>
            <w:spacing w:val="-5"/>
            <w:sz w:val="16"/>
          </w:rPr>
          <w:t>217</w:t>
        </w:r>
      </w:hyperlink>
    </w:p>
    <w:p>
      <w:pPr>
        <w:spacing w:line="220" w:lineRule="auto" w:before="5"/>
        <w:ind w:left="197" w:right="826" w:firstLine="239"/>
        <w:jc w:val="left"/>
        <w:rPr>
          <w:sz w:val="16"/>
        </w:rPr>
      </w:pPr>
      <w:hyperlink w:history="true" w:anchor="_bookmark32">
        <w:r>
          <w:rPr>
            <w:color w:val="231F20"/>
            <w:sz w:val="16"/>
          </w:rPr>
          <w:t>set a time span to view</w:t>
        </w:r>
        <w:r>
          <w:rPr>
            <w:color w:val="231F20"/>
            <w:spacing w:val="80"/>
            <w:sz w:val="16"/>
          </w:rPr>
          <w:t> </w:t>
        </w:r>
        <w:r>
          <w:rPr>
            <w:color w:val="231F20"/>
            <w:sz w:val="16"/>
          </w:rPr>
          <w:t>42,</w:t>
        </w:r>
      </w:hyperlink>
      <w:r>
        <w:rPr>
          <w:color w:val="231F20"/>
          <w:sz w:val="16"/>
        </w:rPr>
        <w:t> </w:t>
      </w:r>
      <w:hyperlink w:history="true" w:anchor="_bookmark154">
        <w:r>
          <w:rPr>
            <w:color w:val="231F20"/>
            <w:sz w:val="16"/>
          </w:rPr>
          <w:t>214</w:t>
        </w:r>
      </w:hyperlink>
      <w:r>
        <w:rPr>
          <w:color w:val="231F20"/>
          <w:spacing w:val="40"/>
          <w:sz w:val="16"/>
        </w:rPr>
        <w:t> </w:t>
      </w:r>
      <w:hyperlink w:history="true" w:anchor="_bookmark301">
        <w:r>
          <w:rPr>
            <w:color w:val="231F20"/>
            <w:sz w:val="16"/>
          </w:rPr>
          <w:t>History Exports</w:t>
        </w:r>
        <w:r>
          <w:rPr>
            <w:color w:val="231F20"/>
            <w:spacing w:val="80"/>
            <w:sz w:val="16"/>
          </w:rPr>
          <w:t> </w:t>
        </w:r>
        <w:r>
          <w:rPr>
            <w:color w:val="231F20"/>
            <w:sz w:val="16"/>
          </w:rPr>
          <w:t>391</w:t>
        </w:r>
      </w:hyperlink>
    </w:p>
    <w:p>
      <w:pPr>
        <w:spacing w:line="204" w:lineRule="exact" w:before="0"/>
        <w:ind w:left="197" w:right="0" w:firstLine="0"/>
        <w:jc w:val="left"/>
        <w:rPr>
          <w:sz w:val="16"/>
        </w:rPr>
      </w:pPr>
      <w:hyperlink w:history="true" w:anchor="_bookmark125">
        <w:r>
          <w:rPr>
            <w:color w:val="231F20"/>
            <w:sz w:val="16"/>
          </w:rPr>
          <w:t>Host-On-Demand</w:t>
        </w:r>
        <w:r>
          <w:rPr>
            <w:color w:val="231F20"/>
            <w:spacing w:val="33"/>
            <w:sz w:val="16"/>
          </w:rPr>
          <w:t>  </w:t>
        </w:r>
        <w:r>
          <w:rPr>
            <w:color w:val="231F20"/>
            <w:spacing w:val="-5"/>
            <w:sz w:val="16"/>
          </w:rPr>
          <w:t>168</w:t>
        </w:r>
      </w:hyperlink>
    </w:p>
    <w:p>
      <w:pPr>
        <w:pStyle w:val="BodyText"/>
        <w:spacing w:before="105"/>
        <w:rPr>
          <w:sz w:val="16"/>
        </w:rPr>
      </w:pPr>
    </w:p>
    <w:p>
      <w:pPr>
        <w:pStyle w:val="Heading1"/>
      </w:pPr>
      <w:bookmarkStart w:name="I" w:id="758"/>
      <w:bookmarkEnd w:id="758"/>
      <w:r>
        <w:rPr>
          <w:b w:val="0"/>
        </w:rPr>
      </w:r>
      <w:r>
        <w:rPr>
          <w:color w:val="231F20"/>
          <w:spacing w:val="-10"/>
        </w:rPr>
        <w:t>I</w:t>
      </w:r>
    </w:p>
    <w:p>
      <w:pPr>
        <w:spacing w:line="205" w:lineRule="exact" w:before="0"/>
        <w:ind w:left="197" w:right="0" w:firstLine="0"/>
        <w:jc w:val="left"/>
        <w:rPr>
          <w:sz w:val="16"/>
        </w:rPr>
      </w:pPr>
      <w:hyperlink w:history="true" w:anchor="_bookmark354">
        <w:r>
          <w:rPr>
            <w:color w:val="231F20"/>
            <w:sz w:val="16"/>
          </w:rPr>
          <w:t>IBM</w:t>
        </w:r>
        <w:r>
          <w:rPr>
            <w:color w:val="231F20"/>
            <w:spacing w:val="10"/>
            <w:sz w:val="16"/>
          </w:rPr>
          <w:t> </w:t>
        </w:r>
        <w:r>
          <w:rPr>
            <w:color w:val="231F20"/>
            <w:sz w:val="16"/>
          </w:rPr>
          <w:t>Redbooks</w:t>
        </w:r>
        <w:r>
          <w:rPr>
            <w:color w:val="231F20"/>
            <w:spacing w:val="35"/>
            <w:sz w:val="16"/>
          </w:rPr>
          <w:t>  </w:t>
        </w:r>
        <w:r>
          <w:rPr>
            <w:color w:val="231F20"/>
            <w:spacing w:val="-5"/>
            <w:sz w:val="16"/>
          </w:rPr>
          <w:t>459</w:t>
        </w:r>
      </w:hyperlink>
    </w:p>
    <w:p>
      <w:pPr>
        <w:spacing w:line="220" w:lineRule="auto" w:before="5"/>
        <w:ind w:left="197" w:right="1300" w:firstLine="0"/>
        <w:jc w:val="left"/>
        <w:rPr>
          <w:sz w:val="16"/>
        </w:rPr>
      </w:pPr>
      <w:hyperlink w:history="true" w:anchor="_bookmark354">
        <w:r>
          <w:rPr>
            <w:color w:val="231F20"/>
            <w:sz w:val="16"/>
          </w:rPr>
          <w:t>IBM Support</w:t>
        </w:r>
        <w:r>
          <w:rPr>
            <w:color w:val="231F20"/>
            <w:spacing w:val="-1"/>
            <w:sz w:val="16"/>
          </w:rPr>
          <w:t> </w:t>
        </w:r>
        <w:r>
          <w:rPr>
            <w:color w:val="231F20"/>
            <w:sz w:val="16"/>
          </w:rPr>
          <w:t>Assistant</w:t>
        </w:r>
        <w:r>
          <w:rPr>
            <w:color w:val="231F20"/>
            <w:spacing w:val="80"/>
            <w:sz w:val="16"/>
          </w:rPr>
          <w:t> </w:t>
        </w:r>
        <w:r>
          <w:rPr>
            <w:color w:val="231F20"/>
            <w:sz w:val="16"/>
          </w:rPr>
          <w:t>459</w:t>
        </w:r>
      </w:hyperlink>
      <w:r>
        <w:rPr>
          <w:color w:val="231F20"/>
          <w:spacing w:val="40"/>
          <w:sz w:val="16"/>
        </w:rPr>
        <w:t> </w:t>
      </w:r>
      <w:hyperlink w:history="true" w:anchor="_bookmark332">
        <w:r>
          <w:rPr>
            <w:color w:val="231F20"/>
            <w:sz w:val="16"/>
          </w:rPr>
          <w:t>IN formula function</w:t>
        </w:r>
        <w:r>
          <w:rPr>
            <w:color w:val="231F20"/>
            <w:spacing w:val="80"/>
            <w:sz w:val="16"/>
          </w:rPr>
          <w:t> </w:t>
        </w:r>
        <w:r>
          <w:rPr>
            <w:color w:val="231F20"/>
            <w:sz w:val="16"/>
          </w:rPr>
          <w:t>423</w:t>
        </w:r>
      </w:hyperlink>
    </w:p>
    <w:p>
      <w:pPr>
        <w:spacing w:line="220" w:lineRule="auto" w:before="2"/>
        <w:ind w:left="317" w:right="826" w:hanging="120"/>
        <w:jc w:val="left"/>
        <w:rPr>
          <w:sz w:val="16"/>
        </w:rPr>
      </w:pPr>
      <w:hyperlink w:history="true" w:anchor="_bookmark321">
        <w:r>
          <w:rPr>
            <w:color w:val="231F20"/>
            <w:sz w:val="16"/>
          </w:rPr>
          <w:t>insert a new row in the </w:t>
        </w:r>
        <w:r>
          <w:rPr>
            <w:color w:val="231F20"/>
            <w:sz w:val="16"/>
          </w:rPr>
          <w:t>formula</w:t>
        </w:r>
      </w:hyperlink>
      <w:r>
        <w:rPr>
          <w:color w:val="231F20"/>
          <w:spacing w:val="40"/>
          <w:sz w:val="16"/>
        </w:rPr>
        <w:t> </w:t>
      </w:r>
      <w:hyperlink w:history="true" w:anchor="_bookmark321">
        <w:r>
          <w:rPr>
            <w:color w:val="231F20"/>
            <w:sz w:val="16"/>
          </w:rPr>
          <w:t>editor</w:t>
        </w:r>
        <w:r>
          <w:rPr>
            <w:color w:val="231F20"/>
            <w:spacing w:val="80"/>
            <w:sz w:val="16"/>
          </w:rPr>
          <w:t> </w:t>
        </w:r>
        <w:r>
          <w:rPr>
            <w:color w:val="231F20"/>
            <w:sz w:val="16"/>
          </w:rPr>
          <w:t>415</w:t>
        </w:r>
      </w:hyperlink>
    </w:p>
    <w:p>
      <w:pPr>
        <w:spacing w:line="220" w:lineRule="auto" w:before="2"/>
        <w:ind w:left="317" w:right="826" w:hanging="120"/>
        <w:jc w:val="left"/>
        <w:rPr>
          <w:sz w:val="16"/>
        </w:rPr>
      </w:pPr>
      <w:hyperlink w:history="true" w:anchor="_bookmark353">
        <w:r>
          <w:rPr>
            <w:color w:val="231F20"/>
            <w:sz w:val="16"/>
          </w:rPr>
          <w:t>Integrated</w:t>
        </w:r>
        <w:r>
          <w:rPr>
            <w:color w:val="231F20"/>
            <w:spacing w:val="-6"/>
            <w:sz w:val="16"/>
          </w:rPr>
          <w:t> </w:t>
        </w:r>
        <w:r>
          <w:rPr>
            <w:color w:val="231F20"/>
            <w:sz w:val="16"/>
          </w:rPr>
          <w:t>Service</w:t>
        </w:r>
        <w:r>
          <w:rPr>
            <w:color w:val="231F20"/>
            <w:spacing w:val="-6"/>
            <w:sz w:val="16"/>
          </w:rPr>
          <w:t> </w:t>
        </w:r>
        <w:r>
          <w:rPr>
            <w:color w:val="231F20"/>
            <w:sz w:val="16"/>
          </w:rPr>
          <w:t>Management</w:t>
        </w:r>
      </w:hyperlink>
      <w:r>
        <w:rPr>
          <w:color w:val="231F20"/>
          <w:spacing w:val="40"/>
          <w:sz w:val="16"/>
        </w:rPr>
        <w:t> </w:t>
      </w:r>
      <w:hyperlink w:history="true" w:anchor="_bookmark353">
        <w:r>
          <w:rPr>
            <w:color w:val="231F20"/>
            <w:sz w:val="16"/>
          </w:rPr>
          <w:t>Library</w:t>
        </w:r>
        <w:r>
          <w:rPr>
            <w:color w:val="231F20"/>
            <w:spacing w:val="80"/>
            <w:sz w:val="16"/>
          </w:rPr>
          <w:t> </w:t>
        </w:r>
        <w:r>
          <w:rPr>
            <w:color w:val="231F20"/>
            <w:sz w:val="16"/>
          </w:rPr>
          <w:t>457</w:t>
        </w:r>
      </w:hyperlink>
    </w:p>
    <w:p>
      <w:pPr>
        <w:spacing w:line="196" w:lineRule="exact" w:before="0"/>
        <w:ind w:left="197" w:right="0" w:firstLine="0"/>
        <w:jc w:val="left"/>
        <w:rPr>
          <w:sz w:val="16"/>
        </w:rPr>
      </w:pPr>
      <w:hyperlink w:history="true" w:anchor="_bookmark354">
        <w:r>
          <w:rPr>
            <w:color w:val="231F20"/>
            <w:sz w:val="16"/>
          </w:rPr>
          <w:t>ISA</w:t>
        </w:r>
        <w:r>
          <w:rPr>
            <w:color w:val="231F20"/>
            <w:spacing w:val="38"/>
            <w:sz w:val="16"/>
          </w:rPr>
          <w:t>  </w:t>
        </w:r>
        <w:r>
          <w:rPr>
            <w:color w:val="231F20"/>
            <w:spacing w:val="-5"/>
            <w:sz w:val="16"/>
          </w:rPr>
          <w:t>459</w:t>
        </w:r>
      </w:hyperlink>
    </w:p>
    <w:p>
      <w:pPr>
        <w:spacing w:line="220" w:lineRule="auto" w:before="5"/>
        <w:ind w:left="197" w:right="1182" w:firstLine="0"/>
        <w:jc w:val="left"/>
        <w:rPr>
          <w:sz w:val="16"/>
        </w:rPr>
      </w:pPr>
      <w:hyperlink w:history="true" w:anchor="_bookmark325">
        <w:r>
          <w:rPr>
            <w:color w:val="231F20"/>
            <w:sz w:val="16"/>
          </w:rPr>
          <w:t>ISNULL</w:t>
        </w:r>
        <w:r>
          <w:rPr>
            <w:color w:val="231F20"/>
            <w:spacing w:val="-1"/>
            <w:sz w:val="16"/>
          </w:rPr>
          <w:t> </w:t>
        </w:r>
        <w:r>
          <w:rPr>
            <w:color w:val="231F20"/>
            <w:sz w:val="16"/>
          </w:rPr>
          <w:t>formula function</w:t>
        </w:r>
        <w:r>
          <w:rPr>
            <w:color w:val="231F20"/>
            <w:spacing w:val="80"/>
            <w:sz w:val="16"/>
          </w:rPr>
          <w:t> </w:t>
        </w:r>
        <w:r>
          <w:rPr>
            <w:color w:val="231F20"/>
            <w:sz w:val="16"/>
          </w:rPr>
          <w:t>418</w:t>
        </w:r>
      </w:hyperlink>
      <w:r>
        <w:rPr>
          <w:color w:val="231F20"/>
          <w:spacing w:val="40"/>
          <w:sz w:val="16"/>
        </w:rPr>
        <w:t> </w:t>
      </w:r>
      <w:hyperlink w:history="true" w:anchor="_bookmark150">
        <w:r>
          <w:rPr>
            <w:color w:val="231F20"/>
            <w:sz w:val="16"/>
          </w:rPr>
          <w:t>ITM Audit Log</w:t>
        </w:r>
        <w:r>
          <w:rPr>
            <w:color w:val="231F20"/>
            <w:spacing w:val="80"/>
            <w:sz w:val="16"/>
          </w:rPr>
          <w:t> </w:t>
        </w:r>
        <w:r>
          <w:rPr>
            <w:color w:val="231F20"/>
            <w:sz w:val="16"/>
          </w:rPr>
          <w:t>210</w:t>
        </w:r>
      </w:hyperlink>
    </w:p>
    <w:p>
      <w:pPr>
        <w:pStyle w:val="BodyText"/>
        <w:spacing w:before="110"/>
        <w:rPr>
          <w:sz w:val="16"/>
        </w:rPr>
      </w:pPr>
    </w:p>
    <w:p>
      <w:pPr>
        <w:pStyle w:val="Heading1"/>
      </w:pPr>
      <w:bookmarkStart w:name="J" w:id="759"/>
      <w:bookmarkEnd w:id="759"/>
      <w:r>
        <w:rPr>
          <w:b w:val="0"/>
        </w:rPr>
      </w:r>
      <w:r>
        <w:rPr>
          <w:color w:val="231F20"/>
          <w:spacing w:val="-10"/>
        </w:rPr>
        <w:t>J</w:t>
      </w:r>
    </w:p>
    <w:p>
      <w:pPr>
        <w:spacing w:line="220" w:lineRule="auto" w:before="10"/>
        <w:ind w:left="436" w:right="1807" w:hanging="240"/>
        <w:jc w:val="left"/>
        <w:rPr>
          <w:sz w:val="16"/>
        </w:rPr>
      </w:pPr>
      <w:r>
        <w:rPr>
          <w:color w:val="231F20"/>
          <w:sz w:val="16"/>
        </w:rPr>
        <w:t>JDBC</w:t>
      </w:r>
      <w:r>
        <w:rPr>
          <w:color w:val="231F20"/>
          <w:spacing w:val="-6"/>
          <w:sz w:val="16"/>
        </w:rPr>
        <w:t> </w:t>
      </w:r>
      <w:r>
        <w:rPr>
          <w:color w:val="231F20"/>
          <w:sz w:val="16"/>
        </w:rPr>
        <w:t>database</w:t>
      </w:r>
      <w:r>
        <w:rPr>
          <w:color w:val="231F20"/>
          <w:spacing w:val="-6"/>
          <w:sz w:val="16"/>
        </w:rPr>
        <w:t> </w:t>
      </w:r>
      <w:r>
        <w:rPr>
          <w:color w:val="231F20"/>
          <w:sz w:val="16"/>
        </w:rPr>
        <w:t>query</w:t>
      </w:r>
      <w:r>
        <w:rPr>
          <w:color w:val="231F20"/>
          <w:spacing w:val="40"/>
          <w:sz w:val="16"/>
        </w:rPr>
        <w:t> </w:t>
      </w:r>
      <w:hyperlink w:history="true" w:anchor="_bookmark144">
        <w:r>
          <w:rPr>
            <w:color w:val="231F20"/>
            <w:sz w:val="16"/>
          </w:rPr>
          <w:t>create</w:t>
        </w:r>
        <w:r>
          <w:rPr>
            <w:color w:val="231F20"/>
            <w:spacing w:val="80"/>
            <w:sz w:val="16"/>
          </w:rPr>
          <w:t> </w:t>
        </w:r>
        <w:r>
          <w:rPr>
            <w:color w:val="231F20"/>
            <w:sz w:val="16"/>
          </w:rPr>
          <w:t>203</w:t>
        </w:r>
      </w:hyperlink>
    </w:p>
    <w:p>
      <w:pPr>
        <w:spacing w:line="196" w:lineRule="exact" w:before="0"/>
        <w:ind w:left="436" w:right="0" w:firstLine="0"/>
        <w:jc w:val="left"/>
        <w:rPr>
          <w:sz w:val="16"/>
        </w:rPr>
      </w:pPr>
      <w:hyperlink w:history="true" w:anchor="_bookmark145">
        <w:r>
          <w:rPr>
            <w:color w:val="231F20"/>
            <w:sz w:val="16"/>
          </w:rPr>
          <w:t>notes</w:t>
        </w:r>
        <w:r>
          <w:rPr>
            <w:color w:val="231F20"/>
            <w:spacing w:val="37"/>
            <w:sz w:val="16"/>
          </w:rPr>
          <w:t>  </w:t>
        </w:r>
        <w:r>
          <w:rPr>
            <w:color w:val="231F20"/>
            <w:spacing w:val="-5"/>
            <w:sz w:val="16"/>
          </w:rPr>
          <w:t>204</w:t>
        </w:r>
      </w:hyperlink>
    </w:p>
    <w:p>
      <w:pPr>
        <w:spacing w:line="200" w:lineRule="exact" w:before="0"/>
        <w:ind w:left="436" w:right="0" w:firstLine="0"/>
        <w:jc w:val="left"/>
        <w:rPr>
          <w:sz w:val="16"/>
        </w:rPr>
      </w:pPr>
      <w:hyperlink w:history="true" w:anchor="_bookmark147">
        <w:r>
          <w:rPr>
            <w:color w:val="231F20"/>
            <w:sz w:val="16"/>
          </w:rPr>
          <w:t>symbols</w:t>
        </w:r>
        <w:r>
          <w:rPr>
            <w:color w:val="231F20"/>
            <w:spacing w:val="10"/>
            <w:sz w:val="16"/>
          </w:rPr>
          <w:t> </w:t>
        </w:r>
        <w:r>
          <w:rPr>
            <w:color w:val="231F20"/>
            <w:sz w:val="16"/>
          </w:rPr>
          <w:t>used</w:t>
        </w:r>
        <w:r>
          <w:rPr>
            <w:color w:val="231F20"/>
            <w:spacing w:val="36"/>
            <w:sz w:val="16"/>
          </w:rPr>
          <w:t>  </w:t>
        </w:r>
        <w:r>
          <w:rPr>
            <w:color w:val="231F20"/>
            <w:spacing w:val="-5"/>
            <w:sz w:val="16"/>
          </w:rPr>
          <w:t>206</w:t>
        </w:r>
      </w:hyperlink>
    </w:p>
    <w:p>
      <w:pPr>
        <w:spacing w:line="200" w:lineRule="exact" w:before="0"/>
        <w:ind w:left="197" w:right="0" w:firstLine="0"/>
        <w:jc w:val="left"/>
        <w:rPr>
          <w:sz w:val="16"/>
        </w:rPr>
      </w:pPr>
      <w:hyperlink w:history="true" w:anchor="_bookmark262">
        <w:r>
          <w:rPr>
            <w:color w:val="231F20"/>
            <w:sz w:val="16"/>
          </w:rPr>
          <w:t>JSON</w:t>
        </w:r>
        <w:r>
          <w:rPr>
            <w:color w:val="231F20"/>
            <w:spacing w:val="10"/>
            <w:sz w:val="16"/>
          </w:rPr>
          <w:t> </w:t>
        </w:r>
        <w:r>
          <w:rPr>
            <w:color w:val="231F20"/>
            <w:sz w:val="16"/>
          </w:rPr>
          <w:t>payload</w:t>
        </w:r>
        <w:r>
          <w:rPr>
            <w:color w:val="231F20"/>
            <w:spacing w:val="36"/>
            <w:sz w:val="16"/>
          </w:rPr>
          <w:t>  </w:t>
        </w:r>
        <w:r>
          <w:rPr>
            <w:color w:val="231F20"/>
            <w:spacing w:val="-5"/>
            <w:sz w:val="16"/>
          </w:rPr>
          <w:t>351</w:t>
        </w:r>
      </w:hyperlink>
    </w:p>
    <w:p>
      <w:pPr>
        <w:spacing w:line="208" w:lineRule="exact" w:before="0"/>
        <w:ind w:left="197" w:right="0" w:firstLine="0"/>
        <w:jc w:val="left"/>
        <w:rPr>
          <w:sz w:val="16"/>
        </w:rPr>
      </w:pPr>
      <w:hyperlink w:history="true" w:anchor="_bookmark262">
        <w:r>
          <w:rPr>
            <w:color w:val="231F20"/>
            <w:sz w:val="16"/>
          </w:rPr>
          <w:t>JSON</w:t>
        </w:r>
        <w:r>
          <w:rPr>
            <w:color w:val="231F20"/>
            <w:spacing w:val="9"/>
            <w:sz w:val="16"/>
          </w:rPr>
          <w:t> </w:t>
        </w:r>
        <w:r>
          <w:rPr>
            <w:color w:val="231F20"/>
            <w:sz w:val="16"/>
          </w:rPr>
          <w:t>update</w:t>
        </w:r>
        <w:r>
          <w:rPr>
            <w:color w:val="231F20"/>
            <w:spacing w:val="10"/>
            <w:sz w:val="16"/>
          </w:rPr>
          <w:t> </w:t>
        </w:r>
        <w:r>
          <w:rPr>
            <w:color w:val="231F20"/>
            <w:sz w:val="16"/>
          </w:rPr>
          <w:t>request</w:t>
        </w:r>
        <w:r>
          <w:rPr>
            <w:color w:val="231F20"/>
            <w:spacing w:val="34"/>
            <w:sz w:val="16"/>
          </w:rPr>
          <w:t>  </w:t>
        </w:r>
        <w:r>
          <w:rPr>
            <w:color w:val="231F20"/>
            <w:spacing w:val="-5"/>
            <w:sz w:val="16"/>
          </w:rPr>
          <w:t>351</w:t>
        </w:r>
      </w:hyperlink>
    </w:p>
    <w:p>
      <w:pPr>
        <w:pStyle w:val="BodyText"/>
        <w:spacing w:before="104"/>
        <w:rPr>
          <w:sz w:val="16"/>
        </w:rPr>
      </w:pPr>
    </w:p>
    <w:p>
      <w:pPr>
        <w:pStyle w:val="Heading1"/>
        <w:spacing w:before="1"/>
      </w:pPr>
      <w:bookmarkStart w:name="L" w:id="760"/>
      <w:bookmarkEnd w:id="760"/>
      <w:r>
        <w:rPr>
          <w:b w:val="0"/>
        </w:rPr>
      </w:r>
      <w:r>
        <w:rPr>
          <w:color w:val="231F20"/>
          <w:spacing w:val="-10"/>
        </w:rPr>
        <w:t>L</w:t>
      </w:r>
    </w:p>
    <w:p>
      <w:pPr>
        <w:spacing w:line="220" w:lineRule="auto" w:before="10"/>
        <w:ind w:left="436" w:right="826" w:hanging="240"/>
        <w:jc w:val="left"/>
        <w:rPr>
          <w:sz w:val="16"/>
        </w:rPr>
      </w:pPr>
      <w:hyperlink w:history="true" w:anchor="_bookmark268">
        <w:r>
          <w:rPr>
            <w:color w:val="231F20"/>
            <w:sz w:val="16"/>
          </w:rPr>
          <w:t>launch application definitions</w:t>
        </w:r>
        <w:r>
          <w:rPr>
            <w:color w:val="231F20"/>
            <w:spacing w:val="80"/>
            <w:sz w:val="16"/>
          </w:rPr>
          <w:t> </w:t>
        </w:r>
        <w:r>
          <w:rPr>
            <w:color w:val="231F20"/>
            <w:sz w:val="16"/>
          </w:rPr>
          <w:t>357</w:t>
        </w:r>
      </w:hyperlink>
      <w:r>
        <w:rPr>
          <w:color w:val="231F20"/>
          <w:spacing w:val="40"/>
          <w:sz w:val="16"/>
        </w:rPr>
        <w:t> </w:t>
      </w:r>
      <w:hyperlink w:history="true" w:anchor="_bookmark270">
        <w:r>
          <w:rPr>
            <w:color w:val="231F20"/>
            <w:sz w:val="16"/>
          </w:rPr>
          <w:t>copy or edit</w:t>
        </w:r>
        <w:r>
          <w:rPr>
            <w:color w:val="231F20"/>
            <w:spacing w:val="80"/>
            <w:sz w:val="16"/>
          </w:rPr>
          <w:t> </w:t>
        </w:r>
        <w:r>
          <w:rPr>
            <w:color w:val="231F20"/>
            <w:sz w:val="16"/>
          </w:rPr>
          <w:t>359</w:t>
        </w:r>
      </w:hyperlink>
    </w:p>
    <w:p>
      <w:pPr>
        <w:spacing w:line="196" w:lineRule="exact" w:before="0"/>
        <w:ind w:left="436" w:right="0" w:firstLine="0"/>
        <w:jc w:val="left"/>
        <w:rPr>
          <w:sz w:val="16"/>
        </w:rPr>
      </w:pPr>
      <w:hyperlink w:history="true" w:anchor="_bookmark269">
        <w:r>
          <w:rPr>
            <w:color w:val="231F20"/>
            <w:sz w:val="16"/>
          </w:rPr>
          <w:t>create</w:t>
        </w:r>
        <w:r>
          <w:rPr>
            <w:color w:val="231F20"/>
            <w:spacing w:val="35"/>
            <w:sz w:val="16"/>
          </w:rPr>
          <w:t>  </w:t>
        </w:r>
        <w:r>
          <w:rPr>
            <w:color w:val="231F20"/>
            <w:spacing w:val="-5"/>
            <w:sz w:val="16"/>
          </w:rPr>
          <w:t>358</w:t>
        </w:r>
      </w:hyperlink>
    </w:p>
    <w:p>
      <w:pPr>
        <w:spacing w:line="200" w:lineRule="exact" w:before="0"/>
        <w:ind w:left="436" w:right="0" w:firstLine="0"/>
        <w:jc w:val="left"/>
        <w:rPr>
          <w:sz w:val="16"/>
        </w:rPr>
      </w:pPr>
      <w:hyperlink w:history="true" w:anchor="_bookmark271">
        <w:r>
          <w:rPr>
            <w:color w:val="231F20"/>
            <w:sz w:val="16"/>
          </w:rPr>
          <w:t>delete</w:t>
        </w:r>
        <w:r>
          <w:rPr>
            <w:color w:val="231F20"/>
            <w:spacing w:val="37"/>
            <w:sz w:val="16"/>
          </w:rPr>
          <w:t>  </w:t>
        </w:r>
        <w:r>
          <w:rPr>
            <w:color w:val="231F20"/>
            <w:spacing w:val="-5"/>
            <w:sz w:val="16"/>
          </w:rPr>
          <w:t>360</w:t>
        </w:r>
      </w:hyperlink>
    </w:p>
    <w:p>
      <w:pPr>
        <w:spacing w:line="200" w:lineRule="exact" w:before="0"/>
        <w:ind w:left="436" w:right="0" w:firstLine="0"/>
        <w:jc w:val="left"/>
        <w:rPr>
          <w:sz w:val="16"/>
        </w:rPr>
      </w:pPr>
      <w:hyperlink w:history="true" w:anchor="_bookmark271">
        <w:r>
          <w:rPr>
            <w:color w:val="231F20"/>
            <w:sz w:val="16"/>
          </w:rPr>
          <w:t>examples</w:t>
        </w:r>
        <w:r>
          <w:rPr>
            <w:color w:val="231F20"/>
            <w:spacing w:val="36"/>
            <w:sz w:val="16"/>
          </w:rPr>
          <w:t>  </w:t>
        </w:r>
        <w:r>
          <w:rPr>
            <w:color w:val="231F20"/>
            <w:spacing w:val="-5"/>
            <w:sz w:val="16"/>
          </w:rPr>
          <w:t>360</w:t>
        </w:r>
      </w:hyperlink>
    </w:p>
    <w:p>
      <w:pPr>
        <w:spacing w:line="220" w:lineRule="auto" w:before="5"/>
        <w:ind w:left="197" w:right="1990" w:firstLine="0"/>
        <w:jc w:val="left"/>
        <w:rPr>
          <w:sz w:val="16"/>
        </w:rPr>
      </w:pPr>
      <w:hyperlink w:history="true" w:anchor="_bookmark85">
        <w:r>
          <w:rPr>
            <w:color w:val="231F20"/>
            <w:sz w:val="16"/>
          </w:rPr>
          <w:t>linear gauge</w:t>
        </w:r>
        <w:r>
          <w:rPr>
            <w:color w:val="231F20"/>
            <w:spacing w:val="80"/>
            <w:sz w:val="16"/>
          </w:rPr>
          <w:t> </w:t>
        </w:r>
        <w:r>
          <w:rPr>
            <w:color w:val="231F20"/>
            <w:sz w:val="16"/>
          </w:rPr>
          <w:t>113</w:t>
        </w:r>
      </w:hyperlink>
      <w:r>
        <w:rPr>
          <w:color w:val="231F20"/>
          <w:spacing w:val="40"/>
          <w:sz w:val="16"/>
        </w:rPr>
        <w:t> </w:t>
      </w:r>
      <w:r>
        <w:rPr>
          <w:color w:val="231F20"/>
          <w:spacing w:val="-4"/>
          <w:sz w:val="16"/>
        </w:rPr>
        <w:t>link</w:t>
      </w:r>
    </w:p>
    <w:p>
      <w:pPr>
        <w:spacing w:line="196" w:lineRule="exact" w:before="0"/>
        <w:ind w:left="436" w:right="0" w:firstLine="0"/>
        <w:jc w:val="left"/>
        <w:rPr>
          <w:sz w:val="16"/>
        </w:rPr>
      </w:pPr>
      <w:hyperlink w:history="true" w:anchor="_bookmark61">
        <w:r>
          <w:rPr>
            <w:color w:val="231F20"/>
            <w:sz w:val="16"/>
          </w:rPr>
          <w:t>anchor</w:t>
        </w:r>
        <w:r>
          <w:rPr>
            <w:color w:val="231F20"/>
            <w:spacing w:val="37"/>
            <w:sz w:val="16"/>
          </w:rPr>
          <w:t>  </w:t>
        </w:r>
        <w:r>
          <w:rPr>
            <w:color w:val="231F20"/>
            <w:spacing w:val="-7"/>
            <w:sz w:val="16"/>
          </w:rPr>
          <w:t>77</w:t>
        </w:r>
      </w:hyperlink>
    </w:p>
    <w:p>
      <w:pPr>
        <w:spacing w:line="200" w:lineRule="exact" w:before="0"/>
        <w:ind w:left="436" w:right="0" w:firstLine="0"/>
        <w:jc w:val="left"/>
        <w:rPr>
          <w:sz w:val="16"/>
        </w:rPr>
      </w:pPr>
      <w:hyperlink w:history="true" w:anchor="_bookmark59">
        <w:r>
          <w:rPr>
            <w:color w:val="231F20"/>
            <w:sz w:val="16"/>
          </w:rPr>
          <w:t>create</w:t>
        </w:r>
        <w:r>
          <w:rPr>
            <w:color w:val="231F20"/>
            <w:spacing w:val="35"/>
            <w:sz w:val="16"/>
          </w:rPr>
          <w:t>  </w:t>
        </w:r>
        <w:r>
          <w:rPr>
            <w:color w:val="231F20"/>
            <w:spacing w:val="-7"/>
            <w:sz w:val="16"/>
          </w:rPr>
          <w:t>73</w:t>
        </w:r>
      </w:hyperlink>
    </w:p>
    <w:p>
      <w:pPr>
        <w:spacing w:line="200" w:lineRule="exact" w:before="0"/>
        <w:ind w:left="436" w:right="0" w:firstLine="0"/>
        <w:jc w:val="left"/>
        <w:rPr>
          <w:sz w:val="16"/>
        </w:rPr>
      </w:pPr>
      <w:hyperlink w:history="true" w:anchor="_bookmark61">
        <w:r>
          <w:rPr>
            <w:color w:val="231F20"/>
            <w:sz w:val="16"/>
          </w:rPr>
          <w:t>delete</w:t>
        </w:r>
        <w:r>
          <w:rPr>
            <w:color w:val="231F20"/>
            <w:spacing w:val="37"/>
            <w:sz w:val="16"/>
          </w:rPr>
          <w:t>  </w:t>
        </w:r>
        <w:r>
          <w:rPr>
            <w:color w:val="231F20"/>
            <w:spacing w:val="-7"/>
            <w:sz w:val="16"/>
          </w:rPr>
          <w:t>77</w:t>
        </w:r>
      </w:hyperlink>
    </w:p>
    <w:p>
      <w:pPr>
        <w:spacing w:line="220" w:lineRule="auto" w:before="5"/>
        <w:ind w:left="436" w:right="914" w:firstLine="0"/>
        <w:jc w:val="left"/>
        <w:rPr>
          <w:sz w:val="16"/>
        </w:rPr>
      </w:pPr>
      <w:hyperlink w:history="true" w:anchor="_bookmark60">
        <w:r>
          <w:rPr>
            <w:color w:val="231F20"/>
            <w:sz w:val="16"/>
          </w:rPr>
          <w:t>editing a link definition</w:t>
        </w:r>
        <w:r>
          <w:rPr>
            <w:color w:val="231F20"/>
            <w:spacing w:val="80"/>
            <w:sz w:val="16"/>
          </w:rPr>
          <w:t> </w:t>
        </w:r>
        <w:r>
          <w:rPr>
            <w:color w:val="231F20"/>
            <w:sz w:val="16"/>
          </w:rPr>
          <w:t>76</w:t>
        </w:r>
      </w:hyperlink>
      <w:r>
        <w:rPr>
          <w:color w:val="231F20"/>
          <w:spacing w:val="40"/>
          <w:sz w:val="16"/>
        </w:rPr>
        <w:t> </w:t>
      </w:r>
      <w:hyperlink w:history="true" w:anchor="_bookmark30">
        <w:r>
          <w:rPr>
            <w:color w:val="231F20"/>
            <w:sz w:val="16"/>
          </w:rPr>
          <w:t>open</w:t>
        </w:r>
        <w:r>
          <w:rPr>
            <w:color w:val="231F20"/>
            <w:spacing w:val="80"/>
            <w:sz w:val="16"/>
          </w:rPr>
          <w:t> </w:t>
        </w:r>
        <w:r>
          <w:rPr>
            <w:color w:val="231F20"/>
            <w:sz w:val="16"/>
          </w:rPr>
          <w:t>40</w:t>
        </w:r>
      </w:hyperlink>
    </w:p>
    <w:p>
      <w:pPr>
        <w:spacing w:line="220" w:lineRule="auto" w:before="2"/>
        <w:ind w:left="197" w:right="2185" w:firstLine="239"/>
        <w:jc w:val="left"/>
        <w:rPr>
          <w:sz w:val="16"/>
        </w:rPr>
      </w:pPr>
      <w:hyperlink w:history="true" w:anchor="_bookmark60">
        <w:r>
          <w:rPr>
            <w:color w:val="231F20"/>
            <w:sz w:val="16"/>
          </w:rPr>
          <w:t>testing</w:t>
        </w:r>
        <w:r>
          <w:rPr>
            <w:color w:val="231F20"/>
            <w:spacing w:val="80"/>
            <w:sz w:val="16"/>
          </w:rPr>
          <w:t> </w:t>
        </w:r>
        <w:r>
          <w:rPr>
            <w:color w:val="231F20"/>
            <w:sz w:val="16"/>
          </w:rPr>
          <w:t>76</w:t>
        </w:r>
      </w:hyperlink>
      <w:r>
        <w:rPr>
          <w:color w:val="231F20"/>
          <w:spacing w:val="40"/>
          <w:sz w:val="16"/>
        </w:rPr>
        <w:t> </w:t>
      </w:r>
      <w:r>
        <w:rPr>
          <w:color w:val="231F20"/>
          <w:sz w:val="16"/>
        </w:rPr>
        <w:t>link wizard</w:t>
      </w:r>
    </w:p>
    <w:p>
      <w:pPr>
        <w:spacing w:line="220" w:lineRule="auto" w:before="2"/>
        <w:ind w:left="197" w:right="1807" w:firstLine="239"/>
        <w:jc w:val="left"/>
        <w:rPr>
          <w:sz w:val="16"/>
        </w:rPr>
      </w:pPr>
      <w:hyperlink w:history="true" w:anchor="_bookmark59">
        <w:r>
          <w:rPr>
            <w:color w:val="231F20"/>
            <w:sz w:val="16"/>
          </w:rPr>
          <w:t>create a link</w:t>
        </w:r>
        <w:r>
          <w:rPr>
            <w:color w:val="231F20"/>
            <w:spacing w:val="80"/>
            <w:sz w:val="16"/>
          </w:rPr>
          <w:t> </w:t>
        </w:r>
        <w:r>
          <w:rPr>
            <w:color w:val="231F20"/>
            <w:sz w:val="16"/>
          </w:rPr>
          <w:t>73</w:t>
        </w:r>
      </w:hyperlink>
      <w:r>
        <w:rPr>
          <w:color w:val="231F20"/>
          <w:spacing w:val="40"/>
          <w:sz w:val="16"/>
        </w:rPr>
        <w:t> </w:t>
      </w:r>
      <w:r>
        <w:rPr>
          <w:color w:val="231F20"/>
          <w:sz w:val="16"/>
        </w:rPr>
        <w:t>link workspaces</w:t>
      </w:r>
    </w:p>
    <w:p>
      <w:pPr>
        <w:spacing w:line="220" w:lineRule="auto" w:before="2"/>
        <w:ind w:left="197" w:right="1768" w:firstLine="239"/>
        <w:jc w:val="left"/>
        <w:rPr>
          <w:sz w:val="16"/>
        </w:rPr>
      </w:pPr>
      <w:hyperlink w:history="true" w:anchor="_bookmark62">
        <w:r>
          <w:rPr>
            <w:color w:val="231F20"/>
            <w:sz w:val="16"/>
          </w:rPr>
          <w:t>examples</w:t>
        </w:r>
        <w:r>
          <w:rPr>
            <w:color w:val="231F20"/>
            <w:spacing w:val="80"/>
            <w:sz w:val="16"/>
          </w:rPr>
          <w:t> </w:t>
        </w:r>
        <w:r>
          <w:rPr>
            <w:color w:val="231F20"/>
            <w:sz w:val="16"/>
          </w:rPr>
          <w:t>78</w:t>
        </w:r>
      </w:hyperlink>
      <w:r>
        <w:rPr>
          <w:color w:val="231F20"/>
          <w:spacing w:val="40"/>
          <w:sz w:val="16"/>
        </w:rPr>
        <w:t> </w:t>
      </w:r>
      <w:r>
        <w:rPr>
          <w:color w:val="231F20"/>
          <w:sz w:val="16"/>
        </w:rPr>
        <w:t>logical</w:t>
      </w:r>
      <w:r>
        <w:rPr>
          <w:color w:val="231F20"/>
          <w:spacing w:val="-6"/>
          <w:sz w:val="16"/>
        </w:rPr>
        <w:t> </w:t>
      </w:r>
      <w:r>
        <w:rPr>
          <w:color w:val="231F20"/>
          <w:sz w:val="16"/>
        </w:rPr>
        <w:t>navigator</w:t>
      </w:r>
      <w:r>
        <w:rPr>
          <w:color w:val="231F20"/>
          <w:spacing w:val="-6"/>
          <w:sz w:val="16"/>
        </w:rPr>
        <w:t> </w:t>
      </w:r>
      <w:r>
        <w:rPr>
          <w:color w:val="231F20"/>
          <w:sz w:val="16"/>
        </w:rPr>
        <w:t>views</w:t>
      </w:r>
    </w:p>
    <w:p>
      <w:pPr>
        <w:spacing w:line="204" w:lineRule="exact" w:before="0"/>
        <w:ind w:left="436" w:right="0" w:firstLine="0"/>
        <w:jc w:val="left"/>
        <w:rPr>
          <w:sz w:val="16"/>
        </w:rPr>
      </w:pPr>
      <w:hyperlink w:history="true" w:anchor="_bookmark167">
        <w:r>
          <w:rPr>
            <w:rFonts w:ascii="Book Antiqua"/>
            <w:i/>
            <w:color w:val="231F20"/>
            <w:sz w:val="16"/>
          </w:rPr>
          <w:t>See</w:t>
        </w:r>
        <w:r>
          <w:rPr>
            <w:rFonts w:ascii="Book Antiqua"/>
            <w:i/>
            <w:color w:val="231F20"/>
            <w:spacing w:val="8"/>
            <w:sz w:val="16"/>
          </w:rPr>
          <w:t> </w:t>
        </w:r>
        <w:r>
          <w:rPr>
            <w:color w:val="231F20"/>
            <w:sz w:val="16"/>
          </w:rPr>
          <w:t>custom</w:t>
        </w:r>
        <w:r>
          <w:rPr>
            <w:color w:val="231F20"/>
            <w:spacing w:val="8"/>
            <w:sz w:val="16"/>
          </w:rPr>
          <w:t> </w:t>
        </w:r>
        <w:r>
          <w:rPr>
            <w:color w:val="231F20"/>
            <w:sz w:val="16"/>
          </w:rPr>
          <w:t>navigator</w:t>
        </w:r>
        <w:r>
          <w:rPr>
            <w:color w:val="231F20"/>
            <w:spacing w:val="8"/>
            <w:sz w:val="16"/>
          </w:rPr>
          <w:t> </w:t>
        </w:r>
        <w:r>
          <w:rPr>
            <w:color w:val="231F20"/>
            <w:spacing w:val="-2"/>
            <w:sz w:val="16"/>
          </w:rPr>
          <w:t>views</w:t>
        </w:r>
      </w:hyperlink>
    </w:p>
    <w:p>
      <w:pPr>
        <w:pStyle w:val="BodyText"/>
        <w:spacing w:before="105"/>
        <w:rPr>
          <w:sz w:val="16"/>
        </w:rPr>
      </w:pPr>
    </w:p>
    <w:p>
      <w:pPr>
        <w:pStyle w:val="Heading1"/>
      </w:pPr>
      <w:bookmarkStart w:name="M" w:id="761"/>
      <w:bookmarkEnd w:id="761"/>
      <w:r>
        <w:rPr>
          <w:b w:val="0"/>
        </w:rPr>
      </w:r>
      <w:r>
        <w:rPr>
          <w:color w:val="231F20"/>
          <w:spacing w:val="-10"/>
        </w:rPr>
        <w:t>M</w:t>
      </w:r>
    </w:p>
    <w:p>
      <w:pPr>
        <w:spacing w:line="205" w:lineRule="exact" w:before="0"/>
        <w:ind w:left="197" w:right="0" w:firstLine="0"/>
        <w:jc w:val="left"/>
        <w:rPr>
          <w:sz w:val="16"/>
        </w:rPr>
      </w:pPr>
      <w:r>
        <w:rPr>
          <w:color w:val="231F20"/>
          <w:spacing w:val="-2"/>
          <w:sz w:val="16"/>
        </w:rPr>
        <w:t>manage</w:t>
      </w:r>
    </w:p>
    <w:p>
      <w:pPr>
        <w:spacing w:line="220" w:lineRule="auto" w:before="5"/>
        <w:ind w:left="556" w:right="433" w:hanging="120"/>
        <w:jc w:val="left"/>
        <w:rPr>
          <w:sz w:val="16"/>
        </w:rPr>
      </w:pPr>
      <w:hyperlink w:history="true" w:anchor="_bookmark305">
        <w:r>
          <w:rPr>
            <w:color w:val="231F20"/>
            <w:sz w:val="16"/>
          </w:rPr>
          <w:t>Tivoli</w:t>
        </w:r>
        <w:r>
          <w:rPr>
            <w:color w:val="231F20"/>
            <w:spacing w:val="-4"/>
            <w:sz w:val="16"/>
          </w:rPr>
          <w:t> </w:t>
        </w:r>
        <w:r>
          <w:rPr>
            <w:color w:val="231F20"/>
            <w:sz w:val="16"/>
          </w:rPr>
          <w:t>Enterprise</w:t>
        </w:r>
        <w:r>
          <w:rPr>
            <w:color w:val="231F20"/>
            <w:spacing w:val="-4"/>
            <w:sz w:val="16"/>
          </w:rPr>
          <w:t> </w:t>
        </w:r>
        <w:r>
          <w:rPr>
            <w:color w:val="231F20"/>
            <w:sz w:val="16"/>
          </w:rPr>
          <w:t>Monitoring</w:t>
        </w:r>
        <w:r>
          <w:rPr>
            <w:color w:val="231F20"/>
            <w:spacing w:val="-4"/>
            <w:sz w:val="16"/>
          </w:rPr>
          <w:t> </w:t>
        </w:r>
        <w:r>
          <w:rPr>
            <w:color w:val="231F20"/>
            <w:sz w:val="16"/>
          </w:rPr>
          <w:t>Server</w:t>
        </w:r>
      </w:hyperlink>
      <w:r>
        <w:rPr>
          <w:color w:val="231F20"/>
          <w:spacing w:val="40"/>
          <w:sz w:val="16"/>
        </w:rPr>
        <w:t> </w:t>
      </w:r>
      <w:hyperlink w:history="true" w:anchor="_bookmark305">
        <w:r>
          <w:rPr>
            <w:color w:val="231F20"/>
            <w:sz w:val="16"/>
          </w:rPr>
          <w:t>situations</w:t>
        </w:r>
        <w:r>
          <w:rPr>
            <w:color w:val="231F20"/>
            <w:spacing w:val="80"/>
            <w:sz w:val="16"/>
          </w:rPr>
          <w:t> </w:t>
        </w:r>
        <w:r>
          <w:rPr>
            <w:color w:val="231F20"/>
            <w:sz w:val="16"/>
          </w:rPr>
          <w:t>395</w:t>
        </w:r>
      </w:hyperlink>
    </w:p>
    <w:p>
      <w:pPr>
        <w:spacing w:line="220" w:lineRule="auto" w:before="2"/>
        <w:ind w:left="317" w:right="826" w:hanging="120"/>
        <w:jc w:val="left"/>
        <w:rPr>
          <w:sz w:val="16"/>
        </w:rPr>
      </w:pPr>
      <w:hyperlink w:history="true" w:anchor="_bookmark304">
        <w:r>
          <w:rPr>
            <w:color w:val="231F20"/>
            <w:sz w:val="16"/>
          </w:rPr>
          <w:t>manage</w:t>
        </w:r>
        <w:r>
          <w:rPr>
            <w:color w:val="231F20"/>
            <w:spacing w:val="-6"/>
            <w:sz w:val="16"/>
          </w:rPr>
          <w:t> </w:t>
        </w:r>
        <w:r>
          <w:rPr>
            <w:color w:val="231F20"/>
            <w:sz w:val="16"/>
          </w:rPr>
          <w:t>monitoring</w:t>
        </w:r>
        <w:r>
          <w:rPr>
            <w:color w:val="231F20"/>
            <w:spacing w:val="-6"/>
            <w:sz w:val="16"/>
          </w:rPr>
          <w:t> </w:t>
        </w:r>
        <w:r>
          <w:rPr>
            <w:color w:val="231F20"/>
            <w:sz w:val="16"/>
          </w:rPr>
          <w:t>server</w:t>
        </w:r>
      </w:hyperlink>
      <w:r>
        <w:rPr>
          <w:color w:val="231F20"/>
          <w:spacing w:val="40"/>
          <w:sz w:val="16"/>
        </w:rPr>
        <w:t> </w:t>
      </w:r>
      <w:hyperlink w:history="true" w:anchor="_bookmark304">
        <w:r>
          <w:rPr>
            <w:color w:val="231F20"/>
            <w:sz w:val="16"/>
          </w:rPr>
          <w:t>workspace</w:t>
        </w:r>
        <w:r>
          <w:rPr>
            <w:color w:val="231F20"/>
            <w:spacing w:val="80"/>
            <w:sz w:val="16"/>
          </w:rPr>
          <w:t> </w:t>
        </w:r>
        <w:r>
          <w:rPr>
            <w:color w:val="231F20"/>
            <w:sz w:val="16"/>
          </w:rPr>
          <w:t>394</w:t>
        </w:r>
      </w:hyperlink>
    </w:p>
    <w:p>
      <w:pPr>
        <w:spacing w:line="220" w:lineRule="auto" w:before="2"/>
        <w:ind w:left="436" w:right="1990" w:hanging="240"/>
        <w:jc w:val="left"/>
        <w:rPr>
          <w:sz w:val="16"/>
        </w:rPr>
      </w:pPr>
      <w:r>
        <w:rPr>
          <w:color w:val="231F20"/>
          <w:sz w:val="16"/>
        </w:rPr>
        <w:t>managed system</w:t>
      </w:r>
      <w:r>
        <w:rPr>
          <w:color w:val="231F20"/>
          <w:spacing w:val="40"/>
          <w:sz w:val="16"/>
        </w:rPr>
        <w:t> </w:t>
      </w:r>
      <w:hyperlink w:history="true" w:anchor="_bookmark302">
        <w:r>
          <w:rPr>
            <w:color w:val="231F20"/>
            <w:sz w:val="16"/>
          </w:rPr>
          <w:t>add view</w:t>
        </w:r>
        <w:r>
          <w:rPr>
            <w:color w:val="231F20"/>
            <w:spacing w:val="80"/>
            <w:sz w:val="16"/>
          </w:rPr>
          <w:t> </w:t>
        </w:r>
        <w:r>
          <w:rPr>
            <w:color w:val="231F20"/>
            <w:sz w:val="16"/>
          </w:rPr>
          <w:t>392</w:t>
        </w:r>
      </w:hyperlink>
    </w:p>
    <w:p>
      <w:pPr>
        <w:spacing w:after="0" w:line="220" w:lineRule="auto"/>
        <w:jc w:val="left"/>
        <w:rPr>
          <w:sz w:val="16"/>
        </w:rPr>
        <w:sectPr>
          <w:footerReference w:type="even" r:id="rId534"/>
          <w:footerReference w:type="default" r:id="rId535"/>
          <w:pgSz w:w="12240" w:h="15840"/>
          <w:pgMar w:header="0" w:footer="736" w:top="1200" w:bottom="920" w:left="1000" w:right="1060"/>
          <w:pgNumType w:start="468"/>
          <w:cols w:num="3" w:equalWidth="0">
            <w:col w:w="2947" w:space="326"/>
            <w:col w:w="2868" w:space="405"/>
            <w:col w:w="3634"/>
          </w:cols>
        </w:sectPr>
      </w:pPr>
    </w:p>
    <w:p>
      <w:pPr>
        <w:spacing w:line="220" w:lineRule="auto" w:before="67"/>
        <w:ind w:left="676" w:right="906" w:hanging="240"/>
        <w:jc w:val="left"/>
        <w:rPr>
          <w:sz w:val="16"/>
        </w:rPr>
      </w:pPr>
      <w:r>
        <w:rPr>
          <w:color w:val="231F20"/>
          <w:sz w:val="16"/>
        </w:rPr>
        <w:t>managed</w:t>
      </w:r>
      <w:r>
        <w:rPr>
          <w:color w:val="231F20"/>
          <w:spacing w:val="-4"/>
          <w:sz w:val="16"/>
        </w:rPr>
        <w:t> </w:t>
      </w:r>
      <w:r>
        <w:rPr>
          <w:color w:val="231F20"/>
          <w:sz w:val="16"/>
        </w:rPr>
        <w:t>system</w:t>
      </w:r>
      <w:r>
        <w:rPr>
          <w:color w:val="231F20"/>
          <w:spacing w:val="14"/>
          <w:sz w:val="16"/>
        </w:rPr>
        <w:t> </w:t>
      </w:r>
      <w:r>
        <w:rPr>
          <w:rFonts w:ascii="Book Antiqua"/>
          <w:i/>
          <w:color w:val="231F20"/>
          <w:sz w:val="16"/>
        </w:rPr>
        <w:t>(continued)</w:t>
      </w:r>
      <w:r>
        <w:rPr>
          <w:rFonts w:ascii="Book Antiqua"/>
          <w:i/>
          <w:color w:val="231F20"/>
          <w:spacing w:val="40"/>
          <w:sz w:val="16"/>
        </w:rPr>
        <w:t> </w:t>
      </w:r>
      <w:hyperlink w:history="true" w:anchor="_bookmark292">
        <w:r>
          <w:rPr>
            <w:color w:val="231F20"/>
            <w:sz w:val="16"/>
          </w:rPr>
          <w:t>copying a list</w:t>
        </w:r>
        <w:r>
          <w:rPr>
            <w:color w:val="231F20"/>
            <w:spacing w:val="80"/>
            <w:sz w:val="16"/>
          </w:rPr>
          <w:t> </w:t>
        </w:r>
        <w:r>
          <w:rPr>
            <w:color w:val="231F20"/>
            <w:sz w:val="16"/>
          </w:rPr>
          <w:t>384</w:t>
        </w:r>
      </w:hyperlink>
      <w:r>
        <w:rPr>
          <w:color w:val="231F20"/>
          <w:spacing w:val="40"/>
          <w:sz w:val="16"/>
        </w:rPr>
        <w:t> </w:t>
      </w:r>
      <w:hyperlink w:history="true" w:anchor="_bookmark291">
        <w:r>
          <w:rPr>
            <w:color w:val="231F20"/>
            <w:sz w:val="16"/>
          </w:rPr>
          <w:t>creating a list</w:t>
        </w:r>
        <w:r>
          <w:rPr>
            <w:color w:val="231F20"/>
            <w:spacing w:val="80"/>
            <w:sz w:val="16"/>
          </w:rPr>
          <w:t> </w:t>
        </w:r>
        <w:r>
          <w:rPr>
            <w:color w:val="231F20"/>
            <w:sz w:val="16"/>
          </w:rPr>
          <w:t>383</w:t>
        </w:r>
      </w:hyperlink>
      <w:r>
        <w:rPr>
          <w:color w:val="231F20"/>
          <w:spacing w:val="40"/>
          <w:sz w:val="16"/>
        </w:rPr>
        <w:t> </w:t>
      </w:r>
      <w:hyperlink w:history="true" w:anchor="_bookmark293">
        <w:r>
          <w:rPr>
            <w:color w:val="231F20"/>
            <w:sz w:val="16"/>
          </w:rPr>
          <w:t>deleting lists</w:t>
        </w:r>
        <w:r>
          <w:rPr>
            <w:color w:val="231F20"/>
            <w:spacing w:val="80"/>
            <w:sz w:val="16"/>
          </w:rPr>
          <w:t> </w:t>
        </w:r>
        <w:r>
          <w:rPr>
            <w:color w:val="231F20"/>
            <w:sz w:val="16"/>
          </w:rPr>
          <w:t>385</w:t>
        </w:r>
      </w:hyperlink>
      <w:r>
        <w:rPr>
          <w:color w:val="231F20"/>
          <w:spacing w:val="40"/>
          <w:sz w:val="16"/>
        </w:rPr>
        <w:t> </w:t>
      </w:r>
      <w:hyperlink w:history="true" w:anchor="_bookmark293">
        <w:r>
          <w:rPr>
            <w:color w:val="231F20"/>
            <w:sz w:val="16"/>
          </w:rPr>
          <w:t>editing a list</w:t>
        </w:r>
        <w:r>
          <w:rPr>
            <w:color w:val="231F20"/>
            <w:spacing w:val="80"/>
            <w:sz w:val="16"/>
          </w:rPr>
          <w:t> </w:t>
        </w:r>
        <w:r>
          <w:rPr>
            <w:color w:val="231F20"/>
            <w:sz w:val="16"/>
          </w:rPr>
          <w:t>385</w:t>
        </w:r>
      </w:hyperlink>
    </w:p>
    <w:p>
      <w:pPr>
        <w:spacing w:line="220" w:lineRule="auto" w:before="5"/>
        <w:ind w:left="915" w:right="0" w:hanging="240"/>
        <w:jc w:val="left"/>
        <w:rPr>
          <w:sz w:val="16"/>
        </w:rPr>
      </w:pPr>
      <w:hyperlink w:history="true" w:anchor="_bookmark303">
        <w:r>
          <w:rPr>
            <w:color w:val="231F20"/>
            <w:sz w:val="16"/>
          </w:rPr>
          <w:t>EIB Change Log workspace</w:t>
        </w:r>
        <w:r>
          <w:rPr>
            <w:color w:val="231F20"/>
            <w:spacing w:val="80"/>
            <w:sz w:val="16"/>
          </w:rPr>
          <w:t> </w:t>
        </w:r>
        <w:r>
          <w:rPr>
            <w:color w:val="231F20"/>
            <w:sz w:val="16"/>
          </w:rPr>
          <w:t>393</w:t>
        </w:r>
      </w:hyperlink>
      <w:r>
        <w:rPr>
          <w:color w:val="231F20"/>
          <w:spacing w:val="40"/>
          <w:sz w:val="16"/>
        </w:rPr>
        <w:t> </w:t>
      </w:r>
      <w:hyperlink w:history="true" w:anchor="_bookmark302">
        <w:r>
          <w:rPr>
            <w:color w:val="231F20"/>
            <w:sz w:val="16"/>
          </w:rPr>
          <w:t>accessing</w:t>
        </w:r>
        <w:r>
          <w:rPr>
            <w:color w:val="231F20"/>
            <w:spacing w:val="9"/>
            <w:sz w:val="16"/>
          </w:rPr>
          <w:t> </w:t>
        </w:r>
        <w:r>
          <w:rPr>
            <w:color w:val="231F20"/>
            <w:sz w:val="16"/>
          </w:rPr>
          <w:t>the</w:t>
        </w:r>
        <w:r>
          <w:rPr>
            <w:color w:val="231F20"/>
            <w:spacing w:val="10"/>
            <w:sz w:val="16"/>
          </w:rPr>
          <w:t> </w:t>
        </w:r>
        <w:r>
          <w:rPr>
            <w:color w:val="231F20"/>
            <w:sz w:val="16"/>
          </w:rPr>
          <w:t>workspace</w:t>
        </w:r>
        <w:r>
          <w:rPr>
            <w:color w:val="231F20"/>
            <w:spacing w:val="34"/>
            <w:sz w:val="16"/>
          </w:rPr>
          <w:t>  </w:t>
        </w:r>
        <w:r>
          <w:rPr>
            <w:color w:val="231F20"/>
            <w:spacing w:val="-5"/>
            <w:sz w:val="16"/>
          </w:rPr>
          <w:t>392</w:t>
        </w:r>
      </w:hyperlink>
    </w:p>
    <w:p>
      <w:pPr>
        <w:spacing w:line="196" w:lineRule="exact" w:before="0"/>
        <w:ind w:left="676" w:right="0" w:firstLine="0"/>
        <w:jc w:val="left"/>
        <w:rPr>
          <w:sz w:val="16"/>
        </w:rPr>
      </w:pPr>
      <w:hyperlink w:history="true" w:anchor="_bookmark296">
        <w:r>
          <w:rPr>
            <w:color w:val="231F20"/>
            <w:sz w:val="16"/>
          </w:rPr>
          <w:t>monitoring</w:t>
        </w:r>
        <w:r>
          <w:rPr>
            <w:color w:val="231F20"/>
            <w:spacing w:val="9"/>
            <w:sz w:val="16"/>
          </w:rPr>
          <w:t> </w:t>
        </w:r>
        <w:r>
          <w:rPr>
            <w:color w:val="231F20"/>
            <w:sz w:val="16"/>
          </w:rPr>
          <w:t>status</w:t>
        </w:r>
        <w:r>
          <w:rPr>
            <w:color w:val="231F20"/>
            <w:spacing w:val="35"/>
            <w:sz w:val="16"/>
          </w:rPr>
          <w:t>  </w:t>
        </w:r>
        <w:r>
          <w:rPr>
            <w:color w:val="231F20"/>
            <w:spacing w:val="-5"/>
            <w:sz w:val="16"/>
          </w:rPr>
          <w:t>388</w:t>
        </w:r>
      </w:hyperlink>
    </w:p>
    <w:p>
      <w:pPr>
        <w:spacing w:line="200" w:lineRule="exact" w:before="0"/>
        <w:ind w:left="676" w:right="0" w:firstLine="0"/>
        <w:jc w:val="left"/>
        <w:rPr>
          <w:sz w:val="16"/>
        </w:rPr>
      </w:pPr>
      <w:hyperlink w:history="true" w:anchor="_bookmark291">
        <w:r>
          <w:rPr>
            <w:color w:val="231F20"/>
            <w:sz w:val="16"/>
          </w:rPr>
          <w:t>predefined</w:t>
        </w:r>
        <w:r>
          <w:rPr>
            <w:color w:val="231F20"/>
            <w:spacing w:val="8"/>
            <w:sz w:val="16"/>
          </w:rPr>
          <w:t> </w:t>
        </w:r>
        <w:r>
          <w:rPr>
            <w:color w:val="231F20"/>
            <w:sz w:val="16"/>
          </w:rPr>
          <w:t>groups</w:t>
        </w:r>
        <w:r>
          <w:rPr>
            <w:color w:val="231F20"/>
            <w:spacing w:val="32"/>
            <w:sz w:val="16"/>
          </w:rPr>
          <w:t>  </w:t>
        </w:r>
        <w:r>
          <w:rPr>
            <w:color w:val="231F20"/>
            <w:spacing w:val="-5"/>
            <w:sz w:val="16"/>
          </w:rPr>
          <w:t>383</w:t>
        </w:r>
      </w:hyperlink>
    </w:p>
    <w:p>
      <w:pPr>
        <w:spacing w:line="200" w:lineRule="exact" w:before="0"/>
        <w:ind w:left="676" w:right="0" w:firstLine="0"/>
        <w:jc w:val="left"/>
        <w:rPr>
          <w:sz w:val="16"/>
        </w:rPr>
      </w:pPr>
      <w:hyperlink w:history="true" w:anchor="_bookmark314">
        <w:r>
          <w:rPr>
            <w:color w:val="231F20"/>
            <w:sz w:val="16"/>
          </w:rPr>
          <w:t>removing</w:t>
        </w:r>
        <w:r>
          <w:rPr>
            <w:color w:val="231F20"/>
            <w:spacing w:val="34"/>
            <w:sz w:val="16"/>
          </w:rPr>
          <w:t>  </w:t>
        </w:r>
        <w:r>
          <w:rPr>
            <w:color w:val="231F20"/>
            <w:spacing w:val="-5"/>
            <w:sz w:val="16"/>
          </w:rPr>
          <w:t>405</w:t>
        </w:r>
      </w:hyperlink>
    </w:p>
    <w:p>
      <w:pPr>
        <w:spacing w:line="220" w:lineRule="auto" w:before="5"/>
        <w:ind w:left="915" w:right="20" w:hanging="240"/>
        <w:jc w:val="left"/>
        <w:rPr>
          <w:sz w:val="16"/>
        </w:rPr>
      </w:pPr>
      <w:r>
        <w:rPr>
          <w:color w:val="231F20"/>
          <w:sz w:val="16"/>
        </w:rPr>
        <w:t>Self-Monitoring</w:t>
      </w:r>
      <w:r>
        <w:rPr>
          <w:color w:val="231F20"/>
          <w:spacing w:val="-6"/>
          <w:sz w:val="16"/>
        </w:rPr>
        <w:t> </w:t>
      </w:r>
      <w:r>
        <w:rPr>
          <w:color w:val="231F20"/>
          <w:sz w:val="16"/>
        </w:rPr>
        <w:t>Topology</w:t>
      </w:r>
      <w:r>
        <w:rPr>
          <w:color w:val="231F20"/>
          <w:spacing w:val="-6"/>
          <w:sz w:val="16"/>
        </w:rPr>
        <w:t> </w:t>
      </w:r>
      <w:r>
        <w:rPr>
          <w:color w:val="231F20"/>
          <w:sz w:val="16"/>
        </w:rPr>
        <w:t>workspace</w:t>
      </w:r>
      <w:r>
        <w:rPr>
          <w:color w:val="231F20"/>
          <w:spacing w:val="40"/>
          <w:sz w:val="16"/>
        </w:rPr>
        <w:t> </w:t>
      </w:r>
      <w:hyperlink w:history="true" w:anchor="_bookmark303">
        <w:r>
          <w:rPr>
            <w:color w:val="231F20"/>
            <w:sz w:val="16"/>
          </w:rPr>
          <w:t>accessing the workspace</w:t>
        </w:r>
        <w:r>
          <w:rPr>
            <w:color w:val="231F20"/>
            <w:spacing w:val="80"/>
            <w:sz w:val="16"/>
          </w:rPr>
          <w:t> </w:t>
        </w:r>
        <w:r>
          <w:rPr>
            <w:color w:val="231F20"/>
            <w:sz w:val="16"/>
          </w:rPr>
          <w:t>393</w:t>
        </w:r>
      </w:hyperlink>
      <w:r>
        <w:rPr>
          <w:color w:val="231F20"/>
          <w:spacing w:val="40"/>
          <w:sz w:val="16"/>
        </w:rPr>
        <w:t> </w:t>
      </w:r>
      <w:hyperlink w:history="true" w:anchor="_bookmark303">
        <w:r>
          <w:rPr>
            <w:color w:val="231F20"/>
            <w:sz w:val="16"/>
          </w:rPr>
          <w:t>what the workspace shows</w:t>
        </w:r>
        <w:r>
          <w:rPr>
            <w:color w:val="231F20"/>
            <w:spacing w:val="80"/>
            <w:sz w:val="16"/>
          </w:rPr>
          <w:t> </w:t>
        </w:r>
        <w:r>
          <w:rPr>
            <w:color w:val="231F20"/>
            <w:sz w:val="16"/>
          </w:rPr>
          <w:t>393</w:t>
        </w:r>
      </w:hyperlink>
    </w:p>
    <w:p>
      <w:pPr>
        <w:spacing w:line="220" w:lineRule="auto" w:before="3"/>
        <w:ind w:left="436" w:right="789" w:firstLine="239"/>
        <w:jc w:val="left"/>
        <w:rPr>
          <w:sz w:val="16"/>
        </w:rPr>
      </w:pPr>
      <w:hyperlink w:history="true" w:anchor="_bookmark296">
        <w:r>
          <w:rPr>
            <w:color w:val="231F20"/>
            <w:sz w:val="16"/>
          </w:rPr>
          <w:t>status workspace</w:t>
        </w:r>
        <w:r>
          <w:rPr>
            <w:color w:val="231F20"/>
            <w:spacing w:val="80"/>
            <w:sz w:val="16"/>
          </w:rPr>
          <w:t> </w:t>
        </w:r>
        <w:r>
          <w:rPr>
            <w:color w:val="231F20"/>
            <w:sz w:val="16"/>
          </w:rPr>
          <w:t>388</w:t>
        </w:r>
      </w:hyperlink>
      <w:r>
        <w:rPr>
          <w:color w:val="231F20"/>
          <w:spacing w:val="40"/>
          <w:sz w:val="16"/>
        </w:rPr>
        <w:t> </w:t>
      </w:r>
      <w:hyperlink w:history="true" w:anchor="_bookmark291">
        <w:r>
          <w:rPr>
            <w:color w:val="231F20"/>
            <w:sz w:val="16"/>
          </w:rPr>
          <w:t>managed system groups</w:t>
        </w:r>
        <w:r>
          <w:rPr>
            <w:color w:val="231F20"/>
            <w:spacing w:val="80"/>
            <w:sz w:val="16"/>
          </w:rPr>
          <w:t> </w:t>
        </w:r>
        <w:r>
          <w:rPr>
            <w:color w:val="231F20"/>
            <w:sz w:val="16"/>
          </w:rPr>
          <w:t>383</w:t>
        </w:r>
      </w:hyperlink>
    </w:p>
    <w:p>
      <w:pPr>
        <w:spacing w:line="196" w:lineRule="exact" w:before="0"/>
        <w:ind w:left="676" w:right="0" w:firstLine="0"/>
        <w:jc w:val="left"/>
        <w:rPr>
          <w:sz w:val="16"/>
        </w:rPr>
      </w:pPr>
      <w:hyperlink w:history="true" w:anchor="_bookmark292">
        <w:r>
          <w:rPr>
            <w:color w:val="231F20"/>
            <w:sz w:val="16"/>
          </w:rPr>
          <w:t>copying</w:t>
        </w:r>
        <w:r>
          <w:rPr>
            <w:color w:val="231F20"/>
            <w:spacing w:val="36"/>
            <w:sz w:val="16"/>
          </w:rPr>
          <w:t>  </w:t>
        </w:r>
        <w:r>
          <w:rPr>
            <w:color w:val="231F20"/>
            <w:spacing w:val="-5"/>
            <w:sz w:val="16"/>
          </w:rPr>
          <w:t>384</w:t>
        </w:r>
      </w:hyperlink>
    </w:p>
    <w:p>
      <w:pPr>
        <w:spacing w:line="200" w:lineRule="exact" w:before="0"/>
        <w:ind w:left="676" w:right="0" w:firstLine="0"/>
        <w:jc w:val="left"/>
        <w:rPr>
          <w:sz w:val="16"/>
        </w:rPr>
      </w:pPr>
      <w:hyperlink w:history="true" w:anchor="_bookmark291">
        <w:r>
          <w:rPr>
            <w:color w:val="231F20"/>
            <w:sz w:val="16"/>
          </w:rPr>
          <w:t>creating</w:t>
        </w:r>
        <w:r>
          <w:rPr>
            <w:color w:val="231F20"/>
            <w:spacing w:val="35"/>
            <w:sz w:val="16"/>
          </w:rPr>
          <w:t>  </w:t>
        </w:r>
        <w:r>
          <w:rPr>
            <w:color w:val="231F20"/>
            <w:spacing w:val="-5"/>
            <w:sz w:val="16"/>
          </w:rPr>
          <w:t>383</w:t>
        </w:r>
      </w:hyperlink>
    </w:p>
    <w:p>
      <w:pPr>
        <w:spacing w:line="200" w:lineRule="exact" w:before="0"/>
        <w:ind w:left="676" w:right="0" w:firstLine="0"/>
        <w:jc w:val="left"/>
        <w:rPr>
          <w:sz w:val="16"/>
        </w:rPr>
      </w:pPr>
      <w:hyperlink w:history="true" w:anchor="_bookmark293">
        <w:r>
          <w:rPr>
            <w:color w:val="231F20"/>
            <w:sz w:val="16"/>
          </w:rPr>
          <w:t>deleting</w:t>
        </w:r>
        <w:r>
          <w:rPr>
            <w:color w:val="231F20"/>
            <w:spacing w:val="36"/>
            <w:sz w:val="16"/>
          </w:rPr>
          <w:t>  </w:t>
        </w:r>
        <w:r>
          <w:rPr>
            <w:color w:val="231F20"/>
            <w:spacing w:val="-5"/>
            <w:sz w:val="16"/>
          </w:rPr>
          <w:t>385</w:t>
        </w:r>
      </w:hyperlink>
    </w:p>
    <w:p>
      <w:pPr>
        <w:spacing w:line="200" w:lineRule="exact" w:before="0"/>
        <w:ind w:left="676" w:right="0" w:firstLine="0"/>
        <w:jc w:val="left"/>
        <w:rPr>
          <w:sz w:val="16"/>
        </w:rPr>
      </w:pPr>
      <w:hyperlink w:history="true" w:anchor="_bookmark293">
        <w:r>
          <w:rPr>
            <w:color w:val="231F20"/>
            <w:sz w:val="16"/>
          </w:rPr>
          <w:t>editing</w:t>
        </w:r>
        <w:r>
          <w:rPr>
            <w:color w:val="231F20"/>
            <w:spacing w:val="35"/>
            <w:sz w:val="16"/>
          </w:rPr>
          <w:t>  </w:t>
        </w:r>
        <w:r>
          <w:rPr>
            <w:color w:val="231F20"/>
            <w:spacing w:val="-5"/>
            <w:sz w:val="16"/>
          </w:rPr>
          <w:t>385</w:t>
        </w:r>
      </w:hyperlink>
    </w:p>
    <w:p>
      <w:pPr>
        <w:spacing w:line="220" w:lineRule="auto" w:before="5"/>
        <w:ind w:left="436" w:right="789" w:firstLine="239"/>
        <w:jc w:val="left"/>
        <w:rPr>
          <w:sz w:val="16"/>
        </w:rPr>
      </w:pPr>
      <w:hyperlink w:history="true" w:anchor="_bookmark8">
        <w:r>
          <w:rPr>
            <w:color w:val="231F20"/>
            <w:sz w:val="16"/>
          </w:rPr>
          <w:t>predefined</w:t>
        </w:r>
        <w:r>
          <w:rPr>
            <w:color w:val="231F20"/>
            <w:spacing w:val="80"/>
            <w:sz w:val="16"/>
          </w:rPr>
          <w:t> </w:t>
        </w:r>
        <w:r>
          <w:rPr>
            <w:color w:val="231F20"/>
            <w:sz w:val="16"/>
          </w:rPr>
          <w:t>13,</w:t>
        </w:r>
      </w:hyperlink>
      <w:r>
        <w:rPr>
          <w:color w:val="231F20"/>
          <w:sz w:val="16"/>
        </w:rPr>
        <w:t> </w:t>
      </w:r>
      <w:hyperlink w:history="true" w:anchor="_bookmark291">
        <w:r>
          <w:rPr>
            <w:color w:val="231F20"/>
            <w:sz w:val="16"/>
          </w:rPr>
          <w:t>383</w:t>
        </w:r>
      </w:hyperlink>
      <w:r>
        <w:rPr>
          <w:color w:val="231F20"/>
          <w:spacing w:val="40"/>
          <w:sz w:val="16"/>
        </w:rPr>
        <w:t> </w:t>
      </w:r>
      <w:r>
        <w:rPr>
          <w:color w:val="231F20"/>
          <w:sz w:val="16"/>
        </w:rPr>
        <w:t>managed system lists</w:t>
      </w:r>
    </w:p>
    <w:p>
      <w:pPr>
        <w:spacing w:line="220" w:lineRule="auto" w:before="2"/>
        <w:ind w:left="436" w:right="289" w:firstLine="239"/>
        <w:jc w:val="left"/>
        <w:rPr>
          <w:sz w:val="16"/>
        </w:rPr>
      </w:pPr>
      <w:hyperlink w:history="true" w:anchor="_bookmark291">
        <w:r>
          <w:rPr>
            <w:rFonts w:ascii="Book Antiqua"/>
            <w:i/>
            <w:color w:val="231F20"/>
            <w:sz w:val="16"/>
          </w:rPr>
          <w:t>See</w:t>
        </w:r>
        <w:r>
          <w:rPr>
            <w:rFonts w:ascii="Book Antiqua"/>
            <w:i/>
            <w:color w:val="231F20"/>
            <w:spacing w:val="-2"/>
            <w:sz w:val="16"/>
          </w:rPr>
          <w:t> </w:t>
        </w:r>
        <w:r>
          <w:rPr>
            <w:color w:val="231F20"/>
            <w:sz w:val="16"/>
          </w:rPr>
          <w:t>managed</w:t>
        </w:r>
        <w:r>
          <w:rPr>
            <w:color w:val="231F20"/>
            <w:spacing w:val="-2"/>
            <w:sz w:val="16"/>
          </w:rPr>
          <w:t> </w:t>
        </w:r>
        <w:r>
          <w:rPr>
            <w:color w:val="231F20"/>
            <w:sz w:val="16"/>
          </w:rPr>
          <w:t>system</w:t>
        </w:r>
        <w:r>
          <w:rPr>
            <w:color w:val="231F20"/>
            <w:spacing w:val="-2"/>
            <w:sz w:val="16"/>
          </w:rPr>
          <w:t> </w:t>
        </w:r>
        <w:r>
          <w:rPr>
            <w:color w:val="231F20"/>
            <w:sz w:val="16"/>
          </w:rPr>
          <w:t>groups</w:t>
        </w:r>
      </w:hyperlink>
      <w:r>
        <w:rPr>
          <w:color w:val="231F20"/>
          <w:spacing w:val="40"/>
          <w:sz w:val="16"/>
        </w:rPr>
        <w:t> </w:t>
      </w:r>
      <w:r>
        <w:rPr>
          <w:color w:val="231F20"/>
          <w:sz w:val="16"/>
        </w:rPr>
        <w:t>managed systems</w:t>
      </w:r>
    </w:p>
    <w:p>
      <w:pPr>
        <w:spacing w:line="196" w:lineRule="exact" w:before="0"/>
        <w:ind w:left="676" w:right="0" w:firstLine="0"/>
        <w:jc w:val="left"/>
        <w:rPr>
          <w:sz w:val="16"/>
        </w:rPr>
      </w:pPr>
      <w:hyperlink w:history="true" w:anchor="_bookmark17">
        <w:r>
          <w:rPr>
            <w:color w:val="231F20"/>
            <w:sz w:val="16"/>
          </w:rPr>
          <w:t>find</w:t>
        </w:r>
        <w:r>
          <w:rPr>
            <w:color w:val="231F20"/>
            <w:spacing w:val="38"/>
            <w:sz w:val="16"/>
          </w:rPr>
          <w:t>  </w:t>
        </w:r>
        <w:r>
          <w:rPr>
            <w:color w:val="231F20"/>
            <w:spacing w:val="-5"/>
            <w:sz w:val="16"/>
          </w:rPr>
          <w:t>26</w:t>
        </w:r>
      </w:hyperlink>
    </w:p>
    <w:p>
      <w:pPr>
        <w:spacing w:line="220" w:lineRule="auto" w:before="6"/>
        <w:ind w:left="436" w:right="289" w:firstLine="0"/>
        <w:jc w:val="left"/>
        <w:rPr>
          <w:sz w:val="16"/>
        </w:rPr>
      </w:pPr>
      <w:hyperlink w:history="true" w:anchor="_bookmark288">
        <w:r>
          <w:rPr>
            <w:color w:val="231F20"/>
            <w:sz w:val="16"/>
          </w:rPr>
          <w:t>managing the environment</w:t>
        </w:r>
        <w:r>
          <w:rPr>
            <w:color w:val="231F20"/>
            <w:spacing w:val="80"/>
            <w:sz w:val="16"/>
          </w:rPr>
          <w:t> </w:t>
        </w:r>
        <w:r>
          <w:rPr>
            <w:color w:val="231F20"/>
            <w:sz w:val="16"/>
          </w:rPr>
          <w:t>381</w:t>
        </w:r>
      </w:hyperlink>
      <w:r>
        <w:rPr>
          <w:color w:val="231F20"/>
          <w:spacing w:val="40"/>
          <w:sz w:val="16"/>
        </w:rPr>
        <w:t> </w:t>
      </w:r>
      <w:hyperlink w:history="true" w:anchor="_bookmark334">
        <w:r>
          <w:rPr>
            <w:color w:val="231F20"/>
            <w:sz w:val="16"/>
          </w:rPr>
          <w:t>MAX function</w:t>
        </w:r>
        <w:r>
          <w:rPr>
            <w:color w:val="231F20"/>
            <w:spacing w:val="80"/>
            <w:sz w:val="16"/>
          </w:rPr>
          <w:t> </w:t>
        </w:r>
        <w:r>
          <w:rPr>
            <w:color w:val="231F20"/>
            <w:sz w:val="16"/>
          </w:rPr>
          <w:t>425</w:t>
        </w:r>
      </w:hyperlink>
    </w:p>
    <w:p>
      <w:pPr>
        <w:spacing w:line="220" w:lineRule="auto" w:before="2"/>
        <w:ind w:left="436" w:right="789" w:firstLine="0"/>
        <w:jc w:val="left"/>
        <w:rPr>
          <w:sz w:val="16"/>
        </w:rPr>
      </w:pPr>
      <w:hyperlink w:history="true" w:anchor="_bookmark334">
        <w:r>
          <w:rPr>
            <w:color w:val="231F20"/>
            <w:sz w:val="16"/>
          </w:rPr>
          <w:t>Maximum in group</w:t>
        </w:r>
        <w:r>
          <w:rPr>
            <w:color w:val="231F20"/>
            <w:spacing w:val="80"/>
            <w:sz w:val="16"/>
          </w:rPr>
          <w:t> </w:t>
        </w:r>
        <w:r>
          <w:rPr>
            <w:color w:val="231F20"/>
            <w:sz w:val="16"/>
          </w:rPr>
          <w:t>425</w:t>
        </w:r>
      </w:hyperlink>
      <w:r>
        <w:rPr>
          <w:color w:val="231F20"/>
          <w:spacing w:val="40"/>
          <w:sz w:val="16"/>
        </w:rPr>
        <w:t> </w:t>
      </w:r>
      <w:hyperlink w:history="true" w:anchor="_bookmark3">
        <w:r>
          <w:rPr>
            <w:color w:val="231F20"/>
            <w:sz w:val="16"/>
          </w:rPr>
          <w:t>menu</w:t>
        </w:r>
        <w:r>
          <w:rPr>
            <w:color w:val="231F20"/>
            <w:spacing w:val="80"/>
            <w:sz w:val="16"/>
          </w:rPr>
          <w:t> </w:t>
        </w:r>
        <w:r>
          <w:rPr>
            <w:color w:val="231F20"/>
            <w:sz w:val="16"/>
          </w:rPr>
          <w:t>3</w:t>
        </w:r>
      </w:hyperlink>
    </w:p>
    <w:p>
      <w:pPr>
        <w:spacing w:line="196" w:lineRule="exact" w:before="0"/>
        <w:ind w:left="436" w:right="0" w:firstLine="0"/>
        <w:jc w:val="left"/>
        <w:rPr>
          <w:sz w:val="16"/>
        </w:rPr>
      </w:pPr>
      <w:hyperlink w:history="true" w:anchor="_bookmark104">
        <w:r>
          <w:rPr>
            <w:color w:val="231F20"/>
            <w:sz w:val="16"/>
          </w:rPr>
          <w:t>message</w:t>
        </w:r>
        <w:r>
          <w:rPr>
            <w:color w:val="231F20"/>
            <w:spacing w:val="10"/>
            <w:sz w:val="16"/>
          </w:rPr>
          <w:t> </w:t>
        </w:r>
        <w:r>
          <w:rPr>
            <w:color w:val="231F20"/>
            <w:sz w:val="16"/>
          </w:rPr>
          <w:t>log</w:t>
        </w:r>
        <w:r>
          <w:rPr>
            <w:color w:val="231F20"/>
            <w:spacing w:val="11"/>
            <w:sz w:val="16"/>
          </w:rPr>
          <w:t> </w:t>
        </w:r>
        <w:r>
          <w:rPr>
            <w:color w:val="231F20"/>
            <w:sz w:val="16"/>
          </w:rPr>
          <w:t>view</w:t>
        </w:r>
        <w:r>
          <w:rPr>
            <w:color w:val="231F20"/>
            <w:spacing w:val="36"/>
            <w:sz w:val="16"/>
          </w:rPr>
          <w:t>  </w:t>
        </w:r>
        <w:r>
          <w:rPr>
            <w:color w:val="231F20"/>
            <w:spacing w:val="-5"/>
            <w:sz w:val="16"/>
          </w:rPr>
          <w:t>140</w:t>
        </w:r>
      </w:hyperlink>
    </w:p>
    <w:p>
      <w:pPr>
        <w:spacing w:line="220" w:lineRule="auto" w:before="5"/>
        <w:ind w:left="676" w:right="289" w:firstLine="0"/>
        <w:jc w:val="left"/>
        <w:rPr>
          <w:sz w:val="16"/>
        </w:rPr>
      </w:pPr>
      <w:hyperlink w:history="true" w:anchor="_bookmark76">
        <w:r>
          <w:rPr>
            <w:color w:val="231F20"/>
            <w:sz w:val="16"/>
          </w:rPr>
          <w:t>adding column thresholds</w:t>
        </w:r>
        <w:r>
          <w:rPr>
            <w:color w:val="231F20"/>
            <w:spacing w:val="80"/>
            <w:sz w:val="16"/>
          </w:rPr>
          <w:t> </w:t>
        </w:r>
        <w:r>
          <w:rPr>
            <w:color w:val="231F20"/>
            <w:sz w:val="16"/>
          </w:rPr>
          <w:t>99</w:t>
        </w:r>
      </w:hyperlink>
      <w:r>
        <w:rPr>
          <w:color w:val="231F20"/>
          <w:spacing w:val="40"/>
          <w:sz w:val="16"/>
        </w:rPr>
        <w:t> </w:t>
      </w:r>
      <w:hyperlink w:history="true" w:anchor="_bookmark106">
        <w:r>
          <w:rPr>
            <w:color w:val="231F20"/>
            <w:sz w:val="16"/>
          </w:rPr>
          <w:t>edit properties</w:t>
        </w:r>
        <w:r>
          <w:rPr>
            <w:color w:val="231F20"/>
            <w:spacing w:val="80"/>
            <w:sz w:val="16"/>
          </w:rPr>
          <w:t> </w:t>
        </w:r>
        <w:r>
          <w:rPr>
            <w:color w:val="231F20"/>
            <w:sz w:val="16"/>
          </w:rPr>
          <w:t>142</w:t>
        </w:r>
      </w:hyperlink>
    </w:p>
    <w:p>
      <w:pPr>
        <w:spacing w:line="196" w:lineRule="exact" w:before="0"/>
        <w:ind w:left="676" w:right="0" w:firstLine="0"/>
        <w:jc w:val="left"/>
        <w:rPr>
          <w:sz w:val="16"/>
        </w:rPr>
      </w:pPr>
      <w:hyperlink w:history="true" w:anchor="_bookmark106">
        <w:r>
          <w:rPr>
            <w:color w:val="231F20"/>
            <w:sz w:val="16"/>
          </w:rPr>
          <w:t>set</w:t>
        </w:r>
        <w:r>
          <w:rPr>
            <w:color w:val="231F20"/>
            <w:spacing w:val="11"/>
            <w:sz w:val="16"/>
          </w:rPr>
          <w:t> </w:t>
        </w:r>
        <w:r>
          <w:rPr>
            <w:color w:val="231F20"/>
            <w:sz w:val="16"/>
          </w:rPr>
          <w:t>a</w:t>
        </w:r>
        <w:r>
          <w:rPr>
            <w:color w:val="231F20"/>
            <w:spacing w:val="11"/>
            <w:sz w:val="16"/>
          </w:rPr>
          <w:t> </w:t>
        </w:r>
        <w:r>
          <w:rPr>
            <w:color w:val="231F20"/>
            <w:sz w:val="16"/>
          </w:rPr>
          <w:t>row</w:t>
        </w:r>
        <w:r>
          <w:rPr>
            <w:color w:val="231F20"/>
            <w:spacing w:val="11"/>
            <w:sz w:val="16"/>
          </w:rPr>
          <w:t> </w:t>
        </w:r>
        <w:r>
          <w:rPr>
            <w:color w:val="231F20"/>
            <w:sz w:val="16"/>
          </w:rPr>
          <w:t>limit</w:t>
        </w:r>
        <w:r>
          <w:rPr>
            <w:color w:val="231F20"/>
            <w:spacing w:val="36"/>
            <w:sz w:val="16"/>
          </w:rPr>
          <w:t>  </w:t>
        </w:r>
        <w:r>
          <w:rPr>
            <w:color w:val="231F20"/>
            <w:spacing w:val="-5"/>
            <w:sz w:val="16"/>
          </w:rPr>
          <w:t>142</w:t>
        </w:r>
      </w:hyperlink>
    </w:p>
    <w:p>
      <w:pPr>
        <w:spacing w:line="200" w:lineRule="exact" w:before="0"/>
        <w:ind w:left="676" w:right="0" w:firstLine="0"/>
        <w:jc w:val="left"/>
        <w:rPr>
          <w:sz w:val="16"/>
        </w:rPr>
      </w:pPr>
      <w:hyperlink w:history="true" w:anchor="_bookmark106">
        <w:r>
          <w:rPr>
            <w:color w:val="231F20"/>
            <w:sz w:val="16"/>
          </w:rPr>
          <w:t>set</w:t>
        </w:r>
        <w:r>
          <w:rPr>
            <w:color w:val="231F20"/>
            <w:spacing w:val="10"/>
            <w:sz w:val="16"/>
          </w:rPr>
          <w:t> </w:t>
        </w:r>
        <w:r>
          <w:rPr>
            <w:color w:val="231F20"/>
            <w:sz w:val="16"/>
          </w:rPr>
          <w:t>or</w:t>
        </w:r>
        <w:r>
          <w:rPr>
            <w:color w:val="231F20"/>
            <w:spacing w:val="11"/>
            <w:sz w:val="16"/>
          </w:rPr>
          <w:t> </w:t>
        </w:r>
        <w:r>
          <w:rPr>
            <w:color w:val="231F20"/>
            <w:sz w:val="16"/>
          </w:rPr>
          <w:t>remove</w:t>
        </w:r>
        <w:r>
          <w:rPr>
            <w:color w:val="231F20"/>
            <w:spacing w:val="10"/>
            <w:sz w:val="16"/>
          </w:rPr>
          <w:t> </w:t>
        </w:r>
        <w:r>
          <w:rPr>
            <w:color w:val="231F20"/>
            <w:sz w:val="16"/>
          </w:rPr>
          <w:t>a</w:t>
        </w:r>
        <w:r>
          <w:rPr>
            <w:color w:val="231F20"/>
            <w:spacing w:val="11"/>
            <w:sz w:val="16"/>
          </w:rPr>
          <w:t> </w:t>
        </w:r>
        <w:r>
          <w:rPr>
            <w:color w:val="231F20"/>
            <w:sz w:val="16"/>
          </w:rPr>
          <w:t>quick</w:t>
        </w:r>
        <w:r>
          <w:rPr>
            <w:color w:val="231F20"/>
            <w:spacing w:val="10"/>
            <w:sz w:val="16"/>
          </w:rPr>
          <w:t> </w:t>
        </w:r>
        <w:r>
          <w:rPr>
            <w:color w:val="231F20"/>
            <w:sz w:val="16"/>
          </w:rPr>
          <w:t>filter</w:t>
        </w:r>
        <w:r>
          <w:rPr>
            <w:color w:val="231F20"/>
            <w:spacing w:val="36"/>
            <w:sz w:val="16"/>
          </w:rPr>
          <w:t>  </w:t>
        </w:r>
        <w:r>
          <w:rPr>
            <w:color w:val="231F20"/>
            <w:spacing w:val="-5"/>
            <w:sz w:val="16"/>
          </w:rPr>
          <w:t>142</w:t>
        </w:r>
      </w:hyperlink>
    </w:p>
    <w:p>
      <w:pPr>
        <w:spacing w:line="220" w:lineRule="auto" w:before="5"/>
        <w:ind w:left="676" w:right="0" w:firstLine="0"/>
        <w:jc w:val="left"/>
        <w:rPr>
          <w:sz w:val="16"/>
        </w:rPr>
      </w:pPr>
      <w:hyperlink w:history="true" w:anchor="_bookmark106">
        <w:r>
          <w:rPr>
            <w:color w:val="231F20"/>
            <w:sz w:val="16"/>
          </w:rPr>
          <w:t>set or remove a quick threshold</w:t>
        </w:r>
        <w:r>
          <w:rPr>
            <w:color w:val="231F20"/>
            <w:spacing w:val="80"/>
            <w:sz w:val="16"/>
          </w:rPr>
          <w:t> </w:t>
        </w:r>
        <w:r>
          <w:rPr>
            <w:color w:val="231F20"/>
            <w:sz w:val="16"/>
          </w:rPr>
          <w:t>142</w:t>
        </w:r>
      </w:hyperlink>
      <w:r>
        <w:rPr>
          <w:color w:val="231F20"/>
          <w:spacing w:val="40"/>
          <w:sz w:val="16"/>
        </w:rPr>
        <w:t> </w:t>
      </w:r>
      <w:hyperlink w:history="true" w:anchor="_bookmark105">
        <w:r>
          <w:rPr>
            <w:color w:val="231F20"/>
            <w:sz w:val="16"/>
          </w:rPr>
          <w:t>what the view shows</w:t>
        </w:r>
        <w:r>
          <w:rPr>
            <w:color w:val="231F20"/>
            <w:spacing w:val="80"/>
            <w:sz w:val="16"/>
          </w:rPr>
          <w:t> </w:t>
        </w:r>
        <w:r>
          <w:rPr>
            <w:color w:val="231F20"/>
            <w:sz w:val="16"/>
          </w:rPr>
          <w:t>141</w:t>
        </w:r>
      </w:hyperlink>
    </w:p>
    <w:p>
      <w:pPr>
        <w:spacing w:line="220" w:lineRule="auto" w:before="2"/>
        <w:ind w:left="436" w:right="1038" w:firstLine="0"/>
        <w:jc w:val="left"/>
        <w:rPr>
          <w:sz w:val="16"/>
        </w:rPr>
      </w:pPr>
      <w:hyperlink w:history="true" w:anchor="_bookmark334">
        <w:r>
          <w:rPr>
            <w:color w:val="231F20"/>
            <w:sz w:val="16"/>
          </w:rPr>
          <w:t>MIN function</w:t>
        </w:r>
        <w:r>
          <w:rPr>
            <w:color w:val="231F20"/>
            <w:spacing w:val="80"/>
            <w:sz w:val="16"/>
          </w:rPr>
          <w:t> </w:t>
        </w:r>
        <w:r>
          <w:rPr>
            <w:color w:val="231F20"/>
            <w:sz w:val="16"/>
          </w:rPr>
          <w:t>425</w:t>
        </w:r>
      </w:hyperlink>
      <w:r>
        <w:rPr>
          <w:color w:val="231F20"/>
          <w:spacing w:val="40"/>
          <w:sz w:val="16"/>
        </w:rPr>
        <w:t> </w:t>
      </w:r>
      <w:hyperlink w:history="true" w:anchor="_bookmark334">
        <w:r>
          <w:rPr>
            <w:color w:val="231F20"/>
            <w:sz w:val="16"/>
          </w:rPr>
          <w:t>Minimum in group</w:t>
        </w:r>
        <w:r>
          <w:rPr>
            <w:color w:val="231F20"/>
            <w:spacing w:val="80"/>
            <w:sz w:val="16"/>
          </w:rPr>
          <w:t> </w:t>
        </w:r>
        <w:r>
          <w:rPr>
            <w:color w:val="231F20"/>
            <w:sz w:val="16"/>
          </w:rPr>
          <w:t>425</w:t>
        </w:r>
      </w:hyperlink>
    </w:p>
    <w:p>
      <w:pPr>
        <w:spacing w:line="220" w:lineRule="auto" w:before="2"/>
        <w:ind w:left="436" w:right="289" w:firstLine="0"/>
        <w:jc w:val="left"/>
        <w:rPr>
          <w:sz w:val="16"/>
        </w:rPr>
      </w:pPr>
      <w:hyperlink w:history="true" w:anchor="_bookmark325">
        <w:r>
          <w:rPr>
            <w:color w:val="231F20"/>
            <w:sz w:val="16"/>
          </w:rPr>
          <w:t>MISSING formula function</w:t>
        </w:r>
        <w:r>
          <w:rPr>
            <w:color w:val="231F20"/>
            <w:spacing w:val="80"/>
            <w:sz w:val="16"/>
          </w:rPr>
          <w:t> </w:t>
        </w:r>
        <w:r>
          <w:rPr>
            <w:color w:val="231F20"/>
            <w:sz w:val="16"/>
          </w:rPr>
          <w:t>418</w:t>
        </w:r>
      </w:hyperlink>
      <w:r>
        <w:rPr>
          <w:color w:val="231F20"/>
          <w:spacing w:val="40"/>
          <w:sz w:val="16"/>
        </w:rPr>
        <w:t> </w:t>
      </w:r>
      <w:hyperlink w:history="true" w:anchor="_bookmark211">
        <w:r>
          <w:rPr>
            <w:color w:val="231F20"/>
            <w:sz w:val="16"/>
          </w:rPr>
          <w:t>model situation</w:t>
        </w:r>
        <w:r>
          <w:rPr>
            <w:color w:val="231F20"/>
            <w:spacing w:val="80"/>
            <w:sz w:val="16"/>
          </w:rPr>
          <w:t> </w:t>
        </w:r>
        <w:r>
          <w:rPr>
            <w:color w:val="231F20"/>
            <w:sz w:val="16"/>
          </w:rPr>
          <w:t>285</w:t>
        </w:r>
      </w:hyperlink>
    </w:p>
    <w:p>
      <w:pPr>
        <w:spacing w:line="220" w:lineRule="auto" w:before="2"/>
        <w:ind w:left="676" w:right="0" w:firstLine="0"/>
        <w:jc w:val="left"/>
        <w:rPr>
          <w:sz w:val="16"/>
        </w:rPr>
      </w:pPr>
      <w:hyperlink w:history="true" w:anchor="_bookmark211">
        <w:r>
          <w:rPr>
            <w:color w:val="231F20"/>
            <w:sz w:val="16"/>
          </w:rPr>
          <w:t>overview and limitations</w:t>
        </w:r>
        <w:r>
          <w:rPr>
            <w:color w:val="231F20"/>
            <w:spacing w:val="80"/>
            <w:sz w:val="16"/>
          </w:rPr>
          <w:t> </w:t>
        </w:r>
        <w:r>
          <w:rPr>
            <w:color w:val="231F20"/>
            <w:sz w:val="16"/>
          </w:rPr>
          <w:t>285</w:t>
        </w:r>
      </w:hyperlink>
      <w:r>
        <w:rPr>
          <w:color w:val="231F20"/>
          <w:spacing w:val="40"/>
          <w:sz w:val="16"/>
        </w:rPr>
        <w:t> </w:t>
      </w:r>
      <w:hyperlink w:history="true" w:anchor="_bookmark214">
        <w:r>
          <w:rPr>
            <w:color w:val="231F20"/>
            <w:sz w:val="16"/>
          </w:rPr>
          <w:t>window</w:t>
        </w:r>
        <w:r>
          <w:rPr>
            <w:color w:val="231F20"/>
            <w:spacing w:val="80"/>
            <w:sz w:val="16"/>
          </w:rPr>
          <w:t> </w:t>
        </w:r>
        <w:r>
          <w:rPr>
            <w:color w:val="231F20"/>
            <w:sz w:val="16"/>
          </w:rPr>
          <w:t>288</w:t>
        </w:r>
      </w:hyperlink>
    </w:p>
    <w:p>
      <w:pPr>
        <w:spacing w:line="196" w:lineRule="exact" w:before="0"/>
        <w:ind w:left="436" w:right="0" w:firstLine="0"/>
        <w:jc w:val="left"/>
        <w:rPr>
          <w:sz w:val="16"/>
        </w:rPr>
      </w:pPr>
      <w:r>
        <w:rPr>
          <w:color w:val="231F20"/>
          <w:sz w:val="16"/>
        </w:rPr>
        <w:t>model</w:t>
      </w:r>
      <w:r>
        <w:rPr>
          <w:color w:val="231F20"/>
          <w:spacing w:val="8"/>
          <w:sz w:val="16"/>
        </w:rPr>
        <w:t> </w:t>
      </w:r>
      <w:r>
        <w:rPr>
          <w:color w:val="231F20"/>
          <w:spacing w:val="-2"/>
          <w:sz w:val="16"/>
        </w:rPr>
        <w:t>situations</w:t>
      </w:r>
    </w:p>
    <w:p>
      <w:pPr>
        <w:spacing w:line="220" w:lineRule="auto" w:before="5"/>
        <w:ind w:left="676" w:right="289" w:firstLine="0"/>
        <w:jc w:val="left"/>
        <w:rPr>
          <w:sz w:val="16"/>
        </w:rPr>
      </w:pPr>
      <w:hyperlink w:history="true" w:anchor="_bookmark213">
        <w:r>
          <w:rPr>
            <w:color w:val="231F20"/>
            <w:sz w:val="16"/>
          </w:rPr>
          <w:t>with an existing situation</w:t>
        </w:r>
        <w:r>
          <w:rPr>
            <w:color w:val="231F20"/>
            <w:spacing w:val="80"/>
            <w:sz w:val="16"/>
          </w:rPr>
          <w:t> </w:t>
        </w:r>
        <w:r>
          <w:rPr>
            <w:color w:val="231F20"/>
            <w:sz w:val="16"/>
          </w:rPr>
          <w:t>287</w:t>
        </w:r>
      </w:hyperlink>
      <w:r>
        <w:rPr>
          <w:color w:val="231F20"/>
          <w:spacing w:val="40"/>
          <w:sz w:val="16"/>
        </w:rPr>
        <w:t> </w:t>
      </w:r>
      <w:hyperlink w:history="true" w:anchor="_bookmark212">
        <w:r>
          <w:rPr>
            <w:color w:val="231F20"/>
            <w:sz w:val="16"/>
          </w:rPr>
          <w:t>with view data</w:t>
        </w:r>
        <w:r>
          <w:rPr>
            <w:color w:val="231F20"/>
            <w:spacing w:val="80"/>
            <w:sz w:val="16"/>
          </w:rPr>
          <w:t> </w:t>
        </w:r>
        <w:r>
          <w:rPr>
            <w:color w:val="231F20"/>
            <w:sz w:val="16"/>
          </w:rPr>
          <w:t>286</w:t>
        </w:r>
      </w:hyperlink>
    </w:p>
    <w:p>
      <w:pPr>
        <w:spacing w:line="196" w:lineRule="exact" w:before="0"/>
        <w:ind w:left="436" w:right="0" w:firstLine="0"/>
        <w:jc w:val="left"/>
        <w:rPr>
          <w:sz w:val="16"/>
        </w:rPr>
      </w:pPr>
      <w:r>
        <w:rPr>
          <w:color w:val="231F20"/>
          <w:sz w:val="16"/>
        </w:rPr>
        <w:t>monitoring</w:t>
      </w:r>
      <w:r>
        <w:rPr>
          <w:color w:val="231F20"/>
          <w:spacing w:val="5"/>
          <w:sz w:val="16"/>
        </w:rPr>
        <w:t> </w:t>
      </w:r>
      <w:r>
        <w:rPr>
          <w:color w:val="231F20"/>
          <w:spacing w:val="-2"/>
          <w:sz w:val="16"/>
        </w:rPr>
        <w:t>agents</w:t>
      </w:r>
    </w:p>
    <w:p>
      <w:pPr>
        <w:spacing w:line="220" w:lineRule="auto" w:before="5"/>
        <w:ind w:left="676" w:right="0" w:firstLine="0"/>
        <w:jc w:val="left"/>
        <w:rPr>
          <w:sz w:val="16"/>
        </w:rPr>
      </w:pPr>
      <w:hyperlink w:history="true" w:anchor="_bookmark311">
        <w:r>
          <w:rPr>
            <w:color w:val="231F20"/>
            <w:sz w:val="16"/>
          </w:rPr>
          <w:t>adding a managed system</w:t>
        </w:r>
        <w:r>
          <w:rPr>
            <w:color w:val="231F20"/>
            <w:spacing w:val="80"/>
            <w:sz w:val="16"/>
          </w:rPr>
          <w:t> </w:t>
        </w:r>
        <w:r>
          <w:rPr>
            <w:color w:val="231F20"/>
            <w:sz w:val="16"/>
          </w:rPr>
          <w:t>402</w:t>
        </w:r>
      </w:hyperlink>
      <w:r>
        <w:rPr>
          <w:color w:val="231F20"/>
          <w:spacing w:val="40"/>
          <w:sz w:val="16"/>
        </w:rPr>
        <w:t> </w:t>
      </w:r>
      <w:hyperlink w:history="true" w:anchor="_bookmark312">
        <w:r>
          <w:rPr>
            <w:color w:val="231F20"/>
            <w:sz w:val="16"/>
          </w:rPr>
          <w:t>configuring a managed system</w:t>
        </w:r>
        <w:r>
          <w:rPr>
            <w:color w:val="231F20"/>
            <w:spacing w:val="80"/>
            <w:sz w:val="16"/>
          </w:rPr>
          <w:t> </w:t>
        </w:r>
        <w:r>
          <w:rPr>
            <w:color w:val="231F20"/>
            <w:sz w:val="16"/>
          </w:rPr>
          <w:t>403</w:t>
        </w:r>
      </w:hyperlink>
      <w:r>
        <w:rPr>
          <w:color w:val="231F20"/>
          <w:spacing w:val="40"/>
          <w:sz w:val="16"/>
        </w:rPr>
        <w:t> </w:t>
      </w:r>
      <w:hyperlink w:history="true" w:anchor="_bookmark6">
        <w:r>
          <w:rPr>
            <w:color w:val="231F20"/>
            <w:sz w:val="16"/>
          </w:rPr>
          <w:t>introduction</w:t>
        </w:r>
        <w:r>
          <w:rPr>
            <w:color w:val="231F20"/>
            <w:spacing w:val="80"/>
            <w:sz w:val="16"/>
          </w:rPr>
          <w:t> </w:t>
        </w:r>
        <w:r>
          <w:rPr>
            <w:color w:val="231F20"/>
            <w:sz w:val="16"/>
          </w:rPr>
          <w:t>8</w:t>
        </w:r>
      </w:hyperlink>
    </w:p>
    <w:p>
      <w:pPr>
        <w:spacing w:line="197" w:lineRule="exact" w:before="0"/>
        <w:ind w:left="676" w:right="0" w:firstLine="0"/>
        <w:jc w:val="left"/>
        <w:rPr>
          <w:sz w:val="16"/>
        </w:rPr>
      </w:pPr>
      <w:hyperlink w:history="true" w:anchor="_bookmark311">
        <w:r>
          <w:rPr>
            <w:color w:val="231F20"/>
            <w:sz w:val="16"/>
          </w:rPr>
          <w:t>recycling</w:t>
        </w:r>
        <w:r>
          <w:rPr>
            <w:color w:val="231F20"/>
            <w:spacing w:val="34"/>
            <w:sz w:val="16"/>
          </w:rPr>
          <w:t>  </w:t>
        </w:r>
        <w:r>
          <w:rPr>
            <w:color w:val="231F20"/>
            <w:spacing w:val="-5"/>
            <w:sz w:val="16"/>
          </w:rPr>
          <w:t>402</w:t>
        </w:r>
      </w:hyperlink>
    </w:p>
    <w:p>
      <w:pPr>
        <w:spacing w:line="200" w:lineRule="exact" w:before="0"/>
        <w:ind w:left="676" w:right="0" w:firstLine="0"/>
        <w:jc w:val="left"/>
        <w:rPr>
          <w:sz w:val="16"/>
        </w:rPr>
      </w:pPr>
      <w:hyperlink w:history="true" w:anchor="_bookmark314">
        <w:r>
          <w:rPr>
            <w:color w:val="231F20"/>
            <w:sz w:val="16"/>
          </w:rPr>
          <w:t>removing</w:t>
        </w:r>
        <w:r>
          <w:rPr>
            <w:color w:val="231F20"/>
            <w:spacing w:val="34"/>
            <w:sz w:val="16"/>
          </w:rPr>
          <w:t>  </w:t>
        </w:r>
        <w:r>
          <w:rPr>
            <w:color w:val="231F20"/>
            <w:spacing w:val="-5"/>
            <w:sz w:val="16"/>
          </w:rPr>
          <w:t>405</w:t>
        </w:r>
      </w:hyperlink>
    </w:p>
    <w:p>
      <w:pPr>
        <w:spacing w:line="220" w:lineRule="auto" w:before="6"/>
        <w:ind w:left="676" w:right="789" w:firstLine="0"/>
        <w:jc w:val="left"/>
        <w:rPr>
          <w:sz w:val="16"/>
        </w:rPr>
      </w:pPr>
      <w:hyperlink w:history="true" w:anchor="_bookmark311">
        <w:r>
          <w:rPr>
            <w:color w:val="231F20"/>
            <w:sz w:val="16"/>
          </w:rPr>
          <w:t>starting an offline</w:t>
        </w:r>
        <w:r>
          <w:rPr>
            <w:color w:val="231F20"/>
            <w:spacing w:val="80"/>
            <w:sz w:val="16"/>
          </w:rPr>
          <w:t> </w:t>
        </w:r>
        <w:r>
          <w:rPr>
            <w:color w:val="231F20"/>
            <w:sz w:val="16"/>
          </w:rPr>
          <w:t>402</w:t>
        </w:r>
      </w:hyperlink>
      <w:r>
        <w:rPr>
          <w:color w:val="231F20"/>
          <w:spacing w:val="40"/>
          <w:sz w:val="16"/>
        </w:rPr>
        <w:t> </w:t>
      </w:r>
      <w:hyperlink w:history="true" w:anchor="_bookmark310">
        <w:r>
          <w:rPr>
            <w:color w:val="231F20"/>
            <w:sz w:val="16"/>
          </w:rPr>
          <w:t>stopping</w:t>
        </w:r>
        <w:r>
          <w:rPr>
            <w:color w:val="231F20"/>
            <w:spacing w:val="80"/>
            <w:sz w:val="16"/>
          </w:rPr>
          <w:t> </w:t>
        </w:r>
        <w:r>
          <w:rPr>
            <w:color w:val="231F20"/>
            <w:sz w:val="16"/>
          </w:rPr>
          <w:t>401</w:t>
        </w:r>
      </w:hyperlink>
    </w:p>
    <w:p>
      <w:pPr>
        <w:spacing w:line="220" w:lineRule="auto" w:before="2"/>
        <w:ind w:left="436" w:right="1636" w:firstLine="239"/>
        <w:jc w:val="right"/>
        <w:rPr>
          <w:sz w:val="16"/>
        </w:rPr>
      </w:pPr>
      <w:hyperlink w:history="true" w:anchor="_bookmark313">
        <w:r>
          <w:rPr>
            <w:color w:val="231F20"/>
            <w:sz w:val="16"/>
          </w:rPr>
          <w:t>updating</w:t>
        </w:r>
        <w:r>
          <w:rPr>
            <w:color w:val="231F20"/>
            <w:spacing w:val="80"/>
            <w:sz w:val="16"/>
          </w:rPr>
          <w:t> </w:t>
        </w:r>
        <w:r>
          <w:rPr>
            <w:color w:val="231F20"/>
            <w:sz w:val="16"/>
          </w:rPr>
          <w:t>404</w:t>
        </w:r>
      </w:hyperlink>
      <w:r>
        <w:rPr>
          <w:color w:val="231F20"/>
          <w:spacing w:val="40"/>
          <w:sz w:val="16"/>
        </w:rPr>
        <w:t> </w:t>
      </w:r>
      <w:r>
        <w:rPr>
          <w:color w:val="231F20"/>
          <w:sz w:val="16"/>
        </w:rPr>
        <w:t>monitoring</w:t>
      </w:r>
      <w:r>
        <w:rPr>
          <w:color w:val="231F20"/>
          <w:spacing w:val="-6"/>
          <w:sz w:val="16"/>
        </w:rPr>
        <w:t> </w:t>
      </w:r>
      <w:r>
        <w:rPr>
          <w:color w:val="231F20"/>
          <w:sz w:val="16"/>
        </w:rPr>
        <w:t>server</w:t>
      </w:r>
      <w:r>
        <w:rPr>
          <w:color w:val="231F20"/>
          <w:spacing w:val="40"/>
          <w:sz w:val="16"/>
        </w:rPr>
        <w:t> </w:t>
      </w:r>
      <w:hyperlink w:history="true" w:anchor="_bookmark1">
        <w:r>
          <w:rPr>
            <w:rFonts w:ascii="Book Antiqua"/>
            <w:i/>
            <w:color w:val="231F20"/>
            <w:sz w:val="16"/>
          </w:rPr>
          <w:t>See also </w:t>
        </w:r>
        <w:r>
          <w:rPr>
            <w:color w:val="231F20"/>
            <w:sz w:val="16"/>
          </w:rPr>
          <w:t>TEMS</w:t>
        </w:r>
      </w:hyperlink>
    </w:p>
    <w:p>
      <w:pPr>
        <w:spacing w:line="197" w:lineRule="exact" w:before="0"/>
        <w:ind w:left="676" w:right="0" w:firstLine="0"/>
        <w:jc w:val="left"/>
        <w:rPr>
          <w:sz w:val="16"/>
        </w:rPr>
      </w:pPr>
      <w:hyperlink w:history="true" w:anchor="_bookmark335">
        <w:r>
          <w:rPr>
            <w:color w:val="231F20"/>
            <w:sz w:val="16"/>
          </w:rPr>
          <w:t>attribute</w:t>
        </w:r>
        <w:r>
          <w:rPr>
            <w:color w:val="231F20"/>
            <w:spacing w:val="9"/>
            <w:sz w:val="16"/>
          </w:rPr>
          <w:t> </w:t>
        </w:r>
        <w:r>
          <w:rPr>
            <w:color w:val="231F20"/>
            <w:sz w:val="16"/>
          </w:rPr>
          <w:t>groups</w:t>
        </w:r>
        <w:r>
          <w:rPr>
            <w:color w:val="231F20"/>
            <w:spacing w:val="34"/>
            <w:sz w:val="16"/>
          </w:rPr>
          <w:t>  </w:t>
        </w:r>
        <w:r>
          <w:rPr>
            <w:color w:val="231F20"/>
            <w:spacing w:val="-5"/>
            <w:sz w:val="16"/>
          </w:rPr>
          <w:t>427</w:t>
        </w:r>
      </w:hyperlink>
    </w:p>
    <w:p>
      <w:pPr>
        <w:spacing w:line="200" w:lineRule="exact" w:before="0"/>
        <w:ind w:left="676" w:right="0" w:firstLine="0"/>
        <w:jc w:val="left"/>
        <w:rPr>
          <w:sz w:val="16"/>
        </w:rPr>
      </w:pPr>
      <w:hyperlink w:history="true" w:anchor="_bookmark234">
        <w:r>
          <w:rPr>
            <w:color w:val="231F20"/>
            <w:sz w:val="16"/>
          </w:rPr>
          <w:t>high</w:t>
        </w:r>
        <w:r>
          <w:rPr>
            <w:color w:val="231F20"/>
            <w:spacing w:val="11"/>
            <w:sz w:val="16"/>
          </w:rPr>
          <w:t> </w:t>
        </w:r>
        <w:r>
          <w:rPr>
            <w:color w:val="231F20"/>
            <w:sz w:val="16"/>
          </w:rPr>
          <w:t>CPU</w:t>
        </w:r>
        <w:r>
          <w:rPr>
            <w:color w:val="231F20"/>
            <w:spacing w:val="37"/>
            <w:sz w:val="16"/>
          </w:rPr>
          <w:t>  </w:t>
        </w:r>
        <w:r>
          <w:rPr>
            <w:color w:val="231F20"/>
            <w:spacing w:val="-5"/>
            <w:sz w:val="16"/>
          </w:rPr>
          <w:t>321</w:t>
        </w:r>
      </w:hyperlink>
    </w:p>
    <w:p>
      <w:pPr>
        <w:spacing w:line="220" w:lineRule="auto" w:before="5"/>
        <w:ind w:left="436" w:right="1038" w:firstLine="0"/>
        <w:jc w:val="left"/>
        <w:rPr>
          <w:sz w:val="16"/>
        </w:rPr>
      </w:pPr>
      <w:hyperlink w:history="true" w:anchor="_bookmark16">
        <w:r>
          <w:rPr>
            <w:color w:val="231F20"/>
            <w:sz w:val="16"/>
          </w:rPr>
          <w:t>more... indicators</w:t>
        </w:r>
        <w:r>
          <w:rPr>
            <w:color w:val="231F20"/>
            <w:spacing w:val="80"/>
            <w:sz w:val="16"/>
          </w:rPr>
          <w:t> </w:t>
        </w:r>
        <w:r>
          <w:rPr>
            <w:color w:val="231F20"/>
            <w:sz w:val="16"/>
          </w:rPr>
          <w:t>24</w:t>
        </w:r>
      </w:hyperlink>
      <w:r>
        <w:rPr>
          <w:color w:val="231F20"/>
          <w:spacing w:val="40"/>
          <w:sz w:val="16"/>
        </w:rPr>
        <w:t> </w:t>
      </w:r>
      <w:hyperlink w:history="true" w:anchor="_bookmark33">
        <w:r>
          <w:rPr>
            <w:color w:val="231F20"/>
            <w:sz w:val="16"/>
          </w:rPr>
          <w:t>move a view</w:t>
        </w:r>
        <w:r>
          <w:rPr>
            <w:color w:val="231F20"/>
            <w:spacing w:val="80"/>
            <w:sz w:val="16"/>
          </w:rPr>
          <w:t> </w:t>
        </w:r>
        <w:r>
          <w:rPr>
            <w:color w:val="231F20"/>
            <w:sz w:val="16"/>
          </w:rPr>
          <w:t>43</w:t>
        </w:r>
      </w:hyperlink>
    </w:p>
    <w:p>
      <w:pPr>
        <w:pStyle w:val="BodyText"/>
        <w:spacing w:before="109"/>
        <w:rPr>
          <w:sz w:val="16"/>
        </w:rPr>
      </w:pPr>
    </w:p>
    <w:p>
      <w:pPr>
        <w:pStyle w:val="Heading1"/>
        <w:ind w:left="436"/>
      </w:pPr>
      <w:bookmarkStart w:name="N" w:id="762"/>
      <w:bookmarkEnd w:id="762"/>
      <w:r>
        <w:rPr>
          <w:b w:val="0"/>
        </w:rPr>
      </w:r>
      <w:r>
        <w:rPr>
          <w:color w:val="231F20"/>
          <w:spacing w:val="-10"/>
        </w:rPr>
        <w:t>N</w:t>
      </w:r>
    </w:p>
    <w:p>
      <w:pPr>
        <w:spacing w:line="205" w:lineRule="exact" w:before="0"/>
        <w:ind w:left="436" w:right="0" w:firstLine="0"/>
        <w:jc w:val="left"/>
        <w:rPr>
          <w:sz w:val="16"/>
        </w:rPr>
      </w:pPr>
      <w:hyperlink w:history="true" w:anchor="_bookmark13">
        <w:r>
          <w:rPr>
            <w:color w:val="231F20"/>
            <w:sz w:val="16"/>
          </w:rPr>
          <w:t>navigator</w:t>
        </w:r>
        <w:r>
          <w:rPr>
            <w:color w:val="231F20"/>
            <w:spacing w:val="36"/>
            <w:sz w:val="16"/>
          </w:rPr>
          <w:t>  </w:t>
        </w:r>
        <w:r>
          <w:rPr>
            <w:color w:val="231F20"/>
            <w:spacing w:val="-5"/>
            <w:sz w:val="16"/>
          </w:rPr>
          <w:t>21</w:t>
        </w:r>
      </w:hyperlink>
    </w:p>
    <w:p>
      <w:pPr>
        <w:spacing w:line="220" w:lineRule="auto" w:before="6"/>
        <w:ind w:left="676" w:right="789" w:firstLine="0"/>
        <w:jc w:val="left"/>
        <w:rPr>
          <w:sz w:val="16"/>
        </w:rPr>
      </w:pPr>
      <w:hyperlink w:history="true" w:anchor="_bookmark17">
        <w:r>
          <w:rPr>
            <w:color w:val="231F20"/>
            <w:sz w:val="16"/>
          </w:rPr>
          <w:t>collapse and expand</w:t>
        </w:r>
        <w:r>
          <w:rPr>
            <w:color w:val="231F20"/>
            <w:spacing w:val="80"/>
            <w:sz w:val="16"/>
          </w:rPr>
          <w:t> </w:t>
        </w:r>
        <w:r>
          <w:rPr>
            <w:color w:val="231F20"/>
            <w:sz w:val="16"/>
          </w:rPr>
          <w:t>26</w:t>
        </w:r>
      </w:hyperlink>
      <w:r>
        <w:rPr>
          <w:color w:val="231F20"/>
          <w:spacing w:val="40"/>
          <w:sz w:val="16"/>
        </w:rPr>
        <w:t> </w:t>
      </w:r>
      <w:hyperlink w:history="true" w:anchor="_bookmark16">
        <w:r>
          <w:rPr>
            <w:color w:val="231F20"/>
            <w:sz w:val="16"/>
          </w:rPr>
          <w:t>expand in increments</w:t>
        </w:r>
        <w:r>
          <w:rPr>
            <w:color w:val="231F20"/>
            <w:spacing w:val="80"/>
            <w:sz w:val="16"/>
          </w:rPr>
          <w:t> </w:t>
        </w:r>
        <w:r>
          <w:rPr>
            <w:color w:val="231F20"/>
            <w:sz w:val="16"/>
          </w:rPr>
          <w:t>24</w:t>
        </w:r>
      </w:hyperlink>
      <w:r>
        <w:rPr>
          <w:color w:val="231F20"/>
          <w:spacing w:val="40"/>
          <w:sz w:val="16"/>
        </w:rPr>
        <w:t> </w:t>
      </w:r>
      <w:hyperlink w:history="true" w:anchor="_bookmark172">
        <w:r>
          <w:rPr>
            <w:color w:val="231F20"/>
            <w:sz w:val="16"/>
          </w:rPr>
          <w:t>item properties</w:t>
        </w:r>
        <w:r>
          <w:rPr>
            <w:color w:val="231F20"/>
            <w:spacing w:val="80"/>
            <w:sz w:val="16"/>
          </w:rPr>
          <w:t> </w:t>
        </w:r>
        <w:r>
          <w:rPr>
            <w:color w:val="231F20"/>
            <w:sz w:val="16"/>
          </w:rPr>
          <w:t>239</w:t>
        </w:r>
      </w:hyperlink>
    </w:p>
    <w:p>
      <w:pPr>
        <w:spacing w:line="205" w:lineRule="exact" w:before="0"/>
        <w:ind w:left="676" w:right="0" w:firstLine="0"/>
        <w:jc w:val="left"/>
        <w:rPr>
          <w:sz w:val="16"/>
        </w:rPr>
      </w:pPr>
      <w:hyperlink w:history="true" w:anchor="_bookmark19">
        <w:r>
          <w:rPr>
            <w:color w:val="231F20"/>
            <w:sz w:val="16"/>
          </w:rPr>
          <w:t>refresh</w:t>
        </w:r>
        <w:r>
          <w:rPr>
            <w:color w:val="231F20"/>
            <w:spacing w:val="34"/>
            <w:sz w:val="16"/>
          </w:rPr>
          <w:t>  </w:t>
        </w:r>
        <w:r>
          <w:rPr>
            <w:color w:val="231F20"/>
            <w:spacing w:val="-5"/>
            <w:sz w:val="16"/>
          </w:rPr>
          <w:t>29</w:t>
        </w:r>
      </w:hyperlink>
    </w:p>
    <w:p>
      <w:pPr>
        <w:spacing w:line="208" w:lineRule="exact" w:before="54"/>
        <w:ind w:left="305" w:right="0" w:firstLine="0"/>
        <w:jc w:val="left"/>
        <w:rPr>
          <w:rFonts w:ascii="Book Antiqua"/>
          <w:i/>
          <w:sz w:val="16"/>
        </w:rPr>
      </w:pPr>
      <w:r>
        <w:rPr/>
        <w:br w:type="column"/>
      </w:r>
      <w:hyperlink w:history="true" w:anchor="_bookmark13">
        <w:r>
          <w:rPr>
            <w:color w:val="231F20"/>
            <w:sz w:val="16"/>
          </w:rPr>
          <w:t>navigator</w:t>
        </w:r>
        <w:r>
          <w:rPr>
            <w:color w:val="231F20"/>
            <w:spacing w:val="32"/>
            <w:sz w:val="16"/>
          </w:rPr>
          <w:t> </w:t>
        </w:r>
        <w:r>
          <w:rPr>
            <w:rFonts w:ascii="Book Antiqua"/>
            <w:i/>
            <w:color w:val="231F20"/>
            <w:spacing w:val="-2"/>
            <w:sz w:val="16"/>
          </w:rPr>
          <w:t>(continued)</w:t>
        </w:r>
      </w:hyperlink>
    </w:p>
    <w:p>
      <w:pPr>
        <w:spacing w:line="220" w:lineRule="auto" w:before="5"/>
        <w:ind w:left="545" w:right="0" w:firstLine="0"/>
        <w:jc w:val="left"/>
        <w:rPr>
          <w:sz w:val="16"/>
        </w:rPr>
      </w:pPr>
      <w:hyperlink w:history="true" w:anchor="_bookmark22">
        <w:r>
          <w:rPr>
            <w:color w:val="231F20"/>
            <w:sz w:val="16"/>
          </w:rPr>
          <w:t>remove offline managed system</w:t>
        </w:r>
        <w:r>
          <w:rPr>
            <w:color w:val="231F20"/>
            <w:spacing w:val="80"/>
            <w:sz w:val="16"/>
          </w:rPr>
          <w:t> </w:t>
        </w:r>
        <w:r>
          <w:rPr>
            <w:color w:val="231F20"/>
            <w:sz w:val="16"/>
          </w:rPr>
          <w:t>32</w:t>
        </w:r>
      </w:hyperlink>
      <w:r>
        <w:rPr>
          <w:color w:val="231F20"/>
          <w:spacing w:val="40"/>
          <w:sz w:val="16"/>
        </w:rPr>
        <w:t> </w:t>
      </w:r>
      <w:hyperlink w:history="true" w:anchor="_bookmark21">
        <w:r>
          <w:rPr>
            <w:color w:val="231F20"/>
            <w:sz w:val="16"/>
          </w:rPr>
          <w:t>removing an event item</w:t>
        </w:r>
        <w:r>
          <w:rPr>
            <w:color w:val="231F20"/>
            <w:spacing w:val="80"/>
            <w:sz w:val="16"/>
          </w:rPr>
          <w:t> </w:t>
        </w:r>
        <w:r>
          <w:rPr>
            <w:color w:val="231F20"/>
            <w:sz w:val="16"/>
          </w:rPr>
          <w:t>31</w:t>
        </w:r>
      </w:hyperlink>
    </w:p>
    <w:p>
      <w:pPr>
        <w:spacing w:line="196" w:lineRule="exact" w:before="0"/>
        <w:ind w:left="545" w:right="0" w:firstLine="0"/>
        <w:jc w:val="left"/>
        <w:rPr>
          <w:sz w:val="16"/>
        </w:rPr>
      </w:pPr>
      <w:hyperlink w:history="true" w:anchor="_bookmark9">
        <w:r>
          <w:rPr>
            <w:color w:val="231F20"/>
            <w:sz w:val="16"/>
          </w:rPr>
          <w:t>tour</w:t>
        </w:r>
        <w:r>
          <w:rPr>
            <w:color w:val="231F20"/>
            <w:spacing w:val="38"/>
            <w:sz w:val="16"/>
          </w:rPr>
          <w:t>  </w:t>
        </w:r>
        <w:r>
          <w:rPr>
            <w:color w:val="231F20"/>
            <w:spacing w:val="-5"/>
            <w:sz w:val="16"/>
          </w:rPr>
          <w:t>15</w:t>
        </w:r>
      </w:hyperlink>
    </w:p>
    <w:p>
      <w:pPr>
        <w:spacing w:line="220" w:lineRule="auto" w:before="5"/>
        <w:ind w:left="305" w:right="1452" w:firstLine="239"/>
        <w:jc w:val="left"/>
        <w:rPr>
          <w:sz w:val="16"/>
        </w:rPr>
      </w:pPr>
      <w:hyperlink w:history="true" w:anchor="_bookmark14">
        <w:r>
          <w:rPr>
            <w:color w:val="231F20"/>
            <w:sz w:val="16"/>
          </w:rPr>
          <w:t>view toolbar</w:t>
        </w:r>
        <w:r>
          <w:rPr>
            <w:color w:val="231F20"/>
            <w:spacing w:val="80"/>
            <w:sz w:val="16"/>
          </w:rPr>
          <w:t> </w:t>
        </w:r>
        <w:r>
          <w:rPr>
            <w:color w:val="231F20"/>
            <w:sz w:val="16"/>
          </w:rPr>
          <w:t>22</w:t>
        </w:r>
      </w:hyperlink>
      <w:r>
        <w:rPr>
          <w:color w:val="231F20"/>
          <w:spacing w:val="40"/>
          <w:sz w:val="16"/>
        </w:rPr>
        <w:t> </w:t>
      </w:r>
      <w:r>
        <w:rPr>
          <w:color w:val="231F20"/>
          <w:spacing w:val="-2"/>
          <w:sz w:val="16"/>
        </w:rPr>
        <w:t>Navigator</w:t>
      </w:r>
    </w:p>
    <w:p>
      <w:pPr>
        <w:spacing w:line="196" w:lineRule="exact" w:before="0"/>
        <w:ind w:left="545" w:right="0" w:firstLine="0"/>
        <w:jc w:val="left"/>
        <w:rPr>
          <w:sz w:val="16"/>
        </w:rPr>
      </w:pPr>
      <w:hyperlink w:history="true" w:anchor="_bookmark17">
        <w:r>
          <w:rPr>
            <w:color w:val="231F20"/>
            <w:sz w:val="16"/>
          </w:rPr>
          <w:t>find</w:t>
        </w:r>
        <w:r>
          <w:rPr>
            <w:color w:val="231F20"/>
            <w:spacing w:val="11"/>
            <w:sz w:val="16"/>
          </w:rPr>
          <w:t> </w:t>
        </w:r>
        <w:r>
          <w:rPr>
            <w:color w:val="231F20"/>
            <w:sz w:val="16"/>
          </w:rPr>
          <w:t>items</w:t>
        </w:r>
        <w:r>
          <w:rPr>
            <w:color w:val="231F20"/>
            <w:spacing w:val="37"/>
            <w:sz w:val="16"/>
          </w:rPr>
          <w:t>  </w:t>
        </w:r>
        <w:r>
          <w:rPr>
            <w:color w:val="231F20"/>
            <w:spacing w:val="-5"/>
            <w:sz w:val="16"/>
          </w:rPr>
          <w:t>26</w:t>
        </w:r>
      </w:hyperlink>
    </w:p>
    <w:p>
      <w:pPr>
        <w:spacing w:line="220" w:lineRule="auto" w:before="5"/>
        <w:ind w:left="305" w:right="1452" w:firstLine="239"/>
        <w:jc w:val="left"/>
        <w:rPr>
          <w:sz w:val="16"/>
        </w:rPr>
      </w:pPr>
      <w:hyperlink w:history="true" w:anchor="_bookmark18">
        <w:r>
          <w:rPr>
            <w:color w:val="231F20"/>
            <w:sz w:val="16"/>
          </w:rPr>
          <w:t>open</w:t>
        </w:r>
        <w:r>
          <w:rPr>
            <w:color w:val="231F20"/>
            <w:spacing w:val="80"/>
            <w:sz w:val="16"/>
          </w:rPr>
          <w:t> </w:t>
        </w:r>
        <w:r>
          <w:rPr>
            <w:color w:val="231F20"/>
            <w:sz w:val="16"/>
          </w:rPr>
          <w:t>28</w:t>
        </w:r>
      </w:hyperlink>
      <w:r>
        <w:rPr>
          <w:color w:val="231F20"/>
          <w:spacing w:val="40"/>
          <w:sz w:val="16"/>
        </w:rPr>
        <w:t> </w:t>
      </w:r>
      <w:r>
        <w:rPr>
          <w:color w:val="231F20"/>
          <w:sz w:val="16"/>
        </w:rPr>
        <w:t>navigator</w:t>
      </w:r>
      <w:r>
        <w:rPr>
          <w:color w:val="231F20"/>
          <w:spacing w:val="-6"/>
          <w:sz w:val="16"/>
        </w:rPr>
        <w:t> </w:t>
      </w:r>
      <w:r>
        <w:rPr>
          <w:color w:val="231F20"/>
          <w:sz w:val="16"/>
        </w:rPr>
        <w:t>views</w:t>
      </w:r>
    </w:p>
    <w:p>
      <w:pPr>
        <w:spacing w:line="220" w:lineRule="auto" w:before="2"/>
        <w:ind w:left="545" w:right="348" w:firstLine="0"/>
        <w:jc w:val="left"/>
        <w:rPr>
          <w:sz w:val="16"/>
        </w:rPr>
      </w:pPr>
      <w:hyperlink w:history="true" w:anchor="_bookmark167">
        <w:r>
          <w:rPr>
            <w:rFonts w:ascii="Book Antiqua"/>
            <w:i/>
            <w:color w:val="231F20"/>
            <w:sz w:val="16"/>
          </w:rPr>
          <w:t>See also </w:t>
        </w:r>
        <w:r>
          <w:rPr>
            <w:color w:val="231F20"/>
            <w:sz w:val="16"/>
          </w:rPr>
          <w:t>custom navigator </w:t>
        </w:r>
        <w:r>
          <w:rPr>
            <w:color w:val="231F20"/>
            <w:sz w:val="16"/>
          </w:rPr>
          <w:t>views</w:t>
        </w:r>
      </w:hyperlink>
      <w:r>
        <w:rPr>
          <w:color w:val="231F20"/>
          <w:spacing w:val="40"/>
          <w:sz w:val="16"/>
        </w:rPr>
        <w:t> </w:t>
      </w:r>
      <w:hyperlink w:history="true" w:anchor="_bookmark179">
        <w:r>
          <w:rPr>
            <w:color w:val="231F20"/>
            <w:sz w:val="16"/>
          </w:rPr>
          <w:t>list for current item</w:t>
        </w:r>
        <w:r>
          <w:rPr>
            <w:color w:val="231F20"/>
            <w:spacing w:val="80"/>
            <w:sz w:val="16"/>
          </w:rPr>
          <w:t> </w:t>
        </w:r>
        <w:r>
          <w:rPr>
            <w:color w:val="231F20"/>
            <w:sz w:val="16"/>
          </w:rPr>
          <w:t>247</w:t>
        </w:r>
      </w:hyperlink>
    </w:p>
    <w:p>
      <w:pPr>
        <w:spacing w:line="220" w:lineRule="auto" w:before="2"/>
        <w:ind w:left="305" w:right="1037" w:firstLine="0"/>
        <w:jc w:val="left"/>
        <w:rPr>
          <w:sz w:val="16"/>
        </w:rPr>
      </w:pPr>
      <w:hyperlink w:history="true" w:anchor="_bookmark1">
        <w:r>
          <w:rPr>
            <w:color w:val="231F20"/>
            <w:sz w:val="16"/>
          </w:rPr>
          <w:t>new in this release</w:t>
        </w:r>
        <w:r>
          <w:rPr>
            <w:color w:val="231F20"/>
            <w:spacing w:val="80"/>
            <w:sz w:val="16"/>
          </w:rPr>
          <w:t> </w:t>
        </w:r>
        <w:r>
          <w:rPr>
            <w:color w:val="231F20"/>
            <w:sz w:val="16"/>
          </w:rPr>
          <w:t>1</w:t>
        </w:r>
      </w:hyperlink>
      <w:r>
        <w:rPr>
          <w:color w:val="231F20"/>
          <w:spacing w:val="40"/>
          <w:sz w:val="16"/>
        </w:rPr>
        <w:t> </w:t>
      </w:r>
      <w:r>
        <w:rPr>
          <w:color w:val="231F20"/>
          <w:sz w:val="16"/>
        </w:rPr>
        <w:t>notepad view</w:t>
      </w:r>
    </w:p>
    <w:p>
      <w:pPr>
        <w:spacing w:line="204" w:lineRule="exact" w:before="0"/>
        <w:ind w:left="545" w:right="0" w:firstLine="0"/>
        <w:jc w:val="left"/>
        <w:rPr>
          <w:sz w:val="16"/>
        </w:rPr>
      </w:pPr>
      <w:hyperlink w:history="true" w:anchor="_bookmark123">
        <w:r>
          <w:rPr>
            <w:color w:val="231F20"/>
            <w:sz w:val="16"/>
          </w:rPr>
          <w:t>adding</w:t>
        </w:r>
        <w:r>
          <w:rPr>
            <w:color w:val="231F20"/>
            <w:spacing w:val="36"/>
            <w:sz w:val="16"/>
          </w:rPr>
          <w:t>  </w:t>
        </w:r>
        <w:r>
          <w:rPr>
            <w:color w:val="231F20"/>
            <w:spacing w:val="-5"/>
            <w:sz w:val="16"/>
          </w:rPr>
          <w:t>166</w:t>
        </w:r>
      </w:hyperlink>
    </w:p>
    <w:p>
      <w:pPr>
        <w:pStyle w:val="BodyText"/>
        <w:spacing w:before="105"/>
        <w:rPr>
          <w:sz w:val="16"/>
        </w:rPr>
      </w:pPr>
    </w:p>
    <w:p>
      <w:pPr>
        <w:pStyle w:val="Heading1"/>
        <w:ind w:left="305"/>
      </w:pPr>
      <w:bookmarkStart w:name="O" w:id="763"/>
      <w:bookmarkEnd w:id="763"/>
      <w:r>
        <w:rPr>
          <w:b w:val="0"/>
        </w:rPr>
      </w:r>
      <w:r>
        <w:rPr>
          <w:color w:val="231F20"/>
          <w:spacing w:val="-10"/>
        </w:rPr>
        <w:t>O</w:t>
      </w:r>
    </w:p>
    <w:p>
      <w:pPr>
        <w:spacing w:line="220" w:lineRule="auto" w:before="10"/>
        <w:ind w:left="545" w:right="1679" w:hanging="240"/>
        <w:jc w:val="left"/>
        <w:rPr>
          <w:sz w:val="16"/>
        </w:rPr>
      </w:pPr>
      <w:r>
        <w:rPr>
          <w:color w:val="231F20"/>
          <w:sz w:val="16"/>
        </w:rPr>
        <w:t>object group</w:t>
      </w:r>
      <w:r>
        <w:rPr>
          <w:color w:val="231F20"/>
          <w:spacing w:val="40"/>
          <w:sz w:val="16"/>
        </w:rPr>
        <w:t> </w:t>
      </w:r>
      <w:hyperlink w:history="true" w:anchor="_bookmark288">
        <w:r>
          <w:rPr>
            <w:color w:val="231F20"/>
            <w:sz w:val="16"/>
          </w:rPr>
          <w:t>editor</w:t>
        </w:r>
        <w:r>
          <w:rPr>
            <w:color w:val="231F20"/>
            <w:spacing w:val="80"/>
            <w:sz w:val="16"/>
          </w:rPr>
          <w:t> </w:t>
        </w:r>
        <w:r>
          <w:rPr>
            <w:color w:val="231F20"/>
            <w:sz w:val="16"/>
          </w:rPr>
          <w:t>381</w:t>
        </w:r>
      </w:hyperlink>
    </w:p>
    <w:p>
      <w:pPr>
        <w:spacing w:line="196" w:lineRule="exact" w:before="0"/>
        <w:ind w:left="305" w:right="0" w:firstLine="0"/>
        <w:jc w:val="left"/>
        <w:rPr>
          <w:sz w:val="16"/>
        </w:rPr>
      </w:pPr>
      <w:r>
        <w:rPr>
          <w:color w:val="231F20"/>
          <w:sz w:val="16"/>
        </w:rPr>
        <w:t>object</w:t>
      </w:r>
      <w:r>
        <w:rPr>
          <w:color w:val="231F20"/>
          <w:spacing w:val="8"/>
          <w:sz w:val="16"/>
        </w:rPr>
        <w:t> </w:t>
      </w:r>
      <w:r>
        <w:rPr>
          <w:color w:val="231F20"/>
          <w:spacing w:val="-2"/>
          <w:sz w:val="16"/>
        </w:rPr>
        <w:t>groups</w:t>
      </w:r>
    </w:p>
    <w:p>
      <w:pPr>
        <w:spacing w:line="200" w:lineRule="exact" w:before="0"/>
        <w:ind w:left="545" w:right="0" w:firstLine="0"/>
        <w:jc w:val="left"/>
        <w:rPr>
          <w:sz w:val="16"/>
        </w:rPr>
      </w:pPr>
      <w:hyperlink w:history="true" w:anchor="_bookmark162">
        <w:r>
          <w:rPr>
            <w:color w:val="231F20"/>
            <w:sz w:val="16"/>
          </w:rPr>
          <w:t>historical</w:t>
        </w:r>
        <w:r>
          <w:rPr>
            <w:color w:val="231F20"/>
            <w:spacing w:val="9"/>
            <w:sz w:val="16"/>
          </w:rPr>
          <w:t> </w:t>
        </w:r>
        <w:r>
          <w:rPr>
            <w:color w:val="231F20"/>
            <w:sz w:val="16"/>
          </w:rPr>
          <w:t>configuration</w:t>
        </w:r>
        <w:r>
          <w:rPr>
            <w:color w:val="231F20"/>
            <w:spacing w:val="34"/>
            <w:sz w:val="16"/>
          </w:rPr>
          <w:t>  </w:t>
        </w:r>
        <w:r>
          <w:rPr>
            <w:color w:val="231F20"/>
            <w:sz w:val="16"/>
          </w:rPr>
          <w:t>227,</w:t>
        </w:r>
      </w:hyperlink>
      <w:r>
        <w:rPr>
          <w:color w:val="231F20"/>
          <w:spacing w:val="9"/>
          <w:sz w:val="16"/>
        </w:rPr>
        <w:t> </w:t>
      </w:r>
      <w:hyperlink w:history="true" w:anchor="_bookmark294">
        <w:r>
          <w:rPr>
            <w:color w:val="231F20"/>
            <w:sz w:val="16"/>
          </w:rPr>
          <w:t>386,</w:t>
        </w:r>
      </w:hyperlink>
      <w:r>
        <w:rPr>
          <w:color w:val="231F20"/>
          <w:spacing w:val="10"/>
          <w:sz w:val="16"/>
        </w:rPr>
        <w:t> </w:t>
      </w:r>
      <w:hyperlink w:history="true" w:anchor="_bookmark295">
        <w:r>
          <w:rPr>
            <w:color w:val="231F20"/>
            <w:spacing w:val="-5"/>
            <w:sz w:val="16"/>
          </w:rPr>
          <w:t>387</w:t>
        </w:r>
      </w:hyperlink>
    </w:p>
    <w:p>
      <w:pPr>
        <w:spacing w:line="200" w:lineRule="exact" w:before="0"/>
        <w:ind w:left="545" w:right="0" w:firstLine="0"/>
        <w:jc w:val="left"/>
        <w:rPr>
          <w:sz w:val="16"/>
        </w:rPr>
      </w:pPr>
      <w:hyperlink w:history="true" w:anchor="_bookmark288">
        <w:r>
          <w:rPr>
            <w:color w:val="231F20"/>
            <w:sz w:val="16"/>
          </w:rPr>
          <w:t>introduction</w:t>
        </w:r>
        <w:r>
          <w:rPr>
            <w:color w:val="231F20"/>
            <w:spacing w:val="33"/>
            <w:sz w:val="16"/>
          </w:rPr>
          <w:t>  </w:t>
        </w:r>
        <w:r>
          <w:rPr>
            <w:color w:val="231F20"/>
            <w:spacing w:val="-5"/>
            <w:sz w:val="16"/>
          </w:rPr>
          <w:t>381</w:t>
        </w:r>
      </w:hyperlink>
    </w:p>
    <w:p>
      <w:pPr>
        <w:spacing w:line="220" w:lineRule="auto" w:before="6"/>
        <w:ind w:left="305" w:right="1037" w:firstLine="239"/>
        <w:jc w:val="left"/>
        <w:rPr>
          <w:sz w:val="16"/>
        </w:rPr>
      </w:pPr>
      <w:hyperlink w:history="true" w:anchor="_bookmark291">
        <w:r>
          <w:rPr>
            <w:color w:val="231F20"/>
            <w:sz w:val="16"/>
          </w:rPr>
          <w:t>managed system</w:t>
        </w:r>
        <w:r>
          <w:rPr>
            <w:color w:val="231F20"/>
            <w:spacing w:val="80"/>
            <w:sz w:val="16"/>
          </w:rPr>
          <w:t> </w:t>
        </w:r>
        <w:r>
          <w:rPr>
            <w:color w:val="231F20"/>
            <w:sz w:val="16"/>
          </w:rPr>
          <w:t>383</w:t>
        </w:r>
      </w:hyperlink>
      <w:r>
        <w:rPr>
          <w:color w:val="231F20"/>
          <w:spacing w:val="40"/>
          <w:sz w:val="16"/>
        </w:rPr>
        <w:t> </w:t>
      </w:r>
      <w:r>
        <w:rPr>
          <w:color w:val="231F20"/>
          <w:sz w:val="16"/>
        </w:rPr>
        <w:t>ODBC database query</w:t>
      </w:r>
    </w:p>
    <w:p>
      <w:pPr>
        <w:spacing w:line="196" w:lineRule="exact" w:before="0"/>
        <w:ind w:left="545" w:right="0" w:firstLine="0"/>
        <w:jc w:val="left"/>
        <w:rPr>
          <w:sz w:val="16"/>
        </w:rPr>
      </w:pPr>
      <w:hyperlink w:history="true" w:anchor="_bookmark144">
        <w:r>
          <w:rPr>
            <w:color w:val="231F20"/>
            <w:sz w:val="16"/>
          </w:rPr>
          <w:t>create</w:t>
        </w:r>
        <w:r>
          <w:rPr>
            <w:color w:val="231F20"/>
            <w:spacing w:val="35"/>
            <w:sz w:val="16"/>
          </w:rPr>
          <w:t>  </w:t>
        </w:r>
        <w:r>
          <w:rPr>
            <w:color w:val="231F20"/>
            <w:spacing w:val="-5"/>
            <w:sz w:val="16"/>
          </w:rPr>
          <w:t>203</w:t>
        </w:r>
      </w:hyperlink>
    </w:p>
    <w:p>
      <w:pPr>
        <w:spacing w:line="220" w:lineRule="auto" w:before="5"/>
        <w:ind w:left="545" w:right="550" w:firstLine="0"/>
        <w:jc w:val="left"/>
        <w:rPr>
          <w:sz w:val="16"/>
        </w:rPr>
      </w:pPr>
      <w:hyperlink w:history="true" w:anchor="_bookmark146">
        <w:r>
          <w:rPr>
            <w:color w:val="231F20"/>
            <w:sz w:val="16"/>
          </w:rPr>
          <w:t>create another query</w:t>
        </w:r>
        <w:r>
          <w:rPr>
            <w:color w:val="231F20"/>
            <w:spacing w:val="80"/>
            <w:sz w:val="16"/>
          </w:rPr>
          <w:t> </w:t>
        </w:r>
        <w:r>
          <w:rPr>
            <w:color w:val="231F20"/>
            <w:sz w:val="16"/>
          </w:rPr>
          <w:t>205</w:t>
        </w:r>
      </w:hyperlink>
      <w:r>
        <w:rPr>
          <w:color w:val="231F20"/>
          <w:spacing w:val="40"/>
          <w:sz w:val="16"/>
        </w:rPr>
        <w:t> </w:t>
      </w:r>
      <w:hyperlink w:history="true" w:anchor="_bookmark145">
        <w:r>
          <w:rPr>
            <w:color w:val="231F20"/>
            <w:sz w:val="16"/>
          </w:rPr>
          <w:t>notes</w:t>
        </w:r>
        <w:r>
          <w:rPr>
            <w:color w:val="231F20"/>
            <w:spacing w:val="80"/>
            <w:sz w:val="16"/>
          </w:rPr>
          <w:t> </w:t>
        </w:r>
        <w:r>
          <w:rPr>
            <w:color w:val="231F20"/>
            <w:sz w:val="16"/>
          </w:rPr>
          <w:t>204</w:t>
        </w:r>
      </w:hyperlink>
    </w:p>
    <w:p>
      <w:pPr>
        <w:spacing w:line="220" w:lineRule="auto" w:before="2"/>
        <w:ind w:left="305" w:right="868" w:firstLine="239"/>
        <w:jc w:val="left"/>
        <w:rPr>
          <w:sz w:val="16"/>
        </w:rPr>
      </w:pPr>
      <w:hyperlink w:history="true" w:anchor="_bookmark147">
        <w:r>
          <w:rPr>
            <w:color w:val="231F20"/>
            <w:sz w:val="16"/>
          </w:rPr>
          <w:t>symbols used</w:t>
        </w:r>
        <w:r>
          <w:rPr>
            <w:color w:val="231F20"/>
            <w:spacing w:val="80"/>
            <w:sz w:val="16"/>
          </w:rPr>
          <w:t> </w:t>
        </w:r>
        <w:r>
          <w:rPr>
            <w:color w:val="231F20"/>
            <w:sz w:val="16"/>
          </w:rPr>
          <w:t>206</w:t>
        </w:r>
      </w:hyperlink>
      <w:r>
        <w:rPr>
          <w:color w:val="231F20"/>
          <w:spacing w:val="80"/>
          <w:sz w:val="16"/>
        </w:rPr>
        <w:t> </w:t>
      </w:r>
      <w:hyperlink w:history="true" w:anchor="_bookmark22">
        <w:r>
          <w:rPr>
            <w:color w:val="231F20"/>
            <w:sz w:val="16"/>
          </w:rPr>
          <w:t>offline managed systems</w:t>
        </w:r>
        <w:r>
          <w:rPr>
            <w:color w:val="231F20"/>
            <w:spacing w:val="80"/>
            <w:sz w:val="16"/>
          </w:rPr>
          <w:t> </w:t>
        </w:r>
        <w:r>
          <w:rPr>
            <w:color w:val="231F20"/>
            <w:sz w:val="16"/>
          </w:rPr>
          <w:t>32</w:t>
        </w:r>
      </w:hyperlink>
      <w:r>
        <w:rPr>
          <w:color w:val="231F20"/>
          <w:spacing w:val="40"/>
          <w:sz w:val="16"/>
        </w:rPr>
        <w:t> </w:t>
      </w:r>
      <w:hyperlink w:history="true" w:anchor="_bookmark256">
        <w:r>
          <w:rPr>
            <w:color w:val="231F20"/>
            <w:sz w:val="16"/>
          </w:rPr>
          <w:t>On Demand Report</w:t>
        </w:r>
        <w:r>
          <w:rPr>
            <w:color w:val="231F20"/>
            <w:spacing w:val="80"/>
            <w:sz w:val="16"/>
          </w:rPr>
          <w:t> </w:t>
        </w:r>
        <w:r>
          <w:rPr>
            <w:color w:val="231F20"/>
            <w:sz w:val="16"/>
          </w:rPr>
          <w:t>346</w:t>
        </w:r>
      </w:hyperlink>
      <w:r>
        <w:rPr>
          <w:color w:val="231F20"/>
          <w:spacing w:val="40"/>
          <w:sz w:val="16"/>
        </w:rPr>
        <w:t> </w:t>
      </w:r>
      <w:hyperlink w:history="true" w:anchor="_bookmark315">
        <w:r>
          <w:rPr>
            <w:color w:val="231F20"/>
            <w:sz w:val="16"/>
          </w:rPr>
          <w:t>optimizing resources</w:t>
        </w:r>
        <w:r>
          <w:rPr>
            <w:color w:val="231F20"/>
            <w:spacing w:val="80"/>
            <w:sz w:val="16"/>
          </w:rPr>
          <w:t> </w:t>
        </w:r>
        <w:r>
          <w:rPr>
            <w:color w:val="231F20"/>
            <w:sz w:val="16"/>
          </w:rPr>
          <w:t>406</w:t>
        </w:r>
      </w:hyperlink>
    </w:p>
    <w:p>
      <w:pPr>
        <w:spacing w:line="220" w:lineRule="auto" w:before="4"/>
        <w:ind w:left="305" w:right="1037" w:firstLine="0"/>
        <w:jc w:val="left"/>
        <w:rPr>
          <w:sz w:val="16"/>
        </w:rPr>
      </w:pPr>
      <w:hyperlink w:history="true" w:anchor="_bookmark218">
        <w:r>
          <w:rPr>
            <w:color w:val="231F20"/>
            <w:sz w:val="16"/>
          </w:rPr>
          <w:t>override situation</w:t>
        </w:r>
        <w:r>
          <w:rPr>
            <w:color w:val="231F20"/>
            <w:spacing w:val="80"/>
            <w:sz w:val="16"/>
          </w:rPr>
          <w:t> </w:t>
        </w:r>
        <w:r>
          <w:rPr>
            <w:color w:val="231F20"/>
            <w:sz w:val="16"/>
          </w:rPr>
          <w:t>295</w:t>
        </w:r>
      </w:hyperlink>
      <w:r>
        <w:rPr>
          <w:color w:val="231F20"/>
          <w:spacing w:val="40"/>
          <w:sz w:val="16"/>
        </w:rPr>
        <w:t> </w:t>
      </w:r>
      <w:r>
        <w:rPr>
          <w:color w:val="231F20"/>
          <w:spacing w:val="-2"/>
          <w:sz w:val="16"/>
        </w:rPr>
        <w:t>overrides</w:t>
      </w:r>
    </w:p>
    <w:p>
      <w:pPr>
        <w:spacing w:line="196" w:lineRule="exact" w:before="0"/>
        <w:ind w:left="545" w:right="0" w:firstLine="0"/>
        <w:jc w:val="left"/>
        <w:rPr>
          <w:sz w:val="16"/>
        </w:rPr>
      </w:pPr>
      <w:hyperlink w:history="true" w:anchor="_bookmark218">
        <w:r>
          <w:rPr>
            <w:color w:val="231F20"/>
            <w:sz w:val="16"/>
          </w:rPr>
          <w:t>creating</w:t>
        </w:r>
        <w:r>
          <w:rPr>
            <w:color w:val="231F20"/>
            <w:spacing w:val="9"/>
            <w:sz w:val="16"/>
          </w:rPr>
          <w:t> </w:t>
        </w:r>
        <w:r>
          <w:rPr>
            <w:color w:val="231F20"/>
            <w:sz w:val="16"/>
          </w:rPr>
          <w:t>situation</w:t>
        </w:r>
        <w:r>
          <w:rPr>
            <w:color w:val="231F20"/>
            <w:spacing w:val="34"/>
            <w:sz w:val="16"/>
          </w:rPr>
          <w:t>  </w:t>
        </w:r>
        <w:r>
          <w:rPr>
            <w:color w:val="231F20"/>
            <w:spacing w:val="-5"/>
            <w:sz w:val="16"/>
          </w:rPr>
          <w:t>295</w:t>
        </w:r>
      </w:hyperlink>
    </w:p>
    <w:p>
      <w:pPr>
        <w:spacing w:line="220" w:lineRule="auto" w:before="5"/>
        <w:ind w:left="545" w:right="0" w:firstLine="0"/>
        <w:jc w:val="left"/>
        <w:rPr>
          <w:sz w:val="16"/>
        </w:rPr>
      </w:pPr>
      <w:hyperlink w:history="true" w:anchor="_bookmark221">
        <w:r>
          <w:rPr>
            <w:color w:val="231F20"/>
            <w:sz w:val="16"/>
          </w:rPr>
          <w:t>enabling or disabling situation</w:t>
        </w:r>
        <w:r>
          <w:rPr>
            <w:color w:val="231F20"/>
            <w:spacing w:val="80"/>
            <w:sz w:val="16"/>
          </w:rPr>
          <w:t> </w:t>
        </w:r>
        <w:r>
          <w:rPr>
            <w:color w:val="231F20"/>
            <w:sz w:val="16"/>
          </w:rPr>
          <w:t>298</w:t>
        </w:r>
      </w:hyperlink>
      <w:r>
        <w:rPr>
          <w:color w:val="231F20"/>
          <w:spacing w:val="40"/>
          <w:sz w:val="16"/>
        </w:rPr>
        <w:t> </w:t>
      </w:r>
      <w:hyperlink w:history="true" w:anchor="_bookmark227">
        <w:r>
          <w:rPr>
            <w:color w:val="231F20"/>
            <w:sz w:val="16"/>
          </w:rPr>
          <w:t>modeling expression</w:t>
        </w:r>
        <w:r>
          <w:rPr>
            <w:color w:val="231F20"/>
            <w:spacing w:val="80"/>
            <w:sz w:val="16"/>
          </w:rPr>
          <w:t> </w:t>
        </w:r>
        <w:r>
          <w:rPr>
            <w:color w:val="231F20"/>
            <w:sz w:val="16"/>
          </w:rPr>
          <w:t>305</w:t>
        </w:r>
      </w:hyperlink>
    </w:p>
    <w:p>
      <w:pPr>
        <w:spacing w:line="204" w:lineRule="exact" w:before="0"/>
        <w:ind w:left="545" w:right="0" w:firstLine="0"/>
        <w:jc w:val="left"/>
        <w:rPr>
          <w:sz w:val="16"/>
        </w:rPr>
      </w:pPr>
      <w:hyperlink w:history="true" w:anchor="_bookmark222">
        <w:r>
          <w:rPr>
            <w:color w:val="231F20"/>
            <w:sz w:val="16"/>
          </w:rPr>
          <w:t>removing</w:t>
        </w:r>
        <w:r>
          <w:rPr>
            <w:color w:val="231F20"/>
            <w:spacing w:val="8"/>
            <w:sz w:val="16"/>
          </w:rPr>
          <w:t> </w:t>
        </w:r>
        <w:r>
          <w:rPr>
            <w:color w:val="231F20"/>
            <w:sz w:val="16"/>
          </w:rPr>
          <w:t>situation</w:t>
        </w:r>
        <w:r>
          <w:rPr>
            <w:color w:val="231F20"/>
            <w:spacing w:val="33"/>
            <w:sz w:val="16"/>
          </w:rPr>
          <w:t>  </w:t>
        </w:r>
        <w:r>
          <w:rPr>
            <w:color w:val="231F20"/>
            <w:spacing w:val="-5"/>
            <w:sz w:val="16"/>
          </w:rPr>
          <w:t>299</w:t>
        </w:r>
      </w:hyperlink>
    </w:p>
    <w:p>
      <w:pPr>
        <w:pStyle w:val="BodyText"/>
        <w:spacing w:before="104"/>
        <w:rPr>
          <w:sz w:val="16"/>
        </w:rPr>
      </w:pPr>
    </w:p>
    <w:p>
      <w:pPr>
        <w:pStyle w:val="Heading1"/>
        <w:spacing w:before="1"/>
        <w:ind w:left="305"/>
      </w:pPr>
      <w:bookmarkStart w:name="P" w:id="764"/>
      <w:bookmarkEnd w:id="764"/>
      <w:r>
        <w:rPr>
          <w:b w:val="0"/>
        </w:rPr>
      </w:r>
      <w:r>
        <w:rPr>
          <w:color w:val="231F20"/>
          <w:spacing w:val="-10"/>
        </w:rPr>
        <w:t>P</w:t>
      </w:r>
    </w:p>
    <w:p>
      <w:pPr>
        <w:spacing w:line="220" w:lineRule="auto" w:before="10"/>
        <w:ind w:left="425" w:right="348" w:hanging="120"/>
        <w:jc w:val="left"/>
        <w:rPr>
          <w:sz w:val="16"/>
        </w:rPr>
      </w:pPr>
      <w:hyperlink w:history="true" w:anchor="_bookmark321">
        <w:r>
          <w:rPr>
            <w:color w:val="231F20"/>
            <w:sz w:val="16"/>
          </w:rPr>
          <w:t>paste into a formula editor cell </w:t>
        </w:r>
        <w:r>
          <w:rPr>
            <w:color w:val="231F20"/>
            <w:sz w:val="16"/>
          </w:rPr>
          <w:t>or</w:t>
        </w:r>
      </w:hyperlink>
      <w:r>
        <w:rPr>
          <w:color w:val="231F20"/>
          <w:spacing w:val="40"/>
          <w:sz w:val="16"/>
        </w:rPr>
        <w:t> </w:t>
      </w:r>
      <w:hyperlink w:history="true" w:anchor="_bookmark321">
        <w:r>
          <w:rPr>
            <w:color w:val="231F20"/>
            <w:sz w:val="16"/>
          </w:rPr>
          <w:t>row</w:t>
        </w:r>
        <w:r>
          <w:rPr>
            <w:color w:val="231F20"/>
            <w:spacing w:val="80"/>
            <w:sz w:val="16"/>
          </w:rPr>
          <w:t> </w:t>
        </w:r>
        <w:r>
          <w:rPr>
            <w:color w:val="231F20"/>
            <w:sz w:val="16"/>
          </w:rPr>
          <w:t>415</w:t>
        </w:r>
      </w:hyperlink>
    </w:p>
    <w:p>
      <w:pPr>
        <w:spacing w:line="220" w:lineRule="auto" w:before="2"/>
        <w:ind w:left="305" w:right="0" w:firstLine="0"/>
        <w:jc w:val="left"/>
        <w:rPr>
          <w:sz w:val="16"/>
        </w:rPr>
      </w:pPr>
      <w:hyperlink w:history="true" w:anchor="_bookmark326">
        <w:r>
          <w:rPr>
            <w:color w:val="231F20"/>
            <w:sz w:val="16"/>
          </w:rPr>
          <w:t>PCTCHANGE formula function</w:t>
        </w:r>
        <w:r>
          <w:rPr>
            <w:color w:val="231F20"/>
            <w:spacing w:val="80"/>
            <w:sz w:val="16"/>
          </w:rPr>
          <w:t> </w:t>
        </w:r>
        <w:r>
          <w:rPr>
            <w:color w:val="231F20"/>
            <w:sz w:val="16"/>
          </w:rPr>
          <w:t>419</w:t>
        </w:r>
      </w:hyperlink>
      <w:r>
        <w:rPr>
          <w:color w:val="231F20"/>
          <w:spacing w:val="40"/>
          <w:sz w:val="16"/>
        </w:rPr>
        <w:t> </w:t>
      </w:r>
      <w:hyperlink w:history="true" w:anchor="_bookmark326">
        <w:r>
          <w:rPr>
            <w:color w:val="231F20"/>
            <w:sz w:val="16"/>
          </w:rPr>
          <w:t>Percent change in value</w:t>
        </w:r>
        <w:r>
          <w:rPr>
            <w:color w:val="231F20"/>
            <w:spacing w:val="80"/>
            <w:sz w:val="16"/>
          </w:rPr>
          <w:t> </w:t>
        </w:r>
        <w:r>
          <w:rPr>
            <w:color w:val="231F20"/>
            <w:sz w:val="16"/>
          </w:rPr>
          <w:t>419</w:t>
        </w:r>
      </w:hyperlink>
    </w:p>
    <w:p>
      <w:pPr>
        <w:spacing w:line="196" w:lineRule="exact" w:before="0"/>
        <w:ind w:left="305" w:right="0" w:firstLine="0"/>
        <w:jc w:val="left"/>
        <w:rPr>
          <w:sz w:val="16"/>
        </w:rPr>
      </w:pPr>
      <w:hyperlink w:history="true" w:anchor="_bookmark80">
        <w:r>
          <w:rPr>
            <w:color w:val="231F20"/>
            <w:sz w:val="16"/>
          </w:rPr>
          <w:t>pie</w:t>
        </w:r>
        <w:r>
          <w:rPr>
            <w:color w:val="231F20"/>
            <w:spacing w:val="11"/>
            <w:sz w:val="16"/>
          </w:rPr>
          <w:t> </w:t>
        </w:r>
        <w:r>
          <w:rPr>
            <w:color w:val="231F20"/>
            <w:sz w:val="16"/>
          </w:rPr>
          <w:t>chart</w:t>
        </w:r>
        <w:r>
          <w:rPr>
            <w:color w:val="231F20"/>
            <w:spacing w:val="37"/>
            <w:sz w:val="16"/>
          </w:rPr>
          <w:t>  </w:t>
        </w:r>
        <w:r>
          <w:rPr>
            <w:color w:val="231F20"/>
            <w:spacing w:val="-5"/>
            <w:sz w:val="16"/>
          </w:rPr>
          <w:t>105</w:t>
        </w:r>
      </w:hyperlink>
    </w:p>
    <w:p>
      <w:pPr>
        <w:spacing w:line="220" w:lineRule="auto" w:before="5"/>
        <w:ind w:left="545" w:right="1679" w:hanging="240"/>
        <w:jc w:val="left"/>
        <w:rPr>
          <w:sz w:val="16"/>
        </w:rPr>
      </w:pPr>
      <w:hyperlink w:history="true" w:anchor="_bookmark82">
        <w:r>
          <w:rPr>
            <w:color w:val="231F20"/>
            <w:sz w:val="16"/>
          </w:rPr>
          <w:t>plot chart</w:t>
        </w:r>
        <w:r>
          <w:rPr>
            <w:color w:val="231F20"/>
            <w:spacing w:val="80"/>
            <w:sz w:val="16"/>
          </w:rPr>
          <w:t> </w:t>
        </w:r>
        <w:r>
          <w:rPr>
            <w:color w:val="231F20"/>
            <w:sz w:val="16"/>
          </w:rPr>
          <w:t>108</w:t>
        </w:r>
      </w:hyperlink>
      <w:r>
        <w:rPr>
          <w:color w:val="231F20"/>
          <w:spacing w:val="40"/>
          <w:sz w:val="16"/>
        </w:rPr>
        <w:t> </w:t>
      </w:r>
      <w:r>
        <w:rPr>
          <w:color w:val="231F20"/>
          <w:sz w:val="16"/>
        </w:rPr>
        <w:t>area chart</w:t>
      </w:r>
    </w:p>
    <w:p>
      <w:pPr>
        <w:spacing w:line="196" w:lineRule="exact" w:before="0"/>
        <w:ind w:left="784" w:right="0" w:firstLine="0"/>
        <w:jc w:val="left"/>
        <w:rPr>
          <w:sz w:val="16"/>
        </w:rPr>
      </w:pPr>
      <w:hyperlink w:history="true" w:anchor="_bookmark91">
        <w:r>
          <w:rPr>
            <w:color w:val="231F20"/>
            <w:sz w:val="16"/>
          </w:rPr>
          <w:t>overlay</w:t>
        </w:r>
        <w:r>
          <w:rPr>
            <w:color w:val="231F20"/>
            <w:spacing w:val="36"/>
            <w:sz w:val="16"/>
          </w:rPr>
          <w:t>  </w:t>
        </w:r>
        <w:r>
          <w:rPr>
            <w:color w:val="231F20"/>
            <w:spacing w:val="-5"/>
            <w:sz w:val="16"/>
          </w:rPr>
          <w:t>120</w:t>
        </w:r>
      </w:hyperlink>
    </w:p>
    <w:p>
      <w:pPr>
        <w:spacing w:line="200" w:lineRule="exact" w:before="0"/>
        <w:ind w:left="545" w:right="0" w:firstLine="0"/>
        <w:jc w:val="left"/>
        <w:rPr>
          <w:sz w:val="16"/>
        </w:rPr>
      </w:pPr>
      <w:hyperlink w:history="true" w:anchor="_bookmark91">
        <w:r>
          <w:rPr>
            <w:color w:val="231F20"/>
            <w:sz w:val="16"/>
          </w:rPr>
          <w:t>overlay</w:t>
        </w:r>
        <w:r>
          <w:rPr>
            <w:color w:val="231F20"/>
            <w:spacing w:val="36"/>
            <w:sz w:val="16"/>
          </w:rPr>
          <w:t>  </w:t>
        </w:r>
        <w:r>
          <w:rPr>
            <w:color w:val="231F20"/>
            <w:spacing w:val="-5"/>
            <w:sz w:val="16"/>
          </w:rPr>
          <w:t>120</w:t>
        </w:r>
      </w:hyperlink>
    </w:p>
    <w:p>
      <w:pPr>
        <w:spacing w:line="200" w:lineRule="exact" w:before="0"/>
        <w:ind w:left="545" w:right="0" w:firstLine="0"/>
        <w:jc w:val="left"/>
        <w:rPr>
          <w:sz w:val="16"/>
        </w:rPr>
      </w:pPr>
      <w:hyperlink w:history="true" w:anchor="_bookmark86">
        <w:r>
          <w:rPr>
            <w:color w:val="231F20"/>
            <w:sz w:val="16"/>
          </w:rPr>
          <w:t>plot</w:t>
        </w:r>
        <w:r>
          <w:rPr>
            <w:color w:val="231F20"/>
            <w:spacing w:val="10"/>
            <w:sz w:val="16"/>
          </w:rPr>
          <w:t> </w:t>
        </w:r>
        <w:r>
          <w:rPr>
            <w:color w:val="231F20"/>
            <w:sz w:val="16"/>
          </w:rPr>
          <w:t>area</w:t>
        </w:r>
        <w:r>
          <w:rPr>
            <w:color w:val="231F20"/>
            <w:spacing w:val="36"/>
            <w:sz w:val="16"/>
          </w:rPr>
          <w:t>  </w:t>
        </w:r>
        <w:r>
          <w:rPr>
            <w:color w:val="231F20"/>
            <w:spacing w:val="-5"/>
            <w:sz w:val="16"/>
          </w:rPr>
          <w:t>115</w:t>
        </w:r>
      </w:hyperlink>
    </w:p>
    <w:p>
      <w:pPr>
        <w:spacing w:line="200" w:lineRule="exact" w:before="0"/>
        <w:ind w:left="545" w:right="0" w:firstLine="0"/>
        <w:jc w:val="left"/>
        <w:rPr>
          <w:sz w:val="16"/>
        </w:rPr>
      </w:pPr>
      <w:hyperlink w:history="true" w:anchor="_bookmark88">
        <w:r>
          <w:rPr>
            <w:color w:val="231F20"/>
            <w:sz w:val="16"/>
          </w:rPr>
          <w:t>thresholds</w:t>
        </w:r>
        <w:r>
          <w:rPr>
            <w:color w:val="231F20"/>
            <w:spacing w:val="34"/>
            <w:sz w:val="16"/>
          </w:rPr>
          <w:t>  </w:t>
        </w:r>
        <w:r>
          <w:rPr>
            <w:color w:val="231F20"/>
            <w:spacing w:val="-5"/>
            <w:sz w:val="16"/>
          </w:rPr>
          <w:t>117</w:t>
        </w:r>
      </w:hyperlink>
    </w:p>
    <w:p>
      <w:pPr>
        <w:spacing w:line="220" w:lineRule="auto" w:before="5"/>
        <w:ind w:left="305" w:right="348" w:firstLine="239"/>
        <w:jc w:val="left"/>
        <w:rPr>
          <w:sz w:val="16"/>
        </w:rPr>
      </w:pPr>
      <w:hyperlink w:history="true" w:anchor="_bookmark93">
        <w:r>
          <w:rPr>
            <w:color w:val="231F20"/>
            <w:sz w:val="16"/>
          </w:rPr>
          <w:t>value and category axes</w:t>
        </w:r>
        <w:r>
          <w:rPr>
            <w:color w:val="231F20"/>
            <w:spacing w:val="80"/>
            <w:sz w:val="16"/>
          </w:rPr>
          <w:t> </w:t>
        </w:r>
        <w:r>
          <w:rPr>
            <w:color w:val="231F20"/>
            <w:sz w:val="16"/>
          </w:rPr>
          <w:t>123</w:t>
        </w:r>
      </w:hyperlink>
      <w:r>
        <w:rPr>
          <w:color w:val="231F20"/>
          <w:spacing w:val="40"/>
          <w:sz w:val="16"/>
        </w:rPr>
        <w:t> </w:t>
      </w:r>
      <w:r>
        <w:rPr>
          <w:color w:val="231F20"/>
          <w:spacing w:val="-2"/>
          <w:sz w:val="16"/>
        </w:rPr>
        <w:t>policies</w:t>
      </w:r>
    </w:p>
    <w:p>
      <w:pPr>
        <w:spacing w:line="196" w:lineRule="exact" w:before="0"/>
        <w:ind w:left="545" w:right="0" w:firstLine="0"/>
        <w:jc w:val="left"/>
        <w:rPr>
          <w:sz w:val="16"/>
        </w:rPr>
      </w:pPr>
      <w:hyperlink w:history="true" w:anchor="_bookmark239">
        <w:r>
          <w:rPr>
            <w:color w:val="231F20"/>
            <w:sz w:val="16"/>
          </w:rPr>
          <w:t>copy</w:t>
        </w:r>
        <w:r>
          <w:rPr>
            <w:color w:val="231F20"/>
            <w:spacing w:val="37"/>
            <w:sz w:val="16"/>
          </w:rPr>
          <w:t>  </w:t>
        </w:r>
        <w:r>
          <w:rPr>
            <w:color w:val="231F20"/>
            <w:spacing w:val="-5"/>
            <w:sz w:val="16"/>
          </w:rPr>
          <w:t>328</w:t>
        </w:r>
      </w:hyperlink>
    </w:p>
    <w:p>
      <w:pPr>
        <w:spacing w:line="200" w:lineRule="exact" w:before="0"/>
        <w:ind w:left="545" w:right="0" w:firstLine="0"/>
        <w:jc w:val="left"/>
        <w:rPr>
          <w:sz w:val="16"/>
        </w:rPr>
      </w:pPr>
      <w:hyperlink w:history="true" w:anchor="_bookmark240">
        <w:r>
          <w:rPr>
            <w:color w:val="231F20"/>
            <w:sz w:val="16"/>
          </w:rPr>
          <w:t>deleting</w:t>
        </w:r>
        <w:r>
          <w:rPr>
            <w:color w:val="231F20"/>
            <w:spacing w:val="36"/>
            <w:sz w:val="16"/>
          </w:rPr>
          <w:t>  </w:t>
        </w:r>
        <w:r>
          <w:rPr>
            <w:color w:val="231F20"/>
            <w:spacing w:val="-5"/>
            <w:sz w:val="16"/>
          </w:rPr>
          <w:t>329</w:t>
        </w:r>
      </w:hyperlink>
    </w:p>
    <w:p>
      <w:pPr>
        <w:spacing w:line="200" w:lineRule="exact" w:before="0"/>
        <w:ind w:left="545" w:right="0" w:firstLine="0"/>
        <w:jc w:val="left"/>
        <w:rPr>
          <w:sz w:val="16"/>
        </w:rPr>
      </w:pPr>
      <w:hyperlink w:history="true" w:anchor="_bookmark238">
        <w:r>
          <w:rPr>
            <w:color w:val="231F20"/>
            <w:sz w:val="16"/>
          </w:rPr>
          <w:t>editing</w:t>
        </w:r>
        <w:r>
          <w:rPr>
            <w:color w:val="231F20"/>
            <w:spacing w:val="35"/>
            <w:sz w:val="16"/>
          </w:rPr>
          <w:t>  </w:t>
        </w:r>
        <w:r>
          <w:rPr>
            <w:color w:val="231F20"/>
            <w:spacing w:val="-5"/>
            <w:sz w:val="16"/>
          </w:rPr>
          <w:t>327</w:t>
        </w:r>
      </w:hyperlink>
    </w:p>
    <w:p>
      <w:pPr>
        <w:spacing w:line="200" w:lineRule="exact" w:before="0"/>
        <w:ind w:left="545" w:right="0" w:firstLine="0"/>
        <w:jc w:val="left"/>
        <w:rPr>
          <w:sz w:val="16"/>
        </w:rPr>
      </w:pPr>
      <w:hyperlink w:history="true" w:anchor="_bookmark8">
        <w:r>
          <w:rPr>
            <w:color w:val="231F20"/>
            <w:sz w:val="16"/>
          </w:rPr>
          <w:t>predefined</w:t>
        </w:r>
        <w:r>
          <w:rPr>
            <w:color w:val="231F20"/>
            <w:spacing w:val="34"/>
            <w:sz w:val="16"/>
          </w:rPr>
          <w:t>  </w:t>
        </w:r>
        <w:r>
          <w:rPr>
            <w:color w:val="231F20"/>
            <w:spacing w:val="-5"/>
            <w:sz w:val="16"/>
          </w:rPr>
          <w:t>13</w:t>
        </w:r>
      </w:hyperlink>
    </w:p>
    <w:p>
      <w:pPr>
        <w:spacing w:line="220" w:lineRule="auto" w:before="6"/>
        <w:ind w:left="545" w:right="1452" w:firstLine="0"/>
        <w:jc w:val="left"/>
        <w:rPr>
          <w:sz w:val="16"/>
        </w:rPr>
      </w:pPr>
      <w:hyperlink w:history="true" w:anchor="_bookmark239">
        <w:r>
          <w:rPr>
            <w:color w:val="231F20"/>
            <w:sz w:val="16"/>
          </w:rPr>
          <w:t>rename</w:t>
        </w:r>
        <w:r>
          <w:rPr>
            <w:color w:val="231F20"/>
            <w:spacing w:val="80"/>
            <w:sz w:val="16"/>
          </w:rPr>
          <w:t> </w:t>
        </w:r>
        <w:r>
          <w:rPr>
            <w:color w:val="231F20"/>
            <w:sz w:val="16"/>
          </w:rPr>
          <w:t>328</w:t>
        </w:r>
      </w:hyperlink>
      <w:r>
        <w:rPr>
          <w:color w:val="231F20"/>
          <w:spacing w:val="80"/>
          <w:sz w:val="16"/>
        </w:rPr>
        <w:t> </w:t>
      </w:r>
      <w:hyperlink w:history="true" w:anchor="_bookmark240">
        <w:r>
          <w:rPr>
            <w:color w:val="231F20"/>
            <w:sz w:val="16"/>
          </w:rPr>
          <w:t>start or stop</w:t>
        </w:r>
        <w:r>
          <w:rPr>
            <w:color w:val="231F20"/>
            <w:spacing w:val="80"/>
            <w:sz w:val="16"/>
          </w:rPr>
          <w:t> </w:t>
        </w:r>
        <w:r>
          <w:rPr>
            <w:color w:val="231F20"/>
            <w:sz w:val="16"/>
          </w:rPr>
          <w:t>329</w:t>
        </w:r>
      </w:hyperlink>
    </w:p>
    <w:p>
      <w:pPr>
        <w:spacing w:line="196" w:lineRule="exact" w:before="0"/>
        <w:ind w:left="545" w:right="0" w:firstLine="0"/>
        <w:jc w:val="left"/>
        <w:rPr>
          <w:sz w:val="16"/>
        </w:rPr>
      </w:pPr>
      <w:hyperlink w:history="true" w:anchor="_bookmark245">
        <w:r>
          <w:rPr>
            <w:color w:val="231F20"/>
            <w:sz w:val="16"/>
          </w:rPr>
          <w:t>workflow</w:t>
        </w:r>
        <w:r>
          <w:rPr>
            <w:color w:val="231F20"/>
            <w:spacing w:val="10"/>
            <w:sz w:val="16"/>
          </w:rPr>
          <w:t> </w:t>
        </w:r>
        <w:r>
          <w:rPr>
            <w:color w:val="231F20"/>
            <w:sz w:val="16"/>
          </w:rPr>
          <w:t>editor</w:t>
        </w:r>
        <w:r>
          <w:rPr>
            <w:color w:val="231F20"/>
            <w:spacing w:val="35"/>
            <w:sz w:val="16"/>
          </w:rPr>
          <w:t>  </w:t>
        </w:r>
        <w:r>
          <w:rPr>
            <w:color w:val="231F20"/>
            <w:spacing w:val="-5"/>
            <w:sz w:val="16"/>
          </w:rPr>
          <w:t>334</w:t>
        </w:r>
      </w:hyperlink>
    </w:p>
    <w:p>
      <w:pPr>
        <w:spacing w:line="200" w:lineRule="exact" w:before="0"/>
        <w:ind w:left="545" w:right="0" w:firstLine="0"/>
        <w:jc w:val="left"/>
        <w:rPr>
          <w:sz w:val="16"/>
        </w:rPr>
      </w:pPr>
      <w:hyperlink w:history="true" w:anchor="_bookmark243">
        <w:r>
          <w:rPr>
            <w:color w:val="231F20"/>
            <w:sz w:val="16"/>
          </w:rPr>
          <w:t>workflows</w:t>
        </w:r>
        <w:r>
          <w:rPr>
            <w:color w:val="231F20"/>
            <w:spacing w:val="9"/>
            <w:sz w:val="16"/>
          </w:rPr>
          <w:t> </w:t>
        </w:r>
        <w:r>
          <w:rPr>
            <w:color w:val="231F20"/>
            <w:sz w:val="16"/>
          </w:rPr>
          <w:t>window</w:t>
        </w:r>
        <w:r>
          <w:rPr>
            <w:color w:val="231F20"/>
            <w:spacing w:val="34"/>
            <w:sz w:val="16"/>
          </w:rPr>
          <w:t>  </w:t>
        </w:r>
        <w:r>
          <w:rPr>
            <w:color w:val="231F20"/>
            <w:spacing w:val="-5"/>
            <w:sz w:val="16"/>
          </w:rPr>
          <w:t>331</w:t>
        </w:r>
      </w:hyperlink>
    </w:p>
    <w:p>
      <w:pPr>
        <w:spacing w:line="200" w:lineRule="exact" w:before="0"/>
        <w:ind w:left="305" w:right="0" w:firstLine="0"/>
        <w:jc w:val="left"/>
        <w:rPr>
          <w:sz w:val="16"/>
        </w:rPr>
      </w:pPr>
      <w:hyperlink w:history="true" w:anchor="_bookmark236">
        <w:r>
          <w:rPr>
            <w:color w:val="231F20"/>
            <w:sz w:val="16"/>
          </w:rPr>
          <w:t>policy</w:t>
        </w:r>
        <w:r>
          <w:rPr>
            <w:color w:val="231F20"/>
            <w:spacing w:val="37"/>
            <w:sz w:val="16"/>
          </w:rPr>
          <w:t>  </w:t>
        </w:r>
        <w:r>
          <w:rPr>
            <w:color w:val="231F20"/>
            <w:spacing w:val="-5"/>
            <w:sz w:val="16"/>
          </w:rPr>
          <w:t>323</w:t>
        </w:r>
      </w:hyperlink>
    </w:p>
    <w:p>
      <w:pPr>
        <w:spacing w:line="220" w:lineRule="auto" w:before="5"/>
        <w:ind w:left="545" w:right="1037" w:firstLine="0"/>
        <w:jc w:val="left"/>
        <w:rPr>
          <w:sz w:val="16"/>
        </w:rPr>
      </w:pPr>
      <w:hyperlink w:history="true" w:anchor="_bookmark237">
        <w:r>
          <w:rPr>
            <w:color w:val="231F20"/>
            <w:sz w:val="16"/>
          </w:rPr>
          <w:t>create a new</w:t>
        </w:r>
        <w:r>
          <w:rPr>
            <w:color w:val="231F20"/>
            <w:spacing w:val="80"/>
            <w:sz w:val="16"/>
          </w:rPr>
          <w:t> </w:t>
        </w:r>
        <w:r>
          <w:rPr>
            <w:color w:val="231F20"/>
            <w:sz w:val="16"/>
          </w:rPr>
          <w:t>324</w:t>
        </w:r>
      </w:hyperlink>
      <w:r>
        <w:rPr>
          <w:color w:val="231F20"/>
          <w:spacing w:val="40"/>
          <w:sz w:val="16"/>
        </w:rPr>
        <w:t> </w:t>
      </w:r>
      <w:hyperlink w:history="true" w:anchor="_bookmark243">
        <w:r>
          <w:rPr>
            <w:color w:val="231F20"/>
            <w:sz w:val="16"/>
          </w:rPr>
          <w:t>details list</w:t>
        </w:r>
        <w:r>
          <w:rPr>
            <w:color w:val="231F20"/>
            <w:spacing w:val="80"/>
            <w:sz w:val="16"/>
          </w:rPr>
          <w:t> </w:t>
        </w:r>
        <w:r>
          <w:rPr>
            <w:color w:val="231F20"/>
            <w:sz w:val="16"/>
          </w:rPr>
          <w:t>331</w:t>
        </w:r>
      </w:hyperlink>
    </w:p>
    <w:p>
      <w:pPr>
        <w:spacing w:line="220" w:lineRule="auto" w:before="2"/>
        <w:ind w:left="664" w:right="0" w:hanging="120"/>
        <w:jc w:val="left"/>
        <w:rPr>
          <w:sz w:val="16"/>
        </w:rPr>
      </w:pPr>
      <w:hyperlink w:history="true" w:anchor="_bookmark260">
        <w:r>
          <w:rPr>
            <w:color w:val="231F20"/>
            <w:sz w:val="16"/>
          </w:rPr>
          <w:t>Tivoli</w:t>
        </w:r>
        <w:r>
          <w:rPr>
            <w:color w:val="231F20"/>
            <w:spacing w:val="-10"/>
            <w:sz w:val="16"/>
          </w:rPr>
          <w:t> </w:t>
        </w:r>
        <w:r>
          <w:rPr>
            <w:color w:val="231F20"/>
            <w:sz w:val="16"/>
          </w:rPr>
          <w:t>Application</w:t>
        </w:r>
        <w:r>
          <w:rPr>
            <w:color w:val="231F20"/>
            <w:spacing w:val="-5"/>
            <w:sz w:val="16"/>
          </w:rPr>
          <w:t> </w:t>
        </w:r>
        <w:r>
          <w:rPr>
            <w:color w:val="231F20"/>
            <w:sz w:val="16"/>
          </w:rPr>
          <w:t>Dependency</w:t>
        </w:r>
      </w:hyperlink>
      <w:r>
        <w:rPr>
          <w:color w:val="231F20"/>
          <w:spacing w:val="40"/>
          <w:sz w:val="16"/>
        </w:rPr>
        <w:t> </w:t>
      </w:r>
      <w:hyperlink w:history="true" w:anchor="_bookmark260">
        <w:r>
          <w:rPr>
            <w:color w:val="231F20"/>
            <w:sz w:val="16"/>
          </w:rPr>
          <w:t>Discovery Manager</w:t>
        </w:r>
        <w:r>
          <w:rPr>
            <w:color w:val="231F20"/>
            <w:spacing w:val="80"/>
            <w:sz w:val="16"/>
          </w:rPr>
          <w:t> </w:t>
        </w:r>
        <w:r>
          <w:rPr>
            <w:color w:val="231F20"/>
            <w:sz w:val="16"/>
          </w:rPr>
          <w:t>349</w:t>
        </w:r>
      </w:hyperlink>
    </w:p>
    <w:p>
      <w:pPr>
        <w:spacing w:line="208" w:lineRule="exact" w:before="54"/>
        <w:ind w:left="266" w:right="0" w:firstLine="0"/>
        <w:jc w:val="left"/>
        <w:rPr>
          <w:rFonts w:ascii="Book Antiqua"/>
          <w:i/>
          <w:sz w:val="16"/>
        </w:rPr>
      </w:pPr>
      <w:r>
        <w:rPr/>
        <w:br w:type="column"/>
      </w:r>
      <w:hyperlink w:history="true" w:anchor="_bookmark236">
        <w:r>
          <w:rPr>
            <w:color w:val="231F20"/>
            <w:sz w:val="16"/>
          </w:rPr>
          <w:t>policy</w:t>
        </w:r>
        <w:r>
          <w:rPr>
            <w:color w:val="231F20"/>
            <w:spacing w:val="34"/>
            <w:sz w:val="16"/>
          </w:rPr>
          <w:t> </w:t>
        </w:r>
        <w:r>
          <w:rPr>
            <w:rFonts w:ascii="Book Antiqua"/>
            <w:i/>
            <w:color w:val="231F20"/>
            <w:spacing w:val="-2"/>
            <w:sz w:val="16"/>
          </w:rPr>
          <w:t>(continued)</w:t>
        </w:r>
      </w:hyperlink>
    </w:p>
    <w:p>
      <w:pPr>
        <w:spacing w:line="200" w:lineRule="exact" w:before="0"/>
        <w:ind w:left="505" w:right="0" w:firstLine="0"/>
        <w:jc w:val="left"/>
        <w:rPr>
          <w:sz w:val="16"/>
        </w:rPr>
      </w:pPr>
      <w:hyperlink w:history="true" w:anchor="_bookmark237">
        <w:r>
          <w:rPr>
            <w:color w:val="231F20"/>
            <w:sz w:val="16"/>
          </w:rPr>
          <w:t>view</w:t>
        </w:r>
        <w:r>
          <w:rPr>
            <w:color w:val="231F20"/>
            <w:spacing w:val="10"/>
            <w:sz w:val="16"/>
          </w:rPr>
          <w:t> </w:t>
        </w:r>
        <w:r>
          <w:rPr>
            <w:color w:val="231F20"/>
            <w:sz w:val="16"/>
          </w:rPr>
          <w:t>details</w:t>
        </w:r>
        <w:r>
          <w:rPr>
            <w:color w:val="231F20"/>
            <w:spacing w:val="36"/>
            <w:sz w:val="16"/>
          </w:rPr>
          <w:t>  </w:t>
        </w:r>
        <w:r>
          <w:rPr>
            <w:color w:val="231F20"/>
            <w:spacing w:val="-5"/>
            <w:sz w:val="16"/>
          </w:rPr>
          <w:t>324</w:t>
        </w:r>
      </w:hyperlink>
    </w:p>
    <w:p>
      <w:pPr>
        <w:spacing w:line="200" w:lineRule="exact" w:before="0"/>
        <w:ind w:left="266" w:right="0" w:firstLine="0"/>
        <w:jc w:val="left"/>
        <w:rPr>
          <w:sz w:val="16"/>
        </w:rPr>
      </w:pPr>
      <w:hyperlink w:history="true" w:anchor="_bookmark8">
        <w:r>
          <w:rPr>
            <w:color w:val="231F20"/>
            <w:sz w:val="16"/>
          </w:rPr>
          <w:t>predefined</w:t>
        </w:r>
        <w:r>
          <w:rPr>
            <w:color w:val="231F20"/>
            <w:spacing w:val="9"/>
            <w:sz w:val="16"/>
          </w:rPr>
          <w:t> </w:t>
        </w:r>
        <w:r>
          <w:rPr>
            <w:color w:val="231F20"/>
            <w:sz w:val="16"/>
          </w:rPr>
          <w:t>objects</w:t>
        </w:r>
        <w:r>
          <w:rPr>
            <w:color w:val="231F20"/>
            <w:spacing w:val="33"/>
            <w:sz w:val="16"/>
          </w:rPr>
          <w:t>  </w:t>
        </w:r>
        <w:r>
          <w:rPr>
            <w:color w:val="231F20"/>
            <w:spacing w:val="-5"/>
            <w:sz w:val="16"/>
          </w:rPr>
          <w:t>13</w:t>
        </w:r>
      </w:hyperlink>
    </w:p>
    <w:p>
      <w:pPr>
        <w:spacing w:line="220" w:lineRule="auto" w:before="5"/>
        <w:ind w:left="266" w:right="1167" w:firstLine="0"/>
        <w:jc w:val="left"/>
        <w:rPr>
          <w:sz w:val="16"/>
        </w:rPr>
      </w:pPr>
      <w:hyperlink w:history="true" w:anchor="_bookmark193">
        <w:r>
          <w:rPr>
            <w:color w:val="231F20"/>
            <w:sz w:val="16"/>
          </w:rPr>
          <w:t>predefined situations</w:t>
        </w:r>
        <w:r>
          <w:rPr>
            <w:color w:val="231F20"/>
            <w:spacing w:val="80"/>
            <w:sz w:val="16"/>
          </w:rPr>
          <w:t> </w:t>
        </w:r>
        <w:r>
          <w:rPr>
            <w:color w:val="231F20"/>
            <w:sz w:val="16"/>
          </w:rPr>
          <w:t>263</w:t>
        </w:r>
      </w:hyperlink>
      <w:r>
        <w:rPr>
          <w:color w:val="231F20"/>
          <w:spacing w:val="40"/>
          <w:sz w:val="16"/>
        </w:rPr>
        <w:t> </w:t>
      </w:r>
      <w:r>
        <w:rPr>
          <w:color w:val="231F20"/>
          <w:sz w:val="16"/>
        </w:rPr>
        <w:t>predefined workspace</w:t>
      </w:r>
    </w:p>
    <w:p>
      <w:pPr>
        <w:spacing w:line="220" w:lineRule="auto" w:before="2"/>
        <w:ind w:left="505" w:right="0" w:firstLine="0"/>
        <w:jc w:val="left"/>
        <w:rPr>
          <w:sz w:val="16"/>
        </w:rPr>
      </w:pPr>
      <w:hyperlink w:history="true" w:anchor="_bookmark307">
        <w:r>
          <w:rPr>
            <w:color w:val="231F20"/>
            <w:sz w:val="16"/>
          </w:rPr>
          <w:t>deploy depot package list</w:t>
        </w:r>
        <w:r>
          <w:rPr>
            <w:color w:val="231F20"/>
            <w:spacing w:val="80"/>
            <w:sz w:val="16"/>
          </w:rPr>
          <w:t> </w:t>
        </w:r>
        <w:r>
          <w:rPr>
            <w:color w:val="231F20"/>
            <w:sz w:val="16"/>
          </w:rPr>
          <w:t>397</w:t>
        </w:r>
      </w:hyperlink>
      <w:r>
        <w:rPr>
          <w:color w:val="231F20"/>
          <w:spacing w:val="40"/>
          <w:sz w:val="16"/>
        </w:rPr>
        <w:t> </w:t>
      </w:r>
      <w:hyperlink w:history="true" w:anchor="_bookmark307">
        <w:r>
          <w:rPr>
            <w:color w:val="231F20"/>
            <w:sz w:val="16"/>
          </w:rPr>
          <w:t>deployment status summary</w:t>
        </w:r>
        <w:r>
          <w:rPr>
            <w:color w:val="231F20"/>
            <w:spacing w:val="80"/>
            <w:sz w:val="16"/>
          </w:rPr>
          <w:t> </w:t>
        </w:r>
        <w:r>
          <w:rPr>
            <w:color w:val="231F20"/>
            <w:sz w:val="16"/>
          </w:rPr>
          <w:t>397</w:t>
        </w:r>
      </w:hyperlink>
    </w:p>
    <w:p>
      <w:pPr>
        <w:spacing w:line="196" w:lineRule="exact" w:before="0"/>
        <w:ind w:left="266" w:right="0" w:firstLine="0"/>
        <w:jc w:val="left"/>
        <w:rPr>
          <w:sz w:val="16"/>
        </w:rPr>
      </w:pPr>
      <w:hyperlink w:history="true" w:anchor="_bookmark38">
        <w:r>
          <w:rPr>
            <w:color w:val="231F20"/>
            <w:sz w:val="16"/>
          </w:rPr>
          <w:t>print</w:t>
        </w:r>
        <w:r>
          <w:rPr>
            <w:color w:val="231F20"/>
            <w:spacing w:val="37"/>
            <w:sz w:val="16"/>
          </w:rPr>
          <w:t>  </w:t>
        </w:r>
        <w:r>
          <w:rPr>
            <w:color w:val="231F20"/>
            <w:spacing w:val="-5"/>
            <w:sz w:val="16"/>
          </w:rPr>
          <w:t>49</w:t>
        </w:r>
      </w:hyperlink>
    </w:p>
    <w:p>
      <w:pPr>
        <w:spacing w:line="220" w:lineRule="auto" w:before="5"/>
        <w:ind w:left="266" w:right="1167" w:firstLine="0"/>
        <w:jc w:val="left"/>
        <w:rPr>
          <w:sz w:val="16"/>
        </w:rPr>
      </w:pPr>
      <w:hyperlink w:history="true" w:anchor="_bookmark354">
        <w:r>
          <w:rPr>
            <w:color w:val="231F20"/>
            <w:sz w:val="16"/>
          </w:rPr>
          <w:t>problem resolution</w:t>
        </w:r>
        <w:r>
          <w:rPr>
            <w:color w:val="231F20"/>
            <w:spacing w:val="80"/>
            <w:sz w:val="16"/>
          </w:rPr>
          <w:t> </w:t>
        </w:r>
        <w:r>
          <w:rPr>
            <w:color w:val="231F20"/>
            <w:sz w:val="16"/>
          </w:rPr>
          <w:t>459</w:t>
        </w:r>
      </w:hyperlink>
      <w:r>
        <w:rPr>
          <w:color w:val="231F20"/>
          <w:spacing w:val="40"/>
          <w:sz w:val="16"/>
        </w:rPr>
        <w:t> </w:t>
      </w:r>
      <w:r>
        <w:rPr>
          <w:color w:val="231F20"/>
          <w:spacing w:val="-2"/>
          <w:sz w:val="16"/>
        </w:rPr>
        <w:t>properties</w:t>
      </w:r>
    </w:p>
    <w:p>
      <w:pPr>
        <w:spacing w:line="220" w:lineRule="auto" w:before="2"/>
        <w:ind w:left="505" w:right="1167" w:firstLine="0"/>
        <w:jc w:val="left"/>
        <w:rPr>
          <w:sz w:val="16"/>
        </w:rPr>
      </w:pPr>
      <w:hyperlink w:history="true" w:anchor="_bookmark92">
        <w:r>
          <w:rPr>
            <w:color w:val="231F20"/>
            <w:sz w:val="16"/>
          </w:rPr>
          <w:t>chart legend label</w:t>
        </w:r>
        <w:r>
          <w:rPr>
            <w:color w:val="231F20"/>
            <w:spacing w:val="80"/>
            <w:sz w:val="16"/>
          </w:rPr>
          <w:t> </w:t>
        </w:r>
        <w:r>
          <w:rPr>
            <w:color w:val="231F20"/>
            <w:sz w:val="16"/>
          </w:rPr>
          <w:t>121</w:t>
        </w:r>
      </w:hyperlink>
      <w:r>
        <w:rPr>
          <w:color w:val="231F20"/>
          <w:spacing w:val="40"/>
          <w:sz w:val="16"/>
        </w:rPr>
        <w:t> </w:t>
      </w:r>
      <w:hyperlink w:history="true" w:anchor="_bookmark95">
        <w:r>
          <w:rPr>
            <w:color w:val="231F20"/>
            <w:sz w:val="16"/>
          </w:rPr>
          <w:t>footer label</w:t>
        </w:r>
        <w:r>
          <w:rPr>
            <w:color w:val="231F20"/>
            <w:spacing w:val="80"/>
            <w:sz w:val="16"/>
          </w:rPr>
          <w:t> </w:t>
        </w:r>
        <w:r>
          <w:rPr>
            <w:color w:val="231F20"/>
            <w:sz w:val="16"/>
          </w:rPr>
          <w:t>124</w:t>
        </w:r>
      </w:hyperlink>
    </w:p>
    <w:p>
      <w:pPr>
        <w:spacing w:line="196" w:lineRule="exact" w:before="0"/>
        <w:ind w:left="505" w:right="0" w:firstLine="0"/>
        <w:jc w:val="left"/>
        <w:rPr>
          <w:sz w:val="16"/>
        </w:rPr>
      </w:pPr>
      <w:hyperlink w:history="true" w:anchor="_bookmark86">
        <w:r>
          <w:rPr>
            <w:color w:val="231F20"/>
            <w:sz w:val="16"/>
          </w:rPr>
          <w:t>header</w:t>
        </w:r>
        <w:r>
          <w:rPr>
            <w:color w:val="231F20"/>
            <w:spacing w:val="10"/>
            <w:sz w:val="16"/>
          </w:rPr>
          <w:t> </w:t>
        </w:r>
        <w:r>
          <w:rPr>
            <w:color w:val="231F20"/>
            <w:sz w:val="16"/>
          </w:rPr>
          <w:t>label</w:t>
        </w:r>
        <w:r>
          <w:rPr>
            <w:color w:val="231F20"/>
            <w:spacing w:val="36"/>
            <w:sz w:val="16"/>
          </w:rPr>
          <w:t>  </w:t>
        </w:r>
        <w:r>
          <w:rPr>
            <w:color w:val="231F20"/>
            <w:spacing w:val="-5"/>
            <w:sz w:val="16"/>
          </w:rPr>
          <w:t>115</w:t>
        </w:r>
      </w:hyperlink>
    </w:p>
    <w:p>
      <w:pPr>
        <w:spacing w:line="200" w:lineRule="exact" w:before="0"/>
        <w:ind w:left="505" w:right="0" w:firstLine="0"/>
        <w:jc w:val="left"/>
        <w:rPr>
          <w:sz w:val="16"/>
        </w:rPr>
      </w:pPr>
      <w:hyperlink w:history="true" w:anchor="_bookmark12">
        <w:r>
          <w:rPr>
            <w:color w:val="231F20"/>
            <w:sz w:val="16"/>
          </w:rPr>
          <w:t>tour</w:t>
        </w:r>
        <w:r>
          <w:rPr>
            <w:color w:val="231F20"/>
            <w:spacing w:val="38"/>
            <w:sz w:val="16"/>
          </w:rPr>
          <w:t>  </w:t>
        </w:r>
        <w:r>
          <w:rPr>
            <w:color w:val="231F20"/>
            <w:spacing w:val="-5"/>
            <w:sz w:val="16"/>
          </w:rPr>
          <w:t>19</w:t>
        </w:r>
      </w:hyperlink>
    </w:p>
    <w:p>
      <w:pPr>
        <w:spacing w:line="200" w:lineRule="exact" w:before="0"/>
        <w:ind w:left="505" w:right="0" w:firstLine="0"/>
        <w:jc w:val="left"/>
        <w:rPr>
          <w:sz w:val="16"/>
        </w:rPr>
      </w:pPr>
      <w:hyperlink w:history="true" w:anchor="_bookmark55">
        <w:r>
          <w:rPr>
            <w:color w:val="231F20"/>
            <w:sz w:val="16"/>
          </w:rPr>
          <w:t>workspace</w:t>
        </w:r>
        <w:r>
          <w:rPr>
            <w:color w:val="231F20"/>
            <w:spacing w:val="35"/>
            <w:sz w:val="16"/>
          </w:rPr>
          <w:t>  </w:t>
        </w:r>
        <w:r>
          <w:rPr>
            <w:color w:val="231F20"/>
            <w:sz w:val="16"/>
          </w:rPr>
          <w:t>69,</w:t>
        </w:r>
      </w:hyperlink>
      <w:r>
        <w:rPr>
          <w:color w:val="231F20"/>
          <w:spacing w:val="12"/>
          <w:sz w:val="16"/>
        </w:rPr>
        <w:t> </w:t>
      </w:r>
      <w:hyperlink w:history="true" w:anchor="_bookmark68">
        <w:r>
          <w:rPr>
            <w:color w:val="231F20"/>
            <w:spacing w:val="-5"/>
            <w:sz w:val="16"/>
          </w:rPr>
          <w:t>89</w:t>
        </w:r>
      </w:hyperlink>
    </w:p>
    <w:p>
      <w:pPr>
        <w:spacing w:line="200" w:lineRule="exact" w:before="0"/>
        <w:ind w:left="0" w:right="1678" w:firstLine="0"/>
        <w:jc w:val="right"/>
        <w:rPr>
          <w:sz w:val="16"/>
        </w:rPr>
      </w:pPr>
      <w:hyperlink w:history="true" w:anchor="_bookmark68">
        <w:r>
          <w:rPr>
            <w:color w:val="231F20"/>
            <w:sz w:val="16"/>
          </w:rPr>
          <w:t>properties</w:t>
        </w:r>
        <w:r>
          <w:rPr>
            <w:color w:val="231F20"/>
            <w:spacing w:val="9"/>
            <w:sz w:val="16"/>
          </w:rPr>
          <w:t> </w:t>
        </w:r>
        <w:r>
          <w:rPr>
            <w:color w:val="231F20"/>
            <w:sz w:val="16"/>
          </w:rPr>
          <w:t>editor</w:t>
        </w:r>
        <w:r>
          <w:rPr>
            <w:color w:val="231F20"/>
            <w:spacing w:val="34"/>
            <w:sz w:val="16"/>
          </w:rPr>
          <w:t>  </w:t>
        </w:r>
        <w:r>
          <w:rPr>
            <w:color w:val="231F20"/>
            <w:spacing w:val="-5"/>
            <w:sz w:val="16"/>
          </w:rPr>
          <w:t>89</w:t>
        </w:r>
      </w:hyperlink>
    </w:p>
    <w:p>
      <w:pPr>
        <w:spacing w:line="200" w:lineRule="exact" w:before="0"/>
        <w:ind w:left="0" w:right="1679" w:firstLine="0"/>
        <w:jc w:val="right"/>
        <w:rPr>
          <w:sz w:val="16"/>
        </w:rPr>
      </w:pPr>
      <w:hyperlink w:history="true" w:anchor="_bookmark72">
        <w:r>
          <w:rPr>
            <w:color w:val="231F20"/>
            <w:sz w:val="16"/>
          </w:rPr>
          <w:t>configuration</w:t>
        </w:r>
        <w:r>
          <w:rPr>
            <w:color w:val="231F20"/>
            <w:spacing w:val="34"/>
            <w:sz w:val="16"/>
          </w:rPr>
          <w:t>  </w:t>
        </w:r>
        <w:r>
          <w:rPr>
            <w:color w:val="231F20"/>
            <w:spacing w:val="-5"/>
            <w:sz w:val="16"/>
          </w:rPr>
          <w:t>94</w:t>
        </w:r>
      </w:hyperlink>
    </w:p>
    <w:p>
      <w:pPr>
        <w:spacing w:line="200" w:lineRule="exact" w:before="0"/>
        <w:ind w:left="505" w:right="0" w:firstLine="0"/>
        <w:jc w:val="left"/>
        <w:rPr>
          <w:sz w:val="16"/>
        </w:rPr>
      </w:pPr>
      <w:hyperlink w:history="true" w:anchor="_bookmark127">
        <w:r>
          <w:rPr>
            <w:color w:val="231F20"/>
            <w:sz w:val="16"/>
          </w:rPr>
          <w:t>configuration</w:t>
        </w:r>
        <w:r>
          <w:rPr>
            <w:color w:val="231F20"/>
            <w:spacing w:val="10"/>
            <w:sz w:val="16"/>
          </w:rPr>
          <w:t> </w:t>
        </w:r>
        <w:r>
          <w:rPr>
            <w:color w:val="231F20"/>
            <w:sz w:val="16"/>
          </w:rPr>
          <w:t>tab</w:t>
        </w:r>
        <w:r>
          <w:rPr>
            <w:color w:val="231F20"/>
            <w:spacing w:val="35"/>
            <w:sz w:val="16"/>
          </w:rPr>
          <w:t>  </w:t>
        </w:r>
        <w:r>
          <w:rPr>
            <w:color w:val="231F20"/>
            <w:spacing w:val="-5"/>
            <w:sz w:val="16"/>
          </w:rPr>
          <w:t>170</w:t>
        </w:r>
      </w:hyperlink>
    </w:p>
    <w:p>
      <w:pPr>
        <w:spacing w:line="200" w:lineRule="exact" w:before="0"/>
        <w:ind w:left="505" w:right="0" w:firstLine="0"/>
        <w:jc w:val="left"/>
        <w:rPr>
          <w:sz w:val="16"/>
        </w:rPr>
      </w:pPr>
      <w:hyperlink w:history="true" w:anchor="_bookmark70">
        <w:r>
          <w:rPr>
            <w:color w:val="231F20"/>
            <w:sz w:val="16"/>
          </w:rPr>
          <w:t>filters</w:t>
        </w:r>
        <w:r>
          <w:rPr>
            <w:color w:val="231F20"/>
            <w:spacing w:val="37"/>
            <w:sz w:val="16"/>
          </w:rPr>
          <w:t>  </w:t>
        </w:r>
        <w:r>
          <w:rPr>
            <w:color w:val="231F20"/>
            <w:spacing w:val="-5"/>
            <w:sz w:val="16"/>
          </w:rPr>
          <w:t>91</w:t>
        </w:r>
      </w:hyperlink>
    </w:p>
    <w:p>
      <w:pPr>
        <w:spacing w:line="200" w:lineRule="exact" w:before="0"/>
        <w:ind w:left="505" w:right="0" w:firstLine="0"/>
        <w:jc w:val="left"/>
        <w:rPr>
          <w:sz w:val="16"/>
        </w:rPr>
      </w:pPr>
      <w:hyperlink w:history="true" w:anchor="_bookmark69">
        <w:r>
          <w:rPr>
            <w:color w:val="231F20"/>
            <w:sz w:val="16"/>
          </w:rPr>
          <w:t>query</w:t>
        </w:r>
        <w:r>
          <w:rPr>
            <w:color w:val="231F20"/>
            <w:spacing w:val="37"/>
            <w:sz w:val="16"/>
          </w:rPr>
          <w:t>  </w:t>
        </w:r>
        <w:r>
          <w:rPr>
            <w:color w:val="231F20"/>
            <w:spacing w:val="-7"/>
            <w:sz w:val="16"/>
          </w:rPr>
          <w:t>90</w:t>
        </w:r>
      </w:hyperlink>
    </w:p>
    <w:p>
      <w:pPr>
        <w:spacing w:line="200" w:lineRule="exact" w:before="0"/>
        <w:ind w:left="505" w:right="0" w:firstLine="0"/>
        <w:jc w:val="left"/>
        <w:rPr>
          <w:sz w:val="16"/>
        </w:rPr>
      </w:pPr>
      <w:hyperlink w:history="true" w:anchor="_bookmark72">
        <w:r>
          <w:rPr>
            <w:color w:val="231F20"/>
            <w:sz w:val="16"/>
          </w:rPr>
          <w:t>style</w:t>
        </w:r>
        <w:r>
          <w:rPr>
            <w:color w:val="231F20"/>
            <w:spacing w:val="37"/>
            <w:sz w:val="16"/>
          </w:rPr>
          <w:t>  </w:t>
        </w:r>
        <w:r>
          <w:rPr>
            <w:color w:val="231F20"/>
            <w:spacing w:val="-5"/>
            <w:sz w:val="16"/>
          </w:rPr>
          <w:t>94</w:t>
        </w:r>
      </w:hyperlink>
    </w:p>
    <w:p>
      <w:pPr>
        <w:spacing w:line="220" w:lineRule="auto" w:before="5"/>
        <w:ind w:left="505" w:right="1624" w:firstLine="0"/>
        <w:jc w:val="left"/>
        <w:rPr>
          <w:sz w:val="16"/>
        </w:rPr>
      </w:pPr>
      <w:hyperlink w:history="true" w:anchor="_bookmark71">
        <w:r>
          <w:rPr>
            <w:color w:val="231F20"/>
            <w:sz w:val="16"/>
          </w:rPr>
          <w:t>thresholds</w:t>
        </w:r>
        <w:r>
          <w:rPr>
            <w:color w:val="231F20"/>
            <w:spacing w:val="78"/>
            <w:sz w:val="16"/>
          </w:rPr>
          <w:t> </w:t>
        </w:r>
        <w:r>
          <w:rPr>
            <w:color w:val="231F20"/>
            <w:sz w:val="16"/>
          </w:rPr>
          <w:t>93</w:t>
        </w:r>
      </w:hyperlink>
      <w:r>
        <w:rPr>
          <w:color w:val="231F20"/>
          <w:spacing w:val="40"/>
          <w:sz w:val="16"/>
        </w:rPr>
        <w:t> </w:t>
      </w:r>
      <w:r>
        <w:rPr>
          <w:color w:val="231F20"/>
          <w:spacing w:val="-4"/>
          <w:sz w:val="16"/>
        </w:rPr>
        <w:t>view</w:t>
      </w:r>
    </w:p>
    <w:p>
      <w:pPr>
        <w:spacing w:line="196" w:lineRule="exact" w:before="0"/>
        <w:ind w:left="744" w:right="0" w:firstLine="0"/>
        <w:jc w:val="left"/>
        <w:rPr>
          <w:sz w:val="16"/>
        </w:rPr>
      </w:pPr>
      <w:hyperlink w:history="true" w:anchor="_bookmark69">
        <w:r>
          <w:rPr>
            <w:color w:val="231F20"/>
            <w:sz w:val="16"/>
          </w:rPr>
          <w:t>properties</w:t>
        </w:r>
        <w:r>
          <w:rPr>
            <w:color w:val="231F20"/>
            <w:spacing w:val="34"/>
            <w:sz w:val="16"/>
          </w:rPr>
          <w:t>  </w:t>
        </w:r>
        <w:r>
          <w:rPr>
            <w:color w:val="231F20"/>
            <w:spacing w:val="-5"/>
            <w:sz w:val="16"/>
          </w:rPr>
          <w:t>90</w:t>
        </w:r>
      </w:hyperlink>
    </w:p>
    <w:p>
      <w:pPr>
        <w:spacing w:line="208" w:lineRule="exact" w:before="0"/>
        <w:ind w:left="266" w:right="0" w:firstLine="0"/>
        <w:jc w:val="left"/>
        <w:rPr>
          <w:sz w:val="16"/>
        </w:rPr>
      </w:pPr>
      <w:hyperlink w:history="true" w:anchor="_bookmark319">
        <w:r>
          <w:rPr>
            <w:color w:val="231F20"/>
            <w:sz w:val="16"/>
          </w:rPr>
          <w:t>pure</w:t>
        </w:r>
        <w:r>
          <w:rPr>
            <w:color w:val="231F20"/>
            <w:spacing w:val="10"/>
            <w:sz w:val="16"/>
          </w:rPr>
          <w:t> </w:t>
        </w:r>
        <w:r>
          <w:rPr>
            <w:color w:val="231F20"/>
            <w:sz w:val="16"/>
          </w:rPr>
          <w:t>events</w:t>
        </w:r>
        <w:r>
          <w:rPr>
            <w:color w:val="231F20"/>
            <w:spacing w:val="35"/>
            <w:sz w:val="16"/>
          </w:rPr>
          <w:t>  </w:t>
        </w:r>
        <w:r>
          <w:rPr>
            <w:color w:val="231F20"/>
            <w:spacing w:val="-5"/>
            <w:sz w:val="16"/>
          </w:rPr>
          <w:t>413</w:t>
        </w:r>
      </w:hyperlink>
    </w:p>
    <w:p>
      <w:pPr>
        <w:pStyle w:val="BodyText"/>
        <w:spacing w:before="105"/>
        <w:rPr>
          <w:sz w:val="16"/>
        </w:rPr>
      </w:pPr>
    </w:p>
    <w:p>
      <w:pPr>
        <w:pStyle w:val="Heading1"/>
        <w:ind w:left="266"/>
      </w:pPr>
      <w:bookmarkStart w:name="Q" w:id="765"/>
      <w:bookmarkEnd w:id="765"/>
      <w:r>
        <w:rPr>
          <w:b w:val="0"/>
        </w:rPr>
      </w:r>
      <w:r>
        <w:rPr>
          <w:color w:val="231F20"/>
          <w:spacing w:val="-10"/>
        </w:rPr>
        <w:t>Q</w:t>
      </w:r>
    </w:p>
    <w:p>
      <w:pPr>
        <w:spacing w:line="205" w:lineRule="exact" w:before="0"/>
        <w:ind w:left="266" w:right="0" w:firstLine="0"/>
        <w:jc w:val="left"/>
        <w:rPr>
          <w:sz w:val="16"/>
        </w:rPr>
      </w:pPr>
      <w:r>
        <w:rPr>
          <w:color w:val="231F20"/>
          <w:spacing w:val="-2"/>
          <w:sz w:val="16"/>
        </w:rPr>
        <w:t>queries</w:t>
      </w:r>
    </w:p>
    <w:p>
      <w:pPr>
        <w:spacing w:line="200" w:lineRule="exact" w:before="0"/>
        <w:ind w:left="505" w:right="0" w:firstLine="0"/>
        <w:jc w:val="left"/>
        <w:rPr>
          <w:sz w:val="16"/>
        </w:rPr>
      </w:pPr>
      <w:hyperlink w:history="true" w:anchor="_bookmark139">
        <w:r>
          <w:rPr>
            <w:color w:val="231F20"/>
            <w:sz w:val="16"/>
          </w:rPr>
          <w:t>custom</w:t>
        </w:r>
        <w:r>
          <w:rPr>
            <w:color w:val="231F20"/>
            <w:spacing w:val="36"/>
            <w:sz w:val="16"/>
          </w:rPr>
          <w:t>  </w:t>
        </w:r>
        <w:r>
          <w:rPr>
            <w:color w:val="231F20"/>
            <w:spacing w:val="-5"/>
            <w:sz w:val="16"/>
          </w:rPr>
          <w:t>197</w:t>
        </w:r>
      </w:hyperlink>
    </w:p>
    <w:p>
      <w:pPr>
        <w:spacing w:line="200" w:lineRule="exact" w:before="0"/>
        <w:ind w:left="505" w:right="0" w:firstLine="0"/>
        <w:jc w:val="left"/>
        <w:rPr>
          <w:sz w:val="16"/>
        </w:rPr>
      </w:pPr>
      <w:hyperlink w:history="true" w:anchor="_bookmark8">
        <w:r>
          <w:rPr>
            <w:color w:val="231F20"/>
            <w:sz w:val="16"/>
          </w:rPr>
          <w:t>predefined</w:t>
        </w:r>
        <w:r>
          <w:rPr>
            <w:color w:val="231F20"/>
            <w:spacing w:val="34"/>
            <w:sz w:val="16"/>
          </w:rPr>
          <w:t>  </w:t>
        </w:r>
        <w:r>
          <w:rPr>
            <w:color w:val="231F20"/>
            <w:spacing w:val="-5"/>
            <w:sz w:val="16"/>
          </w:rPr>
          <w:t>13</w:t>
        </w:r>
      </w:hyperlink>
    </w:p>
    <w:p>
      <w:pPr>
        <w:spacing w:line="220" w:lineRule="auto" w:before="5"/>
        <w:ind w:left="625" w:right="0" w:hanging="120"/>
        <w:jc w:val="left"/>
        <w:rPr>
          <w:sz w:val="16"/>
        </w:rPr>
      </w:pPr>
      <w:hyperlink w:history="true" w:anchor="_bookmark150">
        <w:r>
          <w:rPr>
            <w:color w:val="231F20"/>
            <w:sz w:val="16"/>
          </w:rPr>
          <w:t>Tivoli</w:t>
        </w:r>
        <w:r>
          <w:rPr>
            <w:color w:val="231F20"/>
            <w:spacing w:val="-4"/>
            <w:sz w:val="16"/>
          </w:rPr>
          <w:t> </w:t>
        </w:r>
        <w:r>
          <w:rPr>
            <w:color w:val="231F20"/>
            <w:sz w:val="16"/>
          </w:rPr>
          <w:t>Enterprise</w:t>
        </w:r>
        <w:r>
          <w:rPr>
            <w:color w:val="231F20"/>
            <w:spacing w:val="-4"/>
            <w:sz w:val="16"/>
          </w:rPr>
          <w:t> </w:t>
        </w:r>
        <w:r>
          <w:rPr>
            <w:color w:val="231F20"/>
            <w:sz w:val="16"/>
          </w:rPr>
          <w:t>Monitoring</w:t>
        </w:r>
        <w:r>
          <w:rPr>
            <w:color w:val="231F20"/>
            <w:spacing w:val="-4"/>
            <w:sz w:val="16"/>
          </w:rPr>
          <w:t> </w:t>
        </w:r>
        <w:r>
          <w:rPr>
            <w:color w:val="231F20"/>
            <w:sz w:val="16"/>
          </w:rPr>
          <w:t>Server</w:t>
        </w:r>
      </w:hyperlink>
      <w:r>
        <w:rPr>
          <w:color w:val="231F20"/>
          <w:spacing w:val="40"/>
          <w:sz w:val="16"/>
        </w:rPr>
        <w:t> </w:t>
      </w:r>
      <w:hyperlink w:history="true" w:anchor="_bookmark150">
        <w:r>
          <w:rPr>
            <w:color w:val="231F20"/>
            <w:sz w:val="16"/>
          </w:rPr>
          <w:t>predefined</w:t>
        </w:r>
        <w:r>
          <w:rPr>
            <w:color w:val="231F20"/>
            <w:spacing w:val="80"/>
            <w:sz w:val="16"/>
          </w:rPr>
          <w:t> </w:t>
        </w:r>
        <w:r>
          <w:rPr>
            <w:color w:val="231F20"/>
            <w:sz w:val="16"/>
          </w:rPr>
          <w:t>210</w:t>
        </w:r>
      </w:hyperlink>
    </w:p>
    <w:p>
      <w:pPr>
        <w:spacing w:line="220" w:lineRule="auto" w:before="2"/>
        <w:ind w:left="266" w:right="1167" w:firstLine="239"/>
        <w:jc w:val="left"/>
        <w:rPr>
          <w:sz w:val="16"/>
        </w:rPr>
      </w:pPr>
      <w:hyperlink w:history="true" w:anchor="_bookmark139">
        <w:r>
          <w:rPr>
            <w:color w:val="231F20"/>
            <w:sz w:val="16"/>
          </w:rPr>
          <w:t>understanding</w:t>
        </w:r>
        <w:r>
          <w:rPr>
            <w:color w:val="231F20"/>
            <w:spacing w:val="80"/>
            <w:sz w:val="16"/>
          </w:rPr>
          <w:t> </w:t>
        </w:r>
        <w:r>
          <w:rPr>
            <w:color w:val="231F20"/>
            <w:sz w:val="16"/>
          </w:rPr>
          <w:t>197</w:t>
        </w:r>
      </w:hyperlink>
      <w:r>
        <w:rPr>
          <w:color w:val="231F20"/>
          <w:spacing w:val="40"/>
          <w:sz w:val="16"/>
        </w:rPr>
        <w:t> </w:t>
      </w:r>
      <w:r>
        <w:rPr>
          <w:color w:val="231F20"/>
          <w:spacing w:val="-2"/>
          <w:sz w:val="16"/>
        </w:rPr>
        <w:t>query</w:t>
      </w:r>
    </w:p>
    <w:p>
      <w:pPr>
        <w:spacing w:line="220" w:lineRule="auto" w:before="2"/>
        <w:ind w:left="505" w:right="485" w:firstLine="0"/>
        <w:jc w:val="left"/>
        <w:rPr>
          <w:sz w:val="16"/>
        </w:rPr>
      </w:pPr>
      <w:hyperlink w:history="true" w:anchor="_bookmark147">
        <w:r>
          <w:rPr>
            <w:color w:val="231F20"/>
            <w:sz w:val="16"/>
          </w:rPr>
          <w:t>adding a database to the list</w:t>
        </w:r>
        <w:r>
          <w:rPr>
            <w:color w:val="231F20"/>
            <w:spacing w:val="80"/>
            <w:sz w:val="16"/>
          </w:rPr>
          <w:t> </w:t>
        </w:r>
        <w:r>
          <w:rPr>
            <w:color w:val="231F20"/>
            <w:sz w:val="16"/>
          </w:rPr>
          <w:t>206</w:t>
        </w:r>
      </w:hyperlink>
      <w:r>
        <w:rPr>
          <w:color w:val="231F20"/>
          <w:spacing w:val="40"/>
          <w:sz w:val="16"/>
        </w:rPr>
        <w:t> </w:t>
      </w:r>
      <w:hyperlink w:history="true" w:anchor="_bookmark66">
        <w:r>
          <w:rPr>
            <w:color w:val="231F20"/>
            <w:sz w:val="16"/>
          </w:rPr>
          <w:t>assign to a view</w:t>
        </w:r>
        <w:r>
          <w:rPr>
            <w:color w:val="231F20"/>
            <w:spacing w:val="80"/>
            <w:sz w:val="16"/>
          </w:rPr>
          <w:t> </w:t>
        </w:r>
        <w:r>
          <w:rPr>
            <w:color w:val="231F20"/>
            <w:sz w:val="16"/>
          </w:rPr>
          <w:t>86</w:t>
        </w:r>
      </w:hyperlink>
    </w:p>
    <w:p>
      <w:pPr>
        <w:spacing w:line="220" w:lineRule="auto" w:before="2"/>
        <w:ind w:left="625" w:right="485" w:hanging="120"/>
        <w:jc w:val="left"/>
        <w:rPr>
          <w:sz w:val="16"/>
        </w:rPr>
      </w:pPr>
      <w:hyperlink w:history="true" w:anchor="_bookmark141">
        <w:r>
          <w:rPr>
            <w:color w:val="231F20"/>
            <w:sz w:val="16"/>
          </w:rPr>
          <w:t>creating a query to the </w:t>
        </w:r>
        <w:r>
          <w:rPr>
            <w:color w:val="231F20"/>
            <w:sz w:val="16"/>
          </w:rPr>
          <w:t>monitoring</w:t>
        </w:r>
      </w:hyperlink>
      <w:r>
        <w:rPr>
          <w:color w:val="231F20"/>
          <w:spacing w:val="40"/>
          <w:sz w:val="16"/>
        </w:rPr>
        <w:t> </w:t>
      </w:r>
      <w:hyperlink w:history="true" w:anchor="_bookmark141">
        <w:r>
          <w:rPr>
            <w:color w:val="231F20"/>
            <w:sz w:val="16"/>
          </w:rPr>
          <w:t>server</w:t>
        </w:r>
        <w:r>
          <w:rPr>
            <w:color w:val="231F20"/>
            <w:spacing w:val="80"/>
            <w:sz w:val="16"/>
          </w:rPr>
          <w:t> </w:t>
        </w:r>
        <w:r>
          <w:rPr>
            <w:color w:val="231F20"/>
            <w:sz w:val="16"/>
          </w:rPr>
          <w:t>199</w:t>
        </w:r>
      </w:hyperlink>
    </w:p>
    <w:p>
      <w:pPr>
        <w:spacing w:line="196" w:lineRule="exact" w:before="0"/>
        <w:ind w:left="505" w:right="0" w:firstLine="0"/>
        <w:jc w:val="left"/>
        <w:rPr>
          <w:sz w:val="16"/>
        </w:rPr>
      </w:pPr>
      <w:hyperlink w:history="true" w:anchor="_bookmark149">
        <w:r>
          <w:rPr>
            <w:color w:val="231F20"/>
            <w:sz w:val="16"/>
          </w:rPr>
          <w:t>deleting</w:t>
        </w:r>
        <w:r>
          <w:rPr>
            <w:color w:val="231F20"/>
            <w:spacing w:val="36"/>
            <w:sz w:val="16"/>
          </w:rPr>
          <w:t>  </w:t>
        </w:r>
        <w:r>
          <w:rPr>
            <w:color w:val="231F20"/>
            <w:spacing w:val="-5"/>
            <w:sz w:val="16"/>
          </w:rPr>
          <w:t>209</w:t>
        </w:r>
      </w:hyperlink>
    </w:p>
    <w:p>
      <w:pPr>
        <w:spacing w:line="200" w:lineRule="exact" w:before="0"/>
        <w:ind w:left="505" w:right="0" w:firstLine="0"/>
        <w:jc w:val="left"/>
        <w:rPr>
          <w:sz w:val="16"/>
        </w:rPr>
      </w:pPr>
      <w:hyperlink w:history="true" w:anchor="_bookmark148">
        <w:r>
          <w:rPr>
            <w:color w:val="231F20"/>
            <w:sz w:val="16"/>
          </w:rPr>
          <w:t>editing</w:t>
        </w:r>
        <w:r>
          <w:rPr>
            <w:color w:val="231F20"/>
            <w:spacing w:val="35"/>
            <w:sz w:val="16"/>
          </w:rPr>
          <w:t>  </w:t>
        </w:r>
        <w:r>
          <w:rPr>
            <w:color w:val="231F20"/>
            <w:spacing w:val="-5"/>
            <w:sz w:val="16"/>
          </w:rPr>
          <w:t>207</w:t>
        </w:r>
      </w:hyperlink>
    </w:p>
    <w:p>
      <w:pPr>
        <w:spacing w:line="200" w:lineRule="exact" w:before="0"/>
        <w:ind w:left="505" w:right="0" w:firstLine="0"/>
        <w:jc w:val="left"/>
        <w:rPr>
          <w:sz w:val="16"/>
        </w:rPr>
      </w:pPr>
      <w:hyperlink w:history="true" w:anchor="_bookmark318">
        <w:r>
          <w:rPr>
            <w:color w:val="231F20"/>
            <w:sz w:val="16"/>
          </w:rPr>
          <w:t>formula</w:t>
        </w:r>
        <w:r>
          <w:rPr>
            <w:color w:val="231F20"/>
            <w:spacing w:val="9"/>
            <w:sz w:val="16"/>
          </w:rPr>
          <w:t> </w:t>
        </w:r>
        <w:r>
          <w:rPr>
            <w:color w:val="231F20"/>
            <w:sz w:val="16"/>
          </w:rPr>
          <w:t>functions</w:t>
        </w:r>
        <w:r>
          <w:rPr>
            <w:color w:val="231F20"/>
            <w:spacing w:val="35"/>
            <w:sz w:val="16"/>
          </w:rPr>
          <w:t>  </w:t>
        </w:r>
        <w:r>
          <w:rPr>
            <w:color w:val="231F20"/>
            <w:spacing w:val="-5"/>
            <w:sz w:val="16"/>
          </w:rPr>
          <w:t>411</w:t>
        </w:r>
      </w:hyperlink>
    </w:p>
    <w:p>
      <w:pPr>
        <w:spacing w:line="200" w:lineRule="exact" w:before="0"/>
        <w:ind w:left="505" w:right="0" w:firstLine="0"/>
        <w:jc w:val="left"/>
        <w:rPr>
          <w:sz w:val="16"/>
        </w:rPr>
      </w:pPr>
      <w:hyperlink w:history="true" w:anchor="_bookmark144">
        <w:r>
          <w:rPr>
            <w:color w:val="231F20"/>
            <w:sz w:val="16"/>
          </w:rPr>
          <w:t>JDBC</w:t>
        </w:r>
        <w:r>
          <w:rPr>
            <w:color w:val="231F20"/>
            <w:spacing w:val="10"/>
            <w:sz w:val="16"/>
          </w:rPr>
          <w:t> </w:t>
        </w:r>
        <w:r>
          <w:rPr>
            <w:color w:val="231F20"/>
            <w:sz w:val="16"/>
          </w:rPr>
          <w:t>or</w:t>
        </w:r>
        <w:r>
          <w:rPr>
            <w:color w:val="231F20"/>
            <w:spacing w:val="10"/>
            <w:sz w:val="16"/>
          </w:rPr>
          <w:t> </w:t>
        </w:r>
        <w:r>
          <w:rPr>
            <w:color w:val="231F20"/>
            <w:sz w:val="16"/>
          </w:rPr>
          <w:t>ODBC</w:t>
        </w:r>
        <w:r>
          <w:rPr>
            <w:color w:val="231F20"/>
            <w:spacing w:val="10"/>
            <w:sz w:val="16"/>
          </w:rPr>
          <w:t> </w:t>
        </w:r>
        <w:r>
          <w:rPr>
            <w:color w:val="231F20"/>
            <w:sz w:val="16"/>
          </w:rPr>
          <w:t>database</w:t>
        </w:r>
        <w:r>
          <w:rPr>
            <w:color w:val="231F20"/>
            <w:spacing w:val="35"/>
            <w:sz w:val="16"/>
          </w:rPr>
          <w:t>  </w:t>
        </w:r>
        <w:r>
          <w:rPr>
            <w:color w:val="231F20"/>
            <w:sz w:val="16"/>
          </w:rPr>
          <w:t>203,</w:t>
        </w:r>
      </w:hyperlink>
      <w:r>
        <w:rPr>
          <w:color w:val="231F20"/>
          <w:spacing w:val="11"/>
          <w:sz w:val="16"/>
        </w:rPr>
        <w:t> </w:t>
      </w:r>
      <w:hyperlink w:history="true" w:anchor="_bookmark145">
        <w:r>
          <w:rPr>
            <w:color w:val="231F20"/>
            <w:spacing w:val="-5"/>
            <w:sz w:val="16"/>
          </w:rPr>
          <w:t>204</w:t>
        </w:r>
      </w:hyperlink>
    </w:p>
    <w:p>
      <w:pPr>
        <w:spacing w:line="200" w:lineRule="exact" w:before="0"/>
        <w:ind w:left="505" w:right="0" w:firstLine="0"/>
        <w:jc w:val="left"/>
        <w:rPr>
          <w:sz w:val="16"/>
        </w:rPr>
      </w:pPr>
      <w:hyperlink w:history="true" w:anchor="_bookmark143">
        <w:r>
          <w:rPr>
            <w:color w:val="231F20"/>
            <w:sz w:val="16"/>
          </w:rPr>
          <w:t>symbols</w:t>
        </w:r>
        <w:r>
          <w:rPr>
            <w:color w:val="231F20"/>
            <w:spacing w:val="36"/>
            <w:sz w:val="16"/>
          </w:rPr>
          <w:t>  </w:t>
        </w:r>
        <w:r>
          <w:rPr>
            <w:color w:val="231F20"/>
            <w:spacing w:val="-5"/>
            <w:sz w:val="16"/>
          </w:rPr>
          <w:t>202</w:t>
        </w:r>
      </w:hyperlink>
    </w:p>
    <w:p>
      <w:pPr>
        <w:spacing w:line="220" w:lineRule="auto" w:before="5"/>
        <w:ind w:left="266" w:right="485" w:firstLine="239"/>
        <w:jc w:val="left"/>
        <w:rPr>
          <w:sz w:val="16"/>
        </w:rPr>
      </w:pPr>
      <w:hyperlink w:history="true" w:anchor="_bookmark139">
        <w:r>
          <w:rPr>
            <w:color w:val="231F20"/>
            <w:sz w:val="16"/>
          </w:rPr>
          <w:t>to the monitoring server</w:t>
        </w:r>
        <w:r>
          <w:rPr>
            <w:color w:val="231F20"/>
            <w:spacing w:val="80"/>
            <w:sz w:val="16"/>
          </w:rPr>
          <w:t> </w:t>
        </w:r>
        <w:r>
          <w:rPr>
            <w:color w:val="231F20"/>
            <w:sz w:val="16"/>
          </w:rPr>
          <w:t>197</w:t>
        </w:r>
      </w:hyperlink>
      <w:r>
        <w:rPr>
          <w:color w:val="231F20"/>
          <w:spacing w:val="40"/>
          <w:sz w:val="16"/>
        </w:rPr>
        <w:t> </w:t>
      </w:r>
      <w:r>
        <w:rPr>
          <w:color w:val="231F20"/>
          <w:sz w:val="16"/>
        </w:rPr>
        <w:t>query editor</w:t>
      </w:r>
    </w:p>
    <w:p>
      <w:pPr>
        <w:spacing w:line="196" w:lineRule="exact" w:before="0"/>
        <w:ind w:left="505" w:right="0" w:firstLine="0"/>
        <w:jc w:val="left"/>
        <w:rPr>
          <w:sz w:val="16"/>
        </w:rPr>
      </w:pPr>
      <w:hyperlink w:history="true" w:anchor="_bookmark332">
        <w:r>
          <w:rPr>
            <w:color w:val="231F20"/>
            <w:sz w:val="16"/>
          </w:rPr>
          <w:t>column</w:t>
        </w:r>
        <w:r>
          <w:rPr>
            <w:color w:val="231F20"/>
            <w:spacing w:val="10"/>
            <w:sz w:val="16"/>
          </w:rPr>
          <w:t> </w:t>
        </w:r>
        <w:r>
          <w:rPr>
            <w:color w:val="231F20"/>
            <w:sz w:val="16"/>
          </w:rPr>
          <w:t>functions</w:t>
        </w:r>
        <w:r>
          <w:rPr>
            <w:color w:val="231F20"/>
            <w:spacing w:val="35"/>
            <w:sz w:val="16"/>
          </w:rPr>
          <w:t>  </w:t>
        </w:r>
        <w:r>
          <w:rPr>
            <w:color w:val="231F20"/>
            <w:spacing w:val="-5"/>
            <w:sz w:val="16"/>
          </w:rPr>
          <w:t>423</w:t>
        </w:r>
      </w:hyperlink>
    </w:p>
    <w:p>
      <w:pPr>
        <w:spacing w:line="220" w:lineRule="auto" w:before="6"/>
        <w:ind w:left="505" w:right="485" w:hanging="240"/>
        <w:jc w:val="left"/>
        <w:rPr>
          <w:sz w:val="16"/>
        </w:rPr>
      </w:pPr>
      <w:hyperlink w:history="true" w:anchor="_bookmark139">
        <w:r>
          <w:rPr>
            <w:color w:val="231F20"/>
            <w:sz w:val="16"/>
          </w:rPr>
          <w:t>query to the monitoring server</w:t>
        </w:r>
        <w:r>
          <w:rPr>
            <w:color w:val="231F20"/>
            <w:spacing w:val="80"/>
            <w:sz w:val="16"/>
          </w:rPr>
          <w:t> </w:t>
        </w:r>
        <w:r>
          <w:rPr>
            <w:color w:val="231F20"/>
            <w:sz w:val="16"/>
          </w:rPr>
          <w:t>197</w:t>
        </w:r>
      </w:hyperlink>
      <w:r>
        <w:rPr>
          <w:color w:val="231F20"/>
          <w:spacing w:val="40"/>
          <w:sz w:val="16"/>
        </w:rPr>
        <w:t> </w:t>
      </w:r>
      <w:hyperlink w:history="true" w:anchor="_bookmark141">
        <w:r>
          <w:rPr>
            <w:color w:val="231F20"/>
            <w:sz w:val="16"/>
          </w:rPr>
          <w:t>create</w:t>
        </w:r>
        <w:r>
          <w:rPr>
            <w:color w:val="231F20"/>
            <w:spacing w:val="80"/>
            <w:sz w:val="16"/>
          </w:rPr>
          <w:t> </w:t>
        </w:r>
        <w:r>
          <w:rPr>
            <w:color w:val="231F20"/>
            <w:sz w:val="16"/>
          </w:rPr>
          <w:t>199</w:t>
        </w:r>
      </w:hyperlink>
    </w:p>
    <w:p>
      <w:pPr>
        <w:spacing w:line="220" w:lineRule="auto" w:before="2"/>
        <w:ind w:left="266" w:right="924" w:firstLine="239"/>
        <w:jc w:val="left"/>
        <w:rPr>
          <w:sz w:val="16"/>
        </w:rPr>
      </w:pPr>
      <w:hyperlink w:history="true" w:anchor="_bookmark142">
        <w:r>
          <w:rPr>
            <w:color w:val="231F20"/>
            <w:sz w:val="16"/>
          </w:rPr>
          <w:t>creating another query</w:t>
        </w:r>
        <w:r>
          <w:rPr>
            <w:color w:val="231F20"/>
            <w:spacing w:val="80"/>
            <w:sz w:val="16"/>
          </w:rPr>
          <w:t> </w:t>
        </w:r>
        <w:r>
          <w:rPr>
            <w:color w:val="231F20"/>
            <w:sz w:val="16"/>
          </w:rPr>
          <w:t>201</w:t>
        </w:r>
      </w:hyperlink>
      <w:r>
        <w:rPr>
          <w:color w:val="231F20"/>
          <w:spacing w:val="40"/>
          <w:sz w:val="16"/>
        </w:rPr>
        <w:t> </w:t>
      </w:r>
      <w:hyperlink w:history="true" w:anchor="_bookmark65">
        <w:r>
          <w:rPr>
            <w:color w:val="231F20"/>
            <w:sz w:val="16"/>
          </w:rPr>
          <w:t>query-based views</w:t>
        </w:r>
        <w:r>
          <w:rPr>
            <w:color w:val="231F20"/>
            <w:spacing w:val="80"/>
            <w:sz w:val="16"/>
          </w:rPr>
          <w:t> </w:t>
        </w:r>
        <w:r>
          <w:rPr>
            <w:color w:val="231F20"/>
            <w:sz w:val="16"/>
          </w:rPr>
          <w:t>85</w:t>
        </w:r>
      </w:hyperlink>
    </w:p>
    <w:p>
      <w:pPr>
        <w:spacing w:line="196" w:lineRule="exact" w:before="0"/>
        <w:ind w:left="505" w:right="0" w:firstLine="0"/>
        <w:jc w:val="left"/>
        <w:rPr>
          <w:sz w:val="16"/>
        </w:rPr>
      </w:pPr>
      <w:hyperlink w:history="true" w:anchor="_bookmark81">
        <w:r>
          <w:rPr>
            <w:color w:val="231F20"/>
            <w:sz w:val="16"/>
          </w:rPr>
          <w:t>bar</w:t>
        </w:r>
        <w:r>
          <w:rPr>
            <w:color w:val="231F20"/>
            <w:spacing w:val="11"/>
            <w:sz w:val="16"/>
          </w:rPr>
          <w:t> </w:t>
        </w:r>
        <w:r>
          <w:rPr>
            <w:color w:val="231F20"/>
            <w:sz w:val="16"/>
          </w:rPr>
          <w:t>chart</w:t>
        </w:r>
        <w:r>
          <w:rPr>
            <w:color w:val="231F20"/>
            <w:spacing w:val="37"/>
            <w:sz w:val="16"/>
          </w:rPr>
          <w:t>  </w:t>
        </w:r>
        <w:r>
          <w:rPr>
            <w:color w:val="231F20"/>
            <w:spacing w:val="-5"/>
            <w:sz w:val="16"/>
          </w:rPr>
          <w:t>107</w:t>
        </w:r>
      </w:hyperlink>
    </w:p>
    <w:p>
      <w:pPr>
        <w:spacing w:line="200" w:lineRule="exact" w:before="0"/>
        <w:ind w:left="505" w:right="0" w:firstLine="0"/>
        <w:jc w:val="left"/>
        <w:rPr>
          <w:sz w:val="16"/>
        </w:rPr>
      </w:pPr>
      <w:hyperlink w:history="true" w:anchor="_bookmark67">
        <w:r>
          <w:rPr>
            <w:color w:val="231F20"/>
            <w:sz w:val="16"/>
          </w:rPr>
          <w:t>filtering</w:t>
        </w:r>
        <w:r>
          <w:rPr>
            <w:color w:val="231F20"/>
            <w:spacing w:val="36"/>
            <w:sz w:val="16"/>
          </w:rPr>
          <w:t>  </w:t>
        </w:r>
        <w:r>
          <w:rPr>
            <w:color w:val="231F20"/>
            <w:spacing w:val="-5"/>
            <w:sz w:val="16"/>
          </w:rPr>
          <w:t>88</w:t>
        </w:r>
      </w:hyperlink>
    </w:p>
    <w:p>
      <w:pPr>
        <w:spacing w:line="200" w:lineRule="exact" w:before="0"/>
        <w:ind w:left="505" w:right="0" w:firstLine="0"/>
        <w:jc w:val="left"/>
        <w:rPr>
          <w:sz w:val="16"/>
        </w:rPr>
      </w:pPr>
      <w:hyperlink w:history="true" w:anchor="_bookmark80">
        <w:r>
          <w:rPr>
            <w:color w:val="231F20"/>
            <w:sz w:val="16"/>
          </w:rPr>
          <w:t>pie</w:t>
        </w:r>
        <w:r>
          <w:rPr>
            <w:color w:val="231F20"/>
            <w:spacing w:val="11"/>
            <w:sz w:val="16"/>
          </w:rPr>
          <w:t> </w:t>
        </w:r>
        <w:r>
          <w:rPr>
            <w:color w:val="231F20"/>
            <w:sz w:val="16"/>
          </w:rPr>
          <w:t>chart</w:t>
        </w:r>
        <w:r>
          <w:rPr>
            <w:color w:val="231F20"/>
            <w:spacing w:val="37"/>
            <w:sz w:val="16"/>
          </w:rPr>
          <w:t>  </w:t>
        </w:r>
        <w:r>
          <w:rPr>
            <w:color w:val="231F20"/>
            <w:spacing w:val="-5"/>
            <w:sz w:val="16"/>
          </w:rPr>
          <w:t>105</w:t>
        </w:r>
      </w:hyperlink>
    </w:p>
    <w:p>
      <w:pPr>
        <w:spacing w:line="208" w:lineRule="exact" w:before="0"/>
        <w:ind w:left="505" w:right="0" w:firstLine="0"/>
        <w:jc w:val="left"/>
        <w:rPr>
          <w:sz w:val="16"/>
        </w:rPr>
      </w:pPr>
      <w:hyperlink w:history="true" w:anchor="_bookmark32">
        <w:r>
          <w:rPr>
            <w:color w:val="231F20"/>
            <w:sz w:val="16"/>
          </w:rPr>
          <w:t>set</w:t>
        </w:r>
        <w:r>
          <w:rPr>
            <w:color w:val="231F20"/>
            <w:spacing w:val="11"/>
            <w:sz w:val="16"/>
          </w:rPr>
          <w:t> </w:t>
        </w:r>
        <w:r>
          <w:rPr>
            <w:color w:val="231F20"/>
            <w:sz w:val="16"/>
          </w:rPr>
          <w:t>a</w:t>
        </w:r>
        <w:r>
          <w:rPr>
            <w:color w:val="231F20"/>
            <w:spacing w:val="11"/>
            <w:sz w:val="16"/>
          </w:rPr>
          <w:t> </w:t>
        </w:r>
        <w:r>
          <w:rPr>
            <w:color w:val="231F20"/>
            <w:sz w:val="16"/>
          </w:rPr>
          <w:t>time</w:t>
        </w:r>
        <w:r>
          <w:rPr>
            <w:color w:val="231F20"/>
            <w:spacing w:val="11"/>
            <w:sz w:val="16"/>
          </w:rPr>
          <w:t> </w:t>
        </w:r>
        <w:r>
          <w:rPr>
            <w:color w:val="231F20"/>
            <w:sz w:val="16"/>
          </w:rPr>
          <w:t>span</w:t>
        </w:r>
        <w:r>
          <w:rPr>
            <w:color w:val="231F20"/>
            <w:spacing w:val="11"/>
            <w:sz w:val="16"/>
          </w:rPr>
          <w:t> </w:t>
        </w:r>
        <w:r>
          <w:rPr>
            <w:color w:val="231F20"/>
            <w:sz w:val="16"/>
          </w:rPr>
          <w:t>to</w:t>
        </w:r>
        <w:r>
          <w:rPr>
            <w:color w:val="231F20"/>
            <w:spacing w:val="11"/>
            <w:sz w:val="16"/>
          </w:rPr>
          <w:t> </w:t>
        </w:r>
        <w:r>
          <w:rPr>
            <w:color w:val="231F20"/>
            <w:sz w:val="16"/>
          </w:rPr>
          <w:t>display</w:t>
        </w:r>
        <w:r>
          <w:rPr>
            <w:color w:val="231F20"/>
            <w:spacing w:val="36"/>
            <w:sz w:val="16"/>
          </w:rPr>
          <w:t>  </w:t>
        </w:r>
        <w:r>
          <w:rPr>
            <w:color w:val="231F20"/>
            <w:sz w:val="16"/>
          </w:rPr>
          <w:t>42,</w:t>
        </w:r>
      </w:hyperlink>
      <w:r>
        <w:rPr>
          <w:color w:val="231F20"/>
          <w:spacing w:val="12"/>
          <w:sz w:val="16"/>
        </w:rPr>
        <w:t> </w:t>
      </w:r>
      <w:hyperlink w:history="true" w:anchor="_bookmark154">
        <w:r>
          <w:rPr>
            <w:color w:val="231F20"/>
            <w:spacing w:val="-5"/>
            <w:sz w:val="16"/>
          </w:rPr>
          <w:t>214</w:t>
        </w:r>
      </w:hyperlink>
    </w:p>
    <w:p>
      <w:pPr>
        <w:pStyle w:val="BodyText"/>
        <w:spacing w:before="104"/>
        <w:rPr>
          <w:sz w:val="16"/>
        </w:rPr>
      </w:pPr>
    </w:p>
    <w:p>
      <w:pPr>
        <w:pStyle w:val="Heading1"/>
        <w:ind w:left="266"/>
      </w:pPr>
      <w:bookmarkStart w:name="R" w:id="766"/>
      <w:bookmarkEnd w:id="766"/>
      <w:r>
        <w:rPr>
          <w:b w:val="0"/>
        </w:rPr>
      </w:r>
      <w:r>
        <w:rPr>
          <w:color w:val="231F20"/>
          <w:spacing w:val="-10"/>
        </w:rPr>
        <w:t>R</w:t>
      </w:r>
    </w:p>
    <w:p>
      <w:pPr>
        <w:spacing w:line="205" w:lineRule="exact" w:before="0"/>
        <w:ind w:left="266" w:right="0" w:firstLine="0"/>
        <w:jc w:val="left"/>
        <w:rPr>
          <w:sz w:val="16"/>
        </w:rPr>
      </w:pPr>
      <w:hyperlink w:history="true" w:anchor="_bookmark353">
        <w:r>
          <w:rPr>
            <w:color w:val="231F20"/>
            <w:sz w:val="16"/>
          </w:rPr>
          <w:t>Redbooks</w:t>
        </w:r>
        <w:r>
          <w:rPr>
            <w:color w:val="231F20"/>
            <w:spacing w:val="35"/>
            <w:sz w:val="16"/>
          </w:rPr>
          <w:t>  </w:t>
        </w:r>
        <w:r>
          <w:rPr>
            <w:color w:val="231F20"/>
            <w:sz w:val="16"/>
          </w:rPr>
          <w:t>457,</w:t>
        </w:r>
      </w:hyperlink>
      <w:r>
        <w:rPr>
          <w:color w:val="231F20"/>
          <w:spacing w:val="12"/>
          <w:sz w:val="16"/>
        </w:rPr>
        <w:t> </w:t>
      </w:r>
      <w:hyperlink w:history="true" w:anchor="_bookmark354">
        <w:r>
          <w:rPr>
            <w:color w:val="231F20"/>
            <w:spacing w:val="-5"/>
            <w:sz w:val="16"/>
          </w:rPr>
          <w:t>459</w:t>
        </w:r>
      </w:hyperlink>
    </w:p>
    <w:p>
      <w:pPr>
        <w:spacing w:line="220" w:lineRule="auto" w:before="5"/>
        <w:ind w:left="266" w:right="1167" w:firstLine="0"/>
        <w:jc w:val="left"/>
        <w:rPr>
          <w:sz w:val="16"/>
        </w:rPr>
      </w:pPr>
      <w:hyperlink w:history="true" w:anchor="_bookmark203">
        <w:r>
          <w:rPr>
            <w:color w:val="231F20"/>
            <w:sz w:val="16"/>
          </w:rPr>
          <w:t>reflex automation</w:t>
        </w:r>
        <w:r>
          <w:rPr>
            <w:color w:val="231F20"/>
            <w:spacing w:val="80"/>
            <w:sz w:val="16"/>
          </w:rPr>
          <w:t> </w:t>
        </w:r>
        <w:r>
          <w:rPr>
            <w:color w:val="231F20"/>
            <w:sz w:val="16"/>
          </w:rPr>
          <w:t>273</w:t>
        </w:r>
      </w:hyperlink>
      <w:r>
        <w:rPr>
          <w:color w:val="231F20"/>
          <w:spacing w:val="40"/>
          <w:sz w:val="16"/>
        </w:rPr>
        <w:t> </w:t>
      </w:r>
      <w:r>
        <w:rPr>
          <w:color w:val="231F20"/>
          <w:spacing w:val="-2"/>
          <w:sz w:val="16"/>
        </w:rPr>
        <w:t>refresh</w:t>
      </w:r>
    </w:p>
    <w:p>
      <w:pPr>
        <w:spacing w:line="220" w:lineRule="auto" w:before="2"/>
        <w:ind w:left="266" w:right="924" w:firstLine="239"/>
        <w:jc w:val="left"/>
        <w:rPr>
          <w:sz w:val="16"/>
        </w:rPr>
      </w:pPr>
      <w:hyperlink w:history="true" w:anchor="_bookmark29">
        <w:r>
          <w:rPr>
            <w:color w:val="231F20"/>
            <w:sz w:val="16"/>
          </w:rPr>
          <w:t>on demand or intervals</w:t>
        </w:r>
        <w:r>
          <w:rPr>
            <w:color w:val="231F20"/>
            <w:spacing w:val="80"/>
            <w:sz w:val="16"/>
          </w:rPr>
          <w:t> </w:t>
        </w:r>
        <w:r>
          <w:rPr>
            <w:color w:val="231F20"/>
            <w:sz w:val="16"/>
          </w:rPr>
          <w:t>39</w:t>
        </w:r>
      </w:hyperlink>
      <w:r>
        <w:rPr>
          <w:color w:val="231F20"/>
          <w:spacing w:val="40"/>
          <w:sz w:val="16"/>
        </w:rPr>
        <w:t> </w:t>
      </w:r>
      <w:hyperlink w:history="true" w:anchor="_bookmark326">
        <w:r>
          <w:rPr>
            <w:color w:val="231F20"/>
            <w:sz w:val="16"/>
          </w:rPr>
          <w:t>REGEX formula function</w:t>
        </w:r>
        <w:r>
          <w:rPr>
            <w:color w:val="231F20"/>
            <w:spacing w:val="80"/>
            <w:sz w:val="16"/>
          </w:rPr>
          <w:t> </w:t>
        </w:r>
        <w:r>
          <w:rPr>
            <w:color w:val="231F20"/>
            <w:sz w:val="16"/>
          </w:rPr>
          <w:t>419</w:t>
        </w:r>
      </w:hyperlink>
      <w:r>
        <w:rPr>
          <w:color w:val="231F20"/>
          <w:spacing w:val="40"/>
          <w:sz w:val="16"/>
        </w:rPr>
        <w:t> </w:t>
      </w:r>
      <w:hyperlink w:history="true" w:anchor="_bookmark1">
        <w:r>
          <w:rPr>
            <w:color w:val="231F20"/>
            <w:sz w:val="16"/>
          </w:rPr>
          <w:t>release information</w:t>
        </w:r>
        <w:r>
          <w:rPr>
            <w:color w:val="231F20"/>
            <w:spacing w:val="80"/>
            <w:sz w:val="16"/>
          </w:rPr>
          <w:t> </w:t>
        </w:r>
        <w:r>
          <w:rPr>
            <w:color w:val="231F20"/>
            <w:sz w:val="16"/>
          </w:rPr>
          <w:t>1</w:t>
        </w:r>
      </w:hyperlink>
    </w:p>
    <w:p>
      <w:pPr>
        <w:spacing w:line="197" w:lineRule="exact" w:before="0"/>
        <w:ind w:left="266" w:right="0" w:firstLine="0"/>
        <w:jc w:val="left"/>
        <w:rPr>
          <w:sz w:val="16"/>
        </w:rPr>
      </w:pPr>
      <w:hyperlink w:history="true" w:anchor="_bookmark321">
        <w:r>
          <w:rPr>
            <w:color w:val="231F20"/>
            <w:sz w:val="16"/>
          </w:rPr>
          <w:t>repeating</w:t>
        </w:r>
        <w:r>
          <w:rPr>
            <w:color w:val="231F20"/>
            <w:spacing w:val="34"/>
            <w:sz w:val="16"/>
          </w:rPr>
          <w:t>  </w:t>
        </w:r>
        <w:r>
          <w:rPr>
            <w:color w:val="231F20"/>
            <w:spacing w:val="-5"/>
            <w:sz w:val="16"/>
          </w:rPr>
          <w:t>415</w:t>
        </w:r>
      </w:hyperlink>
    </w:p>
    <w:p>
      <w:pPr>
        <w:spacing w:line="208" w:lineRule="exact" w:before="0"/>
        <w:ind w:left="266" w:right="0" w:firstLine="0"/>
        <w:jc w:val="left"/>
        <w:rPr>
          <w:sz w:val="16"/>
        </w:rPr>
      </w:pPr>
      <w:hyperlink w:history="true" w:anchor="_bookmark330">
        <w:r>
          <w:rPr>
            <w:color w:val="231F20"/>
            <w:sz w:val="16"/>
          </w:rPr>
          <w:t>Return</w:t>
        </w:r>
        <w:r>
          <w:rPr>
            <w:color w:val="231F20"/>
            <w:spacing w:val="10"/>
            <w:sz w:val="16"/>
          </w:rPr>
          <w:t> </w:t>
        </w:r>
        <w:r>
          <w:rPr>
            <w:color w:val="231F20"/>
            <w:sz w:val="16"/>
          </w:rPr>
          <w:t>a</w:t>
        </w:r>
        <w:r>
          <w:rPr>
            <w:color w:val="231F20"/>
            <w:spacing w:val="11"/>
            <w:sz w:val="16"/>
          </w:rPr>
          <w:t> </w:t>
        </w:r>
        <w:r>
          <w:rPr>
            <w:color w:val="231F20"/>
            <w:sz w:val="16"/>
          </w:rPr>
          <w:t>subset</w:t>
        </w:r>
        <w:r>
          <w:rPr>
            <w:color w:val="231F20"/>
            <w:spacing w:val="11"/>
            <w:sz w:val="16"/>
          </w:rPr>
          <w:t> </w:t>
        </w:r>
        <w:r>
          <w:rPr>
            <w:color w:val="231F20"/>
            <w:sz w:val="16"/>
          </w:rPr>
          <w:t>of</w:t>
        </w:r>
        <w:r>
          <w:rPr>
            <w:color w:val="231F20"/>
            <w:spacing w:val="11"/>
            <w:sz w:val="16"/>
          </w:rPr>
          <w:t> </w:t>
        </w:r>
        <w:r>
          <w:rPr>
            <w:color w:val="231F20"/>
            <w:sz w:val="16"/>
          </w:rPr>
          <w:t>the</w:t>
        </w:r>
        <w:r>
          <w:rPr>
            <w:color w:val="231F20"/>
            <w:spacing w:val="10"/>
            <w:sz w:val="16"/>
          </w:rPr>
          <w:t> </w:t>
        </w:r>
        <w:r>
          <w:rPr>
            <w:color w:val="231F20"/>
            <w:sz w:val="16"/>
          </w:rPr>
          <w:t>string</w:t>
        </w:r>
        <w:r>
          <w:rPr>
            <w:color w:val="231F20"/>
            <w:spacing w:val="36"/>
            <w:sz w:val="16"/>
          </w:rPr>
          <w:t>  </w:t>
        </w:r>
        <w:r>
          <w:rPr>
            <w:color w:val="231F20"/>
            <w:spacing w:val="-5"/>
            <w:sz w:val="16"/>
          </w:rPr>
          <w:t>421</w:t>
        </w:r>
      </w:hyperlink>
    </w:p>
    <w:p>
      <w:pPr>
        <w:spacing w:after="0" w:line="208" w:lineRule="exact"/>
        <w:jc w:val="left"/>
        <w:rPr>
          <w:sz w:val="16"/>
        </w:rPr>
        <w:sectPr>
          <w:pgSz w:w="12240" w:h="15840"/>
          <w:pgMar w:header="0" w:footer="736" w:top="1200" w:bottom="920" w:left="1000" w:right="1060"/>
          <w:cols w:num="3" w:equalWidth="0">
            <w:col w:w="3364" w:space="40"/>
            <w:col w:w="3273" w:space="39"/>
            <w:col w:w="3464"/>
          </w:cols>
        </w:sectPr>
      </w:pPr>
    </w:p>
    <w:p>
      <w:pPr>
        <w:pStyle w:val="Heading1"/>
        <w:spacing w:before="91"/>
      </w:pPr>
      <w:bookmarkStart w:name="S" w:id="767"/>
      <w:bookmarkEnd w:id="767"/>
      <w:r>
        <w:rPr>
          <w:b w:val="0"/>
        </w:rPr>
      </w:r>
      <w:r>
        <w:rPr>
          <w:color w:val="231F20"/>
          <w:spacing w:val="-10"/>
        </w:rPr>
        <w:t>S</w:t>
      </w:r>
    </w:p>
    <w:p>
      <w:pPr>
        <w:spacing w:line="220" w:lineRule="auto" w:before="10"/>
        <w:ind w:left="197" w:right="1247" w:firstLine="0"/>
        <w:jc w:val="left"/>
        <w:rPr>
          <w:sz w:val="16"/>
        </w:rPr>
      </w:pPr>
      <w:hyperlink w:history="true" w:anchor="_bookmark181">
        <w:r>
          <w:rPr>
            <w:color w:val="231F20"/>
            <w:sz w:val="16"/>
          </w:rPr>
          <w:t>sampled events</w:t>
        </w:r>
        <w:r>
          <w:rPr>
            <w:color w:val="231F20"/>
            <w:spacing w:val="80"/>
            <w:sz w:val="16"/>
          </w:rPr>
          <w:t> </w:t>
        </w:r>
        <w:r>
          <w:rPr>
            <w:color w:val="231F20"/>
            <w:sz w:val="16"/>
          </w:rPr>
          <w:t>249</w:t>
        </w:r>
      </w:hyperlink>
      <w:r>
        <w:rPr>
          <w:color w:val="231F20"/>
          <w:spacing w:val="40"/>
          <w:sz w:val="16"/>
        </w:rPr>
        <w:t> </w:t>
      </w:r>
      <w:hyperlink w:history="true" w:anchor="_bookmark56">
        <w:r>
          <w:rPr>
            <w:color w:val="231F20"/>
            <w:sz w:val="16"/>
          </w:rPr>
          <w:t>save</w:t>
        </w:r>
        <w:r>
          <w:rPr>
            <w:color w:val="231F20"/>
            <w:spacing w:val="10"/>
            <w:sz w:val="16"/>
          </w:rPr>
          <w:t> </w:t>
        </w:r>
        <w:r>
          <w:rPr>
            <w:color w:val="231F20"/>
            <w:sz w:val="16"/>
          </w:rPr>
          <w:t>a</w:t>
        </w:r>
        <w:r>
          <w:rPr>
            <w:color w:val="231F20"/>
            <w:spacing w:val="11"/>
            <w:sz w:val="16"/>
          </w:rPr>
          <w:t> </w:t>
        </w:r>
        <w:r>
          <w:rPr>
            <w:color w:val="231F20"/>
            <w:sz w:val="16"/>
          </w:rPr>
          <w:t>workspace</w:t>
        </w:r>
        <w:r>
          <w:rPr>
            <w:color w:val="231F20"/>
            <w:spacing w:val="36"/>
            <w:sz w:val="16"/>
          </w:rPr>
          <w:t>  </w:t>
        </w:r>
        <w:r>
          <w:rPr>
            <w:color w:val="231F20"/>
            <w:spacing w:val="-5"/>
            <w:sz w:val="16"/>
          </w:rPr>
          <w:t>70</w:t>
        </w:r>
      </w:hyperlink>
    </w:p>
    <w:p>
      <w:pPr>
        <w:spacing w:line="220" w:lineRule="auto" w:before="2"/>
        <w:ind w:left="317" w:right="0" w:hanging="120"/>
        <w:jc w:val="left"/>
        <w:rPr>
          <w:sz w:val="16"/>
        </w:rPr>
      </w:pPr>
      <w:hyperlink w:history="true" w:anchor="_bookmark326">
        <w:r>
          <w:rPr>
            <w:color w:val="231F20"/>
            <w:sz w:val="16"/>
          </w:rPr>
          <w:t>Scan for a string based on </w:t>
        </w:r>
        <w:r>
          <w:rPr>
            <w:color w:val="231F20"/>
            <w:sz w:val="16"/>
          </w:rPr>
          <w:t>Regular</w:t>
        </w:r>
      </w:hyperlink>
      <w:r>
        <w:rPr>
          <w:color w:val="231F20"/>
          <w:spacing w:val="40"/>
          <w:sz w:val="16"/>
        </w:rPr>
        <w:t> </w:t>
      </w:r>
      <w:hyperlink w:history="true" w:anchor="_bookmark326">
        <w:r>
          <w:rPr>
            <w:color w:val="231F20"/>
            <w:sz w:val="16"/>
          </w:rPr>
          <w:t>Expression pattern</w:t>
        </w:r>
        <w:r>
          <w:rPr>
            <w:color w:val="231F20"/>
            <w:spacing w:val="80"/>
            <w:sz w:val="16"/>
          </w:rPr>
          <w:t> </w:t>
        </w:r>
        <w:r>
          <w:rPr>
            <w:color w:val="231F20"/>
            <w:sz w:val="16"/>
          </w:rPr>
          <w:t>419</w:t>
        </w:r>
      </w:hyperlink>
    </w:p>
    <w:p>
      <w:pPr>
        <w:spacing w:line="220" w:lineRule="auto" w:before="2"/>
        <w:ind w:left="197" w:right="497" w:firstLine="0"/>
        <w:jc w:val="left"/>
        <w:rPr>
          <w:sz w:val="16"/>
        </w:rPr>
      </w:pPr>
      <w:hyperlink w:history="true" w:anchor="_bookmark328">
        <w:r>
          <w:rPr>
            <w:color w:val="231F20"/>
            <w:sz w:val="16"/>
          </w:rPr>
          <w:t>Scan for string within a string</w:t>
        </w:r>
        <w:r>
          <w:rPr>
            <w:color w:val="231F20"/>
            <w:spacing w:val="80"/>
            <w:sz w:val="16"/>
          </w:rPr>
          <w:t> </w:t>
        </w:r>
        <w:r>
          <w:rPr>
            <w:color w:val="231F20"/>
            <w:sz w:val="16"/>
          </w:rPr>
          <w:t>420</w:t>
        </w:r>
      </w:hyperlink>
      <w:r>
        <w:rPr>
          <w:color w:val="231F20"/>
          <w:spacing w:val="40"/>
          <w:sz w:val="16"/>
        </w:rPr>
        <w:t> </w:t>
      </w:r>
      <w:hyperlink w:history="true" w:anchor="_bookmark328">
        <w:r>
          <w:rPr>
            <w:color w:val="231F20"/>
            <w:sz w:val="16"/>
          </w:rPr>
          <w:t>SCAN formula function</w:t>
        </w:r>
        <w:r>
          <w:rPr>
            <w:color w:val="231F20"/>
            <w:spacing w:val="80"/>
            <w:sz w:val="16"/>
          </w:rPr>
          <w:t> </w:t>
        </w:r>
        <w:r>
          <w:rPr>
            <w:color w:val="231F20"/>
            <w:sz w:val="16"/>
          </w:rPr>
          <w:t>420</w:t>
        </w:r>
      </w:hyperlink>
      <w:r>
        <w:rPr>
          <w:color w:val="231F20"/>
          <w:spacing w:val="80"/>
          <w:sz w:val="16"/>
        </w:rPr>
        <w:t> </w:t>
      </w:r>
      <w:hyperlink w:history="true" w:anchor="_bookmark36">
        <w:r>
          <w:rPr>
            <w:color w:val="231F20"/>
            <w:sz w:val="16"/>
          </w:rPr>
          <w:t>search</w:t>
        </w:r>
        <w:r>
          <w:rPr>
            <w:color w:val="231F20"/>
            <w:spacing w:val="80"/>
            <w:sz w:val="16"/>
          </w:rPr>
          <w:t> </w:t>
        </w:r>
        <w:r>
          <w:rPr>
            <w:color w:val="231F20"/>
            <w:sz w:val="16"/>
          </w:rPr>
          <w:t>46</w:t>
        </w:r>
      </w:hyperlink>
    </w:p>
    <w:p>
      <w:pPr>
        <w:spacing w:line="220" w:lineRule="auto" w:before="3"/>
        <w:ind w:left="197" w:right="499" w:firstLine="0"/>
        <w:jc w:val="both"/>
        <w:rPr>
          <w:sz w:val="16"/>
        </w:rPr>
      </w:pPr>
      <w:hyperlink w:history="true" w:anchor="_bookmark325">
        <w:r>
          <w:rPr>
            <w:color w:val="231F20"/>
            <w:sz w:val="16"/>
          </w:rPr>
          <w:t>See if Null has been detected</w:t>
        </w:r>
        <w:r>
          <w:rPr>
            <w:color w:val="231F20"/>
            <w:spacing w:val="40"/>
            <w:sz w:val="16"/>
          </w:rPr>
          <w:t> </w:t>
        </w:r>
        <w:r>
          <w:rPr>
            <w:color w:val="231F20"/>
            <w:sz w:val="16"/>
          </w:rPr>
          <w:t>418</w:t>
        </w:r>
      </w:hyperlink>
      <w:r>
        <w:rPr>
          <w:color w:val="231F20"/>
          <w:spacing w:val="40"/>
          <w:sz w:val="16"/>
        </w:rPr>
        <w:t> </w:t>
      </w:r>
      <w:hyperlink w:history="true" w:anchor="_bookmark323">
        <w:r>
          <w:rPr>
            <w:color w:val="231F20"/>
            <w:sz w:val="16"/>
          </w:rPr>
          <w:t>See if value is within a range</w:t>
        </w:r>
        <w:r>
          <w:rPr>
            <w:color w:val="231F20"/>
            <w:spacing w:val="40"/>
            <w:sz w:val="16"/>
          </w:rPr>
          <w:t> </w:t>
        </w:r>
        <w:r>
          <w:rPr>
            <w:color w:val="231F20"/>
            <w:sz w:val="16"/>
          </w:rPr>
          <w:t>416</w:t>
        </w:r>
      </w:hyperlink>
      <w:r>
        <w:rPr>
          <w:color w:val="231F20"/>
          <w:spacing w:val="40"/>
          <w:sz w:val="16"/>
        </w:rPr>
        <w:t> </w:t>
      </w:r>
      <w:r>
        <w:rPr>
          <w:color w:val="231F20"/>
          <w:spacing w:val="-2"/>
          <w:sz w:val="16"/>
        </w:rPr>
        <w:t>self-monitoring</w:t>
      </w:r>
    </w:p>
    <w:p>
      <w:pPr>
        <w:spacing w:line="197" w:lineRule="exact" w:before="0"/>
        <w:ind w:left="436" w:right="0" w:firstLine="0"/>
        <w:jc w:val="both"/>
        <w:rPr>
          <w:sz w:val="16"/>
        </w:rPr>
      </w:pPr>
      <w:hyperlink w:history="true" w:anchor="_bookmark303">
        <w:r>
          <w:rPr>
            <w:color w:val="231F20"/>
            <w:sz w:val="16"/>
          </w:rPr>
          <w:t>topology</w:t>
        </w:r>
        <w:r>
          <w:rPr>
            <w:color w:val="231F20"/>
            <w:spacing w:val="9"/>
            <w:sz w:val="16"/>
          </w:rPr>
          <w:t> </w:t>
        </w:r>
        <w:r>
          <w:rPr>
            <w:color w:val="231F20"/>
            <w:sz w:val="16"/>
          </w:rPr>
          <w:t>workspace</w:t>
        </w:r>
        <w:r>
          <w:rPr>
            <w:color w:val="231F20"/>
            <w:spacing w:val="34"/>
            <w:sz w:val="16"/>
          </w:rPr>
          <w:t>  </w:t>
        </w:r>
        <w:r>
          <w:rPr>
            <w:color w:val="231F20"/>
            <w:spacing w:val="-5"/>
            <w:sz w:val="16"/>
          </w:rPr>
          <w:t>393</w:t>
        </w:r>
      </w:hyperlink>
    </w:p>
    <w:p>
      <w:pPr>
        <w:spacing w:line="220" w:lineRule="auto" w:before="6"/>
        <w:ind w:left="436" w:right="337" w:hanging="240"/>
        <w:jc w:val="left"/>
        <w:rPr>
          <w:sz w:val="16"/>
        </w:rPr>
      </w:pPr>
      <w:r>
        <w:rPr>
          <w:color w:val="231F20"/>
          <w:sz w:val="16"/>
        </w:rPr>
        <w:t>Self-Monitoring</w:t>
      </w:r>
      <w:r>
        <w:rPr>
          <w:color w:val="231F20"/>
          <w:spacing w:val="-6"/>
          <w:sz w:val="16"/>
        </w:rPr>
        <w:t> </w:t>
      </w:r>
      <w:r>
        <w:rPr>
          <w:color w:val="231F20"/>
          <w:sz w:val="16"/>
        </w:rPr>
        <w:t>Topology</w:t>
      </w:r>
      <w:r>
        <w:rPr>
          <w:color w:val="231F20"/>
          <w:spacing w:val="-6"/>
          <w:sz w:val="16"/>
        </w:rPr>
        <w:t> </w:t>
      </w:r>
      <w:r>
        <w:rPr>
          <w:color w:val="231F20"/>
          <w:sz w:val="16"/>
        </w:rPr>
        <w:t>workspace</w:t>
      </w:r>
      <w:r>
        <w:rPr>
          <w:color w:val="231F20"/>
          <w:spacing w:val="40"/>
          <w:sz w:val="16"/>
        </w:rPr>
        <w:t> </w:t>
      </w:r>
      <w:hyperlink w:history="true" w:anchor="_bookmark303">
        <w:r>
          <w:rPr>
            <w:color w:val="231F20"/>
            <w:sz w:val="16"/>
          </w:rPr>
          <w:t>accessing the workspace</w:t>
        </w:r>
        <w:r>
          <w:rPr>
            <w:color w:val="231F20"/>
            <w:spacing w:val="80"/>
            <w:sz w:val="16"/>
          </w:rPr>
          <w:t> </w:t>
        </w:r>
        <w:r>
          <w:rPr>
            <w:color w:val="231F20"/>
            <w:sz w:val="16"/>
          </w:rPr>
          <w:t>393</w:t>
        </w:r>
      </w:hyperlink>
      <w:r>
        <w:rPr>
          <w:color w:val="231F20"/>
          <w:spacing w:val="40"/>
          <w:sz w:val="16"/>
        </w:rPr>
        <w:t> </w:t>
      </w:r>
      <w:hyperlink w:history="true" w:anchor="_bookmark303">
        <w:r>
          <w:rPr>
            <w:color w:val="231F20"/>
            <w:sz w:val="16"/>
          </w:rPr>
          <w:t>what the workspace shows</w:t>
        </w:r>
        <w:r>
          <w:rPr>
            <w:color w:val="231F20"/>
            <w:spacing w:val="80"/>
            <w:sz w:val="16"/>
          </w:rPr>
          <w:t> </w:t>
        </w:r>
        <w:r>
          <w:rPr>
            <w:color w:val="231F20"/>
            <w:sz w:val="16"/>
          </w:rPr>
          <w:t>393</w:t>
        </w:r>
      </w:hyperlink>
    </w:p>
    <w:p>
      <w:pPr>
        <w:spacing w:line="220" w:lineRule="auto" w:before="2"/>
        <w:ind w:left="317" w:right="0" w:hanging="120"/>
        <w:jc w:val="left"/>
        <w:rPr>
          <w:sz w:val="16"/>
        </w:rPr>
      </w:pPr>
      <w:hyperlink w:history="true" w:anchor="_bookmark254">
        <w:r>
          <w:rPr>
            <w:color w:val="231F20"/>
            <w:sz w:val="16"/>
          </w:rPr>
          <w:t>Send</w:t>
        </w:r>
        <w:r>
          <w:rPr>
            <w:color w:val="231F20"/>
            <w:spacing w:val="-1"/>
            <w:sz w:val="16"/>
          </w:rPr>
          <w:t> </w:t>
        </w:r>
        <w:r>
          <w:rPr>
            <w:color w:val="231F20"/>
            <w:sz w:val="16"/>
          </w:rPr>
          <w:t>a</w:t>
        </w:r>
        <w:r>
          <w:rPr>
            <w:color w:val="231F20"/>
            <w:spacing w:val="-1"/>
            <w:sz w:val="16"/>
          </w:rPr>
          <w:t> </w:t>
        </w:r>
        <w:r>
          <w:rPr>
            <w:color w:val="231F20"/>
            <w:sz w:val="16"/>
          </w:rPr>
          <w:t>Tivoli</w:t>
        </w:r>
        <w:r>
          <w:rPr>
            <w:color w:val="231F20"/>
            <w:spacing w:val="-5"/>
            <w:sz w:val="16"/>
          </w:rPr>
          <w:t> </w:t>
        </w:r>
        <w:r>
          <w:rPr>
            <w:color w:val="231F20"/>
            <w:sz w:val="16"/>
          </w:rPr>
          <w:t>Application</w:t>
        </w:r>
        <w:r>
          <w:rPr>
            <w:color w:val="231F20"/>
            <w:spacing w:val="-1"/>
            <w:sz w:val="16"/>
          </w:rPr>
          <w:t> </w:t>
        </w:r>
        <w:r>
          <w:rPr>
            <w:color w:val="231F20"/>
            <w:sz w:val="16"/>
          </w:rPr>
          <w:t>Dependency</w:t>
        </w:r>
      </w:hyperlink>
      <w:r>
        <w:rPr>
          <w:color w:val="231F20"/>
          <w:spacing w:val="40"/>
          <w:sz w:val="16"/>
        </w:rPr>
        <w:t> </w:t>
      </w:r>
      <w:hyperlink w:history="true" w:anchor="_bookmark254">
        <w:r>
          <w:rPr>
            <w:color w:val="231F20"/>
            <w:sz w:val="16"/>
          </w:rPr>
          <w:t>Discovery Manager Update</w:t>
        </w:r>
        <w:r>
          <w:rPr>
            <w:color w:val="231F20"/>
            <w:spacing w:val="80"/>
            <w:sz w:val="16"/>
          </w:rPr>
          <w:t> </w:t>
        </w:r>
        <w:r>
          <w:rPr>
            <w:color w:val="231F20"/>
            <w:sz w:val="16"/>
          </w:rPr>
          <w:t>345</w:t>
        </w:r>
      </w:hyperlink>
    </w:p>
    <w:p>
      <w:pPr>
        <w:spacing w:line="220" w:lineRule="auto" w:before="2"/>
        <w:ind w:left="436" w:right="512" w:firstLine="0"/>
        <w:jc w:val="left"/>
        <w:rPr>
          <w:sz w:val="16"/>
        </w:rPr>
      </w:pPr>
      <w:hyperlink w:history="true" w:anchor="_bookmark262">
        <w:r>
          <w:rPr>
            <w:color w:val="231F20"/>
            <w:sz w:val="16"/>
          </w:rPr>
          <w:t>JSON update request</w:t>
        </w:r>
        <w:r>
          <w:rPr>
            <w:color w:val="231F20"/>
            <w:spacing w:val="80"/>
            <w:sz w:val="16"/>
          </w:rPr>
          <w:t> </w:t>
        </w:r>
        <w:r>
          <w:rPr>
            <w:color w:val="231F20"/>
            <w:sz w:val="16"/>
          </w:rPr>
          <w:t>351</w:t>
        </w:r>
      </w:hyperlink>
      <w:r>
        <w:rPr>
          <w:color w:val="231F20"/>
          <w:spacing w:val="40"/>
          <w:sz w:val="16"/>
        </w:rPr>
        <w:t> </w:t>
      </w:r>
      <w:hyperlink w:history="true" w:anchor="_bookmark257">
        <w:r>
          <w:rPr>
            <w:color w:val="231F20"/>
            <w:sz w:val="16"/>
          </w:rPr>
          <w:t>Value substitution</w:t>
        </w:r>
        <w:r>
          <w:rPr>
            <w:color w:val="231F20"/>
            <w:spacing w:val="80"/>
            <w:sz w:val="16"/>
          </w:rPr>
          <w:t> </w:t>
        </w:r>
        <w:r>
          <w:rPr>
            <w:color w:val="231F20"/>
            <w:sz w:val="16"/>
          </w:rPr>
          <w:t>347</w:t>
        </w:r>
      </w:hyperlink>
    </w:p>
    <w:p>
      <w:pPr>
        <w:spacing w:line="196" w:lineRule="exact" w:before="0"/>
        <w:ind w:left="197" w:right="0" w:firstLine="0"/>
        <w:jc w:val="left"/>
        <w:rPr>
          <w:sz w:val="16"/>
        </w:rPr>
      </w:pPr>
      <w:hyperlink w:history="true" w:anchor="_bookmark259">
        <w:r>
          <w:rPr>
            <w:color w:val="231F20"/>
            <w:sz w:val="16"/>
          </w:rPr>
          <w:t>Send</w:t>
        </w:r>
        <w:r>
          <w:rPr>
            <w:color w:val="231F20"/>
            <w:spacing w:val="11"/>
            <w:sz w:val="16"/>
          </w:rPr>
          <w:t> </w:t>
        </w:r>
        <w:r>
          <w:rPr>
            <w:color w:val="231F20"/>
            <w:sz w:val="16"/>
          </w:rPr>
          <w:t>an</w:t>
        </w:r>
        <w:r>
          <w:rPr>
            <w:color w:val="231F20"/>
            <w:spacing w:val="11"/>
            <w:sz w:val="16"/>
          </w:rPr>
          <w:t> </w:t>
        </w:r>
        <w:r>
          <w:rPr>
            <w:color w:val="231F20"/>
            <w:sz w:val="16"/>
          </w:rPr>
          <w:t>email</w:t>
        </w:r>
        <w:r>
          <w:rPr>
            <w:color w:val="231F20"/>
            <w:spacing w:val="36"/>
            <w:sz w:val="16"/>
          </w:rPr>
          <w:t>  </w:t>
        </w:r>
        <w:r>
          <w:rPr>
            <w:color w:val="231F20"/>
            <w:spacing w:val="-5"/>
            <w:sz w:val="16"/>
          </w:rPr>
          <w:t>348</w:t>
        </w:r>
      </w:hyperlink>
    </w:p>
    <w:p>
      <w:pPr>
        <w:spacing w:line="220" w:lineRule="auto" w:before="6"/>
        <w:ind w:left="197" w:right="170" w:firstLine="0"/>
        <w:jc w:val="left"/>
        <w:rPr>
          <w:sz w:val="16"/>
        </w:rPr>
      </w:pPr>
      <w:hyperlink w:history="true" w:anchor="_bookmark353">
        <w:r>
          <w:rPr>
            <w:color w:val="231F20"/>
            <w:sz w:val="16"/>
          </w:rPr>
          <w:t>Service Management Connect</w:t>
        </w:r>
        <w:r>
          <w:rPr>
            <w:color w:val="231F20"/>
            <w:spacing w:val="80"/>
            <w:sz w:val="16"/>
          </w:rPr>
          <w:t> </w:t>
        </w:r>
        <w:r>
          <w:rPr>
            <w:color w:val="231F20"/>
            <w:sz w:val="16"/>
          </w:rPr>
          <w:t>457,</w:t>
        </w:r>
      </w:hyperlink>
      <w:r>
        <w:rPr>
          <w:color w:val="231F20"/>
          <w:sz w:val="16"/>
        </w:rPr>
        <w:t> </w:t>
      </w:r>
      <w:hyperlink w:history="true" w:anchor="_bookmark354">
        <w:r>
          <w:rPr>
            <w:color w:val="231F20"/>
            <w:sz w:val="16"/>
          </w:rPr>
          <w:t>459</w:t>
        </w:r>
      </w:hyperlink>
      <w:r>
        <w:rPr>
          <w:color w:val="231F20"/>
          <w:spacing w:val="40"/>
          <w:sz w:val="16"/>
        </w:rPr>
        <w:t> </w:t>
      </w:r>
      <w:hyperlink w:history="true" w:anchor="_bookmark151">
        <w:r>
          <w:rPr>
            <w:color w:val="231F20"/>
            <w:sz w:val="16"/>
          </w:rPr>
          <w:t>Situation Definition query</w:t>
        </w:r>
        <w:r>
          <w:rPr>
            <w:color w:val="231F20"/>
            <w:spacing w:val="80"/>
            <w:sz w:val="16"/>
          </w:rPr>
          <w:t> </w:t>
        </w:r>
        <w:r>
          <w:rPr>
            <w:color w:val="231F20"/>
            <w:sz w:val="16"/>
          </w:rPr>
          <w:t>211</w:t>
        </w:r>
      </w:hyperlink>
      <w:r>
        <w:rPr>
          <w:color w:val="231F20"/>
          <w:spacing w:val="40"/>
          <w:sz w:val="16"/>
        </w:rPr>
        <w:t> </w:t>
      </w:r>
      <w:r>
        <w:rPr>
          <w:color w:val="231F20"/>
          <w:sz w:val="16"/>
        </w:rPr>
        <w:t>situation editor</w:t>
      </w:r>
    </w:p>
    <w:p>
      <w:pPr>
        <w:spacing w:line="197" w:lineRule="exact" w:before="0"/>
        <w:ind w:left="436" w:right="0" w:firstLine="0"/>
        <w:jc w:val="left"/>
        <w:rPr>
          <w:sz w:val="16"/>
        </w:rPr>
      </w:pPr>
      <w:hyperlink w:history="true" w:anchor="_bookmark190">
        <w:r>
          <w:rPr>
            <w:color w:val="231F20"/>
            <w:sz w:val="16"/>
          </w:rPr>
          <w:t>action</w:t>
        </w:r>
        <w:r>
          <w:rPr>
            <w:color w:val="231F20"/>
            <w:spacing w:val="11"/>
            <w:sz w:val="16"/>
          </w:rPr>
          <w:t> </w:t>
        </w:r>
        <w:r>
          <w:rPr>
            <w:color w:val="231F20"/>
            <w:sz w:val="16"/>
          </w:rPr>
          <w:t>tab</w:t>
        </w:r>
        <w:r>
          <w:rPr>
            <w:color w:val="231F20"/>
            <w:spacing w:val="37"/>
            <w:sz w:val="16"/>
          </w:rPr>
          <w:t>  </w:t>
        </w:r>
        <w:r>
          <w:rPr>
            <w:color w:val="231F20"/>
            <w:spacing w:val="-5"/>
            <w:sz w:val="16"/>
          </w:rPr>
          <w:t>259</w:t>
        </w:r>
      </w:hyperlink>
    </w:p>
    <w:p>
      <w:pPr>
        <w:spacing w:line="200" w:lineRule="exact" w:before="0"/>
        <w:ind w:left="436" w:right="0" w:firstLine="0"/>
        <w:jc w:val="left"/>
        <w:rPr>
          <w:sz w:val="16"/>
        </w:rPr>
      </w:pPr>
      <w:hyperlink w:history="true" w:anchor="_bookmark203">
        <w:r>
          <w:rPr>
            <w:color w:val="231F20"/>
            <w:sz w:val="16"/>
          </w:rPr>
          <w:t>Action</w:t>
        </w:r>
        <w:r>
          <w:rPr>
            <w:color w:val="231F20"/>
            <w:spacing w:val="11"/>
            <w:sz w:val="16"/>
          </w:rPr>
          <w:t> </w:t>
        </w:r>
        <w:r>
          <w:rPr>
            <w:color w:val="231F20"/>
            <w:sz w:val="16"/>
          </w:rPr>
          <w:t>tab</w:t>
        </w:r>
        <w:r>
          <w:rPr>
            <w:color w:val="231F20"/>
            <w:spacing w:val="37"/>
            <w:sz w:val="16"/>
          </w:rPr>
          <w:t>  </w:t>
        </w:r>
        <w:r>
          <w:rPr>
            <w:color w:val="231F20"/>
            <w:spacing w:val="-5"/>
            <w:sz w:val="16"/>
          </w:rPr>
          <w:t>273</w:t>
        </w:r>
      </w:hyperlink>
    </w:p>
    <w:p>
      <w:pPr>
        <w:spacing w:line="200" w:lineRule="exact" w:before="0"/>
        <w:ind w:left="436" w:right="0" w:firstLine="0"/>
        <w:jc w:val="left"/>
        <w:rPr>
          <w:sz w:val="16"/>
        </w:rPr>
      </w:pPr>
      <w:hyperlink w:history="true" w:anchor="_bookmark188">
        <w:r>
          <w:rPr>
            <w:color w:val="231F20"/>
            <w:sz w:val="16"/>
          </w:rPr>
          <w:t>Distribution</w:t>
        </w:r>
        <w:r>
          <w:rPr>
            <w:color w:val="231F20"/>
            <w:spacing w:val="10"/>
            <w:sz w:val="16"/>
          </w:rPr>
          <w:t> </w:t>
        </w:r>
        <w:r>
          <w:rPr>
            <w:color w:val="231F20"/>
            <w:sz w:val="16"/>
          </w:rPr>
          <w:t>tab</w:t>
        </w:r>
        <w:r>
          <w:rPr>
            <w:color w:val="231F20"/>
            <w:spacing w:val="35"/>
            <w:sz w:val="16"/>
          </w:rPr>
          <w:t>  </w:t>
        </w:r>
        <w:r>
          <w:rPr>
            <w:color w:val="231F20"/>
            <w:sz w:val="16"/>
          </w:rPr>
          <w:t>257,</w:t>
        </w:r>
      </w:hyperlink>
      <w:r>
        <w:rPr>
          <w:color w:val="231F20"/>
          <w:spacing w:val="11"/>
          <w:sz w:val="16"/>
        </w:rPr>
        <w:t> </w:t>
      </w:r>
      <w:hyperlink w:history="true" w:anchor="_bookmark200">
        <w:r>
          <w:rPr>
            <w:color w:val="231F20"/>
            <w:spacing w:val="-5"/>
            <w:sz w:val="16"/>
          </w:rPr>
          <w:t>270</w:t>
        </w:r>
      </w:hyperlink>
    </w:p>
    <w:p>
      <w:pPr>
        <w:spacing w:line="200" w:lineRule="exact" w:before="0"/>
        <w:ind w:left="436" w:right="0" w:firstLine="0"/>
        <w:jc w:val="left"/>
        <w:rPr>
          <w:sz w:val="16"/>
        </w:rPr>
      </w:pPr>
      <w:hyperlink w:history="true" w:anchor="_bookmark191">
        <w:r>
          <w:rPr>
            <w:color w:val="231F20"/>
            <w:sz w:val="16"/>
          </w:rPr>
          <w:t>EIF</w:t>
        </w:r>
        <w:r>
          <w:rPr>
            <w:color w:val="231F20"/>
            <w:spacing w:val="11"/>
            <w:sz w:val="16"/>
          </w:rPr>
          <w:t> </w:t>
        </w:r>
        <w:r>
          <w:rPr>
            <w:color w:val="231F20"/>
            <w:sz w:val="16"/>
          </w:rPr>
          <w:t>tab</w:t>
        </w:r>
        <w:r>
          <w:rPr>
            <w:color w:val="231F20"/>
            <w:spacing w:val="38"/>
            <w:sz w:val="16"/>
          </w:rPr>
          <w:t>  </w:t>
        </w:r>
        <w:r>
          <w:rPr>
            <w:color w:val="231F20"/>
            <w:spacing w:val="-5"/>
            <w:sz w:val="16"/>
          </w:rPr>
          <w:t>261</w:t>
        </w:r>
      </w:hyperlink>
    </w:p>
    <w:p>
      <w:pPr>
        <w:spacing w:line="220" w:lineRule="auto" w:before="5"/>
        <w:ind w:left="436" w:right="1007" w:firstLine="0"/>
        <w:jc w:val="left"/>
        <w:rPr>
          <w:sz w:val="16"/>
        </w:rPr>
      </w:pPr>
      <w:hyperlink w:history="true" w:anchor="_bookmark189">
        <w:r>
          <w:rPr>
            <w:color w:val="231F20"/>
            <w:sz w:val="16"/>
          </w:rPr>
          <w:t>expert advice</w:t>
        </w:r>
        <w:r>
          <w:rPr>
            <w:color w:val="231F20"/>
            <w:spacing w:val="80"/>
            <w:sz w:val="16"/>
          </w:rPr>
          <w:t> </w:t>
        </w:r>
        <w:r>
          <w:rPr>
            <w:color w:val="231F20"/>
            <w:sz w:val="16"/>
          </w:rPr>
          <w:t>258</w:t>
        </w:r>
      </w:hyperlink>
      <w:r>
        <w:rPr>
          <w:color w:val="231F20"/>
          <w:spacing w:val="40"/>
          <w:sz w:val="16"/>
        </w:rPr>
        <w:t> </w:t>
      </w:r>
      <w:hyperlink w:history="true" w:anchor="_bookmark201">
        <w:r>
          <w:rPr>
            <w:color w:val="231F20"/>
            <w:sz w:val="16"/>
          </w:rPr>
          <w:t>Expert Advice tab</w:t>
        </w:r>
        <w:r>
          <w:rPr>
            <w:color w:val="231F20"/>
            <w:spacing w:val="80"/>
            <w:sz w:val="16"/>
          </w:rPr>
          <w:t> </w:t>
        </w:r>
        <w:r>
          <w:rPr>
            <w:color w:val="231F20"/>
            <w:sz w:val="16"/>
          </w:rPr>
          <w:t>271</w:t>
        </w:r>
      </w:hyperlink>
      <w:r>
        <w:rPr>
          <w:color w:val="231F20"/>
          <w:spacing w:val="40"/>
          <w:sz w:val="16"/>
        </w:rPr>
        <w:t> </w:t>
      </w:r>
      <w:hyperlink w:history="true" w:anchor="_bookmark187">
        <w:r>
          <w:rPr>
            <w:color w:val="231F20"/>
            <w:sz w:val="16"/>
          </w:rPr>
          <w:t>Formula tab</w:t>
        </w:r>
        <w:r>
          <w:rPr>
            <w:color w:val="231F20"/>
            <w:spacing w:val="80"/>
            <w:sz w:val="16"/>
          </w:rPr>
          <w:t> </w:t>
        </w:r>
        <w:r>
          <w:rPr>
            <w:color w:val="231F20"/>
            <w:sz w:val="16"/>
          </w:rPr>
          <w:t>255</w:t>
        </w:r>
      </w:hyperlink>
    </w:p>
    <w:p>
      <w:pPr>
        <w:spacing w:line="197" w:lineRule="exact" w:before="0"/>
        <w:ind w:left="436" w:right="0" w:firstLine="0"/>
        <w:jc w:val="left"/>
        <w:rPr>
          <w:sz w:val="16"/>
        </w:rPr>
      </w:pPr>
      <w:hyperlink w:history="true" w:anchor="_bookmark186">
        <w:r>
          <w:rPr>
            <w:color w:val="231F20"/>
            <w:sz w:val="16"/>
          </w:rPr>
          <w:t>tree</w:t>
        </w:r>
        <w:r>
          <w:rPr>
            <w:color w:val="231F20"/>
            <w:spacing w:val="36"/>
            <w:sz w:val="16"/>
          </w:rPr>
          <w:t>  </w:t>
        </w:r>
        <w:r>
          <w:rPr>
            <w:color w:val="231F20"/>
            <w:spacing w:val="-5"/>
            <w:sz w:val="16"/>
          </w:rPr>
          <w:t>254</w:t>
        </w:r>
      </w:hyperlink>
    </w:p>
    <w:p>
      <w:pPr>
        <w:spacing w:line="200" w:lineRule="exact" w:before="0"/>
        <w:ind w:left="436" w:right="0" w:firstLine="0"/>
        <w:jc w:val="left"/>
        <w:rPr>
          <w:sz w:val="16"/>
        </w:rPr>
      </w:pPr>
      <w:hyperlink w:history="true" w:anchor="_bookmark192">
        <w:r>
          <w:rPr>
            <w:color w:val="231F20"/>
            <w:sz w:val="16"/>
          </w:rPr>
          <w:t>until</w:t>
        </w:r>
        <w:r>
          <w:rPr>
            <w:color w:val="231F20"/>
            <w:spacing w:val="37"/>
            <w:sz w:val="16"/>
          </w:rPr>
          <w:t>  </w:t>
        </w:r>
        <w:r>
          <w:rPr>
            <w:color w:val="231F20"/>
            <w:spacing w:val="-5"/>
            <w:sz w:val="16"/>
          </w:rPr>
          <w:t>262</w:t>
        </w:r>
      </w:hyperlink>
    </w:p>
    <w:p>
      <w:pPr>
        <w:spacing w:line="200" w:lineRule="exact" w:before="0"/>
        <w:ind w:left="436" w:right="0" w:firstLine="0"/>
        <w:jc w:val="left"/>
        <w:rPr>
          <w:sz w:val="16"/>
        </w:rPr>
      </w:pPr>
      <w:hyperlink w:history="true" w:anchor="_bookmark204">
        <w:r>
          <w:rPr>
            <w:color w:val="231F20"/>
            <w:sz w:val="16"/>
          </w:rPr>
          <w:t>Until</w:t>
        </w:r>
        <w:r>
          <w:rPr>
            <w:color w:val="231F20"/>
            <w:spacing w:val="11"/>
            <w:sz w:val="16"/>
          </w:rPr>
          <w:t> </w:t>
        </w:r>
        <w:r>
          <w:rPr>
            <w:color w:val="231F20"/>
            <w:sz w:val="16"/>
          </w:rPr>
          <w:t>tab</w:t>
        </w:r>
        <w:r>
          <w:rPr>
            <w:color w:val="231F20"/>
            <w:spacing w:val="37"/>
            <w:sz w:val="16"/>
          </w:rPr>
          <w:t>  </w:t>
        </w:r>
        <w:r>
          <w:rPr>
            <w:color w:val="231F20"/>
            <w:spacing w:val="-5"/>
            <w:sz w:val="16"/>
          </w:rPr>
          <w:t>275</w:t>
        </w:r>
      </w:hyperlink>
    </w:p>
    <w:p>
      <w:pPr>
        <w:spacing w:line="220" w:lineRule="auto" w:before="5"/>
        <w:ind w:left="436" w:right="170" w:hanging="240"/>
        <w:jc w:val="left"/>
        <w:rPr>
          <w:sz w:val="16"/>
        </w:rPr>
      </w:pPr>
      <w:hyperlink w:history="true" w:anchor="_bookmark113">
        <w:r>
          <w:rPr>
            <w:color w:val="231F20"/>
            <w:sz w:val="16"/>
          </w:rPr>
          <w:t>situation event console view</w:t>
        </w:r>
        <w:r>
          <w:rPr>
            <w:color w:val="231F20"/>
            <w:spacing w:val="80"/>
            <w:sz w:val="16"/>
          </w:rPr>
          <w:t> </w:t>
        </w:r>
        <w:r>
          <w:rPr>
            <w:color w:val="231F20"/>
            <w:sz w:val="16"/>
          </w:rPr>
          <w:t>150</w:t>
        </w:r>
      </w:hyperlink>
      <w:r>
        <w:rPr>
          <w:color w:val="231F20"/>
          <w:spacing w:val="40"/>
          <w:sz w:val="16"/>
        </w:rPr>
        <w:t> </w:t>
      </w:r>
      <w:hyperlink w:history="true" w:anchor="_bookmark115">
        <w:r>
          <w:rPr>
            <w:color w:val="231F20"/>
            <w:sz w:val="16"/>
          </w:rPr>
          <w:t>applying filters and thresholds</w:t>
        </w:r>
        <w:r>
          <w:rPr>
            <w:color w:val="231F20"/>
            <w:spacing w:val="80"/>
            <w:sz w:val="16"/>
          </w:rPr>
          <w:t> </w:t>
        </w:r>
        <w:r>
          <w:rPr>
            <w:color w:val="231F20"/>
            <w:sz w:val="16"/>
          </w:rPr>
          <w:t>154</w:t>
        </w:r>
      </w:hyperlink>
      <w:r>
        <w:rPr>
          <w:color w:val="231F20"/>
          <w:spacing w:val="40"/>
          <w:sz w:val="16"/>
        </w:rPr>
        <w:t> </w:t>
      </w:r>
      <w:hyperlink w:history="true" w:anchor="_bookmark114">
        <w:r>
          <w:rPr>
            <w:color w:val="231F20"/>
            <w:sz w:val="16"/>
          </w:rPr>
          <w:t>what the view shows</w:t>
        </w:r>
        <w:r>
          <w:rPr>
            <w:color w:val="231F20"/>
            <w:spacing w:val="80"/>
            <w:sz w:val="16"/>
          </w:rPr>
          <w:t> </w:t>
        </w:r>
        <w:r>
          <w:rPr>
            <w:color w:val="231F20"/>
            <w:sz w:val="16"/>
          </w:rPr>
          <w:t>151</w:t>
        </w:r>
      </w:hyperlink>
    </w:p>
    <w:p>
      <w:pPr>
        <w:spacing w:line="220" w:lineRule="auto" w:before="3"/>
        <w:ind w:left="197" w:right="1027" w:firstLine="0"/>
        <w:jc w:val="left"/>
        <w:rPr>
          <w:sz w:val="16"/>
        </w:rPr>
      </w:pPr>
      <w:hyperlink w:history="true" w:anchor="_bookmark39">
        <w:r>
          <w:rPr>
            <w:color w:val="231F20"/>
            <w:sz w:val="16"/>
          </w:rPr>
          <w:t>situation events</w:t>
        </w:r>
        <w:r>
          <w:rPr>
            <w:color w:val="231F20"/>
            <w:spacing w:val="80"/>
            <w:sz w:val="16"/>
          </w:rPr>
          <w:t> </w:t>
        </w:r>
        <w:r>
          <w:rPr>
            <w:color w:val="231F20"/>
            <w:sz w:val="16"/>
          </w:rPr>
          <w:t>51</w:t>
        </w:r>
      </w:hyperlink>
      <w:r>
        <w:rPr>
          <w:color w:val="231F20"/>
          <w:spacing w:val="40"/>
          <w:sz w:val="16"/>
        </w:rPr>
        <w:t> </w:t>
      </w:r>
      <w:r>
        <w:rPr>
          <w:color w:val="231F20"/>
          <w:sz w:val="16"/>
        </w:rPr>
        <w:t>situation override</w:t>
      </w:r>
    </w:p>
    <w:p>
      <w:pPr>
        <w:spacing w:line="220" w:lineRule="auto" w:before="2"/>
        <w:ind w:left="197" w:right="1027" w:firstLine="239"/>
        <w:jc w:val="left"/>
        <w:rPr>
          <w:sz w:val="16"/>
        </w:rPr>
      </w:pPr>
      <w:hyperlink w:history="true" w:anchor="_bookmark220">
        <w:r>
          <w:rPr>
            <w:color w:val="231F20"/>
            <w:sz w:val="16"/>
          </w:rPr>
          <w:t>limitations</w:t>
        </w:r>
        <w:r>
          <w:rPr>
            <w:color w:val="231F20"/>
            <w:spacing w:val="80"/>
            <w:sz w:val="16"/>
          </w:rPr>
          <w:t> </w:t>
        </w:r>
        <w:r>
          <w:rPr>
            <w:color w:val="231F20"/>
            <w:sz w:val="16"/>
          </w:rPr>
          <w:t>297</w:t>
        </w:r>
      </w:hyperlink>
      <w:r>
        <w:rPr>
          <w:color w:val="231F20"/>
          <w:spacing w:val="40"/>
          <w:sz w:val="16"/>
        </w:rPr>
        <w:t> </w:t>
      </w:r>
      <w:hyperlink w:history="true" w:anchor="_bookmark151">
        <w:r>
          <w:rPr>
            <w:color w:val="231F20"/>
            <w:sz w:val="16"/>
          </w:rPr>
          <w:t>Situation State Events</w:t>
        </w:r>
        <w:r>
          <w:rPr>
            <w:color w:val="231F20"/>
            <w:spacing w:val="80"/>
            <w:sz w:val="16"/>
          </w:rPr>
          <w:t> </w:t>
        </w:r>
        <w:r>
          <w:rPr>
            <w:color w:val="231F20"/>
            <w:sz w:val="16"/>
          </w:rPr>
          <w:t>211</w:t>
        </w:r>
      </w:hyperlink>
      <w:r>
        <w:rPr>
          <w:color w:val="231F20"/>
          <w:spacing w:val="40"/>
          <w:sz w:val="16"/>
        </w:rPr>
        <w:t> </w:t>
      </w:r>
      <w:hyperlink w:history="true" w:anchor="_bookmark151">
        <w:r>
          <w:rPr>
            <w:color w:val="231F20"/>
            <w:sz w:val="16"/>
          </w:rPr>
          <w:t>Situation Status</w:t>
        </w:r>
        <w:r>
          <w:rPr>
            <w:color w:val="231F20"/>
            <w:spacing w:val="80"/>
            <w:sz w:val="16"/>
          </w:rPr>
          <w:t> </w:t>
        </w:r>
        <w:r>
          <w:rPr>
            <w:color w:val="231F20"/>
            <w:sz w:val="16"/>
          </w:rPr>
          <w:t>211</w:t>
        </w:r>
      </w:hyperlink>
    </w:p>
    <w:p>
      <w:pPr>
        <w:spacing w:line="220" w:lineRule="auto" w:before="3"/>
        <w:ind w:left="197" w:right="549" w:firstLine="0"/>
        <w:jc w:val="left"/>
        <w:rPr>
          <w:sz w:val="16"/>
        </w:rPr>
      </w:pPr>
      <w:hyperlink w:history="true" w:anchor="_bookmark152">
        <w:r>
          <w:rPr>
            <w:color w:val="231F20"/>
            <w:sz w:val="16"/>
          </w:rPr>
          <w:t>Situation Status Current</w:t>
        </w:r>
        <w:r>
          <w:rPr>
            <w:color w:val="231F20"/>
            <w:spacing w:val="80"/>
            <w:sz w:val="16"/>
          </w:rPr>
          <w:t> </w:t>
        </w:r>
        <w:r>
          <w:rPr>
            <w:color w:val="231F20"/>
            <w:sz w:val="16"/>
          </w:rPr>
          <w:t>212</w:t>
        </w:r>
      </w:hyperlink>
      <w:r>
        <w:rPr>
          <w:color w:val="231F20"/>
          <w:spacing w:val="40"/>
          <w:sz w:val="16"/>
        </w:rPr>
        <w:t> </w:t>
      </w:r>
      <w:hyperlink w:history="true" w:anchor="_bookmark152">
        <w:r>
          <w:rPr>
            <w:color w:val="231F20"/>
            <w:sz w:val="16"/>
          </w:rPr>
          <w:t>Situation Status Log</w:t>
        </w:r>
        <w:r>
          <w:rPr>
            <w:color w:val="231F20"/>
            <w:spacing w:val="80"/>
            <w:sz w:val="16"/>
          </w:rPr>
          <w:t> </w:t>
        </w:r>
        <w:r>
          <w:rPr>
            <w:color w:val="231F20"/>
            <w:sz w:val="16"/>
          </w:rPr>
          <w:t>212</w:t>
        </w:r>
      </w:hyperlink>
      <w:r>
        <w:rPr>
          <w:color w:val="231F20"/>
          <w:spacing w:val="40"/>
          <w:sz w:val="16"/>
        </w:rPr>
        <w:t> </w:t>
      </w:r>
      <w:hyperlink w:history="true" w:anchor="_bookmark181">
        <w:r>
          <w:rPr>
            <w:color w:val="231F20"/>
            <w:sz w:val="16"/>
          </w:rPr>
          <w:t>situations</w:t>
        </w:r>
        <w:r>
          <w:rPr>
            <w:color w:val="231F20"/>
            <w:spacing w:val="80"/>
            <w:sz w:val="16"/>
          </w:rPr>
          <w:t> </w:t>
        </w:r>
        <w:r>
          <w:rPr>
            <w:color w:val="231F20"/>
            <w:sz w:val="16"/>
          </w:rPr>
          <w:t>249</w:t>
        </w:r>
      </w:hyperlink>
    </w:p>
    <w:p>
      <w:pPr>
        <w:spacing w:line="220" w:lineRule="auto" w:before="3"/>
        <w:ind w:left="556" w:right="497" w:hanging="120"/>
        <w:jc w:val="left"/>
        <w:rPr>
          <w:sz w:val="16"/>
        </w:rPr>
      </w:pPr>
      <w:hyperlink w:history="true" w:anchor="_bookmark223">
        <w:r>
          <w:rPr>
            <w:color w:val="231F20"/>
            <w:sz w:val="16"/>
          </w:rPr>
          <w:t>add</w:t>
        </w:r>
        <w:r>
          <w:rPr>
            <w:color w:val="231F20"/>
            <w:spacing w:val="-6"/>
            <w:sz w:val="16"/>
          </w:rPr>
          <w:t> </w:t>
        </w:r>
        <w:r>
          <w:rPr>
            <w:color w:val="231F20"/>
            <w:sz w:val="16"/>
          </w:rPr>
          <w:t>expression</w:t>
        </w:r>
        <w:r>
          <w:rPr>
            <w:color w:val="231F20"/>
            <w:spacing w:val="-6"/>
            <w:sz w:val="16"/>
          </w:rPr>
          <w:t> </w:t>
        </w:r>
        <w:r>
          <w:rPr>
            <w:color w:val="231F20"/>
            <w:sz w:val="16"/>
          </w:rPr>
          <w:t>overrides</w:t>
        </w:r>
      </w:hyperlink>
      <w:r>
        <w:rPr>
          <w:color w:val="231F20"/>
          <w:spacing w:val="40"/>
          <w:sz w:val="16"/>
        </w:rPr>
        <w:t> </w:t>
      </w:r>
      <w:hyperlink w:history="true" w:anchor="_bookmark223">
        <w:r>
          <w:rPr>
            <w:color w:val="231F20"/>
            <w:sz w:val="16"/>
          </w:rPr>
          <w:t>window</w:t>
        </w:r>
        <w:r>
          <w:rPr>
            <w:color w:val="231F20"/>
            <w:spacing w:val="80"/>
            <w:sz w:val="16"/>
          </w:rPr>
          <w:t> </w:t>
        </w:r>
        <w:r>
          <w:rPr>
            <w:color w:val="231F20"/>
            <w:sz w:val="16"/>
          </w:rPr>
          <w:t>300</w:t>
        </w:r>
      </w:hyperlink>
    </w:p>
    <w:p>
      <w:pPr>
        <w:spacing w:line="196" w:lineRule="exact" w:before="0"/>
        <w:ind w:left="436" w:right="0" w:firstLine="0"/>
        <w:jc w:val="left"/>
        <w:rPr>
          <w:sz w:val="16"/>
        </w:rPr>
      </w:pPr>
      <w:hyperlink w:history="true" w:anchor="_bookmark193">
        <w:r>
          <w:rPr>
            <w:color w:val="231F20"/>
            <w:sz w:val="16"/>
          </w:rPr>
          <w:t>all</w:t>
        </w:r>
        <w:r>
          <w:rPr>
            <w:color w:val="231F20"/>
            <w:spacing w:val="10"/>
            <w:sz w:val="16"/>
          </w:rPr>
          <w:t> </w:t>
        </w:r>
        <w:r>
          <w:rPr>
            <w:color w:val="231F20"/>
            <w:sz w:val="16"/>
          </w:rPr>
          <w:t>managed</w:t>
        </w:r>
        <w:r>
          <w:rPr>
            <w:color w:val="231F20"/>
            <w:spacing w:val="10"/>
            <w:sz w:val="16"/>
          </w:rPr>
          <w:t> </w:t>
        </w:r>
        <w:r>
          <w:rPr>
            <w:color w:val="231F20"/>
            <w:sz w:val="16"/>
          </w:rPr>
          <w:t>systems</w:t>
        </w:r>
        <w:r>
          <w:rPr>
            <w:color w:val="231F20"/>
            <w:spacing w:val="35"/>
            <w:sz w:val="16"/>
          </w:rPr>
          <w:t>  </w:t>
        </w:r>
        <w:r>
          <w:rPr>
            <w:color w:val="231F20"/>
            <w:spacing w:val="-5"/>
            <w:sz w:val="16"/>
          </w:rPr>
          <w:t>263</w:t>
        </w:r>
      </w:hyperlink>
    </w:p>
    <w:p>
      <w:pPr>
        <w:spacing w:line="220" w:lineRule="auto" w:before="5"/>
        <w:ind w:left="436" w:right="0" w:firstLine="0"/>
        <w:jc w:val="left"/>
        <w:rPr>
          <w:sz w:val="16"/>
        </w:rPr>
      </w:pPr>
      <w:hyperlink w:history="true" w:anchor="_bookmark209">
        <w:r>
          <w:rPr>
            <w:color w:val="231F20"/>
            <w:sz w:val="16"/>
          </w:rPr>
          <w:t>association with Navigator items</w:t>
        </w:r>
        <w:r>
          <w:rPr>
            <w:color w:val="231F20"/>
            <w:spacing w:val="80"/>
            <w:sz w:val="16"/>
          </w:rPr>
          <w:t> </w:t>
        </w:r>
        <w:r>
          <w:rPr>
            <w:color w:val="231F20"/>
            <w:sz w:val="16"/>
          </w:rPr>
          <w:t>283</w:t>
        </w:r>
      </w:hyperlink>
      <w:r>
        <w:rPr>
          <w:color w:val="231F20"/>
          <w:spacing w:val="40"/>
          <w:sz w:val="16"/>
        </w:rPr>
        <w:t> </w:t>
      </w:r>
      <w:hyperlink w:history="true" w:anchor="_bookmark95">
        <w:r>
          <w:rPr>
            <w:color w:val="231F20"/>
            <w:sz w:val="16"/>
          </w:rPr>
          <w:t>compare to chart values</w:t>
        </w:r>
        <w:r>
          <w:rPr>
            <w:color w:val="231F20"/>
            <w:spacing w:val="80"/>
            <w:sz w:val="16"/>
          </w:rPr>
          <w:t> </w:t>
        </w:r>
        <w:r>
          <w:rPr>
            <w:color w:val="231F20"/>
            <w:sz w:val="16"/>
          </w:rPr>
          <w:t>124</w:t>
        </w:r>
      </w:hyperlink>
      <w:r>
        <w:rPr>
          <w:color w:val="231F20"/>
          <w:spacing w:val="40"/>
          <w:sz w:val="16"/>
        </w:rPr>
        <w:t> </w:t>
      </w:r>
      <w:hyperlink w:history="true" w:anchor="_bookmark229">
        <w:r>
          <w:rPr>
            <w:color w:val="231F20"/>
            <w:sz w:val="16"/>
          </w:rPr>
          <w:t>correlating</w:t>
        </w:r>
        <w:r>
          <w:rPr>
            <w:color w:val="231F20"/>
            <w:spacing w:val="80"/>
            <w:sz w:val="16"/>
          </w:rPr>
          <w:t> </w:t>
        </w:r>
        <w:r>
          <w:rPr>
            <w:color w:val="231F20"/>
            <w:sz w:val="16"/>
          </w:rPr>
          <w:t>310</w:t>
        </w:r>
      </w:hyperlink>
    </w:p>
    <w:p>
      <w:pPr>
        <w:spacing w:line="197" w:lineRule="exact" w:before="0"/>
        <w:ind w:left="436" w:right="0" w:firstLine="0"/>
        <w:jc w:val="left"/>
        <w:rPr>
          <w:sz w:val="16"/>
        </w:rPr>
      </w:pPr>
      <w:hyperlink w:history="true" w:anchor="_bookmark195">
        <w:r>
          <w:rPr>
            <w:color w:val="231F20"/>
            <w:sz w:val="16"/>
          </w:rPr>
          <w:t>create</w:t>
        </w:r>
        <w:r>
          <w:rPr>
            <w:color w:val="231F20"/>
            <w:spacing w:val="35"/>
            <w:sz w:val="16"/>
          </w:rPr>
          <w:t>  </w:t>
        </w:r>
        <w:r>
          <w:rPr>
            <w:color w:val="231F20"/>
            <w:spacing w:val="-5"/>
            <w:sz w:val="16"/>
          </w:rPr>
          <w:t>265</w:t>
        </w:r>
      </w:hyperlink>
    </w:p>
    <w:p>
      <w:pPr>
        <w:spacing w:line="200" w:lineRule="exact" w:before="0"/>
        <w:ind w:left="436" w:right="0" w:firstLine="0"/>
        <w:jc w:val="left"/>
        <w:rPr>
          <w:sz w:val="16"/>
        </w:rPr>
      </w:pPr>
      <w:hyperlink w:history="true" w:anchor="_bookmark218">
        <w:r>
          <w:rPr>
            <w:color w:val="231F20"/>
            <w:sz w:val="16"/>
          </w:rPr>
          <w:t>creating</w:t>
        </w:r>
        <w:r>
          <w:rPr>
            <w:color w:val="231F20"/>
            <w:spacing w:val="9"/>
            <w:sz w:val="16"/>
          </w:rPr>
          <w:t> </w:t>
        </w:r>
        <w:r>
          <w:rPr>
            <w:color w:val="231F20"/>
            <w:sz w:val="16"/>
          </w:rPr>
          <w:t>overrides</w:t>
        </w:r>
        <w:r>
          <w:rPr>
            <w:color w:val="231F20"/>
            <w:spacing w:val="33"/>
            <w:sz w:val="16"/>
          </w:rPr>
          <w:t>  </w:t>
        </w:r>
        <w:r>
          <w:rPr>
            <w:color w:val="231F20"/>
            <w:spacing w:val="-5"/>
            <w:sz w:val="16"/>
          </w:rPr>
          <w:t>295</w:t>
        </w:r>
      </w:hyperlink>
    </w:p>
    <w:p>
      <w:pPr>
        <w:spacing w:line="200" w:lineRule="exact" w:before="0"/>
        <w:ind w:left="436" w:right="0" w:firstLine="0"/>
        <w:jc w:val="left"/>
        <w:rPr>
          <w:sz w:val="16"/>
        </w:rPr>
      </w:pPr>
      <w:hyperlink w:history="true" w:anchor="_bookmark216">
        <w:r>
          <w:rPr>
            <w:color w:val="231F20"/>
            <w:sz w:val="16"/>
          </w:rPr>
          <w:t>delete</w:t>
        </w:r>
        <w:r>
          <w:rPr>
            <w:color w:val="231F20"/>
            <w:spacing w:val="37"/>
            <w:sz w:val="16"/>
          </w:rPr>
          <w:t>  </w:t>
        </w:r>
        <w:r>
          <w:rPr>
            <w:color w:val="231F20"/>
            <w:spacing w:val="-5"/>
            <w:sz w:val="16"/>
          </w:rPr>
          <w:t>293</w:t>
        </w:r>
      </w:hyperlink>
    </w:p>
    <w:p>
      <w:pPr>
        <w:spacing w:line="200" w:lineRule="exact" w:before="0"/>
        <w:ind w:left="436" w:right="0" w:firstLine="0"/>
        <w:jc w:val="left"/>
        <w:rPr>
          <w:sz w:val="16"/>
        </w:rPr>
      </w:pPr>
      <w:hyperlink w:history="true" w:anchor="_bookmark216">
        <w:r>
          <w:rPr>
            <w:color w:val="231F20"/>
            <w:sz w:val="16"/>
          </w:rPr>
          <w:t>edit</w:t>
        </w:r>
        <w:r>
          <w:rPr>
            <w:color w:val="231F20"/>
            <w:spacing w:val="38"/>
            <w:sz w:val="16"/>
          </w:rPr>
          <w:t>  </w:t>
        </w:r>
        <w:r>
          <w:rPr>
            <w:color w:val="231F20"/>
            <w:spacing w:val="-5"/>
            <w:sz w:val="16"/>
          </w:rPr>
          <w:t>293</w:t>
        </w:r>
      </w:hyperlink>
    </w:p>
    <w:p>
      <w:pPr>
        <w:spacing w:line="200" w:lineRule="exact" w:before="0"/>
        <w:ind w:left="436" w:right="0" w:firstLine="0"/>
        <w:jc w:val="left"/>
        <w:rPr>
          <w:sz w:val="16"/>
        </w:rPr>
      </w:pPr>
      <w:hyperlink w:history="true" w:anchor="_bookmark321">
        <w:r>
          <w:rPr>
            <w:color w:val="231F20"/>
            <w:sz w:val="16"/>
          </w:rPr>
          <w:t>edit</w:t>
        </w:r>
        <w:r>
          <w:rPr>
            <w:color w:val="231F20"/>
            <w:spacing w:val="10"/>
            <w:sz w:val="16"/>
          </w:rPr>
          <w:t> </w:t>
        </w:r>
        <w:r>
          <w:rPr>
            <w:color w:val="231F20"/>
            <w:sz w:val="16"/>
          </w:rPr>
          <w:t>embedded</w:t>
        </w:r>
        <w:r>
          <w:rPr>
            <w:color w:val="231F20"/>
            <w:spacing w:val="35"/>
            <w:sz w:val="16"/>
          </w:rPr>
          <w:t>  </w:t>
        </w:r>
        <w:r>
          <w:rPr>
            <w:color w:val="231F20"/>
            <w:spacing w:val="-5"/>
            <w:sz w:val="16"/>
          </w:rPr>
          <w:t>415</w:t>
        </w:r>
      </w:hyperlink>
    </w:p>
    <w:p>
      <w:pPr>
        <w:spacing w:line="200" w:lineRule="exact" w:before="0"/>
        <w:ind w:left="436" w:right="0" w:firstLine="0"/>
        <w:jc w:val="left"/>
        <w:rPr>
          <w:sz w:val="16"/>
        </w:rPr>
      </w:pPr>
      <w:hyperlink w:history="true" w:anchor="_bookmark185">
        <w:r>
          <w:rPr>
            <w:color w:val="231F20"/>
            <w:sz w:val="16"/>
          </w:rPr>
          <w:t>editor</w:t>
        </w:r>
        <w:r>
          <w:rPr>
            <w:color w:val="231F20"/>
            <w:spacing w:val="37"/>
            <w:sz w:val="16"/>
          </w:rPr>
          <w:t>  </w:t>
        </w:r>
        <w:r>
          <w:rPr>
            <w:color w:val="231F20"/>
            <w:spacing w:val="-5"/>
            <w:sz w:val="16"/>
          </w:rPr>
          <w:t>253</w:t>
        </w:r>
      </w:hyperlink>
    </w:p>
    <w:p>
      <w:pPr>
        <w:spacing w:line="200" w:lineRule="exact" w:before="0"/>
        <w:ind w:left="436" w:right="0" w:firstLine="0"/>
        <w:jc w:val="left"/>
        <w:rPr>
          <w:sz w:val="16"/>
        </w:rPr>
      </w:pPr>
      <w:hyperlink w:history="true" w:anchor="_bookmark228">
        <w:r>
          <w:rPr>
            <w:color w:val="231F20"/>
            <w:sz w:val="16"/>
          </w:rPr>
          <w:t>embedding</w:t>
        </w:r>
        <w:r>
          <w:rPr>
            <w:color w:val="231F20"/>
            <w:spacing w:val="35"/>
            <w:sz w:val="16"/>
          </w:rPr>
          <w:t>  </w:t>
        </w:r>
        <w:r>
          <w:rPr>
            <w:color w:val="231F20"/>
            <w:spacing w:val="-5"/>
            <w:sz w:val="16"/>
          </w:rPr>
          <w:t>308</w:t>
        </w:r>
      </w:hyperlink>
    </w:p>
    <w:p>
      <w:pPr>
        <w:spacing w:line="220" w:lineRule="auto" w:before="5"/>
        <w:ind w:left="436" w:right="0" w:firstLine="0"/>
        <w:jc w:val="left"/>
        <w:rPr>
          <w:sz w:val="16"/>
        </w:rPr>
      </w:pPr>
      <w:hyperlink w:history="true" w:anchor="_bookmark221">
        <w:r>
          <w:rPr>
            <w:color w:val="231F20"/>
            <w:sz w:val="16"/>
          </w:rPr>
          <w:t>enabling or disabling overrides</w:t>
        </w:r>
        <w:r>
          <w:rPr>
            <w:color w:val="231F20"/>
            <w:spacing w:val="80"/>
            <w:sz w:val="16"/>
          </w:rPr>
          <w:t> </w:t>
        </w:r>
        <w:r>
          <w:rPr>
            <w:color w:val="231F20"/>
            <w:sz w:val="16"/>
          </w:rPr>
          <w:t>298</w:t>
        </w:r>
      </w:hyperlink>
      <w:r>
        <w:rPr>
          <w:color w:val="231F20"/>
          <w:spacing w:val="40"/>
          <w:sz w:val="16"/>
        </w:rPr>
        <w:t> </w:t>
      </w:r>
      <w:hyperlink w:history="true" w:anchor="_bookmark15">
        <w:r>
          <w:rPr>
            <w:color w:val="231F20"/>
            <w:sz w:val="16"/>
          </w:rPr>
          <w:t>event indicators</w:t>
        </w:r>
        <w:r>
          <w:rPr>
            <w:color w:val="231F20"/>
            <w:spacing w:val="80"/>
            <w:sz w:val="16"/>
          </w:rPr>
          <w:t> </w:t>
        </w:r>
        <w:r>
          <w:rPr>
            <w:color w:val="231F20"/>
            <w:sz w:val="16"/>
          </w:rPr>
          <w:t>23</w:t>
        </w:r>
      </w:hyperlink>
    </w:p>
    <w:p>
      <w:pPr>
        <w:spacing w:line="196" w:lineRule="exact" w:before="0"/>
        <w:ind w:left="436" w:right="0" w:firstLine="0"/>
        <w:jc w:val="left"/>
        <w:rPr>
          <w:sz w:val="16"/>
        </w:rPr>
      </w:pPr>
      <w:hyperlink w:history="true" w:anchor="_bookmark39">
        <w:r>
          <w:rPr>
            <w:color w:val="231F20"/>
            <w:sz w:val="16"/>
          </w:rPr>
          <w:t>event</w:t>
        </w:r>
        <w:r>
          <w:rPr>
            <w:color w:val="231F20"/>
            <w:spacing w:val="10"/>
            <w:sz w:val="16"/>
          </w:rPr>
          <w:t> </w:t>
        </w:r>
        <w:r>
          <w:rPr>
            <w:color w:val="231F20"/>
            <w:sz w:val="16"/>
          </w:rPr>
          <w:t>overview</w:t>
        </w:r>
        <w:r>
          <w:rPr>
            <w:color w:val="231F20"/>
            <w:spacing w:val="35"/>
            <w:sz w:val="16"/>
          </w:rPr>
          <w:t>  </w:t>
        </w:r>
        <w:r>
          <w:rPr>
            <w:color w:val="231F20"/>
            <w:spacing w:val="-5"/>
            <w:sz w:val="16"/>
          </w:rPr>
          <w:t>51</w:t>
        </w:r>
      </w:hyperlink>
    </w:p>
    <w:p>
      <w:pPr>
        <w:spacing w:line="220" w:lineRule="auto" w:before="6"/>
        <w:ind w:left="436" w:right="1050" w:firstLine="0"/>
        <w:jc w:val="left"/>
        <w:rPr>
          <w:sz w:val="16"/>
        </w:rPr>
      </w:pPr>
      <w:hyperlink w:history="true" w:anchor="_bookmark231">
        <w:r>
          <w:rPr>
            <w:color w:val="231F20"/>
            <w:sz w:val="16"/>
          </w:rPr>
          <w:t>examples</w:t>
        </w:r>
        <w:r>
          <w:rPr>
            <w:color w:val="231F20"/>
            <w:spacing w:val="80"/>
            <w:sz w:val="16"/>
          </w:rPr>
          <w:t> </w:t>
        </w:r>
        <w:r>
          <w:rPr>
            <w:color w:val="231F20"/>
            <w:sz w:val="16"/>
          </w:rPr>
          <w:t>315</w:t>
        </w:r>
      </w:hyperlink>
      <w:r>
        <w:rPr>
          <w:color w:val="231F20"/>
          <w:spacing w:val="40"/>
          <w:sz w:val="16"/>
        </w:rPr>
        <w:t> </w:t>
      </w:r>
      <w:hyperlink w:history="true" w:anchor="_bookmark202">
        <w:r>
          <w:rPr>
            <w:color w:val="231F20"/>
            <w:sz w:val="16"/>
          </w:rPr>
          <w:t>examples</w:t>
        </w:r>
        <w:r>
          <w:rPr>
            <w:color w:val="231F20"/>
            <w:spacing w:val="-6"/>
            <w:sz w:val="16"/>
          </w:rPr>
          <w:t> </w:t>
        </w:r>
        <w:r>
          <w:rPr>
            <w:color w:val="231F20"/>
            <w:sz w:val="16"/>
          </w:rPr>
          <w:t>of</w:t>
        </w:r>
        <w:r>
          <w:rPr>
            <w:color w:val="231F20"/>
            <w:spacing w:val="-6"/>
            <w:sz w:val="16"/>
          </w:rPr>
          <w:t> </w:t>
        </w:r>
        <w:r>
          <w:rPr>
            <w:color w:val="231F20"/>
            <w:sz w:val="16"/>
          </w:rPr>
          <w:t>conditional</w:t>
        </w:r>
      </w:hyperlink>
    </w:p>
    <w:p>
      <w:pPr>
        <w:spacing w:line="196" w:lineRule="exact" w:before="0"/>
        <w:ind w:left="556" w:right="0" w:firstLine="0"/>
        <w:jc w:val="left"/>
        <w:rPr>
          <w:sz w:val="16"/>
        </w:rPr>
      </w:pPr>
      <w:hyperlink w:history="true" w:anchor="_bookmark202">
        <w:r>
          <w:rPr>
            <w:color w:val="231F20"/>
            <w:sz w:val="16"/>
          </w:rPr>
          <w:t>expressions</w:t>
        </w:r>
        <w:r>
          <w:rPr>
            <w:color w:val="231F20"/>
            <w:spacing w:val="33"/>
            <w:sz w:val="16"/>
          </w:rPr>
          <w:t>  </w:t>
        </w:r>
        <w:r>
          <w:rPr>
            <w:color w:val="231F20"/>
            <w:spacing w:val="-5"/>
            <w:sz w:val="16"/>
          </w:rPr>
          <w:t>272</w:t>
        </w:r>
      </w:hyperlink>
    </w:p>
    <w:p>
      <w:pPr>
        <w:spacing w:line="200" w:lineRule="exact" w:before="0"/>
        <w:ind w:left="436" w:right="0" w:firstLine="0"/>
        <w:jc w:val="left"/>
        <w:rPr>
          <w:sz w:val="16"/>
        </w:rPr>
      </w:pPr>
      <w:hyperlink w:history="true" w:anchor="_bookmark318">
        <w:r>
          <w:rPr>
            <w:color w:val="231F20"/>
            <w:sz w:val="16"/>
          </w:rPr>
          <w:t>formula</w:t>
        </w:r>
        <w:r>
          <w:rPr>
            <w:color w:val="231F20"/>
            <w:spacing w:val="9"/>
            <w:sz w:val="16"/>
          </w:rPr>
          <w:t> </w:t>
        </w:r>
        <w:r>
          <w:rPr>
            <w:color w:val="231F20"/>
            <w:sz w:val="16"/>
          </w:rPr>
          <w:t>functions</w:t>
        </w:r>
        <w:r>
          <w:rPr>
            <w:color w:val="231F20"/>
            <w:spacing w:val="35"/>
            <w:sz w:val="16"/>
          </w:rPr>
          <w:t>  </w:t>
        </w:r>
        <w:r>
          <w:rPr>
            <w:color w:val="231F20"/>
            <w:spacing w:val="-5"/>
            <w:sz w:val="16"/>
          </w:rPr>
          <w:t>411</w:t>
        </w:r>
      </w:hyperlink>
    </w:p>
    <w:p>
      <w:pPr>
        <w:spacing w:line="200" w:lineRule="exact" w:before="0"/>
        <w:ind w:left="436" w:right="0" w:firstLine="0"/>
        <w:jc w:val="left"/>
        <w:rPr>
          <w:sz w:val="16"/>
        </w:rPr>
      </w:pPr>
      <w:hyperlink w:history="true" w:anchor="_bookmark218">
        <w:r>
          <w:rPr>
            <w:color w:val="231F20"/>
            <w:sz w:val="16"/>
          </w:rPr>
          <w:t>formula</w:t>
        </w:r>
        <w:r>
          <w:rPr>
            <w:color w:val="231F20"/>
            <w:spacing w:val="10"/>
            <w:sz w:val="16"/>
          </w:rPr>
          <w:t> </w:t>
        </w:r>
        <w:r>
          <w:rPr>
            <w:color w:val="231F20"/>
            <w:sz w:val="16"/>
          </w:rPr>
          <w:t>override</w:t>
        </w:r>
        <w:r>
          <w:rPr>
            <w:color w:val="231F20"/>
            <w:spacing w:val="35"/>
            <w:sz w:val="16"/>
          </w:rPr>
          <w:t>  </w:t>
        </w:r>
        <w:r>
          <w:rPr>
            <w:color w:val="231F20"/>
            <w:spacing w:val="-5"/>
            <w:sz w:val="16"/>
          </w:rPr>
          <w:t>295</w:t>
        </w:r>
      </w:hyperlink>
    </w:p>
    <w:p>
      <w:pPr>
        <w:spacing w:line="220" w:lineRule="auto" w:before="5"/>
        <w:ind w:left="436" w:right="0" w:firstLine="0"/>
        <w:jc w:val="left"/>
        <w:rPr>
          <w:sz w:val="16"/>
        </w:rPr>
      </w:pPr>
      <w:hyperlink w:history="true" w:anchor="_bookmark227">
        <w:r>
          <w:rPr>
            <w:color w:val="231F20"/>
            <w:sz w:val="16"/>
          </w:rPr>
          <w:t>model expression overrides</w:t>
        </w:r>
        <w:r>
          <w:rPr>
            <w:color w:val="231F20"/>
            <w:spacing w:val="80"/>
            <w:sz w:val="16"/>
          </w:rPr>
          <w:t> </w:t>
        </w:r>
        <w:r>
          <w:rPr>
            <w:color w:val="231F20"/>
            <w:sz w:val="16"/>
          </w:rPr>
          <w:t>305</w:t>
        </w:r>
      </w:hyperlink>
      <w:r>
        <w:rPr>
          <w:color w:val="231F20"/>
          <w:spacing w:val="40"/>
          <w:sz w:val="16"/>
        </w:rPr>
        <w:t> </w:t>
      </w:r>
      <w:hyperlink w:history="true" w:anchor="_bookmark211">
        <w:r>
          <w:rPr>
            <w:color w:val="231F20"/>
            <w:sz w:val="16"/>
          </w:rPr>
          <w:t>modeling</w:t>
        </w:r>
        <w:r>
          <w:rPr>
            <w:color w:val="231F20"/>
            <w:spacing w:val="80"/>
            <w:sz w:val="16"/>
          </w:rPr>
          <w:t> </w:t>
        </w:r>
        <w:r>
          <w:rPr>
            <w:color w:val="231F20"/>
            <w:sz w:val="16"/>
          </w:rPr>
          <w:t>285</w:t>
        </w:r>
      </w:hyperlink>
    </w:p>
    <w:p>
      <w:pPr>
        <w:spacing w:line="208" w:lineRule="exact" w:before="114"/>
        <w:ind w:left="197" w:right="0" w:firstLine="0"/>
        <w:jc w:val="left"/>
        <w:rPr>
          <w:rFonts w:ascii="Book Antiqua"/>
          <w:i/>
          <w:sz w:val="16"/>
        </w:rPr>
      </w:pPr>
      <w:r>
        <w:rPr/>
        <w:br w:type="column"/>
      </w:r>
      <w:hyperlink w:history="true" w:anchor="_bookmark181">
        <w:r>
          <w:rPr>
            <w:color w:val="231F20"/>
            <w:sz w:val="16"/>
          </w:rPr>
          <w:t>situations</w:t>
        </w:r>
        <w:r>
          <w:rPr>
            <w:color w:val="231F20"/>
            <w:spacing w:val="32"/>
            <w:sz w:val="16"/>
          </w:rPr>
          <w:t> </w:t>
        </w:r>
        <w:r>
          <w:rPr>
            <w:rFonts w:ascii="Book Antiqua"/>
            <w:i/>
            <w:color w:val="231F20"/>
            <w:spacing w:val="-2"/>
            <w:sz w:val="16"/>
          </w:rPr>
          <w:t>(continued)</w:t>
        </w:r>
      </w:hyperlink>
    </w:p>
    <w:p>
      <w:pPr>
        <w:spacing w:line="220" w:lineRule="auto" w:before="5"/>
        <w:ind w:left="436" w:right="53" w:firstLine="0"/>
        <w:jc w:val="left"/>
        <w:rPr>
          <w:sz w:val="16"/>
        </w:rPr>
      </w:pPr>
      <w:hyperlink w:history="true" w:anchor="_bookmark213">
        <w:r>
          <w:rPr>
            <w:color w:val="231F20"/>
            <w:sz w:val="16"/>
          </w:rPr>
          <w:t>modeling an existing situation</w:t>
        </w:r>
        <w:r>
          <w:rPr>
            <w:color w:val="231F20"/>
            <w:spacing w:val="80"/>
            <w:sz w:val="16"/>
          </w:rPr>
          <w:t> </w:t>
        </w:r>
        <w:r>
          <w:rPr>
            <w:color w:val="231F20"/>
            <w:sz w:val="16"/>
          </w:rPr>
          <w:t>287</w:t>
        </w:r>
      </w:hyperlink>
      <w:r>
        <w:rPr>
          <w:color w:val="231F20"/>
          <w:spacing w:val="40"/>
          <w:sz w:val="16"/>
        </w:rPr>
        <w:t> </w:t>
      </w:r>
      <w:hyperlink w:history="true" w:anchor="_bookmark212">
        <w:r>
          <w:rPr>
            <w:color w:val="231F20"/>
            <w:sz w:val="16"/>
          </w:rPr>
          <w:t>modeling</w:t>
        </w:r>
        <w:r>
          <w:rPr>
            <w:color w:val="231F20"/>
            <w:spacing w:val="38"/>
            <w:sz w:val="16"/>
          </w:rPr>
          <w:t> </w:t>
        </w:r>
        <w:r>
          <w:rPr>
            <w:color w:val="231F20"/>
            <w:sz w:val="16"/>
          </w:rPr>
          <w:t>with</w:t>
        </w:r>
        <w:r>
          <w:rPr>
            <w:color w:val="231F20"/>
            <w:spacing w:val="38"/>
            <w:sz w:val="16"/>
          </w:rPr>
          <w:t> </w:t>
        </w:r>
        <w:r>
          <w:rPr>
            <w:color w:val="231F20"/>
            <w:sz w:val="16"/>
          </w:rPr>
          <w:t>view</w:t>
        </w:r>
        <w:r>
          <w:rPr>
            <w:color w:val="231F20"/>
            <w:spacing w:val="38"/>
            <w:sz w:val="16"/>
          </w:rPr>
          <w:t> </w:t>
        </w:r>
        <w:r>
          <w:rPr>
            <w:color w:val="231F20"/>
            <w:sz w:val="16"/>
          </w:rPr>
          <w:t>data</w:t>
        </w:r>
        <w:r>
          <w:rPr>
            <w:color w:val="231F20"/>
            <w:spacing w:val="80"/>
            <w:w w:val="150"/>
            <w:sz w:val="16"/>
          </w:rPr>
          <w:t> </w:t>
        </w:r>
        <w:r>
          <w:rPr>
            <w:color w:val="231F20"/>
            <w:sz w:val="16"/>
          </w:rPr>
          <w:t>286</w:t>
        </w:r>
      </w:hyperlink>
      <w:r>
        <w:rPr>
          <w:color w:val="231F20"/>
          <w:spacing w:val="40"/>
          <w:sz w:val="16"/>
        </w:rPr>
        <w:t> </w:t>
      </w:r>
      <w:hyperlink w:history="true" w:anchor="_bookmark183">
        <w:r>
          <w:rPr>
            <w:color w:val="231F20"/>
            <w:sz w:val="16"/>
          </w:rPr>
          <w:t>open the editor</w:t>
        </w:r>
        <w:r>
          <w:rPr>
            <w:color w:val="231F20"/>
            <w:spacing w:val="80"/>
            <w:sz w:val="16"/>
          </w:rPr>
          <w:t> </w:t>
        </w:r>
        <w:r>
          <w:rPr>
            <w:color w:val="231F20"/>
            <w:sz w:val="16"/>
          </w:rPr>
          <w:t>251</w:t>
        </w:r>
      </w:hyperlink>
    </w:p>
    <w:p>
      <w:pPr>
        <w:spacing w:line="197" w:lineRule="exact" w:before="0"/>
        <w:ind w:left="436" w:right="0" w:firstLine="0"/>
        <w:jc w:val="left"/>
        <w:rPr>
          <w:sz w:val="16"/>
        </w:rPr>
      </w:pPr>
      <w:hyperlink w:history="true" w:anchor="_bookmark181">
        <w:r>
          <w:rPr>
            <w:color w:val="231F20"/>
            <w:sz w:val="16"/>
          </w:rPr>
          <w:t>overview</w:t>
        </w:r>
        <w:r>
          <w:rPr>
            <w:color w:val="231F20"/>
            <w:spacing w:val="36"/>
            <w:sz w:val="16"/>
          </w:rPr>
          <w:t>  </w:t>
        </w:r>
        <w:r>
          <w:rPr>
            <w:color w:val="231F20"/>
            <w:spacing w:val="-5"/>
            <w:sz w:val="16"/>
          </w:rPr>
          <w:t>249</w:t>
        </w:r>
      </w:hyperlink>
    </w:p>
    <w:p>
      <w:pPr>
        <w:spacing w:line="200" w:lineRule="exact" w:before="0"/>
        <w:ind w:left="436" w:right="0" w:firstLine="0"/>
        <w:jc w:val="left"/>
        <w:rPr>
          <w:sz w:val="16"/>
        </w:rPr>
      </w:pPr>
      <w:hyperlink w:history="true" w:anchor="_bookmark198">
        <w:r>
          <w:rPr>
            <w:color w:val="231F20"/>
            <w:sz w:val="16"/>
          </w:rPr>
          <w:t>playing</w:t>
        </w:r>
        <w:r>
          <w:rPr>
            <w:color w:val="231F20"/>
            <w:spacing w:val="10"/>
            <w:sz w:val="16"/>
          </w:rPr>
          <w:t> </w:t>
        </w:r>
        <w:r>
          <w:rPr>
            <w:color w:val="231F20"/>
            <w:sz w:val="16"/>
          </w:rPr>
          <w:t>sound</w:t>
        </w:r>
        <w:r>
          <w:rPr>
            <w:color w:val="231F20"/>
            <w:spacing w:val="36"/>
            <w:sz w:val="16"/>
          </w:rPr>
          <w:t>  </w:t>
        </w:r>
        <w:r>
          <w:rPr>
            <w:color w:val="231F20"/>
            <w:spacing w:val="-5"/>
            <w:sz w:val="16"/>
          </w:rPr>
          <w:t>268</w:t>
        </w:r>
      </w:hyperlink>
    </w:p>
    <w:p>
      <w:pPr>
        <w:spacing w:line="200" w:lineRule="exact" w:before="0"/>
        <w:ind w:left="436" w:right="0" w:firstLine="0"/>
        <w:jc w:val="left"/>
        <w:rPr>
          <w:sz w:val="16"/>
        </w:rPr>
      </w:pPr>
      <w:hyperlink w:history="true" w:anchor="_bookmark8">
        <w:r>
          <w:rPr>
            <w:color w:val="231F20"/>
            <w:sz w:val="16"/>
          </w:rPr>
          <w:t>predefined</w:t>
        </w:r>
        <w:r>
          <w:rPr>
            <w:color w:val="231F20"/>
            <w:spacing w:val="34"/>
            <w:sz w:val="16"/>
          </w:rPr>
          <w:t>  </w:t>
        </w:r>
        <w:r>
          <w:rPr>
            <w:color w:val="231F20"/>
            <w:sz w:val="16"/>
          </w:rPr>
          <w:t>13,</w:t>
        </w:r>
      </w:hyperlink>
      <w:r>
        <w:rPr>
          <w:color w:val="231F20"/>
          <w:spacing w:val="11"/>
          <w:sz w:val="16"/>
        </w:rPr>
        <w:t> </w:t>
      </w:r>
      <w:hyperlink w:history="true" w:anchor="_bookmark193">
        <w:r>
          <w:rPr>
            <w:color w:val="231F20"/>
            <w:spacing w:val="-5"/>
            <w:sz w:val="16"/>
          </w:rPr>
          <w:t>263</w:t>
        </w:r>
      </w:hyperlink>
    </w:p>
    <w:p>
      <w:pPr>
        <w:spacing w:line="220" w:lineRule="auto" w:before="5"/>
        <w:ind w:left="436" w:right="507" w:firstLine="0"/>
        <w:jc w:val="left"/>
        <w:rPr>
          <w:sz w:val="16"/>
        </w:rPr>
      </w:pPr>
      <w:hyperlink w:history="true" w:anchor="_bookmark222">
        <w:r>
          <w:rPr>
            <w:color w:val="231F20"/>
            <w:sz w:val="16"/>
          </w:rPr>
          <w:t>remove overrides</w:t>
        </w:r>
        <w:r>
          <w:rPr>
            <w:color w:val="231F20"/>
            <w:spacing w:val="80"/>
            <w:sz w:val="16"/>
          </w:rPr>
          <w:t> </w:t>
        </w:r>
        <w:r>
          <w:rPr>
            <w:color w:val="231F20"/>
            <w:sz w:val="16"/>
          </w:rPr>
          <w:t>299</w:t>
        </w:r>
      </w:hyperlink>
      <w:r>
        <w:rPr>
          <w:color w:val="231F20"/>
          <w:spacing w:val="40"/>
          <w:sz w:val="16"/>
        </w:rPr>
        <w:t> </w:t>
      </w:r>
      <w:hyperlink w:history="true" w:anchor="_bookmark208">
        <w:r>
          <w:rPr>
            <w:color w:val="231F20"/>
            <w:sz w:val="16"/>
          </w:rPr>
          <w:t>starting or stopping</w:t>
        </w:r>
        <w:r>
          <w:rPr>
            <w:color w:val="231F20"/>
            <w:spacing w:val="80"/>
            <w:sz w:val="16"/>
          </w:rPr>
          <w:t> </w:t>
        </w:r>
        <w:r>
          <w:rPr>
            <w:color w:val="231F20"/>
            <w:sz w:val="16"/>
          </w:rPr>
          <w:t>281</w:t>
        </w:r>
      </w:hyperlink>
      <w:r>
        <w:rPr>
          <w:color w:val="231F20"/>
          <w:spacing w:val="40"/>
          <w:sz w:val="16"/>
        </w:rPr>
        <w:t> </w:t>
      </w:r>
      <w:hyperlink w:history="true" w:anchor="_bookmark194">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Monitoring</w:t>
        </w:r>
      </w:hyperlink>
    </w:p>
    <w:p>
      <w:pPr>
        <w:spacing w:line="197" w:lineRule="exact" w:before="0"/>
        <w:ind w:left="556" w:right="0" w:firstLine="0"/>
        <w:jc w:val="left"/>
        <w:rPr>
          <w:sz w:val="16"/>
        </w:rPr>
      </w:pPr>
      <w:hyperlink w:history="true" w:anchor="_bookmark194">
        <w:r>
          <w:rPr>
            <w:color w:val="231F20"/>
            <w:sz w:val="16"/>
          </w:rPr>
          <w:t>Server</w:t>
        </w:r>
        <w:r>
          <w:rPr>
            <w:color w:val="231F20"/>
            <w:spacing w:val="36"/>
            <w:sz w:val="16"/>
          </w:rPr>
          <w:t>  </w:t>
        </w:r>
        <w:r>
          <w:rPr>
            <w:color w:val="231F20"/>
            <w:sz w:val="16"/>
          </w:rPr>
          <w:t>264,</w:t>
        </w:r>
      </w:hyperlink>
      <w:r>
        <w:rPr>
          <w:color w:val="231F20"/>
          <w:spacing w:val="12"/>
          <w:sz w:val="16"/>
        </w:rPr>
        <w:t> </w:t>
      </w:r>
      <w:hyperlink w:history="true" w:anchor="_bookmark317">
        <w:r>
          <w:rPr>
            <w:color w:val="231F20"/>
            <w:spacing w:val="-5"/>
            <w:sz w:val="16"/>
          </w:rPr>
          <w:t>408</w:t>
        </w:r>
      </w:hyperlink>
    </w:p>
    <w:p>
      <w:pPr>
        <w:spacing w:line="200" w:lineRule="exact" w:before="0"/>
        <w:ind w:left="436" w:right="0" w:firstLine="0"/>
        <w:jc w:val="left"/>
        <w:rPr>
          <w:sz w:val="16"/>
        </w:rPr>
      </w:pPr>
      <w:hyperlink w:history="true" w:anchor="_bookmark11">
        <w:r>
          <w:rPr>
            <w:color w:val="231F20"/>
            <w:sz w:val="16"/>
          </w:rPr>
          <w:t>tour</w:t>
        </w:r>
        <w:r>
          <w:rPr>
            <w:color w:val="231F20"/>
            <w:spacing w:val="38"/>
            <w:sz w:val="16"/>
          </w:rPr>
          <w:t>  </w:t>
        </w:r>
        <w:r>
          <w:rPr>
            <w:color w:val="231F20"/>
            <w:spacing w:val="-5"/>
            <w:sz w:val="16"/>
          </w:rPr>
          <w:t>18</w:t>
        </w:r>
      </w:hyperlink>
    </w:p>
    <w:p>
      <w:pPr>
        <w:spacing w:line="200" w:lineRule="exact" w:before="0"/>
        <w:ind w:left="436" w:right="0" w:firstLine="0"/>
        <w:jc w:val="left"/>
        <w:rPr>
          <w:sz w:val="16"/>
        </w:rPr>
      </w:pPr>
      <w:hyperlink w:history="true" w:anchor="_bookmark184">
        <w:r>
          <w:rPr>
            <w:color w:val="231F20"/>
            <w:sz w:val="16"/>
          </w:rPr>
          <w:t>tree</w:t>
        </w:r>
        <w:r>
          <w:rPr>
            <w:color w:val="231F20"/>
            <w:spacing w:val="10"/>
            <w:sz w:val="16"/>
          </w:rPr>
          <w:t> </w:t>
        </w:r>
        <w:r>
          <w:rPr>
            <w:color w:val="231F20"/>
            <w:sz w:val="16"/>
          </w:rPr>
          <w:t>filter</w:t>
        </w:r>
        <w:r>
          <w:rPr>
            <w:color w:val="231F20"/>
            <w:spacing w:val="36"/>
            <w:sz w:val="16"/>
          </w:rPr>
          <w:t>  </w:t>
        </w:r>
        <w:r>
          <w:rPr>
            <w:color w:val="231F20"/>
            <w:spacing w:val="-5"/>
            <w:sz w:val="16"/>
          </w:rPr>
          <w:t>252</w:t>
        </w:r>
      </w:hyperlink>
    </w:p>
    <w:p>
      <w:pPr>
        <w:spacing w:line="200" w:lineRule="exact" w:before="0"/>
        <w:ind w:left="436" w:right="0" w:firstLine="0"/>
        <w:jc w:val="left"/>
        <w:rPr>
          <w:sz w:val="16"/>
        </w:rPr>
      </w:pPr>
      <w:hyperlink w:history="true" w:anchor="_bookmark232">
        <w:r>
          <w:rPr>
            <w:color w:val="231F20"/>
            <w:sz w:val="16"/>
          </w:rPr>
          <w:t>troubleshooting</w:t>
        </w:r>
        <w:r>
          <w:rPr>
            <w:color w:val="231F20"/>
            <w:spacing w:val="32"/>
            <w:sz w:val="16"/>
          </w:rPr>
          <w:t>  </w:t>
        </w:r>
        <w:r>
          <w:rPr>
            <w:color w:val="231F20"/>
            <w:spacing w:val="-5"/>
            <w:sz w:val="16"/>
          </w:rPr>
          <w:t>318</w:t>
        </w:r>
      </w:hyperlink>
    </w:p>
    <w:p>
      <w:pPr>
        <w:spacing w:line="220" w:lineRule="auto" w:before="5"/>
        <w:ind w:left="436" w:right="0" w:firstLine="0"/>
        <w:jc w:val="left"/>
        <w:rPr>
          <w:sz w:val="16"/>
        </w:rPr>
      </w:pPr>
      <w:hyperlink w:history="true" w:anchor="_bookmark230">
        <w:r>
          <w:rPr>
            <w:color w:val="231F20"/>
            <w:sz w:val="16"/>
          </w:rPr>
          <w:t>Tutorial: Correlating situations</w:t>
        </w:r>
        <w:r>
          <w:rPr>
            <w:color w:val="231F20"/>
            <w:spacing w:val="80"/>
            <w:sz w:val="16"/>
          </w:rPr>
          <w:t> </w:t>
        </w:r>
        <w:r>
          <w:rPr>
            <w:color w:val="231F20"/>
            <w:sz w:val="16"/>
          </w:rPr>
          <w:t>312</w:t>
        </w:r>
      </w:hyperlink>
      <w:r>
        <w:rPr>
          <w:color w:val="231F20"/>
          <w:spacing w:val="40"/>
          <w:sz w:val="16"/>
        </w:rPr>
        <w:t> </w:t>
      </w:r>
      <w:hyperlink w:history="true" w:anchor="_bookmark40">
        <w:r>
          <w:rPr>
            <w:color w:val="231F20"/>
            <w:sz w:val="16"/>
          </w:rPr>
          <w:t>workspace</w:t>
        </w:r>
        <w:r>
          <w:rPr>
            <w:color w:val="231F20"/>
            <w:spacing w:val="80"/>
            <w:sz w:val="16"/>
          </w:rPr>
          <w:t> </w:t>
        </w:r>
        <w:r>
          <w:rPr>
            <w:color w:val="231F20"/>
            <w:sz w:val="16"/>
          </w:rPr>
          <w:t>53</w:t>
        </w:r>
      </w:hyperlink>
    </w:p>
    <w:p>
      <w:pPr>
        <w:spacing w:line="196" w:lineRule="exact" w:before="0"/>
        <w:ind w:left="197" w:right="0" w:firstLine="0"/>
        <w:jc w:val="left"/>
        <w:rPr>
          <w:sz w:val="16"/>
        </w:rPr>
      </w:pPr>
      <w:r>
        <w:rPr>
          <w:color w:val="231F20"/>
          <w:sz w:val="16"/>
        </w:rPr>
        <w:t>situations</w:t>
      </w:r>
      <w:r>
        <w:rPr>
          <w:color w:val="231F20"/>
          <w:spacing w:val="6"/>
          <w:sz w:val="16"/>
        </w:rPr>
        <w:t> </w:t>
      </w:r>
      <w:r>
        <w:rPr>
          <w:color w:val="231F20"/>
          <w:spacing w:val="-2"/>
          <w:sz w:val="16"/>
        </w:rPr>
        <w:t>editor</w:t>
      </w:r>
    </w:p>
    <w:p>
      <w:pPr>
        <w:spacing w:line="200" w:lineRule="exact" w:before="0"/>
        <w:ind w:left="436" w:right="0" w:firstLine="0"/>
        <w:jc w:val="left"/>
        <w:rPr>
          <w:sz w:val="16"/>
        </w:rPr>
      </w:pPr>
      <w:hyperlink w:history="true" w:anchor="_bookmark332">
        <w:r>
          <w:rPr>
            <w:color w:val="231F20"/>
            <w:sz w:val="16"/>
          </w:rPr>
          <w:t>group</w:t>
        </w:r>
        <w:r>
          <w:rPr>
            <w:color w:val="231F20"/>
            <w:spacing w:val="9"/>
            <w:sz w:val="16"/>
          </w:rPr>
          <w:t> </w:t>
        </w:r>
        <w:r>
          <w:rPr>
            <w:color w:val="231F20"/>
            <w:sz w:val="16"/>
          </w:rPr>
          <w:t>functions</w:t>
        </w:r>
        <w:r>
          <w:rPr>
            <w:color w:val="231F20"/>
            <w:spacing w:val="34"/>
            <w:sz w:val="16"/>
          </w:rPr>
          <w:t>  </w:t>
        </w:r>
        <w:r>
          <w:rPr>
            <w:color w:val="231F20"/>
            <w:spacing w:val="-5"/>
            <w:sz w:val="16"/>
          </w:rPr>
          <w:t>423</w:t>
        </w:r>
      </w:hyperlink>
    </w:p>
    <w:p>
      <w:pPr>
        <w:spacing w:line="200" w:lineRule="exact" w:before="0"/>
        <w:ind w:left="197" w:right="0" w:firstLine="0"/>
        <w:jc w:val="left"/>
        <w:rPr>
          <w:sz w:val="16"/>
        </w:rPr>
      </w:pPr>
      <w:hyperlink w:history="true" w:anchor="_bookmark353">
        <w:r>
          <w:rPr>
            <w:color w:val="231F20"/>
            <w:sz w:val="16"/>
          </w:rPr>
          <w:t>SMC</w:t>
        </w:r>
        <w:r>
          <w:rPr>
            <w:color w:val="231F20"/>
            <w:spacing w:val="37"/>
            <w:sz w:val="16"/>
          </w:rPr>
          <w:t>  </w:t>
        </w:r>
        <w:r>
          <w:rPr>
            <w:color w:val="231F20"/>
            <w:sz w:val="16"/>
          </w:rPr>
          <w:t>457,</w:t>
        </w:r>
      </w:hyperlink>
      <w:r>
        <w:rPr>
          <w:color w:val="231F20"/>
          <w:spacing w:val="11"/>
          <w:sz w:val="16"/>
        </w:rPr>
        <w:t> </w:t>
      </w:r>
      <w:hyperlink w:history="true" w:anchor="_bookmark354">
        <w:r>
          <w:rPr>
            <w:color w:val="231F20"/>
            <w:spacing w:val="-5"/>
            <w:sz w:val="16"/>
          </w:rPr>
          <w:t>459</w:t>
        </w:r>
      </w:hyperlink>
    </w:p>
    <w:p>
      <w:pPr>
        <w:spacing w:line="200" w:lineRule="exact" w:before="0"/>
        <w:ind w:left="197" w:right="0" w:firstLine="0"/>
        <w:jc w:val="left"/>
        <w:rPr>
          <w:sz w:val="16"/>
        </w:rPr>
      </w:pPr>
      <w:hyperlink w:history="true" w:anchor="_bookmark354">
        <w:r>
          <w:rPr>
            <w:color w:val="231F20"/>
            <w:sz w:val="16"/>
          </w:rPr>
          <w:t>Software</w:t>
        </w:r>
        <w:r>
          <w:rPr>
            <w:color w:val="231F20"/>
            <w:spacing w:val="9"/>
            <w:sz w:val="16"/>
          </w:rPr>
          <w:t> </w:t>
        </w:r>
        <w:r>
          <w:rPr>
            <w:color w:val="231F20"/>
            <w:sz w:val="16"/>
          </w:rPr>
          <w:t>Support</w:t>
        </w:r>
        <w:r>
          <w:rPr>
            <w:color w:val="231F20"/>
            <w:spacing w:val="33"/>
            <w:sz w:val="16"/>
          </w:rPr>
          <w:t>  </w:t>
        </w:r>
        <w:r>
          <w:rPr>
            <w:color w:val="231F20"/>
            <w:spacing w:val="-5"/>
            <w:sz w:val="16"/>
          </w:rPr>
          <w:t>459</w:t>
        </w:r>
      </w:hyperlink>
    </w:p>
    <w:p>
      <w:pPr>
        <w:spacing w:line="200" w:lineRule="exact" w:before="0"/>
        <w:ind w:left="436" w:right="0" w:firstLine="0"/>
        <w:jc w:val="left"/>
        <w:rPr>
          <w:sz w:val="16"/>
        </w:rPr>
      </w:pPr>
      <w:hyperlink w:history="true" w:anchor="_bookmark356">
        <w:r>
          <w:rPr>
            <w:color w:val="231F20"/>
            <w:sz w:val="16"/>
          </w:rPr>
          <w:t>contacting</w:t>
        </w:r>
        <w:r>
          <w:rPr>
            <w:color w:val="231F20"/>
            <w:spacing w:val="35"/>
            <w:sz w:val="16"/>
          </w:rPr>
          <w:t>  </w:t>
        </w:r>
        <w:r>
          <w:rPr>
            <w:color w:val="231F20"/>
            <w:spacing w:val="-5"/>
            <w:sz w:val="16"/>
          </w:rPr>
          <w:t>461</w:t>
        </w:r>
      </w:hyperlink>
    </w:p>
    <w:p>
      <w:pPr>
        <w:spacing w:line="220" w:lineRule="auto" w:before="6"/>
        <w:ind w:left="197" w:right="53" w:firstLine="239"/>
        <w:jc w:val="left"/>
        <w:rPr>
          <w:sz w:val="16"/>
        </w:rPr>
      </w:pPr>
      <w:hyperlink w:history="true" w:anchor="_bookmark355">
        <w:r>
          <w:rPr>
            <w:color w:val="231F20"/>
            <w:sz w:val="16"/>
          </w:rPr>
          <w:t>receiving weekly updates</w:t>
        </w:r>
        <w:r>
          <w:rPr>
            <w:color w:val="231F20"/>
            <w:spacing w:val="80"/>
            <w:sz w:val="16"/>
          </w:rPr>
          <w:t> </w:t>
        </w:r>
        <w:r>
          <w:rPr>
            <w:color w:val="231F20"/>
            <w:sz w:val="16"/>
          </w:rPr>
          <w:t>460</w:t>
        </w:r>
      </w:hyperlink>
      <w:r>
        <w:rPr>
          <w:color w:val="231F20"/>
          <w:spacing w:val="40"/>
          <w:sz w:val="16"/>
        </w:rPr>
        <w:t> </w:t>
      </w:r>
      <w:r>
        <w:rPr>
          <w:color w:val="231F20"/>
          <w:spacing w:val="-2"/>
          <w:sz w:val="16"/>
        </w:rPr>
        <w:t>sound</w:t>
      </w:r>
    </w:p>
    <w:p>
      <w:pPr>
        <w:spacing w:line="196" w:lineRule="exact" w:before="0"/>
        <w:ind w:left="436" w:right="0" w:firstLine="0"/>
        <w:jc w:val="left"/>
        <w:rPr>
          <w:sz w:val="16"/>
        </w:rPr>
      </w:pPr>
      <w:hyperlink w:history="true" w:anchor="_bookmark47">
        <w:r>
          <w:rPr>
            <w:color w:val="231F20"/>
            <w:sz w:val="16"/>
          </w:rPr>
          <w:t>off</w:t>
        </w:r>
        <w:r>
          <w:rPr>
            <w:color w:val="231F20"/>
            <w:spacing w:val="37"/>
            <w:sz w:val="16"/>
          </w:rPr>
          <w:t>  </w:t>
        </w:r>
        <w:r>
          <w:rPr>
            <w:color w:val="231F20"/>
            <w:spacing w:val="-5"/>
            <w:sz w:val="16"/>
          </w:rPr>
          <w:t>61</w:t>
        </w:r>
      </w:hyperlink>
    </w:p>
    <w:p>
      <w:pPr>
        <w:spacing w:line="220" w:lineRule="auto" w:before="5"/>
        <w:ind w:left="436" w:right="925" w:hanging="240"/>
        <w:jc w:val="left"/>
        <w:rPr>
          <w:sz w:val="16"/>
        </w:rPr>
      </w:pPr>
      <w:r>
        <w:rPr>
          <w:color w:val="231F20"/>
          <w:sz w:val="16"/>
        </w:rPr>
        <w:t>SQL custom queries</w:t>
      </w:r>
      <w:r>
        <w:rPr>
          <w:color w:val="231F20"/>
          <w:spacing w:val="40"/>
          <w:sz w:val="16"/>
        </w:rPr>
        <w:t> </w:t>
      </w:r>
      <w:hyperlink w:history="true" w:anchor="_bookmark147">
        <w:r>
          <w:rPr>
            <w:color w:val="231F20"/>
            <w:sz w:val="16"/>
          </w:rPr>
          <w:t>symbols</w:t>
        </w:r>
        <w:r>
          <w:rPr>
            <w:color w:val="231F20"/>
            <w:spacing w:val="10"/>
            <w:sz w:val="16"/>
          </w:rPr>
          <w:t> </w:t>
        </w:r>
        <w:r>
          <w:rPr>
            <w:color w:val="231F20"/>
            <w:sz w:val="16"/>
          </w:rPr>
          <w:t>used</w:t>
        </w:r>
        <w:r>
          <w:rPr>
            <w:color w:val="231F20"/>
            <w:spacing w:val="36"/>
            <w:sz w:val="16"/>
          </w:rPr>
          <w:t>  </w:t>
        </w:r>
        <w:r>
          <w:rPr>
            <w:color w:val="231F20"/>
            <w:spacing w:val="-5"/>
            <w:sz w:val="16"/>
          </w:rPr>
          <w:t>206</w:t>
        </w:r>
      </w:hyperlink>
    </w:p>
    <w:p>
      <w:pPr>
        <w:spacing w:line="196" w:lineRule="exact" w:before="0"/>
        <w:ind w:left="197" w:right="0" w:firstLine="0"/>
        <w:jc w:val="left"/>
        <w:rPr>
          <w:sz w:val="16"/>
        </w:rPr>
      </w:pPr>
      <w:r>
        <w:rPr>
          <w:color w:val="231F20"/>
          <w:sz w:val="16"/>
        </w:rPr>
        <w:t>statistical</w:t>
      </w:r>
      <w:r>
        <w:rPr>
          <w:color w:val="231F20"/>
          <w:spacing w:val="6"/>
          <w:sz w:val="16"/>
        </w:rPr>
        <w:t> </w:t>
      </w:r>
      <w:r>
        <w:rPr>
          <w:color w:val="231F20"/>
          <w:spacing w:val="-2"/>
          <w:sz w:val="16"/>
        </w:rPr>
        <w:t>calculations</w:t>
      </w:r>
    </w:p>
    <w:p>
      <w:pPr>
        <w:spacing w:line="220" w:lineRule="auto" w:before="5"/>
        <w:ind w:left="197" w:right="465" w:firstLine="239"/>
        <w:jc w:val="left"/>
        <w:rPr>
          <w:sz w:val="16"/>
        </w:rPr>
      </w:pPr>
      <w:hyperlink w:history="true" w:anchor="_bookmark97">
        <w:r>
          <w:rPr>
            <w:color w:val="231F20"/>
            <w:sz w:val="16"/>
          </w:rPr>
          <w:t>compare to chart values</w:t>
        </w:r>
        <w:r>
          <w:rPr>
            <w:color w:val="231F20"/>
            <w:spacing w:val="80"/>
            <w:sz w:val="16"/>
          </w:rPr>
          <w:t> </w:t>
        </w:r>
        <w:r>
          <w:rPr>
            <w:color w:val="231F20"/>
            <w:sz w:val="16"/>
          </w:rPr>
          <w:t>128</w:t>
        </w:r>
      </w:hyperlink>
      <w:r>
        <w:rPr>
          <w:color w:val="231F20"/>
          <w:spacing w:val="40"/>
          <w:sz w:val="16"/>
        </w:rPr>
        <w:t> </w:t>
      </w:r>
      <w:r>
        <w:rPr>
          <w:color w:val="231F20"/>
          <w:spacing w:val="-2"/>
          <w:sz w:val="16"/>
        </w:rPr>
        <w:t>status</w:t>
      </w:r>
    </w:p>
    <w:p>
      <w:pPr>
        <w:spacing w:line="196" w:lineRule="exact" w:before="0"/>
        <w:ind w:left="436" w:right="0" w:firstLine="0"/>
        <w:jc w:val="left"/>
        <w:rPr>
          <w:sz w:val="16"/>
        </w:rPr>
      </w:pPr>
      <w:hyperlink w:history="true" w:anchor="_bookmark296">
        <w:r>
          <w:rPr>
            <w:color w:val="231F20"/>
            <w:sz w:val="16"/>
          </w:rPr>
          <w:t>managed</w:t>
        </w:r>
        <w:r>
          <w:rPr>
            <w:color w:val="231F20"/>
            <w:spacing w:val="10"/>
            <w:sz w:val="16"/>
          </w:rPr>
          <w:t> </w:t>
        </w:r>
        <w:r>
          <w:rPr>
            <w:color w:val="231F20"/>
            <w:sz w:val="16"/>
          </w:rPr>
          <w:t>system</w:t>
        </w:r>
        <w:r>
          <w:rPr>
            <w:color w:val="231F20"/>
            <w:spacing w:val="35"/>
            <w:sz w:val="16"/>
          </w:rPr>
          <w:t>  </w:t>
        </w:r>
        <w:r>
          <w:rPr>
            <w:color w:val="231F20"/>
            <w:spacing w:val="-5"/>
            <w:sz w:val="16"/>
          </w:rPr>
          <w:t>388</w:t>
        </w:r>
      </w:hyperlink>
    </w:p>
    <w:p>
      <w:pPr>
        <w:spacing w:line="200" w:lineRule="exact" w:before="0"/>
        <w:ind w:left="197" w:right="0" w:firstLine="0"/>
        <w:jc w:val="left"/>
        <w:rPr>
          <w:sz w:val="16"/>
        </w:rPr>
      </w:pPr>
      <w:hyperlink w:history="true" w:anchor="_bookmark5">
        <w:r>
          <w:rPr>
            <w:color w:val="231F20"/>
            <w:sz w:val="16"/>
          </w:rPr>
          <w:t>status</w:t>
        </w:r>
        <w:r>
          <w:rPr>
            <w:color w:val="231F20"/>
            <w:spacing w:val="11"/>
            <w:sz w:val="16"/>
          </w:rPr>
          <w:t> </w:t>
        </w:r>
        <w:r>
          <w:rPr>
            <w:color w:val="231F20"/>
            <w:sz w:val="16"/>
          </w:rPr>
          <w:t>bar</w:t>
        </w:r>
        <w:r>
          <w:rPr>
            <w:color w:val="231F20"/>
            <w:spacing w:val="37"/>
            <w:sz w:val="16"/>
          </w:rPr>
          <w:t>  </w:t>
        </w:r>
        <w:r>
          <w:rPr>
            <w:color w:val="231F20"/>
            <w:spacing w:val="-10"/>
            <w:sz w:val="16"/>
          </w:rPr>
          <w:t>7</w:t>
        </w:r>
      </w:hyperlink>
    </w:p>
    <w:p>
      <w:pPr>
        <w:spacing w:line="220" w:lineRule="auto" w:before="6"/>
        <w:ind w:left="197" w:right="646" w:firstLine="0"/>
        <w:jc w:val="left"/>
        <w:rPr>
          <w:sz w:val="16"/>
        </w:rPr>
      </w:pPr>
      <w:hyperlink w:history="true" w:anchor="_bookmark330">
        <w:r>
          <w:rPr>
            <w:color w:val="231F20"/>
            <w:sz w:val="16"/>
          </w:rPr>
          <w:t>STR formula function</w:t>
        </w:r>
        <w:r>
          <w:rPr>
            <w:color w:val="231F20"/>
            <w:spacing w:val="80"/>
            <w:sz w:val="16"/>
          </w:rPr>
          <w:t> </w:t>
        </w:r>
        <w:r>
          <w:rPr>
            <w:color w:val="231F20"/>
            <w:sz w:val="16"/>
          </w:rPr>
          <w:t>421</w:t>
        </w:r>
      </w:hyperlink>
      <w:r>
        <w:rPr>
          <w:color w:val="231F20"/>
          <w:spacing w:val="40"/>
          <w:sz w:val="16"/>
        </w:rPr>
        <w:t> </w:t>
      </w:r>
      <w:hyperlink w:history="true" w:anchor="_bookmark334">
        <w:r>
          <w:rPr>
            <w:color w:val="231F20"/>
            <w:sz w:val="16"/>
          </w:rPr>
          <w:t>SUM function</w:t>
        </w:r>
        <w:r>
          <w:rPr>
            <w:color w:val="231F20"/>
            <w:spacing w:val="80"/>
            <w:sz w:val="16"/>
          </w:rPr>
          <w:t> </w:t>
        </w:r>
        <w:r>
          <w:rPr>
            <w:color w:val="231F20"/>
            <w:sz w:val="16"/>
          </w:rPr>
          <w:t>425</w:t>
        </w:r>
      </w:hyperlink>
    </w:p>
    <w:p>
      <w:pPr>
        <w:spacing w:line="220" w:lineRule="auto" w:before="2"/>
        <w:ind w:left="197" w:right="465" w:firstLine="0"/>
        <w:jc w:val="left"/>
        <w:rPr>
          <w:sz w:val="16"/>
        </w:rPr>
      </w:pPr>
      <w:hyperlink w:history="true" w:anchor="_bookmark334">
        <w:r>
          <w:rPr>
            <w:color w:val="231F20"/>
            <w:sz w:val="16"/>
          </w:rPr>
          <w:t>Sum of group</w:t>
        </w:r>
        <w:r>
          <w:rPr>
            <w:color w:val="231F20"/>
            <w:spacing w:val="80"/>
            <w:sz w:val="16"/>
          </w:rPr>
          <w:t> </w:t>
        </w:r>
        <w:r>
          <w:rPr>
            <w:color w:val="231F20"/>
            <w:sz w:val="16"/>
          </w:rPr>
          <w:t>425</w:t>
        </w:r>
      </w:hyperlink>
      <w:r>
        <w:rPr>
          <w:color w:val="231F20"/>
          <w:spacing w:val="40"/>
          <w:sz w:val="16"/>
        </w:rPr>
        <w:t> </w:t>
      </w:r>
      <w:hyperlink w:history="true" w:anchor="_bookmark161">
        <w:r>
          <w:rPr>
            <w:color w:val="231F20"/>
            <w:sz w:val="16"/>
          </w:rPr>
          <w:t>summarization and pruning</w:t>
        </w:r>
        <w:r>
          <w:rPr>
            <w:color w:val="231F20"/>
            <w:spacing w:val="80"/>
            <w:sz w:val="16"/>
          </w:rPr>
          <w:t> </w:t>
        </w:r>
        <w:r>
          <w:rPr>
            <w:color w:val="231F20"/>
            <w:sz w:val="16"/>
          </w:rPr>
          <w:t>226</w:t>
        </w:r>
      </w:hyperlink>
      <w:r>
        <w:rPr>
          <w:color w:val="231F20"/>
          <w:spacing w:val="40"/>
          <w:sz w:val="16"/>
        </w:rPr>
        <w:t> </w:t>
      </w:r>
      <w:hyperlink w:history="true" w:anchor="_bookmark354">
        <w:r>
          <w:rPr>
            <w:color w:val="231F20"/>
            <w:sz w:val="16"/>
          </w:rPr>
          <w:t>support assistant</w:t>
        </w:r>
        <w:r>
          <w:rPr>
            <w:color w:val="231F20"/>
            <w:spacing w:val="80"/>
            <w:sz w:val="16"/>
          </w:rPr>
          <w:t> </w:t>
        </w:r>
        <w:r>
          <w:rPr>
            <w:color w:val="231F20"/>
            <w:sz w:val="16"/>
          </w:rPr>
          <w:t>459</w:t>
        </w:r>
      </w:hyperlink>
    </w:p>
    <w:p>
      <w:pPr>
        <w:spacing w:line="197" w:lineRule="exact" w:before="0"/>
        <w:ind w:left="197" w:right="0" w:firstLine="0"/>
        <w:jc w:val="left"/>
        <w:rPr>
          <w:sz w:val="16"/>
        </w:rPr>
      </w:pPr>
      <w:hyperlink w:history="true" w:anchor="_bookmark354">
        <w:r>
          <w:rPr>
            <w:color w:val="231F20"/>
            <w:sz w:val="16"/>
          </w:rPr>
          <w:t>Support</w:t>
        </w:r>
        <w:r>
          <w:rPr>
            <w:color w:val="231F20"/>
            <w:spacing w:val="4"/>
            <w:sz w:val="16"/>
          </w:rPr>
          <w:t> </w:t>
        </w:r>
        <w:r>
          <w:rPr>
            <w:color w:val="231F20"/>
            <w:sz w:val="16"/>
          </w:rPr>
          <w:t>Assistant</w:t>
        </w:r>
        <w:r>
          <w:rPr>
            <w:color w:val="231F20"/>
            <w:spacing w:val="34"/>
            <w:sz w:val="16"/>
          </w:rPr>
          <w:t>  </w:t>
        </w:r>
        <w:r>
          <w:rPr>
            <w:color w:val="231F20"/>
            <w:spacing w:val="-5"/>
            <w:sz w:val="16"/>
          </w:rPr>
          <w:t>459</w:t>
        </w:r>
      </w:hyperlink>
    </w:p>
    <w:p>
      <w:pPr>
        <w:spacing w:line="208" w:lineRule="exact" w:before="0"/>
        <w:ind w:left="197" w:right="0" w:firstLine="0"/>
        <w:jc w:val="left"/>
        <w:rPr>
          <w:sz w:val="16"/>
        </w:rPr>
      </w:pPr>
      <w:hyperlink w:history="true" w:anchor="_bookmark283">
        <w:r>
          <w:rPr>
            <w:color w:val="231F20"/>
            <w:sz w:val="16"/>
          </w:rPr>
          <w:t>SYSADMIN</w:t>
        </w:r>
        <w:r>
          <w:rPr>
            <w:color w:val="231F20"/>
            <w:spacing w:val="35"/>
            <w:sz w:val="16"/>
          </w:rPr>
          <w:t>  </w:t>
        </w:r>
        <w:r>
          <w:rPr>
            <w:color w:val="231F20"/>
            <w:spacing w:val="-5"/>
            <w:sz w:val="16"/>
          </w:rPr>
          <w:t>376</w:t>
        </w:r>
      </w:hyperlink>
    </w:p>
    <w:p>
      <w:pPr>
        <w:pStyle w:val="BodyText"/>
        <w:spacing w:before="104"/>
        <w:rPr>
          <w:sz w:val="16"/>
        </w:rPr>
      </w:pPr>
    </w:p>
    <w:p>
      <w:pPr>
        <w:pStyle w:val="Heading1"/>
      </w:pPr>
      <w:bookmarkStart w:name="T" w:id="768"/>
      <w:bookmarkEnd w:id="768"/>
      <w:r>
        <w:rPr>
          <w:b w:val="0"/>
        </w:rPr>
      </w:r>
      <w:r>
        <w:rPr>
          <w:color w:val="231F20"/>
          <w:spacing w:val="-10"/>
        </w:rPr>
        <w:t>T</w:t>
      </w:r>
    </w:p>
    <w:p>
      <w:pPr>
        <w:spacing w:line="205" w:lineRule="exact" w:before="0"/>
        <w:ind w:left="197" w:right="0" w:firstLine="0"/>
        <w:jc w:val="left"/>
        <w:rPr>
          <w:sz w:val="16"/>
        </w:rPr>
      </w:pPr>
      <w:r>
        <w:rPr>
          <w:color w:val="231F20"/>
          <w:spacing w:val="-2"/>
          <w:sz w:val="16"/>
        </w:rPr>
        <w:t>table</w:t>
      </w:r>
    </w:p>
    <w:p>
      <w:pPr>
        <w:spacing w:line="220" w:lineRule="auto" w:before="5"/>
        <w:ind w:left="197" w:right="465" w:firstLine="239"/>
        <w:jc w:val="left"/>
        <w:rPr>
          <w:sz w:val="16"/>
        </w:rPr>
      </w:pPr>
      <w:hyperlink w:history="true" w:anchor="_bookmark37">
        <w:r>
          <w:rPr>
            <w:color w:val="231F20"/>
            <w:sz w:val="16"/>
          </w:rPr>
          <w:t>examples of find function</w:t>
        </w:r>
        <w:r>
          <w:rPr>
            <w:color w:val="231F20"/>
            <w:spacing w:val="80"/>
            <w:sz w:val="16"/>
          </w:rPr>
          <w:t> </w:t>
        </w:r>
        <w:r>
          <w:rPr>
            <w:color w:val="231F20"/>
            <w:sz w:val="16"/>
          </w:rPr>
          <w:t>48</w:t>
        </w:r>
      </w:hyperlink>
      <w:r>
        <w:rPr>
          <w:color w:val="231F20"/>
          <w:spacing w:val="40"/>
          <w:sz w:val="16"/>
        </w:rPr>
        <w:t> </w:t>
      </w:r>
      <w:hyperlink w:history="true" w:anchor="_bookmark74">
        <w:r>
          <w:rPr>
            <w:color w:val="231F20"/>
            <w:sz w:val="16"/>
          </w:rPr>
          <w:t>table view</w:t>
        </w:r>
        <w:r>
          <w:rPr>
            <w:color w:val="231F20"/>
            <w:spacing w:val="80"/>
            <w:sz w:val="16"/>
          </w:rPr>
          <w:t> </w:t>
        </w:r>
        <w:r>
          <w:rPr>
            <w:color w:val="231F20"/>
            <w:sz w:val="16"/>
          </w:rPr>
          <w:t>97</w:t>
        </w:r>
      </w:hyperlink>
    </w:p>
    <w:p>
      <w:pPr>
        <w:spacing w:line="220" w:lineRule="auto" w:before="2"/>
        <w:ind w:left="436" w:right="0" w:firstLine="0"/>
        <w:jc w:val="left"/>
        <w:rPr>
          <w:sz w:val="16"/>
        </w:rPr>
      </w:pPr>
      <w:hyperlink w:history="true" w:anchor="_bookmark76">
        <w:r>
          <w:rPr>
            <w:color w:val="231F20"/>
            <w:sz w:val="16"/>
          </w:rPr>
          <w:t>adding column thresholds</w:t>
        </w:r>
        <w:r>
          <w:rPr>
            <w:color w:val="231F20"/>
            <w:spacing w:val="80"/>
            <w:sz w:val="16"/>
          </w:rPr>
          <w:t> </w:t>
        </w:r>
        <w:r>
          <w:rPr>
            <w:color w:val="231F20"/>
            <w:sz w:val="16"/>
          </w:rPr>
          <w:t>99</w:t>
        </w:r>
      </w:hyperlink>
      <w:r>
        <w:rPr>
          <w:color w:val="231F20"/>
          <w:spacing w:val="40"/>
          <w:sz w:val="16"/>
        </w:rPr>
        <w:t> </w:t>
      </w:r>
      <w:hyperlink w:history="true" w:anchor="_bookmark75">
        <w:r>
          <w:rPr>
            <w:color w:val="231F20"/>
            <w:sz w:val="16"/>
          </w:rPr>
          <w:t>column adjustments</w:t>
        </w:r>
        <w:r>
          <w:rPr>
            <w:color w:val="231F20"/>
            <w:spacing w:val="80"/>
            <w:sz w:val="16"/>
          </w:rPr>
          <w:t> </w:t>
        </w:r>
        <w:r>
          <w:rPr>
            <w:color w:val="231F20"/>
            <w:sz w:val="16"/>
          </w:rPr>
          <w:t>98</w:t>
        </w:r>
      </w:hyperlink>
    </w:p>
    <w:p>
      <w:pPr>
        <w:spacing w:line="196" w:lineRule="exact" w:before="0"/>
        <w:ind w:left="436" w:right="0" w:firstLine="0"/>
        <w:jc w:val="left"/>
        <w:rPr>
          <w:sz w:val="16"/>
        </w:rPr>
      </w:pPr>
      <w:hyperlink w:history="true" w:anchor="_bookmark74">
        <w:r>
          <w:rPr>
            <w:color w:val="231F20"/>
            <w:sz w:val="16"/>
          </w:rPr>
          <w:t>create</w:t>
        </w:r>
        <w:r>
          <w:rPr>
            <w:color w:val="231F20"/>
            <w:spacing w:val="35"/>
            <w:sz w:val="16"/>
          </w:rPr>
          <w:t>  </w:t>
        </w:r>
        <w:r>
          <w:rPr>
            <w:color w:val="231F20"/>
            <w:spacing w:val="-7"/>
            <w:sz w:val="16"/>
          </w:rPr>
          <w:t>97</w:t>
        </w:r>
      </w:hyperlink>
    </w:p>
    <w:p>
      <w:pPr>
        <w:spacing w:line="200" w:lineRule="exact" w:before="0"/>
        <w:ind w:left="436" w:right="0" w:firstLine="0"/>
        <w:jc w:val="left"/>
        <w:rPr>
          <w:sz w:val="16"/>
        </w:rPr>
      </w:pPr>
      <w:hyperlink w:history="true" w:anchor="_bookmark77">
        <w:r>
          <w:rPr>
            <w:color w:val="231F20"/>
            <w:sz w:val="16"/>
          </w:rPr>
          <w:t>custom</w:t>
        </w:r>
        <w:r>
          <w:rPr>
            <w:color w:val="231F20"/>
            <w:spacing w:val="9"/>
            <w:sz w:val="16"/>
          </w:rPr>
          <w:t> </w:t>
        </w:r>
        <w:r>
          <w:rPr>
            <w:color w:val="231F20"/>
            <w:sz w:val="16"/>
          </w:rPr>
          <w:t>thresholds</w:t>
        </w:r>
        <w:r>
          <w:rPr>
            <w:color w:val="231F20"/>
            <w:spacing w:val="33"/>
            <w:sz w:val="16"/>
          </w:rPr>
          <w:t>  </w:t>
        </w:r>
        <w:r>
          <w:rPr>
            <w:color w:val="231F20"/>
            <w:spacing w:val="-5"/>
            <w:sz w:val="16"/>
          </w:rPr>
          <w:t>100</w:t>
        </w:r>
      </w:hyperlink>
    </w:p>
    <w:p>
      <w:pPr>
        <w:spacing w:line="200" w:lineRule="exact" w:before="0"/>
        <w:ind w:left="436" w:right="0" w:firstLine="0"/>
        <w:jc w:val="left"/>
        <w:rPr>
          <w:sz w:val="16"/>
        </w:rPr>
      </w:pPr>
      <w:hyperlink w:history="true" w:anchor="_bookmark75">
        <w:r>
          <w:rPr>
            <w:color w:val="231F20"/>
            <w:sz w:val="16"/>
          </w:rPr>
          <w:t>features</w:t>
        </w:r>
        <w:r>
          <w:rPr>
            <w:color w:val="231F20"/>
            <w:spacing w:val="35"/>
            <w:sz w:val="16"/>
          </w:rPr>
          <w:t>  </w:t>
        </w:r>
        <w:r>
          <w:rPr>
            <w:color w:val="231F20"/>
            <w:spacing w:val="-5"/>
            <w:sz w:val="16"/>
          </w:rPr>
          <w:t>98</w:t>
        </w:r>
      </w:hyperlink>
    </w:p>
    <w:p>
      <w:pPr>
        <w:spacing w:line="200" w:lineRule="exact" w:before="0"/>
        <w:ind w:left="436" w:right="0" w:firstLine="0"/>
        <w:jc w:val="left"/>
        <w:rPr>
          <w:sz w:val="16"/>
        </w:rPr>
      </w:pPr>
      <w:hyperlink w:history="true" w:anchor="_bookmark36">
        <w:r>
          <w:rPr>
            <w:color w:val="231F20"/>
            <w:sz w:val="16"/>
          </w:rPr>
          <w:t>find</w:t>
        </w:r>
        <w:r>
          <w:rPr>
            <w:color w:val="231F20"/>
            <w:spacing w:val="11"/>
            <w:sz w:val="16"/>
          </w:rPr>
          <w:t> </w:t>
        </w:r>
        <w:r>
          <w:rPr>
            <w:color w:val="231F20"/>
            <w:sz w:val="16"/>
          </w:rPr>
          <w:t>data</w:t>
        </w:r>
        <w:r>
          <w:rPr>
            <w:color w:val="231F20"/>
            <w:spacing w:val="37"/>
            <w:sz w:val="16"/>
          </w:rPr>
          <w:t>  </w:t>
        </w:r>
        <w:r>
          <w:rPr>
            <w:color w:val="231F20"/>
            <w:spacing w:val="-5"/>
            <w:sz w:val="16"/>
          </w:rPr>
          <w:t>46</w:t>
        </w:r>
      </w:hyperlink>
    </w:p>
    <w:p>
      <w:pPr>
        <w:spacing w:line="220" w:lineRule="auto" w:before="6"/>
        <w:ind w:left="197" w:right="925" w:firstLine="239"/>
        <w:jc w:val="left"/>
        <w:rPr>
          <w:sz w:val="16"/>
        </w:rPr>
      </w:pPr>
      <w:hyperlink w:history="true" w:anchor="_bookmark75">
        <w:r>
          <w:rPr>
            <w:color w:val="231F20"/>
            <w:sz w:val="16"/>
          </w:rPr>
          <w:t>multiple pages</w:t>
        </w:r>
        <w:r>
          <w:rPr>
            <w:color w:val="231F20"/>
            <w:spacing w:val="80"/>
            <w:sz w:val="16"/>
          </w:rPr>
          <w:t> </w:t>
        </w:r>
        <w:r>
          <w:rPr>
            <w:color w:val="231F20"/>
            <w:sz w:val="16"/>
          </w:rPr>
          <w:t>98</w:t>
        </w:r>
      </w:hyperlink>
      <w:r>
        <w:rPr>
          <w:color w:val="231F20"/>
          <w:spacing w:val="40"/>
          <w:sz w:val="16"/>
        </w:rPr>
        <w:t> </w:t>
      </w:r>
      <w:r>
        <w:rPr>
          <w:color w:val="231F20"/>
          <w:spacing w:val="-2"/>
          <w:sz w:val="16"/>
        </w:rPr>
        <w:t>tables</w:t>
      </w:r>
    </w:p>
    <w:p>
      <w:pPr>
        <w:spacing w:line="220" w:lineRule="auto" w:before="2"/>
        <w:ind w:left="197" w:right="507" w:firstLine="239"/>
        <w:jc w:val="left"/>
        <w:rPr>
          <w:sz w:val="16"/>
        </w:rPr>
      </w:pPr>
      <w:hyperlink w:history="true" w:anchor="_bookmark212">
        <w:r>
          <w:rPr>
            <w:color w:val="231F20"/>
            <w:sz w:val="16"/>
          </w:rPr>
          <w:t>model situations with</w:t>
        </w:r>
        <w:r>
          <w:rPr>
            <w:color w:val="231F20"/>
            <w:spacing w:val="80"/>
            <w:sz w:val="16"/>
          </w:rPr>
          <w:t> </w:t>
        </w:r>
        <w:r>
          <w:rPr>
            <w:color w:val="231F20"/>
            <w:sz w:val="16"/>
          </w:rPr>
          <w:t>286</w:t>
        </w:r>
      </w:hyperlink>
      <w:r>
        <w:rPr>
          <w:color w:val="231F20"/>
          <w:spacing w:val="40"/>
          <w:sz w:val="16"/>
        </w:rPr>
        <w:t> </w:t>
      </w:r>
      <w:r>
        <w:rPr>
          <w:color w:val="231F20"/>
          <w:spacing w:val="-2"/>
          <w:sz w:val="16"/>
        </w:rPr>
        <w:t>tacmd</w:t>
      </w:r>
    </w:p>
    <w:p>
      <w:pPr>
        <w:spacing w:line="196" w:lineRule="exact" w:before="0"/>
        <w:ind w:left="436" w:right="0" w:firstLine="0"/>
        <w:jc w:val="left"/>
        <w:rPr>
          <w:sz w:val="16"/>
        </w:rPr>
      </w:pPr>
      <w:hyperlink w:history="true" w:anchor="_bookmark218">
        <w:r>
          <w:rPr>
            <w:color w:val="231F20"/>
            <w:sz w:val="16"/>
          </w:rPr>
          <w:t>acceptBaseline</w:t>
        </w:r>
        <w:r>
          <w:rPr>
            <w:color w:val="231F20"/>
            <w:spacing w:val="34"/>
            <w:sz w:val="16"/>
          </w:rPr>
          <w:t>  </w:t>
        </w:r>
        <w:r>
          <w:rPr>
            <w:color w:val="231F20"/>
            <w:spacing w:val="-5"/>
            <w:sz w:val="16"/>
          </w:rPr>
          <w:t>295</w:t>
        </w:r>
      </w:hyperlink>
    </w:p>
    <w:p>
      <w:pPr>
        <w:spacing w:line="200" w:lineRule="exact" w:before="0"/>
        <w:ind w:left="436" w:right="0" w:firstLine="0"/>
        <w:jc w:val="left"/>
        <w:rPr>
          <w:sz w:val="16"/>
        </w:rPr>
      </w:pPr>
      <w:hyperlink w:history="true" w:anchor="_bookmark218">
        <w:r>
          <w:rPr>
            <w:color w:val="231F20"/>
            <w:sz w:val="16"/>
          </w:rPr>
          <w:t>addCalendarEntry</w:t>
        </w:r>
        <w:r>
          <w:rPr>
            <w:color w:val="231F20"/>
            <w:spacing w:val="32"/>
            <w:sz w:val="16"/>
          </w:rPr>
          <w:t>  </w:t>
        </w:r>
        <w:r>
          <w:rPr>
            <w:color w:val="231F20"/>
            <w:spacing w:val="-5"/>
            <w:sz w:val="16"/>
          </w:rPr>
          <w:t>295</w:t>
        </w:r>
      </w:hyperlink>
    </w:p>
    <w:p>
      <w:pPr>
        <w:spacing w:line="200" w:lineRule="exact" w:before="0"/>
        <w:ind w:left="436" w:right="0" w:firstLine="0"/>
        <w:jc w:val="left"/>
        <w:rPr>
          <w:sz w:val="16"/>
        </w:rPr>
      </w:pPr>
      <w:hyperlink w:history="true" w:anchor="_bookmark205">
        <w:r>
          <w:rPr>
            <w:color w:val="231F20"/>
            <w:sz w:val="16"/>
          </w:rPr>
          <w:t>createEventDest</w:t>
        </w:r>
        <w:r>
          <w:rPr>
            <w:color w:val="231F20"/>
            <w:spacing w:val="32"/>
            <w:sz w:val="16"/>
          </w:rPr>
          <w:t>  </w:t>
        </w:r>
        <w:r>
          <w:rPr>
            <w:color w:val="231F20"/>
            <w:spacing w:val="-5"/>
            <w:sz w:val="16"/>
          </w:rPr>
          <w:t>276</w:t>
        </w:r>
      </w:hyperlink>
    </w:p>
    <w:p>
      <w:pPr>
        <w:spacing w:line="200" w:lineRule="exact" w:before="0"/>
        <w:ind w:left="436" w:right="0" w:firstLine="0"/>
        <w:jc w:val="left"/>
        <w:rPr>
          <w:sz w:val="16"/>
        </w:rPr>
      </w:pPr>
      <w:hyperlink w:history="true" w:anchor="_bookmark156">
        <w:r>
          <w:rPr>
            <w:color w:val="231F20"/>
            <w:sz w:val="16"/>
          </w:rPr>
          <w:t>histListCollections</w:t>
        </w:r>
        <w:r>
          <w:rPr>
            <w:color w:val="231F20"/>
            <w:spacing w:val="32"/>
            <w:sz w:val="16"/>
          </w:rPr>
          <w:t>  </w:t>
        </w:r>
        <w:r>
          <w:rPr>
            <w:color w:val="231F20"/>
            <w:spacing w:val="-5"/>
            <w:sz w:val="16"/>
          </w:rPr>
          <w:t>217</w:t>
        </w:r>
      </w:hyperlink>
    </w:p>
    <w:p>
      <w:pPr>
        <w:spacing w:line="200" w:lineRule="exact" w:before="0"/>
        <w:ind w:left="436" w:right="0" w:firstLine="0"/>
        <w:jc w:val="left"/>
        <w:rPr>
          <w:sz w:val="16"/>
        </w:rPr>
      </w:pPr>
      <w:hyperlink w:history="true" w:anchor="_bookmark218">
        <w:r>
          <w:rPr>
            <w:color w:val="231F20"/>
            <w:sz w:val="16"/>
          </w:rPr>
          <w:t>setOverride</w:t>
        </w:r>
        <w:r>
          <w:rPr>
            <w:color w:val="231F20"/>
            <w:spacing w:val="35"/>
            <w:sz w:val="16"/>
          </w:rPr>
          <w:t>  </w:t>
        </w:r>
        <w:r>
          <w:rPr>
            <w:color w:val="231F20"/>
            <w:spacing w:val="-5"/>
            <w:sz w:val="16"/>
          </w:rPr>
          <w:t>295</w:t>
        </w:r>
      </w:hyperlink>
    </w:p>
    <w:p>
      <w:pPr>
        <w:spacing w:line="200" w:lineRule="exact" w:before="0"/>
        <w:ind w:left="436" w:right="0" w:firstLine="0"/>
        <w:jc w:val="left"/>
        <w:rPr>
          <w:sz w:val="16"/>
        </w:rPr>
      </w:pPr>
      <w:hyperlink w:history="true" w:anchor="_bookmark218">
        <w:r>
          <w:rPr>
            <w:color w:val="231F20"/>
            <w:sz w:val="16"/>
          </w:rPr>
          <w:t>suggestBaseline</w:t>
        </w:r>
        <w:r>
          <w:rPr>
            <w:color w:val="231F20"/>
            <w:spacing w:val="33"/>
            <w:sz w:val="16"/>
          </w:rPr>
          <w:t>  </w:t>
        </w:r>
        <w:r>
          <w:rPr>
            <w:color w:val="231F20"/>
            <w:spacing w:val="-5"/>
            <w:sz w:val="16"/>
          </w:rPr>
          <w:t>295</w:t>
        </w:r>
      </w:hyperlink>
    </w:p>
    <w:p>
      <w:pPr>
        <w:spacing w:line="220" w:lineRule="auto" w:before="5"/>
        <w:ind w:left="197" w:right="925" w:firstLine="239"/>
        <w:jc w:val="left"/>
        <w:rPr>
          <w:sz w:val="16"/>
        </w:rPr>
      </w:pPr>
      <w:hyperlink w:history="true" w:anchor="_bookmark313">
        <w:r>
          <w:rPr>
            <w:color w:val="231F20"/>
            <w:sz w:val="16"/>
          </w:rPr>
          <w:t>upgradeAgent</w:t>
        </w:r>
        <w:r>
          <w:rPr>
            <w:color w:val="231F20"/>
            <w:spacing w:val="80"/>
            <w:sz w:val="16"/>
          </w:rPr>
          <w:t> </w:t>
        </w:r>
        <w:r>
          <w:rPr>
            <w:color w:val="231F20"/>
            <w:sz w:val="16"/>
          </w:rPr>
          <w:t>404</w:t>
        </w:r>
      </w:hyperlink>
      <w:r>
        <w:rPr>
          <w:color w:val="231F20"/>
          <w:spacing w:val="40"/>
          <w:sz w:val="16"/>
        </w:rPr>
        <w:t> </w:t>
      </w:r>
      <w:r>
        <w:rPr>
          <w:color w:val="231F20"/>
          <w:spacing w:val="-2"/>
          <w:sz w:val="16"/>
        </w:rPr>
        <w:t>TADDM</w:t>
      </w:r>
    </w:p>
    <w:p>
      <w:pPr>
        <w:spacing w:line="220" w:lineRule="auto" w:before="2"/>
        <w:ind w:left="556" w:right="0" w:hanging="120"/>
        <w:jc w:val="left"/>
        <w:rPr>
          <w:sz w:val="16"/>
        </w:rPr>
      </w:pPr>
      <w:hyperlink w:history="true" w:anchor="_bookmark252">
        <w:r>
          <w:rPr>
            <w:color w:val="231F20"/>
            <w:sz w:val="16"/>
          </w:rPr>
          <w:t>Configure Tivoli Application</w:t>
        </w:r>
      </w:hyperlink>
      <w:r>
        <w:rPr>
          <w:color w:val="231F20"/>
          <w:spacing w:val="40"/>
          <w:sz w:val="16"/>
        </w:rPr>
        <w:t> </w:t>
      </w:r>
      <w:hyperlink w:history="true" w:anchor="_bookmark252">
        <w:r>
          <w:rPr>
            <w:color w:val="231F20"/>
            <w:sz w:val="16"/>
          </w:rPr>
          <w:t>Dependency</w:t>
        </w:r>
        <w:r>
          <w:rPr>
            <w:color w:val="231F20"/>
            <w:spacing w:val="-6"/>
            <w:sz w:val="16"/>
          </w:rPr>
          <w:t> </w:t>
        </w:r>
        <w:r>
          <w:rPr>
            <w:color w:val="231F20"/>
            <w:sz w:val="16"/>
          </w:rPr>
          <w:t>Discovery</w:t>
        </w:r>
        <w:r>
          <w:rPr>
            <w:color w:val="231F20"/>
            <w:spacing w:val="-6"/>
            <w:sz w:val="16"/>
          </w:rPr>
          <w:t> </w:t>
        </w:r>
        <w:r>
          <w:rPr>
            <w:color w:val="231F20"/>
            <w:sz w:val="16"/>
          </w:rPr>
          <w:t>Manager</w:t>
        </w:r>
      </w:hyperlink>
      <w:r>
        <w:rPr>
          <w:color w:val="231F20"/>
          <w:spacing w:val="40"/>
          <w:sz w:val="16"/>
        </w:rPr>
        <w:t> </w:t>
      </w:r>
      <w:hyperlink w:history="true" w:anchor="_bookmark252">
        <w:r>
          <w:rPr>
            <w:color w:val="231F20"/>
            <w:sz w:val="16"/>
          </w:rPr>
          <w:t>Integration</w:t>
        </w:r>
        <w:r>
          <w:rPr>
            <w:color w:val="231F20"/>
            <w:spacing w:val="80"/>
            <w:sz w:val="16"/>
          </w:rPr>
          <w:t> </w:t>
        </w:r>
        <w:r>
          <w:rPr>
            <w:color w:val="231F20"/>
            <w:sz w:val="16"/>
          </w:rPr>
          <w:t>343</w:t>
        </w:r>
      </w:hyperlink>
    </w:p>
    <w:p>
      <w:pPr>
        <w:spacing w:line="220" w:lineRule="auto" w:before="3"/>
        <w:ind w:left="556" w:right="0" w:hanging="120"/>
        <w:jc w:val="left"/>
        <w:rPr>
          <w:sz w:val="16"/>
        </w:rPr>
      </w:pPr>
      <w:hyperlink w:history="true" w:anchor="_bookmark262">
        <w:r>
          <w:rPr>
            <w:color w:val="231F20"/>
            <w:sz w:val="16"/>
          </w:rPr>
          <w:t>Request</w:t>
        </w:r>
        <w:r>
          <w:rPr>
            <w:color w:val="231F20"/>
            <w:spacing w:val="-1"/>
            <w:sz w:val="16"/>
          </w:rPr>
          <w:t> </w:t>
        </w:r>
        <w:r>
          <w:rPr>
            <w:color w:val="231F20"/>
            <w:sz w:val="16"/>
          </w:rPr>
          <w:t>Parameters</w:t>
        </w:r>
        <w:r>
          <w:rPr>
            <w:color w:val="231F20"/>
            <w:spacing w:val="-1"/>
            <w:sz w:val="16"/>
          </w:rPr>
          <w:t> </w:t>
        </w:r>
        <w:r>
          <w:rPr>
            <w:color w:val="231F20"/>
            <w:sz w:val="16"/>
          </w:rPr>
          <w:t>JSON</w:t>
        </w:r>
        <w:r>
          <w:rPr>
            <w:color w:val="231F20"/>
            <w:spacing w:val="-1"/>
            <w:sz w:val="16"/>
          </w:rPr>
          <w:t> </w:t>
        </w:r>
        <w:r>
          <w:rPr>
            <w:color w:val="231F20"/>
            <w:sz w:val="16"/>
          </w:rPr>
          <w:t>update</w:t>
        </w:r>
      </w:hyperlink>
      <w:r>
        <w:rPr>
          <w:color w:val="231F20"/>
          <w:spacing w:val="40"/>
          <w:sz w:val="16"/>
        </w:rPr>
        <w:t> </w:t>
      </w:r>
      <w:hyperlink w:history="true" w:anchor="_bookmark262">
        <w:r>
          <w:rPr>
            <w:color w:val="231F20"/>
            <w:sz w:val="16"/>
          </w:rPr>
          <w:t>request</w:t>
        </w:r>
        <w:r>
          <w:rPr>
            <w:color w:val="231F20"/>
            <w:spacing w:val="80"/>
            <w:sz w:val="16"/>
          </w:rPr>
          <w:t> </w:t>
        </w:r>
        <w:r>
          <w:rPr>
            <w:color w:val="231F20"/>
            <w:sz w:val="16"/>
          </w:rPr>
          <w:t>351</w:t>
        </w:r>
      </w:hyperlink>
    </w:p>
    <w:p>
      <w:pPr>
        <w:spacing w:line="208" w:lineRule="exact" w:before="114"/>
        <w:ind w:left="197" w:right="0" w:firstLine="0"/>
        <w:jc w:val="left"/>
        <w:rPr>
          <w:rFonts w:ascii="Book Antiqua"/>
          <w:i/>
          <w:sz w:val="16"/>
        </w:rPr>
      </w:pPr>
      <w:r>
        <w:rPr/>
        <w:br w:type="column"/>
      </w:r>
      <w:r>
        <w:rPr>
          <w:color w:val="231F20"/>
          <w:sz w:val="16"/>
        </w:rPr>
        <w:t>TADDM</w:t>
      </w:r>
      <w:r>
        <w:rPr>
          <w:color w:val="231F20"/>
          <w:spacing w:val="20"/>
          <w:sz w:val="16"/>
        </w:rPr>
        <w:t> </w:t>
      </w:r>
      <w:r>
        <w:rPr>
          <w:rFonts w:ascii="Book Antiqua"/>
          <w:i/>
          <w:color w:val="231F20"/>
          <w:spacing w:val="-2"/>
          <w:sz w:val="16"/>
        </w:rPr>
        <w:t>(continued)</w:t>
      </w:r>
    </w:p>
    <w:p>
      <w:pPr>
        <w:spacing w:line="220" w:lineRule="auto" w:before="5"/>
        <w:ind w:left="556" w:right="0" w:hanging="120"/>
        <w:jc w:val="left"/>
        <w:rPr>
          <w:sz w:val="16"/>
        </w:rPr>
      </w:pPr>
      <w:hyperlink w:history="true" w:anchor="_bookmark254">
        <w:r>
          <w:rPr>
            <w:color w:val="231F20"/>
            <w:sz w:val="16"/>
          </w:rPr>
          <w:t>Send</w:t>
        </w:r>
        <w:r>
          <w:rPr>
            <w:color w:val="231F20"/>
            <w:spacing w:val="-1"/>
            <w:sz w:val="16"/>
          </w:rPr>
          <w:t> </w:t>
        </w:r>
        <w:r>
          <w:rPr>
            <w:color w:val="231F20"/>
            <w:sz w:val="16"/>
          </w:rPr>
          <w:t>a</w:t>
        </w:r>
        <w:r>
          <w:rPr>
            <w:color w:val="231F20"/>
            <w:spacing w:val="-1"/>
            <w:sz w:val="16"/>
          </w:rPr>
          <w:t> </w:t>
        </w:r>
        <w:r>
          <w:rPr>
            <w:color w:val="231F20"/>
            <w:sz w:val="16"/>
          </w:rPr>
          <w:t>Tivoli</w:t>
        </w:r>
        <w:r>
          <w:rPr>
            <w:color w:val="231F20"/>
            <w:spacing w:val="-5"/>
            <w:sz w:val="16"/>
          </w:rPr>
          <w:t> </w:t>
        </w:r>
        <w:r>
          <w:rPr>
            <w:color w:val="231F20"/>
            <w:sz w:val="16"/>
          </w:rPr>
          <w:t>Application</w:t>
        </w:r>
        <w:r>
          <w:rPr>
            <w:color w:val="231F20"/>
            <w:spacing w:val="-1"/>
            <w:sz w:val="16"/>
          </w:rPr>
          <w:t> </w:t>
        </w:r>
        <w:r>
          <w:rPr>
            <w:color w:val="231F20"/>
            <w:sz w:val="16"/>
          </w:rPr>
          <w:t>Dependency</w:t>
        </w:r>
      </w:hyperlink>
      <w:r>
        <w:rPr>
          <w:color w:val="231F20"/>
          <w:spacing w:val="40"/>
          <w:sz w:val="16"/>
        </w:rPr>
        <w:t> </w:t>
      </w:r>
      <w:hyperlink w:history="true" w:anchor="_bookmark254">
        <w:r>
          <w:rPr>
            <w:color w:val="231F20"/>
            <w:sz w:val="16"/>
          </w:rPr>
          <w:t>Discovery Manager Update</w:t>
        </w:r>
        <w:r>
          <w:rPr>
            <w:color w:val="231F20"/>
            <w:spacing w:val="80"/>
            <w:sz w:val="16"/>
          </w:rPr>
          <w:t> </w:t>
        </w:r>
        <w:r>
          <w:rPr>
            <w:color w:val="231F20"/>
            <w:sz w:val="16"/>
          </w:rPr>
          <w:t>345</w:t>
        </w:r>
      </w:hyperlink>
    </w:p>
    <w:p>
      <w:pPr>
        <w:spacing w:line="220" w:lineRule="auto" w:before="2"/>
        <w:ind w:left="436" w:right="0" w:firstLine="0"/>
        <w:jc w:val="left"/>
        <w:rPr>
          <w:sz w:val="16"/>
        </w:rPr>
      </w:pPr>
      <w:hyperlink w:history="true" w:anchor="_bookmark260">
        <w:r>
          <w:rPr>
            <w:color w:val="231F20"/>
            <w:sz w:val="16"/>
          </w:rPr>
          <w:t>TADDM initialization policy</w:t>
        </w:r>
        <w:r>
          <w:rPr>
            <w:color w:val="231F20"/>
            <w:spacing w:val="80"/>
            <w:sz w:val="16"/>
          </w:rPr>
          <w:t> </w:t>
        </w:r>
        <w:r>
          <w:rPr>
            <w:color w:val="231F20"/>
            <w:sz w:val="16"/>
          </w:rPr>
          <w:t>349</w:t>
        </w:r>
      </w:hyperlink>
      <w:r>
        <w:rPr>
          <w:color w:val="231F20"/>
          <w:spacing w:val="40"/>
          <w:sz w:val="16"/>
        </w:rPr>
        <w:t> </w:t>
      </w:r>
      <w:hyperlink w:history="true" w:anchor="_bookmark260">
        <w:r>
          <w:rPr>
            <w:color w:val="231F20"/>
            <w:sz w:val="16"/>
          </w:rPr>
          <w:t>TADDM_Event</w:t>
        </w:r>
        <w:r>
          <w:rPr>
            <w:color w:val="231F20"/>
            <w:spacing w:val="80"/>
            <w:sz w:val="16"/>
          </w:rPr>
          <w:t> </w:t>
        </w:r>
        <w:r>
          <w:rPr>
            <w:color w:val="231F20"/>
            <w:sz w:val="16"/>
          </w:rPr>
          <w:t>349</w:t>
        </w:r>
      </w:hyperlink>
    </w:p>
    <w:p>
      <w:pPr>
        <w:spacing w:line="196" w:lineRule="exact" w:before="0"/>
        <w:ind w:left="436" w:right="0" w:firstLine="0"/>
        <w:jc w:val="left"/>
        <w:rPr>
          <w:sz w:val="16"/>
        </w:rPr>
      </w:pPr>
      <w:hyperlink w:history="true" w:anchor="_bookmark260">
        <w:r>
          <w:rPr>
            <w:color w:val="231F20"/>
            <w:sz w:val="16"/>
          </w:rPr>
          <w:t>TADDM_Initialization</w:t>
        </w:r>
        <w:r>
          <w:rPr>
            <w:color w:val="231F20"/>
            <w:spacing w:val="70"/>
            <w:w w:val="150"/>
            <w:sz w:val="16"/>
          </w:rPr>
          <w:t> </w:t>
        </w:r>
        <w:r>
          <w:rPr>
            <w:color w:val="231F20"/>
            <w:spacing w:val="-5"/>
            <w:sz w:val="16"/>
          </w:rPr>
          <w:t>349</w:t>
        </w:r>
      </w:hyperlink>
    </w:p>
    <w:p>
      <w:pPr>
        <w:spacing w:line="200" w:lineRule="exact" w:before="0"/>
        <w:ind w:left="197" w:right="0" w:firstLine="0"/>
        <w:jc w:val="left"/>
        <w:rPr>
          <w:sz w:val="16"/>
        </w:rPr>
      </w:pPr>
      <w:hyperlink w:history="true" w:anchor="_bookmark264">
        <w:r>
          <w:rPr>
            <w:color w:val="231F20"/>
            <w:sz w:val="16"/>
          </w:rPr>
          <w:t>take</w:t>
        </w:r>
        <w:r>
          <w:rPr>
            <w:color w:val="231F20"/>
            <w:spacing w:val="11"/>
            <w:sz w:val="16"/>
          </w:rPr>
          <w:t> </w:t>
        </w:r>
        <w:r>
          <w:rPr>
            <w:color w:val="231F20"/>
            <w:sz w:val="16"/>
          </w:rPr>
          <w:t>action</w:t>
        </w:r>
        <w:r>
          <w:rPr>
            <w:color w:val="231F20"/>
            <w:spacing w:val="36"/>
            <w:sz w:val="16"/>
          </w:rPr>
          <w:t>  </w:t>
        </w:r>
        <w:r>
          <w:rPr>
            <w:color w:val="231F20"/>
            <w:spacing w:val="-5"/>
            <w:sz w:val="16"/>
          </w:rPr>
          <w:t>353</w:t>
        </w:r>
      </w:hyperlink>
    </w:p>
    <w:p>
      <w:pPr>
        <w:spacing w:line="200" w:lineRule="exact" w:before="0"/>
        <w:ind w:left="436" w:right="0" w:firstLine="0"/>
        <w:jc w:val="left"/>
        <w:rPr>
          <w:sz w:val="16"/>
        </w:rPr>
      </w:pPr>
      <w:hyperlink w:history="true" w:anchor="_bookmark264">
        <w:r>
          <w:rPr>
            <w:color w:val="231F20"/>
            <w:sz w:val="16"/>
          </w:rPr>
          <w:t>create</w:t>
        </w:r>
        <w:r>
          <w:rPr>
            <w:color w:val="231F20"/>
            <w:spacing w:val="35"/>
            <w:sz w:val="16"/>
          </w:rPr>
          <w:t>  </w:t>
        </w:r>
        <w:r>
          <w:rPr>
            <w:color w:val="231F20"/>
            <w:spacing w:val="-5"/>
            <w:sz w:val="16"/>
          </w:rPr>
          <w:t>353</w:t>
        </w:r>
      </w:hyperlink>
    </w:p>
    <w:p>
      <w:pPr>
        <w:spacing w:line="200" w:lineRule="exact" w:before="0"/>
        <w:ind w:left="436" w:right="0" w:firstLine="0"/>
        <w:jc w:val="left"/>
        <w:rPr>
          <w:sz w:val="16"/>
        </w:rPr>
      </w:pPr>
      <w:hyperlink w:history="true" w:anchor="_bookmark265">
        <w:r>
          <w:rPr>
            <w:color w:val="231F20"/>
            <w:sz w:val="16"/>
          </w:rPr>
          <w:t>edit</w:t>
        </w:r>
        <w:r>
          <w:rPr>
            <w:color w:val="231F20"/>
            <w:spacing w:val="38"/>
            <w:sz w:val="16"/>
          </w:rPr>
          <w:t>  </w:t>
        </w:r>
        <w:r>
          <w:rPr>
            <w:color w:val="231F20"/>
            <w:spacing w:val="-5"/>
            <w:sz w:val="16"/>
          </w:rPr>
          <w:t>354</w:t>
        </w:r>
      </w:hyperlink>
    </w:p>
    <w:p>
      <w:pPr>
        <w:spacing w:line="200" w:lineRule="exact" w:before="0"/>
        <w:ind w:left="436" w:right="0" w:firstLine="0"/>
        <w:jc w:val="left"/>
        <w:rPr>
          <w:sz w:val="16"/>
        </w:rPr>
      </w:pPr>
      <w:hyperlink w:history="true" w:anchor="_bookmark203">
        <w:r>
          <w:rPr>
            <w:color w:val="231F20"/>
            <w:sz w:val="16"/>
          </w:rPr>
          <w:t>in</w:t>
        </w:r>
        <w:r>
          <w:rPr>
            <w:color w:val="231F20"/>
            <w:spacing w:val="11"/>
            <w:sz w:val="16"/>
          </w:rPr>
          <w:t> </w:t>
        </w:r>
        <w:r>
          <w:rPr>
            <w:color w:val="231F20"/>
            <w:sz w:val="16"/>
          </w:rPr>
          <w:t>a</w:t>
        </w:r>
        <w:r>
          <w:rPr>
            <w:color w:val="231F20"/>
            <w:spacing w:val="11"/>
            <w:sz w:val="16"/>
          </w:rPr>
          <w:t> </w:t>
        </w:r>
        <w:r>
          <w:rPr>
            <w:color w:val="231F20"/>
            <w:sz w:val="16"/>
          </w:rPr>
          <w:t>situation</w:t>
        </w:r>
        <w:r>
          <w:rPr>
            <w:color w:val="231F20"/>
            <w:spacing w:val="37"/>
            <w:sz w:val="16"/>
          </w:rPr>
          <w:t>  </w:t>
        </w:r>
        <w:r>
          <w:rPr>
            <w:color w:val="231F20"/>
            <w:spacing w:val="-5"/>
            <w:sz w:val="16"/>
          </w:rPr>
          <w:t>273</w:t>
        </w:r>
      </w:hyperlink>
    </w:p>
    <w:p>
      <w:pPr>
        <w:spacing w:line="220" w:lineRule="auto" w:before="5"/>
        <w:ind w:left="436" w:right="1300" w:firstLine="0"/>
        <w:jc w:val="left"/>
        <w:rPr>
          <w:sz w:val="16"/>
        </w:rPr>
      </w:pPr>
      <w:hyperlink w:history="true" w:anchor="_bookmark268">
        <w:r>
          <w:rPr>
            <w:color w:val="231F20"/>
            <w:sz w:val="16"/>
          </w:rPr>
          <w:t>rules and guidelines</w:t>
        </w:r>
        <w:r>
          <w:rPr>
            <w:color w:val="231F20"/>
            <w:spacing w:val="80"/>
            <w:sz w:val="16"/>
          </w:rPr>
          <w:t> </w:t>
        </w:r>
        <w:r>
          <w:rPr>
            <w:color w:val="231F20"/>
            <w:sz w:val="16"/>
          </w:rPr>
          <w:t>357</w:t>
        </w:r>
      </w:hyperlink>
      <w:r>
        <w:rPr>
          <w:color w:val="231F20"/>
          <w:spacing w:val="40"/>
          <w:sz w:val="16"/>
        </w:rPr>
        <w:t> </w:t>
      </w:r>
      <w:hyperlink w:history="true" w:anchor="_bookmark266">
        <w:r>
          <w:rPr>
            <w:color w:val="231F20"/>
            <w:sz w:val="16"/>
          </w:rPr>
          <w:t>send a command</w:t>
        </w:r>
        <w:r>
          <w:rPr>
            <w:color w:val="231F20"/>
            <w:spacing w:val="80"/>
            <w:sz w:val="16"/>
          </w:rPr>
          <w:t> </w:t>
        </w:r>
        <w:r>
          <w:rPr>
            <w:color w:val="231F20"/>
            <w:sz w:val="16"/>
          </w:rPr>
          <w:t>355</w:t>
        </w:r>
      </w:hyperlink>
    </w:p>
    <w:p>
      <w:pPr>
        <w:spacing w:line="220" w:lineRule="auto" w:before="2"/>
        <w:ind w:left="436" w:right="1807" w:hanging="240"/>
        <w:jc w:val="left"/>
        <w:rPr>
          <w:sz w:val="16"/>
        </w:rPr>
      </w:pPr>
      <w:r>
        <w:rPr>
          <w:color w:val="231F20"/>
          <w:sz w:val="16"/>
        </w:rPr>
        <w:t>take</w:t>
      </w:r>
      <w:r>
        <w:rPr>
          <w:color w:val="231F20"/>
          <w:spacing w:val="-6"/>
          <w:sz w:val="16"/>
        </w:rPr>
        <w:t> </w:t>
      </w:r>
      <w:r>
        <w:rPr>
          <w:color w:val="231F20"/>
          <w:sz w:val="16"/>
        </w:rPr>
        <w:t>action</w:t>
      </w:r>
      <w:r>
        <w:rPr>
          <w:color w:val="231F20"/>
          <w:spacing w:val="-6"/>
          <w:sz w:val="16"/>
        </w:rPr>
        <w:t> </w:t>
      </w:r>
      <w:r>
        <w:rPr>
          <w:color w:val="231F20"/>
          <w:sz w:val="16"/>
        </w:rPr>
        <w:t>commands</w:t>
      </w:r>
      <w:r>
        <w:rPr>
          <w:color w:val="231F20"/>
          <w:spacing w:val="40"/>
          <w:sz w:val="16"/>
        </w:rPr>
        <w:t> </w:t>
      </w:r>
      <w:hyperlink w:history="true" w:anchor="_bookmark285">
        <w:r>
          <w:rPr>
            <w:color w:val="231F20"/>
            <w:sz w:val="16"/>
          </w:rPr>
          <w:t>user ID for</w:t>
        </w:r>
        <w:r>
          <w:rPr>
            <w:color w:val="231F20"/>
            <w:spacing w:val="80"/>
            <w:sz w:val="16"/>
          </w:rPr>
          <w:t> </w:t>
        </w:r>
        <w:r>
          <w:rPr>
            <w:color w:val="231F20"/>
            <w:sz w:val="16"/>
          </w:rPr>
          <w:t>378</w:t>
        </w:r>
      </w:hyperlink>
    </w:p>
    <w:p>
      <w:pPr>
        <w:spacing w:line="220" w:lineRule="auto" w:before="2"/>
        <w:ind w:left="436" w:right="1883" w:hanging="240"/>
        <w:jc w:val="left"/>
        <w:rPr>
          <w:sz w:val="16"/>
        </w:rPr>
      </w:pPr>
      <w:r>
        <w:rPr>
          <w:color w:val="231F20"/>
          <w:sz w:val="16"/>
        </w:rPr>
        <w:t>take action view</w:t>
      </w:r>
      <w:r>
        <w:rPr>
          <w:color w:val="231F20"/>
          <w:spacing w:val="40"/>
          <w:sz w:val="16"/>
        </w:rPr>
        <w:t> </w:t>
      </w:r>
      <w:hyperlink w:history="true" w:anchor="_bookmark124">
        <w:r>
          <w:rPr>
            <w:color w:val="231F20"/>
            <w:sz w:val="16"/>
          </w:rPr>
          <w:t>create</w:t>
        </w:r>
        <w:r>
          <w:rPr>
            <w:color w:val="231F20"/>
            <w:spacing w:val="80"/>
            <w:sz w:val="16"/>
          </w:rPr>
          <w:t> </w:t>
        </w:r>
        <w:r>
          <w:rPr>
            <w:color w:val="231F20"/>
            <w:sz w:val="16"/>
          </w:rPr>
          <w:t>167,</w:t>
        </w:r>
      </w:hyperlink>
      <w:r>
        <w:rPr>
          <w:color w:val="231F20"/>
          <w:sz w:val="16"/>
        </w:rPr>
        <w:t> </w:t>
      </w:r>
      <w:hyperlink w:history="true" w:anchor="_bookmark267">
        <w:r>
          <w:rPr>
            <w:color w:val="231F20"/>
            <w:sz w:val="16"/>
          </w:rPr>
          <w:t>356</w:t>
        </w:r>
      </w:hyperlink>
    </w:p>
    <w:p>
      <w:pPr>
        <w:spacing w:line="196" w:lineRule="exact" w:before="0"/>
        <w:ind w:left="197" w:right="0" w:firstLine="0"/>
        <w:jc w:val="left"/>
        <w:rPr>
          <w:sz w:val="16"/>
        </w:rPr>
      </w:pPr>
      <w:hyperlink w:history="true" w:anchor="_bookmark353">
        <w:r>
          <w:rPr>
            <w:color w:val="231F20"/>
            <w:sz w:val="16"/>
          </w:rPr>
          <w:t>Technotes</w:t>
        </w:r>
        <w:r>
          <w:rPr>
            <w:color w:val="231F20"/>
            <w:spacing w:val="76"/>
            <w:w w:val="150"/>
            <w:sz w:val="16"/>
          </w:rPr>
          <w:t> </w:t>
        </w:r>
        <w:r>
          <w:rPr>
            <w:color w:val="231F20"/>
            <w:spacing w:val="-5"/>
            <w:sz w:val="16"/>
          </w:rPr>
          <w:t>457</w:t>
        </w:r>
      </w:hyperlink>
    </w:p>
    <w:p>
      <w:pPr>
        <w:spacing w:line="220" w:lineRule="auto" w:before="5"/>
        <w:ind w:left="436" w:right="433" w:hanging="240"/>
        <w:jc w:val="left"/>
        <w:rPr>
          <w:sz w:val="16"/>
        </w:rPr>
      </w:pPr>
      <w:r>
        <w:rPr>
          <w:color w:val="231F20"/>
          <w:sz w:val="16"/>
        </w:rPr>
        <w:t>Terminal</w:t>
      </w:r>
      <w:r>
        <w:rPr>
          <w:color w:val="231F20"/>
          <w:spacing w:val="-6"/>
          <w:sz w:val="16"/>
        </w:rPr>
        <w:t> </w:t>
      </w:r>
      <w:r>
        <w:rPr>
          <w:color w:val="231F20"/>
          <w:sz w:val="16"/>
        </w:rPr>
        <w:t>Emulator</w:t>
      </w:r>
      <w:r>
        <w:rPr>
          <w:color w:val="231F20"/>
          <w:spacing w:val="-6"/>
          <w:sz w:val="16"/>
        </w:rPr>
        <w:t> </w:t>
      </w:r>
      <w:r>
        <w:rPr>
          <w:color w:val="231F20"/>
          <w:sz w:val="16"/>
        </w:rPr>
        <w:t>scripting</w:t>
      </w:r>
      <w:r>
        <w:rPr>
          <w:color w:val="231F20"/>
          <w:spacing w:val="-5"/>
          <w:sz w:val="16"/>
        </w:rPr>
        <w:t> </w:t>
      </w:r>
      <w:r>
        <w:rPr>
          <w:color w:val="231F20"/>
          <w:sz w:val="16"/>
        </w:rPr>
        <w:t>language</w:t>
      </w:r>
      <w:r>
        <w:rPr>
          <w:color w:val="231F20"/>
          <w:spacing w:val="40"/>
          <w:sz w:val="16"/>
        </w:rPr>
        <w:t> </w:t>
      </w:r>
      <w:hyperlink w:history="true" w:anchor="_bookmark131">
        <w:r>
          <w:rPr>
            <w:color w:val="231F20"/>
            <w:sz w:val="16"/>
          </w:rPr>
          <w:t>constants and variables</w:t>
        </w:r>
        <w:r>
          <w:rPr>
            <w:color w:val="231F20"/>
            <w:spacing w:val="80"/>
            <w:sz w:val="16"/>
          </w:rPr>
          <w:t> </w:t>
        </w:r>
        <w:r>
          <w:rPr>
            <w:color w:val="231F20"/>
            <w:sz w:val="16"/>
          </w:rPr>
          <w:t>175</w:t>
        </w:r>
      </w:hyperlink>
    </w:p>
    <w:p>
      <w:pPr>
        <w:spacing w:line="220" w:lineRule="auto" w:before="2"/>
        <w:ind w:left="436" w:right="914" w:firstLine="0"/>
        <w:jc w:val="left"/>
        <w:rPr>
          <w:sz w:val="16"/>
        </w:rPr>
      </w:pPr>
      <w:hyperlink w:history="true" w:anchor="_bookmark133">
        <w:r>
          <w:rPr>
            <w:color w:val="231F20"/>
            <w:sz w:val="16"/>
          </w:rPr>
          <w:t>flow control statements</w:t>
        </w:r>
        <w:r>
          <w:rPr>
            <w:color w:val="231F20"/>
            <w:spacing w:val="80"/>
            <w:sz w:val="16"/>
          </w:rPr>
          <w:t> </w:t>
        </w:r>
        <w:r>
          <w:rPr>
            <w:color w:val="231F20"/>
            <w:sz w:val="16"/>
          </w:rPr>
          <w:t>179</w:t>
        </w:r>
      </w:hyperlink>
      <w:r>
        <w:rPr>
          <w:color w:val="231F20"/>
          <w:spacing w:val="40"/>
          <w:sz w:val="16"/>
        </w:rPr>
        <w:t> </w:t>
      </w:r>
      <w:hyperlink w:history="true" w:anchor="_bookmark132">
        <w:r>
          <w:rPr>
            <w:color w:val="231F20"/>
            <w:sz w:val="16"/>
          </w:rPr>
          <w:t>operators and expressions</w:t>
        </w:r>
        <w:r>
          <w:rPr>
            <w:color w:val="231F20"/>
            <w:spacing w:val="80"/>
            <w:sz w:val="16"/>
          </w:rPr>
          <w:t> </w:t>
        </w:r>
        <w:r>
          <w:rPr>
            <w:color w:val="231F20"/>
            <w:sz w:val="16"/>
          </w:rPr>
          <w:t>176</w:t>
        </w:r>
      </w:hyperlink>
      <w:r>
        <w:rPr>
          <w:color w:val="231F20"/>
          <w:spacing w:val="40"/>
          <w:sz w:val="16"/>
        </w:rPr>
        <w:t> </w:t>
      </w:r>
      <w:hyperlink w:history="true" w:anchor="_bookmark130">
        <w:r>
          <w:rPr>
            <w:color w:val="231F20"/>
            <w:sz w:val="16"/>
          </w:rPr>
          <w:t>script syntax</w:t>
        </w:r>
        <w:r>
          <w:rPr>
            <w:color w:val="231F20"/>
            <w:spacing w:val="80"/>
            <w:sz w:val="16"/>
          </w:rPr>
          <w:t> </w:t>
        </w:r>
        <w:r>
          <w:rPr>
            <w:color w:val="231F20"/>
            <w:sz w:val="16"/>
          </w:rPr>
          <w:t>174</w:t>
        </w:r>
      </w:hyperlink>
    </w:p>
    <w:p>
      <w:pPr>
        <w:spacing w:line="197" w:lineRule="exact" w:before="0"/>
        <w:ind w:left="15" w:right="1856" w:firstLine="0"/>
        <w:jc w:val="center"/>
        <w:rPr>
          <w:sz w:val="16"/>
        </w:rPr>
      </w:pPr>
      <w:hyperlink w:history="true" w:anchor="_bookmark124">
        <w:r>
          <w:rPr>
            <w:color w:val="231F20"/>
            <w:sz w:val="16"/>
          </w:rPr>
          <w:t>terminal</w:t>
        </w:r>
        <w:r>
          <w:rPr>
            <w:color w:val="231F20"/>
            <w:spacing w:val="10"/>
            <w:sz w:val="16"/>
          </w:rPr>
          <w:t> </w:t>
        </w:r>
        <w:r>
          <w:rPr>
            <w:color w:val="231F20"/>
            <w:sz w:val="16"/>
          </w:rPr>
          <w:t>view</w:t>
        </w:r>
        <w:r>
          <w:rPr>
            <w:color w:val="231F20"/>
            <w:spacing w:val="36"/>
            <w:sz w:val="16"/>
          </w:rPr>
          <w:t>  </w:t>
        </w:r>
        <w:r>
          <w:rPr>
            <w:color w:val="231F20"/>
            <w:spacing w:val="-5"/>
            <w:sz w:val="16"/>
          </w:rPr>
          <w:t>167</w:t>
        </w:r>
      </w:hyperlink>
    </w:p>
    <w:p>
      <w:pPr>
        <w:spacing w:line="200" w:lineRule="exact" w:before="0"/>
        <w:ind w:left="0" w:right="1856" w:firstLine="0"/>
        <w:jc w:val="center"/>
        <w:rPr>
          <w:sz w:val="16"/>
        </w:rPr>
      </w:pPr>
      <w:hyperlink w:history="true" w:anchor="_bookmark125">
        <w:r>
          <w:rPr>
            <w:color w:val="231F20"/>
            <w:sz w:val="16"/>
          </w:rPr>
          <w:t>adding</w:t>
        </w:r>
        <w:r>
          <w:rPr>
            <w:color w:val="231F20"/>
            <w:spacing w:val="36"/>
            <w:sz w:val="16"/>
          </w:rPr>
          <w:t>  </w:t>
        </w:r>
        <w:r>
          <w:rPr>
            <w:color w:val="231F20"/>
            <w:spacing w:val="-5"/>
            <w:sz w:val="16"/>
          </w:rPr>
          <w:t>168</w:t>
        </w:r>
      </w:hyperlink>
    </w:p>
    <w:p>
      <w:pPr>
        <w:spacing w:line="200" w:lineRule="exact" w:before="0"/>
        <w:ind w:left="436" w:right="0" w:firstLine="0"/>
        <w:jc w:val="left"/>
        <w:rPr>
          <w:sz w:val="16"/>
        </w:rPr>
      </w:pPr>
      <w:hyperlink w:history="true" w:anchor="_bookmark128">
        <w:r>
          <w:rPr>
            <w:color w:val="231F20"/>
            <w:sz w:val="16"/>
          </w:rPr>
          <w:t>managing</w:t>
        </w:r>
        <w:r>
          <w:rPr>
            <w:color w:val="231F20"/>
            <w:spacing w:val="10"/>
            <w:sz w:val="16"/>
          </w:rPr>
          <w:t> </w:t>
        </w:r>
        <w:r>
          <w:rPr>
            <w:color w:val="231F20"/>
            <w:sz w:val="16"/>
          </w:rPr>
          <w:t>scripts</w:t>
        </w:r>
        <w:r>
          <w:rPr>
            <w:color w:val="231F20"/>
            <w:spacing w:val="35"/>
            <w:sz w:val="16"/>
          </w:rPr>
          <w:t>  </w:t>
        </w:r>
        <w:r>
          <w:rPr>
            <w:color w:val="231F20"/>
            <w:spacing w:val="-5"/>
            <w:sz w:val="16"/>
          </w:rPr>
          <w:t>172</w:t>
        </w:r>
      </w:hyperlink>
    </w:p>
    <w:p>
      <w:pPr>
        <w:spacing w:line="220" w:lineRule="auto" w:before="5"/>
        <w:ind w:left="436" w:right="1444" w:firstLine="0"/>
        <w:jc w:val="left"/>
        <w:rPr>
          <w:sz w:val="16"/>
        </w:rPr>
      </w:pPr>
      <w:hyperlink w:history="true" w:anchor="_bookmark127">
        <w:r>
          <w:rPr>
            <w:color w:val="231F20"/>
            <w:sz w:val="16"/>
          </w:rPr>
          <w:t>properties</w:t>
        </w:r>
        <w:r>
          <w:rPr>
            <w:color w:val="231F20"/>
            <w:spacing w:val="80"/>
            <w:sz w:val="16"/>
          </w:rPr>
          <w:t> </w:t>
        </w:r>
        <w:r>
          <w:rPr>
            <w:color w:val="231F20"/>
            <w:sz w:val="16"/>
          </w:rPr>
          <w:t>170</w:t>
        </w:r>
      </w:hyperlink>
      <w:r>
        <w:rPr>
          <w:color w:val="231F20"/>
          <w:spacing w:val="40"/>
          <w:sz w:val="16"/>
        </w:rPr>
        <w:t> </w:t>
      </w:r>
      <w:hyperlink w:history="true" w:anchor="_bookmark128">
        <w:r>
          <w:rPr>
            <w:color w:val="231F20"/>
            <w:sz w:val="16"/>
          </w:rPr>
          <w:t>recording a script</w:t>
        </w:r>
        <w:r>
          <w:rPr>
            <w:color w:val="231F20"/>
            <w:spacing w:val="80"/>
            <w:sz w:val="16"/>
          </w:rPr>
          <w:t> </w:t>
        </w:r>
        <w:r>
          <w:rPr>
            <w:color w:val="231F20"/>
            <w:sz w:val="16"/>
          </w:rPr>
          <w:t>172</w:t>
        </w:r>
      </w:hyperlink>
      <w:r>
        <w:rPr>
          <w:color w:val="231F20"/>
          <w:spacing w:val="40"/>
          <w:sz w:val="16"/>
        </w:rPr>
        <w:t> </w:t>
      </w:r>
      <w:hyperlink w:history="true" w:anchor="_bookmark128">
        <w:r>
          <w:rPr>
            <w:color w:val="231F20"/>
            <w:sz w:val="16"/>
          </w:rPr>
          <w:t>running a script</w:t>
        </w:r>
        <w:r>
          <w:rPr>
            <w:color w:val="231F20"/>
            <w:spacing w:val="80"/>
            <w:sz w:val="16"/>
          </w:rPr>
          <w:t> </w:t>
        </w:r>
        <w:r>
          <w:rPr>
            <w:color w:val="231F20"/>
            <w:sz w:val="16"/>
          </w:rPr>
          <w:t>172</w:t>
        </w:r>
      </w:hyperlink>
      <w:r>
        <w:rPr>
          <w:color w:val="231F20"/>
          <w:spacing w:val="40"/>
          <w:sz w:val="16"/>
        </w:rPr>
        <w:t> </w:t>
      </w:r>
      <w:hyperlink w:history="true" w:anchor="_bookmark135">
        <w:r>
          <w:rPr>
            <w:color w:val="231F20"/>
            <w:sz w:val="16"/>
          </w:rPr>
          <w:t>script functions</w:t>
        </w:r>
        <w:r>
          <w:rPr>
            <w:color w:val="231F20"/>
            <w:spacing w:val="80"/>
            <w:sz w:val="16"/>
          </w:rPr>
          <w:t> </w:t>
        </w:r>
        <w:r>
          <w:rPr>
            <w:color w:val="231F20"/>
            <w:sz w:val="16"/>
          </w:rPr>
          <w:t>182</w:t>
        </w:r>
      </w:hyperlink>
    </w:p>
    <w:p>
      <w:pPr>
        <w:spacing w:line="220" w:lineRule="auto" w:before="4"/>
        <w:ind w:left="436" w:right="1182" w:firstLine="0"/>
        <w:jc w:val="left"/>
        <w:rPr>
          <w:sz w:val="16"/>
        </w:rPr>
      </w:pPr>
      <w:hyperlink w:history="true" w:anchor="_bookmark129">
        <w:r>
          <w:rPr>
            <w:color w:val="231F20"/>
            <w:sz w:val="16"/>
          </w:rPr>
          <w:t>scripting language</w:t>
        </w:r>
        <w:r>
          <w:rPr>
            <w:color w:val="231F20"/>
            <w:spacing w:val="80"/>
            <w:sz w:val="16"/>
          </w:rPr>
          <w:t> </w:t>
        </w:r>
        <w:r>
          <w:rPr>
            <w:color w:val="231F20"/>
            <w:sz w:val="16"/>
          </w:rPr>
          <w:t>173</w:t>
        </w:r>
      </w:hyperlink>
      <w:r>
        <w:rPr>
          <w:color w:val="231F20"/>
          <w:spacing w:val="40"/>
          <w:sz w:val="16"/>
        </w:rPr>
        <w:t> </w:t>
      </w:r>
      <w:hyperlink w:history="true" w:anchor="_bookmark126">
        <w:r>
          <w:rPr>
            <w:color w:val="231F20"/>
            <w:sz w:val="16"/>
          </w:rPr>
          <w:t>what the view shows</w:t>
        </w:r>
        <w:r>
          <w:rPr>
            <w:color w:val="231F20"/>
            <w:spacing w:val="80"/>
            <w:sz w:val="16"/>
          </w:rPr>
          <w:t> </w:t>
        </w:r>
        <w:r>
          <w:rPr>
            <w:color w:val="231F20"/>
            <w:sz w:val="16"/>
          </w:rPr>
          <w:t>169</w:t>
        </w:r>
      </w:hyperlink>
    </w:p>
    <w:p>
      <w:pPr>
        <w:spacing w:line="220" w:lineRule="auto" w:before="2"/>
        <w:ind w:left="436" w:right="1668" w:hanging="240"/>
        <w:jc w:val="left"/>
        <w:rPr>
          <w:sz w:val="16"/>
        </w:rPr>
      </w:pPr>
      <w:r>
        <w:rPr>
          <w:color w:val="231F20"/>
          <w:sz w:val="16"/>
        </w:rPr>
        <w:t>text scripting language</w:t>
      </w:r>
      <w:r>
        <w:rPr>
          <w:color w:val="231F20"/>
          <w:spacing w:val="40"/>
          <w:sz w:val="16"/>
        </w:rPr>
        <w:t> </w:t>
      </w:r>
      <w:hyperlink w:history="true" w:anchor="_bookmark202">
        <w:r>
          <w:rPr>
            <w:color w:val="231F20"/>
            <w:sz w:val="16"/>
          </w:rPr>
          <w:t>in expert advice</w:t>
        </w:r>
        <w:r>
          <w:rPr>
            <w:color w:val="231F20"/>
            <w:spacing w:val="80"/>
            <w:sz w:val="16"/>
          </w:rPr>
          <w:t> </w:t>
        </w:r>
        <w:r>
          <w:rPr>
            <w:color w:val="231F20"/>
            <w:sz w:val="16"/>
          </w:rPr>
          <w:t>272</w:t>
        </w:r>
      </w:hyperlink>
    </w:p>
    <w:p>
      <w:pPr>
        <w:spacing w:line="196" w:lineRule="exact" w:before="0"/>
        <w:ind w:left="197" w:right="0" w:firstLine="0"/>
        <w:jc w:val="left"/>
        <w:rPr>
          <w:sz w:val="16"/>
        </w:rPr>
      </w:pPr>
      <w:r>
        <w:rPr>
          <w:color w:val="231F20"/>
          <w:spacing w:val="-2"/>
          <w:sz w:val="16"/>
        </w:rPr>
        <w:t>thresholds</w:t>
      </w:r>
    </w:p>
    <w:p>
      <w:pPr>
        <w:spacing w:line="200" w:lineRule="exact" w:before="0"/>
        <w:ind w:left="436" w:right="0" w:firstLine="0"/>
        <w:jc w:val="left"/>
        <w:rPr>
          <w:sz w:val="16"/>
        </w:rPr>
      </w:pPr>
      <w:hyperlink w:history="true" w:anchor="_bookmark88">
        <w:r>
          <w:rPr>
            <w:color w:val="231F20"/>
            <w:sz w:val="16"/>
          </w:rPr>
          <w:t>chart</w:t>
        </w:r>
        <w:r>
          <w:rPr>
            <w:color w:val="231F20"/>
            <w:spacing w:val="37"/>
            <w:sz w:val="16"/>
          </w:rPr>
          <w:t>  </w:t>
        </w:r>
        <w:r>
          <w:rPr>
            <w:color w:val="231F20"/>
            <w:spacing w:val="-5"/>
            <w:sz w:val="16"/>
          </w:rPr>
          <w:t>117</w:t>
        </w:r>
      </w:hyperlink>
    </w:p>
    <w:p>
      <w:pPr>
        <w:spacing w:line="220" w:lineRule="auto" w:before="6"/>
        <w:ind w:left="436" w:right="826" w:firstLine="0"/>
        <w:jc w:val="left"/>
        <w:rPr>
          <w:sz w:val="16"/>
        </w:rPr>
      </w:pPr>
      <w:hyperlink w:history="true" w:anchor="_bookmark218">
        <w:r>
          <w:rPr>
            <w:color w:val="231F20"/>
            <w:sz w:val="16"/>
          </w:rPr>
          <w:t>creating dynamic situation</w:t>
        </w:r>
        <w:r>
          <w:rPr>
            <w:color w:val="231F20"/>
            <w:spacing w:val="80"/>
            <w:sz w:val="16"/>
          </w:rPr>
          <w:t> </w:t>
        </w:r>
        <w:r>
          <w:rPr>
            <w:color w:val="231F20"/>
            <w:sz w:val="16"/>
          </w:rPr>
          <w:t>295</w:t>
        </w:r>
      </w:hyperlink>
      <w:r>
        <w:rPr>
          <w:color w:val="231F20"/>
          <w:spacing w:val="40"/>
          <w:sz w:val="16"/>
        </w:rPr>
        <w:t> </w:t>
      </w:r>
      <w:hyperlink w:history="true" w:anchor="_bookmark221">
        <w:r>
          <w:rPr>
            <w:color w:val="231F20"/>
            <w:sz w:val="16"/>
          </w:rPr>
          <w:t>enabling or disabling dynamic</w:t>
        </w:r>
      </w:hyperlink>
    </w:p>
    <w:p>
      <w:pPr>
        <w:spacing w:line="196" w:lineRule="exact" w:before="0"/>
        <w:ind w:left="556" w:right="0" w:firstLine="0"/>
        <w:jc w:val="left"/>
        <w:rPr>
          <w:sz w:val="16"/>
        </w:rPr>
      </w:pPr>
      <w:hyperlink w:history="true" w:anchor="_bookmark221">
        <w:r>
          <w:rPr>
            <w:color w:val="231F20"/>
            <w:sz w:val="16"/>
          </w:rPr>
          <w:t>situation</w:t>
        </w:r>
        <w:r>
          <w:rPr>
            <w:color w:val="231F20"/>
            <w:spacing w:val="36"/>
            <w:sz w:val="16"/>
          </w:rPr>
          <w:t>  </w:t>
        </w:r>
        <w:r>
          <w:rPr>
            <w:color w:val="231F20"/>
            <w:spacing w:val="-5"/>
            <w:sz w:val="16"/>
          </w:rPr>
          <w:t>298</w:t>
        </w:r>
      </w:hyperlink>
    </w:p>
    <w:p>
      <w:pPr>
        <w:spacing w:line="200" w:lineRule="exact" w:before="0"/>
        <w:ind w:left="436" w:right="0" w:firstLine="0"/>
        <w:jc w:val="left"/>
        <w:rPr>
          <w:sz w:val="16"/>
        </w:rPr>
      </w:pPr>
      <w:hyperlink w:history="true" w:anchor="_bookmark318">
        <w:r>
          <w:rPr>
            <w:color w:val="231F20"/>
            <w:sz w:val="16"/>
          </w:rPr>
          <w:t>formula</w:t>
        </w:r>
        <w:r>
          <w:rPr>
            <w:color w:val="231F20"/>
            <w:spacing w:val="9"/>
            <w:sz w:val="16"/>
          </w:rPr>
          <w:t> </w:t>
        </w:r>
        <w:r>
          <w:rPr>
            <w:color w:val="231F20"/>
            <w:sz w:val="16"/>
          </w:rPr>
          <w:t>functions</w:t>
        </w:r>
        <w:r>
          <w:rPr>
            <w:color w:val="231F20"/>
            <w:spacing w:val="35"/>
            <w:sz w:val="16"/>
          </w:rPr>
          <w:t>  </w:t>
        </w:r>
        <w:r>
          <w:rPr>
            <w:color w:val="231F20"/>
            <w:spacing w:val="-5"/>
            <w:sz w:val="16"/>
          </w:rPr>
          <w:t>411</w:t>
        </w:r>
      </w:hyperlink>
    </w:p>
    <w:p>
      <w:pPr>
        <w:spacing w:line="220" w:lineRule="auto" w:before="5"/>
        <w:ind w:left="436" w:right="213" w:firstLine="0"/>
        <w:jc w:val="left"/>
        <w:rPr>
          <w:sz w:val="16"/>
        </w:rPr>
      </w:pPr>
      <w:hyperlink w:history="true" w:anchor="_bookmark227">
        <w:r>
          <w:rPr>
            <w:color w:val="231F20"/>
            <w:sz w:val="16"/>
          </w:rPr>
          <w:t>model expression overrides</w:t>
        </w:r>
        <w:r>
          <w:rPr>
            <w:color w:val="231F20"/>
            <w:spacing w:val="80"/>
            <w:sz w:val="16"/>
          </w:rPr>
          <w:t> </w:t>
        </w:r>
        <w:r>
          <w:rPr>
            <w:color w:val="231F20"/>
            <w:sz w:val="16"/>
          </w:rPr>
          <w:t>305</w:t>
        </w:r>
      </w:hyperlink>
      <w:r>
        <w:rPr>
          <w:color w:val="231F20"/>
          <w:spacing w:val="40"/>
          <w:sz w:val="16"/>
        </w:rPr>
        <w:t> </w:t>
      </w:r>
      <w:hyperlink w:history="true" w:anchor="_bookmark222">
        <w:r>
          <w:rPr>
            <w:color w:val="231F20"/>
            <w:sz w:val="16"/>
          </w:rPr>
          <w:t>removing</w:t>
        </w:r>
        <w:r>
          <w:rPr>
            <w:color w:val="231F20"/>
            <w:spacing w:val="8"/>
            <w:sz w:val="16"/>
          </w:rPr>
          <w:t> </w:t>
        </w:r>
        <w:r>
          <w:rPr>
            <w:color w:val="231F20"/>
            <w:sz w:val="16"/>
          </w:rPr>
          <w:t>dynamic</w:t>
        </w:r>
        <w:r>
          <w:rPr>
            <w:color w:val="231F20"/>
            <w:spacing w:val="9"/>
            <w:sz w:val="16"/>
          </w:rPr>
          <w:t> </w:t>
        </w:r>
        <w:r>
          <w:rPr>
            <w:color w:val="231F20"/>
            <w:sz w:val="16"/>
          </w:rPr>
          <w:t>situation</w:t>
        </w:r>
        <w:r>
          <w:rPr>
            <w:color w:val="231F20"/>
            <w:spacing w:val="32"/>
            <w:sz w:val="16"/>
          </w:rPr>
          <w:t>  </w:t>
        </w:r>
        <w:r>
          <w:rPr>
            <w:color w:val="231F20"/>
            <w:spacing w:val="-5"/>
            <w:sz w:val="16"/>
          </w:rPr>
          <w:t>299</w:t>
        </w:r>
      </w:hyperlink>
    </w:p>
    <w:p>
      <w:pPr>
        <w:spacing w:line="220" w:lineRule="auto" w:before="2"/>
        <w:ind w:left="197" w:right="914" w:firstLine="0"/>
        <w:jc w:val="left"/>
        <w:rPr>
          <w:sz w:val="16"/>
        </w:rPr>
      </w:pPr>
      <w:hyperlink w:history="true" w:anchor="_bookmark330">
        <w:r>
          <w:rPr>
            <w:color w:val="231F20"/>
            <w:sz w:val="16"/>
          </w:rPr>
          <w:t>TIME formula function</w:t>
        </w:r>
        <w:r>
          <w:rPr>
            <w:color w:val="231F20"/>
            <w:spacing w:val="80"/>
            <w:sz w:val="16"/>
          </w:rPr>
          <w:t> </w:t>
        </w:r>
        <w:r>
          <w:rPr>
            <w:color w:val="231F20"/>
            <w:sz w:val="16"/>
          </w:rPr>
          <w:t>421</w:t>
        </w:r>
      </w:hyperlink>
      <w:r>
        <w:rPr>
          <w:color w:val="231F20"/>
          <w:spacing w:val="40"/>
          <w:sz w:val="16"/>
        </w:rPr>
        <w:t> </w:t>
      </w:r>
      <w:hyperlink w:history="true" w:anchor="_bookmark331">
        <w:r>
          <w:rPr>
            <w:color w:val="231F20"/>
            <w:sz w:val="16"/>
          </w:rPr>
          <w:t>TIMESPAN formula function</w:t>
        </w:r>
        <w:r>
          <w:rPr>
            <w:color w:val="231F20"/>
            <w:spacing w:val="80"/>
            <w:sz w:val="16"/>
          </w:rPr>
          <w:t> </w:t>
        </w:r>
        <w:r>
          <w:rPr>
            <w:color w:val="231F20"/>
            <w:sz w:val="16"/>
          </w:rPr>
          <w:t>422</w:t>
        </w:r>
      </w:hyperlink>
      <w:r>
        <w:rPr>
          <w:color w:val="231F20"/>
          <w:spacing w:val="40"/>
          <w:sz w:val="16"/>
        </w:rPr>
        <w:t> </w:t>
      </w:r>
      <w:hyperlink w:history="true" w:anchor="_bookmark319">
        <w:r>
          <w:rPr>
            <w:color w:val="231F20"/>
            <w:sz w:val="16"/>
          </w:rPr>
          <w:t>timestamp attributes</w:t>
        </w:r>
        <w:r>
          <w:rPr>
            <w:color w:val="231F20"/>
            <w:spacing w:val="80"/>
            <w:sz w:val="16"/>
          </w:rPr>
          <w:t> </w:t>
        </w:r>
        <w:r>
          <w:rPr>
            <w:color w:val="231F20"/>
            <w:sz w:val="16"/>
          </w:rPr>
          <w:t>413</w:t>
        </w:r>
      </w:hyperlink>
    </w:p>
    <w:p>
      <w:pPr>
        <w:spacing w:line="197" w:lineRule="exact" w:before="0"/>
        <w:ind w:left="197" w:right="0" w:firstLine="0"/>
        <w:jc w:val="left"/>
        <w:rPr>
          <w:sz w:val="16"/>
        </w:rPr>
      </w:pPr>
      <w:hyperlink w:history="true" w:anchor="_bookmark3">
        <w:r>
          <w:rPr>
            <w:color w:val="231F20"/>
            <w:sz w:val="16"/>
          </w:rPr>
          <w:t>title</w:t>
        </w:r>
        <w:r>
          <w:rPr>
            <w:color w:val="231F20"/>
            <w:spacing w:val="11"/>
            <w:sz w:val="16"/>
          </w:rPr>
          <w:t> </w:t>
        </w:r>
        <w:r>
          <w:rPr>
            <w:color w:val="231F20"/>
            <w:sz w:val="16"/>
          </w:rPr>
          <w:t>bar</w:t>
        </w:r>
        <w:r>
          <w:rPr>
            <w:color w:val="231F20"/>
            <w:spacing w:val="37"/>
            <w:sz w:val="16"/>
          </w:rPr>
          <w:t>  </w:t>
        </w:r>
        <w:r>
          <w:rPr>
            <w:color w:val="231F20"/>
            <w:spacing w:val="-10"/>
            <w:sz w:val="16"/>
          </w:rPr>
          <w:t>3</w:t>
        </w:r>
      </w:hyperlink>
    </w:p>
    <w:p>
      <w:pPr>
        <w:spacing w:line="220" w:lineRule="auto" w:before="5"/>
        <w:ind w:left="436" w:right="1990" w:hanging="240"/>
        <w:jc w:val="left"/>
        <w:rPr>
          <w:sz w:val="16"/>
        </w:rPr>
      </w:pPr>
      <w:r>
        <w:rPr>
          <w:color w:val="231F20"/>
          <w:sz w:val="16"/>
        </w:rPr>
        <w:t>title</w:t>
      </w:r>
      <w:r>
        <w:rPr>
          <w:color w:val="231F20"/>
          <w:spacing w:val="-1"/>
          <w:sz w:val="16"/>
        </w:rPr>
        <w:t> </w:t>
      </w:r>
      <w:r>
        <w:rPr>
          <w:color w:val="231F20"/>
          <w:sz w:val="16"/>
        </w:rPr>
        <w:t>bar</w:t>
      </w:r>
      <w:r>
        <w:rPr>
          <w:color w:val="231F20"/>
          <w:spacing w:val="-1"/>
          <w:sz w:val="16"/>
        </w:rPr>
        <w:t> </w:t>
      </w:r>
      <w:r>
        <w:rPr>
          <w:color w:val="231F20"/>
          <w:sz w:val="16"/>
        </w:rPr>
        <w:t>and</w:t>
      </w:r>
      <w:r>
        <w:rPr>
          <w:color w:val="231F20"/>
          <w:spacing w:val="-1"/>
          <w:sz w:val="16"/>
        </w:rPr>
        <w:t> </w:t>
      </w:r>
      <w:r>
        <w:rPr>
          <w:color w:val="231F20"/>
          <w:sz w:val="16"/>
        </w:rPr>
        <w:t>toolbar</w:t>
      </w:r>
      <w:r>
        <w:rPr>
          <w:color w:val="231F20"/>
          <w:spacing w:val="40"/>
          <w:sz w:val="16"/>
        </w:rPr>
        <w:t> </w:t>
      </w:r>
      <w:hyperlink w:history="true" w:anchor="_bookmark31">
        <w:r>
          <w:rPr>
            <w:color w:val="231F20"/>
            <w:sz w:val="16"/>
          </w:rPr>
          <w:t>view</w:t>
        </w:r>
        <w:r>
          <w:rPr>
            <w:color w:val="231F20"/>
            <w:spacing w:val="80"/>
            <w:sz w:val="16"/>
          </w:rPr>
          <w:t> </w:t>
        </w:r>
        <w:r>
          <w:rPr>
            <w:color w:val="231F20"/>
            <w:sz w:val="16"/>
          </w:rPr>
          <w:t>41</w:t>
        </w:r>
      </w:hyperlink>
    </w:p>
    <w:p>
      <w:pPr>
        <w:spacing w:line="196" w:lineRule="exact" w:before="0"/>
        <w:ind w:left="197" w:right="0" w:firstLine="0"/>
        <w:jc w:val="left"/>
        <w:rPr>
          <w:sz w:val="16"/>
        </w:rPr>
      </w:pPr>
      <w:hyperlink w:history="true" w:anchor="_bookmark86">
        <w:r>
          <w:rPr>
            <w:color w:val="231F20"/>
            <w:sz w:val="16"/>
          </w:rPr>
          <w:t>title</w:t>
        </w:r>
        <w:r>
          <w:rPr>
            <w:color w:val="231F20"/>
            <w:spacing w:val="11"/>
            <w:sz w:val="16"/>
          </w:rPr>
          <w:t> </w:t>
        </w:r>
        <w:r>
          <w:rPr>
            <w:color w:val="231F20"/>
            <w:sz w:val="16"/>
          </w:rPr>
          <w:t>of</w:t>
        </w:r>
        <w:r>
          <w:rPr>
            <w:color w:val="231F20"/>
            <w:spacing w:val="12"/>
            <w:sz w:val="16"/>
          </w:rPr>
          <w:t> </w:t>
        </w:r>
        <w:r>
          <w:rPr>
            <w:color w:val="231F20"/>
            <w:sz w:val="16"/>
          </w:rPr>
          <w:t>a</w:t>
        </w:r>
        <w:r>
          <w:rPr>
            <w:color w:val="231F20"/>
            <w:spacing w:val="11"/>
            <w:sz w:val="16"/>
          </w:rPr>
          <w:t> </w:t>
        </w:r>
        <w:r>
          <w:rPr>
            <w:color w:val="231F20"/>
            <w:sz w:val="16"/>
          </w:rPr>
          <w:t>view</w:t>
        </w:r>
        <w:r>
          <w:rPr>
            <w:color w:val="231F20"/>
            <w:spacing w:val="37"/>
            <w:sz w:val="16"/>
          </w:rPr>
          <w:t>  </w:t>
        </w:r>
        <w:r>
          <w:rPr>
            <w:color w:val="231F20"/>
            <w:spacing w:val="-5"/>
            <w:sz w:val="16"/>
          </w:rPr>
          <w:t>115</w:t>
        </w:r>
      </w:hyperlink>
    </w:p>
    <w:p>
      <w:pPr>
        <w:spacing w:line="220" w:lineRule="auto" w:before="5"/>
        <w:ind w:left="317" w:right="0" w:hanging="120"/>
        <w:jc w:val="left"/>
        <w:rPr>
          <w:sz w:val="16"/>
        </w:rPr>
      </w:pPr>
      <w:hyperlink w:history="true" w:anchor="_bookmark262">
        <w:r>
          <w:rPr>
            <w:color w:val="231F20"/>
            <w:sz w:val="16"/>
          </w:rPr>
          <w:t>Tivoli</w:t>
        </w:r>
        <w:r>
          <w:rPr>
            <w:color w:val="231F20"/>
            <w:spacing w:val="-10"/>
            <w:sz w:val="16"/>
          </w:rPr>
          <w:t> </w:t>
        </w:r>
        <w:r>
          <w:rPr>
            <w:color w:val="231F20"/>
            <w:sz w:val="16"/>
          </w:rPr>
          <w:t>Application</w:t>
        </w:r>
        <w:r>
          <w:rPr>
            <w:color w:val="231F20"/>
            <w:spacing w:val="-5"/>
            <w:sz w:val="16"/>
          </w:rPr>
          <w:t> </w:t>
        </w:r>
        <w:r>
          <w:rPr>
            <w:color w:val="231F20"/>
            <w:sz w:val="16"/>
          </w:rPr>
          <w:t>Dependency</w:t>
        </w:r>
        <w:r>
          <w:rPr>
            <w:color w:val="231F20"/>
            <w:spacing w:val="-6"/>
            <w:sz w:val="16"/>
          </w:rPr>
          <w:t> </w:t>
        </w:r>
        <w:r>
          <w:rPr>
            <w:color w:val="231F20"/>
            <w:sz w:val="16"/>
          </w:rPr>
          <w:t>Discovery</w:t>
        </w:r>
      </w:hyperlink>
      <w:r>
        <w:rPr>
          <w:color w:val="231F20"/>
          <w:spacing w:val="40"/>
          <w:sz w:val="16"/>
        </w:rPr>
        <w:t> </w:t>
      </w:r>
      <w:hyperlink w:history="true" w:anchor="_bookmark262">
        <w:r>
          <w:rPr>
            <w:color w:val="231F20"/>
            <w:sz w:val="16"/>
          </w:rPr>
          <w:t>Manager</w:t>
        </w:r>
        <w:r>
          <w:rPr>
            <w:color w:val="231F20"/>
            <w:spacing w:val="80"/>
            <w:sz w:val="16"/>
          </w:rPr>
          <w:t> </w:t>
        </w:r>
        <w:r>
          <w:rPr>
            <w:color w:val="231F20"/>
            <w:sz w:val="16"/>
          </w:rPr>
          <w:t>351</w:t>
        </w:r>
      </w:hyperlink>
    </w:p>
    <w:p>
      <w:pPr>
        <w:spacing w:line="196" w:lineRule="exact" w:before="0"/>
        <w:ind w:left="436" w:right="0" w:firstLine="0"/>
        <w:jc w:val="left"/>
        <w:rPr>
          <w:sz w:val="16"/>
        </w:rPr>
      </w:pPr>
      <w:hyperlink w:history="true" w:anchor="_bookmark260">
        <w:r>
          <w:rPr>
            <w:rFonts w:ascii="Book Antiqua"/>
            <w:i/>
            <w:color w:val="231F20"/>
            <w:sz w:val="16"/>
          </w:rPr>
          <w:t>See</w:t>
        </w:r>
        <w:r>
          <w:rPr>
            <w:rFonts w:ascii="Book Antiqua"/>
            <w:i/>
            <w:color w:val="231F20"/>
            <w:spacing w:val="10"/>
            <w:sz w:val="16"/>
          </w:rPr>
          <w:t> </w:t>
        </w:r>
        <w:r>
          <w:rPr>
            <w:color w:val="231F20"/>
            <w:spacing w:val="-4"/>
            <w:sz w:val="16"/>
          </w:rPr>
          <w:t>TADDM</w:t>
        </w:r>
      </w:hyperlink>
    </w:p>
    <w:p>
      <w:pPr>
        <w:spacing w:line="220" w:lineRule="auto" w:before="6"/>
        <w:ind w:left="317" w:right="914" w:hanging="120"/>
        <w:jc w:val="left"/>
        <w:rPr>
          <w:sz w:val="16"/>
        </w:rPr>
      </w:pPr>
      <w:hyperlink w:history="true" w:anchor="_bookmark119">
        <w:r>
          <w:rPr>
            <w:color w:val="231F20"/>
            <w:sz w:val="16"/>
          </w:rPr>
          <w:t>Tivoli</w:t>
        </w:r>
        <w:r>
          <w:rPr>
            <w:color w:val="231F20"/>
            <w:spacing w:val="-5"/>
            <w:sz w:val="16"/>
          </w:rPr>
          <w:t> </w:t>
        </w:r>
        <w:r>
          <w:rPr>
            <w:color w:val="231F20"/>
            <w:sz w:val="16"/>
          </w:rPr>
          <w:t>Enterprise</w:t>
        </w:r>
        <w:r>
          <w:rPr>
            <w:color w:val="231F20"/>
            <w:spacing w:val="-5"/>
            <w:sz w:val="16"/>
          </w:rPr>
          <w:t> </w:t>
        </w:r>
        <w:r>
          <w:rPr>
            <w:color w:val="231F20"/>
            <w:sz w:val="16"/>
          </w:rPr>
          <w:t>Console</w:t>
        </w:r>
        <w:r>
          <w:rPr>
            <w:color w:val="231F20"/>
            <w:spacing w:val="-5"/>
            <w:sz w:val="16"/>
          </w:rPr>
          <w:t> </w:t>
        </w:r>
        <w:r>
          <w:rPr>
            <w:color w:val="231F20"/>
            <w:sz w:val="16"/>
          </w:rPr>
          <w:t>event</w:t>
        </w:r>
      </w:hyperlink>
      <w:r>
        <w:rPr>
          <w:color w:val="231F20"/>
          <w:spacing w:val="40"/>
          <w:sz w:val="16"/>
        </w:rPr>
        <w:t> </w:t>
      </w:r>
      <w:hyperlink w:history="true" w:anchor="_bookmark119">
        <w:r>
          <w:rPr>
            <w:color w:val="231F20"/>
            <w:sz w:val="16"/>
          </w:rPr>
          <w:t>viewer</w:t>
        </w:r>
        <w:r>
          <w:rPr>
            <w:color w:val="231F20"/>
            <w:spacing w:val="80"/>
            <w:sz w:val="16"/>
          </w:rPr>
          <w:t> </w:t>
        </w:r>
        <w:r>
          <w:rPr>
            <w:color w:val="231F20"/>
            <w:sz w:val="16"/>
          </w:rPr>
          <w:t>162</w:t>
        </w:r>
      </w:hyperlink>
    </w:p>
    <w:p>
      <w:pPr>
        <w:spacing w:line="196" w:lineRule="exact" w:before="0"/>
        <w:ind w:left="436" w:right="0" w:firstLine="0"/>
        <w:jc w:val="left"/>
        <w:rPr>
          <w:sz w:val="16"/>
        </w:rPr>
      </w:pPr>
      <w:hyperlink w:history="true" w:anchor="_bookmark121">
        <w:r>
          <w:rPr>
            <w:color w:val="231F20"/>
            <w:sz w:val="16"/>
          </w:rPr>
          <w:t>disabled</w:t>
        </w:r>
        <w:r>
          <w:rPr>
            <w:color w:val="231F20"/>
            <w:spacing w:val="10"/>
            <w:sz w:val="16"/>
          </w:rPr>
          <w:t> </w:t>
        </w:r>
        <w:r>
          <w:rPr>
            <w:color w:val="231F20"/>
            <w:sz w:val="16"/>
          </w:rPr>
          <w:t>view</w:t>
        </w:r>
        <w:r>
          <w:rPr>
            <w:color w:val="231F20"/>
            <w:spacing w:val="36"/>
            <w:sz w:val="16"/>
          </w:rPr>
          <w:t>  </w:t>
        </w:r>
        <w:r>
          <w:rPr>
            <w:color w:val="231F20"/>
            <w:spacing w:val="-5"/>
            <w:sz w:val="16"/>
          </w:rPr>
          <w:t>164</w:t>
        </w:r>
      </w:hyperlink>
    </w:p>
    <w:p>
      <w:pPr>
        <w:spacing w:line="220" w:lineRule="auto" w:before="5"/>
        <w:ind w:left="317" w:right="433" w:hanging="120"/>
        <w:jc w:val="left"/>
        <w:rPr>
          <w:sz w:val="16"/>
        </w:rPr>
      </w:pPr>
      <w:hyperlink w:history="true" w:anchor="_bookmark120">
        <w:r>
          <w:rPr>
            <w:color w:val="231F20"/>
            <w:sz w:val="16"/>
          </w:rPr>
          <w:t>Tivoli</w:t>
        </w:r>
        <w:r>
          <w:rPr>
            <w:color w:val="231F20"/>
            <w:spacing w:val="-1"/>
            <w:sz w:val="16"/>
          </w:rPr>
          <w:t> </w:t>
        </w:r>
        <w:r>
          <w:rPr>
            <w:color w:val="231F20"/>
            <w:sz w:val="16"/>
          </w:rPr>
          <w:t>Enterprise</w:t>
        </w:r>
        <w:r>
          <w:rPr>
            <w:color w:val="231F20"/>
            <w:spacing w:val="-1"/>
            <w:sz w:val="16"/>
          </w:rPr>
          <w:t> </w:t>
        </w:r>
        <w:r>
          <w:rPr>
            <w:color w:val="231F20"/>
            <w:sz w:val="16"/>
          </w:rPr>
          <w:t>Console</w:t>
        </w:r>
        <w:r>
          <w:rPr>
            <w:color w:val="231F20"/>
            <w:spacing w:val="-1"/>
            <w:sz w:val="16"/>
          </w:rPr>
          <w:t> </w:t>
        </w:r>
        <w:r>
          <w:rPr>
            <w:color w:val="231F20"/>
            <w:sz w:val="16"/>
          </w:rPr>
          <w:t>event</w:t>
        </w:r>
        <w:r>
          <w:rPr>
            <w:color w:val="231F20"/>
            <w:spacing w:val="-1"/>
            <w:sz w:val="16"/>
          </w:rPr>
          <w:t> </w:t>
        </w:r>
        <w:r>
          <w:rPr>
            <w:color w:val="231F20"/>
            <w:sz w:val="16"/>
          </w:rPr>
          <w:t>viewer</w:t>
        </w:r>
      </w:hyperlink>
      <w:r>
        <w:rPr>
          <w:color w:val="231F20"/>
          <w:spacing w:val="40"/>
          <w:sz w:val="16"/>
        </w:rPr>
        <w:t> </w:t>
      </w:r>
      <w:hyperlink w:history="true" w:anchor="_bookmark120">
        <w:r>
          <w:rPr>
            <w:color w:val="231F20"/>
            <w:sz w:val="16"/>
          </w:rPr>
          <w:t>and console toolbars</w:t>
        </w:r>
        <w:r>
          <w:rPr>
            <w:color w:val="231F20"/>
            <w:spacing w:val="80"/>
            <w:sz w:val="16"/>
          </w:rPr>
          <w:t> </w:t>
        </w:r>
        <w:r>
          <w:rPr>
            <w:color w:val="231F20"/>
            <w:sz w:val="16"/>
          </w:rPr>
          <w:t>163</w:t>
        </w:r>
      </w:hyperlink>
    </w:p>
    <w:p>
      <w:pPr>
        <w:spacing w:line="196" w:lineRule="exact" w:before="0"/>
        <w:ind w:left="436" w:right="0" w:firstLine="0"/>
        <w:jc w:val="left"/>
        <w:rPr>
          <w:sz w:val="16"/>
        </w:rPr>
      </w:pPr>
      <w:hyperlink w:history="true" w:anchor="_bookmark121">
        <w:r>
          <w:rPr>
            <w:color w:val="231F20"/>
            <w:sz w:val="16"/>
          </w:rPr>
          <w:t>buttons</w:t>
        </w:r>
        <w:r>
          <w:rPr>
            <w:color w:val="231F20"/>
            <w:spacing w:val="36"/>
            <w:sz w:val="16"/>
          </w:rPr>
          <w:t>  </w:t>
        </w:r>
        <w:r>
          <w:rPr>
            <w:color w:val="231F20"/>
            <w:spacing w:val="-5"/>
            <w:sz w:val="16"/>
          </w:rPr>
          <w:t>164</w:t>
        </w:r>
      </w:hyperlink>
    </w:p>
    <w:p>
      <w:pPr>
        <w:spacing w:line="220" w:lineRule="auto" w:before="5"/>
        <w:ind w:left="142" w:right="834" w:firstLine="0"/>
        <w:jc w:val="right"/>
        <w:rPr>
          <w:sz w:val="16"/>
        </w:rPr>
      </w:pPr>
      <w:r>
        <w:rPr>
          <w:color w:val="231F20"/>
          <w:sz w:val="16"/>
        </w:rPr>
        <w:t>Tivoli</w:t>
      </w:r>
      <w:r>
        <w:rPr>
          <w:color w:val="231F20"/>
          <w:spacing w:val="-5"/>
          <w:sz w:val="16"/>
        </w:rPr>
        <w:t> </w:t>
      </w:r>
      <w:r>
        <w:rPr>
          <w:color w:val="231F20"/>
          <w:sz w:val="16"/>
        </w:rPr>
        <w:t>Enterprise</w:t>
      </w:r>
      <w:r>
        <w:rPr>
          <w:color w:val="231F20"/>
          <w:spacing w:val="-5"/>
          <w:sz w:val="16"/>
        </w:rPr>
        <w:t> </w:t>
      </w:r>
      <w:r>
        <w:rPr>
          <w:color w:val="231F20"/>
          <w:sz w:val="16"/>
        </w:rPr>
        <w:t>Monitoring</w:t>
      </w:r>
      <w:r>
        <w:rPr>
          <w:color w:val="231F20"/>
          <w:spacing w:val="-9"/>
          <w:sz w:val="16"/>
        </w:rPr>
        <w:t> </w:t>
      </w:r>
      <w:r>
        <w:rPr>
          <w:color w:val="231F20"/>
          <w:sz w:val="16"/>
        </w:rPr>
        <w:t>Agents</w:t>
      </w:r>
      <w:r>
        <w:rPr>
          <w:color w:val="231F20"/>
          <w:spacing w:val="40"/>
          <w:sz w:val="16"/>
        </w:rPr>
        <w:t> </w:t>
      </w:r>
      <w:hyperlink w:history="true" w:anchor="_bookmark306">
        <w:r>
          <w:rPr>
            <w:color w:val="231F20"/>
            <w:sz w:val="16"/>
          </w:rPr>
          <w:t>manage through the portal</w:t>
        </w:r>
        <w:r>
          <w:rPr>
            <w:color w:val="231F20"/>
            <w:spacing w:val="80"/>
            <w:sz w:val="16"/>
          </w:rPr>
          <w:t> </w:t>
        </w:r>
        <w:r>
          <w:rPr>
            <w:color w:val="231F20"/>
            <w:sz w:val="16"/>
          </w:rPr>
          <w:t>396</w:t>
        </w:r>
      </w:hyperlink>
      <w:r>
        <w:rPr>
          <w:color w:val="231F20"/>
          <w:spacing w:val="40"/>
          <w:sz w:val="16"/>
        </w:rPr>
        <w:t> </w:t>
      </w:r>
      <w:r>
        <w:rPr>
          <w:color w:val="231F20"/>
          <w:sz w:val="16"/>
        </w:rPr>
        <w:t>Tivoli</w:t>
      </w:r>
      <w:r>
        <w:rPr>
          <w:color w:val="231F20"/>
          <w:spacing w:val="3"/>
          <w:sz w:val="16"/>
        </w:rPr>
        <w:t> </w:t>
      </w:r>
      <w:r>
        <w:rPr>
          <w:color w:val="231F20"/>
          <w:sz w:val="16"/>
        </w:rPr>
        <w:t>Enterprise</w:t>
      </w:r>
      <w:r>
        <w:rPr>
          <w:color w:val="231F20"/>
          <w:spacing w:val="3"/>
          <w:sz w:val="16"/>
        </w:rPr>
        <w:t> </w:t>
      </w:r>
      <w:r>
        <w:rPr>
          <w:color w:val="231F20"/>
          <w:sz w:val="16"/>
        </w:rPr>
        <w:t>Monitoring</w:t>
      </w:r>
      <w:r>
        <w:rPr>
          <w:color w:val="231F20"/>
          <w:spacing w:val="4"/>
          <w:sz w:val="16"/>
        </w:rPr>
        <w:t> </w:t>
      </w:r>
      <w:r>
        <w:rPr>
          <w:color w:val="231F20"/>
          <w:spacing w:val="-2"/>
          <w:sz w:val="16"/>
        </w:rPr>
        <w:t>Server</w:t>
      </w:r>
    </w:p>
    <w:p>
      <w:pPr>
        <w:spacing w:line="197" w:lineRule="exact" w:before="0"/>
        <w:ind w:left="436" w:right="0" w:firstLine="0"/>
        <w:jc w:val="left"/>
        <w:rPr>
          <w:sz w:val="16"/>
        </w:rPr>
      </w:pPr>
      <w:hyperlink w:history="true" w:anchor="_bookmark194">
        <w:r>
          <w:rPr>
            <w:color w:val="231F20"/>
            <w:sz w:val="16"/>
          </w:rPr>
          <w:t>situations</w:t>
        </w:r>
        <w:r>
          <w:rPr>
            <w:color w:val="231F20"/>
            <w:spacing w:val="35"/>
            <w:sz w:val="16"/>
          </w:rPr>
          <w:t>  </w:t>
        </w:r>
        <w:r>
          <w:rPr>
            <w:color w:val="231F20"/>
            <w:sz w:val="16"/>
          </w:rPr>
          <w:t>264,</w:t>
        </w:r>
      </w:hyperlink>
      <w:r>
        <w:rPr>
          <w:color w:val="231F20"/>
          <w:spacing w:val="12"/>
          <w:sz w:val="16"/>
        </w:rPr>
        <w:t> </w:t>
      </w:r>
      <w:hyperlink w:history="true" w:anchor="_bookmark317">
        <w:r>
          <w:rPr>
            <w:color w:val="231F20"/>
            <w:spacing w:val="-5"/>
            <w:sz w:val="16"/>
          </w:rPr>
          <w:t>408</w:t>
        </w:r>
      </w:hyperlink>
    </w:p>
    <w:p>
      <w:pPr>
        <w:spacing w:line="200" w:lineRule="exact" w:before="0"/>
        <w:ind w:left="436" w:right="0" w:firstLine="0"/>
        <w:jc w:val="left"/>
        <w:rPr>
          <w:sz w:val="16"/>
        </w:rPr>
      </w:pPr>
      <w:hyperlink w:history="true" w:anchor="_bookmark304">
        <w:r>
          <w:rPr>
            <w:color w:val="231F20"/>
            <w:sz w:val="16"/>
          </w:rPr>
          <w:t>status</w:t>
        </w:r>
        <w:r>
          <w:rPr>
            <w:color w:val="231F20"/>
            <w:spacing w:val="37"/>
            <w:sz w:val="16"/>
          </w:rPr>
          <w:t>  </w:t>
        </w:r>
        <w:r>
          <w:rPr>
            <w:color w:val="231F20"/>
            <w:spacing w:val="-5"/>
            <w:sz w:val="16"/>
          </w:rPr>
          <w:t>394</w:t>
        </w:r>
      </w:hyperlink>
    </w:p>
    <w:p>
      <w:pPr>
        <w:spacing w:line="200" w:lineRule="exact" w:before="0"/>
        <w:ind w:left="436" w:right="0" w:firstLine="0"/>
        <w:jc w:val="left"/>
        <w:rPr>
          <w:sz w:val="16"/>
        </w:rPr>
      </w:pPr>
      <w:hyperlink w:history="true" w:anchor="_bookmark304">
        <w:r>
          <w:rPr>
            <w:color w:val="231F20"/>
            <w:sz w:val="16"/>
          </w:rPr>
          <w:t>workspace</w:t>
        </w:r>
        <w:r>
          <w:rPr>
            <w:color w:val="231F20"/>
            <w:spacing w:val="35"/>
            <w:sz w:val="16"/>
          </w:rPr>
          <w:t>  </w:t>
        </w:r>
        <w:r>
          <w:rPr>
            <w:color w:val="231F20"/>
            <w:spacing w:val="-5"/>
            <w:sz w:val="16"/>
          </w:rPr>
          <w:t>394</w:t>
        </w:r>
      </w:hyperlink>
    </w:p>
    <w:p>
      <w:pPr>
        <w:spacing w:line="208" w:lineRule="exact" w:before="0"/>
        <w:ind w:left="436" w:right="0" w:firstLine="0"/>
        <w:jc w:val="left"/>
        <w:rPr>
          <w:sz w:val="16"/>
        </w:rPr>
      </w:pPr>
      <w:hyperlink w:history="true" w:anchor="_bookmark25">
        <w:r>
          <w:rPr>
            <w:color w:val="231F20"/>
            <w:sz w:val="16"/>
          </w:rPr>
          <w:t>workspaces</w:t>
        </w:r>
        <w:r>
          <w:rPr>
            <w:color w:val="231F20"/>
            <w:spacing w:val="35"/>
            <w:sz w:val="16"/>
          </w:rPr>
          <w:t>  </w:t>
        </w:r>
        <w:r>
          <w:rPr>
            <w:color w:val="231F20"/>
            <w:sz w:val="16"/>
          </w:rPr>
          <w:t>34,</w:t>
        </w:r>
      </w:hyperlink>
      <w:r>
        <w:rPr>
          <w:color w:val="231F20"/>
          <w:spacing w:val="11"/>
          <w:sz w:val="16"/>
        </w:rPr>
        <w:t> </w:t>
      </w:r>
      <w:hyperlink w:history="true" w:anchor="_bookmark316">
        <w:r>
          <w:rPr>
            <w:color w:val="231F20"/>
            <w:spacing w:val="-5"/>
            <w:sz w:val="16"/>
          </w:rPr>
          <w:t>407</w:t>
        </w:r>
      </w:hyperlink>
    </w:p>
    <w:p>
      <w:pPr>
        <w:spacing w:after="0" w:line="208" w:lineRule="exact"/>
        <w:jc w:val="left"/>
        <w:rPr>
          <w:sz w:val="16"/>
        </w:rPr>
        <w:sectPr>
          <w:pgSz w:w="12240" w:h="15840"/>
          <w:pgMar w:header="0" w:footer="736" w:top="1140" w:bottom="920" w:left="1000" w:right="1060"/>
          <w:cols w:num="3" w:equalWidth="0">
            <w:col w:w="3202" w:space="71"/>
            <w:col w:w="3073" w:space="200"/>
            <w:col w:w="3634"/>
          </w:cols>
        </w:sectPr>
      </w:pPr>
    </w:p>
    <w:p>
      <w:pPr>
        <w:spacing w:line="220" w:lineRule="auto" w:before="67"/>
        <w:ind w:left="556" w:right="0" w:hanging="120"/>
        <w:jc w:val="left"/>
        <w:rPr>
          <w:sz w:val="16"/>
        </w:rPr>
      </w:pPr>
      <w:r>
        <w:rPr>
          <w:color w:val="231F20"/>
          <w:sz w:val="16"/>
        </w:rPr>
        <w:t>Tivoli</w:t>
      </w:r>
      <w:r>
        <w:rPr>
          <w:color w:val="231F20"/>
          <w:spacing w:val="-4"/>
          <w:sz w:val="16"/>
        </w:rPr>
        <w:t> </w:t>
      </w:r>
      <w:r>
        <w:rPr>
          <w:color w:val="231F20"/>
          <w:sz w:val="16"/>
        </w:rPr>
        <w:t>Enterprise</w:t>
      </w:r>
      <w:r>
        <w:rPr>
          <w:color w:val="231F20"/>
          <w:spacing w:val="-4"/>
          <w:sz w:val="16"/>
        </w:rPr>
        <w:t> </w:t>
      </w:r>
      <w:r>
        <w:rPr>
          <w:color w:val="231F20"/>
          <w:sz w:val="16"/>
        </w:rPr>
        <w:t>Monitoring</w:t>
      </w:r>
      <w:r>
        <w:rPr>
          <w:color w:val="231F20"/>
          <w:spacing w:val="-4"/>
          <w:sz w:val="16"/>
        </w:rPr>
        <w:t> </w:t>
      </w:r>
      <w:r>
        <w:rPr>
          <w:color w:val="231F20"/>
          <w:sz w:val="16"/>
        </w:rPr>
        <w:t>Server</w:t>
      </w:r>
      <w:r>
        <w:rPr>
          <w:color w:val="231F20"/>
          <w:spacing w:val="40"/>
          <w:sz w:val="16"/>
        </w:rPr>
        <w:t> </w:t>
      </w:r>
      <w:r>
        <w:rPr>
          <w:color w:val="231F20"/>
          <w:sz w:val="16"/>
        </w:rPr>
        <w:t>predefined queries</w:t>
      </w:r>
    </w:p>
    <w:p>
      <w:pPr>
        <w:spacing w:line="220" w:lineRule="auto" w:before="2"/>
        <w:ind w:left="915" w:right="716" w:hanging="240"/>
        <w:jc w:val="left"/>
        <w:rPr>
          <w:sz w:val="16"/>
        </w:rPr>
      </w:pPr>
      <w:r>
        <w:rPr>
          <w:color w:val="231F20"/>
          <w:sz w:val="16"/>
        </w:rPr>
        <w:t>monitoring server</w:t>
      </w:r>
      <w:r>
        <w:rPr>
          <w:color w:val="231F20"/>
          <w:spacing w:val="40"/>
          <w:sz w:val="16"/>
        </w:rPr>
        <w:t> </w:t>
      </w:r>
      <w:hyperlink w:history="true" w:anchor="_bookmark150">
        <w:r>
          <w:rPr>
            <w:color w:val="231F20"/>
            <w:sz w:val="16"/>
          </w:rPr>
          <w:t>predefined queries</w:t>
        </w:r>
        <w:r>
          <w:rPr>
            <w:color w:val="231F20"/>
            <w:spacing w:val="80"/>
            <w:sz w:val="16"/>
          </w:rPr>
          <w:t> </w:t>
        </w:r>
        <w:r>
          <w:rPr>
            <w:color w:val="231F20"/>
            <w:sz w:val="16"/>
          </w:rPr>
          <w:t>210</w:t>
        </w:r>
      </w:hyperlink>
    </w:p>
    <w:p>
      <w:pPr>
        <w:spacing w:line="220" w:lineRule="auto" w:before="2"/>
        <w:ind w:left="676" w:right="1035" w:hanging="240"/>
        <w:jc w:val="left"/>
        <w:rPr>
          <w:sz w:val="16"/>
        </w:rPr>
      </w:pPr>
      <w:r>
        <w:rPr>
          <w:color w:val="231F20"/>
          <w:sz w:val="16"/>
        </w:rPr>
        <w:t>Tivoli Enterprise Portal</w:t>
      </w:r>
      <w:r>
        <w:rPr>
          <w:color w:val="231F20"/>
          <w:spacing w:val="40"/>
          <w:sz w:val="16"/>
        </w:rPr>
        <w:t> </w:t>
      </w:r>
      <w:hyperlink w:history="true" w:anchor="_bookmark1">
        <w:r>
          <w:rPr>
            <w:color w:val="231F20"/>
            <w:sz w:val="16"/>
          </w:rPr>
          <w:t>new in this release</w:t>
        </w:r>
        <w:r>
          <w:rPr>
            <w:color w:val="231F20"/>
            <w:spacing w:val="80"/>
            <w:sz w:val="16"/>
          </w:rPr>
          <w:t> </w:t>
        </w:r>
        <w:r>
          <w:rPr>
            <w:color w:val="231F20"/>
            <w:sz w:val="16"/>
          </w:rPr>
          <w:t>1</w:t>
        </w:r>
      </w:hyperlink>
    </w:p>
    <w:p>
      <w:pPr>
        <w:spacing w:line="196" w:lineRule="exact" w:before="0"/>
        <w:ind w:left="676" w:right="0" w:firstLine="0"/>
        <w:jc w:val="left"/>
        <w:rPr>
          <w:sz w:val="16"/>
        </w:rPr>
      </w:pPr>
      <w:hyperlink w:history="true" w:anchor="_bookmark315">
        <w:r>
          <w:rPr>
            <w:color w:val="231F20"/>
            <w:sz w:val="16"/>
          </w:rPr>
          <w:t>resource</w:t>
        </w:r>
        <w:r>
          <w:rPr>
            <w:color w:val="231F20"/>
            <w:spacing w:val="7"/>
            <w:sz w:val="16"/>
          </w:rPr>
          <w:t> </w:t>
        </w:r>
        <w:r>
          <w:rPr>
            <w:color w:val="231F20"/>
            <w:sz w:val="16"/>
          </w:rPr>
          <w:t>optimization</w:t>
        </w:r>
        <w:r>
          <w:rPr>
            <w:color w:val="231F20"/>
            <w:spacing w:val="31"/>
            <w:sz w:val="16"/>
          </w:rPr>
          <w:t>  </w:t>
        </w:r>
        <w:r>
          <w:rPr>
            <w:color w:val="231F20"/>
            <w:spacing w:val="-5"/>
            <w:sz w:val="16"/>
          </w:rPr>
          <w:t>406</w:t>
        </w:r>
      </w:hyperlink>
    </w:p>
    <w:p>
      <w:pPr>
        <w:spacing w:line="200" w:lineRule="exact" w:before="0"/>
        <w:ind w:left="676" w:right="0" w:firstLine="0"/>
        <w:jc w:val="left"/>
        <w:rPr>
          <w:sz w:val="16"/>
        </w:rPr>
      </w:pPr>
      <w:hyperlink w:history="true" w:anchor="_bookmark9">
        <w:r>
          <w:rPr>
            <w:color w:val="231F20"/>
            <w:sz w:val="16"/>
          </w:rPr>
          <w:t>tour</w:t>
        </w:r>
        <w:r>
          <w:rPr>
            <w:color w:val="231F20"/>
            <w:spacing w:val="38"/>
            <w:sz w:val="16"/>
          </w:rPr>
          <w:t>  </w:t>
        </w:r>
        <w:r>
          <w:rPr>
            <w:color w:val="231F20"/>
            <w:spacing w:val="-5"/>
            <w:sz w:val="16"/>
          </w:rPr>
          <w:t>15</w:t>
        </w:r>
      </w:hyperlink>
    </w:p>
    <w:p>
      <w:pPr>
        <w:spacing w:line="200" w:lineRule="exact" w:before="0"/>
        <w:ind w:left="676" w:right="0" w:firstLine="0"/>
        <w:jc w:val="left"/>
        <w:rPr>
          <w:sz w:val="16"/>
        </w:rPr>
      </w:pPr>
      <w:hyperlink w:history="true" w:anchor="_bookmark3">
        <w:r>
          <w:rPr>
            <w:color w:val="231F20"/>
            <w:sz w:val="16"/>
          </w:rPr>
          <w:t>window</w:t>
        </w:r>
        <w:r>
          <w:rPr>
            <w:color w:val="231F20"/>
            <w:spacing w:val="36"/>
            <w:sz w:val="16"/>
          </w:rPr>
          <w:t>  </w:t>
        </w:r>
        <w:r>
          <w:rPr>
            <w:color w:val="231F20"/>
            <w:spacing w:val="-10"/>
            <w:sz w:val="16"/>
          </w:rPr>
          <w:t>3</w:t>
        </w:r>
      </w:hyperlink>
    </w:p>
    <w:p>
      <w:pPr>
        <w:spacing w:line="220" w:lineRule="auto" w:before="5"/>
        <w:ind w:left="676" w:right="716" w:hanging="240"/>
        <w:jc w:val="left"/>
        <w:rPr>
          <w:sz w:val="16"/>
        </w:rPr>
      </w:pPr>
      <w:hyperlink w:history="true" w:anchor="_bookmark103">
        <w:r>
          <w:rPr>
            <w:color w:val="231F20"/>
            <w:sz w:val="16"/>
          </w:rPr>
          <w:t>TMS Infrastructure view</w:t>
        </w:r>
        <w:r>
          <w:rPr>
            <w:color w:val="231F20"/>
            <w:spacing w:val="80"/>
            <w:sz w:val="16"/>
          </w:rPr>
          <w:t> </w:t>
        </w:r>
        <w:r>
          <w:rPr>
            <w:color w:val="231F20"/>
            <w:sz w:val="16"/>
          </w:rPr>
          <w:t>139</w:t>
        </w:r>
      </w:hyperlink>
      <w:r>
        <w:rPr>
          <w:color w:val="231F20"/>
          <w:spacing w:val="40"/>
          <w:sz w:val="16"/>
        </w:rPr>
        <w:t> </w:t>
      </w:r>
      <w:hyperlink w:history="true" w:anchor="_bookmark103">
        <w:r>
          <w:rPr>
            <w:color w:val="231F20"/>
            <w:sz w:val="16"/>
          </w:rPr>
          <w:t>creating</w:t>
        </w:r>
        <w:r>
          <w:rPr>
            <w:color w:val="231F20"/>
            <w:spacing w:val="80"/>
            <w:sz w:val="16"/>
          </w:rPr>
          <w:t> </w:t>
        </w:r>
        <w:r>
          <w:rPr>
            <w:color w:val="231F20"/>
            <w:sz w:val="16"/>
          </w:rPr>
          <w:t>139</w:t>
        </w:r>
      </w:hyperlink>
    </w:p>
    <w:p>
      <w:pPr>
        <w:spacing w:line="196" w:lineRule="exact" w:before="0"/>
        <w:ind w:left="676" w:right="0" w:firstLine="0"/>
        <w:jc w:val="left"/>
        <w:rPr>
          <w:sz w:val="16"/>
        </w:rPr>
      </w:pPr>
      <w:hyperlink w:history="true" w:anchor="_bookmark102">
        <w:r>
          <w:rPr>
            <w:color w:val="231F20"/>
            <w:sz w:val="16"/>
          </w:rPr>
          <w:t>style</w:t>
        </w:r>
        <w:r>
          <w:rPr>
            <w:color w:val="231F20"/>
            <w:spacing w:val="9"/>
            <w:sz w:val="16"/>
          </w:rPr>
          <w:t> </w:t>
        </w:r>
        <w:r>
          <w:rPr>
            <w:color w:val="231F20"/>
            <w:sz w:val="16"/>
          </w:rPr>
          <w:t>properties</w:t>
        </w:r>
        <w:r>
          <w:rPr>
            <w:color w:val="231F20"/>
            <w:spacing w:val="34"/>
            <w:sz w:val="16"/>
          </w:rPr>
          <w:t>  </w:t>
        </w:r>
        <w:r>
          <w:rPr>
            <w:color w:val="231F20"/>
            <w:spacing w:val="-5"/>
            <w:sz w:val="16"/>
          </w:rPr>
          <w:t>136</w:t>
        </w:r>
      </w:hyperlink>
    </w:p>
    <w:p>
      <w:pPr>
        <w:spacing w:line="220" w:lineRule="auto" w:before="5"/>
        <w:ind w:left="436" w:right="716" w:firstLine="239"/>
        <w:jc w:val="left"/>
        <w:rPr>
          <w:sz w:val="16"/>
        </w:rPr>
      </w:pPr>
      <w:hyperlink w:history="true" w:anchor="_bookmark103">
        <w:r>
          <w:rPr>
            <w:color w:val="231F20"/>
            <w:sz w:val="16"/>
          </w:rPr>
          <w:t>what the view shows</w:t>
        </w:r>
        <w:r>
          <w:rPr>
            <w:color w:val="231F20"/>
            <w:spacing w:val="80"/>
            <w:sz w:val="16"/>
          </w:rPr>
          <w:t> </w:t>
        </w:r>
        <w:r>
          <w:rPr>
            <w:color w:val="231F20"/>
            <w:sz w:val="16"/>
          </w:rPr>
          <w:t>139</w:t>
        </w:r>
      </w:hyperlink>
      <w:r>
        <w:rPr>
          <w:color w:val="231F20"/>
          <w:spacing w:val="40"/>
          <w:sz w:val="16"/>
        </w:rPr>
        <w:t> </w:t>
      </w:r>
      <w:hyperlink w:history="true" w:anchor="_bookmark4">
        <w:r>
          <w:rPr>
            <w:color w:val="231F20"/>
            <w:sz w:val="16"/>
          </w:rPr>
          <w:t>toolbar</w:t>
        </w:r>
        <w:r>
          <w:rPr>
            <w:color w:val="231F20"/>
            <w:spacing w:val="80"/>
            <w:sz w:val="16"/>
          </w:rPr>
          <w:t> </w:t>
        </w:r>
        <w:r>
          <w:rPr>
            <w:color w:val="231F20"/>
            <w:sz w:val="16"/>
          </w:rPr>
          <w:t>4</w:t>
        </w:r>
      </w:hyperlink>
    </w:p>
    <w:p>
      <w:pPr>
        <w:spacing w:line="220" w:lineRule="auto" w:before="2"/>
        <w:ind w:left="676" w:right="1516" w:hanging="240"/>
        <w:jc w:val="left"/>
        <w:rPr>
          <w:sz w:val="16"/>
        </w:rPr>
      </w:pPr>
      <w:r>
        <w:rPr>
          <w:color w:val="231F20"/>
          <w:sz w:val="16"/>
        </w:rPr>
        <w:t>topology view</w:t>
      </w:r>
      <w:r>
        <w:rPr>
          <w:color w:val="231F20"/>
          <w:spacing w:val="40"/>
          <w:sz w:val="16"/>
        </w:rPr>
        <w:t> </w:t>
      </w:r>
      <w:hyperlink w:history="true" w:anchor="_bookmark99">
        <w:r>
          <w:rPr>
            <w:color w:val="231F20"/>
            <w:sz w:val="16"/>
          </w:rPr>
          <w:t>creating</w:t>
        </w:r>
        <w:r>
          <w:rPr>
            <w:color w:val="231F20"/>
            <w:spacing w:val="78"/>
            <w:sz w:val="16"/>
          </w:rPr>
          <w:t> </w:t>
        </w:r>
        <w:r>
          <w:rPr>
            <w:color w:val="231F20"/>
            <w:sz w:val="16"/>
          </w:rPr>
          <w:t>133</w:t>
        </w:r>
      </w:hyperlink>
    </w:p>
    <w:p>
      <w:pPr>
        <w:spacing w:line="196" w:lineRule="exact" w:before="0"/>
        <w:ind w:left="676" w:right="0" w:firstLine="0"/>
        <w:jc w:val="left"/>
        <w:rPr>
          <w:sz w:val="16"/>
        </w:rPr>
      </w:pPr>
      <w:hyperlink w:history="true" w:anchor="_bookmark101">
        <w:r>
          <w:rPr>
            <w:color w:val="231F20"/>
            <w:sz w:val="16"/>
          </w:rPr>
          <w:t>manipulating</w:t>
        </w:r>
        <w:r>
          <w:rPr>
            <w:color w:val="231F20"/>
            <w:spacing w:val="34"/>
            <w:sz w:val="16"/>
          </w:rPr>
          <w:t>  </w:t>
        </w:r>
        <w:r>
          <w:rPr>
            <w:color w:val="231F20"/>
            <w:spacing w:val="-5"/>
            <w:sz w:val="16"/>
          </w:rPr>
          <w:t>135</w:t>
        </w:r>
      </w:hyperlink>
    </w:p>
    <w:p>
      <w:pPr>
        <w:spacing w:line="220" w:lineRule="auto" w:before="6"/>
        <w:ind w:left="915" w:right="65" w:hanging="240"/>
        <w:jc w:val="left"/>
        <w:rPr>
          <w:sz w:val="16"/>
        </w:rPr>
      </w:pPr>
      <w:r>
        <w:rPr>
          <w:color w:val="231F20"/>
          <w:sz w:val="16"/>
        </w:rPr>
        <w:t>Self-Monitoring</w:t>
      </w:r>
      <w:r>
        <w:rPr>
          <w:color w:val="231F20"/>
          <w:spacing w:val="-6"/>
          <w:sz w:val="16"/>
        </w:rPr>
        <w:t> </w:t>
      </w:r>
      <w:r>
        <w:rPr>
          <w:color w:val="231F20"/>
          <w:sz w:val="16"/>
        </w:rPr>
        <w:t>Topology</w:t>
      </w:r>
      <w:r>
        <w:rPr>
          <w:color w:val="231F20"/>
          <w:spacing w:val="-6"/>
          <w:sz w:val="16"/>
        </w:rPr>
        <w:t> </w:t>
      </w:r>
      <w:r>
        <w:rPr>
          <w:color w:val="231F20"/>
          <w:sz w:val="16"/>
        </w:rPr>
        <w:t>workspace</w:t>
      </w:r>
      <w:r>
        <w:rPr>
          <w:color w:val="231F20"/>
          <w:spacing w:val="40"/>
          <w:sz w:val="16"/>
        </w:rPr>
        <w:t> </w:t>
      </w:r>
      <w:hyperlink w:history="true" w:anchor="_bookmark303">
        <w:r>
          <w:rPr>
            <w:color w:val="231F20"/>
            <w:sz w:val="16"/>
          </w:rPr>
          <w:t>accessing the workspace</w:t>
        </w:r>
        <w:r>
          <w:rPr>
            <w:color w:val="231F20"/>
            <w:spacing w:val="80"/>
            <w:sz w:val="16"/>
          </w:rPr>
          <w:t> </w:t>
        </w:r>
        <w:r>
          <w:rPr>
            <w:color w:val="231F20"/>
            <w:sz w:val="16"/>
          </w:rPr>
          <w:t>393</w:t>
        </w:r>
      </w:hyperlink>
      <w:r>
        <w:rPr>
          <w:color w:val="231F20"/>
          <w:spacing w:val="40"/>
          <w:sz w:val="16"/>
        </w:rPr>
        <w:t> </w:t>
      </w:r>
      <w:hyperlink w:history="true" w:anchor="_bookmark303">
        <w:r>
          <w:rPr>
            <w:color w:val="231F20"/>
            <w:sz w:val="16"/>
          </w:rPr>
          <w:t>what the workspace shows</w:t>
        </w:r>
        <w:r>
          <w:rPr>
            <w:color w:val="231F20"/>
            <w:spacing w:val="80"/>
            <w:sz w:val="16"/>
          </w:rPr>
          <w:t> </w:t>
        </w:r>
        <w:r>
          <w:rPr>
            <w:color w:val="231F20"/>
            <w:sz w:val="16"/>
          </w:rPr>
          <w:t>393</w:t>
        </w:r>
      </w:hyperlink>
    </w:p>
    <w:p>
      <w:pPr>
        <w:spacing w:line="220" w:lineRule="auto" w:before="3"/>
        <w:ind w:left="676" w:right="0" w:firstLine="0"/>
        <w:jc w:val="left"/>
        <w:rPr>
          <w:sz w:val="16"/>
        </w:rPr>
      </w:pPr>
      <w:hyperlink w:history="true" w:anchor="_bookmark303">
        <w:r>
          <w:rPr>
            <w:color w:val="231F20"/>
            <w:sz w:val="16"/>
          </w:rPr>
          <w:t>self-monitoring workspace</w:t>
        </w:r>
        <w:r>
          <w:rPr>
            <w:color w:val="231F20"/>
            <w:spacing w:val="80"/>
            <w:sz w:val="16"/>
          </w:rPr>
          <w:t> </w:t>
        </w:r>
        <w:r>
          <w:rPr>
            <w:color w:val="231F20"/>
            <w:sz w:val="16"/>
          </w:rPr>
          <w:t>393</w:t>
        </w:r>
      </w:hyperlink>
      <w:r>
        <w:rPr>
          <w:color w:val="231F20"/>
          <w:spacing w:val="40"/>
          <w:sz w:val="16"/>
        </w:rPr>
        <w:t> </w:t>
      </w:r>
      <w:hyperlink w:history="true" w:anchor="_bookmark100">
        <w:r>
          <w:rPr>
            <w:color w:val="231F20"/>
            <w:sz w:val="16"/>
          </w:rPr>
          <w:t>toolbar and options</w:t>
        </w:r>
        <w:r>
          <w:rPr>
            <w:color w:val="231F20"/>
            <w:spacing w:val="80"/>
            <w:sz w:val="16"/>
          </w:rPr>
          <w:t> </w:t>
        </w:r>
        <w:r>
          <w:rPr>
            <w:color w:val="231F20"/>
            <w:sz w:val="16"/>
          </w:rPr>
          <w:t>134</w:t>
        </w:r>
      </w:hyperlink>
      <w:r>
        <w:rPr>
          <w:color w:val="231F20"/>
          <w:spacing w:val="40"/>
          <w:sz w:val="16"/>
        </w:rPr>
        <w:t> </w:t>
      </w:r>
      <w:hyperlink w:history="true" w:anchor="_bookmark99">
        <w:r>
          <w:rPr>
            <w:color w:val="231F20"/>
            <w:sz w:val="16"/>
          </w:rPr>
          <w:t>understanding the view</w:t>
        </w:r>
        <w:r>
          <w:rPr>
            <w:color w:val="231F20"/>
            <w:spacing w:val="80"/>
            <w:sz w:val="16"/>
          </w:rPr>
          <w:t> </w:t>
        </w:r>
        <w:r>
          <w:rPr>
            <w:color w:val="231F20"/>
            <w:sz w:val="16"/>
          </w:rPr>
          <w:t>133</w:t>
        </w:r>
      </w:hyperlink>
    </w:p>
    <w:p>
      <w:pPr>
        <w:spacing w:line="220" w:lineRule="auto" w:before="3"/>
        <w:ind w:left="676" w:right="1516" w:hanging="240"/>
        <w:jc w:val="left"/>
        <w:rPr>
          <w:sz w:val="16"/>
        </w:rPr>
      </w:pPr>
      <w:r>
        <w:rPr>
          <w:color w:val="231F20"/>
          <w:spacing w:val="-2"/>
          <w:sz w:val="16"/>
        </w:rPr>
        <w:t>troubleshooting</w:t>
      </w:r>
      <w:r>
        <w:rPr>
          <w:color w:val="231F20"/>
          <w:spacing w:val="40"/>
          <w:sz w:val="16"/>
        </w:rPr>
        <w:t> </w:t>
      </w:r>
      <w:r>
        <w:rPr>
          <w:color w:val="231F20"/>
          <w:spacing w:val="-2"/>
          <w:sz w:val="16"/>
        </w:rPr>
        <w:t>event</w:t>
      </w:r>
    </w:p>
    <w:p>
      <w:pPr>
        <w:spacing w:line="196" w:lineRule="exact" w:before="0"/>
        <w:ind w:left="915" w:right="0" w:firstLine="0"/>
        <w:jc w:val="left"/>
        <w:rPr>
          <w:sz w:val="16"/>
        </w:rPr>
      </w:pPr>
      <w:hyperlink w:history="true" w:anchor="_bookmark233">
        <w:r>
          <w:rPr>
            <w:color w:val="231F20"/>
            <w:sz w:val="16"/>
          </w:rPr>
          <w:t>not</w:t>
        </w:r>
        <w:r>
          <w:rPr>
            <w:color w:val="231F20"/>
            <w:spacing w:val="11"/>
            <w:sz w:val="16"/>
          </w:rPr>
          <w:t> </w:t>
        </w:r>
        <w:r>
          <w:rPr>
            <w:color w:val="231F20"/>
            <w:sz w:val="16"/>
          </w:rPr>
          <w:t>closing</w:t>
        </w:r>
        <w:r>
          <w:rPr>
            <w:color w:val="231F20"/>
            <w:spacing w:val="36"/>
            <w:sz w:val="16"/>
          </w:rPr>
          <w:t>  </w:t>
        </w:r>
        <w:r>
          <w:rPr>
            <w:color w:val="231F20"/>
            <w:spacing w:val="-5"/>
            <w:sz w:val="16"/>
          </w:rPr>
          <w:t>320</w:t>
        </w:r>
      </w:hyperlink>
    </w:p>
    <w:p>
      <w:pPr>
        <w:spacing w:line="200" w:lineRule="exact" w:before="0"/>
        <w:ind w:left="915" w:right="0" w:firstLine="0"/>
        <w:jc w:val="left"/>
        <w:rPr>
          <w:sz w:val="16"/>
        </w:rPr>
      </w:pPr>
      <w:hyperlink w:history="true" w:anchor="_bookmark232">
        <w:r>
          <w:rPr>
            <w:color w:val="231F20"/>
            <w:sz w:val="16"/>
          </w:rPr>
          <w:t>not</w:t>
        </w:r>
        <w:r>
          <w:rPr>
            <w:color w:val="231F20"/>
            <w:spacing w:val="10"/>
            <w:sz w:val="16"/>
          </w:rPr>
          <w:t> </w:t>
        </w:r>
        <w:r>
          <w:rPr>
            <w:color w:val="231F20"/>
            <w:sz w:val="16"/>
          </w:rPr>
          <w:t>opening</w:t>
        </w:r>
        <w:r>
          <w:rPr>
            <w:color w:val="231F20"/>
            <w:spacing w:val="36"/>
            <w:sz w:val="16"/>
          </w:rPr>
          <w:t>  </w:t>
        </w:r>
        <w:r>
          <w:rPr>
            <w:color w:val="231F20"/>
            <w:spacing w:val="-5"/>
            <w:sz w:val="16"/>
          </w:rPr>
          <w:t>318</w:t>
        </w:r>
      </w:hyperlink>
    </w:p>
    <w:p>
      <w:pPr>
        <w:spacing w:line="220" w:lineRule="auto" w:before="5"/>
        <w:ind w:left="436" w:right="0" w:firstLine="239"/>
        <w:jc w:val="left"/>
        <w:rPr>
          <w:sz w:val="16"/>
        </w:rPr>
      </w:pPr>
      <w:hyperlink w:history="true" w:anchor="_bookmark234">
        <w:r>
          <w:rPr>
            <w:color w:val="231F20"/>
            <w:sz w:val="16"/>
          </w:rPr>
          <w:t>high CPU on monitoring server</w:t>
        </w:r>
        <w:r>
          <w:rPr>
            <w:color w:val="231F20"/>
            <w:spacing w:val="80"/>
            <w:sz w:val="16"/>
          </w:rPr>
          <w:t> </w:t>
        </w:r>
        <w:r>
          <w:rPr>
            <w:color w:val="231F20"/>
            <w:sz w:val="16"/>
          </w:rPr>
          <w:t>321</w:t>
        </w:r>
      </w:hyperlink>
      <w:r>
        <w:rPr>
          <w:color w:val="231F20"/>
          <w:spacing w:val="40"/>
          <w:sz w:val="16"/>
        </w:rPr>
        <w:t> </w:t>
      </w:r>
      <w:hyperlink w:history="true" w:anchor="_bookmark286">
        <w:r>
          <w:rPr>
            <w:color w:val="231F20"/>
            <w:sz w:val="16"/>
          </w:rPr>
          <w:t>troubleshooting logon error</w:t>
        </w:r>
      </w:hyperlink>
    </w:p>
    <w:p>
      <w:pPr>
        <w:spacing w:line="196" w:lineRule="exact" w:before="0"/>
        <w:ind w:left="556" w:right="0" w:firstLine="0"/>
        <w:jc w:val="left"/>
        <w:rPr>
          <w:sz w:val="16"/>
        </w:rPr>
      </w:pPr>
      <w:hyperlink w:history="true" w:anchor="_bookmark286">
        <w:r>
          <w:rPr>
            <w:color w:val="231F20"/>
            <w:sz w:val="16"/>
          </w:rPr>
          <w:t>messages</w:t>
        </w:r>
        <w:r>
          <w:rPr>
            <w:color w:val="231F20"/>
            <w:spacing w:val="36"/>
            <w:sz w:val="16"/>
          </w:rPr>
          <w:t>  </w:t>
        </w:r>
        <w:r>
          <w:rPr>
            <w:color w:val="231F20"/>
            <w:spacing w:val="-5"/>
            <w:sz w:val="16"/>
          </w:rPr>
          <w:t>379</w:t>
        </w:r>
      </w:hyperlink>
    </w:p>
    <w:p>
      <w:pPr>
        <w:spacing w:line="200" w:lineRule="exact" w:before="0"/>
        <w:ind w:left="436" w:right="0" w:firstLine="0"/>
        <w:jc w:val="left"/>
        <w:rPr>
          <w:sz w:val="16"/>
        </w:rPr>
      </w:pPr>
      <w:hyperlink w:history="true" w:anchor="_bookmark9">
        <w:r>
          <w:rPr>
            <w:color w:val="231F20"/>
            <w:sz w:val="16"/>
          </w:rPr>
          <w:t>tutorial</w:t>
        </w:r>
        <w:r>
          <w:rPr>
            <w:color w:val="231F20"/>
            <w:spacing w:val="36"/>
            <w:sz w:val="16"/>
          </w:rPr>
          <w:t>  </w:t>
        </w:r>
        <w:r>
          <w:rPr>
            <w:color w:val="231F20"/>
            <w:spacing w:val="-5"/>
            <w:sz w:val="16"/>
          </w:rPr>
          <w:t>15</w:t>
        </w:r>
      </w:hyperlink>
    </w:p>
    <w:p>
      <w:pPr>
        <w:spacing w:line="208" w:lineRule="exact" w:before="0"/>
        <w:ind w:left="676" w:right="0" w:firstLine="0"/>
        <w:jc w:val="left"/>
        <w:rPr>
          <w:sz w:val="16"/>
        </w:rPr>
      </w:pPr>
      <w:hyperlink w:history="true" w:anchor="_bookmark230">
        <w:r>
          <w:rPr>
            <w:color w:val="231F20"/>
            <w:sz w:val="16"/>
          </w:rPr>
          <w:t>Correlating</w:t>
        </w:r>
        <w:r>
          <w:rPr>
            <w:color w:val="231F20"/>
            <w:spacing w:val="6"/>
            <w:sz w:val="16"/>
          </w:rPr>
          <w:t> </w:t>
        </w:r>
        <w:r>
          <w:rPr>
            <w:color w:val="231F20"/>
            <w:sz w:val="16"/>
          </w:rPr>
          <w:t>situations</w:t>
        </w:r>
        <w:r>
          <w:rPr>
            <w:color w:val="231F20"/>
            <w:spacing w:val="33"/>
            <w:sz w:val="16"/>
          </w:rPr>
          <w:t>  </w:t>
        </w:r>
        <w:r>
          <w:rPr>
            <w:color w:val="231F20"/>
            <w:spacing w:val="-5"/>
            <w:sz w:val="16"/>
          </w:rPr>
          <w:t>312</w:t>
        </w:r>
      </w:hyperlink>
    </w:p>
    <w:p>
      <w:pPr>
        <w:pStyle w:val="BodyText"/>
        <w:spacing w:before="104"/>
        <w:rPr>
          <w:sz w:val="16"/>
        </w:rPr>
      </w:pPr>
    </w:p>
    <w:p>
      <w:pPr>
        <w:pStyle w:val="Heading1"/>
        <w:ind w:left="436"/>
      </w:pPr>
      <w:bookmarkStart w:name="U" w:id="769"/>
      <w:bookmarkEnd w:id="769"/>
      <w:r>
        <w:rPr>
          <w:b w:val="0"/>
        </w:rPr>
      </w:r>
      <w:r>
        <w:rPr>
          <w:color w:val="231F20"/>
          <w:spacing w:val="-10"/>
        </w:rPr>
        <w:t>U</w:t>
      </w:r>
    </w:p>
    <w:p>
      <w:pPr>
        <w:spacing w:line="220" w:lineRule="auto" w:before="11"/>
        <w:ind w:left="436" w:right="116" w:firstLine="0"/>
        <w:jc w:val="left"/>
        <w:rPr>
          <w:sz w:val="16"/>
        </w:rPr>
      </w:pPr>
      <w:hyperlink w:history="true" w:anchor="_bookmark107">
        <w:r>
          <w:rPr>
            <w:color w:val="231F20"/>
            <w:sz w:val="16"/>
          </w:rPr>
          <w:t>Universal Message console view</w:t>
        </w:r>
        <w:r>
          <w:rPr>
            <w:color w:val="231F20"/>
            <w:spacing w:val="80"/>
            <w:sz w:val="16"/>
          </w:rPr>
          <w:t> </w:t>
        </w:r>
        <w:r>
          <w:rPr>
            <w:color w:val="231F20"/>
            <w:sz w:val="16"/>
          </w:rPr>
          <w:t>143</w:t>
        </w:r>
      </w:hyperlink>
      <w:r>
        <w:rPr>
          <w:color w:val="231F20"/>
          <w:spacing w:val="40"/>
          <w:sz w:val="16"/>
        </w:rPr>
        <w:t> </w:t>
      </w:r>
      <w:hyperlink w:history="true" w:anchor="_bookmark203">
        <w:r>
          <w:rPr>
            <w:color w:val="231F20"/>
            <w:sz w:val="16"/>
          </w:rPr>
          <w:t>Universal Message Events</w:t>
        </w:r>
        <w:r>
          <w:rPr>
            <w:color w:val="231F20"/>
            <w:spacing w:val="80"/>
            <w:sz w:val="16"/>
          </w:rPr>
          <w:t> </w:t>
        </w:r>
        <w:r>
          <w:rPr>
            <w:color w:val="231F20"/>
            <w:sz w:val="16"/>
          </w:rPr>
          <w:t>273</w:t>
        </w:r>
      </w:hyperlink>
      <w:r>
        <w:rPr>
          <w:color w:val="231F20"/>
          <w:spacing w:val="40"/>
          <w:sz w:val="16"/>
        </w:rPr>
        <w:t> </w:t>
      </w:r>
      <w:r>
        <w:rPr>
          <w:color w:val="231F20"/>
          <w:sz w:val="16"/>
        </w:rPr>
        <w:t>universal message view</w:t>
      </w:r>
    </w:p>
    <w:p>
      <w:pPr>
        <w:spacing w:line="220" w:lineRule="auto" w:before="3"/>
        <w:ind w:left="436" w:right="466" w:firstLine="239"/>
        <w:jc w:val="left"/>
        <w:rPr>
          <w:sz w:val="16"/>
        </w:rPr>
      </w:pPr>
      <w:hyperlink w:history="true" w:anchor="_bookmark76">
        <w:r>
          <w:rPr>
            <w:color w:val="231F20"/>
            <w:sz w:val="16"/>
          </w:rPr>
          <w:t>adding column thresholds</w:t>
        </w:r>
        <w:r>
          <w:rPr>
            <w:color w:val="231F20"/>
            <w:spacing w:val="80"/>
            <w:sz w:val="16"/>
          </w:rPr>
          <w:t> </w:t>
        </w:r>
        <w:r>
          <w:rPr>
            <w:color w:val="231F20"/>
            <w:sz w:val="16"/>
          </w:rPr>
          <w:t>99</w:t>
        </w:r>
      </w:hyperlink>
      <w:r>
        <w:rPr>
          <w:color w:val="231F20"/>
          <w:spacing w:val="40"/>
          <w:sz w:val="16"/>
        </w:rPr>
        <w:t> </w:t>
      </w:r>
      <w:hyperlink w:history="true" w:anchor="_bookmark192">
        <w:r>
          <w:rPr>
            <w:color w:val="231F20"/>
            <w:sz w:val="16"/>
          </w:rPr>
          <w:t>Until clause in a situation</w:t>
        </w:r>
        <w:r>
          <w:rPr>
            <w:color w:val="231F20"/>
            <w:spacing w:val="80"/>
            <w:sz w:val="16"/>
          </w:rPr>
          <w:t> </w:t>
        </w:r>
        <w:r>
          <w:rPr>
            <w:color w:val="231F20"/>
            <w:sz w:val="16"/>
          </w:rPr>
          <w:t>262</w:t>
        </w:r>
      </w:hyperlink>
      <w:r>
        <w:rPr>
          <w:color w:val="231F20"/>
          <w:spacing w:val="40"/>
          <w:sz w:val="16"/>
        </w:rPr>
        <w:t> </w:t>
      </w:r>
      <w:hyperlink w:history="true" w:anchor="_bookmark204">
        <w:r>
          <w:rPr>
            <w:color w:val="231F20"/>
            <w:sz w:val="16"/>
          </w:rPr>
          <w:t>Until modifier</w:t>
        </w:r>
        <w:r>
          <w:rPr>
            <w:color w:val="231F20"/>
            <w:spacing w:val="80"/>
            <w:sz w:val="16"/>
          </w:rPr>
          <w:t> </w:t>
        </w:r>
        <w:r>
          <w:rPr>
            <w:color w:val="231F20"/>
            <w:sz w:val="16"/>
          </w:rPr>
          <w:t>275</w:t>
        </w:r>
      </w:hyperlink>
    </w:p>
    <w:p>
      <w:pPr>
        <w:spacing w:line="220" w:lineRule="auto" w:before="3"/>
        <w:ind w:left="436" w:right="716" w:firstLine="0"/>
        <w:jc w:val="left"/>
        <w:rPr>
          <w:sz w:val="16"/>
        </w:rPr>
      </w:pPr>
      <w:hyperlink w:history="true" w:anchor="_bookmark262">
        <w:r>
          <w:rPr>
            <w:color w:val="231F20"/>
            <w:sz w:val="16"/>
          </w:rPr>
          <w:t>update request, JSON</w:t>
        </w:r>
        <w:r>
          <w:rPr>
            <w:color w:val="231F20"/>
            <w:spacing w:val="80"/>
            <w:sz w:val="16"/>
          </w:rPr>
          <w:t> </w:t>
        </w:r>
        <w:r>
          <w:rPr>
            <w:color w:val="231F20"/>
            <w:sz w:val="16"/>
          </w:rPr>
          <w:t>351</w:t>
        </w:r>
      </w:hyperlink>
      <w:r>
        <w:rPr>
          <w:color w:val="231F20"/>
          <w:spacing w:val="40"/>
          <w:sz w:val="16"/>
        </w:rPr>
        <w:t> </w:t>
      </w:r>
      <w:r>
        <w:rPr>
          <w:color w:val="231F20"/>
          <w:spacing w:val="-2"/>
          <w:sz w:val="16"/>
        </w:rPr>
        <w:t>upgrade</w:t>
      </w:r>
    </w:p>
    <w:p>
      <w:pPr>
        <w:spacing w:line="220" w:lineRule="auto" w:before="1"/>
        <w:ind w:left="796" w:right="65" w:hanging="120"/>
        <w:jc w:val="left"/>
        <w:rPr>
          <w:sz w:val="16"/>
        </w:rPr>
      </w:pPr>
      <w:hyperlink w:history="true" w:anchor="_bookmark156">
        <w:r>
          <w:rPr>
            <w:color w:val="231F20"/>
            <w:sz w:val="16"/>
          </w:rPr>
          <w:t>historical distribution method</w:t>
        </w:r>
        <w:r>
          <w:rPr>
            <w:color w:val="231F20"/>
            <w:spacing w:val="80"/>
            <w:sz w:val="16"/>
          </w:rPr>
          <w:t> </w:t>
        </w:r>
        <w:r>
          <w:rPr>
            <w:color w:val="231F20"/>
            <w:sz w:val="16"/>
          </w:rPr>
          <w:t>217,</w:t>
        </w:r>
      </w:hyperlink>
      <w:r>
        <w:rPr>
          <w:color w:val="231F20"/>
          <w:spacing w:val="40"/>
          <w:sz w:val="16"/>
        </w:rPr>
        <w:t> </w:t>
      </w:r>
      <w:hyperlink w:history="true" w:anchor="_bookmark165">
        <w:r>
          <w:rPr>
            <w:color w:val="231F20"/>
            <w:spacing w:val="-4"/>
            <w:sz w:val="16"/>
          </w:rPr>
          <w:t>231</w:t>
        </w:r>
      </w:hyperlink>
    </w:p>
    <w:p>
      <w:pPr>
        <w:spacing w:line="220" w:lineRule="auto" w:before="2"/>
        <w:ind w:left="436" w:right="1035" w:firstLine="0"/>
        <w:jc w:val="left"/>
        <w:rPr>
          <w:sz w:val="16"/>
        </w:rPr>
      </w:pPr>
      <w:hyperlink w:history="true" w:anchor="_bookmark122">
        <w:r>
          <w:rPr>
            <w:color w:val="231F20"/>
            <w:sz w:val="16"/>
          </w:rPr>
          <w:t>URL in browser view</w:t>
        </w:r>
        <w:r>
          <w:rPr>
            <w:color w:val="231F20"/>
            <w:spacing w:val="80"/>
            <w:sz w:val="16"/>
          </w:rPr>
          <w:t> </w:t>
        </w:r>
        <w:r>
          <w:rPr>
            <w:color w:val="231F20"/>
            <w:sz w:val="16"/>
          </w:rPr>
          <w:t>165</w:t>
        </w:r>
      </w:hyperlink>
      <w:r>
        <w:rPr>
          <w:color w:val="231F20"/>
          <w:spacing w:val="40"/>
          <w:sz w:val="16"/>
        </w:rPr>
        <w:t> </w:t>
      </w:r>
      <w:hyperlink w:history="true" w:anchor="_bookmark272">
        <w:r>
          <w:rPr>
            <w:color w:val="231F20"/>
            <w:sz w:val="16"/>
          </w:rPr>
          <w:t>user administration</w:t>
        </w:r>
        <w:r>
          <w:rPr>
            <w:color w:val="231F20"/>
            <w:spacing w:val="80"/>
            <w:sz w:val="16"/>
          </w:rPr>
          <w:t> </w:t>
        </w:r>
        <w:r>
          <w:rPr>
            <w:color w:val="231F20"/>
            <w:sz w:val="16"/>
          </w:rPr>
          <w:t>363</w:t>
        </w:r>
      </w:hyperlink>
    </w:p>
    <w:p>
      <w:pPr>
        <w:spacing w:line="196" w:lineRule="exact" w:before="0"/>
        <w:ind w:left="676" w:right="0" w:firstLine="0"/>
        <w:jc w:val="left"/>
        <w:rPr>
          <w:sz w:val="16"/>
        </w:rPr>
      </w:pPr>
      <w:hyperlink w:history="true" w:anchor="_bookmark281">
        <w:r>
          <w:rPr>
            <w:color w:val="231F20"/>
            <w:sz w:val="16"/>
          </w:rPr>
          <w:t>applications</w:t>
        </w:r>
        <w:r>
          <w:rPr>
            <w:color w:val="231F20"/>
            <w:spacing w:val="35"/>
            <w:sz w:val="16"/>
          </w:rPr>
          <w:t>  </w:t>
        </w:r>
        <w:r>
          <w:rPr>
            <w:color w:val="231F20"/>
            <w:spacing w:val="-5"/>
            <w:sz w:val="16"/>
          </w:rPr>
          <w:t>374</w:t>
        </w:r>
      </w:hyperlink>
    </w:p>
    <w:p>
      <w:pPr>
        <w:spacing w:line="200" w:lineRule="exact" w:before="0"/>
        <w:ind w:left="676" w:right="0" w:firstLine="0"/>
        <w:jc w:val="left"/>
        <w:rPr>
          <w:sz w:val="16"/>
        </w:rPr>
      </w:pPr>
      <w:hyperlink w:history="true" w:anchor="_bookmark283">
        <w:r>
          <w:rPr>
            <w:color w:val="231F20"/>
            <w:sz w:val="16"/>
          </w:rPr>
          <w:t>default</w:t>
        </w:r>
        <w:r>
          <w:rPr>
            <w:color w:val="231F20"/>
            <w:spacing w:val="10"/>
            <w:sz w:val="16"/>
          </w:rPr>
          <w:t> </w:t>
        </w:r>
        <w:r>
          <w:rPr>
            <w:color w:val="231F20"/>
            <w:sz w:val="16"/>
          </w:rPr>
          <w:t>user</w:t>
        </w:r>
        <w:r>
          <w:rPr>
            <w:color w:val="231F20"/>
            <w:spacing w:val="36"/>
            <w:sz w:val="16"/>
          </w:rPr>
          <w:t>  </w:t>
        </w:r>
        <w:r>
          <w:rPr>
            <w:color w:val="231F20"/>
            <w:spacing w:val="-5"/>
            <w:sz w:val="16"/>
          </w:rPr>
          <w:t>376</w:t>
        </w:r>
      </w:hyperlink>
    </w:p>
    <w:p>
      <w:pPr>
        <w:spacing w:line="220" w:lineRule="auto" w:before="6"/>
        <w:ind w:left="676" w:right="583" w:firstLine="0"/>
        <w:jc w:val="left"/>
        <w:rPr>
          <w:sz w:val="16"/>
        </w:rPr>
      </w:pPr>
      <w:hyperlink w:history="true" w:anchor="_bookmark283">
        <w:r>
          <w:rPr>
            <w:color w:val="231F20"/>
            <w:sz w:val="16"/>
          </w:rPr>
          <w:t>granting access to a user</w:t>
        </w:r>
        <w:r>
          <w:rPr>
            <w:color w:val="231F20"/>
            <w:spacing w:val="80"/>
            <w:sz w:val="16"/>
          </w:rPr>
          <w:t> </w:t>
        </w:r>
        <w:r>
          <w:rPr>
            <w:color w:val="231F20"/>
            <w:sz w:val="16"/>
          </w:rPr>
          <w:t>376</w:t>
        </w:r>
      </w:hyperlink>
      <w:r>
        <w:rPr>
          <w:color w:val="231F20"/>
          <w:spacing w:val="40"/>
          <w:sz w:val="16"/>
        </w:rPr>
        <w:t> </w:t>
      </w:r>
      <w:hyperlink w:history="true" w:anchor="_bookmark283">
        <w:r>
          <w:rPr>
            <w:color w:val="231F20"/>
            <w:sz w:val="16"/>
          </w:rPr>
          <w:t>major</w:t>
        </w:r>
        <w:r>
          <w:rPr>
            <w:color w:val="231F20"/>
            <w:spacing w:val="40"/>
            <w:sz w:val="16"/>
          </w:rPr>
          <w:t> </w:t>
        </w:r>
        <w:r>
          <w:rPr>
            <w:color w:val="231F20"/>
            <w:sz w:val="16"/>
          </w:rPr>
          <w:t>controls</w:t>
        </w:r>
        <w:r>
          <w:rPr>
            <w:color w:val="231F20"/>
            <w:spacing w:val="80"/>
            <w:w w:val="150"/>
            <w:sz w:val="16"/>
          </w:rPr>
          <w:t> </w:t>
        </w:r>
        <w:r>
          <w:rPr>
            <w:color w:val="231F20"/>
            <w:sz w:val="16"/>
          </w:rPr>
          <w:t>376</w:t>
        </w:r>
      </w:hyperlink>
      <w:r>
        <w:rPr>
          <w:color w:val="231F20"/>
          <w:spacing w:val="40"/>
          <w:sz w:val="16"/>
        </w:rPr>
        <w:t> </w:t>
      </w:r>
      <w:hyperlink w:history="true" w:anchor="_bookmark276">
        <w:r>
          <w:rPr>
            <w:color w:val="231F20"/>
            <w:sz w:val="16"/>
          </w:rPr>
          <w:t>managing user groups</w:t>
        </w:r>
        <w:r>
          <w:rPr>
            <w:color w:val="231F20"/>
            <w:spacing w:val="80"/>
            <w:sz w:val="16"/>
          </w:rPr>
          <w:t> </w:t>
        </w:r>
        <w:r>
          <w:rPr>
            <w:color w:val="231F20"/>
            <w:sz w:val="16"/>
          </w:rPr>
          <w:t>367</w:t>
        </w:r>
      </w:hyperlink>
      <w:r>
        <w:rPr>
          <w:color w:val="231F20"/>
          <w:spacing w:val="40"/>
          <w:sz w:val="16"/>
        </w:rPr>
        <w:t> </w:t>
      </w:r>
      <w:hyperlink w:history="true" w:anchor="_bookmark273">
        <w:r>
          <w:rPr>
            <w:color w:val="231F20"/>
            <w:sz w:val="16"/>
          </w:rPr>
          <w:t>managing user IDs</w:t>
        </w:r>
        <w:r>
          <w:rPr>
            <w:color w:val="231F20"/>
            <w:spacing w:val="80"/>
            <w:sz w:val="16"/>
          </w:rPr>
          <w:t> </w:t>
        </w:r>
        <w:r>
          <w:rPr>
            <w:color w:val="231F20"/>
            <w:sz w:val="16"/>
          </w:rPr>
          <w:t>364</w:t>
        </w:r>
      </w:hyperlink>
      <w:r>
        <w:rPr>
          <w:color w:val="231F20"/>
          <w:spacing w:val="40"/>
          <w:sz w:val="16"/>
        </w:rPr>
        <w:t> </w:t>
      </w:r>
      <w:hyperlink w:history="true" w:anchor="_bookmark282">
        <w:r>
          <w:rPr>
            <w:color w:val="231F20"/>
            <w:sz w:val="16"/>
          </w:rPr>
          <w:t>members</w:t>
        </w:r>
        <w:r>
          <w:rPr>
            <w:color w:val="231F20"/>
            <w:spacing w:val="80"/>
            <w:sz w:val="16"/>
          </w:rPr>
          <w:t> </w:t>
        </w:r>
        <w:r>
          <w:rPr>
            <w:color w:val="231F20"/>
            <w:sz w:val="16"/>
          </w:rPr>
          <w:t>375</w:t>
        </w:r>
      </w:hyperlink>
    </w:p>
    <w:p>
      <w:pPr>
        <w:spacing w:line="199" w:lineRule="exact" w:before="0"/>
        <w:ind w:left="676" w:right="0" w:firstLine="0"/>
        <w:jc w:val="left"/>
        <w:rPr>
          <w:sz w:val="16"/>
        </w:rPr>
      </w:pPr>
      <w:hyperlink w:history="true" w:anchor="_bookmark282">
        <w:r>
          <w:rPr>
            <w:color w:val="231F20"/>
            <w:sz w:val="16"/>
          </w:rPr>
          <w:t>Navigator</w:t>
        </w:r>
        <w:r>
          <w:rPr>
            <w:color w:val="231F20"/>
            <w:spacing w:val="10"/>
            <w:sz w:val="16"/>
          </w:rPr>
          <w:t> </w:t>
        </w:r>
        <w:r>
          <w:rPr>
            <w:color w:val="231F20"/>
            <w:sz w:val="16"/>
          </w:rPr>
          <w:t>views</w:t>
        </w:r>
        <w:r>
          <w:rPr>
            <w:color w:val="231F20"/>
            <w:spacing w:val="35"/>
            <w:sz w:val="16"/>
          </w:rPr>
          <w:t>  </w:t>
        </w:r>
        <w:r>
          <w:rPr>
            <w:color w:val="231F20"/>
            <w:spacing w:val="-5"/>
            <w:sz w:val="16"/>
          </w:rPr>
          <w:t>375</w:t>
        </w:r>
      </w:hyperlink>
    </w:p>
    <w:p>
      <w:pPr>
        <w:spacing w:line="220" w:lineRule="auto" w:before="5"/>
        <w:ind w:left="676" w:right="716" w:firstLine="0"/>
        <w:jc w:val="left"/>
        <w:rPr>
          <w:sz w:val="16"/>
        </w:rPr>
      </w:pPr>
      <w:hyperlink w:history="true" w:anchor="_bookmark280">
        <w:r>
          <w:rPr>
            <w:color w:val="231F20"/>
            <w:sz w:val="16"/>
          </w:rPr>
          <w:t>permissions</w:t>
        </w:r>
        <w:r>
          <w:rPr>
            <w:color w:val="231F20"/>
            <w:spacing w:val="80"/>
            <w:sz w:val="16"/>
          </w:rPr>
          <w:t> </w:t>
        </w:r>
        <w:r>
          <w:rPr>
            <w:color w:val="231F20"/>
            <w:sz w:val="16"/>
          </w:rPr>
          <w:t>371</w:t>
        </w:r>
      </w:hyperlink>
      <w:r>
        <w:rPr>
          <w:color w:val="231F20"/>
          <w:spacing w:val="40"/>
          <w:sz w:val="16"/>
        </w:rPr>
        <w:t> </w:t>
      </w:r>
      <w:hyperlink w:history="true" w:anchor="_bookmark283">
        <w:r>
          <w:rPr>
            <w:color w:val="231F20"/>
            <w:sz w:val="16"/>
          </w:rPr>
          <w:t>SYSADMIN</w:t>
        </w:r>
        <w:r>
          <w:rPr>
            <w:color w:val="231F20"/>
            <w:spacing w:val="10"/>
            <w:sz w:val="16"/>
          </w:rPr>
          <w:t> </w:t>
        </w:r>
        <w:r>
          <w:rPr>
            <w:color w:val="231F20"/>
            <w:sz w:val="16"/>
          </w:rPr>
          <w:t>logon</w:t>
        </w:r>
        <w:r>
          <w:rPr>
            <w:color w:val="231F20"/>
            <w:spacing w:val="10"/>
            <w:sz w:val="16"/>
          </w:rPr>
          <w:t> </w:t>
        </w:r>
        <w:r>
          <w:rPr>
            <w:color w:val="231F20"/>
            <w:sz w:val="16"/>
          </w:rPr>
          <w:t>ID</w:t>
        </w:r>
        <w:r>
          <w:rPr>
            <w:color w:val="231F20"/>
            <w:spacing w:val="35"/>
            <w:sz w:val="16"/>
          </w:rPr>
          <w:t>  </w:t>
        </w:r>
        <w:r>
          <w:rPr>
            <w:color w:val="231F20"/>
            <w:spacing w:val="-5"/>
            <w:sz w:val="16"/>
          </w:rPr>
          <w:t>376</w:t>
        </w:r>
      </w:hyperlink>
    </w:p>
    <w:p>
      <w:pPr>
        <w:spacing w:line="220" w:lineRule="auto" w:before="2"/>
        <w:ind w:left="796" w:right="716" w:hanging="120"/>
        <w:jc w:val="left"/>
        <w:rPr>
          <w:sz w:val="16"/>
        </w:rPr>
      </w:pPr>
      <w:hyperlink w:history="true" w:anchor="_bookmark286">
        <w:r>
          <w:rPr>
            <w:color w:val="231F20"/>
            <w:sz w:val="16"/>
          </w:rPr>
          <w:t>troubleshooting</w:t>
        </w:r>
        <w:r>
          <w:rPr>
            <w:color w:val="231F20"/>
            <w:spacing w:val="-6"/>
            <w:sz w:val="16"/>
          </w:rPr>
          <w:t> </w:t>
        </w:r>
        <w:r>
          <w:rPr>
            <w:color w:val="231F20"/>
            <w:sz w:val="16"/>
          </w:rPr>
          <w:t>logon</w:t>
        </w:r>
        <w:r>
          <w:rPr>
            <w:color w:val="231F20"/>
            <w:spacing w:val="-6"/>
            <w:sz w:val="16"/>
          </w:rPr>
          <w:t> </w:t>
        </w:r>
        <w:r>
          <w:rPr>
            <w:color w:val="231F20"/>
            <w:sz w:val="16"/>
          </w:rPr>
          <w:t>error</w:t>
        </w:r>
      </w:hyperlink>
      <w:r>
        <w:rPr>
          <w:color w:val="231F20"/>
          <w:spacing w:val="40"/>
          <w:sz w:val="16"/>
        </w:rPr>
        <w:t> </w:t>
      </w:r>
      <w:hyperlink w:history="true" w:anchor="_bookmark286">
        <w:r>
          <w:rPr>
            <w:color w:val="231F20"/>
            <w:sz w:val="16"/>
          </w:rPr>
          <w:t>messages</w:t>
        </w:r>
        <w:r>
          <w:rPr>
            <w:color w:val="231F20"/>
            <w:spacing w:val="80"/>
            <w:sz w:val="16"/>
          </w:rPr>
          <w:t> </w:t>
        </w:r>
        <w:r>
          <w:rPr>
            <w:color w:val="231F20"/>
            <w:sz w:val="16"/>
          </w:rPr>
          <w:t>379</w:t>
        </w:r>
      </w:hyperlink>
    </w:p>
    <w:p>
      <w:pPr>
        <w:spacing w:line="220" w:lineRule="auto" w:before="2"/>
        <w:ind w:left="676" w:right="716" w:firstLine="0"/>
        <w:jc w:val="left"/>
        <w:rPr>
          <w:sz w:val="16"/>
        </w:rPr>
      </w:pPr>
      <w:hyperlink w:history="true" w:anchor="_bookmark283">
        <w:r>
          <w:rPr>
            <w:color w:val="231F20"/>
            <w:sz w:val="16"/>
          </w:rPr>
          <w:t>user ID and groups</w:t>
        </w:r>
        <w:r>
          <w:rPr>
            <w:color w:val="231F20"/>
            <w:spacing w:val="80"/>
            <w:sz w:val="16"/>
          </w:rPr>
          <w:t> </w:t>
        </w:r>
        <w:r>
          <w:rPr>
            <w:color w:val="231F20"/>
            <w:sz w:val="16"/>
          </w:rPr>
          <w:t>376</w:t>
        </w:r>
      </w:hyperlink>
      <w:r>
        <w:rPr>
          <w:color w:val="231F20"/>
          <w:spacing w:val="40"/>
          <w:sz w:val="16"/>
        </w:rPr>
        <w:t> </w:t>
      </w:r>
      <w:hyperlink w:history="true" w:anchor="_bookmark285">
        <w:r>
          <w:rPr>
            <w:color w:val="231F20"/>
            <w:sz w:val="16"/>
          </w:rPr>
          <w:t>user ID for Take Action</w:t>
        </w:r>
      </w:hyperlink>
    </w:p>
    <w:p>
      <w:pPr>
        <w:spacing w:line="196" w:lineRule="exact" w:before="0"/>
        <w:ind w:left="796" w:right="0" w:firstLine="0"/>
        <w:jc w:val="left"/>
        <w:rPr>
          <w:sz w:val="16"/>
        </w:rPr>
      </w:pPr>
      <w:hyperlink w:history="true" w:anchor="_bookmark285">
        <w:r>
          <w:rPr>
            <w:color w:val="231F20"/>
            <w:sz w:val="16"/>
          </w:rPr>
          <w:t>commands</w:t>
        </w:r>
        <w:r>
          <w:rPr>
            <w:color w:val="231F20"/>
            <w:spacing w:val="35"/>
            <w:sz w:val="16"/>
          </w:rPr>
          <w:t>  </w:t>
        </w:r>
        <w:r>
          <w:rPr>
            <w:color w:val="231F20"/>
            <w:spacing w:val="-5"/>
            <w:sz w:val="16"/>
          </w:rPr>
          <w:t>378</w:t>
        </w:r>
      </w:hyperlink>
    </w:p>
    <w:p>
      <w:pPr>
        <w:spacing w:line="220" w:lineRule="auto" w:before="5"/>
        <w:ind w:left="796" w:right="0" w:hanging="120"/>
        <w:jc w:val="left"/>
        <w:rPr>
          <w:sz w:val="16"/>
        </w:rPr>
      </w:pPr>
      <w:hyperlink w:history="true" w:anchor="_bookmark284">
        <w:r>
          <w:rPr>
            <w:color w:val="231F20"/>
            <w:sz w:val="16"/>
          </w:rPr>
          <w:t>user IDs for Dashboard</w:t>
        </w:r>
        <w:r>
          <w:rPr>
            <w:color w:val="231F20"/>
            <w:spacing w:val="-4"/>
            <w:sz w:val="16"/>
          </w:rPr>
          <w:t> </w:t>
        </w:r>
        <w:r>
          <w:rPr>
            <w:color w:val="231F20"/>
            <w:sz w:val="16"/>
          </w:rPr>
          <w:t>Application</w:t>
        </w:r>
      </w:hyperlink>
      <w:r>
        <w:rPr>
          <w:color w:val="231F20"/>
          <w:spacing w:val="40"/>
          <w:sz w:val="16"/>
        </w:rPr>
        <w:t> </w:t>
      </w:r>
      <w:hyperlink w:history="true" w:anchor="_bookmark284">
        <w:r>
          <w:rPr>
            <w:color w:val="231F20"/>
            <w:sz w:val="16"/>
          </w:rPr>
          <w:t>Services Hub</w:t>
        </w:r>
        <w:r>
          <w:rPr>
            <w:color w:val="231F20"/>
            <w:spacing w:val="80"/>
            <w:sz w:val="16"/>
          </w:rPr>
          <w:t> </w:t>
        </w:r>
        <w:r>
          <w:rPr>
            <w:color w:val="231F20"/>
            <w:sz w:val="16"/>
          </w:rPr>
          <w:t>377</w:t>
        </w:r>
      </w:hyperlink>
    </w:p>
    <w:p>
      <w:pPr>
        <w:spacing w:line="220" w:lineRule="auto" w:before="2"/>
        <w:ind w:left="676" w:right="47" w:firstLine="0"/>
        <w:jc w:val="left"/>
        <w:rPr>
          <w:sz w:val="16"/>
        </w:rPr>
      </w:pPr>
      <w:hyperlink w:history="true" w:anchor="_bookmark280">
        <w:r>
          <w:rPr>
            <w:color w:val="231F20"/>
            <w:sz w:val="16"/>
          </w:rPr>
          <w:t>Users and User Groups window</w:t>
        </w:r>
        <w:r>
          <w:rPr>
            <w:color w:val="231F20"/>
            <w:spacing w:val="80"/>
            <w:sz w:val="16"/>
          </w:rPr>
          <w:t> </w:t>
        </w:r>
        <w:r>
          <w:rPr>
            <w:color w:val="231F20"/>
            <w:sz w:val="16"/>
          </w:rPr>
          <w:t>371</w:t>
        </w:r>
      </w:hyperlink>
      <w:r>
        <w:rPr>
          <w:color w:val="231F20"/>
          <w:spacing w:val="40"/>
          <w:sz w:val="16"/>
        </w:rPr>
        <w:t> </w:t>
      </w:r>
      <w:hyperlink w:history="true" w:anchor="_bookmark284">
        <w:r>
          <w:rPr>
            <w:color w:val="231F20"/>
            <w:sz w:val="16"/>
          </w:rPr>
          <w:t>validating user access</w:t>
        </w:r>
        <w:r>
          <w:rPr>
            <w:color w:val="231F20"/>
            <w:spacing w:val="80"/>
            <w:sz w:val="16"/>
          </w:rPr>
          <w:t> </w:t>
        </w:r>
        <w:r>
          <w:rPr>
            <w:color w:val="231F20"/>
            <w:sz w:val="16"/>
          </w:rPr>
          <w:t>377</w:t>
        </w:r>
      </w:hyperlink>
      <w:r>
        <w:rPr>
          <w:color w:val="231F20"/>
          <w:spacing w:val="80"/>
          <w:sz w:val="16"/>
        </w:rPr>
        <w:t> </w:t>
      </w:r>
      <w:hyperlink w:history="true" w:anchor="_bookmark283">
        <w:r>
          <w:rPr>
            <w:color w:val="231F20"/>
            <w:sz w:val="16"/>
          </w:rPr>
          <w:t>workspace administration mode</w:t>
        </w:r>
        <w:r>
          <w:rPr>
            <w:color w:val="231F20"/>
            <w:spacing w:val="80"/>
            <w:sz w:val="16"/>
          </w:rPr>
          <w:t> </w:t>
        </w:r>
        <w:r>
          <w:rPr>
            <w:color w:val="231F20"/>
            <w:sz w:val="16"/>
          </w:rPr>
          <w:t>376</w:t>
        </w:r>
      </w:hyperlink>
    </w:p>
    <w:p>
      <w:pPr>
        <w:spacing w:line="208" w:lineRule="exact" w:before="54"/>
        <w:ind w:left="261" w:right="0" w:firstLine="0"/>
        <w:jc w:val="left"/>
        <w:rPr>
          <w:sz w:val="16"/>
        </w:rPr>
      </w:pPr>
      <w:r>
        <w:rPr/>
        <w:br w:type="column"/>
      </w:r>
      <w:hyperlink w:history="true" w:anchor="_bookmark276">
        <w:r>
          <w:rPr>
            <w:color w:val="231F20"/>
            <w:sz w:val="16"/>
          </w:rPr>
          <w:t>user</w:t>
        </w:r>
        <w:r>
          <w:rPr>
            <w:color w:val="231F20"/>
            <w:spacing w:val="10"/>
            <w:sz w:val="16"/>
          </w:rPr>
          <w:t> </w:t>
        </w:r>
        <w:r>
          <w:rPr>
            <w:color w:val="231F20"/>
            <w:sz w:val="16"/>
          </w:rPr>
          <w:t>groups</w:t>
        </w:r>
        <w:r>
          <w:rPr>
            <w:color w:val="231F20"/>
            <w:spacing w:val="35"/>
            <w:sz w:val="16"/>
          </w:rPr>
          <w:t>  </w:t>
        </w:r>
        <w:r>
          <w:rPr>
            <w:color w:val="231F20"/>
            <w:spacing w:val="-5"/>
            <w:sz w:val="16"/>
          </w:rPr>
          <w:t>367</w:t>
        </w:r>
      </w:hyperlink>
    </w:p>
    <w:p>
      <w:pPr>
        <w:spacing w:line="200" w:lineRule="exact" w:before="0"/>
        <w:ind w:left="500" w:right="0" w:firstLine="0"/>
        <w:jc w:val="left"/>
        <w:rPr>
          <w:sz w:val="16"/>
        </w:rPr>
      </w:pPr>
      <w:hyperlink w:history="true" w:anchor="_bookmark277">
        <w:r>
          <w:rPr>
            <w:color w:val="231F20"/>
            <w:sz w:val="16"/>
          </w:rPr>
          <w:t>adding</w:t>
        </w:r>
        <w:r>
          <w:rPr>
            <w:color w:val="231F20"/>
            <w:spacing w:val="36"/>
            <w:sz w:val="16"/>
          </w:rPr>
          <w:t>  </w:t>
        </w:r>
        <w:r>
          <w:rPr>
            <w:color w:val="231F20"/>
            <w:spacing w:val="-5"/>
            <w:sz w:val="16"/>
          </w:rPr>
          <w:t>368</w:t>
        </w:r>
      </w:hyperlink>
    </w:p>
    <w:p>
      <w:pPr>
        <w:spacing w:line="200" w:lineRule="exact" w:before="0"/>
        <w:ind w:left="500" w:right="0" w:firstLine="0"/>
        <w:jc w:val="left"/>
        <w:rPr>
          <w:sz w:val="16"/>
        </w:rPr>
      </w:pPr>
      <w:hyperlink w:history="true" w:anchor="_bookmark279">
        <w:r>
          <w:rPr>
            <w:color w:val="231F20"/>
            <w:sz w:val="16"/>
          </w:rPr>
          <w:t>removing</w:t>
        </w:r>
        <w:r>
          <w:rPr>
            <w:color w:val="231F20"/>
            <w:spacing w:val="34"/>
            <w:sz w:val="16"/>
          </w:rPr>
          <w:t>  </w:t>
        </w:r>
        <w:r>
          <w:rPr>
            <w:color w:val="231F20"/>
            <w:spacing w:val="-5"/>
            <w:sz w:val="16"/>
          </w:rPr>
          <w:t>370</w:t>
        </w:r>
      </w:hyperlink>
    </w:p>
    <w:p>
      <w:pPr>
        <w:spacing w:line="220" w:lineRule="auto" w:before="5"/>
        <w:ind w:left="500" w:right="197" w:firstLine="0"/>
        <w:jc w:val="left"/>
        <w:rPr>
          <w:sz w:val="16"/>
        </w:rPr>
      </w:pPr>
      <w:hyperlink w:history="true" w:anchor="_bookmark278">
        <w:r>
          <w:rPr>
            <w:color w:val="231F20"/>
            <w:sz w:val="16"/>
          </w:rPr>
          <w:t>reviewing and editing</w:t>
        </w:r>
        <w:r>
          <w:rPr>
            <w:color w:val="231F20"/>
            <w:spacing w:val="80"/>
            <w:sz w:val="16"/>
          </w:rPr>
          <w:t> </w:t>
        </w:r>
        <w:r>
          <w:rPr>
            <w:color w:val="231F20"/>
            <w:sz w:val="16"/>
          </w:rPr>
          <w:t>369</w:t>
        </w:r>
      </w:hyperlink>
      <w:r>
        <w:rPr>
          <w:color w:val="231F20"/>
          <w:spacing w:val="40"/>
          <w:sz w:val="16"/>
        </w:rPr>
        <w:t> </w:t>
      </w:r>
      <w:hyperlink w:history="true" w:anchor="_bookmark277">
        <w:r>
          <w:rPr>
            <w:color w:val="231F20"/>
            <w:sz w:val="16"/>
          </w:rPr>
          <w:t>viewing</w:t>
        </w:r>
        <w:r>
          <w:rPr>
            <w:color w:val="231F20"/>
            <w:spacing w:val="9"/>
            <w:sz w:val="16"/>
          </w:rPr>
          <w:t> </w:t>
        </w:r>
        <w:r>
          <w:rPr>
            <w:color w:val="231F20"/>
            <w:sz w:val="16"/>
          </w:rPr>
          <w:t>memberships</w:t>
        </w:r>
        <w:r>
          <w:rPr>
            <w:color w:val="231F20"/>
            <w:spacing w:val="33"/>
            <w:sz w:val="16"/>
          </w:rPr>
          <w:t>  </w:t>
        </w:r>
        <w:r>
          <w:rPr>
            <w:color w:val="231F20"/>
            <w:spacing w:val="-5"/>
            <w:sz w:val="16"/>
          </w:rPr>
          <w:t>368</w:t>
        </w:r>
      </w:hyperlink>
    </w:p>
    <w:p>
      <w:pPr>
        <w:spacing w:line="196" w:lineRule="exact" w:before="0"/>
        <w:ind w:left="261" w:right="0" w:firstLine="0"/>
        <w:jc w:val="left"/>
        <w:rPr>
          <w:sz w:val="16"/>
        </w:rPr>
      </w:pPr>
      <w:hyperlink w:history="true" w:anchor="_bookmark273">
        <w:r>
          <w:rPr>
            <w:color w:val="231F20"/>
            <w:sz w:val="16"/>
          </w:rPr>
          <w:t>user</w:t>
        </w:r>
        <w:r>
          <w:rPr>
            <w:color w:val="231F20"/>
            <w:spacing w:val="11"/>
            <w:sz w:val="16"/>
          </w:rPr>
          <w:t> </w:t>
        </w:r>
        <w:r>
          <w:rPr>
            <w:color w:val="231F20"/>
            <w:sz w:val="16"/>
          </w:rPr>
          <w:t>IDs</w:t>
        </w:r>
        <w:r>
          <w:rPr>
            <w:color w:val="231F20"/>
            <w:spacing w:val="37"/>
            <w:sz w:val="16"/>
          </w:rPr>
          <w:t>  </w:t>
        </w:r>
        <w:r>
          <w:rPr>
            <w:color w:val="231F20"/>
            <w:spacing w:val="-5"/>
            <w:sz w:val="16"/>
          </w:rPr>
          <w:t>364</w:t>
        </w:r>
      </w:hyperlink>
    </w:p>
    <w:p>
      <w:pPr>
        <w:spacing w:line="220" w:lineRule="auto" w:before="5"/>
        <w:ind w:left="500" w:right="806" w:firstLine="0"/>
        <w:jc w:val="left"/>
        <w:rPr>
          <w:sz w:val="16"/>
        </w:rPr>
      </w:pPr>
      <w:hyperlink w:history="true" w:anchor="_bookmark275">
        <w:r>
          <w:rPr>
            <w:color w:val="231F20"/>
            <w:sz w:val="16"/>
          </w:rPr>
          <w:t>adding a user ID</w:t>
        </w:r>
        <w:r>
          <w:rPr>
            <w:color w:val="231F20"/>
            <w:spacing w:val="80"/>
            <w:sz w:val="16"/>
          </w:rPr>
          <w:t> </w:t>
        </w:r>
        <w:r>
          <w:rPr>
            <w:color w:val="231F20"/>
            <w:sz w:val="16"/>
          </w:rPr>
          <w:t>366</w:t>
        </w:r>
      </w:hyperlink>
      <w:r>
        <w:rPr>
          <w:color w:val="231F20"/>
          <w:spacing w:val="40"/>
          <w:sz w:val="16"/>
        </w:rPr>
        <w:t> </w:t>
      </w:r>
      <w:hyperlink w:history="true" w:anchor="_bookmark276">
        <w:r>
          <w:rPr>
            <w:color w:val="231F20"/>
            <w:sz w:val="16"/>
          </w:rPr>
          <w:t>default user</w:t>
        </w:r>
        <w:r>
          <w:rPr>
            <w:color w:val="231F20"/>
            <w:spacing w:val="80"/>
            <w:sz w:val="16"/>
          </w:rPr>
          <w:t> </w:t>
        </w:r>
        <w:r>
          <w:rPr>
            <w:color w:val="231F20"/>
            <w:sz w:val="16"/>
          </w:rPr>
          <w:t>367</w:t>
        </w:r>
      </w:hyperlink>
      <w:r>
        <w:rPr>
          <w:color w:val="231F20"/>
          <w:spacing w:val="40"/>
          <w:sz w:val="16"/>
        </w:rPr>
        <w:t> </w:t>
      </w:r>
      <w:hyperlink w:history="true" w:anchor="_bookmark276">
        <w:r>
          <w:rPr>
            <w:color w:val="231F20"/>
            <w:sz w:val="16"/>
          </w:rPr>
          <w:t>removing a user ID</w:t>
        </w:r>
        <w:r>
          <w:rPr>
            <w:color w:val="231F20"/>
            <w:spacing w:val="80"/>
            <w:sz w:val="16"/>
          </w:rPr>
          <w:t> </w:t>
        </w:r>
        <w:r>
          <w:rPr>
            <w:color w:val="231F20"/>
            <w:sz w:val="16"/>
          </w:rPr>
          <w:t>367</w:t>
        </w:r>
      </w:hyperlink>
    </w:p>
    <w:p>
      <w:pPr>
        <w:spacing w:line="220" w:lineRule="auto" w:before="3"/>
        <w:ind w:left="261" w:right="106" w:firstLine="239"/>
        <w:jc w:val="left"/>
        <w:rPr>
          <w:sz w:val="16"/>
        </w:rPr>
      </w:pPr>
      <w:hyperlink w:history="true" w:anchor="_bookmark273">
        <w:r>
          <w:rPr>
            <w:color w:val="231F20"/>
            <w:sz w:val="16"/>
          </w:rPr>
          <w:t>viewing and editing a user ID</w:t>
        </w:r>
        <w:r>
          <w:rPr>
            <w:color w:val="231F20"/>
            <w:spacing w:val="80"/>
            <w:sz w:val="16"/>
          </w:rPr>
          <w:t> </w:t>
        </w:r>
        <w:r>
          <w:rPr>
            <w:color w:val="231F20"/>
            <w:sz w:val="16"/>
          </w:rPr>
          <w:t>364</w:t>
        </w:r>
      </w:hyperlink>
      <w:r>
        <w:rPr>
          <w:color w:val="231F20"/>
          <w:spacing w:val="40"/>
          <w:sz w:val="16"/>
        </w:rPr>
        <w:t> </w:t>
      </w:r>
      <w:hyperlink w:history="true" w:anchor="_bookmark134">
        <w:r>
          <w:rPr>
            <w:color w:val="231F20"/>
            <w:sz w:val="16"/>
          </w:rPr>
          <w:t>user-defined functions</w:t>
        </w:r>
        <w:r>
          <w:rPr>
            <w:color w:val="231F20"/>
            <w:spacing w:val="80"/>
            <w:sz w:val="16"/>
          </w:rPr>
          <w:t> </w:t>
        </w:r>
        <w:r>
          <w:rPr>
            <w:color w:val="231F20"/>
            <w:sz w:val="16"/>
          </w:rPr>
          <w:t>181</w:t>
        </w:r>
      </w:hyperlink>
    </w:p>
    <w:p>
      <w:pPr>
        <w:pStyle w:val="BodyText"/>
        <w:spacing w:before="109"/>
        <w:rPr>
          <w:sz w:val="16"/>
        </w:rPr>
      </w:pPr>
    </w:p>
    <w:p>
      <w:pPr>
        <w:pStyle w:val="Heading1"/>
        <w:ind w:left="261"/>
      </w:pPr>
      <w:bookmarkStart w:name="V" w:id="770"/>
      <w:bookmarkEnd w:id="770"/>
      <w:r>
        <w:rPr>
          <w:b w:val="0"/>
        </w:rPr>
      </w:r>
      <w:r>
        <w:rPr>
          <w:color w:val="231F20"/>
          <w:spacing w:val="-10"/>
        </w:rPr>
        <w:t>V</w:t>
      </w:r>
    </w:p>
    <w:p>
      <w:pPr>
        <w:spacing w:line="220" w:lineRule="auto" w:before="11"/>
        <w:ind w:left="261" w:right="731" w:firstLine="0"/>
        <w:jc w:val="left"/>
        <w:rPr>
          <w:sz w:val="16"/>
        </w:rPr>
      </w:pPr>
      <w:hyperlink w:history="true" w:anchor="_bookmark93">
        <w:r>
          <w:rPr>
            <w:color w:val="231F20"/>
            <w:sz w:val="16"/>
          </w:rPr>
          <w:t>value axis of chart</w:t>
        </w:r>
        <w:r>
          <w:rPr>
            <w:color w:val="231F20"/>
            <w:spacing w:val="80"/>
            <w:sz w:val="16"/>
          </w:rPr>
          <w:t> </w:t>
        </w:r>
        <w:r>
          <w:rPr>
            <w:color w:val="231F20"/>
            <w:sz w:val="16"/>
          </w:rPr>
          <w:t>123</w:t>
        </w:r>
      </w:hyperlink>
      <w:r>
        <w:rPr>
          <w:color w:val="231F20"/>
          <w:spacing w:val="40"/>
          <w:sz w:val="16"/>
        </w:rPr>
        <w:t> </w:t>
      </w:r>
      <w:hyperlink w:history="true" w:anchor="_bookmark331">
        <w:r>
          <w:rPr>
            <w:color w:val="231F20"/>
            <w:sz w:val="16"/>
          </w:rPr>
          <w:t>VALUE formula function</w:t>
        </w:r>
        <w:r>
          <w:rPr>
            <w:color w:val="231F20"/>
            <w:spacing w:val="80"/>
            <w:sz w:val="16"/>
          </w:rPr>
          <w:t> </w:t>
        </w:r>
        <w:r>
          <w:rPr>
            <w:color w:val="231F20"/>
            <w:sz w:val="16"/>
          </w:rPr>
          <w:t>422</w:t>
        </w:r>
      </w:hyperlink>
      <w:r>
        <w:rPr>
          <w:color w:val="231F20"/>
          <w:spacing w:val="40"/>
          <w:sz w:val="16"/>
        </w:rPr>
        <w:t> </w:t>
      </w:r>
      <w:hyperlink w:history="true" w:anchor="_bookmark331">
        <w:r>
          <w:rPr>
            <w:color w:val="231F20"/>
            <w:sz w:val="16"/>
          </w:rPr>
          <w:t>Value of expression</w:t>
        </w:r>
        <w:r>
          <w:rPr>
            <w:color w:val="231F20"/>
            <w:spacing w:val="80"/>
            <w:sz w:val="16"/>
          </w:rPr>
          <w:t> </w:t>
        </w:r>
        <w:r>
          <w:rPr>
            <w:color w:val="231F20"/>
            <w:sz w:val="16"/>
          </w:rPr>
          <w:t>422</w:t>
        </w:r>
      </w:hyperlink>
      <w:r>
        <w:rPr>
          <w:color w:val="231F20"/>
          <w:spacing w:val="80"/>
          <w:sz w:val="16"/>
        </w:rPr>
        <w:t> </w:t>
      </w:r>
      <w:hyperlink w:history="true" w:anchor="_bookmark332">
        <w:r>
          <w:rPr>
            <w:color w:val="231F20"/>
            <w:sz w:val="16"/>
          </w:rPr>
          <w:t>Value of expression IN</w:t>
        </w:r>
        <w:r>
          <w:rPr>
            <w:color w:val="231F20"/>
            <w:spacing w:val="80"/>
            <w:sz w:val="16"/>
          </w:rPr>
          <w:t> </w:t>
        </w:r>
        <w:r>
          <w:rPr>
            <w:color w:val="231F20"/>
            <w:sz w:val="16"/>
          </w:rPr>
          <w:t>423</w:t>
        </w:r>
      </w:hyperlink>
      <w:r>
        <w:rPr>
          <w:color w:val="231F20"/>
          <w:spacing w:val="40"/>
          <w:sz w:val="16"/>
        </w:rPr>
        <w:t> </w:t>
      </w:r>
      <w:r>
        <w:rPr>
          <w:color w:val="231F20"/>
          <w:spacing w:val="-4"/>
          <w:sz w:val="16"/>
        </w:rPr>
        <w:t>view</w:t>
      </w:r>
    </w:p>
    <w:p>
      <w:pPr>
        <w:spacing w:line="220" w:lineRule="auto" w:before="5"/>
        <w:ind w:left="500" w:right="808" w:firstLine="0"/>
        <w:jc w:val="left"/>
        <w:rPr>
          <w:sz w:val="16"/>
        </w:rPr>
      </w:pPr>
      <w:hyperlink w:history="true" w:anchor="_bookmark66">
        <w:r>
          <w:rPr>
            <w:color w:val="231F20"/>
            <w:sz w:val="16"/>
          </w:rPr>
          <w:t>assign a query to</w:t>
        </w:r>
        <w:r>
          <w:rPr>
            <w:color w:val="231F20"/>
            <w:spacing w:val="80"/>
            <w:sz w:val="16"/>
          </w:rPr>
          <w:t> </w:t>
        </w:r>
        <w:r>
          <w:rPr>
            <w:color w:val="231F20"/>
            <w:sz w:val="16"/>
          </w:rPr>
          <w:t>86</w:t>
        </w:r>
      </w:hyperlink>
      <w:r>
        <w:rPr>
          <w:color w:val="231F20"/>
          <w:spacing w:val="40"/>
          <w:sz w:val="16"/>
        </w:rPr>
        <w:t> </w:t>
      </w:r>
      <w:hyperlink w:history="true" w:anchor="_bookmark63">
        <w:r>
          <w:rPr>
            <w:color w:val="231F20"/>
            <w:sz w:val="16"/>
          </w:rPr>
          <w:t>create</w:t>
        </w:r>
        <w:r>
          <w:rPr>
            <w:color w:val="231F20"/>
            <w:spacing w:val="80"/>
            <w:sz w:val="16"/>
          </w:rPr>
          <w:t> </w:t>
        </w:r>
        <w:r>
          <w:rPr>
            <w:color w:val="231F20"/>
            <w:sz w:val="16"/>
          </w:rPr>
          <w:t>83,</w:t>
        </w:r>
      </w:hyperlink>
      <w:r>
        <w:rPr>
          <w:color w:val="231F20"/>
          <w:sz w:val="16"/>
        </w:rPr>
        <w:t> </w:t>
      </w:r>
      <w:hyperlink w:history="true" w:anchor="_bookmark79">
        <w:r>
          <w:rPr>
            <w:color w:val="231F20"/>
            <w:sz w:val="16"/>
          </w:rPr>
          <w:t>102</w:t>
        </w:r>
      </w:hyperlink>
    </w:p>
    <w:p>
      <w:pPr>
        <w:spacing w:line="196" w:lineRule="exact" w:before="0"/>
        <w:ind w:left="500" w:right="0" w:firstLine="0"/>
        <w:jc w:val="left"/>
        <w:rPr>
          <w:sz w:val="16"/>
        </w:rPr>
      </w:pPr>
      <w:hyperlink w:history="true" w:anchor="_bookmark168">
        <w:r>
          <w:rPr>
            <w:color w:val="231F20"/>
            <w:sz w:val="16"/>
          </w:rPr>
          <w:t>create</w:t>
        </w:r>
        <w:r>
          <w:rPr>
            <w:color w:val="231F20"/>
            <w:spacing w:val="9"/>
            <w:sz w:val="16"/>
          </w:rPr>
          <w:t> </w:t>
        </w:r>
        <w:r>
          <w:rPr>
            <w:color w:val="231F20"/>
            <w:sz w:val="16"/>
          </w:rPr>
          <w:t>navigator</w:t>
        </w:r>
        <w:r>
          <w:rPr>
            <w:color w:val="231F20"/>
            <w:spacing w:val="34"/>
            <w:sz w:val="16"/>
          </w:rPr>
          <w:t>  </w:t>
        </w:r>
        <w:r>
          <w:rPr>
            <w:color w:val="231F20"/>
            <w:spacing w:val="-5"/>
            <w:sz w:val="16"/>
          </w:rPr>
          <w:t>234</w:t>
        </w:r>
      </w:hyperlink>
    </w:p>
    <w:p>
      <w:pPr>
        <w:spacing w:line="200" w:lineRule="exact" w:before="0"/>
        <w:ind w:left="500" w:right="0" w:firstLine="0"/>
        <w:jc w:val="left"/>
        <w:rPr>
          <w:sz w:val="16"/>
        </w:rPr>
      </w:pPr>
      <w:hyperlink w:history="true" w:anchor="_bookmark64">
        <w:r>
          <w:rPr>
            <w:color w:val="231F20"/>
            <w:sz w:val="16"/>
          </w:rPr>
          <w:t>edit</w:t>
        </w:r>
        <w:r>
          <w:rPr>
            <w:color w:val="231F20"/>
            <w:spacing w:val="38"/>
            <w:sz w:val="16"/>
          </w:rPr>
          <w:t>  </w:t>
        </w:r>
        <w:r>
          <w:rPr>
            <w:color w:val="231F20"/>
            <w:spacing w:val="-5"/>
            <w:sz w:val="16"/>
          </w:rPr>
          <w:t>84</w:t>
        </w:r>
      </w:hyperlink>
    </w:p>
    <w:p>
      <w:pPr>
        <w:spacing w:line="200" w:lineRule="exact" w:before="0"/>
        <w:ind w:left="500" w:right="0" w:firstLine="0"/>
        <w:jc w:val="left"/>
        <w:rPr>
          <w:sz w:val="16"/>
        </w:rPr>
      </w:pPr>
      <w:hyperlink w:history="true" w:anchor="_bookmark35">
        <w:r>
          <w:rPr>
            <w:color w:val="231F20"/>
            <w:sz w:val="16"/>
          </w:rPr>
          <w:t>export</w:t>
        </w:r>
        <w:r>
          <w:rPr>
            <w:color w:val="231F20"/>
            <w:spacing w:val="11"/>
            <w:sz w:val="16"/>
          </w:rPr>
          <w:t> </w:t>
        </w:r>
        <w:r>
          <w:rPr>
            <w:color w:val="231F20"/>
            <w:sz w:val="16"/>
          </w:rPr>
          <w:t>data</w:t>
        </w:r>
        <w:r>
          <w:rPr>
            <w:color w:val="231F20"/>
            <w:spacing w:val="36"/>
            <w:sz w:val="16"/>
          </w:rPr>
          <w:t>  </w:t>
        </w:r>
        <w:r>
          <w:rPr>
            <w:color w:val="231F20"/>
            <w:spacing w:val="-7"/>
            <w:sz w:val="16"/>
          </w:rPr>
          <w:t>45</w:t>
        </w:r>
      </w:hyperlink>
    </w:p>
    <w:p>
      <w:pPr>
        <w:spacing w:line="200" w:lineRule="exact" w:before="0"/>
        <w:ind w:left="500" w:right="0" w:firstLine="0"/>
        <w:jc w:val="left"/>
        <w:rPr>
          <w:sz w:val="16"/>
        </w:rPr>
      </w:pPr>
      <w:hyperlink w:history="true" w:anchor="_bookmark33">
        <w:r>
          <w:rPr>
            <w:color w:val="231F20"/>
            <w:sz w:val="16"/>
          </w:rPr>
          <w:t>move</w:t>
        </w:r>
        <w:r>
          <w:rPr>
            <w:color w:val="231F20"/>
            <w:spacing w:val="37"/>
            <w:sz w:val="16"/>
          </w:rPr>
          <w:t>  </w:t>
        </w:r>
        <w:r>
          <w:rPr>
            <w:color w:val="231F20"/>
            <w:spacing w:val="-5"/>
            <w:sz w:val="16"/>
          </w:rPr>
          <w:t>43</w:t>
        </w:r>
      </w:hyperlink>
    </w:p>
    <w:p>
      <w:pPr>
        <w:spacing w:line="200" w:lineRule="exact" w:before="0"/>
        <w:ind w:left="500" w:right="0" w:firstLine="0"/>
        <w:jc w:val="left"/>
        <w:rPr>
          <w:sz w:val="16"/>
        </w:rPr>
      </w:pPr>
      <w:hyperlink w:history="true" w:anchor="_bookmark38">
        <w:r>
          <w:rPr>
            <w:color w:val="231F20"/>
            <w:sz w:val="16"/>
          </w:rPr>
          <w:t>print</w:t>
        </w:r>
        <w:r>
          <w:rPr>
            <w:color w:val="231F20"/>
            <w:spacing w:val="37"/>
            <w:sz w:val="16"/>
          </w:rPr>
          <w:t>  </w:t>
        </w:r>
        <w:r>
          <w:rPr>
            <w:color w:val="231F20"/>
            <w:spacing w:val="-5"/>
            <w:sz w:val="16"/>
          </w:rPr>
          <w:t>49</w:t>
        </w:r>
      </w:hyperlink>
    </w:p>
    <w:p>
      <w:pPr>
        <w:spacing w:line="220" w:lineRule="auto" w:before="5"/>
        <w:ind w:left="261" w:right="1271" w:firstLine="239"/>
        <w:jc w:val="left"/>
        <w:rPr>
          <w:sz w:val="16"/>
        </w:rPr>
      </w:pPr>
      <w:hyperlink w:history="true" w:anchor="_bookmark65">
        <w:r>
          <w:rPr>
            <w:color w:val="231F20"/>
            <w:sz w:val="16"/>
          </w:rPr>
          <w:t>query-based</w:t>
        </w:r>
        <w:r>
          <w:rPr>
            <w:color w:val="231F20"/>
            <w:spacing w:val="80"/>
            <w:sz w:val="16"/>
          </w:rPr>
          <w:t> </w:t>
        </w:r>
        <w:r>
          <w:rPr>
            <w:color w:val="231F20"/>
            <w:sz w:val="16"/>
          </w:rPr>
          <w:t>85</w:t>
        </w:r>
      </w:hyperlink>
      <w:r>
        <w:rPr>
          <w:color w:val="231F20"/>
          <w:spacing w:val="40"/>
          <w:sz w:val="16"/>
        </w:rPr>
        <w:t> </w:t>
      </w:r>
      <w:r>
        <w:rPr>
          <w:color w:val="231F20"/>
          <w:sz w:val="16"/>
        </w:rPr>
        <w:t>view properties</w:t>
      </w:r>
    </w:p>
    <w:p>
      <w:pPr>
        <w:spacing w:line="196" w:lineRule="exact" w:before="0"/>
        <w:ind w:left="500" w:right="0" w:firstLine="0"/>
        <w:jc w:val="left"/>
        <w:rPr>
          <w:sz w:val="16"/>
        </w:rPr>
      </w:pPr>
      <w:hyperlink w:history="true" w:anchor="_bookmark72">
        <w:r>
          <w:rPr>
            <w:color w:val="231F20"/>
            <w:sz w:val="16"/>
          </w:rPr>
          <w:t>configuration</w:t>
        </w:r>
        <w:r>
          <w:rPr>
            <w:color w:val="231F20"/>
            <w:spacing w:val="34"/>
            <w:sz w:val="16"/>
          </w:rPr>
          <w:t>  </w:t>
        </w:r>
        <w:r>
          <w:rPr>
            <w:color w:val="231F20"/>
            <w:spacing w:val="-5"/>
            <w:sz w:val="16"/>
          </w:rPr>
          <w:t>94</w:t>
        </w:r>
      </w:hyperlink>
    </w:p>
    <w:p>
      <w:pPr>
        <w:spacing w:line="200" w:lineRule="exact" w:before="0"/>
        <w:ind w:left="500" w:right="0" w:firstLine="0"/>
        <w:jc w:val="left"/>
        <w:rPr>
          <w:sz w:val="16"/>
        </w:rPr>
      </w:pPr>
      <w:hyperlink w:history="true" w:anchor="_bookmark70">
        <w:r>
          <w:rPr>
            <w:color w:val="231F20"/>
            <w:sz w:val="16"/>
          </w:rPr>
          <w:t>filters</w:t>
        </w:r>
        <w:r>
          <w:rPr>
            <w:color w:val="231F20"/>
            <w:spacing w:val="37"/>
            <w:sz w:val="16"/>
          </w:rPr>
          <w:t>  </w:t>
        </w:r>
        <w:r>
          <w:rPr>
            <w:color w:val="231F20"/>
            <w:spacing w:val="-5"/>
            <w:sz w:val="16"/>
          </w:rPr>
          <w:t>91</w:t>
        </w:r>
      </w:hyperlink>
    </w:p>
    <w:p>
      <w:pPr>
        <w:spacing w:line="200" w:lineRule="exact" w:before="0"/>
        <w:ind w:left="500" w:right="0" w:firstLine="0"/>
        <w:jc w:val="left"/>
        <w:rPr>
          <w:sz w:val="16"/>
        </w:rPr>
      </w:pPr>
      <w:hyperlink w:history="true" w:anchor="_bookmark69">
        <w:r>
          <w:rPr>
            <w:color w:val="231F20"/>
            <w:sz w:val="16"/>
          </w:rPr>
          <w:t>query</w:t>
        </w:r>
        <w:r>
          <w:rPr>
            <w:color w:val="231F20"/>
            <w:spacing w:val="37"/>
            <w:sz w:val="16"/>
          </w:rPr>
          <w:t>  </w:t>
        </w:r>
        <w:r>
          <w:rPr>
            <w:color w:val="231F20"/>
            <w:spacing w:val="-7"/>
            <w:sz w:val="16"/>
          </w:rPr>
          <w:t>90</w:t>
        </w:r>
      </w:hyperlink>
    </w:p>
    <w:p>
      <w:pPr>
        <w:spacing w:line="200" w:lineRule="exact" w:before="0"/>
        <w:ind w:left="500" w:right="0" w:firstLine="0"/>
        <w:jc w:val="left"/>
        <w:rPr>
          <w:sz w:val="16"/>
        </w:rPr>
      </w:pPr>
      <w:hyperlink w:history="true" w:anchor="_bookmark72">
        <w:r>
          <w:rPr>
            <w:color w:val="231F20"/>
            <w:sz w:val="16"/>
          </w:rPr>
          <w:t>style</w:t>
        </w:r>
        <w:r>
          <w:rPr>
            <w:color w:val="231F20"/>
            <w:spacing w:val="37"/>
            <w:sz w:val="16"/>
          </w:rPr>
          <w:t>  </w:t>
        </w:r>
        <w:r>
          <w:rPr>
            <w:color w:val="231F20"/>
            <w:spacing w:val="-5"/>
            <w:sz w:val="16"/>
          </w:rPr>
          <w:t>94</w:t>
        </w:r>
      </w:hyperlink>
    </w:p>
    <w:p>
      <w:pPr>
        <w:spacing w:line="220" w:lineRule="auto" w:before="5"/>
        <w:ind w:left="261" w:right="1271" w:firstLine="239"/>
        <w:jc w:val="left"/>
        <w:rPr>
          <w:sz w:val="16"/>
        </w:rPr>
      </w:pPr>
      <w:hyperlink w:history="true" w:anchor="_bookmark71">
        <w:r>
          <w:rPr>
            <w:color w:val="231F20"/>
            <w:sz w:val="16"/>
          </w:rPr>
          <w:t>thresholds</w:t>
        </w:r>
        <w:r>
          <w:rPr>
            <w:color w:val="231F20"/>
            <w:spacing w:val="79"/>
            <w:sz w:val="16"/>
          </w:rPr>
          <w:t> </w:t>
        </w:r>
        <w:r>
          <w:rPr>
            <w:color w:val="231F20"/>
            <w:sz w:val="16"/>
          </w:rPr>
          <w:t>93</w:t>
        </w:r>
      </w:hyperlink>
      <w:r>
        <w:rPr>
          <w:color w:val="231F20"/>
          <w:spacing w:val="40"/>
          <w:sz w:val="16"/>
        </w:rPr>
        <w:t> </w:t>
      </w:r>
      <w:r>
        <w:rPr>
          <w:color w:val="231F20"/>
          <w:spacing w:val="-2"/>
          <w:sz w:val="16"/>
        </w:rPr>
        <w:t>views</w:t>
      </w:r>
    </w:p>
    <w:p>
      <w:pPr>
        <w:spacing w:line="196" w:lineRule="exact" w:before="0"/>
        <w:ind w:left="500" w:right="0" w:firstLine="0"/>
        <w:jc w:val="left"/>
        <w:rPr>
          <w:sz w:val="16"/>
        </w:rPr>
      </w:pPr>
      <w:hyperlink w:history="true" w:anchor="_bookmark78">
        <w:r>
          <w:rPr>
            <w:color w:val="231F20"/>
            <w:sz w:val="16"/>
          </w:rPr>
          <w:t>chart</w:t>
        </w:r>
        <w:r>
          <w:rPr>
            <w:color w:val="231F20"/>
            <w:spacing w:val="37"/>
            <w:sz w:val="16"/>
          </w:rPr>
          <w:t>  </w:t>
        </w:r>
        <w:r>
          <w:rPr>
            <w:color w:val="231F20"/>
            <w:spacing w:val="-5"/>
            <w:sz w:val="16"/>
          </w:rPr>
          <w:t>101</w:t>
        </w:r>
      </w:hyperlink>
    </w:p>
    <w:p>
      <w:pPr>
        <w:spacing w:line="200" w:lineRule="exact" w:before="0"/>
        <w:ind w:left="500" w:right="0" w:firstLine="0"/>
        <w:jc w:val="left"/>
        <w:rPr>
          <w:sz w:val="16"/>
        </w:rPr>
      </w:pPr>
      <w:hyperlink w:history="true" w:anchor="_bookmark63">
        <w:r>
          <w:rPr>
            <w:color w:val="231F20"/>
            <w:sz w:val="16"/>
          </w:rPr>
          <w:t>customize</w:t>
        </w:r>
        <w:r>
          <w:rPr>
            <w:color w:val="231F20"/>
            <w:spacing w:val="35"/>
            <w:sz w:val="16"/>
          </w:rPr>
          <w:t>  </w:t>
        </w:r>
        <w:r>
          <w:rPr>
            <w:color w:val="231F20"/>
            <w:spacing w:val="-5"/>
            <w:sz w:val="16"/>
          </w:rPr>
          <w:t>83</w:t>
        </w:r>
      </w:hyperlink>
    </w:p>
    <w:p>
      <w:pPr>
        <w:spacing w:line="200" w:lineRule="exact" w:before="0"/>
        <w:ind w:left="500" w:right="0" w:firstLine="0"/>
        <w:jc w:val="left"/>
        <w:rPr>
          <w:sz w:val="16"/>
        </w:rPr>
      </w:pPr>
      <w:hyperlink w:history="true" w:anchor="_bookmark104">
        <w:r>
          <w:rPr>
            <w:color w:val="231F20"/>
            <w:sz w:val="16"/>
          </w:rPr>
          <w:t>event</w:t>
        </w:r>
        <w:r>
          <w:rPr>
            <w:color w:val="231F20"/>
            <w:spacing w:val="37"/>
            <w:sz w:val="16"/>
          </w:rPr>
          <w:t>  </w:t>
        </w:r>
        <w:r>
          <w:rPr>
            <w:color w:val="231F20"/>
            <w:spacing w:val="-5"/>
            <w:sz w:val="16"/>
          </w:rPr>
          <w:t>140</w:t>
        </w:r>
      </w:hyperlink>
    </w:p>
    <w:p>
      <w:pPr>
        <w:spacing w:line="200" w:lineRule="exact" w:before="0"/>
        <w:ind w:left="500" w:right="0" w:firstLine="0"/>
        <w:jc w:val="left"/>
        <w:rPr>
          <w:sz w:val="16"/>
        </w:rPr>
      </w:pPr>
      <w:hyperlink w:history="true" w:anchor="_bookmark74">
        <w:r>
          <w:rPr>
            <w:color w:val="231F20"/>
            <w:sz w:val="16"/>
          </w:rPr>
          <w:t>table</w:t>
        </w:r>
        <w:r>
          <w:rPr>
            <w:color w:val="231F20"/>
            <w:spacing w:val="37"/>
            <w:sz w:val="16"/>
          </w:rPr>
          <w:t>  </w:t>
        </w:r>
        <w:r>
          <w:rPr>
            <w:color w:val="231F20"/>
            <w:spacing w:val="-5"/>
            <w:sz w:val="16"/>
          </w:rPr>
          <w:t>97</w:t>
        </w:r>
      </w:hyperlink>
    </w:p>
    <w:p>
      <w:pPr>
        <w:spacing w:line="200" w:lineRule="exact" w:before="0"/>
        <w:ind w:left="500" w:right="0" w:firstLine="0"/>
        <w:jc w:val="left"/>
        <w:rPr>
          <w:sz w:val="16"/>
        </w:rPr>
      </w:pPr>
      <w:hyperlink w:history="true" w:anchor="_bookmark124">
        <w:r>
          <w:rPr>
            <w:color w:val="231F20"/>
            <w:sz w:val="16"/>
          </w:rPr>
          <w:t>terminal</w:t>
        </w:r>
        <w:r>
          <w:rPr>
            <w:color w:val="231F20"/>
            <w:spacing w:val="36"/>
            <w:sz w:val="16"/>
          </w:rPr>
          <w:t>  </w:t>
        </w:r>
        <w:r>
          <w:rPr>
            <w:color w:val="231F20"/>
            <w:spacing w:val="-5"/>
            <w:sz w:val="16"/>
          </w:rPr>
          <w:t>167</w:t>
        </w:r>
      </w:hyperlink>
    </w:p>
    <w:p>
      <w:pPr>
        <w:spacing w:line="220" w:lineRule="auto" w:before="5"/>
        <w:ind w:left="500" w:right="806" w:firstLine="0"/>
        <w:jc w:val="left"/>
        <w:rPr>
          <w:sz w:val="16"/>
        </w:rPr>
      </w:pPr>
      <w:hyperlink w:history="true" w:anchor="_bookmark31">
        <w:r>
          <w:rPr>
            <w:color w:val="231F20"/>
            <w:sz w:val="16"/>
          </w:rPr>
          <w:t>title bar and toolbar</w:t>
        </w:r>
        <w:r>
          <w:rPr>
            <w:color w:val="231F20"/>
            <w:spacing w:val="80"/>
            <w:sz w:val="16"/>
          </w:rPr>
          <w:t> </w:t>
        </w:r>
        <w:r>
          <w:rPr>
            <w:color w:val="231F20"/>
            <w:sz w:val="16"/>
          </w:rPr>
          <w:t>41</w:t>
        </w:r>
      </w:hyperlink>
      <w:r>
        <w:rPr>
          <w:color w:val="231F20"/>
          <w:spacing w:val="40"/>
          <w:sz w:val="16"/>
        </w:rPr>
        <w:t> </w:t>
      </w:r>
      <w:hyperlink w:history="true" w:anchor="_bookmark10">
        <w:r>
          <w:rPr>
            <w:color w:val="231F20"/>
            <w:sz w:val="16"/>
          </w:rPr>
          <w:t>tour</w:t>
        </w:r>
        <w:r>
          <w:rPr>
            <w:color w:val="231F20"/>
            <w:spacing w:val="80"/>
            <w:sz w:val="16"/>
          </w:rPr>
          <w:t> </w:t>
        </w:r>
        <w:r>
          <w:rPr>
            <w:color w:val="231F20"/>
            <w:sz w:val="16"/>
          </w:rPr>
          <w:t>16</w:t>
        </w:r>
      </w:hyperlink>
    </w:p>
    <w:p>
      <w:pPr>
        <w:spacing w:line="196" w:lineRule="exact" w:before="0"/>
        <w:ind w:left="261" w:right="0" w:firstLine="0"/>
        <w:jc w:val="left"/>
        <w:rPr>
          <w:sz w:val="16"/>
        </w:rPr>
      </w:pPr>
      <w:r>
        <w:rPr>
          <w:color w:val="231F20"/>
          <w:sz w:val="16"/>
        </w:rPr>
        <w:t>visual</w:t>
      </w:r>
      <w:r>
        <w:rPr>
          <w:color w:val="231F20"/>
          <w:spacing w:val="8"/>
          <w:sz w:val="16"/>
        </w:rPr>
        <w:t> </w:t>
      </w:r>
      <w:r>
        <w:rPr>
          <w:color w:val="231F20"/>
          <w:spacing w:val="-2"/>
          <w:sz w:val="16"/>
        </w:rPr>
        <w:t>baselining</w:t>
      </w:r>
    </w:p>
    <w:p>
      <w:pPr>
        <w:spacing w:line="220" w:lineRule="auto" w:before="6"/>
        <w:ind w:left="620" w:right="808" w:hanging="120"/>
        <w:jc w:val="left"/>
        <w:rPr>
          <w:sz w:val="16"/>
        </w:rPr>
      </w:pPr>
      <w:hyperlink w:history="true" w:anchor="_bookmark227">
        <w:r>
          <w:rPr>
            <w:color w:val="231F20"/>
            <w:sz w:val="16"/>
          </w:rPr>
          <w:t>for</w:t>
        </w:r>
        <w:r>
          <w:rPr>
            <w:color w:val="231F20"/>
            <w:spacing w:val="-6"/>
            <w:sz w:val="16"/>
          </w:rPr>
          <w:t> </w:t>
        </w:r>
        <w:r>
          <w:rPr>
            <w:color w:val="231F20"/>
            <w:sz w:val="16"/>
          </w:rPr>
          <w:t>modeling</w:t>
        </w:r>
        <w:r>
          <w:rPr>
            <w:color w:val="231F20"/>
            <w:spacing w:val="-6"/>
            <w:sz w:val="16"/>
          </w:rPr>
          <w:t> </w:t>
        </w:r>
        <w:r>
          <w:rPr>
            <w:color w:val="231F20"/>
            <w:sz w:val="16"/>
          </w:rPr>
          <w:t>expression</w:t>
        </w:r>
      </w:hyperlink>
      <w:r>
        <w:rPr>
          <w:color w:val="231F20"/>
          <w:spacing w:val="40"/>
          <w:sz w:val="16"/>
        </w:rPr>
        <w:t> </w:t>
      </w:r>
      <w:hyperlink w:history="true" w:anchor="_bookmark227">
        <w:r>
          <w:rPr>
            <w:color w:val="231F20"/>
            <w:sz w:val="16"/>
          </w:rPr>
          <w:t>overrides</w:t>
        </w:r>
        <w:r>
          <w:rPr>
            <w:color w:val="231F20"/>
            <w:spacing w:val="80"/>
            <w:sz w:val="16"/>
          </w:rPr>
          <w:t> </w:t>
        </w:r>
        <w:r>
          <w:rPr>
            <w:color w:val="231F20"/>
            <w:sz w:val="16"/>
          </w:rPr>
          <w:t>305</w:t>
        </w:r>
      </w:hyperlink>
    </w:p>
    <w:p>
      <w:pPr>
        <w:spacing w:line="196" w:lineRule="exact" w:before="0"/>
        <w:ind w:left="500" w:right="0" w:firstLine="0"/>
        <w:jc w:val="left"/>
        <w:rPr>
          <w:sz w:val="16"/>
        </w:rPr>
      </w:pPr>
      <w:hyperlink w:history="true" w:anchor="_bookmark211">
        <w:r>
          <w:rPr>
            <w:color w:val="231F20"/>
            <w:sz w:val="16"/>
          </w:rPr>
          <w:t>for</w:t>
        </w:r>
        <w:r>
          <w:rPr>
            <w:color w:val="231F20"/>
            <w:spacing w:val="10"/>
            <w:sz w:val="16"/>
          </w:rPr>
          <w:t> </w:t>
        </w:r>
        <w:r>
          <w:rPr>
            <w:color w:val="231F20"/>
            <w:sz w:val="16"/>
          </w:rPr>
          <w:t>situation</w:t>
        </w:r>
        <w:r>
          <w:rPr>
            <w:color w:val="231F20"/>
            <w:spacing w:val="9"/>
            <w:sz w:val="16"/>
          </w:rPr>
          <w:t> </w:t>
        </w:r>
        <w:r>
          <w:rPr>
            <w:color w:val="231F20"/>
            <w:sz w:val="16"/>
          </w:rPr>
          <w:t>modeling</w:t>
        </w:r>
        <w:r>
          <w:rPr>
            <w:color w:val="231F20"/>
            <w:spacing w:val="35"/>
            <w:sz w:val="16"/>
          </w:rPr>
          <w:t>  </w:t>
        </w:r>
        <w:r>
          <w:rPr>
            <w:color w:val="231F20"/>
            <w:spacing w:val="-5"/>
            <w:sz w:val="16"/>
          </w:rPr>
          <w:t>285</w:t>
        </w:r>
      </w:hyperlink>
    </w:p>
    <w:p>
      <w:pPr>
        <w:spacing w:line="220" w:lineRule="auto" w:before="5"/>
        <w:ind w:left="500" w:right="0" w:firstLine="0"/>
        <w:jc w:val="left"/>
        <w:rPr>
          <w:sz w:val="16"/>
        </w:rPr>
      </w:pPr>
      <w:hyperlink w:history="true" w:anchor="_bookmark98">
        <w:r>
          <w:rPr>
            <w:color w:val="231F20"/>
            <w:sz w:val="16"/>
          </w:rPr>
          <w:t>of historical data in chart views</w:t>
        </w:r>
        <w:r>
          <w:rPr>
            <w:color w:val="231F20"/>
            <w:spacing w:val="80"/>
            <w:sz w:val="16"/>
          </w:rPr>
          <w:t> </w:t>
        </w:r>
        <w:r>
          <w:rPr>
            <w:color w:val="231F20"/>
            <w:sz w:val="16"/>
          </w:rPr>
          <w:t>130</w:t>
        </w:r>
      </w:hyperlink>
      <w:r>
        <w:rPr>
          <w:color w:val="231F20"/>
          <w:spacing w:val="40"/>
          <w:sz w:val="16"/>
        </w:rPr>
        <w:t> </w:t>
      </w:r>
      <w:hyperlink w:history="true" w:anchor="_bookmark95">
        <w:r>
          <w:rPr>
            <w:color w:val="231F20"/>
            <w:sz w:val="16"/>
          </w:rPr>
          <w:t>of situation thresholds in chart</w:t>
        </w:r>
      </w:hyperlink>
    </w:p>
    <w:p>
      <w:pPr>
        <w:spacing w:line="196" w:lineRule="exact" w:before="0"/>
        <w:ind w:left="620" w:right="0" w:firstLine="0"/>
        <w:jc w:val="left"/>
        <w:rPr>
          <w:sz w:val="16"/>
        </w:rPr>
      </w:pPr>
      <w:hyperlink w:history="true" w:anchor="_bookmark95">
        <w:r>
          <w:rPr>
            <w:color w:val="231F20"/>
            <w:sz w:val="16"/>
          </w:rPr>
          <w:t>views</w:t>
        </w:r>
        <w:r>
          <w:rPr>
            <w:color w:val="231F20"/>
            <w:spacing w:val="37"/>
            <w:sz w:val="16"/>
          </w:rPr>
          <w:t>  </w:t>
        </w:r>
        <w:r>
          <w:rPr>
            <w:color w:val="231F20"/>
            <w:spacing w:val="-5"/>
            <w:sz w:val="16"/>
          </w:rPr>
          <w:t>124</w:t>
        </w:r>
      </w:hyperlink>
    </w:p>
    <w:p>
      <w:pPr>
        <w:spacing w:line="220" w:lineRule="auto" w:before="5"/>
        <w:ind w:left="620" w:right="0" w:hanging="120"/>
        <w:jc w:val="left"/>
        <w:rPr>
          <w:sz w:val="16"/>
        </w:rPr>
      </w:pPr>
      <w:hyperlink w:history="true" w:anchor="_bookmark97">
        <w:r>
          <w:rPr>
            <w:color w:val="231F20"/>
            <w:sz w:val="16"/>
          </w:rPr>
          <w:t>of statistical function results in </w:t>
        </w:r>
        <w:r>
          <w:rPr>
            <w:color w:val="231F20"/>
            <w:sz w:val="16"/>
          </w:rPr>
          <w:t>chart</w:t>
        </w:r>
      </w:hyperlink>
      <w:r>
        <w:rPr>
          <w:color w:val="231F20"/>
          <w:spacing w:val="40"/>
          <w:sz w:val="16"/>
        </w:rPr>
        <w:t> </w:t>
      </w:r>
      <w:hyperlink w:history="true" w:anchor="_bookmark97">
        <w:r>
          <w:rPr>
            <w:color w:val="231F20"/>
            <w:sz w:val="16"/>
          </w:rPr>
          <w:t>views</w:t>
        </w:r>
        <w:r>
          <w:rPr>
            <w:color w:val="231F20"/>
            <w:spacing w:val="80"/>
            <w:sz w:val="16"/>
          </w:rPr>
          <w:t> </w:t>
        </w:r>
        <w:r>
          <w:rPr>
            <w:color w:val="231F20"/>
            <w:sz w:val="16"/>
          </w:rPr>
          <w:t>128</w:t>
        </w:r>
      </w:hyperlink>
    </w:p>
    <w:p>
      <w:pPr>
        <w:spacing w:line="204" w:lineRule="exact" w:before="0"/>
        <w:ind w:left="500" w:right="0" w:firstLine="0"/>
        <w:jc w:val="left"/>
        <w:rPr>
          <w:sz w:val="16"/>
        </w:rPr>
      </w:pPr>
      <w:hyperlink w:history="true" w:anchor="_bookmark95">
        <w:r>
          <w:rPr>
            <w:color w:val="231F20"/>
            <w:sz w:val="16"/>
          </w:rPr>
          <w:t>with</w:t>
        </w:r>
        <w:r>
          <w:rPr>
            <w:color w:val="231F20"/>
            <w:spacing w:val="11"/>
            <w:sz w:val="16"/>
          </w:rPr>
          <w:t> </w:t>
        </w:r>
        <w:r>
          <w:rPr>
            <w:color w:val="231F20"/>
            <w:sz w:val="16"/>
          </w:rPr>
          <w:t>charts</w:t>
        </w:r>
        <w:r>
          <w:rPr>
            <w:color w:val="231F20"/>
            <w:spacing w:val="36"/>
            <w:sz w:val="16"/>
          </w:rPr>
          <w:t>  </w:t>
        </w:r>
        <w:r>
          <w:rPr>
            <w:color w:val="231F20"/>
            <w:spacing w:val="-5"/>
            <w:sz w:val="16"/>
          </w:rPr>
          <w:t>124</w:t>
        </w:r>
      </w:hyperlink>
    </w:p>
    <w:p>
      <w:pPr>
        <w:pStyle w:val="BodyText"/>
        <w:spacing w:before="105"/>
        <w:rPr>
          <w:sz w:val="16"/>
        </w:rPr>
      </w:pPr>
    </w:p>
    <w:p>
      <w:pPr>
        <w:pStyle w:val="Heading1"/>
        <w:ind w:left="261"/>
      </w:pPr>
      <w:bookmarkStart w:name="W" w:id="771"/>
      <w:bookmarkEnd w:id="771"/>
      <w:r>
        <w:rPr>
          <w:b w:val="0"/>
        </w:rPr>
      </w:r>
      <w:r>
        <w:rPr>
          <w:color w:val="231F20"/>
          <w:spacing w:val="-10"/>
        </w:rPr>
        <w:t>W</w:t>
      </w:r>
    </w:p>
    <w:p>
      <w:pPr>
        <w:spacing w:line="205" w:lineRule="exact" w:before="0"/>
        <w:ind w:left="261" w:right="0" w:firstLine="0"/>
        <w:jc w:val="left"/>
        <w:rPr>
          <w:sz w:val="16"/>
        </w:rPr>
      </w:pPr>
      <w:r>
        <w:rPr>
          <w:color w:val="231F20"/>
          <w:sz w:val="16"/>
        </w:rPr>
        <w:t>web</w:t>
      </w:r>
      <w:r>
        <w:rPr>
          <w:color w:val="231F20"/>
          <w:spacing w:val="10"/>
          <w:sz w:val="16"/>
        </w:rPr>
        <w:t> </w:t>
      </w:r>
      <w:r>
        <w:rPr>
          <w:color w:val="231F20"/>
          <w:spacing w:val="-2"/>
          <w:sz w:val="16"/>
        </w:rPr>
        <w:t>client</w:t>
      </w:r>
    </w:p>
    <w:p>
      <w:pPr>
        <w:spacing w:line="220" w:lineRule="auto" w:before="5"/>
        <w:ind w:left="261" w:right="808" w:firstLine="239"/>
        <w:jc w:val="left"/>
        <w:rPr>
          <w:sz w:val="16"/>
        </w:rPr>
      </w:pPr>
      <w:hyperlink w:history="true" w:anchor="_bookmark6">
        <w:r>
          <w:rPr>
            <w:rFonts w:ascii="Book Antiqua"/>
            <w:i/>
            <w:color w:val="231F20"/>
            <w:sz w:val="16"/>
          </w:rPr>
          <w:t>See</w:t>
        </w:r>
        <w:r>
          <w:rPr>
            <w:rFonts w:ascii="Book Antiqua"/>
            <w:i/>
            <w:color w:val="231F20"/>
            <w:spacing w:val="-1"/>
            <w:sz w:val="16"/>
          </w:rPr>
          <w:t> </w:t>
        </w:r>
        <w:r>
          <w:rPr>
            <w:color w:val="231F20"/>
            <w:sz w:val="16"/>
          </w:rPr>
          <w:t>See</w:t>
        </w:r>
        <w:r>
          <w:rPr>
            <w:color w:val="231F20"/>
            <w:spacing w:val="-1"/>
            <w:sz w:val="16"/>
          </w:rPr>
          <w:t> </w:t>
        </w:r>
        <w:r>
          <w:rPr>
            <w:color w:val="231F20"/>
            <w:sz w:val="16"/>
          </w:rPr>
          <w:t>browser</w:t>
        </w:r>
        <w:r>
          <w:rPr>
            <w:color w:val="231F20"/>
            <w:spacing w:val="-1"/>
            <w:sz w:val="16"/>
          </w:rPr>
          <w:t> </w:t>
        </w:r>
        <w:r>
          <w:rPr>
            <w:color w:val="231F20"/>
            <w:sz w:val="16"/>
          </w:rPr>
          <w:t>client</w:t>
        </w:r>
      </w:hyperlink>
      <w:r>
        <w:rPr>
          <w:color w:val="231F20"/>
          <w:spacing w:val="40"/>
          <w:sz w:val="16"/>
        </w:rPr>
        <w:t> </w:t>
      </w:r>
      <w:hyperlink w:history="true" w:anchor="_bookmark1">
        <w:r>
          <w:rPr>
            <w:color w:val="231F20"/>
            <w:sz w:val="16"/>
          </w:rPr>
          <w:t>what is new</w:t>
        </w:r>
        <w:r>
          <w:rPr>
            <w:color w:val="231F20"/>
            <w:spacing w:val="80"/>
            <w:sz w:val="16"/>
          </w:rPr>
          <w:t> </w:t>
        </w:r>
        <w:r>
          <w:rPr>
            <w:color w:val="231F20"/>
            <w:sz w:val="16"/>
          </w:rPr>
          <w:t>1</w:t>
        </w:r>
      </w:hyperlink>
    </w:p>
    <w:p>
      <w:pPr>
        <w:spacing w:line="196" w:lineRule="exact" w:before="0"/>
        <w:ind w:left="261" w:right="0" w:firstLine="0"/>
        <w:jc w:val="left"/>
        <w:rPr>
          <w:sz w:val="16"/>
        </w:rPr>
      </w:pPr>
      <w:hyperlink w:history="true" w:anchor="_bookmark3">
        <w:r>
          <w:rPr>
            <w:color w:val="231F20"/>
            <w:sz w:val="16"/>
          </w:rPr>
          <w:t>window</w:t>
        </w:r>
        <w:r>
          <w:rPr>
            <w:color w:val="231F20"/>
            <w:spacing w:val="36"/>
            <w:sz w:val="16"/>
          </w:rPr>
          <w:t>  </w:t>
        </w:r>
        <w:r>
          <w:rPr>
            <w:color w:val="231F20"/>
            <w:spacing w:val="-10"/>
            <w:sz w:val="16"/>
          </w:rPr>
          <w:t>3</w:t>
        </w:r>
      </w:hyperlink>
    </w:p>
    <w:p>
      <w:pPr>
        <w:spacing w:line="220" w:lineRule="auto" w:before="6"/>
        <w:ind w:left="261" w:right="1424" w:firstLine="239"/>
        <w:jc w:val="left"/>
        <w:rPr>
          <w:sz w:val="16"/>
        </w:rPr>
      </w:pPr>
      <w:hyperlink w:history="true" w:anchor="_bookmark27">
        <w:r>
          <w:rPr>
            <w:color w:val="231F20"/>
            <w:sz w:val="16"/>
          </w:rPr>
          <w:t>new</w:t>
        </w:r>
        <w:r>
          <w:rPr>
            <w:color w:val="231F20"/>
            <w:spacing w:val="80"/>
            <w:sz w:val="16"/>
          </w:rPr>
          <w:t> </w:t>
        </w:r>
        <w:r>
          <w:rPr>
            <w:color w:val="231F20"/>
            <w:sz w:val="16"/>
          </w:rPr>
          <w:t>37</w:t>
        </w:r>
      </w:hyperlink>
      <w:r>
        <w:rPr>
          <w:color w:val="231F20"/>
          <w:spacing w:val="40"/>
          <w:sz w:val="16"/>
        </w:rPr>
        <w:t> </w:t>
      </w:r>
      <w:r>
        <w:rPr>
          <w:color w:val="231F20"/>
          <w:sz w:val="16"/>
        </w:rPr>
        <w:t>workflow</w:t>
      </w:r>
      <w:r>
        <w:rPr>
          <w:color w:val="231F20"/>
          <w:spacing w:val="-6"/>
          <w:sz w:val="16"/>
        </w:rPr>
        <w:t> </w:t>
      </w:r>
      <w:r>
        <w:rPr>
          <w:color w:val="231F20"/>
          <w:sz w:val="16"/>
        </w:rPr>
        <w:t>editor</w:t>
      </w:r>
    </w:p>
    <w:p>
      <w:pPr>
        <w:spacing w:line="220" w:lineRule="auto" w:before="1"/>
        <w:ind w:left="620" w:right="0" w:hanging="120"/>
        <w:jc w:val="left"/>
        <w:rPr>
          <w:sz w:val="16"/>
        </w:rPr>
      </w:pPr>
      <w:hyperlink w:history="true" w:anchor="_bookmark252">
        <w:r>
          <w:rPr>
            <w:color w:val="231F20"/>
            <w:sz w:val="16"/>
          </w:rPr>
          <w:t>Configure Tivoli Application</w:t>
        </w:r>
      </w:hyperlink>
      <w:r>
        <w:rPr>
          <w:color w:val="231F20"/>
          <w:spacing w:val="40"/>
          <w:sz w:val="16"/>
        </w:rPr>
        <w:t> </w:t>
      </w:r>
      <w:hyperlink w:history="true" w:anchor="_bookmark252">
        <w:r>
          <w:rPr>
            <w:color w:val="231F20"/>
            <w:sz w:val="16"/>
          </w:rPr>
          <w:t>Dependency</w:t>
        </w:r>
        <w:r>
          <w:rPr>
            <w:color w:val="231F20"/>
            <w:spacing w:val="-6"/>
            <w:sz w:val="16"/>
          </w:rPr>
          <w:t> </w:t>
        </w:r>
        <w:r>
          <w:rPr>
            <w:color w:val="231F20"/>
            <w:sz w:val="16"/>
          </w:rPr>
          <w:t>Discovery</w:t>
        </w:r>
        <w:r>
          <w:rPr>
            <w:color w:val="231F20"/>
            <w:spacing w:val="-6"/>
            <w:sz w:val="16"/>
          </w:rPr>
          <w:t> </w:t>
        </w:r>
        <w:r>
          <w:rPr>
            <w:color w:val="231F20"/>
            <w:sz w:val="16"/>
          </w:rPr>
          <w:t>Manager</w:t>
        </w:r>
      </w:hyperlink>
      <w:r>
        <w:rPr>
          <w:color w:val="231F20"/>
          <w:spacing w:val="40"/>
          <w:sz w:val="16"/>
        </w:rPr>
        <w:t> </w:t>
      </w:r>
      <w:hyperlink w:history="true" w:anchor="_bookmark252">
        <w:r>
          <w:rPr>
            <w:color w:val="231F20"/>
            <w:sz w:val="16"/>
          </w:rPr>
          <w:t>Integration</w:t>
        </w:r>
        <w:r>
          <w:rPr>
            <w:color w:val="231F20"/>
            <w:spacing w:val="80"/>
            <w:sz w:val="16"/>
          </w:rPr>
          <w:t> </w:t>
        </w:r>
        <w:r>
          <w:rPr>
            <w:color w:val="231F20"/>
            <w:sz w:val="16"/>
          </w:rPr>
          <w:t>343</w:t>
        </w:r>
      </w:hyperlink>
    </w:p>
    <w:p>
      <w:pPr>
        <w:spacing w:line="197" w:lineRule="exact" w:before="0"/>
        <w:ind w:left="500" w:right="0" w:firstLine="0"/>
        <w:jc w:val="left"/>
        <w:rPr>
          <w:sz w:val="16"/>
        </w:rPr>
      </w:pPr>
      <w:hyperlink w:history="true" w:anchor="_bookmark246">
        <w:r>
          <w:rPr>
            <w:color w:val="231F20"/>
            <w:sz w:val="16"/>
          </w:rPr>
          <w:t>emitter</w:t>
        </w:r>
        <w:r>
          <w:rPr>
            <w:color w:val="231F20"/>
            <w:spacing w:val="10"/>
            <w:sz w:val="16"/>
          </w:rPr>
          <w:t> </w:t>
        </w:r>
        <w:r>
          <w:rPr>
            <w:color w:val="231F20"/>
            <w:sz w:val="16"/>
          </w:rPr>
          <w:t>activities</w:t>
        </w:r>
        <w:r>
          <w:rPr>
            <w:color w:val="231F20"/>
            <w:spacing w:val="35"/>
            <w:sz w:val="16"/>
          </w:rPr>
          <w:t>  </w:t>
        </w:r>
        <w:r>
          <w:rPr>
            <w:color w:val="231F20"/>
            <w:sz w:val="16"/>
          </w:rPr>
          <w:t>335,</w:t>
        </w:r>
      </w:hyperlink>
      <w:r>
        <w:rPr>
          <w:color w:val="231F20"/>
          <w:spacing w:val="10"/>
          <w:sz w:val="16"/>
        </w:rPr>
        <w:t> </w:t>
      </w:r>
      <w:hyperlink w:history="true" w:anchor="_bookmark248">
        <w:r>
          <w:rPr>
            <w:color w:val="231F20"/>
            <w:spacing w:val="-5"/>
            <w:sz w:val="16"/>
          </w:rPr>
          <w:t>340</w:t>
        </w:r>
      </w:hyperlink>
    </w:p>
    <w:p>
      <w:pPr>
        <w:spacing w:line="200" w:lineRule="exact" w:before="0"/>
        <w:ind w:left="500" w:right="0" w:firstLine="0"/>
        <w:jc w:val="left"/>
        <w:rPr>
          <w:sz w:val="16"/>
        </w:rPr>
      </w:pPr>
      <w:hyperlink w:history="true" w:anchor="_bookmark249">
        <w:r>
          <w:rPr>
            <w:color w:val="231F20"/>
            <w:sz w:val="16"/>
          </w:rPr>
          <w:t>emitter</w:t>
        </w:r>
        <w:r>
          <w:rPr>
            <w:color w:val="231F20"/>
            <w:spacing w:val="10"/>
            <w:sz w:val="16"/>
          </w:rPr>
          <w:t> </w:t>
        </w:r>
        <w:r>
          <w:rPr>
            <w:color w:val="231F20"/>
            <w:sz w:val="16"/>
          </w:rPr>
          <w:t>settings</w:t>
        </w:r>
        <w:r>
          <w:rPr>
            <w:color w:val="231F20"/>
            <w:spacing w:val="35"/>
            <w:sz w:val="16"/>
          </w:rPr>
          <w:t>  </w:t>
        </w:r>
        <w:r>
          <w:rPr>
            <w:color w:val="231F20"/>
            <w:spacing w:val="-5"/>
            <w:sz w:val="16"/>
          </w:rPr>
          <w:t>341</w:t>
        </w:r>
      </w:hyperlink>
    </w:p>
    <w:p>
      <w:pPr>
        <w:spacing w:line="208" w:lineRule="exact" w:before="0"/>
        <w:ind w:left="500" w:right="0" w:firstLine="0"/>
        <w:jc w:val="left"/>
        <w:rPr>
          <w:sz w:val="16"/>
        </w:rPr>
      </w:pPr>
      <w:hyperlink w:history="true" w:anchor="_bookmark250">
        <w:r>
          <w:rPr>
            <w:color w:val="231F20"/>
            <w:sz w:val="16"/>
          </w:rPr>
          <w:t>extensions</w:t>
        </w:r>
        <w:r>
          <w:rPr>
            <w:color w:val="231F20"/>
            <w:spacing w:val="35"/>
            <w:sz w:val="16"/>
          </w:rPr>
          <w:t>  </w:t>
        </w:r>
        <w:r>
          <w:rPr>
            <w:color w:val="231F20"/>
            <w:spacing w:val="-5"/>
            <w:sz w:val="16"/>
          </w:rPr>
          <w:t>342</w:t>
        </w:r>
      </w:hyperlink>
    </w:p>
    <w:p>
      <w:pPr>
        <w:spacing w:line="208" w:lineRule="exact" w:before="54"/>
        <w:ind w:left="0" w:right="885" w:firstLine="0"/>
        <w:jc w:val="center"/>
        <w:rPr>
          <w:rFonts w:ascii="Book Antiqua"/>
          <w:i/>
          <w:sz w:val="16"/>
        </w:rPr>
      </w:pPr>
      <w:r>
        <w:rPr/>
        <w:br w:type="column"/>
      </w:r>
      <w:r>
        <w:rPr>
          <w:color w:val="231F20"/>
          <w:sz w:val="16"/>
        </w:rPr>
        <w:t>workflow</w:t>
      </w:r>
      <w:r>
        <w:rPr>
          <w:color w:val="231F20"/>
          <w:spacing w:val="8"/>
          <w:sz w:val="16"/>
        </w:rPr>
        <w:t> </w:t>
      </w:r>
      <w:r>
        <w:rPr>
          <w:color w:val="231F20"/>
          <w:sz w:val="16"/>
        </w:rPr>
        <w:t>editor</w:t>
      </w:r>
      <w:r>
        <w:rPr>
          <w:color w:val="231F20"/>
          <w:spacing w:val="32"/>
          <w:sz w:val="16"/>
        </w:rPr>
        <w:t> </w:t>
      </w:r>
      <w:r>
        <w:rPr>
          <w:rFonts w:ascii="Book Antiqua"/>
          <w:i/>
          <w:color w:val="231F20"/>
          <w:spacing w:val="-2"/>
          <w:sz w:val="16"/>
        </w:rPr>
        <w:t>(continued)</w:t>
      </w:r>
    </w:p>
    <w:p>
      <w:pPr>
        <w:spacing w:line="200" w:lineRule="exact" w:before="0"/>
        <w:ind w:left="0" w:right="797" w:firstLine="0"/>
        <w:jc w:val="center"/>
        <w:rPr>
          <w:sz w:val="16"/>
        </w:rPr>
      </w:pPr>
      <w:hyperlink w:history="true" w:anchor="_bookmark247">
        <w:r>
          <w:rPr>
            <w:color w:val="231F20"/>
            <w:sz w:val="16"/>
          </w:rPr>
          <w:t>general</w:t>
        </w:r>
        <w:r>
          <w:rPr>
            <w:color w:val="231F20"/>
            <w:spacing w:val="10"/>
            <w:sz w:val="16"/>
          </w:rPr>
          <w:t> </w:t>
        </w:r>
        <w:r>
          <w:rPr>
            <w:color w:val="231F20"/>
            <w:sz w:val="16"/>
          </w:rPr>
          <w:t>activities</w:t>
        </w:r>
        <w:r>
          <w:rPr>
            <w:color w:val="231F20"/>
            <w:spacing w:val="35"/>
            <w:sz w:val="16"/>
          </w:rPr>
          <w:t>  </w:t>
        </w:r>
        <w:r>
          <w:rPr>
            <w:color w:val="231F20"/>
            <w:spacing w:val="-5"/>
            <w:sz w:val="16"/>
          </w:rPr>
          <w:t>336</w:t>
        </w:r>
      </w:hyperlink>
    </w:p>
    <w:p>
      <w:pPr>
        <w:spacing w:line="200" w:lineRule="exact" w:before="0"/>
        <w:ind w:left="553" w:right="0" w:firstLine="0"/>
        <w:jc w:val="left"/>
        <w:rPr>
          <w:sz w:val="16"/>
        </w:rPr>
      </w:pPr>
      <w:hyperlink w:history="true" w:anchor="_bookmark246">
        <w:r>
          <w:rPr>
            <w:color w:val="231F20"/>
            <w:sz w:val="16"/>
          </w:rPr>
          <w:t>grapher</w:t>
        </w:r>
        <w:r>
          <w:rPr>
            <w:color w:val="231F20"/>
            <w:spacing w:val="10"/>
            <w:sz w:val="16"/>
          </w:rPr>
          <w:t> </w:t>
        </w:r>
        <w:r>
          <w:rPr>
            <w:color w:val="231F20"/>
            <w:sz w:val="16"/>
          </w:rPr>
          <w:t>view</w:t>
        </w:r>
        <w:r>
          <w:rPr>
            <w:color w:val="231F20"/>
            <w:spacing w:val="36"/>
            <w:sz w:val="16"/>
          </w:rPr>
          <w:t>  </w:t>
        </w:r>
        <w:r>
          <w:rPr>
            <w:color w:val="231F20"/>
            <w:spacing w:val="-5"/>
            <w:sz w:val="16"/>
          </w:rPr>
          <w:t>335</w:t>
        </w:r>
      </w:hyperlink>
    </w:p>
    <w:p>
      <w:pPr>
        <w:spacing w:line="200" w:lineRule="exact" w:before="0"/>
        <w:ind w:left="553" w:right="0" w:firstLine="0"/>
        <w:jc w:val="left"/>
        <w:rPr>
          <w:sz w:val="16"/>
        </w:rPr>
      </w:pPr>
      <w:hyperlink w:history="true" w:anchor="_bookmark256">
        <w:r>
          <w:rPr>
            <w:color w:val="231F20"/>
            <w:sz w:val="16"/>
          </w:rPr>
          <w:t>On</w:t>
        </w:r>
        <w:r>
          <w:rPr>
            <w:color w:val="231F20"/>
            <w:spacing w:val="10"/>
            <w:sz w:val="16"/>
          </w:rPr>
          <w:t> </w:t>
        </w:r>
        <w:r>
          <w:rPr>
            <w:color w:val="231F20"/>
            <w:sz w:val="16"/>
          </w:rPr>
          <w:t>Demand</w:t>
        </w:r>
        <w:r>
          <w:rPr>
            <w:color w:val="231F20"/>
            <w:spacing w:val="10"/>
            <w:sz w:val="16"/>
          </w:rPr>
          <w:t> </w:t>
        </w:r>
        <w:r>
          <w:rPr>
            <w:color w:val="231F20"/>
            <w:sz w:val="16"/>
          </w:rPr>
          <w:t>Report</w:t>
        </w:r>
        <w:r>
          <w:rPr>
            <w:color w:val="231F20"/>
            <w:spacing w:val="35"/>
            <w:sz w:val="16"/>
          </w:rPr>
          <w:t>  </w:t>
        </w:r>
        <w:r>
          <w:rPr>
            <w:color w:val="231F20"/>
            <w:spacing w:val="-5"/>
            <w:sz w:val="16"/>
          </w:rPr>
          <w:t>346</w:t>
        </w:r>
      </w:hyperlink>
    </w:p>
    <w:p>
      <w:pPr>
        <w:spacing w:line="220" w:lineRule="auto" w:before="5"/>
        <w:ind w:left="673" w:right="0" w:hanging="120"/>
        <w:jc w:val="left"/>
        <w:rPr>
          <w:sz w:val="16"/>
        </w:rPr>
      </w:pPr>
      <w:hyperlink w:history="true" w:anchor="_bookmark254">
        <w:r>
          <w:rPr>
            <w:color w:val="231F20"/>
            <w:sz w:val="16"/>
          </w:rPr>
          <w:t>Send</w:t>
        </w:r>
        <w:r>
          <w:rPr>
            <w:color w:val="231F20"/>
            <w:spacing w:val="-1"/>
            <w:sz w:val="16"/>
          </w:rPr>
          <w:t> </w:t>
        </w:r>
        <w:r>
          <w:rPr>
            <w:color w:val="231F20"/>
            <w:sz w:val="16"/>
          </w:rPr>
          <w:t>a</w:t>
        </w:r>
        <w:r>
          <w:rPr>
            <w:color w:val="231F20"/>
            <w:spacing w:val="-1"/>
            <w:sz w:val="16"/>
          </w:rPr>
          <w:t> </w:t>
        </w:r>
        <w:r>
          <w:rPr>
            <w:color w:val="231F20"/>
            <w:sz w:val="16"/>
          </w:rPr>
          <w:t>Tivoli</w:t>
        </w:r>
        <w:r>
          <w:rPr>
            <w:color w:val="231F20"/>
            <w:spacing w:val="-5"/>
            <w:sz w:val="16"/>
          </w:rPr>
          <w:t> </w:t>
        </w:r>
        <w:r>
          <w:rPr>
            <w:color w:val="231F20"/>
            <w:sz w:val="16"/>
          </w:rPr>
          <w:t>Application</w:t>
        </w:r>
        <w:r>
          <w:rPr>
            <w:color w:val="231F20"/>
            <w:spacing w:val="-1"/>
            <w:sz w:val="16"/>
          </w:rPr>
          <w:t> </w:t>
        </w:r>
        <w:r>
          <w:rPr>
            <w:color w:val="231F20"/>
            <w:sz w:val="16"/>
          </w:rPr>
          <w:t>Dependency</w:t>
        </w:r>
      </w:hyperlink>
      <w:r>
        <w:rPr>
          <w:color w:val="231F20"/>
          <w:spacing w:val="40"/>
          <w:sz w:val="16"/>
        </w:rPr>
        <w:t> </w:t>
      </w:r>
      <w:hyperlink w:history="true" w:anchor="_bookmark254">
        <w:r>
          <w:rPr>
            <w:color w:val="231F20"/>
            <w:sz w:val="16"/>
          </w:rPr>
          <w:t>Discovery Manager Update</w:t>
        </w:r>
        <w:r>
          <w:rPr>
            <w:color w:val="231F20"/>
            <w:spacing w:val="80"/>
            <w:sz w:val="16"/>
          </w:rPr>
          <w:t> </w:t>
        </w:r>
        <w:r>
          <w:rPr>
            <w:color w:val="231F20"/>
            <w:sz w:val="16"/>
          </w:rPr>
          <w:t>345</w:t>
        </w:r>
      </w:hyperlink>
    </w:p>
    <w:p>
      <w:pPr>
        <w:spacing w:line="220" w:lineRule="auto" w:before="2"/>
        <w:ind w:left="553" w:right="1207" w:firstLine="0"/>
        <w:jc w:val="left"/>
        <w:rPr>
          <w:sz w:val="16"/>
        </w:rPr>
      </w:pPr>
      <w:hyperlink w:history="true" w:anchor="_bookmark259">
        <w:r>
          <w:rPr>
            <w:color w:val="231F20"/>
            <w:sz w:val="16"/>
          </w:rPr>
          <w:t>Send an email</w:t>
        </w:r>
        <w:r>
          <w:rPr>
            <w:color w:val="231F20"/>
            <w:spacing w:val="80"/>
            <w:sz w:val="16"/>
          </w:rPr>
          <w:t> </w:t>
        </w:r>
        <w:r>
          <w:rPr>
            <w:color w:val="231F20"/>
            <w:sz w:val="16"/>
          </w:rPr>
          <w:t>348</w:t>
        </w:r>
      </w:hyperlink>
      <w:r>
        <w:rPr>
          <w:color w:val="231F20"/>
          <w:spacing w:val="40"/>
          <w:sz w:val="16"/>
        </w:rPr>
        <w:t> </w:t>
      </w:r>
      <w:hyperlink w:history="true" w:anchor="_bookmark257">
        <w:r>
          <w:rPr>
            <w:color w:val="231F20"/>
            <w:sz w:val="16"/>
          </w:rPr>
          <w:t>Value</w:t>
        </w:r>
        <w:r>
          <w:rPr>
            <w:color w:val="231F20"/>
            <w:spacing w:val="-1"/>
            <w:sz w:val="16"/>
          </w:rPr>
          <w:t> </w:t>
        </w:r>
        <w:r>
          <w:rPr>
            <w:color w:val="231F20"/>
            <w:sz w:val="16"/>
          </w:rPr>
          <w:t>substitution</w:t>
        </w:r>
        <w:r>
          <w:rPr>
            <w:color w:val="231F20"/>
            <w:spacing w:val="77"/>
            <w:sz w:val="16"/>
          </w:rPr>
          <w:t> </w:t>
        </w:r>
        <w:r>
          <w:rPr>
            <w:color w:val="231F20"/>
            <w:sz w:val="16"/>
          </w:rPr>
          <w:t>347</w:t>
        </w:r>
      </w:hyperlink>
    </w:p>
    <w:p>
      <w:pPr>
        <w:spacing w:line="196" w:lineRule="exact" w:before="0"/>
        <w:ind w:left="314" w:right="0" w:firstLine="0"/>
        <w:jc w:val="left"/>
        <w:rPr>
          <w:sz w:val="16"/>
        </w:rPr>
      </w:pPr>
      <w:hyperlink w:history="true" w:anchor="_bookmark243">
        <w:r>
          <w:rPr>
            <w:color w:val="231F20"/>
            <w:sz w:val="16"/>
          </w:rPr>
          <w:t>workflows</w:t>
        </w:r>
        <w:r>
          <w:rPr>
            <w:color w:val="231F20"/>
            <w:spacing w:val="35"/>
            <w:sz w:val="16"/>
          </w:rPr>
          <w:t>  </w:t>
        </w:r>
        <w:r>
          <w:rPr>
            <w:color w:val="231F20"/>
            <w:spacing w:val="-5"/>
            <w:sz w:val="16"/>
          </w:rPr>
          <w:t>331</w:t>
        </w:r>
      </w:hyperlink>
    </w:p>
    <w:p>
      <w:pPr>
        <w:spacing w:line="220" w:lineRule="auto" w:before="5"/>
        <w:ind w:left="314" w:right="1207" w:firstLine="239"/>
        <w:jc w:val="left"/>
        <w:rPr>
          <w:sz w:val="16"/>
        </w:rPr>
      </w:pPr>
      <w:hyperlink w:history="true" w:anchor="_bookmark243">
        <w:r>
          <w:rPr>
            <w:color w:val="231F20"/>
            <w:sz w:val="16"/>
          </w:rPr>
          <w:t>policy details</w:t>
        </w:r>
        <w:r>
          <w:rPr>
            <w:color w:val="231F20"/>
            <w:spacing w:val="80"/>
            <w:sz w:val="16"/>
          </w:rPr>
          <w:t> </w:t>
        </w:r>
        <w:r>
          <w:rPr>
            <w:color w:val="231F20"/>
            <w:sz w:val="16"/>
          </w:rPr>
          <w:t>331</w:t>
        </w:r>
      </w:hyperlink>
      <w:r>
        <w:rPr>
          <w:color w:val="231F20"/>
          <w:spacing w:val="40"/>
          <w:sz w:val="16"/>
        </w:rPr>
        <w:t> </w:t>
      </w:r>
      <w:r>
        <w:rPr>
          <w:color w:val="231F20"/>
          <w:spacing w:val="-2"/>
          <w:sz w:val="16"/>
        </w:rPr>
        <w:t>workspace</w:t>
      </w:r>
    </w:p>
    <w:p>
      <w:pPr>
        <w:spacing w:line="196" w:lineRule="exact" w:before="0"/>
        <w:ind w:left="553" w:right="0" w:firstLine="0"/>
        <w:jc w:val="left"/>
        <w:rPr>
          <w:sz w:val="16"/>
        </w:rPr>
      </w:pPr>
      <w:hyperlink w:history="true" w:anchor="_bookmark53">
        <w:r>
          <w:rPr>
            <w:color w:val="231F20"/>
            <w:sz w:val="16"/>
          </w:rPr>
          <w:t>administration</w:t>
        </w:r>
        <w:r>
          <w:rPr>
            <w:color w:val="231F20"/>
            <w:spacing w:val="9"/>
            <w:sz w:val="16"/>
          </w:rPr>
          <w:t> </w:t>
        </w:r>
        <w:r>
          <w:rPr>
            <w:color w:val="231F20"/>
            <w:sz w:val="16"/>
          </w:rPr>
          <w:t>mode</w:t>
        </w:r>
        <w:r>
          <w:rPr>
            <w:color w:val="231F20"/>
            <w:spacing w:val="34"/>
            <w:sz w:val="16"/>
          </w:rPr>
          <w:t>  </w:t>
        </w:r>
        <w:r>
          <w:rPr>
            <w:color w:val="231F20"/>
            <w:spacing w:val="-5"/>
            <w:sz w:val="16"/>
          </w:rPr>
          <w:t>67</w:t>
        </w:r>
      </w:hyperlink>
    </w:p>
    <w:p>
      <w:pPr>
        <w:spacing w:line="200" w:lineRule="exact" w:before="0"/>
        <w:ind w:left="553" w:right="0" w:firstLine="0"/>
        <w:jc w:val="left"/>
        <w:rPr>
          <w:sz w:val="16"/>
        </w:rPr>
      </w:pPr>
      <w:hyperlink w:history="true" w:anchor="_bookmark55">
        <w:r>
          <w:rPr>
            <w:color w:val="231F20"/>
            <w:sz w:val="16"/>
          </w:rPr>
          <w:t>create</w:t>
        </w:r>
        <w:r>
          <w:rPr>
            <w:color w:val="231F20"/>
            <w:spacing w:val="10"/>
            <w:sz w:val="16"/>
          </w:rPr>
          <w:t> </w:t>
        </w:r>
        <w:r>
          <w:rPr>
            <w:color w:val="231F20"/>
            <w:sz w:val="16"/>
          </w:rPr>
          <w:t>new</w:t>
        </w:r>
        <w:r>
          <w:rPr>
            <w:color w:val="231F20"/>
            <w:spacing w:val="35"/>
            <w:sz w:val="16"/>
          </w:rPr>
          <w:t>  </w:t>
        </w:r>
        <w:r>
          <w:rPr>
            <w:color w:val="231F20"/>
            <w:spacing w:val="-7"/>
            <w:sz w:val="16"/>
          </w:rPr>
          <w:t>69</w:t>
        </w:r>
      </w:hyperlink>
    </w:p>
    <w:p>
      <w:pPr>
        <w:spacing w:line="200" w:lineRule="exact" w:before="0"/>
        <w:ind w:left="553" w:right="0" w:firstLine="0"/>
        <w:jc w:val="left"/>
        <w:rPr>
          <w:sz w:val="16"/>
        </w:rPr>
      </w:pPr>
      <w:hyperlink w:history="true" w:anchor="_bookmark59">
        <w:r>
          <w:rPr>
            <w:color w:val="231F20"/>
            <w:sz w:val="16"/>
          </w:rPr>
          <w:t>creating</w:t>
        </w:r>
        <w:r>
          <w:rPr>
            <w:color w:val="231F20"/>
            <w:spacing w:val="9"/>
            <w:sz w:val="16"/>
          </w:rPr>
          <w:t> </w:t>
        </w:r>
        <w:r>
          <w:rPr>
            <w:color w:val="231F20"/>
            <w:sz w:val="16"/>
          </w:rPr>
          <w:t>links</w:t>
        </w:r>
        <w:r>
          <w:rPr>
            <w:color w:val="231F20"/>
            <w:spacing w:val="35"/>
            <w:sz w:val="16"/>
          </w:rPr>
          <w:t>  </w:t>
        </w:r>
        <w:r>
          <w:rPr>
            <w:color w:val="231F20"/>
            <w:spacing w:val="-5"/>
            <w:sz w:val="16"/>
          </w:rPr>
          <w:t>73</w:t>
        </w:r>
      </w:hyperlink>
    </w:p>
    <w:p>
      <w:pPr>
        <w:spacing w:line="200" w:lineRule="exact" w:before="0"/>
        <w:ind w:left="553" w:right="0" w:firstLine="0"/>
        <w:jc w:val="left"/>
        <w:rPr>
          <w:sz w:val="16"/>
        </w:rPr>
      </w:pPr>
      <w:hyperlink w:history="true" w:anchor="_bookmark49">
        <w:r>
          <w:rPr>
            <w:color w:val="231F20"/>
            <w:sz w:val="16"/>
          </w:rPr>
          <w:t>customize</w:t>
        </w:r>
        <w:r>
          <w:rPr>
            <w:color w:val="231F20"/>
            <w:spacing w:val="35"/>
            <w:sz w:val="16"/>
          </w:rPr>
          <w:t>  </w:t>
        </w:r>
        <w:r>
          <w:rPr>
            <w:color w:val="231F20"/>
            <w:spacing w:val="-5"/>
            <w:sz w:val="16"/>
          </w:rPr>
          <w:t>63</w:t>
        </w:r>
      </w:hyperlink>
    </w:p>
    <w:p>
      <w:pPr>
        <w:spacing w:line="200" w:lineRule="exact" w:before="0"/>
        <w:ind w:left="553" w:right="0" w:firstLine="0"/>
        <w:jc w:val="left"/>
        <w:rPr>
          <w:sz w:val="16"/>
        </w:rPr>
      </w:pPr>
      <w:hyperlink w:history="true" w:anchor="_bookmark58">
        <w:r>
          <w:rPr>
            <w:color w:val="231F20"/>
            <w:sz w:val="16"/>
          </w:rPr>
          <w:t>delete</w:t>
        </w:r>
        <w:r>
          <w:rPr>
            <w:color w:val="231F20"/>
            <w:spacing w:val="37"/>
            <w:sz w:val="16"/>
          </w:rPr>
          <w:t>  </w:t>
        </w:r>
        <w:r>
          <w:rPr>
            <w:color w:val="231F20"/>
            <w:spacing w:val="-7"/>
            <w:sz w:val="16"/>
          </w:rPr>
          <w:t>72</w:t>
        </w:r>
      </w:hyperlink>
    </w:p>
    <w:p>
      <w:pPr>
        <w:spacing w:line="220" w:lineRule="auto" w:before="5"/>
        <w:ind w:left="553" w:right="1280" w:firstLine="0"/>
        <w:jc w:val="left"/>
        <w:rPr>
          <w:sz w:val="16"/>
        </w:rPr>
      </w:pPr>
      <w:hyperlink w:history="true" w:anchor="_bookmark58">
        <w:r>
          <w:rPr>
            <w:color w:val="231F20"/>
            <w:sz w:val="16"/>
          </w:rPr>
          <w:t>delete or restore</w:t>
        </w:r>
        <w:r>
          <w:rPr>
            <w:color w:val="231F20"/>
            <w:spacing w:val="80"/>
            <w:sz w:val="16"/>
          </w:rPr>
          <w:t> </w:t>
        </w:r>
        <w:r>
          <w:rPr>
            <w:color w:val="231F20"/>
            <w:sz w:val="16"/>
          </w:rPr>
          <w:t>72</w:t>
        </w:r>
      </w:hyperlink>
      <w:r>
        <w:rPr>
          <w:color w:val="231F20"/>
          <w:spacing w:val="40"/>
          <w:sz w:val="16"/>
        </w:rPr>
        <w:t> </w:t>
      </w:r>
      <w:hyperlink w:history="true" w:anchor="_bookmark57">
        <w:r>
          <w:rPr>
            <w:color w:val="231F20"/>
            <w:sz w:val="16"/>
          </w:rPr>
          <w:t>edit</w:t>
        </w:r>
        <w:r>
          <w:rPr>
            <w:color w:val="231F20"/>
            <w:spacing w:val="80"/>
            <w:sz w:val="16"/>
          </w:rPr>
          <w:t> </w:t>
        </w:r>
        <w:r>
          <w:rPr>
            <w:color w:val="231F20"/>
            <w:sz w:val="16"/>
          </w:rPr>
          <w:t>71</w:t>
        </w:r>
      </w:hyperlink>
    </w:p>
    <w:p>
      <w:pPr>
        <w:spacing w:line="196" w:lineRule="exact" w:before="0"/>
        <w:ind w:left="553" w:right="0" w:firstLine="0"/>
        <w:jc w:val="left"/>
        <w:rPr>
          <w:sz w:val="16"/>
        </w:rPr>
      </w:pPr>
      <w:hyperlink w:history="true" w:anchor="_bookmark26">
        <w:r>
          <w:rPr>
            <w:color w:val="231F20"/>
            <w:sz w:val="16"/>
          </w:rPr>
          <w:t>gallery</w:t>
        </w:r>
        <w:r>
          <w:rPr>
            <w:color w:val="231F20"/>
            <w:spacing w:val="37"/>
            <w:sz w:val="16"/>
          </w:rPr>
          <w:t>  </w:t>
        </w:r>
        <w:r>
          <w:rPr>
            <w:color w:val="231F20"/>
            <w:spacing w:val="-5"/>
            <w:sz w:val="16"/>
          </w:rPr>
          <w:t>36</w:t>
        </w:r>
      </w:hyperlink>
    </w:p>
    <w:p>
      <w:pPr>
        <w:spacing w:line="220" w:lineRule="auto" w:before="6"/>
        <w:ind w:left="553" w:right="447" w:firstLine="0"/>
        <w:jc w:val="left"/>
        <w:rPr>
          <w:sz w:val="16"/>
        </w:rPr>
      </w:pPr>
      <w:hyperlink w:history="true" w:anchor="_bookmark155">
        <w:r>
          <w:rPr>
            <w:color w:val="231F20"/>
            <w:sz w:val="16"/>
          </w:rPr>
          <w:t>historical navigation mode</w:t>
        </w:r>
        <w:r>
          <w:rPr>
            <w:color w:val="231F20"/>
            <w:spacing w:val="80"/>
            <w:sz w:val="16"/>
          </w:rPr>
          <w:t> </w:t>
        </w:r>
        <w:r>
          <w:rPr>
            <w:color w:val="231F20"/>
            <w:sz w:val="16"/>
          </w:rPr>
          <w:t>216</w:t>
        </w:r>
      </w:hyperlink>
      <w:r>
        <w:rPr>
          <w:color w:val="231F20"/>
          <w:spacing w:val="40"/>
          <w:sz w:val="16"/>
        </w:rPr>
        <w:t> </w:t>
      </w:r>
      <w:hyperlink w:history="true" w:anchor="_bookmark30">
        <w:r>
          <w:rPr>
            <w:color w:val="231F20"/>
            <w:sz w:val="16"/>
          </w:rPr>
          <w:t>link</w:t>
        </w:r>
        <w:r>
          <w:rPr>
            <w:color w:val="231F20"/>
            <w:spacing w:val="80"/>
            <w:sz w:val="16"/>
          </w:rPr>
          <w:t> </w:t>
        </w:r>
        <w:r>
          <w:rPr>
            <w:color w:val="231F20"/>
            <w:sz w:val="16"/>
          </w:rPr>
          <w:t>40</w:t>
        </w:r>
      </w:hyperlink>
    </w:p>
    <w:p>
      <w:pPr>
        <w:spacing w:line="196" w:lineRule="exact" w:before="0"/>
        <w:ind w:left="553" w:right="0" w:firstLine="0"/>
        <w:jc w:val="left"/>
        <w:rPr>
          <w:sz w:val="16"/>
        </w:rPr>
      </w:pPr>
      <w:hyperlink w:history="true" w:anchor="_bookmark26">
        <w:r>
          <w:rPr>
            <w:color w:val="231F20"/>
            <w:sz w:val="16"/>
          </w:rPr>
          <w:t>open</w:t>
        </w:r>
        <w:r>
          <w:rPr>
            <w:color w:val="231F20"/>
            <w:spacing w:val="37"/>
            <w:sz w:val="16"/>
          </w:rPr>
          <w:t>  </w:t>
        </w:r>
        <w:r>
          <w:rPr>
            <w:color w:val="231F20"/>
            <w:spacing w:val="-5"/>
            <w:sz w:val="16"/>
          </w:rPr>
          <w:t>36</w:t>
        </w:r>
      </w:hyperlink>
    </w:p>
    <w:p>
      <w:pPr>
        <w:spacing w:line="200" w:lineRule="exact" w:before="0"/>
        <w:ind w:left="553" w:right="0" w:firstLine="0"/>
        <w:jc w:val="left"/>
        <w:rPr>
          <w:sz w:val="16"/>
        </w:rPr>
      </w:pPr>
      <w:hyperlink w:history="true" w:anchor="_bookmark38">
        <w:r>
          <w:rPr>
            <w:color w:val="231F20"/>
            <w:sz w:val="16"/>
          </w:rPr>
          <w:t>print</w:t>
        </w:r>
        <w:r>
          <w:rPr>
            <w:color w:val="231F20"/>
            <w:spacing w:val="37"/>
            <w:sz w:val="16"/>
          </w:rPr>
          <w:t>  </w:t>
        </w:r>
        <w:r>
          <w:rPr>
            <w:color w:val="231F20"/>
            <w:spacing w:val="-5"/>
            <w:sz w:val="16"/>
          </w:rPr>
          <w:t>49</w:t>
        </w:r>
      </w:hyperlink>
    </w:p>
    <w:p>
      <w:pPr>
        <w:spacing w:line="200" w:lineRule="exact" w:before="0"/>
        <w:ind w:left="553" w:right="0" w:firstLine="0"/>
        <w:jc w:val="left"/>
        <w:rPr>
          <w:sz w:val="16"/>
        </w:rPr>
      </w:pPr>
      <w:hyperlink w:history="true" w:anchor="_bookmark55">
        <w:r>
          <w:rPr>
            <w:color w:val="231F20"/>
            <w:sz w:val="16"/>
          </w:rPr>
          <w:t>properties</w:t>
        </w:r>
        <w:r>
          <w:rPr>
            <w:color w:val="231F20"/>
            <w:spacing w:val="34"/>
            <w:sz w:val="16"/>
          </w:rPr>
          <w:t>  </w:t>
        </w:r>
        <w:r>
          <w:rPr>
            <w:color w:val="231F20"/>
            <w:sz w:val="16"/>
          </w:rPr>
          <w:t>69,</w:t>
        </w:r>
      </w:hyperlink>
      <w:r>
        <w:rPr>
          <w:color w:val="231F20"/>
          <w:spacing w:val="11"/>
          <w:sz w:val="16"/>
        </w:rPr>
        <w:t> </w:t>
      </w:r>
      <w:hyperlink w:history="true" w:anchor="_bookmark68">
        <w:r>
          <w:rPr>
            <w:color w:val="231F20"/>
            <w:spacing w:val="-5"/>
            <w:sz w:val="16"/>
          </w:rPr>
          <w:t>89</w:t>
        </w:r>
      </w:hyperlink>
    </w:p>
    <w:p>
      <w:pPr>
        <w:spacing w:line="200" w:lineRule="exact" w:before="0"/>
        <w:ind w:left="553" w:right="0" w:firstLine="0"/>
        <w:jc w:val="left"/>
        <w:rPr>
          <w:sz w:val="16"/>
        </w:rPr>
      </w:pPr>
      <w:hyperlink w:history="true" w:anchor="_bookmark29">
        <w:r>
          <w:rPr>
            <w:color w:val="231F20"/>
            <w:sz w:val="16"/>
          </w:rPr>
          <w:t>refresh</w:t>
        </w:r>
        <w:r>
          <w:rPr>
            <w:color w:val="231F20"/>
            <w:spacing w:val="34"/>
            <w:sz w:val="16"/>
          </w:rPr>
          <w:t>  </w:t>
        </w:r>
        <w:r>
          <w:rPr>
            <w:color w:val="231F20"/>
            <w:spacing w:val="-5"/>
            <w:sz w:val="16"/>
          </w:rPr>
          <w:t>39</w:t>
        </w:r>
      </w:hyperlink>
    </w:p>
    <w:p>
      <w:pPr>
        <w:spacing w:line="200" w:lineRule="exact" w:before="0"/>
        <w:ind w:left="553" w:right="0" w:firstLine="0"/>
        <w:jc w:val="left"/>
        <w:rPr>
          <w:sz w:val="16"/>
        </w:rPr>
      </w:pPr>
      <w:hyperlink w:history="true" w:anchor="_bookmark57">
        <w:r>
          <w:rPr>
            <w:color w:val="231F20"/>
            <w:sz w:val="16"/>
          </w:rPr>
          <w:t>rename</w:t>
        </w:r>
        <w:r>
          <w:rPr>
            <w:color w:val="231F20"/>
            <w:spacing w:val="35"/>
            <w:sz w:val="16"/>
          </w:rPr>
          <w:t>  </w:t>
        </w:r>
        <w:r>
          <w:rPr>
            <w:color w:val="231F20"/>
            <w:spacing w:val="-7"/>
            <w:sz w:val="16"/>
          </w:rPr>
          <w:t>71</w:t>
        </w:r>
      </w:hyperlink>
    </w:p>
    <w:p>
      <w:pPr>
        <w:spacing w:line="200" w:lineRule="exact" w:before="0"/>
        <w:ind w:left="553" w:right="0" w:firstLine="0"/>
        <w:jc w:val="left"/>
        <w:rPr>
          <w:sz w:val="16"/>
        </w:rPr>
      </w:pPr>
      <w:hyperlink w:history="true" w:anchor="_bookmark58">
        <w:r>
          <w:rPr>
            <w:color w:val="231F20"/>
            <w:sz w:val="16"/>
          </w:rPr>
          <w:t>restore</w:t>
        </w:r>
        <w:r>
          <w:rPr>
            <w:color w:val="231F20"/>
            <w:spacing w:val="8"/>
            <w:sz w:val="16"/>
          </w:rPr>
          <w:t> </w:t>
        </w:r>
        <w:r>
          <w:rPr>
            <w:color w:val="231F20"/>
            <w:sz w:val="16"/>
          </w:rPr>
          <w:t>original</w:t>
        </w:r>
        <w:r>
          <w:rPr>
            <w:color w:val="231F20"/>
            <w:spacing w:val="33"/>
            <w:sz w:val="16"/>
          </w:rPr>
          <w:t>  </w:t>
        </w:r>
        <w:r>
          <w:rPr>
            <w:color w:val="231F20"/>
            <w:spacing w:val="-5"/>
            <w:sz w:val="16"/>
          </w:rPr>
          <w:t>72</w:t>
        </w:r>
      </w:hyperlink>
    </w:p>
    <w:p>
      <w:pPr>
        <w:spacing w:line="200" w:lineRule="exact" w:before="0"/>
        <w:ind w:left="553" w:right="0" w:firstLine="0"/>
        <w:jc w:val="left"/>
        <w:rPr>
          <w:sz w:val="16"/>
        </w:rPr>
      </w:pPr>
      <w:hyperlink w:history="true" w:anchor="_bookmark56">
        <w:r>
          <w:rPr>
            <w:color w:val="231F20"/>
            <w:sz w:val="16"/>
          </w:rPr>
          <w:t>save</w:t>
        </w:r>
        <w:r>
          <w:rPr>
            <w:color w:val="231F20"/>
            <w:spacing w:val="37"/>
            <w:sz w:val="16"/>
          </w:rPr>
          <w:t>  </w:t>
        </w:r>
        <w:r>
          <w:rPr>
            <w:color w:val="231F20"/>
            <w:spacing w:val="-5"/>
            <w:sz w:val="16"/>
          </w:rPr>
          <w:t>70</w:t>
        </w:r>
      </w:hyperlink>
    </w:p>
    <w:p>
      <w:pPr>
        <w:spacing w:line="220" w:lineRule="auto" w:before="5"/>
        <w:ind w:left="553" w:right="561" w:firstLine="0"/>
        <w:jc w:val="left"/>
        <w:rPr>
          <w:sz w:val="16"/>
        </w:rPr>
      </w:pPr>
      <w:hyperlink w:history="true" w:anchor="_bookmark30">
        <w:r>
          <w:rPr>
            <w:color w:val="231F20"/>
            <w:sz w:val="16"/>
          </w:rPr>
          <w:t>suspend and stop refresh</w:t>
        </w:r>
        <w:r>
          <w:rPr>
            <w:color w:val="231F20"/>
            <w:spacing w:val="80"/>
            <w:sz w:val="16"/>
          </w:rPr>
          <w:t> </w:t>
        </w:r>
        <w:r>
          <w:rPr>
            <w:color w:val="231F20"/>
            <w:sz w:val="16"/>
          </w:rPr>
          <w:t>40</w:t>
        </w:r>
      </w:hyperlink>
      <w:r>
        <w:rPr>
          <w:color w:val="231F20"/>
          <w:spacing w:val="40"/>
          <w:sz w:val="16"/>
        </w:rPr>
        <w:t> </w:t>
      </w:r>
      <w:hyperlink w:history="true" w:anchor="_bookmark28">
        <w:r>
          <w:rPr>
            <w:color w:val="231F20"/>
            <w:sz w:val="16"/>
          </w:rPr>
          <w:t>tabbed</w:t>
        </w:r>
        <w:r>
          <w:rPr>
            <w:color w:val="231F20"/>
            <w:spacing w:val="80"/>
            <w:sz w:val="16"/>
          </w:rPr>
          <w:t> </w:t>
        </w:r>
        <w:r>
          <w:rPr>
            <w:color w:val="231F20"/>
            <w:sz w:val="16"/>
          </w:rPr>
          <w:t>38</w:t>
        </w:r>
      </w:hyperlink>
    </w:p>
    <w:p>
      <w:pPr>
        <w:spacing w:line="196" w:lineRule="exact" w:before="0"/>
        <w:ind w:left="553" w:right="0" w:firstLine="0"/>
        <w:jc w:val="left"/>
        <w:rPr>
          <w:sz w:val="16"/>
        </w:rPr>
      </w:pPr>
      <w:hyperlink w:history="true" w:anchor="_bookmark28">
        <w:r>
          <w:rPr>
            <w:color w:val="231F20"/>
            <w:sz w:val="16"/>
          </w:rPr>
          <w:t>tabbed</w:t>
        </w:r>
        <w:r>
          <w:rPr>
            <w:color w:val="231F20"/>
            <w:spacing w:val="9"/>
            <w:sz w:val="16"/>
          </w:rPr>
          <w:t> </w:t>
        </w:r>
        <w:r>
          <w:rPr>
            <w:color w:val="231F20"/>
            <w:sz w:val="16"/>
          </w:rPr>
          <w:t>workspaces</w:t>
        </w:r>
        <w:r>
          <w:rPr>
            <w:color w:val="231F20"/>
            <w:spacing w:val="34"/>
            <w:sz w:val="16"/>
          </w:rPr>
          <w:t>  </w:t>
        </w:r>
        <w:r>
          <w:rPr>
            <w:color w:val="231F20"/>
            <w:spacing w:val="-5"/>
            <w:sz w:val="16"/>
          </w:rPr>
          <w:t>38</w:t>
        </w:r>
      </w:hyperlink>
    </w:p>
    <w:p>
      <w:pPr>
        <w:spacing w:line="200" w:lineRule="exact" w:before="0"/>
        <w:ind w:left="553" w:right="0" w:firstLine="0"/>
        <w:jc w:val="left"/>
        <w:rPr>
          <w:sz w:val="16"/>
        </w:rPr>
      </w:pPr>
      <w:hyperlink w:history="true" w:anchor="_bookmark10">
        <w:r>
          <w:rPr>
            <w:color w:val="231F20"/>
            <w:sz w:val="16"/>
          </w:rPr>
          <w:t>tour</w:t>
        </w:r>
        <w:r>
          <w:rPr>
            <w:color w:val="231F20"/>
            <w:spacing w:val="38"/>
            <w:sz w:val="16"/>
          </w:rPr>
          <w:t>  </w:t>
        </w:r>
        <w:r>
          <w:rPr>
            <w:color w:val="231F20"/>
            <w:spacing w:val="-5"/>
            <w:sz w:val="16"/>
          </w:rPr>
          <w:t>16</w:t>
        </w:r>
      </w:hyperlink>
    </w:p>
    <w:p>
      <w:pPr>
        <w:spacing w:line="220" w:lineRule="auto" w:before="5"/>
        <w:ind w:left="314" w:right="0" w:firstLine="239"/>
        <w:jc w:val="left"/>
        <w:rPr>
          <w:sz w:val="16"/>
        </w:rPr>
      </w:pPr>
      <w:hyperlink w:history="true" w:anchor="_bookmark51">
        <w:r>
          <w:rPr>
            <w:color w:val="231F20"/>
            <w:sz w:val="16"/>
          </w:rPr>
          <w:t>Tutorial: Defining a workspace</w:t>
        </w:r>
        <w:r>
          <w:rPr>
            <w:color w:val="231F20"/>
            <w:spacing w:val="80"/>
            <w:sz w:val="16"/>
          </w:rPr>
          <w:t> </w:t>
        </w:r>
        <w:r>
          <w:rPr>
            <w:color w:val="231F20"/>
            <w:sz w:val="16"/>
          </w:rPr>
          <w:t>65</w:t>
        </w:r>
      </w:hyperlink>
      <w:r>
        <w:rPr>
          <w:color w:val="231F20"/>
          <w:spacing w:val="40"/>
          <w:sz w:val="16"/>
        </w:rPr>
        <w:t> </w:t>
      </w:r>
      <w:r>
        <w:rPr>
          <w:color w:val="231F20"/>
          <w:sz w:val="16"/>
        </w:rPr>
        <w:t>workspace views</w:t>
      </w:r>
    </w:p>
    <w:p>
      <w:pPr>
        <w:spacing w:line="220" w:lineRule="auto" w:before="2"/>
        <w:ind w:left="314" w:right="1207" w:firstLine="239"/>
        <w:jc w:val="left"/>
        <w:rPr>
          <w:sz w:val="16"/>
        </w:rPr>
      </w:pPr>
      <w:hyperlink w:history="true" w:anchor="_bookmark63">
        <w:r>
          <w:rPr>
            <w:color w:val="231F20"/>
            <w:sz w:val="16"/>
          </w:rPr>
          <w:t>customize</w:t>
        </w:r>
        <w:r>
          <w:rPr>
            <w:color w:val="231F20"/>
            <w:spacing w:val="79"/>
            <w:sz w:val="16"/>
          </w:rPr>
          <w:t> </w:t>
        </w:r>
        <w:r>
          <w:rPr>
            <w:color w:val="231F20"/>
            <w:sz w:val="16"/>
          </w:rPr>
          <w:t>83</w:t>
        </w:r>
      </w:hyperlink>
      <w:r>
        <w:rPr>
          <w:color w:val="231F20"/>
          <w:spacing w:val="40"/>
          <w:sz w:val="16"/>
        </w:rPr>
        <w:t> </w:t>
      </w:r>
      <w:r>
        <w:rPr>
          <w:color w:val="231F20"/>
          <w:spacing w:val="-2"/>
          <w:sz w:val="16"/>
        </w:rPr>
        <w:t>workspaces</w:t>
      </w:r>
    </w:p>
    <w:p>
      <w:pPr>
        <w:spacing w:line="196" w:lineRule="exact" w:before="0"/>
        <w:ind w:left="553" w:right="0" w:firstLine="0"/>
        <w:jc w:val="left"/>
        <w:rPr>
          <w:sz w:val="16"/>
        </w:rPr>
      </w:pPr>
      <w:hyperlink w:history="true" w:anchor="_bookmark306">
        <w:r>
          <w:rPr>
            <w:color w:val="231F20"/>
            <w:sz w:val="16"/>
          </w:rPr>
          <w:t>agent</w:t>
        </w:r>
        <w:r>
          <w:rPr>
            <w:color w:val="231F20"/>
            <w:spacing w:val="9"/>
            <w:sz w:val="16"/>
          </w:rPr>
          <w:t> </w:t>
        </w:r>
        <w:r>
          <w:rPr>
            <w:color w:val="231F20"/>
            <w:sz w:val="16"/>
          </w:rPr>
          <w:t>deployment</w:t>
        </w:r>
        <w:r>
          <w:rPr>
            <w:color w:val="231F20"/>
            <w:spacing w:val="35"/>
            <w:sz w:val="16"/>
          </w:rPr>
          <w:t>  </w:t>
        </w:r>
        <w:r>
          <w:rPr>
            <w:color w:val="231F20"/>
            <w:spacing w:val="-5"/>
            <w:sz w:val="16"/>
          </w:rPr>
          <w:t>396</w:t>
        </w:r>
      </w:hyperlink>
    </w:p>
    <w:p>
      <w:pPr>
        <w:spacing w:line="200" w:lineRule="exact" w:before="0"/>
        <w:ind w:left="553" w:right="0" w:firstLine="0"/>
        <w:jc w:val="left"/>
        <w:rPr>
          <w:sz w:val="16"/>
        </w:rPr>
      </w:pPr>
      <w:hyperlink w:history="true" w:anchor="_bookmark24">
        <w:r>
          <w:rPr>
            <w:color w:val="231F20"/>
            <w:sz w:val="16"/>
          </w:rPr>
          <w:t>characteristics</w:t>
        </w:r>
        <w:r>
          <w:rPr>
            <w:color w:val="231F20"/>
            <w:spacing w:val="34"/>
            <w:sz w:val="16"/>
          </w:rPr>
          <w:t>  </w:t>
        </w:r>
        <w:r>
          <w:rPr>
            <w:color w:val="231F20"/>
            <w:spacing w:val="-5"/>
            <w:sz w:val="16"/>
          </w:rPr>
          <w:t>33</w:t>
        </w:r>
      </w:hyperlink>
    </w:p>
    <w:p>
      <w:pPr>
        <w:spacing w:line="220" w:lineRule="auto" w:before="5"/>
        <w:ind w:left="553" w:right="561" w:firstLine="0"/>
        <w:jc w:val="left"/>
        <w:rPr>
          <w:sz w:val="16"/>
        </w:rPr>
      </w:pPr>
      <w:hyperlink w:history="true" w:anchor="_bookmark49">
        <w:r>
          <w:rPr>
            <w:color w:val="231F20"/>
            <w:sz w:val="16"/>
          </w:rPr>
          <w:t>design guidelines and tips</w:t>
        </w:r>
        <w:r>
          <w:rPr>
            <w:color w:val="231F20"/>
            <w:spacing w:val="80"/>
            <w:sz w:val="16"/>
          </w:rPr>
          <w:t> </w:t>
        </w:r>
        <w:r>
          <w:rPr>
            <w:color w:val="231F20"/>
            <w:sz w:val="16"/>
          </w:rPr>
          <w:t>63</w:t>
        </w:r>
      </w:hyperlink>
      <w:r>
        <w:rPr>
          <w:color w:val="231F20"/>
          <w:spacing w:val="40"/>
          <w:sz w:val="16"/>
        </w:rPr>
        <w:t> </w:t>
      </w:r>
      <w:hyperlink w:history="true" w:anchor="_bookmark62">
        <w:r>
          <w:rPr>
            <w:color w:val="231F20"/>
            <w:sz w:val="16"/>
          </w:rPr>
          <w:t>link examples</w:t>
        </w:r>
        <w:r>
          <w:rPr>
            <w:color w:val="231F20"/>
            <w:spacing w:val="80"/>
            <w:sz w:val="16"/>
          </w:rPr>
          <w:t> </w:t>
        </w:r>
        <w:r>
          <w:rPr>
            <w:color w:val="231F20"/>
            <w:sz w:val="16"/>
          </w:rPr>
          <w:t>78</w:t>
        </w:r>
      </w:hyperlink>
    </w:p>
    <w:p>
      <w:pPr>
        <w:spacing w:line="196" w:lineRule="exact" w:before="0"/>
        <w:ind w:left="553" w:right="0" w:firstLine="0"/>
        <w:jc w:val="left"/>
        <w:rPr>
          <w:sz w:val="16"/>
        </w:rPr>
      </w:pPr>
      <w:hyperlink w:history="true" w:anchor="_bookmark24">
        <w:r>
          <w:rPr>
            <w:color w:val="231F20"/>
            <w:sz w:val="16"/>
          </w:rPr>
          <w:t>overview</w:t>
        </w:r>
        <w:r>
          <w:rPr>
            <w:color w:val="231F20"/>
            <w:spacing w:val="36"/>
            <w:sz w:val="16"/>
          </w:rPr>
          <w:t>  </w:t>
        </w:r>
        <w:r>
          <w:rPr>
            <w:color w:val="231F20"/>
            <w:spacing w:val="-5"/>
            <w:sz w:val="16"/>
          </w:rPr>
          <w:t>33</w:t>
        </w:r>
      </w:hyperlink>
    </w:p>
    <w:p>
      <w:pPr>
        <w:spacing w:line="200" w:lineRule="exact" w:before="0"/>
        <w:ind w:left="553" w:right="0" w:firstLine="0"/>
        <w:jc w:val="left"/>
        <w:rPr>
          <w:sz w:val="16"/>
        </w:rPr>
      </w:pPr>
      <w:hyperlink w:history="true" w:anchor="_bookmark8">
        <w:r>
          <w:rPr>
            <w:color w:val="231F20"/>
            <w:sz w:val="16"/>
          </w:rPr>
          <w:t>predefined</w:t>
        </w:r>
        <w:r>
          <w:rPr>
            <w:color w:val="231F20"/>
            <w:spacing w:val="34"/>
            <w:sz w:val="16"/>
          </w:rPr>
          <w:t>  </w:t>
        </w:r>
        <w:r>
          <w:rPr>
            <w:color w:val="231F20"/>
            <w:spacing w:val="-5"/>
            <w:sz w:val="16"/>
          </w:rPr>
          <w:t>13</w:t>
        </w:r>
      </w:hyperlink>
    </w:p>
    <w:p>
      <w:pPr>
        <w:spacing w:line="220" w:lineRule="auto" w:before="6"/>
        <w:ind w:left="673" w:right="561" w:hanging="120"/>
        <w:jc w:val="left"/>
        <w:rPr>
          <w:sz w:val="16"/>
        </w:rPr>
      </w:pPr>
      <w:hyperlink w:history="true" w:anchor="_bookmark25">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Monitoring</w:t>
        </w:r>
      </w:hyperlink>
      <w:r>
        <w:rPr>
          <w:color w:val="231F20"/>
          <w:spacing w:val="40"/>
          <w:sz w:val="16"/>
        </w:rPr>
        <w:t> </w:t>
      </w:r>
      <w:hyperlink w:history="true" w:anchor="_bookmark25">
        <w:r>
          <w:rPr>
            <w:color w:val="231F20"/>
            <w:sz w:val="16"/>
          </w:rPr>
          <w:t>Server</w:t>
        </w:r>
        <w:r>
          <w:rPr>
            <w:color w:val="231F20"/>
            <w:spacing w:val="80"/>
            <w:sz w:val="16"/>
          </w:rPr>
          <w:t> </w:t>
        </w:r>
        <w:r>
          <w:rPr>
            <w:color w:val="231F20"/>
            <w:sz w:val="16"/>
          </w:rPr>
          <w:t>34,</w:t>
        </w:r>
      </w:hyperlink>
      <w:r>
        <w:rPr>
          <w:color w:val="231F20"/>
          <w:sz w:val="16"/>
        </w:rPr>
        <w:t> </w:t>
      </w:r>
      <w:hyperlink w:history="true" w:anchor="_bookmark316">
        <w:r>
          <w:rPr>
            <w:color w:val="231F20"/>
            <w:sz w:val="16"/>
          </w:rPr>
          <w:t>407</w:t>
        </w:r>
      </w:hyperlink>
    </w:p>
    <w:p>
      <w:pPr>
        <w:pStyle w:val="BodyText"/>
        <w:spacing w:before="109"/>
        <w:rPr>
          <w:sz w:val="16"/>
        </w:rPr>
      </w:pPr>
    </w:p>
    <w:p>
      <w:pPr>
        <w:pStyle w:val="Heading1"/>
        <w:ind w:left="314"/>
      </w:pPr>
      <w:bookmarkStart w:name="Z" w:id="772"/>
      <w:bookmarkEnd w:id="772"/>
      <w:r>
        <w:rPr>
          <w:b w:val="0"/>
        </w:rPr>
      </w:r>
      <w:r>
        <w:rPr>
          <w:color w:val="231F20"/>
          <w:spacing w:val="-10"/>
        </w:rPr>
        <w:t>Z</w:t>
      </w:r>
    </w:p>
    <w:p>
      <w:pPr>
        <w:spacing w:line="205" w:lineRule="exact" w:before="0"/>
        <w:ind w:left="314" w:right="0" w:firstLine="0"/>
        <w:jc w:val="left"/>
        <w:rPr>
          <w:sz w:val="16"/>
        </w:rPr>
      </w:pPr>
      <w:r>
        <w:rPr>
          <w:color w:val="231F20"/>
          <w:spacing w:val="-4"/>
          <w:w w:val="115"/>
          <w:sz w:val="16"/>
        </w:rPr>
        <w:t>z/OS</w:t>
      </w:r>
    </w:p>
    <w:p>
      <w:pPr>
        <w:spacing w:line="220" w:lineRule="auto" w:before="5"/>
        <w:ind w:left="673" w:right="1207" w:hanging="120"/>
        <w:jc w:val="left"/>
        <w:rPr>
          <w:sz w:val="16"/>
        </w:rPr>
      </w:pPr>
      <w:hyperlink w:history="true" w:anchor="_bookmark284">
        <w:r>
          <w:rPr>
            <w:color w:val="231F20"/>
            <w:sz w:val="16"/>
          </w:rPr>
          <w:t>RACF or ACF/2 for </w:t>
        </w:r>
        <w:r>
          <w:rPr>
            <w:color w:val="231F20"/>
            <w:sz w:val="16"/>
          </w:rPr>
          <w:t>user</w:t>
        </w:r>
      </w:hyperlink>
      <w:r>
        <w:rPr>
          <w:color w:val="231F20"/>
          <w:spacing w:val="40"/>
          <w:sz w:val="16"/>
        </w:rPr>
        <w:t> </w:t>
      </w:r>
      <w:hyperlink w:history="true" w:anchor="_bookmark284">
        <w:r>
          <w:rPr>
            <w:color w:val="231F20"/>
            <w:sz w:val="16"/>
          </w:rPr>
          <w:t>validation</w:t>
        </w:r>
        <w:r>
          <w:rPr>
            <w:color w:val="231F20"/>
            <w:spacing w:val="80"/>
            <w:sz w:val="16"/>
          </w:rPr>
          <w:t> </w:t>
        </w:r>
        <w:r>
          <w:rPr>
            <w:color w:val="231F20"/>
            <w:sz w:val="16"/>
          </w:rPr>
          <w:t>377</w:t>
        </w:r>
      </w:hyperlink>
    </w:p>
    <w:p>
      <w:pPr>
        <w:spacing w:line="204" w:lineRule="exact" w:before="0"/>
        <w:ind w:left="314" w:right="0" w:firstLine="0"/>
        <w:jc w:val="left"/>
        <w:rPr>
          <w:sz w:val="16"/>
        </w:rPr>
      </w:pPr>
      <w:hyperlink w:history="true" w:anchor="_bookmark34">
        <w:r>
          <w:rPr>
            <w:color w:val="231F20"/>
            <w:sz w:val="16"/>
          </w:rPr>
          <w:t>zoom</w:t>
        </w:r>
        <w:r>
          <w:rPr>
            <w:color w:val="231F20"/>
            <w:spacing w:val="11"/>
            <w:sz w:val="16"/>
          </w:rPr>
          <w:t> </w:t>
        </w:r>
        <w:r>
          <w:rPr>
            <w:color w:val="231F20"/>
            <w:sz w:val="16"/>
          </w:rPr>
          <w:t>a</w:t>
        </w:r>
        <w:r>
          <w:rPr>
            <w:color w:val="231F20"/>
            <w:spacing w:val="11"/>
            <w:sz w:val="16"/>
          </w:rPr>
          <w:t> </w:t>
        </w:r>
        <w:r>
          <w:rPr>
            <w:color w:val="231F20"/>
            <w:sz w:val="16"/>
          </w:rPr>
          <w:t>chart</w:t>
        </w:r>
        <w:r>
          <w:rPr>
            <w:color w:val="231F20"/>
            <w:spacing w:val="11"/>
            <w:sz w:val="16"/>
          </w:rPr>
          <w:t> </w:t>
        </w:r>
        <w:r>
          <w:rPr>
            <w:color w:val="231F20"/>
            <w:sz w:val="16"/>
          </w:rPr>
          <w:t>view</w:t>
        </w:r>
        <w:r>
          <w:rPr>
            <w:color w:val="231F20"/>
            <w:spacing w:val="36"/>
            <w:sz w:val="16"/>
          </w:rPr>
          <w:t>  </w:t>
        </w:r>
        <w:r>
          <w:rPr>
            <w:color w:val="231F20"/>
            <w:spacing w:val="-5"/>
            <w:sz w:val="16"/>
          </w:rPr>
          <w:t>44</w:t>
        </w:r>
      </w:hyperlink>
    </w:p>
    <w:p>
      <w:pPr>
        <w:spacing w:after="0" w:line="204" w:lineRule="exact"/>
        <w:jc w:val="left"/>
        <w:rPr>
          <w:sz w:val="16"/>
        </w:rPr>
        <w:sectPr>
          <w:pgSz w:w="12240" w:h="15840"/>
          <w:pgMar w:header="0" w:footer="736" w:top="1200" w:bottom="920" w:left="1000" w:right="1060"/>
          <w:cols w:num="3" w:equalWidth="0">
            <w:col w:w="3409" w:space="40"/>
            <w:col w:w="3181" w:space="39"/>
            <w:col w:w="3511"/>
          </w:cols>
        </w:sectPr>
      </w:pPr>
    </w:p>
    <w:p>
      <w:pPr>
        <w:pStyle w:val="BodyText"/>
        <w:spacing w:before="11"/>
        <w:rPr>
          <w:sz w:val="14"/>
        </w:rPr>
      </w:pPr>
    </w:p>
    <w:p>
      <w:pPr>
        <w:spacing w:after="0"/>
        <w:rPr>
          <w:sz w:val="14"/>
        </w:rPr>
        <w:sectPr>
          <w:pgSz w:w="12240" w:h="15840"/>
          <w:pgMar w:header="0" w:footer="736" w:top="1820" w:bottom="920" w:left="1000" w:right="1060"/>
        </w:sectPr>
      </w:pPr>
    </w:p>
    <w:p>
      <w:pPr>
        <w:pStyle w:val="BodyText"/>
        <w:spacing w:before="11"/>
        <w:rPr>
          <w:sz w:val="14"/>
        </w:rPr>
      </w:pPr>
    </w:p>
    <w:p>
      <w:pPr>
        <w:spacing w:after="0"/>
        <w:rPr>
          <w:sz w:val="14"/>
        </w:rPr>
        <w:sectPr>
          <w:footerReference w:type="default" r:id="rId536"/>
          <w:pgSz w:w="12240" w:h="15840"/>
          <w:pgMar w:header="0" w:footer="0" w:top="1820" w:bottom="280" w:left="1000" w:right="1060"/>
        </w:sectPr>
      </w:pPr>
    </w:p>
    <w:p>
      <w:pPr>
        <w:spacing w:before="97"/>
        <w:ind w:left="117" w:right="0" w:firstLine="0"/>
        <w:jc w:val="left"/>
        <w:rPr>
          <w:rFonts w:ascii="Arial"/>
          <w:sz w:val="36"/>
        </w:rPr>
      </w:pPr>
      <w:r>
        <w:rPr>
          <w:rFonts w:ascii="Arial"/>
          <w:color w:val="231F20"/>
          <w:spacing w:val="-4"/>
          <w:w w:val="110"/>
          <w:sz w:val="36"/>
        </w:rPr>
        <w:t>IBMR</w:t>
      </w:r>
    </w:p>
    <w:p>
      <w:pPr>
        <w:pStyle w:val="BodyText"/>
        <w:rPr>
          <w:rFonts w:ascii="Arial"/>
          <w:sz w:val="36"/>
        </w:rPr>
      </w:pPr>
    </w:p>
    <w:p>
      <w:pPr>
        <w:pStyle w:val="BodyText"/>
        <w:spacing w:before="368"/>
        <w:rPr>
          <w:rFonts w:ascii="Arial"/>
          <w:sz w:val="36"/>
        </w:rPr>
      </w:pPr>
    </w:p>
    <w:p>
      <w:pPr>
        <w:spacing w:before="0"/>
        <w:ind w:left="117" w:right="0" w:firstLine="0"/>
        <w:jc w:val="left"/>
        <w:rPr>
          <w:rFonts w:ascii="Arial"/>
          <w:sz w:val="16"/>
        </w:rPr>
      </w:pPr>
      <w:r>
        <w:rPr>
          <w:rFonts w:ascii="Arial"/>
          <w:color w:val="231F20"/>
          <w:sz w:val="16"/>
        </w:rPr>
        <w:t>Printed</w:t>
      </w:r>
      <w:r>
        <w:rPr>
          <w:rFonts w:ascii="Arial"/>
          <w:color w:val="231F20"/>
          <w:spacing w:val="4"/>
          <w:sz w:val="16"/>
        </w:rPr>
        <w:t> </w:t>
      </w:r>
      <w:r>
        <w:rPr>
          <w:rFonts w:ascii="Arial"/>
          <w:color w:val="231F20"/>
          <w:sz w:val="16"/>
        </w:rPr>
        <w:t>in</w:t>
      </w:r>
      <w:r>
        <w:rPr>
          <w:rFonts w:ascii="Arial"/>
          <w:color w:val="231F20"/>
          <w:spacing w:val="5"/>
          <w:sz w:val="16"/>
        </w:rPr>
        <w:t> </w:t>
      </w:r>
      <w:r>
        <w:rPr>
          <w:rFonts w:ascii="Arial"/>
          <w:color w:val="231F20"/>
          <w:spacing w:val="-5"/>
          <w:sz w:val="16"/>
        </w:rPr>
        <w:t>USA</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58"/>
        <w:rPr>
          <w:rFonts w:ascii="Arial"/>
          <w:sz w:val="16"/>
        </w:rPr>
      </w:pPr>
    </w:p>
    <w:p>
      <w:pPr>
        <w:spacing w:before="0"/>
        <w:ind w:left="117" w:right="0" w:firstLine="0"/>
        <w:jc w:val="left"/>
        <w:rPr>
          <w:rFonts w:ascii="Arial"/>
          <w:sz w:val="16"/>
        </w:rPr>
      </w:pPr>
      <w:r>
        <w:rPr>
          <w:rFonts w:ascii="Arial"/>
          <w:color w:val="231F20"/>
          <w:w w:val="90"/>
          <w:sz w:val="16"/>
        </w:rPr>
        <w:t>SC22-5447-</w:t>
      </w:r>
      <w:r>
        <w:rPr>
          <w:rFonts w:ascii="Arial"/>
          <w:color w:val="231F20"/>
          <w:spacing w:val="-5"/>
          <w:w w:val="90"/>
          <w:sz w:val="16"/>
        </w:rPr>
        <w:t>00</w:t>
      </w:r>
    </w:p>
    <w:p>
      <w:pPr>
        <w:pStyle w:val="BodyText"/>
        <w:spacing w:before="111"/>
        <w:rPr>
          <w:rFonts w:ascii="Arial"/>
        </w:rPr>
      </w:pPr>
      <w:r>
        <w:rPr/>
        <mc:AlternateContent>
          <mc:Choice Requires="wps">
            <w:drawing>
              <wp:anchor distT="0" distB="0" distL="0" distR="0" allowOverlap="1" layoutInCell="1" locked="0" behindDoc="1" simplePos="0" relativeHeight="487766016">
                <wp:simplePos x="0" y="0"/>
                <wp:positionH relativeFrom="page">
                  <wp:posOffset>709637</wp:posOffset>
                </wp:positionH>
                <wp:positionV relativeFrom="paragraph">
                  <wp:posOffset>231762</wp:posOffset>
                </wp:positionV>
                <wp:extent cx="1918970" cy="457834"/>
                <wp:effectExtent l="0" t="0" r="0" b="0"/>
                <wp:wrapTopAndBottom/>
                <wp:docPr id="3465" name="Graphic 3465"/>
                <wp:cNvGraphicFramePr>
                  <a:graphicFrameLocks/>
                </wp:cNvGraphicFramePr>
                <a:graphic>
                  <a:graphicData uri="http://schemas.microsoft.com/office/word/2010/wordprocessingShape">
                    <wps:wsp>
                      <wps:cNvPr id="3465" name="Graphic 3465"/>
                      <wps:cNvSpPr/>
                      <wps:spPr>
                        <a:xfrm>
                          <a:off x="0" y="0"/>
                          <a:ext cx="1918970" cy="457834"/>
                        </a:xfrm>
                        <a:custGeom>
                          <a:avLst/>
                          <a:gdLst/>
                          <a:ahLst/>
                          <a:cxnLst/>
                          <a:rect l="l" t="t" r="r" b="b"/>
                          <a:pathLst>
                            <a:path w="1918970" h="457834">
                              <a:moveTo>
                                <a:pt x="7556" y="0"/>
                              </a:moveTo>
                              <a:lnTo>
                                <a:pt x="0" y="0"/>
                              </a:lnTo>
                              <a:lnTo>
                                <a:pt x="0" y="457212"/>
                              </a:lnTo>
                              <a:lnTo>
                                <a:pt x="7556" y="457212"/>
                              </a:lnTo>
                              <a:lnTo>
                                <a:pt x="7556" y="0"/>
                              </a:lnTo>
                              <a:close/>
                            </a:path>
                            <a:path w="1918970" h="457834">
                              <a:moveTo>
                                <a:pt x="41033" y="0"/>
                              </a:moveTo>
                              <a:lnTo>
                                <a:pt x="33477" y="0"/>
                              </a:lnTo>
                              <a:lnTo>
                                <a:pt x="33477" y="457212"/>
                              </a:lnTo>
                              <a:lnTo>
                                <a:pt x="41033" y="457212"/>
                              </a:lnTo>
                              <a:lnTo>
                                <a:pt x="41033" y="0"/>
                              </a:lnTo>
                              <a:close/>
                            </a:path>
                            <a:path w="1918970" h="457834">
                              <a:moveTo>
                                <a:pt x="74879" y="0"/>
                              </a:moveTo>
                              <a:lnTo>
                                <a:pt x="51828" y="0"/>
                              </a:lnTo>
                              <a:lnTo>
                                <a:pt x="51828" y="457212"/>
                              </a:lnTo>
                              <a:lnTo>
                                <a:pt x="74879" y="457212"/>
                              </a:lnTo>
                              <a:lnTo>
                                <a:pt x="74879" y="0"/>
                              </a:lnTo>
                              <a:close/>
                            </a:path>
                            <a:path w="1918970" h="457834">
                              <a:moveTo>
                                <a:pt x="108712" y="0"/>
                              </a:moveTo>
                              <a:lnTo>
                                <a:pt x="85674" y="0"/>
                              </a:lnTo>
                              <a:lnTo>
                                <a:pt x="85674" y="457212"/>
                              </a:lnTo>
                              <a:lnTo>
                                <a:pt x="108712" y="457212"/>
                              </a:lnTo>
                              <a:lnTo>
                                <a:pt x="108712" y="0"/>
                              </a:lnTo>
                              <a:close/>
                            </a:path>
                            <a:path w="1918970" h="457834">
                              <a:moveTo>
                                <a:pt x="127076" y="0"/>
                              </a:moveTo>
                              <a:lnTo>
                                <a:pt x="119519" y="0"/>
                              </a:lnTo>
                              <a:lnTo>
                                <a:pt x="119519" y="457212"/>
                              </a:lnTo>
                              <a:lnTo>
                                <a:pt x="127076" y="457212"/>
                              </a:lnTo>
                              <a:lnTo>
                                <a:pt x="127076" y="0"/>
                              </a:lnTo>
                              <a:close/>
                            </a:path>
                            <a:path w="1918970" h="457834">
                              <a:moveTo>
                                <a:pt x="145427" y="0"/>
                              </a:moveTo>
                              <a:lnTo>
                                <a:pt x="137871" y="0"/>
                              </a:lnTo>
                              <a:lnTo>
                                <a:pt x="137871" y="457212"/>
                              </a:lnTo>
                              <a:lnTo>
                                <a:pt x="145427" y="457212"/>
                              </a:lnTo>
                              <a:lnTo>
                                <a:pt x="145427" y="0"/>
                              </a:lnTo>
                              <a:close/>
                            </a:path>
                            <a:path w="1918970" h="457834">
                              <a:moveTo>
                                <a:pt x="163791" y="0"/>
                              </a:moveTo>
                              <a:lnTo>
                                <a:pt x="156235" y="0"/>
                              </a:lnTo>
                              <a:lnTo>
                                <a:pt x="156235" y="457212"/>
                              </a:lnTo>
                              <a:lnTo>
                                <a:pt x="163791" y="457212"/>
                              </a:lnTo>
                              <a:lnTo>
                                <a:pt x="163791" y="0"/>
                              </a:lnTo>
                              <a:close/>
                            </a:path>
                            <a:path w="1918970" h="457834">
                              <a:moveTo>
                                <a:pt x="212750" y="0"/>
                              </a:moveTo>
                              <a:lnTo>
                                <a:pt x="189712" y="0"/>
                              </a:lnTo>
                              <a:lnTo>
                                <a:pt x="189712" y="457212"/>
                              </a:lnTo>
                              <a:lnTo>
                                <a:pt x="212750" y="457212"/>
                              </a:lnTo>
                              <a:lnTo>
                                <a:pt x="212750" y="0"/>
                              </a:lnTo>
                              <a:close/>
                            </a:path>
                            <a:path w="1918970" h="457834">
                              <a:moveTo>
                                <a:pt x="246595" y="0"/>
                              </a:moveTo>
                              <a:lnTo>
                                <a:pt x="223558" y="0"/>
                              </a:lnTo>
                              <a:lnTo>
                                <a:pt x="223558" y="457212"/>
                              </a:lnTo>
                              <a:lnTo>
                                <a:pt x="246595" y="457212"/>
                              </a:lnTo>
                              <a:lnTo>
                                <a:pt x="246595" y="0"/>
                              </a:lnTo>
                              <a:close/>
                            </a:path>
                            <a:path w="1918970" h="457834">
                              <a:moveTo>
                                <a:pt x="264960" y="0"/>
                              </a:moveTo>
                              <a:lnTo>
                                <a:pt x="257390" y="0"/>
                              </a:lnTo>
                              <a:lnTo>
                                <a:pt x="257390" y="457212"/>
                              </a:lnTo>
                              <a:lnTo>
                                <a:pt x="264960" y="457212"/>
                              </a:lnTo>
                              <a:lnTo>
                                <a:pt x="264960" y="0"/>
                              </a:lnTo>
                              <a:close/>
                            </a:path>
                            <a:path w="1918970" h="457834">
                              <a:moveTo>
                                <a:pt x="283311" y="0"/>
                              </a:moveTo>
                              <a:lnTo>
                                <a:pt x="275755" y="0"/>
                              </a:lnTo>
                              <a:lnTo>
                                <a:pt x="275755" y="457212"/>
                              </a:lnTo>
                              <a:lnTo>
                                <a:pt x="283311" y="457212"/>
                              </a:lnTo>
                              <a:lnTo>
                                <a:pt x="283311" y="0"/>
                              </a:lnTo>
                              <a:close/>
                            </a:path>
                            <a:path w="1918970" h="457834">
                              <a:moveTo>
                                <a:pt x="301675" y="0"/>
                              </a:moveTo>
                              <a:lnTo>
                                <a:pt x="294119" y="0"/>
                              </a:lnTo>
                              <a:lnTo>
                                <a:pt x="294119" y="457212"/>
                              </a:lnTo>
                              <a:lnTo>
                                <a:pt x="301675" y="457212"/>
                              </a:lnTo>
                              <a:lnTo>
                                <a:pt x="301675" y="0"/>
                              </a:lnTo>
                              <a:close/>
                            </a:path>
                            <a:path w="1918970" h="457834">
                              <a:moveTo>
                                <a:pt x="335153" y="0"/>
                              </a:moveTo>
                              <a:lnTo>
                                <a:pt x="327596" y="0"/>
                              </a:lnTo>
                              <a:lnTo>
                                <a:pt x="327596" y="457212"/>
                              </a:lnTo>
                              <a:lnTo>
                                <a:pt x="335153" y="457212"/>
                              </a:lnTo>
                              <a:lnTo>
                                <a:pt x="335153" y="0"/>
                              </a:lnTo>
                              <a:close/>
                            </a:path>
                            <a:path w="1918970" h="457834">
                              <a:moveTo>
                                <a:pt x="368998" y="0"/>
                              </a:moveTo>
                              <a:lnTo>
                                <a:pt x="345948" y="0"/>
                              </a:lnTo>
                              <a:lnTo>
                                <a:pt x="345948" y="457212"/>
                              </a:lnTo>
                              <a:lnTo>
                                <a:pt x="368998" y="457212"/>
                              </a:lnTo>
                              <a:lnTo>
                                <a:pt x="368998" y="0"/>
                              </a:lnTo>
                              <a:close/>
                            </a:path>
                            <a:path w="1918970" h="457834">
                              <a:moveTo>
                                <a:pt x="402831" y="0"/>
                              </a:moveTo>
                              <a:lnTo>
                                <a:pt x="379793" y="0"/>
                              </a:lnTo>
                              <a:lnTo>
                                <a:pt x="379793" y="457212"/>
                              </a:lnTo>
                              <a:lnTo>
                                <a:pt x="402831" y="457212"/>
                              </a:lnTo>
                              <a:lnTo>
                                <a:pt x="402831" y="0"/>
                              </a:lnTo>
                              <a:close/>
                            </a:path>
                            <a:path w="1918970" h="457834">
                              <a:moveTo>
                                <a:pt x="421195" y="0"/>
                              </a:moveTo>
                              <a:lnTo>
                                <a:pt x="413639" y="0"/>
                              </a:lnTo>
                              <a:lnTo>
                                <a:pt x="413639" y="457212"/>
                              </a:lnTo>
                              <a:lnTo>
                                <a:pt x="421195" y="457212"/>
                              </a:lnTo>
                              <a:lnTo>
                                <a:pt x="421195" y="0"/>
                              </a:lnTo>
                              <a:close/>
                            </a:path>
                            <a:path w="1918970" h="457834">
                              <a:moveTo>
                                <a:pt x="455028" y="0"/>
                              </a:moveTo>
                              <a:lnTo>
                                <a:pt x="431990" y="0"/>
                              </a:lnTo>
                              <a:lnTo>
                                <a:pt x="431990" y="457212"/>
                              </a:lnTo>
                              <a:lnTo>
                                <a:pt x="455028" y="457212"/>
                              </a:lnTo>
                              <a:lnTo>
                                <a:pt x="455028" y="0"/>
                              </a:lnTo>
                              <a:close/>
                            </a:path>
                            <a:path w="1918970" h="457834">
                              <a:moveTo>
                                <a:pt x="473392" y="0"/>
                              </a:moveTo>
                              <a:lnTo>
                                <a:pt x="465836" y="0"/>
                              </a:lnTo>
                              <a:lnTo>
                                <a:pt x="465836" y="457212"/>
                              </a:lnTo>
                              <a:lnTo>
                                <a:pt x="473392" y="457212"/>
                              </a:lnTo>
                              <a:lnTo>
                                <a:pt x="473392" y="0"/>
                              </a:lnTo>
                              <a:close/>
                            </a:path>
                            <a:path w="1918970" h="457834">
                              <a:moveTo>
                                <a:pt x="507238" y="0"/>
                              </a:moveTo>
                              <a:lnTo>
                                <a:pt x="484200" y="0"/>
                              </a:lnTo>
                              <a:lnTo>
                                <a:pt x="484200" y="457212"/>
                              </a:lnTo>
                              <a:lnTo>
                                <a:pt x="507238" y="457212"/>
                              </a:lnTo>
                              <a:lnTo>
                                <a:pt x="507238" y="0"/>
                              </a:lnTo>
                              <a:close/>
                            </a:path>
                            <a:path w="1918970" h="457834">
                              <a:moveTo>
                                <a:pt x="540359" y="0"/>
                              </a:moveTo>
                              <a:lnTo>
                                <a:pt x="532790" y="0"/>
                              </a:lnTo>
                              <a:lnTo>
                                <a:pt x="532790" y="457212"/>
                              </a:lnTo>
                              <a:lnTo>
                                <a:pt x="540359" y="457212"/>
                              </a:lnTo>
                              <a:lnTo>
                                <a:pt x="540359" y="0"/>
                              </a:lnTo>
                              <a:close/>
                            </a:path>
                            <a:path w="1918970" h="457834">
                              <a:moveTo>
                                <a:pt x="574192" y="0"/>
                              </a:moveTo>
                              <a:lnTo>
                                <a:pt x="551154" y="0"/>
                              </a:lnTo>
                              <a:lnTo>
                                <a:pt x="551154" y="457212"/>
                              </a:lnTo>
                              <a:lnTo>
                                <a:pt x="574192" y="457212"/>
                              </a:lnTo>
                              <a:lnTo>
                                <a:pt x="574192" y="0"/>
                              </a:lnTo>
                              <a:close/>
                            </a:path>
                            <a:path w="1918970" h="457834">
                              <a:moveTo>
                                <a:pt x="608037" y="0"/>
                              </a:moveTo>
                              <a:lnTo>
                                <a:pt x="585000" y="0"/>
                              </a:lnTo>
                              <a:lnTo>
                                <a:pt x="585000" y="457212"/>
                              </a:lnTo>
                              <a:lnTo>
                                <a:pt x="608037" y="457212"/>
                              </a:lnTo>
                              <a:lnTo>
                                <a:pt x="608037" y="0"/>
                              </a:lnTo>
                              <a:close/>
                            </a:path>
                            <a:path w="1918970" h="457834">
                              <a:moveTo>
                                <a:pt x="626389" y="0"/>
                              </a:moveTo>
                              <a:lnTo>
                                <a:pt x="618832" y="0"/>
                              </a:lnTo>
                              <a:lnTo>
                                <a:pt x="618832" y="457212"/>
                              </a:lnTo>
                              <a:lnTo>
                                <a:pt x="626389" y="457212"/>
                              </a:lnTo>
                              <a:lnTo>
                                <a:pt x="626389" y="0"/>
                              </a:lnTo>
                              <a:close/>
                            </a:path>
                            <a:path w="1918970" h="457834">
                              <a:moveTo>
                                <a:pt x="659879" y="0"/>
                              </a:moveTo>
                              <a:lnTo>
                                <a:pt x="652310" y="0"/>
                              </a:lnTo>
                              <a:lnTo>
                                <a:pt x="652310" y="457212"/>
                              </a:lnTo>
                              <a:lnTo>
                                <a:pt x="659879" y="457212"/>
                              </a:lnTo>
                              <a:lnTo>
                                <a:pt x="659879" y="0"/>
                              </a:lnTo>
                              <a:close/>
                            </a:path>
                            <a:path w="1918970" h="457834">
                              <a:moveTo>
                                <a:pt x="678230" y="0"/>
                              </a:moveTo>
                              <a:lnTo>
                                <a:pt x="670674" y="0"/>
                              </a:lnTo>
                              <a:lnTo>
                                <a:pt x="670674" y="457212"/>
                              </a:lnTo>
                              <a:lnTo>
                                <a:pt x="678230" y="457212"/>
                              </a:lnTo>
                              <a:lnTo>
                                <a:pt x="678230" y="0"/>
                              </a:lnTo>
                              <a:close/>
                            </a:path>
                            <a:path w="1918970" h="457834">
                              <a:moveTo>
                                <a:pt x="696595" y="0"/>
                              </a:moveTo>
                              <a:lnTo>
                                <a:pt x="689038" y="0"/>
                              </a:lnTo>
                              <a:lnTo>
                                <a:pt x="689038" y="457212"/>
                              </a:lnTo>
                              <a:lnTo>
                                <a:pt x="696595" y="457212"/>
                              </a:lnTo>
                              <a:lnTo>
                                <a:pt x="696595" y="0"/>
                              </a:lnTo>
                              <a:close/>
                            </a:path>
                            <a:path w="1918970" h="457834">
                              <a:moveTo>
                                <a:pt x="730427" y="0"/>
                              </a:moveTo>
                              <a:lnTo>
                                <a:pt x="707390" y="0"/>
                              </a:lnTo>
                              <a:lnTo>
                                <a:pt x="707390" y="457212"/>
                              </a:lnTo>
                              <a:lnTo>
                                <a:pt x="730427" y="457212"/>
                              </a:lnTo>
                              <a:lnTo>
                                <a:pt x="730427" y="0"/>
                              </a:lnTo>
                              <a:close/>
                            </a:path>
                            <a:path w="1918970" h="457834">
                              <a:moveTo>
                                <a:pt x="763549" y="0"/>
                              </a:moveTo>
                              <a:lnTo>
                                <a:pt x="755992" y="0"/>
                              </a:lnTo>
                              <a:lnTo>
                                <a:pt x="755992" y="457212"/>
                              </a:lnTo>
                              <a:lnTo>
                                <a:pt x="763549" y="457212"/>
                              </a:lnTo>
                              <a:lnTo>
                                <a:pt x="763549" y="0"/>
                              </a:lnTo>
                              <a:close/>
                            </a:path>
                            <a:path w="1918970" h="457834">
                              <a:moveTo>
                                <a:pt x="781913" y="0"/>
                              </a:moveTo>
                              <a:lnTo>
                                <a:pt x="774357" y="0"/>
                              </a:lnTo>
                              <a:lnTo>
                                <a:pt x="774357" y="457212"/>
                              </a:lnTo>
                              <a:lnTo>
                                <a:pt x="781913" y="457212"/>
                              </a:lnTo>
                              <a:lnTo>
                                <a:pt x="781913" y="0"/>
                              </a:lnTo>
                              <a:close/>
                            </a:path>
                            <a:path w="1918970" h="457834">
                              <a:moveTo>
                                <a:pt x="815759" y="0"/>
                              </a:moveTo>
                              <a:lnTo>
                                <a:pt x="792708" y="0"/>
                              </a:lnTo>
                              <a:lnTo>
                                <a:pt x="792708" y="457212"/>
                              </a:lnTo>
                              <a:lnTo>
                                <a:pt x="815759" y="457212"/>
                              </a:lnTo>
                              <a:lnTo>
                                <a:pt x="815759" y="0"/>
                              </a:lnTo>
                              <a:close/>
                            </a:path>
                            <a:path w="1918970" h="457834">
                              <a:moveTo>
                                <a:pt x="834110" y="0"/>
                              </a:moveTo>
                              <a:lnTo>
                                <a:pt x="826554" y="0"/>
                              </a:lnTo>
                              <a:lnTo>
                                <a:pt x="826554" y="457212"/>
                              </a:lnTo>
                              <a:lnTo>
                                <a:pt x="834110" y="457212"/>
                              </a:lnTo>
                              <a:lnTo>
                                <a:pt x="834110" y="0"/>
                              </a:lnTo>
                              <a:close/>
                            </a:path>
                            <a:path w="1918970" h="457834">
                              <a:moveTo>
                                <a:pt x="867956" y="0"/>
                              </a:moveTo>
                              <a:lnTo>
                                <a:pt x="844918" y="0"/>
                              </a:lnTo>
                              <a:lnTo>
                                <a:pt x="844918" y="457212"/>
                              </a:lnTo>
                              <a:lnTo>
                                <a:pt x="867956" y="457212"/>
                              </a:lnTo>
                              <a:lnTo>
                                <a:pt x="867956" y="0"/>
                              </a:lnTo>
                              <a:close/>
                            </a:path>
                            <a:path w="1918970" h="457834">
                              <a:moveTo>
                                <a:pt x="901077" y="0"/>
                              </a:moveTo>
                              <a:lnTo>
                                <a:pt x="893508" y="0"/>
                              </a:lnTo>
                              <a:lnTo>
                                <a:pt x="893508" y="457212"/>
                              </a:lnTo>
                              <a:lnTo>
                                <a:pt x="901077" y="457212"/>
                              </a:lnTo>
                              <a:lnTo>
                                <a:pt x="901077" y="0"/>
                              </a:lnTo>
                              <a:close/>
                            </a:path>
                            <a:path w="1918970" h="457834">
                              <a:moveTo>
                                <a:pt x="919429" y="0"/>
                              </a:moveTo>
                              <a:lnTo>
                                <a:pt x="911872" y="0"/>
                              </a:lnTo>
                              <a:lnTo>
                                <a:pt x="911872" y="457212"/>
                              </a:lnTo>
                              <a:lnTo>
                                <a:pt x="919429" y="457212"/>
                              </a:lnTo>
                              <a:lnTo>
                                <a:pt x="919429" y="0"/>
                              </a:lnTo>
                              <a:close/>
                            </a:path>
                            <a:path w="1918970" h="457834">
                              <a:moveTo>
                                <a:pt x="953262" y="0"/>
                              </a:moveTo>
                              <a:lnTo>
                                <a:pt x="930236" y="0"/>
                              </a:lnTo>
                              <a:lnTo>
                                <a:pt x="930236" y="457212"/>
                              </a:lnTo>
                              <a:lnTo>
                                <a:pt x="953262" y="457212"/>
                              </a:lnTo>
                              <a:lnTo>
                                <a:pt x="953262" y="0"/>
                              </a:lnTo>
                              <a:close/>
                            </a:path>
                            <a:path w="1918970" h="457834">
                              <a:moveTo>
                                <a:pt x="987120" y="0"/>
                              </a:moveTo>
                              <a:lnTo>
                                <a:pt x="964069" y="0"/>
                              </a:lnTo>
                              <a:lnTo>
                                <a:pt x="964069" y="457212"/>
                              </a:lnTo>
                              <a:lnTo>
                                <a:pt x="987120" y="457212"/>
                              </a:lnTo>
                              <a:lnTo>
                                <a:pt x="987120" y="0"/>
                              </a:lnTo>
                              <a:close/>
                            </a:path>
                            <a:path w="1918970" h="457834">
                              <a:moveTo>
                                <a:pt x="1005471" y="0"/>
                              </a:moveTo>
                              <a:lnTo>
                                <a:pt x="997915" y="0"/>
                              </a:lnTo>
                              <a:lnTo>
                                <a:pt x="997915" y="457212"/>
                              </a:lnTo>
                              <a:lnTo>
                                <a:pt x="1005471" y="457212"/>
                              </a:lnTo>
                              <a:lnTo>
                                <a:pt x="1005471" y="0"/>
                              </a:lnTo>
                              <a:close/>
                            </a:path>
                            <a:path w="1918970" h="457834">
                              <a:moveTo>
                                <a:pt x="1054430" y="0"/>
                              </a:moveTo>
                              <a:lnTo>
                                <a:pt x="1031392" y="0"/>
                              </a:lnTo>
                              <a:lnTo>
                                <a:pt x="1031392" y="457212"/>
                              </a:lnTo>
                              <a:lnTo>
                                <a:pt x="1054430" y="457212"/>
                              </a:lnTo>
                              <a:lnTo>
                                <a:pt x="1054430" y="0"/>
                              </a:lnTo>
                              <a:close/>
                            </a:path>
                            <a:path w="1918970" h="457834">
                              <a:moveTo>
                                <a:pt x="1072794" y="0"/>
                              </a:moveTo>
                              <a:lnTo>
                                <a:pt x="1065237" y="0"/>
                              </a:lnTo>
                              <a:lnTo>
                                <a:pt x="1065237" y="457212"/>
                              </a:lnTo>
                              <a:lnTo>
                                <a:pt x="1072794" y="457212"/>
                              </a:lnTo>
                              <a:lnTo>
                                <a:pt x="1072794" y="0"/>
                              </a:lnTo>
                              <a:close/>
                            </a:path>
                            <a:path w="1918970" h="457834">
                              <a:moveTo>
                                <a:pt x="1091158" y="0"/>
                              </a:moveTo>
                              <a:lnTo>
                                <a:pt x="1083589" y="0"/>
                              </a:lnTo>
                              <a:lnTo>
                                <a:pt x="1083589" y="457212"/>
                              </a:lnTo>
                              <a:lnTo>
                                <a:pt x="1091158" y="457212"/>
                              </a:lnTo>
                              <a:lnTo>
                                <a:pt x="1091158" y="0"/>
                              </a:lnTo>
                              <a:close/>
                            </a:path>
                            <a:path w="1918970" h="457834">
                              <a:moveTo>
                                <a:pt x="1109510" y="0"/>
                              </a:moveTo>
                              <a:lnTo>
                                <a:pt x="1101953" y="0"/>
                              </a:lnTo>
                              <a:lnTo>
                                <a:pt x="1101953" y="457212"/>
                              </a:lnTo>
                              <a:lnTo>
                                <a:pt x="1109510" y="457212"/>
                              </a:lnTo>
                              <a:lnTo>
                                <a:pt x="1109510" y="0"/>
                              </a:lnTo>
                              <a:close/>
                            </a:path>
                            <a:path w="1918970" h="457834">
                              <a:moveTo>
                                <a:pt x="1127874" y="0"/>
                              </a:moveTo>
                              <a:lnTo>
                                <a:pt x="1120317" y="0"/>
                              </a:lnTo>
                              <a:lnTo>
                                <a:pt x="1120317" y="457212"/>
                              </a:lnTo>
                              <a:lnTo>
                                <a:pt x="1127874" y="457212"/>
                              </a:lnTo>
                              <a:lnTo>
                                <a:pt x="1127874" y="0"/>
                              </a:lnTo>
                              <a:close/>
                            </a:path>
                            <a:path w="1918970" h="457834">
                              <a:moveTo>
                                <a:pt x="1176832" y="0"/>
                              </a:moveTo>
                              <a:lnTo>
                                <a:pt x="1153795" y="0"/>
                              </a:lnTo>
                              <a:lnTo>
                                <a:pt x="1153795" y="457212"/>
                              </a:lnTo>
                              <a:lnTo>
                                <a:pt x="1176832" y="457212"/>
                              </a:lnTo>
                              <a:lnTo>
                                <a:pt x="1176832" y="0"/>
                              </a:lnTo>
                              <a:close/>
                            </a:path>
                            <a:path w="1918970" h="457834">
                              <a:moveTo>
                                <a:pt x="1195197" y="0"/>
                              </a:moveTo>
                              <a:lnTo>
                                <a:pt x="1187627" y="0"/>
                              </a:lnTo>
                              <a:lnTo>
                                <a:pt x="1187627" y="457212"/>
                              </a:lnTo>
                              <a:lnTo>
                                <a:pt x="1195197" y="457212"/>
                              </a:lnTo>
                              <a:lnTo>
                                <a:pt x="1195197" y="0"/>
                              </a:lnTo>
                              <a:close/>
                            </a:path>
                            <a:path w="1918970" h="457834">
                              <a:moveTo>
                                <a:pt x="1229029" y="0"/>
                              </a:moveTo>
                              <a:lnTo>
                                <a:pt x="1205992" y="0"/>
                              </a:lnTo>
                              <a:lnTo>
                                <a:pt x="1205992" y="457212"/>
                              </a:lnTo>
                              <a:lnTo>
                                <a:pt x="1229029" y="457212"/>
                              </a:lnTo>
                              <a:lnTo>
                                <a:pt x="1229029" y="0"/>
                              </a:lnTo>
                              <a:close/>
                            </a:path>
                            <a:path w="1918970" h="457834">
                              <a:moveTo>
                                <a:pt x="1247394" y="0"/>
                              </a:moveTo>
                              <a:lnTo>
                                <a:pt x="1239837" y="0"/>
                              </a:lnTo>
                              <a:lnTo>
                                <a:pt x="1239837" y="457212"/>
                              </a:lnTo>
                              <a:lnTo>
                                <a:pt x="1247394" y="457212"/>
                              </a:lnTo>
                              <a:lnTo>
                                <a:pt x="1247394" y="0"/>
                              </a:lnTo>
                              <a:close/>
                            </a:path>
                            <a:path w="1918970" h="457834">
                              <a:moveTo>
                                <a:pt x="1265758" y="0"/>
                              </a:moveTo>
                              <a:lnTo>
                                <a:pt x="1258189" y="0"/>
                              </a:lnTo>
                              <a:lnTo>
                                <a:pt x="1258189" y="457212"/>
                              </a:lnTo>
                              <a:lnTo>
                                <a:pt x="1265758" y="457212"/>
                              </a:lnTo>
                              <a:lnTo>
                                <a:pt x="1265758" y="0"/>
                              </a:lnTo>
                              <a:close/>
                            </a:path>
                            <a:path w="1918970" h="457834">
                              <a:moveTo>
                                <a:pt x="1314716" y="0"/>
                              </a:moveTo>
                              <a:lnTo>
                                <a:pt x="1291678" y="0"/>
                              </a:lnTo>
                              <a:lnTo>
                                <a:pt x="1291678" y="457212"/>
                              </a:lnTo>
                              <a:lnTo>
                                <a:pt x="1314716" y="457212"/>
                              </a:lnTo>
                              <a:lnTo>
                                <a:pt x="1314716" y="0"/>
                              </a:lnTo>
                              <a:close/>
                            </a:path>
                            <a:path w="1918970" h="457834">
                              <a:moveTo>
                                <a:pt x="1333068" y="0"/>
                              </a:moveTo>
                              <a:lnTo>
                                <a:pt x="1325511" y="0"/>
                              </a:lnTo>
                              <a:lnTo>
                                <a:pt x="1325511" y="457212"/>
                              </a:lnTo>
                              <a:lnTo>
                                <a:pt x="1333068" y="457212"/>
                              </a:lnTo>
                              <a:lnTo>
                                <a:pt x="1333068" y="0"/>
                              </a:lnTo>
                              <a:close/>
                            </a:path>
                            <a:path w="1918970" h="457834">
                              <a:moveTo>
                                <a:pt x="1366913" y="0"/>
                              </a:moveTo>
                              <a:lnTo>
                                <a:pt x="1343875" y="0"/>
                              </a:lnTo>
                              <a:lnTo>
                                <a:pt x="1343875" y="457212"/>
                              </a:lnTo>
                              <a:lnTo>
                                <a:pt x="1366913" y="457212"/>
                              </a:lnTo>
                              <a:lnTo>
                                <a:pt x="1366913" y="0"/>
                              </a:lnTo>
                              <a:close/>
                            </a:path>
                            <a:path w="1918970" h="457834">
                              <a:moveTo>
                                <a:pt x="1385277" y="0"/>
                              </a:moveTo>
                              <a:lnTo>
                                <a:pt x="1377708" y="0"/>
                              </a:lnTo>
                              <a:lnTo>
                                <a:pt x="1377708" y="457212"/>
                              </a:lnTo>
                              <a:lnTo>
                                <a:pt x="1385277" y="457212"/>
                              </a:lnTo>
                              <a:lnTo>
                                <a:pt x="1385277" y="0"/>
                              </a:lnTo>
                              <a:close/>
                            </a:path>
                            <a:path w="1918970" h="457834">
                              <a:moveTo>
                                <a:pt x="1403629" y="0"/>
                              </a:moveTo>
                              <a:lnTo>
                                <a:pt x="1396072" y="0"/>
                              </a:lnTo>
                              <a:lnTo>
                                <a:pt x="1396072" y="457212"/>
                              </a:lnTo>
                              <a:lnTo>
                                <a:pt x="1403629" y="457212"/>
                              </a:lnTo>
                              <a:lnTo>
                                <a:pt x="1403629" y="0"/>
                              </a:lnTo>
                              <a:close/>
                            </a:path>
                            <a:path w="1918970" h="457834">
                              <a:moveTo>
                                <a:pt x="1437119" y="0"/>
                              </a:moveTo>
                              <a:lnTo>
                                <a:pt x="1429550" y="0"/>
                              </a:lnTo>
                              <a:lnTo>
                                <a:pt x="1429550" y="457212"/>
                              </a:lnTo>
                              <a:lnTo>
                                <a:pt x="1437119" y="457212"/>
                              </a:lnTo>
                              <a:lnTo>
                                <a:pt x="1437119" y="0"/>
                              </a:lnTo>
                              <a:close/>
                            </a:path>
                            <a:path w="1918970" h="457834">
                              <a:moveTo>
                                <a:pt x="1470952" y="0"/>
                              </a:moveTo>
                              <a:lnTo>
                                <a:pt x="1447914" y="0"/>
                              </a:lnTo>
                              <a:lnTo>
                                <a:pt x="1447914" y="457212"/>
                              </a:lnTo>
                              <a:lnTo>
                                <a:pt x="1470952" y="457212"/>
                              </a:lnTo>
                              <a:lnTo>
                                <a:pt x="1470952" y="0"/>
                              </a:lnTo>
                              <a:close/>
                            </a:path>
                            <a:path w="1918970" h="457834">
                              <a:moveTo>
                                <a:pt x="1504797" y="0"/>
                              </a:moveTo>
                              <a:lnTo>
                                <a:pt x="1481759" y="0"/>
                              </a:lnTo>
                              <a:lnTo>
                                <a:pt x="1481759" y="457212"/>
                              </a:lnTo>
                              <a:lnTo>
                                <a:pt x="1504797" y="457212"/>
                              </a:lnTo>
                              <a:lnTo>
                                <a:pt x="1504797" y="0"/>
                              </a:lnTo>
                              <a:close/>
                            </a:path>
                            <a:path w="1918970" h="457834">
                              <a:moveTo>
                                <a:pt x="1523149" y="0"/>
                              </a:moveTo>
                              <a:lnTo>
                                <a:pt x="1515592" y="0"/>
                              </a:lnTo>
                              <a:lnTo>
                                <a:pt x="1515592" y="457212"/>
                              </a:lnTo>
                              <a:lnTo>
                                <a:pt x="1523149" y="457212"/>
                              </a:lnTo>
                              <a:lnTo>
                                <a:pt x="1523149" y="0"/>
                              </a:lnTo>
                              <a:close/>
                            </a:path>
                            <a:path w="1918970" h="457834">
                              <a:moveTo>
                                <a:pt x="1541513" y="0"/>
                              </a:moveTo>
                              <a:lnTo>
                                <a:pt x="1533956" y="0"/>
                              </a:lnTo>
                              <a:lnTo>
                                <a:pt x="1533956" y="457212"/>
                              </a:lnTo>
                              <a:lnTo>
                                <a:pt x="1541513" y="457212"/>
                              </a:lnTo>
                              <a:lnTo>
                                <a:pt x="1541513" y="0"/>
                              </a:lnTo>
                              <a:close/>
                            </a:path>
                            <a:path w="1918970" h="457834">
                              <a:moveTo>
                                <a:pt x="1590471" y="0"/>
                              </a:moveTo>
                              <a:lnTo>
                                <a:pt x="1567434" y="0"/>
                              </a:lnTo>
                              <a:lnTo>
                                <a:pt x="1567434" y="457212"/>
                              </a:lnTo>
                              <a:lnTo>
                                <a:pt x="1590471" y="457212"/>
                              </a:lnTo>
                              <a:lnTo>
                                <a:pt x="1590471" y="0"/>
                              </a:lnTo>
                              <a:close/>
                            </a:path>
                            <a:path w="1918970" h="457834">
                              <a:moveTo>
                                <a:pt x="1624317" y="0"/>
                              </a:moveTo>
                              <a:lnTo>
                                <a:pt x="1601279" y="0"/>
                              </a:lnTo>
                              <a:lnTo>
                                <a:pt x="1601279" y="457212"/>
                              </a:lnTo>
                              <a:lnTo>
                                <a:pt x="1624317" y="457212"/>
                              </a:lnTo>
                              <a:lnTo>
                                <a:pt x="1624317" y="0"/>
                              </a:lnTo>
                              <a:close/>
                            </a:path>
                            <a:path w="1918970" h="457834">
                              <a:moveTo>
                                <a:pt x="1642668" y="0"/>
                              </a:moveTo>
                              <a:lnTo>
                                <a:pt x="1635112" y="0"/>
                              </a:lnTo>
                              <a:lnTo>
                                <a:pt x="1635112" y="457212"/>
                              </a:lnTo>
                              <a:lnTo>
                                <a:pt x="1642668" y="457212"/>
                              </a:lnTo>
                              <a:lnTo>
                                <a:pt x="1642668" y="0"/>
                              </a:lnTo>
                              <a:close/>
                            </a:path>
                            <a:path w="1918970" h="457834">
                              <a:moveTo>
                                <a:pt x="1661033" y="0"/>
                              </a:moveTo>
                              <a:lnTo>
                                <a:pt x="1653476" y="0"/>
                              </a:lnTo>
                              <a:lnTo>
                                <a:pt x="1653476" y="457212"/>
                              </a:lnTo>
                              <a:lnTo>
                                <a:pt x="1661033" y="457212"/>
                              </a:lnTo>
                              <a:lnTo>
                                <a:pt x="1661033" y="0"/>
                              </a:lnTo>
                              <a:close/>
                            </a:path>
                            <a:path w="1918970" h="457834">
                              <a:moveTo>
                                <a:pt x="1679397" y="0"/>
                              </a:moveTo>
                              <a:lnTo>
                                <a:pt x="1671828" y="0"/>
                              </a:lnTo>
                              <a:lnTo>
                                <a:pt x="1671828" y="457212"/>
                              </a:lnTo>
                              <a:lnTo>
                                <a:pt x="1679397" y="457212"/>
                              </a:lnTo>
                              <a:lnTo>
                                <a:pt x="1679397" y="0"/>
                              </a:lnTo>
                              <a:close/>
                            </a:path>
                            <a:path w="1918970" h="457834">
                              <a:moveTo>
                                <a:pt x="1728355" y="0"/>
                              </a:moveTo>
                              <a:lnTo>
                                <a:pt x="1705317" y="0"/>
                              </a:lnTo>
                              <a:lnTo>
                                <a:pt x="1705317" y="457212"/>
                              </a:lnTo>
                              <a:lnTo>
                                <a:pt x="1728355" y="457212"/>
                              </a:lnTo>
                              <a:lnTo>
                                <a:pt x="1728355" y="0"/>
                              </a:lnTo>
                              <a:close/>
                            </a:path>
                            <a:path w="1918970" h="457834">
                              <a:moveTo>
                                <a:pt x="1762188" y="0"/>
                              </a:moveTo>
                              <a:lnTo>
                                <a:pt x="1739150" y="0"/>
                              </a:lnTo>
                              <a:lnTo>
                                <a:pt x="1739150" y="457212"/>
                              </a:lnTo>
                              <a:lnTo>
                                <a:pt x="1762188" y="457212"/>
                              </a:lnTo>
                              <a:lnTo>
                                <a:pt x="1762188" y="0"/>
                              </a:lnTo>
                              <a:close/>
                            </a:path>
                            <a:path w="1918970" h="457834">
                              <a:moveTo>
                                <a:pt x="1780552" y="0"/>
                              </a:moveTo>
                              <a:lnTo>
                                <a:pt x="1772996" y="0"/>
                              </a:lnTo>
                              <a:lnTo>
                                <a:pt x="1772996" y="457212"/>
                              </a:lnTo>
                              <a:lnTo>
                                <a:pt x="1780552" y="457212"/>
                              </a:lnTo>
                              <a:lnTo>
                                <a:pt x="1780552" y="0"/>
                              </a:lnTo>
                              <a:close/>
                            </a:path>
                            <a:path w="1918970" h="457834">
                              <a:moveTo>
                                <a:pt x="1798916" y="0"/>
                              </a:moveTo>
                              <a:lnTo>
                                <a:pt x="1791347" y="0"/>
                              </a:lnTo>
                              <a:lnTo>
                                <a:pt x="1791347" y="457212"/>
                              </a:lnTo>
                              <a:lnTo>
                                <a:pt x="1798916" y="457212"/>
                              </a:lnTo>
                              <a:lnTo>
                                <a:pt x="1798916" y="0"/>
                              </a:lnTo>
                              <a:close/>
                            </a:path>
                            <a:path w="1918970" h="457834">
                              <a:moveTo>
                                <a:pt x="1832394" y="0"/>
                              </a:moveTo>
                              <a:lnTo>
                                <a:pt x="1824837" y="0"/>
                              </a:lnTo>
                              <a:lnTo>
                                <a:pt x="1824837" y="457212"/>
                              </a:lnTo>
                              <a:lnTo>
                                <a:pt x="1832394" y="457212"/>
                              </a:lnTo>
                              <a:lnTo>
                                <a:pt x="1832394" y="0"/>
                              </a:lnTo>
                              <a:close/>
                            </a:path>
                            <a:path w="1918970" h="457834">
                              <a:moveTo>
                                <a:pt x="1866239" y="0"/>
                              </a:moveTo>
                              <a:lnTo>
                                <a:pt x="1843189" y="0"/>
                              </a:lnTo>
                              <a:lnTo>
                                <a:pt x="1843189" y="457212"/>
                              </a:lnTo>
                              <a:lnTo>
                                <a:pt x="1866239" y="457212"/>
                              </a:lnTo>
                              <a:lnTo>
                                <a:pt x="1866239" y="0"/>
                              </a:lnTo>
                              <a:close/>
                            </a:path>
                            <a:path w="1918970" h="457834">
                              <a:moveTo>
                                <a:pt x="1900072" y="0"/>
                              </a:moveTo>
                              <a:lnTo>
                                <a:pt x="1877034" y="0"/>
                              </a:lnTo>
                              <a:lnTo>
                                <a:pt x="1877034" y="457212"/>
                              </a:lnTo>
                              <a:lnTo>
                                <a:pt x="1900072" y="457212"/>
                              </a:lnTo>
                              <a:lnTo>
                                <a:pt x="1900072" y="0"/>
                              </a:lnTo>
                              <a:close/>
                            </a:path>
                            <a:path w="1918970" h="457834">
                              <a:moveTo>
                                <a:pt x="1918436" y="0"/>
                              </a:moveTo>
                              <a:lnTo>
                                <a:pt x="1910880" y="0"/>
                              </a:lnTo>
                              <a:lnTo>
                                <a:pt x="1910880" y="457212"/>
                              </a:lnTo>
                              <a:lnTo>
                                <a:pt x="1918436" y="457212"/>
                              </a:lnTo>
                              <a:lnTo>
                                <a:pt x="191843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55.877003pt;margin-top:18.249020pt;width:151.1pt;height:36.050pt;mso-position-horizontal-relative:page;mso-position-vertical-relative:paragraph;z-index:-15550464;mso-wrap-distance-left:0;mso-wrap-distance-right:0" id="docshape330" coordorigin="1118,365" coordsize="3022,721" path="m1129,365l1118,365,1118,1085,1129,1085,1129,365xm1182,365l1170,365,1170,1085,1182,1085,1182,365xm1235,365l1199,365,1199,1085,1235,1085,1235,365xm1289,365l1252,365,1252,1085,1289,1085,1289,365xm1318,365l1306,365,1306,1085,1318,1085,1318,365xm1347,365l1335,365,1335,1085,1347,1085,1347,365xm1375,365l1364,365,1364,1085,1375,1085,1375,365xm1453,365l1416,365,1416,1085,1453,1085,1453,365xm1506,365l1470,365,1470,1085,1506,1085,1506,365xm1535,365l1523,365,1523,1085,1535,1085,1535,365xm1564,365l1552,365,1552,1085,1564,1085,1564,365xm1593,365l1581,365,1581,1085,1593,1085,1593,365xm1645,365l1633,365,1633,1085,1645,1085,1645,365xm1699,365l1662,365,1662,1085,1699,1085,1699,365xm1752,365l1716,365,1716,1085,1752,1085,1752,365xm1781,365l1769,365,1769,1085,1781,1085,1781,365xm1834,365l1798,365,1798,1085,1834,1085,1834,365xm1863,365l1851,365,1851,1085,1863,1085,1863,365xm1916,365l1880,365,1880,1085,1916,1085,1916,365xm1969,365l1957,365,1957,1085,1969,1085,1969,365xm2022,365l1986,365,1986,1085,2022,1085,2022,365xm2075,365l2039,365,2039,1085,2075,1085,2075,365xm2104,365l2092,365,2092,1085,2104,1085,2104,365xm2157,365l2145,365,2145,1085,2157,1085,2157,365xm2186,365l2174,365,2174,1085,2186,1085,2186,365xm2215,365l2203,365,2203,1085,2215,1085,2215,365xm2268,365l2232,365,2232,1085,2268,1085,2268,365xm2320,365l2308,365,2308,1085,2320,1085,2320,365xm2349,365l2337,365,2337,1085,2349,1085,2349,365xm2402,365l2366,365,2366,1085,2402,1085,2402,365xm2431,365l2419,365,2419,1085,2431,1085,2431,365xm2484,365l2448,365,2448,1085,2484,1085,2484,365xm2537,365l2525,365,2525,1085,2537,1085,2537,365xm2565,365l2554,365,2554,1085,2565,1085,2565,365xm2619,365l2582,365,2582,1085,2619,1085,2619,365xm2672,365l2636,365,2636,1085,2672,1085,2672,365xm2701,365l2689,365,2689,1085,2701,1085,2701,365xm2778,365l2742,365,2742,1085,2778,1085,2778,365xm2807,365l2795,365,2795,1085,2807,1085,2807,365xm2836,365l2824,365,2824,1085,2836,1085,2836,365xm2865,365l2853,365,2853,1085,2865,1085,2865,365xm2894,365l2882,365,2882,1085,2894,1085,2894,365xm2971,365l2935,365,2935,1085,2971,1085,2971,365xm3000,365l2988,365,2988,1085,3000,1085,3000,365xm3053,365l3017,365,3017,1085,3053,1085,3053,365xm3082,365l3070,365,3070,1085,3082,1085,3082,365xm3111,365l3099,365,3099,1085,3111,1085,3111,365xm3188,365l3152,365,3152,1085,3188,1085,3188,365xm3217,365l3205,365,3205,1085,3217,1085,3217,365xm3270,365l3234,365,3234,1085,3270,1085,3270,365xm3299,365l3287,365,3287,1085,3299,1085,3299,365xm3328,365l3316,365,3316,1085,3328,1085,3328,365xm3381,365l3369,365,3369,1085,3381,1085,3381,365xm3434,365l3398,365,3398,1085,3434,1085,3434,365xm3487,365l3451,365,3451,1085,3487,1085,3487,365xm3516,365l3504,365,3504,1085,3516,1085,3516,365xm3545,365l3533,365,3533,1085,3545,1085,3545,365xm3622,365l3586,365,3586,1085,3622,1085,3622,365xm3676,365l3639,365,3639,1085,3676,1085,3676,365xm3704,365l3693,365,3693,1085,3704,1085,3704,365xm3733,365l3721,365,3721,1085,3733,1085,3733,365xm3762,365l3750,365,3750,1085,3762,1085,3762,365xm3839,365l3803,365,3803,1085,3839,1085,3839,365xm3893,365l3856,365,3856,1085,3893,1085,3893,365xm3922,365l3910,365,3910,1085,3922,1085,3922,365xm3950,365l3939,365,3939,1085,3950,1085,3950,365xm4003,365l3991,365,3991,1085,4003,1085,4003,365xm4057,365l4020,365,4020,1085,4057,1085,4057,365xm4110,365l4074,365,4074,1085,4110,1085,4110,365xm4139,365l4127,365,4127,1085,4139,1085,4139,365xe" filled="true" fillcolor="#231f20" stroked="false">
                <v:path arrowok="t"/>
                <v:fill type="solid"/>
                <w10:wrap type="topAndBottom"/>
              </v:shape>
            </w:pict>
          </mc:Fallback>
        </mc:AlternateContent>
      </w:r>
    </w:p>
    <w:sectPr>
      <w:footerReference w:type="even" r:id="rId537"/>
      <w:pgSz w:w="12240" w:h="15840"/>
      <w:pgMar w:header="0" w:footer="0" w:top="1720" w:bottom="280" w:left="100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 Antiqua">
    <w:altName w:val="Book Antiqua"/>
    <w:charset w:val="0"/>
    <w:family w:val="roman"/>
    <w:pitch w:val="variable"/>
  </w:font>
  <w:font w:name="Palatino Linotype">
    <w:altName w:val="Palatino Linotype"/>
    <w:charset w:val="0"/>
    <w:family w:val="roman"/>
    <w:pitch w:val="variable"/>
  </w:font>
  <w:font w:name="Futura MdCn BT">
    <w:altName w:val="Futura MdCn BT"/>
    <w:charset w:val="0"/>
    <w:family w:val="swiss"/>
    <w:pitch w:val="variable"/>
  </w:font>
  <w:font w:name="Lucida Sans">
    <w:altName w:val="Lucida 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3124352">
          <wp:simplePos x="0" y="0"/>
          <wp:positionH relativeFrom="page">
            <wp:posOffset>380</wp:posOffset>
          </wp:positionH>
          <wp:positionV relativeFrom="page">
            <wp:posOffset>7045159</wp:posOffset>
          </wp:positionV>
          <wp:extent cx="7772019" cy="300374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7772019" cy="3003741"/>
                  </a:xfrm>
                  <a:prstGeom prst="rect">
                    <a:avLst/>
                  </a:prstGeom>
                </pic:spPr>
              </pic:pic>
            </a:graphicData>
          </a:graphic>
        </wp:anchor>
      </w:drawing>
    </w:r>
    <w:r>
      <w:rPr/>
      <mc:AlternateContent>
        <mc:Choice Requires="wps">
          <w:drawing>
            <wp:anchor distT="0" distB="0" distL="0" distR="0" allowOverlap="1" layoutInCell="1" locked="0" behindDoc="1" simplePos="0" relativeHeight="473124864">
              <wp:simplePos x="0" y="0"/>
              <wp:positionH relativeFrom="page">
                <wp:posOffset>2496356</wp:posOffset>
              </wp:positionH>
              <wp:positionV relativeFrom="page">
                <wp:posOffset>9606260</wp:posOffset>
              </wp:positionV>
              <wp:extent cx="611505" cy="15176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11505" cy="151765"/>
                      </a:xfrm>
                      <a:prstGeom prst="rect">
                        <a:avLst/>
                      </a:prstGeom>
                    </wps:spPr>
                    <wps:txbx>
                      <w:txbxContent>
                        <w:p>
                          <w:pPr>
                            <w:spacing w:before="28"/>
                            <w:ind w:left="20" w:right="0" w:firstLine="0"/>
                            <w:jc w:val="left"/>
                            <w:rPr>
                              <w:rFonts w:ascii="Arial"/>
                              <w:b/>
                              <w:sz w:val="16"/>
                            </w:rPr>
                          </w:pPr>
                          <w:r>
                            <w:rPr>
                              <w:rFonts w:ascii="Arial"/>
                              <w:b/>
                              <w:color w:val="231F20"/>
                              <w:w w:val="85"/>
                              <w:sz w:val="16"/>
                            </w:rPr>
                            <w:t>SC22-5447-</w:t>
                          </w:r>
                          <w:r>
                            <w:rPr>
                              <w:rFonts w:ascii="Arial"/>
                              <w:b/>
                              <w:color w:val="231F20"/>
                              <w:spacing w:val="-5"/>
                              <w:w w:val="85"/>
                              <w:sz w:val="16"/>
                            </w:rPr>
                            <w:t>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96.563507pt;margin-top:756.398438pt;width:48.15pt;height:11.95pt;mso-position-horizontal-relative:page;mso-position-vertical-relative:page;z-index:-30191616" type="#_x0000_t202" id="docshape1" filled="false" stroked="false">
              <v:textbox inset="0,0,0,0">
                <w:txbxContent>
                  <w:p>
                    <w:pPr>
                      <w:spacing w:before="28"/>
                      <w:ind w:left="20" w:right="0" w:firstLine="0"/>
                      <w:jc w:val="left"/>
                      <w:rPr>
                        <w:rFonts w:ascii="Arial"/>
                        <w:b/>
                        <w:sz w:val="16"/>
                      </w:rPr>
                    </w:pPr>
                    <w:r>
                      <w:rPr>
                        <w:rFonts w:ascii="Arial"/>
                        <w:b/>
                        <w:color w:val="231F20"/>
                        <w:w w:val="85"/>
                        <w:sz w:val="16"/>
                      </w:rPr>
                      <w:t>SC22-5447-</w:t>
                    </w:r>
                    <w:r>
                      <w:rPr>
                        <w:rFonts w:ascii="Arial"/>
                        <w:b/>
                        <w:color w:val="231F20"/>
                        <w:spacing w:val="-5"/>
                        <w:w w:val="85"/>
                        <w:sz w:val="16"/>
                      </w:rPr>
                      <w:t>00</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8448">
              <wp:simplePos x="0" y="0"/>
              <wp:positionH relativeFrom="page">
                <wp:posOffset>747619</wp:posOffset>
              </wp:positionH>
              <wp:positionV relativeFrom="page">
                <wp:posOffset>9451206</wp:posOffset>
              </wp:positionV>
              <wp:extent cx="3180715" cy="1917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180715" cy="191770"/>
                      </a:xfrm>
                      <a:prstGeom prst="rect">
                        <a:avLst/>
                      </a:prstGeom>
                    </wps:spPr>
                    <wps:txbx>
                      <w:txbxContent>
                        <w:p>
                          <w:pPr>
                            <w:tabs>
                              <w:tab w:pos="600" w:val="left" w:leader="none"/>
                            </w:tabs>
                            <w:spacing w:before="16"/>
                            <w:ind w:left="20" w:right="0" w:firstLine="0"/>
                            <w:jc w:val="left"/>
                            <w:rPr>
                              <w:sz w:val="16"/>
                            </w:rPr>
                          </w:pPr>
                          <w:r>
                            <w:rPr>
                              <w:rFonts w:ascii="Book Antiqua"/>
                              <w:b/>
                              <w:color w:val="231F20"/>
                              <w:spacing w:val="-4"/>
                              <w:sz w:val="22"/>
                            </w:rPr>
                            <w:t>viii</w:t>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8.867699pt;margin-top:744.189453pt;width:250.45pt;height:15.1pt;mso-position-horizontal-relative:page;mso-position-vertical-relative:page;z-index:-30188032" type="#_x0000_t202" id="docshape11" filled="false" stroked="false">
              <v:textbox inset="0,0,0,0">
                <w:txbxContent>
                  <w:p>
                    <w:pPr>
                      <w:tabs>
                        <w:tab w:pos="600" w:val="left" w:leader="none"/>
                      </w:tabs>
                      <w:spacing w:before="16"/>
                      <w:ind w:left="20" w:right="0" w:firstLine="0"/>
                      <w:jc w:val="left"/>
                      <w:rPr>
                        <w:sz w:val="16"/>
                      </w:rPr>
                    </w:pPr>
                    <w:r>
                      <w:rPr>
                        <w:rFonts w:ascii="Book Antiqua"/>
                        <w:b/>
                        <w:color w:val="231F20"/>
                        <w:spacing w:val="-4"/>
                        <w:sz w:val="22"/>
                      </w:rPr>
                      <w:t>viii</w:t>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8960">
              <wp:simplePos x="0" y="0"/>
              <wp:positionH relativeFrom="page">
                <wp:posOffset>6912872</wp:posOffset>
              </wp:positionH>
              <wp:positionV relativeFrom="page">
                <wp:posOffset>9451206</wp:posOffset>
              </wp:positionV>
              <wp:extent cx="95250" cy="1917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95250" cy="191770"/>
                      </a:xfrm>
                      <a:prstGeom prst="rect">
                        <a:avLst/>
                      </a:prstGeom>
                    </wps:spPr>
                    <wps:txbx>
                      <w:txbxContent>
                        <w:p>
                          <w:pPr>
                            <w:spacing w:before="16"/>
                            <w:ind w:left="20" w:right="0" w:firstLine="0"/>
                            <w:jc w:val="left"/>
                            <w:rPr>
                              <w:rFonts w:ascii="Book Antiqua"/>
                              <w:b/>
                              <w:sz w:val="22"/>
                            </w:rPr>
                          </w:pPr>
                          <w:r>
                            <w:rPr>
                              <w:rFonts w:ascii="Book Antiqua"/>
                              <w:b/>
                              <w:color w:val="231F20"/>
                              <w:spacing w:val="-10"/>
                              <w:sz w:val="22"/>
                            </w:rPr>
                            <w:t>1</w:t>
                          </w:r>
                        </w:p>
                      </w:txbxContent>
                    </wps:txbx>
                    <wps:bodyPr wrap="square" lIns="0" tIns="0" rIns="0" bIns="0" rtlCol="0">
                      <a:noAutofit/>
                    </wps:bodyPr>
                  </wps:wsp>
                </a:graphicData>
              </a:graphic>
            </wp:anchor>
          </w:drawing>
        </mc:Choice>
        <mc:Fallback>
          <w:pict>
            <v:shape style="position:absolute;margin-left:544.320679pt;margin-top:744.189453pt;width:7.5pt;height:15.1pt;mso-position-horizontal-relative:page;mso-position-vertical-relative:page;z-index:-30187520" type="#_x0000_t202" id="docshape12" filled="false" stroked="false">
              <v:textbox inset="0,0,0,0">
                <w:txbxContent>
                  <w:p>
                    <w:pPr>
                      <w:spacing w:before="16"/>
                      <w:ind w:left="20" w:right="0" w:firstLine="0"/>
                      <w:jc w:val="left"/>
                      <w:rPr>
                        <w:rFonts w:ascii="Book Antiqua"/>
                        <w:b/>
                        <w:sz w:val="22"/>
                      </w:rPr>
                    </w:pPr>
                    <w:r>
                      <w:rPr>
                        <w:rFonts w:ascii="Book Antiqua"/>
                        <w:b/>
                        <w:color w:val="231F20"/>
                        <w:spacing w:val="-10"/>
                        <w:sz w:val="22"/>
                      </w:rPr>
                      <w:t>1</w:t>
                    </w:r>
                  </w:p>
                </w:txbxContent>
              </v:textbox>
              <w10:wrap type="none"/>
            </v:shape>
          </w:pict>
        </mc:Fallback>
      </mc:AlternateContent>
    </w:r>
    <w:r>
      <w:rPr/>
      <mc:AlternateContent>
        <mc:Choice Requires="wps">
          <w:drawing>
            <wp:anchor distT="0" distB="0" distL="0" distR="0" allowOverlap="1" layoutInCell="1" locked="0" behindDoc="1" simplePos="0" relativeHeight="473129472">
              <wp:simplePos x="0" y="0"/>
              <wp:positionH relativeFrom="page">
                <wp:posOffset>899684</wp:posOffset>
              </wp:positionH>
              <wp:positionV relativeFrom="page">
                <wp:posOffset>9486027</wp:posOffset>
              </wp:positionV>
              <wp:extent cx="1609090" cy="14859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87008" type="#_x0000_t202" id="docshape13"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9984">
              <wp:simplePos x="0" y="0"/>
              <wp:positionH relativeFrom="page">
                <wp:posOffset>722219</wp:posOffset>
              </wp:positionH>
              <wp:positionV relativeFrom="page">
                <wp:posOffset>9451206</wp:posOffset>
              </wp:positionV>
              <wp:extent cx="3198495" cy="19177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100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86496" type="#_x0000_t202" id="docshape16"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100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0496">
              <wp:simplePos x="0" y="0"/>
              <wp:positionH relativeFrom="page">
                <wp:posOffset>5511031</wp:posOffset>
              </wp:positionH>
              <wp:positionV relativeFrom="page">
                <wp:posOffset>9451206</wp:posOffset>
              </wp:positionV>
              <wp:extent cx="1535430" cy="1917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535430" cy="191770"/>
                      </a:xfrm>
                      <a:prstGeom prst="rect">
                        <a:avLst/>
                      </a:prstGeom>
                    </wps:spPr>
                    <wps:txbx>
                      <w:txbxContent>
                        <w:p>
                          <w:pPr>
                            <w:tabs>
                              <w:tab w:pos="2117"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w:t>
                          </w:r>
                          <w:r>
                            <w:rPr>
                              <w:color w:val="231F20"/>
                              <w:spacing w:val="9"/>
                              <w:sz w:val="16"/>
                            </w:rPr>
                            <w:t> </w:t>
                          </w:r>
                          <w:r>
                            <w:rPr>
                              <w:color w:val="231F20"/>
                              <w:sz w:val="16"/>
                            </w:rPr>
                            <w:t>Getting</w:t>
                          </w:r>
                          <w:r>
                            <w:rPr>
                              <w:color w:val="231F20"/>
                              <w:spacing w:val="8"/>
                              <w:sz w:val="16"/>
                            </w:rPr>
                            <w:t> </w:t>
                          </w:r>
                          <w:r>
                            <w:rPr>
                              <w:color w:val="231F20"/>
                              <w:spacing w:val="-2"/>
                              <w:sz w:val="16"/>
                            </w:rPr>
                            <w:t>started</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33.939514pt;margin-top:744.189453pt;width:120.9pt;height:15.1pt;mso-position-horizontal-relative:page;mso-position-vertical-relative:page;z-index:-30185984" type="#_x0000_t202" id="docshape17" filled="false" stroked="false">
              <v:textbox inset="0,0,0,0">
                <w:txbxContent>
                  <w:p>
                    <w:pPr>
                      <w:tabs>
                        <w:tab w:pos="2117"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w:t>
                    </w:r>
                    <w:r>
                      <w:rPr>
                        <w:color w:val="231F20"/>
                        <w:spacing w:val="9"/>
                        <w:sz w:val="16"/>
                      </w:rPr>
                      <w:t> </w:t>
                    </w:r>
                    <w:r>
                      <w:rPr>
                        <w:color w:val="231F20"/>
                        <w:sz w:val="16"/>
                      </w:rPr>
                      <w:t>Getting</w:t>
                    </w:r>
                    <w:r>
                      <w:rPr>
                        <w:color w:val="231F20"/>
                        <w:spacing w:val="8"/>
                        <w:sz w:val="16"/>
                      </w:rPr>
                      <w:t> </w:t>
                    </w:r>
                    <w:r>
                      <w:rPr>
                        <w:color w:val="231F20"/>
                        <w:spacing w:val="-2"/>
                        <w:sz w:val="16"/>
                      </w:rPr>
                      <w:t>started</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13</w:t>
                    </w:r>
                    <w:r>
                      <w:rPr>
                        <w:rFonts w:ascii="Book Antiqua"/>
                        <w:b/>
                        <w:color w:val="231F20"/>
                        <w:spacing w:val="-5"/>
                        <w:sz w:val="22"/>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1008">
              <wp:simplePos x="0" y="0"/>
              <wp:positionH relativeFrom="page">
                <wp:posOffset>6817777</wp:posOffset>
              </wp:positionH>
              <wp:positionV relativeFrom="page">
                <wp:posOffset>9451206</wp:posOffset>
              </wp:positionV>
              <wp:extent cx="228600" cy="19177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22860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6.832886pt;margin-top:744.189453pt;width:18pt;height:15.1pt;mso-position-horizontal-relative:page;mso-position-vertical-relative:page;z-index:-30185472" type="#_x0000_t202" id="docshape26"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31520">
              <wp:simplePos x="0" y="0"/>
              <wp:positionH relativeFrom="page">
                <wp:posOffset>899684</wp:posOffset>
              </wp:positionH>
              <wp:positionV relativeFrom="page">
                <wp:posOffset>9486027</wp:posOffset>
              </wp:positionV>
              <wp:extent cx="1609090" cy="14859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84960" type="#_x0000_t202" id="docshape27"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2032">
              <wp:simplePos x="0" y="0"/>
              <wp:positionH relativeFrom="page">
                <wp:posOffset>722219</wp:posOffset>
              </wp:positionH>
              <wp:positionV relativeFrom="page">
                <wp:posOffset>9451206</wp:posOffset>
              </wp:positionV>
              <wp:extent cx="3129280" cy="19177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84448" type="#_x0000_t202" id="docshape28"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2544">
              <wp:simplePos x="0" y="0"/>
              <wp:positionH relativeFrom="page">
                <wp:posOffset>5259895</wp:posOffset>
              </wp:positionH>
              <wp:positionV relativeFrom="page">
                <wp:posOffset>9451206</wp:posOffset>
              </wp:positionV>
              <wp:extent cx="1786255" cy="191770"/>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786255" cy="191770"/>
                      </a:xfrm>
                      <a:prstGeom prst="rect">
                        <a:avLst/>
                      </a:prstGeom>
                    </wps:spPr>
                    <wps:txbx>
                      <w:txbxContent>
                        <w:p>
                          <w:pPr>
                            <w:tabs>
                              <w:tab w:pos="2513" w:val="left" w:leader="none"/>
                            </w:tabs>
                            <w:spacing w:before="16"/>
                            <w:ind w:left="20" w:right="0" w:firstLine="0"/>
                            <w:jc w:val="left"/>
                            <w:rPr>
                              <w:rFonts w:ascii="Book Antiqua"/>
                              <w:b/>
                              <w:sz w:val="22"/>
                            </w:rPr>
                          </w:pPr>
                          <w:r>
                            <w:rPr>
                              <w:color w:val="231F20"/>
                              <w:sz w:val="16"/>
                            </w:rPr>
                            <w:t>Chapter</w:t>
                          </w:r>
                          <w:r>
                            <w:rPr>
                              <w:color w:val="231F20"/>
                              <w:spacing w:val="-4"/>
                              <w:sz w:val="16"/>
                            </w:rPr>
                            <w:t> </w:t>
                          </w:r>
                          <w:r>
                            <w:rPr>
                              <w:color w:val="231F20"/>
                              <w:sz w:val="16"/>
                            </w:rPr>
                            <w:t>2.</w:t>
                          </w:r>
                          <w:r>
                            <w:rPr>
                              <w:color w:val="231F20"/>
                              <w:spacing w:val="9"/>
                              <w:sz w:val="16"/>
                            </w:rPr>
                            <w:t> </w:t>
                          </w:r>
                          <w:r>
                            <w:rPr>
                              <w:color w:val="231F20"/>
                              <w:sz w:val="16"/>
                            </w:rPr>
                            <w:t>Using</w:t>
                          </w:r>
                          <w:r>
                            <w:rPr>
                              <w:color w:val="231F20"/>
                              <w:spacing w:val="10"/>
                              <w:sz w:val="16"/>
                            </w:rPr>
                            <w:t> </w:t>
                          </w:r>
                          <w:r>
                            <w:rPr>
                              <w:color w:val="231F20"/>
                              <w:sz w:val="16"/>
                            </w:rPr>
                            <w:t>the</w:t>
                          </w:r>
                          <w:r>
                            <w:rPr>
                              <w:color w:val="231F20"/>
                              <w:spacing w:val="9"/>
                              <w:sz w:val="16"/>
                            </w:rPr>
                            <w:t> </w:t>
                          </w:r>
                          <w:r>
                            <w:rPr>
                              <w:color w:val="231F20"/>
                              <w:spacing w:val="-2"/>
                              <w:sz w:val="16"/>
                            </w:rPr>
                            <w:t>Navigator</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14.165009pt;margin-top:744.189453pt;width:140.65pt;height:15.1pt;mso-position-horizontal-relative:page;mso-position-vertical-relative:page;z-index:-30183936" type="#_x0000_t202" id="docshape36" filled="false" stroked="false">
              <v:textbox inset="0,0,0,0">
                <w:txbxContent>
                  <w:p>
                    <w:pPr>
                      <w:tabs>
                        <w:tab w:pos="2513" w:val="left" w:leader="none"/>
                      </w:tabs>
                      <w:spacing w:before="16"/>
                      <w:ind w:left="20" w:right="0" w:firstLine="0"/>
                      <w:jc w:val="left"/>
                      <w:rPr>
                        <w:rFonts w:ascii="Book Antiqua"/>
                        <w:b/>
                        <w:sz w:val="22"/>
                      </w:rPr>
                    </w:pPr>
                    <w:r>
                      <w:rPr>
                        <w:color w:val="231F20"/>
                        <w:sz w:val="16"/>
                      </w:rPr>
                      <w:t>Chapter</w:t>
                    </w:r>
                    <w:r>
                      <w:rPr>
                        <w:color w:val="231F20"/>
                        <w:spacing w:val="-4"/>
                        <w:sz w:val="16"/>
                      </w:rPr>
                      <w:t> </w:t>
                    </w:r>
                    <w:r>
                      <w:rPr>
                        <w:color w:val="231F20"/>
                        <w:sz w:val="16"/>
                      </w:rPr>
                      <w:t>2.</w:t>
                    </w:r>
                    <w:r>
                      <w:rPr>
                        <w:color w:val="231F20"/>
                        <w:spacing w:val="9"/>
                        <w:sz w:val="16"/>
                      </w:rPr>
                      <w:t> </w:t>
                    </w:r>
                    <w:r>
                      <w:rPr>
                        <w:color w:val="231F20"/>
                        <w:sz w:val="16"/>
                      </w:rPr>
                      <w:t>Using</w:t>
                    </w:r>
                    <w:r>
                      <w:rPr>
                        <w:color w:val="231F20"/>
                        <w:spacing w:val="10"/>
                        <w:sz w:val="16"/>
                      </w:rPr>
                      <w:t> </w:t>
                    </w:r>
                    <w:r>
                      <w:rPr>
                        <w:color w:val="231F20"/>
                        <w:sz w:val="16"/>
                      </w:rPr>
                      <w:t>the</w:t>
                    </w:r>
                    <w:r>
                      <w:rPr>
                        <w:color w:val="231F20"/>
                        <w:spacing w:val="9"/>
                        <w:sz w:val="16"/>
                      </w:rPr>
                      <w:t> </w:t>
                    </w:r>
                    <w:r>
                      <w:rPr>
                        <w:color w:val="231F20"/>
                        <w:spacing w:val="-2"/>
                        <w:sz w:val="16"/>
                      </w:rPr>
                      <w:t>Navigator</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w:t>
                    </w:r>
                    <w:r>
                      <w:rPr>
                        <w:rFonts w:ascii="Book Antiqua"/>
                        <w:b/>
                        <w:color w:val="231F20"/>
                        <w:spacing w:val="-5"/>
                        <w:sz w:val="22"/>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3056">
              <wp:simplePos x="0" y="0"/>
              <wp:positionH relativeFrom="page">
                <wp:posOffset>722219</wp:posOffset>
              </wp:positionH>
              <wp:positionV relativeFrom="page">
                <wp:posOffset>9451206</wp:posOffset>
              </wp:positionV>
              <wp:extent cx="3129280" cy="19177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83424" type="#_x0000_t202" id="docshape37"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3568">
              <wp:simplePos x="0" y="0"/>
              <wp:positionH relativeFrom="page">
                <wp:posOffset>6817777</wp:posOffset>
              </wp:positionH>
              <wp:positionV relativeFrom="page">
                <wp:posOffset>9451206</wp:posOffset>
              </wp:positionV>
              <wp:extent cx="228600" cy="19177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22860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6.832886pt;margin-top:744.189453pt;width:18pt;height:15.1pt;mso-position-horizontal-relative:page;mso-position-vertical-relative:page;z-index:-30182912" type="#_x0000_t202" id="docshape64"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34080">
              <wp:simplePos x="0" y="0"/>
              <wp:positionH relativeFrom="page">
                <wp:posOffset>899684</wp:posOffset>
              </wp:positionH>
              <wp:positionV relativeFrom="page">
                <wp:posOffset>9486027</wp:posOffset>
              </wp:positionV>
              <wp:extent cx="1609090" cy="14859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82400" type="#_x0000_t202" id="docshape65"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4592">
              <wp:simplePos x="0" y="0"/>
              <wp:positionH relativeFrom="page">
                <wp:posOffset>722219</wp:posOffset>
              </wp:positionH>
              <wp:positionV relativeFrom="page">
                <wp:posOffset>9451206</wp:posOffset>
              </wp:positionV>
              <wp:extent cx="3129280" cy="191770"/>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81888" type="#_x0000_t202" id="docshape66"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5104">
              <wp:simplePos x="0" y="0"/>
              <wp:positionH relativeFrom="page">
                <wp:posOffset>5363899</wp:posOffset>
              </wp:positionH>
              <wp:positionV relativeFrom="page">
                <wp:posOffset>9451206</wp:posOffset>
              </wp:positionV>
              <wp:extent cx="1682750" cy="19177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1682750" cy="191770"/>
                      </a:xfrm>
                      <a:prstGeom prst="rect">
                        <a:avLst/>
                      </a:prstGeom>
                    </wps:spPr>
                    <wps:txbx>
                      <w:txbxContent>
                        <w:p>
                          <w:pPr>
                            <w:tabs>
                              <w:tab w:pos="2349" w:val="left" w:leader="none"/>
                            </w:tabs>
                            <w:spacing w:before="16"/>
                            <w:ind w:left="20" w:right="0" w:firstLine="0"/>
                            <w:jc w:val="left"/>
                            <w:rPr>
                              <w:rFonts w:ascii="Book Antiqua"/>
                              <w:b/>
                              <w:sz w:val="22"/>
                            </w:rPr>
                          </w:pPr>
                          <w:r>
                            <w:rPr>
                              <w:color w:val="231F20"/>
                              <w:sz w:val="16"/>
                            </w:rPr>
                            <w:t>Chapter</w:t>
                          </w:r>
                          <w:r>
                            <w:rPr>
                              <w:color w:val="231F20"/>
                              <w:spacing w:val="-4"/>
                              <w:sz w:val="16"/>
                            </w:rPr>
                            <w:t> </w:t>
                          </w:r>
                          <w:r>
                            <w:rPr>
                              <w:color w:val="231F20"/>
                              <w:sz w:val="16"/>
                            </w:rPr>
                            <w:t>3.</w:t>
                          </w:r>
                          <w:r>
                            <w:rPr>
                              <w:color w:val="231F20"/>
                              <w:spacing w:val="8"/>
                              <w:sz w:val="16"/>
                            </w:rPr>
                            <w:t> </w:t>
                          </w:r>
                          <w:r>
                            <w:rPr>
                              <w:color w:val="231F20"/>
                              <w:sz w:val="16"/>
                            </w:rPr>
                            <w:t>Using</w:t>
                          </w:r>
                          <w:r>
                            <w:rPr>
                              <w:color w:val="231F20"/>
                              <w:spacing w:val="9"/>
                              <w:sz w:val="16"/>
                            </w:rPr>
                            <w:t> </w:t>
                          </w:r>
                          <w:r>
                            <w:rPr>
                              <w:color w:val="231F20"/>
                              <w:spacing w:val="-2"/>
                              <w:sz w:val="16"/>
                            </w:rPr>
                            <w:t>workspaces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22.354309pt;margin-top:744.189453pt;width:132.5pt;height:15.1pt;mso-position-horizontal-relative:page;mso-position-vertical-relative:page;z-index:-30181376" type="#_x0000_t202" id="docshape70" filled="false" stroked="false">
              <v:textbox inset="0,0,0,0">
                <w:txbxContent>
                  <w:p>
                    <w:pPr>
                      <w:tabs>
                        <w:tab w:pos="2349" w:val="left" w:leader="none"/>
                      </w:tabs>
                      <w:spacing w:before="16"/>
                      <w:ind w:left="20" w:right="0" w:firstLine="0"/>
                      <w:jc w:val="left"/>
                      <w:rPr>
                        <w:rFonts w:ascii="Book Antiqua"/>
                        <w:b/>
                        <w:sz w:val="22"/>
                      </w:rPr>
                    </w:pPr>
                    <w:r>
                      <w:rPr>
                        <w:color w:val="231F20"/>
                        <w:sz w:val="16"/>
                      </w:rPr>
                      <w:t>Chapter</w:t>
                    </w:r>
                    <w:r>
                      <w:rPr>
                        <w:color w:val="231F20"/>
                        <w:spacing w:val="-4"/>
                        <w:sz w:val="16"/>
                      </w:rPr>
                      <w:t> </w:t>
                    </w:r>
                    <w:r>
                      <w:rPr>
                        <w:color w:val="231F20"/>
                        <w:sz w:val="16"/>
                      </w:rPr>
                      <w:t>3.</w:t>
                    </w:r>
                    <w:r>
                      <w:rPr>
                        <w:color w:val="231F20"/>
                        <w:spacing w:val="8"/>
                        <w:sz w:val="16"/>
                      </w:rPr>
                      <w:t> </w:t>
                    </w:r>
                    <w:r>
                      <w:rPr>
                        <w:color w:val="231F20"/>
                        <w:sz w:val="16"/>
                      </w:rPr>
                      <w:t>Using</w:t>
                    </w:r>
                    <w:r>
                      <w:rPr>
                        <w:color w:val="231F20"/>
                        <w:spacing w:val="9"/>
                        <w:sz w:val="16"/>
                      </w:rPr>
                      <w:t> </w:t>
                    </w:r>
                    <w:r>
                      <w:rPr>
                        <w:color w:val="231F20"/>
                        <w:spacing w:val="-2"/>
                        <w:sz w:val="16"/>
                      </w:rPr>
                      <w:t>workspaces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35</w:t>
                    </w:r>
                    <w:r>
                      <w:rPr>
                        <w:rFonts w:ascii="Book Antiqua"/>
                        <w:b/>
                        <w:color w:val="231F20"/>
                        <w:spacing w:val="-5"/>
                        <w:sz w:val="22"/>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5616">
              <wp:simplePos x="0" y="0"/>
              <wp:positionH relativeFrom="page">
                <wp:posOffset>722219</wp:posOffset>
              </wp:positionH>
              <wp:positionV relativeFrom="page">
                <wp:posOffset>9451206</wp:posOffset>
              </wp:positionV>
              <wp:extent cx="3129280" cy="19177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80864" type="#_x0000_t202" id="docshape71"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6128">
              <wp:simplePos x="0" y="0"/>
              <wp:positionH relativeFrom="page">
                <wp:posOffset>6817777</wp:posOffset>
              </wp:positionH>
              <wp:positionV relativeFrom="page">
                <wp:posOffset>9451206</wp:posOffset>
              </wp:positionV>
              <wp:extent cx="228600" cy="191770"/>
              <wp:effectExtent l="0" t="0" r="0" b="0"/>
              <wp:wrapNone/>
              <wp:docPr id="555" name="Textbox 555"/>
              <wp:cNvGraphicFramePr>
                <a:graphicFrameLocks/>
              </wp:cNvGraphicFramePr>
              <a:graphic>
                <a:graphicData uri="http://schemas.microsoft.com/office/word/2010/wordprocessingShape">
                  <wps:wsp>
                    <wps:cNvPr id="555" name="Textbox 555"/>
                    <wps:cNvSpPr txBox="1"/>
                    <wps:spPr>
                      <a:xfrm>
                        <a:off x="0" y="0"/>
                        <a:ext cx="22860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6.832886pt;margin-top:744.189453pt;width:18pt;height:15.1pt;mso-position-horizontal-relative:page;mso-position-vertical-relative:page;z-index:-30180352" type="#_x0000_t202" id="docshape86"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51</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36640">
              <wp:simplePos x="0" y="0"/>
              <wp:positionH relativeFrom="page">
                <wp:posOffset>899684</wp:posOffset>
              </wp:positionH>
              <wp:positionV relativeFrom="page">
                <wp:posOffset>9486027</wp:posOffset>
              </wp:positionV>
              <wp:extent cx="1609090" cy="148590"/>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79840" type="#_x0000_t202" id="docshape87"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7152">
              <wp:simplePos x="0" y="0"/>
              <wp:positionH relativeFrom="page">
                <wp:posOffset>722219</wp:posOffset>
              </wp:positionH>
              <wp:positionV relativeFrom="page">
                <wp:posOffset>9451206</wp:posOffset>
              </wp:positionV>
              <wp:extent cx="3129280" cy="191770"/>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9328" type="#_x0000_t202" id="docshape88"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7664">
              <wp:simplePos x="0" y="0"/>
              <wp:positionH relativeFrom="page">
                <wp:posOffset>5205319</wp:posOffset>
              </wp:positionH>
              <wp:positionV relativeFrom="page">
                <wp:posOffset>9451206</wp:posOffset>
              </wp:positionV>
              <wp:extent cx="1840864" cy="19177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1840864" cy="191770"/>
                      </a:xfrm>
                      <a:prstGeom prst="rect">
                        <a:avLst/>
                      </a:prstGeom>
                    </wps:spPr>
                    <wps:txbx>
                      <w:txbxContent>
                        <w:p>
                          <w:pPr>
                            <w:tabs>
                              <w:tab w:pos="2599"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4.</w:t>
                          </w:r>
                          <w:r>
                            <w:rPr>
                              <w:color w:val="231F20"/>
                              <w:spacing w:val="9"/>
                              <w:sz w:val="16"/>
                            </w:rPr>
                            <w:t> </w:t>
                          </w:r>
                          <w:r>
                            <w:rPr>
                              <w:color w:val="231F20"/>
                              <w:sz w:val="16"/>
                            </w:rPr>
                            <w:t>Responding</w:t>
                          </w:r>
                          <w:r>
                            <w:rPr>
                              <w:color w:val="231F20"/>
                              <w:spacing w:val="8"/>
                              <w:sz w:val="16"/>
                            </w:rPr>
                            <w:t> </w:t>
                          </w:r>
                          <w:r>
                            <w:rPr>
                              <w:color w:val="231F20"/>
                              <w:sz w:val="16"/>
                            </w:rPr>
                            <w:t>to</w:t>
                          </w:r>
                          <w:r>
                            <w:rPr>
                              <w:color w:val="231F20"/>
                              <w:spacing w:val="9"/>
                              <w:sz w:val="16"/>
                            </w:rPr>
                            <w:t> </w:t>
                          </w:r>
                          <w:r>
                            <w:rPr>
                              <w:color w:val="231F20"/>
                              <w:spacing w:val="-2"/>
                              <w:sz w:val="16"/>
                            </w:rPr>
                            <w:t>events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09.867706pt;margin-top:744.189453pt;width:144.950pt;height:15.1pt;mso-position-horizontal-relative:page;mso-position-vertical-relative:page;z-index:-30178816" type="#_x0000_t202" id="docshape91" filled="false" stroked="false">
              <v:textbox inset="0,0,0,0">
                <w:txbxContent>
                  <w:p>
                    <w:pPr>
                      <w:tabs>
                        <w:tab w:pos="2599"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4.</w:t>
                    </w:r>
                    <w:r>
                      <w:rPr>
                        <w:color w:val="231F20"/>
                        <w:spacing w:val="9"/>
                        <w:sz w:val="16"/>
                      </w:rPr>
                      <w:t> </w:t>
                    </w:r>
                    <w:r>
                      <w:rPr>
                        <w:color w:val="231F20"/>
                        <w:sz w:val="16"/>
                      </w:rPr>
                      <w:t>Responding</w:t>
                    </w:r>
                    <w:r>
                      <w:rPr>
                        <w:color w:val="231F20"/>
                        <w:spacing w:val="8"/>
                        <w:sz w:val="16"/>
                      </w:rPr>
                      <w:t> </w:t>
                    </w:r>
                    <w:r>
                      <w:rPr>
                        <w:color w:val="231F20"/>
                        <w:sz w:val="16"/>
                      </w:rPr>
                      <w:t>to</w:t>
                    </w:r>
                    <w:r>
                      <w:rPr>
                        <w:color w:val="231F20"/>
                        <w:spacing w:val="9"/>
                        <w:sz w:val="16"/>
                      </w:rPr>
                      <w:t> </w:t>
                    </w:r>
                    <w:r>
                      <w:rPr>
                        <w:color w:val="231F20"/>
                        <w:spacing w:val="-2"/>
                        <w:sz w:val="16"/>
                      </w:rPr>
                      <w:t>events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53</w:t>
                    </w:r>
                    <w:r>
                      <w:rPr>
                        <w:rFonts w:ascii="Book Antiqua"/>
                        <w:b/>
                        <w:color w:val="231F20"/>
                        <w:spacing w:val="-5"/>
                        <w:sz w:val="22"/>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8176">
              <wp:simplePos x="0" y="0"/>
              <wp:positionH relativeFrom="page">
                <wp:posOffset>722219</wp:posOffset>
              </wp:positionH>
              <wp:positionV relativeFrom="page">
                <wp:posOffset>9451206</wp:posOffset>
              </wp:positionV>
              <wp:extent cx="3129280" cy="19177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8304" type="#_x0000_t202" id="docshape92"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54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8688">
              <wp:simplePos x="0" y="0"/>
              <wp:positionH relativeFrom="page">
                <wp:posOffset>6817777</wp:posOffset>
              </wp:positionH>
              <wp:positionV relativeFrom="page">
                <wp:posOffset>9451206</wp:posOffset>
              </wp:positionV>
              <wp:extent cx="228600" cy="19177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22860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6.832886pt;margin-top:744.189453pt;width:18pt;height:15.1pt;mso-position-horizontal-relative:page;mso-position-vertical-relative:page;z-index:-30177792" type="#_x0000_t202" id="docshape100"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39200">
              <wp:simplePos x="0" y="0"/>
              <wp:positionH relativeFrom="page">
                <wp:posOffset>899684</wp:posOffset>
              </wp:positionH>
              <wp:positionV relativeFrom="page">
                <wp:posOffset>9486027</wp:posOffset>
              </wp:positionV>
              <wp:extent cx="1609090" cy="14859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77280" type="#_x0000_t202" id="docshape101"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39712">
              <wp:simplePos x="0" y="0"/>
              <wp:positionH relativeFrom="page">
                <wp:posOffset>722219</wp:posOffset>
              </wp:positionH>
              <wp:positionV relativeFrom="page">
                <wp:posOffset>9451206</wp:posOffset>
              </wp:positionV>
              <wp:extent cx="3129280" cy="19177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6768" type="#_x0000_t202" id="docshape102"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0224">
              <wp:simplePos x="0" y="0"/>
              <wp:positionH relativeFrom="page">
                <wp:posOffset>5051780</wp:posOffset>
              </wp:positionH>
              <wp:positionV relativeFrom="page">
                <wp:posOffset>9451206</wp:posOffset>
              </wp:positionV>
              <wp:extent cx="1994535" cy="191770"/>
              <wp:effectExtent l="0" t="0" r="0" b="0"/>
              <wp:wrapNone/>
              <wp:docPr id="676" name="Textbox 676"/>
              <wp:cNvGraphicFramePr>
                <a:graphicFrameLocks/>
              </wp:cNvGraphicFramePr>
              <a:graphic>
                <a:graphicData uri="http://schemas.microsoft.com/office/word/2010/wordprocessingShape">
                  <wps:wsp>
                    <wps:cNvPr id="676" name="Textbox 676"/>
                    <wps:cNvSpPr txBox="1"/>
                    <wps:spPr>
                      <a:xfrm>
                        <a:off x="0" y="0"/>
                        <a:ext cx="1994535" cy="191770"/>
                      </a:xfrm>
                      <a:prstGeom prst="rect">
                        <a:avLst/>
                      </a:prstGeom>
                    </wps:spPr>
                    <wps:txbx>
                      <w:txbxContent>
                        <w:p>
                          <w:pPr>
                            <w:tabs>
                              <w:tab w:pos="2841"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5.</w:t>
                          </w:r>
                          <w:r>
                            <w:rPr>
                              <w:color w:val="231F20"/>
                              <w:spacing w:val="7"/>
                              <w:sz w:val="16"/>
                            </w:rPr>
                            <w:t> </w:t>
                          </w:r>
                          <w:r>
                            <w:rPr>
                              <w:color w:val="231F20"/>
                              <w:sz w:val="16"/>
                            </w:rPr>
                            <w:t>Customizing</w:t>
                          </w:r>
                          <w:r>
                            <w:rPr>
                              <w:color w:val="231F20"/>
                              <w:spacing w:val="7"/>
                              <w:sz w:val="16"/>
                            </w:rPr>
                            <w:t> </w:t>
                          </w:r>
                          <w:r>
                            <w:rPr>
                              <w:color w:val="231F20"/>
                              <w:spacing w:val="-2"/>
                              <w:sz w:val="16"/>
                            </w:rPr>
                            <w:t>workspaces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97.778015pt;margin-top:744.189453pt;width:157.050pt;height:15.1pt;mso-position-horizontal-relative:page;mso-position-vertical-relative:page;z-index:-30176256" type="#_x0000_t202" id="docshape106" filled="false" stroked="false">
              <v:textbox inset="0,0,0,0">
                <w:txbxContent>
                  <w:p>
                    <w:pPr>
                      <w:tabs>
                        <w:tab w:pos="2841"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5.</w:t>
                    </w:r>
                    <w:r>
                      <w:rPr>
                        <w:color w:val="231F20"/>
                        <w:spacing w:val="7"/>
                        <w:sz w:val="16"/>
                      </w:rPr>
                      <w:t> </w:t>
                    </w:r>
                    <w:r>
                      <w:rPr>
                        <w:color w:val="231F20"/>
                        <w:sz w:val="16"/>
                      </w:rPr>
                      <w:t>Customizing</w:t>
                    </w:r>
                    <w:r>
                      <w:rPr>
                        <w:color w:val="231F20"/>
                        <w:spacing w:val="7"/>
                        <w:sz w:val="16"/>
                      </w:rPr>
                      <w:t> </w:t>
                    </w:r>
                    <w:r>
                      <w:rPr>
                        <w:color w:val="231F20"/>
                        <w:spacing w:val="-2"/>
                        <w:sz w:val="16"/>
                      </w:rPr>
                      <w:t>workspaces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65</w:t>
                    </w:r>
                    <w:r>
                      <w:rPr>
                        <w:rFonts w:ascii="Book Antiqua"/>
                        <w:b/>
                        <w:color w:val="231F20"/>
                        <w:spacing w:val="-5"/>
                        <w:sz w:val="22"/>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0736">
              <wp:simplePos x="0" y="0"/>
              <wp:positionH relativeFrom="page">
                <wp:posOffset>722219</wp:posOffset>
              </wp:positionH>
              <wp:positionV relativeFrom="page">
                <wp:posOffset>9451206</wp:posOffset>
              </wp:positionV>
              <wp:extent cx="3129280" cy="191770"/>
              <wp:effectExtent l="0" t="0" r="0" b="0"/>
              <wp:wrapNone/>
              <wp:docPr id="677" name="Textbox 677"/>
              <wp:cNvGraphicFramePr>
                <a:graphicFrameLocks/>
              </wp:cNvGraphicFramePr>
              <a:graphic>
                <a:graphicData uri="http://schemas.microsoft.com/office/word/2010/wordprocessingShape">
                  <wps:wsp>
                    <wps:cNvPr id="677" name="Textbox 677"/>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5744" type="#_x0000_t202" id="docshape107"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3125376">
          <wp:simplePos x="0" y="0"/>
          <wp:positionH relativeFrom="page">
            <wp:posOffset>380</wp:posOffset>
          </wp:positionH>
          <wp:positionV relativeFrom="page">
            <wp:posOffset>7045159</wp:posOffset>
          </wp:positionV>
          <wp:extent cx="7772019" cy="3003741"/>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7772019" cy="3003741"/>
                  </a:xfrm>
                  <a:prstGeom prst="rect">
                    <a:avLst/>
                  </a:prstGeom>
                </pic:spPr>
              </pic:pic>
            </a:graphicData>
          </a:graphic>
        </wp:anchor>
      </w:drawing>
    </w:r>
    <w:r>
      <w:rPr/>
      <mc:AlternateContent>
        <mc:Choice Requires="wps">
          <w:drawing>
            <wp:anchor distT="0" distB="0" distL="0" distR="0" allowOverlap="1" layoutInCell="1" locked="0" behindDoc="1" simplePos="0" relativeHeight="473125888">
              <wp:simplePos x="0" y="0"/>
              <wp:positionH relativeFrom="page">
                <wp:posOffset>2496356</wp:posOffset>
              </wp:positionH>
              <wp:positionV relativeFrom="page">
                <wp:posOffset>9606260</wp:posOffset>
              </wp:positionV>
              <wp:extent cx="611505" cy="15176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611505" cy="151765"/>
                      </a:xfrm>
                      <a:prstGeom prst="rect">
                        <a:avLst/>
                      </a:prstGeom>
                    </wps:spPr>
                    <wps:txbx>
                      <w:txbxContent>
                        <w:p>
                          <w:pPr>
                            <w:spacing w:before="28"/>
                            <w:ind w:left="20" w:right="0" w:firstLine="0"/>
                            <w:jc w:val="left"/>
                            <w:rPr>
                              <w:rFonts w:ascii="Arial"/>
                              <w:b/>
                              <w:sz w:val="16"/>
                            </w:rPr>
                          </w:pPr>
                          <w:r>
                            <w:rPr>
                              <w:rFonts w:ascii="Arial"/>
                              <w:b/>
                              <w:color w:val="231F20"/>
                              <w:w w:val="85"/>
                              <w:sz w:val="16"/>
                            </w:rPr>
                            <w:t>SC22-5447-</w:t>
                          </w:r>
                          <w:r>
                            <w:rPr>
                              <w:rFonts w:ascii="Arial"/>
                              <w:b/>
                              <w:color w:val="231F20"/>
                              <w:spacing w:val="-5"/>
                              <w:w w:val="85"/>
                              <w:sz w:val="16"/>
                            </w:rPr>
                            <w:t>00</w:t>
                          </w:r>
                        </w:p>
                      </w:txbxContent>
                    </wps:txbx>
                    <wps:bodyPr wrap="square" lIns="0" tIns="0" rIns="0" bIns="0" rtlCol="0">
                      <a:noAutofit/>
                    </wps:bodyPr>
                  </wps:wsp>
                </a:graphicData>
              </a:graphic>
            </wp:anchor>
          </w:drawing>
        </mc:Choice>
        <mc:Fallback>
          <w:pict>
            <v:shape style="position:absolute;margin-left:196.563507pt;margin-top:756.398438pt;width:48.15pt;height:11.95pt;mso-position-horizontal-relative:page;mso-position-vertical-relative:page;z-index:-30190592" type="#_x0000_t202" id="docshape2" filled="false" stroked="false">
              <v:textbox inset="0,0,0,0">
                <w:txbxContent>
                  <w:p>
                    <w:pPr>
                      <w:spacing w:before="28"/>
                      <w:ind w:left="20" w:right="0" w:firstLine="0"/>
                      <w:jc w:val="left"/>
                      <w:rPr>
                        <w:rFonts w:ascii="Arial"/>
                        <w:b/>
                        <w:sz w:val="16"/>
                      </w:rPr>
                    </w:pPr>
                    <w:r>
                      <w:rPr>
                        <w:rFonts w:ascii="Arial"/>
                        <w:b/>
                        <w:color w:val="231F20"/>
                        <w:w w:val="85"/>
                        <w:sz w:val="16"/>
                      </w:rPr>
                      <w:t>SC22-5447-</w:t>
                    </w:r>
                    <w:r>
                      <w:rPr>
                        <w:rFonts w:ascii="Arial"/>
                        <w:b/>
                        <w:color w:val="231F20"/>
                        <w:spacing w:val="-5"/>
                        <w:w w:val="85"/>
                        <w:sz w:val="16"/>
                      </w:rPr>
                      <w:t>00</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1248">
              <wp:simplePos x="0" y="0"/>
              <wp:positionH relativeFrom="page">
                <wp:posOffset>6817777</wp:posOffset>
              </wp:positionH>
              <wp:positionV relativeFrom="page">
                <wp:posOffset>9451206</wp:posOffset>
              </wp:positionV>
              <wp:extent cx="228600" cy="191770"/>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22860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6.832886pt;margin-top:744.189453pt;width:18pt;height:15.1pt;mso-position-horizontal-relative:page;mso-position-vertical-relative:page;z-index:-30175232" type="#_x0000_t202" id="docshape116"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41760">
              <wp:simplePos x="0" y="0"/>
              <wp:positionH relativeFrom="page">
                <wp:posOffset>899684</wp:posOffset>
              </wp:positionH>
              <wp:positionV relativeFrom="page">
                <wp:posOffset>9486027</wp:posOffset>
              </wp:positionV>
              <wp:extent cx="1609090" cy="148590"/>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74720" type="#_x0000_t202" id="docshape117"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2272">
              <wp:simplePos x="0" y="0"/>
              <wp:positionH relativeFrom="page">
                <wp:posOffset>722219</wp:posOffset>
              </wp:positionH>
              <wp:positionV relativeFrom="page">
                <wp:posOffset>9451206</wp:posOffset>
              </wp:positionV>
              <wp:extent cx="3129280" cy="191770"/>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4208" type="#_x0000_t202" id="docshape118"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2784">
              <wp:simplePos x="0" y="0"/>
              <wp:positionH relativeFrom="page">
                <wp:posOffset>4728571</wp:posOffset>
              </wp:positionH>
              <wp:positionV relativeFrom="page">
                <wp:posOffset>9451206</wp:posOffset>
              </wp:positionV>
              <wp:extent cx="2317750" cy="191770"/>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a:off x="0" y="0"/>
                        <a:ext cx="2317750" cy="191770"/>
                      </a:xfrm>
                      <a:prstGeom prst="rect">
                        <a:avLst/>
                      </a:prstGeom>
                    </wps:spPr>
                    <wps:txbx>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101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72.328491pt;margin-top:744.189453pt;width:182.5pt;height:15.1pt;mso-position-horizontal-relative:page;mso-position-vertical-relative:page;z-index:-30173696" type="#_x0000_t202" id="docshape127" filled="false" stroked="false">
              <v:textbox inset="0,0,0,0">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101</w:t>
                    </w:r>
                    <w:r>
                      <w:rPr>
                        <w:rFonts w:ascii="Book Antiqua"/>
                        <w:b/>
                        <w:color w:val="231F20"/>
                        <w:spacing w:val="-5"/>
                        <w:sz w:val="22"/>
                      </w:rPr>
                      <w:fldChar w:fldCharType="end"/>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3296">
              <wp:simplePos x="0" y="0"/>
              <wp:positionH relativeFrom="page">
                <wp:posOffset>722219</wp:posOffset>
              </wp:positionH>
              <wp:positionV relativeFrom="page">
                <wp:posOffset>9451206</wp:posOffset>
              </wp:positionV>
              <wp:extent cx="3129280" cy="191770"/>
              <wp:effectExtent l="0" t="0" r="0" b="0"/>
              <wp:wrapNone/>
              <wp:docPr id="880" name="Textbox 880"/>
              <wp:cNvGraphicFramePr>
                <a:graphicFrameLocks/>
              </wp:cNvGraphicFramePr>
              <a:graphic>
                <a:graphicData uri="http://schemas.microsoft.com/office/word/2010/wordprocessingShape">
                  <wps:wsp>
                    <wps:cNvPr id="880" name="Textbox 880"/>
                    <wps:cNvSpPr txBox="1"/>
                    <wps:spPr>
                      <a:xfrm>
                        <a:off x="0" y="0"/>
                        <a:ext cx="3129280" cy="191770"/>
                      </a:xfrm>
                      <a:prstGeom prst="rect">
                        <a:avLst/>
                      </a:prstGeom>
                    </wps:spPr>
                    <wps:txbx>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6.4pt;height:15.1pt;mso-position-horizontal-relative:page;mso-position-vertical-relative:page;z-index:-30173184" type="#_x0000_t202" id="docshape128" filled="false" stroked="false">
              <v:textbox inset="0,0,0,0">
                <w:txbxContent>
                  <w:p>
                    <w:pPr>
                      <w:tabs>
                        <w:tab w:pos="51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86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3808">
              <wp:simplePos x="0" y="0"/>
              <wp:positionH relativeFrom="page">
                <wp:posOffset>722219</wp:posOffset>
              </wp:positionH>
              <wp:positionV relativeFrom="page">
                <wp:posOffset>9451206</wp:posOffset>
              </wp:positionV>
              <wp:extent cx="3193415" cy="191770"/>
              <wp:effectExtent l="0" t="0" r="0" b="0"/>
              <wp:wrapNone/>
              <wp:docPr id="1105" name="Textbox 1105"/>
              <wp:cNvGraphicFramePr>
                <a:graphicFrameLocks/>
              </wp:cNvGraphicFramePr>
              <a:graphic>
                <a:graphicData uri="http://schemas.microsoft.com/office/word/2010/wordprocessingShape">
                  <wps:wsp>
                    <wps:cNvPr id="1105" name="Textbox 1105"/>
                    <wps:cNvSpPr txBox="1"/>
                    <wps:spPr>
                      <a:xfrm>
                        <a:off x="0" y="0"/>
                        <a:ext cx="3193415" cy="191770"/>
                      </a:xfrm>
                      <a:prstGeom prst="rect">
                        <a:avLst/>
                      </a:prstGeom>
                    </wps:spPr>
                    <wps:txbx>
                      <w:txbxContent>
                        <w:p>
                          <w:pPr>
                            <w:tabs>
                              <w:tab w:pos="620"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110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45pt;height:15.1pt;mso-position-horizontal-relative:page;mso-position-vertical-relative:page;z-index:-30172672" type="#_x0000_t202" id="docshape140" filled="false" stroked="false">
              <v:textbox inset="0,0,0,0">
                <w:txbxContent>
                  <w:p>
                    <w:pPr>
                      <w:tabs>
                        <w:tab w:pos="620"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110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4320">
              <wp:simplePos x="0" y="0"/>
              <wp:positionH relativeFrom="page">
                <wp:posOffset>4738867</wp:posOffset>
              </wp:positionH>
              <wp:positionV relativeFrom="page">
                <wp:posOffset>9451206</wp:posOffset>
              </wp:positionV>
              <wp:extent cx="2302510" cy="191770"/>
              <wp:effectExtent l="0" t="0" r="0" b="0"/>
              <wp:wrapNone/>
              <wp:docPr id="1106" name="Textbox 1106"/>
              <wp:cNvGraphicFramePr>
                <a:graphicFrameLocks/>
              </wp:cNvGraphicFramePr>
              <a:graphic>
                <a:graphicData uri="http://schemas.microsoft.com/office/word/2010/wordprocessingShape">
                  <wps:wsp>
                    <wps:cNvPr id="1106" name="Textbox 1106"/>
                    <wps:cNvSpPr txBox="1"/>
                    <wps:spPr>
                      <a:xfrm>
                        <a:off x="0" y="0"/>
                        <a:ext cx="2302510" cy="191770"/>
                      </a:xfrm>
                      <a:prstGeom prst="rect">
                        <a:avLst/>
                      </a:prstGeom>
                    </wps:spPr>
                    <wps:txbx>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111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73.139191pt;margin-top:744.189453pt;width:181.3pt;height:15.1pt;mso-position-horizontal-relative:page;mso-position-vertical-relative:page;z-index:-30172160" type="#_x0000_t202" id="docshape141" filled="false" stroked="false">
              <v:textbox inset="0,0,0,0">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111</w:t>
                    </w:r>
                    <w:r>
                      <w:rPr>
                        <w:rFonts w:ascii="Book Antiqua"/>
                        <w:b/>
                        <w:color w:val="231F20"/>
                        <w:spacing w:val="-5"/>
                        <w:sz w:val="22"/>
                      </w:rPr>
                      <w:fldChar w:fldCharType="end"/>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4832">
              <wp:simplePos x="0" y="0"/>
              <wp:positionH relativeFrom="page">
                <wp:posOffset>722219</wp:posOffset>
              </wp:positionH>
              <wp:positionV relativeFrom="page">
                <wp:posOffset>9451206</wp:posOffset>
              </wp:positionV>
              <wp:extent cx="3198495" cy="191770"/>
              <wp:effectExtent l="0" t="0" r="0" b="0"/>
              <wp:wrapNone/>
              <wp:docPr id="1204" name="Textbox 1204"/>
              <wp:cNvGraphicFramePr>
                <a:graphicFrameLocks/>
              </wp:cNvGraphicFramePr>
              <a:graphic>
                <a:graphicData uri="http://schemas.microsoft.com/office/word/2010/wordprocessingShape">
                  <wps:wsp>
                    <wps:cNvPr id="1204" name="Textbox 120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120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71648" type="#_x0000_t202" id="docshape151"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120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5344">
              <wp:simplePos x="0" y="0"/>
              <wp:positionH relativeFrom="page">
                <wp:posOffset>4728571</wp:posOffset>
              </wp:positionH>
              <wp:positionV relativeFrom="page">
                <wp:posOffset>9451206</wp:posOffset>
              </wp:positionV>
              <wp:extent cx="2317750" cy="191770"/>
              <wp:effectExtent l="0" t="0" r="0" b="0"/>
              <wp:wrapNone/>
              <wp:docPr id="1205" name="Textbox 1205"/>
              <wp:cNvGraphicFramePr>
                <a:graphicFrameLocks/>
              </wp:cNvGraphicFramePr>
              <a:graphic>
                <a:graphicData uri="http://schemas.microsoft.com/office/word/2010/wordprocessingShape">
                  <wps:wsp>
                    <wps:cNvPr id="1205" name="Textbox 1205"/>
                    <wps:cNvSpPr txBox="1"/>
                    <wps:spPr>
                      <a:xfrm>
                        <a:off x="0" y="0"/>
                        <a:ext cx="2317750" cy="191770"/>
                      </a:xfrm>
                      <a:prstGeom prst="rect">
                        <a:avLst/>
                      </a:prstGeom>
                    </wps:spPr>
                    <wps:txbx>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121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72.328491pt;margin-top:744.189453pt;width:182.5pt;height:15.1pt;mso-position-horizontal-relative:page;mso-position-vertical-relative:page;z-index:-30171136" type="#_x0000_t202" id="docshape152" filled="false" stroked="false">
              <v:textbox inset="0,0,0,0">
                <w:txbxContent>
                  <w:p>
                    <w:pPr>
                      <w:tabs>
                        <w:tab w:pos="3240"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6.</w:t>
                    </w:r>
                    <w:r>
                      <w:rPr>
                        <w:color w:val="231F20"/>
                        <w:spacing w:val="6"/>
                        <w:sz w:val="16"/>
                      </w:rPr>
                      <w:t> </w:t>
                    </w:r>
                    <w:r>
                      <w:rPr>
                        <w:color w:val="231F20"/>
                        <w:sz w:val="16"/>
                      </w:rPr>
                      <w:t>Customizing</w:t>
                    </w:r>
                    <w:r>
                      <w:rPr>
                        <w:color w:val="231F20"/>
                        <w:spacing w:val="7"/>
                        <w:sz w:val="16"/>
                      </w:rPr>
                      <w:t> </w:t>
                    </w:r>
                    <w:r>
                      <w:rPr>
                        <w:color w:val="231F20"/>
                        <w:sz w:val="16"/>
                      </w:rPr>
                      <w:t>workspace</w:t>
                    </w:r>
                    <w:r>
                      <w:rPr>
                        <w:color w:val="231F20"/>
                        <w:spacing w:val="7"/>
                        <w:sz w:val="16"/>
                      </w:rPr>
                      <w:t> </w:t>
                    </w:r>
                    <w:r>
                      <w:rPr>
                        <w:color w:val="231F20"/>
                        <w:spacing w:val="-2"/>
                        <w:sz w:val="16"/>
                      </w:rPr>
                      <w:t>views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121</w:t>
                    </w:r>
                    <w:r>
                      <w:rPr>
                        <w:rFonts w:ascii="Book Antiqua"/>
                        <w:b/>
                        <w:color w:val="231F20"/>
                        <w:spacing w:val="-5"/>
                        <w:sz w:val="22"/>
                      </w:rPr>
                      <w:fldChar w:fldCharType="end"/>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5856">
              <wp:simplePos x="0" y="0"/>
              <wp:positionH relativeFrom="page">
                <wp:posOffset>6748081</wp:posOffset>
              </wp:positionH>
              <wp:positionV relativeFrom="page">
                <wp:posOffset>9451206</wp:posOffset>
              </wp:positionV>
              <wp:extent cx="298450" cy="191770"/>
              <wp:effectExtent l="0" t="0" r="0" b="0"/>
              <wp:wrapNone/>
              <wp:docPr id="1652" name="Textbox 1652"/>
              <wp:cNvGraphicFramePr>
                <a:graphicFrameLocks/>
              </wp:cNvGraphicFramePr>
              <a:graphic>
                <a:graphicData uri="http://schemas.microsoft.com/office/word/2010/wordprocessingShape">
                  <wps:wsp>
                    <wps:cNvPr id="1652" name="Textbox 1652"/>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197</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70624" type="#_x0000_t202" id="docshape166"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197</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46368">
              <wp:simplePos x="0" y="0"/>
              <wp:positionH relativeFrom="page">
                <wp:posOffset>899684</wp:posOffset>
              </wp:positionH>
              <wp:positionV relativeFrom="page">
                <wp:posOffset>9486027</wp:posOffset>
              </wp:positionV>
              <wp:extent cx="1609090" cy="148590"/>
              <wp:effectExtent l="0" t="0" r="0" b="0"/>
              <wp:wrapNone/>
              <wp:docPr id="1653" name="Textbox 1653"/>
              <wp:cNvGraphicFramePr>
                <a:graphicFrameLocks/>
              </wp:cNvGraphicFramePr>
              <a:graphic>
                <a:graphicData uri="http://schemas.microsoft.com/office/word/2010/wordprocessingShape">
                  <wps:wsp>
                    <wps:cNvPr id="1653" name="Textbox 165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70112" type="#_x0000_t202" id="docshape167"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6880">
              <wp:simplePos x="0" y="0"/>
              <wp:positionH relativeFrom="page">
                <wp:posOffset>722219</wp:posOffset>
              </wp:positionH>
              <wp:positionV relativeFrom="page">
                <wp:posOffset>9451206</wp:posOffset>
              </wp:positionV>
              <wp:extent cx="3198495" cy="191770"/>
              <wp:effectExtent l="0" t="0" r="0" b="0"/>
              <wp:wrapNone/>
              <wp:docPr id="1654" name="Textbox 1654"/>
              <wp:cNvGraphicFramePr>
                <a:graphicFrameLocks/>
              </wp:cNvGraphicFramePr>
              <a:graphic>
                <a:graphicData uri="http://schemas.microsoft.com/office/word/2010/wordprocessingShape">
                  <wps:wsp>
                    <wps:cNvPr id="1654" name="Textbox 165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9600" type="#_x0000_t202" id="docshape16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7392">
              <wp:simplePos x="0" y="0"/>
              <wp:positionH relativeFrom="page">
                <wp:posOffset>5406956</wp:posOffset>
              </wp:positionH>
              <wp:positionV relativeFrom="page">
                <wp:posOffset>9451206</wp:posOffset>
              </wp:positionV>
              <wp:extent cx="1639570" cy="191770"/>
              <wp:effectExtent l="0" t="0" r="0" b="0"/>
              <wp:wrapNone/>
              <wp:docPr id="1696" name="Textbox 1696"/>
              <wp:cNvGraphicFramePr>
                <a:graphicFrameLocks/>
              </wp:cNvGraphicFramePr>
              <a:graphic>
                <a:graphicData uri="http://schemas.microsoft.com/office/word/2010/wordprocessingShape">
                  <wps:wsp>
                    <wps:cNvPr id="1696" name="Textbox 1696"/>
                    <wps:cNvSpPr txBox="1"/>
                    <wps:spPr>
                      <a:xfrm>
                        <a:off x="0" y="0"/>
                        <a:ext cx="1639570" cy="191770"/>
                      </a:xfrm>
                      <a:prstGeom prst="rect">
                        <a:avLst/>
                      </a:prstGeom>
                    </wps:spPr>
                    <wps:txbx>
                      <w:txbxContent>
                        <w:p>
                          <w:pPr>
                            <w:tabs>
                              <w:tab w:pos="2171"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7.</w:t>
                          </w:r>
                          <w:r>
                            <w:rPr>
                              <w:color w:val="231F20"/>
                              <w:spacing w:val="9"/>
                              <w:sz w:val="16"/>
                            </w:rPr>
                            <w:t> </w:t>
                          </w:r>
                          <w:r>
                            <w:rPr>
                              <w:color w:val="231F20"/>
                              <w:sz w:val="16"/>
                            </w:rPr>
                            <w:t>Custom</w:t>
                          </w:r>
                          <w:r>
                            <w:rPr>
                              <w:color w:val="231F20"/>
                              <w:spacing w:val="8"/>
                              <w:sz w:val="16"/>
                            </w:rPr>
                            <w:t> </w:t>
                          </w:r>
                          <w:r>
                            <w:rPr>
                              <w:color w:val="231F20"/>
                              <w:spacing w:val="-2"/>
                              <w:sz w:val="16"/>
                            </w:rPr>
                            <w:t>queries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199</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25.744598pt;margin-top:744.189453pt;width:129.1pt;height:15.1pt;mso-position-horizontal-relative:page;mso-position-vertical-relative:page;z-index:-30169088" type="#_x0000_t202" id="docshape172" filled="false" stroked="false">
              <v:textbox inset="0,0,0,0">
                <w:txbxContent>
                  <w:p>
                    <w:pPr>
                      <w:tabs>
                        <w:tab w:pos="2171"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7.</w:t>
                    </w:r>
                    <w:r>
                      <w:rPr>
                        <w:color w:val="231F20"/>
                        <w:spacing w:val="9"/>
                        <w:sz w:val="16"/>
                      </w:rPr>
                      <w:t> </w:t>
                    </w:r>
                    <w:r>
                      <w:rPr>
                        <w:color w:val="231F20"/>
                        <w:sz w:val="16"/>
                      </w:rPr>
                      <w:t>Custom</w:t>
                    </w:r>
                    <w:r>
                      <w:rPr>
                        <w:color w:val="231F20"/>
                        <w:spacing w:val="8"/>
                        <w:sz w:val="16"/>
                      </w:rPr>
                      <w:t> </w:t>
                    </w:r>
                    <w:r>
                      <w:rPr>
                        <w:color w:val="231F20"/>
                        <w:spacing w:val="-2"/>
                        <w:sz w:val="16"/>
                      </w:rPr>
                      <w:t>queries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199</w:t>
                    </w:r>
                    <w:r>
                      <w:rPr>
                        <w:rFonts w:ascii="Book Antiqua"/>
                        <w:b/>
                        <w:color w:val="231F20"/>
                        <w:spacing w:val="-5"/>
                        <w:sz w:val="22"/>
                      </w:rPr>
                      <w:fldChar w:fldCharType="end"/>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7904">
              <wp:simplePos x="0" y="0"/>
              <wp:positionH relativeFrom="page">
                <wp:posOffset>722219</wp:posOffset>
              </wp:positionH>
              <wp:positionV relativeFrom="page">
                <wp:posOffset>9451206</wp:posOffset>
              </wp:positionV>
              <wp:extent cx="3198495" cy="191770"/>
              <wp:effectExtent l="0" t="0" r="0" b="0"/>
              <wp:wrapNone/>
              <wp:docPr id="1697" name="Textbox 1697"/>
              <wp:cNvGraphicFramePr>
                <a:graphicFrameLocks/>
              </wp:cNvGraphicFramePr>
              <a:graphic>
                <a:graphicData uri="http://schemas.microsoft.com/office/word/2010/wordprocessingShape">
                  <wps:wsp>
                    <wps:cNvPr id="1697" name="Textbox 1697"/>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200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8576" type="#_x0000_t202" id="docshape173"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200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8416">
              <wp:simplePos x="0" y="0"/>
              <wp:positionH relativeFrom="page">
                <wp:posOffset>6748081</wp:posOffset>
              </wp:positionH>
              <wp:positionV relativeFrom="page">
                <wp:posOffset>9451206</wp:posOffset>
              </wp:positionV>
              <wp:extent cx="298450" cy="191770"/>
              <wp:effectExtent l="0" t="0" r="0" b="0"/>
              <wp:wrapNone/>
              <wp:docPr id="1854" name="Textbox 1854"/>
              <wp:cNvGraphicFramePr>
                <a:graphicFrameLocks/>
              </wp:cNvGraphicFramePr>
              <a:graphic>
                <a:graphicData uri="http://schemas.microsoft.com/office/word/2010/wordprocessingShape">
                  <wps:wsp>
                    <wps:cNvPr id="1854" name="Textbox 1854"/>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68064" type="#_x0000_t202" id="docshape178"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48928">
              <wp:simplePos x="0" y="0"/>
              <wp:positionH relativeFrom="page">
                <wp:posOffset>899684</wp:posOffset>
              </wp:positionH>
              <wp:positionV relativeFrom="page">
                <wp:posOffset>9486027</wp:posOffset>
              </wp:positionV>
              <wp:extent cx="1609090" cy="148590"/>
              <wp:effectExtent l="0" t="0" r="0" b="0"/>
              <wp:wrapNone/>
              <wp:docPr id="1855" name="Textbox 1855"/>
              <wp:cNvGraphicFramePr>
                <a:graphicFrameLocks/>
              </wp:cNvGraphicFramePr>
              <a:graphic>
                <a:graphicData uri="http://schemas.microsoft.com/office/word/2010/wordprocessingShape">
                  <wps:wsp>
                    <wps:cNvPr id="1855" name="Textbox 1855"/>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67552" type="#_x0000_t202" id="docshape179"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9440">
              <wp:simplePos x="0" y="0"/>
              <wp:positionH relativeFrom="page">
                <wp:posOffset>722219</wp:posOffset>
              </wp:positionH>
              <wp:positionV relativeFrom="page">
                <wp:posOffset>9451206</wp:posOffset>
              </wp:positionV>
              <wp:extent cx="3198495" cy="191770"/>
              <wp:effectExtent l="0" t="0" r="0" b="0"/>
              <wp:wrapNone/>
              <wp:docPr id="1856" name="Textbox 1856"/>
              <wp:cNvGraphicFramePr>
                <a:graphicFrameLocks/>
              </wp:cNvGraphicFramePr>
              <a:graphic>
                <a:graphicData uri="http://schemas.microsoft.com/office/word/2010/wordprocessingShape">
                  <wps:wsp>
                    <wps:cNvPr id="1856" name="Textbox 1856"/>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7040" type="#_x0000_t202" id="docshape180"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49952">
              <wp:simplePos x="0" y="0"/>
              <wp:positionH relativeFrom="page">
                <wp:posOffset>5227496</wp:posOffset>
              </wp:positionH>
              <wp:positionV relativeFrom="page">
                <wp:posOffset>9451206</wp:posOffset>
              </wp:positionV>
              <wp:extent cx="1819275" cy="191770"/>
              <wp:effectExtent l="0" t="0" r="0" b="0"/>
              <wp:wrapNone/>
              <wp:docPr id="1866" name="Textbox 1866"/>
              <wp:cNvGraphicFramePr>
                <a:graphicFrameLocks/>
              </wp:cNvGraphicFramePr>
              <a:graphic>
                <a:graphicData uri="http://schemas.microsoft.com/office/word/2010/wordprocessingShape">
                  <wps:wsp>
                    <wps:cNvPr id="1866" name="Textbox 1866"/>
                    <wps:cNvSpPr txBox="1"/>
                    <wps:spPr>
                      <a:xfrm>
                        <a:off x="0" y="0"/>
                        <a:ext cx="1819275" cy="191770"/>
                      </a:xfrm>
                      <a:prstGeom prst="rect">
                        <a:avLst/>
                      </a:prstGeom>
                    </wps:spPr>
                    <wps:txbx>
                      <w:txbxContent>
                        <w:p>
                          <w:pPr>
                            <w:tabs>
                              <w:tab w:pos="2454"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8.</w:t>
                          </w:r>
                          <w:r>
                            <w:rPr>
                              <w:color w:val="231F20"/>
                              <w:spacing w:val="8"/>
                              <w:sz w:val="16"/>
                            </w:rPr>
                            <w:t> </w:t>
                          </w:r>
                          <w:r>
                            <w:rPr>
                              <w:color w:val="231F20"/>
                              <w:sz w:val="16"/>
                            </w:rPr>
                            <w:t>Historical</w:t>
                          </w:r>
                          <w:r>
                            <w:rPr>
                              <w:color w:val="231F20"/>
                              <w:spacing w:val="8"/>
                              <w:sz w:val="16"/>
                            </w:rPr>
                            <w:t> </w:t>
                          </w:r>
                          <w:r>
                            <w:rPr>
                              <w:color w:val="231F20"/>
                              <w:spacing w:val="-2"/>
                              <w:sz w:val="16"/>
                            </w:rPr>
                            <w:t>reporting</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11.613892pt;margin-top:744.189453pt;width:143.25pt;height:15.1pt;mso-position-horizontal-relative:page;mso-position-vertical-relative:page;z-index:-30166528" type="#_x0000_t202" id="docshape184" filled="false" stroked="false">
              <v:textbox inset="0,0,0,0">
                <w:txbxContent>
                  <w:p>
                    <w:pPr>
                      <w:tabs>
                        <w:tab w:pos="2454"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8.</w:t>
                    </w:r>
                    <w:r>
                      <w:rPr>
                        <w:color w:val="231F20"/>
                        <w:spacing w:val="8"/>
                        <w:sz w:val="16"/>
                      </w:rPr>
                      <w:t> </w:t>
                    </w:r>
                    <w:r>
                      <w:rPr>
                        <w:color w:val="231F20"/>
                        <w:sz w:val="16"/>
                      </w:rPr>
                      <w:t>Historical</w:t>
                    </w:r>
                    <w:r>
                      <w:rPr>
                        <w:color w:val="231F20"/>
                        <w:spacing w:val="8"/>
                        <w:sz w:val="16"/>
                      </w:rPr>
                      <w:t> </w:t>
                    </w:r>
                    <w:r>
                      <w:rPr>
                        <w:color w:val="231F20"/>
                        <w:spacing w:val="-2"/>
                        <w:sz w:val="16"/>
                      </w:rPr>
                      <w:t>reporting</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215</w:t>
                    </w:r>
                    <w:r>
                      <w:rPr>
                        <w:rFonts w:ascii="Book Antiqua"/>
                        <w:b/>
                        <w:color w:val="231F20"/>
                        <w:spacing w:val="-5"/>
                        <w:sz w:val="22"/>
                      </w:rPr>
                      <w:fldChar w:fldCharType="end"/>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0464">
              <wp:simplePos x="0" y="0"/>
              <wp:positionH relativeFrom="page">
                <wp:posOffset>722219</wp:posOffset>
              </wp:positionH>
              <wp:positionV relativeFrom="page">
                <wp:posOffset>9451206</wp:posOffset>
              </wp:positionV>
              <wp:extent cx="3198495" cy="191770"/>
              <wp:effectExtent l="0" t="0" r="0" b="0"/>
              <wp:wrapNone/>
              <wp:docPr id="1867" name="Textbox 1867"/>
              <wp:cNvGraphicFramePr>
                <a:graphicFrameLocks/>
              </wp:cNvGraphicFramePr>
              <a:graphic>
                <a:graphicData uri="http://schemas.microsoft.com/office/word/2010/wordprocessingShape">
                  <wps:wsp>
                    <wps:cNvPr id="1867" name="Textbox 1867"/>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6016" type="#_x0000_t202" id="docshape185"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216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0976">
              <wp:simplePos x="0" y="0"/>
              <wp:positionH relativeFrom="page">
                <wp:posOffset>6748081</wp:posOffset>
              </wp:positionH>
              <wp:positionV relativeFrom="page">
                <wp:posOffset>9451206</wp:posOffset>
              </wp:positionV>
              <wp:extent cx="298450" cy="191770"/>
              <wp:effectExtent l="0" t="0" r="0" b="0"/>
              <wp:wrapNone/>
              <wp:docPr id="1945" name="Textbox 1945"/>
              <wp:cNvGraphicFramePr>
                <a:graphicFrameLocks/>
              </wp:cNvGraphicFramePr>
              <a:graphic>
                <a:graphicData uri="http://schemas.microsoft.com/office/word/2010/wordprocessingShape">
                  <wps:wsp>
                    <wps:cNvPr id="1945" name="Textbox 1945"/>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65504" type="#_x0000_t202" id="docshape189"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51488">
              <wp:simplePos x="0" y="0"/>
              <wp:positionH relativeFrom="page">
                <wp:posOffset>899684</wp:posOffset>
              </wp:positionH>
              <wp:positionV relativeFrom="page">
                <wp:posOffset>9486027</wp:posOffset>
              </wp:positionV>
              <wp:extent cx="1609090" cy="148590"/>
              <wp:effectExtent l="0" t="0" r="0" b="0"/>
              <wp:wrapNone/>
              <wp:docPr id="1946" name="Textbox 1946"/>
              <wp:cNvGraphicFramePr>
                <a:graphicFrameLocks/>
              </wp:cNvGraphicFramePr>
              <a:graphic>
                <a:graphicData uri="http://schemas.microsoft.com/office/word/2010/wordprocessingShape">
                  <wps:wsp>
                    <wps:cNvPr id="1946" name="Textbox 1946"/>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64992" type="#_x0000_t202" id="docshape190"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2000">
              <wp:simplePos x="0" y="0"/>
              <wp:positionH relativeFrom="page">
                <wp:posOffset>722219</wp:posOffset>
              </wp:positionH>
              <wp:positionV relativeFrom="page">
                <wp:posOffset>9451206</wp:posOffset>
              </wp:positionV>
              <wp:extent cx="3198495" cy="191770"/>
              <wp:effectExtent l="0" t="0" r="0" b="0"/>
              <wp:wrapNone/>
              <wp:docPr id="1947" name="Textbox 1947"/>
              <wp:cNvGraphicFramePr>
                <a:graphicFrameLocks/>
              </wp:cNvGraphicFramePr>
              <a:graphic>
                <a:graphicData uri="http://schemas.microsoft.com/office/word/2010/wordprocessingShape">
                  <wps:wsp>
                    <wps:cNvPr id="1947" name="Textbox 1947"/>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4480" type="#_x0000_t202" id="docshape191"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2512">
              <wp:simplePos x="0" y="0"/>
              <wp:positionH relativeFrom="page">
                <wp:posOffset>4275008</wp:posOffset>
              </wp:positionH>
              <wp:positionV relativeFrom="page">
                <wp:posOffset>9451206</wp:posOffset>
              </wp:positionV>
              <wp:extent cx="2771775" cy="191770"/>
              <wp:effectExtent l="0" t="0" r="0" b="0"/>
              <wp:wrapNone/>
              <wp:docPr id="1987" name="Textbox 1987"/>
              <wp:cNvGraphicFramePr>
                <a:graphicFrameLocks/>
              </wp:cNvGraphicFramePr>
              <a:graphic>
                <a:graphicData uri="http://schemas.microsoft.com/office/word/2010/wordprocessingShape">
                  <wps:wsp>
                    <wps:cNvPr id="1987" name="Textbox 1987"/>
                    <wps:cNvSpPr txBox="1"/>
                    <wps:spPr>
                      <a:xfrm>
                        <a:off x="0" y="0"/>
                        <a:ext cx="2771775" cy="191770"/>
                      </a:xfrm>
                      <a:prstGeom prst="rect">
                        <a:avLst/>
                      </a:prstGeom>
                    </wps:spPr>
                    <wps:txbx>
                      <w:txbxContent>
                        <w:p>
                          <w:pPr>
                            <w:tabs>
                              <w:tab w:pos="3955"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9.</w:t>
                          </w:r>
                          <w:r>
                            <w:rPr>
                              <w:color w:val="231F20"/>
                              <w:spacing w:val="9"/>
                              <w:sz w:val="16"/>
                            </w:rPr>
                            <w:t> </w:t>
                          </w:r>
                          <w:r>
                            <w:rPr>
                              <w:color w:val="231F20"/>
                              <w:sz w:val="16"/>
                            </w:rPr>
                            <w:t>Navigator</w:t>
                          </w:r>
                          <w:r>
                            <w:rPr>
                              <w:color w:val="231F20"/>
                              <w:spacing w:val="9"/>
                              <w:sz w:val="16"/>
                            </w:rPr>
                            <w:t> </w:t>
                          </w:r>
                          <w:r>
                            <w:rPr>
                              <w:color w:val="231F20"/>
                              <w:sz w:val="16"/>
                            </w:rPr>
                            <w:t>views</w:t>
                          </w:r>
                          <w:r>
                            <w:rPr>
                              <w:color w:val="231F20"/>
                              <w:spacing w:val="8"/>
                              <w:sz w:val="16"/>
                            </w:rPr>
                            <w:t> </w:t>
                          </w:r>
                          <w:r>
                            <w:rPr>
                              <w:color w:val="231F20"/>
                              <w:sz w:val="16"/>
                            </w:rPr>
                            <w:t>for</w:t>
                          </w:r>
                          <w:r>
                            <w:rPr>
                              <w:color w:val="231F20"/>
                              <w:spacing w:val="9"/>
                              <w:sz w:val="16"/>
                            </w:rPr>
                            <w:t> </w:t>
                          </w:r>
                          <w:r>
                            <w:rPr>
                              <w:color w:val="231F20"/>
                              <w:sz w:val="16"/>
                            </w:rPr>
                            <w:t>logical</w:t>
                          </w:r>
                          <w:r>
                            <w:rPr>
                              <w:color w:val="231F20"/>
                              <w:spacing w:val="8"/>
                              <w:sz w:val="16"/>
                            </w:rPr>
                            <w:t> </w:t>
                          </w:r>
                          <w:r>
                            <w:rPr>
                              <w:color w:val="231F20"/>
                              <w:spacing w:val="-2"/>
                              <w:sz w:val="16"/>
                            </w:rPr>
                            <w:t>organization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36.614807pt;margin-top:744.189453pt;width:218.25pt;height:15.1pt;mso-position-horizontal-relative:page;mso-position-vertical-relative:page;z-index:-30163968" type="#_x0000_t202" id="docshape195" filled="false" stroked="false">
              <v:textbox inset="0,0,0,0">
                <w:txbxContent>
                  <w:p>
                    <w:pPr>
                      <w:tabs>
                        <w:tab w:pos="3955"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9.</w:t>
                    </w:r>
                    <w:r>
                      <w:rPr>
                        <w:color w:val="231F20"/>
                        <w:spacing w:val="9"/>
                        <w:sz w:val="16"/>
                      </w:rPr>
                      <w:t> </w:t>
                    </w:r>
                    <w:r>
                      <w:rPr>
                        <w:color w:val="231F20"/>
                        <w:sz w:val="16"/>
                      </w:rPr>
                      <w:t>Navigator</w:t>
                    </w:r>
                    <w:r>
                      <w:rPr>
                        <w:color w:val="231F20"/>
                        <w:spacing w:val="9"/>
                        <w:sz w:val="16"/>
                      </w:rPr>
                      <w:t> </w:t>
                    </w:r>
                    <w:r>
                      <w:rPr>
                        <w:color w:val="231F20"/>
                        <w:sz w:val="16"/>
                      </w:rPr>
                      <w:t>views</w:t>
                    </w:r>
                    <w:r>
                      <w:rPr>
                        <w:color w:val="231F20"/>
                        <w:spacing w:val="8"/>
                        <w:sz w:val="16"/>
                      </w:rPr>
                      <w:t> </w:t>
                    </w:r>
                    <w:r>
                      <w:rPr>
                        <w:color w:val="231F20"/>
                        <w:sz w:val="16"/>
                      </w:rPr>
                      <w:t>for</w:t>
                    </w:r>
                    <w:r>
                      <w:rPr>
                        <w:color w:val="231F20"/>
                        <w:spacing w:val="9"/>
                        <w:sz w:val="16"/>
                      </w:rPr>
                      <w:t> </w:t>
                    </w:r>
                    <w:r>
                      <w:rPr>
                        <w:color w:val="231F20"/>
                        <w:sz w:val="16"/>
                      </w:rPr>
                      <w:t>logical</w:t>
                    </w:r>
                    <w:r>
                      <w:rPr>
                        <w:color w:val="231F20"/>
                        <w:spacing w:val="8"/>
                        <w:sz w:val="16"/>
                      </w:rPr>
                      <w:t> </w:t>
                    </w:r>
                    <w:r>
                      <w:rPr>
                        <w:color w:val="231F20"/>
                        <w:spacing w:val="-2"/>
                        <w:sz w:val="16"/>
                      </w:rPr>
                      <w:t>organization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235</w:t>
                    </w:r>
                    <w:r>
                      <w:rPr>
                        <w:rFonts w:ascii="Book Antiqua"/>
                        <w:b/>
                        <w:color w:val="231F20"/>
                        <w:spacing w:val="-5"/>
                        <w:sz w:val="22"/>
                      </w:rPr>
                      <w:fldChar w:fldCharType="end"/>
                    </w: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3024">
              <wp:simplePos x="0" y="0"/>
              <wp:positionH relativeFrom="page">
                <wp:posOffset>722219</wp:posOffset>
              </wp:positionH>
              <wp:positionV relativeFrom="page">
                <wp:posOffset>9451206</wp:posOffset>
              </wp:positionV>
              <wp:extent cx="3198495" cy="191770"/>
              <wp:effectExtent l="0" t="0" r="0" b="0"/>
              <wp:wrapNone/>
              <wp:docPr id="1988" name="Textbox 1988"/>
              <wp:cNvGraphicFramePr>
                <a:graphicFrameLocks/>
              </wp:cNvGraphicFramePr>
              <a:graphic>
                <a:graphicData uri="http://schemas.microsoft.com/office/word/2010/wordprocessingShape">
                  <wps:wsp>
                    <wps:cNvPr id="1988" name="Textbox 1988"/>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3456" type="#_x0000_t202" id="docshape196"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236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3536">
              <wp:simplePos x="0" y="0"/>
              <wp:positionH relativeFrom="page">
                <wp:posOffset>6748081</wp:posOffset>
              </wp:positionH>
              <wp:positionV relativeFrom="page">
                <wp:posOffset>9451206</wp:posOffset>
              </wp:positionV>
              <wp:extent cx="298450" cy="191770"/>
              <wp:effectExtent l="0" t="0" r="0" b="0"/>
              <wp:wrapNone/>
              <wp:docPr id="2182" name="Textbox 2182"/>
              <wp:cNvGraphicFramePr>
                <a:graphicFrameLocks/>
              </wp:cNvGraphicFramePr>
              <a:graphic>
                <a:graphicData uri="http://schemas.microsoft.com/office/word/2010/wordprocessingShape">
                  <wps:wsp>
                    <wps:cNvPr id="2182" name="Textbox 2182"/>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249</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62944" type="#_x0000_t202" id="docshape203"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249</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54048">
              <wp:simplePos x="0" y="0"/>
              <wp:positionH relativeFrom="page">
                <wp:posOffset>899684</wp:posOffset>
              </wp:positionH>
              <wp:positionV relativeFrom="page">
                <wp:posOffset>9486027</wp:posOffset>
              </wp:positionV>
              <wp:extent cx="1609090" cy="148590"/>
              <wp:effectExtent l="0" t="0" r="0" b="0"/>
              <wp:wrapNone/>
              <wp:docPr id="2183" name="Textbox 2183"/>
              <wp:cNvGraphicFramePr>
                <a:graphicFrameLocks/>
              </wp:cNvGraphicFramePr>
              <a:graphic>
                <a:graphicData uri="http://schemas.microsoft.com/office/word/2010/wordprocessingShape">
                  <wps:wsp>
                    <wps:cNvPr id="2183" name="Textbox 218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62432" type="#_x0000_t202" id="docshape204"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4560">
              <wp:simplePos x="0" y="0"/>
              <wp:positionH relativeFrom="page">
                <wp:posOffset>722219</wp:posOffset>
              </wp:positionH>
              <wp:positionV relativeFrom="page">
                <wp:posOffset>9451206</wp:posOffset>
              </wp:positionV>
              <wp:extent cx="3198495" cy="191770"/>
              <wp:effectExtent l="0" t="0" r="0" b="0"/>
              <wp:wrapNone/>
              <wp:docPr id="2184" name="Textbox 2184"/>
              <wp:cNvGraphicFramePr>
                <a:graphicFrameLocks/>
              </wp:cNvGraphicFramePr>
              <a:graphic>
                <a:graphicData uri="http://schemas.microsoft.com/office/word/2010/wordprocessingShape">
                  <wps:wsp>
                    <wps:cNvPr id="2184" name="Textbox 218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1920" type="#_x0000_t202" id="docshape205"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5072">
              <wp:simplePos x="0" y="0"/>
              <wp:positionH relativeFrom="page">
                <wp:posOffset>4640803</wp:posOffset>
              </wp:positionH>
              <wp:positionV relativeFrom="page">
                <wp:posOffset>9451206</wp:posOffset>
              </wp:positionV>
              <wp:extent cx="2406015" cy="191770"/>
              <wp:effectExtent l="0" t="0" r="0" b="0"/>
              <wp:wrapNone/>
              <wp:docPr id="2196" name="Textbox 2196"/>
              <wp:cNvGraphicFramePr>
                <a:graphicFrameLocks/>
              </wp:cNvGraphicFramePr>
              <a:graphic>
                <a:graphicData uri="http://schemas.microsoft.com/office/word/2010/wordprocessingShape">
                  <wps:wsp>
                    <wps:cNvPr id="2196" name="Textbox 2196"/>
                    <wps:cNvSpPr txBox="1"/>
                    <wps:spPr>
                      <a:xfrm>
                        <a:off x="0" y="0"/>
                        <a:ext cx="2406015" cy="191770"/>
                      </a:xfrm>
                      <a:prstGeom prst="rect">
                        <a:avLst/>
                      </a:prstGeom>
                    </wps:spPr>
                    <wps:txbx>
                      <w:txbxContent>
                        <w:p>
                          <w:pPr>
                            <w:tabs>
                              <w:tab w:pos="3378"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10.</w:t>
                          </w:r>
                          <w:r>
                            <w:rPr>
                              <w:color w:val="231F20"/>
                              <w:spacing w:val="9"/>
                              <w:sz w:val="16"/>
                            </w:rPr>
                            <w:t> </w:t>
                          </w:r>
                          <w:r>
                            <w:rPr>
                              <w:color w:val="231F20"/>
                              <w:sz w:val="16"/>
                            </w:rPr>
                            <w:t>Situations</w:t>
                          </w:r>
                          <w:r>
                            <w:rPr>
                              <w:color w:val="231F20"/>
                              <w:spacing w:val="9"/>
                              <w:sz w:val="16"/>
                            </w:rPr>
                            <w:t> </w:t>
                          </w:r>
                          <w:r>
                            <w:rPr>
                              <w:color w:val="231F20"/>
                              <w:sz w:val="16"/>
                            </w:rPr>
                            <w:t>for</w:t>
                          </w:r>
                          <w:r>
                            <w:rPr>
                              <w:color w:val="231F20"/>
                              <w:spacing w:val="8"/>
                              <w:sz w:val="16"/>
                            </w:rPr>
                            <w:t> </w:t>
                          </w:r>
                          <w:r>
                            <w:rPr>
                              <w:color w:val="231F20"/>
                              <w:sz w:val="16"/>
                            </w:rPr>
                            <w:t>event</w:t>
                          </w:r>
                          <w:r>
                            <w:rPr>
                              <w:color w:val="231F20"/>
                              <w:spacing w:val="9"/>
                              <w:sz w:val="16"/>
                            </w:rPr>
                            <w:t> </w:t>
                          </w:r>
                          <w:r>
                            <w:rPr>
                              <w:color w:val="231F20"/>
                              <w:spacing w:val="-2"/>
                              <w:sz w:val="16"/>
                            </w:rPr>
                            <w:t>monitoring</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65.417603pt;margin-top:744.189453pt;width:189.45pt;height:15.1pt;mso-position-horizontal-relative:page;mso-position-vertical-relative:page;z-index:-30161408" type="#_x0000_t202" id="docshape207" filled="false" stroked="false">
              <v:textbox inset="0,0,0,0">
                <w:txbxContent>
                  <w:p>
                    <w:pPr>
                      <w:tabs>
                        <w:tab w:pos="3378"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10.</w:t>
                    </w:r>
                    <w:r>
                      <w:rPr>
                        <w:color w:val="231F20"/>
                        <w:spacing w:val="9"/>
                        <w:sz w:val="16"/>
                      </w:rPr>
                      <w:t> </w:t>
                    </w:r>
                    <w:r>
                      <w:rPr>
                        <w:color w:val="231F20"/>
                        <w:sz w:val="16"/>
                      </w:rPr>
                      <w:t>Situations</w:t>
                    </w:r>
                    <w:r>
                      <w:rPr>
                        <w:color w:val="231F20"/>
                        <w:spacing w:val="9"/>
                        <w:sz w:val="16"/>
                      </w:rPr>
                      <w:t> </w:t>
                    </w:r>
                    <w:r>
                      <w:rPr>
                        <w:color w:val="231F20"/>
                        <w:sz w:val="16"/>
                      </w:rPr>
                      <w:t>for</w:t>
                    </w:r>
                    <w:r>
                      <w:rPr>
                        <w:color w:val="231F20"/>
                        <w:spacing w:val="8"/>
                        <w:sz w:val="16"/>
                      </w:rPr>
                      <w:t> </w:t>
                    </w:r>
                    <w:r>
                      <w:rPr>
                        <w:color w:val="231F20"/>
                        <w:sz w:val="16"/>
                      </w:rPr>
                      <w:t>event</w:t>
                    </w:r>
                    <w:r>
                      <w:rPr>
                        <w:color w:val="231F20"/>
                        <w:spacing w:val="9"/>
                        <w:sz w:val="16"/>
                      </w:rPr>
                      <w:t> </w:t>
                    </w:r>
                    <w:r>
                      <w:rPr>
                        <w:color w:val="231F20"/>
                        <w:spacing w:val="-2"/>
                        <w:sz w:val="16"/>
                      </w:rPr>
                      <w:t>monitoring</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251</w:t>
                    </w:r>
                    <w:r>
                      <w:rPr>
                        <w:rFonts w:ascii="Book Antiqua"/>
                        <w:b/>
                        <w:color w:val="231F20"/>
                        <w:spacing w:val="-5"/>
                        <w:sz w:val="22"/>
                      </w:rPr>
                      <w:fldChar w:fldCharType="end"/>
                    </w: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5584">
              <wp:simplePos x="0" y="0"/>
              <wp:positionH relativeFrom="page">
                <wp:posOffset>722219</wp:posOffset>
              </wp:positionH>
              <wp:positionV relativeFrom="page">
                <wp:posOffset>9451206</wp:posOffset>
              </wp:positionV>
              <wp:extent cx="3198495" cy="191770"/>
              <wp:effectExtent l="0" t="0" r="0" b="0"/>
              <wp:wrapNone/>
              <wp:docPr id="2197" name="Textbox 2197"/>
              <wp:cNvGraphicFramePr>
                <a:graphicFrameLocks/>
              </wp:cNvGraphicFramePr>
              <a:graphic>
                <a:graphicData uri="http://schemas.microsoft.com/office/word/2010/wordprocessingShape">
                  <wps:wsp>
                    <wps:cNvPr id="2197" name="Textbox 2197"/>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60896" type="#_x0000_t202" id="docshape20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252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6096">
              <wp:simplePos x="0" y="0"/>
              <wp:positionH relativeFrom="page">
                <wp:posOffset>6748081</wp:posOffset>
              </wp:positionH>
              <wp:positionV relativeFrom="page">
                <wp:posOffset>9451206</wp:posOffset>
              </wp:positionV>
              <wp:extent cx="298450" cy="191770"/>
              <wp:effectExtent l="0" t="0" r="0" b="0"/>
              <wp:wrapNone/>
              <wp:docPr id="2662" name="Textbox 2662"/>
              <wp:cNvGraphicFramePr>
                <a:graphicFrameLocks/>
              </wp:cNvGraphicFramePr>
              <a:graphic>
                <a:graphicData uri="http://schemas.microsoft.com/office/word/2010/wordprocessingShape">
                  <wps:wsp>
                    <wps:cNvPr id="2662" name="Textbox 2662"/>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60384" type="#_x0000_t202" id="docshape223"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56608">
              <wp:simplePos x="0" y="0"/>
              <wp:positionH relativeFrom="page">
                <wp:posOffset>899684</wp:posOffset>
              </wp:positionH>
              <wp:positionV relativeFrom="page">
                <wp:posOffset>9486027</wp:posOffset>
              </wp:positionV>
              <wp:extent cx="1609090" cy="148590"/>
              <wp:effectExtent l="0" t="0" r="0" b="0"/>
              <wp:wrapNone/>
              <wp:docPr id="2663" name="Textbox 2663"/>
              <wp:cNvGraphicFramePr>
                <a:graphicFrameLocks/>
              </wp:cNvGraphicFramePr>
              <a:graphic>
                <a:graphicData uri="http://schemas.microsoft.com/office/word/2010/wordprocessingShape">
                  <wps:wsp>
                    <wps:cNvPr id="2663" name="Textbox 266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59872" type="#_x0000_t202" id="docshape224"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7120">
              <wp:simplePos x="0" y="0"/>
              <wp:positionH relativeFrom="page">
                <wp:posOffset>722219</wp:posOffset>
              </wp:positionH>
              <wp:positionV relativeFrom="page">
                <wp:posOffset>9451206</wp:posOffset>
              </wp:positionV>
              <wp:extent cx="3198495" cy="191770"/>
              <wp:effectExtent l="0" t="0" r="0" b="0"/>
              <wp:wrapNone/>
              <wp:docPr id="2664" name="Textbox 2664"/>
              <wp:cNvGraphicFramePr>
                <a:graphicFrameLocks/>
              </wp:cNvGraphicFramePr>
              <a:graphic>
                <a:graphicData uri="http://schemas.microsoft.com/office/word/2010/wordprocessingShape">
                  <wps:wsp>
                    <wps:cNvPr id="2664" name="Textbox 266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9360" type="#_x0000_t202" id="docshape225"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7632">
              <wp:simplePos x="0" y="0"/>
              <wp:positionH relativeFrom="page">
                <wp:posOffset>4506380</wp:posOffset>
              </wp:positionH>
              <wp:positionV relativeFrom="page">
                <wp:posOffset>9451206</wp:posOffset>
              </wp:positionV>
              <wp:extent cx="2540000" cy="191770"/>
              <wp:effectExtent l="0" t="0" r="0" b="0"/>
              <wp:wrapNone/>
              <wp:docPr id="2681" name="Textbox 2681"/>
              <wp:cNvGraphicFramePr>
                <a:graphicFrameLocks/>
              </wp:cNvGraphicFramePr>
              <a:graphic>
                <a:graphicData uri="http://schemas.microsoft.com/office/word/2010/wordprocessingShape">
                  <wps:wsp>
                    <wps:cNvPr id="2681" name="Textbox 2681"/>
                    <wps:cNvSpPr txBox="1"/>
                    <wps:spPr>
                      <a:xfrm>
                        <a:off x="0" y="0"/>
                        <a:ext cx="2540000" cy="191770"/>
                      </a:xfrm>
                      <a:prstGeom prst="rect">
                        <a:avLst/>
                      </a:prstGeom>
                    </wps:spPr>
                    <wps:txbx>
                      <w:txbxContent>
                        <w:p>
                          <w:pPr>
                            <w:tabs>
                              <w:tab w:pos="3590" w:val="left" w:leader="none"/>
                            </w:tabs>
                            <w:spacing w:before="16"/>
                            <w:ind w:left="20" w:right="0" w:firstLine="0"/>
                            <w:jc w:val="left"/>
                            <w:rPr>
                              <w:rFonts w:ascii="Book Antiqua"/>
                              <w:b/>
                              <w:sz w:val="22"/>
                            </w:rPr>
                          </w:pPr>
                          <w:r>
                            <w:rPr>
                              <w:color w:val="231F20"/>
                              <w:sz w:val="16"/>
                            </w:rPr>
                            <w:t>Chapter</w:t>
                          </w:r>
                          <w:r>
                            <w:rPr>
                              <w:color w:val="231F20"/>
                              <w:spacing w:val="-7"/>
                              <w:sz w:val="16"/>
                            </w:rPr>
                            <w:t> </w:t>
                          </w:r>
                          <w:r>
                            <w:rPr>
                              <w:color w:val="231F20"/>
                              <w:sz w:val="16"/>
                            </w:rPr>
                            <w:t>11.</w:t>
                          </w:r>
                          <w:r>
                            <w:rPr>
                              <w:color w:val="231F20"/>
                              <w:spacing w:val="1"/>
                              <w:sz w:val="16"/>
                            </w:rPr>
                            <w:t> </w:t>
                          </w:r>
                          <w:r>
                            <w:rPr>
                              <w:color w:val="231F20"/>
                              <w:sz w:val="16"/>
                            </w:rPr>
                            <w:t>Automating</w:t>
                          </w:r>
                          <w:r>
                            <w:rPr>
                              <w:color w:val="231F20"/>
                              <w:spacing w:val="6"/>
                              <w:sz w:val="16"/>
                            </w:rPr>
                            <w:t> </w:t>
                          </w:r>
                          <w:r>
                            <w:rPr>
                              <w:color w:val="231F20"/>
                              <w:sz w:val="16"/>
                            </w:rPr>
                            <w:t>actions</w:t>
                          </w:r>
                          <w:r>
                            <w:rPr>
                              <w:color w:val="231F20"/>
                              <w:spacing w:val="6"/>
                              <w:sz w:val="16"/>
                            </w:rPr>
                            <w:t> </w:t>
                          </w:r>
                          <w:r>
                            <w:rPr>
                              <w:color w:val="231F20"/>
                              <w:sz w:val="16"/>
                            </w:rPr>
                            <w:t>and</w:t>
                          </w:r>
                          <w:r>
                            <w:rPr>
                              <w:color w:val="231F20"/>
                              <w:spacing w:val="5"/>
                              <w:sz w:val="16"/>
                            </w:rPr>
                            <w:t> </w:t>
                          </w:r>
                          <w:r>
                            <w:rPr>
                              <w:color w:val="231F20"/>
                              <w:spacing w:val="-2"/>
                              <w:sz w:val="16"/>
                            </w:rPr>
                            <w:t>responses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54.833099pt;margin-top:744.189453pt;width:200pt;height:15.1pt;mso-position-horizontal-relative:page;mso-position-vertical-relative:page;z-index:-30158848" type="#_x0000_t202" id="docshape228" filled="false" stroked="false">
              <v:textbox inset="0,0,0,0">
                <w:txbxContent>
                  <w:p>
                    <w:pPr>
                      <w:tabs>
                        <w:tab w:pos="3590" w:val="left" w:leader="none"/>
                      </w:tabs>
                      <w:spacing w:before="16"/>
                      <w:ind w:left="20" w:right="0" w:firstLine="0"/>
                      <w:jc w:val="left"/>
                      <w:rPr>
                        <w:rFonts w:ascii="Book Antiqua"/>
                        <w:b/>
                        <w:sz w:val="22"/>
                      </w:rPr>
                    </w:pPr>
                    <w:r>
                      <w:rPr>
                        <w:color w:val="231F20"/>
                        <w:sz w:val="16"/>
                      </w:rPr>
                      <w:t>Chapter</w:t>
                    </w:r>
                    <w:r>
                      <w:rPr>
                        <w:color w:val="231F20"/>
                        <w:spacing w:val="-7"/>
                        <w:sz w:val="16"/>
                      </w:rPr>
                      <w:t> </w:t>
                    </w:r>
                    <w:r>
                      <w:rPr>
                        <w:color w:val="231F20"/>
                        <w:sz w:val="16"/>
                      </w:rPr>
                      <w:t>11.</w:t>
                    </w:r>
                    <w:r>
                      <w:rPr>
                        <w:color w:val="231F20"/>
                        <w:spacing w:val="1"/>
                        <w:sz w:val="16"/>
                      </w:rPr>
                      <w:t> </w:t>
                    </w:r>
                    <w:r>
                      <w:rPr>
                        <w:color w:val="231F20"/>
                        <w:sz w:val="16"/>
                      </w:rPr>
                      <w:t>Automating</w:t>
                    </w:r>
                    <w:r>
                      <w:rPr>
                        <w:color w:val="231F20"/>
                        <w:spacing w:val="6"/>
                        <w:sz w:val="16"/>
                      </w:rPr>
                      <w:t> </w:t>
                    </w:r>
                    <w:r>
                      <w:rPr>
                        <w:color w:val="231F20"/>
                        <w:sz w:val="16"/>
                      </w:rPr>
                      <w:t>actions</w:t>
                    </w:r>
                    <w:r>
                      <w:rPr>
                        <w:color w:val="231F20"/>
                        <w:spacing w:val="6"/>
                        <w:sz w:val="16"/>
                      </w:rPr>
                      <w:t> </w:t>
                    </w:r>
                    <w:r>
                      <w:rPr>
                        <w:color w:val="231F20"/>
                        <w:sz w:val="16"/>
                      </w:rPr>
                      <w:t>and</w:t>
                    </w:r>
                    <w:r>
                      <w:rPr>
                        <w:color w:val="231F20"/>
                        <w:spacing w:val="5"/>
                        <w:sz w:val="16"/>
                      </w:rPr>
                      <w:t> </w:t>
                    </w:r>
                    <w:r>
                      <w:rPr>
                        <w:color w:val="231F20"/>
                        <w:spacing w:val="-2"/>
                        <w:sz w:val="16"/>
                      </w:rPr>
                      <w:t>responses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325</w:t>
                    </w:r>
                    <w:r>
                      <w:rPr>
                        <w:rFonts w:ascii="Book Antiqua"/>
                        <w:b/>
                        <w:color w:val="231F20"/>
                        <w:spacing w:val="-5"/>
                        <w:sz w:val="22"/>
                      </w:rPr>
                      <w:fldChar w:fldCharType="end"/>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8144">
              <wp:simplePos x="0" y="0"/>
              <wp:positionH relativeFrom="page">
                <wp:posOffset>722219</wp:posOffset>
              </wp:positionH>
              <wp:positionV relativeFrom="page">
                <wp:posOffset>9451206</wp:posOffset>
              </wp:positionV>
              <wp:extent cx="3198495" cy="191770"/>
              <wp:effectExtent l="0" t="0" r="0" b="0"/>
              <wp:wrapNone/>
              <wp:docPr id="2682" name="Textbox 2682"/>
              <wp:cNvGraphicFramePr>
                <a:graphicFrameLocks/>
              </wp:cNvGraphicFramePr>
              <a:graphic>
                <a:graphicData uri="http://schemas.microsoft.com/office/word/2010/wordprocessingShape">
                  <wps:wsp>
                    <wps:cNvPr id="2682" name="Textbox 2682"/>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8336" type="#_x0000_t202" id="docshape229"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326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8656">
              <wp:simplePos x="0" y="0"/>
              <wp:positionH relativeFrom="page">
                <wp:posOffset>6748081</wp:posOffset>
              </wp:positionH>
              <wp:positionV relativeFrom="page">
                <wp:posOffset>9451206</wp:posOffset>
              </wp:positionV>
              <wp:extent cx="298450" cy="191770"/>
              <wp:effectExtent l="0" t="0" r="0" b="0"/>
              <wp:wrapNone/>
              <wp:docPr id="2853" name="Textbox 2853"/>
              <wp:cNvGraphicFramePr>
                <a:graphicFrameLocks/>
              </wp:cNvGraphicFramePr>
              <a:graphic>
                <a:graphicData uri="http://schemas.microsoft.com/office/word/2010/wordprocessingShape">
                  <wps:wsp>
                    <wps:cNvPr id="2853" name="Textbox 2853"/>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57824" type="#_x0000_t202" id="docshape232"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59168">
              <wp:simplePos x="0" y="0"/>
              <wp:positionH relativeFrom="page">
                <wp:posOffset>899684</wp:posOffset>
              </wp:positionH>
              <wp:positionV relativeFrom="page">
                <wp:posOffset>9486027</wp:posOffset>
              </wp:positionV>
              <wp:extent cx="1609090" cy="148590"/>
              <wp:effectExtent l="0" t="0" r="0" b="0"/>
              <wp:wrapNone/>
              <wp:docPr id="2854" name="Textbox 2854"/>
              <wp:cNvGraphicFramePr>
                <a:graphicFrameLocks/>
              </wp:cNvGraphicFramePr>
              <a:graphic>
                <a:graphicData uri="http://schemas.microsoft.com/office/word/2010/wordprocessingShape">
                  <wps:wsp>
                    <wps:cNvPr id="2854" name="Textbox 2854"/>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57312" type="#_x0000_t202" id="docshape233"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59680">
              <wp:simplePos x="0" y="0"/>
              <wp:positionH relativeFrom="page">
                <wp:posOffset>722219</wp:posOffset>
              </wp:positionH>
              <wp:positionV relativeFrom="page">
                <wp:posOffset>9451206</wp:posOffset>
              </wp:positionV>
              <wp:extent cx="3198495" cy="191770"/>
              <wp:effectExtent l="0" t="0" r="0" b="0"/>
              <wp:wrapNone/>
              <wp:docPr id="2855" name="Textbox 2855"/>
              <wp:cNvGraphicFramePr>
                <a:graphicFrameLocks/>
              </wp:cNvGraphicFramePr>
              <a:graphic>
                <a:graphicData uri="http://schemas.microsoft.com/office/word/2010/wordprocessingShape">
                  <wps:wsp>
                    <wps:cNvPr id="2855" name="Textbox 2855"/>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6800" type="#_x0000_t202" id="docshape234"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6400">
              <wp:simplePos x="0" y="0"/>
              <wp:positionH relativeFrom="page">
                <wp:posOffset>722219</wp:posOffset>
              </wp:positionH>
              <wp:positionV relativeFrom="page">
                <wp:posOffset>9451206</wp:posOffset>
              </wp:positionV>
              <wp:extent cx="3113405" cy="19177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113405" cy="191770"/>
                      </a:xfrm>
                      <a:prstGeom prst="rect">
                        <a:avLst/>
                      </a:prstGeom>
                    </wps:spPr>
                    <wps:txbx>
                      <w:txbxContent>
                        <w:p>
                          <w:pPr>
                            <w:tabs>
                              <w:tab w:pos="494"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 roman </w:instrText>
                          </w:r>
                          <w:r>
                            <w:rPr>
                              <w:rFonts w:ascii="Book Antiqua"/>
                              <w:b/>
                              <w:color w:val="231F20"/>
                              <w:spacing w:val="-5"/>
                              <w:sz w:val="22"/>
                            </w:rPr>
                            <w:fldChar w:fldCharType="separate"/>
                          </w:r>
                          <w:r>
                            <w:rPr>
                              <w:rFonts w:ascii="Book Antiqua"/>
                              <w:b/>
                              <w:color w:val="231F20"/>
                              <w:spacing w:val="-5"/>
                              <w:sz w:val="22"/>
                            </w:rPr>
                            <w:t>iv</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45.15pt;height:15.1pt;mso-position-horizontal-relative:page;mso-position-vertical-relative:page;z-index:-30190080" type="#_x0000_t202" id="docshape5" filled="false" stroked="false">
              <v:textbox inset="0,0,0,0">
                <w:txbxContent>
                  <w:p>
                    <w:pPr>
                      <w:tabs>
                        <w:tab w:pos="494"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 roman </w:instrText>
                    </w:r>
                    <w:r>
                      <w:rPr>
                        <w:rFonts w:ascii="Book Antiqua"/>
                        <w:b/>
                        <w:color w:val="231F20"/>
                        <w:spacing w:val="-5"/>
                        <w:sz w:val="22"/>
                      </w:rPr>
                      <w:fldChar w:fldCharType="separate"/>
                    </w:r>
                    <w:r>
                      <w:rPr>
                        <w:rFonts w:ascii="Book Antiqua"/>
                        <w:b/>
                        <w:color w:val="231F20"/>
                        <w:spacing w:val="-5"/>
                        <w:sz w:val="22"/>
                      </w:rPr>
                      <w:t>iv</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0192">
              <wp:simplePos x="0" y="0"/>
              <wp:positionH relativeFrom="page">
                <wp:posOffset>3844555</wp:posOffset>
              </wp:positionH>
              <wp:positionV relativeFrom="page">
                <wp:posOffset>9451206</wp:posOffset>
              </wp:positionV>
              <wp:extent cx="3202305" cy="191770"/>
              <wp:effectExtent l="0" t="0" r="0" b="0"/>
              <wp:wrapNone/>
              <wp:docPr id="2867" name="Textbox 2867"/>
              <wp:cNvGraphicFramePr>
                <a:graphicFrameLocks/>
              </wp:cNvGraphicFramePr>
              <a:graphic>
                <a:graphicData uri="http://schemas.microsoft.com/office/word/2010/wordprocessingShape">
                  <wps:wsp>
                    <wps:cNvPr id="2867" name="Textbox 2867"/>
                    <wps:cNvSpPr txBox="1"/>
                    <wps:spPr>
                      <a:xfrm>
                        <a:off x="0" y="0"/>
                        <a:ext cx="3202305" cy="191770"/>
                      </a:xfrm>
                      <a:prstGeom prst="rect">
                        <a:avLst/>
                      </a:prstGeom>
                    </wps:spPr>
                    <wps:txbx>
                      <w:txbxContent>
                        <w:p>
                          <w:pPr>
                            <w:tabs>
                              <w:tab w:pos="4633"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12.</w:t>
                          </w:r>
                          <w:r>
                            <w:rPr>
                              <w:color w:val="231F20"/>
                              <w:spacing w:val="7"/>
                              <w:sz w:val="16"/>
                            </w:rPr>
                            <w:t> </w:t>
                          </w:r>
                          <w:r>
                            <w:rPr>
                              <w:color w:val="231F20"/>
                              <w:sz w:val="16"/>
                            </w:rPr>
                            <w:t>Using</w:t>
                          </w:r>
                          <w:r>
                            <w:rPr>
                              <w:color w:val="231F20"/>
                              <w:spacing w:val="7"/>
                              <w:sz w:val="16"/>
                            </w:rPr>
                            <w:t> </w:t>
                          </w:r>
                          <w:r>
                            <w:rPr>
                              <w:color w:val="231F20"/>
                              <w:sz w:val="16"/>
                            </w:rPr>
                            <w:t>Tivoli</w:t>
                          </w:r>
                          <w:r>
                            <w:rPr>
                              <w:color w:val="231F20"/>
                              <w:spacing w:val="7"/>
                              <w:sz w:val="16"/>
                            </w:rPr>
                            <w:t> </w:t>
                          </w:r>
                          <w:r>
                            <w:rPr>
                              <w:color w:val="231F20"/>
                              <w:sz w:val="16"/>
                            </w:rPr>
                            <w:t>Enterprise</w:t>
                          </w:r>
                          <w:r>
                            <w:rPr>
                              <w:color w:val="231F20"/>
                              <w:spacing w:val="8"/>
                              <w:sz w:val="16"/>
                            </w:rPr>
                            <w:t> </w:t>
                          </w:r>
                          <w:r>
                            <w:rPr>
                              <w:color w:val="231F20"/>
                              <w:sz w:val="16"/>
                            </w:rPr>
                            <w:t>Portal</w:t>
                          </w:r>
                          <w:r>
                            <w:rPr>
                              <w:color w:val="231F20"/>
                              <w:spacing w:val="7"/>
                              <w:sz w:val="16"/>
                            </w:rPr>
                            <w:t> </w:t>
                          </w:r>
                          <w:r>
                            <w:rPr>
                              <w:color w:val="231F20"/>
                              <w:sz w:val="16"/>
                            </w:rPr>
                            <w:t>user</w:t>
                          </w:r>
                          <w:r>
                            <w:rPr>
                              <w:color w:val="231F20"/>
                              <w:spacing w:val="7"/>
                              <w:sz w:val="16"/>
                            </w:rPr>
                            <w:t> </w:t>
                          </w:r>
                          <w:r>
                            <w:rPr>
                              <w:color w:val="231F20"/>
                              <w:spacing w:val="-2"/>
                              <w:sz w:val="16"/>
                            </w:rPr>
                            <w:t>authorization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02.720886pt;margin-top:744.189453pt;width:252.15pt;height:15.1pt;mso-position-horizontal-relative:page;mso-position-vertical-relative:page;z-index:-30156288" type="#_x0000_t202" id="docshape237" filled="false" stroked="false">
              <v:textbox inset="0,0,0,0">
                <w:txbxContent>
                  <w:p>
                    <w:pPr>
                      <w:tabs>
                        <w:tab w:pos="4633" w:val="left" w:leader="none"/>
                      </w:tabs>
                      <w:spacing w:before="16"/>
                      <w:ind w:left="20" w:right="0" w:firstLine="0"/>
                      <w:jc w:val="left"/>
                      <w:rPr>
                        <w:rFonts w:ascii="Book Antiqua"/>
                        <w:b/>
                        <w:sz w:val="22"/>
                      </w:rPr>
                    </w:pPr>
                    <w:r>
                      <w:rPr>
                        <w:color w:val="231F20"/>
                        <w:sz w:val="16"/>
                      </w:rPr>
                      <w:t>Chapter</w:t>
                    </w:r>
                    <w:r>
                      <w:rPr>
                        <w:color w:val="231F20"/>
                        <w:spacing w:val="-6"/>
                        <w:sz w:val="16"/>
                      </w:rPr>
                      <w:t> </w:t>
                    </w:r>
                    <w:r>
                      <w:rPr>
                        <w:color w:val="231F20"/>
                        <w:sz w:val="16"/>
                      </w:rPr>
                      <w:t>12.</w:t>
                    </w:r>
                    <w:r>
                      <w:rPr>
                        <w:color w:val="231F20"/>
                        <w:spacing w:val="7"/>
                        <w:sz w:val="16"/>
                      </w:rPr>
                      <w:t> </w:t>
                    </w:r>
                    <w:r>
                      <w:rPr>
                        <w:color w:val="231F20"/>
                        <w:sz w:val="16"/>
                      </w:rPr>
                      <w:t>Using</w:t>
                    </w:r>
                    <w:r>
                      <w:rPr>
                        <w:color w:val="231F20"/>
                        <w:spacing w:val="7"/>
                        <w:sz w:val="16"/>
                      </w:rPr>
                      <w:t> </w:t>
                    </w:r>
                    <w:r>
                      <w:rPr>
                        <w:color w:val="231F20"/>
                        <w:sz w:val="16"/>
                      </w:rPr>
                      <w:t>Tivoli</w:t>
                    </w:r>
                    <w:r>
                      <w:rPr>
                        <w:color w:val="231F20"/>
                        <w:spacing w:val="7"/>
                        <w:sz w:val="16"/>
                      </w:rPr>
                      <w:t> </w:t>
                    </w:r>
                    <w:r>
                      <w:rPr>
                        <w:color w:val="231F20"/>
                        <w:sz w:val="16"/>
                      </w:rPr>
                      <w:t>Enterprise</w:t>
                    </w:r>
                    <w:r>
                      <w:rPr>
                        <w:color w:val="231F20"/>
                        <w:spacing w:val="8"/>
                        <w:sz w:val="16"/>
                      </w:rPr>
                      <w:t> </w:t>
                    </w:r>
                    <w:r>
                      <w:rPr>
                        <w:color w:val="231F20"/>
                        <w:sz w:val="16"/>
                      </w:rPr>
                      <w:t>Portal</w:t>
                    </w:r>
                    <w:r>
                      <w:rPr>
                        <w:color w:val="231F20"/>
                        <w:spacing w:val="7"/>
                        <w:sz w:val="16"/>
                      </w:rPr>
                      <w:t> </w:t>
                    </w:r>
                    <w:r>
                      <w:rPr>
                        <w:color w:val="231F20"/>
                        <w:sz w:val="16"/>
                      </w:rPr>
                      <w:t>user</w:t>
                    </w:r>
                    <w:r>
                      <w:rPr>
                        <w:color w:val="231F20"/>
                        <w:spacing w:val="7"/>
                        <w:sz w:val="16"/>
                      </w:rPr>
                      <w:t> </w:t>
                    </w:r>
                    <w:r>
                      <w:rPr>
                        <w:color w:val="231F20"/>
                        <w:spacing w:val="-2"/>
                        <w:sz w:val="16"/>
                      </w:rPr>
                      <w:t>authorization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365</w:t>
                    </w:r>
                    <w:r>
                      <w:rPr>
                        <w:rFonts w:ascii="Book Antiqua"/>
                        <w:b/>
                        <w:color w:val="231F20"/>
                        <w:spacing w:val="-5"/>
                        <w:sz w:val="22"/>
                      </w:rPr>
                      <w:fldChar w:fldCharType="end"/>
                    </w: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0704">
              <wp:simplePos x="0" y="0"/>
              <wp:positionH relativeFrom="page">
                <wp:posOffset>722219</wp:posOffset>
              </wp:positionH>
              <wp:positionV relativeFrom="page">
                <wp:posOffset>9451206</wp:posOffset>
              </wp:positionV>
              <wp:extent cx="3198495" cy="191770"/>
              <wp:effectExtent l="0" t="0" r="0" b="0"/>
              <wp:wrapNone/>
              <wp:docPr id="2868" name="Textbox 2868"/>
              <wp:cNvGraphicFramePr>
                <a:graphicFrameLocks/>
              </wp:cNvGraphicFramePr>
              <a:graphic>
                <a:graphicData uri="http://schemas.microsoft.com/office/word/2010/wordprocessingShape">
                  <wps:wsp>
                    <wps:cNvPr id="2868" name="Textbox 2868"/>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5776" type="#_x0000_t202" id="docshape23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1216">
              <wp:simplePos x="0" y="0"/>
              <wp:positionH relativeFrom="page">
                <wp:posOffset>6748081</wp:posOffset>
              </wp:positionH>
              <wp:positionV relativeFrom="page">
                <wp:posOffset>9451206</wp:posOffset>
              </wp:positionV>
              <wp:extent cx="298450" cy="191770"/>
              <wp:effectExtent l="0" t="0" r="0" b="0"/>
              <wp:wrapNone/>
              <wp:docPr id="3013" name="Textbox 3013"/>
              <wp:cNvGraphicFramePr>
                <a:graphicFrameLocks/>
              </wp:cNvGraphicFramePr>
              <a:graphic>
                <a:graphicData uri="http://schemas.microsoft.com/office/word/2010/wordprocessingShape">
                  <wps:wsp>
                    <wps:cNvPr id="3013" name="Textbox 3013"/>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55264" type="#_x0000_t202" id="docshape243"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381</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61728">
              <wp:simplePos x="0" y="0"/>
              <wp:positionH relativeFrom="page">
                <wp:posOffset>899684</wp:posOffset>
              </wp:positionH>
              <wp:positionV relativeFrom="page">
                <wp:posOffset>9486027</wp:posOffset>
              </wp:positionV>
              <wp:extent cx="1609090" cy="148590"/>
              <wp:effectExtent l="0" t="0" r="0" b="0"/>
              <wp:wrapNone/>
              <wp:docPr id="3014" name="Textbox 3014"/>
              <wp:cNvGraphicFramePr>
                <a:graphicFrameLocks/>
              </wp:cNvGraphicFramePr>
              <a:graphic>
                <a:graphicData uri="http://schemas.microsoft.com/office/word/2010/wordprocessingShape">
                  <wps:wsp>
                    <wps:cNvPr id="3014" name="Textbox 3014"/>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54752" type="#_x0000_t202" id="docshape244"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2240">
              <wp:simplePos x="0" y="0"/>
              <wp:positionH relativeFrom="page">
                <wp:posOffset>722219</wp:posOffset>
              </wp:positionH>
              <wp:positionV relativeFrom="page">
                <wp:posOffset>9451206</wp:posOffset>
              </wp:positionV>
              <wp:extent cx="3198495" cy="191770"/>
              <wp:effectExtent l="0" t="0" r="0" b="0"/>
              <wp:wrapNone/>
              <wp:docPr id="3015" name="Textbox 3015"/>
              <wp:cNvGraphicFramePr>
                <a:graphicFrameLocks/>
              </wp:cNvGraphicFramePr>
              <a:graphic>
                <a:graphicData uri="http://schemas.microsoft.com/office/word/2010/wordprocessingShape">
                  <wps:wsp>
                    <wps:cNvPr id="3015" name="Textbox 3015"/>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4240" type="#_x0000_t202" id="docshape245"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2752">
              <wp:simplePos x="0" y="0"/>
              <wp:positionH relativeFrom="page">
                <wp:posOffset>4828940</wp:posOffset>
              </wp:positionH>
              <wp:positionV relativeFrom="page">
                <wp:posOffset>9451206</wp:posOffset>
              </wp:positionV>
              <wp:extent cx="2217420" cy="191770"/>
              <wp:effectExtent l="0" t="0" r="0" b="0"/>
              <wp:wrapNone/>
              <wp:docPr id="3031" name="Textbox 3031"/>
              <wp:cNvGraphicFramePr>
                <a:graphicFrameLocks/>
              </wp:cNvGraphicFramePr>
              <a:graphic>
                <a:graphicData uri="http://schemas.microsoft.com/office/word/2010/wordprocessingShape">
                  <wps:wsp>
                    <wps:cNvPr id="3031" name="Textbox 3031"/>
                    <wps:cNvSpPr txBox="1"/>
                    <wps:spPr>
                      <a:xfrm>
                        <a:off x="0" y="0"/>
                        <a:ext cx="2217420" cy="191770"/>
                      </a:xfrm>
                      <a:prstGeom prst="rect">
                        <a:avLst/>
                      </a:prstGeom>
                    </wps:spPr>
                    <wps:txbx>
                      <w:txbxContent>
                        <w:p>
                          <w:pPr>
                            <w:tabs>
                              <w:tab w:pos="3082"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13.</w:t>
                          </w:r>
                          <w:r>
                            <w:rPr>
                              <w:color w:val="231F20"/>
                              <w:spacing w:val="9"/>
                              <w:sz w:val="16"/>
                            </w:rPr>
                            <w:t> </w:t>
                          </w:r>
                          <w:r>
                            <w:rPr>
                              <w:color w:val="231F20"/>
                              <w:sz w:val="16"/>
                            </w:rPr>
                            <w:t>Managing</w:t>
                          </w:r>
                          <w:r>
                            <w:rPr>
                              <w:color w:val="231F20"/>
                              <w:spacing w:val="8"/>
                              <w:sz w:val="16"/>
                            </w:rPr>
                            <w:t> </w:t>
                          </w:r>
                          <w:r>
                            <w:rPr>
                              <w:color w:val="231F20"/>
                              <w:sz w:val="16"/>
                            </w:rPr>
                            <w:t>the</w:t>
                          </w:r>
                          <w:r>
                            <w:rPr>
                              <w:color w:val="231F20"/>
                              <w:spacing w:val="8"/>
                              <w:sz w:val="16"/>
                            </w:rPr>
                            <w:t> </w:t>
                          </w:r>
                          <w:r>
                            <w:rPr>
                              <w:color w:val="231F20"/>
                              <w:spacing w:val="-2"/>
                              <w:sz w:val="16"/>
                            </w:rPr>
                            <w:t>environment</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380.231506pt;margin-top:744.189453pt;width:174.6pt;height:15.1pt;mso-position-horizontal-relative:page;mso-position-vertical-relative:page;z-index:-30153728" type="#_x0000_t202" id="docshape248" filled="false" stroked="false">
              <v:textbox inset="0,0,0,0">
                <w:txbxContent>
                  <w:p>
                    <w:pPr>
                      <w:tabs>
                        <w:tab w:pos="3082" w:val="left" w:leader="none"/>
                      </w:tabs>
                      <w:spacing w:before="16"/>
                      <w:ind w:left="20" w:right="0" w:firstLine="0"/>
                      <w:jc w:val="left"/>
                      <w:rPr>
                        <w:rFonts w:ascii="Book Antiqua"/>
                        <w:b/>
                        <w:sz w:val="22"/>
                      </w:rPr>
                    </w:pPr>
                    <w:r>
                      <w:rPr>
                        <w:color w:val="231F20"/>
                        <w:sz w:val="16"/>
                      </w:rPr>
                      <w:t>Chapter</w:t>
                    </w:r>
                    <w:r>
                      <w:rPr>
                        <w:color w:val="231F20"/>
                        <w:spacing w:val="-5"/>
                        <w:sz w:val="16"/>
                      </w:rPr>
                      <w:t> </w:t>
                    </w:r>
                    <w:r>
                      <w:rPr>
                        <w:color w:val="231F20"/>
                        <w:sz w:val="16"/>
                      </w:rPr>
                      <w:t>13.</w:t>
                    </w:r>
                    <w:r>
                      <w:rPr>
                        <w:color w:val="231F20"/>
                        <w:spacing w:val="9"/>
                        <w:sz w:val="16"/>
                      </w:rPr>
                      <w:t> </w:t>
                    </w:r>
                    <w:r>
                      <w:rPr>
                        <w:color w:val="231F20"/>
                        <w:sz w:val="16"/>
                      </w:rPr>
                      <w:t>Managing</w:t>
                    </w:r>
                    <w:r>
                      <w:rPr>
                        <w:color w:val="231F20"/>
                        <w:spacing w:val="8"/>
                        <w:sz w:val="16"/>
                      </w:rPr>
                      <w:t> </w:t>
                    </w:r>
                    <w:r>
                      <w:rPr>
                        <w:color w:val="231F20"/>
                        <w:sz w:val="16"/>
                      </w:rPr>
                      <w:t>the</w:t>
                    </w:r>
                    <w:r>
                      <w:rPr>
                        <w:color w:val="231F20"/>
                        <w:spacing w:val="8"/>
                        <w:sz w:val="16"/>
                      </w:rPr>
                      <w:t> </w:t>
                    </w:r>
                    <w:r>
                      <w:rPr>
                        <w:color w:val="231F20"/>
                        <w:spacing w:val="-2"/>
                        <w:sz w:val="16"/>
                      </w:rPr>
                      <w:t>environment</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383</w:t>
                    </w:r>
                    <w:r>
                      <w:rPr>
                        <w:rFonts w:ascii="Book Antiqua"/>
                        <w:b/>
                        <w:color w:val="231F20"/>
                        <w:spacing w:val="-5"/>
                        <w:sz w:val="22"/>
                      </w:rPr>
                      <w:fldChar w:fldCharType="end"/>
                    </w: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3264">
              <wp:simplePos x="0" y="0"/>
              <wp:positionH relativeFrom="page">
                <wp:posOffset>722219</wp:posOffset>
              </wp:positionH>
              <wp:positionV relativeFrom="page">
                <wp:posOffset>9451206</wp:posOffset>
              </wp:positionV>
              <wp:extent cx="3198495" cy="191770"/>
              <wp:effectExtent l="0" t="0" r="0" b="0"/>
              <wp:wrapNone/>
              <wp:docPr id="3032" name="Textbox 3032"/>
              <wp:cNvGraphicFramePr>
                <a:graphicFrameLocks/>
              </wp:cNvGraphicFramePr>
              <a:graphic>
                <a:graphicData uri="http://schemas.microsoft.com/office/word/2010/wordprocessingShape">
                  <wps:wsp>
                    <wps:cNvPr id="3032" name="Textbox 3032"/>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3216" type="#_x0000_t202" id="docshape249"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384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3776">
              <wp:simplePos x="0" y="0"/>
              <wp:positionH relativeFrom="page">
                <wp:posOffset>6778630</wp:posOffset>
              </wp:positionH>
              <wp:positionV relativeFrom="page">
                <wp:posOffset>9451206</wp:posOffset>
              </wp:positionV>
              <wp:extent cx="229870" cy="191770"/>
              <wp:effectExtent l="0" t="0" r="0" b="0"/>
              <wp:wrapNone/>
              <wp:docPr id="3203" name="Textbox 3203"/>
              <wp:cNvGraphicFramePr>
                <a:graphicFrameLocks/>
              </wp:cNvGraphicFramePr>
              <a:graphic>
                <a:graphicData uri="http://schemas.microsoft.com/office/word/2010/wordprocessingShape">
                  <wps:wsp>
                    <wps:cNvPr id="3203" name="Textbox 3203"/>
                    <wps:cNvSpPr txBox="1"/>
                    <wps:spPr>
                      <a:xfrm>
                        <a:off x="0" y="0"/>
                        <a:ext cx="229870" cy="191770"/>
                      </a:xfrm>
                      <a:prstGeom prst="rect">
                        <a:avLst/>
                      </a:prstGeom>
                    </wps:spPr>
                    <wps:txbx>
                      <w:txbxContent>
                        <w:p>
                          <w:pPr>
                            <w:spacing w:before="16"/>
                            <w:ind w:left="20" w:right="0" w:firstLine="0"/>
                            <w:jc w:val="left"/>
                            <w:rPr>
                              <w:rFonts w:ascii="Book Antiqua"/>
                              <w:b/>
                              <w:sz w:val="22"/>
                            </w:rPr>
                          </w:pPr>
                          <w:r>
                            <w:rPr>
                              <w:rFonts w:ascii="Book Antiqua"/>
                              <w:b/>
                              <w:color w:val="231F20"/>
                              <w:spacing w:val="-5"/>
                              <w:sz w:val="22"/>
                            </w:rPr>
                            <w:t>411</w:t>
                          </w:r>
                        </w:p>
                      </w:txbxContent>
                    </wps:txbx>
                    <wps:bodyPr wrap="square" lIns="0" tIns="0" rIns="0" bIns="0" rtlCol="0">
                      <a:noAutofit/>
                    </wps:bodyPr>
                  </wps:wsp>
                </a:graphicData>
              </a:graphic>
            </wp:anchor>
          </w:drawing>
        </mc:Choice>
        <mc:Fallback>
          <w:pict>
            <v:shape style="position:absolute;margin-left:533.750427pt;margin-top:744.189453pt;width:18.1pt;height:15.1pt;mso-position-horizontal-relative:page;mso-position-vertical-relative:page;z-index:-30152704" type="#_x0000_t202" id="docshape256" filled="false" stroked="false">
              <v:textbox inset="0,0,0,0">
                <w:txbxContent>
                  <w:p>
                    <w:pPr>
                      <w:spacing w:before="16"/>
                      <w:ind w:left="20" w:right="0" w:firstLine="0"/>
                      <w:jc w:val="left"/>
                      <w:rPr>
                        <w:rFonts w:ascii="Book Antiqua"/>
                        <w:b/>
                        <w:sz w:val="22"/>
                      </w:rPr>
                    </w:pPr>
                    <w:r>
                      <w:rPr>
                        <w:rFonts w:ascii="Book Antiqua"/>
                        <w:b/>
                        <w:color w:val="231F20"/>
                        <w:spacing w:val="-5"/>
                        <w:sz w:val="22"/>
                      </w:rPr>
                      <w:t>411</w:t>
                    </w:r>
                  </w:p>
                </w:txbxContent>
              </v:textbox>
              <w10:wrap type="none"/>
            </v:shape>
          </w:pict>
        </mc:Fallback>
      </mc:AlternateContent>
    </w:r>
    <w:r>
      <w:rPr/>
      <mc:AlternateContent>
        <mc:Choice Requires="wps">
          <w:drawing>
            <wp:anchor distT="0" distB="0" distL="0" distR="0" allowOverlap="1" layoutInCell="1" locked="0" behindDoc="1" simplePos="0" relativeHeight="473164288">
              <wp:simplePos x="0" y="0"/>
              <wp:positionH relativeFrom="page">
                <wp:posOffset>899684</wp:posOffset>
              </wp:positionH>
              <wp:positionV relativeFrom="page">
                <wp:posOffset>9486027</wp:posOffset>
              </wp:positionV>
              <wp:extent cx="1609090" cy="148590"/>
              <wp:effectExtent l="0" t="0" r="0" b="0"/>
              <wp:wrapNone/>
              <wp:docPr id="3204" name="Textbox 3204"/>
              <wp:cNvGraphicFramePr>
                <a:graphicFrameLocks/>
              </wp:cNvGraphicFramePr>
              <a:graphic>
                <a:graphicData uri="http://schemas.microsoft.com/office/word/2010/wordprocessingShape">
                  <wps:wsp>
                    <wps:cNvPr id="3204" name="Textbox 3204"/>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52192" type="#_x0000_t202" id="docshape257"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4800">
              <wp:simplePos x="0" y="0"/>
              <wp:positionH relativeFrom="page">
                <wp:posOffset>722219</wp:posOffset>
              </wp:positionH>
              <wp:positionV relativeFrom="page">
                <wp:posOffset>9451206</wp:posOffset>
              </wp:positionV>
              <wp:extent cx="3198495" cy="191770"/>
              <wp:effectExtent l="0" t="0" r="0" b="0"/>
              <wp:wrapNone/>
              <wp:docPr id="3205" name="Textbox 3205"/>
              <wp:cNvGraphicFramePr>
                <a:graphicFrameLocks/>
              </wp:cNvGraphicFramePr>
              <a:graphic>
                <a:graphicData uri="http://schemas.microsoft.com/office/word/2010/wordprocessingShape">
                  <wps:wsp>
                    <wps:cNvPr id="3205" name="Textbox 3205"/>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1680" type="#_x0000_t202" id="docshape25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5312">
              <wp:simplePos x="0" y="0"/>
              <wp:positionH relativeFrom="page">
                <wp:posOffset>5170939</wp:posOffset>
              </wp:positionH>
              <wp:positionV relativeFrom="page">
                <wp:posOffset>9451206</wp:posOffset>
              </wp:positionV>
              <wp:extent cx="1875155" cy="191770"/>
              <wp:effectExtent l="0" t="0" r="0" b="0"/>
              <wp:wrapNone/>
              <wp:docPr id="3295" name="Textbox 3295"/>
              <wp:cNvGraphicFramePr>
                <a:graphicFrameLocks/>
              </wp:cNvGraphicFramePr>
              <a:graphic>
                <a:graphicData uri="http://schemas.microsoft.com/office/word/2010/wordprocessingShape">
                  <wps:wsp>
                    <wps:cNvPr id="3295" name="Textbox 3295"/>
                    <wps:cNvSpPr txBox="1"/>
                    <wps:spPr>
                      <a:xfrm>
                        <a:off x="0" y="0"/>
                        <a:ext cx="1875155" cy="191770"/>
                      </a:xfrm>
                      <a:prstGeom prst="rect">
                        <a:avLst/>
                      </a:prstGeom>
                    </wps:spPr>
                    <wps:txbx>
                      <w:txbxContent>
                        <w:p>
                          <w:pPr>
                            <w:tabs>
                              <w:tab w:pos="2543" w:val="left" w:leader="none"/>
                            </w:tabs>
                            <w:spacing w:before="16"/>
                            <w:ind w:left="20" w:right="0" w:firstLine="0"/>
                            <w:jc w:val="left"/>
                            <w:rPr>
                              <w:rFonts w:ascii="Book Antiqua"/>
                              <w:b/>
                              <w:sz w:val="22"/>
                            </w:rPr>
                          </w:pPr>
                          <w:r>
                            <w:rPr>
                              <w:color w:val="231F20"/>
                              <w:sz w:val="16"/>
                            </w:rPr>
                            <w:t>Appendix</w:t>
                          </w:r>
                          <w:r>
                            <w:rPr>
                              <w:color w:val="231F20"/>
                              <w:spacing w:val="-5"/>
                              <w:sz w:val="16"/>
                            </w:rPr>
                            <w:t> </w:t>
                          </w:r>
                          <w:r>
                            <w:rPr>
                              <w:color w:val="231F20"/>
                              <w:sz w:val="16"/>
                            </w:rPr>
                            <w:t>A.</w:t>
                          </w:r>
                          <w:r>
                            <w:rPr>
                              <w:color w:val="231F20"/>
                              <w:spacing w:val="7"/>
                              <w:sz w:val="16"/>
                            </w:rPr>
                            <w:t> </w:t>
                          </w:r>
                          <w:r>
                            <w:rPr>
                              <w:color w:val="231F20"/>
                              <w:sz w:val="16"/>
                            </w:rPr>
                            <w:t>Formula</w:t>
                          </w:r>
                          <w:r>
                            <w:rPr>
                              <w:color w:val="231F20"/>
                              <w:spacing w:val="8"/>
                              <w:sz w:val="16"/>
                            </w:rPr>
                            <w:t> </w:t>
                          </w:r>
                          <w:r>
                            <w:rPr>
                              <w:color w:val="231F20"/>
                              <w:spacing w:val="-2"/>
                              <w:sz w:val="16"/>
                            </w:rPr>
                            <w:t>functions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07.160614pt;margin-top:744.189453pt;width:147.65pt;height:15.1pt;mso-position-horizontal-relative:page;mso-position-vertical-relative:page;z-index:-30151168" type="#_x0000_t202" id="docshape268" filled="false" stroked="false">
              <v:textbox inset="0,0,0,0">
                <w:txbxContent>
                  <w:p>
                    <w:pPr>
                      <w:tabs>
                        <w:tab w:pos="2543" w:val="left" w:leader="none"/>
                      </w:tabs>
                      <w:spacing w:before="16"/>
                      <w:ind w:left="20" w:right="0" w:firstLine="0"/>
                      <w:jc w:val="left"/>
                      <w:rPr>
                        <w:rFonts w:ascii="Book Antiqua"/>
                        <w:b/>
                        <w:sz w:val="22"/>
                      </w:rPr>
                    </w:pPr>
                    <w:r>
                      <w:rPr>
                        <w:color w:val="231F20"/>
                        <w:sz w:val="16"/>
                      </w:rPr>
                      <w:t>Appendix</w:t>
                    </w:r>
                    <w:r>
                      <w:rPr>
                        <w:color w:val="231F20"/>
                        <w:spacing w:val="-5"/>
                        <w:sz w:val="16"/>
                      </w:rPr>
                      <w:t> </w:t>
                    </w:r>
                    <w:r>
                      <w:rPr>
                        <w:color w:val="231F20"/>
                        <w:sz w:val="16"/>
                      </w:rPr>
                      <w:t>A.</w:t>
                    </w:r>
                    <w:r>
                      <w:rPr>
                        <w:color w:val="231F20"/>
                        <w:spacing w:val="7"/>
                        <w:sz w:val="16"/>
                      </w:rPr>
                      <w:t> </w:t>
                    </w:r>
                    <w:r>
                      <w:rPr>
                        <w:color w:val="231F20"/>
                        <w:sz w:val="16"/>
                      </w:rPr>
                      <w:t>Formula</w:t>
                    </w:r>
                    <w:r>
                      <w:rPr>
                        <w:color w:val="231F20"/>
                        <w:spacing w:val="8"/>
                        <w:sz w:val="16"/>
                      </w:rPr>
                      <w:t> </w:t>
                    </w:r>
                    <w:r>
                      <w:rPr>
                        <w:color w:val="231F20"/>
                        <w:spacing w:val="-2"/>
                        <w:sz w:val="16"/>
                      </w:rPr>
                      <w:t>functions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413</w:t>
                    </w:r>
                    <w:r>
                      <w:rPr>
                        <w:rFonts w:ascii="Book Antiqua"/>
                        <w:b/>
                        <w:color w:val="231F20"/>
                        <w:spacing w:val="-5"/>
                        <w:sz w:val="22"/>
                      </w:rPr>
                      <w:fldChar w:fldCharType="end"/>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5824">
              <wp:simplePos x="0" y="0"/>
              <wp:positionH relativeFrom="page">
                <wp:posOffset>722219</wp:posOffset>
              </wp:positionH>
              <wp:positionV relativeFrom="page">
                <wp:posOffset>9451206</wp:posOffset>
              </wp:positionV>
              <wp:extent cx="3198495" cy="191770"/>
              <wp:effectExtent l="0" t="0" r="0" b="0"/>
              <wp:wrapNone/>
              <wp:docPr id="3296" name="Textbox 3296"/>
              <wp:cNvGraphicFramePr>
                <a:graphicFrameLocks/>
              </wp:cNvGraphicFramePr>
              <a:graphic>
                <a:graphicData uri="http://schemas.microsoft.com/office/word/2010/wordprocessingShape">
                  <wps:wsp>
                    <wps:cNvPr id="3296" name="Textbox 3296"/>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50656" type="#_x0000_t202" id="docshape269"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414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6336">
              <wp:simplePos x="0" y="0"/>
              <wp:positionH relativeFrom="page">
                <wp:posOffset>6748081</wp:posOffset>
              </wp:positionH>
              <wp:positionV relativeFrom="page">
                <wp:posOffset>9451206</wp:posOffset>
              </wp:positionV>
              <wp:extent cx="298450" cy="191770"/>
              <wp:effectExtent l="0" t="0" r="0" b="0"/>
              <wp:wrapNone/>
              <wp:docPr id="3379" name="Textbox 3379"/>
              <wp:cNvGraphicFramePr>
                <a:graphicFrameLocks/>
              </wp:cNvGraphicFramePr>
              <a:graphic>
                <a:graphicData uri="http://schemas.microsoft.com/office/word/2010/wordprocessingShape">
                  <wps:wsp>
                    <wps:cNvPr id="3379" name="Textbox 3379"/>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427</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50144" type="#_x0000_t202" id="docshape281"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427</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66848">
              <wp:simplePos x="0" y="0"/>
              <wp:positionH relativeFrom="page">
                <wp:posOffset>899684</wp:posOffset>
              </wp:positionH>
              <wp:positionV relativeFrom="page">
                <wp:posOffset>9486027</wp:posOffset>
              </wp:positionV>
              <wp:extent cx="1609090" cy="148590"/>
              <wp:effectExtent l="0" t="0" r="0" b="0"/>
              <wp:wrapNone/>
              <wp:docPr id="3380" name="Textbox 3380"/>
              <wp:cNvGraphicFramePr>
                <a:graphicFrameLocks/>
              </wp:cNvGraphicFramePr>
              <a:graphic>
                <a:graphicData uri="http://schemas.microsoft.com/office/word/2010/wordprocessingShape">
                  <wps:wsp>
                    <wps:cNvPr id="3380" name="Textbox 3380"/>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49632" type="#_x0000_t202" id="docshape282"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7360">
              <wp:simplePos x="0" y="0"/>
              <wp:positionH relativeFrom="page">
                <wp:posOffset>722219</wp:posOffset>
              </wp:positionH>
              <wp:positionV relativeFrom="page">
                <wp:posOffset>9451206</wp:posOffset>
              </wp:positionV>
              <wp:extent cx="3198495" cy="191770"/>
              <wp:effectExtent l="0" t="0" r="0" b="0"/>
              <wp:wrapNone/>
              <wp:docPr id="3381" name="Textbox 3381"/>
              <wp:cNvGraphicFramePr>
                <a:graphicFrameLocks/>
              </wp:cNvGraphicFramePr>
              <a:graphic>
                <a:graphicData uri="http://schemas.microsoft.com/office/word/2010/wordprocessingShape">
                  <wps:wsp>
                    <wps:cNvPr id="3381" name="Textbox 3381"/>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9120" type="#_x0000_t202" id="docshape283"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7872">
              <wp:simplePos x="0" y="0"/>
              <wp:positionH relativeFrom="page">
                <wp:posOffset>3420944</wp:posOffset>
              </wp:positionH>
              <wp:positionV relativeFrom="page">
                <wp:posOffset>9451206</wp:posOffset>
              </wp:positionV>
              <wp:extent cx="3625850" cy="191770"/>
              <wp:effectExtent l="0" t="0" r="0" b="0"/>
              <wp:wrapNone/>
              <wp:docPr id="3388" name="Textbox 3388"/>
              <wp:cNvGraphicFramePr>
                <a:graphicFrameLocks/>
              </wp:cNvGraphicFramePr>
              <a:graphic>
                <a:graphicData uri="http://schemas.microsoft.com/office/word/2010/wordprocessingShape">
                  <wps:wsp>
                    <wps:cNvPr id="3388" name="Textbox 3388"/>
                    <wps:cNvSpPr txBox="1"/>
                    <wps:spPr>
                      <a:xfrm>
                        <a:off x="0" y="0"/>
                        <a:ext cx="3625850" cy="191770"/>
                      </a:xfrm>
                      <a:prstGeom prst="rect">
                        <a:avLst/>
                      </a:prstGeom>
                    </wps:spPr>
                    <wps:txbx>
                      <w:txbxContent>
                        <w:p>
                          <w:pPr>
                            <w:tabs>
                              <w:tab w:pos="5300" w:val="left" w:leader="none"/>
                            </w:tabs>
                            <w:spacing w:before="16"/>
                            <w:ind w:left="20" w:right="0" w:firstLine="0"/>
                            <w:jc w:val="left"/>
                            <w:rPr>
                              <w:rFonts w:ascii="Book Antiqua"/>
                              <w:b/>
                              <w:sz w:val="22"/>
                            </w:rPr>
                          </w:pPr>
                          <w:r>
                            <w:rPr>
                              <w:color w:val="231F20"/>
                              <w:sz w:val="16"/>
                            </w:rPr>
                            <w:t>Appendix</w:t>
                          </w:r>
                          <w:r>
                            <w:rPr>
                              <w:color w:val="231F20"/>
                              <w:spacing w:val="-6"/>
                              <w:sz w:val="16"/>
                            </w:rPr>
                            <w:t> </w:t>
                          </w:r>
                          <w:r>
                            <w:rPr>
                              <w:color w:val="231F20"/>
                              <w:sz w:val="16"/>
                            </w:rPr>
                            <w:t>B.</w:t>
                          </w:r>
                          <w:r>
                            <w:rPr>
                              <w:color w:val="231F20"/>
                              <w:spacing w:val="7"/>
                              <w:sz w:val="16"/>
                            </w:rPr>
                            <w:t> </w:t>
                          </w:r>
                          <w:r>
                            <w:rPr>
                              <w:color w:val="231F20"/>
                              <w:sz w:val="16"/>
                            </w:rPr>
                            <w:t>Tivoli</w:t>
                          </w:r>
                          <w:r>
                            <w:rPr>
                              <w:color w:val="231F20"/>
                              <w:spacing w:val="6"/>
                              <w:sz w:val="16"/>
                            </w:rPr>
                            <w:t> </w:t>
                          </w:r>
                          <w:r>
                            <w:rPr>
                              <w:color w:val="231F20"/>
                              <w:sz w:val="16"/>
                            </w:rPr>
                            <w:t>Enterprise</w:t>
                          </w:r>
                          <w:r>
                            <w:rPr>
                              <w:color w:val="231F20"/>
                              <w:spacing w:val="7"/>
                              <w:sz w:val="16"/>
                            </w:rPr>
                            <w:t> </w:t>
                          </w:r>
                          <w:r>
                            <w:rPr>
                              <w:color w:val="231F20"/>
                              <w:sz w:val="16"/>
                            </w:rPr>
                            <w:t>Monitoring</w:t>
                          </w:r>
                          <w:r>
                            <w:rPr>
                              <w:color w:val="231F20"/>
                              <w:spacing w:val="7"/>
                              <w:sz w:val="16"/>
                            </w:rPr>
                            <w:t> </w:t>
                          </w:r>
                          <w:r>
                            <w:rPr>
                              <w:color w:val="231F20"/>
                              <w:sz w:val="16"/>
                            </w:rPr>
                            <w:t>Server</w:t>
                          </w:r>
                          <w:r>
                            <w:rPr>
                              <w:color w:val="231F20"/>
                              <w:spacing w:val="6"/>
                              <w:sz w:val="16"/>
                            </w:rPr>
                            <w:t> </w:t>
                          </w:r>
                          <w:r>
                            <w:rPr>
                              <w:color w:val="231F20"/>
                              <w:sz w:val="16"/>
                            </w:rPr>
                            <w:t>and</w:t>
                          </w:r>
                          <w:r>
                            <w:rPr>
                              <w:color w:val="231F20"/>
                              <w:spacing w:val="7"/>
                              <w:sz w:val="16"/>
                            </w:rPr>
                            <w:t> </w:t>
                          </w:r>
                          <w:r>
                            <w:rPr>
                              <w:color w:val="231F20"/>
                              <w:sz w:val="16"/>
                            </w:rPr>
                            <w:t>global</w:t>
                          </w:r>
                          <w:r>
                            <w:rPr>
                              <w:color w:val="231F20"/>
                              <w:spacing w:val="7"/>
                              <w:sz w:val="16"/>
                            </w:rPr>
                            <w:t> </w:t>
                          </w:r>
                          <w:r>
                            <w:rPr>
                              <w:color w:val="231F20"/>
                              <w:spacing w:val="-2"/>
                              <w:sz w:val="16"/>
                            </w:rPr>
                            <w:t>attributes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429</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269.365692pt;margin-top:744.189453pt;width:285.5pt;height:15.1pt;mso-position-horizontal-relative:page;mso-position-vertical-relative:page;z-index:-30148608" type="#_x0000_t202" id="docshape287" filled="false" stroked="false">
              <v:textbox inset="0,0,0,0">
                <w:txbxContent>
                  <w:p>
                    <w:pPr>
                      <w:tabs>
                        <w:tab w:pos="5300" w:val="left" w:leader="none"/>
                      </w:tabs>
                      <w:spacing w:before="16"/>
                      <w:ind w:left="20" w:right="0" w:firstLine="0"/>
                      <w:jc w:val="left"/>
                      <w:rPr>
                        <w:rFonts w:ascii="Book Antiqua"/>
                        <w:b/>
                        <w:sz w:val="22"/>
                      </w:rPr>
                    </w:pPr>
                    <w:r>
                      <w:rPr>
                        <w:color w:val="231F20"/>
                        <w:sz w:val="16"/>
                      </w:rPr>
                      <w:t>Appendix</w:t>
                    </w:r>
                    <w:r>
                      <w:rPr>
                        <w:color w:val="231F20"/>
                        <w:spacing w:val="-6"/>
                        <w:sz w:val="16"/>
                      </w:rPr>
                      <w:t> </w:t>
                    </w:r>
                    <w:r>
                      <w:rPr>
                        <w:color w:val="231F20"/>
                        <w:sz w:val="16"/>
                      </w:rPr>
                      <w:t>B.</w:t>
                    </w:r>
                    <w:r>
                      <w:rPr>
                        <w:color w:val="231F20"/>
                        <w:spacing w:val="7"/>
                        <w:sz w:val="16"/>
                      </w:rPr>
                      <w:t> </w:t>
                    </w:r>
                    <w:r>
                      <w:rPr>
                        <w:color w:val="231F20"/>
                        <w:sz w:val="16"/>
                      </w:rPr>
                      <w:t>Tivoli</w:t>
                    </w:r>
                    <w:r>
                      <w:rPr>
                        <w:color w:val="231F20"/>
                        <w:spacing w:val="6"/>
                        <w:sz w:val="16"/>
                      </w:rPr>
                      <w:t> </w:t>
                    </w:r>
                    <w:r>
                      <w:rPr>
                        <w:color w:val="231F20"/>
                        <w:sz w:val="16"/>
                      </w:rPr>
                      <w:t>Enterprise</w:t>
                    </w:r>
                    <w:r>
                      <w:rPr>
                        <w:color w:val="231F20"/>
                        <w:spacing w:val="7"/>
                        <w:sz w:val="16"/>
                      </w:rPr>
                      <w:t> </w:t>
                    </w:r>
                    <w:r>
                      <w:rPr>
                        <w:color w:val="231F20"/>
                        <w:sz w:val="16"/>
                      </w:rPr>
                      <w:t>Monitoring</w:t>
                    </w:r>
                    <w:r>
                      <w:rPr>
                        <w:color w:val="231F20"/>
                        <w:spacing w:val="7"/>
                        <w:sz w:val="16"/>
                      </w:rPr>
                      <w:t> </w:t>
                    </w:r>
                    <w:r>
                      <w:rPr>
                        <w:color w:val="231F20"/>
                        <w:sz w:val="16"/>
                      </w:rPr>
                      <w:t>Server</w:t>
                    </w:r>
                    <w:r>
                      <w:rPr>
                        <w:color w:val="231F20"/>
                        <w:spacing w:val="6"/>
                        <w:sz w:val="16"/>
                      </w:rPr>
                      <w:t> </w:t>
                    </w:r>
                    <w:r>
                      <w:rPr>
                        <w:color w:val="231F20"/>
                        <w:sz w:val="16"/>
                      </w:rPr>
                      <w:t>and</w:t>
                    </w:r>
                    <w:r>
                      <w:rPr>
                        <w:color w:val="231F20"/>
                        <w:spacing w:val="7"/>
                        <w:sz w:val="16"/>
                      </w:rPr>
                      <w:t> </w:t>
                    </w:r>
                    <w:r>
                      <w:rPr>
                        <w:color w:val="231F20"/>
                        <w:sz w:val="16"/>
                      </w:rPr>
                      <w:t>global</w:t>
                    </w:r>
                    <w:r>
                      <w:rPr>
                        <w:color w:val="231F20"/>
                        <w:spacing w:val="7"/>
                        <w:sz w:val="16"/>
                      </w:rPr>
                      <w:t> </w:t>
                    </w:r>
                    <w:r>
                      <w:rPr>
                        <w:color w:val="231F20"/>
                        <w:spacing w:val="-2"/>
                        <w:sz w:val="16"/>
                      </w:rPr>
                      <w:t>attributes</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429</w:t>
                    </w:r>
                    <w:r>
                      <w:rPr>
                        <w:rFonts w:ascii="Book Antiqua"/>
                        <w:b/>
                        <w:color w:val="231F20"/>
                        <w:spacing w:val="-5"/>
                        <w:sz w:val="22"/>
                      </w:rPr>
                      <w:fldChar w:fldCharType="end"/>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8384">
              <wp:simplePos x="0" y="0"/>
              <wp:positionH relativeFrom="page">
                <wp:posOffset>722219</wp:posOffset>
              </wp:positionH>
              <wp:positionV relativeFrom="page">
                <wp:posOffset>9451206</wp:posOffset>
              </wp:positionV>
              <wp:extent cx="3198495" cy="191770"/>
              <wp:effectExtent l="0" t="0" r="0" b="0"/>
              <wp:wrapNone/>
              <wp:docPr id="3389" name="Textbox 3389"/>
              <wp:cNvGraphicFramePr>
                <a:graphicFrameLocks/>
              </wp:cNvGraphicFramePr>
              <a:graphic>
                <a:graphicData uri="http://schemas.microsoft.com/office/word/2010/wordprocessingShape">
                  <wps:wsp>
                    <wps:cNvPr id="3389" name="Textbox 3389"/>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430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8096" type="#_x0000_t202" id="docshape28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430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8896">
              <wp:simplePos x="0" y="0"/>
              <wp:positionH relativeFrom="page">
                <wp:posOffset>6748081</wp:posOffset>
              </wp:positionH>
              <wp:positionV relativeFrom="page">
                <wp:posOffset>9451206</wp:posOffset>
              </wp:positionV>
              <wp:extent cx="298450" cy="191770"/>
              <wp:effectExtent l="0" t="0" r="0" b="0"/>
              <wp:wrapNone/>
              <wp:docPr id="3432" name="Textbox 3432"/>
              <wp:cNvGraphicFramePr>
                <a:graphicFrameLocks/>
              </wp:cNvGraphicFramePr>
              <a:graphic>
                <a:graphicData uri="http://schemas.microsoft.com/office/word/2010/wordprocessingShape">
                  <wps:wsp>
                    <wps:cNvPr id="3432" name="Textbox 3432"/>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455</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47584" type="#_x0000_t202" id="docshape304"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455</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69408">
              <wp:simplePos x="0" y="0"/>
              <wp:positionH relativeFrom="page">
                <wp:posOffset>899684</wp:posOffset>
              </wp:positionH>
              <wp:positionV relativeFrom="page">
                <wp:posOffset>9486027</wp:posOffset>
              </wp:positionV>
              <wp:extent cx="1609090" cy="148590"/>
              <wp:effectExtent l="0" t="0" r="0" b="0"/>
              <wp:wrapNone/>
              <wp:docPr id="3433" name="Textbox 3433"/>
              <wp:cNvGraphicFramePr>
                <a:graphicFrameLocks/>
              </wp:cNvGraphicFramePr>
              <a:graphic>
                <a:graphicData uri="http://schemas.microsoft.com/office/word/2010/wordprocessingShape">
                  <wps:wsp>
                    <wps:cNvPr id="3433" name="Textbox 343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47072" type="#_x0000_t202" id="docshape305"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69920">
              <wp:simplePos x="0" y="0"/>
              <wp:positionH relativeFrom="page">
                <wp:posOffset>722219</wp:posOffset>
              </wp:positionH>
              <wp:positionV relativeFrom="page">
                <wp:posOffset>9451206</wp:posOffset>
              </wp:positionV>
              <wp:extent cx="3198495" cy="191770"/>
              <wp:effectExtent l="0" t="0" r="0" b="0"/>
              <wp:wrapNone/>
              <wp:docPr id="3434" name="Textbox 3434"/>
              <wp:cNvGraphicFramePr>
                <a:graphicFrameLocks/>
              </wp:cNvGraphicFramePr>
              <a:graphic>
                <a:graphicData uri="http://schemas.microsoft.com/office/word/2010/wordprocessingShape">
                  <wps:wsp>
                    <wps:cNvPr id="3434" name="Textbox 343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6560" type="#_x0000_t202" id="docshape306"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0432">
              <wp:simplePos x="0" y="0"/>
              <wp:positionH relativeFrom="page">
                <wp:posOffset>5587784</wp:posOffset>
              </wp:positionH>
              <wp:positionV relativeFrom="page">
                <wp:posOffset>9451206</wp:posOffset>
              </wp:positionV>
              <wp:extent cx="1458595" cy="191770"/>
              <wp:effectExtent l="0" t="0" r="0" b="0"/>
              <wp:wrapNone/>
              <wp:docPr id="3438" name="Textbox 3438"/>
              <wp:cNvGraphicFramePr>
                <a:graphicFrameLocks/>
              </wp:cNvGraphicFramePr>
              <a:graphic>
                <a:graphicData uri="http://schemas.microsoft.com/office/word/2010/wordprocessingShape">
                  <wps:wsp>
                    <wps:cNvPr id="3438" name="Textbox 3438"/>
                    <wps:cNvSpPr txBox="1"/>
                    <wps:spPr>
                      <a:xfrm>
                        <a:off x="0" y="0"/>
                        <a:ext cx="1458595" cy="191770"/>
                      </a:xfrm>
                      <a:prstGeom prst="rect">
                        <a:avLst/>
                      </a:prstGeom>
                    </wps:spPr>
                    <wps:txbx>
                      <w:txbxContent>
                        <w:p>
                          <w:pPr>
                            <w:tabs>
                              <w:tab w:pos="1887" w:val="left" w:leader="none"/>
                            </w:tabs>
                            <w:spacing w:before="16"/>
                            <w:ind w:left="20" w:right="0" w:firstLine="0"/>
                            <w:jc w:val="left"/>
                            <w:rPr>
                              <w:rFonts w:ascii="Book Antiqua"/>
                              <w:b/>
                              <w:sz w:val="22"/>
                            </w:rPr>
                          </w:pPr>
                          <w:r>
                            <w:rPr>
                              <w:color w:val="231F20"/>
                              <w:sz w:val="16"/>
                            </w:rPr>
                            <w:t>Documentation</w:t>
                          </w:r>
                          <w:r>
                            <w:rPr>
                              <w:color w:val="231F20"/>
                              <w:spacing w:val="1"/>
                              <w:sz w:val="16"/>
                            </w:rPr>
                            <w:t> </w:t>
                          </w:r>
                          <w:r>
                            <w:rPr>
                              <w:color w:val="231F20"/>
                              <w:spacing w:val="-2"/>
                              <w:sz w:val="16"/>
                            </w:rPr>
                            <w:t>library</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457</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39.983002pt;margin-top:744.189453pt;width:114.85pt;height:15.1pt;mso-position-horizontal-relative:page;mso-position-vertical-relative:page;z-index:-30146048" type="#_x0000_t202" id="docshape309" filled="false" stroked="false">
              <v:textbox inset="0,0,0,0">
                <w:txbxContent>
                  <w:p>
                    <w:pPr>
                      <w:tabs>
                        <w:tab w:pos="1887" w:val="left" w:leader="none"/>
                      </w:tabs>
                      <w:spacing w:before="16"/>
                      <w:ind w:left="20" w:right="0" w:firstLine="0"/>
                      <w:jc w:val="left"/>
                      <w:rPr>
                        <w:rFonts w:ascii="Book Antiqua"/>
                        <w:b/>
                        <w:sz w:val="22"/>
                      </w:rPr>
                    </w:pPr>
                    <w:r>
                      <w:rPr>
                        <w:color w:val="231F20"/>
                        <w:sz w:val="16"/>
                      </w:rPr>
                      <w:t>Documentation</w:t>
                    </w:r>
                    <w:r>
                      <w:rPr>
                        <w:color w:val="231F20"/>
                        <w:spacing w:val="1"/>
                        <w:sz w:val="16"/>
                      </w:rPr>
                      <w:t> </w:t>
                    </w:r>
                    <w:r>
                      <w:rPr>
                        <w:color w:val="231F20"/>
                        <w:spacing w:val="-2"/>
                        <w:sz w:val="16"/>
                      </w:rPr>
                      <w:t>library</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457</w:t>
                    </w:r>
                    <w:r>
                      <w:rPr>
                        <w:rFonts w:ascii="Book Antiqua"/>
                        <w:b/>
                        <w:color w:val="231F20"/>
                        <w:spacing w:val="-5"/>
                        <w:sz w:val="22"/>
                      </w:rPr>
                      <w:fldChar w:fldCharType="end"/>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0944">
              <wp:simplePos x="0" y="0"/>
              <wp:positionH relativeFrom="page">
                <wp:posOffset>722219</wp:posOffset>
              </wp:positionH>
              <wp:positionV relativeFrom="page">
                <wp:posOffset>9451206</wp:posOffset>
              </wp:positionV>
              <wp:extent cx="3198495" cy="191770"/>
              <wp:effectExtent l="0" t="0" r="0" b="0"/>
              <wp:wrapNone/>
              <wp:docPr id="3439" name="Textbox 3439"/>
              <wp:cNvGraphicFramePr>
                <a:graphicFrameLocks/>
              </wp:cNvGraphicFramePr>
              <a:graphic>
                <a:graphicData uri="http://schemas.microsoft.com/office/word/2010/wordprocessingShape">
                  <wps:wsp>
                    <wps:cNvPr id="3439" name="Textbox 3439"/>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5536" type="#_x0000_t202" id="docshape310"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1456">
              <wp:simplePos x="0" y="0"/>
              <wp:positionH relativeFrom="page">
                <wp:posOffset>6748081</wp:posOffset>
              </wp:positionH>
              <wp:positionV relativeFrom="page">
                <wp:posOffset>9451206</wp:posOffset>
              </wp:positionV>
              <wp:extent cx="298450" cy="191770"/>
              <wp:effectExtent l="0" t="0" r="0" b="0"/>
              <wp:wrapNone/>
              <wp:docPr id="3442" name="Textbox 3442"/>
              <wp:cNvGraphicFramePr>
                <a:graphicFrameLocks/>
              </wp:cNvGraphicFramePr>
              <a:graphic>
                <a:graphicData uri="http://schemas.microsoft.com/office/word/2010/wordprocessingShape">
                  <wps:wsp>
                    <wps:cNvPr id="3442" name="Textbox 3442"/>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459</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45024" type="#_x0000_t202" id="docshape313"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459</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71968">
              <wp:simplePos x="0" y="0"/>
              <wp:positionH relativeFrom="page">
                <wp:posOffset>899684</wp:posOffset>
              </wp:positionH>
              <wp:positionV relativeFrom="page">
                <wp:posOffset>9486027</wp:posOffset>
              </wp:positionV>
              <wp:extent cx="1609090" cy="148590"/>
              <wp:effectExtent l="0" t="0" r="0" b="0"/>
              <wp:wrapNone/>
              <wp:docPr id="3443" name="Textbox 3443"/>
              <wp:cNvGraphicFramePr>
                <a:graphicFrameLocks/>
              </wp:cNvGraphicFramePr>
              <a:graphic>
                <a:graphicData uri="http://schemas.microsoft.com/office/word/2010/wordprocessingShape">
                  <wps:wsp>
                    <wps:cNvPr id="3443" name="Textbox 3443"/>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44512" type="#_x0000_t202" id="docshape314"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2480">
              <wp:simplePos x="0" y="0"/>
              <wp:positionH relativeFrom="page">
                <wp:posOffset>722219</wp:posOffset>
              </wp:positionH>
              <wp:positionV relativeFrom="page">
                <wp:posOffset>9451206</wp:posOffset>
              </wp:positionV>
              <wp:extent cx="3198495" cy="191770"/>
              <wp:effectExtent l="0" t="0" r="0" b="0"/>
              <wp:wrapNone/>
              <wp:docPr id="3444" name="Textbox 3444"/>
              <wp:cNvGraphicFramePr>
                <a:graphicFrameLocks/>
              </wp:cNvGraphicFramePr>
              <a:graphic>
                <a:graphicData uri="http://schemas.microsoft.com/office/word/2010/wordprocessingShape">
                  <wps:wsp>
                    <wps:cNvPr id="3444" name="Textbox 3444"/>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4000" type="#_x0000_t202" id="docshape315"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460</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6912">
              <wp:simplePos x="0" y="0"/>
              <wp:positionH relativeFrom="page">
                <wp:posOffset>722232</wp:posOffset>
              </wp:positionH>
              <wp:positionV relativeFrom="page">
                <wp:posOffset>9451162</wp:posOffset>
              </wp:positionV>
              <wp:extent cx="3113405" cy="1917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113405" cy="191770"/>
                      </a:xfrm>
                      <a:prstGeom prst="rect">
                        <a:avLst/>
                      </a:prstGeom>
                    </wps:spPr>
                    <wps:txbx>
                      <w:txbxContent>
                        <w:p>
                          <w:pPr>
                            <w:tabs>
                              <w:tab w:pos="494"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 roman </w:instrText>
                          </w:r>
                          <w:r>
                            <w:rPr>
                              <w:rFonts w:ascii="Book Antiqua"/>
                              <w:b/>
                              <w:color w:val="231F20"/>
                              <w:spacing w:val="-5"/>
                              <w:sz w:val="22"/>
                            </w:rPr>
                            <w:fldChar w:fldCharType="separate"/>
                          </w:r>
                          <w:r>
                            <w:rPr>
                              <w:rFonts w:ascii="Book Antiqua"/>
                              <w:b/>
                              <w:color w:val="231F20"/>
                              <w:spacing w:val="-5"/>
                              <w:sz w:val="22"/>
                            </w:rPr>
                            <w:t>vi</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869pt;margin-top:744.186035pt;width:245.15pt;height:15.1pt;mso-position-horizontal-relative:page;mso-position-vertical-relative:page;z-index:-30189568" type="#_x0000_t202" id="docshape7" filled="false" stroked="false">
              <v:textbox inset="0,0,0,0">
                <w:txbxContent>
                  <w:p>
                    <w:pPr>
                      <w:tabs>
                        <w:tab w:pos="494"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 roman </w:instrText>
                    </w:r>
                    <w:r>
                      <w:rPr>
                        <w:rFonts w:ascii="Book Antiqua"/>
                        <w:b/>
                        <w:color w:val="231F20"/>
                        <w:spacing w:val="-5"/>
                        <w:sz w:val="22"/>
                      </w:rPr>
                      <w:fldChar w:fldCharType="separate"/>
                    </w:r>
                    <w:r>
                      <w:rPr>
                        <w:rFonts w:ascii="Book Antiqua"/>
                        <w:b/>
                        <w:color w:val="231F20"/>
                        <w:spacing w:val="-5"/>
                        <w:sz w:val="22"/>
                      </w:rPr>
                      <w:t>vi</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2992">
              <wp:simplePos x="0" y="0"/>
              <wp:positionH relativeFrom="page">
                <wp:posOffset>5688224</wp:posOffset>
              </wp:positionH>
              <wp:positionV relativeFrom="page">
                <wp:posOffset>9451206</wp:posOffset>
              </wp:positionV>
              <wp:extent cx="1358265" cy="191770"/>
              <wp:effectExtent l="0" t="0" r="0" b="0"/>
              <wp:wrapNone/>
              <wp:docPr id="3451" name="Textbox 3451"/>
              <wp:cNvGraphicFramePr>
                <a:graphicFrameLocks/>
              </wp:cNvGraphicFramePr>
              <a:graphic>
                <a:graphicData uri="http://schemas.microsoft.com/office/word/2010/wordprocessingShape">
                  <wps:wsp>
                    <wps:cNvPr id="3451" name="Textbox 3451"/>
                    <wps:cNvSpPr txBox="1"/>
                    <wps:spPr>
                      <a:xfrm>
                        <a:off x="0" y="0"/>
                        <a:ext cx="1358265" cy="191770"/>
                      </a:xfrm>
                      <a:prstGeom prst="rect">
                        <a:avLst/>
                      </a:prstGeom>
                    </wps:spPr>
                    <wps:txbx>
                      <w:txbxContent>
                        <w:p>
                          <w:pPr>
                            <w:tabs>
                              <w:tab w:pos="1728" w:val="left" w:leader="none"/>
                            </w:tabs>
                            <w:spacing w:before="16"/>
                            <w:ind w:left="20" w:right="0" w:firstLine="0"/>
                            <w:jc w:val="left"/>
                            <w:rPr>
                              <w:rFonts w:ascii="Book Antiqua"/>
                              <w:b/>
                              <w:sz w:val="22"/>
                            </w:rPr>
                          </w:pPr>
                          <w:r>
                            <w:rPr>
                              <w:color w:val="231F20"/>
                              <w:sz w:val="16"/>
                            </w:rPr>
                            <w:t>Support</w:t>
                          </w:r>
                          <w:r>
                            <w:rPr>
                              <w:color w:val="231F20"/>
                              <w:spacing w:val="7"/>
                              <w:sz w:val="16"/>
                            </w:rPr>
                            <w:t> </w:t>
                          </w:r>
                          <w:r>
                            <w:rPr>
                              <w:color w:val="231F20"/>
                              <w:spacing w:val="-2"/>
                              <w:sz w:val="16"/>
                            </w:rPr>
                            <w:t>information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461</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447.891693pt;margin-top:744.189453pt;width:106.95pt;height:15.1pt;mso-position-horizontal-relative:page;mso-position-vertical-relative:page;z-index:-30143488" type="#_x0000_t202" id="docshape319" filled="false" stroked="false">
              <v:textbox inset="0,0,0,0">
                <w:txbxContent>
                  <w:p>
                    <w:pPr>
                      <w:tabs>
                        <w:tab w:pos="1728" w:val="left" w:leader="none"/>
                      </w:tabs>
                      <w:spacing w:before="16"/>
                      <w:ind w:left="20" w:right="0" w:firstLine="0"/>
                      <w:jc w:val="left"/>
                      <w:rPr>
                        <w:rFonts w:ascii="Book Antiqua"/>
                        <w:b/>
                        <w:sz w:val="22"/>
                      </w:rPr>
                    </w:pPr>
                    <w:r>
                      <w:rPr>
                        <w:color w:val="231F20"/>
                        <w:sz w:val="16"/>
                      </w:rPr>
                      <w:t>Support</w:t>
                    </w:r>
                    <w:r>
                      <w:rPr>
                        <w:color w:val="231F20"/>
                        <w:spacing w:val="7"/>
                        <w:sz w:val="16"/>
                      </w:rPr>
                      <w:t> </w:t>
                    </w:r>
                    <w:r>
                      <w:rPr>
                        <w:color w:val="231F20"/>
                        <w:spacing w:val="-2"/>
                        <w:sz w:val="16"/>
                      </w:rPr>
                      <w:t>information</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461</w:t>
                    </w:r>
                    <w:r>
                      <w:rPr>
                        <w:rFonts w:ascii="Book Antiqua"/>
                        <w:b/>
                        <w:color w:val="231F20"/>
                        <w:spacing w:val="-5"/>
                        <w:sz w:val="22"/>
                      </w:rPr>
                      <w:fldChar w:fldCharType="end"/>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3504">
              <wp:simplePos x="0" y="0"/>
              <wp:positionH relativeFrom="page">
                <wp:posOffset>722219</wp:posOffset>
              </wp:positionH>
              <wp:positionV relativeFrom="page">
                <wp:posOffset>9451206</wp:posOffset>
              </wp:positionV>
              <wp:extent cx="3198495" cy="191770"/>
              <wp:effectExtent l="0" t="0" r="0" b="0"/>
              <wp:wrapNone/>
              <wp:docPr id="3452" name="Textbox 3452"/>
              <wp:cNvGraphicFramePr>
                <a:graphicFrameLocks/>
              </wp:cNvGraphicFramePr>
              <a:graphic>
                <a:graphicData uri="http://schemas.microsoft.com/office/word/2010/wordprocessingShape">
                  <wps:wsp>
                    <wps:cNvPr id="3452" name="Textbox 3452"/>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2976" type="#_x0000_t202" id="docshape320"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462</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4016">
              <wp:simplePos x="0" y="0"/>
              <wp:positionH relativeFrom="page">
                <wp:posOffset>6748081</wp:posOffset>
              </wp:positionH>
              <wp:positionV relativeFrom="page">
                <wp:posOffset>9451206</wp:posOffset>
              </wp:positionV>
              <wp:extent cx="298450" cy="191770"/>
              <wp:effectExtent l="0" t="0" r="0" b="0"/>
              <wp:wrapNone/>
              <wp:docPr id="3454" name="Textbox 3454"/>
              <wp:cNvGraphicFramePr>
                <a:graphicFrameLocks/>
              </wp:cNvGraphicFramePr>
              <a:graphic>
                <a:graphicData uri="http://schemas.microsoft.com/office/word/2010/wordprocessingShape">
                  <wps:wsp>
                    <wps:cNvPr id="3454" name="Textbox 3454"/>
                    <wps:cNvSpPr txBox="1"/>
                    <wps:spPr>
                      <a:xfrm>
                        <a:off x="0" y="0"/>
                        <a:ext cx="298450" cy="191770"/>
                      </a:xfrm>
                      <a:prstGeom prst="rect">
                        <a:avLst/>
                      </a:prstGeom>
                    </wps:spPr>
                    <wps:txbx>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463</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31.344971pt;margin-top:744.189453pt;width:23.5pt;height:15.1pt;mso-position-horizontal-relative:page;mso-position-vertical-relative:page;z-index:-30142464" type="#_x0000_t202" id="docshape322" filled="false" stroked="false">
              <v:textbox inset="0,0,0,0">
                <w:txbxContent>
                  <w:p>
                    <w:pPr>
                      <w:spacing w:before="16"/>
                      <w:ind w:left="60" w:right="0" w:firstLine="0"/>
                      <w:jc w:val="left"/>
                      <w:rPr>
                        <w:rFonts w:ascii="Book Antiqua"/>
                        <w:b/>
                        <w:sz w:val="22"/>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463</w:t>
                    </w:r>
                    <w:r>
                      <w:rPr>
                        <w:rFonts w:ascii="Book Antiqua"/>
                        <w:b/>
                        <w:color w:val="231F20"/>
                        <w:spacing w:val="-5"/>
                        <w:sz w:val="2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3174528">
              <wp:simplePos x="0" y="0"/>
              <wp:positionH relativeFrom="page">
                <wp:posOffset>899684</wp:posOffset>
              </wp:positionH>
              <wp:positionV relativeFrom="page">
                <wp:posOffset>9486027</wp:posOffset>
              </wp:positionV>
              <wp:extent cx="1609090" cy="148590"/>
              <wp:effectExtent l="0" t="0" r="0" b="0"/>
              <wp:wrapNone/>
              <wp:docPr id="3455" name="Textbox 3455"/>
              <wp:cNvGraphicFramePr>
                <a:graphicFrameLocks/>
              </wp:cNvGraphicFramePr>
              <a:graphic>
                <a:graphicData uri="http://schemas.microsoft.com/office/word/2010/wordprocessingShape">
                  <wps:wsp>
                    <wps:cNvPr id="3455" name="Textbox 3455"/>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41952" type="#_x0000_t202" id="docshape323"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5040">
              <wp:simplePos x="0" y="0"/>
              <wp:positionH relativeFrom="page">
                <wp:posOffset>722219</wp:posOffset>
              </wp:positionH>
              <wp:positionV relativeFrom="page">
                <wp:posOffset>9451206</wp:posOffset>
              </wp:positionV>
              <wp:extent cx="3198495" cy="191770"/>
              <wp:effectExtent l="0" t="0" r="0" b="0"/>
              <wp:wrapNone/>
              <wp:docPr id="3456" name="Textbox 3456"/>
              <wp:cNvGraphicFramePr>
                <a:graphicFrameLocks/>
              </wp:cNvGraphicFramePr>
              <a:graphic>
                <a:graphicData uri="http://schemas.microsoft.com/office/word/2010/wordprocessingShape">
                  <wps:wsp>
                    <wps:cNvPr id="3456" name="Textbox 3456"/>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1440" type="#_x0000_t202" id="docshape324"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464</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5552">
              <wp:simplePos x="0" y="0"/>
              <wp:positionH relativeFrom="page">
                <wp:posOffset>722219</wp:posOffset>
              </wp:positionH>
              <wp:positionV relativeFrom="page">
                <wp:posOffset>9451206</wp:posOffset>
              </wp:positionV>
              <wp:extent cx="3198495" cy="191770"/>
              <wp:effectExtent l="0" t="0" r="0" b="0"/>
              <wp:wrapNone/>
              <wp:docPr id="3459" name="Textbox 3459"/>
              <wp:cNvGraphicFramePr>
                <a:graphicFrameLocks/>
              </wp:cNvGraphicFramePr>
              <a:graphic>
                <a:graphicData uri="http://schemas.microsoft.com/office/word/2010/wordprocessingShape">
                  <wps:wsp>
                    <wps:cNvPr id="3459" name="Textbox 3459"/>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0928" type="#_x0000_t202" id="docshape326"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466</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6064">
              <wp:simplePos x="0" y="0"/>
              <wp:positionH relativeFrom="page">
                <wp:posOffset>722219</wp:posOffset>
              </wp:positionH>
              <wp:positionV relativeFrom="page">
                <wp:posOffset>9451206</wp:posOffset>
              </wp:positionV>
              <wp:extent cx="3198495" cy="191770"/>
              <wp:effectExtent l="0" t="0" r="0" b="0"/>
              <wp:wrapNone/>
              <wp:docPr id="3463" name="Textbox 3463"/>
              <wp:cNvGraphicFramePr>
                <a:graphicFrameLocks/>
              </wp:cNvGraphicFramePr>
              <a:graphic>
                <a:graphicData uri="http://schemas.microsoft.com/office/word/2010/wordprocessingShape">
                  <wps:wsp>
                    <wps:cNvPr id="3463" name="Textbox 3463"/>
                    <wps:cNvSpPr txBox="1"/>
                    <wps:spPr>
                      <a:xfrm>
                        <a:off x="0" y="0"/>
                        <a:ext cx="3198495" cy="191770"/>
                      </a:xfrm>
                      <a:prstGeom prst="rect">
                        <a:avLst/>
                      </a:prstGeom>
                    </wps:spPr>
                    <wps:txbx>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wps:txbx>
                    <wps:bodyPr wrap="square" lIns="0" tIns="0" rIns="0" bIns="0" rtlCol="0">
                      <a:noAutofit/>
                    </wps:bodyPr>
                  </wps:wsp>
                </a:graphicData>
              </a:graphic>
            </wp:anchor>
          </w:drawing>
        </mc:Choice>
        <mc:Fallback>
          <w:pict>
            <v:shape style="position:absolute;margin-left:56.867699pt;margin-top:744.189453pt;width:251.85pt;height:15.1pt;mso-position-horizontal-relative:page;mso-position-vertical-relative:page;z-index:-30140416" type="#_x0000_t202" id="docshape328" filled="false" stroked="false">
              <v:textbox inset="0,0,0,0">
                <w:txbxContent>
                  <w:p>
                    <w:pPr>
                      <w:tabs>
                        <w:tab w:pos="628" w:val="left" w:leader="none"/>
                      </w:tabs>
                      <w:spacing w:before="16"/>
                      <w:ind w:left="60" w:right="0" w:firstLine="0"/>
                      <w:jc w:val="left"/>
                      <w:rPr>
                        <w:sz w:val="16"/>
                      </w:rPr>
                    </w:pP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468</w:t>
                    </w:r>
                    <w:r>
                      <w:rPr>
                        <w:rFonts w:ascii="Book Antiqua"/>
                        <w:b/>
                        <w:color w:val="231F20"/>
                        <w:spacing w:val="-5"/>
                        <w:sz w:val="22"/>
                      </w:rPr>
                      <w:fldChar w:fldCharType="end"/>
                    </w:r>
                    <w:r>
                      <w:rPr>
                        <w:rFonts w:ascii="Book Antiqua"/>
                        <w:b/>
                        <w:color w:val="231F20"/>
                        <w:sz w:val="22"/>
                      </w:rPr>
                      <w:tab/>
                    </w:r>
                    <w:r>
                      <w:rPr>
                        <w:color w:val="231F20"/>
                        <w:sz w:val="16"/>
                      </w:rPr>
                      <w:t>IBM</w:t>
                    </w:r>
                    <w:r>
                      <w:rPr>
                        <w:color w:val="231F20"/>
                        <w:spacing w:val="5"/>
                        <w:sz w:val="16"/>
                      </w:rPr>
                      <w:t> </w:t>
                    </w:r>
                    <w:r>
                      <w:rPr>
                        <w:color w:val="231F20"/>
                        <w:sz w:val="16"/>
                      </w:rPr>
                      <w:t>Tivoli</w:t>
                    </w:r>
                    <w:r>
                      <w:rPr>
                        <w:color w:val="231F20"/>
                        <w:spacing w:val="6"/>
                        <w:sz w:val="16"/>
                      </w:rPr>
                      <w:t> </w:t>
                    </w:r>
                    <w:r>
                      <w:rPr>
                        <w:color w:val="231F20"/>
                        <w:sz w:val="16"/>
                      </w:rPr>
                      <w:t>Monitoring:</w:t>
                    </w:r>
                    <w:r>
                      <w:rPr>
                        <w:color w:val="231F20"/>
                        <w:spacing w:val="28"/>
                        <w:sz w:val="16"/>
                      </w:rPr>
                      <w:t> </w:t>
                    </w:r>
                    <w:r>
                      <w:rPr>
                        <w:color w:val="231F20"/>
                        <w:sz w:val="16"/>
                      </w:rPr>
                      <w:t>Tivoli</w:t>
                    </w:r>
                    <w:r>
                      <w:rPr>
                        <w:color w:val="231F20"/>
                        <w:spacing w:val="6"/>
                        <w:sz w:val="16"/>
                      </w:rPr>
                      <w:t> </w:t>
                    </w:r>
                    <w:r>
                      <w:rPr>
                        <w:color w:val="231F20"/>
                        <w:sz w:val="16"/>
                      </w:rPr>
                      <w:t>Enterprise</w:t>
                    </w:r>
                    <w:r>
                      <w:rPr>
                        <w:color w:val="231F20"/>
                        <w:spacing w:val="6"/>
                        <w:sz w:val="16"/>
                      </w:rPr>
                      <w:t> </w:t>
                    </w:r>
                    <w:r>
                      <w:rPr>
                        <w:color w:val="231F20"/>
                        <w:sz w:val="16"/>
                      </w:rPr>
                      <w:t>Portal</w:t>
                    </w:r>
                    <w:r>
                      <w:rPr>
                        <w:color w:val="231F20"/>
                        <w:spacing w:val="6"/>
                        <w:sz w:val="16"/>
                      </w:rPr>
                      <w:t> </w:t>
                    </w:r>
                    <w:r>
                      <w:rPr>
                        <w:color w:val="231F20"/>
                        <w:sz w:val="16"/>
                      </w:rPr>
                      <w:t>User's</w:t>
                    </w:r>
                    <w:r>
                      <w:rPr>
                        <w:color w:val="231F20"/>
                        <w:spacing w:val="6"/>
                        <w:sz w:val="16"/>
                      </w:rPr>
                      <w:t> </w:t>
                    </w:r>
                    <w:r>
                      <w:rPr>
                        <w:color w:val="231F20"/>
                        <w:spacing w:val="-2"/>
                        <w:sz w:val="16"/>
                      </w:rPr>
                      <w:t>Guide</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76576">
              <wp:simplePos x="0" y="0"/>
              <wp:positionH relativeFrom="page">
                <wp:posOffset>6365204</wp:posOffset>
              </wp:positionH>
              <wp:positionV relativeFrom="page">
                <wp:posOffset>9451206</wp:posOffset>
              </wp:positionV>
              <wp:extent cx="680720" cy="191770"/>
              <wp:effectExtent l="0" t="0" r="0" b="0"/>
              <wp:wrapNone/>
              <wp:docPr id="3464" name="Textbox 3464"/>
              <wp:cNvGraphicFramePr>
                <a:graphicFrameLocks/>
              </wp:cNvGraphicFramePr>
              <a:graphic>
                <a:graphicData uri="http://schemas.microsoft.com/office/word/2010/wordprocessingShape">
                  <wps:wsp>
                    <wps:cNvPr id="3464" name="Textbox 3464"/>
                    <wps:cNvSpPr txBox="1"/>
                    <wps:spPr>
                      <a:xfrm>
                        <a:off x="0" y="0"/>
                        <a:ext cx="680720" cy="191770"/>
                      </a:xfrm>
                      <a:prstGeom prst="rect">
                        <a:avLst/>
                      </a:prstGeom>
                    </wps:spPr>
                    <wps:txbx>
                      <w:txbxContent>
                        <w:p>
                          <w:pPr>
                            <w:tabs>
                              <w:tab w:pos="662" w:val="left" w:leader="none"/>
                            </w:tabs>
                            <w:spacing w:before="16"/>
                            <w:ind w:left="20" w:right="0" w:firstLine="0"/>
                            <w:jc w:val="left"/>
                            <w:rPr>
                              <w:rFonts w:ascii="Book Antiqua"/>
                              <w:b/>
                              <w:sz w:val="22"/>
                            </w:rPr>
                          </w:pPr>
                          <w:r>
                            <w:rPr>
                              <w:color w:val="231F20"/>
                              <w:spacing w:val="-2"/>
                              <w:sz w:val="16"/>
                            </w:rPr>
                            <w:t>Index</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469</w:t>
                          </w:r>
                          <w:r>
                            <w:rPr>
                              <w:rFonts w:ascii="Book Antiqua"/>
                              <w:b/>
                              <w:color w:val="231F20"/>
                              <w:spacing w:val="-5"/>
                              <w:sz w:val="22"/>
                            </w:rPr>
                            <w:fldChar w:fldCharType="end"/>
                          </w:r>
                        </w:p>
                      </w:txbxContent>
                    </wps:txbx>
                    <wps:bodyPr wrap="square" lIns="0" tIns="0" rIns="0" bIns="0" rtlCol="0">
                      <a:noAutofit/>
                    </wps:bodyPr>
                  </wps:wsp>
                </a:graphicData>
              </a:graphic>
            </wp:anchor>
          </w:drawing>
        </mc:Choice>
        <mc:Fallback>
          <w:pict>
            <v:shape style="position:absolute;margin-left:501.197235pt;margin-top:744.189453pt;width:53.6pt;height:15.1pt;mso-position-horizontal-relative:page;mso-position-vertical-relative:page;z-index:-30139904" type="#_x0000_t202" id="docshape329" filled="false" stroked="false">
              <v:textbox inset="0,0,0,0">
                <w:txbxContent>
                  <w:p>
                    <w:pPr>
                      <w:tabs>
                        <w:tab w:pos="662" w:val="left" w:leader="none"/>
                      </w:tabs>
                      <w:spacing w:before="16"/>
                      <w:ind w:left="20" w:right="0" w:firstLine="0"/>
                      <w:jc w:val="left"/>
                      <w:rPr>
                        <w:rFonts w:ascii="Book Antiqua"/>
                        <w:b/>
                        <w:sz w:val="22"/>
                      </w:rPr>
                    </w:pPr>
                    <w:r>
                      <w:rPr>
                        <w:color w:val="231F20"/>
                        <w:spacing w:val="-2"/>
                        <w:sz w:val="16"/>
                      </w:rPr>
                      <w:t>Index</w:t>
                    </w:r>
                    <w:r>
                      <w:rPr>
                        <w:color w:val="231F20"/>
                        <w:sz w:val="16"/>
                      </w:rPr>
                      <w:tab/>
                    </w:r>
                    <w:r>
                      <w:rPr>
                        <w:rFonts w:ascii="Book Antiqua"/>
                        <w:b/>
                        <w:color w:val="231F20"/>
                        <w:spacing w:val="-5"/>
                        <w:sz w:val="22"/>
                      </w:rPr>
                      <w:fldChar w:fldCharType="begin"/>
                    </w:r>
                    <w:r>
                      <w:rPr>
                        <w:rFonts w:ascii="Book Antiqua"/>
                        <w:b/>
                        <w:color w:val="231F20"/>
                        <w:spacing w:val="-5"/>
                        <w:sz w:val="22"/>
                      </w:rPr>
                      <w:instrText> PAGE </w:instrText>
                    </w:r>
                    <w:r>
                      <w:rPr>
                        <w:rFonts w:ascii="Book Antiqua"/>
                        <w:b/>
                        <w:color w:val="231F20"/>
                        <w:spacing w:val="-5"/>
                        <w:sz w:val="22"/>
                      </w:rPr>
                      <w:fldChar w:fldCharType="separate"/>
                    </w:r>
                    <w:r>
                      <w:rPr>
                        <w:rFonts w:ascii="Book Antiqua"/>
                        <w:b/>
                        <w:color w:val="231F20"/>
                        <w:spacing w:val="-5"/>
                        <w:sz w:val="22"/>
                      </w:rPr>
                      <w:t>469</w:t>
                    </w:r>
                    <w:r>
                      <w:rPr>
                        <w:rFonts w:ascii="Book Antiqua"/>
                        <w:b/>
                        <w:color w:val="231F20"/>
                        <w:spacing w:val="-5"/>
                        <w:sz w:val="22"/>
                      </w:rPr>
                      <w:fldChar w:fldCharType="end"/>
                    </w: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3127424">
              <wp:simplePos x="0" y="0"/>
              <wp:positionH relativeFrom="page">
                <wp:posOffset>6812290</wp:posOffset>
              </wp:positionH>
              <wp:positionV relativeFrom="page">
                <wp:posOffset>9451206</wp:posOffset>
              </wp:positionV>
              <wp:extent cx="196215" cy="1917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96215" cy="191770"/>
                      </a:xfrm>
                      <a:prstGeom prst="rect">
                        <a:avLst/>
                      </a:prstGeom>
                    </wps:spPr>
                    <wps:txbx>
                      <w:txbxContent>
                        <w:p>
                          <w:pPr>
                            <w:spacing w:before="16"/>
                            <w:ind w:left="20" w:right="0" w:firstLine="0"/>
                            <w:jc w:val="left"/>
                            <w:rPr>
                              <w:rFonts w:ascii="Book Antiqua"/>
                              <w:b/>
                              <w:sz w:val="22"/>
                            </w:rPr>
                          </w:pPr>
                          <w:r>
                            <w:rPr>
                              <w:rFonts w:ascii="Book Antiqua"/>
                              <w:b/>
                              <w:color w:val="231F20"/>
                              <w:spacing w:val="-5"/>
                              <w:sz w:val="22"/>
                            </w:rPr>
                            <w:t>vii</w:t>
                          </w:r>
                        </w:p>
                      </w:txbxContent>
                    </wps:txbx>
                    <wps:bodyPr wrap="square" lIns="0" tIns="0" rIns="0" bIns="0" rtlCol="0">
                      <a:noAutofit/>
                    </wps:bodyPr>
                  </wps:wsp>
                </a:graphicData>
              </a:graphic>
            </wp:anchor>
          </w:drawing>
        </mc:Choice>
        <mc:Fallback>
          <w:pict>
            <v:shape style="position:absolute;margin-left:536.400818pt;margin-top:744.189453pt;width:15.45pt;height:15.1pt;mso-position-horizontal-relative:page;mso-position-vertical-relative:page;z-index:-30189056" type="#_x0000_t202" id="docshape8" filled="false" stroked="false">
              <v:textbox inset="0,0,0,0">
                <w:txbxContent>
                  <w:p>
                    <w:pPr>
                      <w:spacing w:before="16"/>
                      <w:ind w:left="20" w:right="0" w:firstLine="0"/>
                      <w:jc w:val="left"/>
                      <w:rPr>
                        <w:rFonts w:ascii="Book Antiqua"/>
                        <w:b/>
                        <w:sz w:val="22"/>
                      </w:rPr>
                    </w:pPr>
                    <w:r>
                      <w:rPr>
                        <w:rFonts w:ascii="Book Antiqua"/>
                        <w:b/>
                        <w:color w:val="231F20"/>
                        <w:spacing w:val="-5"/>
                        <w:sz w:val="22"/>
                      </w:rPr>
                      <w:t>vii</w:t>
                    </w:r>
                  </w:p>
                </w:txbxContent>
              </v:textbox>
              <w10:wrap type="none"/>
            </v:shape>
          </w:pict>
        </mc:Fallback>
      </mc:AlternateContent>
    </w:r>
    <w:r>
      <w:rPr/>
      <mc:AlternateContent>
        <mc:Choice Requires="wps">
          <w:drawing>
            <wp:anchor distT="0" distB="0" distL="0" distR="0" allowOverlap="1" layoutInCell="1" locked="0" behindDoc="1" simplePos="0" relativeHeight="473127936">
              <wp:simplePos x="0" y="0"/>
              <wp:positionH relativeFrom="page">
                <wp:posOffset>899684</wp:posOffset>
              </wp:positionH>
              <wp:positionV relativeFrom="page">
                <wp:posOffset>9486027</wp:posOffset>
              </wp:positionV>
              <wp:extent cx="1609090" cy="14859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09090" cy="148590"/>
                      </a:xfrm>
                      <a:prstGeom prst="rect">
                        <a:avLst/>
                      </a:prstGeom>
                    </wps:spPr>
                    <wps:txbx>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wps:txbx>
                    <wps:bodyPr wrap="square" lIns="0" tIns="0" rIns="0" bIns="0" rtlCol="0">
                      <a:noAutofit/>
                    </wps:bodyPr>
                  </wps:wsp>
                </a:graphicData>
              </a:graphic>
            </wp:anchor>
          </w:drawing>
        </mc:Choice>
        <mc:Fallback>
          <w:pict>
            <v:shape style="position:absolute;margin-left:70.841301pt;margin-top:746.931335pt;width:126.7pt;height:11.7pt;mso-position-horizontal-relative:page;mso-position-vertical-relative:page;z-index:-30188544" type="#_x0000_t202" id="docshape9" filled="false" stroked="false">
              <v:textbox inset="0,0,0,0">
                <w:txbxContent>
                  <w:p>
                    <w:pPr>
                      <w:spacing w:before="0"/>
                      <w:ind w:left="20" w:right="0" w:firstLine="0"/>
                      <w:jc w:val="left"/>
                      <w:rPr>
                        <w:sz w:val="16"/>
                      </w:rPr>
                    </w:pPr>
                    <w:r>
                      <w:rPr>
                        <w:color w:val="231F20"/>
                        <w:sz w:val="16"/>
                      </w:rPr>
                      <w:t>©</w:t>
                    </w:r>
                    <w:r>
                      <w:rPr>
                        <w:color w:val="231F20"/>
                        <w:spacing w:val="9"/>
                        <w:sz w:val="16"/>
                      </w:rPr>
                      <w:t> </w:t>
                    </w:r>
                    <w:r>
                      <w:rPr>
                        <w:color w:val="231F20"/>
                        <w:sz w:val="16"/>
                      </w:rPr>
                      <w:t>Copyright</w:t>
                    </w:r>
                    <w:r>
                      <w:rPr>
                        <w:color w:val="231F20"/>
                        <w:spacing w:val="9"/>
                        <w:sz w:val="16"/>
                      </w:rPr>
                      <w:t> </w:t>
                    </w:r>
                    <w:r>
                      <w:rPr>
                        <w:color w:val="231F20"/>
                        <w:sz w:val="16"/>
                      </w:rPr>
                      <w:t>IBM</w:t>
                    </w:r>
                    <w:r>
                      <w:rPr>
                        <w:color w:val="231F20"/>
                        <w:spacing w:val="9"/>
                        <w:sz w:val="16"/>
                      </w:rPr>
                      <w:t> </w:t>
                    </w:r>
                    <w:r>
                      <w:rPr>
                        <w:color w:val="231F20"/>
                        <w:sz w:val="16"/>
                      </w:rPr>
                      <w:t>Corp.</w:t>
                    </w:r>
                    <w:r>
                      <w:rPr>
                        <w:color w:val="231F20"/>
                        <w:spacing w:val="9"/>
                        <w:sz w:val="16"/>
                      </w:rPr>
                      <w:t> </w:t>
                    </w:r>
                    <w:r>
                      <w:rPr>
                        <w:color w:val="231F20"/>
                        <w:sz w:val="16"/>
                      </w:rPr>
                      <w:t>2005,</w:t>
                    </w:r>
                    <w:r>
                      <w:rPr>
                        <w:color w:val="231F20"/>
                        <w:spacing w:val="9"/>
                        <w:sz w:val="16"/>
                      </w:rPr>
                      <w:t> </w:t>
                    </w:r>
                    <w:r>
                      <w:rPr>
                        <w:color w:val="231F20"/>
                        <w:spacing w:val="-4"/>
                        <w:sz w:val="16"/>
                      </w:rPr>
                      <w:t>2013</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94">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92">
    <w:multiLevelType w:val="hybridMultilevel"/>
    <w:lvl w:ilvl="0">
      <w:start w:val="0"/>
      <w:numFmt w:val="bullet"/>
      <w:lvlText w:val="–"/>
      <w:lvlJc w:val="left"/>
      <w:pPr>
        <w:ind w:left="2937"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664" w:hanging="250"/>
      </w:pPr>
      <w:rPr>
        <w:rFonts w:hint="default"/>
        <w:lang w:val="en-US" w:eastAsia="en-US" w:bidi="ar-SA"/>
      </w:rPr>
    </w:lvl>
    <w:lvl w:ilvl="2">
      <w:start w:val="0"/>
      <w:numFmt w:val="bullet"/>
      <w:lvlText w:val="•"/>
      <w:lvlJc w:val="left"/>
      <w:pPr>
        <w:ind w:left="4388" w:hanging="250"/>
      </w:pPr>
      <w:rPr>
        <w:rFonts w:hint="default"/>
        <w:lang w:val="en-US" w:eastAsia="en-US" w:bidi="ar-SA"/>
      </w:rPr>
    </w:lvl>
    <w:lvl w:ilvl="3">
      <w:start w:val="0"/>
      <w:numFmt w:val="bullet"/>
      <w:lvlText w:val="•"/>
      <w:lvlJc w:val="left"/>
      <w:pPr>
        <w:ind w:left="5112" w:hanging="250"/>
      </w:pPr>
      <w:rPr>
        <w:rFonts w:hint="default"/>
        <w:lang w:val="en-US" w:eastAsia="en-US" w:bidi="ar-SA"/>
      </w:rPr>
    </w:lvl>
    <w:lvl w:ilvl="4">
      <w:start w:val="0"/>
      <w:numFmt w:val="bullet"/>
      <w:lvlText w:val="•"/>
      <w:lvlJc w:val="left"/>
      <w:pPr>
        <w:ind w:left="5836" w:hanging="250"/>
      </w:pPr>
      <w:rPr>
        <w:rFonts w:hint="default"/>
        <w:lang w:val="en-US" w:eastAsia="en-US" w:bidi="ar-SA"/>
      </w:rPr>
    </w:lvl>
    <w:lvl w:ilvl="5">
      <w:start w:val="0"/>
      <w:numFmt w:val="bullet"/>
      <w:lvlText w:val="•"/>
      <w:lvlJc w:val="left"/>
      <w:pPr>
        <w:ind w:left="6560" w:hanging="250"/>
      </w:pPr>
      <w:rPr>
        <w:rFonts w:hint="default"/>
        <w:lang w:val="en-US" w:eastAsia="en-US" w:bidi="ar-SA"/>
      </w:rPr>
    </w:lvl>
    <w:lvl w:ilvl="6">
      <w:start w:val="0"/>
      <w:numFmt w:val="bullet"/>
      <w:lvlText w:val="•"/>
      <w:lvlJc w:val="left"/>
      <w:pPr>
        <w:ind w:left="7284" w:hanging="250"/>
      </w:pPr>
      <w:rPr>
        <w:rFonts w:hint="default"/>
        <w:lang w:val="en-US" w:eastAsia="en-US" w:bidi="ar-SA"/>
      </w:rPr>
    </w:lvl>
    <w:lvl w:ilvl="7">
      <w:start w:val="0"/>
      <w:numFmt w:val="bullet"/>
      <w:lvlText w:val="•"/>
      <w:lvlJc w:val="left"/>
      <w:pPr>
        <w:ind w:left="8008" w:hanging="250"/>
      </w:pPr>
      <w:rPr>
        <w:rFonts w:hint="default"/>
        <w:lang w:val="en-US" w:eastAsia="en-US" w:bidi="ar-SA"/>
      </w:rPr>
    </w:lvl>
    <w:lvl w:ilvl="8">
      <w:start w:val="0"/>
      <w:numFmt w:val="bullet"/>
      <w:lvlText w:val="•"/>
      <w:lvlJc w:val="left"/>
      <w:pPr>
        <w:ind w:left="8732" w:hanging="250"/>
      </w:pPr>
      <w:rPr>
        <w:rFonts w:hint="default"/>
        <w:lang w:val="en-US" w:eastAsia="en-US" w:bidi="ar-SA"/>
      </w:rPr>
    </w:lvl>
  </w:abstractNum>
  <w:abstractNum w:abstractNumId="191">
    <w:multiLevelType w:val="hybridMultilevel"/>
    <w:lvl w:ilvl="0">
      <w:start w:val="0"/>
      <w:numFmt w:val="bullet"/>
      <w:lvlText w:val="–"/>
      <w:lvlJc w:val="left"/>
      <w:pPr>
        <w:ind w:left="2698"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448" w:hanging="250"/>
      </w:pPr>
      <w:rPr>
        <w:rFonts w:hint="default"/>
        <w:lang w:val="en-US" w:eastAsia="en-US" w:bidi="ar-SA"/>
      </w:rPr>
    </w:lvl>
    <w:lvl w:ilvl="2">
      <w:start w:val="0"/>
      <w:numFmt w:val="bullet"/>
      <w:lvlText w:val="•"/>
      <w:lvlJc w:val="left"/>
      <w:pPr>
        <w:ind w:left="4196" w:hanging="250"/>
      </w:pPr>
      <w:rPr>
        <w:rFonts w:hint="default"/>
        <w:lang w:val="en-US" w:eastAsia="en-US" w:bidi="ar-SA"/>
      </w:rPr>
    </w:lvl>
    <w:lvl w:ilvl="3">
      <w:start w:val="0"/>
      <w:numFmt w:val="bullet"/>
      <w:lvlText w:val="•"/>
      <w:lvlJc w:val="left"/>
      <w:pPr>
        <w:ind w:left="4944" w:hanging="250"/>
      </w:pPr>
      <w:rPr>
        <w:rFonts w:hint="default"/>
        <w:lang w:val="en-US" w:eastAsia="en-US" w:bidi="ar-SA"/>
      </w:rPr>
    </w:lvl>
    <w:lvl w:ilvl="4">
      <w:start w:val="0"/>
      <w:numFmt w:val="bullet"/>
      <w:lvlText w:val="•"/>
      <w:lvlJc w:val="left"/>
      <w:pPr>
        <w:ind w:left="5692" w:hanging="250"/>
      </w:pPr>
      <w:rPr>
        <w:rFonts w:hint="default"/>
        <w:lang w:val="en-US" w:eastAsia="en-US" w:bidi="ar-SA"/>
      </w:rPr>
    </w:lvl>
    <w:lvl w:ilvl="5">
      <w:start w:val="0"/>
      <w:numFmt w:val="bullet"/>
      <w:lvlText w:val="•"/>
      <w:lvlJc w:val="left"/>
      <w:pPr>
        <w:ind w:left="6440" w:hanging="250"/>
      </w:pPr>
      <w:rPr>
        <w:rFonts w:hint="default"/>
        <w:lang w:val="en-US" w:eastAsia="en-US" w:bidi="ar-SA"/>
      </w:rPr>
    </w:lvl>
    <w:lvl w:ilvl="6">
      <w:start w:val="0"/>
      <w:numFmt w:val="bullet"/>
      <w:lvlText w:val="•"/>
      <w:lvlJc w:val="left"/>
      <w:pPr>
        <w:ind w:left="7188" w:hanging="250"/>
      </w:pPr>
      <w:rPr>
        <w:rFonts w:hint="default"/>
        <w:lang w:val="en-US" w:eastAsia="en-US" w:bidi="ar-SA"/>
      </w:rPr>
    </w:lvl>
    <w:lvl w:ilvl="7">
      <w:start w:val="0"/>
      <w:numFmt w:val="bullet"/>
      <w:lvlText w:val="•"/>
      <w:lvlJc w:val="left"/>
      <w:pPr>
        <w:ind w:left="7936" w:hanging="250"/>
      </w:pPr>
      <w:rPr>
        <w:rFonts w:hint="default"/>
        <w:lang w:val="en-US" w:eastAsia="en-US" w:bidi="ar-SA"/>
      </w:rPr>
    </w:lvl>
    <w:lvl w:ilvl="8">
      <w:start w:val="0"/>
      <w:numFmt w:val="bullet"/>
      <w:lvlText w:val="•"/>
      <w:lvlJc w:val="left"/>
      <w:pPr>
        <w:ind w:left="8684" w:hanging="250"/>
      </w:pPr>
      <w:rPr>
        <w:rFonts w:hint="default"/>
        <w:lang w:val="en-US" w:eastAsia="en-US" w:bidi="ar-SA"/>
      </w:rPr>
    </w:lvl>
  </w:abstractNum>
  <w:abstractNum w:abstractNumId="175">
    <w:multiLevelType w:val="hybridMultilevel"/>
    <w:lvl w:ilvl="0">
      <w:start w:val="1"/>
      <w:numFmt w:val="decimal"/>
      <w:lvlText w:val="%1."/>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412" w:hanging="317"/>
      </w:pPr>
      <w:rPr>
        <w:rFonts w:hint="default"/>
        <w:lang w:val="en-US" w:eastAsia="en-US" w:bidi="ar-SA"/>
      </w:rPr>
    </w:lvl>
    <w:lvl w:ilvl="2">
      <w:start w:val="0"/>
      <w:numFmt w:val="bullet"/>
      <w:lvlText w:val="•"/>
      <w:lvlJc w:val="left"/>
      <w:pPr>
        <w:ind w:left="4164" w:hanging="317"/>
      </w:pPr>
      <w:rPr>
        <w:rFonts w:hint="default"/>
        <w:lang w:val="en-US" w:eastAsia="en-US" w:bidi="ar-SA"/>
      </w:rPr>
    </w:lvl>
    <w:lvl w:ilvl="3">
      <w:start w:val="0"/>
      <w:numFmt w:val="bullet"/>
      <w:lvlText w:val="•"/>
      <w:lvlJc w:val="left"/>
      <w:pPr>
        <w:ind w:left="4916" w:hanging="317"/>
      </w:pPr>
      <w:rPr>
        <w:rFonts w:hint="default"/>
        <w:lang w:val="en-US" w:eastAsia="en-US" w:bidi="ar-SA"/>
      </w:rPr>
    </w:lvl>
    <w:lvl w:ilvl="4">
      <w:start w:val="0"/>
      <w:numFmt w:val="bullet"/>
      <w:lvlText w:val="•"/>
      <w:lvlJc w:val="left"/>
      <w:pPr>
        <w:ind w:left="5668" w:hanging="317"/>
      </w:pPr>
      <w:rPr>
        <w:rFonts w:hint="default"/>
        <w:lang w:val="en-US" w:eastAsia="en-US" w:bidi="ar-SA"/>
      </w:rPr>
    </w:lvl>
    <w:lvl w:ilvl="5">
      <w:start w:val="0"/>
      <w:numFmt w:val="bullet"/>
      <w:lvlText w:val="•"/>
      <w:lvlJc w:val="left"/>
      <w:pPr>
        <w:ind w:left="6420" w:hanging="317"/>
      </w:pPr>
      <w:rPr>
        <w:rFonts w:hint="default"/>
        <w:lang w:val="en-US" w:eastAsia="en-US" w:bidi="ar-SA"/>
      </w:rPr>
    </w:lvl>
    <w:lvl w:ilvl="6">
      <w:start w:val="0"/>
      <w:numFmt w:val="bullet"/>
      <w:lvlText w:val="•"/>
      <w:lvlJc w:val="left"/>
      <w:pPr>
        <w:ind w:left="7172" w:hanging="317"/>
      </w:pPr>
      <w:rPr>
        <w:rFonts w:hint="default"/>
        <w:lang w:val="en-US" w:eastAsia="en-US" w:bidi="ar-SA"/>
      </w:rPr>
    </w:lvl>
    <w:lvl w:ilvl="7">
      <w:start w:val="0"/>
      <w:numFmt w:val="bullet"/>
      <w:lvlText w:val="•"/>
      <w:lvlJc w:val="left"/>
      <w:pPr>
        <w:ind w:left="7924" w:hanging="317"/>
      </w:pPr>
      <w:rPr>
        <w:rFonts w:hint="default"/>
        <w:lang w:val="en-US" w:eastAsia="en-US" w:bidi="ar-SA"/>
      </w:rPr>
    </w:lvl>
    <w:lvl w:ilvl="8">
      <w:start w:val="0"/>
      <w:numFmt w:val="bullet"/>
      <w:lvlText w:val="•"/>
      <w:lvlJc w:val="left"/>
      <w:pPr>
        <w:ind w:left="8676" w:hanging="317"/>
      </w:pPr>
      <w:rPr>
        <w:rFonts w:hint="default"/>
        <w:lang w:val="en-US" w:eastAsia="en-US" w:bidi="ar-SA"/>
      </w:rPr>
    </w:lvl>
  </w:abstractNum>
  <w:abstractNum w:abstractNumId="174">
    <w:multiLevelType w:val="hybridMultilevel"/>
    <w:lvl w:ilvl="0">
      <w:start w:val="0"/>
      <w:numFmt w:val="bullet"/>
      <w:lvlText w:val="–"/>
      <w:lvlJc w:val="left"/>
      <w:pPr>
        <w:ind w:left="2937"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664" w:hanging="250"/>
      </w:pPr>
      <w:rPr>
        <w:rFonts w:hint="default"/>
        <w:lang w:val="en-US" w:eastAsia="en-US" w:bidi="ar-SA"/>
      </w:rPr>
    </w:lvl>
    <w:lvl w:ilvl="2">
      <w:start w:val="0"/>
      <w:numFmt w:val="bullet"/>
      <w:lvlText w:val="•"/>
      <w:lvlJc w:val="left"/>
      <w:pPr>
        <w:ind w:left="4388" w:hanging="250"/>
      </w:pPr>
      <w:rPr>
        <w:rFonts w:hint="default"/>
        <w:lang w:val="en-US" w:eastAsia="en-US" w:bidi="ar-SA"/>
      </w:rPr>
    </w:lvl>
    <w:lvl w:ilvl="3">
      <w:start w:val="0"/>
      <w:numFmt w:val="bullet"/>
      <w:lvlText w:val="•"/>
      <w:lvlJc w:val="left"/>
      <w:pPr>
        <w:ind w:left="5112" w:hanging="250"/>
      </w:pPr>
      <w:rPr>
        <w:rFonts w:hint="default"/>
        <w:lang w:val="en-US" w:eastAsia="en-US" w:bidi="ar-SA"/>
      </w:rPr>
    </w:lvl>
    <w:lvl w:ilvl="4">
      <w:start w:val="0"/>
      <w:numFmt w:val="bullet"/>
      <w:lvlText w:val="•"/>
      <w:lvlJc w:val="left"/>
      <w:pPr>
        <w:ind w:left="5836" w:hanging="250"/>
      </w:pPr>
      <w:rPr>
        <w:rFonts w:hint="default"/>
        <w:lang w:val="en-US" w:eastAsia="en-US" w:bidi="ar-SA"/>
      </w:rPr>
    </w:lvl>
    <w:lvl w:ilvl="5">
      <w:start w:val="0"/>
      <w:numFmt w:val="bullet"/>
      <w:lvlText w:val="•"/>
      <w:lvlJc w:val="left"/>
      <w:pPr>
        <w:ind w:left="6560" w:hanging="250"/>
      </w:pPr>
      <w:rPr>
        <w:rFonts w:hint="default"/>
        <w:lang w:val="en-US" w:eastAsia="en-US" w:bidi="ar-SA"/>
      </w:rPr>
    </w:lvl>
    <w:lvl w:ilvl="6">
      <w:start w:val="0"/>
      <w:numFmt w:val="bullet"/>
      <w:lvlText w:val="•"/>
      <w:lvlJc w:val="left"/>
      <w:pPr>
        <w:ind w:left="7284" w:hanging="250"/>
      </w:pPr>
      <w:rPr>
        <w:rFonts w:hint="default"/>
        <w:lang w:val="en-US" w:eastAsia="en-US" w:bidi="ar-SA"/>
      </w:rPr>
    </w:lvl>
    <w:lvl w:ilvl="7">
      <w:start w:val="0"/>
      <w:numFmt w:val="bullet"/>
      <w:lvlText w:val="•"/>
      <w:lvlJc w:val="left"/>
      <w:pPr>
        <w:ind w:left="8008" w:hanging="250"/>
      </w:pPr>
      <w:rPr>
        <w:rFonts w:hint="default"/>
        <w:lang w:val="en-US" w:eastAsia="en-US" w:bidi="ar-SA"/>
      </w:rPr>
    </w:lvl>
    <w:lvl w:ilvl="8">
      <w:start w:val="0"/>
      <w:numFmt w:val="bullet"/>
      <w:lvlText w:val="•"/>
      <w:lvlJc w:val="left"/>
      <w:pPr>
        <w:ind w:left="8732" w:hanging="250"/>
      </w:pPr>
      <w:rPr>
        <w:rFonts w:hint="default"/>
        <w:lang w:val="en-US" w:eastAsia="en-US" w:bidi="ar-SA"/>
      </w:rPr>
    </w:lvl>
  </w:abstractNum>
  <w:abstractNum w:abstractNumId="171">
    <w:multiLevelType w:val="hybridMultilevel"/>
    <w:lvl w:ilvl="0">
      <w:start w:val="1"/>
      <w:numFmt w:val="lowerLetter"/>
      <w:lvlText w:val="%1."/>
      <w:lvlJc w:val="left"/>
      <w:pPr>
        <w:ind w:left="3320"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006" w:hanging="317"/>
      </w:pPr>
      <w:rPr>
        <w:rFonts w:hint="default"/>
        <w:lang w:val="en-US" w:eastAsia="en-US" w:bidi="ar-SA"/>
      </w:rPr>
    </w:lvl>
    <w:lvl w:ilvl="2">
      <w:start w:val="0"/>
      <w:numFmt w:val="bullet"/>
      <w:lvlText w:val="•"/>
      <w:lvlJc w:val="left"/>
      <w:pPr>
        <w:ind w:left="4692" w:hanging="317"/>
      </w:pPr>
      <w:rPr>
        <w:rFonts w:hint="default"/>
        <w:lang w:val="en-US" w:eastAsia="en-US" w:bidi="ar-SA"/>
      </w:rPr>
    </w:lvl>
    <w:lvl w:ilvl="3">
      <w:start w:val="0"/>
      <w:numFmt w:val="bullet"/>
      <w:lvlText w:val="•"/>
      <w:lvlJc w:val="left"/>
      <w:pPr>
        <w:ind w:left="5378" w:hanging="317"/>
      </w:pPr>
      <w:rPr>
        <w:rFonts w:hint="default"/>
        <w:lang w:val="en-US" w:eastAsia="en-US" w:bidi="ar-SA"/>
      </w:rPr>
    </w:lvl>
    <w:lvl w:ilvl="4">
      <w:start w:val="0"/>
      <w:numFmt w:val="bullet"/>
      <w:lvlText w:val="•"/>
      <w:lvlJc w:val="left"/>
      <w:pPr>
        <w:ind w:left="6064" w:hanging="317"/>
      </w:pPr>
      <w:rPr>
        <w:rFonts w:hint="default"/>
        <w:lang w:val="en-US" w:eastAsia="en-US" w:bidi="ar-SA"/>
      </w:rPr>
    </w:lvl>
    <w:lvl w:ilvl="5">
      <w:start w:val="0"/>
      <w:numFmt w:val="bullet"/>
      <w:lvlText w:val="•"/>
      <w:lvlJc w:val="left"/>
      <w:pPr>
        <w:ind w:left="6750" w:hanging="317"/>
      </w:pPr>
      <w:rPr>
        <w:rFonts w:hint="default"/>
        <w:lang w:val="en-US" w:eastAsia="en-US" w:bidi="ar-SA"/>
      </w:rPr>
    </w:lvl>
    <w:lvl w:ilvl="6">
      <w:start w:val="0"/>
      <w:numFmt w:val="bullet"/>
      <w:lvlText w:val="•"/>
      <w:lvlJc w:val="left"/>
      <w:pPr>
        <w:ind w:left="7436" w:hanging="317"/>
      </w:pPr>
      <w:rPr>
        <w:rFonts w:hint="default"/>
        <w:lang w:val="en-US" w:eastAsia="en-US" w:bidi="ar-SA"/>
      </w:rPr>
    </w:lvl>
    <w:lvl w:ilvl="7">
      <w:start w:val="0"/>
      <w:numFmt w:val="bullet"/>
      <w:lvlText w:val="•"/>
      <w:lvlJc w:val="left"/>
      <w:pPr>
        <w:ind w:left="8122" w:hanging="317"/>
      </w:pPr>
      <w:rPr>
        <w:rFonts w:hint="default"/>
        <w:lang w:val="en-US" w:eastAsia="en-US" w:bidi="ar-SA"/>
      </w:rPr>
    </w:lvl>
    <w:lvl w:ilvl="8">
      <w:start w:val="0"/>
      <w:numFmt w:val="bullet"/>
      <w:lvlText w:val="•"/>
      <w:lvlJc w:val="left"/>
      <w:pPr>
        <w:ind w:left="8808" w:hanging="317"/>
      </w:pPr>
      <w:rPr>
        <w:rFonts w:hint="default"/>
        <w:lang w:val="en-US" w:eastAsia="en-US" w:bidi="ar-SA"/>
      </w:rPr>
    </w:lvl>
  </w:abstractNum>
  <w:abstractNum w:abstractNumId="163">
    <w:multiLevelType w:val="hybridMultilevel"/>
    <w:lvl w:ilvl="0">
      <w:start w:val="1"/>
      <w:numFmt w:val="decimal"/>
      <w:lvlText w:val="%1."/>
      <w:lvlJc w:val="left"/>
      <w:pPr>
        <w:ind w:left="350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168" w:hanging="317"/>
      </w:pPr>
      <w:rPr>
        <w:rFonts w:hint="default"/>
        <w:lang w:val="en-US" w:eastAsia="en-US" w:bidi="ar-SA"/>
      </w:rPr>
    </w:lvl>
    <w:lvl w:ilvl="2">
      <w:start w:val="0"/>
      <w:numFmt w:val="bullet"/>
      <w:lvlText w:val="•"/>
      <w:lvlJc w:val="left"/>
      <w:pPr>
        <w:ind w:left="4836" w:hanging="317"/>
      </w:pPr>
      <w:rPr>
        <w:rFonts w:hint="default"/>
        <w:lang w:val="en-US" w:eastAsia="en-US" w:bidi="ar-SA"/>
      </w:rPr>
    </w:lvl>
    <w:lvl w:ilvl="3">
      <w:start w:val="0"/>
      <w:numFmt w:val="bullet"/>
      <w:lvlText w:val="•"/>
      <w:lvlJc w:val="left"/>
      <w:pPr>
        <w:ind w:left="5504" w:hanging="317"/>
      </w:pPr>
      <w:rPr>
        <w:rFonts w:hint="default"/>
        <w:lang w:val="en-US" w:eastAsia="en-US" w:bidi="ar-SA"/>
      </w:rPr>
    </w:lvl>
    <w:lvl w:ilvl="4">
      <w:start w:val="0"/>
      <w:numFmt w:val="bullet"/>
      <w:lvlText w:val="•"/>
      <w:lvlJc w:val="left"/>
      <w:pPr>
        <w:ind w:left="6172" w:hanging="317"/>
      </w:pPr>
      <w:rPr>
        <w:rFonts w:hint="default"/>
        <w:lang w:val="en-US" w:eastAsia="en-US" w:bidi="ar-SA"/>
      </w:rPr>
    </w:lvl>
    <w:lvl w:ilvl="5">
      <w:start w:val="0"/>
      <w:numFmt w:val="bullet"/>
      <w:lvlText w:val="•"/>
      <w:lvlJc w:val="left"/>
      <w:pPr>
        <w:ind w:left="6840" w:hanging="317"/>
      </w:pPr>
      <w:rPr>
        <w:rFonts w:hint="default"/>
        <w:lang w:val="en-US" w:eastAsia="en-US" w:bidi="ar-SA"/>
      </w:rPr>
    </w:lvl>
    <w:lvl w:ilvl="6">
      <w:start w:val="0"/>
      <w:numFmt w:val="bullet"/>
      <w:lvlText w:val="•"/>
      <w:lvlJc w:val="left"/>
      <w:pPr>
        <w:ind w:left="7508" w:hanging="317"/>
      </w:pPr>
      <w:rPr>
        <w:rFonts w:hint="default"/>
        <w:lang w:val="en-US" w:eastAsia="en-US" w:bidi="ar-SA"/>
      </w:rPr>
    </w:lvl>
    <w:lvl w:ilvl="7">
      <w:start w:val="0"/>
      <w:numFmt w:val="bullet"/>
      <w:lvlText w:val="•"/>
      <w:lvlJc w:val="left"/>
      <w:pPr>
        <w:ind w:left="8176"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162">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61">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48">
    <w:multiLevelType w:val="hybridMultilevel"/>
    <w:lvl w:ilvl="0">
      <w:start w:val="1"/>
      <w:numFmt w:val="decimal"/>
      <w:lvlText w:val="%1."/>
      <w:lvlJc w:val="left"/>
      <w:pPr>
        <w:ind w:left="2899" w:hanging="317"/>
        <w:jc w:val="right"/>
      </w:pPr>
      <w:rPr>
        <w:rFonts w:hint="default"/>
        <w:spacing w:val="0"/>
        <w:w w:val="99"/>
        <w:lang w:val="en-US" w:eastAsia="en-US" w:bidi="ar-SA"/>
      </w:rPr>
    </w:lvl>
    <w:lvl w:ilvl="1">
      <w:start w:val="1"/>
      <w:numFmt w:val="decimal"/>
      <w:lvlText w:val="%2."/>
      <w:lvlJc w:val="left"/>
      <w:pPr>
        <w:ind w:left="2788" w:hanging="317"/>
        <w:jc w:val="left"/>
      </w:pPr>
      <w:rPr>
        <w:rFonts w:hint="default"/>
        <w:spacing w:val="0"/>
        <w:w w:val="99"/>
        <w:lang w:val="en-US" w:eastAsia="en-US" w:bidi="ar-SA"/>
      </w:rPr>
    </w:lvl>
    <w:lvl w:ilvl="2">
      <w:start w:val="0"/>
      <w:numFmt w:val="bullet"/>
      <w:lvlText w:val="•"/>
      <w:lvlJc w:val="left"/>
      <w:pPr>
        <w:ind w:left="3708" w:hanging="317"/>
      </w:pPr>
      <w:rPr>
        <w:rFonts w:hint="default"/>
        <w:lang w:val="en-US" w:eastAsia="en-US" w:bidi="ar-SA"/>
      </w:rPr>
    </w:lvl>
    <w:lvl w:ilvl="3">
      <w:start w:val="0"/>
      <w:numFmt w:val="bullet"/>
      <w:lvlText w:val="•"/>
      <w:lvlJc w:val="left"/>
      <w:pPr>
        <w:ind w:left="4517" w:hanging="317"/>
      </w:pPr>
      <w:rPr>
        <w:rFonts w:hint="default"/>
        <w:lang w:val="en-US" w:eastAsia="en-US" w:bidi="ar-SA"/>
      </w:rPr>
    </w:lvl>
    <w:lvl w:ilvl="4">
      <w:start w:val="0"/>
      <w:numFmt w:val="bullet"/>
      <w:lvlText w:val="•"/>
      <w:lvlJc w:val="left"/>
      <w:pPr>
        <w:ind w:left="5326" w:hanging="317"/>
      </w:pPr>
      <w:rPr>
        <w:rFonts w:hint="default"/>
        <w:lang w:val="en-US" w:eastAsia="en-US" w:bidi="ar-SA"/>
      </w:rPr>
    </w:lvl>
    <w:lvl w:ilvl="5">
      <w:start w:val="0"/>
      <w:numFmt w:val="bullet"/>
      <w:lvlText w:val="•"/>
      <w:lvlJc w:val="left"/>
      <w:pPr>
        <w:ind w:left="6135" w:hanging="317"/>
      </w:pPr>
      <w:rPr>
        <w:rFonts w:hint="default"/>
        <w:lang w:val="en-US" w:eastAsia="en-US" w:bidi="ar-SA"/>
      </w:rPr>
    </w:lvl>
    <w:lvl w:ilvl="6">
      <w:start w:val="0"/>
      <w:numFmt w:val="bullet"/>
      <w:lvlText w:val="•"/>
      <w:lvlJc w:val="left"/>
      <w:pPr>
        <w:ind w:left="6944" w:hanging="317"/>
      </w:pPr>
      <w:rPr>
        <w:rFonts w:hint="default"/>
        <w:lang w:val="en-US" w:eastAsia="en-US" w:bidi="ar-SA"/>
      </w:rPr>
    </w:lvl>
    <w:lvl w:ilvl="7">
      <w:start w:val="0"/>
      <w:numFmt w:val="bullet"/>
      <w:lvlText w:val="•"/>
      <w:lvlJc w:val="left"/>
      <w:pPr>
        <w:ind w:left="7753" w:hanging="317"/>
      </w:pPr>
      <w:rPr>
        <w:rFonts w:hint="default"/>
        <w:lang w:val="en-US" w:eastAsia="en-US" w:bidi="ar-SA"/>
      </w:rPr>
    </w:lvl>
    <w:lvl w:ilvl="8">
      <w:start w:val="0"/>
      <w:numFmt w:val="bullet"/>
      <w:lvlText w:val="•"/>
      <w:lvlJc w:val="left"/>
      <w:pPr>
        <w:ind w:left="8562" w:hanging="317"/>
      </w:pPr>
      <w:rPr>
        <w:rFonts w:hint="default"/>
        <w:lang w:val="en-US" w:eastAsia="en-US" w:bidi="ar-SA"/>
      </w:rPr>
    </w:lvl>
  </w:abstractNum>
  <w:abstractNum w:abstractNumId="144">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43">
    <w:multiLevelType w:val="hybridMultilevel"/>
    <w:lvl w:ilvl="0">
      <w:start w:val="1"/>
      <w:numFmt w:val="decimal"/>
      <w:lvlText w:val="%1."/>
      <w:lvlJc w:val="left"/>
      <w:pPr>
        <w:ind w:left="2899"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215"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993" w:hanging="317"/>
      </w:pPr>
      <w:rPr>
        <w:rFonts w:hint="default"/>
        <w:lang w:val="en-US" w:eastAsia="en-US" w:bidi="ar-SA"/>
      </w:rPr>
    </w:lvl>
    <w:lvl w:ilvl="3">
      <w:start w:val="0"/>
      <w:numFmt w:val="bullet"/>
      <w:lvlText w:val="•"/>
      <w:lvlJc w:val="left"/>
      <w:pPr>
        <w:ind w:left="4766" w:hanging="317"/>
      </w:pPr>
      <w:rPr>
        <w:rFonts w:hint="default"/>
        <w:lang w:val="en-US" w:eastAsia="en-US" w:bidi="ar-SA"/>
      </w:rPr>
    </w:lvl>
    <w:lvl w:ilvl="4">
      <w:start w:val="0"/>
      <w:numFmt w:val="bullet"/>
      <w:lvlText w:val="•"/>
      <w:lvlJc w:val="left"/>
      <w:pPr>
        <w:ind w:left="5540" w:hanging="317"/>
      </w:pPr>
      <w:rPr>
        <w:rFonts w:hint="default"/>
        <w:lang w:val="en-US" w:eastAsia="en-US" w:bidi="ar-SA"/>
      </w:rPr>
    </w:lvl>
    <w:lvl w:ilvl="5">
      <w:start w:val="0"/>
      <w:numFmt w:val="bullet"/>
      <w:lvlText w:val="•"/>
      <w:lvlJc w:val="left"/>
      <w:pPr>
        <w:ind w:left="6313" w:hanging="317"/>
      </w:pPr>
      <w:rPr>
        <w:rFonts w:hint="default"/>
        <w:lang w:val="en-US" w:eastAsia="en-US" w:bidi="ar-SA"/>
      </w:rPr>
    </w:lvl>
    <w:lvl w:ilvl="6">
      <w:start w:val="0"/>
      <w:numFmt w:val="bullet"/>
      <w:lvlText w:val="•"/>
      <w:lvlJc w:val="left"/>
      <w:pPr>
        <w:ind w:left="7086" w:hanging="317"/>
      </w:pPr>
      <w:rPr>
        <w:rFonts w:hint="default"/>
        <w:lang w:val="en-US" w:eastAsia="en-US" w:bidi="ar-SA"/>
      </w:rPr>
    </w:lvl>
    <w:lvl w:ilvl="7">
      <w:start w:val="0"/>
      <w:numFmt w:val="bullet"/>
      <w:lvlText w:val="•"/>
      <w:lvlJc w:val="left"/>
      <w:pPr>
        <w:ind w:left="7860" w:hanging="317"/>
      </w:pPr>
      <w:rPr>
        <w:rFonts w:hint="default"/>
        <w:lang w:val="en-US" w:eastAsia="en-US" w:bidi="ar-SA"/>
      </w:rPr>
    </w:lvl>
    <w:lvl w:ilvl="8">
      <w:start w:val="0"/>
      <w:numFmt w:val="bullet"/>
      <w:lvlText w:val="•"/>
      <w:lvlJc w:val="left"/>
      <w:pPr>
        <w:ind w:left="8633" w:hanging="317"/>
      </w:pPr>
      <w:rPr>
        <w:rFonts w:hint="default"/>
        <w:lang w:val="en-US" w:eastAsia="en-US" w:bidi="ar-SA"/>
      </w:rPr>
    </w:lvl>
  </w:abstractNum>
  <w:abstractNum w:abstractNumId="135">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34">
    <w:multiLevelType w:val="hybridMultilevel"/>
    <w:lvl w:ilvl="0">
      <w:start w:val="0"/>
      <w:numFmt w:val="bullet"/>
      <w:lvlText w:val="–"/>
      <w:lvlJc w:val="left"/>
      <w:pPr>
        <w:ind w:left="3416"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4096" w:hanging="250"/>
      </w:pPr>
      <w:rPr>
        <w:rFonts w:hint="default"/>
        <w:lang w:val="en-US" w:eastAsia="en-US" w:bidi="ar-SA"/>
      </w:rPr>
    </w:lvl>
    <w:lvl w:ilvl="2">
      <w:start w:val="0"/>
      <w:numFmt w:val="bullet"/>
      <w:lvlText w:val="•"/>
      <w:lvlJc w:val="left"/>
      <w:pPr>
        <w:ind w:left="4772" w:hanging="250"/>
      </w:pPr>
      <w:rPr>
        <w:rFonts w:hint="default"/>
        <w:lang w:val="en-US" w:eastAsia="en-US" w:bidi="ar-SA"/>
      </w:rPr>
    </w:lvl>
    <w:lvl w:ilvl="3">
      <w:start w:val="0"/>
      <w:numFmt w:val="bullet"/>
      <w:lvlText w:val="•"/>
      <w:lvlJc w:val="left"/>
      <w:pPr>
        <w:ind w:left="5448" w:hanging="250"/>
      </w:pPr>
      <w:rPr>
        <w:rFonts w:hint="default"/>
        <w:lang w:val="en-US" w:eastAsia="en-US" w:bidi="ar-SA"/>
      </w:rPr>
    </w:lvl>
    <w:lvl w:ilvl="4">
      <w:start w:val="0"/>
      <w:numFmt w:val="bullet"/>
      <w:lvlText w:val="•"/>
      <w:lvlJc w:val="left"/>
      <w:pPr>
        <w:ind w:left="6124" w:hanging="250"/>
      </w:pPr>
      <w:rPr>
        <w:rFonts w:hint="default"/>
        <w:lang w:val="en-US" w:eastAsia="en-US" w:bidi="ar-SA"/>
      </w:rPr>
    </w:lvl>
    <w:lvl w:ilvl="5">
      <w:start w:val="0"/>
      <w:numFmt w:val="bullet"/>
      <w:lvlText w:val="•"/>
      <w:lvlJc w:val="left"/>
      <w:pPr>
        <w:ind w:left="6800" w:hanging="250"/>
      </w:pPr>
      <w:rPr>
        <w:rFonts w:hint="default"/>
        <w:lang w:val="en-US" w:eastAsia="en-US" w:bidi="ar-SA"/>
      </w:rPr>
    </w:lvl>
    <w:lvl w:ilvl="6">
      <w:start w:val="0"/>
      <w:numFmt w:val="bullet"/>
      <w:lvlText w:val="•"/>
      <w:lvlJc w:val="left"/>
      <w:pPr>
        <w:ind w:left="7476" w:hanging="250"/>
      </w:pPr>
      <w:rPr>
        <w:rFonts w:hint="default"/>
        <w:lang w:val="en-US" w:eastAsia="en-US" w:bidi="ar-SA"/>
      </w:rPr>
    </w:lvl>
    <w:lvl w:ilvl="7">
      <w:start w:val="0"/>
      <w:numFmt w:val="bullet"/>
      <w:lvlText w:val="•"/>
      <w:lvlJc w:val="left"/>
      <w:pPr>
        <w:ind w:left="8152" w:hanging="250"/>
      </w:pPr>
      <w:rPr>
        <w:rFonts w:hint="default"/>
        <w:lang w:val="en-US" w:eastAsia="en-US" w:bidi="ar-SA"/>
      </w:rPr>
    </w:lvl>
    <w:lvl w:ilvl="8">
      <w:start w:val="0"/>
      <w:numFmt w:val="bullet"/>
      <w:lvlText w:val="•"/>
      <w:lvlJc w:val="left"/>
      <w:pPr>
        <w:ind w:left="8828" w:hanging="250"/>
      </w:pPr>
      <w:rPr>
        <w:rFonts w:hint="default"/>
        <w:lang w:val="en-US" w:eastAsia="en-US" w:bidi="ar-SA"/>
      </w:rPr>
    </w:lvl>
  </w:abstractNum>
  <w:abstractNum w:abstractNumId="133">
    <w:multiLevelType w:val="hybridMultilevel"/>
    <w:lvl w:ilvl="0">
      <w:start w:val="1"/>
      <w:numFmt w:val="decimal"/>
      <w:lvlText w:val="%1."/>
      <w:lvlJc w:val="left"/>
      <w:pPr>
        <w:ind w:left="3004"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718" w:hanging="317"/>
      </w:pPr>
      <w:rPr>
        <w:rFonts w:hint="default"/>
        <w:lang w:val="en-US" w:eastAsia="en-US" w:bidi="ar-SA"/>
      </w:rPr>
    </w:lvl>
    <w:lvl w:ilvl="2">
      <w:start w:val="0"/>
      <w:numFmt w:val="bullet"/>
      <w:lvlText w:val="•"/>
      <w:lvlJc w:val="left"/>
      <w:pPr>
        <w:ind w:left="4436" w:hanging="317"/>
      </w:pPr>
      <w:rPr>
        <w:rFonts w:hint="default"/>
        <w:lang w:val="en-US" w:eastAsia="en-US" w:bidi="ar-SA"/>
      </w:rPr>
    </w:lvl>
    <w:lvl w:ilvl="3">
      <w:start w:val="0"/>
      <w:numFmt w:val="bullet"/>
      <w:lvlText w:val="•"/>
      <w:lvlJc w:val="left"/>
      <w:pPr>
        <w:ind w:left="5154" w:hanging="317"/>
      </w:pPr>
      <w:rPr>
        <w:rFonts w:hint="default"/>
        <w:lang w:val="en-US" w:eastAsia="en-US" w:bidi="ar-SA"/>
      </w:rPr>
    </w:lvl>
    <w:lvl w:ilvl="4">
      <w:start w:val="0"/>
      <w:numFmt w:val="bullet"/>
      <w:lvlText w:val="•"/>
      <w:lvlJc w:val="left"/>
      <w:pPr>
        <w:ind w:left="5872" w:hanging="317"/>
      </w:pPr>
      <w:rPr>
        <w:rFonts w:hint="default"/>
        <w:lang w:val="en-US" w:eastAsia="en-US" w:bidi="ar-SA"/>
      </w:rPr>
    </w:lvl>
    <w:lvl w:ilvl="5">
      <w:start w:val="0"/>
      <w:numFmt w:val="bullet"/>
      <w:lvlText w:val="•"/>
      <w:lvlJc w:val="left"/>
      <w:pPr>
        <w:ind w:left="6590" w:hanging="317"/>
      </w:pPr>
      <w:rPr>
        <w:rFonts w:hint="default"/>
        <w:lang w:val="en-US" w:eastAsia="en-US" w:bidi="ar-SA"/>
      </w:rPr>
    </w:lvl>
    <w:lvl w:ilvl="6">
      <w:start w:val="0"/>
      <w:numFmt w:val="bullet"/>
      <w:lvlText w:val="•"/>
      <w:lvlJc w:val="left"/>
      <w:pPr>
        <w:ind w:left="7308" w:hanging="317"/>
      </w:pPr>
      <w:rPr>
        <w:rFonts w:hint="default"/>
        <w:lang w:val="en-US" w:eastAsia="en-US" w:bidi="ar-SA"/>
      </w:rPr>
    </w:lvl>
    <w:lvl w:ilvl="7">
      <w:start w:val="0"/>
      <w:numFmt w:val="bullet"/>
      <w:lvlText w:val="•"/>
      <w:lvlJc w:val="left"/>
      <w:pPr>
        <w:ind w:left="8026" w:hanging="317"/>
      </w:pPr>
      <w:rPr>
        <w:rFonts w:hint="default"/>
        <w:lang w:val="en-US" w:eastAsia="en-US" w:bidi="ar-SA"/>
      </w:rPr>
    </w:lvl>
    <w:lvl w:ilvl="8">
      <w:start w:val="0"/>
      <w:numFmt w:val="bullet"/>
      <w:lvlText w:val="•"/>
      <w:lvlJc w:val="left"/>
      <w:pPr>
        <w:ind w:left="8744" w:hanging="317"/>
      </w:pPr>
      <w:rPr>
        <w:rFonts w:hint="default"/>
        <w:lang w:val="en-US" w:eastAsia="en-US" w:bidi="ar-SA"/>
      </w:rPr>
    </w:lvl>
  </w:abstractNum>
  <w:abstractNum w:abstractNumId="132">
    <w:multiLevelType w:val="hybridMultilevel"/>
    <w:lvl w:ilvl="0">
      <w:start w:val="1"/>
      <w:numFmt w:val="decimal"/>
      <w:lvlText w:val="%1."/>
      <w:lvlJc w:val="left"/>
      <w:pPr>
        <w:ind w:left="300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253"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2">
      <w:start w:val="0"/>
      <w:numFmt w:val="bullet"/>
      <w:lvlText w:val="•"/>
      <w:lvlJc w:val="left"/>
      <w:pPr>
        <w:ind w:left="4028" w:hanging="250"/>
      </w:pPr>
      <w:rPr>
        <w:rFonts w:hint="default"/>
        <w:lang w:val="en-US" w:eastAsia="en-US" w:bidi="ar-SA"/>
      </w:rPr>
    </w:lvl>
    <w:lvl w:ilvl="3">
      <w:start w:val="0"/>
      <w:numFmt w:val="bullet"/>
      <w:lvlText w:val="•"/>
      <w:lvlJc w:val="left"/>
      <w:pPr>
        <w:ind w:left="4797" w:hanging="250"/>
      </w:pPr>
      <w:rPr>
        <w:rFonts w:hint="default"/>
        <w:lang w:val="en-US" w:eastAsia="en-US" w:bidi="ar-SA"/>
      </w:rPr>
    </w:lvl>
    <w:lvl w:ilvl="4">
      <w:start w:val="0"/>
      <w:numFmt w:val="bullet"/>
      <w:lvlText w:val="•"/>
      <w:lvlJc w:val="left"/>
      <w:pPr>
        <w:ind w:left="5566" w:hanging="250"/>
      </w:pPr>
      <w:rPr>
        <w:rFonts w:hint="default"/>
        <w:lang w:val="en-US" w:eastAsia="en-US" w:bidi="ar-SA"/>
      </w:rPr>
    </w:lvl>
    <w:lvl w:ilvl="5">
      <w:start w:val="0"/>
      <w:numFmt w:val="bullet"/>
      <w:lvlText w:val="•"/>
      <w:lvlJc w:val="left"/>
      <w:pPr>
        <w:ind w:left="6335" w:hanging="250"/>
      </w:pPr>
      <w:rPr>
        <w:rFonts w:hint="default"/>
        <w:lang w:val="en-US" w:eastAsia="en-US" w:bidi="ar-SA"/>
      </w:rPr>
    </w:lvl>
    <w:lvl w:ilvl="6">
      <w:start w:val="0"/>
      <w:numFmt w:val="bullet"/>
      <w:lvlText w:val="•"/>
      <w:lvlJc w:val="left"/>
      <w:pPr>
        <w:ind w:left="7104" w:hanging="250"/>
      </w:pPr>
      <w:rPr>
        <w:rFonts w:hint="default"/>
        <w:lang w:val="en-US" w:eastAsia="en-US" w:bidi="ar-SA"/>
      </w:rPr>
    </w:lvl>
    <w:lvl w:ilvl="7">
      <w:start w:val="0"/>
      <w:numFmt w:val="bullet"/>
      <w:lvlText w:val="•"/>
      <w:lvlJc w:val="left"/>
      <w:pPr>
        <w:ind w:left="7873" w:hanging="250"/>
      </w:pPr>
      <w:rPr>
        <w:rFonts w:hint="default"/>
        <w:lang w:val="en-US" w:eastAsia="en-US" w:bidi="ar-SA"/>
      </w:rPr>
    </w:lvl>
    <w:lvl w:ilvl="8">
      <w:start w:val="0"/>
      <w:numFmt w:val="bullet"/>
      <w:lvlText w:val="•"/>
      <w:lvlJc w:val="left"/>
      <w:pPr>
        <w:ind w:left="8642" w:hanging="250"/>
      </w:pPr>
      <w:rPr>
        <w:rFonts w:hint="default"/>
        <w:lang w:val="en-US" w:eastAsia="en-US" w:bidi="ar-SA"/>
      </w:rPr>
    </w:lvl>
  </w:abstractNum>
  <w:abstractNum w:abstractNumId="129">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17"/>
      </w:pPr>
      <w:rPr>
        <w:rFonts w:hint="default"/>
        <w:lang w:val="en-US" w:eastAsia="en-US" w:bidi="ar-SA"/>
      </w:rPr>
    </w:lvl>
    <w:lvl w:ilvl="3">
      <w:start w:val="0"/>
      <w:numFmt w:val="bullet"/>
      <w:lvlText w:val="•"/>
      <w:lvlJc w:val="left"/>
      <w:pPr>
        <w:ind w:left="4486" w:hanging="317"/>
      </w:pPr>
      <w:rPr>
        <w:rFonts w:hint="default"/>
        <w:lang w:val="en-US" w:eastAsia="en-US" w:bidi="ar-SA"/>
      </w:rPr>
    </w:lvl>
    <w:lvl w:ilvl="4">
      <w:start w:val="0"/>
      <w:numFmt w:val="bullet"/>
      <w:lvlText w:val="•"/>
      <w:lvlJc w:val="left"/>
      <w:pPr>
        <w:ind w:left="5300" w:hanging="317"/>
      </w:pPr>
      <w:rPr>
        <w:rFonts w:hint="default"/>
        <w:lang w:val="en-US" w:eastAsia="en-US" w:bidi="ar-SA"/>
      </w:rPr>
    </w:lvl>
    <w:lvl w:ilvl="5">
      <w:start w:val="0"/>
      <w:numFmt w:val="bullet"/>
      <w:lvlText w:val="•"/>
      <w:lvlJc w:val="left"/>
      <w:pPr>
        <w:ind w:left="6113" w:hanging="317"/>
      </w:pPr>
      <w:rPr>
        <w:rFonts w:hint="default"/>
        <w:lang w:val="en-US" w:eastAsia="en-US" w:bidi="ar-SA"/>
      </w:rPr>
    </w:lvl>
    <w:lvl w:ilvl="6">
      <w:start w:val="0"/>
      <w:numFmt w:val="bullet"/>
      <w:lvlText w:val="•"/>
      <w:lvlJc w:val="left"/>
      <w:pPr>
        <w:ind w:left="6926" w:hanging="317"/>
      </w:pPr>
      <w:rPr>
        <w:rFonts w:hint="default"/>
        <w:lang w:val="en-US" w:eastAsia="en-US" w:bidi="ar-SA"/>
      </w:rPr>
    </w:lvl>
    <w:lvl w:ilvl="7">
      <w:start w:val="0"/>
      <w:numFmt w:val="bullet"/>
      <w:lvlText w:val="•"/>
      <w:lvlJc w:val="left"/>
      <w:pPr>
        <w:ind w:left="7740" w:hanging="317"/>
      </w:pPr>
      <w:rPr>
        <w:rFonts w:hint="default"/>
        <w:lang w:val="en-US" w:eastAsia="en-US" w:bidi="ar-SA"/>
      </w:rPr>
    </w:lvl>
    <w:lvl w:ilvl="8">
      <w:start w:val="0"/>
      <w:numFmt w:val="bullet"/>
      <w:lvlText w:val="•"/>
      <w:lvlJc w:val="left"/>
      <w:pPr>
        <w:ind w:left="8553" w:hanging="317"/>
      </w:pPr>
      <w:rPr>
        <w:rFonts w:hint="default"/>
        <w:lang w:val="en-US" w:eastAsia="en-US" w:bidi="ar-SA"/>
      </w:rPr>
    </w:lvl>
  </w:abstractNum>
  <w:abstractNum w:abstractNumId="128">
    <w:multiLevelType w:val="hybridMultilevel"/>
    <w:lvl w:ilvl="0">
      <w:start w:val="1"/>
      <w:numFmt w:val="decimal"/>
      <w:lvlText w:val="%1."/>
      <w:lvlJc w:val="left"/>
      <w:pPr>
        <w:ind w:left="2788"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83"/>
      </w:pPr>
      <w:rPr>
        <w:rFonts w:hint="default"/>
        <w:lang w:val="en-US" w:eastAsia="en-US" w:bidi="ar-SA"/>
      </w:rPr>
    </w:lvl>
    <w:lvl w:ilvl="2">
      <w:start w:val="0"/>
      <w:numFmt w:val="bullet"/>
      <w:lvlText w:val="•"/>
      <w:lvlJc w:val="left"/>
      <w:pPr>
        <w:ind w:left="4260" w:hanging="383"/>
      </w:pPr>
      <w:rPr>
        <w:rFonts w:hint="default"/>
        <w:lang w:val="en-US" w:eastAsia="en-US" w:bidi="ar-SA"/>
      </w:rPr>
    </w:lvl>
    <w:lvl w:ilvl="3">
      <w:start w:val="0"/>
      <w:numFmt w:val="bullet"/>
      <w:lvlText w:val="•"/>
      <w:lvlJc w:val="left"/>
      <w:pPr>
        <w:ind w:left="5000" w:hanging="383"/>
      </w:pPr>
      <w:rPr>
        <w:rFonts w:hint="default"/>
        <w:lang w:val="en-US" w:eastAsia="en-US" w:bidi="ar-SA"/>
      </w:rPr>
    </w:lvl>
    <w:lvl w:ilvl="4">
      <w:start w:val="0"/>
      <w:numFmt w:val="bullet"/>
      <w:lvlText w:val="•"/>
      <w:lvlJc w:val="left"/>
      <w:pPr>
        <w:ind w:left="5740" w:hanging="383"/>
      </w:pPr>
      <w:rPr>
        <w:rFonts w:hint="default"/>
        <w:lang w:val="en-US" w:eastAsia="en-US" w:bidi="ar-SA"/>
      </w:rPr>
    </w:lvl>
    <w:lvl w:ilvl="5">
      <w:start w:val="0"/>
      <w:numFmt w:val="bullet"/>
      <w:lvlText w:val="•"/>
      <w:lvlJc w:val="left"/>
      <w:pPr>
        <w:ind w:left="6480" w:hanging="383"/>
      </w:pPr>
      <w:rPr>
        <w:rFonts w:hint="default"/>
        <w:lang w:val="en-US" w:eastAsia="en-US" w:bidi="ar-SA"/>
      </w:rPr>
    </w:lvl>
    <w:lvl w:ilvl="6">
      <w:start w:val="0"/>
      <w:numFmt w:val="bullet"/>
      <w:lvlText w:val="•"/>
      <w:lvlJc w:val="left"/>
      <w:pPr>
        <w:ind w:left="7220" w:hanging="383"/>
      </w:pPr>
      <w:rPr>
        <w:rFonts w:hint="default"/>
        <w:lang w:val="en-US" w:eastAsia="en-US" w:bidi="ar-SA"/>
      </w:rPr>
    </w:lvl>
    <w:lvl w:ilvl="7">
      <w:start w:val="0"/>
      <w:numFmt w:val="bullet"/>
      <w:lvlText w:val="•"/>
      <w:lvlJc w:val="left"/>
      <w:pPr>
        <w:ind w:left="7960" w:hanging="383"/>
      </w:pPr>
      <w:rPr>
        <w:rFonts w:hint="default"/>
        <w:lang w:val="en-US" w:eastAsia="en-US" w:bidi="ar-SA"/>
      </w:rPr>
    </w:lvl>
    <w:lvl w:ilvl="8">
      <w:start w:val="0"/>
      <w:numFmt w:val="bullet"/>
      <w:lvlText w:val="•"/>
      <w:lvlJc w:val="left"/>
      <w:pPr>
        <w:ind w:left="8700" w:hanging="383"/>
      </w:pPr>
      <w:rPr>
        <w:rFonts w:hint="default"/>
        <w:lang w:val="en-US" w:eastAsia="en-US" w:bidi="ar-SA"/>
      </w:rPr>
    </w:lvl>
  </w:abstractNum>
  <w:abstractNum w:abstractNumId="12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22">
    <w:multiLevelType w:val="hybridMultilevel"/>
    <w:lvl w:ilvl="0">
      <w:start w:val="0"/>
      <w:numFmt w:val="bullet"/>
      <w:lvlText w:val="–"/>
      <w:lvlJc w:val="left"/>
      <w:pPr>
        <w:ind w:left="2698"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448" w:hanging="250"/>
      </w:pPr>
      <w:rPr>
        <w:rFonts w:hint="default"/>
        <w:lang w:val="en-US" w:eastAsia="en-US" w:bidi="ar-SA"/>
      </w:rPr>
    </w:lvl>
    <w:lvl w:ilvl="2">
      <w:start w:val="0"/>
      <w:numFmt w:val="bullet"/>
      <w:lvlText w:val="•"/>
      <w:lvlJc w:val="left"/>
      <w:pPr>
        <w:ind w:left="4196" w:hanging="250"/>
      </w:pPr>
      <w:rPr>
        <w:rFonts w:hint="default"/>
        <w:lang w:val="en-US" w:eastAsia="en-US" w:bidi="ar-SA"/>
      </w:rPr>
    </w:lvl>
    <w:lvl w:ilvl="3">
      <w:start w:val="0"/>
      <w:numFmt w:val="bullet"/>
      <w:lvlText w:val="•"/>
      <w:lvlJc w:val="left"/>
      <w:pPr>
        <w:ind w:left="4944" w:hanging="250"/>
      </w:pPr>
      <w:rPr>
        <w:rFonts w:hint="default"/>
        <w:lang w:val="en-US" w:eastAsia="en-US" w:bidi="ar-SA"/>
      </w:rPr>
    </w:lvl>
    <w:lvl w:ilvl="4">
      <w:start w:val="0"/>
      <w:numFmt w:val="bullet"/>
      <w:lvlText w:val="•"/>
      <w:lvlJc w:val="left"/>
      <w:pPr>
        <w:ind w:left="5692" w:hanging="250"/>
      </w:pPr>
      <w:rPr>
        <w:rFonts w:hint="default"/>
        <w:lang w:val="en-US" w:eastAsia="en-US" w:bidi="ar-SA"/>
      </w:rPr>
    </w:lvl>
    <w:lvl w:ilvl="5">
      <w:start w:val="0"/>
      <w:numFmt w:val="bullet"/>
      <w:lvlText w:val="•"/>
      <w:lvlJc w:val="left"/>
      <w:pPr>
        <w:ind w:left="6440" w:hanging="250"/>
      </w:pPr>
      <w:rPr>
        <w:rFonts w:hint="default"/>
        <w:lang w:val="en-US" w:eastAsia="en-US" w:bidi="ar-SA"/>
      </w:rPr>
    </w:lvl>
    <w:lvl w:ilvl="6">
      <w:start w:val="0"/>
      <w:numFmt w:val="bullet"/>
      <w:lvlText w:val="•"/>
      <w:lvlJc w:val="left"/>
      <w:pPr>
        <w:ind w:left="7188" w:hanging="250"/>
      </w:pPr>
      <w:rPr>
        <w:rFonts w:hint="default"/>
        <w:lang w:val="en-US" w:eastAsia="en-US" w:bidi="ar-SA"/>
      </w:rPr>
    </w:lvl>
    <w:lvl w:ilvl="7">
      <w:start w:val="0"/>
      <w:numFmt w:val="bullet"/>
      <w:lvlText w:val="•"/>
      <w:lvlJc w:val="left"/>
      <w:pPr>
        <w:ind w:left="7936" w:hanging="250"/>
      </w:pPr>
      <w:rPr>
        <w:rFonts w:hint="default"/>
        <w:lang w:val="en-US" w:eastAsia="en-US" w:bidi="ar-SA"/>
      </w:rPr>
    </w:lvl>
    <w:lvl w:ilvl="8">
      <w:start w:val="0"/>
      <w:numFmt w:val="bullet"/>
      <w:lvlText w:val="•"/>
      <w:lvlJc w:val="left"/>
      <w:pPr>
        <w:ind w:left="8684" w:hanging="250"/>
      </w:pPr>
      <w:rPr>
        <w:rFonts w:hint="default"/>
        <w:lang w:val="en-US" w:eastAsia="en-US" w:bidi="ar-SA"/>
      </w:rPr>
    </w:lvl>
  </w:abstractNum>
  <w:abstractNum w:abstractNumId="120">
    <w:multiLevelType w:val="hybridMultilevel"/>
    <w:lvl w:ilvl="0">
      <w:start w:val="0"/>
      <w:numFmt w:val="bullet"/>
      <w:lvlText w:val="–"/>
      <w:lvlJc w:val="left"/>
      <w:pPr>
        <w:ind w:left="3253"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952" w:hanging="250"/>
      </w:pPr>
      <w:rPr>
        <w:rFonts w:hint="default"/>
        <w:lang w:val="en-US" w:eastAsia="en-US" w:bidi="ar-SA"/>
      </w:rPr>
    </w:lvl>
    <w:lvl w:ilvl="2">
      <w:start w:val="0"/>
      <w:numFmt w:val="bullet"/>
      <w:lvlText w:val="•"/>
      <w:lvlJc w:val="left"/>
      <w:pPr>
        <w:ind w:left="4644" w:hanging="250"/>
      </w:pPr>
      <w:rPr>
        <w:rFonts w:hint="default"/>
        <w:lang w:val="en-US" w:eastAsia="en-US" w:bidi="ar-SA"/>
      </w:rPr>
    </w:lvl>
    <w:lvl w:ilvl="3">
      <w:start w:val="0"/>
      <w:numFmt w:val="bullet"/>
      <w:lvlText w:val="•"/>
      <w:lvlJc w:val="left"/>
      <w:pPr>
        <w:ind w:left="5336" w:hanging="250"/>
      </w:pPr>
      <w:rPr>
        <w:rFonts w:hint="default"/>
        <w:lang w:val="en-US" w:eastAsia="en-US" w:bidi="ar-SA"/>
      </w:rPr>
    </w:lvl>
    <w:lvl w:ilvl="4">
      <w:start w:val="0"/>
      <w:numFmt w:val="bullet"/>
      <w:lvlText w:val="•"/>
      <w:lvlJc w:val="left"/>
      <w:pPr>
        <w:ind w:left="6028" w:hanging="250"/>
      </w:pPr>
      <w:rPr>
        <w:rFonts w:hint="default"/>
        <w:lang w:val="en-US" w:eastAsia="en-US" w:bidi="ar-SA"/>
      </w:rPr>
    </w:lvl>
    <w:lvl w:ilvl="5">
      <w:start w:val="0"/>
      <w:numFmt w:val="bullet"/>
      <w:lvlText w:val="•"/>
      <w:lvlJc w:val="left"/>
      <w:pPr>
        <w:ind w:left="6720" w:hanging="250"/>
      </w:pPr>
      <w:rPr>
        <w:rFonts w:hint="default"/>
        <w:lang w:val="en-US" w:eastAsia="en-US" w:bidi="ar-SA"/>
      </w:rPr>
    </w:lvl>
    <w:lvl w:ilvl="6">
      <w:start w:val="0"/>
      <w:numFmt w:val="bullet"/>
      <w:lvlText w:val="•"/>
      <w:lvlJc w:val="left"/>
      <w:pPr>
        <w:ind w:left="7412" w:hanging="250"/>
      </w:pPr>
      <w:rPr>
        <w:rFonts w:hint="default"/>
        <w:lang w:val="en-US" w:eastAsia="en-US" w:bidi="ar-SA"/>
      </w:rPr>
    </w:lvl>
    <w:lvl w:ilvl="7">
      <w:start w:val="0"/>
      <w:numFmt w:val="bullet"/>
      <w:lvlText w:val="•"/>
      <w:lvlJc w:val="left"/>
      <w:pPr>
        <w:ind w:left="8104" w:hanging="250"/>
      </w:pPr>
      <w:rPr>
        <w:rFonts w:hint="default"/>
        <w:lang w:val="en-US" w:eastAsia="en-US" w:bidi="ar-SA"/>
      </w:rPr>
    </w:lvl>
    <w:lvl w:ilvl="8">
      <w:start w:val="0"/>
      <w:numFmt w:val="bullet"/>
      <w:lvlText w:val="•"/>
      <w:lvlJc w:val="left"/>
      <w:pPr>
        <w:ind w:left="8796" w:hanging="250"/>
      </w:pPr>
      <w:rPr>
        <w:rFonts w:hint="default"/>
        <w:lang w:val="en-US" w:eastAsia="en-US" w:bidi="ar-SA"/>
      </w:rPr>
    </w:lvl>
  </w:abstractNum>
  <w:abstractNum w:abstractNumId="115">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09">
    <w:multiLevelType w:val="hybridMultilevel"/>
    <w:lvl w:ilvl="0">
      <w:start w:val="0"/>
      <w:numFmt w:val="bullet"/>
      <w:lvlText w:val="–"/>
      <w:lvlJc w:val="left"/>
      <w:pPr>
        <w:ind w:left="3014"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736" w:hanging="250"/>
      </w:pPr>
      <w:rPr>
        <w:rFonts w:hint="default"/>
        <w:lang w:val="en-US" w:eastAsia="en-US" w:bidi="ar-SA"/>
      </w:rPr>
    </w:lvl>
    <w:lvl w:ilvl="2">
      <w:start w:val="0"/>
      <w:numFmt w:val="bullet"/>
      <w:lvlText w:val="•"/>
      <w:lvlJc w:val="left"/>
      <w:pPr>
        <w:ind w:left="4452" w:hanging="250"/>
      </w:pPr>
      <w:rPr>
        <w:rFonts w:hint="default"/>
        <w:lang w:val="en-US" w:eastAsia="en-US" w:bidi="ar-SA"/>
      </w:rPr>
    </w:lvl>
    <w:lvl w:ilvl="3">
      <w:start w:val="0"/>
      <w:numFmt w:val="bullet"/>
      <w:lvlText w:val="•"/>
      <w:lvlJc w:val="left"/>
      <w:pPr>
        <w:ind w:left="5168" w:hanging="250"/>
      </w:pPr>
      <w:rPr>
        <w:rFonts w:hint="default"/>
        <w:lang w:val="en-US" w:eastAsia="en-US" w:bidi="ar-SA"/>
      </w:rPr>
    </w:lvl>
    <w:lvl w:ilvl="4">
      <w:start w:val="0"/>
      <w:numFmt w:val="bullet"/>
      <w:lvlText w:val="•"/>
      <w:lvlJc w:val="left"/>
      <w:pPr>
        <w:ind w:left="5884" w:hanging="250"/>
      </w:pPr>
      <w:rPr>
        <w:rFonts w:hint="default"/>
        <w:lang w:val="en-US" w:eastAsia="en-US" w:bidi="ar-SA"/>
      </w:rPr>
    </w:lvl>
    <w:lvl w:ilvl="5">
      <w:start w:val="0"/>
      <w:numFmt w:val="bullet"/>
      <w:lvlText w:val="•"/>
      <w:lvlJc w:val="left"/>
      <w:pPr>
        <w:ind w:left="6600" w:hanging="250"/>
      </w:pPr>
      <w:rPr>
        <w:rFonts w:hint="default"/>
        <w:lang w:val="en-US" w:eastAsia="en-US" w:bidi="ar-SA"/>
      </w:rPr>
    </w:lvl>
    <w:lvl w:ilvl="6">
      <w:start w:val="0"/>
      <w:numFmt w:val="bullet"/>
      <w:lvlText w:val="•"/>
      <w:lvlJc w:val="left"/>
      <w:pPr>
        <w:ind w:left="7316" w:hanging="250"/>
      </w:pPr>
      <w:rPr>
        <w:rFonts w:hint="default"/>
        <w:lang w:val="en-US" w:eastAsia="en-US" w:bidi="ar-SA"/>
      </w:rPr>
    </w:lvl>
    <w:lvl w:ilvl="7">
      <w:start w:val="0"/>
      <w:numFmt w:val="bullet"/>
      <w:lvlText w:val="•"/>
      <w:lvlJc w:val="left"/>
      <w:pPr>
        <w:ind w:left="8032" w:hanging="250"/>
      </w:pPr>
      <w:rPr>
        <w:rFonts w:hint="default"/>
        <w:lang w:val="en-US" w:eastAsia="en-US" w:bidi="ar-SA"/>
      </w:rPr>
    </w:lvl>
    <w:lvl w:ilvl="8">
      <w:start w:val="0"/>
      <w:numFmt w:val="bullet"/>
      <w:lvlText w:val="•"/>
      <w:lvlJc w:val="left"/>
      <w:pPr>
        <w:ind w:left="8748" w:hanging="250"/>
      </w:pPr>
      <w:rPr>
        <w:rFonts w:hint="default"/>
        <w:lang w:val="en-US" w:eastAsia="en-US" w:bidi="ar-SA"/>
      </w:rPr>
    </w:lvl>
  </w:abstractNum>
  <w:abstractNum w:abstractNumId="106">
    <w:multiLevelType w:val="hybridMultilevel"/>
    <w:lvl w:ilvl="0">
      <w:start w:val="0"/>
      <w:numFmt w:val="bullet"/>
      <w:lvlText w:val="–"/>
      <w:lvlJc w:val="left"/>
      <w:pPr>
        <w:ind w:left="3253"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952" w:hanging="250"/>
      </w:pPr>
      <w:rPr>
        <w:rFonts w:hint="default"/>
        <w:lang w:val="en-US" w:eastAsia="en-US" w:bidi="ar-SA"/>
      </w:rPr>
    </w:lvl>
    <w:lvl w:ilvl="2">
      <w:start w:val="0"/>
      <w:numFmt w:val="bullet"/>
      <w:lvlText w:val="•"/>
      <w:lvlJc w:val="left"/>
      <w:pPr>
        <w:ind w:left="4644" w:hanging="250"/>
      </w:pPr>
      <w:rPr>
        <w:rFonts w:hint="default"/>
        <w:lang w:val="en-US" w:eastAsia="en-US" w:bidi="ar-SA"/>
      </w:rPr>
    </w:lvl>
    <w:lvl w:ilvl="3">
      <w:start w:val="0"/>
      <w:numFmt w:val="bullet"/>
      <w:lvlText w:val="•"/>
      <w:lvlJc w:val="left"/>
      <w:pPr>
        <w:ind w:left="5336" w:hanging="250"/>
      </w:pPr>
      <w:rPr>
        <w:rFonts w:hint="default"/>
        <w:lang w:val="en-US" w:eastAsia="en-US" w:bidi="ar-SA"/>
      </w:rPr>
    </w:lvl>
    <w:lvl w:ilvl="4">
      <w:start w:val="0"/>
      <w:numFmt w:val="bullet"/>
      <w:lvlText w:val="•"/>
      <w:lvlJc w:val="left"/>
      <w:pPr>
        <w:ind w:left="6028" w:hanging="250"/>
      </w:pPr>
      <w:rPr>
        <w:rFonts w:hint="default"/>
        <w:lang w:val="en-US" w:eastAsia="en-US" w:bidi="ar-SA"/>
      </w:rPr>
    </w:lvl>
    <w:lvl w:ilvl="5">
      <w:start w:val="0"/>
      <w:numFmt w:val="bullet"/>
      <w:lvlText w:val="•"/>
      <w:lvlJc w:val="left"/>
      <w:pPr>
        <w:ind w:left="6720" w:hanging="250"/>
      </w:pPr>
      <w:rPr>
        <w:rFonts w:hint="default"/>
        <w:lang w:val="en-US" w:eastAsia="en-US" w:bidi="ar-SA"/>
      </w:rPr>
    </w:lvl>
    <w:lvl w:ilvl="6">
      <w:start w:val="0"/>
      <w:numFmt w:val="bullet"/>
      <w:lvlText w:val="•"/>
      <w:lvlJc w:val="left"/>
      <w:pPr>
        <w:ind w:left="7412" w:hanging="250"/>
      </w:pPr>
      <w:rPr>
        <w:rFonts w:hint="default"/>
        <w:lang w:val="en-US" w:eastAsia="en-US" w:bidi="ar-SA"/>
      </w:rPr>
    </w:lvl>
    <w:lvl w:ilvl="7">
      <w:start w:val="0"/>
      <w:numFmt w:val="bullet"/>
      <w:lvlText w:val="•"/>
      <w:lvlJc w:val="left"/>
      <w:pPr>
        <w:ind w:left="8104" w:hanging="250"/>
      </w:pPr>
      <w:rPr>
        <w:rFonts w:hint="default"/>
        <w:lang w:val="en-US" w:eastAsia="en-US" w:bidi="ar-SA"/>
      </w:rPr>
    </w:lvl>
    <w:lvl w:ilvl="8">
      <w:start w:val="0"/>
      <w:numFmt w:val="bullet"/>
      <w:lvlText w:val="•"/>
      <w:lvlJc w:val="left"/>
      <w:pPr>
        <w:ind w:left="8796" w:hanging="250"/>
      </w:pPr>
      <w:rPr>
        <w:rFonts w:hint="default"/>
        <w:lang w:val="en-US" w:eastAsia="en-US" w:bidi="ar-SA"/>
      </w:rPr>
    </w:lvl>
  </w:abstractNum>
  <w:abstractNum w:abstractNumId="98">
    <w:multiLevelType w:val="hybridMultilevel"/>
    <w:lvl w:ilvl="0">
      <w:start w:val="1"/>
      <w:numFmt w:val="lowerLetter"/>
      <w:lvlText w:val="%1."/>
      <w:lvlJc w:val="left"/>
      <w:pPr>
        <w:ind w:left="3320"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006" w:hanging="317"/>
      </w:pPr>
      <w:rPr>
        <w:rFonts w:hint="default"/>
        <w:lang w:val="en-US" w:eastAsia="en-US" w:bidi="ar-SA"/>
      </w:rPr>
    </w:lvl>
    <w:lvl w:ilvl="2">
      <w:start w:val="0"/>
      <w:numFmt w:val="bullet"/>
      <w:lvlText w:val="•"/>
      <w:lvlJc w:val="left"/>
      <w:pPr>
        <w:ind w:left="4692" w:hanging="317"/>
      </w:pPr>
      <w:rPr>
        <w:rFonts w:hint="default"/>
        <w:lang w:val="en-US" w:eastAsia="en-US" w:bidi="ar-SA"/>
      </w:rPr>
    </w:lvl>
    <w:lvl w:ilvl="3">
      <w:start w:val="0"/>
      <w:numFmt w:val="bullet"/>
      <w:lvlText w:val="•"/>
      <w:lvlJc w:val="left"/>
      <w:pPr>
        <w:ind w:left="5378" w:hanging="317"/>
      </w:pPr>
      <w:rPr>
        <w:rFonts w:hint="default"/>
        <w:lang w:val="en-US" w:eastAsia="en-US" w:bidi="ar-SA"/>
      </w:rPr>
    </w:lvl>
    <w:lvl w:ilvl="4">
      <w:start w:val="0"/>
      <w:numFmt w:val="bullet"/>
      <w:lvlText w:val="•"/>
      <w:lvlJc w:val="left"/>
      <w:pPr>
        <w:ind w:left="6064" w:hanging="317"/>
      </w:pPr>
      <w:rPr>
        <w:rFonts w:hint="default"/>
        <w:lang w:val="en-US" w:eastAsia="en-US" w:bidi="ar-SA"/>
      </w:rPr>
    </w:lvl>
    <w:lvl w:ilvl="5">
      <w:start w:val="0"/>
      <w:numFmt w:val="bullet"/>
      <w:lvlText w:val="•"/>
      <w:lvlJc w:val="left"/>
      <w:pPr>
        <w:ind w:left="6750" w:hanging="317"/>
      </w:pPr>
      <w:rPr>
        <w:rFonts w:hint="default"/>
        <w:lang w:val="en-US" w:eastAsia="en-US" w:bidi="ar-SA"/>
      </w:rPr>
    </w:lvl>
    <w:lvl w:ilvl="6">
      <w:start w:val="0"/>
      <w:numFmt w:val="bullet"/>
      <w:lvlText w:val="•"/>
      <w:lvlJc w:val="left"/>
      <w:pPr>
        <w:ind w:left="7436" w:hanging="317"/>
      </w:pPr>
      <w:rPr>
        <w:rFonts w:hint="default"/>
        <w:lang w:val="en-US" w:eastAsia="en-US" w:bidi="ar-SA"/>
      </w:rPr>
    </w:lvl>
    <w:lvl w:ilvl="7">
      <w:start w:val="0"/>
      <w:numFmt w:val="bullet"/>
      <w:lvlText w:val="•"/>
      <w:lvlJc w:val="left"/>
      <w:pPr>
        <w:ind w:left="8122" w:hanging="317"/>
      </w:pPr>
      <w:rPr>
        <w:rFonts w:hint="default"/>
        <w:lang w:val="en-US" w:eastAsia="en-US" w:bidi="ar-SA"/>
      </w:rPr>
    </w:lvl>
    <w:lvl w:ilvl="8">
      <w:start w:val="0"/>
      <w:numFmt w:val="bullet"/>
      <w:lvlText w:val="•"/>
      <w:lvlJc w:val="left"/>
      <w:pPr>
        <w:ind w:left="8808" w:hanging="317"/>
      </w:pPr>
      <w:rPr>
        <w:rFonts w:hint="default"/>
        <w:lang w:val="en-US" w:eastAsia="en-US" w:bidi="ar-SA"/>
      </w:rPr>
    </w:lvl>
  </w:abstractNum>
  <w:abstractNum w:abstractNumId="85">
    <w:multiLevelType w:val="hybridMultilevel"/>
    <w:lvl w:ilvl="0">
      <w:start w:val="1"/>
      <w:numFmt w:val="decimal"/>
      <w:lvlText w:val="%1."/>
      <w:lvlJc w:val="left"/>
      <w:pPr>
        <w:ind w:left="350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168" w:hanging="317"/>
      </w:pPr>
      <w:rPr>
        <w:rFonts w:hint="default"/>
        <w:lang w:val="en-US" w:eastAsia="en-US" w:bidi="ar-SA"/>
      </w:rPr>
    </w:lvl>
    <w:lvl w:ilvl="2">
      <w:start w:val="0"/>
      <w:numFmt w:val="bullet"/>
      <w:lvlText w:val="•"/>
      <w:lvlJc w:val="left"/>
      <w:pPr>
        <w:ind w:left="4836" w:hanging="317"/>
      </w:pPr>
      <w:rPr>
        <w:rFonts w:hint="default"/>
        <w:lang w:val="en-US" w:eastAsia="en-US" w:bidi="ar-SA"/>
      </w:rPr>
    </w:lvl>
    <w:lvl w:ilvl="3">
      <w:start w:val="0"/>
      <w:numFmt w:val="bullet"/>
      <w:lvlText w:val="•"/>
      <w:lvlJc w:val="left"/>
      <w:pPr>
        <w:ind w:left="5504" w:hanging="317"/>
      </w:pPr>
      <w:rPr>
        <w:rFonts w:hint="default"/>
        <w:lang w:val="en-US" w:eastAsia="en-US" w:bidi="ar-SA"/>
      </w:rPr>
    </w:lvl>
    <w:lvl w:ilvl="4">
      <w:start w:val="0"/>
      <w:numFmt w:val="bullet"/>
      <w:lvlText w:val="•"/>
      <w:lvlJc w:val="left"/>
      <w:pPr>
        <w:ind w:left="6172" w:hanging="317"/>
      </w:pPr>
      <w:rPr>
        <w:rFonts w:hint="default"/>
        <w:lang w:val="en-US" w:eastAsia="en-US" w:bidi="ar-SA"/>
      </w:rPr>
    </w:lvl>
    <w:lvl w:ilvl="5">
      <w:start w:val="0"/>
      <w:numFmt w:val="bullet"/>
      <w:lvlText w:val="•"/>
      <w:lvlJc w:val="left"/>
      <w:pPr>
        <w:ind w:left="6840" w:hanging="317"/>
      </w:pPr>
      <w:rPr>
        <w:rFonts w:hint="default"/>
        <w:lang w:val="en-US" w:eastAsia="en-US" w:bidi="ar-SA"/>
      </w:rPr>
    </w:lvl>
    <w:lvl w:ilvl="6">
      <w:start w:val="0"/>
      <w:numFmt w:val="bullet"/>
      <w:lvlText w:val="•"/>
      <w:lvlJc w:val="left"/>
      <w:pPr>
        <w:ind w:left="7508" w:hanging="317"/>
      </w:pPr>
      <w:rPr>
        <w:rFonts w:hint="default"/>
        <w:lang w:val="en-US" w:eastAsia="en-US" w:bidi="ar-SA"/>
      </w:rPr>
    </w:lvl>
    <w:lvl w:ilvl="7">
      <w:start w:val="0"/>
      <w:numFmt w:val="bullet"/>
      <w:lvlText w:val="•"/>
      <w:lvlJc w:val="left"/>
      <w:pPr>
        <w:ind w:left="8176"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76">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72">
    <w:multiLevelType w:val="hybridMultilevel"/>
    <w:lvl w:ilvl="0">
      <w:start w:val="1"/>
      <w:numFmt w:val="decimal"/>
      <w:lvlText w:val="%1."/>
      <w:lvlJc w:val="left"/>
      <w:pPr>
        <w:ind w:left="3267"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952" w:hanging="317"/>
      </w:pPr>
      <w:rPr>
        <w:rFonts w:hint="default"/>
        <w:lang w:val="en-US" w:eastAsia="en-US" w:bidi="ar-SA"/>
      </w:rPr>
    </w:lvl>
    <w:lvl w:ilvl="2">
      <w:start w:val="0"/>
      <w:numFmt w:val="bullet"/>
      <w:lvlText w:val="•"/>
      <w:lvlJc w:val="left"/>
      <w:pPr>
        <w:ind w:left="4644" w:hanging="317"/>
      </w:pPr>
      <w:rPr>
        <w:rFonts w:hint="default"/>
        <w:lang w:val="en-US" w:eastAsia="en-US" w:bidi="ar-SA"/>
      </w:rPr>
    </w:lvl>
    <w:lvl w:ilvl="3">
      <w:start w:val="0"/>
      <w:numFmt w:val="bullet"/>
      <w:lvlText w:val="•"/>
      <w:lvlJc w:val="left"/>
      <w:pPr>
        <w:ind w:left="5336" w:hanging="317"/>
      </w:pPr>
      <w:rPr>
        <w:rFonts w:hint="default"/>
        <w:lang w:val="en-US" w:eastAsia="en-US" w:bidi="ar-SA"/>
      </w:rPr>
    </w:lvl>
    <w:lvl w:ilvl="4">
      <w:start w:val="0"/>
      <w:numFmt w:val="bullet"/>
      <w:lvlText w:val="•"/>
      <w:lvlJc w:val="left"/>
      <w:pPr>
        <w:ind w:left="6028" w:hanging="317"/>
      </w:pPr>
      <w:rPr>
        <w:rFonts w:hint="default"/>
        <w:lang w:val="en-US" w:eastAsia="en-US" w:bidi="ar-SA"/>
      </w:rPr>
    </w:lvl>
    <w:lvl w:ilvl="5">
      <w:start w:val="0"/>
      <w:numFmt w:val="bullet"/>
      <w:lvlText w:val="•"/>
      <w:lvlJc w:val="left"/>
      <w:pPr>
        <w:ind w:left="6720" w:hanging="317"/>
      </w:pPr>
      <w:rPr>
        <w:rFonts w:hint="default"/>
        <w:lang w:val="en-US" w:eastAsia="en-US" w:bidi="ar-SA"/>
      </w:rPr>
    </w:lvl>
    <w:lvl w:ilvl="6">
      <w:start w:val="0"/>
      <w:numFmt w:val="bullet"/>
      <w:lvlText w:val="•"/>
      <w:lvlJc w:val="left"/>
      <w:pPr>
        <w:ind w:left="7412" w:hanging="317"/>
      </w:pPr>
      <w:rPr>
        <w:rFonts w:hint="default"/>
        <w:lang w:val="en-US" w:eastAsia="en-US" w:bidi="ar-SA"/>
      </w:rPr>
    </w:lvl>
    <w:lvl w:ilvl="7">
      <w:start w:val="0"/>
      <w:numFmt w:val="bullet"/>
      <w:lvlText w:val="•"/>
      <w:lvlJc w:val="left"/>
      <w:pPr>
        <w:ind w:left="8104" w:hanging="317"/>
      </w:pPr>
      <w:rPr>
        <w:rFonts w:hint="default"/>
        <w:lang w:val="en-US" w:eastAsia="en-US" w:bidi="ar-SA"/>
      </w:rPr>
    </w:lvl>
    <w:lvl w:ilvl="8">
      <w:start w:val="0"/>
      <w:numFmt w:val="bullet"/>
      <w:lvlText w:val="•"/>
      <w:lvlJc w:val="left"/>
      <w:pPr>
        <w:ind w:left="8796" w:hanging="317"/>
      </w:pPr>
      <w:rPr>
        <w:rFonts w:hint="default"/>
        <w:lang w:val="en-US" w:eastAsia="en-US" w:bidi="ar-SA"/>
      </w:rPr>
    </w:lvl>
  </w:abstractNum>
  <w:abstractNum w:abstractNumId="70">
    <w:multiLevelType w:val="hybridMultilevel"/>
    <w:lvl w:ilvl="0">
      <w:start w:val="1"/>
      <w:numFmt w:val="decimal"/>
      <w:lvlText w:val="%1."/>
      <w:lvlJc w:val="left"/>
      <w:pPr>
        <w:ind w:left="276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02" w:hanging="317"/>
      </w:pPr>
      <w:rPr>
        <w:rFonts w:hint="default"/>
        <w:lang w:val="en-US" w:eastAsia="en-US" w:bidi="ar-SA"/>
      </w:rPr>
    </w:lvl>
    <w:lvl w:ilvl="2">
      <w:start w:val="0"/>
      <w:numFmt w:val="bullet"/>
      <w:lvlText w:val="•"/>
      <w:lvlJc w:val="left"/>
      <w:pPr>
        <w:ind w:left="4244" w:hanging="317"/>
      </w:pPr>
      <w:rPr>
        <w:rFonts w:hint="default"/>
        <w:lang w:val="en-US" w:eastAsia="en-US" w:bidi="ar-SA"/>
      </w:rPr>
    </w:lvl>
    <w:lvl w:ilvl="3">
      <w:start w:val="0"/>
      <w:numFmt w:val="bullet"/>
      <w:lvlText w:val="•"/>
      <w:lvlJc w:val="left"/>
      <w:pPr>
        <w:ind w:left="4986" w:hanging="317"/>
      </w:pPr>
      <w:rPr>
        <w:rFonts w:hint="default"/>
        <w:lang w:val="en-US" w:eastAsia="en-US" w:bidi="ar-SA"/>
      </w:rPr>
    </w:lvl>
    <w:lvl w:ilvl="4">
      <w:start w:val="0"/>
      <w:numFmt w:val="bullet"/>
      <w:lvlText w:val="•"/>
      <w:lvlJc w:val="left"/>
      <w:pPr>
        <w:ind w:left="5728" w:hanging="317"/>
      </w:pPr>
      <w:rPr>
        <w:rFonts w:hint="default"/>
        <w:lang w:val="en-US" w:eastAsia="en-US" w:bidi="ar-SA"/>
      </w:rPr>
    </w:lvl>
    <w:lvl w:ilvl="5">
      <w:start w:val="0"/>
      <w:numFmt w:val="bullet"/>
      <w:lvlText w:val="•"/>
      <w:lvlJc w:val="left"/>
      <w:pPr>
        <w:ind w:left="6470" w:hanging="317"/>
      </w:pPr>
      <w:rPr>
        <w:rFonts w:hint="default"/>
        <w:lang w:val="en-US" w:eastAsia="en-US" w:bidi="ar-SA"/>
      </w:rPr>
    </w:lvl>
    <w:lvl w:ilvl="6">
      <w:start w:val="0"/>
      <w:numFmt w:val="bullet"/>
      <w:lvlText w:val="•"/>
      <w:lvlJc w:val="left"/>
      <w:pPr>
        <w:ind w:left="7212" w:hanging="317"/>
      </w:pPr>
      <w:rPr>
        <w:rFonts w:hint="default"/>
        <w:lang w:val="en-US" w:eastAsia="en-US" w:bidi="ar-SA"/>
      </w:rPr>
    </w:lvl>
    <w:lvl w:ilvl="7">
      <w:start w:val="0"/>
      <w:numFmt w:val="bullet"/>
      <w:lvlText w:val="•"/>
      <w:lvlJc w:val="left"/>
      <w:pPr>
        <w:ind w:left="7954" w:hanging="317"/>
      </w:pPr>
      <w:rPr>
        <w:rFonts w:hint="default"/>
        <w:lang w:val="en-US" w:eastAsia="en-US" w:bidi="ar-SA"/>
      </w:rPr>
    </w:lvl>
    <w:lvl w:ilvl="8">
      <w:start w:val="0"/>
      <w:numFmt w:val="bullet"/>
      <w:lvlText w:val="•"/>
      <w:lvlJc w:val="left"/>
      <w:pPr>
        <w:ind w:left="8696" w:hanging="317"/>
      </w:pPr>
      <w:rPr>
        <w:rFonts w:hint="default"/>
        <w:lang w:val="en-US" w:eastAsia="en-US" w:bidi="ar-SA"/>
      </w:rPr>
    </w:lvl>
  </w:abstractNum>
  <w:abstractNum w:abstractNumId="69">
    <w:multiLevelType w:val="hybridMultilevel"/>
    <w:lvl w:ilvl="0">
      <w:start w:val="1"/>
      <w:numFmt w:val="decimal"/>
      <w:lvlText w:val="%1."/>
      <w:lvlJc w:val="left"/>
      <w:pPr>
        <w:ind w:left="276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02" w:hanging="317"/>
      </w:pPr>
      <w:rPr>
        <w:rFonts w:hint="default"/>
        <w:lang w:val="en-US" w:eastAsia="en-US" w:bidi="ar-SA"/>
      </w:rPr>
    </w:lvl>
    <w:lvl w:ilvl="2">
      <w:start w:val="0"/>
      <w:numFmt w:val="bullet"/>
      <w:lvlText w:val="•"/>
      <w:lvlJc w:val="left"/>
      <w:pPr>
        <w:ind w:left="4244" w:hanging="317"/>
      </w:pPr>
      <w:rPr>
        <w:rFonts w:hint="default"/>
        <w:lang w:val="en-US" w:eastAsia="en-US" w:bidi="ar-SA"/>
      </w:rPr>
    </w:lvl>
    <w:lvl w:ilvl="3">
      <w:start w:val="0"/>
      <w:numFmt w:val="bullet"/>
      <w:lvlText w:val="•"/>
      <w:lvlJc w:val="left"/>
      <w:pPr>
        <w:ind w:left="4986" w:hanging="317"/>
      </w:pPr>
      <w:rPr>
        <w:rFonts w:hint="default"/>
        <w:lang w:val="en-US" w:eastAsia="en-US" w:bidi="ar-SA"/>
      </w:rPr>
    </w:lvl>
    <w:lvl w:ilvl="4">
      <w:start w:val="0"/>
      <w:numFmt w:val="bullet"/>
      <w:lvlText w:val="•"/>
      <w:lvlJc w:val="left"/>
      <w:pPr>
        <w:ind w:left="5728" w:hanging="317"/>
      </w:pPr>
      <w:rPr>
        <w:rFonts w:hint="default"/>
        <w:lang w:val="en-US" w:eastAsia="en-US" w:bidi="ar-SA"/>
      </w:rPr>
    </w:lvl>
    <w:lvl w:ilvl="5">
      <w:start w:val="0"/>
      <w:numFmt w:val="bullet"/>
      <w:lvlText w:val="•"/>
      <w:lvlJc w:val="left"/>
      <w:pPr>
        <w:ind w:left="6470" w:hanging="317"/>
      </w:pPr>
      <w:rPr>
        <w:rFonts w:hint="default"/>
        <w:lang w:val="en-US" w:eastAsia="en-US" w:bidi="ar-SA"/>
      </w:rPr>
    </w:lvl>
    <w:lvl w:ilvl="6">
      <w:start w:val="0"/>
      <w:numFmt w:val="bullet"/>
      <w:lvlText w:val="•"/>
      <w:lvlJc w:val="left"/>
      <w:pPr>
        <w:ind w:left="7212" w:hanging="317"/>
      </w:pPr>
      <w:rPr>
        <w:rFonts w:hint="default"/>
        <w:lang w:val="en-US" w:eastAsia="en-US" w:bidi="ar-SA"/>
      </w:rPr>
    </w:lvl>
    <w:lvl w:ilvl="7">
      <w:start w:val="0"/>
      <w:numFmt w:val="bullet"/>
      <w:lvlText w:val="•"/>
      <w:lvlJc w:val="left"/>
      <w:pPr>
        <w:ind w:left="7954" w:hanging="317"/>
      </w:pPr>
      <w:rPr>
        <w:rFonts w:hint="default"/>
        <w:lang w:val="en-US" w:eastAsia="en-US" w:bidi="ar-SA"/>
      </w:rPr>
    </w:lvl>
    <w:lvl w:ilvl="8">
      <w:start w:val="0"/>
      <w:numFmt w:val="bullet"/>
      <w:lvlText w:val="•"/>
      <w:lvlJc w:val="left"/>
      <w:pPr>
        <w:ind w:left="8696" w:hanging="317"/>
      </w:pPr>
      <w:rPr>
        <w:rFonts w:hint="default"/>
        <w:lang w:val="en-US" w:eastAsia="en-US" w:bidi="ar-SA"/>
      </w:rPr>
    </w:lvl>
  </w:abstractNum>
  <w:abstractNum w:abstractNumId="62">
    <w:multiLevelType w:val="hybridMultilevel"/>
    <w:lvl w:ilvl="0">
      <w:start w:val="1"/>
      <w:numFmt w:val="decimal"/>
      <w:lvlText w:val="%1."/>
      <w:lvlJc w:val="left"/>
      <w:pPr>
        <w:ind w:left="276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10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886" w:hanging="317"/>
      </w:pPr>
      <w:rPr>
        <w:rFonts w:hint="default"/>
        <w:lang w:val="en-US" w:eastAsia="en-US" w:bidi="ar-SA"/>
      </w:rPr>
    </w:lvl>
    <w:lvl w:ilvl="3">
      <w:start w:val="0"/>
      <w:numFmt w:val="bullet"/>
      <w:lvlText w:val="•"/>
      <w:lvlJc w:val="left"/>
      <w:pPr>
        <w:ind w:left="4673" w:hanging="317"/>
      </w:pPr>
      <w:rPr>
        <w:rFonts w:hint="default"/>
        <w:lang w:val="en-US" w:eastAsia="en-US" w:bidi="ar-SA"/>
      </w:rPr>
    </w:lvl>
    <w:lvl w:ilvl="4">
      <w:start w:val="0"/>
      <w:numFmt w:val="bullet"/>
      <w:lvlText w:val="•"/>
      <w:lvlJc w:val="left"/>
      <w:pPr>
        <w:ind w:left="5460" w:hanging="317"/>
      </w:pPr>
      <w:rPr>
        <w:rFonts w:hint="default"/>
        <w:lang w:val="en-US" w:eastAsia="en-US" w:bidi="ar-SA"/>
      </w:rPr>
    </w:lvl>
    <w:lvl w:ilvl="5">
      <w:start w:val="0"/>
      <w:numFmt w:val="bullet"/>
      <w:lvlText w:val="•"/>
      <w:lvlJc w:val="left"/>
      <w:pPr>
        <w:ind w:left="6246" w:hanging="317"/>
      </w:pPr>
      <w:rPr>
        <w:rFonts w:hint="default"/>
        <w:lang w:val="en-US" w:eastAsia="en-US" w:bidi="ar-SA"/>
      </w:rPr>
    </w:lvl>
    <w:lvl w:ilvl="6">
      <w:start w:val="0"/>
      <w:numFmt w:val="bullet"/>
      <w:lvlText w:val="•"/>
      <w:lvlJc w:val="left"/>
      <w:pPr>
        <w:ind w:left="7033" w:hanging="317"/>
      </w:pPr>
      <w:rPr>
        <w:rFonts w:hint="default"/>
        <w:lang w:val="en-US" w:eastAsia="en-US" w:bidi="ar-SA"/>
      </w:rPr>
    </w:lvl>
    <w:lvl w:ilvl="7">
      <w:start w:val="0"/>
      <w:numFmt w:val="bullet"/>
      <w:lvlText w:val="•"/>
      <w:lvlJc w:val="left"/>
      <w:pPr>
        <w:ind w:left="7820" w:hanging="317"/>
      </w:pPr>
      <w:rPr>
        <w:rFonts w:hint="default"/>
        <w:lang w:val="en-US" w:eastAsia="en-US" w:bidi="ar-SA"/>
      </w:rPr>
    </w:lvl>
    <w:lvl w:ilvl="8">
      <w:start w:val="0"/>
      <w:numFmt w:val="bullet"/>
      <w:lvlText w:val="•"/>
      <w:lvlJc w:val="left"/>
      <w:pPr>
        <w:ind w:left="8606" w:hanging="317"/>
      </w:pPr>
      <w:rPr>
        <w:rFonts w:hint="default"/>
        <w:lang w:val="en-US" w:eastAsia="en-US" w:bidi="ar-SA"/>
      </w:rPr>
    </w:lvl>
  </w:abstractNum>
  <w:abstractNum w:abstractNumId="61">
    <w:multiLevelType w:val="hybridMultilevel"/>
    <w:lvl w:ilvl="0">
      <w:start w:val="1"/>
      <w:numFmt w:val="decimal"/>
      <w:lvlText w:val="%1."/>
      <w:lvlJc w:val="left"/>
      <w:pPr>
        <w:ind w:left="276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02" w:hanging="317"/>
      </w:pPr>
      <w:rPr>
        <w:rFonts w:hint="default"/>
        <w:lang w:val="en-US" w:eastAsia="en-US" w:bidi="ar-SA"/>
      </w:rPr>
    </w:lvl>
    <w:lvl w:ilvl="2">
      <w:start w:val="0"/>
      <w:numFmt w:val="bullet"/>
      <w:lvlText w:val="•"/>
      <w:lvlJc w:val="left"/>
      <w:pPr>
        <w:ind w:left="4244" w:hanging="317"/>
      </w:pPr>
      <w:rPr>
        <w:rFonts w:hint="default"/>
        <w:lang w:val="en-US" w:eastAsia="en-US" w:bidi="ar-SA"/>
      </w:rPr>
    </w:lvl>
    <w:lvl w:ilvl="3">
      <w:start w:val="0"/>
      <w:numFmt w:val="bullet"/>
      <w:lvlText w:val="•"/>
      <w:lvlJc w:val="left"/>
      <w:pPr>
        <w:ind w:left="4986" w:hanging="317"/>
      </w:pPr>
      <w:rPr>
        <w:rFonts w:hint="default"/>
        <w:lang w:val="en-US" w:eastAsia="en-US" w:bidi="ar-SA"/>
      </w:rPr>
    </w:lvl>
    <w:lvl w:ilvl="4">
      <w:start w:val="0"/>
      <w:numFmt w:val="bullet"/>
      <w:lvlText w:val="•"/>
      <w:lvlJc w:val="left"/>
      <w:pPr>
        <w:ind w:left="5728" w:hanging="317"/>
      </w:pPr>
      <w:rPr>
        <w:rFonts w:hint="default"/>
        <w:lang w:val="en-US" w:eastAsia="en-US" w:bidi="ar-SA"/>
      </w:rPr>
    </w:lvl>
    <w:lvl w:ilvl="5">
      <w:start w:val="0"/>
      <w:numFmt w:val="bullet"/>
      <w:lvlText w:val="•"/>
      <w:lvlJc w:val="left"/>
      <w:pPr>
        <w:ind w:left="6470" w:hanging="317"/>
      </w:pPr>
      <w:rPr>
        <w:rFonts w:hint="default"/>
        <w:lang w:val="en-US" w:eastAsia="en-US" w:bidi="ar-SA"/>
      </w:rPr>
    </w:lvl>
    <w:lvl w:ilvl="6">
      <w:start w:val="0"/>
      <w:numFmt w:val="bullet"/>
      <w:lvlText w:val="•"/>
      <w:lvlJc w:val="left"/>
      <w:pPr>
        <w:ind w:left="7212" w:hanging="317"/>
      </w:pPr>
      <w:rPr>
        <w:rFonts w:hint="default"/>
        <w:lang w:val="en-US" w:eastAsia="en-US" w:bidi="ar-SA"/>
      </w:rPr>
    </w:lvl>
    <w:lvl w:ilvl="7">
      <w:start w:val="0"/>
      <w:numFmt w:val="bullet"/>
      <w:lvlText w:val="•"/>
      <w:lvlJc w:val="left"/>
      <w:pPr>
        <w:ind w:left="7954" w:hanging="317"/>
      </w:pPr>
      <w:rPr>
        <w:rFonts w:hint="default"/>
        <w:lang w:val="en-US" w:eastAsia="en-US" w:bidi="ar-SA"/>
      </w:rPr>
    </w:lvl>
    <w:lvl w:ilvl="8">
      <w:start w:val="0"/>
      <w:numFmt w:val="bullet"/>
      <w:lvlText w:val="•"/>
      <w:lvlJc w:val="left"/>
      <w:pPr>
        <w:ind w:left="8696" w:hanging="317"/>
      </w:pPr>
      <w:rPr>
        <w:rFonts w:hint="default"/>
        <w:lang w:val="en-US" w:eastAsia="en-US" w:bidi="ar-SA"/>
      </w:rPr>
    </w:lvl>
  </w:abstractNum>
  <w:abstractNum w:abstractNumId="60">
    <w:multiLevelType w:val="hybridMultilevel"/>
    <w:lvl w:ilvl="0">
      <w:start w:val="1"/>
      <w:numFmt w:val="decimal"/>
      <w:lvlText w:val="%1."/>
      <w:lvlJc w:val="left"/>
      <w:pPr>
        <w:ind w:left="276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02" w:hanging="317"/>
      </w:pPr>
      <w:rPr>
        <w:rFonts w:hint="default"/>
        <w:lang w:val="en-US" w:eastAsia="en-US" w:bidi="ar-SA"/>
      </w:rPr>
    </w:lvl>
    <w:lvl w:ilvl="2">
      <w:start w:val="0"/>
      <w:numFmt w:val="bullet"/>
      <w:lvlText w:val="•"/>
      <w:lvlJc w:val="left"/>
      <w:pPr>
        <w:ind w:left="4244" w:hanging="317"/>
      </w:pPr>
      <w:rPr>
        <w:rFonts w:hint="default"/>
        <w:lang w:val="en-US" w:eastAsia="en-US" w:bidi="ar-SA"/>
      </w:rPr>
    </w:lvl>
    <w:lvl w:ilvl="3">
      <w:start w:val="0"/>
      <w:numFmt w:val="bullet"/>
      <w:lvlText w:val="•"/>
      <w:lvlJc w:val="left"/>
      <w:pPr>
        <w:ind w:left="4986" w:hanging="317"/>
      </w:pPr>
      <w:rPr>
        <w:rFonts w:hint="default"/>
        <w:lang w:val="en-US" w:eastAsia="en-US" w:bidi="ar-SA"/>
      </w:rPr>
    </w:lvl>
    <w:lvl w:ilvl="4">
      <w:start w:val="0"/>
      <w:numFmt w:val="bullet"/>
      <w:lvlText w:val="•"/>
      <w:lvlJc w:val="left"/>
      <w:pPr>
        <w:ind w:left="5728" w:hanging="317"/>
      </w:pPr>
      <w:rPr>
        <w:rFonts w:hint="default"/>
        <w:lang w:val="en-US" w:eastAsia="en-US" w:bidi="ar-SA"/>
      </w:rPr>
    </w:lvl>
    <w:lvl w:ilvl="5">
      <w:start w:val="0"/>
      <w:numFmt w:val="bullet"/>
      <w:lvlText w:val="•"/>
      <w:lvlJc w:val="left"/>
      <w:pPr>
        <w:ind w:left="6470" w:hanging="317"/>
      </w:pPr>
      <w:rPr>
        <w:rFonts w:hint="default"/>
        <w:lang w:val="en-US" w:eastAsia="en-US" w:bidi="ar-SA"/>
      </w:rPr>
    </w:lvl>
    <w:lvl w:ilvl="6">
      <w:start w:val="0"/>
      <w:numFmt w:val="bullet"/>
      <w:lvlText w:val="•"/>
      <w:lvlJc w:val="left"/>
      <w:pPr>
        <w:ind w:left="7212" w:hanging="317"/>
      </w:pPr>
      <w:rPr>
        <w:rFonts w:hint="default"/>
        <w:lang w:val="en-US" w:eastAsia="en-US" w:bidi="ar-SA"/>
      </w:rPr>
    </w:lvl>
    <w:lvl w:ilvl="7">
      <w:start w:val="0"/>
      <w:numFmt w:val="bullet"/>
      <w:lvlText w:val="•"/>
      <w:lvlJc w:val="left"/>
      <w:pPr>
        <w:ind w:left="7954" w:hanging="317"/>
      </w:pPr>
      <w:rPr>
        <w:rFonts w:hint="default"/>
        <w:lang w:val="en-US" w:eastAsia="en-US" w:bidi="ar-SA"/>
      </w:rPr>
    </w:lvl>
    <w:lvl w:ilvl="8">
      <w:start w:val="0"/>
      <w:numFmt w:val="bullet"/>
      <w:lvlText w:val="•"/>
      <w:lvlJc w:val="left"/>
      <w:pPr>
        <w:ind w:left="8696" w:hanging="317"/>
      </w:pPr>
      <w:rPr>
        <w:rFonts w:hint="default"/>
        <w:lang w:val="en-US" w:eastAsia="en-US" w:bidi="ar-SA"/>
      </w:rPr>
    </w:lvl>
  </w:abstractNum>
  <w:abstractNum w:abstractNumId="57">
    <w:multiLevelType w:val="hybridMultilevel"/>
    <w:lvl w:ilvl="0">
      <w:start w:val="1"/>
      <w:numFmt w:val="decimal"/>
      <w:lvlText w:val="%1."/>
      <w:lvlJc w:val="left"/>
      <w:pPr>
        <w:ind w:left="2899" w:hanging="317"/>
        <w:jc w:val="right"/>
      </w:pPr>
      <w:rPr>
        <w:rFonts w:hint="default"/>
        <w:spacing w:val="0"/>
        <w:w w:val="99"/>
        <w:lang w:val="en-US" w:eastAsia="en-US" w:bidi="ar-SA"/>
      </w:rPr>
    </w:lvl>
    <w:lvl w:ilvl="1">
      <w:start w:val="1"/>
      <w:numFmt w:val="lowerLetter"/>
      <w:lvlText w:val="%2."/>
      <w:lvlJc w:val="left"/>
      <w:pPr>
        <w:ind w:left="2975" w:hanging="337"/>
        <w:jc w:val="left"/>
      </w:pPr>
      <w:rPr>
        <w:rFonts w:hint="default"/>
        <w:spacing w:val="0"/>
        <w:w w:val="99"/>
        <w:lang w:val="en-US" w:eastAsia="en-US" w:bidi="ar-SA"/>
      </w:rPr>
    </w:lvl>
    <w:lvl w:ilvl="2">
      <w:start w:val="0"/>
      <w:numFmt w:val="bullet"/>
      <w:lvlText w:val="•"/>
      <w:lvlJc w:val="left"/>
      <w:pPr>
        <w:ind w:left="3780" w:hanging="337"/>
      </w:pPr>
      <w:rPr>
        <w:rFonts w:hint="default"/>
        <w:lang w:val="en-US" w:eastAsia="en-US" w:bidi="ar-SA"/>
      </w:rPr>
    </w:lvl>
    <w:lvl w:ilvl="3">
      <w:start w:val="0"/>
      <w:numFmt w:val="bullet"/>
      <w:lvlText w:val="•"/>
      <w:lvlJc w:val="left"/>
      <w:pPr>
        <w:ind w:left="4580" w:hanging="337"/>
      </w:pPr>
      <w:rPr>
        <w:rFonts w:hint="default"/>
        <w:lang w:val="en-US" w:eastAsia="en-US" w:bidi="ar-SA"/>
      </w:rPr>
    </w:lvl>
    <w:lvl w:ilvl="4">
      <w:start w:val="0"/>
      <w:numFmt w:val="bullet"/>
      <w:lvlText w:val="•"/>
      <w:lvlJc w:val="left"/>
      <w:pPr>
        <w:ind w:left="5380" w:hanging="337"/>
      </w:pPr>
      <w:rPr>
        <w:rFonts w:hint="default"/>
        <w:lang w:val="en-US" w:eastAsia="en-US" w:bidi="ar-SA"/>
      </w:rPr>
    </w:lvl>
    <w:lvl w:ilvl="5">
      <w:start w:val="0"/>
      <w:numFmt w:val="bullet"/>
      <w:lvlText w:val="•"/>
      <w:lvlJc w:val="left"/>
      <w:pPr>
        <w:ind w:left="6180" w:hanging="337"/>
      </w:pPr>
      <w:rPr>
        <w:rFonts w:hint="default"/>
        <w:lang w:val="en-US" w:eastAsia="en-US" w:bidi="ar-SA"/>
      </w:rPr>
    </w:lvl>
    <w:lvl w:ilvl="6">
      <w:start w:val="0"/>
      <w:numFmt w:val="bullet"/>
      <w:lvlText w:val="•"/>
      <w:lvlJc w:val="left"/>
      <w:pPr>
        <w:ind w:left="6980" w:hanging="337"/>
      </w:pPr>
      <w:rPr>
        <w:rFonts w:hint="default"/>
        <w:lang w:val="en-US" w:eastAsia="en-US" w:bidi="ar-SA"/>
      </w:rPr>
    </w:lvl>
    <w:lvl w:ilvl="7">
      <w:start w:val="0"/>
      <w:numFmt w:val="bullet"/>
      <w:lvlText w:val="•"/>
      <w:lvlJc w:val="left"/>
      <w:pPr>
        <w:ind w:left="7780" w:hanging="337"/>
      </w:pPr>
      <w:rPr>
        <w:rFonts w:hint="default"/>
        <w:lang w:val="en-US" w:eastAsia="en-US" w:bidi="ar-SA"/>
      </w:rPr>
    </w:lvl>
    <w:lvl w:ilvl="8">
      <w:start w:val="0"/>
      <w:numFmt w:val="bullet"/>
      <w:lvlText w:val="•"/>
      <w:lvlJc w:val="left"/>
      <w:pPr>
        <w:ind w:left="8580" w:hanging="337"/>
      </w:pPr>
      <w:rPr>
        <w:rFonts w:hint="default"/>
        <w:lang w:val="en-US" w:eastAsia="en-US" w:bidi="ar-SA"/>
      </w:rPr>
    </w:lvl>
  </w:abstractNum>
  <w:abstractNum w:abstractNumId="56">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55">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53">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17"/>
      </w:pPr>
      <w:rPr>
        <w:rFonts w:hint="default"/>
        <w:lang w:val="en-US" w:eastAsia="en-US" w:bidi="ar-SA"/>
      </w:rPr>
    </w:lvl>
    <w:lvl w:ilvl="3">
      <w:start w:val="0"/>
      <w:numFmt w:val="bullet"/>
      <w:lvlText w:val="•"/>
      <w:lvlJc w:val="left"/>
      <w:pPr>
        <w:ind w:left="4486" w:hanging="317"/>
      </w:pPr>
      <w:rPr>
        <w:rFonts w:hint="default"/>
        <w:lang w:val="en-US" w:eastAsia="en-US" w:bidi="ar-SA"/>
      </w:rPr>
    </w:lvl>
    <w:lvl w:ilvl="4">
      <w:start w:val="0"/>
      <w:numFmt w:val="bullet"/>
      <w:lvlText w:val="•"/>
      <w:lvlJc w:val="left"/>
      <w:pPr>
        <w:ind w:left="5300" w:hanging="317"/>
      </w:pPr>
      <w:rPr>
        <w:rFonts w:hint="default"/>
        <w:lang w:val="en-US" w:eastAsia="en-US" w:bidi="ar-SA"/>
      </w:rPr>
    </w:lvl>
    <w:lvl w:ilvl="5">
      <w:start w:val="0"/>
      <w:numFmt w:val="bullet"/>
      <w:lvlText w:val="•"/>
      <w:lvlJc w:val="left"/>
      <w:pPr>
        <w:ind w:left="6113" w:hanging="317"/>
      </w:pPr>
      <w:rPr>
        <w:rFonts w:hint="default"/>
        <w:lang w:val="en-US" w:eastAsia="en-US" w:bidi="ar-SA"/>
      </w:rPr>
    </w:lvl>
    <w:lvl w:ilvl="6">
      <w:start w:val="0"/>
      <w:numFmt w:val="bullet"/>
      <w:lvlText w:val="•"/>
      <w:lvlJc w:val="left"/>
      <w:pPr>
        <w:ind w:left="6926" w:hanging="317"/>
      </w:pPr>
      <w:rPr>
        <w:rFonts w:hint="default"/>
        <w:lang w:val="en-US" w:eastAsia="en-US" w:bidi="ar-SA"/>
      </w:rPr>
    </w:lvl>
    <w:lvl w:ilvl="7">
      <w:start w:val="0"/>
      <w:numFmt w:val="bullet"/>
      <w:lvlText w:val="•"/>
      <w:lvlJc w:val="left"/>
      <w:pPr>
        <w:ind w:left="7740" w:hanging="317"/>
      </w:pPr>
      <w:rPr>
        <w:rFonts w:hint="default"/>
        <w:lang w:val="en-US" w:eastAsia="en-US" w:bidi="ar-SA"/>
      </w:rPr>
    </w:lvl>
    <w:lvl w:ilvl="8">
      <w:start w:val="0"/>
      <w:numFmt w:val="bullet"/>
      <w:lvlText w:val="•"/>
      <w:lvlJc w:val="left"/>
      <w:pPr>
        <w:ind w:left="8553" w:hanging="317"/>
      </w:pPr>
      <w:rPr>
        <w:rFonts w:hint="default"/>
        <w:lang w:val="en-US" w:eastAsia="en-US" w:bidi="ar-SA"/>
      </w:rPr>
    </w:lvl>
  </w:abstractNum>
  <w:abstractNum w:abstractNumId="37">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28">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27">
    <w:multiLevelType w:val="hybridMultilevel"/>
    <w:lvl w:ilvl="0">
      <w:start w:val="1"/>
      <w:numFmt w:val="decimal"/>
      <w:lvlText w:val="%1."/>
      <w:lvlJc w:val="left"/>
      <w:pPr>
        <w:ind w:left="300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253"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2">
      <w:start w:val="0"/>
      <w:numFmt w:val="bullet"/>
      <w:lvlText w:val="•"/>
      <w:lvlJc w:val="left"/>
      <w:pPr>
        <w:ind w:left="4028" w:hanging="250"/>
      </w:pPr>
      <w:rPr>
        <w:rFonts w:hint="default"/>
        <w:lang w:val="en-US" w:eastAsia="en-US" w:bidi="ar-SA"/>
      </w:rPr>
    </w:lvl>
    <w:lvl w:ilvl="3">
      <w:start w:val="0"/>
      <w:numFmt w:val="bullet"/>
      <w:lvlText w:val="•"/>
      <w:lvlJc w:val="left"/>
      <w:pPr>
        <w:ind w:left="4797" w:hanging="250"/>
      </w:pPr>
      <w:rPr>
        <w:rFonts w:hint="default"/>
        <w:lang w:val="en-US" w:eastAsia="en-US" w:bidi="ar-SA"/>
      </w:rPr>
    </w:lvl>
    <w:lvl w:ilvl="4">
      <w:start w:val="0"/>
      <w:numFmt w:val="bullet"/>
      <w:lvlText w:val="•"/>
      <w:lvlJc w:val="left"/>
      <w:pPr>
        <w:ind w:left="5566" w:hanging="250"/>
      </w:pPr>
      <w:rPr>
        <w:rFonts w:hint="default"/>
        <w:lang w:val="en-US" w:eastAsia="en-US" w:bidi="ar-SA"/>
      </w:rPr>
    </w:lvl>
    <w:lvl w:ilvl="5">
      <w:start w:val="0"/>
      <w:numFmt w:val="bullet"/>
      <w:lvlText w:val="•"/>
      <w:lvlJc w:val="left"/>
      <w:pPr>
        <w:ind w:left="6335" w:hanging="250"/>
      </w:pPr>
      <w:rPr>
        <w:rFonts w:hint="default"/>
        <w:lang w:val="en-US" w:eastAsia="en-US" w:bidi="ar-SA"/>
      </w:rPr>
    </w:lvl>
    <w:lvl w:ilvl="6">
      <w:start w:val="0"/>
      <w:numFmt w:val="bullet"/>
      <w:lvlText w:val="•"/>
      <w:lvlJc w:val="left"/>
      <w:pPr>
        <w:ind w:left="7104" w:hanging="250"/>
      </w:pPr>
      <w:rPr>
        <w:rFonts w:hint="default"/>
        <w:lang w:val="en-US" w:eastAsia="en-US" w:bidi="ar-SA"/>
      </w:rPr>
    </w:lvl>
    <w:lvl w:ilvl="7">
      <w:start w:val="0"/>
      <w:numFmt w:val="bullet"/>
      <w:lvlText w:val="•"/>
      <w:lvlJc w:val="left"/>
      <w:pPr>
        <w:ind w:left="7873" w:hanging="250"/>
      </w:pPr>
      <w:rPr>
        <w:rFonts w:hint="default"/>
        <w:lang w:val="en-US" w:eastAsia="en-US" w:bidi="ar-SA"/>
      </w:rPr>
    </w:lvl>
    <w:lvl w:ilvl="8">
      <w:start w:val="0"/>
      <w:numFmt w:val="bullet"/>
      <w:lvlText w:val="•"/>
      <w:lvlJc w:val="left"/>
      <w:pPr>
        <w:ind w:left="8642" w:hanging="250"/>
      </w:pPr>
      <w:rPr>
        <w:rFonts w:hint="default"/>
        <w:lang w:val="en-US" w:eastAsia="en-US" w:bidi="ar-SA"/>
      </w:rPr>
    </w:lvl>
  </w:abstractNum>
  <w:abstractNum w:abstractNumId="26">
    <w:multiLevelType w:val="hybridMultilevel"/>
    <w:lvl w:ilvl="0">
      <w:start w:val="1"/>
      <w:numFmt w:val="decimal"/>
      <w:lvlText w:val="%1."/>
      <w:lvlJc w:val="left"/>
      <w:pPr>
        <w:ind w:left="3004"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718" w:hanging="383"/>
      </w:pPr>
      <w:rPr>
        <w:rFonts w:hint="default"/>
        <w:lang w:val="en-US" w:eastAsia="en-US" w:bidi="ar-SA"/>
      </w:rPr>
    </w:lvl>
    <w:lvl w:ilvl="2">
      <w:start w:val="0"/>
      <w:numFmt w:val="bullet"/>
      <w:lvlText w:val="•"/>
      <w:lvlJc w:val="left"/>
      <w:pPr>
        <w:ind w:left="4436" w:hanging="383"/>
      </w:pPr>
      <w:rPr>
        <w:rFonts w:hint="default"/>
        <w:lang w:val="en-US" w:eastAsia="en-US" w:bidi="ar-SA"/>
      </w:rPr>
    </w:lvl>
    <w:lvl w:ilvl="3">
      <w:start w:val="0"/>
      <w:numFmt w:val="bullet"/>
      <w:lvlText w:val="•"/>
      <w:lvlJc w:val="left"/>
      <w:pPr>
        <w:ind w:left="5154" w:hanging="383"/>
      </w:pPr>
      <w:rPr>
        <w:rFonts w:hint="default"/>
        <w:lang w:val="en-US" w:eastAsia="en-US" w:bidi="ar-SA"/>
      </w:rPr>
    </w:lvl>
    <w:lvl w:ilvl="4">
      <w:start w:val="0"/>
      <w:numFmt w:val="bullet"/>
      <w:lvlText w:val="•"/>
      <w:lvlJc w:val="left"/>
      <w:pPr>
        <w:ind w:left="5872" w:hanging="383"/>
      </w:pPr>
      <w:rPr>
        <w:rFonts w:hint="default"/>
        <w:lang w:val="en-US" w:eastAsia="en-US" w:bidi="ar-SA"/>
      </w:rPr>
    </w:lvl>
    <w:lvl w:ilvl="5">
      <w:start w:val="0"/>
      <w:numFmt w:val="bullet"/>
      <w:lvlText w:val="•"/>
      <w:lvlJc w:val="left"/>
      <w:pPr>
        <w:ind w:left="6590" w:hanging="383"/>
      </w:pPr>
      <w:rPr>
        <w:rFonts w:hint="default"/>
        <w:lang w:val="en-US" w:eastAsia="en-US" w:bidi="ar-SA"/>
      </w:rPr>
    </w:lvl>
    <w:lvl w:ilvl="6">
      <w:start w:val="0"/>
      <w:numFmt w:val="bullet"/>
      <w:lvlText w:val="•"/>
      <w:lvlJc w:val="left"/>
      <w:pPr>
        <w:ind w:left="7308" w:hanging="383"/>
      </w:pPr>
      <w:rPr>
        <w:rFonts w:hint="default"/>
        <w:lang w:val="en-US" w:eastAsia="en-US" w:bidi="ar-SA"/>
      </w:rPr>
    </w:lvl>
    <w:lvl w:ilvl="7">
      <w:start w:val="0"/>
      <w:numFmt w:val="bullet"/>
      <w:lvlText w:val="•"/>
      <w:lvlJc w:val="left"/>
      <w:pPr>
        <w:ind w:left="8026" w:hanging="383"/>
      </w:pPr>
      <w:rPr>
        <w:rFonts w:hint="default"/>
        <w:lang w:val="en-US" w:eastAsia="en-US" w:bidi="ar-SA"/>
      </w:rPr>
    </w:lvl>
    <w:lvl w:ilvl="8">
      <w:start w:val="0"/>
      <w:numFmt w:val="bullet"/>
      <w:lvlText w:val="•"/>
      <w:lvlJc w:val="left"/>
      <w:pPr>
        <w:ind w:left="8744" w:hanging="383"/>
      </w:pPr>
      <w:rPr>
        <w:rFonts w:hint="default"/>
        <w:lang w:val="en-US" w:eastAsia="en-US" w:bidi="ar-SA"/>
      </w:rPr>
    </w:lvl>
  </w:abstractNum>
  <w:abstractNum w:abstractNumId="25">
    <w:multiLevelType w:val="hybridMultilevel"/>
    <w:lvl w:ilvl="0">
      <w:start w:val="1"/>
      <w:numFmt w:val="decimal"/>
      <w:lvlText w:val="%1."/>
      <w:lvlJc w:val="left"/>
      <w:pPr>
        <w:ind w:left="2764"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02" w:hanging="317"/>
      </w:pPr>
      <w:rPr>
        <w:rFonts w:hint="default"/>
        <w:lang w:val="en-US" w:eastAsia="en-US" w:bidi="ar-SA"/>
      </w:rPr>
    </w:lvl>
    <w:lvl w:ilvl="2">
      <w:start w:val="0"/>
      <w:numFmt w:val="bullet"/>
      <w:lvlText w:val="•"/>
      <w:lvlJc w:val="left"/>
      <w:pPr>
        <w:ind w:left="4244" w:hanging="317"/>
      </w:pPr>
      <w:rPr>
        <w:rFonts w:hint="default"/>
        <w:lang w:val="en-US" w:eastAsia="en-US" w:bidi="ar-SA"/>
      </w:rPr>
    </w:lvl>
    <w:lvl w:ilvl="3">
      <w:start w:val="0"/>
      <w:numFmt w:val="bullet"/>
      <w:lvlText w:val="•"/>
      <w:lvlJc w:val="left"/>
      <w:pPr>
        <w:ind w:left="4986" w:hanging="317"/>
      </w:pPr>
      <w:rPr>
        <w:rFonts w:hint="default"/>
        <w:lang w:val="en-US" w:eastAsia="en-US" w:bidi="ar-SA"/>
      </w:rPr>
    </w:lvl>
    <w:lvl w:ilvl="4">
      <w:start w:val="0"/>
      <w:numFmt w:val="bullet"/>
      <w:lvlText w:val="•"/>
      <w:lvlJc w:val="left"/>
      <w:pPr>
        <w:ind w:left="5728" w:hanging="317"/>
      </w:pPr>
      <w:rPr>
        <w:rFonts w:hint="default"/>
        <w:lang w:val="en-US" w:eastAsia="en-US" w:bidi="ar-SA"/>
      </w:rPr>
    </w:lvl>
    <w:lvl w:ilvl="5">
      <w:start w:val="0"/>
      <w:numFmt w:val="bullet"/>
      <w:lvlText w:val="•"/>
      <w:lvlJc w:val="left"/>
      <w:pPr>
        <w:ind w:left="6470" w:hanging="317"/>
      </w:pPr>
      <w:rPr>
        <w:rFonts w:hint="default"/>
        <w:lang w:val="en-US" w:eastAsia="en-US" w:bidi="ar-SA"/>
      </w:rPr>
    </w:lvl>
    <w:lvl w:ilvl="6">
      <w:start w:val="0"/>
      <w:numFmt w:val="bullet"/>
      <w:lvlText w:val="•"/>
      <w:lvlJc w:val="left"/>
      <w:pPr>
        <w:ind w:left="7212" w:hanging="317"/>
      </w:pPr>
      <w:rPr>
        <w:rFonts w:hint="default"/>
        <w:lang w:val="en-US" w:eastAsia="en-US" w:bidi="ar-SA"/>
      </w:rPr>
    </w:lvl>
    <w:lvl w:ilvl="7">
      <w:start w:val="0"/>
      <w:numFmt w:val="bullet"/>
      <w:lvlText w:val="•"/>
      <w:lvlJc w:val="left"/>
      <w:pPr>
        <w:ind w:left="7954" w:hanging="317"/>
      </w:pPr>
      <w:rPr>
        <w:rFonts w:hint="default"/>
        <w:lang w:val="en-US" w:eastAsia="en-US" w:bidi="ar-SA"/>
      </w:rPr>
    </w:lvl>
    <w:lvl w:ilvl="8">
      <w:start w:val="0"/>
      <w:numFmt w:val="bullet"/>
      <w:lvlText w:val="•"/>
      <w:lvlJc w:val="left"/>
      <w:pPr>
        <w:ind w:left="8696" w:hanging="317"/>
      </w:pPr>
      <w:rPr>
        <w:rFonts w:hint="default"/>
        <w:lang w:val="en-US" w:eastAsia="en-US" w:bidi="ar-SA"/>
      </w:rPr>
    </w:lvl>
  </w:abstractNum>
  <w:abstractNum w:abstractNumId="22">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20">
    <w:multiLevelType w:val="hybridMultilevel"/>
    <w:lvl w:ilvl="0">
      <w:start w:val="1"/>
      <w:numFmt w:val="decimal"/>
      <w:lvlText w:val="%1."/>
      <w:lvlJc w:val="left"/>
      <w:pPr>
        <w:ind w:left="300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718" w:hanging="317"/>
      </w:pPr>
      <w:rPr>
        <w:rFonts w:hint="default"/>
        <w:lang w:val="en-US" w:eastAsia="en-US" w:bidi="ar-SA"/>
      </w:rPr>
    </w:lvl>
    <w:lvl w:ilvl="2">
      <w:start w:val="0"/>
      <w:numFmt w:val="bullet"/>
      <w:lvlText w:val="•"/>
      <w:lvlJc w:val="left"/>
      <w:pPr>
        <w:ind w:left="4436" w:hanging="317"/>
      </w:pPr>
      <w:rPr>
        <w:rFonts w:hint="default"/>
        <w:lang w:val="en-US" w:eastAsia="en-US" w:bidi="ar-SA"/>
      </w:rPr>
    </w:lvl>
    <w:lvl w:ilvl="3">
      <w:start w:val="0"/>
      <w:numFmt w:val="bullet"/>
      <w:lvlText w:val="•"/>
      <w:lvlJc w:val="left"/>
      <w:pPr>
        <w:ind w:left="5154" w:hanging="317"/>
      </w:pPr>
      <w:rPr>
        <w:rFonts w:hint="default"/>
        <w:lang w:val="en-US" w:eastAsia="en-US" w:bidi="ar-SA"/>
      </w:rPr>
    </w:lvl>
    <w:lvl w:ilvl="4">
      <w:start w:val="0"/>
      <w:numFmt w:val="bullet"/>
      <w:lvlText w:val="•"/>
      <w:lvlJc w:val="left"/>
      <w:pPr>
        <w:ind w:left="5872" w:hanging="317"/>
      </w:pPr>
      <w:rPr>
        <w:rFonts w:hint="default"/>
        <w:lang w:val="en-US" w:eastAsia="en-US" w:bidi="ar-SA"/>
      </w:rPr>
    </w:lvl>
    <w:lvl w:ilvl="5">
      <w:start w:val="0"/>
      <w:numFmt w:val="bullet"/>
      <w:lvlText w:val="•"/>
      <w:lvlJc w:val="left"/>
      <w:pPr>
        <w:ind w:left="6590" w:hanging="317"/>
      </w:pPr>
      <w:rPr>
        <w:rFonts w:hint="default"/>
        <w:lang w:val="en-US" w:eastAsia="en-US" w:bidi="ar-SA"/>
      </w:rPr>
    </w:lvl>
    <w:lvl w:ilvl="6">
      <w:start w:val="0"/>
      <w:numFmt w:val="bullet"/>
      <w:lvlText w:val="•"/>
      <w:lvlJc w:val="left"/>
      <w:pPr>
        <w:ind w:left="7308" w:hanging="317"/>
      </w:pPr>
      <w:rPr>
        <w:rFonts w:hint="default"/>
        <w:lang w:val="en-US" w:eastAsia="en-US" w:bidi="ar-SA"/>
      </w:rPr>
    </w:lvl>
    <w:lvl w:ilvl="7">
      <w:start w:val="0"/>
      <w:numFmt w:val="bullet"/>
      <w:lvlText w:val="•"/>
      <w:lvlJc w:val="left"/>
      <w:pPr>
        <w:ind w:left="8026" w:hanging="317"/>
      </w:pPr>
      <w:rPr>
        <w:rFonts w:hint="default"/>
        <w:lang w:val="en-US" w:eastAsia="en-US" w:bidi="ar-SA"/>
      </w:rPr>
    </w:lvl>
    <w:lvl w:ilvl="8">
      <w:start w:val="0"/>
      <w:numFmt w:val="bullet"/>
      <w:lvlText w:val="•"/>
      <w:lvlJc w:val="left"/>
      <w:pPr>
        <w:ind w:left="8744" w:hanging="317"/>
      </w:pPr>
      <w:rPr>
        <w:rFonts w:hint="default"/>
        <w:lang w:val="en-US" w:eastAsia="en-US" w:bidi="ar-SA"/>
      </w:rPr>
    </w:lvl>
  </w:abstractNum>
  <w:abstractNum w:abstractNumId="19">
    <w:multiLevelType w:val="hybridMultilevel"/>
    <w:lvl w:ilvl="0">
      <w:start w:val="1"/>
      <w:numFmt w:val="decimal"/>
      <w:lvlText w:val="%1."/>
      <w:lvlJc w:val="left"/>
      <w:pPr>
        <w:ind w:left="300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718" w:hanging="317"/>
      </w:pPr>
      <w:rPr>
        <w:rFonts w:hint="default"/>
        <w:lang w:val="en-US" w:eastAsia="en-US" w:bidi="ar-SA"/>
      </w:rPr>
    </w:lvl>
    <w:lvl w:ilvl="2">
      <w:start w:val="0"/>
      <w:numFmt w:val="bullet"/>
      <w:lvlText w:val="•"/>
      <w:lvlJc w:val="left"/>
      <w:pPr>
        <w:ind w:left="4436" w:hanging="317"/>
      </w:pPr>
      <w:rPr>
        <w:rFonts w:hint="default"/>
        <w:lang w:val="en-US" w:eastAsia="en-US" w:bidi="ar-SA"/>
      </w:rPr>
    </w:lvl>
    <w:lvl w:ilvl="3">
      <w:start w:val="0"/>
      <w:numFmt w:val="bullet"/>
      <w:lvlText w:val="•"/>
      <w:lvlJc w:val="left"/>
      <w:pPr>
        <w:ind w:left="5154" w:hanging="317"/>
      </w:pPr>
      <w:rPr>
        <w:rFonts w:hint="default"/>
        <w:lang w:val="en-US" w:eastAsia="en-US" w:bidi="ar-SA"/>
      </w:rPr>
    </w:lvl>
    <w:lvl w:ilvl="4">
      <w:start w:val="0"/>
      <w:numFmt w:val="bullet"/>
      <w:lvlText w:val="•"/>
      <w:lvlJc w:val="left"/>
      <w:pPr>
        <w:ind w:left="5872" w:hanging="317"/>
      </w:pPr>
      <w:rPr>
        <w:rFonts w:hint="default"/>
        <w:lang w:val="en-US" w:eastAsia="en-US" w:bidi="ar-SA"/>
      </w:rPr>
    </w:lvl>
    <w:lvl w:ilvl="5">
      <w:start w:val="0"/>
      <w:numFmt w:val="bullet"/>
      <w:lvlText w:val="•"/>
      <w:lvlJc w:val="left"/>
      <w:pPr>
        <w:ind w:left="6590" w:hanging="317"/>
      </w:pPr>
      <w:rPr>
        <w:rFonts w:hint="default"/>
        <w:lang w:val="en-US" w:eastAsia="en-US" w:bidi="ar-SA"/>
      </w:rPr>
    </w:lvl>
    <w:lvl w:ilvl="6">
      <w:start w:val="0"/>
      <w:numFmt w:val="bullet"/>
      <w:lvlText w:val="•"/>
      <w:lvlJc w:val="left"/>
      <w:pPr>
        <w:ind w:left="7308" w:hanging="317"/>
      </w:pPr>
      <w:rPr>
        <w:rFonts w:hint="default"/>
        <w:lang w:val="en-US" w:eastAsia="en-US" w:bidi="ar-SA"/>
      </w:rPr>
    </w:lvl>
    <w:lvl w:ilvl="7">
      <w:start w:val="0"/>
      <w:numFmt w:val="bullet"/>
      <w:lvlText w:val="•"/>
      <w:lvlJc w:val="left"/>
      <w:pPr>
        <w:ind w:left="8026" w:hanging="317"/>
      </w:pPr>
      <w:rPr>
        <w:rFonts w:hint="default"/>
        <w:lang w:val="en-US" w:eastAsia="en-US" w:bidi="ar-SA"/>
      </w:rPr>
    </w:lvl>
    <w:lvl w:ilvl="8">
      <w:start w:val="0"/>
      <w:numFmt w:val="bullet"/>
      <w:lvlText w:val="•"/>
      <w:lvlJc w:val="left"/>
      <w:pPr>
        <w:ind w:left="8744" w:hanging="317"/>
      </w:pPr>
      <w:rPr>
        <w:rFonts w:hint="default"/>
        <w:lang w:val="en-US" w:eastAsia="en-US" w:bidi="ar-SA"/>
      </w:rPr>
    </w:lvl>
  </w:abstractNum>
  <w:abstractNum w:abstractNumId="14">
    <w:multiLevelType w:val="hybridMultilevel"/>
    <w:lvl w:ilvl="0">
      <w:start w:val="0"/>
      <w:numFmt w:val="bullet"/>
      <w:lvlText w:val="–"/>
      <w:lvlJc w:val="left"/>
      <w:pPr>
        <w:ind w:left="2698"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448" w:hanging="250"/>
      </w:pPr>
      <w:rPr>
        <w:rFonts w:hint="default"/>
        <w:lang w:val="en-US" w:eastAsia="en-US" w:bidi="ar-SA"/>
      </w:rPr>
    </w:lvl>
    <w:lvl w:ilvl="2">
      <w:start w:val="0"/>
      <w:numFmt w:val="bullet"/>
      <w:lvlText w:val="•"/>
      <w:lvlJc w:val="left"/>
      <w:pPr>
        <w:ind w:left="4196" w:hanging="250"/>
      </w:pPr>
      <w:rPr>
        <w:rFonts w:hint="default"/>
        <w:lang w:val="en-US" w:eastAsia="en-US" w:bidi="ar-SA"/>
      </w:rPr>
    </w:lvl>
    <w:lvl w:ilvl="3">
      <w:start w:val="0"/>
      <w:numFmt w:val="bullet"/>
      <w:lvlText w:val="•"/>
      <w:lvlJc w:val="left"/>
      <w:pPr>
        <w:ind w:left="4944" w:hanging="250"/>
      </w:pPr>
      <w:rPr>
        <w:rFonts w:hint="default"/>
        <w:lang w:val="en-US" w:eastAsia="en-US" w:bidi="ar-SA"/>
      </w:rPr>
    </w:lvl>
    <w:lvl w:ilvl="4">
      <w:start w:val="0"/>
      <w:numFmt w:val="bullet"/>
      <w:lvlText w:val="•"/>
      <w:lvlJc w:val="left"/>
      <w:pPr>
        <w:ind w:left="5692" w:hanging="250"/>
      </w:pPr>
      <w:rPr>
        <w:rFonts w:hint="default"/>
        <w:lang w:val="en-US" w:eastAsia="en-US" w:bidi="ar-SA"/>
      </w:rPr>
    </w:lvl>
    <w:lvl w:ilvl="5">
      <w:start w:val="0"/>
      <w:numFmt w:val="bullet"/>
      <w:lvlText w:val="•"/>
      <w:lvlJc w:val="left"/>
      <w:pPr>
        <w:ind w:left="6440" w:hanging="250"/>
      </w:pPr>
      <w:rPr>
        <w:rFonts w:hint="default"/>
        <w:lang w:val="en-US" w:eastAsia="en-US" w:bidi="ar-SA"/>
      </w:rPr>
    </w:lvl>
    <w:lvl w:ilvl="6">
      <w:start w:val="0"/>
      <w:numFmt w:val="bullet"/>
      <w:lvlText w:val="•"/>
      <w:lvlJc w:val="left"/>
      <w:pPr>
        <w:ind w:left="7188" w:hanging="250"/>
      </w:pPr>
      <w:rPr>
        <w:rFonts w:hint="default"/>
        <w:lang w:val="en-US" w:eastAsia="en-US" w:bidi="ar-SA"/>
      </w:rPr>
    </w:lvl>
    <w:lvl w:ilvl="7">
      <w:start w:val="0"/>
      <w:numFmt w:val="bullet"/>
      <w:lvlText w:val="•"/>
      <w:lvlJc w:val="left"/>
      <w:pPr>
        <w:ind w:left="7936" w:hanging="250"/>
      </w:pPr>
      <w:rPr>
        <w:rFonts w:hint="default"/>
        <w:lang w:val="en-US" w:eastAsia="en-US" w:bidi="ar-SA"/>
      </w:rPr>
    </w:lvl>
    <w:lvl w:ilvl="8">
      <w:start w:val="0"/>
      <w:numFmt w:val="bullet"/>
      <w:lvlText w:val="•"/>
      <w:lvlJc w:val="left"/>
      <w:pPr>
        <w:ind w:left="8684" w:hanging="250"/>
      </w:pPr>
      <w:rPr>
        <w:rFonts w:hint="default"/>
        <w:lang w:val="en-US" w:eastAsia="en-US" w:bidi="ar-SA"/>
      </w:rPr>
    </w:lvl>
  </w:abstractNum>
  <w:abstractNum w:abstractNumId="1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1">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0">
    <w:multiLevelType w:val="hybridMultilevel"/>
    <w:lvl w:ilvl="0">
      <w:start w:val="1"/>
      <w:numFmt w:val="decimal"/>
      <w:lvlText w:val="%1."/>
      <w:lvlJc w:val="left"/>
      <w:pPr>
        <w:ind w:left="350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168" w:hanging="317"/>
      </w:pPr>
      <w:rPr>
        <w:rFonts w:hint="default"/>
        <w:lang w:val="en-US" w:eastAsia="en-US" w:bidi="ar-SA"/>
      </w:rPr>
    </w:lvl>
    <w:lvl w:ilvl="2">
      <w:start w:val="0"/>
      <w:numFmt w:val="bullet"/>
      <w:lvlText w:val="•"/>
      <w:lvlJc w:val="left"/>
      <w:pPr>
        <w:ind w:left="4836" w:hanging="317"/>
      </w:pPr>
      <w:rPr>
        <w:rFonts w:hint="default"/>
        <w:lang w:val="en-US" w:eastAsia="en-US" w:bidi="ar-SA"/>
      </w:rPr>
    </w:lvl>
    <w:lvl w:ilvl="3">
      <w:start w:val="0"/>
      <w:numFmt w:val="bullet"/>
      <w:lvlText w:val="•"/>
      <w:lvlJc w:val="left"/>
      <w:pPr>
        <w:ind w:left="5504" w:hanging="317"/>
      </w:pPr>
      <w:rPr>
        <w:rFonts w:hint="default"/>
        <w:lang w:val="en-US" w:eastAsia="en-US" w:bidi="ar-SA"/>
      </w:rPr>
    </w:lvl>
    <w:lvl w:ilvl="4">
      <w:start w:val="0"/>
      <w:numFmt w:val="bullet"/>
      <w:lvlText w:val="•"/>
      <w:lvlJc w:val="left"/>
      <w:pPr>
        <w:ind w:left="6172" w:hanging="317"/>
      </w:pPr>
      <w:rPr>
        <w:rFonts w:hint="default"/>
        <w:lang w:val="en-US" w:eastAsia="en-US" w:bidi="ar-SA"/>
      </w:rPr>
    </w:lvl>
    <w:lvl w:ilvl="5">
      <w:start w:val="0"/>
      <w:numFmt w:val="bullet"/>
      <w:lvlText w:val="•"/>
      <w:lvlJc w:val="left"/>
      <w:pPr>
        <w:ind w:left="6840" w:hanging="317"/>
      </w:pPr>
      <w:rPr>
        <w:rFonts w:hint="default"/>
        <w:lang w:val="en-US" w:eastAsia="en-US" w:bidi="ar-SA"/>
      </w:rPr>
    </w:lvl>
    <w:lvl w:ilvl="6">
      <w:start w:val="0"/>
      <w:numFmt w:val="bullet"/>
      <w:lvlText w:val="•"/>
      <w:lvlJc w:val="left"/>
      <w:pPr>
        <w:ind w:left="7508" w:hanging="317"/>
      </w:pPr>
      <w:rPr>
        <w:rFonts w:hint="default"/>
        <w:lang w:val="en-US" w:eastAsia="en-US" w:bidi="ar-SA"/>
      </w:rPr>
    </w:lvl>
    <w:lvl w:ilvl="7">
      <w:start w:val="0"/>
      <w:numFmt w:val="bullet"/>
      <w:lvlText w:val="•"/>
      <w:lvlJc w:val="left"/>
      <w:pPr>
        <w:ind w:left="8176"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9">
    <w:multiLevelType w:val="hybridMultilevel"/>
    <w:lvl w:ilvl="0">
      <w:start w:val="1"/>
      <w:numFmt w:val="decimal"/>
      <w:lvlText w:val="%1."/>
      <w:lvlJc w:val="left"/>
      <w:pPr>
        <w:ind w:left="3004"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718" w:hanging="317"/>
      </w:pPr>
      <w:rPr>
        <w:rFonts w:hint="default"/>
        <w:lang w:val="en-US" w:eastAsia="en-US" w:bidi="ar-SA"/>
      </w:rPr>
    </w:lvl>
    <w:lvl w:ilvl="2">
      <w:start w:val="0"/>
      <w:numFmt w:val="bullet"/>
      <w:lvlText w:val="•"/>
      <w:lvlJc w:val="left"/>
      <w:pPr>
        <w:ind w:left="4436" w:hanging="317"/>
      </w:pPr>
      <w:rPr>
        <w:rFonts w:hint="default"/>
        <w:lang w:val="en-US" w:eastAsia="en-US" w:bidi="ar-SA"/>
      </w:rPr>
    </w:lvl>
    <w:lvl w:ilvl="3">
      <w:start w:val="0"/>
      <w:numFmt w:val="bullet"/>
      <w:lvlText w:val="•"/>
      <w:lvlJc w:val="left"/>
      <w:pPr>
        <w:ind w:left="5154" w:hanging="317"/>
      </w:pPr>
      <w:rPr>
        <w:rFonts w:hint="default"/>
        <w:lang w:val="en-US" w:eastAsia="en-US" w:bidi="ar-SA"/>
      </w:rPr>
    </w:lvl>
    <w:lvl w:ilvl="4">
      <w:start w:val="0"/>
      <w:numFmt w:val="bullet"/>
      <w:lvlText w:val="•"/>
      <w:lvlJc w:val="left"/>
      <w:pPr>
        <w:ind w:left="5872" w:hanging="317"/>
      </w:pPr>
      <w:rPr>
        <w:rFonts w:hint="default"/>
        <w:lang w:val="en-US" w:eastAsia="en-US" w:bidi="ar-SA"/>
      </w:rPr>
    </w:lvl>
    <w:lvl w:ilvl="5">
      <w:start w:val="0"/>
      <w:numFmt w:val="bullet"/>
      <w:lvlText w:val="•"/>
      <w:lvlJc w:val="left"/>
      <w:pPr>
        <w:ind w:left="6590" w:hanging="317"/>
      </w:pPr>
      <w:rPr>
        <w:rFonts w:hint="default"/>
        <w:lang w:val="en-US" w:eastAsia="en-US" w:bidi="ar-SA"/>
      </w:rPr>
    </w:lvl>
    <w:lvl w:ilvl="6">
      <w:start w:val="0"/>
      <w:numFmt w:val="bullet"/>
      <w:lvlText w:val="•"/>
      <w:lvlJc w:val="left"/>
      <w:pPr>
        <w:ind w:left="7308" w:hanging="317"/>
      </w:pPr>
      <w:rPr>
        <w:rFonts w:hint="default"/>
        <w:lang w:val="en-US" w:eastAsia="en-US" w:bidi="ar-SA"/>
      </w:rPr>
    </w:lvl>
    <w:lvl w:ilvl="7">
      <w:start w:val="0"/>
      <w:numFmt w:val="bullet"/>
      <w:lvlText w:val="•"/>
      <w:lvlJc w:val="left"/>
      <w:pPr>
        <w:ind w:left="8026" w:hanging="317"/>
      </w:pPr>
      <w:rPr>
        <w:rFonts w:hint="default"/>
        <w:lang w:val="en-US" w:eastAsia="en-US" w:bidi="ar-SA"/>
      </w:rPr>
    </w:lvl>
    <w:lvl w:ilvl="8">
      <w:start w:val="0"/>
      <w:numFmt w:val="bullet"/>
      <w:lvlText w:val="•"/>
      <w:lvlJc w:val="left"/>
      <w:pPr>
        <w:ind w:left="8744" w:hanging="317"/>
      </w:pPr>
      <w:rPr>
        <w:rFonts w:hint="default"/>
        <w:lang w:val="en-US" w:eastAsia="en-US" w:bidi="ar-SA"/>
      </w:rPr>
    </w:lvl>
  </w:abstractNum>
  <w:abstractNum w:abstractNumId="8">
    <w:multiLevelType w:val="hybridMultilevel"/>
    <w:lvl w:ilvl="0">
      <w:start w:val="0"/>
      <w:numFmt w:val="bullet"/>
      <w:lvlText w:val="–"/>
      <w:lvlJc w:val="left"/>
      <w:pPr>
        <w:ind w:left="2698"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448" w:hanging="250"/>
      </w:pPr>
      <w:rPr>
        <w:rFonts w:hint="default"/>
        <w:lang w:val="en-US" w:eastAsia="en-US" w:bidi="ar-SA"/>
      </w:rPr>
    </w:lvl>
    <w:lvl w:ilvl="2">
      <w:start w:val="0"/>
      <w:numFmt w:val="bullet"/>
      <w:lvlText w:val="•"/>
      <w:lvlJc w:val="left"/>
      <w:pPr>
        <w:ind w:left="4196" w:hanging="250"/>
      </w:pPr>
      <w:rPr>
        <w:rFonts w:hint="default"/>
        <w:lang w:val="en-US" w:eastAsia="en-US" w:bidi="ar-SA"/>
      </w:rPr>
    </w:lvl>
    <w:lvl w:ilvl="3">
      <w:start w:val="0"/>
      <w:numFmt w:val="bullet"/>
      <w:lvlText w:val="•"/>
      <w:lvlJc w:val="left"/>
      <w:pPr>
        <w:ind w:left="4944" w:hanging="250"/>
      </w:pPr>
      <w:rPr>
        <w:rFonts w:hint="default"/>
        <w:lang w:val="en-US" w:eastAsia="en-US" w:bidi="ar-SA"/>
      </w:rPr>
    </w:lvl>
    <w:lvl w:ilvl="4">
      <w:start w:val="0"/>
      <w:numFmt w:val="bullet"/>
      <w:lvlText w:val="•"/>
      <w:lvlJc w:val="left"/>
      <w:pPr>
        <w:ind w:left="5692" w:hanging="250"/>
      </w:pPr>
      <w:rPr>
        <w:rFonts w:hint="default"/>
        <w:lang w:val="en-US" w:eastAsia="en-US" w:bidi="ar-SA"/>
      </w:rPr>
    </w:lvl>
    <w:lvl w:ilvl="5">
      <w:start w:val="0"/>
      <w:numFmt w:val="bullet"/>
      <w:lvlText w:val="•"/>
      <w:lvlJc w:val="left"/>
      <w:pPr>
        <w:ind w:left="6440" w:hanging="250"/>
      </w:pPr>
      <w:rPr>
        <w:rFonts w:hint="default"/>
        <w:lang w:val="en-US" w:eastAsia="en-US" w:bidi="ar-SA"/>
      </w:rPr>
    </w:lvl>
    <w:lvl w:ilvl="6">
      <w:start w:val="0"/>
      <w:numFmt w:val="bullet"/>
      <w:lvlText w:val="•"/>
      <w:lvlJc w:val="left"/>
      <w:pPr>
        <w:ind w:left="7188" w:hanging="250"/>
      </w:pPr>
      <w:rPr>
        <w:rFonts w:hint="default"/>
        <w:lang w:val="en-US" w:eastAsia="en-US" w:bidi="ar-SA"/>
      </w:rPr>
    </w:lvl>
    <w:lvl w:ilvl="7">
      <w:start w:val="0"/>
      <w:numFmt w:val="bullet"/>
      <w:lvlText w:val="•"/>
      <w:lvlJc w:val="left"/>
      <w:pPr>
        <w:ind w:left="7936" w:hanging="250"/>
      </w:pPr>
      <w:rPr>
        <w:rFonts w:hint="default"/>
        <w:lang w:val="en-US" w:eastAsia="en-US" w:bidi="ar-SA"/>
      </w:rPr>
    </w:lvl>
    <w:lvl w:ilvl="8">
      <w:start w:val="0"/>
      <w:numFmt w:val="bullet"/>
      <w:lvlText w:val="•"/>
      <w:lvlJc w:val="left"/>
      <w:pPr>
        <w:ind w:left="8684" w:hanging="250"/>
      </w:pPr>
      <w:rPr>
        <w:rFonts w:hint="default"/>
        <w:lang w:val="en-US" w:eastAsia="en-US" w:bidi="ar-SA"/>
      </w:rPr>
    </w:lvl>
  </w:abstractNum>
  <w:abstractNum w:abstractNumId="1">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0">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95">
    <w:multiLevelType w:val="hybridMultilevel"/>
    <w:lvl w:ilvl="0">
      <w:start w:val="1"/>
      <w:numFmt w:val="decimal"/>
      <w:lvlText w:val="%1."/>
      <w:lvlJc w:val="left"/>
      <w:pPr>
        <w:ind w:left="31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247" w:hanging="317"/>
      </w:pPr>
      <w:rPr>
        <w:rFonts w:hint="default"/>
        <w:lang w:val="en-US" w:eastAsia="en-US" w:bidi="ar-SA"/>
      </w:rPr>
    </w:lvl>
    <w:lvl w:ilvl="3">
      <w:start w:val="0"/>
      <w:numFmt w:val="bullet"/>
      <w:lvlText w:val="•"/>
      <w:lvlJc w:val="left"/>
      <w:pPr>
        <w:ind w:left="3834" w:hanging="317"/>
      </w:pPr>
      <w:rPr>
        <w:rFonts w:hint="default"/>
        <w:lang w:val="en-US" w:eastAsia="en-US" w:bidi="ar-SA"/>
      </w:rPr>
    </w:lvl>
    <w:lvl w:ilvl="4">
      <w:start w:val="0"/>
      <w:numFmt w:val="bullet"/>
      <w:lvlText w:val="•"/>
      <w:lvlJc w:val="left"/>
      <w:pPr>
        <w:ind w:left="4422" w:hanging="317"/>
      </w:pPr>
      <w:rPr>
        <w:rFonts w:hint="default"/>
        <w:lang w:val="en-US" w:eastAsia="en-US" w:bidi="ar-SA"/>
      </w:rPr>
    </w:lvl>
    <w:lvl w:ilvl="5">
      <w:start w:val="0"/>
      <w:numFmt w:val="bullet"/>
      <w:lvlText w:val="•"/>
      <w:lvlJc w:val="left"/>
      <w:pPr>
        <w:ind w:left="5009" w:hanging="317"/>
      </w:pPr>
      <w:rPr>
        <w:rFonts w:hint="default"/>
        <w:lang w:val="en-US" w:eastAsia="en-US" w:bidi="ar-SA"/>
      </w:rPr>
    </w:lvl>
    <w:lvl w:ilvl="6">
      <w:start w:val="0"/>
      <w:numFmt w:val="bullet"/>
      <w:lvlText w:val="•"/>
      <w:lvlJc w:val="left"/>
      <w:pPr>
        <w:ind w:left="5597" w:hanging="317"/>
      </w:pPr>
      <w:rPr>
        <w:rFonts w:hint="default"/>
        <w:lang w:val="en-US" w:eastAsia="en-US" w:bidi="ar-SA"/>
      </w:rPr>
    </w:lvl>
    <w:lvl w:ilvl="7">
      <w:start w:val="0"/>
      <w:numFmt w:val="bullet"/>
      <w:lvlText w:val="•"/>
      <w:lvlJc w:val="left"/>
      <w:pPr>
        <w:ind w:left="6184" w:hanging="317"/>
      </w:pPr>
      <w:rPr>
        <w:rFonts w:hint="default"/>
        <w:lang w:val="en-US" w:eastAsia="en-US" w:bidi="ar-SA"/>
      </w:rPr>
    </w:lvl>
    <w:lvl w:ilvl="8">
      <w:start w:val="0"/>
      <w:numFmt w:val="bullet"/>
      <w:lvlText w:val="•"/>
      <w:lvlJc w:val="left"/>
      <w:pPr>
        <w:ind w:left="6772" w:hanging="317"/>
      </w:pPr>
      <w:rPr>
        <w:rFonts w:hint="default"/>
        <w:lang w:val="en-US" w:eastAsia="en-US" w:bidi="ar-SA"/>
      </w:rPr>
    </w:lvl>
  </w:abstractNum>
  <w:abstractNum w:abstractNumId="193">
    <w:multiLevelType w:val="hybridMultilevel"/>
    <w:lvl w:ilvl="0">
      <w:start w:val="0"/>
      <w:numFmt w:val="bullet"/>
      <w:lvlText w:val="–"/>
      <w:lvlJc w:val="left"/>
      <w:pPr>
        <w:ind w:left="2937" w:hanging="250"/>
      </w:pPr>
      <w:rPr>
        <w:rFonts w:hint="default" w:ascii="Palatino Linotype" w:hAnsi="Palatino Linotype" w:eastAsia="Palatino Linotype" w:cs="Palatino Linotype"/>
        <w:b w:val="0"/>
        <w:bCs w:val="0"/>
        <w:i w:val="0"/>
        <w:iCs w:val="0"/>
        <w:color w:val="231F20"/>
        <w:spacing w:val="0"/>
        <w:w w:val="99"/>
        <w:sz w:val="20"/>
        <w:szCs w:val="20"/>
        <w:lang w:val="en-US" w:eastAsia="en-US" w:bidi="ar-SA"/>
      </w:rPr>
    </w:lvl>
    <w:lvl w:ilvl="1">
      <w:start w:val="0"/>
      <w:numFmt w:val="bullet"/>
      <w:lvlText w:val="•"/>
      <w:lvlJc w:val="left"/>
      <w:pPr>
        <w:ind w:left="3664" w:hanging="250"/>
      </w:pPr>
      <w:rPr>
        <w:rFonts w:hint="default"/>
        <w:lang w:val="en-US" w:eastAsia="en-US" w:bidi="ar-SA"/>
      </w:rPr>
    </w:lvl>
    <w:lvl w:ilvl="2">
      <w:start w:val="0"/>
      <w:numFmt w:val="bullet"/>
      <w:lvlText w:val="•"/>
      <w:lvlJc w:val="left"/>
      <w:pPr>
        <w:ind w:left="4388" w:hanging="250"/>
      </w:pPr>
      <w:rPr>
        <w:rFonts w:hint="default"/>
        <w:lang w:val="en-US" w:eastAsia="en-US" w:bidi="ar-SA"/>
      </w:rPr>
    </w:lvl>
    <w:lvl w:ilvl="3">
      <w:start w:val="0"/>
      <w:numFmt w:val="bullet"/>
      <w:lvlText w:val="•"/>
      <w:lvlJc w:val="left"/>
      <w:pPr>
        <w:ind w:left="5112" w:hanging="250"/>
      </w:pPr>
      <w:rPr>
        <w:rFonts w:hint="default"/>
        <w:lang w:val="en-US" w:eastAsia="en-US" w:bidi="ar-SA"/>
      </w:rPr>
    </w:lvl>
    <w:lvl w:ilvl="4">
      <w:start w:val="0"/>
      <w:numFmt w:val="bullet"/>
      <w:lvlText w:val="•"/>
      <w:lvlJc w:val="left"/>
      <w:pPr>
        <w:ind w:left="5836" w:hanging="250"/>
      </w:pPr>
      <w:rPr>
        <w:rFonts w:hint="default"/>
        <w:lang w:val="en-US" w:eastAsia="en-US" w:bidi="ar-SA"/>
      </w:rPr>
    </w:lvl>
    <w:lvl w:ilvl="5">
      <w:start w:val="0"/>
      <w:numFmt w:val="bullet"/>
      <w:lvlText w:val="•"/>
      <w:lvlJc w:val="left"/>
      <w:pPr>
        <w:ind w:left="6560" w:hanging="250"/>
      </w:pPr>
      <w:rPr>
        <w:rFonts w:hint="default"/>
        <w:lang w:val="en-US" w:eastAsia="en-US" w:bidi="ar-SA"/>
      </w:rPr>
    </w:lvl>
    <w:lvl w:ilvl="6">
      <w:start w:val="0"/>
      <w:numFmt w:val="bullet"/>
      <w:lvlText w:val="•"/>
      <w:lvlJc w:val="left"/>
      <w:pPr>
        <w:ind w:left="7284" w:hanging="250"/>
      </w:pPr>
      <w:rPr>
        <w:rFonts w:hint="default"/>
        <w:lang w:val="en-US" w:eastAsia="en-US" w:bidi="ar-SA"/>
      </w:rPr>
    </w:lvl>
    <w:lvl w:ilvl="7">
      <w:start w:val="0"/>
      <w:numFmt w:val="bullet"/>
      <w:lvlText w:val="•"/>
      <w:lvlJc w:val="left"/>
      <w:pPr>
        <w:ind w:left="8008" w:hanging="250"/>
      </w:pPr>
      <w:rPr>
        <w:rFonts w:hint="default"/>
        <w:lang w:val="en-US" w:eastAsia="en-US" w:bidi="ar-SA"/>
      </w:rPr>
    </w:lvl>
    <w:lvl w:ilvl="8">
      <w:start w:val="0"/>
      <w:numFmt w:val="bullet"/>
      <w:lvlText w:val="•"/>
      <w:lvlJc w:val="left"/>
      <w:pPr>
        <w:ind w:left="8732" w:hanging="250"/>
      </w:pPr>
      <w:rPr>
        <w:rFonts w:hint="default"/>
        <w:lang w:val="en-US" w:eastAsia="en-US" w:bidi="ar-SA"/>
      </w:rPr>
    </w:lvl>
  </w:abstractNum>
  <w:abstractNum w:abstractNumId="190">
    <w:multiLevelType w:val="hybridMultilevel"/>
    <w:lvl w:ilvl="0">
      <w:start w:val="1"/>
      <w:numFmt w:val="decimal"/>
      <w:lvlText w:val="%1."/>
      <w:lvlJc w:val="left"/>
      <w:pPr>
        <w:ind w:left="2788"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83"/>
      </w:pPr>
      <w:rPr>
        <w:rFonts w:hint="default"/>
        <w:lang w:val="en-US" w:eastAsia="en-US" w:bidi="ar-SA"/>
      </w:rPr>
    </w:lvl>
    <w:lvl w:ilvl="2">
      <w:start w:val="0"/>
      <w:numFmt w:val="bullet"/>
      <w:lvlText w:val="•"/>
      <w:lvlJc w:val="left"/>
      <w:pPr>
        <w:ind w:left="4260" w:hanging="383"/>
      </w:pPr>
      <w:rPr>
        <w:rFonts w:hint="default"/>
        <w:lang w:val="en-US" w:eastAsia="en-US" w:bidi="ar-SA"/>
      </w:rPr>
    </w:lvl>
    <w:lvl w:ilvl="3">
      <w:start w:val="0"/>
      <w:numFmt w:val="bullet"/>
      <w:lvlText w:val="•"/>
      <w:lvlJc w:val="left"/>
      <w:pPr>
        <w:ind w:left="5000" w:hanging="383"/>
      </w:pPr>
      <w:rPr>
        <w:rFonts w:hint="default"/>
        <w:lang w:val="en-US" w:eastAsia="en-US" w:bidi="ar-SA"/>
      </w:rPr>
    </w:lvl>
    <w:lvl w:ilvl="4">
      <w:start w:val="0"/>
      <w:numFmt w:val="bullet"/>
      <w:lvlText w:val="•"/>
      <w:lvlJc w:val="left"/>
      <w:pPr>
        <w:ind w:left="5740" w:hanging="383"/>
      </w:pPr>
      <w:rPr>
        <w:rFonts w:hint="default"/>
        <w:lang w:val="en-US" w:eastAsia="en-US" w:bidi="ar-SA"/>
      </w:rPr>
    </w:lvl>
    <w:lvl w:ilvl="5">
      <w:start w:val="0"/>
      <w:numFmt w:val="bullet"/>
      <w:lvlText w:val="•"/>
      <w:lvlJc w:val="left"/>
      <w:pPr>
        <w:ind w:left="6480" w:hanging="383"/>
      </w:pPr>
      <w:rPr>
        <w:rFonts w:hint="default"/>
        <w:lang w:val="en-US" w:eastAsia="en-US" w:bidi="ar-SA"/>
      </w:rPr>
    </w:lvl>
    <w:lvl w:ilvl="6">
      <w:start w:val="0"/>
      <w:numFmt w:val="bullet"/>
      <w:lvlText w:val="•"/>
      <w:lvlJc w:val="left"/>
      <w:pPr>
        <w:ind w:left="7220" w:hanging="383"/>
      </w:pPr>
      <w:rPr>
        <w:rFonts w:hint="default"/>
        <w:lang w:val="en-US" w:eastAsia="en-US" w:bidi="ar-SA"/>
      </w:rPr>
    </w:lvl>
    <w:lvl w:ilvl="7">
      <w:start w:val="0"/>
      <w:numFmt w:val="bullet"/>
      <w:lvlText w:val="•"/>
      <w:lvlJc w:val="left"/>
      <w:pPr>
        <w:ind w:left="7960" w:hanging="383"/>
      </w:pPr>
      <w:rPr>
        <w:rFonts w:hint="default"/>
        <w:lang w:val="en-US" w:eastAsia="en-US" w:bidi="ar-SA"/>
      </w:rPr>
    </w:lvl>
    <w:lvl w:ilvl="8">
      <w:start w:val="0"/>
      <w:numFmt w:val="bullet"/>
      <w:lvlText w:val="•"/>
      <w:lvlJc w:val="left"/>
      <w:pPr>
        <w:ind w:left="8700" w:hanging="383"/>
      </w:pPr>
      <w:rPr>
        <w:rFonts w:hint="default"/>
        <w:lang w:val="en-US" w:eastAsia="en-US" w:bidi="ar-SA"/>
      </w:rPr>
    </w:lvl>
  </w:abstractNum>
  <w:abstractNum w:abstractNumId="189">
    <w:multiLevelType w:val="hybridMultilevel"/>
    <w:lvl w:ilvl="0">
      <w:start w:val="1"/>
      <w:numFmt w:val="decimal"/>
      <w:lvlText w:val="%1."/>
      <w:lvlJc w:val="left"/>
      <w:pPr>
        <w:ind w:left="2548"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83"/>
      </w:pPr>
      <w:rPr>
        <w:rFonts w:hint="default"/>
        <w:lang w:val="en-US" w:eastAsia="en-US" w:bidi="ar-SA"/>
      </w:rPr>
    </w:lvl>
    <w:lvl w:ilvl="2">
      <w:start w:val="0"/>
      <w:numFmt w:val="bullet"/>
      <w:lvlText w:val="•"/>
      <w:lvlJc w:val="left"/>
      <w:pPr>
        <w:ind w:left="4068" w:hanging="383"/>
      </w:pPr>
      <w:rPr>
        <w:rFonts w:hint="default"/>
        <w:lang w:val="en-US" w:eastAsia="en-US" w:bidi="ar-SA"/>
      </w:rPr>
    </w:lvl>
    <w:lvl w:ilvl="3">
      <w:start w:val="0"/>
      <w:numFmt w:val="bullet"/>
      <w:lvlText w:val="•"/>
      <w:lvlJc w:val="left"/>
      <w:pPr>
        <w:ind w:left="4832" w:hanging="383"/>
      </w:pPr>
      <w:rPr>
        <w:rFonts w:hint="default"/>
        <w:lang w:val="en-US" w:eastAsia="en-US" w:bidi="ar-SA"/>
      </w:rPr>
    </w:lvl>
    <w:lvl w:ilvl="4">
      <w:start w:val="0"/>
      <w:numFmt w:val="bullet"/>
      <w:lvlText w:val="•"/>
      <w:lvlJc w:val="left"/>
      <w:pPr>
        <w:ind w:left="5596" w:hanging="383"/>
      </w:pPr>
      <w:rPr>
        <w:rFonts w:hint="default"/>
        <w:lang w:val="en-US" w:eastAsia="en-US" w:bidi="ar-SA"/>
      </w:rPr>
    </w:lvl>
    <w:lvl w:ilvl="5">
      <w:start w:val="0"/>
      <w:numFmt w:val="bullet"/>
      <w:lvlText w:val="•"/>
      <w:lvlJc w:val="left"/>
      <w:pPr>
        <w:ind w:left="6360" w:hanging="383"/>
      </w:pPr>
      <w:rPr>
        <w:rFonts w:hint="default"/>
        <w:lang w:val="en-US" w:eastAsia="en-US" w:bidi="ar-SA"/>
      </w:rPr>
    </w:lvl>
    <w:lvl w:ilvl="6">
      <w:start w:val="0"/>
      <w:numFmt w:val="bullet"/>
      <w:lvlText w:val="•"/>
      <w:lvlJc w:val="left"/>
      <w:pPr>
        <w:ind w:left="7124" w:hanging="383"/>
      </w:pPr>
      <w:rPr>
        <w:rFonts w:hint="default"/>
        <w:lang w:val="en-US" w:eastAsia="en-US" w:bidi="ar-SA"/>
      </w:rPr>
    </w:lvl>
    <w:lvl w:ilvl="7">
      <w:start w:val="0"/>
      <w:numFmt w:val="bullet"/>
      <w:lvlText w:val="•"/>
      <w:lvlJc w:val="left"/>
      <w:pPr>
        <w:ind w:left="7888" w:hanging="383"/>
      </w:pPr>
      <w:rPr>
        <w:rFonts w:hint="default"/>
        <w:lang w:val="en-US" w:eastAsia="en-US" w:bidi="ar-SA"/>
      </w:rPr>
    </w:lvl>
    <w:lvl w:ilvl="8">
      <w:start w:val="0"/>
      <w:numFmt w:val="bullet"/>
      <w:lvlText w:val="•"/>
      <w:lvlJc w:val="left"/>
      <w:pPr>
        <w:ind w:left="8652" w:hanging="383"/>
      </w:pPr>
      <w:rPr>
        <w:rFonts w:hint="default"/>
        <w:lang w:val="en-US" w:eastAsia="en-US" w:bidi="ar-SA"/>
      </w:rPr>
    </w:lvl>
  </w:abstractNum>
  <w:abstractNum w:abstractNumId="188">
    <w:multiLevelType w:val="hybridMultilevel"/>
    <w:lvl w:ilvl="0">
      <w:start w:val="1"/>
      <w:numFmt w:val="decimal"/>
      <w:lvlText w:val="%1."/>
      <w:lvlJc w:val="left"/>
      <w:pPr>
        <w:ind w:left="2788" w:hanging="325"/>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25"/>
      </w:pPr>
      <w:rPr>
        <w:rFonts w:hint="default"/>
        <w:lang w:val="en-US" w:eastAsia="en-US" w:bidi="ar-SA"/>
      </w:rPr>
    </w:lvl>
    <w:lvl w:ilvl="2">
      <w:start w:val="0"/>
      <w:numFmt w:val="bullet"/>
      <w:lvlText w:val="•"/>
      <w:lvlJc w:val="left"/>
      <w:pPr>
        <w:ind w:left="4260" w:hanging="325"/>
      </w:pPr>
      <w:rPr>
        <w:rFonts w:hint="default"/>
        <w:lang w:val="en-US" w:eastAsia="en-US" w:bidi="ar-SA"/>
      </w:rPr>
    </w:lvl>
    <w:lvl w:ilvl="3">
      <w:start w:val="0"/>
      <w:numFmt w:val="bullet"/>
      <w:lvlText w:val="•"/>
      <w:lvlJc w:val="left"/>
      <w:pPr>
        <w:ind w:left="5000" w:hanging="325"/>
      </w:pPr>
      <w:rPr>
        <w:rFonts w:hint="default"/>
        <w:lang w:val="en-US" w:eastAsia="en-US" w:bidi="ar-SA"/>
      </w:rPr>
    </w:lvl>
    <w:lvl w:ilvl="4">
      <w:start w:val="0"/>
      <w:numFmt w:val="bullet"/>
      <w:lvlText w:val="•"/>
      <w:lvlJc w:val="left"/>
      <w:pPr>
        <w:ind w:left="5740" w:hanging="325"/>
      </w:pPr>
      <w:rPr>
        <w:rFonts w:hint="default"/>
        <w:lang w:val="en-US" w:eastAsia="en-US" w:bidi="ar-SA"/>
      </w:rPr>
    </w:lvl>
    <w:lvl w:ilvl="5">
      <w:start w:val="0"/>
      <w:numFmt w:val="bullet"/>
      <w:lvlText w:val="•"/>
      <w:lvlJc w:val="left"/>
      <w:pPr>
        <w:ind w:left="6480" w:hanging="325"/>
      </w:pPr>
      <w:rPr>
        <w:rFonts w:hint="default"/>
        <w:lang w:val="en-US" w:eastAsia="en-US" w:bidi="ar-SA"/>
      </w:rPr>
    </w:lvl>
    <w:lvl w:ilvl="6">
      <w:start w:val="0"/>
      <w:numFmt w:val="bullet"/>
      <w:lvlText w:val="•"/>
      <w:lvlJc w:val="left"/>
      <w:pPr>
        <w:ind w:left="7220" w:hanging="325"/>
      </w:pPr>
      <w:rPr>
        <w:rFonts w:hint="default"/>
        <w:lang w:val="en-US" w:eastAsia="en-US" w:bidi="ar-SA"/>
      </w:rPr>
    </w:lvl>
    <w:lvl w:ilvl="7">
      <w:start w:val="0"/>
      <w:numFmt w:val="bullet"/>
      <w:lvlText w:val="•"/>
      <w:lvlJc w:val="left"/>
      <w:pPr>
        <w:ind w:left="7960" w:hanging="325"/>
      </w:pPr>
      <w:rPr>
        <w:rFonts w:hint="default"/>
        <w:lang w:val="en-US" w:eastAsia="en-US" w:bidi="ar-SA"/>
      </w:rPr>
    </w:lvl>
    <w:lvl w:ilvl="8">
      <w:start w:val="0"/>
      <w:numFmt w:val="bullet"/>
      <w:lvlText w:val="•"/>
      <w:lvlJc w:val="left"/>
      <w:pPr>
        <w:ind w:left="8700" w:hanging="325"/>
      </w:pPr>
      <w:rPr>
        <w:rFonts w:hint="default"/>
        <w:lang w:val="en-US" w:eastAsia="en-US" w:bidi="ar-SA"/>
      </w:rPr>
    </w:lvl>
  </w:abstractNum>
  <w:abstractNum w:abstractNumId="187">
    <w:multiLevelType w:val="hybridMultilevel"/>
    <w:lvl w:ilvl="0">
      <w:start w:val="1"/>
      <w:numFmt w:val="decimal"/>
      <w:lvlText w:val="%1."/>
      <w:lvlJc w:val="left"/>
      <w:pPr>
        <w:ind w:left="3267" w:hanging="325"/>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952" w:hanging="325"/>
      </w:pPr>
      <w:rPr>
        <w:rFonts w:hint="default"/>
        <w:lang w:val="en-US" w:eastAsia="en-US" w:bidi="ar-SA"/>
      </w:rPr>
    </w:lvl>
    <w:lvl w:ilvl="2">
      <w:start w:val="0"/>
      <w:numFmt w:val="bullet"/>
      <w:lvlText w:val="•"/>
      <w:lvlJc w:val="left"/>
      <w:pPr>
        <w:ind w:left="4644" w:hanging="325"/>
      </w:pPr>
      <w:rPr>
        <w:rFonts w:hint="default"/>
        <w:lang w:val="en-US" w:eastAsia="en-US" w:bidi="ar-SA"/>
      </w:rPr>
    </w:lvl>
    <w:lvl w:ilvl="3">
      <w:start w:val="0"/>
      <w:numFmt w:val="bullet"/>
      <w:lvlText w:val="•"/>
      <w:lvlJc w:val="left"/>
      <w:pPr>
        <w:ind w:left="5336" w:hanging="325"/>
      </w:pPr>
      <w:rPr>
        <w:rFonts w:hint="default"/>
        <w:lang w:val="en-US" w:eastAsia="en-US" w:bidi="ar-SA"/>
      </w:rPr>
    </w:lvl>
    <w:lvl w:ilvl="4">
      <w:start w:val="0"/>
      <w:numFmt w:val="bullet"/>
      <w:lvlText w:val="•"/>
      <w:lvlJc w:val="left"/>
      <w:pPr>
        <w:ind w:left="6028" w:hanging="325"/>
      </w:pPr>
      <w:rPr>
        <w:rFonts w:hint="default"/>
        <w:lang w:val="en-US" w:eastAsia="en-US" w:bidi="ar-SA"/>
      </w:rPr>
    </w:lvl>
    <w:lvl w:ilvl="5">
      <w:start w:val="0"/>
      <w:numFmt w:val="bullet"/>
      <w:lvlText w:val="•"/>
      <w:lvlJc w:val="left"/>
      <w:pPr>
        <w:ind w:left="6720" w:hanging="325"/>
      </w:pPr>
      <w:rPr>
        <w:rFonts w:hint="default"/>
        <w:lang w:val="en-US" w:eastAsia="en-US" w:bidi="ar-SA"/>
      </w:rPr>
    </w:lvl>
    <w:lvl w:ilvl="6">
      <w:start w:val="0"/>
      <w:numFmt w:val="bullet"/>
      <w:lvlText w:val="•"/>
      <w:lvlJc w:val="left"/>
      <w:pPr>
        <w:ind w:left="7412" w:hanging="325"/>
      </w:pPr>
      <w:rPr>
        <w:rFonts w:hint="default"/>
        <w:lang w:val="en-US" w:eastAsia="en-US" w:bidi="ar-SA"/>
      </w:rPr>
    </w:lvl>
    <w:lvl w:ilvl="7">
      <w:start w:val="0"/>
      <w:numFmt w:val="bullet"/>
      <w:lvlText w:val="•"/>
      <w:lvlJc w:val="left"/>
      <w:pPr>
        <w:ind w:left="8104" w:hanging="325"/>
      </w:pPr>
      <w:rPr>
        <w:rFonts w:hint="default"/>
        <w:lang w:val="en-US" w:eastAsia="en-US" w:bidi="ar-SA"/>
      </w:rPr>
    </w:lvl>
    <w:lvl w:ilvl="8">
      <w:start w:val="0"/>
      <w:numFmt w:val="bullet"/>
      <w:lvlText w:val="•"/>
      <w:lvlJc w:val="left"/>
      <w:pPr>
        <w:ind w:left="8796" w:hanging="325"/>
      </w:pPr>
      <w:rPr>
        <w:rFonts w:hint="default"/>
        <w:lang w:val="en-US" w:eastAsia="en-US" w:bidi="ar-SA"/>
      </w:rPr>
    </w:lvl>
  </w:abstractNum>
  <w:abstractNum w:abstractNumId="18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8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84">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8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82">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81">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80">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79">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78">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77">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76">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7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100" w:hanging="317"/>
      </w:pPr>
      <w:rPr>
        <w:rFonts w:hint="default"/>
        <w:lang w:val="en-US" w:eastAsia="en-US" w:bidi="ar-SA"/>
      </w:rPr>
    </w:lvl>
    <w:lvl w:ilvl="3">
      <w:start w:val="0"/>
      <w:numFmt w:val="bullet"/>
      <w:lvlText w:val="•"/>
      <w:lvlJc w:val="left"/>
      <w:pPr>
        <w:ind w:left="3985" w:hanging="317"/>
      </w:pPr>
      <w:rPr>
        <w:rFonts w:hint="default"/>
        <w:lang w:val="en-US" w:eastAsia="en-US" w:bidi="ar-SA"/>
      </w:rPr>
    </w:lvl>
    <w:lvl w:ilvl="4">
      <w:start w:val="0"/>
      <w:numFmt w:val="bullet"/>
      <w:lvlText w:val="•"/>
      <w:lvlJc w:val="left"/>
      <w:pPr>
        <w:ind w:left="4870" w:hanging="317"/>
      </w:pPr>
      <w:rPr>
        <w:rFonts w:hint="default"/>
        <w:lang w:val="en-US" w:eastAsia="en-US" w:bidi="ar-SA"/>
      </w:rPr>
    </w:lvl>
    <w:lvl w:ilvl="5">
      <w:start w:val="0"/>
      <w:numFmt w:val="bullet"/>
      <w:lvlText w:val="•"/>
      <w:lvlJc w:val="left"/>
      <w:pPr>
        <w:ind w:left="5755" w:hanging="317"/>
      </w:pPr>
      <w:rPr>
        <w:rFonts w:hint="default"/>
        <w:lang w:val="en-US" w:eastAsia="en-US" w:bidi="ar-SA"/>
      </w:rPr>
    </w:lvl>
    <w:lvl w:ilvl="6">
      <w:start w:val="0"/>
      <w:numFmt w:val="bullet"/>
      <w:lvlText w:val="•"/>
      <w:lvlJc w:val="left"/>
      <w:pPr>
        <w:ind w:left="6640" w:hanging="317"/>
      </w:pPr>
      <w:rPr>
        <w:rFonts w:hint="default"/>
        <w:lang w:val="en-US" w:eastAsia="en-US" w:bidi="ar-SA"/>
      </w:rPr>
    </w:lvl>
    <w:lvl w:ilvl="7">
      <w:start w:val="0"/>
      <w:numFmt w:val="bullet"/>
      <w:lvlText w:val="•"/>
      <w:lvlJc w:val="left"/>
      <w:pPr>
        <w:ind w:left="7525" w:hanging="317"/>
      </w:pPr>
      <w:rPr>
        <w:rFonts w:hint="default"/>
        <w:lang w:val="en-US" w:eastAsia="en-US" w:bidi="ar-SA"/>
      </w:rPr>
    </w:lvl>
    <w:lvl w:ilvl="8">
      <w:start w:val="0"/>
      <w:numFmt w:val="bullet"/>
      <w:lvlText w:val="•"/>
      <w:lvlJc w:val="left"/>
      <w:pPr>
        <w:ind w:left="8410" w:hanging="317"/>
      </w:pPr>
      <w:rPr>
        <w:rFonts w:hint="default"/>
        <w:lang w:val="en-US" w:eastAsia="en-US" w:bidi="ar-SA"/>
      </w:rPr>
    </w:lvl>
  </w:abstractNum>
  <w:abstractNum w:abstractNumId="172">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70">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1"/>
      <w:numFmt w:val="lowerLetter"/>
      <w:lvlText w:val="%3."/>
      <w:lvlJc w:val="left"/>
      <w:pPr>
        <w:ind w:left="3320" w:hanging="317"/>
        <w:jc w:val="left"/>
      </w:pPr>
      <w:rPr>
        <w:rFonts w:hint="default" w:ascii="Arial" w:hAnsi="Arial" w:eastAsia="Arial" w:cs="Arial"/>
        <w:b w:val="0"/>
        <w:bCs w:val="0"/>
        <w:i w:val="0"/>
        <w:iCs w:val="0"/>
        <w:color w:val="231F20"/>
        <w:spacing w:val="0"/>
        <w:w w:val="99"/>
        <w:sz w:val="20"/>
        <w:szCs w:val="20"/>
        <w:lang w:val="en-US" w:eastAsia="en-US" w:bidi="ar-SA"/>
      </w:rPr>
    </w:lvl>
    <w:lvl w:ilvl="3">
      <w:start w:val="0"/>
      <w:numFmt w:val="bullet"/>
      <w:lvlText w:val="•"/>
      <w:lvlJc w:val="left"/>
      <w:pPr>
        <w:ind w:left="4177" w:hanging="317"/>
      </w:pPr>
      <w:rPr>
        <w:rFonts w:hint="default"/>
        <w:lang w:val="en-US" w:eastAsia="en-US" w:bidi="ar-SA"/>
      </w:rPr>
    </w:lvl>
    <w:lvl w:ilvl="4">
      <w:start w:val="0"/>
      <w:numFmt w:val="bullet"/>
      <w:lvlText w:val="•"/>
      <w:lvlJc w:val="left"/>
      <w:pPr>
        <w:ind w:left="5035" w:hanging="317"/>
      </w:pPr>
      <w:rPr>
        <w:rFonts w:hint="default"/>
        <w:lang w:val="en-US" w:eastAsia="en-US" w:bidi="ar-SA"/>
      </w:rPr>
    </w:lvl>
    <w:lvl w:ilvl="5">
      <w:start w:val="0"/>
      <w:numFmt w:val="bullet"/>
      <w:lvlText w:val="•"/>
      <w:lvlJc w:val="left"/>
      <w:pPr>
        <w:ind w:left="5892" w:hanging="317"/>
      </w:pPr>
      <w:rPr>
        <w:rFonts w:hint="default"/>
        <w:lang w:val="en-US" w:eastAsia="en-US" w:bidi="ar-SA"/>
      </w:rPr>
    </w:lvl>
    <w:lvl w:ilvl="6">
      <w:start w:val="0"/>
      <w:numFmt w:val="bullet"/>
      <w:lvlText w:val="•"/>
      <w:lvlJc w:val="left"/>
      <w:pPr>
        <w:ind w:left="6750" w:hanging="317"/>
      </w:pPr>
      <w:rPr>
        <w:rFonts w:hint="default"/>
        <w:lang w:val="en-US" w:eastAsia="en-US" w:bidi="ar-SA"/>
      </w:rPr>
    </w:lvl>
    <w:lvl w:ilvl="7">
      <w:start w:val="0"/>
      <w:numFmt w:val="bullet"/>
      <w:lvlText w:val="•"/>
      <w:lvlJc w:val="left"/>
      <w:pPr>
        <w:ind w:left="7607" w:hanging="317"/>
      </w:pPr>
      <w:rPr>
        <w:rFonts w:hint="default"/>
        <w:lang w:val="en-US" w:eastAsia="en-US" w:bidi="ar-SA"/>
      </w:rPr>
    </w:lvl>
    <w:lvl w:ilvl="8">
      <w:start w:val="0"/>
      <w:numFmt w:val="bullet"/>
      <w:lvlText w:val="•"/>
      <w:lvlJc w:val="left"/>
      <w:pPr>
        <w:ind w:left="8465" w:hanging="317"/>
      </w:pPr>
      <w:rPr>
        <w:rFonts w:hint="default"/>
        <w:lang w:val="en-US" w:eastAsia="en-US" w:bidi="ar-SA"/>
      </w:rPr>
    </w:lvl>
  </w:abstractNum>
  <w:abstractNum w:abstractNumId="169">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68">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67">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66">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65">
    <w:multiLevelType w:val="hybridMultilevel"/>
    <w:lvl w:ilvl="0">
      <w:start w:val="1"/>
      <w:numFmt w:val="decimal"/>
      <w:lvlText w:val="%1."/>
      <w:lvlJc w:val="left"/>
      <w:pPr>
        <w:ind w:left="3267"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952" w:hanging="317"/>
      </w:pPr>
      <w:rPr>
        <w:rFonts w:hint="default"/>
        <w:lang w:val="en-US" w:eastAsia="en-US" w:bidi="ar-SA"/>
      </w:rPr>
    </w:lvl>
    <w:lvl w:ilvl="2">
      <w:start w:val="0"/>
      <w:numFmt w:val="bullet"/>
      <w:lvlText w:val="•"/>
      <w:lvlJc w:val="left"/>
      <w:pPr>
        <w:ind w:left="4644" w:hanging="317"/>
      </w:pPr>
      <w:rPr>
        <w:rFonts w:hint="default"/>
        <w:lang w:val="en-US" w:eastAsia="en-US" w:bidi="ar-SA"/>
      </w:rPr>
    </w:lvl>
    <w:lvl w:ilvl="3">
      <w:start w:val="0"/>
      <w:numFmt w:val="bullet"/>
      <w:lvlText w:val="•"/>
      <w:lvlJc w:val="left"/>
      <w:pPr>
        <w:ind w:left="5336" w:hanging="317"/>
      </w:pPr>
      <w:rPr>
        <w:rFonts w:hint="default"/>
        <w:lang w:val="en-US" w:eastAsia="en-US" w:bidi="ar-SA"/>
      </w:rPr>
    </w:lvl>
    <w:lvl w:ilvl="4">
      <w:start w:val="0"/>
      <w:numFmt w:val="bullet"/>
      <w:lvlText w:val="•"/>
      <w:lvlJc w:val="left"/>
      <w:pPr>
        <w:ind w:left="6028" w:hanging="317"/>
      </w:pPr>
      <w:rPr>
        <w:rFonts w:hint="default"/>
        <w:lang w:val="en-US" w:eastAsia="en-US" w:bidi="ar-SA"/>
      </w:rPr>
    </w:lvl>
    <w:lvl w:ilvl="5">
      <w:start w:val="0"/>
      <w:numFmt w:val="bullet"/>
      <w:lvlText w:val="•"/>
      <w:lvlJc w:val="left"/>
      <w:pPr>
        <w:ind w:left="6720" w:hanging="317"/>
      </w:pPr>
      <w:rPr>
        <w:rFonts w:hint="default"/>
        <w:lang w:val="en-US" w:eastAsia="en-US" w:bidi="ar-SA"/>
      </w:rPr>
    </w:lvl>
    <w:lvl w:ilvl="6">
      <w:start w:val="0"/>
      <w:numFmt w:val="bullet"/>
      <w:lvlText w:val="•"/>
      <w:lvlJc w:val="left"/>
      <w:pPr>
        <w:ind w:left="7412" w:hanging="317"/>
      </w:pPr>
      <w:rPr>
        <w:rFonts w:hint="default"/>
        <w:lang w:val="en-US" w:eastAsia="en-US" w:bidi="ar-SA"/>
      </w:rPr>
    </w:lvl>
    <w:lvl w:ilvl="7">
      <w:start w:val="0"/>
      <w:numFmt w:val="bullet"/>
      <w:lvlText w:val="•"/>
      <w:lvlJc w:val="left"/>
      <w:pPr>
        <w:ind w:left="8104" w:hanging="317"/>
      </w:pPr>
      <w:rPr>
        <w:rFonts w:hint="default"/>
        <w:lang w:val="en-US" w:eastAsia="en-US" w:bidi="ar-SA"/>
      </w:rPr>
    </w:lvl>
    <w:lvl w:ilvl="8">
      <w:start w:val="0"/>
      <w:numFmt w:val="bullet"/>
      <w:lvlText w:val="•"/>
      <w:lvlJc w:val="left"/>
      <w:pPr>
        <w:ind w:left="8796" w:hanging="317"/>
      </w:pPr>
      <w:rPr>
        <w:rFonts w:hint="default"/>
        <w:lang w:val="en-US" w:eastAsia="en-US" w:bidi="ar-SA"/>
      </w:rPr>
    </w:lvl>
  </w:abstractNum>
  <w:abstractNum w:abstractNumId="164">
    <w:multiLevelType w:val="hybridMultilevel"/>
    <w:lvl w:ilvl="0">
      <w:start w:val="1"/>
      <w:numFmt w:val="decimal"/>
      <w:lvlText w:val="%1."/>
      <w:lvlJc w:val="left"/>
      <w:pPr>
        <w:ind w:left="350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168" w:hanging="317"/>
      </w:pPr>
      <w:rPr>
        <w:rFonts w:hint="default"/>
        <w:lang w:val="en-US" w:eastAsia="en-US" w:bidi="ar-SA"/>
      </w:rPr>
    </w:lvl>
    <w:lvl w:ilvl="2">
      <w:start w:val="0"/>
      <w:numFmt w:val="bullet"/>
      <w:lvlText w:val="•"/>
      <w:lvlJc w:val="left"/>
      <w:pPr>
        <w:ind w:left="4836" w:hanging="317"/>
      </w:pPr>
      <w:rPr>
        <w:rFonts w:hint="default"/>
        <w:lang w:val="en-US" w:eastAsia="en-US" w:bidi="ar-SA"/>
      </w:rPr>
    </w:lvl>
    <w:lvl w:ilvl="3">
      <w:start w:val="0"/>
      <w:numFmt w:val="bullet"/>
      <w:lvlText w:val="•"/>
      <w:lvlJc w:val="left"/>
      <w:pPr>
        <w:ind w:left="5504" w:hanging="317"/>
      </w:pPr>
      <w:rPr>
        <w:rFonts w:hint="default"/>
        <w:lang w:val="en-US" w:eastAsia="en-US" w:bidi="ar-SA"/>
      </w:rPr>
    </w:lvl>
    <w:lvl w:ilvl="4">
      <w:start w:val="0"/>
      <w:numFmt w:val="bullet"/>
      <w:lvlText w:val="•"/>
      <w:lvlJc w:val="left"/>
      <w:pPr>
        <w:ind w:left="6172" w:hanging="317"/>
      </w:pPr>
      <w:rPr>
        <w:rFonts w:hint="default"/>
        <w:lang w:val="en-US" w:eastAsia="en-US" w:bidi="ar-SA"/>
      </w:rPr>
    </w:lvl>
    <w:lvl w:ilvl="5">
      <w:start w:val="0"/>
      <w:numFmt w:val="bullet"/>
      <w:lvlText w:val="•"/>
      <w:lvlJc w:val="left"/>
      <w:pPr>
        <w:ind w:left="6840" w:hanging="317"/>
      </w:pPr>
      <w:rPr>
        <w:rFonts w:hint="default"/>
        <w:lang w:val="en-US" w:eastAsia="en-US" w:bidi="ar-SA"/>
      </w:rPr>
    </w:lvl>
    <w:lvl w:ilvl="6">
      <w:start w:val="0"/>
      <w:numFmt w:val="bullet"/>
      <w:lvlText w:val="•"/>
      <w:lvlJc w:val="left"/>
      <w:pPr>
        <w:ind w:left="7508" w:hanging="317"/>
      </w:pPr>
      <w:rPr>
        <w:rFonts w:hint="default"/>
        <w:lang w:val="en-US" w:eastAsia="en-US" w:bidi="ar-SA"/>
      </w:rPr>
    </w:lvl>
    <w:lvl w:ilvl="7">
      <w:start w:val="0"/>
      <w:numFmt w:val="bullet"/>
      <w:lvlText w:val="•"/>
      <w:lvlJc w:val="left"/>
      <w:pPr>
        <w:ind w:left="8176"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160">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59">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58">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1"/>
      <w:numFmt w:val="lowerLetter"/>
      <w:lvlText w:val="%3."/>
      <w:lvlJc w:val="left"/>
      <w:pPr>
        <w:ind w:left="3215" w:hanging="317"/>
        <w:jc w:val="left"/>
      </w:pPr>
      <w:rPr>
        <w:rFonts w:hint="default" w:ascii="Arial" w:hAnsi="Arial" w:eastAsia="Arial" w:cs="Arial"/>
        <w:b w:val="0"/>
        <w:bCs w:val="0"/>
        <w:i w:val="0"/>
        <w:iCs w:val="0"/>
        <w:color w:val="231F20"/>
        <w:spacing w:val="0"/>
        <w:w w:val="99"/>
        <w:sz w:val="20"/>
        <w:szCs w:val="20"/>
        <w:lang w:val="en-US" w:eastAsia="en-US" w:bidi="ar-SA"/>
      </w:rPr>
    </w:lvl>
    <w:lvl w:ilvl="3">
      <w:start w:val="0"/>
      <w:numFmt w:val="bullet"/>
      <w:lvlText w:val="•"/>
      <w:lvlJc w:val="left"/>
      <w:pPr>
        <w:ind w:left="4090" w:hanging="317"/>
      </w:pPr>
      <w:rPr>
        <w:rFonts w:hint="default"/>
        <w:lang w:val="en-US" w:eastAsia="en-US" w:bidi="ar-SA"/>
      </w:rPr>
    </w:lvl>
    <w:lvl w:ilvl="4">
      <w:start w:val="0"/>
      <w:numFmt w:val="bullet"/>
      <w:lvlText w:val="•"/>
      <w:lvlJc w:val="left"/>
      <w:pPr>
        <w:ind w:left="4960" w:hanging="317"/>
      </w:pPr>
      <w:rPr>
        <w:rFonts w:hint="default"/>
        <w:lang w:val="en-US" w:eastAsia="en-US" w:bidi="ar-SA"/>
      </w:rPr>
    </w:lvl>
    <w:lvl w:ilvl="5">
      <w:start w:val="0"/>
      <w:numFmt w:val="bullet"/>
      <w:lvlText w:val="•"/>
      <w:lvlJc w:val="left"/>
      <w:pPr>
        <w:ind w:left="5830" w:hanging="317"/>
      </w:pPr>
      <w:rPr>
        <w:rFonts w:hint="default"/>
        <w:lang w:val="en-US" w:eastAsia="en-US" w:bidi="ar-SA"/>
      </w:rPr>
    </w:lvl>
    <w:lvl w:ilvl="6">
      <w:start w:val="0"/>
      <w:numFmt w:val="bullet"/>
      <w:lvlText w:val="•"/>
      <w:lvlJc w:val="left"/>
      <w:pPr>
        <w:ind w:left="6700" w:hanging="317"/>
      </w:pPr>
      <w:rPr>
        <w:rFonts w:hint="default"/>
        <w:lang w:val="en-US" w:eastAsia="en-US" w:bidi="ar-SA"/>
      </w:rPr>
    </w:lvl>
    <w:lvl w:ilvl="7">
      <w:start w:val="0"/>
      <w:numFmt w:val="bullet"/>
      <w:lvlText w:val="•"/>
      <w:lvlJc w:val="left"/>
      <w:pPr>
        <w:ind w:left="7570" w:hanging="317"/>
      </w:pPr>
      <w:rPr>
        <w:rFonts w:hint="default"/>
        <w:lang w:val="en-US" w:eastAsia="en-US" w:bidi="ar-SA"/>
      </w:rPr>
    </w:lvl>
    <w:lvl w:ilvl="8">
      <w:start w:val="0"/>
      <w:numFmt w:val="bullet"/>
      <w:lvlText w:val="•"/>
      <w:lvlJc w:val="left"/>
      <w:pPr>
        <w:ind w:left="8440" w:hanging="317"/>
      </w:pPr>
      <w:rPr>
        <w:rFonts w:hint="default"/>
        <w:lang w:val="en-US" w:eastAsia="en-US" w:bidi="ar-SA"/>
      </w:rPr>
    </w:lvl>
  </w:abstractNum>
  <w:abstractNum w:abstractNumId="157">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56">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17"/>
      </w:pPr>
      <w:rPr>
        <w:rFonts w:hint="default"/>
        <w:lang w:val="en-US" w:eastAsia="en-US" w:bidi="ar-SA"/>
      </w:rPr>
    </w:lvl>
    <w:lvl w:ilvl="3">
      <w:start w:val="0"/>
      <w:numFmt w:val="bullet"/>
      <w:lvlText w:val="•"/>
      <w:lvlJc w:val="left"/>
      <w:pPr>
        <w:ind w:left="4486" w:hanging="317"/>
      </w:pPr>
      <w:rPr>
        <w:rFonts w:hint="default"/>
        <w:lang w:val="en-US" w:eastAsia="en-US" w:bidi="ar-SA"/>
      </w:rPr>
    </w:lvl>
    <w:lvl w:ilvl="4">
      <w:start w:val="0"/>
      <w:numFmt w:val="bullet"/>
      <w:lvlText w:val="•"/>
      <w:lvlJc w:val="left"/>
      <w:pPr>
        <w:ind w:left="5300" w:hanging="317"/>
      </w:pPr>
      <w:rPr>
        <w:rFonts w:hint="default"/>
        <w:lang w:val="en-US" w:eastAsia="en-US" w:bidi="ar-SA"/>
      </w:rPr>
    </w:lvl>
    <w:lvl w:ilvl="5">
      <w:start w:val="0"/>
      <w:numFmt w:val="bullet"/>
      <w:lvlText w:val="•"/>
      <w:lvlJc w:val="left"/>
      <w:pPr>
        <w:ind w:left="6113" w:hanging="317"/>
      </w:pPr>
      <w:rPr>
        <w:rFonts w:hint="default"/>
        <w:lang w:val="en-US" w:eastAsia="en-US" w:bidi="ar-SA"/>
      </w:rPr>
    </w:lvl>
    <w:lvl w:ilvl="6">
      <w:start w:val="0"/>
      <w:numFmt w:val="bullet"/>
      <w:lvlText w:val="•"/>
      <w:lvlJc w:val="left"/>
      <w:pPr>
        <w:ind w:left="6926" w:hanging="317"/>
      </w:pPr>
      <w:rPr>
        <w:rFonts w:hint="default"/>
        <w:lang w:val="en-US" w:eastAsia="en-US" w:bidi="ar-SA"/>
      </w:rPr>
    </w:lvl>
    <w:lvl w:ilvl="7">
      <w:start w:val="0"/>
      <w:numFmt w:val="bullet"/>
      <w:lvlText w:val="•"/>
      <w:lvlJc w:val="left"/>
      <w:pPr>
        <w:ind w:left="7740" w:hanging="317"/>
      </w:pPr>
      <w:rPr>
        <w:rFonts w:hint="default"/>
        <w:lang w:val="en-US" w:eastAsia="en-US" w:bidi="ar-SA"/>
      </w:rPr>
    </w:lvl>
    <w:lvl w:ilvl="8">
      <w:start w:val="0"/>
      <w:numFmt w:val="bullet"/>
      <w:lvlText w:val="•"/>
      <w:lvlJc w:val="left"/>
      <w:pPr>
        <w:ind w:left="8553" w:hanging="317"/>
      </w:pPr>
      <w:rPr>
        <w:rFonts w:hint="default"/>
        <w:lang w:val="en-US" w:eastAsia="en-US" w:bidi="ar-SA"/>
      </w:rPr>
    </w:lvl>
  </w:abstractNum>
  <w:abstractNum w:abstractNumId="155">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54">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5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52">
    <w:multiLevelType w:val="hybridMultilevel"/>
    <w:lvl w:ilvl="0">
      <w:start w:val="1"/>
      <w:numFmt w:val="decimal"/>
      <w:lvlText w:val="%1."/>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412" w:hanging="317"/>
      </w:pPr>
      <w:rPr>
        <w:rFonts w:hint="default"/>
        <w:lang w:val="en-US" w:eastAsia="en-US" w:bidi="ar-SA"/>
      </w:rPr>
    </w:lvl>
    <w:lvl w:ilvl="2">
      <w:start w:val="0"/>
      <w:numFmt w:val="bullet"/>
      <w:lvlText w:val="•"/>
      <w:lvlJc w:val="left"/>
      <w:pPr>
        <w:ind w:left="4164" w:hanging="317"/>
      </w:pPr>
      <w:rPr>
        <w:rFonts w:hint="default"/>
        <w:lang w:val="en-US" w:eastAsia="en-US" w:bidi="ar-SA"/>
      </w:rPr>
    </w:lvl>
    <w:lvl w:ilvl="3">
      <w:start w:val="0"/>
      <w:numFmt w:val="bullet"/>
      <w:lvlText w:val="•"/>
      <w:lvlJc w:val="left"/>
      <w:pPr>
        <w:ind w:left="4916" w:hanging="317"/>
      </w:pPr>
      <w:rPr>
        <w:rFonts w:hint="default"/>
        <w:lang w:val="en-US" w:eastAsia="en-US" w:bidi="ar-SA"/>
      </w:rPr>
    </w:lvl>
    <w:lvl w:ilvl="4">
      <w:start w:val="0"/>
      <w:numFmt w:val="bullet"/>
      <w:lvlText w:val="•"/>
      <w:lvlJc w:val="left"/>
      <w:pPr>
        <w:ind w:left="5668" w:hanging="317"/>
      </w:pPr>
      <w:rPr>
        <w:rFonts w:hint="default"/>
        <w:lang w:val="en-US" w:eastAsia="en-US" w:bidi="ar-SA"/>
      </w:rPr>
    </w:lvl>
    <w:lvl w:ilvl="5">
      <w:start w:val="0"/>
      <w:numFmt w:val="bullet"/>
      <w:lvlText w:val="•"/>
      <w:lvlJc w:val="left"/>
      <w:pPr>
        <w:ind w:left="6420" w:hanging="317"/>
      </w:pPr>
      <w:rPr>
        <w:rFonts w:hint="default"/>
        <w:lang w:val="en-US" w:eastAsia="en-US" w:bidi="ar-SA"/>
      </w:rPr>
    </w:lvl>
    <w:lvl w:ilvl="6">
      <w:start w:val="0"/>
      <w:numFmt w:val="bullet"/>
      <w:lvlText w:val="•"/>
      <w:lvlJc w:val="left"/>
      <w:pPr>
        <w:ind w:left="7172" w:hanging="317"/>
      </w:pPr>
      <w:rPr>
        <w:rFonts w:hint="default"/>
        <w:lang w:val="en-US" w:eastAsia="en-US" w:bidi="ar-SA"/>
      </w:rPr>
    </w:lvl>
    <w:lvl w:ilvl="7">
      <w:start w:val="0"/>
      <w:numFmt w:val="bullet"/>
      <w:lvlText w:val="•"/>
      <w:lvlJc w:val="left"/>
      <w:pPr>
        <w:ind w:left="7924" w:hanging="317"/>
      </w:pPr>
      <w:rPr>
        <w:rFonts w:hint="default"/>
        <w:lang w:val="en-US" w:eastAsia="en-US" w:bidi="ar-SA"/>
      </w:rPr>
    </w:lvl>
    <w:lvl w:ilvl="8">
      <w:start w:val="0"/>
      <w:numFmt w:val="bullet"/>
      <w:lvlText w:val="•"/>
      <w:lvlJc w:val="left"/>
      <w:pPr>
        <w:ind w:left="8676" w:hanging="317"/>
      </w:pPr>
      <w:rPr>
        <w:rFonts w:hint="default"/>
        <w:lang w:val="en-US" w:eastAsia="en-US" w:bidi="ar-SA"/>
      </w:rPr>
    </w:lvl>
  </w:abstractNum>
  <w:abstractNum w:abstractNumId="151">
    <w:multiLevelType w:val="hybridMultilevel"/>
    <w:lvl w:ilvl="0">
      <w:start w:val="1"/>
      <w:numFmt w:val="decimal"/>
      <w:lvlText w:val="%1."/>
      <w:lvlJc w:val="left"/>
      <w:pPr>
        <w:ind w:left="2548" w:hanging="317"/>
        <w:jc w:val="left"/>
      </w:pPr>
      <w:rPr>
        <w:rFonts w:hint="default"/>
        <w:spacing w:val="0"/>
        <w:w w:val="99"/>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50">
    <w:multiLevelType w:val="hybridMultilevel"/>
    <w:lvl w:ilvl="0">
      <w:start w:val="1"/>
      <w:numFmt w:val="lowerLetter"/>
      <w:lvlText w:val="%1."/>
      <w:lvlJc w:val="left"/>
      <w:pPr>
        <w:ind w:left="3583"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240" w:hanging="317"/>
      </w:pPr>
      <w:rPr>
        <w:rFonts w:hint="default"/>
        <w:lang w:val="en-US" w:eastAsia="en-US" w:bidi="ar-SA"/>
      </w:rPr>
    </w:lvl>
    <w:lvl w:ilvl="2">
      <w:start w:val="0"/>
      <w:numFmt w:val="bullet"/>
      <w:lvlText w:val="•"/>
      <w:lvlJc w:val="left"/>
      <w:pPr>
        <w:ind w:left="4900" w:hanging="317"/>
      </w:pPr>
      <w:rPr>
        <w:rFonts w:hint="default"/>
        <w:lang w:val="en-US" w:eastAsia="en-US" w:bidi="ar-SA"/>
      </w:rPr>
    </w:lvl>
    <w:lvl w:ilvl="3">
      <w:start w:val="0"/>
      <w:numFmt w:val="bullet"/>
      <w:lvlText w:val="•"/>
      <w:lvlJc w:val="left"/>
      <w:pPr>
        <w:ind w:left="5560" w:hanging="317"/>
      </w:pPr>
      <w:rPr>
        <w:rFonts w:hint="default"/>
        <w:lang w:val="en-US" w:eastAsia="en-US" w:bidi="ar-SA"/>
      </w:rPr>
    </w:lvl>
    <w:lvl w:ilvl="4">
      <w:start w:val="0"/>
      <w:numFmt w:val="bullet"/>
      <w:lvlText w:val="•"/>
      <w:lvlJc w:val="left"/>
      <w:pPr>
        <w:ind w:left="6220" w:hanging="317"/>
      </w:pPr>
      <w:rPr>
        <w:rFonts w:hint="default"/>
        <w:lang w:val="en-US" w:eastAsia="en-US" w:bidi="ar-SA"/>
      </w:rPr>
    </w:lvl>
    <w:lvl w:ilvl="5">
      <w:start w:val="0"/>
      <w:numFmt w:val="bullet"/>
      <w:lvlText w:val="•"/>
      <w:lvlJc w:val="left"/>
      <w:pPr>
        <w:ind w:left="6880" w:hanging="317"/>
      </w:pPr>
      <w:rPr>
        <w:rFonts w:hint="default"/>
        <w:lang w:val="en-US" w:eastAsia="en-US" w:bidi="ar-SA"/>
      </w:rPr>
    </w:lvl>
    <w:lvl w:ilvl="6">
      <w:start w:val="0"/>
      <w:numFmt w:val="bullet"/>
      <w:lvlText w:val="•"/>
      <w:lvlJc w:val="left"/>
      <w:pPr>
        <w:ind w:left="7540" w:hanging="317"/>
      </w:pPr>
      <w:rPr>
        <w:rFonts w:hint="default"/>
        <w:lang w:val="en-US" w:eastAsia="en-US" w:bidi="ar-SA"/>
      </w:rPr>
    </w:lvl>
    <w:lvl w:ilvl="7">
      <w:start w:val="0"/>
      <w:numFmt w:val="bullet"/>
      <w:lvlText w:val="•"/>
      <w:lvlJc w:val="left"/>
      <w:pPr>
        <w:ind w:left="8200" w:hanging="317"/>
      </w:pPr>
      <w:rPr>
        <w:rFonts w:hint="default"/>
        <w:lang w:val="en-US" w:eastAsia="en-US" w:bidi="ar-SA"/>
      </w:rPr>
    </w:lvl>
    <w:lvl w:ilvl="8">
      <w:start w:val="0"/>
      <w:numFmt w:val="bullet"/>
      <w:lvlText w:val="•"/>
      <w:lvlJc w:val="left"/>
      <w:pPr>
        <w:ind w:left="8860" w:hanging="317"/>
      </w:pPr>
      <w:rPr>
        <w:rFonts w:hint="default"/>
        <w:lang w:val="en-US" w:eastAsia="en-US" w:bidi="ar-SA"/>
      </w:rPr>
    </w:lvl>
  </w:abstractNum>
  <w:abstractNum w:abstractNumId="149">
    <w:multiLevelType w:val="hybridMultilevel"/>
    <w:lvl w:ilvl="0">
      <w:start w:val="1"/>
      <w:numFmt w:val="decimal"/>
      <w:lvlText w:val="%1."/>
      <w:lvlJc w:val="left"/>
      <w:pPr>
        <w:ind w:left="2788" w:hanging="317"/>
        <w:jc w:val="left"/>
      </w:pPr>
      <w:rPr>
        <w:rFonts w:hint="default"/>
        <w:spacing w:val="0"/>
        <w:w w:val="99"/>
        <w:lang w:val="en-US" w:eastAsia="en-US" w:bidi="ar-SA"/>
      </w:rPr>
    </w:lvl>
    <w:lvl w:ilvl="1">
      <w:start w:val="1"/>
      <w:numFmt w:val="lowerLetter"/>
      <w:lvlText w:val="%2."/>
      <w:lvlJc w:val="left"/>
      <w:pPr>
        <w:ind w:left="3822"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4526" w:hanging="317"/>
      </w:pPr>
      <w:rPr>
        <w:rFonts w:hint="default"/>
        <w:lang w:val="en-US" w:eastAsia="en-US" w:bidi="ar-SA"/>
      </w:rPr>
    </w:lvl>
    <w:lvl w:ilvl="3">
      <w:start w:val="0"/>
      <w:numFmt w:val="bullet"/>
      <w:lvlText w:val="•"/>
      <w:lvlJc w:val="left"/>
      <w:pPr>
        <w:ind w:left="5233" w:hanging="317"/>
      </w:pPr>
      <w:rPr>
        <w:rFonts w:hint="default"/>
        <w:lang w:val="en-US" w:eastAsia="en-US" w:bidi="ar-SA"/>
      </w:rPr>
    </w:lvl>
    <w:lvl w:ilvl="4">
      <w:start w:val="0"/>
      <w:numFmt w:val="bullet"/>
      <w:lvlText w:val="•"/>
      <w:lvlJc w:val="left"/>
      <w:pPr>
        <w:ind w:left="5940" w:hanging="317"/>
      </w:pPr>
      <w:rPr>
        <w:rFonts w:hint="default"/>
        <w:lang w:val="en-US" w:eastAsia="en-US" w:bidi="ar-SA"/>
      </w:rPr>
    </w:lvl>
    <w:lvl w:ilvl="5">
      <w:start w:val="0"/>
      <w:numFmt w:val="bullet"/>
      <w:lvlText w:val="•"/>
      <w:lvlJc w:val="left"/>
      <w:pPr>
        <w:ind w:left="6646" w:hanging="317"/>
      </w:pPr>
      <w:rPr>
        <w:rFonts w:hint="default"/>
        <w:lang w:val="en-US" w:eastAsia="en-US" w:bidi="ar-SA"/>
      </w:rPr>
    </w:lvl>
    <w:lvl w:ilvl="6">
      <w:start w:val="0"/>
      <w:numFmt w:val="bullet"/>
      <w:lvlText w:val="•"/>
      <w:lvlJc w:val="left"/>
      <w:pPr>
        <w:ind w:left="7353" w:hanging="317"/>
      </w:pPr>
      <w:rPr>
        <w:rFonts w:hint="default"/>
        <w:lang w:val="en-US" w:eastAsia="en-US" w:bidi="ar-SA"/>
      </w:rPr>
    </w:lvl>
    <w:lvl w:ilvl="7">
      <w:start w:val="0"/>
      <w:numFmt w:val="bullet"/>
      <w:lvlText w:val="•"/>
      <w:lvlJc w:val="left"/>
      <w:pPr>
        <w:ind w:left="8060" w:hanging="317"/>
      </w:pPr>
      <w:rPr>
        <w:rFonts w:hint="default"/>
        <w:lang w:val="en-US" w:eastAsia="en-US" w:bidi="ar-SA"/>
      </w:rPr>
    </w:lvl>
    <w:lvl w:ilvl="8">
      <w:start w:val="0"/>
      <w:numFmt w:val="bullet"/>
      <w:lvlText w:val="•"/>
      <w:lvlJc w:val="left"/>
      <w:pPr>
        <w:ind w:left="8766" w:hanging="317"/>
      </w:pPr>
      <w:rPr>
        <w:rFonts w:hint="default"/>
        <w:lang w:val="en-US" w:eastAsia="en-US" w:bidi="ar-SA"/>
      </w:rPr>
    </w:lvl>
  </w:abstractNum>
  <w:abstractNum w:abstractNumId="147">
    <w:multiLevelType w:val="hybridMultilevel"/>
    <w:lvl w:ilvl="0">
      <w:start w:val="1"/>
      <w:numFmt w:val="decimal"/>
      <w:lvlText w:val="%1."/>
      <w:lvlJc w:val="left"/>
      <w:pPr>
        <w:ind w:left="3506"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4242" w:hanging="317"/>
      </w:pPr>
      <w:rPr>
        <w:rFonts w:hint="default"/>
        <w:lang w:val="en-US" w:eastAsia="en-US" w:bidi="ar-SA"/>
      </w:rPr>
    </w:lvl>
    <w:lvl w:ilvl="3">
      <w:start w:val="0"/>
      <w:numFmt w:val="bullet"/>
      <w:lvlText w:val="•"/>
      <w:lvlJc w:val="left"/>
      <w:pPr>
        <w:ind w:left="4984" w:hanging="317"/>
      </w:pPr>
      <w:rPr>
        <w:rFonts w:hint="default"/>
        <w:lang w:val="en-US" w:eastAsia="en-US" w:bidi="ar-SA"/>
      </w:rPr>
    </w:lvl>
    <w:lvl w:ilvl="4">
      <w:start w:val="0"/>
      <w:numFmt w:val="bullet"/>
      <w:lvlText w:val="•"/>
      <w:lvlJc w:val="left"/>
      <w:pPr>
        <w:ind w:left="5726" w:hanging="317"/>
      </w:pPr>
      <w:rPr>
        <w:rFonts w:hint="default"/>
        <w:lang w:val="en-US" w:eastAsia="en-US" w:bidi="ar-SA"/>
      </w:rPr>
    </w:lvl>
    <w:lvl w:ilvl="5">
      <w:start w:val="0"/>
      <w:numFmt w:val="bullet"/>
      <w:lvlText w:val="•"/>
      <w:lvlJc w:val="left"/>
      <w:pPr>
        <w:ind w:left="6468" w:hanging="317"/>
      </w:pPr>
      <w:rPr>
        <w:rFonts w:hint="default"/>
        <w:lang w:val="en-US" w:eastAsia="en-US" w:bidi="ar-SA"/>
      </w:rPr>
    </w:lvl>
    <w:lvl w:ilvl="6">
      <w:start w:val="0"/>
      <w:numFmt w:val="bullet"/>
      <w:lvlText w:val="•"/>
      <w:lvlJc w:val="left"/>
      <w:pPr>
        <w:ind w:left="7211" w:hanging="317"/>
      </w:pPr>
      <w:rPr>
        <w:rFonts w:hint="default"/>
        <w:lang w:val="en-US" w:eastAsia="en-US" w:bidi="ar-SA"/>
      </w:rPr>
    </w:lvl>
    <w:lvl w:ilvl="7">
      <w:start w:val="0"/>
      <w:numFmt w:val="bullet"/>
      <w:lvlText w:val="•"/>
      <w:lvlJc w:val="left"/>
      <w:pPr>
        <w:ind w:left="7953" w:hanging="317"/>
      </w:pPr>
      <w:rPr>
        <w:rFonts w:hint="default"/>
        <w:lang w:val="en-US" w:eastAsia="en-US" w:bidi="ar-SA"/>
      </w:rPr>
    </w:lvl>
    <w:lvl w:ilvl="8">
      <w:start w:val="0"/>
      <w:numFmt w:val="bullet"/>
      <w:lvlText w:val="•"/>
      <w:lvlJc w:val="left"/>
      <w:pPr>
        <w:ind w:left="8695" w:hanging="317"/>
      </w:pPr>
      <w:rPr>
        <w:rFonts w:hint="default"/>
        <w:lang w:val="en-US" w:eastAsia="en-US" w:bidi="ar-SA"/>
      </w:rPr>
    </w:lvl>
  </w:abstractNum>
  <w:abstractNum w:abstractNumId="14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4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42">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41">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40">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39">
    <w:multiLevelType w:val="hybridMultilevel"/>
    <w:lvl w:ilvl="0">
      <w:start w:val="1"/>
      <w:numFmt w:val="decimal"/>
      <w:lvlText w:val="%1."/>
      <w:lvlJc w:val="left"/>
      <w:pPr>
        <w:ind w:left="3118" w:hanging="168"/>
        <w:jc w:val="left"/>
      </w:pPr>
      <w:rPr>
        <w:rFonts w:hint="default" w:ascii="Arial" w:hAnsi="Arial" w:eastAsia="Arial" w:cs="Arial"/>
        <w:b w:val="0"/>
        <w:bCs w:val="0"/>
        <w:i w:val="0"/>
        <w:iCs w:val="0"/>
        <w:color w:val="231F20"/>
        <w:spacing w:val="0"/>
        <w:w w:val="99"/>
        <w:sz w:val="18"/>
        <w:szCs w:val="18"/>
        <w:lang w:val="en-US" w:eastAsia="en-US" w:bidi="ar-SA"/>
      </w:rPr>
    </w:lvl>
    <w:lvl w:ilvl="1">
      <w:start w:val="0"/>
      <w:numFmt w:val="bullet"/>
      <w:lvlText w:val="•"/>
      <w:lvlJc w:val="left"/>
      <w:pPr>
        <w:ind w:left="3826" w:hanging="168"/>
      </w:pPr>
      <w:rPr>
        <w:rFonts w:hint="default"/>
        <w:lang w:val="en-US" w:eastAsia="en-US" w:bidi="ar-SA"/>
      </w:rPr>
    </w:lvl>
    <w:lvl w:ilvl="2">
      <w:start w:val="0"/>
      <w:numFmt w:val="bullet"/>
      <w:lvlText w:val="•"/>
      <w:lvlJc w:val="left"/>
      <w:pPr>
        <w:ind w:left="4532" w:hanging="168"/>
      </w:pPr>
      <w:rPr>
        <w:rFonts w:hint="default"/>
        <w:lang w:val="en-US" w:eastAsia="en-US" w:bidi="ar-SA"/>
      </w:rPr>
    </w:lvl>
    <w:lvl w:ilvl="3">
      <w:start w:val="0"/>
      <w:numFmt w:val="bullet"/>
      <w:lvlText w:val="•"/>
      <w:lvlJc w:val="left"/>
      <w:pPr>
        <w:ind w:left="5238" w:hanging="168"/>
      </w:pPr>
      <w:rPr>
        <w:rFonts w:hint="default"/>
        <w:lang w:val="en-US" w:eastAsia="en-US" w:bidi="ar-SA"/>
      </w:rPr>
    </w:lvl>
    <w:lvl w:ilvl="4">
      <w:start w:val="0"/>
      <w:numFmt w:val="bullet"/>
      <w:lvlText w:val="•"/>
      <w:lvlJc w:val="left"/>
      <w:pPr>
        <w:ind w:left="5944" w:hanging="168"/>
      </w:pPr>
      <w:rPr>
        <w:rFonts w:hint="default"/>
        <w:lang w:val="en-US" w:eastAsia="en-US" w:bidi="ar-SA"/>
      </w:rPr>
    </w:lvl>
    <w:lvl w:ilvl="5">
      <w:start w:val="0"/>
      <w:numFmt w:val="bullet"/>
      <w:lvlText w:val="•"/>
      <w:lvlJc w:val="left"/>
      <w:pPr>
        <w:ind w:left="6650" w:hanging="168"/>
      </w:pPr>
      <w:rPr>
        <w:rFonts w:hint="default"/>
        <w:lang w:val="en-US" w:eastAsia="en-US" w:bidi="ar-SA"/>
      </w:rPr>
    </w:lvl>
    <w:lvl w:ilvl="6">
      <w:start w:val="0"/>
      <w:numFmt w:val="bullet"/>
      <w:lvlText w:val="•"/>
      <w:lvlJc w:val="left"/>
      <w:pPr>
        <w:ind w:left="7356" w:hanging="168"/>
      </w:pPr>
      <w:rPr>
        <w:rFonts w:hint="default"/>
        <w:lang w:val="en-US" w:eastAsia="en-US" w:bidi="ar-SA"/>
      </w:rPr>
    </w:lvl>
    <w:lvl w:ilvl="7">
      <w:start w:val="0"/>
      <w:numFmt w:val="bullet"/>
      <w:lvlText w:val="•"/>
      <w:lvlJc w:val="left"/>
      <w:pPr>
        <w:ind w:left="8062" w:hanging="168"/>
      </w:pPr>
      <w:rPr>
        <w:rFonts w:hint="default"/>
        <w:lang w:val="en-US" w:eastAsia="en-US" w:bidi="ar-SA"/>
      </w:rPr>
    </w:lvl>
    <w:lvl w:ilvl="8">
      <w:start w:val="0"/>
      <w:numFmt w:val="bullet"/>
      <w:lvlText w:val="•"/>
      <w:lvlJc w:val="left"/>
      <w:pPr>
        <w:ind w:left="8768" w:hanging="168"/>
      </w:pPr>
      <w:rPr>
        <w:rFonts w:hint="default"/>
        <w:lang w:val="en-US" w:eastAsia="en-US" w:bidi="ar-SA"/>
      </w:rPr>
    </w:lvl>
  </w:abstractNum>
  <w:abstractNum w:abstractNumId="138">
    <w:multiLevelType w:val="hybridMultilevel"/>
    <w:lvl w:ilvl="0">
      <w:start w:val="1"/>
      <w:numFmt w:val="decimal"/>
      <w:lvlText w:val="%1."/>
      <w:lvlJc w:val="left"/>
      <w:pPr>
        <w:ind w:left="3573"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240" w:hanging="383"/>
      </w:pPr>
      <w:rPr>
        <w:rFonts w:hint="default"/>
        <w:lang w:val="en-US" w:eastAsia="en-US" w:bidi="ar-SA"/>
      </w:rPr>
    </w:lvl>
    <w:lvl w:ilvl="2">
      <w:start w:val="0"/>
      <w:numFmt w:val="bullet"/>
      <w:lvlText w:val="•"/>
      <w:lvlJc w:val="left"/>
      <w:pPr>
        <w:ind w:left="4900" w:hanging="383"/>
      </w:pPr>
      <w:rPr>
        <w:rFonts w:hint="default"/>
        <w:lang w:val="en-US" w:eastAsia="en-US" w:bidi="ar-SA"/>
      </w:rPr>
    </w:lvl>
    <w:lvl w:ilvl="3">
      <w:start w:val="0"/>
      <w:numFmt w:val="bullet"/>
      <w:lvlText w:val="•"/>
      <w:lvlJc w:val="left"/>
      <w:pPr>
        <w:ind w:left="5560" w:hanging="383"/>
      </w:pPr>
      <w:rPr>
        <w:rFonts w:hint="default"/>
        <w:lang w:val="en-US" w:eastAsia="en-US" w:bidi="ar-SA"/>
      </w:rPr>
    </w:lvl>
    <w:lvl w:ilvl="4">
      <w:start w:val="0"/>
      <w:numFmt w:val="bullet"/>
      <w:lvlText w:val="•"/>
      <w:lvlJc w:val="left"/>
      <w:pPr>
        <w:ind w:left="6220" w:hanging="383"/>
      </w:pPr>
      <w:rPr>
        <w:rFonts w:hint="default"/>
        <w:lang w:val="en-US" w:eastAsia="en-US" w:bidi="ar-SA"/>
      </w:rPr>
    </w:lvl>
    <w:lvl w:ilvl="5">
      <w:start w:val="0"/>
      <w:numFmt w:val="bullet"/>
      <w:lvlText w:val="•"/>
      <w:lvlJc w:val="left"/>
      <w:pPr>
        <w:ind w:left="6880" w:hanging="383"/>
      </w:pPr>
      <w:rPr>
        <w:rFonts w:hint="default"/>
        <w:lang w:val="en-US" w:eastAsia="en-US" w:bidi="ar-SA"/>
      </w:rPr>
    </w:lvl>
    <w:lvl w:ilvl="6">
      <w:start w:val="0"/>
      <w:numFmt w:val="bullet"/>
      <w:lvlText w:val="•"/>
      <w:lvlJc w:val="left"/>
      <w:pPr>
        <w:ind w:left="7540" w:hanging="383"/>
      </w:pPr>
      <w:rPr>
        <w:rFonts w:hint="default"/>
        <w:lang w:val="en-US" w:eastAsia="en-US" w:bidi="ar-SA"/>
      </w:rPr>
    </w:lvl>
    <w:lvl w:ilvl="7">
      <w:start w:val="0"/>
      <w:numFmt w:val="bullet"/>
      <w:lvlText w:val="•"/>
      <w:lvlJc w:val="left"/>
      <w:pPr>
        <w:ind w:left="8200" w:hanging="383"/>
      </w:pPr>
      <w:rPr>
        <w:rFonts w:hint="default"/>
        <w:lang w:val="en-US" w:eastAsia="en-US" w:bidi="ar-SA"/>
      </w:rPr>
    </w:lvl>
    <w:lvl w:ilvl="8">
      <w:start w:val="0"/>
      <w:numFmt w:val="bullet"/>
      <w:lvlText w:val="•"/>
      <w:lvlJc w:val="left"/>
      <w:pPr>
        <w:ind w:left="8860" w:hanging="383"/>
      </w:pPr>
      <w:rPr>
        <w:rFonts w:hint="default"/>
        <w:lang w:val="en-US" w:eastAsia="en-US" w:bidi="ar-SA"/>
      </w:rPr>
    </w:lvl>
  </w:abstractNum>
  <w:abstractNum w:abstractNumId="137">
    <w:multiLevelType w:val="hybridMultilevel"/>
    <w:lvl w:ilvl="0">
      <w:start w:val="1"/>
      <w:numFmt w:val="decimal"/>
      <w:lvlText w:val="%1."/>
      <w:lvlJc w:val="left"/>
      <w:pPr>
        <w:ind w:left="3267"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952" w:hanging="383"/>
      </w:pPr>
      <w:rPr>
        <w:rFonts w:hint="default"/>
        <w:lang w:val="en-US" w:eastAsia="en-US" w:bidi="ar-SA"/>
      </w:rPr>
    </w:lvl>
    <w:lvl w:ilvl="2">
      <w:start w:val="0"/>
      <w:numFmt w:val="bullet"/>
      <w:lvlText w:val="•"/>
      <w:lvlJc w:val="left"/>
      <w:pPr>
        <w:ind w:left="4644" w:hanging="383"/>
      </w:pPr>
      <w:rPr>
        <w:rFonts w:hint="default"/>
        <w:lang w:val="en-US" w:eastAsia="en-US" w:bidi="ar-SA"/>
      </w:rPr>
    </w:lvl>
    <w:lvl w:ilvl="3">
      <w:start w:val="0"/>
      <w:numFmt w:val="bullet"/>
      <w:lvlText w:val="•"/>
      <w:lvlJc w:val="left"/>
      <w:pPr>
        <w:ind w:left="5336" w:hanging="383"/>
      </w:pPr>
      <w:rPr>
        <w:rFonts w:hint="default"/>
        <w:lang w:val="en-US" w:eastAsia="en-US" w:bidi="ar-SA"/>
      </w:rPr>
    </w:lvl>
    <w:lvl w:ilvl="4">
      <w:start w:val="0"/>
      <w:numFmt w:val="bullet"/>
      <w:lvlText w:val="•"/>
      <w:lvlJc w:val="left"/>
      <w:pPr>
        <w:ind w:left="6028" w:hanging="383"/>
      </w:pPr>
      <w:rPr>
        <w:rFonts w:hint="default"/>
        <w:lang w:val="en-US" w:eastAsia="en-US" w:bidi="ar-SA"/>
      </w:rPr>
    </w:lvl>
    <w:lvl w:ilvl="5">
      <w:start w:val="0"/>
      <w:numFmt w:val="bullet"/>
      <w:lvlText w:val="•"/>
      <w:lvlJc w:val="left"/>
      <w:pPr>
        <w:ind w:left="6720" w:hanging="383"/>
      </w:pPr>
      <w:rPr>
        <w:rFonts w:hint="default"/>
        <w:lang w:val="en-US" w:eastAsia="en-US" w:bidi="ar-SA"/>
      </w:rPr>
    </w:lvl>
    <w:lvl w:ilvl="6">
      <w:start w:val="0"/>
      <w:numFmt w:val="bullet"/>
      <w:lvlText w:val="•"/>
      <w:lvlJc w:val="left"/>
      <w:pPr>
        <w:ind w:left="7412" w:hanging="383"/>
      </w:pPr>
      <w:rPr>
        <w:rFonts w:hint="default"/>
        <w:lang w:val="en-US" w:eastAsia="en-US" w:bidi="ar-SA"/>
      </w:rPr>
    </w:lvl>
    <w:lvl w:ilvl="7">
      <w:start w:val="0"/>
      <w:numFmt w:val="bullet"/>
      <w:lvlText w:val="•"/>
      <w:lvlJc w:val="left"/>
      <w:pPr>
        <w:ind w:left="8104" w:hanging="383"/>
      </w:pPr>
      <w:rPr>
        <w:rFonts w:hint="default"/>
        <w:lang w:val="en-US" w:eastAsia="en-US" w:bidi="ar-SA"/>
      </w:rPr>
    </w:lvl>
    <w:lvl w:ilvl="8">
      <w:start w:val="0"/>
      <w:numFmt w:val="bullet"/>
      <w:lvlText w:val="•"/>
      <w:lvlJc w:val="left"/>
      <w:pPr>
        <w:ind w:left="8796" w:hanging="383"/>
      </w:pPr>
      <w:rPr>
        <w:rFonts w:hint="default"/>
        <w:lang w:val="en-US" w:eastAsia="en-US" w:bidi="ar-SA"/>
      </w:rPr>
    </w:lvl>
  </w:abstractNum>
  <w:abstractNum w:abstractNumId="136">
    <w:multiLevelType w:val="hybridMultilevel"/>
    <w:lvl w:ilvl="0">
      <w:start w:val="1"/>
      <w:numFmt w:val="decimal"/>
      <w:lvlText w:val="%1."/>
      <w:lvlJc w:val="left"/>
      <w:pPr>
        <w:ind w:left="2726"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3267" w:hanging="383"/>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4028" w:hanging="383"/>
      </w:pPr>
      <w:rPr>
        <w:rFonts w:hint="default"/>
        <w:lang w:val="en-US" w:eastAsia="en-US" w:bidi="ar-SA"/>
      </w:rPr>
    </w:lvl>
    <w:lvl w:ilvl="3">
      <w:start w:val="0"/>
      <w:numFmt w:val="bullet"/>
      <w:lvlText w:val="•"/>
      <w:lvlJc w:val="left"/>
      <w:pPr>
        <w:ind w:left="4797" w:hanging="383"/>
      </w:pPr>
      <w:rPr>
        <w:rFonts w:hint="default"/>
        <w:lang w:val="en-US" w:eastAsia="en-US" w:bidi="ar-SA"/>
      </w:rPr>
    </w:lvl>
    <w:lvl w:ilvl="4">
      <w:start w:val="0"/>
      <w:numFmt w:val="bullet"/>
      <w:lvlText w:val="•"/>
      <w:lvlJc w:val="left"/>
      <w:pPr>
        <w:ind w:left="5566" w:hanging="383"/>
      </w:pPr>
      <w:rPr>
        <w:rFonts w:hint="default"/>
        <w:lang w:val="en-US" w:eastAsia="en-US" w:bidi="ar-SA"/>
      </w:rPr>
    </w:lvl>
    <w:lvl w:ilvl="5">
      <w:start w:val="0"/>
      <w:numFmt w:val="bullet"/>
      <w:lvlText w:val="•"/>
      <w:lvlJc w:val="left"/>
      <w:pPr>
        <w:ind w:left="6335" w:hanging="383"/>
      </w:pPr>
      <w:rPr>
        <w:rFonts w:hint="default"/>
        <w:lang w:val="en-US" w:eastAsia="en-US" w:bidi="ar-SA"/>
      </w:rPr>
    </w:lvl>
    <w:lvl w:ilvl="6">
      <w:start w:val="0"/>
      <w:numFmt w:val="bullet"/>
      <w:lvlText w:val="•"/>
      <w:lvlJc w:val="left"/>
      <w:pPr>
        <w:ind w:left="7104" w:hanging="383"/>
      </w:pPr>
      <w:rPr>
        <w:rFonts w:hint="default"/>
        <w:lang w:val="en-US" w:eastAsia="en-US" w:bidi="ar-SA"/>
      </w:rPr>
    </w:lvl>
    <w:lvl w:ilvl="7">
      <w:start w:val="0"/>
      <w:numFmt w:val="bullet"/>
      <w:lvlText w:val="•"/>
      <w:lvlJc w:val="left"/>
      <w:pPr>
        <w:ind w:left="7873" w:hanging="383"/>
      </w:pPr>
      <w:rPr>
        <w:rFonts w:hint="default"/>
        <w:lang w:val="en-US" w:eastAsia="en-US" w:bidi="ar-SA"/>
      </w:rPr>
    </w:lvl>
    <w:lvl w:ilvl="8">
      <w:start w:val="0"/>
      <w:numFmt w:val="bullet"/>
      <w:lvlText w:val="•"/>
      <w:lvlJc w:val="left"/>
      <w:pPr>
        <w:ind w:left="8642" w:hanging="383"/>
      </w:pPr>
      <w:rPr>
        <w:rFonts w:hint="default"/>
        <w:lang w:val="en-US" w:eastAsia="en-US" w:bidi="ar-SA"/>
      </w:rPr>
    </w:lvl>
  </w:abstractNum>
  <w:abstractNum w:abstractNumId="131">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30">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17"/>
      </w:pPr>
      <w:rPr>
        <w:rFonts w:hint="default"/>
        <w:lang w:val="en-US" w:eastAsia="en-US" w:bidi="ar-SA"/>
      </w:rPr>
    </w:lvl>
    <w:lvl w:ilvl="3">
      <w:start w:val="0"/>
      <w:numFmt w:val="bullet"/>
      <w:lvlText w:val="•"/>
      <w:lvlJc w:val="left"/>
      <w:pPr>
        <w:ind w:left="4486" w:hanging="317"/>
      </w:pPr>
      <w:rPr>
        <w:rFonts w:hint="default"/>
        <w:lang w:val="en-US" w:eastAsia="en-US" w:bidi="ar-SA"/>
      </w:rPr>
    </w:lvl>
    <w:lvl w:ilvl="4">
      <w:start w:val="0"/>
      <w:numFmt w:val="bullet"/>
      <w:lvlText w:val="•"/>
      <w:lvlJc w:val="left"/>
      <w:pPr>
        <w:ind w:left="5300" w:hanging="317"/>
      </w:pPr>
      <w:rPr>
        <w:rFonts w:hint="default"/>
        <w:lang w:val="en-US" w:eastAsia="en-US" w:bidi="ar-SA"/>
      </w:rPr>
    </w:lvl>
    <w:lvl w:ilvl="5">
      <w:start w:val="0"/>
      <w:numFmt w:val="bullet"/>
      <w:lvlText w:val="•"/>
      <w:lvlJc w:val="left"/>
      <w:pPr>
        <w:ind w:left="6113" w:hanging="317"/>
      </w:pPr>
      <w:rPr>
        <w:rFonts w:hint="default"/>
        <w:lang w:val="en-US" w:eastAsia="en-US" w:bidi="ar-SA"/>
      </w:rPr>
    </w:lvl>
    <w:lvl w:ilvl="6">
      <w:start w:val="0"/>
      <w:numFmt w:val="bullet"/>
      <w:lvlText w:val="•"/>
      <w:lvlJc w:val="left"/>
      <w:pPr>
        <w:ind w:left="6926" w:hanging="317"/>
      </w:pPr>
      <w:rPr>
        <w:rFonts w:hint="default"/>
        <w:lang w:val="en-US" w:eastAsia="en-US" w:bidi="ar-SA"/>
      </w:rPr>
    </w:lvl>
    <w:lvl w:ilvl="7">
      <w:start w:val="0"/>
      <w:numFmt w:val="bullet"/>
      <w:lvlText w:val="•"/>
      <w:lvlJc w:val="left"/>
      <w:pPr>
        <w:ind w:left="7740" w:hanging="317"/>
      </w:pPr>
      <w:rPr>
        <w:rFonts w:hint="default"/>
        <w:lang w:val="en-US" w:eastAsia="en-US" w:bidi="ar-SA"/>
      </w:rPr>
    </w:lvl>
    <w:lvl w:ilvl="8">
      <w:start w:val="0"/>
      <w:numFmt w:val="bullet"/>
      <w:lvlText w:val="•"/>
      <w:lvlJc w:val="left"/>
      <w:pPr>
        <w:ind w:left="8553" w:hanging="317"/>
      </w:pPr>
      <w:rPr>
        <w:rFonts w:hint="default"/>
        <w:lang w:val="en-US" w:eastAsia="en-US" w:bidi="ar-SA"/>
      </w:rPr>
    </w:lvl>
  </w:abstractNum>
  <w:abstractNum w:abstractNumId="127">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26">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25">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24">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21">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19">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18">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17">
    <w:multiLevelType w:val="hybridMultilevel"/>
    <w:lvl w:ilvl="0">
      <w:start w:val="1"/>
      <w:numFmt w:val="decimal"/>
      <w:lvlText w:val="%1."/>
      <w:lvlJc w:val="left"/>
      <w:pPr>
        <w:ind w:left="2615" w:hanging="383"/>
        <w:jc w:val="right"/>
      </w:pPr>
      <w:rPr>
        <w:rFonts w:hint="default" w:ascii="Arial" w:hAnsi="Arial" w:eastAsia="Arial" w:cs="Arial"/>
        <w:b w:val="0"/>
        <w:bCs w:val="0"/>
        <w:i w:val="0"/>
        <w:iCs w:val="0"/>
        <w:color w:val="231F20"/>
        <w:spacing w:val="0"/>
        <w:w w:val="98"/>
        <w:sz w:val="20"/>
        <w:szCs w:val="20"/>
        <w:lang w:val="en-US" w:eastAsia="en-US" w:bidi="ar-SA"/>
      </w:rPr>
    </w:lvl>
    <w:lvl w:ilvl="1">
      <w:start w:val="0"/>
      <w:numFmt w:val="bullet"/>
      <w:lvlText w:val="•"/>
      <w:lvlJc w:val="left"/>
      <w:pPr>
        <w:ind w:left="3376" w:hanging="383"/>
      </w:pPr>
      <w:rPr>
        <w:rFonts w:hint="default"/>
        <w:lang w:val="en-US" w:eastAsia="en-US" w:bidi="ar-SA"/>
      </w:rPr>
    </w:lvl>
    <w:lvl w:ilvl="2">
      <w:start w:val="0"/>
      <w:numFmt w:val="bullet"/>
      <w:lvlText w:val="•"/>
      <w:lvlJc w:val="left"/>
      <w:pPr>
        <w:ind w:left="4132" w:hanging="383"/>
      </w:pPr>
      <w:rPr>
        <w:rFonts w:hint="default"/>
        <w:lang w:val="en-US" w:eastAsia="en-US" w:bidi="ar-SA"/>
      </w:rPr>
    </w:lvl>
    <w:lvl w:ilvl="3">
      <w:start w:val="0"/>
      <w:numFmt w:val="bullet"/>
      <w:lvlText w:val="•"/>
      <w:lvlJc w:val="left"/>
      <w:pPr>
        <w:ind w:left="4888" w:hanging="383"/>
      </w:pPr>
      <w:rPr>
        <w:rFonts w:hint="default"/>
        <w:lang w:val="en-US" w:eastAsia="en-US" w:bidi="ar-SA"/>
      </w:rPr>
    </w:lvl>
    <w:lvl w:ilvl="4">
      <w:start w:val="0"/>
      <w:numFmt w:val="bullet"/>
      <w:lvlText w:val="•"/>
      <w:lvlJc w:val="left"/>
      <w:pPr>
        <w:ind w:left="5644" w:hanging="383"/>
      </w:pPr>
      <w:rPr>
        <w:rFonts w:hint="default"/>
        <w:lang w:val="en-US" w:eastAsia="en-US" w:bidi="ar-SA"/>
      </w:rPr>
    </w:lvl>
    <w:lvl w:ilvl="5">
      <w:start w:val="0"/>
      <w:numFmt w:val="bullet"/>
      <w:lvlText w:val="•"/>
      <w:lvlJc w:val="left"/>
      <w:pPr>
        <w:ind w:left="6400" w:hanging="383"/>
      </w:pPr>
      <w:rPr>
        <w:rFonts w:hint="default"/>
        <w:lang w:val="en-US" w:eastAsia="en-US" w:bidi="ar-SA"/>
      </w:rPr>
    </w:lvl>
    <w:lvl w:ilvl="6">
      <w:start w:val="0"/>
      <w:numFmt w:val="bullet"/>
      <w:lvlText w:val="•"/>
      <w:lvlJc w:val="left"/>
      <w:pPr>
        <w:ind w:left="7156" w:hanging="383"/>
      </w:pPr>
      <w:rPr>
        <w:rFonts w:hint="default"/>
        <w:lang w:val="en-US" w:eastAsia="en-US" w:bidi="ar-SA"/>
      </w:rPr>
    </w:lvl>
    <w:lvl w:ilvl="7">
      <w:start w:val="0"/>
      <w:numFmt w:val="bullet"/>
      <w:lvlText w:val="•"/>
      <w:lvlJc w:val="left"/>
      <w:pPr>
        <w:ind w:left="7912" w:hanging="383"/>
      </w:pPr>
      <w:rPr>
        <w:rFonts w:hint="default"/>
        <w:lang w:val="en-US" w:eastAsia="en-US" w:bidi="ar-SA"/>
      </w:rPr>
    </w:lvl>
    <w:lvl w:ilvl="8">
      <w:start w:val="0"/>
      <w:numFmt w:val="bullet"/>
      <w:lvlText w:val="•"/>
      <w:lvlJc w:val="left"/>
      <w:pPr>
        <w:ind w:left="8668" w:hanging="383"/>
      </w:pPr>
      <w:rPr>
        <w:rFonts w:hint="default"/>
        <w:lang w:val="en-US" w:eastAsia="en-US" w:bidi="ar-SA"/>
      </w:rPr>
    </w:lvl>
  </w:abstractNum>
  <w:abstractNum w:abstractNumId="116">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14">
    <w:multiLevelType w:val="hybridMultilevel"/>
    <w:lvl w:ilvl="0">
      <w:start w:val="1"/>
      <w:numFmt w:val="decimal"/>
      <w:lvlText w:val="%1."/>
      <w:lvlJc w:val="left"/>
      <w:pPr>
        <w:ind w:left="2615"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76" w:hanging="383"/>
      </w:pPr>
      <w:rPr>
        <w:rFonts w:hint="default"/>
        <w:lang w:val="en-US" w:eastAsia="en-US" w:bidi="ar-SA"/>
      </w:rPr>
    </w:lvl>
    <w:lvl w:ilvl="2">
      <w:start w:val="0"/>
      <w:numFmt w:val="bullet"/>
      <w:lvlText w:val="•"/>
      <w:lvlJc w:val="left"/>
      <w:pPr>
        <w:ind w:left="4132" w:hanging="383"/>
      </w:pPr>
      <w:rPr>
        <w:rFonts w:hint="default"/>
        <w:lang w:val="en-US" w:eastAsia="en-US" w:bidi="ar-SA"/>
      </w:rPr>
    </w:lvl>
    <w:lvl w:ilvl="3">
      <w:start w:val="0"/>
      <w:numFmt w:val="bullet"/>
      <w:lvlText w:val="•"/>
      <w:lvlJc w:val="left"/>
      <w:pPr>
        <w:ind w:left="4888" w:hanging="383"/>
      </w:pPr>
      <w:rPr>
        <w:rFonts w:hint="default"/>
        <w:lang w:val="en-US" w:eastAsia="en-US" w:bidi="ar-SA"/>
      </w:rPr>
    </w:lvl>
    <w:lvl w:ilvl="4">
      <w:start w:val="0"/>
      <w:numFmt w:val="bullet"/>
      <w:lvlText w:val="•"/>
      <w:lvlJc w:val="left"/>
      <w:pPr>
        <w:ind w:left="5644" w:hanging="383"/>
      </w:pPr>
      <w:rPr>
        <w:rFonts w:hint="default"/>
        <w:lang w:val="en-US" w:eastAsia="en-US" w:bidi="ar-SA"/>
      </w:rPr>
    </w:lvl>
    <w:lvl w:ilvl="5">
      <w:start w:val="0"/>
      <w:numFmt w:val="bullet"/>
      <w:lvlText w:val="•"/>
      <w:lvlJc w:val="left"/>
      <w:pPr>
        <w:ind w:left="6400" w:hanging="383"/>
      </w:pPr>
      <w:rPr>
        <w:rFonts w:hint="default"/>
        <w:lang w:val="en-US" w:eastAsia="en-US" w:bidi="ar-SA"/>
      </w:rPr>
    </w:lvl>
    <w:lvl w:ilvl="6">
      <w:start w:val="0"/>
      <w:numFmt w:val="bullet"/>
      <w:lvlText w:val="•"/>
      <w:lvlJc w:val="left"/>
      <w:pPr>
        <w:ind w:left="7156" w:hanging="383"/>
      </w:pPr>
      <w:rPr>
        <w:rFonts w:hint="default"/>
        <w:lang w:val="en-US" w:eastAsia="en-US" w:bidi="ar-SA"/>
      </w:rPr>
    </w:lvl>
    <w:lvl w:ilvl="7">
      <w:start w:val="0"/>
      <w:numFmt w:val="bullet"/>
      <w:lvlText w:val="•"/>
      <w:lvlJc w:val="left"/>
      <w:pPr>
        <w:ind w:left="7912" w:hanging="383"/>
      </w:pPr>
      <w:rPr>
        <w:rFonts w:hint="default"/>
        <w:lang w:val="en-US" w:eastAsia="en-US" w:bidi="ar-SA"/>
      </w:rPr>
    </w:lvl>
    <w:lvl w:ilvl="8">
      <w:start w:val="0"/>
      <w:numFmt w:val="bullet"/>
      <w:lvlText w:val="•"/>
      <w:lvlJc w:val="left"/>
      <w:pPr>
        <w:ind w:left="8668" w:hanging="383"/>
      </w:pPr>
      <w:rPr>
        <w:rFonts w:hint="default"/>
        <w:lang w:val="en-US" w:eastAsia="en-US" w:bidi="ar-SA"/>
      </w:rPr>
    </w:lvl>
  </w:abstractNum>
  <w:abstractNum w:abstractNumId="11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12">
    <w:multiLevelType w:val="hybridMultilevel"/>
    <w:lvl w:ilvl="0">
      <w:start w:val="1"/>
      <w:numFmt w:val="decimal"/>
      <w:lvlText w:val="%1."/>
      <w:lvlJc w:val="left"/>
      <w:pPr>
        <w:ind w:left="2448" w:hanging="217"/>
        <w:jc w:val="right"/>
      </w:pPr>
      <w:rPr>
        <w:rFonts w:hint="default" w:ascii="Book Antiqua" w:hAnsi="Book Antiqua" w:eastAsia="Book Antiqua" w:cs="Book Antiqua"/>
        <w:b/>
        <w:bCs/>
        <w:i w:val="0"/>
        <w:iCs w:val="0"/>
        <w:color w:val="231F20"/>
        <w:spacing w:val="0"/>
        <w:w w:val="99"/>
        <w:sz w:val="20"/>
        <w:szCs w:val="20"/>
        <w:lang w:val="en-US" w:eastAsia="en-US" w:bidi="ar-SA"/>
      </w:rPr>
    </w:lvl>
    <w:lvl w:ilvl="1">
      <w:start w:val="0"/>
      <w:numFmt w:val="bullet"/>
      <w:lvlText w:val="•"/>
      <w:lvlJc w:val="left"/>
      <w:pPr>
        <w:ind w:left="3214" w:hanging="217"/>
      </w:pPr>
      <w:rPr>
        <w:rFonts w:hint="default"/>
        <w:lang w:val="en-US" w:eastAsia="en-US" w:bidi="ar-SA"/>
      </w:rPr>
    </w:lvl>
    <w:lvl w:ilvl="2">
      <w:start w:val="0"/>
      <w:numFmt w:val="bullet"/>
      <w:lvlText w:val="•"/>
      <w:lvlJc w:val="left"/>
      <w:pPr>
        <w:ind w:left="3988" w:hanging="217"/>
      </w:pPr>
      <w:rPr>
        <w:rFonts w:hint="default"/>
        <w:lang w:val="en-US" w:eastAsia="en-US" w:bidi="ar-SA"/>
      </w:rPr>
    </w:lvl>
    <w:lvl w:ilvl="3">
      <w:start w:val="0"/>
      <w:numFmt w:val="bullet"/>
      <w:lvlText w:val="•"/>
      <w:lvlJc w:val="left"/>
      <w:pPr>
        <w:ind w:left="4762" w:hanging="217"/>
      </w:pPr>
      <w:rPr>
        <w:rFonts w:hint="default"/>
        <w:lang w:val="en-US" w:eastAsia="en-US" w:bidi="ar-SA"/>
      </w:rPr>
    </w:lvl>
    <w:lvl w:ilvl="4">
      <w:start w:val="0"/>
      <w:numFmt w:val="bullet"/>
      <w:lvlText w:val="•"/>
      <w:lvlJc w:val="left"/>
      <w:pPr>
        <w:ind w:left="5536" w:hanging="217"/>
      </w:pPr>
      <w:rPr>
        <w:rFonts w:hint="default"/>
        <w:lang w:val="en-US" w:eastAsia="en-US" w:bidi="ar-SA"/>
      </w:rPr>
    </w:lvl>
    <w:lvl w:ilvl="5">
      <w:start w:val="0"/>
      <w:numFmt w:val="bullet"/>
      <w:lvlText w:val="•"/>
      <w:lvlJc w:val="left"/>
      <w:pPr>
        <w:ind w:left="6310" w:hanging="217"/>
      </w:pPr>
      <w:rPr>
        <w:rFonts w:hint="default"/>
        <w:lang w:val="en-US" w:eastAsia="en-US" w:bidi="ar-SA"/>
      </w:rPr>
    </w:lvl>
    <w:lvl w:ilvl="6">
      <w:start w:val="0"/>
      <w:numFmt w:val="bullet"/>
      <w:lvlText w:val="•"/>
      <w:lvlJc w:val="left"/>
      <w:pPr>
        <w:ind w:left="7084" w:hanging="217"/>
      </w:pPr>
      <w:rPr>
        <w:rFonts w:hint="default"/>
        <w:lang w:val="en-US" w:eastAsia="en-US" w:bidi="ar-SA"/>
      </w:rPr>
    </w:lvl>
    <w:lvl w:ilvl="7">
      <w:start w:val="0"/>
      <w:numFmt w:val="bullet"/>
      <w:lvlText w:val="•"/>
      <w:lvlJc w:val="left"/>
      <w:pPr>
        <w:ind w:left="7858" w:hanging="217"/>
      </w:pPr>
      <w:rPr>
        <w:rFonts w:hint="default"/>
        <w:lang w:val="en-US" w:eastAsia="en-US" w:bidi="ar-SA"/>
      </w:rPr>
    </w:lvl>
    <w:lvl w:ilvl="8">
      <w:start w:val="0"/>
      <w:numFmt w:val="bullet"/>
      <w:lvlText w:val="•"/>
      <w:lvlJc w:val="left"/>
      <w:pPr>
        <w:ind w:left="8632" w:hanging="217"/>
      </w:pPr>
      <w:rPr>
        <w:rFonts w:hint="default"/>
        <w:lang w:val="en-US" w:eastAsia="en-US" w:bidi="ar-SA"/>
      </w:rPr>
    </w:lvl>
  </w:abstractNum>
  <w:abstractNum w:abstractNumId="111">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10">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08">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107">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05">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04">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03">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02">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01">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1"/>
      <w:numFmt w:val="lowerLetter"/>
      <w:lvlText w:val="%3."/>
      <w:lvlJc w:val="left"/>
      <w:pPr>
        <w:ind w:left="3104" w:hanging="317"/>
        <w:jc w:val="left"/>
      </w:pPr>
      <w:rPr>
        <w:rFonts w:hint="default" w:ascii="Arial" w:hAnsi="Arial" w:eastAsia="Arial" w:cs="Arial"/>
        <w:b w:val="0"/>
        <w:bCs w:val="0"/>
        <w:i w:val="0"/>
        <w:iCs w:val="0"/>
        <w:color w:val="231F20"/>
        <w:spacing w:val="0"/>
        <w:w w:val="99"/>
        <w:sz w:val="20"/>
        <w:szCs w:val="20"/>
        <w:lang w:val="en-US" w:eastAsia="en-US" w:bidi="ar-SA"/>
      </w:rPr>
    </w:lvl>
    <w:lvl w:ilvl="3">
      <w:start w:val="0"/>
      <w:numFmt w:val="bullet"/>
      <w:lvlText w:val="•"/>
      <w:lvlJc w:val="left"/>
      <w:pPr>
        <w:ind w:left="3985" w:hanging="317"/>
      </w:pPr>
      <w:rPr>
        <w:rFonts w:hint="default"/>
        <w:lang w:val="en-US" w:eastAsia="en-US" w:bidi="ar-SA"/>
      </w:rPr>
    </w:lvl>
    <w:lvl w:ilvl="4">
      <w:start w:val="0"/>
      <w:numFmt w:val="bullet"/>
      <w:lvlText w:val="•"/>
      <w:lvlJc w:val="left"/>
      <w:pPr>
        <w:ind w:left="4870" w:hanging="317"/>
      </w:pPr>
      <w:rPr>
        <w:rFonts w:hint="default"/>
        <w:lang w:val="en-US" w:eastAsia="en-US" w:bidi="ar-SA"/>
      </w:rPr>
    </w:lvl>
    <w:lvl w:ilvl="5">
      <w:start w:val="0"/>
      <w:numFmt w:val="bullet"/>
      <w:lvlText w:val="•"/>
      <w:lvlJc w:val="left"/>
      <w:pPr>
        <w:ind w:left="5755" w:hanging="317"/>
      </w:pPr>
      <w:rPr>
        <w:rFonts w:hint="default"/>
        <w:lang w:val="en-US" w:eastAsia="en-US" w:bidi="ar-SA"/>
      </w:rPr>
    </w:lvl>
    <w:lvl w:ilvl="6">
      <w:start w:val="0"/>
      <w:numFmt w:val="bullet"/>
      <w:lvlText w:val="•"/>
      <w:lvlJc w:val="left"/>
      <w:pPr>
        <w:ind w:left="6640" w:hanging="317"/>
      </w:pPr>
      <w:rPr>
        <w:rFonts w:hint="default"/>
        <w:lang w:val="en-US" w:eastAsia="en-US" w:bidi="ar-SA"/>
      </w:rPr>
    </w:lvl>
    <w:lvl w:ilvl="7">
      <w:start w:val="0"/>
      <w:numFmt w:val="bullet"/>
      <w:lvlText w:val="•"/>
      <w:lvlJc w:val="left"/>
      <w:pPr>
        <w:ind w:left="7525" w:hanging="317"/>
      </w:pPr>
      <w:rPr>
        <w:rFonts w:hint="default"/>
        <w:lang w:val="en-US" w:eastAsia="en-US" w:bidi="ar-SA"/>
      </w:rPr>
    </w:lvl>
    <w:lvl w:ilvl="8">
      <w:start w:val="0"/>
      <w:numFmt w:val="bullet"/>
      <w:lvlText w:val="•"/>
      <w:lvlJc w:val="left"/>
      <w:pPr>
        <w:ind w:left="8410" w:hanging="317"/>
      </w:pPr>
      <w:rPr>
        <w:rFonts w:hint="default"/>
        <w:lang w:val="en-US" w:eastAsia="en-US" w:bidi="ar-SA"/>
      </w:rPr>
    </w:lvl>
  </w:abstractNum>
  <w:abstractNum w:abstractNumId="100">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99">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97">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96">
    <w:multiLevelType w:val="hybridMultilevel"/>
    <w:lvl w:ilvl="0">
      <w:start w:val="1"/>
      <w:numFmt w:val="decimal"/>
      <w:lvlText w:val="%1."/>
      <w:lvlJc w:val="left"/>
      <w:pPr>
        <w:ind w:left="2899"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215"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220" w:hanging="317"/>
      </w:pPr>
      <w:rPr>
        <w:rFonts w:hint="default"/>
        <w:lang w:val="en-US" w:eastAsia="en-US" w:bidi="ar-SA"/>
      </w:rPr>
    </w:lvl>
    <w:lvl w:ilvl="3">
      <w:start w:val="0"/>
      <w:numFmt w:val="bullet"/>
      <w:lvlText w:val="•"/>
      <w:lvlJc w:val="left"/>
      <w:pPr>
        <w:ind w:left="4090" w:hanging="317"/>
      </w:pPr>
      <w:rPr>
        <w:rFonts w:hint="default"/>
        <w:lang w:val="en-US" w:eastAsia="en-US" w:bidi="ar-SA"/>
      </w:rPr>
    </w:lvl>
    <w:lvl w:ilvl="4">
      <w:start w:val="0"/>
      <w:numFmt w:val="bullet"/>
      <w:lvlText w:val="•"/>
      <w:lvlJc w:val="left"/>
      <w:pPr>
        <w:ind w:left="4960" w:hanging="317"/>
      </w:pPr>
      <w:rPr>
        <w:rFonts w:hint="default"/>
        <w:lang w:val="en-US" w:eastAsia="en-US" w:bidi="ar-SA"/>
      </w:rPr>
    </w:lvl>
    <w:lvl w:ilvl="5">
      <w:start w:val="0"/>
      <w:numFmt w:val="bullet"/>
      <w:lvlText w:val="•"/>
      <w:lvlJc w:val="left"/>
      <w:pPr>
        <w:ind w:left="5830" w:hanging="317"/>
      </w:pPr>
      <w:rPr>
        <w:rFonts w:hint="default"/>
        <w:lang w:val="en-US" w:eastAsia="en-US" w:bidi="ar-SA"/>
      </w:rPr>
    </w:lvl>
    <w:lvl w:ilvl="6">
      <w:start w:val="0"/>
      <w:numFmt w:val="bullet"/>
      <w:lvlText w:val="•"/>
      <w:lvlJc w:val="left"/>
      <w:pPr>
        <w:ind w:left="6700" w:hanging="317"/>
      </w:pPr>
      <w:rPr>
        <w:rFonts w:hint="default"/>
        <w:lang w:val="en-US" w:eastAsia="en-US" w:bidi="ar-SA"/>
      </w:rPr>
    </w:lvl>
    <w:lvl w:ilvl="7">
      <w:start w:val="0"/>
      <w:numFmt w:val="bullet"/>
      <w:lvlText w:val="•"/>
      <w:lvlJc w:val="left"/>
      <w:pPr>
        <w:ind w:left="7570" w:hanging="317"/>
      </w:pPr>
      <w:rPr>
        <w:rFonts w:hint="default"/>
        <w:lang w:val="en-US" w:eastAsia="en-US" w:bidi="ar-SA"/>
      </w:rPr>
    </w:lvl>
    <w:lvl w:ilvl="8">
      <w:start w:val="0"/>
      <w:numFmt w:val="bullet"/>
      <w:lvlText w:val="•"/>
      <w:lvlJc w:val="left"/>
      <w:pPr>
        <w:ind w:left="8440" w:hanging="317"/>
      </w:pPr>
      <w:rPr>
        <w:rFonts w:hint="default"/>
        <w:lang w:val="en-US" w:eastAsia="en-US" w:bidi="ar-SA"/>
      </w:rPr>
    </w:lvl>
  </w:abstractNum>
  <w:abstractNum w:abstractNumId="9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854" w:hanging="383"/>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83"/>
      </w:pPr>
      <w:rPr>
        <w:rFonts w:hint="default"/>
        <w:lang w:val="en-US" w:eastAsia="en-US" w:bidi="ar-SA"/>
      </w:rPr>
    </w:lvl>
    <w:lvl w:ilvl="3">
      <w:start w:val="0"/>
      <w:numFmt w:val="bullet"/>
      <w:lvlText w:val="•"/>
      <w:lvlJc w:val="left"/>
      <w:pPr>
        <w:ind w:left="4486" w:hanging="383"/>
      </w:pPr>
      <w:rPr>
        <w:rFonts w:hint="default"/>
        <w:lang w:val="en-US" w:eastAsia="en-US" w:bidi="ar-SA"/>
      </w:rPr>
    </w:lvl>
    <w:lvl w:ilvl="4">
      <w:start w:val="0"/>
      <w:numFmt w:val="bullet"/>
      <w:lvlText w:val="•"/>
      <w:lvlJc w:val="left"/>
      <w:pPr>
        <w:ind w:left="5300" w:hanging="383"/>
      </w:pPr>
      <w:rPr>
        <w:rFonts w:hint="default"/>
        <w:lang w:val="en-US" w:eastAsia="en-US" w:bidi="ar-SA"/>
      </w:rPr>
    </w:lvl>
    <w:lvl w:ilvl="5">
      <w:start w:val="0"/>
      <w:numFmt w:val="bullet"/>
      <w:lvlText w:val="•"/>
      <w:lvlJc w:val="left"/>
      <w:pPr>
        <w:ind w:left="6113" w:hanging="383"/>
      </w:pPr>
      <w:rPr>
        <w:rFonts w:hint="default"/>
        <w:lang w:val="en-US" w:eastAsia="en-US" w:bidi="ar-SA"/>
      </w:rPr>
    </w:lvl>
    <w:lvl w:ilvl="6">
      <w:start w:val="0"/>
      <w:numFmt w:val="bullet"/>
      <w:lvlText w:val="•"/>
      <w:lvlJc w:val="left"/>
      <w:pPr>
        <w:ind w:left="6926" w:hanging="383"/>
      </w:pPr>
      <w:rPr>
        <w:rFonts w:hint="default"/>
        <w:lang w:val="en-US" w:eastAsia="en-US" w:bidi="ar-SA"/>
      </w:rPr>
    </w:lvl>
    <w:lvl w:ilvl="7">
      <w:start w:val="0"/>
      <w:numFmt w:val="bullet"/>
      <w:lvlText w:val="•"/>
      <w:lvlJc w:val="left"/>
      <w:pPr>
        <w:ind w:left="7740" w:hanging="383"/>
      </w:pPr>
      <w:rPr>
        <w:rFonts w:hint="default"/>
        <w:lang w:val="en-US" w:eastAsia="en-US" w:bidi="ar-SA"/>
      </w:rPr>
    </w:lvl>
    <w:lvl w:ilvl="8">
      <w:start w:val="0"/>
      <w:numFmt w:val="bullet"/>
      <w:lvlText w:val="•"/>
      <w:lvlJc w:val="left"/>
      <w:pPr>
        <w:ind w:left="8553" w:hanging="383"/>
      </w:pPr>
      <w:rPr>
        <w:rFonts w:hint="default"/>
        <w:lang w:val="en-US" w:eastAsia="en-US" w:bidi="ar-SA"/>
      </w:rPr>
    </w:lvl>
  </w:abstractNum>
  <w:abstractNum w:abstractNumId="94">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93">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92">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10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886" w:hanging="317"/>
      </w:pPr>
      <w:rPr>
        <w:rFonts w:hint="default"/>
        <w:lang w:val="en-US" w:eastAsia="en-US" w:bidi="ar-SA"/>
      </w:rPr>
    </w:lvl>
    <w:lvl w:ilvl="3">
      <w:start w:val="0"/>
      <w:numFmt w:val="bullet"/>
      <w:lvlText w:val="•"/>
      <w:lvlJc w:val="left"/>
      <w:pPr>
        <w:ind w:left="4673" w:hanging="317"/>
      </w:pPr>
      <w:rPr>
        <w:rFonts w:hint="default"/>
        <w:lang w:val="en-US" w:eastAsia="en-US" w:bidi="ar-SA"/>
      </w:rPr>
    </w:lvl>
    <w:lvl w:ilvl="4">
      <w:start w:val="0"/>
      <w:numFmt w:val="bullet"/>
      <w:lvlText w:val="•"/>
      <w:lvlJc w:val="left"/>
      <w:pPr>
        <w:ind w:left="5460" w:hanging="317"/>
      </w:pPr>
      <w:rPr>
        <w:rFonts w:hint="default"/>
        <w:lang w:val="en-US" w:eastAsia="en-US" w:bidi="ar-SA"/>
      </w:rPr>
    </w:lvl>
    <w:lvl w:ilvl="5">
      <w:start w:val="0"/>
      <w:numFmt w:val="bullet"/>
      <w:lvlText w:val="•"/>
      <w:lvlJc w:val="left"/>
      <w:pPr>
        <w:ind w:left="6246" w:hanging="317"/>
      </w:pPr>
      <w:rPr>
        <w:rFonts w:hint="default"/>
        <w:lang w:val="en-US" w:eastAsia="en-US" w:bidi="ar-SA"/>
      </w:rPr>
    </w:lvl>
    <w:lvl w:ilvl="6">
      <w:start w:val="0"/>
      <w:numFmt w:val="bullet"/>
      <w:lvlText w:val="•"/>
      <w:lvlJc w:val="left"/>
      <w:pPr>
        <w:ind w:left="7033" w:hanging="317"/>
      </w:pPr>
      <w:rPr>
        <w:rFonts w:hint="default"/>
        <w:lang w:val="en-US" w:eastAsia="en-US" w:bidi="ar-SA"/>
      </w:rPr>
    </w:lvl>
    <w:lvl w:ilvl="7">
      <w:start w:val="0"/>
      <w:numFmt w:val="bullet"/>
      <w:lvlText w:val="•"/>
      <w:lvlJc w:val="left"/>
      <w:pPr>
        <w:ind w:left="7820" w:hanging="317"/>
      </w:pPr>
      <w:rPr>
        <w:rFonts w:hint="default"/>
        <w:lang w:val="en-US" w:eastAsia="en-US" w:bidi="ar-SA"/>
      </w:rPr>
    </w:lvl>
    <w:lvl w:ilvl="8">
      <w:start w:val="0"/>
      <w:numFmt w:val="bullet"/>
      <w:lvlText w:val="•"/>
      <w:lvlJc w:val="left"/>
      <w:pPr>
        <w:ind w:left="8606" w:hanging="317"/>
      </w:pPr>
      <w:rPr>
        <w:rFonts w:hint="default"/>
        <w:lang w:val="en-US" w:eastAsia="en-US" w:bidi="ar-SA"/>
      </w:rPr>
    </w:lvl>
  </w:abstractNum>
  <w:abstractNum w:abstractNumId="91">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90">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89">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88">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87">
    <w:multiLevelType w:val="hybridMultilevel"/>
    <w:lvl w:ilvl="0">
      <w:start w:val="1"/>
      <w:numFmt w:val="decimal"/>
      <w:lvlText w:val="%1."/>
      <w:lvlJc w:val="left"/>
      <w:pPr>
        <w:ind w:left="2548"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1"/>
      <w:numFmt w:val="lowerLetter"/>
      <w:lvlText w:val="%3."/>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3">
      <w:start w:val="0"/>
      <w:numFmt w:val="bullet"/>
      <w:lvlText w:val="•"/>
      <w:lvlJc w:val="left"/>
      <w:pPr>
        <w:ind w:left="3775" w:hanging="317"/>
      </w:pPr>
      <w:rPr>
        <w:rFonts w:hint="default"/>
        <w:lang w:val="en-US" w:eastAsia="en-US" w:bidi="ar-SA"/>
      </w:rPr>
    </w:lvl>
    <w:lvl w:ilvl="4">
      <w:start w:val="0"/>
      <w:numFmt w:val="bullet"/>
      <w:lvlText w:val="•"/>
      <w:lvlJc w:val="left"/>
      <w:pPr>
        <w:ind w:left="4690" w:hanging="317"/>
      </w:pPr>
      <w:rPr>
        <w:rFonts w:hint="default"/>
        <w:lang w:val="en-US" w:eastAsia="en-US" w:bidi="ar-SA"/>
      </w:rPr>
    </w:lvl>
    <w:lvl w:ilvl="5">
      <w:start w:val="0"/>
      <w:numFmt w:val="bullet"/>
      <w:lvlText w:val="•"/>
      <w:lvlJc w:val="left"/>
      <w:pPr>
        <w:ind w:left="5605" w:hanging="317"/>
      </w:pPr>
      <w:rPr>
        <w:rFonts w:hint="default"/>
        <w:lang w:val="en-US" w:eastAsia="en-US" w:bidi="ar-SA"/>
      </w:rPr>
    </w:lvl>
    <w:lvl w:ilvl="6">
      <w:start w:val="0"/>
      <w:numFmt w:val="bullet"/>
      <w:lvlText w:val="•"/>
      <w:lvlJc w:val="left"/>
      <w:pPr>
        <w:ind w:left="6520" w:hanging="317"/>
      </w:pPr>
      <w:rPr>
        <w:rFonts w:hint="default"/>
        <w:lang w:val="en-US" w:eastAsia="en-US" w:bidi="ar-SA"/>
      </w:rPr>
    </w:lvl>
    <w:lvl w:ilvl="7">
      <w:start w:val="0"/>
      <w:numFmt w:val="bullet"/>
      <w:lvlText w:val="•"/>
      <w:lvlJc w:val="left"/>
      <w:pPr>
        <w:ind w:left="7435" w:hanging="317"/>
      </w:pPr>
      <w:rPr>
        <w:rFonts w:hint="default"/>
        <w:lang w:val="en-US" w:eastAsia="en-US" w:bidi="ar-SA"/>
      </w:rPr>
    </w:lvl>
    <w:lvl w:ilvl="8">
      <w:start w:val="0"/>
      <w:numFmt w:val="bullet"/>
      <w:lvlText w:val="•"/>
      <w:lvlJc w:val="left"/>
      <w:pPr>
        <w:ind w:left="8350" w:hanging="317"/>
      </w:pPr>
      <w:rPr>
        <w:rFonts w:hint="default"/>
        <w:lang w:val="en-US" w:eastAsia="en-US" w:bidi="ar-SA"/>
      </w:rPr>
    </w:lvl>
  </w:abstractNum>
  <w:abstractNum w:abstractNumId="8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73" w:hanging="317"/>
      </w:pPr>
      <w:rPr>
        <w:rFonts w:hint="default"/>
        <w:lang w:val="en-US" w:eastAsia="en-US" w:bidi="ar-SA"/>
      </w:rPr>
    </w:lvl>
    <w:lvl w:ilvl="3">
      <w:start w:val="0"/>
      <w:numFmt w:val="bullet"/>
      <w:lvlText w:val="•"/>
      <w:lvlJc w:val="left"/>
      <w:pPr>
        <w:ind w:left="4486" w:hanging="317"/>
      </w:pPr>
      <w:rPr>
        <w:rFonts w:hint="default"/>
        <w:lang w:val="en-US" w:eastAsia="en-US" w:bidi="ar-SA"/>
      </w:rPr>
    </w:lvl>
    <w:lvl w:ilvl="4">
      <w:start w:val="0"/>
      <w:numFmt w:val="bullet"/>
      <w:lvlText w:val="•"/>
      <w:lvlJc w:val="left"/>
      <w:pPr>
        <w:ind w:left="5300" w:hanging="317"/>
      </w:pPr>
      <w:rPr>
        <w:rFonts w:hint="default"/>
        <w:lang w:val="en-US" w:eastAsia="en-US" w:bidi="ar-SA"/>
      </w:rPr>
    </w:lvl>
    <w:lvl w:ilvl="5">
      <w:start w:val="0"/>
      <w:numFmt w:val="bullet"/>
      <w:lvlText w:val="•"/>
      <w:lvlJc w:val="left"/>
      <w:pPr>
        <w:ind w:left="6113" w:hanging="317"/>
      </w:pPr>
      <w:rPr>
        <w:rFonts w:hint="default"/>
        <w:lang w:val="en-US" w:eastAsia="en-US" w:bidi="ar-SA"/>
      </w:rPr>
    </w:lvl>
    <w:lvl w:ilvl="6">
      <w:start w:val="0"/>
      <w:numFmt w:val="bullet"/>
      <w:lvlText w:val="•"/>
      <w:lvlJc w:val="left"/>
      <w:pPr>
        <w:ind w:left="6926" w:hanging="317"/>
      </w:pPr>
      <w:rPr>
        <w:rFonts w:hint="default"/>
        <w:lang w:val="en-US" w:eastAsia="en-US" w:bidi="ar-SA"/>
      </w:rPr>
    </w:lvl>
    <w:lvl w:ilvl="7">
      <w:start w:val="0"/>
      <w:numFmt w:val="bullet"/>
      <w:lvlText w:val="•"/>
      <w:lvlJc w:val="left"/>
      <w:pPr>
        <w:ind w:left="7740" w:hanging="317"/>
      </w:pPr>
      <w:rPr>
        <w:rFonts w:hint="default"/>
        <w:lang w:val="en-US" w:eastAsia="en-US" w:bidi="ar-SA"/>
      </w:rPr>
    </w:lvl>
    <w:lvl w:ilvl="8">
      <w:start w:val="0"/>
      <w:numFmt w:val="bullet"/>
      <w:lvlText w:val="•"/>
      <w:lvlJc w:val="left"/>
      <w:pPr>
        <w:ind w:left="8553" w:hanging="317"/>
      </w:pPr>
      <w:rPr>
        <w:rFonts w:hint="default"/>
        <w:lang w:val="en-US" w:eastAsia="en-US" w:bidi="ar-SA"/>
      </w:rPr>
    </w:lvl>
  </w:abstractNum>
  <w:abstractNum w:abstractNumId="84">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8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82">
    <w:multiLevelType w:val="hybridMultilevel"/>
    <w:lvl w:ilvl="0">
      <w:start w:val="1"/>
      <w:numFmt w:val="decimal"/>
      <w:lvlText w:val="%1."/>
      <w:lvlJc w:val="left"/>
      <w:pPr>
        <w:ind w:left="2548" w:hanging="317"/>
        <w:jc w:val="left"/>
      </w:pPr>
      <w:rPr>
        <w:rFonts w:hint="default"/>
        <w:spacing w:val="0"/>
        <w:w w:val="99"/>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81">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spacing w:val="0"/>
        <w:w w:val="99"/>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80">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79">
    <w:multiLevelType w:val="hybridMultilevel"/>
    <w:lvl w:ilvl="0">
      <w:start w:val="1"/>
      <w:numFmt w:val="decimal"/>
      <w:lvlText w:val="%1."/>
      <w:lvlJc w:val="left"/>
      <w:pPr>
        <w:ind w:left="2548" w:hanging="317"/>
        <w:jc w:val="left"/>
      </w:pPr>
      <w:rPr>
        <w:rFonts w:hint="default"/>
        <w:spacing w:val="0"/>
        <w:w w:val="99"/>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78">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77">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7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7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73">
    <w:multiLevelType w:val="hybridMultilevel"/>
    <w:lvl w:ilvl="0">
      <w:start w:val="1"/>
      <w:numFmt w:val="decimal"/>
      <w:lvlText w:val="%1."/>
      <w:lvlJc w:val="left"/>
      <w:pPr>
        <w:ind w:left="3506"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4168" w:hanging="317"/>
      </w:pPr>
      <w:rPr>
        <w:rFonts w:hint="default"/>
        <w:lang w:val="en-US" w:eastAsia="en-US" w:bidi="ar-SA"/>
      </w:rPr>
    </w:lvl>
    <w:lvl w:ilvl="2">
      <w:start w:val="0"/>
      <w:numFmt w:val="bullet"/>
      <w:lvlText w:val="•"/>
      <w:lvlJc w:val="left"/>
      <w:pPr>
        <w:ind w:left="4836" w:hanging="317"/>
      </w:pPr>
      <w:rPr>
        <w:rFonts w:hint="default"/>
        <w:lang w:val="en-US" w:eastAsia="en-US" w:bidi="ar-SA"/>
      </w:rPr>
    </w:lvl>
    <w:lvl w:ilvl="3">
      <w:start w:val="0"/>
      <w:numFmt w:val="bullet"/>
      <w:lvlText w:val="•"/>
      <w:lvlJc w:val="left"/>
      <w:pPr>
        <w:ind w:left="5504" w:hanging="317"/>
      </w:pPr>
      <w:rPr>
        <w:rFonts w:hint="default"/>
        <w:lang w:val="en-US" w:eastAsia="en-US" w:bidi="ar-SA"/>
      </w:rPr>
    </w:lvl>
    <w:lvl w:ilvl="4">
      <w:start w:val="0"/>
      <w:numFmt w:val="bullet"/>
      <w:lvlText w:val="•"/>
      <w:lvlJc w:val="left"/>
      <w:pPr>
        <w:ind w:left="6172" w:hanging="317"/>
      </w:pPr>
      <w:rPr>
        <w:rFonts w:hint="default"/>
        <w:lang w:val="en-US" w:eastAsia="en-US" w:bidi="ar-SA"/>
      </w:rPr>
    </w:lvl>
    <w:lvl w:ilvl="5">
      <w:start w:val="0"/>
      <w:numFmt w:val="bullet"/>
      <w:lvlText w:val="•"/>
      <w:lvlJc w:val="left"/>
      <w:pPr>
        <w:ind w:left="6840" w:hanging="317"/>
      </w:pPr>
      <w:rPr>
        <w:rFonts w:hint="default"/>
        <w:lang w:val="en-US" w:eastAsia="en-US" w:bidi="ar-SA"/>
      </w:rPr>
    </w:lvl>
    <w:lvl w:ilvl="6">
      <w:start w:val="0"/>
      <w:numFmt w:val="bullet"/>
      <w:lvlText w:val="•"/>
      <w:lvlJc w:val="left"/>
      <w:pPr>
        <w:ind w:left="7508" w:hanging="317"/>
      </w:pPr>
      <w:rPr>
        <w:rFonts w:hint="default"/>
        <w:lang w:val="en-US" w:eastAsia="en-US" w:bidi="ar-SA"/>
      </w:rPr>
    </w:lvl>
    <w:lvl w:ilvl="7">
      <w:start w:val="0"/>
      <w:numFmt w:val="bullet"/>
      <w:lvlText w:val="•"/>
      <w:lvlJc w:val="left"/>
      <w:pPr>
        <w:ind w:left="8176" w:hanging="317"/>
      </w:pPr>
      <w:rPr>
        <w:rFonts w:hint="default"/>
        <w:lang w:val="en-US" w:eastAsia="en-US" w:bidi="ar-SA"/>
      </w:rPr>
    </w:lvl>
    <w:lvl w:ilvl="8">
      <w:start w:val="0"/>
      <w:numFmt w:val="bullet"/>
      <w:lvlText w:val="•"/>
      <w:lvlJc w:val="left"/>
      <w:pPr>
        <w:ind w:left="8844" w:hanging="317"/>
      </w:pPr>
      <w:rPr>
        <w:rFonts w:hint="default"/>
        <w:lang w:val="en-US" w:eastAsia="en-US" w:bidi="ar-SA"/>
      </w:rPr>
    </w:lvl>
  </w:abstractNum>
  <w:abstractNum w:abstractNumId="71">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68">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67">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286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100" w:hanging="317"/>
      </w:pPr>
      <w:rPr>
        <w:rFonts w:hint="default"/>
        <w:lang w:val="en-US" w:eastAsia="en-US" w:bidi="ar-SA"/>
      </w:rPr>
    </w:lvl>
    <w:lvl w:ilvl="3">
      <w:start w:val="0"/>
      <w:numFmt w:val="bullet"/>
      <w:lvlText w:val="•"/>
      <w:lvlJc w:val="left"/>
      <w:pPr>
        <w:ind w:left="3985" w:hanging="317"/>
      </w:pPr>
      <w:rPr>
        <w:rFonts w:hint="default"/>
        <w:lang w:val="en-US" w:eastAsia="en-US" w:bidi="ar-SA"/>
      </w:rPr>
    </w:lvl>
    <w:lvl w:ilvl="4">
      <w:start w:val="0"/>
      <w:numFmt w:val="bullet"/>
      <w:lvlText w:val="•"/>
      <w:lvlJc w:val="left"/>
      <w:pPr>
        <w:ind w:left="4870" w:hanging="317"/>
      </w:pPr>
      <w:rPr>
        <w:rFonts w:hint="default"/>
        <w:lang w:val="en-US" w:eastAsia="en-US" w:bidi="ar-SA"/>
      </w:rPr>
    </w:lvl>
    <w:lvl w:ilvl="5">
      <w:start w:val="0"/>
      <w:numFmt w:val="bullet"/>
      <w:lvlText w:val="•"/>
      <w:lvlJc w:val="left"/>
      <w:pPr>
        <w:ind w:left="5755" w:hanging="317"/>
      </w:pPr>
      <w:rPr>
        <w:rFonts w:hint="default"/>
        <w:lang w:val="en-US" w:eastAsia="en-US" w:bidi="ar-SA"/>
      </w:rPr>
    </w:lvl>
    <w:lvl w:ilvl="6">
      <w:start w:val="0"/>
      <w:numFmt w:val="bullet"/>
      <w:lvlText w:val="•"/>
      <w:lvlJc w:val="left"/>
      <w:pPr>
        <w:ind w:left="6640" w:hanging="317"/>
      </w:pPr>
      <w:rPr>
        <w:rFonts w:hint="default"/>
        <w:lang w:val="en-US" w:eastAsia="en-US" w:bidi="ar-SA"/>
      </w:rPr>
    </w:lvl>
    <w:lvl w:ilvl="7">
      <w:start w:val="0"/>
      <w:numFmt w:val="bullet"/>
      <w:lvlText w:val="•"/>
      <w:lvlJc w:val="left"/>
      <w:pPr>
        <w:ind w:left="7525" w:hanging="317"/>
      </w:pPr>
      <w:rPr>
        <w:rFonts w:hint="default"/>
        <w:lang w:val="en-US" w:eastAsia="en-US" w:bidi="ar-SA"/>
      </w:rPr>
    </w:lvl>
    <w:lvl w:ilvl="8">
      <w:start w:val="0"/>
      <w:numFmt w:val="bullet"/>
      <w:lvlText w:val="•"/>
      <w:lvlJc w:val="left"/>
      <w:pPr>
        <w:ind w:left="8410" w:hanging="317"/>
      </w:pPr>
      <w:rPr>
        <w:rFonts w:hint="default"/>
        <w:lang w:val="en-US" w:eastAsia="en-US" w:bidi="ar-SA"/>
      </w:rPr>
    </w:lvl>
  </w:abstractNum>
  <w:abstractNum w:abstractNumId="6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6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6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63">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59">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58">
    <w:multiLevelType w:val="hybridMultilevel"/>
    <w:lvl w:ilvl="0">
      <w:start w:val="1"/>
      <w:numFmt w:val="decimal"/>
      <w:lvlText w:val="%1."/>
      <w:lvlJc w:val="left"/>
      <w:pPr>
        <w:ind w:left="2788" w:hanging="317"/>
        <w:jc w:val="left"/>
      </w:pPr>
      <w:rPr>
        <w:rFonts w:hint="default"/>
        <w:spacing w:val="0"/>
        <w:w w:val="99"/>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5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52">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51">
    <w:multiLevelType w:val="hybridMultilevel"/>
    <w:lvl w:ilvl="0">
      <w:start w:val="1"/>
      <w:numFmt w:val="decimal"/>
      <w:lvlText w:val="%1."/>
      <w:lvlJc w:val="left"/>
      <w:pPr>
        <w:ind w:left="2788"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83"/>
      </w:pPr>
      <w:rPr>
        <w:rFonts w:hint="default"/>
        <w:lang w:val="en-US" w:eastAsia="en-US" w:bidi="ar-SA"/>
      </w:rPr>
    </w:lvl>
    <w:lvl w:ilvl="2">
      <w:start w:val="0"/>
      <w:numFmt w:val="bullet"/>
      <w:lvlText w:val="•"/>
      <w:lvlJc w:val="left"/>
      <w:pPr>
        <w:ind w:left="4260" w:hanging="383"/>
      </w:pPr>
      <w:rPr>
        <w:rFonts w:hint="default"/>
        <w:lang w:val="en-US" w:eastAsia="en-US" w:bidi="ar-SA"/>
      </w:rPr>
    </w:lvl>
    <w:lvl w:ilvl="3">
      <w:start w:val="0"/>
      <w:numFmt w:val="bullet"/>
      <w:lvlText w:val="•"/>
      <w:lvlJc w:val="left"/>
      <w:pPr>
        <w:ind w:left="5000" w:hanging="383"/>
      </w:pPr>
      <w:rPr>
        <w:rFonts w:hint="default"/>
        <w:lang w:val="en-US" w:eastAsia="en-US" w:bidi="ar-SA"/>
      </w:rPr>
    </w:lvl>
    <w:lvl w:ilvl="4">
      <w:start w:val="0"/>
      <w:numFmt w:val="bullet"/>
      <w:lvlText w:val="•"/>
      <w:lvlJc w:val="left"/>
      <w:pPr>
        <w:ind w:left="5740" w:hanging="383"/>
      </w:pPr>
      <w:rPr>
        <w:rFonts w:hint="default"/>
        <w:lang w:val="en-US" w:eastAsia="en-US" w:bidi="ar-SA"/>
      </w:rPr>
    </w:lvl>
    <w:lvl w:ilvl="5">
      <w:start w:val="0"/>
      <w:numFmt w:val="bullet"/>
      <w:lvlText w:val="•"/>
      <w:lvlJc w:val="left"/>
      <w:pPr>
        <w:ind w:left="6480" w:hanging="383"/>
      </w:pPr>
      <w:rPr>
        <w:rFonts w:hint="default"/>
        <w:lang w:val="en-US" w:eastAsia="en-US" w:bidi="ar-SA"/>
      </w:rPr>
    </w:lvl>
    <w:lvl w:ilvl="6">
      <w:start w:val="0"/>
      <w:numFmt w:val="bullet"/>
      <w:lvlText w:val="•"/>
      <w:lvlJc w:val="left"/>
      <w:pPr>
        <w:ind w:left="7220" w:hanging="383"/>
      </w:pPr>
      <w:rPr>
        <w:rFonts w:hint="default"/>
        <w:lang w:val="en-US" w:eastAsia="en-US" w:bidi="ar-SA"/>
      </w:rPr>
    </w:lvl>
    <w:lvl w:ilvl="7">
      <w:start w:val="0"/>
      <w:numFmt w:val="bullet"/>
      <w:lvlText w:val="•"/>
      <w:lvlJc w:val="left"/>
      <w:pPr>
        <w:ind w:left="7960" w:hanging="383"/>
      </w:pPr>
      <w:rPr>
        <w:rFonts w:hint="default"/>
        <w:lang w:val="en-US" w:eastAsia="en-US" w:bidi="ar-SA"/>
      </w:rPr>
    </w:lvl>
    <w:lvl w:ilvl="8">
      <w:start w:val="0"/>
      <w:numFmt w:val="bullet"/>
      <w:lvlText w:val="•"/>
      <w:lvlJc w:val="left"/>
      <w:pPr>
        <w:ind w:left="8700" w:hanging="383"/>
      </w:pPr>
      <w:rPr>
        <w:rFonts w:hint="default"/>
        <w:lang w:val="en-US" w:eastAsia="en-US" w:bidi="ar-SA"/>
      </w:rPr>
    </w:lvl>
  </w:abstractNum>
  <w:abstractNum w:abstractNumId="50">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49">
    <w:multiLevelType w:val="hybridMultilevel"/>
    <w:lvl w:ilvl="0">
      <w:start w:val="1"/>
      <w:numFmt w:val="decimal"/>
      <w:lvlText w:val="%1."/>
      <w:lvlJc w:val="left"/>
      <w:pPr>
        <w:ind w:left="2548"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83"/>
      </w:pPr>
      <w:rPr>
        <w:rFonts w:hint="default"/>
        <w:lang w:val="en-US" w:eastAsia="en-US" w:bidi="ar-SA"/>
      </w:rPr>
    </w:lvl>
    <w:lvl w:ilvl="2">
      <w:start w:val="0"/>
      <w:numFmt w:val="bullet"/>
      <w:lvlText w:val="•"/>
      <w:lvlJc w:val="left"/>
      <w:pPr>
        <w:ind w:left="4068" w:hanging="383"/>
      </w:pPr>
      <w:rPr>
        <w:rFonts w:hint="default"/>
        <w:lang w:val="en-US" w:eastAsia="en-US" w:bidi="ar-SA"/>
      </w:rPr>
    </w:lvl>
    <w:lvl w:ilvl="3">
      <w:start w:val="0"/>
      <w:numFmt w:val="bullet"/>
      <w:lvlText w:val="•"/>
      <w:lvlJc w:val="left"/>
      <w:pPr>
        <w:ind w:left="4832" w:hanging="383"/>
      </w:pPr>
      <w:rPr>
        <w:rFonts w:hint="default"/>
        <w:lang w:val="en-US" w:eastAsia="en-US" w:bidi="ar-SA"/>
      </w:rPr>
    </w:lvl>
    <w:lvl w:ilvl="4">
      <w:start w:val="0"/>
      <w:numFmt w:val="bullet"/>
      <w:lvlText w:val="•"/>
      <w:lvlJc w:val="left"/>
      <w:pPr>
        <w:ind w:left="5596" w:hanging="383"/>
      </w:pPr>
      <w:rPr>
        <w:rFonts w:hint="default"/>
        <w:lang w:val="en-US" w:eastAsia="en-US" w:bidi="ar-SA"/>
      </w:rPr>
    </w:lvl>
    <w:lvl w:ilvl="5">
      <w:start w:val="0"/>
      <w:numFmt w:val="bullet"/>
      <w:lvlText w:val="•"/>
      <w:lvlJc w:val="left"/>
      <w:pPr>
        <w:ind w:left="6360" w:hanging="383"/>
      </w:pPr>
      <w:rPr>
        <w:rFonts w:hint="default"/>
        <w:lang w:val="en-US" w:eastAsia="en-US" w:bidi="ar-SA"/>
      </w:rPr>
    </w:lvl>
    <w:lvl w:ilvl="6">
      <w:start w:val="0"/>
      <w:numFmt w:val="bullet"/>
      <w:lvlText w:val="•"/>
      <w:lvlJc w:val="left"/>
      <w:pPr>
        <w:ind w:left="7124" w:hanging="383"/>
      </w:pPr>
      <w:rPr>
        <w:rFonts w:hint="default"/>
        <w:lang w:val="en-US" w:eastAsia="en-US" w:bidi="ar-SA"/>
      </w:rPr>
    </w:lvl>
    <w:lvl w:ilvl="7">
      <w:start w:val="0"/>
      <w:numFmt w:val="bullet"/>
      <w:lvlText w:val="•"/>
      <w:lvlJc w:val="left"/>
      <w:pPr>
        <w:ind w:left="7888" w:hanging="383"/>
      </w:pPr>
      <w:rPr>
        <w:rFonts w:hint="default"/>
        <w:lang w:val="en-US" w:eastAsia="en-US" w:bidi="ar-SA"/>
      </w:rPr>
    </w:lvl>
    <w:lvl w:ilvl="8">
      <w:start w:val="0"/>
      <w:numFmt w:val="bullet"/>
      <w:lvlText w:val="•"/>
      <w:lvlJc w:val="left"/>
      <w:pPr>
        <w:ind w:left="8652" w:hanging="383"/>
      </w:pPr>
      <w:rPr>
        <w:rFonts w:hint="default"/>
        <w:lang w:val="en-US" w:eastAsia="en-US" w:bidi="ar-SA"/>
      </w:rPr>
    </w:lvl>
  </w:abstractNum>
  <w:abstractNum w:abstractNumId="48">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10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886" w:hanging="317"/>
      </w:pPr>
      <w:rPr>
        <w:rFonts w:hint="default"/>
        <w:lang w:val="en-US" w:eastAsia="en-US" w:bidi="ar-SA"/>
      </w:rPr>
    </w:lvl>
    <w:lvl w:ilvl="3">
      <w:start w:val="0"/>
      <w:numFmt w:val="bullet"/>
      <w:lvlText w:val="•"/>
      <w:lvlJc w:val="left"/>
      <w:pPr>
        <w:ind w:left="4673" w:hanging="317"/>
      </w:pPr>
      <w:rPr>
        <w:rFonts w:hint="default"/>
        <w:lang w:val="en-US" w:eastAsia="en-US" w:bidi="ar-SA"/>
      </w:rPr>
    </w:lvl>
    <w:lvl w:ilvl="4">
      <w:start w:val="0"/>
      <w:numFmt w:val="bullet"/>
      <w:lvlText w:val="•"/>
      <w:lvlJc w:val="left"/>
      <w:pPr>
        <w:ind w:left="5460" w:hanging="317"/>
      </w:pPr>
      <w:rPr>
        <w:rFonts w:hint="default"/>
        <w:lang w:val="en-US" w:eastAsia="en-US" w:bidi="ar-SA"/>
      </w:rPr>
    </w:lvl>
    <w:lvl w:ilvl="5">
      <w:start w:val="0"/>
      <w:numFmt w:val="bullet"/>
      <w:lvlText w:val="•"/>
      <w:lvlJc w:val="left"/>
      <w:pPr>
        <w:ind w:left="6246" w:hanging="317"/>
      </w:pPr>
      <w:rPr>
        <w:rFonts w:hint="default"/>
        <w:lang w:val="en-US" w:eastAsia="en-US" w:bidi="ar-SA"/>
      </w:rPr>
    </w:lvl>
    <w:lvl w:ilvl="6">
      <w:start w:val="0"/>
      <w:numFmt w:val="bullet"/>
      <w:lvlText w:val="•"/>
      <w:lvlJc w:val="left"/>
      <w:pPr>
        <w:ind w:left="7033" w:hanging="317"/>
      </w:pPr>
      <w:rPr>
        <w:rFonts w:hint="default"/>
        <w:lang w:val="en-US" w:eastAsia="en-US" w:bidi="ar-SA"/>
      </w:rPr>
    </w:lvl>
    <w:lvl w:ilvl="7">
      <w:start w:val="0"/>
      <w:numFmt w:val="bullet"/>
      <w:lvlText w:val="•"/>
      <w:lvlJc w:val="left"/>
      <w:pPr>
        <w:ind w:left="7820" w:hanging="317"/>
      </w:pPr>
      <w:rPr>
        <w:rFonts w:hint="default"/>
        <w:lang w:val="en-US" w:eastAsia="en-US" w:bidi="ar-SA"/>
      </w:rPr>
    </w:lvl>
    <w:lvl w:ilvl="8">
      <w:start w:val="0"/>
      <w:numFmt w:val="bullet"/>
      <w:lvlText w:val="•"/>
      <w:lvlJc w:val="left"/>
      <w:pPr>
        <w:ind w:left="8606" w:hanging="317"/>
      </w:pPr>
      <w:rPr>
        <w:rFonts w:hint="default"/>
        <w:lang w:val="en-US" w:eastAsia="en-US" w:bidi="ar-SA"/>
      </w:rPr>
    </w:lvl>
  </w:abstractNum>
  <w:abstractNum w:abstractNumId="47">
    <w:multiLevelType w:val="hybridMultilevel"/>
    <w:lvl w:ilvl="0">
      <w:start w:val="1"/>
      <w:numFmt w:val="decimal"/>
      <w:lvlText w:val="%1."/>
      <w:lvlJc w:val="left"/>
      <w:pPr>
        <w:ind w:left="417"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1182" w:hanging="317"/>
      </w:pPr>
      <w:rPr>
        <w:rFonts w:hint="default"/>
        <w:lang w:val="en-US" w:eastAsia="en-US" w:bidi="ar-SA"/>
      </w:rPr>
    </w:lvl>
    <w:lvl w:ilvl="2">
      <w:start w:val="0"/>
      <w:numFmt w:val="bullet"/>
      <w:lvlText w:val="•"/>
      <w:lvlJc w:val="left"/>
      <w:pPr>
        <w:ind w:left="1945" w:hanging="317"/>
      </w:pPr>
      <w:rPr>
        <w:rFonts w:hint="default"/>
        <w:lang w:val="en-US" w:eastAsia="en-US" w:bidi="ar-SA"/>
      </w:rPr>
    </w:lvl>
    <w:lvl w:ilvl="3">
      <w:start w:val="0"/>
      <w:numFmt w:val="bullet"/>
      <w:lvlText w:val="•"/>
      <w:lvlJc w:val="left"/>
      <w:pPr>
        <w:ind w:left="2708" w:hanging="317"/>
      </w:pPr>
      <w:rPr>
        <w:rFonts w:hint="default"/>
        <w:lang w:val="en-US" w:eastAsia="en-US" w:bidi="ar-SA"/>
      </w:rPr>
    </w:lvl>
    <w:lvl w:ilvl="4">
      <w:start w:val="0"/>
      <w:numFmt w:val="bullet"/>
      <w:lvlText w:val="•"/>
      <w:lvlJc w:val="left"/>
      <w:pPr>
        <w:ind w:left="3471" w:hanging="317"/>
      </w:pPr>
      <w:rPr>
        <w:rFonts w:hint="default"/>
        <w:lang w:val="en-US" w:eastAsia="en-US" w:bidi="ar-SA"/>
      </w:rPr>
    </w:lvl>
    <w:lvl w:ilvl="5">
      <w:start w:val="0"/>
      <w:numFmt w:val="bullet"/>
      <w:lvlText w:val="•"/>
      <w:lvlJc w:val="left"/>
      <w:pPr>
        <w:ind w:left="4234" w:hanging="317"/>
      </w:pPr>
      <w:rPr>
        <w:rFonts w:hint="default"/>
        <w:lang w:val="en-US" w:eastAsia="en-US" w:bidi="ar-SA"/>
      </w:rPr>
    </w:lvl>
    <w:lvl w:ilvl="6">
      <w:start w:val="0"/>
      <w:numFmt w:val="bullet"/>
      <w:lvlText w:val="•"/>
      <w:lvlJc w:val="left"/>
      <w:pPr>
        <w:ind w:left="4997" w:hanging="317"/>
      </w:pPr>
      <w:rPr>
        <w:rFonts w:hint="default"/>
        <w:lang w:val="en-US" w:eastAsia="en-US" w:bidi="ar-SA"/>
      </w:rPr>
    </w:lvl>
    <w:lvl w:ilvl="7">
      <w:start w:val="0"/>
      <w:numFmt w:val="bullet"/>
      <w:lvlText w:val="•"/>
      <w:lvlJc w:val="left"/>
      <w:pPr>
        <w:ind w:left="5760" w:hanging="317"/>
      </w:pPr>
      <w:rPr>
        <w:rFonts w:hint="default"/>
        <w:lang w:val="en-US" w:eastAsia="en-US" w:bidi="ar-SA"/>
      </w:rPr>
    </w:lvl>
    <w:lvl w:ilvl="8">
      <w:start w:val="0"/>
      <w:numFmt w:val="bullet"/>
      <w:lvlText w:val="•"/>
      <w:lvlJc w:val="left"/>
      <w:pPr>
        <w:ind w:left="6522" w:hanging="317"/>
      </w:pPr>
      <w:rPr>
        <w:rFonts w:hint="default"/>
        <w:lang w:val="en-US" w:eastAsia="en-US" w:bidi="ar-SA"/>
      </w:rPr>
    </w:lvl>
  </w:abstractNum>
  <w:abstractNum w:abstractNumId="4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45">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659"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4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43">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42">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41">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104" w:hanging="317"/>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100" w:hanging="317"/>
      </w:pPr>
      <w:rPr>
        <w:rFonts w:hint="default"/>
        <w:lang w:val="en-US" w:eastAsia="en-US" w:bidi="ar-SA"/>
      </w:rPr>
    </w:lvl>
    <w:lvl w:ilvl="3">
      <w:start w:val="0"/>
      <w:numFmt w:val="bullet"/>
      <w:lvlText w:val="•"/>
      <w:lvlJc w:val="left"/>
      <w:pPr>
        <w:ind w:left="3985" w:hanging="317"/>
      </w:pPr>
      <w:rPr>
        <w:rFonts w:hint="default"/>
        <w:lang w:val="en-US" w:eastAsia="en-US" w:bidi="ar-SA"/>
      </w:rPr>
    </w:lvl>
    <w:lvl w:ilvl="4">
      <w:start w:val="0"/>
      <w:numFmt w:val="bullet"/>
      <w:lvlText w:val="•"/>
      <w:lvlJc w:val="left"/>
      <w:pPr>
        <w:ind w:left="4870" w:hanging="317"/>
      </w:pPr>
      <w:rPr>
        <w:rFonts w:hint="default"/>
        <w:lang w:val="en-US" w:eastAsia="en-US" w:bidi="ar-SA"/>
      </w:rPr>
    </w:lvl>
    <w:lvl w:ilvl="5">
      <w:start w:val="0"/>
      <w:numFmt w:val="bullet"/>
      <w:lvlText w:val="•"/>
      <w:lvlJc w:val="left"/>
      <w:pPr>
        <w:ind w:left="5755" w:hanging="317"/>
      </w:pPr>
      <w:rPr>
        <w:rFonts w:hint="default"/>
        <w:lang w:val="en-US" w:eastAsia="en-US" w:bidi="ar-SA"/>
      </w:rPr>
    </w:lvl>
    <w:lvl w:ilvl="6">
      <w:start w:val="0"/>
      <w:numFmt w:val="bullet"/>
      <w:lvlText w:val="•"/>
      <w:lvlJc w:val="left"/>
      <w:pPr>
        <w:ind w:left="6640" w:hanging="317"/>
      </w:pPr>
      <w:rPr>
        <w:rFonts w:hint="default"/>
        <w:lang w:val="en-US" w:eastAsia="en-US" w:bidi="ar-SA"/>
      </w:rPr>
    </w:lvl>
    <w:lvl w:ilvl="7">
      <w:start w:val="0"/>
      <w:numFmt w:val="bullet"/>
      <w:lvlText w:val="•"/>
      <w:lvlJc w:val="left"/>
      <w:pPr>
        <w:ind w:left="7525" w:hanging="317"/>
      </w:pPr>
      <w:rPr>
        <w:rFonts w:hint="default"/>
        <w:lang w:val="en-US" w:eastAsia="en-US" w:bidi="ar-SA"/>
      </w:rPr>
    </w:lvl>
    <w:lvl w:ilvl="8">
      <w:start w:val="0"/>
      <w:numFmt w:val="bullet"/>
      <w:lvlText w:val="•"/>
      <w:lvlJc w:val="left"/>
      <w:pPr>
        <w:ind w:left="8410" w:hanging="317"/>
      </w:pPr>
      <w:rPr>
        <w:rFonts w:hint="default"/>
        <w:lang w:val="en-US" w:eastAsia="en-US" w:bidi="ar-SA"/>
      </w:rPr>
    </w:lvl>
  </w:abstractNum>
  <w:abstractNum w:abstractNumId="40">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39">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38">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36">
    <w:multiLevelType w:val="hybridMultilevel"/>
    <w:lvl w:ilvl="0">
      <w:start w:val="1"/>
      <w:numFmt w:val="decimal"/>
      <w:lvlText w:val="%1."/>
      <w:lvlJc w:val="left"/>
      <w:pPr>
        <w:ind w:left="2788"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83"/>
      </w:pPr>
      <w:rPr>
        <w:rFonts w:hint="default"/>
        <w:lang w:val="en-US" w:eastAsia="en-US" w:bidi="ar-SA"/>
      </w:rPr>
    </w:lvl>
    <w:lvl w:ilvl="2">
      <w:start w:val="0"/>
      <w:numFmt w:val="bullet"/>
      <w:lvlText w:val="•"/>
      <w:lvlJc w:val="left"/>
      <w:pPr>
        <w:ind w:left="4260" w:hanging="383"/>
      </w:pPr>
      <w:rPr>
        <w:rFonts w:hint="default"/>
        <w:lang w:val="en-US" w:eastAsia="en-US" w:bidi="ar-SA"/>
      </w:rPr>
    </w:lvl>
    <w:lvl w:ilvl="3">
      <w:start w:val="0"/>
      <w:numFmt w:val="bullet"/>
      <w:lvlText w:val="•"/>
      <w:lvlJc w:val="left"/>
      <w:pPr>
        <w:ind w:left="5000" w:hanging="383"/>
      </w:pPr>
      <w:rPr>
        <w:rFonts w:hint="default"/>
        <w:lang w:val="en-US" w:eastAsia="en-US" w:bidi="ar-SA"/>
      </w:rPr>
    </w:lvl>
    <w:lvl w:ilvl="4">
      <w:start w:val="0"/>
      <w:numFmt w:val="bullet"/>
      <w:lvlText w:val="•"/>
      <w:lvlJc w:val="left"/>
      <w:pPr>
        <w:ind w:left="5740" w:hanging="383"/>
      </w:pPr>
      <w:rPr>
        <w:rFonts w:hint="default"/>
        <w:lang w:val="en-US" w:eastAsia="en-US" w:bidi="ar-SA"/>
      </w:rPr>
    </w:lvl>
    <w:lvl w:ilvl="5">
      <w:start w:val="0"/>
      <w:numFmt w:val="bullet"/>
      <w:lvlText w:val="•"/>
      <w:lvlJc w:val="left"/>
      <w:pPr>
        <w:ind w:left="6480" w:hanging="383"/>
      </w:pPr>
      <w:rPr>
        <w:rFonts w:hint="default"/>
        <w:lang w:val="en-US" w:eastAsia="en-US" w:bidi="ar-SA"/>
      </w:rPr>
    </w:lvl>
    <w:lvl w:ilvl="6">
      <w:start w:val="0"/>
      <w:numFmt w:val="bullet"/>
      <w:lvlText w:val="•"/>
      <w:lvlJc w:val="left"/>
      <w:pPr>
        <w:ind w:left="7220" w:hanging="383"/>
      </w:pPr>
      <w:rPr>
        <w:rFonts w:hint="default"/>
        <w:lang w:val="en-US" w:eastAsia="en-US" w:bidi="ar-SA"/>
      </w:rPr>
    </w:lvl>
    <w:lvl w:ilvl="7">
      <w:start w:val="0"/>
      <w:numFmt w:val="bullet"/>
      <w:lvlText w:val="•"/>
      <w:lvlJc w:val="left"/>
      <w:pPr>
        <w:ind w:left="7960" w:hanging="383"/>
      </w:pPr>
      <w:rPr>
        <w:rFonts w:hint="default"/>
        <w:lang w:val="en-US" w:eastAsia="en-US" w:bidi="ar-SA"/>
      </w:rPr>
    </w:lvl>
    <w:lvl w:ilvl="8">
      <w:start w:val="0"/>
      <w:numFmt w:val="bullet"/>
      <w:lvlText w:val="•"/>
      <w:lvlJc w:val="left"/>
      <w:pPr>
        <w:ind w:left="8700" w:hanging="383"/>
      </w:pPr>
      <w:rPr>
        <w:rFonts w:hint="default"/>
        <w:lang w:val="en-US" w:eastAsia="en-US" w:bidi="ar-SA"/>
      </w:rPr>
    </w:lvl>
  </w:abstractNum>
  <w:abstractNum w:abstractNumId="35">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3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33">
    <w:multiLevelType w:val="hybridMultilevel"/>
    <w:lvl w:ilvl="0">
      <w:start w:val="1"/>
      <w:numFmt w:val="decimal"/>
      <w:lvlText w:val="%1."/>
      <w:lvlJc w:val="left"/>
      <w:pPr>
        <w:ind w:left="2615" w:hanging="383"/>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76" w:hanging="383"/>
      </w:pPr>
      <w:rPr>
        <w:rFonts w:hint="default"/>
        <w:lang w:val="en-US" w:eastAsia="en-US" w:bidi="ar-SA"/>
      </w:rPr>
    </w:lvl>
    <w:lvl w:ilvl="2">
      <w:start w:val="0"/>
      <w:numFmt w:val="bullet"/>
      <w:lvlText w:val="•"/>
      <w:lvlJc w:val="left"/>
      <w:pPr>
        <w:ind w:left="4132" w:hanging="383"/>
      </w:pPr>
      <w:rPr>
        <w:rFonts w:hint="default"/>
        <w:lang w:val="en-US" w:eastAsia="en-US" w:bidi="ar-SA"/>
      </w:rPr>
    </w:lvl>
    <w:lvl w:ilvl="3">
      <w:start w:val="0"/>
      <w:numFmt w:val="bullet"/>
      <w:lvlText w:val="•"/>
      <w:lvlJc w:val="left"/>
      <w:pPr>
        <w:ind w:left="4888" w:hanging="383"/>
      </w:pPr>
      <w:rPr>
        <w:rFonts w:hint="default"/>
        <w:lang w:val="en-US" w:eastAsia="en-US" w:bidi="ar-SA"/>
      </w:rPr>
    </w:lvl>
    <w:lvl w:ilvl="4">
      <w:start w:val="0"/>
      <w:numFmt w:val="bullet"/>
      <w:lvlText w:val="•"/>
      <w:lvlJc w:val="left"/>
      <w:pPr>
        <w:ind w:left="5644" w:hanging="383"/>
      </w:pPr>
      <w:rPr>
        <w:rFonts w:hint="default"/>
        <w:lang w:val="en-US" w:eastAsia="en-US" w:bidi="ar-SA"/>
      </w:rPr>
    </w:lvl>
    <w:lvl w:ilvl="5">
      <w:start w:val="0"/>
      <w:numFmt w:val="bullet"/>
      <w:lvlText w:val="•"/>
      <w:lvlJc w:val="left"/>
      <w:pPr>
        <w:ind w:left="6400" w:hanging="383"/>
      </w:pPr>
      <w:rPr>
        <w:rFonts w:hint="default"/>
        <w:lang w:val="en-US" w:eastAsia="en-US" w:bidi="ar-SA"/>
      </w:rPr>
    </w:lvl>
    <w:lvl w:ilvl="6">
      <w:start w:val="0"/>
      <w:numFmt w:val="bullet"/>
      <w:lvlText w:val="•"/>
      <w:lvlJc w:val="left"/>
      <w:pPr>
        <w:ind w:left="7156" w:hanging="383"/>
      </w:pPr>
      <w:rPr>
        <w:rFonts w:hint="default"/>
        <w:lang w:val="en-US" w:eastAsia="en-US" w:bidi="ar-SA"/>
      </w:rPr>
    </w:lvl>
    <w:lvl w:ilvl="7">
      <w:start w:val="0"/>
      <w:numFmt w:val="bullet"/>
      <w:lvlText w:val="•"/>
      <w:lvlJc w:val="left"/>
      <w:pPr>
        <w:ind w:left="7912" w:hanging="383"/>
      </w:pPr>
      <w:rPr>
        <w:rFonts w:hint="default"/>
        <w:lang w:val="en-US" w:eastAsia="en-US" w:bidi="ar-SA"/>
      </w:rPr>
    </w:lvl>
    <w:lvl w:ilvl="8">
      <w:start w:val="0"/>
      <w:numFmt w:val="bullet"/>
      <w:lvlText w:val="•"/>
      <w:lvlJc w:val="left"/>
      <w:pPr>
        <w:ind w:left="8668" w:hanging="383"/>
      </w:pPr>
      <w:rPr>
        <w:rFonts w:hint="default"/>
        <w:lang w:val="en-US" w:eastAsia="en-US" w:bidi="ar-SA"/>
      </w:rPr>
    </w:lvl>
  </w:abstractNum>
  <w:abstractNum w:abstractNumId="32">
    <w:multiLevelType w:val="hybridMultilevel"/>
    <w:lvl w:ilvl="0">
      <w:start w:val="1"/>
      <w:numFmt w:val="decimal"/>
      <w:lvlText w:val="%1."/>
      <w:lvlJc w:val="left"/>
      <w:pPr>
        <w:ind w:left="2615"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76" w:hanging="383"/>
      </w:pPr>
      <w:rPr>
        <w:rFonts w:hint="default"/>
        <w:lang w:val="en-US" w:eastAsia="en-US" w:bidi="ar-SA"/>
      </w:rPr>
    </w:lvl>
    <w:lvl w:ilvl="2">
      <w:start w:val="0"/>
      <w:numFmt w:val="bullet"/>
      <w:lvlText w:val="•"/>
      <w:lvlJc w:val="left"/>
      <w:pPr>
        <w:ind w:left="4132" w:hanging="383"/>
      </w:pPr>
      <w:rPr>
        <w:rFonts w:hint="default"/>
        <w:lang w:val="en-US" w:eastAsia="en-US" w:bidi="ar-SA"/>
      </w:rPr>
    </w:lvl>
    <w:lvl w:ilvl="3">
      <w:start w:val="0"/>
      <w:numFmt w:val="bullet"/>
      <w:lvlText w:val="•"/>
      <w:lvlJc w:val="left"/>
      <w:pPr>
        <w:ind w:left="4888" w:hanging="383"/>
      </w:pPr>
      <w:rPr>
        <w:rFonts w:hint="default"/>
        <w:lang w:val="en-US" w:eastAsia="en-US" w:bidi="ar-SA"/>
      </w:rPr>
    </w:lvl>
    <w:lvl w:ilvl="4">
      <w:start w:val="0"/>
      <w:numFmt w:val="bullet"/>
      <w:lvlText w:val="•"/>
      <w:lvlJc w:val="left"/>
      <w:pPr>
        <w:ind w:left="5644" w:hanging="383"/>
      </w:pPr>
      <w:rPr>
        <w:rFonts w:hint="default"/>
        <w:lang w:val="en-US" w:eastAsia="en-US" w:bidi="ar-SA"/>
      </w:rPr>
    </w:lvl>
    <w:lvl w:ilvl="5">
      <w:start w:val="0"/>
      <w:numFmt w:val="bullet"/>
      <w:lvlText w:val="•"/>
      <w:lvlJc w:val="left"/>
      <w:pPr>
        <w:ind w:left="6400" w:hanging="383"/>
      </w:pPr>
      <w:rPr>
        <w:rFonts w:hint="default"/>
        <w:lang w:val="en-US" w:eastAsia="en-US" w:bidi="ar-SA"/>
      </w:rPr>
    </w:lvl>
    <w:lvl w:ilvl="6">
      <w:start w:val="0"/>
      <w:numFmt w:val="bullet"/>
      <w:lvlText w:val="•"/>
      <w:lvlJc w:val="left"/>
      <w:pPr>
        <w:ind w:left="7156" w:hanging="383"/>
      </w:pPr>
      <w:rPr>
        <w:rFonts w:hint="default"/>
        <w:lang w:val="en-US" w:eastAsia="en-US" w:bidi="ar-SA"/>
      </w:rPr>
    </w:lvl>
    <w:lvl w:ilvl="7">
      <w:start w:val="0"/>
      <w:numFmt w:val="bullet"/>
      <w:lvlText w:val="•"/>
      <w:lvlJc w:val="left"/>
      <w:pPr>
        <w:ind w:left="7912" w:hanging="383"/>
      </w:pPr>
      <w:rPr>
        <w:rFonts w:hint="default"/>
        <w:lang w:val="en-US" w:eastAsia="en-US" w:bidi="ar-SA"/>
      </w:rPr>
    </w:lvl>
    <w:lvl w:ilvl="8">
      <w:start w:val="0"/>
      <w:numFmt w:val="bullet"/>
      <w:lvlText w:val="•"/>
      <w:lvlJc w:val="left"/>
      <w:pPr>
        <w:ind w:left="8668" w:hanging="383"/>
      </w:pPr>
      <w:rPr>
        <w:rFonts w:hint="default"/>
        <w:lang w:val="en-US" w:eastAsia="en-US" w:bidi="ar-SA"/>
      </w:rPr>
    </w:lvl>
  </w:abstractNum>
  <w:abstractNum w:abstractNumId="31">
    <w:multiLevelType w:val="hybridMultilevel"/>
    <w:lvl w:ilvl="0">
      <w:start w:val="1"/>
      <w:numFmt w:val="decimal"/>
      <w:lvlText w:val="%1."/>
      <w:lvlJc w:val="left"/>
      <w:pPr>
        <w:ind w:left="2854"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965" w:hanging="383"/>
        <w:jc w:val="righ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762" w:hanging="383"/>
      </w:pPr>
      <w:rPr>
        <w:rFonts w:hint="default"/>
        <w:lang w:val="en-US" w:eastAsia="en-US" w:bidi="ar-SA"/>
      </w:rPr>
    </w:lvl>
    <w:lvl w:ilvl="3">
      <w:start w:val="0"/>
      <w:numFmt w:val="bullet"/>
      <w:lvlText w:val="•"/>
      <w:lvlJc w:val="left"/>
      <w:pPr>
        <w:ind w:left="4564" w:hanging="383"/>
      </w:pPr>
      <w:rPr>
        <w:rFonts w:hint="default"/>
        <w:lang w:val="en-US" w:eastAsia="en-US" w:bidi="ar-SA"/>
      </w:rPr>
    </w:lvl>
    <w:lvl w:ilvl="4">
      <w:start w:val="0"/>
      <w:numFmt w:val="bullet"/>
      <w:lvlText w:val="•"/>
      <w:lvlJc w:val="left"/>
      <w:pPr>
        <w:ind w:left="5366" w:hanging="383"/>
      </w:pPr>
      <w:rPr>
        <w:rFonts w:hint="default"/>
        <w:lang w:val="en-US" w:eastAsia="en-US" w:bidi="ar-SA"/>
      </w:rPr>
    </w:lvl>
    <w:lvl w:ilvl="5">
      <w:start w:val="0"/>
      <w:numFmt w:val="bullet"/>
      <w:lvlText w:val="•"/>
      <w:lvlJc w:val="left"/>
      <w:pPr>
        <w:ind w:left="6168" w:hanging="383"/>
      </w:pPr>
      <w:rPr>
        <w:rFonts w:hint="default"/>
        <w:lang w:val="en-US" w:eastAsia="en-US" w:bidi="ar-SA"/>
      </w:rPr>
    </w:lvl>
    <w:lvl w:ilvl="6">
      <w:start w:val="0"/>
      <w:numFmt w:val="bullet"/>
      <w:lvlText w:val="•"/>
      <w:lvlJc w:val="left"/>
      <w:pPr>
        <w:ind w:left="6971" w:hanging="383"/>
      </w:pPr>
      <w:rPr>
        <w:rFonts w:hint="default"/>
        <w:lang w:val="en-US" w:eastAsia="en-US" w:bidi="ar-SA"/>
      </w:rPr>
    </w:lvl>
    <w:lvl w:ilvl="7">
      <w:start w:val="0"/>
      <w:numFmt w:val="bullet"/>
      <w:lvlText w:val="•"/>
      <w:lvlJc w:val="left"/>
      <w:pPr>
        <w:ind w:left="7773" w:hanging="383"/>
      </w:pPr>
      <w:rPr>
        <w:rFonts w:hint="default"/>
        <w:lang w:val="en-US" w:eastAsia="en-US" w:bidi="ar-SA"/>
      </w:rPr>
    </w:lvl>
    <w:lvl w:ilvl="8">
      <w:start w:val="0"/>
      <w:numFmt w:val="bullet"/>
      <w:lvlText w:val="•"/>
      <w:lvlJc w:val="left"/>
      <w:pPr>
        <w:ind w:left="8575" w:hanging="383"/>
      </w:pPr>
      <w:rPr>
        <w:rFonts w:hint="default"/>
        <w:lang w:val="en-US" w:eastAsia="en-US" w:bidi="ar-SA"/>
      </w:rPr>
    </w:lvl>
  </w:abstractNum>
  <w:abstractNum w:abstractNumId="30">
    <w:multiLevelType w:val="hybridMultilevel"/>
    <w:lvl w:ilvl="0">
      <w:start w:val="1"/>
      <w:numFmt w:val="decimal"/>
      <w:lvlText w:val="%1."/>
      <w:lvlJc w:val="left"/>
      <w:pPr>
        <w:ind w:left="2854"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92" w:hanging="383"/>
      </w:pPr>
      <w:rPr>
        <w:rFonts w:hint="default"/>
        <w:lang w:val="en-US" w:eastAsia="en-US" w:bidi="ar-SA"/>
      </w:rPr>
    </w:lvl>
    <w:lvl w:ilvl="2">
      <w:start w:val="0"/>
      <w:numFmt w:val="bullet"/>
      <w:lvlText w:val="•"/>
      <w:lvlJc w:val="left"/>
      <w:pPr>
        <w:ind w:left="4324" w:hanging="383"/>
      </w:pPr>
      <w:rPr>
        <w:rFonts w:hint="default"/>
        <w:lang w:val="en-US" w:eastAsia="en-US" w:bidi="ar-SA"/>
      </w:rPr>
    </w:lvl>
    <w:lvl w:ilvl="3">
      <w:start w:val="0"/>
      <w:numFmt w:val="bullet"/>
      <w:lvlText w:val="•"/>
      <w:lvlJc w:val="left"/>
      <w:pPr>
        <w:ind w:left="5056" w:hanging="383"/>
      </w:pPr>
      <w:rPr>
        <w:rFonts w:hint="default"/>
        <w:lang w:val="en-US" w:eastAsia="en-US" w:bidi="ar-SA"/>
      </w:rPr>
    </w:lvl>
    <w:lvl w:ilvl="4">
      <w:start w:val="0"/>
      <w:numFmt w:val="bullet"/>
      <w:lvlText w:val="•"/>
      <w:lvlJc w:val="left"/>
      <w:pPr>
        <w:ind w:left="5788" w:hanging="383"/>
      </w:pPr>
      <w:rPr>
        <w:rFonts w:hint="default"/>
        <w:lang w:val="en-US" w:eastAsia="en-US" w:bidi="ar-SA"/>
      </w:rPr>
    </w:lvl>
    <w:lvl w:ilvl="5">
      <w:start w:val="0"/>
      <w:numFmt w:val="bullet"/>
      <w:lvlText w:val="•"/>
      <w:lvlJc w:val="left"/>
      <w:pPr>
        <w:ind w:left="6520" w:hanging="383"/>
      </w:pPr>
      <w:rPr>
        <w:rFonts w:hint="default"/>
        <w:lang w:val="en-US" w:eastAsia="en-US" w:bidi="ar-SA"/>
      </w:rPr>
    </w:lvl>
    <w:lvl w:ilvl="6">
      <w:start w:val="0"/>
      <w:numFmt w:val="bullet"/>
      <w:lvlText w:val="•"/>
      <w:lvlJc w:val="left"/>
      <w:pPr>
        <w:ind w:left="7252" w:hanging="383"/>
      </w:pPr>
      <w:rPr>
        <w:rFonts w:hint="default"/>
        <w:lang w:val="en-US" w:eastAsia="en-US" w:bidi="ar-SA"/>
      </w:rPr>
    </w:lvl>
    <w:lvl w:ilvl="7">
      <w:start w:val="0"/>
      <w:numFmt w:val="bullet"/>
      <w:lvlText w:val="•"/>
      <w:lvlJc w:val="left"/>
      <w:pPr>
        <w:ind w:left="7984" w:hanging="383"/>
      </w:pPr>
      <w:rPr>
        <w:rFonts w:hint="default"/>
        <w:lang w:val="en-US" w:eastAsia="en-US" w:bidi="ar-SA"/>
      </w:rPr>
    </w:lvl>
    <w:lvl w:ilvl="8">
      <w:start w:val="0"/>
      <w:numFmt w:val="bullet"/>
      <w:lvlText w:val="•"/>
      <w:lvlJc w:val="left"/>
      <w:pPr>
        <w:ind w:left="8716" w:hanging="383"/>
      </w:pPr>
      <w:rPr>
        <w:rFonts w:hint="default"/>
        <w:lang w:val="en-US" w:eastAsia="en-US" w:bidi="ar-SA"/>
      </w:rPr>
    </w:lvl>
  </w:abstractNum>
  <w:abstractNum w:abstractNumId="29">
    <w:multiLevelType w:val="hybridMultilevel"/>
    <w:lvl w:ilvl="0">
      <w:start w:val="1"/>
      <w:numFmt w:val="decimal"/>
      <w:lvlText w:val="%1."/>
      <w:lvlJc w:val="left"/>
      <w:pPr>
        <w:ind w:left="2854" w:hanging="383"/>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92" w:hanging="383"/>
      </w:pPr>
      <w:rPr>
        <w:rFonts w:hint="default"/>
        <w:lang w:val="en-US" w:eastAsia="en-US" w:bidi="ar-SA"/>
      </w:rPr>
    </w:lvl>
    <w:lvl w:ilvl="2">
      <w:start w:val="0"/>
      <w:numFmt w:val="bullet"/>
      <w:lvlText w:val="•"/>
      <w:lvlJc w:val="left"/>
      <w:pPr>
        <w:ind w:left="4324" w:hanging="383"/>
      </w:pPr>
      <w:rPr>
        <w:rFonts w:hint="default"/>
        <w:lang w:val="en-US" w:eastAsia="en-US" w:bidi="ar-SA"/>
      </w:rPr>
    </w:lvl>
    <w:lvl w:ilvl="3">
      <w:start w:val="0"/>
      <w:numFmt w:val="bullet"/>
      <w:lvlText w:val="•"/>
      <w:lvlJc w:val="left"/>
      <w:pPr>
        <w:ind w:left="5056" w:hanging="383"/>
      </w:pPr>
      <w:rPr>
        <w:rFonts w:hint="default"/>
        <w:lang w:val="en-US" w:eastAsia="en-US" w:bidi="ar-SA"/>
      </w:rPr>
    </w:lvl>
    <w:lvl w:ilvl="4">
      <w:start w:val="0"/>
      <w:numFmt w:val="bullet"/>
      <w:lvlText w:val="•"/>
      <w:lvlJc w:val="left"/>
      <w:pPr>
        <w:ind w:left="5788" w:hanging="383"/>
      </w:pPr>
      <w:rPr>
        <w:rFonts w:hint="default"/>
        <w:lang w:val="en-US" w:eastAsia="en-US" w:bidi="ar-SA"/>
      </w:rPr>
    </w:lvl>
    <w:lvl w:ilvl="5">
      <w:start w:val="0"/>
      <w:numFmt w:val="bullet"/>
      <w:lvlText w:val="•"/>
      <w:lvlJc w:val="left"/>
      <w:pPr>
        <w:ind w:left="6520" w:hanging="383"/>
      </w:pPr>
      <w:rPr>
        <w:rFonts w:hint="default"/>
        <w:lang w:val="en-US" w:eastAsia="en-US" w:bidi="ar-SA"/>
      </w:rPr>
    </w:lvl>
    <w:lvl w:ilvl="6">
      <w:start w:val="0"/>
      <w:numFmt w:val="bullet"/>
      <w:lvlText w:val="•"/>
      <w:lvlJc w:val="left"/>
      <w:pPr>
        <w:ind w:left="7252" w:hanging="383"/>
      </w:pPr>
      <w:rPr>
        <w:rFonts w:hint="default"/>
        <w:lang w:val="en-US" w:eastAsia="en-US" w:bidi="ar-SA"/>
      </w:rPr>
    </w:lvl>
    <w:lvl w:ilvl="7">
      <w:start w:val="0"/>
      <w:numFmt w:val="bullet"/>
      <w:lvlText w:val="•"/>
      <w:lvlJc w:val="left"/>
      <w:pPr>
        <w:ind w:left="7984" w:hanging="383"/>
      </w:pPr>
      <w:rPr>
        <w:rFonts w:hint="default"/>
        <w:lang w:val="en-US" w:eastAsia="en-US" w:bidi="ar-SA"/>
      </w:rPr>
    </w:lvl>
    <w:lvl w:ilvl="8">
      <w:start w:val="0"/>
      <w:numFmt w:val="bullet"/>
      <w:lvlText w:val="•"/>
      <w:lvlJc w:val="left"/>
      <w:pPr>
        <w:ind w:left="8716" w:hanging="383"/>
      </w:pPr>
      <w:rPr>
        <w:rFonts w:hint="default"/>
        <w:lang w:val="en-US" w:eastAsia="en-US" w:bidi="ar-SA"/>
      </w:rPr>
    </w:lvl>
  </w:abstractNum>
  <w:abstractNum w:abstractNumId="24">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23">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21">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8">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7">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16">
    <w:multiLevelType w:val="hybridMultilevel"/>
    <w:lvl w:ilvl="0">
      <w:start w:val="1"/>
      <w:numFmt w:val="decimal"/>
      <w:lvlText w:val="%1."/>
      <w:lvlJc w:val="left"/>
      <w:pPr>
        <w:ind w:left="278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5">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abstractNum w:abstractNumId="12">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7">
    <w:multiLevelType w:val="hybridMultilevel"/>
    <w:lvl w:ilvl="0">
      <w:start w:val="1"/>
      <w:numFmt w:val="decimal"/>
      <w:lvlText w:val="%1."/>
      <w:lvlJc w:val="left"/>
      <w:pPr>
        <w:ind w:left="2548" w:hanging="317"/>
        <w:jc w:val="left"/>
      </w:pPr>
      <w:rPr>
        <w:rFonts w:hint="default"/>
        <w:spacing w:val="0"/>
        <w:w w:val="99"/>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6">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5">
    <w:multiLevelType w:val="hybridMultilevel"/>
    <w:lvl w:ilvl="0">
      <w:start w:val="1"/>
      <w:numFmt w:val="decimal"/>
      <w:lvlText w:val="%1."/>
      <w:lvlJc w:val="left"/>
      <w:pPr>
        <w:ind w:left="2548" w:hanging="317"/>
        <w:jc w:val="righ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304" w:hanging="317"/>
      </w:pPr>
      <w:rPr>
        <w:rFonts w:hint="default"/>
        <w:lang w:val="en-US" w:eastAsia="en-US" w:bidi="ar-SA"/>
      </w:rPr>
    </w:lvl>
    <w:lvl w:ilvl="2">
      <w:start w:val="0"/>
      <w:numFmt w:val="bullet"/>
      <w:lvlText w:val="•"/>
      <w:lvlJc w:val="left"/>
      <w:pPr>
        <w:ind w:left="4068" w:hanging="317"/>
      </w:pPr>
      <w:rPr>
        <w:rFonts w:hint="default"/>
        <w:lang w:val="en-US" w:eastAsia="en-US" w:bidi="ar-SA"/>
      </w:rPr>
    </w:lvl>
    <w:lvl w:ilvl="3">
      <w:start w:val="0"/>
      <w:numFmt w:val="bullet"/>
      <w:lvlText w:val="•"/>
      <w:lvlJc w:val="left"/>
      <w:pPr>
        <w:ind w:left="4832" w:hanging="317"/>
      </w:pPr>
      <w:rPr>
        <w:rFonts w:hint="default"/>
        <w:lang w:val="en-US" w:eastAsia="en-US" w:bidi="ar-SA"/>
      </w:rPr>
    </w:lvl>
    <w:lvl w:ilvl="4">
      <w:start w:val="0"/>
      <w:numFmt w:val="bullet"/>
      <w:lvlText w:val="•"/>
      <w:lvlJc w:val="left"/>
      <w:pPr>
        <w:ind w:left="5596" w:hanging="317"/>
      </w:pPr>
      <w:rPr>
        <w:rFonts w:hint="default"/>
        <w:lang w:val="en-US" w:eastAsia="en-US" w:bidi="ar-SA"/>
      </w:rPr>
    </w:lvl>
    <w:lvl w:ilvl="5">
      <w:start w:val="0"/>
      <w:numFmt w:val="bullet"/>
      <w:lvlText w:val="•"/>
      <w:lvlJc w:val="left"/>
      <w:pPr>
        <w:ind w:left="6360" w:hanging="317"/>
      </w:pPr>
      <w:rPr>
        <w:rFonts w:hint="default"/>
        <w:lang w:val="en-US" w:eastAsia="en-US" w:bidi="ar-SA"/>
      </w:rPr>
    </w:lvl>
    <w:lvl w:ilvl="6">
      <w:start w:val="0"/>
      <w:numFmt w:val="bullet"/>
      <w:lvlText w:val="•"/>
      <w:lvlJc w:val="left"/>
      <w:pPr>
        <w:ind w:left="7124" w:hanging="317"/>
      </w:pPr>
      <w:rPr>
        <w:rFonts w:hint="default"/>
        <w:lang w:val="en-US" w:eastAsia="en-US" w:bidi="ar-SA"/>
      </w:rPr>
    </w:lvl>
    <w:lvl w:ilvl="7">
      <w:start w:val="0"/>
      <w:numFmt w:val="bullet"/>
      <w:lvlText w:val="•"/>
      <w:lvlJc w:val="left"/>
      <w:pPr>
        <w:ind w:left="7888" w:hanging="317"/>
      </w:pPr>
      <w:rPr>
        <w:rFonts w:hint="default"/>
        <w:lang w:val="en-US" w:eastAsia="en-US" w:bidi="ar-SA"/>
      </w:rPr>
    </w:lvl>
    <w:lvl w:ilvl="8">
      <w:start w:val="0"/>
      <w:numFmt w:val="bullet"/>
      <w:lvlText w:val="•"/>
      <w:lvlJc w:val="left"/>
      <w:pPr>
        <w:ind w:left="8652" w:hanging="317"/>
      </w:pPr>
      <w:rPr>
        <w:rFonts w:hint="default"/>
        <w:lang w:val="en-US" w:eastAsia="en-US" w:bidi="ar-SA"/>
      </w:rPr>
    </w:lvl>
  </w:abstractNum>
  <w:abstractNum w:abstractNumId="4">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lowerLetter"/>
      <w:lvlText w:val="%2."/>
      <w:lvlJc w:val="left"/>
      <w:pPr>
        <w:ind w:left="3104"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886" w:hanging="317"/>
      </w:pPr>
      <w:rPr>
        <w:rFonts w:hint="default"/>
        <w:lang w:val="en-US" w:eastAsia="en-US" w:bidi="ar-SA"/>
      </w:rPr>
    </w:lvl>
    <w:lvl w:ilvl="3">
      <w:start w:val="0"/>
      <w:numFmt w:val="bullet"/>
      <w:lvlText w:val="•"/>
      <w:lvlJc w:val="left"/>
      <w:pPr>
        <w:ind w:left="4673" w:hanging="317"/>
      </w:pPr>
      <w:rPr>
        <w:rFonts w:hint="default"/>
        <w:lang w:val="en-US" w:eastAsia="en-US" w:bidi="ar-SA"/>
      </w:rPr>
    </w:lvl>
    <w:lvl w:ilvl="4">
      <w:start w:val="0"/>
      <w:numFmt w:val="bullet"/>
      <w:lvlText w:val="•"/>
      <w:lvlJc w:val="left"/>
      <w:pPr>
        <w:ind w:left="5460" w:hanging="317"/>
      </w:pPr>
      <w:rPr>
        <w:rFonts w:hint="default"/>
        <w:lang w:val="en-US" w:eastAsia="en-US" w:bidi="ar-SA"/>
      </w:rPr>
    </w:lvl>
    <w:lvl w:ilvl="5">
      <w:start w:val="0"/>
      <w:numFmt w:val="bullet"/>
      <w:lvlText w:val="•"/>
      <w:lvlJc w:val="left"/>
      <w:pPr>
        <w:ind w:left="6246" w:hanging="317"/>
      </w:pPr>
      <w:rPr>
        <w:rFonts w:hint="default"/>
        <w:lang w:val="en-US" w:eastAsia="en-US" w:bidi="ar-SA"/>
      </w:rPr>
    </w:lvl>
    <w:lvl w:ilvl="6">
      <w:start w:val="0"/>
      <w:numFmt w:val="bullet"/>
      <w:lvlText w:val="•"/>
      <w:lvlJc w:val="left"/>
      <w:pPr>
        <w:ind w:left="7033" w:hanging="317"/>
      </w:pPr>
      <w:rPr>
        <w:rFonts w:hint="default"/>
        <w:lang w:val="en-US" w:eastAsia="en-US" w:bidi="ar-SA"/>
      </w:rPr>
    </w:lvl>
    <w:lvl w:ilvl="7">
      <w:start w:val="0"/>
      <w:numFmt w:val="bullet"/>
      <w:lvlText w:val="•"/>
      <w:lvlJc w:val="left"/>
      <w:pPr>
        <w:ind w:left="7820" w:hanging="317"/>
      </w:pPr>
      <w:rPr>
        <w:rFonts w:hint="default"/>
        <w:lang w:val="en-US" w:eastAsia="en-US" w:bidi="ar-SA"/>
      </w:rPr>
    </w:lvl>
    <w:lvl w:ilvl="8">
      <w:start w:val="0"/>
      <w:numFmt w:val="bullet"/>
      <w:lvlText w:val="•"/>
      <w:lvlJc w:val="left"/>
      <w:pPr>
        <w:ind w:left="8606" w:hanging="317"/>
      </w:pPr>
      <w:rPr>
        <w:rFonts w:hint="default"/>
        <w:lang w:val="en-US" w:eastAsia="en-US" w:bidi="ar-SA"/>
      </w:rPr>
    </w:lvl>
  </w:abstractNum>
  <w:abstractNum w:abstractNumId="3">
    <w:multiLevelType w:val="hybridMultilevel"/>
    <w:lvl w:ilvl="0">
      <w:start w:val="1"/>
      <w:numFmt w:val="decimal"/>
      <w:lvlText w:val="%1."/>
      <w:lvlJc w:val="left"/>
      <w:pPr>
        <w:ind w:left="254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1"/>
      <w:numFmt w:val="decimal"/>
      <w:lvlText w:val="%2."/>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2">
      <w:start w:val="0"/>
      <w:numFmt w:val="bullet"/>
      <w:lvlText w:val="•"/>
      <w:lvlJc w:val="left"/>
      <w:pPr>
        <w:ind w:left="3602" w:hanging="317"/>
      </w:pPr>
      <w:rPr>
        <w:rFonts w:hint="default"/>
        <w:lang w:val="en-US" w:eastAsia="en-US" w:bidi="ar-SA"/>
      </w:rPr>
    </w:lvl>
    <w:lvl w:ilvl="3">
      <w:start w:val="0"/>
      <w:numFmt w:val="bullet"/>
      <w:lvlText w:val="•"/>
      <w:lvlJc w:val="left"/>
      <w:pPr>
        <w:ind w:left="4424" w:hanging="317"/>
      </w:pPr>
      <w:rPr>
        <w:rFonts w:hint="default"/>
        <w:lang w:val="en-US" w:eastAsia="en-US" w:bidi="ar-SA"/>
      </w:rPr>
    </w:lvl>
    <w:lvl w:ilvl="4">
      <w:start w:val="0"/>
      <w:numFmt w:val="bullet"/>
      <w:lvlText w:val="•"/>
      <w:lvlJc w:val="left"/>
      <w:pPr>
        <w:ind w:left="5246" w:hanging="317"/>
      </w:pPr>
      <w:rPr>
        <w:rFonts w:hint="default"/>
        <w:lang w:val="en-US" w:eastAsia="en-US" w:bidi="ar-SA"/>
      </w:rPr>
    </w:lvl>
    <w:lvl w:ilvl="5">
      <w:start w:val="0"/>
      <w:numFmt w:val="bullet"/>
      <w:lvlText w:val="•"/>
      <w:lvlJc w:val="left"/>
      <w:pPr>
        <w:ind w:left="6068" w:hanging="317"/>
      </w:pPr>
      <w:rPr>
        <w:rFonts w:hint="default"/>
        <w:lang w:val="en-US" w:eastAsia="en-US" w:bidi="ar-SA"/>
      </w:rPr>
    </w:lvl>
    <w:lvl w:ilvl="6">
      <w:start w:val="0"/>
      <w:numFmt w:val="bullet"/>
      <w:lvlText w:val="•"/>
      <w:lvlJc w:val="left"/>
      <w:pPr>
        <w:ind w:left="6891" w:hanging="317"/>
      </w:pPr>
      <w:rPr>
        <w:rFonts w:hint="default"/>
        <w:lang w:val="en-US" w:eastAsia="en-US" w:bidi="ar-SA"/>
      </w:rPr>
    </w:lvl>
    <w:lvl w:ilvl="7">
      <w:start w:val="0"/>
      <w:numFmt w:val="bullet"/>
      <w:lvlText w:val="•"/>
      <w:lvlJc w:val="left"/>
      <w:pPr>
        <w:ind w:left="7713" w:hanging="317"/>
      </w:pPr>
      <w:rPr>
        <w:rFonts w:hint="default"/>
        <w:lang w:val="en-US" w:eastAsia="en-US" w:bidi="ar-SA"/>
      </w:rPr>
    </w:lvl>
    <w:lvl w:ilvl="8">
      <w:start w:val="0"/>
      <w:numFmt w:val="bullet"/>
      <w:lvlText w:val="•"/>
      <w:lvlJc w:val="left"/>
      <w:pPr>
        <w:ind w:left="8535" w:hanging="317"/>
      </w:pPr>
      <w:rPr>
        <w:rFonts w:hint="default"/>
        <w:lang w:val="en-US" w:eastAsia="en-US" w:bidi="ar-SA"/>
      </w:rPr>
    </w:lvl>
  </w:abstractNum>
  <w:abstractNum w:abstractNumId="2">
    <w:multiLevelType w:val="hybridMultilevel"/>
    <w:lvl w:ilvl="0">
      <w:start w:val="1"/>
      <w:numFmt w:val="decimal"/>
      <w:lvlText w:val="%1."/>
      <w:lvlJc w:val="left"/>
      <w:pPr>
        <w:ind w:left="2788" w:hanging="317"/>
        <w:jc w:val="left"/>
      </w:pPr>
      <w:rPr>
        <w:rFonts w:hint="default" w:ascii="Arial" w:hAnsi="Arial" w:eastAsia="Arial" w:cs="Arial"/>
        <w:b w:val="0"/>
        <w:bCs w:val="0"/>
        <w:i w:val="0"/>
        <w:iCs w:val="0"/>
        <w:color w:val="231F20"/>
        <w:spacing w:val="0"/>
        <w:w w:val="99"/>
        <w:sz w:val="20"/>
        <w:szCs w:val="20"/>
        <w:lang w:val="en-US" w:eastAsia="en-US" w:bidi="ar-SA"/>
      </w:rPr>
    </w:lvl>
    <w:lvl w:ilvl="1">
      <w:start w:val="0"/>
      <w:numFmt w:val="bullet"/>
      <w:lvlText w:val="•"/>
      <w:lvlJc w:val="left"/>
      <w:pPr>
        <w:ind w:left="3520" w:hanging="317"/>
      </w:pPr>
      <w:rPr>
        <w:rFonts w:hint="default"/>
        <w:lang w:val="en-US" w:eastAsia="en-US" w:bidi="ar-SA"/>
      </w:rPr>
    </w:lvl>
    <w:lvl w:ilvl="2">
      <w:start w:val="0"/>
      <w:numFmt w:val="bullet"/>
      <w:lvlText w:val="•"/>
      <w:lvlJc w:val="left"/>
      <w:pPr>
        <w:ind w:left="4260" w:hanging="317"/>
      </w:pPr>
      <w:rPr>
        <w:rFonts w:hint="default"/>
        <w:lang w:val="en-US" w:eastAsia="en-US" w:bidi="ar-SA"/>
      </w:rPr>
    </w:lvl>
    <w:lvl w:ilvl="3">
      <w:start w:val="0"/>
      <w:numFmt w:val="bullet"/>
      <w:lvlText w:val="•"/>
      <w:lvlJc w:val="left"/>
      <w:pPr>
        <w:ind w:left="5000" w:hanging="317"/>
      </w:pPr>
      <w:rPr>
        <w:rFonts w:hint="default"/>
        <w:lang w:val="en-US" w:eastAsia="en-US" w:bidi="ar-SA"/>
      </w:rPr>
    </w:lvl>
    <w:lvl w:ilvl="4">
      <w:start w:val="0"/>
      <w:numFmt w:val="bullet"/>
      <w:lvlText w:val="•"/>
      <w:lvlJc w:val="left"/>
      <w:pPr>
        <w:ind w:left="5740" w:hanging="317"/>
      </w:pPr>
      <w:rPr>
        <w:rFonts w:hint="default"/>
        <w:lang w:val="en-US" w:eastAsia="en-US" w:bidi="ar-SA"/>
      </w:rPr>
    </w:lvl>
    <w:lvl w:ilvl="5">
      <w:start w:val="0"/>
      <w:numFmt w:val="bullet"/>
      <w:lvlText w:val="•"/>
      <w:lvlJc w:val="left"/>
      <w:pPr>
        <w:ind w:left="6480" w:hanging="317"/>
      </w:pPr>
      <w:rPr>
        <w:rFonts w:hint="default"/>
        <w:lang w:val="en-US" w:eastAsia="en-US" w:bidi="ar-SA"/>
      </w:rPr>
    </w:lvl>
    <w:lvl w:ilvl="6">
      <w:start w:val="0"/>
      <w:numFmt w:val="bullet"/>
      <w:lvlText w:val="•"/>
      <w:lvlJc w:val="left"/>
      <w:pPr>
        <w:ind w:left="7220" w:hanging="317"/>
      </w:pPr>
      <w:rPr>
        <w:rFonts w:hint="default"/>
        <w:lang w:val="en-US" w:eastAsia="en-US" w:bidi="ar-SA"/>
      </w:rPr>
    </w:lvl>
    <w:lvl w:ilvl="7">
      <w:start w:val="0"/>
      <w:numFmt w:val="bullet"/>
      <w:lvlText w:val="•"/>
      <w:lvlJc w:val="left"/>
      <w:pPr>
        <w:ind w:left="7960" w:hanging="317"/>
      </w:pPr>
      <w:rPr>
        <w:rFonts w:hint="default"/>
        <w:lang w:val="en-US" w:eastAsia="en-US" w:bidi="ar-SA"/>
      </w:rPr>
    </w:lvl>
    <w:lvl w:ilvl="8">
      <w:start w:val="0"/>
      <w:numFmt w:val="bullet"/>
      <w:lvlText w:val="•"/>
      <w:lvlJc w:val="left"/>
      <w:pPr>
        <w:ind w:left="8700" w:hanging="317"/>
      </w:pPr>
      <w:rPr>
        <w:rFonts w:hint="default"/>
        <w:lang w:val="en-US" w:eastAsia="en-US" w:bidi="ar-SA"/>
      </w:rPr>
    </w:lvl>
  </w:abstractNum>
  <w:num w:numId="195">
    <w:abstractNumId w:val="194"/>
  </w:num>
  <w:num w:numId="193">
    <w:abstractNumId w:val="192"/>
  </w:num>
  <w:num w:numId="192">
    <w:abstractNumId w:val="191"/>
  </w:num>
  <w:num w:numId="176">
    <w:abstractNumId w:val="175"/>
  </w:num>
  <w:num w:numId="175">
    <w:abstractNumId w:val="174"/>
  </w:num>
  <w:num w:numId="172">
    <w:abstractNumId w:val="171"/>
  </w:num>
  <w:num w:numId="164">
    <w:abstractNumId w:val="163"/>
  </w:num>
  <w:num w:numId="163">
    <w:abstractNumId w:val="162"/>
  </w:num>
  <w:num w:numId="162">
    <w:abstractNumId w:val="161"/>
  </w:num>
  <w:num w:numId="149">
    <w:abstractNumId w:val="148"/>
  </w:num>
  <w:num w:numId="145">
    <w:abstractNumId w:val="144"/>
  </w:num>
  <w:num w:numId="144">
    <w:abstractNumId w:val="143"/>
  </w:num>
  <w:num w:numId="136">
    <w:abstractNumId w:val="135"/>
  </w:num>
  <w:num w:numId="135">
    <w:abstractNumId w:val="134"/>
  </w:num>
  <w:num w:numId="134">
    <w:abstractNumId w:val="133"/>
  </w:num>
  <w:num w:numId="133">
    <w:abstractNumId w:val="132"/>
  </w:num>
  <w:num w:numId="130">
    <w:abstractNumId w:val="129"/>
  </w:num>
  <w:num w:numId="129">
    <w:abstractNumId w:val="128"/>
  </w:num>
  <w:num w:numId="124">
    <w:abstractNumId w:val="123"/>
  </w:num>
  <w:num w:numId="123">
    <w:abstractNumId w:val="122"/>
  </w:num>
  <w:num w:numId="121">
    <w:abstractNumId w:val="120"/>
  </w:num>
  <w:num w:numId="116">
    <w:abstractNumId w:val="115"/>
  </w:num>
  <w:num w:numId="110">
    <w:abstractNumId w:val="109"/>
  </w:num>
  <w:num w:numId="107">
    <w:abstractNumId w:val="106"/>
  </w:num>
  <w:num w:numId="99">
    <w:abstractNumId w:val="98"/>
  </w:num>
  <w:num w:numId="86">
    <w:abstractNumId w:val="85"/>
  </w:num>
  <w:num w:numId="77">
    <w:abstractNumId w:val="76"/>
  </w:num>
  <w:num w:numId="73">
    <w:abstractNumId w:val="72"/>
  </w:num>
  <w:num w:numId="71">
    <w:abstractNumId w:val="70"/>
  </w:num>
  <w:num w:numId="70">
    <w:abstractNumId w:val="69"/>
  </w:num>
  <w:num w:numId="63">
    <w:abstractNumId w:val="62"/>
  </w:num>
  <w:num w:numId="62">
    <w:abstractNumId w:val="61"/>
  </w:num>
  <w:num w:numId="61">
    <w:abstractNumId w:val="60"/>
  </w:num>
  <w:num w:numId="58">
    <w:abstractNumId w:val="57"/>
  </w:num>
  <w:num w:numId="57">
    <w:abstractNumId w:val="56"/>
  </w:num>
  <w:num w:numId="56">
    <w:abstractNumId w:val="55"/>
  </w:num>
  <w:num w:numId="54">
    <w:abstractNumId w:val="53"/>
  </w:num>
  <w:num w:numId="38">
    <w:abstractNumId w:val="37"/>
  </w:num>
  <w:num w:numId="29">
    <w:abstractNumId w:val="28"/>
  </w:num>
  <w:num w:numId="28">
    <w:abstractNumId w:val="27"/>
  </w:num>
  <w:num w:numId="27">
    <w:abstractNumId w:val="26"/>
  </w:num>
  <w:num w:numId="26">
    <w:abstractNumId w:val="25"/>
  </w:num>
  <w:num w:numId="23">
    <w:abstractNumId w:val="22"/>
  </w:num>
  <w:num w:numId="21">
    <w:abstractNumId w:val="20"/>
  </w:num>
  <w:num w:numId="20">
    <w:abstractNumId w:val="19"/>
  </w:num>
  <w:num w:numId="15">
    <w:abstractNumId w:val="14"/>
  </w:num>
  <w:num w:numId="14">
    <w:abstractNumId w:val="13"/>
  </w:num>
  <w:num w:numId="12">
    <w:abstractNumId w:val="11"/>
  </w:num>
  <w:num w:numId="11">
    <w:abstractNumId w:val="10"/>
  </w:num>
  <w:num w:numId="10">
    <w:abstractNumId w:val="9"/>
  </w:num>
  <w:num w:numId="9">
    <w:abstractNumId w:val="8"/>
  </w:num>
  <w:num w:numId="2">
    <w:abstractNumId w:val="1"/>
  </w:num>
  <w:num w:numId="1">
    <w:abstractNumId w:val="0"/>
  </w:num>
  <w:num w:numId="196">
    <w:abstractNumId w:val="195"/>
  </w:num>
  <w:num w:numId="194">
    <w:abstractNumId w:val="193"/>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4">
    <w:abstractNumId w:val="173"/>
  </w:num>
  <w:num w:numId="173">
    <w:abstractNumId w:val="172"/>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8">
    <w:abstractNumId w:val="147"/>
  </w:num>
  <w:num w:numId="147">
    <w:abstractNumId w:val="146"/>
  </w:num>
  <w:num w:numId="146">
    <w:abstractNumId w:val="145"/>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2">
    <w:abstractNumId w:val="131"/>
  </w:num>
  <w:num w:numId="131">
    <w:abstractNumId w:val="130"/>
  </w:num>
  <w:num w:numId="128">
    <w:abstractNumId w:val="127"/>
  </w:num>
  <w:num w:numId="127">
    <w:abstractNumId w:val="126"/>
  </w:num>
  <w:num w:numId="126">
    <w:abstractNumId w:val="125"/>
  </w:num>
  <w:num w:numId="125">
    <w:abstractNumId w:val="124"/>
  </w:num>
  <w:num w:numId="122">
    <w:abstractNumId w:val="121"/>
  </w:num>
  <w:num w:numId="120">
    <w:abstractNumId w:val="119"/>
  </w:num>
  <w:num w:numId="119">
    <w:abstractNumId w:val="118"/>
  </w:num>
  <w:num w:numId="118">
    <w:abstractNumId w:val="117"/>
  </w:num>
  <w:num w:numId="117">
    <w:abstractNumId w:val="116"/>
  </w:num>
  <w:num w:numId="115">
    <w:abstractNumId w:val="114"/>
  </w:num>
  <w:num w:numId="114">
    <w:abstractNumId w:val="113"/>
  </w:num>
  <w:num w:numId="113">
    <w:abstractNumId w:val="112"/>
  </w:num>
  <w:num w:numId="112">
    <w:abstractNumId w:val="111"/>
  </w:num>
  <w:num w:numId="111">
    <w:abstractNumId w:val="110"/>
  </w:num>
  <w:num w:numId="109">
    <w:abstractNumId w:val="108"/>
  </w:num>
  <w:num w:numId="108">
    <w:abstractNumId w:val="107"/>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6">
    <w:abstractNumId w:val="75"/>
  </w:num>
  <w:num w:numId="75">
    <w:abstractNumId w:val="74"/>
  </w:num>
  <w:num w:numId="74">
    <w:abstractNumId w:val="73"/>
  </w:num>
  <w:num w:numId="72">
    <w:abstractNumId w:val="71"/>
  </w:num>
  <w:num w:numId="69">
    <w:abstractNumId w:val="68"/>
  </w:num>
  <w:num w:numId="68">
    <w:abstractNumId w:val="67"/>
  </w:num>
  <w:num w:numId="67">
    <w:abstractNumId w:val="66"/>
  </w:num>
  <w:num w:numId="66">
    <w:abstractNumId w:val="65"/>
  </w:num>
  <w:num w:numId="65">
    <w:abstractNumId w:val="64"/>
  </w:num>
  <w:num w:numId="64">
    <w:abstractNumId w:val="63"/>
  </w:num>
  <w:num w:numId="60">
    <w:abstractNumId w:val="59"/>
  </w:num>
  <w:num w:numId="59">
    <w:abstractNumId w:val="58"/>
  </w:num>
  <w:num w:numId="55">
    <w:abstractNumId w:val="54"/>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5">
    <w:abstractNumId w:val="24"/>
  </w:num>
  <w:num w:numId="24">
    <w:abstractNumId w:val="23"/>
  </w:num>
  <w:num w:numId="22">
    <w:abstractNumId w:val="21"/>
  </w:num>
  <w:num w:numId="19">
    <w:abstractNumId w:val="18"/>
  </w:num>
  <w:num w:numId="18">
    <w:abstractNumId w:val="17"/>
  </w:num>
  <w:num w:numId="17">
    <w:abstractNumId w:val="16"/>
  </w:num>
  <w:num w:numId="16">
    <w:abstractNumId w:val="15"/>
  </w:num>
  <w:num w:numId="13">
    <w:abstractNumId w:val="12"/>
  </w:num>
  <w:num w:numId="8">
    <w:abstractNumId w:val="7"/>
  </w:num>
  <w:num w:numId="7">
    <w:abstractNumId w:val="6"/>
  </w:num>
  <w:num w:numId="6">
    <w:abstractNumId w:val="5"/>
  </w:num>
  <w:num w:numId="5">
    <w:abstractNumId w:val="4"/>
  </w:num>
  <w:num w:numId="4">
    <w:abstractNumId w:val="3"/>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TOC1" w:type="paragraph">
    <w:name w:val="TOC 1"/>
    <w:basedOn w:val="Normal"/>
    <w:uiPriority w:val="1"/>
    <w:qFormat/>
    <w:pPr>
      <w:spacing w:before="223"/>
      <w:ind w:left="197"/>
    </w:pPr>
    <w:rPr>
      <w:rFonts w:ascii="Arial" w:hAnsi="Arial" w:eastAsia="Arial" w:cs="Arial"/>
      <w:b/>
      <w:bCs/>
      <w:sz w:val="22"/>
      <w:szCs w:val="22"/>
      <w:lang w:val="en-US" w:eastAsia="en-US" w:bidi="ar-SA"/>
    </w:rPr>
  </w:style>
  <w:style w:styleId="TOC2" w:type="paragraph">
    <w:name w:val="TOC 2"/>
    <w:basedOn w:val="Normal"/>
    <w:uiPriority w:val="1"/>
    <w:qFormat/>
    <w:pPr>
      <w:spacing w:line="220" w:lineRule="exact"/>
      <w:ind w:left="197"/>
    </w:pPr>
    <w:rPr>
      <w:rFonts w:ascii="Palatino Linotype" w:hAnsi="Palatino Linotype" w:eastAsia="Palatino Linotype" w:cs="Palatino Linotype"/>
      <w:sz w:val="18"/>
      <w:szCs w:val="18"/>
      <w:lang w:val="en-US" w:eastAsia="en-US" w:bidi="ar-SA"/>
    </w:rPr>
  </w:style>
  <w:style w:styleId="TOC3" w:type="paragraph">
    <w:name w:val="TOC 3"/>
    <w:basedOn w:val="Normal"/>
    <w:uiPriority w:val="1"/>
    <w:qFormat/>
    <w:pPr>
      <w:spacing w:line="220" w:lineRule="exact"/>
      <w:ind w:left="436"/>
    </w:pPr>
    <w:rPr>
      <w:rFonts w:ascii="Palatino Linotype" w:hAnsi="Palatino Linotype" w:eastAsia="Palatino Linotype" w:cs="Palatino Linotype"/>
      <w:sz w:val="18"/>
      <w:szCs w:val="18"/>
      <w:lang w:val="en-US" w:eastAsia="en-US" w:bidi="ar-SA"/>
    </w:rPr>
  </w:style>
  <w:style w:styleId="BodyText" w:type="paragraph">
    <w:name w:val="Body Text"/>
    <w:basedOn w:val="Normal"/>
    <w:uiPriority w:val="1"/>
    <w:qFormat/>
    <w:pPr/>
    <w:rPr>
      <w:rFonts w:ascii="Palatino Linotype" w:hAnsi="Palatino Linotype" w:eastAsia="Palatino Linotype" w:cs="Palatino Linotype"/>
      <w:sz w:val="20"/>
      <w:szCs w:val="20"/>
      <w:lang w:val="en-US" w:eastAsia="en-US" w:bidi="ar-SA"/>
    </w:rPr>
  </w:style>
  <w:style w:styleId="Heading1" w:type="paragraph">
    <w:name w:val="Heading 1"/>
    <w:basedOn w:val="Normal"/>
    <w:uiPriority w:val="1"/>
    <w:qFormat/>
    <w:pPr>
      <w:spacing w:line="365" w:lineRule="exact"/>
      <w:ind w:left="197"/>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436"/>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spacing w:before="26"/>
      <w:ind w:left="436"/>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spacing w:before="200"/>
      <w:ind w:left="2232"/>
      <w:outlineLvl w:val="4"/>
    </w:pPr>
    <w:rPr>
      <w:rFonts w:ascii="Arial" w:hAnsi="Arial" w:eastAsia="Arial" w:cs="Arial"/>
      <w:b/>
      <w:bCs/>
      <w:sz w:val="24"/>
      <w:szCs w:val="24"/>
      <w:lang w:val="en-US" w:eastAsia="en-US" w:bidi="ar-SA"/>
    </w:rPr>
  </w:style>
  <w:style w:styleId="Heading5" w:type="paragraph">
    <w:name w:val="Heading 5"/>
    <w:basedOn w:val="Normal"/>
    <w:uiPriority w:val="1"/>
    <w:qFormat/>
    <w:pPr>
      <w:spacing w:before="218"/>
      <w:ind w:left="2472"/>
      <w:outlineLvl w:val="5"/>
    </w:pPr>
    <w:rPr>
      <w:rFonts w:ascii="Arial" w:hAnsi="Arial" w:eastAsia="Arial" w:cs="Arial"/>
      <w:b/>
      <w:bCs/>
      <w:sz w:val="22"/>
      <w:szCs w:val="22"/>
      <w:lang w:val="en-US" w:eastAsia="en-US" w:bidi="ar-SA"/>
    </w:rPr>
  </w:style>
  <w:style w:styleId="Heading6" w:type="paragraph">
    <w:name w:val="Heading 6"/>
    <w:basedOn w:val="Normal"/>
    <w:uiPriority w:val="1"/>
    <w:qFormat/>
    <w:pPr>
      <w:spacing w:before="117" w:line="229" w:lineRule="exact"/>
      <w:ind w:left="2472"/>
      <w:outlineLvl w:val="6"/>
    </w:pPr>
    <w:rPr>
      <w:rFonts w:ascii="Book Antiqua" w:hAnsi="Book Antiqua" w:eastAsia="Book Antiqua" w:cs="Book Antiqua"/>
      <w:b/>
      <w:bCs/>
      <w:sz w:val="20"/>
      <w:szCs w:val="20"/>
      <w:lang w:val="en-US" w:eastAsia="en-US" w:bidi="ar-SA"/>
    </w:rPr>
  </w:style>
  <w:style w:styleId="Title" w:type="paragraph">
    <w:name w:val="Title"/>
    <w:basedOn w:val="Normal"/>
    <w:uiPriority w:val="1"/>
    <w:qFormat/>
    <w:pPr>
      <w:ind w:left="2951"/>
    </w:pPr>
    <w:rPr>
      <w:rFonts w:ascii="Arial" w:hAnsi="Arial" w:eastAsia="Arial" w:cs="Arial"/>
      <w:sz w:val="75"/>
      <w:szCs w:val="75"/>
      <w:lang w:val="en-US" w:eastAsia="en-US" w:bidi="ar-SA"/>
    </w:rPr>
  </w:style>
  <w:style w:styleId="ListParagraph" w:type="paragraph">
    <w:name w:val="List Paragraph"/>
    <w:basedOn w:val="Normal"/>
    <w:uiPriority w:val="1"/>
    <w:qFormat/>
    <w:pPr>
      <w:spacing w:before="58"/>
      <w:ind w:left="2548" w:hanging="316"/>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spacing w:before="25"/>
      <w:ind w:left="59"/>
    </w:pPr>
    <w:rPr>
      <w:rFonts w:ascii="Palatino Linotype" w:hAnsi="Palatino Linotype" w:eastAsia="Palatino Linotype" w:cs="Palatino Linotype"/>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4.pn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hyperlink" Target="http://www.ibm.com/software/tivoli/solutions/service-availability/index.html" TargetMode="Externa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hyperlink" Target="http://pic.dhe.ibm.com/infocenter/tivihelp/v61r1/topic/com.ibm.itm.doc_6.3/welcome.htm" TargetMode="External"/><Relationship Id="rId22" Type="http://schemas.openxmlformats.org/officeDocument/2006/relationships/hyperlink" Target="http://pic.dhe.ibm.com/infocenter/tivihelp/" TargetMode="External"/><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image" Target="media/image44.png"/><Relationship Id="rId63" Type="http://schemas.openxmlformats.org/officeDocument/2006/relationships/image" Target="media/image45.png"/><Relationship Id="rId64" Type="http://schemas.openxmlformats.org/officeDocument/2006/relationships/image" Target="media/image46.png"/><Relationship Id="rId65" Type="http://schemas.openxmlformats.org/officeDocument/2006/relationships/image" Target="media/image47.png"/><Relationship Id="rId66" Type="http://schemas.openxmlformats.org/officeDocument/2006/relationships/image" Target="media/image48.pn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hyperlink" Target="http://pic.dhe.ibm.com/infocenter/tivihelp/v61r1/topic/com.ibm.itm.doc_6.3/adminuse/clientbrowser_banner.htm" TargetMode="External"/><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hyperlink" Target="http://www.ibm.com/tivoli/media" TargetMode="External"/><Relationship Id="rId86" Type="http://schemas.openxmlformats.org/officeDocument/2006/relationships/hyperlink" Target="http://www.ibm.com/tivoli/media)" TargetMode="External"/><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image" Target="media/image77.png"/><Relationship Id="rId99" Type="http://schemas.openxmlformats.org/officeDocument/2006/relationships/image" Target="media/image78.png"/><Relationship Id="rId100" Type="http://schemas.openxmlformats.org/officeDocument/2006/relationships/image" Target="media/image79.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footer" Target="footer14.xml"/><Relationship Id="rId104" Type="http://schemas.openxmlformats.org/officeDocument/2006/relationships/footer" Target="footer15.xml"/><Relationship Id="rId105" Type="http://schemas.openxmlformats.org/officeDocument/2006/relationships/image" Target="media/image82.png"/><Relationship Id="rId106" Type="http://schemas.openxmlformats.org/officeDocument/2006/relationships/image" Target="media/image83.png"/><Relationship Id="rId107" Type="http://schemas.openxmlformats.org/officeDocument/2006/relationships/footer" Target="footer16.xml"/><Relationship Id="rId108" Type="http://schemas.openxmlformats.org/officeDocument/2006/relationships/footer" Target="footer17.xml"/><Relationship Id="rId109" Type="http://schemas.openxmlformats.org/officeDocument/2006/relationships/image" Target="media/image84.png"/><Relationship Id="rId110" Type="http://schemas.openxmlformats.org/officeDocument/2006/relationships/image" Target="media/image85.png"/><Relationship Id="rId111" Type="http://schemas.openxmlformats.org/officeDocument/2006/relationships/image" Target="media/image86.png"/><Relationship Id="rId112" Type="http://schemas.openxmlformats.org/officeDocument/2006/relationships/image" Target="media/image87.png"/><Relationship Id="rId113" Type="http://schemas.openxmlformats.org/officeDocument/2006/relationships/image" Target="media/image88.png"/><Relationship Id="rId114" Type="http://schemas.openxmlformats.org/officeDocument/2006/relationships/image" Target="media/image89.png"/><Relationship Id="rId115" Type="http://schemas.openxmlformats.org/officeDocument/2006/relationships/image" Target="media/image90.png"/><Relationship Id="rId116" Type="http://schemas.openxmlformats.org/officeDocument/2006/relationships/image" Target="media/image91.png"/><Relationship Id="rId117" Type="http://schemas.openxmlformats.org/officeDocument/2006/relationships/image" Target="media/image92.png"/><Relationship Id="rId118" Type="http://schemas.openxmlformats.org/officeDocument/2006/relationships/image" Target="media/image93.png"/><Relationship Id="rId119" Type="http://schemas.openxmlformats.org/officeDocument/2006/relationships/image" Target="media/image94.png"/><Relationship Id="rId120" Type="http://schemas.openxmlformats.org/officeDocument/2006/relationships/image" Target="media/image95.png"/><Relationship Id="rId121" Type="http://schemas.openxmlformats.org/officeDocument/2006/relationships/image" Target="media/image96.png"/><Relationship Id="rId122" Type="http://schemas.openxmlformats.org/officeDocument/2006/relationships/image" Target="media/image97.png"/><Relationship Id="rId123" Type="http://schemas.openxmlformats.org/officeDocument/2006/relationships/image" Target="media/image98.png"/><Relationship Id="rId124" Type="http://schemas.openxmlformats.org/officeDocument/2006/relationships/image" Target="media/image99.png"/><Relationship Id="rId125" Type="http://schemas.openxmlformats.org/officeDocument/2006/relationships/image" Target="media/image100.png"/><Relationship Id="rId126" Type="http://schemas.openxmlformats.org/officeDocument/2006/relationships/image" Target="media/image101.png"/><Relationship Id="rId127" Type="http://schemas.openxmlformats.org/officeDocument/2006/relationships/image" Target="media/image102.png"/><Relationship Id="rId128" Type="http://schemas.openxmlformats.org/officeDocument/2006/relationships/image" Target="media/image103.png"/><Relationship Id="rId129" Type="http://schemas.openxmlformats.org/officeDocument/2006/relationships/image" Target="media/image104.png"/><Relationship Id="rId130" Type="http://schemas.openxmlformats.org/officeDocument/2006/relationships/image" Target="media/image105.png"/><Relationship Id="rId131" Type="http://schemas.openxmlformats.org/officeDocument/2006/relationships/image" Target="media/image106.png"/><Relationship Id="rId132" Type="http://schemas.openxmlformats.org/officeDocument/2006/relationships/image" Target="media/image107.png"/><Relationship Id="rId133" Type="http://schemas.openxmlformats.org/officeDocument/2006/relationships/image" Target="media/image108.png"/><Relationship Id="rId134" Type="http://schemas.openxmlformats.org/officeDocument/2006/relationships/footer" Target="footer18.xml"/><Relationship Id="rId135" Type="http://schemas.openxmlformats.org/officeDocument/2006/relationships/footer" Target="footer19.xml"/><Relationship Id="rId136" Type="http://schemas.openxmlformats.org/officeDocument/2006/relationships/footer" Target="footer20.xml"/><Relationship Id="rId137" Type="http://schemas.openxmlformats.org/officeDocument/2006/relationships/footer" Target="footer21.xml"/><Relationship Id="rId138" Type="http://schemas.openxmlformats.org/officeDocument/2006/relationships/image" Target="media/image109.png"/><Relationship Id="rId139" Type="http://schemas.openxmlformats.org/officeDocument/2006/relationships/image" Target="media/image110.png"/><Relationship Id="rId140" Type="http://schemas.openxmlformats.org/officeDocument/2006/relationships/image" Target="media/image111.png"/><Relationship Id="rId141" Type="http://schemas.openxmlformats.org/officeDocument/2006/relationships/image" Target="media/image112.png"/><Relationship Id="rId142" Type="http://schemas.openxmlformats.org/officeDocument/2006/relationships/image" Target="media/image113.png"/><Relationship Id="rId143" Type="http://schemas.openxmlformats.org/officeDocument/2006/relationships/image" Target="media/image114.png"/><Relationship Id="rId144" Type="http://schemas.openxmlformats.org/officeDocument/2006/relationships/image" Target="media/image115.png"/><Relationship Id="rId145" Type="http://schemas.openxmlformats.org/officeDocument/2006/relationships/image" Target="media/image116.png"/><Relationship Id="rId146" Type="http://schemas.openxmlformats.org/officeDocument/2006/relationships/image" Target="media/image117.png"/><Relationship Id="rId147" Type="http://schemas.openxmlformats.org/officeDocument/2006/relationships/image" Target="media/image118.png"/><Relationship Id="rId148" Type="http://schemas.openxmlformats.org/officeDocument/2006/relationships/image" Target="media/image119.png"/><Relationship Id="rId149" Type="http://schemas.openxmlformats.org/officeDocument/2006/relationships/image" Target="media/image120.png"/><Relationship Id="rId150" Type="http://schemas.openxmlformats.org/officeDocument/2006/relationships/image" Target="media/image121.png"/><Relationship Id="rId151" Type="http://schemas.openxmlformats.org/officeDocument/2006/relationships/image" Target="media/image122.png"/><Relationship Id="rId152" Type="http://schemas.openxmlformats.org/officeDocument/2006/relationships/image" Target="media/image123.png"/><Relationship Id="rId153" Type="http://schemas.openxmlformats.org/officeDocument/2006/relationships/image" Target="media/image124.png"/><Relationship Id="rId154" Type="http://schemas.openxmlformats.org/officeDocument/2006/relationships/image" Target="media/image125.png"/><Relationship Id="rId155" Type="http://schemas.openxmlformats.org/officeDocument/2006/relationships/image" Target="media/image126.png"/><Relationship Id="rId156" Type="http://schemas.openxmlformats.org/officeDocument/2006/relationships/image" Target="media/image127.png"/><Relationship Id="rId157" Type="http://schemas.openxmlformats.org/officeDocument/2006/relationships/image" Target="media/image128.png"/><Relationship Id="rId158" Type="http://schemas.openxmlformats.org/officeDocument/2006/relationships/image" Target="media/image129.png"/><Relationship Id="rId159" Type="http://schemas.openxmlformats.org/officeDocument/2006/relationships/image" Target="media/image130.png"/><Relationship Id="rId160" Type="http://schemas.openxmlformats.org/officeDocument/2006/relationships/image" Target="media/image131.png"/><Relationship Id="rId161" Type="http://schemas.openxmlformats.org/officeDocument/2006/relationships/image" Target="media/image132.png"/><Relationship Id="rId162" Type="http://schemas.openxmlformats.org/officeDocument/2006/relationships/footer" Target="footer22.xml"/><Relationship Id="rId163" Type="http://schemas.openxmlformats.org/officeDocument/2006/relationships/footer" Target="footer23.xml"/><Relationship Id="rId164" Type="http://schemas.openxmlformats.org/officeDocument/2006/relationships/image" Target="media/image133.png"/><Relationship Id="rId165" Type="http://schemas.openxmlformats.org/officeDocument/2006/relationships/image" Target="media/image134.png"/><Relationship Id="rId166" Type="http://schemas.openxmlformats.org/officeDocument/2006/relationships/image" Target="media/image135.png"/><Relationship Id="rId167" Type="http://schemas.openxmlformats.org/officeDocument/2006/relationships/image" Target="media/image136.png"/><Relationship Id="rId168" Type="http://schemas.openxmlformats.org/officeDocument/2006/relationships/image" Target="media/image137.png"/><Relationship Id="rId169" Type="http://schemas.openxmlformats.org/officeDocument/2006/relationships/footer" Target="footer24.xml"/><Relationship Id="rId170" Type="http://schemas.openxmlformats.org/officeDocument/2006/relationships/footer" Target="footer25.xml"/><Relationship Id="rId171" Type="http://schemas.openxmlformats.org/officeDocument/2006/relationships/hyperlink" Target="http://www.ibm.com/software/brandcatalog/ismlibrary/" TargetMode="External"/><Relationship Id="rId172" Type="http://schemas.openxmlformats.org/officeDocument/2006/relationships/hyperlink" Target="http://www.ibm.com/" TargetMode="External"/><Relationship Id="rId173" Type="http://schemas.openxmlformats.org/officeDocument/2006/relationships/hyperlink" Target="http://www-306.ibm.com/software/tivoli/products/infoman-web/" TargetMode="External"/><Relationship Id="rId174" Type="http://schemas.openxmlformats.org/officeDocument/2006/relationships/hyperlink" Target="http://www.ibm.com/software/brandcatalog/ismlibrary)" TargetMode="External"/><Relationship Id="rId175" Type="http://schemas.openxmlformats.org/officeDocument/2006/relationships/image" Target="media/image138.png"/><Relationship Id="rId176" Type="http://schemas.openxmlformats.org/officeDocument/2006/relationships/image" Target="media/image139.png"/><Relationship Id="rId177" Type="http://schemas.openxmlformats.org/officeDocument/2006/relationships/footer" Target="footer26.xml"/><Relationship Id="rId178" Type="http://schemas.openxmlformats.org/officeDocument/2006/relationships/footer" Target="footer27.xml"/><Relationship Id="rId179" Type="http://schemas.openxmlformats.org/officeDocument/2006/relationships/footer" Target="footer28.xml"/><Relationship Id="rId180" Type="http://schemas.openxmlformats.org/officeDocument/2006/relationships/footer" Target="footer29.xml"/><Relationship Id="rId181" Type="http://schemas.openxmlformats.org/officeDocument/2006/relationships/image" Target="media/image140.png"/><Relationship Id="rId182" Type="http://schemas.openxmlformats.org/officeDocument/2006/relationships/image" Target="media/image141.png"/><Relationship Id="rId183" Type="http://schemas.openxmlformats.org/officeDocument/2006/relationships/image" Target="media/image142.png"/><Relationship Id="rId184" Type="http://schemas.openxmlformats.org/officeDocument/2006/relationships/image" Target="media/image143.png"/><Relationship Id="rId185" Type="http://schemas.openxmlformats.org/officeDocument/2006/relationships/image" Target="media/image144.png"/><Relationship Id="rId186" Type="http://schemas.openxmlformats.org/officeDocument/2006/relationships/image" Target="media/image145.png"/><Relationship Id="rId187" Type="http://schemas.openxmlformats.org/officeDocument/2006/relationships/footer" Target="footer30.xml"/><Relationship Id="rId188" Type="http://schemas.openxmlformats.org/officeDocument/2006/relationships/footer" Target="footer31.xml"/><Relationship Id="rId189" Type="http://schemas.openxmlformats.org/officeDocument/2006/relationships/footer" Target="footer32.xml"/><Relationship Id="rId190" Type="http://schemas.openxmlformats.org/officeDocument/2006/relationships/footer" Target="footer33.xml"/><Relationship Id="rId191" Type="http://schemas.openxmlformats.org/officeDocument/2006/relationships/image" Target="media/image146.png"/><Relationship Id="rId192" Type="http://schemas.openxmlformats.org/officeDocument/2006/relationships/image" Target="media/image147.png"/><Relationship Id="rId193" Type="http://schemas.openxmlformats.org/officeDocument/2006/relationships/image" Target="media/image148.png"/><Relationship Id="rId194" Type="http://schemas.openxmlformats.org/officeDocument/2006/relationships/image" Target="media/image149.png"/><Relationship Id="rId195" Type="http://schemas.openxmlformats.org/officeDocument/2006/relationships/image" Target="media/image150.png"/><Relationship Id="rId196" Type="http://schemas.openxmlformats.org/officeDocument/2006/relationships/image" Target="media/image151.png"/><Relationship Id="rId197" Type="http://schemas.openxmlformats.org/officeDocument/2006/relationships/image" Target="media/image152.png"/><Relationship Id="rId198" Type="http://schemas.openxmlformats.org/officeDocument/2006/relationships/image" Target="media/image153.png"/><Relationship Id="rId199" Type="http://schemas.openxmlformats.org/officeDocument/2006/relationships/image" Target="media/image154.png"/><Relationship Id="rId200" Type="http://schemas.openxmlformats.org/officeDocument/2006/relationships/image" Target="media/image155.png"/><Relationship Id="rId201" Type="http://schemas.openxmlformats.org/officeDocument/2006/relationships/image" Target="media/image156.png"/><Relationship Id="rId202" Type="http://schemas.openxmlformats.org/officeDocument/2006/relationships/image" Target="media/image157.png"/><Relationship Id="rId203" Type="http://schemas.openxmlformats.org/officeDocument/2006/relationships/image" Target="media/image158.png"/><Relationship Id="rId204" Type="http://schemas.openxmlformats.org/officeDocument/2006/relationships/image" Target="media/image159.png"/><Relationship Id="rId205" Type="http://schemas.openxmlformats.org/officeDocument/2006/relationships/image" Target="media/image160.png"/><Relationship Id="rId206" Type="http://schemas.openxmlformats.org/officeDocument/2006/relationships/image" Target="media/image161.jpeg"/><Relationship Id="rId207" Type="http://schemas.openxmlformats.org/officeDocument/2006/relationships/image" Target="media/image162.png"/><Relationship Id="rId208" Type="http://schemas.openxmlformats.org/officeDocument/2006/relationships/image" Target="media/image163.png"/><Relationship Id="rId209" Type="http://schemas.openxmlformats.org/officeDocument/2006/relationships/image" Target="media/image164.png"/><Relationship Id="rId210" Type="http://schemas.openxmlformats.org/officeDocument/2006/relationships/footer" Target="footer34.xml"/><Relationship Id="rId211" Type="http://schemas.openxmlformats.org/officeDocument/2006/relationships/footer" Target="footer35.xml"/><Relationship Id="rId212" Type="http://schemas.openxmlformats.org/officeDocument/2006/relationships/image" Target="media/image165.png"/><Relationship Id="rId213" Type="http://schemas.openxmlformats.org/officeDocument/2006/relationships/image" Target="media/image166.png"/><Relationship Id="rId214" Type="http://schemas.openxmlformats.org/officeDocument/2006/relationships/image" Target="media/image167.png"/><Relationship Id="rId215" Type="http://schemas.openxmlformats.org/officeDocument/2006/relationships/image" Target="media/image168.png"/><Relationship Id="rId216" Type="http://schemas.openxmlformats.org/officeDocument/2006/relationships/image" Target="media/image169.png"/><Relationship Id="rId217" Type="http://schemas.openxmlformats.org/officeDocument/2006/relationships/image" Target="media/image170.png"/><Relationship Id="rId218" Type="http://schemas.openxmlformats.org/officeDocument/2006/relationships/image" Target="media/image171.png"/><Relationship Id="rId219" Type="http://schemas.openxmlformats.org/officeDocument/2006/relationships/image" Target="media/image172.png"/><Relationship Id="rId220" Type="http://schemas.openxmlformats.org/officeDocument/2006/relationships/image" Target="media/image173.png"/><Relationship Id="rId221" Type="http://schemas.openxmlformats.org/officeDocument/2006/relationships/image" Target="media/image174.png"/><Relationship Id="rId222" Type="http://schemas.openxmlformats.org/officeDocument/2006/relationships/image" Target="media/image175.png"/><Relationship Id="rId223" Type="http://schemas.openxmlformats.org/officeDocument/2006/relationships/image" Target="media/image176.png"/><Relationship Id="rId224" Type="http://schemas.openxmlformats.org/officeDocument/2006/relationships/image" Target="media/image177.png"/><Relationship Id="rId225" Type="http://schemas.openxmlformats.org/officeDocument/2006/relationships/image" Target="media/image178.png"/><Relationship Id="rId226" Type="http://schemas.openxmlformats.org/officeDocument/2006/relationships/image" Target="media/image179.png"/><Relationship Id="rId227" Type="http://schemas.openxmlformats.org/officeDocument/2006/relationships/image" Target="media/image180.png"/><Relationship Id="rId228" Type="http://schemas.openxmlformats.org/officeDocument/2006/relationships/image" Target="media/image181.png"/><Relationship Id="rId229" Type="http://schemas.openxmlformats.org/officeDocument/2006/relationships/footer" Target="footer36.xml"/><Relationship Id="rId230" Type="http://schemas.openxmlformats.org/officeDocument/2006/relationships/footer" Target="footer37.xml"/><Relationship Id="rId231" Type="http://schemas.openxmlformats.org/officeDocument/2006/relationships/image" Target="media/image182.png"/><Relationship Id="rId232" Type="http://schemas.openxmlformats.org/officeDocument/2006/relationships/image" Target="media/image183.png"/><Relationship Id="rId233" Type="http://schemas.openxmlformats.org/officeDocument/2006/relationships/image" Target="media/image184.png"/><Relationship Id="rId234" Type="http://schemas.openxmlformats.org/officeDocument/2006/relationships/image" Target="media/image185.png"/><Relationship Id="rId235" Type="http://schemas.openxmlformats.org/officeDocument/2006/relationships/hyperlink" Target="http://www.ibm.com/developerworks/wikis/display/tivolimediagallery/Add%2BMonitored%2BBaseline" TargetMode="External"/><Relationship Id="rId236" Type="http://schemas.openxmlformats.org/officeDocument/2006/relationships/image" Target="media/image186.png"/><Relationship Id="rId237" Type="http://schemas.openxmlformats.org/officeDocument/2006/relationships/image" Target="media/image187.png"/><Relationship Id="rId238" Type="http://schemas.openxmlformats.org/officeDocument/2006/relationships/image" Target="media/image188.png"/><Relationship Id="rId239" Type="http://schemas.openxmlformats.org/officeDocument/2006/relationships/image" Target="media/image189.png"/><Relationship Id="rId240" Type="http://schemas.openxmlformats.org/officeDocument/2006/relationships/image" Target="media/image190.png"/><Relationship Id="rId241" Type="http://schemas.openxmlformats.org/officeDocument/2006/relationships/image" Target="media/image191.png"/><Relationship Id="rId242" Type="http://schemas.openxmlformats.org/officeDocument/2006/relationships/image" Target="media/image192.png"/><Relationship Id="rId243" Type="http://schemas.openxmlformats.org/officeDocument/2006/relationships/image" Target="media/image193.png"/><Relationship Id="rId244" Type="http://schemas.openxmlformats.org/officeDocument/2006/relationships/image" Target="media/image194.png"/><Relationship Id="rId245" Type="http://schemas.openxmlformats.org/officeDocument/2006/relationships/image" Target="media/image195.png"/><Relationship Id="rId246" Type="http://schemas.openxmlformats.org/officeDocument/2006/relationships/hyperlink" Target="http://www.ibm.com/developerworks/wikis/display/tivolimediagallery/Add%2BStatistical%2BBaseline" TargetMode="External"/><Relationship Id="rId247" Type="http://schemas.openxmlformats.org/officeDocument/2006/relationships/image" Target="media/image196.png"/><Relationship Id="rId248" Type="http://schemas.openxmlformats.org/officeDocument/2006/relationships/image" Target="media/image197.png"/><Relationship Id="rId249" Type="http://schemas.openxmlformats.org/officeDocument/2006/relationships/image" Target="media/image198.png"/><Relationship Id="rId250" Type="http://schemas.openxmlformats.org/officeDocument/2006/relationships/hyperlink" Target="http://www.ibm.com/developerworks/wikis/display/tivolimediagallery/Add%2BHistorical%2BBaseline" TargetMode="External"/><Relationship Id="rId251" Type="http://schemas.openxmlformats.org/officeDocument/2006/relationships/image" Target="media/image199.png"/><Relationship Id="rId252" Type="http://schemas.openxmlformats.org/officeDocument/2006/relationships/image" Target="media/image200.png"/><Relationship Id="rId253" Type="http://schemas.openxmlformats.org/officeDocument/2006/relationships/image" Target="media/image201.png"/><Relationship Id="rId254" Type="http://schemas.openxmlformats.org/officeDocument/2006/relationships/image" Target="media/image202.png"/><Relationship Id="rId255" Type="http://schemas.openxmlformats.org/officeDocument/2006/relationships/image" Target="media/image203.png"/><Relationship Id="rId256" Type="http://schemas.openxmlformats.org/officeDocument/2006/relationships/image" Target="media/image204.png"/><Relationship Id="rId257" Type="http://schemas.openxmlformats.org/officeDocument/2006/relationships/image" Target="media/image205.png"/><Relationship Id="rId258" Type="http://schemas.openxmlformats.org/officeDocument/2006/relationships/image" Target="media/image206.png"/><Relationship Id="rId259" Type="http://schemas.openxmlformats.org/officeDocument/2006/relationships/image" Target="media/image207.png"/><Relationship Id="rId260" Type="http://schemas.openxmlformats.org/officeDocument/2006/relationships/image" Target="media/image208.png"/><Relationship Id="rId261" Type="http://schemas.openxmlformats.org/officeDocument/2006/relationships/image" Target="media/image209.png"/><Relationship Id="rId262" Type="http://schemas.openxmlformats.org/officeDocument/2006/relationships/image" Target="media/image210.png"/><Relationship Id="rId263" Type="http://schemas.openxmlformats.org/officeDocument/2006/relationships/image" Target="media/image211.png"/><Relationship Id="rId264" Type="http://schemas.openxmlformats.org/officeDocument/2006/relationships/image" Target="media/image212.png"/><Relationship Id="rId265" Type="http://schemas.openxmlformats.org/officeDocument/2006/relationships/image" Target="media/image213.png"/><Relationship Id="rId266" Type="http://schemas.openxmlformats.org/officeDocument/2006/relationships/image" Target="media/image214.png"/><Relationship Id="rId267" Type="http://schemas.openxmlformats.org/officeDocument/2006/relationships/image" Target="media/image215.png"/><Relationship Id="rId268" Type="http://schemas.openxmlformats.org/officeDocument/2006/relationships/image" Target="media/image216.png"/><Relationship Id="rId269" Type="http://schemas.openxmlformats.org/officeDocument/2006/relationships/image" Target="media/image217.png"/><Relationship Id="rId270" Type="http://schemas.openxmlformats.org/officeDocument/2006/relationships/image" Target="media/image218.png"/><Relationship Id="rId271" Type="http://schemas.openxmlformats.org/officeDocument/2006/relationships/image" Target="media/image219.png"/><Relationship Id="rId272" Type="http://schemas.openxmlformats.org/officeDocument/2006/relationships/image" Target="media/image220.png"/><Relationship Id="rId273" Type="http://schemas.openxmlformats.org/officeDocument/2006/relationships/image" Target="media/image221.png"/><Relationship Id="rId274" Type="http://schemas.openxmlformats.org/officeDocument/2006/relationships/image" Target="media/image222.png"/><Relationship Id="rId275" Type="http://schemas.openxmlformats.org/officeDocument/2006/relationships/image" Target="media/image223.png"/><Relationship Id="rId276" Type="http://schemas.openxmlformats.org/officeDocument/2006/relationships/image" Target="media/image224.png"/><Relationship Id="rId277" Type="http://schemas.openxmlformats.org/officeDocument/2006/relationships/image" Target="media/image225.png"/><Relationship Id="rId278" Type="http://schemas.openxmlformats.org/officeDocument/2006/relationships/image" Target="media/image226.png"/><Relationship Id="rId279" Type="http://schemas.openxmlformats.org/officeDocument/2006/relationships/image" Target="media/image227.png"/><Relationship Id="rId280" Type="http://schemas.openxmlformats.org/officeDocument/2006/relationships/image" Target="media/image228.png"/><Relationship Id="rId281" Type="http://schemas.openxmlformats.org/officeDocument/2006/relationships/image" Target="media/image229.png"/><Relationship Id="rId282" Type="http://schemas.openxmlformats.org/officeDocument/2006/relationships/image" Target="media/image230.png"/><Relationship Id="rId283" Type="http://schemas.openxmlformats.org/officeDocument/2006/relationships/image" Target="media/image231.png"/><Relationship Id="rId284" Type="http://schemas.openxmlformats.org/officeDocument/2006/relationships/image" Target="media/image232.png"/><Relationship Id="rId285" Type="http://schemas.openxmlformats.org/officeDocument/2006/relationships/image" Target="media/image233.png"/><Relationship Id="rId286" Type="http://schemas.openxmlformats.org/officeDocument/2006/relationships/image" Target="media/image234.png"/><Relationship Id="rId287" Type="http://schemas.openxmlformats.org/officeDocument/2006/relationships/image" Target="media/image235.png"/><Relationship Id="rId288" Type="http://schemas.openxmlformats.org/officeDocument/2006/relationships/image" Target="media/image236.png"/><Relationship Id="rId289" Type="http://schemas.openxmlformats.org/officeDocument/2006/relationships/image" Target="media/image237.png"/><Relationship Id="rId290" Type="http://schemas.openxmlformats.org/officeDocument/2006/relationships/image" Target="media/image238.png"/><Relationship Id="rId291" Type="http://schemas.openxmlformats.org/officeDocument/2006/relationships/image" Target="media/image239.png"/><Relationship Id="rId292" Type="http://schemas.openxmlformats.org/officeDocument/2006/relationships/image" Target="media/image240.png"/><Relationship Id="rId293" Type="http://schemas.openxmlformats.org/officeDocument/2006/relationships/image" Target="media/image241.png"/><Relationship Id="rId294" Type="http://schemas.openxmlformats.org/officeDocument/2006/relationships/image" Target="media/image242.png"/><Relationship Id="rId295" Type="http://schemas.openxmlformats.org/officeDocument/2006/relationships/image" Target="media/image243.png"/><Relationship Id="rId296" Type="http://schemas.openxmlformats.org/officeDocument/2006/relationships/image" Target="media/image244.png"/><Relationship Id="rId297" Type="http://schemas.openxmlformats.org/officeDocument/2006/relationships/image" Target="media/image245.png"/><Relationship Id="rId298" Type="http://schemas.openxmlformats.org/officeDocument/2006/relationships/image" Target="media/image246.png"/><Relationship Id="rId299" Type="http://schemas.openxmlformats.org/officeDocument/2006/relationships/image" Target="media/image247.png"/><Relationship Id="rId300" Type="http://schemas.openxmlformats.org/officeDocument/2006/relationships/image" Target="media/image248.png"/><Relationship Id="rId301" Type="http://schemas.openxmlformats.org/officeDocument/2006/relationships/image" Target="media/image249.png"/><Relationship Id="rId302" Type="http://schemas.openxmlformats.org/officeDocument/2006/relationships/image" Target="media/image250.png"/><Relationship Id="rId303" Type="http://schemas.openxmlformats.org/officeDocument/2006/relationships/image" Target="media/image251.png"/><Relationship Id="rId304" Type="http://schemas.openxmlformats.org/officeDocument/2006/relationships/image" Target="media/image252.png"/><Relationship Id="rId305" Type="http://schemas.openxmlformats.org/officeDocument/2006/relationships/image" Target="media/image253.png"/><Relationship Id="rId306" Type="http://schemas.openxmlformats.org/officeDocument/2006/relationships/image" Target="media/image254.png"/><Relationship Id="rId307" Type="http://schemas.openxmlformats.org/officeDocument/2006/relationships/image" Target="media/image255.png"/><Relationship Id="rId308" Type="http://schemas.openxmlformats.org/officeDocument/2006/relationships/image" Target="media/image256.png"/><Relationship Id="rId309" Type="http://schemas.openxmlformats.org/officeDocument/2006/relationships/image" Target="media/image257.png"/><Relationship Id="rId310" Type="http://schemas.openxmlformats.org/officeDocument/2006/relationships/image" Target="media/image258.png"/><Relationship Id="rId311" Type="http://schemas.openxmlformats.org/officeDocument/2006/relationships/image" Target="media/image259.png"/><Relationship Id="rId312" Type="http://schemas.openxmlformats.org/officeDocument/2006/relationships/image" Target="media/image260.png"/><Relationship Id="rId313" Type="http://schemas.openxmlformats.org/officeDocument/2006/relationships/image" Target="media/image261.png"/><Relationship Id="rId314" Type="http://schemas.openxmlformats.org/officeDocument/2006/relationships/image" Target="media/image262.png"/><Relationship Id="rId315" Type="http://schemas.openxmlformats.org/officeDocument/2006/relationships/image" Target="media/image263.png"/><Relationship Id="rId316" Type="http://schemas.openxmlformats.org/officeDocument/2006/relationships/image" Target="media/image264.png"/><Relationship Id="rId317" Type="http://schemas.openxmlformats.org/officeDocument/2006/relationships/image" Target="media/image265.png"/><Relationship Id="rId318" Type="http://schemas.openxmlformats.org/officeDocument/2006/relationships/image" Target="media/image266.png"/><Relationship Id="rId319" Type="http://schemas.openxmlformats.org/officeDocument/2006/relationships/image" Target="media/image267.png"/><Relationship Id="rId320" Type="http://schemas.openxmlformats.org/officeDocument/2006/relationships/image" Target="media/image268.png"/><Relationship Id="rId321" Type="http://schemas.openxmlformats.org/officeDocument/2006/relationships/image" Target="media/image269.png"/><Relationship Id="rId322" Type="http://schemas.openxmlformats.org/officeDocument/2006/relationships/image" Target="media/image270.png"/><Relationship Id="rId323" Type="http://schemas.openxmlformats.org/officeDocument/2006/relationships/image" Target="media/image271.png"/><Relationship Id="rId324" Type="http://schemas.openxmlformats.org/officeDocument/2006/relationships/image" Target="media/image272.png"/><Relationship Id="rId325" Type="http://schemas.openxmlformats.org/officeDocument/2006/relationships/image" Target="media/image273.png"/><Relationship Id="rId326" Type="http://schemas.openxmlformats.org/officeDocument/2006/relationships/footer" Target="footer38.xml"/><Relationship Id="rId327" Type="http://schemas.openxmlformats.org/officeDocument/2006/relationships/footer" Target="footer39.xml"/><Relationship Id="rId328" Type="http://schemas.openxmlformats.org/officeDocument/2006/relationships/image" Target="media/image274.png"/><Relationship Id="rId329" Type="http://schemas.openxmlformats.org/officeDocument/2006/relationships/image" Target="media/image275.png"/><Relationship Id="rId330" Type="http://schemas.openxmlformats.org/officeDocument/2006/relationships/footer" Target="footer40.xml"/><Relationship Id="rId331" Type="http://schemas.openxmlformats.org/officeDocument/2006/relationships/footer" Target="footer41.xml"/><Relationship Id="rId332" Type="http://schemas.openxmlformats.org/officeDocument/2006/relationships/image" Target="media/image276.png"/><Relationship Id="rId333" Type="http://schemas.openxmlformats.org/officeDocument/2006/relationships/image" Target="media/image277.png"/><Relationship Id="rId334" Type="http://schemas.openxmlformats.org/officeDocument/2006/relationships/image" Target="media/image278.png"/><Relationship Id="rId335" Type="http://schemas.openxmlformats.org/officeDocument/2006/relationships/image" Target="media/image279.png"/><Relationship Id="rId336" Type="http://schemas.openxmlformats.org/officeDocument/2006/relationships/image" Target="media/image280.png"/><Relationship Id="rId337" Type="http://schemas.openxmlformats.org/officeDocument/2006/relationships/image" Target="media/image281.png"/><Relationship Id="rId338" Type="http://schemas.openxmlformats.org/officeDocument/2006/relationships/image" Target="media/image282.png"/><Relationship Id="rId339" Type="http://schemas.openxmlformats.org/officeDocument/2006/relationships/image" Target="media/image283.png"/><Relationship Id="rId340" Type="http://schemas.openxmlformats.org/officeDocument/2006/relationships/image" Target="media/image284.png"/><Relationship Id="rId341" Type="http://schemas.openxmlformats.org/officeDocument/2006/relationships/image" Target="media/image285.png"/><Relationship Id="rId342" Type="http://schemas.openxmlformats.org/officeDocument/2006/relationships/image" Target="media/image286.png"/><Relationship Id="rId343" Type="http://schemas.openxmlformats.org/officeDocument/2006/relationships/footer" Target="footer42.xml"/><Relationship Id="rId344" Type="http://schemas.openxmlformats.org/officeDocument/2006/relationships/footer" Target="footer43.xml"/><Relationship Id="rId345" Type="http://schemas.openxmlformats.org/officeDocument/2006/relationships/footer" Target="footer44.xml"/><Relationship Id="rId346" Type="http://schemas.openxmlformats.org/officeDocument/2006/relationships/footer" Target="footer45.xml"/><Relationship Id="rId347" Type="http://schemas.openxmlformats.org/officeDocument/2006/relationships/image" Target="media/image287.png"/><Relationship Id="rId348" Type="http://schemas.openxmlformats.org/officeDocument/2006/relationships/hyperlink" Target="http://pic.dhe.ibm.com/infocenter/tivihelp/v61r1/topic/com.ibm.itm.doc_6.3/cmdref/itm_cmdref.htm" TargetMode="External"/><Relationship Id="rId349" Type="http://schemas.openxmlformats.org/officeDocument/2006/relationships/hyperlink" Target="http://pic.dhe.ibm.com/infocenter/tivihelp/v61r1/topic/" TargetMode="External"/><Relationship Id="rId350" Type="http://schemas.openxmlformats.org/officeDocument/2006/relationships/image" Target="media/image288.png"/><Relationship Id="rId351" Type="http://schemas.openxmlformats.org/officeDocument/2006/relationships/image" Target="media/image289.png"/><Relationship Id="rId352" Type="http://schemas.openxmlformats.org/officeDocument/2006/relationships/image" Target="media/image290.png"/><Relationship Id="rId353" Type="http://schemas.openxmlformats.org/officeDocument/2006/relationships/image" Target="media/image291.png"/><Relationship Id="rId354" Type="http://schemas.openxmlformats.org/officeDocument/2006/relationships/image" Target="media/image292.png"/><Relationship Id="rId355" Type="http://schemas.openxmlformats.org/officeDocument/2006/relationships/image" Target="media/image293.png"/><Relationship Id="rId356" Type="http://schemas.openxmlformats.org/officeDocument/2006/relationships/footer" Target="footer46.xml"/><Relationship Id="rId357" Type="http://schemas.openxmlformats.org/officeDocument/2006/relationships/footer" Target="footer47.xml"/><Relationship Id="rId358" Type="http://schemas.openxmlformats.org/officeDocument/2006/relationships/image" Target="media/image294.png"/><Relationship Id="rId359" Type="http://schemas.openxmlformats.org/officeDocument/2006/relationships/footer" Target="footer48.xml"/><Relationship Id="rId360" Type="http://schemas.openxmlformats.org/officeDocument/2006/relationships/footer" Target="footer49.xml"/><Relationship Id="rId361" Type="http://schemas.openxmlformats.org/officeDocument/2006/relationships/image" Target="media/image295.png"/><Relationship Id="rId362" Type="http://schemas.openxmlformats.org/officeDocument/2006/relationships/image" Target="media/image296.png"/><Relationship Id="rId363" Type="http://schemas.openxmlformats.org/officeDocument/2006/relationships/image" Target="media/image297.png"/><Relationship Id="rId364" Type="http://schemas.openxmlformats.org/officeDocument/2006/relationships/image" Target="media/image298.png"/><Relationship Id="rId365" Type="http://schemas.openxmlformats.org/officeDocument/2006/relationships/footer" Target="footer50.xml"/><Relationship Id="rId366" Type="http://schemas.openxmlformats.org/officeDocument/2006/relationships/footer" Target="footer51.xml"/><Relationship Id="rId367" Type="http://schemas.openxmlformats.org/officeDocument/2006/relationships/image" Target="media/image299.png"/><Relationship Id="rId368" Type="http://schemas.openxmlformats.org/officeDocument/2006/relationships/image" Target="media/image300.png"/><Relationship Id="rId369" Type="http://schemas.openxmlformats.org/officeDocument/2006/relationships/hyperlink" Target="http://pic.dhe.ibm.com/infocenter/tivihelp/v61r1/topic/com.ibm.itm.doc_6.3/install/itm_install.htm" TargetMode="External"/><Relationship Id="rId370" Type="http://schemas.openxmlformats.org/officeDocument/2006/relationships/footer" Target="footer52.xml"/><Relationship Id="rId371" Type="http://schemas.openxmlformats.org/officeDocument/2006/relationships/footer" Target="footer53.xml"/><Relationship Id="rId372" Type="http://schemas.openxmlformats.org/officeDocument/2006/relationships/hyperlink" Target="http://pic.dhe.ibm.com/infocenter/tivihelp/v61r1/topic/com.ibm.itm.doc_6.3/adminuse/itm_admin.htm" TargetMode="External"/><Relationship Id="rId373" Type="http://schemas.openxmlformats.org/officeDocument/2006/relationships/hyperlink" Target="http://www-01.ibm.com/support/docview.wss?uid=swg21420715" TargetMode="External"/><Relationship Id="rId374" Type="http://schemas.openxmlformats.org/officeDocument/2006/relationships/image" Target="media/image301.png"/><Relationship Id="rId375" Type="http://schemas.openxmlformats.org/officeDocument/2006/relationships/image" Target="media/image302.png"/><Relationship Id="rId376" Type="http://schemas.openxmlformats.org/officeDocument/2006/relationships/image" Target="media/image303.png"/><Relationship Id="rId377" Type="http://schemas.openxmlformats.org/officeDocument/2006/relationships/image" Target="media/image304.png"/><Relationship Id="rId378" Type="http://schemas.openxmlformats.org/officeDocument/2006/relationships/image" Target="media/image305.png"/><Relationship Id="rId379" Type="http://schemas.openxmlformats.org/officeDocument/2006/relationships/image" Target="media/image306.png"/><Relationship Id="rId380" Type="http://schemas.openxmlformats.org/officeDocument/2006/relationships/image" Target="media/image307.png"/><Relationship Id="rId381" Type="http://schemas.openxmlformats.org/officeDocument/2006/relationships/image" Target="media/image308.png"/><Relationship Id="rId382" Type="http://schemas.openxmlformats.org/officeDocument/2006/relationships/hyperlink" Target="http://searchenginesite.com/search?q" TargetMode="External"/><Relationship Id="rId383" Type="http://schemas.openxmlformats.org/officeDocument/2006/relationships/hyperlink" Target="http://www.searchsite.com/search?q" TargetMode="External"/><Relationship Id="rId384" Type="http://schemas.openxmlformats.org/officeDocument/2006/relationships/image" Target="media/image309.png"/><Relationship Id="rId385" Type="http://schemas.openxmlformats.org/officeDocument/2006/relationships/hyperlink" Target="http://searchenginesite.com/" TargetMode="External"/><Relationship Id="rId386" Type="http://schemas.openxmlformats.org/officeDocument/2006/relationships/hyperlink" Target="http://www.searchenginesite.com/search?q" TargetMode="External"/><Relationship Id="rId387" Type="http://schemas.openxmlformats.org/officeDocument/2006/relationships/image" Target="media/image310.png"/><Relationship Id="rId388" Type="http://schemas.openxmlformats.org/officeDocument/2006/relationships/image" Target="media/image311.png"/><Relationship Id="rId389" Type="http://schemas.openxmlformats.org/officeDocument/2006/relationships/hyperlink" Target="http://www.ibm.com/developerworks/wikis/display/tivolimediagallery/Model%2BSituation" TargetMode="External"/><Relationship Id="rId390" Type="http://schemas.openxmlformats.org/officeDocument/2006/relationships/image" Target="media/image312.png"/><Relationship Id="rId391" Type="http://schemas.openxmlformats.org/officeDocument/2006/relationships/image" Target="media/image313.png"/><Relationship Id="rId392" Type="http://schemas.openxmlformats.org/officeDocument/2006/relationships/image" Target="media/image314.png"/><Relationship Id="rId393" Type="http://schemas.openxmlformats.org/officeDocument/2006/relationships/image" Target="media/image315.png"/><Relationship Id="rId394" Type="http://schemas.openxmlformats.org/officeDocument/2006/relationships/image" Target="media/image316.png"/><Relationship Id="rId395" Type="http://schemas.openxmlformats.org/officeDocument/2006/relationships/image" Target="media/image317.png"/><Relationship Id="rId396" Type="http://schemas.openxmlformats.org/officeDocument/2006/relationships/image" Target="media/image318.png"/><Relationship Id="rId397" Type="http://schemas.openxmlformats.org/officeDocument/2006/relationships/image" Target="media/image319.png"/><Relationship Id="rId398" Type="http://schemas.openxmlformats.org/officeDocument/2006/relationships/image" Target="media/image320.png"/><Relationship Id="rId399" Type="http://schemas.openxmlformats.org/officeDocument/2006/relationships/hyperlink" Target="http://pic.dhe.ibm.com/infocenter/tivihelp/v61r1/topic/com.ibm.itm.doc_6.3/" TargetMode="External"/><Relationship Id="rId400" Type="http://schemas.openxmlformats.org/officeDocument/2006/relationships/image" Target="media/image321.png"/><Relationship Id="rId401" Type="http://schemas.openxmlformats.org/officeDocument/2006/relationships/image" Target="media/image322.png"/><Relationship Id="rId402" Type="http://schemas.openxmlformats.org/officeDocument/2006/relationships/image" Target="media/image323.png"/><Relationship Id="rId403" Type="http://schemas.openxmlformats.org/officeDocument/2006/relationships/image" Target="media/image324.png"/><Relationship Id="rId404" Type="http://schemas.openxmlformats.org/officeDocument/2006/relationships/image" Target="media/image325.png"/><Relationship Id="rId405" Type="http://schemas.openxmlformats.org/officeDocument/2006/relationships/image" Target="media/image326.png"/><Relationship Id="rId406" Type="http://schemas.openxmlformats.org/officeDocument/2006/relationships/image" Target="media/image327.png"/><Relationship Id="rId407" Type="http://schemas.openxmlformats.org/officeDocument/2006/relationships/image" Target="media/image328.png"/><Relationship Id="rId408" Type="http://schemas.openxmlformats.org/officeDocument/2006/relationships/image" Target="media/image329.png"/><Relationship Id="rId409" Type="http://schemas.openxmlformats.org/officeDocument/2006/relationships/image" Target="media/image330.png"/><Relationship Id="rId410" Type="http://schemas.openxmlformats.org/officeDocument/2006/relationships/hyperlink" Target="http://www-01.ibm.com/software/brandcatalog/ismlibrary/" TargetMode="External"/><Relationship Id="rId411" Type="http://schemas.openxmlformats.org/officeDocument/2006/relationships/hyperlink" Target="http://www.ibm.com/software/support/isa" TargetMode="External"/><Relationship Id="rId412" Type="http://schemas.openxmlformats.org/officeDocument/2006/relationships/image" Target="media/image331.png"/><Relationship Id="rId413" Type="http://schemas.openxmlformats.org/officeDocument/2006/relationships/footer" Target="footer54.xml"/><Relationship Id="rId414" Type="http://schemas.openxmlformats.org/officeDocument/2006/relationships/footer" Target="footer55.xml"/><Relationship Id="rId415" Type="http://schemas.openxmlformats.org/officeDocument/2006/relationships/image" Target="media/image332.png"/><Relationship Id="rId416" Type="http://schemas.openxmlformats.org/officeDocument/2006/relationships/image" Target="media/image333.png"/><Relationship Id="rId417" Type="http://schemas.openxmlformats.org/officeDocument/2006/relationships/image" Target="media/image334.png"/><Relationship Id="rId418" Type="http://schemas.openxmlformats.org/officeDocument/2006/relationships/image" Target="media/image335.png"/><Relationship Id="rId419" Type="http://schemas.openxmlformats.org/officeDocument/2006/relationships/image" Target="media/image336.png"/><Relationship Id="rId420" Type="http://schemas.openxmlformats.org/officeDocument/2006/relationships/footer" Target="footer56.xml"/><Relationship Id="rId421" Type="http://schemas.openxmlformats.org/officeDocument/2006/relationships/footer" Target="footer57.xml"/><Relationship Id="rId422" Type="http://schemas.openxmlformats.org/officeDocument/2006/relationships/image" Target="media/image337.png"/><Relationship Id="rId423" Type="http://schemas.openxmlformats.org/officeDocument/2006/relationships/image" Target="media/image338.png"/><Relationship Id="rId424" Type="http://schemas.openxmlformats.org/officeDocument/2006/relationships/image" Target="media/image339.png"/><Relationship Id="rId425" Type="http://schemas.openxmlformats.org/officeDocument/2006/relationships/image" Target="media/image340.png"/><Relationship Id="rId426" Type="http://schemas.openxmlformats.org/officeDocument/2006/relationships/image" Target="media/image341.png"/><Relationship Id="rId427" Type="http://schemas.openxmlformats.org/officeDocument/2006/relationships/image" Target="media/image342.png"/><Relationship Id="rId428" Type="http://schemas.openxmlformats.org/officeDocument/2006/relationships/image" Target="media/image343.png"/><Relationship Id="rId429" Type="http://schemas.openxmlformats.org/officeDocument/2006/relationships/image" Target="media/image344.png"/><Relationship Id="rId430" Type="http://schemas.openxmlformats.org/officeDocument/2006/relationships/image" Target="media/image345.png"/><Relationship Id="rId431" Type="http://schemas.openxmlformats.org/officeDocument/2006/relationships/image" Target="media/image346.png"/><Relationship Id="rId432" Type="http://schemas.openxmlformats.org/officeDocument/2006/relationships/image" Target="media/image347.png"/><Relationship Id="rId433" Type="http://schemas.openxmlformats.org/officeDocument/2006/relationships/image" Target="media/image348.png"/><Relationship Id="rId434" Type="http://schemas.openxmlformats.org/officeDocument/2006/relationships/image" Target="media/image349.png"/><Relationship Id="rId435" Type="http://schemas.openxmlformats.org/officeDocument/2006/relationships/image" Target="media/image350.png"/><Relationship Id="rId436" Type="http://schemas.openxmlformats.org/officeDocument/2006/relationships/image" Target="media/image351.png"/><Relationship Id="rId437" Type="http://schemas.openxmlformats.org/officeDocument/2006/relationships/image" Target="media/image352.png"/><Relationship Id="rId438" Type="http://schemas.openxmlformats.org/officeDocument/2006/relationships/image" Target="media/image353.png"/><Relationship Id="rId439" Type="http://schemas.openxmlformats.org/officeDocument/2006/relationships/image" Target="media/image354.png"/><Relationship Id="rId440" Type="http://schemas.openxmlformats.org/officeDocument/2006/relationships/image" Target="media/image355.png"/><Relationship Id="rId441" Type="http://schemas.openxmlformats.org/officeDocument/2006/relationships/image" Target="media/image356.png"/><Relationship Id="rId442" Type="http://schemas.openxmlformats.org/officeDocument/2006/relationships/image" Target="media/image357.png"/><Relationship Id="rId443" Type="http://schemas.openxmlformats.org/officeDocument/2006/relationships/hyperlink" Target="http://publib.boulder.ibm.com/infocenter/tivihelp/v46r1/topic/com.ibm.taddm.doc_721fp1/InstallGuide/c_cmdb_arch_overview.html" TargetMode="External"/><Relationship Id="rId444" Type="http://schemas.openxmlformats.org/officeDocument/2006/relationships/hyperlink" Target="http://pic.dhe.ibm.com/infocenter/" TargetMode="External"/><Relationship Id="rId445" Type="http://schemas.openxmlformats.org/officeDocument/2006/relationships/hyperlink" Target="http://publib.boulder.ibm.com/infocenter/tivihelp/v10r1/topic/com.ibm.taddm.doc_7.2/SDKDevGuide/c_cmdbsdk_introducingsdk.html" TargetMode="External"/><Relationship Id="rId446" Type="http://schemas.openxmlformats.org/officeDocument/2006/relationships/hyperlink" Target="http://publib.boulder.ibm.com/infocenter/tivihelp/v10r1/topic/com.ibm.taddm.doc_7.2/welcome_page/welcome.html" TargetMode="External"/><Relationship Id="rId447" Type="http://schemas.openxmlformats.org/officeDocument/2006/relationships/image" Target="media/image358.png"/><Relationship Id="rId448" Type="http://schemas.openxmlformats.org/officeDocument/2006/relationships/hyperlink" Target="http://ibm.com/" TargetMode="External"/><Relationship Id="rId449" Type="http://schemas.openxmlformats.org/officeDocument/2006/relationships/hyperlink" Target="http://www.ibm.com/search?q=%2B" TargetMode="External"/><Relationship Id="rId450" Type="http://schemas.openxmlformats.org/officeDocument/2006/relationships/footer" Target="footer58.xml"/><Relationship Id="rId451" Type="http://schemas.openxmlformats.org/officeDocument/2006/relationships/footer" Target="footer59.xml"/><Relationship Id="rId452" Type="http://schemas.openxmlformats.org/officeDocument/2006/relationships/image" Target="media/image359.png"/><Relationship Id="rId453" Type="http://schemas.openxmlformats.org/officeDocument/2006/relationships/image" Target="media/image360.png"/><Relationship Id="rId454" Type="http://schemas.openxmlformats.org/officeDocument/2006/relationships/image" Target="media/image361.png"/><Relationship Id="rId455" Type="http://schemas.openxmlformats.org/officeDocument/2006/relationships/footer" Target="footer60.xml"/><Relationship Id="rId456" Type="http://schemas.openxmlformats.org/officeDocument/2006/relationships/footer" Target="footer61.xml"/><Relationship Id="rId457" Type="http://schemas.openxmlformats.org/officeDocument/2006/relationships/hyperlink" Target="http://pic.dhe.ibm.com/infocenter/tivihelp/v61r1/topic/com.ibm.itm.doc_6.3/adminuse/userauthenticate_intro.htm" TargetMode="External"/><Relationship Id="rId458" Type="http://schemas.openxmlformats.org/officeDocument/2006/relationships/image" Target="media/image362.png"/><Relationship Id="rId459" Type="http://schemas.openxmlformats.org/officeDocument/2006/relationships/footer" Target="footer62.xml"/><Relationship Id="rId460" Type="http://schemas.openxmlformats.org/officeDocument/2006/relationships/footer" Target="footer63.xml"/><Relationship Id="rId461" Type="http://schemas.openxmlformats.org/officeDocument/2006/relationships/footer" Target="footer64.xml"/><Relationship Id="rId462" Type="http://schemas.openxmlformats.org/officeDocument/2006/relationships/footer" Target="footer65.xml"/><Relationship Id="rId463" Type="http://schemas.openxmlformats.org/officeDocument/2006/relationships/image" Target="media/image363.png"/><Relationship Id="rId464" Type="http://schemas.openxmlformats.org/officeDocument/2006/relationships/image" Target="media/image364.png"/><Relationship Id="rId465" Type="http://schemas.openxmlformats.org/officeDocument/2006/relationships/image" Target="media/image365.png"/><Relationship Id="rId466" Type="http://schemas.openxmlformats.org/officeDocument/2006/relationships/image" Target="media/image366.png"/><Relationship Id="rId467" Type="http://schemas.openxmlformats.org/officeDocument/2006/relationships/image" Target="media/image367.png"/><Relationship Id="rId468" Type="http://schemas.openxmlformats.org/officeDocument/2006/relationships/image" Target="media/image368.png"/><Relationship Id="rId469" Type="http://schemas.openxmlformats.org/officeDocument/2006/relationships/image" Target="media/image369.png"/><Relationship Id="rId470" Type="http://schemas.openxmlformats.org/officeDocument/2006/relationships/hyperlink" Target="http://pic.dhe.ibm.com/" TargetMode="External"/><Relationship Id="rId471" Type="http://schemas.openxmlformats.org/officeDocument/2006/relationships/image" Target="media/image370.png"/><Relationship Id="rId472" Type="http://schemas.openxmlformats.org/officeDocument/2006/relationships/image" Target="media/image371.png"/><Relationship Id="rId473" Type="http://schemas.openxmlformats.org/officeDocument/2006/relationships/hyperlink" Target="http://pic.dhe.ibm.com/infocenter/tivihelp/v61r1/topic/com.ibm.itm.doc_6.3/install/tdw_solutions.htm" TargetMode="External"/><Relationship Id="rId474" Type="http://schemas.openxmlformats.org/officeDocument/2006/relationships/hyperlink" Target="http://www.ibm.com/tivoli/documentation" TargetMode="External"/><Relationship Id="rId475" Type="http://schemas.openxmlformats.org/officeDocument/2006/relationships/hyperlink" Target="http://www.ibm.com/tivoli/documentation)" TargetMode="External"/><Relationship Id="rId476" Type="http://schemas.openxmlformats.org/officeDocument/2006/relationships/hyperlink" Target="http://pic.dhe.ibm.com/infocenter/tivihelp/v61r1/" TargetMode="External"/><Relationship Id="rId477" Type="http://schemas.openxmlformats.org/officeDocument/2006/relationships/footer" Target="footer66.xml"/><Relationship Id="rId478" Type="http://schemas.openxmlformats.org/officeDocument/2006/relationships/footer" Target="footer67.xml"/><Relationship Id="rId479" Type="http://schemas.openxmlformats.org/officeDocument/2006/relationships/image" Target="media/image372.png"/><Relationship Id="rId480" Type="http://schemas.openxmlformats.org/officeDocument/2006/relationships/image" Target="media/image373.png"/><Relationship Id="rId481" Type="http://schemas.openxmlformats.org/officeDocument/2006/relationships/image" Target="media/image374.png"/><Relationship Id="rId482" Type="http://schemas.openxmlformats.org/officeDocument/2006/relationships/image" Target="media/image375.png"/><Relationship Id="rId483" Type="http://schemas.openxmlformats.org/officeDocument/2006/relationships/image" Target="media/image376.png"/><Relationship Id="rId484" Type="http://schemas.openxmlformats.org/officeDocument/2006/relationships/image" Target="media/image377.png"/><Relationship Id="rId485" Type="http://schemas.openxmlformats.org/officeDocument/2006/relationships/image" Target="media/image378.png"/><Relationship Id="rId486" Type="http://schemas.openxmlformats.org/officeDocument/2006/relationships/image" Target="media/image379.png"/><Relationship Id="rId487" Type="http://schemas.openxmlformats.org/officeDocument/2006/relationships/image" Target="media/image380.png"/><Relationship Id="rId488" Type="http://schemas.openxmlformats.org/officeDocument/2006/relationships/footer" Target="footer68.xml"/><Relationship Id="rId489" Type="http://schemas.openxmlformats.org/officeDocument/2006/relationships/footer" Target="footer69.xml"/><Relationship Id="rId490" Type="http://schemas.openxmlformats.org/officeDocument/2006/relationships/image" Target="media/image381.png"/><Relationship Id="rId491" Type="http://schemas.openxmlformats.org/officeDocument/2006/relationships/image" Target="media/image382.png"/><Relationship Id="rId492" Type="http://schemas.openxmlformats.org/officeDocument/2006/relationships/hyperlink" Target="http://www.ibm.com/developerworks/opensource/library/os-php-regex1/" TargetMode="External"/><Relationship Id="rId493" Type="http://schemas.openxmlformats.org/officeDocument/2006/relationships/footer" Target="footer70.xml"/><Relationship Id="rId494" Type="http://schemas.openxmlformats.org/officeDocument/2006/relationships/footer" Target="footer71.xml"/><Relationship Id="rId495" Type="http://schemas.openxmlformats.org/officeDocument/2006/relationships/footer" Target="footer72.xml"/><Relationship Id="rId496" Type="http://schemas.openxmlformats.org/officeDocument/2006/relationships/footer" Target="footer73.xml"/><Relationship Id="rId497" Type="http://schemas.openxmlformats.org/officeDocument/2006/relationships/footer" Target="footer74.xml"/><Relationship Id="rId498" Type="http://schemas.openxmlformats.org/officeDocument/2006/relationships/footer" Target="footer75.xml"/><Relationship Id="rId499" Type="http://schemas.openxmlformats.org/officeDocument/2006/relationships/hyperlink" Target="http://pic.dhe.ibm.com/infocenter/tivihelp/v61r1/index.jsp" TargetMode="External"/><Relationship Id="rId500" Type="http://schemas.openxmlformats.org/officeDocument/2006/relationships/footer" Target="footer76.xml"/><Relationship Id="rId501" Type="http://schemas.openxmlformats.org/officeDocument/2006/relationships/footer" Target="footer77.xml"/><Relationship Id="rId502" Type="http://schemas.openxmlformats.org/officeDocument/2006/relationships/hyperlink" Target="http://www.ibm.com/developerworks/servicemanagement" TargetMode="External"/><Relationship Id="rId503" Type="http://schemas.openxmlformats.org/officeDocument/2006/relationships/hyperlink" Target="http://www.ibm.com/developerworks/servicemanagement)" TargetMode="External"/><Relationship Id="rId504" Type="http://schemas.openxmlformats.org/officeDocument/2006/relationships/hyperlink" Target="http://www.ibm.com/developerworks/servicemanagement/apm/index.html" TargetMode="External"/><Relationship Id="rId505" Type="http://schemas.openxmlformats.org/officeDocument/2006/relationships/hyperlink" Target="http://www.ibm.com/developerworks/" TargetMode="External"/><Relationship Id="rId506" Type="http://schemas.openxmlformats.org/officeDocument/2006/relationships/hyperlink" Target="http://www.ibm.com/developerworks/servicemanagement/apm)" TargetMode="External"/><Relationship Id="rId507" Type="http://schemas.openxmlformats.org/officeDocument/2006/relationships/hyperlink" Target="https://www.ibm.com/developerworks/mydeveloperworks/wikis/home?lang=en&amp;/wiki/Tivoli%20Monitoring/page/Home" TargetMode="External"/><Relationship Id="rId508" Type="http://schemas.openxmlformats.org/officeDocument/2006/relationships/hyperlink" Target="https://www.ibm.com/developerworks/mydeveloperworks/wikis/home?lang=en&amp;/wiki/Tivoli%20System%20z%20Monitoring%20and%20Application%20Management" TargetMode="External"/><Relationship Id="rId509" Type="http://schemas.openxmlformats.org/officeDocument/2006/relationships/hyperlink" Target="http://www.redbooks.ibm.com/" TargetMode="External"/><Relationship Id="rId510" Type="http://schemas.openxmlformats.org/officeDocument/2006/relationships/hyperlink" Target="http://www.ibm.com/software/support/" TargetMode="External"/><Relationship Id="rId511" Type="http://schemas.openxmlformats.org/officeDocument/2006/relationships/footer" Target="footer78.xml"/><Relationship Id="rId512" Type="http://schemas.openxmlformats.org/officeDocument/2006/relationships/footer" Target="footer79.xml"/><Relationship Id="rId513" Type="http://schemas.openxmlformats.org/officeDocument/2006/relationships/hyperlink" Target="http://www.ibm.com/support/entry/portal/software" TargetMode="External"/><Relationship Id="rId514" Type="http://schemas.openxmlformats.org/officeDocument/2006/relationships/hyperlink" Target="http://www.ibm.com/support/entry/" TargetMode="External"/><Relationship Id="rId515" Type="http://schemas.openxmlformats.org/officeDocument/2006/relationships/hyperlink" Target="http://www-01.ibm.com/software/support/isa" TargetMode="External"/><Relationship Id="rId516" Type="http://schemas.openxmlformats.org/officeDocument/2006/relationships/hyperlink" Target="http://www-01.ibm.com/" TargetMode="External"/><Relationship Id="rId517" Type="http://schemas.openxmlformats.org/officeDocument/2006/relationships/hyperlink" Target="http://www.ibm.com/software/support" TargetMode="External"/><Relationship Id="rId518" Type="http://schemas.openxmlformats.org/officeDocument/2006/relationships/hyperlink" Target="http://www14.software.ibm.com/webapp/set2/sas/f/handbook/home.html" TargetMode="External"/><Relationship Id="rId519" Type="http://schemas.openxmlformats.org/officeDocument/2006/relationships/footer" Target="footer80.xml"/><Relationship Id="rId520" Type="http://schemas.openxmlformats.org/officeDocument/2006/relationships/footer" Target="footer81.xml"/><Relationship Id="rId521" Type="http://schemas.openxmlformats.org/officeDocument/2006/relationships/hyperlink" Target="mailto:erchelp@ca.ibm.com" TargetMode="External"/><Relationship Id="rId522" Type="http://schemas.openxmlformats.org/officeDocument/2006/relationships/hyperlink" Target="http://www.lotus.com/services/passport.nsf/%20WebDocs/Passport_Advantage_Home" TargetMode="External"/><Relationship Id="rId523" Type="http://schemas.openxmlformats.org/officeDocument/2006/relationships/hyperlink" Target="http://techsupport.services.ibm.com/guides/contacts.html" TargetMode="External"/><Relationship Id="rId524" Type="http://schemas.openxmlformats.org/officeDocument/2006/relationships/hyperlink" Target="https://techsupport.services.ibm.com/ssr/login" TargetMode="External"/><Relationship Id="rId525" Type="http://schemas.openxmlformats.org/officeDocument/2006/relationships/hyperlink" Target="http://www.ibm.com/services/us/index.wss/so/its/a1000030/dt006" TargetMode="External"/><Relationship Id="rId526" Type="http://schemas.openxmlformats.org/officeDocument/2006/relationships/hyperlink" Target="http://www.ibm.com/servers/eserver/techsupport.html" TargetMode="External"/><Relationship Id="rId527" Type="http://schemas.openxmlformats.org/officeDocument/2006/relationships/footer" Target="footer82.xml"/><Relationship Id="rId528" Type="http://schemas.openxmlformats.org/officeDocument/2006/relationships/footer" Target="footer83.xml"/><Relationship Id="rId529" Type="http://schemas.openxmlformats.org/officeDocument/2006/relationships/footer" Target="footer84.xml"/><Relationship Id="rId530" Type="http://schemas.openxmlformats.org/officeDocument/2006/relationships/hyperlink" Target="http://www.ibm.com/legal/copytrade.shtml" TargetMode="External"/><Relationship Id="rId531" Type="http://schemas.openxmlformats.org/officeDocument/2006/relationships/footer" Target="footer85.xml"/><Relationship Id="rId532" Type="http://schemas.openxmlformats.org/officeDocument/2006/relationships/image" Target="media/image383.png"/><Relationship Id="rId533" Type="http://schemas.openxmlformats.org/officeDocument/2006/relationships/footer" Target="footer86.xml"/><Relationship Id="rId534" Type="http://schemas.openxmlformats.org/officeDocument/2006/relationships/footer" Target="footer87.xml"/><Relationship Id="rId535" Type="http://schemas.openxmlformats.org/officeDocument/2006/relationships/footer" Target="footer88.xml"/><Relationship Id="rId536" Type="http://schemas.openxmlformats.org/officeDocument/2006/relationships/footer" Target="footer89.xml"/><Relationship Id="rId537" Type="http://schemas.openxmlformats.org/officeDocument/2006/relationships/footer" Target="footer90.xml"/><Relationship Id="rId53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dc:title>IBM Tivoli Monitoring: Tivoli Enterprise Portal User's Guide</dc:title>
  <dcterms:created xsi:type="dcterms:W3CDTF">2024-03-19T19:17:26Z</dcterms:created>
  <dcterms:modified xsi:type="dcterms:W3CDTF">2024-03-19T19:17:26Z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2013-06-14T00:00:00Z</vt:filetime>
  </property>
  <property fmtid="{D5CDD505-2E9C-101B-9397-08002B2CF9AE}" pid="3" name="Creator">
    <vt:lpwstr>XPP</vt:lpwstr>
  </property>
  <property fmtid="{D5CDD505-2E9C-101B-9397-08002B2CF9AE}" pid="4" name="LastSaved">
    <vt:filetime>2024-03-19T00:00:00Z</vt:filetime>
  </property>
  <property fmtid="{D5CDD505-2E9C-101B-9397-08002B2CF9AE}" pid="5" name="Producer">
    <vt:lpwstr>ID Workbench</vt:lpwstr>
  </property>
  <property fmtid="{D5CDD505-2E9C-101B-9397-08002B2CF9AE}" pid="6" name="identifier">
    <vt:lpwstr>SC22-5447-00</vt:lpwstr>
  </property>
</Properties>
</file>